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3916F9" w14:textId="77777777" w:rsidR="00537E5F" w:rsidRPr="00507A31" w:rsidRDefault="00537E5F" w:rsidP="00507A31">
      <w:pPr>
        <w:autoSpaceDE w:val="0"/>
        <w:autoSpaceDN w:val="0"/>
        <w:adjustRightInd w:val="0"/>
        <w:jc w:val="both"/>
        <w:rPr>
          <w:b/>
          <w:bCs/>
          <w:color w:val="000000" w:themeColor="text1"/>
          <w:sz w:val="16"/>
          <w:szCs w:val="16"/>
        </w:rPr>
      </w:pPr>
      <w:r w:rsidRPr="00507A31">
        <w:rPr>
          <w:b/>
          <w:bCs/>
          <w:color w:val="000000" w:themeColor="text1"/>
          <w:sz w:val="16"/>
          <w:szCs w:val="16"/>
        </w:rPr>
        <w:t>1930</w:t>
      </w:r>
    </w:p>
    <w:p w14:paraId="7E33369B" w14:textId="77777777" w:rsidR="00BC215D" w:rsidRPr="00507A31" w:rsidRDefault="00BC215D" w:rsidP="00507A31">
      <w:pPr>
        <w:autoSpaceDE w:val="0"/>
        <w:autoSpaceDN w:val="0"/>
        <w:adjustRightInd w:val="0"/>
        <w:jc w:val="both"/>
        <w:rPr>
          <w:i/>
          <w:iCs/>
          <w:color w:val="000000" w:themeColor="text1"/>
          <w:sz w:val="16"/>
          <w:szCs w:val="16"/>
        </w:rPr>
      </w:pPr>
    </w:p>
    <w:p w14:paraId="549B49C6" w14:textId="77777777" w:rsidR="00E371BA" w:rsidRPr="00507A31" w:rsidRDefault="00E371BA"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46A10B0" w14:textId="77777777" w:rsidR="00E371BA" w:rsidRPr="00507A31" w:rsidRDefault="00E371BA" w:rsidP="00507A31">
      <w:pPr>
        <w:autoSpaceDE w:val="0"/>
        <w:autoSpaceDN w:val="0"/>
        <w:adjustRightInd w:val="0"/>
        <w:jc w:val="both"/>
        <w:rPr>
          <w:iCs/>
          <w:color w:val="000000" w:themeColor="text1"/>
          <w:sz w:val="16"/>
          <w:szCs w:val="16"/>
        </w:rPr>
      </w:pPr>
    </w:p>
    <w:p w14:paraId="79C2E5D0" w14:textId="77777777" w:rsidR="00E371BA" w:rsidRPr="00507A31" w:rsidRDefault="00E371BA" w:rsidP="00507A31">
      <w:pPr>
        <w:jc w:val="both"/>
        <w:rPr>
          <w:color w:val="0070C0"/>
          <w:sz w:val="16"/>
          <w:szCs w:val="16"/>
        </w:rPr>
      </w:pPr>
      <w:r w:rsidRPr="00507A31">
        <w:rPr>
          <w:color w:val="0070C0"/>
          <w:sz w:val="16"/>
          <w:szCs w:val="16"/>
          <w:lang w:bidi="ru-RU"/>
        </w:rPr>
        <w:t>К 1930 году назрел вопрос масштабного расширения ЦАГИ, состоявшего к тому времени из шести (помимо ОИАМ) крупных отделов (общетеоретического: экспери</w:t>
      </w:r>
      <w:r w:rsidRPr="00507A31">
        <w:rPr>
          <w:color w:val="0070C0"/>
          <w:sz w:val="16"/>
          <w:szCs w:val="16"/>
          <w:lang w:bidi="ru-RU"/>
        </w:rPr>
        <w:softHyphen/>
        <w:t>ментально-аэродинамического; винтомоторного («винто-моторного»); ветряных двига</w:t>
      </w:r>
      <w:r w:rsidRPr="00507A31">
        <w:rPr>
          <w:color w:val="0070C0"/>
          <w:sz w:val="16"/>
          <w:szCs w:val="16"/>
          <w:lang w:bidi="ru-RU"/>
        </w:rPr>
        <w:softHyphen/>
        <w:t>телей; авиации, гидроавиации и опытного строительства; гидравлического), некото</w:t>
      </w:r>
      <w:r w:rsidRPr="00507A31">
        <w:rPr>
          <w:color w:val="0070C0"/>
          <w:sz w:val="16"/>
          <w:szCs w:val="16"/>
          <w:lang w:bidi="ru-RU"/>
        </w:rPr>
        <w:softHyphen/>
        <w:t>рые из которых вскоре выделились в отдельные институты. При этом признавали, что в 1923 году при начале проектирования и строительства ЦАГИ «была совершена боль</w:t>
      </w:r>
      <w:r w:rsidRPr="00507A31">
        <w:rPr>
          <w:color w:val="0070C0"/>
          <w:sz w:val="16"/>
          <w:szCs w:val="16"/>
          <w:lang w:bidi="ru-RU"/>
        </w:rPr>
        <w:softHyphen/>
        <w:t>шая историческая ошибка», ввиду того, что изначально не были ясны «... ни пути, ни методы, ни конечный размах работы ЦАГИ». Очевидной стала необходимость вывода ЦАГИ из Москвы и строительства отдельного комплекса, однако полностью освобо</w:t>
      </w:r>
      <w:r w:rsidRPr="00507A31">
        <w:rPr>
          <w:color w:val="0070C0"/>
          <w:sz w:val="16"/>
          <w:szCs w:val="16"/>
          <w:lang w:bidi="ru-RU"/>
        </w:rPr>
        <w:softHyphen/>
        <w:t>дить территорию на улице Радио было невозможно, так как на ней находился гидрока</w:t>
      </w:r>
      <w:r w:rsidRPr="00507A31">
        <w:rPr>
          <w:color w:val="0070C0"/>
          <w:sz w:val="16"/>
          <w:szCs w:val="16"/>
          <w:lang w:bidi="ru-RU"/>
        </w:rPr>
        <w:softHyphen/>
        <w:t>нал. Все другие здания предполагалось занять под мастерские, отдать одному из втузов или даже разместить в них выставочные или спортивные залы (21271).</w:t>
      </w:r>
    </w:p>
    <w:p w14:paraId="44F756B2" w14:textId="77777777" w:rsidR="00E371BA" w:rsidRPr="00507A31" w:rsidRDefault="00E371BA" w:rsidP="00507A31">
      <w:pPr>
        <w:jc w:val="both"/>
        <w:rPr>
          <w:color w:val="0070C0"/>
          <w:sz w:val="16"/>
          <w:szCs w:val="16"/>
        </w:rPr>
      </w:pPr>
    </w:p>
    <w:p w14:paraId="212073E5" w14:textId="77777777" w:rsidR="00A96C2D" w:rsidRPr="00507A31" w:rsidRDefault="00A96C2D"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50AE178" w14:textId="77777777" w:rsidR="00A96C2D" w:rsidRPr="00507A31" w:rsidRDefault="00A96C2D" w:rsidP="00507A31">
      <w:pPr>
        <w:autoSpaceDE w:val="0"/>
        <w:autoSpaceDN w:val="0"/>
        <w:adjustRightInd w:val="0"/>
        <w:jc w:val="both"/>
        <w:rPr>
          <w:iCs/>
          <w:color w:val="000000" w:themeColor="text1"/>
          <w:sz w:val="16"/>
          <w:szCs w:val="16"/>
        </w:rPr>
      </w:pPr>
    </w:p>
    <w:p w14:paraId="57427110" w14:textId="77777777" w:rsidR="00A96C2D" w:rsidRPr="00507A31" w:rsidRDefault="00A96C2D" w:rsidP="00507A31">
      <w:pPr>
        <w:pStyle w:val="rtejustify"/>
        <w:spacing w:before="0" w:after="0"/>
        <w:rPr>
          <w:color w:val="000000" w:themeColor="text1"/>
          <w:sz w:val="16"/>
          <w:szCs w:val="16"/>
        </w:rPr>
      </w:pPr>
      <w:r w:rsidRPr="00507A31">
        <w:rPr>
          <w:color w:val="000000" w:themeColor="text1"/>
          <w:sz w:val="16"/>
          <w:szCs w:val="16"/>
        </w:rPr>
        <w:t>К 1930 г. в Москве уже была создана научно-производственная база и организованы первые лаборатории Остехбюро. В 1931</w:t>
      </w:r>
      <w:r w:rsidRPr="00507A31">
        <w:rPr>
          <w:color w:val="000000" w:themeColor="text1"/>
          <w:sz w:val="16"/>
          <w:szCs w:val="16"/>
        </w:rPr>
        <w:noBreakHyphen/>
        <w:t>1935 гг. научные лаборатории и ведущие специалисты из Ленинграда с выполняемыми ими разработками были переданы Московскому отделению. В начале 30</w:t>
      </w:r>
      <w:r w:rsidRPr="00507A31">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 Р</w:t>
      </w:r>
      <w:r w:rsidRPr="00507A31">
        <w:rPr>
          <w:color w:val="000000" w:themeColor="text1"/>
          <w:sz w:val="16"/>
          <w:szCs w:val="16"/>
        </w:rPr>
        <w:noBreakHyphen/>
        <w:t>303. Оп. 2. Д. 85. Л. 29</w:t>
      </w:r>
      <w:r w:rsidRPr="00507A31">
        <w:rPr>
          <w:color w:val="000000" w:themeColor="text1"/>
          <w:sz w:val="16"/>
          <w:szCs w:val="16"/>
        </w:rPr>
        <w:noBreakHyphen/>
        <w:t>30) (12391).</w:t>
      </w:r>
    </w:p>
    <w:p w14:paraId="2AF86514" w14:textId="77777777" w:rsidR="00A96C2D" w:rsidRPr="00507A31" w:rsidRDefault="00A96C2D" w:rsidP="00507A31">
      <w:pPr>
        <w:pStyle w:val="rtejustify"/>
        <w:spacing w:before="0" w:after="0"/>
        <w:rPr>
          <w:color w:val="000000" w:themeColor="text1"/>
          <w:sz w:val="16"/>
          <w:szCs w:val="16"/>
        </w:rPr>
      </w:pPr>
    </w:p>
    <w:p w14:paraId="164A8A2F" w14:textId="77777777" w:rsidR="00A96C2D" w:rsidRPr="00507A31" w:rsidRDefault="00A96C2D" w:rsidP="00507A31">
      <w:pPr>
        <w:pStyle w:val="rtejustify"/>
        <w:shd w:val="clear" w:color="auto" w:fill="FFFFFF"/>
        <w:spacing w:before="0" w:after="0"/>
        <w:rPr>
          <w:color w:val="000000" w:themeColor="text1"/>
          <w:sz w:val="16"/>
          <w:szCs w:val="16"/>
        </w:rPr>
      </w:pPr>
      <w:r w:rsidRPr="00507A31">
        <w:rPr>
          <w:color w:val="000000" w:themeColor="text1"/>
          <w:sz w:val="16"/>
          <w:szCs w:val="16"/>
        </w:rPr>
        <w:t>К 1930 году ПКБ Ковровского завода, которое в марте 1926 получило заказ от Артуправления РККА на разработку автоматических пушек калибра 25 и 40 мм, было разработано 7 типов пушек и пять типов питания.</w:t>
      </w:r>
    </w:p>
    <w:p w14:paraId="44A3DF5A" w14:textId="77777777" w:rsidR="00A96C2D" w:rsidRPr="00507A31" w:rsidRDefault="00A96C2D" w:rsidP="00507A31">
      <w:pPr>
        <w:pStyle w:val="rtejustify"/>
        <w:shd w:val="clear" w:color="auto" w:fill="FFFFFF"/>
        <w:spacing w:before="0" w:after="0"/>
        <w:rPr>
          <w:color w:val="000000" w:themeColor="text1"/>
          <w:sz w:val="16"/>
          <w:szCs w:val="16"/>
        </w:rPr>
      </w:pPr>
      <w:r w:rsidRPr="00507A31">
        <w:rPr>
          <w:color w:val="000000" w:themeColor="text1"/>
          <w:sz w:val="16"/>
          <w:szCs w:val="16"/>
        </w:rPr>
        <w:t>Параллельно конструкторским бюро завода «Большевик» (бывший Обуховский завод) были начаты работы по модернизации автоматической пушки Виккерс, направленные на улучшение баллистики и повышение надёжности 40-мм Пом-Помов, в большом количестве оставшихся в СССР в наследство от Российской империи. Впрочем, эта работа так и не была доведена до логического завершения.</w:t>
      </w:r>
    </w:p>
    <w:p w14:paraId="5DBC54F6" w14:textId="77777777" w:rsidR="00A96C2D" w:rsidRPr="00507A31" w:rsidRDefault="00A96C2D" w:rsidP="00507A31">
      <w:pPr>
        <w:pStyle w:val="rtejustify"/>
        <w:shd w:val="clear" w:color="auto" w:fill="FFFFFF"/>
        <w:spacing w:before="0" w:after="0"/>
        <w:rPr>
          <w:color w:val="000000" w:themeColor="text1"/>
          <w:sz w:val="16"/>
          <w:szCs w:val="16"/>
        </w:rPr>
      </w:pPr>
      <w:r w:rsidRPr="00507A31">
        <w:rPr>
          <w:color w:val="000000" w:themeColor="text1"/>
          <w:sz w:val="16"/>
          <w:szCs w:val="16"/>
        </w:rPr>
        <w:t>В период 1931-32 гг. на заводе им. Калинина пытались освоить в производстве купленный в Германии проект швейцарского зенитного автомата Солотурн S10-100 калибра 37 мм, получивший у нас обозначение 4-К. Однако, проданный немцами через подставные фирмы, по сути экспериментальный, еще толком не доведенный проект швейцарского автомата, оказался не по зубам отечественной промышленности (19169).</w:t>
      </w:r>
    </w:p>
    <w:p w14:paraId="1D145655" w14:textId="77777777" w:rsidR="00A96C2D" w:rsidRPr="00507A31" w:rsidRDefault="00A96C2D" w:rsidP="00507A31">
      <w:pPr>
        <w:pStyle w:val="rtejustify"/>
        <w:shd w:val="clear" w:color="auto" w:fill="FFFFFF"/>
        <w:spacing w:before="0" w:after="0"/>
        <w:rPr>
          <w:color w:val="000000" w:themeColor="text1"/>
          <w:sz w:val="16"/>
          <w:szCs w:val="16"/>
        </w:rPr>
      </w:pPr>
    </w:p>
    <w:p w14:paraId="3040C31C" w14:textId="77777777" w:rsidR="00A96C2D" w:rsidRPr="00507A31" w:rsidRDefault="00A96C2D" w:rsidP="00507A31">
      <w:pPr>
        <w:jc w:val="both"/>
        <w:rPr>
          <w:color w:val="0070C0"/>
          <w:sz w:val="16"/>
          <w:szCs w:val="16"/>
        </w:rPr>
      </w:pPr>
      <w:r w:rsidRPr="00507A31">
        <w:rPr>
          <w:color w:val="0070C0"/>
          <w:sz w:val="16"/>
          <w:szCs w:val="16"/>
        </w:rPr>
        <w:t>К 1930 году появился проект танкетки Т-21, по сути, тот же самый Т-17, но уже с экипажем 2 человека и пулеметом ДТ. В него было решено переделать опытный образец Т-17, при этом сроки постоянно сдвигались. Сначала апрель 1930, потом 1 октября, потом 1 января 1931 года, потом март...(22298).</w:t>
      </w:r>
    </w:p>
    <w:p w14:paraId="286C350A" w14:textId="77777777" w:rsidR="00A96C2D" w:rsidRPr="00507A31" w:rsidRDefault="00A96C2D" w:rsidP="00507A31">
      <w:pPr>
        <w:jc w:val="both"/>
        <w:rPr>
          <w:color w:val="0070C0"/>
          <w:sz w:val="16"/>
          <w:szCs w:val="16"/>
        </w:rPr>
      </w:pPr>
    </w:p>
    <w:p w14:paraId="38324D34" w14:textId="04337C13" w:rsidR="00A96C2D" w:rsidRPr="00507A31" w:rsidRDefault="00A96C2D" w:rsidP="00507A31">
      <w:pPr>
        <w:jc w:val="both"/>
        <w:rPr>
          <w:i/>
          <w:iCs/>
          <w:color w:val="0070C0"/>
          <w:sz w:val="16"/>
          <w:szCs w:val="16"/>
        </w:rPr>
      </w:pPr>
      <w:r w:rsidRPr="00507A31">
        <w:rPr>
          <w:i/>
          <w:iCs/>
          <w:color w:val="0070C0"/>
          <w:sz w:val="16"/>
          <w:szCs w:val="16"/>
        </w:rPr>
        <w:t>За рубежом:</w:t>
      </w:r>
    </w:p>
    <w:p w14:paraId="3688E9EB" w14:textId="77777777" w:rsidR="00A96C2D" w:rsidRPr="00507A31" w:rsidRDefault="00A96C2D" w:rsidP="00507A31">
      <w:pPr>
        <w:jc w:val="both"/>
        <w:rPr>
          <w:i/>
          <w:iCs/>
          <w:color w:val="0070C0"/>
          <w:sz w:val="16"/>
          <w:szCs w:val="16"/>
        </w:rPr>
      </w:pPr>
    </w:p>
    <w:p w14:paraId="46BC6FA3" w14:textId="7CC89855" w:rsidR="00A96C2D" w:rsidRPr="00507A31" w:rsidRDefault="00A96C2D" w:rsidP="00507A31">
      <w:pPr>
        <w:jc w:val="both"/>
        <w:rPr>
          <w:color w:val="0070C0"/>
          <w:sz w:val="16"/>
          <w:szCs w:val="16"/>
        </w:rPr>
      </w:pPr>
      <w:r w:rsidRPr="00507A31">
        <w:rPr>
          <w:color w:val="0070C0"/>
          <w:sz w:val="16"/>
          <w:szCs w:val="16"/>
        </w:rPr>
        <w:t>К 1930 году в США было совершено более 25.000 тренировочных прыжков и свыше 75.000 испытаний с манекеном (Минов Л. Парашют и парашютные прыжки // Самолет. 1930. № 8-9. С. 28.). (21402).</w:t>
      </w:r>
    </w:p>
    <w:p w14:paraId="4613A871" w14:textId="77777777" w:rsidR="00A96C2D" w:rsidRPr="00507A31" w:rsidRDefault="00A96C2D" w:rsidP="00507A31">
      <w:pPr>
        <w:jc w:val="both"/>
        <w:rPr>
          <w:color w:val="0070C0"/>
          <w:sz w:val="16"/>
          <w:szCs w:val="16"/>
        </w:rPr>
      </w:pPr>
    </w:p>
    <w:p w14:paraId="013F1B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началу 1930 года Артиллерийское управление заказало 130 45-мм батальонных гаубиц обр. 1929 г., из них 80 заводу "Красный Путиловец" и 50 заводу № 8. Причем на заводе № 8 чужим пушкам (заводов "Большевик", Гочкиса, Максима, "Рейнметалл" и др.) присваивали собственные заводские индексы, таким образом и система Лендера получила индекс "12-К" (К завод Калинина). Всего в 1931-1932 гг. было сдано около 100 45-мм гаубиц. Несмотря на небольшое число изготовленных 45-мм гаубиц, они принимали участие в Великой отечественной войне. В 1942 году для них были даже выпущены новые таблицы стрельбы (3861).</w:t>
      </w:r>
    </w:p>
    <w:p w14:paraId="6D15E21C" w14:textId="77777777" w:rsidR="00B115CD" w:rsidRPr="00507A31" w:rsidRDefault="00B115CD" w:rsidP="00507A31">
      <w:pPr>
        <w:pStyle w:val="rtejustify"/>
        <w:spacing w:before="0" w:after="0"/>
        <w:rPr>
          <w:color w:val="000000" w:themeColor="text1"/>
          <w:sz w:val="16"/>
          <w:szCs w:val="16"/>
        </w:rPr>
      </w:pPr>
    </w:p>
    <w:p w14:paraId="2480D95F" w14:textId="77777777" w:rsidR="00EF58A7" w:rsidRPr="00507A31" w:rsidRDefault="00EF58A7" w:rsidP="00507A31">
      <w:pPr>
        <w:shd w:val="clear" w:color="auto" w:fill="FFFFFF"/>
        <w:jc w:val="both"/>
        <w:rPr>
          <w:color w:val="000000" w:themeColor="text1"/>
          <w:sz w:val="16"/>
          <w:szCs w:val="16"/>
        </w:rPr>
      </w:pPr>
      <w:r w:rsidRPr="00507A31">
        <w:rPr>
          <w:color w:val="000000" w:themeColor="text1"/>
          <w:sz w:val="16"/>
          <w:szCs w:val="16"/>
        </w:rPr>
        <w:t>К началу 1930 года Гинзбург оказывается в УММ, исполняя должность инженера-конструктора. Фактически он был взят как эксперт, имеющий опыт конструкторских работ, новым местом работы становится НТК УММ (научно-технический комитет) (19634).</w:t>
      </w:r>
    </w:p>
    <w:p w14:paraId="7E1FDC96" w14:textId="77777777" w:rsidR="00EF58A7" w:rsidRPr="00507A31" w:rsidRDefault="00EF58A7" w:rsidP="00507A31">
      <w:pPr>
        <w:shd w:val="clear" w:color="auto" w:fill="FFFFFF"/>
        <w:jc w:val="both"/>
        <w:rPr>
          <w:color w:val="000000" w:themeColor="text1"/>
          <w:sz w:val="16"/>
          <w:szCs w:val="16"/>
        </w:rPr>
      </w:pPr>
    </w:p>
    <w:p w14:paraId="275E66D9" w14:textId="77777777" w:rsidR="00F71B1A" w:rsidRPr="00507A31" w:rsidRDefault="00F71B1A" w:rsidP="00507A31">
      <w:pPr>
        <w:jc w:val="both"/>
        <w:rPr>
          <w:rFonts w:eastAsia="TimesNewRoman"/>
          <w:color w:val="000000" w:themeColor="text1"/>
          <w:sz w:val="16"/>
          <w:szCs w:val="16"/>
        </w:rPr>
      </w:pPr>
      <w:r w:rsidRPr="00507A31">
        <w:rPr>
          <w:rFonts w:eastAsia="TimesNewRoman"/>
          <w:color w:val="000000" w:themeColor="text1"/>
          <w:sz w:val="16"/>
          <w:szCs w:val="16"/>
        </w:rPr>
        <w:t>К началу 1930 г., т.е. к моменту ликвидации ЭТЗСТ, трест поддерживал договорные отношения с пятью компаниями. Последовавший затем этап многочисленных реорганизаций системы управления электрослаботочной отраслью1, во многом отразивший новые тенденции в ходе проведения форсированной индустриализации, привел в конечном итоге к существенному сворачиванию технического сотрудничества. На рубеже 1-й и 2-й пятилетки в научно-технической политике центральных органов советской промышленности начинают просматриваться две взаимоисключающие тенденции. С одной стороны, это стремление к обеспечению максимальной самостоятельности во всех областях науки, техники, производства, опора преимущественно на свои силы. Проявлением этой тенденции стали настойчивые требования со стороны ВСНХ в конце 1931 - начале 1932 года к руководству ВЭСО о сворачивании тех договорных отношений, которые не сулили существенного и быстрого эффекта. Следствием этих требований стало, например, расторжений договоров с фирмой «Телефункен» в феврале 1932 г., несмотря на протесты руководителей ВЭСО [Там же, л. 42] (12695).</w:t>
      </w:r>
    </w:p>
    <w:p w14:paraId="6B9C4C26" w14:textId="77777777" w:rsidR="00F71B1A" w:rsidRPr="00507A31" w:rsidRDefault="00F71B1A" w:rsidP="00507A31">
      <w:pPr>
        <w:jc w:val="both"/>
        <w:rPr>
          <w:rFonts w:eastAsia="TimesNewRoman"/>
          <w:color w:val="000000" w:themeColor="text1"/>
          <w:sz w:val="16"/>
          <w:szCs w:val="16"/>
        </w:rPr>
      </w:pPr>
    </w:p>
    <w:p w14:paraId="4A4A276F" w14:textId="77777777" w:rsidR="00A96C2D" w:rsidRPr="00507A31" w:rsidRDefault="00A96C2D"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9D7B0FB" w14:textId="77777777" w:rsidR="00A96C2D" w:rsidRPr="00507A31" w:rsidRDefault="00A96C2D" w:rsidP="00507A31">
      <w:pPr>
        <w:autoSpaceDE w:val="0"/>
        <w:autoSpaceDN w:val="0"/>
        <w:adjustRightInd w:val="0"/>
        <w:jc w:val="both"/>
        <w:rPr>
          <w:iCs/>
          <w:color w:val="000000" w:themeColor="text1"/>
          <w:sz w:val="16"/>
          <w:szCs w:val="16"/>
        </w:rPr>
      </w:pPr>
    </w:p>
    <w:p w14:paraId="119909A5" w14:textId="77777777" w:rsidR="00A96C2D" w:rsidRPr="00507A31" w:rsidRDefault="00A96C2D" w:rsidP="00507A31">
      <w:pPr>
        <w:jc w:val="both"/>
        <w:rPr>
          <w:color w:val="0070C0"/>
          <w:sz w:val="16"/>
          <w:szCs w:val="16"/>
          <w:lang w:bidi="ru-RU"/>
        </w:rPr>
      </w:pPr>
      <w:r w:rsidRPr="00507A31">
        <w:rPr>
          <w:color w:val="0070C0"/>
          <w:sz w:val="16"/>
          <w:szCs w:val="16"/>
          <w:lang w:bidi="ru-RU"/>
        </w:rPr>
        <w:t>К началу 1930 г. были отра</w:t>
      </w:r>
      <w:r w:rsidRPr="00507A31">
        <w:rPr>
          <w:color w:val="0070C0"/>
          <w:sz w:val="16"/>
          <w:szCs w:val="16"/>
          <w:lang w:bidi="ru-RU"/>
        </w:rPr>
        <w:softHyphen/>
        <w:t>ботаны и утвер</w:t>
      </w:r>
      <w:r w:rsidRPr="00507A31">
        <w:rPr>
          <w:color w:val="0070C0"/>
          <w:sz w:val="16"/>
          <w:szCs w:val="16"/>
          <w:lang w:bidi="ru-RU"/>
        </w:rPr>
        <w:softHyphen/>
        <w:t>ждены Тактико-технические требования к тяжелому двухмоторному брониро</w:t>
      </w:r>
      <w:r w:rsidRPr="00507A31">
        <w:rPr>
          <w:color w:val="0070C0"/>
          <w:sz w:val="16"/>
          <w:szCs w:val="16"/>
          <w:lang w:bidi="ru-RU"/>
        </w:rPr>
        <w:softHyphen/>
        <w:t>ванному штурмовику ТШ-1 и 22 марта на очередном засе</w:t>
      </w:r>
      <w:r w:rsidRPr="00507A31">
        <w:rPr>
          <w:color w:val="0070C0"/>
          <w:sz w:val="16"/>
          <w:szCs w:val="16"/>
          <w:lang w:bidi="ru-RU"/>
        </w:rPr>
        <w:softHyphen/>
        <w:t>дании 1-й секции НТК УВВС. С учетом результатов обсуждения в 3-й и 4-й сек</w:t>
      </w:r>
      <w:r w:rsidRPr="00507A31">
        <w:rPr>
          <w:color w:val="0070C0"/>
          <w:sz w:val="16"/>
          <w:szCs w:val="16"/>
          <w:lang w:bidi="ru-RU"/>
        </w:rPr>
        <w:softHyphen/>
        <w:t>циях НТК с участием представителей штаба ВВС КА 26 марта и 3 апреля в ТТТ внести некоторые редакционные из</w:t>
      </w:r>
      <w:r w:rsidRPr="00507A31">
        <w:rPr>
          <w:color w:val="0070C0"/>
          <w:sz w:val="16"/>
          <w:szCs w:val="16"/>
          <w:lang w:bidi="ru-RU"/>
        </w:rPr>
        <w:softHyphen/>
        <w:t>менения, после чего материалы напра</w:t>
      </w:r>
      <w:r w:rsidRPr="00507A31">
        <w:rPr>
          <w:color w:val="0070C0"/>
          <w:sz w:val="16"/>
          <w:szCs w:val="16"/>
          <w:lang w:bidi="ru-RU"/>
        </w:rPr>
        <w:softHyphen/>
        <w:t>вили в ЦАГИ. К 30 мая, согласно предва</w:t>
      </w:r>
      <w:r w:rsidRPr="00507A31">
        <w:rPr>
          <w:color w:val="0070C0"/>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507A31">
        <w:rPr>
          <w:color w:val="0070C0"/>
          <w:sz w:val="16"/>
          <w:szCs w:val="16"/>
          <w:lang w:bidi="ru-RU"/>
        </w:rPr>
        <w:softHyphen/>
        <w:t>деления толщин брони, составов стрел</w:t>
      </w:r>
      <w:r w:rsidRPr="00507A31">
        <w:rPr>
          <w:color w:val="0070C0"/>
          <w:sz w:val="16"/>
          <w:szCs w:val="16"/>
          <w:lang w:bidi="ru-RU"/>
        </w:rPr>
        <w:softHyphen/>
        <w:t>ково-пушечного, бомбардировочного и химического вооружения. По заданию на ТШ-1 предполагалось использовать пер</w:t>
      </w:r>
      <w:r w:rsidRPr="00507A31">
        <w:rPr>
          <w:color w:val="0070C0"/>
          <w:sz w:val="16"/>
          <w:szCs w:val="16"/>
          <w:lang w:bidi="ru-RU"/>
        </w:rPr>
        <w:softHyphen/>
        <w:t>спективный отечественный мотор жид</w:t>
      </w:r>
      <w:r w:rsidRPr="00507A31">
        <w:rPr>
          <w:color w:val="0070C0"/>
          <w:sz w:val="16"/>
          <w:szCs w:val="16"/>
          <w:lang w:bidi="ru-RU"/>
        </w:rPr>
        <w:softHyphen/>
        <w:t>костного охлаждения М-34 (750/800 л.с.) конструкции А.А. Микулина, который планировалось выпускать массово.</w:t>
      </w:r>
    </w:p>
    <w:p w14:paraId="3713CB38" w14:textId="77777777" w:rsidR="00A96C2D" w:rsidRPr="00507A31" w:rsidRDefault="00A96C2D" w:rsidP="00507A31">
      <w:pPr>
        <w:jc w:val="both"/>
        <w:rPr>
          <w:color w:val="0070C0"/>
          <w:sz w:val="16"/>
          <w:szCs w:val="16"/>
        </w:rPr>
      </w:pPr>
      <w:r w:rsidRPr="00507A31">
        <w:rPr>
          <w:color w:val="0070C0"/>
          <w:sz w:val="16"/>
          <w:szCs w:val="16"/>
          <w:lang w:bidi="ru-RU"/>
        </w:rPr>
        <w:t>По первоначальным требованиям во</w:t>
      </w:r>
      <w:r w:rsidRPr="00507A31">
        <w:rPr>
          <w:color w:val="0070C0"/>
          <w:sz w:val="16"/>
          <w:szCs w:val="16"/>
          <w:lang w:bidi="ru-RU"/>
        </w:rPr>
        <w:softHyphen/>
        <w:t>енные предполагали забронировать ме</w:t>
      </w:r>
      <w:r w:rsidRPr="00507A31">
        <w:rPr>
          <w:color w:val="0070C0"/>
          <w:sz w:val="16"/>
          <w:szCs w:val="16"/>
          <w:lang w:bidi="ru-RU"/>
        </w:rPr>
        <w:softHyphen/>
        <w:t>ста экипажа (два летчика, летнаб и стре</w:t>
      </w:r>
      <w:r w:rsidRPr="00507A31">
        <w:rPr>
          <w:color w:val="0070C0"/>
          <w:sz w:val="16"/>
          <w:szCs w:val="16"/>
          <w:lang w:bidi="ru-RU"/>
        </w:rPr>
        <w:softHyphen/>
        <w:t>лок-радист), моторы и бензобаки таким образом, «чтобы броня защищала от по</w:t>
      </w:r>
      <w:r w:rsidRPr="00507A31">
        <w:rPr>
          <w:color w:val="0070C0"/>
          <w:sz w:val="16"/>
          <w:szCs w:val="16"/>
          <w:lang w:bidi="ru-RU"/>
        </w:rPr>
        <w:softHyphen/>
        <w:t>ражений при стрельбе из пулеметов и винтовок бронепулями 7,62 мм на всех дистанциях».</w:t>
      </w:r>
    </w:p>
    <w:p w14:paraId="0D67F9BD" w14:textId="77777777" w:rsidR="00A96C2D" w:rsidRPr="00507A31" w:rsidRDefault="00A96C2D" w:rsidP="00507A31">
      <w:pPr>
        <w:jc w:val="both"/>
        <w:rPr>
          <w:color w:val="0070C0"/>
          <w:sz w:val="16"/>
          <w:szCs w:val="16"/>
        </w:rPr>
      </w:pPr>
      <w:r w:rsidRPr="00507A31">
        <w:rPr>
          <w:color w:val="0070C0"/>
          <w:sz w:val="16"/>
          <w:szCs w:val="16"/>
          <w:lang w:bidi="ru-RU"/>
        </w:rPr>
        <w:t>В частности, «снизу фюзеляжа под ка</w:t>
      </w:r>
      <w:r w:rsidRPr="00507A31">
        <w:rPr>
          <w:color w:val="0070C0"/>
          <w:sz w:val="16"/>
          <w:szCs w:val="16"/>
          <w:lang w:bidi="ru-RU"/>
        </w:rPr>
        <w:softHyphen/>
        <w:t>ждой кабиной устанавливаются постоян</w:t>
      </w:r>
      <w:r w:rsidRPr="00507A31">
        <w:rPr>
          <w:color w:val="0070C0"/>
          <w:sz w:val="16"/>
          <w:szCs w:val="16"/>
          <w:lang w:bidi="ru-RU"/>
        </w:rPr>
        <w:softHyphen/>
        <w:t>ные броневые щиты толщиной 16 мм и площадью около 1 м2, по бокам кабин на фюзеляже устанавливаются съемные бро</w:t>
      </w:r>
      <w:r w:rsidRPr="00507A31">
        <w:rPr>
          <w:color w:val="0070C0"/>
          <w:sz w:val="16"/>
          <w:szCs w:val="16"/>
          <w:lang w:bidi="ru-RU"/>
        </w:rPr>
        <w:softHyphen/>
        <w:t>невые щиты толщиной 8 мм, каждый щит около 1 м2». Такой же щит устанавлива</w:t>
      </w:r>
      <w:r w:rsidRPr="00507A31">
        <w:rPr>
          <w:color w:val="0070C0"/>
          <w:sz w:val="16"/>
          <w:szCs w:val="16"/>
          <w:lang w:bidi="ru-RU"/>
        </w:rPr>
        <w:softHyphen/>
        <w:t>ется в носовой части самолета для предо</w:t>
      </w:r>
      <w:r w:rsidRPr="00507A31">
        <w:rPr>
          <w:color w:val="0070C0"/>
          <w:sz w:val="16"/>
          <w:szCs w:val="16"/>
          <w:lang w:bidi="ru-RU"/>
        </w:rPr>
        <w:softHyphen/>
        <w:t>хранения переднего стрелка от ружейно</w:t>
      </w:r>
      <w:r w:rsidRPr="00507A31">
        <w:rPr>
          <w:color w:val="0070C0"/>
          <w:sz w:val="16"/>
          <w:szCs w:val="16"/>
          <w:lang w:bidi="ru-RU"/>
        </w:rPr>
        <w:softHyphen/>
        <w:t>пулеметного огня и осколков зенитных снарядов спереди. Со стороны задней по</w:t>
      </w:r>
      <w:r w:rsidRPr="00507A31">
        <w:rPr>
          <w:color w:val="0070C0"/>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68E48BB1" w14:textId="77777777" w:rsidR="00A96C2D" w:rsidRPr="00507A31" w:rsidRDefault="00A96C2D" w:rsidP="00507A31">
      <w:pPr>
        <w:jc w:val="both"/>
        <w:rPr>
          <w:color w:val="0070C0"/>
          <w:sz w:val="16"/>
          <w:szCs w:val="16"/>
        </w:rPr>
      </w:pPr>
      <w:r w:rsidRPr="00507A31">
        <w:rPr>
          <w:color w:val="0070C0"/>
          <w:sz w:val="16"/>
          <w:szCs w:val="16"/>
          <w:lang w:bidi="ru-RU"/>
        </w:rPr>
        <w:t>Моторы предлагалось защитить бро</w:t>
      </w:r>
      <w:r w:rsidRPr="00507A31">
        <w:rPr>
          <w:color w:val="0070C0"/>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22D002CF" w14:textId="77777777" w:rsidR="00A96C2D" w:rsidRPr="00507A31" w:rsidRDefault="00A96C2D" w:rsidP="00507A31">
      <w:pPr>
        <w:jc w:val="both"/>
        <w:rPr>
          <w:color w:val="0070C0"/>
          <w:sz w:val="16"/>
          <w:szCs w:val="16"/>
        </w:rPr>
      </w:pPr>
      <w:r w:rsidRPr="00507A31">
        <w:rPr>
          <w:color w:val="0070C0"/>
          <w:sz w:val="16"/>
          <w:szCs w:val="16"/>
          <w:lang w:bidi="ru-RU"/>
        </w:rPr>
        <w:t>Общий вес брони достигал 1000 кг. Считалось, что часть брони должна вклю</w:t>
      </w:r>
      <w:r w:rsidRPr="00507A31">
        <w:rPr>
          <w:color w:val="0070C0"/>
          <w:sz w:val="16"/>
          <w:szCs w:val="16"/>
          <w:lang w:bidi="ru-RU"/>
        </w:rPr>
        <w:softHyphen/>
        <w:t>чаться в силовую схему конструкции са</w:t>
      </w:r>
      <w:r w:rsidRPr="00507A31">
        <w:rPr>
          <w:color w:val="0070C0"/>
          <w:sz w:val="16"/>
          <w:szCs w:val="16"/>
          <w:lang w:bidi="ru-RU"/>
        </w:rPr>
        <w:softHyphen/>
        <w:t>молета - «идти в счет веса конструкции», а съемная часть брони - «идти в счет веса горючего».</w:t>
      </w:r>
    </w:p>
    <w:p w14:paraId="21087C31" w14:textId="77777777" w:rsidR="00A96C2D" w:rsidRPr="00507A31" w:rsidRDefault="00A96C2D" w:rsidP="00507A31">
      <w:pPr>
        <w:jc w:val="both"/>
        <w:rPr>
          <w:color w:val="0070C0"/>
          <w:sz w:val="16"/>
          <w:szCs w:val="16"/>
        </w:rPr>
      </w:pPr>
      <w:r w:rsidRPr="00507A31">
        <w:rPr>
          <w:color w:val="0070C0"/>
          <w:sz w:val="16"/>
          <w:szCs w:val="16"/>
          <w:lang w:bidi="ru-RU"/>
        </w:rPr>
        <w:t>Повышение боевой живучести само</w:t>
      </w:r>
      <w:r w:rsidRPr="00507A31">
        <w:rPr>
          <w:color w:val="0070C0"/>
          <w:sz w:val="16"/>
          <w:szCs w:val="16"/>
          <w:lang w:bidi="ru-RU"/>
        </w:rPr>
        <w:softHyphen/>
        <w:t>лета, помимо бронирования, предпола</w:t>
      </w:r>
      <w:r w:rsidRPr="00507A31">
        <w:rPr>
          <w:color w:val="0070C0"/>
          <w:sz w:val="16"/>
          <w:szCs w:val="16"/>
          <w:lang w:bidi="ru-RU"/>
        </w:rPr>
        <w:softHyphen/>
        <w:t>галось обеспечить и за счет применения цельнометаллической конструкции, кото</w:t>
      </w:r>
      <w:r w:rsidRPr="00507A31">
        <w:rPr>
          <w:color w:val="0070C0"/>
          <w:sz w:val="16"/>
          <w:szCs w:val="16"/>
          <w:lang w:bidi="ru-RU"/>
        </w:rPr>
        <w:softHyphen/>
        <w:t>рая «должна стремиться к максимальному обеспечению сохранения свойств само</w:t>
      </w:r>
      <w:r w:rsidRPr="00507A31">
        <w:rPr>
          <w:color w:val="0070C0"/>
          <w:sz w:val="16"/>
          <w:szCs w:val="16"/>
          <w:lang w:bidi="ru-RU"/>
        </w:rPr>
        <w:softHyphen/>
        <w:t>лета после попадания в небронирован</w:t>
      </w:r>
      <w:r w:rsidRPr="00507A31">
        <w:rPr>
          <w:color w:val="0070C0"/>
          <w:sz w:val="16"/>
          <w:szCs w:val="16"/>
          <w:lang w:bidi="ru-RU"/>
        </w:rPr>
        <w:softHyphen/>
        <w:t>ные участки пуль простых, зажигательных и трассировочных». С этой же целью кон</w:t>
      </w:r>
      <w:r w:rsidRPr="00507A31">
        <w:rPr>
          <w:color w:val="0070C0"/>
          <w:sz w:val="16"/>
          <w:szCs w:val="16"/>
          <w:lang w:bidi="ru-RU"/>
        </w:rPr>
        <w:softHyphen/>
        <w:t>струкция крыла должна быть многолонже</w:t>
      </w:r>
      <w:r w:rsidRPr="00507A31">
        <w:rPr>
          <w:color w:val="0070C0"/>
          <w:sz w:val="16"/>
          <w:szCs w:val="16"/>
          <w:lang w:bidi="ru-RU"/>
        </w:rPr>
        <w:softHyphen/>
        <w:t>ронной, «проводки управления рулем вы</w:t>
      </w:r>
      <w:r w:rsidRPr="00507A31">
        <w:rPr>
          <w:color w:val="0070C0"/>
          <w:sz w:val="16"/>
          <w:szCs w:val="16"/>
          <w:lang w:bidi="ru-RU"/>
        </w:rPr>
        <w:softHyphen/>
        <w:t>соты и направления должны иметь двой</w:t>
      </w:r>
      <w:r w:rsidRPr="00507A31">
        <w:rPr>
          <w:color w:val="0070C0"/>
          <w:sz w:val="16"/>
          <w:szCs w:val="16"/>
          <w:lang w:bidi="ru-RU"/>
        </w:rPr>
        <w:softHyphen/>
        <w:t>ные магистрали, обеспечивающие управ</w:t>
      </w:r>
      <w:r w:rsidRPr="00507A31">
        <w:rPr>
          <w:color w:val="0070C0"/>
          <w:sz w:val="16"/>
          <w:szCs w:val="16"/>
          <w:lang w:bidi="ru-RU"/>
        </w:rPr>
        <w:softHyphen/>
        <w:t>ляемость самолета при перебитии одной из них», а «проводка управления элеро</w:t>
      </w:r>
      <w:r w:rsidRPr="00507A31">
        <w:rPr>
          <w:color w:val="0070C0"/>
          <w:sz w:val="16"/>
          <w:szCs w:val="16"/>
          <w:lang w:bidi="ru-RU"/>
        </w:rPr>
        <w:softHyphen/>
        <w:t>нами должна обеспечить отключение од</w:t>
      </w:r>
      <w:r w:rsidRPr="00507A31">
        <w:rPr>
          <w:color w:val="0070C0"/>
          <w:sz w:val="16"/>
          <w:szCs w:val="16"/>
          <w:lang w:bidi="ru-RU"/>
        </w:rPr>
        <w:softHyphen/>
        <w:t>ного из них при его поражении».</w:t>
      </w:r>
    </w:p>
    <w:p w14:paraId="5D913818" w14:textId="77777777" w:rsidR="00A96C2D" w:rsidRPr="00507A31" w:rsidRDefault="00A96C2D" w:rsidP="00507A31">
      <w:pPr>
        <w:jc w:val="both"/>
        <w:rPr>
          <w:color w:val="0070C0"/>
          <w:sz w:val="16"/>
          <w:szCs w:val="16"/>
        </w:rPr>
      </w:pPr>
      <w:r w:rsidRPr="00507A31">
        <w:rPr>
          <w:color w:val="0070C0"/>
          <w:sz w:val="16"/>
          <w:szCs w:val="16"/>
          <w:lang w:bidi="ru-RU"/>
        </w:rPr>
        <w:t>В обязательном порядке «кабины эки</w:t>
      </w:r>
      <w:r w:rsidRPr="00507A31">
        <w:rPr>
          <w:color w:val="0070C0"/>
          <w:sz w:val="16"/>
          <w:szCs w:val="16"/>
          <w:lang w:bidi="ru-RU"/>
        </w:rPr>
        <w:softHyphen/>
        <w:t>пажа должны быть отделены от бензоба</w:t>
      </w:r>
      <w:r w:rsidRPr="00507A31">
        <w:rPr>
          <w:color w:val="0070C0"/>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507A31">
        <w:rPr>
          <w:color w:val="0070C0"/>
          <w:sz w:val="16"/>
          <w:szCs w:val="16"/>
          <w:lang w:bidi="ru-RU"/>
        </w:rPr>
        <w:softHyphen/>
        <w:t>дый мотор предполагалось иметь не ме</w:t>
      </w:r>
      <w:r w:rsidRPr="00507A31">
        <w:rPr>
          <w:color w:val="0070C0"/>
          <w:sz w:val="16"/>
          <w:szCs w:val="16"/>
          <w:lang w:bidi="ru-RU"/>
        </w:rPr>
        <w:softHyphen/>
        <w:t>нее четырех таких баков).</w:t>
      </w:r>
    </w:p>
    <w:p w14:paraId="2721D7D2" w14:textId="77777777" w:rsidR="00A96C2D" w:rsidRPr="00507A31" w:rsidRDefault="00A96C2D" w:rsidP="00507A31">
      <w:pPr>
        <w:jc w:val="both"/>
        <w:rPr>
          <w:color w:val="0070C0"/>
          <w:sz w:val="16"/>
          <w:szCs w:val="16"/>
        </w:rPr>
      </w:pPr>
      <w:r w:rsidRPr="00507A31">
        <w:rPr>
          <w:color w:val="0070C0"/>
          <w:sz w:val="16"/>
          <w:szCs w:val="16"/>
          <w:lang w:bidi="ru-RU"/>
        </w:rPr>
        <w:t>Планировалось, что самолет будет иметь двойное управление («с левого и правого рабочих мест экипажа»), хоро</w:t>
      </w:r>
      <w:r w:rsidRPr="00507A31">
        <w:rPr>
          <w:color w:val="0070C0"/>
          <w:sz w:val="16"/>
          <w:szCs w:val="16"/>
          <w:lang w:bidi="ru-RU"/>
        </w:rPr>
        <w:softHyphen/>
        <w:t>ший обзор летчикам («как в бок, так впе</w:t>
      </w:r>
      <w:r w:rsidRPr="00507A31">
        <w:rPr>
          <w:color w:val="0070C0"/>
          <w:sz w:val="16"/>
          <w:szCs w:val="16"/>
          <w:lang w:bidi="ru-RU"/>
        </w:rPr>
        <w:softHyphen/>
        <w:t>ред и вниз»), тормозные колеса («с от</w:t>
      </w:r>
      <w:r w:rsidRPr="00507A31">
        <w:rPr>
          <w:color w:val="0070C0"/>
          <w:sz w:val="16"/>
          <w:szCs w:val="16"/>
          <w:lang w:bidi="ru-RU"/>
        </w:rPr>
        <w:softHyphen/>
        <w:t>дельной проводкой на каждое колесо и с механизмом, предохраняющим само</w:t>
      </w:r>
      <w:r w:rsidRPr="00507A31">
        <w:rPr>
          <w:color w:val="0070C0"/>
          <w:sz w:val="16"/>
          <w:szCs w:val="16"/>
          <w:lang w:bidi="ru-RU"/>
        </w:rPr>
        <w:softHyphen/>
        <w:t>лет от капотажа»), специальные глушители для бесшумного полета.</w:t>
      </w:r>
    </w:p>
    <w:p w14:paraId="58616ABB" w14:textId="77777777" w:rsidR="00A96C2D" w:rsidRPr="00507A31" w:rsidRDefault="00A96C2D" w:rsidP="00507A31">
      <w:pPr>
        <w:jc w:val="both"/>
        <w:rPr>
          <w:color w:val="0070C0"/>
          <w:sz w:val="16"/>
          <w:szCs w:val="16"/>
        </w:rPr>
      </w:pPr>
      <w:r w:rsidRPr="00507A31">
        <w:rPr>
          <w:color w:val="0070C0"/>
          <w:sz w:val="16"/>
          <w:szCs w:val="16"/>
          <w:lang w:bidi="ru-RU"/>
        </w:rPr>
        <w:t>Самолет должен был продолжать го</w:t>
      </w:r>
      <w:r w:rsidRPr="00507A31">
        <w:rPr>
          <w:color w:val="0070C0"/>
          <w:sz w:val="16"/>
          <w:szCs w:val="16"/>
          <w:lang w:bidi="ru-RU"/>
        </w:rPr>
        <w:softHyphen/>
        <w:t>ризонтальный полет при одном работаю</w:t>
      </w:r>
      <w:r w:rsidRPr="00507A31">
        <w:rPr>
          <w:color w:val="0070C0"/>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2C4860CD" w14:textId="77777777" w:rsidR="00A96C2D" w:rsidRPr="00507A31" w:rsidRDefault="00A96C2D" w:rsidP="00507A31">
      <w:pPr>
        <w:jc w:val="both"/>
        <w:rPr>
          <w:color w:val="0070C0"/>
          <w:sz w:val="16"/>
          <w:szCs w:val="16"/>
        </w:rPr>
      </w:pPr>
      <w:r w:rsidRPr="00507A31">
        <w:rPr>
          <w:color w:val="0070C0"/>
          <w:sz w:val="16"/>
          <w:szCs w:val="16"/>
          <w:lang w:bidi="ru-RU"/>
        </w:rPr>
        <w:lastRenderedPageBreak/>
        <w:t>Требовалось, чтобы самолет обладал продольной устойчивостью «на всех ре</w:t>
      </w:r>
      <w:r w:rsidRPr="00507A31">
        <w:rPr>
          <w:color w:val="0070C0"/>
          <w:sz w:val="16"/>
          <w:szCs w:val="16"/>
          <w:lang w:bidi="ru-RU"/>
        </w:rPr>
        <w:softHyphen/>
        <w:t>жимах от крутого планирования до по</w:t>
      </w:r>
      <w:r w:rsidRPr="00507A31">
        <w:rPr>
          <w:color w:val="0070C0"/>
          <w:sz w:val="16"/>
          <w:szCs w:val="16"/>
          <w:lang w:bidi="ru-RU"/>
        </w:rPr>
        <w:softHyphen/>
        <w:t>садочного угла для всех присущих ему вариантов нагрузки», а также попереч</w:t>
      </w:r>
      <w:r w:rsidRPr="00507A31">
        <w:rPr>
          <w:color w:val="0070C0"/>
          <w:sz w:val="16"/>
          <w:szCs w:val="16"/>
          <w:lang w:bidi="ru-RU"/>
        </w:rPr>
        <w:softHyphen/>
        <w:t>ной и путевой устойчивостью «на всех скоростях от посадочной до крутого планирования».</w:t>
      </w:r>
    </w:p>
    <w:p w14:paraId="6FB65C48" w14:textId="77777777" w:rsidR="00A96C2D" w:rsidRPr="00507A31" w:rsidRDefault="00A96C2D" w:rsidP="00507A31">
      <w:pPr>
        <w:jc w:val="both"/>
        <w:rPr>
          <w:color w:val="0070C0"/>
          <w:sz w:val="16"/>
          <w:szCs w:val="16"/>
        </w:rPr>
      </w:pPr>
      <w:r w:rsidRPr="00507A31">
        <w:rPr>
          <w:color w:val="0070C0"/>
          <w:sz w:val="16"/>
          <w:szCs w:val="16"/>
          <w:lang w:bidi="ru-RU"/>
        </w:rPr>
        <w:t>При выполнении всех фигур пило</w:t>
      </w:r>
      <w:r w:rsidRPr="00507A31">
        <w:rPr>
          <w:color w:val="0070C0"/>
          <w:sz w:val="16"/>
          <w:szCs w:val="16"/>
          <w:lang w:bidi="ru-RU"/>
        </w:rPr>
        <w:softHyphen/>
        <w:t>тажа («присущих данному самолету») на высоте 1000 м нагрузка в канале управ</w:t>
      </w:r>
      <w:r w:rsidRPr="00507A31">
        <w:rPr>
          <w:color w:val="0070C0"/>
          <w:sz w:val="16"/>
          <w:szCs w:val="16"/>
          <w:lang w:bidi="ru-RU"/>
        </w:rPr>
        <w:softHyphen/>
        <w:t>ления рулем высоты ограничивалась 6 кг, элеронами - 4 кг (штурвальное управле</w:t>
      </w:r>
      <w:r w:rsidRPr="00507A31">
        <w:rPr>
          <w:color w:val="0070C0"/>
          <w:sz w:val="16"/>
          <w:szCs w:val="16"/>
          <w:lang w:bidi="ru-RU"/>
        </w:rPr>
        <w:softHyphen/>
        <w:t>ние), и рулем поворота (ножное управле</w:t>
      </w:r>
      <w:r w:rsidRPr="00507A31">
        <w:rPr>
          <w:color w:val="0070C0"/>
          <w:sz w:val="16"/>
          <w:szCs w:val="16"/>
          <w:lang w:bidi="ru-RU"/>
        </w:rPr>
        <w:softHyphen/>
        <w:t>ние) - 8 кг.</w:t>
      </w:r>
    </w:p>
    <w:p w14:paraId="41FF1EC2" w14:textId="77777777" w:rsidR="00A96C2D" w:rsidRPr="00507A31" w:rsidRDefault="00A96C2D" w:rsidP="00507A31">
      <w:pPr>
        <w:jc w:val="both"/>
        <w:rPr>
          <w:color w:val="0070C0"/>
          <w:sz w:val="16"/>
          <w:szCs w:val="16"/>
        </w:rPr>
      </w:pPr>
      <w:r w:rsidRPr="00507A31">
        <w:rPr>
          <w:color w:val="0070C0"/>
          <w:sz w:val="16"/>
          <w:szCs w:val="16"/>
          <w:lang w:bidi="ru-RU"/>
        </w:rPr>
        <w:t>Посадочная скорость устанавливалась в пределах 90 км/ч. Пробег при использо</w:t>
      </w:r>
      <w:r w:rsidRPr="00507A31">
        <w:rPr>
          <w:color w:val="0070C0"/>
          <w:sz w:val="16"/>
          <w:szCs w:val="16"/>
          <w:lang w:bidi="ru-RU"/>
        </w:rPr>
        <w:softHyphen/>
        <w:t>вании тормозов не более 80 м, без тормо</w:t>
      </w:r>
      <w:r w:rsidRPr="00507A31">
        <w:rPr>
          <w:color w:val="0070C0"/>
          <w:sz w:val="16"/>
          <w:szCs w:val="16"/>
          <w:lang w:bidi="ru-RU"/>
        </w:rPr>
        <w:softHyphen/>
        <w:t>зов - 200 м. Разбег - не более 150 м. Раз</w:t>
      </w:r>
      <w:r w:rsidRPr="00507A31">
        <w:rPr>
          <w:color w:val="0070C0"/>
          <w:sz w:val="16"/>
          <w:szCs w:val="16"/>
          <w:lang w:bidi="ru-RU"/>
        </w:rPr>
        <w:softHyphen/>
        <w:t>бег и пробег должны быть устойчивыми без тенденции к резким разворотам.</w:t>
      </w:r>
    </w:p>
    <w:p w14:paraId="734BC1D4" w14:textId="77777777" w:rsidR="00A96C2D" w:rsidRPr="00507A31" w:rsidRDefault="00A96C2D" w:rsidP="00507A31">
      <w:pPr>
        <w:jc w:val="both"/>
        <w:rPr>
          <w:color w:val="0070C0"/>
          <w:sz w:val="16"/>
          <w:szCs w:val="16"/>
        </w:rPr>
      </w:pPr>
      <w:r w:rsidRPr="00507A31">
        <w:rPr>
          <w:color w:val="0070C0"/>
          <w:sz w:val="16"/>
          <w:szCs w:val="16"/>
          <w:lang w:bidi="ru-RU"/>
        </w:rPr>
        <w:t>Стрелково-пушечное вооружение включало динамореактивную (безоткат</w:t>
      </w:r>
      <w:r w:rsidRPr="00507A31">
        <w:rPr>
          <w:color w:val="0070C0"/>
          <w:sz w:val="16"/>
          <w:szCs w:val="16"/>
          <w:lang w:bidi="ru-RU"/>
        </w:rPr>
        <w:softHyphen/>
        <w:t>ную) пушку калибра 76,2 мм конструк</w:t>
      </w:r>
      <w:r w:rsidRPr="00507A31">
        <w:rPr>
          <w:color w:val="0070C0"/>
          <w:sz w:val="16"/>
          <w:szCs w:val="16"/>
          <w:lang w:bidi="ru-RU"/>
        </w:rPr>
        <w:softHyphen/>
        <w:t>ции Л.В. Курчевского (боекомплект 20 па</w:t>
      </w:r>
      <w:r w:rsidRPr="00507A31">
        <w:rPr>
          <w:color w:val="0070C0"/>
          <w:sz w:val="16"/>
          <w:szCs w:val="16"/>
          <w:lang w:bidi="ru-RU"/>
        </w:rPr>
        <w:softHyphen/>
        <w:t>трон), четыре неподвижных пулемета ПВ-1 в крыле (1000 патрон), две под</w:t>
      </w:r>
      <w:r w:rsidRPr="00507A31">
        <w:rPr>
          <w:color w:val="0070C0"/>
          <w:sz w:val="16"/>
          <w:szCs w:val="16"/>
          <w:lang w:bidi="ru-RU"/>
        </w:rPr>
        <w:softHyphen/>
        <w:t>вижные спарки пулеметов ДА на турелях ТУР-10 и ТУР-8 в носовой кабине у лет- наба и задней стрелка-радиста (по 24 ма</w:t>
      </w:r>
      <w:r w:rsidRPr="00507A31">
        <w:rPr>
          <w:color w:val="0070C0"/>
          <w:sz w:val="16"/>
          <w:szCs w:val="16"/>
          <w:lang w:bidi="ru-RU"/>
        </w:rPr>
        <w:softHyphen/>
        <w:t>газина на 63 патрон каждый).</w:t>
      </w:r>
    </w:p>
    <w:p w14:paraId="3C57DB8D" w14:textId="77777777" w:rsidR="00A96C2D" w:rsidRPr="00507A31" w:rsidRDefault="00A96C2D" w:rsidP="00507A31">
      <w:pPr>
        <w:jc w:val="both"/>
        <w:rPr>
          <w:color w:val="0070C0"/>
          <w:sz w:val="16"/>
          <w:szCs w:val="16"/>
        </w:rPr>
      </w:pPr>
      <w:r w:rsidRPr="00507A31">
        <w:rPr>
          <w:color w:val="0070C0"/>
          <w:sz w:val="16"/>
          <w:szCs w:val="16"/>
          <w:lang w:bidi="ru-RU"/>
        </w:rPr>
        <w:t>Бомбовая нагрузка достигала 1000</w:t>
      </w:r>
      <w:r w:rsidRPr="00507A31">
        <w:rPr>
          <w:color w:val="0070C0"/>
          <w:sz w:val="16"/>
          <w:szCs w:val="16"/>
          <w:lang w:bidi="ru-RU"/>
        </w:rPr>
        <w:softHyphen/>
        <w:t>1500 кг (как мелких, так и крупных ка</w:t>
      </w:r>
      <w:r w:rsidRPr="00507A31">
        <w:rPr>
          <w:color w:val="0070C0"/>
          <w:sz w:val="16"/>
          <w:szCs w:val="16"/>
          <w:lang w:bidi="ru-RU"/>
        </w:rPr>
        <w:softHyphen/>
        <w:t>либров - от 2 кг до 250 кг). Бомбы кали</w:t>
      </w:r>
      <w:r w:rsidRPr="00507A31">
        <w:rPr>
          <w:color w:val="0070C0"/>
          <w:sz w:val="16"/>
          <w:szCs w:val="16"/>
          <w:lang w:bidi="ru-RU"/>
        </w:rPr>
        <w:softHyphen/>
        <w:t>бров 2 и 10 кг загружались в специаль</w:t>
      </w:r>
      <w:r w:rsidRPr="00507A31">
        <w:rPr>
          <w:color w:val="0070C0"/>
          <w:sz w:val="16"/>
          <w:szCs w:val="16"/>
          <w:lang w:bidi="ru-RU"/>
        </w:rPr>
        <w:softHyphen/>
        <w:t>ные кассеты внутри фюзеляжа и в крыле, бомбы калибра 50 кг «желательно разме</w:t>
      </w:r>
      <w:r w:rsidRPr="00507A31">
        <w:rPr>
          <w:color w:val="0070C0"/>
          <w:sz w:val="16"/>
          <w:szCs w:val="16"/>
          <w:lang w:bidi="ru-RU"/>
        </w:rPr>
        <w:softHyphen/>
        <w:t>стить в кассетах», а бомбы калибра 100 и 250 кг подвешивались на внешних держа</w:t>
      </w:r>
      <w:r w:rsidRPr="00507A31">
        <w:rPr>
          <w:color w:val="0070C0"/>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507A31">
        <w:rPr>
          <w:color w:val="0070C0"/>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507A31">
        <w:rPr>
          <w:color w:val="0070C0"/>
          <w:sz w:val="16"/>
          <w:szCs w:val="16"/>
          <w:lang w:bidi="ru-RU"/>
        </w:rPr>
        <w:softHyphen/>
        <w:t>бров. Сброс бомб - одиночно и сериями.</w:t>
      </w:r>
    </w:p>
    <w:p w14:paraId="118E7BAE" w14:textId="77777777" w:rsidR="00A96C2D" w:rsidRPr="00507A31" w:rsidRDefault="00A96C2D" w:rsidP="00507A31">
      <w:pPr>
        <w:jc w:val="both"/>
        <w:rPr>
          <w:color w:val="0070C0"/>
          <w:sz w:val="16"/>
          <w:szCs w:val="16"/>
        </w:rPr>
      </w:pPr>
      <w:r w:rsidRPr="00507A31">
        <w:rPr>
          <w:color w:val="0070C0"/>
          <w:sz w:val="16"/>
          <w:szCs w:val="16"/>
          <w:lang w:bidi="ru-RU"/>
        </w:rPr>
        <w:t>Вместо бомб под крылом допускалась подвеска выливных, дымовых и зажига</w:t>
      </w:r>
      <w:r w:rsidRPr="00507A31">
        <w:rPr>
          <w:color w:val="0070C0"/>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222B7251" w14:textId="77777777" w:rsidR="00A96C2D" w:rsidRPr="00507A31" w:rsidRDefault="00A96C2D" w:rsidP="00507A31">
      <w:pPr>
        <w:jc w:val="both"/>
        <w:rPr>
          <w:color w:val="0070C0"/>
          <w:sz w:val="16"/>
          <w:szCs w:val="16"/>
        </w:rPr>
      </w:pPr>
      <w:r w:rsidRPr="00507A31">
        <w:rPr>
          <w:color w:val="0070C0"/>
          <w:sz w:val="16"/>
          <w:szCs w:val="16"/>
          <w:lang w:bidi="ru-RU"/>
        </w:rPr>
        <w:t>Динамореактивную пушку Кручевского предполагалось устанавливать под углом 13° вперед-вниз к оси само</w:t>
      </w:r>
      <w:r w:rsidRPr="00507A31">
        <w:rPr>
          <w:color w:val="0070C0"/>
          <w:sz w:val="16"/>
          <w:szCs w:val="16"/>
          <w:lang w:bidi="ru-RU"/>
        </w:rPr>
        <w:softHyphen/>
        <w:t>лета для стрельбы по наземным целям. Стрельба велась летчиком.</w:t>
      </w:r>
    </w:p>
    <w:p w14:paraId="77CD586D" w14:textId="77777777" w:rsidR="00A96C2D" w:rsidRPr="00507A31" w:rsidRDefault="00A96C2D" w:rsidP="00507A31">
      <w:pPr>
        <w:jc w:val="both"/>
        <w:rPr>
          <w:color w:val="0070C0"/>
          <w:sz w:val="16"/>
          <w:szCs w:val="16"/>
        </w:rPr>
      </w:pPr>
      <w:r w:rsidRPr="00507A31">
        <w:rPr>
          <w:color w:val="0070C0"/>
          <w:sz w:val="16"/>
          <w:szCs w:val="16"/>
          <w:lang w:bidi="ru-RU"/>
        </w:rPr>
        <w:t>Общий вес полезной нагрузки до</w:t>
      </w:r>
      <w:r w:rsidRPr="00507A31">
        <w:rPr>
          <w:color w:val="0070C0"/>
          <w:sz w:val="16"/>
          <w:szCs w:val="16"/>
          <w:lang w:bidi="ru-RU"/>
        </w:rPr>
        <w:softHyphen/>
        <w:t>стигал 3790 кг. Это было слишком много. По расчетам специалистов ЦАГИ полет</w:t>
      </w:r>
      <w:r w:rsidRPr="00507A31">
        <w:rPr>
          <w:color w:val="0070C0"/>
          <w:sz w:val="16"/>
          <w:szCs w:val="16"/>
          <w:lang w:bidi="ru-RU"/>
        </w:rPr>
        <w:softHyphen/>
        <w:t>ный вес самолета в этом случае составлял 7,5-8,0 тонн. При таком весе и соответст</w:t>
      </w:r>
      <w:r w:rsidRPr="00507A31">
        <w:rPr>
          <w:color w:val="0070C0"/>
          <w:sz w:val="16"/>
          <w:szCs w:val="16"/>
          <w:lang w:bidi="ru-RU"/>
        </w:rPr>
        <w:softHyphen/>
        <w:t>вующей размерности машины «ожидать хорошей маневренности и скорости не</w:t>
      </w:r>
      <w:r w:rsidRPr="00507A31">
        <w:rPr>
          <w:color w:val="0070C0"/>
          <w:sz w:val="16"/>
          <w:szCs w:val="16"/>
          <w:lang w:bidi="ru-RU"/>
        </w:rPr>
        <w:softHyphen/>
        <w:t>возможно, тем более что для удовлетво</w:t>
      </w:r>
      <w:r w:rsidRPr="00507A31">
        <w:rPr>
          <w:color w:val="0070C0"/>
          <w:sz w:val="16"/>
          <w:szCs w:val="16"/>
          <w:lang w:bidi="ru-RU"/>
        </w:rPr>
        <w:softHyphen/>
        <w:t>рения тех требований в смысле скорости потребовались бы два мотора по 1250</w:t>
      </w:r>
      <w:r w:rsidRPr="00507A31">
        <w:rPr>
          <w:color w:val="0070C0"/>
          <w:sz w:val="16"/>
          <w:szCs w:val="16"/>
          <w:lang w:bidi="ru-RU"/>
        </w:rPr>
        <w:softHyphen/>
        <w:t>1300 л.с., каковых в данное время ни у нас, ни заграницей не существует». Сле</w:t>
      </w:r>
      <w:r w:rsidRPr="00507A31">
        <w:rPr>
          <w:color w:val="0070C0"/>
          <w:sz w:val="16"/>
          <w:szCs w:val="16"/>
          <w:lang w:bidi="ru-RU"/>
        </w:rPr>
        <w:softHyphen/>
        <w:t>довало уменьшить вес общей нагрузки как минимум на 1500 кг.</w:t>
      </w:r>
    </w:p>
    <w:p w14:paraId="1BC646FC" w14:textId="77777777" w:rsidR="00A96C2D" w:rsidRPr="00507A31" w:rsidRDefault="00A96C2D" w:rsidP="00507A31">
      <w:pPr>
        <w:jc w:val="both"/>
        <w:rPr>
          <w:color w:val="0070C0"/>
          <w:sz w:val="16"/>
          <w:szCs w:val="16"/>
        </w:rPr>
      </w:pPr>
      <w:r w:rsidRPr="00507A31">
        <w:rPr>
          <w:color w:val="0070C0"/>
          <w:sz w:val="16"/>
          <w:szCs w:val="16"/>
          <w:lang w:bidi="ru-RU"/>
        </w:rPr>
        <w:t>Уточненные требования к самолету ТШ-1 предполагали два варианта брони</w:t>
      </w:r>
      <w:r w:rsidRPr="00507A31">
        <w:rPr>
          <w:color w:val="0070C0"/>
          <w:sz w:val="16"/>
          <w:szCs w:val="16"/>
          <w:lang w:bidi="ru-RU"/>
        </w:rPr>
        <w:softHyphen/>
        <w:t>рования. По первому варианту броней за</w:t>
      </w:r>
      <w:r w:rsidRPr="00507A31">
        <w:rPr>
          <w:color w:val="0070C0"/>
          <w:sz w:val="16"/>
          <w:szCs w:val="16"/>
          <w:lang w:bidi="ru-RU"/>
        </w:rPr>
        <w:softHyphen/>
        <w:t>щищались места размещения членов эки</w:t>
      </w:r>
      <w:r w:rsidRPr="00507A31">
        <w:rPr>
          <w:color w:val="0070C0"/>
          <w:sz w:val="16"/>
          <w:szCs w:val="16"/>
          <w:lang w:bidi="ru-RU"/>
        </w:rPr>
        <w:softHyphen/>
        <w:t>пажа и моторы (670 кг не работающей брони и 360 кг брони «в счет конструк</w:t>
      </w:r>
      <w:r w:rsidRPr="00507A31">
        <w:rPr>
          <w:color w:val="0070C0"/>
          <w:sz w:val="16"/>
          <w:szCs w:val="16"/>
          <w:lang w:bidi="ru-RU"/>
        </w:rPr>
        <w:softHyphen/>
        <w:t>ции самолета»), а по второму варианту - только места экипажа (420 кг брони и 150 кг «в счет конструкции»).</w:t>
      </w:r>
    </w:p>
    <w:p w14:paraId="209DEEEA" w14:textId="77777777" w:rsidR="00A96C2D" w:rsidRPr="00507A31" w:rsidRDefault="00A96C2D" w:rsidP="00507A31">
      <w:pPr>
        <w:jc w:val="both"/>
        <w:rPr>
          <w:color w:val="0070C0"/>
          <w:sz w:val="16"/>
          <w:szCs w:val="16"/>
        </w:rPr>
      </w:pPr>
      <w:r w:rsidRPr="00507A31">
        <w:rPr>
          <w:color w:val="0070C0"/>
          <w:sz w:val="16"/>
          <w:szCs w:val="16"/>
          <w:lang w:bidi="ru-RU"/>
        </w:rPr>
        <w:t>Второй вариант бронирования «пред</w:t>
      </w:r>
      <w:r w:rsidRPr="00507A31">
        <w:rPr>
          <w:color w:val="0070C0"/>
          <w:sz w:val="16"/>
          <w:szCs w:val="16"/>
          <w:lang w:bidi="ru-RU"/>
        </w:rPr>
        <w:softHyphen/>
        <w:t>усматривался на случай, если по расчетам ЦАГИ невозможно будет получить от са</w:t>
      </w:r>
      <w:r w:rsidRPr="00507A31">
        <w:rPr>
          <w:color w:val="0070C0"/>
          <w:sz w:val="16"/>
          <w:szCs w:val="16"/>
          <w:lang w:bidi="ru-RU"/>
        </w:rPr>
        <w:softHyphen/>
        <w:t>молета требуемые ЛТД при полезной на</w:t>
      </w:r>
      <w:r w:rsidRPr="00507A31">
        <w:rPr>
          <w:color w:val="0070C0"/>
          <w:sz w:val="16"/>
          <w:szCs w:val="16"/>
          <w:lang w:bidi="ru-RU"/>
        </w:rPr>
        <w:softHyphen/>
        <w:t>грузке самолета по первому варианту бронирования».</w:t>
      </w:r>
    </w:p>
    <w:p w14:paraId="65E357C7" w14:textId="77777777" w:rsidR="00A96C2D" w:rsidRPr="00507A31" w:rsidRDefault="00A96C2D" w:rsidP="00507A31">
      <w:pPr>
        <w:jc w:val="both"/>
        <w:rPr>
          <w:color w:val="0070C0"/>
          <w:sz w:val="16"/>
          <w:szCs w:val="16"/>
        </w:rPr>
      </w:pPr>
      <w:r w:rsidRPr="00507A31">
        <w:rPr>
          <w:color w:val="0070C0"/>
          <w:sz w:val="16"/>
          <w:szCs w:val="16"/>
          <w:lang w:bidi="ru-RU"/>
        </w:rPr>
        <w:t>Вместо безоткатной пушки калибра 76,2 мм устанавливалась одна автомати</w:t>
      </w:r>
      <w:r w:rsidRPr="00507A31">
        <w:rPr>
          <w:color w:val="0070C0"/>
          <w:sz w:val="16"/>
          <w:szCs w:val="16"/>
          <w:lang w:bidi="ru-RU"/>
        </w:rPr>
        <w:softHyphen/>
        <w:t>ческая пушка калибра 20 мм (200 патрон) или 37 мм (40 патрон). Боекомплект па</w:t>
      </w:r>
      <w:r w:rsidRPr="00507A31">
        <w:rPr>
          <w:color w:val="0070C0"/>
          <w:sz w:val="16"/>
          <w:szCs w:val="16"/>
          <w:lang w:bidi="ru-RU"/>
        </w:rPr>
        <w:softHyphen/>
        <w:t>трон к пулеметам ДА на турелях у летнаба и стрелка-радиста сокращался до 16 ма</w:t>
      </w:r>
      <w:r w:rsidRPr="00507A31">
        <w:rPr>
          <w:color w:val="0070C0"/>
          <w:sz w:val="16"/>
          <w:szCs w:val="16"/>
          <w:lang w:bidi="ru-RU"/>
        </w:rPr>
        <w:softHyphen/>
        <w:t>газинов. Бомбовая нагрузка осталась прежней: 1000 кг - нормальный вариант загрузки, и 1500 кг - в перегрузку.</w:t>
      </w:r>
    </w:p>
    <w:p w14:paraId="5DAB6627" w14:textId="77777777" w:rsidR="00A96C2D" w:rsidRPr="00507A31" w:rsidRDefault="00A96C2D" w:rsidP="00507A31">
      <w:pPr>
        <w:jc w:val="both"/>
        <w:rPr>
          <w:color w:val="0070C0"/>
          <w:sz w:val="16"/>
          <w:szCs w:val="16"/>
        </w:rPr>
      </w:pPr>
      <w:r w:rsidRPr="00507A31">
        <w:rPr>
          <w:color w:val="0070C0"/>
          <w:sz w:val="16"/>
          <w:szCs w:val="16"/>
          <w:lang w:bidi="ru-RU"/>
        </w:rPr>
        <w:t>От неподвижных крыльевых пулемет</w:t>
      </w:r>
      <w:r w:rsidRPr="00507A31">
        <w:rPr>
          <w:color w:val="0070C0"/>
          <w:sz w:val="16"/>
          <w:szCs w:val="16"/>
          <w:lang w:bidi="ru-RU"/>
        </w:rPr>
        <w:softHyphen/>
        <w:t>ных установок отказались в пользу двух подвесных пулеметных батарей по че</w:t>
      </w:r>
      <w:r w:rsidRPr="00507A31">
        <w:rPr>
          <w:color w:val="0070C0"/>
          <w:sz w:val="16"/>
          <w:szCs w:val="16"/>
          <w:lang w:bidi="ru-RU"/>
        </w:rPr>
        <w:softHyphen/>
        <w:t>тыре пулемета ПВ-1 на каждой (всего 2000 патрон в металлических лентах). Ба</w:t>
      </w:r>
      <w:r w:rsidRPr="00507A31">
        <w:rPr>
          <w:color w:val="0070C0"/>
          <w:sz w:val="16"/>
          <w:szCs w:val="16"/>
          <w:lang w:bidi="ru-RU"/>
        </w:rPr>
        <w:softHyphen/>
        <w:t>тареи подвешивались под фюзеляжем са</w:t>
      </w:r>
      <w:r w:rsidRPr="00507A31">
        <w:rPr>
          <w:color w:val="0070C0"/>
          <w:sz w:val="16"/>
          <w:szCs w:val="16"/>
          <w:lang w:bidi="ru-RU"/>
        </w:rPr>
        <w:softHyphen/>
        <w:t>молета в счет бомбовой нагрузки. Пуле</w:t>
      </w:r>
      <w:r w:rsidRPr="00507A31">
        <w:rPr>
          <w:color w:val="0070C0"/>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507A31">
        <w:rPr>
          <w:color w:val="0070C0"/>
          <w:sz w:val="16"/>
          <w:szCs w:val="16"/>
          <w:lang w:bidi="ru-RU"/>
        </w:rPr>
        <w:softHyphen/>
        <w:t>правлению полета. Предполагалось два варианта управления поворотом пулеме</w:t>
      </w:r>
      <w:r w:rsidRPr="00507A31">
        <w:rPr>
          <w:color w:val="0070C0"/>
          <w:sz w:val="16"/>
          <w:szCs w:val="16"/>
          <w:lang w:bidi="ru-RU"/>
        </w:rPr>
        <w:softHyphen/>
        <w:t>тов: на земле - путем установки необхо</w:t>
      </w:r>
      <w:r w:rsidRPr="00507A31">
        <w:rPr>
          <w:color w:val="0070C0"/>
          <w:sz w:val="16"/>
          <w:szCs w:val="16"/>
          <w:lang w:bidi="ru-RU"/>
        </w:rPr>
        <w:softHyphen/>
        <w:t>димых углов вручную непосредственно перед боевым вылетом, и в полете из ка</w:t>
      </w:r>
      <w:r w:rsidRPr="00507A31">
        <w:rPr>
          <w:color w:val="0070C0"/>
          <w:sz w:val="16"/>
          <w:szCs w:val="16"/>
          <w:lang w:bidi="ru-RU"/>
        </w:rPr>
        <w:softHyphen/>
        <w:t>бины летнаба - при помощи дистанцион</w:t>
      </w:r>
      <w:r w:rsidRPr="00507A31">
        <w:rPr>
          <w:color w:val="0070C0"/>
          <w:sz w:val="16"/>
          <w:szCs w:val="16"/>
          <w:lang w:bidi="ru-RU"/>
        </w:rPr>
        <w:softHyphen/>
        <w:t>ного механизма. Основным считалось ди</w:t>
      </w:r>
      <w:r w:rsidRPr="00507A31">
        <w:rPr>
          <w:color w:val="0070C0"/>
          <w:sz w:val="16"/>
          <w:szCs w:val="16"/>
          <w:lang w:bidi="ru-RU"/>
        </w:rPr>
        <w:softHyphen/>
        <w:t>станционное управление.</w:t>
      </w:r>
    </w:p>
    <w:p w14:paraId="137ABF7C" w14:textId="77777777" w:rsidR="00A96C2D" w:rsidRPr="00507A31" w:rsidRDefault="00A96C2D" w:rsidP="00507A31">
      <w:pPr>
        <w:jc w:val="both"/>
        <w:rPr>
          <w:color w:val="0070C0"/>
          <w:sz w:val="16"/>
          <w:szCs w:val="16"/>
          <w:lang w:bidi="ru-RU"/>
        </w:rPr>
      </w:pPr>
      <w:r w:rsidRPr="00507A31">
        <w:rPr>
          <w:color w:val="0070C0"/>
          <w:sz w:val="16"/>
          <w:szCs w:val="16"/>
          <w:lang w:bidi="ru-RU"/>
        </w:rPr>
        <w:t>С учетом всех изменений вес полез</w:t>
      </w:r>
      <w:r w:rsidRPr="00507A31">
        <w:rPr>
          <w:color w:val="0070C0"/>
          <w:sz w:val="16"/>
          <w:szCs w:val="16"/>
          <w:lang w:bidi="ru-RU"/>
        </w:rPr>
        <w:softHyphen/>
        <w:t>ной нагрузки в зависимости от вариантов бронирования и вооружения сократился до 2379 - 2619 кг (21062).</w:t>
      </w:r>
    </w:p>
    <w:p w14:paraId="6710BF4D" w14:textId="77777777" w:rsidR="00A96C2D" w:rsidRPr="00507A31" w:rsidRDefault="00A96C2D" w:rsidP="00507A31">
      <w:pPr>
        <w:jc w:val="both"/>
        <w:rPr>
          <w:color w:val="0070C0"/>
          <w:sz w:val="16"/>
          <w:szCs w:val="16"/>
        </w:rPr>
      </w:pPr>
    </w:p>
    <w:p w14:paraId="1C33CCB5" w14:textId="77777777" w:rsidR="00A96C2D" w:rsidRPr="00507A31" w:rsidRDefault="00A96C2D"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A40F920" w14:textId="77777777" w:rsidR="00A96C2D" w:rsidRPr="00507A31" w:rsidRDefault="00A96C2D" w:rsidP="00507A31">
      <w:pPr>
        <w:autoSpaceDE w:val="0"/>
        <w:autoSpaceDN w:val="0"/>
        <w:adjustRightInd w:val="0"/>
        <w:jc w:val="both"/>
        <w:rPr>
          <w:iCs/>
          <w:color w:val="000000" w:themeColor="text1"/>
          <w:sz w:val="16"/>
          <w:szCs w:val="16"/>
        </w:rPr>
      </w:pPr>
    </w:p>
    <w:p w14:paraId="79A1EB08" w14:textId="77777777" w:rsidR="00A96C2D" w:rsidRPr="00507A31" w:rsidRDefault="00A96C2D" w:rsidP="00507A31">
      <w:pPr>
        <w:autoSpaceDE w:val="0"/>
        <w:autoSpaceDN w:val="0"/>
        <w:adjustRightInd w:val="0"/>
        <w:jc w:val="both"/>
        <w:rPr>
          <w:color w:val="000000" w:themeColor="text1"/>
          <w:sz w:val="16"/>
          <w:szCs w:val="16"/>
        </w:rPr>
      </w:pPr>
      <w:r w:rsidRPr="00507A31">
        <w:rPr>
          <w:color w:val="000000" w:themeColor="text1"/>
          <w:sz w:val="16"/>
          <w:szCs w:val="16"/>
        </w:rPr>
        <w:t>К началу 1930 пятилетняя программа коллективизации была в основном выполнена, в ряде районов прошла сплошная коллективизация (226,396).</w:t>
      </w:r>
    </w:p>
    <w:p w14:paraId="53C28AC4" w14:textId="77777777" w:rsidR="00A96C2D" w:rsidRPr="00507A31" w:rsidRDefault="00A96C2D" w:rsidP="00507A31">
      <w:pPr>
        <w:autoSpaceDE w:val="0"/>
        <w:autoSpaceDN w:val="0"/>
        <w:adjustRightInd w:val="0"/>
        <w:jc w:val="both"/>
        <w:rPr>
          <w:color w:val="000000" w:themeColor="text1"/>
          <w:sz w:val="16"/>
          <w:szCs w:val="16"/>
        </w:rPr>
      </w:pPr>
    </w:p>
    <w:p w14:paraId="4CB5D04F" w14:textId="77777777" w:rsidR="00A96C2D" w:rsidRPr="00507A31" w:rsidRDefault="00A96C2D"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605422F" w14:textId="77777777" w:rsidR="00A96C2D" w:rsidRPr="00507A31" w:rsidRDefault="00A96C2D" w:rsidP="00507A31">
      <w:pPr>
        <w:autoSpaceDE w:val="0"/>
        <w:autoSpaceDN w:val="0"/>
        <w:adjustRightInd w:val="0"/>
        <w:jc w:val="both"/>
        <w:rPr>
          <w:iCs/>
          <w:color w:val="000000" w:themeColor="text1"/>
          <w:sz w:val="16"/>
          <w:szCs w:val="16"/>
        </w:rPr>
      </w:pPr>
    </w:p>
    <w:p w14:paraId="66224C48" w14:textId="640E8E05" w:rsidR="00C04FDD" w:rsidRPr="00507A31" w:rsidRDefault="00C04FDD" w:rsidP="00507A31">
      <w:pPr>
        <w:jc w:val="both"/>
        <w:rPr>
          <w:color w:val="000000" w:themeColor="text1"/>
          <w:sz w:val="16"/>
          <w:szCs w:val="16"/>
        </w:rPr>
      </w:pPr>
      <w:r w:rsidRPr="00507A31">
        <w:rPr>
          <w:color w:val="000000" w:themeColor="text1"/>
          <w:sz w:val="16"/>
          <w:szCs w:val="16"/>
        </w:rPr>
        <w:t>К январю 1930 г. на заводе «Двигатель» в Ленинграде. собрали 60 торпед ВВС-10/15, в работе находилось еще 30. С марта 1931 г. Остехбюро приступило к испытаниям в районе Качи (20 км от Севастополя), в которых принимали участие два самолета. Первые сбросы торпед с самолета ТБ-1 показали, что система торпедометания работает удовлетворительно. Несмотря на ряд недостатков, комиссия под председательством начальника ВВС ЧМ В.К. Лаврова признала испытания успешными. На совещании, состоявшемся 14 марта 1932 г. у заместителя начальника УВВС Меженинова, приняли решение провести дополнительные испытания, и только после этого торпеда ВВС-10/15 в 1932 г. поступила на вооружение под названием ТАВ-15. Таким образом, к исходу 1932 г. морская авиация располагала ограниченным количеством торпед двух типов, не рассчитанных на вооружение перспективных самолетов и обладавших довольно существенными недостатками, хотя они и применялись на различных тактических учениях (15117).</w:t>
      </w:r>
    </w:p>
    <w:p w14:paraId="4CD5575F" w14:textId="77777777" w:rsidR="00C04FDD" w:rsidRPr="00507A31" w:rsidRDefault="00C04FDD" w:rsidP="00507A31">
      <w:pPr>
        <w:jc w:val="both"/>
        <w:rPr>
          <w:color w:val="000000" w:themeColor="text1"/>
          <w:sz w:val="16"/>
          <w:szCs w:val="16"/>
        </w:rPr>
      </w:pPr>
    </w:p>
    <w:p w14:paraId="14BB02E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56AA856" w14:textId="77777777" w:rsidR="00537E5F" w:rsidRPr="00507A31" w:rsidRDefault="00537E5F" w:rsidP="00507A31">
      <w:pPr>
        <w:autoSpaceDE w:val="0"/>
        <w:autoSpaceDN w:val="0"/>
        <w:adjustRightInd w:val="0"/>
        <w:jc w:val="both"/>
        <w:rPr>
          <w:iCs/>
          <w:color w:val="000000" w:themeColor="text1"/>
          <w:sz w:val="16"/>
          <w:szCs w:val="16"/>
        </w:rPr>
      </w:pPr>
    </w:p>
    <w:p w14:paraId="47C8DE55" w14:textId="4EEEFE8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1 января 1930 г. на завод</w:t>
      </w:r>
      <w:r w:rsidR="00A96C2D" w:rsidRPr="00507A31">
        <w:rPr>
          <w:color w:val="000000" w:themeColor="text1"/>
          <w:sz w:val="16"/>
          <w:szCs w:val="16"/>
        </w:rPr>
        <w:t>е</w:t>
      </w:r>
      <w:r w:rsidRPr="00507A31">
        <w:rPr>
          <w:color w:val="000000" w:themeColor="text1"/>
          <w:sz w:val="16"/>
          <w:szCs w:val="16"/>
        </w:rPr>
        <w:t xml:space="preserve"> № 29 завершили разработку «операционных ведомостей» (технологических карт) для производства двигателя Юпитер.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507A31">
        <w:rPr>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507A31">
        <w:rPr>
          <w:color w:val="000000" w:themeColor="text1"/>
          <w:sz w:val="16"/>
          <w:szCs w:val="16"/>
        </w:rPr>
        <w:softHyphen/>
        <w:t>щие поступали через фирму «Гном-Рон», которая за это получала 5% ко</w:t>
      </w:r>
      <w:r w:rsidRPr="00507A31">
        <w:rPr>
          <w:color w:val="000000" w:themeColor="text1"/>
          <w:sz w:val="16"/>
          <w:szCs w:val="16"/>
        </w:rPr>
        <w:softHyphen/>
        <w:t>миссионных. На первые 10 двигателей приобрели также поковки и отлив</w:t>
      </w:r>
      <w:r w:rsidRPr="00507A31">
        <w:rPr>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507A31">
        <w:rPr>
          <w:color w:val="000000" w:themeColor="text1"/>
          <w:sz w:val="16"/>
          <w:szCs w:val="16"/>
        </w:rPr>
        <w:softHyphen/>
        <w:t>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невзаимозаменяе</w:t>
      </w:r>
      <w:r w:rsidRPr="00507A31">
        <w:rPr>
          <w:color w:val="000000" w:themeColor="text1"/>
          <w:sz w:val="16"/>
          <w:szCs w:val="16"/>
        </w:rPr>
        <w:softHyphen/>
        <w:t>мы ни с французскими, ни с немецкими «Юпитерами». В декабре 1930 г., с опозданием на три месяца против плана, завод вы</w:t>
      </w:r>
      <w:r w:rsidRPr="00507A31">
        <w:rPr>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507A31">
        <w:rPr>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507A31">
        <w:rPr>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507A31">
        <w:rPr>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507A31">
        <w:rPr>
          <w:color w:val="000000" w:themeColor="text1"/>
          <w:sz w:val="16"/>
          <w:szCs w:val="16"/>
        </w:rPr>
        <w:softHyphen/>
        <w:t>ловине 30-х годов (11852).</w:t>
      </w:r>
    </w:p>
    <w:p w14:paraId="00063C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A5430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1930 Согласно решению СНК СССР «Авиазавод АО «Укрвоздухпуть» передан из ликвидированного АО «Укрвоздух</w:t>
      </w:r>
      <w:r w:rsidRPr="00507A31">
        <w:rPr>
          <w:color w:val="000000" w:themeColor="text1"/>
          <w:sz w:val="16"/>
          <w:szCs w:val="16"/>
        </w:rPr>
        <w:softHyphen/>
        <w:t>путь» в ведение Авиатреста ВСНХ СССР, где получил наименование "Харьковский авиазавод» (ХАЗ). Директором завода назначен Н.П.Королев (10674).</w:t>
      </w:r>
    </w:p>
    <w:p w14:paraId="5AD61158" w14:textId="77777777" w:rsidR="00537E5F" w:rsidRPr="00507A31" w:rsidRDefault="00537E5F" w:rsidP="00507A31">
      <w:pPr>
        <w:autoSpaceDE w:val="0"/>
        <w:autoSpaceDN w:val="0"/>
        <w:adjustRightInd w:val="0"/>
        <w:jc w:val="both"/>
        <w:rPr>
          <w:color w:val="000000" w:themeColor="text1"/>
          <w:sz w:val="16"/>
          <w:szCs w:val="16"/>
        </w:rPr>
      </w:pPr>
    </w:p>
    <w:p w14:paraId="616438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 января 1930 года Харьковский авиационный завод был выведен из подчинения УВП и передан Авиатресту. Последовал еще целый ряд организационных преобразований, результатом которых в итоге стал переход завода на централизованное финансирование. При этом выяснилось, что необходимых сумм у государства нет: даже явно заниженные суммы, заложенные в финансовый план, вовремя не выплачивались. При этом от ХАЗа настойчиво требовали расширения производства. Неизвестно, на чем экономили заводчане, но в 1930 все же было развернуто строительство новых производственных площадей. Не потеряла остроты и проблема кадров. Драгоценных для завода инженеров готовило авиационное отделение Технологического института, с 1930 года – Харьковский авиационный институт (ХАИ). Параллельно с кадровыми проблемами решались и социально-бытовые вопросы. 1930 год стал началом жилищного строительства (10674).</w:t>
      </w:r>
    </w:p>
    <w:p w14:paraId="5CE5C954" w14:textId="77777777" w:rsidR="00537E5F" w:rsidRPr="00507A31" w:rsidRDefault="00537E5F" w:rsidP="00507A31">
      <w:pPr>
        <w:autoSpaceDE w:val="0"/>
        <w:autoSpaceDN w:val="0"/>
        <w:adjustRightInd w:val="0"/>
        <w:jc w:val="both"/>
        <w:rPr>
          <w:color w:val="000000" w:themeColor="text1"/>
          <w:sz w:val="16"/>
          <w:szCs w:val="16"/>
        </w:rPr>
      </w:pPr>
    </w:p>
    <w:p w14:paraId="766975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К 1 января 1930 собрали 60 высотных торпед ВВС 10/15, созданных на основе торпеды 1910-1915 (45-15) с усиленным корпусом и с расчетом на три парашюта (стабилизирующий и два тормозных) весом 1340 кг. 30 были в работе. ЮГ-1 ее нести не мог, так как не помещалась и пришлось вешать под ТБ-1 (561,6). Разработка Бекаури, и Т.К.Семенова и И.Н.Борякаева, а теоретические исследования проводили проф. Н.Г.Красноперов и П.И.Оппоков. Делали торпеды на заводе Двигатель в Ленинграде (1966,10).</w:t>
      </w:r>
    </w:p>
    <w:p w14:paraId="46DEF4B2" w14:textId="77777777" w:rsidR="00537E5F" w:rsidRPr="00507A31" w:rsidRDefault="00537E5F" w:rsidP="00507A31">
      <w:pPr>
        <w:autoSpaceDE w:val="0"/>
        <w:autoSpaceDN w:val="0"/>
        <w:adjustRightInd w:val="0"/>
        <w:jc w:val="both"/>
        <w:rPr>
          <w:color w:val="000000" w:themeColor="text1"/>
          <w:sz w:val="16"/>
          <w:szCs w:val="16"/>
        </w:rPr>
      </w:pPr>
    </w:p>
    <w:p w14:paraId="725E2F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 1 января 1930 завод "Двигатель" в Ленинграде сдал 30 мин (из них 20 боевых, снаряженных тротилом) и готовились еще 15. Параллельно с началом производства начался цикл длительных испытаний, обусловленный необходимостью ликвидации большого количества "детских болезней". </w:t>
      </w:r>
    </w:p>
    <w:p w14:paraId="2254DF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Первая советская авиационная мина называлась ВОМИЗА- 100. ВОМИЗА расшифровывалась как "воздушная МИна Заграждения", а цифра "100" означала вес боевого заряда - 100 кг. За основу при ее проектировании взяли проверенную в Первой мировой войне морскую якорную мину образца 1912 г. Ее заряд обеспечивал достаточную мощность взрыва для нанесения серьезных повреждений не только транспортам, но и боевым кораблям.</w:t>
      </w:r>
    </w:p>
    <w:p w14:paraId="2D1849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Предполагалось, что мина будет сбрасываться со средних и больших высот, чтобы не подвергать самолет-носитель излишнему риску повреждения зенитным огнем. Для того чтобы погасить скорость падения, решили применить парашютную систему. Но удар, даже смягченный парашютами, все равно должен был быть приличным. Поэтому начали с серии сбрасывания мин с пятидесятиметровой стрелы плавучего крана. Это позволило выявить наиболее уязвимые места конструкции.</w:t>
      </w:r>
    </w:p>
    <w:p w14:paraId="17D6E5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ВОМИЗы-ЮО (это название в документах 30-х годов склоняли вовсю, не обращая внимания на то, что это сокращение) в целом завершили в 1928 г. Сама мина почти не изменилась, лишь получила ряд местных подкреплений, а также элементы подвески к самолету - направляющие штоки, поясные желобки, фиксирующие призмы и т.п. Зато она лишилась чугунной спусковой коробки. Изменили и конструкцию якоря.</w:t>
      </w:r>
    </w:p>
    <w:p w14:paraId="2A34F1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Самым главным отличием авиационного варианта мины стала парашютная система. Она состояла из четырех куполов, выпускавшихся последовательно, чтобы сделать торможение падения мины по возможности более плавным". Для этой же цели в подвеску включили резиновые шнуры-амортизаторы. Парашюты шились из парусины и имели весьма оригинальную форму. Роль строп выполняли отростки полотнищ, края которых для жесткости укрепили тросами. Все четыре парашюта укладывались в коробку из кровельного железа, размерами превосходящую саму мину. Длина коробки составляла около полутора метров, а максимальная ширина - 770 мм. У конца, присоединявшегося к мине, коробка имела круглое сечение, а дальше сплющивалась и становилась овальной. Закрывал ее железный колпак, на котором еще находилась фанерная крышка. Материалы эти - кровельное железо, фанеру и парусину - выбрали, чтобы удешевить парашютную систему, части которой при боевом использовании безвозвратно терялись.</w:t>
      </w:r>
    </w:p>
    <w:p w14:paraId="4C3070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Мины ВОМИЗА-100 не изготовлялись специально, их переделывали из обычных морских мин образца 1912 г., лежавших на складах. Переделка обходилась примерно в 2000 рублей, и столько же стоила парашютная система. Комплект весил около 900 кг, из них 325 кг - собственно мина с минрепом. Устройство получилось достаточно громоздким - общая длина равнялась 3,5 м, так что поднять ВОМИЗу-ЮО мог далеко не каждый самолет. Первые образцы мины переделывали в мастерских Остехбюро.</w:t>
      </w:r>
    </w:p>
    <w:p w14:paraId="7957B8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Первым выпускался самый маленький, стабилизирующий, парашют площадью всего 1 кв. м. Он выходил из-под откидывавшейся набегающим потоком крышки. На нем мина падала всего 1,5-2 с. Затем этот купол отделялся, сдергивая с короба колпак. Из-под последнего выползал парашют побольше - 3,5 кв.м. На нем система опускалась, пока в специальных гнездах горели дистанционные трубки, запаленные в момент отделения от самолета. Время горения трубок определялось на земле. Чем больше высота сброса, тем дольше должна гореть трубка. В противном случае время опускания мины получается очень большим. С другой стороны, при длительном горении трубки мина успевает сильно разогнаться в своем падении и затем испытает значительный динамический удар. Дистанционные трубки конструкторы Остехбюро взяли из практики артиллерии, где их применяли в снарядах различных типов.</w:t>
      </w:r>
    </w:p>
    <w:p w14:paraId="353DED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Когда трубки догорели, пороховые заряды в пирозамках отделяли от мины парашютную коробку. Из нее сначала вытягивается третий парашют, площадью 7,5 кв. м, а через некоторое время, определяемое часовым механизмом, четвертый, самый большой, площадью 12 кв. м. С этого момента мина спускается на двух куполах. Они связаны между собой и с миной системой резиновых шнуров-амортизаторов. Шнуры должны были смягчить рывки, вызванные раскрытием парашютов. Параллельно шнурам-амортизаторам тянулись стальные тросы, которые сделали длиннее резиновых шнуров. Тросы принимали на себя нагрузку при предельной деформации резины.</w:t>
      </w:r>
    </w:p>
    <w:p w14:paraId="23CFE2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вхождении мины в воду автоматически отцеплялась подвеска парашютной системы. Делало это устройство, названное конструкторами "крылом" или "лопаткой". При ударе о поверхность воды оно поворачивало вал, по бокам которого находились замковые механизмы. Их язычки высвобождали тросы парашютной подвески. "Лопатка" же расфиксировала соединение мины и якоря. Преждевременно повернуться "лопатке" не давала система пружин. Вода начинает поступать в устройство расцепки якоря и собственно мины. Там находится таблетка из вещества, растворяемого в воде. В морских минах для этого традиционно использовали сахар. Когда кусок сахара растворяется, освободившаяся пружина расцепляет якорь и мину. Якорь ложится на дно, а мина всплывает, удерживаясь тросом-минрепом на заданном углублении. Последнее отслеживается с помощью гидростатической коробки, прекращающей вытравливание минрепа. Если сахарный блок размыло еще в полете, например сильным дождем, то "крыло" не давало мине и якорю разъединиться до момента удара о воду. В начале всплытия мины специальный тросик освобождал защелку гидростатического диска ударного прибора. При достижении заданного углубления последний приводил взрыватель в боевую готовность (12002).</w:t>
      </w:r>
    </w:p>
    <w:p w14:paraId="79281794" w14:textId="77777777" w:rsidR="00537E5F" w:rsidRPr="00507A31" w:rsidRDefault="00537E5F" w:rsidP="00507A31">
      <w:pPr>
        <w:autoSpaceDE w:val="0"/>
        <w:autoSpaceDN w:val="0"/>
        <w:adjustRightInd w:val="0"/>
        <w:jc w:val="both"/>
        <w:rPr>
          <w:color w:val="000000" w:themeColor="text1"/>
          <w:sz w:val="16"/>
          <w:szCs w:val="16"/>
        </w:rPr>
      </w:pPr>
    </w:p>
    <w:p w14:paraId="121D708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E734E01" w14:textId="77777777" w:rsidR="00537E5F" w:rsidRPr="00507A31" w:rsidRDefault="00537E5F" w:rsidP="00507A31">
      <w:pPr>
        <w:autoSpaceDE w:val="0"/>
        <w:autoSpaceDN w:val="0"/>
        <w:adjustRightInd w:val="0"/>
        <w:jc w:val="both"/>
        <w:rPr>
          <w:iCs/>
          <w:color w:val="000000" w:themeColor="text1"/>
          <w:sz w:val="16"/>
          <w:szCs w:val="16"/>
        </w:rPr>
      </w:pPr>
    </w:p>
    <w:p w14:paraId="788437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1 января 1930 года был изготовлен и испытан 76-мм миномет. Заводы "Красный Путиловец" и ММЗ разработали рабочие чертежи 152-мм миномета. В связи с тем, что три этих миномета не вошли в систему вооружения 1929-1932 годы работы над ними были прекращены. Ведущую роль в проектировании минометов играла группа Д Газодинамической лаборатории. Ее руководителем был Н. А. Доровлев, отсюда и индекс лаборатории. В состав группы входили инженеры Иванов, Игнатенко, Мартынов и Рашков (3861).</w:t>
      </w:r>
    </w:p>
    <w:p w14:paraId="0342F03D" w14:textId="77777777" w:rsidR="00537E5F" w:rsidRPr="00507A31" w:rsidRDefault="00537E5F" w:rsidP="00507A31">
      <w:pPr>
        <w:autoSpaceDE w:val="0"/>
        <w:autoSpaceDN w:val="0"/>
        <w:adjustRightInd w:val="0"/>
        <w:jc w:val="both"/>
        <w:rPr>
          <w:color w:val="000000" w:themeColor="text1"/>
          <w:sz w:val="16"/>
          <w:szCs w:val="16"/>
        </w:rPr>
      </w:pPr>
    </w:p>
    <w:p w14:paraId="3A06F727" w14:textId="77777777" w:rsidR="005F36E2" w:rsidRPr="00507A31" w:rsidRDefault="005F36E2" w:rsidP="00507A31">
      <w:pPr>
        <w:jc w:val="both"/>
        <w:rPr>
          <w:color w:val="000000" w:themeColor="text1"/>
          <w:sz w:val="16"/>
          <w:szCs w:val="16"/>
        </w:rPr>
      </w:pPr>
      <w:r w:rsidRPr="00507A31">
        <w:rPr>
          <w:color w:val="000000" w:themeColor="text1"/>
          <w:sz w:val="16"/>
          <w:szCs w:val="16"/>
        </w:rPr>
        <w:t>К 1 января 1930 г. 76-мм миномет был изготовлен и испытан. Заводы «Красный Путиловец» и Московский механический разработали рабочие чертежи 152-мм миномета. В связи с тем, что три этих миномета не вошли в систему вооружения 1929–1932 гг., работы над ними были прекращены (12705).</w:t>
      </w:r>
    </w:p>
    <w:p w14:paraId="38446657" w14:textId="77777777" w:rsidR="005F36E2" w:rsidRPr="00507A31" w:rsidRDefault="005F36E2" w:rsidP="00507A31">
      <w:pPr>
        <w:jc w:val="both"/>
        <w:rPr>
          <w:color w:val="000000" w:themeColor="text1"/>
          <w:sz w:val="16"/>
          <w:szCs w:val="16"/>
        </w:rPr>
      </w:pPr>
    </w:p>
    <w:p w14:paraId="3316F9EA" w14:textId="77777777" w:rsidR="005F36E2" w:rsidRPr="00507A31" w:rsidRDefault="005F36E2" w:rsidP="00507A31">
      <w:pPr>
        <w:jc w:val="both"/>
        <w:rPr>
          <w:rFonts w:eastAsia="TimesNewRoman"/>
          <w:color w:val="000000" w:themeColor="text1"/>
          <w:sz w:val="16"/>
          <w:szCs w:val="16"/>
        </w:rPr>
      </w:pPr>
      <w:r w:rsidRPr="00507A31">
        <w:rPr>
          <w:rFonts w:eastAsia="TimesNewRoman"/>
          <w:color w:val="000000" w:themeColor="text1"/>
          <w:sz w:val="16"/>
          <w:szCs w:val="16"/>
        </w:rPr>
        <w:t>С 1 января 1930 года ЭТЗСТ был ликвидирован, а все электротехнические предприятия страны были подчинены Всесоюзному электротехническому объединению. В августе 1931 года происходит разукрупнение этого объединения, в результате чего электрослаботочная промышленность сосредотачивается во Всесоюзном электрослаботочном объединении (ВЭСО). 1 сентября 1933 г. функции ВЭСО были переданы вновь созданному Главному управлению электро-слаботочной промышленности (Главэспрому), действовавшему в составе НКТП (12695).</w:t>
      </w:r>
    </w:p>
    <w:p w14:paraId="137E457A" w14:textId="77777777" w:rsidR="005F36E2" w:rsidRPr="00507A31" w:rsidRDefault="005F36E2" w:rsidP="00507A31">
      <w:pPr>
        <w:jc w:val="both"/>
        <w:rPr>
          <w:rFonts w:eastAsia="TimesNewRoman"/>
          <w:color w:val="000000" w:themeColor="text1"/>
          <w:sz w:val="16"/>
          <w:szCs w:val="16"/>
        </w:rPr>
      </w:pPr>
    </w:p>
    <w:p w14:paraId="6E3C0706" w14:textId="77777777" w:rsidR="00C04FDD" w:rsidRPr="00507A31" w:rsidRDefault="00C04FDD" w:rsidP="00507A31">
      <w:pPr>
        <w:pStyle w:val="ae"/>
        <w:spacing w:before="0" w:after="0"/>
        <w:jc w:val="both"/>
        <w:rPr>
          <w:color w:val="000000" w:themeColor="text1"/>
          <w:sz w:val="16"/>
          <w:szCs w:val="16"/>
        </w:rPr>
      </w:pPr>
      <w:r w:rsidRPr="00507A31">
        <w:rPr>
          <w:color w:val="000000" w:themeColor="text1"/>
          <w:sz w:val="16"/>
          <w:szCs w:val="16"/>
        </w:rPr>
        <w:t>С 1 января 1930 г. вместо ЭТЗСТ начало действовать Всесоюзное электротехническое объединение (ВЭО), в ведение которого вошли все предприятия и научные организации электротехнической и электрослаботочной промышленности. Однако в июле 1931 года оно было разукрупнено: промышленность радио и слабого тока вновь выделилась в самостоятельное объединение (ВЭСО) (15736).</w:t>
      </w:r>
    </w:p>
    <w:p w14:paraId="0FE669BE" w14:textId="77777777" w:rsidR="00C04FDD" w:rsidRPr="00507A31" w:rsidRDefault="00C04FDD" w:rsidP="00507A31">
      <w:pPr>
        <w:pStyle w:val="ae"/>
        <w:spacing w:before="0" w:after="0"/>
        <w:jc w:val="both"/>
        <w:rPr>
          <w:color w:val="000000" w:themeColor="text1"/>
          <w:sz w:val="16"/>
          <w:szCs w:val="16"/>
        </w:rPr>
      </w:pPr>
    </w:p>
    <w:p w14:paraId="15735B8B" w14:textId="77777777" w:rsidR="00EF58A7" w:rsidRPr="00507A31" w:rsidRDefault="00EF58A7" w:rsidP="00507A31">
      <w:pPr>
        <w:jc w:val="both"/>
        <w:rPr>
          <w:color w:val="000000" w:themeColor="text1"/>
          <w:sz w:val="16"/>
          <w:szCs w:val="16"/>
        </w:rPr>
      </w:pPr>
      <w:r w:rsidRPr="00507A31">
        <w:rPr>
          <w:color w:val="000000" w:themeColor="text1"/>
          <w:sz w:val="16"/>
          <w:szCs w:val="16"/>
        </w:rPr>
        <w:t>С 1 января 1930 г. начало действовать Всесоюзное электротехническое объединение (ВЭО), в ведение которого вошли все существовавшие электротехнические тресты. ЭТЗСТ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как таковой (18297).</w:t>
      </w:r>
    </w:p>
    <w:p w14:paraId="058B9BD9" w14:textId="77777777" w:rsidR="00EF58A7" w:rsidRPr="00507A31" w:rsidRDefault="00EF58A7" w:rsidP="00507A31">
      <w:pPr>
        <w:jc w:val="both"/>
        <w:rPr>
          <w:color w:val="000000" w:themeColor="text1"/>
          <w:sz w:val="16"/>
          <w:szCs w:val="16"/>
        </w:rPr>
      </w:pPr>
    </w:p>
    <w:p w14:paraId="57E677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 января 1930 г. вместо ЭТЗСТ, просуществовал до 31 декабря 1929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3F8BCE45" w14:textId="77777777" w:rsidR="00537E5F" w:rsidRPr="00507A31" w:rsidRDefault="00537E5F" w:rsidP="00507A31">
      <w:pPr>
        <w:autoSpaceDE w:val="0"/>
        <w:autoSpaceDN w:val="0"/>
        <w:adjustRightInd w:val="0"/>
        <w:jc w:val="both"/>
        <w:rPr>
          <w:color w:val="000000" w:themeColor="text1"/>
          <w:sz w:val="16"/>
          <w:szCs w:val="16"/>
        </w:rPr>
      </w:pPr>
    </w:p>
    <w:p w14:paraId="717513A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337F6DF8" w14:textId="77777777" w:rsidR="00537E5F" w:rsidRPr="00507A31" w:rsidRDefault="00537E5F" w:rsidP="00507A31">
      <w:pPr>
        <w:autoSpaceDE w:val="0"/>
        <w:autoSpaceDN w:val="0"/>
        <w:adjustRightInd w:val="0"/>
        <w:jc w:val="both"/>
        <w:rPr>
          <w:iCs/>
          <w:color w:val="000000" w:themeColor="text1"/>
          <w:sz w:val="16"/>
          <w:szCs w:val="16"/>
        </w:rPr>
      </w:pPr>
    </w:p>
    <w:p w14:paraId="3AAA9272" w14:textId="77777777" w:rsidR="007B38B8" w:rsidRPr="00507A31" w:rsidRDefault="007B38B8" w:rsidP="00507A31">
      <w:pPr>
        <w:jc w:val="both"/>
        <w:rPr>
          <w:color w:val="000000" w:themeColor="text1"/>
          <w:sz w:val="16"/>
          <w:szCs w:val="16"/>
        </w:rPr>
      </w:pPr>
      <w:r w:rsidRPr="00507A31">
        <w:rPr>
          <w:color w:val="000000" w:themeColor="text1"/>
          <w:sz w:val="16"/>
          <w:szCs w:val="16"/>
        </w:rPr>
        <w:t>На 1 января 1930 и 1 января 1933 состояние парка ВВС:</w:t>
      </w:r>
    </w:p>
    <w:p w14:paraId="3CC0E09A" w14:textId="77777777" w:rsidR="007B38B8" w:rsidRPr="00507A31" w:rsidRDefault="007B38B8" w:rsidP="00507A31">
      <w:pPr>
        <w:pStyle w:val="59"/>
        <w:shd w:val="clear" w:color="auto" w:fill="auto"/>
        <w:spacing w:line="240" w:lineRule="auto"/>
        <w:jc w:val="both"/>
        <w:rPr>
          <w:color w:val="000000" w:themeColor="text1"/>
          <w:szCs w:val="16"/>
        </w:rPr>
      </w:pPr>
      <w:r w:rsidRPr="00507A31">
        <w:rPr>
          <w:color w:val="000000" w:themeColor="text1"/>
          <w:szCs w:val="16"/>
        </w:rPr>
        <w:t xml:space="preserve"> (В числителе указаны исправные самолеты, в знаменателе неисправные - общее количество суммируется)</w:t>
      </w:r>
    </w:p>
    <w:tbl>
      <w:tblPr>
        <w:tblW w:w="0" w:type="auto"/>
        <w:tblLayout w:type="fixed"/>
        <w:tblCellMar>
          <w:left w:w="10" w:type="dxa"/>
          <w:right w:w="10" w:type="dxa"/>
        </w:tblCellMar>
        <w:tblLook w:val="0000" w:firstRow="0" w:lastRow="0" w:firstColumn="0" w:lastColumn="0" w:noHBand="0" w:noVBand="0"/>
      </w:tblPr>
      <w:tblGrid>
        <w:gridCol w:w="936"/>
        <w:gridCol w:w="904"/>
        <w:gridCol w:w="976"/>
        <w:gridCol w:w="835"/>
      </w:tblGrid>
      <w:tr w:rsidR="00A61694" w:rsidRPr="00507A31" w14:paraId="32D075F6" w14:textId="77777777" w:rsidTr="007B38B8">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E754ED5" w14:textId="77777777" w:rsidR="007B38B8" w:rsidRPr="00507A31" w:rsidRDefault="007B38B8" w:rsidP="00507A31">
            <w:pPr>
              <w:jc w:val="both"/>
              <w:rPr>
                <w:color w:val="000000" w:themeColor="text1"/>
                <w:sz w:val="16"/>
                <w:szCs w:val="16"/>
              </w:rPr>
            </w:pP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055E27E2" w14:textId="77777777" w:rsidR="007B38B8" w:rsidRPr="00507A31" w:rsidRDefault="007B38B8"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1.01.31 г.</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082CCF2A" w14:textId="77777777" w:rsidR="007B38B8" w:rsidRPr="00507A31" w:rsidRDefault="007B38B8"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1.01.32 г.</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A142B5E" w14:textId="77777777" w:rsidR="007B38B8" w:rsidRPr="00507A31" w:rsidRDefault="007B38B8"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1.01.33 г.</w:t>
            </w:r>
          </w:p>
        </w:tc>
      </w:tr>
      <w:tr w:rsidR="00A61694" w:rsidRPr="00507A31" w14:paraId="0C722EA6"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024A3CC8"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И-З</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50A7309"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257/20</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2CEC0AD2"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253/23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667F014"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205/44</w:t>
            </w:r>
          </w:p>
        </w:tc>
      </w:tr>
      <w:tr w:rsidR="00A61694" w:rsidRPr="00507A31" w14:paraId="5D1C06FF"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137441B1"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И-4</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6E08DD4B"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138/12</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651E76B6"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146/18</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CBD16AE"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135/25</w:t>
            </w:r>
          </w:p>
        </w:tc>
      </w:tr>
      <w:tr w:rsidR="00A61694" w:rsidRPr="00507A31" w14:paraId="1DA79825"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17455329"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lastRenderedPageBreak/>
              <w:t>И-5</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5993FC4C"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11/1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1D42D67D"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58/7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82B3BF3"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128/15</w:t>
            </w:r>
          </w:p>
        </w:tc>
      </w:tr>
      <w:tr w:rsidR="00A61694" w:rsidRPr="00507A31" w14:paraId="05BCB977"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1848621"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И-6</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141A6CCB" w14:textId="77777777" w:rsidR="007B38B8" w:rsidRPr="00507A31" w:rsidRDefault="007B38B8" w:rsidP="00507A31">
            <w:pPr>
              <w:pStyle w:val="290"/>
              <w:shd w:val="clear" w:color="auto" w:fill="auto"/>
              <w:spacing w:after="0" w:line="240" w:lineRule="auto"/>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4CC6230"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FDFBF5A"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1/0</w:t>
            </w:r>
          </w:p>
        </w:tc>
      </w:tr>
      <w:tr w:rsidR="00A61694" w:rsidRPr="00507A31" w14:paraId="610C11EE"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3423AE92"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И-7</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57ECF48C" w14:textId="77777777" w:rsidR="007B38B8" w:rsidRPr="00507A31" w:rsidRDefault="007B38B8" w:rsidP="00507A31">
            <w:pPr>
              <w:pStyle w:val="290"/>
              <w:shd w:val="clear" w:color="auto" w:fill="auto"/>
              <w:spacing w:after="0" w:line="240" w:lineRule="auto"/>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386E9313"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0/1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50D0F2E"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21/0</w:t>
            </w:r>
          </w:p>
        </w:tc>
      </w:tr>
      <w:tr w:rsidR="00A61694" w:rsidRPr="00507A31" w14:paraId="4C52D5C3" w14:textId="77777777" w:rsidTr="007B38B8">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2718B679"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И-2</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A1CFFB8"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26/8</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458B25C9"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7/5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6357840"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2/1</w:t>
            </w:r>
          </w:p>
        </w:tc>
      </w:tr>
      <w:tr w:rsidR="00A61694" w:rsidRPr="00507A31" w14:paraId="4BE93C89"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20DF819E"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И-2бис</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397C53D4"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65/7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71A8C627"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33/19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2C6B3B6"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31/19</w:t>
            </w:r>
          </w:p>
        </w:tc>
      </w:tr>
      <w:tr w:rsidR="00A61694" w:rsidRPr="00507A31" w14:paraId="0605EE1F" w14:textId="77777777" w:rsidTr="007B38B8">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DC43181"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ФД-Х1</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AAC049E"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52/36</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343A0AAC"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44/10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1B84A44"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26/17</w:t>
            </w:r>
          </w:p>
        </w:tc>
      </w:tr>
      <w:tr w:rsidR="00A61694" w:rsidRPr="00507A31" w14:paraId="4C6B82B9" w14:textId="77777777" w:rsidTr="007B38B8">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2C8CBF74"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Д-УП</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2E9994B7"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10/1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4EB0692"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6/0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76803ED" w14:textId="77777777" w:rsidR="007B38B8" w:rsidRPr="00507A31" w:rsidRDefault="007B38B8"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4/0</w:t>
            </w:r>
          </w:p>
        </w:tc>
      </w:tr>
      <w:tr w:rsidR="00A61694" w:rsidRPr="00507A31" w14:paraId="7B578DF9" w14:textId="77777777" w:rsidTr="007B38B8">
        <w:trPr>
          <w:trHeight w:val="443"/>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5382D510" w14:textId="77777777" w:rsidR="007B38B8" w:rsidRPr="00507A31" w:rsidRDefault="007B38B8"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Всего</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5D34A931" w14:textId="77777777" w:rsidR="007B38B8" w:rsidRPr="00507A31" w:rsidRDefault="007B38B8"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61/85 (647)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484BA999" w14:textId="77777777" w:rsidR="007B38B8" w:rsidRPr="00507A31" w:rsidRDefault="007B38B8"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552/84 (636)</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9B62288" w14:textId="77777777" w:rsidR="007B38B8" w:rsidRPr="00507A31" w:rsidRDefault="007B38B8"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597/122 (719)</w:t>
            </w:r>
          </w:p>
        </w:tc>
      </w:tr>
    </w:tbl>
    <w:p w14:paraId="68EE901A" w14:textId="77777777" w:rsidR="007B38B8" w:rsidRPr="00507A31" w:rsidRDefault="007B38B8" w:rsidP="00507A31">
      <w:pPr>
        <w:jc w:val="both"/>
        <w:rPr>
          <w:color w:val="000000" w:themeColor="text1"/>
          <w:sz w:val="16"/>
          <w:szCs w:val="16"/>
        </w:rPr>
      </w:pPr>
      <w:r w:rsidRPr="00507A31">
        <w:rPr>
          <w:color w:val="000000" w:themeColor="text1"/>
          <w:sz w:val="16"/>
          <w:szCs w:val="16"/>
        </w:rPr>
        <w:t>(12295).</w:t>
      </w:r>
    </w:p>
    <w:p w14:paraId="231B1F05" w14:textId="77777777" w:rsidR="007B38B8" w:rsidRPr="00507A31" w:rsidRDefault="007B38B8" w:rsidP="00507A31">
      <w:pPr>
        <w:jc w:val="both"/>
        <w:rPr>
          <w:color w:val="000000" w:themeColor="text1"/>
          <w:sz w:val="16"/>
          <w:szCs w:val="16"/>
        </w:rPr>
      </w:pPr>
    </w:p>
    <w:p w14:paraId="6281DA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 января 1930 г. в ВВС РККА числились 33 тяжелых самолета иностранного производства и всего два ТБ-1. Но постепенно завод начал сдавать военным все больше машин. Хотя на них не хватало различного оборудования - бомбодержателей, прицелов, радиостанций, новую технику старались побыстрее отправить на места дислокации. Уже весной 1930 г. самолеты начали перегонять в Воронеж. На торжественное вручение прибыл председатель ВЦИК М.И. Калинин. В течение 1930 г. 11-я бригада получила 12 самолетов (12001).</w:t>
      </w:r>
    </w:p>
    <w:p w14:paraId="2A964F3B" w14:textId="77777777" w:rsidR="00537E5F" w:rsidRPr="00507A31" w:rsidRDefault="00537E5F" w:rsidP="00507A31">
      <w:pPr>
        <w:autoSpaceDE w:val="0"/>
        <w:autoSpaceDN w:val="0"/>
        <w:adjustRightInd w:val="0"/>
        <w:jc w:val="both"/>
        <w:rPr>
          <w:color w:val="000000" w:themeColor="text1"/>
          <w:sz w:val="16"/>
          <w:szCs w:val="16"/>
        </w:rPr>
      </w:pPr>
    </w:p>
    <w:p w14:paraId="636A5A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 января 1930 г. в ВВС РККА числились 33 тяжелых самолета иностранного производства и всего два ТБ-1. Оба они находились в НИИ ВВС. Но постепенно завод начал сдавать военным все больше самолетов. Хотя на них не хватало различного оборудования - бомбодержателей, прицелов, радиостанций, машины старались побыстрее отправить на места дислокации. Первые ТБ-1 перегнали в Воронеж в начале весны 1930 г. На торжественное вручение самолетов прибыл председатель ВЦИК М.И. Калинин, который произнес речь перед собравшимися. Летчики с энтузиазмом отнеслись к новой технике. Туполевский самолет несколько уступал ЮГ-1 по скорости, но превосходил по потолку, скороподъемности, а также по весу и ассортименту нагрузки. Кроме того, он с самого начала проектировался как боевая машина, а не являлся переделкой пассажирской, как "юнкере". Его двухмоторная схема давала определенные преимущества в отношении обзора и обстрела, облегчала прицеливание при бомбометании. Штурман-бомбардир сидел в носовой части фюзеляжа, через окна наблюдая за землей. Машина имела довольно мощное вооружение из шести пулеметов, но обстрел не был сферическим - "мертвые зоны" располагались за хвостом и под фюзеляжем (12024).</w:t>
      </w:r>
    </w:p>
    <w:p w14:paraId="0222D3CA" w14:textId="77777777" w:rsidR="00537E5F" w:rsidRPr="00507A31" w:rsidRDefault="00537E5F" w:rsidP="00507A31">
      <w:pPr>
        <w:autoSpaceDE w:val="0"/>
        <w:autoSpaceDN w:val="0"/>
        <w:adjustRightInd w:val="0"/>
        <w:jc w:val="both"/>
        <w:rPr>
          <w:color w:val="000000" w:themeColor="text1"/>
          <w:sz w:val="16"/>
          <w:szCs w:val="16"/>
        </w:rPr>
      </w:pPr>
    </w:p>
    <w:p w14:paraId="0D2399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 января 1930 г. в ВВС РККА числились 33 тяжелых самолета иностранного производства и всего два ТБ-1. Оба они находились в НИИ ВВС. Но постепенно завод начал сдавать военным все больше самолетов. Хотя на них не хватало различного оборудования - бомбодержателей, прицелов, радиостанций, машины старались побыстрее отправить на места дислокации (12036).</w:t>
      </w:r>
    </w:p>
    <w:p w14:paraId="29D576D1" w14:textId="77777777" w:rsidR="00537E5F" w:rsidRPr="00507A31" w:rsidRDefault="00537E5F" w:rsidP="00507A31">
      <w:pPr>
        <w:autoSpaceDE w:val="0"/>
        <w:autoSpaceDN w:val="0"/>
        <w:adjustRightInd w:val="0"/>
        <w:jc w:val="both"/>
        <w:rPr>
          <w:color w:val="000000" w:themeColor="text1"/>
          <w:sz w:val="16"/>
          <w:szCs w:val="16"/>
        </w:rPr>
      </w:pPr>
    </w:p>
    <w:p w14:paraId="011743EF" w14:textId="77777777" w:rsidR="00A96C2D" w:rsidRPr="00507A31" w:rsidRDefault="00A96C2D" w:rsidP="00507A31">
      <w:pPr>
        <w:jc w:val="both"/>
        <w:rPr>
          <w:color w:val="0070C0"/>
          <w:sz w:val="16"/>
          <w:szCs w:val="16"/>
        </w:rPr>
      </w:pPr>
      <w:r w:rsidRPr="00507A31">
        <w:rPr>
          <w:color w:val="0070C0"/>
          <w:sz w:val="16"/>
          <w:szCs w:val="16"/>
        </w:rPr>
        <w:t>На 1 января 1930 года в ВВС РККА было 379 парашютов для летчиков и 161 для наблюдателей. В течение года ожидалось поступление 440 парашютов для летчиков и 430 для наблюдателей. Ожидаемая убыль по плану составляла соответственно 38 и 16 парашютов. Поэтому на 1 января 1931 года в наличии должно было быть 785 парашютов для летчиков (хотя если сложить имевшиеся и поступавшие парашюты, вычесть убыль то будет 781 парашют – С.К.) и 575 для наблюдателей (Справка о наличии парашютов в ВВС в 1930-1931 гг. // РГВА. Ф. 29. Оп. 50. Д. 41. Л. 14) (21402).</w:t>
      </w:r>
    </w:p>
    <w:p w14:paraId="7495CC03" w14:textId="77777777" w:rsidR="00A96C2D" w:rsidRPr="00507A31" w:rsidRDefault="00A96C2D" w:rsidP="00507A31">
      <w:pPr>
        <w:jc w:val="both"/>
        <w:rPr>
          <w:color w:val="0070C0"/>
          <w:sz w:val="16"/>
          <w:szCs w:val="16"/>
        </w:rPr>
      </w:pPr>
    </w:p>
    <w:p w14:paraId="7D3BE63C" w14:textId="77777777" w:rsidR="00EF58A7" w:rsidRPr="00507A31" w:rsidRDefault="00EF58A7" w:rsidP="00507A31">
      <w:pPr>
        <w:jc w:val="both"/>
        <w:rPr>
          <w:color w:val="000000" w:themeColor="text1"/>
          <w:sz w:val="16"/>
          <w:szCs w:val="16"/>
        </w:rPr>
      </w:pPr>
      <w:r w:rsidRPr="00507A31">
        <w:rPr>
          <w:color w:val="000000" w:themeColor="text1"/>
          <w:sz w:val="16"/>
          <w:szCs w:val="16"/>
        </w:rPr>
        <w:t xml:space="preserve">1 января 1930 г. Реввоенсовет, сделав вывод о необходимости вести в мирное время подготовку летчиков с избытком, открыл 7-ю Военную школу летчиков в г. Сталинграде, которая совместила в себе и теоретическую (полтора года) и практическую (в течение года) подготовку военных летчиков. </w:t>
      </w:r>
    </w:p>
    <w:p w14:paraId="7DFC9733" w14:textId="77777777" w:rsidR="00EF58A7" w:rsidRPr="00507A31" w:rsidRDefault="00EF58A7" w:rsidP="00507A31">
      <w:pPr>
        <w:jc w:val="both"/>
        <w:rPr>
          <w:color w:val="000000" w:themeColor="text1"/>
          <w:sz w:val="16"/>
          <w:szCs w:val="16"/>
        </w:rPr>
      </w:pPr>
      <w:r w:rsidRPr="00507A31">
        <w:rPr>
          <w:color w:val="000000" w:themeColor="text1"/>
          <w:sz w:val="16"/>
          <w:szCs w:val="16"/>
        </w:rPr>
        <w:t>Управление ВВС, решив вопрос с подготовкой авиакадров для мирного времени, в начале 1930-х гг. озаботилось накоплением резерва. Ориентировочно пропускная способность летных школ в мирное время давала продукцию равную 25 – 30 % штата летчиков к началу каждого года. В военное же время школьная сеть должна была давать около 200 % штата летного состава. Это потребовало бы в 6 – 8 раз увеличить выпуски. Учитывалось, что в военное время нельзя будет значительно сократить программу летной подготовки, что заставило принять срок летного обучения в военное время – не менее 9 – 12 месяцев.</w:t>
      </w:r>
    </w:p>
    <w:p w14:paraId="5E416A73" w14:textId="77777777" w:rsidR="00EF58A7" w:rsidRPr="00507A31" w:rsidRDefault="00EF58A7" w:rsidP="00507A31">
      <w:pPr>
        <w:jc w:val="both"/>
        <w:rPr>
          <w:color w:val="000000" w:themeColor="text1"/>
          <w:sz w:val="16"/>
          <w:szCs w:val="16"/>
        </w:rPr>
      </w:pPr>
      <w:r w:rsidRPr="00507A31">
        <w:rPr>
          <w:color w:val="000000" w:themeColor="text1"/>
          <w:sz w:val="16"/>
          <w:szCs w:val="16"/>
        </w:rPr>
        <w:t>Кроме того, с 1 июля 1930 г. четыре тренировочных отряда МВО, ЛВО, УВО и БВО получили статус Окружных школ военных пилотов (19566).</w:t>
      </w:r>
    </w:p>
    <w:p w14:paraId="0E9D9F6A" w14:textId="77777777" w:rsidR="00EF58A7" w:rsidRPr="00507A31" w:rsidRDefault="00EF58A7" w:rsidP="00507A31">
      <w:pPr>
        <w:jc w:val="both"/>
        <w:rPr>
          <w:color w:val="000000" w:themeColor="text1"/>
          <w:sz w:val="16"/>
          <w:szCs w:val="16"/>
        </w:rPr>
      </w:pPr>
    </w:p>
    <w:p w14:paraId="4FF94C9F" w14:textId="77777777" w:rsidR="00C04FDD"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9FD428F" w14:textId="77777777" w:rsidR="00C04FDD" w:rsidRPr="00507A31" w:rsidRDefault="00C04FDD" w:rsidP="00507A31">
      <w:pPr>
        <w:autoSpaceDE w:val="0"/>
        <w:autoSpaceDN w:val="0"/>
        <w:adjustRightInd w:val="0"/>
        <w:jc w:val="both"/>
        <w:rPr>
          <w:iCs/>
          <w:color w:val="000000" w:themeColor="text1"/>
          <w:sz w:val="16"/>
          <w:szCs w:val="16"/>
        </w:rPr>
      </w:pPr>
    </w:p>
    <w:p w14:paraId="73EF36C5" w14:textId="77777777" w:rsidR="00C04FDD" w:rsidRPr="00507A31" w:rsidRDefault="00C04FDD" w:rsidP="00507A31">
      <w:pPr>
        <w:jc w:val="both"/>
        <w:rPr>
          <w:bCs/>
          <w:color w:val="000000" w:themeColor="text1"/>
          <w:sz w:val="16"/>
          <w:szCs w:val="16"/>
        </w:rPr>
      </w:pPr>
      <w:r w:rsidRPr="00507A31">
        <w:rPr>
          <w:bCs/>
          <w:color w:val="000000" w:themeColor="text1"/>
          <w:sz w:val="16"/>
          <w:szCs w:val="16"/>
        </w:rPr>
        <w:t>1 января</w:t>
      </w:r>
      <w:r w:rsidRPr="00507A31">
        <w:rPr>
          <w:color w:val="000000" w:themeColor="text1"/>
          <w:sz w:val="16"/>
          <w:szCs w:val="16"/>
        </w:rPr>
        <w:t xml:space="preserve"> в 1930 году начало свою деятельность Центральное бюро погоды, образованное в Москве постановлением правительства СССР с целью обеспечения народного хозяйства прогнозами погоды. С 1936 г. - Центральный институт погоды, с 1965 г. - Гидрометеорологический научно-исследовательский центр СССР, с 1992 г. - Гидрометцентр России. Теперь - Гидрометеорологический научно-исследовательский центр Российской Федерации</w:t>
      </w:r>
    </w:p>
    <w:p w14:paraId="3B152711" w14:textId="77777777" w:rsidR="00C04FDD" w:rsidRPr="00507A31" w:rsidRDefault="00C04FDD" w:rsidP="00507A31">
      <w:pPr>
        <w:jc w:val="both"/>
        <w:rPr>
          <w:bCs/>
          <w:color w:val="000000" w:themeColor="text1"/>
          <w:sz w:val="16"/>
          <w:szCs w:val="16"/>
        </w:rPr>
      </w:pPr>
    </w:p>
    <w:p w14:paraId="3EE575AD" w14:textId="77777777" w:rsidR="00A96C2D" w:rsidRPr="00507A31" w:rsidRDefault="00A96C2D" w:rsidP="00507A31">
      <w:pPr>
        <w:jc w:val="both"/>
        <w:rPr>
          <w:color w:val="0070C0"/>
          <w:sz w:val="16"/>
          <w:szCs w:val="16"/>
        </w:rPr>
      </w:pPr>
      <w:r w:rsidRPr="00507A31">
        <w:rPr>
          <w:color w:val="0070C0"/>
          <w:sz w:val="16"/>
          <w:szCs w:val="16"/>
        </w:rPr>
        <w:t>1 января 1930 г. в Москве начало работу Бюро погоды СССР, позднее переименованное в Цен</w:t>
      </w:r>
      <w:r w:rsidRPr="00507A31">
        <w:rPr>
          <w:color w:val="0070C0"/>
          <w:sz w:val="16"/>
          <w:szCs w:val="16"/>
        </w:rPr>
        <w:softHyphen/>
        <w:t>тральное бюро погоды (ЦБП) СССР. В феврале 1936 г. на базе ЦБП создали Центральный инсти</w:t>
      </w:r>
      <w:r w:rsidRPr="00507A31">
        <w:rPr>
          <w:color w:val="0070C0"/>
          <w:sz w:val="16"/>
          <w:szCs w:val="16"/>
        </w:rPr>
        <w:softHyphen/>
        <w:t>тут погоды (ЦИП), с 1943 г. — Центральный ин</w:t>
      </w:r>
      <w:r w:rsidRPr="00507A31">
        <w:rPr>
          <w:color w:val="0070C0"/>
          <w:sz w:val="16"/>
          <w:szCs w:val="16"/>
        </w:rPr>
        <w:softHyphen/>
        <w:t>ститут прогнозов. В июне 1940 г. в составе ЦИП на ст. Долгопрудная организовали Аэрологи</w:t>
      </w:r>
      <w:r w:rsidRPr="00507A31">
        <w:rPr>
          <w:color w:val="0070C0"/>
          <w:sz w:val="16"/>
          <w:szCs w:val="16"/>
        </w:rPr>
        <w:softHyphen/>
        <w:t>ческую обсерваторию, в которую, помимо мо</w:t>
      </w:r>
      <w:r w:rsidRPr="00507A31">
        <w:rPr>
          <w:color w:val="0070C0"/>
          <w:sz w:val="16"/>
          <w:szCs w:val="16"/>
        </w:rPr>
        <w:softHyphen/>
        <w:t>сковского пункта радиозондирования и пункта самолётного зондирования в Быково, включили Отдельную воздухоплавательную группу Граж</w:t>
      </w:r>
      <w:r w:rsidRPr="00507A31">
        <w:rPr>
          <w:color w:val="0070C0"/>
          <w:sz w:val="16"/>
          <w:szCs w:val="16"/>
        </w:rPr>
        <w:softHyphen/>
        <w:t>данского воздушного флота (ОВГ ГВФ), что по</w:t>
      </w:r>
      <w:r w:rsidRPr="00507A31">
        <w:rPr>
          <w:color w:val="0070C0"/>
          <w:sz w:val="16"/>
          <w:szCs w:val="16"/>
        </w:rPr>
        <w:softHyphen/>
        <w:t>зволило выполнить серию научных полётов на пилотируемых аэростатах. При обсерватории имелось конструкторское бюро, внёсшее боль</w:t>
      </w:r>
      <w:r w:rsidRPr="00507A31">
        <w:rPr>
          <w:color w:val="0070C0"/>
          <w:sz w:val="16"/>
          <w:szCs w:val="16"/>
        </w:rPr>
        <w:softHyphen/>
        <w:t>шой вклад в развитие метеорологического при</w:t>
      </w:r>
      <w:r w:rsidRPr="00507A31">
        <w:rPr>
          <w:color w:val="0070C0"/>
          <w:sz w:val="16"/>
          <w:szCs w:val="16"/>
        </w:rPr>
        <w:softHyphen/>
        <w:t>боростроения (20120).</w:t>
      </w:r>
    </w:p>
    <w:p w14:paraId="03E05208" w14:textId="77777777" w:rsidR="00A96C2D" w:rsidRPr="00507A31" w:rsidRDefault="00A96C2D" w:rsidP="00507A31">
      <w:pPr>
        <w:jc w:val="both"/>
        <w:rPr>
          <w:color w:val="0070C0"/>
          <w:sz w:val="16"/>
          <w:szCs w:val="16"/>
        </w:rPr>
      </w:pPr>
    </w:p>
    <w:p w14:paraId="358888A0" w14:textId="77777777" w:rsidR="00FD573E" w:rsidRPr="00507A31" w:rsidRDefault="00FD573E" w:rsidP="00507A31">
      <w:pPr>
        <w:jc w:val="both"/>
        <w:rPr>
          <w:bCs/>
          <w:color w:val="000000" w:themeColor="text1"/>
          <w:sz w:val="16"/>
          <w:szCs w:val="16"/>
        </w:rPr>
      </w:pPr>
      <w:r w:rsidRPr="00507A31">
        <w:rPr>
          <w:color w:val="000000" w:themeColor="text1"/>
          <w:sz w:val="16"/>
          <w:szCs w:val="16"/>
        </w:rPr>
        <w:t xml:space="preserve">С 1 </w:t>
      </w:r>
      <w:r w:rsidRPr="00507A31">
        <w:rPr>
          <w:rStyle w:val="highlight"/>
          <w:color w:val="000000" w:themeColor="text1"/>
          <w:sz w:val="16"/>
          <w:szCs w:val="16"/>
        </w:rPr>
        <w:t> января  1930 </w:t>
      </w:r>
      <w:r w:rsidRPr="00507A31">
        <w:rPr>
          <w:color w:val="000000" w:themeColor="text1"/>
          <w:sz w:val="16"/>
          <w:szCs w:val="16"/>
        </w:rPr>
        <w:t xml:space="preserve"> г. началась Реорганизация МГУ Была создана специальная правительственная комиссия во главе с О.Ю. Шмидтом. Было предложено расформировать университет в отдельные институты, самостоятельные в административно-хозяйственном и финансовом отношениях, а подчинялись бы они непосредственно тому Наркомату, в ведение которого были бы переданы (17243).</w:t>
      </w:r>
    </w:p>
    <w:p w14:paraId="51EE269C" w14:textId="77777777" w:rsidR="00FD573E" w:rsidRPr="00507A31" w:rsidRDefault="00FD573E" w:rsidP="00507A31">
      <w:pPr>
        <w:jc w:val="both"/>
        <w:rPr>
          <w:bCs/>
          <w:color w:val="000000" w:themeColor="text1"/>
          <w:sz w:val="16"/>
          <w:szCs w:val="16"/>
        </w:rPr>
      </w:pPr>
    </w:p>
    <w:p w14:paraId="384C094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80C19F8" w14:textId="77777777" w:rsidR="00537E5F" w:rsidRPr="00507A31" w:rsidRDefault="00537E5F" w:rsidP="00507A31">
      <w:pPr>
        <w:autoSpaceDE w:val="0"/>
        <w:autoSpaceDN w:val="0"/>
        <w:adjustRightInd w:val="0"/>
        <w:jc w:val="both"/>
        <w:rPr>
          <w:iCs/>
          <w:color w:val="000000" w:themeColor="text1"/>
          <w:sz w:val="16"/>
          <w:szCs w:val="16"/>
        </w:rPr>
      </w:pPr>
    </w:p>
    <w:p w14:paraId="634D15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1930 в Египте после победы националистической партии Вафд на парламентских выборах было создано националистическое правительство (3907,161).</w:t>
      </w:r>
    </w:p>
    <w:p w14:paraId="1F43E030" w14:textId="77777777" w:rsidR="00537E5F" w:rsidRPr="00507A31" w:rsidRDefault="00537E5F" w:rsidP="00507A31">
      <w:pPr>
        <w:autoSpaceDE w:val="0"/>
        <w:autoSpaceDN w:val="0"/>
        <w:adjustRightInd w:val="0"/>
        <w:jc w:val="both"/>
        <w:rPr>
          <w:color w:val="000000" w:themeColor="text1"/>
          <w:sz w:val="16"/>
          <w:szCs w:val="16"/>
        </w:rPr>
      </w:pPr>
    </w:p>
    <w:p w14:paraId="378C9592" w14:textId="77777777" w:rsidR="00A96C2D" w:rsidRPr="00507A31" w:rsidRDefault="00A96C2D"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752E4B9" w14:textId="77777777" w:rsidR="00A96C2D" w:rsidRPr="00507A31" w:rsidRDefault="00A96C2D" w:rsidP="00507A31">
      <w:pPr>
        <w:autoSpaceDE w:val="0"/>
        <w:autoSpaceDN w:val="0"/>
        <w:adjustRightInd w:val="0"/>
        <w:jc w:val="both"/>
        <w:rPr>
          <w:iCs/>
          <w:color w:val="000000" w:themeColor="text1"/>
          <w:sz w:val="16"/>
          <w:szCs w:val="16"/>
        </w:rPr>
      </w:pPr>
    </w:p>
    <w:p w14:paraId="1963A409" w14:textId="77777777" w:rsidR="00A96C2D" w:rsidRPr="00507A31" w:rsidRDefault="00A96C2D" w:rsidP="00507A31">
      <w:pPr>
        <w:jc w:val="both"/>
        <w:rPr>
          <w:color w:val="0070C0"/>
          <w:sz w:val="16"/>
          <w:szCs w:val="16"/>
          <w:shd w:val="clear" w:color="auto" w:fill="FFFFFF"/>
        </w:rPr>
      </w:pPr>
      <w:r w:rsidRPr="00507A31">
        <w:rPr>
          <w:color w:val="0070C0"/>
          <w:sz w:val="16"/>
          <w:szCs w:val="16"/>
          <w:shd w:val="clear" w:color="auto" w:fill="FFFFFF"/>
        </w:rPr>
        <w:t>2 января 1930 «Правда» пишет: «Если старое чиновничество есть зло, которое мы временно вынуждены еще терпеть, то злом, абсолютно нетерпимым, являются лжеспециалисты в нашем аппарате». Газета сообщает о том, что в Наркомфине экономистом числится бывший контролер двора Николая II граф Растопчин. Техник Марчевский, не имея специального образования, выдает себя за инженера, старается устраивать на технические должности административно-ссыльных, тоже не имеющих образования. Некий Розенблюм растратил 10 тысяч рублей и был исключен из партии в Луганске, а вскоре оказался в Харькове на посту референта пушно-сырьевой конторы Госторга (21444).</w:t>
      </w:r>
    </w:p>
    <w:p w14:paraId="1E989DC0" w14:textId="77777777" w:rsidR="00A96C2D" w:rsidRPr="00507A31" w:rsidRDefault="00A96C2D" w:rsidP="00507A31">
      <w:pPr>
        <w:jc w:val="both"/>
        <w:rPr>
          <w:color w:val="0070C0"/>
          <w:sz w:val="16"/>
          <w:szCs w:val="16"/>
        </w:rPr>
      </w:pPr>
    </w:p>
    <w:p w14:paraId="0FDC89A4" w14:textId="77777777" w:rsidR="00A96C2D" w:rsidRPr="00507A31" w:rsidRDefault="00A96C2D"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A9913D9" w14:textId="77777777" w:rsidR="00A96C2D" w:rsidRPr="00507A31" w:rsidRDefault="00A96C2D" w:rsidP="00507A31">
      <w:pPr>
        <w:autoSpaceDE w:val="0"/>
        <w:autoSpaceDN w:val="0"/>
        <w:adjustRightInd w:val="0"/>
        <w:jc w:val="both"/>
        <w:rPr>
          <w:iCs/>
          <w:color w:val="000000" w:themeColor="text1"/>
          <w:sz w:val="16"/>
          <w:szCs w:val="16"/>
        </w:rPr>
      </w:pPr>
    </w:p>
    <w:p w14:paraId="223346EC" w14:textId="77777777" w:rsidR="00A96C2D" w:rsidRPr="00507A31" w:rsidRDefault="00A96C2D" w:rsidP="00507A31">
      <w:pPr>
        <w:jc w:val="both"/>
        <w:rPr>
          <w:color w:val="0070C0"/>
          <w:sz w:val="16"/>
          <w:szCs w:val="16"/>
        </w:rPr>
      </w:pPr>
      <w:r w:rsidRPr="00507A31">
        <w:rPr>
          <w:color w:val="0070C0"/>
          <w:sz w:val="16"/>
          <w:szCs w:val="16"/>
        </w:rPr>
        <w:t>2 января 1930 Leroy Grumman, Леон Swirbul и Уильям Schwender основал Grumman Aircraft Engineering Corporation в Baldwin на Лонг - Айленд, Нью - Йорк (20805).</w:t>
      </w:r>
    </w:p>
    <w:p w14:paraId="24349DEF" w14:textId="77777777" w:rsidR="00A96C2D" w:rsidRPr="00507A31" w:rsidRDefault="00A96C2D" w:rsidP="00507A31">
      <w:pPr>
        <w:jc w:val="both"/>
        <w:rPr>
          <w:color w:val="0070C0"/>
          <w:sz w:val="16"/>
          <w:szCs w:val="16"/>
        </w:rPr>
      </w:pPr>
    </w:p>
    <w:p w14:paraId="09FC605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208A759" w14:textId="77777777" w:rsidR="00537E5F" w:rsidRPr="00507A31" w:rsidRDefault="00537E5F" w:rsidP="00507A31">
      <w:pPr>
        <w:autoSpaceDE w:val="0"/>
        <w:autoSpaceDN w:val="0"/>
        <w:adjustRightInd w:val="0"/>
        <w:jc w:val="both"/>
        <w:rPr>
          <w:iCs/>
          <w:color w:val="000000" w:themeColor="text1"/>
          <w:sz w:val="16"/>
          <w:szCs w:val="16"/>
        </w:rPr>
      </w:pPr>
    </w:p>
    <w:p w14:paraId="1108CE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января 1930 года пом. начальника НИИ по тех. части Стоман писал письмо N 1/4с начальнику ВВС.</w:t>
      </w:r>
    </w:p>
    <w:p w14:paraId="19EA0E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сем представляется заключение по самолету Р-5 БМВ VI 6Z 4-й летный самолет.</w:t>
      </w:r>
    </w:p>
    <w:p w14:paraId="4336A0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Поступил в НИИ 31 декабря 1929 года</w:t>
      </w:r>
    </w:p>
    <w:p w14:paraId="21C341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 дается 2 января 1930 года.</w:t>
      </w:r>
    </w:p>
    <w:p w14:paraId="5AB09B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основании 14-ти полетов различных летчиков и технического осмотра самолета с поверкой недочетов по перечню недочетов произведены изменения...(3221).</w:t>
      </w:r>
    </w:p>
    <w:p w14:paraId="444F4475" w14:textId="77777777" w:rsidR="00537E5F" w:rsidRPr="00507A31" w:rsidRDefault="00537E5F" w:rsidP="00507A31">
      <w:pPr>
        <w:autoSpaceDE w:val="0"/>
        <w:autoSpaceDN w:val="0"/>
        <w:adjustRightInd w:val="0"/>
        <w:jc w:val="both"/>
        <w:rPr>
          <w:color w:val="000000" w:themeColor="text1"/>
          <w:sz w:val="16"/>
          <w:szCs w:val="16"/>
        </w:rPr>
      </w:pPr>
    </w:p>
    <w:p w14:paraId="30021598" w14:textId="77777777" w:rsidR="007B38B8"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B0340EF" w14:textId="77777777" w:rsidR="007B38B8" w:rsidRPr="00507A31" w:rsidRDefault="007B38B8" w:rsidP="00507A31">
      <w:pPr>
        <w:autoSpaceDE w:val="0"/>
        <w:autoSpaceDN w:val="0"/>
        <w:adjustRightInd w:val="0"/>
        <w:jc w:val="both"/>
        <w:rPr>
          <w:iCs/>
          <w:color w:val="000000" w:themeColor="text1"/>
          <w:sz w:val="16"/>
          <w:szCs w:val="16"/>
        </w:rPr>
      </w:pPr>
    </w:p>
    <w:p w14:paraId="26DEED10" w14:textId="77777777" w:rsidR="007B38B8" w:rsidRPr="00507A31" w:rsidRDefault="007B38B8" w:rsidP="00507A31">
      <w:pPr>
        <w:jc w:val="both"/>
        <w:rPr>
          <w:color w:val="000000" w:themeColor="text1"/>
          <w:sz w:val="16"/>
          <w:szCs w:val="16"/>
        </w:rPr>
      </w:pPr>
      <w:r w:rsidRPr="00507A31">
        <w:rPr>
          <w:rStyle w:val="a7"/>
          <w:b w:val="0"/>
          <w:color w:val="000000" w:themeColor="text1"/>
          <w:sz w:val="16"/>
          <w:szCs w:val="16"/>
        </w:rPr>
        <w:t xml:space="preserve">3 января 1930 </w:t>
      </w:r>
      <w:r w:rsidRPr="00507A31">
        <w:rPr>
          <w:color w:val="000000" w:themeColor="text1"/>
          <w:sz w:val="16"/>
          <w:szCs w:val="16"/>
        </w:rPr>
        <w:t>ЦИК и СНК приняли постановление «Об увеличении суммы 3-го государственного внутреннего выигрышного займа индустриализации народного хозяйства СССР» (12265).</w:t>
      </w:r>
    </w:p>
    <w:p w14:paraId="5139494A" w14:textId="77777777" w:rsidR="007B38B8" w:rsidRPr="00507A31" w:rsidRDefault="007B38B8" w:rsidP="00507A31">
      <w:pPr>
        <w:jc w:val="both"/>
        <w:rPr>
          <w:color w:val="000000" w:themeColor="text1"/>
          <w:sz w:val="16"/>
          <w:szCs w:val="16"/>
        </w:rPr>
      </w:pPr>
      <w:r w:rsidRPr="00507A31">
        <w:rPr>
          <w:color w:val="000000" w:themeColor="text1"/>
          <w:sz w:val="16"/>
          <w:szCs w:val="16"/>
        </w:rPr>
        <w:t> </w:t>
      </w:r>
    </w:p>
    <w:p w14:paraId="1DBD8ADB" w14:textId="77777777" w:rsidR="003A6101" w:rsidRPr="00507A31" w:rsidRDefault="003A6101" w:rsidP="00507A31">
      <w:pPr>
        <w:jc w:val="both"/>
        <w:rPr>
          <w:color w:val="000000" w:themeColor="text1"/>
          <w:sz w:val="16"/>
          <w:szCs w:val="16"/>
        </w:rPr>
      </w:pPr>
      <w:r w:rsidRPr="00507A31">
        <w:rPr>
          <w:color w:val="000000" w:themeColor="text1"/>
          <w:sz w:val="16"/>
          <w:szCs w:val="16"/>
        </w:rPr>
        <w:t>3 января 1930. Газета "Вечерняя Москва" сообщала: Несмотря на опубликованное постановление о запрещении порубки и продаже елок, торг "рождественскими елочками" производится. Правда, торговля совершается ни в столь откровенной форме, как это было, например, в прошлом году, но при желании потребителю не стоит особого труда приобрести елочку на московских ранках. На Смоленском рынке на просьбу покупателя дать елочку покрупнее, попышнее, продавец лаконично отвечает: "Ноне в продаже мелкая. С крупной заберут!" Покупатель маскирует свою сделку с продавцом - приобретенный товар упаковывается в мешок или обертывается бумагой. Торг в разгаре, особенно накануне Рождества и Старого Нового года" (18725).</w:t>
      </w:r>
    </w:p>
    <w:p w14:paraId="0B84A76A" w14:textId="77777777" w:rsidR="003A6101" w:rsidRPr="00507A31" w:rsidRDefault="003A6101" w:rsidP="00507A31">
      <w:pPr>
        <w:jc w:val="both"/>
        <w:rPr>
          <w:color w:val="000000" w:themeColor="text1"/>
          <w:sz w:val="16"/>
          <w:szCs w:val="16"/>
        </w:rPr>
      </w:pPr>
    </w:p>
    <w:p w14:paraId="7B17354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4646965" w14:textId="77777777" w:rsidR="00537E5F" w:rsidRPr="00507A31" w:rsidRDefault="00537E5F" w:rsidP="00507A31">
      <w:pPr>
        <w:autoSpaceDE w:val="0"/>
        <w:autoSpaceDN w:val="0"/>
        <w:adjustRightInd w:val="0"/>
        <w:jc w:val="both"/>
        <w:rPr>
          <w:iCs/>
          <w:color w:val="000000" w:themeColor="text1"/>
          <w:sz w:val="16"/>
          <w:szCs w:val="16"/>
        </w:rPr>
      </w:pPr>
    </w:p>
    <w:p w14:paraId="5B2C17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января 1930 в Гааге начала работать вторая конференция по репарациям (2100).</w:t>
      </w:r>
    </w:p>
    <w:p w14:paraId="459F40A2" w14:textId="77777777" w:rsidR="00537E5F" w:rsidRPr="00507A31" w:rsidRDefault="00537E5F" w:rsidP="00507A31">
      <w:pPr>
        <w:autoSpaceDE w:val="0"/>
        <w:autoSpaceDN w:val="0"/>
        <w:adjustRightInd w:val="0"/>
        <w:jc w:val="both"/>
        <w:rPr>
          <w:color w:val="000000" w:themeColor="text1"/>
          <w:sz w:val="16"/>
          <w:szCs w:val="16"/>
        </w:rPr>
      </w:pPr>
    </w:p>
    <w:p w14:paraId="097F56A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52C094D" w14:textId="77777777" w:rsidR="00537E5F" w:rsidRPr="00507A31" w:rsidRDefault="00537E5F" w:rsidP="00507A31">
      <w:pPr>
        <w:autoSpaceDE w:val="0"/>
        <w:autoSpaceDN w:val="0"/>
        <w:adjustRightInd w:val="0"/>
        <w:jc w:val="both"/>
        <w:rPr>
          <w:iCs/>
          <w:color w:val="000000" w:themeColor="text1"/>
          <w:sz w:val="16"/>
          <w:szCs w:val="16"/>
        </w:rPr>
      </w:pPr>
    </w:p>
    <w:p w14:paraId="356DB7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января 1930 вышел приказ ВАО N 5 о том, что заводу Р присвоили N 16, Б - 18, М - 19, Г -49 (2356,196).</w:t>
      </w:r>
    </w:p>
    <w:p w14:paraId="4D256BF6" w14:textId="77777777" w:rsidR="00537E5F" w:rsidRPr="00507A31" w:rsidRDefault="00537E5F" w:rsidP="00507A31">
      <w:pPr>
        <w:autoSpaceDE w:val="0"/>
        <w:autoSpaceDN w:val="0"/>
        <w:adjustRightInd w:val="0"/>
        <w:jc w:val="both"/>
        <w:rPr>
          <w:color w:val="000000" w:themeColor="text1"/>
          <w:sz w:val="16"/>
          <w:szCs w:val="16"/>
        </w:rPr>
      </w:pPr>
    </w:p>
    <w:p w14:paraId="2FAB9AA1" w14:textId="77777777" w:rsidR="00726740" w:rsidRPr="00507A31" w:rsidRDefault="00726740" w:rsidP="00507A31">
      <w:pPr>
        <w:autoSpaceDE w:val="0"/>
        <w:autoSpaceDN w:val="0"/>
        <w:adjustRightInd w:val="0"/>
        <w:jc w:val="both"/>
        <w:rPr>
          <w:color w:val="000000" w:themeColor="text1"/>
          <w:sz w:val="16"/>
          <w:szCs w:val="16"/>
        </w:rPr>
      </w:pPr>
      <w:r w:rsidRPr="00507A31">
        <w:rPr>
          <w:color w:val="000000" w:themeColor="text1"/>
          <w:sz w:val="16"/>
          <w:szCs w:val="16"/>
        </w:rPr>
        <w:t>4 января 1930 года приказом №5 Всесоюзного объединения авиационной промышленности Наркомвоенпрома заводу вместо индекса «Б» с 10 января того же года присваивается название «Авиационный завод №18» (17288).</w:t>
      </w:r>
    </w:p>
    <w:p w14:paraId="6557D94B" w14:textId="77777777" w:rsidR="00726740" w:rsidRPr="00507A31" w:rsidRDefault="00726740" w:rsidP="00507A31">
      <w:pPr>
        <w:autoSpaceDE w:val="0"/>
        <w:autoSpaceDN w:val="0"/>
        <w:adjustRightInd w:val="0"/>
        <w:jc w:val="both"/>
        <w:rPr>
          <w:color w:val="000000" w:themeColor="text1"/>
          <w:sz w:val="16"/>
          <w:szCs w:val="16"/>
        </w:rPr>
      </w:pPr>
    </w:p>
    <w:p w14:paraId="76380509" w14:textId="77777777" w:rsidR="00333C29" w:rsidRPr="00507A31" w:rsidRDefault="00333C29" w:rsidP="00507A31">
      <w:pPr>
        <w:pStyle w:val="affa"/>
        <w:shd w:val="clear" w:color="auto" w:fill="FFFFFF"/>
        <w:spacing w:before="0" w:beforeAutospacing="0" w:after="0" w:afterAutospacing="0"/>
        <w:jc w:val="both"/>
        <w:rPr>
          <w:color w:val="000000" w:themeColor="text1"/>
          <w:sz w:val="16"/>
          <w:szCs w:val="16"/>
        </w:rPr>
      </w:pPr>
      <w:r w:rsidRPr="00507A31">
        <w:rPr>
          <w:color w:val="000000" w:themeColor="text1"/>
          <w:sz w:val="16"/>
          <w:szCs w:val="16"/>
        </w:rPr>
        <w:t>4 января 1930 года приказом №5 Всесоюзного объединения авиационной промышленности Наркомвоенпрома заводу вместо индекса «Б» с 10 января того же года присваивается название «Авиационный завод №18» (19822).</w:t>
      </w:r>
    </w:p>
    <w:p w14:paraId="5E260E99" w14:textId="77777777" w:rsidR="00333C29" w:rsidRPr="00507A31" w:rsidRDefault="00333C29" w:rsidP="00507A31">
      <w:pPr>
        <w:pStyle w:val="affa"/>
        <w:shd w:val="clear" w:color="auto" w:fill="FFFFFF"/>
        <w:spacing w:before="0" w:beforeAutospacing="0" w:after="0" w:afterAutospacing="0"/>
        <w:jc w:val="both"/>
        <w:rPr>
          <w:color w:val="000000" w:themeColor="text1"/>
          <w:sz w:val="16"/>
          <w:szCs w:val="16"/>
        </w:rPr>
      </w:pPr>
    </w:p>
    <w:p w14:paraId="750AE5CF" w14:textId="77777777" w:rsidR="00333C29" w:rsidRPr="00507A31" w:rsidRDefault="00333C29" w:rsidP="00507A31">
      <w:pPr>
        <w:jc w:val="both"/>
        <w:rPr>
          <w:color w:val="000000" w:themeColor="text1"/>
          <w:sz w:val="16"/>
          <w:szCs w:val="16"/>
        </w:rPr>
      </w:pPr>
      <w:r w:rsidRPr="00507A31">
        <w:rPr>
          <w:color w:val="000000" w:themeColor="text1"/>
          <w:sz w:val="16"/>
          <w:szCs w:val="16"/>
        </w:rPr>
        <w:t>4 января 1930 года вышел приказ о том, что заводу Р в Воронеже присвоили номер 16, заводу Б – 18 (19829).</w:t>
      </w:r>
    </w:p>
    <w:p w14:paraId="3E1F3B6C" w14:textId="77777777" w:rsidR="00333C29" w:rsidRPr="00507A31" w:rsidRDefault="00333C29" w:rsidP="00507A31">
      <w:pPr>
        <w:jc w:val="both"/>
        <w:rPr>
          <w:color w:val="000000" w:themeColor="text1"/>
          <w:sz w:val="16"/>
          <w:szCs w:val="16"/>
        </w:rPr>
      </w:pPr>
    </w:p>
    <w:p w14:paraId="4F3776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января 1930 вышло постановление СНК о развитии парашютизма среди гражданского населения и задачу поручили Осоавиахиму (3398,11).</w:t>
      </w:r>
    </w:p>
    <w:p w14:paraId="1DCCC52A" w14:textId="77777777" w:rsidR="00537E5F" w:rsidRPr="00507A31" w:rsidRDefault="00537E5F" w:rsidP="00507A31">
      <w:pPr>
        <w:autoSpaceDE w:val="0"/>
        <w:autoSpaceDN w:val="0"/>
        <w:adjustRightInd w:val="0"/>
        <w:jc w:val="both"/>
        <w:rPr>
          <w:color w:val="000000" w:themeColor="text1"/>
          <w:sz w:val="16"/>
          <w:szCs w:val="16"/>
        </w:rPr>
      </w:pPr>
    </w:p>
    <w:p w14:paraId="53B494F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1C427EA" w14:textId="77777777" w:rsidR="00537E5F" w:rsidRPr="00507A31" w:rsidRDefault="00537E5F" w:rsidP="00507A31">
      <w:pPr>
        <w:autoSpaceDE w:val="0"/>
        <w:autoSpaceDN w:val="0"/>
        <w:adjustRightInd w:val="0"/>
        <w:jc w:val="both"/>
        <w:rPr>
          <w:iCs/>
          <w:color w:val="000000" w:themeColor="text1"/>
          <w:sz w:val="16"/>
          <w:szCs w:val="16"/>
        </w:rPr>
      </w:pPr>
    </w:p>
    <w:p w14:paraId="6D3C27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января 1930 состоялось совещание руководителей групп АГОС и П.О.С. докладывал о переделках на Р-7 (АНТ-10) (1102).</w:t>
      </w:r>
    </w:p>
    <w:p w14:paraId="37D0D877" w14:textId="77777777" w:rsidR="00537E5F" w:rsidRPr="00507A31" w:rsidRDefault="00537E5F" w:rsidP="00507A31">
      <w:pPr>
        <w:autoSpaceDE w:val="0"/>
        <w:autoSpaceDN w:val="0"/>
        <w:adjustRightInd w:val="0"/>
        <w:jc w:val="both"/>
        <w:rPr>
          <w:color w:val="000000" w:themeColor="text1"/>
          <w:sz w:val="16"/>
          <w:szCs w:val="16"/>
        </w:rPr>
      </w:pPr>
    </w:p>
    <w:p w14:paraId="620D2F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января 1930 состоялось заседание Правления Авиатреста (протокол 34) и обсудили программу работы завода 28 и запретили ему делать автобусные кузова и др. (2367).</w:t>
      </w:r>
    </w:p>
    <w:p w14:paraId="2ED7213F" w14:textId="77777777" w:rsidR="00537E5F" w:rsidRPr="00507A31" w:rsidRDefault="00537E5F" w:rsidP="00507A31">
      <w:pPr>
        <w:autoSpaceDE w:val="0"/>
        <w:autoSpaceDN w:val="0"/>
        <w:adjustRightInd w:val="0"/>
        <w:jc w:val="both"/>
        <w:rPr>
          <w:color w:val="000000" w:themeColor="text1"/>
          <w:sz w:val="16"/>
          <w:szCs w:val="16"/>
        </w:rPr>
      </w:pPr>
    </w:p>
    <w:p w14:paraId="0E2330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января 1930 года в соответствии с решением ЦК ВКП(б) от «О темпах коллективизации и мерах помощи государства колхозному строительству» в Саратове на территории бывш. сталелитейного завода со значительным расширением, было начато строительство Саратовского завода комбайнов.</w:t>
      </w:r>
    </w:p>
    <w:p w14:paraId="76FCE4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июня 1930 года была произведена закладка фундаментов основных цехов завода, а 31 декабря 1931 года с конвейера завода сошел первый комбайн Саратовского завода.</w:t>
      </w:r>
    </w:p>
    <w:p w14:paraId="5EE44E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1937 года с конвейера завода ежедневно сходило 90 комбайнов типа «СЗК».</w:t>
      </w:r>
    </w:p>
    <w:p w14:paraId="779A92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Постановлением Правительства от 3 августа 1937 года (протокол № 7) от 13 ноября 1937 года (протокол № 21) и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w:t>
      </w:r>
    </w:p>
    <w:p w14:paraId="7FF869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1946 года завод перешел на выпуск учебно-тренировочного истребителя Яковлева А.С. (ЯК-11).</w:t>
      </w:r>
    </w:p>
    <w:p w14:paraId="77F64D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3F0C88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5EEDE6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67C020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50BD26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IV квартале 1956 года завод приступил к подготовке производства самолетов ЯК-27Ф и ЯК-27 ЖРД» (9514).</w:t>
      </w:r>
    </w:p>
    <w:p w14:paraId="036F7282" w14:textId="77777777" w:rsidR="00537E5F" w:rsidRPr="00507A31" w:rsidRDefault="00537E5F" w:rsidP="00507A31">
      <w:pPr>
        <w:autoSpaceDE w:val="0"/>
        <w:autoSpaceDN w:val="0"/>
        <w:adjustRightInd w:val="0"/>
        <w:jc w:val="both"/>
        <w:rPr>
          <w:color w:val="000000" w:themeColor="text1"/>
          <w:sz w:val="16"/>
          <w:szCs w:val="16"/>
        </w:rPr>
      </w:pPr>
    </w:p>
    <w:p w14:paraId="6588A1FE" w14:textId="77777777" w:rsidR="007B38B8"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5BB7307" w14:textId="77777777" w:rsidR="007B38B8" w:rsidRPr="00507A31" w:rsidRDefault="007B38B8" w:rsidP="00507A31">
      <w:pPr>
        <w:autoSpaceDE w:val="0"/>
        <w:autoSpaceDN w:val="0"/>
        <w:adjustRightInd w:val="0"/>
        <w:jc w:val="both"/>
        <w:rPr>
          <w:iCs/>
          <w:color w:val="000000" w:themeColor="text1"/>
          <w:sz w:val="16"/>
          <w:szCs w:val="16"/>
        </w:rPr>
      </w:pPr>
    </w:p>
    <w:p w14:paraId="58B6FBB6" w14:textId="77777777" w:rsidR="005D47EF" w:rsidRPr="00507A31" w:rsidRDefault="005D47EF" w:rsidP="00507A31">
      <w:pPr>
        <w:jc w:val="both"/>
        <w:rPr>
          <w:color w:val="0070C0"/>
          <w:sz w:val="16"/>
          <w:szCs w:val="16"/>
        </w:rPr>
      </w:pPr>
      <w:r w:rsidRPr="00507A31">
        <w:rPr>
          <w:color w:val="0070C0"/>
          <w:sz w:val="16"/>
          <w:szCs w:val="16"/>
        </w:rPr>
        <w:t>5 января 1930 состоялось заседание ПБ (Протокол № 112. Особый № 110)</w:t>
      </w:r>
    </w:p>
    <w:p w14:paraId="7EE34D4E" w14:textId="77777777" w:rsidR="005D47EF" w:rsidRPr="00507A31" w:rsidRDefault="005D47EF" w:rsidP="00507A31">
      <w:pPr>
        <w:jc w:val="both"/>
        <w:rPr>
          <w:color w:val="0070C0"/>
          <w:sz w:val="16"/>
          <w:szCs w:val="16"/>
        </w:rPr>
      </w:pPr>
      <w:r w:rsidRPr="00507A31">
        <w:rPr>
          <w:color w:val="0070C0"/>
          <w:sz w:val="16"/>
          <w:szCs w:val="16"/>
        </w:rPr>
        <w:t>30 декабря 1929 опросом членов ПБ</w:t>
      </w:r>
    </w:p>
    <w:p w14:paraId="7119A185" w14:textId="77777777" w:rsidR="005D47EF" w:rsidRPr="00507A31" w:rsidRDefault="005D47EF" w:rsidP="00507A31">
      <w:pPr>
        <w:jc w:val="both"/>
        <w:rPr>
          <w:color w:val="0070C0"/>
          <w:sz w:val="16"/>
          <w:szCs w:val="16"/>
        </w:rPr>
      </w:pPr>
      <w:r w:rsidRPr="00507A31">
        <w:rPr>
          <w:color w:val="0070C0"/>
          <w:sz w:val="16"/>
          <w:szCs w:val="16"/>
        </w:rPr>
        <w:t>33.-О мобплане.</w:t>
      </w:r>
    </w:p>
    <w:p w14:paraId="7F5652A4" w14:textId="77777777" w:rsidR="005D47EF" w:rsidRPr="00507A31" w:rsidRDefault="005D47EF" w:rsidP="00507A31">
      <w:pPr>
        <w:jc w:val="both"/>
        <w:rPr>
          <w:color w:val="0070C0"/>
          <w:sz w:val="16"/>
          <w:szCs w:val="16"/>
        </w:rPr>
      </w:pPr>
      <w:r w:rsidRPr="00507A31">
        <w:rPr>
          <w:color w:val="0070C0"/>
          <w:sz w:val="16"/>
          <w:szCs w:val="16"/>
        </w:rPr>
        <w:t>а) Принять сообщение т.Орджоникидзе к сведению. Поста</w:t>
      </w:r>
      <w:r w:rsidRPr="00507A31">
        <w:rPr>
          <w:color w:val="0070C0"/>
          <w:sz w:val="16"/>
          <w:szCs w:val="16"/>
        </w:rPr>
        <w:softHyphen/>
        <w:t>вить через 10 дней на закрытом заседании Политбюро: 1) доклад РКИ, ВСНХ и РВС СССР о мобподготовке промышленности и б) до</w:t>
      </w:r>
      <w:r w:rsidRPr="00507A31">
        <w:rPr>
          <w:color w:val="0070C0"/>
          <w:sz w:val="16"/>
          <w:szCs w:val="16"/>
        </w:rPr>
        <w:softHyphen/>
        <w:t>клад т.Орджоникидзе об А.У.</w:t>
      </w:r>
    </w:p>
    <w:p w14:paraId="2DAD4A00" w14:textId="77777777" w:rsidR="005D47EF" w:rsidRPr="00507A31" w:rsidRDefault="005D47EF" w:rsidP="00507A31">
      <w:pPr>
        <w:jc w:val="both"/>
        <w:rPr>
          <w:color w:val="0070C0"/>
          <w:sz w:val="16"/>
          <w:szCs w:val="16"/>
        </w:rPr>
      </w:pPr>
      <w:r w:rsidRPr="00507A31">
        <w:rPr>
          <w:color w:val="0070C0"/>
          <w:sz w:val="16"/>
          <w:szCs w:val="16"/>
        </w:rPr>
        <w:t>б) Предложить комиссии т.Рыкова представить к этому заседанию конкретные предложения по мобподготовке.</w:t>
      </w:r>
    </w:p>
    <w:p w14:paraId="6BFCB58B" w14:textId="77777777" w:rsidR="005D47EF" w:rsidRPr="00507A31" w:rsidRDefault="005D47EF" w:rsidP="00507A31">
      <w:pPr>
        <w:jc w:val="both"/>
        <w:rPr>
          <w:color w:val="0070C0"/>
          <w:sz w:val="16"/>
          <w:szCs w:val="16"/>
        </w:rPr>
      </w:pPr>
      <w:r w:rsidRPr="00507A31">
        <w:rPr>
          <w:color w:val="0070C0"/>
          <w:sz w:val="16"/>
          <w:szCs w:val="16"/>
        </w:rPr>
        <w:t>Выписки посланы: т.т. Рыкову, Орджоникидзе, Куйбышеву, Ворошилову (23101).</w:t>
      </w:r>
    </w:p>
    <w:p w14:paraId="58CD83A4" w14:textId="77777777" w:rsidR="005D47EF" w:rsidRPr="00507A31" w:rsidRDefault="005D47EF" w:rsidP="00507A31">
      <w:pPr>
        <w:jc w:val="both"/>
        <w:rPr>
          <w:color w:val="0070C0"/>
          <w:sz w:val="16"/>
          <w:szCs w:val="16"/>
        </w:rPr>
      </w:pPr>
    </w:p>
    <w:p w14:paraId="4338A0A5" w14:textId="77777777" w:rsidR="007B38B8" w:rsidRPr="00507A31" w:rsidRDefault="007B38B8" w:rsidP="00507A31">
      <w:pPr>
        <w:jc w:val="both"/>
        <w:rPr>
          <w:color w:val="000000" w:themeColor="text1"/>
          <w:sz w:val="16"/>
          <w:szCs w:val="16"/>
        </w:rPr>
      </w:pPr>
      <w:r w:rsidRPr="00507A31">
        <w:rPr>
          <w:color w:val="000000" w:themeColor="text1"/>
          <w:sz w:val="16"/>
          <w:szCs w:val="16"/>
        </w:rPr>
        <w:t>5 января 1930 Политбюро ЦК ВКП (б) заслушало сообщение о ходе выполнения контрольных цифр промышленностью в I квартале 1929/30 г.; утвердило проект постановления ЦК ВКП (б) по докладу Северного краевого комитета ВКП (б) (12265).</w:t>
      </w:r>
    </w:p>
    <w:p w14:paraId="6E77B042" w14:textId="77777777" w:rsidR="007B38B8" w:rsidRPr="00507A31" w:rsidRDefault="007B38B8" w:rsidP="00507A31">
      <w:pPr>
        <w:jc w:val="both"/>
        <w:rPr>
          <w:color w:val="000000" w:themeColor="text1"/>
          <w:sz w:val="16"/>
          <w:szCs w:val="16"/>
        </w:rPr>
      </w:pPr>
      <w:r w:rsidRPr="00507A31">
        <w:rPr>
          <w:color w:val="000000" w:themeColor="text1"/>
          <w:sz w:val="16"/>
          <w:szCs w:val="16"/>
        </w:rPr>
        <w:t> </w:t>
      </w:r>
    </w:p>
    <w:p w14:paraId="00B1B769" w14:textId="77777777" w:rsidR="007B38B8" w:rsidRPr="00507A31" w:rsidRDefault="007B38B8" w:rsidP="00507A31">
      <w:pPr>
        <w:jc w:val="both"/>
        <w:rPr>
          <w:color w:val="000000" w:themeColor="text1"/>
          <w:sz w:val="16"/>
          <w:szCs w:val="16"/>
          <w:u w:color="002060"/>
        </w:rPr>
      </w:pPr>
      <w:r w:rsidRPr="00507A31">
        <w:rPr>
          <w:color w:val="000000" w:themeColor="text1"/>
          <w:sz w:val="16"/>
          <w:szCs w:val="16"/>
          <w:u w:color="002060"/>
        </w:rPr>
        <w:t>5 января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112. Решения ПБ. 33. О мобплане. — ОП. (Политбюро... Т. 2. С. 8) (12416).</w:t>
      </w:r>
    </w:p>
    <w:p w14:paraId="3CD5EC1F" w14:textId="77777777" w:rsidR="007B38B8" w:rsidRPr="00507A31" w:rsidRDefault="007B38B8" w:rsidP="00507A31">
      <w:pPr>
        <w:jc w:val="both"/>
        <w:rPr>
          <w:color w:val="000000" w:themeColor="text1"/>
          <w:sz w:val="16"/>
          <w:szCs w:val="16"/>
          <w:u w:color="002060"/>
        </w:rPr>
      </w:pPr>
    </w:p>
    <w:p w14:paraId="75D024D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D2277FE" w14:textId="77777777" w:rsidR="00537E5F" w:rsidRPr="00507A31" w:rsidRDefault="00537E5F" w:rsidP="00507A31">
      <w:pPr>
        <w:autoSpaceDE w:val="0"/>
        <w:autoSpaceDN w:val="0"/>
        <w:adjustRightInd w:val="0"/>
        <w:jc w:val="both"/>
        <w:rPr>
          <w:iCs/>
          <w:color w:val="000000" w:themeColor="text1"/>
          <w:sz w:val="16"/>
          <w:szCs w:val="16"/>
        </w:rPr>
      </w:pPr>
    </w:p>
    <w:p w14:paraId="3E6219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января 1930 вышло Постановление ЦК ВКП(б) "О темпе коллективизации и мерах помощи государства колхозному строительству". По плану Северный Кавказ, Нижняя и Средняя Волга должны были стать зоной сплошной коллективизации осенью 1930 года, другие производящие зерно сельскохозяйственные регионы - на год позднее. Коллективизацию намечено завершить в 1932 году (10687).</w:t>
      </w:r>
    </w:p>
    <w:p w14:paraId="546AAFE6" w14:textId="77777777" w:rsidR="00537E5F" w:rsidRPr="00507A31" w:rsidRDefault="00537E5F" w:rsidP="00507A31">
      <w:pPr>
        <w:autoSpaceDE w:val="0"/>
        <w:autoSpaceDN w:val="0"/>
        <w:adjustRightInd w:val="0"/>
        <w:jc w:val="both"/>
        <w:rPr>
          <w:color w:val="000000" w:themeColor="text1"/>
          <w:sz w:val="16"/>
          <w:szCs w:val="16"/>
        </w:rPr>
      </w:pPr>
    </w:p>
    <w:p w14:paraId="1BEAEB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января 1930 вышло постановление ЦК ВКП(б) "О темпах коллективизации и мерах помощи государства колхозному строительству" - все же ориентировали завершение на конец пятилетки и разделил страну по темпам на три группы. Ведущие зерновые районы были в первой и должны были закончить к весне 1931. Вторая, включая Украину, ЦЧО, Сибирь, Урал, Казахстан - к весне 1932. Поставили задачу ликвидации кулачества как класса на основе сплошной коллективизации (226,397).</w:t>
      </w:r>
    </w:p>
    <w:p w14:paraId="1E4B7CBA" w14:textId="77777777" w:rsidR="00537E5F" w:rsidRPr="00507A31" w:rsidRDefault="00537E5F" w:rsidP="00507A31">
      <w:pPr>
        <w:autoSpaceDE w:val="0"/>
        <w:autoSpaceDN w:val="0"/>
        <w:adjustRightInd w:val="0"/>
        <w:jc w:val="both"/>
        <w:rPr>
          <w:color w:val="000000" w:themeColor="text1"/>
          <w:sz w:val="16"/>
          <w:szCs w:val="16"/>
        </w:rPr>
      </w:pPr>
    </w:p>
    <w:p w14:paraId="50FCAB55" w14:textId="77777777" w:rsidR="00A51B66" w:rsidRPr="00507A31" w:rsidRDefault="00A51B66" w:rsidP="00507A31">
      <w:pPr>
        <w:jc w:val="both"/>
        <w:rPr>
          <w:color w:val="000000" w:themeColor="text1"/>
          <w:sz w:val="16"/>
          <w:szCs w:val="16"/>
        </w:rPr>
      </w:pPr>
      <w:r w:rsidRPr="00507A31">
        <w:rPr>
          <w:color w:val="000000" w:themeColor="text1"/>
          <w:sz w:val="16"/>
          <w:szCs w:val="16"/>
        </w:rPr>
        <w:t>5 января 1930 Постановление ЦК  ВКП  (б)  "О темпе коллективизации  и  мерах  помощи   государства  колхозному  строительству".      Были  установлены различные темпы коллективизации.   К первой  группе отнесены  важнейшие  зерновые  районы,  наиболее подготовленные к коллективизации, имевшие больше тракторов, больше совхозов - северный  Кавказ (Кубань,  Дон, Терек), средняя Волга, нижняя Волга. Для  этой группы зерновых  районов ЦК предлагал закончить  в основном коллективизацию весной 1931 года. Вторая группа зерновых районов, куда входили Украина, Центрально-Черноземная область,  Сибирь,  Урал, Казахстан и  другие зерновые районы, могла закончить в основном коллективизацию весной 1932 года. Остальные области,  края и  республики (Московская область, Закавказье, Средне-</w:t>
      </w:r>
      <w:r w:rsidRPr="00507A31">
        <w:rPr>
          <w:color w:val="000000" w:themeColor="text1"/>
          <w:sz w:val="16"/>
          <w:szCs w:val="16"/>
        </w:rPr>
        <w:lastRenderedPageBreak/>
        <w:t xml:space="preserve">Азиатские республики и т.д.) могли растянуть сроки коллективизации до конца пятилетки, то есть до 1933 года. Колхозам решено увеличить кредиты вдвое (до 500 млн.руб.). Землеустройство проводится за государственный счет. Мда, Украина попала лишь во вторую группу (12629). </w:t>
      </w:r>
    </w:p>
    <w:p w14:paraId="0845CBD3" w14:textId="77777777" w:rsidR="00A51B66" w:rsidRPr="00507A31" w:rsidRDefault="00A51B66" w:rsidP="00507A31">
      <w:pPr>
        <w:autoSpaceDE w:val="0"/>
        <w:autoSpaceDN w:val="0"/>
        <w:adjustRightInd w:val="0"/>
        <w:jc w:val="both"/>
        <w:rPr>
          <w:iCs/>
          <w:color w:val="000000" w:themeColor="text1"/>
          <w:sz w:val="16"/>
          <w:szCs w:val="16"/>
        </w:rPr>
      </w:pPr>
    </w:p>
    <w:p w14:paraId="78A91F5C" w14:textId="77777777" w:rsidR="00C04FDD" w:rsidRPr="00507A31" w:rsidRDefault="00C04FDD" w:rsidP="00507A31">
      <w:pPr>
        <w:jc w:val="both"/>
        <w:rPr>
          <w:color w:val="000000" w:themeColor="text1"/>
          <w:sz w:val="16"/>
          <w:szCs w:val="16"/>
        </w:rPr>
      </w:pPr>
      <w:r w:rsidRPr="00507A31">
        <w:rPr>
          <w:bCs/>
          <w:color w:val="000000" w:themeColor="text1"/>
          <w:sz w:val="16"/>
          <w:szCs w:val="16"/>
        </w:rPr>
        <w:t>5 января</w:t>
      </w:r>
      <w:r w:rsidRPr="00507A31">
        <w:rPr>
          <w:color w:val="000000" w:themeColor="text1"/>
          <w:sz w:val="16"/>
          <w:szCs w:val="16"/>
        </w:rPr>
        <w:t xml:space="preserve"> в 1930 году принято постановление ЦК ВКП (б) "О темпе коллективизации мерах помощи государства колхозному строительству". Как говорилось в "Кратком курсе истории Всесоюзной коммунистической партии (большевиков)", в нем была закреплена политика ликвидации кулачества как класса. Области СССР были разбиты на три группы с точки зрения темпов коллективизации. В важнейших зерновых районах - Cеверном Кавказе (Кубань, Дон, Терек), средней и нижней Волге - ЦК предлагал закончить коллективизацию весной 1931 года. На Украине, Центрально-Черноземной области, Сибири, Урале, Казахстане и других зерновых районах - весной 1932 года. В остальных областях, краях и республиках (Московская область, Закавказье и Средняя Азия) - к концу пятилетки, т. е. 1933 году (15000).</w:t>
      </w:r>
    </w:p>
    <w:p w14:paraId="0B251817" w14:textId="77777777" w:rsidR="00C04FDD" w:rsidRPr="00507A31" w:rsidRDefault="00C04FDD" w:rsidP="00507A31">
      <w:pPr>
        <w:jc w:val="both"/>
        <w:rPr>
          <w:color w:val="000000" w:themeColor="text1"/>
          <w:sz w:val="16"/>
          <w:szCs w:val="16"/>
        </w:rPr>
      </w:pPr>
    </w:p>
    <w:p w14:paraId="2919F40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3B2DFC5" w14:textId="77777777" w:rsidR="00537E5F" w:rsidRPr="00507A31" w:rsidRDefault="00537E5F" w:rsidP="00507A31">
      <w:pPr>
        <w:autoSpaceDE w:val="0"/>
        <w:autoSpaceDN w:val="0"/>
        <w:adjustRightInd w:val="0"/>
        <w:jc w:val="both"/>
        <w:rPr>
          <w:iCs/>
          <w:color w:val="000000" w:themeColor="text1"/>
          <w:sz w:val="16"/>
          <w:szCs w:val="16"/>
        </w:rPr>
      </w:pPr>
    </w:p>
    <w:p w14:paraId="603F69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января 1930 г. состоялось решения Правительства по подготовке автотранспорта к обороне (11210).</w:t>
      </w:r>
    </w:p>
    <w:p w14:paraId="7BC8B4C7" w14:textId="77777777" w:rsidR="00537E5F" w:rsidRPr="00507A31" w:rsidRDefault="00537E5F" w:rsidP="00507A31">
      <w:pPr>
        <w:autoSpaceDE w:val="0"/>
        <w:autoSpaceDN w:val="0"/>
        <w:adjustRightInd w:val="0"/>
        <w:jc w:val="both"/>
        <w:rPr>
          <w:color w:val="000000" w:themeColor="text1"/>
          <w:sz w:val="16"/>
          <w:szCs w:val="16"/>
        </w:rPr>
      </w:pPr>
    </w:p>
    <w:p w14:paraId="5DCC21D0" w14:textId="77777777" w:rsidR="003A6101" w:rsidRPr="00507A31" w:rsidRDefault="003A6101" w:rsidP="00507A31">
      <w:pPr>
        <w:jc w:val="both"/>
        <w:rPr>
          <w:color w:val="000000" w:themeColor="text1"/>
          <w:sz w:val="16"/>
          <w:szCs w:val="16"/>
        </w:rPr>
      </w:pPr>
      <w:r w:rsidRPr="00507A31">
        <w:rPr>
          <w:color w:val="000000" w:themeColor="text1"/>
          <w:sz w:val="16"/>
          <w:szCs w:val="16"/>
        </w:rPr>
        <w:t>6 января 1930 г. заместитель директора НАМИ сообщил НТК УММ и руководству Тремасса: «1. НАМИ может взять на себя все испытательные работы для выявления качеств мотоциклов, предполагающихся к производству на заводах Тремасса. 2. Кроме Тремасса производство мотоциклов намечается Велостроем, ориентирующимся на типы и техническую помощь фирмы БСА. 3. Считаем совершенно необходимым произвести предварительную увязку между обоими организациями с точки зрения подбора типов и выработки технических условий на них совместно с УММ и Автодором». Так, с многочисленными оговорками, мотоцикл из северной столицы получил путевку в жизнь. Как объект копирования был принят германский мотоцикл DKW модели Luxus-300. Отечественные копии стали известны под марками Тремасс-300, Л-300, «Красный Октябрь» или «Советский Декаве». Все мотоциклы этого семейства имели более или менее существенные отличия, для изготовления первых образцов даже использовались импортные детали, связанные с отсутствием утвержденной технологии и индивидуальным характером производства. Достаточно сказать, что мощность мотора мотоциклов разных дат выпуска колебалась от 6 до 6,5 л.с. В различное время изготовление комплектующих и финальная сборка осуществлялась разными предприятиями Тремасса и лениградского куста заводов, но основной объем работ выполняли заводы «Промет» и «Красный Октябрь». Как альтернатива начинанию Тремасса был проект организации выпуска мотоциклов на заводах Велостроя, также находившегося в подчинении ВСНХ РСФСР, а не СССР. Управление Велостроя располагалось в Москве по Ильинке 3/4 и на Новгородской линии 55, а также имело телеграфный адрес «Москва Велострой» (19776).</w:t>
      </w:r>
    </w:p>
    <w:p w14:paraId="7B3A1B93" w14:textId="77777777" w:rsidR="003A6101" w:rsidRPr="00507A31" w:rsidRDefault="003A6101" w:rsidP="00507A31">
      <w:pPr>
        <w:jc w:val="both"/>
        <w:rPr>
          <w:color w:val="000000" w:themeColor="text1"/>
          <w:sz w:val="16"/>
          <w:szCs w:val="16"/>
        </w:rPr>
      </w:pPr>
    </w:p>
    <w:p w14:paraId="7F40CFA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746A7628" w14:textId="77777777" w:rsidR="00537E5F" w:rsidRPr="00507A31" w:rsidRDefault="00537E5F" w:rsidP="00507A31">
      <w:pPr>
        <w:autoSpaceDE w:val="0"/>
        <w:autoSpaceDN w:val="0"/>
        <w:adjustRightInd w:val="0"/>
        <w:jc w:val="both"/>
        <w:rPr>
          <w:iCs/>
          <w:color w:val="000000" w:themeColor="text1"/>
          <w:sz w:val="16"/>
          <w:szCs w:val="16"/>
        </w:rPr>
      </w:pPr>
    </w:p>
    <w:p w14:paraId="3343C3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января 1930 г. вышло решение Правительства по подготовке автотранспорта к обороне. В настоящее выявлена потребность в автотранспорте, по вар. №10 и представлена в Штаб РККА. Работа не закончена, так как Центральное мобилизационное управление НКПС лишь к 1 декабря с.г. предоставит данные о наличии автотранспорта. Только после получения этих данных, возможно, будет провести работу по освобождению автотранспорта от повинности, о приписке, о составлении плана перевозок. По плану работ Штаба РККА вся работа по автоповинности должна быть закончена к 15 апреля 1931 г. (10977).</w:t>
      </w:r>
    </w:p>
    <w:p w14:paraId="49B2157F" w14:textId="77777777" w:rsidR="00537E5F" w:rsidRPr="00507A31" w:rsidRDefault="00537E5F" w:rsidP="00507A31">
      <w:pPr>
        <w:autoSpaceDE w:val="0"/>
        <w:autoSpaceDN w:val="0"/>
        <w:adjustRightInd w:val="0"/>
        <w:jc w:val="both"/>
        <w:rPr>
          <w:color w:val="000000" w:themeColor="text1"/>
          <w:sz w:val="16"/>
          <w:szCs w:val="16"/>
        </w:rPr>
      </w:pPr>
    </w:p>
    <w:p w14:paraId="4FEF8D1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34049109" w14:textId="77777777" w:rsidR="00537E5F" w:rsidRPr="00507A31" w:rsidRDefault="00537E5F" w:rsidP="00507A31">
      <w:pPr>
        <w:autoSpaceDE w:val="0"/>
        <w:autoSpaceDN w:val="0"/>
        <w:adjustRightInd w:val="0"/>
        <w:jc w:val="both"/>
        <w:rPr>
          <w:iCs/>
          <w:color w:val="000000" w:themeColor="text1"/>
          <w:sz w:val="16"/>
          <w:szCs w:val="16"/>
        </w:rPr>
      </w:pPr>
    </w:p>
    <w:p w14:paraId="2E3CCC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января 1930 года Чичерина привезли в Москву. После возвращения Чичерин констатировал, что за полтора года его отсутствия все близкие ему люди, за редкими исключениями, уволены, а созданная система работы разрушена. Так что главным его занятием до отставки стало написание инструкции будущему наркому иностранных дел. В ней Чичерин хотел предупредить преемника обо всех ожидающих его опасностях. Но документ он так никому и не передал, поскольку в июле 1930 года наркомом назначили Литвинова (11652). </w:t>
      </w:r>
    </w:p>
    <w:p w14:paraId="6D7A65DB" w14:textId="77777777" w:rsidR="00537E5F" w:rsidRPr="00507A31" w:rsidRDefault="00537E5F" w:rsidP="00507A31">
      <w:pPr>
        <w:autoSpaceDE w:val="0"/>
        <w:autoSpaceDN w:val="0"/>
        <w:adjustRightInd w:val="0"/>
        <w:jc w:val="both"/>
        <w:rPr>
          <w:color w:val="000000" w:themeColor="text1"/>
          <w:sz w:val="16"/>
          <w:szCs w:val="16"/>
        </w:rPr>
      </w:pPr>
    </w:p>
    <w:p w14:paraId="0BA2659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02116F7" w14:textId="77777777" w:rsidR="00537E5F" w:rsidRPr="00507A31" w:rsidRDefault="00537E5F" w:rsidP="00507A31">
      <w:pPr>
        <w:autoSpaceDE w:val="0"/>
        <w:autoSpaceDN w:val="0"/>
        <w:adjustRightInd w:val="0"/>
        <w:jc w:val="both"/>
        <w:rPr>
          <w:iCs/>
          <w:color w:val="000000" w:themeColor="text1"/>
          <w:sz w:val="16"/>
          <w:szCs w:val="16"/>
        </w:rPr>
      </w:pPr>
    </w:p>
    <w:p w14:paraId="407B07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начале января 1930 г. завод № 25 направил на рассмотрение в технический отдел Авиатре</w:t>
      </w:r>
      <w:r w:rsidRPr="00507A31">
        <w:rPr>
          <w:color w:val="000000" w:themeColor="text1"/>
          <w:sz w:val="16"/>
          <w:szCs w:val="16"/>
        </w:rPr>
        <w:softHyphen/>
        <w:t>ста следующие варианты истребителя И-7: № 2 - полутораплан, № 3 - биплан с деревянным фюзеляжем, № 4 -биплан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и № 3 с деревянными фюзеляжами. После утверждения проектов Авиатрестом, их пере</w:t>
      </w:r>
      <w:r w:rsidRPr="00507A31">
        <w:rPr>
          <w:color w:val="000000" w:themeColor="text1"/>
          <w:sz w:val="16"/>
          <w:szCs w:val="16"/>
        </w:rPr>
        <w:softHyphen/>
        <w:t>слали в НТК ВВС (10667).</w:t>
      </w:r>
    </w:p>
    <w:p w14:paraId="4AD216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8B4A28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4CB0F72" w14:textId="77777777" w:rsidR="00537E5F" w:rsidRPr="00507A31" w:rsidRDefault="00537E5F" w:rsidP="00507A31">
      <w:pPr>
        <w:autoSpaceDE w:val="0"/>
        <w:autoSpaceDN w:val="0"/>
        <w:adjustRightInd w:val="0"/>
        <w:jc w:val="both"/>
        <w:rPr>
          <w:iCs/>
          <w:color w:val="000000" w:themeColor="text1"/>
          <w:sz w:val="16"/>
          <w:szCs w:val="16"/>
        </w:rPr>
      </w:pPr>
    </w:p>
    <w:p w14:paraId="3D1C67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января 1930 Нач. 2-го управления ГШтаба РККА Венцов составил записку (9089,152):</w:t>
      </w:r>
    </w:p>
    <w:p w14:paraId="05BB60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Потребность и наличие в производстве танков в военное время: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965"/>
        <w:gridCol w:w="1985"/>
        <w:gridCol w:w="1984"/>
        <w:gridCol w:w="2126"/>
      </w:tblGrid>
      <w:tr w:rsidR="00A61694" w:rsidRPr="00507A31" w14:paraId="642EFF5C" w14:textId="77777777">
        <w:tc>
          <w:tcPr>
            <w:tcW w:w="2254" w:type="dxa"/>
          </w:tcPr>
          <w:p w14:paraId="0067A3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w:t>
            </w:r>
          </w:p>
        </w:tc>
        <w:tc>
          <w:tcPr>
            <w:tcW w:w="1965" w:type="dxa"/>
          </w:tcPr>
          <w:p w14:paraId="22EEDD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1929/1930 моб./воен.</w:t>
            </w:r>
          </w:p>
        </w:tc>
        <w:tc>
          <w:tcPr>
            <w:tcW w:w="1985" w:type="dxa"/>
          </w:tcPr>
          <w:p w14:paraId="40A390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1930/1931 моб./воен.</w:t>
            </w:r>
          </w:p>
        </w:tc>
        <w:tc>
          <w:tcPr>
            <w:tcW w:w="1984" w:type="dxa"/>
          </w:tcPr>
          <w:p w14:paraId="5DEF01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1931/1932 моб./воен.</w:t>
            </w:r>
          </w:p>
        </w:tc>
        <w:tc>
          <w:tcPr>
            <w:tcW w:w="2126" w:type="dxa"/>
          </w:tcPr>
          <w:p w14:paraId="3506E2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1932/1933 моб./воен.</w:t>
            </w:r>
          </w:p>
        </w:tc>
      </w:tr>
      <w:tr w:rsidR="00A61694" w:rsidRPr="00507A31" w14:paraId="013739CD" w14:textId="77777777">
        <w:tc>
          <w:tcPr>
            <w:tcW w:w="2254" w:type="dxa"/>
          </w:tcPr>
          <w:p w14:paraId="7A0764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Малые танки</w:t>
            </w:r>
          </w:p>
        </w:tc>
        <w:tc>
          <w:tcPr>
            <w:tcW w:w="1965" w:type="dxa"/>
          </w:tcPr>
          <w:p w14:paraId="089756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450/1800</w:t>
            </w:r>
          </w:p>
        </w:tc>
        <w:tc>
          <w:tcPr>
            <w:tcW w:w="1985" w:type="dxa"/>
          </w:tcPr>
          <w:p w14:paraId="30DFCE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1000/4000</w:t>
            </w:r>
          </w:p>
        </w:tc>
        <w:tc>
          <w:tcPr>
            <w:tcW w:w="1984" w:type="dxa"/>
          </w:tcPr>
          <w:p w14:paraId="1513A3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1550/6200</w:t>
            </w:r>
          </w:p>
        </w:tc>
        <w:tc>
          <w:tcPr>
            <w:tcW w:w="2126" w:type="dxa"/>
          </w:tcPr>
          <w:p w14:paraId="2D7875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2070/8280</w:t>
            </w:r>
          </w:p>
        </w:tc>
      </w:tr>
      <w:tr w:rsidR="00A61694" w:rsidRPr="00507A31" w14:paraId="1E049F55" w14:textId="77777777">
        <w:tc>
          <w:tcPr>
            <w:tcW w:w="2254" w:type="dxa"/>
          </w:tcPr>
          <w:p w14:paraId="3EB112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Средние танки</w:t>
            </w:r>
          </w:p>
        </w:tc>
        <w:tc>
          <w:tcPr>
            <w:tcW w:w="1965" w:type="dxa"/>
          </w:tcPr>
          <w:p w14:paraId="2A1675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56/224</w:t>
            </w:r>
          </w:p>
        </w:tc>
        <w:tc>
          <w:tcPr>
            <w:tcW w:w="1985" w:type="dxa"/>
          </w:tcPr>
          <w:p w14:paraId="3A9ECB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668/2672</w:t>
            </w:r>
          </w:p>
        </w:tc>
        <w:tc>
          <w:tcPr>
            <w:tcW w:w="1984" w:type="dxa"/>
          </w:tcPr>
          <w:p w14:paraId="78F41C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1000/4000</w:t>
            </w:r>
          </w:p>
        </w:tc>
        <w:tc>
          <w:tcPr>
            <w:tcW w:w="2126" w:type="dxa"/>
          </w:tcPr>
          <w:p w14:paraId="48025F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1500/6000</w:t>
            </w:r>
          </w:p>
        </w:tc>
      </w:tr>
      <w:tr w:rsidR="00A61694" w:rsidRPr="00507A31" w14:paraId="32276207" w14:textId="77777777">
        <w:tc>
          <w:tcPr>
            <w:tcW w:w="2254" w:type="dxa"/>
          </w:tcPr>
          <w:p w14:paraId="326149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Тяжелые танки</w:t>
            </w:r>
          </w:p>
        </w:tc>
        <w:tc>
          <w:tcPr>
            <w:tcW w:w="1965" w:type="dxa"/>
          </w:tcPr>
          <w:p w14:paraId="594076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985" w:type="dxa"/>
          </w:tcPr>
          <w:p w14:paraId="18FF6C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984" w:type="dxa"/>
          </w:tcPr>
          <w:p w14:paraId="19F27F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25/100</w:t>
            </w:r>
          </w:p>
        </w:tc>
        <w:tc>
          <w:tcPr>
            <w:tcW w:w="2126" w:type="dxa"/>
          </w:tcPr>
          <w:p w14:paraId="070DA9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178/712</w:t>
            </w:r>
          </w:p>
        </w:tc>
      </w:tr>
      <w:tr w:rsidR="00A61694" w:rsidRPr="00507A31" w14:paraId="72437FD3" w14:textId="77777777">
        <w:tc>
          <w:tcPr>
            <w:tcW w:w="2254" w:type="dxa"/>
          </w:tcPr>
          <w:p w14:paraId="2BE869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Танкетки</w:t>
            </w:r>
          </w:p>
        </w:tc>
        <w:tc>
          <w:tcPr>
            <w:tcW w:w="1965" w:type="dxa"/>
          </w:tcPr>
          <w:p w14:paraId="0E1409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20/80</w:t>
            </w:r>
          </w:p>
        </w:tc>
        <w:tc>
          <w:tcPr>
            <w:tcW w:w="1985" w:type="dxa"/>
          </w:tcPr>
          <w:p w14:paraId="31BD0F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270/960</w:t>
            </w:r>
          </w:p>
        </w:tc>
        <w:tc>
          <w:tcPr>
            <w:tcW w:w="1984" w:type="dxa"/>
          </w:tcPr>
          <w:p w14:paraId="3D14DE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560/2240</w:t>
            </w:r>
          </w:p>
        </w:tc>
        <w:tc>
          <w:tcPr>
            <w:tcW w:w="2126" w:type="dxa"/>
          </w:tcPr>
          <w:p w14:paraId="64A6E8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850/3400</w:t>
            </w:r>
          </w:p>
        </w:tc>
      </w:tr>
    </w:tbl>
    <w:p w14:paraId="228BC1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(9442).</w:t>
      </w:r>
    </w:p>
    <w:p w14:paraId="6695E082" w14:textId="77777777" w:rsidR="00537E5F" w:rsidRPr="00507A31" w:rsidRDefault="00537E5F" w:rsidP="00507A31">
      <w:pPr>
        <w:autoSpaceDE w:val="0"/>
        <w:autoSpaceDN w:val="0"/>
        <w:adjustRightInd w:val="0"/>
        <w:jc w:val="both"/>
        <w:rPr>
          <w:iCs/>
          <w:color w:val="000000" w:themeColor="text1"/>
          <w:sz w:val="16"/>
          <w:szCs w:val="16"/>
        </w:rPr>
      </w:pPr>
    </w:p>
    <w:p w14:paraId="1ED2C6A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71CA075" w14:textId="77777777" w:rsidR="00537E5F" w:rsidRPr="00507A31" w:rsidRDefault="00537E5F" w:rsidP="00507A31">
      <w:pPr>
        <w:autoSpaceDE w:val="0"/>
        <w:autoSpaceDN w:val="0"/>
        <w:adjustRightInd w:val="0"/>
        <w:jc w:val="both"/>
        <w:rPr>
          <w:iCs/>
          <w:color w:val="000000" w:themeColor="text1"/>
          <w:sz w:val="16"/>
          <w:szCs w:val="16"/>
        </w:rPr>
      </w:pPr>
    </w:p>
    <w:p w14:paraId="404478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7 января 1930 г. был открыт опытный заказ на "6,5 тонный гусеничный трактор промышленного типа, с учетом требований военного ведомства". Сроком изготовления опытных тракторов определили сентябрь-октябрь 1930 г. </w:t>
      </w:r>
    </w:p>
    <w:p w14:paraId="1DD0AC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1924 г. на Харьковском паровозостроительном заводе (ХПЗ) им. Коминтерна по образцу германского трактора "Ганомаг" выпускались тракторы "Коммунар", широко использовавшиеся в Красной Армии и народном хозяйстве страны. Трактор непрерывно совершенствовался с целью повышения эксплуатационных параметров, однако резерв модернизации конструкции, по сути времен Первой мировой войны, не был бесконечен. Поэтому коллектив конструкторов ХПЗ приступил к созданию новой модели трактора.</w:t>
      </w:r>
    </w:p>
    <w:p w14:paraId="6979AC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БНВ являлся гусеничным трактором, на котором устанавливался четырехтактный, четырехцилиндровый, вертикальный, тяжелого автомобильного типа двигатель внутреннего сгорания, который мог работать на керосине и бензине. При переходе на работу только на бензине изменялись размеры камеры сгорания (путем замены поршней), число оборотов и устанавливалась карбюрация для бензина.</w:t>
      </w:r>
    </w:p>
    <w:p w14:paraId="7BD37C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Верхняя часть картера и рубашки цилиндров двигателя выполнялись заодно по моноблочной схеме, причем цилиндры двигателя были образованы запрессовкой в отливку блока чугунных направляющих гильз. Разъем картера помещался ниже оси вала. В верхней части картера на трех коренных подшипниках крепился коленчатый вал.</w:t>
      </w:r>
    </w:p>
    <w:p w14:paraId="7B65EB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Нижний картер - съемный, "совершенно не связан с механизмами и служит исключительно резервуаром для стекающего масла". Наличие съемных боковых крышек и нижнего картера позволяло снять и вынуть шатун с поршнем через отверстия в боковых люках при снятом нижнем картере.</w:t>
      </w:r>
    </w:p>
    <w:p w14:paraId="0FFD03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Масляный насос - шестеренчатый, отъемный, двойного действия. Фильтрация масла - двойная. Емкость масляной системы предполагала работу мотора в течение 20 ч. Смазка - принудительная, автоматическая, циркуляционная.</w:t>
      </w:r>
    </w:p>
    <w:p w14:paraId="7884EE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передней крышке мотора размещались шестерни распределения и передача к вентилятору.</w:t>
      </w:r>
    </w:p>
    <w:p w14:paraId="1EC569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 коленчатого вала приводился во вращение и вал регулятора, водяного насоса, магнето, динамо, смонтированных на боковой крышке верхней части картера.</w:t>
      </w:r>
    </w:p>
    <w:p w14:paraId="166FD0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Вентилятор пропеллерного типа устанавливался на шариковых подшипниках с фрикционным предохранителем, с шестеренчатым приводом.</w:t>
      </w:r>
    </w:p>
    <w:p w14:paraId="5A96A7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Регулятор - грузовой, центробежный, действовавший на дроссельный клапан карбюратора. Специальная муфта, соединенная с рычагом и тягой управления, позволяла водителю устанавливать и фиксировать число оборотов.</w:t>
      </w:r>
    </w:p>
    <w:p w14:paraId="609D68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Радиатор охлаждения двигателя - двухсекционный, угловой, трубчатый. Съемка частей резервуара открывала трубки секций для очистки, осмотра и ремонта. С внутренней стороны радиатора имелся кожух для равномерного распределения и усиления засасывания воздуха вентилятором.</w:t>
      </w:r>
    </w:p>
    <w:p w14:paraId="11B638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Циркуляция воды осуществлялась центробежным насосом.</w:t>
      </w:r>
    </w:p>
    <w:p w14:paraId="16AE9F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Питание двигателя обеспечивалось с помощью специального карбюратора. Подача горючего осуществлялась самотеком или под давлением насоса. Емкость баков топливных баков составляла 380 л. Пуск мотора можно было произвести стартером или заводной рукояткой.</w:t>
      </w:r>
    </w:p>
    <w:p w14:paraId="442F17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Сцепление - дисковое, из стальных дисков с обкладками ферродо</w:t>
      </w:r>
    </w:p>
    <w:p w14:paraId="5DAF95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Основные проектные характеристики трактора БНВ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A61694" w:rsidRPr="00507A31" w14:paraId="0D811AA8" w14:textId="77777777">
        <w:tc>
          <w:tcPr>
            <w:tcW w:w="5605" w:type="dxa"/>
            <w:tcBorders>
              <w:top w:val="single" w:sz="12" w:space="0" w:color="auto"/>
            </w:tcBorders>
          </w:tcPr>
          <w:p w14:paraId="33F779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Эффективная мощность двигателя на керосине при 910 об/мин, л.с</w:t>
            </w:r>
          </w:p>
        </w:tc>
        <w:tc>
          <w:tcPr>
            <w:tcW w:w="5605" w:type="dxa"/>
            <w:tcBorders>
              <w:top w:val="single" w:sz="12" w:space="0" w:color="auto"/>
            </w:tcBorders>
          </w:tcPr>
          <w:p w14:paraId="380AB2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65</w:t>
            </w:r>
          </w:p>
        </w:tc>
      </w:tr>
      <w:tr w:rsidR="00A61694" w:rsidRPr="00507A31" w14:paraId="631AEF7B" w14:textId="77777777">
        <w:tc>
          <w:tcPr>
            <w:tcW w:w="5605" w:type="dxa"/>
          </w:tcPr>
          <w:p w14:paraId="2CE85F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Эффективная мощность двигателя на бензине при 1150 об/мин, л.с</w:t>
            </w:r>
          </w:p>
        </w:tc>
        <w:tc>
          <w:tcPr>
            <w:tcW w:w="5605" w:type="dxa"/>
          </w:tcPr>
          <w:p w14:paraId="69B1BF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A61694" w:rsidRPr="00507A31" w14:paraId="7A7E54B3" w14:textId="77777777">
        <w:tc>
          <w:tcPr>
            <w:tcW w:w="5605" w:type="dxa"/>
          </w:tcPr>
          <w:p w14:paraId="1B622C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Мощность на шкиву, л.с</w:t>
            </w:r>
          </w:p>
        </w:tc>
        <w:tc>
          <w:tcPr>
            <w:tcW w:w="5605" w:type="dxa"/>
          </w:tcPr>
          <w:p w14:paraId="2047B8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w:t>
            </w:r>
          </w:p>
        </w:tc>
      </w:tr>
      <w:tr w:rsidR="00A61694" w:rsidRPr="00507A31" w14:paraId="0F910012" w14:textId="77777777">
        <w:tc>
          <w:tcPr>
            <w:tcW w:w="5605" w:type="dxa"/>
          </w:tcPr>
          <w:p w14:paraId="5B8452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Расход горючего керосинового двигателя, г/л.с./ч</w:t>
            </w:r>
          </w:p>
        </w:tc>
        <w:tc>
          <w:tcPr>
            <w:tcW w:w="5605" w:type="dxa"/>
          </w:tcPr>
          <w:p w14:paraId="7E5B4C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330-300</w:t>
            </w:r>
          </w:p>
        </w:tc>
      </w:tr>
      <w:tr w:rsidR="00A61694" w:rsidRPr="00507A31" w14:paraId="55A6FBC3" w14:textId="77777777">
        <w:tc>
          <w:tcPr>
            <w:tcW w:w="5605" w:type="dxa"/>
          </w:tcPr>
          <w:p w14:paraId="48BC64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Расход горючего бензинового двигателя, г/л.с./ч</w:t>
            </w:r>
          </w:p>
        </w:tc>
        <w:tc>
          <w:tcPr>
            <w:tcW w:w="5605" w:type="dxa"/>
          </w:tcPr>
          <w:p w14:paraId="7E747B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250-230</w:t>
            </w:r>
          </w:p>
        </w:tc>
      </w:tr>
      <w:tr w:rsidR="00A61694" w:rsidRPr="00507A31" w14:paraId="514B9219" w14:textId="77777777">
        <w:tc>
          <w:tcPr>
            <w:tcW w:w="5605" w:type="dxa"/>
          </w:tcPr>
          <w:p w14:paraId="021556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Емкость масляной системы, кг</w:t>
            </w:r>
          </w:p>
        </w:tc>
        <w:tc>
          <w:tcPr>
            <w:tcW w:w="5605" w:type="dxa"/>
          </w:tcPr>
          <w:p w14:paraId="07A49D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16, автол</w:t>
            </w:r>
          </w:p>
        </w:tc>
      </w:tr>
      <w:tr w:rsidR="00A61694" w:rsidRPr="00507A31" w14:paraId="093D4E55" w14:textId="77777777">
        <w:tc>
          <w:tcPr>
            <w:tcW w:w="5605" w:type="dxa"/>
          </w:tcPr>
          <w:p w14:paraId="5B30A3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Скорости трактора, км/ч:</w:t>
            </w:r>
          </w:p>
        </w:tc>
        <w:tc>
          <w:tcPr>
            <w:tcW w:w="5605" w:type="dxa"/>
          </w:tcPr>
          <w:p w14:paraId="73F7EC9E"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7E92FBB0" w14:textId="77777777">
        <w:tc>
          <w:tcPr>
            <w:tcW w:w="5605" w:type="dxa"/>
          </w:tcPr>
          <w:p w14:paraId="0FF2B9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1-я скорость</w:t>
            </w:r>
          </w:p>
        </w:tc>
        <w:tc>
          <w:tcPr>
            <w:tcW w:w="5605" w:type="dxa"/>
          </w:tcPr>
          <w:p w14:paraId="6DCD78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2,60</w:t>
            </w:r>
          </w:p>
        </w:tc>
      </w:tr>
      <w:tr w:rsidR="00A61694" w:rsidRPr="00507A31" w14:paraId="42CFCCBB" w14:textId="77777777">
        <w:tc>
          <w:tcPr>
            <w:tcW w:w="5605" w:type="dxa"/>
          </w:tcPr>
          <w:p w14:paraId="67CE91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2-я скорость</w:t>
            </w:r>
          </w:p>
        </w:tc>
        <w:tc>
          <w:tcPr>
            <w:tcW w:w="5605" w:type="dxa"/>
          </w:tcPr>
          <w:p w14:paraId="7AAC65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4,10</w:t>
            </w:r>
          </w:p>
        </w:tc>
      </w:tr>
      <w:tr w:rsidR="00A61694" w:rsidRPr="00507A31" w14:paraId="19C997E6" w14:textId="77777777">
        <w:tc>
          <w:tcPr>
            <w:tcW w:w="5605" w:type="dxa"/>
          </w:tcPr>
          <w:p w14:paraId="38EDF7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3-я скорость (прямая передача)</w:t>
            </w:r>
          </w:p>
        </w:tc>
        <w:tc>
          <w:tcPr>
            <w:tcW w:w="5605" w:type="dxa"/>
          </w:tcPr>
          <w:p w14:paraId="1C3434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5,35</w:t>
            </w:r>
          </w:p>
        </w:tc>
      </w:tr>
      <w:tr w:rsidR="00A61694" w:rsidRPr="00507A31" w14:paraId="452FC4EC" w14:textId="77777777">
        <w:tc>
          <w:tcPr>
            <w:tcW w:w="5605" w:type="dxa"/>
          </w:tcPr>
          <w:p w14:paraId="65D50A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4-я скорость (первый вариант)</w:t>
            </w:r>
          </w:p>
        </w:tc>
        <w:tc>
          <w:tcPr>
            <w:tcW w:w="5605" w:type="dxa"/>
          </w:tcPr>
          <w:p w14:paraId="38F90B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9,25</w:t>
            </w:r>
          </w:p>
        </w:tc>
      </w:tr>
      <w:tr w:rsidR="00A61694" w:rsidRPr="00507A31" w14:paraId="54355014" w14:textId="77777777">
        <w:tc>
          <w:tcPr>
            <w:tcW w:w="5605" w:type="dxa"/>
          </w:tcPr>
          <w:p w14:paraId="54A275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Обратный ход</w:t>
            </w:r>
          </w:p>
        </w:tc>
        <w:tc>
          <w:tcPr>
            <w:tcW w:w="5605" w:type="dxa"/>
          </w:tcPr>
          <w:p w14:paraId="777B67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3,10</w:t>
            </w:r>
          </w:p>
        </w:tc>
      </w:tr>
      <w:tr w:rsidR="00A61694" w:rsidRPr="00507A31" w14:paraId="21D7E3D3" w14:textId="77777777">
        <w:tc>
          <w:tcPr>
            <w:tcW w:w="5605" w:type="dxa"/>
          </w:tcPr>
          <w:p w14:paraId="1C4DE7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4-я скорость (второй вариант)</w:t>
            </w:r>
          </w:p>
        </w:tc>
        <w:tc>
          <w:tcPr>
            <w:tcW w:w="5605" w:type="dxa"/>
          </w:tcPr>
          <w:p w14:paraId="73C684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13,30</w:t>
            </w:r>
          </w:p>
        </w:tc>
      </w:tr>
      <w:tr w:rsidR="00A61694" w:rsidRPr="00507A31" w14:paraId="7BE8D263" w14:textId="77777777">
        <w:tc>
          <w:tcPr>
            <w:tcW w:w="5605" w:type="dxa"/>
          </w:tcPr>
          <w:p w14:paraId="724BDD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Тяговые мощности без потерь на передвижение самого трактора</w:t>
            </w:r>
          </w:p>
        </w:tc>
        <w:tc>
          <w:tcPr>
            <w:tcW w:w="5605" w:type="dxa"/>
          </w:tcPr>
          <w:p w14:paraId="638EE4B5"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9B9CC4A" w14:textId="77777777">
        <w:tc>
          <w:tcPr>
            <w:tcW w:w="5605" w:type="dxa"/>
          </w:tcPr>
          <w:p w14:paraId="2DDC09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 на перематывание гусениц</w:t>
            </w:r>
          </w:p>
        </w:tc>
        <w:tc>
          <w:tcPr>
            <w:tcW w:w="5605" w:type="dxa"/>
          </w:tcPr>
          <w:p w14:paraId="6D69AA5E"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B91287F" w14:textId="77777777">
        <w:tc>
          <w:tcPr>
            <w:tcW w:w="5605" w:type="dxa"/>
          </w:tcPr>
          <w:p w14:paraId="37DEFB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(мощности на ободе ведущих гусеничных зубчаток), л.с</w:t>
            </w:r>
          </w:p>
        </w:tc>
        <w:tc>
          <w:tcPr>
            <w:tcW w:w="5605" w:type="dxa"/>
          </w:tcPr>
          <w:p w14:paraId="005D04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1-й, 2-й, 4-йскоростях</w:t>
            </w:r>
          </w:p>
        </w:tc>
      </w:tr>
      <w:tr w:rsidR="00A61694" w:rsidRPr="00507A31" w14:paraId="686B8123" w14:textId="77777777">
        <w:tc>
          <w:tcPr>
            <w:tcW w:w="5605" w:type="dxa"/>
          </w:tcPr>
          <w:p w14:paraId="5ACB54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 обратном ходу-52. На 3-й скорости (прямой) - 58</w:t>
            </w:r>
          </w:p>
        </w:tc>
        <w:tc>
          <w:tcPr>
            <w:tcW w:w="5605" w:type="dxa"/>
          </w:tcPr>
          <w:p w14:paraId="45690181"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9BF6987" w14:textId="77777777">
        <w:tc>
          <w:tcPr>
            <w:tcW w:w="5605" w:type="dxa"/>
          </w:tcPr>
          <w:p w14:paraId="7F45FC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Полная длина трактора, мм</w:t>
            </w:r>
          </w:p>
        </w:tc>
        <w:tc>
          <w:tcPr>
            <w:tcW w:w="5605" w:type="dxa"/>
          </w:tcPr>
          <w:p w14:paraId="3AECCE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4350</w:t>
            </w:r>
          </w:p>
        </w:tc>
      </w:tr>
      <w:tr w:rsidR="00A61694" w:rsidRPr="00507A31" w14:paraId="79EC170B" w14:textId="77777777">
        <w:tc>
          <w:tcPr>
            <w:tcW w:w="5605" w:type="dxa"/>
          </w:tcPr>
          <w:p w14:paraId="2F4029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Полная высота (без будки), мм</w:t>
            </w:r>
          </w:p>
        </w:tc>
        <w:tc>
          <w:tcPr>
            <w:tcW w:w="5605" w:type="dxa"/>
          </w:tcPr>
          <w:p w14:paraId="4B89A0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1950</w:t>
            </w:r>
          </w:p>
        </w:tc>
      </w:tr>
      <w:tr w:rsidR="00A61694" w:rsidRPr="00507A31" w14:paraId="2143AC7B" w14:textId="77777777">
        <w:tc>
          <w:tcPr>
            <w:tcW w:w="5605" w:type="dxa"/>
          </w:tcPr>
          <w:p w14:paraId="713CF1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Полнаядлинатрактораскрюком.мм</w:t>
            </w:r>
          </w:p>
        </w:tc>
        <w:tc>
          <w:tcPr>
            <w:tcW w:w="5605" w:type="dxa"/>
          </w:tcPr>
          <w:p w14:paraId="49F6EF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4900</w:t>
            </w:r>
          </w:p>
        </w:tc>
      </w:tr>
      <w:tr w:rsidR="00A61694" w:rsidRPr="00507A31" w14:paraId="37063900" w14:textId="77777777">
        <w:tc>
          <w:tcPr>
            <w:tcW w:w="5605" w:type="dxa"/>
          </w:tcPr>
          <w:p w14:paraId="3C3CB7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Полная длина трактора со шкивом, мм</w:t>
            </w:r>
          </w:p>
        </w:tc>
        <w:tc>
          <w:tcPr>
            <w:tcW w:w="5605" w:type="dxa"/>
          </w:tcPr>
          <w:p w14:paraId="005AD0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4450</w:t>
            </w:r>
          </w:p>
        </w:tc>
      </w:tr>
      <w:tr w:rsidR="00A61694" w:rsidRPr="00507A31" w14:paraId="7010FD69" w14:textId="77777777">
        <w:tc>
          <w:tcPr>
            <w:tcW w:w="5605" w:type="dxa"/>
          </w:tcPr>
          <w:p w14:paraId="04C58F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Полная высота трактора с будкой, мм</w:t>
            </w:r>
          </w:p>
        </w:tc>
        <w:tc>
          <w:tcPr>
            <w:tcW w:w="5605" w:type="dxa"/>
          </w:tcPr>
          <w:p w14:paraId="2A112D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2500</w:t>
            </w:r>
          </w:p>
        </w:tc>
      </w:tr>
      <w:tr w:rsidR="00A61694" w:rsidRPr="00507A31" w14:paraId="2483A886" w14:textId="77777777">
        <w:tc>
          <w:tcPr>
            <w:tcW w:w="5605" w:type="dxa"/>
            <w:tcBorders>
              <w:bottom w:val="single" w:sz="12" w:space="0" w:color="auto"/>
            </w:tcBorders>
          </w:tcPr>
          <w:p w14:paraId="56D6A9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Давление на почву на 1 смг опорной поверхности при погружении на 30 мм на мягком грунте, кг</w:t>
            </w:r>
          </w:p>
        </w:tc>
        <w:tc>
          <w:tcPr>
            <w:tcW w:w="5605" w:type="dxa"/>
            <w:tcBorders>
              <w:bottom w:val="single" w:sz="12" w:space="0" w:color="auto"/>
            </w:tcBorders>
          </w:tcPr>
          <w:p w14:paraId="0435F1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0,35</w:t>
            </w:r>
          </w:p>
        </w:tc>
      </w:tr>
    </w:tbl>
    <w:p w14:paraId="69E4D9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(12008).</w:t>
      </w:r>
    </w:p>
    <w:p w14:paraId="0B880F65" w14:textId="77777777" w:rsidR="00537E5F" w:rsidRPr="00507A31" w:rsidRDefault="00537E5F" w:rsidP="00507A31">
      <w:pPr>
        <w:autoSpaceDE w:val="0"/>
        <w:autoSpaceDN w:val="0"/>
        <w:adjustRightInd w:val="0"/>
        <w:jc w:val="both"/>
        <w:rPr>
          <w:color w:val="000000" w:themeColor="text1"/>
          <w:sz w:val="16"/>
          <w:szCs w:val="16"/>
        </w:rPr>
      </w:pPr>
    </w:p>
    <w:p w14:paraId="7DC34A1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7FD46BE" w14:textId="77777777" w:rsidR="00537E5F" w:rsidRPr="00507A31" w:rsidRDefault="00537E5F" w:rsidP="00507A31">
      <w:pPr>
        <w:autoSpaceDE w:val="0"/>
        <w:autoSpaceDN w:val="0"/>
        <w:adjustRightInd w:val="0"/>
        <w:jc w:val="both"/>
        <w:rPr>
          <w:iCs/>
          <w:color w:val="000000" w:themeColor="text1"/>
          <w:sz w:val="16"/>
          <w:szCs w:val="16"/>
        </w:rPr>
      </w:pPr>
    </w:p>
    <w:p w14:paraId="5A8FB5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января 1930 открылась линия фототелеграфной связи между Великобританией и Германией (3907,164).</w:t>
      </w:r>
    </w:p>
    <w:p w14:paraId="5631C39D" w14:textId="77777777" w:rsidR="00537E5F" w:rsidRPr="00507A31" w:rsidRDefault="00537E5F" w:rsidP="00507A31">
      <w:pPr>
        <w:autoSpaceDE w:val="0"/>
        <w:autoSpaceDN w:val="0"/>
        <w:adjustRightInd w:val="0"/>
        <w:jc w:val="both"/>
        <w:rPr>
          <w:color w:val="000000" w:themeColor="text1"/>
          <w:sz w:val="16"/>
          <w:szCs w:val="16"/>
        </w:rPr>
      </w:pPr>
    </w:p>
    <w:p w14:paraId="4E2A440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6800919" w14:textId="77777777" w:rsidR="00537E5F" w:rsidRPr="00507A31" w:rsidRDefault="00537E5F" w:rsidP="00507A31">
      <w:pPr>
        <w:autoSpaceDE w:val="0"/>
        <w:autoSpaceDN w:val="0"/>
        <w:adjustRightInd w:val="0"/>
        <w:jc w:val="both"/>
        <w:rPr>
          <w:iCs/>
          <w:color w:val="000000" w:themeColor="text1"/>
          <w:sz w:val="16"/>
          <w:szCs w:val="16"/>
        </w:rPr>
      </w:pPr>
    </w:p>
    <w:p w14:paraId="38E9CE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января 1930 г. НТК утвердил шасси Р-5 по образцу третьего самолета (11936).</w:t>
      </w:r>
    </w:p>
    <w:p w14:paraId="7C9213D2" w14:textId="77777777" w:rsidR="00537E5F" w:rsidRPr="00507A31" w:rsidRDefault="00537E5F" w:rsidP="00507A31">
      <w:pPr>
        <w:autoSpaceDE w:val="0"/>
        <w:autoSpaceDN w:val="0"/>
        <w:adjustRightInd w:val="0"/>
        <w:jc w:val="both"/>
        <w:rPr>
          <w:color w:val="000000" w:themeColor="text1"/>
          <w:sz w:val="16"/>
          <w:szCs w:val="16"/>
        </w:rPr>
      </w:pPr>
    </w:p>
    <w:p w14:paraId="0B0F56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(10 - 438,605) января 1930 открылась трасса Хабаровск - Сахалин (271,120) - аэропорт Александровск. Первый рейс выполнил летчик Добролета М.В.Водопьянов на П-5 и летел 10 суток (438,605).</w:t>
      </w:r>
    </w:p>
    <w:p w14:paraId="6670864C" w14:textId="77777777" w:rsidR="00537E5F" w:rsidRPr="00507A31" w:rsidRDefault="00537E5F" w:rsidP="00507A31">
      <w:pPr>
        <w:autoSpaceDE w:val="0"/>
        <w:autoSpaceDN w:val="0"/>
        <w:adjustRightInd w:val="0"/>
        <w:jc w:val="both"/>
        <w:rPr>
          <w:color w:val="000000" w:themeColor="text1"/>
          <w:sz w:val="16"/>
          <w:szCs w:val="16"/>
        </w:rPr>
      </w:pPr>
    </w:p>
    <w:p w14:paraId="05DCF60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08D6BA38" w14:textId="77777777" w:rsidR="00537E5F" w:rsidRPr="00507A31" w:rsidRDefault="00537E5F" w:rsidP="00507A31">
      <w:pPr>
        <w:autoSpaceDE w:val="0"/>
        <w:autoSpaceDN w:val="0"/>
        <w:adjustRightInd w:val="0"/>
        <w:jc w:val="both"/>
        <w:rPr>
          <w:iCs/>
          <w:color w:val="000000" w:themeColor="text1"/>
          <w:sz w:val="16"/>
          <w:szCs w:val="16"/>
        </w:rPr>
      </w:pPr>
    </w:p>
    <w:p w14:paraId="30B2A3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января 1930 г. газета "За индустриализацию" ничтоже сумняшеся публикует заметку, в которой, помимо прочего, сообщается, что в Америку, с целью ведения переговоров о строительстве Челябинского тракторного завода с фирмой "Катерпиллер" направлена Комиссия под председательством т. Ловина. Признаться, у руководства Амторга были причины недолюбливать советскую прессу (11507).</w:t>
      </w:r>
    </w:p>
    <w:p w14:paraId="5040D970" w14:textId="77777777" w:rsidR="00537E5F" w:rsidRPr="00507A31" w:rsidRDefault="00537E5F" w:rsidP="00507A31">
      <w:pPr>
        <w:autoSpaceDE w:val="0"/>
        <w:autoSpaceDN w:val="0"/>
        <w:adjustRightInd w:val="0"/>
        <w:jc w:val="both"/>
        <w:rPr>
          <w:color w:val="000000" w:themeColor="text1"/>
          <w:sz w:val="16"/>
          <w:szCs w:val="16"/>
        </w:rPr>
      </w:pPr>
    </w:p>
    <w:p w14:paraId="62E26B9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3473C48" w14:textId="77777777" w:rsidR="00537E5F" w:rsidRPr="00507A31" w:rsidRDefault="00537E5F" w:rsidP="00507A31">
      <w:pPr>
        <w:autoSpaceDE w:val="0"/>
        <w:autoSpaceDN w:val="0"/>
        <w:adjustRightInd w:val="0"/>
        <w:jc w:val="both"/>
        <w:rPr>
          <w:iCs/>
          <w:color w:val="000000" w:themeColor="text1"/>
          <w:sz w:val="16"/>
          <w:szCs w:val="16"/>
        </w:rPr>
      </w:pPr>
    </w:p>
    <w:p w14:paraId="7EE04C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января 1930 Сан-Франциско. Интервью лидера ПСР В.Чернова корреспонденту газеты "Новая заря", в которой он заявил о "влиянии" его партии на крестьянские массы в СССР (10687).</w:t>
      </w:r>
    </w:p>
    <w:p w14:paraId="7DDA38FE" w14:textId="77777777" w:rsidR="00537E5F" w:rsidRPr="00507A31" w:rsidRDefault="00537E5F" w:rsidP="00507A31">
      <w:pPr>
        <w:autoSpaceDE w:val="0"/>
        <w:autoSpaceDN w:val="0"/>
        <w:adjustRightInd w:val="0"/>
        <w:jc w:val="both"/>
        <w:rPr>
          <w:color w:val="000000" w:themeColor="text1"/>
          <w:sz w:val="16"/>
          <w:szCs w:val="16"/>
        </w:rPr>
      </w:pPr>
    </w:p>
    <w:p w14:paraId="37C9715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60D12CE" w14:textId="77777777" w:rsidR="00537E5F" w:rsidRPr="00507A31" w:rsidRDefault="00537E5F" w:rsidP="00507A31">
      <w:pPr>
        <w:autoSpaceDE w:val="0"/>
        <w:autoSpaceDN w:val="0"/>
        <w:adjustRightInd w:val="0"/>
        <w:jc w:val="both"/>
        <w:rPr>
          <w:iCs/>
          <w:color w:val="000000" w:themeColor="text1"/>
          <w:sz w:val="16"/>
          <w:szCs w:val="16"/>
        </w:rPr>
      </w:pPr>
    </w:p>
    <w:p w14:paraId="7E9755A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 января 1930 в НИИ ВВС закончились испытания самолета ФДХI – М6 с ленточными растяжками и N-образными стойками, которые проходили с 27 декабря 1929.</w:t>
      </w:r>
    </w:p>
    <w:p w14:paraId="0EBCF7C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Отчет об испытании самолета ФДХI – М6 с ленточными растяжками и N-образными стойками</w:t>
      </w:r>
    </w:p>
    <w:p w14:paraId="027B461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Задание НТК УВВС от 18 ноября 1929 года № 3268</w:t>
      </w:r>
    </w:p>
    <w:p w14:paraId="4E3DD42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Начало испытания: 27 декабря 1929 года</w:t>
      </w:r>
    </w:p>
    <w:p w14:paraId="35009B3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Конец испытания 10 января 1930 года</w:t>
      </w:r>
    </w:p>
    <w:p w14:paraId="734E41B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1C3B51E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НИИ считает, что предложенный способ крепления ленточных растяжек к узлам фюзеляжа является неприемлемым …………(6935).</w:t>
      </w:r>
    </w:p>
    <w:p w14:paraId="2AC12DA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00074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 (или 11) января 1930 Тухачевский подготовил записку, в которой отверг традиционный подход к планированию и вместо постепенных изменений вслед за ростом промышленного произволдства предложил заново рассчитать потенциал армии исходя из новых производственных возможностей. Сыылаясь на статистику Великобритании, Франции и Германии за 1918 и начало 20х предположил, что соотнеошение числа самолетов и автомобилей - 1:3, а между авиадвигателями и автомашинами - 1:2. Отсюда пришел, что к 1932/33 СССР мог бы иметь 122500 самолетов и 175000 авиадвигателей , в т.ч. в строю - 36750 - или 35-40 тыс. Исходя из 179000 тракторов пришел к 100000 танков, а с учетом убыли за год - 50000(9089,111).</w:t>
      </w:r>
    </w:p>
    <w:p w14:paraId="3C77766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E0693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января 1930 состоялось заседание Правления Авиатреста (протокол 36) и обсудили итоги работы 22 завода за год и вопрос о проекте испытательной станции 25 завода (2367).</w:t>
      </w:r>
    </w:p>
    <w:p w14:paraId="6D620541" w14:textId="77777777" w:rsidR="00537E5F" w:rsidRPr="00507A31" w:rsidRDefault="00537E5F" w:rsidP="00507A31">
      <w:pPr>
        <w:autoSpaceDE w:val="0"/>
        <w:autoSpaceDN w:val="0"/>
        <w:adjustRightInd w:val="0"/>
        <w:jc w:val="both"/>
        <w:rPr>
          <w:color w:val="000000" w:themeColor="text1"/>
          <w:sz w:val="16"/>
          <w:szCs w:val="16"/>
        </w:rPr>
      </w:pPr>
    </w:p>
    <w:p w14:paraId="6470754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94F85D9" w14:textId="77777777" w:rsidR="00537E5F" w:rsidRPr="00507A31" w:rsidRDefault="00537E5F" w:rsidP="00507A31">
      <w:pPr>
        <w:autoSpaceDE w:val="0"/>
        <w:autoSpaceDN w:val="0"/>
        <w:adjustRightInd w:val="0"/>
        <w:jc w:val="both"/>
        <w:rPr>
          <w:iCs/>
          <w:color w:val="000000" w:themeColor="text1"/>
          <w:sz w:val="16"/>
          <w:szCs w:val="16"/>
        </w:rPr>
      </w:pPr>
    </w:p>
    <w:p w14:paraId="40DB0C6F" w14:textId="77777777" w:rsidR="00683B89" w:rsidRPr="00507A31" w:rsidRDefault="00683B89" w:rsidP="00507A31">
      <w:pPr>
        <w:jc w:val="both"/>
        <w:rPr>
          <w:color w:val="0070C0"/>
          <w:sz w:val="16"/>
          <w:szCs w:val="16"/>
          <w:shd w:val="clear" w:color="auto" w:fill="FFFFFF"/>
        </w:rPr>
      </w:pPr>
      <w:r w:rsidRPr="00507A31">
        <w:rPr>
          <w:color w:val="0070C0"/>
          <w:sz w:val="16"/>
          <w:szCs w:val="16"/>
          <w:shd w:val="clear" w:color="auto" w:fill="FFFFFF"/>
        </w:rPr>
        <w:t>10 января 1930 года в «Правде» читаем: «Отдельные участки аппарата ВСНХ еще не приспособлены к высоким темпам социалистического строительства. Необходима перестройка (!) руководящего штаба промышленности в соответствии с требованиями реконструктивного периода. Широким смотром аппарата ВСНХ изгоним вредителей, бюрократов и лжеспециалистов» (21444).</w:t>
      </w:r>
    </w:p>
    <w:p w14:paraId="2E78D1CC" w14:textId="77777777" w:rsidR="00683B89" w:rsidRPr="00507A31" w:rsidRDefault="00683B89" w:rsidP="00507A31">
      <w:pPr>
        <w:jc w:val="both"/>
        <w:rPr>
          <w:color w:val="0070C0"/>
          <w:sz w:val="16"/>
          <w:szCs w:val="16"/>
        </w:rPr>
      </w:pPr>
    </w:p>
    <w:p w14:paraId="0ACEAF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января 1930 была образована Мордовская автономная область - с 1934 - АССР (3481).</w:t>
      </w:r>
    </w:p>
    <w:p w14:paraId="361C4C52" w14:textId="77777777" w:rsidR="00537E5F" w:rsidRPr="00507A31" w:rsidRDefault="00537E5F" w:rsidP="00507A31">
      <w:pPr>
        <w:autoSpaceDE w:val="0"/>
        <w:autoSpaceDN w:val="0"/>
        <w:adjustRightInd w:val="0"/>
        <w:jc w:val="both"/>
        <w:rPr>
          <w:color w:val="000000" w:themeColor="text1"/>
          <w:sz w:val="16"/>
          <w:szCs w:val="16"/>
        </w:rPr>
      </w:pPr>
    </w:p>
    <w:p w14:paraId="76A8BDE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28A3823" w14:textId="77777777" w:rsidR="00537E5F" w:rsidRPr="00507A31" w:rsidRDefault="00537E5F" w:rsidP="00507A31">
      <w:pPr>
        <w:autoSpaceDE w:val="0"/>
        <w:autoSpaceDN w:val="0"/>
        <w:adjustRightInd w:val="0"/>
        <w:jc w:val="both"/>
        <w:rPr>
          <w:iCs/>
          <w:color w:val="000000" w:themeColor="text1"/>
          <w:sz w:val="16"/>
          <w:szCs w:val="16"/>
        </w:rPr>
      </w:pPr>
    </w:p>
    <w:p w14:paraId="4B985B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января 1930 К.Е.В. в записке в РЗ СТО предлагал перейти в расчетах по военным заказам от договорных к директивным ценам, которые бы стимулировали снижение с/с и гарантировали безубыточность. ВСНХ отбился (1566,85).</w:t>
      </w:r>
    </w:p>
    <w:p w14:paraId="2F096C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Считая, что ВСНХ — необъективная арбитражная инстанция в вопросах о ценах, Ворошилов предлагал вооб</w:t>
      </w:r>
      <w:r w:rsidRPr="00507A31">
        <w:rPr>
          <w:color w:val="000000" w:themeColor="text1"/>
          <w:sz w:val="16"/>
          <w:szCs w:val="16"/>
        </w:rPr>
        <w:softHyphen/>
        <w:t>ще «освободить промышленность от утверждения расчетных цен» (ГАРФ ф. 8418, оп. 4, д. 2, л. 474) (1566).</w:t>
      </w:r>
    </w:p>
    <w:p w14:paraId="17A598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6D9E66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06922C9" w14:textId="77777777" w:rsidR="00537E5F" w:rsidRPr="00507A31" w:rsidRDefault="00537E5F" w:rsidP="00507A31">
      <w:pPr>
        <w:autoSpaceDE w:val="0"/>
        <w:autoSpaceDN w:val="0"/>
        <w:adjustRightInd w:val="0"/>
        <w:jc w:val="both"/>
        <w:rPr>
          <w:iCs/>
          <w:color w:val="000000" w:themeColor="text1"/>
          <w:sz w:val="16"/>
          <w:szCs w:val="16"/>
        </w:rPr>
      </w:pPr>
    </w:p>
    <w:p w14:paraId="4C684E4A" w14:textId="77777777" w:rsidR="00C04FDD" w:rsidRPr="00507A31" w:rsidRDefault="00C04FDD" w:rsidP="00507A31">
      <w:pPr>
        <w:jc w:val="both"/>
        <w:rPr>
          <w:color w:val="000000" w:themeColor="text1"/>
          <w:sz w:val="16"/>
          <w:szCs w:val="16"/>
        </w:rPr>
      </w:pPr>
      <w:r w:rsidRPr="00507A31">
        <w:rPr>
          <w:color w:val="000000" w:themeColor="text1"/>
          <w:sz w:val="16"/>
          <w:szCs w:val="16"/>
        </w:rPr>
        <w:t>11 января 1930 г. Тухачевский представил Ворошилову записку о реконструкции Советских Вооруженных Сил «на основе учета всех новейших факторов техники и возможностей массового военно-технического производства, а также сдвигов, происшедших в деревне».</w:t>
      </w:r>
    </w:p>
    <w:p w14:paraId="58903B7B" w14:textId="77777777" w:rsidR="00C04FDD" w:rsidRPr="00507A31" w:rsidRDefault="00C04FDD" w:rsidP="00507A31">
      <w:pPr>
        <w:jc w:val="both"/>
        <w:rPr>
          <w:color w:val="000000" w:themeColor="text1"/>
          <w:sz w:val="16"/>
          <w:szCs w:val="16"/>
        </w:rPr>
      </w:pPr>
      <w:r w:rsidRPr="00507A31">
        <w:rPr>
          <w:color w:val="000000" w:themeColor="text1"/>
          <w:sz w:val="16"/>
          <w:szCs w:val="16"/>
        </w:rPr>
        <w:t>Ресурсы, которыми будет располагать Советский Союз в результате выполнения пятилетнего плана, позволят: а) иметь массовую армию; б) увеличить ее мобильность; и 3) усилить ее наступательные возможности. Тухачевский подчеркивал, что количественный и качественный рост различных родов и служб вооруженных сил приведет и к структурным изменениям и что реорганизованной армии потребуются и новые оперативные концепции. Армия, обладающая теми характеристиками, которыми наделял ее Тухачевский, будет способна к широким боевым маневрам и операциям. Совместное использование артиллерии и танков решит проблемы огнепитания. Новой армии будет по плечу и решение совершенно новых оперативных проблем. Возраставшее, относительно других сил, значение авиации и танков задавало новые параметры генерального сражения. В него будет вовлечено до 150 дивизий, сражающихся вдоль огромного по протяженности фронта длиной 450 км, причем боевые действия будут вестись вдоль всей линии фронта с проникновением в глубь вражеской территории до 100—200 км. Подобное углубление области ведения боевых действий достигалось за счет массированных ударов с воздуха по вражеским тылам. Тухачевский также предвидел возможность сочетания танкового наступления и воздушно-десантных операций. Задача воздушно-десантных соединений будет заключаться в том, чтобы блокировать тыловые шоссейные и железнодорожные коммуникации противника и тем самым препятствовать передвижению его войск: «Главные силы противника должны быть отделены от страны парализованной полосой в 100—200 км глубины. Деятельность десантных отрядов должна поддерживаться массовыми действиями авиации и массовым применением химических средств борьбы».</w:t>
      </w:r>
    </w:p>
    <w:p w14:paraId="3046CC47" w14:textId="77777777" w:rsidR="00C04FDD" w:rsidRPr="00507A31" w:rsidRDefault="00C04FDD" w:rsidP="00507A31">
      <w:pPr>
        <w:jc w:val="both"/>
        <w:rPr>
          <w:color w:val="000000" w:themeColor="text1"/>
          <w:sz w:val="16"/>
          <w:szCs w:val="16"/>
        </w:rPr>
      </w:pPr>
      <w:r w:rsidRPr="00507A31">
        <w:rPr>
          <w:color w:val="000000" w:themeColor="text1"/>
          <w:sz w:val="16"/>
          <w:szCs w:val="16"/>
        </w:rPr>
        <w:t>Тухачевский считал необходимым к концу пятилетки иметь Красную армию в составе 260 стрелковых и кавалерийский дивизий, 50 дивизий артиллерии большой мощности и минометов, а также обеспечить войска к указанному времени 40 000 самолетов и 50 000 танков.</w:t>
      </w:r>
    </w:p>
    <w:p w14:paraId="27179D88" w14:textId="77777777" w:rsidR="00C04FDD" w:rsidRPr="00507A31" w:rsidRDefault="00C04FDD" w:rsidP="00507A31">
      <w:pPr>
        <w:jc w:val="both"/>
        <w:rPr>
          <w:color w:val="000000" w:themeColor="text1"/>
          <w:sz w:val="16"/>
          <w:szCs w:val="16"/>
        </w:rPr>
      </w:pPr>
      <w:r w:rsidRPr="00507A31">
        <w:rPr>
          <w:color w:val="000000" w:themeColor="text1"/>
          <w:sz w:val="16"/>
          <w:szCs w:val="16"/>
        </w:rPr>
        <w:t>Ворошилов немедленно переслал записку Тухачевского Сталину, прокомментировав ее следующим:</w:t>
      </w:r>
    </w:p>
    <w:p w14:paraId="500326CC" w14:textId="77777777" w:rsidR="00C04FDD" w:rsidRPr="00507A31" w:rsidRDefault="00C04FDD" w:rsidP="00507A31">
      <w:pPr>
        <w:jc w:val="both"/>
        <w:rPr>
          <w:color w:val="000000" w:themeColor="text1"/>
          <w:sz w:val="16"/>
          <w:szCs w:val="16"/>
        </w:rPr>
      </w:pPr>
      <w:r w:rsidRPr="00507A31">
        <w:rPr>
          <w:color w:val="000000" w:themeColor="text1"/>
          <w:sz w:val="16"/>
          <w:szCs w:val="16"/>
        </w:rPr>
        <w:t>«Тов. Сталину. Направляю для ознакомления копию письма Тухачевского и справку Штаба по этому поводу. Тухачевский хочет быть оригинальным и… “радикальным”. Плохо, что в К. А. есть порода людей, которые этот “радикализм” принимают за чистую монету.</w:t>
      </w:r>
    </w:p>
    <w:p w14:paraId="23F44963" w14:textId="77777777" w:rsidR="00C04FDD" w:rsidRPr="00507A31" w:rsidRDefault="00C04FDD" w:rsidP="00507A31">
      <w:pPr>
        <w:jc w:val="both"/>
        <w:rPr>
          <w:color w:val="000000" w:themeColor="text1"/>
          <w:sz w:val="16"/>
          <w:szCs w:val="16"/>
        </w:rPr>
      </w:pPr>
      <w:r w:rsidRPr="00507A31">
        <w:rPr>
          <w:color w:val="000000" w:themeColor="text1"/>
          <w:sz w:val="16"/>
          <w:szCs w:val="16"/>
        </w:rPr>
        <w:t>Очень прошу прочесть оба документа и сказать мне твое мнение.</w:t>
      </w:r>
    </w:p>
    <w:p w14:paraId="6DB0164E" w14:textId="77777777" w:rsidR="00C04FDD" w:rsidRPr="00507A31" w:rsidRDefault="00C04FDD" w:rsidP="00507A31">
      <w:pPr>
        <w:jc w:val="both"/>
        <w:rPr>
          <w:color w:val="000000" w:themeColor="text1"/>
          <w:sz w:val="16"/>
          <w:szCs w:val="16"/>
        </w:rPr>
      </w:pPr>
      <w:r w:rsidRPr="00507A31">
        <w:rPr>
          <w:color w:val="000000" w:themeColor="text1"/>
          <w:sz w:val="16"/>
          <w:szCs w:val="16"/>
        </w:rPr>
        <w:t>С приветом — Ворошилов».</w:t>
      </w:r>
    </w:p>
    <w:p w14:paraId="1754A925" w14:textId="77777777" w:rsidR="00C04FDD" w:rsidRPr="00507A31" w:rsidRDefault="00C04FDD" w:rsidP="00507A31">
      <w:pPr>
        <w:jc w:val="both"/>
        <w:rPr>
          <w:color w:val="000000" w:themeColor="text1"/>
          <w:sz w:val="16"/>
          <w:szCs w:val="16"/>
        </w:rPr>
      </w:pPr>
      <w:r w:rsidRPr="00507A31">
        <w:rPr>
          <w:color w:val="000000" w:themeColor="text1"/>
          <w:sz w:val="16"/>
          <w:szCs w:val="16"/>
        </w:rPr>
        <w:t>Сталин ответил Ворошилову» не колеблясь, приняв его сторону. Письмо Сталина по поводу предложений Тухачевского было оглашено на расширенном Пленуме РВС СССР 13 апреля 1930 г.</w:t>
      </w:r>
    </w:p>
    <w:p w14:paraId="25E9BF31" w14:textId="77777777" w:rsidR="00C04FDD" w:rsidRPr="00507A31" w:rsidRDefault="00C04FDD" w:rsidP="00507A31">
      <w:pPr>
        <w:jc w:val="both"/>
        <w:rPr>
          <w:color w:val="000000" w:themeColor="text1"/>
          <w:sz w:val="16"/>
          <w:szCs w:val="16"/>
        </w:rPr>
      </w:pPr>
      <w:r w:rsidRPr="00507A31">
        <w:rPr>
          <w:color w:val="000000" w:themeColor="text1"/>
          <w:sz w:val="16"/>
          <w:szCs w:val="16"/>
        </w:rPr>
        <w:t>«Совершенно секретно. Тов. Ворошилову. Получил оба документа, и объяснительную записку Тух-го, и “соображения” Штаба. Ты знаешь, что я очень уважаю т. Тух-го,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т.е.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целым, с ее лимитами хозяйственного и культурного порядка…</w:t>
      </w:r>
    </w:p>
    <w:p w14:paraId="135890F9" w14:textId="77777777" w:rsidR="00C04FDD" w:rsidRPr="00507A31" w:rsidRDefault="00C04FDD" w:rsidP="00507A31">
      <w:pPr>
        <w:jc w:val="both"/>
        <w:rPr>
          <w:color w:val="000000" w:themeColor="text1"/>
          <w:sz w:val="16"/>
          <w:szCs w:val="16"/>
        </w:rPr>
      </w:pPr>
      <w:r w:rsidRPr="00507A31">
        <w:rPr>
          <w:color w:val="000000" w:themeColor="text1"/>
          <w:sz w:val="16"/>
          <w:szCs w:val="16"/>
        </w:rPr>
        <w:t>Как мог возникнуть такой план в голове марксиста, прошедшего школу гражданской войны?</w:t>
      </w:r>
    </w:p>
    <w:p w14:paraId="47BE4F96" w14:textId="77777777" w:rsidR="00C04FDD" w:rsidRPr="00507A31" w:rsidRDefault="00C04FDD" w:rsidP="00507A31">
      <w:pPr>
        <w:jc w:val="both"/>
        <w:rPr>
          <w:color w:val="000000" w:themeColor="text1"/>
          <w:sz w:val="16"/>
          <w:szCs w:val="16"/>
        </w:rPr>
      </w:pPr>
      <w:r w:rsidRPr="00507A31">
        <w:rPr>
          <w:color w:val="000000" w:themeColor="text1"/>
          <w:sz w:val="16"/>
          <w:szCs w:val="16"/>
        </w:rPr>
        <w:t>Я думаю, что “план” т. Тух-го является результатом модного увлечения “левой” фразой, результатом увлечения бумажным, канцелярским максимализмом.</w:t>
      </w:r>
    </w:p>
    <w:p w14:paraId="6B0010FF" w14:textId="77777777" w:rsidR="00C04FDD" w:rsidRPr="00507A31" w:rsidRDefault="00C04FDD" w:rsidP="00507A31">
      <w:pPr>
        <w:jc w:val="both"/>
        <w:rPr>
          <w:color w:val="000000" w:themeColor="text1"/>
          <w:sz w:val="16"/>
          <w:szCs w:val="16"/>
        </w:rPr>
      </w:pPr>
      <w:r w:rsidRPr="00507A31">
        <w:rPr>
          <w:color w:val="000000" w:themeColor="text1"/>
          <w:sz w:val="16"/>
          <w:szCs w:val="16"/>
        </w:rPr>
        <w:t>“Осуществить” такой “план” — значит, наверняка загубить и хозяйство страны, и армию: это было бы хуже всякой контрреволюции.</w:t>
      </w:r>
    </w:p>
    <w:p w14:paraId="7C98E8DD" w14:textId="77777777" w:rsidR="00C04FDD" w:rsidRPr="00507A31" w:rsidRDefault="00C04FDD" w:rsidP="00507A31">
      <w:pPr>
        <w:jc w:val="both"/>
        <w:rPr>
          <w:color w:val="000000" w:themeColor="text1"/>
          <w:sz w:val="16"/>
          <w:szCs w:val="16"/>
        </w:rPr>
      </w:pPr>
      <w:r w:rsidRPr="00507A31">
        <w:rPr>
          <w:color w:val="000000" w:themeColor="text1"/>
          <w:sz w:val="16"/>
          <w:szCs w:val="16"/>
        </w:rPr>
        <w:t>Отрадно, что Штаб РККА, при всей опасности искушения, ясно и определенно отмежевался от “плана” т. Тух-го.</w:t>
      </w:r>
    </w:p>
    <w:p w14:paraId="112A6B96" w14:textId="77777777" w:rsidR="00C04FDD" w:rsidRPr="00507A31" w:rsidRDefault="00C04FDD" w:rsidP="00507A31">
      <w:pPr>
        <w:jc w:val="both"/>
        <w:rPr>
          <w:color w:val="000000" w:themeColor="text1"/>
          <w:sz w:val="16"/>
          <w:szCs w:val="16"/>
        </w:rPr>
      </w:pPr>
      <w:r w:rsidRPr="00507A31">
        <w:rPr>
          <w:color w:val="000000" w:themeColor="text1"/>
          <w:sz w:val="16"/>
          <w:szCs w:val="16"/>
        </w:rPr>
        <w:t>23.3.30.</w:t>
      </w:r>
    </w:p>
    <w:p w14:paraId="236E125D" w14:textId="77777777" w:rsidR="00C04FDD" w:rsidRPr="00507A31" w:rsidRDefault="00C04FDD" w:rsidP="00507A31">
      <w:pPr>
        <w:jc w:val="both"/>
        <w:rPr>
          <w:color w:val="000000" w:themeColor="text1"/>
          <w:sz w:val="16"/>
          <w:szCs w:val="16"/>
        </w:rPr>
      </w:pPr>
      <w:r w:rsidRPr="00507A31">
        <w:rPr>
          <w:color w:val="000000" w:themeColor="text1"/>
          <w:sz w:val="16"/>
          <w:szCs w:val="16"/>
        </w:rPr>
        <w:t>Твой И. Сталин».</w:t>
      </w:r>
    </w:p>
    <w:p w14:paraId="50C34E74" w14:textId="77777777" w:rsidR="00C04FDD" w:rsidRPr="00507A31" w:rsidRDefault="00C04FDD" w:rsidP="00507A31">
      <w:pPr>
        <w:jc w:val="both"/>
        <w:rPr>
          <w:color w:val="000000" w:themeColor="text1"/>
          <w:sz w:val="16"/>
          <w:szCs w:val="16"/>
        </w:rPr>
      </w:pPr>
    </w:p>
    <w:p w14:paraId="6FA59BB8" w14:textId="77777777" w:rsidR="007B38B8" w:rsidRPr="00507A31" w:rsidRDefault="007B38B8" w:rsidP="00507A31">
      <w:pPr>
        <w:jc w:val="both"/>
        <w:rPr>
          <w:color w:val="000000" w:themeColor="text1"/>
          <w:sz w:val="16"/>
          <w:szCs w:val="16"/>
        </w:rPr>
      </w:pPr>
      <w:r w:rsidRPr="00507A31">
        <w:rPr>
          <w:color w:val="000000" w:themeColor="text1"/>
          <w:sz w:val="16"/>
          <w:szCs w:val="16"/>
        </w:rPr>
        <w:t>11 января 1930 г. — Доклад командующего войсками Ленинградского военного округа М. Н. Тухачевского наркому по военным и морским делам СССР, председателю Реввоенсовета СССР К. Е. Ворошилову об основных направлениях реконструкции вооруженных сил</w:t>
      </w:r>
    </w:p>
    <w:p w14:paraId="3F53CB0B" w14:textId="77777777" w:rsidR="007B38B8" w:rsidRPr="00507A31" w:rsidRDefault="007B38B8" w:rsidP="00507A31">
      <w:pPr>
        <w:jc w:val="both"/>
        <w:rPr>
          <w:color w:val="000000" w:themeColor="text1"/>
          <w:sz w:val="16"/>
          <w:szCs w:val="16"/>
        </w:rPr>
      </w:pPr>
      <w:r w:rsidRPr="00507A31">
        <w:rPr>
          <w:color w:val="000000" w:themeColor="text1"/>
          <w:sz w:val="16"/>
          <w:szCs w:val="16"/>
        </w:rPr>
        <w:t>Доклад командующего войсками Ленинградского военного округа М. Н. Тухачевского наркому по военным и морским делам СССР, председателю Реввоенсовета СССР К. Е. Ворошилову об основных направлениях реконструкции вооруженных сил¹*</w:t>
      </w:r>
    </w:p>
    <w:p w14:paraId="0CA13FBD" w14:textId="77777777" w:rsidR="007B38B8" w:rsidRPr="00507A31" w:rsidRDefault="007B38B8" w:rsidP="00507A31">
      <w:pPr>
        <w:jc w:val="both"/>
        <w:rPr>
          <w:color w:val="000000" w:themeColor="text1"/>
          <w:sz w:val="16"/>
          <w:szCs w:val="16"/>
        </w:rPr>
      </w:pPr>
      <w:r w:rsidRPr="00507A31">
        <w:rPr>
          <w:color w:val="000000" w:themeColor="text1"/>
          <w:sz w:val="16"/>
          <w:szCs w:val="16"/>
        </w:rPr>
        <w:t>11 января 1930 г.</w:t>
      </w:r>
    </w:p>
    <w:p w14:paraId="2116E7DD" w14:textId="77777777" w:rsidR="007B38B8" w:rsidRPr="00507A31" w:rsidRDefault="007B38B8" w:rsidP="00507A31">
      <w:pPr>
        <w:jc w:val="both"/>
        <w:rPr>
          <w:color w:val="000000" w:themeColor="text1"/>
          <w:sz w:val="16"/>
          <w:szCs w:val="16"/>
        </w:rPr>
      </w:pPr>
      <w:r w:rsidRPr="00507A31">
        <w:rPr>
          <w:color w:val="000000" w:themeColor="text1"/>
          <w:sz w:val="16"/>
          <w:szCs w:val="16"/>
        </w:rPr>
        <w:t>Совершенно секретно.</w:t>
      </w:r>
    </w:p>
    <w:p w14:paraId="06C9D797" w14:textId="77777777" w:rsidR="007B38B8" w:rsidRPr="00507A31" w:rsidRDefault="007B38B8" w:rsidP="00507A31">
      <w:pPr>
        <w:jc w:val="both"/>
        <w:rPr>
          <w:color w:val="000000" w:themeColor="text1"/>
          <w:sz w:val="16"/>
          <w:szCs w:val="16"/>
        </w:rPr>
      </w:pPr>
      <w:r w:rsidRPr="00507A31">
        <w:rPr>
          <w:color w:val="000000" w:themeColor="text1"/>
          <w:sz w:val="16"/>
          <w:szCs w:val="16"/>
        </w:rPr>
        <w:t>I.</w:t>
      </w:r>
    </w:p>
    <w:p w14:paraId="08606837" w14:textId="77777777" w:rsidR="007B38B8" w:rsidRPr="00507A31" w:rsidRDefault="007B38B8" w:rsidP="00507A31">
      <w:pPr>
        <w:jc w:val="both"/>
        <w:rPr>
          <w:color w:val="000000" w:themeColor="text1"/>
          <w:sz w:val="16"/>
          <w:szCs w:val="16"/>
        </w:rPr>
      </w:pPr>
      <w:r w:rsidRPr="00507A31">
        <w:rPr>
          <w:color w:val="000000" w:themeColor="text1"/>
          <w:sz w:val="16"/>
          <w:szCs w:val="16"/>
        </w:rPr>
        <w:t>Успехи нашего социалистического строительства, ускоренный темп индустриализации страны и социалистической перестройки сельского хозяйства ставят перед нами во весь рост задачу реконструкции вооруженных сил на основе учета всех новейших факторов техники и возможностей массового военно-технического производства, а также сдвигов, происходящих в деревне.</w:t>
      </w:r>
    </w:p>
    <w:p w14:paraId="758ACDD5" w14:textId="77777777" w:rsidR="007B38B8" w:rsidRPr="00507A31" w:rsidRDefault="007B38B8" w:rsidP="00507A31">
      <w:pPr>
        <w:jc w:val="both"/>
        <w:rPr>
          <w:color w:val="000000" w:themeColor="text1"/>
          <w:sz w:val="16"/>
          <w:szCs w:val="16"/>
        </w:rPr>
      </w:pPr>
      <w:r w:rsidRPr="00507A31">
        <w:rPr>
          <w:color w:val="000000" w:themeColor="text1"/>
          <w:sz w:val="16"/>
          <w:szCs w:val="16"/>
        </w:rPr>
        <w:t>В пятилетке строительства вооруженных сил, составлявшейся Штабом РККА в 1926 г. на основе пятилетки Госплана СССР того времени, указывалось, что ни в области промышленности, ни в области социальных сдвигов в деревне мы не имеем таких ощутимых данных, которые позволили бы реконструктивно подойти к организации вооруженных сил. В настоящее время такие данные имеются налицо, обстановка складывается совершено по-новому и потому необходимо широкое оживление нашей организационной мысли.</w:t>
      </w:r>
    </w:p>
    <w:p w14:paraId="69076BFF" w14:textId="77777777" w:rsidR="007B38B8" w:rsidRPr="00507A31" w:rsidRDefault="007B38B8" w:rsidP="00507A31">
      <w:pPr>
        <w:jc w:val="both"/>
        <w:rPr>
          <w:color w:val="000000" w:themeColor="text1"/>
          <w:sz w:val="16"/>
          <w:szCs w:val="16"/>
        </w:rPr>
      </w:pPr>
      <w:r w:rsidRPr="00507A31">
        <w:rPr>
          <w:color w:val="000000" w:themeColor="text1"/>
          <w:sz w:val="16"/>
          <w:szCs w:val="16"/>
        </w:rPr>
        <w:t>В силу изложенного я позволяю себе представить на Ваше усмотрение ряд материалов и соображений о реконструкции наших вооруженных сил. Должен доложить, что все нижеследующие разработки являются лишь планово-ориентировочными, так как я не мог привлечь к работе окружной аппарат и ограничился самостоятельными наметками. Однако все планово-ориентировочные расчеты построены на наших реальных возможностях, в соответствии с принятым пятилетним планом народного хозяйства и последующими к нему изменениями и добавлениями.</w:t>
      </w:r>
    </w:p>
    <w:p w14:paraId="5CC70D25" w14:textId="77777777" w:rsidR="007B38B8" w:rsidRPr="00507A31" w:rsidRDefault="007B38B8" w:rsidP="00507A31">
      <w:pPr>
        <w:jc w:val="both"/>
        <w:rPr>
          <w:color w:val="000000" w:themeColor="text1"/>
          <w:sz w:val="16"/>
          <w:szCs w:val="16"/>
        </w:rPr>
      </w:pPr>
      <w:r w:rsidRPr="00507A31">
        <w:rPr>
          <w:color w:val="000000" w:themeColor="text1"/>
          <w:sz w:val="16"/>
          <w:szCs w:val="16"/>
        </w:rPr>
        <w:t>II.</w:t>
      </w:r>
    </w:p>
    <w:p w14:paraId="5B5039C7" w14:textId="77777777" w:rsidR="007B38B8" w:rsidRPr="00507A31" w:rsidRDefault="007B38B8" w:rsidP="00507A31">
      <w:pPr>
        <w:jc w:val="both"/>
        <w:rPr>
          <w:color w:val="000000" w:themeColor="text1"/>
          <w:sz w:val="16"/>
          <w:szCs w:val="16"/>
        </w:rPr>
      </w:pPr>
      <w:r w:rsidRPr="00507A31">
        <w:rPr>
          <w:color w:val="000000" w:themeColor="text1"/>
          <w:sz w:val="16"/>
          <w:szCs w:val="16"/>
        </w:rPr>
        <w:t>Вероятные противники. Настоящая записка ориентируется главным образом на наших западных соседей и крупных империалистов Европы, могущих стать их спиной. Наш индустриальный рост оставляет далеко за собой уровень²* соседних с нами стран. Помощь империалистов этим странам может быть и будет очень велика. Однако расстояния, пути сообщений и прочее создают возможность срывов, перебоев в поддержке, и потому в перспективе мы вправе рассчитывать на значительное превосходство наших сил и средств, во всяком случае, в определенные периоды войны.</w:t>
      </w:r>
    </w:p>
    <w:p w14:paraId="2FC5725E" w14:textId="77777777" w:rsidR="007B38B8" w:rsidRPr="00507A31" w:rsidRDefault="007B38B8" w:rsidP="00507A31">
      <w:pPr>
        <w:jc w:val="both"/>
        <w:rPr>
          <w:color w:val="000000" w:themeColor="text1"/>
          <w:sz w:val="16"/>
          <w:szCs w:val="16"/>
        </w:rPr>
      </w:pPr>
      <w:r w:rsidRPr="00507A31">
        <w:rPr>
          <w:color w:val="000000" w:themeColor="text1"/>
          <w:sz w:val="16"/>
          <w:szCs w:val="16"/>
        </w:rPr>
        <w:t>Ввиду крайней сложности и трудности учесть возможные комбинации в расстановке капиталистических сил против нас и степень их военно-технического напряжения в борьбе с нами, я не рассматриваю здесь ни размеров, ни структуры предположительно выставляемых против нас вооруженных сил и средств.</w:t>
      </w:r>
    </w:p>
    <w:p w14:paraId="44C14947" w14:textId="77777777" w:rsidR="007B38B8" w:rsidRPr="00507A31" w:rsidRDefault="007B38B8" w:rsidP="00507A31">
      <w:pPr>
        <w:jc w:val="both"/>
        <w:rPr>
          <w:color w:val="000000" w:themeColor="text1"/>
          <w:sz w:val="16"/>
          <w:szCs w:val="16"/>
        </w:rPr>
      </w:pPr>
      <w:r w:rsidRPr="00507A31">
        <w:rPr>
          <w:color w:val="000000" w:themeColor="text1"/>
          <w:sz w:val="16"/>
          <w:szCs w:val="16"/>
        </w:rPr>
        <w:t>III.</w:t>
      </w:r>
    </w:p>
    <w:p w14:paraId="46250D6C" w14:textId="77777777" w:rsidR="007B38B8" w:rsidRPr="00507A31" w:rsidRDefault="007B38B8" w:rsidP="00507A31">
      <w:pPr>
        <w:jc w:val="both"/>
        <w:rPr>
          <w:color w:val="000000" w:themeColor="text1"/>
          <w:sz w:val="16"/>
          <w:szCs w:val="16"/>
        </w:rPr>
      </w:pPr>
      <w:r w:rsidRPr="00507A31">
        <w:rPr>
          <w:color w:val="000000" w:themeColor="text1"/>
          <w:sz w:val="16"/>
          <w:szCs w:val="16"/>
        </w:rPr>
        <w:t>Основные установки реконструкции РККА. Численность вооруженных сил и их техническое снабжение составляют основу боевой мощи страны, что должно соответствовать промышленным, транспортным и прочим экономическим возможностям страны.</w:t>
      </w:r>
    </w:p>
    <w:p w14:paraId="1680BFE7" w14:textId="77777777" w:rsidR="007B38B8" w:rsidRPr="00507A31" w:rsidRDefault="007B38B8" w:rsidP="00507A31">
      <w:pPr>
        <w:jc w:val="both"/>
        <w:rPr>
          <w:color w:val="000000" w:themeColor="text1"/>
          <w:sz w:val="16"/>
          <w:szCs w:val="16"/>
        </w:rPr>
      </w:pPr>
      <w:r w:rsidRPr="00507A31">
        <w:rPr>
          <w:color w:val="000000" w:themeColor="text1"/>
          <w:sz w:val="16"/>
          <w:szCs w:val="16"/>
        </w:rPr>
        <w:t>Уничтожение кулачества как класса и обобществление орудий производства в районах сплошной коллективизации, несомненно, по иному ставит для нас вопрос использования для войны крестьянских масс и, в частности, позволяет шире подойти к территориально-милиционным методам строительства. Это последнее³*, в связи с машинизацией сельского хозяйства, может охватить не только стрелковые и кавалерийские, но и технические войска.</w:t>
      </w:r>
    </w:p>
    <w:p w14:paraId="644EC853" w14:textId="77777777" w:rsidR="007B38B8" w:rsidRPr="00507A31" w:rsidRDefault="007B38B8" w:rsidP="00507A31">
      <w:pPr>
        <w:jc w:val="both"/>
        <w:rPr>
          <w:color w:val="000000" w:themeColor="text1"/>
          <w:sz w:val="16"/>
          <w:szCs w:val="16"/>
        </w:rPr>
      </w:pPr>
      <w:r w:rsidRPr="00507A31">
        <w:rPr>
          <w:color w:val="000000" w:themeColor="text1"/>
          <w:sz w:val="16"/>
          <w:szCs w:val="16"/>
        </w:rPr>
        <w:t>При построении и техническом насыщении армии необходимо учитывать, что «как и подвижность, масса наступательных средств составляет необходимый результат высшей ступени цивилизации». Наши ресурсы в связи с успешным осуществлением пятилетки позволяют: а) развить массовые размеры армии; б) увеличить ее подвижность; в) повысить ее наступательные возможности. При этом надо учитывать, что количественный и качественный рост различных родов войск вызывает новые пропорции, новые структурные изменения и что реконструированная армия вызовет и новые формы оперативного искусства.</w:t>
      </w:r>
    </w:p>
    <w:p w14:paraId="3D67F5F7" w14:textId="77777777" w:rsidR="007B38B8" w:rsidRPr="00507A31" w:rsidRDefault="007B38B8" w:rsidP="00507A31">
      <w:pPr>
        <w:jc w:val="both"/>
        <w:rPr>
          <w:color w:val="000000" w:themeColor="text1"/>
          <w:sz w:val="16"/>
          <w:szCs w:val="16"/>
        </w:rPr>
      </w:pPr>
      <w:r w:rsidRPr="00507A31">
        <w:rPr>
          <w:color w:val="000000" w:themeColor="text1"/>
          <w:sz w:val="16"/>
          <w:szCs w:val="16"/>
        </w:rPr>
        <w:t>IV.</w:t>
      </w:r>
    </w:p>
    <w:p w14:paraId="5853C817" w14:textId="77777777" w:rsidR="007B38B8" w:rsidRPr="00507A31" w:rsidRDefault="007B38B8" w:rsidP="00507A31">
      <w:pPr>
        <w:pStyle w:val="rtejustify"/>
        <w:spacing w:before="0" w:after="0"/>
        <w:rPr>
          <w:color w:val="000000" w:themeColor="text1"/>
          <w:sz w:val="16"/>
          <w:szCs w:val="16"/>
        </w:rPr>
      </w:pPr>
      <w:r w:rsidRPr="00507A31">
        <w:rPr>
          <w:rStyle w:val="af0"/>
          <w:i w:val="0"/>
          <w:color w:val="000000" w:themeColor="text1"/>
          <w:sz w:val="16"/>
          <w:szCs w:val="16"/>
        </w:rPr>
        <w:t>Основные показатели пятилетнего плана СССР.</w:t>
      </w:r>
      <w:r w:rsidRPr="00507A31">
        <w:rPr>
          <w:color w:val="000000" w:themeColor="text1"/>
          <w:sz w:val="16"/>
          <w:szCs w:val="16"/>
        </w:rPr>
        <w:t xml:space="preserve"> Основные данные по промышленности, питающей войну, приведены в следующей таблице: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44"/>
        <w:gridCol w:w="481"/>
        <w:gridCol w:w="3952"/>
        <w:gridCol w:w="1683"/>
        <w:gridCol w:w="1862"/>
      </w:tblGrid>
      <w:tr w:rsidR="00A61694" w:rsidRPr="00507A31" w14:paraId="3BD9D23D" w14:textId="77777777" w:rsidTr="007B38B8">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2FFF83" w14:textId="77777777" w:rsidR="007B38B8" w:rsidRPr="00507A31" w:rsidRDefault="007B38B8" w:rsidP="00507A31">
            <w:pPr>
              <w:jc w:val="both"/>
              <w:rPr>
                <w:color w:val="000000" w:themeColor="text1"/>
                <w:sz w:val="16"/>
                <w:szCs w:val="16"/>
              </w:rPr>
            </w:pPr>
            <w:r w:rsidRPr="00507A31">
              <w:rPr>
                <w:color w:val="000000" w:themeColor="text1"/>
                <w:sz w:val="16"/>
                <w:szCs w:val="16"/>
              </w:rPr>
              <w:t>Название продуктов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6A004F" w14:textId="77777777" w:rsidR="007B38B8" w:rsidRPr="00507A31" w:rsidRDefault="007B38B8" w:rsidP="00507A31">
            <w:pPr>
              <w:jc w:val="both"/>
              <w:rPr>
                <w:color w:val="000000" w:themeColor="text1"/>
                <w:sz w:val="16"/>
                <w:szCs w:val="16"/>
              </w:rPr>
            </w:pPr>
            <w:r w:rsidRPr="00507A31">
              <w:rPr>
                <w:color w:val="000000" w:themeColor="text1"/>
                <w:sz w:val="16"/>
                <w:szCs w:val="16"/>
              </w:rPr>
              <w:t>1913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29AA7A0" w14:textId="77777777" w:rsidR="007B38B8" w:rsidRPr="00507A31" w:rsidRDefault="007B38B8" w:rsidP="00507A31">
            <w:pPr>
              <w:jc w:val="both"/>
              <w:rPr>
                <w:color w:val="000000" w:themeColor="text1"/>
                <w:sz w:val="16"/>
                <w:szCs w:val="16"/>
              </w:rPr>
            </w:pPr>
            <w:r w:rsidRPr="00507A31">
              <w:rPr>
                <w:color w:val="000000" w:themeColor="text1"/>
                <w:sz w:val="16"/>
                <w:szCs w:val="16"/>
              </w:rPr>
              <w:t>1929/30 г. по к[онтроль</w:t>
            </w:r>
            <w:r w:rsidRPr="00507A31">
              <w:rPr>
                <w:color w:val="000000" w:themeColor="text1"/>
                <w:sz w:val="16"/>
                <w:szCs w:val="16"/>
              </w:rPr>
              <w:softHyphen/>
              <w:t>ным] ц[ифрам] и дополнит</w:t>
            </w:r>
            <w:r w:rsidRPr="00507A31">
              <w:rPr>
                <w:color w:val="000000" w:themeColor="text1"/>
                <w:sz w:val="16"/>
                <w:szCs w:val="16"/>
              </w:rPr>
              <w:softHyphen/>
              <w:t>[ельным] заданиям</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1D5F33" w14:textId="77777777" w:rsidR="007B38B8" w:rsidRPr="00507A31" w:rsidRDefault="007B38B8" w:rsidP="00507A31">
            <w:pPr>
              <w:jc w:val="both"/>
              <w:rPr>
                <w:color w:val="000000" w:themeColor="text1"/>
                <w:sz w:val="16"/>
                <w:szCs w:val="16"/>
              </w:rPr>
            </w:pPr>
            <w:r w:rsidRPr="00507A31">
              <w:rPr>
                <w:color w:val="000000" w:themeColor="text1"/>
                <w:sz w:val="16"/>
                <w:szCs w:val="16"/>
              </w:rPr>
              <w:t>1932/33 г.</w:t>
            </w:r>
          </w:p>
        </w:tc>
      </w:tr>
      <w:tr w:rsidR="00A61694" w:rsidRPr="00507A31" w14:paraId="45F3F8DB" w14:textId="77777777" w:rsidTr="007B38B8">
        <w:tc>
          <w:tcPr>
            <w:tcW w:w="0" w:type="auto"/>
            <w:vMerge/>
            <w:tcBorders>
              <w:top w:val="outset" w:sz="6" w:space="0" w:color="auto"/>
              <w:left w:val="outset" w:sz="6" w:space="0" w:color="auto"/>
              <w:bottom w:val="outset" w:sz="6" w:space="0" w:color="auto"/>
              <w:right w:val="outset" w:sz="6" w:space="0" w:color="auto"/>
            </w:tcBorders>
            <w:vAlign w:val="center"/>
            <w:hideMark/>
          </w:tcPr>
          <w:p w14:paraId="2E634D2A" w14:textId="77777777" w:rsidR="007B38B8" w:rsidRPr="00507A31" w:rsidRDefault="007B38B8"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29422BE" w14:textId="77777777" w:rsidR="007B38B8" w:rsidRPr="00507A31" w:rsidRDefault="007B38B8"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05AEBC" w14:textId="77777777" w:rsidR="007B38B8" w:rsidRPr="00507A31" w:rsidRDefault="007B38B8" w:rsidP="00507A31">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D48BA" w14:textId="77777777" w:rsidR="007B38B8" w:rsidRPr="00507A31" w:rsidRDefault="007B38B8" w:rsidP="00507A31">
            <w:pPr>
              <w:jc w:val="both"/>
              <w:rPr>
                <w:color w:val="000000" w:themeColor="text1"/>
                <w:sz w:val="16"/>
                <w:szCs w:val="16"/>
              </w:rPr>
            </w:pPr>
            <w:r w:rsidRPr="00507A31">
              <w:rPr>
                <w:color w:val="000000" w:themeColor="text1"/>
                <w:sz w:val="16"/>
                <w:szCs w:val="16"/>
              </w:rPr>
              <w:t>По оптимальной пятилетке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BC6BC" w14:textId="77777777" w:rsidR="007B38B8" w:rsidRPr="00507A31" w:rsidRDefault="007B38B8" w:rsidP="00507A31">
            <w:pPr>
              <w:jc w:val="both"/>
              <w:rPr>
                <w:color w:val="000000" w:themeColor="text1"/>
                <w:sz w:val="16"/>
                <w:szCs w:val="16"/>
              </w:rPr>
            </w:pPr>
            <w:r w:rsidRPr="00507A31">
              <w:rPr>
                <w:color w:val="000000" w:themeColor="text1"/>
                <w:sz w:val="16"/>
                <w:szCs w:val="16"/>
              </w:rPr>
              <w:t>По дополнитель</w:t>
            </w:r>
            <w:r w:rsidRPr="00507A31">
              <w:rPr>
                <w:color w:val="000000" w:themeColor="text1"/>
                <w:sz w:val="16"/>
                <w:szCs w:val="16"/>
              </w:rPr>
              <w:softHyphen/>
              <w:t>ным заданиям</w:t>
            </w:r>
          </w:p>
        </w:tc>
      </w:tr>
      <w:tr w:rsidR="00A61694" w:rsidRPr="00507A31" w14:paraId="3B52592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B9ECC3D" w14:textId="77777777" w:rsidR="007B38B8" w:rsidRPr="00507A31" w:rsidRDefault="007B38B8" w:rsidP="00507A31">
            <w:pPr>
              <w:jc w:val="both"/>
              <w:rPr>
                <w:color w:val="000000" w:themeColor="text1"/>
                <w:sz w:val="16"/>
                <w:szCs w:val="16"/>
              </w:rPr>
            </w:pPr>
            <w:r w:rsidRPr="00507A31">
              <w:rPr>
                <w:color w:val="000000" w:themeColor="text1"/>
                <w:sz w:val="16"/>
                <w:szCs w:val="16"/>
              </w:rPr>
              <w:t>Каменный уголь,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E2277" w14:textId="77777777" w:rsidR="007B38B8" w:rsidRPr="00507A31" w:rsidRDefault="007B38B8" w:rsidP="00507A31">
            <w:pPr>
              <w:jc w:val="both"/>
              <w:rPr>
                <w:color w:val="000000" w:themeColor="text1"/>
                <w:sz w:val="16"/>
                <w:szCs w:val="16"/>
              </w:rPr>
            </w:pPr>
            <w:r w:rsidRPr="00507A31">
              <w:rPr>
                <w:color w:val="000000" w:themeColor="text1"/>
                <w:sz w:val="16"/>
                <w:szCs w:val="16"/>
              </w:rPr>
              <w:t>28 900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D150E" w14:textId="77777777" w:rsidR="007B38B8" w:rsidRPr="00507A31" w:rsidRDefault="007B38B8" w:rsidP="00507A31">
            <w:pPr>
              <w:jc w:val="both"/>
              <w:rPr>
                <w:color w:val="000000" w:themeColor="text1"/>
                <w:sz w:val="16"/>
                <w:szCs w:val="16"/>
              </w:rPr>
            </w:pPr>
            <w:r w:rsidRPr="00507A31">
              <w:rPr>
                <w:color w:val="000000" w:themeColor="text1"/>
                <w:sz w:val="16"/>
                <w:szCs w:val="16"/>
              </w:rPr>
              <w:t>51 600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DB484" w14:textId="77777777" w:rsidR="007B38B8" w:rsidRPr="00507A31" w:rsidRDefault="007B38B8" w:rsidP="00507A31">
            <w:pPr>
              <w:jc w:val="both"/>
              <w:rPr>
                <w:color w:val="000000" w:themeColor="text1"/>
                <w:sz w:val="16"/>
                <w:szCs w:val="16"/>
              </w:rPr>
            </w:pPr>
            <w:r w:rsidRPr="00507A31">
              <w:rPr>
                <w:color w:val="000000" w:themeColor="text1"/>
                <w:sz w:val="16"/>
                <w:szCs w:val="16"/>
              </w:rPr>
              <w:t>75 000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324A9" w14:textId="77777777" w:rsidR="007B38B8" w:rsidRPr="00507A31" w:rsidRDefault="007B38B8" w:rsidP="00507A31">
            <w:pPr>
              <w:jc w:val="both"/>
              <w:rPr>
                <w:color w:val="000000" w:themeColor="text1"/>
                <w:sz w:val="16"/>
                <w:szCs w:val="16"/>
              </w:rPr>
            </w:pPr>
            <w:r w:rsidRPr="00507A31">
              <w:rPr>
                <w:color w:val="000000" w:themeColor="text1"/>
                <w:sz w:val="16"/>
                <w:szCs w:val="16"/>
              </w:rPr>
              <w:t>102 500⁴*</w:t>
            </w:r>
          </w:p>
        </w:tc>
      </w:tr>
      <w:tr w:rsidR="00A61694" w:rsidRPr="00507A31" w14:paraId="6FB01E3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132635D" w14:textId="77777777" w:rsidR="007B38B8" w:rsidRPr="00507A31" w:rsidRDefault="007B38B8" w:rsidP="00507A31">
            <w:pPr>
              <w:jc w:val="both"/>
              <w:rPr>
                <w:color w:val="000000" w:themeColor="text1"/>
                <w:sz w:val="16"/>
                <w:szCs w:val="16"/>
              </w:rPr>
            </w:pPr>
            <w:r w:rsidRPr="00507A31">
              <w:rPr>
                <w:color w:val="000000" w:themeColor="text1"/>
                <w:sz w:val="16"/>
                <w:szCs w:val="16"/>
              </w:rPr>
              <w:t>Нефть,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C3D8" w14:textId="77777777" w:rsidR="007B38B8" w:rsidRPr="00507A31" w:rsidRDefault="007B38B8" w:rsidP="00507A31">
            <w:pPr>
              <w:jc w:val="both"/>
              <w:rPr>
                <w:color w:val="000000" w:themeColor="text1"/>
                <w:sz w:val="16"/>
                <w:szCs w:val="16"/>
              </w:rPr>
            </w:pPr>
            <w:r w:rsidRPr="00507A31">
              <w:rPr>
                <w:color w:val="000000" w:themeColor="text1"/>
                <w:sz w:val="16"/>
                <w:szCs w:val="16"/>
              </w:rPr>
              <w:t>9300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8263C" w14:textId="77777777" w:rsidR="007B38B8" w:rsidRPr="00507A31" w:rsidRDefault="007B38B8" w:rsidP="00507A31">
            <w:pPr>
              <w:jc w:val="both"/>
              <w:rPr>
                <w:color w:val="000000" w:themeColor="text1"/>
                <w:sz w:val="16"/>
                <w:szCs w:val="16"/>
              </w:rPr>
            </w:pPr>
            <w:r w:rsidRPr="00507A31">
              <w:rPr>
                <w:color w:val="000000" w:themeColor="text1"/>
                <w:sz w:val="16"/>
                <w:szCs w:val="16"/>
              </w:rPr>
              <w:t>16 230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FB3CC" w14:textId="77777777" w:rsidR="007B38B8" w:rsidRPr="00507A31" w:rsidRDefault="007B38B8" w:rsidP="00507A31">
            <w:pPr>
              <w:jc w:val="both"/>
              <w:rPr>
                <w:color w:val="000000" w:themeColor="text1"/>
                <w:sz w:val="16"/>
                <w:szCs w:val="16"/>
              </w:rPr>
            </w:pPr>
            <w:r w:rsidRPr="00507A31">
              <w:rPr>
                <w:color w:val="000000" w:themeColor="text1"/>
                <w:sz w:val="16"/>
                <w:szCs w:val="16"/>
              </w:rPr>
              <w:t>21 700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17773" w14:textId="77777777" w:rsidR="007B38B8" w:rsidRPr="00507A31" w:rsidRDefault="007B38B8" w:rsidP="00507A31">
            <w:pPr>
              <w:jc w:val="both"/>
              <w:rPr>
                <w:color w:val="000000" w:themeColor="text1"/>
                <w:sz w:val="16"/>
                <w:szCs w:val="16"/>
              </w:rPr>
            </w:pPr>
            <w:r w:rsidRPr="00507A31">
              <w:rPr>
                <w:color w:val="000000" w:themeColor="text1"/>
                <w:sz w:val="16"/>
                <w:szCs w:val="16"/>
              </w:rPr>
              <w:t>40 000</w:t>
            </w:r>
          </w:p>
        </w:tc>
      </w:tr>
      <w:tr w:rsidR="00A61694" w:rsidRPr="00507A31" w14:paraId="14B7D70B"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5283061B" w14:textId="77777777" w:rsidR="007B38B8" w:rsidRPr="00507A31" w:rsidRDefault="007B38B8" w:rsidP="00507A31">
            <w:pPr>
              <w:jc w:val="both"/>
              <w:rPr>
                <w:color w:val="000000" w:themeColor="text1"/>
                <w:sz w:val="16"/>
                <w:szCs w:val="16"/>
              </w:rPr>
            </w:pPr>
            <w:r w:rsidRPr="00507A31">
              <w:rPr>
                <w:color w:val="000000" w:themeColor="text1"/>
                <w:sz w:val="16"/>
                <w:szCs w:val="16"/>
              </w:rPr>
              <w:t>Железная руда,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E1E97" w14:textId="77777777" w:rsidR="007B38B8" w:rsidRPr="00507A31" w:rsidRDefault="007B38B8" w:rsidP="00507A31">
            <w:pPr>
              <w:jc w:val="both"/>
              <w:rPr>
                <w:color w:val="000000" w:themeColor="text1"/>
                <w:sz w:val="16"/>
                <w:szCs w:val="16"/>
              </w:rPr>
            </w:pPr>
            <w:r w:rsidRPr="00507A31">
              <w:rPr>
                <w:color w:val="000000" w:themeColor="text1"/>
                <w:sz w:val="16"/>
                <w:szCs w:val="16"/>
              </w:rPr>
              <w:t>9230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84618" w14:textId="77777777" w:rsidR="007B38B8" w:rsidRPr="00507A31" w:rsidRDefault="007B38B8" w:rsidP="00507A31">
            <w:pPr>
              <w:jc w:val="both"/>
              <w:rPr>
                <w:color w:val="000000" w:themeColor="text1"/>
                <w:sz w:val="16"/>
                <w:szCs w:val="16"/>
              </w:rPr>
            </w:pPr>
            <w:r w:rsidRPr="00507A31">
              <w:rPr>
                <w:color w:val="000000" w:themeColor="text1"/>
                <w:sz w:val="16"/>
                <w:szCs w:val="16"/>
              </w:rPr>
              <w:t>10 800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5EC3E" w14:textId="77777777" w:rsidR="007B38B8" w:rsidRPr="00507A31" w:rsidRDefault="007B38B8" w:rsidP="00507A31">
            <w:pPr>
              <w:jc w:val="both"/>
              <w:rPr>
                <w:color w:val="000000" w:themeColor="text1"/>
                <w:sz w:val="16"/>
                <w:szCs w:val="16"/>
              </w:rPr>
            </w:pPr>
            <w:r w:rsidRPr="00507A31">
              <w:rPr>
                <w:color w:val="000000" w:themeColor="text1"/>
                <w:sz w:val="16"/>
                <w:szCs w:val="16"/>
              </w:rPr>
              <w:t>19 400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50B85" w14:textId="77777777" w:rsidR="007B38B8" w:rsidRPr="00507A31" w:rsidRDefault="007B38B8" w:rsidP="00507A31">
            <w:pPr>
              <w:jc w:val="both"/>
              <w:rPr>
                <w:color w:val="000000" w:themeColor="text1"/>
                <w:sz w:val="16"/>
                <w:szCs w:val="16"/>
              </w:rPr>
            </w:pPr>
            <w:r w:rsidRPr="00507A31">
              <w:rPr>
                <w:color w:val="000000" w:themeColor="text1"/>
                <w:sz w:val="16"/>
                <w:szCs w:val="16"/>
              </w:rPr>
              <w:t> </w:t>
            </w:r>
          </w:p>
        </w:tc>
      </w:tr>
      <w:tr w:rsidR="00A61694" w:rsidRPr="00507A31" w14:paraId="3A1FD5F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BC17FC9" w14:textId="77777777" w:rsidR="007B38B8" w:rsidRPr="00507A31" w:rsidRDefault="007B38B8" w:rsidP="00507A31">
            <w:pPr>
              <w:jc w:val="both"/>
              <w:rPr>
                <w:color w:val="000000" w:themeColor="text1"/>
                <w:sz w:val="16"/>
                <w:szCs w:val="16"/>
              </w:rPr>
            </w:pPr>
            <w:r w:rsidRPr="00507A31">
              <w:rPr>
                <w:color w:val="000000" w:themeColor="text1"/>
                <w:sz w:val="16"/>
                <w:szCs w:val="16"/>
              </w:rPr>
              <w:t>Чугун,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02419" w14:textId="77777777" w:rsidR="007B38B8" w:rsidRPr="00507A31" w:rsidRDefault="007B38B8" w:rsidP="00507A31">
            <w:pPr>
              <w:jc w:val="both"/>
              <w:rPr>
                <w:color w:val="000000" w:themeColor="text1"/>
                <w:sz w:val="16"/>
                <w:szCs w:val="16"/>
              </w:rPr>
            </w:pPr>
            <w:r w:rsidRPr="00507A31">
              <w:rPr>
                <w:color w:val="000000" w:themeColor="text1"/>
                <w:sz w:val="16"/>
                <w:szCs w:val="16"/>
              </w:rPr>
              <w:t>4206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CA72" w14:textId="77777777" w:rsidR="007B38B8" w:rsidRPr="00507A31" w:rsidRDefault="007B38B8" w:rsidP="00507A31">
            <w:pPr>
              <w:jc w:val="both"/>
              <w:rPr>
                <w:color w:val="000000" w:themeColor="text1"/>
                <w:sz w:val="16"/>
                <w:szCs w:val="16"/>
              </w:rPr>
            </w:pPr>
            <w:r w:rsidRPr="00507A31">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43887" w14:textId="77777777" w:rsidR="007B38B8" w:rsidRPr="00507A31" w:rsidRDefault="007B38B8" w:rsidP="00507A31">
            <w:pPr>
              <w:jc w:val="both"/>
              <w:rPr>
                <w:color w:val="000000" w:themeColor="text1"/>
                <w:sz w:val="16"/>
                <w:szCs w:val="16"/>
              </w:rPr>
            </w:pPr>
            <w:r w:rsidRPr="00507A31">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966F6" w14:textId="77777777" w:rsidR="007B38B8" w:rsidRPr="00507A31" w:rsidRDefault="007B38B8" w:rsidP="00507A31">
            <w:pPr>
              <w:jc w:val="both"/>
              <w:rPr>
                <w:color w:val="000000" w:themeColor="text1"/>
                <w:sz w:val="16"/>
                <w:szCs w:val="16"/>
              </w:rPr>
            </w:pPr>
            <w:r w:rsidRPr="00507A31">
              <w:rPr>
                <w:color w:val="000000" w:themeColor="text1"/>
                <w:sz w:val="16"/>
                <w:szCs w:val="16"/>
              </w:rPr>
              <w:t>17 650⁵*</w:t>
            </w:r>
          </w:p>
        </w:tc>
      </w:tr>
      <w:tr w:rsidR="00A61694" w:rsidRPr="00507A31" w14:paraId="0F25CD3A"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26136F4" w14:textId="77777777" w:rsidR="007B38B8" w:rsidRPr="00507A31" w:rsidRDefault="007B38B8" w:rsidP="00507A31">
            <w:pPr>
              <w:jc w:val="both"/>
              <w:rPr>
                <w:color w:val="000000" w:themeColor="text1"/>
                <w:sz w:val="16"/>
                <w:szCs w:val="16"/>
              </w:rPr>
            </w:pPr>
            <w:r w:rsidRPr="00507A31">
              <w:rPr>
                <w:color w:val="000000" w:themeColor="text1"/>
                <w:sz w:val="16"/>
                <w:szCs w:val="16"/>
              </w:rPr>
              <w:t>Мартен,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62C00" w14:textId="77777777" w:rsidR="007B38B8" w:rsidRPr="00507A31" w:rsidRDefault="007B38B8" w:rsidP="00507A31">
            <w:pPr>
              <w:jc w:val="both"/>
              <w:rPr>
                <w:color w:val="000000" w:themeColor="text1"/>
                <w:sz w:val="16"/>
                <w:szCs w:val="16"/>
              </w:rPr>
            </w:pPr>
            <w:r w:rsidRPr="00507A31">
              <w:rPr>
                <w:color w:val="000000" w:themeColor="text1"/>
                <w:sz w:val="16"/>
                <w:szCs w:val="16"/>
              </w:rPr>
              <w:t>4247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AB22" w14:textId="77777777" w:rsidR="007B38B8" w:rsidRPr="00507A31" w:rsidRDefault="007B38B8" w:rsidP="00507A31">
            <w:pPr>
              <w:jc w:val="both"/>
              <w:rPr>
                <w:color w:val="000000" w:themeColor="text1"/>
                <w:sz w:val="16"/>
                <w:szCs w:val="16"/>
              </w:rPr>
            </w:pPr>
            <w:r w:rsidRPr="00507A31">
              <w:rPr>
                <w:color w:val="000000" w:themeColor="text1"/>
                <w:sz w:val="16"/>
                <w:szCs w:val="16"/>
              </w:rPr>
              <w:t>6400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BF47E" w14:textId="77777777" w:rsidR="007B38B8" w:rsidRPr="00507A31" w:rsidRDefault="007B38B8" w:rsidP="00507A31">
            <w:pPr>
              <w:jc w:val="both"/>
              <w:rPr>
                <w:color w:val="000000" w:themeColor="text1"/>
                <w:sz w:val="16"/>
                <w:szCs w:val="16"/>
              </w:rPr>
            </w:pPr>
            <w:r w:rsidRPr="00507A31">
              <w:rPr>
                <w:color w:val="000000" w:themeColor="text1"/>
                <w:sz w:val="16"/>
                <w:szCs w:val="16"/>
              </w:rPr>
              <w:t>10 400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F6801" w14:textId="77777777" w:rsidR="007B38B8" w:rsidRPr="00507A31" w:rsidRDefault="007B38B8" w:rsidP="00507A31">
            <w:pPr>
              <w:jc w:val="both"/>
              <w:rPr>
                <w:color w:val="000000" w:themeColor="text1"/>
                <w:sz w:val="16"/>
                <w:szCs w:val="16"/>
              </w:rPr>
            </w:pPr>
            <w:r w:rsidRPr="00507A31">
              <w:rPr>
                <w:color w:val="000000" w:themeColor="text1"/>
                <w:sz w:val="16"/>
                <w:szCs w:val="16"/>
              </w:rPr>
              <w:t>19 315⁴*</w:t>
            </w:r>
          </w:p>
        </w:tc>
      </w:tr>
      <w:tr w:rsidR="00A61694" w:rsidRPr="00507A31" w14:paraId="02A5DF7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83EDBE6" w14:textId="77777777" w:rsidR="007B38B8" w:rsidRPr="00507A31" w:rsidRDefault="007B38B8" w:rsidP="00507A31">
            <w:pPr>
              <w:jc w:val="both"/>
              <w:rPr>
                <w:color w:val="000000" w:themeColor="text1"/>
                <w:sz w:val="16"/>
                <w:szCs w:val="16"/>
              </w:rPr>
            </w:pPr>
            <w:r w:rsidRPr="00507A31">
              <w:rPr>
                <w:color w:val="000000" w:themeColor="text1"/>
                <w:sz w:val="16"/>
                <w:szCs w:val="16"/>
              </w:rPr>
              <w:lastRenderedPageBreak/>
              <w:t>Прокат,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6D860" w14:textId="77777777" w:rsidR="007B38B8" w:rsidRPr="00507A31" w:rsidRDefault="007B38B8" w:rsidP="00507A31">
            <w:pPr>
              <w:jc w:val="both"/>
              <w:rPr>
                <w:color w:val="000000" w:themeColor="text1"/>
                <w:sz w:val="16"/>
                <w:szCs w:val="16"/>
              </w:rPr>
            </w:pPr>
            <w:r w:rsidRPr="00507A31">
              <w:rPr>
                <w:color w:val="000000" w:themeColor="text1"/>
                <w:sz w:val="16"/>
                <w:szCs w:val="16"/>
              </w:rPr>
              <w:t>3509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7C233" w14:textId="77777777" w:rsidR="007B38B8" w:rsidRPr="00507A31" w:rsidRDefault="007B38B8" w:rsidP="00507A31">
            <w:pPr>
              <w:jc w:val="both"/>
              <w:rPr>
                <w:color w:val="000000" w:themeColor="text1"/>
                <w:sz w:val="16"/>
                <w:szCs w:val="16"/>
              </w:rPr>
            </w:pPr>
            <w:r w:rsidRPr="00507A31">
              <w:rPr>
                <w:color w:val="000000" w:themeColor="text1"/>
                <w:sz w:val="16"/>
                <w:szCs w:val="16"/>
              </w:rPr>
              <w:t>4932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20ADF" w14:textId="77777777" w:rsidR="007B38B8" w:rsidRPr="00507A31" w:rsidRDefault="007B38B8" w:rsidP="00507A31">
            <w:pPr>
              <w:jc w:val="both"/>
              <w:rPr>
                <w:color w:val="000000" w:themeColor="text1"/>
                <w:sz w:val="16"/>
                <w:szCs w:val="16"/>
              </w:rPr>
            </w:pPr>
            <w:r w:rsidRPr="00507A31">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80006" w14:textId="77777777" w:rsidR="007B38B8" w:rsidRPr="00507A31" w:rsidRDefault="007B38B8" w:rsidP="00507A31">
            <w:pPr>
              <w:jc w:val="both"/>
              <w:rPr>
                <w:color w:val="000000" w:themeColor="text1"/>
                <w:sz w:val="16"/>
                <w:szCs w:val="16"/>
              </w:rPr>
            </w:pPr>
            <w:r w:rsidRPr="00507A31">
              <w:rPr>
                <w:color w:val="000000" w:themeColor="text1"/>
                <w:sz w:val="16"/>
                <w:szCs w:val="16"/>
              </w:rPr>
              <w:t>15 135⁴*</w:t>
            </w:r>
          </w:p>
        </w:tc>
      </w:tr>
      <w:tr w:rsidR="00A61694" w:rsidRPr="00507A31" w14:paraId="3B2F47DB"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07B9B2C" w14:textId="77777777" w:rsidR="007B38B8" w:rsidRPr="00507A31" w:rsidRDefault="007B38B8" w:rsidP="00507A31">
            <w:pPr>
              <w:jc w:val="both"/>
              <w:rPr>
                <w:color w:val="000000" w:themeColor="text1"/>
                <w:sz w:val="16"/>
                <w:szCs w:val="16"/>
              </w:rPr>
            </w:pPr>
            <w:r w:rsidRPr="00507A31">
              <w:rPr>
                <w:color w:val="000000" w:themeColor="text1"/>
                <w:sz w:val="16"/>
                <w:szCs w:val="16"/>
              </w:rPr>
              <w:t>Общее машиностроение,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CBBE2" w14:textId="77777777" w:rsidR="007B38B8" w:rsidRPr="00507A31" w:rsidRDefault="007B38B8" w:rsidP="00507A31">
            <w:pPr>
              <w:jc w:val="both"/>
              <w:rPr>
                <w:color w:val="000000" w:themeColor="text1"/>
                <w:sz w:val="16"/>
                <w:szCs w:val="16"/>
              </w:rPr>
            </w:pPr>
            <w:r w:rsidRPr="00507A31">
              <w:rPr>
                <w:color w:val="000000" w:themeColor="text1"/>
                <w:sz w:val="16"/>
                <w:szCs w:val="16"/>
              </w:rPr>
              <w:t>144,2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8FDD" w14:textId="77777777" w:rsidR="007B38B8" w:rsidRPr="00507A31" w:rsidRDefault="007B38B8" w:rsidP="00507A31">
            <w:pPr>
              <w:jc w:val="both"/>
              <w:rPr>
                <w:color w:val="000000" w:themeColor="text1"/>
                <w:sz w:val="16"/>
                <w:szCs w:val="16"/>
              </w:rPr>
            </w:pPr>
            <w:r w:rsidRPr="00507A31">
              <w:rPr>
                <w:color w:val="000000" w:themeColor="text1"/>
                <w:sz w:val="16"/>
                <w:szCs w:val="16"/>
              </w:rPr>
              <w:t>1145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BE50E" w14:textId="77777777" w:rsidR="007B38B8" w:rsidRPr="00507A31" w:rsidRDefault="007B38B8" w:rsidP="00507A31">
            <w:pPr>
              <w:jc w:val="both"/>
              <w:rPr>
                <w:color w:val="000000" w:themeColor="text1"/>
                <w:sz w:val="16"/>
                <w:szCs w:val="16"/>
              </w:rPr>
            </w:pPr>
            <w:r w:rsidRPr="00507A31">
              <w:rPr>
                <w:color w:val="000000" w:themeColor="text1"/>
                <w:sz w:val="16"/>
                <w:szCs w:val="16"/>
              </w:rPr>
              <w:t>2059⁶*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F26C5" w14:textId="77777777" w:rsidR="007B38B8" w:rsidRPr="00507A31" w:rsidRDefault="007B38B8" w:rsidP="00507A31">
            <w:pPr>
              <w:jc w:val="both"/>
              <w:rPr>
                <w:color w:val="000000" w:themeColor="text1"/>
                <w:sz w:val="16"/>
                <w:szCs w:val="16"/>
              </w:rPr>
            </w:pPr>
            <w:r w:rsidRPr="00507A31">
              <w:rPr>
                <w:color w:val="000000" w:themeColor="text1"/>
                <w:sz w:val="16"/>
                <w:szCs w:val="16"/>
              </w:rPr>
              <w:t> </w:t>
            </w:r>
          </w:p>
        </w:tc>
      </w:tr>
      <w:tr w:rsidR="00A61694" w:rsidRPr="00507A31" w14:paraId="76F7EDEC"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FE472CE" w14:textId="77777777" w:rsidR="007B38B8" w:rsidRPr="00507A31" w:rsidRDefault="007B38B8" w:rsidP="00507A31">
            <w:pPr>
              <w:jc w:val="both"/>
              <w:rPr>
                <w:color w:val="000000" w:themeColor="text1"/>
                <w:sz w:val="16"/>
                <w:szCs w:val="16"/>
              </w:rPr>
            </w:pPr>
            <w:r w:rsidRPr="00507A31">
              <w:rPr>
                <w:color w:val="000000" w:themeColor="text1"/>
                <w:sz w:val="16"/>
                <w:szCs w:val="16"/>
              </w:rPr>
              <w:t>Сельскохозяйственное машиностроение,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4FEF0" w14:textId="77777777" w:rsidR="007B38B8" w:rsidRPr="00507A31" w:rsidRDefault="007B38B8" w:rsidP="00507A31">
            <w:pPr>
              <w:jc w:val="both"/>
              <w:rPr>
                <w:color w:val="000000" w:themeColor="text1"/>
                <w:sz w:val="16"/>
                <w:szCs w:val="16"/>
              </w:rPr>
            </w:pPr>
            <w:r w:rsidRPr="00507A31">
              <w:rPr>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4F636" w14:textId="77777777" w:rsidR="007B38B8" w:rsidRPr="00507A31" w:rsidRDefault="007B38B8" w:rsidP="00507A31">
            <w:pPr>
              <w:jc w:val="both"/>
              <w:rPr>
                <w:color w:val="000000" w:themeColor="text1"/>
                <w:sz w:val="16"/>
                <w:szCs w:val="16"/>
              </w:rPr>
            </w:pPr>
            <w:r w:rsidRPr="00507A31">
              <w:rPr>
                <w:color w:val="000000" w:themeColor="text1"/>
                <w:sz w:val="16"/>
                <w:szCs w:val="16"/>
              </w:rPr>
              <w:t>406,1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631DC" w14:textId="77777777" w:rsidR="007B38B8" w:rsidRPr="00507A31" w:rsidRDefault="007B38B8" w:rsidP="00507A31">
            <w:pPr>
              <w:jc w:val="both"/>
              <w:rPr>
                <w:color w:val="000000" w:themeColor="text1"/>
                <w:sz w:val="16"/>
                <w:szCs w:val="16"/>
              </w:rPr>
            </w:pPr>
            <w:r w:rsidRPr="00507A31">
              <w:rPr>
                <w:color w:val="000000" w:themeColor="text1"/>
                <w:sz w:val="16"/>
                <w:szCs w:val="16"/>
              </w:rPr>
              <w:t>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3A042" w14:textId="77777777" w:rsidR="007B38B8" w:rsidRPr="00507A31" w:rsidRDefault="007B38B8" w:rsidP="00507A31">
            <w:pPr>
              <w:jc w:val="both"/>
              <w:rPr>
                <w:color w:val="000000" w:themeColor="text1"/>
                <w:sz w:val="16"/>
                <w:szCs w:val="16"/>
              </w:rPr>
            </w:pPr>
            <w:r w:rsidRPr="00507A31">
              <w:rPr>
                <w:color w:val="000000" w:themeColor="text1"/>
                <w:sz w:val="16"/>
                <w:szCs w:val="16"/>
              </w:rPr>
              <w:t>1100</w:t>
            </w:r>
          </w:p>
        </w:tc>
      </w:tr>
      <w:tr w:rsidR="00A61694" w:rsidRPr="00507A31" w14:paraId="5CE4BA3B"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206F70CB" w14:textId="77777777" w:rsidR="007B38B8" w:rsidRPr="00507A31" w:rsidRDefault="007B38B8" w:rsidP="00507A31">
            <w:pPr>
              <w:jc w:val="both"/>
              <w:rPr>
                <w:color w:val="000000" w:themeColor="text1"/>
                <w:sz w:val="16"/>
                <w:szCs w:val="16"/>
              </w:rPr>
            </w:pPr>
            <w:r w:rsidRPr="00507A31">
              <w:rPr>
                <w:color w:val="000000" w:themeColor="text1"/>
                <w:sz w:val="16"/>
                <w:szCs w:val="16"/>
              </w:rPr>
              <w:t>Станкостроение,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6F189" w14:textId="77777777" w:rsidR="007B38B8" w:rsidRPr="00507A31" w:rsidRDefault="007B38B8" w:rsidP="00507A31">
            <w:pPr>
              <w:jc w:val="both"/>
              <w:rPr>
                <w:color w:val="000000" w:themeColor="text1"/>
                <w:sz w:val="16"/>
                <w:szCs w:val="16"/>
              </w:rPr>
            </w:pPr>
            <w:r w:rsidRPr="00507A31">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D1426" w14:textId="77777777" w:rsidR="007B38B8" w:rsidRPr="00507A31" w:rsidRDefault="007B38B8" w:rsidP="00507A31">
            <w:pPr>
              <w:jc w:val="both"/>
              <w:rPr>
                <w:color w:val="000000" w:themeColor="text1"/>
                <w:sz w:val="16"/>
                <w:szCs w:val="16"/>
              </w:rPr>
            </w:pPr>
            <w:r w:rsidRPr="00507A31">
              <w:rPr>
                <w:color w:val="000000" w:themeColor="text1"/>
                <w:sz w:val="16"/>
                <w:szCs w:val="16"/>
              </w:rPr>
              <w:t>71⁷*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AC78D" w14:textId="77777777" w:rsidR="007B38B8" w:rsidRPr="00507A31" w:rsidRDefault="007B38B8" w:rsidP="00507A31">
            <w:pPr>
              <w:jc w:val="both"/>
              <w:rPr>
                <w:color w:val="000000" w:themeColor="text1"/>
                <w:sz w:val="16"/>
                <w:szCs w:val="16"/>
              </w:rPr>
            </w:pPr>
            <w:r w:rsidRPr="00507A31">
              <w:rPr>
                <w:color w:val="000000" w:themeColor="text1"/>
                <w:sz w:val="16"/>
                <w:szCs w:val="16"/>
              </w:rPr>
              <w:t>144,1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64C95" w14:textId="77777777" w:rsidR="007B38B8" w:rsidRPr="00507A31" w:rsidRDefault="007B38B8" w:rsidP="00507A31">
            <w:pPr>
              <w:jc w:val="both"/>
              <w:rPr>
                <w:color w:val="000000" w:themeColor="text1"/>
                <w:sz w:val="16"/>
                <w:szCs w:val="16"/>
              </w:rPr>
            </w:pPr>
            <w:r w:rsidRPr="00507A31">
              <w:rPr>
                <w:color w:val="000000" w:themeColor="text1"/>
                <w:sz w:val="16"/>
                <w:szCs w:val="16"/>
              </w:rPr>
              <w:t> </w:t>
            </w:r>
          </w:p>
        </w:tc>
      </w:tr>
      <w:tr w:rsidR="00A61694" w:rsidRPr="00507A31" w14:paraId="3916A107"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DC95BEC" w14:textId="77777777" w:rsidR="007B38B8" w:rsidRPr="00507A31" w:rsidRDefault="007B38B8" w:rsidP="00507A31">
            <w:pPr>
              <w:jc w:val="both"/>
              <w:rPr>
                <w:color w:val="000000" w:themeColor="text1"/>
                <w:sz w:val="16"/>
                <w:szCs w:val="16"/>
              </w:rPr>
            </w:pPr>
            <w:r w:rsidRPr="00507A31">
              <w:rPr>
                <w:color w:val="000000" w:themeColor="text1"/>
                <w:sz w:val="16"/>
                <w:szCs w:val="16"/>
              </w:rPr>
              <w:t>Тракторы,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85B8E" w14:textId="77777777" w:rsidR="007B38B8" w:rsidRPr="00507A31" w:rsidRDefault="007B38B8"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D22DD" w14:textId="77777777" w:rsidR="007B38B8" w:rsidRPr="00507A31" w:rsidRDefault="007B38B8" w:rsidP="00507A31">
            <w:pPr>
              <w:jc w:val="both"/>
              <w:rPr>
                <w:color w:val="000000" w:themeColor="text1"/>
                <w:sz w:val="16"/>
                <w:szCs w:val="16"/>
              </w:rPr>
            </w:pPr>
            <w:r w:rsidRPr="00507A31">
              <w:rPr>
                <w:color w:val="000000" w:themeColor="text1"/>
                <w:sz w:val="16"/>
                <w:szCs w:val="16"/>
              </w:rPr>
              <w:t>17 400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F4EAE" w14:textId="77777777" w:rsidR="007B38B8" w:rsidRPr="00507A31" w:rsidRDefault="007B38B8" w:rsidP="00507A31">
            <w:pPr>
              <w:jc w:val="both"/>
              <w:rPr>
                <w:color w:val="000000" w:themeColor="text1"/>
                <w:sz w:val="16"/>
                <w:szCs w:val="16"/>
              </w:rPr>
            </w:pPr>
            <w:r w:rsidRPr="00507A31">
              <w:rPr>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A2D3F" w14:textId="77777777" w:rsidR="007B38B8" w:rsidRPr="00507A31" w:rsidRDefault="007B38B8" w:rsidP="00507A31">
            <w:pPr>
              <w:jc w:val="both"/>
              <w:rPr>
                <w:color w:val="000000" w:themeColor="text1"/>
                <w:sz w:val="16"/>
                <w:szCs w:val="16"/>
              </w:rPr>
            </w:pPr>
            <w:r w:rsidRPr="00507A31">
              <w:rPr>
                <w:color w:val="000000" w:themeColor="text1"/>
                <w:sz w:val="16"/>
                <w:szCs w:val="16"/>
              </w:rPr>
              <w:t>197 100</w:t>
            </w:r>
          </w:p>
        </w:tc>
      </w:tr>
      <w:tr w:rsidR="00A61694" w:rsidRPr="00507A31" w14:paraId="1CC71FDA"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42C6CE6" w14:textId="77777777" w:rsidR="007B38B8" w:rsidRPr="00507A31" w:rsidRDefault="007B38B8" w:rsidP="00507A31">
            <w:pPr>
              <w:jc w:val="both"/>
              <w:rPr>
                <w:color w:val="000000" w:themeColor="text1"/>
                <w:sz w:val="16"/>
                <w:szCs w:val="16"/>
              </w:rPr>
            </w:pPr>
            <w:r w:rsidRPr="00507A31">
              <w:rPr>
                <w:color w:val="000000" w:themeColor="text1"/>
                <w:sz w:val="16"/>
                <w:szCs w:val="16"/>
              </w:rPr>
              <w:t>Автомобили,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A87DA" w14:textId="77777777" w:rsidR="007B38B8" w:rsidRPr="00507A31" w:rsidRDefault="007B38B8"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A76EF" w14:textId="77777777" w:rsidR="007B38B8" w:rsidRPr="00507A31" w:rsidRDefault="007B38B8" w:rsidP="00507A31">
            <w:pPr>
              <w:jc w:val="both"/>
              <w:rPr>
                <w:color w:val="000000" w:themeColor="text1"/>
                <w:sz w:val="16"/>
                <w:szCs w:val="16"/>
              </w:rPr>
            </w:pPr>
            <w:r w:rsidRPr="00507A31">
              <w:rPr>
                <w:color w:val="000000" w:themeColor="text1"/>
                <w:sz w:val="16"/>
                <w:szCs w:val="16"/>
              </w:rPr>
              <w:t>12 300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18644" w14:textId="77777777" w:rsidR="007B38B8" w:rsidRPr="00507A31" w:rsidRDefault="007B38B8" w:rsidP="00507A31">
            <w:pPr>
              <w:jc w:val="both"/>
              <w:rPr>
                <w:color w:val="000000" w:themeColor="text1"/>
                <w:sz w:val="16"/>
                <w:szCs w:val="16"/>
              </w:rPr>
            </w:pPr>
            <w:r w:rsidRPr="00507A31">
              <w:rPr>
                <w:color w:val="000000" w:themeColor="text1"/>
                <w:sz w:val="16"/>
                <w:szCs w:val="16"/>
              </w:rPr>
              <w:t>130 000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8B792" w14:textId="77777777" w:rsidR="007B38B8" w:rsidRPr="00507A31" w:rsidRDefault="007B38B8" w:rsidP="00507A31">
            <w:pPr>
              <w:jc w:val="both"/>
              <w:rPr>
                <w:color w:val="000000" w:themeColor="text1"/>
                <w:sz w:val="16"/>
                <w:szCs w:val="16"/>
              </w:rPr>
            </w:pPr>
            <w:r w:rsidRPr="00507A31">
              <w:rPr>
                <w:color w:val="000000" w:themeColor="text1"/>
                <w:sz w:val="16"/>
                <w:szCs w:val="16"/>
              </w:rPr>
              <w:t>350 000</w:t>
            </w:r>
          </w:p>
        </w:tc>
      </w:tr>
    </w:tbl>
    <w:p w14:paraId="1E1DB06F"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Приведенные цифры взяты из пятилетнего плана, к[онтрольных] ц[ифр] на 1929/30 г., справки, полученной мной в Гипромезе, из данных Комиссии т. Долгова, «Правды» № 4421 и «Экономической жизни» № 3318, 3322 и «К[онтрольных] ц[ифр] пятилетнего плана промышленности ВСНХ СССР» (Гостехиздат, М., 1929) и «Металлопромышленность за 10 лет» (журнал «Металл», 1928 г.).</w:t>
      </w:r>
    </w:p>
    <w:p w14:paraId="74065BAD"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По химической промышленности мне не удалось собрать данных, сколько-нибудь определяющих ее продукцию в натуральном или денежном выражении. В настоящее время химическая пятилетка пересматривается под углом зрения ее значительного увеличения. Но и те данные о капиталовложениях в промышленность, которые мне удалось собрать, говорят о ее громадном развитии. Например, по пятилетке Госплана от 1926 г. в 1929/30 г. предполагалось вложить в химпромышленность 48,8 млн. руб., а контрольные цифры на 1929/30 г. вкладывают 372,7 млн. руб.; та же пятилетка на 1930/31 г. вкладывала 50,8 млн. руб., а новая пятилетка (пересматриваемая) — 271,1 млн. руб. и т. д.</w:t>
      </w:r>
    </w:p>
    <w:p w14:paraId="32F7F562"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В общем показатели 1929/30 г. говорят о том, что мы по сравнению с той промышленной базой России (в пределах границ СССР), на которой развивалась империалистическая война, уже сейчас в 1,5 раза выше ее по металлам и почти в 10 раз превосходим ее по машиностроению. О пятилетней перспективе и говорить не приходится.</w:t>
      </w:r>
    </w:p>
    <w:p w14:paraId="6D8D7C0D"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Машиностроение — основной показатель военно-технической мощи страны. Поэтому крайне интересно наши достижения в машиностроении сравнить с таковыми же в крупнейших капиталистических странах Европы (стоимость в миллионах довоенных марок)⁸*.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51"/>
        <w:gridCol w:w="1947"/>
        <w:gridCol w:w="1947"/>
        <w:gridCol w:w="2777"/>
      </w:tblGrid>
      <w:tr w:rsidR="00A61694" w:rsidRPr="00507A31" w14:paraId="3EC48E1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7DCFB8D" w14:textId="77777777" w:rsidR="007B38B8" w:rsidRPr="00507A31" w:rsidRDefault="007B38B8" w:rsidP="00507A31">
            <w:pPr>
              <w:jc w:val="both"/>
              <w:rPr>
                <w:color w:val="000000" w:themeColor="text1"/>
                <w:sz w:val="16"/>
                <w:szCs w:val="16"/>
              </w:rPr>
            </w:pPr>
            <w:r w:rsidRPr="00507A31">
              <w:rPr>
                <w:color w:val="000000" w:themeColor="text1"/>
                <w:sz w:val="16"/>
                <w:szCs w:val="16"/>
              </w:rPr>
              <w:t>Страны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B41BE" w14:textId="77777777" w:rsidR="007B38B8" w:rsidRPr="00507A31" w:rsidRDefault="007B38B8" w:rsidP="00507A31">
            <w:pPr>
              <w:jc w:val="both"/>
              <w:rPr>
                <w:color w:val="000000" w:themeColor="text1"/>
                <w:sz w:val="16"/>
                <w:szCs w:val="16"/>
              </w:rPr>
            </w:pPr>
            <w:r w:rsidRPr="00507A31">
              <w:rPr>
                <w:color w:val="000000" w:themeColor="text1"/>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5D09D" w14:textId="77777777" w:rsidR="007B38B8" w:rsidRPr="00507A31" w:rsidRDefault="007B38B8" w:rsidP="00507A31">
            <w:pPr>
              <w:jc w:val="both"/>
              <w:rPr>
                <w:color w:val="000000" w:themeColor="text1"/>
                <w:sz w:val="16"/>
                <w:szCs w:val="16"/>
              </w:rPr>
            </w:pPr>
            <w:r w:rsidRPr="00507A31">
              <w:rPr>
                <w:color w:val="000000" w:themeColor="text1"/>
                <w:sz w:val="16"/>
                <w:szCs w:val="16"/>
              </w:rPr>
              <w:t>1925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118E4" w14:textId="77777777" w:rsidR="007B38B8" w:rsidRPr="00507A31" w:rsidRDefault="007B38B8" w:rsidP="00507A31">
            <w:pPr>
              <w:jc w:val="both"/>
              <w:rPr>
                <w:color w:val="000000" w:themeColor="text1"/>
                <w:sz w:val="16"/>
                <w:szCs w:val="16"/>
              </w:rPr>
            </w:pPr>
            <w:r w:rsidRPr="00507A31">
              <w:rPr>
                <w:color w:val="000000" w:themeColor="text1"/>
                <w:sz w:val="16"/>
                <w:szCs w:val="16"/>
              </w:rPr>
              <w:t>1929/30 г.</w:t>
            </w:r>
          </w:p>
        </w:tc>
      </w:tr>
      <w:tr w:rsidR="00A61694" w:rsidRPr="00507A31" w14:paraId="32CFA382"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58ACE3D" w14:textId="77777777" w:rsidR="007B38B8" w:rsidRPr="00507A31" w:rsidRDefault="007B38B8" w:rsidP="00507A31">
            <w:pPr>
              <w:jc w:val="both"/>
              <w:rPr>
                <w:color w:val="000000" w:themeColor="text1"/>
                <w:sz w:val="16"/>
                <w:szCs w:val="16"/>
              </w:rPr>
            </w:pPr>
            <w:r w:rsidRPr="00507A31">
              <w:rPr>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A626" w14:textId="77777777" w:rsidR="007B38B8" w:rsidRPr="00507A31" w:rsidRDefault="007B38B8" w:rsidP="00507A31">
            <w:pPr>
              <w:jc w:val="both"/>
              <w:rPr>
                <w:color w:val="000000" w:themeColor="text1"/>
                <w:sz w:val="16"/>
                <w:szCs w:val="16"/>
              </w:rPr>
            </w:pPr>
            <w:r w:rsidRPr="00507A31">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0A4D2" w14:textId="77777777" w:rsidR="007B38B8" w:rsidRPr="00507A31" w:rsidRDefault="007B38B8" w:rsidP="00507A31">
            <w:pPr>
              <w:jc w:val="both"/>
              <w:rPr>
                <w:color w:val="000000" w:themeColor="text1"/>
                <w:sz w:val="16"/>
                <w:szCs w:val="16"/>
              </w:rPr>
            </w:pPr>
            <w:r w:rsidRPr="00507A31">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FDBC9" w14:textId="77777777" w:rsidR="007B38B8" w:rsidRPr="00507A31" w:rsidRDefault="007B38B8" w:rsidP="00507A31">
            <w:pPr>
              <w:jc w:val="both"/>
              <w:rPr>
                <w:color w:val="000000" w:themeColor="text1"/>
                <w:sz w:val="16"/>
                <w:szCs w:val="16"/>
              </w:rPr>
            </w:pPr>
            <w:r w:rsidRPr="00507A31">
              <w:rPr>
                <w:color w:val="000000" w:themeColor="text1"/>
                <w:sz w:val="16"/>
                <w:szCs w:val="16"/>
              </w:rPr>
              <w:t> </w:t>
            </w:r>
          </w:p>
        </w:tc>
      </w:tr>
      <w:tr w:rsidR="00A61694" w:rsidRPr="00507A31" w14:paraId="5E30BC27"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2C084DF" w14:textId="77777777" w:rsidR="007B38B8" w:rsidRPr="00507A31" w:rsidRDefault="007B38B8" w:rsidP="00507A31">
            <w:pPr>
              <w:jc w:val="both"/>
              <w:rPr>
                <w:color w:val="000000" w:themeColor="text1"/>
                <w:sz w:val="16"/>
                <w:szCs w:val="16"/>
              </w:rPr>
            </w:pPr>
            <w:r w:rsidRPr="00507A31">
              <w:rPr>
                <w:color w:val="000000" w:themeColor="text1"/>
                <w:sz w:val="16"/>
                <w:szCs w:val="16"/>
              </w:rPr>
              <w:t>Великобритания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64644" w14:textId="77777777" w:rsidR="007B38B8" w:rsidRPr="00507A31" w:rsidRDefault="007B38B8" w:rsidP="00507A31">
            <w:pPr>
              <w:jc w:val="both"/>
              <w:rPr>
                <w:color w:val="000000" w:themeColor="text1"/>
                <w:sz w:val="16"/>
                <w:szCs w:val="16"/>
              </w:rPr>
            </w:pPr>
            <w:r w:rsidRPr="00507A31">
              <w:rPr>
                <w:color w:val="000000" w:themeColor="text1"/>
                <w:sz w:val="16"/>
                <w:szCs w:val="16"/>
              </w:rPr>
              <w:t>1602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25DB9" w14:textId="77777777" w:rsidR="007B38B8" w:rsidRPr="00507A31" w:rsidRDefault="007B38B8" w:rsidP="00507A31">
            <w:pPr>
              <w:jc w:val="both"/>
              <w:rPr>
                <w:color w:val="000000" w:themeColor="text1"/>
                <w:sz w:val="16"/>
                <w:szCs w:val="16"/>
              </w:rPr>
            </w:pPr>
            <w:r w:rsidRPr="00507A31">
              <w:rPr>
                <w:color w:val="000000" w:themeColor="text1"/>
                <w:sz w:val="16"/>
                <w:szCs w:val="16"/>
              </w:rPr>
              <w:t>2007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22C78" w14:textId="77777777" w:rsidR="007B38B8" w:rsidRPr="00507A31" w:rsidRDefault="007B38B8" w:rsidP="00507A31">
            <w:pPr>
              <w:jc w:val="both"/>
              <w:rPr>
                <w:color w:val="000000" w:themeColor="text1"/>
                <w:sz w:val="16"/>
                <w:szCs w:val="16"/>
              </w:rPr>
            </w:pPr>
            <w:r w:rsidRPr="00507A31">
              <w:rPr>
                <w:color w:val="000000" w:themeColor="text1"/>
                <w:sz w:val="16"/>
                <w:szCs w:val="16"/>
              </w:rPr>
              <w:t> </w:t>
            </w:r>
          </w:p>
        </w:tc>
      </w:tr>
      <w:tr w:rsidR="00A61694" w:rsidRPr="00507A31" w14:paraId="1440497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EAF1CBB" w14:textId="77777777" w:rsidR="007B38B8" w:rsidRPr="00507A31" w:rsidRDefault="007B38B8" w:rsidP="00507A31">
            <w:pPr>
              <w:jc w:val="both"/>
              <w:rPr>
                <w:color w:val="000000" w:themeColor="text1"/>
                <w:sz w:val="16"/>
                <w:szCs w:val="16"/>
              </w:rPr>
            </w:pPr>
            <w:r w:rsidRPr="00507A31">
              <w:rPr>
                <w:color w:val="000000" w:themeColor="text1"/>
                <w:sz w:val="16"/>
                <w:szCs w:val="16"/>
              </w:rPr>
              <w:t>Россия—СССР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DEF5F" w14:textId="77777777" w:rsidR="007B38B8" w:rsidRPr="00507A31" w:rsidRDefault="007B38B8" w:rsidP="00507A31">
            <w:pPr>
              <w:jc w:val="both"/>
              <w:rPr>
                <w:color w:val="000000" w:themeColor="text1"/>
                <w:sz w:val="16"/>
                <w:szCs w:val="16"/>
              </w:rPr>
            </w:pPr>
            <w:r w:rsidRPr="00507A31">
              <w:rPr>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50D9E" w14:textId="77777777" w:rsidR="007B38B8" w:rsidRPr="00507A31" w:rsidRDefault="007B38B8" w:rsidP="00507A31">
            <w:pPr>
              <w:jc w:val="both"/>
              <w:rPr>
                <w:color w:val="000000" w:themeColor="text1"/>
                <w:sz w:val="16"/>
                <w:szCs w:val="16"/>
              </w:rPr>
            </w:pPr>
            <w:r w:rsidRPr="00507A31">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834DA" w14:textId="77777777" w:rsidR="007B38B8" w:rsidRPr="00507A31" w:rsidRDefault="007B38B8" w:rsidP="00507A31">
            <w:pPr>
              <w:jc w:val="both"/>
              <w:rPr>
                <w:color w:val="000000" w:themeColor="text1"/>
                <w:sz w:val="16"/>
                <w:szCs w:val="16"/>
              </w:rPr>
            </w:pPr>
            <w:r w:rsidRPr="00507A31">
              <w:rPr>
                <w:color w:val="000000" w:themeColor="text1"/>
                <w:sz w:val="16"/>
                <w:szCs w:val="16"/>
              </w:rPr>
              <w:t>1675⁹*</w:t>
            </w:r>
          </w:p>
        </w:tc>
      </w:tr>
      <w:tr w:rsidR="00A61694" w:rsidRPr="00507A31" w14:paraId="08CF52AF"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1502664" w14:textId="77777777" w:rsidR="007B38B8" w:rsidRPr="00507A31" w:rsidRDefault="007B38B8" w:rsidP="00507A31">
            <w:pPr>
              <w:jc w:val="both"/>
              <w:rPr>
                <w:color w:val="000000" w:themeColor="text1"/>
                <w:sz w:val="16"/>
                <w:szCs w:val="16"/>
              </w:rPr>
            </w:pPr>
            <w:r w:rsidRPr="00507A31">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D85F8" w14:textId="77777777" w:rsidR="007B38B8" w:rsidRPr="00507A31" w:rsidRDefault="007B38B8" w:rsidP="00507A31">
            <w:pPr>
              <w:jc w:val="both"/>
              <w:rPr>
                <w:color w:val="000000" w:themeColor="text1"/>
                <w:sz w:val="16"/>
                <w:szCs w:val="16"/>
              </w:rPr>
            </w:pPr>
            <w:r w:rsidRPr="00507A31">
              <w:rPr>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96B6A" w14:textId="77777777" w:rsidR="007B38B8" w:rsidRPr="00507A31" w:rsidRDefault="007B38B8" w:rsidP="00507A31">
            <w:pPr>
              <w:jc w:val="both"/>
              <w:rPr>
                <w:color w:val="000000" w:themeColor="text1"/>
                <w:sz w:val="16"/>
                <w:szCs w:val="16"/>
              </w:rPr>
            </w:pPr>
            <w:r w:rsidRPr="00507A31">
              <w:rPr>
                <w:color w:val="000000" w:themeColor="text1"/>
                <w:sz w:val="16"/>
                <w:szCs w:val="16"/>
              </w:rPr>
              <w:t>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A8B50" w14:textId="77777777" w:rsidR="007B38B8" w:rsidRPr="00507A31" w:rsidRDefault="007B38B8" w:rsidP="00507A31">
            <w:pPr>
              <w:jc w:val="both"/>
              <w:rPr>
                <w:color w:val="000000" w:themeColor="text1"/>
                <w:sz w:val="16"/>
                <w:szCs w:val="16"/>
              </w:rPr>
            </w:pPr>
            <w:r w:rsidRPr="00507A31">
              <w:rPr>
                <w:color w:val="000000" w:themeColor="text1"/>
                <w:sz w:val="16"/>
                <w:szCs w:val="16"/>
              </w:rPr>
              <w:t> </w:t>
            </w:r>
          </w:p>
        </w:tc>
      </w:tr>
    </w:tbl>
    <w:p w14:paraId="14A3B627"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Темп роста механизации трудовых процессов особенно разительно подчеркивается в деле механизации сельского хозяйства («Правда» № 4421).</w:t>
      </w:r>
    </w:p>
    <w:p w14:paraId="678FC0F2" w14:textId="77777777" w:rsidR="007B38B8" w:rsidRPr="00507A31" w:rsidRDefault="007B38B8" w:rsidP="00507A31">
      <w:pPr>
        <w:pStyle w:val="ae"/>
        <w:spacing w:before="0" w:after="0"/>
        <w:jc w:val="both"/>
        <w:rPr>
          <w:color w:val="000000" w:themeColor="text1"/>
          <w:sz w:val="16"/>
          <w:szCs w:val="16"/>
        </w:rPr>
      </w:pPr>
      <w:r w:rsidRPr="00507A31">
        <w:rPr>
          <w:rStyle w:val="a7"/>
          <w:b w:val="0"/>
          <w:color w:val="000000" w:themeColor="text1"/>
          <w:sz w:val="16"/>
          <w:szCs w:val="16"/>
        </w:rPr>
        <w:t>Выпуск сельскохозяйственного инвентаря механической тяги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0"/>
        <w:gridCol w:w="3037"/>
        <w:gridCol w:w="3289"/>
        <w:gridCol w:w="1533"/>
        <w:gridCol w:w="2923"/>
      </w:tblGrid>
      <w:tr w:rsidR="00A61694" w:rsidRPr="00507A31" w14:paraId="15E5834A"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0E9E865" w14:textId="77777777" w:rsidR="007B38B8" w:rsidRPr="00507A31" w:rsidRDefault="007B38B8" w:rsidP="00507A31">
            <w:pPr>
              <w:jc w:val="both"/>
              <w:rPr>
                <w:color w:val="000000" w:themeColor="text1"/>
                <w:sz w:val="16"/>
                <w:szCs w:val="16"/>
              </w:rPr>
            </w:pPr>
            <w:r w:rsidRPr="00507A31">
              <w:rPr>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5346B" w14:textId="77777777" w:rsidR="007B38B8" w:rsidRPr="00507A31" w:rsidRDefault="007B38B8" w:rsidP="00507A31">
            <w:pPr>
              <w:jc w:val="both"/>
              <w:rPr>
                <w:color w:val="000000" w:themeColor="text1"/>
                <w:sz w:val="16"/>
                <w:szCs w:val="16"/>
              </w:rPr>
            </w:pPr>
            <w:r w:rsidRPr="00507A31">
              <w:rPr>
                <w:color w:val="000000" w:themeColor="text1"/>
                <w:sz w:val="16"/>
                <w:szCs w:val="16"/>
              </w:rPr>
              <w:t>По пятилетке, утвержденной съездом Советов,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8E2E3" w14:textId="77777777" w:rsidR="007B38B8" w:rsidRPr="00507A31" w:rsidRDefault="007B38B8" w:rsidP="00507A31">
            <w:pPr>
              <w:jc w:val="both"/>
              <w:rPr>
                <w:color w:val="000000" w:themeColor="text1"/>
                <w:sz w:val="16"/>
                <w:szCs w:val="16"/>
              </w:rPr>
            </w:pPr>
            <w:r w:rsidRPr="00507A31">
              <w:rPr>
                <w:color w:val="000000" w:themeColor="text1"/>
                <w:sz w:val="16"/>
                <w:szCs w:val="16"/>
              </w:rPr>
              <w:t>В процентах ко всему выпуску сельско</w:t>
            </w:r>
            <w:r w:rsidRPr="00507A31">
              <w:rPr>
                <w:color w:val="000000" w:themeColor="text1"/>
                <w:sz w:val="16"/>
                <w:szCs w:val="16"/>
              </w:rPr>
              <w:softHyphen/>
              <w:t>хозяйственных машин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4D53E" w14:textId="77777777" w:rsidR="007B38B8" w:rsidRPr="00507A31" w:rsidRDefault="007B38B8" w:rsidP="00507A31">
            <w:pPr>
              <w:jc w:val="both"/>
              <w:rPr>
                <w:color w:val="000000" w:themeColor="text1"/>
                <w:sz w:val="16"/>
                <w:szCs w:val="16"/>
              </w:rPr>
            </w:pPr>
            <w:r w:rsidRPr="00507A31">
              <w:rPr>
                <w:color w:val="000000" w:themeColor="text1"/>
                <w:sz w:val="16"/>
                <w:szCs w:val="16"/>
              </w:rPr>
              <w:t>По новому плану,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55688" w14:textId="77777777" w:rsidR="007B38B8" w:rsidRPr="00507A31" w:rsidRDefault="007B38B8" w:rsidP="00507A31">
            <w:pPr>
              <w:jc w:val="both"/>
              <w:rPr>
                <w:color w:val="000000" w:themeColor="text1"/>
                <w:sz w:val="16"/>
                <w:szCs w:val="16"/>
              </w:rPr>
            </w:pPr>
            <w:r w:rsidRPr="00507A31">
              <w:rPr>
                <w:color w:val="000000" w:themeColor="text1"/>
                <w:sz w:val="16"/>
                <w:szCs w:val="16"/>
              </w:rPr>
              <w:t>В процентах к выпуску сельско</w:t>
            </w:r>
            <w:r w:rsidRPr="00507A31">
              <w:rPr>
                <w:color w:val="000000" w:themeColor="text1"/>
                <w:sz w:val="16"/>
                <w:szCs w:val="16"/>
              </w:rPr>
              <w:softHyphen/>
              <w:t>хозяйственных машин</w:t>
            </w:r>
          </w:p>
        </w:tc>
      </w:tr>
      <w:tr w:rsidR="00A61694" w:rsidRPr="00507A31" w14:paraId="6056A418"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20EA663B" w14:textId="77777777" w:rsidR="007B38B8" w:rsidRPr="00507A31" w:rsidRDefault="007B38B8" w:rsidP="00507A31">
            <w:pPr>
              <w:jc w:val="both"/>
              <w:rPr>
                <w:color w:val="000000" w:themeColor="text1"/>
                <w:sz w:val="16"/>
                <w:szCs w:val="16"/>
              </w:rPr>
            </w:pPr>
            <w:r w:rsidRPr="00507A31">
              <w:rPr>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0AFB0" w14:textId="77777777" w:rsidR="007B38B8" w:rsidRPr="00507A31" w:rsidRDefault="007B38B8" w:rsidP="00507A31">
            <w:pPr>
              <w:jc w:val="both"/>
              <w:rPr>
                <w:color w:val="000000" w:themeColor="text1"/>
                <w:sz w:val="16"/>
                <w:szCs w:val="16"/>
              </w:rPr>
            </w:pPr>
            <w:r w:rsidRPr="00507A31">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0CD01" w14:textId="77777777" w:rsidR="007B38B8" w:rsidRPr="00507A31" w:rsidRDefault="007B38B8" w:rsidP="00507A31">
            <w:pPr>
              <w:jc w:val="both"/>
              <w:rPr>
                <w:color w:val="000000" w:themeColor="text1"/>
                <w:sz w:val="16"/>
                <w:szCs w:val="16"/>
              </w:rPr>
            </w:pPr>
            <w:r w:rsidRPr="00507A31">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55F93" w14:textId="77777777" w:rsidR="007B38B8" w:rsidRPr="00507A31" w:rsidRDefault="007B38B8" w:rsidP="00507A31">
            <w:pPr>
              <w:jc w:val="both"/>
              <w:rPr>
                <w:color w:val="000000" w:themeColor="text1"/>
                <w:sz w:val="16"/>
                <w:szCs w:val="16"/>
              </w:rPr>
            </w:pPr>
            <w:r w:rsidRPr="00507A31">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07DCA" w14:textId="77777777" w:rsidR="007B38B8" w:rsidRPr="00507A31" w:rsidRDefault="007B38B8" w:rsidP="00507A31">
            <w:pPr>
              <w:jc w:val="both"/>
              <w:rPr>
                <w:color w:val="000000" w:themeColor="text1"/>
                <w:sz w:val="16"/>
                <w:szCs w:val="16"/>
              </w:rPr>
            </w:pPr>
            <w:r w:rsidRPr="00507A31">
              <w:rPr>
                <w:color w:val="000000" w:themeColor="text1"/>
                <w:sz w:val="16"/>
                <w:szCs w:val="16"/>
              </w:rPr>
              <w:t>3</w:t>
            </w:r>
          </w:p>
        </w:tc>
      </w:tr>
      <w:tr w:rsidR="00A61694" w:rsidRPr="00507A31" w14:paraId="3DBD825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6E21457" w14:textId="77777777" w:rsidR="007B38B8" w:rsidRPr="00507A31" w:rsidRDefault="007B38B8" w:rsidP="00507A31">
            <w:pPr>
              <w:jc w:val="both"/>
              <w:rPr>
                <w:color w:val="000000" w:themeColor="text1"/>
                <w:sz w:val="16"/>
                <w:szCs w:val="16"/>
              </w:rPr>
            </w:pPr>
            <w:r w:rsidRPr="00507A31">
              <w:rPr>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355D3" w14:textId="77777777" w:rsidR="007B38B8" w:rsidRPr="00507A31" w:rsidRDefault="007B38B8" w:rsidP="00507A31">
            <w:pPr>
              <w:jc w:val="both"/>
              <w:rPr>
                <w:color w:val="000000" w:themeColor="text1"/>
                <w:sz w:val="16"/>
                <w:szCs w:val="16"/>
              </w:rPr>
            </w:pPr>
            <w:r w:rsidRPr="00507A31">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0622E" w14:textId="77777777" w:rsidR="007B38B8" w:rsidRPr="00507A31" w:rsidRDefault="007B38B8" w:rsidP="00507A31">
            <w:pPr>
              <w:jc w:val="both"/>
              <w:rPr>
                <w:color w:val="000000" w:themeColor="text1"/>
                <w:sz w:val="16"/>
                <w:szCs w:val="16"/>
              </w:rPr>
            </w:pPr>
            <w:r w:rsidRPr="00507A31">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37972" w14:textId="77777777" w:rsidR="007B38B8" w:rsidRPr="00507A31" w:rsidRDefault="007B38B8" w:rsidP="00507A31">
            <w:pPr>
              <w:jc w:val="both"/>
              <w:rPr>
                <w:color w:val="000000" w:themeColor="text1"/>
                <w:sz w:val="16"/>
                <w:szCs w:val="16"/>
              </w:rPr>
            </w:pPr>
            <w:r w:rsidRPr="00507A31">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6D245" w14:textId="77777777" w:rsidR="007B38B8" w:rsidRPr="00507A31" w:rsidRDefault="007B38B8" w:rsidP="00507A31">
            <w:pPr>
              <w:jc w:val="both"/>
              <w:rPr>
                <w:color w:val="000000" w:themeColor="text1"/>
                <w:sz w:val="16"/>
                <w:szCs w:val="16"/>
              </w:rPr>
            </w:pPr>
            <w:r w:rsidRPr="00507A31">
              <w:rPr>
                <w:color w:val="000000" w:themeColor="text1"/>
                <w:sz w:val="16"/>
                <w:szCs w:val="16"/>
              </w:rPr>
              <w:t>5</w:t>
            </w:r>
          </w:p>
        </w:tc>
      </w:tr>
      <w:tr w:rsidR="00A61694" w:rsidRPr="00507A31" w14:paraId="7ABED831"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2A3D7B27" w14:textId="77777777" w:rsidR="007B38B8" w:rsidRPr="00507A31" w:rsidRDefault="007B38B8" w:rsidP="00507A31">
            <w:pPr>
              <w:jc w:val="both"/>
              <w:rPr>
                <w:color w:val="000000" w:themeColor="text1"/>
                <w:sz w:val="16"/>
                <w:szCs w:val="16"/>
              </w:rPr>
            </w:pPr>
            <w:r w:rsidRPr="00507A31">
              <w:rPr>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A4835" w14:textId="77777777" w:rsidR="007B38B8" w:rsidRPr="00507A31" w:rsidRDefault="007B38B8" w:rsidP="00507A31">
            <w:pPr>
              <w:jc w:val="both"/>
              <w:rPr>
                <w:color w:val="000000" w:themeColor="text1"/>
                <w:sz w:val="16"/>
                <w:szCs w:val="16"/>
              </w:rPr>
            </w:pPr>
            <w:r w:rsidRPr="00507A31">
              <w:rPr>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0E636" w14:textId="77777777" w:rsidR="007B38B8" w:rsidRPr="00507A31" w:rsidRDefault="007B38B8" w:rsidP="00507A31">
            <w:pPr>
              <w:jc w:val="both"/>
              <w:rPr>
                <w:color w:val="000000" w:themeColor="text1"/>
                <w:sz w:val="16"/>
                <w:szCs w:val="16"/>
              </w:rPr>
            </w:pPr>
            <w:r w:rsidRPr="00507A31">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C47A2" w14:textId="77777777" w:rsidR="007B38B8" w:rsidRPr="00507A31" w:rsidRDefault="007B38B8" w:rsidP="00507A31">
            <w:pPr>
              <w:jc w:val="both"/>
              <w:rPr>
                <w:color w:val="000000" w:themeColor="text1"/>
                <w:sz w:val="16"/>
                <w:szCs w:val="16"/>
              </w:rPr>
            </w:pPr>
            <w:r w:rsidRPr="00507A31">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4FD87" w14:textId="77777777" w:rsidR="007B38B8" w:rsidRPr="00507A31" w:rsidRDefault="007B38B8" w:rsidP="00507A31">
            <w:pPr>
              <w:jc w:val="both"/>
              <w:rPr>
                <w:color w:val="000000" w:themeColor="text1"/>
                <w:sz w:val="16"/>
                <w:szCs w:val="16"/>
              </w:rPr>
            </w:pPr>
            <w:r w:rsidRPr="00507A31">
              <w:rPr>
                <w:color w:val="000000" w:themeColor="text1"/>
                <w:sz w:val="16"/>
                <w:szCs w:val="16"/>
              </w:rPr>
              <w:t>12,6</w:t>
            </w:r>
          </w:p>
        </w:tc>
      </w:tr>
      <w:tr w:rsidR="00A61694" w:rsidRPr="00507A31" w14:paraId="0606BCFF"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678B9D4" w14:textId="77777777" w:rsidR="007B38B8" w:rsidRPr="00507A31" w:rsidRDefault="007B38B8" w:rsidP="00507A31">
            <w:pPr>
              <w:jc w:val="both"/>
              <w:rPr>
                <w:color w:val="000000" w:themeColor="text1"/>
                <w:sz w:val="16"/>
                <w:szCs w:val="16"/>
              </w:rPr>
            </w:pPr>
            <w:r w:rsidRPr="00507A31">
              <w:rPr>
                <w:color w:val="000000" w:themeColor="text1"/>
                <w:sz w:val="16"/>
                <w:szCs w:val="16"/>
              </w:rPr>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DAE64" w14:textId="77777777" w:rsidR="007B38B8" w:rsidRPr="00507A31" w:rsidRDefault="007B38B8" w:rsidP="00507A31">
            <w:pPr>
              <w:jc w:val="both"/>
              <w:rPr>
                <w:color w:val="000000" w:themeColor="text1"/>
                <w:sz w:val="16"/>
                <w:szCs w:val="16"/>
              </w:rPr>
            </w:pPr>
            <w:r w:rsidRPr="00507A31">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80AE5" w14:textId="77777777" w:rsidR="007B38B8" w:rsidRPr="00507A31" w:rsidRDefault="007B38B8" w:rsidP="00507A31">
            <w:pPr>
              <w:jc w:val="both"/>
              <w:rPr>
                <w:color w:val="000000" w:themeColor="text1"/>
                <w:sz w:val="16"/>
                <w:szCs w:val="16"/>
              </w:rPr>
            </w:pPr>
            <w:r w:rsidRPr="00507A31">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6C17D" w14:textId="77777777" w:rsidR="007B38B8" w:rsidRPr="00507A31" w:rsidRDefault="007B38B8" w:rsidP="00507A31">
            <w:pPr>
              <w:jc w:val="both"/>
              <w:rPr>
                <w:color w:val="000000" w:themeColor="text1"/>
                <w:sz w:val="16"/>
                <w:szCs w:val="16"/>
              </w:rPr>
            </w:pPr>
            <w:r w:rsidRPr="00507A31">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9D17E" w14:textId="77777777" w:rsidR="007B38B8" w:rsidRPr="00507A31" w:rsidRDefault="007B38B8" w:rsidP="00507A31">
            <w:pPr>
              <w:jc w:val="both"/>
              <w:rPr>
                <w:color w:val="000000" w:themeColor="text1"/>
                <w:sz w:val="16"/>
                <w:szCs w:val="16"/>
              </w:rPr>
            </w:pPr>
            <w:r w:rsidRPr="00507A31">
              <w:rPr>
                <w:color w:val="000000" w:themeColor="text1"/>
                <w:sz w:val="16"/>
                <w:szCs w:val="16"/>
              </w:rPr>
              <w:t>36,7</w:t>
            </w:r>
          </w:p>
        </w:tc>
      </w:tr>
      <w:tr w:rsidR="00A61694" w:rsidRPr="00507A31" w14:paraId="6F7C7C7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B8D3D9B" w14:textId="77777777" w:rsidR="007B38B8" w:rsidRPr="00507A31" w:rsidRDefault="007B38B8" w:rsidP="00507A31">
            <w:pPr>
              <w:jc w:val="both"/>
              <w:rPr>
                <w:color w:val="000000" w:themeColor="text1"/>
                <w:sz w:val="16"/>
                <w:szCs w:val="16"/>
              </w:rPr>
            </w:pPr>
            <w:r w:rsidRPr="00507A31">
              <w:rPr>
                <w:color w:val="000000" w:themeColor="text1"/>
                <w:sz w:val="16"/>
                <w:szCs w:val="16"/>
              </w:rPr>
              <w:t>1931/32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13B47" w14:textId="77777777" w:rsidR="007B38B8" w:rsidRPr="00507A31" w:rsidRDefault="007B38B8" w:rsidP="00507A31">
            <w:pPr>
              <w:jc w:val="both"/>
              <w:rPr>
                <w:color w:val="000000" w:themeColor="text1"/>
                <w:sz w:val="16"/>
                <w:szCs w:val="16"/>
              </w:rPr>
            </w:pPr>
            <w:r w:rsidRPr="00507A31">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BCFB5" w14:textId="77777777" w:rsidR="007B38B8" w:rsidRPr="00507A31" w:rsidRDefault="007B38B8" w:rsidP="00507A31">
            <w:pPr>
              <w:jc w:val="both"/>
              <w:rPr>
                <w:color w:val="000000" w:themeColor="text1"/>
                <w:sz w:val="16"/>
                <w:szCs w:val="16"/>
              </w:rPr>
            </w:pPr>
            <w:r w:rsidRPr="00507A31">
              <w:rPr>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4671" w14:textId="77777777" w:rsidR="007B38B8" w:rsidRPr="00507A31" w:rsidRDefault="007B38B8" w:rsidP="00507A31">
            <w:pPr>
              <w:jc w:val="both"/>
              <w:rPr>
                <w:color w:val="000000" w:themeColor="text1"/>
                <w:sz w:val="16"/>
                <w:szCs w:val="16"/>
              </w:rPr>
            </w:pPr>
            <w:r w:rsidRPr="00507A31">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74846" w14:textId="77777777" w:rsidR="007B38B8" w:rsidRPr="00507A31" w:rsidRDefault="007B38B8" w:rsidP="00507A31">
            <w:pPr>
              <w:jc w:val="both"/>
              <w:rPr>
                <w:color w:val="000000" w:themeColor="text1"/>
                <w:sz w:val="16"/>
                <w:szCs w:val="16"/>
              </w:rPr>
            </w:pPr>
            <w:r w:rsidRPr="00507A31">
              <w:rPr>
                <w:color w:val="000000" w:themeColor="text1"/>
                <w:sz w:val="16"/>
                <w:szCs w:val="16"/>
              </w:rPr>
              <w:t>61,5</w:t>
            </w:r>
          </w:p>
        </w:tc>
      </w:tr>
      <w:tr w:rsidR="00A61694" w:rsidRPr="00507A31" w14:paraId="0DE0778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5C0F087" w14:textId="77777777" w:rsidR="007B38B8" w:rsidRPr="00507A31" w:rsidRDefault="007B38B8" w:rsidP="00507A31">
            <w:pPr>
              <w:jc w:val="both"/>
              <w:rPr>
                <w:color w:val="000000" w:themeColor="text1"/>
                <w:sz w:val="16"/>
                <w:szCs w:val="16"/>
              </w:rPr>
            </w:pPr>
            <w:r w:rsidRPr="00507A31">
              <w:rPr>
                <w:color w:val="000000" w:themeColor="text1"/>
                <w:sz w:val="16"/>
                <w:szCs w:val="16"/>
              </w:rPr>
              <w:t>1932/33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81D2C" w14:textId="77777777" w:rsidR="007B38B8" w:rsidRPr="00507A31" w:rsidRDefault="007B38B8" w:rsidP="00507A31">
            <w:pPr>
              <w:jc w:val="both"/>
              <w:rPr>
                <w:color w:val="000000" w:themeColor="text1"/>
                <w:sz w:val="16"/>
                <w:szCs w:val="16"/>
              </w:rPr>
            </w:pPr>
            <w:r w:rsidRPr="00507A31">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3E850" w14:textId="77777777" w:rsidR="007B38B8" w:rsidRPr="00507A31" w:rsidRDefault="007B38B8" w:rsidP="00507A31">
            <w:pPr>
              <w:jc w:val="both"/>
              <w:rPr>
                <w:color w:val="000000" w:themeColor="text1"/>
                <w:sz w:val="16"/>
                <w:szCs w:val="16"/>
              </w:rPr>
            </w:pPr>
            <w:r w:rsidRPr="00507A31">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44245" w14:textId="77777777" w:rsidR="007B38B8" w:rsidRPr="00507A31" w:rsidRDefault="007B38B8" w:rsidP="00507A31">
            <w:pPr>
              <w:jc w:val="both"/>
              <w:rPr>
                <w:color w:val="000000" w:themeColor="text1"/>
                <w:sz w:val="16"/>
                <w:szCs w:val="16"/>
              </w:rPr>
            </w:pPr>
            <w:r w:rsidRPr="00507A31">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F18A0" w14:textId="77777777" w:rsidR="007B38B8" w:rsidRPr="00507A31" w:rsidRDefault="007B38B8" w:rsidP="00507A31">
            <w:pPr>
              <w:jc w:val="both"/>
              <w:rPr>
                <w:color w:val="000000" w:themeColor="text1"/>
                <w:sz w:val="16"/>
                <w:szCs w:val="16"/>
              </w:rPr>
            </w:pPr>
            <w:r w:rsidRPr="00507A31">
              <w:rPr>
                <w:color w:val="000000" w:themeColor="text1"/>
                <w:sz w:val="16"/>
                <w:szCs w:val="16"/>
              </w:rPr>
              <w:t>75</w:t>
            </w:r>
          </w:p>
        </w:tc>
      </w:tr>
    </w:tbl>
    <w:p w14:paraId="775597B5"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В отношении сдвигов, происшедших в деревне, по сравнению с тем, что имел в своем распоряжении Штаб РККА в 1926 г., мы имеем следующие данные по строительству колхозов и совхозов:</w:t>
      </w:r>
    </w:p>
    <w:p w14:paraId="29A9E0A8"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1. Пятилетка Госплана от 1926 г. давала капитальных вложений в колхозы и совхозы: в 1929/30 г. — 47 млн. руб., в 1930/31 г. — 57,700 млн. руб.; всего за пять лет — 192,9 млн. руб.</w:t>
      </w:r>
    </w:p>
    <w:p w14:paraId="751C6811"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2. Пятилетка, утвержденная съездом Советов, дает за пять лет 2863 млн. руб. капитальных вложений в совхозы и колхозы. В 1928/29 г. капитальные вложения в колхозы и совхозы составили 389,7 млн. руб. По контрольным цифрам на 1929/30 г. вкладывается: в колхозы — 718,8 млн. руб., в совхозы — 563,5 млн. руб.; итого — 1282,3 млн. руб.</w:t>
      </w:r>
    </w:p>
    <w:p w14:paraId="5DD1489D"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По пятилетке, утвержденной съездом Советов, колхозы и совхозы в 1932/33 г. дадут около 39% всего товарного хлеба. Между тем: а) по контрольным цифрам на 1929/30 г. колхозы и совхозы дают в 1929 г. 21%, а в 1930 г. 45%; б) по директиве ноябрьского пленума ЦК процент для 1930 г. поднимается свыше 50¹⁰*.</w:t>
      </w:r>
    </w:p>
    <w:p w14:paraId="40DB935D"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Ко всему вышеизложенному необходимо добавить, что и по основным отраслям металлопромышленности пятилетка Госплана от 1926 г. брала совершенно не отвечающие жизни показатели. Это касается как производства металлов, так и машиностроения. Например, по общему машиностроению на 1929/30 г. эта пятилетка оценивала продукцию общего машиностроения в 530,55 млн. руб., а контрольные цифры на 1929/30 г. дают 1145 млн. руб. По сельскохозяйственному машиностроению пятилетка 1926 г. давала па 1929/30 г. 144 млн. руб., а задание на этот год выражено в сумме 406,1 млн. руб.</w:t>
      </w:r>
    </w:p>
    <w:p w14:paraId="42B138F1"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Все вышеизложенное говорит о том, что достигнутый уровень развития РККА более соответствует довоенному экономическому уровню и отстает от настоящих достижений. Пятилетняя перспектива развития нашего народного хозяйства дает нам такие ресурсы, что необходимо пересмотреть структуру построения РККА в самых ее организационных основах.</w:t>
      </w:r>
    </w:p>
    <w:p w14:paraId="23E24D72" w14:textId="77777777" w:rsidR="007B38B8" w:rsidRPr="00507A31" w:rsidRDefault="007B38B8" w:rsidP="00507A31">
      <w:pPr>
        <w:jc w:val="both"/>
        <w:rPr>
          <w:color w:val="000000" w:themeColor="text1"/>
          <w:sz w:val="16"/>
          <w:szCs w:val="16"/>
        </w:rPr>
      </w:pPr>
      <w:r w:rsidRPr="00507A31">
        <w:rPr>
          <w:color w:val="000000" w:themeColor="text1"/>
          <w:sz w:val="16"/>
          <w:szCs w:val="16"/>
        </w:rPr>
        <w:t>V.</w:t>
      </w:r>
    </w:p>
    <w:p w14:paraId="3BC1C45D" w14:textId="77777777" w:rsidR="007B38B8" w:rsidRPr="00507A31" w:rsidRDefault="007B38B8" w:rsidP="00507A31">
      <w:pPr>
        <w:pStyle w:val="rtejustify"/>
        <w:spacing w:before="0" w:after="0"/>
        <w:rPr>
          <w:color w:val="000000" w:themeColor="text1"/>
          <w:sz w:val="16"/>
          <w:szCs w:val="16"/>
        </w:rPr>
      </w:pPr>
      <w:r w:rsidRPr="00507A31">
        <w:rPr>
          <w:rStyle w:val="af0"/>
          <w:i w:val="0"/>
          <w:color w:val="000000" w:themeColor="text1"/>
          <w:sz w:val="16"/>
          <w:szCs w:val="16"/>
        </w:rPr>
        <w:t>Исходные данные для развития авиационного и бронетанкового дела.</w:t>
      </w:r>
      <w:r w:rsidRPr="00507A31">
        <w:rPr>
          <w:color w:val="000000" w:themeColor="text1"/>
          <w:sz w:val="16"/>
          <w:szCs w:val="16"/>
        </w:rPr>
        <w:t xml:space="preserve"> Масштаб развития авиационных и танковых сил правильнее всего можно определить, если исходить из производственных возможностей, а не от увеличения существующих авиа- и бронесил РККА на столько-то и столько-то процентов.</w:t>
      </w:r>
    </w:p>
    <w:p w14:paraId="1396F53C"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Несомненно, производственные возможности авиастроения определяются уровнем развития моторного хозяйства¹¹* страны и, в первую очередь, автомобильной промышленности. Нижеприводимая таблица наглядно показывает, что между авиа- и автопромышленностью существует определенная зависимость. Цифры в этой таблице приводятся для 1918 г., причем для Франции и Германии производство автомобилей взято пропорционально среднее между 1910 г. и 1923 г., а для Англии — за 1910 г. (БСЭ, т. 1, с. 357). Кроме того, производство авиамоторов и самолетов за 1918 г. взято на основании средней месячной продукции для Франции за первые 9 месяцев и для Англии за 10 месяцев 1918 г. (Reboul, Mobilistion industrrielle, т. 1, с. 105 и 110 и материалы Разведупра).</w:t>
      </w:r>
    </w:p>
    <w:p w14:paraId="214AC349" w14:textId="77777777" w:rsidR="007B38B8" w:rsidRPr="00507A31" w:rsidRDefault="007B38B8" w:rsidP="00507A31">
      <w:pPr>
        <w:pStyle w:val="ae"/>
        <w:spacing w:before="0" w:after="0"/>
        <w:jc w:val="both"/>
        <w:rPr>
          <w:color w:val="000000" w:themeColor="text1"/>
          <w:sz w:val="16"/>
          <w:szCs w:val="16"/>
        </w:rPr>
      </w:pPr>
      <w:r w:rsidRPr="00507A31">
        <w:rPr>
          <w:rStyle w:val="a7"/>
          <w:b w:val="0"/>
          <w:color w:val="000000" w:themeColor="text1"/>
          <w:sz w:val="16"/>
          <w:szCs w:val="16"/>
        </w:rPr>
        <w:t>Производство в 1918 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4"/>
        <w:gridCol w:w="1910"/>
        <w:gridCol w:w="1544"/>
        <w:gridCol w:w="2051"/>
        <w:gridCol w:w="1937"/>
        <w:gridCol w:w="2396"/>
      </w:tblGrid>
      <w:tr w:rsidR="00A61694" w:rsidRPr="00507A31" w14:paraId="49AB322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C327BBE" w14:textId="77777777" w:rsidR="007B38B8" w:rsidRPr="00507A31" w:rsidRDefault="007B38B8" w:rsidP="00507A31">
            <w:pPr>
              <w:jc w:val="both"/>
              <w:rPr>
                <w:color w:val="000000" w:themeColor="text1"/>
                <w:sz w:val="16"/>
                <w:szCs w:val="16"/>
              </w:rPr>
            </w:pPr>
            <w:r w:rsidRPr="00507A31">
              <w:rPr>
                <w:color w:val="000000" w:themeColor="text1"/>
                <w:sz w:val="16"/>
                <w:szCs w:val="16"/>
              </w:rPr>
              <w:t>Страна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21904" w14:textId="77777777" w:rsidR="007B38B8" w:rsidRPr="00507A31" w:rsidRDefault="007B38B8" w:rsidP="00507A31">
            <w:pPr>
              <w:jc w:val="both"/>
              <w:rPr>
                <w:color w:val="000000" w:themeColor="text1"/>
                <w:sz w:val="16"/>
                <w:szCs w:val="16"/>
              </w:rPr>
            </w:pPr>
            <w:r w:rsidRPr="00507A31">
              <w:rPr>
                <w:color w:val="000000" w:themeColor="text1"/>
                <w:sz w:val="16"/>
                <w:szCs w:val="16"/>
              </w:rPr>
              <w:t>Автомобили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684FE" w14:textId="77777777" w:rsidR="007B38B8" w:rsidRPr="00507A31" w:rsidRDefault="007B38B8" w:rsidP="00507A31">
            <w:pPr>
              <w:jc w:val="both"/>
              <w:rPr>
                <w:color w:val="000000" w:themeColor="text1"/>
                <w:sz w:val="16"/>
                <w:szCs w:val="16"/>
              </w:rPr>
            </w:pPr>
            <w:r w:rsidRPr="00507A31">
              <w:rPr>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8FC9C" w14:textId="77777777" w:rsidR="007B38B8" w:rsidRPr="00507A31" w:rsidRDefault="007B38B8" w:rsidP="00507A31">
            <w:pPr>
              <w:jc w:val="both"/>
              <w:rPr>
                <w:color w:val="000000" w:themeColor="text1"/>
                <w:sz w:val="16"/>
                <w:szCs w:val="16"/>
              </w:rPr>
            </w:pPr>
            <w:r w:rsidRPr="00507A31">
              <w:rPr>
                <w:color w:val="000000" w:themeColor="text1"/>
                <w:sz w:val="16"/>
                <w:szCs w:val="16"/>
              </w:rPr>
              <w:t>Процент</w:t>
            </w:r>
          </w:p>
          <w:p w14:paraId="2EAFBBB9" w14:textId="77777777" w:rsidR="007B38B8" w:rsidRPr="00507A31" w:rsidRDefault="007B38B8" w:rsidP="00507A31">
            <w:pPr>
              <w:jc w:val="both"/>
              <w:rPr>
                <w:color w:val="000000" w:themeColor="text1"/>
                <w:sz w:val="16"/>
                <w:szCs w:val="16"/>
              </w:rPr>
            </w:pPr>
            <w:r w:rsidRPr="00507A31">
              <w:rPr>
                <w:color w:val="000000" w:themeColor="text1"/>
                <w:sz w:val="16"/>
                <w:szCs w:val="16"/>
              </w:rPr>
              <w:t>самолетов по</w:t>
            </w:r>
          </w:p>
          <w:p w14:paraId="26C173E3" w14:textId="77777777" w:rsidR="007B38B8" w:rsidRPr="00507A31" w:rsidRDefault="007B38B8" w:rsidP="00507A31">
            <w:pPr>
              <w:jc w:val="both"/>
              <w:rPr>
                <w:color w:val="000000" w:themeColor="text1"/>
                <w:sz w:val="16"/>
                <w:szCs w:val="16"/>
              </w:rPr>
            </w:pPr>
            <w:r w:rsidRPr="00507A31">
              <w:rPr>
                <w:color w:val="000000" w:themeColor="text1"/>
                <w:sz w:val="16"/>
                <w:szCs w:val="16"/>
              </w:rPr>
              <w:t>отношению к</w:t>
            </w:r>
          </w:p>
          <w:p w14:paraId="66879079" w14:textId="77777777" w:rsidR="007B38B8" w:rsidRPr="00507A31" w:rsidRDefault="007B38B8" w:rsidP="00507A31">
            <w:pPr>
              <w:jc w:val="both"/>
              <w:rPr>
                <w:color w:val="000000" w:themeColor="text1"/>
                <w:sz w:val="16"/>
                <w:szCs w:val="16"/>
              </w:rPr>
            </w:pPr>
            <w:r w:rsidRPr="00507A31">
              <w:rPr>
                <w:color w:val="000000" w:themeColor="text1"/>
                <w:sz w:val="16"/>
                <w:szCs w:val="16"/>
              </w:rPr>
              <w:t>автомобилям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E56F5" w14:textId="77777777" w:rsidR="007B38B8" w:rsidRPr="00507A31" w:rsidRDefault="007B38B8" w:rsidP="00507A31">
            <w:pPr>
              <w:jc w:val="both"/>
              <w:rPr>
                <w:color w:val="000000" w:themeColor="text1"/>
                <w:sz w:val="16"/>
                <w:szCs w:val="16"/>
              </w:rPr>
            </w:pPr>
            <w:r w:rsidRPr="00507A31">
              <w:rPr>
                <w:color w:val="000000" w:themeColor="text1"/>
                <w:sz w:val="16"/>
                <w:szCs w:val="16"/>
              </w:rPr>
              <w:t>Авиамоторы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AEF84" w14:textId="77777777" w:rsidR="007B38B8" w:rsidRPr="00507A31" w:rsidRDefault="007B38B8" w:rsidP="00507A31">
            <w:pPr>
              <w:jc w:val="both"/>
              <w:rPr>
                <w:color w:val="000000" w:themeColor="text1"/>
                <w:sz w:val="16"/>
                <w:szCs w:val="16"/>
              </w:rPr>
            </w:pPr>
            <w:r w:rsidRPr="00507A31">
              <w:rPr>
                <w:color w:val="000000" w:themeColor="text1"/>
                <w:sz w:val="16"/>
                <w:szCs w:val="16"/>
              </w:rPr>
              <w:t>Процент</w:t>
            </w:r>
          </w:p>
          <w:p w14:paraId="22634DD5" w14:textId="77777777" w:rsidR="007B38B8" w:rsidRPr="00507A31" w:rsidRDefault="007B38B8" w:rsidP="00507A31">
            <w:pPr>
              <w:jc w:val="both"/>
              <w:rPr>
                <w:color w:val="000000" w:themeColor="text1"/>
                <w:sz w:val="16"/>
                <w:szCs w:val="16"/>
              </w:rPr>
            </w:pPr>
            <w:r w:rsidRPr="00507A31">
              <w:rPr>
                <w:color w:val="000000" w:themeColor="text1"/>
                <w:sz w:val="16"/>
                <w:szCs w:val="16"/>
              </w:rPr>
              <w:t>авиамоторов по</w:t>
            </w:r>
          </w:p>
          <w:p w14:paraId="56ADA4AB" w14:textId="77777777" w:rsidR="007B38B8" w:rsidRPr="00507A31" w:rsidRDefault="007B38B8" w:rsidP="00507A31">
            <w:pPr>
              <w:jc w:val="both"/>
              <w:rPr>
                <w:color w:val="000000" w:themeColor="text1"/>
                <w:sz w:val="16"/>
                <w:szCs w:val="16"/>
              </w:rPr>
            </w:pPr>
            <w:r w:rsidRPr="00507A31">
              <w:rPr>
                <w:color w:val="000000" w:themeColor="text1"/>
                <w:sz w:val="16"/>
                <w:szCs w:val="16"/>
              </w:rPr>
              <w:t>отношению к</w:t>
            </w:r>
          </w:p>
          <w:p w14:paraId="5E93081D" w14:textId="77777777" w:rsidR="007B38B8" w:rsidRPr="00507A31" w:rsidRDefault="007B38B8" w:rsidP="00507A31">
            <w:pPr>
              <w:jc w:val="both"/>
              <w:rPr>
                <w:color w:val="000000" w:themeColor="text1"/>
                <w:sz w:val="16"/>
                <w:szCs w:val="16"/>
              </w:rPr>
            </w:pPr>
            <w:r w:rsidRPr="00507A31">
              <w:rPr>
                <w:color w:val="000000" w:themeColor="text1"/>
                <w:sz w:val="16"/>
                <w:szCs w:val="16"/>
              </w:rPr>
              <w:t>автомобилям</w:t>
            </w:r>
          </w:p>
        </w:tc>
      </w:tr>
      <w:tr w:rsidR="00A61694" w:rsidRPr="00507A31" w14:paraId="348617E8"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7AEDD8D" w14:textId="77777777" w:rsidR="007B38B8" w:rsidRPr="00507A31" w:rsidRDefault="007B38B8" w:rsidP="00507A31">
            <w:pPr>
              <w:jc w:val="both"/>
              <w:rPr>
                <w:color w:val="000000" w:themeColor="text1"/>
                <w:sz w:val="16"/>
                <w:szCs w:val="16"/>
              </w:rPr>
            </w:pPr>
            <w:r w:rsidRPr="00507A31">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64197" w14:textId="77777777" w:rsidR="007B38B8" w:rsidRPr="00507A31" w:rsidRDefault="007B38B8" w:rsidP="00507A31">
            <w:pPr>
              <w:jc w:val="both"/>
              <w:rPr>
                <w:color w:val="000000" w:themeColor="text1"/>
                <w:sz w:val="16"/>
                <w:szCs w:val="16"/>
              </w:rPr>
            </w:pPr>
            <w:r w:rsidRPr="00507A31">
              <w:rPr>
                <w:color w:val="000000" w:themeColor="text1"/>
                <w:sz w:val="16"/>
                <w:szCs w:val="16"/>
              </w:rPr>
              <w:t>94 000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F0FC1" w14:textId="77777777" w:rsidR="007B38B8" w:rsidRPr="00507A31" w:rsidRDefault="007B38B8" w:rsidP="00507A31">
            <w:pPr>
              <w:jc w:val="both"/>
              <w:rPr>
                <w:color w:val="000000" w:themeColor="text1"/>
                <w:sz w:val="16"/>
                <w:szCs w:val="16"/>
              </w:rPr>
            </w:pPr>
            <w:r w:rsidRPr="00507A31">
              <w:rPr>
                <w:color w:val="000000" w:themeColor="text1"/>
                <w:sz w:val="16"/>
                <w:szCs w:val="16"/>
              </w:rPr>
              <w:t>25 200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C270B" w14:textId="77777777" w:rsidR="007B38B8" w:rsidRPr="00507A31" w:rsidRDefault="007B38B8" w:rsidP="00507A31">
            <w:pPr>
              <w:jc w:val="both"/>
              <w:rPr>
                <w:color w:val="000000" w:themeColor="text1"/>
                <w:sz w:val="16"/>
                <w:szCs w:val="16"/>
              </w:rPr>
            </w:pPr>
            <w:r w:rsidRPr="00507A31">
              <w:rPr>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2B939" w14:textId="77777777" w:rsidR="007B38B8" w:rsidRPr="00507A31" w:rsidRDefault="007B38B8" w:rsidP="00507A31">
            <w:pPr>
              <w:jc w:val="both"/>
              <w:rPr>
                <w:color w:val="000000" w:themeColor="text1"/>
                <w:sz w:val="16"/>
                <w:szCs w:val="16"/>
              </w:rPr>
            </w:pPr>
            <w:r w:rsidRPr="00507A31">
              <w:rPr>
                <w:color w:val="000000" w:themeColor="text1"/>
                <w:sz w:val="16"/>
                <w:szCs w:val="16"/>
              </w:rPr>
              <w:t>44 256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88C94" w14:textId="77777777" w:rsidR="007B38B8" w:rsidRPr="00507A31" w:rsidRDefault="007B38B8" w:rsidP="00507A31">
            <w:pPr>
              <w:jc w:val="both"/>
              <w:rPr>
                <w:color w:val="000000" w:themeColor="text1"/>
                <w:sz w:val="16"/>
                <w:szCs w:val="16"/>
              </w:rPr>
            </w:pPr>
            <w:r w:rsidRPr="00507A31">
              <w:rPr>
                <w:color w:val="000000" w:themeColor="text1"/>
                <w:sz w:val="16"/>
                <w:szCs w:val="16"/>
              </w:rPr>
              <w:t>48,1</w:t>
            </w:r>
          </w:p>
        </w:tc>
      </w:tr>
      <w:tr w:rsidR="00A61694" w:rsidRPr="00507A31" w14:paraId="41C73AC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74FE8CA" w14:textId="77777777" w:rsidR="007B38B8" w:rsidRPr="00507A31" w:rsidRDefault="007B38B8" w:rsidP="00507A31">
            <w:pPr>
              <w:jc w:val="both"/>
              <w:rPr>
                <w:color w:val="000000" w:themeColor="text1"/>
                <w:sz w:val="16"/>
                <w:szCs w:val="16"/>
              </w:rPr>
            </w:pPr>
            <w:r w:rsidRPr="00507A31">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24820" w14:textId="77777777" w:rsidR="007B38B8" w:rsidRPr="00507A31" w:rsidRDefault="007B38B8" w:rsidP="00507A31">
            <w:pPr>
              <w:jc w:val="both"/>
              <w:rPr>
                <w:color w:val="000000" w:themeColor="text1"/>
                <w:sz w:val="16"/>
                <w:szCs w:val="16"/>
              </w:rPr>
            </w:pPr>
            <w:r w:rsidRPr="00507A31">
              <w:rPr>
                <w:color w:val="000000" w:themeColor="text1"/>
                <w:sz w:val="16"/>
                <w:szCs w:val="16"/>
              </w:rPr>
              <w:t>84 000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5DD0D" w14:textId="77777777" w:rsidR="007B38B8" w:rsidRPr="00507A31" w:rsidRDefault="007B38B8" w:rsidP="00507A31">
            <w:pPr>
              <w:jc w:val="both"/>
              <w:rPr>
                <w:color w:val="000000" w:themeColor="text1"/>
                <w:sz w:val="16"/>
                <w:szCs w:val="16"/>
              </w:rPr>
            </w:pPr>
            <w:r w:rsidRPr="00507A31">
              <w:rPr>
                <w:color w:val="000000" w:themeColor="text1"/>
                <w:sz w:val="16"/>
                <w:szCs w:val="16"/>
              </w:rPr>
              <w:t>32 016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E0514" w14:textId="77777777" w:rsidR="007B38B8" w:rsidRPr="00507A31" w:rsidRDefault="007B38B8" w:rsidP="00507A31">
            <w:pPr>
              <w:jc w:val="both"/>
              <w:rPr>
                <w:color w:val="000000" w:themeColor="text1"/>
                <w:sz w:val="16"/>
                <w:szCs w:val="16"/>
              </w:rPr>
            </w:pPr>
            <w:r w:rsidRPr="00507A31">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5A370" w14:textId="77777777" w:rsidR="007B38B8" w:rsidRPr="00507A31" w:rsidRDefault="007B38B8" w:rsidP="00507A31">
            <w:pPr>
              <w:jc w:val="both"/>
              <w:rPr>
                <w:color w:val="000000" w:themeColor="text1"/>
                <w:sz w:val="16"/>
                <w:szCs w:val="16"/>
              </w:rPr>
            </w:pPr>
            <w:r w:rsidRPr="00507A31">
              <w:rPr>
                <w:color w:val="000000" w:themeColor="text1"/>
                <w:sz w:val="16"/>
                <w:szCs w:val="16"/>
              </w:rPr>
              <w:t>35 472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BCAFE" w14:textId="77777777" w:rsidR="007B38B8" w:rsidRPr="00507A31" w:rsidRDefault="007B38B8" w:rsidP="00507A31">
            <w:pPr>
              <w:jc w:val="both"/>
              <w:rPr>
                <w:color w:val="000000" w:themeColor="text1"/>
                <w:sz w:val="16"/>
                <w:szCs w:val="16"/>
              </w:rPr>
            </w:pPr>
            <w:r w:rsidRPr="00507A31">
              <w:rPr>
                <w:color w:val="000000" w:themeColor="text1"/>
                <w:sz w:val="16"/>
                <w:szCs w:val="16"/>
              </w:rPr>
              <w:t>42,2</w:t>
            </w:r>
          </w:p>
        </w:tc>
      </w:tr>
      <w:tr w:rsidR="00A61694" w:rsidRPr="00507A31" w14:paraId="29B40FA5"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327C416" w14:textId="77777777" w:rsidR="007B38B8" w:rsidRPr="00507A31" w:rsidRDefault="007B38B8" w:rsidP="00507A31">
            <w:pPr>
              <w:jc w:val="both"/>
              <w:rPr>
                <w:color w:val="000000" w:themeColor="text1"/>
                <w:sz w:val="16"/>
                <w:szCs w:val="16"/>
              </w:rPr>
            </w:pPr>
            <w:r w:rsidRPr="00507A31">
              <w:rPr>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A2BE6" w14:textId="77777777" w:rsidR="007B38B8" w:rsidRPr="00507A31" w:rsidRDefault="007B38B8" w:rsidP="00507A31">
            <w:pPr>
              <w:jc w:val="both"/>
              <w:rPr>
                <w:color w:val="000000" w:themeColor="text1"/>
                <w:sz w:val="16"/>
                <w:szCs w:val="16"/>
              </w:rPr>
            </w:pPr>
            <w:r w:rsidRPr="00507A31">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30153" w14:textId="77777777" w:rsidR="007B38B8" w:rsidRPr="00507A31" w:rsidRDefault="007B38B8" w:rsidP="00507A31">
            <w:pPr>
              <w:jc w:val="both"/>
              <w:rPr>
                <w:color w:val="000000" w:themeColor="text1"/>
                <w:sz w:val="16"/>
                <w:szCs w:val="16"/>
              </w:rPr>
            </w:pPr>
            <w:r w:rsidRPr="00507A31">
              <w:rPr>
                <w:color w:val="000000" w:themeColor="text1"/>
                <w:sz w:val="16"/>
                <w:szCs w:val="16"/>
              </w:rPr>
              <w:t>14 123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6C736" w14:textId="77777777" w:rsidR="007B38B8" w:rsidRPr="00507A31" w:rsidRDefault="007B38B8" w:rsidP="00507A31">
            <w:pPr>
              <w:jc w:val="both"/>
              <w:rPr>
                <w:color w:val="000000" w:themeColor="text1"/>
                <w:sz w:val="16"/>
                <w:szCs w:val="16"/>
              </w:rPr>
            </w:pPr>
            <w:r w:rsidRPr="00507A31">
              <w:rPr>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53869" w14:textId="77777777" w:rsidR="007B38B8" w:rsidRPr="00507A31" w:rsidRDefault="007B38B8" w:rsidP="00507A31">
            <w:pPr>
              <w:jc w:val="both"/>
              <w:rPr>
                <w:color w:val="000000" w:themeColor="text1"/>
                <w:sz w:val="16"/>
                <w:szCs w:val="16"/>
              </w:rPr>
            </w:pPr>
            <w:r w:rsidRPr="00507A31">
              <w:rPr>
                <w:color w:val="000000" w:themeColor="text1"/>
                <w:sz w:val="16"/>
                <w:szCs w:val="16"/>
              </w:rPr>
              <w:t>15 542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1ED2A" w14:textId="77777777" w:rsidR="007B38B8" w:rsidRPr="00507A31" w:rsidRDefault="007B38B8" w:rsidP="00507A31">
            <w:pPr>
              <w:jc w:val="both"/>
              <w:rPr>
                <w:color w:val="000000" w:themeColor="text1"/>
                <w:sz w:val="16"/>
                <w:szCs w:val="16"/>
              </w:rPr>
            </w:pPr>
            <w:r w:rsidRPr="00507A31">
              <w:rPr>
                <w:color w:val="000000" w:themeColor="text1"/>
                <w:sz w:val="16"/>
                <w:szCs w:val="16"/>
              </w:rPr>
              <w:t>62,1</w:t>
            </w:r>
          </w:p>
        </w:tc>
      </w:tr>
      <w:tr w:rsidR="00A61694" w:rsidRPr="00507A31" w14:paraId="2F0D07A7"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BC8E6EF" w14:textId="77777777" w:rsidR="007B38B8" w:rsidRPr="00507A31" w:rsidRDefault="007B38B8" w:rsidP="00507A31">
            <w:pPr>
              <w:jc w:val="both"/>
              <w:rPr>
                <w:color w:val="000000" w:themeColor="text1"/>
                <w:sz w:val="16"/>
                <w:szCs w:val="16"/>
              </w:rPr>
            </w:pPr>
            <w:r w:rsidRPr="00507A31">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04F4A" w14:textId="77777777" w:rsidR="007B38B8" w:rsidRPr="00507A31" w:rsidRDefault="007B38B8" w:rsidP="00507A31">
            <w:pPr>
              <w:jc w:val="both"/>
              <w:rPr>
                <w:color w:val="000000" w:themeColor="text1"/>
                <w:sz w:val="16"/>
                <w:szCs w:val="16"/>
              </w:rPr>
            </w:pPr>
            <w:r w:rsidRPr="00507A31">
              <w:rPr>
                <w:color w:val="000000" w:themeColor="text1"/>
                <w:sz w:val="16"/>
                <w:szCs w:val="16"/>
              </w:rPr>
              <w:t>203 000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EBC72" w14:textId="77777777" w:rsidR="007B38B8" w:rsidRPr="00507A31" w:rsidRDefault="007B38B8" w:rsidP="00507A31">
            <w:pPr>
              <w:jc w:val="both"/>
              <w:rPr>
                <w:color w:val="000000" w:themeColor="text1"/>
                <w:sz w:val="16"/>
                <w:szCs w:val="16"/>
              </w:rPr>
            </w:pPr>
            <w:r w:rsidRPr="00507A31">
              <w:rPr>
                <w:color w:val="000000" w:themeColor="text1"/>
                <w:sz w:val="16"/>
                <w:szCs w:val="16"/>
              </w:rPr>
              <w:t>71 339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05733" w14:textId="77777777" w:rsidR="007B38B8" w:rsidRPr="00507A31" w:rsidRDefault="007B38B8" w:rsidP="00507A31">
            <w:pPr>
              <w:jc w:val="both"/>
              <w:rPr>
                <w:color w:val="000000" w:themeColor="text1"/>
                <w:sz w:val="16"/>
                <w:szCs w:val="16"/>
              </w:rPr>
            </w:pPr>
            <w:r w:rsidRPr="00507A31">
              <w:rPr>
                <w:color w:val="000000" w:themeColor="text1"/>
                <w:sz w:val="16"/>
                <w:szCs w:val="16"/>
              </w:rPr>
              <w:t>35,1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2E0B" w14:textId="77777777" w:rsidR="007B38B8" w:rsidRPr="00507A31" w:rsidRDefault="007B38B8" w:rsidP="00507A31">
            <w:pPr>
              <w:jc w:val="both"/>
              <w:rPr>
                <w:color w:val="000000" w:themeColor="text1"/>
                <w:sz w:val="16"/>
                <w:szCs w:val="16"/>
              </w:rPr>
            </w:pPr>
            <w:r w:rsidRPr="00507A31">
              <w:rPr>
                <w:color w:val="000000" w:themeColor="text1"/>
                <w:sz w:val="16"/>
                <w:szCs w:val="16"/>
              </w:rPr>
              <w:t>95 270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95920" w14:textId="77777777" w:rsidR="007B38B8" w:rsidRPr="00507A31" w:rsidRDefault="007B38B8" w:rsidP="00507A31">
            <w:pPr>
              <w:jc w:val="both"/>
              <w:rPr>
                <w:color w:val="000000" w:themeColor="text1"/>
                <w:sz w:val="16"/>
                <w:szCs w:val="16"/>
              </w:rPr>
            </w:pPr>
            <w:r w:rsidRPr="00507A31">
              <w:rPr>
                <w:color w:val="000000" w:themeColor="text1"/>
                <w:sz w:val="16"/>
                <w:szCs w:val="16"/>
              </w:rPr>
              <w:t>47,4</w:t>
            </w:r>
          </w:p>
        </w:tc>
      </w:tr>
    </w:tbl>
    <w:p w14:paraId="21EB6225"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Можно, в круглых цифрах, отношение к автостроению принять для: самолетов — за 35%, автомоторов — за 50%. Если с этим процентами подойдете к перспективам нашего автомобилестроения (350 тыс. шт. в 1932/33 г.), то для 1932/33 г. соответствующие цифры по авиастроению будут: самолетов — 122,5 тыс. шт., авиамоторов — 175 тыс. шт.¹²*. Тяжелое самолетостроение может внести коррективы в эти расчеты, однако надо учесть, что современный технический прогресс и рационализация производства, несомненно, могут позволить повысить показатели 1918 г. Помимо того, необходимо учесть, что Германия дала значительно большие показатели, чем взятые мною средние. Соответствующее число самолетов в строю можно получить на основании изучения следующей таблицы: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7"/>
        <w:gridCol w:w="2949"/>
        <w:gridCol w:w="2827"/>
        <w:gridCol w:w="4869"/>
      </w:tblGrid>
      <w:tr w:rsidR="00A61694" w:rsidRPr="00507A31" w14:paraId="03A6BBCC" w14:textId="77777777" w:rsidTr="007B38B8">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20DC10" w14:textId="77777777" w:rsidR="007B38B8" w:rsidRPr="00507A31" w:rsidRDefault="007B38B8" w:rsidP="00507A31">
            <w:pPr>
              <w:jc w:val="both"/>
              <w:rPr>
                <w:color w:val="000000" w:themeColor="text1"/>
                <w:sz w:val="16"/>
                <w:szCs w:val="16"/>
              </w:rPr>
            </w:pPr>
            <w:r w:rsidRPr="00507A31">
              <w:rPr>
                <w:color w:val="000000" w:themeColor="text1"/>
                <w:sz w:val="16"/>
                <w:szCs w:val="16"/>
              </w:rPr>
              <w:t>Страны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A73B9D" w14:textId="77777777" w:rsidR="007B38B8" w:rsidRPr="00507A31" w:rsidRDefault="007B38B8" w:rsidP="00507A31">
            <w:pPr>
              <w:jc w:val="both"/>
              <w:rPr>
                <w:color w:val="000000" w:themeColor="text1"/>
                <w:sz w:val="16"/>
                <w:szCs w:val="16"/>
              </w:rPr>
            </w:pPr>
            <w:r w:rsidRPr="00507A31">
              <w:rPr>
                <w:color w:val="000000" w:themeColor="text1"/>
                <w:sz w:val="16"/>
                <w:szCs w:val="16"/>
              </w:rPr>
              <w:t>1918 г.</w:t>
            </w:r>
          </w:p>
        </w:tc>
      </w:tr>
      <w:tr w:rsidR="00A61694" w:rsidRPr="00507A31" w14:paraId="1EA4DC75" w14:textId="77777777" w:rsidTr="007B38B8">
        <w:tc>
          <w:tcPr>
            <w:tcW w:w="0" w:type="auto"/>
            <w:vMerge/>
            <w:tcBorders>
              <w:top w:val="outset" w:sz="6" w:space="0" w:color="auto"/>
              <w:left w:val="outset" w:sz="6" w:space="0" w:color="auto"/>
              <w:bottom w:val="outset" w:sz="6" w:space="0" w:color="auto"/>
              <w:right w:val="outset" w:sz="6" w:space="0" w:color="auto"/>
            </w:tcBorders>
            <w:vAlign w:val="center"/>
            <w:hideMark/>
          </w:tcPr>
          <w:p w14:paraId="2E7F38B5" w14:textId="77777777" w:rsidR="007B38B8" w:rsidRPr="00507A31" w:rsidRDefault="007B38B8" w:rsidP="00507A31">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AF490D" w14:textId="77777777" w:rsidR="007B38B8" w:rsidRPr="00507A31" w:rsidRDefault="007B38B8" w:rsidP="00507A31">
            <w:pPr>
              <w:jc w:val="both"/>
              <w:rPr>
                <w:color w:val="000000" w:themeColor="text1"/>
                <w:sz w:val="16"/>
                <w:szCs w:val="16"/>
              </w:rPr>
            </w:pPr>
            <w:r w:rsidRPr="00507A31">
              <w:rPr>
                <w:color w:val="000000" w:themeColor="text1"/>
                <w:sz w:val="16"/>
                <w:szCs w:val="16"/>
              </w:rPr>
              <w:t>Число фактически построенных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254A3" w14:textId="77777777" w:rsidR="007B38B8" w:rsidRPr="00507A31" w:rsidRDefault="007B38B8" w:rsidP="00507A31">
            <w:pPr>
              <w:jc w:val="both"/>
              <w:rPr>
                <w:color w:val="000000" w:themeColor="text1"/>
                <w:sz w:val="16"/>
                <w:szCs w:val="16"/>
              </w:rPr>
            </w:pPr>
            <w:r w:rsidRPr="00507A31">
              <w:rPr>
                <w:color w:val="000000" w:themeColor="text1"/>
                <w:sz w:val="16"/>
                <w:szCs w:val="16"/>
              </w:rPr>
              <w:t>Число самолетов, находившихся в строю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5ADAF" w14:textId="77777777" w:rsidR="007B38B8" w:rsidRPr="00507A31" w:rsidRDefault="007B38B8" w:rsidP="00507A31">
            <w:pPr>
              <w:jc w:val="both"/>
              <w:rPr>
                <w:color w:val="000000" w:themeColor="text1"/>
                <w:sz w:val="16"/>
                <w:szCs w:val="16"/>
              </w:rPr>
            </w:pPr>
            <w:r w:rsidRPr="00507A31">
              <w:rPr>
                <w:color w:val="000000" w:themeColor="text1"/>
                <w:sz w:val="16"/>
                <w:szCs w:val="16"/>
              </w:rPr>
              <w:t>Процент самолетов, находившихся в строю, к построенным самолетам</w:t>
            </w:r>
          </w:p>
        </w:tc>
      </w:tr>
      <w:tr w:rsidR="00A61694" w:rsidRPr="00507A31" w14:paraId="369F0011"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5AA2BBA" w14:textId="77777777" w:rsidR="007B38B8" w:rsidRPr="00507A31" w:rsidRDefault="007B38B8" w:rsidP="00507A31">
            <w:pPr>
              <w:jc w:val="both"/>
              <w:rPr>
                <w:color w:val="000000" w:themeColor="text1"/>
                <w:sz w:val="16"/>
                <w:szCs w:val="16"/>
              </w:rPr>
            </w:pPr>
            <w:r w:rsidRPr="00507A31">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C5363" w14:textId="77777777" w:rsidR="007B38B8" w:rsidRPr="00507A31" w:rsidRDefault="007B38B8" w:rsidP="00507A31">
            <w:pPr>
              <w:jc w:val="both"/>
              <w:rPr>
                <w:color w:val="000000" w:themeColor="text1"/>
                <w:sz w:val="16"/>
                <w:szCs w:val="16"/>
              </w:rPr>
            </w:pPr>
            <w:r w:rsidRPr="00507A31">
              <w:rPr>
                <w:color w:val="000000" w:themeColor="text1"/>
                <w:sz w:val="16"/>
                <w:szCs w:val="16"/>
              </w:rPr>
              <w:t>23 669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7EE7B" w14:textId="77777777" w:rsidR="007B38B8" w:rsidRPr="00507A31" w:rsidRDefault="007B38B8" w:rsidP="00507A31">
            <w:pPr>
              <w:jc w:val="both"/>
              <w:rPr>
                <w:color w:val="000000" w:themeColor="text1"/>
                <w:sz w:val="16"/>
                <w:szCs w:val="16"/>
              </w:rPr>
            </w:pPr>
            <w:r w:rsidRPr="00507A31">
              <w:rPr>
                <w:color w:val="000000" w:themeColor="text1"/>
                <w:sz w:val="16"/>
                <w:szCs w:val="16"/>
              </w:rPr>
              <w:t>4408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C5A4" w14:textId="77777777" w:rsidR="007B38B8" w:rsidRPr="00507A31" w:rsidRDefault="007B38B8" w:rsidP="00507A31">
            <w:pPr>
              <w:jc w:val="both"/>
              <w:rPr>
                <w:color w:val="000000" w:themeColor="text1"/>
                <w:sz w:val="16"/>
                <w:szCs w:val="16"/>
              </w:rPr>
            </w:pPr>
            <w:r w:rsidRPr="00507A31">
              <w:rPr>
                <w:color w:val="000000" w:themeColor="text1"/>
                <w:sz w:val="16"/>
                <w:szCs w:val="16"/>
              </w:rPr>
              <w:t>18,6</w:t>
            </w:r>
          </w:p>
        </w:tc>
      </w:tr>
      <w:tr w:rsidR="00A61694" w:rsidRPr="00507A31" w14:paraId="01ED91C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CD25DB4" w14:textId="77777777" w:rsidR="007B38B8" w:rsidRPr="00507A31" w:rsidRDefault="007B38B8" w:rsidP="00507A31">
            <w:pPr>
              <w:jc w:val="both"/>
              <w:rPr>
                <w:color w:val="000000" w:themeColor="text1"/>
                <w:sz w:val="16"/>
                <w:szCs w:val="16"/>
              </w:rPr>
            </w:pPr>
            <w:r w:rsidRPr="00507A31">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1677A" w14:textId="77777777" w:rsidR="007B38B8" w:rsidRPr="00507A31" w:rsidRDefault="007B38B8" w:rsidP="00507A31">
            <w:pPr>
              <w:jc w:val="both"/>
              <w:rPr>
                <w:color w:val="000000" w:themeColor="text1"/>
                <w:sz w:val="16"/>
                <w:szCs w:val="16"/>
              </w:rPr>
            </w:pPr>
            <w:r w:rsidRPr="00507A31">
              <w:rPr>
                <w:color w:val="000000" w:themeColor="text1"/>
                <w:sz w:val="16"/>
                <w:szCs w:val="16"/>
              </w:rPr>
              <w:t>26 685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BB027" w14:textId="77777777" w:rsidR="007B38B8" w:rsidRPr="00507A31" w:rsidRDefault="007B38B8" w:rsidP="00507A31">
            <w:pPr>
              <w:jc w:val="both"/>
              <w:rPr>
                <w:color w:val="000000" w:themeColor="text1"/>
                <w:sz w:val="16"/>
                <w:szCs w:val="16"/>
              </w:rPr>
            </w:pPr>
            <w:r w:rsidRPr="00507A31">
              <w:rPr>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19352" w14:textId="77777777" w:rsidR="007B38B8" w:rsidRPr="00507A31" w:rsidRDefault="007B38B8" w:rsidP="00507A31">
            <w:pPr>
              <w:jc w:val="both"/>
              <w:rPr>
                <w:color w:val="000000" w:themeColor="text1"/>
                <w:sz w:val="16"/>
                <w:szCs w:val="16"/>
              </w:rPr>
            </w:pPr>
            <w:r w:rsidRPr="00507A31">
              <w:rPr>
                <w:color w:val="000000" w:themeColor="text1"/>
                <w:sz w:val="16"/>
                <w:szCs w:val="16"/>
              </w:rPr>
              <w:t>16,1</w:t>
            </w:r>
          </w:p>
        </w:tc>
      </w:tr>
      <w:tr w:rsidR="00A61694" w:rsidRPr="00507A31" w14:paraId="4EE558AD"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1FD27E1" w14:textId="77777777" w:rsidR="007B38B8" w:rsidRPr="00507A31" w:rsidRDefault="007B38B8" w:rsidP="00507A31">
            <w:pPr>
              <w:jc w:val="both"/>
              <w:rPr>
                <w:color w:val="000000" w:themeColor="text1"/>
                <w:sz w:val="16"/>
                <w:szCs w:val="16"/>
              </w:rPr>
            </w:pPr>
            <w:r w:rsidRPr="00507A31">
              <w:rPr>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F8DE6" w14:textId="77777777" w:rsidR="007B38B8" w:rsidRPr="00507A31" w:rsidRDefault="007B38B8" w:rsidP="00507A31">
            <w:pPr>
              <w:jc w:val="both"/>
              <w:rPr>
                <w:color w:val="000000" w:themeColor="text1"/>
                <w:sz w:val="16"/>
                <w:szCs w:val="16"/>
              </w:rPr>
            </w:pPr>
            <w:r w:rsidRPr="00507A31">
              <w:rPr>
                <w:color w:val="000000" w:themeColor="text1"/>
                <w:sz w:val="16"/>
                <w:szCs w:val="16"/>
              </w:rPr>
              <w:t>14 123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39302" w14:textId="77777777" w:rsidR="007B38B8" w:rsidRPr="00507A31" w:rsidRDefault="007B38B8" w:rsidP="00507A31">
            <w:pPr>
              <w:jc w:val="both"/>
              <w:rPr>
                <w:color w:val="000000" w:themeColor="text1"/>
                <w:sz w:val="16"/>
                <w:szCs w:val="16"/>
              </w:rPr>
            </w:pPr>
            <w:r w:rsidRPr="00507A31">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BA77D" w14:textId="77777777" w:rsidR="007B38B8" w:rsidRPr="00507A31" w:rsidRDefault="007B38B8" w:rsidP="00507A31">
            <w:pPr>
              <w:jc w:val="both"/>
              <w:rPr>
                <w:color w:val="000000" w:themeColor="text1"/>
                <w:sz w:val="16"/>
                <w:szCs w:val="16"/>
              </w:rPr>
            </w:pPr>
            <w:r w:rsidRPr="00507A31">
              <w:rPr>
                <w:color w:val="000000" w:themeColor="text1"/>
                <w:sz w:val="16"/>
                <w:szCs w:val="16"/>
              </w:rPr>
              <w:t>31,9</w:t>
            </w:r>
          </w:p>
        </w:tc>
      </w:tr>
      <w:tr w:rsidR="00A61694" w:rsidRPr="00507A31" w14:paraId="67217B1F"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F87BED6" w14:textId="77777777" w:rsidR="007B38B8" w:rsidRPr="00507A31" w:rsidRDefault="007B38B8" w:rsidP="00507A31">
            <w:pPr>
              <w:jc w:val="both"/>
              <w:rPr>
                <w:color w:val="000000" w:themeColor="text1"/>
                <w:sz w:val="16"/>
                <w:szCs w:val="16"/>
              </w:rPr>
            </w:pPr>
            <w:r w:rsidRPr="00507A31">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0F75A" w14:textId="77777777" w:rsidR="007B38B8" w:rsidRPr="00507A31" w:rsidRDefault="007B38B8" w:rsidP="00507A31">
            <w:pPr>
              <w:jc w:val="both"/>
              <w:rPr>
                <w:color w:val="000000" w:themeColor="text1"/>
                <w:sz w:val="16"/>
                <w:szCs w:val="16"/>
              </w:rPr>
            </w:pPr>
            <w:r w:rsidRPr="00507A31">
              <w:rPr>
                <w:color w:val="000000" w:themeColor="text1"/>
                <w:sz w:val="16"/>
                <w:szCs w:val="16"/>
              </w:rPr>
              <w:t>64 477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E08D9" w14:textId="77777777" w:rsidR="007B38B8" w:rsidRPr="00507A31" w:rsidRDefault="007B38B8" w:rsidP="00507A31">
            <w:pPr>
              <w:jc w:val="both"/>
              <w:rPr>
                <w:color w:val="000000" w:themeColor="text1"/>
                <w:sz w:val="16"/>
                <w:szCs w:val="16"/>
              </w:rPr>
            </w:pPr>
            <w:r w:rsidRPr="00507A31">
              <w:rPr>
                <w:color w:val="000000" w:themeColor="text1"/>
                <w:sz w:val="16"/>
                <w:szCs w:val="16"/>
              </w:rPr>
              <w:t>13 208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61571" w14:textId="77777777" w:rsidR="007B38B8" w:rsidRPr="00507A31" w:rsidRDefault="007B38B8" w:rsidP="00507A31">
            <w:pPr>
              <w:jc w:val="both"/>
              <w:rPr>
                <w:color w:val="000000" w:themeColor="text1"/>
                <w:sz w:val="16"/>
                <w:szCs w:val="16"/>
              </w:rPr>
            </w:pPr>
            <w:r w:rsidRPr="00507A31">
              <w:rPr>
                <w:color w:val="000000" w:themeColor="text1"/>
                <w:sz w:val="16"/>
                <w:szCs w:val="16"/>
              </w:rPr>
              <w:t>20,4</w:t>
            </w:r>
          </w:p>
        </w:tc>
      </w:tr>
    </w:tbl>
    <w:p w14:paraId="0A7D43C2"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 xml:space="preserve">Итак, среднее число самолетов в строю равняется 20%, однако правильнее стремиться к германской норме, хотя бы к 30%, что более соответствует и принятым у нас нормам обеспечения. Это позволит, при производстве в год 122,5 тыс. самолетов, иметь встрою 36,75 тыс., а в круглых цифрах — от 35 до 40 тыс. самолетов. Столь большое число действующих самолетов настоятельно требует широкого внедрения авиации в стране. Наши громадные расстояния для реконструкции дела почтовой </w:t>
      </w:r>
      <w:r w:rsidRPr="00507A31">
        <w:rPr>
          <w:color w:val="000000" w:themeColor="text1"/>
          <w:sz w:val="16"/>
          <w:szCs w:val="16"/>
        </w:rPr>
        <w:lastRenderedPageBreak/>
        <w:t>и грузовой связи необходимо требуют перехода на авиационный транспорт. По этому пути идут и САСШ, как и мы, имеющие громадные территориальные расстояния («Мировое хозяйство на рубеже 1929 г.», «Плановое хозяйство», Москва, 1929, с. 235</w:t>
      </w:r>
      <w:r w:rsidRPr="00507A31">
        <w:rPr>
          <w:color w:val="000000" w:themeColor="text1"/>
          <w:sz w:val="16"/>
          <w:szCs w:val="16"/>
        </w:rPr>
        <w:noBreakHyphen/>
        <w:t>236).</w:t>
      </w:r>
    </w:p>
    <w:p w14:paraId="029D27BF"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 xml:space="preserve">Производство танков более всего связано с тракторостроением. Показателей соответствующей пропорциональности из опыта империалистической войны в моем распоряжении не имеется. По примерному же соотношению, указанному мне инженером </w:t>
      </w:r>
      <w:hyperlink r:id="rId7" w:history="1">
        <w:r w:rsidRPr="00507A31">
          <w:rPr>
            <w:color w:val="000000" w:themeColor="text1"/>
            <w:sz w:val="16"/>
            <w:szCs w:val="16"/>
          </w:rPr>
          <w:t>Магдесиевым</w:t>
        </w:r>
      </w:hyperlink>
      <w:r w:rsidRPr="00507A31">
        <w:rPr>
          <w:color w:val="000000" w:themeColor="text1"/>
          <w:sz w:val="16"/>
          <w:szCs w:val="16"/>
        </w:rPr>
        <w:t xml:space="preserve"> (завод «Большевик»), надо считать эквивалентным два трактора одному танку. Многое, однако, говорит о соответствии одного трактора одному танку. Если взять норму Магдесиева в 50%, то при нашей программе тракторостроения в 1932/33 г. в 197,1 тыс. шт. годичную программу танков можно считать в 100 тыс. шт. Если считать убыль танков в год войны равной 100% (цифра условная), то мы сможем иметь в строю 50 тыс. танков.</w:t>
      </w:r>
    </w:p>
    <w:p w14:paraId="620A7BB0"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Я не имею возможности произвести подсчетов в денежном выражении постройки и содержания больших масс авиации и танков, перехода от мирного к военному времени, соответствующих сроков и пр. Приведенные данные характеризуют (по скромным показателям) наши перспективные производственные возможности в области самолето- и танкостроения и соответствующие организационные формы РККА, каковые она неизбежно должна будет воспринимать.</w:t>
      </w:r>
    </w:p>
    <w:p w14:paraId="4737FCB6" w14:textId="77777777" w:rsidR="007B38B8" w:rsidRPr="00507A31" w:rsidRDefault="007B38B8" w:rsidP="00507A31">
      <w:pPr>
        <w:jc w:val="both"/>
        <w:rPr>
          <w:color w:val="000000" w:themeColor="text1"/>
          <w:sz w:val="16"/>
          <w:szCs w:val="16"/>
        </w:rPr>
      </w:pPr>
      <w:r w:rsidRPr="00507A31">
        <w:rPr>
          <w:color w:val="000000" w:themeColor="text1"/>
          <w:sz w:val="16"/>
          <w:szCs w:val="16"/>
        </w:rPr>
        <w:t>VI.</w:t>
      </w:r>
    </w:p>
    <w:p w14:paraId="49E6A091" w14:textId="77777777" w:rsidR="007B38B8" w:rsidRPr="00507A31" w:rsidRDefault="007B38B8" w:rsidP="00507A31">
      <w:pPr>
        <w:jc w:val="both"/>
        <w:rPr>
          <w:color w:val="000000" w:themeColor="text1"/>
          <w:sz w:val="16"/>
          <w:szCs w:val="16"/>
        </w:rPr>
      </w:pPr>
      <w:r w:rsidRPr="00507A31">
        <w:rPr>
          <w:color w:val="000000" w:themeColor="text1"/>
          <w:sz w:val="16"/>
          <w:szCs w:val="16"/>
        </w:rPr>
        <w:t>Численность стрелковых и кавалерийских дивизий. Число наших стр[елковых] дивизий было сокращено в 1924 г. ввиду нехватки материальной части. Пятилетка (военная) от 1926 г. намечала лишь очень скромный рост числа дивизий. В настоящее время перспективы нашего индустриального развития позволяют нам подойти к разрешению этого вопроса так, как того требуют интересы предстоящей большой войны. Германия развернула во время империалистической войны 240 пех[отных] дивизий. Развернула бы и больше, но не хватило людских ресурсов. К конце пятилетки мы будем иметь индустриальную базу не меньшую, чем Германия в 1913 г., и даже большую (металл, машиностроение). «Узким» местом для развертывания наших дивизий будет являться не промышленность, а транспорт. Поэтому, подходя к определению числа дивизий (стрелковых и кавалерийских общим числом), я буду исходить из транспортных железнодорожных возможностей развертывания.</w:t>
      </w:r>
    </w:p>
    <w:p w14:paraId="2FAABB56" w14:textId="77777777" w:rsidR="007B38B8" w:rsidRPr="00507A31" w:rsidRDefault="007B38B8" w:rsidP="00507A31">
      <w:pPr>
        <w:jc w:val="both"/>
        <w:rPr>
          <w:color w:val="000000" w:themeColor="text1"/>
          <w:sz w:val="16"/>
          <w:szCs w:val="16"/>
        </w:rPr>
      </w:pPr>
      <w:r w:rsidRPr="00507A31">
        <w:rPr>
          <w:color w:val="000000" w:themeColor="text1"/>
          <w:sz w:val="16"/>
          <w:szCs w:val="16"/>
        </w:rPr>
        <w:t>По графику 1930 г. выходные к западной границе (без Румынии) железнодорожные линии позволят подвести: в первые 14 дней — 96 дивизий, во вторые 14 дней — 118 дивизий. Итого: за 28 дней может быть подвезено 214 дивизий со всеми корпусными частями и учреждениями, с оставлением значительного факультатива. Если к этому числу добавить: на румынскую границу — 16 дивизий, ККА — 5 дивизий, САВО — 5 дивизий, СибВО — 5 дивизий и резерв главного командования — 15 дивизий, то общая численность мобилизованной РККА вырастет до 260 стр[елковых] и кав[алерийских] дивизий. Армия будет обеспечена и индустриальными, и транспортными, и людскими ресурсами. Моторизация войсковых частей еще более увеличит маневренную способность армии по грунтово-шоссейным и железным дорогам.</w:t>
      </w:r>
    </w:p>
    <w:p w14:paraId="43E191DB" w14:textId="77777777" w:rsidR="007B38B8" w:rsidRPr="00507A31" w:rsidRDefault="007B38B8" w:rsidP="00507A31">
      <w:pPr>
        <w:jc w:val="both"/>
        <w:rPr>
          <w:color w:val="000000" w:themeColor="text1"/>
          <w:sz w:val="16"/>
          <w:szCs w:val="16"/>
        </w:rPr>
      </w:pPr>
      <w:r w:rsidRPr="00507A31">
        <w:rPr>
          <w:color w:val="000000" w:themeColor="text1"/>
          <w:sz w:val="16"/>
          <w:szCs w:val="16"/>
        </w:rPr>
        <w:t>Общий рост армии должен сопровождаться прогрессивным ростом инженерных и химических частей и войск связи. Организация артиллерийского и пулеметного резерва главного командования должна получить законченное выражение, что опять-таки увеличивает маневренную способность армии. В АРГК должен быть применен воздушный и автотракторный транспорт. Не считая артиллерии особой мощности и минометов, состав АРГК должен быть доведен до 50 дивизий. ПРГК должен состоять из 225 пулеметных батальонов (из расчета поддержки 25 стр[елковых] дивизий).</w:t>
      </w:r>
    </w:p>
    <w:p w14:paraId="3FA56091" w14:textId="77777777" w:rsidR="007B38B8" w:rsidRPr="00507A31" w:rsidRDefault="007B38B8" w:rsidP="00507A31">
      <w:pPr>
        <w:jc w:val="both"/>
        <w:rPr>
          <w:color w:val="000000" w:themeColor="text1"/>
          <w:sz w:val="16"/>
          <w:szCs w:val="16"/>
        </w:rPr>
      </w:pPr>
      <w:r w:rsidRPr="00507A31">
        <w:rPr>
          <w:color w:val="000000" w:themeColor="text1"/>
          <w:sz w:val="16"/>
          <w:szCs w:val="16"/>
        </w:rPr>
        <w:t>В настоящей записке общего организационного характера я не имею возможности остановиться на вопросах реконструкции войсковых частей, а также на вопросах мобпотребности, обеспечиваемой успехами индустриализации.</w:t>
      </w:r>
    </w:p>
    <w:p w14:paraId="467664A1" w14:textId="77777777" w:rsidR="007B38B8" w:rsidRPr="00507A31" w:rsidRDefault="007B38B8" w:rsidP="00507A31">
      <w:pPr>
        <w:jc w:val="both"/>
        <w:rPr>
          <w:color w:val="000000" w:themeColor="text1"/>
          <w:sz w:val="16"/>
          <w:szCs w:val="16"/>
        </w:rPr>
      </w:pPr>
      <w:r w:rsidRPr="00507A31">
        <w:rPr>
          <w:color w:val="000000" w:themeColor="text1"/>
          <w:sz w:val="16"/>
          <w:szCs w:val="16"/>
        </w:rPr>
        <w:t>VII.</w:t>
      </w:r>
    </w:p>
    <w:p w14:paraId="46FF590B" w14:textId="77777777" w:rsidR="007B38B8" w:rsidRPr="00507A31" w:rsidRDefault="007B38B8" w:rsidP="00507A31">
      <w:pPr>
        <w:pStyle w:val="rtejustify"/>
        <w:spacing w:before="0" w:after="0"/>
        <w:rPr>
          <w:color w:val="000000" w:themeColor="text1"/>
          <w:sz w:val="16"/>
          <w:szCs w:val="16"/>
        </w:rPr>
      </w:pPr>
      <w:r w:rsidRPr="00507A31">
        <w:rPr>
          <w:rStyle w:val="af0"/>
          <w:i w:val="0"/>
          <w:color w:val="000000" w:themeColor="text1"/>
          <w:sz w:val="16"/>
          <w:szCs w:val="16"/>
        </w:rPr>
        <w:t>Реконструкция военных сообщений.</w:t>
      </w:r>
      <w:r w:rsidRPr="00507A31">
        <w:rPr>
          <w:color w:val="000000" w:themeColor="text1"/>
          <w:sz w:val="16"/>
          <w:szCs w:val="16"/>
        </w:rPr>
        <w:t xml:space="preserve"> Реконструкция военных сообщений на основе полной механизации и строгой рационализации как строительных, так и эксплуатационных работ должна охватить все наиболее прогрессивные виды транспорта. Расчеты показывают, что механизация работ железнодорожных частей позволит восстанавливать даже сильно разрушенные пути со средней скоростью наступления армии, причем с первого же дня провозоспособность головного участка ж[елезной] д[ороги] может быть доведена до 15 воинских пар.</w:t>
      </w:r>
    </w:p>
    <w:p w14:paraId="4D07CBB2"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Моторизация армии ставит со всей остротой вопрос о быстроте постройки новых грунтово-шоссейных путей. Современная техника дает в этом отношении такие показатели, которые позволят прокладку новых дорог за наступающей армией со средней скоростью ее наступления. Поэтому бедность сети наших путей не должна служить предлогом для сокращенных темпов моторизации армии. Должен быть по-новому поставлен вопрос об организации бездорожного транспорта в виде колонно-тракторных путей и воздушных линий.</w:t>
      </w:r>
    </w:p>
    <w:p w14:paraId="3F1E3731"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Более подробные расчеты по реконструкции железнодорожных частей и по организации воздушного транспорта, способного легко устранять перебои в подвозе огнеприпасов, изложены в моих докладах Вам от 19 октября 1929 г. № 227/с. По вопросу о колонно-тракторных путях и об ускоренном строительстве новых дорог подобно доложу дополнительно.</w:t>
      </w:r>
    </w:p>
    <w:p w14:paraId="0538303E"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Все вышеизложенные мероприятия позволят добиться намного большей маневренной способности армии, несмотря на возрастающую ее массовость.</w:t>
      </w:r>
    </w:p>
    <w:p w14:paraId="579F5B0B" w14:textId="77777777" w:rsidR="007B38B8" w:rsidRPr="00507A31" w:rsidRDefault="007B38B8" w:rsidP="00507A31">
      <w:pPr>
        <w:jc w:val="both"/>
        <w:rPr>
          <w:color w:val="000000" w:themeColor="text1"/>
          <w:sz w:val="16"/>
          <w:szCs w:val="16"/>
        </w:rPr>
      </w:pPr>
      <w:r w:rsidRPr="00507A31">
        <w:rPr>
          <w:color w:val="000000" w:themeColor="text1"/>
          <w:sz w:val="16"/>
          <w:szCs w:val="16"/>
        </w:rPr>
        <w:t>VIII.</w:t>
      </w:r>
    </w:p>
    <w:p w14:paraId="17748865" w14:textId="77777777" w:rsidR="007B38B8" w:rsidRPr="00507A31" w:rsidRDefault="007B38B8" w:rsidP="00507A31">
      <w:pPr>
        <w:jc w:val="both"/>
        <w:rPr>
          <w:color w:val="000000" w:themeColor="text1"/>
          <w:sz w:val="16"/>
          <w:szCs w:val="16"/>
        </w:rPr>
      </w:pPr>
      <w:r w:rsidRPr="00507A31">
        <w:rPr>
          <w:color w:val="000000" w:themeColor="text1"/>
          <w:sz w:val="16"/>
          <w:szCs w:val="16"/>
        </w:rPr>
        <w:t>Краткий организационный итог. В итоге реконструктивных мероприятий РККА должна значительно повысить свою массовость с более широким применением территориально-милиционных формирований, значительно повысить свою техническую насыщенность, создать новые пропорциональные отношения авиации и танков и путем моторизации и реконструкции военных сообщений решительно увеличить свою подвижность.</w:t>
      </w:r>
    </w:p>
    <w:p w14:paraId="6CA14489" w14:textId="77777777" w:rsidR="007B38B8" w:rsidRPr="00507A31" w:rsidRDefault="007B38B8" w:rsidP="00507A31">
      <w:pPr>
        <w:jc w:val="both"/>
        <w:rPr>
          <w:color w:val="000000" w:themeColor="text1"/>
          <w:sz w:val="16"/>
          <w:szCs w:val="16"/>
        </w:rPr>
      </w:pPr>
      <w:r w:rsidRPr="00507A31">
        <w:rPr>
          <w:color w:val="000000" w:themeColor="text1"/>
          <w:sz w:val="16"/>
          <w:szCs w:val="16"/>
        </w:rPr>
        <w:t>Основные показатели структуры реконструированной РККА будут следующие¹³*: 260 дивизий стр[елковых] и кав[алерийских], 50 дивизий АРГК плюс артиллерия большой мощности и минометы, 225 батальонов ПРГК, 40 тыс. самолетов в строю, 50 тыс. танков в строю. Соответствующего подсчета инженерных, запасных и прочих частей я не производил.</w:t>
      </w:r>
    </w:p>
    <w:p w14:paraId="01CF1E4E" w14:textId="77777777" w:rsidR="007B38B8" w:rsidRPr="00507A31" w:rsidRDefault="007B38B8" w:rsidP="00507A31">
      <w:pPr>
        <w:jc w:val="both"/>
        <w:rPr>
          <w:color w:val="000000" w:themeColor="text1"/>
          <w:sz w:val="16"/>
          <w:szCs w:val="16"/>
        </w:rPr>
      </w:pPr>
      <w:r w:rsidRPr="00507A31">
        <w:rPr>
          <w:color w:val="000000" w:themeColor="text1"/>
          <w:sz w:val="16"/>
          <w:szCs w:val="16"/>
        </w:rPr>
        <w:t>Не имея возможности точно определить сроки и последовательность осуществления этой организации, считаю, что таковая, несомненно, соответствует производственным возможностям пятилетки.</w:t>
      </w:r>
    </w:p>
    <w:p w14:paraId="01CA446C" w14:textId="77777777" w:rsidR="007B38B8" w:rsidRPr="00507A31" w:rsidRDefault="007B38B8" w:rsidP="00507A31">
      <w:pPr>
        <w:jc w:val="both"/>
        <w:rPr>
          <w:color w:val="000000" w:themeColor="text1"/>
          <w:sz w:val="16"/>
          <w:szCs w:val="16"/>
        </w:rPr>
      </w:pPr>
      <w:r w:rsidRPr="00507A31">
        <w:rPr>
          <w:color w:val="000000" w:themeColor="text1"/>
          <w:sz w:val="16"/>
          <w:szCs w:val="16"/>
        </w:rPr>
        <w:t>IX.</w:t>
      </w:r>
    </w:p>
    <w:p w14:paraId="47AF8B8C" w14:textId="77777777" w:rsidR="007B38B8" w:rsidRPr="00507A31" w:rsidRDefault="007B38B8" w:rsidP="00507A31">
      <w:pPr>
        <w:pStyle w:val="rtejustify"/>
        <w:spacing w:before="0" w:after="0"/>
        <w:rPr>
          <w:color w:val="000000" w:themeColor="text1"/>
          <w:sz w:val="16"/>
          <w:szCs w:val="16"/>
        </w:rPr>
      </w:pPr>
      <w:r w:rsidRPr="00507A31">
        <w:rPr>
          <w:rStyle w:val="af0"/>
          <w:i w:val="0"/>
          <w:color w:val="000000" w:themeColor="text1"/>
          <w:sz w:val="16"/>
          <w:szCs w:val="16"/>
        </w:rPr>
        <w:t>Оперативно-стратегическое отображение реконструкции РККА.</w:t>
      </w:r>
      <w:r w:rsidRPr="00507A31">
        <w:rPr>
          <w:color w:val="000000" w:themeColor="text1"/>
          <w:sz w:val="16"/>
          <w:szCs w:val="16"/>
        </w:rPr>
        <w:t xml:space="preserve"> Охарактеризованная выше цифрами структура армии, сочетанием различных средств борьбы делает ее способной к широким маневренным сражениям и операциям. Совместное применение артиллерийских и танковых средств значительно облегчает разрешение труднейшей проблемы огнепитания.</w:t>
      </w:r>
    </w:p>
    <w:p w14:paraId="3489600F"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Однако было бы ошибочно думать, что реконструкция армии должна лишь упорядочить прежние виды оперативно-стратегических действий. Новый удельный вес авиации и танков позволит совершенно по-новому построить порядок генерального сражения. Это последнее может быть завязано одновременно ударом не менее как 150 дивизий на громадном фронте — 450 км и больше, — и притом сражение одновременно на всем этом фронте должно распространиться в глубину на 100</w:t>
      </w:r>
      <w:r w:rsidRPr="00507A31">
        <w:rPr>
          <w:color w:val="000000" w:themeColor="text1"/>
          <w:sz w:val="16"/>
          <w:szCs w:val="16"/>
        </w:rPr>
        <w:noBreakHyphen/>
        <w:t>200 км, что может повлечь полное уничтожение армий противника, менее сильных технически. Это углубление сражения может быть достигнуто массовой высадкой десантов в тыловой полосе противника путем применения танково-десантных прорывных отрядов и авиационных десантов. Действия десантов должны заключаться в овладении и преграждении в тылу у противника всех дорог: как шоссейно-грунтовых, так и железных. Передвижения резервов противника должны быть парализованы. Мероприятия по разрушению при отходе его военных сообщений должны быть сорваны. Главные фронтовые силы противника, отступая, должны вести бои за каждый шаг отхода. По всей тыловой полосе противника должна быть организована служба заграждения. Главные силы противника должны быть отделены от страны парализованной полосой в 100</w:t>
      </w:r>
      <w:r w:rsidRPr="00507A31">
        <w:rPr>
          <w:color w:val="000000" w:themeColor="text1"/>
          <w:sz w:val="16"/>
          <w:szCs w:val="16"/>
        </w:rPr>
        <w:noBreakHyphen/>
        <w:t>200 км глубины. Деятельность десантных отрядов должна поддерживаться массовыми действиями авиации и массовым применением химических средств борьбы. Главные силы армии должны нанести противнику решительное поражение и уничтожить его силы в парализованной за ним полосе. В период первых сражений обычная картина также сильно изменится.</w:t>
      </w:r>
    </w:p>
    <w:p w14:paraId="1536E85B"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Вышеизложенные соображения являются лишь ориентировочными, подчеркивающими направление развития оперативных норм.</w:t>
      </w:r>
    </w:p>
    <w:p w14:paraId="767CBAC8"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Заканчивая настоящую записку, еще раз подчеркиваю, что в моем распоряжении имелся крайне скудный материал по цифровому выражению индустриализации СССР. Однако и те данные, которыми я располагал, говорят о необходимости совершенно по-новому подойти к задаче развития и реконструкции РККА. Поправками и надбавками в тех или других участках строительства армии ограничиться невозможно. Необходимо подойти к структуре РККА реконструктивно¹⁴*, в полном соответствии с нашими хозяйственными успехами.</w:t>
      </w:r>
    </w:p>
    <w:p w14:paraId="2A166EB0" w14:textId="77777777" w:rsidR="007B38B8" w:rsidRPr="00507A31" w:rsidRDefault="007B38B8"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Командующий войсками ЛВО </w:t>
      </w:r>
      <w:hyperlink r:id="rId8" w:history="1">
        <w:r w:rsidRPr="00507A31">
          <w:rPr>
            <w:rStyle w:val="af0"/>
            <w:i w:val="0"/>
            <w:color w:val="000000" w:themeColor="text1"/>
            <w:sz w:val="16"/>
            <w:szCs w:val="16"/>
          </w:rPr>
          <w:t>Тухачевский</w:t>
        </w:r>
      </w:hyperlink>
    </w:p>
    <w:p w14:paraId="39A11C4C" w14:textId="77777777" w:rsidR="007B38B8" w:rsidRPr="00507A31" w:rsidRDefault="007B38B8"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74C75896"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Копии направлены: начальнику Штаба РККА Б. М. Шапошникову и начальнику вооружений РККА И. П. Уборевичу.</w:t>
      </w:r>
    </w:p>
    <w:p w14:paraId="1E9E6F8D"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На полях помета И. В. Сталина: «Не уровень, а темп развития. Это не одно и то же. Темп у нас быстрый, но уровня развитых стран [слово неразборчиво] еще не достигли».</w:t>
      </w:r>
    </w:p>
    <w:p w14:paraId="3F2A2DD8"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Помета И. В. Сталина: «Рановато».</w:t>
      </w:r>
    </w:p>
    <w:p w14:paraId="502D8518"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4</w:t>
      </w:r>
      <w:r w:rsidRPr="00507A31">
        <w:rPr>
          <w:color w:val="000000" w:themeColor="text1"/>
          <w:sz w:val="16"/>
          <w:szCs w:val="16"/>
        </w:rPr>
        <w:t>* «Экономическая жизнь», № 3333 (</w:t>
      </w:r>
      <w:r w:rsidRPr="00507A31">
        <w:rPr>
          <w:rStyle w:val="af0"/>
          <w:i w:val="0"/>
          <w:color w:val="000000" w:themeColor="text1"/>
          <w:sz w:val="16"/>
          <w:szCs w:val="16"/>
        </w:rPr>
        <w:t>Прим. док</w:t>
      </w:r>
      <w:r w:rsidRPr="00507A31">
        <w:rPr>
          <w:color w:val="000000" w:themeColor="text1"/>
          <w:sz w:val="16"/>
          <w:szCs w:val="16"/>
        </w:rPr>
        <w:t>.).</w:t>
      </w:r>
    </w:p>
    <w:p w14:paraId="7D57CA73"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5</w:t>
      </w:r>
      <w:r w:rsidRPr="00507A31">
        <w:rPr>
          <w:color w:val="000000" w:themeColor="text1"/>
          <w:sz w:val="16"/>
          <w:szCs w:val="16"/>
        </w:rPr>
        <w:t>* «За индустриализацию]», № 2406 (</w:t>
      </w:r>
      <w:r w:rsidRPr="00507A31">
        <w:rPr>
          <w:rStyle w:val="af0"/>
          <w:i w:val="0"/>
          <w:color w:val="000000" w:themeColor="text1"/>
          <w:sz w:val="16"/>
          <w:szCs w:val="16"/>
        </w:rPr>
        <w:t>Прим. док</w:t>
      </w:r>
      <w:r w:rsidRPr="00507A31">
        <w:rPr>
          <w:color w:val="000000" w:themeColor="text1"/>
          <w:sz w:val="16"/>
          <w:szCs w:val="16"/>
        </w:rPr>
        <w:t>.).</w:t>
      </w:r>
    </w:p>
    <w:p w14:paraId="2BFE8ABA"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6</w:t>
      </w:r>
      <w:r w:rsidRPr="00507A31">
        <w:rPr>
          <w:color w:val="000000" w:themeColor="text1"/>
          <w:sz w:val="16"/>
          <w:szCs w:val="16"/>
        </w:rPr>
        <w:t>* Для 1932/33 г. цифра устарела (</w:t>
      </w:r>
      <w:r w:rsidRPr="00507A31">
        <w:rPr>
          <w:rStyle w:val="af0"/>
          <w:i w:val="0"/>
          <w:color w:val="000000" w:themeColor="text1"/>
          <w:sz w:val="16"/>
          <w:szCs w:val="16"/>
        </w:rPr>
        <w:t>Прим. док.</w:t>
      </w:r>
      <w:r w:rsidRPr="00507A31">
        <w:rPr>
          <w:color w:val="000000" w:themeColor="text1"/>
          <w:sz w:val="16"/>
          <w:szCs w:val="16"/>
        </w:rPr>
        <w:t>).</w:t>
      </w:r>
    </w:p>
    <w:p w14:paraId="5F1CB93E"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7</w:t>
      </w:r>
      <w:r w:rsidRPr="00507A31">
        <w:rPr>
          <w:color w:val="000000" w:themeColor="text1"/>
          <w:sz w:val="16"/>
          <w:szCs w:val="16"/>
        </w:rPr>
        <w:t>* По наметкам Гипромеза, «За индустриализацию]», № 2406 на 1929/30 г. дает цифру в 22 млн. руб. (</w:t>
      </w:r>
      <w:r w:rsidRPr="00507A31">
        <w:rPr>
          <w:rStyle w:val="af0"/>
          <w:i w:val="0"/>
          <w:color w:val="000000" w:themeColor="text1"/>
          <w:sz w:val="16"/>
          <w:szCs w:val="16"/>
        </w:rPr>
        <w:t>Прим. док</w:t>
      </w:r>
      <w:r w:rsidRPr="00507A31">
        <w:rPr>
          <w:color w:val="000000" w:themeColor="text1"/>
          <w:sz w:val="16"/>
          <w:szCs w:val="16"/>
        </w:rPr>
        <w:t>.)</w:t>
      </w:r>
    </w:p>
    <w:p w14:paraId="6BFB57C9"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8</w:t>
      </w:r>
      <w:r w:rsidRPr="00507A31">
        <w:rPr>
          <w:color w:val="000000" w:themeColor="text1"/>
          <w:sz w:val="16"/>
          <w:szCs w:val="16"/>
        </w:rPr>
        <w:t>* Таблица составлена по: «Мировое хозяйство», 1913</w:t>
      </w:r>
      <w:r w:rsidRPr="00507A31">
        <w:rPr>
          <w:color w:val="000000" w:themeColor="text1"/>
          <w:sz w:val="16"/>
          <w:szCs w:val="16"/>
        </w:rPr>
        <w:noBreakHyphen/>
        <w:t>1927 гг. ЦСУ СССР, 1928. С. 28 и по контрольным цифрам с добавлениями на 1929/30 г. (</w:t>
      </w:r>
      <w:r w:rsidRPr="00507A31">
        <w:rPr>
          <w:rStyle w:val="af0"/>
          <w:i w:val="0"/>
          <w:color w:val="000000" w:themeColor="text1"/>
          <w:sz w:val="16"/>
          <w:szCs w:val="16"/>
        </w:rPr>
        <w:t>Прим. док.</w:t>
      </w:r>
      <w:r w:rsidRPr="00507A31">
        <w:rPr>
          <w:color w:val="000000" w:themeColor="text1"/>
          <w:sz w:val="16"/>
          <w:szCs w:val="16"/>
        </w:rPr>
        <w:t>).</w:t>
      </w:r>
    </w:p>
    <w:p w14:paraId="2463B92D"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9</w:t>
      </w:r>
      <w:r w:rsidRPr="00507A31">
        <w:rPr>
          <w:color w:val="000000" w:themeColor="text1"/>
          <w:sz w:val="16"/>
          <w:szCs w:val="16"/>
        </w:rPr>
        <w:t>* Все машиностр[оение], включая с[ельско]х[озяйственное] в довоенных марках (</w:t>
      </w:r>
      <w:r w:rsidRPr="00507A31">
        <w:rPr>
          <w:rStyle w:val="af0"/>
          <w:i w:val="0"/>
          <w:color w:val="000000" w:themeColor="text1"/>
          <w:sz w:val="16"/>
          <w:szCs w:val="16"/>
        </w:rPr>
        <w:t>Прим. док</w:t>
      </w:r>
      <w:r w:rsidRPr="00507A31">
        <w:rPr>
          <w:color w:val="000000" w:themeColor="text1"/>
          <w:sz w:val="16"/>
          <w:szCs w:val="16"/>
        </w:rPr>
        <w:t>.).</w:t>
      </w:r>
    </w:p>
    <w:p w14:paraId="20C3B044"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10</w:t>
      </w:r>
      <w:r w:rsidRPr="00507A31">
        <w:rPr>
          <w:color w:val="000000" w:themeColor="text1"/>
          <w:sz w:val="16"/>
          <w:szCs w:val="16"/>
        </w:rPr>
        <w:t xml:space="preserve">* В резолюции «О контрольных цифрах народного хозяйства на 1929/30 год» </w:t>
      </w:r>
      <w:r w:rsidRPr="00507A31">
        <w:rPr>
          <w:rStyle w:val="af0"/>
          <w:i w:val="0"/>
          <w:color w:val="000000" w:themeColor="text1"/>
          <w:sz w:val="16"/>
          <w:szCs w:val="16"/>
        </w:rPr>
        <w:t>ноябрьского (1929 г.) пленума ЦК ВКП(б)</w:t>
      </w:r>
      <w:r w:rsidRPr="00507A31">
        <w:rPr>
          <w:color w:val="000000" w:themeColor="text1"/>
          <w:sz w:val="16"/>
          <w:szCs w:val="16"/>
        </w:rPr>
        <w:t xml:space="preserve"> указывалось, что выполнение плана обобществления сельского хозяйства «должно дать возможность получить от обобществленного сектора из урожая 1930 г. свыше 50</w:t>
      </w:r>
      <w:r w:rsidRPr="00507A31">
        <w:rPr>
          <w:rStyle w:val="af0"/>
          <w:i w:val="0"/>
          <w:color w:val="000000" w:themeColor="text1"/>
          <w:sz w:val="16"/>
          <w:szCs w:val="16"/>
        </w:rPr>
        <w:t>%</w:t>
      </w:r>
      <w:r w:rsidRPr="00507A31">
        <w:rPr>
          <w:color w:val="000000" w:themeColor="text1"/>
          <w:sz w:val="16"/>
          <w:szCs w:val="16"/>
        </w:rPr>
        <w:t xml:space="preserve"> товарного хлеба </w:t>
      </w:r>
      <w:r w:rsidRPr="00507A31">
        <w:rPr>
          <w:color w:val="000000" w:themeColor="text1"/>
          <w:sz w:val="16"/>
          <w:szCs w:val="16"/>
        </w:rPr>
        <w:lastRenderedPageBreak/>
        <w:t>внедеревенского оборота (против 43% товарного хлеба, намечавшегося пятилетним планом для урожая 1933 г.), что при дальнейшем расширении практики контрактации должно означать изжитие хлебных затруднений и разрешение в основном зерновой проблемы» (КПСС в резолюциях... Т. 5. 1984. С. 13).</w:t>
      </w:r>
    </w:p>
    <w:p w14:paraId="0E4DEE08"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11</w:t>
      </w:r>
      <w:r w:rsidRPr="00507A31">
        <w:rPr>
          <w:color w:val="000000" w:themeColor="text1"/>
          <w:sz w:val="16"/>
          <w:szCs w:val="16"/>
        </w:rPr>
        <w:t>* Помета И. В. Сталина: «То-то».</w:t>
      </w:r>
    </w:p>
    <w:p w14:paraId="5EB16DC4"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12</w:t>
      </w:r>
      <w:r w:rsidRPr="00507A31">
        <w:rPr>
          <w:color w:val="000000" w:themeColor="text1"/>
          <w:sz w:val="16"/>
          <w:szCs w:val="16"/>
        </w:rPr>
        <w:t>* Помета И. В. Сталина: «Механический подход».</w:t>
      </w:r>
    </w:p>
    <w:p w14:paraId="57CCCF45"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13</w:t>
      </w:r>
      <w:r w:rsidRPr="00507A31">
        <w:rPr>
          <w:color w:val="000000" w:themeColor="text1"/>
          <w:sz w:val="16"/>
          <w:szCs w:val="16"/>
        </w:rPr>
        <w:t>* Помета И. В. Сталина: «Поехал...».</w:t>
      </w:r>
    </w:p>
    <w:p w14:paraId="67386673"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14</w:t>
      </w:r>
      <w:r w:rsidRPr="00507A31">
        <w:rPr>
          <w:color w:val="000000" w:themeColor="text1"/>
          <w:sz w:val="16"/>
          <w:szCs w:val="16"/>
        </w:rPr>
        <w:t>* На полях помета И. В. Сталина: «Видимо, лавры т. Ларина не дают спать т. Тухачевскому. Жаль...».</w:t>
      </w:r>
    </w:p>
    <w:p w14:paraId="79BF488E"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РГАСПИ. Ф. 558. Оп. 11. Д. 447. Л. 33—44. Заверенная копия.</w:t>
      </w:r>
    </w:p>
    <w:p w14:paraId="3A4F5650" w14:textId="77777777" w:rsidR="007B38B8" w:rsidRPr="00507A31" w:rsidRDefault="007B38B8" w:rsidP="00507A31">
      <w:pPr>
        <w:jc w:val="both"/>
        <w:rPr>
          <w:color w:val="000000" w:themeColor="text1"/>
          <w:sz w:val="16"/>
          <w:szCs w:val="16"/>
        </w:rPr>
      </w:pPr>
      <w:r w:rsidRPr="00507A31">
        <w:rPr>
          <w:color w:val="000000" w:themeColor="text1"/>
          <w:sz w:val="16"/>
          <w:szCs w:val="16"/>
        </w:rPr>
        <w:t xml:space="preserve">Архив: РГАСПИ. Ф. 558. Оп. 11. Д. 447. Л. 33—44. Заверенная копия. </w:t>
      </w:r>
    </w:p>
    <w:p w14:paraId="10AF161B" w14:textId="77777777" w:rsidR="007B38B8" w:rsidRPr="00507A31" w:rsidRDefault="007B38B8"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402-409 (12487).</w:t>
      </w:r>
    </w:p>
    <w:p w14:paraId="27EFB186" w14:textId="77777777" w:rsidR="007B38B8" w:rsidRPr="00507A31" w:rsidRDefault="007B38B8" w:rsidP="00507A31">
      <w:pPr>
        <w:jc w:val="both"/>
        <w:rPr>
          <w:color w:val="000000" w:themeColor="text1"/>
          <w:sz w:val="16"/>
          <w:szCs w:val="16"/>
        </w:rPr>
      </w:pPr>
    </w:p>
    <w:p w14:paraId="73891815" w14:textId="77777777" w:rsidR="00530EF1" w:rsidRPr="00507A31" w:rsidRDefault="00530EF1" w:rsidP="00507A31">
      <w:pPr>
        <w:jc w:val="both"/>
        <w:rPr>
          <w:color w:val="0070C0"/>
          <w:sz w:val="16"/>
          <w:szCs w:val="16"/>
        </w:rPr>
      </w:pPr>
      <w:r w:rsidRPr="00507A31">
        <w:rPr>
          <w:color w:val="0070C0"/>
          <w:sz w:val="16"/>
          <w:szCs w:val="16"/>
        </w:rPr>
        <w:t>11 января 1930 г. М.Н. Тухачевский направил наркому по военным и морским делам К.Е. Ворошилову «Записку о реконструкции РККА», вызвавшую нешуточный скандал в среде высшего военно-политического руководства. Автор «Записки» предлагал радикально пересмотреть план строительства вооруженных сил СССР, опираясь на планируемые показатели промышленного развития первой пятилетки. Командующий войсками Ленинградского военного округа, недавно сосланный на эту должность с поста начальника Штаба РККА, считал необходимым кардинально увеличить размеры мобилизуемой с началом войны армии со 140 дивизий до 260, вместо 3500 самолетов – 40 тыс., вместо 4000–5000 танков – 50 тыс.</w:t>
      </w:r>
    </w:p>
    <w:p w14:paraId="6D6DE5C5" w14:textId="77777777" w:rsidR="00530EF1" w:rsidRPr="00507A31" w:rsidRDefault="00530EF1" w:rsidP="00507A31">
      <w:pPr>
        <w:jc w:val="both"/>
        <w:rPr>
          <w:color w:val="0070C0"/>
          <w:sz w:val="16"/>
          <w:szCs w:val="16"/>
        </w:rPr>
      </w:pPr>
      <w:r w:rsidRPr="00507A31">
        <w:rPr>
          <w:color w:val="0070C0"/>
          <w:sz w:val="16"/>
          <w:szCs w:val="16"/>
        </w:rPr>
        <w:t>Нарком Ворошилов «принял в штыки» идею Тухачевского и, заручившись отрицательным отзывом начальника Штаба РККА Б.М. Шапошникова, обратился к Сталину: «Тухачевский хочет быть оригинальным и… “радикальным”. Плохо, что в К[расной] А[рмии] есть порода людей, которые этот “радикализм” принимают за чистую монету. Очень прошу прочесть оба документа и сказать мне твое мнение» (РГАСПИ. Ф. 558. Оп. 11. Д. 447. Л. 9). Сталин, не колеблясь, принял сторону наркома, обвинив Тухачевского в прожектерстве: «Я думаю, что план т[оварища]. 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 – фантастикой. “Осуществить” такой “план” – значит наверняка загубить и хозяйство страны, и армию. Это было бы хуже всякой контрреволюции» (РГАСПИ. Ф. 558. Оп. 11. Д. 447. Л. 9).</w:t>
      </w:r>
    </w:p>
    <w:p w14:paraId="2C14B86B" w14:textId="77777777" w:rsidR="00530EF1" w:rsidRPr="00507A31" w:rsidRDefault="00530EF1" w:rsidP="00507A31">
      <w:pPr>
        <w:jc w:val="both"/>
        <w:rPr>
          <w:color w:val="0070C0"/>
          <w:sz w:val="16"/>
          <w:szCs w:val="16"/>
        </w:rPr>
      </w:pPr>
    </w:p>
    <w:p w14:paraId="31F3B278" w14:textId="77777777" w:rsidR="00530EF1" w:rsidRPr="00507A31" w:rsidRDefault="00530EF1" w:rsidP="00507A31">
      <w:pPr>
        <w:shd w:val="clear" w:color="auto" w:fill="FFFFFF"/>
        <w:jc w:val="both"/>
        <w:rPr>
          <w:color w:val="0070C0"/>
          <w:sz w:val="16"/>
          <w:szCs w:val="16"/>
        </w:rPr>
      </w:pPr>
      <w:r w:rsidRPr="00507A31">
        <w:rPr>
          <w:color w:val="0070C0"/>
          <w:sz w:val="16"/>
          <w:szCs w:val="16"/>
        </w:rPr>
        <w:t>11 января (в начале января) 1930 г. командующий войсками ЛВО Тухачевский развил и детализировал свои идеи в знаменитой записке наркомвоенмору и председателю РВСС, копии которой направлялись начальнику Штаба и начальнику вооружений РККА. Мотивировка записки повторяла приведенное выше заявление в "Войне и революции" (Эта часть записки оказалась единственным ее фрагментом, опубликованным в советское время (БИРЮЗОВ С. Предисловие //ТУХАЧЕВСКИЙ М. Н. Избр. произв. 1964. Т. 10-12).); жанр ее определялся как представление на усмотрение наркома "ряда материалов и соображений", возникших в результате индивидуальной разработки и потому являющихся "лишь планово-ориентировочными". Неясно, в какой степени Тухачевский был осведомлен и содержании июльского постановления Политбюро о состоянии обороны СССР (в записке о нем не упоминается) и о деталях разработки нового мобрасписания и плана строительства РККА. Однако он хорошо осознавал: в начале 1930 г. закладываются основы развития вооруженных сил и военно-экономического комплекса в новом историческом периоде, определяется их место в новой системе координат. Руководство НКВМ и Штаба имело все основания рассматривать инициативу Тухачевского как попытку вмешаться, используя политическую конъюнктуру, в процесс разработки планов на вторyю половину пятилетия (Эта часть записки оказалась единственным ее фрагментом, опубликованным в советское время (БИРЮЗОВ С. Предисловие //ТУХАЧЕВСКИЙ М. Н. Избр. произв. 1964. Т. 10-12).).</w:t>
      </w:r>
    </w:p>
    <w:p w14:paraId="6D127803" w14:textId="77777777" w:rsidR="00530EF1" w:rsidRPr="00507A31" w:rsidRDefault="00530EF1" w:rsidP="00507A31">
      <w:pPr>
        <w:shd w:val="clear" w:color="auto" w:fill="FFFFFF"/>
        <w:jc w:val="both"/>
        <w:rPr>
          <w:color w:val="0070C0"/>
          <w:sz w:val="16"/>
          <w:szCs w:val="16"/>
        </w:rPr>
      </w:pPr>
      <w:r w:rsidRPr="00507A31">
        <w:rPr>
          <w:color w:val="0070C0"/>
          <w:sz w:val="16"/>
          <w:szCs w:val="16"/>
        </w:rPr>
        <w:t>14-страничная записка командующего войсками ЛВО состояла из десяти разделов. После введения (I) и весьма беглого рассмотрения сил вероятных противников (II) Тухачевский определял основные установки реконструкции РККА (III), рассматривал данные ("об основных параметрах хозяйственной пятилетки (IV) и вытекающие из нее возможности развития авиации и бронетанковых сил (V) и увеличения дивизий военного времени (VI), обеспечение их перевозок (VII). Три последних фрагмента записки представляли "краткий организационный итог" предлагаемой реконструкции РККА (VIII), пояснение об оперативно-стратегической доктрине, адекватной новому состоянию армии (глубокая операция) (IX), и небольшое заключение (Записка Командующего войсками ЛВО Тухачевского Народному Комиссару по Военным и Морским Делам Ворошилову (копии Начальнику Штаба РККА, Начальнику Вооружений РККА), 11.01.1930 [неподписанный экземпляр (копия?)] // Там же. Л. 2-8 об. Другой экземпляр этого документа в делах Штаба см.: Там же. Он. 1. Д 170. Л. 11-17 об.).</w:t>
      </w:r>
    </w:p>
    <w:p w14:paraId="789303CC" w14:textId="77777777" w:rsidR="00530EF1" w:rsidRPr="00507A31" w:rsidRDefault="00530EF1" w:rsidP="00507A31">
      <w:pPr>
        <w:shd w:val="clear" w:color="auto" w:fill="FFFFFF"/>
        <w:jc w:val="both"/>
        <w:rPr>
          <w:color w:val="0070C0"/>
          <w:sz w:val="16"/>
          <w:szCs w:val="16"/>
        </w:rPr>
      </w:pPr>
      <w:r w:rsidRPr="00507A31">
        <w:rPr>
          <w:color w:val="0070C0"/>
          <w:sz w:val="16"/>
          <w:szCs w:val="16"/>
        </w:rPr>
        <w:t>Предложения Тухачевского, как и военно-политическое планирование предшествующего периода, основывались на представлении о западном театре военных действий как главном в будущей войне. Он осторожно расширил состав вероятных противников, указав, что его записка "ориентируется главным образом на наших западных соседей и крупных империалистов Европы, могущих встать за их спиной" Тухачевский оговаривался, что участие последних мыслится им как помощь лимитрофам. Тем не менее приведенное выражение вызвало вопросительные пометы начальника Штаба. Действительно, формула Тухачевского вела к расширению круга потенциальных противников за счет великих держав, что влекло за собой (или оправдывало) требование неотложной реконструкции РККА, невзирая на то, что "наш индустриальный рост оставляет далеко позади за собой уровень соседних с нами стран".</w:t>
      </w:r>
    </w:p>
    <w:p w14:paraId="3B059AED" w14:textId="77777777" w:rsidR="00530EF1" w:rsidRPr="00507A31" w:rsidRDefault="00530EF1" w:rsidP="00507A31">
      <w:pPr>
        <w:shd w:val="clear" w:color="auto" w:fill="FFFFFF"/>
        <w:jc w:val="both"/>
        <w:rPr>
          <w:color w:val="0070C0"/>
          <w:sz w:val="16"/>
          <w:szCs w:val="16"/>
        </w:rPr>
      </w:pPr>
      <w:r w:rsidRPr="00507A31">
        <w:rPr>
          <w:color w:val="0070C0"/>
          <w:sz w:val="16"/>
          <w:szCs w:val="16"/>
        </w:rPr>
        <w:t>С другой стороны, утверждал Тухачевский, "наши ресурсы в связи с успешным осуществлением пятилетки позволяют а) развить массовые размеры армии; б) увеличить ее подвижность; в) повысить ее наступательные возможности". Это утверждение комвойсками подкреплял, цитируя (прописными буквами) Ф. Энгельса: "Как и подвижность, масса наступательных средств составляет необходимый результат высшей ступени цивилизации". Увеличение массовости включало прежде всего увеличение численности личного состава РККА мирного и военного времени, в особенности благодаря коллективизации, которая "позволяет шире подойти к территориально-милиционным методам строительства". Ссылаясь на "машинизацию сельского хозяйства", эти методы Тухачевский предлагал распространить со стрелковых и кавалерийских частей на "технические войска". В записке не содержалось прямых указаний на параметры армии мирного времени, очевидно, вследствие того, что они должны были определяться решениями по силам, подлежащим развертыванию в первом периоде войны.</w:t>
      </w:r>
    </w:p>
    <w:p w14:paraId="61154CA3" w14:textId="77777777" w:rsidR="00530EF1" w:rsidRPr="00507A31" w:rsidRDefault="00530EF1" w:rsidP="00507A31">
      <w:pPr>
        <w:shd w:val="clear" w:color="auto" w:fill="FFFFFF"/>
        <w:jc w:val="both"/>
        <w:rPr>
          <w:color w:val="0070C0"/>
          <w:sz w:val="16"/>
          <w:szCs w:val="16"/>
        </w:rPr>
      </w:pPr>
      <w:r w:rsidRPr="00507A31">
        <w:rPr>
          <w:color w:val="0070C0"/>
          <w:sz w:val="16"/>
          <w:szCs w:val="16"/>
        </w:rPr>
        <w:t>Тезис о том, что колхозное строительство приведет к "резкому улучшению качеств" человеческого материала и повысит "быстроту развертывания армии", получил в те месяцы широкое хождение (См., в частности: Гаевский Д Колхозное строительство в системе обороны СССР // Война и революция. 1930. Кн. 3. С. 38-39). Примечательно, однако, не только усвоение его бывшим начальником Штаба РККА, но и доведение до своеобразного логического вывода о совмещении быстрого технического перевооружения вооруженных сил с расширением территориально-милиционной системы их комплектования. Такая установка, очевидно, шла вразрез с требованиями боевой эффективности и повышения мобилизационной готовности ударных сил РККА. На территориально-милиционных принципах, указывал нарком Фрунзе в 1925 г., "мы строим главным образом нашу пехоту и затем артиллерию. Что касается специальных войск, то в основной своей массе на этих основах они строиться не могут" (Замечания Председателя РВС СССР Фрунзе на проект записки Начальника ГУ РККА о территориальных формированиях, 1908.1925 (К истории территориально-милиционного строительства в Красной Армии //ВИЖ. 1960.№ 11.С92)). Профессиональный анализ перспектив постепенного насыщения РККА танковыми, авиационными и артиллерийскими средствами, применения более совершенной аппаратуры наведения, связи и т. д. демонстрировал, что "от подготовки "специальных родов'' войск зависят "производительность" современных боевых машин, и боевой эффект материальных ресурсов, которые выделяет страна на ведение войны, и в значительной степени успех боевых действий армии. Поэтому центр тяжести боевой подготовки должен быть сосредоточен на подготовке специальных и технических родов войск". С другой стороны, заявляли руководители IV Управления Штаба IККА, "наша территориальная система в ее теперешнем виде не обеспечивает удовлетворительной подготовки "специалистов" (начиная с пулеметчиков) ни с качественной, ни с количественной стороны. В течение 8 месяцев (по закону), растянутых на 5 лет, в наших условиях нельзя удовлетворительно подготовить современных пулеметчика, артиллериста, связиста и т. д. &lt;...&gt; В количественном отношении мы не обеспечены не только минимальным запасом "специалистов" для пополнения убыли действующей армии в первый период войны, но их не хватает для укомплектовался мобилизуемой армии... В связи этим перед нами уже сейчас стоит вопрос о пересмотре пашей системы военной подготовки людского состава". К тому же "проблема подготовки младшего командного состава у нас также разрешена малоудовлетворительно". Поэтому, доказывали начальник IV Управления Берзин и начальник его III отдела Никонов, следует перевести на положение кадровых все технические и специальные части (как входящие в дивизии, так и вне их) и ввести для них сокращенный срок служб (12-18 месяцев вместо 24). Лишь пехоту можно было бы иметь на основах существующей терсистемы" (Доклад IV Управления Штаба РККА "Военная подготовка против СССР и основные вопросы усиления обороны", октябрь 1928 // Там же. Л. 67-68 (большая часть цитируемого текста в оригинале имеет авторское подчеркивание)) (22725).</w:t>
      </w:r>
    </w:p>
    <w:p w14:paraId="092A018E" w14:textId="77777777" w:rsidR="00530EF1" w:rsidRPr="00507A31" w:rsidRDefault="00530EF1" w:rsidP="00507A31">
      <w:pPr>
        <w:jc w:val="both"/>
        <w:rPr>
          <w:color w:val="0070C0"/>
          <w:sz w:val="16"/>
          <w:szCs w:val="16"/>
        </w:rPr>
      </w:pPr>
    </w:p>
    <w:p w14:paraId="317A1F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января 1930 г. был подготовлен ПРОТОКОЛ ЗАСЕДАНИЯ НТК УММ ПО ВОПРОСУ ОБ ОРГАНИЗАЦИИ НАУЧНО-ИСПЫТАТЕЛЬНОГО ПОЛИГОНА</w:t>
      </w:r>
    </w:p>
    <w:p w14:paraId="35171F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531AC6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Присутствовали:</w:t>
      </w:r>
    </w:p>
    <w:p w14:paraId="453221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 Калиновский т. Бокис т. Озеров т. Шатагин т. Брусянцев т. Мизонов т. Тоскин т. Сквирский т. Топилов т. Свиридов</w:t>
      </w:r>
    </w:p>
    <w:p w14:paraId="2F36C5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начальника УММ РККА Начальник 2 управления УММ Врид. председателя НТК УММ Начальник НИИТ Полигона ВТУ Пом. начальника 2 отдела 2 управления Пом. начальника 1 отдела Председатель 4 секции НТК Член 2 секции НТК Начальник 1 отдела 2 Председатель 2 секции НТК</w:t>
      </w:r>
    </w:p>
    <w:p w14:paraId="633AFC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Докладчик, т. Шатагин, зачитывает основные требования, которые, по его мнению, нужно предъявлять к участкам, предназначаемым под Полигон.</w:t>
      </w:r>
    </w:p>
    <w:p w14:paraId="68E72E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Озеров — Какие основные задачи Полигона?. Какой характер и с какой полнотой будут производиться испытания образцов?</w:t>
      </w:r>
    </w:p>
    <w:p w14:paraId="07EE79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Тов. Калиновский - Назначение Полигона? Организация и проведение систематических испы</w:t>
      </w:r>
      <w:r w:rsidRPr="00507A31">
        <w:rPr>
          <w:color w:val="000000" w:themeColor="text1"/>
          <w:sz w:val="16"/>
          <w:szCs w:val="16"/>
        </w:rPr>
        <w:softHyphen/>
        <w:t>таний как над опытными образцами, так и над образцами, принятыми на вооружение, с целью уста</w:t>
      </w:r>
      <w:r w:rsidRPr="00507A31">
        <w:rPr>
          <w:color w:val="000000" w:themeColor="text1"/>
          <w:sz w:val="16"/>
          <w:szCs w:val="16"/>
        </w:rPr>
        <w:softHyphen/>
        <w:t>новления их технической и тактической пригодности, определении норм и коэффициентов, харак</w:t>
      </w:r>
      <w:r w:rsidRPr="00507A31">
        <w:rPr>
          <w:color w:val="000000" w:themeColor="text1"/>
          <w:sz w:val="16"/>
          <w:szCs w:val="16"/>
        </w:rPr>
        <w:softHyphen/>
        <w:t>теризующих их как определенные типы, изучения вопросов стандартизации и единообразия и т.д.</w:t>
      </w:r>
    </w:p>
    <w:p w14:paraId="62A7B2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Далее т. Калиновский считает необходимым организацию на полигоне: а) стрельбища, б) автотан</w:t>
      </w:r>
      <w:r w:rsidRPr="00507A31">
        <w:rPr>
          <w:color w:val="000000" w:themeColor="text1"/>
          <w:sz w:val="16"/>
          <w:szCs w:val="16"/>
        </w:rPr>
        <w:softHyphen/>
        <w:t>кодрома, в) учебного поля, г) испытательной станции; лабораторий: механической, вооружения, бро</w:t>
      </w:r>
      <w:r w:rsidRPr="00507A31">
        <w:rPr>
          <w:color w:val="000000" w:themeColor="text1"/>
          <w:sz w:val="16"/>
          <w:szCs w:val="16"/>
        </w:rPr>
        <w:softHyphen/>
        <w:t>нирования, химической, инженерной.</w:t>
      </w:r>
    </w:p>
    <w:p w14:paraId="567EA2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Калиновский считает необходимым установление непосредственной территориальной свя</w:t>
      </w:r>
      <w:r w:rsidRPr="00507A31">
        <w:rPr>
          <w:color w:val="000000" w:themeColor="text1"/>
          <w:sz w:val="16"/>
          <w:szCs w:val="16"/>
        </w:rPr>
        <w:softHyphen/>
        <w:t>зи механической бригады с Полигоном.</w:t>
      </w:r>
    </w:p>
    <w:p w14:paraId="5338EB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Ввиду важности и срочности работ, необходимо в ближайшие же дни подготовить все данные, касающиеся: места, плана работ и сметы по Полигону для оформления их и доклада Наркому. ;</w:t>
      </w:r>
    </w:p>
    <w:p w14:paraId="499FAF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Озеров считает необходимым приближение Полигона (территориально), как к организациям, руководящим работой Полигона, так и к производственным базам, вырабатывающим образцы, подлежащие испытанию на Полигоне.</w:t>
      </w:r>
    </w:p>
    <w:p w14:paraId="0E2C86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Обслуживание и испытание бронепоездов [на Полигоне] считать нецелесообразным. В настоящее время не связывать этот вопрос с вновь строящимся полигоном и пока считать его открытым.</w:t>
      </w:r>
    </w:p>
    <w:p w14:paraId="5D37F0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Калиновский — производственные базы разбросаны по всему Союзу. Ничего страшного, если некоторые перевозки образцов будут иметь место, - это и неизбежно; поэтому размещение полигона в районе Московского округа считаю возможным.</w:t>
      </w:r>
    </w:p>
    <w:p w14:paraId="460860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Шатагин. Назначение полигона: тактико-технические испытания всех средств УММ.</w:t>
      </w:r>
    </w:p>
    <w:p w14:paraId="4A6530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Научно-исследовательской работой полигону следует заниматься лишь в том случае, если эту работу не могут выполнить специальные научные учреждения.</w:t>
      </w:r>
    </w:p>
    <w:p w14:paraId="270CA1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Озеров — Участки для полигона следует выбирать с тем, чтобы была обеспечена возмож-д ность стрельбы из танка без риска попадания за границу полигона.</w:t>
      </w:r>
    </w:p>
    <w:p w14:paraId="2A98A9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Шатагин перечисляет все участки, расположенные в районе Московского округа, которые, по его мнению, могут быть использованы под полигон:</w:t>
      </w:r>
    </w:p>
    <w:p w14:paraId="3DB934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Район Коломны заслуживает особенного внимания. Участок, могущий быть использованным! под полигон (30 х 22 км), имеет лес, луга, болота — расположен вблизи от производственной базы, а следовательно, и от квалифицированной рабочей силы. На указанном участке расположены в насто</w:t>
      </w:r>
      <w:r w:rsidRPr="00507A31">
        <w:rPr>
          <w:color w:val="000000" w:themeColor="text1"/>
          <w:sz w:val="16"/>
          <w:szCs w:val="16"/>
        </w:rPr>
        <w:softHyphen/>
        <w:t>ящее время две деревни, которые придется снести.</w:t>
      </w:r>
    </w:p>
    <w:p w14:paraId="05262C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Район Богородска - Ямская дача (30 х 10 км.). Крупный рабочий центр, много железнодорож</w:t>
      </w:r>
      <w:r w:rsidRPr="00507A31">
        <w:rPr>
          <w:color w:val="000000" w:themeColor="text1"/>
          <w:sz w:val="16"/>
          <w:szCs w:val="16"/>
        </w:rPr>
        <w:softHyphen/>
        <w:t>ных линий, 2 шоссе (все дороги на периферии), река Клязьма (здесь многоводна), грунты всех видов. Железнодорожная магистраль пересекает участок, предназначаемый под полигон, пополам. Для ис-. пользования данного участка придется делать вырубку леса.</w:t>
      </w:r>
    </w:p>
    <w:p w14:paraId="2477EE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Район Сергиево — огромные корпуса (300000 м), значительные водные пространства (озера - Проклит и Тобольское); место лесистое, высокое, сухое. Монастыри заняты колонией инвалидов им. Каляева и детской колонией, которые могут быть переведены в Сергиево. Для использования данного участка придется снести 250 дворов. Ориентировочная стоимость очистки 500000 рублей. Пролетариата нет, рабочей силы мало.</w:t>
      </w:r>
    </w:p>
    <w:p w14:paraId="27F3DF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Константиновское село. Электромагистрали нет.</w:t>
      </w:r>
    </w:p>
    <w:p w14:paraId="51DAEA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Район Переяславского озера. Оторван от железной дороги примерно на 30 км. Пролетариата поч</w:t>
      </w:r>
      <w:r w:rsidRPr="00507A31">
        <w:rPr>
          <w:color w:val="000000" w:themeColor="text1"/>
          <w:sz w:val="16"/>
          <w:szCs w:val="16"/>
        </w:rPr>
        <w:softHyphen/>
        <w:t>ти нет. Район слабо заселен. Большое озеро площадью в 20 км</w:t>
      </w:r>
      <w:r w:rsidRPr="00507A31">
        <w:rPr>
          <w:color w:val="000000" w:themeColor="text1"/>
          <w:sz w:val="16"/>
          <w:szCs w:val="16"/>
          <w:vertAlign w:val="superscript"/>
        </w:rPr>
        <w:t>2</w:t>
      </w:r>
      <w:r w:rsidRPr="00507A31">
        <w:rPr>
          <w:color w:val="000000" w:themeColor="text1"/>
          <w:sz w:val="16"/>
          <w:szCs w:val="16"/>
        </w:rPr>
        <w:t>.</w:t>
      </w:r>
    </w:p>
    <w:p w14:paraId="56658A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Остальные участки не представляют интереса.</w:t>
      </w:r>
    </w:p>
    <w:p w14:paraId="1071CC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Озеров — Не интересовались ли участками в районе Дмитровского шоссе, представляю</w:t>
      </w:r>
      <w:r w:rsidRPr="00507A31">
        <w:rPr>
          <w:color w:val="000000" w:themeColor="text1"/>
          <w:sz w:val="16"/>
          <w:szCs w:val="16"/>
        </w:rPr>
        <w:softHyphen/>
        <w:t>щем интерес, так как местность там очень пересеченная, рельеф и состав грунтов очень интересен для тяговых испытаний.</w:t>
      </w:r>
    </w:p>
    <w:p w14:paraId="78D0EE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Шатагин — Район Дмитровского шоссе мною не обследован.</w:t>
      </w:r>
    </w:p>
    <w:p w14:paraId="025C9A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исчерпывающие материалы по Коломенскому участку имеются в МВО; материалы по ос</w:t>
      </w:r>
      <w:r w:rsidRPr="00507A31">
        <w:rPr>
          <w:color w:val="000000" w:themeColor="text1"/>
          <w:sz w:val="16"/>
          <w:szCs w:val="16"/>
        </w:rPr>
        <w:softHyphen/>
        <w:t>тальным участкам имеются в ВСУ.</w:t>
      </w:r>
    </w:p>
    <w:p w14:paraId="35A87C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Калиновский — Считать необходимым произвести разведку по Сергиевскому и Богород</w:t>
      </w:r>
      <w:r w:rsidRPr="00507A31">
        <w:rPr>
          <w:color w:val="000000" w:themeColor="text1"/>
          <w:sz w:val="16"/>
          <w:szCs w:val="16"/>
        </w:rPr>
        <w:softHyphen/>
        <w:t>скому районам; по Коломенскому участку получить все материалы от МВО.</w:t>
      </w:r>
    </w:p>
    <w:p w14:paraId="1BC2FD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Исходя из характера работ Полигона, выработать требования и организацию Полигона к 20 ян</w:t>
      </w:r>
      <w:r w:rsidRPr="00507A31">
        <w:rPr>
          <w:color w:val="000000" w:themeColor="text1"/>
          <w:sz w:val="16"/>
          <w:szCs w:val="16"/>
        </w:rPr>
        <w:softHyphen/>
        <w:t>варя сего года.</w:t>
      </w:r>
    </w:p>
    <w:p w14:paraId="2284A2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Шатагин — Считать необходимым назначить начальника Полигона, освободив его от всех обязанностей с тем, чтобы все работы, связанные с Полигоном, проходили под его непосредствен</w:t>
      </w:r>
      <w:r w:rsidRPr="00507A31">
        <w:rPr>
          <w:color w:val="000000" w:themeColor="text1"/>
          <w:sz w:val="16"/>
          <w:szCs w:val="16"/>
        </w:rPr>
        <w:softHyphen/>
        <w:t>ным руководством.</w:t>
      </w:r>
    </w:p>
    <w:p w14:paraId="555C96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Постановили:</w:t>
      </w:r>
    </w:p>
    <w:p w14:paraId="5C0384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Проработку требований и организацию Полигона поручить НТК УММ, привлекая к данной работе 1 и 2 отделы УММ. Проработку всех данных НТК закончить не позднее 20 января сего года.</w:t>
      </w:r>
    </w:p>
    <w:p w14:paraId="0E02D9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Просить т. Шатагина давать консультацию по всем вопросам, связанным как с поиском наи</w:t>
      </w:r>
      <w:r w:rsidRPr="00507A31">
        <w:rPr>
          <w:color w:val="000000" w:themeColor="text1"/>
          <w:sz w:val="16"/>
          <w:szCs w:val="16"/>
        </w:rPr>
        <w:softHyphen/>
        <w:t>более благоприятного участка под полигон, так и по вопросам организации такового.</w:t>
      </w:r>
    </w:p>
    <w:p w14:paraId="1E6BFB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Калиновский</w:t>
      </w:r>
    </w:p>
    <w:p w14:paraId="2F9860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Секретарь Сквирский</w:t>
      </w:r>
    </w:p>
    <w:p w14:paraId="03B277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РГВАФ. 31811. Оп. 1. Д. 195. Л. 65. Подлинник (11210).</w:t>
      </w:r>
    </w:p>
    <w:p w14:paraId="708D55AE" w14:textId="77777777" w:rsidR="00537E5F" w:rsidRPr="00507A31" w:rsidRDefault="00537E5F" w:rsidP="00507A31">
      <w:pPr>
        <w:autoSpaceDE w:val="0"/>
        <w:autoSpaceDN w:val="0"/>
        <w:adjustRightInd w:val="0"/>
        <w:jc w:val="both"/>
        <w:rPr>
          <w:color w:val="000000" w:themeColor="text1"/>
          <w:sz w:val="16"/>
          <w:szCs w:val="16"/>
        </w:rPr>
      </w:pPr>
    </w:p>
    <w:p w14:paraId="791CE4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января 1930 М.Н.Тухачевский в докладе о реорганизации ВС рекомендовал увеличить количество дивизий, продолжить развитие артиллерии, авиации и танковых войск (356,331).</w:t>
      </w:r>
    </w:p>
    <w:p w14:paraId="6463D480" w14:textId="77777777" w:rsidR="00537E5F" w:rsidRPr="00507A31" w:rsidRDefault="00537E5F" w:rsidP="00507A31">
      <w:pPr>
        <w:autoSpaceDE w:val="0"/>
        <w:autoSpaceDN w:val="0"/>
        <w:adjustRightInd w:val="0"/>
        <w:jc w:val="both"/>
        <w:rPr>
          <w:color w:val="000000" w:themeColor="text1"/>
          <w:sz w:val="16"/>
          <w:szCs w:val="16"/>
        </w:rPr>
      </w:pPr>
    </w:p>
    <w:p w14:paraId="64DC20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января 1930 года командующий войсками Ленинградского военного округа М.Н. Тухачевский обратился к наркому по военным и морским делам и начальнику вооружений РККА с запиской, в соответствии с которой в Красной Армии мирного времени предлагалось иметь 260 стрелковых и кавалерийских дивизий, 50 дивизий артиллерийского РГК, не считая тяжелой и минометов, 225 пулеметных батальонов, 40000 самолетов и 50000 танков. По приказанию К.Е. Ворошилова проект Тухачевского был рассмотрен Штабом РККА. В заключении, подготовленном Б.М. Шапошниковым, говорилось, что “экономический рост нашего Союза и наличие отработанного запаса не дают пока, по моему мнению, возможностей реализовать запроектированную армию в 245 стрелковых дивизий” (11867).</w:t>
      </w:r>
    </w:p>
    <w:p w14:paraId="6BC91522" w14:textId="77777777" w:rsidR="00537E5F" w:rsidRPr="00507A31" w:rsidRDefault="00537E5F" w:rsidP="00507A31">
      <w:pPr>
        <w:autoSpaceDE w:val="0"/>
        <w:autoSpaceDN w:val="0"/>
        <w:adjustRightInd w:val="0"/>
        <w:jc w:val="both"/>
        <w:rPr>
          <w:color w:val="000000" w:themeColor="text1"/>
          <w:sz w:val="16"/>
          <w:szCs w:val="16"/>
        </w:rPr>
      </w:pPr>
    </w:p>
    <w:p w14:paraId="1C3CAB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января 1930 года Тухачевский представил Наркомвоенмору доклад о реорганизации Красной Армии, в котором писал: «Успехи на</w:t>
      </w:r>
      <w:r w:rsidRPr="00507A31">
        <w:rPr>
          <w:color w:val="000000" w:themeColor="text1"/>
          <w:sz w:val="16"/>
          <w:szCs w:val="16"/>
        </w:rPr>
        <w:softHyphen/>
        <w:t>шего социалистического строительства... ставят перед нами во весь рост задачу реконструкции Красной Армии на основе учета всех новейших факторов техники и возможности массового военно-технического произ</w:t>
      </w:r>
      <w:r w:rsidRPr="00507A31">
        <w:rPr>
          <w:color w:val="000000" w:themeColor="text1"/>
          <w:sz w:val="16"/>
          <w:szCs w:val="16"/>
        </w:rPr>
        <w:softHyphen/>
        <w:t>водства, а также сдвигов, происшедших в деревне... Количественный и качественный рост различных родов войск вызывает новые пропорции, новые структурные изменения... Реконструированная армия вызывет и новые формы оперативного искусства».</w:t>
      </w:r>
    </w:p>
    <w:p w14:paraId="5E8526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Главным в этом докладе являлось предложение об увеличении коли</w:t>
      </w:r>
      <w:r w:rsidRPr="00507A31">
        <w:rPr>
          <w:color w:val="000000" w:themeColor="text1"/>
          <w:sz w:val="16"/>
          <w:szCs w:val="16"/>
        </w:rPr>
        <w:softHyphen/>
        <w:t>чества дивизий, о развитии артиллерии, авиации и танковых войск.</w:t>
      </w:r>
    </w:p>
    <w:p w14:paraId="35325C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Постановка этих вопросов Тухачевским была правильной, но ни о ка</w:t>
      </w:r>
      <w:r w:rsidRPr="00507A31">
        <w:rPr>
          <w:color w:val="000000" w:themeColor="text1"/>
          <w:sz w:val="16"/>
          <w:szCs w:val="16"/>
        </w:rPr>
        <w:softHyphen/>
        <w:t>ком увеличении артиллерии, авиации и танков до тех количеств, о кото</w:t>
      </w:r>
      <w:r w:rsidRPr="00507A31">
        <w:rPr>
          <w:color w:val="000000" w:themeColor="text1"/>
          <w:sz w:val="16"/>
          <w:szCs w:val="16"/>
        </w:rPr>
        <w:softHyphen/>
        <w:t>рых мечтал он, в это время не могло быть и речи.</w:t>
      </w:r>
    </w:p>
    <w:p w14:paraId="6800AE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Поэтому эти предложения не были поддержаны ни Сталиным, ни Ворошиловым, ни Штабом РККА. В заключении Сталина, к которому присоединились не только Ворошилов, но и Штаб РККА, утверждалось, что принятие этой программы повело бы к ликвидации социалистичес</w:t>
      </w:r>
      <w:r w:rsidRPr="00507A31">
        <w:rPr>
          <w:color w:val="000000" w:themeColor="text1"/>
          <w:sz w:val="16"/>
          <w:szCs w:val="16"/>
        </w:rPr>
        <w:softHyphen/>
        <w:t>кого строительства и к замене его какой-то своеобразной системой «крас</w:t>
      </w:r>
      <w:r w:rsidRPr="00507A31">
        <w:rPr>
          <w:color w:val="000000" w:themeColor="text1"/>
          <w:sz w:val="16"/>
          <w:szCs w:val="16"/>
        </w:rPr>
        <w:softHyphen/>
        <w:t>ного милитаризма».</w:t>
      </w:r>
    </w:p>
    <w:p w14:paraId="7D3C65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Безусловно, никакой «разумной достаточности вооружений в целях обороны страны», о которой мы говорим сегодня, в предложениях Туха</w:t>
      </w:r>
      <w:r w:rsidRPr="00507A31">
        <w:rPr>
          <w:color w:val="000000" w:themeColor="text1"/>
          <w:sz w:val="16"/>
          <w:szCs w:val="16"/>
        </w:rPr>
        <w:softHyphen/>
        <w:t>чевского не было. Уже тогда в Западной печати утверждалось, что Туханевский обладает «бонапартистским комплексом», а позже его в запад</w:t>
      </w:r>
      <w:r w:rsidRPr="00507A31">
        <w:rPr>
          <w:color w:val="000000" w:themeColor="text1"/>
          <w:sz w:val="16"/>
          <w:szCs w:val="16"/>
        </w:rPr>
        <w:softHyphen/>
        <w:t>ной печати назовут «Красным Наполеоном».</w:t>
      </w:r>
    </w:p>
    <w:p w14:paraId="111734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Заключение Сталина по предложениям Тухачевского, Ворошилов объя</w:t>
      </w:r>
      <w:r w:rsidRPr="00507A31">
        <w:rPr>
          <w:color w:val="000000" w:themeColor="text1"/>
          <w:sz w:val="16"/>
          <w:szCs w:val="16"/>
        </w:rPr>
        <w:softHyphen/>
        <w:t>вил на расширенном заседании Реввоенсовета Республики. После этого Тухачевский неоднократно обращался к Сталину с просьбой снова рас</w:t>
      </w:r>
      <w:r w:rsidRPr="00507A31">
        <w:rPr>
          <w:color w:val="000000" w:themeColor="text1"/>
          <w:sz w:val="16"/>
          <w:szCs w:val="16"/>
        </w:rPr>
        <w:softHyphen/>
        <w:t>смотреть его предложения о реконструкции РККА. При этом он подчер</w:t>
      </w:r>
      <w:r w:rsidRPr="00507A31">
        <w:rPr>
          <w:color w:val="000000" w:themeColor="text1"/>
          <w:sz w:val="16"/>
          <w:szCs w:val="16"/>
        </w:rPr>
        <w:softHyphen/>
        <w:t>кивал, что Советскому Союзу нужно не только выиграть будущую войну, но при этом сохранить свою экономическую мощь, не подорвать достиг</w:t>
      </w:r>
      <w:r w:rsidRPr="00507A31">
        <w:rPr>
          <w:color w:val="000000" w:themeColor="text1"/>
          <w:sz w:val="16"/>
          <w:szCs w:val="16"/>
        </w:rPr>
        <w:softHyphen/>
        <w:t>нутых успехов в строительстве социализма. Все это было верно, но ...</w:t>
      </w:r>
    </w:p>
    <w:p w14:paraId="424A2C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Техническое перевооружение армии требовало от страны огромных материальных средств, которых ей остро недоставало. А этого, видимо, будущий маршал не понимал.</w:t>
      </w:r>
    </w:p>
    <w:p w14:paraId="32A380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Безусловно, при таком состоянии индустриализации страны, в кото</w:t>
      </w:r>
      <w:r w:rsidRPr="00507A31">
        <w:rPr>
          <w:color w:val="000000" w:themeColor="text1"/>
          <w:sz w:val="16"/>
          <w:szCs w:val="16"/>
        </w:rPr>
        <w:softHyphen/>
        <w:t>ром она находилась, такое предложение было не только недостаточно взвешенным и нереалистичным, но скорее утопичным, тем более учиты</w:t>
      </w:r>
      <w:r w:rsidRPr="00507A31">
        <w:rPr>
          <w:color w:val="000000" w:themeColor="text1"/>
          <w:sz w:val="16"/>
          <w:szCs w:val="16"/>
        </w:rPr>
        <w:softHyphen/>
        <w:t>вая и предложенный срок для осуществления этой программы (11504).</w:t>
      </w:r>
    </w:p>
    <w:p w14:paraId="458CCF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612B2AF" w14:textId="77777777" w:rsidR="00C04FDD" w:rsidRPr="00507A31" w:rsidRDefault="00C04FDD"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января 1930 г. — Докладная записка Реввоенсовета СССР в РЗ СТО СССР об установлении расчетных цен за производимую продукцию</w:t>
      </w:r>
    </w:p>
    <w:p w14:paraId="565DC4C1" w14:textId="77777777" w:rsidR="007B38B8" w:rsidRPr="00507A31" w:rsidRDefault="007B38B8"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66521081"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На основании постановления СТО СССР от 17 декабря 1924 г. для производства денежных расчетов с госпромышленостью по военным заказам должны устанавливаться твердо бюджетные расчетные цены, безубыточные для промышленности, но под углом наибольшего снижения. Такие цены при согласии сторон окончательно утверждаются или Военно-промышленным управлением, или МПУ ВСНХ. Разногласия по ценам должны устраняться КГЗ, а окончательное разрешение их представляется СТО СССР.</w:t>
      </w:r>
    </w:p>
    <w:p w14:paraId="75501062"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Практика применения такого порядка показала его полную несостоятельность:</w:t>
      </w:r>
    </w:p>
    <w:p w14:paraId="1B91728B"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lastRenderedPageBreak/>
        <w:t>а) крайняя сложность проведения вопросов по ценам никогда не давала возможности окончательно установить эти цены до составления сметы НКВМ, вследствие чего операционные кредиты по этой смете исчислялись обыкновенно по ориентировочным ценам;</w:t>
      </w:r>
    </w:p>
    <w:p w14:paraId="35E40A8D"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б) первой арбитражной инстанцией по вопросам о ценах являются учреждения ВСНХ, которые как ведомственные органы в своих решениях не могут быть объективными.</w:t>
      </w:r>
    </w:p>
    <w:p w14:paraId="087584B7"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На несовершенство такой системы установления цен по военным заказам обратило внимание и СТО СССР, вынесшее 27 декабря 1927 г. решение о привлечении в 1927/28 б[юджетном] году НК РКИ к проверке калькуляций на изделия авиапромышленности²*.</w:t>
      </w:r>
    </w:p>
    <w:p w14:paraId="1F710A84"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В крайне неудовлетворительном состоянии находится также дело по установлению твердо бюджетных расчетных цен на изделия госпромышленности, подлежащие заказу по смете НКВМ на 1929/30 б[юджетный] год:</w:t>
      </w:r>
    </w:p>
    <w:p w14:paraId="4EAD3FF8"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а) большая часть цен на изделия предметов вещевого снабжения к началу работ по составлению проекта сметы НКВМ не была установлена;</w:t>
      </w:r>
    </w:p>
    <w:p w14:paraId="677BFB03"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б) даже до настоящего времени не установлены цены на некоторые предметы — сахар и кожевенные изделия;</w:t>
      </w:r>
    </w:p>
    <w:p w14:paraId="1A598DD7"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в) заявленные промышленностью цены чрезмерно преувеличены, что противоречит директивам партии и правительства о дальнейшем, и при том значительном, снижении в 1929/30 б[юджетном] году себестоимости на продукцию, как например: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36"/>
        <w:gridCol w:w="3230"/>
        <w:gridCol w:w="4056"/>
      </w:tblGrid>
      <w:tr w:rsidR="00A61694" w:rsidRPr="00507A31" w14:paraId="19284F32"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8A32C39" w14:textId="77777777" w:rsidR="007B38B8" w:rsidRPr="00507A31" w:rsidRDefault="007B38B8" w:rsidP="00507A31">
            <w:pPr>
              <w:jc w:val="both"/>
              <w:rPr>
                <w:color w:val="000000" w:themeColor="text1"/>
                <w:sz w:val="16"/>
                <w:szCs w:val="16"/>
              </w:rPr>
            </w:pPr>
            <w:r w:rsidRPr="00507A31">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46C9D" w14:textId="77777777" w:rsidR="007B38B8" w:rsidRPr="00507A31" w:rsidRDefault="007B38B8" w:rsidP="00507A31">
            <w:pPr>
              <w:jc w:val="both"/>
              <w:rPr>
                <w:color w:val="000000" w:themeColor="text1"/>
                <w:sz w:val="16"/>
                <w:szCs w:val="16"/>
              </w:rPr>
            </w:pPr>
            <w:r w:rsidRPr="00507A31">
              <w:rPr>
                <w:color w:val="000000" w:themeColor="text1"/>
                <w:sz w:val="16"/>
                <w:szCs w:val="16"/>
              </w:rPr>
              <w:t>Расчетные цены на 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777B6" w14:textId="77777777" w:rsidR="007B38B8" w:rsidRPr="00507A31" w:rsidRDefault="007B38B8" w:rsidP="00507A31">
            <w:pPr>
              <w:jc w:val="both"/>
              <w:rPr>
                <w:color w:val="000000" w:themeColor="text1"/>
                <w:sz w:val="16"/>
                <w:szCs w:val="16"/>
              </w:rPr>
            </w:pPr>
            <w:r w:rsidRPr="00507A31">
              <w:rPr>
                <w:color w:val="000000" w:themeColor="text1"/>
                <w:sz w:val="16"/>
                <w:szCs w:val="16"/>
              </w:rPr>
              <w:t>Цены промышленности на 1929/30 г.</w:t>
            </w:r>
          </w:p>
        </w:tc>
      </w:tr>
      <w:tr w:rsidR="00A61694" w:rsidRPr="00507A31" w14:paraId="275B0EC9"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A72EEFB" w14:textId="77777777" w:rsidR="007B38B8" w:rsidRPr="00507A31" w:rsidRDefault="007B38B8" w:rsidP="00507A31">
            <w:pPr>
              <w:jc w:val="both"/>
              <w:rPr>
                <w:color w:val="000000" w:themeColor="text1"/>
                <w:sz w:val="16"/>
                <w:szCs w:val="16"/>
              </w:rPr>
            </w:pPr>
            <w:r w:rsidRPr="00507A31">
              <w:rPr>
                <w:color w:val="000000" w:themeColor="text1"/>
                <w:sz w:val="16"/>
                <w:szCs w:val="16"/>
              </w:rPr>
              <w:t>Сахар головной за центнер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6E767" w14:textId="77777777" w:rsidR="007B38B8" w:rsidRPr="00507A31" w:rsidRDefault="007B38B8" w:rsidP="00507A31">
            <w:pPr>
              <w:jc w:val="both"/>
              <w:rPr>
                <w:color w:val="000000" w:themeColor="text1"/>
                <w:sz w:val="16"/>
                <w:szCs w:val="16"/>
              </w:rPr>
            </w:pPr>
            <w:r w:rsidRPr="00507A31">
              <w:rPr>
                <w:color w:val="000000" w:themeColor="text1"/>
                <w:sz w:val="16"/>
                <w:szCs w:val="16"/>
              </w:rPr>
              <w:t>50 руб. 09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83A8D" w14:textId="77777777" w:rsidR="007B38B8" w:rsidRPr="00507A31" w:rsidRDefault="007B38B8" w:rsidP="00507A31">
            <w:pPr>
              <w:jc w:val="both"/>
              <w:rPr>
                <w:color w:val="000000" w:themeColor="text1"/>
                <w:sz w:val="16"/>
                <w:szCs w:val="16"/>
              </w:rPr>
            </w:pPr>
            <w:r w:rsidRPr="00507A31">
              <w:rPr>
                <w:color w:val="000000" w:themeColor="text1"/>
                <w:sz w:val="16"/>
                <w:szCs w:val="16"/>
              </w:rPr>
              <w:t>59 руб.</w:t>
            </w:r>
          </w:p>
        </w:tc>
      </w:tr>
      <w:tr w:rsidR="00A61694" w:rsidRPr="00507A31" w14:paraId="265EC25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B530D82" w14:textId="77777777" w:rsidR="007B38B8" w:rsidRPr="00507A31" w:rsidRDefault="007B38B8" w:rsidP="00507A31">
            <w:pPr>
              <w:jc w:val="both"/>
              <w:rPr>
                <w:color w:val="000000" w:themeColor="text1"/>
                <w:sz w:val="16"/>
                <w:szCs w:val="16"/>
              </w:rPr>
            </w:pPr>
            <w:r w:rsidRPr="00507A31">
              <w:rPr>
                <w:color w:val="000000" w:themeColor="text1"/>
                <w:sz w:val="16"/>
                <w:szCs w:val="16"/>
              </w:rPr>
              <w:t>Танки 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A21EB" w14:textId="77777777" w:rsidR="007B38B8" w:rsidRPr="00507A31" w:rsidRDefault="007B38B8" w:rsidP="00507A31">
            <w:pPr>
              <w:jc w:val="both"/>
              <w:rPr>
                <w:color w:val="000000" w:themeColor="text1"/>
                <w:sz w:val="16"/>
                <w:szCs w:val="16"/>
              </w:rPr>
            </w:pPr>
            <w:r w:rsidRPr="00507A31">
              <w:rPr>
                <w:color w:val="000000" w:themeColor="text1"/>
                <w:sz w:val="16"/>
                <w:szCs w:val="16"/>
              </w:rPr>
              <w:t>26 500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43194" w14:textId="77777777" w:rsidR="007B38B8" w:rsidRPr="00507A31" w:rsidRDefault="007B38B8" w:rsidP="00507A31">
            <w:pPr>
              <w:jc w:val="both"/>
              <w:rPr>
                <w:color w:val="000000" w:themeColor="text1"/>
                <w:sz w:val="16"/>
                <w:szCs w:val="16"/>
              </w:rPr>
            </w:pPr>
            <w:r w:rsidRPr="00507A31">
              <w:rPr>
                <w:color w:val="000000" w:themeColor="text1"/>
                <w:sz w:val="16"/>
                <w:szCs w:val="16"/>
              </w:rPr>
              <w:t>41 500 руб.</w:t>
            </w:r>
          </w:p>
        </w:tc>
      </w:tr>
      <w:tr w:rsidR="00A61694" w:rsidRPr="00507A31" w14:paraId="32DCF835"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C51AF8A" w14:textId="77777777" w:rsidR="007B38B8" w:rsidRPr="00507A31" w:rsidRDefault="007B38B8" w:rsidP="00507A31">
            <w:pPr>
              <w:jc w:val="both"/>
              <w:rPr>
                <w:color w:val="000000" w:themeColor="text1"/>
                <w:sz w:val="16"/>
                <w:szCs w:val="16"/>
              </w:rPr>
            </w:pPr>
            <w:r w:rsidRPr="00507A31">
              <w:rPr>
                <w:color w:val="000000" w:themeColor="text1"/>
                <w:sz w:val="16"/>
                <w:szCs w:val="16"/>
              </w:rPr>
              <w:t>Авиационный мотор М</w:t>
            </w:r>
            <w:r w:rsidRPr="00507A31">
              <w:rPr>
                <w:color w:val="000000" w:themeColor="text1"/>
                <w:sz w:val="16"/>
                <w:szCs w:val="16"/>
              </w:rPr>
              <w:noBreakHyphen/>
              <w:t>17 (БМВ</w:t>
            </w:r>
            <w:r w:rsidRPr="00507A31">
              <w:rPr>
                <w:color w:val="000000" w:themeColor="text1"/>
                <w:sz w:val="16"/>
                <w:szCs w:val="16"/>
              </w:rPr>
              <w:noBreakHyphen/>
              <w:t>VI)</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7FC41" w14:textId="77777777" w:rsidR="007B38B8" w:rsidRPr="00507A31" w:rsidRDefault="007B38B8" w:rsidP="00507A31">
            <w:pPr>
              <w:jc w:val="both"/>
              <w:rPr>
                <w:color w:val="000000" w:themeColor="text1"/>
                <w:sz w:val="16"/>
                <w:szCs w:val="16"/>
              </w:rPr>
            </w:pPr>
            <w:r w:rsidRPr="00507A31">
              <w:rPr>
                <w:color w:val="000000" w:themeColor="text1"/>
                <w:sz w:val="16"/>
                <w:szCs w:val="16"/>
              </w:rPr>
              <w:t>36 000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50928" w14:textId="77777777" w:rsidR="007B38B8" w:rsidRPr="00507A31" w:rsidRDefault="007B38B8" w:rsidP="00507A31">
            <w:pPr>
              <w:jc w:val="both"/>
              <w:rPr>
                <w:color w:val="000000" w:themeColor="text1"/>
                <w:sz w:val="16"/>
                <w:szCs w:val="16"/>
              </w:rPr>
            </w:pPr>
            <w:r w:rsidRPr="00507A31">
              <w:rPr>
                <w:color w:val="000000" w:themeColor="text1"/>
                <w:sz w:val="16"/>
                <w:szCs w:val="16"/>
              </w:rPr>
              <w:t>40 000 руб.</w:t>
            </w:r>
          </w:p>
        </w:tc>
      </w:tr>
    </w:tbl>
    <w:p w14:paraId="622AD754"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Особенно яркими примерами преувеличения цен, имевшими место в 1927/28 б[юджетном] году по отдельным трестам Военпрома, могут служить следующие факты: по</w:t>
      </w:r>
    </w:p>
    <w:p w14:paraId="209395B2"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Оружейно-пулеметному тресту средняя накидка на себестоимость достигла 20,2%; по Патронно-трубочному тресту накидка достигла 22,4%, при этом по отдельным видам продукции, как, например, по переделке 22</w:t>
      </w:r>
      <w:r w:rsidRPr="00507A31">
        <w:rPr>
          <w:color w:val="000000" w:themeColor="text1"/>
          <w:sz w:val="16"/>
          <w:szCs w:val="16"/>
        </w:rPr>
        <w:noBreakHyphen/>
        <w:t>дюймовых трубок, накидка определилась в 62% от заводской себестоимость; по Военно-химическому тресту накидка на себестоимость определилась в 21,6%, а по Свердловскому заводу на некоторые изделия — от 44 до 65,7%.</w:t>
      </w:r>
    </w:p>
    <w:p w14:paraId="58E2A1E2"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На основании вышеизложенного в целях своевременного установления расчетных цен и возможности для НКВМ впредь производить расчеты по его заказам с госпромышленностью по ценам не преувеличенным, РВС СССР считает необходимым произвести следующие мероприятия:</w:t>
      </w:r>
    </w:p>
    <w:p w14:paraId="09693B3D"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1. По примеру 1927/28 б[юджетного] года поручить НК РКИ пересмотреть все действующие цены на изделия промышленности для НКВМ в сторону значительного их снижения.</w:t>
      </w:r>
    </w:p>
    <w:p w14:paraId="2512485C"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2. Освободить ВСНХ СССР от утверждения расчетных цен на изделия госпромышленности, возложив эту обязанность на НК РКИ.</w:t>
      </w:r>
    </w:p>
    <w:p w14:paraId="496EC9E9"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3. Все разногласия по ценам, не устраненные в НК РКИ, представлять на окончательное разрешение РЗ СТО.</w:t>
      </w:r>
    </w:p>
    <w:p w14:paraId="3A44DD57"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rPr>
        <w:t>Приложение: проект постановления³*.</w:t>
      </w:r>
    </w:p>
    <w:p w14:paraId="7EEC2972" w14:textId="77777777" w:rsidR="007B38B8" w:rsidRPr="00507A31" w:rsidRDefault="007B38B8"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Народный комиссар по военным и морским делам и председатель РВС СССР </w:t>
      </w:r>
      <w:hyperlink r:id="rId9" w:history="1">
        <w:r w:rsidRPr="00507A31">
          <w:rPr>
            <w:rStyle w:val="af0"/>
            <w:i w:val="0"/>
            <w:color w:val="000000" w:themeColor="text1"/>
            <w:sz w:val="16"/>
            <w:szCs w:val="16"/>
          </w:rPr>
          <w:t>Ворошилов</w:t>
        </w:r>
      </w:hyperlink>
    </w:p>
    <w:p w14:paraId="44FEE842" w14:textId="77777777" w:rsidR="007B38B8" w:rsidRPr="00507A31" w:rsidRDefault="007B38B8"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022110E9"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Копии направлены: в НК РКИ — И. П. Павлуновскому, в ВСНХ СССР — А. М. Постникову, в НКФ СССР — Н. П. Брюханову.</w:t>
      </w:r>
    </w:p>
    <w:p w14:paraId="49926175"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27 декабря 1927 г. РЗ СТО СССР утвердило проект бюджета НКВМ на 1927/28 г. и поручил НК РКИ в 3</w:t>
      </w:r>
      <w:r w:rsidRPr="00507A31">
        <w:rPr>
          <w:color w:val="000000" w:themeColor="text1"/>
          <w:sz w:val="16"/>
          <w:szCs w:val="16"/>
        </w:rPr>
        <w:noBreakHyphen/>
        <w:t>месячный срок проверить калькуляции изделий авиационной промышленности.</w:t>
      </w:r>
    </w:p>
    <w:p w14:paraId="0FB1A2CC" w14:textId="77777777" w:rsidR="007B38B8" w:rsidRPr="00507A31" w:rsidRDefault="007B38B8"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Приложение не публикуется (см. там же, л. 2).</w:t>
      </w:r>
    </w:p>
    <w:p w14:paraId="2CBF15B2" w14:textId="77777777" w:rsidR="007B38B8" w:rsidRPr="00507A31" w:rsidRDefault="007B38B8" w:rsidP="00507A31">
      <w:pPr>
        <w:pStyle w:val="ae"/>
        <w:spacing w:before="0" w:after="0"/>
        <w:jc w:val="both"/>
        <w:rPr>
          <w:color w:val="000000" w:themeColor="text1"/>
          <w:sz w:val="16"/>
          <w:szCs w:val="16"/>
        </w:rPr>
      </w:pPr>
      <w:r w:rsidRPr="00507A31">
        <w:rPr>
          <w:color w:val="000000" w:themeColor="text1"/>
          <w:sz w:val="16"/>
          <w:szCs w:val="16"/>
        </w:rPr>
        <w:t>ГАРФ. Ф. Р-8418. Оп. 4. Д. 17. Л. 1 — 1 об. Подлинник.</w:t>
      </w:r>
    </w:p>
    <w:p w14:paraId="39B0203C" w14:textId="77777777" w:rsidR="007B38B8" w:rsidRPr="00507A31" w:rsidRDefault="007B38B8" w:rsidP="00507A31">
      <w:pPr>
        <w:jc w:val="both"/>
        <w:rPr>
          <w:color w:val="000000" w:themeColor="text1"/>
          <w:sz w:val="16"/>
          <w:szCs w:val="16"/>
        </w:rPr>
      </w:pPr>
      <w:r w:rsidRPr="00507A31">
        <w:rPr>
          <w:color w:val="000000" w:themeColor="text1"/>
          <w:sz w:val="16"/>
          <w:szCs w:val="16"/>
        </w:rPr>
        <w:t xml:space="preserve">Архив: ГАРФ. Ф. Р-8418. Оп. 4. Д. 17. Л. 1 — 1 об. Подлинник. </w:t>
      </w:r>
    </w:p>
    <w:p w14:paraId="34D17E15" w14:textId="77777777" w:rsidR="007B38B8" w:rsidRPr="00507A31" w:rsidRDefault="007B38B8"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410-411 (12488).</w:t>
      </w:r>
    </w:p>
    <w:p w14:paraId="63DEAEC3" w14:textId="77777777" w:rsidR="007B38B8" w:rsidRPr="00507A31" w:rsidRDefault="007B38B8" w:rsidP="00507A31">
      <w:pPr>
        <w:jc w:val="both"/>
        <w:rPr>
          <w:color w:val="000000" w:themeColor="text1"/>
          <w:sz w:val="16"/>
          <w:szCs w:val="16"/>
        </w:rPr>
      </w:pPr>
    </w:p>
    <w:p w14:paraId="70E36573" w14:textId="77777777" w:rsidR="003A6101" w:rsidRPr="00507A31" w:rsidRDefault="003A6101"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EB7DB38" w14:textId="77777777" w:rsidR="003A6101" w:rsidRPr="00507A31" w:rsidRDefault="003A6101" w:rsidP="00507A31">
      <w:pPr>
        <w:autoSpaceDE w:val="0"/>
        <w:autoSpaceDN w:val="0"/>
        <w:adjustRightInd w:val="0"/>
        <w:jc w:val="both"/>
        <w:rPr>
          <w:iCs/>
          <w:color w:val="000000" w:themeColor="text1"/>
          <w:sz w:val="16"/>
          <w:szCs w:val="16"/>
        </w:rPr>
      </w:pPr>
    </w:p>
    <w:p w14:paraId="4E61E9A8" w14:textId="77777777" w:rsidR="003A6101" w:rsidRPr="00507A31" w:rsidRDefault="003A6101" w:rsidP="00507A31">
      <w:pPr>
        <w:jc w:val="both"/>
        <w:rPr>
          <w:color w:val="000000" w:themeColor="text1"/>
          <w:sz w:val="16"/>
          <w:szCs w:val="16"/>
        </w:rPr>
      </w:pPr>
      <w:r w:rsidRPr="00507A31">
        <w:rPr>
          <w:color w:val="000000" w:themeColor="text1"/>
          <w:sz w:val="16"/>
          <w:szCs w:val="16"/>
        </w:rPr>
        <w:t>11 января 1930 г. М.Н. Тухачевский, продолжавший иметь собственное мнение, а потому отправленный из Москвы командовать ЛВО, не преминул направить К.Е. Ворошилову записку с предложением иметь в строю 40 тысяч самолетов и 50 тысяч танков (в десять раз больше, чем предусматривалось первым пятилетним планом). М.Н. Тухачевский тут же подвергся критике со стороны сначала К.Е. Ворошилова, а затем и И.В. Сталина, который написал по этому поводу так: «План» [М.Н. Тухачевского]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 (…). Осуществить такой «план» - значит наверняка загубить и хозяйство страны, и армию». Правда, И.В. Сталин через два с небольшим года написал М.Н. Тухачевскому, что его (Сталина) «оценка [«плана» командующего ЛВО] была слишком резкой» (19566).</w:t>
      </w:r>
    </w:p>
    <w:p w14:paraId="1D4DA49B" w14:textId="77777777" w:rsidR="003A6101" w:rsidRPr="00507A31" w:rsidRDefault="003A6101" w:rsidP="00507A31">
      <w:pPr>
        <w:jc w:val="both"/>
        <w:rPr>
          <w:color w:val="000000" w:themeColor="text1"/>
          <w:sz w:val="16"/>
          <w:szCs w:val="16"/>
        </w:rPr>
      </w:pPr>
    </w:p>
    <w:p w14:paraId="46B0883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D670291" w14:textId="77777777" w:rsidR="00537E5F" w:rsidRPr="00507A31" w:rsidRDefault="00537E5F" w:rsidP="00507A31">
      <w:pPr>
        <w:autoSpaceDE w:val="0"/>
        <w:autoSpaceDN w:val="0"/>
        <w:adjustRightInd w:val="0"/>
        <w:jc w:val="both"/>
        <w:rPr>
          <w:iCs/>
          <w:color w:val="000000" w:themeColor="text1"/>
          <w:sz w:val="16"/>
          <w:szCs w:val="16"/>
        </w:rPr>
      </w:pPr>
    </w:p>
    <w:p w14:paraId="73DA6B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января 1930 В "Правде" опубликована передовая статья "Ликвидация кулачества как класса становится в порядок дня". В ней прозвучал призыв "объявить войну не на жизнь, а на смерть кулаку и в конце концов смести его с лица земли" (10687).</w:t>
      </w:r>
    </w:p>
    <w:p w14:paraId="1D52BE0B" w14:textId="77777777" w:rsidR="00537E5F" w:rsidRPr="00507A31" w:rsidRDefault="00537E5F" w:rsidP="00507A31">
      <w:pPr>
        <w:autoSpaceDE w:val="0"/>
        <w:autoSpaceDN w:val="0"/>
        <w:adjustRightInd w:val="0"/>
        <w:jc w:val="both"/>
        <w:rPr>
          <w:color w:val="000000" w:themeColor="text1"/>
          <w:sz w:val="16"/>
          <w:szCs w:val="16"/>
        </w:rPr>
      </w:pPr>
    </w:p>
    <w:p w14:paraId="0A515C7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E557BCD" w14:textId="77777777" w:rsidR="00537E5F" w:rsidRPr="00507A31" w:rsidRDefault="00537E5F" w:rsidP="00507A31">
      <w:pPr>
        <w:autoSpaceDE w:val="0"/>
        <w:autoSpaceDN w:val="0"/>
        <w:adjustRightInd w:val="0"/>
        <w:jc w:val="both"/>
        <w:rPr>
          <w:iCs/>
          <w:color w:val="000000" w:themeColor="text1"/>
          <w:sz w:val="16"/>
          <w:szCs w:val="16"/>
        </w:rPr>
      </w:pPr>
    </w:p>
    <w:p w14:paraId="607B4C4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января 1930 папа римский осудил введение в школах предмета «природоведение» (4962).</w:t>
      </w:r>
    </w:p>
    <w:p w14:paraId="752918E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4AE289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85829A8" w14:textId="77777777" w:rsidR="00537E5F" w:rsidRPr="00507A31" w:rsidRDefault="00537E5F" w:rsidP="00507A31">
      <w:pPr>
        <w:autoSpaceDE w:val="0"/>
        <w:autoSpaceDN w:val="0"/>
        <w:adjustRightInd w:val="0"/>
        <w:jc w:val="both"/>
        <w:rPr>
          <w:iCs/>
          <w:color w:val="000000" w:themeColor="text1"/>
          <w:sz w:val="16"/>
          <w:szCs w:val="16"/>
        </w:rPr>
      </w:pPr>
    </w:p>
    <w:p w14:paraId="1942F5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января 1930 года на НИАП были доставлены в собранном виде два 107-мм орудия "Особой доставки", изготовленные на заводе Бофорс (3861).</w:t>
      </w:r>
    </w:p>
    <w:p w14:paraId="38C12BC7" w14:textId="77777777" w:rsidR="00537E5F" w:rsidRPr="00507A31" w:rsidRDefault="00537E5F" w:rsidP="00507A31">
      <w:pPr>
        <w:autoSpaceDE w:val="0"/>
        <w:autoSpaceDN w:val="0"/>
        <w:adjustRightInd w:val="0"/>
        <w:jc w:val="both"/>
        <w:rPr>
          <w:color w:val="000000" w:themeColor="text1"/>
          <w:sz w:val="16"/>
          <w:szCs w:val="16"/>
        </w:rPr>
      </w:pPr>
    </w:p>
    <w:p w14:paraId="54468B7A" w14:textId="77777777" w:rsidR="00DD167E" w:rsidRPr="00507A31" w:rsidRDefault="00DD167E" w:rsidP="00507A31">
      <w:pPr>
        <w:autoSpaceDE w:val="0"/>
        <w:autoSpaceDN w:val="0"/>
        <w:adjustRightInd w:val="0"/>
        <w:jc w:val="both"/>
        <w:rPr>
          <w:iCs/>
          <w:color w:val="000000" w:themeColor="text1"/>
          <w:sz w:val="16"/>
          <w:szCs w:val="16"/>
        </w:rPr>
      </w:pPr>
      <w:bookmarkStart w:id="0" w:name="_Hlk80548092"/>
      <w:bookmarkStart w:id="1" w:name="_Hlk80547710"/>
      <w:bookmarkStart w:id="2" w:name="_Hlk80547478"/>
      <w:bookmarkStart w:id="3" w:name="_Hlk80625710"/>
      <w:bookmarkStart w:id="4" w:name="_Hlk80862186"/>
      <w:bookmarkStart w:id="5" w:name="_Hlk80863747"/>
      <w:r w:rsidRPr="00507A31">
        <w:rPr>
          <w:i/>
          <w:iCs/>
          <w:color w:val="000000" w:themeColor="text1"/>
          <w:sz w:val="16"/>
          <w:szCs w:val="16"/>
        </w:rPr>
        <w:t>За рубежом:</w:t>
      </w:r>
    </w:p>
    <w:p w14:paraId="31619A31" w14:textId="77777777" w:rsidR="00DD167E" w:rsidRPr="00507A31" w:rsidRDefault="00DD167E" w:rsidP="00507A31">
      <w:pPr>
        <w:autoSpaceDE w:val="0"/>
        <w:autoSpaceDN w:val="0"/>
        <w:adjustRightInd w:val="0"/>
        <w:jc w:val="both"/>
        <w:rPr>
          <w:iCs/>
          <w:color w:val="000000" w:themeColor="text1"/>
          <w:sz w:val="16"/>
          <w:szCs w:val="16"/>
        </w:rPr>
      </w:pPr>
    </w:p>
    <w:p w14:paraId="60478AAD" w14:textId="77777777" w:rsidR="00DD167E" w:rsidRPr="00507A31" w:rsidRDefault="00DD167E" w:rsidP="00507A31">
      <w:pPr>
        <w:jc w:val="both"/>
        <w:rPr>
          <w:color w:val="0070C0"/>
          <w:sz w:val="16"/>
          <w:szCs w:val="16"/>
        </w:rPr>
      </w:pPr>
      <w:r w:rsidRPr="00507A31">
        <w:rPr>
          <w:color w:val="0070C0"/>
          <w:sz w:val="16"/>
          <w:szCs w:val="16"/>
        </w:rPr>
        <w:t>12 января 1930 года — первый полёт гоночного самолёта Wedell-Williams Model 44. /США/</w:t>
      </w:r>
    </w:p>
    <w:p w14:paraId="33A009A8" w14:textId="77777777" w:rsidR="00DD167E" w:rsidRPr="00507A31" w:rsidRDefault="00DD167E" w:rsidP="00507A31">
      <w:pPr>
        <w:jc w:val="both"/>
        <w:rPr>
          <w:color w:val="0070C0"/>
          <w:sz w:val="16"/>
          <w:szCs w:val="16"/>
        </w:rPr>
      </w:pPr>
      <w:r w:rsidRPr="00507A31">
        <w:rPr>
          <w:color w:val="0070C0"/>
          <w:sz w:val="16"/>
          <w:szCs w:val="16"/>
        </w:rPr>
        <w:t>В 1929 году лётчик-гонщик Джимми Уэделл (Jimmy Wedell) вместе с миллионером Гарри Уильямсом (Harry P. Williams) основали компанию Wedell-Williams Air Service Corporation. Она должна была разрабатывать гоночные самолёты как для самого Уэделла, так и для других гонщиков. Самым известным самолётом компании стал Model 44.</w:t>
      </w:r>
    </w:p>
    <w:p w14:paraId="1D9F40B5" w14:textId="77777777" w:rsidR="00DD167E" w:rsidRPr="00507A31" w:rsidRDefault="00DD167E" w:rsidP="00507A31">
      <w:pPr>
        <w:jc w:val="both"/>
        <w:rPr>
          <w:color w:val="0070C0"/>
          <w:sz w:val="16"/>
          <w:szCs w:val="16"/>
        </w:rPr>
      </w:pPr>
      <w:r w:rsidRPr="00507A31">
        <w:rPr>
          <w:color w:val="0070C0"/>
          <w:sz w:val="16"/>
          <w:szCs w:val="16"/>
        </w:rPr>
        <w:t>Конструкция Model 44 была достаточно типичной — низкоплан с аэродинамически чистыми обводами и неубирающимся шасси в обтекателях. Оснащался разными двигателями — Pratt &amp; Whitney R-1690-S1C3G и Pratt &amp; Whitney R-985 Wasp Junior. Максимальная скорость — 523 км/ч.</w:t>
      </w:r>
    </w:p>
    <w:p w14:paraId="01822EF5" w14:textId="77777777" w:rsidR="00DD167E" w:rsidRPr="00507A31" w:rsidRDefault="00DD167E" w:rsidP="00507A31">
      <w:pPr>
        <w:jc w:val="both"/>
        <w:rPr>
          <w:color w:val="0070C0"/>
          <w:sz w:val="16"/>
          <w:szCs w:val="16"/>
        </w:rPr>
      </w:pPr>
      <w:r w:rsidRPr="00507A31">
        <w:rPr>
          <w:color w:val="0070C0"/>
          <w:sz w:val="16"/>
          <w:szCs w:val="16"/>
        </w:rPr>
        <w:t>Всего построили 4 экземпляра Model 44. Самолёт был одним из самых быстрых в США, занимал призовые места и побеждал в гонках. Именно на Model 44 лётчик Роско Тёрнер (Roscoe Turner) в 1935 году выиграл Thompson Trophy. Сегодня существуют реплики (в том числе летающие) Model 44 и сохранился один оригинальный самолёт (22300).</w:t>
      </w:r>
    </w:p>
    <w:p w14:paraId="7A502040" w14:textId="77777777" w:rsidR="00DD167E" w:rsidRPr="00507A31" w:rsidRDefault="00DD167E" w:rsidP="00507A31">
      <w:pPr>
        <w:jc w:val="both"/>
        <w:rPr>
          <w:color w:val="0070C0"/>
          <w:sz w:val="16"/>
          <w:szCs w:val="16"/>
        </w:rPr>
      </w:pPr>
    </w:p>
    <w:bookmarkEnd w:id="0"/>
    <w:bookmarkEnd w:id="1"/>
    <w:bookmarkEnd w:id="2"/>
    <w:bookmarkEnd w:id="3"/>
    <w:bookmarkEnd w:id="4"/>
    <w:bookmarkEnd w:id="5"/>
    <w:p w14:paraId="65B94283" w14:textId="77777777" w:rsidR="000071F8"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F3997E6" w14:textId="77777777" w:rsidR="000071F8" w:rsidRPr="00507A31" w:rsidRDefault="000071F8" w:rsidP="00507A31">
      <w:pPr>
        <w:autoSpaceDE w:val="0"/>
        <w:autoSpaceDN w:val="0"/>
        <w:adjustRightInd w:val="0"/>
        <w:jc w:val="both"/>
        <w:rPr>
          <w:iCs/>
          <w:color w:val="000000" w:themeColor="text1"/>
          <w:sz w:val="16"/>
          <w:szCs w:val="16"/>
        </w:rPr>
      </w:pPr>
    </w:p>
    <w:p w14:paraId="2F851325" w14:textId="77777777" w:rsidR="000071F8" w:rsidRPr="00507A31" w:rsidRDefault="000071F8" w:rsidP="00507A31">
      <w:pPr>
        <w:jc w:val="both"/>
        <w:rPr>
          <w:color w:val="000000" w:themeColor="text1"/>
          <w:sz w:val="16"/>
          <w:szCs w:val="16"/>
        </w:rPr>
      </w:pPr>
      <w:r w:rsidRPr="00507A31">
        <w:rPr>
          <w:color w:val="000000" w:themeColor="text1"/>
          <w:sz w:val="16"/>
          <w:szCs w:val="16"/>
        </w:rPr>
        <w:t>13 января 1930 г. в ходе пре</w:t>
      </w:r>
      <w:r w:rsidRPr="00507A31">
        <w:rPr>
          <w:color w:val="000000" w:themeColor="text1"/>
          <w:sz w:val="16"/>
          <w:szCs w:val="16"/>
        </w:rPr>
        <w:softHyphen/>
        <w:t>бывания в США советской авиационной делегации во главе с начальником Управления ВВС РККА П. Барановым, где ей продемонстрировали ряд современ</w:t>
      </w:r>
      <w:r w:rsidRPr="00507A31">
        <w:rPr>
          <w:color w:val="000000" w:themeColor="text1"/>
          <w:sz w:val="16"/>
          <w:szCs w:val="16"/>
        </w:rPr>
        <w:softHyphen/>
        <w:t>ных гидросамолетов, сам Баранов писал в Москву: «При посещении авиационного завода в Бристоле я ознакомился с конструкциями и производством амфибий и при</w:t>
      </w:r>
      <w:r w:rsidRPr="00507A31">
        <w:rPr>
          <w:color w:val="000000" w:themeColor="text1"/>
          <w:sz w:val="16"/>
          <w:szCs w:val="16"/>
        </w:rPr>
        <w:softHyphen/>
        <w:t>шел к выводу, что именно эти амфибии явятся наиболее желательным типом машин, как для пассажирских сообщений на Дальнем Востоке, так и для це</w:t>
      </w:r>
      <w:r w:rsidRPr="00507A31">
        <w:rPr>
          <w:color w:val="000000" w:themeColor="text1"/>
          <w:sz w:val="16"/>
          <w:szCs w:val="16"/>
        </w:rPr>
        <w:softHyphen/>
        <w:t>лей охраны побережья» (РГАЭ, ф. 9527, оп. 1, д. 156, л. 11).</w:t>
      </w:r>
    </w:p>
    <w:p w14:paraId="1F3C3BF3" w14:textId="77777777" w:rsidR="000071F8" w:rsidRPr="00507A31" w:rsidRDefault="000071F8" w:rsidP="00507A31">
      <w:pPr>
        <w:jc w:val="both"/>
        <w:rPr>
          <w:color w:val="000000" w:themeColor="text1"/>
          <w:sz w:val="16"/>
          <w:szCs w:val="16"/>
        </w:rPr>
      </w:pPr>
      <w:r w:rsidRPr="00507A31">
        <w:rPr>
          <w:color w:val="000000" w:themeColor="text1"/>
          <w:sz w:val="16"/>
          <w:szCs w:val="16"/>
        </w:rPr>
        <w:t>Гражданский воздушный флот в то время полностью контролировался во</w:t>
      </w:r>
      <w:r w:rsidRPr="00507A31">
        <w:rPr>
          <w:color w:val="000000" w:themeColor="text1"/>
          <w:sz w:val="16"/>
          <w:szCs w:val="16"/>
        </w:rPr>
        <w:softHyphen/>
        <w:t>енными и их мнение, безусловно, являлось определяющим. Баранов выбрал для спецотрядов амфибии Леонинг «Коммютер» — сравнительно небольшие летающие лодки-бипланы смешанной конструкции. Лонжероны крыла изго</w:t>
      </w:r>
      <w:r w:rsidRPr="00507A31">
        <w:rPr>
          <w:color w:val="000000" w:themeColor="text1"/>
          <w:sz w:val="16"/>
          <w:szCs w:val="16"/>
        </w:rPr>
        <w:softHyphen/>
        <w:t>товлялись из дерева, а нервюры — из алюминиевого сплава. Двухреданная лодка целиком клепалась из дюраля. В закрытой кабине размещались пилот и три пассажира. Предусматривались несколько вариантов мотоустановок, из которых наши представители выбрали Райт J6 номинальной мощностью 300 л.с. Каждый отряд должен был получить по четыре «Коммютера».</w:t>
      </w:r>
    </w:p>
    <w:p w14:paraId="64D49405" w14:textId="77777777" w:rsidR="000071F8" w:rsidRPr="00507A31" w:rsidRDefault="000071F8" w:rsidP="00507A31">
      <w:pPr>
        <w:jc w:val="both"/>
        <w:rPr>
          <w:color w:val="000000" w:themeColor="text1"/>
          <w:sz w:val="16"/>
          <w:szCs w:val="16"/>
        </w:rPr>
      </w:pPr>
      <w:r w:rsidRPr="00507A31">
        <w:rPr>
          <w:color w:val="000000" w:themeColor="text1"/>
          <w:sz w:val="16"/>
          <w:szCs w:val="16"/>
        </w:rPr>
        <w:lastRenderedPageBreak/>
        <w:t>Уже после отъезда Баранова из США были проведены переговоры с фир</w:t>
      </w:r>
      <w:r w:rsidRPr="00507A31">
        <w:rPr>
          <w:color w:val="000000" w:themeColor="text1"/>
          <w:sz w:val="16"/>
          <w:szCs w:val="16"/>
        </w:rPr>
        <w:softHyphen/>
        <w:t>мой. Договорились о покупке 16 амфибий (4 — в резерв) по 30 650 золотых рублей за каждую. Всего вместе с запчастями, упаковкой и прочим требова</w:t>
      </w:r>
      <w:r w:rsidRPr="00507A31">
        <w:rPr>
          <w:color w:val="000000" w:themeColor="text1"/>
          <w:sz w:val="16"/>
          <w:szCs w:val="16"/>
        </w:rPr>
        <w:softHyphen/>
        <w:t>лось 518 298 рублей. Закупку «Коммютеров» включили в проект импортного плана «Добролета» на 1929/30 финансовый год, но поскольку надо было пла</w:t>
      </w:r>
      <w:r w:rsidRPr="00507A31">
        <w:rPr>
          <w:color w:val="000000" w:themeColor="text1"/>
          <w:sz w:val="16"/>
          <w:szCs w:val="16"/>
        </w:rPr>
        <w:softHyphen/>
        <w:t>тить аванс, перенесли в план на 1930/31 финансовый год (РГАЭ, ф. 9527, оп. 1, д. 118, л. 333).</w:t>
      </w:r>
    </w:p>
    <w:p w14:paraId="4A3F6D3D" w14:textId="77777777" w:rsidR="000071F8" w:rsidRPr="00507A31" w:rsidRDefault="000071F8" w:rsidP="00507A31">
      <w:pPr>
        <w:jc w:val="both"/>
        <w:rPr>
          <w:color w:val="000000" w:themeColor="text1"/>
          <w:sz w:val="16"/>
          <w:szCs w:val="16"/>
        </w:rPr>
      </w:pPr>
      <w:r w:rsidRPr="00507A31">
        <w:rPr>
          <w:color w:val="000000" w:themeColor="text1"/>
          <w:sz w:val="16"/>
          <w:szCs w:val="16"/>
        </w:rPr>
        <w:t>После получения из США подробных материалов о конструкции и харак</w:t>
      </w:r>
      <w:r w:rsidRPr="00507A31">
        <w:rPr>
          <w:color w:val="000000" w:themeColor="text1"/>
          <w:sz w:val="16"/>
          <w:szCs w:val="16"/>
        </w:rPr>
        <w:softHyphen/>
        <w:t>теристиках амфибий в среде специалистов «Добролета» возникли сомнения в их пригодности для выполнения поставленных задач. Недостаточным сочли радиус действия и грузоподъемность. Весьма проблематичной казалась и мореходность. В Америке «Коммютеры» работали на реках и озерах, на Камчат</w:t>
      </w:r>
      <w:r w:rsidRPr="00507A31">
        <w:rPr>
          <w:color w:val="000000" w:themeColor="text1"/>
          <w:sz w:val="16"/>
          <w:szCs w:val="16"/>
        </w:rPr>
        <w:softHyphen/>
        <w:t>ке им предстояло садиться в бухтах морского побережья при сильном волне</w:t>
      </w:r>
      <w:r w:rsidRPr="00507A31">
        <w:rPr>
          <w:color w:val="000000" w:themeColor="text1"/>
          <w:sz w:val="16"/>
          <w:szCs w:val="16"/>
        </w:rPr>
        <w:softHyphen/>
        <w:t>нии моря. Боялись и коррозии дюралевого днища в соленой морской воде. Все эти сомнения и аргументы специалисты «Добролета» изложили в письме, на</w:t>
      </w:r>
      <w:r w:rsidRPr="00507A31">
        <w:rPr>
          <w:color w:val="000000" w:themeColor="text1"/>
          <w:sz w:val="16"/>
          <w:szCs w:val="16"/>
        </w:rPr>
        <w:softHyphen/>
        <w:t>правленном в Управление ВВС 9 июля 1930 г. В качестве альтернативы «Ком-мютеру» «добролетовцы» предложили голландский «Фоккер» с тремя вари</w:t>
      </w:r>
      <w:r w:rsidRPr="00507A31">
        <w:rPr>
          <w:color w:val="000000" w:themeColor="text1"/>
          <w:sz w:val="16"/>
          <w:szCs w:val="16"/>
        </w:rPr>
        <w:softHyphen/>
        <w:t>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на Камчатку предпочли более мореходный и надеж</w:t>
      </w:r>
      <w:r w:rsidRPr="00507A31">
        <w:rPr>
          <w:color w:val="000000" w:themeColor="text1"/>
          <w:sz w:val="16"/>
          <w:szCs w:val="16"/>
        </w:rPr>
        <w:softHyphen/>
        <w:t>ный двухмоторный «Валь» (РГАЭ, ф. 9527, оп. 1, д. 202, л. 22, 24) (12299) (12299).</w:t>
      </w:r>
    </w:p>
    <w:p w14:paraId="7E4EACCD" w14:textId="77777777" w:rsidR="000071F8" w:rsidRPr="00507A31" w:rsidRDefault="000071F8" w:rsidP="00507A31">
      <w:pPr>
        <w:jc w:val="both"/>
        <w:rPr>
          <w:color w:val="000000" w:themeColor="text1"/>
          <w:sz w:val="16"/>
          <w:szCs w:val="16"/>
        </w:rPr>
      </w:pPr>
    </w:p>
    <w:p w14:paraId="0D10C64D" w14:textId="77777777" w:rsidR="00DD167E" w:rsidRPr="00507A31" w:rsidRDefault="00DD167E" w:rsidP="00507A31">
      <w:pPr>
        <w:jc w:val="both"/>
        <w:rPr>
          <w:color w:val="0070C0"/>
          <w:sz w:val="16"/>
          <w:szCs w:val="16"/>
        </w:rPr>
      </w:pPr>
      <w:r w:rsidRPr="00507A31">
        <w:rPr>
          <w:color w:val="0070C0"/>
          <w:sz w:val="16"/>
          <w:szCs w:val="16"/>
        </w:rPr>
        <w:t>13 января 1930 г. Баранов писал в Москву: «При посещении авиационного завода в Бристоле я ознакомился с конструкциями и производством амфибий и при</w:t>
      </w:r>
      <w:r w:rsidRPr="00507A31">
        <w:rPr>
          <w:color w:val="0070C0"/>
          <w:sz w:val="16"/>
          <w:szCs w:val="16"/>
        </w:rPr>
        <w:softHyphen/>
        <w:t>шел к выводу, что именно эти амфибии явятся наиболее желательным типом машин, как для пассажирских сообщений на Дальнем Востоке, так и для це</w:t>
      </w:r>
      <w:r w:rsidRPr="00507A31">
        <w:rPr>
          <w:color w:val="0070C0"/>
          <w:sz w:val="16"/>
          <w:szCs w:val="16"/>
        </w:rPr>
        <w:softHyphen/>
        <w:t>лей охраны побережья» (РГАЭ, ф. 9527, оп. 1, д. 156, л. 11).</w:t>
      </w:r>
    </w:p>
    <w:p w14:paraId="5794238B" w14:textId="77777777" w:rsidR="00DD167E" w:rsidRPr="00507A31" w:rsidRDefault="00DD167E" w:rsidP="00507A31">
      <w:pPr>
        <w:jc w:val="both"/>
        <w:rPr>
          <w:color w:val="0070C0"/>
          <w:sz w:val="16"/>
          <w:szCs w:val="16"/>
        </w:rPr>
      </w:pPr>
      <w:r w:rsidRPr="00507A31">
        <w:rPr>
          <w:color w:val="0070C0"/>
          <w:sz w:val="16"/>
          <w:szCs w:val="16"/>
        </w:rPr>
        <w:t>Гражданский воздушный флот в то время полностью контролировался во</w:t>
      </w:r>
      <w:r w:rsidRPr="00507A31">
        <w:rPr>
          <w:color w:val="0070C0"/>
          <w:sz w:val="16"/>
          <w:szCs w:val="16"/>
        </w:rPr>
        <w:softHyphen/>
        <w:t>енными и их мнение, безусловно, являлось определяющим. Баранов выбрал для спецотрядов ОГПУ амфибии Леонинг «Коммютер» — сравнительно небольшие летающие лодки-бипланы смешанной конструкции. Лонжероны крыла изго</w:t>
      </w:r>
      <w:r w:rsidRPr="00507A31">
        <w:rPr>
          <w:color w:val="0070C0"/>
          <w:sz w:val="16"/>
          <w:szCs w:val="16"/>
        </w:rPr>
        <w:softHyphen/>
        <w:t>товлялись из дерева, а нервюры — из алюминиевого сплава. Двухреданная лодка целиком клепалась из дюраля. В закрытой кабине размещались пилот и три пассажира. Предусматривались несколько вариантов мотоустановок, из которых наши представители выбрали Райт J6 номинальной мощностью 300 л.с. Каждый отряд должен был получить по четыре «Коммютера».</w:t>
      </w:r>
    </w:p>
    <w:p w14:paraId="69246A17" w14:textId="77777777" w:rsidR="00DD167E" w:rsidRPr="00507A31" w:rsidRDefault="00DD167E" w:rsidP="00507A31">
      <w:pPr>
        <w:jc w:val="both"/>
        <w:rPr>
          <w:color w:val="0070C0"/>
          <w:sz w:val="16"/>
          <w:szCs w:val="16"/>
        </w:rPr>
      </w:pPr>
      <w:r w:rsidRPr="00507A31">
        <w:rPr>
          <w:color w:val="0070C0"/>
          <w:sz w:val="16"/>
          <w:szCs w:val="16"/>
        </w:rPr>
        <w:t>Уже после отъезда Баранова из США были проведены переговоры с фир</w:t>
      </w:r>
      <w:r w:rsidRPr="00507A31">
        <w:rPr>
          <w:color w:val="0070C0"/>
          <w:sz w:val="16"/>
          <w:szCs w:val="16"/>
        </w:rPr>
        <w:softHyphen/>
        <w:t>мой. Договорились о покупке 16 амфибий (4 — в резерв) по 30 650 золотых рублей за каждую. Всего вместе с запчастями, упаковкой и прочим требова</w:t>
      </w:r>
      <w:r w:rsidRPr="00507A31">
        <w:rPr>
          <w:color w:val="0070C0"/>
          <w:sz w:val="16"/>
          <w:szCs w:val="16"/>
        </w:rPr>
        <w:softHyphen/>
        <w:t>лось 518 298 рублей. Закупку «Коммютеров» включили в проект импортного плана «Добролета» на 1929/30 финансовый год, но поскольку надо было пла</w:t>
      </w:r>
      <w:r w:rsidRPr="00507A31">
        <w:rPr>
          <w:color w:val="0070C0"/>
          <w:sz w:val="16"/>
          <w:szCs w:val="16"/>
        </w:rPr>
        <w:softHyphen/>
        <w:t>тить аванс, перенесли в план на 1930/31 финансовый год (РГАЭ, ф. 9527, оп. 1, д. 118, л. 333).</w:t>
      </w:r>
    </w:p>
    <w:p w14:paraId="3506EDBE" w14:textId="77777777" w:rsidR="00DD167E" w:rsidRPr="00507A31" w:rsidRDefault="00DD167E" w:rsidP="00507A31">
      <w:pPr>
        <w:jc w:val="both"/>
        <w:rPr>
          <w:color w:val="0070C0"/>
          <w:sz w:val="16"/>
          <w:szCs w:val="16"/>
        </w:rPr>
      </w:pPr>
      <w:r w:rsidRPr="00507A31">
        <w:rPr>
          <w:color w:val="0070C0"/>
          <w:sz w:val="16"/>
          <w:szCs w:val="16"/>
        </w:rPr>
        <w:t>После получения из США подробных материалов о конструкции и харак</w:t>
      </w:r>
      <w:r w:rsidRPr="00507A31">
        <w:rPr>
          <w:color w:val="0070C0"/>
          <w:sz w:val="16"/>
          <w:szCs w:val="16"/>
        </w:rPr>
        <w:softHyphen/>
        <w:t>теристиках амфибий в среде специалистов «Добролета» возникли сомнения в их пригодности для выполнения поставленных задач. Недостаточным сочли радиус действия и грузоподъемность. Весьма проблематичной казалась и мореходность. В Америке «Коммютеры» работали на реках и озерах, на Камчат</w:t>
      </w:r>
      <w:r w:rsidRPr="00507A31">
        <w:rPr>
          <w:color w:val="0070C0"/>
          <w:sz w:val="16"/>
          <w:szCs w:val="16"/>
        </w:rPr>
        <w:softHyphen/>
        <w:t>ке им предстояло садиться в бухтах морского побережья при сильном волне</w:t>
      </w:r>
      <w:r w:rsidRPr="00507A31">
        <w:rPr>
          <w:color w:val="0070C0"/>
          <w:sz w:val="16"/>
          <w:szCs w:val="16"/>
        </w:rPr>
        <w:softHyphen/>
        <w:t>нии моря. Боялись и коррозии дюралевого днища в соленой морской воде. Все эти сомнения и аргументы специалисты «Добролета» изложили в письме, на</w:t>
      </w:r>
      <w:r w:rsidRPr="00507A31">
        <w:rPr>
          <w:color w:val="0070C0"/>
          <w:sz w:val="16"/>
          <w:szCs w:val="16"/>
        </w:rPr>
        <w:softHyphen/>
        <w:t>правленном в Управление ВВС 9 июля 1930 г. В качестве альтернативы «Ком-мютеру» «добролетовцы» предложили голландский «Фоккер» с тремя вари</w:t>
      </w:r>
      <w:r w:rsidRPr="00507A31">
        <w:rPr>
          <w:color w:val="0070C0"/>
          <w:sz w:val="16"/>
          <w:szCs w:val="16"/>
        </w:rPr>
        <w:softHyphen/>
        <w:t>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на Камчатку предпочли более мореходный и надеж</w:t>
      </w:r>
      <w:r w:rsidRPr="00507A31">
        <w:rPr>
          <w:color w:val="0070C0"/>
          <w:sz w:val="16"/>
          <w:szCs w:val="16"/>
        </w:rPr>
        <w:softHyphen/>
        <w:t>ный двухмоторный «Валь» (РГАЭ, ф. 9527, оп. 1, д. 202, л. 22, 24) (20402).</w:t>
      </w:r>
    </w:p>
    <w:p w14:paraId="65DB4F63" w14:textId="77777777" w:rsidR="00DD167E" w:rsidRPr="00507A31" w:rsidRDefault="00DD167E" w:rsidP="00507A31">
      <w:pPr>
        <w:jc w:val="both"/>
        <w:rPr>
          <w:color w:val="0070C0"/>
          <w:sz w:val="16"/>
          <w:szCs w:val="16"/>
        </w:rPr>
      </w:pPr>
    </w:p>
    <w:p w14:paraId="2981801A" w14:textId="77777777" w:rsidR="00DD167E" w:rsidRPr="00507A31" w:rsidRDefault="00DD167E" w:rsidP="00507A31">
      <w:pPr>
        <w:shd w:val="clear" w:color="auto" w:fill="FFFFFF"/>
        <w:jc w:val="both"/>
        <w:rPr>
          <w:color w:val="0070C0"/>
          <w:sz w:val="16"/>
          <w:szCs w:val="16"/>
        </w:rPr>
      </w:pPr>
      <w:r w:rsidRPr="00507A31">
        <w:rPr>
          <w:color w:val="0070C0"/>
          <w:sz w:val="16"/>
          <w:szCs w:val="16"/>
        </w:rPr>
        <w:t>13 января 1930 г. в Нью-Йорке подписали договор с фирмой «Ирвин». Он предусматривал поставку в СССР 1650 готовых парашютов, которые должны были быть отгружены с января 1931 г. по апрель 1932 г. Еще 50 штук приобретали в виде комплектов для сборки в нашей стране. Лицензия предоставлялась на пять типов: парашют для летчика (укладывавшийся в сиденье), для летнаба (вешавшийся на груди или на боку), наспинный, учебный с двумя куполами и грузовой, рассчитанный на сброс пулемета с боекомплектом. Американцы обеспечивали всю документацию, описание технологии изготовления, специальное оборудование и образцы материалов. Советская сторона получила право делать до 1000 штук в год и экспортировать свою продукцию в Монголию, Иран и Афганистан.</w:t>
      </w:r>
    </w:p>
    <w:p w14:paraId="681C37F0" w14:textId="77777777" w:rsidR="00DD167E" w:rsidRPr="00507A31" w:rsidRDefault="00DD167E" w:rsidP="00507A31">
      <w:pPr>
        <w:shd w:val="clear" w:color="auto" w:fill="FFFFFF"/>
        <w:jc w:val="both"/>
        <w:rPr>
          <w:color w:val="0070C0"/>
          <w:sz w:val="16"/>
          <w:szCs w:val="16"/>
        </w:rPr>
      </w:pPr>
      <w:r w:rsidRPr="00507A31">
        <w:rPr>
          <w:color w:val="0070C0"/>
          <w:sz w:val="16"/>
          <w:szCs w:val="16"/>
        </w:rPr>
        <w:t>Котельников резко выступал против освоения производства «Ирвина», считая конструкцию своего РК-3 более прогрессивной. Особенно ему не нравилось применение вытяжного парашюта, которое в его глазах выглядело небезопасным. В статье, опубликованной в 1936 г., Котельников в духе времени даже писал, что американский парашют выбрали «уже выявленные вредители». Но его позицию наверху проигнорировали (21505).</w:t>
      </w:r>
    </w:p>
    <w:p w14:paraId="1D9AF1DE" w14:textId="77777777" w:rsidR="00DD167E" w:rsidRPr="00507A31" w:rsidRDefault="00DD167E" w:rsidP="00507A31">
      <w:pPr>
        <w:shd w:val="clear" w:color="auto" w:fill="FFFFFF"/>
        <w:jc w:val="both"/>
        <w:rPr>
          <w:color w:val="0070C0"/>
          <w:sz w:val="16"/>
          <w:szCs w:val="16"/>
        </w:rPr>
      </w:pPr>
    </w:p>
    <w:p w14:paraId="2B48270A" w14:textId="77777777" w:rsidR="000071F8"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A0E7A23" w14:textId="77777777" w:rsidR="000071F8" w:rsidRPr="00507A31" w:rsidRDefault="000071F8" w:rsidP="00507A31">
      <w:pPr>
        <w:autoSpaceDE w:val="0"/>
        <w:autoSpaceDN w:val="0"/>
        <w:adjustRightInd w:val="0"/>
        <w:jc w:val="both"/>
        <w:rPr>
          <w:iCs/>
          <w:color w:val="000000" w:themeColor="text1"/>
          <w:sz w:val="16"/>
          <w:szCs w:val="16"/>
        </w:rPr>
      </w:pPr>
    </w:p>
    <w:p w14:paraId="68703979" w14:textId="77777777" w:rsidR="000071F8" w:rsidRPr="00507A31" w:rsidRDefault="000071F8" w:rsidP="00507A31">
      <w:pPr>
        <w:pStyle w:val="rtejustify"/>
        <w:spacing w:before="0" w:after="0"/>
        <w:rPr>
          <w:color w:val="000000" w:themeColor="text1"/>
          <w:sz w:val="16"/>
          <w:szCs w:val="16"/>
        </w:rPr>
      </w:pPr>
      <w:r w:rsidRPr="00507A31">
        <w:rPr>
          <w:rStyle w:val="af0"/>
          <w:i w:val="0"/>
          <w:color w:val="000000" w:themeColor="text1"/>
          <w:sz w:val="16"/>
          <w:szCs w:val="16"/>
        </w:rPr>
        <w:t xml:space="preserve">13 января 1930 г. Протокол Реввоенсовета № 1. </w:t>
      </w:r>
      <w:r w:rsidRPr="00507A31">
        <w:rPr>
          <w:color w:val="000000" w:themeColor="text1"/>
          <w:sz w:val="16"/>
          <w:szCs w:val="16"/>
        </w:rPr>
        <w:t>1. О ходе работ по осуществлению системы артиллерийского вооружения. (Уборевич). 3. О состоянии опытных образцов по вооружению авиации. (Ефимов). 4. О системе воздушного флота РККА и пятилетний план опытного строительства. (Шапошников, Меженинов). 7. Об увеличении содержания военно-техническим специалистам. (Уншлихт). (РГВА. Ф. 4. Оп. 18. Д. 19. Л. 2</w:t>
      </w:r>
      <w:r w:rsidRPr="00507A31">
        <w:rPr>
          <w:color w:val="000000" w:themeColor="text1"/>
          <w:sz w:val="16"/>
          <w:szCs w:val="16"/>
        </w:rPr>
        <w:noBreakHyphen/>
        <w:t>5) (12342).</w:t>
      </w:r>
    </w:p>
    <w:p w14:paraId="3459CFF8" w14:textId="77777777" w:rsidR="000071F8" w:rsidRPr="00507A31" w:rsidRDefault="000071F8" w:rsidP="00507A31">
      <w:pPr>
        <w:pStyle w:val="rtejustify"/>
        <w:spacing w:before="0" w:after="0"/>
        <w:rPr>
          <w:color w:val="000000" w:themeColor="text1"/>
          <w:sz w:val="16"/>
          <w:szCs w:val="16"/>
        </w:rPr>
      </w:pPr>
    </w:p>
    <w:p w14:paraId="748C1DFB" w14:textId="77777777" w:rsidR="000071F8" w:rsidRPr="00507A31" w:rsidRDefault="000071F8" w:rsidP="00507A31">
      <w:pPr>
        <w:pStyle w:val="rtejustify"/>
        <w:spacing w:before="0" w:after="0"/>
        <w:rPr>
          <w:color w:val="000000" w:themeColor="text1"/>
          <w:sz w:val="16"/>
          <w:szCs w:val="16"/>
        </w:rPr>
      </w:pPr>
      <w:r w:rsidRPr="00507A31">
        <w:rPr>
          <w:rStyle w:val="af0"/>
          <w:i w:val="0"/>
          <w:color w:val="000000" w:themeColor="text1"/>
          <w:sz w:val="16"/>
          <w:szCs w:val="16"/>
        </w:rPr>
        <w:t xml:space="preserve">13 января </w:t>
      </w:r>
      <w:r w:rsidRPr="00507A31">
        <w:rPr>
          <w:color w:val="000000" w:themeColor="text1"/>
          <w:sz w:val="16"/>
          <w:szCs w:val="16"/>
        </w:rPr>
        <w:t>1930 г</w:t>
      </w:r>
      <w:r w:rsidRPr="00507A31">
        <w:rPr>
          <w:rStyle w:val="af0"/>
          <w:i w:val="0"/>
          <w:color w:val="000000" w:themeColor="text1"/>
          <w:sz w:val="16"/>
          <w:szCs w:val="16"/>
        </w:rPr>
        <w:t xml:space="preserve">. № 1. </w:t>
      </w:r>
      <w:r w:rsidRPr="00507A31">
        <w:rPr>
          <w:color w:val="000000" w:themeColor="text1"/>
          <w:sz w:val="16"/>
          <w:szCs w:val="16"/>
        </w:rPr>
        <w:t>1. О ходе работ по осуществлению системы артиллерийского вооружения. (Уборевич). 3. О состоянии опытных образцов по вооружению авиации. (Ефимов). 4. О системе воздушного флота РККА и пятилетний план опытного строительства. (Шапошников, Меженинов). 7. Об увеличении содержания военно-техническим специалистам. (Уншлихт). (РГВА. Ф. 4. Оп. 18. Д. 19. Л. 2</w:t>
      </w:r>
      <w:r w:rsidRPr="00507A31">
        <w:rPr>
          <w:color w:val="000000" w:themeColor="text1"/>
          <w:sz w:val="16"/>
          <w:szCs w:val="16"/>
        </w:rPr>
        <w:noBreakHyphen/>
        <w:t>5) (13242).</w:t>
      </w:r>
    </w:p>
    <w:p w14:paraId="3E670B90" w14:textId="77777777" w:rsidR="000071F8" w:rsidRPr="00507A31" w:rsidRDefault="000071F8" w:rsidP="00507A31">
      <w:pPr>
        <w:pStyle w:val="rtejustify"/>
        <w:spacing w:before="0" w:after="0"/>
        <w:rPr>
          <w:color w:val="000000" w:themeColor="text1"/>
          <w:sz w:val="16"/>
          <w:szCs w:val="16"/>
        </w:rPr>
      </w:pPr>
    </w:p>
    <w:p w14:paraId="12336403" w14:textId="77777777" w:rsidR="000071F8"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890929E" w14:textId="77777777" w:rsidR="000071F8" w:rsidRPr="00507A31" w:rsidRDefault="000071F8" w:rsidP="00507A31">
      <w:pPr>
        <w:autoSpaceDE w:val="0"/>
        <w:autoSpaceDN w:val="0"/>
        <w:adjustRightInd w:val="0"/>
        <w:jc w:val="both"/>
        <w:rPr>
          <w:iCs/>
          <w:color w:val="000000" w:themeColor="text1"/>
          <w:sz w:val="16"/>
          <w:szCs w:val="16"/>
        </w:rPr>
      </w:pPr>
    </w:p>
    <w:p w14:paraId="3D5594D6" w14:textId="77777777" w:rsidR="000071F8" w:rsidRPr="00507A31" w:rsidRDefault="000071F8" w:rsidP="00507A31">
      <w:pPr>
        <w:jc w:val="both"/>
        <w:rPr>
          <w:color w:val="000000" w:themeColor="text1"/>
          <w:sz w:val="16"/>
          <w:szCs w:val="16"/>
          <w:u w:color="002060"/>
        </w:rPr>
      </w:pPr>
      <w:r w:rsidRPr="00507A31">
        <w:rPr>
          <w:color w:val="000000" w:themeColor="text1"/>
          <w:sz w:val="16"/>
          <w:szCs w:val="16"/>
          <w:u w:color="002060"/>
        </w:rPr>
        <w:t>13 января</w:t>
      </w:r>
      <w:r w:rsidRPr="00507A31">
        <w:rPr>
          <w:color w:val="000000" w:themeColor="text1"/>
          <w:sz w:val="16"/>
          <w:szCs w:val="16"/>
        </w:rPr>
        <w:t xml:space="preserve"> 1930 г</w:t>
      </w:r>
      <w:r w:rsidRPr="00507A31">
        <w:rPr>
          <w:color w:val="000000" w:themeColor="text1"/>
          <w:sz w:val="16"/>
          <w:szCs w:val="16"/>
          <w:u w:color="002060"/>
        </w:rPr>
        <w:t>. Постановление ЦИК и СНК СССР об изменении постановления о специальном военном налоге с граждан, зачисленных в тыловое ополчение (СЗ. 1930. № 7. Ст. 77) (12415).</w:t>
      </w:r>
    </w:p>
    <w:p w14:paraId="173B9CA1" w14:textId="77777777" w:rsidR="000071F8" w:rsidRPr="00507A31" w:rsidRDefault="000071F8" w:rsidP="00507A31">
      <w:pPr>
        <w:jc w:val="both"/>
        <w:rPr>
          <w:color w:val="000000" w:themeColor="text1"/>
          <w:sz w:val="16"/>
          <w:szCs w:val="16"/>
          <w:u w:color="002060"/>
        </w:rPr>
      </w:pPr>
    </w:p>
    <w:p w14:paraId="64F47985"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13 января 1930 г. по постановлению РВС СССР от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11E6C387" w14:textId="77777777" w:rsidR="000071F8" w:rsidRPr="00507A31" w:rsidRDefault="000071F8" w:rsidP="00507A31">
      <w:pPr>
        <w:jc w:val="both"/>
        <w:rPr>
          <w:color w:val="000000" w:themeColor="text1"/>
          <w:sz w:val="16"/>
          <w:szCs w:val="16"/>
        </w:rPr>
      </w:pPr>
    </w:p>
    <w:p w14:paraId="34345398" w14:textId="77777777" w:rsidR="00972CF7" w:rsidRPr="00507A31" w:rsidRDefault="00972CF7" w:rsidP="00507A31">
      <w:pPr>
        <w:pStyle w:val="style3"/>
        <w:spacing w:before="0" w:beforeAutospacing="0" w:after="0" w:afterAutospacing="0"/>
        <w:jc w:val="both"/>
        <w:rPr>
          <w:color w:val="0070C0"/>
          <w:sz w:val="16"/>
          <w:szCs w:val="16"/>
        </w:rPr>
      </w:pPr>
      <w:bookmarkStart w:id="6" w:name="_Hlk80697064"/>
      <w:bookmarkStart w:id="7" w:name="_Hlk91227640"/>
      <w:r w:rsidRPr="00507A31">
        <w:rPr>
          <w:color w:val="0070C0"/>
          <w:sz w:val="16"/>
          <w:szCs w:val="16"/>
        </w:rPr>
        <w:t>13 января 1930 года Реввоенсовет принял специальное постановление о передаче Штабу РККА всех функций мобилизационной работы. Несколько ранее то же самое было сделано и в отношении боевой подготовки. Так было положено начало централизации военного руководства в Штабе РККА и посгепепного превращения его в подлинный Генеральный Штаб" (ЗАХАРОВ М. В. Генеральный Штаб в предвоенные годы. С. 38) (22725).</w:t>
      </w:r>
    </w:p>
    <w:p w14:paraId="5677C596" w14:textId="77777777" w:rsidR="00972CF7" w:rsidRPr="00507A31" w:rsidRDefault="00972CF7" w:rsidP="00507A31">
      <w:pPr>
        <w:pStyle w:val="style3"/>
        <w:spacing w:before="0" w:beforeAutospacing="0" w:after="0" w:afterAutospacing="0"/>
        <w:jc w:val="both"/>
        <w:rPr>
          <w:color w:val="0070C0"/>
          <w:sz w:val="16"/>
          <w:szCs w:val="16"/>
        </w:rPr>
      </w:pPr>
    </w:p>
    <w:bookmarkEnd w:id="6"/>
    <w:bookmarkEnd w:id="7"/>
    <w:p w14:paraId="4BE3DD63" w14:textId="77777777" w:rsidR="00972CF7" w:rsidRPr="00507A31" w:rsidRDefault="00972CF7" w:rsidP="00507A31">
      <w:pPr>
        <w:shd w:val="clear" w:color="auto" w:fill="FFFFFF"/>
        <w:jc w:val="both"/>
        <w:rPr>
          <w:color w:val="0070C0"/>
          <w:sz w:val="16"/>
          <w:szCs w:val="16"/>
        </w:rPr>
      </w:pPr>
      <w:r w:rsidRPr="00507A31">
        <w:rPr>
          <w:color w:val="0070C0"/>
          <w:sz w:val="16"/>
          <w:szCs w:val="16"/>
        </w:rPr>
        <w:t>13 января 1930 г. РВСС принял по докладу Б. М. Шапошникова постановление "о сосредоточении в Штабе РККА всех функций мобилизации РККА". Существовавшее ранее II (Мобилизационное) управление Штаба объединялось с 1-м, 3-м и 5-м отделами Управления войсковой мобилизации и 1-м, 2-м и 3-м отделами Управления устройства и службы войск ГУ РККА (Протокол № 1 заседания РВС СССР от 1301.1930 //Там же. Ф. 4. Оп. 19-Д 19. Л. 6). Новое II (Организационно-мобилизационное) управление возглавил С. И. Венцов. В середине 1920-х гт. он был начальником мобилизационного отдела Штаба РККА, затем занимал должность секретаря РЗ СТО, а в 1928-1929 гг. проходил стажировку в должности командира полка в БВО. Не исключено, что направление Венцова из Москвы в Полоцк в мае 1928 г. было связано с одновременной заменой начальника Штаба РККА, который его "высоко ценил" (Попов А. С. Труд, талант, доблесть. М., 1972. С. 93). Известно, что Венцов, как и Тухачевский, был сторонником расширения прерогатив Штаба (за счет ГУ РККА) и протестовал против ""обработки" общественного мнения но вопросу о виновниках поражения" в советско-польской войне, которая была развернута комвойсками БВО Егоровым весной 1929 г. Вместе с тем Венцов поддерживал доверительные отношения с Ворошиловым (см.: Личные письма Венцова Ворошилову, 508.1928 и 15.04-1929 // РГА СПИ. Ф. 74- Оп. 2. Д 43- Л. 23, 33-36).</w:t>
      </w:r>
    </w:p>
    <w:p w14:paraId="7FB10D41" w14:textId="77777777" w:rsidR="00972CF7" w:rsidRPr="00507A31" w:rsidRDefault="00972CF7" w:rsidP="00507A31">
      <w:pPr>
        <w:jc w:val="both"/>
        <w:rPr>
          <w:color w:val="0070C0"/>
          <w:sz w:val="16"/>
          <w:szCs w:val="16"/>
        </w:rPr>
      </w:pPr>
    </w:p>
    <w:p w14:paraId="5CE7CE3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3DEC1FD" w14:textId="77777777" w:rsidR="00537E5F" w:rsidRPr="00507A31" w:rsidRDefault="00537E5F" w:rsidP="00507A31">
      <w:pPr>
        <w:autoSpaceDE w:val="0"/>
        <w:autoSpaceDN w:val="0"/>
        <w:adjustRightInd w:val="0"/>
        <w:jc w:val="both"/>
        <w:rPr>
          <w:iCs/>
          <w:color w:val="000000" w:themeColor="text1"/>
          <w:sz w:val="16"/>
          <w:szCs w:val="16"/>
        </w:rPr>
      </w:pPr>
    </w:p>
    <w:p w14:paraId="53C4CE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января 1930 в с.Карели Кирсановского района толпа женщин в 500 человек разгромила квартиру учителя, требовавшего закрытия одной из церквей под школу (10687).</w:t>
      </w:r>
    </w:p>
    <w:p w14:paraId="403756B8" w14:textId="77777777" w:rsidR="00537E5F" w:rsidRPr="00507A31" w:rsidRDefault="00537E5F" w:rsidP="00507A31">
      <w:pPr>
        <w:autoSpaceDE w:val="0"/>
        <w:autoSpaceDN w:val="0"/>
        <w:adjustRightInd w:val="0"/>
        <w:jc w:val="both"/>
        <w:rPr>
          <w:color w:val="000000" w:themeColor="text1"/>
          <w:sz w:val="16"/>
          <w:szCs w:val="16"/>
        </w:rPr>
      </w:pPr>
    </w:p>
    <w:p w14:paraId="2B786933" w14:textId="77777777" w:rsidR="003D51C1" w:rsidRPr="00507A31" w:rsidRDefault="003D51C1"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5689F18" w14:textId="77777777" w:rsidR="003D51C1" w:rsidRPr="00507A31" w:rsidRDefault="003D51C1" w:rsidP="00507A31">
      <w:pPr>
        <w:autoSpaceDE w:val="0"/>
        <w:autoSpaceDN w:val="0"/>
        <w:adjustRightInd w:val="0"/>
        <w:jc w:val="both"/>
        <w:rPr>
          <w:iCs/>
          <w:color w:val="000000" w:themeColor="text1"/>
          <w:sz w:val="16"/>
          <w:szCs w:val="16"/>
        </w:rPr>
      </w:pPr>
    </w:p>
    <w:p w14:paraId="48EDB6E9" w14:textId="77777777" w:rsidR="003D51C1" w:rsidRPr="00507A31" w:rsidRDefault="003D51C1" w:rsidP="00507A31">
      <w:pPr>
        <w:jc w:val="both"/>
        <w:rPr>
          <w:color w:val="0070C0"/>
          <w:sz w:val="16"/>
          <w:szCs w:val="16"/>
        </w:rPr>
      </w:pPr>
      <w:r w:rsidRPr="00507A31">
        <w:rPr>
          <w:color w:val="0070C0"/>
          <w:sz w:val="16"/>
          <w:szCs w:val="16"/>
        </w:rPr>
        <w:t xml:space="preserve">13 января 1930 первый полет Farman F.300 (20805). </w:t>
      </w:r>
    </w:p>
    <w:p w14:paraId="628EDEF6" w14:textId="77777777" w:rsidR="003D51C1" w:rsidRPr="00507A31" w:rsidRDefault="003D51C1" w:rsidP="00507A31">
      <w:pPr>
        <w:jc w:val="both"/>
        <w:rPr>
          <w:color w:val="0070C0"/>
          <w:sz w:val="16"/>
          <w:szCs w:val="16"/>
        </w:rPr>
      </w:pPr>
    </w:p>
    <w:p w14:paraId="2606AA1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8B7CE47" w14:textId="77777777" w:rsidR="00537E5F" w:rsidRPr="00507A31" w:rsidRDefault="00537E5F" w:rsidP="00507A31">
      <w:pPr>
        <w:autoSpaceDE w:val="0"/>
        <w:autoSpaceDN w:val="0"/>
        <w:adjustRightInd w:val="0"/>
        <w:jc w:val="both"/>
        <w:rPr>
          <w:iCs/>
          <w:color w:val="000000" w:themeColor="text1"/>
          <w:sz w:val="16"/>
          <w:szCs w:val="16"/>
        </w:rPr>
      </w:pPr>
    </w:p>
    <w:p w14:paraId="6E7174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14 января 1930 N 582 вышло постановление РЗ СТО (прот. ) "О мероприятиях по развитию авиапромышленности - 1028,88) N 582, согласно которому Президиум ВСНХ был обязан "немедленно приступить к организации 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(351). Одновременно принять меры к развитию работ по конструированию и производству опытных образцов самолетов в Авиатресте (1026,26).</w:t>
      </w:r>
    </w:p>
    <w:p w14:paraId="1181C7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 НК РКИ поручили в пятимесячный срок произвести обследование состояния авиапромышленности и связанных с ней научных учреждений (ЦАГИ, НАМИ, НТК и др.) обратив особое внимание на а) состояние опытного строительства... (1026,26).</w:t>
      </w:r>
    </w:p>
    <w:p w14:paraId="3ACB559E" w14:textId="77777777" w:rsidR="00537E5F" w:rsidRPr="00507A31" w:rsidRDefault="00537E5F" w:rsidP="00507A31">
      <w:pPr>
        <w:autoSpaceDE w:val="0"/>
        <w:autoSpaceDN w:val="0"/>
        <w:adjustRightInd w:val="0"/>
        <w:jc w:val="both"/>
        <w:rPr>
          <w:color w:val="000000" w:themeColor="text1"/>
          <w:sz w:val="16"/>
          <w:szCs w:val="16"/>
        </w:rPr>
      </w:pPr>
    </w:p>
    <w:p w14:paraId="25A065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января 1930 Выписка из постановления РЗ СТО № 582:</w:t>
      </w:r>
    </w:p>
    <w:p w14:paraId="156CE2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Разд. П., п. 3, В целях усиления темпа опытного строительства воздушногой флота ОБЯЗАТЬ ПРЕЗИДИУМ ВСНХ СССР:</w:t>
      </w:r>
    </w:p>
    <w:p w14:paraId="0D2AC7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немедленно приступить к организации-в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одновременно принять меры к развитию работ по конструированию и опризводству опытных образцов самолетов в Авиатресте;</w:t>
      </w:r>
    </w:p>
    <w:p w14:paraId="3D2F96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урегулировать взаимоотношения между научно-исследовательскими институтами и заводами серийного производства и опытного строительства; для чегоне позднее 15 марта 1930 издать особое положение о взаимоотношениях названных учреждений внутри промышленностию</w:t>
      </w:r>
    </w:p>
    <w:p w14:paraId="659E30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проводить ежегодно, начиная с текущего года, конкурсы на опытные образцы моторов, самолетов, вооружения, оборудования и других предметов специального снаряжения ВФ, исхлдя при этом из технических и тактических требований, предъявляемых НКВМором к опытным образцам (351).</w:t>
      </w:r>
    </w:p>
    <w:p w14:paraId="00B0A1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33301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января 1930 Выписка из постановления РЗ СТО № 582:</w:t>
      </w:r>
    </w:p>
    <w:p w14:paraId="26BE42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ПОСТАНОВЛЕНИЕ Распорядительного Заседания Совета Труда и Обороны</w:t>
      </w:r>
    </w:p>
    <w:p w14:paraId="6C1B36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 174 В развитие и дополнение постановления РЗ СТО от 1б/Х-29г. Совет Труда и Обороны постановляет:</w:t>
      </w:r>
    </w:p>
    <w:p w14:paraId="6B1852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 175 3. В целях усиления темпа опытного строительства воздуш</w:t>
      </w:r>
      <w:r w:rsidRPr="00507A31">
        <w:rPr>
          <w:color w:val="000000" w:themeColor="text1"/>
          <w:sz w:val="16"/>
          <w:szCs w:val="16"/>
        </w:rPr>
        <w:softHyphen/>
        <w:t>ного флота обязать Президиум ВСНХ СССР:</w:t>
      </w:r>
    </w:p>
    <w:p w14:paraId="1F31F7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немедленно приступить к организации в ЦАГИ опытного строительства самолетов смешанных /сварных/ и дере</w:t>
      </w:r>
      <w:r w:rsidRPr="00507A31">
        <w:rPr>
          <w:color w:val="000000" w:themeColor="text1"/>
          <w:sz w:val="16"/>
          <w:szCs w:val="16"/>
        </w:rPr>
        <w:softHyphen/>
        <w:t>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w:t>
      </w:r>
      <w:r w:rsidRPr="00507A31">
        <w:rPr>
          <w:color w:val="000000" w:themeColor="text1"/>
          <w:sz w:val="16"/>
          <w:szCs w:val="16"/>
        </w:rPr>
        <w:softHyphen/>
        <w:t>разцах самолетов производства ЦАГИ; одновременно при</w:t>
      </w:r>
      <w:r w:rsidRPr="00507A31">
        <w:rPr>
          <w:color w:val="000000" w:themeColor="text1"/>
          <w:sz w:val="16"/>
          <w:szCs w:val="16"/>
        </w:rPr>
        <w:softHyphen/>
        <w:t>нять меры к развитию работ по конструированию и про</w:t>
      </w:r>
      <w:r w:rsidRPr="00507A31">
        <w:rPr>
          <w:color w:val="000000" w:themeColor="text1"/>
          <w:sz w:val="16"/>
          <w:szCs w:val="16"/>
        </w:rPr>
        <w:softHyphen/>
        <w:t>изводству опытных образцов самолетов в Авиатресте.</w:t>
      </w:r>
    </w:p>
    <w:p w14:paraId="5B0346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 176 Ш.</w:t>
      </w:r>
    </w:p>
    <w:p w14:paraId="27BC3E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Поручить НК РКИ в 5-ти месячный срок произвести обсле</w:t>
      </w:r>
      <w:r w:rsidRPr="00507A31">
        <w:rPr>
          <w:color w:val="000000" w:themeColor="text1"/>
          <w:sz w:val="16"/>
          <w:szCs w:val="16"/>
        </w:rPr>
        <w:softHyphen/>
        <w:t>дование состояния авиапромышленности и связанных с ней научных учреждений /ЦАГИ, НАМИ, НТК и др./, обратив особое внимание на:</w:t>
      </w:r>
    </w:p>
    <w:p w14:paraId="7BA96B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состояние опытного строительства,</w:t>
      </w:r>
    </w:p>
    <w:p w14:paraId="2D8A5D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выявление действительных производственных мощностей заводов на мирное и военное время и</w:t>
      </w:r>
    </w:p>
    <w:p w14:paraId="3038C1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степень обеспеченности авиапромышленности сырьем и полуфабрикатами на год ведения войны.</w:t>
      </w:r>
    </w:p>
    <w:p w14:paraId="0C61CE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Результаты обследования доложить РЗ СТО не позднее 1,УП-1930 года.</w:t>
      </w:r>
    </w:p>
    <w:p w14:paraId="1F44F5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Работу Комиссии т.Уншлихта, образованной постановлением № 37 от 29/УП-29 г. считать законченной.</w:t>
      </w:r>
    </w:p>
    <w:p w14:paraId="338990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СТО СССР Управделами СНК СССР и СТО</w:t>
      </w:r>
    </w:p>
    <w:p w14:paraId="3F800A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Н.ГОРБУНОВ</w:t>
      </w:r>
    </w:p>
    <w:p w14:paraId="2E1BC4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Москва.Кремль 14/1-1930 г.</w:t>
      </w:r>
    </w:p>
    <w:p w14:paraId="7A5A76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ЦГАСА, ф.4, оп. 1, д. 1227, л.л. 174-177 (1026,26).</w:t>
      </w:r>
    </w:p>
    <w:p w14:paraId="7B93CB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FDABDE" w14:textId="77777777" w:rsidR="000071F8" w:rsidRPr="00507A31" w:rsidRDefault="000071F8" w:rsidP="00507A31">
      <w:pPr>
        <w:jc w:val="both"/>
        <w:rPr>
          <w:color w:val="000000" w:themeColor="text1"/>
          <w:sz w:val="16"/>
          <w:szCs w:val="16"/>
          <w:u w:color="002060"/>
        </w:rPr>
      </w:pPr>
      <w:r w:rsidRPr="00507A31">
        <w:rPr>
          <w:color w:val="000000" w:themeColor="text1"/>
          <w:sz w:val="16"/>
          <w:szCs w:val="16"/>
          <w:u w:color="002060"/>
        </w:rPr>
        <w:t>14 января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мероприятиях по развитию авиапромышленности (РГАЭ. Ф. 4372. Оп. 91. Д. 595. Л. 23?20) (12415).</w:t>
      </w:r>
    </w:p>
    <w:p w14:paraId="71B7595C" w14:textId="77777777" w:rsidR="000071F8" w:rsidRPr="00507A31" w:rsidRDefault="000071F8" w:rsidP="00507A31">
      <w:pPr>
        <w:jc w:val="both"/>
        <w:rPr>
          <w:color w:val="000000" w:themeColor="text1"/>
          <w:sz w:val="16"/>
          <w:szCs w:val="16"/>
          <w:u w:color="002060"/>
        </w:rPr>
      </w:pPr>
    </w:p>
    <w:p w14:paraId="21EC060D" w14:textId="77777777" w:rsidR="000071F8" w:rsidRPr="00507A31" w:rsidRDefault="000071F8" w:rsidP="00507A31">
      <w:pPr>
        <w:jc w:val="both"/>
        <w:rPr>
          <w:color w:val="000000" w:themeColor="text1"/>
          <w:sz w:val="16"/>
          <w:szCs w:val="16"/>
        </w:rPr>
      </w:pPr>
      <w:r w:rsidRPr="00507A31">
        <w:rPr>
          <w:color w:val="000000" w:themeColor="text1"/>
          <w:sz w:val="16"/>
          <w:szCs w:val="16"/>
        </w:rPr>
        <w:t>14 января 1930 г. — Постановление РЗ СТО СССР «О мероприятиях по развитию авиапромышленности»</w:t>
      </w:r>
    </w:p>
    <w:p w14:paraId="76B0DC4A" w14:textId="77777777" w:rsidR="000071F8" w:rsidRPr="00507A31" w:rsidRDefault="000071F8" w:rsidP="00507A31">
      <w:pPr>
        <w:jc w:val="both"/>
        <w:rPr>
          <w:color w:val="000000" w:themeColor="text1"/>
          <w:sz w:val="16"/>
          <w:szCs w:val="16"/>
        </w:rPr>
      </w:pPr>
      <w:r w:rsidRPr="00507A31">
        <w:rPr>
          <w:color w:val="000000" w:themeColor="text1"/>
          <w:sz w:val="16"/>
          <w:szCs w:val="16"/>
        </w:rPr>
        <w:t>Постановление РЗ СТО СССР «О мероприятиях по развитию авиапромышленности»</w:t>
      </w:r>
    </w:p>
    <w:p w14:paraId="79FFEC3B" w14:textId="77777777" w:rsidR="000071F8" w:rsidRPr="00507A31" w:rsidRDefault="000071F8" w:rsidP="00507A31">
      <w:pPr>
        <w:jc w:val="both"/>
        <w:rPr>
          <w:color w:val="000000" w:themeColor="text1"/>
          <w:sz w:val="16"/>
          <w:szCs w:val="16"/>
        </w:rPr>
      </w:pPr>
      <w:r w:rsidRPr="00507A31">
        <w:rPr>
          <w:color w:val="000000" w:themeColor="text1"/>
          <w:sz w:val="16"/>
          <w:szCs w:val="16"/>
        </w:rPr>
        <w:t>14 января 1930 г.</w:t>
      </w:r>
    </w:p>
    <w:p w14:paraId="6A167C42" w14:textId="77777777" w:rsidR="000071F8" w:rsidRPr="00507A31" w:rsidRDefault="000071F8" w:rsidP="00507A31">
      <w:pPr>
        <w:jc w:val="both"/>
        <w:rPr>
          <w:color w:val="000000" w:themeColor="text1"/>
          <w:sz w:val="16"/>
          <w:szCs w:val="16"/>
        </w:rPr>
      </w:pPr>
      <w:r w:rsidRPr="00507A31">
        <w:rPr>
          <w:color w:val="000000" w:themeColor="text1"/>
          <w:sz w:val="16"/>
          <w:szCs w:val="16"/>
        </w:rPr>
        <w:t>Совершенно секретно.</w:t>
      </w:r>
    </w:p>
    <w:p w14:paraId="7BA9CE4F" w14:textId="77777777" w:rsidR="000071F8" w:rsidRPr="00507A31" w:rsidRDefault="000071F8" w:rsidP="00507A31">
      <w:pPr>
        <w:jc w:val="both"/>
        <w:rPr>
          <w:color w:val="000000" w:themeColor="text1"/>
          <w:sz w:val="16"/>
          <w:szCs w:val="16"/>
        </w:rPr>
      </w:pPr>
      <w:r w:rsidRPr="00507A31">
        <w:rPr>
          <w:color w:val="000000" w:themeColor="text1"/>
          <w:sz w:val="16"/>
          <w:szCs w:val="16"/>
        </w:rPr>
        <w:t>В развитие и дополнение постановления РЗ СТО от 16 октября 1929 г.¹* Совет труда и обороны постановляет:</w:t>
      </w:r>
    </w:p>
    <w:p w14:paraId="3C5CA0D7" w14:textId="77777777" w:rsidR="000071F8" w:rsidRPr="00507A31" w:rsidRDefault="000071F8" w:rsidP="00507A31">
      <w:pPr>
        <w:jc w:val="both"/>
        <w:rPr>
          <w:color w:val="000000" w:themeColor="text1"/>
          <w:sz w:val="16"/>
          <w:szCs w:val="16"/>
        </w:rPr>
      </w:pPr>
      <w:r w:rsidRPr="00507A31">
        <w:rPr>
          <w:color w:val="000000" w:themeColor="text1"/>
          <w:sz w:val="16"/>
          <w:szCs w:val="16"/>
        </w:rPr>
        <w:t>I.</w:t>
      </w:r>
    </w:p>
    <w:p w14:paraId="48932090"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 Констатировать исключительно медленный темп конструирования и постройки опытных образцов мощных моторов и самолетов (от 2</w:t>
      </w:r>
      <w:r w:rsidRPr="00507A31">
        <w:rPr>
          <w:color w:val="000000" w:themeColor="text1"/>
          <w:sz w:val="16"/>
          <w:szCs w:val="16"/>
        </w:rPr>
        <w:noBreakHyphen/>
        <w:t>4 лет против средних сроков 1</w:t>
      </w:r>
      <w:r w:rsidRPr="00507A31">
        <w:rPr>
          <w:color w:val="000000" w:themeColor="text1"/>
          <w:sz w:val="16"/>
          <w:szCs w:val="16"/>
        </w:rPr>
        <w:noBreakHyphen/>
        <w:t>1,5 года Европы и Америки) и недопустимо длительный процесс внедрения новых типов конструкций в серийное производство (2</w:t>
      </w:r>
      <w:r w:rsidRPr="00507A31">
        <w:rPr>
          <w:color w:val="000000" w:themeColor="text1"/>
          <w:sz w:val="16"/>
          <w:szCs w:val="16"/>
        </w:rPr>
        <w:noBreakHyphen/>
        <w:t>3 года против 1</w:t>
      </w:r>
      <w:r w:rsidRPr="00507A31">
        <w:rPr>
          <w:color w:val="000000" w:themeColor="text1"/>
          <w:sz w:val="16"/>
          <w:szCs w:val="16"/>
        </w:rPr>
        <w:noBreakHyphen/>
        <w:t>1,5 года за границей), что вынуждает авиапромышленность продолжать производство устаревших типов моторов (М</w:t>
      </w:r>
      <w:r w:rsidRPr="00507A31">
        <w:rPr>
          <w:color w:val="000000" w:themeColor="text1"/>
          <w:sz w:val="16"/>
          <w:szCs w:val="16"/>
        </w:rPr>
        <w:noBreakHyphen/>
        <w:t>5 и М</w:t>
      </w:r>
      <w:r w:rsidRPr="00507A31">
        <w:rPr>
          <w:color w:val="000000" w:themeColor="text1"/>
          <w:sz w:val="16"/>
          <w:szCs w:val="16"/>
        </w:rPr>
        <w:noBreakHyphen/>
        <w:t>6), а также и частично самолетов (Р</w:t>
      </w:r>
      <w:r w:rsidRPr="00507A31">
        <w:rPr>
          <w:color w:val="000000" w:themeColor="text1"/>
          <w:sz w:val="16"/>
          <w:szCs w:val="16"/>
        </w:rPr>
        <w:noBreakHyphen/>
        <w:t>1), и в случае войны в 1929</w:t>
      </w:r>
      <w:r w:rsidRPr="00507A31">
        <w:rPr>
          <w:color w:val="000000" w:themeColor="text1"/>
          <w:sz w:val="16"/>
          <w:szCs w:val="16"/>
        </w:rPr>
        <w:noBreakHyphen/>
        <w:t>1931 гг. сохранять на вооружении воздушного флота моторы и самолеты, значительно уступающие по своим летно-тактическим и техническим данным самолетам и моторам наших вероятных противников.</w:t>
      </w:r>
    </w:p>
    <w:p w14:paraId="4F550097"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2. Отметить, что современное состояние опытных образцов мощных моторов Авиатреста У</w:t>
      </w:r>
      <w:r w:rsidRPr="00507A31">
        <w:rPr>
          <w:color w:val="000000" w:themeColor="text1"/>
          <w:sz w:val="16"/>
          <w:szCs w:val="16"/>
        </w:rPr>
        <w:noBreakHyphen/>
        <w:t>12, УУ</w:t>
      </w:r>
      <w:r w:rsidRPr="00507A31">
        <w:rPr>
          <w:color w:val="000000" w:themeColor="text1"/>
          <w:sz w:val="16"/>
          <w:szCs w:val="16"/>
        </w:rPr>
        <w:noBreakHyphen/>
        <w:t>18 и М</w:t>
      </w:r>
      <w:r w:rsidRPr="00507A31">
        <w:rPr>
          <w:color w:val="000000" w:themeColor="text1"/>
          <w:sz w:val="16"/>
          <w:szCs w:val="16"/>
        </w:rPr>
        <w:noBreakHyphen/>
        <w:t>19 из-за целого ряда конструктивных и производственных неполадок и дефектов (течь блоков, выгорание клапанов, лопание картера и т. д.) не позволяет внедрить их на данной стадии в серийное производство и включить в мобилизационное задание.</w:t>
      </w:r>
    </w:p>
    <w:p w14:paraId="0B047740"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3. Обязать ВСНХ СССР форсировать опытные работы по авиамоторам и обеспечить их полностью необходимыми средствами.</w:t>
      </w:r>
    </w:p>
    <w:p w14:paraId="455F9649"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4. Ввиду устарелости и несоответствия по своей мощности и другим техническим данным мотора М</w:t>
      </w:r>
      <w:r w:rsidRPr="00507A31">
        <w:rPr>
          <w:color w:val="000000" w:themeColor="text1"/>
          <w:sz w:val="16"/>
          <w:szCs w:val="16"/>
        </w:rPr>
        <w:noBreakHyphen/>
        <w:t>5 400</w:t>
      </w:r>
      <w:r w:rsidRPr="00507A31">
        <w:rPr>
          <w:color w:val="000000" w:themeColor="text1"/>
          <w:sz w:val="16"/>
          <w:szCs w:val="16"/>
        </w:rPr>
        <w:noBreakHyphen/>
        <w:t>420 НР современным требованиям мощных моторов, а также ввиду недостаточности продукции заводов № 26 и 29 по мощным моторам для покрытия потребностей ВВС РККА на мирное и военное время, и учитывая полное отсутствие внутри страны других конструктивно законченных мощных современных моторов водяного охлаждения, кроме М</w:t>
      </w:r>
      <w:r w:rsidRPr="00507A31">
        <w:rPr>
          <w:color w:val="000000" w:themeColor="text1"/>
          <w:sz w:val="16"/>
          <w:szCs w:val="16"/>
        </w:rPr>
        <w:noBreakHyphen/>
        <w:t>17 (лицензионный БМВ</w:t>
      </w:r>
      <w:r w:rsidRPr="00507A31">
        <w:rPr>
          <w:color w:val="000000" w:themeColor="text1"/>
          <w:sz w:val="16"/>
          <w:szCs w:val="16"/>
        </w:rPr>
        <w:noBreakHyphen/>
        <w:t>VI) 450</w:t>
      </w:r>
      <w:r w:rsidRPr="00507A31">
        <w:rPr>
          <w:color w:val="000000" w:themeColor="text1"/>
          <w:sz w:val="16"/>
          <w:szCs w:val="16"/>
        </w:rPr>
        <w:noBreakHyphen/>
        <w:t>600</w:t>
      </w:r>
      <w:r w:rsidRPr="00507A31">
        <w:rPr>
          <w:color w:val="000000" w:themeColor="text1"/>
          <w:sz w:val="16"/>
          <w:szCs w:val="16"/>
        </w:rPr>
        <w:noBreakHyphen/>
        <w:t>750 НР, обязать Президиум ВСНХ СССР немедленно приступить к постановке серийного производства моторов М</w:t>
      </w:r>
      <w:r w:rsidRPr="00507A31">
        <w:rPr>
          <w:color w:val="000000" w:themeColor="text1"/>
          <w:sz w:val="16"/>
          <w:szCs w:val="16"/>
        </w:rPr>
        <w:noBreakHyphen/>
        <w:t>17 на заводе № 24 с тем, чтобы этим заводом было предъявлено 80 моторов М</w:t>
      </w:r>
      <w:r w:rsidRPr="00507A31">
        <w:rPr>
          <w:color w:val="000000" w:themeColor="text1"/>
          <w:sz w:val="16"/>
          <w:szCs w:val="16"/>
        </w:rPr>
        <w:noBreakHyphen/>
        <w:t>17 и из них сдано ВВС РККА 40 шт. к 1 октября 1930 г.</w:t>
      </w:r>
    </w:p>
    <w:p w14:paraId="7F1545A8"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5. Обязать Президиум ВСНХ СССР при организации и постановке в Союзе серийного производства моторов М</w:t>
      </w:r>
      <w:r w:rsidRPr="00507A31">
        <w:rPr>
          <w:color w:val="000000" w:themeColor="text1"/>
          <w:sz w:val="16"/>
          <w:szCs w:val="16"/>
        </w:rPr>
        <w:noBreakHyphen/>
        <w:t>17 и М</w:t>
      </w:r>
      <w:r w:rsidRPr="00507A31">
        <w:rPr>
          <w:color w:val="000000" w:themeColor="text1"/>
          <w:sz w:val="16"/>
          <w:szCs w:val="16"/>
        </w:rPr>
        <w:noBreakHyphen/>
        <w:t>22 принять все меры к тому, чтобы до 1 октября 1930 г. предъявить НКВМ 300 моторов М</w:t>
      </w:r>
      <w:r w:rsidRPr="00507A31">
        <w:rPr>
          <w:color w:val="000000" w:themeColor="text1"/>
          <w:sz w:val="16"/>
          <w:szCs w:val="16"/>
        </w:rPr>
        <w:noBreakHyphen/>
        <w:t>17 и 10 моторов М</w:t>
      </w:r>
      <w:r w:rsidRPr="00507A31">
        <w:rPr>
          <w:color w:val="000000" w:themeColor="text1"/>
          <w:sz w:val="16"/>
          <w:szCs w:val="16"/>
        </w:rPr>
        <w:noBreakHyphen/>
        <w:t>22 и, сверх этого, до 1 октября 1931 г. предъявить и сдать не менее 1 тыс. моторов М</w:t>
      </w:r>
      <w:r w:rsidRPr="00507A31">
        <w:rPr>
          <w:color w:val="000000" w:themeColor="text1"/>
          <w:sz w:val="16"/>
          <w:szCs w:val="16"/>
        </w:rPr>
        <w:noBreakHyphen/>
        <w:t>17 и 200 моторов М</w:t>
      </w:r>
      <w:r w:rsidRPr="00507A31">
        <w:rPr>
          <w:color w:val="000000" w:themeColor="text1"/>
          <w:sz w:val="16"/>
          <w:szCs w:val="16"/>
        </w:rPr>
        <w:noBreakHyphen/>
        <w:t>22.</w:t>
      </w:r>
    </w:p>
    <w:p w14:paraId="6E1E47BF"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6. Обязать Президиум ВСНХ СССР полностью использовать свои права по договору на лицензию и техническую помощь по производству мощных моторов М</w:t>
      </w:r>
      <w:r w:rsidRPr="00507A31">
        <w:rPr>
          <w:color w:val="000000" w:themeColor="text1"/>
          <w:sz w:val="16"/>
          <w:szCs w:val="16"/>
        </w:rPr>
        <w:noBreakHyphen/>
        <w:t>17 и М</w:t>
      </w:r>
      <w:r w:rsidRPr="00507A31">
        <w:rPr>
          <w:color w:val="000000" w:themeColor="text1"/>
          <w:sz w:val="16"/>
          <w:szCs w:val="16"/>
        </w:rPr>
        <w:noBreakHyphen/>
        <w:t>22 как в отношении командирования своих специалистов на заводы германской фирмы «БМВ» и французской фирмы «Гном и Рон», так и в отношении приглашения специалистов указанных фирм на соответствующие заводы Авиатреста для организации производства и усовершенствования технологических и технических процессов обработки.</w:t>
      </w:r>
    </w:p>
    <w:p w14:paraId="1AB36532"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7. Ассигновать в 1929/30 г. на подготовку и организацию серийного производства моторов М</w:t>
      </w:r>
      <w:r w:rsidRPr="00507A31">
        <w:rPr>
          <w:color w:val="000000" w:themeColor="text1"/>
          <w:sz w:val="16"/>
          <w:szCs w:val="16"/>
        </w:rPr>
        <w:noBreakHyphen/>
        <w:t>17 на заводе № 24 Авиатреста за счет текущей сметы ВСНХ СССР 2,4 млн. руб., в том числе инвалюты и лицензионного контингента 250 тыс. руб.</w:t>
      </w:r>
    </w:p>
    <w:p w14:paraId="6F3DFDE9"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8. Обязать ВСНХ СССР принять все меры к организации и постановке в Союзе производства коленчатых валов и роликов для моторов М</w:t>
      </w:r>
      <w:r w:rsidRPr="00507A31">
        <w:rPr>
          <w:color w:val="000000" w:themeColor="text1"/>
          <w:sz w:val="16"/>
          <w:szCs w:val="16"/>
        </w:rPr>
        <w:noBreakHyphen/>
        <w:t>17 в размерах, полностью покрывающих потребности воздушного флота в этих агрегатах, широко используя для этой цели опыт и техпомощь «Круппа».</w:t>
      </w:r>
    </w:p>
    <w:p w14:paraId="3842D02D"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9. Виду того что потребности ВВС РККА в мощных моторах М</w:t>
      </w:r>
      <w:r w:rsidRPr="00507A31">
        <w:rPr>
          <w:color w:val="000000" w:themeColor="text1"/>
          <w:sz w:val="16"/>
          <w:szCs w:val="16"/>
        </w:rPr>
        <w:noBreakHyphen/>
        <w:t>17 и М</w:t>
      </w:r>
      <w:r w:rsidRPr="00507A31">
        <w:rPr>
          <w:color w:val="000000" w:themeColor="text1"/>
          <w:sz w:val="16"/>
          <w:szCs w:val="16"/>
        </w:rPr>
        <w:noBreakHyphen/>
        <w:t>22 не покрываются даже по мирному времени и ввиду необходимости практической проверки мобрасчета и мобготовности промышленности, обязать Президиум ВСНХ СССР совместно с НКВМ разработать и не позднее 15 февраля 1930 г. представить в РЗ СТО организационно-финансовый план перевода заводов № 29 и 26, каждого в отдельности, на военное положение. При разработке орг[анизационно]-фин[ансового] плана исходить из того, что мобилизация заводов № 29 и 26 Авиатреста не должна ни в какой мере отразиться на укомплектовании рабочей силой и техническим персоналом, а также на снабжении сырьем и полуфабрикатами отдельных заводов ВСНХ, работающих на оборону.</w:t>
      </w:r>
    </w:p>
    <w:p w14:paraId="763923FD"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10. Ввиду полного отсутствия в СССР гидросамолетов-разведчиков лодочного типа обязать НКВМ выбрать в срочном порядке на внешнем рынке соответствующий образец, а ВСНХ СССР приобрести лицензию и техническую помощь на организацию серийного производства в СССР этого образца гидросамолетов ближней разведки.</w:t>
      </w:r>
    </w:p>
    <w:p w14:paraId="0926925B"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11. Обязать ВСНХ СССР не позднее 15 февраля с. г. закончить переговоры с фирмой «Хейнкель» о приобретении лицензий и технической помощи на постановку в СССР производства истребителей сварных конструкций.</w:t>
      </w:r>
    </w:p>
    <w:p w14:paraId="27C960D6"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12. Обязать Президиум ВСНХ СССР развернуть к 1 октября 1930 г. производство стандартных масел и стандартного не детонирующего топлива до размеров, полностью покрывающих потребности воздушного флота РККА в мирное и военное время.</w:t>
      </w:r>
    </w:p>
    <w:p w14:paraId="7394B8EC" w14:textId="77777777" w:rsidR="000071F8" w:rsidRPr="00507A31" w:rsidRDefault="000071F8" w:rsidP="00507A31">
      <w:pPr>
        <w:jc w:val="both"/>
        <w:rPr>
          <w:color w:val="000000" w:themeColor="text1"/>
          <w:sz w:val="16"/>
          <w:szCs w:val="16"/>
        </w:rPr>
      </w:pPr>
      <w:r w:rsidRPr="00507A31">
        <w:rPr>
          <w:color w:val="000000" w:themeColor="text1"/>
          <w:sz w:val="16"/>
          <w:szCs w:val="16"/>
        </w:rPr>
        <w:t>II.</w:t>
      </w:r>
    </w:p>
    <w:p w14:paraId="2B872501"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 xml:space="preserve">1. Констатировать: а) ограниченность и слабую подготовку материальной базы опытного строительства (недостаточность финансирования, слабость конструкторских бюро и т. д.) воздушного флота, совершенно не удовлетворяющей потребностей обороны и не соответствующей директивам правительства, особенно в отношении </w:t>
      </w:r>
      <w:r w:rsidRPr="00507A31">
        <w:rPr>
          <w:color w:val="000000" w:themeColor="text1"/>
          <w:sz w:val="16"/>
          <w:szCs w:val="16"/>
        </w:rPr>
        <w:lastRenderedPageBreak/>
        <w:t>авиамоторов и гидросамолетов и б) наличие длительного организованного вредительства в опытном строительстве и процессе внедрения новых типов конструкций в серийное производство.</w:t>
      </w:r>
    </w:p>
    <w:p w14:paraId="7AA36729"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2. Признать недостаточным отпуск средств в текущем году на опытное строительство воздушного флота и, в частности, на закупку наиболее современных и совершенных иностранных опытных образцов моторов и самолетов. Обязать НКВМ и Президиум ВСНХ СССР выделить из своих смет 1929/30 г. необходимые дополнительные суммы для усиления объема и темпа опытного строительства и закупки заграничных образцов самолетов и моторов.</w:t>
      </w:r>
    </w:p>
    <w:p w14:paraId="69B97AE4"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3. В целях усиления темпа опытного строительства воздушного флота обязать Президиум ВСНХ СССР:</w:t>
      </w:r>
    </w:p>
    <w:p w14:paraId="0BAC655B"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а) немедленно приступить к организации 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одновременно принять меры к развитию работ по конструированию и производству опытных образцов самолетов в Авиатресте;</w:t>
      </w:r>
    </w:p>
    <w:p w14:paraId="6FB91671"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б) урегулировать взаимоотношения между научно-исследовательскими институтами и заводами серийного производства и опытного строительства, для чего не позднее 15 марта 1930 г. издать особое положение о взаимоотношениях названных учреждений внутри промышленности;</w:t>
      </w:r>
    </w:p>
    <w:p w14:paraId="2A9EEAB5"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в) проводить ежегодно, начиная с текущего года, конкурсы на опытные образцы моторов, самолетов, вооружения, оборудования и других предметов специального снабжения воздушного флота, исходя при этом из технических и тактических требований, предъявляемых НКВоенмором к опытным образцам;</w:t>
      </w:r>
    </w:p>
    <w:p w14:paraId="2D9EECC2"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г) закончить к 1 октября 1930 г. постройку и оборудование НАМИ и организовать опытное строительство авиадвигателей всех видов, родов и назначений, включая нефтяные, турбинные и пр.;</w:t>
      </w:r>
    </w:p>
    <w:p w14:paraId="44EDA17F"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д) выделить на заводе № 24 опытное строительство авиамоторов водяного и воздушного охлаждения из серийного производства;</w:t>
      </w:r>
    </w:p>
    <w:p w14:paraId="6B5968DD"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е) создать к 1 октября 1930 г. при всех заводах, перешедших на серийное производство авиамоторов, достаточно мощные конструкторские бюро по усовершенствованию типов конструкций, состоящих в серийном производстве на этих заводах моторов;</w:t>
      </w:r>
    </w:p>
    <w:p w14:paraId="6018DD6B"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ж) поручить соответствующим научно-исследовательским институтам ВСНХ СССР приступить немедленно к изучению и изысканиям высокосортных сталей и легких цветных сплавов для нужд авиапромышленности (электронная сталь, дюраль и пр.), обеспечив эти работы полностью специальными ассигнованиями за счет текущей сметы ВСНХ СССР;</w:t>
      </w:r>
    </w:p>
    <w:p w14:paraId="34F34AE2"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з) поручить научно-исследовательским институтам и лабораториям химической и нефтяной промышленности приступить немедленно к исследовательским и опытным работам по подбору стандартов топлива и масел для мощных авиамоторов с высокой степенью сжатия и высоким числом оборотов в минуту;</w:t>
      </w:r>
    </w:p>
    <w:p w14:paraId="748C80FD"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и) создать при новом заводе Авиатреста по вооружению, постройка коего предусмотрена постановлением РЗ СТО от 16 октября 1929 г., конструкторское бюро по разработке и постройке опытных образцов турелей, пулеметных установок, бомбодержателей и других приспособлений для вооружения самолетов;</w:t>
      </w:r>
    </w:p>
    <w:p w14:paraId="4D3D4F4A"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к) возложить на Вохимтрест разработку в 1929/30 г. осветительных и дымообразовательских пиротехнических средств для воздушного флота;</w:t>
      </w:r>
    </w:p>
    <w:p w14:paraId="44179A95"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л) поручить Тресту слабых токов закончить к 1 октября 1930 г. организацию опытного отдела по радио, расширив пропускные способности конструкторских бюро и опытных мастерских до размеров, полностью покрывающих потребности воздушного флота в радиоустановках;</w:t>
      </w:r>
    </w:p>
    <w:p w14:paraId="589211A8"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м) возложить на Всесоюзное электротехническое объединение своевременное и полное обеспечение электротехническим оборудованием и приборами зажигания самолетов, аэродромов, аэропортов и воздушных линий;</w:t>
      </w:r>
    </w:p>
    <w:p w14:paraId="76BC3777"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н) поручить Всесоюзному оптико-механическому тресту работы по образцам фотооптических и оптико-метеорологических приборов; возложить на заводы «Авиаприбор» и «Геофизика» обязанности по конструированию и постройке опытных образцов приборов по аэронавигации и метеорологии;</w:t>
      </w:r>
    </w:p>
    <w:p w14:paraId="2DA8BD7A"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о) решительнее и шире привлекать из-за границы высококвалифицированных специалистов-конструкторов, организаторов производства и целых конструкторских бюро как по самолетам, так и, особенно, по моторам;</w:t>
      </w:r>
    </w:p>
    <w:p w14:paraId="3D79C4DE"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п) сократить сроки конструирования и постройки новых типов самолетов и моторов, а также сроки внедрения их в серийное производство, добиваясь в этом отношении положения, которое имеется за границей.</w:t>
      </w:r>
    </w:p>
    <w:p w14:paraId="0382406F"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5. Обязать НКВМ и ВСНХ СССР к 1 марта 1930 г. представить в РЗ СТО:</w:t>
      </w:r>
    </w:p>
    <w:p w14:paraId="36EE9640"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а) конкретную программу развития опытного строительства на 1930/31</w:t>
      </w:r>
      <w:r w:rsidRPr="00507A31">
        <w:rPr>
          <w:color w:val="000000" w:themeColor="text1"/>
          <w:sz w:val="16"/>
          <w:szCs w:val="16"/>
        </w:rPr>
        <w:noBreakHyphen/>
        <w:t>1932/33 гг. по моторам, самолетам, вооружению, оборудованию и всем другим предметам специального снабжения воздушного флота (военного и гражданского); программа должна устанавливать ежегодные размеры средств, потребных на развертывание опытных и научно-исследовательских учреждений и на покупку опытных образцов самолетов, моторов и других предметов воздушного флота за границей;</w:t>
      </w:r>
    </w:p>
    <w:p w14:paraId="7A06EA5E"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б) проект положения о расширении прав и ответственности начальника ВВС РККА в деле контроля и наблюдения над опытным строительством воздушного флота во всех его стадиях.</w:t>
      </w:r>
    </w:p>
    <w:p w14:paraId="7659FF2C" w14:textId="77777777" w:rsidR="000071F8" w:rsidRPr="00507A31" w:rsidRDefault="000071F8" w:rsidP="00507A31">
      <w:pPr>
        <w:jc w:val="both"/>
        <w:rPr>
          <w:color w:val="000000" w:themeColor="text1"/>
          <w:sz w:val="16"/>
          <w:szCs w:val="16"/>
        </w:rPr>
      </w:pPr>
      <w:r w:rsidRPr="00507A31">
        <w:rPr>
          <w:color w:val="000000" w:themeColor="text1"/>
          <w:sz w:val="16"/>
          <w:szCs w:val="16"/>
        </w:rPr>
        <w:t>III.</w:t>
      </w:r>
    </w:p>
    <w:p w14:paraId="759F31E5"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 Поручить НК РКИ в 5</w:t>
      </w:r>
      <w:r w:rsidRPr="00507A31">
        <w:rPr>
          <w:color w:val="000000" w:themeColor="text1"/>
          <w:sz w:val="16"/>
          <w:szCs w:val="16"/>
        </w:rPr>
        <w:noBreakHyphen/>
        <w:t>месячный срок произвести обследование состояния авиапромышленности и связанных с ней научных учреждений (ЦАГИ, НАМИ, НТК и др.), обратив особое внимание на:</w:t>
      </w:r>
    </w:p>
    <w:p w14:paraId="774A0238"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а) состояние опытного строительства;</w:t>
      </w:r>
    </w:p>
    <w:p w14:paraId="6D440B10"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б) выявление действительных и производственных мощностей заводов на мирное и военное время и</w:t>
      </w:r>
    </w:p>
    <w:p w14:paraId="6669543B"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в) степень обеспеченности авиапромышленности сырьем и полуфабрикатами на год ведения войны.</w:t>
      </w:r>
    </w:p>
    <w:p w14:paraId="71D1392B"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Результаты обследования доложить РЗ СТО не позднее 1 июля 1930 г.</w:t>
      </w:r>
    </w:p>
    <w:p w14:paraId="028B0961"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2. Еще раз обязать Президиум ВСНХ СССР разработать и к 1 июня 1930 г. представить в РЗ СТО свои конкретные предложения по вопросу об ассимиляции и кооперировании авиапромышленности с авто- и тракторопромышленностью.</w:t>
      </w:r>
    </w:p>
    <w:p w14:paraId="2AF3914D"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3. Распространить действие п. 11 постановления РЗ СТО от 16 октября 1929 г.²* и в отношении настоящего постановления.</w:t>
      </w:r>
    </w:p>
    <w:p w14:paraId="5D1A0041"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4. Работу Комиссии т. </w:t>
      </w:r>
      <w:hyperlink r:id="rId10" w:history="1">
        <w:r w:rsidRPr="00507A31">
          <w:rPr>
            <w:color w:val="000000" w:themeColor="text1"/>
            <w:sz w:val="16"/>
            <w:szCs w:val="16"/>
          </w:rPr>
          <w:t>Уншлихта</w:t>
        </w:r>
      </w:hyperlink>
      <w:r w:rsidRPr="00507A31">
        <w:rPr>
          <w:color w:val="000000" w:themeColor="text1"/>
          <w:sz w:val="16"/>
          <w:szCs w:val="16"/>
        </w:rPr>
        <w:t>, образованной постановлением № 37 от 29 июля 1929 г.³*, считать законченной.</w:t>
      </w:r>
    </w:p>
    <w:p w14:paraId="4988A0D1" w14:textId="77777777" w:rsidR="000071F8" w:rsidRPr="00507A31" w:rsidRDefault="000071F8"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Председатель Совета труда и обороны </w:t>
      </w:r>
      <w:hyperlink r:id="rId11" w:history="1">
        <w:r w:rsidRPr="00507A31">
          <w:rPr>
            <w:rStyle w:val="af0"/>
            <w:i w:val="0"/>
            <w:color w:val="000000" w:themeColor="text1"/>
            <w:sz w:val="16"/>
            <w:szCs w:val="16"/>
          </w:rPr>
          <w:t>А. И. Рыков</w:t>
        </w:r>
      </w:hyperlink>
    </w:p>
    <w:p w14:paraId="198E5EA6" w14:textId="77777777" w:rsidR="000071F8" w:rsidRPr="00507A31" w:rsidRDefault="000071F8"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Управделами СНК СССР и Совета труда и обороны </w:t>
      </w:r>
      <w:hyperlink r:id="rId12" w:history="1">
        <w:r w:rsidRPr="00507A31">
          <w:rPr>
            <w:rStyle w:val="af0"/>
            <w:i w:val="0"/>
            <w:color w:val="000000" w:themeColor="text1"/>
            <w:sz w:val="16"/>
            <w:szCs w:val="16"/>
          </w:rPr>
          <w:t>Н. Горбунов</w:t>
        </w:r>
      </w:hyperlink>
    </w:p>
    <w:p w14:paraId="05D1CF4A" w14:textId="77777777" w:rsidR="000071F8" w:rsidRPr="00507A31" w:rsidRDefault="000071F8" w:rsidP="00507A31">
      <w:pPr>
        <w:pStyle w:val="ae"/>
        <w:spacing w:before="0" w:after="0"/>
        <w:jc w:val="both"/>
        <w:rPr>
          <w:color w:val="000000" w:themeColor="text1"/>
          <w:sz w:val="16"/>
          <w:szCs w:val="16"/>
        </w:rPr>
      </w:pPr>
      <w:r w:rsidRPr="00507A31">
        <w:rPr>
          <w:rStyle w:val="af0"/>
          <w:i w:val="0"/>
          <w:color w:val="000000" w:themeColor="text1"/>
          <w:sz w:val="16"/>
          <w:szCs w:val="16"/>
        </w:rPr>
        <w:t>Секретарь Распорядительных заседаний СТО </w:t>
      </w:r>
      <w:hyperlink r:id="rId13" w:history="1">
        <w:r w:rsidRPr="00507A31">
          <w:rPr>
            <w:rStyle w:val="af0"/>
            <w:i w:val="0"/>
            <w:color w:val="000000" w:themeColor="text1"/>
            <w:sz w:val="16"/>
            <w:szCs w:val="16"/>
          </w:rPr>
          <w:t>Аппога</w:t>
        </w:r>
      </w:hyperlink>
    </w:p>
    <w:p w14:paraId="5D09FA36" w14:textId="77777777" w:rsidR="000071F8" w:rsidRPr="00507A31" w:rsidRDefault="000071F8"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62D0C986"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w:t>
      </w:r>
      <w:r w:rsidRPr="00507A31">
        <w:rPr>
          <w:rStyle w:val="af0"/>
          <w:i w:val="0"/>
          <w:color w:val="000000" w:themeColor="text1"/>
          <w:sz w:val="16"/>
          <w:szCs w:val="16"/>
        </w:rPr>
        <w:t>Постановление РЗ СТО СССР «О мероприятиях по развитию авиапромышленности в течение 1929/30</w:t>
      </w:r>
      <w:r w:rsidRPr="00507A31">
        <w:rPr>
          <w:rStyle w:val="af0"/>
          <w:i w:val="0"/>
          <w:color w:val="000000" w:themeColor="text1"/>
          <w:sz w:val="16"/>
          <w:szCs w:val="16"/>
        </w:rPr>
        <w:noBreakHyphen/>
        <w:t>1932/33 г.» от 16 октября 1929 г.</w:t>
      </w:r>
      <w:r w:rsidRPr="00507A31">
        <w:rPr>
          <w:color w:val="000000" w:themeColor="text1"/>
          <w:sz w:val="16"/>
          <w:szCs w:val="16"/>
        </w:rPr>
        <w:t xml:space="preserve"> установило минимальную потребность воздушного флота СССР в самолетах и моторах на год ведения войны (для ВВС РККА и гражданской авиации). Решено было приступить в 1929/30 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 г. должна была достигнуть по заводу </w:t>
      </w:r>
      <w:r w:rsidRPr="00507A31">
        <w:rPr>
          <w:rStyle w:val="af0"/>
          <w:i w:val="0"/>
          <w:color w:val="000000" w:themeColor="text1"/>
          <w:sz w:val="16"/>
          <w:szCs w:val="16"/>
        </w:rPr>
        <w:t>«А» —</w:t>
      </w:r>
      <w:r w:rsidRPr="00507A31">
        <w:rPr>
          <w:color w:val="000000" w:themeColor="text1"/>
          <w:sz w:val="16"/>
          <w:szCs w:val="16"/>
        </w:rPr>
        <w:t xml:space="preserve"> до 860 и по заводу «Б» —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 г. на новом заводе, выделив их производство из серийных заводов. Производство самолетов в 1929/30 г. предполагалось в количестве 4106, в 1930/31 — 4489, в 1931/32 г. — 4892, в 1932/33 г. — 7098; моторов в 1929/30 г. — 4663, 1930/31 г. — 5330, в 1931/32 г. — 6224, в 1932/33 г. — 9297.</w:t>
      </w:r>
    </w:p>
    <w:p w14:paraId="7ED006B2"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w:t>
      </w:r>
      <w:r w:rsidRPr="00507A31">
        <w:rPr>
          <w:rStyle w:val="af0"/>
          <w:i w:val="0"/>
          <w:color w:val="000000" w:themeColor="text1"/>
          <w:sz w:val="16"/>
          <w:szCs w:val="16"/>
        </w:rPr>
        <w:t>Пункт 11 постановления РЗ СТО СССР от 16 октября 1929 г.</w:t>
      </w:r>
      <w:r w:rsidRPr="00507A31">
        <w:rPr>
          <w:color w:val="000000" w:themeColor="text1"/>
          <w:sz w:val="16"/>
          <w:szCs w:val="16"/>
        </w:rPr>
        <w:t xml:space="preserve"> гласил: «Обязать ВСНХ СССР через каждые 6 месяцев, начиная с 1 октября 1929 г., предоставлять в РЗ СТО доклады о ходе исполнения настоящего постановления».</w:t>
      </w:r>
    </w:p>
    <w:p w14:paraId="0D9DE5E2"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xml:space="preserve">* На заседании РЗ СТО СССР 29 июля 1929 г. для разработки постановления о мероприятиях по развитию авиапромышленности была образована </w:t>
      </w:r>
      <w:r w:rsidRPr="00507A31">
        <w:rPr>
          <w:rStyle w:val="af0"/>
          <w:i w:val="0"/>
          <w:color w:val="000000" w:themeColor="text1"/>
          <w:sz w:val="16"/>
          <w:szCs w:val="16"/>
        </w:rPr>
        <w:t>комиссия под руководством И. С. Уншлихта.</w:t>
      </w:r>
      <w:r w:rsidRPr="00507A31">
        <w:rPr>
          <w:color w:val="000000" w:themeColor="text1"/>
          <w:sz w:val="16"/>
          <w:szCs w:val="16"/>
        </w:rPr>
        <w:t xml:space="preserve"> Комиссия не позднее 1 декабря должна была представить предложения по вопросам: об усилении опытного строительства и конструкторских работ по самолетам, моторам, авиавооружению и оборудованию.</w:t>
      </w:r>
    </w:p>
    <w:p w14:paraId="7D88D575" w14:textId="77777777" w:rsidR="000071F8" w:rsidRPr="00507A31" w:rsidRDefault="000071F8" w:rsidP="00507A31">
      <w:pPr>
        <w:pStyle w:val="ae"/>
        <w:spacing w:before="0" w:after="0"/>
        <w:jc w:val="both"/>
        <w:rPr>
          <w:color w:val="000000" w:themeColor="text1"/>
          <w:sz w:val="16"/>
          <w:szCs w:val="16"/>
        </w:rPr>
      </w:pPr>
      <w:r w:rsidRPr="00507A31">
        <w:rPr>
          <w:color w:val="000000" w:themeColor="text1"/>
          <w:sz w:val="16"/>
          <w:szCs w:val="16"/>
        </w:rPr>
        <w:t>РГАЭ. Ф. 4372. Оп. 91. Д. 595. Л. 23—20. Заверенная копия.</w:t>
      </w:r>
    </w:p>
    <w:p w14:paraId="0571D8DA" w14:textId="77777777" w:rsidR="000071F8" w:rsidRPr="00507A31" w:rsidRDefault="000071F8" w:rsidP="00507A31">
      <w:pPr>
        <w:jc w:val="both"/>
        <w:rPr>
          <w:color w:val="000000" w:themeColor="text1"/>
          <w:sz w:val="16"/>
          <w:szCs w:val="16"/>
        </w:rPr>
      </w:pPr>
      <w:r w:rsidRPr="00507A31">
        <w:rPr>
          <w:color w:val="000000" w:themeColor="text1"/>
          <w:sz w:val="16"/>
          <w:szCs w:val="16"/>
        </w:rPr>
        <w:t xml:space="preserve">Архив: РГАЭ. Ф. 4372. Оп. 91. Д. 595. Л. 23—20. Заверенная копия. </w:t>
      </w:r>
    </w:p>
    <w:p w14:paraId="7B98D3AC" w14:textId="77777777" w:rsidR="000071F8" w:rsidRPr="00507A31" w:rsidRDefault="000071F8"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411-415 (12489).</w:t>
      </w:r>
    </w:p>
    <w:p w14:paraId="30FD5B55" w14:textId="77777777" w:rsidR="000071F8" w:rsidRPr="00507A31" w:rsidRDefault="000071F8" w:rsidP="00507A31">
      <w:pPr>
        <w:jc w:val="both"/>
        <w:rPr>
          <w:color w:val="000000" w:themeColor="text1"/>
          <w:sz w:val="16"/>
          <w:szCs w:val="16"/>
        </w:rPr>
      </w:pPr>
    </w:p>
    <w:p w14:paraId="02A58A7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3BD0498" w14:textId="77777777" w:rsidR="00537E5F" w:rsidRPr="00507A31" w:rsidRDefault="00537E5F" w:rsidP="00507A31">
      <w:pPr>
        <w:autoSpaceDE w:val="0"/>
        <w:autoSpaceDN w:val="0"/>
        <w:adjustRightInd w:val="0"/>
        <w:jc w:val="both"/>
        <w:rPr>
          <w:iCs/>
          <w:color w:val="000000" w:themeColor="text1"/>
          <w:sz w:val="16"/>
          <w:szCs w:val="16"/>
        </w:rPr>
      </w:pPr>
    </w:p>
    <w:p w14:paraId="2565F2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января 1930 состоялось техническое совещание руководителей групп отдела АГОС ЦАГИ и обсуждали ход проектирования АНТ-6 (ТБ-3) (1077,120), а также работу по АНТ-8 и расчет его крыла (1077,154).</w:t>
      </w:r>
    </w:p>
    <w:p w14:paraId="53074564" w14:textId="77777777" w:rsidR="00537E5F" w:rsidRPr="00507A31" w:rsidRDefault="00537E5F" w:rsidP="00507A31">
      <w:pPr>
        <w:autoSpaceDE w:val="0"/>
        <w:autoSpaceDN w:val="0"/>
        <w:adjustRightInd w:val="0"/>
        <w:jc w:val="both"/>
        <w:rPr>
          <w:color w:val="000000" w:themeColor="text1"/>
          <w:sz w:val="16"/>
          <w:szCs w:val="16"/>
        </w:rPr>
      </w:pPr>
    </w:p>
    <w:p w14:paraId="58FDDFE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15 января 1930 года предварительный проект мотора М-34 (мощность 750/900 л.с., высотность 5000 м, вес 480 кг, срок предъявления на гос. испытания утвержден Р3 СТО 1 января 1931 года) был рассмотрен на специальном совещании при УВВС, причем НАМИ было предложено окончательно доработать проект в духе указаний совещания. На указанном совещании был по согласованию с ВАО установлен порядок реализации мотора, по которому ВАО обязалось принимать его к постройке на завод 26. Однако далее начались длительные переговоры и переписка между ВАО и НАМИ по вопросу заключения договора, в результате чего было потеряно около 6 месяцев (6998, 9-14).</w:t>
      </w:r>
    </w:p>
    <w:p w14:paraId="1E835AD7"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3040AD3E" w14:textId="77777777" w:rsidR="00DA1AA9" w:rsidRPr="00507A31" w:rsidRDefault="00DA1AA9" w:rsidP="00507A31">
      <w:pPr>
        <w:jc w:val="both"/>
        <w:rPr>
          <w:color w:val="000000" w:themeColor="text1"/>
          <w:sz w:val="16"/>
          <w:szCs w:val="16"/>
        </w:rPr>
      </w:pPr>
      <w:r w:rsidRPr="00507A31">
        <w:rPr>
          <w:color w:val="000000" w:themeColor="text1"/>
          <w:sz w:val="16"/>
          <w:szCs w:val="16"/>
        </w:rPr>
        <w:t>15 января 1930 года показания Макаровского:</w:t>
      </w:r>
    </w:p>
    <w:p w14:paraId="3C42F3C6" w14:textId="77777777" w:rsidR="00DA1AA9" w:rsidRPr="00507A31" w:rsidRDefault="00DA1AA9" w:rsidP="00507A31">
      <w:pPr>
        <w:jc w:val="both"/>
        <w:rPr>
          <w:color w:val="000000" w:themeColor="text1"/>
          <w:sz w:val="16"/>
          <w:szCs w:val="16"/>
        </w:rPr>
      </w:pPr>
      <w:r w:rsidRPr="00507A31">
        <w:rPr>
          <w:color w:val="000000" w:themeColor="text1"/>
          <w:sz w:val="16"/>
          <w:szCs w:val="16"/>
        </w:rPr>
        <w:t>«</w:t>
      </w:r>
      <w:r w:rsidRPr="00507A31">
        <w:rPr>
          <w:bCs/>
          <w:color w:val="000000" w:themeColor="text1"/>
          <w:sz w:val="16"/>
          <w:szCs w:val="16"/>
        </w:rPr>
        <w:t xml:space="preserve">Когда МАКАРУК рассказывал мне, что в авиапромышленности существует и активно действует вредительская организация, я должен был немедленно доложить об этом Председателю Правления и ОГПУ. Так должен был поступить преданный Советской власти и спаянный с её интересами инженер, особенно если он занимает, как я, ответственную должность, как должность члена Правления треста. </w:t>
      </w:r>
    </w:p>
    <w:p w14:paraId="6F8EBB02"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Я этого не сделал, пропитанный этикой, бытом, взглядами и идеологией дореволюционной интеллигенции. Вдумываясь в свой поступок, я сознавал, что этим самым становлюсь участником вредительской организации, солидаризируюсь с её разрушительной работой. У меня ещё нет разрушительного участия, но за мной налицо ответственность за укрывательство, ответственность за пассивное соучастие. В этом акте моя исходная, моя первая и основная вина. </w:t>
      </w:r>
    </w:p>
    <w:p w14:paraId="51A931E3"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В моих руках, как члена Правления, большая административная власть, большой комплекс прав, которые я мог бы использовать в целях значительного ослабления работы вредительской организации. Моя вина в том, что эти средства я не использовал, что я занял позицию, которая у основных членов вредительской организации (МАКАРУКА, РУБЕНЧИКА, ТОКМАКОВА) создавала уверенность в том, что с этой стороны им ничего не угрожает и они могут углублять предательство. </w:t>
      </w:r>
    </w:p>
    <w:p w14:paraId="62EBBC89" w14:textId="77777777" w:rsidR="00DA1AA9" w:rsidRPr="00507A31" w:rsidRDefault="00DA1AA9" w:rsidP="00507A31">
      <w:pPr>
        <w:jc w:val="both"/>
        <w:rPr>
          <w:color w:val="000000" w:themeColor="text1"/>
          <w:sz w:val="16"/>
          <w:szCs w:val="16"/>
        </w:rPr>
      </w:pPr>
      <w:r w:rsidRPr="00507A31">
        <w:rPr>
          <w:bCs/>
          <w:color w:val="000000" w:themeColor="text1"/>
          <w:sz w:val="16"/>
          <w:szCs w:val="16"/>
        </w:rPr>
        <w:t>По мотивам, выявленным мною в основном, первом моём показании и в показании, характеризующем идеологическую сторону предательства, я примкнул, я стал на путь вредительства, стал членом организации со всеми вытекающими из этого последствиями</w:t>
      </w:r>
      <w:r w:rsidRPr="00507A31">
        <w:rPr>
          <w:color w:val="000000" w:themeColor="text1"/>
          <w:sz w:val="16"/>
          <w:szCs w:val="16"/>
        </w:rPr>
        <w:t>».</w:t>
      </w:r>
    </w:p>
    <w:p w14:paraId="08ACC344" w14:textId="77777777" w:rsidR="00DA1AA9" w:rsidRPr="00507A31" w:rsidRDefault="00DA1AA9" w:rsidP="00507A31">
      <w:pPr>
        <w:jc w:val="both"/>
        <w:rPr>
          <w:color w:val="000000" w:themeColor="text1"/>
          <w:sz w:val="16"/>
          <w:szCs w:val="16"/>
        </w:rPr>
      </w:pPr>
      <w:r w:rsidRPr="00507A31">
        <w:rPr>
          <w:color w:val="000000" w:themeColor="text1"/>
          <w:sz w:val="16"/>
          <w:szCs w:val="16"/>
        </w:rPr>
        <w:t xml:space="preserve">Примечательна заключительная фраза в показаниях Макаровского от 15 января 1930 года: </w:t>
      </w:r>
    </w:p>
    <w:p w14:paraId="66CBC5F7" w14:textId="77777777" w:rsidR="00DA1AA9" w:rsidRPr="00507A31" w:rsidRDefault="00DA1AA9" w:rsidP="00507A31">
      <w:pPr>
        <w:jc w:val="both"/>
        <w:rPr>
          <w:color w:val="000000" w:themeColor="text1"/>
          <w:sz w:val="16"/>
          <w:szCs w:val="16"/>
        </w:rPr>
      </w:pPr>
      <w:r w:rsidRPr="00507A31">
        <w:rPr>
          <w:bCs/>
          <w:color w:val="000000" w:themeColor="text1"/>
          <w:sz w:val="16"/>
          <w:szCs w:val="16"/>
        </w:rPr>
        <w:t>В предыдущих показаниях я назвал КОСТКИНА и ТИССОВА (плановик) как членов организации. Но они двое не могли провести всю работу. Ближайшее участие в проведении вредительства должен был принять УСПАССКИЙ, как Зав. в основных стадиях, Зав. механич. мастерской САВИНЫХ и Зав. металлург. отд. МУЗАЛЕВСКИЙ, не поставивший в нужных количествах производство расчалок, литья и месяцами тормозивший подачу их зав. №№31, 23 и 25 (12724).</w:t>
      </w:r>
    </w:p>
    <w:p w14:paraId="327692C3" w14:textId="77777777" w:rsidR="00DA1AA9" w:rsidRPr="00507A31" w:rsidRDefault="00DA1AA9" w:rsidP="00507A31">
      <w:pPr>
        <w:jc w:val="both"/>
        <w:rPr>
          <w:color w:val="000000" w:themeColor="text1"/>
          <w:sz w:val="16"/>
          <w:szCs w:val="16"/>
        </w:rPr>
      </w:pPr>
    </w:p>
    <w:p w14:paraId="09E90A4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C3AF0B2" w14:textId="77777777" w:rsidR="00537E5F" w:rsidRPr="00507A31" w:rsidRDefault="00537E5F" w:rsidP="00507A31">
      <w:pPr>
        <w:autoSpaceDE w:val="0"/>
        <w:autoSpaceDN w:val="0"/>
        <w:adjustRightInd w:val="0"/>
        <w:jc w:val="both"/>
        <w:rPr>
          <w:iCs/>
          <w:color w:val="000000" w:themeColor="text1"/>
          <w:sz w:val="16"/>
          <w:szCs w:val="16"/>
        </w:rPr>
      </w:pPr>
    </w:p>
    <w:p w14:paraId="0C30C6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января 1930 Политбюро ЦК ВКП(б) заслушала доклады РВС о состоянии ВС и ВСНХ о моб. подготовке промышленности. Политбюро сказало, что 600 млрд. выделенных в 1924-1929 - достаточно много, а ВСНХ предлагает уровень, не превосходящий уровень 1916 (1566,72).</w:t>
      </w:r>
    </w:p>
    <w:p w14:paraId="4637A9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постановлении Полит</w:t>
      </w:r>
      <w:r w:rsidRPr="00507A31">
        <w:rPr>
          <w:color w:val="000000" w:themeColor="text1"/>
          <w:sz w:val="16"/>
          <w:szCs w:val="16"/>
        </w:rPr>
        <w:softHyphen/>
        <w:t>бюро отмечается, что крупные капитальные вложения в военно-промышленные производства (около 600 млн. руб. за 1924-1929 гг.) должны были в основном обеспечить удовлетворение потребностей Красной Армии на первый год войны в соответст</w:t>
      </w:r>
      <w:r w:rsidRPr="00507A31">
        <w:rPr>
          <w:color w:val="000000" w:themeColor="text1"/>
          <w:sz w:val="16"/>
          <w:szCs w:val="16"/>
        </w:rPr>
        <w:softHyphen/>
        <w:t>вии с показателями мобплана «С-30». По мнению Политбюро ЦК ВКП(б), соображения ВСНХ относительно возможной под</w:t>
      </w:r>
      <w:r w:rsidRPr="00507A31">
        <w:rPr>
          <w:color w:val="000000" w:themeColor="text1"/>
          <w:sz w:val="16"/>
          <w:szCs w:val="16"/>
        </w:rPr>
        <w:softHyphen/>
        <w:t>ачи основных предметов вооружения не выдерживают критики, поскольку не превышают уровня производства, достигнутого промышленностью царской России в 1915-1916 годы. ВСНХ СССР В категорической форме предписывалось обеспечить, начиная со второй половины 1930 г. подачу винтовочных патронов, пулемемнтов, артиллерийских систем и выстрелов, предусмотренную моб-заданием.</w:t>
      </w:r>
    </w:p>
    <w:p w14:paraId="605FC5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обеспечения выполнения установленного задания Полит</w:t>
      </w:r>
      <w:r w:rsidRPr="00507A31">
        <w:rPr>
          <w:color w:val="000000" w:themeColor="text1"/>
          <w:sz w:val="16"/>
          <w:szCs w:val="16"/>
        </w:rPr>
        <w:softHyphen/>
        <w:t>бюро ЦК ВКП(б) обязывал ВСНХ к 1 марта 1931 г. закончить строительство Березниковского и Чернореченского химических заводов, к 1 октября — Горловского и Бобриковского комбина</w:t>
      </w:r>
      <w:r w:rsidRPr="00507A31">
        <w:rPr>
          <w:color w:val="000000" w:themeColor="text1"/>
          <w:sz w:val="16"/>
          <w:szCs w:val="16"/>
        </w:rPr>
        <w:softHyphen/>
        <w:t>тов и Московского толуолового завода. В постановлении Полит</w:t>
      </w:r>
      <w:r w:rsidRPr="00507A31">
        <w:rPr>
          <w:color w:val="000000" w:themeColor="text1"/>
          <w:sz w:val="16"/>
          <w:szCs w:val="16"/>
        </w:rPr>
        <w:softHyphen/>
        <w:t>бюро, между прочим, предусматривалось введение пониженных кондиций для изготовления патронов и снарядов (замена латуни и ^мельхиора плакированным железом). Сверх ввозимых по им</w:t>
      </w:r>
      <w:r w:rsidRPr="00507A31">
        <w:rPr>
          <w:color w:val="000000" w:themeColor="text1"/>
          <w:sz w:val="16"/>
          <w:szCs w:val="16"/>
        </w:rPr>
        <w:softHyphen/>
        <w:t>портному плану 1929/30 г. 29 тыс. тонн натриевой селитры пре</w:t>
      </w:r>
      <w:r w:rsidRPr="00507A31">
        <w:rPr>
          <w:color w:val="000000" w:themeColor="text1"/>
          <w:sz w:val="16"/>
          <w:szCs w:val="16"/>
        </w:rPr>
        <w:softHyphen/>
        <w:t>дусматривалось закупить за рубежом дополнительно еще 4 0 тыс. тонн, для увеличения производства пороха и взрывчатых веществ ГАРФ ф.8418, оп. 11. 9, д. 78, л. 81-87) (1566).</w:t>
      </w:r>
    </w:p>
    <w:p w14:paraId="553AFF1B" w14:textId="77777777" w:rsidR="00537E5F" w:rsidRPr="00507A31" w:rsidRDefault="00537E5F" w:rsidP="00507A31">
      <w:pPr>
        <w:autoSpaceDE w:val="0"/>
        <w:autoSpaceDN w:val="0"/>
        <w:adjustRightInd w:val="0"/>
        <w:jc w:val="both"/>
        <w:rPr>
          <w:color w:val="000000" w:themeColor="text1"/>
          <w:sz w:val="16"/>
          <w:szCs w:val="16"/>
        </w:rPr>
      </w:pPr>
    </w:p>
    <w:p w14:paraId="53598F3E" w14:textId="77777777" w:rsidR="000071F8" w:rsidRPr="00507A31" w:rsidRDefault="000071F8" w:rsidP="00507A31">
      <w:pPr>
        <w:jc w:val="both"/>
        <w:rPr>
          <w:color w:val="000000" w:themeColor="text1"/>
          <w:sz w:val="16"/>
          <w:szCs w:val="16"/>
        </w:rPr>
      </w:pPr>
      <w:r w:rsidRPr="00507A31">
        <w:rPr>
          <w:color w:val="000000" w:themeColor="text1"/>
          <w:sz w:val="16"/>
          <w:szCs w:val="16"/>
        </w:rPr>
        <w:t>15 января 1930 г. — Постановление Политбюро ЦК ВКП(б) «О мобподготовке промышленности»</w:t>
      </w:r>
    </w:p>
    <w:p w14:paraId="2DD90E99" w14:textId="77777777" w:rsidR="000071F8" w:rsidRPr="00507A31" w:rsidRDefault="000071F8" w:rsidP="00507A31">
      <w:pPr>
        <w:jc w:val="both"/>
        <w:rPr>
          <w:color w:val="000000" w:themeColor="text1"/>
          <w:sz w:val="16"/>
          <w:szCs w:val="16"/>
        </w:rPr>
      </w:pPr>
      <w:r w:rsidRPr="00507A31">
        <w:rPr>
          <w:color w:val="000000" w:themeColor="text1"/>
          <w:sz w:val="16"/>
          <w:szCs w:val="16"/>
        </w:rPr>
        <w:t>I</w:t>
      </w:r>
    </w:p>
    <w:p w14:paraId="7B11CB96"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 Достигнутые уровни и темпы развития индустрии Советского Союза, крупные вложения (около 600 млн. руб. за период с 1924 г. по 1 января 1930 г.) на капитальное строительство военной промышленности и военных производств гражданской промышленности должны в основном обеспечить полное удовлетворение минимальных потребностей вооруженного фронта в условиях войны, согласно решению РЗ СТО от 20 декабря 1928 г. по литере «С» на первый год, однако до настоящего времени ВСНХ СССР не разработал реального плана мобилизации промышленности. Поэтому в случае возникновения войны до 1 июля 1930 г. (срок окончания разработки очередного варианта мобплана) промышленность вынуждена будет развернуться и работать без плана.</w:t>
      </w:r>
    </w:p>
    <w:p w14:paraId="74BC28AF"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2. Разработанные ВСНХ СССР соображения об удовлетворении потребностей вооруженных сил в случае возникновения войны в 1930 г. предусматривают подачу в первый год ведения войны около 11 млн. выстрелов всех калибров и 2200 млн. винтпатронов. Это количество подачи выстрелов не превышает количества полученного с заводов царской России в 1915 г. (11,3 млн.) и значительно ниже количества, изготовленного в течение 1916 г. (32,5 млн., из них 22,5 млн. внутреннего производства, при обеспеченности порохами внутреннего производства 13 млн. выстрелов).</w:t>
      </w:r>
    </w:p>
    <w:p w14:paraId="7171B0B1"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Подача материальной части войсковой артиллерии значительно ниже уровня 1916 г. и составляет по первому году войны около 47% и по второму 60% от 1916 г.</w:t>
      </w:r>
    </w:p>
    <w:p w14:paraId="31945E87"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Особо недостаточной необходимо признать подачу орудий для полевой тяжелой артиллерии (корпусной), несмотря на то что за последние годы основной капитал артиллерийских заводов увеличился на 90 млн. руб. по сравнению с 1916 г.</w:t>
      </w:r>
    </w:p>
    <w:p w14:paraId="23FB2DFF"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Обеспечение же снабжения вооруженных сил на второй год ведения войны, а особенно первое полугодие его, по проектировкам ВСНХ СССР по сравнению с первым годом, в течение которого армия, помимо продукции промышленности, располагает мобзапасами, значительно снизится.</w:t>
      </w:r>
    </w:p>
    <w:p w14:paraId="76205804"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3. Утвердить следующие минимальные размеры подачи промышленностью для обеспечения потребностей вооруженных сил в случае возникновения войны в 1930 г.: в течение первого года войны (начиная с 1 июля 1930 г.) артиллерийских выстрелов — 19 млн. (в том числе 4,5 млн. гаубичных выстрелов); винтпатронов — 3 млрд.; станковых и ручных пулеметов — 53,5 тыс.; орудий — в количестве, предусмотренном постановлением РЗ СТО от 23 августа 1928 г.</w:t>
      </w:r>
    </w:p>
    <w:p w14:paraId="51DD7D20"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4. Обязать ВСНХ СССР к 1 июля 1930 г. закончить разработку конкретного плана мобилизации промышленности, обеспечивающего полную подачу в размерах, установленных в ст. 4 настоящего постановления.</w:t>
      </w:r>
    </w:p>
    <w:p w14:paraId="39160F37"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Кроме этого, при разработке мобплана обеспечить резервы мощностей для производства мелкокалиберной артиллерии и снарядов на первый и второй год ведения войны.</w:t>
      </w:r>
    </w:p>
    <w:p w14:paraId="1E527B9D" w14:textId="77777777" w:rsidR="000071F8" w:rsidRPr="00507A31" w:rsidRDefault="000071F8" w:rsidP="00507A31">
      <w:pPr>
        <w:jc w:val="both"/>
        <w:rPr>
          <w:color w:val="000000" w:themeColor="text1"/>
          <w:sz w:val="16"/>
          <w:szCs w:val="16"/>
        </w:rPr>
      </w:pPr>
      <w:r w:rsidRPr="00507A31">
        <w:rPr>
          <w:color w:val="000000" w:themeColor="text1"/>
          <w:sz w:val="16"/>
          <w:szCs w:val="16"/>
        </w:rPr>
        <w:t>II</w:t>
      </w:r>
    </w:p>
    <w:p w14:paraId="5D5CE636"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Для обеспечения выполнения установленного задания признать необходимым:</w:t>
      </w:r>
    </w:p>
    <w:p w14:paraId="4FF89DF4"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 Обязать ВСНХ СССР и НКВМ к 1 марта 1930 г. окончательно разрешить вопрос о замене патронной латуни и пульного мельхиора плакированным железом и к 1 июля 1930 г. развернуть массовое производство в соответствии с потребностями НКВМ.</w:t>
      </w:r>
    </w:p>
    <w:p w14:paraId="0FD0688B"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2. Категорически подтвердить необходимость закончить строительство Березниковского комбината к 1 марта 1931 г. и Чернореченского завода к 1 июля 1930 г., возложив персональную ответственность за выполнение этого задания на председателя Химического объединения т. </w:t>
      </w:r>
      <w:hyperlink r:id="rId14" w:history="1">
        <w:r w:rsidRPr="00507A31">
          <w:rPr>
            <w:color w:val="000000" w:themeColor="text1"/>
            <w:sz w:val="16"/>
            <w:szCs w:val="16"/>
          </w:rPr>
          <w:t>Томского.</w:t>
        </w:r>
      </w:hyperlink>
    </w:p>
    <w:p w14:paraId="49475A3D"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Категорически подтвердить необходимость полного завоза импортного оборудования для этих заводов в сроки, установленные РЗ СТО решением от 13 октября 1929 г. (пр[отокол] № 40, п. 7)¹*.</w:t>
      </w:r>
    </w:p>
    <w:p w14:paraId="515DA369"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Строительство Горловского и Бобриковского комбинатов закончить к 1 октября 1931 г.</w:t>
      </w:r>
    </w:p>
    <w:p w14:paraId="1052D767"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3. Признать необходимым завезти к 1 июля 1930 г., сверх 29 тыс. т, завозимых по резервному импортному плану 1929/30 г., 40 тыс. т натриевой селитры²*.</w:t>
      </w:r>
    </w:p>
    <w:p w14:paraId="551E3F3E"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4. Обязать ВСНХ СССР и НКТорг СССР к 1 июля 1930 г. ввезти импортное оборудование по окислительным установкам для военной промышленности.</w:t>
      </w:r>
    </w:p>
    <w:p w14:paraId="046D098A"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5. Обязать ВСНХ СССР не позднее 1 января 1931 г. закончить строительство «Укрвзрывзавода» по нитроглицериновым порохам.</w:t>
      </w:r>
    </w:p>
    <w:p w14:paraId="6613A8B4"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6. В целях увеличения производства порохов и взрывчатых веществ ВСНХ СССР усилить работу по рационализации, пересмотрев и усовершенствовав технологические процессы производства.</w:t>
      </w:r>
    </w:p>
    <w:p w14:paraId="1B3BFCBA"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7. Обязать ВСНХ СССР к 1 октября 1930 г. закончить постройку Московского толуолового завода.</w:t>
      </w:r>
    </w:p>
    <w:p w14:paraId="675B1E4B"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8. Обязать ВСНХ форсировать разработку мероприятий по обеспечению возможности строительства в военное время по толуолу и взрывчатым веществам (без импорта оборудования).</w:t>
      </w:r>
    </w:p>
    <w:p w14:paraId="2DA62253"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9. В целях сокращения потребления толуола авиацией в военное время предложить НКВМ ускорить испытательные работы по суррогатированию топлива для Военно-воздушных сил РККА.</w:t>
      </w:r>
    </w:p>
    <w:p w14:paraId="597FA663"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10. Констатировать, что принятые правительством в июле решения по военной промышленности остались в значительной степени невыполненными, особенно в части орудийно-арсенального треста; предложить ВСНХ СССР в кратчайший срок добиться решительного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 Урываева³* и обязав его через каждые 3 месяца делать сообщение в РЗ СТО о проведении этого решения в жизнь.</w:t>
      </w:r>
    </w:p>
    <w:p w14:paraId="111F14CF"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11. В целях упрощения производства и применения суррогатов сталей для корпусов снарядов поручить ВСНХ и НКВМ к 1 апреля 1930 г. пересмотреть чертежи снарядов и технические условия.</w:t>
      </w:r>
    </w:p>
    <w:p w14:paraId="706E11CD"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12. Обязать НКТорг СССР: а) не позднее 1 июля 1930 г. ввезти импортные материалы по резервному плану на 20 млн. руб.; б) к 1 октября 1930 г. полностью закончить ввоз оборудования по планам 1928/29 и 1929/30 гг.</w:t>
      </w:r>
    </w:p>
    <w:p w14:paraId="49ADE60D"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lastRenderedPageBreak/>
        <w:t>13. В целях ускорения подачи собранного единого выстрела на склады и базы НКВМ в военное время ВСНХ СССР учесть обязательное использование имущества категории “Б”, свободных запасов НКВМ (взрыватели, взрыв[чатые] вещества и т. д.) и в случае необходимости накопить минимальные запасы элементов и полуфабрикатов.</w:t>
      </w:r>
    </w:p>
    <w:p w14:paraId="2F5F4EE0"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14. Предложить ВСНХ и НКВМ разработать помесячный план подачи элементов выстрела с заводов на склады и базы НКВМ.</w:t>
      </w:r>
    </w:p>
    <w:p w14:paraId="7661AC28" w14:textId="77777777" w:rsidR="000071F8" w:rsidRPr="00507A31" w:rsidRDefault="000071F8" w:rsidP="00507A31">
      <w:pPr>
        <w:jc w:val="both"/>
        <w:rPr>
          <w:color w:val="000000" w:themeColor="text1"/>
          <w:sz w:val="16"/>
          <w:szCs w:val="16"/>
        </w:rPr>
      </w:pPr>
      <w:r w:rsidRPr="00507A31">
        <w:rPr>
          <w:color w:val="000000" w:themeColor="text1"/>
          <w:sz w:val="16"/>
          <w:szCs w:val="16"/>
        </w:rPr>
        <w:t>III</w:t>
      </w:r>
    </w:p>
    <w:p w14:paraId="1C1670FF"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1. В целях обеспечения выполнения перечисленных заданий и составления реальных планов мобилизации промышленности признать необходимым Мобилизационно-плановое управление ВСНХ реорганизовать в оперативно-плановый орган по всем оборонным вопросам промышленности со следующими основными функциями:</w:t>
      </w:r>
    </w:p>
    <w:p w14:paraId="23F9A0DC" w14:textId="77777777" w:rsidR="000071F8" w:rsidRPr="00507A31" w:rsidRDefault="000071F8" w:rsidP="00507A31">
      <w:pPr>
        <w:jc w:val="both"/>
        <w:rPr>
          <w:color w:val="000000" w:themeColor="text1"/>
          <w:sz w:val="16"/>
          <w:szCs w:val="16"/>
        </w:rPr>
      </w:pPr>
      <w:r w:rsidRPr="00507A31">
        <w:rPr>
          <w:color w:val="000000" w:themeColor="text1"/>
          <w:sz w:val="16"/>
          <w:szCs w:val="16"/>
        </w:rPr>
        <w:t>а) учет производственных возможностей промышленности для задач войны;</w:t>
      </w:r>
    </w:p>
    <w:p w14:paraId="3A9CD091" w14:textId="77777777" w:rsidR="000071F8" w:rsidRPr="00507A31" w:rsidRDefault="000071F8" w:rsidP="00507A31">
      <w:pPr>
        <w:jc w:val="both"/>
        <w:rPr>
          <w:color w:val="000000" w:themeColor="text1"/>
          <w:sz w:val="16"/>
          <w:szCs w:val="16"/>
        </w:rPr>
      </w:pPr>
      <w:r w:rsidRPr="00507A31">
        <w:rPr>
          <w:color w:val="000000" w:themeColor="text1"/>
          <w:sz w:val="16"/>
          <w:szCs w:val="16"/>
        </w:rPr>
        <w:t>б) руководство составлением оперативного мобплана и распределение мобзаданий;</w:t>
      </w:r>
    </w:p>
    <w:p w14:paraId="2CFA30CE" w14:textId="77777777" w:rsidR="000071F8" w:rsidRPr="00507A31" w:rsidRDefault="000071F8" w:rsidP="00507A31">
      <w:pPr>
        <w:jc w:val="both"/>
        <w:rPr>
          <w:color w:val="000000" w:themeColor="text1"/>
          <w:sz w:val="16"/>
          <w:szCs w:val="16"/>
        </w:rPr>
      </w:pPr>
      <w:r w:rsidRPr="00507A31">
        <w:rPr>
          <w:color w:val="000000" w:themeColor="text1"/>
          <w:sz w:val="16"/>
          <w:szCs w:val="16"/>
        </w:rPr>
        <w:t>в) фактическое установление сроков развертывания мобилизуемых предприятий;</w:t>
      </w:r>
    </w:p>
    <w:p w14:paraId="152F186B" w14:textId="77777777" w:rsidR="000071F8" w:rsidRPr="00507A31" w:rsidRDefault="000071F8" w:rsidP="00507A31">
      <w:pPr>
        <w:jc w:val="both"/>
        <w:rPr>
          <w:color w:val="000000" w:themeColor="text1"/>
          <w:sz w:val="16"/>
          <w:szCs w:val="16"/>
        </w:rPr>
      </w:pPr>
      <w:r w:rsidRPr="00507A31">
        <w:rPr>
          <w:color w:val="000000" w:themeColor="text1"/>
          <w:sz w:val="16"/>
          <w:szCs w:val="16"/>
        </w:rPr>
        <w:t>г) контроль над выполнением производственно-технических заданий мобилизуемыми предприятиями и над капитальным оборонным строительством;</w:t>
      </w:r>
    </w:p>
    <w:p w14:paraId="4AC88295" w14:textId="77777777" w:rsidR="000071F8" w:rsidRPr="00507A31" w:rsidRDefault="000071F8" w:rsidP="00507A31">
      <w:pPr>
        <w:jc w:val="both"/>
        <w:rPr>
          <w:color w:val="000000" w:themeColor="text1"/>
          <w:sz w:val="16"/>
          <w:szCs w:val="16"/>
        </w:rPr>
      </w:pPr>
      <w:r w:rsidRPr="00507A31">
        <w:rPr>
          <w:color w:val="000000" w:themeColor="text1"/>
          <w:sz w:val="16"/>
          <w:szCs w:val="16"/>
        </w:rPr>
        <w:t>д) контроль и инспектирование мобилизационной подготовки промышленности;</w:t>
      </w:r>
    </w:p>
    <w:p w14:paraId="09467370" w14:textId="77777777" w:rsidR="000071F8" w:rsidRPr="00507A31" w:rsidRDefault="000071F8" w:rsidP="00507A31">
      <w:pPr>
        <w:jc w:val="both"/>
        <w:rPr>
          <w:color w:val="000000" w:themeColor="text1"/>
          <w:sz w:val="16"/>
          <w:szCs w:val="16"/>
        </w:rPr>
      </w:pPr>
      <w:r w:rsidRPr="00507A31">
        <w:rPr>
          <w:color w:val="000000" w:themeColor="text1"/>
          <w:sz w:val="16"/>
          <w:szCs w:val="16"/>
        </w:rPr>
        <w:t>е) составление плана материального обеспечения промышленности во время войны (сырьем, топливом, оборудованием и т. д.).</w:t>
      </w:r>
    </w:p>
    <w:p w14:paraId="6EC732FA"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2. В целях усиления местной инициативы и максимального использования местных ресурсов признать необходимым создание мобилизационных органов в промышленных областях и республиках, имеющих мобилизационное значение, а также и при уполномоченных ВСНХ СССР в областях РСФСР и союзных республиках.</w:t>
      </w:r>
    </w:p>
    <w:p w14:paraId="6AFB8FDD"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ВСНХ СССР совместно с НКВМ и Госпланом СССР в 10</w:t>
      </w:r>
      <w:r w:rsidRPr="00507A31">
        <w:rPr>
          <w:color w:val="000000" w:themeColor="text1"/>
          <w:sz w:val="16"/>
          <w:szCs w:val="16"/>
        </w:rPr>
        <w:noBreakHyphen/>
        <w:t>дневный срок войти в РЗ СТО с конкретными предложениями по этому вопросу.</w:t>
      </w:r>
    </w:p>
    <w:p w14:paraId="4FCAF29E"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3. ВСНХ СССР обратить особое внимание на реальность и четкость мобилизационной работы на предприятиях, возложив на их руководителей (в том числе и технических) строгую персональную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37CA6F71"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Категорически подтвердить, что ответственность за руководство подготовкой отдельных отраслей и объединений промышленности к обороне и составление мобилизационных планов целиком возлагается на руководителей соответствующих объединений и трестов.</w:t>
      </w:r>
    </w:p>
    <w:p w14:paraId="6C2205EF"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4. Признать необходимым установить в практической работе между НКВМ и ВСНХ тесную и непрерывную связь, предусмотрев активное участие НКВМ в работе промышленности по составлению плана мобилизации и оборонного строительства и контроль по выполнению военных заказов, особенно в части изготовления и конструирования новых образцов вооружения.</w:t>
      </w:r>
    </w:p>
    <w:p w14:paraId="704A9164"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Доклад о конкретных формах увязки представить в 10</w:t>
      </w:r>
      <w:r w:rsidRPr="00507A31">
        <w:rPr>
          <w:color w:val="000000" w:themeColor="text1"/>
          <w:sz w:val="16"/>
          <w:szCs w:val="16"/>
        </w:rPr>
        <w:noBreakHyphen/>
        <w:t>дневный срок в РЗ СТО.</w:t>
      </w:r>
    </w:p>
    <w:p w14:paraId="77B894FF"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5. Предложить ОГПУ, НКВМ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профессиональных организаций и советской общественности к поднятию мобилизационной готовности промышленности.</w:t>
      </w:r>
    </w:p>
    <w:p w14:paraId="7F38FB96"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6. В соответствии с ранее принятыми решениями подтвердить необходимость проведения в 1930 г. пробных и поверочных мобилизаций нескольких промышленных предприятий. Обязать ВСНХ СССР совместно с НКВМ представить к 30 января 1930 г. план их проведения.</w:t>
      </w:r>
    </w:p>
    <w:p w14:paraId="48189A8F"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7. Категорически подтвердить необходимость принятия ВСНХ СССР самых жестких мер по сокращению сроков мобилизационного развертывания военной промышленности, служащей основой для накопления опыта по подготовке и мобилизации всей промышленности Союза.</w:t>
      </w:r>
    </w:p>
    <w:p w14:paraId="72EE3D88"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8. 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постановления правительства о начале военных действий.</w:t>
      </w:r>
    </w:p>
    <w:p w14:paraId="38BB8597"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Кроме того, исходя из изложенного, поручить Госплану СССР в месячный срок разработать и представить на рассмотрение РЗ СТО соображения о порядке составления хозяйственных планов на первый период войны.</w:t>
      </w:r>
    </w:p>
    <w:p w14:paraId="0D00BD03"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rPr>
        <w:t>9. Возложить на НК РКИ специальное наблюдение за выполнением решений Политбюро и РЗ СТО по вопросам мобилизационной работы, привлекая к строжайшей ответственности виновных в их неисполнении.</w:t>
      </w:r>
    </w:p>
    <w:p w14:paraId="705FD6AE" w14:textId="77777777" w:rsidR="000071F8" w:rsidRPr="00507A31" w:rsidRDefault="000071F8"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27BBD310"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xml:space="preserve">* Имеется в виду </w:t>
      </w:r>
      <w:r w:rsidRPr="00507A31">
        <w:rPr>
          <w:rStyle w:val="af0"/>
          <w:i w:val="0"/>
          <w:color w:val="000000" w:themeColor="text1"/>
          <w:sz w:val="16"/>
          <w:szCs w:val="16"/>
        </w:rPr>
        <w:t>постановление РЗ СТО от 13 октября 1929 г. «Об обеспечении импортным оборудованием капитального строительства азотной и хлорной промышленности».</w:t>
      </w:r>
    </w:p>
    <w:p w14:paraId="6B9CDE68"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w:t>
      </w:r>
      <w:r w:rsidRPr="00507A31">
        <w:rPr>
          <w:rStyle w:val="af0"/>
          <w:i w:val="0"/>
          <w:color w:val="000000" w:themeColor="text1"/>
          <w:sz w:val="16"/>
          <w:szCs w:val="16"/>
        </w:rPr>
        <w:t>21 января 1930 г. РЗ СТО СССР</w:t>
      </w:r>
      <w:r w:rsidRPr="00507A31">
        <w:rPr>
          <w:color w:val="000000" w:themeColor="text1"/>
          <w:sz w:val="16"/>
          <w:szCs w:val="16"/>
        </w:rPr>
        <w:t xml:space="preserve"> приняло аналогичное </w:t>
      </w:r>
      <w:r w:rsidRPr="00507A31">
        <w:rPr>
          <w:rStyle w:val="af0"/>
          <w:i w:val="0"/>
          <w:color w:val="000000" w:themeColor="text1"/>
          <w:sz w:val="16"/>
          <w:szCs w:val="16"/>
        </w:rPr>
        <w:t>постановление о мобилизационной подготовке промышленности.</w:t>
      </w:r>
      <w:r w:rsidRPr="00507A31">
        <w:rPr>
          <w:color w:val="000000" w:themeColor="text1"/>
          <w:sz w:val="16"/>
          <w:szCs w:val="16"/>
        </w:rPr>
        <w:t xml:space="preserve"> Реализация пункта 3 раздела II постановления Политбюро ЦК ВКП(б) — «Признать необходимым завезти к 1 июля 1930 г., сверх 29 тыс. т, завозимых по резервному импортному плану 1929/30 г., 40 тыс. т натриевой селитры» — возлагалась на Наркомат торговли и ВСНХ СССР. (РГАЭ. Ф. 4372. Оп. 91. Д. 595. Л. 5</w:t>
      </w:r>
      <w:r w:rsidRPr="00507A31">
        <w:rPr>
          <w:color w:val="000000" w:themeColor="text1"/>
          <w:sz w:val="16"/>
          <w:szCs w:val="16"/>
        </w:rPr>
        <w:noBreakHyphen/>
        <w:t>З об.).</w:t>
      </w:r>
    </w:p>
    <w:p w14:paraId="7C0D3490" w14:textId="77777777" w:rsidR="000071F8" w:rsidRPr="00507A31" w:rsidRDefault="000071F8"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Урываев Михаил Георгиевич (Егорович) (1887</w:t>
      </w:r>
      <w:r w:rsidRPr="00507A31">
        <w:rPr>
          <w:color w:val="000000" w:themeColor="text1"/>
          <w:sz w:val="16"/>
          <w:szCs w:val="16"/>
        </w:rPr>
        <w:noBreakHyphen/>
        <w:t>1937) — государственный деятель. В 1927 г. — председатель Авиатреста, в 1929 г. — начальник ГВПУ ВСНХ СССР. В 1930 г. — начальник Объединения военных заводов, с 1931 г. — начальник Снарядного треста, член Президиума ВСНХ СССР.</w:t>
      </w:r>
    </w:p>
    <w:p w14:paraId="21A67106" w14:textId="77777777" w:rsidR="000071F8" w:rsidRPr="00507A31" w:rsidRDefault="000071F8" w:rsidP="00507A31">
      <w:pPr>
        <w:pStyle w:val="ae"/>
        <w:spacing w:before="0" w:after="0"/>
        <w:jc w:val="both"/>
        <w:rPr>
          <w:color w:val="000000" w:themeColor="text1"/>
          <w:sz w:val="16"/>
          <w:szCs w:val="16"/>
        </w:rPr>
      </w:pPr>
      <w:r w:rsidRPr="00507A31">
        <w:rPr>
          <w:color w:val="000000" w:themeColor="text1"/>
          <w:sz w:val="16"/>
          <w:szCs w:val="16"/>
        </w:rPr>
        <w:t>РГАСПИ. Ф. 17. Оп. 162. Д. 8. Л. 43—46. Заверенная копия.</w:t>
      </w:r>
    </w:p>
    <w:p w14:paraId="094ABEA3" w14:textId="77777777" w:rsidR="000071F8" w:rsidRPr="00507A31" w:rsidRDefault="000071F8" w:rsidP="00507A31">
      <w:pPr>
        <w:jc w:val="both"/>
        <w:rPr>
          <w:color w:val="000000" w:themeColor="text1"/>
          <w:sz w:val="16"/>
          <w:szCs w:val="16"/>
        </w:rPr>
      </w:pPr>
      <w:r w:rsidRPr="00507A31">
        <w:rPr>
          <w:color w:val="000000" w:themeColor="text1"/>
          <w:sz w:val="16"/>
          <w:szCs w:val="16"/>
        </w:rPr>
        <w:t xml:space="preserve">Архив: РГАСПИ. Ф. 17. Оп. 162. Д. 8. Л. 43—46. Заверенная копия. </w:t>
      </w:r>
    </w:p>
    <w:p w14:paraId="13802352" w14:textId="77777777" w:rsidR="000071F8" w:rsidRPr="00507A31" w:rsidRDefault="000071F8"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415-418 (12490).</w:t>
      </w:r>
    </w:p>
    <w:p w14:paraId="35D7CBCB" w14:textId="77777777" w:rsidR="000071F8" w:rsidRPr="00507A31" w:rsidRDefault="000071F8" w:rsidP="00507A31">
      <w:pPr>
        <w:jc w:val="both"/>
        <w:rPr>
          <w:color w:val="000000" w:themeColor="text1"/>
          <w:sz w:val="16"/>
          <w:szCs w:val="16"/>
        </w:rPr>
      </w:pPr>
    </w:p>
    <w:p w14:paraId="18912759" w14:textId="77777777" w:rsidR="0063470F" w:rsidRPr="00507A31" w:rsidRDefault="0063470F" w:rsidP="00507A31">
      <w:pPr>
        <w:jc w:val="both"/>
        <w:rPr>
          <w:color w:val="0070C0"/>
          <w:sz w:val="16"/>
          <w:szCs w:val="16"/>
        </w:rPr>
      </w:pPr>
      <w:r w:rsidRPr="00507A31">
        <w:rPr>
          <w:color w:val="0070C0"/>
          <w:sz w:val="16"/>
          <w:szCs w:val="16"/>
        </w:rPr>
        <w:t>15 января 1930 состоялось заседание ПБ (Протокол № 113. Особый № 111)</w:t>
      </w:r>
    </w:p>
    <w:p w14:paraId="139F4239" w14:textId="77777777" w:rsidR="0063470F" w:rsidRPr="00507A31" w:rsidRDefault="0063470F" w:rsidP="00507A31">
      <w:pPr>
        <w:jc w:val="both"/>
        <w:rPr>
          <w:color w:val="0070C0"/>
          <w:sz w:val="16"/>
          <w:szCs w:val="16"/>
        </w:rPr>
      </w:pPr>
      <w:r w:rsidRPr="00507A31">
        <w:rPr>
          <w:color w:val="0070C0"/>
          <w:sz w:val="16"/>
          <w:szCs w:val="16"/>
        </w:rPr>
        <w:t>1. О мобподготовке промышленности</w:t>
      </w:r>
    </w:p>
    <w:p w14:paraId="5FBC43B8" w14:textId="77777777" w:rsidR="0063470F" w:rsidRPr="00507A31" w:rsidRDefault="0063470F" w:rsidP="00507A31">
      <w:pPr>
        <w:jc w:val="both"/>
        <w:rPr>
          <w:color w:val="0070C0"/>
          <w:sz w:val="16"/>
          <w:szCs w:val="16"/>
        </w:rPr>
      </w:pPr>
      <w:r w:rsidRPr="00507A31">
        <w:rPr>
          <w:color w:val="0070C0"/>
          <w:sz w:val="16"/>
          <w:szCs w:val="16"/>
        </w:rPr>
        <w:t>(ПБ от 30.Х11ю29 г., прот. № 112., п. 33).</w:t>
      </w:r>
    </w:p>
    <w:p w14:paraId="547EE0D4" w14:textId="77777777" w:rsidR="0063470F" w:rsidRPr="00507A31" w:rsidRDefault="0063470F" w:rsidP="00507A31">
      <w:pPr>
        <w:jc w:val="both"/>
        <w:rPr>
          <w:color w:val="0070C0"/>
          <w:sz w:val="16"/>
          <w:szCs w:val="16"/>
        </w:rPr>
      </w:pPr>
      <w:r w:rsidRPr="00507A31">
        <w:rPr>
          <w:color w:val="0070C0"/>
          <w:sz w:val="16"/>
          <w:szCs w:val="16"/>
        </w:rPr>
        <w:t>(т.т. Рыков, Орджоникидзе, Куйбышев, Ворошилов, Рухимович, Меж- лаук, Косиор, Уншлихт, Уборевич, Постников, Урываев, Павлунов</w:t>
      </w:r>
      <w:r w:rsidRPr="00507A31">
        <w:rPr>
          <w:color w:val="0070C0"/>
          <w:sz w:val="16"/>
          <w:szCs w:val="16"/>
        </w:rPr>
        <w:softHyphen/>
        <w:t>ский, Мартинович , Нехоношин, Шпектор).</w:t>
      </w:r>
    </w:p>
    <w:p w14:paraId="22840FF1" w14:textId="77777777" w:rsidR="0063470F" w:rsidRPr="00507A31" w:rsidRDefault="0063470F" w:rsidP="00507A31">
      <w:pPr>
        <w:jc w:val="both"/>
        <w:rPr>
          <w:color w:val="0070C0"/>
          <w:sz w:val="16"/>
          <w:szCs w:val="16"/>
        </w:rPr>
      </w:pPr>
      <w:r w:rsidRPr="00507A31">
        <w:rPr>
          <w:color w:val="0070C0"/>
          <w:sz w:val="16"/>
          <w:szCs w:val="16"/>
        </w:rPr>
        <w:t>а) Утвердить с поправками предложенный РЗ СТО проект поста</w:t>
      </w:r>
      <w:r w:rsidRPr="00507A31">
        <w:rPr>
          <w:color w:val="0070C0"/>
          <w:sz w:val="16"/>
          <w:szCs w:val="16"/>
        </w:rPr>
        <w:softHyphen/>
        <w:t>новления о мобподготовке промышленности (см. приложение № 1).</w:t>
      </w:r>
    </w:p>
    <w:p w14:paraId="3F644BBF" w14:textId="77777777" w:rsidR="0063470F" w:rsidRPr="00507A31" w:rsidRDefault="0063470F" w:rsidP="00507A31">
      <w:pPr>
        <w:jc w:val="both"/>
        <w:rPr>
          <w:color w:val="0070C0"/>
          <w:sz w:val="16"/>
          <w:szCs w:val="16"/>
        </w:rPr>
      </w:pPr>
      <w:r w:rsidRPr="00507A31">
        <w:rPr>
          <w:color w:val="0070C0"/>
          <w:sz w:val="16"/>
          <w:szCs w:val="16"/>
        </w:rPr>
        <w:t>О мобподготовке промышленности</w:t>
      </w:r>
    </w:p>
    <w:p w14:paraId="05BAA4E6" w14:textId="77777777" w:rsidR="0063470F" w:rsidRPr="00507A31" w:rsidRDefault="0063470F" w:rsidP="00507A31">
      <w:pPr>
        <w:jc w:val="both"/>
        <w:rPr>
          <w:color w:val="0070C0"/>
          <w:sz w:val="16"/>
          <w:szCs w:val="16"/>
        </w:rPr>
      </w:pPr>
      <w:r w:rsidRPr="00507A31">
        <w:rPr>
          <w:color w:val="0070C0"/>
          <w:sz w:val="16"/>
          <w:szCs w:val="16"/>
        </w:rPr>
        <w:t>к п.1 (о.п.) пр. ПБ № 113.</w:t>
      </w:r>
    </w:p>
    <w:p w14:paraId="6454BC1B" w14:textId="77777777" w:rsidR="0063470F" w:rsidRPr="00507A31" w:rsidRDefault="0063470F" w:rsidP="00507A31">
      <w:pPr>
        <w:jc w:val="both"/>
        <w:rPr>
          <w:color w:val="0070C0"/>
          <w:sz w:val="16"/>
          <w:szCs w:val="16"/>
        </w:rPr>
      </w:pPr>
      <w:r w:rsidRPr="00507A31">
        <w:rPr>
          <w:color w:val="0070C0"/>
          <w:sz w:val="16"/>
          <w:szCs w:val="16"/>
        </w:rPr>
        <w:t>(Утверждено Политбюро ЦК ВКП(б) 15.1.30 г.).</w:t>
      </w:r>
    </w:p>
    <w:p w14:paraId="21C14CA0" w14:textId="77777777" w:rsidR="0063470F" w:rsidRPr="00507A31" w:rsidRDefault="0063470F" w:rsidP="00507A31">
      <w:pPr>
        <w:jc w:val="both"/>
        <w:rPr>
          <w:color w:val="0070C0"/>
          <w:sz w:val="16"/>
          <w:szCs w:val="16"/>
        </w:rPr>
      </w:pPr>
      <w:r w:rsidRPr="00507A31">
        <w:rPr>
          <w:color w:val="0070C0"/>
          <w:sz w:val="16"/>
          <w:szCs w:val="16"/>
        </w:rPr>
        <w:t>1.</w:t>
      </w:r>
    </w:p>
    <w:p w14:paraId="0FA5506C" w14:textId="77777777" w:rsidR="0063470F" w:rsidRPr="00507A31" w:rsidRDefault="0063470F" w:rsidP="00507A31">
      <w:pPr>
        <w:jc w:val="both"/>
        <w:rPr>
          <w:color w:val="0070C0"/>
          <w:sz w:val="16"/>
          <w:szCs w:val="16"/>
        </w:rPr>
      </w:pPr>
      <w:r w:rsidRPr="00507A31">
        <w:rPr>
          <w:color w:val="0070C0"/>
          <w:sz w:val="16"/>
          <w:szCs w:val="16"/>
        </w:rPr>
        <w:t>1. Достигнутые уровни и темпы развития индустрии Советского Союза, крупные вложения (около 600 млн. руб. за период с 1924 г. по 1.1.30 г.) на капитальное строительство военной промышленно</w:t>
      </w:r>
      <w:r w:rsidRPr="00507A31">
        <w:rPr>
          <w:color w:val="0070C0"/>
          <w:sz w:val="16"/>
          <w:szCs w:val="16"/>
        </w:rPr>
        <w:softHyphen/>
        <w:t>сти и военных производств гражданской промышленности должны в основном обеспечить полное удовлетворение минимальных потребно</w:t>
      </w:r>
      <w:r w:rsidRPr="00507A31">
        <w:rPr>
          <w:color w:val="0070C0"/>
          <w:sz w:val="16"/>
          <w:szCs w:val="16"/>
        </w:rPr>
        <w:softHyphen/>
        <w:t>стей вооруженного фронта в условиях войны, согласно решения РЗ СТО от 20.ХП.28 г. по лит."С" на первый год, однако, до настоя</w:t>
      </w:r>
      <w:r w:rsidRPr="00507A31">
        <w:rPr>
          <w:color w:val="0070C0"/>
          <w:sz w:val="16"/>
          <w:szCs w:val="16"/>
        </w:rPr>
        <w:softHyphen/>
        <w:t>щего времени ВСНХ СССР не разработал реального плана мобилиза</w:t>
      </w:r>
      <w:r w:rsidRPr="00507A31">
        <w:rPr>
          <w:color w:val="0070C0"/>
          <w:sz w:val="16"/>
          <w:szCs w:val="16"/>
        </w:rPr>
        <w:softHyphen/>
        <w:t>ции промышленности.</w:t>
      </w:r>
    </w:p>
    <w:p w14:paraId="540AFED9" w14:textId="77777777" w:rsidR="0063470F" w:rsidRPr="00507A31" w:rsidRDefault="0063470F" w:rsidP="00507A31">
      <w:pPr>
        <w:jc w:val="both"/>
        <w:rPr>
          <w:color w:val="0070C0"/>
          <w:sz w:val="16"/>
          <w:szCs w:val="16"/>
        </w:rPr>
      </w:pPr>
      <w:r w:rsidRPr="00507A31">
        <w:rPr>
          <w:color w:val="0070C0"/>
          <w:sz w:val="16"/>
          <w:szCs w:val="16"/>
        </w:rPr>
        <w:t>Поэтому, в случае возникновения войны до 1.УП.30 г. (срок окончания разработки очередного варианта мобплана), промышлен</w:t>
      </w:r>
      <w:r w:rsidRPr="00507A31">
        <w:rPr>
          <w:color w:val="0070C0"/>
          <w:sz w:val="16"/>
          <w:szCs w:val="16"/>
        </w:rPr>
        <w:softHyphen/>
        <w:t>ность вынуждена будет развернуться и работать без плана.</w:t>
      </w:r>
    </w:p>
    <w:p w14:paraId="44DFACD7" w14:textId="77777777" w:rsidR="0063470F" w:rsidRPr="00507A31" w:rsidRDefault="0063470F" w:rsidP="00507A31">
      <w:pPr>
        <w:jc w:val="both"/>
        <w:rPr>
          <w:color w:val="0070C0"/>
          <w:sz w:val="16"/>
          <w:szCs w:val="16"/>
        </w:rPr>
      </w:pPr>
      <w:r w:rsidRPr="00507A31">
        <w:rPr>
          <w:color w:val="0070C0"/>
          <w:sz w:val="16"/>
          <w:szCs w:val="16"/>
        </w:rPr>
        <w:t>2. Разработанные ВСНХ СССР соображения об удовлетворении по</w:t>
      </w:r>
      <w:r w:rsidRPr="00507A31">
        <w:rPr>
          <w:color w:val="0070C0"/>
          <w:sz w:val="16"/>
          <w:szCs w:val="16"/>
        </w:rPr>
        <w:softHyphen/>
        <w:t>требностей вооруженных сил в случае возникновения войны в 1930 г. предусматривают подачу в первый год ведения войны около 11 млн. выстрелов всех калибров и 2.200 млн. винтпатронов.</w:t>
      </w:r>
    </w:p>
    <w:p w14:paraId="53F67E0F" w14:textId="77777777" w:rsidR="0063470F" w:rsidRPr="00507A31" w:rsidRDefault="0063470F" w:rsidP="00507A31">
      <w:pPr>
        <w:jc w:val="both"/>
        <w:rPr>
          <w:color w:val="0070C0"/>
          <w:sz w:val="16"/>
          <w:szCs w:val="16"/>
        </w:rPr>
      </w:pPr>
      <w:r w:rsidRPr="00507A31">
        <w:rPr>
          <w:color w:val="0070C0"/>
          <w:sz w:val="16"/>
          <w:szCs w:val="16"/>
        </w:rPr>
        <w:t>Это количество подачи выстрелов не превышает количества, по</w:t>
      </w:r>
      <w:r w:rsidRPr="00507A31">
        <w:rPr>
          <w:color w:val="0070C0"/>
          <w:sz w:val="16"/>
          <w:szCs w:val="16"/>
        </w:rPr>
        <w:softHyphen/>
        <w:t>лученного с заводов царской России в 1915 году (11.300 тыс.) и значительно ниже количества, изготовленного в течение 1916 года (32,5 млн., из них 22,5 млн. внутреннего производства, при обе</w:t>
      </w:r>
      <w:r w:rsidRPr="00507A31">
        <w:rPr>
          <w:color w:val="0070C0"/>
          <w:sz w:val="16"/>
          <w:szCs w:val="16"/>
        </w:rPr>
        <w:softHyphen/>
        <w:t>спеченности порохами внутреннего производства 13 млн. выстрелов).</w:t>
      </w:r>
    </w:p>
    <w:p w14:paraId="324EEA01" w14:textId="77777777" w:rsidR="0063470F" w:rsidRPr="00507A31" w:rsidRDefault="0063470F" w:rsidP="00507A31">
      <w:pPr>
        <w:jc w:val="both"/>
        <w:rPr>
          <w:color w:val="0070C0"/>
          <w:sz w:val="16"/>
          <w:szCs w:val="16"/>
        </w:rPr>
      </w:pPr>
      <w:r w:rsidRPr="00507A31">
        <w:rPr>
          <w:color w:val="0070C0"/>
          <w:sz w:val="16"/>
          <w:szCs w:val="16"/>
        </w:rPr>
        <w:t>Подача материальной части войсковой артиллерии значительно ниже уровня 1916 года и составляет по первому году войны около 47% и по второму - 60% от 1916 года.</w:t>
      </w:r>
    </w:p>
    <w:p w14:paraId="1873F910" w14:textId="77777777" w:rsidR="0063470F" w:rsidRPr="00507A31" w:rsidRDefault="0063470F" w:rsidP="00507A31">
      <w:pPr>
        <w:jc w:val="both"/>
        <w:rPr>
          <w:color w:val="0070C0"/>
          <w:sz w:val="16"/>
          <w:szCs w:val="16"/>
        </w:rPr>
      </w:pPr>
      <w:r w:rsidRPr="00507A31">
        <w:rPr>
          <w:color w:val="0070C0"/>
          <w:sz w:val="16"/>
          <w:szCs w:val="16"/>
        </w:rPr>
        <w:t>Особо недостаточной необходимо признать подачу орудий для полевой тяжелой артиллерии (корпусной), несмотря на то, что за последние годы основной капитал артиллерийских заводов увеличил</w:t>
      </w:r>
      <w:r w:rsidRPr="00507A31">
        <w:rPr>
          <w:color w:val="0070C0"/>
          <w:sz w:val="16"/>
          <w:szCs w:val="16"/>
        </w:rPr>
        <w:softHyphen/>
        <w:t>ся на 90 млн. рублей по сравнению с 1916 годом.</w:t>
      </w:r>
    </w:p>
    <w:p w14:paraId="3426A657" w14:textId="77777777" w:rsidR="0063470F" w:rsidRPr="00507A31" w:rsidRDefault="0063470F" w:rsidP="00507A31">
      <w:pPr>
        <w:jc w:val="both"/>
        <w:rPr>
          <w:color w:val="0070C0"/>
          <w:sz w:val="16"/>
          <w:szCs w:val="16"/>
        </w:rPr>
      </w:pPr>
      <w:r w:rsidRPr="00507A31">
        <w:rPr>
          <w:color w:val="0070C0"/>
          <w:sz w:val="16"/>
          <w:szCs w:val="16"/>
        </w:rPr>
        <w:t>Обеспечение же снабжения вооруженных сил на второй год веде</w:t>
      </w:r>
      <w:r w:rsidRPr="00507A31">
        <w:rPr>
          <w:color w:val="0070C0"/>
          <w:sz w:val="16"/>
          <w:szCs w:val="16"/>
        </w:rPr>
        <w:softHyphen/>
        <w:t>ния войны, а особенно первое полугодие его по проектировкам ВСНХ СССР по сравнению с первым годом, в течение которого армия поми</w:t>
      </w:r>
      <w:r w:rsidRPr="00507A31">
        <w:rPr>
          <w:color w:val="0070C0"/>
          <w:sz w:val="16"/>
          <w:szCs w:val="16"/>
        </w:rPr>
        <w:softHyphen/>
        <w:t>мо продукции промышленности располагает мобзапасами, значительно снизится.</w:t>
      </w:r>
    </w:p>
    <w:p w14:paraId="49C8350A" w14:textId="77777777" w:rsidR="0063470F" w:rsidRPr="00507A31" w:rsidRDefault="0063470F" w:rsidP="00507A31">
      <w:pPr>
        <w:jc w:val="both"/>
        <w:rPr>
          <w:color w:val="0070C0"/>
          <w:sz w:val="16"/>
          <w:szCs w:val="16"/>
        </w:rPr>
      </w:pPr>
      <w:r w:rsidRPr="00507A31">
        <w:rPr>
          <w:color w:val="0070C0"/>
          <w:sz w:val="16"/>
          <w:szCs w:val="16"/>
        </w:rPr>
        <w:t>3. Утвердить следующие минимальные размеры подачи промышлен</w:t>
      </w:r>
      <w:r w:rsidRPr="00507A31">
        <w:rPr>
          <w:color w:val="0070C0"/>
          <w:sz w:val="16"/>
          <w:szCs w:val="16"/>
        </w:rPr>
        <w:softHyphen/>
        <w:t>ностью для обеспечения потребностей вооруженных сил в случае возникновения войны в 1930 году:</w:t>
      </w:r>
    </w:p>
    <w:p w14:paraId="20A7ADE1" w14:textId="77777777" w:rsidR="0063470F" w:rsidRPr="00507A31" w:rsidRDefault="0063470F" w:rsidP="00507A31">
      <w:pPr>
        <w:jc w:val="both"/>
        <w:rPr>
          <w:color w:val="0070C0"/>
          <w:sz w:val="16"/>
          <w:szCs w:val="16"/>
        </w:rPr>
      </w:pPr>
      <w:r w:rsidRPr="00507A31">
        <w:rPr>
          <w:color w:val="0070C0"/>
          <w:sz w:val="16"/>
          <w:szCs w:val="16"/>
        </w:rPr>
        <w:t>В течение первого года войны (начиная с 1.УП.30 г.). Артил</w:t>
      </w:r>
      <w:r w:rsidRPr="00507A31">
        <w:rPr>
          <w:color w:val="0070C0"/>
          <w:sz w:val="16"/>
          <w:szCs w:val="16"/>
        </w:rPr>
        <w:softHyphen/>
        <w:t>лерийских выстрелов - 19 млн. (в том числе 4,5 млн. гаубичных вы</w:t>
      </w:r>
      <w:r w:rsidRPr="00507A31">
        <w:rPr>
          <w:color w:val="0070C0"/>
          <w:sz w:val="16"/>
          <w:szCs w:val="16"/>
        </w:rPr>
        <w:softHyphen/>
        <w:t>стрелов); винтпатронов - 3 млрд.; станковых и ручных пулеметов - 53.500; орудий - в количестве, предусмотренном постановлением РЗ СТО от 23.УШ.1928 г.</w:t>
      </w:r>
    </w:p>
    <w:p w14:paraId="5BC66422" w14:textId="77777777" w:rsidR="0063470F" w:rsidRPr="00507A31" w:rsidRDefault="0063470F" w:rsidP="00507A31">
      <w:pPr>
        <w:jc w:val="both"/>
        <w:rPr>
          <w:color w:val="0070C0"/>
          <w:sz w:val="16"/>
          <w:szCs w:val="16"/>
        </w:rPr>
      </w:pPr>
      <w:r w:rsidRPr="00507A31">
        <w:rPr>
          <w:color w:val="0070C0"/>
          <w:sz w:val="16"/>
          <w:szCs w:val="16"/>
        </w:rPr>
        <w:t>4. Обязать ВСНХ СССР к 1.УП.30 г. закончить разработку кон</w:t>
      </w:r>
      <w:r w:rsidRPr="00507A31">
        <w:rPr>
          <w:color w:val="0070C0"/>
          <w:sz w:val="16"/>
          <w:szCs w:val="16"/>
        </w:rPr>
        <w:softHyphen/>
        <w:t>кретного плана мобилизации промышленности, обеспечивающего пол</w:t>
      </w:r>
      <w:r w:rsidRPr="00507A31">
        <w:rPr>
          <w:color w:val="0070C0"/>
          <w:sz w:val="16"/>
          <w:szCs w:val="16"/>
        </w:rPr>
        <w:softHyphen/>
        <w:t>ную подачу в размерах, установленных в статье 4-й настоящего по</w:t>
      </w:r>
      <w:r w:rsidRPr="00507A31">
        <w:rPr>
          <w:color w:val="0070C0"/>
          <w:sz w:val="16"/>
          <w:szCs w:val="16"/>
        </w:rPr>
        <w:softHyphen/>
        <w:t>становления.</w:t>
      </w:r>
    </w:p>
    <w:p w14:paraId="64FC4C8F" w14:textId="77777777" w:rsidR="0063470F" w:rsidRPr="00507A31" w:rsidRDefault="0063470F" w:rsidP="00507A31">
      <w:pPr>
        <w:jc w:val="both"/>
        <w:rPr>
          <w:color w:val="0070C0"/>
          <w:sz w:val="16"/>
          <w:szCs w:val="16"/>
        </w:rPr>
      </w:pPr>
      <w:r w:rsidRPr="00507A31">
        <w:rPr>
          <w:color w:val="0070C0"/>
          <w:sz w:val="16"/>
          <w:szCs w:val="16"/>
        </w:rPr>
        <w:t>Кроме этого при разработке мобплана обеспечить резервы мощ</w:t>
      </w:r>
      <w:r w:rsidRPr="00507A31">
        <w:rPr>
          <w:color w:val="0070C0"/>
          <w:sz w:val="16"/>
          <w:szCs w:val="16"/>
        </w:rPr>
        <w:softHyphen/>
        <w:t>ностей для производства мелкокалиберной артиллерии и снарядов на первый и второй год ведения войны.</w:t>
      </w:r>
    </w:p>
    <w:p w14:paraId="3E11EC7B" w14:textId="77777777" w:rsidR="0063470F" w:rsidRPr="00507A31" w:rsidRDefault="0063470F" w:rsidP="00507A31">
      <w:pPr>
        <w:jc w:val="both"/>
        <w:rPr>
          <w:color w:val="0070C0"/>
          <w:sz w:val="16"/>
          <w:szCs w:val="16"/>
        </w:rPr>
      </w:pPr>
      <w:r w:rsidRPr="00507A31">
        <w:rPr>
          <w:color w:val="0070C0"/>
          <w:sz w:val="16"/>
          <w:szCs w:val="16"/>
        </w:rPr>
        <w:lastRenderedPageBreak/>
        <w:t>П.</w:t>
      </w:r>
    </w:p>
    <w:p w14:paraId="50A9FF0D" w14:textId="77777777" w:rsidR="0063470F" w:rsidRPr="00507A31" w:rsidRDefault="0063470F" w:rsidP="00507A31">
      <w:pPr>
        <w:jc w:val="both"/>
        <w:rPr>
          <w:color w:val="0070C0"/>
          <w:sz w:val="16"/>
          <w:szCs w:val="16"/>
        </w:rPr>
      </w:pPr>
      <w:r w:rsidRPr="00507A31">
        <w:rPr>
          <w:color w:val="0070C0"/>
          <w:sz w:val="16"/>
          <w:szCs w:val="16"/>
        </w:rPr>
        <w:t>Для обеспечения выполнения установленного задания признать необходимым:</w:t>
      </w:r>
    </w:p>
    <w:p w14:paraId="24AA83CB" w14:textId="77777777" w:rsidR="0063470F" w:rsidRPr="00507A31" w:rsidRDefault="0063470F" w:rsidP="00507A31">
      <w:pPr>
        <w:jc w:val="both"/>
        <w:rPr>
          <w:color w:val="0070C0"/>
          <w:sz w:val="16"/>
          <w:szCs w:val="16"/>
        </w:rPr>
      </w:pPr>
      <w:r w:rsidRPr="00507A31">
        <w:rPr>
          <w:color w:val="0070C0"/>
          <w:sz w:val="16"/>
          <w:szCs w:val="16"/>
        </w:rPr>
        <w:t>1. Обязать ВСНХ СССР и НКВМ к 1.ill.30 г. окончательно раз</w:t>
      </w:r>
      <w:r w:rsidRPr="00507A31">
        <w:rPr>
          <w:color w:val="0070C0"/>
          <w:sz w:val="16"/>
          <w:szCs w:val="16"/>
        </w:rPr>
        <w:softHyphen/>
        <w:t>решить вопрос о замене патронной латуни и пульного мельхиора плакированным железом и к 1.УП.30 г. развернуть массовое про</w:t>
      </w:r>
      <w:r w:rsidRPr="00507A31">
        <w:rPr>
          <w:color w:val="0070C0"/>
          <w:sz w:val="16"/>
          <w:szCs w:val="16"/>
        </w:rPr>
        <w:softHyphen/>
        <w:t>изводство, з соответствии с потребностями НКВМ.</w:t>
      </w:r>
    </w:p>
    <w:p w14:paraId="3C8ED611" w14:textId="77777777" w:rsidR="0063470F" w:rsidRPr="00507A31" w:rsidRDefault="0063470F" w:rsidP="00507A31">
      <w:pPr>
        <w:jc w:val="both"/>
        <w:rPr>
          <w:color w:val="0070C0"/>
          <w:sz w:val="16"/>
          <w:szCs w:val="16"/>
        </w:rPr>
      </w:pPr>
      <w:r w:rsidRPr="00507A31">
        <w:rPr>
          <w:color w:val="0070C0"/>
          <w:sz w:val="16"/>
          <w:szCs w:val="16"/>
        </w:rPr>
        <w:t>2. Категорически подтвердить необходимость закончить строи</w:t>
      </w:r>
      <w:r w:rsidRPr="00507A31">
        <w:rPr>
          <w:color w:val="0070C0"/>
          <w:sz w:val="16"/>
          <w:szCs w:val="16"/>
        </w:rPr>
        <w:softHyphen/>
        <w:t>тельство Березниковского комбината к 1 марта 1931 г. и Чернореченского завода к 1.УП.30 г., возложив персональную ответсвенность за выполнение этого задания на председателя Химического объединения тов. Томского.</w:t>
      </w:r>
    </w:p>
    <w:p w14:paraId="4EB7236A" w14:textId="77777777" w:rsidR="0063470F" w:rsidRPr="00507A31" w:rsidRDefault="0063470F" w:rsidP="00507A31">
      <w:pPr>
        <w:jc w:val="both"/>
        <w:rPr>
          <w:color w:val="0070C0"/>
          <w:sz w:val="16"/>
          <w:szCs w:val="16"/>
        </w:rPr>
      </w:pPr>
      <w:r w:rsidRPr="00507A31">
        <w:rPr>
          <w:color w:val="0070C0"/>
          <w:sz w:val="16"/>
          <w:szCs w:val="16"/>
        </w:rPr>
        <w:t>Категорически подтвердить необходимость полного завоза импортного оборудования для этих заводов в сроки, установлен</w:t>
      </w:r>
      <w:r w:rsidRPr="00507A31">
        <w:rPr>
          <w:color w:val="0070C0"/>
          <w:sz w:val="16"/>
          <w:szCs w:val="16"/>
        </w:rPr>
        <w:softHyphen/>
        <w:t>ные РЗ СТО решением от 13.Х.29 года (пр. № 40, п.7).</w:t>
      </w:r>
    </w:p>
    <w:p w14:paraId="62D68028" w14:textId="77777777" w:rsidR="0063470F" w:rsidRPr="00507A31" w:rsidRDefault="0063470F" w:rsidP="00507A31">
      <w:pPr>
        <w:jc w:val="both"/>
        <w:rPr>
          <w:color w:val="0070C0"/>
          <w:sz w:val="16"/>
          <w:szCs w:val="16"/>
        </w:rPr>
      </w:pPr>
      <w:r w:rsidRPr="00507A31">
        <w:rPr>
          <w:color w:val="0070C0"/>
          <w:sz w:val="16"/>
          <w:szCs w:val="16"/>
        </w:rPr>
        <w:t>Строительство Горловского и Бобриковского комбинатов за</w:t>
      </w:r>
      <w:r w:rsidRPr="00507A31">
        <w:rPr>
          <w:color w:val="0070C0"/>
          <w:sz w:val="16"/>
          <w:szCs w:val="16"/>
        </w:rPr>
        <w:softHyphen/>
        <w:t>кончить к 1.Х.1931 года.</w:t>
      </w:r>
    </w:p>
    <w:p w14:paraId="59FF78E3" w14:textId="77777777" w:rsidR="0063470F" w:rsidRPr="00507A31" w:rsidRDefault="0063470F" w:rsidP="00507A31">
      <w:pPr>
        <w:jc w:val="both"/>
        <w:rPr>
          <w:color w:val="0070C0"/>
          <w:sz w:val="16"/>
          <w:szCs w:val="16"/>
        </w:rPr>
      </w:pPr>
      <w:r w:rsidRPr="00507A31">
        <w:rPr>
          <w:color w:val="0070C0"/>
          <w:sz w:val="16"/>
          <w:szCs w:val="16"/>
        </w:rPr>
        <w:t>3. Признать необходимым завезти к 1.УП.30 года, сверх 29.000 тонн, завозимых по резервному импортному плану 1929/30 года,- 40.000 тонн натриевой селитры.</w:t>
      </w:r>
    </w:p>
    <w:p w14:paraId="38CD8E0F" w14:textId="77777777" w:rsidR="0063470F" w:rsidRPr="00507A31" w:rsidRDefault="0063470F" w:rsidP="00507A31">
      <w:pPr>
        <w:jc w:val="both"/>
        <w:rPr>
          <w:color w:val="0070C0"/>
          <w:sz w:val="16"/>
          <w:szCs w:val="16"/>
        </w:rPr>
      </w:pPr>
      <w:r w:rsidRPr="00507A31">
        <w:rPr>
          <w:color w:val="0070C0"/>
          <w:sz w:val="16"/>
          <w:szCs w:val="16"/>
        </w:rPr>
        <w:t>4. Обязать ВСНХ СССР и НКТорг СССР к 1.УП.30 года ввезти импортное оборудование по окислительным установкам для военной промышленности.</w:t>
      </w:r>
    </w:p>
    <w:p w14:paraId="40CF9703" w14:textId="77777777" w:rsidR="0063470F" w:rsidRPr="00507A31" w:rsidRDefault="0063470F" w:rsidP="00507A31">
      <w:pPr>
        <w:jc w:val="both"/>
        <w:rPr>
          <w:color w:val="0070C0"/>
          <w:sz w:val="16"/>
          <w:szCs w:val="16"/>
        </w:rPr>
      </w:pPr>
      <w:r w:rsidRPr="00507A31">
        <w:rPr>
          <w:color w:val="0070C0"/>
          <w:sz w:val="16"/>
          <w:szCs w:val="16"/>
        </w:rPr>
        <w:t>5. Обязать ВСНХ СССР не позднее 1.1.1931 г. закончить стро</w:t>
      </w:r>
      <w:r w:rsidRPr="00507A31">
        <w:rPr>
          <w:color w:val="0070C0"/>
          <w:sz w:val="16"/>
          <w:szCs w:val="16"/>
        </w:rPr>
        <w:softHyphen/>
        <w:t>ительство Уковзрывзавода по нитро-глицериновым порохам.</w:t>
      </w:r>
    </w:p>
    <w:p w14:paraId="76E12574" w14:textId="77777777" w:rsidR="0063470F" w:rsidRPr="00507A31" w:rsidRDefault="0063470F" w:rsidP="00507A31">
      <w:pPr>
        <w:jc w:val="both"/>
        <w:rPr>
          <w:color w:val="0070C0"/>
          <w:sz w:val="16"/>
          <w:szCs w:val="16"/>
        </w:rPr>
      </w:pPr>
      <w:r w:rsidRPr="00507A31">
        <w:rPr>
          <w:color w:val="0070C0"/>
          <w:sz w:val="16"/>
          <w:szCs w:val="16"/>
        </w:rPr>
        <w:t>6. В целях увеличения производства порохов и взрывчатых веществ, ВСНХ СССР усилить работу по рационализации, пересмо</w:t>
      </w:r>
      <w:r w:rsidRPr="00507A31">
        <w:rPr>
          <w:color w:val="0070C0"/>
          <w:sz w:val="16"/>
          <w:szCs w:val="16"/>
        </w:rPr>
        <w:softHyphen/>
        <w:t>трев и усовершенствовав технологические процессы производства.</w:t>
      </w:r>
    </w:p>
    <w:p w14:paraId="3666CB67" w14:textId="77777777" w:rsidR="0063470F" w:rsidRPr="00507A31" w:rsidRDefault="0063470F" w:rsidP="00507A31">
      <w:pPr>
        <w:jc w:val="both"/>
        <w:rPr>
          <w:color w:val="0070C0"/>
          <w:sz w:val="16"/>
          <w:szCs w:val="16"/>
        </w:rPr>
      </w:pPr>
      <w:r w:rsidRPr="00507A31">
        <w:rPr>
          <w:color w:val="0070C0"/>
          <w:sz w:val="16"/>
          <w:szCs w:val="16"/>
        </w:rPr>
        <w:t>7. Обязать ВСНХ СССР к 1.Х.1930 года закончить постройку Московского толуолового завода.</w:t>
      </w:r>
    </w:p>
    <w:p w14:paraId="2095F66D" w14:textId="77777777" w:rsidR="0063470F" w:rsidRPr="00507A31" w:rsidRDefault="0063470F" w:rsidP="00507A31">
      <w:pPr>
        <w:jc w:val="both"/>
        <w:rPr>
          <w:color w:val="0070C0"/>
          <w:sz w:val="16"/>
          <w:szCs w:val="16"/>
        </w:rPr>
      </w:pPr>
      <w:r w:rsidRPr="00507A31">
        <w:rPr>
          <w:color w:val="0070C0"/>
          <w:sz w:val="16"/>
          <w:szCs w:val="16"/>
        </w:rPr>
        <w:t>8. Обязать ВСНХ форсировать разработку мероприятий по обе</w:t>
      </w:r>
      <w:r w:rsidRPr="00507A31">
        <w:rPr>
          <w:color w:val="0070C0"/>
          <w:sz w:val="16"/>
          <w:szCs w:val="16"/>
        </w:rPr>
        <w:softHyphen/>
        <w:t>спечению возможности'строительства в военное время по толуолу и взрывчатым веществам (без импорта оборудования).</w:t>
      </w:r>
    </w:p>
    <w:p w14:paraId="341B7C6E" w14:textId="77777777" w:rsidR="0063470F" w:rsidRPr="00507A31" w:rsidRDefault="0063470F" w:rsidP="00507A31">
      <w:pPr>
        <w:jc w:val="both"/>
        <w:rPr>
          <w:color w:val="0070C0"/>
          <w:sz w:val="16"/>
          <w:szCs w:val="16"/>
        </w:rPr>
      </w:pPr>
      <w:r w:rsidRPr="00507A31">
        <w:rPr>
          <w:color w:val="0070C0"/>
          <w:sz w:val="16"/>
          <w:szCs w:val="16"/>
        </w:rPr>
        <w:t>9. В целях сокращения потребления толуола авиацией в воен</w:t>
      </w:r>
      <w:r w:rsidRPr="00507A31">
        <w:rPr>
          <w:color w:val="0070C0"/>
          <w:sz w:val="16"/>
          <w:szCs w:val="16"/>
        </w:rPr>
        <w:softHyphen/>
        <w:t>ное вэемя, предложить НКВМ ускорить испытательные работы по сурпогатированию топлива для военно-воздушных сил РККА.</w:t>
      </w:r>
    </w:p>
    <w:p w14:paraId="1D8150B8" w14:textId="77777777" w:rsidR="0063470F" w:rsidRPr="00507A31" w:rsidRDefault="0063470F" w:rsidP="00507A31">
      <w:pPr>
        <w:jc w:val="both"/>
        <w:rPr>
          <w:color w:val="0070C0"/>
          <w:sz w:val="16"/>
          <w:szCs w:val="16"/>
        </w:rPr>
      </w:pPr>
      <w:r w:rsidRPr="00507A31">
        <w:rPr>
          <w:color w:val="0070C0"/>
          <w:sz w:val="16"/>
          <w:szCs w:val="16"/>
        </w:rPr>
        <w:t>10. Констатировать, что принятые Правительством в июле ре</w:t>
      </w:r>
      <w:r w:rsidRPr="00507A31">
        <w:rPr>
          <w:color w:val="0070C0"/>
          <w:sz w:val="16"/>
          <w:szCs w:val="16"/>
        </w:rPr>
        <w:softHyphen/>
        <w:t>шения по военной промышленности остались в значительной степе</w:t>
      </w:r>
      <w:r w:rsidRPr="00507A31">
        <w:rPr>
          <w:color w:val="0070C0"/>
          <w:sz w:val="16"/>
          <w:szCs w:val="16"/>
        </w:rPr>
        <w:softHyphen/>
        <w:t>ни невыполненными, особенно в части орудийно-арсенального тре</w:t>
      </w:r>
      <w:r w:rsidRPr="00507A31">
        <w:rPr>
          <w:color w:val="0070C0"/>
          <w:sz w:val="16"/>
          <w:szCs w:val="16"/>
        </w:rPr>
        <w:softHyphen/>
        <w:t>ста; предложить ВСНХ СССР в кратчайших срок добиться решитель</w:t>
      </w:r>
      <w:r w:rsidRPr="00507A31">
        <w:rPr>
          <w:color w:val="0070C0"/>
          <w:sz w:val="16"/>
          <w:szCs w:val="16"/>
        </w:rPr>
        <w:softHyphen/>
        <w:t>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т.Урываева и обязав его че</w:t>
      </w:r>
      <w:r w:rsidRPr="00507A31">
        <w:rPr>
          <w:color w:val="0070C0"/>
          <w:sz w:val="16"/>
          <w:szCs w:val="16"/>
        </w:rPr>
        <w:softHyphen/>
        <w:t>рез каждые 3 месяца делать сообщение в РЗ СТО о проведении этого решения в жизнь.</w:t>
      </w:r>
    </w:p>
    <w:p w14:paraId="050264A2" w14:textId="77777777" w:rsidR="0063470F" w:rsidRPr="00507A31" w:rsidRDefault="0063470F" w:rsidP="00507A31">
      <w:pPr>
        <w:jc w:val="both"/>
        <w:rPr>
          <w:color w:val="0070C0"/>
          <w:sz w:val="16"/>
          <w:szCs w:val="16"/>
        </w:rPr>
      </w:pPr>
      <w:r w:rsidRPr="00507A31">
        <w:rPr>
          <w:color w:val="0070C0"/>
          <w:sz w:val="16"/>
          <w:szCs w:val="16"/>
        </w:rPr>
        <w:t>11. В целях упрощения производства и применения суррогатов сталей для корпусов снарядов, поручить ВСНХ и НКВМ к 1.1У. 1930 года пересмотреть чертежи снарядов и технические условия.</w:t>
      </w:r>
    </w:p>
    <w:p w14:paraId="47DB60C2" w14:textId="77777777" w:rsidR="0063470F" w:rsidRPr="00507A31" w:rsidRDefault="0063470F" w:rsidP="00507A31">
      <w:pPr>
        <w:jc w:val="both"/>
        <w:rPr>
          <w:color w:val="0070C0"/>
          <w:sz w:val="16"/>
          <w:szCs w:val="16"/>
        </w:rPr>
      </w:pPr>
      <w:r w:rsidRPr="00507A31">
        <w:rPr>
          <w:color w:val="0070C0"/>
          <w:sz w:val="16"/>
          <w:szCs w:val="16"/>
        </w:rPr>
        <w:t>12. Обязать НКТорг СССР: а) не позднее 1 июля 1930 года вве</w:t>
      </w:r>
      <w:r w:rsidRPr="00507A31">
        <w:rPr>
          <w:color w:val="0070C0"/>
          <w:sz w:val="16"/>
          <w:szCs w:val="16"/>
        </w:rPr>
        <w:softHyphen/>
        <w:t>зти импортные материалы по резервному плану на 20 млн.рублей; б) к 1.Х.1930 года полностью закончить ввоз оборудования по планам 1928/29 и 1929/30 г.г.</w:t>
      </w:r>
    </w:p>
    <w:p w14:paraId="461BDE60" w14:textId="77777777" w:rsidR="0063470F" w:rsidRPr="00507A31" w:rsidRDefault="0063470F" w:rsidP="00507A31">
      <w:pPr>
        <w:jc w:val="both"/>
        <w:rPr>
          <w:color w:val="0070C0"/>
          <w:sz w:val="16"/>
          <w:szCs w:val="16"/>
        </w:rPr>
      </w:pPr>
      <w:r w:rsidRPr="00507A31">
        <w:rPr>
          <w:color w:val="0070C0"/>
          <w:sz w:val="16"/>
          <w:szCs w:val="16"/>
        </w:rPr>
        <w:t>13. В целях ускорения подачи собранного единого выстрела на склады и базы НКВМ в военное ввемя, ВСНХ СССР учесть обя</w:t>
      </w:r>
      <w:r w:rsidRPr="00507A31">
        <w:rPr>
          <w:color w:val="0070C0"/>
          <w:sz w:val="16"/>
          <w:szCs w:val="16"/>
        </w:rPr>
        <w:softHyphen/>
        <w:t>зательное использование имущества категории Б, свободны?: за</w:t>
      </w:r>
      <w:r w:rsidRPr="00507A31">
        <w:rPr>
          <w:color w:val="0070C0"/>
          <w:sz w:val="16"/>
          <w:szCs w:val="16"/>
        </w:rPr>
        <w:softHyphen/>
        <w:t>пасов НКВМ (взрыватели, взрыввещества и т.д.) и в случае необ</w:t>
      </w:r>
      <w:r w:rsidRPr="00507A31">
        <w:rPr>
          <w:color w:val="0070C0"/>
          <w:sz w:val="16"/>
          <w:szCs w:val="16"/>
        </w:rPr>
        <w:softHyphen/>
        <w:t>ходимости накопить минимальные запасы элементов и полуфабри</w:t>
      </w:r>
      <w:r w:rsidRPr="00507A31">
        <w:rPr>
          <w:color w:val="0070C0"/>
          <w:sz w:val="16"/>
          <w:szCs w:val="16"/>
        </w:rPr>
        <w:softHyphen/>
        <w:t>катов .</w:t>
      </w:r>
    </w:p>
    <w:p w14:paraId="362ED1EE" w14:textId="77777777" w:rsidR="0063470F" w:rsidRPr="00507A31" w:rsidRDefault="0063470F" w:rsidP="00507A31">
      <w:pPr>
        <w:jc w:val="both"/>
        <w:rPr>
          <w:color w:val="0070C0"/>
          <w:sz w:val="16"/>
          <w:szCs w:val="16"/>
        </w:rPr>
      </w:pPr>
      <w:r w:rsidRPr="00507A31">
        <w:rPr>
          <w:color w:val="0070C0"/>
          <w:sz w:val="16"/>
          <w:szCs w:val="16"/>
        </w:rPr>
        <w:t>14. Предложить ВСНХ и НКВМ разработать помесяч ный план по</w:t>
      </w:r>
      <w:r w:rsidRPr="00507A31">
        <w:rPr>
          <w:color w:val="0070C0"/>
          <w:sz w:val="16"/>
          <w:szCs w:val="16"/>
        </w:rPr>
        <w:softHyphen/>
        <w:t>дачи элементов выстрела с заводов на склады и базы НКВМ.</w:t>
      </w:r>
    </w:p>
    <w:p w14:paraId="3D38751F" w14:textId="77777777" w:rsidR="0063470F" w:rsidRPr="00507A31" w:rsidRDefault="0063470F" w:rsidP="00507A31">
      <w:pPr>
        <w:jc w:val="both"/>
        <w:rPr>
          <w:color w:val="0070C0"/>
          <w:sz w:val="16"/>
          <w:szCs w:val="16"/>
        </w:rPr>
      </w:pPr>
      <w:r w:rsidRPr="00507A31">
        <w:rPr>
          <w:color w:val="0070C0"/>
          <w:sz w:val="16"/>
          <w:szCs w:val="16"/>
        </w:rPr>
        <w:t>Ш.</w:t>
      </w:r>
    </w:p>
    <w:p w14:paraId="39F2020D" w14:textId="77777777" w:rsidR="0063470F" w:rsidRPr="00507A31" w:rsidRDefault="0063470F" w:rsidP="00507A31">
      <w:pPr>
        <w:jc w:val="both"/>
        <w:rPr>
          <w:color w:val="0070C0"/>
          <w:sz w:val="16"/>
          <w:szCs w:val="16"/>
        </w:rPr>
      </w:pPr>
      <w:r w:rsidRPr="00507A31">
        <w:rPr>
          <w:color w:val="0070C0"/>
          <w:sz w:val="16"/>
          <w:szCs w:val="16"/>
        </w:rPr>
        <w:t>1. В целях обеспечения выполнения перечисленных заданий и составления реальных планов мобилизации промышленности приз</w:t>
      </w:r>
      <w:r w:rsidRPr="00507A31">
        <w:rPr>
          <w:color w:val="0070C0"/>
          <w:sz w:val="16"/>
          <w:szCs w:val="16"/>
        </w:rPr>
        <w:softHyphen/>
        <w:t>нать необходимым мобилизационно-планновое управление ВСНХ организовать в оперативно-плановый орган по всем оборонным вопросам промышленности со следующими основными функциями:</w:t>
      </w:r>
    </w:p>
    <w:p w14:paraId="144573C2" w14:textId="77777777" w:rsidR="0063470F" w:rsidRPr="00507A31" w:rsidRDefault="0063470F" w:rsidP="00507A31">
      <w:pPr>
        <w:jc w:val="both"/>
        <w:rPr>
          <w:color w:val="0070C0"/>
          <w:sz w:val="16"/>
          <w:szCs w:val="16"/>
        </w:rPr>
      </w:pPr>
      <w:r w:rsidRPr="00507A31">
        <w:rPr>
          <w:color w:val="0070C0"/>
          <w:sz w:val="16"/>
          <w:szCs w:val="16"/>
        </w:rPr>
        <w:t>а) учет производственных возможностей промышленности для задач войны,</w:t>
      </w:r>
    </w:p>
    <w:p w14:paraId="47769472" w14:textId="77777777" w:rsidR="0063470F" w:rsidRPr="00507A31" w:rsidRDefault="0063470F" w:rsidP="00507A31">
      <w:pPr>
        <w:jc w:val="both"/>
        <w:rPr>
          <w:color w:val="0070C0"/>
          <w:sz w:val="16"/>
          <w:szCs w:val="16"/>
        </w:rPr>
      </w:pPr>
      <w:r w:rsidRPr="00507A31">
        <w:rPr>
          <w:color w:val="0070C0"/>
          <w:sz w:val="16"/>
          <w:szCs w:val="16"/>
        </w:rPr>
        <w:t>б) руководство составлением оперативного мобплана и распре</w:t>
      </w:r>
      <w:r w:rsidRPr="00507A31">
        <w:rPr>
          <w:color w:val="0070C0"/>
          <w:sz w:val="16"/>
          <w:szCs w:val="16"/>
        </w:rPr>
        <w:softHyphen/>
        <w:t>деление мобзаданий,</w:t>
      </w:r>
    </w:p>
    <w:p w14:paraId="2B29B162" w14:textId="77777777" w:rsidR="0063470F" w:rsidRPr="00507A31" w:rsidRDefault="0063470F" w:rsidP="00507A31">
      <w:pPr>
        <w:jc w:val="both"/>
        <w:rPr>
          <w:color w:val="0070C0"/>
          <w:sz w:val="16"/>
          <w:szCs w:val="16"/>
        </w:rPr>
      </w:pPr>
      <w:r w:rsidRPr="00507A31">
        <w:rPr>
          <w:color w:val="0070C0"/>
          <w:sz w:val="16"/>
          <w:szCs w:val="16"/>
        </w:rPr>
        <w:t>в) фактическое установление сроков развертывания мобилизуе</w:t>
      </w:r>
      <w:r w:rsidRPr="00507A31">
        <w:rPr>
          <w:color w:val="0070C0"/>
          <w:sz w:val="16"/>
          <w:szCs w:val="16"/>
        </w:rPr>
        <w:softHyphen/>
        <w:t>мых предприятий,</w:t>
      </w:r>
    </w:p>
    <w:p w14:paraId="7986B984" w14:textId="77777777" w:rsidR="0063470F" w:rsidRPr="00507A31" w:rsidRDefault="0063470F" w:rsidP="00507A31">
      <w:pPr>
        <w:jc w:val="both"/>
        <w:rPr>
          <w:color w:val="0070C0"/>
          <w:sz w:val="16"/>
          <w:szCs w:val="16"/>
        </w:rPr>
      </w:pPr>
      <w:r w:rsidRPr="00507A31">
        <w:rPr>
          <w:color w:val="0070C0"/>
          <w:sz w:val="16"/>
          <w:szCs w:val="16"/>
        </w:rPr>
        <w:t>г) контроль над выполнением производственно-технических за</w:t>
      </w:r>
      <w:r w:rsidRPr="00507A31">
        <w:rPr>
          <w:color w:val="0070C0"/>
          <w:sz w:val="16"/>
          <w:szCs w:val="16"/>
        </w:rPr>
        <w:softHyphen/>
        <w:t>даний мобилизуемыми предприятиями и над капитальным оборонным строительством,</w:t>
      </w:r>
    </w:p>
    <w:p w14:paraId="4087F0A5" w14:textId="77777777" w:rsidR="0063470F" w:rsidRPr="00507A31" w:rsidRDefault="0063470F" w:rsidP="00507A31">
      <w:pPr>
        <w:jc w:val="both"/>
        <w:rPr>
          <w:color w:val="0070C0"/>
          <w:sz w:val="16"/>
          <w:szCs w:val="16"/>
        </w:rPr>
      </w:pPr>
      <w:r w:rsidRPr="00507A31">
        <w:rPr>
          <w:color w:val="0070C0"/>
          <w:sz w:val="16"/>
          <w:szCs w:val="16"/>
        </w:rPr>
        <w:t>д) контроль и инспектирование мобилизационной подготовки промышленности,</w:t>
      </w:r>
    </w:p>
    <w:p w14:paraId="3A27AECD" w14:textId="77777777" w:rsidR="0063470F" w:rsidRPr="00507A31" w:rsidRDefault="0063470F" w:rsidP="00507A31">
      <w:pPr>
        <w:jc w:val="both"/>
        <w:rPr>
          <w:color w:val="0070C0"/>
          <w:sz w:val="16"/>
          <w:szCs w:val="16"/>
        </w:rPr>
      </w:pPr>
      <w:r w:rsidRPr="00507A31">
        <w:rPr>
          <w:color w:val="0070C0"/>
          <w:sz w:val="16"/>
          <w:szCs w:val="16"/>
        </w:rPr>
        <w:t>е)составление плана материального обеспечения промышленно</w:t>
      </w:r>
      <w:r w:rsidRPr="00507A31">
        <w:rPr>
          <w:color w:val="0070C0"/>
          <w:sz w:val="16"/>
          <w:szCs w:val="16"/>
        </w:rPr>
        <w:softHyphen/>
        <w:t>сти во время войны (сырье:-.;, топливом, оборудованием и т.д.).</w:t>
      </w:r>
    </w:p>
    <w:p w14:paraId="1F69C58B" w14:textId="77777777" w:rsidR="0063470F" w:rsidRPr="00507A31" w:rsidRDefault="0063470F" w:rsidP="00507A31">
      <w:pPr>
        <w:jc w:val="both"/>
        <w:rPr>
          <w:color w:val="0070C0"/>
          <w:sz w:val="16"/>
          <w:szCs w:val="16"/>
        </w:rPr>
      </w:pPr>
      <w:r w:rsidRPr="00507A31">
        <w:rPr>
          <w:color w:val="0070C0"/>
          <w:sz w:val="16"/>
          <w:szCs w:val="16"/>
        </w:rPr>
        <w:t>2. В целях усиления местной инициативы и максимального использования местных ресурсов, признать необходимы созда</w:t>
      </w:r>
      <w:r w:rsidRPr="00507A31">
        <w:rPr>
          <w:color w:val="0070C0"/>
          <w:sz w:val="16"/>
          <w:szCs w:val="16"/>
        </w:rPr>
        <w:softHyphen/>
        <w:t>ние мобилизационных органов в промышленных областях и респуб</w:t>
      </w:r>
      <w:r w:rsidRPr="00507A31">
        <w:rPr>
          <w:color w:val="0070C0"/>
          <w:sz w:val="16"/>
          <w:szCs w:val="16"/>
        </w:rPr>
        <w:softHyphen/>
        <w:t>ликах, имеющих мобилизационное значение, а также и при уполно</w:t>
      </w:r>
      <w:r w:rsidRPr="00507A31">
        <w:rPr>
          <w:color w:val="0070C0"/>
          <w:sz w:val="16"/>
          <w:szCs w:val="16"/>
        </w:rPr>
        <w:softHyphen/>
        <w:t>моченных ВСНХ СССР в областях РСФСР и союзных республиках.</w:t>
      </w:r>
    </w:p>
    <w:p w14:paraId="37CC1B85" w14:textId="77777777" w:rsidR="0063470F" w:rsidRPr="00507A31" w:rsidRDefault="0063470F" w:rsidP="00507A31">
      <w:pPr>
        <w:jc w:val="both"/>
        <w:rPr>
          <w:color w:val="0070C0"/>
          <w:sz w:val="16"/>
          <w:szCs w:val="16"/>
        </w:rPr>
      </w:pPr>
      <w:r w:rsidRPr="00507A31">
        <w:rPr>
          <w:color w:val="0070C0"/>
          <w:sz w:val="16"/>
          <w:szCs w:val="16"/>
        </w:rPr>
        <w:t>ВСНХ СССР совместно с НКВМ и Госпланом СССР в 10-дневный срок войти в РЗ СТО с конкретными предложениями по этому во</w:t>
      </w:r>
      <w:r w:rsidRPr="00507A31">
        <w:rPr>
          <w:color w:val="0070C0"/>
          <w:sz w:val="16"/>
          <w:szCs w:val="16"/>
        </w:rPr>
        <w:softHyphen/>
        <w:t>просу.</w:t>
      </w:r>
    </w:p>
    <w:p w14:paraId="2C4895BC" w14:textId="77777777" w:rsidR="0063470F" w:rsidRPr="00507A31" w:rsidRDefault="0063470F" w:rsidP="00507A31">
      <w:pPr>
        <w:jc w:val="both"/>
        <w:rPr>
          <w:color w:val="0070C0"/>
          <w:sz w:val="16"/>
          <w:szCs w:val="16"/>
        </w:rPr>
      </w:pPr>
      <w:r w:rsidRPr="00507A31">
        <w:rPr>
          <w:color w:val="0070C0"/>
          <w:sz w:val="16"/>
          <w:szCs w:val="16"/>
        </w:rPr>
        <w:t>3. ВСНХ СССР обратить особое внимание на реальность и чет</w:t>
      </w:r>
      <w:r w:rsidRPr="00507A31">
        <w:rPr>
          <w:color w:val="0070C0"/>
          <w:sz w:val="16"/>
          <w:szCs w:val="16"/>
        </w:rPr>
        <w:softHyphen/>
        <w:t>кость мобилизационной работы на предприятиях, возложив на их руководителей (в том числе и технических) строгую персовальную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77A50DA8" w14:textId="77777777" w:rsidR="0063470F" w:rsidRPr="00507A31" w:rsidRDefault="0063470F" w:rsidP="00507A31">
      <w:pPr>
        <w:jc w:val="both"/>
        <w:rPr>
          <w:color w:val="0070C0"/>
          <w:sz w:val="16"/>
          <w:szCs w:val="16"/>
        </w:rPr>
      </w:pPr>
      <w:r w:rsidRPr="00507A31">
        <w:rPr>
          <w:color w:val="0070C0"/>
          <w:sz w:val="16"/>
          <w:szCs w:val="16"/>
        </w:rPr>
        <w:t>Категорически подтвердить, что ответственность за руковод</w:t>
      </w:r>
      <w:r w:rsidRPr="00507A31">
        <w:rPr>
          <w:color w:val="0070C0"/>
          <w:sz w:val="16"/>
          <w:szCs w:val="16"/>
        </w:rPr>
        <w:softHyphen/>
        <w:t>ство подготовкой отдельных отраслей и объединениях промышленно</w:t>
      </w:r>
      <w:r w:rsidRPr="00507A31">
        <w:rPr>
          <w:color w:val="0070C0"/>
          <w:sz w:val="16"/>
          <w:szCs w:val="16"/>
        </w:rPr>
        <w:softHyphen/>
        <w:t>сти к обороне и составление мобилизационных планов целиком воз</w:t>
      </w:r>
      <w:r w:rsidRPr="00507A31">
        <w:rPr>
          <w:color w:val="0070C0"/>
          <w:sz w:val="16"/>
          <w:szCs w:val="16"/>
        </w:rPr>
        <w:softHyphen/>
        <w:t>лагается на руководителей соответствующих об’единений и тре</w:t>
      </w:r>
      <w:r w:rsidRPr="00507A31">
        <w:rPr>
          <w:color w:val="0070C0"/>
          <w:sz w:val="16"/>
          <w:szCs w:val="16"/>
        </w:rPr>
        <w:softHyphen/>
        <w:t>стов.</w:t>
      </w:r>
    </w:p>
    <w:p w14:paraId="1209E75C" w14:textId="77777777" w:rsidR="0063470F" w:rsidRPr="00507A31" w:rsidRDefault="0063470F" w:rsidP="00507A31">
      <w:pPr>
        <w:jc w:val="both"/>
        <w:rPr>
          <w:color w:val="0070C0"/>
          <w:sz w:val="16"/>
          <w:szCs w:val="16"/>
        </w:rPr>
      </w:pPr>
      <w:r w:rsidRPr="00507A31">
        <w:rPr>
          <w:color w:val="0070C0"/>
          <w:sz w:val="16"/>
          <w:szCs w:val="16"/>
        </w:rPr>
        <w:t>4. Признать необходимым установить в практической работе между НКМВ и ВСНХ тесную и непрерывную связь, предусмотрев ак</w:t>
      </w:r>
      <w:r w:rsidRPr="00507A31">
        <w:rPr>
          <w:color w:val="0070C0"/>
          <w:sz w:val="16"/>
          <w:szCs w:val="16"/>
        </w:rPr>
        <w:softHyphen/>
        <w:t>тивное участие НКВМ в работе промышленности по составлению пла</w:t>
      </w:r>
      <w:r w:rsidRPr="00507A31">
        <w:rPr>
          <w:color w:val="0070C0"/>
          <w:sz w:val="16"/>
          <w:szCs w:val="16"/>
        </w:rPr>
        <w:softHyphen/>
        <w:t>на мобилизации и оборонного строительства и контролю по выпол</w:t>
      </w:r>
      <w:r w:rsidRPr="00507A31">
        <w:rPr>
          <w:color w:val="0070C0"/>
          <w:sz w:val="16"/>
          <w:szCs w:val="16"/>
        </w:rPr>
        <w:softHyphen/>
        <w:t>нению военных заказов, особенно в части изготовления и констру</w:t>
      </w:r>
      <w:r w:rsidRPr="00507A31">
        <w:rPr>
          <w:color w:val="0070C0"/>
          <w:sz w:val="16"/>
          <w:szCs w:val="16"/>
        </w:rPr>
        <w:softHyphen/>
        <w:t>ирования новых образцов вооружения.</w:t>
      </w:r>
    </w:p>
    <w:p w14:paraId="20FD7BAE" w14:textId="77777777" w:rsidR="0063470F" w:rsidRPr="00507A31" w:rsidRDefault="0063470F" w:rsidP="00507A31">
      <w:pPr>
        <w:jc w:val="both"/>
        <w:rPr>
          <w:color w:val="0070C0"/>
          <w:sz w:val="16"/>
          <w:szCs w:val="16"/>
        </w:rPr>
      </w:pPr>
      <w:r w:rsidRPr="00507A31">
        <w:rPr>
          <w:color w:val="0070C0"/>
          <w:sz w:val="16"/>
          <w:szCs w:val="16"/>
        </w:rPr>
        <w:t>Доклад о конкретных формах увязки представить в 10-дневный срок в РЗ СТО.</w:t>
      </w:r>
    </w:p>
    <w:p w14:paraId="377E9216" w14:textId="77777777" w:rsidR="0063470F" w:rsidRPr="00507A31" w:rsidRDefault="0063470F" w:rsidP="00507A31">
      <w:pPr>
        <w:jc w:val="both"/>
        <w:rPr>
          <w:color w:val="0070C0"/>
          <w:sz w:val="16"/>
          <w:szCs w:val="16"/>
        </w:rPr>
      </w:pPr>
      <w:r w:rsidRPr="00507A31">
        <w:rPr>
          <w:color w:val="0070C0"/>
          <w:sz w:val="16"/>
          <w:szCs w:val="16"/>
        </w:rPr>
        <w:t>5. Предложить ОГПУ, НКВМ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w:t>
      </w:r>
      <w:r w:rsidRPr="00507A31">
        <w:rPr>
          <w:color w:val="0070C0"/>
          <w:sz w:val="16"/>
          <w:szCs w:val="16"/>
        </w:rPr>
        <w:softHyphen/>
        <w:t>ных организаций и советской общественности к поднятию мобили</w:t>
      </w:r>
      <w:r w:rsidRPr="00507A31">
        <w:rPr>
          <w:color w:val="0070C0"/>
          <w:sz w:val="16"/>
          <w:szCs w:val="16"/>
        </w:rPr>
        <w:softHyphen/>
        <w:t>зационной готовности промышленности.</w:t>
      </w:r>
    </w:p>
    <w:p w14:paraId="0DB72199" w14:textId="77777777" w:rsidR="0063470F" w:rsidRPr="00507A31" w:rsidRDefault="0063470F" w:rsidP="00507A31">
      <w:pPr>
        <w:jc w:val="both"/>
        <w:rPr>
          <w:color w:val="0070C0"/>
          <w:sz w:val="16"/>
          <w:szCs w:val="16"/>
        </w:rPr>
      </w:pPr>
      <w:r w:rsidRPr="00507A31">
        <w:rPr>
          <w:color w:val="0070C0"/>
          <w:sz w:val="16"/>
          <w:szCs w:val="16"/>
        </w:rPr>
        <w:t>6. В соответствии с ранее принятыми решениями подтвердить необходимость проведения в 1930 году пробных и поверочных мо</w:t>
      </w:r>
      <w:r w:rsidRPr="00507A31">
        <w:rPr>
          <w:color w:val="0070C0"/>
          <w:sz w:val="16"/>
          <w:szCs w:val="16"/>
        </w:rPr>
        <w:softHyphen/>
        <w:t>билизаций нескольких промышленных предприятий. Обязать ВСНХ СССР совместно с НКВМ представить к 30.1.30 г. план их прове</w:t>
      </w:r>
      <w:r w:rsidRPr="00507A31">
        <w:rPr>
          <w:color w:val="0070C0"/>
          <w:sz w:val="16"/>
          <w:szCs w:val="16"/>
        </w:rPr>
        <w:softHyphen/>
        <w:t>дения .</w:t>
      </w:r>
    </w:p>
    <w:p w14:paraId="4590A89F" w14:textId="77777777" w:rsidR="0063470F" w:rsidRPr="00507A31" w:rsidRDefault="0063470F" w:rsidP="00507A31">
      <w:pPr>
        <w:jc w:val="both"/>
        <w:rPr>
          <w:color w:val="0070C0"/>
          <w:sz w:val="16"/>
          <w:szCs w:val="16"/>
        </w:rPr>
      </w:pPr>
      <w:r w:rsidRPr="00507A31">
        <w:rPr>
          <w:color w:val="0070C0"/>
          <w:sz w:val="16"/>
          <w:szCs w:val="16"/>
        </w:rPr>
        <w:t>7. Категорически подтвердить необходимость принятия ВСНХ СССР самых жестких мер по сокращению сроков мобилизационного развертывания военной промышленности, служащей основой для на</w:t>
      </w:r>
      <w:r w:rsidRPr="00507A31">
        <w:rPr>
          <w:color w:val="0070C0"/>
          <w:sz w:val="16"/>
          <w:szCs w:val="16"/>
        </w:rPr>
        <w:softHyphen/>
        <w:t>копления опыта по подготовке и мобилизации всей промышленно</w:t>
      </w:r>
      <w:r w:rsidRPr="00507A31">
        <w:rPr>
          <w:color w:val="0070C0"/>
          <w:sz w:val="16"/>
          <w:szCs w:val="16"/>
        </w:rPr>
        <w:softHyphen/>
        <w:t>сти Союза.</w:t>
      </w:r>
    </w:p>
    <w:p w14:paraId="59A1C4E3" w14:textId="77777777" w:rsidR="0063470F" w:rsidRPr="00507A31" w:rsidRDefault="0063470F" w:rsidP="00507A31">
      <w:pPr>
        <w:jc w:val="both"/>
        <w:rPr>
          <w:color w:val="0070C0"/>
          <w:sz w:val="16"/>
          <w:szCs w:val="16"/>
        </w:rPr>
      </w:pPr>
      <w:r w:rsidRPr="00507A31">
        <w:rPr>
          <w:color w:val="0070C0"/>
          <w:sz w:val="16"/>
          <w:szCs w:val="16"/>
        </w:rPr>
        <w:t>8. 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w:t>
      </w:r>
      <w:r w:rsidRPr="00507A31">
        <w:rPr>
          <w:color w:val="0070C0"/>
          <w:sz w:val="16"/>
          <w:szCs w:val="16"/>
        </w:rPr>
        <w:softHyphen/>
        <w:t>становления Правительства о начале военнных действий.</w:t>
      </w:r>
    </w:p>
    <w:p w14:paraId="2E0B0C3C" w14:textId="77777777" w:rsidR="0063470F" w:rsidRPr="00507A31" w:rsidRDefault="0063470F" w:rsidP="00507A31">
      <w:pPr>
        <w:jc w:val="both"/>
        <w:rPr>
          <w:color w:val="0070C0"/>
          <w:sz w:val="16"/>
          <w:szCs w:val="16"/>
        </w:rPr>
      </w:pPr>
      <w:r w:rsidRPr="00507A31">
        <w:rPr>
          <w:color w:val="0070C0"/>
          <w:sz w:val="16"/>
          <w:szCs w:val="16"/>
        </w:rPr>
        <w:t>Кроме того, исходя из изложенного, поручить Госплану СССР в месячный срок разработать и поедставить на рассмотрение РЗ СТО соображения о порядке составления хозяйственных планов на первый период войны.</w:t>
      </w:r>
    </w:p>
    <w:p w14:paraId="78E1367B" w14:textId="77777777" w:rsidR="0063470F" w:rsidRPr="00507A31" w:rsidRDefault="0063470F" w:rsidP="00507A31">
      <w:pPr>
        <w:jc w:val="both"/>
        <w:rPr>
          <w:color w:val="0070C0"/>
          <w:sz w:val="16"/>
          <w:szCs w:val="16"/>
        </w:rPr>
      </w:pPr>
      <w:r w:rsidRPr="00507A31">
        <w:rPr>
          <w:color w:val="0070C0"/>
          <w:sz w:val="16"/>
          <w:szCs w:val="16"/>
        </w:rPr>
        <w:t>9. Возложить на НК РКИ специальное наблюдение за выполне</w:t>
      </w:r>
      <w:r w:rsidRPr="00507A31">
        <w:rPr>
          <w:color w:val="0070C0"/>
          <w:sz w:val="16"/>
          <w:szCs w:val="16"/>
        </w:rPr>
        <w:softHyphen/>
        <w:t>нием решений Политбюро и РЗ СТО по вопросам мобилизационной работы, привлекая к строжайшей ответственности виновных в их неисполнении.</w:t>
      </w:r>
    </w:p>
    <w:p w14:paraId="72F400F8" w14:textId="77777777" w:rsidR="0063470F" w:rsidRPr="00507A31" w:rsidRDefault="0063470F" w:rsidP="00507A31">
      <w:pPr>
        <w:jc w:val="both"/>
        <w:rPr>
          <w:color w:val="0070C0"/>
          <w:sz w:val="16"/>
          <w:szCs w:val="16"/>
        </w:rPr>
      </w:pPr>
      <w:r w:rsidRPr="00507A31">
        <w:rPr>
          <w:color w:val="0070C0"/>
          <w:sz w:val="16"/>
          <w:szCs w:val="16"/>
        </w:rPr>
        <w:t>б) Поставить на рассмотрение Политбюро решение РЗ СТО о лит. "С" и заявки НКВД на 2-ой и 3-ий год.</w:t>
      </w:r>
    </w:p>
    <w:p w14:paraId="15D626B4" w14:textId="77777777" w:rsidR="0063470F" w:rsidRPr="00507A31" w:rsidRDefault="0063470F" w:rsidP="00507A31">
      <w:pPr>
        <w:jc w:val="both"/>
        <w:rPr>
          <w:color w:val="0070C0"/>
          <w:sz w:val="16"/>
          <w:szCs w:val="16"/>
        </w:rPr>
      </w:pPr>
      <w:r w:rsidRPr="00507A31">
        <w:rPr>
          <w:color w:val="0070C0"/>
          <w:sz w:val="16"/>
          <w:szCs w:val="16"/>
        </w:rPr>
        <w:t>в) Предложить РЗ СТО пересмотреть свое решение по вопросу об оценке деятельности ВСНХ по части мобилизационной работы.</w:t>
      </w:r>
    </w:p>
    <w:p w14:paraId="53977D90" w14:textId="77777777" w:rsidR="0063470F" w:rsidRPr="00507A31" w:rsidRDefault="0063470F" w:rsidP="00507A31">
      <w:pPr>
        <w:jc w:val="both"/>
        <w:rPr>
          <w:color w:val="0070C0"/>
          <w:sz w:val="16"/>
          <w:szCs w:val="16"/>
        </w:rPr>
      </w:pPr>
      <w:r w:rsidRPr="00507A31">
        <w:rPr>
          <w:color w:val="0070C0"/>
          <w:sz w:val="16"/>
          <w:szCs w:val="16"/>
        </w:rPr>
        <w:t>г) Поручить Секретариату ЦК представить свои соображения, на основе обмена мнений на настоящем заседании Политбюро, о соста</w:t>
      </w:r>
      <w:r w:rsidRPr="00507A31">
        <w:rPr>
          <w:color w:val="0070C0"/>
          <w:sz w:val="16"/>
          <w:szCs w:val="16"/>
        </w:rPr>
        <w:softHyphen/>
        <w:t>ве руководящей верхушки Мобилизационного Управления ВСНХ.</w:t>
      </w:r>
    </w:p>
    <w:p w14:paraId="75B8E3A9" w14:textId="77777777" w:rsidR="0063470F" w:rsidRPr="00507A31" w:rsidRDefault="0063470F" w:rsidP="00507A31">
      <w:pPr>
        <w:jc w:val="both"/>
        <w:rPr>
          <w:color w:val="0070C0"/>
          <w:sz w:val="16"/>
          <w:szCs w:val="16"/>
        </w:rPr>
      </w:pPr>
      <w:r w:rsidRPr="00507A31">
        <w:rPr>
          <w:color w:val="0070C0"/>
          <w:sz w:val="16"/>
          <w:szCs w:val="16"/>
        </w:rPr>
        <w:t>Выписки посланы: т.т. Куйбышеву, Ворошилову, Рыкову, Кагановичу - г. – все: т.Томскому - из прил. П-2, т. Микояну - из прил. П-3,4,12, т. Урываеву - из прил. П-10, т. Кржижановскому - из прил. Ш-2, 3, т. Ягоде - из прил. Ш-5, т. Орджоникидзе - Ш-9.</w:t>
      </w:r>
    </w:p>
    <w:p w14:paraId="5102CF3E" w14:textId="77777777" w:rsidR="0063470F" w:rsidRPr="00507A31" w:rsidRDefault="0063470F" w:rsidP="00507A31">
      <w:pPr>
        <w:jc w:val="both"/>
        <w:rPr>
          <w:color w:val="0070C0"/>
          <w:sz w:val="16"/>
          <w:szCs w:val="16"/>
        </w:rPr>
      </w:pPr>
      <w:r w:rsidRPr="00507A31">
        <w:rPr>
          <w:color w:val="0070C0"/>
          <w:sz w:val="16"/>
          <w:szCs w:val="16"/>
        </w:rPr>
        <w:t>5.- О_приглашении_иностранных_5пециаластов_по_организации аллюминиевого производства.</w:t>
      </w:r>
    </w:p>
    <w:p w14:paraId="73D5594F" w14:textId="77777777" w:rsidR="0063470F" w:rsidRPr="00507A31" w:rsidRDefault="0063470F" w:rsidP="00507A31">
      <w:pPr>
        <w:jc w:val="both"/>
        <w:rPr>
          <w:color w:val="0070C0"/>
          <w:sz w:val="16"/>
          <w:szCs w:val="16"/>
        </w:rPr>
      </w:pPr>
      <w:r w:rsidRPr="00507A31">
        <w:rPr>
          <w:color w:val="0070C0"/>
          <w:sz w:val="16"/>
          <w:szCs w:val="16"/>
        </w:rPr>
        <w:t>(т.Куйбышев).</w:t>
      </w:r>
    </w:p>
    <w:p w14:paraId="5AD01918" w14:textId="77777777" w:rsidR="0063470F" w:rsidRPr="00507A31" w:rsidRDefault="0063470F" w:rsidP="00507A31">
      <w:pPr>
        <w:jc w:val="both"/>
        <w:rPr>
          <w:color w:val="0070C0"/>
          <w:sz w:val="16"/>
          <w:szCs w:val="16"/>
        </w:rPr>
      </w:pPr>
      <w:r w:rsidRPr="00507A31">
        <w:rPr>
          <w:color w:val="0070C0"/>
          <w:sz w:val="16"/>
          <w:szCs w:val="16"/>
        </w:rPr>
        <w:t>Разрешить ВСНХ заключить договор о технической помощи с французской аллюминиевой компанией на основе решения Политбюро от 5.ХП.29 г.</w:t>
      </w:r>
    </w:p>
    <w:p w14:paraId="7C5F8F0C" w14:textId="77777777" w:rsidR="0063470F" w:rsidRPr="00507A31" w:rsidRDefault="0063470F" w:rsidP="00507A31">
      <w:pPr>
        <w:jc w:val="both"/>
        <w:rPr>
          <w:color w:val="0070C0"/>
          <w:sz w:val="16"/>
          <w:szCs w:val="16"/>
        </w:rPr>
      </w:pPr>
      <w:r w:rsidRPr="00507A31">
        <w:rPr>
          <w:color w:val="0070C0"/>
          <w:sz w:val="16"/>
          <w:szCs w:val="16"/>
        </w:rPr>
        <w:t>Выписка_посланa: т. Куйбышеву.</w:t>
      </w:r>
    </w:p>
    <w:p w14:paraId="78FFBDAF" w14:textId="77777777" w:rsidR="0063470F" w:rsidRPr="00507A31" w:rsidRDefault="0063470F" w:rsidP="00507A31">
      <w:pPr>
        <w:jc w:val="both"/>
        <w:rPr>
          <w:color w:val="0070C0"/>
          <w:sz w:val="16"/>
          <w:szCs w:val="16"/>
        </w:rPr>
      </w:pPr>
      <w:r w:rsidRPr="00507A31">
        <w:rPr>
          <w:color w:val="0070C0"/>
          <w:sz w:val="16"/>
          <w:szCs w:val="16"/>
        </w:rPr>
        <w:t>11.-Об А.У.</w:t>
      </w:r>
    </w:p>
    <w:p w14:paraId="061CEC5F" w14:textId="77777777" w:rsidR="0063470F" w:rsidRPr="00507A31" w:rsidRDefault="0063470F" w:rsidP="00507A31">
      <w:pPr>
        <w:jc w:val="both"/>
        <w:rPr>
          <w:color w:val="0070C0"/>
          <w:sz w:val="16"/>
          <w:szCs w:val="16"/>
        </w:rPr>
      </w:pPr>
      <w:r w:rsidRPr="00507A31">
        <w:rPr>
          <w:color w:val="0070C0"/>
          <w:sz w:val="16"/>
          <w:szCs w:val="16"/>
        </w:rPr>
        <w:t>(ПБ от 30.ХП.29 г., пр. № 112, п. ЗЗ).</w:t>
      </w:r>
    </w:p>
    <w:p w14:paraId="1EA4AD7D" w14:textId="77777777" w:rsidR="0063470F" w:rsidRPr="00507A31" w:rsidRDefault="0063470F" w:rsidP="00507A31">
      <w:pPr>
        <w:jc w:val="both"/>
        <w:rPr>
          <w:color w:val="0070C0"/>
          <w:sz w:val="16"/>
          <w:szCs w:val="16"/>
        </w:rPr>
      </w:pPr>
      <w:r w:rsidRPr="00507A31">
        <w:rPr>
          <w:color w:val="0070C0"/>
          <w:sz w:val="16"/>
          <w:szCs w:val="16"/>
        </w:rPr>
        <w:t>(т.т. Орджоникидзе, Уншлихт, Уборевич, Кулик, Павлуновский, Мартинович).</w:t>
      </w:r>
    </w:p>
    <w:p w14:paraId="2EA057FF" w14:textId="45332668" w:rsidR="0063470F" w:rsidRPr="00507A31" w:rsidRDefault="0063470F" w:rsidP="00507A31">
      <w:pPr>
        <w:jc w:val="both"/>
        <w:rPr>
          <w:color w:val="0070C0"/>
          <w:sz w:val="16"/>
          <w:szCs w:val="16"/>
        </w:rPr>
      </w:pPr>
      <w:r w:rsidRPr="00507A31">
        <w:rPr>
          <w:color w:val="0070C0"/>
          <w:sz w:val="16"/>
          <w:szCs w:val="16"/>
        </w:rPr>
        <w:t>а) Выводы РКИ о работе А.У.</w:t>
      </w:r>
      <w:r w:rsidR="00D5789F" w:rsidRPr="00507A31">
        <w:rPr>
          <w:color w:val="0070C0"/>
          <w:sz w:val="16"/>
          <w:szCs w:val="16"/>
        </w:rPr>
        <w:t xml:space="preserve"> </w:t>
      </w:r>
      <w:r w:rsidRPr="00507A31">
        <w:rPr>
          <w:color w:val="0070C0"/>
          <w:sz w:val="16"/>
          <w:szCs w:val="16"/>
        </w:rPr>
        <w:t>признать в основном правиль</w:t>
      </w:r>
      <w:r w:rsidRPr="00507A31">
        <w:rPr>
          <w:color w:val="0070C0"/>
          <w:sz w:val="16"/>
          <w:szCs w:val="16"/>
        </w:rPr>
        <w:softHyphen/>
        <w:t>ными;</w:t>
      </w:r>
    </w:p>
    <w:p w14:paraId="585CA555" w14:textId="77777777" w:rsidR="0063470F" w:rsidRPr="00507A31" w:rsidRDefault="0063470F" w:rsidP="00507A31">
      <w:pPr>
        <w:jc w:val="both"/>
        <w:rPr>
          <w:color w:val="0070C0"/>
          <w:sz w:val="16"/>
          <w:szCs w:val="16"/>
        </w:rPr>
      </w:pPr>
      <w:r w:rsidRPr="00507A31">
        <w:rPr>
          <w:color w:val="0070C0"/>
          <w:sz w:val="16"/>
          <w:szCs w:val="16"/>
        </w:rPr>
        <w:t>б) Признать, что РВСР поступил правильно, создав инсти</w:t>
      </w:r>
      <w:r w:rsidRPr="00507A31">
        <w:rPr>
          <w:color w:val="0070C0"/>
          <w:sz w:val="16"/>
          <w:szCs w:val="16"/>
        </w:rPr>
        <w:softHyphen/>
        <w:t>тут Управления Вооружения и обновив состав работников ар</w:t>
      </w:r>
      <w:r w:rsidRPr="00507A31">
        <w:rPr>
          <w:color w:val="0070C0"/>
          <w:sz w:val="16"/>
          <w:szCs w:val="16"/>
        </w:rPr>
        <w:softHyphen/>
        <w:t>тиллерийского управления;</w:t>
      </w:r>
    </w:p>
    <w:p w14:paraId="753F8398" w14:textId="77777777" w:rsidR="0063470F" w:rsidRPr="00507A31" w:rsidRDefault="0063470F" w:rsidP="00507A31">
      <w:pPr>
        <w:jc w:val="both"/>
        <w:rPr>
          <w:color w:val="0070C0"/>
          <w:sz w:val="16"/>
          <w:szCs w:val="16"/>
        </w:rPr>
      </w:pPr>
      <w:r w:rsidRPr="00507A31">
        <w:rPr>
          <w:color w:val="0070C0"/>
          <w:sz w:val="16"/>
          <w:szCs w:val="16"/>
        </w:rPr>
        <w:t>в) Обязать РВСР принять срочные меры по коренному улуч</w:t>
      </w:r>
      <w:r w:rsidRPr="00507A31">
        <w:rPr>
          <w:color w:val="0070C0"/>
          <w:sz w:val="16"/>
          <w:szCs w:val="16"/>
        </w:rPr>
        <w:softHyphen/>
        <w:t>шению дела технического вооружения и перевооружения армии, используя для этого надежные конструкторские силы и техни</w:t>
      </w:r>
      <w:r w:rsidRPr="00507A31">
        <w:rPr>
          <w:color w:val="0070C0"/>
          <w:sz w:val="16"/>
          <w:szCs w:val="16"/>
        </w:rPr>
        <w:softHyphen/>
        <w:t>ческую помощь Запада (немцы, американцы, итальянцы);</w:t>
      </w:r>
    </w:p>
    <w:p w14:paraId="20A856A1" w14:textId="77777777" w:rsidR="0063470F" w:rsidRPr="00507A31" w:rsidRDefault="0063470F" w:rsidP="00507A31">
      <w:pPr>
        <w:jc w:val="both"/>
        <w:rPr>
          <w:color w:val="0070C0"/>
          <w:sz w:val="16"/>
          <w:szCs w:val="16"/>
        </w:rPr>
      </w:pPr>
      <w:r w:rsidRPr="00507A31">
        <w:rPr>
          <w:color w:val="0070C0"/>
          <w:sz w:val="16"/>
          <w:szCs w:val="16"/>
        </w:rPr>
        <w:t>г) Обязать ВСНХ усилить свою конструкторскую работу по улучшению вооружения армии как в специально военной промыш</w:t>
      </w:r>
      <w:r w:rsidRPr="00507A31">
        <w:rPr>
          <w:color w:val="0070C0"/>
          <w:sz w:val="16"/>
          <w:szCs w:val="16"/>
        </w:rPr>
        <w:softHyphen/>
        <w:t>ленности, так и в других отраслях, имеющих отношение к во</w:t>
      </w:r>
      <w:r w:rsidRPr="00507A31">
        <w:rPr>
          <w:color w:val="0070C0"/>
          <w:sz w:val="16"/>
          <w:szCs w:val="16"/>
        </w:rPr>
        <w:softHyphen/>
        <w:t>енному делу;</w:t>
      </w:r>
    </w:p>
    <w:p w14:paraId="7510346E" w14:textId="77777777" w:rsidR="0063470F" w:rsidRPr="00507A31" w:rsidRDefault="0063470F" w:rsidP="00507A31">
      <w:pPr>
        <w:jc w:val="both"/>
        <w:rPr>
          <w:color w:val="0070C0"/>
          <w:sz w:val="16"/>
          <w:szCs w:val="16"/>
        </w:rPr>
      </w:pPr>
      <w:r w:rsidRPr="00507A31">
        <w:rPr>
          <w:color w:val="0070C0"/>
          <w:sz w:val="16"/>
          <w:szCs w:val="16"/>
        </w:rPr>
        <w:t>д) Обязать РВСР представить в ЦК через 3 месяца отчет</w:t>
      </w:r>
      <w:r w:rsidRPr="00507A31">
        <w:rPr>
          <w:color w:val="0070C0"/>
          <w:sz w:val="16"/>
          <w:szCs w:val="16"/>
        </w:rPr>
        <w:softHyphen/>
        <w:t>ный доклад о принятых мерах.</w:t>
      </w:r>
    </w:p>
    <w:p w14:paraId="09B846EB" w14:textId="77777777" w:rsidR="0063470F" w:rsidRPr="00507A31" w:rsidRDefault="0063470F" w:rsidP="00507A31">
      <w:pPr>
        <w:jc w:val="both"/>
        <w:rPr>
          <w:color w:val="0070C0"/>
          <w:sz w:val="16"/>
          <w:szCs w:val="16"/>
        </w:rPr>
      </w:pPr>
      <w:r w:rsidRPr="00507A31">
        <w:rPr>
          <w:color w:val="0070C0"/>
          <w:sz w:val="16"/>
          <w:szCs w:val="16"/>
        </w:rPr>
        <w:t>Выписки посланы: т. Ворошилову – все, т.Куйбышеву - г.</w:t>
      </w:r>
    </w:p>
    <w:p w14:paraId="7D8548A9" w14:textId="77777777" w:rsidR="0063470F" w:rsidRPr="00507A31" w:rsidRDefault="0063470F" w:rsidP="00507A31">
      <w:pPr>
        <w:jc w:val="both"/>
        <w:rPr>
          <w:color w:val="0070C0"/>
          <w:sz w:val="16"/>
          <w:szCs w:val="16"/>
        </w:rPr>
      </w:pPr>
      <w:r w:rsidRPr="00507A31">
        <w:rPr>
          <w:color w:val="0070C0"/>
          <w:sz w:val="16"/>
          <w:szCs w:val="16"/>
        </w:rPr>
        <w:lastRenderedPageBreak/>
        <w:t>7 января 1930 опросом членов ПБ</w:t>
      </w:r>
    </w:p>
    <w:p w14:paraId="7D416A6F" w14:textId="77777777" w:rsidR="0063470F" w:rsidRPr="00507A31" w:rsidRDefault="0063470F" w:rsidP="00507A31">
      <w:pPr>
        <w:jc w:val="both"/>
        <w:rPr>
          <w:color w:val="0070C0"/>
          <w:sz w:val="16"/>
          <w:szCs w:val="16"/>
        </w:rPr>
      </w:pPr>
      <w:r w:rsidRPr="00507A31">
        <w:rPr>
          <w:color w:val="0070C0"/>
          <w:sz w:val="16"/>
          <w:szCs w:val="16"/>
        </w:rPr>
        <w:t>52.- О техпомощи по тракторным и комбайным заводам.</w:t>
      </w:r>
    </w:p>
    <w:p w14:paraId="519D2C05" w14:textId="77777777" w:rsidR="0063470F" w:rsidRPr="00507A31" w:rsidRDefault="0063470F" w:rsidP="00507A31">
      <w:pPr>
        <w:jc w:val="both"/>
        <w:rPr>
          <w:color w:val="0070C0"/>
          <w:sz w:val="16"/>
          <w:szCs w:val="16"/>
        </w:rPr>
      </w:pPr>
      <w:r w:rsidRPr="00507A31">
        <w:rPr>
          <w:color w:val="0070C0"/>
          <w:sz w:val="16"/>
          <w:szCs w:val="16"/>
        </w:rPr>
        <w:t>а) Командировать для руководства переговорами о техпо</w:t>
      </w:r>
      <w:r w:rsidRPr="00507A31">
        <w:rPr>
          <w:color w:val="0070C0"/>
          <w:sz w:val="16"/>
          <w:szCs w:val="16"/>
        </w:rPr>
        <w:softHyphen/>
        <w:t>мощи по тракторным и комбайновым заводам заграницу т. Осин</w:t>
      </w:r>
      <w:r w:rsidRPr="00507A31">
        <w:rPr>
          <w:color w:val="0070C0"/>
          <w:sz w:val="16"/>
          <w:szCs w:val="16"/>
        </w:rPr>
        <w:softHyphen/>
        <w:t>ского. Утвердить прилагаемую при сем инструкцию о наших требованиях и пределах принимаемых на себя обязательств перед фирмой - контрагентом (см. приложение № 2).</w:t>
      </w:r>
    </w:p>
    <w:p w14:paraId="15AE93DC" w14:textId="77777777" w:rsidR="0063470F" w:rsidRPr="00507A31" w:rsidRDefault="0063470F" w:rsidP="00507A31">
      <w:pPr>
        <w:jc w:val="both"/>
        <w:rPr>
          <w:color w:val="0070C0"/>
          <w:sz w:val="16"/>
          <w:szCs w:val="16"/>
        </w:rPr>
      </w:pPr>
      <w:r w:rsidRPr="00507A31">
        <w:rPr>
          <w:color w:val="0070C0"/>
          <w:sz w:val="16"/>
          <w:szCs w:val="16"/>
        </w:rPr>
        <w:t>б) Для непосредственного ведения переговоров, в случае, если т. Осинский не добьется в’езда в С.Ш.А., назначить ко</w:t>
      </w:r>
      <w:r w:rsidRPr="00507A31">
        <w:rPr>
          <w:color w:val="0070C0"/>
          <w:sz w:val="16"/>
          <w:szCs w:val="16"/>
        </w:rPr>
        <w:softHyphen/>
        <w:t>миссию в составе т.т. Богданова (пред.), Мамаева, Левина (Че лябтракторострой), Мишкова (Харьковттракторострой), Балах</w:t>
      </w:r>
      <w:r w:rsidRPr="00507A31">
        <w:rPr>
          <w:color w:val="0070C0"/>
          <w:sz w:val="16"/>
          <w:szCs w:val="16"/>
        </w:rPr>
        <w:softHyphen/>
        <w:t>нина (Ростовкомбайнстрой), Морина (Новосибкомбайнстрой). Комиссия извещает т. Осинского о предпринимаемых ею шагах и руководствуется его указаниями. Ни один из членов комис</w:t>
      </w:r>
      <w:r w:rsidRPr="00507A31">
        <w:rPr>
          <w:color w:val="0070C0"/>
          <w:sz w:val="16"/>
          <w:szCs w:val="16"/>
        </w:rPr>
        <w:softHyphen/>
        <w:t>сии не имеет права сепаратно вступать в переговоры с ка</w:t>
      </w:r>
      <w:r w:rsidRPr="00507A31">
        <w:rPr>
          <w:color w:val="0070C0"/>
          <w:sz w:val="16"/>
          <w:szCs w:val="16"/>
        </w:rPr>
        <w:softHyphen/>
        <w:t>кой-либо фирмой. Если т. Осинскому удастся получить визу в С.Ш.А., он становится во главе комиссии.</w:t>
      </w:r>
    </w:p>
    <w:p w14:paraId="656B22CE" w14:textId="77777777" w:rsidR="0063470F" w:rsidRPr="00507A31" w:rsidRDefault="0063470F" w:rsidP="00507A31">
      <w:pPr>
        <w:jc w:val="both"/>
        <w:rPr>
          <w:color w:val="0070C0"/>
          <w:sz w:val="16"/>
          <w:szCs w:val="16"/>
        </w:rPr>
      </w:pPr>
      <w:r w:rsidRPr="00507A31">
        <w:rPr>
          <w:color w:val="0070C0"/>
          <w:sz w:val="16"/>
          <w:szCs w:val="16"/>
        </w:rPr>
        <w:t>в) Тов. Осинскому в случае невозможности попасть хотя бы в Канаду, направиться в Мексику и оттуда руководить пе</w:t>
      </w:r>
      <w:r w:rsidRPr="00507A31">
        <w:rPr>
          <w:color w:val="0070C0"/>
          <w:sz w:val="16"/>
          <w:szCs w:val="16"/>
        </w:rPr>
        <w:softHyphen/>
        <w:t>реговорами. Предложить НКВД срочно запросить визу для Осин</w:t>
      </w:r>
      <w:r w:rsidRPr="00507A31">
        <w:rPr>
          <w:color w:val="0070C0"/>
          <w:sz w:val="16"/>
          <w:szCs w:val="16"/>
        </w:rPr>
        <w:softHyphen/>
        <w:t>ского в Мексику, а также визу французскую и английскую.</w:t>
      </w:r>
    </w:p>
    <w:p w14:paraId="5A232867" w14:textId="77777777" w:rsidR="0063470F" w:rsidRPr="00507A31" w:rsidRDefault="0063470F" w:rsidP="00507A31">
      <w:pPr>
        <w:jc w:val="both"/>
        <w:rPr>
          <w:color w:val="0070C0"/>
          <w:sz w:val="16"/>
          <w:szCs w:val="16"/>
        </w:rPr>
      </w:pPr>
      <w:r w:rsidRPr="00507A31">
        <w:rPr>
          <w:color w:val="0070C0"/>
          <w:sz w:val="16"/>
          <w:szCs w:val="16"/>
        </w:rPr>
        <w:t>г) Ввести т. Осинского также в состав комиссии Халепского и Будняка, посланной заграницу со специальными зада</w:t>
      </w:r>
      <w:r w:rsidRPr="00507A31">
        <w:rPr>
          <w:color w:val="0070C0"/>
          <w:sz w:val="16"/>
          <w:szCs w:val="16"/>
        </w:rPr>
        <w:softHyphen/>
        <w:t>ниями.</w:t>
      </w:r>
    </w:p>
    <w:p w14:paraId="11D1E305" w14:textId="77777777" w:rsidR="0063470F" w:rsidRPr="00507A31" w:rsidRDefault="0063470F" w:rsidP="00507A31">
      <w:pPr>
        <w:jc w:val="both"/>
        <w:rPr>
          <w:color w:val="0070C0"/>
          <w:sz w:val="16"/>
          <w:szCs w:val="16"/>
        </w:rPr>
      </w:pPr>
      <w:r w:rsidRPr="00507A31">
        <w:rPr>
          <w:color w:val="0070C0"/>
          <w:sz w:val="16"/>
          <w:szCs w:val="16"/>
        </w:rPr>
        <w:t>д) Разрешить т. Осинскому взять с собой двух инженеров- конструкторов и производственника, а также т. Зива П.Я. -для поддержания связи с комиссией в С.Ш.А. Предложить всем надле</w:t>
      </w:r>
      <w:r w:rsidRPr="00507A31">
        <w:rPr>
          <w:color w:val="0070C0"/>
          <w:sz w:val="16"/>
          <w:szCs w:val="16"/>
        </w:rPr>
        <w:softHyphen/>
        <w:t>жащим учреждениям срочно обеспечить выезд этих товарищей.</w:t>
      </w:r>
    </w:p>
    <w:p w14:paraId="3BFEE400" w14:textId="77777777" w:rsidR="0063470F" w:rsidRPr="00507A31" w:rsidRDefault="0063470F" w:rsidP="00507A31">
      <w:pPr>
        <w:jc w:val="both"/>
        <w:rPr>
          <w:color w:val="0070C0"/>
          <w:sz w:val="16"/>
          <w:szCs w:val="16"/>
        </w:rPr>
      </w:pPr>
      <w:r w:rsidRPr="00507A31">
        <w:rPr>
          <w:color w:val="0070C0"/>
          <w:sz w:val="16"/>
          <w:szCs w:val="16"/>
        </w:rPr>
        <w:t>Выписки посланы: т. Осинскому, т. Куйбышеву, т. Литвинову - в. т. Мессингу – д (23092).</w:t>
      </w:r>
    </w:p>
    <w:p w14:paraId="3C7D9BC8" w14:textId="77777777" w:rsidR="0063470F" w:rsidRPr="00507A31" w:rsidRDefault="0063470F" w:rsidP="00507A31">
      <w:pPr>
        <w:jc w:val="both"/>
        <w:rPr>
          <w:color w:val="0070C0"/>
          <w:sz w:val="16"/>
          <w:szCs w:val="16"/>
        </w:rPr>
      </w:pPr>
    </w:p>
    <w:p w14:paraId="32B1FDC5" w14:textId="77777777" w:rsidR="00885781" w:rsidRPr="00507A31" w:rsidRDefault="00885781" w:rsidP="00507A31">
      <w:pPr>
        <w:jc w:val="both"/>
        <w:rPr>
          <w:color w:val="000000" w:themeColor="text1"/>
          <w:sz w:val="16"/>
          <w:szCs w:val="16"/>
        </w:rPr>
      </w:pPr>
      <w:r w:rsidRPr="00507A31">
        <w:rPr>
          <w:color w:val="000000" w:themeColor="text1"/>
          <w:sz w:val="16"/>
          <w:szCs w:val="16"/>
        </w:rPr>
        <w:t>15 января 1930</w:t>
      </w:r>
    </w:p>
    <w:p w14:paraId="71612BEE" w14:textId="77777777" w:rsidR="00885781" w:rsidRPr="00507A31" w:rsidRDefault="00885781" w:rsidP="00507A31">
      <w:pPr>
        <w:jc w:val="both"/>
        <w:rPr>
          <w:color w:val="000000" w:themeColor="text1"/>
          <w:sz w:val="16"/>
          <w:szCs w:val="16"/>
        </w:rPr>
      </w:pPr>
      <w:r w:rsidRPr="00507A31">
        <w:rPr>
          <w:color w:val="000000" w:themeColor="text1"/>
          <w:sz w:val="16"/>
          <w:szCs w:val="16"/>
        </w:rPr>
        <w:t>Источник: </w:t>
      </w:r>
    </w:p>
    <w:p w14:paraId="37DF4099" w14:textId="77777777" w:rsidR="00885781" w:rsidRPr="00507A31" w:rsidRDefault="00885781" w:rsidP="00507A31">
      <w:pPr>
        <w:jc w:val="both"/>
        <w:rPr>
          <w:color w:val="000000" w:themeColor="text1"/>
          <w:sz w:val="16"/>
          <w:szCs w:val="16"/>
        </w:rPr>
      </w:pPr>
      <w:r w:rsidRPr="00507A31">
        <w:rPr>
          <w:color w:val="000000" w:themeColor="text1"/>
          <w:sz w:val="16"/>
          <w:szCs w:val="16"/>
        </w:rPr>
        <w:t>http://sovdoc.rusarchives.ru</w:t>
      </w:r>
    </w:p>
    <w:p w14:paraId="0ABE003B" w14:textId="77777777" w:rsidR="00885781" w:rsidRPr="00507A31" w:rsidRDefault="00885781" w:rsidP="00507A31">
      <w:pPr>
        <w:jc w:val="both"/>
        <w:rPr>
          <w:color w:val="000000" w:themeColor="text1"/>
          <w:sz w:val="16"/>
          <w:szCs w:val="16"/>
        </w:rPr>
      </w:pPr>
      <w:r w:rsidRPr="00507A31">
        <w:rPr>
          <w:color w:val="000000" w:themeColor="text1"/>
          <w:sz w:val="16"/>
          <w:szCs w:val="16"/>
        </w:rPr>
        <w:t>Архив: </w:t>
      </w:r>
    </w:p>
    <w:p w14:paraId="361B9853" w14:textId="77777777" w:rsidR="00885781" w:rsidRPr="00507A31" w:rsidRDefault="00885781" w:rsidP="00507A31">
      <w:pPr>
        <w:jc w:val="both"/>
        <w:rPr>
          <w:color w:val="000000" w:themeColor="text1"/>
          <w:sz w:val="16"/>
          <w:szCs w:val="16"/>
        </w:rPr>
      </w:pPr>
      <w:r w:rsidRPr="00507A31">
        <w:rPr>
          <w:color w:val="000000" w:themeColor="text1"/>
          <w:sz w:val="16"/>
          <w:szCs w:val="16"/>
        </w:rPr>
        <w:t>РГАСПИ. Ф. 17. Оп. 162. Д. 8. Л. 43-46.</w:t>
      </w:r>
    </w:p>
    <w:p w14:paraId="5BAF672A" w14:textId="77777777" w:rsidR="00885781" w:rsidRPr="00507A31" w:rsidRDefault="00885781" w:rsidP="00507A31">
      <w:pPr>
        <w:jc w:val="both"/>
        <w:rPr>
          <w:color w:val="000000" w:themeColor="text1"/>
          <w:sz w:val="16"/>
          <w:szCs w:val="16"/>
        </w:rPr>
      </w:pPr>
      <w:r w:rsidRPr="00507A31">
        <w:rPr>
          <w:color w:val="000000" w:themeColor="text1"/>
          <w:sz w:val="16"/>
          <w:szCs w:val="16"/>
        </w:rPr>
        <w:t>Приложение № 1-ОП</w:t>
      </w:r>
    </w:p>
    <w:p w14:paraId="7315AD3E" w14:textId="77777777" w:rsidR="00885781" w:rsidRPr="00507A31" w:rsidRDefault="00885781" w:rsidP="00507A31">
      <w:pPr>
        <w:jc w:val="both"/>
        <w:rPr>
          <w:color w:val="000000" w:themeColor="text1"/>
          <w:sz w:val="16"/>
          <w:szCs w:val="16"/>
        </w:rPr>
      </w:pPr>
      <w:r w:rsidRPr="00507A31">
        <w:rPr>
          <w:color w:val="000000" w:themeColor="text1"/>
          <w:sz w:val="16"/>
          <w:szCs w:val="16"/>
        </w:rPr>
        <w:t>к п. 1 (о. п.) пр. ПБ № 113.</w:t>
      </w:r>
    </w:p>
    <w:p w14:paraId="21A40E73" w14:textId="77777777" w:rsidR="00885781" w:rsidRPr="00507A31" w:rsidRDefault="00885781" w:rsidP="00507A31">
      <w:pPr>
        <w:jc w:val="both"/>
        <w:rPr>
          <w:color w:val="000000" w:themeColor="text1"/>
          <w:sz w:val="16"/>
          <w:szCs w:val="16"/>
        </w:rPr>
      </w:pPr>
      <w:r w:rsidRPr="00507A31">
        <w:rPr>
          <w:color w:val="000000" w:themeColor="text1"/>
          <w:sz w:val="16"/>
          <w:szCs w:val="16"/>
        </w:rPr>
        <w:t>О мобподготовке промышленности.</w:t>
      </w:r>
    </w:p>
    <w:p w14:paraId="2DCB0D0C" w14:textId="77777777" w:rsidR="00885781" w:rsidRPr="00507A31" w:rsidRDefault="00885781" w:rsidP="00507A31">
      <w:pPr>
        <w:jc w:val="both"/>
        <w:rPr>
          <w:color w:val="000000" w:themeColor="text1"/>
          <w:sz w:val="16"/>
          <w:szCs w:val="16"/>
        </w:rPr>
      </w:pPr>
      <w:r w:rsidRPr="00507A31">
        <w:rPr>
          <w:color w:val="000000" w:themeColor="text1"/>
          <w:sz w:val="16"/>
          <w:szCs w:val="16"/>
        </w:rPr>
        <w:t>(Утверждено Политбюро ЦК ВКП(б) 15.I.1930 г.).</w:t>
      </w:r>
    </w:p>
    <w:p w14:paraId="61C052D5" w14:textId="77777777" w:rsidR="00885781" w:rsidRPr="00507A31" w:rsidRDefault="00885781" w:rsidP="00507A31">
      <w:pPr>
        <w:jc w:val="both"/>
        <w:rPr>
          <w:color w:val="000000" w:themeColor="text1"/>
          <w:sz w:val="16"/>
          <w:szCs w:val="16"/>
        </w:rPr>
      </w:pPr>
      <w:r w:rsidRPr="00507A31">
        <w:rPr>
          <w:color w:val="000000" w:themeColor="text1"/>
          <w:sz w:val="16"/>
          <w:szCs w:val="16"/>
        </w:rPr>
        <w:t>I.</w:t>
      </w:r>
    </w:p>
    <w:p w14:paraId="2A36AE8A" w14:textId="77777777" w:rsidR="00885781" w:rsidRPr="00507A31" w:rsidRDefault="00885781" w:rsidP="00507A31">
      <w:pPr>
        <w:jc w:val="both"/>
        <w:rPr>
          <w:color w:val="000000" w:themeColor="text1"/>
          <w:sz w:val="16"/>
          <w:szCs w:val="16"/>
        </w:rPr>
      </w:pPr>
      <w:r w:rsidRPr="00507A31">
        <w:rPr>
          <w:color w:val="000000" w:themeColor="text1"/>
          <w:sz w:val="16"/>
          <w:szCs w:val="16"/>
        </w:rPr>
        <w:t>1. Достигнутые уровни и темпы развития индустрии Советского Союза, крупные вложения (около 600 млн. руб. за период с 1924 г. по 1.I.1930 г.) на капитальное строительство военной промышленности и военных производств гражданской промышленности должны в основном обеспечить полное удовлетворение минимальных потребностей вооруженного фронта в условиях войны, согласно решения РЗ СТО от 20.XII.1928 г. по литере “С” на первый год, однако, до настоящего времени ВСНХ СССР не разработал реального плана мобилизации промышленности.</w:t>
      </w:r>
    </w:p>
    <w:p w14:paraId="0ED2B2F6" w14:textId="77777777" w:rsidR="00885781" w:rsidRPr="00507A31" w:rsidRDefault="00885781" w:rsidP="00507A31">
      <w:pPr>
        <w:jc w:val="both"/>
        <w:rPr>
          <w:color w:val="000000" w:themeColor="text1"/>
          <w:sz w:val="16"/>
          <w:szCs w:val="16"/>
        </w:rPr>
      </w:pPr>
      <w:r w:rsidRPr="00507A31">
        <w:rPr>
          <w:color w:val="000000" w:themeColor="text1"/>
          <w:sz w:val="16"/>
          <w:szCs w:val="16"/>
        </w:rPr>
        <w:t>Поэтому, в случае возникновения войны до 1.VII.1930 г. (срок окончания разработки очередного варианта мобплана), промышленность вынуждена будет развернуться и работать без плана.</w:t>
      </w:r>
    </w:p>
    <w:p w14:paraId="44283E24" w14:textId="77777777" w:rsidR="00885781" w:rsidRPr="00507A31" w:rsidRDefault="00885781" w:rsidP="00507A31">
      <w:pPr>
        <w:jc w:val="both"/>
        <w:rPr>
          <w:color w:val="000000" w:themeColor="text1"/>
          <w:sz w:val="16"/>
          <w:szCs w:val="16"/>
        </w:rPr>
      </w:pPr>
      <w:r w:rsidRPr="00507A31">
        <w:rPr>
          <w:color w:val="000000" w:themeColor="text1"/>
          <w:sz w:val="16"/>
          <w:szCs w:val="16"/>
        </w:rPr>
        <w:t>2. Разработанные ВСНХ СССР соображения об удовлетворении потребностей вооруженных сил в случае возникновения войны в 1930 г. предусматривают подачу в первый год ведения войны около 11 млн. выстрелов всех калибров и 2.200 млн. винтпатронов.</w:t>
      </w:r>
    </w:p>
    <w:p w14:paraId="56E4BC73" w14:textId="77777777" w:rsidR="00885781" w:rsidRPr="00507A31" w:rsidRDefault="00885781" w:rsidP="00507A31">
      <w:pPr>
        <w:jc w:val="both"/>
        <w:rPr>
          <w:color w:val="000000" w:themeColor="text1"/>
          <w:sz w:val="16"/>
          <w:szCs w:val="16"/>
        </w:rPr>
      </w:pPr>
      <w:r w:rsidRPr="00507A31">
        <w:rPr>
          <w:color w:val="000000" w:themeColor="text1"/>
          <w:sz w:val="16"/>
          <w:szCs w:val="16"/>
        </w:rPr>
        <w:t>Это количество подачи выстрелов не превышает количества, полученного с заводов царской России в 1915 году (11.300 тыс.) и значительно ниже количества, изготовленного в течение 1916 года (32,5 млн., из них 22,5 млн. внутреннего производства, при обеспеченности порохами внутреннего производства 13 млн. выстрелов).</w:t>
      </w:r>
    </w:p>
    <w:p w14:paraId="201E6BA9" w14:textId="77777777" w:rsidR="00885781" w:rsidRPr="00507A31" w:rsidRDefault="00885781" w:rsidP="00507A31">
      <w:pPr>
        <w:jc w:val="both"/>
        <w:rPr>
          <w:color w:val="000000" w:themeColor="text1"/>
          <w:sz w:val="16"/>
          <w:szCs w:val="16"/>
        </w:rPr>
      </w:pPr>
      <w:r w:rsidRPr="00507A31">
        <w:rPr>
          <w:color w:val="000000" w:themeColor="text1"/>
          <w:sz w:val="16"/>
          <w:szCs w:val="16"/>
        </w:rPr>
        <w:t>Подача материальной части войсковой артиллерии значительно ниже уровня 1916 года и составляет по первому году войны около 47% и по второму — 60% от 1916 года.</w:t>
      </w:r>
    </w:p>
    <w:p w14:paraId="4A14EABE" w14:textId="77777777" w:rsidR="00885781" w:rsidRPr="00507A31" w:rsidRDefault="00885781" w:rsidP="00507A31">
      <w:pPr>
        <w:jc w:val="both"/>
        <w:rPr>
          <w:color w:val="000000" w:themeColor="text1"/>
          <w:sz w:val="16"/>
          <w:szCs w:val="16"/>
        </w:rPr>
      </w:pPr>
      <w:r w:rsidRPr="00507A31">
        <w:rPr>
          <w:color w:val="000000" w:themeColor="text1"/>
          <w:sz w:val="16"/>
          <w:szCs w:val="16"/>
        </w:rPr>
        <w:t>Особо недостаточной необходимо признать подачу орудий для полевой тяжелой артиллерии (корпусной), несмотря на то, что за последние годы основной капитал артиллерийских заводов увеличился на 90 млн. рублей по сравнению с 1916 годом.</w:t>
      </w:r>
    </w:p>
    <w:p w14:paraId="1F7E4548" w14:textId="77777777" w:rsidR="00885781" w:rsidRPr="00507A31" w:rsidRDefault="00885781" w:rsidP="00507A31">
      <w:pPr>
        <w:jc w:val="both"/>
        <w:rPr>
          <w:color w:val="000000" w:themeColor="text1"/>
          <w:sz w:val="16"/>
          <w:szCs w:val="16"/>
        </w:rPr>
      </w:pPr>
      <w:r w:rsidRPr="00507A31">
        <w:rPr>
          <w:color w:val="000000" w:themeColor="text1"/>
          <w:sz w:val="16"/>
          <w:szCs w:val="16"/>
        </w:rPr>
        <w:t>Обеспечение же снабжения вооруженных сил на второй год ведения войны, а особенно первое полугодие его по проектировкам ВСНХ СССР по сравнению с первым годом, в течение которого армия помимо продукции промышленности располагает мобзапасами, значительно снизится.</w:t>
      </w:r>
    </w:p>
    <w:p w14:paraId="4A348EDB" w14:textId="77777777" w:rsidR="00885781" w:rsidRPr="00507A31" w:rsidRDefault="00885781" w:rsidP="00507A31">
      <w:pPr>
        <w:jc w:val="both"/>
        <w:rPr>
          <w:color w:val="000000" w:themeColor="text1"/>
          <w:sz w:val="16"/>
          <w:szCs w:val="16"/>
        </w:rPr>
      </w:pPr>
      <w:r w:rsidRPr="00507A31">
        <w:rPr>
          <w:color w:val="000000" w:themeColor="text1"/>
          <w:sz w:val="16"/>
          <w:szCs w:val="16"/>
        </w:rPr>
        <w:t>3. Утвердить следующие минимальные размеры подачи промышленностью для обеспечения потребностей вооруженных сил в случае возникновения войны в 1930 году:</w:t>
      </w:r>
    </w:p>
    <w:p w14:paraId="5D594E22" w14:textId="77777777" w:rsidR="00885781" w:rsidRPr="00507A31" w:rsidRDefault="00885781" w:rsidP="00507A31">
      <w:pPr>
        <w:jc w:val="both"/>
        <w:rPr>
          <w:color w:val="000000" w:themeColor="text1"/>
          <w:sz w:val="16"/>
          <w:szCs w:val="16"/>
        </w:rPr>
      </w:pPr>
      <w:r w:rsidRPr="00507A31">
        <w:rPr>
          <w:color w:val="000000" w:themeColor="text1"/>
          <w:sz w:val="16"/>
          <w:szCs w:val="16"/>
        </w:rPr>
        <w:t>В течение первого года войны (начиная с 1.VII.1930 г.). Артиллерийских выстрелов — 19 млн. (в том числе 4,5 млн. гаубичных выстрелов); винтпатронов — 3 млрд.; станковых и ручных пулеметов — 53.500; орудий — в количестве, предусмотренном постановлением РЗ СТО от 23.VIII.1928 г.</w:t>
      </w:r>
    </w:p>
    <w:p w14:paraId="461761BE" w14:textId="77777777" w:rsidR="00885781" w:rsidRPr="00507A31" w:rsidRDefault="00885781" w:rsidP="00507A31">
      <w:pPr>
        <w:jc w:val="both"/>
        <w:rPr>
          <w:color w:val="000000" w:themeColor="text1"/>
          <w:sz w:val="16"/>
          <w:szCs w:val="16"/>
        </w:rPr>
      </w:pPr>
      <w:r w:rsidRPr="00507A31">
        <w:rPr>
          <w:color w:val="000000" w:themeColor="text1"/>
          <w:sz w:val="16"/>
          <w:szCs w:val="16"/>
        </w:rPr>
        <w:t>4. Обязать ВСНХ СССР к 1.VII.1930 г. закончить разработку конкретного плана мобилизации промышленности, обеспечивающего полную подачу в размерах, установленных в статье 4</w:t>
      </w:r>
      <w:r w:rsidRPr="00507A31">
        <w:rPr>
          <w:color w:val="000000" w:themeColor="text1"/>
          <w:sz w:val="16"/>
          <w:szCs w:val="16"/>
        </w:rPr>
        <w:noBreakHyphen/>
        <w:t>й настоящего постановления.</w:t>
      </w:r>
    </w:p>
    <w:p w14:paraId="0A0D8560" w14:textId="77777777" w:rsidR="00885781" w:rsidRPr="00507A31" w:rsidRDefault="00885781" w:rsidP="00507A31">
      <w:pPr>
        <w:jc w:val="both"/>
        <w:rPr>
          <w:color w:val="000000" w:themeColor="text1"/>
          <w:sz w:val="16"/>
          <w:szCs w:val="16"/>
        </w:rPr>
      </w:pPr>
      <w:r w:rsidRPr="00507A31">
        <w:rPr>
          <w:color w:val="000000" w:themeColor="text1"/>
          <w:sz w:val="16"/>
          <w:szCs w:val="16"/>
        </w:rPr>
        <w:t>Кроме этого при разработке мобплана обеспечить резервы мощностей для производства мелкокалиберкой артиллерии и снарядов на первый и второй год ведения войны.</w:t>
      </w:r>
    </w:p>
    <w:p w14:paraId="43C27510" w14:textId="77777777" w:rsidR="00885781" w:rsidRPr="00507A31" w:rsidRDefault="00885781" w:rsidP="00507A31">
      <w:pPr>
        <w:jc w:val="both"/>
        <w:rPr>
          <w:color w:val="000000" w:themeColor="text1"/>
          <w:sz w:val="16"/>
          <w:szCs w:val="16"/>
        </w:rPr>
      </w:pPr>
      <w:r w:rsidRPr="00507A31">
        <w:rPr>
          <w:color w:val="000000" w:themeColor="text1"/>
          <w:sz w:val="16"/>
          <w:szCs w:val="16"/>
        </w:rPr>
        <w:t>II.</w:t>
      </w:r>
    </w:p>
    <w:p w14:paraId="1611C1B4" w14:textId="77777777" w:rsidR="00885781" w:rsidRPr="00507A31" w:rsidRDefault="00885781" w:rsidP="00507A31">
      <w:pPr>
        <w:jc w:val="both"/>
        <w:rPr>
          <w:color w:val="000000" w:themeColor="text1"/>
          <w:sz w:val="16"/>
          <w:szCs w:val="16"/>
        </w:rPr>
      </w:pPr>
      <w:r w:rsidRPr="00507A31">
        <w:rPr>
          <w:color w:val="000000" w:themeColor="text1"/>
          <w:sz w:val="16"/>
          <w:szCs w:val="16"/>
        </w:rPr>
        <w:t>Для обеспечения выполнения установленного задания признать необходимым:</w:t>
      </w:r>
    </w:p>
    <w:p w14:paraId="4240D688" w14:textId="77777777" w:rsidR="00885781" w:rsidRPr="00507A31" w:rsidRDefault="00885781" w:rsidP="00507A31">
      <w:pPr>
        <w:jc w:val="both"/>
        <w:rPr>
          <w:color w:val="000000" w:themeColor="text1"/>
          <w:sz w:val="16"/>
          <w:szCs w:val="16"/>
        </w:rPr>
      </w:pPr>
      <w:r w:rsidRPr="00507A31">
        <w:rPr>
          <w:color w:val="000000" w:themeColor="text1"/>
          <w:sz w:val="16"/>
          <w:szCs w:val="16"/>
        </w:rPr>
        <w:t>1. Обязать ВСНХ СССР и НКВМ к 1.III.1930 г. окончательно разрешить вопрос о замене патронной латуни и пульного мельхиора плакированным железом и к 1.VII.1930 г. развернуть массовое производство, в соответствии с потребностями НКВМ.</w:t>
      </w:r>
    </w:p>
    <w:p w14:paraId="4C72E577" w14:textId="77777777" w:rsidR="00885781" w:rsidRPr="00507A31" w:rsidRDefault="00885781" w:rsidP="00507A31">
      <w:pPr>
        <w:jc w:val="both"/>
        <w:rPr>
          <w:color w:val="000000" w:themeColor="text1"/>
          <w:sz w:val="16"/>
          <w:szCs w:val="16"/>
        </w:rPr>
      </w:pPr>
      <w:r w:rsidRPr="00507A31">
        <w:rPr>
          <w:color w:val="000000" w:themeColor="text1"/>
          <w:sz w:val="16"/>
          <w:szCs w:val="16"/>
        </w:rPr>
        <w:t>2. Категорически подтвердить необходимость закончить строительство Березниковского комбината к 1 марта 1931 г. и Чернореченского завода к 1.VII.1930 г., возложив персональную ответственность за выполнение этого задания на председателя Химического объединения тов. Томского.</w:t>
      </w:r>
    </w:p>
    <w:p w14:paraId="6ED9D9B3" w14:textId="77777777" w:rsidR="00885781" w:rsidRPr="00507A31" w:rsidRDefault="00885781" w:rsidP="00507A31">
      <w:pPr>
        <w:jc w:val="both"/>
        <w:rPr>
          <w:color w:val="000000" w:themeColor="text1"/>
          <w:sz w:val="16"/>
          <w:szCs w:val="16"/>
        </w:rPr>
      </w:pPr>
      <w:r w:rsidRPr="00507A31">
        <w:rPr>
          <w:color w:val="000000" w:themeColor="text1"/>
          <w:sz w:val="16"/>
          <w:szCs w:val="16"/>
        </w:rPr>
        <w:t>Категорически подтвердить необходимость полного завоза импортного оборудования для этих заводов в сроки, установленные РЗ СТО решением от 13.Х.1929 года (пр. № 40, п. 7).</w:t>
      </w:r>
    </w:p>
    <w:p w14:paraId="36818F34" w14:textId="77777777" w:rsidR="00885781" w:rsidRPr="00507A31" w:rsidRDefault="00885781" w:rsidP="00507A31">
      <w:pPr>
        <w:jc w:val="both"/>
        <w:rPr>
          <w:color w:val="000000" w:themeColor="text1"/>
          <w:sz w:val="16"/>
          <w:szCs w:val="16"/>
        </w:rPr>
      </w:pPr>
      <w:r w:rsidRPr="00507A31">
        <w:rPr>
          <w:color w:val="000000" w:themeColor="text1"/>
          <w:sz w:val="16"/>
          <w:szCs w:val="16"/>
        </w:rPr>
        <w:t>Строительство Горловского и Бобриковского комбинатов закончить к 1.Х.1931 года.</w:t>
      </w:r>
    </w:p>
    <w:p w14:paraId="235F9C61" w14:textId="77777777" w:rsidR="00885781" w:rsidRPr="00507A31" w:rsidRDefault="00885781" w:rsidP="00507A31">
      <w:pPr>
        <w:jc w:val="both"/>
        <w:rPr>
          <w:color w:val="000000" w:themeColor="text1"/>
          <w:sz w:val="16"/>
          <w:szCs w:val="16"/>
        </w:rPr>
      </w:pPr>
      <w:r w:rsidRPr="00507A31">
        <w:rPr>
          <w:color w:val="000000" w:themeColor="text1"/>
          <w:sz w:val="16"/>
          <w:szCs w:val="16"/>
        </w:rPr>
        <w:t>3. Признать необходимым завезти к 1.VII.1930 года, сверх 29.000 тонн, завозимых по резервному импортному плану 1929/30 года, — 40.000 тонн натриевой селитры.</w:t>
      </w:r>
    </w:p>
    <w:p w14:paraId="25FEEA97" w14:textId="77777777" w:rsidR="00885781" w:rsidRPr="00507A31" w:rsidRDefault="00885781" w:rsidP="00507A31">
      <w:pPr>
        <w:jc w:val="both"/>
        <w:rPr>
          <w:color w:val="000000" w:themeColor="text1"/>
          <w:sz w:val="16"/>
          <w:szCs w:val="16"/>
        </w:rPr>
      </w:pPr>
      <w:r w:rsidRPr="00507A31">
        <w:rPr>
          <w:color w:val="000000" w:themeColor="text1"/>
          <w:sz w:val="16"/>
          <w:szCs w:val="16"/>
        </w:rPr>
        <w:t>4. Обязать ВСНХ СССР и НКТорг СССР к 1.VII.1930 года ввезти импортное оборудование по окислительным установкам для военной промышленности.</w:t>
      </w:r>
    </w:p>
    <w:p w14:paraId="3F7A62EB" w14:textId="77777777" w:rsidR="00885781" w:rsidRPr="00507A31" w:rsidRDefault="00885781" w:rsidP="00507A31">
      <w:pPr>
        <w:jc w:val="both"/>
        <w:rPr>
          <w:color w:val="000000" w:themeColor="text1"/>
          <w:sz w:val="16"/>
          <w:szCs w:val="16"/>
        </w:rPr>
      </w:pPr>
      <w:r w:rsidRPr="00507A31">
        <w:rPr>
          <w:color w:val="000000" w:themeColor="text1"/>
          <w:sz w:val="16"/>
          <w:szCs w:val="16"/>
        </w:rPr>
        <w:t>5. Обязать ВСНХ СССР не позднее 1.I.1931 г. закончить строительство Укрвзрывзавода по нитроглицериновым порохам.</w:t>
      </w:r>
    </w:p>
    <w:p w14:paraId="5531B6D3" w14:textId="77777777" w:rsidR="00885781" w:rsidRPr="00507A31" w:rsidRDefault="00885781" w:rsidP="00507A31">
      <w:pPr>
        <w:jc w:val="both"/>
        <w:rPr>
          <w:color w:val="000000" w:themeColor="text1"/>
          <w:sz w:val="16"/>
          <w:szCs w:val="16"/>
        </w:rPr>
      </w:pPr>
      <w:r w:rsidRPr="00507A31">
        <w:rPr>
          <w:color w:val="000000" w:themeColor="text1"/>
          <w:sz w:val="16"/>
          <w:szCs w:val="16"/>
        </w:rPr>
        <w:t>6. В целях увеличения производства порохов и взрывчатых веществ, ВСНХ СССР усилить работу по рационализации, пересмотрев и усовершенствовав технологические процессы производства.</w:t>
      </w:r>
    </w:p>
    <w:p w14:paraId="6F3F943E" w14:textId="77777777" w:rsidR="00885781" w:rsidRPr="00507A31" w:rsidRDefault="00885781" w:rsidP="00507A31">
      <w:pPr>
        <w:jc w:val="both"/>
        <w:rPr>
          <w:color w:val="000000" w:themeColor="text1"/>
          <w:sz w:val="16"/>
          <w:szCs w:val="16"/>
        </w:rPr>
      </w:pPr>
      <w:r w:rsidRPr="00507A31">
        <w:rPr>
          <w:color w:val="000000" w:themeColor="text1"/>
          <w:sz w:val="16"/>
          <w:szCs w:val="16"/>
        </w:rPr>
        <w:t>7. Обязать ВСНХ СССР к 1.Х.1930 года закончить постройку Московского толуолового завода.</w:t>
      </w:r>
    </w:p>
    <w:p w14:paraId="7526F552" w14:textId="77777777" w:rsidR="00885781" w:rsidRPr="00507A31" w:rsidRDefault="00885781" w:rsidP="00507A31">
      <w:pPr>
        <w:jc w:val="both"/>
        <w:rPr>
          <w:color w:val="000000" w:themeColor="text1"/>
          <w:sz w:val="16"/>
          <w:szCs w:val="16"/>
        </w:rPr>
      </w:pPr>
      <w:r w:rsidRPr="00507A31">
        <w:rPr>
          <w:color w:val="000000" w:themeColor="text1"/>
          <w:sz w:val="16"/>
          <w:szCs w:val="16"/>
        </w:rPr>
        <w:t>8. Обязать ВСНХ форсировать разработку мероприятий по обеспечению возможности строительства в военное время по толуолу и взрывчатым веществам (без импорта оборудования).</w:t>
      </w:r>
    </w:p>
    <w:p w14:paraId="729E5315" w14:textId="77777777" w:rsidR="00885781" w:rsidRPr="00507A31" w:rsidRDefault="00885781" w:rsidP="00507A31">
      <w:pPr>
        <w:jc w:val="both"/>
        <w:rPr>
          <w:color w:val="000000" w:themeColor="text1"/>
          <w:sz w:val="16"/>
          <w:szCs w:val="16"/>
        </w:rPr>
      </w:pPr>
      <w:r w:rsidRPr="00507A31">
        <w:rPr>
          <w:color w:val="000000" w:themeColor="text1"/>
          <w:sz w:val="16"/>
          <w:szCs w:val="16"/>
        </w:rPr>
        <w:t>9. В целях сокращения потребления толуола авиацией в военное время, предложить НКВМ ускорить испытательные работы по суррогатированию топлива для военно-воздушных сил РККА.</w:t>
      </w:r>
    </w:p>
    <w:p w14:paraId="3EE6360E" w14:textId="77777777" w:rsidR="00885781" w:rsidRPr="00507A31" w:rsidRDefault="00885781" w:rsidP="00507A31">
      <w:pPr>
        <w:jc w:val="both"/>
        <w:rPr>
          <w:color w:val="000000" w:themeColor="text1"/>
          <w:sz w:val="16"/>
          <w:szCs w:val="16"/>
        </w:rPr>
      </w:pPr>
      <w:r w:rsidRPr="00507A31">
        <w:rPr>
          <w:color w:val="000000" w:themeColor="text1"/>
          <w:sz w:val="16"/>
          <w:szCs w:val="16"/>
        </w:rPr>
        <w:t>10. Констатировать, что принятые Правительством в июле решения по военной промышленности остались в значительной степени невыполненными, особенно в части орудийно-арсенального треста; предложить ВСНХ СССР в кратчайший срок добиться решительного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 Урываева и обязав его через каждые 3 месяца делать сообщение в РЗ  ТО о проведении этого решения в жизнь.</w:t>
      </w:r>
    </w:p>
    <w:p w14:paraId="20B48071" w14:textId="77777777" w:rsidR="00885781" w:rsidRPr="00507A31" w:rsidRDefault="00885781" w:rsidP="00507A31">
      <w:pPr>
        <w:jc w:val="both"/>
        <w:rPr>
          <w:color w:val="000000" w:themeColor="text1"/>
          <w:sz w:val="16"/>
          <w:szCs w:val="16"/>
        </w:rPr>
      </w:pPr>
      <w:r w:rsidRPr="00507A31">
        <w:rPr>
          <w:color w:val="000000" w:themeColor="text1"/>
          <w:sz w:val="16"/>
          <w:szCs w:val="16"/>
        </w:rPr>
        <w:t>11. В целях упрощения производства и применения суррогатов сталей для корпусов снарядов, поручить ВСНХ и НКВМ к 1.IV.1930 года пересмотреть чертежи снарядов и технические условия.</w:t>
      </w:r>
    </w:p>
    <w:p w14:paraId="47B04239" w14:textId="77777777" w:rsidR="00885781" w:rsidRPr="00507A31" w:rsidRDefault="00885781" w:rsidP="00507A31">
      <w:pPr>
        <w:jc w:val="both"/>
        <w:rPr>
          <w:color w:val="000000" w:themeColor="text1"/>
          <w:sz w:val="16"/>
          <w:szCs w:val="16"/>
        </w:rPr>
      </w:pPr>
      <w:r w:rsidRPr="00507A31">
        <w:rPr>
          <w:color w:val="000000" w:themeColor="text1"/>
          <w:sz w:val="16"/>
          <w:szCs w:val="16"/>
        </w:rPr>
        <w:t>12. Обязать НКТорг СССР: а) не позднее 1 июля 1930 года ввезти импортные материалы по резервному плану на 20 млн. рублей; б) к 1.Х.1930 года полностью закончить ввоз оборудования по планам 1928/29 и 1929/30 г.г.</w:t>
      </w:r>
    </w:p>
    <w:p w14:paraId="4FE95002" w14:textId="77777777" w:rsidR="00885781" w:rsidRPr="00507A31" w:rsidRDefault="00885781" w:rsidP="00507A31">
      <w:pPr>
        <w:jc w:val="both"/>
        <w:rPr>
          <w:color w:val="000000" w:themeColor="text1"/>
          <w:sz w:val="16"/>
          <w:szCs w:val="16"/>
        </w:rPr>
      </w:pPr>
      <w:r w:rsidRPr="00507A31">
        <w:rPr>
          <w:color w:val="000000" w:themeColor="text1"/>
          <w:sz w:val="16"/>
          <w:szCs w:val="16"/>
        </w:rPr>
        <w:t>13. В целях ускорения подачи собранного единого выстрела на склады и базы НКВМ в военное время, ВСНХ СССР учесть обязательное использование имущества категории “Б”, свободных запасов НКВМ (взрыватели, взрыввещества и т. д.) и в случае необходимости накопить минимальные запасы элементов и полуфабрикатов.</w:t>
      </w:r>
    </w:p>
    <w:p w14:paraId="44AF4B9F" w14:textId="77777777" w:rsidR="00885781" w:rsidRPr="00507A31" w:rsidRDefault="00885781" w:rsidP="00507A31">
      <w:pPr>
        <w:jc w:val="both"/>
        <w:rPr>
          <w:color w:val="000000" w:themeColor="text1"/>
          <w:sz w:val="16"/>
          <w:szCs w:val="16"/>
        </w:rPr>
      </w:pPr>
      <w:r w:rsidRPr="00507A31">
        <w:rPr>
          <w:color w:val="000000" w:themeColor="text1"/>
          <w:sz w:val="16"/>
          <w:szCs w:val="16"/>
        </w:rPr>
        <w:t>14. Предложить ВСНХ и НКВМ разработать помесячный план подачи элементов выстрела с заводов на склады и базы НКВМ.</w:t>
      </w:r>
    </w:p>
    <w:p w14:paraId="13F4E603" w14:textId="77777777" w:rsidR="00885781" w:rsidRPr="00507A31" w:rsidRDefault="00885781" w:rsidP="00507A31">
      <w:pPr>
        <w:jc w:val="both"/>
        <w:rPr>
          <w:color w:val="000000" w:themeColor="text1"/>
          <w:sz w:val="16"/>
          <w:szCs w:val="16"/>
        </w:rPr>
      </w:pPr>
      <w:r w:rsidRPr="00507A31">
        <w:rPr>
          <w:color w:val="000000" w:themeColor="text1"/>
          <w:sz w:val="16"/>
          <w:szCs w:val="16"/>
        </w:rPr>
        <w:t>III.</w:t>
      </w:r>
    </w:p>
    <w:p w14:paraId="3528AD00" w14:textId="77777777" w:rsidR="00885781" w:rsidRPr="00507A31" w:rsidRDefault="00885781" w:rsidP="00507A31">
      <w:pPr>
        <w:jc w:val="both"/>
        <w:rPr>
          <w:color w:val="000000" w:themeColor="text1"/>
          <w:sz w:val="16"/>
          <w:szCs w:val="16"/>
        </w:rPr>
      </w:pPr>
      <w:r w:rsidRPr="00507A31">
        <w:rPr>
          <w:color w:val="000000" w:themeColor="text1"/>
          <w:sz w:val="16"/>
          <w:szCs w:val="16"/>
        </w:rPr>
        <w:t>1. В целях обеспечения выполнения перечисленных заданий и составления реальных планов мобилизации промышленности признать необходимым Мобилизационно-плановое управление ВСНХ реорганизовать в оперативно-плановый орган по всем оборонным вопросам промышленности со следующими основными функциями:</w:t>
      </w:r>
    </w:p>
    <w:p w14:paraId="74819D68" w14:textId="77777777" w:rsidR="00885781" w:rsidRPr="00507A31" w:rsidRDefault="00885781" w:rsidP="00507A31">
      <w:pPr>
        <w:jc w:val="both"/>
        <w:rPr>
          <w:color w:val="000000" w:themeColor="text1"/>
          <w:sz w:val="16"/>
          <w:szCs w:val="16"/>
        </w:rPr>
      </w:pPr>
      <w:r w:rsidRPr="00507A31">
        <w:rPr>
          <w:color w:val="000000" w:themeColor="text1"/>
          <w:sz w:val="16"/>
          <w:szCs w:val="16"/>
        </w:rPr>
        <w:t>а) учет производственных возможностей промышленности для задач войны,</w:t>
      </w:r>
    </w:p>
    <w:p w14:paraId="2B8098C4" w14:textId="77777777" w:rsidR="00885781" w:rsidRPr="00507A31" w:rsidRDefault="00885781" w:rsidP="00507A31">
      <w:pPr>
        <w:jc w:val="both"/>
        <w:rPr>
          <w:color w:val="000000" w:themeColor="text1"/>
          <w:sz w:val="16"/>
          <w:szCs w:val="16"/>
        </w:rPr>
      </w:pPr>
      <w:r w:rsidRPr="00507A31">
        <w:rPr>
          <w:color w:val="000000" w:themeColor="text1"/>
          <w:sz w:val="16"/>
          <w:szCs w:val="16"/>
        </w:rPr>
        <w:t>б) руководство составлением оперативного мобплана и распределение мобзаданий,</w:t>
      </w:r>
    </w:p>
    <w:p w14:paraId="7F7165F3" w14:textId="77777777" w:rsidR="00885781" w:rsidRPr="00507A31" w:rsidRDefault="00885781" w:rsidP="00507A31">
      <w:pPr>
        <w:jc w:val="both"/>
        <w:rPr>
          <w:color w:val="000000" w:themeColor="text1"/>
          <w:sz w:val="16"/>
          <w:szCs w:val="16"/>
        </w:rPr>
      </w:pPr>
      <w:r w:rsidRPr="00507A31">
        <w:rPr>
          <w:color w:val="000000" w:themeColor="text1"/>
          <w:sz w:val="16"/>
          <w:szCs w:val="16"/>
        </w:rPr>
        <w:lastRenderedPageBreak/>
        <w:t>в) фактическое установление сроков развертывания мобилизуемых предприятий,</w:t>
      </w:r>
    </w:p>
    <w:p w14:paraId="3C6117CF" w14:textId="77777777" w:rsidR="00885781" w:rsidRPr="00507A31" w:rsidRDefault="00885781" w:rsidP="00507A31">
      <w:pPr>
        <w:jc w:val="both"/>
        <w:rPr>
          <w:color w:val="000000" w:themeColor="text1"/>
          <w:sz w:val="16"/>
          <w:szCs w:val="16"/>
        </w:rPr>
      </w:pPr>
      <w:r w:rsidRPr="00507A31">
        <w:rPr>
          <w:color w:val="000000" w:themeColor="text1"/>
          <w:sz w:val="16"/>
          <w:szCs w:val="16"/>
        </w:rPr>
        <w:t>г) контроль над выполнением производственно-технических заданий мобилизуемыми предприятиями и над капитальным оборонным строительством,</w:t>
      </w:r>
    </w:p>
    <w:p w14:paraId="73DB35D7" w14:textId="77777777" w:rsidR="00885781" w:rsidRPr="00507A31" w:rsidRDefault="00885781" w:rsidP="00507A31">
      <w:pPr>
        <w:jc w:val="both"/>
        <w:rPr>
          <w:color w:val="000000" w:themeColor="text1"/>
          <w:sz w:val="16"/>
          <w:szCs w:val="16"/>
        </w:rPr>
      </w:pPr>
      <w:r w:rsidRPr="00507A31">
        <w:rPr>
          <w:color w:val="000000" w:themeColor="text1"/>
          <w:sz w:val="16"/>
          <w:szCs w:val="16"/>
        </w:rPr>
        <w:t>д) контроль и инспектирование мобилизационной подготовки промышленности,</w:t>
      </w:r>
    </w:p>
    <w:p w14:paraId="3BAD6A8C" w14:textId="77777777" w:rsidR="00885781" w:rsidRPr="00507A31" w:rsidRDefault="00885781" w:rsidP="00507A31">
      <w:pPr>
        <w:jc w:val="both"/>
        <w:rPr>
          <w:color w:val="000000" w:themeColor="text1"/>
          <w:sz w:val="16"/>
          <w:szCs w:val="16"/>
        </w:rPr>
      </w:pPr>
      <w:r w:rsidRPr="00507A31">
        <w:rPr>
          <w:color w:val="000000" w:themeColor="text1"/>
          <w:sz w:val="16"/>
          <w:szCs w:val="16"/>
        </w:rPr>
        <w:t>е) составление плана материального обеспечения промышленности во время войны (сырьем, топливом, оборудованием и т. д.).</w:t>
      </w:r>
    </w:p>
    <w:p w14:paraId="06DD5700" w14:textId="77777777" w:rsidR="00885781" w:rsidRPr="00507A31" w:rsidRDefault="00885781" w:rsidP="00507A31">
      <w:pPr>
        <w:jc w:val="both"/>
        <w:rPr>
          <w:color w:val="000000" w:themeColor="text1"/>
          <w:sz w:val="16"/>
          <w:szCs w:val="16"/>
        </w:rPr>
      </w:pPr>
      <w:r w:rsidRPr="00507A31">
        <w:rPr>
          <w:color w:val="000000" w:themeColor="text1"/>
          <w:sz w:val="16"/>
          <w:szCs w:val="16"/>
        </w:rPr>
        <w:t>2. В целях усиления местной инициативы и максимального использования местных ресурсов, — признать необходимым создание мобилизационных органов в промышленных областях и республиках, имеющих мобилизационное значение, а также и при уполномоченных ВСНХ СССР в областях РСФСР и союзных республиках.</w:t>
      </w:r>
    </w:p>
    <w:p w14:paraId="745F622E" w14:textId="77777777" w:rsidR="00885781" w:rsidRPr="00507A31" w:rsidRDefault="00885781" w:rsidP="00507A31">
      <w:pPr>
        <w:jc w:val="both"/>
        <w:rPr>
          <w:color w:val="000000" w:themeColor="text1"/>
          <w:sz w:val="16"/>
          <w:szCs w:val="16"/>
        </w:rPr>
      </w:pPr>
      <w:r w:rsidRPr="00507A31">
        <w:rPr>
          <w:color w:val="000000" w:themeColor="text1"/>
          <w:sz w:val="16"/>
          <w:szCs w:val="16"/>
        </w:rPr>
        <w:t>ВСНХ СССР совместно с НКВМ и Госпланом СССР в 10</w:t>
      </w:r>
      <w:r w:rsidRPr="00507A31">
        <w:rPr>
          <w:color w:val="000000" w:themeColor="text1"/>
          <w:sz w:val="16"/>
          <w:szCs w:val="16"/>
        </w:rPr>
        <w:noBreakHyphen/>
        <w:t>дневный срок войти в РЗ СТО с конкретными предложениями по этому вопросу.</w:t>
      </w:r>
    </w:p>
    <w:p w14:paraId="0A466DFC" w14:textId="77777777" w:rsidR="00885781" w:rsidRPr="00507A31" w:rsidRDefault="00885781" w:rsidP="00507A31">
      <w:pPr>
        <w:jc w:val="both"/>
        <w:rPr>
          <w:color w:val="000000" w:themeColor="text1"/>
          <w:sz w:val="16"/>
          <w:szCs w:val="16"/>
        </w:rPr>
      </w:pPr>
      <w:r w:rsidRPr="00507A31">
        <w:rPr>
          <w:color w:val="000000" w:themeColor="text1"/>
          <w:sz w:val="16"/>
          <w:szCs w:val="16"/>
        </w:rPr>
        <w:t>3. ВСНХ СССР обратить особое внимание на реальность и четкость мобилизационной работы на предприятиях, возложив на их руководителей (в том числе и технических) строгую персональную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4AF605FB" w14:textId="77777777" w:rsidR="00885781" w:rsidRPr="00507A31" w:rsidRDefault="00885781" w:rsidP="00507A31">
      <w:pPr>
        <w:jc w:val="both"/>
        <w:rPr>
          <w:color w:val="000000" w:themeColor="text1"/>
          <w:sz w:val="16"/>
          <w:szCs w:val="16"/>
        </w:rPr>
      </w:pPr>
      <w:r w:rsidRPr="00507A31">
        <w:rPr>
          <w:color w:val="000000" w:themeColor="text1"/>
          <w:sz w:val="16"/>
          <w:szCs w:val="16"/>
        </w:rPr>
        <w:t>Категорически подтвердить, что ответственность за руководство подготовкой отдельных отраслей и объединений промышленности к обороне и составление мобилизационных планов целиком возлагается на руководителей соответствующих объединений и трестов.</w:t>
      </w:r>
    </w:p>
    <w:p w14:paraId="5B50592E" w14:textId="77777777" w:rsidR="00885781" w:rsidRPr="00507A31" w:rsidRDefault="00885781" w:rsidP="00507A31">
      <w:pPr>
        <w:jc w:val="both"/>
        <w:rPr>
          <w:color w:val="000000" w:themeColor="text1"/>
          <w:sz w:val="16"/>
          <w:szCs w:val="16"/>
        </w:rPr>
      </w:pPr>
      <w:r w:rsidRPr="00507A31">
        <w:rPr>
          <w:color w:val="000000" w:themeColor="text1"/>
          <w:sz w:val="16"/>
          <w:szCs w:val="16"/>
        </w:rPr>
        <w:t>4. Признать необходимым установить в практической работе между НКВД и ВСНХ тесную и непрерывную связь, предусмотрев активное участие НКВД в работе промышленности по составлению плана мобилизации и оборонного строительства и контроль по выполнению военных заказов, особенно в части изготовления и конструирования новых образцов вооружения.</w:t>
      </w:r>
    </w:p>
    <w:p w14:paraId="347A223D" w14:textId="77777777" w:rsidR="00885781" w:rsidRPr="00507A31" w:rsidRDefault="00885781" w:rsidP="00507A31">
      <w:pPr>
        <w:jc w:val="both"/>
        <w:rPr>
          <w:color w:val="000000" w:themeColor="text1"/>
          <w:sz w:val="16"/>
          <w:szCs w:val="16"/>
        </w:rPr>
      </w:pPr>
      <w:r w:rsidRPr="00507A31">
        <w:rPr>
          <w:color w:val="000000" w:themeColor="text1"/>
          <w:sz w:val="16"/>
          <w:szCs w:val="16"/>
        </w:rPr>
        <w:t>Доклад о конкретных формах увязки представить в 10</w:t>
      </w:r>
      <w:r w:rsidRPr="00507A31">
        <w:rPr>
          <w:color w:val="000000" w:themeColor="text1"/>
          <w:sz w:val="16"/>
          <w:szCs w:val="16"/>
        </w:rPr>
        <w:noBreakHyphen/>
        <w:t>дневный срок в РЗ СТО.</w:t>
      </w:r>
    </w:p>
    <w:p w14:paraId="4C80408C" w14:textId="77777777" w:rsidR="00885781" w:rsidRPr="00507A31" w:rsidRDefault="00885781" w:rsidP="00507A31">
      <w:pPr>
        <w:jc w:val="both"/>
        <w:rPr>
          <w:color w:val="000000" w:themeColor="text1"/>
          <w:sz w:val="16"/>
          <w:szCs w:val="16"/>
        </w:rPr>
      </w:pPr>
      <w:r w:rsidRPr="00507A31">
        <w:rPr>
          <w:color w:val="000000" w:themeColor="text1"/>
          <w:sz w:val="16"/>
          <w:szCs w:val="16"/>
        </w:rPr>
        <w:t>5. Предложить ОГПУ, НКВД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профессиональных организаций и советской общественности к поднятию мобилизационной готовности промышленности.</w:t>
      </w:r>
    </w:p>
    <w:p w14:paraId="6F391226" w14:textId="77777777" w:rsidR="00885781" w:rsidRPr="00507A31" w:rsidRDefault="00885781" w:rsidP="00507A31">
      <w:pPr>
        <w:jc w:val="both"/>
        <w:rPr>
          <w:color w:val="000000" w:themeColor="text1"/>
          <w:sz w:val="16"/>
          <w:szCs w:val="16"/>
        </w:rPr>
      </w:pPr>
      <w:r w:rsidRPr="00507A31">
        <w:rPr>
          <w:color w:val="000000" w:themeColor="text1"/>
          <w:sz w:val="16"/>
          <w:szCs w:val="16"/>
        </w:rPr>
        <w:t>6. В соответствии с ранее принятыми решениями подтвердить необходимость проведения в 1930 году пробных и поверочных мобилизаций нескольких промышленных предприятий. Обязать ВСНХ СССР совместно с НКВД представить к 30.I.1930 г. план их проведения.</w:t>
      </w:r>
    </w:p>
    <w:p w14:paraId="7B7A2D18" w14:textId="77777777" w:rsidR="00885781" w:rsidRPr="00507A31" w:rsidRDefault="00885781" w:rsidP="00507A31">
      <w:pPr>
        <w:jc w:val="both"/>
        <w:rPr>
          <w:color w:val="000000" w:themeColor="text1"/>
          <w:sz w:val="16"/>
          <w:szCs w:val="16"/>
        </w:rPr>
      </w:pPr>
      <w:r w:rsidRPr="00507A31">
        <w:rPr>
          <w:color w:val="000000" w:themeColor="text1"/>
          <w:sz w:val="16"/>
          <w:szCs w:val="16"/>
        </w:rPr>
        <w:t>7. Категорически подтвердить необходимость принятия ВСНХ СССР самых жестких мер по сокращению сроков мобилизационного развертывания военной промышленности, служащей основой для накопления опыта по подготовке и мобилизации всей промышленности Союза.</w:t>
      </w:r>
    </w:p>
    <w:p w14:paraId="1920E423" w14:textId="77777777" w:rsidR="00885781" w:rsidRPr="00507A31" w:rsidRDefault="00885781" w:rsidP="00507A31">
      <w:pPr>
        <w:jc w:val="both"/>
        <w:rPr>
          <w:color w:val="000000" w:themeColor="text1"/>
          <w:sz w:val="16"/>
          <w:szCs w:val="16"/>
        </w:rPr>
      </w:pPr>
      <w:r w:rsidRPr="00507A31">
        <w:rPr>
          <w:color w:val="000000" w:themeColor="text1"/>
          <w:sz w:val="16"/>
          <w:szCs w:val="16"/>
        </w:rPr>
        <w:t>8. 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постановления Правительства о начале военных действий.</w:t>
      </w:r>
    </w:p>
    <w:p w14:paraId="1DDCD448" w14:textId="77777777" w:rsidR="00885781" w:rsidRPr="00507A31" w:rsidRDefault="00885781" w:rsidP="00507A31">
      <w:pPr>
        <w:jc w:val="both"/>
        <w:rPr>
          <w:color w:val="000000" w:themeColor="text1"/>
          <w:sz w:val="16"/>
          <w:szCs w:val="16"/>
        </w:rPr>
      </w:pPr>
      <w:r w:rsidRPr="00507A31">
        <w:rPr>
          <w:color w:val="000000" w:themeColor="text1"/>
          <w:sz w:val="16"/>
          <w:szCs w:val="16"/>
        </w:rPr>
        <w:t>Кроме того, исходя из изложенного, поручить Госплану СССР в месячный срок разработать и представить на рассмотрение РЗ СТО соображения о порядке составления хозяйственных планов на первый период войны.</w:t>
      </w:r>
    </w:p>
    <w:p w14:paraId="3BC87F29" w14:textId="77777777" w:rsidR="00885781" w:rsidRPr="00507A31" w:rsidRDefault="00885781" w:rsidP="00507A31">
      <w:pPr>
        <w:jc w:val="both"/>
        <w:rPr>
          <w:color w:val="000000" w:themeColor="text1"/>
          <w:sz w:val="16"/>
          <w:szCs w:val="16"/>
        </w:rPr>
      </w:pPr>
      <w:r w:rsidRPr="00507A31">
        <w:rPr>
          <w:color w:val="000000" w:themeColor="text1"/>
          <w:sz w:val="16"/>
          <w:szCs w:val="16"/>
        </w:rPr>
        <w:t>9. Возложить на НК РКИ специальное наблюдение за выполнением решений Политбюро и РЗ СТО по вопросам мобилизационной работы, привлекая к строжайшей ответственности виновных в их неисполнении (18056).</w:t>
      </w:r>
    </w:p>
    <w:p w14:paraId="15C319CB" w14:textId="77777777" w:rsidR="00885781" w:rsidRPr="00507A31" w:rsidRDefault="00885781" w:rsidP="00507A31">
      <w:pPr>
        <w:jc w:val="both"/>
        <w:rPr>
          <w:color w:val="000000" w:themeColor="text1"/>
          <w:sz w:val="16"/>
          <w:szCs w:val="16"/>
        </w:rPr>
      </w:pPr>
    </w:p>
    <w:p w14:paraId="78C148AD" w14:textId="77777777" w:rsidR="000071F8" w:rsidRPr="00507A31" w:rsidRDefault="000071F8" w:rsidP="00507A31">
      <w:pPr>
        <w:jc w:val="both"/>
        <w:rPr>
          <w:color w:val="000000" w:themeColor="text1"/>
          <w:sz w:val="16"/>
          <w:szCs w:val="16"/>
          <w:u w:color="002060"/>
        </w:rPr>
      </w:pPr>
      <w:r w:rsidRPr="00507A31">
        <w:rPr>
          <w:color w:val="000000" w:themeColor="text1"/>
          <w:sz w:val="16"/>
          <w:szCs w:val="16"/>
          <w:u w:color="002060"/>
        </w:rPr>
        <w:t>15 января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113. П. 1. О мобподготовке промышленности (ПБ от 30 декабря 1929 г., пр. № 112, п. 33) (Рыков, Орджоникидзе, Куйбышев, Ворошилов, Рухимович, Межлаук, Косиор, Уншлихт, Уборевич, Постников, Урываев, Павлуновский, Мартинович, Мехоношин, Шпектор). — ОП. 11. Об Артиллерийском управлении (Орджоникидзе, Уншлихт, Уборевич, Кулик, Павлуновский, Мартинович). — ОП. Постановили: а) выводы РКИ о работе АУ признать в основном правильными; б) признать, что РВСР поступил правильно, создав Институт управления вооружения и обновив состав работников Артиллерийского управления; в) обязать РВСР принять срочные меры по коренному улучшению дела технического вооружения и перевооружения армии, используя для этого надежные конструкторские силы и техническую помощь Запада (немцы, американцы, итальянцы); г) обязать ВСНХ усилить свою конструкторскую работу по улучшению вооружения армии как в специально военной промышленности, так и в других отраслях, имеющих отношение к военному делу; д) обязать РВСР представить в ЦК через 3 месяца отчетный доклад о принятых мерах. 25. Сообщение комиссии Орджоникидзе (ПБ от 5 декабря 1929 г., пр. № 108, п. 11) [о танкостроении]. Решения ПБ от 10 января 1930 г. 39. О мобподготовке промышленности и об АУ (ПБ от 30 декабря 1929 г., пр. № 112, п. 33). (Политбюро... Т. 2. С. 9, 10; РГАСПИ. Ф. 17. Оп. 162. Д. 8. Л. 40) (12416).</w:t>
      </w:r>
    </w:p>
    <w:p w14:paraId="2A0DFD13" w14:textId="77777777" w:rsidR="000071F8" w:rsidRPr="00507A31" w:rsidRDefault="000071F8" w:rsidP="00507A31">
      <w:pPr>
        <w:jc w:val="both"/>
        <w:rPr>
          <w:color w:val="000000" w:themeColor="text1"/>
          <w:sz w:val="16"/>
          <w:szCs w:val="16"/>
          <w:u w:color="002060"/>
        </w:rPr>
      </w:pPr>
    </w:p>
    <w:p w14:paraId="75B28EDA" w14:textId="77777777" w:rsidR="00E63096" w:rsidRPr="00507A31" w:rsidRDefault="00E63096" w:rsidP="00507A31">
      <w:pPr>
        <w:jc w:val="both"/>
        <w:rPr>
          <w:color w:val="000000" w:themeColor="text1"/>
          <w:sz w:val="16"/>
          <w:szCs w:val="16"/>
        </w:rPr>
      </w:pPr>
      <w:r w:rsidRPr="00507A31">
        <w:rPr>
          <w:color w:val="000000" w:themeColor="text1"/>
          <w:sz w:val="16"/>
          <w:szCs w:val="16"/>
        </w:rPr>
        <w:t>15 января 1930 г. в постановлении ПБ о подготовке промышленности по мобплану литеры “С”, отмеча</w:t>
      </w:r>
      <w:r w:rsidRPr="00507A31">
        <w:rPr>
          <w:color w:val="000000" w:themeColor="text1"/>
          <w:sz w:val="16"/>
          <w:szCs w:val="16"/>
        </w:rPr>
        <w:softHyphen/>
        <w:t>лось, что “несмотря на все потуги удовле</w:t>
      </w:r>
      <w:r w:rsidRPr="00507A31">
        <w:rPr>
          <w:color w:val="000000" w:themeColor="text1"/>
          <w:sz w:val="16"/>
          <w:szCs w:val="16"/>
        </w:rPr>
        <w:softHyphen/>
        <w:t>творение минимальных потребностей вооруженного фронта идет неудовлетворительно... Принятые в июле [1929 г.] решения остались на бумаге. Добиться оздоровления военной промыш</w:t>
      </w:r>
      <w:r w:rsidRPr="00507A31">
        <w:rPr>
          <w:color w:val="000000" w:themeColor="text1"/>
          <w:sz w:val="16"/>
          <w:szCs w:val="16"/>
        </w:rPr>
        <w:softHyphen/>
        <w:t>ленности не удалось, особенно в ОАТ”. Констатировалось, что созданные мобзапасы будут израсходованы в течение первого го</w:t>
      </w:r>
      <w:r w:rsidRPr="00507A31">
        <w:rPr>
          <w:color w:val="000000" w:themeColor="text1"/>
          <w:sz w:val="16"/>
          <w:szCs w:val="16"/>
        </w:rPr>
        <w:softHyphen/>
        <w:t>да войны. В случае ее возникновения в 1930 г. необходимо будет дополнительно предусмотреть целый ряд мероприятий для быст</w:t>
      </w:r>
      <w:r w:rsidRPr="00507A31">
        <w:rPr>
          <w:color w:val="000000" w:themeColor="text1"/>
          <w:sz w:val="16"/>
          <w:szCs w:val="16"/>
        </w:rPr>
        <w:softHyphen/>
        <w:t>рого мобразвертывания. Было постановлено ускорить строи</w:t>
      </w:r>
      <w:r w:rsidRPr="00507A31">
        <w:rPr>
          <w:color w:val="000000" w:themeColor="text1"/>
          <w:sz w:val="16"/>
          <w:szCs w:val="16"/>
        </w:rPr>
        <w:softHyphen/>
        <w:t>тельство в металлургии, Березниковскогокомбината и в связи с этим свернуть другие химические производства. Особый упор решено было сделать на производство взрывчатых веществ. Бы</w:t>
      </w:r>
      <w:r w:rsidRPr="00507A31">
        <w:rPr>
          <w:color w:val="000000" w:themeColor="text1"/>
          <w:sz w:val="16"/>
          <w:szCs w:val="16"/>
        </w:rPr>
        <w:softHyphen/>
        <w:t>ло признано необходимым увеличить импортные закупки, по</w:t>
      </w:r>
      <w:r w:rsidRPr="00507A31">
        <w:rPr>
          <w:color w:val="000000" w:themeColor="text1"/>
          <w:sz w:val="16"/>
          <w:szCs w:val="16"/>
        </w:rPr>
        <w:softHyphen/>
        <w:t>скольку проблема суррогатирования не решается. МПУ ВСНХ решено было реорганизовать в оперативный плановый орган по всем вопросам оборонной промышленности, функции которого - учет производственных возможностей промышленности, состав</w:t>
      </w:r>
      <w:r w:rsidRPr="00507A31">
        <w:rPr>
          <w:color w:val="000000" w:themeColor="text1"/>
          <w:sz w:val="16"/>
          <w:szCs w:val="16"/>
        </w:rPr>
        <w:softHyphen/>
        <w:t>ление мобплана, контроль за капитальным строительством, кон</w:t>
      </w:r>
      <w:r w:rsidRPr="00507A31">
        <w:rPr>
          <w:color w:val="000000" w:themeColor="text1"/>
          <w:sz w:val="16"/>
          <w:szCs w:val="16"/>
        </w:rPr>
        <w:softHyphen/>
        <w:t>троль за мобподготовкой на заводах. Предусматривались персо</w:t>
      </w:r>
      <w:r w:rsidRPr="00507A31">
        <w:rPr>
          <w:color w:val="000000" w:themeColor="text1"/>
          <w:sz w:val="16"/>
          <w:szCs w:val="16"/>
        </w:rPr>
        <w:softHyphen/>
        <w:t>нальная ответственность руководителей трестов и заводов, более активная роль НКВМ по части строгого контроля за выполнени</w:t>
      </w:r>
      <w:r w:rsidRPr="00507A31">
        <w:rPr>
          <w:color w:val="000000" w:themeColor="text1"/>
          <w:sz w:val="16"/>
          <w:szCs w:val="16"/>
        </w:rPr>
        <w:softHyphen/>
        <w:t>ем военных заказов (18393).</w:t>
      </w:r>
    </w:p>
    <w:p w14:paraId="5E1F2FF0" w14:textId="77777777" w:rsidR="00E63096" w:rsidRPr="00507A31" w:rsidRDefault="00E63096" w:rsidP="00507A31">
      <w:pPr>
        <w:jc w:val="both"/>
        <w:rPr>
          <w:color w:val="000000" w:themeColor="text1"/>
          <w:sz w:val="16"/>
          <w:szCs w:val="16"/>
        </w:rPr>
      </w:pPr>
    </w:p>
    <w:p w14:paraId="6D7EF602" w14:textId="77777777" w:rsidR="00E63096" w:rsidRPr="00507A31" w:rsidRDefault="00E63096" w:rsidP="00507A31">
      <w:pPr>
        <w:jc w:val="both"/>
        <w:rPr>
          <w:color w:val="000000" w:themeColor="text1"/>
          <w:sz w:val="16"/>
          <w:szCs w:val="16"/>
        </w:rPr>
      </w:pPr>
      <w:r w:rsidRPr="00507A31">
        <w:rPr>
          <w:color w:val="000000" w:themeColor="text1"/>
          <w:sz w:val="16"/>
          <w:szCs w:val="16"/>
        </w:rPr>
        <w:t>15 января 1930 г. Политбюро заслушивает доклады РВС о состоянии вооруженных сил и ВСНХ СССР о мобилизационной подготовке промышленности. В постановлении Политбюро отмечается, что капитальные вложения в военно-промышленные производства (около 600 млн. руб. за 1924–1929 гг.) могут в основном обеспечить удовлетворение потребностей Красной Армии на первый год войны в соответствии с показателями мобплана «С-30». </w:t>
      </w:r>
    </w:p>
    <w:p w14:paraId="3AB0932D" w14:textId="77777777" w:rsidR="00E63096" w:rsidRPr="00507A31" w:rsidRDefault="00E63096" w:rsidP="00507A31">
      <w:pPr>
        <w:jc w:val="both"/>
        <w:rPr>
          <w:color w:val="000000" w:themeColor="text1"/>
          <w:sz w:val="16"/>
          <w:szCs w:val="16"/>
        </w:rPr>
      </w:pPr>
      <w:r w:rsidRPr="00507A31">
        <w:rPr>
          <w:color w:val="000000" w:themeColor="text1"/>
          <w:sz w:val="16"/>
          <w:szCs w:val="16"/>
        </w:rPr>
        <w:t>Соображения ВСНХ относительно возможной подачи основных предметов вооружения на уровне производства, достигнутого промышленностью России в 1915–1916 гг. были отклонены. В категорической форме предписывалось обеспечить, начиная со второй половины 1930 г. подачу винтовочных патронов, пулеметов, артиллерийских систем и выстрелов, предусмотренную моб-заданием.</w:t>
      </w:r>
    </w:p>
    <w:p w14:paraId="230B0748" w14:textId="77777777" w:rsidR="00E63096" w:rsidRPr="00507A31" w:rsidRDefault="00E63096" w:rsidP="00507A31">
      <w:pPr>
        <w:jc w:val="both"/>
        <w:rPr>
          <w:color w:val="000000" w:themeColor="text1"/>
          <w:sz w:val="16"/>
          <w:szCs w:val="16"/>
        </w:rPr>
      </w:pPr>
      <w:r w:rsidRPr="00507A31">
        <w:rPr>
          <w:color w:val="000000" w:themeColor="text1"/>
          <w:sz w:val="16"/>
          <w:szCs w:val="16"/>
        </w:rPr>
        <w:t>План роста мобилизационной численности Красной Армии на 1931-1934 гг. [2]</w:t>
      </w:r>
    </w:p>
    <w:p w14:paraId="79231824" w14:textId="77777777" w:rsidR="00E63096" w:rsidRPr="00507A31" w:rsidRDefault="00E63096" w:rsidP="00507A31">
      <w:pPr>
        <w:jc w:val="both"/>
        <w:rPr>
          <w:color w:val="000000" w:themeColor="text1"/>
          <w:sz w:val="16"/>
          <w:szCs w:val="16"/>
        </w:rPr>
      </w:pPr>
      <w:r w:rsidRPr="00507A31">
        <w:rPr>
          <w:color w:val="000000" w:themeColor="text1"/>
          <w:sz w:val="16"/>
          <w:szCs w:val="16"/>
        </w:rPr>
        <w:t>Боевой состав армии по мобрасписанию                МР-1019 31 г. МР-1119 32 г. МР-1219 33 г. МР-1319 34 г.</w:t>
      </w:r>
    </w:p>
    <w:p w14:paraId="526205C1" w14:textId="77777777" w:rsidR="00E63096" w:rsidRPr="00507A31" w:rsidRDefault="00E63096" w:rsidP="00507A31">
      <w:pPr>
        <w:jc w:val="both"/>
        <w:rPr>
          <w:color w:val="000000" w:themeColor="text1"/>
          <w:sz w:val="16"/>
          <w:szCs w:val="16"/>
        </w:rPr>
      </w:pPr>
      <w:r w:rsidRPr="00507A31">
        <w:rPr>
          <w:color w:val="000000" w:themeColor="text1"/>
          <w:sz w:val="16"/>
          <w:szCs w:val="16"/>
        </w:rPr>
        <w:t>Стрелковые дивизии                122                140                150                150</w:t>
      </w:r>
    </w:p>
    <w:p w14:paraId="15838D84" w14:textId="77777777" w:rsidR="00E63096" w:rsidRPr="00507A31" w:rsidRDefault="00E63096" w:rsidP="00507A31">
      <w:pPr>
        <w:jc w:val="both"/>
        <w:rPr>
          <w:color w:val="000000" w:themeColor="text1"/>
          <w:sz w:val="16"/>
          <w:szCs w:val="16"/>
        </w:rPr>
      </w:pPr>
      <w:r w:rsidRPr="00507A31">
        <w:rPr>
          <w:color w:val="000000" w:themeColor="text1"/>
          <w:sz w:val="16"/>
          <w:szCs w:val="16"/>
        </w:rPr>
        <w:t>Кавалерийские дивизии и отд. Кавбригады                19                19                19                19</w:t>
      </w:r>
    </w:p>
    <w:p w14:paraId="72D8B09B" w14:textId="77777777" w:rsidR="00E63096" w:rsidRPr="00507A31" w:rsidRDefault="00E63096" w:rsidP="00507A31">
      <w:pPr>
        <w:jc w:val="both"/>
        <w:rPr>
          <w:color w:val="000000" w:themeColor="text1"/>
          <w:sz w:val="16"/>
          <w:szCs w:val="16"/>
        </w:rPr>
      </w:pPr>
      <w:r w:rsidRPr="00507A31">
        <w:rPr>
          <w:color w:val="000000" w:themeColor="text1"/>
          <w:sz w:val="16"/>
          <w:szCs w:val="16"/>
        </w:rPr>
        <w:t>Гаубичные полки РГК                24                28                33                33</w:t>
      </w:r>
    </w:p>
    <w:p w14:paraId="7DFC183A" w14:textId="77777777" w:rsidR="00E63096" w:rsidRPr="00507A31" w:rsidRDefault="00E63096" w:rsidP="00507A31">
      <w:pPr>
        <w:jc w:val="both"/>
        <w:rPr>
          <w:color w:val="000000" w:themeColor="text1"/>
          <w:sz w:val="16"/>
          <w:szCs w:val="16"/>
        </w:rPr>
      </w:pPr>
      <w:r w:rsidRPr="00507A31">
        <w:rPr>
          <w:color w:val="000000" w:themeColor="text1"/>
          <w:sz w:val="16"/>
          <w:szCs w:val="16"/>
        </w:rPr>
        <w:t>Пушечные полки РГК                -                1                8                8</w:t>
      </w:r>
    </w:p>
    <w:p w14:paraId="4B3A54E4" w14:textId="77777777" w:rsidR="00E63096" w:rsidRPr="00507A31" w:rsidRDefault="00E63096" w:rsidP="00507A31">
      <w:pPr>
        <w:jc w:val="both"/>
        <w:rPr>
          <w:color w:val="000000" w:themeColor="text1"/>
          <w:sz w:val="16"/>
          <w:szCs w:val="16"/>
        </w:rPr>
      </w:pPr>
      <w:r w:rsidRPr="00507A31">
        <w:rPr>
          <w:color w:val="000000" w:themeColor="text1"/>
          <w:sz w:val="16"/>
          <w:szCs w:val="16"/>
        </w:rPr>
        <w:t>Артполки большой мощности                -                1                12                12</w:t>
      </w:r>
    </w:p>
    <w:p w14:paraId="17D7975B" w14:textId="77777777" w:rsidR="00E63096" w:rsidRPr="00507A31" w:rsidRDefault="00E63096" w:rsidP="00507A31">
      <w:pPr>
        <w:jc w:val="both"/>
        <w:rPr>
          <w:color w:val="000000" w:themeColor="text1"/>
          <w:sz w:val="16"/>
          <w:szCs w:val="16"/>
        </w:rPr>
      </w:pPr>
      <w:r w:rsidRPr="00507A31">
        <w:rPr>
          <w:color w:val="000000" w:themeColor="text1"/>
          <w:sz w:val="16"/>
          <w:szCs w:val="16"/>
        </w:rPr>
        <w:t>Артдивизионы большой мощности                23                23                -                -</w:t>
      </w:r>
    </w:p>
    <w:p w14:paraId="44D64072" w14:textId="77777777" w:rsidR="00E63096" w:rsidRPr="00507A31" w:rsidRDefault="00E63096" w:rsidP="00507A31">
      <w:pPr>
        <w:jc w:val="both"/>
        <w:rPr>
          <w:color w:val="000000" w:themeColor="text1"/>
          <w:sz w:val="16"/>
          <w:szCs w:val="16"/>
        </w:rPr>
      </w:pPr>
      <w:r w:rsidRPr="00507A31">
        <w:rPr>
          <w:color w:val="000000" w:themeColor="text1"/>
          <w:sz w:val="16"/>
          <w:szCs w:val="16"/>
        </w:rPr>
        <w:t>Танки в строю                530                1375                3567                4500</w:t>
      </w:r>
    </w:p>
    <w:p w14:paraId="6A732CB4" w14:textId="77777777" w:rsidR="00E63096" w:rsidRPr="00507A31" w:rsidRDefault="00E63096" w:rsidP="00507A31">
      <w:pPr>
        <w:jc w:val="both"/>
        <w:rPr>
          <w:color w:val="000000" w:themeColor="text1"/>
          <w:sz w:val="16"/>
          <w:szCs w:val="16"/>
        </w:rPr>
      </w:pPr>
      <w:r w:rsidRPr="00507A31">
        <w:rPr>
          <w:color w:val="000000" w:themeColor="text1"/>
          <w:sz w:val="16"/>
          <w:szCs w:val="16"/>
        </w:rPr>
        <w:t>Боевые самолеты в строю                1534               2454                3869                4975</w:t>
      </w:r>
    </w:p>
    <w:p w14:paraId="5F86E6AE" w14:textId="77777777" w:rsidR="00E63096" w:rsidRPr="00507A31" w:rsidRDefault="00E63096" w:rsidP="00507A31">
      <w:pPr>
        <w:jc w:val="both"/>
        <w:rPr>
          <w:color w:val="000000" w:themeColor="text1"/>
          <w:sz w:val="16"/>
          <w:szCs w:val="16"/>
        </w:rPr>
      </w:pPr>
      <w:r w:rsidRPr="00507A31">
        <w:rPr>
          <w:color w:val="000000" w:themeColor="text1"/>
          <w:sz w:val="16"/>
          <w:szCs w:val="16"/>
        </w:rPr>
        <w:t>Основные задачи строительства Вооруженных Сил во второй военной пятилетке были сформулированы в докладе начальника Штаба РККА А.И.Егорова в следующем виде:</w:t>
      </w:r>
    </w:p>
    <w:p w14:paraId="554C93A0" w14:textId="77777777" w:rsidR="00E63096" w:rsidRPr="00507A31" w:rsidRDefault="00E63096" w:rsidP="00507A31">
      <w:pPr>
        <w:jc w:val="both"/>
        <w:rPr>
          <w:color w:val="000000" w:themeColor="text1"/>
          <w:sz w:val="16"/>
          <w:szCs w:val="16"/>
        </w:rPr>
      </w:pPr>
      <w:r w:rsidRPr="00507A31">
        <w:rPr>
          <w:color w:val="000000" w:themeColor="text1"/>
          <w:sz w:val="16"/>
          <w:szCs w:val="16"/>
        </w:rPr>
        <w:t>а) Красная Армия должна быть способна вести войну одновременно на Западе и на Востоке с любой коалицией капиталистических держав, перенести войну на территорию противника и нанести ему решающее поражение;</w:t>
      </w:r>
    </w:p>
    <w:p w14:paraId="75C848F9" w14:textId="77777777" w:rsidR="00E63096" w:rsidRPr="00507A31" w:rsidRDefault="00E63096" w:rsidP="00507A31">
      <w:pPr>
        <w:jc w:val="both"/>
        <w:rPr>
          <w:color w:val="000000" w:themeColor="text1"/>
          <w:sz w:val="16"/>
          <w:szCs w:val="16"/>
        </w:rPr>
      </w:pPr>
      <w:r w:rsidRPr="00507A31">
        <w:rPr>
          <w:color w:val="000000" w:themeColor="text1"/>
          <w:sz w:val="16"/>
          <w:szCs w:val="16"/>
        </w:rPr>
        <w:t>б) техническое оснащение Красной Армии должно быть доведено до уровня, превосходящего оснащение армий передовых капиталистических государств;</w:t>
      </w:r>
    </w:p>
    <w:p w14:paraId="1FA46F38" w14:textId="77777777" w:rsidR="00E63096" w:rsidRPr="00507A31" w:rsidRDefault="00E63096" w:rsidP="00507A31">
      <w:pPr>
        <w:jc w:val="both"/>
        <w:rPr>
          <w:color w:val="000000" w:themeColor="text1"/>
          <w:sz w:val="16"/>
          <w:szCs w:val="16"/>
        </w:rPr>
      </w:pPr>
      <w:r w:rsidRPr="00507A31">
        <w:rPr>
          <w:color w:val="000000" w:themeColor="text1"/>
          <w:sz w:val="16"/>
          <w:szCs w:val="16"/>
        </w:rPr>
        <w:t>в) накопить мобилизационные запасы на 3-4 месяца войны.</w:t>
      </w:r>
    </w:p>
    <w:p w14:paraId="024B8D71" w14:textId="77777777" w:rsidR="00E63096" w:rsidRPr="00507A31" w:rsidRDefault="00E63096" w:rsidP="00507A31">
      <w:pPr>
        <w:jc w:val="both"/>
        <w:rPr>
          <w:color w:val="000000" w:themeColor="text1"/>
          <w:sz w:val="16"/>
          <w:szCs w:val="16"/>
        </w:rPr>
      </w:pPr>
      <w:r w:rsidRPr="00507A31">
        <w:rPr>
          <w:color w:val="000000" w:themeColor="text1"/>
          <w:sz w:val="16"/>
          <w:szCs w:val="16"/>
        </w:rPr>
        <w:t>Разработанный в 1933 г. второй пятилетний план строительства РККА на 1934-1938 гг. предусматривал дальнейший рост численности войск и боевых средств. Намечалось довести к 1938 г. численность стрелковых дивизий до 160, кавалерийских - до 22, механизированных корпусов - до 6. Общее количество артиллерийских орудий к концу пятилетки должно было составить 45 000 шт., 15 000 танков, 7500 боевых самолетов. Для военного производства выдвигалась задача завершения технической реконструкции предприятий военной промышленности (18406).</w:t>
      </w:r>
    </w:p>
    <w:p w14:paraId="277DD037" w14:textId="77777777" w:rsidR="00E63096" w:rsidRPr="00507A31" w:rsidRDefault="00E63096" w:rsidP="00507A31">
      <w:pPr>
        <w:jc w:val="both"/>
        <w:rPr>
          <w:color w:val="000000" w:themeColor="text1"/>
          <w:sz w:val="16"/>
          <w:szCs w:val="16"/>
        </w:rPr>
      </w:pPr>
    </w:p>
    <w:p w14:paraId="20A98F3F" w14:textId="77777777" w:rsidR="00E63096" w:rsidRPr="00507A31" w:rsidRDefault="00E63096" w:rsidP="00507A31">
      <w:pPr>
        <w:jc w:val="both"/>
        <w:rPr>
          <w:color w:val="000000" w:themeColor="text1"/>
          <w:sz w:val="16"/>
          <w:szCs w:val="16"/>
        </w:rPr>
      </w:pPr>
      <w:r w:rsidRPr="00507A31">
        <w:rPr>
          <w:color w:val="000000" w:themeColor="text1"/>
          <w:sz w:val="16"/>
          <w:szCs w:val="16"/>
        </w:rPr>
        <w:t>15 января 1930:</w:t>
      </w:r>
    </w:p>
    <w:p w14:paraId="23E93663" w14:textId="77777777" w:rsidR="00E63096" w:rsidRPr="00507A31" w:rsidRDefault="00E63096" w:rsidP="00507A31">
      <w:pPr>
        <w:jc w:val="both"/>
        <w:rPr>
          <w:color w:val="000000" w:themeColor="text1"/>
          <w:sz w:val="16"/>
          <w:szCs w:val="16"/>
        </w:rPr>
      </w:pPr>
      <w:r w:rsidRPr="00507A31">
        <w:rPr>
          <w:color w:val="000000" w:themeColor="text1"/>
          <w:sz w:val="16"/>
          <w:szCs w:val="16"/>
        </w:rPr>
        <w:t>Решения Политбюро от 15.I.1930 г.</w:t>
      </w:r>
    </w:p>
    <w:p w14:paraId="44D826EB" w14:textId="77777777" w:rsidR="00E63096" w:rsidRPr="00507A31" w:rsidRDefault="00E63096" w:rsidP="00507A31">
      <w:pPr>
        <w:jc w:val="both"/>
        <w:rPr>
          <w:color w:val="000000" w:themeColor="text1"/>
          <w:sz w:val="16"/>
          <w:szCs w:val="16"/>
        </w:rPr>
      </w:pPr>
      <w:r w:rsidRPr="00507A31">
        <w:rPr>
          <w:color w:val="000000" w:themeColor="text1"/>
          <w:sz w:val="16"/>
          <w:szCs w:val="16"/>
        </w:rPr>
        <w:t>п. 1: О мобподготовке промышленности</w:t>
      </w:r>
    </w:p>
    <w:p w14:paraId="3359CCA1" w14:textId="77777777" w:rsidR="00E63096" w:rsidRPr="00507A31" w:rsidRDefault="00E63096" w:rsidP="00507A31">
      <w:pPr>
        <w:jc w:val="both"/>
        <w:rPr>
          <w:color w:val="000000" w:themeColor="text1"/>
          <w:sz w:val="16"/>
          <w:szCs w:val="16"/>
        </w:rPr>
      </w:pPr>
      <w:r w:rsidRPr="00507A31">
        <w:rPr>
          <w:color w:val="000000" w:themeColor="text1"/>
          <w:sz w:val="16"/>
          <w:szCs w:val="16"/>
        </w:rPr>
        <w:t>(ПБ от 30.XII.29 г., пр. № 112, п. 33).</w:t>
      </w:r>
    </w:p>
    <w:p w14:paraId="170C0C5D" w14:textId="77777777" w:rsidR="00E63096" w:rsidRPr="00507A31" w:rsidRDefault="00E63096" w:rsidP="00507A31">
      <w:pPr>
        <w:jc w:val="both"/>
        <w:rPr>
          <w:color w:val="000000" w:themeColor="text1"/>
          <w:sz w:val="16"/>
          <w:szCs w:val="16"/>
        </w:rPr>
      </w:pPr>
      <w:r w:rsidRPr="00507A31">
        <w:rPr>
          <w:color w:val="000000" w:themeColor="text1"/>
          <w:sz w:val="16"/>
          <w:szCs w:val="16"/>
        </w:rPr>
        <w:t>(Рыков, Орджоникидзе, Куйбышев, Ворошилов, Рухимович, Межлаук, Косиор, Уншлихт, Уборевич, Постников, Урываев, Павлуновский, Мартинович, Мехоношин, Шпектор).</w:t>
      </w:r>
    </w:p>
    <w:p w14:paraId="44431763" w14:textId="77777777" w:rsidR="00E63096" w:rsidRPr="00507A31" w:rsidRDefault="00E63096" w:rsidP="00507A31">
      <w:pPr>
        <w:jc w:val="both"/>
        <w:rPr>
          <w:color w:val="000000" w:themeColor="text1"/>
          <w:sz w:val="16"/>
          <w:szCs w:val="16"/>
        </w:rPr>
      </w:pPr>
      <w:r w:rsidRPr="00507A31">
        <w:rPr>
          <w:color w:val="000000" w:themeColor="text1"/>
          <w:sz w:val="16"/>
          <w:szCs w:val="16"/>
        </w:rPr>
        <w:t>Решение — особая папка.</w:t>
      </w:r>
    </w:p>
    <w:p w14:paraId="5CE5155E" w14:textId="77777777" w:rsidR="00E63096" w:rsidRPr="00507A31" w:rsidRDefault="00E63096" w:rsidP="00507A31">
      <w:pPr>
        <w:jc w:val="both"/>
        <w:rPr>
          <w:color w:val="000000" w:themeColor="text1"/>
          <w:sz w:val="16"/>
          <w:szCs w:val="16"/>
        </w:rPr>
      </w:pPr>
      <w:r w:rsidRPr="00507A31">
        <w:rPr>
          <w:color w:val="000000" w:themeColor="text1"/>
          <w:sz w:val="16"/>
          <w:szCs w:val="16"/>
        </w:rPr>
        <w:lastRenderedPageBreak/>
        <w:t>а) Утвердить с поправками предложенный РЗ СТО проект постановления о мобподготовке промышленности (</w:t>
      </w:r>
      <w:hyperlink r:id="rId15" w:history="1">
        <w:r w:rsidRPr="00507A31">
          <w:rPr>
            <w:rStyle w:val="a5"/>
            <w:color w:val="000000" w:themeColor="text1"/>
            <w:sz w:val="16"/>
            <w:szCs w:val="16"/>
          </w:rPr>
          <w:t>см. приложение № 1</w:t>
        </w:r>
        <w:r w:rsidRPr="00507A31">
          <w:rPr>
            <w:rStyle w:val="a5"/>
            <w:color w:val="000000" w:themeColor="text1"/>
            <w:sz w:val="16"/>
            <w:szCs w:val="16"/>
          </w:rPr>
          <w:noBreakHyphen/>
          <w:t>ОП</w:t>
        </w:r>
      </w:hyperlink>
      <w:r w:rsidRPr="00507A31">
        <w:rPr>
          <w:color w:val="000000" w:themeColor="text1"/>
          <w:sz w:val="16"/>
          <w:szCs w:val="16"/>
        </w:rPr>
        <w:t>).</w:t>
      </w:r>
    </w:p>
    <w:p w14:paraId="5B71A045" w14:textId="77777777" w:rsidR="00E63096" w:rsidRPr="00507A31" w:rsidRDefault="00E63096" w:rsidP="00507A31">
      <w:pPr>
        <w:jc w:val="both"/>
        <w:rPr>
          <w:color w:val="000000" w:themeColor="text1"/>
          <w:sz w:val="16"/>
          <w:szCs w:val="16"/>
        </w:rPr>
      </w:pPr>
      <w:r w:rsidRPr="00507A31">
        <w:rPr>
          <w:color w:val="000000" w:themeColor="text1"/>
          <w:sz w:val="16"/>
          <w:szCs w:val="16"/>
        </w:rPr>
        <w:t>б) Поставить на рассмотрение Политбюро решение РЗ СТО о литере “С” и заявки НКВМ на 2</w:t>
      </w:r>
      <w:r w:rsidRPr="00507A31">
        <w:rPr>
          <w:color w:val="000000" w:themeColor="text1"/>
          <w:sz w:val="16"/>
          <w:szCs w:val="16"/>
        </w:rPr>
        <w:noBreakHyphen/>
        <w:t>ой и 3</w:t>
      </w:r>
      <w:r w:rsidRPr="00507A31">
        <w:rPr>
          <w:color w:val="000000" w:themeColor="text1"/>
          <w:sz w:val="16"/>
          <w:szCs w:val="16"/>
        </w:rPr>
        <w:noBreakHyphen/>
        <w:t>ий год.</w:t>
      </w:r>
    </w:p>
    <w:p w14:paraId="311E7133" w14:textId="77777777" w:rsidR="00E63096" w:rsidRPr="00507A31" w:rsidRDefault="00E63096" w:rsidP="00507A31">
      <w:pPr>
        <w:jc w:val="both"/>
        <w:rPr>
          <w:color w:val="000000" w:themeColor="text1"/>
          <w:sz w:val="16"/>
          <w:szCs w:val="16"/>
        </w:rPr>
      </w:pPr>
      <w:r w:rsidRPr="00507A31">
        <w:rPr>
          <w:color w:val="000000" w:themeColor="text1"/>
          <w:sz w:val="16"/>
          <w:szCs w:val="16"/>
        </w:rPr>
        <w:t>в) Предложить РЗ СТО пересмотреть свое решение по вопросу об оценке деятельности ВСНХ по части мобилизационной работы.</w:t>
      </w:r>
    </w:p>
    <w:p w14:paraId="77E98E36" w14:textId="77777777" w:rsidR="00E63096" w:rsidRPr="00507A31" w:rsidRDefault="00E63096" w:rsidP="00507A31">
      <w:pPr>
        <w:jc w:val="both"/>
        <w:rPr>
          <w:color w:val="000000" w:themeColor="text1"/>
          <w:sz w:val="16"/>
          <w:szCs w:val="16"/>
        </w:rPr>
      </w:pPr>
      <w:r w:rsidRPr="00507A31">
        <w:rPr>
          <w:color w:val="000000" w:themeColor="text1"/>
          <w:sz w:val="16"/>
          <w:szCs w:val="16"/>
        </w:rPr>
        <w:t>г) Поручить Секретариату ЦК представить свои соображения, на основе обмена мнений на настоящем заседании Политбюро, о составе руководящей верхушки Мобилизационного Управления ВСНХ.</w:t>
      </w:r>
    </w:p>
    <w:p w14:paraId="5601A1E8" w14:textId="77777777" w:rsidR="00E63096" w:rsidRPr="00507A31" w:rsidRDefault="00E63096" w:rsidP="00507A31">
      <w:pPr>
        <w:jc w:val="both"/>
        <w:rPr>
          <w:color w:val="000000" w:themeColor="text1"/>
          <w:sz w:val="16"/>
          <w:szCs w:val="16"/>
        </w:rPr>
      </w:pPr>
      <w:r w:rsidRPr="00507A31">
        <w:rPr>
          <w:color w:val="000000" w:themeColor="text1"/>
          <w:sz w:val="16"/>
          <w:szCs w:val="16"/>
        </w:rPr>
        <w:t>Выписки посланы:</w:t>
      </w:r>
    </w:p>
    <w:p w14:paraId="17AD1787" w14:textId="77777777" w:rsidR="00E63096" w:rsidRPr="00507A31" w:rsidRDefault="00E63096" w:rsidP="00507A31">
      <w:pPr>
        <w:jc w:val="both"/>
        <w:rPr>
          <w:color w:val="000000" w:themeColor="text1"/>
          <w:sz w:val="16"/>
          <w:szCs w:val="16"/>
        </w:rPr>
      </w:pPr>
      <w:r w:rsidRPr="00507A31">
        <w:rPr>
          <w:color w:val="000000" w:themeColor="text1"/>
          <w:sz w:val="16"/>
          <w:szCs w:val="16"/>
        </w:rPr>
        <w:t>Куйбышеву, Ворошилову, Рыкову, Орджоникидзе, Рудзутаку — все;</w:t>
      </w:r>
    </w:p>
    <w:p w14:paraId="666C4C24" w14:textId="77777777" w:rsidR="00E63096" w:rsidRPr="00507A31" w:rsidRDefault="00E63096" w:rsidP="00507A31">
      <w:pPr>
        <w:jc w:val="both"/>
        <w:rPr>
          <w:color w:val="000000" w:themeColor="text1"/>
          <w:sz w:val="16"/>
          <w:szCs w:val="16"/>
        </w:rPr>
      </w:pPr>
      <w:r w:rsidRPr="00507A31">
        <w:rPr>
          <w:color w:val="000000" w:themeColor="text1"/>
          <w:sz w:val="16"/>
          <w:szCs w:val="16"/>
        </w:rPr>
        <w:t>Кагановичу — п. “г”;</w:t>
      </w:r>
    </w:p>
    <w:p w14:paraId="63B1E076" w14:textId="77777777" w:rsidR="00E63096" w:rsidRPr="00507A31" w:rsidRDefault="00E63096" w:rsidP="00507A31">
      <w:pPr>
        <w:jc w:val="both"/>
        <w:rPr>
          <w:color w:val="000000" w:themeColor="text1"/>
          <w:sz w:val="16"/>
          <w:szCs w:val="16"/>
        </w:rPr>
      </w:pPr>
      <w:r w:rsidRPr="00507A31">
        <w:rPr>
          <w:color w:val="000000" w:themeColor="text1"/>
          <w:sz w:val="16"/>
          <w:szCs w:val="16"/>
        </w:rPr>
        <w:t>Томскому — из прил. II</w:t>
      </w:r>
      <w:r w:rsidRPr="00507A31">
        <w:rPr>
          <w:color w:val="000000" w:themeColor="text1"/>
          <w:sz w:val="16"/>
          <w:szCs w:val="16"/>
        </w:rPr>
        <w:noBreakHyphen/>
        <w:t>2;</w:t>
      </w:r>
    </w:p>
    <w:p w14:paraId="39FCF179" w14:textId="77777777" w:rsidR="00E63096" w:rsidRPr="00507A31" w:rsidRDefault="00E63096" w:rsidP="00507A31">
      <w:pPr>
        <w:jc w:val="both"/>
        <w:rPr>
          <w:color w:val="000000" w:themeColor="text1"/>
          <w:sz w:val="16"/>
          <w:szCs w:val="16"/>
        </w:rPr>
      </w:pPr>
      <w:r w:rsidRPr="00507A31">
        <w:rPr>
          <w:color w:val="000000" w:themeColor="text1"/>
          <w:sz w:val="16"/>
          <w:szCs w:val="16"/>
        </w:rPr>
        <w:t>Микояну — из прил. II</w:t>
      </w:r>
      <w:r w:rsidRPr="00507A31">
        <w:rPr>
          <w:color w:val="000000" w:themeColor="text1"/>
          <w:sz w:val="16"/>
          <w:szCs w:val="16"/>
        </w:rPr>
        <w:noBreakHyphen/>
        <w:t>3, 4, 12;</w:t>
      </w:r>
    </w:p>
    <w:p w14:paraId="37C88A4C" w14:textId="77777777" w:rsidR="00E63096" w:rsidRPr="00507A31" w:rsidRDefault="00E63096" w:rsidP="00507A31">
      <w:pPr>
        <w:jc w:val="both"/>
        <w:rPr>
          <w:color w:val="000000" w:themeColor="text1"/>
          <w:sz w:val="16"/>
          <w:szCs w:val="16"/>
        </w:rPr>
      </w:pPr>
      <w:r w:rsidRPr="00507A31">
        <w:rPr>
          <w:color w:val="000000" w:themeColor="text1"/>
          <w:sz w:val="16"/>
          <w:szCs w:val="16"/>
        </w:rPr>
        <w:t>Урываеву — из прил. II</w:t>
      </w:r>
      <w:r w:rsidRPr="00507A31">
        <w:rPr>
          <w:color w:val="000000" w:themeColor="text1"/>
          <w:sz w:val="16"/>
          <w:szCs w:val="16"/>
        </w:rPr>
        <w:noBreakHyphen/>
        <w:t>10;</w:t>
      </w:r>
    </w:p>
    <w:p w14:paraId="236E4932" w14:textId="77777777" w:rsidR="00E63096" w:rsidRPr="00507A31" w:rsidRDefault="00E63096" w:rsidP="00507A31">
      <w:pPr>
        <w:jc w:val="both"/>
        <w:rPr>
          <w:color w:val="000000" w:themeColor="text1"/>
          <w:sz w:val="16"/>
          <w:szCs w:val="16"/>
        </w:rPr>
      </w:pPr>
      <w:r w:rsidRPr="00507A31">
        <w:rPr>
          <w:color w:val="000000" w:themeColor="text1"/>
          <w:sz w:val="16"/>
          <w:szCs w:val="16"/>
        </w:rPr>
        <w:t>Кржижановскому — из прил. III</w:t>
      </w:r>
      <w:r w:rsidRPr="00507A31">
        <w:rPr>
          <w:color w:val="000000" w:themeColor="text1"/>
          <w:sz w:val="16"/>
          <w:szCs w:val="16"/>
        </w:rPr>
        <w:noBreakHyphen/>
        <w:t>2, 8;</w:t>
      </w:r>
    </w:p>
    <w:p w14:paraId="58FAD6DC" w14:textId="77777777" w:rsidR="00E63096" w:rsidRPr="00507A31" w:rsidRDefault="00E63096" w:rsidP="00507A31">
      <w:pPr>
        <w:jc w:val="both"/>
        <w:rPr>
          <w:color w:val="000000" w:themeColor="text1"/>
          <w:sz w:val="16"/>
          <w:szCs w:val="16"/>
        </w:rPr>
      </w:pPr>
      <w:r w:rsidRPr="00507A31">
        <w:rPr>
          <w:color w:val="000000" w:themeColor="text1"/>
          <w:sz w:val="16"/>
          <w:szCs w:val="16"/>
        </w:rPr>
        <w:t>Ягоде — из прил. III</w:t>
      </w:r>
      <w:r w:rsidRPr="00507A31">
        <w:rPr>
          <w:color w:val="000000" w:themeColor="text1"/>
          <w:sz w:val="16"/>
          <w:szCs w:val="16"/>
        </w:rPr>
        <w:noBreakHyphen/>
        <w:t>5.</w:t>
      </w:r>
    </w:p>
    <w:p w14:paraId="2A118BA4" w14:textId="77777777" w:rsidR="00E63096" w:rsidRPr="00507A31" w:rsidRDefault="00E63096" w:rsidP="00507A31">
      <w:pPr>
        <w:jc w:val="both"/>
        <w:rPr>
          <w:color w:val="000000" w:themeColor="text1"/>
          <w:sz w:val="16"/>
          <w:szCs w:val="16"/>
        </w:rPr>
      </w:pPr>
      <w:r w:rsidRPr="00507A31">
        <w:rPr>
          <w:color w:val="000000" w:themeColor="text1"/>
          <w:sz w:val="16"/>
          <w:szCs w:val="16"/>
        </w:rPr>
        <w:t>Приложение № 1-ОП</w:t>
      </w:r>
    </w:p>
    <w:p w14:paraId="7E26E49F" w14:textId="77777777" w:rsidR="00E63096" w:rsidRPr="00507A31" w:rsidRDefault="00E63096" w:rsidP="00507A31">
      <w:pPr>
        <w:jc w:val="both"/>
        <w:rPr>
          <w:color w:val="000000" w:themeColor="text1"/>
          <w:sz w:val="16"/>
          <w:szCs w:val="16"/>
        </w:rPr>
      </w:pPr>
      <w:r w:rsidRPr="00507A31">
        <w:rPr>
          <w:color w:val="000000" w:themeColor="text1"/>
          <w:sz w:val="16"/>
          <w:szCs w:val="16"/>
        </w:rPr>
        <w:t>к п. 1 (о. п.) пр. ПБ № 113</w:t>
      </w:r>
    </w:p>
    <w:p w14:paraId="351DA3FE" w14:textId="77777777" w:rsidR="00E63096" w:rsidRPr="00507A31" w:rsidRDefault="00E63096" w:rsidP="00507A31">
      <w:pPr>
        <w:jc w:val="both"/>
        <w:rPr>
          <w:color w:val="000000" w:themeColor="text1"/>
          <w:sz w:val="16"/>
          <w:szCs w:val="16"/>
        </w:rPr>
      </w:pPr>
      <w:r w:rsidRPr="00507A31">
        <w:rPr>
          <w:color w:val="000000" w:themeColor="text1"/>
          <w:sz w:val="16"/>
          <w:szCs w:val="16"/>
        </w:rPr>
        <w:t>О мобподготовке промышленности.</w:t>
      </w:r>
    </w:p>
    <w:p w14:paraId="4D292768" w14:textId="77777777" w:rsidR="00E63096" w:rsidRPr="00507A31" w:rsidRDefault="00E63096" w:rsidP="00507A31">
      <w:pPr>
        <w:jc w:val="both"/>
        <w:rPr>
          <w:color w:val="000000" w:themeColor="text1"/>
          <w:sz w:val="16"/>
          <w:szCs w:val="16"/>
        </w:rPr>
      </w:pPr>
      <w:r w:rsidRPr="00507A31">
        <w:rPr>
          <w:color w:val="000000" w:themeColor="text1"/>
          <w:sz w:val="16"/>
          <w:szCs w:val="16"/>
        </w:rPr>
        <w:t>(Утверждено Политбюро ЦК ВКП(б) 15.I.1930 г.).</w:t>
      </w:r>
    </w:p>
    <w:p w14:paraId="3ED99C58" w14:textId="77777777" w:rsidR="00E63096" w:rsidRPr="00507A31" w:rsidRDefault="00E63096" w:rsidP="00507A31">
      <w:pPr>
        <w:jc w:val="both"/>
        <w:rPr>
          <w:color w:val="000000" w:themeColor="text1"/>
          <w:sz w:val="16"/>
          <w:szCs w:val="16"/>
        </w:rPr>
      </w:pPr>
      <w:r w:rsidRPr="00507A31">
        <w:rPr>
          <w:color w:val="000000" w:themeColor="text1"/>
          <w:sz w:val="16"/>
          <w:szCs w:val="16"/>
        </w:rPr>
        <w:t>I.</w:t>
      </w:r>
    </w:p>
    <w:p w14:paraId="3D4FB476" w14:textId="77777777" w:rsidR="00E63096" w:rsidRPr="00507A31" w:rsidRDefault="00E63096" w:rsidP="00507A31">
      <w:pPr>
        <w:jc w:val="both"/>
        <w:rPr>
          <w:color w:val="000000" w:themeColor="text1"/>
          <w:sz w:val="16"/>
          <w:szCs w:val="16"/>
        </w:rPr>
      </w:pPr>
      <w:r w:rsidRPr="00507A31">
        <w:rPr>
          <w:color w:val="000000" w:themeColor="text1"/>
          <w:sz w:val="16"/>
          <w:szCs w:val="16"/>
        </w:rPr>
        <w:t>1. Достигнутые уровни и темпы развития индустрии Советского Союза, крупные вложения (около 600 млн. руб. за период с 1924 г. по 1.I.1930 г.) на капитальное строительство военной промышленности и военных производств гражданской промышленности должны в основном обеспечить полное удовлетворение минимальных потребностей вооруженного фронта в условиях войны, согласно решения РЗ СТО от 20.XII.1928 г. по литере “С” на первый год, однако, до настоящего времени ВСНХ СССР не разработал реального плана мобилизации промышленности.</w:t>
      </w:r>
    </w:p>
    <w:p w14:paraId="35CADA33" w14:textId="77777777" w:rsidR="00E63096" w:rsidRPr="00507A31" w:rsidRDefault="00E63096" w:rsidP="00507A31">
      <w:pPr>
        <w:jc w:val="both"/>
        <w:rPr>
          <w:color w:val="000000" w:themeColor="text1"/>
          <w:sz w:val="16"/>
          <w:szCs w:val="16"/>
        </w:rPr>
      </w:pPr>
      <w:r w:rsidRPr="00507A31">
        <w:rPr>
          <w:color w:val="000000" w:themeColor="text1"/>
          <w:sz w:val="16"/>
          <w:szCs w:val="16"/>
        </w:rPr>
        <w:t>Поэтому, в случае возникновения войны до 1.VII.1930 г. (срок окончания разработки очередного варианта мобплана), промышленность вынуждена будет развернуться и работать без плана.</w:t>
      </w:r>
    </w:p>
    <w:p w14:paraId="4221AD5F" w14:textId="77777777" w:rsidR="00E63096" w:rsidRPr="00507A31" w:rsidRDefault="00E63096" w:rsidP="00507A31">
      <w:pPr>
        <w:jc w:val="both"/>
        <w:rPr>
          <w:color w:val="000000" w:themeColor="text1"/>
          <w:sz w:val="16"/>
          <w:szCs w:val="16"/>
        </w:rPr>
      </w:pPr>
      <w:r w:rsidRPr="00507A31">
        <w:rPr>
          <w:color w:val="000000" w:themeColor="text1"/>
          <w:sz w:val="16"/>
          <w:szCs w:val="16"/>
        </w:rPr>
        <w:t>2. Разработанные ВСНХ СССР соображения об удовлетворении потребностей вооруженных сил в случае возникновения войны в 1930 г. предусматривают подачу в первый год ведения войны около 11 млн. выстрелов всех калибров и 2.200 млн. винтпатронов.</w:t>
      </w:r>
    </w:p>
    <w:p w14:paraId="2104DCFF" w14:textId="77777777" w:rsidR="00E63096" w:rsidRPr="00507A31" w:rsidRDefault="00E63096" w:rsidP="00507A31">
      <w:pPr>
        <w:jc w:val="both"/>
        <w:rPr>
          <w:color w:val="000000" w:themeColor="text1"/>
          <w:sz w:val="16"/>
          <w:szCs w:val="16"/>
        </w:rPr>
      </w:pPr>
      <w:r w:rsidRPr="00507A31">
        <w:rPr>
          <w:color w:val="000000" w:themeColor="text1"/>
          <w:sz w:val="16"/>
          <w:szCs w:val="16"/>
        </w:rPr>
        <w:t>Это количество подачи выстрелов не превышает количества, полученного с заводов царской России в 1915 году (11.300 тыс.) и значительно ниже количества, изготовленного в течение 1916 года (32,5 млн., из них 22,5 млн. внутреннего производства, при обеспеченности порохами внутреннего производства 13 млн. выстрелов).</w:t>
      </w:r>
    </w:p>
    <w:p w14:paraId="529EE10D" w14:textId="77777777" w:rsidR="00E63096" w:rsidRPr="00507A31" w:rsidRDefault="00E63096" w:rsidP="00507A31">
      <w:pPr>
        <w:jc w:val="both"/>
        <w:rPr>
          <w:color w:val="000000" w:themeColor="text1"/>
          <w:sz w:val="16"/>
          <w:szCs w:val="16"/>
        </w:rPr>
      </w:pPr>
      <w:r w:rsidRPr="00507A31">
        <w:rPr>
          <w:color w:val="000000" w:themeColor="text1"/>
          <w:sz w:val="16"/>
          <w:szCs w:val="16"/>
        </w:rPr>
        <w:t>Подача материальной части войсковой артиллерии значительно ниже уровня 1916 года и составляет по первому году войны около 47% и по второму — 60% от 1916 года.</w:t>
      </w:r>
    </w:p>
    <w:p w14:paraId="342C9554" w14:textId="77777777" w:rsidR="00E63096" w:rsidRPr="00507A31" w:rsidRDefault="00E63096" w:rsidP="00507A31">
      <w:pPr>
        <w:jc w:val="both"/>
        <w:rPr>
          <w:color w:val="000000" w:themeColor="text1"/>
          <w:sz w:val="16"/>
          <w:szCs w:val="16"/>
        </w:rPr>
      </w:pPr>
      <w:r w:rsidRPr="00507A31">
        <w:rPr>
          <w:color w:val="000000" w:themeColor="text1"/>
          <w:sz w:val="16"/>
          <w:szCs w:val="16"/>
        </w:rPr>
        <w:t>Особо недостаточной необходимо признать подачу орудий для полевой тяжелой артиллерии (корпусной), несмотря на то, что за последние годы основной капитал артиллерийских заводов увеличился на 90 млн. рублей по сравнению с 1916 годом.</w:t>
      </w:r>
    </w:p>
    <w:p w14:paraId="2D6976AE" w14:textId="77777777" w:rsidR="00E63096" w:rsidRPr="00507A31" w:rsidRDefault="00E63096" w:rsidP="00507A31">
      <w:pPr>
        <w:jc w:val="both"/>
        <w:rPr>
          <w:color w:val="000000" w:themeColor="text1"/>
          <w:sz w:val="16"/>
          <w:szCs w:val="16"/>
        </w:rPr>
      </w:pPr>
      <w:r w:rsidRPr="00507A31">
        <w:rPr>
          <w:color w:val="000000" w:themeColor="text1"/>
          <w:sz w:val="16"/>
          <w:szCs w:val="16"/>
        </w:rPr>
        <w:t>Обеспечение же снабжения вооруженных сил на второй год ведения войны, а особенно первое полугодие его по проектировкам ВСНХ СССР по сравнению с первым годом, в течение которого армия помимо продукции промышленности располагает мобзапасами, значительно снизится.</w:t>
      </w:r>
    </w:p>
    <w:p w14:paraId="41FACFC5" w14:textId="77777777" w:rsidR="00E63096" w:rsidRPr="00507A31" w:rsidRDefault="00E63096" w:rsidP="00507A31">
      <w:pPr>
        <w:jc w:val="both"/>
        <w:rPr>
          <w:color w:val="000000" w:themeColor="text1"/>
          <w:sz w:val="16"/>
          <w:szCs w:val="16"/>
        </w:rPr>
      </w:pPr>
      <w:r w:rsidRPr="00507A31">
        <w:rPr>
          <w:color w:val="000000" w:themeColor="text1"/>
          <w:sz w:val="16"/>
          <w:szCs w:val="16"/>
        </w:rPr>
        <w:t>3. Утвердить следующие минимальные размеры подачи промышленностью для обеспечения потребностей вооруженных сил в случае возникновения войны в 1930 году:</w:t>
      </w:r>
    </w:p>
    <w:p w14:paraId="4E019B3F" w14:textId="77777777" w:rsidR="00E63096" w:rsidRPr="00507A31" w:rsidRDefault="00E63096" w:rsidP="00507A31">
      <w:pPr>
        <w:jc w:val="both"/>
        <w:rPr>
          <w:color w:val="000000" w:themeColor="text1"/>
          <w:sz w:val="16"/>
          <w:szCs w:val="16"/>
        </w:rPr>
      </w:pPr>
      <w:r w:rsidRPr="00507A31">
        <w:rPr>
          <w:color w:val="000000" w:themeColor="text1"/>
          <w:sz w:val="16"/>
          <w:szCs w:val="16"/>
        </w:rPr>
        <w:t>В течение первого года войны (начиная с 1.VII.1930 г.). Артиллерийских выстрелов — 19 млн. (в том числе 4,5 млн. гаубичных выстрелов); винтпатронов — 3 млрд.; станковых и ручных пулеметов — 53.500; орудий — в количестве, предусмотренном постановлением РЗ СТО от 23.VIII.1928 г.</w:t>
      </w:r>
    </w:p>
    <w:p w14:paraId="2EADA232" w14:textId="77777777" w:rsidR="00E63096" w:rsidRPr="00507A31" w:rsidRDefault="00E63096" w:rsidP="00507A31">
      <w:pPr>
        <w:jc w:val="both"/>
        <w:rPr>
          <w:color w:val="000000" w:themeColor="text1"/>
          <w:sz w:val="16"/>
          <w:szCs w:val="16"/>
        </w:rPr>
      </w:pPr>
      <w:r w:rsidRPr="00507A31">
        <w:rPr>
          <w:color w:val="000000" w:themeColor="text1"/>
          <w:sz w:val="16"/>
          <w:szCs w:val="16"/>
        </w:rPr>
        <w:t>4. Обязать ВСНХ СССР к 1.VII.1930 г. закончить разработку конкретного плана мобилизации промышленности, обеспечивающего полную подачу в размерах, установленных в статье 4</w:t>
      </w:r>
      <w:r w:rsidRPr="00507A31">
        <w:rPr>
          <w:color w:val="000000" w:themeColor="text1"/>
          <w:sz w:val="16"/>
          <w:szCs w:val="16"/>
        </w:rPr>
        <w:noBreakHyphen/>
        <w:t>й настоящего постановления.</w:t>
      </w:r>
    </w:p>
    <w:p w14:paraId="563417A1" w14:textId="77777777" w:rsidR="00E63096" w:rsidRPr="00507A31" w:rsidRDefault="00E63096" w:rsidP="00507A31">
      <w:pPr>
        <w:jc w:val="both"/>
        <w:rPr>
          <w:color w:val="000000" w:themeColor="text1"/>
          <w:sz w:val="16"/>
          <w:szCs w:val="16"/>
        </w:rPr>
      </w:pPr>
      <w:r w:rsidRPr="00507A31">
        <w:rPr>
          <w:color w:val="000000" w:themeColor="text1"/>
          <w:sz w:val="16"/>
          <w:szCs w:val="16"/>
        </w:rPr>
        <w:t>Кроме этого при разработке мобплана обеспечить резервы мощностей для производства мелкокалиберкой артиллерии и снарядов на первый и второй год ведения войны.</w:t>
      </w:r>
    </w:p>
    <w:p w14:paraId="277B4F8F" w14:textId="77777777" w:rsidR="00E63096" w:rsidRPr="00507A31" w:rsidRDefault="00E63096" w:rsidP="00507A31">
      <w:pPr>
        <w:jc w:val="both"/>
        <w:rPr>
          <w:color w:val="000000" w:themeColor="text1"/>
          <w:sz w:val="16"/>
          <w:szCs w:val="16"/>
        </w:rPr>
      </w:pPr>
      <w:r w:rsidRPr="00507A31">
        <w:rPr>
          <w:color w:val="000000" w:themeColor="text1"/>
          <w:sz w:val="16"/>
          <w:szCs w:val="16"/>
        </w:rPr>
        <w:t>II.</w:t>
      </w:r>
    </w:p>
    <w:p w14:paraId="40A7F325" w14:textId="77777777" w:rsidR="00E63096" w:rsidRPr="00507A31" w:rsidRDefault="00E63096" w:rsidP="00507A31">
      <w:pPr>
        <w:jc w:val="both"/>
        <w:rPr>
          <w:color w:val="000000" w:themeColor="text1"/>
          <w:sz w:val="16"/>
          <w:szCs w:val="16"/>
        </w:rPr>
      </w:pPr>
      <w:r w:rsidRPr="00507A31">
        <w:rPr>
          <w:color w:val="000000" w:themeColor="text1"/>
          <w:sz w:val="16"/>
          <w:szCs w:val="16"/>
        </w:rPr>
        <w:t>Для обеспечения выполнения установленного задания признать необходимым:</w:t>
      </w:r>
    </w:p>
    <w:p w14:paraId="0627B640" w14:textId="77777777" w:rsidR="00E63096" w:rsidRPr="00507A31" w:rsidRDefault="00E63096" w:rsidP="00507A31">
      <w:pPr>
        <w:jc w:val="both"/>
        <w:rPr>
          <w:color w:val="000000" w:themeColor="text1"/>
          <w:sz w:val="16"/>
          <w:szCs w:val="16"/>
        </w:rPr>
      </w:pPr>
      <w:r w:rsidRPr="00507A31">
        <w:rPr>
          <w:color w:val="000000" w:themeColor="text1"/>
          <w:sz w:val="16"/>
          <w:szCs w:val="16"/>
        </w:rPr>
        <w:t>1. Обязать ВСНХ СССР и НКВМ к 1.III.1930 г. окончательно разрешить вопрос о замене патронной латуни и пульного мельхиора плакированным железом и к 1.VII.1930 г. развернуть массовое производство, в соответствии с потребностями НКВМ.</w:t>
      </w:r>
    </w:p>
    <w:p w14:paraId="3C8766A1" w14:textId="77777777" w:rsidR="00E63096" w:rsidRPr="00507A31" w:rsidRDefault="00E63096" w:rsidP="00507A31">
      <w:pPr>
        <w:jc w:val="both"/>
        <w:rPr>
          <w:color w:val="000000" w:themeColor="text1"/>
          <w:sz w:val="16"/>
          <w:szCs w:val="16"/>
        </w:rPr>
      </w:pPr>
      <w:r w:rsidRPr="00507A31">
        <w:rPr>
          <w:color w:val="000000" w:themeColor="text1"/>
          <w:sz w:val="16"/>
          <w:szCs w:val="16"/>
        </w:rPr>
        <w:t>2. Категорически подтвердить необходимость закончить строительство Березниковского комбината к 1 марта 1931 г. и Чернореченского завода к 1.VII.1930 г., возложив персональную ответственность за выполнение этого задания на председателя Химического объединения тов. Томского.</w:t>
      </w:r>
    </w:p>
    <w:p w14:paraId="3178FCDD" w14:textId="77777777" w:rsidR="00E63096" w:rsidRPr="00507A31" w:rsidRDefault="00E63096" w:rsidP="00507A31">
      <w:pPr>
        <w:jc w:val="both"/>
        <w:rPr>
          <w:color w:val="000000" w:themeColor="text1"/>
          <w:sz w:val="16"/>
          <w:szCs w:val="16"/>
        </w:rPr>
      </w:pPr>
      <w:r w:rsidRPr="00507A31">
        <w:rPr>
          <w:color w:val="000000" w:themeColor="text1"/>
          <w:sz w:val="16"/>
          <w:szCs w:val="16"/>
        </w:rPr>
        <w:t>Категорически подтвердить необходимость полного завоза импортного оборудования для этих заводов в сроки, установленные РЗ СТО решением от 13.Х.1929 года (пр. № 40, п. 7).</w:t>
      </w:r>
    </w:p>
    <w:p w14:paraId="098983FA" w14:textId="77777777" w:rsidR="00E63096" w:rsidRPr="00507A31" w:rsidRDefault="00E63096" w:rsidP="00507A31">
      <w:pPr>
        <w:jc w:val="both"/>
        <w:rPr>
          <w:color w:val="000000" w:themeColor="text1"/>
          <w:sz w:val="16"/>
          <w:szCs w:val="16"/>
        </w:rPr>
      </w:pPr>
      <w:r w:rsidRPr="00507A31">
        <w:rPr>
          <w:color w:val="000000" w:themeColor="text1"/>
          <w:sz w:val="16"/>
          <w:szCs w:val="16"/>
        </w:rPr>
        <w:t>Строительство Горловского и Бобриковского комбинатов закончить к 1.Х.1931 года.</w:t>
      </w:r>
    </w:p>
    <w:p w14:paraId="7B98D18D" w14:textId="77777777" w:rsidR="00E63096" w:rsidRPr="00507A31" w:rsidRDefault="00E63096" w:rsidP="00507A31">
      <w:pPr>
        <w:jc w:val="both"/>
        <w:rPr>
          <w:color w:val="000000" w:themeColor="text1"/>
          <w:sz w:val="16"/>
          <w:szCs w:val="16"/>
        </w:rPr>
      </w:pPr>
      <w:r w:rsidRPr="00507A31">
        <w:rPr>
          <w:color w:val="000000" w:themeColor="text1"/>
          <w:sz w:val="16"/>
          <w:szCs w:val="16"/>
        </w:rPr>
        <w:t>3. Признать необходимым завезти к 1.VII.1930 года, сверх 29.000 тонн, завозимых по резервному импортному плану 1929/30 года, — 40.000 тонн натриевой селитры.</w:t>
      </w:r>
    </w:p>
    <w:p w14:paraId="30AC1638" w14:textId="77777777" w:rsidR="00E63096" w:rsidRPr="00507A31" w:rsidRDefault="00E63096" w:rsidP="00507A31">
      <w:pPr>
        <w:jc w:val="both"/>
        <w:rPr>
          <w:color w:val="000000" w:themeColor="text1"/>
          <w:sz w:val="16"/>
          <w:szCs w:val="16"/>
        </w:rPr>
      </w:pPr>
      <w:r w:rsidRPr="00507A31">
        <w:rPr>
          <w:color w:val="000000" w:themeColor="text1"/>
          <w:sz w:val="16"/>
          <w:szCs w:val="16"/>
        </w:rPr>
        <w:t>4. Обязать ВСНХ СССР и НКТорг СССР к 1.VII.1930 года ввезти импортное оборудование по окислительным установкам для военной промышленности.</w:t>
      </w:r>
    </w:p>
    <w:p w14:paraId="54DD2FE5" w14:textId="77777777" w:rsidR="00E63096" w:rsidRPr="00507A31" w:rsidRDefault="00E63096" w:rsidP="00507A31">
      <w:pPr>
        <w:jc w:val="both"/>
        <w:rPr>
          <w:color w:val="000000" w:themeColor="text1"/>
          <w:sz w:val="16"/>
          <w:szCs w:val="16"/>
        </w:rPr>
      </w:pPr>
      <w:r w:rsidRPr="00507A31">
        <w:rPr>
          <w:color w:val="000000" w:themeColor="text1"/>
          <w:sz w:val="16"/>
          <w:szCs w:val="16"/>
        </w:rPr>
        <w:t>5. Обязать ВСНХ СССР не позднее 1.I.1931 г. закончить строительство Укрвзрывзавода по нитроглицериновым порохам.</w:t>
      </w:r>
    </w:p>
    <w:p w14:paraId="44833DF5" w14:textId="77777777" w:rsidR="00E63096" w:rsidRPr="00507A31" w:rsidRDefault="00E63096" w:rsidP="00507A31">
      <w:pPr>
        <w:jc w:val="both"/>
        <w:rPr>
          <w:color w:val="000000" w:themeColor="text1"/>
          <w:sz w:val="16"/>
          <w:szCs w:val="16"/>
        </w:rPr>
      </w:pPr>
      <w:r w:rsidRPr="00507A31">
        <w:rPr>
          <w:color w:val="000000" w:themeColor="text1"/>
          <w:sz w:val="16"/>
          <w:szCs w:val="16"/>
        </w:rPr>
        <w:t>6. В целях увеличения производства порохов и взрывчатых веществ, ВСНХ СССР усилить работу по рационализации, пересмотрев и усовершенствовав технологические процессы производства.</w:t>
      </w:r>
    </w:p>
    <w:p w14:paraId="79ECAAB4" w14:textId="77777777" w:rsidR="00E63096" w:rsidRPr="00507A31" w:rsidRDefault="00E63096" w:rsidP="00507A31">
      <w:pPr>
        <w:jc w:val="both"/>
        <w:rPr>
          <w:color w:val="000000" w:themeColor="text1"/>
          <w:sz w:val="16"/>
          <w:szCs w:val="16"/>
        </w:rPr>
      </w:pPr>
      <w:r w:rsidRPr="00507A31">
        <w:rPr>
          <w:color w:val="000000" w:themeColor="text1"/>
          <w:sz w:val="16"/>
          <w:szCs w:val="16"/>
        </w:rPr>
        <w:t>7. Обязать ВСНХ СССР к 1.Х.1930 года закончить постройку Московского толуолового завода.</w:t>
      </w:r>
    </w:p>
    <w:p w14:paraId="075DBF45" w14:textId="77777777" w:rsidR="00E63096" w:rsidRPr="00507A31" w:rsidRDefault="00E63096" w:rsidP="00507A31">
      <w:pPr>
        <w:jc w:val="both"/>
        <w:rPr>
          <w:color w:val="000000" w:themeColor="text1"/>
          <w:sz w:val="16"/>
          <w:szCs w:val="16"/>
        </w:rPr>
      </w:pPr>
      <w:r w:rsidRPr="00507A31">
        <w:rPr>
          <w:color w:val="000000" w:themeColor="text1"/>
          <w:sz w:val="16"/>
          <w:szCs w:val="16"/>
        </w:rPr>
        <w:t>8. Обязать ВСНХ форсировать разработку мероприятий по обеспечению возможности строительства в военное время по толуолу и взрывчатым веществам (без импорта оборудования).</w:t>
      </w:r>
    </w:p>
    <w:p w14:paraId="327F618E" w14:textId="77777777" w:rsidR="00E63096" w:rsidRPr="00507A31" w:rsidRDefault="00E63096" w:rsidP="00507A31">
      <w:pPr>
        <w:jc w:val="both"/>
        <w:rPr>
          <w:color w:val="000000" w:themeColor="text1"/>
          <w:sz w:val="16"/>
          <w:szCs w:val="16"/>
        </w:rPr>
      </w:pPr>
      <w:r w:rsidRPr="00507A31">
        <w:rPr>
          <w:color w:val="000000" w:themeColor="text1"/>
          <w:sz w:val="16"/>
          <w:szCs w:val="16"/>
        </w:rPr>
        <w:t>9. В целях сокращения потребления толуола авиацией в военное время, предложить НКВМ ускорить испытательные работы по суррогатированию топлива для военно-воздушных сил РККА.</w:t>
      </w:r>
    </w:p>
    <w:p w14:paraId="5BCE53DC" w14:textId="77777777" w:rsidR="00E63096" w:rsidRPr="00507A31" w:rsidRDefault="00E63096" w:rsidP="00507A31">
      <w:pPr>
        <w:jc w:val="both"/>
        <w:rPr>
          <w:color w:val="000000" w:themeColor="text1"/>
          <w:sz w:val="16"/>
          <w:szCs w:val="16"/>
        </w:rPr>
      </w:pPr>
      <w:r w:rsidRPr="00507A31">
        <w:rPr>
          <w:color w:val="000000" w:themeColor="text1"/>
          <w:sz w:val="16"/>
          <w:szCs w:val="16"/>
        </w:rPr>
        <w:t>10. Констатировать, что принятые Правительством в июле решения по военной промышленности остались в значительной степени невыполненными, особенно в части орудийно-арсенального треста; предложить ВСНХ СССР в кратчайший срок добиться решительного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 Урываева и обязав его через каждые 3 месяца делать сообщение в РЗ  ТО о проведении этого решения в жизнь.</w:t>
      </w:r>
    </w:p>
    <w:p w14:paraId="1573FF82" w14:textId="77777777" w:rsidR="00E63096" w:rsidRPr="00507A31" w:rsidRDefault="00E63096" w:rsidP="00507A31">
      <w:pPr>
        <w:jc w:val="both"/>
        <w:rPr>
          <w:color w:val="000000" w:themeColor="text1"/>
          <w:sz w:val="16"/>
          <w:szCs w:val="16"/>
        </w:rPr>
      </w:pPr>
      <w:r w:rsidRPr="00507A31">
        <w:rPr>
          <w:color w:val="000000" w:themeColor="text1"/>
          <w:sz w:val="16"/>
          <w:szCs w:val="16"/>
        </w:rPr>
        <w:t>11. В целях упрощения производства и применения суррогатов сталей для корпусов снарядов, поручить ВСНХ и НКВМ к 1.IV.1930 года пересмотреть чертежи снарядов и технические условия.</w:t>
      </w:r>
    </w:p>
    <w:p w14:paraId="1E1DD6E0" w14:textId="77777777" w:rsidR="00E63096" w:rsidRPr="00507A31" w:rsidRDefault="00E63096" w:rsidP="00507A31">
      <w:pPr>
        <w:jc w:val="both"/>
        <w:rPr>
          <w:color w:val="000000" w:themeColor="text1"/>
          <w:sz w:val="16"/>
          <w:szCs w:val="16"/>
        </w:rPr>
      </w:pPr>
      <w:r w:rsidRPr="00507A31">
        <w:rPr>
          <w:color w:val="000000" w:themeColor="text1"/>
          <w:sz w:val="16"/>
          <w:szCs w:val="16"/>
        </w:rPr>
        <w:t>12. Обязать НКТорг СССР: а) не позднее 1 июля 1930 года ввезти импортные материалы по резервному плану на 20 млн. рублей; б) к 1.Х.1930 года полностью закончить ввоз оборудования по планам 1928/29 и 1929/30 г.г.</w:t>
      </w:r>
    </w:p>
    <w:p w14:paraId="79C90F23" w14:textId="77777777" w:rsidR="00E63096" w:rsidRPr="00507A31" w:rsidRDefault="00E63096" w:rsidP="00507A31">
      <w:pPr>
        <w:jc w:val="both"/>
        <w:rPr>
          <w:color w:val="000000" w:themeColor="text1"/>
          <w:sz w:val="16"/>
          <w:szCs w:val="16"/>
        </w:rPr>
      </w:pPr>
      <w:r w:rsidRPr="00507A31">
        <w:rPr>
          <w:color w:val="000000" w:themeColor="text1"/>
          <w:sz w:val="16"/>
          <w:szCs w:val="16"/>
        </w:rPr>
        <w:t>13. В целях ускорения подачи собранного единого выстрела на склады и базы НКВМ в военное время, ВСНХ СССР учесть обязательное использование имущества категории “Б”, свободных запасов НКВМ (взрыватели, взрыввещества и т. д.) и в случае необходимости накопить минимальные запасы элементов и полуфабрикатов.</w:t>
      </w:r>
    </w:p>
    <w:p w14:paraId="3156A1A9" w14:textId="77777777" w:rsidR="00E63096" w:rsidRPr="00507A31" w:rsidRDefault="00E63096" w:rsidP="00507A31">
      <w:pPr>
        <w:jc w:val="both"/>
        <w:rPr>
          <w:color w:val="000000" w:themeColor="text1"/>
          <w:sz w:val="16"/>
          <w:szCs w:val="16"/>
        </w:rPr>
      </w:pPr>
      <w:r w:rsidRPr="00507A31">
        <w:rPr>
          <w:color w:val="000000" w:themeColor="text1"/>
          <w:sz w:val="16"/>
          <w:szCs w:val="16"/>
        </w:rPr>
        <w:t>14. Предложить ВСНХ и НКВМ разработать помесячный план подачи элементов выстрела с заводов на склады и базы НКВМ.</w:t>
      </w:r>
    </w:p>
    <w:p w14:paraId="63849241" w14:textId="77777777" w:rsidR="00E63096" w:rsidRPr="00507A31" w:rsidRDefault="00E63096" w:rsidP="00507A31">
      <w:pPr>
        <w:jc w:val="both"/>
        <w:rPr>
          <w:color w:val="000000" w:themeColor="text1"/>
          <w:sz w:val="16"/>
          <w:szCs w:val="16"/>
        </w:rPr>
      </w:pPr>
      <w:r w:rsidRPr="00507A31">
        <w:rPr>
          <w:color w:val="000000" w:themeColor="text1"/>
          <w:sz w:val="16"/>
          <w:szCs w:val="16"/>
        </w:rPr>
        <w:t>III.</w:t>
      </w:r>
    </w:p>
    <w:p w14:paraId="6FEBBADA" w14:textId="77777777" w:rsidR="00E63096" w:rsidRPr="00507A31" w:rsidRDefault="00E63096" w:rsidP="00507A31">
      <w:pPr>
        <w:jc w:val="both"/>
        <w:rPr>
          <w:color w:val="000000" w:themeColor="text1"/>
          <w:sz w:val="16"/>
          <w:szCs w:val="16"/>
        </w:rPr>
      </w:pPr>
      <w:r w:rsidRPr="00507A31">
        <w:rPr>
          <w:color w:val="000000" w:themeColor="text1"/>
          <w:sz w:val="16"/>
          <w:szCs w:val="16"/>
        </w:rPr>
        <w:t>1. В целях обеспечения выполнения перечисленных заданий и составления реальных планов мобилизации промышленности признать необходимым Мобилизационно-плановое управление ВСНХ реорганизовать в оперативно-плановый орган по всем оборонным вопросам промышленности со следующими основными функциями:</w:t>
      </w:r>
    </w:p>
    <w:p w14:paraId="416C24F9" w14:textId="77777777" w:rsidR="00E63096" w:rsidRPr="00507A31" w:rsidRDefault="00E63096" w:rsidP="00507A31">
      <w:pPr>
        <w:jc w:val="both"/>
        <w:rPr>
          <w:color w:val="000000" w:themeColor="text1"/>
          <w:sz w:val="16"/>
          <w:szCs w:val="16"/>
        </w:rPr>
      </w:pPr>
      <w:r w:rsidRPr="00507A31">
        <w:rPr>
          <w:color w:val="000000" w:themeColor="text1"/>
          <w:sz w:val="16"/>
          <w:szCs w:val="16"/>
        </w:rPr>
        <w:t>а) учет производственных возможностей промышленности для задач войны,</w:t>
      </w:r>
    </w:p>
    <w:p w14:paraId="6CD32DF6" w14:textId="77777777" w:rsidR="00E63096" w:rsidRPr="00507A31" w:rsidRDefault="00E63096" w:rsidP="00507A31">
      <w:pPr>
        <w:jc w:val="both"/>
        <w:rPr>
          <w:color w:val="000000" w:themeColor="text1"/>
          <w:sz w:val="16"/>
          <w:szCs w:val="16"/>
        </w:rPr>
      </w:pPr>
      <w:r w:rsidRPr="00507A31">
        <w:rPr>
          <w:color w:val="000000" w:themeColor="text1"/>
          <w:sz w:val="16"/>
          <w:szCs w:val="16"/>
        </w:rPr>
        <w:t>б) руководство составлением оперативного мобплана и распределение мобзаданий,</w:t>
      </w:r>
    </w:p>
    <w:p w14:paraId="7C971779" w14:textId="77777777" w:rsidR="00E63096" w:rsidRPr="00507A31" w:rsidRDefault="00E63096" w:rsidP="00507A31">
      <w:pPr>
        <w:jc w:val="both"/>
        <w:rPr>
          <w:color w:val="000000" w:themeColor="text1"/>
          <w:sz w:val="16"/>
          <w:szCs w:val="16"/>
        </w:rPr>
      </w:pPr>
      <w:r w:rsidRPr="00507A31">
        <w:rPr>
          <w:color w:val="000000" w:themeColor="text1"/>
          <w:sz w:val="16"/>
          <w:szCs w:val="16"/>
        </w:rPr>
        <w:t>в) фактическое установление сроков развертывания мобилизуемых предприятий,</w:t>
      </w:r>
    </w:p>
    <w:p w14:paraId="4B6C6661" w14:textId="77777777" w:rsidR="00E63096" w:rsidRPr="00507A31" w:rsidRDefault="00E63096" w:rsidP="00507A31">
      <w:pPr>
        <w:jc w:val="both"/>
        <w:rPr>
          <w:color w:val="000000" w:themeColor="text1"/>
          <w:sz w:val="16"/>
          <w:szCs w:val="16"/>
        </w:rPr>
      </w:pPr>
      <w:r w:rsidRPr="00507A31">
        <w:rPr>
          <w:color w:val="000000" w:themeColor="text1"/>
          <w:sz w:val="16"/>
          <w:szCs w:val="16"/>
        </w:rPr>
        <w:t>г) контроль над выполнением производственно-технических заданий мобилизуемыми предприятиями и над капитальным оборонным строительством,</w:t>
      </w:r>
    </w:p>
    <w:p w14:paraId="18A086F6" w14:textId="77777777" w:rsidR="00E63096" w:rsidRPr="00507A31" w:rsidRDefault="00E63096" w:rsidP="00507A31">
      <w:pPr>
        <w:jc w:val="both"/>
        <w:rPr>
          <w:color w:val="000000" w:themeColor="text1"/>
          <w:sz w:val="16"/>
          <w:szCs w:val="16"/>
        </w:rPr>
      </w:pPr>
      <w:r w:rsidRPr="00507A31">
        <w:rPr>
          <w:color w:val="000000" w:themeColor="text1"/>
          <w:sz w:val="16"/>
          <w:szCs w:val="16"/>
        </w:rPr>
        <w:t>д) контроль и инспектирование мобилизационной подготовки промышленности,</w:t>
      </w:r>
    </w:p>
    <w:p w14:paraId="6166382C" w14:textId="77777777" w:rsidR="00E63096" w:rsidRPr="00507A31" w:rsidRDefault="00E63096" w:rsidP="00507A31">
      <w:pPr>
        <w:jc w:val="both"/>
        <w:rPr>
          <w:color w:val="000000" w:themeColor="text1"/>
          <w:sz w:val="16"/>
          <w:szCs w:val="16"/>
        </w:rPr>
      </w:pPr>
      <w:r w:rsidRPr="00507A31">
        <w:rPr>
          <w:color w:val="000000" w:themeColor="text1"/>
          <w:sz w:val="16"/>
          <w:szCs w:val="16"/>
        </w:rPr>
        <w:t>е) составление плана материального обеспечения промышленности во время войны (сырьем, топливом, оборудованием и т. д.).</w:t>
      </w:r>
    </w:p>
    <w:p w14:paraId="2985E1A7" w14:textId="77777777" w:rsidR="00E63096" w:rsidRPr="00507A31" w:rsidRDefault="00E63096" w:rsidP="00507A31">
      <w:pPr>
        <w:jc w:val="both"/>
        <w:rPr>
          <w:color w:val="000000" w:themeColor="text1"/>
          <w:sz w:val="16"/>
          <w:szCs w:val="16"/>
        </w:rPr>
      </w:pPr>
      <w:r w:rsidRPr="00507A31">
        <w:rPr>
          <w:color w:val="000000" w:themeColor="text1"/>
          <w:sz w:val="16"/>
          <w:szCs w:val="16"/>
        </w:rPr>
        <w:t>2. В целях усиления местной инициативы и максимального использования местных ресурсов, — признать необходимым создание мобилизационных органов в промышленных областях и республиках, имеющих мобилизационное значение, а также и при уполномоченных ВСНХ СССР в областях РСФСР и союзных республиках.</w:t>
      </w:r>
    </w:p>
    <w:p w14:paraId="102E8C34" w14:textId="77777777" w:rsidR="00E63096" w:rsidRPr="00507A31" w:rsidRDefault="00E63096" w:rsidP="00507A31">
      <w:pPr>
        <w:jc w:val="both"/>
        <w:rPr>
          <w:color w:val="000000" w:themeColor="text1"/>
          <w:sz w:val="16"/>
          <w:szCs w:val="16"/>
        </w:rPr>
      </w:pPr>
      <w:r w:rsidRPr="00507A31">
        <w:rPr>
          <w:color w:val="000000" w:themeColor="text1"/>
          <w:sz w:val="16"/>
          <w:szCs w:val="16"/>
        </w:rPr>
        <w:lastRenderedPageBreak/>
        <w:t>ВСНХ СССР совместно с НКВМ и Госпланом СССР в 10</w:t>
      </w:r>
      <w:r w:rsidRPr="00507A31">
        <w:rPr>
          <w:color w:val="000000" w:themeColor="text1"/>
          <w:sz w:val="16"/>
          <w:szCs w:val="16"/>
        </w:rPr>
        <w:noBreakHyphen/>
        <w:t>дневный срок войти в РЗ СТО с конкретными предложениями по этому вопросу.</w:t>
      </w:r>
    </w:p>
    <w:p w14:paraId="64C553C5" w14:textId="77777777" w:rsidR="00E63096" w:rsidRPr="00507A31" w:rsidRDefault="00E63096" w:rsidP="00507A31">
      <w:pPr>
        <w:jc w:val="both"/>
        <w:rPr>
          <w:color w:val="000000" w:themeColor="text1"/>
          <w:sz w:val="16"/>
          <w:szCs w:val="16"/>
        </w:rPr>
      </w:pPr>
      <w:r w:rsidRPr="00507A31">
        <w:rPr>
          <w:color w:val="000000" w:themeColor="text1"/>
          <w:sz w:val="16"/>
          <w:szCs w:val="16"/>
        </w:rPr>
        <w:t>3. ВСНХ СССР обратить особое внимание на реальность и четкость мобилизационной работы на предприятиях, возложив на их руководителей (в том числе и технических) строгую персональную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012BA535" w14:textId="77777777" w:rsidR="00E63096" w:rsidRPr="00507A31" w:rsidRDefault="00E63096" w:rsidP="00507A31">
      <w:pPr>
        <w:jc w:val="both"/>
        <w:rPr>
          <w:color w:val="000000" w:themeColor="text1"/>
          <w:sz w:val="16"/>
          <w:szCs w:val="16"/>
        </w:rPr>
      </w:pPr>
      <w:r w:rsidRPr="00507A31">
        <w:rPr>
          <w:color w:val="000000" w:themeColor="text1"/>
          <w:sz w:val="16"/>
          <w:szCs w:val="16"/>
        </w:rPr>
        <w:t>Категорически подтвердить, что ответственность за руководство подготовкой отдельных отраслей и объединений промышленности к обороне и составление мобилизационных планов целиком возлагается на руководителей соответствующих объединений и трестов.</w:t>
      </w:r>
    </w:p>
    <w:p w14:paraId="026D804E" w14:textId="77777777" w:rsidR="00E63096" w:rsidRPr="00507A31" w:rsidRDefault="00E63096" w:rsidP="00507A31">
      <w:pPr>
        <w:jc w:val="both"/>
        <w:rPr>
          <w:color w:val="000000" w:themeColor="text1"/>
          <w:sz w:val="16"/>
          <w:szCs w:val="16"/>
        </w:rPr>
      </w:pPr>
      <w:r w:rsidRPr="00507A31">
        <w:rPr>
          <w:color w:val="000000" w:themeColor="text1"/>
          <w:sz w:val="16"/>
          <w:szCs w:val="16"/>
        </w:rPr>
        <w:t>4. Признать необходимым установить в практической работе между НКВД и ВСНХ тесную и непрерывную связь, предусмотрев активное участие НКВД в работе промышленности по составлению плана мобилизации и оборонного строительства и контроль по выполнению военных заказов, особенно в части изготовления и конструирования новых образцов вооружения.</w:t>
      </w:r>
    </w:p>
    <w:p w14:paraId="3DDFDD98" w14:textId="77777777" w:rsidR="00E63096" w:rsidRPr="00507A31" w:rsidRDefault="00E63096" w:rsidP="00507A31">
      <w:pPr>
        <w:jc w:val="both"/>
        <w:rPr>
          <w:color w:val="000000" w:themeColor="text1"/>
          <w:sz w:val="16"/>
          <w:szCs w:val="16"/>
        </w:rPr>
      </w:pPr>
      <w:r w:rsidRPr="00507A31">
        <w:rPr>
          <w:color w:val="000000" w:themeColor="text1"/>
          <w:sz w:val="16"/>
          <w:szCs w:val="16"/>
        </w:rPr>
        <w:t>Доклад о конкретных формах увязки представить в 10</w:t>
      </w:r>
      <w:r w:rsidRPr="00507A31">
        <w:rPr>
          <w:color w:val="000000" w:themeColor="text1"/>
          <w:sz w:val="16"/>
          <w:szCs w:val="16"/>
        </w:rPr>
        <w:noBreakHyphen/>
        <w:t>дневный срок в РЗ СТО.</w:t>
      </w:r>
    </w:p>
    <w:p w14:paraId="5044EA78" w14:textId="77777777" w:rsidR="00E63096" w:rsidRPr="00507A31" w:rsidRDefault="00E63096" w:rsidP="00507A31">
      <w:pPr>
        <w:jc w:val="both"/>
        <w:rPr>
          <w:color w:val="000000" w:themeColor="text1"/>
          <w:sz w:val="16"/>
          <w:szCs w:val="16"/>
        </w:rPr>
      </w:pPr>
      <w:r w:rsidRPr="00507A31">
        <w:rPr>
          <w:color w:val="000000" w:themeColor="text1"/>
          <w:sz w:val="16"/>
          <w:szCs w:val="16"/>
        </w:rPr>
        <w:t>5. Предложить ОГПУ, НКВД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профессиональных организаций и советской общественности к поднятию мобилизационной готовности промышленности.</w:t>
      </w:r>
    </w:p>
    <w:p w14:paraId="7EE3CB71" w14:textId="77777777" w:rsidR="00E63096" w:rsidRPr="00507A31" w:rsidRDefault="00E63096" w:rsidP="00507A31">
      <w:pPr>
        <w:jc w:val="both"/>
        <w:rPr>
          <w:color w:val="000000" w:themeColor="text1"/>
          <w:sz w:val="16"/>
          <w:szCs w:val="16"/>
        </w:rPr>
      </w:pPr>
      <w:r w:rsidRPr="00507A31">
        <w:rPr>
          <w:color w:val="000000" w:themeColor="text1"/>
          <w:sz w:val="16"/>
          <w:szCs w:val="16"/>
        </w:rPr>
        <w:t>6. В соответствии с ранее принятыми решениями подтвердить необходимость проведения в 1930 году пробных и поверочных мобилизаций нескольких промышленных предприятий. Обязать ВСНХ СССР совместно с НКВД представить к 30.I.1930 г. план их проведения.</w:t>
      </w:r>
    </w:p>
    <w:p w14:paraId="0400A3B1" w14:textId="77777777" w:rsidR="00E63096" w:rsidRPr="00507A31" w:rsidRDefault="00E63096" w:rsidP="00507A31">
      <w:pPr>
        <w:jc w:val="both"/>
        <w:rPr>
          <w:color w:val="000000" w:themeColor="text1"/>
          <w:sz w:val="16"/>
          <w:szCs w:val="16"/>
        </w:rPr>
      </w:pPr>
      <w:r w:rsidRPr="00507A31">
        <w:rPr>
          <w:color w:val="000000" w:themeColor="text1"/>
          <w:sz w:val="16"/>
          <w:szCs w:val="16"/>
        </w:rPr>
        <w:t>7. Категорически подтвердить необходимость принятия ВСНХ СССР самых жестких мер по сокращению сроков мобилизационного развертывания военной промышленности, служащей основой для накопления опыта по подготовке и мобилизации всей промышленности Союза.</w:t>
      </w:r>
    </w:p>
    <w:p w14:paraId="279477AC" w14:textId="77777777" w:rsidR="00E63096" w:rsidRPr="00507A31" w:rsidRDefault="00E63096" w:rsidP="00507A31">
      <w:pPr>
        <w:jc w:val="both"/>
        <w:rPr>
          <w:color w:val="000000" w:themeColor="text1"/>
          <w:sz w:val="16"/>
          <w:szCs w:val="16"/>
        </w:rPr>
      </w:pPr>
      <w:r w:rsidRPr="00507A31">
        <w:rPr>
          <w:color w:val="000000" w:themeColor="text1"/>
          <w:sz w:val="16"/>
          <w:szCs w:val="16"/>
        </w:rPr>
        <w:t>8. 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постановления Правительства о начале военных действий.</w:t>
      </w:r>
    </w:p>
    <w:p w14:paraId="05BFC812" w14:textId="77777777" w:rsidR="00E63096" w:rsidRPr="00507A31" w:rsidRDefault="00E63096" w:rsidP="00507A31">
      <w:pPr>
        <w:jc w:val="both"/>
        <w:rPr>
          <w:color w:val="000000" w:themeColor="text1"/>
          <w:sz w:val="16"/>
          <w:szCs w:val="16"/>
        </w:rPr>
      </w:pPr>
      <w:r w:rsidRPr="00507A31">
        <w:rPr>
          <w:color w:val="000000" w:themeColor="text1"/>
          <w:sz w:val="16"/>
          <w:szCs w:val="16"/>
        </w:rPr>
        <w:t>Кроме того, исходя из изложенного, поручить Госплану СССР в месячный срок разработать и представить на рассмотрение РЗ СТО соображения о порядке составления хозяйственных планов на первый период войны.</w:t>
      </w:r>
    </w:p>
    <w:p w14:paraId="296B1210" w14:textId="77777777" w:rsidR="00E63096" w:rsidRPr="00507A31" w:rsidRDefault="00E63096" w:rsidP="00507A31">
      <w:pPr>
        <w:jc w:val="both"/>
        <w:rPr>
          <w:color w:val="000000" w:themeColor="text1"/>
          <w:sz w:val="16"/>
          <w:szCs w:val="16"/>
        </w:rPr>
      </w:pPr>
      <w:r w:rsidRPr="00507A31">
        <w:rPr>
          <w:color w:val="000000" w:themeColor="text1"/>
          <w:sz w:val="16"/>
          <w:szCs w:val="16"/>
        </w:rPr>
        <w:t>9. Возложить на НК РКИ специальное наблюдение за выполнением решений Политбюро и РЗ СТО по вопросам мобилизационной работы, привлекая к строжайшей ответственности виновных в их неисполнении.</w:t>
      </w:r>
    </w:p>
    <w:p w14:paraId="0BA0BA25" w14:textId="77777777" w:rsidR="00E63096" w:rsidRPr="00507A31" w:rsidRDefault="00E63096" w:rsidP="00507A31">
      <w:pPr>
        <w:jc w:val="both"/>
        <w:rPr>
          <w:color w:val="000000" w:themeColor="text1"/>
          <w:sz w:val="16"/>
          <w:szCs w:val="16"/>
        </w:rPr>
      </w:pPr>
      <w:r w:rsidRPr="00507A31">
        <w:rPr>
          <w:color w:val="000000" w:themeColor="text1"/>
          <w:sz w:val="16"/>
          <w:szCs w:val="16"/>
        </w:rPr>
        <w:t>25 января 1930</w:t>
      </w:r>
    </w:p>
    <w:p w14:paraId="3011D81D" w14:textId="77777777" w:rsidR="00E63096" w:rsidRPr="00507A31" w:rsidRDefault="00E63096" w:rsidP="00507A31">
      <w:pPr>
        <w:jc w:val="both"/>
        <w:rPr>
          <w:color w:val="000000" w:themeColor="text1"/>
          <w:sz w:val="16"/>
          <w:szCs w:val="16"/>
        </w:rPr>
      </w:pPr>
      <w:r w:rsidRPr="00507A31">
        <w:rPr>
          <w:color w:val="000000" w:themeColor="text1"/>
          <w:sz w:val="16"/>
          <w:szCs w:val="16"/>
        </w:rPr>
        <w:t>п. 2: Сообщение т. Рыкова</w:t>
      </w:r>
    </w:p>
    <w:p w14:paraId="379C8CA1" w14:textId="77777777" w:rsidR="00E63096" w:rsidRPr="00507A31" w:rsidRDefault="00E63096" w:rsidP="00507A31">
      <w:pPr>
        <w:jc w:val="both"/>
        <w:rPr>
          <w:color w:val="000000" w:themeColor="text1"/>
          <w:sz w:val="16"/>
          <w:szCs w:val="16"/>
        </w:rPr>
      </w:pPr>
      <w:r w:rsidRPr="00507A31">
        <w:rPr>
          <w:color w:val="000000" w:themeColor="text1"/>
          <w:sz w:val="16"/>
          <w:szCs w:val="16"/>
        </w:rPr>
        <w:t>(ПБ от 25.I.30 г., пр. № 115, п. 2).</w:t>
      </w:r>
    </w:p>
    <w:p w14:paraId="0BCBC9E5" w14:textId="77777777" w:rsidR="00E63096" w:rsidRPr="00507A31" w:rsidRDefault="00E63096" w:rsidP="00507A31">
      <w:pPr>
        <w:jc w:val="both"/>
        <w:rPr>
          <w:color w:val="000000" w:themeColor="text1"/>
          <w:sz w:val="16"/>
          <w:szCs w:val="16"/>
        </w:rPr>
      </w:pPr>
      <w:r w:rsidRPr="00507A31">
        <w:rPr>
          <w:color w:val="000000" w:themeColor="text1"/>
          <w:sz w:val="16"/>
          <w:szCs w:val="16"/>
        </w:rPr>
        <w:t>(Рыков, Ворошилов, Урываев, Михайлов, Уншлихт, Павлуновский, Постников, Королев, Малахов, Десятников, Мартинович Дубенский, Алкснис).</w:t>
      </w:r>
    </w:p>
    <w:p w14:paraId="240CFBA8" w14:textId="77777777" w:rsidR="00E63096" w:rsidRPr="00507A31" w:rsidRDefault="00E63096" w:rsidP="00507A31">
      <w:pPr>
        <w:jc w:val="both"/>
        <w:rPr>
          <w:color w:val="000000" w:themeColor="text1"/>
          <w:sz w:val="16"/>
          <w:szCs w:val="16"/>
        </w:rPr>
      </w:pPr>
      <w:r w:rsidRPr="00507A31">
        <w:rPr>
          <w:color w:val="000000" w:themeColor="text1"/>
          <w:sz w:val="16"/>
          <w:szCs w:val="16"/>
        </w:rPr>
        <w:t>Решение — особая папка.</w:t>
      </w:r>
    </w:p>
    <w:p w14:paraId="211F2EFB" w14:textId="77777777" w:rsidR="00E63096" w:rsidRPr="00507A31" w:rsidRDefault="00E63096" w:rsidP="00507A31">
      <w:pPr>
        <w:jc w:val="both"/>
        <w:rPr>
          <w:color w:val="000000" w:themeColor="text1"/>
          <w:sz w:val="16"/>
          <w:szCs w:val="16"/>
        </w:rPr>
      </w:pPr>
      <w:r w:rsidRPr="00507A31">
        <w:rPr>
          <w:color w:val="000000" w:themeColor="text1"/>
          <w:sz w:val="16"/>
          <w:szCs w:val="16"/>
        </w:rPr>
        <w:t>а) Утвердить с поправками и предложенными НК РКИ дополнениями проект постановления по вопросу об авиапромышленности (</w:t>
      </w:r>
      <w:hyperlink r:id="rId16" w:history="1">
        <w:r w:rsidRPr="00507A31">
          <w:rPr>
            <w:rStyle w:val="a5"/>
            <w:color w:val="000000" w:themeColor="text1"/>
            <w:sz w:val="16"/>
            <w:szCs w:val="16"/>
          </w:rPr>
          <w:t>см. приложение № 1</w:t>
        </w:r>
        <w:r w:rsidRPr="00507A31">
          <w:rPr>
            <w:rStyle w:val="a5"/>
            <w:color w:val="000000" w:themeColor="text1"/>
            <w:sz w:val="16"/>
            <w:szCs w:val="16"/>
          </w:rPr>
          <w:noBreakHyphen/>
          <w:t>ОП</w:t>
        </w:r>
      </w:hyperlink>
      <w:r w:rsidRPr="00507A31">
        <w:rPr>
          <w:color w:val="000000" w:themeColor="text1"/>
          <w:sz w:val="16"/>
          <w:szCs w:val="16"/>
        </w:rPr>
        <w:t>).</w:t>
      </w:r>
    </w:p>
    <w:p w14:paraId="445A0995" w14:textId="77777777" w:rsidR="00E63096" w:rsidRPr="00507A31" w:rsidRDefault="00E63096" w:rsidP="00507A31">
      <w:pPr>
        <w:jc w:val="both"/>
        <w:rPr>
          <w:color w:val="000000" w:themeColor="text1"/>
          <w:sz w:val="16"/>
          <w:szCs w:val="16"/>
        </w:rPr>
      </w:pPr>
      <w:r w:rsidRPr="00507A31">
        <w:rPr>
          <w:color w:val="000000" w:themeColor="text1"/>
          <w:sz w:val="16"/>
          <w:szCs w:val="16"/>
        </w:rPr>
        <w:t>б) Поручить т.т. Ворошилову и Куйбышеву установить контингент лиц, которым должно быть разослано настоящее постановление, и сроки его возвращения.</w:t>
      </w:r>
    </w:p>
    <w:p w14:paraId="4D2E6E06" w14:textId="77777777" w:rsidR="00E63096" w:rsidRPr="00507A31" w:rsidRDefault="00E63096" w:rsidP="00507A31">
      <w:pPr>
        <w:jc w:val="both"/>
        <w:rPr>
          <w:color w:val="000000" w:themeColor="text1"/>
          <w:sz w:val="16"/>
          <w:szCs w:val="16"/>
        </w:rPr>
      </w:pPr>
      <w:r w:rsidRPr="00507A31">
        <w:rPr>
          <w:color w:val="000000" w:themeColor="text1"/>
          <w:sz w:val="16"/>
          <w:szCs w:val="16"/>
        </w:rPr>
        <w:t>Выписки посланы:</w:t>
      </w:r>
    </w:p>
    <w:p w14:paraId="093FAE4E" w14:textId="77777777" w:rsidR="00E63096" w:rsidRPr="00507A31" w:rsidRDefault="00E63096" w:rsidP="00507A31">
      <w:pPr>
        <w:jc w:val="both"/>
        <w:rPr>
          <w:color w:val="000000" w:themeColor="text1"/>
          <w:sz w:val="16"/>
          <w:szCs w:val="16"/>
        </w:rPr>
      </w:pPr>
      <w:r w:rsidRPr="00507A31">
        <w:rPr>
          <w:color w:val="000000" w:themeColor="text1"/>
          <w:sz w:val="16"/>
          <w:szCs w:val="16"/>
        </w:rPr>
        <w:t>Куйбышеву, Ворошилову.</w:t>
      </w:r>
    </w:p>
    <w:p w14:paraId="6B0E9CCE" w14:textId="77777777" w:rsidR="00E63096" w:rsidRPr="00507A31" w:rsidRDefault="00E63096" w:rsidP="00507A31">
      <w:pPr>
        <w:jc w:val="both"/>
        <w:rPr>
          <w:color w:val="000000" w:themeColor="text1"/>
          <w:sz w:val="16"/>
          <w:szCs w:val="16"/>
        </w:rPr>
      </w:pPr>
      <w:r w:rsidRPr="00507A31">
        <w:rPr>
          <w:color w:val="000000" w:themeColor="text1"/>
          <w:sz w:val="16"/>
          <w:szCs w:val="16"/>
        </w:rPr>
        <w:t>Приложение № 1</w:t>
      </w:r>
      <w:r w:rsidRPr="00507A31">
        <w:rPr>
          <w:color w:val="000000" w:themeColor="text1"/>
          <w:sz w:val="16"/>
          <w:szCs w:val="16"/>
        </w:rPr>
        <w:noBreakHyphen/>
        <w:t>ОП</w:t>
      </w:r>
    </w:p>
    <w:p w14:paraId="2AA28D10" w14:textId="77777777" w:rsidR="00E63096" w:rsidRPr="00507A31" w:rsidRDefault="00E63096" w:rsidP="00507A31">
      <w:pPr>
        <w:jc w:val="both"/>
        <w:rPr>
          <w:color w:val="000000" w:themeColor="text1"/>
          <w:sz w:val="16"/>
          <w:szCs w:val="16"/>
        </w:rPr>
      </w:pPr>
      <w:r w:rsidRPr="00507A31">
        <w:rPr>
          <w:color w:val="000000" w:themeColor="text1"/>
          <w:sz w:val="16"/>
          <w:szCs w:val="16"/>
        </w:rPr>
        <w:t>к п. 2 (о. п.) пр. ПБ № 119.</w:t>
      </w:r>
    </w:p>
    <w:p w14:paraId="390A6CF7" w14:textId="77777777" w:rsidR="00E63096" w:rsidRPr="00507A31" w:rsidRDefault="00E63096" w:rsidP="00507A31">
      <w:pPr>
        <w:jc w:val="both"/>
        <w:rPr>
          <w:color w:val="000000" w:themeColor="text1"/>
          <w:sz w:val="16"/>
          <w:szCs w:val="16"/>
        </w:rPr>
      </w:pPr>
      <w:r w:rsidRPr="00507A31">
        <w:rPr>
          <w:color w:val="000000" w:themeColor="text1"/>
          <w:sz w:val="16"/>
          <w:szCs w:val="16"/>
        </w:rPr>
        <w:t>Постановление ЦК ВКП(б) по вопросу об авиапромышленности.</w:t>
      </w:r>
    </w:p>
    <w:p w14:paraId="60030483" w14:textId="77777777" w:rsidR="00E63096" w:rsidRPr="00507A31" w:rsidRDefault="00E63096" w:rsidP="00507A31">
      <w:pPr>
        <w:jc w:val="both"/>
        <w:rPr>
          <w:color w:val="000000" w:themeColor="text1"/>
          <w:sz w:val="16"/>
          <w:szCs w:val="16"/>
        </w:rPr>
      </w:pPr>
      <w:r w:rsidRPr="00507A31">
        <w:rPr>
          <w:color w:val="000000" w:themeColor="text1"/>
          <w:sz w:val="16"/>
          <w:szCs w:val="16"/>
        </w:rPr>
        <w:t>(Утверждено Политбюро ЦК ВКП(б) 5.III.1930 года).</w:t>
      </w:r>
    </w:p>
    <w:p w14:paraId="6ED10C0D" w14:textId="77777777" w:rsidR="00E63096" w:rsidRPr="00507A31" w:rsidRDefault="00E63096" w:rsidP="00507A31">
      <w:pPr>
        <w:jc w:val="both"/>
        <w:rPr>
          <w:color w:val="000000" w:themeColor="text1"/>
          <w:sz w:val="16"/>
          <w:szCs w:val="16"/>
        </w:rPr>
      </w:pPr>
      <w:r w:rsidRPr="00507A31">
        <w:rPr>
          <w:color w:val="000000" w:themeColor="text1"/>
          <w:sz w:val="16"/>
          <w:szCs w:val="16"/>
        </w:rPr>
        <w:t>1. Констатировать, что конструирование новых типов авиамоторов идет чрезвычайно медленно (3</w:t>
      </w:r>
      <w:r w:rsidRPr="00507A31">
        <w:rPr>
          <w:color w:val="000000" w:themeColor="text1"/>
          <w:sz w:val="16"/>
          <w:szCs w:val="16"/>
        </w:rPr>
        <w:noBreakHyphen/>
        <w:t>4 года) и не закончено даже постройкой в опытных образцах; что серийное производство сложных моторов по лицензиям, закупленным 1½</w:t>
      </w:r>
      <w:r w:rsidRPr="00507A31">
        <w:rPr>
          <w:color w:val="000000" w:themeColor="text1"/>
          <w:sz w:val="16"/>
          <w:szCs w:val="16"/>
        </w:rPr>
        <w:noBreakHyphen/>
        <w:t>2 года назад, до сих пор еще не поставлено; что в серийном производстве все еще продолжает оставаться мотор Либерти образца 1917 года, давно снятый с вооружения во всех странах и значительно уступавший по своим технических данным моторам наших вероятных противников.</w:t>
      </w:r>
    </w:p>
    <w:p w14:paraId="64C82F3A" w14:textId="77777777" w:rsidR="00E63096" w:rsidRPr="00507A31" w:rsidRDefault="00E63096" w:rsidP="00507A31">
      <w:pPr>
        <w:jc w:val="both"/>
        <w:rPr>
          <w:color w:val="000000" w:themeColor="text1"/>
          <w:sz w:val="16"/>
          <w:szCs w:val="16"/>
        </w:rPr>
      </w:pPr>
      <w:r w:rsidRPr="00507A31">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до 4 против средних сроков в 1</w:t>
      </w:r>
      <w:r w:rsidRPr="00507A31">
        <w:rPr>
          <w:color w:val="000000" w:themeColor="text1"/>
          <w:sz w:val="16"/>
          <w:szCs w:val="16"/>
        </w:rPr>
        <w:noBreakHyphen/>
        <w:t>1½ года заграницей). До сих совершенно нет законченных опытных образцов гидросамолетов и самолетов сварных и стальных конструкций, широко распространенных заграницей.</w:t>
      </w:r>
    </w:p>
    <w:p w14:paraId="6EC8C279" w14:textId="77777777" w:rsidR="00E63096" w:rsidRPr="00507A31" w:rsidRDefault="00E63096" w:rsidP="00507A31">
      <w:pPr>
        <w:jc w:val="both"/>
        <w:rPr>
          <w:color w:val="000000" w:themeColor="text1"/>
          <w:sz w:val="16"/>
          <w:szCs w:val="16"/>
        </w:rPr>
      </w:pPr>
      <w:r w:rsidRPr="00507A31">
        <w:rPr>
          <w:color w:val="000000" w:themeColor="text1"/>
          <w:sz w:val="16"/>
          <w:szCs w:val="16"/>
        </w:rPr>
        <w:t>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26D98635" w14:textId="77777777" w:rsidR="00E63096" w:rsidRPr="00507A31" w:rsidRDefault="00E63096" w:rsidP="00507A31">
      <w:pPr>
        <w:jc w:val="both"/>
        <w:rPr>
          <w:color w:val="000000" w:themeColor="text1"/>
          <w:sz w:val="16"/>
          <w:szCs w:val="16"/>
        </w:rPr>
      </w:pPr>
      <w:r w:rsidRPr="00507A31">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01FE689D" w14:textId="77777777" w:rsidR="00E63096" w:rsidRPr="00507A31" w:rsidRDefault="00E63096" w:rsidP="00507A31">
      <w:pPr>
        <w:jc w:val="both"/>
        <w:rPr>
          <w:color w:val="000000" w:themeColor="text1"/>
          <w:sz w:val="16"/>
          <w:szCs w:val="16"/>
        </w:rPr>
      </w:pPr>
      <w:r w:rsidRPr="00507A31">
        <w:rPr>
          <w:color w:val="000000" w:themeColor="text1"/>
          <w:sz w:val="16"/>
          <w:szCs w:val="16"/>
        </w:rPr>
        <w:t>2. Это положение воздушного флота и авиапромышленности остается, несмотря на директиву Политбюро от 15.VII.1929 г. и ряд постановлений РЗ СТО (20.II. и 23.VII.28 г., 29.VII.29 г.), требовавших от ВСНХ и ГВПУ принятия срочных и действительных мер для устранения указанных недочетов.</w:t>
      </w:r>
    </w:p>
    <w:p w14:paraId="17FFFBD8" w14:textId="77777777" w:rsidR="00E63096" w:rsidRPr="00507A31" w:rsidRDefault="00E63096" w:rsidP="00507A31">
      <w:pPr>
        <w:jc w:val="both"/>
        <w:rPr>
          <w:color w:val="000000" w:themeColor="text1"/>
          <w:sz w:val="16"/>
          <w:szCs w:val="16"/>
        </w:rPr>
      </w:pPr>
      <w:r w:rsidRPr="00507A31">
        <w:rPr>
          <w:color w:val="000000" w:themeColor="text1"/>
          <w:sz w:val="16"/>
          <w:szCs w:val="16"/>
        </w:rPr>
        <w:t>Главнейшими причинами этого являются:</w:t>
      </w:r>
    </w:p>
    <w:p w14:paraId="526D58C6" w14:textId="77777777" w:rsidR="00E63096" w:rsidRPr="00507A31" w:rsidRDefault="00E63096" w:rsidP="00507A31">
      <w:pPr>
        <w:jc w:val="both"/>
        <w:rPr>
          <w:color w:val="000000" w:themeColor="text1"/>
          <w:sz w:val="16"/>
          <w:szCs w:val="16"/>
        </w:rPr>
      </w:pPr>
      <w:r w:rsidRPr="00507A31">
        <w:rPr>
          <w:color w:val="000000" w:themeColor="text1"/>
          <w:sz w:val="16"/>
          <w:szCs w:val="16"/>
        </w:rPr>
        <w:t>а) 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47F38377" w14:textId="77777777" w:rsidR="00E63096" w:rsidRPr="00507A31" w:rsidRDefault="00E63096" w:rsidP="00507A31">
      <w:pPr>
        <w:jc w:val="both"/>
        <w:rPr>
          <w:color w:val="000000" w:themeColor="text1"/>
          <w:sz w:val="16"/>
          <w:szCs w:val="16"/>
        </w:rPr>
      </w:pPr>
      <w:r w:rsidRPr="00507A31">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64073668" w14:textId="77777777" w:rsidR="00E63096" w:rsidRPr="00507A31" w:rsidRDefault="00E63096" w:rsidP="00507A31">
      <w:pPr>
        <w:jc w:val="both"/>
        <w:rPr>
          <w:color w:val="000000" w:themeColor="text1"/>
          <w:sz w:val="16"/>
          <w:szCs w:val="16"/>
        </w:rPr>
      </w:pPr>
      <w:r w:rsidRPr="00507A31">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 СТО.</w:t>
      </w:r>
    </w:p>
    <w:p w14:paraId="03BF2D3E" w14:textId="77777777" w:rsidR="00E63096" w:rsidRPr="00507A31" w:rsidRDefault="00E63096" w:rsidP="00507A31">
      <w:pPr>
        <w:jc w:val="both"/>
        <w:rPr>
          <w:color w:val="000000" w:themeColor="text1"/>
          <w:sz w:val="16"/>
          <w:szCs w:val="16"/>
        </w:rPr>
      </w:pPr>
      <w:r w:rsidRPr="00507A31">
        <w:rPr>
          <w:color w:val="000000" w:themeColor="text1"/>
          <w:sz w:val="16"/>
          <w:szCs w:val="16"/>
        </w:rPr>
        <w:t>3. В целях скорейшего оздоровления авиапромышленности и обеспечения строительства военно-воздушного флота, признать необходимым:</w:t>
      </w:r>
    </w:p>
    <w:p w14:paraId="583767DB" w14:textId="77777777" w:rsidR="00E63096" w:rsidRPr="00507A31" w:rsidRDefault="00E63096" w:rsidP="00507A31">
      <w:pPr>
        <w:jc w:val="both"/>
        <w:rPr>
          <w:color w:val="000000" w:themeColor="text1"/>
          <w:sz w:val="16"/>
          <w:szCs w:val="16"/>
        </w:rPr>
      </w:pPr>
      <w:r w:rsidRPr="00507A31">
        <w:rPr>
          <w:color w:val="000000" w:themeColor="text1"/>
          <w:sz w:val="16"/>
          <w:szCs w:val="16"/>
        </w:rPr>
        <w:t>а) в 2-х месячный срок произвести поголовную проверку и чистку всего личного состава как служащих, так и рабочих промышленности; проведение этого возложить на комиссии — в центре — в составе представителей ВСНХ, ВЦСПС, ЦК ВКП(б), и ОГПУ, под председательством представителя НК РКИ (т. Павлуновского), а на предприятиях —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60982F92" w14:textId="77777777" w:rsidR="00E63096" w:rsidRPr="00507A31" w:rsidRDefault="00E63096" w:rsidP="00507A31">
      <w:pPr>
        <w:jc w:val="both"/>
        <w:rPr>
          <w:color w:val="000000" w:themeColor="text1"/>
          <w:sz w:val="16"/>
          <w:szCs w:val="16"/>
        </w:rPr>
      </w:pPr>
      <w:r w:rsidRPr="00507A31">
        <w:rPr>
          <w:color w:val="000000" w:themeColor="text1"/>
          <w:sz w:val="16"/>
          <w:szCs w:val="16"/>
        </w:rPr>
        <w:t>б) прекратить переброски по партийным, советским и профессиональным мобилизациям квалифицированных работников,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распоряжения ЦК ВКП(б);</w:t>
      </w:r>
    </w:p>
    <w:p w14:paraId="4965ED46" w14:textId="77777777" w:rsidR="00E63096" w:rsidRPr="00507A31" w:rsidRDefault="00E63096" w:rsidP="00507A31">
      <w:pPr>
        <w:jc w:val="both"/>
        <w:rPr>
          <w:color w:val="000000" w:themeColor="text1"/>
          <w:sz w:val="16"/>
          <w:szCs w:val="16"/>
        </w:rPr>
      </w:pPr>
      <w:r w:rsidRPr="00507A31">
        <w:rPr>
          <w:color w:val="000000" w:themeColor="text1"/>
          <w:sz w:val="16"/>
          <w:szCs w:val="16"/>
        </w:rPr>
        <w:t>в) в 1930 г. провести проверочную мобилизацию двух моторостроительных заводов;</w:t>
      </w:r>
    </w:p>
    <w:p w14:paraId="664C6C38" w14:textId="77777777" w:rsidR="00E63096" w:rsidRPr="00507A31" w:rsidRDefault="00E63096" w:rsidP="00507A31">
      <w:pPr>
        <w:jc w:val="both"/>
        <w:rPr>
          <w:color w:val="000000" w:themeColor="text1"/>
          <w:sz w:val="16"/>
          <w:szCs w:val="16"/>
        </w:rPr>
      </w:pPr>
      <w:r w:rsidRPr="00507A31">
        <w:rPr>
          <w:color w:val="000000" w:themeColor="text1"/>
          <w:sz w:val="16"/>
          <w:szCs w:val="16"/>
        </w:rPr>
        <w:t>г) 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1CE09FB9" w14:textId="77777777" w:rsidR="00E63096" w:rsidRPr="00507A31" w:rsidRDefault="00E63096" w:rsidP="00507A31">
      <w:pPr>
        <w:jc w:val="both"/>
        <w:rPr>
          <w:color w:val="000000" w:themeColor="text1"/>
          <w:sz w:val="16"/>
          <w:szCs w:val="16"/>
        </w:rPr>
      </w:pPr>
      <w:r w:rsidRPr="00507A31">
        <w:rPr>
          <w:color w:val="000000" w:themeColor="text1"/>
          <w:sz w:val="16"/>
          <w:szCs w:val="16"/>
        </w:rPr>
        <w:t>4. Обязать РЗ СТО:</w:t>
      </w:r>
    </w:p>
    <w:p w14:paraId="705C4DF4" w14:textId="77777777" w:rsidR="00E63096" w:rsidRPr="00507A31" w:rsidRDefault="00E63096" w:rsidP="00507A31">
      <w:pPr>
        <w:jc w:val="both"/>
        <w:rPr>
          <w:color w:val="000000" w:themeColor="text1"/>
          <w:sz w:val="16"/>
          <w:szCs w:val="16"/>
        </w:rPr>
      </w:pPr>
      <w:r w:rsidRPr="00507A31">
        <w:rPr>
          <w:color w:val="000000" w:themeColor="text1"/>
          <w:sz w:val="16"/>
          <w:szCs w:val="16"/>
        </w:rPr>
        <w:t>а) обеспечить успешное выполнение всех мероприятий но оздоровлению и развитию авиапромышленности и воздушного флота в ударном порядке;</w:t>
      </w:r>
    </w:p>
    <w:p w14:paraId="20276A00" w14:textId="77777777" w:rsidR="00E63096" w:rsidRPr="00507A31" w:rsidRDefault="00E63096" w:rsidP="00507A31">
      <w:pPr>
        <w:jc w:val="both"/>
        <w:rPr>
          <w:color w:val="000000" w:themeColor="text1"/>
          <w:sz w:val="16"/>
          <w:szCs w:val="16"/>
        </w:rPr>
      </w:pPr>
      <w:r w:rsidRPr="00507A31">
        <w:rPr>
          <w:color w:val="000000" w:themeColor="text1"/>
          <w:sz w:val="16"/>
          <w:szCs w:val="16"/>
        </w:rPr>
        <w:t>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со сторона НК РКИ и НКВМ;</w:t>
      </w:r>
    </w:p>
    <w:p w14:paraId="231A4C42" w14:textId="77777777" w:rsidR="00E63096" w:rsidRPr="00507A31" w:rsidRDefault="00E63096" w:rsidP="00507A31">
      <w:pPr>
        <w:jc w:val="both"/>
        <w:rPr>
          <w:color w:val="000000" w:themeColor="text1"/>
          <w:sz w:val="16"/>
          <w:szCs w:val="16"/>
        </w:rPr>
      </w:pPr>
      <w:r w:rsidRPr="00507A31">
        <w:rPr>
          <w:color w:val="000000" w:themeColor="text1"/>
          <w:sz w:val="16"/>
          <w:szCs w:val="16"/>
        </w:rPr>
        <w:t>в) через 6 месяцев доложить Политбюро о достигнутых результатах и необходимых мероприятиях для дальнейшего улучшения состояния авиапромышленности.</w:t>
      </w:r>
    </w:p>
    <w:p w14:paraId="42EC33AD" w14:textId="77777777" w:rsidR="00E63096" w:rsidRPr="00507A31" w:rsidRDefault="00E63096" w:rsidP="00507A31">
      <w:pPr>
        <w:jc w:val="both"/>
        <w:rPr>
          <w:color w:val="000000" w:themeColor="text1"/>
          <w:sz w:val="16"/>
          <w:szCs w:val="16"/>
        </w:rPr>
      </w:pPr>
      <w:r w:rsidRPr="00507A31">
        <w:rPr>
          <w:color w:val="000000" w:themeColor="text1"/>
          <w:sz w:val="16"/>
          <w:szCs w:val="16"/>
        </w:rPr>
        <w:t>5. Обязать т. Рыкова лично разрешать текущие вопросы по авиапромышленности, выходящие за проделы компетенции ВСНХ и препятствующие нормальному ходу работы.</w:t>
      </w:r>
    </w:p>
    <w:p w14:paraId="7A875A6C" w14:textId="77777777" w:rsidR="00E63096" w:rsidRPr="00507A31" w:rsidRDefault="00E63096" w:rsidP="00507A31">
      <w:pPr>
        <w:jc w:val="both"/>
        <w:rPr>
          <w:color w:val="000000" w:themeColor="text1"/>
          <w:sz w:val="16"/>
          <w:szCs w:val="16"/>
        </w:rPr>
      </w:pPr>
      <w:r w:rsidRPr="00507A31">
        <w:rPr>
          <w:color w:val="000000" w:themeColor="text1"/>
          <w:sz w:val="16"/>
          <w:szCs w:val="16"/>
        </w:rPr>
        <w:t>6. Принять к сведению постановление РЗ СТО от 16.Х.29 г. и 30.I.30 г., предусматривающие осуществление практических мероприятий по авиапромышленности и воздушному флоту.</w:t>
      </w:r>
    </w:p>
    <w:p w14:paraId="35A4D4A0" w14:textId="77777777" w:rsidR="00E63096" w:rsidRPr="00507A31" w:rsidRDefault="00E63096" w:rsidP="00507A31">
      <w:pPr>
        <w:jc w:val="both"/>
        <w:rPr>
          <w:color w:val="000000" w:themeColor="text1"/>
          <w:sz w:val="16"/>
          <w:szCs w:val="16"/>
        </w:rPr>
      </w:pPr>
      <w:r w:rsidRPr="00507A31">
        <w:rPr>
          <w:color w:val="000000" w:themeColor="text1"/>
          <w:sz w:val="16"/>
          <w:szCs w:val="16"/>
        </w:rPr>
        <w:t>7. 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0F7DCD7A" w14:textId="77777777" w:rsidR="00E63096" w:rsidRPr="00507A31" w:rsidRDefault="00E63096" w:rsidP="00507A31">
      <w:pPr>
        <w:jc w:val="both"/>
        <w:rPr>
          <w:color w:val="000000" w:themeColor="text1"/>
          <w:sz w:val="16"/>
          <w:szCs w:val="16"/>
        </w:rPr>
      </w:pPr>
      <w:r w:rsidRPr="00507A31">
        <w:rPr>
          <w:color w:val="000000" w:themeColor="text1"/>
          <w:sz w:val="16"/>
          <w:szCs w:val="16"/>
        </w:rPr>
        <w:t>Предоставить НКВМору право контроля наблюдения за выполнением заказов на самолеты и моторы, особенно в части изготовления новых образцов.</w:t>
      </w:r>
    </w:p>
    <w:p w14:paraId="68408281" w14:textId="77777777" w:rsidR="00E63096" w:rsidRPr="00507A31" w:rsidRDefault="00E63096" w:rsidP="00507A31">
      <w:pPr>
        <w:jc w:val="both"/>
        <w:rPr>
          <w:color w:val="000000" w:themeColor="text1"/>
          <w:sz w:val="16"/>
          <w:szCs w:val="16"/>
        </w:rPr>
      </w:pPr>
      <w:r w:rsidRPr="00507A31">
        <w:rPr>
          <w:color w:val="000000" w:themeColor="text1"/>
          <w:sz w:val="16"/>
          <w:szCs w:val="16"/>
        </w:rPr>
        <w:t>8. Принять к сведению заявление т. Ворошилова, что предложение НК 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0DDB901E" w14:textId="77777777" w:rsidR="00E63096" w:rsidRPr="00507A31" w:rsidRDefault="00E63096" w:rsidP="00507A31">
      <w:pPr>
        <w:jc w:val="both"/>
        <w:rPr>
          <w:color w:val="000000" w:themeColor="text1"/>
          <w:sz w:val="16"/>
          <w:szCs w:val="16"/>
        </w:rPr>
      </w:pPr>
      <w:r w:rsidRPr="00507A31">
        <w:rPr>
          <w:color w:val="000000" w:themeColor="text1"/>
          <w:sz w:val="16"/>
          <w:szCs w:val="16"/>
        </w:rPr>
        <w:lastRenderedPageBreak/>
        <w:t>9. НКВМ и ВСНХ не позже 1 апреля 1930 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507A31">
        <w:rPr>
          <w:color w:val="000000" w:themeColor="text1"/>
          <w:sz w:val="16"/>
          <w:szCs w:val="16"/>
        </w:rPr>
        <w:noBreakHyphen/>
        <w:t>8 месяцев.</w:t>
      </w:r>
    </w:p>
    <w:p w14:paraId="3B348F0A" w14:textId="77777777" w:rsidR="00E63096" w:rsidRPr="00507A31" w:rsidRDefault="00E63096" w:rsidP="00507A31">
      <w:pPr>
        <w:jc w:val="both"/>
        <w:rPr>
          <w:color w:val="000000" w:themeColor="text1"/>
          <w:sz w:val="16"/>
          <w:szCs w:val="16"/>
        </w:rPr>
      </w:pPr>
      <w:r w:rsidRPr="00507A31">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6A6038B0" w14:textId="77777777" w:rsidR="00E63096" w:rsidRPr="00507A31" w:rsidRDefault="00E63096" w:rsidP="00507A31">
      <w:pPr>
        <w:jc w:val="both"/>
        <w:rPr>
          <w:color w:val="000000" w:themeColor="text1"/>
          <w:sz w:val="16"/>
          <w:szCs w:val="16"/>
        </w:rPr>
      </w:pPr>
      <w:r w:rsidRPr="00507A31">
        <w:rPr>
          <w:color w:val="000000" w:themeColor="text1"/>
          <w:sz w:val="16"/>
          <w:szCs w:val="16"/>
        </w:rPr>
        <w:t>11. В целях максимального сокращения сроков мобилизационного развертывания авиазаводов, обязать ВСНХ в месячный срок представить в РЗ СТО план загрузки авиазаводов другими видами продукции, помимо военных заказов —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086BB1C6" w14:textId="77777777" w:rsidR="00E63096" w:rsidRPr="00507A31" w:rsidRDefault="00E63096" w:rsidP="00507A31">
      <w:pPr>
        <w:jc w:val="both"/>
        <w:rPr>
          <w:color w:val="000000" w:themeColor="text1"/>
          <w:sz w:val="16"/>
          <w:szCs w:val="16"/>
        </w:rPr>
      </w:pPr>
      <w:r w:rsidRPr="00507A31">
        <w:rPr>
          <w:color w:val="000000" w:themeColor="text1"/>
          <w:sz w:val="16"/>
          <w:szCs w:val="16"/>
        </w:rPr>
        <w:t>12. 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268FB9BF" w14:textId="77777777" w:rsidR="00E63096" w:rsidRPr="00507A31" w:rsidRDefault="00E63096" w:rsidP="00507A31">
      <w:pPr>
        <w:jc w:val="both"/>
        <w:rPr>
          <w:color w:val="000000" w:themeColor="text1"/>
          <w:sz w:val="16"/>
          <w:szCs w:val="16"/>
        </w:rPr>
      </w:pPr>
      <w:r w:rsidRPr="00507A31">
        <w:rPr>
          <w:color w:val="000000" w:themeColor="text1"/>
          <w:sz w:val="16"/>
          <w:szCs w:val="16"/>
        </w:rPr>
        <w:t>Помимо этого, в срочном порядке привлечь из-заграницы нескольких крупных конструкторов, инженеров и мастеров.</w:t>
      </w:r>
    </w:p>
    <w:p w14:paraId="72D58C6E" w14:textId="77777777" w:rsidR="00E63096" w:rsidRPr="00507A31" w:rsidRDefault="00E63096" w:rsidP="00507A31">
      <w:pPr>
        <w:jc w:val="both"/>
        <w:rPr>
          <w:color w:val="000000" w:themeColor="text1"/>
          <w:sz w:val="16"/>
          <w:szCs w:val="16"/>
        </w:rPr>
      </w:pPr>
      <w:r w:rsidRPr="00507A31">
        <w:rPr>
          <w:color w:val="000000" w:themeColor="text1"/>
          <w:sz w:val="16"/>
          <w:szCs w:val="16"/>
        </w:rPr>
        <w:t>13. Поручить ВСНХ и НКВМ в двухмесячный срок закупить заграницей несколько типов новейших моторов для установки их производства на наших заводах.</w:t>
      </w:r>
    </w:p>
    <w:p w14:paraId="05795312" w14:textId="77777777" w:rsidR="00E63096" w:rsidRPr="00507A31" w:rsidRDefault="00E63096" w:rsidP="00507A31">
      <w:pPr>
        <w:jc w:val="both"/>
        <w:rPr>
          <w:color w:val="000000" w:themeColor="text1"/>
          <w:sz w:val="16"/>
          <w:szCs w:val="16"/>
        </w:rPr>
      </w:pPr>
      <w:r w:rsidRPr="00507A31">
        <w:rPr>
          <w:color w:val="000000" w:themeColor="text1"/>
          <w:sz w:val="16"/>
          <w:szCs w:val="16"/>
        </w:rPr>
        <w:t>14. Обязать ВСНХ и НКВМ через четыре месяца представить в ПБ доклад о принятых мерах и достигнутых результатах (18323).</w:t>
      </w:r>
    </w:p>
    <w:p w14:paraId="1A749DCD" w14:textId="77777777" w:rsidR="00E63096" w:rsidRPr="00507A31" w:rsidRDefault="00E63096" w:rsidP="00507A31">
      <w:pPr>
        <w:jc w:val="both"/>
        <w:rPr>
          <w:color w:val="000000" w:themeColor="text1"/>
          <w:sz w:val="16"/>
          <w:szCs w:val="16"/>
        </w:rPr>
      </w:pPr>
    </w:p>
    <w:p w14:paraId="06D68729" w14:textId="77777777" w:rsidR="000071F8" w:rsidRPr="00507A31" w:rsidRDefault="000071F8" w:rsidP="00507A31">
      <w:pPr>
        <w:jc w:val="both"/>
        <w:rPr>
          <w:color w:val="000000" w:themeColor="text1"/>
          <w:sz w:val="16"/>
          <w:szCs w:val="16"/>
        </w:rPr>
      </w:pPr>
      <w:r w:rsidRPr="00507A31">
        <w:rPr>
          <w:rStyle w:val="a7"/>
          <w:b w:val="0"/>
          <w:color w:val="000000" w:themeColor="text1"/>
          <w:sz w:val="16"/>
          <w:szCs w:val="16"/>
        </w:rPr>
        <w:t xml:space="preserve">15 января 1930 </w:t>
      </w:r>
      <w:r w:rsidRPr="00507A31">
        <w:rPr>
          <w:color w:val="000000" w:themeColor="text1"/>
          <w:sz w:val="16"/>
          <w:szCs w:val="16"/>
        </w:rPr>
        <w:t>Политбюро ЦК ВКП (б) приняло решение командировать членов ЦК ВКП (б) и ЦИК СССР в те районы, которые являются решающими для выполнения плана 1929/30 г.; приняло постановление о привлечении иностранных специалистов к проектированию и строительству новых металлургических заводов, а также к подготовке кадров для этих заводов (12265).</w:t>
      </w:r>
    </w:p>
    <w:p w14:paraId="6F0BE085" w14:textId="77777777" w:rsidR="000071F8" w:rsidRPr="00507A31" w:rsidRDefault="000071F8" w:rsidP="00507A31">
      <w:pPr>
        <w:jc w:val="both"/>
        <w:rPr>
          <w:color w:val="000000" w:themeColor="text1"/>
          <w:sz w:val="16"/>
          <w:szCs w:val="16"/>
        </w:rPr>
      </w:pPr>
      <w:r w:rsidRPr="00507A31">
        <w:rPr>
          <w:color w:val="000000" w:themeColor="text1"/>
          <w:sz w:val="16"/>
          <w:szCs w:val="16"/>
        </w:rPr>
        <w:t>СНК принял постановление «Об изменении положения о Днепрострое» (12265).</w:t>
      </w:r>
    </w:p>
    <w:p w14:paraId="35B14A19" w14:textId="77777777" w:rsidR="000071F8" w:rsidRPr="00507A31" w:rsidRDefault="000071F8" w:rsidP="00507A31">
      <w:pPr>
        <w:jc w:val="both"/>
        <w:rPr>
          <w:color w:val="000000" w:themeColor="text1"/>
          <w:sz w:val="16"/>
          <w:szCs w:val="16"/>
        </w:rPr>
      </w:pPr>
      <w:r w:rsidRPr="00507A31">
        <w:rPr>
          <w:color w:val="000000" w:themeColor="text1"/>
          <w:sz w:val="16"/>
          <w:szCs w:val="16"/>
        </w:rPr>
        <w:t> </w:t>
      </w:r>
    </w:p>
    <w:p w14:paraId="6D747D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января 1930 г. была подготовлена ВРЕМЕННАЯ ИНСТРУКЦИЯ ДЛЯ ПРИЕМКИ И ИСПЫТАНИЯ ГРУЗОВЫХ АВТОМОБИЛЕЙ ФОРД-АА</w:t>
      </w:r>
    </w:p>
    <w:p w14:paraId="2903FC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приемки и испытания грузовых автомобилей «Форд» модели «АА» сборки Нижегородской Сборочной мастерской «ВАТО», поставляемых для УММ в феврале месяце 1930 г., в количестве 50 штук, в счет договора №9222693.</w:t>
      </w:r>
    </w:p>
    <w:p w14:paraId="190430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1. Поставляемые ВАТО грузовые автомобили Форд модели АА должны во всем соответствовать прилагаемому к сему описанию (характеристике) автомобиля.</w:t>
      </w:r>
    </w:p>
    <w:p w14:paraId="50C109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Поставляемые автомобили предъявляются ВАТО приемщику УММ РККА в вполне готовом виде, окрашенные и оборудованные всеми приборами, принадлежностями, инструментом и частя</w:t>
      </w:r>
      <w:r w:rsidRPr="00507A31">
        <w:rPr>
          <w:color w:val="000000" w:themeColor="text1"/>
          <w:sz w:val="16"/>
          <w:szCs w:val="16"/>
        </w:rPr>
        <w:softHyphen/>
        <w:t>ми, перечисленными в прилагаемой к сему спецификации.</w:t>
      </w:r>
    </w:p>
    <w:p w14:paraId="188CBA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При предъявлении ВАТО к сдаче поставляемых им автомобилей, приемщиком УММ РККА производится освидетельствование, испытание и приемка их, для установления соответствия предъ</w:t>
      </w:r>
      <w:r w:rsidRPr="00507A31">
        <w:rPr>
          <w:color w:val="000000" w:themeColor="text1"/>
          <w:sz w:val="16"/>
          <w:szCs w:val="16"/>
        </w:rPr>
        <w:softHyphen/>
        <w:t>явленного автомобиля указанному в §1 описанию (характеристике), а также выяснения общей доброкачественности его, тщательности сборки, исправного состояния и работы его двигателя и всех ; механизмов шасси, частей кузова, арматуры, приборов, принадлежностей и прочего оборудования.</w:t>
      </w:r>
    </w:p>
    <w:p w14:paraId="69D91A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 соответствии с этим приемщик УММ РККА подвергает все поставленные автомобили:</w:t>
      </w:r>
    </w:p>
    <w:p w14:paraId="48DB7D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предварительному освидетельствованию по наружному осмотру;</w:t>
      </w:r>
    </w:p>
    <w:p w14:paraId="276DED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испытанию пробегом;</w:t>
      </w:r>
    </w:p>
    <w:p w14:paraId="3F4903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освидетельствованию после пробега;</w:t>
      </w:r>
    </w:p>
    <w:p w14:paraId="6F2694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окончательной приемке.</w:t>
      </w:r>
    </w:p>
    <w:p w14:paraId="362A09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Предварительное освидетельствование автомобиля заключается в тщательном наружном ос</w:t>
      </w:r>
      <w:r w:rsidRPr="00507A31">
        <w:rPr>
          <w:color w:val="000000" w:themeColor="text1"/>
          <w:sz w:val="16"/>
          <w:szCs w:val="16"/>
        </w:rPr>
        <w:softHyphen/>
        <w:t>мотре его приемщиком УММ РККА и освидетельствовании работы двигателя на холостом ходу.</w:t>
      </w:r>
    </w:p>
    <w:p w14:paraId="05B963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 Приемщику УММ при предварительном освидетельствовании автомобиля предоставляется право ознакомления с отчетными карточками (если таковые имеются) по испытанию двигателей, установленных на поставляемых автомобилях, с которыми эти двигатели прибывают в СССР. Указанные карточки должны предъявляться сдатчиком автомобилей приемщику УММ по требованию последнего.</w:t>
      </w:r>
    </w:p>
    <w:p w14:paraId="343AA1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Наружному осмотру автомобиль подвергается во всех частях, доступных без разборки меха-; низмов автомобиля, а также в частях, доступных для осмотра через вскрываемые для этого крышки и люки.</w:t>
      </w:r>
    </w:p>
    <w:p w14:paraId="4840A3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 Наружному осмотру подвергаются все без исключения автомобили, количество же автомобилей, подлежащих осмотру через вскрываемые для этой цели крышки и люки, устанавливается самим приемщиком УММ, в зависимости от результатов осмотра первых предъявляемых к сдаче автомобилей, но не менее как у 25% от поставляемой партии.</w:t>
      </w:r>
    </w:p>
    <w:p w14:paraId="72C849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Пуск двигателя в ход должен производиться легко и быстро — не более чем с двух коротких включений стартера. В горячем состоянии двигатель не должен стрелять в карбюратор при изменении дросселирования газа и должен работать без перебоев на малых оборотах.</w:t>
      </w:r>
    </w:p>
    <w:p w14:paraId="08C52D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После предварительного освидетельствования автомобиля производится испытание пробегом его при одной нагрузке (1300 кг) на дистанцию 50 км.</w:t>
      </w:r>
    </w:p>
    <w:p w14:paraId="0F6D49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 Указанный пробег может быть по согласованию приемщика УММ и завода, объединен с заводским испытательным пробегом автомобиля.</w:t>
      </w:r>
    </w:p>
    <w:p w14:paraId="6EB334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Маршрут пробега в зависимости от времени года и общего состояния дорог устанавливав приемщиком УММ по согласованию со сдатчиком, с соблюдением условий пути, изложенных в новных требованиях НКВМ к грузовым 1,5 тонн автомобилям. Маршрут во всех случаях должен выбираться вне городской черты, в летнее время в него должен входить участок грунтовой дорог менее 25 км, остальная часть маршрута может пролегать по шоссе. В зимнее время и в распутицу пробег по грунтовым дорогам не производится и маршрут выбирается целиком по шоссе (как расчи</w:t>
      </w:r>
      <w:r w:rsidRPr="00507A31">
        <w:rPr>
          <w:color w:val="000000" w:themeColor="text1"/>
          <w:sz w:val="16"/>
          <w:szCs w:val="16"/>
        </w:rPr>
        <w:softHyphen/>
        <w:t>щенном, так и не расчищенном, но наезженном).</w:t>
      </w:r>
    </w:p>
    <w:p w14:paraId="6BF98A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Испытание пробегом производится под управлением шофера завода. Приемщик УММ, име</w:t>
      </w:r>
      <w:r w:rsidRPr="00507A31">
        <w:rPr>
          <w:color w:val="000000" w:themeColor="text1"/>
          <w:sz w:val="16"/>
          <w:szCs w:val="16"/>
        </w:rPr>
        <w:softHyphen/>
        <w:t>ющий право на управление автомобилем, должен проверить персональным управлением правиль</w:t>
      </w:r>
      <w:r w:rsidRPr="00507A31">
        <w:rPr>
          <w:color w:val="000000" w:themeColor="text1"/>
          <w:sz w:val="16"/>
          <w:szCs w:val="16"/>
        </w:rPr>
        <w:softHyphen/>
        <w:t>ность работы машины на ходу, причем время пробега под его управлением при подсчете скорости нейтрализуется.</w:t>
      </w:r>
    </w:p>
    <w:p w14:paraId="5F4BB1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При испытании машины под управлением приемщика УММ под его уголовную и граждан</w:t>
      </w:r>
      <w:r w:rsidRPr="00507A31">
        <w:rPr>
          <w:color w:val="000000" w:themeColor="text1"/>
          <w:sz w:val="16"/>
          <w:szCs w:val="16"/>
        </w:rPr>
        <w:softHyphen/>
        <w:t>скую ответственность относятся аварии, несчастные случаи и поломки, происшедшие по его вине, но не вследствие неисправности машины.</w:t>
      </w:r>
    </w:p>
    <w:p w14:paraId="75D226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Во время испытательного пробега автомобиля, выбирается участок пути для проверки мак</w:t>
      </w:r>
      <w:r w:rsidRPr="00507A31">
        <w:rPr>
          <w:color w:val="000000" w:themeColor="text1"/>
          <w:sz w:val="16"/>
          <w:szCs w:val="16"/>
        </w:rPr>
        <w:softHyphen/>
        <w:t>симальной скорости на дистанцию в общей сложности не менее 3 км (1 км на разгон, 1 км макси</w:t>
      </w:r>
      <w:r w:rsidRPr="00507A31">
        <w:rPr>
          <w:color w:val="000000" w:themeColor="text1"/>
          <w:sz w:val="16"/>
          <w:szCs w:val="16"/>
        </w:rPr>
        <w:softHyphen/>
        <w:t>мального хода с учетом скорости и 1 км на торможение), причем наибольшая скорость хода на рав</w:t>
      </w:r>
      <w:r w:rsidRPr="00507A31">
        <w:rPr>
          <w:color w:val="000000" w:themeColor="text1"/>
          <w:sz w:val="16"/>
          <w:szCs w:val="16"/>
        </w:rPr>
        <w:softHyphen/>
        <w:t>ном участке пути должна быть:</w:t>
      </w:r>
    </w:p>
    <w:p w14:paraId="1A0C19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 менее 45 км в час (при большой передаче заднего моста).</w:t>
      </w:r>
    </w:p>
    <w:p w14:paraId="5D2AA3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 менее 60 км в час (при малой передаче заднего моста).</w:t>
      </w:r>
    </w:p>
    <w:p w14:paraId="47D9D3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При испытании автомобиля пробегом не должно быть обнаружено перегрева двигателя чрез</w:t>
      </w:r>
      <w:r w:rsidRPr="00507A31">
        <w:rPr>
          <w:color w:val="000000" w:themeColor="text1"/>
          <w:sz w:val="16"/>
          <w:szCs w:val="16"/>
        </w:rPr>
        <w:softHyphen/>
        <w:t>мерного нагрева механизмов трансмиссии (коробки передач, заднего моста), течи топлива и смазки (в прокладках или других соединениях двигателя, коробки передач, заднем мосту, в масло- и бензопрово</w:t>
      </w:r>
      <w:r w:rsidRPr="00507A31">
        <w:rPr>
          <w:color w:val="000000" w:themeColor="text1"/>
          <w:sz w:val="16"/>
          <w:szCs w:val="16"/>
        </w:rPr>
        <w:softHyphen/>
        <w:t>дах), шумов и стуков в двигателе, шумов при работе механизма сцепления, его включении и выключе</w:t>
      </w:r>
      <w:r w:rsidRPr="00507A31">
        <w:rPr>
          <w:color w:val="000000" w:themeColor="text1"/>
          <w:sz w:val="16"/>
          <w:szCs w:val="16"/>
        </w:rPr>
        <w:softHyphen/>
        <w:t>нии, шума шестерен коробки передач, шума или затруднений при включении или выключении передач при выключенном сцеплении, шума в передаче заднего моста, дребезжаний кузова и других частей, скрипа рессор, тормозов и других дефектов.</w:t>
      </w:r>
    </w:p>
    <w:p w14:paraId="0A9E1B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Как ручной, так и ножной тормоз должны давать плавное возрастающее торможение при нажатии рычага или педали, причем:</w:t>
      </w:r>
    </w:p>
    <w:p w14:paraId="6E9330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педаль ножного тормоза для полного торможения не должна продвигаться более чем на 3/4 своего хода;</w:t>
      </w:r>
    </w:p>
    <w:p w14:paraId="1FCB01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при действии как ножным, так и ручным тормозами колодки тормозов правого и левого колес должны вполне равномерно прижиматься к барабанам и одновременно останавливать колеса.</w:t>
      </w:r>
    </w:p>
    <w:p w14:paraId="4A0CF4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Работа всех контрольных приборов во время пробега должна быть совершенно отчетлива и не возбуждающей никаких сомнений в ее правильности.</w:t>
      </w:r>
    </w:p>
    <w:p w14:paraId="6E1B7F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Средняя скорость движения при пробеге по шоссе должна быть:</w:t>
      </w:r>
    </w:p>
    <w:p w14:paraId="2FF860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 менее 30 км в час (при большой передаче заднего моста)</w:t>
      </w:r>
    </w:p>
    <w:p w14:paraId="66A624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 менее 37 км в час (при малой передаче заднего моста).</w:t>
      </w:r>
    </w:p>
    <w:p w14:paraId="0EC8FF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 Расход бензина при пробеге по шоссе, отнесенный к 100 км пути, не должен превышать 22 литра.</w:t>
      </w:r>
    </w:p>
    <w:p w14:paraId="4FFE5B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По возвращении из пробега приемщиком УММ производится освидетельствование для проверки исправного состояния всех частей автомобиля, отсутствия повреждений и деформаций, отсутствия течи смазки и горючего, чрезмерного нагрева подшипников и других деталей автомоби</w:t>
      </w:r>
      <w:r w:rsidRPr="00507A31">
        <w:rPr>
          <w:color w:val="000000" w:themeColor="text1"/>
          <w:sz w:val="16"/>
          <w:szCs w:val="16"/>
        </w:rPr>
        <w:softHyphen/>
        <w:t>ля, состояния рессор (отсутствия значительной осадки и поперечного сдвига листов), люфтов и игры в механизмах автомобиля.</w:t>
      </w:r>
    </w:p>
    <w:p w14:paraId="6C0D83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 для означенного освидетельствования, приемщиком УММ разрешается поднимать задний мост на домкрате.</w:t>
      </w:r>
    </w:p>
    <w:p w14:paraId="5D8933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 В случае, если при предварительном освидетельствовании, испытание пробегом или освиде</w:t>
      </w:r>
      <w:r w:rsidRPr="00507A31">
        <w:rPr>
          <w:color w:val="000000" w:themeColor="text1"/>
          <w:sz w:val="16"/>
          <w:szCs w:val="16"/>
        </w:rPr>
        <w:softHyphen/>
        <w:t>тельствовании после пробега, будут обнаружены какие-либо дефекты, то от значительности их за</w:t>
      </w:r>
      <w:r w:rsidRPr="00507A31">
        <w:rPr>
          <w:color w:val="000000" w:themeColor="text1"/>
          <w:sz w:val="16"/>
          <w:szCs w:val="16"/>
        </w:rPr>
        <w:softHyphen/>
        <w:t>висит, прекращается ли приемка вовсе и поставляемый автомобиль заменяется новым, или приемка приостанавливается до устранения заводом замеченных дефектов, или же приемка продолжается с тем, чтобы они были устранены после испытаний, перед окончательной приемкой автомобиля.</w:t>
      </w:r>
    </w:p>
    <w:p w14:paraId="738A34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 Отнесение дефектов по их значительности к одной из указанных в предыдущем пункте ка</w:t>
      </w:r>
      <w:r w:rsidRPr="00507A31">
        <w:rPr>
          <w:color w:val="000000" w:themeColor="text1"/>
          <w:sz w:val="16"/>
          <w:szCs w:val="16"/>
        </w:rPr>
        <w:softHyphen/>
        <w:t>тегорий производится усмотрением приемщика УММ, с тем, однако, что к дефектам, безусловно, приостанавливающим приемку, относятся все те же дефекты, кои препятствуют нормальной работе машины, или могут повлечь при продолжении испытаний какие-либо дальнейшие поломки и по</w:t>
      </w:r>
      <w:r w:rsidRPr="00507A31">
        <w:rPr>
          <w:color w:val="000000" w:themeColor="text1"/>
          <w:sz w:val="16"/>
          <w:szCs w:val="16"/>
        </w:rPr>
        <w:softHyphen/>
        <w:t>вреждения автомобиля, или же угрожают безопасности пользования им.</w:t>
      </w:r>
    </w:p>
    <w:p w14:paraId="1811F0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 В том случае, когда приемщиком УММ при обнаружении дефекта признано возможным, продолжать приемку с тем, чтобы дефект был устранен после испытаний, после устранения дефек</w:t>
      </w:r>
      <w:r w:rsidRPr="00507A31">
        <w:rPr>
          <w:color w:val="000000" w:themeColor="text1"/>
          <w:sz w:val="16"/>
          <w:szCs w:val="16"/>
        </w:rPr>
        <w:softHyphen/>
        <w:t>та приемщик УММ производит освидетельствование машины в объеме, необходимом для установ</w:t>
      </w:r>
      <w:r w:rsidRPr="00507A31">
        <w:rPr>
          <w:color w:val="000000" w:themeColor="text1"/>
          <w:sz w:val="16"/>
          <w:szCs w:val="16"/>
        </w:rPr>
        <w:softHyphen/>
        <w:t>ления доброкачественности выполненной работы.</w:t>
      </w:r>
    </w:p>
    <w:p w14:paraId="0356CD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§22. По окончании всех испытаний и освидетельствовании автомобиля и признания его прием</w:t>
      </w:r>
      <w:r w:rsidRPr="00507A31">
        <w:rPr>
          <w:color w:val="000000" w:themeColor="text1"/>
          <w:sz w:val="16"/>
          <w:szCs w:val="16"/>
        </w:rPr>
        <w:softHyphen/>
        <w:t>щиком УММ годным, на автомобиль накладываются пломбы приемщика УММ, сдатчику выдается удостоверение в приемке по установленной форме, и автомобиль считается принятым.</w:t>
      </w:r>
    </w:p>
    <w:p w14:paraId="34291F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2 отдела ТУ УММ РККА Федотов</w:t>
      </w:r>
    </w:p>
    <w:p w14:paraId="28AE35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Заведующий производственным отделом ВАТО Эглит</w:t>
      </w:r>
    </w:p>
    <w:p w14:paraId="3E5018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Пом. начальника 2 отдела ТУ УММ РККА Нифонтов</w:t>
      </w:r>
    </w:p>
    <w:p w14:paraId="21BB8C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165. Л. 12- 13. Подлинник (11210).</w:t>
      </w:r>
    </w:p>
    <w:p w14:paraId="3308E4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7428825" w14:textId="77777777" w:rsidR="00C04FDD" w:rsidRPr="00507A31" w:rsidRDefault="00C04FDD" w:rsidP="00507A31">
      <w:pPr>
        <w:jc w:val="both"/>
        <w:rPr>
          <w:color w:val="000000" w:themeColor="text1"/>
          <w:sz w:val="16"/>
          <w:szCs w:val="16"/>
        </w:rPr>
      </w:pPr>
      <w:r w:rsidRPr="00507A31">
        <w:rPr>
          <w:bCs/>
          <w:color w:val="000000" w:themeColor="text1"/>
          <w:sz w:val="16"/>
          <w:szCs w:val="16"/>
        </w:rPr>
        <w:t>15 января</w:t>
      </w:r>
      <w:r w:rsidRPr="00507A31">
        <w:rPr>
          <w:color w:val="000000" w:themeColor="text1"/>
          <w:sz w:val="16"/>
          <w:szCs w:val="16"/>
        </w:rPr>
        <w:t xml:space="preserve"> в 1930 году газета «Известия» писала: «Златоустовский завод имени Ленина является колыбелью ударного движения и новых форм социалистического труда» (15010).</w:t>
      </w:r>
    </w:p>
    <w:p w14:paraId="4E6DFAE9" w14:textId="77777777" w:rsidR="00C04FDD" w:rsidRPr="00507A31" w:rsidRDefault="00C04FDD" w:rsidP="00507A31">
      <w:pPr>
        <w:jc w:val="both"/>
        <w:rPr>
          <w:color w:val="000000" w:themeColor="text1"/>
          <w:sz w:val="16"/>
          <w:szCs w:val="16"/>
        </w:rPr>
      </w:pPr>
    </w:p>
    <w:p w14:paraId="6C3FA61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0D2C9D1" w14:textId="77777777" w:rsidR="00537E5F" w:rsidRPr="00507A31" w:rsidRDefault="00537E5F" w:rsidP="00507A31">
      <w:pPr>
        <w:autoSpaceDE w:val="0"/>
        <w:autoSpaceDN w:val="0"/>
        <w:adjustRightInd w:val="0"/>
        <w:jc w:val="both"/>
        <w:rPr>
          <w:iCs/>
          <w:color w:val="000000" w:themeColor="text1"/>
          <w:sz w:val="16"/>
          <w:szCs w:val="16"/>
        </w:rPr>
      </w:pPr>
    </w:p>
    <w:p w14:paraId="119549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января 1930 Политбюро ЦК ВКП(ю) создало специальную комиссию В.Молотова для выработки конкретных мер по ликвидации кулачества (10687).</w:t>
      </w:r>
    </w:p>
    <w:p w14:paraId="2736F5F1" w14:textId="77777777" w:rsidR="00537E5F" w:rsidRPr="00507A31" w:rsidRDefault="00537E5F" w:rsidP="00507A31">
      <w:pPr>
        <w:autoSpaceDE w:val="0"/>
        <w:autoSpaceDN w:val="0"/>
        <w:adjustRightInd w:val="0"/>
        <w:jc w:val="both"/>
        <w:rPr>
          <w:color w:val="000000" w:themeColor="text1"/>
          <w:sz w:val="16"/>
          <w:szCs w:val="16"/>
        </w:rPr>
      </w:pPr>
    </w:p>
    <w:p w14:paraId="0285DE78" w14:textId="77777777" w:rsidR="00C04FDD" w:rsidRPr="00507A31" w:rsidRDefault="00C04FDD" w:rsidP="00507A31">
      <w:pPr>
        <w:jc w:val="both"/>
        <w:rPr>
          <w:color w:val="000000" w:themeColor="text1"/>
          <w:sz w:val="16"/>
          <w:szCs w:val="16"/>
        </w:rPr>
      </w:pPr>
      <w:r w:rsidRPr="00507A31">
        <w:rPr>
          <w:bCs/>
          <w:color w:val="000000" w:themeColor="text1"/>
          <w:sz w:val="16"/>
          <w:szCs w:val="16"/>
        </w:rPr>
        <w:t>15 января</w:t>
      </w:r>
      <w:r w:rsidRPr="00507A31">
        <w:rPr>
          <w:color w:val="000000" w:themeColor="text1"/>
          <w:sz w:val="16"/>
          <w:szCs w:val="16"/>
        </w:rPr>
        <w:t xml:space="preserve"> в 1930 году в Советском Союзе введены трудовые книжки (15010).</w:t>
      </w:r>
    </w:p>
    <w:p w14:paraId="64B452BF" w14:textId="77777777" w:rsidR="00C04FDD" w:rsidRPr="00507A31" w:rsidRDefault="00C04FDD" w:rsidP="00507A31">
      <w:pPr>
        <w:jc w:val="both"/>
        <w:rPr>
          <w:color w:val="000000" w:themeColor="text1"/>
          <w:sz w:val="16"/>
          <w:szCs w:val="16"/>
        </w:rPr>
      </w:pPr>
    </w:p>
    <w:p w14:paraId="74D74938" w14:textId="77777777" w:rsidR="00E656A7" w:rsidRPr="00507A31" w:rsidRDefault="00E656A7" w:rsidP="00507A31">
      <w:pPr>
        <w:jc w:val="both"/>
        <w:rPr>
          <w:color w:val="000000" w:themeColor="text1"/>
          <w:sz w:val="16"/>
          <w:szCs w:val="16"/>
        </w:rPr>
      </w:pPr>
      <w:r w:rsidRPr="00507A31">
        <w:rPr>
          <w:color w:val="000000" w:themeColor="text1"/>
          <w:sz w:val="16"/>
          <w:szCs w:val="16"/>
        </w:rPr>
        <w:t>15 января 1930. Газета "Вечерняя Москва" сообщала: "По статистическим данным за 1929 год в Москве произошло 2203 пожара (на 418 пожаров больше предыдущего года)" (18725).</w:t>
      </w:r>
    </w:p>
    <w:p w14:paraId="0220E667" w14:textId="77777777" w:rsidR="00E656A7" w:rsidRPr="00507A31" w:rsidRDefault="00E656A7" w:rsidP="00507A31">
      <w:pPr>
        <w:jc w:val="both"/>
        <w:rPr>
          <w:color w:val="000000" w:themeColor="text1"/>
          <w:sz w:val="16"/>
          <w:szCs w:val="16"/>
        </w:rPr>
      </w:pPr>
    </w:p>
    <w:p w14:paraId="4333B70A" w14:textId="77777777" w:rsidR="00C04FDD" w:rsidRPr="00507A31" w:rsidRDefault="00C04FDD" w:rsidP="00507A31">
      <w:pPr>
        <w:jc w:val="both"/>
        <w:rPr>
          <w:color w:val="000000" w:themeColor="text1"/>
          <w:sz w:val="16"/>
          <w:szCs w:val="16"/>
        </w:rPr>
      </w:pPr>
      <w:r w:rsidRPr="00507A31">
        <w:rPr>
          <w:bCs/>
          <w:color w:val="000000" w:themeColor="text1"/>
          <w:sz w:val="16"/>
          <w:szCs w:val="16"/>
        </w:rPr>
        <w:t>15 января</w:t>
      </w:r>
      <w:r w:rsidRPr="00507A31">
        <w:rPr>
          <w:color w:val="000000" w:themeColor="text1"/>
          <w:sz w:val="16"/>
          <w:szCs w:val="16"/>
        </w:rPr>
        <w:t xml:space="preserve"> в 1930 году первый в СССР светофор для регулирования уличного движения был установлен в Ленинграде на пересечении проспектов 25-го Октября и Володарского (ныне Невского и Литейного). Дмитрий Шерех в своем, как минимум трижды изданном, городском месяцеслове «Петербург. День за днем» говорит о семафоре. Невольно возникает вопрос: автор ошибается, так как семафор несколько иное устройство и применяется на железной дороге, речных шлюзах, или наш язык претерпел за эти годы изменения, учитывая разное назначение схожих устройств (15010).</w:t>
      </w:r>
    </w:p>
    <w:p w14:paraId="3201C843" w14:textId="77777777" w:rsidR="00C04FDD" w:rsidRPr="00507A31" w:rsidRDefault="00C04FDD" w:rsidP="00507A31">
      <w:pPr>
        <w:jc w:val="both"/>
        <w:rPr>
          <w:color w:val="000000" w:themeColor="text1"/>
          <w:sz w:val="16"/>
          <w:szCs w:val="16"/>
        </w:rPr>
      </w:pPr>
    </w:p>
    <w:p w14:paraId="096C83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января 1930 на перекрестке Невского и Литейного проспектов в Ленинграде установлен первый в городе автоматический семафор для регулировки уличного движения (10739).</w:t>
      </w:r>
    </w:p>
    <w:p w14:paraId="2305C100" w14:textId="77777777" w:rsidR="00537E5F" w:rsidRPr="00507A31" w:rsidRDefault="00537E5F" w:rsidP="00507A31">
      <w:pPr>
        <w:autoSpaceDE w:val="0"/>
        <w:autoSpaceDN w:val="0"/>
        <w:adjustRightInd w:val="0"/>
        <w:jc w:val="both"/>
        <w:rPr>
          <w:color w:val="000000" w:themeColor="text1"/>
          <w:sz w:val="16"/>
          <w:szCs w:val="16"/>
        </w:rPr>
      </w:pPr>
    </w:p>
    <w:p w14:paraId="2EC9D55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00A8197" w14:textId="77777777" w:rsidR="00537E5F" w:rsidRPr="00507A31" w:rsidRDefault="00537E5F" w:rsidP="00507A31">
      <w:pPr>
        <w:autoSpaceDE w:val="0"/>
        <w:autoSpaceDN w:val="0"/>
        <w:adjustRightInd w:val="0"/>
        <w:jc w:val="both"/>
        <w:rPr>
          <w:iCs/>
          <w:color w:val="000000" w:themeColor="text1"/>
          <w:sz w:val="16"/>
          <w:szCs w:val="16"/>
        </w:rPr>
      </w:pPr>
    </w:p>
    <w:p w14:paraId="7E1A31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января 1930 Amelia Erhart установила рекорд скорости для женщин в 171 морскую милю/час (2100).</w:t>
      </w:r>
    </w:p>
    <w:p w14:paraId="4DEBFB2A" w14:textId="77777777" w:rsidR="00537E5F" w:rsidRPr="00507A31" w:rsidRDefault="00537E5F" w:rsidP="00507A31">
      <w:pPr>
        <w:autoSpaceDE w:val="0"/>
        <w:autoSpaceDN w:val="0"/>
        <w:adjustRightInd w:val="0"/>
        <w:jc w:val="both"/>
        <w:rPr>
          <w:color w:val="000000" w:themeColor="text1"/>
          <w:sz w:val="16"/>
          <w:szCs w:val="16"/>
        </w:rPr>
      </w:pPr>
    </w:p>
    <w:p w14:paraId="66BE056A" w14:textId="77777777" w:rsidR="00D5789F" w:rsidRPr="00507A31" w:rsidRDefault="00D5789F" w:rsidP="00507A31">
      <w:pPr>
        <w:autoSpaceDE w:val="0"/>
        <w:autoSpaceDN w:val="0"/>
        <w:adjustRightInd w:val="0"/>
        <w:jc w:val="both"/>
        <w:rPr>
          <w:iCs/>
          <w:color w:val="000000" w:themeColor="text1"/>
          <w:sz w:val="16"/>
          <w:szCs w:val="16"/>
        </w:rPr>
      </w:pPr>
      <w:bookmarkStart w:id="8" w:name="_Hlk91402408"/>
      <w:r w:rsidRPr="00507A31">
        <w:rPr>
          <w:i/>
          <w:iCs/>
          <w:color w:val="000000" w:themeColor="text1"/>
          <w:sz w:val="16"/>
          <w:szCs w:val="16"/>
        </w:rPr>
        <w:t>Другие оборонные отрасли:</w:t>
      </w:r>
    </w:p>
    <w:p w14:paraId="22E294C4" w14:textId="77777777" w:rsidR="00D5789F" w:rsidRPr="00507A31" w:rsidRDefault="00D5789F" w:rsidP="00507A31">
      <w:pPr>
        <w:autoSpaceDE w:val="0"/>
        <w:autoSpaceDN w:val="0"/>
        <w:adjustRightInd w:val="0"/>
        <w:jc w:val="both"/>
        <w:rPr>
          <w:iCs/>
          <w:color w:val="000000" w:themeColor="text1"/>
          <w:sz w:val="16"/>
          <w:szCs w:val="16"/>
        </w:rPr>
      </w:pPr>
    </w:p>
    <w:p w14:paraId="6EBA908E" w14:textId="77777777" w:rsidR="00D5789F" w:rsidRPr="00507A31" w:rsidRDefault="00D5789F" w:rsidP="00507A31">
      <w:pPr>
        <w:shd w:val="clear" w:color="auto" w:fill="FFFFFF"/>
        <w:jc w:val="both"/>
        <w:rPr>
          <w:color w:val="0070C0"/>
          <w:sz w:val="16"/>
          <w:szCs w:val="16"/>
        </w:rPr>
      </w:pPr>
      <w:r w:rsidRPr="00507A31">
        <w:rPr>
          <w:color w:val="0070C0"/>
          <w:sz w:val="16"/>
          <w:szCs w:val="16"/>
        </w:rPr>
        <w:t>В середине января 1930 г. Политбюро было вынуждено рассмотреть общую проблему - невыполнение ВСНХ СССР предписаний о развитии военных производств и мобилизационной подготовке промышленности (См.: Симонов Н. С. Военно-промышленный комплекс СССР в 20-50-е годы: Темпы экономического роста, структура, организация производства и правление. М., 1996. С. 72-73) (22725).</w:t>
      </w:r>
    </w:p>
    <w:p w14:paraId="06488270" w14:textId="77777777" w:rsidR="00D5789F" w:rsidRPr="00507A31" w:rsidRDefault="00D5789F" w:rsidP="00507A31">
      <w:pPr>
        <w:jc w:val="both"/>
        <w:rPr>
          <w:color w:val="0070C0"/>
          <w:sz w:val="16"/>
          <w:szCs w:val="16"/>
        </w:rPr>
      </w:pPr>
    </w:p>
    <w:bookmarkEnd w:id="8"/>
    <w:p w14:paraId="710F475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2316ABD" w14:textId="77777777" w:rsidR="00537E5F" w:rsidRPr="00507A31" w:rsidRDefault="00537E5F" w:rsidP="00507A31">
      <w:pPr>
        <w:autoSpaceDE w:val="0"/>
        <w:autoSpaceDN w:val="0"/>
        <w:adjustRightInd w:val="0"/>
        <w:jc w:val="both"/>
        <w:rPr>
          <w:iCs/>
          <w:color w:val="000000" w:themeColor="text1"/>
          <w:sz w:val="16"/>
          <w:szCs w:val="16"/>
        </w:rPr>
      </w:pPr>
    </w:p>
    <w:p w14:paraId="6CD8B8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января 1930 вышло постановление Коллегии ГВПУ по тем же вопросам, что и решение РЗ СТО от 14 января (2367).</w:t>
      </w:r>
    </w:p>
    <w:p w14:paraId="511B25B1" w14:textId="77777777" w:rsidR="00537E5F" w:rsidRPr="00507A31" w:rsidRDefault="00537E5F" w:rsidP="00507A31">
      <w:pPr>
        <w:autoSpaceDE w:val="0"/>
        <w:autoSpaceDN w:val="0"/>
        <w:adjustRightInd w:val="0"/>
        <w:jc w:val="both"/>
        <w:rPr>
          <w:color w:val="000000" w:themeColor="text1"/>
          <w:sz w:val="16"/>
          <w:szCs w:val="16"/>
        </w:rPr>
      </w:pPr>
    </w:p>
    <w:p w14:paraId="1981E1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января 1930 года вышло постановление РЗ СТО, которым Авиатресту предписывалось в 1930—1931 гг. построить 200 моторов М-22 (Там же. Л. 22.). В принятии этого решения далеко не последнюю роль играли материальные соображения. Дело в том, что моторы, приобретенные за границей, Авиатресту обходились значительно дешевле, чем их производство своими силами. Например, в 1926 году американский мотор «Либерти» стоил 5500 рублей, тогда как его строительство по американскому аналогу (под маркой М-5) на советском заводе обходилось государству в 16 644 рубля, т.е. в 3 раза дороже (Там же. Оп. 19. Д. 1. Л. 63.). Это объясняется тем, что советская технология постройки западного мотора была более энергоемкой. Тем не менее отечественное авиационное моторостроение все же набирало обороты, зависимость от Запада становилась все меньшей, закупка иностранных моторов с начала 1930-х годов пошла уже по нисходящей линии. Правда, продолжались ввозиться запасные части для эксплуатации ранее приобретенных авиамоторов и самолетов. В это время были закуплены 50 моторов «Райт-Циклон» и «Кертис-IV-1800» (Там же. Оп. 18. Д. 23. Л. 300; Оп. 14. Д. 2942. Л. 81.). Были и разовые сделки с моторостроительными фирмами «Сименс», «Юнкерс» (Германия) и «Паккард» (США), освоившими производство авиационных двигателей на тяжелом топливе, однако на общую картину импорта они не влияли (Там же. Оп. 1. Д. 1481. Л. 78, 81, 85, 86. Работы в СССР по испытанию и применению тяжелого топлива для авиамоторов велись по заданию УВВС в Центральном аэрогидродинамическом институте (ЦАГИ) и Центральном научно-исследовательском автомобильном и автомоторном институте (НАМИ).). Таким образом, примерно с 1931 года СССР значительно сократил импорт военных самолетов и авиационных двигателей, благодаря тому что, во-первых, масштабные ежегодные закупки иностранных самолетов и моторов позволили командованию РККА в достаточной степени укомплектовать и укрепить ВВС, во-вторых, отечественные заводы освоили производство иностранных самолетов и двигателей как по лицензиям, так и по образцам западных фирм, хорошо оснастились технически и приобрели значительный производственный опыт. Тем самым была создана прочная база для строительства собственных военных самолетов и авиационных двигателей, среди которых прежде всего следует отметить самолеты конструкторов А.Н. Туполева (ТБ-1, Р-3, И-4), Н.Н. Поликарпова (Р-5, И-3, У-2), авиационные моторы конструкторов А.Д. Шевцова (М-11) и А.А. Микулина (АМ-34). И все же в целом на рубеже 20— 30-х годов прошлого столетия советская авиационная промышленность была еще не в состоянии в требовавшемся объеме производить собственные высококачественные самолеты и двигатели, так что зависимость от Запада в этой сфере продолжала оставаться (11174)</w:t>
      </w:r>
    </w:p>
    <w:p w14:paraId="26AE07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D6EAE85" w14:textId="77777777" w:rsidR="00E656A7" w:rsidRPr="00507A31" w:rsidRDefault="00E656A7" w:rsidP="00507A31">
      <w:pPr>
        <w:pStyle w:val="rtejustify"/>
        <w:shd w:val="clear" w:color="auto" w:fill="FFFFFF"/>
        <w:spacing w:before="0" w:after="0"/>
        <w:rPr>
          <w:color w:val="000000" w:themeColor="text1"/>
          <w:sz w:val="16"/>
          <w:szCs w:val="16"/>
        </w:rPr>
      </w:pPr>
      <w:r w:rsidRPr="00507A31">
        <w:rPr>
          <w:color w:val="000000" w:themeColor="text1"/>
          <w:sz w:val="16"/>
          <w:szCs w:val="16"/>
        </w:rPr>
        <w:t>16 января 1930 года на совместном заседании представителей НТК УВВС и ЦАГИ были согласованы технические требования к самолету И-8.</w:t>
      </w:r>
    </w:p>
    <w:p w14:paraId="1A2A1D1A" w14:textId="77777777" w:rsidR="00E656A7" w:rsidRPr="00507A31" w:rsidRDefault="00E656A7" w:rsidP="00507A31">
      <w:pPr>
        <w:pStyle w:val="rtejustify"/>
        <w:shd w:val="clear" w:color="auto" w:fill="FFFFFF"/>
        <w:spacing w:before="0" w:after="0"/>
        <w:rPr>
          <w:color w:val="000000" w:themeColor="text1"/>
          <w:sz w:val="16"/>
          <w:szCs w:val="16"/>
        </w:rPr>
      </w:pPr>
      <w:r w:rsidRPr="00507A31">
        <w:rPr>
          <w:color w:val="000000" w:themeColor="text1"/>
          <w:sz w:val="16"/>
          <w:szCs w:val="16"/>
        </w:rPr>
        <w:t>Уместно отметить, что в первоначальных вариантах проектов и трехлетнего, и пятилетнего планов опытного самолетостроения И-8 рассматривался как одноместный металлический истребитель-моноплан с мотором Юпитер VII – модификация серийного самолета И-4 ЮVII, путем переделки последнего из полутораплана в моноплан. Летные данные аналогичны И-5 (скорость на высоте 5000 м – 260-270 км/ч, время набора высоты 5000 м – 9-10 мин) (19171).</w:t>
      </w:r>
    </w:p>
    <w:p w14:paraId="5CAB40CA" w14:textId="77777777" w:rsidR="00E656A7" w:rsidRPr="00507A31" w:rsidRDefault="00E656A7" w:rsidP="00507A31">
      <w:pPr>
        <w:pStyle w:val="rtejustify"/>
        <w:shd w:val="clear" w:color="auto" w:fill="FFFFFF"/>
        <w:spacing w:before="0" w:after="0"/>
        <w:rPr>
          <w:color w:val="000000" w:themeColor="text1"/>
          <w:sz w:val="16"/>
          <w:szCs w:val="16"/>
        </w:rPr>
      </w:pPr>
    </w:p>
    <w:p w14:paraId="30E1772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4A3D61F" w14:textId="77777777" w:rsidR="00537E5F" w:rsidRPr="00507A31" w:rsidRDefault="00537E5F" w:rsidP="00507A31">
      <w:pPr>
        <w:autoSpaceDE w:val="0"/>
        <w:autoSpaceDN w:val="0"/>
        <w:adjustRightInd w:val="0"/>
        <w:jc w:val="both"/>
        <w:rPr>
          <w:iCs/>
          <w:color w:val="000000" w:themeColor="text1"/>
          <w:sz w:val="16"/>
          <w:szCs w:val="16"/>
        </w:rPr>
      </w:pPr>
    </w:p>
    <w:p w14:paraId="2C5A58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января 1930 дирижабль R-100 развил скорость 131 км/час и стал самым быстрым в мире (3481).</w:t>
      </w:r>
    </w:p>
    <w:p w14:paraId="210B9066" w14:textId="77777777" w:rsidR="00537E5F" w:rsidRPr="00507A31" w:rsidRDefault="00537E5F" w:rsidP="00507A31">
      <w:pPr>
        <w:autoSpaceDE w:val="0"/>
        <w:autoSpaceDN w:val="0"/>
        <w:adjustRightInd w:val="0"/>
        <w:jc w:val="both"/>
        <w:rPr>
          <w:color w:val="000000" w:themeColor="text1"/>
          <w:sz w:val="16"/>
          <w:szCs w:val="16"/>
        </w:rPr>
      </w:pPr>
    </w:p>
    <w:p w14:paraId="53AF59F1" w14:textId="77777777" w:rsidR="00C04FDD" w:rsidRPr="00507A31" w:rsidRDefault="00C04FDD" w:rsidP="00507A31">
      <w:pPr>
        <w:jc w:val="both"/>
        <w:rPr>
          <w:color w:val="000000" w:themeColor="text1"/>
          <w:sz w:val="16"/>
          <w:szCs w:val="16"/>
        </w:rPr>
      </w:pPr>
      <w:r w:rsidRPr="00507A31">
        <w:rPr>
          <w:bCs/>
          <w:color w:val="000000" w:themeColor="text1"/>
          <w:sz w:val="16"/>
          <w:szCs w:val="16"/>
        </w:rPr>
        <w:t>16 января</w:t>
      </w:r>
      <w:r w:rsidRPr="00507A31">
        <w:rPr>
          <w:color w:val="000000" w:themeColor="text1"/>
          <w:sz w:val="16"/>
          <w:szCs w:val="16"/>
        </w:rPr>
        <w:t xml:space="preserve"> в 1930 году на испытаниях дирижабль «R-100» развивает скорость 131 км/ч и становится самым быстрым дирижаблем в мире (15011).</w:t>
      </w:r>
    </w:p>
    <w:p w14:paraId="091A57EF" w14:textId="77777777" w:rsidR="00C04FDD" w:rsidRPr="00507A31" w:rsidRDefault="00C04FDD" w:rsidP="00507A31">
      <w:pPr>
        <w:jc w:val="both"/>
        <w:rPr>
          <w:color w:val="000000" w:themeColor="text1"/>
          <w:sz w:val="16"/>
          <w:szCs w:val="16"/>
        </w:rPr>
      </w:pPr>
    </w:p>
    <w:p w14:paraId="4D971EFD" w14:textId="77777777" w:rsidR="004C4AE4" w:rsidRPr="00507A31" w:rsidRDefault="004C4AE4" w:rsidP="00507A31">
      <w:pPr>
        <w:jc w:val="both"/>
        <w:rPr>
          <w:color w:val="0070C0"/>
          <w:sz w:val="16"/>
          <w:szCs w:val="16"/>
        </w:rPr>
      </w:pPr>
      <w:r w:rsidRPr="00507A31">
        <w:rPr>
          <w:color w:val="0070C0"/>
          <w:sz w:val="16"/>
          <w:szCs w:val="16"/>
        </w:rPr>
        <w:t>16 января 1930 на скоростных испытаниях британский дирижабль R100 достигает скорости 81 миль в час (130 км / ч), что делает его самым быстрым дирижаблем в мире (20805).</w:t>
      </w:r>
    </w:p>
    <w:p w14:paraId="398CB032" w14:textId="77777777" w:rsidR="004C4AE4" w:rsidRPr="00507A31" w:rsidRDefault="004C4AE4" w:rsidP="00507A31">
      <w:pPr>
        <w:jc w:val="both"/>
        <w:rPr>
          <w:color w:val="0070C0"/>
          <w:sz w:val="16"/>
          <w:szCs w:val="16"/>
        </w:rPr>
      </w:pPr>
    </w:p>
    <w:p w14:paraId="52AC16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lang w:val="en-US"/>
        </w:rPr>
        <w:t xml:space="preserve">January 16, 1930 Lexington completed a 30-day period in which she furnished electricity to the city of Tacoma, Wash., in an emergency arising from a failure of the city's power supply. </w:t>
      </w:r>
      <w:r w:rsidRPr="00507A31">
        <w:rPr>
          <w:color w:val="000000" w:themeColor="text1"/>
          <w:sz w:val="16"/>
          <w:szCs w:val="16"/>
        </w:rPr>
        <w:t>The electricity supplied by the carrier totalled 4,251,160 kilowatt-hours (1090).</w:t>
      </w:r>
    </w:p>
    <w:p w14:paraId="2ED80E8E" w14:textId="77777777" w:rsidR="00537E5F" w:rsidRPr="00507A31" w:rsidRDefault="00537E5F" w:rsidP="00507A31">
      <w:pPr>
        <w:autoSpaceDE w:val="0"/>
        <w:autoSpaceDN w:val="0"/>
        <w:adjustRightInd w:val="0"/>
        <w:jc w:val="both"/>
        <w:rPr>
          <w:color w:val="000000" w:themeColor="text1"/>
          <w:sz w:val="16"/>
          <w:szCs w:val="16"/>
        </w:rPr>
      </w:pPr>
    </w:p>
    <w:p w14:paraId="31B318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января авианосец Лексингтон закончил 30 дневный период, в течение которого он был единственным источником снабжения электричеством Такомы (1090).</w:t>
      </w:r>
    </w:p>
    <w:p w14:paraId="3ECA772A" w14:textId="77777777" w:rsidR="00537E5F" w:rsidRPr="00507A31" w:rsidRDefault="00537E5F" w:rsidP="00507A31">
      <w:pPr>
        <w:autoSpaceDE w:val="0"/>
        <w:autoSpaceDN w:val="0"/>
        <w:adjustRightInd w:val="0"/>
        <w:jc w:val="both"/>
        <w:rPr>
          <w:color w:val="000000" w:themeColor="text1"/>
          <w:sz w:val="16"/>
          <w:szCs w:val="16"/>
        </w:rPr>
      </w:pPr>
    </w:p>
    <w:p w14:paraId="784A5D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января 1930 г. Фрэнк Уитл зарегистрировал патент №347206 на газовую турбину своей конструкции (7671,47).</w:t>
      </w:r>
    </w:p>
    <w:p w14:paraId="57E555CC" w14:textId="77777777" w:rsidR="00537E5F" w:rsidRPr="00507A31" w:rsidRDefault="00537E5F" w:rsidP="00507A31">
      <w:pPr>
        <w:autoSpaceDE w:val="0"/>
        <w:autoSpaceDN w:val="0"/>
        <w:adjustRightInd w:val="0"/>
        <w:jc w:val="both"/>
        <w:rPr>
          <w:color w:val="000000" w:themeColor="text1"/>
          <w:sz w:val="16"/>
          <w:szCs w:val="16"/>
        </w:rPr>
      </w:pPr>
    </w:p>
    <w:p w14:paraId="141953D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AB24C0E" w14:textId="77777777" w:rsidR="00537E5F" w:rsidRPr="00507A31" w:rsidRDefault="00537E5F" w:rsidP="00507A31">
      <w:pPr>
        <w:autoSpaceDE w:val="0"/>
        <w:autoSpaceDN w:val="0"/>
        <w:adjustRightInd w:val="0"/>
        <w:jc w:val="both"/>
        <w:rPr>
          <w:iCs/>
          <w:color w:val="000000" w:themeColor="text1"/>
          <w:sz w:val="16"/>
          <w:szCs w:val="16"/>
        </w:rPr>
      </w:pPr>
    </w:p>
    <w:p w14:paraId="151C6C9C" w14:textId="77777777" w:rsidR="00C04FDD" w:rsidRPr="00507A31" w:rsidRDefault="00C04FDD" w:rsidP="00507A31">
      <w:pPr>
        <w:jc w:val="both"/>
        <w:rPr>
          <w:color w:val="000000" w:themeColor="text1"/>
          <w:sz w:val="16"/>
          <w:szCs w:val="16"/>
        </w:rPr>
      </w:pPr>
      <w:r w:rsidRPr="00507A31">
        <w:rPr>
          <w:color w:val="000000" w:themeColor="text1"/>
          <w:sz w:val="16"/>
          <w:szCs w:val="16"/>
        </w:rPr>
        <w:lastRenderedPageBreak/>
        <w:t>16 января 1930 г. в Ленинград командируется специаль</w:t>
      </w:r>
      <w:r w:rsidRPr="00507A31">
        <w:rPr>
          <w:color w:val="000000" w:themeColor="text1"/>
          <w:sz w:val="16"/>
          <w:szCs w:val="16"/>
        </w:rPr>
        <w:softHyphen/>
        <w:t>ная комиссия, в задачу которой входит, как пишет Л. Н. Мейер в своей хронике: «...подробное обследование морально-политиче</w:t>
      </w:r>
      <w:r w:rsidRPr="00507A31">
        <w:rPr>
          <w:color w:val="000000" w:themeColor="text1"/>
          <w:sz w:val="16"/>
          <w:szCs w:val="16"/>
        </w:rPr>
        <w:softHyphen/>
        <w:t>ского состояния личного состава водолазной базы...» По тем вре</w:t>
      </w:r>
      <w:r w:rsidRPr="00507A31">
        <w:rPr>
          <w:color w:val="000000" w:themeColor="text1"/>
          <w:sz w:val="16"/>
          <w:szCs w:val="16"/>
        </w:rPr>
        <w:softHyphen/>
        <w:t>менам весьма многозначительная формулировка. После поглощения Центральной водолазной базы  ЭПРО</w:t>
      </w:r>
      <w:r w:rsidRPr="00507A31">
        <w:rPr>
          <w:color w:val="000000" w:themeColor="text1"/>
          <w:sz w:val="16"/>
          <w:szCs w:val="16"/>
        </w:rPr>
        <w:softHyphen/>
        <w:t>Ном  в центральной прессе было опубликовано следующее «объявление»:</w:t>
      </w:r>
    </w:p>
    <w:p w14:paraId="7E7F66FF" w14:textId="77777777" w:rsidR="00C04FDD" w:rsidRPr="00507A31" w:rsidRDefault="00C04FDD" w:rsidP="00507A31">
      <w:pPr>
        <w:jc w:val="both"/>
        <w:rPr>
          <w:color w:val="000000" w:themeColor="text1"/>
          <w:sz w:val="16"/>
          <w:szCs w:val="16"/>
        </w:rPr>
      </w:pPr>
      <w:r w:rsidRPr="00507A31">
        <w:rPr>
          <w:color w:val="000000" w:themeColor="text1"/>
          <w:sz w:val="16"/>
          <w:szCs w:val="16"/>
        </w:rPr>
        <w:t>«Приказом НКПС Центральная водолазная база объединена с Экспедицией подводных работ { ЭПРОН ). Впредь все водолазные работы, заказы на водолазное имущество, выполнение гидротех</w:t>
      </w:r>
      <w:r w:rsidRPr="00507A31">
        <w:rPr>
          <w:color w:val="000000" w:themeColor="text1"/>
          <w:sz w:val="16"/>
          <w:szCs w:val="16"/>
        </w:rPr>
        <w:softHyphen/>
        <w:t>нических работ будут производиться  ЭПРОНОМ . Заказы направ</w:t>
      </w:r>
      <w:r w:rsidRPr="00507A31">
        <w:rPr>
          <w:color w:val="000000" w:themeColor="text1"/>
          <w:sz w:val="16"/>
          <w:szCs w:val="16"/>
        </w:rPr>
        <w:softHyphen/>
        <w:t>лять: Ленинград, Набережная Красного флота, дом 34. Телеграф</w:t>
      </w:r>
      <w:r w:rsidRPr="00507A31">
        <w:rPr>
          <w:color w:val="000000" w:themeColor="text1"/>
          <w:sz w:val="16"/>
          <w:szCs w:val="16"/>
        </w:rPr>
        <w:softHyphen/>
        <w:t>но: Ленинград, « ЭПРОН ».</w:t>
      </w:r>
    </w:p>
    <w:p w14:paraId="789F4C07" w14:textId="77777777" w:rsidR="00C04FDD" w:rsidRPr="00507A31" w:rsidRDefault="00C04FDD" w:rsidP="00507A31">
      <w:pPr>
        <w:jc w:val="both"/>
        <w:rPr>
          <w:color w:val="000000" w:themeColor="text1"/>
          <w:sz w:val="16"/>
          <w:szCs w:val="16"/>
        </w:rPr>
      </w:pPr>
      <w:r w:rsidRPr="00507A31">
        <w:rPr>
          <w:color w:val="000000" w:themeColor="text1"/>
          <w:sz w:val="16"/>
          <w:szCs w:val="16"/>
        </w:rPr>
        <w:t>Поскольку Центральная водолазная база специализировалась в основном на гидротехническом строительстве, передача ЦВБ в со</w:t>
      </w:r>
      <w:r w:rsidRPr="00507A31">
        <w:rPr>
          <w:color w:val="000000" w:themeColor="text1"/>
          <w:sz w:val="16"/>
          <w:szCs w:val="16"/>
        </w:rPr>
        <w:softHyphen/>
        <w:t>став  ЭПРОНа  автоматически повлекла за собой передачу и всех ее объемов водолазных работ. Фактически произошла монополиза</w:t>
      </w:r>
      <w:r w:rsidRPr="00507A31">
        <w:rPr>
          <w:color w:val="000000" w:themeColor="text1"/>
          <w:sz w:val="16"/>
          <w:szCs w:val="16"/>
        </w:rPr>
        <w:softHyphen/>
        <w:t>ция и этого направления водолазных работ в стране, а  ЭПРОН  по</w:t>
      </w:r>
      <w:r w:rsidRPr="00507A31">
        <w:rPr>
          <w:color w:val="000000" w:themeColor="text1"/>
          <w:sz w:val="16"/>
          <w:szCs w:val="16"/>
        </w:rPr>
        <w:softHyphen/>
        <w:t>лучил новое направление развития - помимо судоподъема и ава</w:t>
      </w:r>
      <w:r w:rsidRPr="00507A31">
        <w:rPr>
          <w:color w:val="000000" w:themeColor="text1"/>
          <w:sz w:val="16"/>
          <w:szCs w:val="16"/>
        </w:rPr>
        <w:softHyphen/>
        <w:t>рийно-спасательных дел он активно включился в растущий быст</w:t>
      </w:r>
      <w:r w:rsidRPr="00507A31">
        <w:rPr>
          <w:color w:val="000000" w:themeColor="text1"/>
          <w:sz w:val="16"/>
          <w:szCs w:val="16"/>
        </w:rPr>
        <w:softHyphen/>
        <w:t>рыми темпами рынок гидротехнического строительства (15509).</w:t>
      </w:r>
    </w:p>
    <w:p w14:paraId="1234B171" w14:textId="77777777" w:rsidR="00C04FDD" w:rsidRPr="00507A31" w:rsidRDefault="00C04FDD" w:rsidP="00507A31">
      <w:pPr>
        <w:jc w:val="both"/>
        <w:rPr>
          <w:color w:val="000000" w:themeColor="text1"/>
          <w:sz w:val="16"/>
          <w:szCs w:val="16"/>
        </w:rPr>
      </w:pPr>
    </w:p>
    <w:p w14:paraId="0A87EA23" w14:textId="77777777" w:rsidR="00C04FDD"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B2DE907" w14:textId="77777777" w:rsidR="00C04FDD" w:rsidRPr="00507A31" w:rsidRDefault="00C04FDD" w:rsidP="00507A31">
      <w:pPr>
        <w:autoSpaceDE w:val="0"/>
        <w:autoSpaceDN w:val="0"/>
        <w:adjustRightInd w:val="0"/>
        <w:jc w:val="both"/>
        <w:rPr>
          <w:iCs/>
          <w:color w:val="000000" w:themeColor="text1"/>
          <w:sz w:val="16"/>
          <w:szCs w:val="16"/>
        </w:rPr>
      </w:pPr>
    </w:p>
    <w:p w14:paraId="4B5180BE" w14:textId="77777777" w:rsidR="00C55CAB" w:rsidRPr="00507A31" w:rsidRDefault="00C55CAB" w:rsidP="00507A31">
      <w:pPr>
        <w:autoSpaceDE w:val="0"/>
        <w:autoSpaceDN w:val="0"/>
        <w:adjustRightInd w:val="0"/>
        <w:jc w:val="both"/>
        <w:rPr>
          <w:color w:val="000000" w:themeColor="text1"/>
          <w:sz w:val="16"/>
          <w:szCs w:val="16"/>
        </w:rPr>
      </w:pPr>
      <w:r w:rsidRPr="00507A31">
        <w:rPr>
          <w:color w:val="000000" w:themeColor="text1"/>
          <w:sz w:val="16"/>
          <w:szCs w:val="16"/>
        </w:rPr>
        <w:t>17 января 1930 г. Научно-исследовательский институт по цветным металлам созданный 16 сентября 1929 г. постановлением Совета Труда и Обороны СССР переименовывается в Государственный центральный научно-исследовательский институт цветных металлов "Гинцветмет"; 9 апреля 1931 г. - в Московский государственный институт цветных металлов "Мосгинцветмет"; 25 февраля 1932 г. - в Центральный государственный научно-исследовательский институт цветных металлов, золота и платины; 23 апреля 1933 г. - в Государственный центральный научно-исследовательский институт цветных металлов "Цгинцветмет"; 25 марта 1942 г. -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10C4D2A4" w14:textId="77777777" w:rsidR="00C55CAB" w:rsidRPr="00507A31" w:rsidRDefault="00C55CAB" w:rsidP="00507A31">
      <w:pPr>
        <w:autoSpaceDE w:val="0"/>
        <w:autoSpaceDN w:val="0"/>
        <w:adjustRightInd w:val="0"/>
        <w:jc w:val="both"/>
        <w:rPr>
          <w:iCs/>
          <w:color w:val="000000" w:themeColor="text1"/>
          <w:sz w:val="16"/>
          <w:szCs w:val="16"/>
        </w:rPr>
      </w:pPr>
    </w:p>
    <w:p w14:paraId="69D19A58" w14:textId="77777777" w:rsidR="00C04FDD" w:rsidRPr="00507A31" w:rsidRDefault="00C04FDD" w:rsidP="00507A31">
      <w:pPr>
        <w:shd w:val="clear" w:color="auto" w:fill="FFFFFF"/>
        <w:jc w:val="both"/>
        <w:rPr>
          <w:color w:val="000000" w:themeColor="text1"/>
          <w:sz w:val="16"/>
          <w:szCs w:val="16"/>
        </w:rPr>
      </w:pPr>
      <w:r w:rsidRPr="00507A31">
        <w:rPr>
          <w:bCs/>
          <w:iCs/>
          <w:color w:val="000000" w:themeColor="text1"/>
          <w:sz w:val="16"/>
          <w:szCs w:val="16"/>
        </w:rPr>
        <w:t>17 января 1930 г.</w:t>
      </w:r>
      <w:r w:rsidRPr="00507A31">
        <w:rPr>
          <w:color w:val="000000" w:themeColor="text1"/>
          <w:sz w:val="16"/>
          <w:szCs w:val="16"/>
        </w:rPr>
        <w:t xml:space="preserve"> Обращение председателя НТК ВОХИМУ РККА профессора П.Г.Сергеева к начальнику Военно-санитарного управления РККА М.И.Баранову о необходимости проведения широких испытаний ОВ на людях («</w:t>
      </w:r>
      <w:r w:rsidRPr="00507A31">
        <w:rPr>
          <w:bCs/>
          <w:iCs/>
          <w:color w:val="000000" w:themeColor="text1"/>
          <w:sz w:val="16"/>
          <w:szCs w:val="16"/>
        </w:rPr>
        <w:t>Необходимость испытания ОВ на людях ясна для всех</w:t>
      </w:r>
      <w:r w:rsidRPr="00507A31">
        <w:rPr>
          <w:color w:val="000000" w:themeColor="text1"/>
          <w:sz w:val="16"/>
          <w:szCs w:val="16"/>
        </w:rPr>
        <w:t>»). Высказав идею, что «</w:t>
      </w:r>
      <w:r w:rsidRPr="00507A31">
        <w:rPr>
          <w:bCs/>
          <w:iCs/>
          <w:color w:val="000000" w:themeColor="text1"/>
          <w:sz w:val="16"/>
          <w:szCs w:val="16"/>
        </w:rPr>
        <w:t>все население СССР</w:t>
      </w:r>
      <w:r w:rsidRPr="00507A31">
        <w:rPr>
          <w:iCs/>
          <w:color w:val="000000" w:themeColor="text1"/>
          <w:sz w:val="16"/>
          <w:szCs w:val="16"/>
        </w:rPr>
        <w:t xml:space="preserve"> и в первую очередь, конечно, весь состав Красной Армии должны быть окурены минимальными количествами дифенилхлорарсина, адамсита и хлорацетофенона</w:t>
      </w:r>
      <w:r w:rsidRPr="00507A31">
        <w:rPr>
          <w:color w:val="000000" w:themeColor="text1"/>
          <w:sz w:val="16"/>
          <w:szCs w:val="16"/>
        </w:rPr>
        <w:t>», автор захотел решать более серьезную задачу — «</w:t>
      </w:r>
      <w:r w:rsidRPr="00507A31">
        <w:rPr>
          <w:iCs/>
          <w:color w:val="000000" w:themeColor="text1"/>
          <w:sz w:val="16"/>
          <w:szCs w:val="16"/>
        </w:rPr>
        <w:t>необходима проверка чувствительности красноармейцев к иприту</w:t>
      </w:r>
      <w:r w:rsidRPr="00507A31">
        <w:rPr>
          <w:color w:val="000000" w:themeColor="text1"/>
          <w:sz w:val="16"/>
          <w:szCs w:val="16"/>
        </w:rPr>
        <w:t>», поскольку, по его мнению, «</w:t>
      </w:r>
      <w:r w:rsidRPr="00507A31">
        <w:rPr>
          <w:iCs/>
          <w:color w:val="000000" w:themeColor="text1"/>
          <w:sz w:val="16"/>
          <w:szCs w:val="16"/>
        </w:rPr>
        <w:t>при биологических испытаниях средств защиты и нападения нередко контроль на животных дает сбивчивые результаты</w:t>
      </w:r>
      <w:r w:rsidRPr="00507A31">
        <w:rPr>
          <w:color w:val="000000" w:themeColor="text1"/>
          <w:sz w:val="16"/>
          <w:szCs w:val="16"/>
        </w:rPr>
        <w:t>». Письмо носило формально-ритуальный характер: и до, и многие годы после него армия вела испытания ОВ на людях вне зависимости от решений и разрешений военных или гражданских медицинских органов (17133).</w:t>
      </w:r>
    </w:p>
    <w:p w14:paraId="291B07B9" w14:textId="77777777" w:rsidR="00C04FDD" w:rsidRPr="00507A31" w:rsidRDefault="00C04FDD" w:rsidP="00507A31">
      <w:pPr>
        <w:shd w:val="clear" w:color="auto" w:fill="FFFFFF"/>
        <w:jc w:val="both"/>
        <w:rPr>
          <w:color w:val="000000" w:themeColor="text1"/>
          <w:sz w:val="16"/>
          <w:szCs w:val="16"/>
        </w:rPr>
      </w:pPr>
    </w:p>
    <w:p w14:paraId="0D041150" w14:textId="77777777" w:rsidR="00C55CAB"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018DA04" w14:textId="77777777" w:rsidR="00C55CAB" w:rsidRPr="00507A31" w:rsidRDefault="00C55CAB" w:rsidP="00507A31">
      <w:pPr>
        <w:autoSpaceDE w:val="0"/>
        <w:autoSpaceDN w:val="0"/>
        <w:adjustRightInd w:val="0"/>
        <w:jc w:val="both"/>
        <w:rPr>
          <w:iCs/>
          <w:color w:val="000000" w:themeColor="text1"/>
          <w:sz w:val="16"/>
          <w:szCs w:val="16"/>
        </w:rPr>
      </w:pPr>
    </w:p>
    <w:p w14:paraId="0470AEE3" w14:textId="77777777" w:rsidR="00C55CAB" w:rsidRPr="00507A31" w:rsidRDefault="00C55CAB" w:rsidP="00507A31">
      <w:pPr>
        <w:autoSpaceDE w:val="0"/>
        <w:autoSpaceDN w:val="0"/>
        <w:adjustRightInd w:val="0"/>
        <w:jc w:val="both"/>
        <w:rPr>
          <w:bCs/>
          <w:color w:val="000000" w:themeColor="text1"/>
          <w:sz w:val="16"/>
          <w:szCs w:val="16"/>
        </w:rPr>
      </w:pPr>
      <w:r w:rsidRPr="00507A31">
        <w:rPr>
          <w:color w:val="000000" w:themeColor="text1"/>
          <w:sz w:val="16"/>
          <w:szCs w:val="16"/>
        </w:rPr>
        <w:t>17 января 1930 г.</w:t>
      </w:r>
      <w:r w:rsidRPr="00507A31">
        <w:rPr>
          <w:bCs/>
          <w:color w:val="000000" w:themeColor="text1"/>
          <w:sz w:val="16"/>
          <w:szCs w:val="16"/>
        </w:rPr>
        <w:t xml:space="preserve"> на страницах «Правды» публикуется статья наркома юстиции Н.В. Крыленко, в которой, в частности, говорилось: «На основании резолюции СНК РСФСР 29 мая 1929 г. сейчас не практикуется уже лишение свободы на сроки меньше года. Предложено в максимальной степени развить систему принудительных работ. Проведен ряд мероприятий по использованию труда лиц, осужденных на срок выше 3 лет, на общественно-необходимых работах в специальных лагерях в отдаленных местностях» (17325).</w:t>
      </w:r>
    </w:p>
    <w:p w14:paraId="71F1EF70" w14:textId="77777777" w:rsidR="00C55CAB" w:rsidRPr="00507A31" w:rsidRDefault="00C55CAB" w:rsidP="00507A31">
      <w:pPr>
        <w:autoSpaceDE w:val="0"/>
        <w:autoSpaceDN w:val="0"/>
        <w:adjustRightInd w:val="0"/>
        <w:jc w:val="both"/>
        <w:rPr>
          <w:bCs/>
          <w:color w:val="000000" w:themeColor="text1"/>
          <w:sz w:val="16"/>
          <w:szCs w:val="16"/>
        </w:rPr>
      </w:pPr>
    </w:p>
    <w:p w14:paraId="697B85A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2C2920F" w14:textId="77777777" w:rsidR="00537E5F" w:rsidRPr="00507A31" w:rsidRDefault="00537E5F" w:rsidP="00507A31">
      <w:pPr>
        <w:autoSpaceDE w:val="0"/>
        <w:autoSpaceDN w:val="0"/>
        <w:adjustRightInd w:val="0"/>
        <w:jc w:val="both"/>
        <w:rPr>
          <w:iCs/>
          <w:color w:val="000000" w:themeColor="text1"/>
          <w:sz w:val="16"/>
          <w:szCs w:val="16"/>
        </w:rPr>
      </w:pPr>
    </w:p>
    <w:p w14:paraId="3D6A2D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января 1930 на Кавказе разбился л ГА И.А.Булб (438,605).</w:t>
      </w:r>
    </w:p>
    <w:p w14:paraId="2D512E9D" w14:textId="77777777" w:rsidR="00537E5F" w:rsidRPr="00507A31" w:rsidRDefault="00537E5F" w:rsidP="00507A31">
      <w:pPr>
        <w:autoSpaceDE w:val="0"/>
        <w:autoSpaceDN w:val="0"/>
        <w:adjustRightInd w:val="0"/>
        <w:jc w:val="both"/>
        <w:rPr>
          <w:color w:val="000000" w:themeColor="text1"/>
          <w:sz w:val="16"/>
          <w:szCs w:val="16"/>
        </w:rPr>
      </w:pPr>
    </w:p>
    <w:p w14:paraId="1E7613A8" w14:textId="77777777" w:rsidR="00C04FDD"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2DCC69C" w14:textId="77777777" w:rsidR="00C04FDD" w:rsidRPr="00507A31" w:rsidRDefault="00C04FDD" w:rsidP="00507A31">
      <w:pPr>
        <w:autoSpaceDE w:val="0"/>
        <w:autoSpaceDN w:val="0"/>
        <w:adjustRightInd w:val="0"/>
        <w:jc w:val="both"/>
        <w:rPr>
          <w:iCs/>
          <w:color w:val="000000" w:themeColor="text1"/>
          <w:sz w:val="16"/>
          <w:szCs w:val="16"/>
        </w:rPr>
      </w:pPr>
    </w:p>
    <w:p w14:paraId="5ABC1973" w14:textId="77777777" w:rsidR="00C04FDD" w:rsidRPr="00507A31" w:rsidRDefault="00C04FDD" w:rsidP="00507A31">
      <w:pPr>
        <w:jc w:val="both"/>
        <w:rPr>
          <w:color w:val="000000" w:themeColor="text1"/>
          <w:sz w:val="16"/>
          <w:szCs w:val="16"/>
        </w:rPr>
      </w:pPr>
      <w:r w:rsidRPr="00507A31">
        <w:rPr>
          <w:color w:val="000000" w:themeColor="text1"/>
          <w:sz w:val="16"/>
          <w:szCs w:val="16"/>
        </w:rPr>
        <w:t>18 января 1930 года заместитель народного комиссара по военным и морским делам Уншлихт направил начальнику технического отдела ОПТУ Г. Благонравову письмо следующего содержания:</w:t>
      </w:r>
    </w:p>
    <w:p w14:paraId="7D293541" w14:textId="77777777" w:rsidR="00C04FDD" w:rsidRPr="00507A31" w:rsidRDefault="00C04FDD" w:rsidP="00507A31">
      <w:pPr>
        <w:jc w:val="both"/>
        <w:rPr>
          <w:color w:val="000000" w:themeColor="text1"/>
          <w:sz w:val="16"/>
          <w:szCs w:val="16"/>
        </w:rPr>
      </w:pPr>
      <w:r w:rsidRPr="00507A31">
        <w:rPr>
          <w:color w:val="000000" w:themeColor="text1"/>
          <w:sz w:val="16"/>
          <w:szCs w:val="16"/>
        </w:rPr>
        <w:t>«Наркомвоенмор приступает к модернизации имеющихся бронепоездов. Для этой цели желательно было бы использовать имеющиеся в Вашем распоряжении чертежи конструкции т. Дыренкова Н.И.</w:t>
      </w:r>
    </w:p>
    <w:p w14:paraId="30ECEEB5" w14:textId="77777777" w:rsidR="00C04FDD" w:rsidRPr="00507A31" w:rsidRDefault="00C04FDD" w:rsidP="00507A31">
      <w:pPr>
        <w:jc w:val="both"/>
        <w:rPr>
          <w:color w:val="000000" w:themeColor="text1"/>
          <w:sz w:val="16"/>
          <w:szCs w:val="16"/>
        </w:rPr>
      </w:pPr>
      <w:r w:rsidRPr="00507A31">
        <w:rPr>
          <w:color w:val="000000" w:themeColor="text1"/>
          <w:sz w:val="16"/>
          <w:szCs w:val="16"/>
        </w:rPr>
        <w:t>Прошу Вашего разрешения о временном предоставлении в распоряжение УММ РККА (Управление механизации и моторизации. - Прим. автора) вышеупомянутых чертежей» (15624).</w:t>
      </w:r>
    </w:p>
    <w:p w14:paraId="0C8E6568" w14:textId="77777777" w:rsidR="00C04FDD" w:rsidRPr="00507A31" w:rsidRDefault="00C04FDD" w:rsidP="00507A31">
      <w:pPr>
        <w:jc w:val="both"/>
        <w:rPr>
          <w:color w:val="000000" w:themeColor="text1"/>
          <w:sz w:val="16"/>
          <w:szCs w:val="16"/>
        </w:rPr>
      </w:pPr>
    </w:p>
    <w:p w14:paraId="4DD4FD7A" w14:textId="77777777" w:rsidR="00E656A7" w:rsidRPr="00507A31" w:rsidRDefault="00E656A7" w:rsidP="00507A31">
      <w:pPr>
        <w:jc w:val="both"/>
        <w:rPr>
          <w:color w:val="000000" w:themeColor="text1"/>
          <w:sz w:val="16"/>
          <w:szCs w:val="16"/>
        </w:rPr>
      </w:pPr>
      <w:r w:rsidRPr="00507A31">
        <w:rPr>
          <w:color w:val="000000" w:themeColor="text1"/>
          <w:sz w:val="16"/>
          <w:szCs w:val="16"/>
        </w:rPr>
        <w:t>18 января 1930 года заместитель народного комиссара по военным и морским делам Уншлихт направил начальнику технического отдела ОПТУ Г. Благонравову письмо следующего содержания: </w:t>
      </w:r>
    </w:p>
    <w:p w14:paraId="7F0D2215" w14:textId="77777777" w:rsidR="00E656A7" w:rsidRPr="00507A31" w:rsidRDefault="00E656A7" w:rsidP="00507A31">
      <w:pPr>
        <w:jc w:val="both"/>
        <w:rPr>
          <w:color w:val="000000" w:themeColor="text1"/>
          <w:sz w:val="16"/>
          <w:szCs w:val="16"/>
        </w:rPr>
      </w:pPr>
      <w:r w:rsidRPr="00507A31">
        <w:rPr>
          <w:color w:val="000000" w:themeColor="text1"/>
          <w:sz w:val="16"/>
          <w:szCs w:val="16"/>
        </w:rPr>
        <w:t>«Наркомвоенмор приступает к модернизации имеющихся бронепоездов. Для этой цели желательно было бы использовать имеющиеся в Вашем распоряжении чертежи конструкции т. Дыренкова Н.И. </w:t>
      </w:r>
    </w:p>
    <w:p w14:paraId="35E18DFE" w14:textId="77777777" w:rsidR="00E656A7" w:rsidRPr="00507A31" w:rsidRDefault="00E656A7" w:rsidP="00507A31">
      <w:pPr>
        <w:jc w:val="both"/>
        <w:rPr>
          <w:color w:val="000000" w:themeColor="text1"/>
          <w:sz w:val="16"/>
          <w:szCs w:val="16"/>
        </w:rPr>
      </w:pPr>
      <w:r w:rsidRPr="00507A31">
        <w:rPr>
          <w:color w:val="000000" w:themeColor="text1"/>
          <w:sz w:val="16"/>
          <w:szCs w:val="16"/>
        </w:rPr>
        <w:t>Прошу Вашего разрешения о временном предоставлении в распоряжение УММ РККА (Управление механизации и моторизации. -Прим. автора) вышеупомянутых чертежей». </w:t>
      </w:r>
    </w:p>
    <w:p w14:paraId="2911279C" w14:textId="77777777" w:rsidR="00E656A7" w:rsidRPr="00507A31" w:rsidRDefault="00E656A7" w:rsidP="00507A31">
      <w:pPr>
        <w:jc w:val="both"/>
        <w:rPr>
          <w:color w:val="000000" w:themeColor="text1"/>
          <w:sz w:val="16"/>
          <w:szCs w:val="16"/>
        </w:rPr>
      </w:pPr>
      <w:r w:rsidRPr="00507A31">
        <w:rPr>
          <w:color w:val="000000" w:themeColor="text1"/>
          <w:sz w:val="16"/>
          <w:szCs w:val="16"/>
        </w:rPr>
        <w:t>Но пока не удалось выяснить, поступили ли чертежи в УММ РККА или нет (18626).</w:t>
      </w:r>
    </w:p>
    <w:p w14:paraId="12295973" w14:textId="77777777" w:rsidR="00E656A7" w:rsidRPr="00507A31" w:rsidRDefault="00E656A7" w:rsidP="00507A31">
      <w:pPr>
        <w:jc w:val="both"/>
        <w:rPr>
          <w:color w:val="000000" w:themeColor="text1"/>
          <w:sz w:val="16"/>
          <w:szCs w:val="16"/>
        </w:rPr>
      </w:pPr>
    </w:p>
    <w:p w14:paraId="57595915" w14:textId="77777777" w:rsidR="00C55CAB"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9BB5F56" w14:textId="77777777" w:rsidR="00C55CAB" w:rsidRPr="00507A31" w:rsidRDefault="00C55CAB" w:rsidP="00507A31">
      <w:pPr>
        <w:autoSpaceDE w:val="0"/>
        <w:autoSpaceDN w:val="0"/>
        <w:adjustRightInd w:val="0"/>
        <w:jc w:val="both"/>
        <w:rPr>
          <w:iCs/>
          <w:color w:val="000000" w:themeColor="text1"/>
          <w:sz w:val="16"/>
          <w:szCs w:val="16"/>
        </w:rPr>
      </w:pPr>
    </w:p>
    <w:p w14:paraId="44451E83" w14:textId="77777777" w:rsidR="00C55CAB" w:rsidRPr="00507A31" w:rsidRDefault="00C55CAB" w:rsidP="00507A31">
      <w:pPr>
        <w:shd w:val="clear" w:color="auto" w:fill="FFFFFF"/>
        <w:jc w:val="both"/>
        <w:rPr>
          <w:color w:val="000000" w:themeColor="text1"/>
          <w:sz w:val="16"/>
          <w:szCs w:val="16"/>
        </w:rPr>
      </w:pPr>
      <w:r w:rsidRPr="00507A31">
        <w:rPr>
          <w:color w:val="000000" w:themeColor="text1"/>
          <w:sz w:val="16"/>
          <w:szCs w:val="16"/>
        </w:rPr>
        <w:t>18 января 1930 года</w:t>
      </w:r>
      <w:r w:rsidRPr="00507A31">
        <w:rPr>
          <w:bCs/>
          <w:color w:val="000000" w:themeColor="text1"/>
          <w:sz w:val="16"/>
          <w:szCs w:val="16"/>
        </w:rPr>
        <w:t xml:space="preserve"> ОГПУ издало связанные с переселением директивы. Но именно Постановление ЦК ВКП(б) «О мероприятиях по ликвидации кулацких хозяйств в районах сплошной коллективизации» от 30 января 1930 года задало репрессиям против крестьянства неслыханные прежде глубину и масштаб. К массовому раскулачиванию приступили уже в январе 1930 года: при официальной среднестатистической доле кулацких хозяйств, равной 2,3%, во многих районах число раскулаченных достигало 10-15% населения (вместо «запланированных» 3-5%).» (17325).</w:t>
      </w:r>
    </w:p>
    <w:p w14:paraId="2AB0713E" w14:textId="77777777" w:rsidR="00C55CAB" w:rsidRPr="00507A31" w:rsidRDefault="00C55CAB" w:rsidP="00507A31">
      <w:pPr>
        <w:shd w:val="clear" w:color="auto" w:fill="FFFFFF"/>
        <w:jc w:val="both"/>
        <w:rPr>
          <w:color w:val="000000" w:themeColor="text1"/>
          <w:sz w:val="16"/>
          <w:szCs w:val="16"/>
        </w:rPr>
      </w:pPr>
    </w:p>
    <w:p w14:paraId="4DF50F58" w14:textId="77777777" w:rsidR="00C55CAB" w:rsidRPr="00507A31" w:rsidRDefault="00C55CAB" w:rsidP="00507A31">
      <w:pPr>
        <w:shd w:val="clear" w:color="auto" w:fill="FFFFFF"/>
        <w:jc w:val="both"/>
        <w:rPr>
          <w:color w:val="000000" w:themeColor="text1"/>
          <w:sz w:val="16"/>
          <w:szCs w:val="16"/>
        </w:rPr>
      </w:pPr>
      <w:r w:rsidRPr="00507A31">
        <w:rPr>
          <w:color w:val="000000" w:themeColor="text1"/>
          <w:sz w:val="16"/>
          <w:szCs w:val="16"/>
        </w:rPr>
        <w:t>18 января 1930 г. в Ленинграде прошла премьера оперы «Нос» Дмитрия Шостаковича – советского композитора (17325).</w:t>
      </w:r>
    </w:p>
    <w:p w14:paraId="4D5A892C" w14:textId="77777777" w:rsidR="00C55CAB" w:rsidRPr="00507A31" w:rsidRDefault="00C55CAB" w:rsidP="00507A31">
      <w:pPr>
        <w:autoSpaceDE w:val="0"/>
        <w:autoSpaceDN w:val="0"/>
        <w:adjustRightInd w:val="0"/>
        <w:jc w:val="both"/>
        <w:rPr>
          <w:iCs/>
          <w:color w:val="000000" w:themeColor="text1"/>
          <w:sz w:val="16"/>
          <w:szCs w:val="16"/>
        </w:rPr>
      </w:pPr>
    </w:p>
    <w:p w14:paraId="254D2D8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1CD89E5D" w14:textId="77777777" w:rsidR="00537E5F" w:rsidRPr="00507A31" w:rsidRDefault="00537E5F" w:rsidP="00507A31">
      <w:pPr>
        <w:autoSpaceDE w:val="0"/>
        <w:autoSpaceDN w:val="0"/>
        <w:adjustRightInd w:val="0"/>
        <w:jc w:val="both"/>
        <w:rPr>
          <w:iCs/>
          <w:color w:val="000000" w:themeColor="text1"/>
          <w:sz w:val="16"/>
          <w:szCs w:val="16"/>
        </w:rPr>
      </w:pPr>
    </w:p>
    <w:p w14:paraId="3D4015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18 по 24 января 1930. Из протокола заседания Политбюро без номера, 1930 г.</w:t>
      </w:r>
    </w:p>
    <w:p w14:paraId="5E764C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Вопрос Ройзенмана </w:t>
      </w:r>
    </w:p>
    <w:p w14:paraId="7B64A4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 Особые секретные фонды, находящиеся в распоряжении НКИД с текущего 1929-30 г., ликвидировать. Одновременно обязать все республики и учреждения ликвидировать все секретные фонды, находящиеся в их распоряжении. Предложить впредь НКИД и республикам в случае особой нужды для покрытия секретных расходов испрашивать в каждом конкретном случае специальные ассигнования, причем расходы республик должны проводиться исключительно через НКИД. </w:t>
      </w:r>
    </w:p>
    <w:p w14:paraId="5EFC41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Утвердить в основном предложение РКИ о снятии работников из полпредства, торгпредства и подконтрольных ему организаций во Франции, поручив НК РКИ и НКТоргу согласовать вопрос об отдельных кандидатурах (11652).</w:t>
      </w:r>
    </w:p>
    <w:p w14:paraId="0E7ABFDA" w14:textId="77777777" w:rsidR="00537E5F" w:rsidRPr="00507A31" w:rsidRDefault="00537E5F" w:rsidP="00507A31">
      <w:pPr>
        <w:autoSpaceDE w:val="0"/>
        <w:autoSpaceDN w:val="0"/>
        <w:adjustRightInd w:val="0"/>
        <w:jc w:val="both"/>
        <w:rPr>
          <w:color w:val="000000" w:themeColor="text1"/>
          <w:sz w:val="16"/>
          <w:szCs w:val="16"/>
        </w:rPr>
      </w:pPr>
    </w:p>
    <w:p w14:paraId="30BB6D63" w14:textId="77777777" w:rsidR="004C4AE4" w:rsidRPr="00507A31" w:rsidRDefault="004C4AE4"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1603F5D" w14:textId="77777777" w:rsidR="004C4AE4" w:rsidRPr="00507A31" w:rsidRDefault="004C4AE4" w:rsidP="00507A31">
      <w:pPr>
        <w:autoSpaceDE w:val="0"/>
        <w:autoSpaceDN w:val="0"/>
        <w:adjustRightInd w:val="0"/>
        <w:jc w:val="both"/>
        <w:rPr>
          <w:iCs/>
          <w:color w:val="000000" w:themeColor="text1"/>
          <w:sz w:val="16"/>
          <w:szCs w:val="16"/>
        </w:rPr>
      </w:pPr>
    </w:p>
    <w:p w14:paraId="641895B5" w14:textId="77777777" w:rsidR="004C4AE4" w:rsidRPr="00507A31" w:rsidRDefault="004C4AE4" w:rsidP="00507A31">
      <w:pPr>
        <w:jc w:val="both"/>
        <w:rPr>
          <w:color w:val="0070C0"/>
          <w:sz w:val="16"/>
          <w:szCs w:val="16"/>
        </w:rPr>
      </w:pPr>
      <w:r w:rsidRPr="00507A31">
        <w:rPr>
          <w:color w:val="0070C0"/>
          <w:sz w:val="16"/>
          <w:szCs w:val="16"/>
        </w:rPr>
        <w:t>19 января 1930 в попытке вернуться в Тихуану, Мексика, после вылета в плохую погоду регулярного пассажирского рейса в Лос-Анджелес, Калифорния, рейс 7 Maddux Airlines - Ford 5-AT-C Tri-Motor NC9689 - разбивается в Оушенсайд, Калифорния и загорается, в результате чего погибли все 16 человек на борту. Это самая смертоносная авиационная катастрофа в американской истории того времени (20805).</w:t>
      </w:r>
    </w:p>
    <w:p w14:paraId="1E342948" w14:textId="77777777" w:rsidR="004C4AE4" w:rsidRPr="00507A31" w:rsidRDefault="004C4AE4" w:rsidP="00507A31">
      <w:pPr>
        <w:jc w:val="both"/>
        <w:rPr>
          <w:color w:val="0070C0"/>
          <w:sz w:val="16"/>
          <w:szCs w:val="16"/>
        </w:rPr>
      </w:pPr>
    </w:p>
    <w:p w14:paraId="161EC6F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5C4CBFA" w14:textId="77777777" w:rsidR="00537E5F" w:rsidRPr="00507A31" w:rsidRDefault="00537E5F" w:rsidP="00507A31">
      <w:pPr>
        <w:autoSpaceDE w:val="0"/>
        <w:autoSpaceDN w:val="0"/>
        <w:adjustRightInd w:val="0"/>
        <w:jc w:val="both"/>
        <w:rPr>
          <w:iCs/>
          <w:color w:val="000000" w:themeColor="text1"/>
          <w:sz w:val="16"/>
          <w:szCs w:val="16"/>
        </w:rPr>
      </w:pPr>
    </w:p>
    <w:p w14:paraId="59D1F7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января 1930 на заседании ПБ были слушания по вопросам оборонной промышленности.</w:t>
      </w:r>
    </w:p>
    <w:p w14:paraId="6703A25B" w14:textId="77777777" w:rsidR="00537E5F" w:rsidRPr="00507A31" w:rsidRDefault="00537E5F" w:rsidP="00507A31">
      <w:pPr>
        <w:autoSpaceDE w:val="0"/>
        <w:autoSpaceDN w:val="0"/>
        <w:adjustRightInd w:val="0"/>
        <w:jc w:val="both"/>
        <w:rPr>
          <w:iCs/>
          <w:color w:val="000000" w:themeColor="text1"/>
          <w:sz w:val="16"/>
          <w:szCs w:val="16"/>
        </w:rPr>
      </w:pPr>
    </w:p>
    <w:p w14:paraId="11785B52" w14:textId="77777777" w:rsidR="00886B18" w:rsidRPr="00507A31" w:rsidRDefault="00886B18" w:rsidP="00507A31">
      <w:pPr>
        <w:jc w:val="both"/>
        <w:rPr>
          <w:color w:val="000000" w:themeColor="text1"/>
          <w:sz w:val="16"/>
          <w:szCs w:val="16"/>
        </w:rPr>
      </w:pPr>
      <w:r w:rsidRPr="00507A31">
        <w:rPr>
          <w:color w:val="000000" w:themeColor="text1"/>
          <w:sz w:val="16"/>
          <w:szCs w:val="16"/>
        </w:rPr>
        <w:lastRenderedPageBreak/>
        <w:t>20 января 1930 года заседание Политбюро носило характер «слушаний» по проблемам оборонной промышленности. В заседании приняли участие не менее 38 представителей от промышленности, административных органов, армии и ОГПУ. В соответствии с принятой процедурой, была избрана редакционная комиссия, которая должна была зафиксировать принятое «на основе обмена мнениями» решение. Таким образом, в январе 1930 г. была принята очередная резолюция Политбюро по вопросу мобилизационной готовности промышленности. В ней, в частности, было отмечено, что предыдущие решения Политбюро по оборонной промышленности, принятые в июле 1929 г., во многом не были выполнены; особое беспокойство в этом отношении вызывала артиллерийская промышленность (17208).</w:t>
      </w:r>
    </w:p>
    <w:p w14:paraId="51541F98" w14:textId="77777777" w:rsidR="00886B18" w:rsidRPr="00507A31" w:rsidRDefault="00886B18" w:rsidP="00507A31">
      <w:pPr>
        <w:jc w:val="both"/>
        <w:rPr>
          <w:color w:val="000000" w:themeColor="text1"/>
          <w:sz w:val="16"/>
          <w:szCs w:val="16"/>
          <w:u w:color="002060"/>
        </w:rPr>
      </w:pPr>
    </w:p>
    <w:p w14:paraId="234CFD03" w14:textId="77777777" w:rsidR="001A51A5" w:rsidRPr="00507A31" w:rsidRDefault="001A51A5" w:rsidP="00507A31">
      <w:pPr>
        <w:jc w:val="both"/>
        <w:rPr>
          <w:color w:val="000000" w:themeColor="text1"/>
          <w:sz w:val="16"/>
          <w:szCs w:val="16"/>
          <w:u w:color="002060"/>
        </w:rPr>
      </w:pPr>
      <w:r w:rsidRPr="00507A31">
        <w:rPr>
          <w:color w:val="000000" w:themeColor="text1"/>
          <w:sz w:val="16"/>
          <w:szCs w:val="16"/>
          <w:u w:color="002060"/>
        </w:rPr>
        <w:t>20 января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114. 4. Сообщение комиссии Орджоникидзе (ПБ от 15 января 1930 г., пр. № 113, п. 25) (Орджоникидзе, Ворошилов, Куйбышев, Урываев, Толоконцев, Постников) [о танках и тракторах]. — ОП. (Политбюро... Т. 2. С. 12) (12416).</w:t>
      </w:r>
    </w:p>
    <w:p w14:paraId="5B931A0E" w14:textId="77777777" w:rsidR="001A51A5" w:rsidRPr="00507A31" w:rsidRDefault="001A51A5" w:rsidP="00507A31">
      <w:pPr>
        <w:jc w:val="both"/>
        <w:rPr>
          <w:color w:val="000000" w:themeColor="text1"/>
          <w:sz w:val="16"/>
          <w:szCs w:val="16"/>
          <w:u w:color="002060"/>
        </w:rPr>
      </w:pPr>
    </w:p>
    <w:p w14:paraId="355B6D3E" w14:textId="77777777" w:rsidR="001A51A5" w:rsidRPr="00507A31" w:rsidRDefault="001A51A5" w:rsidP="00507A31">
      <w:pPr>
        <w:jc w:val="both"/>
        <w:rPr>
          <w:color w:val="000000" w:themeColor="text1"/>
          <w:sz w:val="16"/>
          <w:szCs w:val="16"/>
        </w:rPr>
      </w:pPr>
      <w:r w:rsidRPr="00507A31">
        <w:rPr>
          <w:color w:val="000000" w:themeColor="text1"/>
          <w:sz w:val="16"/>
          <w:szCs w:val="16"/>
        </w:rPr>
        <w:t>20 января 1930 г. — Из протокола № 114 заседания Политбюро ЦК ВКП(б) о рассмотрении предложений Комиссии С. Орджоникидзе о разработке и производстве новых танков и военных тракторов и двигателей к ним</w:t>
      </w:r>
    </w:p>
    <w:p w14:paraId="0F7ABB6B" w14:textId="77777777" w:rsidR="001A51A5" w:rsidRPr="00507A31" w:rsidRDefault="001A51A5" w:rsidP="00507A31">
      <w:pPr>
        <w:jc w:val="both"/>
        <w:rPr>
          <w:color w:val="000000" w:themeColor="text1"/>
          <w:sz w:val="16"/>
          <w:szCs w:val="16"/>
        </w:rPr>
      </w:pPr>
      <w:r w:rsidRPr="00507A31">
        <w:rPr>
          <w:color w:val="000000" w:themeColor="text1"/>
          <w:sz w:val="16"/>
          <w:szCs w:val="16"/>
        </w:rPr>
        <w:t>Из протокола № 114 заседания Политбюро ЦК ВКП(б) о рассмотрении предложений Комиссии С. Орджоникидзе о разработке и производстве новых танков и военных тракторов и двигателей к ним</w:t>
      </w:r>
    </w:p>
    <w:p w14:paraId="7274ADD1" w14:textId="77777777" w:rsidR="001A51A5" w:rsidRPr="00507A31" w:rsidRDefault="001A51A5" w:rsidP="00507A31">
      <w:pPr>
        <w:pStyle w:val="ae"/>
        <w:spacing w:before="0" w:after="0"/>
        <w:jc w:val="both"/>
        <w:rPr>
          <w:color w:val="000000" w:themeColor="text1"/>
          <w:sz w:val="16"/>
          <w:szCs w:val="16"/>
        </w:rPr>
      </w:pPr>
      <w:r w:rsidRPr="00507A31">
        <w:rPr>
          <w:rStyle w:val="af0"/>
          <w:i w:val="0"/>
          <w:color w:val="000000" w:themeColor="text1"/>
          <w:sz w:val="16"/>
          <w:szCs w:val="16"/>
        </w:rPr>
        <w:t>20 января 1930 г.</w:t>
      </w:r>
    </w:p>
    <w:p w14:paraId="013D22BE" w14:textId="77777777" w:rsidR="001A51A5" w:rsidRPr="00507A31" w:rsidRDefault="001A51A5" w:rsidP="00507A31">
      <w:pPr>
        <w:pStyle w:val="rtejustify"/>
        <w:spacing w:before="0" w:after="0"/>
        <w:rPr>
          <w:color w:val="000000" w:themeColor="text1"/>
          <w:sz w:val="16"/>
          <w:szCs w:val="16"/>
        </w:rPr>
      </w:pPr>
      <w:r w:rsidRPr="00507A31">
        <w:rPr>
          <w:color w:val="000000" w:themeColor="text1"/>
          <w:sz w:val="16"/>
          <w:szCs w:val="16"/>
        </w:rPr>
        <w:t>4. Сообщение Комиссии т. Орджоникидзе. (ПБ от 15 января 1930 г., пр[отокол] № 113, п. 25) (т. Орджоникидзе, Ворошилов, Куйбышев, Урываев, Толоконцев, Постников).</w:t>
      </w:r>
    </w:p>
    <w:p w14:paraId="216A7139" w14:textId="77777777" w:rsidR="001A51A5" w:rsidRPr="00507A31" w:rsidRDefault="001A51A5" w:rsidP="00507A31">
      <w:pPr>
        <w:pStyle w:val="rtejustify"/>
        <w:spacing w:before="0" w:after="0"/>
        <w:rPr>
          <w:color w:val="000000" w:themeColor="text1"/>
          <w:sz w:val="16"/>
          <w:szCs w:val="16"/>
        </w:rPr>
      </w:pPr>
      <w:r w:rsidRPr="00507A31">
        <w:rPr>
          <w:color w:val="000000" w:themeColor="text1"/>
          <w:sz w:val="16"/>
          <w:szCs w:val="16"/>
        </w:rPr>
        <w:t>А. Утвердить с поправками следующие предложения комиссии:</w:t>
      </w:r>
    </w:p>
    <w:p w14:paraId="0B8652E8" w14:textId="77777777" w:rsidR="001A51A5" w:rsidRPr="00507A31" w:rsidRDefault="001A51A5" w:rsidP="00507A31">
      <w:pPr>
        <w:pStyle w:val="rtejustify"/>
        <w:spacing w:before="0" w:after="0"/>
        <w:rPr>
          <w:color w:val="000000" w:themeColor="text1"/>
          <w:sz w:val="16"/>
          <w:szCs w:val="16"/>
        </w:rPr>
      </w:pPr>
      <w:r w:rsidRPr="00507A31">
        <w:rPr>
          <w:color w:val="000000" w:themeColor="text1"/>
          <w:sz w:val="16"/>
          <w:szCs w:val="16"/>
        </w:rPr>
        <w:t>1. Констатировать, что в настоящее время нет типов танков и тракторов, производство которых необходимо поставить на тракторных и автомобильных заводах и которые удовлетворяли бы требованиям НКВМора, а также материалов о том, какие именно нужные НКВМ типы танков и тракторов необходимо принять и как организовать их производство путем ассимиляции и кооперирования на тракторных и автомобильных заводах.</w:t>
      </w:r>
    </w:p>
    <w:p w14:paraId="3B2739ED" w14:textId="77777777" w:rsidR="001A51A5" w:rsidRPr="00507A31" w:rsidRDefault="001A51A5" w:rsidP="00507A31">
      <w:pPr>
        <w:pStyle w:val="rtejustify"/>
        <w:spacing w:before="0" w:after="0"/>
        <w:rPr>
          <w:color w:val="000000" w:themeColor="text1"/>
          <w:sz w:val="16"/>
          <w:szCs w:val="16"/>
        </w:rPr>
      </w:pPr>
      <w:r w:rsidRPr="00507A31">
        <w:rPr>
          <w:color w:val="000000" w:themeColor="text1"/>
          <w:sz w:val="16"/>
          <w:szCs w:val="16"/>
        </w:rPr>
        <w:t>2. В целях изучения различных систем и типов быстроходных тракторо-танковых двигателей и самих тракторов, имеющихся за границей и удовлетворяющих нуждам НКВМ, а также и изучения организации постановки производства быстроходных тракторов на заграничных заводах, предложить комиссии в составе т. Осинского, Халепского и Будняка произвести закупку за границей на сумму до 500 тыс. руб. отдельных экземпляров быстроходных тракторов, тягачей и моторов, разных систем и ознакомиться с организацией их производства.</w:t>
      </w:r>
    </w:p>
    <w:p w14:paraId="6AE61EA9" w14:textId="77777777" w:rsidR="001A51A5" w:rsidRPr="00507A31" w:rsidRDefault="001A51A5" w:rsidP="00507A31">
      <w:pPr>
        <w:pStyle w:val="rtejustify"/>
        <w:spacing w:before="0" w:after="0"/>
        <w:rPr>
          <w:color w:val="000000" w:themeColor="text1"/>
          <w:sz w:val="16"/>
          <w:szCs w:val="16"/>
        </w:rPr>
      </w:pPr>
      <w:r w:rsidRPr="00507A31">
        <w:rPr>
          <w:color w:val="000000" w:themeColor="text1"/>
          <w:sz w:val="16"/>
          <w:szCs w:val="16"/>
        </w:rPr>
        <w:t>3. Окончательное решение о постановке танков и военных быстроходных тракторов на тракторных и автомобильных заводах СССР принять по возвращении комиссии из-за границы.</w:t>
      </w:r>
    </w:p>
    <w:p w14:paraId="19332E96" w14:textId="77777777" w:rsidR="001A51A5" w:rsidRPr="00507A31" w:rsidRDefault="001A51A5" w:rsidP="00507A31">
      <w:pPr>
        <w:pStyle w:val="rtejustify"/>
        <w:spacing w:before="0" w:after="0"/>
        <w:rPr>
          <w:color w:val="000000" w:themeColor="text1"/>
          <w:sz w:val="16"/>
          <w:szCs w:val="16"/>
        </w:rPr>
      </w:pPr>
      <w:r w:rsidRPr="00507A31">
        <w:rPr>
          <w:color w:val="000000" w:themeColor="text1"/>
          <w:sz w:val="16"/>
          <w:szCs w:val="16"/>
        </w:rPr>
        <w:t>4. Предложить комиссии, независимо от ее поездки за границу, организовать проработку вопросов о танках и тракторах в автотракторном объединении.</w:t>
      </w:r>
    </w:p>
    <w:p w14:paraId="5B8EE743" w14:textId="77777777" w:rsidR="001A51A5" w:rsidRPr="00507A31" w:rsidRDefault="001A51A5" w:rsidP="00507A31">
      <w:pPr>
        <w:pStyle w:val="rtejustify"/>
        <w:spacing w:before="0" w:after="0"/>
        <w:rPr>
          <w:color w:val="000000" w:themeColor="text1"/>
          <w:sz w:val="16"/>
          <w:szCs w:val="16"/>
        </w:rPr>
      </w:pPr>
      <w:r w:rsidRPr="00507A31">
        <w:rPr>
          <w:color w:val="000000" w:themeColor="text1"/>
          <w:sz w:val="16"/>
          <w:szCs w:val="16"/>
        </w:rPr>
        <w:t>5. Предложить комиссии во все время заграничной командировки регулярно информировать.</w:t>
      </w:r>
    </w:p>
    <w:p w14:paraId="144AED14" w14:textId="77777777" w:rsidR="001A51A5" w:rsidRPr="00507A31" w:rsidRDefault="001A51A5" w:rsidP="00507A31">
      <w:pPr>
        <w:pStyle w:val="rtejustify"/>
        <w:spacing w:before="0" w:after="0"/>
        <w:rPr>
          <w:color w:val="000000" w:themeColor="text1"/>
          <w:sz w:val="16"/>
          <w:szCs w:val="16"/>
        </w:rPr>
      </w:pPr>
      <w:r w:rsidRPr="00507A31">
        <w:rPr>
          <w:color w:val="000000" w:themeColor="text1"/>
          <w:sz w:val="16"/>
          <w:szCs w:val="16"/>
        </w:rPr>
        <w:t>Б. Поручить комиссии в составе т. Рухимовича (председатель), Калиновского, Толоконцева, Яковлева, Межлаука и Постникова выяснить вопрос о том, какого типа быстроходные тракторы у нас уже имеются, и организовать их испытания, учтя результаты уже произведенных НКЗемом, ВСНХ и НКВМ испытаний тракторов, а также выяснить положение с немецким трактором.</w:t>
      </w:r>
    </w:p>
    <w:p w14:paraId="1975D5C9" w14:textId="77777777" w:rsidR="001A51A5" w:rsidRPr="00507A31" w:rsidRDefault="001A51A5"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Секретарь ЦК </w:t>
      </w:r>
      <w:hyperlink r:id="rId17" w:history="1">
        <w:r w:rsidRPr="00507A31">
          <w:rPr>
            <w:rStyle w:val="af0"/>
            <w:i w:val="0"/>
            <w:color w:val="000000" w:themeColor="text1"/>
            <w:sz w:val="16"/>
            <w:szCs w:val="16"/>
          </w:rPr>
          <w:t>И. Сталин</w:t>
        </w:r>
      </w:hyperlink>
    </w:p>
    <w:p w14:paraId="5897385D" w14:textId="77777777" w:rsidR="001A51A5" w:rsidRPr="00507A31" w:rsidRDefault="001A51A5" w:rsidP="00507A31">
      <w:pPr>
        <w:pStyle w:val="ae"/>
        <w:spacing w:before="0" w:after="0"/>
        <w:jc w:val="both"/>
        <w:rPr>
          <w:color w:val="000000" w:themeColor="text1"/>
          <w:sz w:val="16"/>
          <w:szCs w:val="16"/>
        </w:rPr>
      </w:pPr>
      <w:r w:rsidRPr="00507A31">
        <w:rPr>
          <w:color w:val="000000" w:themeColor="text1"/>
          <w:sz w:val="16"/>
          <w:szCs w:val="16"/>
        </w:rPr>
        <w:t>РГАСПИ. Ф. 17. Оп. 162. Д. 8. Л. 49—50. Подлинник.</w:t>
      </w:r>
    </w:p>
    <w:p w14:paraId="3C5A3867" w14:textId="77777777" w:rsidR="001A51A5" w:rsidRPr="00507A31" w:rsidRDefault="001A51A5" w:rsidP="00507A31">
      <w:pPr>
        <w:jc w:val="both"/>
        <w:rPr>
          <w:color w:val="000000" w:themeColor="text1"/>
          <w:sz w:val="16"/>
          <w:szCs w:val="16"/>
        </w:rPr>
      </w:pPr>
      <w:r w:rsidRPr="00507A31">
        <w:rPr>
          <w:color w:val="000000" w:themeColor="text1"/>
          <w:sz w:val="16"/>
          <w:szCs w:val="16"/>
        </w:rPr>
        <w:t xml:space="preserve">Архив: РГАСПИ. Ф. 17. Оп. 162. Д. 8. Л. 49—50. Подлинник. </w:t>
      </w:r>
    </w:p>
    <w:p w14:paraId="6C32A17B" w14:textId="77777777" w:rsidR="001A51A5" w:rsidRPr="00507A31" w:rsidRDefault="001A51A5"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418-419 (12491).</w:t>
      </w:r>
    </w:p>
    <w:p w14:paraId="6D69D242" w14:textId="77777777" w:rsidR="001A51A5" w:rsidRPr="00507A31" w:rsidRDefault="001A51A5" w:rsidP="00507A31">
      <w:pPr>
        <w:jc w:val="both"/>
        <w:rPr>
          <w:color w:val="000000" w:themeColor="text1"/>
          <w:sz w:val="16"/>
          <w:szCs w:val="16"/>
        </w:rPr>
      </w:pPr>
    </w:p>
    <w:p w14:paraId="0FB42172" w14:textId="77777777" w:rsidR="00C04FDD" w:rsidRPr="00507A31" w:rsidRDefault="00C04FDD" w:rsidP="00507A31">
      <w:pPr>
        <w:jc w:val="both"/>
        <w:rPr>
          <w:color w:val="000000" w:themeColor="text1"/>
          <w:sz w:val="16"/>
          <w:szCs w:val="16"/>
        </w:rPr>
      </w:pPr>
      <w:r w:rsidRPr="00507A31">
        <w:rPr>
          <w:color w:val="000000" w:themeColor="text1"/>
          <w:sz w:val="16"/>
          <w:szCs w:val="16"/>
        </w:rPr>
        <w:t>20 января 1930 г. Протокол ПБ № 114 п.4: Сообщение комиссии Орджоникидзе (Орджоникидзе, Ворошилов, Куйбышев, Урываев, Толоконцев, Постников; ПБ от 15-1-1930, протокол № 113, п.25) - ОП. Решено: а) утвердить с поправками следующие предложения комиссии: 1. Констатировать, что в настоящее время нет типов танков и тракторов, производство которых необходимо поставить на тракторных и автомобильных заводах, и которые удовлетворяли бы требования Наркомата по военным и морским делам, а также материалов о том, какие именно типы танков и тракторов, нужные Наркомвоенмору, необходимо принять, и как организовать их производство путем ассимиляции и кооперирования на тракторных и автомобильных заводах. 2. В целях изучения различных систем и типов быстроходных тракторо-танковых двигателей и самих тракторов, имеющихся за границей и отвечающих нуждам Наркомвоенмора, а также изучения организации постановки производства быстроходных тракторов на заграничных заводах, предложить комиссии в составе Осинского, Халепского и Будняка произвести закупку за границей на сумму до 500 тысяч рублей отдельных экземпляров быстроходных катеров, тягачей и моторов разных систем и ознакомиться с организацией их производства. 3. Окончательное решение о постановке танков и военных быстроходных тракторов на тракторых и автомобильных заводах СССР принять после возвращения комиссии из-за границы. 4. Предложить комиссии, независимо от её поездки за границу, проработать вопрос о танках и тракторах в автотракторном объединении. 5. Предложить комиссии в течение всей заграничной командировки регулярно давать информацию. б) Поручить комиссии в составе Рухимовича (председатель), Калиновского, Толоконцева, Яковлева, Межлаука и Постникова выяснить вопрос о том, какого типа быстроходные тракторы у нас имеются и организовать их испытания, учтя результаты уже произведенных Наркоматом земледелия, ВСНХ и Наркомвоенмором испытаний тракторов, а также выяснить положение с немецким трактором (15971).</w:t>
      </w:r>
    </w:p>
    <w:p w14:paraId="0C73C272" w14:textId="77777777" w:rsidR="00C04FDD" w:rsidRPr="00507A31" w:rsidRDefault="00C04FDD" w:rsidP="00507A31">
      <w:pPr>
        <w:jc w:val="both"/>
        <w:rPr>
          <w:color w:val="000000" w:themeColor="text1"/>
          <w:sz w:val="16"/>
          <w:szCs w:val="16"/>
        </w:rPr>
      </w:pPr>
    </w:p>
    <w:p w14:paraId="3B08ADB9" w14:textId="77777777" w:rsidR="00767814" w:rsidRPr="00507A31" w:rsidRDefault="00767814" w:rsidP="00507A31">
      <w:pPr>
        <w:jc w:val="both"/>
        <w:rPr>
          <w:color w:val="0070C0"/>
          <w:sz w:val="16"/>
          <w:szCs w:val="16"/>
        </w:rPr>
      </w:pPr>
      <w:r w:rsidRPr="00507A31">
        <w:rPr>
          <w:color w:val="0070C0"/>
          <w:sz w:val="16"/>
          <w:szCs w:val="16"/>
        </w:rPr>
        <w:t>20 января 1930 состоялось заседание ПБ (Протокол № 114. Особый № 112)</w:t>
      </w:r>
    </w:p>
    <w:p w14:paraId="56FD56C4" w14:textId="77777777" w:rsidR="00767814" w:rsidRPr="00507A31" w:rsidRDefault="00767814" w:rsidP="00507A31">
      <w:pPr>
        <w:jc w:val="both"/>
        <w:rPr>
          <w:color w:val="0070C0"/>
          <w:sz w:val="16"/>
          <w:szCs w:val="16"/>
        </w:rPr>
      </w:pPr>
      <w:r w:rsidRPr="00507A31">
        <w:rPr>
          <w:color w:val="0070C0"/>
          <w:sz w:val="16"/>
          <w:szCs w:val="16"/>
        </w:rPr>
        <w:t>3.- Сообщение т. Рыкова.</w:t>
      </w:r>
    </w:p>
    <w:p w14:paraId="4FF67EC2" w14:textId="77777777" w:rsidR="00767814" w:rsidRPr="00507A31" w:rsidRDefault="00767814" w:rsidP="00507A31">
      <w:pPr>
        <w:jc w:val="both"/>
        <w:rPr>
          <w:color w:val="0070C0"/>
          <w:sz w:val="16"/>
          <w:szCs w:val="16"/>
        </w:rPr>
      </w:pPr>
      <w:r w:rsidRPr="00507A31">
        <w:rPr>
          <w:color w:val="0070C0"/>
          <w:sz w:val="16"/>
          <w:szCs w:val="16"/>
        </w:rPr>
        <w:t>(ПБ от 15.1.30 г., пр. №113, п. 20).</w:t>
      </w:r>
    </w:p>
    <w:p w14:paraId="3E69C559" w14:textId="77777777" w:rsidR="00767814" w:rsidRPr="00507A31" w:rsidRDefault="00767814" w:rsidP="00507A31">
      <w:pPr>
        <w:jc w:val="both"/>
        <w:rPr>
          <w:color w:val="0070C0"/>
          <w:sz w:val="16"/>
          <w:szCs w:val="16"/>
        </w:rPr>
      </w:pPr>
      <w:r w:rsidRPr="00507A31">
        <w:rPr>
          <w:color w:val="0070C0"/>
          <w:sz w:val="16"/>
          <w:szCs w:val="16"/>
        </w:rPr>
        <w:t>(т.т. Рыков, Ворошилов, Урываев, Толоконцев. Постников).</w:t>
      </w:r>
    </w:p>
    <w:p w14:paraId="7AC4BE3F" w14:textId="77777777" w:rsidR="00767814" w:rsidRPr="00507A31" w:rsidRDefault="00767814" w:rsidP="00507A31">
      <w:pPr>
        <w:jc w:val="both"/>
        <w:rPr>
          <w:color w:val="0070C0"/>
          <w:sz w:val="16"/>
          <w:szCs w:val="16"/>
        </w:rPr>
      </w:pPr>
      <w:r w:rsidRPr="00507A31">
        <w:rPr>
          <w:color w:val="0070C0"/>
          <w:sz w:val="16"/>
          <w:szCs w:val="16"/>
        </w:rPr>
        <w:t>а) Вопрос в целом отложить и слушать в присутствии т. Шиханлова.</w:t>
      </w:r>
    </w:p>
    <w:p w14:paraId="68C36BB3" w14:textId="77777777" w:rsidR="00767814" w:rsidRPr="00507A31" w:rsidRDefault="00767814" w:rsidP="00507A31">
      <w:pPr>
        <w:jc w:val="both"/>
        <w:rPr>
          <w:color w:val="0070C0"/>
          <w:sz w:val="16"/>
          <w:szCs w:val="16"/>
        </w:rPr>
      </w:pPr>
      <w:r w:rsidRPr="00507A31">
        <w:rPr>
          <w:color w:val="0070C0"/>
          <w:sz w:val="16"/>
          <w:szCs w:val="16"/>
        </w:rPr>
        <w:t>б) Произвести в 2-х месячный срок поголовную проверку и чистку всего личного состава, как: служащих, так и рабочих авиапромышленности.</w:t>
      </w:r>
    </w:p>
    <w:p w14:paraId="2C0792C3" w14:textId="77777777" w:rsidR="00767814" w:rsidRPr="00507A31" w:rsidRDefault="00767814" w:rsidP="00507A31">
      <w:pPr>
        <w:jc w:val="both"/>
        <w:rPr>
          <w:color w:val="0070C0"/>
          <w:sz w:val="16"/>
          <w:szCs w:val="16"/>
        </w:rPr>
      </w:pPr>
      <w:r w:rsidRPr="00507A31">
        <w:rPr>
          <w:color w:val="0070C0"/>
          <w:sz w:val="16"/>
          <w:szCs w:val="16"/>
        </w:rPr>
        <w:t>Проведение этого возложить на комиссии: в центре - в составе представителей ВСНХ, ВЦСПС, ЦК ВКП(б), НКВМ и ОГПУ, под председательством представителя НКРКИ тов. Павлуновского, а на предприятиях -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3996096C" w14:textId="77777777" w:rsidR="00767814" w:rsidRPr="00507A31" w:rsidRDefault="00767814" w:rsidP="00507A31">
      <w:pPr>
        <w:jc w:val="both"/>
        <w:rPr>
          <w:color w:val="0070C0"/>
          <w:sz w:val="16"/>
          <w:szCs w:val="16"/>
        </w:rPr>
      </w:pPr>
      <w:r w:rsidRPr="00507A31">
        <w:rPr>
          <w:color w:val="0070C0"/>
          <w:sz w:val="16"/>
          <w:szCs w:val="16"/>
        </w:rPr>
        <w:t>Выписки посланы: Рыкову, Куйбышеву, Догадову, Кагановичу, Ворошилову, Ягоде. Павлуновскому.</w:t>
      </w:r>
    </w:p>
    <w:p w14:paraId="4BF4521E" w14:textId="77777777" w:rsidR="00767814" w:rsidRPr="00507A31" w:rsidRDefault="00767814" w:rsidP="00507A31">
      <w:pPr>
        <w:jc w:val="both"/>
        <w:rPr>
          <w:color w:val="0070C0"/>
          <w:sz w:val="16"/>
          <w:szCs w:val="16"/>
        </w:rPr>
      </w:pPr>
      <w:r w:rsidRPr="00507A31">
        <w:rPr>
          <w:color w:val="0070C0"/>
          <w:sz w:val="16"/>
          <w:szCs w:val="16"/>
        </w:rPr>
        <w:t>4.- Сообщение комиссии т. Орджоникидзе.</w:t>
      </w:r>
    </w:p>
    <w:p w14:paraId="76FF3996" w14:textId="77777777" w:rsidR="00767814" w:rsidRPr="00507A31" w:rsidRDefault="00767814" w:rsidP="00507A31">
      <w:pPr>
        <w:jc w:val="both"/>
        <w:rPr>
          <w:color w:val="0070C0"/>
          <w:sz w:val="16"/>
          <w:szCs w:val="16"/>
        </w:rPr>
      </w:pPr>
      <w:r w:rsidRPr="00507A31">
        <w:rPr>
          <w:color w:val="0070C0"/>
          <w:sz w:val="16"/>
          <w:szCs w:val="16"/>
        </w:rPr>
        <w:t>(ПБ от 15.1.30 г., пр. № 113, п. 25).</w:t>
      </w:r>
    </w:p>
    <w:p w14:paraId="385136E3" w14:textId="77777777" w:rsidR="00767814" w:rsidRPr="00507A31" w:rsidRDefault="00767814" w:rsidP="00507A31">
      <w:pPr>
        <w:jc w:val="both"/>
        <w:rPr>
          <w:color w:val="0070C0"/>
          <w:sz w:val="16"/>
          <w:szCs w:val="16"/>
        </w:rPr>
      </w:pPr>
      <w:r w:rsidRPr="00507A31">
        <w:rPr>
          <w:color w:val="0070C0"/>
          <w:sz w:val="16"/>
          <w:szCs w:val="16"/>
        </w:rPr>
        <w:t>(т..Орджоникидзе, Ворошилов, Куйбышев, Урываев, Толокон</w:t>
      </w:r>
      <w:r w:rsidRPr="00507A31">
        <w:rPr>
          <w:color w:val="0070C0"/>
          <w:sz w:val="16"/>
          <w:szCs w:val="16"/>
        </w:rPr>
        <w:softHyphen/>
        <w:t>цев, Постников) .</w:t>
      </w:r>
    </w:p>
    <w:p w14:paraId="1EB384FF" w14:textId="77777777" w:rsidR="00767814" w:rsidRPr="00507A31" w:rsidRDefault="00767814" w:rsidP="00507A31">
      <w:pPr>
        <w:jc w:val="both"/>
        <w:rPr>
          <w:color w:val="0070C0"/>
          <w:sz w:val="16"/>
          <w:szCs w:val="16"/>
        </w:rPr>
      </w:pPr>
      <w:r w:rsidRPr="00507A31">
        <w:rPr>
          <w:color w:val="0070C0"/>
          <w:sz w:val="16"/>
          <w:szCs w:val="16"/>
        </w:rPr>
        <w:t>а) Утвердить с поправками следующие предложения комиссии:</w:t>
      </w:r>
    </w:p>
    <w:p w14:paraId="6801FF01" w14:textId="77777777" w:rsidR="00767814" w:rsidRPr="00507A31" w:rsidRDefault="00767814" w:rsidP="00507A31">
      <w:pPr>
        <w:jc w:val="both"/>
        <w:rPr>
          <w:color w:val="0070C0"/>
          <w:sz w:val="16"/>
          <w:szCs w:val="16"/>
        </w:rPr>
      </w:pPr>
      <w:r w:rsidRPr="00507A31">
        <w:rPr>
          <w:color w:val="0070C0"/>
          <w:sz w:val="16"/>
          <w:szCs w:val="16"/>
        </w:rPr>
        <w:t>1. Констатировать, что в настоящее время нет типов тан</w:t>
      </w:r>
      <w:r w:rsidRPr="00507A31">
        <w:rPr>
          <w:color w:val="0070C0"/>
          <w:sz w:val="16"/>
          <w:szCs w:val="16"/>
        </w:rPr>
        <w:softHyphen/>
        <w:t>ков и тракторов, прокзводство которых необходимо поставить на тракторных и автомобильных заводах, и которые удовлетворя</w:t>
      </w:r>
      <w:r w:rsidRPr="00507A31">
        <w:rPr>
          <w:color w:val="0070C0"/>
          <w:sz w:val="16"/>
          <w:szCs w:val="16"/>
        </w:rPr>
        <w:softHyphen/>
        <w:t>ли бы требованиям НКВМора,-а также материалов о том, какие именно нужные НКВМ типы танков и тракторов необходимо принять и как организовать их производство путем ассимиляции и коопе</w:t>
      </w:r>
      <w:r w:rsidRPr="00507A31">
        <w:rPr>
          <w:color w:val="0070C0"/>
          <w:sz w:val="16"/>
          <w:szCs w:val="16"/>
        </w:rPr>
        <w:softHyphen/>
        <w:t>рирования на тракторных и автомобильных заводах.</w:t>
      </w:r>
    </w:p>
    <w:p w14:paraId="2FA0B76F" w14:textId="77777777" w:rsidR="00767814" w:rsidRPr="00507A31" w:rsidRDefault="00767814" w:rsidP="00507A31">
      <w:pPr>
        <w:jc w:val="both"/>
        <w:rPr>
          <w:color w:val="0070C0"/>
          <w:sz w:val="16"/>
          <w:szCs w:val="16"/>
        </w:rPr>
      </w:pPr>
      <w:r w:rsidRPr="00507A31">
        <w:rPr>
          <w:color w:val="0070C0"/>
          <w:sz w:val="16"/>
          <w:szCs w:val="16"/>
        </w:rPr>
        <w:t>2. В целях изучения различных систем и типов быстроход</w:t>
      </w:r>
      <w:r w:rsidRPr="00507A31">
        <w:rPr>
          <w:color w:val="0070C0"/>
          <w:sz w:val="16"/>
          <w:szCs w:val="16"/>
        </w:rPr>
        <w:softHyphen/>
        <w:t>ных тракторо-танковых двигателей и самих тракторов, имеющихся заграницей и удовлетворяющих нуждам НКВМ, а также и изучения организации постановки производства быстроходных тракторов на заграничных заводах,- предложить комиссий в составе т.т. Осинского, Халепского и Будняка произвести закупку заграницей на сумму до 500 тысяч рублей отдельных экземпляров быстроходных тракторов, тягачей и моторов разных систем и ознакомиться с организацией их производства.</w:t>
      </w:r>
    </w:p>
    <w:p w14:paraId="43A9F0A5" w14:textId="77777777" w:rsidR="00767814" w:rsidRPr="00507A31" w:rsidRDefault="00767814" w:rsidP="00507A31">
      <w:pPr>
        <w:jc w:val="both"/>
        <w:rPr>
          <w:color w:val="0070C0"/>
          <w:sz w:val="16"/>
          <w:szCs w:val="16"/>
        </w:rPr>
      </w:pPr>
      <w:r w:rsidRPr="00507A31">
        <w:rPr>
          <w:color w:val="0070C0"/>
          <w:sz w:val="16"/>
          <w:szCs w:val="16"/>
        </w:rPr>
        <w:t>3. Окончательное решение о постановке танков и военных быстроходных тракторов на тракторных и автомобильных заводах СССР - принять по возвращении комиссии из заграницы.</w:t>
      </w:r>
    </w:p>
    <w:p w14:paraId="6981C32E" w14:textId="77777777" w:rsidR="00767814" w:rsidRPr="00507A31" w:rsidRDefault="00767814" w:rsidP="00507A31">
      <w:pPr>
        <w:jc w:val="both"/>
        <w:rPr>
          <w:color w:val="0070C0"/>
          <w:sz w:val="16"/>
          <w:szCs w:val="16"/>
        </w:rPr>
      </w:pPr>
      <w:r w:rsidRPr="00507A31">
        <w:rPr>
          <w:color w:val="0070C0"/>
          <w:sz w:val="16"/>
          <w:szCs w:val="16"/>
        </w:rPr>
        <w:t>4. Предложить комиссии, независимо от ее поездки загра</w:t>
      </w:r>
      <w:r w:rsidRPr="00507A31">
        <w:rPr>
          <w:color w:val="0070C0"/>
          <w:sz w:val="16"/>
          <w:szCs w:val="16"/>
        </w:rPr>
        <w:softHyphen/>
        <w:t>ницу, организовать проработку вопросов о танках и тракторах, в автотракторном об’единении.</w:t>
      </w:r>
    </w:p>
    <w:p w14:paraId="3229A25D" w14:textId="77777777" w:rsidR="00767814" w:rsidRPr="00507A31" w:rsidRDefault="00767814" w:rsidP="00507A31">
      <w:pPr>
        <w:jc w:val="both"/>
        <w:rPr>
          <w:color w:val="0070C0"/>
          <w:sz w:val="16"/>
          <w:szCs w:val="16"/>
        </w:rPr>
      </w:pPr>
      <w:r w:rsidRPr="00507A31">
        <w:rPr>
          <w:color w:val="0070C0"/>
          <w:sz w:val="16"/>
          <w:szCs w:val="16"/>
        </w:rPr>
        <w:t>5. Предложить комиссии во все время заграничной  командировки регулярно информиповать.</w:t>
      </w:r>
    </w:p>
    <w:p w14:paraId="02469DC9" w14:textId="77777777" w:rsidR="00767814" w:rsidRPr="00507A31" w:rsidRDefault="00767814" w:rsidP="00507A31">
      <w:pPr>
        <w:jc w:val="both"/>
        <w:rPr>
          <w:color w:val="0070C0"/>
          <w:sz w:val="16"/>
          <w:szCs w:val="16"/>
        </w:rPr>
      </w:pPr>
      <w:r w:rsidRPr="00507A31">
        <w:rPr>
          <w:color w:val="0070C0"/>
          <w:sz w:val="16"/>
          <w:szCs w:val="16"/>
        </w:rPr>
        <w:t>б) Поручить комиссии в составе т .т.Рухимовича (председатель), Калиновского, Толсконцева, Яковлева, Межлаука и Постнико</w:t>
      </w:r>
      <w:r w:rsidRPr="00507A31">
        <w:rPr>
          <w:color w:val="0070C0"/>
          <w:sz w:val="16"/>
          <w:szCs w:val="16"/>
        </w:rPr>
        <w:softHyphen/>
        <w:t>ва выяснить вопрос о том, какого типа быстроходные трактора у нас уже имеются и организовать их испытания, учтя результаты ужо произведенных НКЗёмом, ВСНХ и НКВМ испытаний тракто</w:t>
      </w:r>
      <w:r w:rsidRPr="00507A31">
        <w:rPr>
          <w:color w:val="0070C0"/>
          <w:sz w:val="16"/>
          <w:szCs w:val="16"/>
        </w:rPr>
        <w:softHyphen/>
        <w:t>ров, а также выяснить положение с немецким трактором.</w:t>
      </w:r>
    </w:p>
    <w:p w14:paraId="6A1FCCE2" w14:textId="77777777" w:rsidR="00767814" w:rsidRPr="00507A31" w:rsidRDefault="00767814" w:rsidP="00507A31">
      <w:pPr>
        <w:jc w:val="both"/>
        <w:rPr>
          <w:color w:val="0070C0"/>
          <w:sz w:val="16"/>
          <w:szCs w:val="16"/>
        </w:rPr>
      </w:pPr>
      <w:r w:rsidRPr="00507A31">
        <w:rPr>
          <w:color w:val="0070C0"/>
          <w:sz w:val="16"/>
          <w:szCs w:val="16"/>
        </w:rPr>
        <w:t>Выписки посланы: т.т. Куйбышеву.Ворошилову - все; Членам комиссии - п."б” (23093).</w:t>
      </w:r>
    </w:p>
    <w:p w14:paraId="6103E207" w14:textId="77777777" w:rsidR="00767814" w:rsidRPr="00507A31" w:rsidRDefault="00767814" w:rsidP="00507A31">
      <w:pPr>
        <w:jc w:val="both"/>
        <w:rPr>
          <w:color w:val="0070C0"/>
          <w:sz w:val="16"/>
          <w:szCs w:val="16"/>
        </w:rPr>
      </w:pPr>
    </w:p>
    <w:p w14:paraId="6D0314E9" w14:textId="77777777" w:rsidR="00767814" w:rsidRPr="00507A31" w:rsidRDefault="00767814" w:rsidP="00507A31">
      <w:pPr>
        <w:shd w:val="clear" w:color="auto" w:fill="FFFFFF"/>
        <w:jc w:val="both"/>
        <w:rPr>
          <w:color w:val="0070C0"/>
          <w:sz w:val="16"/>
          <w:szCs w:val="16"/>
        </w:rPr>
      </w:pPr>
      <w:r w:rsidRPr="00507A31">
        <w:rPr>
          <w:color w:val="0070C0"/>
          <w:sz w:val="16"/>
          <w:szCs w:val="16"/>
          <w:shd w:val="clear" w:color="auto" w:fill="FFFFFF"/>
        </w:rPr>
        <w:t xml:space="preserve">20 января 1930 года было окончательно принято решение об отправке за рубеж специальной комиссии, которую возглавил И.А. Халепский, начальник УММ КА. Ее задачей стала закупка зарубежных танков, а также поиск возможностей для организации их производства в Советском Союзе. В списке комиссии Халепского значилось шасси M1940 Кристи, а также колесно-гусеничный танк M1927. Данная машина никогда не существовала в металле, Кристи ее разрабатывал для поляков, но дальше макета дело не пошло. Также значился легкий колесно-гусеничный танк T1E1, но на самом деле такой машины не существовало. С Light Tank T1E1 комиссия познакомилась, но быстро стало понятно, что она не стоит внимания. С французами договориться не удалось (у них интересовал Renault NC), а у англичан </w:t>
      </w:r>
      <w:r w:rsidRPr="00507A31">
        <w:rPr>
          <w:color w:val="0070C0"/>
          <w:sz w:val="16"/>
          <w:szCs w:val="16"/>
          <w:shd w:val="clear" w:color="auto" w:fill="FFFFFF"/>
        </w:rPr>
        <w:lastRenderedPageBreak/>
        <w:t>перечень закупленных машин сильно отличался от планов. Вместо колесно-гусеничной танкетки Carden-Loyd Mk.V приобрели более совершенную и чисто гусеничную Carden-Loyd Mk.VI. Вместо колесно-гусеничного среднего танка приобрели чисто гусеничный Medium Tank Mk.II. Наконец, главной удачей стало приобретение Vickers Mk.E. Такой машины в планах вообще не значилось, но этот танк вполне вписывался в систему вооружения Красной Армии (20339).</w:t>
      </w:r>
    </w:p>
    <w:p w14:paraId="2A461DD7" w14:textId="77777777" w:rsidR="00767814" w:rsidRPr="00507A31" w:rsidRDefault="00767814" w:rsidP="00507A31">
      <w:pPr>
        <w:shd w:val="clear" w:color="auto" w:fill="FFFFFF"/>
        <w:jc w:val="both"/>
        <w:rPr>
          <w:color w:val="0070C0"/>
          <w:sz w:val="16"/>
          <w:szCs w:val="16"/>
        </w:rPr>
      </w:pPr>
    </w:p>
    <w:p w14:paraId="4FF75373" w14:textId="77777777" w:rsidR="00C04FDD" w:rsidRPr="00507A31" w:rsidRDefault="00C04FDD" w:rsidP="00507A31">
      <w:pPr>
        <w:autoSpaceDE w:val="0"/>
        <w:autoSpaceDN w:val="0"/>
        <w:adjustRightInd w:val="0"/>
        <w:jc w:val="both"/>
        <w:rPr>
          <w:color w:val="000000" w:themeColor="text1"/>
          <w:sz w:val="16"/>
          <w:szCs w:val="16"/>
        </w:rPr>
      </w:pPr>
      <w:r w:rsidRPr="00507A31">
        <w:rPr>
          <w:color w:val="000000" w:themeColor="text1"/>
          <w:sz w:val="16"/>
          <w:szCs w:val="16"/>
        </w:rPr>
        <w:t>20 января 1930 г. председателю правления ОАТ и директору завода «Большевик» УММ было разрешено снять копии с чертежей для их дальнейшего возможного использования в конструкторской работе. Копирование производилось тайно, об этом знал очень ограниченный круг людей. При копировании необходимо было выполнить ряд условий: — на копиях не должно было оставаться никаких следов их немецкого происхождения, а также следов снятия копий; — на каждой копии должна была стоять шифрованная надпись, например, «Трансмиссия мотовоза инженера Казанцева» и т. п. [ЦГАСА, ф. 31811, оп. 1, д. 331, л. 17—19]. Советско-германское сотрудничество осуществлялось и в сфере военной индустрии. Например, концерн Крупна помог наладить в Советском Союзе производство специальных марок стали. Однако отношения между двумя странами, равно как и между военными специалистами, развивались сложно, постепенно росло взаимное отчуждение. Приход Гитлера к власти усугубил ситуацию (11250).</w:t>
      </w:r>
    </w:p>
    <w:p w14:paraId="5E4939EB" w14:textId="77777777" w:rsidR="00C04FDD" w:rsidRPr="00507A31" w:rsidRDefault="00C04FDD" w:rsidP="00507A31">
      <w:pPr>
        <w:autoSpaceDE w:val="0"/>
        <w:autoSpaceDN w:val="0"/>
        <w:adjustRightInd w:val="0"/>
        <w:jc w:val="both"/>
        <w:rPr>
          <w:color w:val="000000" w:themeColor="text1"/>
          <w:sz w:val="16"/>
          <w:szCs w:val="16"/>
        </w:rPr>
      </w:pPr>
    </w:p>
    <w:p w14:paraId="3A3FCFBA" w14:textId="77777777" w:rsidR="00C04FDD" w:rsidRPr="00507A31" w:rsidRDefault="00C04FDD" w:rsidP="00507A31">
      <w:pPr>
        <w:jc w:val="both"/>
        <w:rPr>
          <w:color w:val="000000" w:themeColor="text1"/>
          <w:sz w:val="16"/>
          <w:szCs w:val="16"/>
        </w:rPr>
      </w:pPr>
      <w:r w:rsidRPr="00507A31">
        <w:rPr>
          <w:color w:val="000000" w:themeColor="text1"/>
          <w:sz w:val="16"/>
          <w:szCs w:val="16"/>
        </w:rPr>
        <w:t>20 января 1930 г. происходит острый конфликт между управ</w:t>
      </w:r>
      <w:r w:rsidRPr="00507A31">
        <w:rPr>
          <w:color w:val="000000" w:themeColor="text1"/>
          <w:sz w:val="16"/>
          <w:szCs w:val="16"/>
        </w:rPr>
        <w:softHyphen/>
        <w:t>лением  ЭПРОНа  и финансовым отделом ОГПУ. Начальник фи</w:t>
      </w:r>
      <w:r w:rsidRPr="00507A31">
        <w:rPr>
          <w:color w:val="000000" w:themeColor="text1"/>
          <w:sz w:val="16"/>
          <w:szCs w:val="16"/>
        </w:rPr>
        <w:softHyphen/>
        <w:t>нотдела ОГПУ представляет доклад на имя зам. председателя ОГПУ, в котором просит запретить Экспедиции расширять свою деятельность и заключать какие бы то ни было договоры с при</w:t>
      </w:r>
      <w:r w:rsidRPr="00507A31">
        <w:rPr>
          <w:color w:val="000000" w:themeColor="text1"/>
          <w:sz w:val="16"/>
          <w:szCs w:val="16"/>
        </w:rPr>
        <w:softHyphen/>
        <w:t>нятием риска за судоподъемные работы на свой счет. В это же время руководство  ЭПРОНа  ставит вопрос о переда</w:t>
      </w:r>
      <w:r w:rsidRPr="00507A31">
        <w:rPr>
          <w:color w:val="000000" w:themeColor="text1"/>
          <w:sz w:val="16"/>
          <w:szCs w:val="16"/>
        </w:rPr>
        <w:softHyphen/>
        <w:t>че организации в структуру Наркомата путей сообщения (15509).</w:t>
      </w:r>
    </w:p>
    <w:p w14:paraId="3D10E6DD" w14:textId="77777777" w:rsidR="00C04FDD" w:rsidRPr="00507A31" w:rsidRDefault="00C04FDD" w:rsidP="00507A31">
      <w:pPr>
        <w:jc w:val="both"/>
        <w:rPr>
          <w:color w:val="000000" w:themeColor="text1"/>
          <w:sz w:val="16"/>
          <w:szCs w:val="16"/>
        </w:rPr>
      </w:pPr>
    </w:p>
    <w:p w14:paraId="4C759363" w14:textId="77777777" w:rsidR="001A51A5" w:rsidRPr="00507A31" w:rsidRDefault="001A51A5" w:rsidP="00507A31">
      <w:pPr>
        <w:jc w:val="both"/>
        <w:rPr>
          <w:color w:val="000000" w:themeColor="text1"/>
          <w:sz w:val="16"/>
          <w:szCs w:val="16"/>
        </w:rPr>
      </w:pPr>
      <w:r w:rsidRPr="00507A31">
        <w:rPr>
          <w:rStyle w:val="a7"/>
          <w:b w:val="0"/>
          <w:color w:val="000000" w:themeColor="text1"/>
          <w:sz w:val="16"/>
          <w:szCs w:val="16"/>
        </w:rPr>
        <w:t xml:space="preserve">20 января 1930 </w:t>
      </w:r>
      <w:r w:rsidRPr="00507A31">
        <w:rPr>
          <w:color w:val="000000" w:themeColor="text1"/>
          <w:sz w:val="16"/>
          <w:szCs w:val="16"/>
        </w:rPr>
        <w:t>Политбюро ЦК ВКП (б) утвердило предложение комиссии о кредитной реформе и проект обращения ЦК ВКП (б) к местным партийным организациям о капитальном строительстве; приняло решение об источниках покрытия дефицита союзной промышленности по профинплану на 1929/30 г.; рекомендовало СНК сопровождать все решения о дополнительных капитальных работах предложениями об источниках покрытия расходов; одобрило предложение ВЦСПС и ЦК ВЛКСМ об организации ленинского призыва ударников; предложило организовать для наблюдения за строительством Днепрогэса и разрешения спорных вопросов специальное бюро (12265).</w:t>
      </w:r>
    </w:p>
    <w:p w14:paraId="55A41468" w14:textId="77777777" w:rsidR="001A51A5" w:rsidRPr="00507A31" w:rsidRDefault="001A51A5" w:rsidP="00507A31">
      <w:pPr>
        <w:jc w:val="both"/>
        <w:rPr>
          <w:color w:val="000000" w:themeColor="text1"/>
          <w:sz w:val="16"/>
          <w:szCs w:val="16"/>
        </w:rPr>
      </w:pPr>
      <w:r w:rsidRPr="00507A31">
        <w:rPr>
          <w:color w:val="000000" w:themeColor="text1"/>
          <w:sz w:val="16"/>
          <w:szCs w:val="16"/>
        </w:rPr>
        <w:t>ЦИК и СНК приняли постановление «О выпуске государственного внутреннего девятипроцентного выигрышного займа 1930 г.» (12265).</w:t>
      </w:r>
    </w:p>
    <w:p w14:paraId="12AFB2A6" w14:textId="77777777" w:rsidR="001A51A5" w:rsidRPr="00507A31" w:rsidRDefault="001A51A5" w:rsidP="00507A31">
      <w:pPr>
        <w:jc w:val="both"/>
        <w:rPr>
          <w:color w:val="000000" w:themeColor="text1"/>
          <w:sz w:val="16"/>
          <w:szCs w:val="16"/>
        </w:rPr>
      </w:pPr>
      <w:r w:rsidRPr="00507A31">
        <w:rPr>
          <w:color w:val="000000" w:themeColor="text1"/>
          <w:sz w:val="16"/>
          <w:szCs w:val="16"/>
        </w:rPr>
        <w:t> </w:t>
      </w:r>
    </w:p>
    <w:p w14:paraId="79654E1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E729723" w14:textId="77777777" w:rsidR="00537E5F" w:rsidRPr="00507A31" w:rsidRDefault="00537E5F" w:rsidP="00507A31">
      <w:pPr>
        <w:autoSpaceDE w:val="0"/>
        <w:autoSpaceDN w:val="0"/>
        <w:adjustRightInd w:val="0"/>
        <w:jc w:val="both"/>
        <w:rPr>
          <w:iCs/>
          <w:color w:val="000000" w:themeColor="text1"/>
          <w:sz w:val="16"/>
          <w:szCs w:val="16"/>
        </w:rPr>
      </w:pPr>
    </w:p>
    <w:p w14:paraId="4D1CE3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состоянию на 20 января 1930 в стране коллективизировано 21, 6% крестьянских хозяйств, в т.ч. на Украине - 15, 4% (10687).</w:t>
      </w:r>
    </w:p>
    <w:p w14:paraId="683FFCB5" w14:textId="77777777" w:rsidR="00537E5F" w:rsidRPr="00507A31" w:rsidRDefault="00537E5F" w:rsidP="00507A31">
      <w:pPr>
        <w:autoSpaceDE w:val="0"/>
        <w:autoSpaceDN w:val="0"/>
        <w:adjustRightInd w:val="0"/>
        <w:jc w:val="both"/>
        <w:rPr>
          <w:color w:val="000000" w:themeColor="text1"/>
          <w:sz w:val="16"/>
          <w:szCs w:val="16"/>
        </w:rPr>
      </w:pPr>
    </w:p>
    <w:p w14:paraId="79CE9D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января 1930 Павловка Инжавинского района. Уполномоченный РИКА Терзеев, узнав, что верующие не могут уплатить страховки, заставил вынести церковному совету постановлние об отказе от церкви и решил произвести изъятие колоколов. Собралось 150 женщин. Присутствовали крестьяне середняки-бедняки и обложенные по ст.28. К вечеру разошлись, оставив караулы (10687).</w:t>
      </w:r>
    </w:p>
    <w:p w14:paraId="067A00C5" w14:textId="77777777" w:rsidR="00537E5F" w:rsidRPr="00507A31" w:rsidRDefault="00537E5F" w:rsidP="00507A31">
      <w:pPr>
        <w:autoSpaceDE w:val="0"/>
        <w:autoSpaceDN w:val="0"/>
        <w:adjustRightInd w:val="0"/>
        <w:jc w:val="both"/>
        <w:rPr>
          <w:color w:val="000000" w:themeColor="text1"/>
          <w:sz w:val="16"/>
          <w:szCs w:val="16"/>
        </w:rPr>
      </w:pPr>
    </w:p>
    <w:p w14:paraId="117C327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4A8380C" w14:textId="77777777" w:rsidR="00537E5F" w:rsidRPr="00507A31" w:rsidRDefault="00537E5F" w:rsidP="00507A31">
      <w:pPr>
        <w:autoSpaceDE w:val="0"/>
        <w:autoSpaceDN w:val="0"/>
        <w:adjustRightInd w:val="0"/>
        <w:jc w:val="both"/>
        <w:rPr>
          <w:iCs/>
          <w:color w:val="000000" w:themeColor="text1"/>
          <w:sz w:val="16"/>
          <w:szCs w:val="16"/>
        </w:rPr>
      </w:pPr>
    </w:p>
    <w:p w14:paraId="247B0F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января 1930 Чарльз Линберг прибыл в Нью Йорк установив рекорд пересечения страны за 14:75 (2100).</w:t>
      </w:r>
    </w:p>
    <w:p w14:paraId="20005EF9" w14:textId="77777777" w:rsidR="00537E5F" w:rsidRPr="00507A31" w:rsidRDefault="00537E5F" w:rsidP="00507A31">
      <w:pPr>
        <w:autoSpaceDE w:val="0"/>
        <w:autoSpaceDN w:val="0"/>
        <w:adjustRightInd w:val="0"/>
        <w:jc w:val="both"/>
        <w:rPr>
          <w:color w:val="000000" w:themeColor="text1"/>
          <w:sz w:val="16"/>
          <w:szCs w:val="16"/>
        </w:rPr>
      </w:pPr>
    </w:p>
    <w:p w14:paraId="494845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января 1930 Гаагская репарационная конференция приняла план Юнга - план возрождения германской промышленности (3186).</w:t>
      </w:r>
    </w:p>
    <w:p w14:paraId="7493D86B" w14:textId="77777777" w:rsidR="00537E5F" w:rsidRPr="00507A31" w:rsidRDefault="00537E5F" w:rsidP="00507A31">
      <w:pPr>
        <w:autoSpaceDE w:val="0"/>
        <w:autoSpaceDN w:val="0"/>
        <w:adjustRightInd w:val="0"/>
        <w:jc w:val="both"/>
        <w:rPr>
          <w:color w:val="000000" w:themeColor="text1"/>
          <w:sz w:val="16"/>
          <w:szCs w:val="16"/>
        </w:rPr>
      </w:pPr>
    </w:p>
    <w:p w14:paraId="66E27CBA" w14:textId="77777777" w:rsidR="00C04FDD" w:rsidRPr="00507A31" w:rsidRDefault="00C04FDD" w:rsidP="00507A31">
      <w:pPr>
        <w:jc w:val="both"/>
        <w:rPr>
          <w:color w:val="000000" w:themeColor="text1"/>
          <w:sz w:val="16"/>
          <w:szCs w:val="16"/>
        </w:rPr>
      </w:pPr>
      <w:r w:rsidRPr="00507A31">
        <w:rPr>
          <w:bCs/>
          <w:color w:val="000000" w:themeColor="text1"/>
          <w:sz w:val="16"/>
          <w:szCs w:val="16"/>
        </w:rPr>
        <w:t>20 января</w:t>
      </w:r>
      <w:r w:rsidRPr="00507A31">
        <w:rPr>
          <w:color w:val="000000" w:themeColor="text1"/>
          <w:sz w:val="16"/>
          <w:szCs w:val="16"/>
        </w:rPr>
        <w:t xml:space="preserve"> в 1930 году был основан Банк международных расчетов (БМР) (15015).</w:t>
      </w:r>
    </w:p>
    <w:p w14:paraId="19D7CF27" w14:textId="77777777" w:rsidR="00C04FDD" w:rsidRPr="00507A31" w:rsidRDefault="00C04FDD" w:rsidP="00507A31">
      <w:pPr>
        <w:jc w:val="both"/>
        <w:rPr>
          <w:color w:val="000000" w:themeColor="text1"/>
          <w:sz w:val="16"/>
          <w:szCs w:val="16"/>
        </w:rPr>
      </w:pPr>
    </w:p>
    <w:p w14:paraId="0732CE02" w14:textId="77777777" w:rsidR="00C04FDD" w:rsidRPr="00507A31" w:rsidRDefault="00C04FDD" w:rsidP="00507A31">
      <w:pPr>
        <w:jc w:val="both"/>
        <w:rPr>
          <w:color w:val="000000" w:themeColor="text1"/>
          <w:sz w:val="16"/>
          <w:szCs w:val="16"/>
        </w:rPr>
      </w:pPr>
      <w:r w:rsidRPr="00507A31">
        <w:rPr>
          <w:bCs/>
          <w:color w:val="000000" w:themeColor="text1"/>
          <w:sz w:val="16"/>
          <w:szCs w:val="16"/>
        </w:rPr>
        <w:t>20 января</w:t>
      </w:r>
      <w:r w:rsidRPr="00507A31">
        <w:rPr>
          <w:color w:val="000000" w:themeColor="text1"/>
          <w:sz w:val="16"/>
          <w:szCs w:val="16"/>
        </w:rPr>
        <w:t xml:space="preserve"> в 1930 году завершается Гаагская репарационная конференция и принимает новый план возрождения германского милитаризма - "план Юнга". Основные свои репарационные требования державы-победительницы предъявили Германии еще в 1924 на конференции в Лондоне. Годовая сумма выплат в первые 5 лет устанавливалась на уровне одного миллиарда семисот пятидесяти миллионов марок, а затем увеличивалась до двух с половиной миллиардов. Со своей стороны Франция и Бельгия выводили войска из РУРа. По истечении тех самых первых 5 лет новые условия репарационных выплат обсуждала уже Гаагская конференция. Прежде всего сумму выплат решено было сократить с двух с половиной до двух миллиардов марок в год. Кроме того, Британия добилась отмены выплат натурой — от этого страдал ее собственый экспорт. Главный же итог Гаагской конференции — досрочный (на 5 лет раньше срока, установленного Версальским договором) вывод оккупационных войск из Рейнской промышленной области. Перспектива экономического и военного возрождения Германии приобретает реальные черты (15015).</w:t>
      </w:r>
    </w:p>
    <w:p w14:paraId="4315D71A" w14:textId="77777777" w:rsidR="00C04FDD" w:rsidRPr="00507A31" w:rsidRDefault="00C04FDD" w:rsidP="00507A31">
      <w:pPr>
        <w:jc w:val="both"/>
        <w:rPr>
          <w:color w:val="000000" w:themeColor="text1"/>
          <w:sz w:val="16"/>
          <w:szCs w:val="16"/>
        </w:rPr>
      </w:pPr>
    </w:p>
    <w:p w14:paraId="37E9D903" w14:textId="77777777" w:rsidR="00D51101"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1371664" w14:textId="77777777" w:rsidR="00D51101" w:rsidRPr="00507A31" w:rsidRDefault="00D51101" w:rsidP="00507A31">
      <w:pPr>
        <w:autoSpaceDE w:val="0"/>
        <w:autoSpaceDN w:val="0"/>
        <w:adjustRightInd w:val="0"/>
        <w:jc w:val="both"/>
        <w:rPr>
          <w:iCs/>
          <w:color w:val="000000" w:themeColor="text1"/>
          <w:sz w:val="16"/>
          <w:szCs w:val="16"/>
        </w:rPr>
      </w:pPr>
    </w:p>
    <w:p w14:paraId="5962CD0C" w14:textId="77777777" w:rsidR="00D51101" w:rsidRPr="00507A31" w:rsidRDefault="00D51101" w:rsidP="00507A31">
      <w:pPr>
        <w:jc w:val="both"/>
        <w:rPr>
          <w:color w:val="000000" w:themeColor="text1"/>
          <w:sz w:val="16"/>
          <w:szCs w:val="16"/>
          <w:u w:color="002060"/>
        </w:rPr>
      </w:pPr>
      <w:r w:rsidRPr="00507A31">
        <w:rPr>
          <w:color w:val="000000" w:themeColor="text1"/>
          <w:sz w:val="16"/>
          <w:szCs w:val="16"/>
          <w:u w:color="002060"/>
        </w:rPr>
        <w:t>21 января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мобилизационной подготовке промышленности (РГАЭ. Ф. 4372. Оп. 91. Д. 595. Л. 5?З об.) (12415).</w:t>
      </w:r>
    </w:p>
    <w:p w14:paraId="3E613394" w14:textId="77777777" w:rsidR="00D51101" w:rsidRPr="00507A31" w:rsidRDefault="00D51101" w:rsidP="00507A31">
      <w:pPr>
        <w:jc w:val="both"/>
        <w:rPr>
          <w:color w:val="000000" w:themeColor="text1"/>
          <w:sz w:val="16"/>
          <w:szCs w:val="16"/>
          <w:u w:color="002060"/>
        </w:rPr>
      </w:pPr>
      <w:r w:rsidRPr="00507A31">
        <w:rPr>
          <w:color w:val="000000" w:themeColor="text1"/>
          <w:sz w:val="16"/>
          <w:szCs w:val="16"/>
          <w:u w:color="002060"/>
        </w:rPr>
        <w:t>Постановление РЗ СТО СССР об усилении руководства мобилизационной работой на местах (РГАЭ. Ф. 3429. Оп. 11. Д. 3. Л. 45?46.) (12415).</w:t>
      </w:r>
    </w:p>
    <w:p w14:paraId="32049606" w14:textId="77777777" w:rsidR="00D51101" w:rsidRPr="00507A31" w:rsidRDefault="00D51101" w:rsidP="00507A31">
      <w:pPr>
        <w:jc w:val="both"/>
        <w:rPr>
          <w:color w:val="000000" w:themeColor="text1"/>
          <w:sz w:val="16"/>
          <w:szCs w:val="16"/>
          <w:u w:color="002060"/>
        </w:rPr>
      </w:pPr>
    </w:p>
    <w:p w14:paraId="74FC352D" w14:textId="77777777" w:rsidR="00373CA1" w:rsidRPr="00507A31" w:rsidRDefault="00373CA1" w:rsidP="00507A31">
      <w:pPr>
        <w:pStyle w:val="rtejustify"/>
        <w:spacing w:before="0" w:after="0"/>
        <w:rPr>
          <w:color w:val="000000" w:themeColor="text1"/>
          <w:sz w:val="16"/>
          <w:szCs w:val="16"/>
        </w:rPr>
      </w:pPr>
      <w:r w:rsidRPr="00507A31">
        <w:rPr>
          <w:rStyle w:val="af0"/>
          <w:i w:val="0"/>
          <w:color w:val="000000" w:themeColor="text1"/>
          <w:sz w:val="16"/>
          <w:szCs w:val="16"/>
        </w:rPr>
        <w:t>21 января 1930 г.</w:t>
      </w:r>
      <w:r w:rsidRPr="00507A31">
        <w:rPr>
          <w:color w:val="000000" w:themeColor="text1"/>
          <w:sz w:val="16"/>
          <w:szCs w:val="16"/>
        </w:rPr>
        <w:t xml:space="preserve"> принято </w:t>
      </w:r>
      <w:r w:rsidRPr="00507A31">
        <w:rPr>
          <w:rStyle w:val="af0"/>
          <w:i w:val="0"/>
          <w:color w:val="000000" w:themeColor="text1"/>
          <w:sz w:val="16"/>
          <w:szCs w:val="16"/>
        </w:rPr>
        <w:t>постановление РЗ СТО СССР «О мобилизационной подготовке промышленности».</w:t>
      </w:r>
      <w:r w:rsidRPr="00507A31">
        <w:rPr>
          <w:color w:val="000000" w:themeColor="text1"/>
          <w:sz w:val="16"/>
          <w:szCs w:val="16"/>
        </w:rPr>
        <w:t xml:space="preserve"> Им отменялось постановление РЗ СТО от 30 декабря 1929 г. в отношении оценки мобилизационной работы промышленности. РЗ СТО признало, что ВСНХ не разработал план мобилизации промышленности (12517).</w:t>
      </w:r>
    </w:p>
    <w:p w14:paraId="0A90E6C1" w14:textId="77777777" w:rsidR="00373CA1" w:rsidRPr="00507A31" w:rsidRDefault="00373CA1" w:rsidP="00507A31">
      <w:pPr>
        <w:pStyle w:val="rtejustify"/>
        <w:spacing w:before="0" w:after="0"/>
        <w:rPr>
          <w:color w:val="000000" w:themeColor="text1"/>
          <w:sz w:val="16"/>
          <w:szCs w:val="16"/>
        </w:rPr>
      </w:pPr>
    </w:p>
    <w:p w14:paraId="73F120B3" w14:textId="77777777" w:rsidR="003235E7" w:rsidRPr="00507A31" w:rsidRDefault="003235E7" w:rsidP="00507A31">
      <w:pPr>
        <w:pStyle w:val="rtejustify"/>
        <w:spacing w:before="0" w:after="0"/>
        <w:rPr>
          <w:color w:val="000000" w:themeColor="text1"/>
          <w:sz w:val="16"/>
          <w:szCs w:val="16"/>
        </w:rPr>
      </w:pPr>
      <w:r w:rsidRPr="00507A31">
        <w:rPr>
          <w:color w:val="000000" w:themeColor="text1"/>
          <w:sz w:val="16"/>
          <w:szCs w:val="16"/>
        </w:rPr>
        <w:t>21 января 1930 г. вышло постановление правительства, в котором были указаны цифры по основным предметам вооружения (15293).</w:t>
      </w:r>
    </w:p>
    <w:p w14:paraId="048061C6" w14:textId="77777777" w:rsidR="003235E7" w:rsidRPr="00507A31" w:rsidRDefault="003235E7" w:rsidP="00507A31">
      <w:pPr>
        <w:pStyle w:val="rtejustify"/>
        <w:spacing w:before="0" w:after="0"/>
        <w:rPr>
          <w:color w:val="000000" w:themeColor="text1"/>
          <w:sz w:val="16"/>
          <w:szCs w:val="16"/>
        </w:rPr>
      </w:pPr>
    </w:p>
    <w:p w14:paraId="4C33AE6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5B5F469" w14:textId="77777777" w:rsidR="00537E5F" w:rsidRPr="00507A31" w:rsidRDefault="00537E5F" w:rsidP="00507A31">
      <w:pPr>
        <w:autoSpaceDE w:val="0"/>
        <w:autoSpaceDN w:val="0"/>
        <w:adjustRightInd w:val="0"/>
        <w:jc w:val="both"/>
        <w:rPr>
          <w:iCs/>
          <w:color w:val="000000" w:themeColor="text1"/>
          <w:sz w:val="16"/>
          <w:szCs w:val="16"/>
        </w:rPr>
      </w:pPr>
    </w:p>
    <w:p w14:paraId="606E68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января 1930 в "Красной звезде" в статье "К вопросу о политике ликвидации кулачества, как класса" И.В.С. прямо заявил о полном разрыве нынешней политики партии с решениями XV съезда и XVI конференции. Указав, что с лета 1929 года произошёл "</w:t>
      </w:r>
      <w:r w:rsidRPr="00507A31">
        <w:rPr>
          <w:iCs/>
          <w:color w:val="000000" w:themeColor="text1"/>
          <w:sz w:val="16"/>
          <w:szCs w:val="16"/>
        </w:rPr>
        <w:t>поворот</w:t>
      </w:r>
      <w:r w:rsidRPr="00507A31">
        <w:rPr>
          <w:color w:val="000000" w:themeColor="text1"/>
          <w:sz w:val="16"/>
          <w:szCs w:val="16"/>
        </w:rPr>
        <w:t xml:space="preserve"> в политике нашей партии в деревне", Сталин подчеркнул, что XV съезд исходил из того, что "кулачество, как класс, всё же должно остаться до поры до времени. На этом основании XV съезд оставил в силе закон об аренде земли, прекрасно зная, что арендаторами в своей массе являются кулаки. На этом основании XV съезд оставил в силе закон о найме труда в деревне, потребовав его точного проведения в жизнь. На этом основании была ещё раз провозглашена недопустимость раскулачивания... Противоречат ли эти законы и эти постановления политике ликвидации кулачества, как класса? Безусловно, да! Стало быть, эти законы и эти постановления придётся теперь отложить в сторону в районах сплошной коллективизации, сфера распространения которой растёт не по дням, а по часам. Впрочем, они уже отложены в сторону самим ходом колхозного движения в районах сплошной коллективизации". Таким образом, Сталин в одночасье объявил об отмене всех партийных решений и советских законов, определявших политику в деревне. Эта отмена, по его словам, была вызвана якобы напором стихийного движения бедняков и середняков, "громящих кулачество и осуществляющих сплошную коллективизацию" (9492).</w:t>
      </w:r>
    </w:p>
    <w:p w14:paraId="06A3BA60" w14:textId="77777777" w:rsidR="00537E5F" w:rsidRPr="00507A31" w:rsidRDefault="00537E5F" w:rsidP="00507A31">
      <w:pPr>
        <w:autoSpaceDE w:val="0"/>
        <w:autoSpaceDN w:val="0"/>
        <w:adjustRightInd w:val="0"/>
        <w:jc w:val="both"/>
        <w:rPr>
          <w:color w:val="000000" w:themeColor="text1"/>
          <w:sz w:val="16"/>
          <w:szCs w:val="16"/>
        </w:rPr>
      </w:pPr>
    </w:p>
    <w:p w14:paraId="5231A0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января 1930 Павловка Инжавинского района. По колокольному звону вновь собралась толпа в 300 человек. Шли разговоры о хлебозаготовках, раскулачивании, коллективизации, "нас обобрали". После успокоения крестьян, местные власти стали проводить "разъяснительную работу" и выявлять зачинщиков. Уполномоченного РИКа Терзеева отдали под суд, "ибо благодаря своей нетактичности им чуть не было создано настоящее восстание" (10687).</w:t>
      </w:r>
    </w:p>
    <w:p w14:paraId="54D544B9" w14:textId="77777777" w:rsidR="00537E5F" w:rsidRPr="00507A31" w:rsidRDefault="00537E5F" w:rsidP="00507A31">
      <w:pPr>
        <w:autoSpaceDE w:val="0"/>
        <w:autoSpaceDN w:val="0"/>
        <w:adjustRightInd w:val="0"/>
        <w:jc w:val="both"/>
        <w:rPr>
          <w:color w:val="000000" w:themeColor="text1"/>
          <w:sz w:val="16"/>
          <w:szCs w:val="16"/>
        </w:rPr>
      </w:pPr>
    </w:p>
    <w:p w14:paraId="14BA43A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8C30EDA" w14:textId="77777777" w:rsidR="00537E5F" w:rsidRPr="00507A31" w:rsidRDefault="00537E5F" w:rsidP="00507A31">
      <w:pPr>
        <w:autoSpaceDE w:val="0"/>
        <w:autoSpaceDN w:val="0"/>
        <w:adjustRightInd w:val="0"/>
        <w:jc w:val="both"/>
        <w:rPr>
          <w:iCs/>
          <w:color w:val="000000" w:themeColor="text1"/>
          <w:sz w:val="16"/>
          <w:szCs w:val="16"/>
        </w:rPr>
      </w:pPr>
    </w:p>
    <w:p w14:paraId="7E1D94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21 января по 22 апреля 1930 прошла Лондонская конференция по ограничению морских вооружений и приняли участие Великобритания, Италия, США, Франция и Япония. Продолжила регламентацию Вашингтонской конференции 1921-1922. Решили не спускать на воду новые линкоры и ограничили водоизмещение новых подводных лодок 2 тыс. т. Установили лимиты на число тяжелых крейсеров для Великобритании, США и Японии - 15, 18 и 12 (2438,373).</w:t>
      </w:r>
    </w:p>
    <w:p w14:paraId="4FCBE5B6" w14:textId="77777777" w:rsidR="00537E5F" w:rsidRPr="00507A31" w:rsidRDefault="00537E5F" w:rsidP="00507A31">
      <w:pPr>
        <w:autoSpaceDE w:val="0"/>
        <w:autoSpaceDN w:val="0"/>
        <w:adjustRightInd w:val="0"/>
        <w:jc w:val="both"/>
        <w:rPr>
          <w:color w:val="000000" w:themeColor="text1"/>
          <w:sz w:val="16"/>
          <w:szCs w:val="16"/>
        </w:rPr>
      </w:pPr>
    </w:p>
    <w:p w14:paraId="5C3847F7" w14:textId="77777777" w:rsidR="003235E7" w:rsidRPr="00507A31" w:rsidRDefault="003235E7" w:rsidP="00507A31">
      <w:pPr>
        <w:jc w:val="both"/>
        <w:rPr>
          <w:color w:val="000000" w:themeColor="text1"/>
          <w:sz w:val="16"/>
          <w:szCs w:val="16"/>
        </w:rPr>
      </w:pPr>
      <w:r w:rsidRPr="00507A31">
        <w:rPr>
          <w:bCs/>
          <w:color w:val="000000" w:themeColor="text1"/>
          <w:sz w:val="16"/>
          <w:szCs w:val="16"/>
        </w:rPr>
        <w:t>21 января</w:t>
      </w:r>
      <w:r w:rsidRPr="00507A31">
        <w:rPr>
          <w:color w:val="000000" w:themeColor="text1"/>
          <w:sz w:val="16"/>
          <w:szCs w:val="16"/>
        </w:rPr>
        <w:t xml:space="preserve"> в 1930 году один из создателей образа Микки Мауса Юб Айверкс покидает компанию "Уолт Дисней". Впервые Микки Маус появился в звуковом мультфильме "Пароходик Вилли" в 1928. Продолжая серию лент о мышонке Микки, Дисней начинал работу над новым циклом "Забавные симфонии". Один из персонажей следующих выпусков вспыльчивый крикун, насмешник и неудачник, утенок Дональд завоевывает еще большую любовь публики, чем Микки Маус. В 1932 за Микки Мауса будет получена специальная премия "Оскар" (15016).</w:t>
      </w:r>
    </w:p>
    <w:p w14:paraId="762DA831" w14:textId="77777777" w:rsidR="003235E7" w:rsidRPr="00507A31" w:rsidRDefault="003235E7" w:rsidP="00507A31">
      <w:pPr>
        <w:jc w:val="both"/>
        <w:rPr>
          <w:color w:val="000000" w:themeColor="text1"/>
          <w:sz w:val="16"/>
          <w:szCs w:val="16"/>
        </w:rPr>
      </w:pPr>
    </w:p>
    <w:p w14:paraId="509A5B5B" w14:textId="77777777" w:rsidR="003235E7" w:rsidRPr="00507A31" w:rsidRDefault="003235E7" w:rsidP="00507A31">
      <w:pPr>
        <w:jc w:val="both"/>
        <w:rPr>
          <w:color w:val="000000" w:themeColor="text1"/>
          <w:sz w:val="16"/>
          <w:szCs w:val="16"/>
        </w:rPr>
      </w:pPr>
      <w:r w:rsidRPr="00507A31">
        <w:rPr>
          <w:bCs/>
          <w:color w:val="000000" w:themeColor="text1"/>
          <w:sz w:val="16"/>
          <w:szCs w:val="16"/>
        </w:rPr>
        <w:t>21 января</w:t>
      </w:r>
      <w:r w:rsidRPr="00507A31">
        <w:rPr>
          <w:color w:val="000000" w:themeColor="text1"/>
          <w:sz w:val="16"/>
          <w:szCs w:val="16"/>
        </w:rPr>
        <w:t xml:space="preserve"> в 1930 году в Праге был установлен первый светофор (15016).</w:t>
      </w:r>
    </w:p>
    <w:p w14:paraId="4CAFA021" w14:textId="77777777" w:rsidR="003235E7" w:rsidRPr="00507A31" w:rsidRDefault="003235E7" w:rsidP="00507A31">
      <w:pPr>
        <w:jc w:val="both"/>
        <w:rPr>
          <w:color w:val="000000" w:themeColor="text1"/>
          <w:sz w:val="16"/>
          <w:szCs w:val="16"/>
        </w:rPr>
      </w:pPr>
    </w:p>
    <w:p w14:paraId="089EE55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2CFE0F0" w14:textId="77777777" w:rsidR="00537E5F" w:rsidRPr="00507A31" w:rsidRDefault="00537E5F" w:rsidP="00507A31">
      <w:pPr>
        <w:autoSpaceDE w:val="0"/>
        <w:autoSpaceDN w:val="0"/>
        <w:adjustRightInd w:val="0"/>
        <w:jc w:val="both"/>
        <w:rPr>
          <w:iCs/>
          <w:color w:val="000000" w:themeColor="text1"/>
          <w:sz w:val="16"/>
          <w:szCs w:val="16"/>
        </w:rPr>
      </w:pPr>
    </w:p>
    <w:p w14:paraId="0BF53D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22 января 1930 г. Златоустовскому мехзаводу (Завод-комбинат № 259 им. В.И. Ленина НКБ, Златоустовский оружейный завод, Златоустовский Князь-Михайловский завод, Златоустовский механический завод им. В.И.Ленина,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Росбоеприпаса /г. Златоуст п/я 39 «Сегмент» (1943 г.)/ /456200  г. Златоуст Челябинской обл. пл. </w:t>
      </w:r>
      <w:r w:rsidRPr="00507A31">
        <w:rPr>
          <w:color w:val="000000" w:themeColor="text1"/>
          <w:sz w:val="16"/>
          <w:szCs w:val="16"/>
          <w:lang w:val="en-US"/>
        </w:rPr>
        <w:t>Ill</w:t>
      </w:r>
      <w:r w:rsidRPr="00507A31">
        <w:rPr>
          <w:color w:val="000000" w:themeColor="text1"/>
          <w:sz w:val="16"/>
          <w:szCs w:val="16"/>
        </w:rPr>
        <w:t>-го Интернационала, 1/) присвоено имя В.И. Ленина, которое предприятие носило до 1992 г. В 1930 г. завод - в ведении инструментального треста ВСНХ. Пост. ВСНХ от 28.12.1931 г. мехзавод переименован в Златоустовский инструментальный завод-комбинат. 19.06.1933 г. принято решение о реконструкции завода для массового выпуска быстрорежущего и измерительного инструмента и станкостроения. К концу 1930-х  г. действовали цеха: машиностроительный, сверловый, калибровочный, граверный им. Фрунзе.</w:t>
      </w:r>
    </w:p>
    <w:p w14:paraId="5A5235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НКОП № 382сс от 29.09.1938 г. все здания и сооружения завода, находящиеся на стройплощадке нового строящегося оружейного завода № 54 15ГУ переданы в его ведение.</w:t>
      </w:r>
    </w:p>
    <w:p w14:paraId="1ECBF1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23.04.1939 г. завод передан в ведение НКБ и получил № 259. Входил в состав комбината им. Ленина. В 09.1939 г. начато строительство цеха № 35, четвертого снарядного цеха на заводе. К концу 1940 г. завод полностью переведен на производство военной продукции - снарядов и мин.</w:t>
      </w:r>
    </w:p>
    <w:p w14:paraId="11033B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Сюда в начале войны эвакуированы предприятия НКБ: производство 120-мм мин завода № 561 (81 ед. оборудования, 1407 чел.), к 30.01.1942 г. прибыло 60 ед. оборудования, часть его смонтирована и введена в строй, личный состав позднее возвращен в Лианозово; часть завода № 79 из Днепропетровска (производство 100-мм морских снарядов, 240 ед. оборудования, 314 чел.), на ее базе создан новый снарядный цех, который уже в 10.1941 г. выдал первую партию 100-мм снарядов; к 30.01.1942 г. восстановлено производство прежней мощностью - 235 тыс. шт. в год. Производство корпусов снарядов во время ВОВ. В соответствии с распоряжением ГКО № 3699 от 8.07.1943 г. с 3-го квартала 1943 г. на заводе ограничено производство шанцевого и деревообрабатываюего инструмента.</w:t>
      </w:r>
    </w:p>
    <w:p w14:paraId="440B02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12.1942-09.1944 г. -в ведении 4ГУ НКБ. Имел обозначение «п/я 39» (1943 г.).</w:t>
      </w:r>
    </w:p>
    <w:p w14:paraId="756C2D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завода цехи (1943 г.): основные: механические, кузнечно-прессовые, термический, мартеновский, чугунолитейный, цветного литья; вспомогательные: инструментальный, пресс-состр., столярного инструмента и холодного оружия.</w:t>
      </w:r>
    </w:p>
    <w:p w14:paraId="5219DC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распоряжением ГКО № 6369 от 11.08.1944 г. комбинат им. Ленина НКБ разделен на два завода: № 259 и № 391 НКБ (бывший цех холодного оружия).</w:t>
      </w:r>
    </w:p>
    <w:p w14:paraId="4526DD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05.1945 г. завод по спецзаказу изготовил клинки для участников Парада Победы в Москве.</w:t>
      </w:r>
    </w:p>
    <w:p w14:paraId="7F1901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04.1946 г. начат выпуск сельскохозяйственных культиваторов, с 11.1946 г.- буровых машин для нефтяников. 1.05.1948 г. выпущен первый самоходный комбайн. В 1959 г. завод первым в РСФСР освоил выпуск экскаваторов на базе колесных тракторов ЮМЗ. Пост, правительства в 1964 г. Златоустовскому машиностроительному заводу поручено освоение производства бытовых холодильников.</w:t>
      </w:r>
    </w:p>
    <w:p w14:paraId="7D5202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МОП от 20.11.1991 г. на базе Завода им. В.И. Ленина создано ПО, в состав которого вошли также завод экскаваторов, завод холодильников (с 1993 г.- АООТ «Златоустовский завод холодильников «Полюс»), металлургический завод, сельскохозяйственное предприятие, конструкторско-технологическая фирма «Конструктор», техноторговый центр «Зенит».</w:t>
      </w:r>
    </w:p>
    <w:p w14:paraId="4E327F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03.1998 г. было налажено производство казачьих шашек образца 1881 г.</w:t>
      </w:r>
    </w:p>
    <w:p w14:paraId="025EEF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1993 г. завод был акционирован на базе 15 % основных фондов. В 11.1996 г. на заводе введено конкурсное управление, в 05.1998 г. завод объявлен банкротом. Затем в результате реструктуризации было создано ОАО «Завод «Булат». По Указу Президента РФ № 1009 от 4.08.2004 г. ОАО вошло в число стратегических оборонных предприятий.</w:t>
      </w:r>
    </w:p>
    <w:p w14:paraId="0F1931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Площадь (1943 г.): производственная- 68343 м</w:t>
      </w:r>
      <w:r w:rsidRPr="00507A31">
        <w:rPr>
          <w:color w:val="000000" w:themeColor="text1"/>
          <w:sz w:val="16"/>
          <w:szCs w:val="16"/>
          <w:vertAlign w:val="superscript"/>
        </w:rPr>
        <w:t>2</w:t>
      </w:r>
      <w:r w:rsidRPr="00507A31">
        <w:rPr>
          <w:color w:val="000000" w:themeColor="text1"/>
          <w:sz w:val="16"/>
          <w:szCs w:val="16"/>
        </w:rPr>
        <w:t>; вспомогательная- 23265 м</w:t>
      </w:r>
      <w:r w:rsidRPr="00507A31">
        <w:rPr>
          <w:color w:val="000000" w:themeColor="text1"/>
          <w:sz w:val="16"/>
          <w:szCs w:val="16"/>
          <w:vertAlign w:val="superscript"/>
        </w:rPr>
        <w:t>2</w:t>
      </w:r>
      <w:r w:rsidRPr="00507A31">
        <w:rPr>
          <w:color w:val="000000" w:themeColor="text1"/>
          <w:sz w:val="16"/>
          <w:szCs w:val="16"/>
        </w:rPr>
        <w:t>.</w:t>
      </w:r>
    </w:p>
    <w:p w14:paraId="5486C2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(12.1942 г.)- 11.956 чел., (2002 г.)- 11.377 чел.</w:t>
      </w:r>
    </w:p>
    <w:p w14:paraId="50D24F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(02-12.1937 г.)- Я.А. Никольский, (12.1937-06.1940 г.)- В.Ф. Романовский, (1941 г.)- В.Н. Кононов; и.о. директора (04.1943 г.)- Винокуров; (11.1943 г.)- Н.Н. Шилин. Конкурсный управляющий (1996 г.)- И. Золотухин. Гендиректор (2001-04 г.)- В. Вальтер, (2007 г.)- Р.Б. Галин.</w:t>
      </w:r>
    </w:p>
    <w:p w14:paraId="2F4356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Коммерческий директор (2004 г.)- Р.Р. Хаджимуратов. Директор по производству (2004 г.)- </w:t>
      </w:r>
      <w:r w:rsidRPr="00507A31">
        <w:rPr>
          <w:color w:val="000000" w:themeColor="text1"/>
          <w:sz w:val="16"/>
          <w:szCs w:val="16"/>
          <w:lang w:val="en-US"/>
        </w:rPr>
        <w:t>P</w:t>
      </w:r>
      <w:r w:rsidRPr="00507A31">
        <w:rPr>
          <w:color w:val="000000" w:themeColor="text1"/>
          <w:sz w:val="16"/>
          <w:szCs w:val="16"/>
        </w:rPr>
        <w:t>.</w:t>
      </w:r>
      <w:r w:rsidRPr="00507A31">
        <w:rPr>
          <w:color w:val="000000" w:themeColor="text1"/>
          <w:sz w:val="16"/>
          <w:szCs w:val="16"/>
          <w:lang w:val="en-US"/>
        </w:rPr>
        <w:t>P</w:t>
      </w:r>
      <w:r w:rsidRPr="00507A31">
        <w:rPr>
          <w:color w:val="000000" w:themeColor="text1"/>
          <w:sz w:val="16"/>
          <w:szCs w:val="16"/>
        </w:rPr>
        <w:t>. Билалов.</w:t>
      </w:r>
    </w:p>
    <w:p w14:paraId="4568AA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(ВОВ)-  Г.А. Винокуров.</w:t>
      </w:r>
    </w:p>
    <w:p w14:paraId="5B52F3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гл. инженера (1964 г.)- Н.В. Машарин.</w:t>
      </w:r>
    </w:p>
    <w:p w14:paraId="1844FA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цехов: (1941 г.-)- В.Я. Клименков, Н.С. Дегтяренко. Начальник производства холодильников (1960-е)- Н.В. Машарин.</w:t>
      </w:r>
    </w:p>
    <w:p w14:paraId="295444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цеха: калибровочного (1942 г.)- С. Мурдасов.</w:t>
      </w:r>
    </w:p>
    <w:p w14:paraId="20C5AE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отделов: 2-го (04.1943 г.)- Александров.</w:t>
      </w:r>
    </w:p>
    <w:p w14:paraId="5AB223CC"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w:t>
      </w:r>
      <w:r w:rsidRPr="00507A31">
        <w:rPr>
          <w:color w:val="000000" w:themeColor="text1"/>
          <w:sz w:val="16"/>
          <w:szCs w:val="16"/>
        </w:rPr>
        <w:t xml:space="preserve"> шашки обр. 1927 г., ножи обр. 1941 г. (1943); снаряды: 45-мм бронебойный, 107-мм осколочно- фугасный, зажигательный и химический, 122-мм осколочно-фугасный (1940-) и осветительный (1937- опытная партия, 1940-), 100-мм (1941-), 76-мм, 100-мм, 45-мм (1943); 107-мм мина для горно-вьючного полкового миномета (1940-); комбайн С-4 (1948-); экскаваторы: Э-153 (I960-), ЭО-2621А (1971-), ЭО-2621В2 (1986-), ЭО- 3626 (2004-) (11982).</w:t>
      </w:r>
    </w:p>
    <w:p w14:paraId="7F144077" w14:textId="77777777" w:rsidR="00537E5F" w:rsidRPr="00507A31" w:rsidRDefault="00537E5F" w:rsidP="00507A31">
      <w:pPr>
        <w:autoSpaceDE w:val="0"/>
        <w:autoSpaceDN w:val="0"/>
        <w:adjustRightInd w:val="0"/>
        <w:jc w:val="both"/>
        <w:rPr>
          <w:color w:val="000000" w:themeColor="text1"/>
          <w:sz w:val="16"/>
          <w:szCs w:val="16"/>
        </w:rPr>
      </w:pPr>
    </w:p>
    <w:p w14:paraId="46FA22FF" w14:textId="77777777" w:rsidR="00C63995" w:rsidRPr="00507A31" w:rsidRDefault="00C63995" w:rsidP="00507A31">
      <w:pPr>
        <w:jc w:val="both"/>
        <w:rPr>
          <w:color w:val="000000" w:themeColor="text1"/>
          <w:sz w:val="16"/>
          <w:szCs w:val="16"/>
        </w:rPr>
      </w:pPr>
      <w:r w:rsidRPr="00507A31">
        <w:rPr>
          <w:bCs/>
          <w:color w:val="000000" w:themeColor="text1"/>
          <w:sz w:val="16"/>
          <w:szCs w:val="16"/>
        </w:rPr>
        <w:t>22 января</w:t>
      </w:r>
      <w:r w:rsidRPr="00507A31">
        <w:rPr>
          <w:color w:val="000000" w:themeColor="text1"/>
          <w:sz w:val="16"/>
          <w:szCs w:val="16"/>
        </w:rPr>
        <w:t xml:space="preserve"> в 1930 году рабочие Златоустовского механического завода объявили свой завод Ленинским ударным, заводу присвоено имя В.И.Ленина (это имя завод носил до момента преобразования в 1992 года в производственное объединение «Булат») (15017).</w:t>
      </w:r>
    </w:p>
    <w:p w14:paraId="051D5D98" w14:textId="77777777" w:rsidR="00C63995" w:rsidRPr="00507A31" w:rsidRDefault="00C63995" w:rsidP="00507A31">
      <w:pPr>
        <w:jc w:val="both"/>
        <w:rPr>
          <w:color w:val="000000" w:themeColor="text1"/>
          <w:sz w:val="16"/>
          <w:szCs w:val="16"/>
        </w:rPr>
      </w:pPr>
    </w:p>
    <w:p w14:paraId="529C323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D401378" w14:textId="77777777" w:rsidR="00537E5F" w:rsidRPr="00507A31" w:rsidRDefault="00537E5F" w:rsidP="00507A31">
      <w:pPr>
        <w:autoSpaceDE w:val="0"/>
        <w:autoSpaceDN w:val="0"/>
        <w:adjustRightInd w:val="0"/>
        <w:jc w:val="both"/>
        <w:rPr>
          <w:iCs/>
          <w:color w:val="000000" w:themeColor="text1"/>
          <w:sz w:val="16"/>
          <w:szCs w:val="16"/>
        </w:rPr>
      </w:pPr>
    </w:p>
    <w:p w14:paraId="2E37BD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января 1930 адмирал Ричард Берд начал составление карты Антарктиды (2100).</w:t>
      </w:r>
    </w:p>
    <w:p w14:paraId="2B5E9ED5" w14:textId="77777777" w:rsidR="00537E5F" w:rsidRPr="00507A31" w:rsidRDefault="00537E5F" w:rsidP="00507A31">
      <w:pPr>
        <w:autoSpaceDE w:val="0"/>
        <w:autoSpaceDN w:val="0"/>
        <w:adjustRightInd w:val="0"/>
        <w:jc w:val="both"/>
        <w:rPr>
          <w:color w:val="000000" w:themeColor="text1"/>
          <w:sz w:val="16"/>
          <w:szCs w:val="16"/>
        </w:rPr>
      </w:pPr>
    </w:p>
    <w:p w14:paraId="68002C0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9A67397" w14:textId="77777777" w:rsidR="00537E5F" w:rsidRPr="00507A31" w:rsidRDefault="00537E5F" w:rsidP="00507A31">
      <w:pPr>
        <w:autoSpaceDE w:val="0"/>
        <w:autoSpaceDN w:val="0"/>
        <w:adjustRightInd w:val="0"/>
        <w:jc w:val="both"/>
        <w:rPr>
          <w:iCs/>
          <w:color w:val="000000" w:themeColor="text1"/>
          <w:sz w:val="16"/>
          <w:szCs w:val="16"/>
        </w:rPr>
      </w:pPr>
    </w:p>
    <w:p w14:paraId="31AD60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января 1930 года РВС утвердил систему вооружения ВВС, утвержденной РВС (протокол совещания РВС за N 2 от 23 января 1930 года) (3516).</w:t>
      </w:r>
    </w:p>
    <w:p w14:paraId="636145EC" w14:textId="77777777" w:rsidR="00537E5F" w:rsidRPr="00507A31" w:rsidRDefault="00537E5F" w:rsidP="00507A31">
      <w:pPr>
        <w:autoSpaceDE w:val="0"/>
        <w:autoSpaceDN w:val="0"/>
        <w:adjustRightInd w:val="0"/>
        <w:jc w:val="both"/>
        <w:rPr>
          <w:color w:val="000000" w:themeColor="text1"/>
          <w:sz w:val="16"/>
          <w:szCs w:val="16"/>
        </w:rPr>
      </w:pPr>
    </w:p>
    <w:p w14:paraId="25C460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января 1930 Реввоенсовет утвердил первый план капитального строительства ВВС (556,40). Ставка на ТБ (556,25).</w:t>
      </w:r>
    </w:p>
    <w:p w14:paraId="79B5F7D1" w14:textId="77777777" w:rsidR="00537E5F" w:rsidRPr="00507A31" w:rsidRDefault="00537E5F" w:rsidP="00507A31">
      <w:pPr>
        <w:autoSpaceDE w:val="0"/>
        <w:autoSpaceDN w:val="0"/>
        <w:adjustRightInd w:val="0"/>
        <w:jc w:val="both"/>
        <w:rPr>
          <w:color w:val="000000" w:themeColor="text1"/>
          <w:sz w:val="16"/>
          <w:szCs w:val="16"/>
        </w:rPr>
      </w:pPr>
    </w:p>
    <w:p w14:paraId="54F102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райхсвера (21-я дивизия). С учетом ограниченных средств военного бюджета вооружение райхсвера должно было проводиться в два этапа (1928 — 1932гг. и 1933 — 1938гг. ). Осенью 1928г. правительство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«Райнметалл», «Даймлер-Бенц»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райхсвера, показывали и давали советским представителям сразу столько, что заключение контракта после этого становилось попросту ненужным. Опыт взаимодействия с небольшими предприятиями (теми же «Юнкерсом», «Штольценбергом»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w:t>
      </w:r>
      <w:r w:rsidRPr="00507A31">
        <w:rPr>
          <w:color w:val="000000" w:themeColor="text1"/>
          <w:sz w:val="16"/>
          <w:szCs w:val="16"/>
        </w:rPr>
        <w:lastRenderedPageBreak/>
        <w:t>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3CF66F27" w14:textId="77777777" w:rsidR="00537E5F" w:rsidRPr="00507A31" w:rsidRDefault="00537E5F" w:rsidP="00507A31">
      <w:pPr>
        <w:autoSpaceDE w:val="0"/>
        <w:autoSpaceDN w:val="0"/>
        <w:adjustRightInd w:val="0"/>
        <w:jc w:val="both"/>
        <w:rPr>
          <w:color w:val="000000" w:themeColor="text1"/>
          <w:sz w:val="16"/>
          <w:szCs w:val="16"/>
        </w:rPr>
      </w:pPr>
    </w:p>
    <w:p w14:paraId="5513126B" w14:textId="77777777" w:rsidR="00E656A7" w:rsidRPr="00507A31" w:rsidRDefault="00E656A7" w:rsidP="00507A31">
      <w:pPr>
        <w:jc w:val="both"/>
        <w:rPr>
          <w:color w:val="000000" w:themeColor="text1"/>
          <w:sz w:val="16"/>
          <w:szCs w:val="16"/>
        </w:rPr>
      </w:pPr>
      <w:r w:rsidRPr="00507A31">
        <w:rPr>
          <w:color w:val="000000" w:themeColor="text1"/>
          <w:sz w:val="16"/>
          <w:szCs w:val="16"/>
        </w:rPr>
        <w:t>23 января 1930 г. РВС СССР утвердил новый План строительства ВВС РККА. Основной упор делался на создание бомбардировочной и истребительной авиации. По уточненному пятилетнему плану военного строительства в конце первой пятилетки намечалось довести удельный вес бомбардировщиков до 38%. Истребители и разведчики должны были составлять по 31%. Относительно будущего обеспечения авиачастей истребителями в соответствии с Планом строительства ВВС РККА в необходимом количестве и качестве, в Управлении ВВС имелось особое мнение, которое в начале 1930 г. врид Начальника ВВС РККА Я.И. Алкснис изложил в докладе, направленном в РВС СССР. Он, в частности, писал: «Стало совершенно очевидным, что истребители советской конструкции (И-1, И-2, И-2-бис и т.д.) под мотор М-5 400 НР устаревают раньше своего выхода из опыт[ного] производства и типовых испытаний и что под наш единственный серийный мотор М-5 в 400 НР с его громадным сухим весом в 420 кг и большим расходом горючего в 240 – 250 грамм на силу/час – вообще современного истребителя построить невозможно»194. Исходя из этого, Я.И. Алкснис просил изыскать возможность срочного начала производства авиамоторов повышенной мощности М-22 (аналога французского «Юпитера-VI» на 480 л.с.) (приложение «П») (19566).</w:t>
      </w:r>
    </w:p>
    <w:p w14:paraId="57B6783F" w14:textId="77777777" w:rsidR="00E656A7" w:rsidRPr="00507A31" w:rsidRDefault="00E656A7" w:rsidP="00507A31">
      <w:pPr>
        <w:jc w:val="both"/>
        <w:rPr>
          <w:color w:val="000000" w:themeColor="text1"/>
          <w:sz w:val="16"/>
          <w:szCs w:val="16"/>
        </w:rPr>
      </w:pPr>
    </w:p>
    <w:p w14:paraId="0E2FFFE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277F8EF" w14:textId="77777777" w:rsidR="00537E5F" w:rsidRPr="00507A31" w:rsidRDefault="00537E5F" w:rsidP="00507A31">
      <w:pPr>
        <w:autoSpaceDE w:val="0"/>
        <w:autoSpaceDN w:val="0"/>
        <w:adjustRightInd w:val="0"/>
        <w:jc w:val="both"/>
        <w:rPr>
          <w:iCs/>
          <w:color w:val="000000" w:themeColor="text1"/>
          <w:sz w:val="16"/>
          <w:szCs w:val="16"/>
        </w:rPr>
      </w:pPr>
    </w:p>
    <w:p w14:paraId="2F95CA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января 1930 г. на совещании в Управлении ВМС было решено внести в проект 130/45-мм пушки Б-13 некоторые изменения, чтобы поднять скорострельность до 14 выстр/мин, снабдить приводы вертикального и горизонтального наведения муфтами Дженни, а полуавтоматику и досылатель заменит пружинными (3861).</w:t>
      </w:r>
    </w:p>
    <w:p w14:paraId="2081D81D" w14:textId="77777777" w:rsidR="00537E5F" w:rsidRPr="00507A31" w:rsidRDefault="00537E5F" w:rsidP="00507A31">
      <w:pPr>
        <w:autoSpaceDE w:val="0"/>
        <w:autoSpaceDN w:val="0"/>
        <w:adjustRightInd w:val="0"/>
        <w:jc w:val="both"/>
        <w:rPr>
          <w:color w:val="000000" w:themeColor="text1"/>
          <w:sz w:val="16"/>
          <w:szCs w:val="16"/>
        </w:rPr>
      </w:pPr>
    </w:p>
    <w:p w14:paraId="304C8117" w14:textId="77777777" w:rsidR="00275C3B" w:rsidRPr="00507A31" w:rsidRDefault="00275C3B" w:rsidP="00507A31">
      <w:pPr>
        <w:pStyle w:val="rtejustify"/>
        <w:spacing w:before="0" w:after="0"/>
        <w:rPr>
          <w:color w:val="000000" w:themeColor="text1"/>
          <w:sz w:val="16"/>
          <w:szCs w:val="16"/>
        </w:rPr>
      </w:pPr>
      <w:r w:rsidRPr="00507A31">
        <w:rPr>
          <w:rStyle w:val="af0"/>
          <w:i w:val="0"/>
          <w:color w:val="000000" w:themeColor="text1"/>
          <w:sz w:val="16"/>
          <w:szCs w:val="16"/>
        </w:rPr>
        <w:t>23 января 1930 г.</w:t>
      </w:r>
      <w:r w:rsidRPr="00507A31">
        <w:rPr>
          <w:color w:val="000000" w:themeColor="text1"/>
          <w:sz w:val="16"/>
          <w:szCs w:val="16"/>
        </w:rPr>
        <w:t xml:space="preserve"> в </w:t>
      </w:r>
      <w:r w:rsidRPr="00507A31">
        <w:rPr>
          <w:rStyle w:val="af0"/>
          <w:i w:val="0"/>
          <w:color w:val="000000" w:themeColor="text1"/>
          <w:sz w:val="16"/>
          <w:szCs w:val="16"/>
        </w:rPr>
        <w:t xml:space="preserve">постановлении Реввоенсовета СССР от </w:t>
      </w:r>
      <w:r w:rsidRPr="00507A31">
        <w:rPr>
          <w:color w:val="000000" w:themeColor="text1"/>
          <w:sz w:val="16"/>
          <w:szCs w:val="16"/>
        </w:rPr>
        <w:t>работы по модернизации образцов вооружения в истекшем году были признаны неудовлетворительными. Утверждалось, что «план модернизации фактически сорван, как по вине Артиллерийского управления, так и по причине чрезвычайно медленного темпа работ промышленности, слабости конструкторских сил и их неорганизованности». Предписывалось испытания 76</w:t>
      </w:r>
      <w:r w:rsidRPr="00507A31">
        <w:rPr>
          <w:color w:val="000000" w:themeColor="text1"/>
          <w:sz w:val="16"/>
          <w:szCs w:val="16"/>
        </w:rPr>
        <w:noBreakHyphen/>
        <w:t>мм снарядов увеличенной дальности стрельбы закончить к 1 февраля 1930 г. и окончательно установить образец для валовых заказов. Сдача 107</w:t>
      </w:r>
      <w:r w:rsidRPr="00507A31">
        <w:rPr>
          <w:color w:val="000000" w:themeColor="text1"/>
          <w:sz w:val="16"/>
          <w:szCs w:val="16"/>
        </w:rPr>
        <w:noBreakHyphen/>
        <w:t>мм снарядов увеличенной дальности стрельбы должна была состояться к 1 апреля 1930 г. с тем, чтобы войсковые испытания закончить к 1 августа, а полигонные — к 1 октября 1930 г. Промышленность должна была сдать партию 152</w:t>
      </w:r>
      <w:r w:rsidRPr="00507A31">
        <w:rPr>
          <w:color w:val="000000" w:themeColor="text1"/>
          <w:sz w:val="16"/>
          <w:szCs w:val="16"/>
        </w:rPr>
        <w:noBreakHyphen/>
        <w:t>мм снарядов дальней стрельбы к 1 апреля 1930 г., а полигонные испытания закончить не позднее 1 июля 1930 г. Первую партию 152</w:t>
      </w:r>
      <w:r w:rsidRPr="00507A31">
        <w:rPr>
          <w:color w:val="000000" w:themeColor="text1"/>
          <w:sz w:val="16"/>
          <w:szCs w:val="16"/>
        </w:rPr>
        <w:noBreakHyphen/>
        <w:t>мм снарядов, модернизированных по чертежам конструкторского бюро Научно-технического комитета Артиллерийского управления, предписывалось сдать к 15 марта, а испытания закончить к 1 июля 1930 г. (12497).</w:t>
      </w:r>
    </w:p>
    <w:p w14:paraId="02011DCF" w14:textId="77777777" w:rsidR="00275C3B" w:rsidRPr="00507A31" w:rsidRDefault="00275C3B" w:rsidP="00507A31">
      <w:pPr>
        <w:jc w:val="both"/>
        <w:rPr>
          <w:color w:val="000000" w:themeColor="text1"/>
          <w:sz w:val="16"/>
          <w:szCs w:val="16"/>
        </w:rPr>
      </w:pPr>
    </w:p>
    <w:p w14:paraId="7FE148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января 1930 г. Решением РВС СССР УММ обязывалось осуществить целый ряд изменений в конструкции малого танка МС-1. Эти изменения в основном были осуществлены. В связи с принятыми изменениями была допущена, со стороны Заводоуправления «Большевик», ошибка, выражающаяся в запуске в производство нового ведущего колеса без предварительных испытаний (10977).</w:t>
      </w:r>
    </w:p>
    <w:p w14:paraId="00A6EFC2" w14:textId="77777777" w:rsidR="00537E5F" w:rsidRPr="00507A31" w:rsidRDefault="00537E5F" w:rsidP="00507A31">
      <w:pPr>
        <w:autoSpaceDE w:val="0"/>
        <w:autoSpaceDN w:val="0"/>
        <w:adjustRightInd w:val="0"/>
        <w:jc w:val="both"/>
        <w:rPr>
          <w:color w:val="000000" w:themeColor="text1"/>
          <w:sz w:val="16"/>
          <w:szCs w:val="16"/>
        </w:rPr>
      </w:pPr>
    </w:p>
    <w:p w14:paraId="1F4891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января 1930 г. Решением РВС СССР УММ обязывалось осуществить целый ряд изменений в конструкции малого танка МС-1 (11210).</w:t>
      </w:r>
    </w:p>
    <w:p w14:paraId="3E0CA6BB" w14:textId="77777777" w:rsidR="00537E5F" w:rsidRPr="00507A31" w:rsidRDefault="00537E5F" w:rsidP="00507A31">
      <w:pPr>
        <w:autoSpaceDE w:val="0"/>
        <w:autoSpaceDN w:val="0"/>
        <w:adjustRightInd w:val="0"/>
        <w:jc w:val="both"/>
        <w:rPr>
          <w:color w:val="000000" w:themeColor="text1"/>
          <w:sz w:val="16"/>
          <w:szCs w:val="16"/>
        </w:rPr>
      </w:pPr>
    </w:p>
    <w:p w14:paraId="06651E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января 1930 года на состоявшемся совещании в УВМС было решено внести в проект нового 130-мм морского орудия для лидеров некоторые конструктивные изменения, чтобы повысить скорострельность с 10 до 14 выстрелов в минуту за счет снабжения приводов вертикальной и горизонтальной наводки муфтами Дженни и за­мены гидропневматических полуавтомати­ки и досылателя на пружинные (11866).</w:t>
      </w:r>
    </w:p>
    <w:p w14:paraId="704E0115" w14:textId="77777777" w:rsidR="00537E5F" w:rsidRPr="00507A31" w:rsidRDefault="00537E5F" w:rsidP="00507A31">
      <w:pPr>
        <w:autoSpaceDE w:val="0"/>
        <w:autoSpaceDN w:val="0"/>
        <w:adjustRightInd w:val="0"/>
        <w:jc w:val="both"/>
        <w:rPr>
          <w:color w:val="000000" w:themeColor="text1"/>
          <w:sz w:val="16"/>
          <w:szCs w:val="16"/>
        </w:rPr>
      </w:pPr>
    </w:p>
    <w:p w14:paraId="7B8C84A0" w14:textId="77777777" w:rsidR="00D51101" w:rsidRPr="00507A31" w:rsidRDefault="00D51101" w:rsidP="00507A31">
      <w:pPr>
        <w:pStyle w:val="rtejustify"/>
        <w:spacing w:before="0" w:after="0"/>
        <w:rPr>
          <w:color w:val="000000" w:themeColor="text1"/>
          <w:sz w:val="16"/>
          <w:szCs w:val="16"/>
        </w:rPr>
      </w:pPr>
      <w:r w:rsidRPr="00507A31">
        <w:rPr>
          <w:rStyle w:val="af0"/>
          <w:i w:val="0"/>
          <w:color w:val="000000" w:themeColor="text1"/>
          <w:sz w:val="16"/>
          <w:szCs w:val="16"/>
        </w:rPr>
        <w:t>23 января 1930 г. Протокол Реввоенсовета № 2.</w:t>
      </w:r>
      <w:r w:rsidRPr="00507A31">
        <w:rPr>
          <w:color w:val="000000" w:themeColor="text1"/>
          <w:sz w:val="16"/>
          <w:szCs w:val="16"/>
        </w:rPr>
        <w:t xml:space="preserve"> 1. О ходе работ по модернизации образцов вооружения. (Уборевич). 2. О системе строительства ВВС РККА. (Шапошников). 5. О системе морского вооружения и вооружения береговой обороны. (Муклевич). 10. Об изменении проекта подводной лодки в 550 тонн. (Муклевич). 11. О невыполнении промышленностью минимальных требований по улучшению конструкции танка МС</w:t>
      </w:r>
      <w:r w:rsidRPr="00507A31">
        <w:rPr>
          <w:color w:val="000000" w:themeColor="text1"/>
          <w:sz w:val="16"/>
          <w:szCs w:val="16"/>
        </w:rPr>
        <w:noBreakHyphen/>
        <w:t>1. (Калиновский). 15. О введении на вооружение предметов специального снабжения ВВС. (Баранов П. И.). 18. О боевой пулеметной тачанке для стрелковых частей. (Шапошников). 26. О 18 миллионах, предназначенных по смете для массовых заказов на предметы, еще не принятые на вооружение РККА. (Уборевич). 27. а) Телеграфный аппарат Шорина; б) Телефонный коммутатор «Коф». (Синявский). 28. О введении на вооружение ВВС взрывателя с замедлительной втулкой. (Меженинов). (РГВА. Ф. 4. Оп. 18. Д. 19. Л. 17</w:t>
      </w:r>
      <w:r w:rsidRPr="00507A31">
        <w:rPr>
          <w:color w:val="000000" w:themeColor="text1"/>
          <w:sz w:val="16"/>
          <w:szCs w:val="16"/>
        </w:rPr>
        <w:noBreakHyphen/>
        <w:t>22, 24</w:t>
      </w:r>
      <w:r w:rsidRPr="00507A31">
        <w:rPr>
          <w:color w:val="000000" w:themeColor="text1"/>
          <w:sz w:val="16"/>
          <w:szCs w:val="16"/>
        </w:rPr>
        <w:noBreakHyphen/>
        <w:t>28) (12342).</w:t>
      </w:r>
    </w:p>
    <w:p w14:paraId="58C8F405" w14:textId="77777777" w:rsidR="00D51101" w:rsidRPr="00507A31" w:rsidRDefault="00D51101" w:rsidP="00507A31">
      <w:pPr>
        <w:pStyle w:val="rtejustify"/>
        <w:spacing w:before="0" w:after="0"/>
        <w:rPr>
          <w:color w:val="000000" w:themeColor="text1"/>
          <w:sz w:val="16"/>
          <w:szCs w:val="16"/>
        </w:rPr>
      </w:pPr>
    </w:p>
    <w:p w14:paraId="3046546F" w14:textId="77777777" w:rsidR="00D51101" w:rsidRPr="00507A31" w:rsidRDefault="00D51101" w:rsidP="00507A31">
      <w:pPr>
        <w:pStyle w:val="rtejustify"/>
        <w:spacing w:before="0" w:after="0"/>
        <w:rPr>
          <w:color w:val="000000" w:themeColor="text1"/>
          <w:sz w:val="16"/>
          <w:szCs w:val="16"/>
        </w:rPr>
      </w:pPr>
      <w:r w:rsidRPr="00507A31">
        <w:rPr>
          <w:color w:val="000000" w:themeColor="text1"/>
          <w:sz w:val="16"/>
          <w:szCs w:val="16"/>
        </w:rPr>
        <w:t>23 января 1930 г. накануне закладки корабля Реввоенсоветом был утвержден роследний вариант проекта</w:t>
      </w:r>
      <w:r w:rsidRPr="00507A31">
        <w:rPr>
          <w:rStyle w:val="af0"/>
          <w:i w:val="0"/>
          <w:color w:val="000000" w:themeColor="text1"/>
          <w:sz w:val="16"/>
          <w:szCs w:val="16"/>
        </w:rPr>
        <w:t xml:space="preserve"> подводных лодок</w:t>
      </w:r>
      <w:r w:rsidRPr="00507A31">
        <w:rPr>
          <w:color w:val="000000" w:themeColor="text1"/>
          <w:sz w:val="16"/>
          <w:szCs w:val="16"/>
        </w:rPr>
        <w:t xml:space="preserve"> типа </w:t>
      </w:r>
      <w:r w:rsidRPr="00507A31">
        <w:rPr>
          <w:rStyle w:val="af0"/>
          <w:i w:val="0"/>
          <w:color w:val="000000" w:themeColor="text1"/>
          <w:sz w:val="16"/>
          <w:szCs w:val="16"/>
        </w:rPr>
        <w:t>«Щука», которая</w:t>
      </w:r>
      <w:r w:rsidRPr="00507A31">
        <w:rPr>
          <w:color w:val="000000" w:themeColor="text1"/>
          <w:sz w:val="16"/>
          <w:szCs w:val="16"/>
        </w:rPr>
        <w:t xml:space="preserve"> разрабатывались в Научно-техническом комитете под руководством А. Н. Гарсоева и Б. М. Малинина с 1928 г. Головная лодка «Щука», давшая наименование всей серии, была отнесена к средним подводным лодкам. Она была спущена на воду 1 декабря 1930 г. и вступила в строй в октябре 1933 г. Почти одновременно были окончены постройкой лодки </w:t>
      </w:r>
      <w:r w:rsidRPr="00507A31">
        <w:rPr>
          <w:rStyle w:val="af0"/>
          <w:i w:val="0"/>
          <w:color w:val="000000" w:themeColor="text1"/>
          <w:sz w:val="16"/>
          <w:szCs w:val="16"/>
        </w:rPr>
        <w:t>«Окунь» и «Ерш».</w:t>
      </w:r>
      <w:r w:rsidRPr="00507A31">
        <w:rPr>
          <w:color w:val="000000" w:themeColor="text1"/>
          <w:sz w:val="16"/>
          <w:szCs w:val="16"/>
        </w:rPr>
        <w:t xml:space="preserve"> Четвертая лодка серии, заложенная 23 февраля 1930 г. на заводе «Красное Сормово», получила название «Комсомолец» (12470).</w:t>
      </w:r>
    </w:p>
    <w:p w14:paraId="15220064" w14:textId="77777777" w:rsidR="00D51101" w:rsidRPr="00507A31" w:rsidRDefault="00D51101" w:rsidP="00507A31">
      <w:pPr>
        <w:jc w:val="both"/>
        <w:rPr>
          <w:color w:val="000000" w:themeColor="text1"/>
          <w:sz w:val="16"/>
          <w:szCs w:val="16"/>
          <w:u w:color="002060"/>
        </w:rPr>
      </w:pPr>
    </w:p>
    <w:p w14:paraId="5475BC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января 1930 г., буквально накануне на</w:t>
      </w:r>
      <w:r w:rsidRPr="00507A31">
        <w:rPr>
          <w:color w:val="000000" w:themeColor="text1"/>
          <w:sz w:val="16"/>
          <w:szCs w:val="16"/>
        </w:rPr>
        <w:softHyphen/>
        <w:t>меченной закладки головного корабля, эскизный проект малой лодки водоизмещением уже 550 т был ут</w:t>
      </w:r>
      <w:r w:rsidRPr="00507A31">
        <w:rPr>
          <w:color w:val="000000" w:themeColor="text1"/>
          <w:sz w:val="16"/>
          <w:szCs w:val="16"/>
        </w:rPr>
        <w:softHyphen/>
        <w:t>вержден Реввоенсоветом (3898).</w:t>
      </w:r>
    </w:p>
    <w:p w14:paraId="43CEED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Этот проект предусматривал установку шести торпедных аппа</w:t>
      </w:r>
      <w:r w:rsidRPr="00507A31">
        <w:rPr>
          <w:color w:val="000000" w:themeColor="text1"/>
          <w:sz w:val="16"/>
          <w:szCs w:val="16"/>
        </w:rPr>
        <w:softHyphen/>
        <w:t>ратов с четырьмя запасными торпедами и 37-мм автомата. В по</w:t>
      </w:r>
      <w:r w:rsidRPr="00507A31">
        <w:rPr>
          <w:color w:val="000000" w:themeColor="text1"/>
          <w:sz w:val="16"/>
          <w:szCs w:val="16"/>
        </w:rPr>
        <w:softHyphen/>
        <w:t>становлении РВС особо указывалось: "Беспузырность и бездифферентность стрельбы признать обязательными". Общий проект III серии Техбюро № 4 под руководством Б. М. Малинина разраба</w:t>
      </w:r>
      <w:r w:rsidRPr="00507A31">
        <w:rPr>
          <w:color w:val="000000" w:themeColor="text1"/>
          <w:sz w:val="16"/>
          <w:szCs w:val="16"/>
        </w:rPr>
        <w:softHyphen/>
        <w:t>тывало одновременно со строительством первых трех лодок — "Щука" (Щ-301), "Окунь" (Щ-302) и "Ерш" (Щ-303), заложенных на Балтийском заводе 5 февраля 1930 г. (3898)</w:t>
      </w:r>
    </w:p>
    <w:p w14:paraId="747AFD07" w14:textId="77777777" w:rsidR="00537E5F" w:rsidRPr="00507A31" w:rsidRDefault="00537E5F" w:rsidP="00507A31">
      <w:pPr>
        <w:autoSpaceDE w:val="0"/>
        <w:autoSpaceDN w:val="0"/>
        <w:adjustRightInd w:val="0"/>
        <w:jc w:val="both"/>
        <w:rPr>
          <w:iCs/>
          <w:color w:val="000000" w:themeColor="text1"/>
          <w:sz w:val="16"/>
          <w:szCs w:val="16"/>
        </w:rPr>
      </w:pPr>
    </w:p>
    <w:p w14:paraId="2D49DD18" w14:textId="77777777" w:rsidR="00D51101" w:rsidRPr="00507A31" w:rsidRDefault="00D51101" w:rsidP="00507A31">
      <w:pPr>
        <w:jc w:val="both"/>
        <w:rPr>
          <w:color w:val="000000" w:themeColor="text1"/>
          <w:sz w:val="16"/>
          <w:szCs w:val="16"/>
        </w:rPr>
      </w:pPr>
      <w:r w:rsidRPr="00507A31">
        <w:rPr>
          <w:rStyle w:val="a7"/>
          <w:b w:val="0"/>
          <w:color w:val="000000" w:themeColor="text1"/>
          <w:sz w:val="16"/>
          <w:szCs w:val="16"/>
        </w:rPr>
        <w:t xml:space="preserve">23 января 1930 </w:t>
      </w:r>
      <w:r w:rsidRPr="00507A31">
        <w:rPr>
          <w:color w:val="000000" w:themeColor="text1"/>
          <w:sz w:val="16"/>
          <w:szCs w:val="16"/>
        </w:rPr>
        <w:t>ЦИК и СНК приняли постановление «Об упразднении как самостоятельных ведомств ЦСУ СССР и центральных статистических управлений союзных республик и их местных органов и о передаче их функций плановым комиссиям» (12265).</w:t>
      </w:r>
    </w:p>
    <w:p w14:paraId="05B3BCC3" w14:textId="77777777" w:rsidR="00D51101" w:rsidRPr="00507A31" w:rsidRDefault="00D51101" w:rsidP="00507A31">
      <w:pPr>
        <w:jc w:val="both"/>
        <w:rPr>
          <w:color w:val="000000" w:themeColor="text1"/>
          <w:sz w:val="16"/>
          <w:szCs w:val="16"/>
        </w:rPr>
      </w:pPr>
      <w:r w:rsidRPr="00507A31">
        <w:rPr>
          <w:color w:val="000000" w:themeColor="text1"/>
          <w:sz w:val="16"/>
          <w:szCs w:val="16"/>
        </w:rPr>
        <w:t> </w:t>
      </w:r>
    </w:p>
    <w:p w14:paraId="5B5D2C8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0830167" w14:textId="77777777" w:rsidR="00537E5F" w:rsidRPr="00507A31" w:rsidRDefault="00537E5F" w:rsidP="00507A31">
      <w:pPr>
        <w:autoSpaceDE w:val="0"/>
        <w:autoSpaceDN w:val="0"/>
        <w:adjustRightInd w:val="0"/>
        <w:jc w:val="both"/>
        <w:rPr>
          <w:iCs/>
          <w:color w:val="000000" w:themeColor="text1"/>
          <w:sz w:val="16"/>
          <w:szCs w:val="16"/>
        </w:rPr>
      </w:pPr>
    </w:p>
    <w:p w14:paraId="5CD9A0A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23 января 1930 ЦК КП(б)У принял постановление о мерах борьбы против кулачества (4962).</w:t>
      </w:r>
    </w:p>
    <w:p w14:paraId="23F46D5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B8D17CD" w14:textId="77777777" w:rsidR="00092D87" w:rsidRPr="00507A31" w:rsidRDefault="00092D87" w:rsidP="00507A31">
      <w:pPr>
        <w:shd w:val="clear" w:color="auto" w:fill="FFFFFF"/>
        <w:jc w:val="both"/>
        <w:rPr>
          <w:color w:val="0070C0"/>
          <w:sz w:val="16"/>
          <w:szCs w:val="16"/>
        </w:rPr>
      </w:pPr>
      <w:r w:rsidRPr="00507A31">
        <w:rPr>
          <w:color w:val="0070C0"/>
          <w:sz w:val="16"/>
          <w:szCs w:val="16"/>
        </w:rPr>
        <w:t>23 января 1930 г. заседание бюро ячейки теперь уже 3 курса о беспартийных. «Постановили: На предложение бюро ячеек Академии о характеристике беспартийных кандидатов к исключению из Академии. Сообщить, что сомнения вызывает т. Яковлев. Поставить о нём вопрос на закрытом партсобрании» (21471).</w:t>
      </w:r>
    </w:p>
    <w:p w14:paraId="1ED70E35" w14:textId="77777777" w:rsidR="00092D87" w:rsidRPr="00507A31" w:rsidRDefault="00092D87" w:rsidP="00507A31">
      <w:pPr>
        <w:shd w:val="clear" w:color="auto" w:fill="FFFFFF"/>
        <w:jc w:val="both"/>
        <w:rPr>
          <w:color w:val="0070C0"/>
          <w:sz w:val="16"/>
          <w:szCs w:val="16"/>
        </w:rPr>
      </w:pPr>
    </w:p>
    <w:p w14:paraId="7313CAE4" w14:textId="77777777" w:rsidR="00E656A7" w:rsidRPr="00507A31" w:rsidRDefault="00E656A7" w:rsidP="00507A31">
      <w:pPr>
        <w:jc w:val="both"/>
        <w:rPr>
          <w:color w:val="000000" w:themeColor="text1"/>
          <w:sz w:val="16"/>
          <w:szCs w:val="16"/>
        </w:rPr>
      </w:pPr>
      <w:r w:rsidRPr="00507A31">
        <w:rPr>
          <w:color w:val="000000" w:themeColor="text1"/>
          <w:sz w:val="16"/>
          <w:szCs w:val="16"/>
        </w:rPr>
        <w:t>23 января 1930 г. СНК РСФСР принял постановление «О торговле охотничьим огнестрельным оружием и о хранении этого оружия»</w:t>
      </w:r>
      <w:bookmarkStart w:id="9" w:name="annot_17"/>
      <w:r w:rsidR="00EC0870" w:rsidRPr="00507A31">
        <w:rPr>
          <w:color w:val="000000" w:themeColor="text1"/>
          <w:sz w:val="16"/>
          <w:szCs w:val="16"/>
        </w:rPr>
        <w:fldChar w:fldCharType="begin"/>
      </w:r>
      <w:r w:rsidRPr="00507A31">
        <w:rPr>
          <w:color w:val="000000" w:themeColor="text1"/>
          <w:sz w:val="16"/>
          <w:szCs w:val="16"/>
        </w:rPr>
        <w:instrText xml:space="preserve"> HYPERLINK "https://bstudy.net/621217/pravo/pravovoe_regulirovanie_oborota_oruzhiya_sovetskom_gosudarstve" \l "gads_btm" </w:instrText>
      </w:r>
      <w:r w:rsidR="00EC0870" w:rsidRPr="00507A31">
        <w:rPr>
          <w:color w:val="000000" w:themeColor="text1"/>
          <w:sz w:val="16"/>
          <w:szCs w:val="16"/>
        </w:rPr>
        <w:fldChar w:fldCharType="separate"/>
      </w:r>
      <w:r w:rsidRPr="00507A31">
        <w:rPr>
          <w:rStyle w:val="a5"/>
          <w:color w:val="000000" w:themeColor="text1"/>
          <w:sz w:val="16"/>
          <w:szCs w:val="16"/>
        </w:rPr>
        <w:t>[17]</w:t>
      </w:r>
      <w:r w:rsidR="00EC0870" w:rsidRPr="00507A31">
        <w:rPr>
          <w:color w:val="000000" w:themeColor="text1"/>
          <w:sz w:val="16"/>
          <w:szCs w:val="16"/>
        </w:rPr>
        <w:fldChar w:fldCharType="end"/>
      </w:r>
      <w:bookmarkEnd w:id="9"/>
      <w:r w:rsidRPr="00507A31">
        <w:rPr>
          <w:color w:val="000000" w:themeColor="text1"/>
          <w:sz w:val="16"/>
          <w:szCs w:val="16"/>
        </w:rPr>
        <w:t>, которое сохранило основные положения ранее принятых постановлений, но установило, что владеющие оружием на основании специальных разрешений граждане не имели право передавать или продавать его лицам, не имеющим соответствующего разрешения, в случае таковой передачи оружие подлежало изъятию, виновный лишался права им владеть. Запрещалось приобретение, хранение и использование оружия лицами, лишенными избирательного права. При утрате оружия его владелец был обязан опубликовать в местной газете соответствующее объявление (18514).</w:t>
      </w:r>
    </w:p>
    <w:p w14:paraId="595B8BAE" w14:textId="77777777" w:rsidR="00E656A7" w:rsidRPr="00507A31" w:rsidRDefault="00E656A7" w:rsidP="00507A31">
      <w:pPr>
        <w:jc w:val="both"/>
        <w:rPr>
          <w:color w:val="000000" w:themeColor="text1"/>
          <w:sz w:val="16"/>
          <w:szCs w:val="16"/>
        </w:rPr>
      </w:pPr>
    </w:p>
    <w:p w14:paraId="280A7FF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5DC9DFF" w14:textId="77777777" w:rsidR="00537E5F" w:rsidRPr="00507A31" w:rsidRDefault="00537E5F" w:rsidP="00507A31">
      <w:pPr>
        <w:autoSpaceDE w:val="0"/>
        <w:autoSpaceDN w:val="0"/>
        <w:adjustRightInd w:val="0"/>
        <w:jc w:val="both"/>
        <w:rPr>
          <w:iCs/>
          <w:color w:val="000000" w:themeColor="text1"/>
          <w:sz w:val="16"/>
          <w:szCs w:val="16"/>
        </w:rPr>
      </w:pPr>
    </w:p>
    <w:p w14:paraId="6BA602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января 1930 член фашистской партии впервые вошел в правительство и стал министром ВД в Тюрингии (3907,161).</w:t>
      </w:r>
    </w:p>
    <w:p w14:paraId="5ACDD5CA" w14:textId="77777777" w:rsidR="00537E5F" w:rsidRPr="00507A31" w:rsidRDefault="00537E5F" w:rsidP="00507A31">
      <w:pPr>
        <w:autoSpaceDE w:val="0"/>
        <w:autoSpaceDN w:val="0"/>
        <w:adjustRightInd w:val="0"/>
        <w:jc w:val="both"/>
        <w:rPr>
          <w:color w:val="000000" w:themeColor="text1"/>
          <w:sz w:val="16"/>
          <w:szCs w:val="16"/>
        </w:rPr>
      </w:pPr>
    </w:p>
    <w:p w14:paraId="258F889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23 января 1930 Вильгельм Фрик стал министром внутренних дел Тюрингии (первый нацист, пришедший к власти) (4962).</w:t>
      </w:r>
    </w:p>
    <w:p w14:paraId="0E78CDE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B7FA26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A855B6C" w14:textId="77777777" w:rsidR="00537E5F" w:rsidRPr="00507A31" w:rsidRDefault="00537E5F" w:rsidP="00507A31">
      <w:pPr>
        <w:autoSpaceDE w:val="0"/>
        <w:autoSpaceDN w:val="0"/>
        <w:adjustRightInd w:val="0"/>
        <w:jc w:val="both"/>
        <w:rPr>
          <w:iCs/>
          <w:color w:val="000000" w:themeColor="text1"/>
          <w:sz w:val="16"/>
          <w:szCs w:val="16"/>
        </w:rPr>
      </w:pPr>
    </w:p>
    <w:p w14:paraId="691125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января 1930 появилось письмо Авиатреста, подписанное Зав. тех. отд. Пастушенко N 151/3517 в сопровождение 5-ти летнего плана опытного строительства УВВС и Авиатреста, для использования при составлении 5-ти летнего плана по самолетам (351).</w:t>
      </w:r>
    </w:p>
    <w:p w14:paraId="51DACB5F" w14:textId="77777777" w:rsidR="00537E5F" w:rsidRPr="00507A31" w:rsidRDefault="00537E5F" w:rsidP="00507A31">
      <w:pPr>
        <w:autoSpaceDE w:val="0"/>
        <w:autoSpaceDN w:val="0"/>
        <w:adjustRightInd w:val="0"/>
        <w:jc w:val="both"/>
        <w:rPr>
          <w:color w:val="000000" w:themeColor="text1"/>
          <w:sz w:val="16"/>
          <w:szCs w:val="16"/>
        </w:rPr>
      </w:pPr>
    </w:p>
    <w:p w14:paraId="51B8CE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января 1930 Зав. техотдела Авиатреста Пастушенко и и Дементьев направили в МОС письмо № 151/3517:</w:t>
      </w:r>
    </w:p>
    <w:p w14:paraId="39E95A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При сем сопровождается сравнительная таблица материалов 5-ти летнего плана опытного строительства УВВС и Авиатреста, для использования при составлении 5-летнего плана по самолетам (351).</w:t>
      </w:r>
    </w:p>
    <w:p w14:paraId="483C59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Только моторы.</w:t>
      </w:r>
    </w:p>
    <w:p w14:paraId="4E4F151F" w14:textId="77777777" w:rsidR="00537E5F" w:rsidRPr="00507A31" w:rsidRDefault="00537E5F" w:rsidP="00507A31">
      <w:pPr>
        <w:autoSpaceDE w:val="0"/>
        <w:autoSpaceDN w:val="0"/>
        <w:adjustRightInd w:val="0"/>
        <w:jc w:val="both"/>
        <w:rPr>
          <w:color w:val="000000" w:themeColor="text1"/>
          <w:sz w:val="16"/>
          <w:szCs w:val="16"/>
        </w:rPr>
      </w:pPr>
    </w:p>
    <w:p w14:paraId="4AEA30CF" w14:textId="77777777" w:rsidR="00D51101"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55F5A48" w14:textId="77777777" w:rsidR="00D51101" w:rsidRPr="00507A31" w:rsidRDefault="00D51101" w:rsidP="00507A31">
      <w:pPr>
        <w:autoSpaceDE w:val="0"/>
        <w:autoSpaceDN w:val="0"/>
        <w:adjustRightInd w:val="0"/>
        <w:jc w:val="both"/>
        <w:rPr>
          <w:iCs/>
          <w:color w:val="000000" w:themeColor="text1"/>
          <w:sz w:val="16"/>
          <w:szCs w:val="16"/>
        </w:rPr>
      </w:pPr>
    </w:p>
    <w:p w14:paraId="061730E9" w14:textId="77777777" w:rsidR="00D51101" w:rsidRPr="00507A31" w:rsidRDefault="00D51101" w:rsidP="00507A31">
      <w:pPr>
        <w:jc w:val="both"/>
        <w:rPr>
          <w:color w:val="000000" w:themeColor="text1"/>
          <w:sz w:val="16"/>
          <w:szCs w:val="16"/>
          <w:u w:color="002060"/>
        </w:rPr>
      </w:pPr>
      <w:r w:rsidRPr="00507A31">
        <w:rPr>
          <w:color w:val="000000" w:themeColor="text1"/>
          <w:sz w:val="16"/>
          <w:szCs w:val="16"/>
          <w:u w:color="002060"/>
        </w:rPr>
        <w:t>24 января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об обеспечении своевременного выполнения оборонного импортного плана 1929/30 г. (РГАЭ. Ф. 4372. Оп. 91. Д. 595. Л. 2) (12415).</w:t>
      </w:r>
    </w:p>
    <w:p w14:paraId="42BC0953" w14:textId="77777777" w:rsidR="00D51101" w:rsidRPr="00507A31" w:rsidRDefault="00D51101" w:rsidP="00507A31">
      <w:pPr>
        <w:jc w:val="both"/>
        <w:rPr>
          <w:color w:val="000000" w:themeColor="text1"/>
          <w:sz w:val="16"/>
          <w:szCs w:val="16"/>
          <w:u w:color="002060"/>
        </w:rPr>
      </w:pPr>
    </w:p>
    <w:p w14:paraId="42BE953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46F0D37" w14:textId="77777777" w:rsidR="00537E5F" w:rsidRPr="00507A31" w:rsidRDefault="00537E5F" w:rsidP="00507A31">
      <w:pPr>
        <w:autoSpaceDE w:val="0"/>
        <w:autoSpaceDN w:val="0"/>
        <w:adjustRightInd w:val="0"/>
        <w:jc w:val="both"/>
        <w:rPr>
          <w:iCs/>
          <w:color w:val="000000" w:themeColor="text1"/>
          <w:sz w:val="16"/>
          <w:szCs w:val="16"/>
        </w:rPr>
      </w:pPr>
    </w:p>
    <w:p w14:paraId="535AAD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января 1930 Политбюро ЦК ВКП(б) приняло решение об отпуске дополнительно 200 млн. долл. к 150 млн. уже отпущенным для закупки в США оборудования для автомобильных, транспортных, металлургических заводов, но в статотчетах ВСНХ эти расходы не отражены, так что это были внебюджетные фонды (РЦХИДНИ ф. 17, оп. 162, д. 8, л. 58). В статотчетности ВСНХ эта дополнительная сумма не зафиксирована (1566,48).</w:t>
      </w:r>
    </w:p>
    <w:p w14:paraId="58B47764" w14:textId="77777777" w:rsidR="00537E5F" w:rsidRPr="00507A31" w:rsidRDefault="00537E5F" w:rsidP="00507A31">
      <w:pPr>
        <w:autoSpaceDE w:val="0"/>
        <w:autoSpaceDN w:val="0"/>
        <w:adjustRightInd w:val="0"/>
        <w:jc w:val="both"/>
        <w:rPr>
          <w:color w:val="000000" w:themeColor="text1"/>
          <w:sz w:val="16"/>
          <w:szCs w:val="16"/>
        </w:rPr>
      </w:pPr>
    </w:p>
    <w:p w14:paraId="1E5511B2" w14:textId="77777777" w:rsidR="00E656A7" w:rsidRPr="00507A31" w:rsidRDefault="00E656A7" w:rsidP="00507A31">
      <w:pPr>
        <w:jc w:val="both"/>
        <w:rPr>
          <w:color w:val="000000" w:themeColor="text1"/>
          <w:sz w:val="16"/>
          <w:szCs w:val="16"/>
        </w:rPr>
      </w:pPr>
      <w:r w:rsidRPr="00507A31">
        <w:rPr>
          <w:color w:val="000000" w:themeColor="text1"/>
          <w:sz w:val="16"/>
          <w:szCs w:val="16"/>
        </w:rPr>
        <w:t>25 января 1930 г. Политбюро ЦК ВКП(б) приняло решение об отпуске 200 млн. долл., в дополнение к уже отпущенным 150 млн., для закупки в США оборудования для автомобильных, тракторных и металлургических заводов (18390).</w:t>
      </w:r>
    </w:p>
    <w:p w14:paraId="40948F63" w14:textId="77777777" w:rsidR="00E656A7" w:rsidRPr="00507A31" w:rsidRDefault="00E656A7" w:rsidP="00507A31">
      <w:pPr>
        <w:jc w:val="both"/>
        <w:rPr>
          <w:color w:val="000000" w:themeColor="text1"/>
          <w:sz w:val="16"/>
          <w:szCs w:val="16"/>
        </w:rPr>
      </w:pPr>
    </w:p>
    <w:p w14:paraId="1E4DABDF" w14:textId="77777777" w:rsidR="00512DF3" w:rsidRPr="00507A31" w:rsidRDefault="00512DF3" w:rsidP="00507A31">
      <w:pPr>
        <w:jc w:val="both"/>
        <w:rPr>
          <w:color w:val="000000" w:themeColor="text1"/>
          <w:sz w:val="16"/>
          <w:szCs w:val="16"/>
        </w:rPr>
      </w:pPr>
      <w:r w:rsidRPr="00507A31">
        <w:rPr>
          <w:color w:val="000000" w:themeColor="text1"/>
          <w:sz w:val="16"/>
          <w:szCs w:val="16"/>
        </w:rPr>
        <w:t>25 января 1930</w:t>
      </w:r>
    </w:p>
    <w:p w14:paraId="24C75ADD" w14:textId="77777777" w:rsidR="00512DF3" w:rsidRPr="00507A31" w:rsidRDefault="00512DF3" w:rsidP="00507A31">
      <w:pPr>
        <w:jc w:val="both"/>
        <w:rPr>
          <w:color w:val="000000" w:themeColor="text1"/>
          <w:sz w:val="16"/>
          <w:szCs w:val="16"/>
        </w:rPr>
      </w:pPr>
      <w:r w:rsidRPr="00507A31">
        <w:rPr>
          <w:color w:val="000000" w:themeColor="text1"/>
          <w:sz w:val="16"/>
          <w:szCs w:val="16"/>
        </w:rPr>
        <w:t>Источник: </w:t>
      </w:r>
    </w:p>
    <w:p w14:paraId="0EF58364" w14:textId="77777777" w:rsidR="00512DF3" w:rsidRPr="00507A31" w:rsidRDefault="00512DF3" w:rsidP="00507A31">
      <w:pPr>
        <w:jc w:val="both"/>
        <w:rPr>
          <w:color w:val="000000" w:themeColor="text1"/>
          <w:sz w:val="16"/>
          <w:szCs w:val="16"/>
        </w:rPr>
      </w:pPr>
      <w:r w:rsidRPr="00507A31">
        <w:rPr>
          <w:color w:val="000000" w:themeColor="text1"/>
          <w:sz w:val="16"/>
          <w:szCs w:val="16"/>
        </w:rPr>
        <w:t>http://sovdoc.rusarchives.ru</w:t>
      </w:r>
    </w:p>
    <w:p w14:paraId="7BBE4228" w14:textId="77777777" w:rsidR="00512DF3" w:rsidRPr="00507A31" w:rsidRDefault="00512DF3" w:rsidP="00507A31">
      <w:pPr>
        <w:jc w:val="both"/>
        <w:rPr>
          <w:color w:val="000000" w:themeColor="text1"/>
          <w:sz w:val="16"/>
          <w:szCs w:val="16"/>
        </w:rPr>
      </w:pPr>
      <w:r w:rsidRPr="00507A31">
        <w:rPr>
          <w:color w:val="000000" w:themeColor="text1"/>
          <w:sz w:val="16"/>
          <w:szCs w:val="16"/>
        </w:rPr>
        <w:t>Архив: </w:t>
      </w:r>
    </w:p>
    <w:p w14:paraId="4CFCE687" w14:textId="77777777" w:rsidR="00512DF3" w:rsidRPr="00507A31" w:rsidRDefault="00512DF3" w:rsidP="00507A31">
      <w:pPr>
        <w:jc w:val="both"/>
        <w:rPr>
          <w:color w:val="000000" w:themeColor="text1"/>
          <w:sz w:val="16"/>
          <w:szCs w:val="16"/>
        </w:rPr>
      </w:pPr>
      <w:r w:rsidRPr="00507A31">
        <w:rPr>
          <w:color w:val="000000" w:themeColor="text1"/>
          <w:sz w:val="16"/>
          <w:szCs w:val="16"/>
        </w:rPr>
        <w:t>РГАСПИ. Ф. 17. Оп. 162. Д. 8. Л. 58.</w:t>
      </w:r>
    </w:p>
    <w:p w14:paraId="1D249566" w14:textId="77777777" w:rsidR="00512DF3" w:rsidRPr="00507A31" w:rsidRDefault="00512DF3" w:rsidP="00507A31">
      <w:pPr>
        <w:jc w:val="both"/>
        <w:rPr>
          <w:color w:val="000000" w:themeColor="text1"/>
          <w:sz w:val="16"/>
          <w:szCs w:val="16"/>
        </w:rPr>
      </w:pPr>
      <w:r w:rsidRPr="00507A31">
        <w:rPr>
          <w:color w:val="000000" w:themeColor="text1"/>
          <w:sz w:val="16"/>
          <w:szCs w:val="16"/>
        </w:rPr>
        <w:t>Приложение № 2-ОП</w:t>
      </w:r>
    </w:p>
    <w:p w14:paraId="1F84210E" w14:textId="77777777" w:rsidR="00512DF3" w:rsidRPr="00507A31" w:rsidRDefault="00512DF3" w:rsidP="00507A31">
      <w:pPr>
        <w:jc w:val="both"/>
        <w:rPr>
          <w:color w:val="000000" w:themeColor="text1"/>
          <w:sz w:val="16"/>
          <w:szCs w:val="16"/>
        </w:rPr>
      </w:pPr>
      <w:r w:rsidRPr="00507A31">
        <w:rPr>
          <w:color w:val="000000" w:themeColor="text1"/>
          <w:sz w:val="16"/>
          <w:szCs w:val="16"/>
        </w:rPr>
        <w:t>к п. 33 (о. п.) пр. ПБ № 115.</w:t>
      </w:r>
    </w:p>
    <w:p w14:paraId="2AF4D600" w14:textId="77777777" w:rsidR="00512DF3" w:rsidRPr="00507A31" w:rsidRDefault="00512DF3" w:rsidP="00507A31">
      <w:pPr>
        <w:jc w:val="both"/>
        <w:rPr>
          <w:color w:val="000000" w:themeColor="text1"/>
          <w:sz w:val="16"/>
          <w:szCs w:val="16"/>
        </w:rPr>
      </w:pPr>
      <w:r w:rsidRPr="00507A31">
        <w:rPr>
          <w:color w:val="000000" w:themeColor="text1"/>
          <w:sz w:val="16"/>
          <w:szCs w:val="16"/>
        </w:rPr>
        <w:t>О заказах в Америке.</w:t>
      </w:r>
    </w:p>
    <w:p w14:paraId="0DC29585" w14:textId="77777777" w:rsidR="00512DF3" w:rsidRPr="00507A31" w:rsidRDefault="00512DF3" w:rsidP="00507A31">
      <w:pPr>
        <w:jc w:val="both"/>
        <w:rPr>
          <w:color w:val="000000" w:themeColor="text1"/>
          <w:sz w:val="16"/>
          <w:szCs w:val="16"/>
        </w:rPr>
      </w:pPr>
      <w:r w:rsidRPr="00507A31">
        <w:rPr>
          <w:color w:val="000000" w:themeColor="text1"/>
          <w:sz w:val="16"/>
          <w:szCs w:val="16"/>
        </w:rPr>
        <w:t>(Утверждено Политбюро ЦК ВКП(б) 25.I.1930 г.)</w:t>
      </w:r>
    </w:p>
    <w:p w14:paraId="7CEEC8C8" w14:textId="77777777" w:rsidR="00512DF3" w:rsidRPr="00507A31" w:rsidRDefault="00512DF3" w:rsidP="00507A31">
      <w:pPr>
        <w:jc w:val="both"/>
        <w:rPr>
          <w:color w:val="000000" w:themeColor="text1"/>
          <w:sz w:val="16"/>
          <w:szCs w:val="16"/>
        </w:rPr>
      </w:pPr>
      <w:r w:rsidRPr="00507A31">
        <w:rPr>
          <w:color w:val="000000" w:themeColor="text1"/>
          <w:sz w:val="16"/>
          <w:szCs w:val="16"/>
        </w:rPr>
        <w:t>1. Считать необходимым при ведении переговоров с САСШ объединить переговоры о дополнительном плане импорта в 200 млн. долларов с переговорами о кредитовании нормального плана текущего 1929</w:t>
      </w:r>
      <w:r w:rsidRPr="00507A31">
        <w:rPr>
          <w:color w:val="000000" w:themeColor="text1"/>
          <w:sz w:val="16"/>
          <w:szCs w:val="16"/>
        </w:rPr>
        <w:noBreakHyphen/>
        <w:t>1930 г.</w:t>
      </w:r>
    </w:p>
    <w:p w14:paraId="6F99AD12" w14:textId="77777777" w:rsidR="00512DF3" w:rsidRPr="00507A31" w:rsidRDefault="00512DF3" w:rsidP="00507A31">
      <w:pPr>
        <w:jc w:val="both"/>
        <w:rPr>
          <w:color w:val="000000" w:themeColor="text1"/>
          <w:sz w:val="16"/>
          <w:szCs w:val="16"/>
        </w:rPr>
      </w:pPr>
      <w:r w:rsidRPr="00507A31">
        <w:rPr>
          <w:color w:val="000000" w:themeColor="text1"/>
          <w:sz w:val="16"/>
          <w:szCs w:val="16"/>
        </w:rPr>
        <w:t>Ввиду необходимости срочно реализовать нормальный план 1929/30 г., переговоры эти форсировать с таким расчетом, чтобы они были закончены не более, чем в 2</w:t>
      </w:r>
      <w:r w:rsidRPr="00507A31">
        <w:rPr>
          <w:color w:val="000000" w:themeColor="text1"/>
          <w:sz w:val="16"/>
          <w:szCs w:val="16"/>
        </w:rPr>
        <w:noBreakHyphen/>
        <w:t>месячный срок.</w:t>
      </w:r>
    </w:p>
    <w:p w14:paraId="759174A9" w14:textId="77777777" w:rsidR="00512DF3" w:rsidRPr="00507A31" w:rsidRDefault="00512DF3" w:rsidP="00507A31">
      <w:pPr>
        <w:jc w:val="both"/>
        <w:rPr>
          <w:color w:val="000000" w:themeColor="text1"/>
          <w:sz w:val="16"/>
          <w:szCs w:val="16"/>
        </w:rPr>
      </w:pPr>
      <w:r w:rsidRPr="00507A31">
        <w:rPr>
          <w:color w:val="000000" w:themeColor="text1"/>
          <w:sz w:val="16"/>
          <w:szCs w:val="16"/>
        </w:rPr>
        <w:t>2. Признать необходимым выставить следующие условия кредитования: первый платеж в размере 10</w:t>
      </w:r>
      <w:r w:rsidRPr="00507A31">
        <w:rPr>
          <w:color w:val="000000" w:themeColor="text1"/>
          <w:sz w:val="16"/>
          <w:szCs w:val="16"/>
        </w:rPr>
        <w:noBreakHyphen/>
        <w:t>15%, начиная с 1930/31 г., остальная сумма должна быть рассрочена в течение дальнейших 4</w:t>
      </w:r>
      <w:r w:rsidRPr="00507A31">
        <w:rPr>
          <w:color w:val="000000" w:themeColor="text1"/>
          <w:sz w:val="16"/>
          <w:szCs w:val="16"/>
        </w:rPr>
        <w:noBreakHyphen/>
        <w:t>х лет с погашением равномерными долями.</w:t>
      </w:r>
    </w:p>
    <w:p w14:paraId="6835719A" w14:textId="77777777" w:rsidR="00512DF3" w:rsidRPr="00507A31" w:rsidRDefault="00512DF3" w:rsidP="00507A31">
      <w:pPr>
        <w:jc w:val="both"/>
        <w:rPr>
          <w:color w:val="000000" w:themeColor="text1"/>
          <w:sz w:val="16"/>
          <w:szCs w:val="16"/>
        </w:rPr>
      </w:pPr>
      <w:r w:rsidRPr="00507A31">
        <w:rPr>
          <w:color w:val="000000" w:themeColor="text1"/>
          <w:sz w:val="16"/>
          <w:szCs w:val="16"/>
        </w:rPr>
        <w:t>3. Стоимость кредита установить не выше 7% годовых.</w:t>
      </w:r>
    </w:p>
    <w:p w14:paraId="655404AC" w14:textId="77777777" w:rsidR="00512DF3" w:rsidRPr="00507A31" w:rsidRDefault="00512DF3" w:rsidP="00507A31">
      <w:pPr>
        <w:jc w:val="both"/>
        <w:rPr>
          <w:color w:val="000000" w:themeColor="text1"/>
          <w:sz w:val="16"/>
          <w:szCs w:val="16"/>
        </w:rPr>
      </w:pPr>
      <w:r w:rsidRPr="00507A31">
        <w:rPr>
          <w:color w:val="000000" w:themeColor="text1"/>
          <w:sz w:val="16"/>
          <w:szCs w:val="16"/>
        </w:rPr>
        <w:t>4. Дополнительный импортный план в 200 млн. долларов распределить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319"/>
        <w:gridCol w:w="1003"/>
      </w:tblGrid>
      <w:tr w:rsidR="00A61694" w:rsidRPr="00507A31" w14:paraId="4A307342"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44319E" w14:textId="77777777" w:rsidR="00512DF3" w:rsidRPr="00507A31" w:rsidRDefault="00512DF3" w:rsidP="00507A31">
            <w:pPr>
              <w:jc w:val="both"/>
              <w:rPr>
                <w:color w:val="000000" w:themeColor="text1"/>
                <w:sz w:val="16"/>
                <w:szCs w:val="16"/>
              </w:rPr>
            </w:pPr>
            <w:r w:rsidRPr="00507A31">
              <w:rPr>
                <w:color w:val="000000" w:themeColor="text1"/>
                <w:sz w:val="16"/>
                <w:szCs w:val="16"/>
              </w:rPr>
              <w:t>1. По сельскому хозяйству.</w:t>
            </w:r>
          </w:p>
        </w:tc>
      </w:tr>
      <w:tr w:rsidR="00A61694" w:rsidRPr="00507A31" w14:paraId="2A9F3CBD"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3FC2844B" w14:textId="77777777" w:rsidR="00512DF3" w:rsidRPr="00507A31" w:rsidRDefault="00512DF3" w:rsidP="00507A31">
            <w:pPr>
              <w:jc w:val="both"/>
              <w:rPr>
                <w:color w:val="000000" w:themeColor="text1"/>
                <w:sz w:val="16"/>
                <w:szCs w:val="16"/>
              </w:rPr>
            </w:pPr>
            <w:r w:rsidRPr="00507A31">
              <w:rPr>
                <w:color w:val="000000" w:themeColor="text1"/>
                <w:sz w:val="16"/>
                <w:szCs w:val="16"/>
              </w:rPr>
              <w:t>а) тракторов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9F881" w14:textId="77777777" w:rsidR="00512DF3" w:rsidRPr="00507A31" w:rsidRDefault="00512DF3" w:rsidP="00507A31">
            <w:pPr>
              <w:jc w:val="both"/>
              <w:rPr>
                <w:color w:val="000000" w:themeColor="text1"/>
                <w:sz w:val="16"/>
                <w:szCs w:val="16"/>
              </w:rPr>
            </w:pPr>
            <w:r w:rsidRPr="00507A31">
              <w:rPr>
                <w:color w:val="000000" w:themeColor="text1"/>
                <w:sz w:val="16"/>
                <w:szCs w:val="16"/>
              </w:rPr>
              <w:t>52 млн. долл.</w:t>
            </w:r>
          </w:p>
        </w:tc>
      </w:tr>
      <w:tr w:rsidR="00A61694" w:rsidRPr="00507A31" w14:paraId="1A3C9227"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39E9EA43" w14:textId="77777777" w:rsidR="00512DF3" w:rsidRPr="00507A31" w:rsidRDefault="00512DF3" w:rsidP="00507A31">
            <w:pPr>
              <w:jc w:val="both"/>
              <w:rPr>
                <w:color w:val="000000" w:themeColor="text1"/>
                <w:sz w:val="16"/>
                <w:szCs w:val="16"/>
              </w:rPr>
            </w:pPr>
            <w:r w:rsidRPr="00507A31">
              <w:rPr>
                <w:color w:val="000000" w:themeColor="text1"/>
                <w:sz w:val="16"/>
                <w:szCs w:val="16"/>
              </w:rPr>
              <w:t>б) комбайнов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CF0BE" w14:textId="77777777" w:rsidR="00512DF3" w:rsidRPr="00507A31" w:rsidRDefault="00512DF3" w:rsidP="00507A31">
            <w:pPr>
              <w:jc w:val="both"/>
              <w:rPr>
                <w:color w:val="000000" w:themeColor="text1"/>
                <w:sz w:val="16"/>
                <w:szCs w:val="16"/>
              </w:rPr>
            </w:pPr>
            <w:r w:rsidRPr="00507A31">
              <w:rPr>
                <w:color w:val="000000" w:themeColor="text1"/>
                <w:sz w:val="16"/>
                <w:szCs w:val="16"/>
              </w:rPr>
              <w:t>15 млн. долл.</w:t>
            </w:r>
          </w:p>
        </w:tc>
      </w:tr>
      <w:tr w:rsidR="00A61694" w:rsidRPr="00507A31" w14:paraId="788F5B47"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20BF8F94" w14:textId="77777777" w:rsidR="00512DF3" w:rsidRPr="00507A31" w:rsidRDefault="00512DF3" w:rsidP="00507A31">
            <w:pPr>
              <w:jc w:val="both"/>
              <w:rPr>
                <w:color w:val="000000" w:themeColor="text1"/>
                <w:sz w:val="16"/>
                <w:szCs w:val="16"/>
              </w:rPr>
            </w:pPr>
            <w:r w:rsidRPr="00507A31">
              <w:rPr>
                <w:color w:val="000000" w:themeColor="text1"/>
                <w:sz w:val="16"/>
                <w:szCs w:val="16"/>
              </w:rPr>
              <w:t>в) запчастей к тракторам и прицепной инвентарь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3D716" w14:textId="77777777" w:rsidR="00512DF3" w:rsidRPr="00507A31" w:rsidRDefault="00512DF3" w:rsidP="00507A31">
            <w:pPr>
              <w:jc w:val="both"/>
              <w:rPr>
                <w:color w:val="000000" w:themeColor="text1"/>
                <w:sz w:val="16"/>
                <w:szCs w:val="16"/>
              </w:rPr>
            </w:pPr>
            <w:r w:rsidRPr="00507A31">
              <w:rPr>
                <w:color w:val="000000" w:themeColor="text1"/>
                <w:sz w:val="16"/>
                <w:szCs w:val="16"/>
              </w:rPr>
              <w:t>10 млн. долл.</w:t>
            </w:r>
          </w:p>
        </w:tc>
      </w:tr>
      <w:tr w:rsidR="00A61694" w:rsidRPr="00507A31" w14:paraId="582EB897"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ADAF66" w14:textId="77777777" w:rsidR="00512DF3" w:rsidRPr="00507A31" w:rsidRDefault="00512DF3" w:rsidP="00507A31">
            <w:pPr>
              <w:jc w:val="both"/>
              <w:rPr>
                <w:color w:val="000000" w:themeColor="text1"/>
                <w:sz w:val="16"/>
                <w:szCs w:val="16"/>
              </w:rPr>
            </w:pPr>
            <w:r w:rsidRPr="00507A31">
              <w:rPr>
                <w:color w:val="000000" w:themeColor="text1"/>
                <w:sz w:val="16"/>
                <w:szCs w:val="16"/>
              </w:rPr>
              <w:t>2. По нефтепромышленности.</w:t>
            </w:r>
          </w:p>
        </w:tc>
      </w:tr>
      <w:tr w:rsidR="00A61694" w:rsidRPr="00507A31" w14:paraId="2BABF860"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136C5F36" w14:textId="77777777" w:rsidR="00512DF3" w:rsidRPr="00507A31" w:rsidRDefault="00512DF3" w:rsidP="00507A31">
            <w:pPr>
              <w:jc w:val="both"/>
              <w:rPr>
                <w:color w:val="000000" w:themeColor="text1"/>
                <w:sz w:val="16"/>
                <w:szCs w:val="16"/>
              </w:rPr>
            </w:pPr>
            <w:r w:rsidRPr="00507A31">
              <w:rPr>
                <w:color w:val="000000" w:themeColor="text1"/>
                <w:sz w:val="16"/>
                <w:szCs w:val="16"/>
              </w:rPr>
              <w:t>Крекингов, буровых станков, бурового оборудования и т. д.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D52BD" w14:textId="77777777" w:rsidR="00512DF3" w:rsidRPr="00507A31" w:rsidRDefault="00512DF3" w:rsidP="00507A31">
            <w:pPr>
              <w:jc w:val="both"/>
              <w:rPr>
                <w:color w:val="000000" w:themeColor="text1"/>
                <w:sz w:val="16"/>
                <w:szCs w:val="16"/>
              </w:rPr>
            </w:pPr>
            <w:r w:rsidRPr="00507A31">
              <w:rPr>
                <w:color w:val="000000" w:themeColor="text1"/>
                <w:sz w:val="16"/>
                <w:szCs w:val="16"/>
              </w:rPr>
              <w:t>25 млн. долл.</w:t>
            </w:r>
          </w:p>
        </w:tc>
      </w:tr>
      <w:tr w:rsidR="00A61694" w:rsidRPr="00507A31" w14:paraId="4335EEA4"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643AEF" w14:textId="77777777" w:rsidR="00512DF3" w:rsidRPr="00507A31" w:rsidRDefault="00512DF3" w:rsidP="00507A31">
            <w:pPr>
              <w:jc w:val="both"/>
              <w:rPr>
                <w:color w:val="000000" w:themeColor="text1"/>
                <w:sz w:val="16"/>
                <w:szCs w:val="16"/>
              </w:rPr>
            </w:pPr>
            <w:r w:rsidRPr="00507A31">
              <w:rPr>
                <w:color w:val="000000" w:themeColor="text1"/>
                <w:sz w:val="16"/>
                <w:szCs w:val="16"/>
              </w:rPr>
              <w:t>3. Железо и железные конструкции.</w:t>
            </w:r>
          </w:p>
        </w:tc>
      </w:tr>
      <w:tr w:rsidR="00A61694" w:rsidRPr="00507A31" w14:paraId="0E1E85F3"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0710E153" w14:textId="77777777" w:rsidR="00512DF3" w:rsidRPr="00507A31" w:rsidRDefault="00512DF3" w:rsidP="00507A31">
            <w:pPr>
              <w:jc w:val="both"/>
              <w:rPr>
                <w:color w:val="000000" w:themeColor="text1"/>
                <w:sz w:val="16"/>
                <w:szCs w:val="16"/>
              </w:rPr>
            </w:pPr>
            <w:r w:rsidRPr="00507A31">
              <w:rPr>
                <w:color w:val="000000" w:themeColor="text1"/>
                <w:sz w:val="16"/>
                <w:szCs w:val="16"/>
              </w:rPr>
              <w:t>а) 360 тыс. тонн готовых железных конструкций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0D52A" w14:textId="77777777" w:rsidR="00512DF3" w:rsidRPr="00507A31" w:rsidRDefault="00512DF3" w:rsidP="00507A31">
            <w:pPr>
              <w:jc w:val="both"/>
              <w:rPr>
                <w:color w:val="000000" w:themeColor="text1"/>
                <w:sz w:val="16"/>
                <w:szCs w:val="16"/>
              </w:rPr>
            </w:pPr>
            <w:r w:rsidRPr="00507A31">
              <w:rPr>
                <w:color w:val="000000" w:themeColor="text1"/>
                <w:sz w:val="16"/>
                <w:szCs w:val="16"/>
              </w:rPr>
              <w:t>10 млн. долл.</w:t>
            </w:r>
          </w:p>
        </w:tc>
      </w:tr>
      <w:tr w:rsidR="00A61694" w:rsidRPr="00507A31" w14:paraId="218BC1AF"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44057F03" w14:textId="77777777" w:rsidR="00512DF3" w:rsidRPr="00507A31" w:rsidRDefault="00512DF3" w:rsidP="00507A31">
            <w:pPr>
              <w:jc w:val="both"/>
              <w:rPr>
                <w:color w:val="000000" w:themeColor="text1"/>
                <w:sz w:val="16"/>
                <w:szCs w:val="16"/>
              </w:rPr>
            </w:pPr>
            <w:r w:rsidRPr="00507A31">
              <w:rPr>
                <w:color w:val="000000" w:themeColor="text1"/>
                <w:sz w:val="16"/>
                <w:szCs w:val="16"/>
              </w:rPr>
              <w:t>б) 640 тыс. тонн железа (фасонное железо, специальная сталь, трубы и пр.)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677B9" w14:textId="77777777" w:rsidR="00512DF3" w:rsidRPr="00507A31" w:rsidRDefault="00512DF3" w:rsidP="00507A31">
            <w:pPr>
              <w:jc w:val="both"/>
              <w:rPr>
                <w:color w:val="000000" w:themeColor="text1"/>
                <w:sz w:val="16"/>
                <w:szCs w:val="16"/>
              </w:rPr>
            </w:pPr>
            <w:r w:rsidRPr="00507A31">
              <w:rPr>
                <w:color w:val="000000" w:themeColor="text1"/>
                <w:sz w:val="16"/>
                <w:szCs w:val="16"/>
              </w:rPr>
              <w:t>26 млн. долл.</w:t>
            </w:r>
          </w:p>
        </w:tc>
      </w:tr>
      <w:tr w:rsidR="00A61694" w:rsidRPr="00507A31" w14:paraId="4749F056"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9922960" w14:textId="77777777" w:rsidR="00512DF3" w:rsidRPr="00507A31" w:rsidRDefault="00512DF3" w:rsidP="00507A31">
            <w:pPr>
              <w:jc w:val="both"/>
              <w:rPr>
                <w:color w:val="000000" w:themeColor="text1"/>
                <w:sz w:val="16"/>
                <w:szCs w:val="16"/>
              </w:rPr>
            </w:pPr>
            <w:r w:rsidRPr="00507A31">
              <w:rPr>
                <w:color w:val="000000" w:themeColor="text1"/>
                <w:sz w:val="16"/>
                <w:szCs w:val="16"/>
              </w:rPr>
              <w:t>4. По новым машиностроительным и металлургическим заводам.</w:t>
            </w:r>
          </w:p>
        </w:tc>
      </w:tr>
      <w:tr w:rsidR="00A61694" w:rsidRPr="00507A31" w14:paraId="055966B4"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7A95F060" w14:textId="77777777" w:rsidR="00512DF3" w:rsidRPr="00507A31" w:rsidRDefault="00512DF3" w:rsidP="00507A31">
            <w:pPr>
              <w:jc w:val="both"/>
              <w:rPr>
                <w:color w:val="000000" w:themeColor="text1"/>
                <w:sz w:val="16"/>
                <w:szCs w:val="16"/>
              </w:rPr>
            </w:pPr>
            <w:r w:rsidRPr="00507A31">
              <w:rPr>
                <w:color w:val="000000" w:themeColor="text1"/>
                <w:sz w:val="16"/>
                <w:szCs w:val="16"/>
              </w:rPr>
              <w:t>Оборудование для Челябинского тракторного завода, Харьковского тракторного завода, Нижегородского автомобильного завода и для металлургических заводов: Магнитогорского, Запорожского и Кузнецкого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38A9C" w14:textId="77777777" w:rsidR="00512DF3" w:rsidRPr="00507A31" w:rsidRDefault="00512DF3" w:rsidP="00507A31">
            <w:pPr>
              <w:jc w:val="both"/>
              <w:rPr>
                <w:color w:val="000000" w:themeColor="text1"/>
                <w:sz w:val="16"/>
                <w:szCs w:val="16"/>
              </w:rPr>
            </w:pPr>
            <w:r w:rsidRPr="00507A31">
              <w:rPr>
                <w:color w:val="000000" w:themeColor="text1"/>
                <w:sz w:val="16"/>
                <w:szCs w:val="16"/>
              </w:rPr>
              <w:t>62 млн. долл.</w:t>
            </w:r>
          </w:p>
        </w:tc>
      </w:tr>
      <w:tr w:rsidR="00A61694" w:rsidRPr="00507A31" w14:paraId="65B5FDBC"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51C5CDAC" w14:textId="77777777" w:rsidR="00512DF3" w:rsidRPr="00507A31" w:rsidRDefault="00512DF3" w:rsidP="00507A31">
            <w:pPr>
              <w:jc w:val="both"/>
              <w:rPr>
                <w:color w:val="000000" w:themeColor="text1"/>
                <w:sz w:val="16"/>
                <w:szCs w:val="16"/>
              </w:rPr>
            </w:pPr>
            <w:r w:rsidRPr="00507A31">
              <w:rPr>
                <w:color w:val="000000" w:themeColor="text1"/>
                <w:sz w:val="16"/>
                <w:szCs w:val="16"/>
              </w:rPr>
              <w:t>Итого вся программа составляет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027DC" w14:textId="77777777" w:rsidR="00512DF3" w:rsidRPr="00507A31" w:rsidRDefault="00512DF3" w:rsidP="00507A31">
            <w:pPr>
              <w:jc w:val="both"/>
              <w:rPr>
                <w:color w:val="000000" w:themeColor="text1"/>
                <w:sz w:val="16"/>
                <w:szCs w:val="16"/>
              </w:rPr>
            </w:pPr>
            <w:r w:rsidRPr="00507A31">
              <w:rPr>
                <w:color w:val="000000" w:themeColor="text1"/>
                <w:sz w:val="16"/>
                <w:szCs w:val="16"/>
              </w:rPr>
              <w:t>200 млн. долл.</w:t>
            </w:r>
          </w:p>
        </w:tc>
      </w:tr>
    </w:tbl>
    <w:p w14:paraId="11D3F4D5" w14:textId="77777777" w:rsidR="00512DF3" w:rsidRPr="00507A31" w:rsidRDefault="00512DF3" w:rsidP="00507A31">
      <w:pPr>
        <w:jc w:val="both"/>
        <w:rPr>
          <w:color w:val="000000" w:themeColor="text1"/>
          <w:sz w:val="16"/>
          <w:szCs w:val="16"/>
        </w:rPr>
      </w:pPr>
      <w:r w:rsidRPr="00507A31">
        <w:rPr>
          <w:color w:val="000000" w:themeColor="text1"/>
          <w:sz w:val="16"/>
          <w:szCs w:val="16"/>
        </w:rPr>
        <w:t>(18054).</w:t>
      </w:r>
    </w:p>
    <w:p w14:paraId="0B645990" w14:textId="77777777" w:rsidR="00512DF3" w:rsidRPr="00507A31" w:rsidRDefault="00512DF3" w:rsidP="00507A31">
      <w:pPr>
        <w:jc w:val="both"/>
        <w:rPr>
          <w:color w:val="000000" w:themeColor="text1"/>
          <w:sz w:val="16"/>
          <w:szCs w:val="16"/>
        </w:rPr>
      </w:pPr>
    </w:p>
    <w:p w14:paraId="23CC96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января 1930 г. вопрос о дальнейшей судьбе реконструкции АМО обсуждало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7AA50EB1" w14:textId="77777777" w:rsidR="00537E5F" w:rsidRPr="00507A31" w:rsidRDefault="00537E5F" w:rsidP="00507A31">
      <w:pPr>
        <w:autoSpaceDE w:val="0"/>
        <w:autoSpaceDN w:val="0"/>
        <w:adjustRightInd w:val="0"/>
        <w:jc w:val="both"/>
        <w:rPr>
          <w:color w:val="000000" w:themeColor="text1"/>
          <w:sz w:val="16"/>
          <w:szCs w:val="16"/>
        </w:rPr>
      </w:pPr>
    </w:p>
    <w:p w14:paraId="29318F51" w14:textId="77777777" w:rsidR="00D51101" w:rsidRPr="00507A31" w:rsidRDefault="00D51101" w:rsidP="00507A31">
      <w:pPr>
        <w:jc w:val="both"/>
        <w:rPr>
          <w:color w:val="000000" w:themeColor="text1"/>
          <w:sz w:val="16"/>
          <w:szCs w:val="16"/>
          <w:u w:color="002060"/>
        </w:rPr>
      </w:pPr>
      <w:r w:rsidRPr="00507A31">
        <w:rPr>
          <w:color w:val="000000" w:themeColor="text1"/>
          <w:sz w:val="16"/>
          <w:szCs w:val="16"/>
          <w:u w:color="002060"/>
        </w:rPr>
        <w:t>25 января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115. 6. О мобуправлении ВСНХ (ПБ от 15 января 1930 г., пр. № 113, п. 1) (Каганович, Куйбышев). (Политбюро... Т. 2. С. 14) (12416).</w:t>
      </w:r>
    </w:p>
    <w:p w14:paraId="6D53E95E" w14:textId="77777777" w:rsidR="00D51101" w:rsidRPr="00507A31" w:rsidRDefault="00D51101" w:rsidP="00507A31">
      <w:pPr>
        <w:jc w:val="both"/>
        <w:rPr>
          <w:color w:val="000000" w:themeColor="text1"/>
          <w:sz w:val="16"/>
          <w:szCs w:val="16"/>
          <w:u w:color="002060"/>
        </w:rPr>
      </w:pPr>
    </w:p>
    <w:p w14:paraId="472CBE46" w14:textId="77777777" w:rsidR="00D51101" w:rsidRPr="00507A31" w:rsidRDefault="00D51101" w:rsidP="00507A31">
      <w:pPr>
        <w:jc w:val="both"/>
        <w:rPr>
          <w:color w:val="000000" w:themeColor="text1"/>
          <w:sz w:val="16"/>
          <w:szCs w:val="16"/>
        </w:rPr>
      </w:pPr>
      <w:r w:rsidRPr="00507A31">
        <w:rPr>
          <w:rStyle w:val="a7"/>
          <w:b w:val="0"/>
          <w:color w:val="000000" w:themeColor="text1"/>
          <w:sz w:val="16"/>
          <w:szCs w:val="16"/>
        </w:rPr>
        <w:t xml:space="preserve">25 января 1930 </w:t>
      </w:r>
      <w:r w:rsidRPr="00507A31">
        <w:rPr>
          <w:color w:val="000000" w:themeColor="text1"/>
          <w:sz w:val="16"/>
          <w:szCs w:val="16"/>
        </w:rPr>
        <w:t>Политбюро ЦК ВКП (б) предложило ВСНХ принять меры для выполнения американским гражданином Брандтом взятых на себя обязательств по реконструкции Завода «АМО», а также подчинить действующий завод и управление по его расширению единому руководству; предложило Щ РКИ разработать порядок сдачи продукции Донугля потребителям с соответствущим контролем за качеством (12265).</w:t>
      </w:r>
    </w:p>
    <w:p w14:paraId="1A8C587A" w14:textId="71D7F6AB" w:rsidR="00D51101" w:rsidRPr="00507A31" w:rsidRDefault="00D51101" w:rsidP="00507A31">
      <w:pPr>
        <w:jc w:val="both"/>
        <w:rPr>
          <w:color w:val="000000" w:themeColor="text1"/>
          <w:sz w:val="16"/>
          <w:szCs w:val="16"/>
        </w:rPr>
      </w:pPr>
    </w:p>
    <w:p w14:paraId="345DA121" w14:textId="77777777" w:rsidR="00092D87" w:rsidRPr="00507A31" w:rsidRDefault="00092D87"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6FB4D7A" w14:textId="77777777" w:rsidR="00092D87" w:rsidRPr="00507A31" w:rsidRDefault="00092D87" w:rsidP="00507A31">
      <w:pPr>
        <w:autoSpaceDE w:val="0"/>
        <w:autoSpaceDN w:val="0"/>
        <w:adjustRightInd w:val="0"/>
        <w:jc w:val="both"/>
        <w:rPr>
          <w:iCs/>
          <w:color w:val="000000" w:themeColor="text1"/>
          <w:sz w:val="16"/>
          <w:szCs w:val="16"/>
        </w:rPr>
      </w:pPr>
    </w:p>
    <w:p w14:paraId="119DB29B" w14:textId="77777777" w:rsidR="00092D87" w:rsidRPr="00507A31" w:rsidRDefault="00092D87" w:rsidP="00507A31">
      <w:pPr>
        <w:jc w:val="both"/>
        <w:rPr>
          <w:color w:val="0070C0"/>
          <w:sz w:val="16"/>
          <w:szCs w:val="16"/>
        </w:rPr>
      </w:pPr>
      <w:r w:rsidRPr="00507A31">
        <w:rPr>
          <w:color w:val="0070C0"/>
          <w:sz w:val="16"/>
          <w:szCs w:val="16"/>
        </w:rPr>
        <w:t>25 января 1930 образована компания American Airways (20805).</w:t>
      </w:r>
    </w:p>
    <w:p w14:paraId="69D9A891" w14:textId="77777777" w:rsidR="00092D87" w:rsidRPr="00507A31" w:rsidRDefault="00092D87" w:rsidP="00507A31">
      <w:pPr>
        <w:jc w:val="both"/>
        <w:rPr>
          <w:color w:val="0070C0"/>
          <w:sz w:val="16"/>
          <w:szCs w:val="16"/>
        </w:rPr>
      </w:pPr>
    </w:p>
    <w:p w14:paraId="152AFA0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CC6400C" w14:textId="77777777" w:rsidR="00537E5F" w:rsidRPr="00507A31" w:rsidRDefault="00537E5F" w:rsidP="00507A31">
      <w:pPr>
        <w:autoSpaceDE w:val="0"/>
        <w:autoSpaceDN w:val="0"/>
        <w:adjustRightInd w:val="0"/>
        <w:jc w:val="both"/>
        <w:rPr>
          <w:iCs/>
          <w:color w:val="000000" w:themeColor="text1"/>
          <w:sz w:val="16"/>
          <w:szCs w:val="16"/>
        </w:rPr>
      </w:pPr>
    </w:p>
    <w:p w14:paraId="4C93E8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января 1930 состоялось заседание Правления Авиатреста (протокол 39) и обсудили работу завода 1 за 28/28. Отметили недоработанность конструкции И-3, которая привела к недовыполнению производственной программы (2367,135).</w:t>
      </w:r>
    </w:p>
    <w:p w14:paraId="615D5F6A" w14:textId="77777777" w:rsidR="00537E5F" w:rsidRPr="00507A31" w:rsidRDefault="00537E5F" w:rsidP="00507A31">
      <w:pPr>
        <w:autoSpaceDE w:val="0"/>
        <w:autoSpaceDN w:val="0"/>
        <w:adjustRightInd w:val="0"/>
        <w:jc w:val="both"/>
        <w:rPr>
          <w:color w:val="000000" w:themeColor="text1"/>
          <w:sz w:val="16"/>
          <w:szCs w:val="16"/>
        </w:rPr>
      </w:pPr>
    </w:p>
    <w:p w14:paraId="56223FDF" w14:textId="77777777" w:rsidR="00C63995"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AF92A18" w14:textId="77777777" w:rsidR="00C63995" w:rsidRPr="00507A31" w:rsidRDefault="00C63995" w:rsidP="00507A31">
      <w:pPr>
        <w:autoSpaceDE w:val="0"/>
        <w:autoSpaceDN w:val="0"/>
        <w:adjustRightInd w:val="0"/>
        <w:jc w:val="both"/>
        <w:rPr>
          <w:iCs/>
          <w:color w:val="000000" w:themeColor="text1"/>
          <w:sz w:val="16"/>
          <w:szCs w:val="16"/>
        </w:rPr>
      </w:pPr>
    </w:p>
    <w:p w14:paraId="43D0E3FD" w14:textId="77777777" w:rsidR="00C63995" w:rsidRPr="00507A31" w:rsidRDefault="00C63995" w:rsidP="00507A31">
      <w:pPr>
        <w:jc w:val="both"/>
        <w:rPr>
          <w:color w:val="000000" w:themeColor="text1"/>
          <w:sz w:val="16"/>
          <w:szCs w:val="16"/>
        </w:rPr>
      </w:pPr>
      <w:r w:rsidRPr="00507A31">
        <w:rPr>
          <w:bCs/>
          <w:color w:val="000000" w:themeColor="text1"/>
          <w:sz w:val="16"/>
          <w:szCs w:val="16"/>
        </w:rPr>
        <w:t>26 января</w:t>
      </w:r>
      <w:r w:rsidRPr="00507A31">
        <w:rPr>
          <w:color w:val="000000" w:themeColor="text1"/>
          <w:sz w:val="16"/>
          <w:szCs w:val="16"/>
        </w:rPr>
        <w:t xml:space="preserve"> в 1930 году основан Всесоюзный институт механизации сельского хозяйства (ВИМ); теперь - Всероссийский НИИ механизации сельского хозяйства (ВИМ Россельхозакадемии, город Москва) (15021).</w:t>
      </w:r>
    </w:p>
    <w:p w14:paraId="3FC731C2" w14:textId="77777777" w:rsidR="00C63995" w:rsidRPr="00507A31" w:rsidRDefault="00C63995" w:rsidP="00507A31">
      <w:pPr>
        <w:jc w:val="both"/>
        <w:rPr>
          <w:color w:val="000000" w:themeColor="text1"/>
          <w:sz w:val="16"/>
          <w:szCs w:val="16"/>
        </w:rPr>
      </w:pPr>
    </w:p>
    <w:p w14:paraId="57CCB8F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3DFCABE" w14:textId="77777777" w:rsidR="00537E5F" w:rsidRPr="00507A31" w:rsidRDefault="00537E5F" w:rsidP="00507A31">
      <w:pPr>
        <w:autoSpaceDE w:val="0"/>
        <w:autoSpaceDN w:val="0"/>
        <w:adjustRightInd w:val="0"/>
        <w:jc w:val="both"/>
        <w:rPr>
          <w:iCs/>
          <w:color w:val="000000" w:themeColor="text1"/>
          <w:sz w:val="16"/>
          <w:szCs w:val="16"/>
        </w:rPr>
      </w:pPr>
    </w:p>
    <w:p w14:paraId="1B71C9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февраля 1930 в Париже сотрудниками ОГПУ был похищен г Кутепов (3481).</w:t>
      </w:r>
    </w:p>
    <w:p w14:paraId="7739912A" w14:textId="77777777" w:rsidR="00537E5F" w:rsidRPr="00507A31" w:rsidRDefault="00537E5F" w:rsidP="00507A31">
      <w:pPr>
        <w:autoSpaceDE w:val="0"/>
        <w:autoSpaceDN w:val="0"/>
        <w:adjustRightInd w:val="0"/>
        <w:jc w:val="both"/>
        <w:rPr>
          <w:color w:val="000000" w:themeColor="text1"/>
          <w:sz w:val="16"/>
          <w:szCs w:val="16"/>
        </w:rPr>
      </w:pPr>
    </w:p>
    <w:p w14:paraId="7682FBF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января 1930 состоялось похищение белого генерала А. П. Кутепова в Париже советскими спецслужбами (4962).</w:t>
      </w:r>
    </w:p>
    <w:p w14:paraId="1A09B29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115F03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января 1930 в Париже агентами НКВД выкраден глава белоэмигрантского Русского общевойскового союза генерал А. Кутепов (4962).</w:t>
      </w:r>
    </w:p>
    <w:p w14:paraId="41ACB31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95F35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января 1930 Париж. Агентами ОГПУ СССР похищен предс. РОВС ген.А.Кутепов (10687).</w:t>
      </w:r>
    </w:p>
    <w:p w14:paraId="749AF540" w14:textId="77777777" w:rsidR="00537E5F" w:rsidRPr="00507A31" w:rsidRDefault="00537E5F" w:rsidP="00507A31">
      <w:pPr>
        <w:autoSpaceDE w:val="0"/>
        <w:autoSpaceDN w:val="0"/>
        <w:adjustRightInd w:val="0"/>
        <w:jc w:val="both"/>
        <w:rPr>
          <w:color w:val="000000" w:themeColor="text1"/>
          <w:sz w:val="16"/>
          <w:szCs w:val="16"/>
        </w:rPr>
      </w:pPr>
    </w:p>
    <w:p w14:paraId="77BF9C6C" w14:textId="77777777" w:rsidR="00A51B66" w:rsidRPr="00507A31" w:rsidRDefault="00A51B66" w:rsidP="00507A31">
      <w:pPr>
        <w:jc w:val="both"/>
        <w:rPr>
          <w:color w:val="000000" w:themeColor="text1"/>
          <w:sz w:val="16"/>
          <w:szCs w:val="16"/>
        </w:rPr>
      </w:pPr>
      <w:r w:rsidRPr="00507A31">
        <w:rPr>
          <w:color w:val="000000" w:themeColor="text1"/>
          <w:sz w:val="16"/>
          <w:szCs w:val="16"/>
        </w:rPr>
        <w:t>26 января 1930 был похищен чекистами из Парижа и загадочно погиб генерал Кутепов, возглавлявший РОВС - диверсионную антисоветскую организацию. Провернула это дело группа нелегалов под руководством Серебрянского ("Группа Яши"). Кутепов был задержан в  центре Парижа тремя нашими агентами,  переодетыми  в форму сотрудников французской жандармерии.  Они остановили Кутепова на улице под предлогом проверки документов и  насильно  посадили  в  машину. Кутепов, заподозрив неладное, оказал  сопротивление. Во время  борьбы с  ним случился сердечный приступ, и он  умер. Его похоронили в пригороде Парижа,  во  дворе дома одного из агентов советской разведки. Лидером РОВСа стал белогвардейский генерал Миллер (этого тоже похитили в 1937г.). Миллер взялся за дело. В Париже и Белграде созданы курсы по переподготовке офицеров РОВСа (Академия Генштаба в изгнании) под руководством генерала Головина. В это же время в Европе создана еще одна террористически-диверсионная организация - "Народно-трудовой союз" (НТС). Основной формой борьбы с советской властью ребята объявили террор. А еще было "Братство русской правды". Были и организации русских фашистов, много чего. Естесственно, они сотрудничали с армейскими штабами всех приграничных с СССР стран и государств-членов Антанты. Кто-то же давал им "окна" на границе, проводников, оружие, документы и так далее. Взамен боевики делились шпионской информацией (12629).</w:t>
      </w:r>
    </w:p>
    <w:p w14:paraId="0CE0C4F6" w14:textId="77777777" w:rsidR="00A51B66" w:rsidRPr="00507A31" w:rsidRDefault="00A51B66" w:rsidP="00507A31">
      <w:pPr>
        <w:autoSpaceDE w:val="0"/>
        <w:autoSpaceDN w:val="0"/>
        <w:adjustRightInd w:val="0"/>
        <w:jc w:val="both"/>
        <w:rPr>
          <w:color w:val="000000" w:themeColor="text1"/>
          <w:sz w:val="16"/>
          <w:szCs w:val="16"/>
        </w:rPr>
      </w:pPr>
    </w:p>
    <w:p w14:paraId="25F0D03C" w14:textId="77777777" w:rsidR="00C63995" w:rsidRPr="00507A31" w:rsidRDefault="00C63995" w:rsidP="00507A31">
      <w:pPr>
        <w:jc w:val="both"/>
        <w:rPr>
          <w:color w:val="000000" w:themeColor="text1"/>
          <w:sz w:val="16"/>
          <w:szCs w:val="16"/>
        </w:rPr>
      </w:pPr>
      <w:r w:rsidRPr="00507A31">
        <w:rPr>
          <w:bCs/>
          <w:color w:val="000000" w:themeColor="text1"/>
          <w:sz w:val="16"/>
          <w:szCs w:val="16"/>
        </w:rPr>
        <w:t>26 января</w:t>
      </w:r>
      <w:r w:rsidRPr="00507A31">
        <w:rPr>
          <w:color w:val="000000" w:themeColor="text1"/>
          <w:sz w:val="16"/>
          <w:szCs w:val="16"/>
        </w:rPr>
        <w:t xml:space="preserve"> в 1930 году главу белоэмигрантского Русского общевойскового союза генерала </w:t>
      </w:r>
      <w:hyperlink r:id="rId18" w:tgtFrame="_blank" w:history="1">
        <w:r w:rsidRPr="00507A31">
          <w:rPr>
            <w:color w:val="000000" w:themeColor="text1"/>
            <w:sz w:val="16"/>
            <w:szCs w:val="16"/>
          </w:rPr>
          <w:t xml:space="preserve">Александра Павловича Кутепова похищают в Париже </w:t>
        </w:r>
      </w:hyperlink>
      <w:r w:rsidRPr="00507A31">
        <w:rPr>
          <w:color w:val="000000" w:themeColor="text1"/>
          <w:sz w:val="16"/>
          <w:szCs w:val="16"/>
        </w:rPr>
        <w:t>агенты советской разведки и тайно доставляют на советский корабль; по версии, обнародованной КГБ в период «перестройки», Кутепов скончается по пути в Новороссийск от сердечного приступа (15021).</w:t>
      </w:r>
    </w:p>
    <w:p w14:paraId="2271507C" w14:textId="77777777" w:rsidR="00C63995" w:rsidRPr="00507A31" w:rsidRDefault="00C63995" w:rsidP="00507A31">
      <w:pPr>
        <w:jc w:val="both"/>
        <w:rPr>
          <w:color w:val="000000" w:themeColor="text1"/>
          <w:sz w:val="16"/>
          <w:szCs w:val="16"/>
        </w:rPr>
      </w:pPr>
    </w:p>
    <w:p w14:paraId="702971D9" w14:textId="77777777" w:rsidR="00A51B66" w:rsidRPr="00507A31" w:rsidRDefault="00A51B66" w:rsidP="00507A31">
      <w:pPr>
        <w:jc w:val="both"/>
        <w:rPr>
          <w:color w:val="000000" w:themeColor="text1"/>
          <w:sz w:val="16"/>
          <w:szCs w:val="16"/>
        </w:rPr>
      </w:pPr>
      <w:r w:rsidRPr="00507A31">
        <w:rPr>
          <w:rStyle w:val="a7"/>
          <w:b w:val="0"/>
          <w:color w:val="000000" w:themeColor="text1"/>
          <w:sz w:val="16"/>
          <w:szCs w:val="16"/>
        </w:rPr>
        <w:t xml:space="preserve">26 января 1930 </w:t>
      </w:r>
      <w:r w:rsidRPr="00507A31">
        <w:rPr>
          <w:color w:val="000000" w:themeColor="text1"/>
          <w:sz w:val="16"/>
          <w:szCs w:val="16"/>
        </w:rPr>
        <w:t>СНК принял постановление «О развитии безналичных расчетов» (12265).</w:t>
      </w:r>
    </w:p>
    <w:p w14:paraId="010172A5" w14:textId="77777777" w:rsidR="00A51B66" w:rsidRPr="00507A31" w:rsidRDefault="00A51B66" w:rsidP="00507A31">
      <w:pPr>
        <w:jc w:val="both"/>
        <w:rPr>
          <w:color w:val="000000" w:themeColor="text1"/>
          <w:sz w:val="16"/>
          <w:szCs w:val="16"/>
        </w:rPr>
      </w:pPr>
      <w:r w:rsidRPr="00507A31">
        <w:rPr>
          <w:color w:val="000000" w:themeColor="text1"/>
          <w:sz w:val="16"/>
          <w:szCs w:val="16"/>
        </w:rPr>
        <w:t> </w:t>
      </w:r>
    </w:p>
    <w:p w14:paraId="2F97CB21" w14:textId="77777777" w:rsidR="00A51B66"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D588AC0" w14:textId="77777777" w:rsidR="00A51B66" w:rsidRPr="00507A31" w:rsidRDefault="00A51B66" w:rsidP="00507A31">
      <w:pPr>
        <w:autoSpaceDE w:val="0"/>
        <w:autoSpaceDN w:val="0"/>
        <w:adjustRightInd w:val="0"/>
        <w:jc w:val="both"/>
        <w:rPr>
          <w:iCs/>
          <w:color w:val="000000" w:themeColor="text1"/>
          <w:sz w:val="16"/>
          <w:szCs w:val="16"/>
        </w:rPr>
      </w:pPr>
    </w:p>
    <w:p w14:paraId="78CFE451" w14:textId="77777777" w:rsidR="00A51B66" w:rsidRPr="00507A31" w:rsidRDefault="00A51B66" w:rsidP="00507A31">
      <w:pPr>
        <w:jc w:val="both"/>
        <w:rPr>
          <w:color w:val="000000" w:themeColor="text1"/>
          <w:sz w:val="16"/>
          <w:szCs w:val="16"/>
        </w:rPr>
      </w:pPr>
      <w:r w:rsidRPr="00507A31">
        <w:rPr>
          <w:color w:val="000000" w:themeColor="text1"/>
          <w:sz w:val="16"/>
          <w:szCs w:val="16"/>
        </w:rPr>
        <w:t>27 января 1930 г. ЦАГИ сообщило в НТК УВВС, что берется за зна</w:t>
      </w:r>
      <w:r w:rsidRPr="00507A31">
        <w:rPr>
          <w:color w:val="000000" w:themeColor="text1"/>
          <w:sz w:val="16"/>
          <w:szCs w:val="16"/>
        </w:rPr>
        <w:softHyphen/>
        <w:t>чительное усовершенствование И-4 - его ре</w:t>
      </w:r>
      <w:r w:rsidRPr="00507A31">
        <w:rPr>
          <w:color w:val="000000" w:themeColor="text1"/>
          <w:sz w:val="16"/>
          <w:szCs w:val="16"/>
        </w:rPr>
        <w:softHyphen/>
        <w:t>шили сделать чистым монопланом с новым капотированием двигателя. Такой самолет (зав. №1514) с вторично использованным на</w:t>
      </w:r>
      <w:r w:rsidRPr="00507A31">
        <w:rPr>
          <w:color w:val="000000" w:themeColor="text1"/>
          <w:sz w:val="16"/>
          <w:szCs w:val="16"/>
        </w:rPr>
        <w:softHyphen/>
        <w:t>званием И-4бис был предъявлен на испыта</w:t>
      </w:r>
      <w:r w:rsidRPr="00507A31">
        <w:rPr>
          <w:color w:val="000000" w:themeColor="text1"/>
          <w:sz w:val="16"/>
          <w:szCs w:val="16"/>
        </w:rPr>
        <w:softHyphen/>
        <w:t>ния 6 сентября 1931 года. На нем полностью убрали нижнее крыло, а двигатель оборудо</w:t>
      </w:r>
      <w:r w:rsidRPr="00507A31">
        <w:rPr>
          <w:color w:val="000000" w:themeColor="text1"/>
          <w:sz w:val="16"/>
          <w:szCs w:val="16"/>
        </w:rPr>
        <w:softHyphen/>
        <w:t>вали комбинированным кольцевым капо</w:t>
      </w:r>
      <w:r w:rsidRPr="00507A31">
        <w:rPr>
          <w:color w:val="000000" w:themeColor="text1"/>
          <w:sz w:val="16"/>
          <w:szCs w:val="16"/>
        </w:rPr>
        <w:softHyphen/>
        <w:t>том. Кроме прочего, верхнее крыло оснасти</w:t>
      </w:r>
      <w:r w:rsidRPr="00507A31">
        <w:rPr>
          <w:color w:val="000000" w:themeColor="text1"/>
          <w:sz w:val="16"/>
          <w:szCs w:val="16"/>
        </w:rPr>
        <w:softHyphen/>
        <w:t>ли предкрылками, которые управлялись лет</w:t>
      </w:r>
      <w:r w:rsidRPr="00507A31">
        <w:rPr>
          <w:color w:val="000000" w:themeColor="text1"/>
          <w:sz w:val="16"/>
          <w:szCs w:val="16"/>
        </w:rPr>
        <w:softHyphen/>
        <w:t>чиком, а также могли открываться автомати</w:t>
      </w:r>
      <w:r w:rsidRPr="00507A31">
        <w:rPr>
          <w:color w:val="000000" w:themeColor="text1"/>
          <w:sz w:val="16"/>
          <w:szCs w:val="16"/>
        </w:rPr>
        <w:softHyphen/>
        <w:t>чески при уменьшении скорости полета до 90-100 км/ч. Испытания И-4бис №1514 ве</w:t>
      </w:r>
      <w:r w:rsidRPr="00507A31">
        <w:rPr>
          <w:color w:val="000000" w:themeColor="text1"/>
          <w:sz w:val="16"/>
          <w:szCs w:val="16"/>
        </w:rPr>
        <w:softHyphen/>
        <w:t>лись в период 11.09-23.09 1931 г.</w:t>
      </w:r>
    </w:p>
    <w:p w14:paraId="5A76E3B2" w14:textId="77777777" w:rsidR="00A51B66" w:rsidRPr="00507A31" w:rsidRDefault="00A51B66" w:rsidP="00507A31">
      <w:pPr>
        <w:jc w:val="both"/>
        <w:rPr>
          <w:color w:val="000000" w:themeColor="text1"/>
          <w:sz w:val="16"/>
          <w:szCs w:val="16"/>
        </w:rPr>
      </w:pPr>
      <w:r w:rsidRPr="00507A31">
        <w:rPr>
          <w:color w:val="000000" w:themeColor="text1"/>
          <w:sz w:val="16"/>
          <w:szCs w:val="16"/>
        </w:rPr>
        <w:t>Выяснилось, что летные характеристики самолета №1514 по сравнению с серийны</w:t>
      </w:r>
      <w:r w:rsidRPr="00507A31">
        <w:rPr>
          <w:color w:val="000000" w:themeColor="text1"/>
          <w:sz w:val="16"/>
          <w:szCs w:val="16"/>
        </w:rPr>
        <w:softHyphen/>
        <w:t>ми И-4 изменились мало. Благодаря исполь</w:t>
      </w:r>
      <w:r w:rsidRPr="00507A31">
        <w:rPr>
          <w:color w:val="000000" w:themeColor="text1"/>
          <w:sz w:val="16"/>
          <w:szCs w:val="16"/>
        </w:rPr>
        <w:softHyphen/>
        <w:t>зованию предкрылков улучшилась попереч</w:t>
      </w:r>
      <w:r w:rsidRPr="00507A31">
        <w:rPr>
          <w:color w:val="000000" w:themeColor="text1"/>
          <w:sz w:val="16"/>
          <w:szCs w:val="16"/>
        </w:rPr>
        <w:softHyphen/>
        <w:t>ная устойчивость на малых скоростях, одна</w:t>
      </w:r>
      <w:r w:rsidRPr="00507A31">
        <w:rPr>
          <w:color w:val="000000" w:themeColor="text1"/>
          <w:sz w:val="16"/>
          <w:szCs w:val="16"/>
        </w:rPr>
        <w:softHyphen/>
        <w:t>ко скорость на посадке практически не из</w:t>
      </w:r>
      <w:r w:rsidRPr="00507A31">
        <w:rPr>
          <w:color w:val="000000" w:themeColor="text1"/>
          <w:sz w:val="16"/>
          <w:szCs w:val="16"/>
        </w:rPr>
        <w:softHyphen/>
        <w:t>менилась. Несколько выросла полетная ско</w:t>
      </w:r>
      <w:r w:rsidRPr="00507A31">
        <w:rPr>
          <w:color w:val="000000" w:themeColor="text1"/>
          <w:sz w:val="16"/>
          <w:szCs w:val="16"/>
        </w:rPr>
        <w:softHyphen/>
        <w:t>рость - до 268 км/ч, но ухудшились характе</w:t>
      </w:r>
      <w:r w:rsidRPr="00507A31">
        <w:rPr>
          <w:color w:val="000000" w:themeColor="text1"/>
          <w:sz w:val="16"/>
          <w:szCs w:val="16"/>
        </w:rPr>
        <w:softHyphen/>
        <w:t>ристики штопора. Не принес удовлетворе</w:t>
      </w:r>
      <w:r w:rsidRPr="00507A31">
        <w:rPr>
          <w:color w:val="000000" w:themeColor="text1"/>
          <w:sz w:val="16"/>
          <w:szCs w:val="16"/>
        </w:rPr>
        <w:softHyphen/>
        <w:t>ния и новый капот — он не обеспечивал наде</w:t>
      </w:r>
      <w:r w:rsidRPr="00507A31">
        <w:rPr>
          <w:color w:val="000000" w:themeColor="text1"/>
          <w:sz w:val="16"/>
          <w:szCs w:val="16"/>
        </w:rPr>
        <w:softHyphen/>
        <w:t>жного и достаточного охлаждения двигате</w:t>
      </w:r>
      <w:r w:rsidRPr="00507A31">
        <w:rPr>
          <w:color w:val="000000" w:themeColor="text1"/>
          <w:sz w:val="16"/>
          <w:szCs w:val="16"/>
        </w:rPr>
        <w:softHyphen/>
        <w:t>ля. В результате признавалось, что переделка И-4 в моноплан нецелесообразна.</w:t>
      </w:r>
    </w:p>
    <w:p w14:paraId="1E0A0FA3" w14:textId="77777777" w:rsidR="00A51B66" w:rsidRPr="00507A31" w:rsidRDefault="00A51B66" w:rsidP="00507A31">
      <w:pPr>
        <w:jc w:val="both"/>
        <w:rPr>
          <w:color w:val="000000" w:themeColor="text1"/>
          <w:sz w:val="16"/>
          <w:szCs w:val="16"/>
        </w:rPr>
      </w:pPr>
      <w:r w:rsidRPr="00507A31">
        <w:rPr>
          <w:color w:val="000000" w:themeColor="text1"/>
          <w:sz w:val="16"/>
          <w:szCs w:val="16"/>
        </w:rPr>
        <w:t>Еше одной работой ЦАГИ по усовершен</w:t>
      </w:r>
      <w:r w:rsidRPr="00507A31">
        <w:rPr>
          <w:color w:val="000000" w:themeColor="text1"/>
          <w:sz w:val="16"/>
          <w:szCs w:val="16"/>
        </w:rPr>
        <w:softHyphen/>
        <w:t>ствованию И-4 стала его установка на по</w:t>
      </w:r>
      <w:r w:rsidRPr="00507A31">
        <w:rPr>
          <w:color w:val="000000" w:themeColor="text1"/>
          <w:sz w:val="16"/>
          <w:szCs w:val="16"/>
        </w:rPr>
        <w:softHyphen/>
        <w:t>плавки с целью дальнейшего использования в качестве корабельного истребителя. Основ</w:t>
      </w:r>
      <w:r w:rsidRPr="00507A31">
        <w:rPr>
          <w:color w:val="000000" w:themeColor="text1"/>
          <w:sz w:val="16"/>
          <w:szCs w:val="16"/>
        </w:rPr>
        <w:softHyphen/>
        <w:t>ной причиной указанной деятельности стало приобретение в октябре 1929 года в Англии нескольких комплектов поплавков фирмы «Шорт». Поплавки предназначались в пер</w:t>
      </w:r>
      <w:r w:rsidRPr="00507A31">
        <w:rPr>
          <w:color w:val="000000" w:themeColor="text1"/>
          <w:sz w:val="16"/>
          <w:szCs w:val="16"/>
        </w:rPr>
        <w:softHyphen/>
        <w:t>вую очередь для бомбардировщиков ТБ-1а и разведчиков Р-ба, однако скоро на основе их конструкции и гидродинамики в ЦАГИ спроектировали поплавки для АНТ-10, АНТ- 9 и даже для ТБ-3. Для И-4 на основе англий</w:t>
      </w:r>
      <w:r w:rsidRPr="00507A31">
        <w:rPr>
          <w:color w:val="000000" w:themeColor="text1"/>
          <w:sz w:val="16"/>
          <w:szCs w:val="16"/>
        </w:rPr>
        <w:softHyphen/>
        <w:t>ских образцов разработали и в середине 1931 г. изготовили цельнометаллические поплав</w:t>
      </w:r>
      <w:r w:rsidRPr="00507A31">
        <w:rPr>
          <w:color w:val="000000" w:themeColor="text1"/>
          <w:sz w:val="16"/>
          <w:szCs w:val="16"/>
        </w:rPr>
        <w:softHyphen/>
        <w:t>ки со следующими размерами: длина 6,415 м, ширина 770 мм, высота 673 мм, длина носо</w:t>
      </w:r>
      <w:r w:rsidRPr="00507A31">
        <w:rPr>
          <w:color w:val="000000" w:themeColor="text1"/>
          <w:sz w:val="16"/>
          <w:szCs w:val="16"/>
        </w:rPr>
        <w:softHyphen/>
        <w:t>вой части до редана 3,365 м. Поначалу пред</w:t>
      </w:r>
      <w:r w:rsidRPr="00507A31">
        <w:rPr>
          <w:color w:val="000000" w:themeColor="text1"/>
          <w:sz w:val="16"/>
          <w:szCs w:val="16"/>
        </w:rPr>
        <w:softHyphen/>
        <w:t>лагалось установить на эти поплавки один из истребителей 29-й эскадрильи, базирующей</w:t>
      </w:r>
      <w:r w:rsidRPr="00507A31">
        <w:rPr>
          <w:color w:val="000000" w:themeColor="text1"/>
          <w:sz w:val="16"/>
          <w:szCs w:val="16"/>
        </w:rPr>
        <w:softHyphen/>
        <w:t>ся в Евпатории. Однако в ЦАГИ использова</w:t>
      </w:r>
      <w:r w:rsidRPr="00507A31">
        <w:rPr>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507A31">
        <w:rPr>
          <w:color w:val="000000" w:themeColor="text1"/>
          <w:sz w:val="16"/>
          <w:szCs w:val="16"/>
        </w:rPr>
        <w:softHyphen/>
        <w:t>нако сведений о завершении работ не обна</w:t>
      </w:r>
      <w:r w:rsidRPr="00507A31">
        <w:rPr>
          <w:color w:val="000000" w:themeColor="text1"/>
          <w:sz w:val="16"/>
          <w:szCs w:val="16"/>
        </w:rPr>
        <w:softHyphen/>
        <w:t>ружено. Очевидно, что летом 1931 года пред</w:t>
      </w:r>
      <w:r w:rsidRPr="00507A31">
        <w:rPr>
          <w:color w:val="000000" w:themeColor="text1"/>
          <w:sz w:val="16"/>
          <w:szCs w:val="16"/>
        </w:rPr>
        <w:softHyphen/>
        <w:t>ставители морской авиации от обладания ма</w:t>
      </w:r>
      <w:r w:rsidRPr="00507A31">
        <w:rPr>
          <w:color w:val="000000" w:themeColor="text1"/>
          <w:sz w:val="16"/>
          <w:szCs w:val="16"/>
        </w:rPr>
        <w:softHyphen/>
        <w:t>леньким поплавковым истребителем с недо</w:t>
      </w:r>
      <w:r w:rsidRPr="00507A31">
        <w:rPr>
          <w:color w:val="000000" w:themeColor="text1"/>
          <w:sz w:val="16"/>
          <w:szCs w:val="16"/>
        </w:rPr>
        <w:softHyphen/>
        <w:t>статочной мореходностью решили отказать</w:t>
      </w:r>
      <w:r w:rsidRPr="00507A31">
        <w:rPr>
          <w:color w:val="000000" w:themeColor="text1"/>
          <w:sz w:val="16"/>
          <w:szCs w:val="16"/>
        </w:rPr>
        <w:softHyphen/>
        <w:t>ся. Вероятнее всего на принятие решения по</w:t>
      </w:r>
      <w:r w:rsidRPr="00507A31">
        <w:rPr>
          <w:color w:val="000000" w:themeColor="text1"/>
          <w:sz w:val="16"/>
          <w:szCs w:val="16"/>
        </w:rPr>
        <w:softHyphen/>
        <w:t>влиял двухлетний опыт эксплуатации летаю</w:t>
      </w:r>
      <w:r w:rsidRPr="00507A31">
        <w:rPr>
          <w:color w:val="000000" w:themeColor="text1"/>
          <w:sz w:val="16"/>
          <w:szCs w:val="16"/>
        </w:rPr>
        <w:softHyphen/>
        <w:t>щих лодок КР-1 (Хейнкель НЭ.55).</w:t>
      </w:r>
    </w:p>
    <w:p w14:paraId="0306B03E" w14:textId="77777777" w:rsidR="00A51B66" w:rsidRPr="00507A31" w:rsidRDefault="00A51B66" w:rsidP="00507A31">
      <w:pPr>
        <w:jc w:val="both"/>
        <w:rPr>
          <w:color w:val="000000" w:themeColor="text1"/>
          <w:sz w:val="16"/>
          <w:szCs w:val="16"/>
        </w:rPr>
      </w:pPr>
      <w:r w:rsidRPr="00507A31">
        <w:rPr>
          <w:color w:val="000000" w:themeColor="text1"/>
          <w:sz w:val="16"/>
          <w:szCs w:val="16"/>
        </w:rPr>
        <w:t>Еще одной работой 1931 года стала уста</w:t>
      </w:r>
      <w:r w:rsidRPr="00507A31">
        <w:rPr>
          <w:color w:val="000000" w:themeColor="text1"/>
          <w:sz w:val="16"/>
          <w:szCs w:val="16"/>
        </w:rPr>
        <w:softHyphen/>
        <w:t>новка под крылом И-4 выливных авиацион</w:t>
      </w:r>
      <w:r w:rsidRPr="00507A31">
        <w:rPr>
          <w:color w:val="000000" w:themeColor="text1"/>
          <w:sz w:val="16"/>
          <w:szCs w:val="16"/>
        </w:rPr>
        <w:softHyphen/>
        <w:t>ных приборов ВАП-4. Однако первые поле</w:t>
      </w:r>
      <w:r w:rsidRPr="00507A31">
        <w:rPr>
          <w:color w:val="000000" w:themeColor="text1"/>
          <w:sz w:val="16"/>
          <w:szCs w:val="16"/>
        </w:rPr>
        <w:softHyphen/>
        <w:t>ты, проведенные в августе того года, показали, что ВАПы цепляют за землю, поэтому ис</w:t>
      </w:r>
      <w:r w:rsidRPr="00507A31">
        <w:rPr>
          <w:color w:val="000000" w:themeColor="text1"/>
          <w:sz w:val="16"/>
          <w:szCs w:val="16"/>
        </w:rPr>
        <w:softHyphen/>
        <w:t>пользование небольшого истребителя в каче</w:t>
      </w:r>
      <w:r w:rsidRPr="00507A31">
        <w:rPr>
          <w:color w:val="000000" w:themeColor="text1"/>
          <w:sz w:val="16"/>
          <w:szCs w:val="16"/>
        </w:rPr>
        <w:softHyphen/>
        <w:t>стве «химического» самолета не состоялось.</w:t>
      </w:r>
    </w:p>
    <w:p w14:paraId="32A3EDB3" w14:textId="77777777" w:rsidR="00A51B66" w:rsidRPr="00507A31" w:rsidRDefault="00A51B66" w:rsidP="00507A31">
      <w:pPr>
        <w:jc w:val="both"/>
        <w:rPr>
          <w:color w:val="000000" w:themeColor="text1"/>
          <w:sz w:val="16"/>
          <w:szCs w:val="16"/>
        </w:rPr>
      </w:pPr>
      <w:r w:rsidRPr="00507A31">
        <w:rPr>
          <w:color w:val="000000" w:themeColor="text1"/>
          <w:sz w:val="16"/>
          <w:szCs w:val="16"/>
        </w:rPr>
        <w:t>К экспериментам, в которых участвова</w:t>
      </w:r>
      <w:r w:rsidRPr="00507A31">
        <w:rPr>
          <w:color w:val="000000" w:themeColor="text1"/>
          <w:sz w:val="16"/>
          <w:szCs w:val="16"/>
        </w:rPr>
        <w:softHyphen/>
        <w:t>ли И-4, следует отнести опыты с ракетны</w:t>
      </w:r>
      <w:r w:rsidRPr="00507A31">
        <w:rPr>
          <w:color w:val="000000" w:themeColor="text1"/>
          <w:sz w:val="16"/>
          <w:szCs w:val="16"/>
        </w:rPr>
        <w:softHyphen/>
        <w:t>ми двигателями для ускорения взлета. Дея</w:t>
      </w:r>
      <w:r w:rsidRPr="00507A31">
        <w:rPr>
          <w:color w:val="000000" w:themeColor="text1"/>
          <w:sz w:val="16"/>
          <w:szCs w:val="16"/>
        </w:rPr>
        <w:softHyphen/>
        <w:t>тельность по установке ракетных ускорите</w:t>
      </w:r>
      <w:r w:rsidRPr="00507A31">
        <w:rPr>
          <w:color w:val="000000" w:themeColor="text1"/>
          <w:sz w:val="16"/>
          <w:szCs w:val="16"/>
        </w:rPr>
        <w:softHyphen/>
        <w:t>лей велась в 1934 году под руководством В.М. Мясишева. Во время испытаний отмечалось увеличение полетной скорости истребителя на 25 км/ч (12295).</w:t>
      </w:r>
    </w:p>
    <w:p w14:paraId="55E2C831" w14:textId="77777777" w:rsidR="00A51B66" w:rsidRPr="00507A31" w:rsidRDefault="00A51B66" w:rsidP="00507A31">
      <w:pPr>
        <w:jc w:val="both"/>
        <w:rPr>
          <w:color w:val="000000" w:themeColor="text1"/>
          <w:sz w:val="16"/>
          <w:szCs w:val="16"/>
        </w:rPr>
      </w:pPr>
    </w:p>
    <w:p w14:paraId="7826DA50" w14:textId="77777777" w:rsidR="00537E5F" w:rsidRPr="00507A31" w:rsidRDefault="00AC7355" w:rsidP="00507A31">
      <w:pPr>
        <w:autoSpaceDE w:val="0"/>
        <w:autoSpaceDN w:val="0"/>
        <w:adjustRightInd w:val="0"/>
        <w:jc w:val="both"/>
        <w:rPr>
          <w:color w:val="000000" w:themeColor="text1"/>
          <w:sz w:val="16"/>
          <w:szCs w:val="16"/>
        </w:rPr>
      </w:pPr>
      <w:r w:rsidRPr="00507A31">
        <w:rPr>
          <w:i/>
          <w:color w:val="000000" w:themeColor="text1"/>
          <w:sz w:val="16"/>
          <w:szCs w:val="16"/>
        </w:rPr>
        <w:t>Другие оборонные отрасли:</w:t>
      </w:r>
    </w:p>
    <w:p w14:paraId="05921917" w14:textId="77777777" w:rsidR="00537E5F" w:rsidRPr="00507A31" w:rsidRDefault="00537E5F" w:rsidP="00507A31">
      <w:pPr>
        <w:autoSpaceDE w:val="0"/>
        <w:autoSpaceDN w:val="0"/>
        <w:adjustRightInd w:val="0"/>
        <w:jc w:val="both"/>
        <w:rPr>
          <w:color w:val="000000" w:themeColor="text1"/>
          <w:sz w:val="16"/>
          <w:szCs w:val="16"/>
        </w:rPr>
      </w:pPr>
    </w:p>
    <w:p w14:paraId="50D93B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 января 1930 г. была подготовлена ДОКЛАДНАЯ ЗАПИСКА УММ В РВС СССР С ХОДАТАЙСТВОМ О НАЗНАЧЕНИИ СПЕЦИАЛЬНОЙ КОМИССИИ ДЛЯ ОТЫСКАНИЯ УЧАСТКА ПОД ПОЛИГОН</w:t>
      </w:r>
    </w:p>
    <w:p w14:paraId="38D54D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началом развертывания механизации и моторизации армии, а также в связи с создани</w:t>
      </w:r>
      <w:r w:rsidRPr="00507A31">
        <w:rPr>
          <w:color w:val="000000" w:themeColor="text1"/>
          <w:sz w:val="16"/>
          <w:szCs w:val="16"/>
        </w:rPr>
        <w:softHyphen/>
        <w:t>ем опытных механизированных соединений выявляется необходимость в изучении и поверке опы</w:t>
      </w:r>
      <w:r w:rsidRPr="00507A31">
        <w:rPr>
          <w:color w:val="000000" w:themeColor="text1"/>
          <w:sz w:val="16"/>
          <w:szCs w:val="16"/>
        </w:rPr>
        <w:softHyphen/>
        <w:t>том ряда вопросов как чисто технического, так и боевого характера.</w:t>
      </w:r>
    </w:p>
    <w:p w14:paraId="6A0AF5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Эти опыты, а также и боевая подготовка опытных механизированных соединений требуют соответ</w:t>
      </w:r>
      <w:r w:rsidRPr="00507A31">
        <w:rPr>
          <w:color w:val="000000" w:themeColor="text1"/>
          <w:sz w:val="16"/>
          <w:szCs w:val="16"/>
        </w:rPr>
        <w:softHyphen/>
        <w:t>ствующим образом оборудованного Полигона, общие требования к которому при сем представляются.</w:t>
      </w:r>
    </w:p>
    <w:p w14:paraId="41848C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Предварительная проработка этого вопроса выявила, что существующий ныне Полигон ВТУ требованиям организации и проведению предстоящих опытных работ не отвечает как по недостатку места, несоответствию оборудования, так и по расположению.</w:t>
      </w:r>
    </w:p>
    <w:p w14:paraId="150322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Последнее совершенно исключает возможность организации на нем каких-либо стрельб — одного из стержневых вопросов будущих изысканий.</w:t>
      </w:r>
    </w:p>
    <w:p w14:paraId="343CFB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Ходатайствую о назначении специальной комиссии для подыскания участка местности в соответствии с представляемыми при сем требованиями.</w:t>
      </w:r>
    </w:p>
    <w:p w14:paraId="2278D8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 требования, предъявляемые к Полигону.</w:t>
      </w:r>
    </w:p>
    <w:p w14:paraId="1125D6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УММ РККА Калиновский</w:t>
      </w:r>
    </w:p>
    <w:p w14:paraId="73B441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 Требования, предъявляемые к Полигону. Назначение Полигона.</w:t>
      </w:r>
    </w:p>
    <w:p w14:paraId="65531C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Проведение испытаний опытных образцов самодвижущихся транспортных и боевых машин в индивидуальном порядке, как их движения, так и боевого применения на участках разнообразной местности, самостоятельных стрельбищах и автотрактородромах, а также аналогичные испытания образцов общего автотранспорта союзных и заграничных конструкций, поступающих в порядке изучения готовых образцов для нужд РККА.</w:t>
      </w:r>
    </w:p>
    <w:p w14:paraId="4074C7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 В задачу Полигона не входят артиллерийская стрельба, проводимая артиллерий</w:t>
      </w:r>
      <w:r w:rsidRPr="00507A31">
        <w:rPr>
          <w:color w:val="000000" w:themeColor="text1"/>
          <w:sz w:val="16"/>
          <w:szCs w:val="16"/>
        </w:rPr>
        <w:softHyphen/>
        <w:t>ским полигоном при приеме и сдаче вооружения механизированных и моторизованных частей, а также по программам больших артиллерийских испытаний новых образцов вооружения.</w:t>
      </w:r>
    </w:p>
    <w:p w14:paraId="5B1362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При наличии благоприятного расположения подъездных железнодорожных путей желатель</w:t>
      </w:r>
      <w:r w:rsidRPr="00507A31">
        <w:rPr>
          <w:color w:val="000000" w:themeColor="text1"/>
          <w:sz w:val="16"/>
          <w:szCs w:val="16"/>
        </w:rPr>
        <w:softHyphen/>
        <w:t>но использование тех же стрельбищ [Полигона] для испытания вооружения бронепоездов.</w:t>
      </w:r>
    </w:p>
    <w:p w14:paraId="11BDB5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Проведение испытаний отдельных механизмов конструкций механизированных и моторизиро-ванных частей, в том числе эксплуатационно-поверочных испытаний разных видов моторов, движите</w:t>
      </w:r>
      <w:r w:rsidRPr="00507A31">
        <w:rPr>
          <w:color w:val="000000" w:themeColor="text1"/>
          <w:sz w:val="16"/>
          <w:szCs w:val="16"/>
        </w:rPr>
        <w:softHyphen/>
        <w:t>лей, шасси, кузовов и горючих, а также испытание всех конструкций установок вооружения и прибо</w:t>
      </w:r>
      <w:r w:rsidRPr="00507A31">
        <w:rPr>
          <w:color w:val="000000" w:themeColor="text1"/>
          <w:sz w:val="16"/>
          <w:szCs w:val="16"/>
        </w:rPr>
        <w:softHyphen/>
        <w:t>ров управления, связанных с боевой стрельбой и маневрированием автоброневых и танковых частей.</w:t>
      </w:r>
    </w:p>
    <w:p w14:paraId="35E33F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Испытания, как конструкций в целом, так и их частей на работу в специфических условиях: климатических, дымовых и газовых при организованной помехе противника (любого рода войск).</w:t>
      </w:r>
    </w:p>
    <w:p w14:paraId="6A06CF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Испытания средств связи и наблюдения в условиях их службы на единицах механизирован</w:t>
      </w:r>
      <w:r w:rsidRPr="00507A31">
        <w:rPr>
          <w:color w:val="000000" w:themeColor="text1"/>
          <w:sz w:val="16"/>
          <w:szCs w:val="16"/>
        </w:rPr>
        <w:softHyphen/>
        <w:t>ных и моторизированных частей.</w:t>
      </w:r>
    </w:p>
    <w:p w14:paraId="2253A4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Исследования психофизиологических особенностей работы в боевых единицах механизиро</w:t>
      </w:r>
      <w:r w:rsidRPr="00507A31">
        <w:rPr>
          <w:color w:val="000000" w:themeColor="text1"/>
          <w:sz w:val="16"/>
          <w:szCs w:val="16"/>
        </w:rPr>
        <w:softHyphen/>
        <w:t>ванных и моторизированных частей.</w:t>
      </w:r>
    </w:p>
    <w:p w14:paraId="7DCDB5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Подготовка к проведению боевых упражнений механизированной бригады на специально подготовленном плацдарме (как самостоятельных, так и в составе войск).</w:t>
      </w:r>
    </w:p>
    <w:p w14:paraId="57B30C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Разработка, осуществление и испытание средств и порядка укладки, погрузки и разгрузки мо</w:t>
      </w:r>
      <w:r w:rsidRPr="00507A31">
        <w:rPr>
          <w:color w:val="000000" w:themeColor="text1"/>
          <w:sz w:val="16"/>
          <w:szCs w:val="16"/>
        </w:rPr>
        <w:softHyphen/>
        <w:t>торизированных частей для движения их как собственным ходом, так и в погруженном на железно</w:t>
      </w:r>
      <w:r w:rsidRPr="00507A31">
        <w:rPr>
          <w:color w:val="000000" w:themeColor="text1"/>
          <w:sz w:val="16"/>
          <w:szCs w:val="16"/>
        </w:rPr>
        <w:softHyphen/>
        <w:t>дорожный состав виде, а также разработка и испытание специальных средств для переправ мотори</w:t>
      </w:r>
      <w:r w:rsidRPr="00507A31">
        <w:rPr>
          <w:color w:val="000000" w:themeColor="text1"/>
          <w:sz w:val="16"/>
          <w:szCs w:val="16"/>
        </w:rPr>
        <w:softHyphen/>
        <w:t>зированных частей через водные преграды.</w:t>
      </w:r>
    </w:p>
    <w:p w14:paraId="0AE8A7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Выполнение и испытание простейших образцов вспомогательных конструкций и приспособ</w:t>
      </w:r>
      <w:r w:rsidRPr="00507A31">
        <w:rPr>
          <w:color w:val="000000" w:themeColor="text1"/>
          <w:sz w:val="16"/>
          <w:szCs w:val="16"/>
        </w:rPr>
        <w:softHyphen/>
        <w:t>лений механизированных и моторизированных частей.</w:t>
      </w:r>
    </w:p>
    <w:p w14:paraId="1A80B6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Общие требования к Полигону</w:t>
      </w:r>
    </w:p>
    <w:p w14:paraId="56F76A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смысле географического расположения и наличия естественных условий)</w:t>
      </w:r>
    </w:p>
    <w:p w14:paraId="6CC39B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10. Полигон должен быть расположен от Москвы по возможности не далее 100 - 125 км.</w:t>
      </w:r>
    </w:p>
    <w:p w14:paraId="273DE3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Наличие вблизи территории Полигона металлообрабатывающих заводов с собственными го</w:t>
      </w:r>
      <w:r w:rsidRPr="00507A31">
        <w:rPr>
          <w:color w:val="000000" w:themeColor="text1"/>
          <w:sz w:val="16"/>
          <w:szCs w:val="16"/>
        </w:rPr>
        <w:softHyphen/>
        <w:t>рячими цехами, металлографической и механической лабораториями, а также наличие электриче</w:t>
      </w:r>
      <w:r w:rsidRPr="00507A31">
        <w:rPr>
          <w:color w:val="000000" w:themeColor="text1"/>
          <w:sz w:val="16"/>
          <w:szCs w:val="16"/>
        </w:rPr>
        <w:softHyphen/>
        <w:t>ской магистрали крайне желательно.</w:t>
      </w:r>
    </w:p>
    <w:p w14:paraId="0C5F4D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Территория Полигона должна примыкать или находиться вблизи шоссейных и железных до</w:t>
      </w:r>
      <w:r w:rsidRPr="00507A31">
        <w:rPr>
          <w:color w:val="000000" w:themeColor="text1"/>
          <w:sz w:val="16"/>
          <w:szCs w:val="16"/>
        </w:rPr>
        <w:softHyphen/>
        <w:t>рог, большаков; при наличии водных преград — обязательное обеспечение переправы в любое вре</w:t>
      </w:r>
      <w:r w:rsidRPr="00507A31">
        <w:rPr>
          <w:color w:val="000000" w:themeColor="text1"/>
          <w:sz w:val="16"/>
          <w:szCs w:val="16"/>
        </w:rPr>
        <w:softHyphen/>
        <w:t>мя года; пересечение территории Полигона дорогами государственного значения, а также водопро</w:t>
      </w:r>
      <w:r w:rsidRPr="00507A31">
        <w:rPr>
          <w:color w:val="000000" w:themeColor="text1"/>
          <w:sz w:val="16"/>
          <w:szCs w:val="16"/>
        </w:rPr>
        <w:softHyphen/>
        <w:t>водными, канализационными и электрическими магистралями на участках, предназначенных под стрельбища и автотракторотанкодрома, нежелательно.</w:t>
      </w:r>
    </w:p>
    <w:p w14:paraId="3F2843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Территория Полигона должна быть обеспечена питьевой и технической водой. Наличие на территории Полигона хорошей реки (достаточной ширины, глубины и скорости течения) для орга</w:t>
      </w:r>
      <w:r w:rsidRPr="00507A31">
        <w:rPr>
          <w:color w:val="000000" w:themeColor="text1"/>
          <w:sz w:val="16"/>
          <w:szCs w:val="16"/>
        </w:rPr>
        <w:softHyphen/>
        <w:t>низации на ней типовых переправ обязательно (в крайнем случае, озеро); желательно наличие раз</w:t>
      </w:r>
      <w:r w:rsidRPr="00507A31">
        <w:rPr>
          <w:color w:val="000000" w:themeColor="text1"/>
          <w:sz w:val="16"/>
          <w:szCs w:val="16"/>
        </w:rPr>
        <w:softHyphen/>
        <w:t>нообразных типов берегов, как по рельефу, так и по грунту; наличие бродов с разными грунтами дна - для переправ каждого из видов механизированных и моторизованных средств.</w:t>
      </w:r>
    </w:p>
    <w:p w14:paraId="06A408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Территория Полигона в части, подлежащей застройке сооружениями жилого и производст</w:t>
      </w:r>
      <w:r w:rsidRPr="00507A31">
        <w:rPr>
          <w:color w:val="000000" w:themeColor="text1"/>
          <w:sz w:val="16"/>
          <w:szCs w:val="16"/>
        </w:rPr>
        <w:softHyphen/>
        <w:t>венного характера, должна удовлетворять всесторонним санитарным и строительным требованиям.</w:t>
      </w:r>
    </w:p>
    <w:p w14:paraId="5DD3DE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Полигон должен иметь наиболее разнообразный рельеф и разнообразный грунт, а именно: хорошую грунтовую дорогу и плохую грунтовую дорогу (проселок); бездорожье — дернистый луг су</w:t>
      </w:r>
      <w:r w:rsidRPr="00507A31">
        <w:rPr>
          <w:color w:val="000000" w:themeColor="text1"/>
          <w:sz w:val="16"/>
          <w:szCs w:val="16"/>
        </w:rPr>
        <w:softHyphen/>
        <w:t>хой, луг мокрый кочковатый; болотистый грунт; глинистый грунт, сыпучий песок; подъемы: грунто</w:t>
      </w:r>
      <w:r w:rsidRPr="00507A31">
        <w:rPr>
          <w:color w:val="000000" w:themeColor="text1"/>
          <w:sz w:val="16"/>
          <w:szCs w:val="16"/>
        </w:rPr>
        <w:softHyphen/>
        <w:t>вых дорог — до 20 процентов возможно большей протяженности; по дернистому лугу — до 10 про</w:t>
      </w:r>
      <w:r w:rsidRPr="00507A31">
        <w:rPr>
          <w:color w:val="000000" w:themeColor="text1"/>
          <w:sz w:val="16"/>
          <w:szCs w:val="16"/>
        </w:rPr>
        <w:softHyphen/>
        <w:t>центов и длиной до 40 м; по сыпучему песку — до 10 процентов и до 75 м длиной; по глинистому подъ</w:t>
      </w:r>
      <w:r w:rsidRPr="00507A31">
        <w:rPr>
          <w:color w:val="000000" w:themeColor="text1"/>
          <w:sz w:val="16"/>
          <w:szCs w:val="16"/>
        </w:rPr>
        <w:softHyphen/>
        <w:t>ему — до 20 процентов и длиной до 75 м, и во всяком случае требуется наличие подъема около 8 процентов и длиной не менее 100 м; обязательно наличие сильно пересеченной местности с твердым дерновым покровом; желательно наличие небольших лесистых участков, кустарника и леса на раз</w:t>
      </w:r>
      <w:r w:rsidRPr="00507A31">
        <w:rPr>
          <w:color w:val="000000" w:themeColor="text1"/>
          <w:sz w:val="16"/>
          <w:szCs w:val="16"/>
        </w:rPr>
        <w:softHyphen/>
        <w:t>личных рельефах, различной густоты и толщины деревьев, с участками срубленного леса; кроме то</w:t>
      </w:r>
      <w:r w:rsidRPr="00507A31">
        <w:rPr>
          <w:color w:val="000000" w:themeColor="text1"/>
          <w:sz w:val="16"/>
          <w:szCs w:val="16"/>
        </w:rPr>
        <w:softHyphen/>
        <w:t>го, необходимо наличие пункта, обеспечивающего большой кругозор.</w:t>
      </w:r>
    </w:p>
    <w:p w14:paraId="241E54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Размеры площади Полигона — не менее 240 кв. км (20x12 км). Кроме того, при расквартиро</w:t>
      </w:r>
      <w:r w:rsidRPr="00507A31">
        <w:rPr>
          <w:color w:val="000000" w:themeColor="text1"/>
          <w:sz w:val="16"/>
          <w:szCs w:val="16"/>
        </w:rPr>
        <w:softHyphen/>
        <w:t>вании на полигоне моторизованной бригады (дабы последняя имела возможность проведения такти</w:t>
      </w:r>
      <w:r w:rsidRPr="00507A31">
        <w:rPr>
          <w:color w:val="000000" w:themeColor="text1"/>
          <w:sz w:val="16"/>
          <w:szCs w:val="16"/>
        </w:rPr>
        <w:softHyphen/>
        <w:t>ческих занятий и боевых стрельб, желательно наличие прилагаемых к территории Полигона неудоб</w:t>
      </w:r>
      <w:r w:rsidRPr="00507A31">
        <w:rPr>
          <w:color w:val="000000" w:themeColor="text1"/>
          <w:sz w:val="16"/>
          <w:szCs w:val="16"/>
        </w:rPr>
        <w:softHyphen/>
        <w:t>ных и незаселенных земель; размеры участка вместе с Полигоном, - 20хЗОкм; на Полигоне должен быть участок размером приблизительно 6x6 км для организации двух центров сопротивления, перед ним — площадь для развертывания наступления в полосе шириной 6 км и глубиной 4 км.</w:t>
      </w:r>
    </w:p>
    <w:p w14:paraId="3A9B61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Оборудование полигона</w:t>
      </w:r>
    </w:p>
    <w:p w14:paraId="75EADB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Полигоне должны быть оборудованы: производственная мастерская, гаражи, склады, лабо</w:t>
      </w:r>
      <w:r w:rsidRPr="00507A31">
        <w:rPr>
          <w:color w:val="000000" w:themeColor="text1"/>
          <w:sz w:val="16"/>
          <w:szCs w:val="16"/>
        </w:rPr>
        <w:softHyphen/>
        <w:t>ратории и испытательные станции, подъездные шоссированные и железнодорожные пути с габа</w:t>
      </w:r>
      <w:r w:rsidRPr="00507A31">
        <w:rPr>
          <w:color w:val="000000" w:themeColor="text1"/>
          <w:sz w:val="16"/>
          <w:szCs w:val="16"/>
        </w:rPr>
        <w:softHyphen/>
        <w:t>ритной рамкой, с крытой разгрузочной платформой и осными весами, электрическая станция (в слу</w:t>
      </w:r>
      <w:r w:rsidRPr="00507A31">
        <w:rPr>
          <w:color w:val="000000" w:themeColor="text1"/>
          <w:sz w:val="16"/>
          <w:szCs w:val="16"/>
        </w:rPr>
        <w:softHyphen/>
        <w:t>чае получения энергии из электрической магистрали — станция является резервной), конструктор</w:t>
      </w:r>
      <w:r w:rsidRPr="00507A31">
        <w:rPr>
          <w:color w:val="000000" w:themeColor="text1"/>
          <w:sz w:val="16"/>
          <w:szCs w:val="16"/>
        </w:rPr>
        <w:softHyphen/>
        <w:t>ское бюро, стрельбище учебное, боевое и тир, автотракторотанкодромы, жилые помещения с учебным плацем, платформенные весы большой грузоподъемности.</w:t>
      </w:r>
    </w:p>
    <w:p w14:paraId="4DFA52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Производственная мастерская</w:t>
      </w:r>
    </w:p>
    <w:p w14:paraId="1745F7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Создается для производства: среднего и капитального ремонта машин как находящихся в экс</w:t>
      </w:r>
      <w:r w:rsidRPr="00507A31">
        <w:rPr>
          <w:color w:val="000000" w:themeColor="text1"/>
          <w:sz w:val="16"/>
          <w:szCs w:val="16"/>
        </w:rPr>
        <w:softHyphen/>
        <w:t>плуатации на Полигоне, так и прибывающих на испытания; ремонта оборудования всего Полигона в целом и мастерских; изготовления простейших конструкций образцов вспомогательных приспособ</w:t>
      </w:r>
      <w:r w:rsidRPr="00507A31">
        <w:rPr>
          <w:color w:val="000000" w:themeColor="text1"/>
          <w:sz w:val="16"/>
          <w:szCs w:val="16"/>
        </w:rPr>
        <w:softHyphen/>
        <w:t>лений для механизированных и моторизованных частей, а также разного рода работ, связанных с производственной деятельностью Полигона.</w:t>
      </w:r>
    </w:p>
    <w:p w14:paraId="723AA2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Производственная емкость мастерской — 250 машин в год среднего и капитального ремонта с воз</w:t>
      </w:r>
      <w:r w:rsidRPr="00507A31">
        <w:rPr>
          <w:color w:val="000000" w:themeColor="text1"/>
          <w:sz w:val="16"/>
          <w:szCs w:val="16"/>
        </w:rPr>
        <w:softHyphen/>
        <w:t>можностью развития до 650 машин в год в военное время. Мастерская должна иметь: механический цех (тракторный, слесарный, сборочный, инструментальный и отдел ремонта оборудования); горячий и те</w:t>
      </w:r>
      <w:r w:rsidRPr="00507A31">
        <w:rPr>
          <w:color w:val="000000" w:themeColor="text1"/>
          <w:sz w:val="16"/>
          <w:szCs w:val="16"/>
        </w:rPr>
        <w:softHyphen/>
        <w:t>пловой цех (мелкое стальное литье, чугунное литье, бронза и алюминий; термическая обработка и куз</w:t>
      </w:r>
      <w:r w:rsidRPr="00507A31">
        <w:rPr>
          <w:color w:val="000000" w:themeColor="text1"/>
          <w:sz w:val="16"/>
          <w:szCs w:val="16"/>
        </w:rPr>
        <w:softHyphen/>
        <w:t>ница с приводным молотом в 0,5 т, и приводным прессом в 400 т); деревообделочный цех; малярный цех; вулканизационная мастерская для автошин и гусматическая.</w:t>
      </w:r>
    </w:p>
    <w:p w14:paraId="4E7230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Общая площадь мастерской ориентировочно 3000 кв.м с учетом обслуживания без силовой станции; должно быть предусмотрено развитие мастерской по программе 650 машин в год.</w:t>
      </w:r>
    </w:p>
    <w:p w14:paraId="0DAD44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Гаражи</w:t>
      </w:r>
    </w:p>
    <w:p w14:paraId="4B1937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Общая площадь гаражей по мирному времени при условии расквартирования моторизованной бригады — около 14000 кв.м, с возможностью увеличения в военное время в 2,5 раза. Стационарные и подвижные подъемные краны разной грузоподъемности.</w:t>
      </w:r>
    </w:p>
    <w:p w14:paraId="21718A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Склады</w:t>
      </w:r>
    </w:p>
    <w:p w14:paraId="1BD37D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Горючих смазочных материалов; б) огнеприпасов; в) химматериалов; г) технических матери</w:t>
      </w:r>
      <w:r w:rsidRPr="00507A31">
        <w:rPr>
          <w:color w:val="000000" w:themeColor="text1"/>
          <w:sz w:val="16"/>
          <w:szCs w:val="16"/>
        </w:rPr>
        <w:softHyphen/>
        <w:t>алов; д) строительных материалов.</w:t>
      </w:r>
    </w:p>
    <w:p w14:paraId="1B70FD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Лаборатории и испытательные станции</w:t>
      </w:r>
    </w:p>
    <w:p w14:paraId="58B4C7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Автотракторные; б) механическая, с металлографическим кабинетом; в) химическая; г) психо</w:t>
      </w:r>
      <w:r w:rsidRPr="00507A31">
        <w:rPr>
          <w:color w:val="000000" w:themeColor="text1"/>
          <w:sz w:val="16"/>
          <w:szCs w:val="16"/>
        </w:rPr>
        <w:softHyphen/>
        <w:t>физиологическая; д) баллистический кабинет; е) метеорологическая станция.</w:t>
      </w:r>
    </w:p>
    <w:p w14:paraId="2A68B0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Подъездные шоссированные и железнодорожные пути</w:t>
      </w:r>
    </w:p>
    <w:p w14:paraId="0D58CF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наличии вблизи территории Полигона железнодорожного пути необходима постройка же</w:t>
      </w:r>
      <w:r w:rsidRPr="00507A31">
        <w:rPr>
          <w:color w:val="000000" w:themeColor="text1"/>
          <w:sz w:val="16"/>
          <w:szCs w:val="16"/>
        </w:rPr>
        <w:softHyphen/>
        <w:t>лезнодорожной ветки на территории Полигона с соответствующей разгрузочной крытой платфор</w:t>
      </w:r>
      <w:r w:rsidRPr="00507A31">
        <w:rPr>
          <w:color w:val="000000" w:themeColor="text1"/>
          <w:sz w:val="16"/>
          <w:szCs w:val="16"/>
        </w:rPr>
        <w:softHyphen/>
        <w:t>мой, а также от близлежащего шоссе — шоссированной ветки к территории полигона.</w:t>
      </w:r>
    </w:p>
    <w:p w14:paraId="231702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Электрическая станция</w:t>
      </w:r>
    </w:p>
    <w:p w14:paraId="44C847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Мощность электрической станции - 200 киловатт в мирное время, с возможностью развития ее в 1,5 раза в военное время.</w:t>
      </w:r>
    </w:p>
    <w:p w14:paraId="526B4F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Конструкторское бюро</w:t>
      </w:r>
    </w:p>
    <w:p w14:paraId="79D465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Конструкторское бюро - на 15-20 столов, исключая администрацию.</w:t>
      </w:r>
    </w:p>
    <w:p w14:paraId="6455B7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Стрельбище</w:t>
      </w:r>
    </w:p>
    <w:p w14:paraId="4771EF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Для одиночных учебных стрельб (рассчитанное на роту).</w:t>
      </w:r>
    </w:p>
    <w:p w14:paraId="78FE10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Участок - в форме трапеции, меньшая сторона - около 3 км, глубина -около 15 км, раствор — ми</w:t>
      </w:r>
      <w:r w:rsidRPr="00507A31">
        <w:rPr>
          <w:color w:val="000000" w:themeColor="text1"/>
          <w:sz w:val="16"/>
          <w:szCs w:val="16"/>
        </w:rPr>
        <w:softHyphen/>
        <w:t>нимум 45 градусов в каждую сторону; глубина полосы, занятой мишенями, - 1,5-2 км. Стрельбище должно быть оборудовано закрытиями для показчиков и боковых наблюдателей, неподвижными и движущимися мишенями (ход - до 30 км/час) по различным направлениям; отличительными и погра</w:t>
      </w:r>
      <w:r w:rsidRPr="00507A31">
        <w:rPr>
          <w:color w:val="000000" w:themeColor="text1"/>
          <w:sz w:val="16"/>
          <w:szCs w:val="16"/>
        </w:rPr>
        <w:softHyphen/>
        <w:t>ничными знаками, командирскими пунктами и связью.</w:t>
      </w:r>
    </w:p>
    <w:p w14:paraId="45BEEF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Стрельбище должно иметь обеспеченное сообщение по</w:t>
      </w:r>
      <w:r w:rsidRPr="00507A31">
        <w:rPr>
          <w:color w:val="000000" w:themeColor="text1"/>
          <w:sz w:val="16"/>
          <w:szCs w:val="16"/>
          <w:vertAlign w:val="superscript"/>
        </w:rPr>
        <w:t>1</w:t>
      </w:r>
      <w:r w:rsidRPr="00507A31">
        <w:rPr>
          <w:color w:val="000000" w:themeColor="text1"/>
          <w:sz w:val="16"/>
          <w:szCs w:val="16"/>
        </w:rPr>
        <w:t>... и не иметь в маневренной полосе и полосе мишеней непреодолимых препятствий. Стрельбище не должно пересекаться дорогами го</w:t>
      </w:r>
      <w:r w:rsidRPr="00507A31">
        <w:rPr>
          <w:color w:val="000000" w:themeColor="text1"/>
          <w:sz w:val="16"/>
          <w:szCs w:val="16"/>
        </w:rPr>
        <w:softHyphen/>
        <w:t>сударственного значения, основными электрическими, водопроводными и канализационными ма</w:t>
      </w:r>
      <w:r w:rsidRPr="00507A31">
        <w:rPr>
          <w:color w:val="000000" w:themeColor="text1"/>
          <w:sz w:val="16"/>
          <w:szCs w:val="16"/>
        </w:rPr>
        <w:softHyphen/>
        <w:t>гистралями.</w:t>
      </w:r>
    </w:p>
    <w:p w14:paraId="48E79C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Боевое стрельбище.</w:t>
      </w:r>
    </w:p>
    <w:p w14:paraId="785F3B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Полоса мишеней по фронту - около 4 км и в глубину - не менее 4 км; маневренная полоса по фронту - около 4 км, в глубину - не менее 3 км; охранные полосы (боковые) - не менее 500 м. В осталь</w:t>
      </w:r>
      <w:r w:rsidRPr="00507A31">
        <w:rPr>
          <w:color w:val="000000" w:themeColor="text1"/>
          <w:sz w:val="16"/>
          <w:szCs w:val="16"/>
        </w:rPr>
        <w:softHyphen/>
        <w:t>ном расчет - как и по стрельбищу для одиночных учебных стрельб.</w:t>
      </w:r>
    </w:p>
    <w:p w14:paraId="786BE6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Оба стрельбища могут быть совмещены на одном участке. Характер грунта и рельеф местности в обоих случаях должен быть разнообразным: от слабо выраженного с неровностями малого угла за</w:t>
      </w:r>
      <w:r w:rsidRPr="00507A31">
        <w:rPr>
          <w:color w:val="000000" w:themeColor="text1"/>
          <w:sz w:val="16"/>
          <w:szCs w:val="16"/>
        </w:rPr>
        <w:softHyphen/>
        <w:t>ложения до всхолмленного.</w:t>
      </w:r>
    </w:p>
    <w:p w14:paraId="5E8079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Тир.</w:t>
      </w:r>
    </w:p>
    <w:p w14:paraId="01D007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 сплошным перекрытием. Должен быть приспособлен для стрельбы трехлинейными патрона</w:t>
      </w:r>
      <w:r w:rsidRPr="00507A31">
        <w:rPr>
          <w:color w:val="000000" w:themeColor="text1"/>
          <w:sz w:val="16"/>
          <w:szCs w:val="16"/>
        </w:rPr>
        <w:softHyphen/>
        <w:t>ми на дистанциях не менее 150 м.</w:t>
      </w:r>
    </w:p>
    <w:p w14:paraId="24CDC8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Автотракторотанкодромы</w:t>
      </w:r>
    </w:p>
    <w:p w14:paraId="057E6F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Автодром.</w:t>
      </w:r>
    </w:p>
    <w:p w14:paraId="5E961C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Местность должна иметь участок с пересеченным рельефом, допускающим наиболее экономич</w:t>
      </w:r>
      <w:r w:rsidRPr="00507A31">
        <w:rPr>
          <w:color w:val="000000" w:themeColor="text1"/>
          <w:sz w:val="16"/>
          <w:szCs w:val="16"/>
        </w:rPr>
        <w:softHyphen/>
        <w:t>ное развитие сети дорог разного типа верхней одежды с различными подъемами (желательны подъ</w:t>
      </w:r>
      <w:r w:rsidRPr="00507A31">
        <w:rPr>
          <w:color w:val="000000" w:themeColor="text1"/>
          <w:sz w:val="16"/>
          <w:szCs w:val="16"/>
        </w:rPr>
        <w:softHyphen/>
        <w:t>емы 3, 5, 10, 15, 20 и 25 процентов каждый протяженностью около 100 - 500 м). Обязательно наличие подъемов около 15 процентов протяженностью не менее 500 м. Общая площадь этого участка долж</w:t>
      </w:r>
      <w:r w:rsidRPr="00507A31">
        <w:rPr>
          <w:color w:val="000000" w:themeColor="text1"/>
          <w:sz w:val="16"/>
          <w:szCs w:val="16"/>
        </w:rPr>
        <w:softHyphen/>
        <w:t>на быть около 10 кв. км, причем рельеф местности должен допускать устройство отдельного прямо</w:t>
      </w:r>
      <w:r w:rsidRPr="00507A31">
        <w:rPr>
          <w:color w:val="000000" w:themeColor="text1"/>
          <w:sz w:val="16"/>
          <w:szCs w:val="16"/>
        </w:rPr>
        <w:softHyphen/>
        <w:t>линейного горизонтального участка протяженностью около 3 км или входящего в состав дорожной замкнутой петли.</w:t>
      </w:r>
    </w:p>
    <w:p w14:paraId="3FDC6C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Танкодром</w:t>
      </w:r>
    </w:p>
    <w:p w14:paraId="063088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Тяговые свойства машин будут испытываться на трактородроме.</w:t>
      </w:r>
    </w:p>
    <w:p w14:paraId="0EF415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Искусственные препятствия — окопы и ходы сообщения — всех видов, наши и иностранные, с соответствующими заграждениями.</w:t>
      </w:r>
    </w:p>
    <w:p w14:paraId="44F999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Противотанковые специальные препятствия — рвы с переменной шириной пролета, засеки, надолбы, бетонные и троссовые заборы и т.п.</w:t>
      </w:r>
    </w:p>
    <w:p w14:paraId="368D7D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Деревянные и кирпичные стенки разной толщины.</w:t>
      </w:r>
    </w:p>
    <w:p w14:paraId="6D127E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Лунный ландшафт с воронками от разрывов снарядов всех калибров (от 75 мм до 203 мм вклю</w:t>
      </w:r>
      <w:r w:rsidRPr="00507A31">
        <w:rPr>
          <w:color w:val="000000" w:themeColor="text1"/>
          <w:sz w:val="16"/>
          <w:szCs w:val="16"/>
        </w:rPr>
        <w:softHyphen/>
        <w:t>чительно), площадью не менее 100x200 м.</w:t>
      </w:r>
    </w:p>
    <w:p w14:paraId="799BC4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Подъемы: на плотном дерновом покрове — в 50, 45, 40, 35 и 30 градусов; на слабом раститель</w:t>
      </w:r>
      <w:r w:rsidRPr="00507A31">
        <w:rPr>
          <w:color w:val="000000" w:themeColor="text1"/>
          <w:sz w:val="16"/>
          <w:szCs w:val="16"/>
        </w:rPr>
        <w:softHyphen/>
        <w:t>ном покрове, глине и суглинке — в 20 и 25 градусов.</w:t>
      </w:r>
    </w:p>
    <w:p w14:paraId="67D044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 Участки для движения с бортовым креном — в 30 и 35 градусов и протяженностью не менее 30 м каждый.</w:t>
      </w:r>
    </w:p>
    <w:p w14:paraId="3BE625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 Искусственный водоем для плавания и определения глубины проходимого брода — бетони</w:t>
      </w:r>
      <w:r w:rsidRPr="00507A31">
        <w:rPr>
          <w:color w:val="000000" w:themeColor="text1"/>
          <w:sz w:val="16"/>
          <w:szCs w:val="16"/>
        </w:rPr>
        <w:softHyphen/>
        <w:t>рованный, с аппарелями для входа и выхода, с подачей и отводом воды, глубиной до 2,5 м и площа</w:t>
      </w:r>
      <w:r w:rsidRPr="00507A31">
        <w:rPr>
          <w:color w:val="000000" w:themeColor="text1"/>
          <w:sz w:val="16"/>
          <w:szCs w:val="16"/>
        </w:rPr>
        <w:softHyphen/>
        <w:t>дью не менее 15x5 м.</w:t>
      </w:r>
    </w:p>
    <w:p w14:paraId="073250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 Естественный водоем. Для испытания бродов: пологий песчаный берег длиной до 30 м; поло</w:t>
      </w:r>
      <w:r w:rsidRPr="00507A31">
        <w:rPr>
          <w:color w:val="000000" w:themeColor="text1"/>
          <w:sz w:val="16"/>
          <w:szCs w:val="16"/>
        </w:rPr>
        <w:softHyphen/>
        <w:t>гий болотистый берег длиной до 30 м; обрывистый берег с и без растительного покрова, высотой в 0,5, 0,8 и 1 м., длиной каждый не менее 30 м. Для плавания - ширина не менее 100 м., скорость тече</w:t>
      </w:r>
      <w:r w:rsidRPr="00507A31">
        <w:rPr>
          <w:color w:val="000000" w:themeColor="text1"/>
          <w:sz w:val="16"/>
          <w:szCs w:val="16"/>
        </w:rPr>
        <w:softHyphen/>
        <w:t>ния желательно не менее 5 м/сек, различной глубины до 5 м.</w:t>
      </w:r>
    </w:p>
    <w:p w14:paraId="30534B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Жилые помещения</w:t>
      </w:r>
    </w:p>
    <w:p w14:paraId="0678C5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Для расквартирования механизированной бригады и обслуживающей команды на 3500 человек, предусмотрев возможность расширения в военное время до 7000 человек; для расквартирования вольнонаемного и командного состава в количестве 500 человек, (с их семьями), с возможностью расширения в 2,5 раза.</w:t>
      </w:r>
    </w:p>
    <w:p w14:paraId="623363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председателя НТК УММ РККА</w:t>
      </w:r>
    </w:p>
    <w:p w14:paraId="687310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Озеров</w:t>
      </w:r>
    </w:p>
    <w:p w14:paraId="214143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31811.Оп. 1. Д. 368. Л. 6- 10 (11210).</w:t>
      </w:r>
    </w:p>
    <w:p w14:paraId="5FD010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C09BE3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CD2B6A5" w14:textId="77777777" w:rsidR="00537E5F" w:rsidRPr="00507A31" w:rsidRDefault="00537E5F" w:rsidP="00507A31">
      <w:pPr>
        <w:autoSpaceDE w:val="0"/>
        <w:autoSpaceDN w:val="0"/>
        <w:adjustRightInd w:val="0"/>
        <w:jc w:val="both"/>
        <w:rPr>
          <w:iCs/>
          <w:color w:val="000000" w:themeColor="text1"/>
          <w:sz w:val="16"/>
          <w:szCs w:val="16"/>
        </w:rPr>
      </w:pPr>
    </w:p>
    <w:p w14:paraId="2AB5A5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января 1930 Воронеж. Завершил работу седьмой пленум обкома ВКП(б) ЦЧО. В заключительном слове первый секретарь обкома И.Варейкис объяснил "непонятливым товарищам", по каким критериям определять кулака: "Рассуждение о кулаке есть схоластика - гнилая, бюрократическая, бесцельная, никому не понятная, и, к тому же, очень вредная. Спросите у бедноты, у батрачества - они вам скажут, кто кулак. Они вся та база, на которую вы будете опираться в деревне" (10687).</w:t>
      </w:r>
    </w:p>
    <w:p w14:paraId="15896D51" w14:textId="77777777" w:rsidR="00537E5F" w:rsidRPr="00507A31" w:rsidRDefault="00537E5F" w:rsidP="00507A31">
      <w:pPr>
        <w:autoSpaceDE w:val="0"/>
        <w:autoSpaceDN w:val="0"/>
        <w:adjustRightInd w:val="0"/>
        <w:jc w:val="both"/>
        <w:rPr>
          <w:color w:val="000000" w:themeColor="text1"/>
          <w:sz w:val="16"/>
          <w:szCs w:val="16"/>
        </w:rPr>
      </w:pPr>
    </w:p>
    <w:p w14:paraId="5433797E" w14:textId="77777777" w:rsidR="00A51B66" w:rsidRPr="00507A31" w:rsidRDefault="00A51B66" w:rsidP="00507A31">
      <w:pPr>
        <w:jc w:val="both"/>
        <w:rPr>
          <w:color w:val="000000" w:themeColor="text1"/>
          <w:sz w:val="16"/>
          <w:szCs w:val="16"/>
        </w:rPr>
      </w:pPr>
      <w:r w:rsidRPr="00507A31">
        <w:rPr>
          <w:color w:val="000000" w:themeColor="text1"/>
          <w:sz w:val="16"/>
          <w:szCs w:val="16"/>
        </w:rPr>
        <w:t>27 января 1930 вышел Приказ по ОГПУ №35. Чекисты чистят ряды и убирают троцкистов. Уполномоченного Рабиновича расстреляли за то, что сливал секретную инфу троцкистам, предупреждая их обо всех акциях. Украинский уполномоченный Тепера получил 10 лет лагерей за кражу 160 кг типографского шрифта для подпольной троцкистской типографии на Украине (12629).</w:t>
      </w:r>
    </w:p>
    <w:p w14:paraId="55C8B209" w14:textId="77777777" w:rsidR="00A51B66" w:rsidRPr="00507A31" w:rsidRDefault="00A51B66" w:rsidP="00507A31">
      <w:pPr>
        <w:jc w:val="both"/>
        <w:rPr>
          <w:rStyle w:val="a7"/>
          <w:b w:val="0"/>
          <w:color w:val="000000" w:themeColor="text1"/>
          <w:sz w:val="16"/>
          <w:szCs w:val="16"/>
        </w:rPr>
      </w:pPr>
    </w:p>
    <w:p w14:paraId="0F62E64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027FD10" w14:textId="77777777" w:rsidR="00537E5F" w:rsidRPr="00507A31" w:rsidRDefault="00537E5F" w:rsidP="00507A31">
      <w:pPr>
        <w:autoSpaceDE w:val="0"/>
        <w:autoSpaceDN w:val="0"/>
        <w:adjustRightInd w:val="0"/>
        <w:jc w:val="both"/>
        <w:rPr>
          <w:iCs/>
          <w:color w:val="000000" w:themeColor="text1"/>
          <w:sz w:val="16"/>
          <w:szCs w:val="16"/>
        </w:rPr>
      </w:pPr>
    </w:p>
    <w:p w14:paraId="79244A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 января 1930 директор завода № Евстигнеев и ГИ Макаров писали письмо № 204с в ЦАГИ АГОС (копия: в Авиатрест - технический отдел)</w:t>
      </w:r>
    </w:p>
    <w:p w14:paraId="004BA5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 39 просит выслать схему самол. И-5 с 4 пулеметами, необходимую заводу для проектирования синхронизаторов ПУЛ-9.</w:t>
      </w:r>
    </w:p>
    <w:p w14:paraId="7127B9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Кроме того завод просит сообщить тип устанавливаемого на И-5 мотора и указать, где можно видеть для заснятия размеров для присоединения синхронизатора или же выслать чертежи мотора (10757).</w:t>
      </w:r>
    </w:p>
    <w:p w14:paraId="1C0CDA42" w14:textId="77777777" w:rsidR="00537E5F" w:rsidRPr="00507A31" w:rsidRDefault="00537E5F" w:rsidP="00507A31">
      <w:pPr>
        <w:autoSpaceDE w:val="0"/>
        <w:autoSpaceDN w:val="0"/>
        <w:adjustRightInd w:val="0"/>
        <w:jc w:val="both"/>
        <w:rPr>
          <w:color w:val="000000" w:themeColor="text1"/>
          <w:sz w:val="16"/>
          <w:szCs w:val="16"/>
        </w:rPr>
      </w:pPr>
    </w:p>
    <w:p w14:paraId="341DD4F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7780E4E5" w14:textId="77777777" w:rsidR="00537E5F" w:rsidRPr="00507A31" w:rsidRDefault="00537E5F" w:rsidP="00507A31">
      <w:pPr>
        <w:autoSpaceDE w:val="0"/>
        <w:autoSpaceDN w:val="0"/>
        <w:adjustRightInd w:val="0"/>
        <w:jc w:val="both"/>
        <w:rPr>
          <w:iCs/>
          <w:color w:val="000000" w:themeColor="text1"/>
          <w:sz w:val="16"/>
          <w:szCs w:val="16"/>
        </w:rPr>
      </w:pPr>
    </w:p>
    <w:p w14:paraId="26DA10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января 1930 года Реввоенсовет СССР обсудил вопрос о Плане противовоздушной обороны и признал необходимым объединить зенитные, артиллерийские, пулеметные, прожекторные, воздухоплавательные, химические и наблюдательные части ПВО тыла в дивизионы, полки, бригады и дивизии ПВО (11198).</w:t>
      </w:r>
    </w:p>
    <w:p w14:paraId="16A90A2B" w14:textId="77777777" w:rsidR="00537E5F" w:rsidRPr="00507A31" w:rsidRDefault="00537E5F" w:rsidP="00507A31">
      <w:pPr>
        <w:autoSpaceDE w:val="0"/>
        <w:autoSpaceDN w:val="0"/>
        <w:adjustRightInd w:val="0"/>
        <w:jc w:val="both"/>
        <w:rPr>
          <w:color w:val="000000" w:themeColor="text1"/>
          <w:sz w:val="16"/>
          <w:szCs w:val="16"/>
        </w:rPr>
      </w:pPr>
    </w:p>
    <w:p w14:paraId="6DF7E11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9834EE0" w14:textId="77777777" w:rsidR="00537E5F" w:rsidRPr="00507A31" w:rsidRDefault="00537E5F" w:rsidP="00507A31">
      <w:pPr>
        <w:autoSpaceDE w:val="0"/>
        <w:autoSpaceDN w:val="0"/>
        <w:adjustRightInd w:val="0"/>
        <w:jc w:val="both"/>
        <w:rPr>
          <w:iCs/>
          <w:color w:val="000000" w:themeColor="text1"/>
          <w:sz w:val="16"/>
          <w:szCs w:val="16"/>
        </w:rPr>
      </w:pPr>
    </w:p>
    <w:p w14:paraId="1D75DCA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28 января 1930 чрезвычайный церковный собор в Киеве ликвидировал Украинскую автокефальную православную церковь (4962).</w:t>
      </w:r>
    </w:p>
    <w:p w14:paraId="4D9E3D5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AA3400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3DCA3E2" w14:textId="77777777" w:rsidR="00537E5F" w:rsidRPr="00507A31" w:rsidRDefault="00537E5F" w:rsidP="00507A31">
      <w:pPr>
        <w:autoSpaceDE w:val="0"/>
        <w:autoSpaceDN w:val="0"/>
        <w:adjustRightInd w:val="0"/>
        <w:jc w:val="both"/>
        <w:rPr>
          <w:iCs/>
          <w:color w:val="000000" w:themeColor="text1"/>
          <w:sz w:val="16"/>
          <w:szCs w:val="16"/>
        </w:rPr>
      </w:pPr>
    </w:p>
    <w:p w14:paraId="728816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января 1930 вышло сопроводительное письмо Авиатреста за подписью Председателя Правления Михайлова и ВРИД Зав. тех отд. Пастушенко N 151/3640 к материалам по плану опытного строительства 1930-1933. Получено в тот же день и вход. N 669 т-14 (351).</w:t>
      </w:r>
    </w:p>
    <w:p w14:paraId="69D9E0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Пояснительная записка к плану опытного строительства</w:t>
      </w:r>
    </w:p>
    <w:p w14:paraId="66902F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Финансовый план опытного самолетостроения на 1930-1933</w:t>
      </w:r>
    </w:p>
    <w:p w14:paraId="446B83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Финансовый план моторостроения на пятилетку (351).</w:t>
      </w:r>
    </w:p>
    <w:p w14:paraId="6BA1F4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ФИНАНСОВЫЙ ПЛАН ОПЫТНОГО САМОЛЕТОСТРОЕНИЯ НА 1930 - 1933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1210"/>
        <w:gridCol w:w="1210"/>
        <w:gridCol w:w="1210"/>
        <w:gridCol w:w="1210"/>
        <w:gridCol w:w="1210"/>
      </w:tblGrid>
      <w:tr w:rsidR="00A61694" w:rsidRPr="00507A31" w14:paraId="5B5AFE64" w14:textId="77777777">
        <w:tc>
          <w:tcPr>
            <w:tcW w:w="3528" w:type="dxa"/>
            <w:tcBorders>
              <w:top w:val="single" w:sz="12" w:space="0" w:color="auto"/>
            </w:tcBorders>
          </w:tcPr>
          <w:p w14:paraId="3F1ED2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ОБ”ЕКТЫ.</w:t>
            </w:r>
          </w:p>
        </w:tc>
        <w:tc>
          <w:tcPr>
            <w:tcW w:w="1210" w:type="dxa"/>
            <w:tcBorders>
              <w:top w:val="single" w:sz="12" w:space="0" w:color="auto"/>
            </w:tcBorders>
          </w:tcPr>
          <w:p w14:paraId="1C6F1A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210" w:type="dxa"/>
            <w:tcBorders>
              <w:top w:val="single" w:sz="12" w:space="0" w:color="auto"/>
            </w:tcBorders>
          </w:tcPr>
          <w:p w14:paraId="6D47EA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1929/30 г.</w:t>
            </w:r>
          </w:p>
        </w:tc>
        <w:tc>
          <w:tcPr>
            <w:tcW w:w="1210" w:type="dxa"/>
            <w:tcBorders>
              <w:top w:val="single" w:sz="12" w:space="0" w:color="auto"/>
            </w:tcBorders>
          </w:tcPr>
          <w:p w14:paraId="7AF163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1930-31 г.</w:t>
            </w:r>
          </w:p>
        </w:tc>
        <w:tc>
          <w:tcPr>
            <w:tcW w:w="1210" w:type="dxa"/>
            <w:tcBorders>
              <w:top w:val="single" w:sz="12" w:space="0" w:color="auto"/>
            </w:tcBorders>
          </w:tcPr>
          <w:p w14:paraId="198A9F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1931-32 г.</w:t>
            </w:r>
          </w:p>
        </w:tc>
        <w:tc>
          <w:tcPr>
            <w:tcW w:w="1210" w:type="dxa"/>
            <w:tcBorders>
              <w:top w:val="single" w:sz="12" w:space="0" w:color="auto"/>
            </w:tcBorders>
          </w:tcPr>
          <w:p w14:paraId="761694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1932-33 г.</w:t>
            </w:r>
          </w:p>
        </w:tc>
      </w:tr>
      <w:tr w:rsidR="00A61694" w:rsidRPr="00507A31" w14:paraId="35C60266" w14:textId="77777777">
        <w:tc>
          <w:tcPr>
            <w:tcW w:w="3528" w:type="dxa"/>
          </w:tcPr>
          <w:p w14:paraId="4CDE1D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Сухопутные самолеты</w:t>
            </w:r>
          </w:p>
        </w:tc>
        <w:tc>
          <w:tcPr>
            <w:tcW w:w="1210" w:type="dxa"/>
          </w:tcPr>
          <w:p w14:paraId="000DED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316660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3F8A22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3168C0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1ABBE8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052FF4F6" w14:textId="77777777">
        <w:tc>
          <w:tcPr>
            <w:tcW w:w="3528" w:type="dxa"/>
          </w:tcPr>
          <w:p w14:paraId="0856E1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Р-5 окончание и доводка Ш и 1У экз.</w:t>
            </w:r>
          </w:p>
        </w:tc>
        <w:tc>
          <w:tcPr>
            <w:tcW w:w="1210" w:type="dxa"/>
          </w:tcPr>
          <w:p w14:paraId="0825A6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2765C4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062A71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255726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1B6823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1F56B9FE" w14:textId="77777777">
        <w:tc>
          <w:tcPr>
            <w:tcW w:w="3528" w:type="dxa"/>
          </w:tcPr>
          <w:p w14:paraId="1BD539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И3 доводка 2-х серийныхмашин.</w:t>
            </w:r>
          </w:p>
        </w:tc>
        <w:tc>
          <w:tcPr>
            <w:tcW w:w="1210" w:type="dxa"/>
          </w:tcPr>
          <w:p w14:paraId="5DFA0C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5CCDAC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59598F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5BD677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DBB23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u w:val="single"/>
                <w:vertAlign w:val="subscript"/>
              </w:rPr>
              <w:t>-</w:t>
            </w:r>
          </w:p>
        </w:tc>
      </w:tr>
      <w:tr w:rsidR="00A61694" w:rsidRPr="00507A31" w14:paraId="0C591F83" w14:textId="77777777">
        <w:tc>
          <w:tcPr>
            <w:tcW w:w="3528" w:type="dxa"/>
          </w:tcPr>
          <w:p w14:paraId="5D29FE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П-2 доводка на штопор</w:t>
            </w:r>
          </w:p>
        </w:tc>
        <w:tc>
          <w:tcPr>
            <w:tcW w:w="1210" w:type="dxa"/>
          </w:tcPr>
          <w:p w14:paraId="2F2184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210" w:type="dxa"/>
          </w:tcPr>
          <w:p w14:paraId="33F61C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210" w:type="dxa"/>
          </w:tcPr>
          <w:p w14:paraId="03BA77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2391C8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2ABF6A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5239ECAA" w14:textId="77777777">
        <w:tc>
          <w:tcPr>
            <w:tcW w:w="3528" w:type="dxa"/>
          </w:tcPr>
          <w:p w14:paraId="521A8B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Д-2 доводка на штопор</w:t>
            </w:r>
          </w:p>
        </w:tc>
        <w:tc>
          <w:tcPr>
            <w:tcW w:w="1210" w:type="dxa"/>
          </w:tcPr>
          <w:p w14:paraId="5F76EA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210" w:type="dxa"/>
          </w:tcPr>
          <w:p w14:paraId="701A7C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210" w:type="dxa"/>
          </w:tcPr>
          <w:p w14:paraId="4337BB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C1101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384A1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1C5DB0E1" w14:textId="77777777">
        <w:tc>
          <w:tcPr>
            <w:tcW w:w="3528" w:type="dxa"/>
          </w:tcPr>
          <w:p w14:paraId="133918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Р-5 доводка на штопор</w:t>
            </w:r>
          </w:p>
        </w:tc>
        <w:tc>
          <w:tcPr>
            <w:tcW w:w="1210" w:type="dxa"/>
          </w:tcPr>
          <w:p w14:paraId="107402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w:t>
            </w:r>
          </w:p>
        </w:tc>
        <w:tc>
          <w:tcPr>
            <w:tcW w:w="1210" w:type="dxa"/>
          </w:tcPr>
          <w:p w14:paraId="4D94CD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w:t>
            </w:r>
          </w:p>
        </w:tc>
        <w:tc>
          <w:tcPr>
            <w:tcW w:w="1210" w:type="dxa"/>
          </w:tcPr>
          <w:p w14:paraId="60A6FA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0D665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3BF761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DE611E4" w14:textId="77777777">
        <w:tc>
          <w:tcPr>
            <w:tcW w:w="3528" w:type="dxa"/>
          </w:tcPr>
          <w:p w14:paraId="515773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ТБ - 2М17</w:t>
            </w:r>
          </w:p>
        </w:tc>
        <w:tc>
          <w:tcPr>
            <w:tcW w:w="1210" w:type="dxa"/>
          </w:tcPr>
          <w:p w14:paraId="22E815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140000</w:t>
            </w:r>
          </w:p>
        </w:tc>
        <w:tc>
          <w:tcPr>
            <w:tcW w:w="1210" w:type="dxa"/>
          </w:tcPr>
          <w:p w14:paraId="3C89B9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w:t>
            </w:r>
          </w:p>
        </w:tc>
        <w:tc>
          <w:tcPr>
            <w:tcW w:w="1210" w:type="dxa"/>
          </w:tcPr>
          <w:p w14:paraId="0A91EC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210" w:type="dxa"/>
          </w:tcPr>
          <w:p w14:paraId="1B2546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0072A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8D9370D" w14:textId="77777777">
        <w:tc>
          <w:tcPr>
            <w:tcW w:w="3528" w:type="dxa"/>
          </w:tcPr>
          <w:p w14:paraId="6E491C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ПУ2-М11</w:t>
            </w:r>
          </w:p>
        </w:tc>
        <w:tc>
          <w:tcPr>
            <w:tcW w:w="1210" w:type="dxa"/>
          </w:tcPr>
          <w:p w14:paraId="05D2F1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210" w:type="dxa"/>
          </w:tcPr>
          <w:p w14:paraId="087A7A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210" w:type="dxa"/>
          </w:tcPr>
          <w:p w14:paraId="5DC01A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2DC3C0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9B968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AD7A48F" w14:textId="77777777">
        <w:tc>
          <w:tcPr>
            <w:tcW w:w="3528" w:type="dxa"/>
          </w:tcPr>
          <w:p w14:paraId="7021CB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И6-ЮПУ1 1 экз.</w:t>
            </w:r>
          </w:p>
        </w:tc>
        <w:tc>
          <w:tcPr>
            <w:tcW w:w="1210" w:type="dxa"/>
          </w:tcPr>
          <w:p w14:paraId="5B844A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90000</w:t>
            </w:r>
          </w:p>
        </w:tc>
        <w:tc>
          <w:tcPr>
            <w:tcW w:w="1210" w:type="dxa"/>
          </w:tcPr>
          <w:p w14:paraId="7D26A5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75000</w:t>
            </w:r>
          </w:p>
        </w:tc>
        <w:tc>
          <w:tcPr>
            <w:tcW w:w="1210" w:type="dxa"/>
          </w:tcPr>
          <w:p w14:paraId="4EA57B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w:t>
            </w:r>
          </w:p>
        </w:tc>
        <w:tc>
          <w:tcPr>
            <w:tcW w:w="1210" w:type="dxa"/>
          </w:tcPr>
          <w:p w14:paraId="3D847C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1EBB19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9C20941" w14:textId="77777777">
        <w:tc>
          <w:tcPr>
            <w:tcW w:w="3528" w:type="dxa"/>
          </w:tcPr>
          <w:p w14:paraId="0DD0B2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И6-ЮПУ1 2 экз.</w:t>
            </w:r>
          </w:p>
        </w:tc>
        <w:tc>
          <w:tcPr>
            <w:tcW w:w="1210" w:type="dxa"/>
          </w:tcPr>
          <w:p w14:paraId="1A514D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65000</w:t>
            </w:r>
          </w:p>
        </w:tc>
        <w:tc>
          <w:tcPr>
            <w:tcW w:w="1210" w:type="dxa"/>
          </w:tcPr>
          <w:p w14:paraId="3C23AF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tc>
        <w:tc>
          <w:tcPr>
            <w:tcW w:w="1210" w:type="dxa"/>
          </w:tcPr>
          <w:p w14:paraId="400376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w:t>
            </w:r>
          </w:p>
        </w:tc>
        <w:tc>
          <w:tcPr>
            <w:tcW w:w="1210" w:type="dxa"/>
          </w:tcPr>
          <w:p w14:paraId="5FD31A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0B8B9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165B49B" w14:textId="77777777">
        <w:tc>
          <w:tcPr>
            <w:tcW w:w="3528" w:type="dxa"/>
          </w:tcPr>
          <w:p w14:paraId="73E9A6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И6-ЮПУ1 3 экз.</w:t>
            </w:r>
          </w:p>
        </w:tc>
        <w:tc>
          <w:tcPr>
            <w:tcW w:w="1210" w:type="dxa"/>
          </w:tcPr>
          <w:p w14:paraId="65AB3C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65000</w:t>
            </w:r>
          </w:p>
        </w:tc>
        <w:tc>
          <w:tcPr>
            <w:tcW w:w="1210" w:type="dxa"/>
          </w:tcPr>
          <w:p w14:paraId="75434A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318C38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1210" w:type="dxa"/>
          </w:tcPr>
          <w:p w14:paraId="6B57EA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26D055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6D6D3BE" w14:textId="77777777">
        <w:tc>
          <w:tcPr>
            <w:tcW w:w="3528" w:type="dxa"/>
          </w:tcPr>
          <w:p w14:paraId="55CE70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И7 - М17 1 экз.</w:t>
            </w:r>
          </w:p>
        </w:tc>
        <w:tc>
          <w:tcPr>
            <w:tcW w:w="1210" w:type="dxa"/>
          </w:tcPr>
          <w:p w14:paraId="6BB649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4B1D82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w:t>
            </w:r>
          </w:p>
        </w:tc>
        <w:tc>
          <w:tcPr>
            <w:tcW w:w="1210" w:type="dxa"/>
          </w:tcPr>
          <w:p w14:paraId="46185F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w:t>
            </w:r>
          </w:p>
        </w:tc>
        <w:tc>
          <w:tcPr>
            <w:tcW w:w="1210" w:type="dxa"/>
          </w:tcPr>
          <w:p w14:paraId="300359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B9FA7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71572C1" w14:textId="77777777">
        <w:tc>
          <w:tcPr>
            <w:tcW w:w="3528" w:type="dxa"/>
          </w:tcPr>
          <w:p w14:paraId="7A85D5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И7 - М17 2 экз. со сварн. фюзеляжем</w:t>
            </w:r>
          </w:p>
        </w:tc>
        <w:tc>
          <w:tcPr>
            <w:tcW w:w="1210" w:type="dxa"/>
          </w:tcPr>
          <w:p w14:paraId="7B6023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165000</w:t>
            </w:r>
          </w:p>
        </w:tc>
        <w:tc>
          <w:tcPr>
            <w:tcW w:w="1210" w:type="dxa"/>
          </w:tcPr>
          <w:p w14:paraId="3240B1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140000</w:t>
            </w:r>
          </w:p>
        </w:tc>
        <w:tc>
          <w:tcPr>
            <w:tcW w:w="1210" w:type="dxa"/>
          </w:tcPr>
          <w:p w14:paraId="76E4E2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w:t>
            </w:r>
          </w:p>
        </w:tc>
        <w:tc>
          <w:tcPr>
            <w:tcW w:w="1210" w:type="dxa"/>
          </w:tcPr>
          <w:p w14:paraId="45D5BC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33A11E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50B59BB" w14:textId="77777777">
        <w:tc>
          <w:tcPr>
            <w:tcW w:w="3528" w:type="dxa"/>
          </w:tcPr>
          <w:p w14:paraId="1CE021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ПР5 - со сварн. фюзел.</w:t>
            </w:r>
          </w:p>
        </w:tc>
        <w:tc>
          <w:tcPr>
            <w:tcW w:w="1210" w:type="dxa"/>
          </w:tcPr>
          <w:p w14:paraId="5D7A4D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220000</w:t>
            </w:r>
          </w:p>
        </w:tc>
        <w:tc>
          <w:tcPr>
            <w:tcW w:w="1210" w:type="dxa"/>
          </w:tcPr>
          <w:p w14:paraId="380AC0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1210" w:type="dxa"/>
          </w:tcPr>
          <w:p w14:paraId="0F7D44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w:t>
            </w:r>
          </w:p>
        </w:tc>
        <w:tc>
          <w:tcPr>
            <w:tcW w:w="1210" w:type="dxa"/>
          </w:tcPr>
          <w:p w14:paraId="53C6C8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w:t>
            </w:r>
          </w:p>
        </w:tc>
        <w:tc>
          <w:tcPr>
            <w:tcW w:w="1210" w:type="dxa"/>
          </w:tcPr>
          <w:p w14:paraId="0C11E1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73B05FB" w14:textId="77777777">
        <w:tc>
          <w:tcPr>
            <w:tcW w:w="3528" w:type="dxa"/>
          </w:tcPr>
          <w:p w14:paraId="3F7E11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Р5 со сварн. фюзел.</w:t>
            </w:r>
          </w:p>
        </w:tc>
        <w:tc>
          <w:tcPr>
            <w:tcW w:w="1210" w:type="dxa"/>
          </w:tcPr>
          <w:p w14:paraId="62603F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270000</w:t>
            </w:r>
          </w:p>
        </w:tc>
        <w:tc>
          <w:tcPr>
            <w:tcW w:w="1210" w:type="dxa"/>
          </w:tcPr>
          <w:p w14:paraId="2168DC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c>
          <w:tcPr>
            <w:tcW w:w="1210" w:type="dxa"/>
          </w:tcPr>
          <w:p w14:paraId="4EDF82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190000</w:t>
            </w:r>
          </w:p>
        </w:tc>
        <w:tc>
          <w:tcPr>
            <w:tcW w:w="1210" w:type="dxa"/>
          </w:tcPr>
          <w:p w14:paraId="6FA7C3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11FD8D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3711AF35" w14:textId="77777777">
        <w:tc>
          <w:tcPr>
            <w:tcW w:w="3528" w:type="dxa"/>
          </w:tcPr>
          <w:p w14:paraId="3E6147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Самолет связи</w:t>
            </w:r>
          </w:p>
        </w:tc>
        <w:tc>
          <w:tcPr>
            <w:tcW w:w="1210" w:type="dxa"/>
          </w:tcPr>
          <w:p w14:paraId="34F541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70000</w:t>
            </w:r>
          </w:p>
        </w:tc>
        <w:tc>
          <w:tcPr>
            <w:tcW w:w="1210" w:type="dxa"/>
          </w:tcPr>
          <w:p w14:paraId="3FD5FA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210" w:type="dxa"/>
          </w:tcPr>
          <w:p w14:paraId="0F02E1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210" w:type="dxa"/>
          </w:tcPr>
          <w:p w14:paraId="7C9144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6BFF2A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6AEC027" w14:textId="77777777">
        <w:tc>
          <w:tcPr>
            <w:tcW w:w="3528" w:type="dxa"/>
          </w:tcPr>
          <w:p w14:paraId="3C7B61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РВ-2М26 со сварн. фюзеляж.</w:t>
            </w:r>
          </w:p>
        </w:tc>
        <w:tc>
          <w:tcPr>
            <w:tcW w:w="1210" w:type="dxa"/>
          </w:tcPr>
          <w:p w14:paraId="645F8A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380000</w:t>
            </w:r>
          </w:p>
        </w:tc>
        <w:tc>
          <w:tcPr>
            <w:tcW w:w="1210" w:type="dxa"/>
          </w:tcPr>
          <w:p w14:paraId="404500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1210" w:type="dxa"/>
          </w:tcPr>
          <w:p w14:paraId="322FDB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210" w:type="dxa"/>
          </w:tcPr>
          <w:p w14:paraId="71102A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75000</w:t>
            </w:r>
          </w:p>
        </w:tc>
        <w:tc>
          <w:tcPr>
            <w:tcW w:w="1210" w:type="dxa"/>
          </w:tcPr>
          <w:p w14:paraId="14283C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6EE19BC" w14:textId="77777777">
        <w:tc>
          <w:tcPr>
            <w:tcW w:w="3528" w:type="dxa"/>
          </w:tcPr>
          <w:p w14:paraId="590E79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И9-М30/31/32</w:t>
            </w:r>
          </w:p>
        </w:tc>
        <w:tc>
          <w:tcPr>
            <w:tcW w:w="1210" w:type="dxa"/>
          </w:tcPr>
          <w:p w14:paraId="1B551B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260000</w:t>
            </w:r>
          </w:p>
        </w:tc>
        <w:tc>
          <w:tcPr>
            <w:tcW w:w="1210" w:type="dxa"/>
          </w:tcPr>
          <w:p w14:paraId="2B107D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1210" w:type="dxa"/>
          </w:tcPr>
          <w:p w14:paraId="32B009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w:t>
            </w:r>
          </w:p>
        </w:tc>
        <w:tc>
          <w:tcPr>
            <w:tcW w:w="1210" w:type="dxa"/>
          </w:tcPr>
          <w:p w14:paraId="267179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tc>
        <w:tc>
          <w:tcPr>
            <w:tcW w:w="1210" w:type="dxa"/>
          </w:tcPr>
          <w:p w14:paraId="6A5CD8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r>
      <w:tr w:rsidR="00A61694" w:rsidRPr="00507A31" w14:paraId="761559C6" w14:textId="77777777">
        <w:tc>
          <w:tcPr>
            <w:tcW w:w="3528" w:type="dxa"/>
          </w:tcPr>
          <w:p w14:paraId="775E04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И9-М30/31/32 со сварн. фюзеляжем</w:t>
            </w:r>
          </w:p>
        </w:tc>
        <w:tc>
          <w:tcPr>
            <w:tcW w:w="1210" w:type="dxa"/>
          </w:tcPr>
          <w:p w14:paraId="6CF105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757342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1210" w:type="dxa"/>
          </w:tcPr>
          <w:p w14:paraId="61D91F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135000</w:t>
            </w:r>
          </w:p>
        </w:tc>
        <w:tc>
          <w:tcPr>
            <w:tcW w:w="1210" w:type="dxa"/>
          </w:tcPr>
          <w:p w14:paraId="618A39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210" w:type="dxa"/>
          </w:tcPr>
          <w:p w14:paraId="0ED756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r>
      <w:tr w:rsidR="00A61694" w:rsidRPr="00507A31" w14:paraId="13A76233" w14:textId="77777777">
        <w:tc>
          <w:tcPr>
            <w:tcW w:w="3528" w:type="dxa"/>
          </w:tcPr>
          <w:p w14:paraId="2C21F0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И9-М37/М38</w:t>
            </w:r>
          </w:p>
        </w:tc>
        <w:tc>
          <w:tcPr>
            <w:tcW w:w="1210" w:type="dxa"/>
          </w:tcPr>
          <w:p w14:paraId="2D1143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210000</w:t>
            </w:r>
          </w:p>
        </w:tc>
        <w:tc>
          <w:tcPr>
            <w:tcW w:w="1210" w:type="dxa"/>
          </w:tcPr>
          <w:p w14:paraId="0A654C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6B45F4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111000</w:t>
            </w:r>
          </w:p>
        </w:tc>
        <w:tc>
          <w:tcPr>
            <w:tcW w:w="1210" w:type="dxa"/>
          </w:tcPr>
          <w:p w14:paraId="75B04E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c>
          <w:tcPr>
            <w:tcW w:w="1210" w:type="dxa"/>
          </w:tcPr>
          <w:p w14:paraId="07B3B1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r>
      <w:tr w:rsidR="00A61694" w:rsidRPr="00507A31" w14:paraId="3A42D9C6" w14:textId="77777777">
        <w:tc>
          <w:tcPr>
            <w:tcW w:w="3528" w:type="dxa"/>
          </w:tcPr>
          <w:p w14:paraId="176F01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М1-2М37 со сварн. фюзеляжем</w:t>
            </w:r>
          </w:p>
        </w:tc>
        <w:tc>
          <w:tcPr>
            <w:tcW w:w="1210" w:type="dxa"/>
          </w:tcPr>
          <w:p w14:paraId="188E67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420000</w:t>
            </w:r>
          </w:p>
        </w:tc>
        <w:tc>
          <w:tcPr>
            <w:tcW w:w="1210" w:type="dxa"/>
          </w:tcPr>
          <w:p w14:paraId="2A3044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18BF56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65000</w:t>
            </w:r>
          </w:p>
        </w:tc>
        <w:tc>
          <w:tcPr>
            <w:tcW w:w="1210" w:type="dxa"/>
          </w:tcPr>
          <w:p w14:paraId="7F7110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270000</w:t>
            </w:r>
          </w:p>
        </w:tc>
        <w:tc>
          <w:tcPr>
            <w:tcW w:w="1210" w:type="dxa"/>
          </w:tcPr>
          <w:p w14:paraId="2F8FC9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85000</w:t>
            </w:r>
          </w:p>
        </w:tc>
      </w:tr>
      <w:tr w:rsidR="00A61694" w:rsidRPr="00507A31" w14:paraId="0D07AB23" w14:textId="77777777">
        <w:tc>
          <w:tcPr>
            <w:tcW w:w="3528" w:type="dxa"/>
          </w:tcPr>
          <w:p w14:paraId="31A955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РА-М3З</w:t>
            </w:r>
          </w:p>
        </w:tc>
        <w:tc>
          <w:tcPr>
            <w:tcW w:w="1210" w:type="dxa"/>
          </w:tcPr>
          <w:p w14:paraId="484B71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210" w:type="dxa"/>
          </w:tcPr>
          <w:p w14:paraId="115D8B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CCBEB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46244E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79F026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r>
      <w:tr w:rsidR="00A61694" w:rsidRPr="00507A31" w14:paraId="2F184573" w14:textId="77777777">
        <w:tc>
          <w:tcPr>
            <w:tcW w:w="3528" w:type="dxa"/>
          </w:tcPr>
          <w:p w14:paraId="7A3D28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РА-М33 со сварн. фюзеляжем</w:t>
            </w:r>
          </w:p>
        </w:tc>
        <w:tc>
          <w:tcPr>
            <w:tcW w:w="1210" w:type="dxa"/>
          </w:tcPr>
          <w:p w14:paraId="1755AD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210" w:type="dxa"/>
          </w:tcPr>
          <w:p w14:paraId="4CF1EE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786899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w:t>
            </w:r>
          </w:p>
        </w:tc>
        <w:tc>
          <w:tcPr>
            <w:tcW w:w="1210" w:type="dxa"/>
          </w:tcPr>
          <w:p w14:paraId="5FD0BB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65A612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r>
      <w:tr w:rsidR="00A61694" w:rsidRPr="00507A31" w14:paraId="49C81141" w14:textId="77777777">
        <w:tc>
          <w:tcPr>
            <w:tcW w:w="3528" w:type="dxa"/>
          </w:tcPr>
          <w:p w14:paraId="512D18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 - М34</w:t>
            </w:r>
          </w:p>
        </w:tc>
        <w:tc>
          <w:tcPr>
            <w:tcW w:w="1210" w:type="dxa"/>
          </w:tcPr>
          <w:p w14:paraId="4A1E64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B1069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F9AC7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3FDF9B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140000</w:t>
            </w:r>
          </w:p>
        </w:tc>
        <w:tc>
          <w:tcPr>
            <w:tcW w:w="1210" w:type="dxa"/>
          </w:tcPr>
          <w:p w14:paraId="0068A6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120000</w:t>
            </w:r>
          </w:p>
        </w:tc>
      </w:tr>
      <w:tr w:rsidR="00A61694" w:rsidRPr="00507A31" w14:paraId="4AC17E7A" w14:textId="77777777">
        <w:tc>
          <w:tcPr>
            <w:tcW w:w="3528" w:type="dxa"/>
          </w:tcPr>
          <w:p w14:paraId="1B4AD0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 — М34 со сварн. фюзеляжем</w:t>
            </w:r>
          </w:p>
        </w:tc>
        <w:tc>
          <w:tcPr>
            <w:tcW w:w="1210" w:type="dxa"/>
          </w:tcPr>
          <w:p w14:paraId="202E41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220000</w:t>
            </w:r>
          </w:p>
        </w:tc>
        <w:tc>
          <w:tcPr>
            <w:tcW w:w="1210" w:type="dxa"/>
          </w:tcPr>
          <w:p w14:paraId="298EEF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6B878D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A4CF6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05A29F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160000</w:t>
            </w:r>
          </w:p>
        </w:tc>
      </w:tr>
      <w:tr w:rsidR="00A61694" w:rsidRPr="00507A31" w14:paraId="08C79F21" w14:textId="77777777">
        <w:tc>
          <w:tcPr>
            <w:tcW w:w="3528" w:type="dxa"/>
          </w:tcPr>
          <w:p w14:paraId="7C1DF5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Новые работы (модификации и улучшения выпущенных типов.)</w:t>
            </w:r>
          </w:p>
        </w:tc>
        <w:tc>
          <w:tcPr>
            <w:tcW w:w="1210" w:type="dxa"/>
          </w:tcPr>
          <w:p w14:paraId="245468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2800000</w:t>
            </w:r>
          </w:p>
        </w:tc>
        <w:tc>
          <w:tcPr>
            <w:tcW w:w="1210" w:type="dxa"/>
          </w:tcPr>
          <w:p w14:paraId="552913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23CC4F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7019B9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600000</w:t>
            </w:r>
          </w:p>
        </w:tc>
        <w:tc>
          <w:tcPr>
            <w:tcW w:w="1210" w:type="dxa"/>
          </w:tcPr>
          <w:p w14:paraId="25E978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985000</w:t>
            </w:r>
          </w:p>
        </w:tc>
      </w:tr>
      <w:tr w:rsidR="00A61694" w:rsidRPr="00507A31" w14:paraId="53195348" w14:textId="77777777">
        <w:tc>
          <w:tcPr>
            <w:tcW w:w="3528" w:type="dxa"/>
          </w:tcPr>
          <w:p w14:paraId="6D3068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 по сухопутным самолетам</w:t>
            </w:r>
          </w:p>
        </w:tc>
        <w:tc>
          <w:tcPr>
            <w:tcW w:w="1210" w:type="dxa"/>
          </w:tcPr>
          <w:p w14:paraId="75218F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6590000</w:t>
            </w:r>
          </w:p>
        </w:tc>
        <w:tc>
          <w:tcPr>
            <w:tcW w:w="1210" w:type="dxa"/>
          </w:tcPr>
          <w:p w14:paraId="237903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970000</w:t>
            </w:r>
          </w:p>
        </w:tc>
        <w:tc>
          <w:tcPr>
            <w:tcW w:w="1210" w:type="dxa"/>
          </w:tcPr>
          <w:p w14:paraId="7487CD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1620000</w:t>
            </w:r>
          </w:p>
        </w:tc>
        <w:tc>
          <w:tcPr>
            <w:tcW w:w="1210" w:type="dxa"/>
          </w:tcPr>
          <w:p w14:paraId="18E9EB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1500000</w:t>
            </w:r>
          </w:p>
        </w:tc>
        <w:tc>
          <w:tcPr>
            <w:tcW w:w="1210" w:type="dxa"/>
          </w:tcPr>
          <w:p w14:paraId="60F286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1500000</w:t>
            </w:r>
          </w:p>
        </w:tc>
      </w:tr>
      <w:tr w:rsidR="00A61694" w:rsidRPr="00507A31" w14:paraId="4241A1B2" w14:textId="77777777">
        <w:tc>
          <w:tcPr>
            <w:tcW w:w="3528" w:type="dxa"/>
          </w:tcPr>
          <w:p w14:paraId="0D9CE5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МОРСКИЕ САМОЛЕТЫ</w:t>
            </w:r>
          </w:p>
        </w:tc>
        <w:tc>
          <w:tcPr>
            <w:tcW w:w="1210" w:type="dxa"/>
          </w:tcPr>
          <w:p w14:paraId="571DFC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346D9F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6C8852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44CC72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7251AC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2CF54469" w14:textId="77777777">
        <w:tc>
          <w:tcPr>
            <w:tcW w:w="3528" w:type="dxa"/>
          </w:tcPr>
          <w:p w14:paraId="6AE50D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МР5—5бис с 2-мня деревянными лодками</w:t>
            </w:r>
          </w:p>
        </w:tc>
        <w:tc>
          <w:tcPr>
            <w:tcW w:w="1210" w:type="dxa"/>
          </w:tcPr>
          <w:p w14:paraId="7056AB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47FB73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1477B1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EDA8D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316C90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3028D55F" w14:textId="77777777">
        <w:tc>
          <w:tcPr>
            <w:tcW w:w="3528" w:type="dxa"/>
          </w:tcPr>
          <w:p w14:paraId="584E34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РОМ-2 бис модификац. Самол. РОМ2</w:t>
            </w:r>
          </w:p>
        </w:tc>
        <w:tc>
          <w:tcPr>
            <w:tcW w:w="1210" w:type="dxa"/>
          </w:tcPr>
          <w:p w14:paraId="4B3D3F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220000</w:t>
            </w:r>
          </w:p>
        </w:tc>
        <w:tc>
          <w:tcPr>
            <w:tcW w:w="1210" w:type="dxa"/>
          </w:tcPr>
          <w:p w14:paraId="07B88F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4E5B53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1210" w:type="dxa"/>
          </w:tcPr>
          <w:p w14:paraId="2090CF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6E683E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3593540D" w14:textId="77777777">
        <w:tc>
          <w:tcPr>
            <w:tcW w:w="3528" w:type="dxa"/>
          </w:tcPr>
          <w:p w14:paraId="298E79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ТОМ-2 - М-17</w:t>
            </w:r>
          </w:p>
        </w:tc>
        <w:tc>
          <w:tcPr>
            <w:tcW w:w="1210" w:type="dxa"/>
          </w:tcPr>
          <w:p w14:paraId="59D046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500000</w:t>
            </w:r>
          </w:p>
        </w:tc>
        <w:tc>
          <w:tcPr>
            <w:tcW w:w="1210" w:type="dxa"/>
          </w:tcPr>
          <w:p w14:paraId="261A75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500000</w:t>
            </w:r>
          </w:p>
        </w:tc>
        <w:tc>
          <w:tcPr>
            <w:tcW w:w="1210" w:type="dxa"/>
          </w:tcPr>
          <w:p w14:paraId="602205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143ED4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97556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5ECF7F6" w14:textId="77777777">
        <w:tc>
          <w:tcPr>
            <w:tcW w:w="3528" w:type="dxa"/>
          </w:tcPr>
          <w:p w14:paraId="700C4D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МУ3</w:t>
            </w:r>
          </w:p>
        </w:tc>
        <w:tc>
          <w:tcPr>
            <w:tcW w:w="1210" w:type="dxa"/>
          </w:tcPr>
          <w:p w14:paraId="23111A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623CD0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tc>
        <w:tc>
          <w:tcPr>
            <w:tcW w:w="1210" w:type="dxa"/>
          </w:tcPr>
          <w:p w14:paraId="520696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tc>
        <w:tc>
          <w:tcPr>
            <w:tcW w:w="1210" w:type="dxa"/>
          </w:tcPr>
          <w:p w14:paraId="61D34D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250EE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67D96DC" w14:textId="77777777">
        <w:tc>
          <w:tcPr>
            <w:tcW w:w="3528" w:type="dxa"/>
          </w:tcPr>
          <w:p w14:paraId="1EF17D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МРД-2 М33/М34</w:t>
            </w:r>
          </w:p>
        </w:tc>
        <w:tc>
          <w:tcPr>
            <w:tcW w:w="1210" w:type="dxa"/>
          </w:tcPr>
          <w:p w14:paraId="317A8F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1000000</w:t>
            </w:r>
          </w:p>
        </w:tc>
        <w:tc>
          <w:tcPr>
            <w:tcW w:w="1210" w:type="dxa"/>
          </w:tcPr>
          <w:p w14:paraId="45E7A2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625174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600000</w:t>
            </w:r>
          </w:p>
        </w:tc>
        <w:tc>
          <w:tcPr>
            <w:tcW w:w="1210" w:type="dxa"/>
          </w:tcPr>
          <w:p w14:paraId="69FA72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4801C2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2C7B6D2" w14:textId="77777777">
        <w:tc>
          <w:tcPr>
            <w:tcW w:w="3528" w:type="dxa"/>
          </w:tcPr>
          <w:p w14:paraId="1B1123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МРБ-М33/34</w:t>
            </w:r>
          </w:p>
        </w:tc>
        <w:tc>
          <w:tcPr>
            <w:tcW w:w="1210" w:type="dxa"/>
          </w:tcPr>
          <w:p w14:paraId="7B824A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210" w:type="dxa"/>
          </w:tcPr>
          <w:p w14:paraId="506A70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1E7B0A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210" w:type="dxa"/>
          </w:tcPr>
          <w:p w14:paraId="713D08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4D7F2B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567881E1" w14:textId="77777777">
        <w:tc>
          <w:tcPr>
            <w:tcW w:w="3528" w:type="dxa"/>
          </w:tcPr>
          <w:p w14:paraId="62BD60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Новые работы (модификация выпущ. типов)</w:t>
            </w:r>
          </w:p>
        </w:tc>
        <w:tc>
          <w:tcPr>
            <w:tcW w:w="1210" w:type="dxa"/>
          </w:tcPr>
          <w:p w14:paraId="1624EE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3200000</w:t>
            </w:r>
          </w:p>
        </w:tc>
        <w:tc>
          <w:tcPr>
            <w:tcW w:w="1210" w:type="dxa"/>
          </w:tcPr>
          <w:p w14:paraId="21EFAC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2C719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130000</w:t>
            </w:r>
          </w:p>
        </w:tc>
        <w:tc>
          <w:tcPr>
            <w:tcW w:w="1210" w:type="dxa"/>
          </w:tcPr>
          <w:p w14:paraId="2B289D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800000</w:t>
            </w:r>
          </w:p>
        </w:tc>
        <w:tc>
          <w:tcPr>
            <w:tcW w:w="1210" w:type="dxa"/>
          </w:tcPr>
          <w:p w14:paraId="5039DA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1100000</w:t>
            </w:r>
          </w:p>
        </w:tc>
      </w:tr>
      <w:tr w:rsidR="00A61694" w:rsidRPr="00507A31" w14:paraId="126FF50B" w14:textId="77777777">
        <w:tc>
          <w:tcPr>
            <w:tcW w:w="3528" w:type="dxa"/>
          </w:tcPr>
          <w:p w14:paraId="681B80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 ПО МОРСКИМ САМОЛЕТАМ</w:t>
            </w:r>
          </w:p>
        </w:tc>
        <w:tc>
          <w:tcPr>
            <w:tcW w:w="1210" w:type="dxa"/>
          </w:tcPr>
          <w:p w14:paraId="0222B6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4450000</w:t>
            </w:r>
          </w:p>
        </w:tc>
        <w:tc>
          <w:tcPr>
            <w:tcW w:w="1210" w:type="dxa"/>
          </w:tcPr>
          <w:p w14:paraId="08B752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1150000</w:t>
            </w:r>
          </w:p>
        </w:tc>
        <w:tc>
          <w:tcPr>
            <w:tcW w:w="1210" w:type="dxa"/>
          </w:tcPr>
          <w:p w14:paraId="7BED85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1100000</w:t>
            </w:r>
          </w:p>
        </w:tc>
        <w:tc>
          <w:tcPr>
            <w:tcW w:w="1210" w:type="dxa"/>
          </w:tcPr>
          <w:p w14:paraId="6221F8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1100000</w:t>
            </w:r>
          </w:p>
        </w:tc>
        <w:tc>
          <w:tcPr>
            <w:tcW w:w="1210" w:type="dxa"/>
          </w:tcPr>
          <w:p w14:paraId="4C451C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1100000</w:t>
            </w:r>
          </w:p>
        </w:tc>
      </w:tr>
      <w:tr w:rsidR="00A61694" w:rsidRPr="00507A31" w14:paraId="73FB0247" w14:textId="77777777">
        <w:tc>
          <w:tcPr>
            <w:tcW w:w="3528" w:type="dxa"/>
          </w:tcPr>
          <w:p w14:paraId="6C185C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 ПО САМОЛЕТАМ</w:t>
            </w:r>
          </w:p>
        </w:tc>
        <w:tc>
          <w:tcPr>
            <w:tcW w:w="1210" w:type="dxa"/>
          </w:tcPr>
          <w:p w14:paraId="7D9E62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10040000</w:t>
            </w:r>
          </w:p>
        </w:tc>
        <w:tc>
          <w:tcPr>
            <w:tcW w:w="1210" w:type="dxa"/>
          </w:tcPr>
          <w:p w14:paraId="402CAC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2120000</w:t>
            </w:r>
          </w:p>
        </w:tc>
        <w:tc>
          <w:tcPr>
            <w:tcW w:w="1210" w:type="dxa"/>
          </w:tcPr>
          <w:p w14:paraId="0CD0AD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2720000</w:t>
            </w:r>
          </w:p>
        </w:tc>
        <w:tc>
          <w:tcPr>
            <w:tcW w:w="1210" w:type="dxa"/>
          </w:tcPr>
          <w:p w14:paraId="3C9599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2600000</w:t>
            </w:r>
          </w:p>
        </w:tc>
        <w:tc>
          <w:tcPr>
            <w:tcW w:w="1210" w:type="dxa"/>
          </w:tcPr>
          <w:p w14:paraId="523FC8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2600000</w:t>
            </w:r>
          </w:p>
        </w:tc>
      </w:tr>
      <w:tr w:rsidR="00A61694" w:rsidRPr="00507A31" w14:paraId="53497373" w14:textId="77777777">
        <w:tc>
          <w:tcPr>
            <w:tcW w:w="3528" w:type="dxa"/>
          </w:tcPr>
          <w:p w14:paraId="7F9357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 них валюты</w:t>
            </w:r>
          </w:p>
        </w:tc>
        <w:tc>
          <w:tcPr>
            <w:tcW w:w="1210" w:type="dxa"/>
          </w:tcPr>
          <w:p w14:paraId="52985C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340000</w:t>
            </w:r>
          </w:p>
        </w:tc>
        <w:tc>
          <w:tcPr>
            <w:tcW w:w="1210" w:type="dxa"/>
          </w:tcPr>
          <w:p w14:paraId="3A17BE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210" w:type="dxa"/>
          </w:tcPr>
          <w:p w14:paraId="3BE942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c>
          <w:tcPr>
            <w:tcW w:w="1210" w:type="dxa"/>
          </w:tcPr>
          <w:p w14:paraId="7EA1B3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800000</w:t>
            </w:r>
          </w:p>
        </w:tc>
        <w:tc>
          <w:tcPr>
            <w:tcW w:w="1210" w:type="dxa"/>
          </w:tcPr>
          <w:p w14:paraId="1C8271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r>
      <w:tr w:rsidR="00A61694" w:rsidRPr="00507A31" w14:paraId="1BED2E0A" w14:textId="77777777">
        <w:tc>
          <w:tcPr>
            <w:tcW w:w="3528" w:type="dxa"/>
          </w:tcPr>
          <w:p w14:paraId="43DED9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Капитальные затраты</w:t>
            </w:r>
          </w:p>
        </w:tc>
        <w:tc>
          <w:tcPr>
            <w:tcW w:w="1210" w:type="dxa"/>
          </w:tcPr>
          <w:p w14:paraId="57580F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4000000</w:t>
            </w:r>
          </w:p>
        </w:tc>
        <w:tc>
          <w:tcPr>
            <w:tcW w:w="1210" w:type="dxa"/>
          </w:tcPr>
          <w:p w14:paraId="68651C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210" w:type="dxa"/>
          </w:tcPr>
          <w:p w14:paraId="0A1563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2750000</w:t>
            </w:r>
          </w:p>
        </w:tc>
        <w:tc>
          <w:tcPr>
            <w:tcW w:w="1210" w:type="dxa"/>
          </w:tcPr>
          <w:p w14:paraId="718ADD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1000000</w:t>
            </w:r>
          </w:p>
        </w:tc>
        <w:tc>
          <w:tcPr>
            <w:tcW w:w="1210" w:type="dxa"/>
          </w:tcPr>
          <w:p w14:paraId="774E8F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E120E24" w14:textId="77777777">
        <w:tc>
          <w:tcPr>
            <w:tcW w:w="3528" w:type="dxa"/>
          </w:tcPr>
          <w:p w14:paraId="750BEA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 них валюты</w:t>
            </w:r>
          </w:p>
        </w:tc>
        <w:tc>
          <w:tcPr>
            <w:tcW w:w="1210" w:type="dxa"/>
          </w:tcPr>
          <w:p w14:paraId="6522E7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320000</w:t>
            </w:r>
          </w:p>
        </w:tc>
        <w:tc>
          <w:tcPr>
            <w:tcW w:w="1210" w:type="dxa"/>
          </w:tcPr>
          <w:p w14:paraId="07060A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1210" w:type="dxa"/>
          </w:tcPr>
          <w:p w14:paraId="0DC70B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2823A9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7B32FC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C2CA8B3" w14:textId="77777777">
        <w:tc>
          <w:tcPr>
            <w:tcW w:w="3528" w:type="dxa"/>
          </w:tcPr>
          <w:p w14:paraId="45B565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Закупка оброзцов в валюте</w:t>
            </w:r>
          </w:p>
        </w:tc>
        <w:tc>
          <w:tcPr>
            <w:tcW w:w="1210" w:type="dxa"/>
          </w:tcPr>
          <w:p w14:paraId="5B0B70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940000</w:t>
            </w:r>
          </w:p>
        </w:tc>
        <w:tc>
          <w:tcPr>
            <w:tcW w:w="1210" w:type="dxa"/>
          </w:tcPr>
          <w:p w14:paraId="60DA3F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140000</w:t>
            </w:r>
          </w:p>
        </w:tc>
        <w:tc>
          <w:tcPr>
            <w:tcW w:w="1210" w:type="dxa"/>
          </w:tcPr>
          <w:p w14:paraId="2FCD13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210" w:type="dxa"/>
          </w:tcPr>
          <w:p w14:paraId="6971F2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536D88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r>
      <w:tr w:rsidR="00A61694" w:rsidRPr="00507A31" w14:paraId="380F7985" w14:textId="77777777">
        <w:tc>
          <w:tcPr>
            <w:tcW w:w="3528" w:type="dxa"/>
          </w:tcPr>
          <w:p w14:paraId="4850B8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Подготовка кадров</w:t>
            </w:r>
          </w:p>
        </w:tc>
        <w:tc>
          <w:tcPr>
            <w:tcW w:w="1210" w:type="dxa"/>
          </w:tcPr>
          <w:p w14:paraId="5BC733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700000</w:t>
            </w:r>
          </w:p>
        </w:tc>
        <w:tc>
          <w:tcPr>
            <w:tcW w:w="1210" w:type="dxa"/>
          </w:tcPr>
          <w:p w14:paraId="041D23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280000</w:t>
            </w:r>
          </w:p>
        </w:tc>
        <w:tc>
          <w:tcPr>
            <w:tcW w:w="1210" w:type="dxa"/>
          </w:tcPr>
          <w:p w14:paraId="6CEFDE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170000</w:t>
            </w:r>
          </w:p>
        </w:tc>
        <w:tc>
          <w:tcPr>
            <w:tcW w:w="1210" w:type="dxa"/>
          </w:tcPr>
          <w:p w14:paraId="49275A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w:t>
            </w:r>
          </w:p>
        </w:tc>
        <w:tc>
          <w:tcPr>
            <w:tcW w:w="1210" w:type="dxa"/>
          </w:tcPr>
          <w:p w14:paraId="05C37F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w:t>
            </w:r>
          </w:p>
        </w:tc>
      </w:tr>
      <w:tr w:rsidR="00A61694" w:rsidRPr="00507A31" w14:paraId="1CEFF1B5" w14:textId="77777777">
        <w:tc>
          <w:tcPr>
            <w:tcW w:w="3528" w:type="dxa"/>
          </w:tcPr>
          <w:p w14:paraId="44B5B5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Загран. Командировки в валюте</w:t>
            </w:r>
          </w:p>
        </w:tc>
        <w:tc>
          <w:tcPr>
            <w:tcW w:w="1210" w:type="dxa"/>
          </w:tcPr>
          <w:p w14:paraId="0A0706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210" w:type="dxa"/>
          </w:tcPr>
          <w:p w14:paraId="4A833C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w:t>
            </w:r>
          </w:p>
        </w:tc>
        <w:tc>
          <w:tcPr>
            <w:tcW w:w="1210" w:type="dxa"/>
          </w:tcPr>
          <w:p w14:paraId="27A9D9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w:t>
            </w:r>
          </w:p>
        </w:tc>
        <w:tc>
          <w:tcPr>
            <w:tcW w:w="1210" w:type="dxa"/>
          </w:tcPr>
          <w:p w14:paraId="39FAB3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w:t>
            </w:r>
          </w:p>
        </w:tc>
        <w:tc>
          <w:tcPr>
            <w:tcW w:w="1210" w:type="dxa"/>
          </w:tcPr>
          <w:p w14:paraId="61C350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r>
      <w:tr w:rsidR="00A61694" w:rsidRPr="00507A31" w14:paraId="61935A17" w14:textId="77777777">
        <w:tc>
          <w:tcPr>
            <w:tcW w:w="3528" w:type="dxa"/>
          </w:tcPr>
          <w:p w14:paraId="3C187D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Исследов. работи., винты, лыжи, нормали. и пр.</w:t>
            </w:r>
          </w:p>
        </w:tc>
        <w:tc>
          <w:tcPr>
            <w:tcW w:w="1210" w:type="dxa"/>
          </w:tcPr>
          <w:p w14:paraId="128EB6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1400000</w:t>
            </w:r>
          </w:p>
        </w:tc>
        <w:tc>
          <w:tcPr>
            <w:tcW w:w="1210" w:type="dxa"/>
          </w:tcPr>
          <w:p w14:paraId="080791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256C13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w:t>
            </w:r>
          </w:p>
        </w:tc>
        <w:tc>
          <w:tcPr>
            <w:tcW w:w="1210" w:type="dxa"/>
          </w:tcPr>
          <w:p w14:paraId="3E39DE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w:t>
            </w:r>
          </w:p>
        </w:tc>
        <w:tc>
          <w:tcPr>
            <w:tcW w:w="1210" w:type="dxa"/>
          </w:tcPr>
          <w:p w14:paraId="4D160A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w:t>
            </w:r>
          </w:p>
        </w:tc>
      </w:tr>
      <w:tr w:rsidR="00A61694" w:rsidRPr="00507A31" w14:paraId="35D7E815" w14:textId="77777777">
        <w:tc>
          <w:tcPr>
            <w:tcW w:w="3528" w:type="dxa"/>
          </w:tcPr>
          <w:p w14:paraId="6CF40A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Работы по опытному вооружению</w:t>
            </w:r>
          </w:p>
        </w:tc>
        <w:tc>
          <w:tcPr>
            <w:tcW w:w="1210" w:type="dxa"/>
          </w:tcPr>
          <w:p w14:paraId="693D40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1240000</w:t>
            </w:r>
          </w:p>
        </w:tc>
        <w:tc>
          <w:tcPr>
            <w:tcW w:w="1210" w:type="dxa"/>
          </w:tcPr>
          <w:p w14:paraId="6DEF0E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240000</w:t>
            </w:r>
          </w:p>
        </w:tc>
        <w:tc>
          <w:tcPr>
            <w:tcW w:w="1210" w:type="dxa"/>
          </w:tcPr>
          <w:p w14:paraId="070903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210" w:type="dxa"/>
          </w:tcPr>
          <w:p w14:paraId="7FD53D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210" w:type="dxa"/>
          </w:tcPr>
          <w:p w14:paraId="32A317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500000</w:t>
            </w:r>
          </w:p>
        </w:tc>
      </w:tr>
      <w:tr w:rsidR="00A61694" w:rsidRPr="00507A31" w14:paraId="4CFBBA29" w14:textId="77777777">
        <w:tc>
          <w:tcPr>
            <w:tcW w:w="3528" w:type="dxa"/>
            <w:tcBorders>
              <w:bottom w:val="single" w:sz="12" w:space="0" w:color="auto"/>
            </w:tcBorders>
          </w:tcPr>
          <w:p w14:paraId="36EF43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210" w:type="dxa"/>
            <w:tcBorders>
              <w:bottom w:val="single" w:sz="12" w:space="0" w:color="auto"/>
            </w:tcBorders>
          </w:tcPr>
          <w:p w14:paraId="13F1BF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18360000</w:t>
            </w:r>
          </w:p>
        </w:tc>
        <w:tc>
          <w:tcPr>
            <w:tcW w:w="1210" w:type="dxa"/>
            <w:tcBorders>
              <w:bottom w:val="single" w:sz="12" w:space="0" w:color="auto"/>
            </w:tcBorders>
          </w:tcPr>
          <w:p w14:paraId="3C51AE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3186000</w:t>
            </w:r>
          </w:p>
        </w:tc>
        <w:tc>
          <w:tcPr>
            <w:tcW w:w="1210" w:type="dxa"/>
            <w:tcBorders>
              <w:bottom w:val="single" w:sz="12" w:space="0" w:color="auto"/>
            </w:tcBorders>
          </w:tcPr>
          <w:p w14:paraId="249985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6602000</w:t>
            </w:r>
          </w:p>
        </w:tc>
        <w:tc>
          <w:tcPr>
            <w:tcW w:w="1210" w:type="dxa"/>
            <w:tcBorders>
              <w:bottom w:val="single" w:sz="12" w:space="0" w:color="auto"/>
            </w:tcBorders>
          </w:tcPr>
          <w:p w14:paraId="309EFB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4612000</w:t>
            </w:r>
          </w:p>
        </w:tc>
        <w:tc>
          <w:tcPr>
            <w:tcW w:w="1210" w:type="dxa"/>
            <w:tcBorders>
              <w:bottom w:val="single" w:sz="12" w:space="0" w:color="auto"/>
            </w:tcBorders>
          </w:tcPr>
          <w:p w14:paraId="5E2859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3960000</w:t>
            </w:r>
          </w:p>
        </w:tc>
      </w:tr>
    </w:tbl>
    <w:p w14:paraId="702191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(351).</w:t>
      </w:r>
    </w:p>
    <w:p w14:paraId="52DCCC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ФИНАНСОВЫЙ ПЛАН ОПЫТНОГО МОТОРОСТРОЕНИЯ НА ПЯТИЛЕТКУ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60"/>
        <w:gridCol w:w="720"/>
        <w:gridCol w:w="650"/>
        <w:gridCol w:w="1060"/>
        <w:gridCol w:w="1080"/>
        <w:gridCol w:w="990"/>
        <w:gridCol w:w="1080"/>
        <w:gridCol w:w="1080"/>
        <w:gridCol w:w="810"/>
        <w:gridCol w:w="1530"/>
      </w:tblGrid>
      <w:tr w:rsidR="00A61694" w:rsidRPr="00507A31" w14:paraId="1526860F" w14:textId="77777777">
        <w:trPr>
          <w:trHeight w:val="278"/>
        </w:trPr>
        <w:tc>
          <w:tcPr>
            <w:tcW w:w="360" w:type="dxa"/>
            <w:tcBorders>
              <w:top w:val="single" w:sz="12" w:space="0" w:color="auto"/>
            </w:tcBorders>
          </w:tcPr>
          <w:p w14:paraId="7B9AF3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п/п</w:t>
            </w:r>
          </w:p>
        </w:tc>
        <w:tc>
          <w:tcPr>
            <w:tcW w:w="1370" w:type="dxa"/>
            <w:gridSpan w:val="2"/>
            <w:tcBorders>
              <w:top w:val="single" w:sz="12" w:space="0" w:color="auto"/>
            </w:tcBorders>
          </w:tcPr>
          <w:p w14:paraId="027571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ОБ'ЕКТЫ РАБОТ</w:t>
            </w:r>
          </w:p>
        </w:tc>
        <w:tc>
          <w:tcPr>
            <w:tcW w:w="6100" w:type="dxa"/>
            <w:gridSpan w:val="6"/>
            <w:tcBorders>
              <w:top w:val="single" w:sz="12" w:space="0" w:color="auto"/>
            </w:tcBorders>
          </w:tcPr>
          <w:p w14:paraId="6E8E08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Потребность в кредитах'</w:t>
            </w:r>
          </w:p>
        </w:tc>
        <w:tc>
          <w:tcPr>
            <w:tcW w:w="1530" w:type="dxa"/>
            <w:tcBorders>
              <w:top w:val="single" w:sz="12" w:space="0" w:color="auto"/>
            </w:tcBorders>
          </w:tcPr>
          <w:p w14:paraId="59EA86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w:t>
            </w:r>
          </w:p>
        </w:tc>
      </w:tr>
      <w:tr w:rsidR="00A61694" w:rsidRPr="00507A31" w14:paraId="20D7A708" w14:textId="77777777">
        <w:trPr>
          <w:trHeight w:val="269"/>
        </w:trPr>
        <w:tc>
          <w:tcPr>
            <w:tcW w:w="360" w:type="dxa"/>
          </w:tcPr>
          <w:p w14:paraId="01F1AA4C" w14:textId="77777777" w:rsidR="00537E5F" w:rsidRPr="00507A31" w:rsidRDefault="00537E5F" w:rsidP="00507A31">
            <w:pPr>
              <w:autoSpaceDE w:val="0"/>
              <w:autoSpaceDN w:val="0"/>
              <w:adjustRightInd w:val="0"/>
              <w:jc w:val="both"/>
              <w:rPr>
                <w:color w:val="000000" w:themeColor="text1"/>
                <w:sz w:val="16"/>
                <w:szCs w:val="16"/>
              </w:rPr>
            </w:pPr>
          </w:p>
        </w:tc>
        <w:tc>
          <w:tcPr>
            <w:tcW w:w="720" w:type="dxa"/>
          </w:tcPr>
          <w:p w14:paraId="2F1EC5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Марка мотора</w:t>
            </w:r>
          </w:p>
        </w:tc>
        <w:tc>
          <w:tcPr>
            <w:tcW w:w="650" w:type="dxa"/>
          </w:tcPr>
          <w:p w14:paraId="4A8F944A" w14:textId="77777777" w:rsidR="00537E5F" w:rsidRPr="00507A31" w:rsidRDefault="00537E5F" w:rsidP="00507A31">
            <w:pPr>
              <w:autoSpaceDE w:val="0"/>
              <w:autoSpaceDN w:val="0"/>
              <w:adjustRightInd w:val="0"/>
              <w:jc w:val="both"/>
              <w:rPr>
                <w:color w:val="000000" w:themeColor="text1"/>
                <w:sz w:val="16"/>
                <w:szCs w:val="16"/>
              </w:rPr>
            </w:pPr>
          </w:p>
        </w:tc>
        <w:tc>
          <w:tcPr>
            <w:tcW w:w="1060" w:type="dxa"/>
          </w:tcPr>
          <w:p w14:paraId="0138C8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1928/1929 г.</w:t>
            </w:r>
          </w:p>
        </w:tc>
        <w:tc>
          <w:tcPr>
            <w:tcW w:w="1080" w:type="dxa"/>
          </w:tcPr>
          <w:p w14:paraId="7A73AC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1929/1930 г.</w:t>
            </w:r>
          </w:p>
        </w:tc>
        <w:tc>
          <w:tcPr>
            <w:tcW w:w="990" w:type="dxa"/>
          </w:tcPr>
          <w:p w14:paraId="42B1A4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1930/</w:t>
            </w:r>
            <w:r w:rsidRPr="00507A31">
              <w:rPr>
                <w:color w:val="000000" w:themeColor="text1"/>
                <w:sz w:val="16"/>
                <w:szCs w:val="16"/>
              </w:rPr>
              <w:t>1931 г.</w:t>
            </w:r>
          </w:p>
        </w:tc>
        <w:tc>
          <w:tcPr>
            <w:tcW w:w="1080" w:type="dxa"/>
          </w:tcPr>
          <w:p w14:paraId="33F35C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1931/ 1932 г.</w:t>
            </w:r>
          </w:p>
        </w:tc>
        <w:tc>
          <w:tcPr>
            <w:tcW w:w="1080" w:type="dxa"/>
          </w:tcPr>
          <w:p w14:paraId="1A2FE5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1932/</w:t>
            </w:r>
            <w:r w:rsidRPr="00507A31">
              <w:rPr>
                <w:color w:val="000000" w:themeColor="text1"/>
                <w:sz w:val="16"/>
                <w:szCs w:val="16"/>
              </w:rPr>
              <w:t>1933 г.</w:t>
            </w:r>
          </w:p>
        </w:tc>
        <w:tc>
          <w:tcPr>
            <w:tcW w:w="810" w:type="dxa"/>
          </w:tcPr>
          <w:p w14:paraId="3A8815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530" w:type="dxa"/>
          </w:tcPr>
          <w:p w14:paraId="11B326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5664D90D" w14:textId="77777777">
        <w:trPr>
          <w:trHeight w:val="643"/>
        </w:trPr>
        <w:tc>
          <w:tcPr>
            <w:tcW w:w="360" w:type="dxa"/>
          </w:tcPr>
          <w:p w14:paraId="0C2FA4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tc>
        <w:tc>
          <w:tcPr>
            <w:tcW w:w="720" w:type="dxa"/>
          </w:tcPr>
          <w:p w14:paraId="1AD1AC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М-30</w:t>
            </w:r>
          </w:p>
        </w:tc>
        <w:tc>
          <w:tcPr>
            <w:tcW w:w="650" w:type="dxa"/>
          </w:tcPr>
          <w:p w14:paraId="78DE2E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М-19</w:t>
            </w:r>
          </w:p>
        </w:tc>
        <w:tc>
          <w:tcPr>
            <w:tcW w:w="1060" w:type="dxa"/>
          </w:tcPr>
          <w:p w14:paraId="7EAAC7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78A252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70000</w:t>
            </w:r>
          </w:p>
        </w:tc>
        <w:tc>
          <w:tcPr>
            <w:tcW w:w="990" w:type="dxa"/>
          </w:tcPr>
          <w:p w14:paraId="063E15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1080" w:type="dxa"/>
          </w:tcPr>
          <w:p w14:paraId="16C98C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4D25E5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41E1F2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90000</w:t>
            </w:r>
          </w:p>
        </w:tc>
        <w:tc>
          <w:tcPr>
            <w:tcW w:w="1530" w:type="dxa"/>
          </w:tcPr>
          <w:p w14:paraId="1413CB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78FCE504" w14:textId="77777777">
        <w:trPr>
          <w:trHeight w:val="490"/>
        </w:trPr>
        <w:tc>
          <w:tcPr>
            <w:tcW w:w="360" w:type="dxa"/>
          </w:tcPr>
          <w:p w14:paraId="75E7B1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tc>
        <w:tc>
          <w:tcPr>
            <w:tcW w:w="720" w:type="dxa"/>
          </w:tcPr>
          <w:p w14:paraId="5497E7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М-30</w:t>
            </w:r>
          </w:p>
        </w:tc>
        <w:tc>
          <w:tcPr>
            <w:tcW w:w="650" w:type="dxa"/>
          </w:tcPr>
          <w:p w14:paraId="628CA5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М-19С</w:t>
            </w:r>
          </w:p>
        </w:tc>
        <w:tc>
          <w:tcPr>
            <w:tcW w:w="1060" w:type="dxa"/>
          </w:tcPr>
          <w:p w14:paraId="48B61E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0DCB6F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120000</w:t>
            </w:r>
          </w:p>
        </w:tc>
        <w:tc>
          <w:tcPr>
            <w:tcW w:w="990" w:type="dxa"/>
          </w:tcPr>
          <w:p w14:paraId="5080C8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080" w:type="dxa"/>
          </w:tcPr>
          <w:p w14:paraId="779507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B5C5B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11329E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w:t>
            </w:r>
          </w:p>
        </w:tc>
        <w:tc>
          <w:tcPr>
            <w:tcW w:w="1530" w:type="dxa"/>
          </w:tcPr>
          <w:p w14:paraId="5DFE1F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65CF0ECD" w14:textId="77777777">
        <w:trPr>
          <w:trHeight w:val="499"/>
        </w:trPr>
        <w:tc>
          <w:tcPr>
            <w:tcW w:w="360" w:type="dxa"/>
          </w:tcPr>
          <w:p w14:paraId="18EAB4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tc>
        <w:tc>
          <w:tcPr>
            <w:tcW w:w="720" w:type="dxa"/>
          </w:tcPr>
          <w:p w14:paraId="7F28E6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М-31.</w:t>
            </w:r>
          </w:p>
        </w:tc>
        <w:tc>
          <w:tcPr>
            <w:tcW w:w="650" w:type="dxa"/>
          </w:tcPr>
          <w:p w14:paraId="5F1954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М-19</w:t>
            </w:r>
          </w:p>
        </w:tc>
        <w:tc>
          <w:tcPr>
            <w:tcW w:w="1060" w:type="dxa"/>
          </w:tcPr>
          <w:p w14:paraId="69CF46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4FBE49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305000</w:t>
            </w:r>
          </w:p>
        </w:tc>
        <w:tc>
          <w:tcPr>
            <w:tcW w:w="990" w:type="dxa"/>
          </w:tcPr>
          <w:p w14:paraId="520BB8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185000</w:t>
            </w:r>
          </w:p>
        </w:tc>
        <w:tc>
          <w:tcPr>
            <w:tcW w:w="1080" w:type="dxa"/>
          </w:tcPr>
          <w:p w14:paraId="26B386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080" w:type="dxa"/>
          </w:tcPr>
          <w:p w14:paraId="502CC3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604D46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530" w:type="dxa"/>
          </w:tcPr>
          <w:p w14:paraId="0F9F1A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7735C35F" w14:textId="77777777">
        <w:trPr>
          <w:trHeight w:val="499"/>
        </w:trPr>
        <w:tc>
          <w:tcPr>
            <w:tcW w:w="360" w:type="dxa"/>
          </w:tcPr>
          <w:p w14:paraId="5377B1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tc>
        <w:tc>
          <w:tcPr>
            <w:tcW w:w="720" w:type="dxa"/>
          </w:tcPr>
          <w:p w14:paraId="31F0C6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М-32</w:t>
            </w:r>
          </w:p>
        </w:tc>
        <w:tc>
          <w:tcPr>
            <w:tcW w:w="650" w:type="dxa"/>
          </w:tcPr>
          <w:p w14:paraId="7CEFB5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131A1F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6C2897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6C3EFB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130000</w:t>
            </w:r>
          </w:p>
        </w:tc>
        <w:tc>
          <w:tcPr>
            <w:tcW w:w="1080" w:type="dxa"/>
          </w:tcPr>
          <w:p w14:paraId="47338B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160000</w:t>
            </w:r>
          </w:p>
        </w:tc>
        <w:tc>
          <w:tcPr>
            <w:tcW w:w="1080" w:type="dxa"/>
          </w:tcPr>
          <w:p w14:paraId="1F8DE1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810" w:type="dxa"/>
          </w:tcPr>
          <w:p w14:paraId="2121B8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530" w:type="dxa"/>
          </w:tcPr>
          <w:p w14:paraId="25B04A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29149B1C" w14:textId="77777777">
        <w:trPr>
          <w:trHeight w:val="509"/>
        </w:trPr>
        <w:tc>
          <w:tcPr>
            <w:tcW w:w="360" w:type="dxa"/>
          </w:tcPr>
          <w:p w14:paraId="64951C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tc>
        <w:tc>
          <w:tcPr>
            <w:tcW w:w="720" w:type="dxa"/>
          </w:tcPr>
          <w:p w14:paraId="477B15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М-33з</w:t>
            </w:r>
          </w:p>
        </w:tc>
        <w:tc>
          <w:tcPr>
            <w:tcW w:w="650" w:type="dxa"/>
          </w:tcPr>
          <w:p w14:paraId="57FCA5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М-27</w:t>
            </w:r>
          </w:p>
        </w:tc>
        <w:tc>
          <w:tcPr>
            <w:tcW w:w="1060" w:type="dxa"/>
          </w:tcPr>
          <w:p w14:paraId="125E98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52094C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220000</w:t>
            </w:r>
          </w:p>
        </w:tc>
        <w:tc>
          <w:tcPr>
            <w:tcW w:w="990" w:type="dxa"/>
          </w:tcPr>
          <w:p w14:paraId="49CBCD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tc>
        <w:tc>
          <w:tcPr>
            <w:tcW w:w="1080" w:type="dxa"/>
          </w:tcPr>
          <w:p w14:paraId="2A99FA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702E13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32A8F7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270000</w:t>
            </w:r>
          </w:p>
        </w:tc>
        <w:tc>
          <w:tcPr>
            <w:tcW w:w="1530" w:type="dxa"/>
          </w:tcPr>
          <w:p w14:paraId="171F5B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51143473" w14:textId="77777777">
        <w:trPr>
          <w:trHeight w:val="499"/>
        </w:trPr>
        <w:tc>
          <w:tcPr>
            <w:tcW w:w="360" w:type="dxa"/>
          </w:tcPr>
          <w:p w14:paraId="168F48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w:t>
            </w:r>
          </w:p>
        </w:tc>
        <w:tc>
          <w:tcPr>
            <w:tcW w:w="720" w:type="dxa"/>
          </w:tcPr>
          <w:p w14:paraId="11EBB3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М-34</w:t>
            </w:r>
          </w:p>
        </w:tc>
        <w:tc>
          <w:tcPr>
            <w:tcW w:w="650" w:type="dxa"/>
          </w:tcPr>
          <w:p w14:paraId="1A411F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М-27</w:t>
            </w:r>
          </w:p>
        </w:tc>
        <w:tc>
          <w:tcPr>
            <w:tcW w:w="1060" w:type="dxa"/>
          </w:tcPr>
          <w:p w14:paraId="4F6989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1ED039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990" w:type="dxa"/>
          </w:tcPr>
          <w:p w14:paraId="35482B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210000</w:t>
            </w:r>
          </w:p>
        </w:tc>
        <w:tc>
          <w:tcPr>
            <w:tcW w:w="1080" w:type="dxa"/>
          </w:tcPr>
          <w:p w14:paraId="2CB6B6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080" w:type="dxa"/>
          </w:tcPr>
          <w:p w14:paraId="78771A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0C374E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260000</w:t>
            </w:r>
          </w:p>
        </w:tc>
        <w:tc>
          <w:tcPr>
            <w:tcW w:w="1530" w:type="dxa"/>
          </w:tcPr>
          <w:p w14:paraId="40C142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6BCD6462" w14:textId="77777777">
        <w:trPr>
          <w:trHeight w:val="490"/>
        </w:trPr>
        <w:tc>
          <w:tcPr>
            <w:tcW w:w="360" w:type="dxa"/>
          </w:tcPr>
          <w:p w14:paraId="0F2D0E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w:t>
            </w:r>
          </w:p>
        </w:tc>
        <w:tc>
          <w:tcPr>
            <w:tcW w:w="720" w:type="dxa"/>
          </w:tcPr>
          <w:p w14:paraId="4EA14F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М-34</w:t>
            </w:r>
          </w:p>
        </w:tc>
        <w:tc>
          <w:tcPr>
            <w:tcW w:w="650" w:type="dxa"/>
          </w:tcPr>
          <w:p w14:paraId="1D6DA8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М-27</w:t>
            </w:r>
          </w:p>
        </w:tc>
        <w:tc>
          <w:tcPr>
            <w:tcW w:w="1060" w:type="dxa"/>
          </w:tcPr>
          <w:p w14:paraId="12F485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49A997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0A254D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080" w:type="dxa"/>
          </w:tcPr>
          <w:p w14:paraId="5422F4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210000</w:t>
            </w:r>
          </w:p>
        </w:tc>
        <w:tc>
          <w:tcPr>
            <w:tcW w:w="1080" w:type="dxa"/>
          </w:tcPr>
          <w:p w14:paraId="5C0C3F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810" w:type="dxa"/>
          </w:tcPr>
          <w:p w14:paraId="5CEDFF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530" w:type="dxa"/>
          </w:tcPr>
          <w:p w14:paraId="316ADD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6FB06DF7" w14:textId="77777777">
        <w:trPr>
          <w:trHeight w:val="509"/>
        </w:trPr>
        <w:tc>
          <w:tcPr>
            <w:tcW w:w="360" w:type="dxa"/>
          </w:tcPr>
          <w:p w14:paraId="4190F7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w:t>
            </w:r>
          </w:p>
        </w:tc>
        <w:tc>
          <w:tcPr>
            <w:tcW w:w="720" w:type="dxa"/>
          </w:tcPr>
          <w:p w14:paraId="716BBD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М-28</w:t>
            </w:r>
          </w:p>
        </w:tc>
        <w:tc>
          <w:tcPr>
            <w:tcW w:w="650" w:type="dxa"/>
          </w:tcPr>
          <w:p w14:paraId="4D428B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0CFCEC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5E198C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990" w:type="dxa"/>
          </w:tcPr>
          <w:p w14:paraId="1542F1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280000</w:t>
            </w:r>
          </w:p>
        </w:tc>
        <w:tc>
          <w:tcPr>
            <w:tcW w:w="1080" w:type="dxa"/>
          </w:tcPr>
          <w:p w14:paraId="44290D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080" w:type="dxa"/>
          </w:tcPr>
          <w:p w14:paraId="7609EF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764496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530" w:type="dxa"/>
          </w:tcPr>
          <w:p w14:paraId="40509D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06C4E6CE" w14:textId="77777777">
        <w:trPr>
          <w:trHeight w:val="509"/>
        </w:trPr>
        <w:tc>
          <w:tcPr>
            <w:tcW w:w="360" w:type="dxa"/>
          </w:tcPr>
          <w:p w14:paraId="5E777D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w:t>
            </w:r>
          </w:p>
        </w:tc>
        <w:tc>
          <w:tcPr>
            <w:tcW w:w="720" w:type="dxa"/>
          </w:tcPr>
          <w:p w14:paraId="291225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М-35</w:t>
            </w:r>
          </w:p>
        </w:tc>
        <w:tc>
          <w:tcPr>
            <w:tcW w:w="650" w:type="dxa"/>
          </w:tcPr>
          <w:p w14:paraId="3825D3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1E27F2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7D9608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7FDF69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080" w:type="dxa"/>
          </w:tcPr>
          <w:p w14:paraId="38DB10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230000</w:t>
            </w:r>
          </w:p>
        </w:tc>
        <w:tc>
          <w:tcPr>
            <w:tcW w:w="1080" w:type="dxa"/>
          </w:tcPr>
          <w:p w14:paraId="4712CD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810" w:type="dxa"/>
          </w:tcPr>
          <w:p w14:paraId="3767D9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270000</w:t>
            </w:r>
          </w:p>
        </w:tc>
        <w:tc>
          <w:tcPr>
            <w:tcW w:w="1530" w:type="dxa"/>
          </w:tcPr>
          <w:p w14:paraId="260E1E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3ED8DFAD" w14:textId="77777777">
        <w:trPr>
          <w:trHeight w:val="490"/>
        </w:trPr>
        <w:tc>
          <w:tcPr>
            <w:tcW w:w="360" w:type="dxa"/>
          </w:tcPr>
          <w:p w14:paraId="4AD720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tc>
        <w:tc>
          <w:tcPr>
            <w:tcW w:w="720" w:type="dxa"/>
          </w:tcPr>
          <w:p w14:paraId="3A0AEE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М-36</w:t>
            </w:r>
          </w:p>
        </w:tc>
        <w:tc>
          <w:tcPr>
            <w:tcW w:w="650" w:type="dxa"/>
          </w:tcPr>
          <w:p w14:paraId="5061A3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2М-15</w:t>
            </w:r>
          </w:p>
        </w:tc>
        <w:tc>
          <w:tcPr>
            <w:tcW w:w="1060" w:type="dxa"/>
          </w:tcPr>
          <w:p w14:paraId="4CC09D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14793D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85000</w:t>
            </w:r>
          </w:p>
        </w:tc>
        <w:tc>
          <w:tcPr>
            <w:tcW w:w="990" w:type="dxa"/>
          </w:tcPr>
          <w:p w14:paraId="0A38AA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w:t>
            </w:r>
          </w:p>
        </w:tc>
        <w:tc>
          <w:tcPr>
            <w:tcW w:w="1080" w:type="dxa"/>
          </w:tcPr>
          <w:p w14:paraId="3AF930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04CD37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u w:val="single"/>
              </w:rPr>
              <w:t>-</w:t>
            </w:r>
          </w:p>
        </w:tc>
        <w:tc>
          <w:tcPr>
            <w:tcW w:w="810" w:type="dxa"/>
          </w:tcPr>
          <w:p w14:paraId="4FDD2D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530" w:type="dxa"/>
          </w:tcPr>
          <w:p w14:paraId="7337CD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41A1E72D" w14:textId="77777777">
        <w:trPr>
          <w:trHeight w:val="509"/>
        </w:trPr>
        <w:tc>
          <w:tcPr>
            <w:tcW w:w="360" w:type="dxa"/>
          </w:tcPr>
          <w:p w14:paraId="2109B4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w:t>
            </w:r>
          </w:p>
        </w:tc>
        <w:tc>
          <w:tcPr>
            <w:tcW w:w="720" w:type="dxa"/>
          </w:tcPr>
          <w:p w14:paraId="0C551B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М-37</w:t>
            </w:r>
          </w:p>
        </w:tc>
        <w:tc>
          <w:tcPr>
            <w:tcW w:w="650" w:type="dxa"/>
          </w:tcPr>
          <w:p w14:paraId="38108B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2М-15</w:t>
            </w:r>
          </w:p>
        </w:tc>
        <w:tc>
          <w:tcPr>
            <w:tcW w:w="1060" w:type="dxa"/>
          </w:tcPr>
          <w:p w14:paraId="6DBE12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FC72B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990" w:type="dxa"/>
          </w:tcPr>
          <w:p w14:paraId="06EA2D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160000</w:t>
            </w:r>
          </w:p>
        </w:tc>
        <w:tc>
          <w:tcPr>
            <w:tcW w:w="1080" w:type="dxa"/>
          </w:tcPr>
          <w:p w14:paraId="60EAEE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080" w:type="dxa"/>
          </w:tcPr>
          <w:p w14:paraId="2FBE42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3112B2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220000</w:t>
            </w:r>
          </w:p>
        </w:tc>
        <w:tc>
          <w:tcPr>
            <w:tcW w:w="1530" w:type="dxa"/>
          </w:tcPr>
          <w:p w14:paraId="3548B7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2E5403A6" w14:textId="77777777">
        <w:trPr>
          <w:trHeight w:val="432"/>
        </w:trPr>
        <w:tc>
          <w:tcPr>
            <w:tcW w:w="360" w:type="dxa"/>
          </w:tcPr>
          <w:p w14:paraId="7B2E71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w:t>
            </w:r>
          </w:p>
        </w:tc>
        <w:tc>
          <w:tcPr>
            <w:tcW w:w="720" w:type="dxa"/>
          </w:tcPr>
          <w:p w14:paraId="3FB9B9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Р-38</w:t>
            </w:r>
          </w:p>
        </w:tc>
        <w:tc>
          <w:tcPr>
            <w:tcW w:w="650" w:type="dxa"/>
          </w:tcPr>
          <w:p w14:paraId="5300B7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5D9DDA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0BD8A4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111C8F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1080" w:type="dxa"/>
          </w:tcPr>
          <w:p w14:paraId="0FB261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w:t>
            </w:r>
          </w:p>
        </w:tc>
        <w:tc>
          <w:tcPr>
            <w:tcW w:w="1080" w:type="dxa"/>
          </w:tcPr>
          <w:p w14:paraId="495728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35000</w:t>
            </w:r>
          </w:p>
        </w:tc>
        <w:tc>
          <w:tcPr>
            <w:tcW w:w="810" w:type="dxa"/>
          </w:tcPr>
          <w:p w14:paraId="2FBDD6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230000</w:t>
            </w:r>
          </w:p>
        </w:tc>
        <w:tc>
          <w:tcPr>
            <w:tcW w:w="1530" w:type="dxa"/>
          </w:tcPr>
          <w:p w14:paraId="20D88A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44906E89" w14:textId="77777777">
        <w:trPr>
          <w:trHeight w:val="605"/>
        </w:trPr>
        <w:tc>
          <w:tcPr>
            <w:tcW w:w="360" w:type="dxa"/>
          </w:tcPr>
          <w:p w14:paraId="681CB6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w:t>
            </w:r>
          </w:p>
        </w:tc>
        <w:tc>
          <w:tcPr>
            <w:tcW w:w="720" w:type="dxa"/>
          </w:tcPr>
          <w:p w14:paraId="308298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М-39</w:t>
            </w:r>
          </w:p>
        </w:tc>
        <w:tc>
          <w:tcPr>
            <w:tcW w:w="650" w:type="dxa"/>
          </w:tcPr>
          <w:p w14:paraId="1D2CC1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М-29</w:t>
            </w:r>
          </w:p>
        </w:tc>
        <w:tc>
          <w:tcPr>
            <w:tcW w:w="1060" w:type="dxa"/>
          </w:tcPr>
          <w:p w14:paraId="590420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0E513C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230000</w:t>
            </w:r>
          </w:p>
        </w:tc>
        <w:tc>
          <w:tcPr>
            <w:tcW w:w="990" w:type="dxa"/>
          </w:tcPr>
          <w:p w14:paraId="5D9267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080" w:type="dxa"/>
          </w:tcPr>
          <w:p w14:paraId="54878D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6F3CE7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0E7E77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290000</w:t>
            </w:r>
          </w:p>
        </w:tc>
        <w:tc>
          <w:tcPr>
            <w:tcW w:w="1530" w:type="dxa"/>
          </w:tcPr>
          <w:p w14:paraId="24C214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4888DDD6" w14:textId="77777777">
        <w:trPr>
          <w:trHeight w:val="451"/>
        </w:trPr>
        <w:tc>
          <w:tcPr>
            <w:tcW w:w="360" w:type="dxa"/>
          </w:tcPr>
          <w:p w14:paraId="73ED64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w:t>
            </w:r>
          </w:p>
        </w:tc>
        <w:tc>
          <w:tcPr>
            <w:tcW w:w="720" w:type="dxa"/>
          </w:tcPr>
          <w:p w14:paraId="754676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М-39</w:t>
            </w:r>
          </w:p>
        </w:tc>
        <w:tc>
          <w:tcPr>
            <w:tcW w:w="650" w:type="dxa"/>
          </w:tcPr>
          <w:p w14:paraId="2B3622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М-29</w:t>
            </w:r>
          </w:p>
        </w:tc>
        <w:tc>
          <w:tcPr>
            <w:tcW w:w="1060" w:type="dxa"/>
          </w:tcPr>
          <w:p w14:paraId="56E595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40B138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990" w:type="dxa"/>
          </w:tcPr>
          <w:p w14:paraId="69D58F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230000</w:t>
            </w:r>
          </w:p>
        </w:tc>
        <w:tc>
          <w:tcPr>
            <w:tcW w:w="1080" w:type="dxa"/>
          </w:tcPr>
          <w:p w14:paraId="40F542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65000</w:t>
            </w:r>
          </w:p>
        </w:tc>
        <w:tc>
          <w:tcPr>
            <w:tcW w:w="1080" w:type="dxa"/>
          </w:tcPr>
          <w:p w14:paraId="1BF894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2A7488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530" w:type="dxa"/>
          </w:tcPr>
          <w:p w14:paraId="53A3A8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0337B3FC" w14:textId="77777777">
        <w:trPr>
          <w:trHeight w:val="490"/>
        </w:trPr>
        <w:tc>
          <w:tcPr>
            <w:tcW w:w="360" w:type="dxa"/>
          </w:tcPr>
          <w:p w14:paraId="45B341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tc>
        <w:tc>
          <w:tcPr>
            <w:tcW w:w="720" w:type="dxa"/>
          </w:tcPr>
          <w:p w14:paraId="08D7F4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М-40.</w:t>
            </w:r>
          </w:p>
        </w:tc>
        <w:tc>
          <w:tcPr>
            <w:tcW w:w="650" w:type="dxa"/>
          </w:tcPr>
          <w:p w14:paraId="5FBB54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30A54C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507785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1442F7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080" w:type="dxa"/>
          </w:tcPr>
          <w:p w14:paraId="681354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245000</w:t>
            </w:r>
          </w:p>
        </w:tc>
        <w:tc>
          <w:tcPr>
            <w:tcW w:w="1080" w:type="dxa"/>
          </w:tcPr>
          <w:p w14:paraId="48A6F3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55000</w:t>
            </w:r>
          </w:p>
        </w:tc>
        <w:tc>
          <w:tcPr>
            <w:tcW w:w="810" w:type="dxa"/>
          </w:tcPr>
          <w:p w14:paraId="47E05C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330000</w:t>
            </w:r>
          </w:p>
        </w:tc>
        <w:tc>
          <w:tcPr>
            <w:tcW w:w="1530" w:type="dxa"/>
          </w:tcPr>
          <w:p w14:paraId="053CA9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0393FA08" w14:textId="77777777">
        <w:trPr>
          <w:trHeight w:val="403"/>
        </w:trPr>
        <w:tc>
          <w:tcPr>
            <w:tcW w:w="360" w:type="dxa"/>
          </w:tcPr>
          <w:p w14:paraId="0B0089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w:t>
            </w:r>
          </w:p>
        </w:tc>
        <w:tc>
          <w:tcPr>
            <w:tcW w:w="720" w:type="dxa"/>
          </w:tcPr>
          <w:p w14:paraId="2E9BCA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М-26</w:t>
            </w:r>
          </w:p>
        </w:tc>
        <w:tc>
          <w:tcPr>
            <w:tcW w:w="650" w:type="dxa"/>
          </w:tcPr>
          <w:p w14:paraId="29B7A6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М-26</w:t>
            </w:r>
          </w:p>
        </w:tc>
        <w:tc>
          <w:tcPr>
            <w:tcW w:w="1060" w:type="dxa"/>
          </w:tcPr>
          <w:p w14:paraId="05732C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E7580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70000</w:t>
            </w:r>
          </w:p>
        </w:tc>
        <w:tc>
          <w:tcPr>
            <w:tcW w:w="990" w:type="dxa"/>
          </w:tcPr>
          <w:p w14:paraId="6CD96B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080" w:type="dxa"/>
          </w:tcPr>
          <w:p w14:paraId="6BEDC3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1B6792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6F64E5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c>
          <w:tcPr>
            <w:tcW w:w="1530" w:type="dxa"/>
          </w:tcPr>
          <w:p w14:paraId="0CD287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2+1 экз.</w:t>
            </w:r>
          </w:p>
        </w:tc>
      </w:tr>
      <w:tr w:rsidR="00A61694" w:rsidRPr="00507A31" w14:paraId="6641A079" w14:textId="77777777">
        <w:trPr>
          <w:trHeight w:val="403"/>
        </w:trPr>
        <w:tc>
          <w:tcPr>
            <w:tcW w:w="360" w:type="dxa"/>
          </w:tcPr>
          <w:p w14:paraId="5EEBC5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w:t>
            </w:r>
          </w:p>
        </w:tc>
        <w:tc>
          <w:tcPr>
            <w:tcW w:w="720" w:type="dxa"/>
          </w:tcPr>
          <w:p w14:paraId="160462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М-45</w:t>
            </w:r>
          </w:p>
        </w:tc>
        <w:tc>
          <w:tcPr>
            <w:tcW w:w="650" w:type="dxa"/>
          </w:tcPr>
          <w:p w14:paraId="41490E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2AC539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6B287E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85000</w:t>
            </w:r>
          </w:p>
        </w:tc>
        <w:tc>
          <w:tcPr>
            <w:tcW w:w="990" w:type="dxa"/>
          </w:tcPr>
          <w:p w14:paraId="0B815C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w:t>
            </w:r>
          </w:p>
        </w:tc>
        <w:tc>
          <w:tcPr>
            <w:tcW w:w="1080" w:type="dxa"/>
          </w:tcPr>
          <w:p w14:paraId="7CC104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1080" w:type="dxa"/>
          </w:tcPr>
          <w:p w14:paraId="13E6A0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11B5EA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530" w:type="dxa"/>
          </w:tcPr>
          <w:p w14:paraId="0AF4A3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303A7AB2" w14:textId="77777777">
        <w:trPr>
          <w:trHeight w:val="403"/>
        </w:trPr>
        <w:tc>
          <w:tcPr>
            <w:tcW w:w="360" w:type="dxa"/>
          </w:tcPr>
          <w:p w14:paraId="7EB638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w:t>
            </w:r>
          </w:p>
        </w:tc>
        <w:tc>
          <w:tcPr>
            <w:tcW w:w="720" w:type="dxa"/>
          </w:tcPr>
          <w:p w14:paraId="2FB360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М-11</w:t>
            </w:r>
          </w:p>
        </w:tc>
        <w:tc>
          <w:tcPr>
            <w:tcW w:w="650" w:type="dxa"/>
          </w:tcPr>
          <w:p w14:paraId="0F88E3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118FE5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585DC0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990" w:type="dxa"/>
          </w:tcPr>
          <w:p w14:paraId="1FB57B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080" w:type="dxa"/>
          </w:tcPr>
          <w:p w14:paraId="105652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35000</w:t>
            </w:r>
          </w:p>
        </w:tc>
        <w:tc>
          <w:tcPr>
            <w:tcW w:w="1080" w:type="dxa"/>
          </w:tcPr>
          <w:p w14:paraId="5AAC6F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w:t>
            </w:r>
          </w:p>
        </w:tc>
        <w:tc>
          <w:tcPr>
            <w:tcW w:w="810" w:type="dxa"/>
          </w:tcPr>
          <w:p w14:paraId="24304F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530" w:type="dxa"/>
          </w:tcPr>
          <w:p w14:paraId="6C5C69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3+1 экз.</w:t>
            </w:r>
          </w:p>
        </w:tc>
      </w:tr>
      <w:tr w:rsidR="00A61694" w:rsidRPr="00507A31" w14:paraId="4160AD87" w14:textId="77777777">
        <w:trPr>
          <w:trHeight w:val="403"/>
        </w:trPr>
        <w:tc>
          <w:tcPr>
            <w:tcW w:w="360" w:type="dxa"/>
          </w:tcPr>
          <w:p w14:paraId="4E81D8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w:t>
            </w:r>
          </w:p>
        </w:tc>
        <w:tc>
          <w:tcPr>
            <w:tcW w:w="720" w:type="dxa"/>
          </w:tcPr>
          <w:p w14:paraId="66671E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М-22</w:t>
            </w:r>
          </w:p>
        </w:tc>
        <w:tc>
          <w:tcPr>
            <w:tcW w:w="650" w:type="dxa"/>
          </w:tcPr>
          <w:p w14:paraId="1CF76E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5B5F7E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799554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990" w:type="dxa"/>
          </w:tcPr>
          <w:p w14:paraId="70D72C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080" w:type="dxa"/>
          </w:tcPr>
          <w:p w14:paraId="09C1FD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080" w:type="dxa"/>
          </w:tcPr>
          <w:p w14:paraId="722B32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810" w:type="dxa"/>
          </w:tcPr>
          <w:p w14:paraId="7E3D10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360000</w:t>
            </w:r>
          </w:p>
        </w:tc>
        <w:tc>
          <w:tcPr>
            <w:tcW w:w="1530" w:type="dxa"/>
          </w:tcPr>
          <w:p w14:paraId="07AAE0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56F6C9C1" w14:textId="77777777">
        <w:trPr>
          <w:trHeight w:val="403"/>
        </w:trPr>
        <w:tc>
          <w:tcPr>
            <w:tcW w:w="360" w:type="dxa"/>
          </w:tcPr>
          <w:p w14:paraId="34EDF7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w:t>
            </w:r>
          </w:p>
        </w:tc>
        <w:tc>
          <w:tcPr>
            <w:tcW w:w="720" w:type="dxa"/>
          </w:tcPr>
          <w:p w14:paraId="282D58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М-17</w:t>
            </w:r>
          </w:p>
        </w:tc>
        <w:tc>
          <w:tcPr>
            <w:tcW w:w="650" w:type="dxa"/>
          </w:tcPr>
          <w:p w14:paraId="6EB70D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7F9BF9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1DD0EC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990" w:type="dxa"/>
          </w:tcPr>
          <w:p w14:paraId="73142C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080" w:type="dxa"/>
          </w:tcPr>
          <w:p w14:paraId="680280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75000</w:t>
            </w:r>
          </w:p>
        </w:tc>
        <w:tc>
          <w:tcPr>
            <w:tcW w:w="1080" w:type="dxa"/>
          </w:tcPr>
          <w:p w14:paraId="42F83E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95000</w:t>
            </w:r>
          </w:p>
        </w:tc>
        <w:tc>
          <w:tcPr>
            <w:tcW w:w="810" w:type="dxa"/>
          </w:tcPr>
          <w:p w14:paraId="488B60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530" w:type="dxa"/>
          </w:tcPr>
          <w:p w14:paraId="25EED8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6381F081" w14:textId="77777777">
        <w:trPr>
          <w:trHeight w:val="403"/>
        </w:trPr>
        <w:tc>
          <w:tcPr>
            <w:tcW w:w="360" w:type="dxa"/>
          </w:tcPr>
          <w:p w14:paraId="54A6C8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w:t>
            </w:r>
          </w:p>
        </w:tc>
        <w:tc>
          <w:tcPr>
            <w:tcW w:w="1370" w:type="dxa"/>
            <w:gridSpan w:val="2"/>
          </w:tcPr>
          <w:p w14:paraId="1D7447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Моторы гражданской авиации (маломощн.)</w:t>
            </w:r>
          </w:p>
        </w:tc>
        <w:tc>
          <w:tcPr>
            <w:tcW w:w="1060" w:type="dxa"/>
          </w:tcPr>
          <w:p w14:paraId="10F875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6C10C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57109D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c>
          <w:tcPr>
            <w:tcW w:w="1080" w:type="dxa"/>
          </w:tcPr>
          <w:p w14:paraId="3379B7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080" w:type="dxa"/>
          </w:tcPr>
          <w:p w14:paraId="5F8215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120000</w:t>
            </w:r>
          </w:p>
        </w:tc>
        <w:tc>
          <w:tcPr>
            <w:tcW w:w="810" w:type="dxa"/>
          </w:tcPr>
          <w:p w14:paraId="1C8935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530" w:type="dxa"/>
          </w:tcPr>
          <w:p w14:paraId="56D925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7FBAE429" w14:textId="77777777">
        <w:trPr>
          <w:trHeight w:val="403"/>
        </w:trPr>
        <w:tc>
          <w:tcPr>
            <w:tcW w:w="360" w:type="dxa"/>
          </w:tcPr>
          <w:p w14:paraId="0AF468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w:t>
            </w:r>
          </w:p>
        </w:tc>
        <w:tc>
          <w:tcPr>
            <w:tcW w:w="1370" w:type="dxa"/>
            <w:gridSpan w:val="2"/>
          </w:tcPr>
          <w:p w14:paraId="5D631F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Новые работы и двигатели на тяжелом топливе</w:t>
            </w:r>
          </w:p>
        </w:tc>
        <w:tc>
          <w:tcPr>
            <w:tcW w:w="1060" w:type="dxa"/>
          </w:tcPr>
          <w:p w14:paraId="3EC539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F3DB0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6CA0C7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6F02D7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080" w:type="dxa"/>
          </w:tcPr>
          <w:p w14:paraId="5B031C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1250000</w:t>
            </w:r>
          </w:p>
        </w:tc>
        <w:tc>
          <w:tcPr>
            <w:tcW w:w="810" w:type="dxa"/>
          </w:tcPr>
          <w:p w14:paraId="216A01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1550000</w:t>
            </w:r>
          </w:p>
        </w:tc>
        <w:tc>
          <w:tcPr>
            <w:tcW w:w="1530" w:type="dxa"/>
          </w:tcPr>
          <w:p w14:paraId="7AD95C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5F4080E5" w14:textId="77777777">
        <w:trPr>
          <w:trHeight w:val="403"/>
        </w:trPr>
        <w:tc>
          <w:tcPr>
            <w:tcW w:w="360" w:type="dxa"/>
          </w:tcPr>
          <w:p w14:paraId="3FCFE5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0" w:type="dxa"/>
            <w:gridSpan w:val="2"/>
          </w:tcPr>
          <w:p w14:paraId="25AE67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w:t>
            </w:r>
          </w:p>
        </w:tc>
        <w:tc>
          <w:tcPr>
            <w:tcW w:w="1060" w:type="dxa"/>
          </w:tcPr>
          <w:p w14:paraId="2EB9BE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6D136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1110000 (10000)</w:t>
            </w:r>
          </w:p>
        </w:tc>
        <w:tc>
          <w:tcPr>
            <w:tcW w:w="990" w:type="dxa"/>
          </w:tcPr>
          <w:p w14:paraId="432AFE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1690000 (40000)</w:t>
            </w:r>
          </w:p>
        </w:tc>
        <w:tc>
          <w:tcPr>
            <w:tcW w:w="1080" w:type="dxa"/>
          </w:tcPr>
          <w:p w14:paraId="636356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1800000 (50000)</w:t>
            </w:r>
          </w:p>
        </w:tc>
        <w:tc>
          <w:tcPr>
            <w:tcW w:w="1080" w:type="dxa"/>
          </w:tcPr>
          <w:p w14:paraId="750046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17500000 (50000)</w:t>
            </w:r>
          </w:p>
        </w:tc>
        <w:tc>
          <w:tcPr>
            <w:tcW w:w="810" w:type="dxa"/>
          </w:tcPr>
          <w:p w14:paraId="26A6CD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6350000 (150000)</w:t>
            </w:r>
          </w:p>
        </w:tc>
        <w:tc>
          <w:tcPr>
            <w:tcW w:w="1530" w:type="dxa"/>
          </w:tcPr>
          <w:p w14:paraId="68249A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2F4FD7AF" w14:textId="77777777">
        <w:trPr>
          <w:trHeight w:val="403"/>
        </w:trPr>
        <w:tc>
          <w:tcPr>
            <w:tcW w:w="360" w:type="dxa"/>
          </w:tcPr>
          <w:p w14:paraId="489DB3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w:t>
            </w:r>
          </w:p>
        </w:tc>
        <w:tc>
          <w:tcPr>
            <w:tcW w:w="1370" w:type="dxa"/>
            <w:gridSpan w:val="2"/>
          </w:tcPr>
          <w:p w14:paraId="650A54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Закупка иностр. образцов</w:t>
            </w:r>
          </w:p>
        </w:tc>
        <w:tc>
          <w:tcPr>
            <w:tcW w:w="1060" w:type="dxa"/>
          </w:tcPr>
          <w:p w14:paraId="58518D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4BA4CA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 (300000)</w:t>
            </w:r>
          </w:p>
        </w:tc>
        <w:tc>
          <w:tcPr>
            <w:tcW w:w="990" w:type="dxa"/>
          </w:tcPr>
          <w:p w14:paraId="0C006D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 (400000)</w:t>
            </w:r>
          </w:p>
        </w:tc>
        <w:tc>
          <w:tcPr>
            <w:tcW w:w="1080" w:type="dxa"/>
          </w:tcPr>
          <w:p w14:paraId="078002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 (400000)</w:t>
            </w:r>
          </w:p>
        </w:tc>
        <w:tc>
          <w:tcPr>
            <w:tcW w:w="1080" w:type="dxa"/>
          </w:tcPr>
          <w:p w14:paraId="54E7CE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 (400000)</w:t>
            </w:r>
          </w:p>
        </w:tc>
        <w:tc>
          <w:tcPr>
            <w:tcW w:w="810" w:type="dxa"/>
          </w:tcPr>
          <w:p w14:paraId="5BE061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1500000 (1500000)</w:t>
            </w:r>
          </w:p>
        </w:tc>
        <w:tc>
          <w:tcPr>
            <w:tcW w:w="1530" w:type="dxa"/>
          </w:tcPr>
          <w:p w14:paraId="4A1C00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554E0C77" w14:textId="77777777">
        <w:trPr>
          <w:trHeight w:val="403"/>
        </w:trPr>
        <w:tc>
          <w:tcPr>
            <w:tcW w:w="360" w:type="dxa"/>
          </w:tcPr>
          <w:p w14:paraId="25120F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w:t>
            </w:r>
          </w:p>
        </w:tc>
        <w:tc>
          <w:tcPr>
            <w:tcW w:w="1370" w:type="dxa"/>
            <w:gridSpan w:val="2"/>
          </w:tcPr>
          <w:p w14:paraId="40F69E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Исследоват. и металлургич. работы</w:t>
            </w:r>
          </w:p>
        </w:tc>
        <w:tc>
          <w:tcPr>
            <w:tcW w:w="1060" w:type="dxa"/>
          </w:tcPr>
          <w:p w14:paraId="503C7C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3B8920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380000 (10000)</w:t>
            </w:r>
          </w:p>
        </w:tc>
        <w:tc>
          <w:tcPr>
            <w:tcW w:w="990" w:type="dxa"/>
          </w:tcPr>
          <w:p w14:paraId="16C19A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490000 (30000)</w:t>
            </w:r>
          </w:p>
        </w:tc>
        <w:tc>
          <w:tcPr>
            <w:tcW w:w="1080" w:type="dxa"/>
          </w:tcPr>
          <w:p w14:paraId="1C5823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750000 (60000)</w:t>
            </w:r>
          </w:p>
        </w:tc>
        <w:tc>
          <w:tcPr>
            <w:tcW w:w="1080" w:type="dxa"/>
          </w:tcPr>
          <w:p w14:paraId="7C4F71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1000000 (100000)</w:t>
            </w:r>
          </w:p>
        </w:tc>
        <w:tc>
          <w:tcPr>
            <w:tcW w:w="810" w:type="dxa"/>
          </w:tcPr>
          <w:p w14:paraId="0EC519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2620000 (200000)</w:t>
            </w:r>
          </w:p>
        </w:tc>
        <w:tc>
          <w:tcPr>
            <w:tcW w:w="1530" w:type="dxa"/>
          </w:tcPr>
          <w:p w14:paraId="3A6F27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6E917B90" w14:textId="77777777">
        <w:trPr>
          <w:trHeight w:val="403"/>
        </w:trPr>
        <w:tc>
          <w:tcPr>
            <w:tcW w:w="360" w:type="dxa"/>
          </w:tcPr>
          <w:p w14:paraId="2E4117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25.</w:t>
            </w:r>
          </w:p>
        </w:tc>
        <w:tc>
          <w:tcPr>
            <w:tcW w:w="1370" w:type="dxa"/>
            <w:gridSpan w:val="2"/>
          </w:tcPr>
          <w:p w14:paraId="123B2D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Заграничные командировки</w:t>
            </w:r>
          </w:p>
        </w:tc>
        <w:tc>
          <w:tcPr>
            <w:tcW w:w="1060" w:type="dxa"/>
          </w:tcPr>
          <w:p w14:paraId="0342D9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369BC5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 (4000)</w:t>
            </w:r>
          </w:p>
        </w:tc>
        <w:tc>
          <w:tcPr>
            <w:tcW w:w="990" w:type="dxa"/>
          </w:tcPr>
          <w:p w14:paraId="10F19B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7000 (7000)</w:t>
            </w:r>
          </w:p>
        </w:tc>
        <w:tc>
          <w:tcPr>
            <w:tcW w:w="1080" w:type="dxa"/>
          </w:tcPr>
          <w:p w14:paraId="1FD8F1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9000 (8000)</w:t>
            </w:r>
          </w:p>
        </w:tc>
        <w:tc>
          <w:tcPr>
            <w:tcW w:w="1080" w:type="dxa"/>
          </w:tcPr>
          <w:p w14:paraId="60BFCF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 (8000)</w:t>
            </w:r>
          </w:p>
        </w:tc>
        <w:tc>
          <w:tcPr>
            <w:tcW w:w="810" w:type="dxa"/>
          </w:tcPr>
          <w:p w14:paraId="398A75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 (30000)</w:t>
            </w:r>
          </w:p>
        </w:tc>
        <w:tc>
          <w:tcPr>
            <w:tcW w:w="1530" w:type="dxa"/>
          </w:tcPr>
          <w:p w14:paraId="0FC0B2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76D8158B" w14:textId="77777777">
        <w:trPr>
          <w:trHeight w:val="403"/>
        </w:trPr>
        <w:tc>
          <w:tcPr>
            <w:tcW w:w="360" w:type="dxa"/>
          </w:tcPr>
          <w:p w14:paraId="5E3E42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w:t>
            </w:r>
          </w:p>
        </w:tc>
        <w:tc>
          <w:tcPr>
            <w:tcW w:w="1370" w:type="dxa"/>
            <w:gridSpan w:val="2"/>
          </w:tcPr>
          <w:p w14:paraId="158B92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Подготовка кадров</w:t>
            </w:r>
          </w:p>
        </w:tc>
        <w:tc>
          <w:tcPr>
            <w:tcW w:w="1060" w:type="dxa"/>
          </w:tcPr>
          <w:p w14:paraId="267E62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599C6E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125000</w:t>
            </w:r>
          </w:p>
        </w:tc>
        <w:tc>
          <w:tcPr>
            <w:tcW w:w="990" w:type="dxa"/>
          </w:tcPr>
          <w:p w14:paraId="61413A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125000</w:t>
            </w:r>
          </w:p>
        </w:tc>
        <w:tc>
          <w:tcPr>
            <w:tcW w:w="1080" w:type="dxa"/>
          </w:tcPr>
          <w:p w14:paraId="1E5DAF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125000</w:t>
            </w:r>
          </w:p>
        </w:tc>
        <w:tc>
          <w:tcPr>
            <w:tcW w:w="1080" w:type="dxa"/>
          </w:tcPr>
          <w:p w14:paraId="0B15A3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125000</w:t>
            </w:r>
          </w:p>
        </w:tc>
        <w:tc>
          <w:tcPr>
            <w:tcW w:w="810" w:type="dxa"/>
          </w:tcPr>
          <w:p w14:paraId="583F2B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500000</w:t>
            </w:r>
          </w:p>
        </w:tc>
        <w:tc>
          <w:tcPr>
            <w:tcW w:w="1530" w:type="dxa"/>
          </w:tcPr>
          <w:p w14:paraId="0A7648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3239B326" w14:textId="77777777">
        <w:trPr>
          <w:trHeight w:val="403"/>
        </w:trPr>
        <w:tc>
          <w:tcPr>
            <w:tcW w:w="360" w:type="dxa"/>
          </w:tcPr>
          <w:p w14:paraId="5ABF5B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w:t>
            </w:r>
          </w:p>
        </w:tc>
        <w:tc>
          <w:tcPr>
            <w:tcW w:w="1370" w:type="dxa"/>
            <w:gridSpan w:val="2"/>
          </w:tcPr>
          <w:p w14:paraId="7A3372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 и оборудов.</w:t>
            </w:r>
          </w:p>
        </w:tc>
        <w:tc>
          <w:tcPr>
            <w:tcW w:w="1060" w:type="dxa"/>
          </w:tcPr>
          <w:p w14:paraId="22BB28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011C1E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35000</w:t>
            </w:r>
          </w:p>
        </w:tc>
        <w:tc>
          <w:tcPr>
            <w:tcW w:w="990" w:type="dxa"/>
          </w:tcPr>
          <w:p w14:paraId="2EBA8C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490000 (250000)</w:t>
            </w:r>
          </w:p>
        </w:tc>
        <w:tc>
          <w:tcPr>
            <w:tcW w:w="1080" w:type="dxa"/>
          </w:tcPr>
          <w:p w14:paraId="45B3B7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 (7000)</w:t>
            </w:r>
          </w:p>
        </w:tc>
        <w:tc>
          <w:tcPr>
            <w:tcW w:w="1080" w:type="dxa"/>
          </w:tcPr>
          <w:p w14:paraId="1A9433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 (50000)</w:t>
            </w:r>
          </w:p>
        </w:tc>
        <w:tc>
          <w:tcPr>
            <w:tcW w:w="810" w:type="dxa"/>
          </w:tcPr>
          <w:p w14:paraId="427B72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1000000 (370000)</w:t>
            </w:r>
          </w:p>
        </w:tc>
        <w:tc>
          <w:tcPr>
            <w:tcW w:w="1530" w:type="dxa"/>
          </w:tcPr>
          <w:p w14:paraId="14EF0F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10809B0F" w14:textId="77777777">
        <w:trPr>
          <w:trHeight w:val="403"/>
        </w:trPr>
        <w:tc>
          <w:tcPr>
            <w:tcW w:w="360" w:type="dxa"/>
          </w:tcPr>
          <w:p w14:paraId="6A9A74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0" w:type="dxa"/>
            <w:gridSpan w:val="2"/>
          </w:tcPr>
          <w:p w14:paraId="428648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060" w:type="dxa"/>
          </w:tcPr>
          <w:p w14:paraId="34A4B4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2DB5F0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1954000 (324000)</w:t>
            </w:r>
          </w:p>
        </w:tc>
        <w:tc>
          <w:tcPr>
            <w:tcW w:w="990" w:type="dxa"/>
          </w:tcPr>
          <w:p w14:paraId="37D944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3202000 (727000)</w:t>
            </w:r>
          </w:p>
        </w:tc>
        <w:tc>
          <w:tcPr>
            <w:tcW w:w="1080" w:type="dxa"/>
          </w:tcPr>
          <w:p w14:paraId="251D64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3384000 (589000)</w:t>
            </w:r>
          </w:p>
        </w:tc>
        <w:tc>
          <w:tcPr>
            <w:tcW w:w="1080" w:type="dxa"/>
          </w:tcPr>
          <w:p w14:paraId="73B12D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3460000 (510000)</w:t>
            </w:r>
          </w:p>
        </w:tc>
        <w:tc>
          <w:tcPr>
            <w:tcW w:w="810" w:type="dxa"/>
          </w:tcPr>
          <w:p w14:paraId="6F1FA2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12000000 (2150000)</w:t>
            </w:r>
          </w:p>
        </w:tc>
        <w:tc>
          <w:tcPr>
            <w:tcW w:w="1530" w:type="dxa"/>
          </w:tcPr>
          <w:p w14:paraId="2BA5BE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01B41E21" w14:textId="77777777">
        <w:trPr>
          <w:trHeight w:val="403"/>
        </w:trPr>
        <w:tc>
          <w:tcPr>
            <w:tcW w:w="360" w:type="dxa"/>
          </w:tcPr>
          <w:p w14:paraId="30C940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0" w:type="dxa"/>
            <w:gridSpan w:val="2"/>
          </w:tcPr>
          <w:p w14:paraId="33CD94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 на пятилетку</w:t>
            </w:r>
          </w:p>
        </w:tc>
        <w:tc>
          <w:tcPr>
            <w:tcW w:w="1060" w:type="dxa"/>
          </w:tcPr>
          <w:p w14:paraId="70C4E8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4D139A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90" w:type="dxa"/>
          </w:tcPr>
          <w:p w14:paraId="041E8C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22FF83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3F64B0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10" w:type="dxa"/>
          </w:tcPr>
          <w:p w14:paraId="14CB41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12000000 </w:t>
            </w:r>
          </w:p>
        </w:tc>
        <w:tc>
          <w:tcPr>
            <w:tcW w:w="1530" w:type="dxa"/>
          </w:tcPr>
          <w:p w14:paraId="548B5E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4562A5E4" w14:textId="77777777">
        <w:trPr>
          <w:trHeight w:val="403"/>
        </w:trPr>
        <w:tc>
          <w:tcPr>
            <w:tcW w:w="360" w:type="dxa"/>
            <w:tcBorders>
              <w:bottom w:val="single" w:sz="12" w:space="0" w:color="auto"/>
            </w:tcBorders>
          </w:tcPr>
          <w:p w14:paraId="75F487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0" w:type="dxa"/>
            <w:gridSpan w:val="2"/>
            <w:tcBorders>
              <w:bottom w:val="single" w:sz="12" w:space="0" w:color="auto"/>
            </w:tcBorders>
          </w:tcPr>
          <w:p w14:paraId="40F06D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Валютой</w:t>
            </w:r>
          </w:p>
        </w:tc>
        <w:tc>
          <w:tcPr>
            <w:tcW w:w="1060" w:type="dxa"/>
            <w:tcBorders>
              <w:bottom w:val="single" w:sz="12" w:space="0" w:color="auto"/>
            </w:tcBorders>
          </w:tcPr>
          <w:p w14:paraId="62A201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7C2919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90" w:type="dxa"/>
            <w:tcBorders>
              <w:bottom w:val="single" w:sz="12" w:space="0" w:color="auto"/>
            </w:tcBorders>
          </w:tcPr>
          <w:p w14:paraId="4FBDA6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39B3CC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41AACB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10" w:type="dxa"/>
            <w:tcBorders>
              <w:bottom w:val="single" w:sz="12" w:space="0" w:color="auto"/>
            </w:tcBorders>
          </w:tcPr>
          <w:p w14:paraId="504B12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(2150000)</w:t>
            </w:r>
          </w:p>
        </w:tc>
        <w:tc>
          <w:tcPr>
            <w:tcW w:w="1530" w:type="dxa"/>
            <w:tcBorders>
              <w:bottom w:val="single" w:sz="12" w:space="0" w:color="auto"/>
            </w:tcBorders>
          </w:tcPr>
          <w:p w14:paraId="6B1951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748306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(351)</w:t>
      </w:r>
    </w:p>
    <w:p w14:paraId="618A16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КОЛИЧЕСТВО ОПЫТНЫХ САМОЛЕТОВ ПО ТИПАМ И ЭКЗЕМПЛЯРАМ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8"/>
        <w:gridCol w:w="1192"/>
        <w:gridCol w:w="1192"/>
        <w:gridCol w:w="1192"/>
        <w:gridCol w:w="1192"/>
        <w:gridCol w:w="1082"/>
      </w:tblGrid>
      <w:tr w:rsidR="00A61694" w:rsidRPr="00507A31" w14:paraId="76575ABE" w14:textId="77777777">
        <w:tc>
          <w:tcPr>
            <w:tcW w:w="3618" w:type="dxa"/>
            <w:tcBorders>
              <w:top w:val="single" w:sz="12" w:space="0" w:color="auto"/>
            </w:tcBorders>
          </w:tcPr>
          <w:p w14:paraId="0991DB4E" w14:textId="77777777" w:rsidR="00537E5F" w:rsidRPr="00507A31" w:rsidRDefault="00537E5F" w:rsidP="00507A31">
            <w:pPr>
              <w:autoSpaceDE w:val="0"/>
              <w:autoSpaceDN w:val="0"/>
              <w:adjustRightInd w:val="0"/>
              <w:jc w:val="both"/>
              <w:rPr>
                <w:color w:val="000000" w:themeColor="text1"/>
                <w:sz w:val="16"/>
                <w:szCs w:val="16"/>
              </w:rPr>
            </w:pPr>
          </w:p>
        </w:tc>
        <w:tc>
          <w:tcPr>
            <w:tcW w:w="2384" w:type="dxa"/>
            <w:gridSpan w:val="2"/>
            <w:tcBorders>
              <w:top w:val="single" w:sz="12" w:space="0" w:color="auto"/>
            </w:tcBorders>
          </w:tcPr>
          <w:p w14:paraId="3B96EC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Выход на аэродром</w:t>
            </w:r>
          </w:p>
        </w:tc>
        <w:tc>
          <w:tcPr>
            <w:tcW w:w="1192" w:type="dxa"/>
            <w:tcBorders>
              <w:top w:val="single" w:sz="12" w:space="0" w:color="auto"/>
            </w:tcBorders>
          </w:tcPr>
          <w:p w14:paraId="27EE12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Число экз.новых типов</w:t>
            </w:r>
          </w:p>
        </w:tc>
        <w:tc>
          <w:tcPr>
            <w:tcW w:w="1192" w:type="dxa"/>
            <w:tcBorders>
              <w:top w:val="single" w:sz="12" w:space="0" w:color="auto"/>
            </w:tcBorders>
          </w:tcPr>
          <w:p w14:paraId="7351F1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Число экз. ранее проектир. типов</w:t>
            </w:r>
          </w:p>
        </w:tc>
        <w:tc>
          <w:tcPr>
            <w:tcW w:w="1082" w:type="dxa"/>
            <w:tcBorders>
              <w:top w:val="single" w:sz="12" w:space="0" w:color="auto"/>
            </w:tcBorders>
          </w:tcPr>
          <w:p w14:paraId="29BA97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Число самолетов в доводке</w:t>
            </w:r>
          </w:p>
        </w:tc>
      </w:tr>
      <w:tr w:rsidR="00A61694" w:rsidRPr="00507A31" w14:paraId="16DF72CE" w14:textId="77777777">
        <w:tc>
          <w:tcPr>
            <w:tcW w:w="3618" w:type="dxa"/>
          </w:tcPr>
          <w:p w14:paraId="10411CC5"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2CF95A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плану УВВС</w:t>
            </w:r>
          </w:p>
        </w:tc>
        <w:tc>
          <w:tcPr>
            <w:tcW w:w="1192" w:type="dxa"/>
          </w:tcPr>
          <w:p w14:paraId="751F3A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плану Авиатреста</w:t>
            </w:r>
          </w:p>
        </w:tc>
        <w:tc>
          <w:tcPr>
            <w:tcW w:w="1192" w:type="dxa"/>
          </w:tcPr>
          <w:p w14:paraId="4A0AC061"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19833151" w14:textId="77777777" w:rsidR="00537E5F" w:rsidRPr="00507A31" w:rsidRDefault="00537E5F" w:rsidP="00507A31">
            <w:pPr>
              <w:autoSpaceDE w:val="0"/>
              <w:autoSpaceDN w:val="0"/>
              <w:adjustRightInd w:val="0"/>
              <w:jc w:val="both"/>
              <w:rPr>
                <w:color w:val="000000" w:themeColor="text1"/>
                <w:sz w:val="16"/>
                <w:szCs w:val="16"/>
              </w:rPr>
            </w:pPr>
          </w:p>
        </w:tc>
        <w:tc>
          <w:tcPr>
            <w:tcW w:w="1082" w:type="dxa"/>
          </w:tcPr>
          <w:p w14:paraId="5907AF5D"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503E81A9" w14:textId="77777777">
        <w:tc>
          <w:tcPr>
            <w:tcW w:w="3618" w:type="dxa"/>
          </w:tcPr>
          <w:p w14:paraId="154411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Р5 - оконч. и доводка Ш и1У экз.</w:t>
            </w:r>
          </w:p>
        </w:tc>
        <w:tc>
          <w:tcPr>
            <w:tcW w:w="1192" w:type="dxa"/>
          </w:tcPr>
          <w:p w14:paraId="6F60D6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1.У.30</w:t>
            </w:r>
          </w:p>
        </w:tc>
        <w:tc>
          <w:tcPr>
            <w:tcW w:w="1192" w:type="dxa"/>
          </w:tcPr>
          <w:p w14:paraId="7103C6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1.1У.30</w:t>
            </w:r>
          </w:p>
        </w:tc>
        <w:tc>
          <w:tcPr>
            <w:tcW w:w="1192" w:type="dxa"/>
          </w:tcPr>
          <w:p w14:paraId="38EC52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D2791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520621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tc>
      </w:tr>
      <w:tr w:rsidR="00A61694" w:rsidRPr="00507A31" w14:paraId="3C858668" w14:textId="77777777">
        <w:tc>
          <w:tcPr>
            <w:tcW w:w="3618" w:type="dxa"/>
          </w:tcPr>
          <w:p w14:paraId="090109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И3 - переделка 2-х серийных машин</w:t>
            </w:r>
          </w:p>
        </w:tc>
        <w:tc>
          <w:tcPr>
            <w:tcW w:w="1192" w:type="dxa"/>
          </w:tcPr>
          <w:p w14:paraId="07D2D2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3DF155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1.П.30</w:t>
            </w:r>
          </w:p>
        </w:tc>
        <w:tc>
          <w:tcPr>
            <w:tcW w:w="1192" w:type="dxa"/>
          </w:tcPr>
          <w:p w14:paraId="6E5DDC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21E28C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B399E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tc>
      </w:tr>
      <w:tr w:rsidR="00A61694" w:rsidRPr="00507A31" w14:paraId="2B7995AB" w14:textId="77777777">
        <w:tc>
          <w:tcPr>
            <w:tcW w:w="3618" w:type="dxa"/>
          </w:tcPr>
          <w:p w14:paraId="69821A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П2 - доводка на штопор</w:t>
            </w:r>
          </w:p>
        </w:tc>
        <w:tc>
          <w:tcPr>
            <w:tcW w:w="1192" w:type="dxa"/>
          </w:tcPr>
          <w:p w14:paraId="3F32F4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20D62A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3329E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7F2C3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17441F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A61694" w:rsidRPr="00507A31" w14:paraId="57021FC7" w14:textId="77777777">
        <w:tc>
          <w:tcPr>
            <w:tcW w:w="3618" w:type="dxa"/>
          </w:tcPr>
          <w:p w14:paraId="726F99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Д2 - доводка на штопор</w:t>
            </w:r>
          </w:p>
        </w:tc>
        <w:tc>
          <w:tcPr>
            <w:tcW w:w="1192" w:type="dxa"/>
          </w:tcPr>
          <w:p w14:paraId="3E7342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1.1.30</w:t>
            </w:r>
          </w:p>
        </w:tc>
        <w:tc>
          <w:tcPr>
            <w:tcW w:w="1192" w:type="dxa"/>
          </w:tcPr>
          <w:p w14:paraId="66D375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9503F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76A645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63C9FD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A61694" w:rsidRPr="00507A31" w14:paraId="4DAEE033" w14:textId="77777777">
        <w:tc>
          <w:tcPr>
            <w:tcW w:w="3618" w:type="dxa"/>
          </w:tcPr>
          <w:p w14:paraId="078A08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Р5 - доводка на штопор</w:t>
            </w:r>
          </w:p>
        </w:tc>
        <w:tc>
          <w:tcPr>
            <w:tcW w:w="1192" w:type="dxa"/>
          </w:tcPr>
          <w:p w14:paraId="556AB1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792FF9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40946B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18E10C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C9BBD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A61694" w:rsidRPr="00507A31" w14:paraId="446CE83B" w14:textId="77777777">
        <w:tc>
          <w:tcPr>
            <w:tcW w:w="3618" w:type="dxa"/>
          </w:tcPr>
          <w:p w14:paraId="48DBE2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ТБ2 - окончание машины и доводка</w:t>
            </w:r>
          </w:p>
        </w:tc>
        <w:tc>
          <w:tcPr>
            <w:tcW w:w="1192" w:type="dxa"/>
          </w:tcPr>
          <w:p w14:paraId="369266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1.П.30</w:t>
            </w:r>
          </w:p>
        </w:tc>
        <w:tc>
          <w:tcPr>
            <w:tcW w:w="1192" w:type="dxa"/>
          </w:tcPr>
          <w:p w14:paraId="29711E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1.Ш.30</w:t>
            </w:r>
          </w:p>
        </w:tc>
        <w:tc>
          <w:tcPr>
            <w:tcW w:w="1192" w:type="dxa"/>
          </w:tcPr>
          <w:p w14:paraId="73A9DE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6DC9F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68DEBF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063A84D" w14:textId="77777777">
        <w:tc>
          <w:tcPr>
            <w:tcW w:w="3618" w:type="dxa"/>
          </w:tcPr>
          <w:p w14:paraId="2115ED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ПУ2 - окончание в 2-х вариантах</w:t>
            </w:r>
          </w:p>
        </w:tc>
        <w:tc>
          <w:tcPr>
            <w:tcW w:w="1192" w:type="dxa"/>
          </w:tcPr>
          <w:p w14:paraId="614E18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1192" w:type="dxa"/>
          </w:tcPr>
          <w:p w14:paraId="0BFC3F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1.1У.30</w:t>
            </w:r>
          </w:p>
        </w:tc>
        <w:tc>
          <w:tcPr>
            <w:tcW w:w="1192" w:type="dxa"/>
          </w:tcPr>
          <w:p w14:paraId="67238A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98E6C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47D2E3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D902A56" w14:textId="77777777">
        <w:tc>
          <w:tcPr>
            <w:tcW w:w="3618" w:type="dxa"/>
          </w:tcPr>
          <w:p w14:paraId="0A3C33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И6 - 1 экз.</w:t>
            </w:r>
          </w:p>
        </w:tc>
        <w:tc>
          <w:tcPr>
            <w:tcW w:w="1192" w:type="dxa"/>
          </w:tcPr>
          <w:p w14:paraId="42A35C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1.У.30</w:t>
            </w:r>
          </w:p>
        </w:tc>
        <w:tc>
          <w:tcPr>
            <w:tcW w:w="1192" w:type="dxa"/>
          </w:tcPr>
          <w:p w14:paraId="1023A9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1.У.30</w:t>
            </w:r>
          </w:p>
        </w:tc>
        <w:tc>
          <w:tcPr>
            <w:tcW w:w="1192" w:type="dxa"/>
          </w:tcPr>
          <w:p w14:paraId="4317FA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09FBCB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1BB804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5EC6454" w14:textId="77777777">
        <w:tc>
          <w:tcPr>
            <w:tcW w:w="3618" w:type="dxa"/>
          </w:tcPr>
          <w:p w14:paraId="1EB50E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И6 - 2 экз.</w:t>
            </w:r>
          </w:p>
        </w:tc>
        <w:tc>
          <w:tcPr>
            <w:tcW w:w="1192" w:type="dxa"/>
          </w:tcPr>
          <w:p w14:paraId="23007F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65273E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1.У1.30</w:t>
            </w:r>
          </w:p>
        </w:tc>
        <w:tc>
          <w:tcPr>
            <w:tcW w:w="1192" w:type="dxa"/>
          </w:tcPr>
          <w:p w14:paraId="2D9533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4FD54E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453CBB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3771C80A" w14:textId="77777777">
        <w:tc>
          <w:tcPr>
            <w:tcW w:w="3618" w:type="dxa"/>
          </w:tcPr>
          <w:p w14:paraId="18D1D5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И6 - 3 экз.</w:t>
            </w:r>
          </w:p>
        </w:tc>
        <w:tc>
          <w:tcPr>
            <w:tcW w:w="1192" w:type="dxa"/>
          </w:tcPr>
          <w:p w14:paraId="44F04B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18D62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1192" w:type="dxa"/>
          </w:tcPr>
          <w:p w14:paraId="380CF7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64745B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5EE2A2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E8B314D" w14:textId="77777777">
        <w:tc>
          <w:tcPr>
            <w:tcW w:w="3618" w:type="dxa"/>
          </w:tcPr>
          <w:p w14:paraId="231406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И7-М17 - 1 экз.</w:t>
            </w:r>
          </w:p>
        </w:tc>
        <w:tc>
          <w:tcPr>
            <w:tcW w:w="1192" w:type="dxa"/>
          </w:tcPr>
          <w:p w14:paraId="5249E7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1192" w:type="dxa"/>
          </w:tcPr>
          <w:p w14:paraId="7854C0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1.1Х.30</w:t>
            </w:r>
          </w:p>
        </w:tc>
        <w:tc>
          <w:tcPr>
            <w:tcW w:w="1192" w:type="dxa"/>
          </w:tcPr>
          <w:p w14:paraId="666BC8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4FF98F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33FA90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BB8A047" w14:textId="77777777">
        <w:tc>
          <w:tcPr>
            <w:tcW w:w="3618" w:type="dxa"/>
          </w:tcPr>
          <w:p w14:paraId="2CEF35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И7-М17 - 2 экз. со сварным фюзеляжем</w:t>
            </w:r>
          </w:p>
        </w:tc>
        <w:tc>
          <w:tcPr>
            <w:tcW w:w="1192" w:type="dxa"/>
          </w:tcPr>
          <w:p w14:paraId="6FDFC5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1192" w:type="dxa"/>
          </w:tcPr>
          <w:p w14:paraId="76A2AB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1.Х.30</w:t>
            </w:r>
          </w:p>
        </w:tc>
        <w:tc>
          <w:tcPr>
            <w:tcW w:w="1192" w:type="dxa"/>
          </w:tcPr>
          <w:p w14:paraId="599ACC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2297E9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38F28A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0441E65" w14:textId="77777777">
        <w:tc>
          <w:tcPr>
            <w:tcW w:w="3618" w:type="dxa"/>
          </w:tcPr>
          <w:p w14:paraId="04E991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ПР5 - со сварным фюзеляжем</w:t>
            </w:r>
          </w:p>
        </w:tc>
        <w:tc>
          <w:tcPr>
            <w:tcW w:w="1192" w:type="dxa"/>
          </w:tcPr>
          <w:p w14:paraId="0F8816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1192" w:type="dxa"/>
          </w:tcPr>
          <w:p w14:paraId="72C426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1192" w:type="dxa"/>
          </w:tcPr>
          <w:p w14:paraId="6A040F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38D46A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48012D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A88D777" w14:textId="77777777">
        <w:tc>
          <w:tcPr>
            <w:tcW w:w="3618" w:type="dxa"/>
          </w:tcPr>
          <w:p w14:paraId="004F03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Р5-М17 - со сварным фюзеляжем</w:t>
            </w:r>
          </w:p>
        </w:tc>
        <w:tc>
          <w:tcPr>
            <w:tcW w:w="1192" w:type="dxa"/>
          </w:tcPr>
          <w:p w14:paraId="7237B4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1.Х.30</w:t>
            </w:r>
          </w:p>
        </w:tc>
        <w:tc>
          <w:tcPr>
            <w:tcW w:w="1192" w:type="dxa"/>
          </w:tcPr>
          <w:p w14:paraId="5E267F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1.Ш.31</w:t>
            </w:r>
          </w:p>
        </w:tc>
        <w:tc>
          <w:tcPr>
            <w:tcW w:w="1192" w:type="dxa"/>
          </w:tcPr>
          <w:p w14:paraId="060312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3EEE74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5D0456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B087B48" w14:textId="77777777">
        <w:tc>
          <w:tcPr>
            <w:tcW w:w="3618" w:type="dxa"/>
          </w:tcPr>
          <w:p w14:paraId="3EBE97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связи</w:t>
            </w:r>
          </w:p>
        </w:tc>
        <w:tc>
          <w:tcPr>
            <w:tcW w:w="1192" w:type="dxa"/>
          </w:tcPr>
          <w:p w14:paraId="30BDFD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1192" w:type="dxa"/>
          </w:tcPr>
          <w:p w14:paraId="03C20D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1.П.31</w:t>
            </w:r>
          </w:p>
        </w:tc>
        <w:tc>
          <w:tcPr>
            <w:tcW w:w="1192" w:type="dxa"/>
          </w:tcPr>
          <w:p w14:paraId="467ED4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0AAA21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3BC90D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15546ED7" w14:textId="77777777">
        <w:tc>
          <w:tcPr>
            <w:tcW w:w="3618" w:type="dxa"/>
          </w:tcPr>
          <w:p w14:paraId="7F6E55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РВ-2М26 со сварн. фюзеляжем</w:t>
            </w:r>
          </w:p>
        </w:tc>
        <w:tc>
          <w:tcPr>
            <w:tcW w:w="1192" w:type="dxa"/>
          </w:tcPr>
          <w:p w14:paraId="46C06E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1192" w:type="dxa"/>
          </w:tcPr>
          <w:p w14:paraId="5F6825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1.УП.31</w:t>
            </w:r>
          </w:p>
        </w:tc>
        <w:tc>
          <w:tcPr>
            <w:tcW w:w="1192" w:type="dxa"/>
          </w:tcPr>
          <w:p w14:paraId="396867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7567CA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29D96D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5A24771E" w14:textId="77777777">
        <w:tc>
          <w:tcPr>
            <w:tcW w:w="3618" w:type="dxa"/>
          </w:tcPr>
          <w:p w14:paraId="632CEC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И9-М30/М31/М32</w:t>
            </w:r>
          </w:p>
        </w:tc>
        <w:tc>
          <w:tcPr>
            <w:tcW w:w="1192" w:type="dxa"/>
          </w:tcPr>
          <w:p w14:paraId="4D88EF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1.Ш.31</w:t>
            </w:r>
          </w:p>
        </w:tc>
        <w:tc>
          <w:tcPr>
            <w:tcW w:w="1192" w:type="dxa"/>
          </w:tcPr>
          <w:p w14:paraId="195021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1.УШ.31</w:t>
            </w:r>
          </w:p>
        </w:tc>
        <w:tc>
          <w:tcPr>
            <w:tcW w:w="1192" w:type="dxa"/>
          </w:tcPr>
          <w:p w14:paraId="321C5A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04BA75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029AE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8F7A5CD" w14:textId="77777777">
        <w:tc>
          <w:tcPr>
            <w:tcW w:w="3618" w:type="dxa"/>
          </w:tcPr>
          <w:p w14:paraId="43FAA905"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0232F4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1.УП.31</w:t>
            </w:r>
          </w:p>
        </w:tc>
        <w:tc>
          <w:tcPr>
            <w:tcW w:w="1192" w:type="dxa"/>
          </w:tcPr>
          <w:p w14:paraId="77ED75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1.1.33</w:t>
            </w:r>
          </w:p>
        </w:tc>
        <w:tc>
          <w:tcPr>
            <w:tcW w:w="1192" w:type="dxa"/>
          </w:tcPr>
          <w:p w14:paraId="6BBD2A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532321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5D49F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2D64A13" w14:textId="77777777">
        <w:tc>
          <w:tcPr>
            <w:tcW w:w="3618" w:type="dxa"/>
          </w:tcPr>
          <w:p w14:paraId="5FA07B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И9-М30/М31/М32 со сварным фюзеляжем</w:t>
            </w:r>
          </w:p>
        </w:tc>
        <w:tc>
          <w:tcPr>
            <w:tcW w:w="1192" w:type="dxa"/>
          </w:tcPr>
          <w:p w14:paraId="2A9E33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1192" w:type="dxa"/>
          </w:tcPr>
          <w:p w14:paraId="123C36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1.1Х.31</w:t>
            </w:r>
          </w:p>
        </w:tc>
        <w:tc>
          <w:tcPr>
            <w:tcW w:w="1192" w:type="dxa"/>
          </w:tcPr>
          <w:p w14:paraId="2B0BD5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001828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39D386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2DA8ED3" w14:textId="77777777">
        <w:tc>
          <w:tcPr>
            <w:tcW w:w="3618" w:type="dxa"/>
          </w:tcPr>
          <w:p w14:paraId="71E46310"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61B944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1.УП.32</w:t>
            </w:r>
          </w:p>
        </w:tc>
        <w:tc>
          <w:tcPr>
            <w:tcW w:w="1192" w:type="dxa"/>
          </w:tcPr>
          <w:p w14:paraId="1B8375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1.П.33</w:t>
            </w:r>
          </w:p>
        </w:tc>
        <w:tc>
          <w:tcPr>
            <w:tcW w:w="1192" w:type="dxa"/>
          </w:tcPr>
          <w:p w14:paraId="1D4155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6E6D66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760618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28FB063" w14:textId="77777777">
        <w:tc>
          <w:tcPr>
            <w:tcW w:w="3618" w:type="dxa"/>
          </w:tcPr>
          <w:p w14:paraId="75A627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И9-М37/М38</w:t>
            </w:r>
          </w:p>
        </w:tc>
        <w:tc>
          <w:tcPr>
            <w:tcW w:w="1192" w:type="dxa"/>
          </w:tcPr>
          <w:p w14:paraId="02359F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1.1Х.31</w:t>
            </w:r>
          </w:p>
        </w:tc>
        <w:tc>
          <w:tcPr>
            <w:tcW w:w="1192" w:type="dxa"/>
          </w:tcPr>
          <w:p w14:paraId="5E22A0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1.П.32</w:t>
            </w:r>
          </w:p>
        </w:tc>
        <w:tc>
          <w:tcPr>
            <w:tcW w:w="1192" w:type="dxa"/>
          </w:tcPr>
          <w:p w14:paraId="716476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361BB1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5F70B9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5361ED8D" w14:textId="77777777">
        <w:tc>
          <w:tcPr>
            <w:tcW w:w="3618" w:type="dxa"/>
          </w:tcPr>
          <w:p w14:paraId="5D6E8295"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739465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1.УП.32</w:t>
            </w:r>
          </w:p>
        </w:tc>
        <w:tc>
          <w:tcPr>
            <w:tcW w:w="1192" w:type="dxa"/>
          </w:tcPr>
          <w:p w14:paraId="1F17E1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1.ХП.32</w:t>
            </w:r>
          </w:p>
        </w:tc>
        <w:tc>
          <w:tcPr>
            <w:tcW w:w="1192" w:type="dxa"/>
          </w:tcPr>
          <w:p w14:paraId="722993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401F4A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B6C43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3015EDE" w14:textId="77777777">
        <w:tc>
          <w:tcPr>
            <w:tcW w:w="3618" w:type="dxa"/>
          </w:tcPr>
          <w:p w14:paraId="6EE32A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МИ2 - М37/М38</w:t>
            </w:r>
          </w:p>
        </w:tc>
        <w:tc>
          <w:tcPr>
            <w:tcW w:w="1192" w:type="dxa"/>
          </w:tcPr>
          <w:p w14:paraId="1BD295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1.Ш.32</w:t>
            </w:r>
          </w:p>
        </w:tc>
        <w:tc>
          <w:tcPr>
            <w:tcW w:w="1192" w:type="dxa"/>
          </w:tcPr>
          <w:p w14:paraId="78BCB9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1.У1.32</w:t>
            </w:r>
          </w:p>
        </w:tc>
        <w:tc>
          <w:tcPr>
            <w:tcW w:w="1192" w:type="dxa"/>
          </w:tcPr>
          <w:p w14:paraId="7B1D3B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2B8176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20A7DE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1AB115B8" w14:textId="77777777">
        <w:tc>
          <w:tcPr>
            <w:tcW w:w="3618" w:type="dxa"/>
          </w:tcPr>
          <w:p w14:paraId="46A16468"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3895C9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1.1.33</w:t>
            </w:r>
          </w:p>
        </w:tc>
        <w:tc>
          <w:tcPr>
            <w:tcW w:w="1192" w:type="dxa"/>
          </w:tcPr>
          <w:p w14:paraId="6572D1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1.УШ.33</w:t>
            </w:r>
          </w:p>
        </w:tc>
        <w:tc>
          <w:tcPr>
            <w:tcW w:w="1192" w:type="dxa"/>
          </w:tcPr>
          <w:p w14:paraId="00D9B0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3A51E6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73157E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7B04924" w14:textId="77777777">
        <w:tc>
          <w:tcPr>
            <w:tcW w:w="3618" w:type="dxa"/>
          </w:tcPr>
          <w:p w14:paraId="169AEC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 - М33/М34</w:t>
            </w:r>
          </w:p>
        </w:tc>
        <w:tc>
          <w:tcPr>
            <w:tcW w:w="1192" w:type="dxa"/>
          </w:tcPr>
          <w:p w14:paraId="5060FE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1192" w:type="dxa"/>
          </w:tcPr>
          <w:p w14:paraId="34042F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1192" w:type="dxa"/>
          </w:tcPr>
          <w:p w14:paraId="1F95DD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5352FE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31F10D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D7CB193" w14:textId="77777777">
        <w:tc>
          <w:tcPr>
            <w:tcW w:w="3618" w:type="dxa"/>
          </w:tcPr>
          <w:p w14:paraId="10F2B037"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495EE2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581316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1.Х1.32</w:t>
            </w:r>
          </w:p>
        </w:tc>
        <w:tc>
          <w:tcPr>
            <w:tcW w:w="1192" w:type="dxa"/>
          </w:tcPr>
          <w:p w14:paraId="6F4541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4EFC8C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49A72D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E3404B8" w14:textId="77777777">
        <w:tc>
          <w:tcPr>
            <w:tcW w:w="3618" w:type="dxa"/>
          </w:tcPr>
          <w:p w14:paraId="23B51D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 - М33/М34 со сварным фюзеляжем</w:t>
            </w:r>
          </w:p>
        </w:tc>
        <w:tc>
          <w:tcPr>
            <w:tcW w:w="1192" w:type="dxa"/>
          </w:tcPr>
          <w:p w14:paraId="76492E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1192" w:type="dxa"/>
          </w:tcPr>
          <w:p w14:paraId="708575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1.ХП.31</w:t>
            </w:r>
          </w:p>
        </w:tc>
        <w:tc>
          <w:tcPr>
            <w:tcW w:w="1192" w:type="dxa"/>
          </w:tcPr>
          <w:p w14:paraId="4AF546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3EA57A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6D659C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32C02EBC" w14:textId="77777777">
        <w:tc>
          <w:tcPr>
            <w:tcW w:w="3618" w:type="dxa"/>
          </w:tcPr>
          <w:p w14:paraId="5CA600E7"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677D73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52CCE6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1.1.33</w:t>
            </w:r>
          </w:p>
        </w:tc>
        <w:tc>
          <w:tcPr>
            <w:tcW w:w="1192" w:type="dxa"/>
          </w:tcPr>
          <w:p w14:paraId="19A578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7BFD37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3C44B4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5FB18231" w14:textId="77777777">
        <w:tc>
          <w:tcPr>
            <w:tcW w:w="3618" w:type="dxa"/>
          </w:tcPr>
          <w:p w14:paraId="11CDB1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 - М34</w:t>
            </w:r>
          </w:p>
        </w:tc>
        <w:tc>
          <w:tcPr>
            <w:tcW w:w="1192" w:type="dxa"/>
          </w:tcPr>
          <w:p w14:paraId="1B27CE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61249C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1.П.33</w:t>
            </w:r>
          </w:p>
        </w:tc>
        <w:tc>
          <w:tcPr>
            <w:tcW w:w="1192" w:type="dxa"/>
          </w:tcPr>
          <w:p w14:paraId="5496B4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34880B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624081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55687F77" w14:textId="77777777">
        <w:tc>
          <w:tcPr>
            <w:tcW w:w="3618" w:type="dxa"/>
          </w:tcPr>
          <w:p w14:paraId="37DC84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 - М34 со сварным фюзеляжем</w:t>
            </w:r>
          </w:p>
        </w:tc>
        <w:tc>
          <w:tcPr>
            <w:tcW w:w="1192" w:type="dxa"/>
          </w:tcPr>
          <w:p w14:paraId="21E5D8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09B0F3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1.1У.33</w:t>
            </w:r>
          </w:p>
        </w:tc>
        <w:tc>
          <w:tcPr>
            <w:tcW w:w="1192" w:type="dxa"/>
          </w:tcPr>
          <w:p w14:paraId="64815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517386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57F462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C40A562" w14:textId="77777777">
        <w:tc>
          <w:tcPr>
            <w:tcW w:w="3618" w:type="dxa"/>
          </w:tcPr>
          <w:p w14:paraId="24EEED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МР5-бис</w:t>
            </w:r>
          </w:p>
        </w:tc>
        <w:tc>
          <w:tcPr>
            <w:tcW w:w="1192" w:type="dxa"/>
          </w:tcPr>
          <w:p w14:paraId="7D283E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1.У.30</w:t>
            </w:r>
          </w:p>
        </w:tc>
        <w:tc>
          <w:tcPr>
            <w:tcW w:w="1192" w:type="dxa"/>
          </w:tcPr>
          <w:p w14:paraId="0BE83C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15.УП.30</w:t>
            </w:r>
          </w:p>
        </w:tc>
        <w:tc>
          <w:tcPr>
            <w:tcW w:w="1192" w:type="dxa"/>
          </w:tcPr>
          <w:p w14:paraId="6763A1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742B2B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37289D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16247A49" w14:textId="77777777">
        <w:tc>
          <w:tcPr>
            <w:tcW w:w="3618" w:type="dxa"/>
          </w:tcPr>
          <w:p w14:paraId="471571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РОМ2 бис</w:t>
            </w:r>
          </w:p>
        </w:tc>
        <w:tc>
          <w:tcPr>
            <w:tcW w:w="1192" w:type="dxa"/>
          </w:tcPr>
          <w:p w14:paraId="1CA582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1.УШ.30</w:t>
            </w:r>
          </w:p>
        </w:tc>
        <w:tc>
          <w:tcPr>
            <w:tcW w:w="1192" w:type="dxa"/>
          </w:tcPr>
          <w:p w14:paraId="14913C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15.1Х.30</w:t>
            </w:r>
          </w:p>
        </w:tc>
        <w:tc>
          <w:tcPr>
            <w:tcW w:w="1192" w:type="dxa"/>
          </w:tcPr>
          <w:p w14:paraId="22B95E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3C7941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12D526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3A1D72B" w14:textId="77777777">
        <w:tc>
          <w:tcPr>
            <w:tcW w:w="3618" w:type="dxa"/>
          </w:tcPr>
          <w:p w14:paraId="107402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ТОМ2</w:t>
            </w:r>
          </w:p>
        </w:tc>
        <w:tc>
          <w:tcPr>
            <w:tcW w:w="1192" w:type="dxa"/>
          </w:tcPr>
          <w:p w14:paraId="4D82B4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1.УШ.30</w:t>
            </w:r>
          </w:p>
        </w:tc>
        <w:tc>
          <w:tcPr>
            <w:tcW w:w="1192" w:type="dxa"/>
          </w:tcPr>
          <w:p w14:paraId="2A4DF7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15.1Х.30</w:t>
            </w:r>
          </w:p>
        </w:tc>
        <w:tc>
          <w:tcPr>
            <w:tcW w:w="1192" w:type="dxa"/>
          </w:tcPr>
          <w:p w14:paraId="0C1802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102206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04664C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5DF151C6" w14:textId="77777777">
        <w:tc>
          <w:tcPr>
            <w:tcW w:w="3618" w:type="dxa"/>
          </w:tcPr>
          <w:p w14:paraId="52C879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МРД-2М33/М34</w:t>
            </w:r>
          </w:p>
        </w:tc>
        <w:tc>
          <w:tcPr>
            <w:tcW w:w="1192" w:type="dxa"/>
          </w:tcPr>
          <w:p w14:paraId="6FF80D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1192" w:type="dxa"/>
          </w:tcPr>
          <w:p w14:paraId="1A193F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1.1Х.31</w:t>
            </w:r>
          </w:p>
        </w:tc>
        <w:tc>
          <w:tcPr>
            <w:tcW w:w="1192" w:type="dxa"/>
          </w:tcPr>
          <w:p w14:paraId="559A90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25A353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5CB29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F27CC40" w14:textId="77777777">
        <w:tc>
          <w:tcPr>
            <w:tcW w:w="3618" w:type="dxa"/>
          </w:tcPr>
          <w:p w14:paraId="0DDAF22C"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238942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63C04B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1.УП.32</w:t>
            </w:r>
          </w:p>
        </w:tc>
        <w:tc>
          <w:tcPr>
            <w:tcW w:w="1192" w:type="dxa"/>
          </w:tcPr>
          <w:p w14:paraId="631A5FD3"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05DB0995" w14:textId="77777777" w:rsidR="00537E5F" w:rsidRPr="00507A31" w:rsidRDefault="00537E5F" w:rsidP="00507A31">
            <w:pPr>
              <w:autoSpaceDE w:val="0"/>
              <w:autoSpaceDN w:val="0"/>
              <w:adjustRightInd w:val="0"/>
              <w:jc w:val="both"/>
              <w:rPr>
                <w:color w:val="000000" w:themeColor="text1"/>
                <w:sz w:val="16"/>
                <w:szCs w:val="16"/>
              </w:rPr>
            </w:pPr>
          </w:p>
        </w:tc>
        <w:tc>
          <w:tcPr>
            <w:tcW w:w="1082" w:type="dxa"/>
          </w:tcPr>
          <w:p w14:paraId="3F0B4A22"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5FB21AA6" w14:textId="77777777">
        <w:tc>
          <w:tcPr>
            <w:tcW w:w="3618" w:type="dxa"/>
          </w:tcPr>
          <w:p w14:paraId="24D37B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МРБ-М33/М34</w:t>
            </w:r>
          </w:p>
        </w:tc>
        <w:tc>
          <w:tcPr>
            <w:tcW w:w="1192" w:type="dxa"/>
          </w:tcPr>
          <w:p w14:paraId="60297B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1192" w:type="dxa"/>
          </w:tcPr>
          <w:p w14:paraId="328473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15.УП.31</w:t>
            </w:r>
          </w:p>
        </w:tc>
        <w:tc>
          <w:tcPr>
            <w:tcW w:w="1192" w:type="dxa"/>
          </w:tcPr>
          <w:p w14:paraId="1E3F14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7505AE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75FC00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D6B826D" w14:textId="77777777">
        <w:tc>
          <w:tcPr>
            <w:tcW w:w="3618" w:type="dxa"/>
          </w:tcPr>
          <w:p w14:paraId="4EB5489E"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1BAFA7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3CCBB5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1.УП.32</w:t>
            </w:r>
          </w:p>
        </w:tc>
        <w:tc>
          <w:tcPr>
            <w:tcW w:w="1192" w:type="dxa"/>
          </w:tcPr>
          <w:p w14:paraId="6DFA0D5F"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2CDFEC20" w14:textId="77777777" w:rsidR="00537E5F" w:rsidRPr="00507A31" w:rsidRDefault="00537E5F" w:rsidP="00507A31">
            <w:pPr>
              <w:autoSpaceDE w:val="0"/>
              <w:autoSpaceDN w:val="0"/>
              <w:adjustRightInd w:val="0"/>
              <w:jc w:val="both"/>
              <w:rPr>
                <w:color w:val="000000" w:themeColor="text1"/>
                <w:sz w:val="16"/>
                <w:szCs w:val="16"/>
              </w:rPr>
            </w:pPr>
          </w:p>
        </w:tc>
        <w:tc>
          <w:tcPr>
            <w:tcW w:w="1082" w:type="dxa"/>
          </w:tcPr>
          <w:p w14:paraId="25724FC8"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52F19FFA" w14:textId="77777777">
        <w:tc>
          <w:tcPr>
            <w:tcW w:w="3618" w:type="dxa"/>
          </w:tcPr>
          <w:p w14:paraId="107750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w:t>
            </w:r>
          </w:p>
        </w:tc>
        <w:tc>
          <w:tcPr>
            <w:tcW w:w="1192" w:type="dxa"/>
          </w:tcPr>
          <w:p w14:paraId="4C492B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1.П.31</w:t>
            </w:r>
          </w:p>
        </w:tc>
        <w:tc>
          <w:tcPr>
            <w:tcW w:w="1192" w:type="dxa"/>
          </w:tcPr>
          <w:p w14:paraId="2E0636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15.Ш.31</w:t>
            </w:r>
          </w:p>
        </w:tc>
        <w:tc>
          <w:tcPr>
            <w:tcW w:w="1192" w:type="dxa"/>
          </w:tcPr>
          <w:p w14:paraId="3F6FE641"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42E1186A" w14:textId="77777777" w:rsidR="00537E5F" w:rsidRPr="00507A31" w:rsidRDefault="00537E5F" w:rsidP="00507A31">
            <w:pPr>
              <w:autoSpaceDE w:val="0"/>
              <w:autoSpaceDN w:val="0"/>
              <w:adjustRightInd w:val="0"/>
              <w:jc w:val="both"/>
              <w:rPr>
                <w:color w:val="000000" w:themeColor="text1"/>
                <w:sz w:val="16"/>
                <w:szCs w:val="16"/>
              </w:rPr>
            </w:pPr>
          </w:p>
        </w:tc>
        <w:tc>
          <w:tcPr>
            <w:tcW w:w="1082" w:type="dxa"/>
          </w:tcPr>
          <w:p w14:paraId="50727B51"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BE18399" w14:textId="77777777">
        <w:tc>
          <w:tcPr>
            <w:tcW w:w="3618" w:type="dxa"/>
            <w:tcBorders>
              <w:bottom w:val="single" w:sz="12" w:space="0" w:color="auto"/>
            </w:tcBorders>
          </w:tcPr>
          <w:p w14:paraId="1A9313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w:t>
            </w:r>
          </w:p>
        </w:tc>
        <w:tc>
          <w:tcPr>
            <w:tcW w:w="1192" w:type="dxa"/>
            <w:tcBorders>
              <w:bottom w:val="single" w:sz="12" w:space="0" w:color="auto"/>
            </w:tcBorders>
          </w:tcPr>
          <w:p w14:paraId="17632C33"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Borders>
              <w:bottom w:val="single" w:sz="12" w:space="0" w:color="auto"/>
            </w:tcBorders>
          </w:tcPr>
          <w:p w14:paraId="52A357AC"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Borders>
              <w:bottom w:val="single" w:sz="12" w:space="0" w:color="auto"/>
            </w:tcBorders>
          </w:tcPr>
          <w:p w14:paraId="5F6755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w:t>
            </w:r>
          </w:p>
        </w:tc>
        <w:tc>
          <w:tcPr>
            <w:tcW w:w="1192" w:type="dxa"/>
            <w:tcBorders>
              <w:bottom w:val="single" w:sz="12" w:space="0" w:color="auto"/>
            </w:tcBorders>
          </w:tcPr>
          <w:p w14:paraId="1A4F83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w:t>
            </w:r>
          </w:p>
        </w:tc>
        <w:tc>
          <w:tcPr>
            <w:tcW w:w="1082" w:type="dxa"/>
            <w:tcBorders>
              <w:bottom w:val="single" w:sz="12" w:space="0" w:color="auto"/>
            </w:tcBorders>
          </w:tcPr>
          <w:p w14:paraId="776D01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r>
    </w:tbl>
    <w:p w14:paraId="058244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(351).</w:t>
      </w:r>
    </w:p>
    <w:p w14:paraId="7184D3E9" w14:textId="77777777" w:rsidR="00537E5F" w:rsidRPr="00507A31" w:rsidRDefault="00537E5F" w:rsidP="00507A31">
      <w:pPr>
        <w:autoSpaceDE w:val="0"/>
        <w:autoSpaceDN w:val="0"/>
        <w:adjustRightInd w:val="0"/>
        <w:jc w:val="both"/>
        <w:rPr>
          <w:color w:val="000000" w:themeColor="text1"/>
          <w:sz w:val="16"/>
          <w:szCs w:val="16"/>
        </w:rPr>
      </w:pPr>
    </w:p>
    <w:p w14:paraId="0FC279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29/30 января 1930 состоялось заседание правления Авиатреста (Протокол 40) и обсуждали вопросы: п. 168. "О проработке решений РЗ СТО от 14 января 1930. Говорили о необходимости сокращения сроков конструирования новых опытных образцов и их внедрения в серийное производство для доклада в соответствии с решением РЗ СТО от 14 января 1930. Решили поручить ТО и ПО совместно с заводами проработать общий план проведения опытных работ, гарантирующий вышеупомянутое. ТО д.б. уточнить задания с УВВС и при разработке плана сразу устанавливать серийные заводы и учитывать мнение, в т.ч. по технологии при постройке опытных образцов (2367).</w:t>
      </w:r>
    </w:p>
    <w:p w14:paraId="32C46D39" w14:textId="77777777" w:rsidR="00537E5F" w:rsidRPr="00507A31" w:rsidRDefault="00537E5F" w:rsidP="00507A31">
      <w:pPr>
        <w:autoSpaceDE w:val="0"/>
        <w:autoSpaceDN w:val="0"/>
        <w:adjustRightInd w:val="0"/>
        <w:jc w:val="both"/>
        <w:rPr>
          <w:color w:val="000000" w:themeColor="text1"/>
          <w:sz w:val="16"/>
          <w:szCs w:val="16"/>
        </w:rPr>
      </w:pPr>
    </w:p>
    <w:p w14:paraId="349EF4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января 1930 1929 РВС рассматривал пятилетний плана военного строительства РККА (1136,265).</w:t>
      </w:r>
    </w:p>
    <w:p w14:paraId="51102570" w14:textId="77777777" w:rsidR="00537E5F" w:rsidRPr="00507A31" w:rsidRDefault="00537E5F" w:rsidP="00507A31">
      <w:pPr>
        <w:autoSpaceDE w:val="0"/>
        <w:autoSpaceDN w:val="0"/>
        <w:adjustRightInd w:val="0"/>
        <w:jc w:val="both"/>
        <w:rPr>
          <w:color w:val="000000" w:themeColor="text1"/>
          <w:sz w:val="16"/>
          <w:szCs w:val="16"/>
        </w:rPr>
      </w:pPr>
    </w:p>
    <w:p w14:paraId="73791B3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8170666" w14:textId="77777777" w:rsidR="00537E5F" w:rsidRPr="00507A31" w:rsidRDefault="00537E5F" w:rsidP="00507A31">
      <w:pPr>
        <w:autoSpaceDE w:val="0"/>
        <w:autoSpaceDN w:val="0"/>
        <w:adjustRightInd w:val="0"/>
        <w:jc w:val="both"/>
        <w:rPr>
          <w:iCs/>
          <w:color w:val="000000" w:themeColor="text1"/>
          <w:sz w:val="16"/>
          <w:szCs w:val="16"/>
        </w:rPr>
      </w:pPr>
    </w:p>
    <w:p w14:paraId="765D27AE" w14:textId="77777777" w:rsidR="00D51101" w:rsidRPr="00507A31" w:rsidRDefault="00D51101" w:rsidP="00507A31">
      <w:pPr>
        <w:jc w:val="both"/>
        <w:rPr>
          <w:color w:val="000000" w:themeColor="text1"/>
          <w:sz w:val="16"/>
          <w:szCs w:val="16"/>
        </w:rPr>
      </w:pPr>
      <w:r w:rsidRPr="00507A31">
        <w:rPr>
          <w:color w:val="000000" w:themeColor="text1"/>
          <w:sz w:val="16"/>
          <w:szCs w:val="16"/>
        </w:rPr>
        <w:t>30 января 1930 г. УВВС предложило Авиатресту заключить договор на первую серию из пяти Р-6. Далее последовала длительная ут-ряска требований к ним (12264).</w:t>
      </w:r>
    </w:p>
    <w:p w14:paraId="6EC839FD" w14:textId="77777777" w:rsidR="00D51101" w:rsidRPr="00507A31" w:rsidRDefault="00D51101" w:rsidP="00507A31">
      <w:pPr>
        <w:jc w:val="both"/>
        <w:rPr>
          <w:color w:val="000000" w:themeColor="text1"/>
          <w:sz w:val="16"/>
          <w:szCs w:val="16"/>
        </w:rPr>
      </w:pPr>
    </w:p>
    <w:p w14:paraId="1265A1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января 1930 начались испытания Р-7 (АНТ-10) с бензобаком, повторяющим форму крыла. Летал М.М.Громов (109,235). Закончились в марте 1930 - возвращен для устранения недостатков. Закончили вновь - осенью (80,187). Не стали из-за Р-5 (92,346) (71.135).</w:t>
      </w:r>
    </w:p>
    <w:p w14:paraId="5FFD68A0" w14:textId="77777777" w:rsidR="00537E5F" w:rsidRPr="00507A31" w:rsidRDefault="00537E5F" w:rsidP="00507A31">
      <w:pPr>
        <w:autoSpaceDE w:val="0"/>
        <w:autoSpaceDN w:val="0"/>
        <w:adjustRightInd w:val="0"/>
        <w:jc w:val="both"/>
        <w:rPr>
          <w:color w:val="000000" w:themeColor="text1"/>
          <w:sz w:val="16"/>
          <w:szCs w:val="16"/>
        </w:rPr>
      </w:pPr>
    </w:p>
    <w:p w14:paraId="17A3A7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закончились заводские испытания АНТ-10 (Р-7) (346,46).</w:t>
      </w:r>
    </w:p>
    <w:p w14:paraId="7C60B05A" w14:textId="77777777" w:rsidR="00537E5F" w:rsidRPr="00507A31" w:rsidRDefault="00537E5F" w:rsidP="00507A31">
      <w:pPr>
        <w:autoSpaceDE w:val="0"/>
        <w:autoSpaceDN w:val="0"/>
        <w:adjustRightInd w:val="0"/>
        <w:jc w:val="both"/>
        <w:rPr>
          <w:color w:val="000000" w:themeColor="text1"/>
          <w:sz w:val="16"/>
          <w:szCs w:val="16"/>
        </w:rPr>
      </w:pPr>
    </w:p>
    <w:p w14:paraId="245A79DD" w14:textId="77777777" w:rsidR="00C63995" w:rsidRPr="00507A31" w:rsidRDefault="00C63995" w:rsidP="00507A31">
      <w:pPr>
        <w:jc w:val="both"/>
        <w:rPr>
          <w:color w:val="000000" w:themeColor="text1"/>
          <w:sz w:val="16"/>
          <w:szCs w:val="16"/>
        </w:rPr>
      </w:pPr>
      <w:r w:rsidRPr="00507A31">
        <w:rPr>
          <w:bCs/>
          <w:color w:val="000000" w:themeColor="text1"/>
          <w:sz w:val="16"/>
          <w:szCs w:val="16"/>
        </w:rPr>
        <w:lastRenderedPageBreak/>
        <w:t>30 января</w:t>
      </w:r>
      <w:r w:rsidRPr="00507A31">
        <w:rPr>
          <w:color w:val="000000" w:themeColor="text1"/>
          <w:sz w:val="16"/>
          <w:szCs w:val="16"/>
        </w:rPr>
        <w:t xml:space="preserve"> в 1930 году совершил первый испытательный полет цельнометаллический одномоторный двухместный разведчик и легкий бомбардировщик </w:t>
      </w:r>
      <w:hyperlink r:id="rId19" w:tgtFrame="_blank" w:history="1">
        <w:r w:rsidRPr="00507A31">
          <w:rPr>
            <w:color w:val="000000" w:themeColor="text1"/>
            <w:sz w:val="16"/>
            <w:szCs w:val="16"/>
          </w:rPr>
          <w:t xml:space="preserve">«Р-7» («АНТ-10») </w:t>
        </w:r>
      </w:hyperlink>
      <w:r w:rsidRPr="00507A31">
        <w:rPr>
          <w:color w:val="000000" w:themeColor="text1"/>
          <w:sz w:val="16"/>
          <w:szCs w:val="16"/>
        </w:rPr>
        <w:t>с бензобаком, повторяющим форму крыла, пилот М.М.Громов. Полеты показали, что «Р-7» сложен в управлении, и государственные испытания он не прошел. Законченные к осени 1930 г. доработки позволили значительно улучшить управление самолетом, но время было потеряно: серийные заводы уже начали выпуск самолетов «Р-5» (15025).</w:t>
      </w:r>
    </w:p>
    <w:p w14:paraId="3E01CEDB" w14:textId="77777777" w:rsidR="00C63995" w:rsidRPr="00507A31" w:rsidRDefault="00C63995" w:rsidP="00507A31">
      <w:pPr>
        <w:jc w:val="both"/>
        <w:rPr>
          <w:color w:val="000000" w:themeColor="text1"/>
          <w:sz w:val="16"/>
          <w:szCs w:val="16"/>
        </w:rPr>
      </w:pPr>
    </w:p>
    <w:p w14:paraId="66696A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января 1930 утвердили требования к И-8 (АНТ-13) (92,412).</w:t>
      </w:r>
    </w:p>
    <w:p w14:paraId="75293F2B" w14:textId="77777777" w:rsidR="00537E5F" w:rsidRPr="00507A31" w:rsidRDefault="00537E5F" w:rsidP="00507A31">
      <w:pPr>
        <w:autoSpaceDE w:val="0"/>
        <w:autoSpaceDN w:val="0"/>
        <w:adjustRightInd w:val="0"/>
        <w:jc w:val="both"/>
        <w:rPr>
          <w:color w:val="000000" w:themeColor="text1"/>
          <w:sz w:val="16"/>
          <w:szCs w:val="16"/>
        </w:rPr>
      </w:pPr>
    </w:p>
    <w:p w14:paraId="4A694B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января 1930 г. был утвержден пол</w:t>
      </w:r>
      <w:r w:rsidRPr="00507A31">
        <w:rPr>
          <w:color w:val="000000" w:themeColor="text1"/>
          <w:sz w:val="16"/>
          <w:szCs w:val="16"/>
        </w:rPr>
        <w:softHyphen/>
        <w:t>норазмерный макет самолета И-8 (АНТ-13) (10729).</w:t>
      </w:r>
    </w:p>
    <w:p w14:paraId="447AE4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9A6656E" w14:textId="77777777" w:rsidR="00D51101" w:rsidRPr="00507A31" w:rsidRDefault="00D51101" w:rsidP="00507A31">
      <w:pPr>
        <w:jc w:val="both"/>
        <w:rPr>
          <w:color w:val="000000" w:themeColor="text1"/>
          <w:sz w:val="16"/>
          <w:szCs w:val="16"/>
        </w:rPr>
      </w:pPr>
      <w:r w:rsidRPr="00507A31">
        <w:rPr>
          <w:color w:val="000000" w:themeColor="text1"/>
          <w:sz w:val="16"/>
          <w:szCs w:val="16"/>
        </w:rPr>
        <w:t>30 января 1930 г. был утвержден макет И-8. Конструкция самолета метал</w:t>
      </w:r>
      <w:r w:rsidRPr="00507A31">
        <w:rPr>
          <w:color w:val="000000" w:themeColor="text1"/>
          <w:sz w:val="16"/>
          <w:szCs w:val="16"/>
        </w:rPr>
        <w:softHyphen/>
        <w:t>лическая, причем с элементами новизны - полки лонжеронов выполнили из нержаве</w:t>
      </w:r>
      <w:r w:rsidRPr="00507A31">
        <w:rPr>
          <w:color w:val="000000" w:themeColor="text1"/>
          <w:sz w:val="16"/>
          <w:szCs w:val="16"/>
        </w:rPr>
        <w:softHyphen/>
        <w:t>ющей стали 2А (введение нержавеющей ста</w:t>
      </w:r>
      <w:r w:rsidRPr="00507A31">
        <w:rPr>
          <w:color w:val="000000" w:themeColor="text1"/>
          <w:sz w:val="16"/>
          <w:szCs w:val="16"/>
        </w:rPr>
        <w:softHyphen/>
        <w:t>ли в практику советского самолетостроения набирало обороты). В сечении крыльев был использован профиль СА М-12, обшивка несущих поверхностей — полотняная. Хво</w:t>
      </w:r>
      <w:r w:rsidRPr="00507A31">
        <w:rPr>
          <w:color w:val="000000" w:themeColor="text1"/>
          <w:sz w:val="16"/>
          <w:szCs w:val="16"/>
        </w:rPr>
        <w:softHyphen/>
        <w:t>стовое оперение обшито дюралевым гофром. Фюзеляж — сварная ферма из хромомолиб- деновых труб. Шасси неубираемое, распро</w:t>
      </w:r>
      <w:r w:rsidRPr="00507A31">
        <w:rPr>
          <w:color w:val="000000" w:themeColor="text1"/>
          <w:sz w:val="16"/>
          <w:szCs w:val="16"/>
        </w:rPr>
        <w:softHyphen/>
        <w:t>страненной пирамидальной схемы с резино</w:t>
      </w:r>
      <w:r w:rsidRPr="00507A31">
        <w:rPr>
          <w:color w:val="000000" w:themeColor="text1"/>
          <w:sz w:val="16"/>
          <w:szCs w:val="16"/>
        </w:rPr>
        <w:softHyphen/>
        <w:t>вой пластинчатой амортизацией. Вооруже</w:t>
      </w:r>
      <w:r w:rsidRPr="00507A31">
        <w:rPr>
          <w:color w:val="000000" w:themeColor="text1"/>
          <w:sz w:val="16"/>
          <w:szCs w:val="16"/>
        </w:rPr>
        <w:softHyphen/>
        <w:t>ние - два синхронных пулемета П В-1.</w:t>
      </w:r>
    </w:p>
    <w:p w14:paraId="3F8DF1F8" w14:textId="77777777" w:rsidR="00D51101" w:rsidRPr="00507A31" w:rsidRDefault="00D51101" w:rsidP="00507A31">
      <w:pPr>
        <w:jc w:val="both"/>
        <w:rPr>
          <w:color w:val="000000" w:themeColor="text1"/>
          <w:sz w:val="16"/>
          <w:szCs w:val="16"/>
        </w:rPr>
      </w:pPr>
      <w:r w:rsidRPr="00507A31">
        <w:rPr>
          <w:color w:val="000000" w:themeColor="text1"/>
          <w:sz w:val="16"/>
          <w:szCs w:val="16"/>
        </w:rPr>
        <w:t>До марта 1930 г. в ЦАГИ не могли полу</w:t>
      </w:r>
      <w:r w:rsidRPr="00507A31">
        <w:rPr>
          <w:color w:val="000000" w:themeColor="text1"/>
          <w:sz w:val="16"/>
          <w:szCs w:val="16"/>
        </w:rPr>
        <w:softHyphen/>
        <w:t>чить американский Кертисс «Конкверор» (Сощшегог), причем заказывали высотный его вариант, оснащенный турбокомпрессо</w:t>
      </w:r>
      <w:r w:rsidRPr="00507A31">
        <w:rPr>
          <w:color w:val="000000" w:themeColor="text1"/>
          <w:sz w:val="16"/>
          <w:szCs w:val="16"/>
        </w:rPr>
        <w:softHyphen/>
        <w:t>ром (в документах его называли импелле</w:t>
      </w:r>
      <w:r w:rsidRPr="00507A31">
        <w:rPr>
          <w:color w:val="000000" w:themeColor="text1"/>
          <w:sz w:val="16"/>
          <w:szCs w:val="16"/>
        </w:rPr>
        <w:softHyphen/>
        <w:t>ром). Нужно отметить, что для задуманного самолета указанный двигатель подходил на</w:t>
      </w:r>
      <w:r w:rsidRPr="00507A31">
        <w:rPr>
          <w:color w:val="000000" w:themeColor="text1"/>
          <w:sz w:val="16"/>
          <w:szCs w:val="16"/>
        </w:rPr>
        <w:softHyphen/>
        <w:t>иболее оптимально. Ибо по сравнению с дру</w:t>
      </w:r>
      <w:r w:rsidRPr="00507A31">
        <w:rPr>
          <w:color w:val="000000" w:themeColor="text1"/>
          <w:sz w:val="16"/>
          <w:szCs w:val="16"/>
        </w:rPr>
        <w:softHyphen/>
        <w:t>гими однотипными двигателями «Соп§иегог» V-1570 в базовой комплектации весил все</w:t>
      </w:r>
      <w:r w:rsidRPr="00507A31">
        <w:rPr>
          <w:color w:val="000000" w:themeColor="text1"/>
          <w:sz w:val="16"/>
          <w:szCs w:val="16"/>
        </w:rPr>
        <w:softHyphen/>
        <w:t>го 345 кг. Габариты также были не самыми большими: длина — 1600 мм, ширина - 670 мм, высота — 930 мм. Для сравнения: немец</w:t>
      </w:r>
      <w:r w:rsidRPr="00507A31">
        <w:rPr>
          <w:color w:val="000000" w:themeColor="text1"/>
          <w:sz w:val="16"/>
          <w:szCs w:val="16"/>
        </w:rPr>
        <w:softHyphen/>
        <w:t>кий ВМ\У-У1 имел длину 1970 мм, ширину — 844 мм, высоту - 1057 мм. Сухой вес ВМ\У- VI составлял 510-545 кг.</w:t>
      </w:r>
    </w:p>
    <w:p w14:paraId="43889C19" w14:textId="77777777" w:rsidR="00D51101" w:rsidRPr="00507A31" w:rsidRDefault="00D51101" w:rsidP="00507A31">
      <w:pPr>
        <w:jc w:val="both"/>
        <w:rPr>
          <w:color w:val="000000" w:themeColor="text1"/>
          <w:sz w:val="16"/>
          <w:szCs w:val="16"/>
        </w:rPr>
      </w:pPr>
      <w:r w:rsidRPr="00507A31">
        <w:rPr>
          <w:color w:val="000000" w:themeColor="text1"/>
          <w:sz w:val="16"/>
          <w:szCs w:val="16"/>
        </w:rPr>
        <w:t>Весной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507A31">
        <w:rPr>
          <w:color w:val="000000" w:themeColor="text1"/>
          <w:sz w:val="16"/>
          <w:szCs w:val="16"/>
        </w:rPr>
        <w:softHyphen/>
        <w:t>тому окончательный вариант эскизного про</w:t>
      </w:r>
      <w:r w:rsidRPr="00507A31">
        <w:rPr>
          <w:color w:val="000000" w:themeColor="text1"/>
          <w:sz w:val="16"/>
          <w:szCs w:val="16"/>
        </w:rPr>
        <w:softHyphen/>
        <w:t>екта И-8 готовился под невысотный вариант «Конкверора» (12295).</w:t>
      </w:r>
    </w:p>
    <w:p w14:paraId="6AD93F39" w14:textId="77777777" w:rsidR="00D51101" w:rsidRPr="00507A31" w:rsidRDefault="00D51101" w:rsidP="00507A31">
      <w:pPr>
        <w:jc w:val="both"/>
        <w:rPr>
          <w:color w:val="000000" w:themeColor="text1"/>
          <w:sz w:val="16"/>
          <w:szCs w:val="16"/>
        </w:rPr>
      </w:pPr>
    </w:p>
    <w:p w14:paraId="2B5B6D3D" w14:textId="77777777" w:rsidR="00347E37" w:rsidRPr="00507A31" w:rsidRDefault="00347E37" w:rsidP="00507A31">
      <w:pPr>
        <w:pStyle w:val="rtejustify"/>
        <w:shd w:val="clear" w:color="auto" w:fill="FFFFFF"/>
        <w:spacing w:before="0" w:after="0"/>
        <w:rPr>
          <w:color w:val="000000" w:themeColor="text1"/>
          <w:sz w:val="16"/>
          <w:szCs w:val="16"/>
        </w:rPr>
      </w:pPr>
      <w:r w:rsidRPr="00507A31">
        <w:rPr>
          <w:color w:val="000000" w:themeColor="text1"/>
          <w:sz w:val="16"/>
          <w:szCs w:val="16"/>
        </w:rPr>
        <w:t>30 января 1930 года состоялось заседание макетной комиссии по самолету И-8. Комиссии был предъявлен деревянный отсек передней части фюзеляжа с центропланом и частью левой нижней консоли. Несмотря на ряд ранее данных указаний о необходимости устанавливать на макетах натуральные образцы вооружения и приборов, макет И-8 предъявили оборудованный картонными шкалами приборов и деревянными макетами пулеметов, кислородного баллона, огнетушителя и патронного ящика. Прицелы – настоящие. Отметив эти отступления, комиссия предложила внести ряд изменений в компоновку самолета и представить диаграммы обзора и обстрела. Вторичный осмотр макета комиссией был назначен на начало марта (19171).</w:t>
      </w:r>
    </w:p>
    <w:p w14:paraId="6D7A76A1" w14:textId="77777777" w:rsidR="00347E37" w:rsidRPr="00507A31" w:rsidRDefault="00347E37" w:rsidP="00507A31">
      <w:pPr>
        <w:pStyle w:val="ae"/>
        <w:shd w:val="clear" w:color="auto" w:fill="FFFFFF"/>
        <w:spacing w:before="0" w:after="0"/>
        <w:jc w:val="both"/>
        <w:textAlignment w:val="baseline"/>
        <w:rPr>
          <w:color w:val="000000" w:themeColor="text1"/>
          <w:sz w:val="16"/>
          <w:szCs w:val="16"/>
        </w:rPr>
      </w:pPr>
    </w:p>
    <w:p w14:paraId="0E25E48B" w14:textId="77777777" w:rsidR="00D51101" w:rsidRPr="00507A31" w:rsidRDefault="00D51101" w:rsidP="00507A31">
      <w:pPr>
        <w:jc w:val="both"/>
        <w:rPr>
          <w:color w:val="000000" w:themeColor="text1"/>
          <w:sz w:val="16"/>
          <w:szCs w:val="16"/>
        </w:rPr>
      </w:pPr>
      <w:r w:rsidRPr="00507A31">
        <w:rPr>
          <w:color w:val="000000" w:themeColor="text1"/>
          <w:sz w:val="16"/>
          <w:szCs w:val="16"/>
        </w:rPr>
        <w:t>В период с 30 января по 13 февраля 1930 г. прошли приемо-сдаточные испытания двух экземпляров немецких двухместных истребителей К-47. От фирмы-изготовителя присутствовал меха</w:t>
      </w:r>
      <w:r w:rsidRPr="00507A31">
        <w:rPr>
          <w:color w:val="000000" w:themeColor="text1"/>
          <w:sz w:val="16"/>
          <w:szCs w:val="16"/>
        </w:rPr>
        <w:softHyphen/>
        <w:t>ник, называемый русскими Техин (немецкая подпись наразборчива — похоже на ТесИеп). Техническое руководство с советской сторо</w:t>
      </w:r>
      <w:r w:rsidRPr="00507A31">
        <w:rPr>
          <w:color w:val="000000" w:themeColor="text1"/>
          <w:sz w:val="16"/>
          <w:szCs w:val="16"/>
        </w:rPr>
        <w:softHyphen/>
        <w:t>ны осуществлял старший инженер 2-го отде</w:t>
      </w:r>
      <w:r w:rsidRPr="00507A31">
        <w:rPr>
          <w:color w:val="000000" w:themeColor="text1"/>
          <w:sz w:val="16"/>
          <w:szCs w:val="16"/>
        </w:rPr>
        <w:softHyphen/>
        <w:t>ла НИИ ВВС Квитко. Летал начальник это</w:t>
      </w:r>
      <w:r w:rsidRPr="00507A31">
        <w:rPr>
          <w:color w:val="000000" w:themeColor="text1"/>
          <w:sz w:val="16"/>
          <w:szCs w:val="16"/>
        </w:rPr>
        <w:softHyphen/>
        <w:t>го 2-го отдела, старший летчик Волковойнов.</w:t>
      </w:r>
    </w:p>
    <w:p w14:paraId="5EBD6B41" w14:textId="77777777" w:rsidR="00D51101" w:rsidRPr="00507A31" w:rsidRDefault="00D51101" w:rsidP="00507A31">
      <w:pPr>
        <w:jc w:val="both"/>
        <w:rPr>
          <w:color w:val="000000" w:themeColor="text1"/>
          <w:sz w:val="16"/>
          <w:szCs w:val="16"/>
        </w:rPr>
      </w:pPr>
      <w:r w:rsidRPr="00507A31">
        <w:rPr>
          <w:color w:val="000000" w:themeColor="text1"/>
          <w:sz w:val="16"/>
          <w:szCs w:val="16"/>
        </w:rPr>
        <w:t>Сложность испытательных полетов заклю</w:t>
      </w:r>
      <w:r w:rsidRPr="00507A31">
        <w:rPr>
          <w:color w:val="000000" w:themeColor="text1"/>
          <w:sz w:val="16"/>
          <w:szCs w:val="16"/>
        </w:rPr>
        <w:softHyphen/>
        <w:t>чалась в сильных морозах и неполадках дви</w:t>
      </w:r>
      <w:r w:rsidRPr="00507A31">
        <w:rPr>
          <w:color w:val="000000" w:themeColor="text1"/>
          <w:sz w:val="16"/>
          <w:szCs w:val="16"/>
        </w:rPr>
        <w:softHyphen/>
        <w:t>гателей Юпитер VII тип 9А. Вооружение по</w:t>
      </w:r>
      <w:r w:rsidRPr="00507A31">
        <w:rPr>
          <w:color w:val="000000" w:themeColor="text1"/>
          <w:sz w:val="16"/>
          <w:szCs w:val="16"/>
        </w:rPr>
        <w:softHyphen/>
        <w:t>началу было установлено макетное, далее предполагалось установить два синхронных ПВ-1 вперед и один пулемет ДА для стрель</w:t>
      </w:r>
      <w:r w:rsidRPr="00507A31">
        <w:rPr>
          <w:color w:val="000000" w:themeColor="text1"/>
          <w:sz w:val="16"/>
          <w:szCs w:val="16"/>
        </w:rPr>
        <w:softHyphen/>
        <w:t>бы назад.</w:t>
      </w:r>
    </w:p>
    <w:p w14:paraId="23C896C0" w14:textId="77777777" w:rsidR="00D51101" w:rsidRPr="00507A31" w:rsidRDefault="00D51101" w:rsidP="00507A31">
      <w:pPr>
        <w:jc w:val="both"/>
        <w:rPr>
          <w:color w:val="000000" w:themeColor="text1"/>
          <w:sz w:val="16"/>
          <w:szCs w:val="16"/>
        </w:rPr>
      </w:pPr>
      <w:r w:rsidRPr="00507A31">
        <w:rPr>
          <w:color w:val="000000" w:themeColor="text1"/>
          <w:sz w:val="16"/>
          <w:szCs w:val="16"/>
        </w:rPr>
        <w:t>По результатам испытаний в НИИ ВВС К-47 показал следующие данные:</w:t>
      </w:r>
    </w:p>
    <w:tbl>
      <w:tblPr>
        <w:tblW w:w="0" w:type="auto"/>
        <w:tblLayout w:type="fixed"/>
        <w:tblCellMar>
          <w:left w:w="10" w:type="dxa"/>
          <w:right w:w="10" w:type="dxa"/>
        </w:tblCellMar>
        <w:tblLook w:val="0000" w:firstRow="0" w:lastRow="0" w:firstColumn="0" w:lastColumn="0" w:noHBand="0" w:noVBand="0"/>
      </w:tblPr>
      <w:tblGrid>
        <w:gridCol w:w="2977"/>
        <w:gridCol w:w="662"/>
      </w:tblGrid>
      <w:tr w:rsidR="00A61694" w:rsidRPr="00507A31" w14:paraId="44B93342" w14:textId="77777777" w:rsidTr="00C31E35">
        <w:trPr>
          <w:trHeight w:val="266"/>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614BFA12"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Макс, скорость у земли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3AC578D4"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240</w:t>
            </w:r>
          </w:p>
        </w:tc>
      </w:tr>
      <w:tr w:rsidR="00A61694" w:rsidRPr="00507A31" w14:paraId="3CD85C25"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0FF04771"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Макс, скорость на высоте 3000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0FF17313"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272,5</w:t>
            </w:r>
          </w:p>
        </w:tc>
      </w:tr>
      <w:tr w:rsidR="00A61694" w:rsidRPr="00507A31" w14:paraId="4E5E4C38"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5353D2C7"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Макс, скорость на высоте 5000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51CA063E"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261</w:t>
            </w:r>
          </w:p>
        </w:tc>
      </w:tr>
      <w:tr w:rsidR="00A61694" w:rsidRPr="00507A31" w14:paraId="3E92CECA"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129ED611"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5000 м (мин.)</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286F5DB"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11,5</w:t>
            </w:r>
          </w:p>
        </w:tc>
      </w:tr>
      <w:tr w:rsidR="00A61694" w:rsidRPr="00507A31" w14:paraId="4C2CEA71"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2113FB85"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Практический потолок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16A4D285"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8100</w:t>
            </w:r>
          </w:p>
        </w:tc>
      </w:tr>
      <w:tr w:rsidR="00A61694" w:rsidRPr="00507A31" w14:paraId="0C37CAFE" w14:textId="77777777" w:rsidTr="00C31E35">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22ADEBE"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Вираж на 1000 м (сек.)</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1B01C3A"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12</w:t>
            </w:r>
          </w:p>
        </w:tc>
      </w:tr>
      <w:tr w:rsidR="00A61694" w:rsidRPr="00507A31" w14:paraId="2A5F3662"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537337BB"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Разбег(м)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062DE963"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140</w:t>
            </w:r>
          </w:p>
        </w:tc>
      </w:tr>
      <w:tr w:rsidR="00A61694" w:rsidRPr="00507A31" w14:paraId="770DA14C" w14:textId="77777777" w:rsidTr="00C31E35">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21B62904"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Пробег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64504901" w14:textId="77777777" w:rsidR="00D51101" w:rsidRPr="00507A31" w:rsidRDefault="00D5110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330</w:t>
            </w:r>
          </w:p>
        </w:tc>
      </w:tr>
    </w:tbl>
    <w:p w14:paraId="60F1DD10" w14:textId="77777777" w:rsidR="00D51101" w:rsidRPr="00507A31" w:rsidRDefault="00D51101" w:rsidP="00507A31">
      <w:pPr>
        <w:jc w:val="both"/>
        <w:rPr>
          <w:color w:val="000000" w:themeColor="text1"/>
          <w:sz w:val="16"/>
          <w:szCs w:val="16"/>
        </w:rPr>
      </w:pPr>
      <w:r w:rsidRPr="00507A31">
        <w:rPr>
          <w:color w:val="000000" w:themeColor="text1"/>
          <w:sz w:val="16"/>
          <w:szCs w:val="16"/>
        </w:rPr>
        <w:t>В общем, полетные данные К-47 были не</w:t>
      </w:r>
      <w:r w:rsidRPr="00507A31">
        <w:rPr>
          <w:color w:val="000000" w:themeColor="text1"/>
          <w:sz w:val="16"/>
          <w:szCs w:val="16"/>
        </w:rPr>
        <w:softHyphen/>
        <w:t>плохие. Однако, судя по письму, подготов</w:t>
      </w:r>
      <w:r w:rsidRPr="00507A31">
        <w:rPr>
          <w:color w:val="000000" w:themeColor="text1"/>
          <w:sz w:val="16"/>
          <w:szCs w:val="16"/>
        </w:rPr>
        <w:softHyphen/>
        <w:t>ленному 30 сентября 1930 г. в канцелярии за</w:t>
      </w:r>
      <w:r w:rsidRPr="00507A31">
        <w:rPr>
          <w:color w:val="000000" w:themeColor="text1"/>
          <w:sz w:val="16"/>
          <w:szCs w:val="16"/>
        </w:rPr>
        <w:softHyphen/>
        <w:t>местителя начальника ВВС Алксниса на имя Заместителя Председателя РВС СССР Убо- ревича, скептическое отношение к двухмест</w:t>
      </w:r>
      <w:r w:rsidRPr="00507A31">
        <w:rPr>
          <w:color w:val="000000" w:themeColor="text1"/>
          <w:sz w:val="16"/>
          <w:szCs w:val="16"/>
        </w:rPr>
        <w:softHyphen/>
        <w:t>ным истребителям оставалось - «В тактиче</w:t>
      </w:r>
      <w:r w:rsidRPr="00507A31">
        <w:rPr>
          <w:color w:val="000000" w:themeColor="text1"/>
          <w:sz w:val="16"/>
          <w:szCs w:val="16"/>
        </w:rPr>
        <w:softHyphen/>
        <w:t>ском отношении К-47 как двухместный ис</w:t>
      </w:r>
      <w:r w:rsidRPr="00507A31">
        <w:rPr>
          <w:color w:val="000000" w:themeColor="text1"/>
          <w:sz w:val="16"/>
          <w:szCs w:val="16"/>
        </w:rPr>
        <w:softHyphen/>
        <w:t>требитель является сильным противником, способным вести активный 6011 с одномест</w:t>
      </w:r>
      <w:r w:rsidRPr="00507A31">
        <w:rPr>
          <w:color w:val="000000" w:themeColor="text1"/>
          <w:sz w:val="16"/>
          <w:szCs w:val="16"/>
        </w:rPr>
        <w:softHyphen/>
        <w:t>ными истребителями. В силу наличия стрел</w:t>
      </w:r>
      <w:r w:rsidRPr="00507A31">
        <w:rPr>
          <w:color w:val="000000" w:themeColor="text1"/>
          <w:sz w:val="16"/>
          <w:szCs w:val="16"/>
        </w:rPr>
        <w:softHyphen/>
        <w:t>ка, обороняющего задний верхний конус от горизонтали до зенита, К-47 вынуждает ис</w:t>
      </w:r>
      <w:r w:rsidRPr="00507A31">
        <w:rPr>
          <w:color w:val="000000" w:themeColor="text1"/>
          <w:sz w:val="16"/>
          <w:szCs w:val="16"/>
        </w:rPr>
        <w:softHyphen/>
        <w:t>требителей не применять атаку сверху и сза</w:t>
      </w:r>
      <w:r w:rsidRPr="00507A31">
        <w:rPr>
          <w:color w:val="000000" w:themeColor="text1"/>
          <w:sz w:val="16"/>
          <w:szCs w:val="16"/>
        </w:rPr>
        <w:softHyphen/>
        <w:t>ди, т.е. лишает их возможности использовать преимущество в скороподъемности.</w:t>
      </w:r>
    </w:p>
    <w:p w14:paraId="39BAA3C7" w14:textId="77777777" w:rsidR="00D51101" w:rsidRPr="00507A31" w:rsidRDefault="00D51101" w:rsidP="00507A31">
      <w:pPr>
        <w:jc w:val="both"/>
        <w:rPr>
          <w:color w:val="000000" w:themeColor="text1"/>
          <w:sz w:val="16"/>
          <w:szCs w:val="16"/>
        </w:rPr>
      </w:pPr>
      <w:r w:rsidRPr="00507A31">
        <w:rPr>
          <w:color w:val="000000" w:themeColor="text1"/>
          <w:sz w:val="16"/>
          <w:szCs w:val="16"/>
        </w:rPr>
        <w:t>В бою с одноместным истребителем, с бо</w:t>
      </w:r>
      <w:r w:rsidRPr="00507A31">
        <w:rPr>
          <w:color w:val="000000" w:themeColor="text1"/>
          <w:sz w:val="16"/>
          <w:szCs w:val="16"/>
        </w:rPr>
        <w:softHyphen/>
        <w:t>лее лучшими данными, К-47 приходится в значительной степени рассчитывать на зад</w:t>
      </w:r>
      <w:r w:rsidRPr="00507A31">
        <w:rPr>
          <w:color w:val="000000" w:themeColor="text1"/>
          <w:sz w:val="16"/>
          <w:szCs w:val="16"/>
        </w:rPr>
        <w:softHyphen/>
        <w:t>ний пулемет, т.к. пользоваться передними пулеметами, ввиду большого радиуса вира</w:t>
      </w:r>
      <w:r w:rsidRPr="00507A31">
        <w:rPr>
          <w:color w:val="000000" w:themeColor="text1"/>
          <w:sz w:val="16"/>
          <w:szCs w:val="16"/>
        </w:rPr>
        <w:softHyphen/>
        <w:t>жа, он не может; иными словами К-47 в бою с истребителями имеет меньшую огневую мощь, что является его минусом».</w:t>
      </w:r>
    </w:p>
    <w:p w14:paraId="4829D186" w14:textId="77777777" w:rsidR="00D51101" w:rsidRPr="00507A31" w:rsidRDefault="00D51101" w:rsidP="00507A31">
      <w:pPr>
        <w:jc w:val="both"/>
        <w:rPr>
          <w:color w:val="000000" w:themeColor="text1"/>
          <w:sz w:val="16"/>
          <w:szCs w:val="16"/>
        </w:rPr>
      </w:pPr>
      <w:r w:rsidRPr="00507A31">
        <w:rPr>
          <w:color w:val="000000" w:themeColor="text1"/>
          <w:sz w:val="16"/>
          <w:szCs w:val="16"/>
        </w:rPr>
        <w:t>В дальнейшем оба экземпляра немецких К-47 передали для службы в войсковые по</w:t>
      </w:r>
      <w:r w:rsidRPr="00507A31">
        <w:rPr>
          <w:color w:val="000000" w:themeColor="text1"/>
          <w:sz w:val="16"/>
          <w:szCs w:val="16"/>
        </w:rPr>
        <w:softHyphen/>
        <w:t>дразделения. Один экземпляр числился в на</w:t>
      </w:r>
      <w:r w:rsidRPr="00507A31">
        <w:rPr>
          <w:color w:val="000000" w:themeColor="text1"/>
          <w:sz w:val="16"/>
          <w:szCs w:val="16"/>
        </w:rPr>
        <w:softHyphen/>
        <w:t>чале 1933 г. в Белорусском военном округе, в управлении 402-й авиабригады в Брянске, второй в этот период эксплуатировался Ака</w:t>
      </w:r>
      <w:r w:rsidRPr="00507A31">
        <w:rPr>
          <w:color w:val="000000" w:themeColor="text1"/>
          <w:sz w:val="16"/>
          <w:szCs w:val="16"/>
        </w:rPr>
        <w:softHyphen/>
        <w:t>демией ВВС (12295).</w:t>
      </w:r>
    </w:p>
    <w:p w14:paraId="0757DF6B" w14:textId="77777777" w:rsidR="00D51101" w:rsidRPr="00507A31" w:rsidRDefault="00D51101" w:rsidP="00507A31">
      <w:pPr>
        <w:jc w:val="both"/>
        <w:rPr>
          <w:color w:val="000000" w:themeColor="text1"/>
          <w:sz w:val="16"/>
          <w:szCs w:val="16"/>
        </w:rPr>
      </w:pPr>
    </w:p>
    <w:p w14:paraId="5122C843" w14:textId="77777777" w:rsidR="00442680" w:rsidRPr="00507A31" w:rsidRDefault="00442680" w:rsidP="00507A31">
      <w:pPr>
        <w:pStyle w:val="rtejustify"/>
        <w:spacing w:before="0" w:after="0"/>
        <w:rPr>
          <w:color w:val="000000" w:themeColor="text1"/>
          <w:sz w:val="16"/>
          <w:szCs w:val="16"/>
        </w:rPr>
      </w:pPr>
      <w:r w:rsidRPr="00507A31">
        <w:rPr>
          <w:rStyle w:val="af0"/>
          <w:i w:val="0"/>
          <w:color w:val="000000" w:themeColor="text1"/>
          <w:sz w:val="16"/>
          <w:szCs w:val="16"/>
        </w:rPr>
        <w:t>30 января 1930 г. принято постановление РЗ СТО «О мероприятиях по развитию авиапромышленности»,</w:t>
      </w:r>
      <w:r w:rsidRPr="00507A31">
        <w:rPr>
          <w:color w:val="000000" w:themeColor="text1"/>
          <w:sz w:val="16"/>
          <w:szCs w:val="16"/>
        </w:rPr>
        <w:t xml:space="preserve"> которым предусматривалось форсировать опытные работы по авиамоторам — немедленно приступить к организации серийного производства моторов М</w:t>
      </w:r>
      <w:r w:rsidRPr="00507A31">
        <w:rPr>
          <w:color w:val="000000" w:themeColor="text1"/>
          <w:sz w:val="16"/>
          <w:szCs w:val="16"/>
        </w:rPr>
        <w:noBreakHyphen/>
        <w:t>17 на заводе № 24 (к 1 октября изготовить 40 моторов), ассигновав для этой цели 2 млн. 400 тыс. руб. Заводы № 29 и 26 переводились на военное положение. ВСНХ предписывалось приобрести лицензию и техническую помощь на организацию серийного производства образцов гидросамолетов ближней разведки. Не позднее 15 февраля 1930 г. закончить переговоры с фирмой «Хейнкель» о приобретении лицензий и технической помощи на постановку производства истребителей сварных конструкций (12496).</w:t>
      </w:r>
    </w:p>
    <w:p w14:paraId="3E699B9D" w14:textId="77777777" w:rsidR="00442680" w:rsidRPr="00507A31" w:rsidRDefault="00442680" w:rsidP="00507A31">
      <w:pPr>
        <w:jc w:val="both"/>
        <w:rPr>
          <w:color w:val="000000" w:themeColor="text1"/>
          <w:sz w:val="16"/>
          <w:szCs w:val="16"/>
        </w:rPr>
      </w:pPr>
    </w:p>
    <w:p w14:paraId="7483B7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января 1930 было получено письмо Врид Пред. Правления Авиатреста Пастушенко № 151,3640 на Зав. № 22 МОС:</w:t>
      </w:r>
    </w:p>
    <w:p w14:paraId="7C2CC8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сем сопровождаются материалы по плану опытного строительства на 193</w:t>
      </w:r>
      <w:r w:rsidR="00D51101" w:rsidRPr="00507A31">
        <w:rPr>
          <w:color w:val="000000" w:themeColor="text1"/>
          <w:sz w:val="16"/>
          <w:szCs w:val="16"/>
        </w:rPr>
        <w:t>0</w:t>
      </w:r>
      <w:r w:rsidRPr="00507A31">
        <w:rPr>
          <w:color w:val="000000" w:themeColor="text1"/>
          <w:sz w:val="16"/>
          <w:szCs w:val="16"/>
        </w:rPr>
        <w:t>-32 гг. (351).</w:t>
      </w:r>
    </w:p>
    <w:p w14:paraId="5D1372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Пояснительная записка к плану опытного строительства 193</w:t>
      </w:r>
      <w:r w:rsidR="00D51101" w:rsidRPr="00507A31">
        <w:rPr>
          <w:color w:val="000000" w:themeColor="text1"/>
          <w:sz w:val="16"/>
          <w:szCs w:val="16"/>
        </w:rPr>
        <w:t>0</w:t>
      </w:r>
      <w:r w:rsidRPr="00507A31">
        <w:rPr>
          <w:color w:val="000000" w:themeColor="text1"/>
          <w:sz w:val="16"/>
          <w:szCs w:val="16"/>
        </w:rPr>
        <w:t>-33 г.</w:t>
      </w:r>
    </w:p>
    <w:p w14:paraId="4E1670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ФИНАНСОВЫЙ ПЛАН ОПЫТНОГО САМОЛЕТОСТРОЕНИЯ НА 1930 - 1933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1210"/>
        <w:gridCol w:w="1210"/>
        <w:gridCol w:w="1210"/>
        <w:gridCol w:w="1210"/>
        <w:gridCol w:w="1210"/>
      </w:tblGrid>
      <w:tr w:rsidR="00A61694" w:rsidRPr="00507A31" w14:paraId="195D6BD7" w14:textId="77777777">
        <w:tc>
          <w:tcPr>
            <w:tcW w:w="3528" w:type="dxa"/>
            <w:tcBorders>
              <w:top w:val="single" w:sz="12" w:space="0" w:color="auto"/>
            </w:tcBorders>
          </w:tcPr>
          <w:p w14:paraId="4DDBA4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ОБ”ЕКТЫ.</w:t>
            </w:r>
          </w:p>
        </w:tc>
        <w:tc>
          <w:tcPr>
            <w:tcW w:w="1210" w:type="dxa"/>
            <w:tcBorders>
              <w:top w:val="single" w:sz="12" w:space="0" w:color="auto"/>
            </w:tcBorders>
          </w:tcPr>
          <w:p w14:paraId="7E3272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210" w:type="dxa"/>
            <w:tcBorders>
              <w:top w:val="single" w:sz="12" w:space="0" w:color="auto"/>
            </w:tcBorders>
          </w:tcPr>
          <w:p w14:paraId="70652C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1929/30 г.</w:t>
            </w:r>
          </w:p>
        </w:tc>
        <w:tc>
          <w:tcPr>
            <w:tcW w:w="1210" w:type="dxa"/>
            <w:tcBorders>
              <w:top w:val="single" w:sz="12" w:space="0" w:color="auto"/>
            </w:tcBorders>
          </w:tcPr>
          <w:p w14:paraId="7478C1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1930-31 г.</w:t>
            </w:r>
          </w:p>
        </w:tc>
        <w:tc>
          <w:tcPr>
            <w:tcW w:w="1210" w:type="dxa"/>
            <w:tcBorders>
              <w:top w:val="single" w:sz="12" w:space="0" w:color="auto"/>
            </w:tcBorders>
          </w:tcPr>
          <w:p w14:paraId="57B6A4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1931-32 г.</w:t>
            </w:r>
          </w:p>
        </w:tc>
        <w:tc>
          <w:tcPr>
            <w:tcW w:w="1210" w:type="dxa"/>
            <w:tcBorders>
              <w:top w:val="single" w:sz="12" w:space="0" w:color="auto"/>
            </w:tcBorders>
          </w:tcPr>
          <w:p w14:paraId="14C65F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1932-33 г.</w:t>
            </w:r>
          </w:p>
        </w:tc>
      </w:tr>
      <w:tr w:rsidR="00A61694" w:rsidRPr="00507A31" w14:paraId="7ABB9817" w14:textId="77777777">
        <w:tc>
          <w:tcPr>
            <w:tcW w:w="3528" w:type="dxa"/>
          </w:tcPr>
          <w:p w14:paraId="2FFEE5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Сухопутные самолеты</w:t>
            </w:r>
          </w:p>
        </w:tc>
        <w:tc>
          <w:tcPr>
            <w:tcW w:w="1210" w:type="dxa"/>
          </w:tcPr>
          <w:p w14:paraId="60B399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6514B1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65F2C1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2CE6D3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2E4A7D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26028209" w14:textId="77777777">
        <w:tc>
          <w:tcPr>
            <w:tcW w:w="3528" w:type="dxa"/>
          </w:tcPr>
          <w:p w14:paraId="09C699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Р-5 окончание и доводка Ш и 1У экз.</w:t>
            </w:r>
          </w:p>
        </w:tc>
        <w:tc>
          <w:tcPr>
            <w:tcW w:w="1210" w:type="dxa"/>
          </w:tcPr>
          <w:p w14:paraId="22EC3F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5C5C69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60431C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9B9B1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33E9A8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118DE843" w14:textId="77777777">
        <w:tc>
          <w:tcPr>
            <w:tcW w:w="3528" w:type="dxa"/>
          </w:tcPr>
          <w:p w14:paraId="494369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И3 доводка 2-х серийныхмашин.</w:t>
            </w:r>
          </w:p>
        </w:tc>
        <w:tc>
          <w:tcPr>
            <w:tcW w:w="1210" w:type="dxa"/>
          </w:tcPr>
          <w:p w14:paraId="3A2DE3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0D7635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0AE893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175C96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55F776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u w:val="single"/>
                <w:vertAlign w:val="subscript"/>
              </w:rPr>
              <w:t>-</w:t>
            </w:r>
          </w:p>
        </w:tc>
      </w:tr>
      <w:tr w:rsidR="00A61694" w:rsidRPr="00507A31" w14:paraId="0D399AAD" w14:textId="77777777">
        <w:tc>
          <w:tcPr>
            <w:tcW w:w="3528" w:type="dxa"/>
          </w:tcPr>
          <w:p w14:paraId="0C13FE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П-2 доводка на штопор</w:t>
            </w:r>
          </w:p>
        </w:tc>
        <w:tc>
          <w:tcPr>
            <w:tcW w:w="1210" w:type="dxa"/>
          </w:tcPr>
          <w:p w14:paraId="761921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210" w:type="dxa"/>
          </w:tcPr>
          <w:p w14:paraId="3D194B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210" w:type="dxa"/>
          </w:tcPr>
          <w:p w14:paraId="0E753D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2B28A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567979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95F8F5D" w14:textId="77777777">
        <w:tc>
          <w:tcPr>
            <w:tcW w:w="3528" w:type="dxa"/>
          </w:tcPr>
          <w:p w14:paraId="75EFA1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Д-2 доводка на штопор</w:t>
            </w:r>
          </w:p>
        </w:tc>
        <w:tc>
          <w:tcPr>
            <w:tcW w:w="1210" w:type="dxa"/>
          </w:tcPr>
          <w:p w14:paraId="0500B2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210" w:type="dxa"/>
          </w:tcPr>
          <w:p w14:paraId="06CBC9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210" w:type="dxa"/>
          </w:tcPr>
          <w:p w14:paraId="530816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785BE1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77E939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206E8F2" w14:textId="77777777">
        <w:tc>
          <w:tcPr>
            <w:tcW w:w="3528" w:type="dxa"/>
          </w:tcPr>
          <w:p w14:paraId="720BB6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Р-5 доводка на штопор</w:t>
            </w:r>
          </w:p>
        </w:tc>
        <w:tc>
          <w:tcPr>
            <w:tcW w:w="1210" w:type="dxa"/>
          </w:tcPr>
          <w:p w14:paraId="465323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w:t>
            </w:r>
          </w:p>
        </w:tc>
        <w:tc>
          <w:tcPr>
            <w:tcW w:w="1210" w:type="dxa"/>
          </w:tcPr>
          <w:p w14:paraId="7E7960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w:t>
            </w:r>
          </w:p>
        </w:tc>
        <w:tc>
          <w:tcPr>
            <w:tcW w:w="1210" w:type="dxa"/>
          </w:tcPr>
          <w:p w14:paraId="116F18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6E1078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8F675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4BAB6AB" w14:textId="77777777">
        <w:tc>
          <w:tcPr>
            <w:tcW w:w="3528" w:type="dxa"/>
          </w:tcPr>
          <w:p w14:paraId="0E237B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ТБ - 2М17</w:t>
            </w:r>
          </w:p>
        </w:tc>
        <w:tc>
          <w:tcPr>
            <w:tcW w:w="1210" w:type="dxa"/>
          </w:tcPr>
          <w:p w14:paraId="023C69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140000</w:t>
            </w:r>
          </w:p>
        </w:tc>
        <w:tc>
          <w:tcPr>
            <w:tcW w:w="1210" w:type="dxa"/>
          </w:tcPr>
          <w:p w14:paraId="62B464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w:t>
            </w:r>
          </w:p>
        </w:tc>
        <w:tc>
          <w:tcPr>
            <w:tcW w:w="1210" w:type="dxa"/>
          </w:tcPr>
          <w:p w14:paraId="3D8ABE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210" w:type="dxa"/>
          </w:tcPr>
          <w:p w14:paraId="0EB532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58620D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ABADB19" w14:textId="77777777">
        <w:tc>
          <w:tcPr>
            <w:tcW w:w="3528" w:type="dxa"/>
          </w:tcPr>
          <w:p w14:paraId="49FEA0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ПУ2-М11</w:t>
            </w:r>
          </w:p>
        </w:tc>
        <w:tc>
          <w:tcPr>
            <w:tcW w:w="1210" w:type="dxa"/>
          </w:tcPr>
          <w:p w14:paraId="4868DA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210" w:type="dxa"/>
          </w:tcPr>
          <w:p w14:paraId="79A2E0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210" w:type="dxa"/>
          </w:tcPr>
          <w:p w14:paraId="78810B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994C6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2B9ABF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64F0251" w14:textId="77777777">
        <w:tc>
          <w:tcPr>
            <w:tcW w:w="3528" w:type="dxa"/>
          </w:tcPr>
          <w:p w14:paraId="1D7450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И6-ЮПУ1 1 экз.</w:t>
            </w:r>
          </w:p>
        </w:tc>
        <w:tc>
          <w:tcPr>
            <w:tcW w:w="1210" w:type="dxa"/>
          </w:tcPr>
          <w:p w14:paraId="124814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90000</w:t>
            </w:r>
          </w:p>
        </w:tc>
        <w:tc>
          <w:tcPr>
            <w:tcW w:w="1210" w:type="dxa"/>
          </w:tcPr>
          <w:p w14:paraId="723625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75000</w:t>
            </w:r>
          </w:p>
        </w:tc>
        <w:tc>
          <w:tcPr>
            <w:tcW w:w="1210" w:type="dxa"/>
          </w:tcPr>
          <w:p w14:paraId="2250D1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w:t>
            </w:r>
          </w:p>
        </w:tc>
        <w:tc>
          <w:tcPr>
            <w:tcW w:w="1210" w:type="dxa"/>
          </w:tcPr>
          <w:p w14:paraId="118283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56EC67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1F56586" w14:textId="77777777">
        <w:tc>
          <w:tcPr>
            <w:tcW w:w="3528" w:type="dxa"/>
          </w:tcPr>
          <w:p w14:paraId="6018BD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И6-ЮПУ1 2 экз.</w:t>
            </w:r>
          </w:p>
        </w:tc>
        <w:tc>
          <w:tcPr>
            <w:tcW w:w="1210" w:type="dxa"/>
          </w:tcPr>
          <w:p w14:paraId="303B51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65000</w:t>
            </w:r>
          </w:p>
        </w:tc>
        <w:tc>
          <w:tcPr>
            <w:tcW w:w="1210" w:type="dxa"/>
          </w:tcPr>
          <w:p w14:paraId="6EC075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tc>
        <w:tc>
          <w:tcPr>
            <w:tcW w:w="1210" w:type="dxa"/>
          </w:tcPr>
          <w:p w14:paraId="6869D1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w:t>
            </w:r>
          </w:p>
        </w:tc>
        <w:tc>
          <w:tcPr>
            <w:tcW w:w="1210" w:type="dxa"/>
          </w:tcPr>
          <w:p w14:paraId="3EA929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7A9BB1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D03309B" w14:textId="77777777">
        <w:tc>
          <w:tcPr>
            <w:tcW w:w="3528" w:type="dxa"/>
          </w:tcPr>
          <w:p w14:paraId="7E44A0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И6-ЮПУ1 3 экз.</w:t>
            </w:r>
          </w:p>
        </w:tc>
        <w:tc>
          <w:tcPr>
            <w:tcW w:w="1210" w:type="dxa"/>
          </w:tcPr>
          <w:p w14:paraId="29CB01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65000</w:t>
            </w:r>
          </w:p>
        </w:tc>
        <w:tc>
          <w:tcPr>
            <w:tcW w:w="1210" w:type="dxa"/>
          </w:tcPr>
          <w:p w14:paraId="6C02F4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485CC3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1210" w:type="dxa"/>
          </w:tcPr>
          <w:p w14:paraId="29BFF9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4D8D2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58847FE" w14:textId="77777777">
        <w:tc>
          <w:tcPr>
            <w:tcW w:w="3528" w:type="dxa"/>
          </w:tcPr>
          <w:p w14:paraId="0E6C8F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И7 - М17 1 экз.</w:t>
            </w:r>
          </w:p>
        </w:tc>
        <w:tc>
          <w:tcPr>
            <w:tcW w:w="1210" w:type="dxa"/>
          </w:tcPr>
          <w:p w14:paraId="75CE43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0507A5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w:t>
            </w:r>
          </w:p>
        </w:tc>
        <w:tc>
          <w:tcPr>
            <w:tcW w:w="1210" w:type="dxa"/>
          </w:tcPr>
          <w:p w14:paraId="11776F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w:t>
            </w:r>
          </w:p>
        </w:tc>
        <w:tc>
          <w:tcPr>
            <w:tcW w:w="1210" w:type="dxa"/>
          </w:tcPr>
          <w:p w14:paraId="2DFDF2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25D04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E9BA831" w14:textId="77777777">
        <w:tc>
          <w:tcPr>
            <w:tcW w:w="3528" w:type="dxa"/>
          </w:tcPr>
          <w:p w14:paraId="183EC6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И7 - М17 2 экз. со сварн. фюзеляжем</w:t>
            </w:r>
          </w:p>
        </w:tc>
        <w:tc>
          <w:tcPr>
            <w:tcW w:w="1210" w:type="dxa"/>
          </w:tcPr>
          <w:p w14:paraId="3B51E4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165000</w:t>
            </w:r>
          </w:p>
        </w:tc>
        <w:tc>
          <w:tcPr>
            <w:tcW w:w="1210" w:type="dxa"/>
          </w:tcPr>
          <w:p w14:paraId="4FAC98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140000</w:t>
            </w:r>
          </w:p>
        </w:tc>
        <w:tc>
          <w:tcPr>
            <w:tcW w:w="1210" w:type="dxa"/>
          </w:tcPr>
          <w:p w14:paraId="2B6618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w:t>
            </w:r>
          </w:p>
        </w:tc>
        <w:tc>
          <w:tcPr>
            <w:tcW w:w="1210" w:type="dxa"/>
          </w:tcPr>
          <w:p w14:paraId="06CC32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62AFD5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8AEB738" w14:textId="77777777">
        <w:tc>
          <w:tcPr>
            <w:tcW w:w="3528" w:type="dxa"/>
          </w:tcPr>
          <w:p w14:paraId="049021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ПР5 - со сварн. фюзел.</w:t>
            </w:r>
          </w:p>
        </w:tc>
        <w:tc>
          <w:tcPr>
            <w:tcW w:w="1210" w:type="dxa"/>
          </w:tcPr>
          <w:p w14:paraId="285CC4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220000</w:t>
            </w:r>
          </w:p>
        </w:tc>
        <w:tc>
          <w:tcPr>
            <w:tcW w:w="1210" w:type="dxa"/>
          </w:tcPr>
          <w:p w14:paraId="09DDDE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1210" w:type="dxa"/>
          </w:tcPr>
          <w:p w14:paraId="1F9CFA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w:t>
            </w:r>
          </w:p>
        </w:tc>
        <w:tc>
          <w:tcPr>
            <w:tcW w:w="1210" w:type="dxa"/>
          </w:tcPr>
          <w:p w14:paraId="6433C6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w:t>
            </w:r>
          </w:p>
        </w:tc>
        <w:tc>
          <w:tcPr>
            <w:tcW w:w="1210" w:type="dxa"/>
          </w:tcPr>
          <w:p w14:paraId="314114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BE4EC02" w14:textId="77777777">
        <w:tc>
          <w:tcPr>
            <w:tcW w:w="3528" w:type="dxa"/>
          </w:tcPr>
          <w:p w14:paraId="51B7A8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Р5 со сварн. фюзел.</w:t>
            </w:r>
          </w:p>
        </w:tc>
        <w:tc>
          <w:tcPr>
            <w:tcW w:w="1210" w:type="dxa"/>
          </w:tcPr>
          <w:p w14:paraId="0DD28E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270000</w:t>
            </w:r>
          </w:p>
        </w:tc>
        <w:tc>
          <w:tcPr>
            <w:tcW w:w="1210" w:type="dxa"/>
          </w:tcPr>
          <w:p w14:paraId="61A10F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c>
          <w:tcPr>
            <w:tcW w:w="1210" w:type="dxa"/>
          </w:tcPr>
          <w:p w14:paraId="7AE4F5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190000</w:t>
            </w:r>
          </w:p>
        </w:tc>
        <w:tc>
          <w:tcPr>
            <w:tcW w:w="1210" w:type="dxa"/>
          </w:tcPr>
          <w:p w14:paraId="3C9C29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DE7AD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391B965F" w14:textId="77777777">
        <w:tc>
          <w:tcPr>
            <w:tcW w:w="3528" w:type="dxa"/>
          </w:tcPr>
          <w:p w14:paraId="283EF1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Самолет связи</w:t>
            </w:r>
          </w:p>
        </w:tc>
        <w:tc>
          <w:tcPr>
            <w:tcW w:w="1210" w:type="dxa"/>
          </w:tcPr>
          <w:p w14:paraId="11B44D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70000</w:t>
            </w:r>
          </w:p>
        </w:tc>
        <w:tc>
          <w:tcPr>
            <w:tcW w:w="1210" w:type="dxa"/>
          </w:tcPr>
          <w:p w14:paraId="4D04BC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210" w:type="dxa"/>
          </w:tcPr>
          <w:p w14:paraId="49C0B7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210" w:type="dxa"/>
          </w:tcPr>
          <w:p w14:paraId="0156D3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7B02E5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9FA0E7C" w14:textId="77777777">
        <w:tc>
          <w:tcPr>
            <w:tcW w:w="3528" w:type="dxa"/>
          </w:tcPr>
          <w:p w14:paraId="726498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РВ-2М26 со сварн. фюзеляж.</w:t>
            </w:r>
          </w:p>
        </w:tc>
        <w:tc>
          <w:tcPr>
            <w:tcW w:w="1210" w:type="dxa"/>
          </w:tcPr>
          <w:p w14:paraId="184E4A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380000</w:t>
            </w:r>
          </w:p>
        </w:tc>
        <w:tc>
          <w:tcPr>
            <w:tcW w:w="1210" w:type="dxa"/>
          </w:tcPr>
          <w:p w14:paraId="0E871E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1210" w:type="dxa"/>
          </w:tcPr>
          <w:p w14:paraId="70B3DD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210" w:type="dxa"/>
          </w:tcPr>
          <w:p w14:paraId="3F55CB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75000</w:t>
            </w:r>
          </w:p>
        </w:tc>
        <w:tc>
          <w:tcPr>
            <w:tcW w:w="1210" w:type="dxa"/>
          </w:tcPr>
          <w:p w14:paraId="595B98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FD7C96A" w14:textId="77777777">
        <w:tc>
          <w:tcPr>
            <w:tcW w:w="3528" w:type="dxa"/>
          </w:tcPr>
          <w:p w14:paraId="790A69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И9-М30/31/32</w:t>
            </w:r>
          </w:p>
        </w:tc>
        <w:tc>
          <w:tcPr>
            <w:tcW w:w="1210" w:type="dxa"/>
          </w:tcPr>
          <w:p w14:paraId="1F8DF8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260000</w:t>
            </w:r>
          </w:p>
        </w:tc>
        <w:tc>
          <w:tcPr>
            <w:tcW w:w="1210" w:type="dxa"/>
          </w:tcPr>
          <w:p w14:paraId="248A91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1210" w:type="dxa"/>
          </w:tcPr>
          <w:p w14:paraId="730122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w:t>
            </w:r>
          </w:p>
        </w:tc>
        <w:tc>
          <w:tcPr>
            <w:tcW w:w="1210" w:type="dxa"/>
          </w:tcPr>
          <w:p w14:paraId="0DA017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tc>
        <w:tc>
          <w:tcPr>
            <w:tcW w:w="1210" w:type="dxa"/>
          </w:tcPr>
          <w:p w14:paraId="51C439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r>
      <w:tr w:rsidR="00A61694" w:rsidRPr="00507A31" w14:paraId="7EF6C520" w14:textId="77777777">
        <w:tc>
          <w:tcPr>
            <w:tcW w:w="3528" w:type="dxa"/>
          </w:tcPr>
          <w:p w14:paraId="4456E4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И9-М30/31/32 со сварн. фюзеляжем</w:t>
            </w:r>
          </w:p>
        </w:tc>
        <w:tc>
          <w:tcPr>
            <w:tcW w:w="1210" w:type="dxa"/>
          </w:tcPr>
          <w:p w14:paraId="548588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21D485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1210" w:type="dxa"/>
          </w:tcPr>
          <w:p w14:paraId="711093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135000</w:t>
            </w:r>
          </w:p>
        </w:tc>
        <w:tc>
          <w:tcPr>
            <w:tcW w:w="1210" w:type="dxa"/>
          </w:tcPr>
          <w:p w14:paraId="23E900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210" w:type="dxa"/>
          </w:tcPr>
          <w:p w14:paraId="3CBB77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r>
      <w:tr w:rsidR="00A61694" w:rsidRPr="00507A31" w14:paraId="6B202432" w14:textId="77777777">
        <w:tc>
          <w:tcPr>
            <w:tcW w:w="3528" w:type="dxa"/>
          </w:tcPr>
          <w:p w14:paraId="5BF560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И9-М37/М38</w:t>
            </w:r>
          </w:p>
        </w:tc>
        <w:tc>
          <w:tcPr>
            <w:tcW w:w="1210" w:type="dxa"/>
          </w:tcPr>
          <w:p w14:paraId="6F923B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210000</w:t>
            </w:r>
          </w:p>
        </w:tc>
        <w:tc>
          <w:tcPr>
            <w:tcW w:w="1210" w:type="dxa"/>
          </w:tcPr>
          <w:p w14:paraId="580C29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659900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111000</w:t>
            </w:r>
          </w:p>
        </w:tc>
        <w:tc>
          <w:tcPr>
            <w:tcW w:w="1210" w:type="dxa"/>
          </w:tcPr>
          <w:p w14:paraId="39B821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c>
          <w:tcPr>
            <w:tcW w:w="1210" w:type="dxa"/>
          </w:tcPr>
          <w:p w14:paraId="67F989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r>
      <w:tr w:rsidR="00A61694" w:rsidRPr="00507A31" w14:paraId="1F2AB136" w14:textId="77777777">
        <w:tc>
          <w:tcPr>
            <w:tcW w:w="3528" w:type="dxa"/>
          </w:tcPr>
          <w:p w14:paraId="4B1970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М1-2М37 со сварн. фюзеляжем</w:t>
            </w:r>
          </w:p>
        </w:tc>
        <w:tc>
          <w:tcPr>
            <w:tcW w:w="1210" w:type="dxa"/>
          </w:tcPr>
          <w:p w14:paraId="2A092B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420000</w:t>
            </w:r>
          </w:p>
        </w:tc>
        <w:tc>
          <w:tcPr>
            <w:tcW w:w="1210" w:type="dxa"/>
          </w:tcPr>
          <w:p w14:paraId="3CE36F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7C3A96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65000</w:t>
            </w:r>
          </w:p>
        </w:tc>
        <w:tc>
          <w:tcPr>
            <w:tcW w:w="1210" w:type="dxa"/>
          </w:tcPr>
          <w:p w14:paraId="6EAC0A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270000</w:t>
            </w:r>
          </w:p>
        </w:tc>
        <w:tc>
          <w:tcPr>
            <w:tcW w:w="1210" w:type="dxa"/>
          </w:tcPr>
          <w:p w14:paraId="59153F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85000</w:t>
            </w:r>
          </w:p>
        </w:tc>
      </w:tr>
      <w:tr w:rsidR="00A61694" w:rsidRPr="00507A31" w14:paraId="07355B47" w14:textId="77777777">
        <w:tc>
          <w:tcPr>
            <w:tcW w:w="3528" w:type="dxa"/>
          </w:tcPr>
          <w:p w14:paraId="43DD33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РА-М3З</w:t>
            </w:r>
          </w:p>
        </w:tc>
        <w:tc>
          <w:tcPr>
            <w:tcW w:w="1210" w:type="dxa"/>
          </w:tcPr>
          <w:p w14:paraId="181112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210" w:type="dxa"/>
          </w:tcPr>
          <w:p w14:paraId="620FFD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1A806E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4C1B62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51A6CD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r>
      <w:tr w:rsidR="00A61694" w:rsidRPr="00507A31" w14:paraId="168035BB" w14:textId="77777777">
        <w:tc>
          <w:tcPr>
            <w:tcW w:w="3528" w:type="dxa"/>
          </w:tcPr>
          <w:p w14:paraId="24FB76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РА-М33 со сварн. фюзеляжем</w:t>
            </w:r>
          </w:p>
        </w:tc>
        <w:tc>
          <w:tcPr>
            <w:tcW w:w="1210" w:type="dxa"/>
          </w:tcPr>
          <w:p w14:paraId="5DF09B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210" w:type="dxa"/>
          </w:tcPr>
          <w:p w14:paraId="72837A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390D8D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w:t>
            </w:r>
          </w:p>
        </w:tc>
        <w:tc>
          <w:tcPr>
            <w:tcW w:w="1210" w:type="dxa"/>
          </w:tcPr>
          <w:p w14:paraId="580AEA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35C9B7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r>
      <w:tr w:rsidR="00A61694" w:rsidRPr="00507A31" w14:paraId="57F8B885" w14:textId="77777777">
        <w:tc>
          <w:tcPr>
            <w:tcW w:w="3528" w:type="dxa"/>
          </w:tcPr>
          <w:p w14:paraId="4F9A0F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 - М34</w:t>
            </w:r>
          </w:p>
        </w:tc>
        <w:tc>
          <w:tcPr>
            <w:tcW w:w="1210" w:type="dxa"/>
          </w:tcPr>
          <w:p w14:paraId="645B9A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295491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2C5171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4B79C1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140000</w:t>
            </w:r>
          </w:p>
        </w:tc>
        <w:tc>
          <w:tcPr>
            <w:tcW w:w="1210" w:type="dxa"/>
          </w:tcPr>
          <w:p w14:paraId="190460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120000</w:t>
            </w:r>
          </w:p>
        </w:tc>
      </w:tr>
      <w:tr w:rsidR="00A61694" w:rsidRPr="00507A31" w14:paraId="49B9B02B" w14:textId="77777777">
        <w:tc>
          <w:tcPr>
            <w:tcW w:w="3528" w:type="dxa"/>
          </w:tcPr>
          <w:p w14:paraId="7BCBA2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 — М34 со сварн. фюзеляжем</w:t>
            </w:r>
          </w:p>
        </w:tc>
        <w:tc>
          <w:tcPr>
            <w:tcW w:w="1210" w:type="dxa"/>
          </w:tcPr>
          <w:p w14:paraId="4E16AC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220000</w:t>
            </w:r>
          </w:p>
        </w:tc>
        <w:tc>
          <w:tcPr>
            <w:tcW w:w="1210" w:type="dxa"/>
          </w:tcPr>
          <w:p w14:paraId="56F195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CFEC1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245806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210" w:type="dxa"/>
          </w:tcPr>
          <w:p w14:paraId="600F65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160000</w:t>
            </w:r>
          </w:p>
        </w:tc>
      </w:tr>
      <w:tr w:rsidR="00A61694" w:rsidRPr="00507A31" w14:paraId="507FC892" w14:textId="77777777">
        <w:tc>
          <w:tcPr>
            <w:tcW w:w="3528" w:type="dxa"/>
          </w:tcPr>
          <w:p w14:paraId="73A838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Новые работы (модификации и улучшения выпущенных типов.)</w:t>
            </w:r>
          </w:p>
        </w:tc>
        <w:tc>
          <w:tcPr>
            <w:tcW w:w="1210" w:type="dxa"/>
          </w:tcPr>
          <w:p w14:paraId="179394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2800000</w:t>
            </w:r>
          </w:p>
        </w:tc>
        <w:tc>
          <w:tcPr>
            <w:tcW w:w="1210" w:type="dxa"/>
          </w:tcPr>
          <w:p w14:paraId="13AE0C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1727DD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6F609D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600000</w:t>
            </w:r>
          </w:p>
        </w:tc>
        <w:tc>
          <w:tcPr>
            <w:tcW w:w="1210" w:type="dxa"/>
          </w:tcPr>
          <w:p w14:paraId="687E4D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985000</w:t>
            </w:r>
          </w:p>
        </w:tc>
      </w:tr>
      <w:tr w:rsidR="00A61694" w:rsidRPr="00507A31" w14:paraId="5EF3F532" w14:textId="77777777">
        <w:tc>
          <w:tcPr>
            <w:tcW w:w="3528" w:type="dxa"/>
          </w:tcPr>
          <w:p w14:paraId="513E7C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 по сухопутным самолетам</w:t>
            </w:r>
          </w:p>
        </w:tc>
        <w:tc>
          <w:tcPr>
            <w:tcW w:w="1210" w:type="dxa"/>
          </w:tcPr>
          <w:p w14:paraId="653E17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6590000</w:t>
            </w:r>
          </w:p>
        </w:tc>
        <w:tc>
          <w:tcPr>
            <w:tcW w:w="1210" w:type="dxa"/>
          </w:tcPr>
          <w:p w14:paraId="1A072D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970000</w:t>
            </w:r>
          </w:p>
        </w:tc>
        <w:tc>
          <w:tcPr>
            <w:tcW w:w="1210" w:type="dxa"/>
          </w:tcPr>
          <w:p w14:paraId="205767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1620000</w:t>
            </w:r>
          </w:p>
        </w:tc>
        <w:tc>
          <w:tcPr>
            <w:tcW w:w="1210" w:type="dxa"/>
          </w:tcPr>
          <w:p w14:paraId="542C1E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1500000</w:t>
            </w:r>
          </w:p>
        </w:tc>
        <w:tc>
          <w:tcPr>
            <w:tcW w:w="1210" w:type="dxa"/>
          </w:tcPr>
          <w:p w14:paraId="3BAC60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1500000</w:t>
            </w:r>
          </w:p>
        </w:tc>
      </w:tr>
      <w:tr w:rsidR="00A61694" w:rsidRPr="00507A31" w14:paraId="26DE454A" w14:textId="77777777">
        <w:tc>
          <w:tcPr>
            <w:tcW w:w="3528" w:type="dxa"/>
          </w:tcPr>
          <w:p w14:paraId="501269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МОРСКИЕ САМОЛЕТЫ</w:t>
            </w:r>
          </w:p>
        </w:tc>
        <w:tc>
          <w:tcPr>
            <w:tcW w:w="1210" w:type="dxa"/>
          </w:tcPr>
          <w:p w14:paraId="6D65B0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71342B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7979AD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4BFA54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10" w:type="dxa"/>
          </w:tcPr>
          <w:p w14:paraId="5D8DE0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07C14B17" w14:textId="77777777">
        <w:tc>
          <w:tcPr>
            <w:tcW w:w="3528" w:type="dxa"/>
          </w:tcPr>
          <w:p w14:paraId="3814F6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МР5—5бис с 2-мня деревянными лодками</w:t>
            </w:r>
          </w:p>
        </w:tc>
        <w:tc>
          <w:tcPr>
            <w:tcW w:w="1210" w:type="dxa"/>
          </w:tcPr>
          <w:p w14:paraId="172F7C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13B6F5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6CE8EC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3EC8E8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3C7FA3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1C906D08" w14:textId="77777777">
        <w:tc>
          <w:tcPr>
            <w:tcW w:w="3528" w:type="dxa"/>
          </w:tcPr>
          <w:p w14:paraId="1D6A72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РОМ-2 бис модификац. Самол. РОМ2</w:t>
            </w:r>
          </w:p>
        </w:tc>
        <w:tc>
          <w:tcPr>
            <w:tcW w:w="1210" w:type="dxa"/>
          </w:tcPr>
          <w:p w14:paraId="17B639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220000</w:t>
            </w:r>
          </w:p>
        </w:tc>
        <w:tc>
          <w:tcPr>
            <w:tcW w:w="1210" w:type="dxa"/>
          </w:tcPr>
          <w:p w14:paraId="44C941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77D7A0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1210" w:type="dxa"/>
          </w:tcPr>
          <w:p w14:paraId="263B70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51614B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3419D8DB" w14:textId="77777777">
        <w:tc>
          <w:tcPr>
            <w:tcW w:w="3528" w:type="dxa"/>
          </w:tcPr>
          <w:p w14:paraId="6BB387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ТОМ-2 - М-17</w:t>
            </w:r>
          </w:p>
        </w:tc>
        <w:tc>
          <w:tcPr>
            <w:tcW w:w="1210" w:type="dxa"/>
          </w:tcPr>
          <w:p w14:paraId="616C95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500000</w:t>
            </w:r>
          </w:p>
        </w:tc>
        <w:tc>
          <w:tcPr>
            <w:tcW w:w="1210" w:type="dxa"/>
          </w:tcPr>
          <w:p w14:paraId="1DBB3E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500000</w:t>
            </w:r>
          </w:p>
        </w:tc>
        <w:tc>
          <w:tcPr>
            <w:tcW w:w="1210" w:type="dxa"/>
          </w:tcPr>
          <w:p w14:paraId="33621E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564AC8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0E06C0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7E7B602" w14:textId="77777777">
        <w:tc>
          <w:tcPr>
            <w:tcW w:w="3528" w:type="dxa"/>
          </w:tcPr>
          <w:p w14:paraId="5EA10B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МУ3</w:t>
            </w:r>
          </w:p>
        </w:tc>
        <w:tc>
          <w:tcPr>
            <w:tcW w:w="1210" w:type="dxa"/>
          </w:tcPr>
          <w:p w14:paraId="63489A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736486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tc>
        <w:tc>
          <w:tcPr>
            <w:tcW w:w="1210" w:type="dxa"/>
          </w:tcPr>
          <w:p w14:paraId="728D4C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tc>
        <w:tc>
          <w:tcPr>
            <w:tcW w:w="1210" w:type="dxa"/>
          </w:tcPr>
          <w:p w14:paraId="31B58F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1D3EA9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29B203A" w14:textId="77777777">
        <w:tc>
          <w:tcPr>
            <w:tcW w:w="3528" w:type="dxa"/>
          </w:tcPr>
          <w:p w14:paraId="5F3E28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МРД-2 М33/М34</w:t>
            </w:r>
          </w:p>
        </w:tc>
        <w:tc>
          <w:tcPr>
            <w:tcW w:w="1210" w:type="dxa"/>
          </w:tcPr>
          <w:p w14:paraId="6E9AB1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1000000</w:t>
            </w:r>
          </w:p>
        </w:tc>
        <w:tc>
          <w:tcPr>
            <w:tcW w:w="1210" w:type="dxa"/>
          </w:tcPr>
          <w:p w14:paraId="3F8E15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48CA6D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600000</w:t>
            </w:r>
          </w:p>
        </w:tc>
        <w:tc>
          <w:tcPr>
            <w:tcW w:w="1210" w:type="dxa"/>
          </w:tcPr>
          <w:p w14:paraId="18E57E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37318A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AD99534" w14:textId="77777777">
        <w:tc>
          <w:tcPr>
            <w:tcW w:w="3528" w:type="dxa"/>
          </w:tcPr>
          <w:p w14:paraId="14300E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МРБ-М33/34</w:t>
            </w:r>
          </w:p>
        </w:tc>
        <w:tc>
          <w:tcPr>
            <w:tcW w:w="1210" w:type="dxa"/>
          </w:tcPr>
          <w:p w14:paraId="12B22E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210" w:type="dxa"/>
          </w:tcPr>
          <w:p w14:paraId="58BFD2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520BC6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210" w:type="dxa"/>
          </w:tcPr>
          <w:p w14:paraId="28BFBF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5F26B4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FC2B5A8" w14:textId="77777777">
        <w:tc>
          <w:tcPr>
            <w:tcW w:w="3528" w:type="dxa"/>
          </w:tcPr>
          <w:p w14:paraId="383DDA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Новые работы (модификация выпущ. типов)</w:t>
            </w:r>
          </w:p>
        </w:tc>
        <w:tc>
          <w:tcPr>
            <w:tcW w:w="1210" w:type="dxa"/>
          </w:tcPr>
          <w:p w14:paraId="37FC44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3200000</w:t>
            </w:r>
          </w:p>
        </w:tc>
        <w:tc>
          <w:tcPr>
            <w:tcW w:w="1210" w:type="dxa"/>
          </w:tcPr>
          <w:p w14:paraId="63DB8C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210" w:type="dxa"/>
          </w:tcPr>
          <w:p w14:paraId="78BB52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130000</w:t>
            </w:r>
          </w:p>
        </w:tc>
        <w:tc>
          <w:tcPr>
            <w:tcW w:w="1210" w:type="dxa"/>
          </w:tcPr>
          <w:p w14:paraId="4568D8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800000</w:t>
            </w:r>
          </w:p>
        </w:tc>
        <w:tc>
          <w:tcPr>
            <w:tcW w:w="1210" w:type="dxa"/>
          </w:tcPr>
          <w:p w14:paraId="62555C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1100000</w:t>
            </w:r>
          </w:p>
        </w:tc>
      </w:tr>
      <w:tr w:rsidR="00A61694" w:rsidRPr="00507A31" w14:paraId="25B4C596" w14:textId="77777777">
        <w:tc>
          <w:tcPr>
            <w:tcW w:w="3528" w:type="dxa"/>
          </w:tcPr>
          <w:p w14:paraId="6BBFFD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 ПО МОРСКИМ САМОЛЕТАМ</w:t>
            </w:r>
          </w:p>
        </w:tc>
        <w:tc>
          <w:tcPr>
            <w:tcW w:w="1210" w:type="dxa"/>
          </w:tcPr>
          <w:p w14:paraId="3F67EB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4450000</w:t>
            </w:r>
          </w:p>
        </w:tc>
        <w:tc>
          <w:tcPr>
            <w:tcW w:w="1210" w:type="dxa"/>
          </w:tcPr>
          <w:p w14:paraId="10BF53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1150000</w:t>
            </w:r>
          </w:p>
        </w:tc>
        <w:tc>
          <w:tcPr>
            <w:tcW w:w="1210" w:type="dxa"/>
          </w:tcPr>
          <w:p w14:paraId="170055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1100000</w:t>
            </w:r>
          </w:p>
        </w:tc>
        <w:tc>
          <w:tcPr>
            <w:tcW w:w="1210" w:type="dxa"/>
          </w:tcPr>
          <w:p w14:paraId="02DC9C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1100000</w:t>
            </w:r>
          </w:p>
        </w:tc>
        <w:tc>
          <w:tcPr>
            <w:tcW w:w="1210" w:type="dxa"/>
          </w:tcPr>
          <w:p w14:paraId="646585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1100000</w:t>
            </w:r>
          </w:p>
        </w:tc>
      </w:tr>
      <w:tr w:rsidR="00A61694" w:rsidRPr="00507A31" w14:paraId="40C642DA" w14:textId="77777777">
        <w:tc>
          <w:tcPr>
            <w:tcW w:w="3528" w:type="dxa"/>
          </w:tcPr>
          <w:p w14:paraId="230CC8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 ПО САМОЛЕТАМ</w:t>
            </w:r>
          </w:p>
        </w:tc>
        <w:tc>
          <w:tcPr>
            <w:tcW w:w="1210" w:type="dxa"/>
          </w:tcPr>
          <w:p w14:paraId="3C8270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10040000</w:t>
            </w:r>
          </w:p>
        </w:tc>
        <w:tc>
          <w:tcPr>
            <w:tcW w:w="1210" w:type="dxa"/>
          </w:tcPr>
          <w:p w14:paraId="732A2F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2120000</w:t>
            </w:r>
          </w:p>
        </w:tc>
        <w:tc>
          <w:tcPr>
            <w:tcW w:w="1210" w:type="dxa"/>
          </w:tcPr>
          <w:p w14:paraId="346011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2720000</w:t>
            </w:r>
          </w:p>
        </w:tc>
        <w:tc>
          <w:tcPr>
            <w:tcW w:w="1210" w:type="dxa"/>
          </w:tcPr>
          <w:p w14:paraId="64810B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2600000</w:t>
            </w:r>
          </w:p>
        </w:tc>
        <w:tc>
          <w:tcPr>
            <w:tcW w:w="1210" w:type="dxa"/>
          </w:tcPr>
          <w:p w14:paraId="45B160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2600000</w:t>
            </w:r>
          </w:p>
        </w:tc>
      </w:tr>
      <w:tr w:rsidR="00A61694" w:rsidRPr="00507A31" w14:paraId="63D0621D" w14:textId="77777777">
        <w:tc>
          <w:tcPr>
            <w:tcW w:w="3528" w:type="dxa"/>
          </w:tcPr>
          <w:p w14:paraId="10FF89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 них валюты</w:t>
            </w:r>
          </w:p>
        </w:tc>
        <w:tc>
          <w:tcPr>
            <w:tcW w:w="1210" w:type="dxa"/>
          </w:tcPr>
          <w:p w14:paraId="364E9B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340000</w:t>
            </w:r>
          </w:p>
        </w:tc>
        <w:tc>
          <w:tcPr>
            <w:tcW w:w="1210" w:type="dxa"/>
          </w:tcPr>
          <w:p w14:paraId="00B842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210" w:type="dxa"/>
          </w:tcPr>
          <w:p w14:paraId="37DCEB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c>
          <w:tcPr>
            <w:tcW w:w="1210" w:type="dxa"/>
          </w:tcPr>
          <w:p w14:paraId="313E43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800000</w:t>
            </w:r>
          </w:p>
        </w:tc>
        <w:tc>
          <w:tcPr>
            <w:tcW w:w="1210" w:type="dxa"/>
          </w:tcPr>
          <w:p w14:paraId="3CA011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r>
      <w:tr w:rsidR="00A61694" w:rsidRPr="00507A31" w14:paraId="7A1175AF" w14:textId="77777777">
        <w:tc>
          <w:tcPr>
            <w:tcW w:w="3528" w:type="dxa"/>
          </w:tcPr>
          <w:p w14:paraId="4C50E7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Капитальные затраты</w:t>
            </w:r>
          </w:p>
        </w:tc>
        <w:tc>
          <w:tcPr>
            <w:tcW w:w="1210" w:type="dxa"/>
          </w:tcPr>
          <w:p w14:paraId="56D0C1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4000000</w:t>
            </w:r>
          </w:p>
        </w:tc>
        <w:tc>
          <w:tcPr>
            <w:tcW w:w="1210" w:type="dxa"/>
          </w:tcPr>
          <w:p w14:paraId="21A00A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210" w:type="dxa"/>
          </w:tcPr>
          <w:p w14:paraId="13C1F3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2750000</w:t>
            </w:r>
          </w:p>
        </w:tc>
        <w:tc>
          <w:tcPr>
            <w:tcW w:w="1210" w:type="dxa"/>
          </w:tcPr>
          <w:p w14:paraId="12972C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1000000</w:t>
            </w:r>
          </w:p>
        </w:tc>
        <w:tc>
          <w:tcPr>
            <w:tcW w:w="1210" w:type="dxa"/>
          </w:tcPr>
          <w:p w14:paraId="4C8088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34C4C5C" w14:textId="77777777">
        <w:tc>
          <w:tcPr>
            <w:tcW w:w="3528" w:type="dxa"/>
          </w:tcPr>
          <w:p w14:paraId="0ADCC4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 них валюты</w:t>
            </w:r>
          </w:p>
        </w:tc>
        <w:tc>
          <w:tcPr>
            <w:tcW w:w="1210" w:type="dxa"/>
          </w:tcPr>
          <w:p w14:paraId="526625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320000</w:t>
            </w:r>
          </w:p>
        </w:tc>
        <w:tc>
          <w:tcPr>
            <w:tcW w:w="1210" w:type="dxa"/>
          </w:tcPr>
          <w:p w14:paraId="33B8EF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1210" w:type="dxa"/>
          </w:tcPr>
          <w:p w14:paraId="58DBDD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05C6DB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210" w:type="dxa"/>
          </w:tcPr>
          <w:p w14:paraId="38E34E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1112616" w14:textId="77777777">
        <w:tc>
          <w:tcPr>
            <w:tcW w:w="3528" w:type="dxa"/>
          </w:tcPr>
          <w:p w14:paraId="211A1F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Закупка оброзцов в валюте</w:t>
            </w:r>
          </w:p>
        </w:tc>
        <w:tc>
          <w:tcPr>
            <w:tcW w:w="1210" w:type="dxa"/>
          </w:tcPr>
          <w:p w14:paraId="0225B6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940000</w:t>
            </w:r>
          </w:p>
        </w:tc>
        <w:tc>
          <w:tcPr>
            <w:tcW w:w="1210" w:type="dxa"/>
          </w:tcPr>
          <w:p w14:paraId="7BDBE9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140000</w:t>
            </w:r>
          </w:p>
        </w:tc>
        <w:tc>
          <w:tcPr>
            <w:tcW w:w="1210" w:type="dxa"/>
          </w:tcPr>
          <w:p w14:paraId="3E9991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210" w:type="dxa"/>
          </w:tcPr>
          <w:p w14:paraId="245D3C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27D9FE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r>
      <w:tr w:rsidR="00A61694" w:rsidRPr="00507A31" w14:paraId="24A1C227" w14:textId="77777777">
        <w:tc>
          <w:tcPr>
            <w:tcW w:w="3528" w:type="dxa"/>
          </w:tcPr>
          <w:p w14:paraId="39EF00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Подготовка кадров</w:t>
            </w:r>
          </w:p>
        </w:tc>
        <w:tc>
          <w:tcPr>
            <w:tcW w:w="1210" w:type="dxa"/>
          </w:tcPr>
          <w:p w14:paraId="20F2CE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700000</w:t>
            </w:r>
          </w:p>
        </w:tc>
        <w:tc>
          <w:tcPr>
            <w:tcW w:w="1210" w:type="dxa"/>
          </w:tcPr>
          <w:p w14:paraId="1DDD27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280000</w:t>
            </w:r>
          </w:p>
        </w:tc>
        <w:tc>
          <w:tcPr>
            <w:tcW w:w="1210" w:type="dxa"/>
          </w:tcPr>
          <w:p w14:paraId="484659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170000</w:t>
            </w:r>
          </w:p>
        </w:tc>
        <w:tc>
          <w:tcPr>
            <w:tcW w:w="1210" w:type="dxa"/>
          </w:tcPr>
          <w:p w14:paraId="4DD23F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w:t>
            </w:r>
          </w:p>
        </w:tc>
        <w:tc>
          <w:tcPr>
            <w:tcW w:w="1210" w:type="dxa"/>
          </w:tcPr>
          <w:p w14:paraId="15EC48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w:t>
            </w:r>
          </w:p>
        </w:tc>
      </w:tr>
      <w:tr w:rsidR="00A61694" w:rsidRPr="00507A31" w14:paraId="751D3C86" w14:textId="77777777">
        <w:tc>
          <w:tcPr>
            <w:tcW w:w="3528" w:type="dxa"/>
          </w:tcPr>
          <w:p w14:paraId="6CA210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Загран. Командировки в валюте</w:t>
            </w:r>
          </w:p>
        </w:tc>
        <w:tc>
          <w:tcPr>
            <w:tcW w:w="1210" w:type="dxa"/>
          </w:tcPr>
          <w:p w14:paraId="206E89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210" w:type="dxa"/>
          </w:tcPr>
          <w:p w14:paraId="4B92D8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w:t>
            </w:r>
          </w:p>
        </w:tc>
        <w:tc>
          <w:tcPr>
            <w:tcW w:w="1210" w:type="dxa"/>
          </w:tcPr>
          <w:p w14:paraId="5B763E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w:t>
            </w:r>
          </w:p>
        </w:tc>
        <w:tc>
          <w:tcPr>
            <w:tcW w:w="1210" w:type="dxa"/>
          </w:tcPr>
          <w:p w14:paraId="623E7E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w:t>
            </w:r>
          </w:p>
        </w:tc>
        <w:tc>
          <w:tcPr>
            <w:tcW w:w="1210" w:type="dxa"/>
          </w:tcPr>
          <w:p w14:paraId="12918E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r>
      <w:tr w:rsidR="00A61694" w:rsidRPr="00507A31" w14:paraId="3A583C94" w14:textId="77777777">
        <w:tc>
          <w:tcPr>
            <w:tcW w:w="3528" w:type="dxa"/>
          </w:tcPr>
          <w:p w14:paraId="7DA7E1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Исследов. работи., винты, лыжи, нормали. и пр.</w:t>
            </w:r>
          </w:p>
        </w:tc>
        <w:tc>
          <w:tcPr>
            <w:tcW w:w="1210" w:type="dxa"/>
          </w:tcPr>
          <w:p w14:paraId="2C7F2F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1400000</w:t>
            </w:r>
          </w:p>
        </w:tc>
        <w:tc>
          <w:tcPr>
            <w:tcW w:w="1210" w:type="dxa"/>
          </w:tcPr>
          <w:p w14:paraId="263B9D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210" w:type="dxa"/>
          </w:tcPr>
          <w:p w14:paraId="581115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w:t>
            </w:r>
          </w:p>
        </w:tc>
        <w:tc>
          <w:tcPr>
            <w:tcW w:w="1210" w:type="dxa"/>
          </w:tcPr>
          <w:p w14:paraId="2262C3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w:t>
            </w:r>
          </w:p>
        </w:tc>
        <w:tc>
          <w:tcPr>
            <w:tcW w:w="1210" w:type="dxa"/>
          </w:tcPr>
          <w:p w14:paraId="41E2F1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w:t>
            </w:r>
          </w:p>
        </w:tc>
      </w:tr>
      <w:tr w:rsidR="00A61694" w:rsidRPr="00507A31" w14:paraId="3560F2E9" w14:textId="77777777">
        <w:tc>
          <w:tcPr>
            <w:tcW w:w="3528" w:type="dxa"/>
          </w:tcPr>
          <w:p w14:paraId="6618DB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Работы по опытному вооружению</w:t>
            </w:r>
          </w:p>
        </w:tc>
        <w:tc>
          <w:tcPr>
            <w:tcW w:w="1210" w:type="dxa"/>
          </w:tcPr>
          <w:p w14:paraId="62AE45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1240000</w:t>
            </w:r>
          </w:p>
        </w:tc>
        <w:tc>
          <w:tcPr>
            <w:tcW w:w="1210" w:type="dxa"/>
          </w:tcPr>
          <w:p w14:paraId="529F62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240000</w:t>
            </w:r>
          </w:p>
        </w:tc>
        <w:tc>
          <w:tcPr>
            <w:tcW w:w="1210" w:type="dxa"/>
          </w:tcPr>
          <w:p w14:paraId="47A0FB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210" w:type="dxa"/>
          </w:tcPr>
          <w:p w14:paraId="05D671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210" w:type="dxa"/>
          </w:tcPr>
          <w:p w14:paraId="0ED5A6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500000</w:t>
            </w:r>
          </w:p>
        </w:tc>
      </w:tr>
      <w:tr w:rsidR="00A61694" w:rsidRPr="00507A31" w14:paraId="48CFBE96" w14:textId="77777777">
        <w:tc>
          <w:tcPr>
            <w:tcW w:w="3528" w:type="dxa"/>
            <w:tcBorders>
              <w:bottom w:val="single" w:sz="12" w:space="0" w:color="auto"/>
            </w:tcBorders>
          </w:tcPr>
          <w:p w14:paraId="6353A4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210" w:type="dxa"/>
            <w:tcBorders>
              <w:bottom w:val="single" w:sz="12" w:space="0" w:color="auto"/>
            </w:tcBorders>
          </w:tcPr>
          <w:p w14:paraId="1AE9AD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18360000</w:t>
            </w:r>
          </w:p>
        </w:tc>
        <w:tc>
          <w:tcPr>
            <w:tcW w:w="1210" w:type="dxa"/>
            <w:tcBorders>
              <w:bottom w:val="single" w:sz="12" w:space="0" w:color="auto"/>
            </w:tcBorders>
          </w:tcPr>
          <w:p w14:paraId="11A926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3186000</w:t>
            </w:r>
          </w:p>
        </w:tc>
        <w:tc>
          <w:tcPr>
            <w:tcW w:w="1210" w:type="dxa"/>
            <w:tcBorders>
              <w:bottom w:val="single" w:sz="12" w:space="0" w:color="auto"/>
            </w:tcBorders>
          </w:tcPr>
          <w:p w14:paraId="212C6A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6602000</w:t>
            </w:r>
          </w:p>
        </w:tc>
        <w:tc>
          <w:tcPr>
            <w:tcW w:w="1210" w:type="dxa"/>
            <w:tcBorders>
              <w:bottom w:val="single" w:sz="12" w:space="0" w:color="auto"/>
            </w:tcBorders>
          </w:tcPr>
          <w:p w14:paraId="3FEDF6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4612000</w:t>
            </w:r>
          </w:p>
        </w:tc>
        <w:tc>
          <w:tcPr>
            <w:tcW w:w="1210" w:type="dxa"/>
            <w:tcBorders>
              <w:bottom w:val="single" w:sz="12" w:space="0" w:color="auto"/>
            </w:tcBorders>
          </w:tcPr>
          <w:p w14:paraId="271E19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3960000</w:t>
            </w:r>
          </w:p>
        </w:tc>
      </w:tr>
    </w:tbl>
    <w:p w14:paraId="64CF4B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(351).</w:t>
      </w:r>
    </w:p>
    <w:p w14:paraId="7F8D3A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ФИНАНСОВЫЙ ПЛАН ОПЫТНОГО МОТОРОСТРОЕНИЯ НА ПЯТИЛЕТКУ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60"/>
        <w:gridCol w:w="720"/>
        <w:gridCol w:w="650"/>
        <w:gridCol w:w="1060"/>
        <w:gridCol w:w="1080"/>
        <w:gridCol w:w="990"/>
        <w:gridCol w:w="1080"/>
        <w:gridCol w:w="1080"/>
        <w:gridCol w:w="810"/>
        <w:gridCol w:w="1530"/>
      </w:tblGrid>
      <w:tr w:rsidR="00A61694" w:rsidRPr="00507A31" w14:paraId="01182C38" w14:textId="77777777">
        <w:trPr>
          <w:trHeight w:val="278"/>
        </w:trPr>
        <w:tc>
          <w:tcPr>
            <w:tcW w:w="360" w:type="dxa"/>
            <w:tcBorders>
              <w:top w:val="single" w:sz="12" w:space="0" w:color="auto"/>
            </w:tcBorders>
          </w:tcPr>
          <w:p w14:paraId="6801EA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п/п</w:t>
            </w:r>
          </w:p>
        </w:tc>
        <w:tc>
          <w:tcPr>
            <w:tcW w:w="1370" w:type="dxa"/>
            <w:gridSpan w:val="2"/>
            <w:tcBorders>
              <w:top w:val="single" w:sz="12" w:space="0" w:color="auto"/>
            </w:tcBorders>
          </w:tcPr>
          <w:p w14:paraId="2C890F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ОБ'ЕКТЫ РАБОТ</w:t>
            </w:r>
          </w:p>
        </w:tc>
        <w:tc>
          <w:tcPr>
            <w:tcW w:w="6100" w:type="dxa"/>
            <w:gridSpan w:val="6"/>
            <w:tcBorders>
              <w:top w:val="single" w:sz="12" w:space="0" w:color="auto"/>
            </w:tcBorders>
          </w:tcPr>
          <w:p w14:paraId="211396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Потребность в кредитах'</w:t>
            </w:r>
          </w:p>
        </w:tc>
        <w:tc>
          <w:tcPr>
            <w:tcW w:w="1530" w:type="dxa"/>
            <w:tcBorders>
              <w:top w:val="single" w:sz="12" w:space="0" w:color="auto"/>
            </w:tcBorders>
          </w:tcPr>
          <w:p w14:paraId="077DD3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w:t>
            </w:r>
          </w:p>
        </w:tc>
      </w:tr>
      <w:tr w:rsidR="00A61694" w:rsidRPr="00507A31" w14:paraId="1B96E84E" w14:textId="77777777">
        <w:trPr>
          <w:trHeight w:val="269"/>
        </w:trPr>
        <w:tc>
          <w:tcPr>
            <w:tcW w:w="360" w:type="dxa"/>
          </w:tcPr>
          <w:p w14:paraId="1765146C" w14:textId="77777777" w:rsidR="00537E5F" w:rsidRPr="00507A31" w:rsidRDefault="00537E5F" w:rsidP="00507A31">
            <w:pPr>
              <w:autoSpaceDE w:val="0"/>
              <w:autoSpaceDN w:val="0"/>
              <w:adjustRightInd w:val="0"/>
              <w:jc w:val="both"/>
              <w:rPr>
                <w:color w:val="000000" w:themeColor="text1"/>
                <w:sz w:val="16"/>
                <w:szCs w:val="16"/>
              </w:rPr>
            </w:pPr>
          </w:p>
        </w:tc>
        <w:tc>
          <w:tcPr>
            <w:tcW w:w="720" w:type="dxa"/>
          </w:tcPr>
          <w:p w14:paraId="1BCD2F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Марка мотора</w:t>
            </w:r>
          </w:p>
        </w:tc>
        <w:tc>
          <w:tcPr>
            <w:tcW w:w="650" w:type="dxa"/>
          </w:tcPr>
          <w:p w14:paraId="29B48163" w14:textId="77777777" w:rsidR="00537E5F" w:rsidRPr="00507A31" w:rsidRDefault="00537E5F" w:rsidP="00507A31">
            <w:pPr>
              <w:autoSpaceDE w:val="0"/>
              <w:autoSpaceDN w:val="0"/>
              <w:adjustRightInd w:val="0"/>
              <w:jc w:val="both"/>
              <w:rPr>
                <w:color w:val="000000" w:themeColor="text1"/>
                <w:sz w:val="16"/>
                <w:szCs w:val="16"/>
              </w:rPr>
            </w:pPr>
          </w:p>
        </w:tc>
        <w:tc>
          <w:tcPr>
            <w:tcW w:w="1060" w:type="dxa"/>
          </w:tcPr>
          <w:p w14:paraId="0CD46C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1928/1929 г.</w:t>
            </w:r>
          </w:p>
        </w:tc>
        <w:tc>
          <w:tcPr>
            <w:tcW w:w="1080" w:type="dxa"/>
          </w:tcPr>
          <w:p w14:paraId="4C5234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1929/1930 г.</w:t>
            </w:r>
          </w:p>
        </w:tc>
        <w:tc>
          <w:tcPr>
            <w:tcW w:w="990" w:type="dxa"/>
          </w:tcPr>
          <w:p w14:paraId="08ADB4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1930/</w:t>
            </w:r>
            <w:r w:rsidRPr="00507A31">
              <w:rPr>
                <w:color w:val="000000" w:themeColor="text1"/>
                <w:sz w:val="16"/>
                <w:szCs w:val="16"/>
              </w:rPr>
              <w:t>1931 г.</w:t>
            </w:r>
          </w:p>
        </w:tc>
        <w:tc>
          <w:tcPr>
            <w:tcW w:w="1080" w:type="dxa"/>
          </w:tcPr>
          <w:p w14:paraId="0AFDBC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1931/ 1932 г.</w:t>
            </w:r>
          </w:p>
        </w:tc>
        <w:tc>
          <w:tcPr>
            <w:tcW w:w="1080" w:type="dxa"/>
          </w:tcPr>
          <w:p w14:paraId="4325B1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1932/</w:t>
            </w:r>
            <w:r w:rsidRPr="00507A31">
              <w:rPr>
                <w:color w:val="000000" w:themeColor="text1"/>
                <w:sz w:val="16"/>
                <w:szCs w:val="16"/>
              </w:rPr>
              <w:t>1933 г.</w:t>
            </w:r>
          </w:p>
        </w:tc>
        <w:tc>
          <w:tcPr>
            <w:tcW w:w="810" w:type="dxa"/>
          </w:tcPr>
          <w:p w14:paraId="180C9C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530" w:type="dxa"/>
          </w:tcPr>
          <w:p w14:paraId="36E21D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490757B6" w14:textId="77777777">
        <w:trPr>
          <w:trHeight w:val="643"/>
        </w:trPr>
        <w:tc>
          <w:tcPr>
            <w:tcW w:w="360" w:type="dxa"/>
          </w:tcPr>
          <w:p w14:paraId="075AAA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tc>
        <w:tc>
          <w:tcPr>
            <w:tcW w:w="720" w:type="dxa"/>
          </w:tcPr>
          <w:p w14:paraId="3C55DE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М-30</w:t>
            </w:r>
          </w:p>
        </w:tc>
        <w:tc>
          <w:tcPr>
            <w:tcW w:w="650" w:type="dxa"/>
          </w:tcPr>
          <w:p w14:paraId="453438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М-19</w:t>
            </w:r>
          </w:p>
        </w:tc>
        <w:tc>
          <w:tcPr>
            <w:tcW w:w="1060" w:type="dxa"/>
          </w:tcPr>
          <w:p w14:paraId="7F70B3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1AF7C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70000</w:t>
            </w:r>
          </w:p>
        </w:tc>
        <w:tc>
          <w:tcPr>
            <w:tcW w:w="990" w:type="dxa"/>
          </w:tcPr>
          <w:p w14:paraId="64421B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1080" w:type="dxa"/>
          </w:tcPr>
          <w:p w14:paraId="57372D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7AD06A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289011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90000</w:t>
            </w:r>
          </w:p>
        </w:tc>
        <w:tc>
          <w:tcPr>
            <w:tcW w:w="1530" w:type="dxa"/>
          </w:tcPr>
          <w:p w14:paraId="39F362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302E8A1C" w14:textId="77777777">
        <w:trPr>
          <w:trHeight w:val="490"/>
        </w:trPr>
        <w:tc>
          <w:tcPr>
            <w:tcW w:w="360" w:type="dxa"/>
          </w:tcPr>
          <w:p w14:paraId="39BCB9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tc>
        <w:tc>
          <w:tcPr>
            <w:tcW w:w="720" w:type="dxa"/>
          </w:tcPr>
          <w:p w14:paraId="1834DC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М-30</w:t>
            </w:r>
          </w:p>
        </w:tc>
        <w:tc>
          <w:tcPr>
            <w:tcW w:w="650" w:type="dxa"/>
          </w:tcPr>
          <w:p w14:paraId="3EFB6D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М-19С</w:t>
            </w:r>
          </w:p>
        </w:tc>
        <w:tc>
          <w:tcPr>
            <w:tcW w:w="1060" w:type="dxa"/>
          </w:tcPr>
          <w:p w14:paraId="4EAEE7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6F5BC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120000</w:t>
            </w:r>
          </w:p>
        </w:tc>
        <w:tc>
          <w:tcPr>
            <w:tcW w:w="990" w:type="dxa"/>
          </w:tcPr>
          <w:p w14:paraId="3C4F4D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080" w:type="dxa"/>
          </w:tcPr>
          <w:p w14:paraId="494ED8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70C1A9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50937F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w:t>
            </w:r>
          </w:p>
        </w:tc>
        <w:tc>
          <w:tcPr>
            <w:tcW w:w="1530" w:type="dxa"/>
          </w:tcPr>
          <w:p w14:paraId="4588E7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555D9350" w14:textId="77777777">
        <w:trPr>
          <w:trHeight w:val="499"/>
        </w:trPr>
        <w:tc>
          <w:tcPr>
            <w:tcW w:w="360" w:type="dxa"/>
          </w:tcPr>
          <w:p w14:paraId="04752F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tc>
        <w:tc>
          <w:tcPr>
            <w:tcW w:w="720" w:type="dxa"/>
          </w:tcPr>
          <w:p w14:paraId="1EA0F8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М-31.</w:t>
            </w:r>
          </w:p>
        </w:tc>
        <w:tc>
          <w:tcPr>
            <w:tcW w:w="650" w:type="dxa"/>
          </w:tcPr>
          <w:p w14:paraId="207182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М-19</w:t>
            </w:r>
          </w:p>
        </w:tc>
        <w:tc>
          <w:tcPr>
            <w:tcW w:w="1060" w:type="dxa"/>
          </w:tcPr>
          <w:p w14:paraId="3DA77C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5D6F8A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305000</w:t>
            </w:r>
          </w:p>
        </w:tc>
        <w:tc>
          <w:tcPr>
            <w:tcW w:w="990" w:type="dxa"/>
          </w:tcPr>
          <w:p w14:paraId="1B0FF0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185000</w:t>
            </w:r>
          </w:p>
        </w:tc>
        <w:tc>
          <w:tcPr>
            <w:tcW w:w="1080" w:type="dxa"/>
          </w:tcPr>
          <w:p w14:paraId="4D81F9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080" w:type="dxa"/>
          </w:tcPr>
          <w:p w14:paraId="0E3AAF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7C6899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530" w:type="dxa"/>
          </w:tcPr>
          <w:p w14:paraId="53C55B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3CF7E108" w14:textId="77777777">
        <w:trPr>
          <w:trHeight w:val="499"/>
        </w:trPr>
        <w:tc>
          <w:tcPr>
            <w:tcW w:w="360" w:type="dxa"/>
          </w:tcPr>
          <w:p w14:paraId="01E957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tc>
        <w:tc>
          <w:tcPr>
            <w:tcW w:w="720" w:type="dxa"/>
          </w:tcPr>
          <w:p w14:paraId="6FD28C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М-32</w:t>
            </w:r>
          </w:p>
        </w:tc>
        <w:tc>
          <w:tcPr>
            <w:tcW w:w="650" w:type="dxa"/>
          </w:tcPr>
          <w:p w14:paraId="7B5A92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5CBC75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44FDB1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537FD2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130000</w:t>
            </w:r>
          </w:p>
        </w:tc>
        <w:tc>
          <w:tcPr>
            <w:tcW w:w="1080" w:type="dxa"/>
          </w:tcPr>
          <w:p w14:paraId="69CD21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160000</w:t>
            </w:r>
          </w:p>
        </w:tc>
        <w:tc>
          <w:tcPr>
            <w:tcW w:w="1080" w:type="dxa"/>
          </w:tcPr>
          <w:p w14:paraId="7D7CA8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810" w:type="dxa"/>
          </w:tcPr>
          <w:p w14:paraId="3265D5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530" w:type="dxa"/>
          </w:tcPr>
          <w:p w14:paraId="07CC20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5435083F" w14:textId="77777777">
        <w:trPr>
          <w:trHeight w:val="509"/>
        </w:trPr>
        <w:tc>
          <w:tcPr>
            <w:tcW w:w="360" w:type="dxa"/>
          </w:tcPr>
          <w:p w14:paraId="0C80BF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tc>
        <w:tc>
          <w:tcPr>
            <w:tcW w:w="720" w:type="dxa"/>
          </w:tcPr>
          <w:p w14:paraId="423048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М-33з</w:t>
            </w:r>
          </w:p>
        </w:tc>
        <w:tc>
          <w:tcPr>
            <w:tcW w:w="650" w:type="dxa"/>
          </w:tcPr>
          <w:p w14:paraId="51573A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М-27</w:t>
            </w:r>
          </w:p>
        </w:tc>
        <w:tc>
          <w:tcPr>
            <w:tcW w:w="1060" w:type="dxa"/>
          </w:tcPr>
          <w:p w14:paraId="1A66E7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78CD66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220000</w:t>
            </w:r>
          </w:p>
        </w:tc>
        <w:tc>
          <w:tcPr>
            <w:tcW w:w="990" w:type="dxa"/>
          </w:tcPr>
          <w:p w14:paraId="7AD7E2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tc>
        <w:tc>
          <w:tcPr>
            <w:tcW w:w="1080" w:type="dxa"/>
          </w:tcPr>
          <w:p w14:paraId="470A55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7290C0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362536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270000</w:t>
            </w:r>
          </w:p>
        </w:tc>
        <w:tc>
          <w:tcPr>
            <w:tcW w:w="1530" w:type="dxa"/>
          </w:tcPr>
          <w:p w14:paraId="4C9A3D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7D2CBA9C" w14:textId="77777777">
        <w:trPr>
          <w:trHeight w:val="499"/>
        </w:trPr>
        <w:tc>
          <w:tcPr>
            <w:tcW w:w="360" w:type="dxa"/>
          </w:tcPr>
          <w:p w14:paraId="118A49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w:t>
            </w:r>
          </w:p>
        </w:tc>
        <w:tc>
          <w:tcPr>
            <w:tcW w:w="720" w:type="dxa"/>
          </w:tcPr>
          <w:p w14:paraId="012174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М-34</w:t>
            </w:r>
          </w:p>
        </w:tc>
        <w:tc>
          <w:tcPr>
            <w:tcW w:w="650" w:type="dxa"/>
          </w:tcPr>
          <w:p w14:paraId="7B86F6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М-27</w:t>
            </w:r>
          </w:p>
        </w:tc>
        <w:tc>
          <w:tcPr>
            <w:tcW w:w="1060" w:type="dxa"/>
          </w:tcPr>
          <w:p w14:paraId="03A4E5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680B4E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990" w:type="dxa"/>
          </w:tcPr>
          <w:p w14:paraId="14BE11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210000</w:t>
            </w:r>
          </w:p>
        </w:tc>
        <w:tc>
          <w:tcPr>
            <w:tcW w:w="1080" w:type="dxa"/>
          </w:tcPr>
          <w:p w14:paraId="5AAE7D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080" w:type="dxa"/>
          </w:tcPr>
          <w:p w14:paraId="731546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1250A9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260000</w:t>
            </w:r>
          </w:p>
        </w:tc>
        <w:tc>
          <w:tcPr>
            <w:tcW w:w="1530" w:type="dxa"/>
          </w:tcPr>
          <w:p w14:paraId="3B95CE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7C2F8EDA" w14:textId="77777777">
        <w:trPr>
          <w:trHeight w:val="490"/>
        </w:trPr>
        <w:tc>
          <w:tcPr>
            <w:tcW w:w="360" w:type="dxa"/>
          </w:tcPr>
          <w:p w14:paraId="37FFEE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w:t>
            </w:r>
          </w:p>
        </w:tc>
        <w:tc>
          <w:tcPr>
            <w:tcW w:w="720" w:type="dxa"/>
          </w:tcPr>
          <w:p w14:paraId="707A14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М-34</w:t>
            </w:r>
          </w:p>
        </w:tc>
        <w:tc>
          <w:tcPr>
            <w:tcW w:w="650" w:type="dxa"/>
          </w:tcPr>
          <w:p w14:paraId="166228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М-27</w:t>
            </w:r>
          </w:p>
        </w:tc>
        <w:tc>
          <w:tcPr>
            <w:tcW w:w="1060" w:type="dxa"/>
          </w:tcPr>
          <w:p w14:paraId="4EB978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3C6099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60FB08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080" w:type="dxa"/>
          </w:tcPr>
          <w:p w14:paraId="198D7A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210000</w:t>
            </w:r>
          </w:p>
        </w:tc>
        <w:tc>
          <w:tcPr>
            <w:tcW w:w="1080" w:type="dxa"/>
          </w:tcPr>
          <w:p w14:paraId="63A880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810" w:type="dxa"/>
          </w:tcPr>
          <w:p w14:paraId="5246B7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530" w:type="dxa"/>
          </w:tcPr>
          <w:p w14:paraId="7DECB0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3F356413" w14:textId="77777777">
        <w:trPr>
          <w:trHeight w:val="509"/>
        </w:trPr>
        <w:tc>
          <w:tcPr>
            <w:tcW w:w="360" w:type="dxa"/>
          </w:tcPr>
          <w:p w14:paraId="47883F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w:t>
            </w:r>
          </w:p>
        </w:tc>
        <w:tc>
          <w:tcPr>
            <w:tcW w:w="720" w:type="dxa"/>
          </w:tcPr>
          <w:p w14:paraId="50FCBA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М-28</w:t>
            </w:r>
          </w:p>
        </w:tc>
        <w:tc>
          <w:tcPr>
            <w:tcW w:w="650" w:type="dxa"/>
          </w:tcPr>
          <w:p w14:paraId="0A9B26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7D1F17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CD9DC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990" w:type="dxa"/>
          </w:tcPr>
          <w:p w14:paraId="3CE5FA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280000</w:t>
            </w:r>
          </w:p>
        </w:tc>
        <w:tc>
          <w:tcPr>
            <w:tcW w:w="1080" w:type="dxa"/>
          </w:tcPr>
          <w:p w14:paraId="5DB68A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tc>
        <w:tc>
          <w:tcPr>
            <w:tcW w:w="1080" w:type="dxa"/>
          </w:tcPr>
          <w:p w14:paraId="3EE88E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7ABA17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530" w:type="dxa"/>
          </w:tcPr>
          <w:p w14:paraId="501E8D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408D7FD8" w14:textId="77777777">
        <w:trPr>
          <w:trHeight w:val="509"/>
        </w:trPr>
        <w:tc>
          <w:tcPr>
            <w:tcW w:w="360" w:type="dxa"/>
          </w:tcPr>
          <w:p w14:paraId="7E4D12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w:t>
            </w:r>
          </w:p>
        </w:tc>
        <w:tc>
          <w:tcPr>
            <w:tcW w:w="720" w:type="dxa"/>
          </w:tcPr>
          <w:p w14:paraId="6DC604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М-35</w:t>
            </w:r>
          </w:p>
        </w:tc>
        <w:tc>
          <w:tcPr>
            <w:tcW w:w="650" w:type="dxa"/>
          </w:tcPr>
          <w:p w14:paraId="60AD3B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70C43C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3358F1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763FF7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080" w:type="dxa"/>
          </w:tcPr>
          <w:p w14:paraId="0F0690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230000</w:t>
            </w:r>
          </w:p>
        </w:tc>
        <w:tc>
          <w:tcPr>
            <w:tcW w:w="1080" w:type="dxa"/>
          </w:tcPr>
          <w:p w14:paraId="09DB2A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810" w:type="dxa"/>
          </w:tcPr>
          <w:p w14:paraId="37FA37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270000</w:t>
            </w:r>
          </w:p>
        </w:tc>
        <w:tc>
          <w:tcPr>
            <w:tcW w:w="1530" w:type="dxa"/>
          </w:tcPr>
          <w:p w14:paraId="152B7E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667C9BE7" w14:textId="77777777">
        <w:trPr>
          <w:trHeight w:val="490"/>
        </w:trPr>
        <w:tc>
          <w:tcPr>
            <w:tcW w:w="360" w:type="dxa"/>
          </w:tcPr>
          <w:p w14:paraId="0F6E64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tc>
        <w:tc>
          <w:tcPr>
            <w:tcW w:w="720" w:type="dxa"/>
          </w:tcPr>
          <w:p w14:paraId="18FF28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М-36</w:t>
            </w:r>
          </w:p>
        </w:tc>
        <w:tc>
          <w:tcPr>
            <w:tcW w:w="650" w:type="dxa"/>
          </w:tcPr>
          <w:p w14:paraId="0FBC8C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2М-15</w:t>
            </w:r>
          </w:p>
        </w:tc>
        <w:tc>
          <w:tcPr>
            <w:tcW w:w="1060" w:type="dxa"/>
          </w:tcPr>
          <w:p w14:paraId="4F5C13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1A6B3A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85000</w:t>
            </w:r>
          </w:p>
        </w:tc>
        <w:tc>
          <w:tcPr>
            <w:tcW w:w="990" w:type="dxa"/>
          </w:tcPr>
          <w:p w14:paraId="1E9CD2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w:t>
            </w:r>
          </w:p>
        </w:tc>
        <w:tc>
          <w:tcPr>
            <w:tcW w:w="1080" w:type="dxa"/>
          </w:tcPr>
          <w:p w14:paraId="013C34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7DC566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u w:val="single"/>
              </w:rPr>
              <w:t>-</w:t>
            </w:r>
          </w:p>
        </w:tc>
        <w:tc>
          <w:tcPr>
            <w:tcW w:w="810" w:type="dxa"/>
          </w:tcPr>
          <w:p w14:paraId="190BF9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530" w:type="dxa"/>
          </w:tcPr>
          <w:p w14:paraId="7B7585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1D751D2F" w14:textId="77777777">
        <w:trPr>
          <w:trHeight w:val="509"/>
        </w:trPr>
        <w:tc>
          <w:tcPr>
            <w:tcW w:w="360" w:type="dxa"/>
          </w:tcPr>
          <w:p w14:paraId="5575E8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w:t>
            </w:r>
          </w:p>
        </w:tc>
        <w:tc>
          <w:tcPr>
            <w:tcW w:w="720" w:type="dxa"/>
          </w:tcPr>
          <w:p w14:paraId="276A17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М-37</w:t>
            </w:r>
          </w:p>
        </w:tc>
        <w:tc>
          <w:tcPr>
            <w:tcW w:w="650" w:type="dxa"/>
          </w:tcPr>
          <w:p w14:paraId="2C1BCB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2М-15</w:t>
            </w:r>
          </w:p>
        </w:tc>
        <w:tc>
          <w:tcPr>
            <w:tcW w:w="1060" w:type="dxa"/>
          </w:tcPr>
          <w:p w14:paraId="416549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65AFE3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990" w:type="dxa"/>
          </w:tcPr>
          <w:p w14:paraId="27C590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160000</w:t>
            </w:r>
          </w:p>
        </w:tc>
        <w:tc>
          <w:tcPr>
            <w:tcW w:w="1080" w:type="dxa"/>
          </w:tcPr>
          <w:p w14:paraId="613E57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080" w:type="dxa"/>
          </w:tcPr>
          <w:p w14:paraId="2F9CAA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284831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220000</w:t>
            </w:r>
          </w:p>
        </w:tc>
        <w:tc>
          <w:tcPr>
            <w:tcW w:w="1530" w:type="dxa"/>
          </w:tcPr>
          <w:p w14:paraId="748E98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716FDABC" w14:textId="77777777">
        <w:trPr>
          <w:trHeight w:val="432"/>
        </w:trPr>
        <w:tc>
          <w:tcPr>
            <w:tcW w:w="360" w:type="dxa"/>
          </w:tcPr>
          <w:p w14:paraId="30ED66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w:t>
            </w:r>
          </w:p>
        </w:tc>
        <w:tc>
          <w:tcPr>
            <w:tcW w:w="720" w:type="dxa"/>
          </w:tcPr>
          <w:p w14:paraId="1E9047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Р-38</w:t>
            </w:r>
          </w:p>
        </w:tc>
        <w:tc>
          <w:tcPr>
            <w:tcW w:w="650" w:type="dxa"/>
          </w:tcPr>
          <w:p w14:paraId="2020B9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2287BE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4C951C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0F61FD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1080" w:type="dxa"/>
          </w:tcPr>
          <w:p w14:paraId="3D4455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w:t>
            </w:r>
          </w:p>
        </w:tc>
        <w:tc>
          <w:tcPr>
            <w:tcW w:w="1080" w:type="dxa"/>
          </w:tcPr>
          <w:p w14:paraId="0193E8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35000</w:t>
            </w:r>
          </w:p>
        </w:tc>
        <w:tc>
          <w:tcPr>
            <w:tcW w:w="810" w:type="dxa"/>
          </w:tcPr>
          <w:p w14:paraId="2257F3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230000</w:t>
            </w:r>
          </w:p>
        </w:tc>
        <w:tc>
          <w:tcPr>
            <w:tcW w:w="1530" w:type="dxa"/>
          </w:tcPr>
          <w:p w14:paraId="2328DB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46CCBF41" w14:textId="77777777">
        <w:trPr>
          <w:trHeight w:val="605"/>
        </w:trPr>
        <w:tc>
          <w:tcPr>
            <w:tcW w:w="360" w:type="dxa"/>
          </w:tcPr>
          <w:p w14:paraId="6B2754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w:t>
            </w:r>
          </w:p>
        </w:tc>
        <w:tc>
          <w:tcPr>
            <w:tcW w:w="720" w:type="dxa"/>
          </w:tcPr>
          <w:p w14:paraId="5EE167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М-39</w:t>
            </w:r>
          </w:p>
        </w:tc>
        <w:tc>
          <w:tcPr>
            <w:tcW w:w="650" w:type="dxa"/>
          </w:tcPr>
          <w:p w14:paraId="084B76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М-29</w:t>
            </w:r>
          </w:p>
        </w:tc>
        <w:tc>
          <w:tcPr>
            <w:tcW w:w="1060" w:type="dxa"/>
          </w:tcPr>
          <w:p w14:paraId="522055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3D8A37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230000</w:t>
            </w:r>
          </w:p>
        </w:tc>
        <w:tc>
          <w:tcPr>
            <w:tcW w:w="990" w:type="dxa"/>
          </w:tcPr>
          <w:p w14:paraId="7A7D49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080" w:type="dxa"/>
          </w:tcPr>
          <w:p w14:paraId="337506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B9863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1036D3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290000</w:t>
            </w:r>
          </w:p>
        </w:tc>
        <w:tc>
          <w:tcPr>
            <w:tcW w:w="1530" w:type="dxa"/>
          </w:tcPr>
          <w:p w14:paraId="2258E1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5E5D3379" w14:textId="77777777">
        <w:trPr>
          <w:trHeight w:val="451"/>
        </w:trPr>
        <w:tc>
          <w:tcPr>
            <w:tcW w:w="360" w:type="dxa"/>
          </w:tcPr>
          <w:p w14:paraId="37D204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w:t>
            </w:r>
          </w:p>
        </w:tc>
        <w:tc>
          <w:tcPr>
            <w:tcW w:w="720" w:type="dxa"/>
          </w:tcPr>
          <w:p w14:paraId="0EFD74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М-39</w:t>
            </w:r>
          </w:p>
        </w:tc>
        <w:tc>
          <w:tcPr>
            <w:tcW w:w="650" w:type="dxa"/>
          </w:tcPr>
          <w:p w14:paraId="2C746F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М-29</w:t>
            </w:r>
          </w:p>
        </w:tc>
        <w:tc>
          <w:tcPr>
            <w:tcW w:w="1060" w:type="dxa"/>
          </w:tcPr>
          <w:p w14:paraId="09E71A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01F580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990" w:type="dxa"/>
          </w:tcPr>
          <w:p w14:paraId="424082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230000</w:t>
            </w:r>
          </w:p>
        </w:tc>
        <w:tc>
          <w:tcPr>
            <w:tcW w:w="1080" w:type="dxa"/>
          </w:tcPr>
          <w:p w14:paraId="3FC9D1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65000</w:t>
            </w:r>
          </w:p>
        </w:tc>
        <w:tc>
          <w:tcPr>
            <w:tcW w:w="1080" w:type="dxa"/>
          </w:tcPr>
          <w:p w14:paraId="3C88C5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66181C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530" w:type="dxa"/>
          </w:tcPr>
          <w:p w14:paraId="461CEA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0ABA1462" w14:textId="77777777">
        <w:trPr>
          <w:trHeight w:val="490"/>
        </w:trPr>
        <w:tc>
          <w:tcPr>
            <w:tcW w:w="360" w:type="dxa"/>
          </w:tcPr>
          <w:p w14:paraId="388C96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tc>
        <w:tc>
          <w:tcPr>
            <w:tcW w:w="720" w:type="dxa"/>
          </w:tcPr>
          <w:p w14:paraId="046DFC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М-40.</w:t>
            </w:r>
          </w:p>
        </w:tc>
        <w:tc>
          <w:tcPr>
            <w:tcW w:w="650" w:type="dxa"/>
          </w:tcPr>
          <w:p w14:paraId="0A6F66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6EC09E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6E85E7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2202CF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080" w:type="dxa"/>
          </w:tcPr>
          <w:p w14:paraId="60E396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245000</w:t>
            </w:r>
          </w:p>
        </w:tc>
        <w:tc>
          <w:tcPr>
            <w:tcW w:w="1080" w:type="dxa"/>
          </w:tcPr>
          <w:p w14:paraId="1608C5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55000</w:t>
            </w:r>
          </w:p>
        </w:tc>
        <w:tc>
          <w:tcPr>
            <w:tcW w:w="810" w:type="dxa"/>
          </w:tcPr>
          <w:p w14:paraId="699D44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330000</w:t>
            </w:r>
          </w:p>
        </w:tc>
        <w:tc>
          <w:tcPr>
            <w:tcW w:w="1530" w:type="dxa"/>
          </w:tcPr>
          <w:p w14:paraId="515025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 экз.</w:t>
            </w:r>
          </w:p>
        </w:tc>
      </w:tr>
      <w:tr w:rsidR="00A61694" w:rsidRPr="00507A31" w14:paraId="33A644AE" w14:textId="77777777">
        <w:trPr>
          <w:trHeight w:val="403"/>
        </w:trPr>
        <w:tc>
          <w:tcPr>
            <w:tcW w:w="360" w:type="dxa"/>
          </w:tcPr>
          <w:p w14:paraId="1FACB8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w:t>
            </w:r>
          </w:p>
        </w:tc>
        <w:tc>
          <w:tcPr>
            <w:tcW w:w="720" w:type="dxa"/>
          </w:tcPr>
          <w:p w14:paraId="402A7E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М-26</w:t>
            </w:r>
          </w:p>
        </w:tc>
        <w:tc>
          <w:tcPr>
            <w:tcW w:w="650" w:type="dxa"/>
          </w:tcPr>
          <w:p w14:paraId="39330C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М-26</w:t>
            </w:r>
          </w:p>
        </w:tc>
        <w:tc>
          <w:tcPr>
            <w:tcW w:w="1060" w:type="dxa"/>
          </w:tcPr>
          <w:p w14:paraId="766C7D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3B2418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70000</w:t>
            </w:r>
          </w:p>
        </w:tc>
        <w:tc>
          <w:tcPr>
            <w:tcW w:w="990" w:type="dxa"/>
          </w:tcPr>
          <w:p w14:paraId="72C3B2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1080" w:type="dxa"/>
          </w:tcPr>
          <w:p w14:paraId="5892BC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105AEB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0AFE73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c>
          <w:tcPr>
            <w:tcW w:w="1530" w:type="dxa"/>
          </w:tcPr>
          <w:p w14:paraId="5E9FCD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2+1 экз.</w:t>
            </w:r>
          </w:p>
        </w:tc>
      </w:tr>
      <w:tr w:rsidR="00A61694" w:rsidRPr="00507A31" w14:paraId="2F6D1E04" w14:textId="77777777">
        <w:trPr>
          <w:trHeight w:val="403"/>
        </w:trPr>
        <w:tc>
          <w:tcPr>
            <w:tcW w:w="360" w:type="dxa"/>
          </w:tcPr>
          <w:p w14:paraId="0CA584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17.</w:t>
            </w:r>
          </w:p>
        </w:tc>
        <w:tc>
          <w:tcPr>
            <w:tcW w:w="720" w:type="dxa"/>
          </w:tcPr>
          <w:p w14:paraId="44DBF2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М-45</w:t>
            </w:r>
          </w:p>
        </w:tc>
        <w:tc>
          <w:tcPr>
            <w:tcW w:w="650" w:type="dxa"/>
          </w:tcPr>
          <w:p w14:paraId="44F46A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6FAB7B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0B955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85000</w:t>
            </w:r>
          </w:p>
        </w:tc>
        <w:tc>
          <w:tcPr>
            <w:tcW w:w="990" w:type="dxa"/>
          </w:tcPr>
          <w:p w14:paraId="010249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110000</w:t>
            </w:r>
          </w:p>
        </w:tc>
        <w:tc>
          <w:tcPr>
            <w:tcW w:w="1080" w:type="dxa"/>
          </w:tcPr>
          <w:p w14:paraId="4FD0F7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tc>
        <w:tc>
          <w:tcPr>
            <w:tcW w:w="1080" w:type="dxa"/>
          </w:tcPr>
          <w:p w14:paraId="1EBB21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810" w:type="dxa"/>
          </w:tcPr>
          <w:p w14:paraId="0C0446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200000</w:t>
            </w:r>
          </w:p>
        </w:tc>
        <w:tc>
          <w:tcPr>
            <w:tcW w:w="1530" w:type="dxa"/>
          </w:tcPr>
          <w:p w14:paraId="1B01CE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2 экз.</w:t>
            </w:r>
          </w:p>
        </w:tc>
      </w:tr>
      <w:tr w:rsidR="00A61694" w:rsidRPr="00507A31" w14:paraId="25589FC2" w14:textId="77777777">
        <w:trPr>
          <w:trHeight w:val="403"/>
        </w:trPr>
        <w:tc>
          <w:tcPr>
            <w:tcW w:w="360" w:type="dxa"/>
          </w:tcPr>
          <w:p w14:paraId="08253B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w:t>
            </w:r>
          </w:p>
        </w:tc>
        <w:tc>
          <w:tcPr>
            <w:tcW w:w="720" w:type="dxa"/>
          </w:tcPr>
          <w:p w14:paraId="1775B6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М-11</w:t>
            </w:r>
          </w:p>
        </w:tc>
        <w:tc>
          <w:tcPr>
            <w:tcW w:w="650" w:type="dxa"/>
          </w:tcPr>
          <w:p w14:paraId="19F078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395472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77B4C1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tc>
        <w:tc>
          <w:tcPr>
            <w:tcW w:w="990" w:type="dxa"/>
          </w:tcPr>
          <w:p w14:paraId="6C7FFD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w:t>
            </w:r>
          </w:p>
        </w:tc>
        <w:tc>
          <w:tcPr>
            <w:tcW w:w="1080" w:type="dxa"/>
          </w:tcPr>
          <w:p w14:paraId="0521B3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35000</w:t>
            </w:r>
          </w:p>
        </w:tc>
        <w:tc>
          <w:tcPr>
            <w:tcW w:w="1080" w:type="dxa"/>
          </w:tcPr>
          <w:p w14:paraId="79010E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w:t>
            </w:r>
          </w:p>
        </w:tc>
        <w:tc>
          <w:tcPr>
            <w:tcW w:w="810" w:type="dxa"/>
          </w:tcPr>
          <w:p w14:paraId="389EB7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530" w:type="dxa"/>
          </w:tcPr>
          <w:p w14:paraId="3BFE49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Строится в 3+1 экз.</w:t>
            </w:r>
          </w:p>
        </w:tc>
      </w:tr>
      <w:tr w:rsidR="00A61694" w:rsidRPr="00507A31" w14:paraId="422A232D" w14:textId="77777777">
        <w:trPr>
          <w:trHeight w:val="403"/>
        </w:trPr>
        <w:tc>
          <w:tcPr>
            <w:tcW w:w="360" w:type="dxa"/>
          </w:tcPr>
          <w:p w14:paraId="53F5A0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w:t>
            </w:r>
          </w:p>
        </w:tc>
        <w:tc>
          <w:tcPr>
            <w:tcW w:w="720" w:type="dxa"/>
          </w:tcPr>
          <w:p w14:paraId="1125E1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М-22</w:t>
            </w:r>
          </w:p>
        </w:tc>
        <w:tc>
          <w:tcPr>
            <w:tcW w:w="650" w:type="dxa"/>
          </w:tcPr>
          <w:p w14:paraId="753CC1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36DF28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A2ED1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990" w:type="dxa"/>
          </w:tcPr>
          <w:p w14:paraId="6123CA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080" w:type="dxa"/>
          </w:tcPr>
          <w:p w14:paraId="352B2C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080" w:type="dxa"/>
          </w:tcPr>
          <w:p w14:paraId="546923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810" w:type="dxa"/>
          </w:tcPr>
          <w:p w14:paraId="607EE8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360000</w:t>
            </w:r>
          </w:p>
        </w:tc>
        <w:tc>
          <w:tcPr>
            <w:tcW w:w="1530" w:type="dxa"/>
          </w:tcPr>
          <w:p w14:paraId="7FA398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73A87BB6" w14:textId="77777777">
        <w:trPr>
          <w:trHeight w:val="403"/>
        </w:trPr>
        <w:tc>
          <w:tcPr>
            <w:tcW w:w="360" w:type="dxa"/>
          </w:tcPr>
          <w:p w14:paraId="659457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w:t>
            </w:r>
          </w:p>
        </w:tc>
        <w:tc>
          <w:tcPr>
            <w:tcW w:w="720" w:type="dxa"/>
          </w:tcPr>
          <w:p w14:paraId="06EAE7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М-17</w:t>
            </w:r>
          </w:p>
        </w:tc>
        <w:tc>
          <w:tcPr>
            <w:tcW w:w="650" w:type="dxa"/>
          </w:tcPr>
          <w:p w14:paraId="7CCEA9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0" w:type="dxa"/>
          </w:tcPr>
          <w:p w14:paraId="1F4ABD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1161CF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20000</w:t>
            </w:r>
          </w:p>
        </w:tc>
        <w:tc>
          <w:tcPr>
            <w:tcW w:w="990" w:type="dxa"/>
          </w:tcPr>
          <w:p w14:paraId="706703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tc>
        <w:tc>
          <w:tcPr>
            <w:tcW w:w="1080" w:type="dxa"/>
          </w:tcPr>
          <w:p w14:paraId="3B0D28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75000</w:t>
            </w:r>
          </w:p>
        </w:tc>
        <w:tc>
          <w:tcPr>
            <w:tcW w:w="1080" w:type="dxa"/>
          </w:tcPr>
          <w:p w14:paraId="02DF6A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95000</w:t>
            </w:r>
          </w:p>
        </w:tc>
        <w:tc>
          <w:tcPr>
            <w:tcW w:w="810" w:type="dxa"/>
          </w:tcPr>
          <w:p w14:paraId="50005D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250000</w:t>
            </w:r>
          </w:p>
        </w:tc>
        <w:tc>
          <w:tcPr>
            <w:tcW w:w="1530" w:type="dxa"/>
          </w:tcPr>
          <w:p w14:paraId="39224B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4305E60F" w14:textId="77777777">
        <w:trPr>
          <w:trHeight w:val="403"/>
        </w:trPr>
        <w:tc>
          <w:tcPr>
            <w:tcW w:w="360" w:type="dxa"/>
          </w:tcPr>
          <w:p w14:paraId="219EEF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w:t>
            </w:r>
          </w:p>
        </w:tc>
        <w:tc>
          <w:tcPr>
            <w:tcW w:w="1370" w:type="dxa"/>
            <w:gridSpan w:val="2"/>
          </w:tcPr>
          <w:p w14:paraId="695E86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Моторы гражданской авиации (маломощн.)</w:t>
            </w:r>
          </w:p>
        </w:tc>
        <w:tc>
          <w:tcPr>
            <w:tcW w:w="1060" w:type="dxa"/>
          </w:tcPr>
          <w:p w14:paraId="6A4DAE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412A96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19EF7B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80000</w:t>
            </w:r>
          </w:p>
        </w:tc>
        <w:tc>
          <w:tcPr>
            <w:tcW w:w="1080" w:type="dxa"/>
          </w:tcPr>
          <w:p w14:paraId="1373AF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w:t>
            </w:r>
          </w:p>
        </w:tc>
        <w:tc>
          <w:tcPr>
            <w:tcW w:w="1080" w:type="dxa"/>
          </w:tcPr>
          <w:p w14:paraId="583151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120000</w:t>
            </w:r>
          </w:p>
        </w:tc>
        <w:tc>
          <w:tcPr>
            <w:tcW w:w="810" w:type="dxa"/>
          </w:tcPr>
          <w:p w14:paraId="7716F1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530" w:type="dxa"/>
          </w:tcPr>
          <w:p w14:paraId="464AEA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5D0445C2" w14:textId="77777777">
        <w:trPr>
          <w:trHeight w:val="403"/>
        </w:trPr>
        <w:tc>
          <w:tcPr>
            <w:tcW w:w="360" w:type="dxa"/>
          </w:tcPr>
          <w:p w14:paraId="5457AC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w:t>
            </w:r>
          </w:p>
        </w:tc>
        <w:tc>
          <w:tcPr>
            <w:tcW w:w="1370" w:type="dxa"/>
            <w:gridSpan w:val="2"/>
          </w:tcPr>
          <w:p w14:paraId="426EAB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Новые работы и двигатели на тяжелом топливе</w:t>
            </w:r>
          </w:p>
        </w:tc>
        <w:tc>
          <w:tcPr>
            <w:tcW w:w="1060" w:type="dxa"/>
          </w:tcPr>
          <w:p w14:paraId="2AB297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05B0C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990" w:type="dxa"/>
          </w:tcPr>
          <w:p w14:paraId="6007A8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20D2A3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w:t>
            </w:r>
          </w:p>
        </w:tc>
        <w:tc>
          <w:tcPr>
            <w:tcW w:w="1080" w:type="dxa"/>
          </w:tcPr>
          <w:p w14:paraId="4BDBC8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1250000</w:t>
            </w:r>
          </w:p>
        </w:tc>
        <w:tc>
          <w:tcPr>
            <w:tcW w:w="810" w:type="dxa"/>
          </w:tcPr>
          <w:p w14:paraId="499C4A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1550000</w:t>
            </w:r>
          </w:p>
        </w:tc>
        <w:tc>
          <w:tcPr>
            <w:tcW w:w="1530" w:type="dxa"/>
          </w:tcPr>
          <w:p w14:paraId="0BE7F7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4793B6AC" w14:textId="77777777">
        <w:trPr>
          <w:trHeight w:val="403"/>
        </w:trPr>
        <w:tc>
          <w:tcPr>
            <w:tcW w:w="360" w:type="dxa"/>
          </w:tcPr>
          <w:p w14:paraId="07F50D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0" w:type="dxa"/>
            <w:gridSpan w:val="2"/>
          </w:tcPr>
          <w:p w14:paraId="5F16A2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w:t>
            </w:r>
          </w:p>
        </w:tc>
        <w:tc>
          <w:tcPr>
            <w:tcW w:w="1060" w:type="dxa"/>
          </w:tcPr>
          <w:p w14:paraId="025300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0" w:type="dxa"/>
          </w:tcPr>
          <w:p w14:paraId="455072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1110000 (10000)</w:t>
            </w:r>
          </w:p>
        </w:tc>
        <w:tc>
          <w:tcPr>
            <w:tcW w:w="990" w:type="dxa"/>
          </w:tcPr>
          <w:p w14:paraId="3A3943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1690000 (40000)</w:t>
            </w:r>
          </w:p>
        </w:tc>
        <w:tc>
          <w:tcPr>
            <w:tcW w:w="1080" w:type="dxa"/>
          </w:tcPr>
          <w:p w14:paraId="41EEC2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1800000 (50000)</w:t>
            </w:r>
          </w:p>
        </w:tc>
        <w:tc>
          <w:tcPr>
            <w:tcW w:w="1080" w:type="dxa"/>
          </w:tcPr>
          <w:p w14:paraId="7FAFEE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17500000 (50000)</w:t>
            </w:r>
          </w:p>
        </w:tc>
        <w:tc>
          <w:tcPr>
            <w:tcW w:w="810" w:type="dxa"/>
          </w:tcPr>
          <w:p w14:paraId="1B6F84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6350000 (150000)</w:t>
            </w:r>
          </w:p>
        </w:tc>
        <w:tc>
          <w:tcPr>
            <w:tcW w:w="1530" w:type="dxa"/>
          </w:tcPr>
          <w:p w14:paraId="204664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43C49604" w14:textId="77777777">
        <w:trPr>
          <w:trHeight w:val="403"/>
        </w:trPr>
        <w:tc>
          <w:tcPr>
            <w:tcW w:w="360" w:type="dxa"/>
          </w:tcPr>
          <w:p w14:paraId="08D3C2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w:t>
            </w:r>
          </w:p>
        </w:tc>
        <w:tc>
          <w:tcPr>
            <w:tcW w:w="1370" w:type="dxa"/>
            <w:gridSpan w:val="2"/>
          </w:tcPr>
          <w:p w14:paraId="3EE000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Закупка иностр. образцов</w:t>
            </w:r>
          </w:p>
        </w:tc>
        <w:tc>
          <w:tcPr>
            <w:tcW w:w="1060" w:type="dxa"/>
          </w:tcPr>
          <w:p w14:paraId="327940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70B3F6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 (300000)</w:t>
            </w:r>
          </w:p>
        </w:tc>
        <w:tc>
          <w:tcPr>
            <w:tcW w:w="990" w:type="dxa"/>
          </w:tcPr>
          <w:p w14:paraId="4316E0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 (400000)</w:t>
            </w:r>
          </w:p>
        </w:tc>
        <w:tc>
          <w:tcPr>
            <w:tcW w:w="1080" w:type="dxa"/>
          </w:tcPr>
          <w:p w14:paraId="5FBD44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 (400000)</w:t>
            </w:r>
          </w:p>
        </w:tc>
        <w:tc>
          <w:tcPr>
            <w:tcW w:w="1080" w:type="dxa"/>
          </w:tcPr>
          <w:p w14:paraId="7AF977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400000 (400000)</w:t>
            </w:r>
          </w:p>
        </w:tc>
        <w:tc>
          <w:tcPr>
            <w:tcW w:w="810" w:type="dxa"/>
          </w:tcPr>
          <w:p w14:paraId="4F5DFE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1500000 (1500000)</w:t>
            </w:r>
          </w:p>
        </w:tc>
        <w:tc>
          <w:tcPr>
            <w:tcW w:w="1530" w:type="dxa"/>
          </w:tcPr>
          <w:p w14:paraId="63FEDF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2B3E841A" w14:textId="77777777">
        <w:trPr>
          <w:trHeight w:val="403"/>
        </w:trPr>
        <w:tc>
          <w:tcPr>
            <w:tcW w:w="360" w:type="dxa"/>
          </w:tcPr>
          <w:p w14:paraId="67BBFB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w:t>
            </w:r>
          </w:p>
        </w:tc>
        <w:tc>
          <w:tcPr>
            <w:tcW w:w="1370" w:type="dxa"/>
            <w:gridSpan w:val="2"/>
          </w:tcPr>
          <w:p w14:paraId="319A4B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Исследоват. и металлургич. работы</w:t>
            </w:r>
          </w:p>
        </w:tc>
        <w:tc>
          <w:tcPr>
            <w:tcW w:w="1060" w:type="dxa"/>
          </w:tcPr>
          <w:p w14:paraId="074025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42ED44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380000 (10000)</w:t>
            </w:r>
          </w:p>
        </w:tc>
        <w:tc>
          <w:tcPr>
            <w:tcW w:w="990" w:type="dxa"/>
          </w:tcPr>
          <w:p w14:paraId="2366D7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490000 (30000)</w:t>
            </w:r>
          </w:p>
        </w:tc>
        <w:tc>
          <w:tcPr>
            <w:tcW w:w="1080" w:type="dxa"/>
          </w:tcPr>
          <w:p w14:paraId="3B7565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750000 (60000)</w:t>
            </w:r>
          </w:p>
        </w:tc>
        <w:tc>
          <w:tcPr>
            <w:tcW w:w="1080" w:type="dxa"/>
          </w:tcPr>
          <w:p w14:paraId="21BB1C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1000000 (100000)</w:t>
            </w:r>
          </w:p>
        </w:tc>
        <w:tc>
          <w:tcPr>
            <w:tcW w:w="810" w:type="dxa"/>
          </w:tcPr>
          <w:p w14:paraId="2246ED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2620000 (200000)</w:t>
            </w:r>
          </w:p>
        </w:tc>
        <w:tc>
          <w:tcPr>
            <w:tcW w:w="1530" w:type="dxa"/>
          </w:tcPr>
          <w:p w14:paraId="16147E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3E0D54CF" w14:textId="77777777">
        <w:trPr>
          <w:trHeight w:val="403"/>
        </w:trPr>
        <w:tc>
          <w:tcPr>
            <w:tcW w:w="360" w:type="dxa"/>
          </w:tcPr>
          <w:p w14:paraId="185EA6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w:t>
            </w:r>
          </w:p>
        </w:tc>
        <w:tc>
          <w:tcPr>
            <w:tcW w:w="1370" w:type="dxa"/>
            <w:gridSpan w:val="2"/>
          </w:tcPr>
          <w:p w14:paraId="02225F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Заграничные командировки</w:t>
            </w:r>
          </w:p>
        </w:tc>
        <w:tc>
          <w:tcPr>
            <w:tcW w:w="1060" w:type="dxa"/>
          </w:tcPr>
          <w:p w14:paraId="7BB410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45FCE1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 (4000)</w:t>
            </w:r>
          </w:p>
        </w:tc>
        <w:tc>
          <w:tcPr>
            <w:tcW w:w="990" w:type="dxa"/>
          </w:tcPr>
          <w:p w14:paraId="11566F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7000 (7000)</w:t>
            </w:r>
          </w:p>
        </w:tc>
        <w:tc>
          <w:tcPr>
            <w:tcW w:w="1080" w:type="dxa"/>
          </w:tcPr>
          <w:p w14:paraId="3C0FEF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9000 (8000)</w:t>
            </w:r>
          </w:p>
        </w:tc>
        <w:tc>
          <w:tcPr>
            <w:tcW w:w="1080" w:type="dxa"/>
          </w:tcPr>
          <w:p w14:paraId="4A7126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 (8000)</w:t>
            </w:r>
          </w:p>
        </w:tc>
        <w:tc>
          <w:tcPr>
            <w:tcW w:w="810" w:type="dxa"/>
          </w:tcPr>
          <w:p w14:paraId="71D0B9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 (30000)</w:t>
            </w:r>
          </w:p>
        </w:tc>
        <w:tc>
          <w:tcPr>
            <w:tcW w:w="1530" w:type="dxa"/>
          </w:tcPr>
          <w:p w14:paraId="6F58D5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52B8634D" w14:textId="77777777">
        <w:trPr>
          <w:trHeight w:val="403"/>
        </w:trPr>
        <w:tc>
          <w:tcPr>
            <w:tcW w:w="360" w:type="dxa"/>
          </w:tcPr>
          <w:p w14:paraId="207B61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w:t>
            </w:r>
          </w:p>
        </w:tc>
        <w:tc>
          <w:tcPr>
            <w:tcW w:w="1370" w:type="dxa"/>
            <w:gridSpan w:val="2"/>
          </w:tcPr>
          <w:p w14:paraId="384E4B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Подготовка кадров</w:t>
            </w:r>
          </w:p>
        </w:tc>
        <w:tc>
          <w:tcPr>
            <w:tcW w:w="1060" w:type="dxa"/>
          </w:tcPr>
          <w:p w14:paraId="2EAFC4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280C75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125000</w:t>
            </w:r>
          </w:p>
        </w:tc>
        <w:tc>
          <w:tcPr>
            <w:tcW w:w="990" w:type="dxa"/>
          </w:tcPr>
          <w:p w14:paraId="0114FF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125000</w:t>
            </w:r>
          </w:p>
        </w:tc>
        <w:tc>
          <w:tcPr>
            <w:tcW w:w="1080" w:type="dxa"/>
          </w:tcPr>
          <w:p w14:paraId="1D87B7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125000</w:t>
            </w:r>
          </w:p>
        </w:tc>
        <w:tc>
          <w:tcPr>
            <w:tcW w:w="1080" w:type="dxa"/>
          </w:tcPr>
          <w:p w14:paraId="7A97D0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125000</w:t>
            </w:r>
          </w:p>
        </w:tc>
        <w:tc>
          <w:tcPr>
            <w:tcW w:w="810" w:type="dxa"/>
          </w:tcPr>
          <w:p w14:paraId="2D2738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500000</w:t>
            </w:r>
          </w:p>
        </w:tc>
        <w:tc>
          <w:tcPr>
            <w:tcW w:w="1530" w:type="dxa"/>
          </w:tcPr>
          <w:p w14:paraId="54B22E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26E1DA14" w14:textId="77777777">
        <w:trPr>
          <w:trHeight w:val="403"/>
        </w:trPr>
        <w:tc>
          <w:tcPr>
            <w:tcW w:w="360" w:type="dxa"/>
          </w:tcPr>
          <w:p w14:paraId="06C65B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w:t>
            </w:r>
          </w:p>
        </w:tc>
        <w:tc>
          <w:tcPr>
            <w:tcW w:w="1370" w:type="dxa"/>
            <w:gridSpan w:val="2"/>
          </w:tcPr>
          <w:p w14:paraId="02BEED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 и оборудов.</w:t>
            </w:r>
          </w:p>
        </w:tc>
        <w:tc>
          <w:tcPr>
            <w:tcW w:w="1060" w:type="dxa"/>
          </w:tcPr>
          <w:p w14:paraId="71A734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369BE4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35000</w:t>
            </w:r>
          </w:p>
        </w:tc>
        <w:tc>
          <w:tcPr>
            <w:tcW w:w="990" w:type="dxa"/>
          </w:tcPr>
          <w:p w14:paraId="159A00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490000 (250000)</w:t>
            </w:r>
          </w:p>
        </w:tc>
        <w:tc>
          <w:tcPr>
            <w:tcW w:w="1080" w:type="dxa"/>
          </w:tcPr>
          <w:p w14:paraId="501BC8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300000 (7000)</w:t>
            </w:r>
          </w:p>
        </w:tc>
        <w:tc>
          <w:tcPr>
            <w:tcW w:w="1080" w:type="dxa"/>
          </w:tcPr>
          <w:p w14:paraId="54E4CF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175000 (50000)</w:t>
            </w:r>
          </w:p>
        </w:tc>
        <w:tc>
          <w:tcPr>
            <w:tcW w:w="810" w:type="dxa"/>
          </w:tcPr>
          <w:p w14:paraId="68E7C3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1000000 (370000)</w:t>
            </w:r>
          </w:p>
        </w:tc>
        <w:tc>
          <w:tcPr>
            <w:tcW w:w="1530" w:type="dxa"/>
          </w:tcPr>
          <w:p w14:paraId="1E5110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13F5A3F2" w14:textId="77777777">
        <w:trPr>
          <w:trHeight w:val="403"/>
        </w:trPr>
        <w:tc>
          <w:tcPr>
            <w:tcW w:w="360" w:type="dxa"/>
          </w:tcPr>
          <w:p w14:paraId="417807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0" w:type="dxa"/>
            <w:gridSpan w:val="2"/>
          </w:tcPr>
          <w:p w14:paraId="34D062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060" w:type="dxa"/>
          </w:tcPr>
          <w:p w14:paraId="395300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4055C2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1954000 (324000)</w:t>
            </w:r>
          </w:p>
        </w:tc>
        <w:tc>
          <w:tcPr>
            <w:tcW w:w="990" w:type="dxa"/>
          </w:tcPr>
          <w:p w14:paraId="350838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3202000 (727000)</w:t>
            </w:r>
          </w:p>
        </w:tc>
        <w:tc>
          <w:tcPr>
            <w:tcW w:w="1080" w:type="dxa"/>
          </w:tcPr>
          <w:p w14:paraId="176C91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3384000 (589000)</w:t>
            </w:r>
          </w:p>
        </w:tc>
        <w:tc>
          <w:tcPr>
            <w:tcW w:w="1080" w:type="dxa"/>
          </w:tcPr>
          <w:p w14:paraId="3B0807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3460000 (510000)</w:t>
            </w:r>
          </w:p>
        </w:tc>
        <w:tc>
          <w:tcPr>
            <w:tcW w:w="810" w:type="dxa"/>
          </w:tcPr>
          <w:p w14:paraId="3E04B3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12000000 (2150000)</w:t>
            </w:r>
          </w:p>
        </w:tc>
        <w:tc>
          <w:tcPr>
            <w:tcW w:w="1530" w:type="dxa"/>
          </w:tcPr>
          <w:p w14:paraId="555409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2162A897" w14:textId="77777777">
        <w:trPr>
          <w:trHeight w:val="403"/>
        </w:trPr>
        <w:tc>
          <w:tcPr>
            <w:tcW w:w="360" w:type="dxa"/>
          </w:tcPr>
          <w:p w14:paraId="519F2D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0" w:type="dxa"/>
            <w:gridSpan w:val="2"/>
          </w:tcPr>
          <w:p w14:paraId="62A6C5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 на пятилетку</w:t>
            </w:r>
          </w:p>
        </w:tc>
        <w:tc>
          <w:tcPr>
            <w:tcW w:w="1060" w:type="dxa"/>
          </w:tcPr>
          <w:p w14:paraId="32EBAA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15F821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90" w:type="dxa"/>
          </w:tcPr>
          <w:p w14:paraId="6B2B00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6BC4BA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Pr>
          <w:p w14:paraId="75344E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10" w:type="dxa"/>
          </w:tcPr>
          <w:p w14:paraId="72B316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12000000 </w:t>
            </w:r>
          </w:p>
        </w:tc>
        <w:tc>
          <w:tcPr>
            <w:tcW w:w="1530" w:type="dxa"/>
          </w:tcPr>
          <w:p w14:paraId="5B7137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75170F5C" w14:textId="77777777">
        <w:trPr>
          <w:trHeight w:val="403"/>
        </w:trPr>
        <w:tc>
          <w:tcPr>
            <w:tcW w:w="360" w:type="dxa"/>
            <w:tcBorders>
              <w:bottom w:val="single" w:sz="12" w:space="0" w:color="auto"/>
            </w:tcBorders>
          </w:tcPr>
          <w:p w14:paraId="60EA5D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0" w:type="dxa"/>
            <w:gridSpan w:val="2"/>
            <w:tcBorders>
              <w:bottom w:val="single" w:sz="12" w:space="0" w:color="auto"/>
            </w:tcBorders>
          </w:tcPr>
          <w:p w14:paraId="1A1B98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Валютой</w:t>
            </w:r>
          </w:p>
        </w:tc>
        <w:tc>
          <w:tcPr>
            <w:tcW w:w="1060" w:type="dxa"/>
            <w:tcBorders>
              <w:bottom w:val="single" w:sz="12" w:space="0" w:color="auto"/>
            </w:tcBorders>
          </w:tcPr>
          <w:p w14:paraId="2FA6A8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279C65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90" w:type="dxa"/>
            <w:tcBorders>
              <w:bottom w:val="single" w:sz="12" w:space="0" w:color="auto"/>
            </w:tcBorders>
          </w:tcPr>
          <w:p w14:paraId="35DFDF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687ED2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646E5F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10" w:type="dxa"/>
            <w:tcBorders>
              <w:bottom w:val="single" w:sz="12" w:space="0" w:color="auto"/>
            </w:tcBorders>
          </w:tcPr>
          <w:p w14:paraId="7951D0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(2150000)</w:t>
            </w:r>
          </w:p>
        </w:tc>
        <w:tc>
          <w:tcPr>
            <w:tcW w:w="1530" w:type="dxa"/>
            <w:tcBorders>
              <w:bottom w:val="single" w:sz="12" w:space="0" w:color="auto"/>
            </w:tcBorders>
          </w:tcPr>
          <w:p w14:paraId="52C89C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10B533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(351)</w:t>
      </w:r>
    </w:p>
    <w:p w14:paraId="1287C7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КОЛИЧЕСТВО ОПЫТНЫХ САМОЛЕТОВ ПО ТИПАМ И ЭКЗЕМПЛЯРАМ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8"/>
        <w:gridCol w:w="1192"/>
        <w:gridCol w:w="1192"/>
        <w:gridCol w:w="1192"/>
        <w:gridCol w:w="1192"/>
        <w:gridCol w:w="1082"/>
      </w:tblGrid>
      <w:tr w:rsidR="00A61694" w:rsidRPr="00507A31" w14:paraId="15909B5A" w14:textId="77777777">
        <w:tc>
          <w:tcPr>
            <w:tcW w:w="3618" w:type="dxa"/>
            <w:tcBorders>
              <w:top w:val="single" w:sz="12" w:space="0" w:color="auto"/>
            </w:tcBorders>
          </w:tcPr>
          <w:p w14:paraId="7E00F977" w14:textId="77777777" w:rsidR="00537E5F" w:rsidRPr="00507A31" w:rsidRDefault="00537E5F" w:rsidP="00507A31">
            <w:pPr>
              <w:autoSpaceDE w:val="0"/>
              <w:autoSpaceDN w:val="0"/>
              <w:adjustRightInd w:val="0"/>
              <w:jc w:val="both"/>
              <w:rPr>
                <w:color w:val="000000" w:themeColor="text1"/>
                <w:sz w:val="16"/>
                <w:szCs w:val="16"/>
              </w:rPr>
            </w:pPr>
          </w:p>
        </w:tc>
        <w:tc>
          <w:tcPr>
            <w:tcW w:w="2384" w:type="dxa"/>
            <w:gridSpan w:val="2"/>
            <w:tcBorders>
              <w:top w:val="single" w:sz="12" w:space="0" w:color="auto"/>
            </w:tcBorders>
          </w:tcPr>
          <w:p w14:paraId="066F55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Выход на аэродром</w:t>
            </w:r>
          </w:p>
        </w:tc>
        <w:tc>
          <w:tcPr>
            <w:tcW w:w="1192" w:type="dxa"/>
            <w:tcBorders>
              <w:top w:val="single" w:sz="12" w:space="0" w:color="auto"/>
            </w:tcBorders>
          </w:tcPr>
          <w:p w14:paraId="784202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Число экз.новых типов</w:t>
            </w:r>
          </w:p>
        </w:tc>
        <w:tc>
          <w:tcPr>
            <w:tcW w:w="1192" w:type="dxa"/>
            <w:tcBorders>
              <w:top w:val="single" w:sz="12" w:space="0" w:color="auto"/>
            </w:tcBorders>
          </w:tcPr>
          <w:p w14:paraId="175984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Число экз. ранее проектир. типов</w:t>
            </w:r>
          </w:p>
        </w:tc>
        <w:tc>
          <w:tcPr>
            <w:tcW w:w="1082" w:type="dxa"/>
            <w:tcBorders>
              <w:top w:val="single" w:sz="12" w:space="0" w:color="auto"/>
            </w:tcBorders>
          </w:tcPr>
          <w:p w14:paraId="602C10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Число самолетов в доводке</w:t>
            </w:r>
          </w:p>
        </w:tc>
      </w:tr>
      <w:tr w:rsidR="00A61694" w:rsidRPr="00507A31" w14:paraId="3B1AA642" w14:textId="77777777">
        <w:tc>
          <w:tcPr>
            <w:tcW w:w="3618" w:type="dxa"/>
          </w:tcPr>
          <w:p w14:paraId="67A478BA"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2BB857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плану УВВС</w:t>
            </w:r>
          </w:p>
        </w:tc>
        <w:tc>
          <w:tcPr>
            <w:tcW w:w="1192" w:type="dxa"/>
          </w:tcPr>
          <w:p w14:paraId="5A0C4F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плану Авиатреста</w:t>
            </w:r>
          </w:p>
        </w:tc>
        <w:tc>
          <w:tcPr>
            <w:tcW w:w="1192" w:type="dxa"/>
          </w:tcPr>
          <w:p w14:paraId="255F2606"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4E427BE3" w14:textId="77777777" w:rsidR="00537E5F" w:rsidRPr="00507A31" w:rsidRDefault="00537E5F" w:rsidP="00507A31">
            <w:pPr>
              <w:autoSpaceDE w:val="0"/>
              <w:autoSpaceDN w:val="0"/>
              <w:adjustRightInd w:val="0"/>
              <w:jc w:val="both"/>
              <w:rPr>
                <w:color w:val="000000" w:themeColor="text1"/>
                <w:sz w:val="16"/>
                <w:szCs w:val="16"/>
              </w:rPr>
            </w:pPr>
          </w:p>
        </w:tc>
        <w:tc>
          <w:tcPr>
            <w:tcW w:w="1082" w:type="dxa"/>
          </w:tcPr>
          <w:p w14:paraId="679786C8"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E205A11" w14:textId="77777777">
        <w:tc>
          <w:tcPr>
            <w:tcW w:w="3618" w:type="dxa"/>
          </w:tcPr>
          <w:p w14:paraId="086918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Р5 - оконч. и доводка Ш и1У экз.</w:t>
            </w:r>
          </w:p>
        </w:tc>
        <w:tc>
          <w:tcPr>
            <w:tcW w:w="1192" w:type="dxa"/>
          </w:tcPr>
          <w:p w14:paraId="42E2AC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1.У.30</w:t>
            </w:r>
          </w:p>
        </w:tc>
        <w:tc>
          <w:tcPr>
            <w:tcW w:w="1192" w:type="dxa"/>
          </w:tcPr>
          <w:p w14:paraId="0CFFDC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1.1У.30</w:t>
            </w:r>
          </w:p>
        </w:tc>
        <w:tc>
          <w:tcPr>
            <w:tcW w:w="1192" w:type="dxa"/>
          </w:tcPr>
          <w:p w14:paraId="4EB251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29E7E7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40A612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tc>
      </w:tr>
      <w:tr w:rsidR="00A61694" w:rsidRPr="00507A31" w14:paraId="748A6D07" w14:textId="77777777">
        <w:tc>
          <w:tcPr>
            <w:tcW w:w="3618" w:type="dxa"/>
          </w:tcPr>
          <w:p w14:paraId="7A2C26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И3 - переделка 2-х серийных машин</w:t>
            </w:r>
          </w:p>
        </w:tc>
        <w:tc>
          <w:tcPr>
            <w:tcW w:w="1192" w:type="dxa"/>
          </w:tcPr>
          <w:p w14:paraId="0ACA0A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03F9C7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1.П.30</w:t>
            </w:r>
          </w:p>
        </w:tc>
        <w:tc>
          <w:tcPr>
            <w:tcW w:w="1192" w:type="dxa"/>
          </w:tcPr>
          <w:p w14:paraId="205ABA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3ABE0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3D3EF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tc>
      </w:tr>
      <w:tr w:rsidR="00A61694" w:rsidRPr="00507A31" w14:paraId="1BBABE24" w14:textId="77777777">
        <w:tc>
          <w:tcPr>
            <w:tcW w:w="3618" w:type="dxa"/>
          </w:tcPr>
          <w:p w14:paraId="7D8598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П2 - доводка на штопор</w:t>
            </w:r>
          </w:p>
        </w:tc>
        <w:tc>
          <w:tcPr>
            <w:tcW w:w="1192" w:type="dxa"/>
          </w:tcPr>
          <w:p w14:paraId="094318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6E12E3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65B130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9ADF8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21932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A61694" w:rsidRPr="00507A31" w14:paraId="55FFA345" w14:textId="77777777">
        <w:tc>
          <w:tcPr>
            <w:tcW w:w="3618" w:type="dxa"/>
          </w:tcPr>
          <w:p w14:paraId="661D3F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Д2 - доводка на штопор</w:t>
            </w:r>
          </w:p>
        </w:tc>
        <w:tc>
          <w:tcPr>
            <w:tcW w:w="1192" w:type="dxa"/>
          </w:tcPr>
          <w:p w14:paraId="0B06BE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1.1.30</w:t>
            </w:r>
          </w:p>
        </w:tc>
        <w:tc>
          <w:tcPr>
            <w:tcW w:w="1192" w:type="dxa"/>
          </w:tcPr>
          <w:p w14:paraId="1CBDF3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3E2C68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48B5D7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31EF7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A61694" w:rsidRPr="00507A31" w14:paraId="1CE1B323" w14:textId="77777777">
        <w:tc>
          <w:tcPr>
            <w:tcW w:w="3618" w:type="dxa"/>
          </w:tcPr>
          <w:p w14:paraId="4B276C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Р5 - доводка на штопор</w:t>
            </w:r>
          </w:p>
        </w:tc>
        <w:tc>
          <w:tcPr>
            <w:tcW w:w="1192" w:type="dxa"/>
          </w:tcPr>
          <w:p w14:paraId="426DF0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0EB376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15C65B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75A29D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7A7CB2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A61694" w:rsidRPr="00507A31" w14:paraId="316BCC52" w14:textId="77777777">
        <w:tc>
          <w:tcPr>
            <w:tcW w:w="3618" w:type="dxa"/>
          </w:tcPr>
          <w:p w14:paraId="19A1FB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ТБ2 - окончание машины и доводка</w:t>
            </w:r>
          </w:p>
        </w:tc>
        <w:tc>
          <w:tcPr>
            <w:tcW w:w="1192" w:type="dxa"/>
          </w:tcPr>
          <w:p w14:paraId="76321A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1.П.30</w:t>
            </w:r>
          </w:p>
        </w:tc>
        <w:tc>
          <w:tcPr>
            <w:tcW w:w="1192" w:type="dxa"/>
          </w:tcPr>
          <w:p w14:paraId="7B3CF6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1.Ш.30</w:t>
            </w:r>
          </w:p>
        </w:tc>
        <w:tc>
          <w:tcPr>
            <w:tcW w:w="1192" w:type="dxa"/>
          </w:tcPr>
          <w:p w14:paraId="6CC127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490DE4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35163E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338E0A2" w14:textId="77777777">
        <w:tc>
          <w:tcPr>
            <w:tcW w:w="3618" w:type="dxa"/>
          </w:tcPr>
          <w:p w14:paraId="0F8A38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ПУ2 - окончание в 2-х вариантах</w:t>
            </w:r>
          </w:p>
        </w:tc>
        <w:tc>
          <w:tcPr>
            <w:tcW w:w="1192" w:type="dxa"/>
          </w:tcPr>
          <w:p w14:paraId="44AF61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1192" w:type="dxa"/>
          </w:tcPr>
          <w:p w14:paraId="172B51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1.1У.30</w:t>
            </w:r>
          </w:p>
        </w:tc>
        <w:tc>
          <w:tcPr>
            <w:tcW w:w="1192" w:type="dxa"/>
          </w:tcPr>
          <w:p w14:paraId="73DC6F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6A9EA2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62C10D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D7298E7" w14:textId="77777777">
        <w:tc>
          <w:tcPr>
            <w:tcW w:w="3618" w:type="dxa"/>
          </w:tcPr>
          <w:p w14:paraId="580E59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И6 - 1 экз.</w:t>
            </w:r>
          </w:p>
        </w:tc>
        <w:tc>
          <w:tcPr>
            <w:tcW w:w="1192" w:type="dxa"/>
          </w:tcPr>
          <w:p w14:paraId="398F5B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1.У.30</w:t>
            </w:r>
          </w:p>
        </w:tc>
        <w:tc>
          <w:tcPr>
            <w:tcW w:w="1192" w:type="dxa"/>
          </w:tcPr>
          <w:p w14:paraId="4BB559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1.У.30</w:t>
            </w:r>
          </w:p>
        </w:tc>
        <w:tc>
          <w:tcPr>
            <w:tcW w:w="1192" w:type="dxa"/>
          </w:tcPr>
          <w:p w14:paraId="07477D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C9B6F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5214A7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C61BBAE" w14:textId="77777777">
        <w:tc>
          <w:tcPr>
            <w:tcW w:w="3618" w:type="dxa"/>
          </w:tcPr>
          <w:p w14:paraId="3060C1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И6 - 2 экз.</w:t>
            </w:r>
          </w:p>
        </w:tc>
        <w:tc>
          <w:tcPr>
            <w:tcW w:w="1192" w:type="dxa"/>
          </w:tcPr>
          <w:p w14:paraId="0ADB79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20CE12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1.У1.30</w:t>
            </w:r>
          </w:p>
        </w:tc>
        <w:tc>
          <w:tcPr>
            <w:tcW w:w="1192" w:type="dxa"/>
          </w:tcPr>
          <w:p w14:paraId="1CAF6D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10F5D0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415531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CDA2240" w14:textId="77777777">
        <w:tc>
          <w:tcPr>
            <w:tcW w:w="3618" w:type="dxa"/>
          </w:tcPr>
          <w:p w14:paraId="4C69FF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И6 - 3 экз.</w:t>
            </w:r>
          </w:p>
        </w:tc>
        <w:tc>
          <w:tcPr>
            <w:tcW w:w="1192" w:type="dxa"/>
          </w:tcPr>
          <w:p w14:paraId="1989B2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29783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1192" w:type="dxa"/>
          </w:tcPr>
          <w:p w14:paraId="19A3DA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3E08A2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6C5DFD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1608F92D" w14:textId="77777777">
        <w:tc>
          <w:tcPr>
            <w:tcW w:w="3618" w:type="dxa"/>
          </w:tcPr>
          <w:p w14:paraId="0760DE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И7-М17 - 1 экз.</w:t>
            </w:r>
          </w:p>
        </w:tc>
        <w:tc>
          <w:tcPr>
            <w:tcW w:w="1192" w:type="dxa"/>
          </w:tcPr>
          <w:p w14:paraId="2A52E0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1192" w:type="dxa"/>
          </w:tcPr>
          <w:p w14:paraId="488D0F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1.1Х.30</w:t>
            </w:r>
          </w:p>
        </w:tc>
        <w:tc>
          <w:tcPr>
            <w:tcW w:w="1192" w:type="dxa"/>
          </w:tcPr>
          <w:p w14:paraId="66A94A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079AC7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57D4B3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1097912C" w14:textId="77777777">
        <w:tc>
          <w:tcPr>
            <w:tcW w:w="3618" w:type="dxa"/>
          </w:tcPr>
          <w:p w14:paraId="714C03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И7-М17 - 2 экз. со сварным фюзеляжем</w:t>
            </w:r>
          </w:p>
        </w:tc>
        <w:tc>
          <w:tcPr>
            <w:tcW w:w="1192" w:type="dxa"/>
          </w:tcPr>
          <w:p w14:paraId="0C218D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1192" w:type="dxa"/>
          </w:tcPr>
          <w:p w14:paraId="7E3BEA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1.Х.30</w:t>
            </w:r>
          </w:p>
        </w:tc>
        <w:tc>
          <w:tcPr>
            <w:tcW w:w="1192" w:type="dxa"/>
          </w:tcPr>
          <w:p w14:paraId="5B9502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7E88A7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5B9224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570C57D8" w14:textId="77777777">
        <w:tc>
          <w:tcPr>
            <w:tcW w:w="3618" w:type="dxa"/>
          </w:tcPr>
          <w:p w14:paraId="21A8EE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ПР5 - со сварным фюзеляжем</w:t>
            </w:r>
          </w:p>
        </w:tc>
        <w:tc>
          <w:tcPr>
            <w:tcW w:w="1192" w:type="dxa"/>
          </w:tcPr>
          <w:p w14:paraId="68DDC9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1192" w:type="dxa"/>
          </w:tcPr>
          <w:p w14:paraId="1F7D63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1192" w:type="dxa"/>
          </w:tcPr>
          <w:p w14:paraId="2863DB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19F21A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77ECEB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7CFE086" w14:textId="77777777">
        <w:tc>
          <w:tcPr>
            <w:tcW w:w="3618" w:type="dxa"/>
          </w:tcPr>
          <w:p w14:paraId="0F92D6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Р5-М17 - со сварным фюзеляжем</w:t>
            </w:r>
          </w:p>
        </w:tc>
        <w:tc>
          <w:tcPr>
            <w:tcW w:w="1192" w:type="dxa"/>
          </w:tcPr>
          <w:p w14:paraId="0F28CA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1.Х.30</w:t>
            </w:r>
          </w:p>
        </w:tc>
        <w:tc>
          <w:tcPr>
            <w:tcW w:w="1192" w:type="dxa"/>
          </w:tcPr>
          <w:p w14:paraId="2AF5AC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1.Ш.31</w:t>
            </w:r>
          </w:p>
        </w:tc>
        <w:tc>
          <w:tcPr>
            <w:tcW w:w="1192" w:type="dxa"/>
          </w:tcPr>
          <w:p w14:paraId="2DF95B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235E4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788B01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3B70F07" w14:textId="77777777">
        <w:tc>
          <w:tcPr>
            <w:tcW w:w="3618" w:type="dxa"/>
          </w:tcPr>
          <w:p w14:paraId="4CE535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связи</w:t>
            </w:r>
          </w:p>
        </w:tc>
        <w:tc>
          <w:tcPr>
            <w:tcW w:w="1192" w:type="dxa"/>
          </w:tcPr>
          <w:p w14:paraId="103681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1192" w:type="dxa"/>
          </w:tcPr>
          <w:p w14:paraId="161A95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1.П.31</w:t>
            </w:r>
          </w:p>
        </w:tc>
        <w:tc>
          <w:tcPr>
            <w:tcW w:w="1192" w:type="dxa"/>
          </w:tcPr>
          <w:p w14:paraId="14DCC7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74E491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7FB0FB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5802AC16" w14:textId="77777777">
        <w:tc>
          <w:tcPr>
            <w:tcW w:w="3618" w:type="dxa"/>
          </w:tcPr>
          <w:p w14:paraId="60C859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РВ-2М26 со сварн. фюзеляжем</w:t>
            </w:r>
          </w:p>
        </w:tc>
        <w:tc>
          <w:tcPr>
            <w:tcW w:w="1192" w:type="dxa"/>
          </w:tcPr>
          <w:p w14:paraId="0119D6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1192" w:type="dxa"/>
          </w:tcPr>
          <w:p w14:paraId="573E14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1.УП.31</w:t>
            </w:r>
          </w:p>
        </w:tc>
        <w:tc>
          <w:tcPr>
            <w:tcW w:w="1192" w:type="dxa"/>
          </w:tcPr>
          <w:p w14:paraId="03B18A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4D1BC1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3CCE78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5EDC6207" w14:textId="77777777">
        <w:tc>
          <w:tcPr>
            <w:tcW w:w="3618" w:type="dxa"/>
          </w:tcPr>
          <w:p w14:paraId="7990AF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И9-М30/М31/М32</w:t>
            </w:r>
          </w:p>
        </w:tc>
        <w:tc>
          <w:tcPr>
            <w:tcW w:w="1192" w:type="dxa"/>
          </w:tcPr>
          <w:p w14:paraId="3EA862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1.Ш.31</w:t>
            </w:r>
          </w:p>
        </w:tc>
        <w:tc>
          <w:tcPr>
            <w:tcW w:w="1192" w:type="dxa"/>
          </w:tcPr>
          <w:p w14:paraId="5CD826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1.УШ.31</w:t>
            </w:r>
          </w:p>
        </w:tc>
        <w:tc>
          <w:tcPr>
            <w:tcW w:w="1192" w:type="dxa"/>
          </w:tcPr>
          <w:p w14:paraId="6B3ED1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63FE3D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2B93C4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7AE5A1F" w14:textId="77777777">
        <w:tc>
          <w:tcPr>
            <w:tcW w:w="3618" w:type="dxa"/>
          </w:tcPr>
          <w:p w14:paraId="47A988C6"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4DF0F2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1.УП.31</w:t>
            </w:r>
          </w:p>
        </w:tc>
        <w:tc>
          <w:tcPr>
            <w:tcW w:w="1192" w:type="dxa"/>
          </w:tcPr>
          <w:p w14:paraId="2F9F07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1.1.33</w:t>
            </w:r>
          </w:p>
        </w:tc>
        <w:tc>
          <w:tcPr>
            <w:tcW w:w="1192" w:type="dxa"/>
          </w:tcPr>
          <w:p w14:paraId="02F264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27FBC6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0E90D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CF76875" w14:textId="77777777">
        <w:tc>
          <w:tcPr>
            <w:tcW w:w="3618" w:type="dxa"/>
          </w:tcPr>
          <w:p w14:paraId="46C413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И9-М30/М31/М32 со сварным фюзеляжем</w:t>
            </w:r>
          </w:p>
        </w:tc>
        <w:tc>
          <w:tcPr>
            <w:tcW w:w="1192" w:type="dxa"/>
          </w:tcPr>
          <w:p w14:paraId="6B1EC3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1192" w:type="dxa"/>
          </w:tcPr>
          <w:p w14:paraId="163914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1.1Х.31</w:t>
            </w:r>
          </w:p>
        </w:tc>
        <w:tc>
          <w:tcPr>
            <w:tcW w:w="1192" w:type="dxa"/>
          </w:tcPr>
          <w:p w14:paraId="26C63E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1E5039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6BAF2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7219499" w14:textId="77777777">
        <w:tc>
          <w:tcPr>
            <w:tcW w:w="3618" w:type="dxa"/>
          </w:tcPr>
          <w:p w14:paraId="4A6F1F8E"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241A56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1.УП.32</w:t>
            </w:r>
          </w:p>
        </w:tc>
        <w:tc>
          <w:tcPr>
            <w:tcW w:w="1192" w:type="dxa"/>
          </w:tcPr>
          <w:p w14:paraId="216C33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1.П.33</w:t>
            </w:r>
          </w:p>
        </w:tc>
        <w:tc>
          <w:tcPr>
            <w:tcW w:w="1192" w:type="dxa"/>
          </w:tcPr>
          <w:p w14:paraId="4F08B2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1BA623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4FA925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1305223E" w14:textId="77777777">
        <w:tc>
          <w:tcPr>
            <w:tcW w:w="3618" w:type="dxa"/>
          </w:tcPr>
          <w:p w14:paraId="4E4E89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И9-М37/М38</w:t>
            </w:r>
          </w:p>
        </w:tc>
        <w:tc>
          <w:tcPr>
            <w:tcW w:w="1192" w:type="dxa"/>
          </w:tcPr>
          <w:p w14:paraId="360562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1.1Х.31</w:t>
            </w:r>
          </w:p>
        </w:tc>
        <w:tc>
          <w:tcPr>
            <w:tcW w:w="1192" w:type="dxa"/>
          </w:tcPr>
          <w:p w14:paraId="07AF3D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1.П.32</w:t>
            </w:r>
          </w:p>
        </w:tc>
        <w:tc>
          <w:tcPr>
            <w:tcW w:w="1192" w:type="dxa"/>
          </w:tcPr>
          <w:p w14:paraId="68CB20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53993C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38AE55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A2AF4F4" w14:textId="77777777">
        <w:tc>
          <w:tcPr>
            <w:tcW w:w="3618" w:type="dxa"/>
          </w:tcPr>
          <w:p w14:paraId="46FF6809"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4F46ED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1.УП.32</w:t>
            </w:r>
          </w:p>
        </w:tc>
        <w:tc>
          <w:tcPr>
            <w:tcW w:w="1192" w:type="dxa"/>
          </w:tcPr>
          <w:p w14:paraId="6F2529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1.ХП.32</w:t>
            </w:r>
          </w:p>
        </w:tc>
        <w:tc>
          <w:tcPr>
            <w:tcW w:w="1192" w:type="dxa"/>
          </w:tcPr>
          <w:p w14:paraId="7FB4FE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5DA72F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71E21A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48683F0A" w14:textId="77777777">
        <w:tc>
          <w:tcPr>
            <w:tcW w:w="3618" w:type="dxa"/>
          </w:tcPr>
          <w:p w14:paraId="2D03FD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МИ2 - М37/М38</w:t>
            </w:r>
          </w:p>
        </w:tc>
        <w:tc>
          <w:tcPr>
            <w:tcW w:w="1192" w:type="dxa"/>
          </w:tcPr>
          <w:p w14:paraId="0D1CF3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1.Ш.32</w:t>
            </w:r>
          </w:p>
        </w:tc>
        <w:tc>
          <w:tcPr>
            <w:tcW w:w="1192" w:type="dxa"/>
          </w:tcPr>
          <w:p w14:paraId="2AC36B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1.У1.32</w:t>
            </w:r>
          </w:p>
        </w:tc>
        <w:tc>
          <w:tcPr>
            <w:tcW w:w="1192" w:type="dxa"/>
          </w:tcPr>
          <w:p w14:paraId="25FB2D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3017CD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1C461A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AA6F496" w14:textId="77777777">
        <w:tc>
          <w:tcPr>
            <w:tcW w:w="3618" w:type="dxa"/>
          </w:tcPr>
          <w:p w14:paraId="62475007"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64D5FD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1.1.33</w:t>
            </w:r>
          </w:p>
        </w:tc>
        <w:tc>
          <w:tcPr>
            <w:tcW w:w="1192" w:type="dxa"/>
          </w:tcPr>
          <w:p w14:paraId="007952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1.УШ.33</w:t>
            </w:r>
          </w:p>
        </w:tc>
        <w:tc>
          <w:tcPr>
            <w:tcW w:w="1192" w:type="dxa"/>
          </w:tcPr>
          <w:p w14:paraId="4958B6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6B6CEF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4D380F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A8E279F" w14:textId="77777777">
        <w:tc>
          <w:tcPr>
            <w:tcW w:w="3618" w:type="dxa"/>
          </w:tcPr>
          <w:p w14:paraId="720210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 - М33/М34</w:t>
            </w:r>
          </w:p>
        </w:tc>
        <w:tc>
          <w:tcPr>
            <w:tcW w:w="1192" w:type="dxa"/>
          </w:tcPr>
          <w:p w14:paraId="54411C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1192" w:type="dxa"/>
          </w:tcPr>
          <w:p w14:paraId="60FFA3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1192" w:type="dxa"/>
          </w:tcPr>
          <w:p w14:paraId="4A2162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7DC905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23E7B1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EB64DA3" w14:textId="77777777">
        <w:tc>
          <w:tcPr>
            <w:tcW w:w="3618" w:type="dxa"/>
          </w:tcPr>
          <w:p w14:paraId="0A92B8C3"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39C6B4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170A84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1.Х1.32</w:t>
            </w:r>
          </w:p>
        </w:tc>
        <w:tc>
          <w:tcPr>
            <w:tcW w:w="1192" w:type="dxa"/>
          </w:tcPr>
          <w:p w14:paraId="0980A0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26978E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1F4680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EC3D673" w14:textId="77777777">
        <w:tc>
          <w:tcPr>
            <w:tcW w:w="3618" w:type="dxa"/>
          </w:tcPr>
          <w:p w14:paraId="62CD63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 - М33/М34 со сварным фюзеляжем</w:t>
            </w:r>
          </w:p>
        </w:tc>
        <w:tc>
          <w:tcPr>
            <w:tcW w:w="1192" w:type="dxa"/>
          </w:tcPr>
          <w:p w14:paraId="7C776D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1192" w:type="dxa"/>
          </w:tcPr>
          <w:p w14:paraId="0CA7F1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1.ХП.31</w:t>
            </w:r>
          </w:p>
        </w:tc>
        <w:tc>
          <w:tcPr>
            <w:tcW w:w="1192" w:type="dxa"/>
          </w:tcPr>
          <w:p w14:paraId="21EFF6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0DCDBF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29409C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0C63D75E" w14:textId="77777777">
        <w:tc>
          <w:tcPr>
            <w:tcW w:w="3618" w:type="dxa"/>
          </w:tcPr>
          <w:p w14:paraId="2A06B6D8"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5EA157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6EAF83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1.1.33</w:t>
            </w:r>
          </w:p>
        </w:tc>
        <w:tc>
          <w:tcPr>
            <w:tcW w:w="1192" w:type="dxa"/>
          </w:tcPr>
          <w:p w14:paraId="5E647F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508896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23158A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3B8CFD2" w14:textId="77777777">
        <w:tc>
          <w:tcPr>
            <w:tcW w:w="3618" w:type="dxa"/>
          </w:tcPr>
          <w:p w14:paraId="6D49E8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 - М34</w:t>
            </w:r>
          </w:p>
        </w:tc>
        <w:tc>
          <w:tcPr>
            <w:tcW w:w="1192" w:type="dxa"/>
          </w:tcPr>
          <w:p w14:paraId="477878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73B0C2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1.П.33</w:t>
            </w:r>
          </w:p>
        </w:tc>
        <w:tc>
          <w:tcPr>
            <w:tcW w:w="1192" w:type="dxa"/>
          </w:tcPr>
          <w:p w14:paraId="5F1C6E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60BAB3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758112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695F8F9" w14:textId="77777777">
        <w:tc>
          <w:tcPr>
            <w:tcW w:w="3618" w:type="dxa"/>
          </w:tcPr>
          <w:p w14:paraId="1409B2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 - М34 со сварным фюзеляжем</w:t>
            </w:r>
          </w:p>
        </w:tc>
        <w:tc>
          <w:tcPr>
            <w:tcW w:w="1192" w:type="dxa"/>
          </w:tcPr>
          <w:p w14:paraId="531306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1BE7FA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1.1У.33</w:t>
            </w:r>
          </w:p>
        </w:tc>
        <w:tc>
          <w:tcPr>
            <w:tcW w:w="1192" w:type="dxa"/>
          </w:tcPr>
          <w:p w14:paraId="2D7DE2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515467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2E11A9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BA810C9" w14:textId="77777777">
        <w:tc>
          <w:tcPr>
            <w:tcW w:w="3618" w:type="dxa"/>
          </w:tcPr>
          <w:p w14:paraId="727D5F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МР5-бис</w:t>
            </w:r>
          </w:p>
        </w:tc>
        <w:tc>
          <w:tcPr>
            <w:tcW w:w="1192" w:type="dxa"/>
          </w:tcPr>
          <w:p w14:paraId="4ECBFC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1.У.30</w:t>
            </w:r>
          </w:p>
        </w:tc>
        <w:tc>
          <w:tcPr>
            <w:tcW w:w="1192" w:type="dxa"/>
          </w:tcPr>
          <w:p w14:paraId="02A8BB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15.УП.30</w:t>
            </w:r>
          </w:p>
        </w:tc>
        <w:tc>
          <w:tcPr>
            <w:tcW w:w="1192" w:type="dxa"/>
          </w:tcPr>
          <w:p w14:paraId="1E3300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25A085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1A2DD7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B470DD5" w14:textId="77777777">
        <w:tc>
          <w:tcPr>
            <w:tcW w:w="3618" w:type="dxa"/>
          </w:tcPr>
          <w:p w14:paraId="2998DA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РОМ2 бис</w:t>
            </w:r>
          </w:p>
        </w:tc>
        <w:tc>
          <w:tcPr>
            <w:tcW w:w="1192" w:type="dxa"/>
          </w:tcPr>
          <w:p w14:paraId="681612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1.УШ.30</w:t>
            </w:r>
          </w:p>
        </w:tc>
        <w:tc>
          <w:tcPr>
            <w:tcW w:w="1192" w:type="dxa"/>
          </w:tcPr>
          <w:p w14:paraId="31CBA7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15.1Х.30</w:t>
            </w:r>
          </w:p>
        </w:tc>
        <w:tc>
          <w:tcPr>
            <w:tcW w:w="1192" w:type="dxa"/>
          </w:tcPr>
          <w:p w14:paraId="6CD342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7FB8B5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6C238F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F43CC45" w14:textId="77777777">
        <w:tc>
          <w:tcPr>
            <w:tcW w:w="3618" w:type="dxa"/>
          </w:tcPr>
          <w:p w14:paraId="5FEA76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ТОМ2</w:t>
            </w:r>
          </w:p>
        </w:tc>
        <w:tc>
          <w:tcPr>
            <w:tcW w:w="1192" w:type="dxa"/>
          </w:tcPr>
          <w:p w14:paraId="40D988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1.УШ.30</w:t>
            </w:r>
          </w:p>
        </w:tc>
        <w:tc>
          <w:tcPr>
            <w:tcW w:w="1192" w:type="dxa"/>
          </w:tcPr>
          <w:p w14:paraId="7467A1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15.1Х.30</w:t>
            </w:r>
          </w:p>
        </w:tc>
        <w:tc>
          <w:tcPr>
            <w:tcW w:w="1192" w:type="dxa"/>
          </w:tcPr>
          <w:p w14:paraId="46B61E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92" w:type="dxa"/>
          </w:tcPr>
          <w:p w14:paraId="53B9C1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82" w:type="dxa"/>
          </w:tcPr>
          <w:p w14:paraId="1841CC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1AE6B7E8" w14:textId="77777777">
        <w:tc>
          <w:tcPr>
            <w:tcW w:w="3618" w:type="dxa"/>
          </w:tcPr>
          <w:p w14:paraId="570043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МРД-2М33/М34</w:t>
            </w:r>
          </w:p>
        </w:tc>
        <w:tc>
          <w:tcPr>
            <w:tcW w:w="1192" w:type="dxa"/>
          </w:tcPr>
          <w:p w14:paraId="4031A1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1192" w:type="dxa"/>
          </w:tcPr>
          <w:p w14:paraId="4B1B56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1.1Х.31</w:t>
            </w:r>
          </w:p>
        </w:tc>
        <w:tc>
          <w:tcPr>
            <w:tcW w:w="1192" w:type="dxa"/>
          </w:tcPr>
          <w:p w14:paraId="72D173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683CF5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05AB62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7F1501AC" w14:textId="77777777">
        <w:tc>
          <w:tcPr>
            <w:tcW w:w="3618" w:type="dxa"/>
          </w:tcPr>
          <w:p w14:paraId="2029FEE6"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062479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404A63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1.УП.32</w:t>
            </w:r>
          </w:p>
        </w:tc>
        <w:tc>
          <w:tcPr>
            <w:tcW w:w="1192" w:type="dxa"/>
          </w:tcPr>
          <w:p w14:paraId="00D74A3E"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5E47D6DB" w14:textId="77777777" w:rsidR="00537E5F" w:rsidRPr="00507A31" w:rsidRDefault="00537E5F" w:rsidP="00507A31">
            <w:pPr>
              <w:autoSpaceDE w:val="0"/>
              <w:autoSpaceDN w:val="0"/>
              <w:adjustRightInd w:val="0"/>
              <w:jc w:val="both"/>
              <w:rPr>
                <w:color w:val="000000" w:themeColor="text1"/>
                <w:sz w:val="16"/>
                <w:szCs w:val="16"/>
              </w:rPr>
            </w:pPr>
          </w:p>
        </w:tc>
        <w:tc>
          <w:tcPr>
            <w:tcW w:w="1082" w:type="dxa"/>
          </w:tcPr>
          <w:p w14:paraId="050A8174"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123BDED2" w14:textId="77777777">
        <w:tc>
          <w:tcPr>
            <w:tcW w:w="3618" w:type="dxa"/>
          </w:tcPr>
          <w:p w14:paraId="63EE2F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МРБ-М33/М34</w:t>
            </w:r>
          </w:p>
        </w:tc>
        <w:tc>
          <w:tcPr>
            <w:tcW w:w="1192" w:type="dxa"/>
          </w:tcPr>
          <w:p w14:paraId="4390D5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1192" w:type="dxa"/>
          </w:tcPr>
          <w:p w14:paraId="264941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15.УП.31</w:t>
            </w:r>
          </w:p>
        </w:tc>
        <w:tc>
          <w:tcPr>
            <w:tcW w:w="1192" w:type="dxa"/>
          </w:tcPr>
          <w:p w14:paraId="635B76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192" w:type="dxa"/>
          </w:tcPr>
          <w:p w14:paraId="46E771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82" w:type="dxa"/>
          </w:tcPr>
          <w:p w14:paraId="3800D0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2FF14FD1" w14:textId="77777777">
        <w:tc>
          <w:tcPr>
            <w:tcW w:w="3618" w:type="dxa"/>
          </w:tcPr>
          <w:p w14:paraId="1DDFD750"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2F53D4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1.1Х.32</w:t>
            </w:r>
          </w:p>
        </w:tc>
        <w:tc>
          <w:tcPr>
            <w:tcW w:w="1192" w:type="dxa"/>
          </w:tcPr>
          <w:p w14:paraId="3E048F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1.УП.32</w:t>
            </w:r>
          </w:p>
        </w:tc>
        <w:tc>
          <w:tcPr>
            <w:tcW w:w="1192" w:type="dxa"/>
          </w:tcPr>
          <w:p w14:paraId="5008A36F"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7672AD04" w14:textId="77777777" w:rsidR="00537E5F" w:rsidRPr="00507A31" w:rsidRDefault="00537E5F" w:rsidP="00507A31">
            <w:pPr>
              <w:autoSpaceDE w:val="0"/>
              <w:autoSpaceDN w:val="0"/>
              <w:adjustRightInd w:val="0"/>
              <w:jc w:val="both"/>
              <w:rPr>
                <w:color w:val="000000" w:themeColor="text1"/>
                <w:sz w:val="16"/>
                <w:szCs w:val="16"/>
              </w:rPr>
            </w:pPr>
          </w:p>
        </w:tc>
        <w:tc>
          <w:tcPr>
            <w:tcW w:w="1082" w:type="dxa"/>
          </w:tcPr>
          <w:p w14:paraId="28646E89"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10207D64" w14:textId="77777777">
        <w:tc>
          <w:tcPr>
            <w:tcW w:w="3618" w:type="dxa"/>
          </w:tcPr>
          <w:p w14:paraId="578FDA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w:t>
            </w:r>
          </w:p>
        </w:tc>
        <w:tc>
          <w:tcPr>
            <w:tcW w:w="1192" w:type="dxa"/>
          </w:tcPr>
          <w:p w14:paraId="44C97D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1.П.31</w:t>
            </w:r>
          </w:p>
        </w:tc>
        <w:tc>
          <w:tcPr>
            <w:tcW w:w="1192" w:type="dxa"/>
          </w:tcPr>
          <w:p w14:paraId="00E93C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15.Ш.31</w:t>
            </w:r>
          </w:p>
        </w:tc>
        <w:tc>
          <w:tcPr>
            <w:tcW w:w="1192" w:type="dxa"/>
          </w:tcPr>
          <w:p w14:paraId="0EC51AAF"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Pr>
          <w:p w14:paraId="3A9D7229" w14:textId="77777777" w:rsidR="00537E5F" w:rsidRPr="00507A31" w:rsidRDefault="00537E5F" w:rsidP="00507A31">
            <w:pPr>
              <w:autoSpaceDE w:val="0"/>
              <w:autoSpaceDN w:val="0"/>
              <w:adjustRightInd w:val="0"/>
              <w:jc w:val="both"/>
              <w:rPr>
                <w:color w:val="000000" w:themeColor="text1"/>
                <w:sz w:val="16"/>
                <w:szCs w:val="16"/>
              </w:rPr>
            </w:pPr>
          </w:p>
        </w:tc>
        <w:tc>
          <w:tcPr>
            <w:tcW w:w="1082" w:type="dxa"/>
          </w:tcPr>
          <w:p w14:paraId="453151EB"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C737DC7" w14:textId="77777777">
        <w:tc>
          <w:tcPr>
            <w:tcW w:w="3618" w:type="dxa"/>
            <w:tcBorders>
              <w:bottom w:val="single" w:sz="12" w:space="0" w:color="auto"/>
            </w:tcBorders>
          </w:tcPr>
          <w:p w14:paraId="497710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w:t>
            </w:r>
          </w:p>
        </w:tc>
        <w:tc>
          <w:tcPr>
            <w:tcW w:w="1192" w:type="dxa"/>
            <w:tcBorders>
              <w:bottom w:val="single" w:sz="12" w:space="0" w:color="auto"/>
            </w:tcBorders>
          </w:tcPr>
          <w:p w14:paraId="77C8F679"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Borders>
              <w:bottom w:val="single" w:sz="12" w:space="0" w:color="auto"/>
            </w:tcBorders>
          </w:tcPr>
          <w:p w14:paraId="73A4706C" w14:textId="77777777" w:rsidR="00537E5F" w:rsidRPr="00507A31" w:rsidRDefault="00537E5F" w:rsidP="00507A31">
            <w:pPr>
              <w:autoSpaceDE w:val="0"/>
              <w:autoSpaceDN w:val="0"/>
              <w:adjustRightInd w:val="0"/>
              <w:jc w:val="both"/>
              <w:rPr>
                <w:color w:val="000000" w:themeColor="text1"/>
                <w:sz w:val="16"/>
                <w:szCs w:val="16"/>
              </w:rPr>
            </w:pPr>
          </w:p>
        </w:tc>
        <w:tc>
          <w:tcPr>
            <w:tcW w:w="1192" w:type="dxa"/>
            <w:tcBorders>
              <w:bottom w:val="single" w:sz="12" w:space="0" w:color="auto"/>
            </w:tcBorders>
          </w:tcPr>
          <w:p w14:paraId="0679D1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w:t>
            </w:r>
          </w:p>
        </w:tc>
        <w:tc>
          <w:tcPr>
            <w:tcW w:w="1192" w:type="dxa"/>
            <w:tcBorders>
              <w:bottom w:val="single" w:sz="12" w:space="0" w:color="auto"/>
            </w:tcBorders>
          </w:tcPr>
          <w:p w14:paraId="0A7274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w:t>
            </w:r>
          </w:p>
        </w:tc>
        <w:tc>
          <w:tcPr>
            <w:tcW w:w="1082" w:type="dxa"/>
            <w:tcBorders>
              <w:bottom w:val="single" w:sz="12" w:space="0" w:color="auto"/>
            </w:tcBorders>
          </w:tcPr>
          <w:p w14:paraId="63FE43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r>
    </w:tbl>
    <w:p w14:paraId="65ACFC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(351).</w:t>
      </w:r>
    </w:p>
    <w:p w14:paraId="385356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01A80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января 1930 был выпущен первый в мире радиозонд (271,120) конструкции П.А.Молчанова. Поднялся из Пулковской обсерватории на 18500 м (438,606).</w:t>
      </w:r>
    </w:p>
    <w:p w14:paraId="43D2E1BE" w14:textId="77777777" w:rsidR="00537E5F" w:rsidRPr="00507A31" w:rsidRDefault="00537E5F" w:rsidP="00507A31">
      <w:pPr>
        <w:autoSpaceDE w:val="0"/>
        <w:autoSpaceDN w:val="0"/>
        <w:adjustRightInd w:val="0"/>
        <w:jc w:val="both"/>
        <w:rPr>
          <w:color w:val="000000" w:themeColor="text1"/>
          <w:sz w:val="16"/>
          <w:szCs w:val="16"/>
        </w:rPr>
      </w:pPr>
    </w:p>
    <w:p w14:paraId="0C2B17A9" w14:textId="77777777" w:rsidR="00C63995" w:rsidRPr="00507A31" w:rsidRDefault="00C63995" w:rsidP="00507A31">
      <w:pPr>
        <w:jc w:val="both"/>
        <w:rPr>
          <w:color w:val="000000" w:themeColor="text1"/>
          <w:sz w:val="16"/>
          <w:szCs w:val="16"/>
        </w:rPr>
      </w:pPr>
      <w:r w:rsidRPr="00507A31">
        <w:rPr>
          <w:bCs/>
          <w:color w:val="000000" w:themeColor="text1"/>
          <w:sz w:val="16"/>
          <w:szCs w:val="16"/>
        </w:rPr>
        <w:t>30 января</w:t>
      </w:r>
      <w:r w:rsidRPr="00507A31">
        <w:rPr>
          <w:color w:val="000000" w:themeColor="text1"/>
          <w:sz w:val="16"/>
          <w:szCs w:val="16"/>
        </w:rPr>
        <w:t xml:space="preserve"> в 1930 году в Павловской аэрологической обсерватории под Санкт-Петербургом был осуществлен запуск первого в мире радиозонда для исследования атмосферы, изобретенного советским метеорологом П.А.Молчановым. Поднялся на 18500 м (15025).</w:t>
      </w:r>
    </w:p>
    <w:p w14:paraId="6C375581" w14:textId="77777777" w:rsidR="00C63995" w:rsidRPr="00507A31" w:rsidRDefault="00C63995" w:rsidP="00507A31">
      <w:pPr>
        <w:jc w:val="both"/>
        <w:rPr>
          <w:color w:val="000000" w:themeColor="text1"/>
          <w:sz w:val="16"/>
          <w:szCs w:val="16"/>
        </w:rPr>
      </w:pPr>
    </w:p>
    <w:p w14:paraId="797C411A" w14:textId="77777777" w:rsidR="00092D87" w:rsidRPr="00507A31" w:rsidRDefault="00092D87" w:rsidP="00507A31">
      <w:pPr>
        <w:jc w:val="both"/>
        <w:rPr>
          <w:color w:val="0070C0"/>
          <w:sz w:val="16"/>
          <w:szCs w:val="16"/>
        </w:rPr>
      </w:pPr>
      <w:r w:rsidRPr="00507A31">
        <w:rPr>
          <w:color w:val="0070C0"/>
          <w:sz w:val="16"/>
          <w:szCs w:val="16"/>
        </w:rPr>
        <w:t>30 января 1930 г. в Аэрологической обсерва</w:t>
      </w:r>
      <w:r w:rsidRPr="00507A31">
        <w:rPr>
          <w:color w:val="0070C0"/>
          <w:sz w:val="16"/>
          <w:szCs w:val="16"/>
        </w:rPr>
        <w:softHyphen/>
        <w:t>тории в Слуцке П.А. Молчанов впервые в мире запустил радиозонд (И.Г. Фрейман умер 8 февра</w:t>
      </w:r>
      <w:r w:rsidRPr="00507A31">
        <w:rPr>
          <w:color w:val="0070C0"/>
          <w:sz w:val="16"/>
          <w:szCs w:val="16"/>
        </w:rPr>
        <w:softHyphen/>
        <w:t>ля 1929 г.). Прибор, имевший только один датчик температуры, достиг стратосферы, поднявшись на высоту 8900 м, и передал значение наиниз</w:t>
      </w:r>
      <w:r w:rsidRPr="00507A31">
        <w:rPr>
          <w:color w:val="0070C0"/>
          <w:sz w:val="16"/>
          <w:szCs w:val="16"/>
        </w:rPr>
        <w:softHyphen/>
        <w:t>шей температуры -40,7°C. Через несколько дней неповреждённый прибор доставили из д. Горбы Новгородской губернии. Первый запуск радио</w:t>
      </w:r>
      <w:r w:rsidRPr="00507A31">
        <w:rPr>
          <w:color w:val="0070C0"/>
          <w:sz w:val="16"/>
          <w:szCs w:val="16"/>
        </w:rPr>
        <w:softHyphen/>
        <w:t>зонда за границей состоялся 15 мая 1930 г. в Лин- денбергской обсерватории (Германия).</w:t>
      </w:r>
    </w:p>
    <w:p w14:paraId="2EDA8E43" w14:textId="77777777" w:rsidR="00092D87" w:rsidRPr="00507A31" w:rsidRDefault="00092D87" w:rsidP="00507A31">
      <w:pPr>
        <w:jc w:val="both"/>
        <w:rPr>
          <w:color w:val="0070C0"/>
          <w:sz w:val="16"/>
          <w:szCs w:val="16"/>
        </w:rPr>
      </w:pPr>
      <w:r w:rsidRPr="00507A31">
        <w:rPr>
          <w:color w:val="0070C0"/>
          <w:sz w:val="16"/>
          <w:szCs w:val="16"/>
        </w:rPr>
        <w:t>В течение 1930 г. в мастерских Аэрологической обсерватории изготовили 12 радиозондов (20120).</w:t>
      </w:r>
    </w:p>
    <w:p w14:paraId="11907816" w14:textId="77777777" w:rsidR="00092D87" w:rsidRPr="00507A31" w:rsidRDefault="00092D87" w:rsidP="00507A31">
      <w:pPr>
        <w:jc w:val="both"/>
        <w:rPr>
          <w:color w:val="0070C0"/>
          <w:sz w:val="16"/>
          <w:szCs w:val="16"/>
        </w:rPr>
      </w:pPr>
    </w:p>
    <w:p w14:paraId="6E5B8C00" w14:textId="77777777" w:rsidR="00092D87" w:rsidRPr="00507A31" w:rsidRDefault="00092D87" w:rsidP="00507A31">
      <w:pPr>
        <w:jc w:val="both"/>
        <w:rPr>
          <w:color w:val="0070C0"/>
          <w:sz w:val="16"/>
          <w:szCs w:val="16"/>
        </w:rPr>
      </w:pPr>
      <w:r w:rsidRPr="00507A31">
        <w:rPr>
          <w:color w:val="0070C0"/>
          <w:sz w:val="16"/>
          <w:szCs w:val="16"/>
        </w:rPr>
        <w:t>30 января 1930 - В 13 часов 44 минуты по московскому времени с территории Аэрологической обсерватории в Павловске (ныне Главная геофизическая обсерватория) был выпущен первый в мире радиозонд.</w:t>
      </w:r>
    </w:p>
    <w:p w14:paraId="4916DC0D" w14:textId="77777777" w:rsidR="00092D87" w:rsidRPr="00507A31" w:rsidRDefault="00092D87" w:rsidP="00507A31">
      <w:pPr>
        <w:jc w:val="both"/>
        <w:rPr>
          <w:color w:val="0070C0"/>
          <w:sz w:val="16"/>
          <w:szCs w:val="16"/>
        </w:rPr>
      </w:pPr>
      <w:r w:rsidRPr="00507A31">
        <w:rPr>
          <w:color w:val="0070C0"/>
          <w:sz w:val="16"/>
          <w:szCs w:val="16"/>
        </w:rPr>
        <w:t>Радиозонд поднялся на высоту 7.8 км, где была зарегистрирована температура минус 40.7°. Менее чем через час (32 минуты полета) после запуска в Ленинградское бюро погоды и в Центральный институт прогнозов в г. Москве было послано первое в мире оперативное аэрологическое сообщение. Это означало колоссальный прорыв в технике метеорологических наблюдений -открылась возможность получать сведения о состоянии свободной атмосферы до высот вначале около 10-15 км, а впоследствии - 25-30 км.</w:t>
      </w:r>
    </w:p>
    <w:p w14:paraId="0D04C8E6" w14:textId="77777777" w:rsidR="00092D87" w:rsidRPr="00507A31" w:rsidRDefault="00092D87" w:rsidP="00507A31">
      <w:pPr>
        <w:jc w:val="both"/>
        <w:rPr>
          <w:color w:val="0070C0"/>
          <w:sz w:val="16"/>
          <w:szCs w:val="16"/>
        </w:rPr>
      </w:pPr>
      <w:r w:rsidRPr="00507A31">
        <w:rPr>
          <w:color w:val="0070C0"/>
          <w:sz w:val="16"/>
          <w:szCs w:val="16"/>
        </w:rPr>
        <w:t>Создателем первого в мире радиозонда и метода его использования для исследования атмосферы является наш соотечественник – выдающийся советский ученый-аэролог Павел Александрович Молчанов, трагически погибший в годы Великой Отечественной войны. Конструкция радиозонда Молчанова, наиболее простая и дешёвая, была на службе отечественной метеорологии около 30 лет, и лишь потом её заменили более совершенные модели (22639).</w:t>
      </w:r>
    </w:p>
    <w:p w14:paraId="0B9BE1CB" w14:textId="77777777" w:rsidR="00092D87" w:rsidRPr="00507A31" w:rsidRDefault="00092D87" w:rsidP="00507A31">
      <w:pPr>
        <w:jc w:val="both"/>
        <w:rPr>
          <w:color w:val="0070C0"/>
          <w:sz w:val="16"/>
          <w:szCs w:val="16"/>
        </w:rPr>
      </w:pPr>
    </w:p>
    <w:p w14:paraId="21D82F0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D90C813" w14:textId="77777777" w:rsidR="00537E5F" w:rsidRPr="00507A31" w:rsidRDefault="00537E5F" w:rsidP="00507A31">
      <w:pPr>
        <w:autoSpaceDE w:val="0"/>
        <w:autoSpaceDN w:val="0"/>
        <w:adjustRightInd w:val="0"/>
        <w:jc w:val="both"/>
        <w:rPr>
          <w:iCs/>
          <w:color w:val="000000" w:themeColor="text1"/>
          <w:sz w:val="16"/>
          <w:szCs w:val="16"/>
        </w:rPr>
      </w:pPr>
    </w:p>
    <w:p w14:paraId="3BDD25CB" w14:textId="77777777" w:rsidR="00092D87" w:rsidRPr="00507A31" w:rsidRDefault="00092D87" w:rsidP="00507A31">
      <w:pPr>
        <w:shd w:val="clear" w:color="auto" w:fill="FFFFFF"/>
        <w:jc w:val="both"/>
        <w:rPr>
          <w:color w:val="0070C0"/>
          <w:sz w:val="16"/>
          <w:szCs w:val="16"/>
        </w:rPr>
      </w:pPr>
      <w:bookmarkStart w:id="10" w:name="_Hlk83565082"/>
      <w:r w:rsidRPr="00507A31">
        <w:rPr>
          <w:color w:val="0070C0"/>
          <w:sz w:val="16"/>
          <w:szCs w:val="16"/>
        </w:rPr>
        <w:t>30 января 1930 состоялось заседание РЗ СТО</w:t>
      </w:r>
    </w:p>
    <w:p w14:paraId="2DFFB7EF" w14:textId="77777777" w:rsidR="00092D87" w:rsidRPr="00507A31" w:rsidRDefault="00092D87" w:rsidP="00507A31">
      <w:pPr>
        <w:shd w:val="clear" w:color="auto" w:fill="FFFFFF"/>
        <w:jc w:val="both"/>
        <w:rPr>
          <w:color w:val="0070C0"/>
          <w:sz w:val="16"/>
          <w:szCs w:val="16"/>
        </w:rPr>
      </w:pPr>
      <w:r w:rsidRPr="00507A31">
        <w:rPr>
          <w:color w:val="0070C0"/>
          <w:sz w:val="16"/>
          <w:szCs w:val="16"/>
        </w:rPr>
        <w:t>Протокол № 44 от 30 января 1930 г.:</w:t>
      </w:r>
    </w:p>
    <w:p w14:paraId="464027D6" w14:textId="77777777" w:rsidR="00092D87" w:rsidRPr="00507A31" w:rsidRDefault="00092D87" w:rsidP="00507A31">
      <w:pPr>
        <w:shd w:val="clear" w:color="auto" w:fill="FFFFFF"/>
        <w:jc w:val="both"/>
        <w:rPr>
          <w:color w:val="0070C0"/>
          <w:sz w:val="16"/>
          <w:szCs w:val="16"/>
        </w:rPr>
      </w:pPr>
      <w:r w:rsidRPr="00507A31">
        <w:rPr>
          <w:color w:val="0070C0"/>
          <w:sz w:val="16"/>
          <w:szCs w:val="16"/>
        </w:rPr>
        <w:t>О реорганизации военной промышленности (постановление P3 CTO от 30.1.1930 г. к протоколу P3 СТО № 44 от 30.1.1930 г. по п. 1)…</w:t>
      </w:r>
    </w:p>
    <w:p w14:paraId="264518AE" w14:textId="77777777" w:rsidR="00092D87" w:rsidRPr="00507A31" w:rsidRDefault="00092D87" w:rsidP="00507A31">
      <w:pPr>
        <w:shd w:val="clear" w:color="auto" w:fill="FFFFFF"/>
        <w:jc w:val="both"/>
        <w:rPr>
          <w:color w:val="0070C0"/>
          <w:sz w:val="16"/>
          <w:szCs w:val="16"/>
        </w:rPr>
      </w:pPr>
      <w:r w:rsidRPr="00507A31">
        <w:rPr>
          <w:color w:val="0070C0"/>
          <w:sz w:val="16"/>
          <w:szCs w:val="16"/>
        </w:rPr>
        <w:t>…О мероприятиях по развитию авиапромышленности (постановление P3 СТО от 14.1.1930 г. к протоколу P3 СТО № 44 от 30.1.1930 г. по п. 11).</w:t>
      </w:r>
    </w:p>
    <w:p w14:paraId="43D0A02E" w14:textId="77777777" w:rsidR="00092D87" w:rsidRPr="00507A31" w:rsidRDefault="00092D87" w:rsidP="00507A31">
      <w:pPr>
        <w:shd w:val="clear" w:color="auto" w:fill="FFFFFF"/>
        <w:jc w:val="both"/>
        <w:rPr>
          <w:color w:val="0070C0"/>
          <w:sz w:val="16"/>
          <w:szCs w:val="16"/>
        </w:rPr>
      </w:pPr>
      <w:r w:rsidRPr="00507A31">
        <w:rPr>
          <w:color w:val="0070C0"/>
          <w:sz w:val="16"/>
          <w:szCs w:val="16"/>
        </w:rPr>
        <w:t>…О мобилизационной подготовке промышленности (постановление P3 СТО от 21.1.1930 г. к протоколу P3 СТО № 44 от 30.1.1930 г. по п. 12).</w:t>
      </w:r>
    </w:p>
    <w:p w14:paraId="359DDDCD" w14:textId="77777777" w:rsidR="00092D87" w:rsidRPr="00507A31" w:rsidRDefault="00092D87" w:rsidP="00507A31">
      <w:pPr>
        <w:shd w:val="clear" w:color="auto" w:fill="FFFFFF"/>
        <w:jc w:val="both"/>
        <w:rPr>
          <w:color w:val="0070C0"/>
          <w:sz w:val="16"/>
          <w:szCs w:val="16"/>
        </w:rPr>
      </w:pPr>
      <w:r w:rsidRPr="00507A31">
        <w:rPr>
          <w:color w:val="0070C0"/>
          <w:sz w:val="16"/>
          <w:szCs w:val="16"/>
        </w:rPr>
        <w:t>…О реорганизации оборонных органов НКФ СССР (постановление РЗ СТО от 30.1.1930 г. к протоколу РЗ СТО № 44 от 30.1.1930 г. по п. 16) (21366).</w:t>
      </w:r>
    </w:p>
    <w:p w14:paraId="0452DA31" w14:textId="77777777" w:rsidR="00092D87" w:rsidRPr="00507A31" w:rsidRDefault="00092D87" w:rsidP="00507A31">
      <w:pPr>
        <w:jc w:val="both"/>
        <w:rPr>
          <w:color w:val="0070C0"/>
          <w:sz w:val="16"/>
          <w:szCs w:val="16"/>
        </w:rPr>
      </w:pPr>
    </w:p>
    <w:bookmarkEnd w:id="10"/>
    <w:p w14:paraId="36588B5F" w14:textId="77777777" w:rsidR="00D51101" w:rsidRPr="00507A31" w:rsidRDefault="00D51101" w:rsidP="00507A31">
      <w:pPr>
        <w:jc w:val="both"/>
        <w:rPr>
          <w:color w:val="000000" w:themeColor="text1"/>
          <w:sz w:val="16"/>
          <w:szCs w:val="16"/>
        </w:rPr>
      </w:pPr>
      <w:r w:rsidRPr="00507A31">
        <w:rPr>
          <w:color w:val="000000" w:themeColor="text1"/>
          <w:sz w:val="16"/>
          <w:szCs w:val="16"/>
        </w:rPr>
        <w:t>30 января 1930 г. — Постановление РЗ СТО СССР «О реорганизации военной промышленности»</w:t>
      </w:r>
    </w:p>
    <w:p w14:paraId="7DE788C2" w14:textId="77777777" w:rsidR="00D51101" w:rsidRPr="00507A31" w:rsidRDefault="00D51101"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36768518" w14:textId="77777777" w:rsidR="00D51101" w:rsidRPr="00507A31" w:rsidRDefault="00D51101" w:rsidP="00507A31">
      <w:pPr>
        <w:pStyle w:val="rtejustify"/>
        <w:spacing w:before="0" w:after="0"/>
        <w:rPr>
          <w:color w:val="000000" w:themeColor="text1"/>
          <w:sz w:val="16"/>
          <w:szCs w:val="16"/>
        </w:rPr>
      </w:pPr>
      <w:r w:rsidRPr="00507A31">
        <w:rPr>
          <w:color w:val="000000" w:themeColor="text1"/>
          <w:sz w:val="16"/>
          <w:szCs w:val="16"/>
        </w:rPr>
        <w:t>Совет труда и обороны постановляет:</w:t>
      </w:r>
    </w:p>
    <w:p w14:paraId="7BDCC50E" w14:textId="77777777" w:rsidR="00D51101" w:rsidRPr="00507A31" w:rsidRDefault="00D51101" w:rsidP="00507A31">
      <w:pPr>
        <w:pStyle w:val="rtejustify"/>
        <w:spacing w:before="0" w:after="0"/>
        <w:rPr>
          <w:color w:val="000000" w:themeColor="text1"/>
          <w:sz w:val="16"/>
          <w:szCs w:val="16"/>
        </w:rPr>
      </w:pPr>
      <w:r w:rsidRPr="00507A31">
        <w:rPr>
          <w:color w:val="000000" w:themeColor="text1"/>
          <w:sz w:val="16"/>
          <w:szCs w:val="16"/>
        </w:rPr>
        <w:t>1. В целях объединения технического руководства всеми военно-химическими производствами, увязки планов их развития с развитием основной сырьевой базы, а также для обеспечения максимального использования основного капитала таковых в мирное время передать Военно-химический трест из состава военной промышленности во Всесоюзное объединение химической промышленности.</w:t>
      </w:r>
    </w:p>
    <w:p w14:paraId="5F809408" w14:textId="77777777" w:rsidR="00D51101" w:rsidRPr="00507A31" w:rsidRDefault="00D51101" w:rsidP="00507A31">
      <w:pPr>
        <w:pStyle w:val="rtejustify"/>
        <w:spacing w:before="0" w:after="0"/>
        <w:rPr>
          <w:color w:val="000000" w:themeColor="text1"/>
          <w:sz w:val="16"/>
          <w:szCs w:val="16"/>
        </w:rPr>
      </w:pPr>
      <w:r w:rsidRPr="00507A31">
        <w:rPr>
          <w:color w:val="000000" w:themeColor="text1"/>
          <w:sz w:val="16"/>
          <w:szCs w:val="16"/>
        </w:rPr>
        <w:t>2. Трест авиационной промышленности выделить в самостоятельное объединение, подчиненное Президиуму и Мобилизационно-плановому управлению ВСНХ СССР на таких же основаниях, как Военно-промышленное управление.</w:t>
      </w:r>
    </w:p>
    <w:p w14:paraId="62BBF11D" w14:textId="77777777" w:rsidR="00D51101" w:rsidRPr="00507A31" w:rsidRDefault="00D51101" w:rsidP="00507A31">
      <w:pPr>
        <w:pStyle w:val="rtejustify"/>
        <w:spacing w:before="0" w:after="0"/>
        <w:rPr>
          <w:color w:val="000000" w:themeColor="text1"/>
          <w:sz w:val="16"/>
          <w:szCs w:val="16"/>
        </w:rPr>
      </w:pPr>
      <w:r w:rsidRPr="00507A31">
        <w:rPr>
          <w:color w:val="000000" w:themeColor="text1"/>
          <w:sz w:val="16"/>
          <w:szCs w:val="16"/>
        </w:rPr>
        <w:t>3. Главное управление военной промышленности реорганизовать в объединение военных заводов, действующее на началах хозяйственного расчета, с оставлением в его составе Оружейно-пулеметного, Патронно-трубочного и Орудийно-арсенального трестов.</w:t>
      </w:r>
    </w:p>
    <w:p w14:paraId="5F1DC930" w14:textId="77777777" w:rsidR="00D51101" w:rsidRPr="00507A31" w:rsidRDefault="00D51101" w:rsidP="00507A31">
      <w:pPr>
        <w:pStyle w:val="rtejustify"/>
        <w:spacing w:before="0" w:after="0"/>
        <w:rPr>
          <w:color w:val="000000" w:themeColor="text1"/>
          <w:sz w:val="16"/>
          <w:szCs w:val="16"/>
        </w:rPr>
      </w:pPr>
      <w:r w:rsidRPr="00507A31">
        <w:rPr>
          <w:color w:val="000000" w:themeColor="text1"/>
          <w:sz w:val="16"/>
          <w:szCs w:val="16"/>
        </w:rPr>
        <w:t>4. Реорганизацию Управления военной промышленностью произвести в 10</w:t>
      </w:r>
      <w:r w:rsidRPr="00507A31">
        <w:rPr>
          <w:color w:val="000000" w:themeColor="text1"/>
          <w:sz w:val="16"/>
          <w:szCs w:val="16"/>
        </w:rPr>
        <w:noBreakHyphen/>
        <w:t>дневный срок, обеспечив преемственность работ по оборонной подготовке военной промышленности и не допуская снижения темпов таковой.</w:t>
      </w:r>
    </w:p>
    <w:p w14:paraId="14BC269C" w14:textId="77777777" w:rsidR="00D51101" w:rsidRPr="00507A31" w:rsidRDefault="00D51101"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Председатель Совета труда и обороны </w:t>
      </w:r>
      <w:hyperlink r:id="rId20" w:history="1">
        <w:r w:rsidRPr="00507A31">
          <w:rPr>
            <w:rStyle w:val="af0"/>
            <w:i w:val="0"/>
            <w:color w:val="000000" w:themeColor="text1"/>
            <w:sz w:val="16"/>
            <w:szCs w:val="16"/>
          </w:rPr>
          <w:t>А. И. Рыков</w:t>
        </w:r>
      </w:hyperlink>
    </w:p>
    <w:p w14:paraId="1121DEEE" w14:textId="77777777" w:rsidR="00D51101" w:rsidRPr="00507A31" w:rsidRDefault="00D51101"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Управделами СНК СССР и Совета труда и обороны </w:t>
      </w:r>
      <w:hyperlink r:id="rId21" w:history="1">
        <w:r w:rsidRPr="00507A31">
          <w:rPr>
            <w:rStyle w:val="af0"/>
            <w:i w:val="0"/>
            <w:color w:val="000000" w:themeColor="text1"/>
            <w:sz w:val="16"/>
            <w:szCs w:val="16"/>
          </w:rPr>
          <w:t>Н. Горбунов</w:t>
        </w:r>
      </w:hyperlink>
    </w:p>
    <w:p w14:paraId="5B720309" w14:textId="77777777" w:rsidR="00D51101" w:rsidRPr="00507A31" w:rsidRDefault="00D51101"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Секретарь Распорядительных заседаний СТО </w:t>
      </w:r>
      <w:hyperlink r:id="rId22" w:history="1">
        <w:r w:rsidRPr="00507A31">
          <w:rPr>
            <w:rStyle w:val="af0"/>
            <w:i w:val="0"/>
            <w:color w:val="000000" w:themeColor="text1"/>
            <w:sz w:val="16"/>
            <w:szCs w:val="16"/>
          </w:rPr>
          <w:t>Аппога</w:t>
        </w:r>
      </w:hyperlink>
    </w:p>
    <w:p w14:paraId="3FEB6169" w14:textId="77777777" w:rsidR="00D51101" w:rsidRPr="00507A31" w:rsidRDefault="00D51101"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Примечание</w:t>
      </w:r>
      <w:r w:rsidRPr="00507A31">
        <w:rPr>
          <w:color w:val="000000" w:themeColor="text1"/>
          <w:sz w:val="16"/>
          <w:szCs w:val="16"/>
        </w:rPr>
        <w:t>:</w:t>
      </w:r>
    </w:p>
    <w:p w14:paraId="4404DDA0" w14:textId="77777777" w:rsidR="00D51101" w:rsidRPr="00507A31" w:rsidRDefault="00D51101"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См. Также документ от 31 марта 1930 г. — Выписка из протокола № 48 РЗ СТО СССР «О реорганизации военной промышленности»</w:t>
      </w:r>
    </w:p>
    <w:p w14:paraId="09B70CDC" w14:textId="77777777" w:rsidR="00D51101" w:rsidRPr="00507A31" w:rsidRDefault="00D51101" w:rsidP="00507A31">
      <w:pPr>
        <w:pStyle w:val="ae"/>
        <w:spacing w:before="0" w:after="0"/>
        <w:jc w:val="both"/>
        <w:rPr>
          <w:color w:val="000000" w:themeColor="text1"/>
          <w:sz w:val="16"/>
          <w:szCs w:val="16"/>
        </w:rPr>
      </w:pPr>
      <w:r w:rsidRPr="00507A31">
        <w:rPr>
          <w:color w:val="000000" w:themeColor="text1"/>
          <w:sz w:val="16"/>
          <w:szCs w:val="16"/>
        </w:rPr>
        <w:t>РГАЭ. Ф. 4372. Оп. 91. Д. 595. Л. 6. Заверенная копия.</w:t>
      </w:r>
    </w:p>
    <w:p w14:paraId="4E74FD35" w14:textId="77777777" w:rsidR="00D51101" w:rsidRPr="00507A31" w:rsidRDefault="00D51101" w:rsidP="00507A31">
      <w:pPr>
        <w:pStyle w:val="ae"/>
        <w:spacing w:before="0" w:after="0"/>
        <w:jc w:val="both"/>
        <w:rPr>
          <w:color w:val="000000" w:themeColor="text1"/>
          <w:sz w:val="16"/>
          <w:szCs w:val="16"/>
        </w:rPr>
      </w:pPr>
      <w:r w:rsidRPr="00507A31">
        <w:rPr>
          <w:color w:val="000000" w:themeColor="text1"/>
          <w:sz w:val="16"/>
          <w:szCs w:val="16"/>
        </w:rPr>
        <w:t>ГА РФ. Ф. Р-8418. Оп. 4. Д. 10. Л. 2. Заверенная копия.</w:t>
      </w:r>
    </w:p>
    <w:p w14:paraId="7922B750" w14:textId="77777777" w:rsidR="00D51101" w:rsidRPr="00507A31" w:rsidRDefault="00D51101" w:rsidP="00507A31">
      <w:pPr>
        <w:jc w:val="both"/>
        <w:rPr>
          <w:color w:val="000000" w:themeColor="text1"/>
          <w:sz w:val="16"/>
          <w:szCs w:val="16"/>
        </w:rPr>
      </w:pPr>
      <w:r w:rsidRPr="00507A31">
        <w:rPr>
          <w:color w:val="000000" w:themeColor="text1"/>
          <w:sz w:val="16"/>
          <w:szCs w:val="16"/>
        </w:rPr>
        <w:t xml:space="preserve">Архив: РГАЭ. Ф. 4372. Оп. 91. Д. 595. Л. 6. Заверенная копия. ГА РФ. Ф. Р-8418. Оп. 4. Д. 10. Л. 2. Заверенная копия. </w:t>
      </w:r>
    </w:p>
    <w:p w14:paraId="43DF68D4" w14:textId="77777777" w:rsidR="00D51101" w:rsidRPr="00507A31" w:rsidRDefault="00D51101"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419-420 (12492).</w:t>
      </w:r>
    </w:p>
    <w:p w14:paraId="6CC57517" w14:textId="77777777" w:rsidR="00D51101" w:rsidRPr="00507A31" w:rsidRDefault="00D51101" w:rsidP="00507A31">
      <w:pPr>
        <w:jc w:val="both"/>
        <w:rPr>
          <w:color w:val="000000" w:themeColor="text1"/>
          <w:sz w:val="16"/>
          <w:szCs w:val="16"/>
        </w:rPr>
      </w:pPr>
    </w:p>
    <w:p w14:paraId="6E29D8A8" w14:textId="77777777" w:rsidR="00D51101" w:rsidRPr="00507A31" w:rsidRDefault="00D51101" w:rsidP="00507A31">
      <w:pPr>
        <w:jc w:val="both"/>
        <w:rPr>
          <w:color w:val="000000" w:themeColor="text1"/>
          <w:sz w:val="16"/>
          <w:szCs w:val="16"/>
          <w:u w:color="002060"/>
        </w:rPr>
      </w:pPr>
      <w:r w:rsidRPr="00507A31">
        <w:rPr>
          <w:color w:val="000000" w:themeColor="text1"/>
          <w:sz w:val="16"/>
          <w:szCs w:val="16"/>
          <w:u w:color="002060"/>
        </w:rPr>
        <w:t>30 января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реорганизации военной промышленности (ГА РФ. Ф. Р?8418. Оп. 4. Д. 10. Л. 2) (12415).</w:t>
      </w:r>
    </w:p>
    <w:p w14:paraId="5669950C" w14:textId="77777777" w:rsidR="00D51101" w:rsidRPr="00507A31" w:rsidRDefault="00D51101" w:rsidP="00507A31">
      <w:pPr>
        <w:jc w:val="both"/>
        <w:rPr>
          <w:color w:val="000000" w:themeColor="text1"/>
          <w:sz w:val="16"/>
          <w:szCs w:val="16"/>
          <w:u w:color="002060"/>
        </w:rPr>
      </w:pPr>
    </w:p>
    <w:p w14:paraId="2B87DC7B" w14:textId="77777777" w:rsidR="00D51101" w:rsidRPr="00507A31" w:rsidRDefault="00D51101" w:rsidP="00507A31">
      <w:pPr>
        <w:pStyle w:val="rtejustify"/>
        <w:spacing w:before="0" w:after="0"/>
        <w:rPr>
          <w:color w:val="000000" w:themeColor="text1"/>
          <w:sz w:val="16"/>
          <w:szCs w:val="16"/>
        </w:rPr>
      </w:pPr>
      <w:r w:rsidRPr="00507A31">
        <w:rPr>
          <w:color w:val="000000" w:themeColor="text1"/>
          <w:sz w:val="16"/>
          <w:szCs w:val="16"/>
        </w:rPr>
        <w:t>Постановлением РЗ СТО СССР от 30 января 1930 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 марта 1930 г. РЗ СТО признало необходимым расформировать ГВПУ, а на его базе организовать два объединения: патронно-трубочного и взрывательного производств и орудийно-оружейно-пулеметное, с подчинением их непосредственно Президиуму ВСНХ СССР и Мобилизационно-плановому управлению ВСНХ СССР. (См. также: Советское военно-промышленное производство. 1918</w:t>
      </w:r>
      <w:r w:rsidRPr="00507A31">
        <w:rPr>
          <w:color w:val="000000" w:themeColor="text1"/>
          <w:sz w:val="16"/>
          <w:szCs w:val="16"/>
        </w:rPr>
        <w:noBreakHyphen/>
        <w:t>1926 гг. М., 2005. С. 688, 692; РГАЭ. Ф. 2097. Оп. 1. Д. 1029. Л. 4; Д. 994. Л. 218) (12268).</w:t>
      </w:r>
    </w:p>
    <w:p w14:paraId="16221C79" w14:textId="77777777" w:rsidR="00D51101" w:rsidRPr="00507A31" w:rsidRDefault="00D51101" w:rsidP="00507A31">
      <w:pPr>
        <w:pStyle w:val="rtejustify"/>
        <w:spacing w:before="0" w:after="0"/>
        <w:rPr>
          <w:color w:val="000000" w:themeColor="text1"/>
          <w:sz w:val="16"/>
          <w:szCs w:val="16"/>
        </w:rPr>
      </w:pPr>
    </w:p>
    <w:p w14:paraId="35AB13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января 1930 г. танковая комис</w:t>
      </w:r>
      <w:r w:rsidRPr="00507A31">
        <w:rPr>
          <w:color w:val="000000" w:themeColor="text1"/>
          <w:sz w:val="16"/>
          <w:szCs w:val="16"/>
        </w:rPr>
        <w:softHyphen/>
        <w:t>сия выехала за границу. Согласно утвержденного плана, комиссия посетила следующие страны: Германия, Чехослова</w:t>
      </w:r>
      <w:r w:rsidRPr="00507A31">
        <w:rPr>
          <w:color w:val="000000" w:themeColor="text1"/>
          <w:sz w:val="16"/>
          <w:szCs w:val="16"/>
        </w:rPr>
        <w:softHyphen/>
        <w:t>кия, Франция, Англия и Америка (11210).</w:t>
      </w:r>
    </w:p>
    <w:p w14:paraId="7F25F1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DA261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января 1930 г. решение СТО подтвердило сокращение ассигнований на пятилетнюю программу кораблестроения. Это заставило отложить строительство второй серии сторожевых кораблей и эс</w:t>
      </w:r>
      <w:r w:rsidRPr="00507A31">
        <w:rPr>
          <w:color w:val="000000" w:themeColor="text1"/>
          <w:sz w:val="16"/>
          <w:szCs w:val="16"/>
        </w:rPr>
        <w:softHyphen/>
        <w:t>минцев (3898).</w:t>
      </w:r>
    </w:p>
    <w:p w14:paraId="09750CBA" w14:textId="77777777" w:rsidR="00537E5F" w:rsidRPr="00507A31" w:rsidRDefault="00537E5F" w:rsidP="00507A31">
      <w:pPr>
        <w:autoSpaceDE w:val="0"/>
        <w:autoSpaceDN w:val="0"/>
        <w:adjustRightInd w:val="0"/>
        <w:jc w:val="both"/>
        <w:rPr>
          <w:color w:val="000000" w:themeColor="text1"/>
          <w:sz w:val="16"/>
          <w:szCs w:val="16"/>
        </w:rPr>
      </w:pPr>
    </w:p>
    <w:p w14:paraId="6A75F80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4AB96183" w14:textId="77777777" w:rsidR="00537E5F" w:rsidRPr="00507A31" w:rsidRDefault="00537E5F" w:rsidP="00507A31">
      <w:pPr>
        <w:autoSpaceDE w:val="0"/>
        <w:autoSpaceDN w:val="0"/>
        <w:adjustRightInd w:val="0"/>
        <w:jc w:val="both"/>
        <w:rPr>
          <w:iCs/>
          <w:color w:val="000000" w:themeColor="text1"/>
          <w:sz w:val="16"/>
          <w:szCs w:val="16"/>
        </w:rPr>
      </w:pPr>
    </w:p>
    <w:p w14:paraId="44DEBC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30 января 1930 г. Я. И. Алкснис, исполнявший обязанности начальника ВВС РККА, по указанию Ворошилова принял делегацию Миттельбергера (псевдоним — Мольт), отвечавшего в министерстве райхсвера за работу Липецкой школы. Миттельбергер-Мольт передал «сводку работ технического развития» авиационного дела в Германии. Часть перечисленного в документе оборудования было обещано прислать в Липецк для испытаний еще в 1930 г., а остальное, причем наиболее существенное оборудование — компрессоры авиамоторов для высотных (до 5 — 6 тыс. метров) полетов, спаренный W-образный мотор, перевернутый V-образный мотор, висячий 4-цилиндровый мотор, звездообразный мотор, средства предохранения бензо- и маслобаков от поражения пулей, радиосвязь типа «воздух-земля» — в 1931 году. Миттельбергер пригласил советских представителей на испытания авиатехники в Германию в 1930 г. Он передал также «для сведения» копию своих письменных указаний «4-му отряду» на зиму-лето 1929 — 1930гг. относительно проведения испытаний новых типов самолетов, их вооружения и оборудования. В дополнение к этому документу он информировал своих советских коллег о расширении задач летной подготовки курсантов. Речь шла о дневных полетах отрядов истребителей-разведчиков и бомбардировщиков; одиночных ночных полетах; о ведении воздушных боев одноместных истребителей с другими типами самолетов для «окончательного разрешения спора» о роли, значении и месте одноместного истребителя среди других типов самолетов. На основе учебных воздушных боев в Липецке немецкая сторона намеревалась завершить «Наставления об истребительной авиации» и составить «Наставление о бомбардировочной авиации», а после </w:t>
      </w:r>
      <w:r w:rsidRPr="00507A31">
        <w:rPr>
          <w:color w:val="000000" w:themeColor="text1"/>
          <w:sz w:val="16"/>
          <w:szCs w:val="16"/>
        </w:rPr>
        <w:lastRenderedPageBreak/>
        <w:t>выхода этих наставлений в свет — передать их советской стороне. Затем Миттельбергер вручил Алкснису список самолетов серийного производства и их технического обеспечения, подчеркнув, что этот жест — лишнее свидетельство того, что «он от нас ничего не скрывает». В свою очередь, немец настаивал на «полном взаимном доверии». Алкснис в донесении Ворошилову предложил воспользоваться приглашением Миттельбергера поехать в Германию и передать немцам «сводку работ технического развития» советского воздушного флота (что и было сделано), ограничившись в ней, однако, лишь объектами, «не представляющими особого секрета». Он предложил также вручить немцу краткое сообщение о впечатлениях о поездке в Германию помощника начальника УВВС РККА С. А. Меженинова с указанием того, что тот в Германии видел «большие достижения в авиации, чем те, что немцы применяют в Липецке» (11784).</w:t>
      </w:r>
    </w:p>
    <w:p w14:paraId="2FE5DF2B" w14:textId="77777777" w:rsidR="00537E5F" w:rsidRPr="00507A31" w:rsidRDefault="00537E5F" w:rsidP="00507A31">
      <w:pPr>
        <w:autoSpaceDE w:val="0"/>
        <w:autoSpaceDN w:val="0"/>
        <w:adjustRightInd w:val="0"/>
        <w:jc w:val="both"/>
        <w:rPr>
          <w:color w:val="000000" w:themeColor="text1"/>
          <w:sz w:val="16"/>
          <w:szCs w:val="16"/>
        </w:rPr>
      </w:pPr>
    </w:p>
    <w:p w14:paraId="20AF3FC7" w14:textId="77777777" w:rsidR="00E656A7" w:rsidRPr="00507A31" w:rsidRDefault="00E656A7" w:rsidP="00507A31">
      <w:pPr>
        <w:jc w:val="both"/>
        <w:rPr>
          <w:color w:val="000000" w:themeColor="text1"/>
          <w:sz w:val="16"/>
          <w:szCs w:val="16"/>
        </w:rPr>
      </w:pPr>
      <w:r w:rsidRPr="00507A31">
        <w:rPr>
          <w:color w:val="000000" w:themeColor="text1"/>
          <w:sz w:val="16"/>
          <w:szCs w:val="16"/>
        </w:rPr>
        <w:t>30 января 1930 г. Я. И. Алкснис, исполнявший обязанности начальника ВВС РККА, по указанию Ворошилова принял делегацию Миттельбергера (псевдоним — Мольт), отвечавшего в министерстве райхсвера за работу Липецкой школы. Миттельбергер-Мольт передал «сводку работ технического развития» авиационного дела в Германии. Часть перечисленного в документе оборудования было обещано прислать в Липецк для испытаний еще в 1930 г., а остальное, причем наиболее существенное оборудование — компрессоры авиамоторов для высотных (до 5–6 тыс. метров) полетов, спаренный W-образный мотор, перевернутый V-образный мотор, висячий 4-цилиндровый мотор, звездообразный мотор, средства предохранения бензо- и маслобаков от поражения пулей, радиосвязь типа «воздух-земля» — в 1931 году. Миттельбергер пригласил советских представителей на испытания авиатехники в Германию в 1930 г.</w:t>
      </w:r>
    </w:p>
    <w:p w14:paraId="7E2E6FE2" w14:textId="77777777" w:rsidR="00E656A7" w:rsidRPr="00507A31" w:rsidRDefault="00E656A7" w:rsidP="00507A31">
      <w:pPr>
        <w:jc w:val="both"/>
        <w:rPr>
          <w:color w:val="000000" w:themeColor="text1"/>
          <w:sz w:val="16"/>
          <w:szCs w:val="16"/>
        </w:rPr>
      </w:pPr>
      <w:r w:rsidRPr="00507A31">
        <w:rPr>
          <w:color w:val="000000" w:themeColor="text1"/>
          <w:sz w:val="16"/>
          <w:szCs w:val="16"/>
        </w:rPr>
        <w:t>Он передал также «для сведения» копию своих письменных указаний «4-му отряду» на зиму-лето 1929–1930 гг. относительно проведения испытаний новых типов самолетов, их вооружения и оборудования.</w:t>
      </w:r>
    </w:p>
    <w:p w14:paraId="568732F4" w14:textId="77777777" w:rsidR="00E656A7" w:rsidRPr="00507A31" w:rsidRDefault="00E656A7" w:rsidP="00507A31">
      <w:pPr>
        <w:jc w:val="both"/>
        <w:rPr>
          <w:color w:val="000000" w:themeColor="text1"/>
          <w:sz w:val="16"/>
          <w:szCs w:val="16"/>
        </w:rPr>
      </w:pPr>
      <w:r w:rsidRPr="00507A31">
        <w:rPr>
          <w:color w:val="000000" w:themeColor="text1"/>
          <w:sz w:val="16"/>
          <w:szCs w:val="16"/>
        </w:rPr>
        <w:t>В дополнение к этому документу он информировал своих советских коллег о расширении задач летной подготовки курсантов. Речь шла о дневных полетах отрядов истребителей-разведчиков и бомбардировщиков; одиночных ночных полетах; о ведении воздушных боев одноместных истребителей с другими типами самолетов для «окончательного разрешения спора» о роли, значении и месте одноместного истребителя среди других типов самолетов. На основе учебных воздушных боев в Липецке немецкая сторона намеревалась завершить «Наставления об истребительной авиации» и составить «Наставление о бомбардировочной авиации», а после выхода этих наставлений в свет — передать их советской стороне. Затем Миттельбергер вручил Алкснису список самолетов серийного производства и их технического обеспечения, подчеркнув, что этот жест — лишнее свидетельство того, что «он от нас ничего не скрывает». В свою очередь, немец настаивал на «полном взаимном доверии».</w:t>
      </w:r>
    </w:p>
    <w:p w14:paraId="1BBA8C3D" w14:textId="77777777" w:rsidR="00E656A7" w:rsidRPr="00507A31" w:rsidRDefault="00E656A7" w:rsidP="00507A31">
      <w:pPr>
        <w:jc w:val="both"/>
        <w:rPr>
          <w:color w:val="000000" w:themeColor="text1"/>
          <w:sz w:val="16"/>
          <w:szCs w:val="16"/>
        </w:rPr>
      </w:pPr>
      <w:r w:rsidRPr="00507A31">
        <w:rPr>
          <w:color w:val="000000" w:themeColor="text1"/>
          <w:sz w:val="16"/>
          <w:szCs w:val="16"/>
        </w:rPr>
        <w:t>Алкснис в донесении Ворошилову предложил воспользоваться приглашением Миттельбергера поехать в Германию и передать немцам «сводку работ технического развития» советского воздушного флота (что и было сделано), ограничившись в ней, однако, лишь объектами, «не представляющими особого секрета». Он предложил также вручить немцу краткое сообщение о впечатлениях о поездке в Германию помощника начальника УВВС РККА С. А. Меженинова с указанием того, что тот в Германии видел «большие достижения в авиации, чем те, что немцы применяют в Липецке» (18265).</w:t>
      </w:r>
    </w:p>
    <w:p w14:paraId="5EA2D294" w14:textId="77777777" w:rsidR="00E656A7" w:rsidRPr="00507A31" w:rsidRDefault="00E656A7" w:rsidP="00507A31">
      <w:pPr>
        <w:jc w:val="both"/>
        <w:rPr>
          <w:color w:val="000000" w:themeColor="text1"/>
          <w:sz w:val="16"/>
          <w:szCs w:val="16"/>
        </w:rPr>
      </w:pPr>
    </w:p>
    <w:p w14:paraId="2775707A" w14:textId="77777777" w:rsidR="00537E5F" w:rsidRPr="00507A31" w:rsidRDefault="00AC7355" w:rsidP="00507A31">
      <w:pPr>
        <w:autoSpaceDE w:val="0"/>
        <w:autoSpaceDN w:val="0"/>
        <w:adjustRightInd w:val="0"/>
        <w:jc w:val="both"/>
        <w:rPr>
          <w:iCs/>
          <w:color w:val="000000" w:themeColor="text1"/>
          <w:sz w:val="16"/>
          <w:szCs w:val="16"/>
          <w:lang w:val="en-US"/>
        </w:rPr>
      </w:pPr>
      <w:r w:rsidRPr="00507A31">
        <w:rPr>
          <w:i/>
          <w:iCs/>
          <w:color w:val="000000" w:themeColor="text1"/>
          <w:sz w:val="16"/>
          <w:szCs w:val="16"/>
        </w:rPr>
        <w:t>Жизнь</w:t>
      </w:r>
      <w:r w:rsidRPr="00507A31">
        <w:rPr>
          <w:i/>
          <w:iCs/>
          <w:color w:val="000000" w:themeColor="text1"/>
          <w:sz w:val="16"/>
          <w:szCs w:val="16"/>
          <w:lang w:val="en-US"/>
        </w:rPr>
        <w:t xml:space="preserve"> </w:t>
      </w:r>
      <w:r w:rsidRPr="00507A31">
        <w:rPr>
          <w:i/>
          <w:iCs/>
          <w:color w:val="000000" w:themeColor="text1"/>
          <w:sz w:val="16"/>
          <w:szCs w:val="16"/>
        </w:rPr>
        <w:t>и</w:t>
      </w:r>
      <w:r w:rsidRPr="00507A31">
        <w:rPr>
          <w:i/>
          <w:iCs/>
          <w:color w:val="000000" w:themeColor="text1"/>
          <w:sz w:val="16"/>
          <w:szCs w:val="16"/>
          <w:lang w:val="en-US"/>
        </w:rPr>
        <w:t xml:space="preserve"> </w:t>
      </w:r>
      <w:r w:rsidRPr="00507A31">
        <w:rPr>
          <w:i/>
          <w:iCs/>
          <w:color w:val="000000" w:themeColor="text1"/>
          <w:sz w:val="16"/>
          <w:szCs w:val="16"/>
        </w:rPr>
        <w:t>внутренняя</w:t>
      </w:r>
      <w:r w:rsidRPr="00507A31">
        <w:rPr>
          <w:i/>
          <w:iCs/>
          <w:color w:val="000000" w:themeColor="text1"/>
          <w:sz w:val="16"/>
          <w:szCs w:val="16"/>
          <w:lang w:val="en-US"/>
        </w:rPr>
        <w:t xml:space="preserve"> </w:t>
      </w:r>
      <w:r w:rsidRPr="00507A31">
        <w:rPr>
          <w:i/>
          <w:iCs/>
          <w:color w:val="000000" w:themeColor="text1"/>
          <w:sz w:val="16"/>
          <w:szCs w:val="16"/>
        </w:rPr>
        <w:t>политика</w:t>
      </w:r>
      <w:r w:rsidRPr="00507A31">
        <w:rPr>
          <w:i/>
          <w:iCs/>
          <w:color w:val="000000" w:themeColor="text1"/>
          <w:sz w:val="16"/>
          <w:szCs w:val="16"/>
          <w:lang w:val="en-US"/>
        </w:rPr>
        <w:t>:</w:t>
      </w:r>
    </w:p>
    <w:p w14:paraId="5F68C3B2" w14:textId="77777777" w:rsidR="00537E5F" w:rsidRPr="00507A31" w:rsidRDefault="00537E5F" w:rsidP="00507A31">
      <w:pPr>
        <w:autoSpaceDE w:val="0"/>
        <w:autoSpaceDN w:val="0"/>
        <w:adjustRightInd w:val="0"/>
        <w:jc w:val="both"/>
        <w:rPr>
          <w:iCs/>
          <w:color w:val="000000" w:themeColor="text1"/>
          <w:sz w:val="16"/>
          <w:szCs w:val="16"/>
          <w:lang w:val="en-US"/>
        </w:rPr>
      </w:pPr>
    </w:p>
    <w:p w14:paraId="51287987" w14:textId="77777777" w:rsidR="00537E5F" w:rsidRPr="00507A31" w:rsidRDefault="00537E5F" w:rsidP="00507A31">
      <w:pPr>
        <w:autoSpaceDE w:val="0"/>
        <w:autoSpaceDN w:val="0"/>
        <w:adjustRightInd w:val="0"/>
        <w:jc w:val="both"/>
        <w:rPr>
          <w:color w:val="000000" w:themeColor="text1"/>
          <w:sz w:val="16"/>
          <w:szCs w:val="16"/>
          <w:lang w:val="en-US"/>
        </w:rPr>
      </w:pPr>
      <w:r w:rsidRPr="00507A31">
        <w:rPr>
          <w:color w:val="000000" w:themeColor="text1"/>
          <w:sz w:val="16"/>
          <w:szCs w:val="16"/>
          <w:lang w:val="en-US"/>
        </w:rPr>
        <w:t>On January 30, 1930, the Central Committee took important decisions to lead 1931 the spontaneous dekulakization publishing a resolution entitled,`On Measures for the Elimination of Kulak Households in Districts of Comprehensive Collectivisation' (1065).</w:t>
      </w:r>
    </w:p>
    <w:p w14:paraId="18CAFF2C" w14:textId="77777777" w:rsidR="00537E5F" w:rsidRPr="00507A31" w:rsidRDefault="00537E5F" w:rsidP="00507A31">
      <w:pPr>
        <w:autoSpaceDE w:val="0"/>
        <w:autoSpaceDN w:val="0"/>
        <w:adjustRightInd w:val="0"/>
        <w:jc w:val="both"/>
        <w:rPr>
          <w:color w:val="000000" w:themeColor="text1"/>
          <w:sz w:val="16"/>
          <w:szCs w:val="16"/>
          <w:lang w:val="en-US"/>
        </w:rPr>
      </w:pPr>
    </w:p>
    <w:p w14:paraId="3EABE7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Постановления ЦК ВКП(б), ЦИК и СНК о борьбе с кулаком были приняты 30 января и 1 февраля 1930 (1348,199).</w:t>
      </w:r>
    </w:p>
    <w:p w14:paraId="63D402F4" w14:textId="77777777" w:rsidR="00537E5F" w:rsidRPr="00507A31" w:rsidRDefault="00537E5F" w:rsidP="00507A31">
      <w:pPr>
        <w:autoSpaceDE w:val="0"/>
        <w:autoSpaceDN w:val="0"/>
        <w:adjustRightInd w:val="0"/>
        <w:jc w:val="both"/>
        <w:rPr>
          <w:color w:val="000000" w:themeColor="text1"/>
          <w:sz w:val="16"/>
          <w:szCs w:val="16"/>
        </w:rPr>
      </w:pPr>
    </w:p>
    <w:p w14:paraId="578230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января 1930 ПБ ВКП(б) приняло постановление О мероприятиях по ликвидации кулацких хозяйств в районах сплошной коллективизации. Кулаков разделили на три категории: 1-й контрреволюционный актив, организаторы терактов и восстаний (арестовывались и дела передавались на рассмотрение спецтроек, члены семей подлежали выселению в отдаленные местности СССР на спецпоселение); 2-я - остальная часть контрреволюционного актива из наиболее богатых кулаков и полупомещиков (выселение); 3-я - остальные (расселялись в пределах района но новых, специально отводимых за пределами колхозов массивах (4081).</w:t>
      </w:r>
    </w:p>
    <w:p w14:paraId="38790071" w14:textId="77777777" w:rsidR="00537E5F" w:rsidRPr="00507A31" w:rsidRDefault="00537E5F" w:rsidP="00507A31">
      <w:pPr>
        <w:autoSpaceDE w:val="0"/>
        <w:autoSpaceDN w:val="0"/>
        <w:adjustRightInd w:val="0"/>
        <w:jc w:val="both"/>
        <w:rPr>
          <w:color w:val="000000" w:themeColor="text1"/>
          <w:sz w:val="16"/>
          <w:szCs w:val="16"/>
        </w:rPr>
      </w:pPr>
    </w:p>
    <w:p w14:paraId="1512B39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30 января 1930 (приняты 30 янв. и 1 февр.) Постановления ЦК, ЦИК и СНК о борьбе с кулаками (4962).</w:t>
      </w:r>
    </w:p>
    <w:p w14:paraId="0981493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FE322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января 1930 вышло Постановление ЦК ВКП(б) "О мерах по ликвидации кулацких хозяйств в районах сплошной коллективизации". Им предписывалось провести конфискацию у кулаков средств производства, скота, хозяйственных и жилых построек, предприятий по переработке сельскохозяйственной продукции и семенных запасов. Хозяйственное имущество и постройки передавались в неделимые фонды колхозов в качестве взноса бедняков и батраков, часть средств шла в погашение долгов кулацких хозяйств государству и кооперации. Постановление предписывало, что число раскулачиваемых по районам не должно превышать 2-5 процентов всех крестьянских хозяйств. Вместе с тем для районов сплошной коллективизации (Северный Кавказ, Нижняя и Средняя Волга, Центрально-Черноземная область, Урал, Сибирь, Украина, Белоруссия и Казахстан) в постановлении указывались цифры "ограничительных контингентов", подлежащих высылке в отдаленные районы страны: 60 тысяч хозяйств (семей) первой категории и 150 тысяч - второй (10687).</w:t>
      </w:r>
    </w:p>
    <w:p w14:paraId="07C04E79" w14:textId="77777777" w:rsidR="00537E5F" w:rsidRPr="00507A31" w:rsidRDefault="00537E5F" w:rsidP="00507A31">
      <w:pPr>
        <w:autoSpaceDE w:val="0"/>
        <w:autoSpaceDN w:val="0"/>
        <w:adjustRightInd w:val="0"/>
        <w:jc w:val="both"/>
        <w:rPr>
          <w:color w:val="000000" w:themeColor="text1"/>
          <w:sz w:val="16"/>
          <w:szCs w:val="16"/>
        </w:rPr>
      </w:pPr>
    </w:p>
    <w:p w14:paraId="778F200A" w14:textId="77777777" w:rsidR="00C55CAB" w:rsidRPr="00507A31" w:rsidRDefault="00C55CAB" w:rsidP="00507A31">
      <w:pPr>
        <w:shd w:val="clear" w:color="auto" w:fill="FFFFFF"/>
        <w:jc w:val="both"/>
        <w:rPr>
          <w:color w:val="000000" w:themeColor="text1"/>
          <w:sz w:val="16"/>
          <w:szCs w:val="16"/>
        </w:rPr>
      </w:pPr>
      <w:r w:rsidRPr="00507A31">
        <w:rPr>
          <w:bCs/>
          <w:color w:val="000000" w:themeColor="text1"/>
          <w:sz w:val="16"/>
          <w:szCs w:val="16"/>
        </w:rPr>
        <w:t>30 января 1930 года Постановление ЦК ВКП(б) «О мероприятиях по ликвидации кулацких хозяйств в районах сплошной коллективизации» задало репрессиям против крестьянства неслыханные прежде глубину и масштаб. К массовому раскулачиванию приступили уже в январе 1930 года: при официальной среднестатистической доле кулацких хозяйств, равной 2,3%, во многих районах число раскулаченных достигало 10-15% населения (вместо «запланированных» 3-5%).» (17325).</w:t>
      </w:r>
    </w:p>
    <w:p w14:paraId="48CD26A7" w14:textId="77777777" w:rsidR="00C55CAB" w:rsidRPr="00507A31" w:rsidRDefault="00C55CAB" w:rsidP="00507A31">
      <w:pPr>
        <w:shd w:val="clear" w:color="auto" w:fill="FFFFFF"/>
        <w:jc w:val="both"/>
        <w:rPr>
          <w:color w:val="000000" w:themeColor="text1"/>
          <w:sz w:val="16"/>
          <w:szCs w:val="16"/>
        </w:rPr>
      </w:pPr>
    </w:p>
    <w:p w14:paraId="0150BAC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30 января 1930 в Москве запрещен колокольный звон (4962).</w:t>
      </w:r>
    </w:p>
    <w:p w14:paraId="111AEDB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11D610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6F1FA0E4" w14:textId="77777777" w:rsidR="00537E5F" w:rsidRPr="00507A31" w:rsidRDefault="00537E5F" w:rsidP="00507A31">
      <w:pPr>
        <w:autoSpaceDE w:val="0"/>
        <w:autoSpaceDN w:val="0"/>
        <w:adjustRightInd w:val="0"/>
        <w:jc w:val="both"/>
        <w:rPr>
          <w:iCs/>
          <w:color w:val="000000" w:themeColor="text1"/>
          <w:sz w:val="16"/>
          <w:szCs w:val="16"/>
        </w:rPr>
      </w:pPr>
    </w:p>
    <w:p w14:paraId="2B6C49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января 1930 ПБ ЦК ВКП(б) впервые на высоком уровне определило задачи и приоритетные направления разведывательной работы, задачи и направления ее деятельности. В т.ч. выявление планов руководящих кругов Англии, Германии, Франции, Польши, Румынии, Японии по финансово-экономической блокаде, добыча для промышленности сведений об изобретениях и т.п. Политическую разведку поручили 8 отделению ИНО (3398,49).</w:t>
      </w:r>
    </w:p>
    <w:p w14:paraId="744AE671" w14:textId="77777777" w:rsidR="00537E5F" w:rsidRPr="00507A31" w:rsidRDefault="00537E5F" w:rsidP="00507A31">
      <w:pPr>
        <w:autoSpaceDE w:val="0"/>
        <w:autoSpaceDN w:val="0"/>
        <w:adjustRightInd w:val="0"/>
        <w:jc w:val="both"/>
        <w:rPr>
          <w:color w:val="000000" w:themeColor="text1"/>
          <w:sz w:val="16"/>
          <w:szCs w:val="16"/>
        </w:rPr>
      </w:pPr>
    </w:p>
    <w:p w14:paraId="78776E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января 1930 года Политбюро ЦК ВКП(б) приняло решение о реорганизации внешней разведки. Перед ней была поставлена задача активизировать разведывательную работу по Великобритании, Франции, Германии, Польше, Румынии, Японии, странам Прибалтики и Финляндии.</w:t>
      </w:r>
    </w:p>
    <w:p w14:paraId="18CB32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Впервые перед внешней разведкой в этом решении ставилась задача: «добывания для нашей промышленности сведений об изобретениях, конструкторских и производственных чертежей и схем, технических новинок, которые не могут быть добыты обычным путем». Поясним, что до этого времени разведка должна была собирать информацию только экономического характера.</w:t>
      </w:r>
    </w:p>
    <w:p w14:paraId="465A7D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связи с реорганизацией ИНО ОГПУ было произведено совершенствование ее аппарата. В частности, было создано 8 отделений с общим штатом 121 человек, которые руководили разведкой по отдельным регионам и направлениям ее деятельности.</w:t>
      </w:r>
    </w:p>
    <w:p w14:paraId="189530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Впервые в структуре ИНО ОГПУ появились:</w:t>
      </w:r>
    </w:p>
    <w:p w14:paraId="2E7CA8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7-е отделение — экономическая разведка (Э. Я. Фурман);</w:t>
      </w:r>
    </w:p>
    <w:p w14:paraId="7F681C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8-е отделение — научно-техническая разведка (П. Д. Гутцайт);</w:t>
      </w:r>
    </w:p>
    <w:p w14:paraId="582A91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Резидентуры за границей стали работать по приобретению агентуры, специально ориентированной на получение материалов по научно-технической проблематике. В 1932 году разведка начала создавать в этих целях нелегальные резидентуры в Великобритании, Франции, США и Германии. Выполняя заявки советской промышленности, внешняя разведка сумела получить большое количество секретной технической информации по различным отраслям промышленности и вооружению (11765).</w:t>
      </w:r>
    </w:p>
    <w:p w14:paraId="7425807B" w14:textId="439AE185" w:rsidR="00537E5F" w:rsidRPr="00507A31" w:rsidRDefault="00537E5F" w:rsidP="00507A31">
      <w:pPr>
        <w:autoSpaceDE w:val="0"/>
        <w:autoSpaceDN w:val="0"/>
        <w:adjustRightInd w:val="0"/>
        <w:jc w:val="both"/>
        <w:rPr>
          <w:color w:val="000000" w:themeColor="text1"/>
          <w:sz w:val="16"/>
          <w:szCs w:val="16"/>
        </w:rPr>
      </w:pPr>
    </w:p>
    <w:p w14:paraId="27CA7B44" w14:textId="7686809B" w:rsidR="007812FA" w:rsidRPr="00507A31" w:rsidRDefault="007812FA" w:rsidP="00507A31">
      <w:pPr>
        <w:autoSpaceDE w:val="0"/>
        <w:autoSpaceDN w:val="0"/>
        <w:adjustRightInd w:val="0"/>
        <w:jc w:val="both"/>
        <w:rPr>
          <w:i/>
          <w:iCs/>
          <w:color w:val="000000" w:themeColor="text1"/>
          <w:sz w:val="16"/>
          <w:szCs w:val="16"/>
        </w:rPr>
      </w:pPr>
      <w:r w:rsidRPr="00507A31">
        <w:rPr>
          <w:i/>
          <w:iCs/>
          <w:color w:val="000000" w:themeColor="text1"/>
          <w:sz w:val="16"/>
          <w:szCs w:val="16"/>
        </w:rPr>
        <w:t>За рубежом:</w:t>
      </w:r>
    </w:p>
    <w:p w14:paraId="264F0FA6" w14:textId="77777777" w:rsidR="007812FA" w:rsidRPr="00507A31" w:rsidRDefault="007812FA" w:rsidP="00507A31">
      <w:pPr>
        <w:autoSpaceDE w:val="0"/>
        <w:autoSpaceDN w:val="0"/>
        <w:adjustRightInd w:val="0"/>
        <w:jc w:val="both"/>
        <w:rPr>
          <w:i/>
          <w:iCs/>
          <w:color w:val="000000" w:themeColor="text1"/>
          <w:sz w:val="16"/>
          <w:szCs w:val="16"/>
        </w:rPr>
      </w:pPr>
    </w:p>
    <w:p w14:paraId="1607641A" w14:textId="77777777" w:rsidR="007812FA" w:rsidRPr="00507A31" w:rsidRDefault="007812FA" w:rsidP="00507A31">
      <w:pPr>
        <w:jc w:val="both"/>
        <w:rPr>
          <w:color w:val="0070C0"/>
          <w:sz w:val="16"/>
          <w:szCs w:val="16"/>
        </w:rPr>
      </w:pPr>
      <w:bookmarkStart w:id="11" w:name="_Hlk56763198"/>
      <w:r w:rsidRPr="00507A31">
        <w:rPr>
          <w:color w:val="0070C0"/>
          <w:sz w:val="16"/>
          <w:szCs w:val="16"/>
        </w:rPr>
        <w:t>30 января 1930 первый полет Boeing Model 202, позже переименованный в Boeing XP-15 (20805).</w:t>
      </w:r>
    </w:p>
    <w:p w14:paraId="3497FAB5" w14:textId="77777777" w:rsidR="007812FA" w:rsidRPr="00507A31" w:rsidRDefault="007812FA" w:rsidP="00507A31">
      <w:pPr>
        <w:jc w:val="both"/>
        <w:rPr>
          <w:color w:val="0070C0"/>
          <w:sz w:val="16"/>
          <w:szCs w:val="16"/>
        </w:rPr>
      </w:pPr>
    </w:p>
    <w:bookmarkEnd w:id="11"/>
    <w:p w14:paraId="5DBEEEC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0DC6C6C" w14:textId="77777777" w:rsidR="00537E5F" w:rsidRPr="00507A31" w:rsidRDefault="00537E5F" w:rsidP="00507A31">
      <w:pPr>
        <w:autoSpaceDE w:val="0"/>
        <w:autoSpaceDN w:val="0"/>
        <w:adjustRightInd w:val="0"/>
        <w:jc w:val="both"/>
        <w:rPr>
          <w:iCs/>
          <w:color w:val="000000" w:themeColor="text1"/>
          <w:sz w:val="16"/>
          <w:szCs w:val="16"/>
        </w:rPr>
      </w:pPr>
    </w:p>
    <w:p w14:paraId="233809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января 1930 состоялся первый полет АНТ-10 (Р-7) А.Н.Т. (2668).</w:t>
      </w:r>
    </w:p>
    <w:p w14:paraId="37E2C19D" w14:textId="77777777" w:rsidR="00537E5F" w:rsidRPr="00507A31" w:rsidRDefault="00537E5F" w:rsidP="00507A31">
      <w:pPr>
        <w:autoSpaceDE w:val="0"/>
        <w:autoSpaceDN w:val="0"/>
        <w:adjustRightInd w:val="0"/>
        <w:jc w:val="both"/>
        <w:rPr>
          <w:color w:val="000000" w:themeColor="text1"/>
          <w:sz w:val="16"/>
          <w:szCs w:val="16"/>
        </w:rPr>
      </w:pPr>
    </w:p>
    <w:p w14:paraId="112A7F9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31 января 1930 г. был первый полет самолета-разведчика АНТ-10 (Р-7) (6395).</w:t>
      </w:r>
    </w:p>
    <w:p w14:paraId="266C791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A6EA05B" w14:textId="77777777" w:rsidR="00706618" w:rsidRPr="00507A31" w:rsidRDefault="00706618" w:rsidP="00507A31">
      <w:pPr>
        <w:jc w:val="both"/>
        <w:rPr>
          <w:color w:val="000000" w:themeColor="text1"/>
          <w:sz w:val="16"/>
          <w:szCs w:val="16"/>
        </w:rPr>
      </w:pPr>
      <w:r w:rsidRPr="00507A31">
        <w:rPr>
          <w:bCs/>
          <w:color w:val="000000" w:themeColor="text1"/>
          <w:sz w:val="16"/>
          <w:szCs w:val="16"/>
        </w:rPr>
        <w:t>31 января</w:t>
      </w:r>
      <w:r w:rsidRPr="00507A31">
        <w:rPr>
          <w:color w:val="000000" w:themeColor="text1"/>
          <w:sz w:val="16"/>
          <w:szCs w:val="16"/>
        </w:rPr>
        <w:t xml:space="preserve"> в 1930 году состоялся первый полет самолета-разведчика АНТ-10 (Р-7), М.М.Громов (15025).</w:t>
      </w:r>
    </w:p>
    <w:p w14:paraId="710A8897" w14:textId="77777777" w:rsidR="00706618" w:rsidRPr="00507A31" w:rsidRDefault="00706618" w:rsidP="00507A31">
      <w:pPr>
        <w:jc w:val="both"/>
        <w:rPr>
          <w:color w:val="000000" w:themeColor="text1"/>
          <w:sz w:val="16"/>
          <w:szCs w:val="16"/>
        </w:rPr>
      </w:pPr>
    </w:p>
    <w:p w14:paraId="3C26F8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января 1930 состоялось заседание Правления Авиатреста (протокол 41) и обсудили работу завода 28 за год, а также рассмотрели и утвердили 5 летний план опытных работ (2367,135).</w:t>
      </w:r>
    </w:p>
    <w:p w14:paraId="3E0F732A" w14:textId="77777777" w:rsidR="00537E5F" w:rsidRPr="00507A31" w:rsidRDefault="00537E5F" w:rsidP="00507A31">
      <w:pPr>
        <w:autoSpaceDE w:val="0"/>
        <w:autoSpaceDN w:val="0"/>
        <w:adjustRightInd w:val="0"/>
        <w:jc w:val="both"/>
        <w:rPr>
          <w:color w:val="000000" w:themeColor="text1"/>
          <w:sz w:val="16"/>
          <w:szCs w:val="16"/>
        </w:rPr>
      </w:pPr>
    </w:p>
    <w:p w14:paraId="71C1F5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31 января 1930 Нач. Моботдела НТУ И.А.Шпаковский и ст. И П.К.Лашев писали письмо № 75/сс в ЦАГИ по вопросу о мерах к усилению опытного строительства воздухфлота:</w:t>
      </w:r>
    </w:p>
    <w:p w14:paraId="38E15D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Прилагая при сем выписку из постановлений РЗ СТО от 14 января с..г. Моботдел НТУ по распоряжению Зам. Пред. Коллегии НТУ т. Свердлова просит в недельный срок представить проекты осуществления указанных пунктов (351).</w:t>
      </w:r>
    </w:p>
    <w:p w14:paraId="38C79A91" w14:textId="77777777" w:rsidR="00537E5F" w:rsidRPr="00507A31" w:rsidRDefault="00537E5F" w:rsidP="00507A31">
      <w:pPr>
        <w:shd w:val="clear" w:color="auto" w:fill="FFFFFF"/>
        <w:autoSpaceDE w:val="0"/>
        <w:autoSpaceDN w:val="0"/>
        <w:adjustRightInd w:val="0"/>
        <w:jc w:val="both"/>
        <w:rPr>
          <w:bCs/>
          <w:color w:val="000000" w:themeColor="text1"/>
          <w:sz w:val="16"/>
          <w:szCs w:val="16"/>
        </w:rPr>
      </w:pPr>
    </w:p>
    <w:p w14:paraId="5C818816" w14:textId="77777777" w:rsidR="00706618"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04EA4E8" w14:textId="77777777" w:rsidR="00706618" w:rsidRPr="00507A31" w:rsidRDefault="00706618" w:rsidP="00507A31">
      <w:pPr>
        <w:autoSpaceDE w:val="0"/>
        <w:autoSpaceDN w:val="0"/>
        <w:adjustRightInd w:val="0"/>
        <w:jc w:val="both"/>
        <w:rPr>
          <w:iCs/>
          <w:color w:val="000000" w:themeColor="text1"/>
          <w:sz w:val="16"/>
          <w:szCs w:val="16"/>
        </w:rPr>
      </w:pPr>
    </w:p>
    <w:p w14:paraId="14194E39" w14:textId="77777777" w:rsidR="00706618" w:rsidRPr="00507A31" w:rsidRDefault="00706618" w:rsidP="00507A31">
      <w:pPr>
        <w:jc w:val="both"/>
        <w:rPr>
          <w:color w:val="000000" w:themeColor="text1"/>
          <w:sz w:val="16"/>
          <w:szCs w:val="16"/>
        </w:rPr>
      </w:pPr>
      <w:r w:rsidRPr="00507A31">
        <w:rPr>
          <w:color w:val="000000" w:themeColor="text1"/>
          <w:sz w:val="16"/>
          <w:szCs w:val="16"/>
        </w:rPr>
        <w:t>На 31 января 1930 состояние бронепоездного парка было следующим:</w:t>
      </w:r>
    </w:p>
    <w:p w14:paraId="29DA9097" w14:textId="77777777" w:rsidR="00706618" w:rsidRPr="00507A31" w:rsidRDefault="00706618" w:rsidP="00507A31">
      <w:pPr>
        <w:jc w:val="both"/>
        <w:rPr>
          <w:color w:val="000000" w:themeColor="text1"/>
          <w:sz w:val="16"/>
          <w:szCs w:val="16"/>
        </w:rPr>
      </w:pPr>
      <w:r w:rsidRPr="00507A31">
        <w:rPr>
          <w:color w:val="000000" w:themeColor="text1"/>
          <w:sz w:val="16"/>
          <w:szCs w:val="16"/>
        </w:rPr>
        <w:t>«Наличие легких бронепоездов в частях РККА и на складе №60 по типам:</w:t>
      </w:r>
    </w:p>
    <w:p w14:paraId="40E9A6F4" w14:textId="77777777" w:rsidR="00706618" w:rsidRPr="00507A31" w:rsidRDefault="00706618" w:rsidP="00507A31">
      <w:pPr>
        <w:jc w:val="both"/>
        <w:rPr>
          <w:color w:val="000000" w:themeColor="text1"/>
          <w:sz w:val="16"/>
          <w:szCs w:val="16"/>
        </w:rPr>
      </w:pPr>
      <w:r w:rsidRPr="00507A31">
        <w:rPr>
          <w:color w:val="000000" w:themeColor="text1"/>
          <w:sz w:val="16"/>
          <w:szCs w:val="16"/>
        </w:rPr>
        <w:t>1. БВО. 2-й полк бепо: брянских – 6; сормовских – 6;</w:t>
      </w:r>
    </w:p>
    <w:p w14:paraId="5EB6BE06" w14:textId="77777777" w:rsidR="00706618" w:rsidRPr="00507A31" w:rsidRDefault="00706618" w:rsidP="00507A31">
      <w:pPr>
        <w:jc w:val="both"/>
        <w:rPr>
          <w:color w:val="000000" w:themeColor="text1"/>
          <w:sz w:val="16"/>
          <w:szCs w:val="16"/>
        </w:rPr>
      </w:pPr>
      <w:r w:rsidRPr="00507A31">
        <w:rPr>
          <w:color w:val="000000" w:themeColor="text1"/>
          <w:sz w:val="16"/>
          <w:szCs w:val="16"/>
        </w:rPr>
        <w:t>2-й дивизион бепо: брянских 4;</w:t>
      </w:r>
    </w:p>
    <w:p w14:paraId="23A4CECA" w14:textId="77777777" w:rsidR="00706618" w:rsidRPr="00507A31" w:rsidRDefault="00706618" w:rsidP="00507A31">
      <w:pPr>
        <w:jc w:val="both"/>
        <w:rPr>
          <w:color w:val="000000" w:themeColor="text1"/>
          <w:sz w:val="16"/>
          <w:szCs w:val="16"/>
        </w:rPr>
      </w:pPr>
      <w:r w:rsidRPr="00507A31">
        <w:rPr>
          <w:color w:val="000000" w:themeColor="text1"/>
          <w:sz w:val="16"/>
          <w:szCs w:val="16"/>
        </w:rPr>
        <w:t>2. УВО. 1-й дивизион бепо: сормовских – 4;</w:t>
      </w:r>
    </w:p>
    <w:p w14:paraId="049DD05C" w14:textId="77777777" w:rsidR="00706618" w:rsidRPr="00507A31" w:rsidRDefault="00706618" w:rsidP="00507A31">
      <w:pPr>
        <w:jc w:val="both"/>
        <w:rPr>
          <w:color w:val="000000" w:themeColor="text1"/>
          <w:sz w:val="16"/>
          <w:szCs w:val="16"/>
        </w:rPr>
      </w:pPr>
      <w:r w:rsidRPr="00507A31">
        <w:rPr>
          <w:color w:val="000000" w:themeColor="text1"/>
          <w:sz w:val="16"/>
          <w:szCs w:val="16"/>
        </w:rPr>
        <w:t>3. СКВО. Бепо №11: ижорских – 2; брянских – 2;</w:t>
      </w:r>
    </w:p>
    <w:p w14:paraId="354F1D02" w14:textId="77777777" w:rsidR="00706618" w:rsidRPr="00507A31" w:rsidRDefault="00706618" w:rsidP="00507A31">
      <w:pPr>
        <w:jc w:val="both"/>
        <w:rPr>
          <w:color w:val="000000" w:themeColor="text1"/>
          <w:sz w:val="16"/>
          <w:szCs w:val="16"/>
        </w:rPr>
      </w:pPr>
      <w:r w:rsidRPr="00507A31">
        <w:rPr>
          <w:color w:val="000000" w:themeColor="text1"/>
          <w:sz w:val="16"/>
          <w:szCs w:val="16"/>
        </w:rPr>
        <w:t>4. СибВО. Бепо №60: брянских – 2;</w:t>
      </w:r>
    </w:p>
    <w:p w14:paraId="3718A96C" w14:textId="77777777" w:rsidR="00706618" w:rsidRPr="00507A31" w:rsidRDefault="00706618" w:rsidP="00507A31">
      <w:pPr>
        <w:jc w:val="both"/>
        <w:rPr>
          <w:color w:val="000000" w:themeColor="text1"/>
          <w:sz w:val="16"/>
          <w:szCs w:val="16"/>
        </w:rPr>
      </w:pPr>
      <w:r w:rsidRPr="00507A31">
        <w:rPr>
          <w:color w:val="000000" w:themeColor="text1"/>
          <w:sz w:val="16"/>
          <w:szCs w:val="16"/>
        </w:rPr>
        <w:t>5. САВО. Бепо №10: севастопольских – 2; ижорских – 2;</w:t>
      </w:r>
    </w:p>
    <w:p w14:paraId="482869F4" w14:textId="77777777" w:rsidR="00706618" w:rsidRPr="00507A31" w:rsidRDefault="00706618" w:rsidP="00507A31">
      <w:pPr>
        <w:jc w:val="both"/>
        <w:rPr>
          <w:color w:val="000000" w:themeColor="text1"/>
          <w:sz w:val="16"/>
          <w:szCs w:val="16"/>
        </w:rPr>
      </w:pPr>
      <w:r w:rsidRPr="00507A31">
        <w:rPr>
          <w:color w:val="000000" w:themeColor="text1"/>
          <w:sz w:val="16"/>
          <w:szCs w:val="16"/>
        </w:rPr>
        <w:t>6. ОКДВА. Севастопольских – 9; сормовских – 1; днепровских – 2;</w:t>
      </w:r>
    </w:p>
    <w:p w14:paraId="517587B0" w14:textId="77777777" w:rsidR="00706618" w:rsidRPr="00507A31" w:rsidRDefault="00706618" w:rsidP="00507A31">
      <w:pPr>
        <w:jc w:val="both"/>
        <w:rPr>
          <w:color w:val="000000" w:themeColor="text1"/>
          <w:sz w:val="16"/>
          <w:szCs w:val="16"/>
        </w:rPr>
      </w:pPr>
      <w:r w:rsidRPr="00507A31">
        <w:rPr>
          <w:color w:val="000000" w:themeColor="text1"/>
          <w:sz w:val="16"/>
          <w:szCs w:val="16"/>
        </w:rPr>
        <w:t>7. ККА. Сормовских – 2; днепровских – 2;</w:t>
      </w:r>
    </w:p>
    <w:p w14:paraId="24E340CF" w14:textId="77777777" w:rsidR="00706618" w:rsidRPr="00507A31" w:rsidRDefault="00706618" w:rsidP="00507A31">
      <w:pPr>
        <w:jc w:val="both"/>
        <w:rPr>
          <w:color w:val="000000" w:themeColor="text1"/>
          <w:sz w:val="16"/>
          <w:szCs w:val="16"/>
        </w:rPr>
      </w:pPr>
      <w:r w:rsidRPr="00507A31">
        <w:rPr>
          <w:color w:val="000000" w:themeColor="text1"/>
          <w:sz w:val="16"/>
          <w:szCs w:val="16"/>
        </w:rPr>
        <w:t>8. Модернизированный бепо. Сормовских – 2;</w:t>
      </w:r>
    </w:p>
    <w:p w14:paraId="3D39FED2" w14:textId="77777777" w:rsidR="00706618" w:rsidRPr="00507A31" w:rsidRDefault="00706618" w:rsidP="00507A31">
      <w:pPr>
        <w:jc w:val="both"/>
        <w:rPr>
          <w:color w:val="000000" w:themeColor="text1"/>
          <w:sz w:val="16"/>
          <w:szCs w:val="16"/>
        </w:rPr>
      </w:pPr>
      <w:r w:rsidRPr="00507A31">
        <w:rPr>
          <w:color w:val="000000" w:themeColor="text1"/>
          <w:sz w:val="16"/>
          <w:szCs w:val="16"/>
        </w:rPr>
        <w:t>9. Склад №60. Сормовских – 12; Голяховского –16. Остальное наличие склада не учтено, но сормовских нет.</w:t>
      </w:r>
    </w:p>
    <w:p w14:paraId="74F18BE9" w14:textId="77777777" w:rsidR="00706618" w:rsidRPr="00507A31" w:rsidRDefault="00706618" w:rsidP="00507A31">
      <w:pPr>
        <w:jc w:val="both"/>
        <w:rPr>
          <w:color w:val="000000" w:themeColor="text1"/>
          <w:sz w:val="16"/>
          <w:szCs w:val="16"/>
        </w:rPr>
      </w:pPr>
      <w:r w:rsidRPr="00507A31">
        <w:rPr>
          <w:color w:val="000000" w:themeColor="text1"/>
          <w:sz w:val="16"/>
          <w:szCs w:val="16"/>
        </w:rPr>
        <w:t>Всего: сормовских – 27;</w:t>
      </w:r>
    </w:p>
    <w:p w14:paraId="719170BD" w14:textId="77777777" w:rsidR="00706618" w:rsidRPr="00507A31" w:rsidRDefault="00706618" w:rsidP="00507A31">
      <w:pPr>
        <w:jc w:val="both"/>
        <w:rPr>
          <w:color w:val="000000" w:themeColor="text1"/>
          <w:sz w:val="16"/>
          <w:szCs w:val="16"/>
        </w:rPr>
      </w:pPr>
      <w:r w:rsidRPr="00507A31">
        <w:rPr>
          <w:color w:val="000000" w:themeColor="text1"/>
          <w:sz w:val="16"/>
          <w:szCs w:val="16"/>
        </w:rPr>
        <w:t>Брянских – 14;</w:t>
      </w:r>
    </w:p>
    <w:p w14:paraId="739EEFAE" w14:textId="77777777" w:rsidR="00706618" w:rsidRPr="00507A31" w:rsidRDefault="00706618" w:rsidP="00507A31">
      <w:pPr>
        <w:jc w:val="both"/>
        <w:rPr>
          <w:color w:val="000000" w:themeColor="text1"/>
          <w:sz w:val="16"/>
          <w:szCs w:val="16"/>
        </w:rPr>
      </w:pPr>
      <w:r w:rsidRPr="00507A31">
        <w:rPr>
          <w:color w:val="000000" w:themeColor="text1"/>
          <w:sz w:val="16"/>
          <w:szCs w:val="16"/>
        </w:rPr>
        <w:t>Севастопольских – 11;</w:t>
      </w:r>
    </w:p>
    <w:p w14:paraId="335DCB24" w14:textId="77777777" w:rsidR="00706618" w:rsidRPr="00507A31" w:rsidRDefault="00706618" w:rsidP="00507A31">
      <w:pPr>
        <w:jc w:val="both"/>
        <w:rPr>
          <w:color w:val="000000" w:themeColor="text1"/>
          <w:sz w:val="16"/>
          <w:szCs w:val="16"/>
        </w:rPr>
      </w:pPr>
      <w:r w:rsidRPr="00507A31">
        <w:rPr>
          <w:color w:val="000000" w:themeColor="text1"/>
          <w:sz w:val="16"/>
          <w:szCs w:val="16"/>
        </w:rPr>
        <w:t>Днепровских – 4;</w:t>
      </w:r>
    </w:p>
    <w:p w14:paraId="3046F155" w14:textId="77777777" w:rsidR="00706618" w:rsidRPr="00507A31" w:rsidRDefault="00706618" w:rsidP="00507A31">
      <w:pPr>
        <w:jc w:val="both"/>
        <w:rPr>
          <w:color w:val="000000" w:themeColor="text1"/>
          <w:sz w:val="16"/>
          <w:szCs w:val="16"/>
        </w:rPr>
      </w:pPr>
      <w:r w:rsidRPr="00507A31">
        <w:rPr>
          <w:color w:val="000000" w:themeColor="text1"/>
          <w:sz w:val="16"/>
          <w:szCs w:val="16"/>
        </w:rPr>
        <w:t>Новороссийских – 16;</w:t>
      </w:r>
    </w:p>
    <w:p w14:paraId="2CA507C5" w14:textId="77777777" w:rsidR="00706618" w:rsidRPr="00507A31" w:rsidRDefault="00706618" w:rsidP="00507A31">
      <w:pPr>
        <w:jc w:val="both"/>
        <w:rPr>
          <w:color w:val="000000" w:themeColor="text1"/>
          <w:sz w:val="16"/>
          <w:szCs w:val="16"/>
        </w:rPr>
      </w:pPr>
      <w:r w:rsidRPr="00507A31">
        <w:rPr>
          <w:color w:val="000000" w:themeColor="text1"/>
          <w:sz w:val="16"/>
          <w:szCs w:val="16"/>
        </w:rPr>
        <w:t>Ижорских – 4.</w:t>
      </w:r>
    </w:p>
    <w:p w14:paraId="5227EBC1" w14:textId="77777777" w:rsidR="00706618" w:rsidRPr="00507A31" w:rsidRDefault="00706618" w:rsidP="00507A31">
      <w:pPr>
        <w:jc w:val="both"/>
        <w:rPr>
          <w:color w:val="000000" w:themeColor="text1"/>
          <w:sz w:val="16"/>
          <w:szCs w:val="16"/>
        </w:rPr>
      </w:pPr>
      <w:r w:rsidRPr="00507A31">
        <w:rPr>
          <w:color w:val="000000" w:themeColor="text1"/>
          <w:sz w:val="16"/>
          <w:szCs w:val="16"/>
        </w:rPr>
        <w:t>ВСЕГО: 76 штук.</w:t>
      </w:r>
    </w:p>
    <w:p w14:paraId="608C2720" w14:textId="77777777" w:rsidR="00706618" w:rsidRPr="00507A31" w:rsidRDefault="00706618" w:rsidP="00507A31">
      <w:pPr>
        <w:jc w:val="both"/>
        <w:rPr>
          <w:color w:val="000000" w:themeColor="text1"/>
          <w:sz w:val="16"/>
          <w:szCs w:val="16"/>
        </w:rPr>
      </w:pPr>
      <w:r w:rsidRPr="00507A31">
        <w:rPr>
          <w:color w:val="000000" w:themeColor="text1"/>
          <w:sz w:val="16"/>
          <w:szCs w:val="16"/>
        </w:rPr>
        <w:t>Бронепаровозов:</w:t>
      </w:r>
    </w:p>
    <w:p w14:paraId="7BC5D28F" w14:textId="77777777" w:rsidR="00706618" w:rsidRPr="00507A31" w:rsidRDefault="00706618" w:rsidP="00507A31">
      <w:pPr>
        <w:jc w:val="both"/>
        <w:rPr>
          <w:color w:val="000000" w:themeColor="text1"/>
          <w:sz w:val="16"/>
          <w:szCs w:val="16"/>
        </w:rPr>
      </w:pPr>
      <w:r w:rsidRPr="00507A31">
        <w:rPr>
          <w:color w:val="000000" w:themeColor="text1"/>
          <w:sz w:val="16"/>
          <w:szCs w:val="16"/>
        </w:rPr>
        <w:t>Южно-Днепровских – 2;</w:t>
      </w:r>
    </w:p>
    <w:p w14:paraId="6F2BB347" w14:textId="77777777" w:rsidR="00706618" w:rsidRPr="00507A31" w:rsidRDefault="00706618" w:rsidP="00507A31">
      <w:pPr>
        <w:jc w:val="both"/>
        <w:rPr>
          <w:color w:val="000000" w:themeColor="text1"/>
          <w:sz w:val="16"/>
          <w:szCs w:val="16"/>
        </w:rPr>
      </w:pPr>
      <w:r w:rsidRPr="00507A31">
        <w:rPr>
          <w:color w:val="000000" w:themeColor="text1"/>
          <w:sz w:val="16"/>
          <w:szCs w:val="16"/>
        </w:rPr>
        <w:t>Брянских – 21;</w:t>
      </w:r>
    </w:p>
    <w:p w14:paraId="7A89AA65" w14:textId="77777777" w:rsidR="00706618" w:rsidRPr="00507A31" w:rsidRDefault="00706618" w:rsidP="00507A31">
      <w:pPr>
        <w:jc w:val="both"/>
        <w:rPr>
          <w:color w:val="000000" w:themeColor="text1"/>
          <w:sz w:val="16"/>
          <w:szCs w:val="16"/>
        </w:rPr>
      </w:pPr>
      <w:r w:rsidRPr="00507A31">
        <w:rPr>
          <w:color w:val="000000" w:themeColor="text1"/>
          <w:sz w:val="16"/>
          <w:szCs w:val="16"/>
        </w:rPr>
        <w:t>Сормовских – 13;</w:t>
      </w:r>
    </w:p>
    <w:p w14:paraId="0E5ACB6C" w14:textId="77777777" w:rsidR="00706618" w:rsidRPr="00507A31" w:rsidRDefault="00706618" w:rsidP="00507A31">
      <w:pPr>
        <w:jc w:val="both"/>
        <w:rPr>
          <w:color w:val="000000" w:themeColor="text1"/>
          <w:sz w:val="16"/>
          <w:szCs w:val="16"/>
        </w:rPr>
      </w:pPr>
      <w:r w:rsidRPr="00507A31">
        <w:rPr>
          <w:color w:val="000000" w:themeColor="text1"/>
          <w:sz w:val="16"/>
          <w:szCs w:val="16"/>
        </w:rPr>
        <w:t>Ижорских – 3;</w:t>
      </w:r>
    </w:p>
    <w:p w14:paraId="4C3AA2E9" w14:textId="77777777" w:rsidR="00706618" w:rsidRPr="00507A31" w:rsidRDefault="00706618" w:rsidP="00507A31">
      <w:pPr>
        <w:jc w:val="both"/>
        <w:rPr>
          <w:color w:val="000000" w:themeColor="text1"/>
          <w:sz w:val="16"/>
          <w:szCs w:val="16"/>
        </w:rPr>
      </w:pPr>
      <w:r w:rsidRPr="00507A31">
        <w:rPr>
          <w:color w:val="000000" w:themeColor="text1"/>
          <w:sz w:val="16"/>
          <w:szCs w:val="16"/>
        </w:rPr>
        <w:t>Севастопольских – 3.</w:t>
      </w:r>
    </w:p>
    <w:p w14:paraId="008892B9" w14:textId="77777777" w:rsidR="00706618" w:rsidRPr="00507A31" w:rsidRDefault="00706618" w:rsidP="00507A31">
      <w:pPr>
        <w:jc w:val="both"/>
        <w:rPr>
          <w:color w:val="000000" w:themeColor="text1"/>
          <w:sz w:val="16"/>
          <w:szCs w:val="16"/>
        </w:rPr>
      </w:pPr>
      <w:r w:rsidRPr="00507A31">
        <w:rPr>
          <w:color w:val="000000" w:themeColor="text1"/>
          <w:sz w:val="16"/>
          <w:szCs w:val="16"/>
        </w:rPr>
        <w:t>ВСЕГО: 42 штуки (15218).</w:t>
      </w:r>
    </w:p>
    <w:p w14:paraId="12718107" w14:textId="77777777" w:rsidR="00706618" w:rsidRPr="00507A31" w:rsidRDefault="00706618" w:rsidP="00507A31">
      <w:pPr>
        <w:jc w:val="both"/>
        <w:rPr>
          <w:color w:val="000000" w:themeColor="text1"/>
          <w:sz w:val="16"/>
          <w:szCs w:val="16"/>
        </w:rPr>
      </w:pPr>
    </w:p>
    <w:p w14:paraId="276F976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F100FB0" w14:textId="77777777" w:rsidR="00537E5F" w:rsidRPr="00507A31" w:rsidRDefault="00537E5F" w:rsidP="00507A31">
      <w:pPr>
        <w:autoSpaceDE w:val="0"/>
        <w:autoSpaceDN w:val="0"/>
        <w:adjustRightInd w:val="0"/>
        <w:jc w:val="both"/>
        <w:rPr>
          <w:iCs/>
          <w:color w:val="000000" w:themeColor="text1"/>
          <w:sz w:val="16"/>
          <w:szCs w:val="16"/>
        </w:rPr>
      </w:pPr>
    </w:p>
    <w:p w14:paraId="2636BD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января и 1 февраля 1930 вышли постановления ЦК, ЦИК и СНК о борьбе с кулачеством (3908,332).</w:t>
      </w:r>
    </w:p>
    <w:p w14:paraId="1D0333BF" w14:textId="77777777" w:rsidR="00537E5F" w:rsidRPr="00507A31" w:rsidRDefault="00537E5F" w:rsidP="00507A31">
      <w:pPr>
        <w:autoSpaceDE w:val="0"/>
        <w:autoSpaceDN w:val="0"/>
        <w:adjustRightInd w:val="0"/>
        <w:jc w:val="both"/>
        <w:rPr>
          <w:color w:val="000000" w:themeColor="text1"/>
          <w:sz w:val="16"/>
          <w:szCs w:val="16"/>
        </w:rPr>
      </w:pPr>
    </w:p>
    <w:p w14:paraId="1EE4F1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января 1930 Воронеж. Центрально-Черноземный обком ВКП(б) распорядился "органы милиции и уголовного розыска немедленно привести в боевую готовность,... в исключительных случаях не останавливаться перед использованием всего личного состава работников милиции" для осуществления подавления кулацких выступлений (10687).</w:t>
      </w:r>
    </w:p>
    <w:p w14:paraId="5004BCBC" w14:textId="77777777" w:rsidR="00537E5F" w:rsidRPr="00507A31" w:rsidRDefault="00537E5F" w:rsidP="00507A31">
      <w:pPr>
        <w:autoSpaceDE w:val="0"/>
        <w:autoSpaceDN w:val="0"/>
        <w:adjustRightInd w:val="0"/>
        <w:jc w:val="both"/>
        <w:rPr>
          <w:color w:val="000000" w:themeColor="text1"/>
          <w:sz w:val="16"/>
          <w:szCs w:val="16"/>
        </w:rPr>
      </w:pPr>
    </w:p>
    <w:p w14:paraId="60C96863" w14:textId="77777777" w:rsidR="00537E5F" w:rsidRPr="00507A31" w:rsidRDefault="00AC7355" w:rsidP="00507A31">
      <w:pPr>
        <w:autoSpaceDE w:val="0"/>
        <w:autoSpaceDN w:val="0"/>
        <w:adjustRightInd w:val="0"/>
        <w:jc w:val="both"/>
        <w:rPr>
          <w:iCs/>
          <w:color w:val="000000" w:themeColor="text1"/>
          <w:sz w:val="16"/>
          <w:szCs w:val="16"/>
          <w:lang w:val="en-US"/>
        </w:rPr>
      </w:pPr>
      <w:r w:rsidRPr="00507A31">
        <w:rPr>
          <w:i/>
          <w:iCs/>
          <w:color w:val="000000" w:themeColor="text1"/>
          <w:sz w:val="16"/>
          <w:szCs w:val="16"/>
        </w:rPr>
        <w:t>За</w:t>
      </w:r>
      <w:r w:rsidRPr="00507A31">
        <w:rPr>
          <w:i/>
          <w:iCs/>
          <w:color w:val="000000" w:themeColor="text1"/>
          <w:sz w:val="16"/>
          <w:szCs w:val="16"/>
          <w:lang w:val="en-US"/>
        </w:rPr>
        <w:t xml:space="preserve"> </w:t>
      </w:r>
      <w:r w:rsidRPr="00507A31">
        <w:rPr>
          <w:i/>
          <w:iCs/>
          <w:color w:val="000000" w:themeColor="text1"/>
          <w:sz w:val="16"/>
          <w:szCs w:val="16"/>
        </w:rPr>
        <w:t>рубежом</w:t>
      </w:r>
      <w:r w:rsidRPr="00507A31">
        <w:rPr>
          <w:i/>
          <w:iCs/>
          <w:color w:val="000000" w:themeColor="text1"/>
          <w:sz w:val="16"/>
          <w:szCs w:val="16"/>
          <w:lang w:val="en-US"/>
        </w:rPr>
        <w:t>:</w:t>
      </w:r>
    </w:p>
    <w:p w14:paraId="29B693FB" w14:textId="77777777" w:rsidR="00537E5F" w:rsidRPr="00507A31" w:rsidRDefault="00537E5F" w:rsidP="00507A31">
      <w:pPr>
        <w:autoSpaceDE w:val="0"/>
        <w:autoSpaceDN w:val="0"/>
        <w:adjustRightInd w:val="0"/>
        <w:jc w:val="both"/>
        <w:rPr>
          <w:iCs/>
          <w:color w:val="000000" w:themeColor="text1"/>
          <w:sz w:val="16"/>
          <w:szCs w:val="16"/>
          <w:lang w:val="en-US"/>
        </w:rPr>
      </w:pPr>
    </w:p>
    <w:p w14:paraId="5C57BAE1" w14:textId="77777777" w:rsidR="00537E5F" w:rsidRPr="00507A31" w:rsidRDefault="00537E5F" w:rsidP="00507A31">
      <w:pPr>
        <w:autoSpaceDE w:val="0"/>
        <w:autoSpaceDN w:val="0"/>
        <w:adjustRightInd w:val="0"/>
        <w:jc w:val="both"/>
        <w:rPr>
          <w:color w:val="000000" w:themeColor="text1"/>
          <w:sz w:val="16"/>
          <w:szCs w:val="16"/>
          <w:lang w:val="en-US"/>
        </w:rPr>
      </w:pPr>
      <w:r w:rsidRPr="00507A31">
        <w:rPr>
          <w:color w:val="000000" w:themeColor="text1"/>
          <w:sz w:val="16"/>
          <w:szCs w:val="16"/>
          <w:lang w:val="en-US"/>
        </w:rPr>
        <w:t>January 31, 1930 Lieutenant Ralph E. Barnaby made a successful air-to-ground glider flight, dropping from the rigid dirigible Los Angeles (ZR-3) at an altitude of 3,000 feet over Lakehurst, N.J. (1090).</w:t>
      </w:r>
    </w:p>
    <w:p w14:paraId="2CA93A82" w14:textId="77777777" w:rsidR="00537E5F" w:rsidRPr="00507A31" w:rsidRDefault="00537E5F" w:rsidP="00507A31">
      <w:pPr>
        <w:autoSpaceDE w:val="0"/>
        <w:autoSpaceDN w:val="0"/>
        <w:adjustRightInd w:val="0"/>
        <w:jc w:val="both"/>
        <w:rPr>
          <w:color w:val="000000" w:themeColor="text1"/>
          <w:sz w:val="16"/>
          <w:szCs w:val="16"/>
          <w:lang w:val="en-US"/>
        </w:rPr>
      </w:pPr>
    </w:p>
    <w:p w14:paraId="73364E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января 1930 л Ralph E. Barnaby совершил успешный полет на планере, выпущенном с жесткого дирижабля над озером Lakehurst, N.J. (1090).</w:t>
      </w:r>
    </w:p>
    <w:p w14:paraId="057C52A0" w14:textId="77777777" w:rsidR="00537E5F" w:rsidRPr="00507A31" w:rsidRDefault="00537E5F" w:rsidP="00507A31">
      <w:pPr>
        <w:autoSpaceDE w:val="0"/>
        <w:autoSpaceDN w:val="0"/>
        <w:adjustRightInd w:val="0"/>
        <w:jc w:val="both"/>
        <w:rPr>
          <w:color w:val="000000" w:themeColor="text1"/>
          <w:sz w:val="16"/>
          <w:szCs w:val="16"/>
        </w:rPr>
      </w:pPr>
    </w:p>
    <w:p w14:paraId="0D7A6B9E" w14:textId="77777777" w:rsidR="00E2082D" w:rsidRPr="00507A31" w:rsidRDefault="00E2082D"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C7F3550" w14:textId="77777777" w:rsidR="00E2082D" w:rsidRPr="00507A31" w:rsidRDefault="00E2082D" w:rsidP="00507A31">
      <w:pPr>
        <w:autoSpaceDE w:val="0"/>
        <w:autoSpaceDN w:val="0"/>
        <w:adjustRightInd w:val="0"/>
        <w:jc w:val="both"/>
        <w:rPr>
          <w:iCs/>
          <w:color w:val="000000" w:themeColor="text1"/>
          <w:sz w:val="16"/>
          <w:szCs w:val="16"/>
        </w:rPr>
      </w:pPr>
    </w:p>
    <w:p w14:paraId="272CF849"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color w:val="000000" w:themeColor="text1"/>
          <w:sz w:val="16"/>
          <w:szCs w:val="16"/>
        </w:rPr>
        <w:t>В конце января 1930 в АГОС ЦАГИ было подготовлено «Обоснование выбранной схемы и технический отчет об удовлетворении требований, предъявляемых к самолету И-8 типа «ЖОКЕЙ-ПЕРЕХВАТЧИК», в котором отмечалось, что:</w:t>
      </w:r>
    </w:p>
    <w:p w14:paraId="033DC12B"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«Основными моментами, определяющими лицо машины для самолетов типа «Жокей-перехватчик» являются:</w:t>
      </w:r>
    </w:p>
    <w:p w14:paraId="73284E62"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1. Особо высокие летные качества, превосходящие качества истребителей противника, сопровождающих боевые суда, идущие как в одиночном, так и групповом порядке.</w:t>
      </w:r>
    </w:p>
    <w:p w14:paraId="6C53F58B"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2. Способность возможно быстрого маневрирования.</w:t>
      </w:r>
    </w:p>
    <w:p w14:paraId="6BFFD4A6"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3. Мощность и надежность пулеметного огня.</w:t>
      </w:r>
    </w:p>
    <w:p w14:paraId="508DC796"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Все эти задачи ведут к машине наиболее легкой, мощной и компактной. Отсюда основные установки.</w:t>
      </w:r>
    </w:p>
    <w:p w14:paraId="6A2E92E4"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1. Возможное сокращение объектов полезной нагрузки.</w:t>
      </w:r>
    </w:p>
    <w:p w14:paraId="17C62706"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2. Сокращение излишних запасов горючего и емкости баков.</w:t>
      </w:r>
    </w:p>
    <w:p w14:paraId="27D3BDC4"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3. Мощность мотора 600/700 НР в одном агрегате необходимая для получения достаточных летных данных…</w:t>
      </w:r>
    </w:p>
    <w:p w14:paraId="0123BE9B"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4. Компактность самолета. Выбранная схема полуторапланной коробки (поверхность верхнего плана 13 кв. м., нижнего – 7 кв. м.) оставаясь в пределах допустимого обзора… , уменьшает размеры самолета по сравнению с монопланом.</w:t>
      </w:r>
    </w:p>
    <w:p w14:paraId="5353EED7"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Использование двояковыпуклой дужки служит той же цели, уменьшая как длину хвоста самолета, так и размеры поверхности оперения.</w:t>
      </w:r>
    </w:p>
    <w:p w14:paraId="55FE803A"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5. Мощность и надежность пулеметного огня.</w:t>
      </w:r>
    </w:p>
    <w:p w14:paraId="1F8A195F"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 Вследствие того, что мотор «Кертис Конкерер» является не высотным, как предполагалось при составлении технических условий и имеет максимальную мощность у земли 630 НР, то летные данные самолета несколько снижены.</w:t>
      </w:r>
    </w:p>
    <w:p w14:paraId="0FFC255C"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Наибольшая скорость у земли – 331 км/ч на высоте 5000 м – 292 км/ч. Посадочная скорость – 106 км/ч. Время подъема на 5000 м – 9,7 мин. Практический потолок – 8000 м. Конструкция самолета выполняется в следующем виде:</w:t>
      </w:r>
    </w:p>
    <w:p w14:paraId="5731F7B6"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1) Крылья с металлическим каркасом и полотняной обтяжкой. Расчалка коробки из стальных лент. Полки лонжеронов из нержавеющей стали соединены с кольчугалюминиевой боковой зашивкой заклепочным швом. Нервюры из кольчугалюминиевого профиля специального сечения, удобного для зашивки крыла полотном.</w:t>
      </w:r>
    </w:p>
    <w:p w14:paraId="32F8F149"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2) Фюзеляж из сварных труб хромомолибденовых или углеродистых (в зависимости от получения материала).</w:t>
      </w:r>
    </w:p>
    <w:p w14:paraId="134D5424" w14:textId="77777777" w:rsidR="00E2082D" w:rsidRPr="00507A31" w:rsidRDefault="00E2082D"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3) Оперение из кольчугалюмина.» (19171).</w:t>
      </w:r>
    </w:p>
    <w:p w14:paraId="18A19BA8" w14:textId="77777777" w:rsidR="00E2082D" w:rsidRPr="00507A31" w:rsidRDefault="00E2082D" w:rsidP="00507A31">
      <w:pPr>
        <w:pStyle w:val="ae"/>
        <w:shd w:val="clear" w:color="auto" w:fill="FFFFFF"/>
        <w:spacing w:before="0" w:after="0"/>
        <w:jc w:val="both"/>
        <w:textAlignment w:val="baseline"/>
        <w:rPr>
          <w:color w:val="000000" w:themeColor="text1"/>
          <w:sz w:val="16"/>
          <w:szCs w:val="16"/>
        </w:rPr>
      </w:pPr>
    </w:p>
    <w:p w14:paraId="0ADD46D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5F257AD" w14:textId="77777777" w:rsidR="00537E5F" w:rsidRPr="00507A31" w:rsidRDefault="00537E5F" w:rsidP="00507A31">
      <w:pPr>
        <w:autoSpaceDE w:val="0"/>
        <w:autoSpaceDN w:val="0"/>
        <w:adjustRightInd w:val="0"/>
        <w:jc w:val="both"/>
        <w:rPr>
          <w:iCs/>
          <w:color w:val="000000" w:themeColor="text1"/>
          <w:sz w:val="16"/>
          <w:szCs w:val="16"/>
        </w:rPr>
      </w:pPr>
    </w:p>
    <w:p w14:paraId="1D1A77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прошли дополнительные испытания серийного ТБ-1.</w:t>
      </w:r>
    </w:p>
    <w:p w14:paraId="1B7828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Только после этого началась планомерная приемка серийных бомбардировщиков. Производство постепенно разворачивалось. За 1930 г. выпустили 66 машин. Начиная с 19-го самолета (N° 619) внесли небольшие изменения в капоты двигателей, в частности, изменили лючки доступа к магнето, с 22-го - ввели доработанные моторамы.</w:t>
      </w:r>
    </w:p>
    <w:p w14:paraId="6BAB09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Все первые ТБ-1 оснащались импортными моторами BMW VI мощностью по 480/600 л.е., укомплектованными карбюраторами BMW. С машины № 631 стали ставить усовершенствованный вариант этого двигателя с той же степенью сжатия 6,0, но дававший уже 500/680 л.с. На них монтировались французские карбюраторы "Зенит". Одну машину этой серии, № 632, в июле - августе 1930 г. подвергли контрольным испытаниям в НИИ ВВС. Увеличение тяги привело к росту максимальной скорости, которая достигла 206 км/ч, повышению потолка (более, чем на 200 м), улучшению скороподъемности и маневренности. </w:t>
      </w:r>
    </w:p>
    <w:p w14:paraId="1B9BB0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того, как в Рыбинске освоили производство отечественной модификации BMW VI под названием М-17, представилась возможность отказаться от импорта. М-17 впервые опробовали на ТБ-1 № 623. Наш мотор при той же мощности был тяжелее немецкого, поэтому вес пустого самолета возрос примерно на 100 кг. С 46-го серийного самолета двигателями М-17 стали оснащать все бомбардировщики. Эти машины официально именовались ТБ-1 - 2М-17.</w:t>
      </w:r>
    </w:p>
    <w:p w14:paraId="3EC5BC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31-го экземпляра на борту появились поручни, облегчавшие влезание в пилотскую кабину. Увеличили окна у рабочего места борттехника. В ответ на жалобы о деформации тяг управления моторами и жалюзи радиаторов их стали делать из стали, а не из алюминия. Ввели люки доступа к замкам бомбодержателей Дер-9, на сектора газа установили ограничители.</w:t>
      </w:r>
    </w:p>
    <w:p w14:paraId="42CC24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Часть машин получила колеса английской фирмы "Палмер", часть - французской "Палладиум", с соответствующей резиной. Но размеры последней были одни и те же - 1250x250 мм.</w:t>
      </w:r>
    </w:p>
    <w:p w14:paraId="2C8EEA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самолеты покидали завод без радиостанций и фотоаппаратов. Предполагалось, что их, при возможности, будут монтировать прямо в войсковых частях. Для первых серий ТБ-1 штатными считались фотоаппарат "Поттэ 1" в жесткой установке и длинноволновая радиостанция 13С. Это оборудование должно было находиться в передней кабине.</w:t>
      </w:r>
    </w:p>
    <w:p w14:paraId="01BB6F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конца осени 1930 г. самолеты отправлялись с завода на лыжах. В начале года провели сравнительные испытания нескольких типов лыж, сконструированных в ЦАГИ и на заводе № 28. Первые делались целиком из кольчугалюминия, вторые были деревянными с козелком из стальных труб. Металлические оказались прочнее и легче, но вдвое дороже. В итоге выбрали облегченные лыжи завода № 28 с усиленной обшивкой. Их запустили в производство и стали отправлять во все эскадрильи, вооружавшиеся новыми бомбардировщиками (12001).</w:t>
      </w:r>
    </w:p>
    <w:p w14:paraId="0EA62570" w14:textId="77777777" w:rsidR="00537E5F" w:rsidRPr="00507A31" w:rsidRDefault="00537E5F" w:rsidP="00507A31">
      <w:pPr>
        <w:autoSpaceDE w:val="0"/>
        <w:autoSpaceDN w:val="0"/>
        <w:adjustRightInd w:val="0"/>
        <w:jc w:val="both"/>
        <w:rPr>
          <w:color w:val="000000" w:themeColor="text1"/>
          <w:sz w:val="16"/>
          <w:szCs w:val="16"/>
        </w:rPr>
      </w:pPr>
    </w:p>
    <w:p w14:paraId="16F703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 один Р-ЗЛД "особого назначения" в НИИ ВВС вооружили 76-мм динамореактивной (безоткатной) пушкой (ДРП) АПК-1 конструкции Курчевского. Орудие стояло наклонно (стволом, вздернутым вверх под углом 20° к линии полета) с левого борта. Оно крепилось к кронштейну верхней плоскости и муфте, соединенной с трубой, пропущенной через фюзеляж. Магазин на 10 снарядов по 3,2 кг каждый стоял на центроплане в обтекателе возле дульного среза орудия. Пушка предназначалась для борьбы с дирижаблями и аэростатами и стреляла картечью и шрапнелью. Выстрел производил пилот, у которого имелись примитивный прицел и спусковая ручка на левом борту кабины. Он же перезаряжал орудие соединенной с тросом рукоятью, располагавшейся в левом верхнем углу приборной доски.</w:t>
      </w:r>
    </w:p>
    <w:p w14:paraId="1D5686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первом же выстреле (причем холостым уменьшенным зарядом) на земле помяло стабилизатор и вырвало заклепки. Заднюю часть трубы пушки нарастили на метр, после чего ее общая длина достигла почти 5 м. Однако два последующих выстрела дали тот же результат. Самолет повезли на завод № 39 для ремонта хвостовой части, в ходе которого произвели усиление обшивки; ее толщину увеличили с 0,3 до 0,8 мм.</w:t>
      </w:r>
    </w:p>
    <w:p w14:paraId="1B5FBE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Затем приступили к испытаниям в воздухе. Машину пилотировал А.И. Залевский. Из-за асимметрии установки пушки самолет немного тянуло в полете влево. 6 марта 1930 г. стреляли в воздухе над полигоном в Кунцево, при этом на верхней плоскости появилась "желобообраз- ная промятость", у летчика снесло ветровой козырек, наполовину оторвался кожух курсового пулемета и разрушился обтекатель хвостовой лыжи. Его заменили, и он тут же опять сломался, причем сама лыжа развалилась при посадке. От стрельбы Залевский временно оглох.</w:t>
      </w:r>
    </w:p>
    <w:p w14:paraId="4311F6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Последовал новый ремонт. В следующий раз намеревались стрелять по воздушным шарам, но они оторвались и улетели. Стали палить просто в воздух. После второго выстрела сидевшего в задней кабине Б.С. Вахмистрова контузило - из горла пошла кровь.</w:t>
      </w:r>
    </w:p>
    <w:p w14:paraId="23393C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следующей серии на шестом выстреле добились попадания в конус, буксировавшийся другим самолетом, сделав четыре пробоины. Пробовали стрелять вместо шрапнели чугунными болванками. Дальность стрельбы увеличилась, но зато перестали попадать в цель. Вывод испытателей был таков: "Стрелять с самолета из ДРП можно, но Р-3 непригоден".</w:t>
      </w:r>
    </w:p>
    <w:p w14:paraId="65CB4E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шли и далее. Самолет "трещал по швам": вылетали заклепки, лопнули два шпангоута и обшивка на борту. Машину чинили и усиливали и, наконец, остановились, решив, что дальнейшее подкрепление хвостовой части приведет к опасному сдвигу центровки назад.</w:t>
      </w:r>
    </w:p>
    <w:p w14:paraId="437C7C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"наверху" на реактивное вооружение самолета смотрели с воодушевлением. 6 июля 1930 г. начальник УВВС приказал к Новому году вооружить ДРП 20 самолетов Р-ЗМ5 и передать их 30-й эскадрилье. Возможно, таким способом хотели продлить жизнь устаревшим разведчикам.</w:t>
      </w:r>
    </w:p>
    <w:p w14:paraId="19B259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23 октября при стрельбе на земле машина опять получила сильные повреждения. Из НИИ ВВС сообщили в УВВС: "Самолет разрушен".</w:t>
      </w:r>
    </w:p>
    <w:p w14:paraId="6A11EC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4CA611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19EF4B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0C3E31CF" w14:textId="77777777" w:rsidR="00537E5F" w:rsidRPr="00507A31" w:rsidRDefault="00537E5F" w:rsidP="00507A31">
      <w:pPr>
        <w:autoSpaceDE w:val="0"/>
        <w:autoSpaceDN w:val="0"/>
        <w:adjustRightInd w:val="0"/>
        <w:jc w:val="both"/>
        <w:rPr>
          <w:color w:val="000000" w:themeColor="text1"/>
          <w:sz w:val="16"/>
          <w:szCs w:val="16"/>
        </w:rPr>
      </w:pPr>
    </w:p>
    <w:p w14:paraId="490981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январе 1930 г. в перечне работ ОПО-4 среди прочего значился двухместный ис</w:t>
      </w:r>
      <w:r w:rsidRPr="00507A31">
        <w:rPr>
          <w:color w:val="000000" w:themeColor="text1"/>
          <w:sz w:val="16"/>
          <w:szCs w:val="16"/>
        </w:rPr>
        <w:softHyphen/>
        <w:t>требитель. Разработка машины началась уже после того, как Ришар покинул Союз; из приехавших специалистов оставался только Анри Лавиль. По свидетельству со</w:t>
      </w:r>
      <w:r w:rsidRPr="00507A31">
        <w:rPr>
          <w:color w:val="000000" w:themeColor="text1"/>
          <w:sz w:val="16"/>
          <w:szCs w:val="16"/>
        </w:rPr>
        <w:softHyphen/>
        <w:t>временников, он являлся открытым и при</w:t>
      </w:r>
      <w:r w:rsidRPr="00507A31">
        <w:rPr>
          <w:color w:val="000000" w:themeColor="text1"/>
          <w:sz w:val="16"/>
          <w:szCs w:val="16"/>
        </w:rPr>
        <w:softHyphen/>
        <w:t>ветливым человеком; усвоив русский язык, конструктор быстро утвердился в своей ро</w:t>
      </w:r>
      <w:r w:rsidRPr="00507A31">
        <w:rPr>
          <w:color w:val="000000" w:themeColor="text1"/>
          <w:sz w:val="16"/>
          <w:szCs w:val="16"/>
        </w:rPr>
        <w:softHyphen/>
        <w:t>ли, несмотря на совсем непростые условия работы в Советском Союзе. Группа Лавиля, в которую вошли другие бывшие сотрудни</w:t>
      </w:r>
      <w:r w:rsidRPr="00507A31">
        <w:rPr>
          <w:color w:val="000000" w:themeColor="text1"/>
          <w:sz w:val="16"/>
          <w:szCs w:val="16"/>
        </w:rPr>
        <w:softHyphen/>
        <w:t>ки ОПО-4 С. А. Лавочкин, С. Н. Люшин, Л. С. Каменномостский, Фельснер, начала ра</w:t>
      </w:r>
      <w:r w:rsidRPr="00507A31">
        <w:rPr>
          <w:color w:val="000000" w:themeColor="text1"/>
          <w:sz w:val="16"/>
          <w:szCs w:val="16"/>
        </w:rPr>
        <w:softHyphen/>
        <w:t>ботать в рамках бюро новых конструкций (БНК) на территории завода № 39 (11134).</w:t>
      </w:r>
    </w:p>
    <w:p w14:paraId="0CB916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3AB10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в НИИ ВВС на испытания поступил И-4 с ПВ-1 с левым приемником (1060,52).</w:t>
      </w:r>
    </w:p>
    <w:p w14:paraId="44B174A0" w14:textId="77777777" w:rsidR="00537E5F" w:rsidRPr="00507A31" w:rsidRDefault="00537E5F" w:rsidP="00507A31">
      <w:pPr>
        <w:autoSpaceDE w:val="0"/>
        <w:autoSpaceDN w:val="0"/>
        <w:adjustRightInd w:val="0"/>
        <w:jc w:val="both"/>
        <w:rPr>
          <w:color w:val="000000" w:themeColor="text1"/>
          <w:sz w:val="16"/>
          <w:szCs w:val="16"/>
        </w:rPr>
      </w:pPr>
    </w:p>
    <w:p w14:paraId="66D3EF45" w14:textId="77777777" w:rsidR="0002419A" w:rsidRPr="00507A31" w:rsidRDefault="0002419A"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В январе 1930 г. И-4 с «зеркально-симметричным» вариантом вооружения прибыл в НИИ ВВС. Там после испытаний пулеметные установки забраковали (19100).</w:t>
      </w:r>
    </w:p>
    <w:p w14:paraId="6B8F1F67" w14:textId="77777777" w:rsidR="0002419A" w:rsidRPr="00507A31" w:rsidRDefault="0002419A" w:rsidP="00507A31">
      <w:pPr>
        <w:pStyle w:val="a8"/>
        <w:jc w:val="both"/>
        <w:rPr>
          <w:rFonts w:ascii="Times New Roman" w:hAnsi="Times New Roman" w:cs="Times New Roman"/>
          <w:color w:val="000000" w:themeColor="text1"/>
        </w:rPr>
      </w:pPr>
    </w:p>
    <w:p w14:paraId="6CB49D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в ходе испытаний построенного к концу 1929 БИЧ-7 - прообраза бомбардировщика БИЧ-5, проводимых на аэродроме НИИ ВВС и летали Б.Н.Кудриным и Ю.И.Пионтковским, выяснилось, что из-за одноколесного шасси неустойчив при разбеге и пробеге и Б.И.Ч. поставил 2 колеса. Всего выполнили только 3-4 полета по кругу на высоте 80-100 м. В 1931 передали в БОК ЦАГИ для доработок (2544,53).</w:t>
      </w:r>
    </w:p>
    <w:p w14:paraId="680AB3FA" w14:textId="77777777" w:rsidR="00537E5F" w:rsidRPr="00507A31" w:rsidRDefault="00537E5F" w:rsidP="00507A31">
      <w:pPr>
        <w:autoSpaceDE w:val="0"/>
        <w:autoSpaceDN w:val="0"/>
        <w:adjustRightInd w:val="0"/>
        <w:jc w:val="both"/>
        <w:rPr>
          <w:color w:val="000000" w:themeColor="text1"/>
          <w:sz w:val="16"/>
          <w:szCs w:val="16"/>
        </w:rPr>
      </w:pPr>
    </w:p>
    <w:p w14:paraId="7DA769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ВВС утвердили требования к истребителю-перехватчику (жокею), которыми потом стали И-5 Н.Н.П. и И-8 (АНТ-13) П.О.С. (1454,22).</w:t>
      </w:r>
    </w:p>
    <w:p w14:paraId="1A86E14A" w14:textId="77777777" w:rsidR="00537E5F" w:rsidRPr="00507A31" w:rsidRDefault="00537E5F" w:rsidP="00507A31">
      <w:pPr>
        <w:autoSpaceDE w:val="0"/>
        <w:autoSpaceDN w:val="0"/>
        <w:adjustRightInd w:val="0"/>
        <w:jc w:val="both"/>
        <w:rPr>
          <w:color w:val="000000" w:themeColor="text1"/>
          <w:sz w:val="16"/>
          <w:szCs w:val="16"/>
        </w:rPr>
      </w:pPr>
    </w:p>
    <w:p w14:paraId="437D97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январе 1930 г. эскиз</w:t>
      </w:r>
      <w:r w:rsidRPr="00507A31">
        <w:rPr>
          <w:color w:val="000000" w:themeColor="text1"/>
          <w:sz w:val="16"/>
          <w:szCs w:val="16"/>
        </w:rPr>
        <w:softHyphen/>
        <w:t>ный проект И-7 Н.Н.П. представили для рассмотре</w:t>
      </w:r>
      <w:r w:rsidRPr="00507A31">
        <w:rPr>
          <w:color w:val="000000" w:themeColor="text1"/>
          <w:sz w:val="16"/>
          <w:szCs w:val="16"/>
        </w:rPr>
        <w:softHyphen/>
        <w:t>ния в трех вариантах: с металлическим или с деревянным фюзеляжем (10729).</w:t>
      </w:r>
    </w:p>
    <w:p w14:paraId="442B8A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560187E" w14:textId="77777777" w:rsidR="0084704E" w:rsidRPr="00507A31" w:rsidRDefault="0084704E" w:rsidP="00507A31">
      <w:pPr>
        <w:jc w:val="both"/>
        <w:rPr>
          <w:color w:val="000000" w:themeColor="text1"/>
          <w:sz w:val="16"/>
          <w:szCs w:val="16"/>
        </w:rPr>
      </w:pPr>
      <w:r w:rsidRPr="00507A31">
        <w:rPr>
          <w:color w:val="000000" w:themeColor="text1"/>
          <w:sz w:val="16"/>
          <w:szCs w:val="16"/>
        </w:rPr>
        <w:t>В январе 1930 г. эскизный проект был представ</w:t>
      </w:r>
      <w:r w:rsidRPr="00507A31">
        <w:rPr>
          <w:color w:val="000000" w:themeColor="text1"/>
          <w:sz w:val="16"/>
          <w:szCs w:val="16"/>
        </w:rPr>
        <w:softHyphen/>
        <w:t>лен для рассмотрения в трех вариантах:</w:t>
      </w:r>
    </w:p>
    <w:p w14:paraId="62986C31" w14:textId="77777777" w:rsidR="0084704E" w:rsidRPr="00507A31" w:rsidRDefault="0084704E" w:rsidP="00507A31">
      <w:pPr>
        <w:jc w:val="both"/>
        <w:rPr>
          <w:color w:val="000000" w:themeColor="text1"/>
          <w:sz w:val="16"/>
          <w:szCs w:val="16"/>
        </w:rPr>
      </w:pPr>
      <w:r w:rsidRPr="00507A31">
        <w:rPr>
          <w:color w:val="000000" w:themeColor="text1"/>
          <w:sz w:val="16"/>
          <w:szCs w:val="16"/>
        </w:rPr>
        <w:t>1-й с металлическим фюзеляжем, 2-й и 3-й с деревянным фюзеляжем. Кроме того, рас</w:t>
      </w:r>
      <w:r w:rsidRPr="00507A31">
        <w:rPr>
          <w:color w:val="000000" w:themeColor="text1"/>
          <w:sz w:val="16"/>
          <w:szCs w:val="16"/>
        </w:rPr>
        <w:softHyphen/>
        <w:t>сматривались варианты биплана и полутора- плана.</w:t>
      </w:r>
    </w:p>
    <w:p w14:paraId="0C7B8C84" w14:textId="77777777" w:rsidR="0084704E" w:rsidRPr="00507A31" w:rsidRDefault="0084704E" w:rsidP="00507A31">
      <w:pPr>
        <w:jc w:val="both"/>
        <w:rPr>
          <w:color w:val="000000" w:themeColor="text1"/>
          <w:sz w:val="16"/>
          <w:szCs w:val="16"/>
        </w:rPr>
      </w:pPr>
      <w:r w:rsidRPr="00507A31">
        <w:rPr>
          <w:color w:val="000000" w:themeColor="text1"/>
          <w:sz w:val="16"/>
          <w:szCs w:val="16"/>
        </w:rPr>
        <w:t>В феврале 1930 г. эскизный проект И-7 БМВ-У1 в трех вариантах послали в Авиа</w:t>
      </w:r>
      <w:r w:rsidRPr="00507A31">
        <w:rPr>
          <w:color w:val="000000" w:themeColor="text1"/>
          <w:sz w:val="16"/>
          <w:szCs w:val="16"/>
        </w:rPr>
        <w:softHyphen/>
        <w:t>трест для утверждения.</w:t>
      </w:r>
    </w:p>
    <w:p w14:paraId="7ACA48F7" w14:textId="77777777" w:rsidR="0084704E" w:rsidRPr="00507A31" w:rsidRDefault="0084704E" w:rsidP="00507A31">
      <w:pPr>
        <w:jc w:val="both"/>
        <w:rPr>
          <w:color w:val="000000" w:themeColor="text1"/>
          <w:sz w:val="16"/>
          <w:szCs w:val="16"/>
        </w:rPr>
      </w:pPr>
      <w:r w:rsidRPr="00507A31">
        <w:rPr>
          <w:color w:val="000000" w:themeColor="text1"/>
          <w:sz w:val="16"/>
          <w:szCs w:val="16"/>
        </w:rPr>
        <w:t>При рассмотрении представленных вари</w:t>
      </w:r>
      <w:r w:rsidRPr="00507A31">
        <w:rPr>
          <w:color w:val="000000" w:themeColor="text1"/>
          <w:sz w:val="16"/>
          <w:szCs w:val="16"/>
        </w:rPr>
        <w:softHyphen/>
        <w:t>антов предпочтение отдавали биплану, с ко</w:t>
      </w:r>
      <w:r w:rsidRPr="00507A31">
        <w:rPr>
          <w:color w:val="000000" w:themeColor="text1"/>
          <w:sz w:val="16"/>
          <w:szCs w:val="16"/>
        </w:rPr>
        <w:softHyphen/>
        <w:t>торым предполагалось улучшение маневрен</w:t>
      </w:r>
      <w:r w:rsidRPr="00507A31">
        <w:rPr>
          <w:color w:val="000000" w:themeColor="text1"/>
          <w:sz w:val="16"/>
          <w:szCs w:val="16"/>
        </w:rPr>
        <w:softHyphen/>
        <w:t>ности за счет уменьшения размеров, ведущих к уменьшению моментов инерции.</w:t>
      </w:r>
    </w:p>
    <w:p w14:paraId="3D5E2198" w14:textId="77777777" w:rsidR="0084704E" w:rsidRPr="00507A31" w:rsidRDefault="0084704E" w:rsidP="00507A31">
      <w:pPr>
        <w:jc w:val="both"/>
        <w:rPr>
          <w:color w:val="000000" w:themeColor="text1"/>
          <w:sz w:val="16"/>
          <w:szCs w:val="16"/>
        </w:rPr>
      </w:pPr>
      <w:r w:rsidRPr="00507A31">
        <w:rPr>
          <w:color w:val="000000" w:themeColor="text1"/>
          <w:sz w:val="16"/>
          <w:szCs w:val="16"/>
        </w:rPr>
        <w:t>Проектные работы по И-7 Поликарпова продолжались в течение 1930 г. Осенью, при составлении плана опытного строительства на 1930-1933 гг. от создания этого истреби</w:t>
      </w:r>
      <w:r w:rsidRPr="00507A31">
        <w:rPr>
          <w:color w:val="000000" w:themeColor="text1"/>
          <w:sz w:val="16"/>
          <w:szCs w:val="16"/>
        </w:rPr>
        <w:softHyphen/>
        <w:t>теля окончательно отказались со следующей формулировкой: «Самолет И-7 М-17 заменя</w:t>
      </w:r>
      <w:r w:rsidRPr="00507A31">
        <w:rPr>
          <w:color w:val="000000" w:themeColor="text1"/>
          <w:sz w:val="16"/>
          <w:szCs w:val="16"/>
        </w:rPr>
        <w:softHyphen/>
        <w:t>ется лицензионным НД-37 М-17» (12295).</w:t>
      </w:r>
    </w:p>
    <w:p w14:paraId="5F3B936B" w14:textId="77777777" w:rsidR="0084704E" w:rsidRPr="00507A31" w:rsidRDefault="0084704E" w:rsidP="00507A31">
      <w:pPr>
        <w:jc w:val="both"/>
        <w:rPr>
          <w:color w:val="000000" w:themeColor="text1"/>
          <w:sz w:val="16"/>
          <w:szCs w:val="16"/>
        </w:rPr>
      </w:pPr>
    </w:p>
    <w:p w14:paraId="0B93497D" w14:textId="77777777" w:rsidR="0084704E" w:rsidRPr="00507A31" w:rsidRDefault="0084704E" w:rsidP="00507A31">
      <w:pPr>
        <w:jc w:val="both"/>
        <w:rPr>
          <w:color w:val="000000" w:themeColor="text1"/>
          <w:sz w:val="16"/>
          <w:szCs w:val="16"/>
        </w:rPr>
      </w:pPr>
      <w:r w:rsidRPr="00507A31">
        <w:rPr>
          <w:color w:val="000000" w:themeColor="text1"/>
          <w:sz w:val="16"/>
          <w:szCs w:val="16"/>
        </w:rPr>
        <w:t>До января 1930 г. эскизный проект И-7 за</w:t>
      </w:r>
      <w:r w:rsidRPr="00507A31">
        <w:rPr>
          <w:color w:val="000000" w:themeColor="text1"/>
          <w:sz w:val="16"/>
          <w:szCs w:val="16"/>
        </w:rPr>
        <w:softHyphen/>
        <w:t>канчивался под руководством Кочеригина, ко</w:t>
      </w:r>
      <w:r w:rsidRPr="00507A31">
        <w:rPr>
          <w:color w:val="000000" w:themeColor="text1"/>
          <w:sz w:val="16"/>
          <w:szCs w:val="16"/>
        </w:rPr>
        <w:softHyphen/>
        <w:t>торый значился временно исполняющим дол</w:t>
      </w:r>
      <w:r w:rsidRPr="00507A31">
        <w:rPr>
          <w:color w:val="000000" w:themeColor="text1"/>
          <w:sz w:val="16"/>
          <w:szCs w:val="16"/>
        </w:rPr>
        <w:softHyphen/>
        <w:t>жность помощника директора завода №25 по технической части (директор №25 Горшков).</w:t>
      </w:r>
    </w:p>
    <w:p w14:paraId="2C76FD2E" w14:textId="77777777" w:rsidR="0084704E" w:rsidRPr="00507A31" w:rsidRDefault="0084704E" w:rsidP="00507A31">
      <w:pPr>
        <w:jc w:val="both"/>
        <w:rPr>
          <w:color w:val="000000" w:themeColor="text1"/>
          <w:sz w:val="16"/>
          <w:szCs w:val="16"/>
        </w:rPr>
      </w:pPr>
      <w:r w:rsidRPr="00507A31">
        <w:rPr>
          <w:color w:val="000000" w:themeColor="text1"/>
          <w:sz w:val="16"/>
          <w:szCs w:val="16"/>
        </w:rPr>
        <w:lastRenderedPageBreak/>
        <w:t>Задание на истребитель И-7 с двигателем жидкостного охлаждения «Паккард» 2А-1500 мощностью 600 л.с. ОСС ЦКБ получило од</w:t>
      </w:r>
      <w:r w:rsidRPr="00507A31">
        <w:rPr>
          <w:color w:val="000000" w:themeColor="text1"/>
          <w:sz w:val="16"/>
          <w:szCs w:val="16"/>
        </w:rPr>
        <w:softHyphen/>
        <w:t>новременно с заданием на истребитель И-6. Поликарповский И-7 поначалу определял</w:t>
      </w:r>
      <w:r w:rsidRPr="00507A31">
        <w:rPr>
          <w:color w:val="000000" w:themeColor="text1"/>
          <w:sz w:val="16"/>
          <w:szCs w:val="16"/>
        </w:rPr>
        <w:softHyphen/>
        <w:t>ся как сухопутный деревянный истребитель, вооруженный двумя пулеметами «Виккерс». Согласно ТТТ самолет должен был обладать следующими характеристиками:</w:t>
      </w:r>
    </w:p>
    <w:p w14:paraId="6BDB8D19" w14:textId="77777777" w:rsidR="0084704E" w:rsidRPr="00507A31" w:rsidRDefault="0084704E" w:rsidP="00507A31">
      <w:pPr>
        <w:jc w:val="both"/>
        <w:rPr>
          <w:color w:val="000000" w:themeColor="text1"/>
          <w:sz w:val="16"/>
          <w:szCs w:val="16"/>
        </w:rPr>
      </w:pPr>
      <w:r w:rsidRPr="00507A31">
        <w:rPr>
          <w:color w:val="000000" w:themeColor="text1"/>
          <w:sz w:val="16"/>
          <w:szCs w:val="16"/>
        </w:rPr>
        <w:t>Скорость макс.</w:t>
      </w:r>
    </w:p>
    <w:p w14:paraId="60C0EB8B" w14:textId="77777777" w:rsidR="0084704E" w:rsidRPr="00507A31" w:rsidRDefault="0084704E" w:rsidP="00507A31">
      <w:pPr>
        <w:tabs>
          <w:tab w:val="left" w:pos="2443"/>
        </w:tabs>
        <w:jc w:val="both"/>
        <w:rPr>
          <w:color w:val="000000" w:themeColor="text1"/>
          <w:sz w:val="16"/>
          <w:szCs w:val="16"/>
        </w:rPr>
      </w:pPr>
      <w:r w:rsidRPr="00507A31">
        <w:rPr>
          <w:color w:val="000000" w:themeColor="text1"/>
          <w:sz w:val="16"/>
          <w:szCs w:val="16"/>
        </w:rPr>
        <w:t>на высоте 5000 м 250-260 км/ч</w:t>
      </w:r>
    </w:p>
    <w:p w14:paraId="64193040" w14:textId="77777777" w:rsidR="0084704E" w:rsidRPr="00507A31" w:rsidRDefault="0084704E" w:rsidP="00507A31">
      <w:pPr>
        <w:tabs>
          <w:tab w:val="left" w:pos="2475"/>
        </w:tabs>
        <w:jc w:val="both"/>
        <w:rPr>
          <w:color w:val="000000" w:themeColor="text1"/>
          <w:sz w:val="16"/>
          <w:szCs w:val="16"/>
        </w:rPr>
      </w:pPr>
      <w:r w:rsidRPr="00507A31">
        <w:rPr>
          <w:color w:val="000000" w:themeColor="text1"/>
          <w:sz w:val="16"/>
          <w:szCs w:val="16"/>
        </w:rPr>
        <w:t>Посадочная скорость не более 90 км/ч</w:t>
      </w:r>
    </w:p>
    <w:p w14:paraId="355CF1A6" w14:textId="77777777" w:rsidR="0084704E" w:rsidRPr="00507A31" w:rsidRDefault="0084704E" w:rsidP="00507A31">
      <w:pPr>
        <w:tabs>
          <w:tab w:val="left" w:pos="2475"/>
        </w:tabs>
        <w:jc w:val="both"/>
        <w:rPr>
          <w:color w:val="000000" w:themeColor="text1"/>
          <w:sz w:val="16"/>
          <w:szCs w:val="16"/>
        </w:rPr>
      </w:pPr>
      <w:r w:rsidRPr="00507A31">
        <w:rPr>
          <w:color w:val="000000" w:themeColor="text1"/>
          <w:sz w:val="16"/>
          <w:szCs w:val="16"/>
        </w:rPr>
        <w:t>Время набора высоты 5000 м 10-12 мин.</w:t>
      </w:r>
    </w:p>
    <w:p w14:paraId="49AF4472" w14:textId="77777777" w:rsidR="0084704E" w:rsidRPr="00507A31" w:rsidRDefault="0084704E" w:rsidP="00507A31">
      <w:pPr>
        <w:tabs>
          <w:tab w:val="left" w:pos="2475"/>
        </w:tabs>
        <w:jc w:val="both"/>
        <w:rPr>
          <w:color w:val="000000" w:themeColor="text1"/>
          <w:sz w:val="16"/>
          <w:szCs w:val="16"/>
        </w:rPr>
      </w:pPr>
      <w:r w:rsidRPr="00507A31">
        <w:rPr>
          <w:color w:val="000000" w:themeColor="text1"/>
          <w:sz w:val="16"/>
          <w:szCs w:val="16"/>
        </w:rPr>
        <w:t>Потолок 7500-8000 м.</w:t>
      </w:r>
    </w:p>
    <w:p w14:paraId="63E1ACC4" w14:textId="77777777" w:rsidR="0084704E" w:rsidRPr="00507A31" w:rsidRDefault="0084704E" w:rsidP="00507A31">
      <w:pPr>
        <w:jc w:val="both"/>
        <w:rPr>
          <w:color w:val="000000" w:themeColor="text1"/>
          <w:sz w:val="16"/>
          <w:szCs w:val="16"/>
        </w:rPr>
      </w:pPr>
      <w:r w:rsidRPr="00507A31">
        <w:rPr>
          <w:color w:val="000000" w:themeColor="text1"/>
          <w:sz w:val="16"/>
          <w:szCs w:val="16"/>
        </w:rPr>
        <w:t>В 1928-1929 гг. И-7 предполагался как улуч</w:t>
      </w:r>
      <w:r w:rsidRPr="00507A31">
        <w:rPr>
          <w:color w:val="000000" w:themeColor="text1"/>
          <w:sz w:val="16"/>
          <w:szCs w:val="16"/>
        </w:rPr>
        <w:softHyphen/>
        <w:t>шение И-3, с двигателем БМВ-У1, с таким же деревянным фюзеляжем. Основными направ</w:t>
      </w:r>
      <w:r w:rsidRPr="00507A31">
        <w:rPr>
          <w:color w:val="000000" w:themeColor="text1"/>
          <w:sz w:val="16"/>
          <w:szCs w:val="16"/>
        </w:rPr>
        <w:softHyphen/>
        <w:t>лениями совершенствования являлись облег</w:t>
      </w:r>
      <w:r w:rsidRPr="00507A31">
        <w:rPr>
          <w:color w:val="000000" w:themeColor="text1"/>
          <w:sz w:val="16"/>
          <w:szCs w:val="16"/>
        </w:rPr>
        <w:softHyphen/>
        <w:t>чение конструкции, использование тонкого профиля крыла, с которым надеялись полу</w:t>
      </w:r>
      <w:r w:rsidRPr="00507A31">
        <w:rPr>
          <w:color w:val="000000" w:themeColor="text1"/>
          <w:sz w:val="16"/>
          <w:szCs w:val="16"/>
        </w:rPr>
        <w:softHyphen/>
        <w:t>чить более выгодные штопорные характери</w:t>
      </w:r>
      <w:r w:rsidRPr="00507A31">
        <w:rPr>
          <w:color w:val="000000" w:themeColor="text1"/>
          <w:sz w:val="16"/>
          <w:szCs w:val="16"/>
        </w:rPr>
        <w:softHyphen/>
        <w:t>стики (12295).</w:t>
      </w:r>
    </w:p>
    <w:p w14:paraId="63ADD5DC" w14:textId="77777777" w:rsidR="0084704E" w:rsidRPr="00507A31" w:rsidRDefault="0084704E" w:rsidP="00507A31">
      <w:pPr>
        <w:jc w:val="both"/>
        <w:rPr>
          <w:color w:val="000000" w:themeColor="text1"/>
          <w:sz w:val="16"/>
          <w:szCs w:val="16"/>
        </w:rPr>
      </w:pPr>
    </w:p>
    <w:p w14:paraId="1EF240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 было решено, что для эффективной работы заключенные инженеры должны быть ближе к производству, поэтому их пе</w:t>
      </w:r>
      <w:r w:rsidRPr="00507A31">
        <w:rPr>
          <w:color w:val="000000" w:themeColor="text1"/>
          <w:sz w:val="16"/>
          <w:szCs w:val="16"/>
        </w:rPr>
        <w:softHyphen/>
        <w:t>ревели из помещений Бутырской тюрьмы на территорию авиазавода № 39. Здесь для них отгородили часть цеха, где предстояло жить и работать. Возможно, и эту внутрицеховую вы</w:t>
      </w:r>
      <w:r w:rsidRPr="00507A31">
        <w:rPr>
          <w:color w:val="000000" w:themeColor="text1"/>
          <w:sz w:val="16"/>
          <w:szCs w:val="16"/>
        </w:rPr>
        <w:softHyphen/>
        <w:t>городку арестованные определяли как «внут</w:t>
      </w:r>
      <w:r w:rsidRPr="00507A31">
        <w:rPr>
          <w:color w:val="000000" w:themeColor="text1"/>
          <w:sz w:val="16"/>
          <w:szCs w:val="16"/>
        </w:rPr>
        <w:softHyphen/>
        <w:t>ренняя тюрьма» - «ВТ». По крайней мере, две буквы из этого определения вошли в название спроектированного самолета - ВТ-11, причем кое-кто с горькой усмешкой расшифровывал их на свой лад - «Вредители - Трудящимся». В отношении цифры 11 единого мнения нет до сих пор. По одной из версий считается, что это число конструкторов,участвовавших в работе, по другой - это одиннадцатый из предложен</w:t>
      </w:r>
      <w:r w:rsidRPr="00507A31">
        <w:rPr>
          <w:color w:val="000000" w:themeColor="text1"/>
          <w:sz w:val="16"/>
          <w:szCs w:val="16"/>
        </w:rPr>
        <w:softHyphen/>
        <w:t>ных вариантов. Оба предположения вполне убедительны, однако первое подтверждается количеством основных участников тюремного проектирования, составивших именно 11 че</w:t>
      </w:r>
      <w:r w:rsidRPr="00507A31">
        <w:rPr>
          <w:color w:val="000000" w:themeColor="text1"/>
          <w:sz w:val="16"/>
          <w:szCs w:val="16"/>
        </w:rPr>
        <w:softHyphen/>
        <w:t>ловек: Д.П. Григорович, Н.Н. Поликарпов, А.Н. Седельников, В.Л. Корвин, Е.И. Майоранов, П.М. Крейсон, Н.Г. Михельсон, Б.Ф. Гончаров, В.А. Тисов, И.М. Косткин, А.В. Надашкевич. Срочность изготовления опытного истре</w:t>
      </w:r>
      <w:r w:rsidRPr="00507A31">
        <w:rPr>
          <w:color w:val="000000" w:themeColor="text1"/>
          <w:sz w:val="16"/>
          <w:szCs w:val="16"/>
        </w:rPr>
        <w:softHyphen/>
        <w:t>бителя постоянно подчеркивалась руковод</w:t>
      </w:r>
      <w:r w:rsidRPr="00507A31">
        <w:rPr>
          <w:color w:val="000000" w:themeColor="text1"/>
          <w:sz w:val="16"/>
          <w:szCs w:val="16"/>
        </w:rPr>
        <w:softHyphen/>
        <w:t>ством ОГПУ, на его изготовление поначалу от</w:t>
      </w:r>
      <w:r w:rsidRPr="00507A31">
        <w:rPr>
          <w:color w:val="000000" w:themeColor="text1"/>
          <w:sz w:val="16"/>
          <w:szCs w:val="16"/>
        </w:rPr>
        <w:softHyphen/>
        <w:t>вели два месяца, затем этот срок сократили вдвое. В.Л. Корвин впоследствии вспоминал: «Однажды вечером приехало большое началь</w:t>
      </w:r>
      <w:r w:rsidRPr="00507A31">
        <w:rPr>
          <w:color w:val="000000" w:themeColor="text1"/>
          <w:sz w:val="16"/>
          <w:szCs w:val="16"/>
        </w:rPr>
        <w:softHyphen/>
        <w:t>ство: Горяинов и Гай. За ним Змуда с одним солдатом внесли в жилое помещение корзины и ящики. На столе появились в большом коли</w:t>
      </w:r>
      <w:r w:rsidRPr="00507A31">
        <w:rPr>
          <w:color w:val="000000" w:themeColor="text1"/>
          <w:sz w:val="16"/>
          <w:szCs w:val="16"/>
        </w:rPr>
        <w:softHyphen/>
        <w:t>честве закуски и вино. Был организован бан</w:t>
      </w:r>
      <w:r w:rsidRPr="00507A31">
        <w:rPr>
          <w:color w:val="000000" w:themeColor="text1"/>
          <w:sz w:val="16"/>
          <w:szCs w:val="16"/>
        </w:rPr>
        <w:softHyphen/>
        <w:t>кет. Всех членов ОКБ пригласили за стол. Все насторожились - никто не мог понять, какую цель преследовал такой банкет. Слово взял Гай. Он похвалил за успешную работу всех присутствующих и добавил, что в связи с тре</w:t>
      </w:r>
      <w:r w:rsidRPr="00507A31">
        <w:rPr>
          <w:color w:val="000000" w:themeColor="text1"/>
          <w:sz w:val="16"/>
          <w:szCs w:val="16"/>
        </w:rPr>
        <w:softHyphen/>
        <w:t>бованиями командования срок окончания по</w:t>
      </w:r>
      <w:r w:rsidRPr="00507A31">
        <w:rPr>
          <w:color w:val="000000" w:themeColor="text1"/>
          <w:sz w:val="16"/>
          <w:szCs w:val="16"/>
        </w:rPr>
        <w:softHyphen/>
        <w:t>стройки самолета-истребителя вместо 1-го июня перенесен на 1-е мая, а 26 марта должен быть предъявлен макет. ОКБ ничего не оста</w:t>
      </w:r>
      <w:r w:rsidRPr="00507A31">
        <w:rPr>
          <w:color w:val="000000" w:themeColor="text1"/>
          <w:sz w:val="16"/>
          <w:szCs w:val="16"/>
        </w:rPr>
        <w:softHyphen/>
        <w:t>лось, как заверить начальство, что новый срок будет выдержан». Старшим творческого кол</w:t>
      </w:r>
      <w:r w:rsidRPr="00507A31">
        <w:rPr>
          <w:color w:val="000000" w:themeColor="text1"/>
          <w:sz w:val="16"/>
          <w:szCs w:val="16"/>
        </w:rPr>
        <w:softHyphen/>
        <w:t>лектива назначили Д.П. Григоровича, а на</w:t>
      </w:r>
      <w:r w:rsidRPr="00507A31">
        <w:rPr>
          <w:color w:val="000000" w:themeColor="text1"/>
          <w:sz w:val="16"/>
          <w:szCs w:val="16"/>
        </w:rPr>
        <w:softHyphen/>
        <w:t>чальником всей организации - представителя ОГПУ Горяинова. Срочность полученного задания предполагала, что проектировщики используют свой богатый практический опыт, накопленный за предыдущие годы работы в промышленности. В частности, известно, что свой проект истребителя И-5 по требованиям ВВС еще в 1927 г. подготовил Григорович. Понятно, что на новом месте и в новых обстоятельствах Григорий Павлович попытался продолжить совершенствование, прежде всего, своего проекта. Между тем, свои предложения и свои замыслы истребителей имелись и у других арестованных специалистов. В частности, проект истребителя-биплана смешанной конструкции со звездообразным двигателем воздушного охлаждения предложил Николай Поликарпов. Он представлял собой сублима</w:t>
      </w:r>
      <w:r w:rsidRPr="00507A31">
        <w:rPr>
          <w:color w:val="000000" w:themeColor="text1"/>
          <w:sz w:val="16"/>
          <w:szCs w:val="16"/>
        </w:rPr>
        <w:softHyphen/>
        <w:t xml:space="preserve">та его более ранних проектов истребителей И-5 и И-6, разработанных конструктором еще в 1927-1928 гг. После сравнений и детального обсуждения выбор остановили на поликарповском варианте, за которым стояли многочисленные и обстоятельные проработки, продувки и расчеты, опыт изготовления и летных </w:t>
      </w:r>
      <w:r w:rsidR="0084704E" w:rsidRPr="00507A31">
        <w:rPr>
          <w:color w:val="000000" w:themeColor="text1"/>
          <w:sz w:val="16"/>
          <w:szCs w:val="16"/>
        </w:rPr>
        <w:t>испыта</w:t>
      </w:r>
      <w:r w:rsidRPr="00507A31">
        <w:rPr>
          <w:color w:val="000000" w:themeColor="text1"/>
          <w:sz w:val="16"/>
          <w:szCs w:val="16"/>
        </w:rPr>
        <w:t>аний очень схожего опытного истребителя И-6.(11974).</w:t>
      </w:r>
    </w:p>
    <w:p w14:paraId="4E8EFD9F" w14:textId="77777777" w:rsidR="00537E5F" w:rsidRPr="00507A31" w:rsidRDefault="00537E5F" w:rsidP="00507A31">
      <w:pPr>
        <w:autoSpaceDE w:val="0"/>
        <w:autoSpaceDN w:val="0"/>
        <w:adjustRightInd w:val="0"/>
        <w:jc w:val="both"/>
        <w:rPr>
          <w:color w:val="000000" w:themeColor="text1"/>
          <w:sz w:val="16"/>
          <w:szCs w:val="16"/>
        </w:rPr>
      </w:pPr>
    </w:p>
    <w:p w14:paraId="5EA495A0" w14:textId="77777777" w:rsidR="0084704E" w:rsidRPr="00507A31" w:rsidRDefault="0084704E" w:rsidP="00507A31">
      <w:pPr>
        <w:jc w:val="both"/>
        <w:rPr>
          <w:color w:val="000000" w:themeColor="text1"/>
          <w:sz w:val="16"/>
          <w:szCs w:val="16"/>
        </w:rPr>
      </w:pPr>
      <w:r w:rsidRPr="00507A31">
        <w:rPr>
          <w:color w:val="000000" w:themeColor="text1"/>
          <w:sz w:val="16"/>
          <w:szCs w:val="16"/>
        </w:rPr>
        <w:t>В январе 1930 г. было решено, что для бо</w:t>
      </w:r>
      <w:r w:rsidRPr="00507A31">
        <w:rPr>
          <w:color w:val="000000" w:themeColor="text1"/>
          <w:sz w:val="16"/>
          <w:szCs w:val="16"/>
        </w:rPr>
        <w:softHyphen/>
        <w:t>лее эффективной работы инженеры должны быть ближе к производству, поэтому их пе</w:t>
      </w:r>
      <w:r w:rsidRPr="00507A31">
        <w:rPr>
          <w:color w:val="000000" w:themeColor="text1"/>
          <w:sz w:val="16"/>
          <w:szCs w:val="16"/>
        </w:rPr>
        <w:softHyphen/>
        <w:t>ревели из помещений Бутырской тюрьмы на территорию авиазавода № 39. Здесь для них отгородили часть цеха, где предстояло жить и работать. Возможно, и эту внутрице</w:t>
      </w:r>
      <w:r w:rsidRPr="00507A31">
        <w:rPr>
          <w:color w:val="000000" w:themeColor="text1"/>
          <w:sz w:val="16"/>
          <w:szCs w:val="16"/>
        </w:rPr>
        <w:softHyphen/>
        <w:t>ховую выгородку арестованные определяли как «внутренняя тюрьма» — «ВТ». По край</w:t>
      </w:r>
      <w:r w:rsidRPr="00507A31">
        <w:rPr>
          <w:color w:val="000000" w:themeColor="text1"/>
          <w:sz w:val="16"/>
          <w:szCs w:val="16"/>
        </w:rPr>
        <w:softHyphen/>
        <w:t>ней мере, две буквы из этого определения во</w:t>
      </w:r>
      <w:r w:rsidRPr="00507A31">
        <w:rPr>
          <w:color w:val="000000" w:themeColor="text1"/>
          <w:sz w:val="16"/>
          <w:szCs w:val="16"/>
        </w:rPr>
        <w:softHyphen/>
        <w:t>шли в название спроектированного самоле</w:t>
      </w:r>
      <w:r w:rsidRPr="00507A31">
        <w:rPr>
          <w:color w:val="000000" w:themeColor="text1"/>
          <w:sz w:val="16"/>
          <w:szCs w:val="16"/>
        </w:rPr>
        <w:softHyphen/>
        <w:t>та — ВТ-11, причем кое-кто с горькой усмеш</w:t>
      </w:r>
      <w:r w:rsidRPr="00507A31">
        <w:rPr>
          <w:color w:val="000000" w:themeColor="text1"/>
          <w:sz w:val="16"/>
          <w:szCs w:val="16"/>
        </w:rPr>
        <w:softHyphen/>
        <w:t>кой расшифровывал их на свой лад — «Вре</w:t>
      </w:r>
      <w:r w:rsidRPr="00507A31">
        <w:rPr>
          <w:color w:val="000000" w:themeColor="text1"/>
          <w:sz w:val="16"/>
          <w:szCs w:val="16"/>
        </w:rPr>
        <w:softHyphen/>
        <w:t>дители — Трудящимся». В отношении цифры 11 единого мнения нет до сих пор. По одной из версий считается, что это число конструк</w:t>
      </w:r>
      <w:r w:rsidRPr="00507A31">
        <w:rPr>
          <w:color w:val="000000" w:themeColor="text1"/>
          <w:sz w:val="16"/>
          <w:szCs w:val="16"/>
        </w:rPr>
        <w:softHyphen/>
        <w:t>торов, участвовавших в работе, по другой — это одиннадцатый из предложенных вариан</w:t>
      </w:r>
      <w:r w:rsidRPr="00507A31">
        <w:rPr>
          <w:color w:val="000000" w:themeColor="text1"/>
          <w:sz w:val="16"/>
          <w:szCs w:val="16"/>
        </w:rPr>
        <w:softHyphen/>
        <w:t>тов. Оба предположения вполне убедитель</w:t>
      </w:r>
      <w:r w:rsidRPr="00507A31">
        <w:rPr>
          <w:color w:val="000000" w:themeColor="text1"/>
          <w:sz w:val="16"/>
          <w:szCs w:val="16"/>
        </w:rPr>
        <w:softHyphen/>
        <w:t>ны, однако первое подтверждается количест</w:t>
      </w:r>
      <w:r w:rsidRPr="00507A31">
        <w:rPr>
          <w:color w:val="000000" w:themeColor="text1"/>
          <w:sz w:val="16"/>
          <w:szCs w:val="16"/>
        </w:rPr>
        <w:softHyphen/>
        <w:t>вом основных участников тюремного проектирования, составивших именно 11 человек: Д.П. Григорович, Н.Н. Поликарпов, А.Н. Седельников, В.Л. Корвин, Е.И. Майоранов, П.М. Крейсон, Н.Г. Михельсон, Б.Ф. Гонча</w:t>
      </w:r>
      <w:r w:rsidRPr="00507A31">
        <w:rPr>
          <w:color w:val="000000" w:themeColor="text1"/>
          <w:sz w:val="16"/>
          <w:szCs w:val="16"/>
        </w:rPr>
        <w:softHyphen/>
        <w:t>ров, В.А. Тисов, И.М. Косткин,А.В. Надашкевич.</w:t>
      </w:r>
    </w:p>
    <w:p w14:paraId="6B0D054C" w14:textId="77777777" w:rsidR="0084704E" w:rsidRPr="00507A31" w:rsidRDefault="0084704E" w:rsidP="00507A31">
      <w:pPr>
        <w:jc w:val="both"/>
        <w:rPr>
          <w:color w:val="000000" w:themeColor="text1"/>
          <w:sz w:val="16"/>
          <w:szCs w:val="16"/>
        </w:rPr>
      </w:pPr>
      <w:r w:rsidRPr="00507A31">
        <w:rPr>
          <w:color w:val="000000" w:themeColor="text1"/>
          <w:sz w:val="16"/>
          <w:szCs w:val="16"/>
        </w:rPr>
        <w:t>Срочность изготовления опытного истре</w:t>
      </w:r>
      <w:r w:rsidRPr="00507A31">
        <w:rPr>
          <w:color w:val="000000" w:themeColor="text1"/>
          <w:sz w:val="16"/>
          <w:szCs w:val="16"/>
        </w:rPr>
        <w:softHyphen/>
        <w:t>бителя постоянно подчеркивалась руковод</w:t>
      </w:r>
      <w:r w:rsidRPr="00507A31">
        <w:rPr>
          <w:color w:val="000000" w:themeColor="text1"/>
          <w:sz w:val="16"/>
          <w:szCs w:val="16"/>
        </w:rPr>
        <w:softHyphen/>
        <w:t>ством ОГПУ, на его изготовление понача</w:t>
      </w:r>
      <w:r w:rsidRPr="00507A31">
        <w:rPr>
          <w:color w:val="000000" w:themeColor="text1"/>
          <w:sz w:val="16"/>
          <w:szCs w:val="16"/>
        </w:rPr>
        <w:softHyphen/>
        <w:t>лу отвели два месяца, затем этот срок сокра</w:t>
      </w:r>
      <w:r w:rsidRPr="00507A31">
        <w:rPr>
          <w:color w:val="000000" w:themeColor="text1"/>
          <w:sz w:val="16"/>
          <w:szCs w:val="16"/>
        </w:rPr>
        <w:softHyphen/>
        <w:t>тили вдвое. В.Л. Корвин впоследствии вспо</w:t>
      </w:r>
      <w:r w:rsidRPr="00507A31">
        <w:rPr>
          <w:color w:val="000000" w:themeColor="text1"/>
          <w:sz w:val="16"/>
          <w:szCs w:val="16"/>
        </w:rPr>
        <w:softHyphen/>
        <w:t>минал: «Однажды вечером приехало боль</w:t>
      </w:r>
      <w:r w:rsidRPr="00507A31">
        <w:rPr>
          <w:color w:val="000000" w:themeColor="text1"/>
          <w:sz w:val="16"/>
          <w:szCs w:val="16"/>
        </w:rPr>
        <w:softHyphen/>
        <w:t>шое начальство: Горя и нов и Гай. За ним Зму- да с одним солдатом внесли в жилое помеще</w:t>
      </w:r>
      <w:r w:rsidRPr="00507A31">
        <w:rPr>
          <w:color w:val="000000" w:themeColor="text1"/>
          <w:sz w:val="16"/>
          <w:szCs w:val="16"/>
        </w:rPr>
        <w:softHyphen/>
        <w:t>ние корзины и ящики. На столе появились в большом количестве закуски и вино. Был организован банкет. Всех членов ОКБ при</w:t>
      </w:r>
      <w:r w:rsidRPr="00507A31">
        <w:rPr>
          <w:color w:val="000000" w:themeColor="text1"/>
          <w:sz w:val="16"/>
          <w:szCs w:val="16"/>
        </w:rPr>
        <w:softHyphen/>
        <w:t>гласили за стол. Все насторожились — никто не мог понять, какую цель преследовал та</w:t>
      </w:r>
      <w:r w:rsidRPr="00507A31">
        <w:rPr>
          <w:color w:val="000000" w:themeColor="text1"/>
          <w:sz w:val="16"/>
          <w:szCs w:val="16"/>
        </w:rPr>
        <w:softHyphen/>
        <w:t>кой банкет. Слово взял Гай. Он похвалил за успешную работу всех присутствующих и до</w:t>
      </w:r>
      <w:r w:rsidRPr="00507A31">
        <w:rPr>
          <w:color w:val="000000" w:themeColor="text1"/>
          <w:sz w:val="16"/>
          <w:szCs w:val="16"/>
        </w:rPr>
        <w:softHyphen/>
        <w:t>бавил, что в связи с требованиями командо</w:t>
      </w:r>
      <w:r w:rsidRPr="00507A31">
        <w:rPr>
          <w:color w:val="000000" w:themeColor="text1"/>
          <w:sz w:val="16"/>
          <w:szCs w:val="16"/>
        </w:rPr>
        <w:softHyphen/>
        <w:t>вания срок окончания постройки самолета- истребителя вместо 1-го июня перенесен на 1-е мая, а 26 марта должен быть предъявлен макет. ОКБ ничего не осталось, как заверить начальство, что новый срок будет выдержан».</w:t>
      </w:r>
    </w:p>
    <w:p w14:paraId="6D911D35" w14:textId="77777777" w:rsidR="0084704E" w:rsidRPr="00507A31" w:rsidRDefault="0084704E" w:rsidP="00507A31">
      <w:pPr>
        <w:jc w:val="both"/>
        <w:rPr>
          <w:color w:val="000000" w:themeColor="text1"/>
          <w:sz w:val="16"/>
          <w:szCs w:val="16"/>
        </w:rPr>
      </w:pPr>
      <w:r w:rsidRPr="00507A31">
        <w:rPr>
          <w:color w:val="000000" w:themeColor="text1"/>
          <w:sz w:val="16"/>
          <w:szCs w:val="16"/>
        </w:rPr>
        <w:t>Современник и очевидец событий описы</w:t>
      </w:r>
      <w:r w:rsidRPr="00507A31">
        <w:rPr>
          <w:color w:val="000000" w:themeColor="text1"/>
          <w:sz w:val="16"/>
          <w:szCs w:val="16"/>
        </w:rPr>
        <w:softHyphen/>
        <w:t>ваемого периода авиаконструктор В.Б. Шавров оставил такие свои воспоминания:</w:t>
      </w:r>
    </w:p>
    <w:p w14:paraId="731A69F8" w14:textId="77777777" w:rsidR="0084704E" w:rsidRPr="00507A31" w:rsidRDefault="0084704E" w:rsidP="00507A31">
      <w:pPr>
        <w:jc w:val="both"/>
        <w:rPr>
          <w:color w:val="000000" w:themeColor="text1"/>
          <w:sz w:val="16"/>
          <w:szCs w:val="16"/>
        </w:rPr>
      </w:pPr>
      <w:r w:rsidRPr="00507A31">
        <w:rPr>
          <w:color w:val="000000" w:themeColor="text1"/>
          <w:sz w:val="16"/>
          <w:szCs w:val="16"/>
        </w:rPr>
        <w:t>«ГПУ, посадившее множество инженер</w:t>
      </w:r>
      <w:r w:rsidRPr="00507A31">
        <w:rPr>
          <w:color w:val="000000" w:themeColor="text1"/>
          <w:sz w:val="16"/>
          <w:szCs w:val="16"/>
        </w:rPr>
        <w:softHyphen/>
        <w:t>но-технических работников старшего поко</w:t>
      </w:r>
      <w:r w:rsidRPr="00507A31">
        <w:rPr>
          <w:color w:val="000000" w:themeColor="text1"/>
          <w:sz w:val="16"/>
          <w:szCs w:val="16"/>
        </w:rPr>
        <w:softHyphen/>
        <w:t>ления, решило взять на себя опытное стро</w:t>
      </w:r>
      <w:r w:rsidRPr="00507A31">
        <w:rPr>
          <w:color w:val="000000" w:themeColor="text1"/>
          <w:sz w:val="16"/>
          <w:szCs w:val="16"/>
        </w:rPr>
        <w:softHyphen/>
        <w:t>ительство самолетов. Мол, при таком поло</w:t>
      </w:r>
      <w:r w:rsidRPr="00507A31">
        <w:rPr>
          <w:color w:val="000000" w:themeColor="text1"/>
          <w:sz w:val="16"/>
          <w:szCs w:val="16"/>
        </w:rPr>
        <w:softHyphen/>
        <w:t>жении вредительства не будет. Начальником ЦКБ был двухромбовый гепеуст, над ним был трехромбовый, а над этим — четырех- ромбовый. Сверху — Ягода, а над Ягодой — Менжинский. Были и нижестоящие чины.</w:t>
      </w:r>
    </w:p>
    <w:p w14:paraId="576048B4" w14:textId="77777777" w:rsidR="0084704E" w:rsidRPr="00507A31" w:rsidRDefault="0084704E" w:rsidP="00507A31">
      <w:pPr>
        <w:jc w:val="both"/>
        <w:rPr>
          <w:color w:val="000000" w:themeColor="text1"/>
          <w:sz w:val="16"/>
          <w:szCs w:val="16"/>
        </w:rPr>
      </w:pPr>
      <w:r w:rsidRPr="00507A31">
        <w:rPr>
          <w:color w:val="000000" w:themeColor="text1"/>
          <w:sz w:val="16"/>
          <w:szCs w:val="16"/>
        </w:rPr>
        <w:t>ГПУ решило собрать на заводе № 39 всех, кто работал у Ришара, Поликарпова, Бартини. И, прежде всего, был составлен обшир</w:t>
      </w:r>
      <w:r w:rsidRPr="00507A31">
        <w:rPr>
          <w:color w:val="000000" w:themeColor="text1"/>
          <w:sz w:val="16"/>
          <w:szCs w:val="16"/>
        </w:rPr>
        <w:softHyphen/>
        <w:t>ный план работ ЦКБ. И план этот базировал</w:t>
      </w:r>
      <w:r w:rsidRPr="00507A31">
        <w:rPr>
          <w:color w:val="000000" w:themeColor="text1"/>
          <w:sz w:val="16"/>
          <w:szCs w:val="16"/>
        </w:rPr>
        <w:softHyphen/>
        <w:t>ся на следующем предположении: у Туполева опытный самолет строится четыре года, а мы будем строить за три недели. У нас — триста человек штата, так всех бросим на одно за</w:t>
      </w:r>
      <w:r w:rsidRPr="00507A31">
        <w:rPr>
          <w:color w:val="000000" w:themeColor="text1"/>
          <w:sz w:val="16"/>
          <w:szCs w:val="16"/>
        </w:rPr>
        <w:softHyphen/>
        <w:t>дание, чтобы быстро его выполнить. ЦКБ — мощная организация, которая, навалив</w:t>
      </w:r>
      <w:r w:rsidRPr="00507A31">
        <w:rPr>
          <w:color w:val="000000" w:themeColor="text1"/>
          <w:sz w:val="16"/>
          <w:szCs w:val="16"/>
        </w:rPr>
        <w:softHyphen/>
        <w:t>шись с силами на любое задание, сможет бы</w:t>
      </w:r>
      <w:r w:rsidRPr="00507A31">
        <w:rPr>
          <w:color w:val="000000" w:themeColor="text1"/>
          <w:sz w:val="16"/>
          <w:szCs w:val="16"/>
        </w:rPr>
        <w:softHyphen/>
        <w:t>стро его выполнить. ГПУ было убеждено, что именно так все и будет. Часть людей в ЦКБ была вольной, а часть — «арестованные». Мы, вольные, были подчинены последним, хотя они жили под стражей, и даже не могли отлучаться с завода. Арестованные были на</w:t>
      </w:r>
      <w:r w:rsidRPr="00507A31">
        <w:rPr>
          <w:color w:val="000000" w:themeColor="text1"/>
          <w:sz w:val="16"/>
          <w:szCs w:val="16"/>
        </w:rPr>
        <w:softHyphen/>
        <w:t>шими начальниками, а над ними — ГПУ, ко</w:t>
      </w:r>
      <w:r w:rsidRPr="00507A31">
        <w:rPr>
          <w:color w:val="000000" w:themeColor="text1"/>
          <w:sz w:val="16"/>
          <w:szCs w:val="16"/>
        </w:rPr>
        <w:softHyphen/>
        <w:t>торое постоянно во все вмешивалось.</w:t>
      </w:r>
    </w:p>
    <w:p w14:paraId="23D1F3BD" w14:textId="77777777" w:rsidR="0084704E" w:rsidRPr="00507A31" w:rsidRDefault="0084704E" w:rsidP="00507A31">
      <w:pPr>
        <w:jc w:val="both"/>
        <w:rPr>
          <w:color w:val="000000" w:themeColor="text1"/>
          <w:sz w:val="16"/>
          <w:szCs w:val="16"/>
        </w:rPr>
      </w:pPr>
      <w:r w:rsidRPr="00507A31">
        <w:rPr>
          <w:color w:val="000000" w:themeColor="text1"/>
          <w:sz w:val="16"/>
          <w:szCs w:val="16"/>
        </w:rPr>
        <w:t>Система, придуманная ГПУ, себя не оправдала. Она начисто обанкротилась. Ока</w:t>
      </w:r>
      <w:r w:rsidRPr="00507A31">
        <w:rPr>
          <w:color w:val="000000" w:themeColor="text1"/>
          <w:sz w:val="16"/>
          <w:szCs w:val="16"/>
        </w:rPr>
        <w:softHyphen/>
        <w:t>залось, что, сколько людей ни бросай на одно дело, оно от этого быстрее не пойдет. Если, к примеру, на самолете тридцать пар нервюр разного размера, то это не означает, что эти нервюры можно сделать за два дня. Взаимос</w:t>
      </w:r>
      <w:r w:rsidRPr="00507A31">
        <w:rPr>
          <w:color w:val="000000" w:themeColor="text1"/>
          <w:sz w:val="16"/>
          <w:szCs w:val="16"/>
        </w:rPr>
        <w:softHyphen/>
        <w:t>вязь сотрудников оказалась такой, что сверх</w:t>
      </w:r>
      <w:r w:rsidRPr="00507A31">
        <w:rPr>
          <w:color w:val="000000" w:themeColor="text1"/>
          <w:sz w:val="16"/>
          <w:szCs w:val="16"/>
        </w:rPr>
        <w:softHyphen/>
        <w:t>темп проектирования, предложенный ГПУ, оказался ЦКБ не под силу. Ведь крыло об</w:t>
      </w:r>
      <w:r w:rsidRPr="00507A31">
        <w:rPr>
          <w:color w:val="000000" w:themeColor="text1"/>
          <w:sz w:val="16"/>
          <w:szCs w:val="16"/>
        </w:rPr>
        <w:softHyphen/>
        <w:t>ычно рассчитывает кто-то один. Да и любой агрегат самолета делается ограниченным числом людей, и если их количество увеличи</w:t>
      </w:r>
      <w:r w:rsidRPr="00507A31">
        <w:rPr>
          <w:color w:val="000000" w:themeColor="text1"/>
          <w:sz w:val="16"/>
          <w:szCs w:val="16"/>
        </w:rPr>
        <w:softHyphen/>
        <w:t>вать, то проку от этого будет мало. ГПУ этой простой истины не понимало, но при пер</w:t>
      </w:r>
      <w:r w:rsidRPr="00507A31">
        <w:rPr>
          <w:color w:val="000000" w:themeColor="text1"/>
          <w:sz w:val="16"/>
          <w:szCs w:val="16"/>
        </w:rPr>
        <w:softHyphen/>
        <w:t>вой же постройке штурмовиков ТШ эта си</w:t>
      </w:r>
      <w:r w:rsidRPr="00507A31">
        <w:rPr>
          <w:color w:val="000000" w:themeColor="text1"/>
          <w:sz w:val="16"/>
          <w:szCs w:val="16"/>
        </w:rPr>
        <w:softHyphen/>
        <w:t>стема полностью проявила свои недостатки. Полгода все было в бурном движении: свер</w:t>
      </w:r>
      <w:r w:rsidRPr="00507A31">
        <w:rPr>
          <w:color w:val="000000" w:themeColor="text1"/>
          <w:sz w:val="16"/>
          <w:szCs w:val="16"/>
        </w:rPr>
        <w:softHyphen/>
        <w:t>ху нажим, сверхурочные, а результатов ни</w:t>
      </w:r>
      <w:r w:rsidRPr="00507A31">
        <w:rPr>
          <w:color w:val="000000" w:themeColor="text1"/>
          <w:sz w:val="16"/>
          <w:szCs w:val="16"/>
        </w:rPr>
        <w:softHyphen/>
        <w:t>каких. Работа шла точно так, как если бы ве</w:t>
      </w:r>
      <w:r w:rsidRPr="00507A31">
        <w:rPr>
          <w:color w:val="000000" w:themeColor="text1"/>
          <w:sz w:val="16"/>
          <w:szCs w:val="16"/>
        </w:rPr>
        <w:softHyphen/>
        <w:t>лась нормальная работа над этой машиной.</w:t>
      </w:r>
    </w:p>
    <w:p w14:paraId="4880650A" w14:textId="77777777" w:rsidR="0084704E" w:rsidRPr="00507A31" w:rsidRDefault="0084704E" w:rsidP="00507A31">
      <w:pPr>
        <w:jc w:val="both"/>
        <w:rPr>
          <w:color w:val="000000" w:themeColor="text1"/>
          <w:sz w:val="16"/>
          <w:szCs w:val="16"/>
        </w:rPr>
      </w:pPr>
      <w:r w:rsidRPr="00507A31">
        <w:rPr>
          <w:color w:val="000000" w:themeColor="text1"/>
          <w:sz w:val="16"/>
          <w:szCs w:val="16"/>
        </w:rPr>
        <w:t>Между прочим, некоторые гепеушники не были лишены симпатичных черт. Двухромбо- вый начальник ЦКБ Горяинов был джентль</w:t>
      </w:r>
      <w:r w:rsidRPr="00507A31">
        <w:rPr>
          <w:color w:val="000000" w:themeColor="text1"/>
          <w:sz w:val="16"/>
          <w:szCs w:val="16"/>
        </w:rPr>
        <w:softHyphen/>
        <w:t>мен. Четырехромбовый в моих глазах тоже за</w:t>
      </w:r>
      <w:r w:rsidRPr="00507A31">
        <w:rPr>
          <w:color w:val="000000" w:themeColor="text1"/>
          <w:sz w:val="16"/>
          <w:szCs w:val="16"/>
        </w:rPr>
        <w:softHyphen/>
        <w:t>служивал уважения, потому что однажды са</w:t>
      </w:r>
      <w:r w:rsidRPr="00507A31">
        <w:rPr>
          <w:color w:val="000000" w:themeColor="text1"/>
          <w:sz w:val="16"/>
          <w:szCs w:val="16"/>
        </w:rPr>
        <w:softHyphen/>
        <w:t>молично в грязи открывал ворота грузовику, въезжавшему на завод. Трехромбовый же был негодяй с лицом Муссолини. Остальные — одноромбовые и прочие, те вполне были при</w:t>
      </w:r>
      <w:r w:rsidRPr="00507A31">
        <w:rPr>
          <w:color w:val="000000" w:themeColor="text1"/>
          <w:sz w:val="16"/>
          <w:szCs w:val="16"/>
        </w:rPr>
        <w:softHyphen/>
        <w:t>емлемые» (12295).</w:t>
      </w:r>
    </w:p>
    <w:p w14:paraId="00B10023" w14:textId="77777777" w:rsidR="0084704E" w:rsidRPr="00507A31" w:rsidRDefault="0084704E" w:rsidP="00507A31">
      <w:pPr>
        <w:jc w:val="both"/>
        <w:rPr>
          <w:color w:val="000000" w:themeColor="text1"/>
          <w:sz w:val="16"/>
          <w:szCs w:val="16"/>
        </w:rPr>
      </w:pPr>
    </w:p>
    <w:p w14:paraId="215EE77A" w14:textId="77777777" w:rsidR="0084704E" w:rsidRPr="00507A31" w:rsidRDefault="0084704E" w:rsidP="00507A31">
      <w:pPr>
        <w:jc w:val="both"/>
        <w:rPr>
          <w:color w:val="000000" w:themeColor="text1"/>
          <w:sz w:val="16"/>
          <w:szCs w:val="16"/>
        </w:rPr>
      </w:pPr>
      <w:r w:rsidRPr="00507A31">
        <w:rPr>
          <w:color w:val="000000" w:themeColor="text1"/>
          <w:sz w:val="16"/>
          <w:szCs w:val="16"/>
        </w:rPr>
        <w:t>В январе 1930 г. было решено, что для более эффективной работы инженеры должны быть ближе к производству, поэтому их перевели из помещений Бутырской тюрь</w:t>
      </w:r>
      <w:r w:rsidRPr="00507A31">
        <w:rPr>
          <w:color w:val="000000" w:themeColor="text1"/>
          <w:sz w:val="16"/>
          <w:szCs w:val="16"/>
        </w:rPr>
        <w:softHyphen/>
        <w:t>мы на территорию авиазавода №39. Здесь для них отгородили часть цеха, где пред</w:t>
      </w:r>
      <w:r w:rsidRPr="00507A31">
        <w:rPr>
          <w:color w:val="000000" w:themeColor="text1"/>
          <w:sz w:val="16"/>
          <w:szCs w:val="16"/>
        </w:rPr>
        <w:softHyphen/>
        <w:t>стояло жить и работать. Возможно, и эту вы</w:t>
      </w:r>
      <w:r w:rsidRPr="00507A31">
        <w:rPr>
          <w:color w:val="000000" w:themeColor="text1"/>
          <w:sz w:val="16"/>
          <w:szCs w:val="16"/>
        </w:rPr>
        <w:softHyphen/>
        <w:t>городку арестованные определяли как «вну</w:t>
      </w:r>
      <w:r w:rsidRPr="00507A31">
        <w:rPr>
          <w:color w:val="000000" w:themeColor="text1"/>
          <w:sz w:val="16"/>
          <w:szCs w:val="16"/>
        </w:rPr>
        <w:softHyphen/>
        <w:t>тренняя тюрьма» — «ВТ». По крайней мере, две буквы из этого определения вошли в название самолета — ВТ-11, причем кое- кто с горькой усмешкой расшифровывал их на свой лад — «Вредители — Трудящимся». В отношении цифры 11 единого мнения нет до сих пор. По одной из версий считается, что это число конструкторов, участвовавших в работе, подругой — это одиннадцатый из предложенных вариантов. Оба предполо</w:t>
      </w:r>
      <w:r w:rsidRPr="00507A31">
        <w:rPr>
          <w:color w:val="000000" w:themeColor="text1"/>
          <w:sz w:val="16"/>
          <w:szCs w:val="16"/>
        </w:rPr>
        <w:softHyphen/>
        <w:t>жения вполне убедительны, однако первое подтверждается количеством основных участников тюремного проектирования, со</w:t>
      </w:r>
      <w:r w:rsidRPr="00507A31">
        <w:rPr>
          <w:color w:val="000000" w:themeColor="text1"/>
          <w:sz w:val="16"/>
          <w:szCs w:val="16"/>
        </w:rPr>
        <w:softHyphen/>
        <w:t>ставивших именно 11 человек: Д.П. Григо</w:t>
      </w:r>
      <w:r w:rsidRPr="00507A31">
        <w:rPr>
          <w:color w:val="000000" w:themeColor="text1"/>
          <w:sz w:val="16"/>
          <w:szCs w:val="16"/>
        </w:rPr>
        <w:softHyphen/>
        <w:t>рович, Н.Н. Поликарпов, А.Н. Седельников, В.Л. Корвин, Е.И. Майоранов, П.М. Крейсон, Н.Г. Михельсон, Б.Ф. Гончаров, В.А. Тисов, И.М. Косткин, А.В. Надашкевич.</w:t>
      </w:r>
    </w:p>
    <w:p w14:paraId="50E305F7" w14:textId="77777777" w:rsidR="0084704E" w:rsidRPr="00507A31" w:rsidRDefault="0084704E" w:rsidP="00507A31">
      <w:pPr>
        <w:pStyle w:val="80"/>
        <w:shd w:val="clear" w:color="auto" w:fill="auto"/>
        <w:spacing w:line="240" w:lineRule="auto"/>
        <w:jc w:val="both"/>
        <w:rPr>
          <w:rFonts w:ascii="Times New Roman" w:hAnsi="Times New Roman" w:cs="Times New Roman"/>
          <w:color w:val="000000" w:themeColor="text1"/>
        </w:rPr>
      </w:pPr>
      <w:r w:rsidRPr="00507A31">
        <w:rPr>
          <w:rStyle w:val="8"/>
          <w:rFonts w:ascii="Times New Roman" w:hAnsi="Times New Roman" w:cs="Times New Roman"/>
          <w:i w:val="0"/>
          <w:color w:val="000000" w:themeColor="text1"/>
        </w:rPr>
        <w:t>Срочность изготовления опытного ис</w:t>
      </w:r>
      <w:r w:rsidRPr="00507A31">
        <w:rPr>
          <w:rStyle w:val="8"/>
          <w:rFonts w:ascii="Times New Roman" w:hAnsi="Times New Roman" w:cs="Times New Roman"/>
          <w:i w:val="0"/>
          <w:color w:val="000000" w:themeColor="text1"/>
        </w:rPr>
        <w:softHyphen/>
        <w:t>требителя постоянно подчеркивалась руко</w:t>
      </w:r>
      <w:r w:rsidRPr="00507A31">
        <w:rPr>
          <w:rStyle w:val="8"/>
          <w:rFonts w:ascii="Times New Roman" w:hAnsi="Times New Roman" w:cs="Times New Roman"/>
          <w:i w:val="0"/>
          <w:color w:val="000000" w:themeColor="text1"/>
        </w:rPr>
        <w:softHyphen/>
        <w:t>водством ОГПУ. На его изготовление пона</w:t>
      </w:r>
      <w:r w:rsidRPr="00507A31">
        <w:rPr>
          <w:rStyle w:val="8"/>
          <w:rFonts w:ascii="Times New Roman" w:hAnsi="Times New Roman" w:cs="Times New Roman"/>
          <w:i w:val="0"/>
          <w:color w:val="000000" w:themeColor="text1"/>
        </w:rPr>
        <w:softHyphen/>
        <w:t>чалу отвели два месяца, затем этот срок сократили вдвое. В.Л. Корвин впоследствии вспоминал:</w:t>
      </w:r>
      <w:r w:rsidRPr="00507A31">
        <w:rPr>
          <w:rFonts w:ascii="Times New Roman" w:hAnsi="Times New Roman" w:cs="Times New Roman"/>
          <w:color w:val="000000" w:themeColor="text1"/>
        </w:rPr>
        <w:t xml:space="preserve"> «Однажды вечером приехало большое начальство: Горяинов и Г</w:t>
      </w:r>
      <w:r w:rsidRPr="00507A31">
        <w:rPr>
          <w:rStyle w:val="8"/>
          <w:rFonts w:ascii="Times New Roman" w:hAnsi="Times New Roman" w:cs="Times New Roman"/>
          <w:i w:val="0"/>
          <w:color w:val="000000" w:themeColor="text1"/>
        </w:rPr>
        <w:t>эй.</w:t>
      </w:r>
      <w:r w:rsidRPr="00507A31">
        <w:rPr>
          <w:rFonts w:ascii="Times New Roman" w:hAnsi="Times New Roman" w:cs="Times New Roman"/>
          <w:color w:val="000000" w:themeColor="text1"/>
        </w:rPr>
        <w:t xml:space="preserve"> За ним Змуда с одним солдатом внесли в жилое по</w:t>
      </w:r>
      <w:r w:rsidRPr="00507A31">
        <w:rPr>
          <w:rFonts w:ascii="Times New Roman" w:hAnsi="Times New Roman" w:cs="Times New Roman"/>
          <w:color w:val="000000" w:themeColor="text1"/>
        </w:rPr>
        <w:softHyphen/>
        <w:t>мещение корзины и ящики. На столе появи</w:t>
      </w:r>
      <w:r w:rsidRPr="00507A31">
        <w:rPr>
          <w:rFonts w:ascii="Times New Roman" w:hAnsi="Times New Roman" w:cs="Times New Roman"/>
          <w:color w:val="000000" w:themeColor="text1"/>
        </w:rPr>
        <w:softHyphen/>
        <w:t>лись в большом количестве закуски и вино. Был организован банкет. Всех членов ОКБ пригласили за стол. Все насторожились - никто не мог понять, какую цель преследовал такой банкет. Слово взял Гзй. Он похвалил за успешную ра боту всех присутствующих и до - бавил, что в связи с требованиями командо</w:t>
      </w:r>
      <w:r w:rsidRPr="00507A31">
        <w:rPr>
          <w:rFonts w:ascii="Times New Roman" w:hAnsi="Times New Roman" w:cs="Times New Roman"/>
          <w:color w:val="000000" w:themeColor="text1"/>
        </w:rPr>
        <w:softHyphen/>
        <w:t>вания срок окончания постройки самолета- истребителя вместо 1-го июня перенесен на 1-е мая, а 26 марта должен быть предъ</w:t>
      </w:r>
      <w:r w:rsidRPr="00507A31">
        <w:rPr>
          <w:rFonts w:ascii="Times New Roman" w:hAnsi="Times New Roman" w:cs="Times New Roman"/>
          <w:color w:val="000000" w:themeColor="text1"/>
        </w:rPr>
        <w:softHyphen/>
        <w:t>явлен макет. ОКБ ничего не осталось, как заверить начальство, что новый срок будет выдержан» (12610).</w:t>
      </w:r>
    </w:p>
    <w:p w14:paraId="3068C77C" w14:textId="77777777" w:rsidR="0084704E" w:rsidRPr="00507A31" w:rsidRDefault="0084704E" w:rsidP="00507A31">
      <w:pPr>
        <w:pStyle w:val="80"/>
        <w:shd w:val="clear" w:color="auto" w:fill="auto"/>
        <w:spacing w:line="240" w:lineRule="auto"/>
        <w:jc w:val="both"/>
        <w:rPr>
          <w:rFonts w:ascii="Times New Roman" w:hAnsi="Times New Roman" w:cs="Times New Roman"/>
          <w:color w:val="000000" w:themeColor="text1"/>
        </w:rPr>
      </w:pPr>
    </w:p>
    <w:p w14:paraId="3EB9AD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январе 1930 года ОКБ, созданное в ноябре 1929 г. в Бутырской тюрьме в Москве, перевели на авиазавод № 39, где в ту пору создавалось Центральное конструкторское бюро (ЦКБ). На территории завода имелся деревянный ангар № 7, приспособленный под жильё для арестантов. В нём под охраной жили и работали 20 заключённых. Коллектив был невелик, но отличался очень высокой квалификацией. Его костяк составили работники Отдела морского опытного самолётостроения (ОМОС, ранее им руководил Д.П. Григорович), разделившие участь своего начальника: A.H. Седельников (бывший заместитель начальника отдела), В.Л. Корвин </w:t>
      </w:r>
      <w:r w:rsidRPr="00507A31">
        <w:rPr>
          <w:color w:val="000000" w:themeColor="text1"/>
          <w:sz w:val="16"/>
          <w:szCs w:val="16"/>
        </w:rPr>
        <w:lastRenderedPageBreak/>
        <w:t>(заведующий производством) и Н.Г. Михельсон (начальник чертёжного бюро). Вместе с Поликарповым в ЦКБ попали его коллеги Е.И. Майоранов и В.А. Тисов. Кроме них, в ангаре № 7 сидели крупный специалист по вооружению А.В. Надашкевич (создатель авиационного пулемёта ПВ-1), бывший директор опытного завода № 25 Б.Ф. Гончаров, инженер по статическим испытаниям П.М. Крейсон, помощник директора завода № 1 И.М. Косткин и другие. Главным конструктором ОКБ назначили Григоровича, но фактически все основные вопросы проектирования решались коллегиально. Связь арестантов с производственными подразделениями завода обеспечивал "свободный" инженер C.M. Данскер. Перед "вредителями" поставили нелёгкую задачу - срочно спроектировать одноместный истребитель смешанной конструкции с мотором воздушного охлаждения (11997).</w:t>
      </w:r>
    </w:p>
    <w:p w14:paraId="74488037" w14:textId="77777777" w:rsidR="00537E5F" w:rsidRPr="00507A31" w:rsidRDefault="00537E5F" w:rsidP="00507A31">
      <w:pPr>
        <w:autoSpaceDE w:val="0"/>
        <w:autoSpaceDN w:val="0"/>
        <w:adjustRightInd w:val="0"/>
        <w:jc w:val="both"/>
        <w:rPr>
          <w:color w:val="000000" w:themeColor="text1"/>
          <w:sz w:val="16"/>
          <w:szCs w:val="16"/>
        </w:rPr>
      </w:pPr>
    </w:p>
    <w:p w14:paraId="1C6BAAEE" w14:textId="77777777" w:rsidR="0084704E" w:rsidRPr="00507A31" w:rsidRDefault="0084704E" w:rsidP="00507A31">
      <w:pPr>
        <w:jc w:val="both"/>
        <w:rPr>
          <w:color w:val="000000" w:themeColor="text1"/>
          <w:sz w:val="16"/>
          <w:szCs w:val="16"/>
        </w:rPr>
      </w:pPr>
      <w:r w:rsidRPr="00507A31">
        <w:rPr>
          <w:color w:val="000000" w:themeColor="text1"/>
          <w:sz w:val="16"/>
          <w:szCs w:val="16"/>
        </w:rPr>
        <w:t>В январе 1930 г. в перечне приоритет</w:t>
      </w:r>
      <w:r w:rsidRPr="00507A31">
        <w:rPr>
          <w:color w:val="000000" w:themeColor="text1"/>
          <w:sz w:val="16"/>
          <w:szCs w:val="16"/>
        </w:rPr>
        <w:softHyphen/>
        <w:t>ных заданий ОПО-4 Ришара среди прочего значил</w:t>
      </w:r>
      <w:r w:rsidRPr="00507A31">
        <w:rPr>
          <w:color w:val="000000" w:themeColor="text1"/>
          <w:sz w:val="16"/>
          <w:szCs w:val="16"/>
        </w:rPr>
        <w:softHyphen/>
        <w:t>ся двухместный истребитель. Однако разра</w:t>
      </w:r>
      <w:r w:rsidRPr="00507A31">
        <w:rPr>
          <w:color w:val="000000" w:themeColor="text1"/>
          <w:sz w:val="16"/>
          <w:szCs w:val="16"/>
        </w:rPr>
        <w:softHyphen/>
        <w:t>ботка самолета началась уже после того как Ришар все-таки покинул Советский Союз, а из приехавших специалистов остался Анри Лавиль. По свидетельству современников он являлся открытым и приветливым чело</w:t>
      </w:r>
      <w:r w:rsidRPr="00507A31">
        <w:rPr>
          <w:color w:val="000000" w:themeColor="text1"/>
          <w:sz w:val="16"/>
          <w:szCs w:val="16"/>
        </w:rPr>
        <w:softHyphen/>
        <w:t>веком, быстро освоил русский язык, что по</w:t>
      </w:r>
      <w:r w:rsidRPr="00507A31">
        <w:rPr>
          <w:color w:val="000000" w:themeColor="text1"/>
          <w:sz w:val="16"/>
          <w:szCs w:val="16"/>
        </w:rPr>
        <w:softHyphen/>
        <w:t>могло ему благополучно вписаться совсем в непростые условия работы в Москве. Груп</w:t>
      </w:r>
      <w:r w:rsidRPr="00507A31">
        <w:rPr>
          <w:color w:val="000000" w:themeColor="text1"/>
          <w:sz w:val="16"/>
          <w:szCs w:val="16"/>
        </w:rPr>
        <w:softHyphen/>
        <w:t>па Лавиля, в которую вошли бывшие сотруд</w:t>
      </w:r>
      <w:r w:rsidRPr="00507A31">
        <w:rPr>
          <w:color w:val="000000" w:themeColor="text1"/>
          <w:sz w:val="16"/>
          <w:szCs w:val="16"/>
        </w:rPr>
        <w:softHyphen/>
        <w:t>ники ОПО-4 С.А. Лавочкин, С.Н. Люшин, Л.С. Каменномостский, Фельснер, начала работать в бюро новых конструкций (БНК) на территории завода №39.</w:t>
      </w:r>
    </w:p>
    <w:p w14:paraId="69892421" w14:textId="77777777" w:rsidR="0084704E" w:rsidRPr="00507A31" w:rsidRDefault="0084704E" w:rsidP="00507A31">
      <w:pPr>
        <w:jc w:val="both"/>
        <w:rPr>
          <w:color w:val="000000" w:themeColor="text1"/>
          <w:sz w:val="16"/>
          <w:szCs w:val="16"/>
        </w:rPr>
      </w:pPr>
      <w:r w:rsidRPr="00507A31">
        <w:rPr>
          <w:color w:val="000000" w:themeColor="text1"/>
          <w:sz w:val="16"/>
          <w:szCs w:val="16"/>
        </w:rPr>
        <w:t>Тактико-технические требования на двух</w:t>
      </w:r>
      <w:r w:rsidRPr="00507A31">
        <w:rPr>
          <w:color w:val="000000" w:themeColor="text1"/>
          <w:sz w:val="16"/>
          <w:szCs w:val="16"/>
        </w:rPr>
        <w:softHyphen/>
        <w:t>местный истребитель, обозначенный как ДИ-4, подготовили в мае 1930 г. Первона</w:t>
      </w:r>
      <w:r w:rsidRPr="00507A31">
        <w:rPr>
          <w:color w:val="000000" w:themeColor="text1"/>
          <w:sz w:val="16"/>
          <w:szCs w:val="16"/>
        </w:rPr>
        <w:softHyphen/>
        <w:t>чально он планировался под новый двига</w:t>
      </w:r>
      <w:r w:rsidRPr="00507A31">
        <w:rPr>
          <w:color w:val="000000" w:themeColor="text1"/>
          <w:sz w:val="16"/>
          <w:szCs w:val="16"/>
        </w:rPr>
        <w:softHyphen/>
        <w:t>тель М-34 мощностью 760 л.с., с которым требовалось обеспечить следующие летные характеристики:</w:t>
      </w:r>
    </w:p>
    <w:tbl>
      <w:tblPr>
        <w:tblW w:w="0" w:type="auto"/>
        <w:tblLayout w:type="fixed"/>
        <w:tblCellMar>
          <w:left w:w="10" w:type="dxa"/>
          <w:right w:w="10" w:type="dxa"/>
        </w:tblCellMar>
        <w:tblLook w:val="0000" w:firstRow="0" w:lastRow="0" w:firstColumn="0" w:lastColumn="0" w:noHBand="0" w:noVBand="0"/>
      </w:tblPr>
      <w:tblGrid>
        <w:gridCol w:w="2398"/>
        <w:gridCol w:w="1242"/>
      </w:tblGrid>
      <w:tr w:rsidR="00A61694" w:rsidRPr="00507A31" w14:paraId="524FE6A4" w14:textId="77777777" w:rsidTr="00C31E35">
        <w:trPr>
          <w:trHeight w:val="270"/>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4D3C049E"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на высоте 3000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1289FA31"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300-320 км/ч</w:t>
            </w:r>
          </w:p>
        </w:tc>
      </w:tr>
      <w:tr w:rsidR="00A61694" w:rsidRPr="00507A31" w14:paraId="28642F56" w14:textId="77777777" w:rsidTr="00C31E35">
        <w:trPr>
          <w:trHeight w:val="259"/>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5E500E4C"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Практический потолок</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404168F4"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8000 м</w:t>
            </w:r>
          </w:p>
        </w:tc>
      </w:tr>
      <w:tr w:rsidR="00A61694" w:rsidRPr="00507A31" w14:paraId="3C6E277D" w14:textId="77777777" w:rsidTr="00C31E35">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2678AFCA"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5000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7EFC9F09"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10-12 мин.</w:t>
            </w:r>
          </w:p>
        </w:tc>
      </w:tr>
      <w:tr w:rsidR="00A61694" w:rsidRPr="00507A31" w14:paraId="6FAC338C" w14:textId="77777777" w:rsidTr="00C31E35">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68EDACC4"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Дальность</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0109CA8D"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900-1000 км</w:t>
            </w:r>
          </w:p>
        </w:tc>
      </w:tr>
      <w:tr w:rsidR="00A61694" w:rsidRPr="00507A31" w14:paraId="0004A8AB" w14:textId="77777777" w:rsidTr="00C31E35">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3C428822"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Полезная нагрузка</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5F6D528C"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410 кг</w:t>
            </w:r>
          </w:p>
        </w:tc>
      </w:tr>
      <w:tr w:rsidR="00A61694" w:rsidRPr="00507A31" w14:paraId="5A6EE5ED" w14:textId="77777777" w:rsidTr="00C31E35">
        <w:trPr>
          <w:trHeight w:val="454"/>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4DC75980"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Оборонительное вооружение</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73C151E0"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 пулемета ДА на ТУР-7</w:t>
            </w:r>
          </w:p>
        </w:tc>
      </w:tr>
      <w:tr w:rsidR="00A61694" w:rsidRPr="00507A31" w14:paraId="64E15CCA" w14:textId="77777777" w:rsidTr="00C31E35">
        <w:trPr>
          <w:trHeight w:val="655"/>
        </w:trPr>
        <w:tc>
          <w:tcPr>
            <w:tcW w:w="3640" w:type="dxa"/>
            <w:gridSpan w:val="2"/>
            <w:tcBorders>
              <w:top w:val="single" w:sz="6" w:space="0" w:color="auto"/>
              <w:left w:val="single" w:sz="6" w:space="0" w:color="auto"/>
              <w:bottom w:val="single" w:sz="6" w:space="0" w:color="auto"/>
              <w:right w:val="single" w:sz="6" w:space="0" w:color="auto"/>
            </w:tcBorders>
            <w:shd w:val="clear" w:color="auto" w:fill="FFFFFF"/>
          </w:tcPr>
          <w:p w14:paraId="6B779022"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 качестве наступательного вооружения предпо</w:t>
            </w:r>
            <w:r w:rsidRPr="00507A31">
              <w:rPr>
                <w:rFonts w:ascii="Times New Roman" w:hAnsi="Times New Roman" w:cs="Times New Roman"/>
                <w:b w:val="0"/>
                <w:color w:val="000000" w:themeColor="text1"/>
                <w:sz w:val="16"/>
                <w:szCs w:val="16"/>
              </w:rPr>
              <w:softHyphen/>
              <w:t>лагалась пушка 20-30 мм, но это требование ско</w:t>
            </w:r>
            <w:r w:rsidRPr="00507A31">
              <w:rPr>
                <w:rFonts w:ascii="Times New Roman" w:hAnsi="Times New Roman" w:cs="Times New Roman"/>
                <w:b w:val="0"/>
                <w:color w:val="000000" w:themeColor="text1"/>
                <w:sz w:val="16"/>
                <w:szCs w:val="16"/>
              </w:rPr>
              <w:softHyphen/>
              <w:t>ро сняли</w:t>
            </w:r>
          </w:p>
        </w:tc>
      </w:tr>
    </w:tbl>
    <w:p w14:paraId="34B195B6" w14:textId="77777777" w:rsidR="0084704E" w:rsidRPr="00507A31" w:rsidRDefault="0084704E" w:rsidP="00507A31">
      <w:pPr>
        <w:jc w:val="both"/>
        <w:rPr>
          <w:color w:val="000000" w:themeColor="text1"/>
          <w:sz w:val="16"/>
          <w:szCs w:val="16"/>
        </w:rPr>
      </w:pPr>
      <w:r w:rsidRPr="00507A31">
        <w:rPr>
          <w:color w:val="000000" w:themeColor="text1"/>
          <w:sz w:val="16"/>
          <w:szCs w:val="16"/>
        </w:rPr>
        <w:t>Спустя несколько месяцев для комплек</w:t>
      </w:r>
      <w:r w:rsidRPr="00507A31">
        <w:rPr>
          <w:color w:val="000000" w:themeColor="text1"/>
          <w:sz w:val="16"/>
          <w:szCs w:val="16"/>
        </w:rPr>
        <w:softHyphen/>
        <w:t>тации силовой установки определили но</w:t>
      </w:r>
      <w:r w:rsidRPr="00507A31">
        <w:rPr>
          <w:color w:val="000000" w:themeColor="text1"/>
          <w:sz w:val="16"/>
          <w:szCs w:val="16"/>
        </w:rPr>
        <w:softHyphen/>
        <w:t>вый двигатель — американский Кертисс «Конкверор» мощностью 625/700 л.с. Имен</w:t>
      </w:r>
      <w:r w:rsidRPr="00507A31">
        <w:rPr>
          <w:color w:val="000000" w:themeColor="text1"/>
          <w:sz w:val="16"/>
          <w:szCs w:val="16"/>
        </w:rPr>
        <w:softHyphen/>
        <w:t>но с этим двигателем изготовление ДИ-4 на</w:t>
      </w:r>
      <w:r w:rsidRPr="00507A31">
        <w:rPr>
          <w:color w:val="000000" w:themeColor="text1"/>
          <w:sz w:val="16"/>
          <w:szCs w:val="16"/>
        </w:rPr>
        <w:softHyphen/>
        <w:t>чалось во второй половине 1930 года. Полно</w:t>
      </w:r>
      <w:r w:rsidRPr="00507A31">
        <w:rPr>
          <w:color w:val="000000" w:themeColor="text1"/>
          <w:sz w:val="16"/>
          <w:szCs w:val="16"/>
        </w:rPr>
        <w:softHyphen/>
        <w:t>размерный макет самолета был рассмотрен и утвержден специальной комиссией 17 сентя</w:t>
      </w:r>
      <w:r w:rsidRPr="00507A31">
        <w:rPr>
          <w:color w:val="000000" w:themeColor="text1"/>
          <w:sz w:val="16"/>
          <w:szCs w:val="16"/>
        </w:rPr>
        <w:softHyphen/>
        <w:t>бря 1930 г.</w:t>
      </w:r>
    </w:p>
    <w:p w14:paraId="1BC94947" w14:textId="77777777" w:rsidR="0084704E" w:rsidRPr="00507A31" w:rsidRDefault="0002419A" w:rsidP="00507A31">
      <w:pPr>
        <w:pStyle w:val="aff7"/>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shd w:val="clear" w:color="auto" w:fill="FFFFFF"/>
        </w:rPr>
        <w:t>ДИ-4</w:t>
      </w:r>
      <w:r w:rsidRPr="00507A31">
        <w:rPr>
          <w:rFonts w:ascii="Times New Roman" w:hAnsi="Times New Roman" w:cs="Times New Roman"/>
          <w:b w:val="0"/>
          <w:i/>
          <w:iCs/>
          <w:color w:val="000000" w:themeColor="text1"/>
          <w:sz w:val="16"/>
          <w:szCs w:val="16"/>
        </w:rPr>
        <w:t> </w:t>
      </w:r>
      <w:r w:rsidRPr="00507A31">
        <w:rPr>
          <w:rFonts w:ascii="Times New Roman" w:hAnsi="Times New Roman" w:cs="Times New Roman"/>
          <w:b w:val="0"/>
          <w:iCs/>
          <w:color w:val="000000" w:themeColor="text1"/>
          <w:sz w:val="16"/>
          <w:szCs w:val="16"/>
        </w:rPr>
        <w:t>был</w:t>
      </w:r>
      <w:r w:rsidRPr="00507A31">
        <w:rPr>
          <w:rFonts w:ascii="Times New Roman" w:hAnsi="Times New Roman" w:cs="Times New Roman"/>
          <w:b w:val="0"/>
          <w:i/>
          <w:iCs/>
          <w:color w:val="000000" w:themeColor="text1"/>
          <w:sz w:val="16"/>
          <w:szCs w:val="16"/>
        </w:rPr>
        <w:t> </w:t>
      </w:r>
      <w:r w:rsidRPr="00507A31">
        <w:rPr>
          <w:rFonts w:ascii="Times New Roman" w:hAnsi="Times New Roman" w:cs="Times New Roman"/>
          <w:b w:val="0"/>
          <w:color w:val="000000" w:themeColor="text1"/>
          <w:sz w:val="16"/>
          <w:szCs w:val="16"/>
          <w:shd w:val="clear" w:color="auto" w:fill="FFFFFF"/>
        </w:rPr>
        <w:t>выполнен по схеме иодкосно-го высокоплана, в котором подкосы опира</w:t>
      </w:r>
      <w:r w:rsidRPr="00507A31">
        <w:rPr>
          <w:rFonts w:ascii="Times New Roman" w:hAnsi="Times New Roman" w:cs="Times New Roman"/>
          <w:b w:val="0"/>
          <w:color w:val="000000" w:themeColor="text1"/>
          <w:sz w:val="16"/>
          <w:szCs w:val="16"/>
          <w:shd w:val="clear" w:color="auto" w:fill="FFFFFF"/>
        </w:rPr>
        <w:softHyphen/>
        <w:t>лись на элементы шасси. Такая схема полу</w:t>
      </w:r>
      <w:r w:rsidRPr="00507A31">
        <w:rPr>
          <w:rFonts w:ascii="Times New Roman" w:hAnsi="Times New Roman" w:cs="Times New Roman"/>
          <w:b w:val="0"/>
          <w:color w:val="000000" w:themeColor="text1"/>
          <w:sz w:val="16"/>
          <w:szCs w:val="16"/>
          <w:shd w:val="clear" w:color="auto" w:fill="FFFFFF"/>
        </w:rPr>
        <w:softHyphen/>
        <w:t>чила распространение именно во Франции во 2-й половине 1920-х годов. Конструкция - цельнометаллическая, в основном дюра</w:t>
      </w:r>
      <w:r w:rsidRPr="00507A31">
        <w:rPr>
          <w:rFonts w:ascii="Times New Roman" w:hAnsi="Times New Roman" w:cs="Times New Roman"/>
          <w:b w:val="0"/>
          <w:color w:val="000000" w:themeColor="text1"/>
          <w:sz w:val="16"/>
          <w:szCs w:val="16"/>
          <w:shd w:val="clear" w:color="auto" w:fill="FFFFFF"/>
        </w:rPr>
        <w:softHyphen/>
        <w:t>левая</w:t>
      </w:r>
      <w:r w:rsidR="0084704E" w:rsidRPr="00507A31">
        <w:rPr>
          <w:rFonts w:ascii="Times New Roman" w:hAnsi="Times New Roman" w:cs="Times New Roman"/>
          <w:b w:val="0"/>
          <w:color w:val="000000" w:themeColor="text1"/>
          <w:sz w:val="16"/>
          <w:szCs w:val="16"/>
        </w:rPr>
        <w:t>. Обшивка гладкая, тонкая, с редкими подкреплениями, что при недостатке опыта изготовления приводило к появлению хло- пунов и неровностей. Крыло в виде «чайки» для улучшения обзора из кабины пилота, ре</w:t>
      </w:r>
      <w:r w:rsidR="0084704E" w:rsidRPr="00507A31">
        <w:rPr>
          <w:rFonts w:ascii="Times New Roman" w:hAnsi="Times New Roman" w:cs="Times New Roman"/>
          <w:b w:val="0"/>
          <w:color w:val="000000" w:themeColor="text1"/>
          <w:sz w:val="16"/>
          <w:szCs w:val="16"/>
        </w:rPr>
        <w:softHyphen/>
        <w:t>бра нервюр снаружи. Топливо размешалось в двух фюзеляжных баках обшей емкостью 230 кг. Вооружение состояло из 4-х синхронных пулеметов П В-1 и одного кормового пулеме</w:t>
      </w:r>
      <w:r w:rsidR="0084704E" w:rsidRPr="00507A31">
        <w:rPr>
          <w:rFonts w:ascii="Times New Roman" w:hAnsi="Times New Roman" w:cs="Times New Roman"/>
          <w:b w:val="0"/>
          <w:color w:val="000000" w:themeColor="text1"/>
          <w:sz w:val="16"/>
          <w:szCs w:val="16"/>
        </w:rPr>
        <w:softHyphen/>
        <w:t>та ДА на шкворневой установке.</w:t>
      </w:r>
    </w:p>
    <w:p w14:paraId="140CDA53" w14:textId="77777777" w:rsidR="0084704E" w:rsidRPr="00507A31" w:rsidRDefault="0084704E" w:rsidP="00507A31">
      <w:pPr>
        <w:jc w:val="both"/>
        <w:rPr>
          <w:color w:val="000000" w:themeColor="text1"/>
          <w:sz w:val="16"/>
          <w:szCs w:val="16"/>
        </w:rPr>
      </w:pPr>
      <w:r w:rsidRPr="00507A31">
        <w:rPr>
          <w:color w:val="000000" w:themeColor="text1"/>
          <w:sz w:val="16"/>
          <w:szCs w:val="16"/>
        </w:rPr>
        <w:t>И з гото вл е н и е Д И -4 п о с ра вн е н и ю с д ру г ими опытными самолетами продолжалось до</w:t>
      </w:r>
      <w:r w:rsidRPr="00507A31">
        <w:rPr>
          <w:color w:val="000000" w:themeColor="text1"/>
          <w:sz w:val="16"/>
          <w:szCs w:val="16"/>
        </w:rPr>
        <w:softHyphen/>
        <w:t>статочно долго. Сказывалась новизна кон</w:t>
      </w:r>
      <w:r w:rsidRPr="00507A31">
        <w:rPr>
          <w:color w:val="000000" w:themeColor="text1"/>
          <w:sz w:val="16"/>
          <w:szCs w:val="16"/>
        </w:rPr>
        <w:softHyphen/>
        <w:t>струкции и необходимость освоения тех</w:t>
      </w:r>
      <w:r w:rsidRPr="00507A31">
        <w:rPr>
          <w:color w:val="000000" w:themeColor="text1"/>
          <w:sz w:val="16"/>
          <w:szCs w:val="16"/>
        </w:rPr>
        <w:softHyphen/>
        <w:t>нологии гладких металлических обшивок. В конце 1932 г. самолет был построен и в на</w:t>
      </w:r>
      <w:r w:rsidRPr="00507A31">
        <w:rPr>
          <w:color w:val="000000" w:themeColor="text1"/>
          <w:sz w:val="16"/>
          <w:szCs w:val="16"/>
        </w:rPr>
        <w:softHyphen/>
        <w:t>чале 1933 г. начались его полеты. После про</w:t>
      </w:r>
      <w:r w:rsidRPr="00507A31">
        <w:rPr>
          <w:color w:val="000000" w:themeColor="text1"/>
          <w:sz w:val="16"/>
          <w:szCs w:val="16"/>
        </w:rPr>
        <w:softHyphen/>
        <w:t>ведения заводских испытаний и ряда усовер</w:t>
      </w:r>
      <w:r w:rsidRPr="00507A31">
        <w:rPr>
          <w:color w:val="000000" w:themeColor="text1"/>
          <w:sz w:val="16"/>
          <w:szCs w:val="16"/>
        </w:rPr>
        <w:softHyphen/>
        <w:t>шенствований 5 мая машину доставили с за</w:t>
      </w:r>
      <w:r w:rsidRPr="00507A31">
        <w:rPr>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4C20581A" w14:textId="77777777" w:rsidR="0084704E" w:rsidRPr="00507A31" w:rsidRDefault="0084704E" w:rsidP="00507A31">
      <w:pPr>
        <w:jc w:val="both"/>
        <w:rPr>
          <w:color w:val="000000" w:themeColor="text1"/>
          <w:sz w:val="16"/>
          <w:szCs w:val="16"/>
        </w:rPr>
      </w:pPr>
      <w:r w:rsidRPr="00507A31">
        <w:rPr>
          <w:color w:val="000000" w:themeColor="text1"/>
          <w:sz w:val="16"/>
          <w:szCs w:val="16"/>
        </w:rPr>
        <w:t>Признавалось, что ДИ-4 выполнен по не</w:t>
      </w:r>
      <w:r w:rsidRPr="00507A31">
        <w:rPr>
          <w:color w:val="000000" w:themeColor="text1"/>
          <w:sz w:val="16"/>
          <w:szCs w:val="16"/>
        </w:rPr>
        <w:softHyphen/>
        <w:t>современной схеме, с подкосами, крепящи</w:t>
      </w:r>
      <w:r w:rsidRPr="00507A31">
        <w:rPr>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507A31">
        <w:rPr>
          <w:color w:val="000000" w:themeColor="text1"/>
          <w:sz w:val="16"/>
          <w:szCs w:val="16"/>
        </w:rPr>
        <w:softHyphen/>
        <w:t>не использованного толстого профиля. Лет</w:t>
      </w:r>
      <w:r w:rsidRPr="00507A31">
        <w:rPr>
          <w:color w:val="000000" w:themeColor="text1"/>
          <w:sz w:val="16"/>
          <w:szCs w:val="16"/>
        </w:rPr>
        <w:softHyphen/>
        <w:t>ные характеристики оценивались как невы</w:t>
      </w:r>
      <w:r w:rsidRPr="00507A31">
        <w:rPr>
          <w:color w:val="000000" w:themeColor="text1"/>
          <w:sz w:val="16"/>
          <w:szCs w:val="16"/>
        </w:rPr>
        <w:softHyphen/>
        <w:t>сокие. Впрочем, самолет с трудом входил в штопор, однако прекрасно из него выходил.</w:t>
      </w:r>
    </w:p>
    <w:p w14:paraId="0FE0AEE5" w14:textId="77777777" w:rsidR="0084704E" w:rsidRPr="00507A31" w:rsidRDefault="0084704E" w:rsidP="00507A31">
      <w:pPr>
        <w:jc w:val="both"/>
        <w:rPr>
          <w:color w:val="000000" w:themeColor="text1"/>
          <w:sz w:val="16"/>
          <w:szCs w:val="16"/>
        </w:rPr>
      </w:pPr>
      <w:r w:rsidRPr="00507A31">
        <w:rPr>
          <w:color w:val="000000" w:themeColor="text1"/>
          <w:sz w:val="16"/>
          <w:szCs w:val="16"/>
        </w:rPr>
        <w:t>В дальнейшем предлагалось вместо двига</w:t>
      </w:r>
      <w:r w:rsidRPr="00507A31">
        <w:rPr>
          <w:color w:val="000000" w:themeColor="text1"/>
          <w:sz w:val="16"/>
          <w:szCs w:val="16"/>
        </w:rPr>
        <w:softHyphen/>
        <w:t>теля Кертисс «Конкверор» использовать оте</w:t>
      </w:r>
      <w:r w:rsidRPr="00507A31">
        <w:rPr>
          <w:color w:val="000000" w:themeColor="text1"/>
          <w:sz w:val="16"/>
          <w:szCs w:val="16"/>
        </w:rPr>
        <w:softHyphen/>
        <w:t>чественный двигатель М-32. Однако пере</w:t>
      </w:r>
      <w:r w:rsidRPr="00507A31">
        <w:rPr>
          <w:color w:val="000000" w:themeColor="text1"/>
          <w:sz w:val="16"/>
          <w:szCs w:val="16"/>
        </w:rPr>
        <w:softHyphen/>
        <w:t>делки при этом могли оказаться столь суще</w:t>
      </w:r>
      <w:r w:rsidRPr="00507A31">
        <w:rPr>
          <w:color w:val="000000" w:themeColor="text1"/>
          <w:sz w:val="16"/>
          <w:szCs w:val="16"/>
        </w:rPr>
        <w:softHyphen/>
        <w:t>ственными, что от совершенствования ма</w:t>
      </w:r>
      <w:r w:rsidRPr="00507A31">
        <w:rPr>
          <w:color w:val="000000" w:themeColor="text1"/>
          <w:sz w:val="16"/>
          <w:szCs w:val="16"/>
        </w:rPr>
        <w:softHyphen/>
        <w:t>шины отказались. В результате было решено, что самолет не может быть допущен к серий</w:t>
      </w:r>
      <w:r w:rsidRPr="00507A31">
        <w:rPr>
          <w:color w:val="000000" w:themeColor="text1"/>
          <w:sz w:val="16"/>
          <w:szCs w:val="16"/>
        </w:rPr>
        <w:softHyphen/>
        <w:t>ной постройке. Опытный экземпляр остави</w:t>
      </w:r>
      <w:r w:rsidRPr="00507A31">
        <w:rPr>
          <w:color w:val="000000" w:themeColor="text1"/>
          <w:sz w:val="16"/>
          <w:szCs w:val="16"/>
        </w:rPr>
        <w:softHyphen/>
        <w:t>ли в НИИ ВВС, где с июля 1934 г. ДИ-4 ис</w:t>
      </w:r>
      <w:r w:rsidRPr="00507A31">
        <w:rPr>
          <w:color w:val="000000" w:themeColor="text1"/>
          <w:sz w:val="16"/>
          <w:szCs w:val="16"/>
        </w:rPr>
        <w:softHyphen/>
        <w:t>пользовался в испытательных полетах для сравнения с другими истребителями.</w:t>
      </w:r>
    </w:p>
    <w:p w14:paraId="39A24BAD" w14:textId="77777777" w:rsidR="0084704E" w:rsidRPr="00507A31" w:rsidRDefault="0084704E" w:rsidP="00507A31">
      <w:pPr>
        <w:pStyle w:val="59"/>
        <w:shd w:val="clear" w:color="auto" w:fill="auto"/>
        <w:spacing w:line="240" w:lineRule="auto"/>
        <w:jc w:val="both"/>
        <w:rPr>
          <w:color w:val="000000" w:themeColor="text1"/>
          <w:szCs w:val="16"/>
        </w:rPr>
      </w:pPr>
      <w:r w:rsidRPr="00507A31">
        <w:rPr>
          <w:rStyle w:val="50pt"/>
          <w:rFonts w:eastAsia="Arial Unicode MS"/>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A61694" w:rsidRPr="00507A31" w14:paraId="7FCA16F7" w14:textId="77777777" w:rsidTr="00C31E35">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23E0670"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089C151"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13,36</w:t>
            </w:r>
          </w:p>
        </w:tc>
      </w:tr>
      <w:tr w:rsidR="00A61694" w:rsidRPr="00507A31" w14:paraId="7E98D5BF"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6DFFA12"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9892D39"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8,50</w:t>
            </w:r>
          </w:p>
        </w:tc>
      </w:tr>
      <w:tr w:rsidR="00A61694" w:rsidRPr="00507A31" w14:paraId="16EE60B4" w14:textId="77777777" w:rsidTr="00C31E35">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84CEBC2"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Площадь крыла (м</w:t>
            </w:r>
            <w:r w:rsidRPr="00507A31">
              <w:rPr>
                <w:rFonts w:ascii="Times New Roman" w:hAnsi="Times New Roman" w:cs="Times New Roman"/>
                <w:b w:val="0"/>
                <w:color w:val="000000" w:themeColor="text1"/>
                <w:sz w:val="16"/>
                <w:szCs w:val="16"/>
                <w:vertAlign w:val="superscript"/>
              </w:rPr>
              <w:t>2</w:t>
            </w:r>
            <w:r w:rsidRPr="00507A31">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9FD568E"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23,90</w:t>
            </w:r>
          </w:p>
        </w:tc>
      </w:tr>
      <w:tr w:rsidR="00A61694" w:rsidRPr="00507A31" w14:paraId="7E4A942C"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2008812"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970FA98"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2,0</w:t>
            </w:r>
          </w:p>
        </w:tc>
      </w:tr>
      <w:tr w:rsidR="00A61694" w:rsidRPr="00507A31" w14:paraId="20EDF648" w14:textId="77777777" w:rsidTr="00C31E35">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E235F0A"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E01AA44"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1441,0</w:t>
            </w:r>
          </w:p>
        </w:tc>
      </w:tr>
      <w:tr w:rsidR="00A61694" w:rsidRPr="00507A31" w14:paraId="0A3A5342"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40DDA22"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2762A1D"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1949</w:t>
            </w:r>
          </w:p>
        </w:tc>
      </w:tr>
      <w:tr w:rsidR="00A61694" w:rsidRPr="00507A31" w14:paraId="710C2449"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A98D1B5"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3B20F92"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266</w:t>
            </w:r>
          </w:p>
        </w:tc>
      </w:tr>
      <w:tr w:rsidR="00A61694" w:rsidRPr="00507A31" w14:paraId="45928EDB"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9D8F2F6"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2EDBDAF"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248,7</w:t>
            </w:r>
          </w:p>
        </w:tc>
      </w:tr>
      <w:tr w:rsidR="00A61694" w:rsidRPr="00507A31" w14:paraId="435D3E63"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27F4ED0"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8FF4095"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237,0</w:t>
            </w:r>
          </w:p>
        </w:tc>
      </w:tr>
      <w:tr w:rsidR="00A61694" w:rsidRPr="00507A31" w14:paraId="3A0730D6"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B2F46E3"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FBF5406"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7,4</w:t>
            </w:r>
          </w:p>
        </w:tc>
      </w:tr>
      <w:tr w:rsidR="00A61694" w:rsidRPr="00507A31" w14:paraId="254443CB" w14:textId="77777777" w:rsidTr="00C31E35">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0E96699"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511C1CA"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17,0</w:t>
            </w:r>
          </w:p>
        </w:tc>
      </w:tr>
      <w:tr w:rsidR="00A61694" w:rsidRPr="00507A31" w14:paraId="7BA59531"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6E97B51"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62CB197"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6440</w:t>
            </w:r>
          </w:p>
        </w:tc>
      </w:tr>
      <w:tr w:rsidR="00A61694" w:rsidRPr="00507A31" w14:paraId="0538096B" w14:textId="77777777" w:rsidTr="00C31E35">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A596081"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1D7F752" w14:textId="77777777" w:rsidR="0084704E" w:rsidRPr="00507A31" w:rsidRDefault="0084704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15,0</w:t>
            </w:r>
          </w:p>
        </w:tc>
      </w:tr>
    </w:tbl>
    <w:p w14:paraId="51CDEE77" w14:textId="77777777" w:rsidR="0084704E" w:rsidRPr="00507A31" w:rsidRDefault="0084704E" w:rsidP="00507A31">
      <w:pPr>
        <w:jc w:val="both"/>
        <w:rPr>
          <w:color w:val="000000" w:themeColor="text1"/>
          <w:sz w:val="16"/>
          <w:szCs w:val="16"/>
        </w:rPr>
      </w:pPr>
      <w:r w:rsidRPr="00507A31">
        <w:rPr>
          <w:color w:val="000000" w:themeColor="text1"/>
          <w:sz w:val="16"/>
          <w:szCs w:val="16"/>
        </w:rPr>
        <w:t>(12295)</w:t>
      </w:r>
    </w:p>
    <w:p w14:paraId="64422598" w14:textId="77777777" w:rsidR="0084704E" w:rsidRPr="00507A31" w:rsidRDefault="0084704E" w:rsidP="00507A31">
      <w:pPr>
        <w:jc w:val="both"/>
        <w:rPr>
          <w:color w:val="000000" w:themeColor="text1"/>
          <w:sz w:val="16"/>
          <w:szCs w:val="16"/>
        </w:rPr>
      </w:pPr>
    </w:p>
    <w:p w14:paraId="58A914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январе 1930 г. Первая летающая лодка НD.55 для Советского Союза была готова, последняя, двадцатая - в ав</w:t>
      </w:r>
      <w:r w:rsidRPr="00507A31">
        <w:rPr>
          <w:color w:val="000000" w:themeColor="text1"/>
          <w:sz w:val="16"/>
          <w:szCs w:val="16"/>
        </w:rPr>
        <w:softHyphen/>
        <w:t>густе 1930 г. Поставки в Советский Союз начались в ию</w:t>
      </w:r>
      <w:r w:rsidRPr="00507A31">
        <w:rPr>
          <w:color w:val="000000" w:themeColor="text1"/>
          <w:sz w:val="16"/>
          <w:szCs w:val="16"/>
        </w:rPr>
        <w:softHyphen/>
        <w:t>ле, первые пять самолетов прибыли в Ленинград до осе</w:t>
      </w:r>
      <w:r w:rsidRPr="00507A31">
        <w:rPr>
          <w:color w:val="000000" w:themeColor="text1"/>
          <w:sz w:val="16"/>
          <w:szCs w:val="16"/>
        </w:rPr>
        <w:softHyphen/>
        <w:t>ни 1930 г. (11107).</w:t>
      </w:r>
    </w:p>
    <w:p w14:paraId="697CD7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55A365E" w14:textId="77777777" w:rsidR="0084704E" w:rsidRPr="00507A31" w:rsidRDefault="0084704E" w:rsidP="00507A31">
      <w:pPr>
        <w:jc w:val="both"/>
        <w:rPr>
          <w:color w:val="000000" w:themeColor="text1"/>
          <w:sz w:val="16"/>
          <w:szCs w:val="16"/>
        </w:rPr>
      </w:pPr>
      <w:r w:rsidRPr="00507A31">
        <w:rPr>
          <w:color w:val="000000" w:themeColor="text1"/>
          <w:sz w:val="16"/>
          <w:szCs w:val="16"/>
        </w:rPr>
        <w:t>В январе 1930 г. Первая летающая лодка НЭ.55 для Совет</w:t>
      </w:r>
      <w:r w:rsidRPr="00507A31">
        <w:rPr>
          <w:color w:val="000000" w:themeColor="text1"/>
          <w:sz w:val="16"/>
          <w:szCs w:val="16"/>
        </w:rPr>
        <w:softHyphen/>
        <w:t>ского Союза была готова, по</w:t>
      </w:r>
      <w:r w:rsidRPr="00507A31">
        <w:rPr>
          <w:color w:val="000000" w:themeColor="text1"/>
          <w:sz w:val="16"/>
          <w:szCs w:val="16"/>
        </w:rPr>
        <w:softHyphen/>
        <w:t>следняя, двадцатая, — в августе 1930 г. По</w:t>
      </w:r>
      <w:r w:rsidRPr="00507A31">
        <w:rPr>
          <w:color w:val="000000" w:themeColor="text1"/>
          <w:sz w:val="16"/>
          <w:szCs w:val="16"/>
        </w:rPr>
        <w:softHyphen/>
        <w:t>ставки в Советский Союз начались в июле, первые пять самолетов прибыли в Ленинград до наступления осени 1930 г. (12301).</w:t>
      </w:r>
    </w:p>
    <w:p w14:paraId="20E4B3FA" w14:textId="77777777" w:rsidR="0084704E" w:rsidRPr="00507A31" w:rsidRDefault="0084704E" w:rsidP="00507A31">
      <w:pPr>
        <w:jc w:val="both"/>
        <w:rPr>
          <w:color w:val="000000" w:themeColor="text1"/>
          <w:sz w:val="16"/>
          <w:szCs w:val="16"/>
        </w:rPr>
      </w:pPr>
    </w:p>
    <w:p w14:paraId="00D9532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январе 1930 был подготовлен Отчет о выполнении работы Отдела применения НИИ ВВС за 1928/1929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A61694" w:rsidRPr="00507A31" w14:paraId="59B0A0A4" w14:textId="77777777">
        <w:tc>
          <w:tcPr>
            <w:tcW w:w="4361" w:type="dxa"/>
          </w:tcPr>
          <w:p w14:paraId="2C5847D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выполненных работ</w:t>
            </w:r>
          </w:p>
        </w:tc>
        <w:tc>
          <w:tcPr>
            <w:tcW w:w="1843" w:type="dxa"/>
          </w:tcPr>
          <w:p w14:paraId="51C8542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выполнения</w:t>
            </w:r>
          </w:p>
        </w:tc>
        <w:tc>
          <w:tcPr>
            <w:tcW w:w="4394" w:type="dxa"/>
          </w:tcPr>
          <w:p w14:paraId="0D50393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Примечание</w:t>
            </w:r>
          </w:p>
        </w:tc>
      </w:tr>
    </w:tbl>
    <w:p w14:paraId="680F985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новых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A61694" w:rsidRPr="00507A31" w14:paraId="0987A3EE" w14:textId="77777777">
        <w:tc>
          <w:tcPr>
            <w:tcW w:w="4361" w:type="dxa"/>
          </w:tcPr>
          <w:p w14:paraId="3954C0A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И-3 БМВ VI</w:t>
            </w:r>
          </w:p>
        </w:tc>
        <w:tc>
          <w:tcPr>
            <w:tcW w:w="1843" w:type="dxa"/>
          </w:tcPr>
          <w:p w14:paraId="036FF8E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79AD544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069F5B68" w14:textId="77777777">
        <w:tc>
          <w:tcPr>
            <w:tcW w:w="4361" w:type="dxa"/>
          </w:tcPr>
          <w:p w14:paraId="33A89D7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НД-37 № 292</w:t>
            </w:r>
          </w:p>
        </w:tc>
        <w:tc>
          <w:tcPr>
            <w:tcW w:w="1843" w:type="dxa"/>
          </w:tcPr>
          <w:p w14:paraId="66AE3E1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4591D4D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71B57653" w14:textId="77777777">
        <w:tc>
          <w:tcPr>
            <w:tcW w:w="4361" w:type="dxa"/>
          </w:tcPr>
          <w:p w14:paraId="2A825EB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Мартинсайд</w:t>
            </w:r>
          </w:p>
        </w:tc>
        <w:tc>
          <w:tcPr>
            <w:tcW w:w="1843" w:type="dxa"/>
          </w:tcPr>
          <w:p w14:paraId="6677E28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203A254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68684A19" w14:textId="77777777">
        <w:tc>
          <w:tcPr>
            <w:tcW w:w="4361" w:type="dxa"/>
          </w:tcPr>
          <w:p w14:paraId="5989445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И-2 бис № 3560</w:t>
            </w:r>
          </w:p>
        </w:tc>
        <w:tc>
          <w:tcPr>
            <w:tcW w:w="1843" w:type="dxa"/>
          </w:tcPr>
          <w:p w14:paraId="020E9C2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0588B3D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7D8228D7" w14:textId="77777777">
        <w:tc>
          <w:tcPr>
            <w:tcW w:w="4361" w:type="dxa"/>
          </w:tcPr>
          <w:p w14:paraId="03EF8FB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И IV Ю-VI</w:t>
            </w:r>
          </w:p>
        </w:tc>
        <w:tc>
          <w:tcPr>
            <w:tcW w:w="1843" w:type="dxa"/>
          </w:tcPr>
          <w:p w14:paraId="186A417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3F5D689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5F468B9B" w14:textId="77777777">
        <w:tc>
          <w:tcPr>
            <w:tcW w:w="4361" w:type="dxa"/>
          </w:tcPr>
          <w:p w14:paraId="0565C4F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Р-V БМВ VI 1-й экземпляр</w:t>
            </w:r>
          </w:p>
        </w:tc>
        <w:tc>
          <w:tcPr>
            <w:tcW w:w="1843" w:type="dxa"/>
          </w:tcPr>
          <w:p w14:paraId="2C41A06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6CB462F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2C4E467A" w14:textId="77777777">
        <w:tc>
          <w:tcPr>
            <w:tcW w:w="4361" w:type="dxa"/>
          </w:tcPr>
          <w:p w14:paraId="3066915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Р-3 БМВ VI</w:t>
            </w:r>
          </w:p>
        </w:tc>
        <w:tc>
          <w:tcPr>
            <w:tcW w:w="1843" w:type="dxa"/>
          </w:tcPr>
          <w:p w14:paraId="69E2ED9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41C1365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194AC35F" w14:textId="77777777">
        <w:tc>
          <w:tcPr>
            <w:tcW w:w="4361" w:type="dxa"/>
          </w:tcPr>
          <w:p w14:paraId="51F289D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БРЕГЕ 19 В-2 № 1</w:t>
            </w:r>
          </w:p>
        </w:tc>
        <w:tc>
          <w:tcPr>
            <w:tcW w:w="1843" w:type="dxa"/>
          </w:tcPr>
          <w:p w14:paraId="609FD16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6E32433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71ADEA3A" w14:textId="77777777">
        <w:tc>
          <w:tcPr>
            <w:tcW w:w="4361" w:type="dxa"/>
          </w:tcPr>
          <w:p w14:paraId="6435D42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Испытание самолет Спад 51</w:t>
            </w:r>
          </w:p>
        </w:tc>
        <w:tc>
          <w:tcPr>
            <w:tcW w:w="1843" w:type="dxa"/>
          </w:tcPr>
          <w:p w14:paraId="001992D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70225F4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162884D4" w14:textId="77777777">
        <w:tc>
          <w:tcPr>
            <w:tcW w:w="4361" w:type="dxa"/>
          </w:tcPr>
          <w:p w14:paraId="37FFACF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 Спад 61</w:t>
            </w:r>
          </w:p>
        </w:tc>
        <w:tc>
          <w:tcPr>
            <w:tcW w:w="1843" w:type="dxa"/>
          </w:tcPr>
          <w:p w14:paraId="669BE10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05151DE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0D2C7EC4" w14:textId="77777777">
        <w:tc>
          <w:tcPr>
            <w:tcW w:w="4361" w:type="dxa"/>
          </w:tcPr>
          <w:p w14:paraId="2B7C7A0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ПОТЕЗ</w:t>
            </w:r>
          </w:p>
        </w:tc>
        <w:tc>
          <w:tcPr>
            <w:tcW w:w="1843" w:type="dxa"/>
          </w:tcPr>
          <w:p w14:paraId="6163380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3669A00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4FB818C5" w14:textId="77777777">
        <w:tc>
          <w:tcPr>
            <w:tcW w:w="4361" w:type="dxa"/>
          </w:tcPr>
          <w:p w14:paraId="7F07D95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П-2 М-6</w:t>
            </w:r>
          </w:p>
        </w:tc>
        <w:tc>
          <w:tcPr>
            <w:tcW w:w="1843" w:type="dxa"/>
          </w:tcPr>
          <w:p w14:paraId="6B2A3BB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4E41DC9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5906D443" w14:textId="77777777">
        <w:tc>
          <w:tcPr>
            <w:tcW w:w="4361" w:type="dxa"/>
          </w:tcPr>
          <w:p w14:paraId="649B12D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И-2 бис № 3552</w:t>
            </w:r>
          </w:p>
        </w:tc>
        <w:tc>
          <w:tcPr>
            <w:tcW w:w="1843" w:type="dxa"/>
          </w:tcPr>
          <w:p w14:paraId="2C2E6A5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w:t>
            </w:r>
          </w:p>
        </w:tc>
        <w:tc>
          <w:tcPr>
            <w:tcW w:w="4394" w:type="dxa"/>
          </w:tcPr>
          <w:p w14:paraId="0BB27A3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сдается на завод, взамен получен самолет № 3560</w:t>
            </w:r>
          </w:p>
        </w:tc>
      </w:tr>
      <w:tr w:rsidR="00A61694" w:rsidRPr="00507A31" w14:paraId="7028DC92" w14:textId="77777777">
        <w:tc>
          <w:tcPr>
            <w:tcW w:w="4361" w:type="dxa"/>
          </w:tcPr>
          <w:p w14:paraId="7609F11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ТБ1 № 1</w:t>
            </w:r>
          </w:p>
        </w:tc>
        <w:tc>
          <w:tcPr>
            <w:tcW w:w="1843" w:type="dxa"/>
          </w:tcPr>
          <w:p w14:paraId="76730EF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75</w:t>
            </w:r>
          </w:p>
        </w:tc>
        <w:tc>
          <w:tcPr>
            <w:tcW w:w="4394" w:type="dxa"/>
          </w:tcPr>
          <w:p w14:paraId="3713080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из НИИ взят для перелета</w:t>
            </w:r>
          </w:p>
        </w:tc>
      </w:tr>
      <w:tr w:rsidR="00A61694" w:rsidRPr="00507A31" w14:paraId="3FB6E74E" w14:textId="77777777">
        <w:tc>
          <w:tcPr>
            <w:tcW w:w="4361" w:type="dxa"/>
          </w:tcPr>
          <w:p w14:paraId="6AA2C4E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ТБ1 № 2</w:t>
            </w:r>
          </w:p>
        </w:tc>
        <w:tc>
          <w:tcPr>
            <w:tcW w:w="1843" w:type="dxa"/>
          </w:tcPr>
          <w:p w14:paraId="0169838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50</w:t>
            </w:r>
          </w:p>
        </w:tc>
        <w:tc>
          <w:tcPr>
            <w:tcW w:w="4394" w:type="dxa"/>
          </w:tcPr>
          <w:p w14:paraId="47E88EB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50711A0D" w14:textId="77777777">
        <w:tc>
          <w:tcPr>
            <w:tcW w:w="4361" w:type="dxa"/>
          </w:tcPr>
          <w:p w14:paraId="66D479D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Авиа ВН-33</w:t>
            </w:r>
          </w:p>
        </w:tc>
        <w:tc>
          <w:tcPr>
            <w:tcW w:w="1843" w:type="dxa"/>
          </w:tcPr>
          <w:p w14:paraId="0052490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c>
          <w:tcPr>
            <w:tcW w:w="4394" w:type="dxa"/>
          </w:tcPr>
          <w:p w14:paraId="6FC76B6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Вследствие неисправности мотора испытание прекращено</w:t>
            </w:r>
          </w:p>
        </w:tc>
      </w:tr>
      <w:tr w:rsidR="00A61694" w:rsidRPr="00507A31" w14:paraId="4C0EB543" w14:textId="77777777">
        <w:tc>
          <w:tcPr>
            <w:tcW w:w="4361" w:type="dxa"/>
          </w:tcPr>
          <w:p w14:paraId="1E014AB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Авиа ВН-33</w:t>
            </w:r>
          </w:p>
        </w:tc>
        <w:tc>
          <w:tcPr>
            <w:tcW w:w="1843" w:type="dxa"/>
          </w:tcPr>
          <w:p w14:paraId="329B970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c>
          <w:tcPr>
            <w:tcW w:w="4394" w:type="dxa"/>
          </w:tcPr>
          <w:p w14:paraId="15FDFE3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 испытанию не приступлено в виду неисправности мотора</w:t>
            </w:r>
          </w:p>
        </w:tc>
      </w:tr>
      <w:tr w:rsidR="00A61694" w:rsidRPr="00507A31" w14:paraId="0A442CD7" w14:textId="77777777">
        <w:tc>
          <w:tcPr>
            <w:tcW w:w="4361" w:type="dxa"/>
          </w:tcPr>
          <w:p w14:paraId="6B4C9C0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БРЕГЕ 19 № 1</w:t>
            </w:r>
          </w:p>
        </w:tc>
        <w:tc>
          <w:tcPr>
            <w:tcW w:w="1843" w:type="dxa"/>
          </w:tcPr>
          <w:p w14:paraId="750AF728"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c>
          <w:tcPr>
            <w:tcW w:w="4394" w:type="dxa"/>
          </w:tcPr>
          <w:p w14:paraId="40B8BD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 испытанию не приступлено в виду неисправности мотора</w:t>
            </w:r>
          </w:p>
        </w:tc>
      </w:tr>
      <w:tr w:rsidR="00A61694" w:rsidRPr="00507A31" w14:paraId="045E3ACE" w14:textId="77777777">
        <w:tc>
          <w:tcPr>
            <w:tcW w:w="4361" w:type="dxa"/>
          </w:tcPr>
          <w:p w14:paraId="7478E81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НД-43</w:t>
            </w:r>
          </w:p>
        </w:tc>
        <w:tc>
          <w:tcPr>
            <w:tcW w:w="1843" w:type="dxa"/>
          </w:tcPr>
          <w:p w14:paraId="5D6D2FE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c>
          <w:tcPr>
            <w:tcW w:w="4394" w:type="dxa"/>
          </w:tcPr>
          <w:p w14:paraId="40D3472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34A624FF" w14:textId="77777777">
        <w:tc>
          <w:tcPr>
            <w:tcW w:w="4361" w:type="dxa"/>
          </w:tcPr>
          <w:p w14:paraId="2E029FD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Амфибия</w:t>
            </w:r>
          </w:p>
        </w:tc>
        <w:tc>
          <w:tcPr>
            <w:tcW w:w="1843" w:type="dxa"/>
          </w:tcPr>
          <w:p w14:paraId="35B9EA7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3865CE3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512FD0A8" w14:textId="77777777">
        <w:tc>
          <w:tcPr>
            <w:tcW w:w="4361" w:type="dxa"/>
          </w:tcPr>
          <w:p w14:paraId="64E629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Р-V БМВ VI № 2</w:t>
            </w:r>
          </w:p>
        </w:tc>
        <w:tc>
          <w:tcPr>
            <w:tcW w:w="1843" w:type="dxa"/>
          </w:tcPr>
          <w:p w14:paraId="6CE124A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75</w:t>
            </w:r>
          </w:p>
        </w:tc>
        <w:tc>
          <w:tcPr>
            <w:tcW w:w="4394" w:type="dxa"/>
          </w:tcPr>
          <w:p w14:paraId="14490AC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bl>
    <w:p w14:paraId="32649EB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Исследование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A61694" w:rsidRPr="00507A31" w14:paraId="287F8981" w14:textId="77777777">
        <w:tc>
          <w:tcPr>
            <w:tcW w:w="4361" w:type="dxa"/>
          </w:tcPr>
          <w:p w14:paraId="592A8D1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Исследование самолета Р-3 Л.Д. совместно с 5 отделом</w:t>
            </w:r>
          </w:p>
        </w:tc>
        <w:tc>
          <w:tcPr>
            <w:tcW w:w="1843" w:type="dxa"/>
          </w:tcPr>
          <w:p w14:paraId="5074137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101C4B4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713B0F71" w14:textId="77777777">
        <w:tc>
          <w:tcPr>
            <w:tcW w:w="4361" w:type="dxa"/>
          </w:tcPr>
          <w:p w14:paraId="3FCAD6A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Исследование самолета Р-3 М-5 по программе ЦАГИ</w:t>
            </w:r>
          </w:p>
        </w:tc>
        <w:tc>
          <w:tcPr>
            <w:tcW w:w="1843" w:type="dxa"/>
          </w:tcPr>
          <w:p w14:paraId="6398C43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76AD4B9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0F4F21E8" w14:textId="77777777">
        <w:tc>
          <w:tcPr>
            <w:tcW w:w="4361" w:type="dxa"/>
          </w:tcPr>
          <w:p w14:paraId="01CC457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Исследование самолета АНТ-3 по программе ЦАГИ</w:t>
            </w:r>
          </w:p>
        </w:tc>
        <w:tc>
          <w:tcPr>
            <w:tcW w:w="1843" w:type="dxa"/>
          </w:tcPr>
          <w:p w14:paraId="14925B0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4DBAB8C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71F9EFB3" w14:textId="77777777">
        <w:tc>
          <w:tcPr>
            <w:tcW w:w="4361" w:type="dxa"/>
          </w:tcPr>
          <w:p w14:paraId="69D4679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ФД Х1 на штопор</w:t>
            </w:r>
          </w:p>
        </w:tc>
        <w:tc>
          <w:tcPr>
            <w:tcW w:w="1843" w:type="dxa"/>
          </w:tcPr>
          <w:p w14:paraId="14961EE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5E2CA67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5EE526BE" w14:textId="77777777">
        <w:tc>
          <w:tcPr>
            <w:tcW w:w="4361" w:type="dxa"/>
          </w:tcPr>
          <w:p w14:paraId="1C6D9E2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ФД Х1 на штопор с перекрещенным положением рулей</w:t>
            </w:r>
          </w:p>
        </w:tc>
        <w:tc>
          <w:tcPr>
            <w:tcW w:w="1843" w:type="dxa"/>
          </w:tcPr>
          <w:p w14:paraId="3458852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42F8D3E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6632D1B4" w14:textId="77777777">
        <w:tc>
          <w:tcPr>
            <w:tcW w:w="4361" w:type="dxa"/>
          </w:tcPr>
          <w:p w14:paraId="180C36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П-2 М-11 на штопор с перекрещенным положением рулей</w:t>
            </w:r>
          </w:p>
        </w:tc>
        <w:tc>
          <w:tcPr>
            <w:tcW w:w="1843" w:type="dxa"/>
          </w:tcPr>
          <w:p w14:paraId="2788CB1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50</w:t>
            </w:r>
          </w:p>
        </w:tc>
        <w:tc>
          <w:tcPr>
            <w:tcW w:w="4394" w:type="dxa"/>
          </w:tcPr>
          <w:p w14:paraId="45E4663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Прекращено. Самолет на сдаточном полете потерпел аварию</w:t>
            </w:r>
          </w:p>
        </w:tc>
      </w:tr>
    </w:tbl>
    <w:p w14:paraId="46A3D24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серийных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A61694" w:rsidRPr="00507A31" w14:paraId="18A6BBCC" w14:textId="77777777">
        <w:tc>
          <w:tcPr>
            <w:tcW w:w="4361" w:type="dxa"/>
          </w:tcPr>
          <w:p w14:paraId="15C729F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И-3 БМВ № 3820</w:t>
            </w:r>
          </w:p>
        </w:tc>
        <w:tc>
          <w:tcPr>
            <w:tcW w:w="1843" w:type="dxa"/>
          </w:tcPr>
          <w:p w14:paraId="14A0B9D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7506959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6E2FC6CE" w14:textId="77777777">
        <w:tc>
          <w:tcPr>
            <w:tcW w:w="4361" w:type="dxa"/>
          </w:tcPr>
          <w:p w14:paraId="4F7F3C1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Р-1 М-5 № 3454</w:t>
            </w:r>
          </w:p>
        </w:tc>
        <w:tc>
          <w:tcPr>
            <w:tcW w:w="1843" w:type="dxa"/>
          </w:tcPr>
          <w:p w14:paraId="5F30A33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67F2F1B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31FFBE10" w14:textId="77777777">
        <w:tc>
          <w:tcPr>
            <w:tcW w:w="4361" w:type="dxa"/>
          </w:tcPr>
          <w:p w14:paraId="39EAB80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самолета Р-1 М-5 № 3483</w:t>
            </w:r>
          </w:p>
        </w:tc>
        <w:tc>
          <w:tcPr>
            <w:tcW w:w="1843" w:type="dxa"/>
          </w:tcPr>
          <w:p w14:paraId="7CA3EE9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3804FA3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A61694" w:rsidRPr="00507A31" w14:paraId="1DAA61A7" w14:textId="77777777">
        <w:tc>
          <w:tcPr>
            <w:tcW w:w="4361" w:type="dxa"/>
          </w:tcPr>
          <w:p w14:paraId="3B2B3A7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Сравнительное испытание на скороподъемность самолетов Р-1 №№ 3454 и 3483</w:t>
            </w:r>
          </w:p>
        </w:tc>
        <w:tc>
          <w:tcPr>
            <w:tcW w:w="1843" w:type="dxa"/>
          </w:tcPr>
          <w:p w14:paraId="046F9C9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w:t>
            </w:r>
          </w:p>
        </w:tc>
        <w:tc>
          <w:tcPr>
            <w:tcW w:w="4394" w:type="dxa"/>
          </w:tcPr>
          <w:p w14:paraId="48D7E64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bl>
    <w:p w14:paraId="2C71030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(6953, 84-86).</w:t>
      </w:r>
    </w:p>
    <w:p w14:paraId="068F238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C53AE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 Реввоенсовет утвердил «Требования к типам самолетов ВВС РККА», а которых говорилось: «...является необходимым и возможным... для дальнего торпедоносца объединить его с тяжелым бомбардировщиком» (9807).</w:t>
      </w:r>
    </w:p>
    <w:p w14:paraId="715BC78F" w14:textId="77777777" w:rsidR="00537E5F" w:rsidRPr="00507A31" w:rsidRDefault="00537E5F" w:rsidP="00507A31">
      <w:pPr>
        <w:autoSpaceDE w:val="0"/>
        <w:autoSpaceDN w:val="0"/>
        <w:adjustRightInd w:val="0"/>
        <w:jc w:val="both"/>
        <w:rPr>
          <w:color w:val="000000" w:themeColor="text1"/>
          <w:sz w:val="16"/>
          <w:szCs w:val="16"/>
        </w:rPr>
      </w:pPr>
    </w:p>
    <w:p w14:paraId="6903BA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январе 1930 г. в "Требованиях к типам самолетов ВВС РККА", утвержденных Реввоенсоветом, говорилось: "...является необходимым и возможным... для дальнего торпедоносца объединить его с тяжелым бомбардировщиком" (12036). </w:t>
      </w:r>
    </w:p>
    <w:p w14:paraId="4F197C88" w14:textId="77777777" w:rsidR="00537E5F" w:rsidRPr="00507A31" w:rsidRDefault="00537E5F" w:rsidP="00507A31">
      <w:pPr>
        <w:autoSpaceDE w:val="0"/>
        <w:autoSpaceDN w:val="0"/>
        <w:adjustRightInd w:val="0"/>
        <w:jc w:val="both"/>
        <w:rPr>
          <w:color w:val="000000" w:themeColor="text1"/>
          <w:sz w:val="16"/>
          <w:szCs w:val="16"/>
        </w:rPr>
      </w:pPr>
    </w:p>
    <w:p w14:paraId="0E9909C9" w14:textId="77777777" w:rsidR="00E5590A" w:rsidRPr="00507A31" w:rsidRDefault="00E5590A" w:rsidP="00507A31">
      <w:pPr>
        <w:jc w:val="both"/>
        <w:rPr>
          <w:color w:val="0070C0"/>
          <w:sz w:val="16"/>
          <w:szCs w:val="16"/>
        </w:rPr>
      </w:pPr>
      <w:r w:rsidRPr="00507A31">
        <w:rPr>
          <w:color w:val="0070C0"/>
          <w:sz w:val="16"/>
          <w:szCs w:val="16"/>
        </w:rPr>
        <w:t>В январе 1930 г. РВС утвердил программу создания различных типов самолетов, аэростатов и дирижаблей. При этом основной упор был сделан на бомбардировочную и истребительную авиацию, численность которой за первую 5-летку увеличилась соответственно почти в 8 раз и более чем в 3 раза. При этом общее количество самолетов значительно выросло: если в 1928 г. в Вооруженных Силах было 1.394 самолета, то в 1932 г. – 3.285, а в 1935 г. – 6.672 (Техническая реконструкция Советских Вооруженных Сил [1973] [Электронный ресурс] historic. ru &gt; books &gt; item (Дата обращения: 27.02.2018). Это означало, что численность летного состава к середине 1930-х годов составляла десятки тысяч человек, так как экипажи бомбардировщиков в зависимости от типа самолета насчитывали от 4 до 6 человек (21402).</w:t>
      </w:r>
    </w:p>
    <w:p w14:paraId="20191506" w14:textId="77777777" w:rsidR="00E5590A" w:rsidRPr="00507A31" w:rsidRDefault="00E5590A" w:rsidP="00507A31">
      <w:pPr>
        <w:jc w:val="both"/>
        <w:rPr>
          <w:color w:val="0070C0"/>
          <w:sz w:val="16"/>
          <w:szCs w:val="16"/>
        </w:rPr>
      </w:pPr>
    </w:p>
    <w:p w14:paraId="1FCB53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года поступил на заводские испытания мотор М-15 (6998, 9-14).</w:t>
      </w:r>
    </w:p>
    <w:p w14:paraId="564218FF" w14:textId="77777777" w:rsidR="00537E5F" w:rsidRPr="00507A31" w:rsidRDefault="00537E5F" w:rsidP="00507A31">
      <w:pPr>
        <w:autoSpaceDE w:val="0"/>
        <w:autoSpaceDN w:val="0"/>
        <w:adjustRightInd w:val="0"/>
        <w:jc w:val="both"/>
        <w:rPr>
          <w:color w:val="000000" w:themeColor="text1"/>
          <w:sz w:val="16"/>
          <w:szCs w:val="16"/>
        </w:rPr>
      </w:pPr>
    </w:p>
    <w:p w14:paraId="40C5C4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года начались заводские испытания мотора М-19 (6998, 9-14).</w:t>
      </w:r>
    </w:p>
    <w:p w14:paraId="7E21A811" w14:textId="77777777" w:rsidR="00537E5F" w:rsidRPr="00507A31" w:rsidRDefault="00537E5F" w:rsidP="00507A31">
      <w:pPr>
        <w:autoSpaceDE w:val="0"/>
        <w:autoSpaceDN w:val="0"/>
        <w:adjustRightInd w:val="0"/>
        <w:jc w:val="both"/>
        <w:rPr>
          <w:color w:val="000000" w:themeColor="text1"/>
          <w:sz w:val="16"/>
          <w:szCs w:val="16"/>
        </w:rPr>
      </w:pPr>
    </w:p>
    <w:p w14:paraId="6C3995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января по декабрь 1930 г. построены три опытных образца М-19 и испытывались на стенде. Получил неудовлетворительную оценку. Выявлены трещины рубашек, за</w:t>
      </w:r>
      <w:r w:rsidRPr="00507A31">
        <w:rPr>
          <w:color w:val="000000" w:themeColor="text1"/>
          <w:sz w:val="16"/>
          <w:szCs w:val="16"/>
        </w:rPr>
        <w:softHyphen/>
        <w:t>тем поломка коленвала. Облетывался на самолете Р-5 в мае — июне 1931 г. Готовился к серийному производству на заводе № 24. С февраля 1930 г. делалась малая серия из 10 экз.</w:t>
      </w:r>
    </w:p>
    <w:p w14:paraId="7834BC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1A3445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12-цилиндровый, рядный У-образный, четырехтактный, водяного охлаждения, с односкоростным ПЦН;</w:t>
      </w:r>
    </w:p>
    <w:p w14:paraId="626591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в зависимости от модификации;</w:t>
      </w:r>
    </w:p>
    <w:p w14:paraId="6D7B5F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6,4;</w:t>
      </w:r>
    </w:p>
    <w:p w14:paraId="30FAEE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135/160 мм;</w:t>
      </w:r>
    </w:p>
    <w:p w14:paraId="25AA46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27,47 л;</w:t>
      </w:r>
    </w:p>
    <w:p w14:paraId="105098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6,4;</w:t>
      </w:r>
    </w:p>
    <w:p w14:paraId="7EF1C2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 с ПЦН;</w:t>
      </w:r>
    </w:p>
    <w:p w14:paraId="1BBB15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вес 475 кг (без втулки винта, синхронизатора и бензонасоса). Известны следующие модификации:</w:t>
      </w:r>
    </w:p>
    <w:p w14:paraId="7345D7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М-19 (М-19К), основной вариант мощностью 500/600 л.с. (фактиче</w:t>
      </w:r>
      <w:r w:rsidRPr="00507A31">
        <w:rPr>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507A31">
        <w:rPr>
          <w:color w:val="000000" w:themeColor="text1"/>
          <w:sz w:val="16"/>
          <w:szCs w:val="16"/>
        </w:rPr>
        <w:softHyphen/>
        <w:t>метра) крыльчаткой ПЦН.</w:t>
      </w:r>
    </w:p>
    <w:p w14:paraId="597998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М-19а, усовершенствованный вариант мощностью 600/650 л.с. с но</w:t>
      </w:r>
      <w:r w:rsidRPr="00507A31">
        <w:rPr>
          <w:color w:val="000000" w:themeColor="text1"/>
          <w:sz w:val="16"/>
          <w:szCs w:val="16"/>
        </w:rPr>
        <w:softHyphen/>
        <w:t>вым блоком головок и измененным механизмом привода ПЦН. Про</w:t>
      </w:r>
      <w:r w:rsidRPr="00507A31">
        <w:rPr>
          <w:color w:val="000000" w:themeColor="text1"/>
          <w:sz w:val="16"/>
          <w:szCs w:val="16"/>
        </w:rPr>
        <w:softHyphen/>
        <w:t>ектировался в ИАМ в 1931 г., опытный образец не изготавливался.</w:t>
      </w:r>
    </w:p>
    <w:p w14:paraId="28D5CA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2CD2C1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Планировались варианты с редуктором, двухскоростным и трехскорост-ным ПЦН.</w:t>
      </w:r>
    </w:p>
    <w:p w14:paraId="2C4C31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Устанавливался на одном из опытных образцов самолета Р-5. Предла</w:t>
      </w:r>
      <w:r w:rsidRPr="00507A31">
        <w:rPr>
          <w:color w:val="000000" w:themeColor="text1"/>
          <w:sz w:val="16"/>
          <w:szCs w:val="16"/>
        </w:rPr>
        <w:softHyphen/>
        <w:t>галось также использовать его на истребителе ДИ-4 (11852).</w:t>
      </w:r>
    </w:p>
    <w:p w14:paraId="0201BA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7625B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январе 1930 г. — последовала 3-я (еще 10 М-11). Серийные моторы именовались М-11а (или М-11/А). Все эти серии являлись полуэкспери</w:t>
      </w:r>
      <w:r w:rsidRPr="00507A31">
        <w:rPr>
          <w:color w:val="000000" w:themeColor="text1"/>
          <w:sz w:val="16"/>
          <w:szCs w:val="16"/>
        </w:rPr>
        <w:softHyphen/>
        <w:t>ментальными. Например, на моторах 2-й серии встречались три типа кре</w:t>
      </w:r>
      <w:r w:rsidRPr="00507A31">
        <w:rPr>
          <w:color w:val="000000" w:themeColor="text1"/>
          <w:sz w:val="16"/>
          <w:szCs w:val="16"/>
        </w:rPr>
        <w:softHyphen/>
        <w:t>пления всасывающих патрубков, два типа коренных подшипников. Бывший завод «Мотор» (к тому времени вошедший в состав завода № 24) далее никакого отношения к совершенствованию М-11 не имел. Всю работу в этом направлении вели конструкторы завода № 29. В январе 1930 г. они разработали новую головку цилиндра с ребром жесткости вни</w:t>
      </w:r>
      <w:r w:rsidRPr="00507A31">
        <w:rPr>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3365DE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60AC7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январе 1930 г. конструкторы ГАЗ-9 разработали новую головку цилиндра М-11 с ребром жесткости вни</w:t>
      </w:r>
      <w:r w:rsidRPr="00507A31">
        <w:rPr>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468842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47755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январе 1930 г. Совет труда и обороны своим постановлением поручил освоить новый мотор М-17 также заводу № 24 в Москве. Из Рыбин</w:t>
      </w:r>
      <w:r w:rsidRPr="00507A31">
        <w:rPr>
          <w:color w:val="000000" w:themeColor="text1"/>
          <w:sz w:val="16"/>
          <w:szCs w:val="16"/>
        </w:rPr>
        <w:softHyphen/>
        <w:t>ска туда передали комплект чертежей. Производство начали с апреля,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507A31">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507A31">
        <w:rPr>
          <w:color w:val="000000" w:themeColor="text1"/>
          <w:sz w:val="16"/>
          <w:szCs w:val="16"/>
        </w:rPr>
        <w:softHyphen/>
        <w:t xml:space="preserve">вода. После удачной демонстрации истребителя И-5 с двигателем М-15 наркомвоенмору К.Е. </w:t>
      </w:r>
      <w:r w:rsidRPr="00507A31">
        <w:rPr>
          <w:color w:val="000000" w:themeColor="text1"/>
          <w:sz w:val="16"/>
          <w:szCs w:val="16"/>
        </w:rPr>
        <w:lastRenderedPageBreak/>
        <w:t>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507A31">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507A31">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507A31">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07A31">
        <w:rPr>
          <w:color w:val="000000" w:themeColor="text1"/>
          <w:sz w:val="16"/>
          <w:szCs w:val="16"/>
        </w:rPr>
        <w:softHyphen/>
        <w:t>лись целые серии высотных двигателей. Например, все моторы, входив</w:t>
      </w:r>
      <w:r w:rsidRPr="00507A31">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07A31">
        <w:rPr>
          <w:color w:val="000000" w:themeColor="text1"/>
          <w:sz w:val="16"/>
          <w:szCs w:val="16"/>
        </w:rPr>
        <w:softHyphen/>
        <w:t>лись планы его последующей модернизации. При этом не только следова</w:t>
      </w:r>
      <w:r w:rsidRPr="00507A31">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07A31">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07A31">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07A31">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07A31">
        <w:rPr>
          <w:color w:val="000000" w:themeColor="text1"/>
          <w:sz w:val="16"/>
          <w:szCs w:val="16"/>
        </w:rPr>
        <w:softHyphen/>
        <w:t>ны всего производства авиадвигателей в стране. Далее же начался спад (11852).</w:t>
      </w:r>
    </w:p>
    <w:p w14:paraId="21082A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141EE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группу арестованных конструкторов, в которую входили Н.Н.П., Д.П.Г., И.М.Косткин, А.В.Надашкевич, Е.И.Майоранов и др. получивших название ОКБ перевели из Бутырской на завод 39 и организовали ВТ - ЦКБ-39 ОГПУ (2495,3). Поместили в 7-м ангаре, разделенном на жилую и проектную части - на ремонтном заводе (7383, 3).</w:t>
      </w:r>
    </w:p>
    <w:p w14:paraId="69617398" w14:textId="77777777" w:rsidR="00537E5F" w:rsidRPr="00507A31" w:rsidRDefault="00537E5F" w:rsidP="00507A31">
      <w:pPr>
        <w:autoSpaceDE w:val="0"/>
        <w:autoSpaceDN w:val="0"/>
        <w:adjustRightInd w:val="0"/>
        <w:jc w:val="both"/>
        <w:rPr>
          <w:color w:val="000000" w:themeColor="text1"/>
          <w:sz w:val="16"/>
          <w:szCs w:val="16"/>
        </w:rPr>
      </w:pPr>
    </w:p>
    <w:p w14:paraId="5A9C6E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январе 1930 г. находившихся в заключении конст</w:t>
      </w:r>
      <w:r w:rsidRPr="00507A31">
        <w:rPr>
          <w:color w:val="000000" w:themeColor="text1"/>
          <w:sz w:val="16"/>
          <w:szCs w:val="16"/>
        </w:rPr>
        <w:softHyphen/>
        <w:t>рукторов и инженеров перевезли из Бутырской тюрьмы на завод № 39 им. В.Р.Менжинского и разместили в от</w:t>
      </w:r>
      <w:r w:rsidRPr="00507A31">
        <w:rPr>
          <w:color w:val="000000" w:themeColor="text1"/>
          <w:sz w:val="16"/>
          <w:szCs w:val="16"/>
        </w:rPr>
        <w:softHyphen/>
        <w:t>дельно стоящем седьмом ангаре, превращенном во вну</w:t>
      </w:r>
      <w:r w:rsidRPr="00507A31">
        <w:rPr>
          <w:color w:val="000000" w:themeColor="text1"/>
          <w:sz w:val="16"/>
          <w:szCs w:val="16"/>
        </w:rPr>
        <w:softHyphen/>
        <w:t>треннюю тюрьму. Перегородка делила ангар на две части. В одной вдоль стен стояли кровати, а посередине - большой стол. В другой - чертежные доски и контор</w:t>
      </w:r>
      <w:r w:rsidRPr="00507A31">
        <w:rPr>
          <w:color w:val="000000" w:themeColor="text1"/>
          <w:sz w:val="16"/>
          <w:szCs w:val="16"/>
        </w:rPr>
        <w:softHyphen/>
        <w:t>ские столы. Старший сопровождающий предложил рас</w:t>
      </w:r>
      <w:r w:rsidRPr="00507A31">
        <w:rPr>
          <w:color w:val="000000" w:themeColor="text1"/>
          <w:sz w:val="16"/>
          <w:szCs w:val="16"/>
        </w:rPr>
        <w:softHyphen/>
        <w:t>полагаться по кроватям по желанию. Как вспоминал В.Л.Корвин, справа от входа разместились Б.Ф.Гонча</w:t>
      </w:r>
      <w:r w:rsidRPr="00507A31">
        <w:rPr>
          <w:color w:val="000000" w:themeColor="text1"/>
          <w:sz w:val="16"/>
          <w:szCs w:val="16"/>
        </w:rPr>
        <w:softHyphen/>
        <w:t>ров, Н.Н.Поликарпов, В.А.Тисов, И.М.Косткин, А.Н.Се</w:t>
      </w:r>
      <w:r w:rsidRPr="00507A31">
        <w:rPr>
          <w:color w:val="000000" w:themeColor="text1"/>
          <w:sz w:val="16"/>
          <w:szCs w:val="16"/>
        </w:rPr>
        <w:softHyphen/>
        <w:t>дельников, В.Л.Корвин, Е.И.Майоранов, слева -Д.П.Григорович, П.М.Крейсон, Н.Г.Михельсон, другие инженеры. Необходимость переезда была очевидна: для успеш</w:t>
      </w:r>
      <w:r w:rsidRPr="00507A31">
        <w:rPr>
          <w:color w:val="000000" w:themeColor="text1"/>
          <w:sz w:val="16"/>
          <w:szCs w:val="16"/>
        </w:rPr>
        <w:softHyphen/>
        <w:t>ной постройки опытной машины инженеры должны быть ближе к производству. Ранее завод № 39 был ремонтным и входил в систему Промвоздух. Этот трест был создан в середине 20-х годов и предназначался для проведения капитального ре</w:t>
      </w:r>
      <w:r w:rsidRPr="00507A31">
        <w:rPr>
          <w:color w:val="000000" w:themeColor="text1"/>
          <w:sz w:val="16"/>
          <w:szCs w:val="16"/>
        </w:rPr>
        <w:softHyphen/>
        <w:t>монта гражданской и военной авиационной техники. Обязанности главного инженера по совместительству исполнял Н.Н.Поликарпов. В июле 1929 г. приняли ре</w:t>
      </w:r>
      <w:r w:rsidRPr="00507A31">
        <w:rPr>
          <w:color w:val="000000" w:themeColor="text1"/>
          <w:sz w:val="16"/>
          <w:szCs w:val="16"/>
        </w:rPr>
        <w:softHyphen/>
        <w:t>шение о передаче заводов треста Промвоздух Авиатрес</w:t>
      </w:r>
      <w:r w:rsidRPr="00507A31">
        <w:rPr>
          <w:color w:val="000000" w:themeColor="text1"/>
          <w:sz w:val="16"/>
          <w:szCs w:val="16"/>
        </w:rPr>
        <w:softHyphen/>
        <w:t>ту. В начале 1930 г. завод № 39 оказался в ведении ОГПУ. Частая смена ведомственной принадлежности, происхо</w:t>
      </w:r>
      <w:r w:rsidRPr="00507A31">
        <w:rPr>
          <w:color w:val="000000" w:themeColor="text1"/>
          <w:sz w:val="16"/>
          <w:szCs w:val="16"/>
        </w:rPr>
        <w:softHyphen/>
        <w:t>дившая в течение года, задержала переоснащение завода, но с конца первого квартала 1930 г. его переоборудова</w:t>
      </w:r>
      <w:r w:rsidRPr="00507A31">
        <w:rPr>
          <w:color w:val="000000" w:themeColor="text1"/>
          <w:sz w:val="16"/>
          <w:szCs w:val="16"/>
        </w:rPr>
        <w:softHyphen/>
        <w:t>ние для нужд авиапромышленности стало происходить в ускоренном темпе (10667).</w:t>
      </w:r>
    </w:p>
    <w:p w14:paraId="3E594D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2F461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1930-го заключенных конструкторов перевели из Внутренней тюрьмы на территорию авиазавода № 39, где для них отгородили часть цеха. Организация получила новое название - ЦКБ-39 ОГПУ (6593).</w:t>
      </w:r>
    </w:p>
    <w:p w14:paraId="7450CE8B" w14:textId="77777777" w:rsidR="00537E5F" w:rsidRPr="00507A31" w:rsidRDefault="00537E5F" w:rsidP="00507A31">
      <w:pPr>
        <w:autoSpaceDE w:val="0"/>
        <w:autoSpaceDN w:val="0"/>
        <w:adjustRightInd w:val="0"/>
        <w:jc w:val="both"/>
        <w:rPr>
          <w:color w:val="000000" w:themeColor="text1"/>
          <w:sz w:val="16"/>
          <w:szCs w:val="16"/>
        </w:rPr>
      </w:pPr>
    </w:p>
    <w:p w14:paraId="5B10B1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года. По окончании ЛПИ Г.М.Бериева оставили в аспирантуре но его больше привлекала практическая работа в авиационной промышленности, чем учебно-педагогическая деятельность. Отказавшись от аспирантуры, Георгий выехал в Москву и явился в Авиатрест, с которым у него была заключена контрактация (451).</w:t>
      </w:r>
    </w:p>
    <w:p w14:paraId="2A85714A" w14:textId="77777777" w:rsidR="00537E5F" w:rsidRPr="00507A31" w:rsidRDefault="00537E5F" w:rsidP="00507A31">
      <w:pPr>
        <w:autoSpaceDE w:val="0"/>
        <w:autoSpaceDN w:val="0"/>
        <w:adjustRightInd w:val="0"/>
        <w:jc w:val="both"/>
        <w:rPr>
          <w:color w:val="000000" w:themeColor="text1"/>
          <w:sz w:val="16"/>
          <w:szCs w:val="16"/>
        </w:rPr>
      </w:pPr>
    </w:p>
    <w:p w14:paraId="5C57E8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РВС утвердил план развития авиатехники на 1-ю пятилетку (359,94).</w:t>
      </w:r>
    </w:p>
    <w:p w14:paraId="337478FF" w14:textId="77777777" w:rsidR="00537E5F" w:rsidRPr="00507A31" w:rsidRDefault="00537E5F" w:rsidP="00507A31">
      <w:pPr>
        <w:autoSpaceDE w:val="0"/>
        <w:autoSpaceDN w:val="0"/>
        <w:adjustRightInd w:val="0"/>
        <w:jc w:val="both"/>
        <w:rPr>
          <w:color w:val="000000" w:themeColor="text1"/>
          <w:sz w:val="16"/>
          <w:szCs w:val="16"/>
        </w:rPr>
      </w:pPr>
    </w:p>
    <w:p w14:paraId="1652A183" w14:textId="77777777" w:rsidR="00972622" w:rsidRPr="00507A31" w:rsidRDefault="00972622" w:rsidP="00507A31">
      <w:pPr>
        <w:jc w:val="both"/>
        <w:rPr>
          <w:color w:val="000000" w:themeColor="text1"/>
          <w:sz w:val="16"/>
          <w:szCs w:val="16"/>
        </w:rPr>
      </w:pPr>
      <w:r w:rsidRPr="00507A31">
        <w:rPr>
          <w:color w:val="000000" w:themeColor="text1"/>
          <w:sz w:val="16"/>
          <w:szCs w:val="16"/>
        </w:rPr>
        <w:t>В январе 1930 г. выяснилось, что из-за одноколесного шасси БИЧ 7 неустойчив при разбеге и пробеге. Под фюзеляжем установили два колеса, но неприятности продолжались. Реактивный момент от винта разворачивал машину во время разбега, а попытки лётчика выправить положение с помощью рулей направления не давали результата, так как рули находились вне струи от винта и поэтому почти не действовали на малой скорости. Ещё сложнее проходила посадка: из-за низкого шасси под крылом образовывалась «воздушная подушка», мешавшая приземлению и вызывавшая подскоки самолёта после касания колёсами аэродрома (такое поведение машины называется у лётчиков «козление»).</w:t>
      </w:r>
    </w:p>
    <w:p w14:paraId="7B0ACE04" w14:textId="77777777" w:rsidR="00972622" w:rsidRPr="00507A31" w:rsidRDefault="00972622" w:rsidP="00507A31">
      <w:pPr>
        <w:jc w:val="both"/>
        <w:rPr>
          <w:color w:val="000000" w:themeColor="text1"/>
          <w:sz w:val="16"/>
          <w:szCs w:val="16"/>
        </w:rPr>
      </w:pPr>
      <w:r w:rsidRPr="00507A31">
        <w:rPr>
          <w:color w:val="000000" w:themeColor="text1"/>
          <w:sz w:val="16"/>
          <w:szCs w:val="16"/>
        </w:rPr>
        <w:t>Из-за этого несколько раз ломалось шасси.</w:t>
      </w:r>
    </w:p>
    <w:p w14:paraId="688E6ED4" w14:textId="77777777" w:rsidR="00972622" w:rsidRPr="00507A31" w:rsidRDefault="00972622" w:rsidP="00507A31">
      <w:pPr>
        <w:jc w:val="both"/>
        <w:rPr>
          <w:color w:val="000000" w:themeColor="text1"/>
          <w:sz w:val="16"/>
          <w:szCs w:val="16"/>
        </w:rPr>
      </w:pPr>
      <w:r w:rsidRPr="00507A31">
        <w:rPr>
          <w:color w:val="000000" w:themeColor="text1"/>
          <w:sz w:val="16"/>
          <w:szCs w:val="16"/>
        </w:rPr>
        <w:t xml:space="preserve">В полёте БИЧ 7 вёл себя немногим лучше. Лётчики отмечали большое усилие на ручке, особенно в полёте при полной мощности. Переставной стабилизатор помогал мало, да и пользоваться им оказалось почти невозможно: пилот должен был всё время обеими руками держать ручку управления, чтобы самолёт не перешел в пике </w:t>
      </w:r>
      <w:hyperlink r:id="rId23" w:history="1">
        <w:r w:rsidRPr="00507A31">
          <w:rPr>
            <w:color w:val="000000" w:themeColor="text1"/>
            <w:sz w:val="16"/>
            <w:szCs w:val="16"/>
          </w:rPr>
          <w:t>[46]</w:t>
        </w:r>
      </w:hyperlink>
      <w:r w:rsidRPr="00507A31">
        <w:rPr>
          <w:color w:val="000000" w:themeColor="text1"/>
          <w:sz w:val="16"/>
          <w:szCs w:val="16"/>
        </w:rPr>
        <w:t xml:space="preserve"> .</w:t>
      </w:r>
    </w:p>
    <w:p w14:paraId="3B3EB320" w14:textId="77777777" w:rsidR="00972622" w:rsidRPr="00507A31" w:rsidRDefault="00972622" w:rsidP="00507A31">
      <w:pPr>
        <w:jc w:val="both"/>
        <w:rPr>
          <w:color w:val="000000" w:themeColor="text1"/>
          <w:sz w:val="16"/>
          <w:szCs w:val="16"/>
        </w:rPr>
      </w:pPr>
      <w:r w:rsidRPr="00507A31">
        <w:rPr>
          <w:color w:val="000000" w:themeColor="text1"/>
          <w:sz w:val="16"/>
          <w:szCs w:val="16"/>
        </w:rPr>
        <w:t xml:space="preserve">В таких обстоятельствах испытания закончить не удалось: было сделано всего три или четыре полета по кругу над аэродромом на высоте 80-100 м. Тем не менее начатое дело решили не бросать. «Считаю, что данная схема обещает заманчивые перспективы, что, в свою очередь, требует продолжения эксперимента с самолетом БИЧ. Центр тяжести испытаний должен быть перенесён на выяснение: а) уменьшение усилий на органы управления; б) устойчивость самолёта; в) посадочные качества», — таково было мнение одного из руководителей НИИ ВВС Кравцова </w:t>
      </w:r>
      <w:hyperlink r:id="rId24" w:history="1">
        <w:r w:rsidRPr="00507A31">
          <w:rPr>
            <w:color w:val="000000" w:themeColor="text1"/>
            <w:sz w:val="16"/>
            <w:szCs w:val="16"/>
          </w:rPr>
          <w:t>[47]</w:t>
        </w:r>
      </w:hyperlink>
      <w:r w:rsidRPr="00507A31">
        <w:rPr>
          <w:color w:val="000000" w:themeColor="text1"/>
          <w:sz w:val="16"/>
          <w:szCs w:val="16"/>
        </w:rPr>
        <w:t xml:space="preserve"> .</w:t>
      </w:r>
    </w:p>
    <w:p w14:paraId="6F6AB2FB" w14:textId="77777777" w:rsidR="00972622" w:rsidRPr="00507A31" w:rsidRDefault="00972622" w:rsidP="00507A31">
      <w:pPr>
        <w:jc w:val="both"/>
        <w:rPr>
          <w:color w:val="000000" w:themeColor="text1"/>
          <w:sz w:val="16"/>
          <w:szCs w:val="16"/>
        </w:rPr>
      </w:pPr>
      <w:r w:rsidRPr="00507A31">
        <w:rPr>
          <w:color w:val="000000" w:themeColor="text1"/>
          <w:sz w:val="16"/>
          <w:szCs w:val="16"/>
        </w:rPr>
        <w:t>В 1931 г. БИЧ-7 для доработки и дальнейших испытаний передали из Осоавиахима в недавно образованное Бюро особых конструкций (БОК), которое возглавил выпускник Военно-воздушной академии В.А. Чижевский. Туда же устроился работать и Черановский. Производственной базой БОК в то время был московский авиазавод № 39 (17489).</w:t>
      </w:r>
    </w:p>
    <w:p w14:paraId="6B6137A6" w14:textId="77777777" w:rsidR="00972622" w:rsidRPr="00507A31" w:rsidRDefault="00972622" w:rsidP="00507A31">
      <w:pPr>
        <w:jc w:val="both"/>
        <w:rPr>
          <w:color w:val="000000" w:themeColor="text1"/>
          <w:sz w:val="16"/>
          <w:szCs w:val="16"/>
        </w:rPr>
      </w:pPr>
    </w:p>
    <w:p w14:paraId="0BA0CD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 на Р-1 летного отряда НИХП испытывали выливные приборы К-3. Летал пилот М. Васильев. 7 января самолет потерпел аварию на аэродроме Ухтомская под Москвой. В том же году другой прибор, ВАП-4 емкостью 80 л, приняли на вооружение для Р-1. Это оружие предназначалось для «поражения живой силы противника и заражения местности с налаженным валовым производством». Но нет никаких сведений, что ВАП-4 поступили в строевые части. По-видимому, выливные приборы на Р-1 подвешивали только при экспериментах, в частности на полигоне в Шиханах. Там на 15 февраля 1932 г. в состав 36-го химотряда входили три Р-1 (11923).</w:t>
      </w:r>
    </w:p>
    <w:p w14:paraId="3306B383" w14:textId="77777777" w:rsidR="00537E5F" w:rsidRPr="00507A31" w:rsidRDefault="00537E5F" w:rsidP="00507A31">
      <w:pPr>
        <w:autoSpaceDE w:val="0"/>
        <w:autoSpaceDN w:val="0"/>
        <w:adjustRightInd w:val="0"/>
        <w:jc w:val="both"/>
        <w:rPr>
          <w:color w:val="000000" w:themeColor="text1"/>
          <w:sz w:val="16"/>
          <w:szCs w:val="16"/>
        </w:rPr>
      </w:pPr>
    </w:p>
    <w:p w14:paraId="232177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в США с участием П.И.Б. проходили переговоры о создании в СССР смешанного самолето-моторостроительного общества для выпуска продукции фирмы Кертисс (3457,23).</w:t>
      </w:r>
    </w:p>
    <w:p w14:paraId="55FA7A20" w14:textId="77777777" w:rsidR="00537E5F" w:rsidRPr="00507A31" w:rsidRDefault="00537E5F" w:rsidP="00507A31">
      <w:pPr>
        <w:autoSpaceDE w:val="0"/>
        <w:autoSpaceDN w:val="0"/>
        <w:adjustRightInd w:val="0"/>
        <w:jc w:val="both"/>
        <w:rPr>
          <w:color w:val="000000" w:themeColor="text1"/>
          <w:sz w:val="16"/>
          <w:szCs w:val="16"/>
        </w:rPr>
      </w:pPr>
    </w:p>
    <w:p w14:paraId="27DA511E" w14:textId="77777777" w:rsidR="00153423" w:rsidRPr="00507A31" w:rsidRDefault="00153423" w:rsidP="00507A31">
      <w:pPr>
        <w:jc w:val="both"/>
        <w:textAlignment w:val="baseline"/>
        <w:rPr>
          <w:color w:val="0070C0"/>
          <w:sz w:val="16"/>
          <w:szCs w:val="16"/>
        </w:rPr>
      </w:pPr>
      <w:r w:rsidRPr="00507A31">
        <w:rPr>
          <w:color w:val="0070C0"/>
          <w:sz w:val="16"/>
          <w:szCs w:val="16"/>
          <w:bdr w:val="none" w:sz="0" w:space="0" w:color="auto" w:frame="1"/>
        </w:rPr>
        <w:t>В январе 1930 г. Начальник УВВС РККА П.И. Баранов во время визита в Америку вел переговоры о создании в Советском Союзе смешанного акционерного общества для выпуска мотора Кертис </w:t>
      </w:r>
      <w:r w:rsidRPr="00507A31">
        <w:rPr>
          <w:color w:val="0070C0"/>
          <w:sz w:val="16"/>
          <w:szCs w:val="16"/>
          <w:bdr w:val="none" w:sz="0" w:space="0" w:color="auto" w:frame="1"/>
          <w:lang w:val="en-US"/>
        </w:rPr>
        <w:t>V</w:t>
      </w:r>
      <w:r w:rsidRPr="00507A31">
        <w:rPr>
          <w:color w:val="0070C0"/>
          <w:sz w:val="16"/>
          <w:szCs w:val="16"/>
          <w:bdr w:val="none" w:sz="0" w:space="0" w:color="auto" w:frame="1"/>
        </w:rPr>
        <w:t>-1650</w:t>
      </w:r>
      <w:r w:rsidRPr="00507A31">
        <w:rPr>
          <w:color w:val="0070C0"/>
          <w:sz w:val="16"/>
          <w:szCs w:val="16"/>
          <w:bdr w:val="none" w:sz="0" w:space="0" w:color="auto" w:frame="1"/>
          <w:lang w:val="en-US"/>
        </w:rPr>
        <w:t> </w:t>
      </w:r>
      <w:r w:rsidRPr="00507A31">
        <w:rPr>
          <w:color w:val="0070C0"/>
          <w:sz w:val="16"/>
          <w:szCs w:val="16"/>
          <w:bdr w:val="none" w:sz="0" w:space="0" w:color="auto" w:frame="1"/>
        </w:rPr>
        <w:t>«Конкверор». В ноябре 1929 г. этот двигатель был рекомендован НТК УВВС. С ним знакомился в США Б.С. Стечкин и дал о нем хороший отзыв. Советский Союз купил в США 12 «Конквероров». Их использовали на первом экземпляре ТБ-3 и некоторых опытных самолетах. В 1934 г. один из «Конквероров» на Заводе опытных конструкций (ЗОК) ЦАГИ доработали, введя привод вентилятора охлаждения и заменив редуктор. Его поставили на экспериментальном вертолете 11-ЭА. Этот вертолет испытывали и дорабатывали до весны 1941 г. (21511).</w:t>
      </w:r>
    </w:p>
    <w:p w14:paraId="7D66A657" w14:textId="77777777" w:rsidR="00153423" w:rsidRPr="00507A31" w:rsidRDefault="00153423" w:rsidP="00507A31">
      <w:pPr>
        <w:jc w:val="both"/>
        <w:textAlignment w:val="baseline"/>
        <w:rPr>
          <w:color w:val="0070C0"/>
          <w:sz w:val="16"/>
          <w:szCs w:val="16"/>
          <w:bdr w:val="none" w:sz="0" w:space="0" w:color="auto" w:frame="1"/>
        </w:rPr>
      </w:pPr>
    </w:p>
    <w:p w14:paraId="052C04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января 1930 открылась авиалиния Хабаровск-Николаевск-Оха протяженностью 1100 км с ответвлением Мариинск на Амуре - Александровск на Сахалине вдоль Амура (3015,6).</w:t>
      </w:r>
    </w:p>
    <w:p w14:paraId="04C3EAC2" w14:textId="77777777" w:rsidR="00537E5F" w:rsidRPr="00507A31" w:rsidRDefault="00537E5F" w:rsidP="00507A31">
      <w:pPr>
        <w:autoSpaceDE w:val="0"/>
        <w:autoSpaceDN w:val="0"/>
        <w:adjustRightInd w:val="0"/>
        <w:jc w:val="both"/>
        <w:rPr>
          <w:color w:val="000000" w:themeColor="text1"/>
          <w:sz w:val="16"/>
          <w:szCs w:val="16"/>
        </w:rPr>
      </w:pPr>
    </w:p>
    <w:p w14:paraId="6B11BE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января 1930 аэросъемочное дело выделилось из Добролета в самостоятельное предприятие Аэросъемка при Главном Геодезическом Комитете ВСНХ, но обслуживание съемки осталось на Добролете (3015,15).</w:t>
      </w:r>
    </w:p>
    <w:p w14:paraId="22CF1D39" w14:textId="77777777" w:rsidR="00537E5F" w:rsidRPr="00507A31" w:rsidRDefault="00537E5F" w:rsidP="00507A31">
      <w:pPr>
        <w:autoSpaceDE w:val="0"/>
        <w:autoSpaceDN w:val="0"/>
        <w:adjustRightInd w:val="0"/>
        <w:jc w:val="both"/>
        <w:rPr>
          <w:color w:val="000000" w:themeColor="text1"/>
          <w:sz w:val="16"/>
          <w:szCs w:val="16"/>
        </w:rPr>
      </w:pPr>
    </w:p>
    <w:p w14:paraId="7EA0CE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Добролет объединился (поглотил) с Укрвоздухпуть (3015,3).</w:t>
      </w:r>
    </w:p>
    <w:p w14:paraId="7A311A4B" w14:textId="77777777" w:rsidR="00537E5F" w:rsidRPr="00507A31" w:rsidRDefault="00537E5F" w:rsidP="00507A31">
      <w:pPr>
        <w:autoSpaceDE w:val="0"/>
        <w:autoSpaceDN w:val="0"/>
        <w:adjustRightInd w:val="0"/>
        <w:jc w:val="both"/>
        <w:rPr>
          <w:color w:val="000000" w:themeColor="text1"/>
          <w:sz w:val="16"/>
          <w:szCs w:val="16"/>
        </w:rPr>
      </w:pPr>
    </w:p>
    <w:p w14:paraId="48CAA8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январе 1930 приказом ВСНХ, был организован аэромеханический факультет МВТУ (61,62).</w:t>
      </w:r>
    </w:p>
    <w:p w14:paraId="21B12C6D" w14:textId="77777777" w:rsidR="00537E5F" w:rsidRPr="00507A31" w:rsidRDefault="00537E5F" w:rsidP="00507A31">
      <w:pPr>
        <w:autoSpaceDE w:val="0"/>
        <w:autoSpaceDN w:val="0"/>
        <w:adjustRightInd w:val="0"/>
        <w:jc w:val="both"/>
        <w:rPr>
          <w:color w:val="000000" w:themeColor="text1"/>
          <w:sz w:val="16"/>
          <w:szCs w:val="16"/>
        </w:rPr>
      </w:pPr>
    </w:p>
    <w:p w14:paraId="250207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C января 1930 на И-4 стал летать 70 авиационный отряд Краснознаменной кавказской армии, затем - ВВС Балтфлота (46 АО в мае 1930б 21 АЭ - в октябре), ВВС ЧФ 29 АЭ в июне, ВВС МВО - 71 АО с января (346,21).</w:t>
      </w:r>
    </w:p>
    <w:p w14:paraId="59D71815" w14:textId="77777777" w:rsidR="00537E5F" w:rsidRPr="00507A31" w:rsidRDefault="00537E5F" w:rsidP="00507A31">
      <w:pPr>
        <w:autoSpaceDE w:val="0"/>
        <w:autoSpaceDN w:val="0"/>
        <w:adjustRightInd w:val="0"/>
        <w:jc w:val="both"/>
        <w:rPr>
          <w:color w:val="000000" w:themeColor="text1"/>
          <w:sz w:val="16"/>
          <w:szCs w:val="16"/>
        </w:rPr>
      </w:pPr>
    </w:p>
    <w:p w14:paraId="2BC3BA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январю 1930 г. собрали 60 торпед, в работе находи</w:t>
      </w:r>
      <w:r w:rsidRPr="00507A31">
        <w:rPr>
          <w:color w:val="000000" w:themeColor="text1"/>
          <w:sz w:val="16"/>
          <w:szCs w:val="16"/>
        </w:rPr>
        <w:softHyphen/>
        <w:t>лось еще 30. Как и ТАН-12, торпеды ВВС-10/15 изготавливались на заводе “Двига</w:t>
      </w:r>
      <w:r w:rsidRPr="00507A31">
        <w:rPr>
          <w:color w:val="000000" w:themeColor="text1"/>
          <w:sz w:val="16"/>
          <w:szCs w:val="16"/>
        </w:rPr>
        <w:softHyphen/>
        <w:t>тель” в Ленинграде. Разработка высотного ва</w:t>
      </w:r>
      <w:r w:rsidRPr="00507A31">
        <w:rPr>
          <w:color w:val="000000" w:themeColor="text1"/>
          <w:sz w:val="16"/>
          <w:szCs w:val="16"/>
        </w:rPr>
        <w:softHyphen/>
        <w:t>рианта на базе торпеды 45-15, полу</w:t>
      </w:r>
      <w:r w:rsidRPr="00507A31">
        <w:rPr>
          <w:color w:val="000000" w:themeColor="text1"/>
          <w:sz w:val="16"/>
          <w:szCs w:val="16"/>
        </w:rPr>
        <w:softHyphen/>
        <w:t>чившей обозначение ВВС-10/15, проходила почти параллельно с низкой. От прототипа ее отличал усиленный кор</w:t>
      </w:r>
      <w:r w:rsidRPr="00507A31">
        <w:rPr>
          <w:color w:val="000000" w:themeColor="text1"/>
          <w:sz w:val="16"/>
          <w:szCs w:val="16"/>
        </w:rPr>
        <w:softHyphen/>
        <w:t>пус боевого зарядного отделения (БЗО), более прочное оперение, к ко</w:t>
      </w:r>
      <w:r w:rsidRPr="00507A31">
        <w:rPr>
          <w:color w:val="000000" w:themeColor="text1"/>
          <w:sz w:val="16"/>
          <w:szCs w:val="16"/>
        </w:rPr>
        <w:softHyphen/>
        <w:t>торому крепились гуськи парашютной коробки. Система торпедометания включала три парашюта — стабили</w:t>
      </w:r>
      <w:r w:rsidRPr="00507A31">
        <w:rPr>
          <w:color w:val="000000" w:themeColor="text1"/>
          <w:sz w:val="16"/>
          <w:szCs w:val="16"/>
        </w:rPr>
        <w:softHyphen/>
        <w:t>зирующий и два тормозных. Торпеду снабдили более современными меха</w:t>
      </w:r>
      <w:r w:rsidRPr="00507A31">
        <w:rPr>
          <w:color w:val="000000" w:themeColor="text1"/>
          <w:sz w:val="16"/>
          <w:szCs w:val="16"/>
        </w:rPr>
        <w:softHyphen/>
        <w:t>ническими взрывателями с вертуш</w:t>
      </w:r>
      <w:r w:rsidRPr="00507A31">
        <w:rPr>
          <w:color w:val="000000" w:themeColor="text1"/>
          <w:sz w:val="16"/>
          <w:szCs w:val="16"/>
        </w:rPr>
        <w:softHyphen/>
        <w:t>ками, приводящими их в боевое со</w:t>
      </w:r>
      <w:r w:rsidRPr="00507A31">
        <w:rPr>
          <w:color w:val="000000" w:themeColor="text1"/>
          <w:sz w:val="16"/>
          <w:szCs w:val="16"/>
        </w:rPr>
        <w:softHyphen/>
        <w:t>стояние после прохождения торпедой определенного расстояния в воде. Снаряженная торпеда весила 1340 кг (4144).</w:t>
      </w:r>
    </w:p>
    <w:p w14:paraId="0EE3A2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Основная заслуга в разработке ВВС-10/15 принадлежит инженерам Т.К.Семенову и И.Н.Борякаеву, теоре</w:t>
      </w:r>
      <w:r w:rsidRPr="00507A31">
        <w:rPr>
          <w:color w:val="000000" w:themeColor="text1"/>
          <w:sz w:val="16"/>
          <w:szCs w:val="16"/>
        </w:rPr>
        <w:softHyphen/>
        <w:t>тические исследования проводили Н.Г.Красноперов и П. И.Опекаев (4144).</w:t>
      </w:r>
    </w:p>
    <w:p w14:paraId="4DDBCF2C" w14:textId="77777777" w:rsidR="00537E5F" w:rsidRPr="00507A31" w:rsidRDefault="00537E5F" w:rsidP="00507A31">
      <w:pPr>
        <w:autoSpaceDE w:val="0"/>
        <w:autoSpaceDN w:val="0"/>
        <w:adjustRightInd w:val="0"/>
        <w:jc w:val="both"/>
        <w:rPr>
          <w:color w:val="000000" w:themeColor="text1"/>
          <w:sz w:val="16"/>
          <w:szCs w:val="16"/>
        </w:rPr>
      </w:pPr>
    </w:p>
    <w:p w14:paraId="0046D526" w14:textId="77777777" w:rsidR="00E5590A" w:rsidRPr="00507A31" w:rsidRDefault="00E5590A" w:rsidP="00507A31">
      <w:pPr>
        <w:jc w:val="both"/>
        <w:rPr>
          <w:color w:val="0070C0"/>
          <w:sz w:val="16"/>
          <w:szCs w:val="16"/>
        </w:rPr>
      </w:pPr>
      <w:r w:rsidRPr="00507A31">
        <w:rPr>
          <w:color w:val="0070C0"/>
          <w:sz w:val="16"/>
          <w:szCs w:val="16"/>
        </w:rPr>
        <w:t>В январе 1930 г. в МВТУ создали Аэромеханический факультет, в со</w:t>
      </w:r>
      <w:r w:rsidRPr="00507A31">
        <w:rPr>
          <w:color w:val="0070C0"/>
          <w:sz w:val="16"/>
          <w:szCs w:val="16"/>
        </w:rPr>
        <w:softHyphen/>
        <w:t>став которого вошло и Дирижаблестроительное (Воздухоплавательное) отделение. К препода</w:t>
      </w:r>
      <w:r w:rsidRPr="00507A31">
        <w:rPr>
          <w:color w:val="0070C0"/>
          <w:sz w:val="16"/>
          <w:szCs w:val="16"/>
        </w:rPr>
        <w:softHyphen/>
        <w:t>ванию и руководству практикой студентов-ди- рижаблистов привлекли Н.В. Фомина, И.Л. Ко- гутова, Т.М. Кулинченко и преподавателей ВВА Б.М. Земского, П.Т. Калиновского, В.А. Семё</w:t>
      </w:r>
      <w:r w:rsidRPr="00507A31">
        <w:rPr>
          <w:color w:val="0070C0"/>
          <w:sz w:val="16"/>
          <w:szCs w:val="16"/>
        </w:rPr>
        <w:softHyphen/>
        <w:t>нова, М.Н. Канищева, Н.П. Полозова и других. 27 марта 1930 г. приказом ВСНХ на базе аэро</w:t>
      </w:r>
      <w:r w:rsidRPr="00507A31">
        <w:rPr>
          <w:color w:val="0070C0"/>
          <w:sz w:val="16"/>
          <w:szCs w:val="16"/>
        </w:rPr>
        <w:softHyphen/>
        <w:t>механического факультета МВТУ организовали Высшее аэромеханическое училище (ВАМУ), уже 29 августа преобразованное в Московский авиационный институт (МАИ), имевший воз</w:t>
      </w:r>
      <w:r w:rsidRPr="00507A31">
        <w:rPr>
          <w:color w:val="0070C0"/>
          <w:sz w:val="16"/>
          <w:szCs w:val="16"/>
        </w:rPr>
        <w:softHyphen/>
        <w:t>духоплавательный (дирижабельный) факультет, первым начальником которого стал Н.В. Фомин. По приказу председателя ВО ГВФ А.З. Гольцма- на дирижабельный факультет МАИ с 1 января 1932 г. переподчинили «Дирижаблестрою». В но</w:t>
      </w:r>
      <w:r w:rsidRPr="00507A31">
        <w:rPr>
          <w:color w:val="0070C0"/>
          <w:sz w:val="16"/>
          <w:szCs w:val="16"/>
        </w:rPr>
        <w:softHyphen/>
        <w:t>ябре 1932 г. его перевели из Москвы в Тушин</w:t>
      </w:r>
      <w:r w:rsidRPr="00507A31">
        <w:rPr>
          <w:color w:val="0070C0"/>
          <w:sz w:val="16"/>
          <w:szCs w:val="16"/>
        </w:rPr>
        <w:softHyphen/>
        <w:t>ский авиагородок. 25 ноября 1932 г. на заседании коллегии ГУ ГВФ было принято решение о соз</w:t>
      </w:r>
      <w:r w:rsidRPr="00507A31">
        <w:rPr>
          <w:color w:val="0070C0"/>
          <w:sz w:val="16"/>
          <w:szCs w:val="16"/>
        </w:rPr>
        <w:softHyphen/>
        <w:t>дании Московского дирижаблестроительного института (МДИ) путём слияния Дирижабле</w:t>
      </w:r>
      <w:r w:rsidRPr="00507A31">
        <w:rPr>
          <w:color w:val="0070C0"/>
          <w:sz w:val="16"/>
          <w:szCs w:val="16"/>
        </w:rPr>
        <w:softHyphen/>
        <w:t>строительного факультета «Дирижаблестроя» и дирижабельного факультета Ленинградского института ГВФ (20120).</w:t>
      </w:r>
    </w:p>
    <w:p w14:paraId="386BB460" w14:textId="77777777" w:rsidR="00E5590A" w:rsidRPr="00507A31" w:rsidRDefault="00E5590A" w:rsidP="00507A31">
      <w:pPr>
        <w:jc w:val="both"/>
        <w:rPr>
          <w:color w:val="0070C0"/>
          <w:sz w:val="16"/>
          <w:szCs w:val="16"/>
        </w:rPr>
      </w:pPr>
    </w:p>
    <w:p w14:paraId="16F388BE" w14:textId="77777777" w:rsidR="00E5590A" w:rsidRPr="00507A31" w:rsidRDefault="00E5590A" w:rsidP="00507A31">
      <w:pPr>
        <w:jc w:val="both"/>
        <w:rPr>
          <w:color w:val="0070C0"/>
          <w:sz w:val="16"/>
          <w:szCs w:val="16"/>
        </w:rPr>
      </w:pPr>
      <w:bookmarkStart w:id="12" w:name="_Hlk78717963"/>
      <w:r w:rsidRPr="00507A31">
        <w:rPr>
          <w:color w:val="0070C0"/>
          <w:sz w:val="16"/>
          <w:szCs w:val="16"/>
        </w:rPr>
        <w:t>В январе 1930 года между «Амторгом» и фирмой «Ирвинг» был заключен договор. По этому договору фирма поставляла 50 парашютов в виде комплектов для их сборки в СССР. Они были базой для обучения советских рабочих. Кроме того «Ирвинг» обязывалась помочь в организации производства парашютов до 1.000 штук в год, а также брала на себя ряд других обязательств. Эта мастерская и выпустила первые три парашюта отечественного производства НИИ-1. Организация Опытной мастерской-лабораторию по изготовлению парашютов в Арсеньевском переулке Замоскворецкого района Москвы, в которой вначале работали всего восемь специалистов, а затем специального предприятия – фабрики № 1 Мостекстильшвейсоюза, позволила начать подготовку квалифицированных кадров советских парашютостроителей и создала благоприятные условия для их творческой работы по проектированию и постройке отечественных конструкций парашютов различных назначений (Архив ЦДА и К. Ф. 50. Оп. 1. Д. 4. Л. 21) (21402).</w:t>
      </w:r>
    </w:p>
    <w:bookmarkEnd w:id="12"/>
    <w:p w14:paraId="17D195ED" w14:textId="77777777" w:rsidR="00E5590A" w:rsidRPr="00507A31" w:rsidRDefault="00E5590A" w:rsidP="00507A31">
      <w:pPr>
        <w:jc w:val="both"/>
        <w:rPr>
          <w:color w:val="0070C0"/>
          <w:sz w:val="16"/>
          <w:szCs w:val="16"/>
        </w:rPr>
      </w:pPr>
    </w:p>
    <w:p w14:paraId="56613E5A" w14:textId="77777777" w:rsidR="00153423" w:rsidRPr="00507A31" w:rsidRDefault="00153423" w:rsidP="00507A31">
      <w:pPr>
        <w:jc w:val="both"/>
        <w:rPr>
          <w:color w:val="0070C0"/>
          <w:sz w:val="16"/>
          <w:szCs w:val="16"/>
        </w:rPr>
      </w:pPr>
      <w:r w:rsidRPr="00507A31">
        <w:rPr>
          <w:color w:val="0070C0"/>
          <w:sz w:val="16"/>
          <w:szCs w:val="16"/>
        </w:rPr>
        <w:t>С января 1930 аэросъемочное дело выделилось из «Добролета» в самостоятельный трест Аэросъемка при Главном Геодезическом Комитете ВСНХ, но обеспечение съемки сохранилось за «Добролетом». За 1931 год в качестве аэрофотосъемщиков было зарегистрировано 15 «Фоккеров» С.IV: СССР–Ф19, Ф20 – Ф25, Ф28, Ф29, Ф38, Ф39 и Ф43, причем, номера Ф24 и Ф25 присваивались дважды. В 1932 году к ним добавилось еще три самолета – СССР–Ф1, Ф44 и Ф45. В основном это были отставные «почтари».</w:t>
      </w:r>
    </w:p>
    <w:p w14:paraId="6BA1F509" w14:textId="77777777" w:rsidR="00153423" w:rsidRPr="00507A31" w:rsidRDefault="00153423" w:rsidP="00507A31">
      <w:pPr>
        <w:jc w:val="both"/>
        <w:rPr>
          <w:color w:val="0070C0"/>
          <w:sz w:val="16"/>
          <w:szCs w:val="16"/>
        </w:rPr>
      </w:pPr>
      <w:r w:rsidRPr="00507A31">
        <w:rPr>
          <w:color w:val="0070C0"/>
          <w:sz w:val="16"/>
          <w:szCs w:val="16"/>
        </w:rPr>
        <w:t>С 1928 года для решения задач аэрофотосъемки были задействованы «Фоккеры» ДЛ14 и ДЛ-15. В 1929 года они получили новые регистрационные знаки – СССР-173 и СССР174. В следующем году на этих машинах и на прикомандированном к ним «Фоккере» С.IV СССР-167 проводилась съемка в Башкирии. Там эти самолеты «засветились» в документальном фильме. Киноэкспедиция «Востоккино», работавшая в Башкирии над съемками фильма «На границе Азии», узнав, что рядом расположился аэросъемочный отряд «Добролета», засняла его работу (21125).</w:t>
      </w:r>
    </w:p>
    <w:p w14:paraId="3F423B27" w14:textId="77777777" w:rsidR="00153423" w:rsidRPr="00507A31" w:rsidRDefault="00153423" w:rsidP="00507A31">
      <w:pPr>
        <w:jc w:val="both"/>
        <w:rPr>
          <w:color w:val="0070C0"/>
          <w:sz w:val="16"/>
          <w:szCs w:val="16"/>
        </w:rPr>
      </w:pPr>
    </w:p>
    <w:p w14:paraId="04A7AA1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F343B46" w14:textId="77777777" w:rsidR="00537E5F" w:rsidRPr="00507A31" w:rsidRDefault="00537E5F" w:rsidP="00507A31">
      <w:pPr>
        <w:autoSpaceDE w:val="0"/>
        <w:autoSpaceDN w:val="0"/>
        <w:adjustRightInd w:val="0"/>
        <w:jc w:val="both"/>
        <w:rPr>
          <w:iCs/>
          <w:color w:val="000000" w:themeColor="text1"/>
          <w:sz w:val="16"/>
          <w:szCs w:val="16"/>
        </w:rPr>
      </w:pPr>
    </w:p>
    <w:p w14:paraId="01D2B1E4" w14:textId="77777777" w:rsidR="0002419A" w:rsidRPr="00507A31" w:rsidRDefault="0002419A" w:rsidP="00507A31">
      <w:pPr>
        <w:jc w:val="both"/>
        <w:rPr>
          <w:color w:val="000000" w:themeColor="text1"/>
          <w:sz w:val="16"/>
          <w:szCs w:val="16"/>
        </w:rPr>
      </w:pPr>
      <w:r w:rsidRPr="00507A31">
        <w:rPr>
          <w:color w:val="000000" w:themeColor="text1"/>
          <w:sz w:val="16"/>
          <w:szCs w:val="16"/>
        </w:rPr>
        <w:t>В январе 1930 г. Тухачевский направил Вороши</w:t>
      </w:r>
      <w:r w:rsidRPr="00507A31">
        <w:rPr>
          <w:color w:val="000000" w:themeColor="text1"/>
          <w:sz w:val="16"/>
          <w:szCs w:val="16"/>
        </w:rPr>
        <w:softHyphen/>
        <w:t>лову рапорт о техническом оснащении РККА и армий вероятных противников и об основных установках реконструкции армии. Рапорт, естественно, оказался на столе у Сталина, а оставленные им пометки говорят о том, кто в действительности работал р важ</w:t>
      </w:r>
      <w:r w:rsidRPr="00507A31">
        <w:rPr>
          <w:color w:val="000000" w:themeColor="text1"/>
          <w:sz w:val="16"/>
          <w:szCs w:val="16"/>
        </w:rPr>
        <w:softHyphen/>
        <w:t>ными документами.</w:t>
      </w:r>
    </w:p>
    <w:p w14:paraId="0AFF39EB" w14:textId="77777777" w:rsidR="0002419A" w:rsidRPr="00507A31" w:rsidRDefault="0002419A" w:rsidP="00507A31">
      <w:pPr>
        <w:jc w:val="both"/>
        <w:rPr>
          <w:color w:val="000000" w:themeColor="text1"/>
          <w:sz w:val="16"/>
          <w:szCs w:val="16"/>
        </w:rPr>
      </w:pPr>
      <w:r w:rsidRPr="00507A31">
        <w:rPr>
          <w:color w:val="000000" w:themeColor="text1"/>
          <w:sz w:val="16"/>
          <w:szCs w:val="16"/>
        </w:rPr>
        <w:t>Ознакомившись с планами экономического развития СССР в годы пятилетки, главным образом на основе публикуемых в пе</w:t>
      </w:r>
      <w:r w:rsidRPr="00507A31">
        <w:rPr>
          <w:color w:val="000000" w:themeColor="text1"/>
          <w:sz w:val="16"/>
          <w:szCs w:val="16"/>
        </w:rPr>
        <w:softHyphen/>
        <w:t>чати цифр по оптимальному или завышенному планированию плюс дополнительные задания, которые Тухачевскому казались необходимыми для армии, он пришел к выводу об отставании РККА от намеченных достижений и призвал совсем иначе раз</w:t>
      </w:r>
      <w:r w:rsidRPr="00507A31">
        <w:rPr>
          <w:color w:val="000000" w:themeColor="text1"/>
          <w:sz w:val="16"/>
          <w:szCs w:val="16"/>
        </w:rPr>
        <w:softHyphen/>
        <w:t>вернуть пятилетку военного строительства, изменить плановые ориентиры под влиянием, как он писал, уровня происшедших из</w:t>
      </w:r>
      <w:r w:rsidRPr="00507A31">
        <w:rPr>
          <w:color w:val="000000" w:themeColor="text1"/>
          <w:sz w:val="16"/>
          <w:szCs w:val="16"/>
        </w:rPr>
        <w:softHyphen/>
        <w:t>менений (Сталин делает пометку: не уровень, а темп).</w:t>
      </w:r>
    </w:p>
    <w:p w14:paraId="7C5DA7CA" w14:textId="77777777" w:rsidR="0002419A" w:rsidRPr="00507A31" w:rsidRDefault="0002419A" w:rsidP="00507A31">
      <w:pPr>
        <w:jc w:val="both"/>
        <w:rPr>
          <w:color w:val="000000" w:themeColor="text1"/>
          <w:sz w:val="16"/>
          <w:szCs w:val="16"/>
        </w:rPr>
      </w:pPr>
      <w:r w:rsidRPr="00507A31">
        <w:rPr>
          <w:color w:val="000000" w:themeColor="text1"/>
          <w:sz w:val="16"/>
          <w:szCs w:val="16"/>
        </w:rPr>
        <w:t>На нужды армии Тухачевский предлагает направить 50 тыс. тракторов из 197 тыс., намеченных к производству, 130 тыс. ав</w:t>
      </w:r>
      <w:r w:rsidRPr="00507A31">
        <w:rPr>
          <w:color w:val="000000" w:themeColor="text1"/>
          <w:sz w:val="16"/>
          <w:szCs w:val="16"/>
        </w:rPr>
        <w:softHyphen/>
        <w:t>томобилей из 350 тыс., дополнительно произвести 40 тыс. т го</w:t>
      </w:r>
      <w:r w:rsidRPr="00507A31">
        <w:rPr>
          <w:color w:val="000000" w:themeColor="text1"/>
          <w:sz w:val="16"/>
          <w:szCs w:val="16"/>
        </w:rPr>
        <w:softHyphen/>
        <w:t>рючего (Сталин: рановато). Оптимальная цифра производства танков, по Тухачевскому, может теперь составить 50 тыс. еди</w:t>
      </w:r>
      <w:r w:rsidRPr="00507A31">
        <w:rPr>
          <w:color w:val="000000" w:themeColor="text1"/>
          <w:sz w:val="16"/>
          <w:szCs w:val="16"/>
        </w:rPr>
        <w:softHyphen/>
        <w:t>ниц, самолетов - 122,5 тыс., моторов - 175 тысяч. (Сталину не нравится, что Тухачевский пытается корректировать об</w:t>
      </w:r>
      <w:r w:rsidRPr="00507A31">
        <w:rPr>
          <w:color w:val="000000" w:themeColor="text1"/>
          <w:sz w:val="16"/>
          <w:szCs w:val="16"/>
        </w:rPr>
        <w:softHyphen/>
        <w:t>щую экономическую стратегию, он упрекает его в механици</w:t>
      </w:r>
      <w:r w:rsidRPr="00507A31">
        <w:rPr>
          <w:color w:val="000000" w:themeColor="text1"/>
          <w:sz w:val="16"/>
          <w:szCs w:val="16"/>
        </w:rPr>
        <w:softHyphen/>
        <w:t>стическом подходе). Далее Тухачевский настаивал на реконст</w:t>
      </w:r>
      <w:r w:rsidRPr="00507A31">
        <w:rPr>
          <w:color w:val="000000" w:themeColor="text1"/>
          <w:sz w:val="16"/>
          <w:szCs w:val="16"/>
        </w:rPr>
        <w:softHyphen/>
        <w:t>рукции военных сообщений, утверждая, что бедность путей со</w:t>
      </w:r>
      <w:r w:rsidRPr="00507A31">
        <w:rPr>
          <w:color w:val="000000" w:themeColor="text1"/>
          <w:sz w:val="16"/>
          <w:szCs w:val="16"/>
        </w:rPr>
        <w:softHyphen/>
        <w:t>общения в стране не может служить аргументом против мото</w:t>
      </w:r>
      <w:r w:rsidRPr="00507A31">
        <w:rPr>
          <w:color w:val="000000" w:themeColor="text1"/>
          <w:sz w:val="16"/>
          <w:szCs w:val="16"/>
        </w:rPr>
        <w:softHyphen/>
        <w:t>ризации армии.</w:t>
      </w:r>
    </w:p>
    <w:p w14:paraId="2FFAE2CA" w14:textId="77777777" w:rsidR="0002419A" w:rsidRPr="00507A31" w:rsidRDefault="0002419A" w:rsidP="00507A31">
      <w:pPr>
        <w:jc w:val="both"/>
        <w:rPr>
          <w:color w:val="000000" w:themeColor="text1"/>
          <w:sz w:val="16"/>
          <w:szCs w:val="16"/>
        </w:rPr>
      </w:pPr>
      <w:r w:rsidRPr="00507A31">
        <w:rPr>
          <w:color w:val="000000" w:themeColor="text1"/>
          <w:sz w:val="16"/>
          <w:szCs w:val="16"/>
        </w:rPr>
        <w:t>Касаясь общей численности вооруженных сил, Тухачевский, опираясь на опыт мировой войны, посчитал, что показателем ре</w:t>
      </w:r>
      <w:r w:rsidRPr="00507A31">
        <w:rPr>
          <w:color w:val="000000" w:themeColor="text1"/>
          <w:sz w:val="16"/>
          <w:szCs w:val="16"/>
        </w:rPr>
        <w:softHyphen/>
        <w:t>конструкции РККА должен стать ориентир в 260 стрелковых и кавалерийских дивизий, 50 дивизий АРГК, плюс артиллерия большой мощности и минимум 225 батальонов ПРГК, 40 тыс. са</w:t>
      </w:r>
      <w:r w:rsidRPr="00507A31">
        <w:rPr>
          <w:color w:val="000000" w:themeColor="text1"/>
          <w:sz w:val="16"/>
          <w:szCs w:val="16"/>
        </w:rPr>
        <w:softHyphen/>
        <w:t>молетов и 50 тыс. танков в строю. (Сталин: Поехал...). Общий вывод Сталина:Видно лавры т. Ларина не дают спать т. Туха</w:t>
      </w:r>
      <w:r w:rsidRPr="00507A31">
        <w:rPr>
          <w:color w:val="000000" w:themeColor="text1"/>
          <w:sz w:val="16"/>
          <w:szCs w:val="16"/>
        </w:rPr>
        <w:softHyphen/>
        <w:t>чевскому. Жаль...</w:t>
      </w:r>
      <w:hyperlink r:id="rId25" w:anchor="_edn42" w:history="1">
        <w:r w:rsidRPr="00507A31">
          <w:rPr>
            <w:rStyle w:val="a5"/>
            <w:color w:val="000000" w:themeColor="text1"/>
            <w:sz w:val="16"/>
            <w:szCs w:val="16"/>
          </w:rPr>
          <w:t>[42]</w:t>
        </w:r>
      </w:hyperlink>
      <w:r w:rsidRPr="00507A31">
        <w:rPr>
          <w:color w:val="000000" w:themeColor="text1"/>
          <w:sz w:val="16"/>
          <w:szCs w:val="16"/>
        </w:rPr>
        <w:t> (Ю. Ларин со времен Ленина слыл в рядах большевистских руководителей отчаянным прожектером и [175] автором невероятных проектов). Однако, как видно из дальней</w:t>
      </w:r>
      <w:r w:rsidRPr="00507A31">
        <w:rPr>
          <w:color w:val="000000" w:themeColor="text1"/>
          <w:sz w:val="16"/>
          <w:szCs w:val="16"/>
        </w:rPr>
        <w:softHyphen/>
        <w:t>шего, рапорт Тухачевского крепко засел в голове вождя (18393).</w:t>
      </w:r>
    </w:p>
    <w:p w14:paraId="46DB3806" w14:textId="77777777" w:rsidR="0002419A" w:rsidRPr="00507A31" w:rsidRDefault="0002419A" w:rsidP="00507A31">
      <w:pPr>
        <w:jc w:val="both"/>
        <w:rPr>
          <w:color w:val="000000" w:themeColor="text1"/>
          <w:sz w:val="16"/>
          <w:szCs w:val="16"/>
        </w:rPr>
      </w:pPr>
    </w:p>
    <w:p w14:paraId="63011372" w14:textId="77777777" w:rsidR="003F6BE0" w:rsidRPr="00507A31" w:rsidRDefault="003F6BE0" w:rsidP="00507A31">
      <w:pPr>
        <w:shd w:val="clear" w:color="auto" w:fill="FFFFFF"/>
        <w:jc w:val="both"/>
        <w:rPr>
          <w:color w:val="000000" w:themeColor="text1"/>
          <w:sz w:val="16"/>
          <w:szCs w:val="16"/>
        </w:rPr>
      </w:pPr>
      <w:r w:rsidRPr="00507A31">
        <w:rPr>
          <w:color w:val="000000" w:themeColor="text1"/>
          <w:sz w:val="16"/>
          <w:szCs w:val="16"/>
        </w:rPr>
        <w:t xml:space="preserve">В </w:t>
      </w:r>
      <w:bookmarkStart w:id="13" w:name="YANDEX_34"/>
      <w:bookmarkEnd w:id="13"/>
      <w:r w:rsidRPr="00507A31">
        <w:rPr>
          <w:rStyle w:val="highlight"/>
          <w:color w:val="000000" w:themeColor="text1"/>
          <w:sz w:val="16"/>
          <w:szCs w:val="16"/>
        </w:rPr>
        <w:t> январе </w:t>
      </w:r>
      <w:bookmarkStart w:id="14" w:name="YANDEX_35"/>
      <w:bookmarkEnd w:id="14"/>
      <w:r w:rsidRPr="00507A31">
        <w:rPr>
          <w:rStyle w:val="highlight"/>
          <w:color w:val="000000" w:themeColor="text1"/>
          <w:sz w:val="16"/>
          <w:szCs w:val="16"/>
        </w:rPr>
        <w:t> 1930 </w:t>
      </w:r>
      <w:r w:rsidRPr="00507A31">
        <w:rPr>
          <w:color w:val="000000" w:themeColor="text1"/>
          <w:sz w:val="16"/>
          <w:szCs w:val="16"/>
        </w:rPr>
        <w:t xml:space="preserve"> года заместитель председателя РВС СССР и начальник вооружения РККА И. П. Уборевич лично посетил крупнейшие военные </w:t>
      </w:r>
      <w:bookmarkStart w:id="15" w:name="YANDEX_36"/>
      <w:bookmarkEnd w:id="15"/>
      <w:r w:rsidRPr="00507A31">
        <w:rPr>
          <w:rStyle w:val="highlight"/>
          <w:color w:val="000000" w:themeColor="text1"/>
          <w:sz w:val="16"/>
          <w:szCs w:val="16"/>
        </w:rPr>
        <w:t> заводы </w:t>
      </w:r>
      <w:r w:rsidRPr="00507A31">
        <w:rPr>
          <w:color w:val="000000" w:themeColor="text1"/>
          <w:sz w:val="16"/>
          <w:szCs w:val="16"/>
        </w:rPr>
        <w:t xml:space="preserve"> Ленинграда – «Большевик» и «Красный путиловец» для ознакомления с работой конструкторских бюро предприятий. Итоги проведенной проверки, к сожалению, оказались далеки от ожидаемых. Поэтому Уборевич обратился с личным письмом к председателю ВСНХ В. В. Куйбышеву. В послании говорилось, что </w:t>
      </w:r>
      <w:bookmarkStart w:id="16" w:name="YANDEX_37"/>
      <w:bookmarkEnd w:id="16"/>
      <w:r w:rsidRPr="00507A31">
        <w:rPr>
          <w:rStyle w:val="highlight"/>
          <w:color w:val="000000" w:themeColor="text1"/>
          <w:sz w:val="16"/>
          <w:szCs w:val="16"/>
        </w:rPr>
        <w:t> оборонная </w:t>
      </w:r>
      <w:r w:rsidRPr="00507A31">
        <w:rPr>
          <w:color w:val="000000" w:themeColor="text1"/>
          <w:sz w:val="16"/>
          <w:szCs w:val="16"/>
        </w:rPr>
        <w:t xml:space="preserve"> промышленность не выполнила требований приказа № 30сс и в конструкторских коллективах наблюдается огромный некомплект сотрудников. Для работы в КБ двух огромных ленинградских </w:t>
      </w:r>
      <w:bookmarkStart w:id="17" w:name="YANDEX_38"/>
      <w:bookmarkEnd w:id="17"/>
      <w:r w:rsidRPr="00507A31">
        <w:rPr>
          <w:rStyle w:val="highlight"/>
          <w:color w:val="000000" w:themeColor="text1"/>
          <w:sz w:val="16"/>
          <w:szCs w:val="16"/>
        </w:rPr>
        <w:t> заводов </w:t>
      </w:r>
      <w:r w:rsidRPr="00507A31">
        <w:rPr>
          <w:color w:val="000000" w:themeColor="text1"/>
          <w:sz w:val="16"/>
          <w:szCs w:val="16"/>
        </w:rPr>
        <w:t xml:space="preserve"> прибыл лишь 21 специалист. В конце своего письма начальник вооружения Красной армии предлагал ввиду крайнего кадрового дефицита в экстренном порядке перебросить опытных специалистов из гражданских отраслей промышленности на </w:t>
      </w:r>
      <w:bookmarkStart w:id="18" w:name="YANDEX_39"/>
      <w:bookmarkEnd w:id="18"/>
      <w:r w:rsidRPr="00507A31">
        <w:rPr>
          <w:rStyle w:val="highlight"/>
          <w:color w:val="000000" w:themeColor="text1"/>
          <w:sz w:val="16"/>
          <w:szCs w:val="16"/>
        </w:rPr>
        <w:t> оборонные </w:t>
      </w:r>
      <w:r w:rsidRPr="00507A31">
        <w:rPr>
          <w:color w:val="000000" w:themeColor="text1"/>
          <w:sz w:val="16"/>
          <w:szCs w:val="16"/>
        </w:rPr>
        <w:t xml:space="preserve"> предприятия и сконцентрировать их на важнейших военных </w:t>
      </w:r>
      <w:bookmarkStart w:id="19" w:name="YANDEX_40"/>
      <w:bookmarkEnd w:id="19"/>
      <w:r w:rsidRPr="00507A31">
        <w:rPr>
          <w:rStyle w:val="highlight"/>
          <w:color w:val="000000" w:themeColor="text1"/>
          <w:sz w:val="16"/>
          <w:szCs w:val="16"/>
        </w:rPr>
        <w:t> заводах  (17235)</w:t>
      </w:r>
      <w:r w:rsidRPr="00507A31">
        <w:rPr>
          <w:color w:val="000000" w:themeColor="text1"/>
          <w:sz w:val="16"/>
          <w:szCs w:val="16"/>
        </w:rPr>
        <w:t>.</w:t>
      </w:r>
    </w:p>
    <w:p w14:paraId="3B53F161" w14:textId="77777777" w:rsidR="003F6BE0" w:rsidRPr="00507A31" w:rsidRDefault="003F6BE0" w:rsidP="00507A31">
      <w:pPr>
        <w:autoSpaceDE w:val="0"/>
        <w:autoSpaceDN w:val="0"/>
        <w:adjustRightInd w:val="0"/>
        <w:jc w:val="both"/>
        <w:rPr>
          <w:color w:val="000000" w:themeColor="text1"/>
          <w:sz w:val="16"/>
          <w:szCs w:val="16"/>
        </w:rPr>
      </w:pPr>
    </w:p>
    <w:p w14:paraId="620B3C1D" w14:textId="77777777" w:rsidR="00153423" w:rsidRPr="00507A31" w:rsidRDefault="00153423" w:rsidP="00507A31">
      <w:pPr>
        <w:shd w:val="clear" w:color="auto" w:fill="FFFFFF"/>
        <w:jc w:val="both"/>
        <w:rPr>
          <w:color w:val="0070C0"/>
          <w:sz w:val="16"/>
          <w:szCs w:val="16"/>
        </w:rPr>
      </w:pPr>
      <w:r w:rsidRPr="00507A31">
        <w:rPr>
          <w:color w:val="0070C0"/>
          <w:sz w:val="16"/>
          <w:szCs w:val="16"/>
        </w:rPr>
        <w:t>В январе 1930 г. стало ясно, что «внутри СССР нет типов танков и тракторов, производство которых ... обес</w:t>
      </w:r>
      <w:r w:rsidRPr="00507A31">
        <w:rPr>
          <w:color w:val="0070C0"/>
          <w:sz w:val="16"/>
          <w:szCs w:val="16"/>
        </w:rPr>
        <w:softHyphen/>
        <w:t>печило бы потребность Красной армии». Отправленная за границу «особая комиссия (т. Осинский, Халепский и Будняк)» заказала в Великобритании и США «образцы совре</w:t>
      </w:r>
      <w:r w:rsidRPr="00507A31">
        <w:rPr>
          <w:color w:val="0070C0"/>
          <w:sz w:val="16"/>
          <w:szCs w:val="16"/>
        </w:rPr>
        <w:softHyphen/>
        <w:t>менных танков». В результате, к ноябрю 1930 года место Т-18 в системе вооружения занял английский «Виккерс б-тонный» (будущий Т- 26), на место среднего Т-24 стали претендо</w:t>
      </w:r>
      <w:r w:rsidRPr="00507A31">
        <w:rPr>
          <w:color w:val="0070C0"/>
          <w:sz w:val="16"/>
          <w:szCs w:val="16"/>
        </w:rPr>
        <w:softHyphen/>
        <w:t>вать «Виккерс 12-тонный» и танк Кристи (будущий БТ), а танкеткой назначили «Кар</w:t>
      </w:r>
      <w:r w:rsidRPr="00507A31">
        <w:rPr>
          <w:color w:val="0070C0"/>
          <w:sz w:val="16"/>
          <w:szCs w:val="16"/>
        </w:rPr>
        <w:softHyphen/>
        <w:t>ден-Лойд» (Т-27), отказавшись от требова</w:t>
      </w:r>
      <w:r w:rsidRPr="00507A31">
        <w:rPr>
          <w:color w:val="0070C0"/>
          <w:sz w:val="16"/>
          <w:szCs w:val="16"/>
        </w:rPr>
        <w:softHyphen/>
        <w:t>ния колесно-гусеничного хода. Место «боль</w:t>
      </w:r>
      <w:r w:rsidRPr="00507A31">
        <w:rPr>
          <w:color w:val="0070C0"/>
          <w:sz w:val="16"/>
          <w:szCs w:val="16"/>
        </w:rPr>
        <w:softHyphen/>
        <w:t>шого танка» осталось вакантным - «этого типа танка нет даже в конструкции. Дано задание на разработку фирме «Виккерс». Окончательное соглашение с фирмой пока не достигнуто» (19859).</w:t>
      </w:r>
    </w:p>
    <w:p w14:paraId="640E039E" w14:textId="77777777" w:rsidR="00153423" w:rsidRPr="00507A31" w:rsidRDefault="00153423" w:rsidP="00507A31">
      <w:pPr>
        <w:shd w:val="clear" w:color="auto" w:fill="FFFFFF"/>
        <w:jc w:val="both"/>
        <w:rPr>
          <w:color w:val="0070C0"/>
          <w:sz w:val="16"/>
          <w:szCs w:val="16"/>
        </w:rPr>
      </w:pPr>
    </w:p>
    <w:p w14:paraId="08ADB17F" w14:textId="77777777" w:rsidR="00153423" w:rsidRPr="00507A31" w:rsidRDefault="00153423" w:rsidP="00507A31">
      <w:pPr>
        <w:pStyle w:val="ae"/>
        <w:spacing w:before="0" w:after="0"/>
        <w:jc w:val="both"/>
        <w:textAlignment w:val="baseline"/>
        <w:rPr>
          <w:color w:val="0070C0"/>
          <w:sz w:val="16"/>
          <w:szCs w:val="16"/>
        </w:rPr>
      </w:pPr>
      <w:r w:rsidRPr="00507A31">
        <w:rPr>
          <w:color w:val="0070C0"/>
          <w:sz w:val="16"/>
          <w:szCs w:val="16"/>
          <w:bdr w:val="none" w:sz="0" w:space="0" w:color="auto" w:frame="1"/>
        </w:rPr>
        <w:t>В январе 1930 г. Начальник УВВС РККА П.И. Баранов во время визита в Америку вел переговоры о создании в Советском Союзе смешанного акционерного общества для выпуска мотора Кертис </w:t>
      </w:r>
      <w:r w:rsidRPr="00507A31">
        <w:rPr>
          <w:color w:val="0070C0"/>
          <w:sz w:val="16"/>
          <w:szCs w:val="16"/>
          <w:bdr w:val="none" w:sz="0" w:space="0" w:color="auto" w:frame="1"/>
          <w:lang w:val="en-US"/>
        </w:rPr>
        <w:t>V</w:t>
      </w:r>
      <w:r w:rsidRPr="00507A31">
        <w:rPr>
          <w:color w:val="0070C0"/>
          <w:sz w:val="16"/>
          <w:szCs w:val="16"/>
          <w:bdr w:val="none" w:sz="0" w:space="0" w:color="auto" w:frame="1"/>
        </w:rPr>
        <w:t>-1650</w:t>
      </w:r>
      <w:r w:rsidRPr="00507A31">
        <w:rPr>
          <w:color w:val="0070C0"/>
          <w:sz w:val="16"/>
          <w:szCs w:val="16"/>
          <w:bdr w:val="none" w:sz="0" w:space="0" w:color="auto" w:frame="1"/>
          <w:lang w:val="en-US"/>
        </w:rPr>
        <w:t> </w:t>
      </w:r>
      <w:r w:rsidRPr="00507A31">
        <w:rPr>
          <w:color w:val="0070C0"/>
          <w:sz w:val="16"/>
          <w:szCs w:val="16"/>
          <w:bdr w:val="none" w:sz="0" w:space="0" w:color="auto" w:frame="1"/>
        </w:rPr>
        <w:t>«Конкверор». В ноябре 1929 г. этот двигатель был рекомендован НТК УВВС. С ним знакомился в США Б.С. Стечкин и дал о нем хороший отзыв. Советский Союз купил в США 12 «Конквероров». Их использовали на первом экземпляре ТБ-3 и некоторых опытных самолетах. В 1934 г. один из «Конквероров» на Заводе опытных конструкций (ЗОК) ЦАГИ доработали, введя привод вентилятора охлаждения и заменив редуктор. Его поставили на экспериментальном вертолете 11-ЭА. Этот вертолет испытывали и дорабатывали до весны 1941 г. (20442).</w:t>
      </w:r>
    </w:p>
    <w:p w14:paraId="0A7F1A99" w14:textId="77777777" w:rsidR="00153423" w:rsidRPr="00507A31" w:rsidRDefault="00153423" w:rsidP="00507A31">
      <w:pPr>
        <w:pStyle w:val="ae"/>
        <w:spacing w:before="0" w:after="0"/>
        <w:jc w:val="both"/>
        <w:textAlignment w:val="baseline"/>
        <w:rPr>
          <w:color w:val="0070C0"/>
          <w:sz w:val="16"/>
          <w:szCs w:val="16"/>
          <w:bdr w:val="none" w:sz="0" w:space="0" w:color="auto" w:frame="1"/>
        </w:rPr>
      </w:pPr>
    </w:p>
    <w:p w14:paraId="17943E71" w14:textId="77777777" w:rsidR="00C64AA2" w:rsidRPr="00507A31" w:rsidRDefault="00153423" w:rsidP="00507A31">
      <w:pPr>
        <w:shd w:val="clear" w:color="auto" w:fill="FFFFFF"/>
        <w:jc w:val="both"/>
        <w:rPr>
          <w:color w:val="0070C0"/>
          <w:sz w:val="16"/>
          <w:szCs w:val="16"/>
        </w:rPr>
      </w:pPr>
      <w:r w:rsidRPr="00507A31">
        <w:rPr>
          <w:color w:val="0070C0"/>
          <w:sz w:val="16"/>
          <w:szCs w:val="16"/>
        </w:rPr>
        <w:t xml:space="preserve">В январе 1930 года проектная документация по Т-20 была готова. Машина оказалась в габаритах предшественника (даже чуть короче - длина без хвоста 3450 мм против 3470 мм у Т-18), впрочем, отличить модернизированный танк несложно. Носовая часть у него получилась другой - без литой детали, к которой крепились ленивцы. От узкого "носика" отказались, вместо него носовая деталь была расширена до общих габаритов, а ленивцы крепились к ней. Также по проекту ставилась 37-мм пушка Б-3. Несколько изменилась ходовая часть, включая и опорные катки. Отчасти работы по ходовой части шли параллельно с Т-18, то есть новое ведущее колесо, которое позже поставили на Т-18 четвертой серии, пришло как раз с Т-20. В общем-то никто особо не скрывал, что Т-20 являлся переходной машиной между </w:t>
      </w:r>
      <w:r w:rsidR="00C64AA2" w:rsidRPr="00507A31">
        <w:rPr>
          <w:color w:val="0070C0"/>
          <w:sz w:val="16"/>
          <w:szCs w:val="16"/>
        </w:rPr>
        <w:lastRenderedPageBreak/>
        <w:t>В январе 1930 года обсуждалось, что мощность мотора Т-20 можно поднять до 65 л.с. Но для начала было бы неплохо сделать сам танк. По планам, работы по ходовой части машины предполагалось начать с марта 1930 года, а изготовление опытного образца танка ожидалось через 7-8 месяцев после подачи чертежей на "Большевик". Впрочем, первую половину 1930 года работы по танку шли неспешно (20852).</w:t>
      </w:r>
    </w:p>
    <w:p w14:paraId="2D2C34D1" w14:textId="77777777" w:rsidR="00C64AA2" w:rsidRPr="00507A31" w:rsidRDefault="00C64AA2" w:rsidP="00507A31">
      <w:pPr>
        <w:shd w:val="clear" w:color="auto" w:fill="FFFFFF"/>
        <w:jc w:val="both"/>
        <w:rPr>
          <w:color w:val="0070C0"/>
          <w:sz w:val="16"/>
          <w:szCs w:val="16"/>
        </w:rPr>
      </w:pPr>
    </w:p>
    <w:p w14:paraId="1E5FDE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и июне 1930 проводились испытания пробегом танкетки Т-17 или Лилипут. Показала лучшую подвижность, чем Т-18, но одноместный кузов был маловат. Решили сделать двухместную версию с резинометаллической гусеницей Кегресс. В серию не пошла и решили сделать двухместную на базе стандартных узлов Т-18 (4243,30).</w:t>
      </w:r>
    </w:p>
    <w:p w14:paraId="5EE67F54" w14:textId="77777777" w:rsidR="00537E5F" w:rsidRPr="00507A31" w:rsidRDefault="00537E5F" w:rsidP="00507A31">
      <w:pPr>
        <w:autoSpaceDE w:val="0"/>
        <w:autoSpaceDN w:val="0"/>
        <w:adjustRightInd w:val="0"/>
        <w:jc w:val="both"/>
        <w:rPr>
          <w:color w:val="000000" w:themeColor="text1"/>
          <w:sz w:val="16"/>
          <w:szCs w:val="16"/>
        </w:rPr>
      </w:pPr>
    </w:p>
    <w:p w14:paraId="4BAF9C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январе 1930 г. второй вариант Т-17 был испытана пробегом, а за</w:t>
      </w:r>
      <w:r w:rsidRPr="00507A31">
        <w:rPr>
          <w:color w:val="000000" w:themeColor="text1"/>
          <w:sz w:val="16"/>
          <w:szCs w:val="16"/>
        </w:rPr>
        <w:softHyphen/>
        <w:t>тем — в июне того же года и показала лучшую подвиж</w:t>
      </w:r>
      <w:r w:rsidRPr="00507A31">
        <w:rPr>
          <w:color w:val="000000" w:themeColor="text1"/>
          <w:sz w:val="16"/>
          <w:szCs w:val="16"/>
        </w:rPr>
        <w:softHyphen/>
        <w:t>ность, чем Т-18, однако одним из наиболее крупных недо</w:t>
      </w:r>
      <w:r w:rsidRPr="00507A31">
        <w:rPr>
          <w:color w:val="000000" w:themeColor="text1"/>
          <w:sz w:val="16"/>
          <w:szCs w:val="16"/>
        </w:rPr>
        <w:softHyphen/>
        <w:t>статков танкетки стал одноместный кузов. Поэтому се</w:t>
      </w:r>
      <w:r w:rsidRPr="00507A31">
        <w:rPr>
          <w:color w:val="000000" w:themeColor="text1"/>
          <w:sz w:val="16"/>
          <w:szCs w:val="16"/>
        </w:rPr>
        <w:softHyphen/>
        <w:t>рийное производство Т-17, имевшей те же недостатки, что и танкетка Максимова 1919 г., сочли нецелесообразным и вскоре было принято решение о продолжении работ над двухместной танкеткой с использованием стандартных уз</w:t>
      </w:r>
      <w:r w:rsidRPr="00507A31">
        <w:rPr>
          <w:color w:val="000000" w:themeColor="text1"/>
          <w:sz w:val="16"/>
          <w:szCs w:val="16"/>
        </w:rPr>
        <w:softHyphen/>
        <w:t>лов танка Т-18 (10733,85).</w:t>
      </w:r>
    </w:p>
    <w:p w14:paraId="2B0AEC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D19A74F" w14:textId="77777777" w:rsidR="002B5819" w:rsidRPr="00507A31" w:rsidRDefault="002B5819" w:rsidP="00507A31">
      <w:pPr>
        <w:jc w:val="both"/>
        <w:rPr>
          <w:color w:val="000000" w:themeColor="text1"/>
          <w:sz w:val="16"/>
          <w:szCs w:val="16"/>
          <w:shd w:val="clear" w:color="auto" w:fill="FFFFFF"/>
        </w:rPr>
      </w:pPr>
      <w:r w:rsidRPr="00507A31">
        <w:rPr>
          <w:color w:val="000000" w:themeColor="text1"/>
          <w:sz w:val="16"/>
          <w:szCs w:val="16"/>
          <w:shd w:val="clear" w:color="auto" w:fill="FFFFFF"/>
        </w:rPr>
        <w:t>В январе 1930 г. первый образец Т-17 несмотря на неполадки был испытан пробегом, а затем - в июне того же года,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"Кегресс".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3C347C82" w14:textId="77777777" w:rsidR="002B5819" w:rsidRPr="00507A31" w:rsidRDefault="002B5819" w:rsidP="00507A31">
      <w:pPr>
        <w:jc w:val="both"/>
        <w:rPr>
          <w:color w:val="000000" w:themeColor="text1"/>
          <w:sz w:val="16"/>
          <w:szCs w:val="16"/>
          <w:shd w:val="clear" w:color="auto" w:fill="FFFFFF"/>
        </w:rPr>
      </w:pPr>
    </w:p>
    <w:p w14:paraId="449955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начались заводские испытания изготовленного в декабре 1929 на ХПЗ опытного образца танка Т-12 конструкции ГКБ ОАТ из Москвы (С.П.Шукалов) и КБ (технической тракторной конторы) ХПЗ (И.Н.Алексеенко) (9527,131).</w:t>
      </w:r>
    </w:p>
    <w:p w14:paraId="49814E1E" w14:textId="77777777" w:rsidR="00537E5F" w:rsidRPr="00507A31" w:rsidRDefault="00537E5F" w:rsidP="00507A31">
      <w:pPr>
        <w:autoSpaceDE w:val="0"/>
        <w:autoSpaceDN w:val="0"/>
        <w:adjustRightInd w:val="0"/>
        <w:jc w:val="both"/>
        <w:rPr>
          <w:color w:val="000000" w:themeColor="text1"/>
          <w:sz w:val="16"/>
          <w:szCs w:val="16"/>
        </w:rPr>
      </w:pPr>
    </w:p>
    <w:p w14:paraId="009EAE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начались заводские испытания танка Т-12, а официальные проходили в феврале 1930 г. (9154).</w:t>
      </w:r>
    </w:p>
    <w:p w14:paraId="6299BAB8" w14:textId="77777777" w:rsidR="00537E5F" w:rsidRPr="00507A31" w:rsidRDefault="00537E5F" w:rsidP="00507A31">
      <w:pPr>
        <w:autoSpaceDE w:val="0"/>
        <w:autoSpaceDN w:val="0"/>
        <w:adjustRightInd w:val="0"/>
        <w:jc w:val="both"/>
        <w:rPr>
          <w:color w:val="000000" w:themeColor="text1"/>
          <w:sz w:val="16"/>
          <w:szCs w:val="16"/>
        </w:rPr>
      </w:pPr>
    </w:p>
    <w:p w14:paraId="3E9D0A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январе 1930 года Г.Г.Бокис едет в Ленинград на завод «Большевик», на кото</w:t>
      </w:r>
      <w:r w:rsidRPr="00507A31">
        <w:rPr>
          <w:color w:val="000000" w:themeColor="text1"/>
          <w:sz w:val="16"/>
          <w:szCs w:val="16"/>
        </w:rPr>
        <w:softHyphen/>
        <w:t>ром дорабатывались чертежи и изготавливался образец легкого танка Т-26.</w:t>
      </w:r>
    </w:p>
    <w:p w14:paraId="29AC68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1 по 8 февраля 1930 года он уже в г. Перми на мото-авиамеханическом машиностроительном заводе, проверяет изготовление моторов для танков.</w:t>
      </w:r>
    </w:p>
    <w:p w14:paraId="562448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13 по 17 февраля Бокис в Харькове, на ХПЗ, где был изготовлен «ма</w:t>
      </w:r>
      <w:r w:rsidRPr="00507A31">
        <w:rPr>
          <w:color w:val="000000" w:themeColor="text1"/>
          <w:sz w:val="16"/>
          <w:szCs w:val="16"/>
        </w:rPr>
        <w:softHyphen/>
        <w:t>невренный» танк Т-12 и должны были проходить его испытания.</w:t>
      </w:r>
    </w:p>
    <w:p w14:paraId="48EF06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26 марта по 2 апреля он вновь в Ленинграде на заводе «Большевик». С 14 по 20 мая 1930 года опять едет из Москвы в Ленинград.</w:t>
      </w:r>
    </w:p>
    <w:p w14:paraId="14DA57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б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175286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4026C94" w14:textId="77777777" w:rsidR="00C63DE9" w:rsidRPr="00507A31" w:rsidRDefault="00C63DE9"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года. Были проведены переговоры с представителями фирмы "Катерпиллер", руководители которой не отказались помогать в проектировании завода, но выдвинули откровенно кабальные условия. Тогда было решено отказаться от помощи "Катерпиллера" и открыть в Америке "свое дело". Местом для него выбрали Детройт, город, где находились крупнейшие автотракторные заводы. Вскоре на 14-м этаже "Юнион Траст Билдинг" в Детройте появилась табличка "Челябинск трактор плэнт". Это была контора Челябтракторостроя. Для работ был привлечен целый ряд крупных американских специалистов. У фирмы "Катерпиллер" был куплен трактор, который тут же разобрали на части...(11252).</w:t>
      </w:r>
    </w:p>
    <w:p w14:paraId="7C0C512A" w14:textId="77777777" w:rsidR="00C63DE9" w:rsidRPr="00507A31" w:rsidRDefault="00C63DE9" w:rsidP="00507A31">
      <w:pPr>
        <w:autoSpaceDE w:val="0"/>
        <w:autoSpaceDN w:val="0"/>
        <w:adjustRightInd w:val="0"/>
        <w:jc w:val="both"/>
        <w:rPr>
          <w:color w:val="000000" w:themeColor="text1"/>
          <w:sz w:val="16"/>
          <w:szCs w:val="16"/>
        </w:rPr>
      </w:pPr>
    </w:p>
    <w:p w14:paraId="2C8CF931" w14:textId="77777777" w:rsidR="00C64AA2" w:rsidRPr="00507A31" w:rsidRDefault="00C64AA2" w:rsidP="00507A31">
      <w:pPr>
        <w:pStyle w:val="ae"/>
        <w:shd w:val="clear" w:color="auto" w:fill="FFFFFF"/>
        <w:spacing w:before="0" w:after="0"/>
        <w:jc w:val="both"/>
        <w:rPr>
          <w:color w:val="0070C0"/>
          <w:sz w:val="16"/>
          <w:szCs w:val="16"/>
        </w:rPr>
      </w:pPr>
      <w:r w:rsidRPr="00507A31">
        <w:rPr>
          <w:color w:val="0070C0"/>
          <w:sz w:val="16"/>
          <w:szCs w:val="16"/>
        </w:rPr>
        <w:t>В январе 1930 года опытный броневагон конструкции Н. И. Дыренкова был изготовлен Ижорским заводом. Ходовая и силовая части мотоброневагона крепились на мощной металлической раме. В центре рамы размещался автомобильный карбюраторный двигатель «Hercules» YXC мощностью 93 л. с. (закупавшийся в то время для грузовиков Ярославского автозавода), сопряженный с реверсной червячно-шестеренчатой коробкой перемены передач конструкции Н. И. Дыренкова (позже этой коробке был присвоен индекс Д-35). Она обеспечивала четыре скорости при движении вперед или назад. Ходовая часть вагона включала две типовые колесные пары от железнодорожных вагонов, одна из которых была ведущей. Броневой корпус мотоброневагона собирался на заклепках из листов брони толщиной 16 и 10 мм и закреплялся на раме при помощи угольников. На крыше корпуса, по центру, устанавливалась башня от танка МС-1. Вооружение мотоброневагона включало 37-мм пушку Гочкиса и пулемет ДТ во вращающейся башне, а также два станковых пулемета Максим и два ручных пулемета ДТ в шаровых установках по бортам и торцам корпуса. Экипаж вагона начитывал 11 человек. Испытания первого опытного мотоброневагона Дыренкова, проходившие под Ленинградом, выявили целый ряд конструктивных недостатков. Их исправление затянулось до конца 1930 года, после чего доработанному образцу вагона присвоили индекс Д-3.</w:t>
      </w:r>
    </w:p>
    <w:p w14:paraId="37409EB3" w14:textId="77777777" w:rsidR="00C64AA2" w:rsidRPr="00507A31" w:rsidRDefault="00C64AA2" w:rsidP="00507A31">
      <w:pPr>
        <w:pStyle w:val="ae"/>
        <w:shd w:val="clear" w:color="auto" w:fill="FFFFFF"/>
        <w:spacing w:before="0" w:after="0"/>
        <w:jc w:val="both"/>
        <w:rPr>
          <w:color w:val="0070C0"/>
          <w:sz w:val="16"/>
          <w:szCs w:val="16"/>
        </w:rPr>
      </w:pPr>
      <w:r w:rsidRPr="00507A31">
        <w:rPr>
          <w:color w:val="0070C0"/>
          <w:sz w:val="16"/>
          <w:szCs w:val="16"/>
        </w:rPr>
        <w:t>Одновременно с доработкой Д-3 неутомимый Н. И. Дыренков (параллельно работавший также над проектами танков, танкеток, бронемашин, вездеходов и т. п. собственной конструкции) представил чекистам и проект «усиленного» мотоброневагона, позже получившего индекс Д-2. Мотоброневагон Д-2 являл собой значительно увеличенный в размерах Д-3. Так, например, его колесная база выросла почти на 1 метр. Существенно усилилось вооружение — в двух вращающихся башнях разместили по 76,2-мм противоштурмовому (короткоствольному) орудию образца 1913 года на оригинальном станке, а количество пулеметов достигло 7 штук — четыре бортовых пулемета Максим и три ДТ (два из них в орудийных башнях). Численность экипажа увеличилась на пять человек и достигла 16. Однако силовая установка осталась такой же, как на более легком Д-3, — 95-сильный двигатель и реверсная коробка передач Н. И. Дыренкова Д-35 (22743).</w:t>
      </w:r>
    </w:p>
    <w:p w14:paraId="45150F58" w14:textId="77777777" w:rsidR="00C64AA2" w:rsidRPr="00507A31" w:rsidRDefault="00C64AA2" w:rsidP="00507A31">
      <w:pPr>
        <w:pStyle w:val="ae"/>
        <w:shd w:val="clear" w:color="auto" w:fill="FFFFFF"/>
        <w:spacing w:before="0" w:after="0"/>
        <w:jc w:val="both"/>
        <w:rPr>
          <w:color w:val="0070C0"/>
          <w:sz w:val="16"/>
          <w:szCs w:val="16"/>
        </w:rPr>
      </w:pPr>
    </w:p>
    <w:p w14:paraId="7F92AB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январе 1930 года, после рассмотрения результатов испытаний воору</w:t>
      </w:r>
      <w:r w:rsidRPr="00507A31">
        <w:rPr>
          <w:color w:val="000000" w:themeColor="text1"/>
          <w:sz w:val="16"/>
          <w:szCs w:val="16"/>
        </w:rPr>
        <w:softHyphen/>
        <w:t>женных легковых машин, научно-тех</w:t>
      </w:r>
      <w:r w:rsidRPr="00507A31">
        <w:rPr>
          <w:color w:val="000000" w:themeColor="text1"/>
          <w:sz w:val="16"/>
          <w:szCs w:val="16"/>
        </w:rPr>
        <w:softHyphen/>
        <w:t>нический комитет (НТК) УММ принял решение отказать</w:t>
      </w:r>
      <w:r w:rsidRPr="00507A31">
        <w:rPr>
          <w:color w:val="000000" w:themeColor="text1"/>
          <w:sz w:val="16"/>
          <w:szCs w:val="16"/>
        </w:rPr>
        <w:softHyphen/>
        <w:t>ся от использования НА</w:t>
      </w:r>
      <w:r w:rsidR="00C63DE9" w:rsidRPr="00507A31">
        <w:rPr>
          <w:color w:val="000000" w:themeColor="text1"/>
          <w:sz w:val="16"/>
          <w:szCs w:val="16"/>
        </w:rPr>
        <w:t>М</w:t>
      </w:r>
      <w:r w:rsidRPr="00507A31">
        <w:rPr>
          <w:color w:val="000000" w:themeColor="text1"/>
          <w:sz w:val="16"/>
          <w:szCs w:val="16"/>
        </w:rPr>
        <w:t>И-1 и продолжить работы только по «фордам». В своем письме, направленном начальнику НИОПа председателем 2-й секции НТК УММ РККА Сви</w:t>
      </w:r>
      <w:r w:rsidRPr="00507A31">
        <w:rPr>
          <w:color w:val="000000" w:themeColor="text1"/>
          <w:sz w:val="16"/>
          <w:szCs w:val="16"/>
        </w:rPr>
        <w:softHyphen/>
        <w:t>ридовым, говорилось:</w:t>
      </w:r>
    </w:p>
    <w:p w14:paraId="38CCEE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«...установки пулемета на автомобиле «Форд-А» будут перерабатываться. На заседании 6 секции артиллерийского управления Вам поручена доработка этой конструкции. По системе вооружения эта машина с пулеметной установ</w:t>
      </w:r>
      <w:r w:rsidRPr="00507A31">
        <w:rPr>
          <w:color w:val="000000" w:themeColor="text1"/>
          <w:sz w:val="16"/>
          <w:szCs w:val="16"/>
        </w:rPr>
        <w:softHyphen/>
        <w:t>кой должна иметь броневой щит вместо ветрового стекла. Толщина броневого щита 7 мм, высота должна быть такова, чтобы обеспечить поверх щита обзор местности стрелку и водителю. Кроме того, наблюдение должно быть обеспе</w:t>
      </w:r>
      <w:r w:rsidRPr="00507A31">
        <w:rPr>
          <w:color w:val="000000" w:themeColor="text1"/>
          <w:sz w:val="16"/>
          <w:szCs w:val="16"/>
        </w:rPr>
        <w:softHyphen/>
        <w:t>чено и через окна в броневом щите. Заказ на броневой щит предполагается передать Ижорскому заводу» (11284).</w:t>
      </w:r>
    </w:p>
    <w:p w14:paraId="28F43A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C6C6C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 начальник строительства ЧТЗ К.П.Ловин и главный инженер И.В.Иванов выехали в США, где вели переговоры об оказании нам технической помощи. Руководители фирмы "Катерпиллер" не отказывались помочь в проектировании завода, но выдвинули тяжёлые условия. Они потребовали в качестве вознаграждения за проект 3500 тыс. долларов и согласились представить его только на английском языке и только в американских, а не принятых на европейском континенте метрических мерах. По условиям фирмы наша страна не имела права экспортировать в течение 20 лет трактора типа "Катерпиллер". Кроме того, компания отказалась предоставлять техническую информацию о новейших усовершенствованиях в машинах, которые будут сделаны после сдачи проекта, т.е. руководители фирмы не желали развивать нас технически, да и считали невозможным сооружение подобного завода в СССР (11557).</w:t>
      </w:r>
    </w:p>
    <w:p w14:paraId="269667A9" w14:textId="77777777" w:rsidR="00537E5F" w:rsidRPr="00507A31" w:rsidRDefault="00537E5F" w:rsidP="00507A31">
      <w:pPr>
        <w:autoSpaceDE w:val="0"/>
        <w:autoSpaceDN w:val="0"/>
        <w:adjustRightInd w:val="0"/>
        <w:jc w:val="both"/>
        <w:rPr>
          <w:color w:val="000000" w:themeColor="text1"/>
          <w:sz w:val="16"/>
          <w:szCs w:val="16"/>
        </w:rPr>
      </w:pPr>
    </w:p>
    <w:p w14:paraId="731395E8" w14:textId="77777777" w:rsidR="00706618" w:rsidRPr="00507A31" w:rsidRDefault="00706618" w:rsidP="00507A31">
      <w:pPr>
        <w:jc w:val="both"/>
        <w:rPr>
          <w:color w:val="000000" w:themeColor="text1"/>
          <w:sz w:val="16"/>
          <w:szCs w:val="16"/>
        </w:rPr>
      </w:pPr>
      <w:r w:rsidRPr="00507A31">
        <w:rPr>
          <w:color w:val="000000" w:themeColor="text1"/>
          <w:sz w:val="16"/>
          <w:szCs w:val="16"/>
        </w:rPr>
        <w:t>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w:t>
      </w:r>
    </w:p>
    <w:p w14:paraId="516AEB7A" w14:textId="77777777" w:rsidR="00706618" w:rsidRPr="00507A31" w:rsidRDefault="00706618" w:rsidP="00507A31">
      <w:pPr>
        <w:jc w:val="both"/>
        <w:rPr>
          <w:color w:val="000000" w:themeColor="text1"/>
          <w:sz w:val="16"/>
          <w:szCs w:val="16"/>
        </w:rPr>
      </w:pPr>
      <w:r w:rsidRPr="00507A31">
        <w:rPr>
          <w:color w:val="000000" w:themeColor="text1"/>
          <w:sz w:val="16"/>
          <w:szCs w:val="16"/>
        </w:rPr>
        <w:t xml:space="preserve">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w:t>
      </w:r>
      <w:hyperlink r:id="rId26" w:tgtFrame="_blank" w:history="1">
        <w:r w:rsidRPr="00507A31">
          <w:rPr>
            <w:color w:val="000000" w:themeColor="text1"/>
            <w:sz w:val="16"/>
            <w:szCs w:val="16"/>
          </w:rPr>
          <w:t>танк</w:t>
        </w:r>
      </w:hyperlink>
      <w:r w:rsidRPr="00507A31">
        <w:rPr>
          <w:color w:val="000000" w:themeColor="text1"/>
          <w:sz w:val="16"/>
          <w:szCs w:val="16"/>
        </w:rPr>
        <w:t>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w:t>
      </w:r>
    </w:p>
    <w:p w14:paraId="0DD88D73" w14:textId="77777777" w:rsidR="00706618" w:rsidRPr="00507A31" w:rsidRDefault="00706618" w:rsidP="00507A31">
      <w:pPr>
        <w:jc w:val="both"/>
        <w:rPr>
          <w:color w:val="000000" w:themeColor="text1"/>
          <w:sz w:val="16"/>
          <w:szCs w:val="16"/>
        </w:rPr>
      </w:pPr>
      <w:r w:rsidRPr="00507A31">
        <w:rPr>
          <w:color w:val="000000" w:themeColor="text1"/>
          <w:sz w:val="16"/>
          <w:szCs w:val="16"/>
        </w:rPr>
        <w:t>Экипаж машины состоял из 11 человек - командира, водителя, двух командиров отделений пулеметчиков, одного артиллериста и шести пулеметчиков.</w:t>
      </w:r>
    </w:p>
    <w:p w14:paraId="47B73E5B" w14:textId="77777777" w:rsidR="00706618" w:rsidRPr="00507A31" w:rsidRDefault="00706618" w:rsidP="00507A31">
      <w:pPr>
        <w:jc w:val="both"/>
        <w:rPr>
          <w:color w:val="000000" w:themeColor="text1"/>
          <w:sz w:val="16"/>
          <w:szCs w:val="16"/>
        </w:rPr>
      </w:pPr>
      <w:r w:rsidRPr="00507A31">
        <w:rPr>
          <w:color w:val="000000" w:themeColor="text1"/>
          <w:sz w:val="16"/>
          <w:szCs w:val="16"/>
        </w:rPr>
        <w:t xml:space="preserve">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w:t>
      </w:r>
      <w:hyperlink r:id="rId27" w:tgtFrame="_blank" w:history="1">
        <w:r w:rsidRPr="00507A31">
          <w:rPr>
            <w:color w:val="000000" w:themeColor="text1"/>
            <w:sz w:val="16"/>
            <w:szCs w:val="16"/>
          </w:rPr>
          <w:t>танк</w:t>
        </w:r>
      </w:hyperlink>
      <w:r w:rsidRPr="00507A31">
        <w:rPr>
          <w:color w:val="000000" w:themeColor="text1"/>
          <w:sz w:val="16"/>
          <w:szCs w:val="16"/>
        </w:rPr>
        <w:t>а своей конструкции, работы по броневагону затянулись. Тем не менее, проектом бронированной автомотрисы заинтересовались и военные (15624).</w:t>
      </w:r>
    </w:p>
    <w:p w14:paraId="5BE01122" w14:textId="77777777" w:rsidR="00706618" w:rsidRPr="00507A31" w:rsidRDefault="00706618" w:rsidP="00507A31">
      <w:pPr>
        <w:jc w:val="both"/>
        <w:rPr>
          <w:color w:val="000000" w:themeColor="text1"/>
          <w:sz w:val="16"/>
          <w:szCs w:val="16"/>
        </w:rPr>
      </w:pPr>
    </w:p>
    <w:p w14:paraId="3DFE2AA8" w14:textId="77777777" w:rsidR="002B5819" w:rsidRPr="00507A31" w:rsidRDefault="002B5819" w:rsidP="00507A31">
      <w:pPr>
        <w:jc w:val="both"/>
        <w:rPr>
          <w:color w:val="000000" w:themeColor="text1"/>
          <w:sz w:val="16"/>
          <w:szCs w:val="16"/>
        </w:rPr>
      </w:pPr>
      <w:r w:rsidRPr="00507A31">
        <w:rPr>
          <w:color w:val="000000" w:themeColor="text1"/>
          <w:sz w:val="16"/>
          <w:szCs w:val="16"/>
        </w:rPr>
        <w:t>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 </w:t>
      </w:r>
    </w:p>
    <w:p w14:paraId="5AB738AF" w14:textId="77777777" w:rsidR="002B5819" w:rsidRPr="00507A31" w:rsidRDefault="002B5819" w:rsidP="00507A31">
      <w:pPr>
        <w:jc w:val="both"/>
        <w:rPr>
          <w:color w:val="000000" w:themeColor="text1"/>
          <w:sz w:val="16"/>
          <w:szCs w:val="16"/>
        </w:rPr>
      </w:pPr>
      <w:r w:rsidRPr="00507A31">
        <w:rPr>
          <w:color w:val="000000" w:themeColor="text1"/>
          <w:sz w:val="16"/>
          <w:szCs w:val="16"/>
        </w:rPr>
        <w:t xml:space="preserve">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танка МС-1 со штатным вооружением, откидной колпак которой заменили на командирскую башенку со </w:t>
      </w:r>
      <w:r w:rsidRPr="00507A31">
        <w:rPr>
          <w:color w:val="000000" w:themeColor="text1"/>
          <w:sz w:val="16"/>
          <w:szCs w:val="16"/>
        </w:rPr>
        <w:lastRenderedPageBreak/>
        <w:t>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 </w:t>
      </w:r>
    </w:p>
    <w:p w14:paraId="4206809E" w14:textId="77777777" w:rsidR="002B5819" w:rsidRPr="00507A31" w:rsidRDefault="002B5819" w:rsidP="00507A31">
      <w:pPr>
        <w:jc w:val="both"/>
        <w:rPr>
          <w:color w:val="000000" w:themeColor="text1"/>
          <w:sz w:val="16"/>
          <w:szCs w:val="16"/>
        </w:rPr>
      </w:pPr>
      <w:r w:rsidRPr="00507A31">
        <w:rPr>
          <w:color w:val="000000" w:themeColor="text1"/>
          <w:sz w:val="16"/>
          <w:szCs w:val="16"/>
        </w:rPr>
        <w:t>Экипаж машины состоял из 11 человек -командира, водителя, двух командиров отделений пулеметчиков, одного артиллериста и шести пулеметчиков. </w:t>
      </w:r>
    </w:p>
    <w:p w14:paraId="0E810E95" w14:textId="77777777" w:rsidR="002B5819" w:rsidRPr="00507A31" w:rsidRDefault="002B5819" w:rsidP="00507A31">
      <w:pPr>
        <w:jc w:val="both"/>
        <w:rPr>
          <w:color w:val="000000" w:themeColor="text1"/>
          <w:sz w:val="16"/>
          <w:szCs w:val="16"/>
        </w:rPr>
      </w:pPr>
      <w:r w:rsidRPr="00507A31">
        <w:rPr>
          <w:color w:val="000000" w:themeColor="text1"/>
          <w:sz w:val="16"/>
          <w:szCs w:val="16"/>
        </w:rPr>
        <w:t>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танка своей конструкции, работы по броневагону затянулись. Тем не менее, проектом бронированной автомотрисы заинтересовались и военные (18626).</w:t>
      </w:r>
    </w:p>
    <w:p w14:paraId="08193429" w14:textId="77777777" w:rsidR="002B5819" w:rsidRPr="00507A31" w:rsidRDefault="002B5819" w:rsidP="00507A31">
      <w:pPr>
        <w:jc w:val="both"/>
        <w:rPr>
          <w:color w:val="000000" w:themeColor="text1"/>
          <w:sz w:val="16"/>
          <w:szCs w:val="16"/>
        </w:rPr>
      </w:pPr>
    </w:p>
    <w:p w14:paraId="49F2CE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 завод (Завод динамо-машин «Сименс-Шуккерт», Завод динамомашин № 2 ВСНХ, Завод динамомашии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ЛенСНХ, МЭТП, ОАО «Электросила» /г. Санкт-Петербург,  г. Ленинград/ /196006  г. Санкт-Петербург Московский пр., 139/)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Главэнергопрома НКМС, затем передан в НКЭП.</w:t>
      </w:r>
    </w:p>
    <w:p w14:paraId="02D7BB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генераторов, электромоторов, ртутных выпрямителей, трансформаторов, различной аппаратуры. В 1930-е  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294734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«Сибэлектромотор».</w:t>
      </w:r>
    </w:p>
    <w:p w14:paraId="2BBC11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68F0F3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7EB443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6481BE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  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60728A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507A31">
        <w:rPr>
          <w:color w:val="000000" w:themeColor="text1"/>
          <w:sz w:val="16"/>
          <w:szCs w:val="16"/>
          <w:vertAlign w:val="superscript"/>
        </w:rPr>
        <w:t>131</w:t>
      </w:r>
    </w:p>
    <w:p w14:paraId="253082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2000 г. генераторами «Электросилы» оснащены в России (СНГ): 80% (60%) электростанций, 90% (70%) ГЭС, почти 100% (100%) АЭС.</w:t>
      </w:r>
    </w:p>
    <w:p w14:paraId="511473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18A137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(1913 г.)- 900 чел.</w:t>
      </w:r>
    </w:p>
    <w:p w14:paraId="7BE180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(1910-е)- Л.Б. Красин, (09.1938 г.)- Бриль. Гендиректор (1990-е)- В. Чернышев, (-2003-06 г.-)- Р.А. Урусов.</w:t>
      </w:r>
    </w:p>
    <w:p w14:paraId="1505BF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по персоналу и социальным вопросам (2007 г.)- В.А. Куншенко.</w:t>
      </w:r>
    </w:p>
    <w:p w14:paraId="188BDF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цехов: (-1941 г.)- Н.А. Богородицкий.</w:t>
      </w:r>
    </w:p>
    <w:p w14:paraId="490C12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Создано: погружные электродвигатели для движительно-рулевых комплексов подводных аппаратов.</w:t>
      </w:r>
    </w:p>
    <w:p w14:paraId="6F4079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177E3E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АО «Артур Коппель»</w:t>
      </w:r>
    </w:p>
    <w:p w14:paraId="61411A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1923-25 г. бывший завод Артура Коппеля влит в состав завода «Электросила».</w:t>
      </w:r>
    </w:p>
    <w:p w14:paraId="19A1E1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ручные и электрические лебедки, прожекторы для канонерских лодок (1905).</w:t>
      </w:r>
      <w:r w:rsidRPr="00507A31">
        <w:rPr>
          <w:color w:val="000000" w:themeColor="text1"/>
          <w:sz w:val="16"/>
          <w:szCs w:val="16"/>
          <w:vertAlign w:val="superscript"/>
        </w:rPr>
        <w:t xml:space="preserve">114 </w:t>
      </w:r>
      <w:r w:rsidRPr="00507A31">
        <w:rPr>
          <w:color w:val="000000" w:themeColor="text1"/>
          <w:sz w:val="16"/>
          <w:szCs w:val="16"/>
        </w:rPr>
        <w:t>Аккумуляторный завод «Рекс», Петроградский государственный аккумуляторный завод № 2 ВСНХ</w:t>
      </w:r>
    </w:p>
    <w:p w14:paraId="725CD4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6E5942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71686A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1919 г. было открыто отделение завода на Черноморском побережье.</w:t>
      </w:r>
      <w:r w:rsidRPr="00507A31">
        <w:rPr>
          <w:color w:val="000000" w:themeColor="text1"/>
          <w:sz w:val="16"/>
          <w:szCs w:val="16"/>
          <w:vertAlign w:val="superscript"/>
        </w:rPr>
        <w:t>131</w:t>
      </w:r>
    </w:p>
    <w:p w14:paraId="4DC17E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СКБ завода «Электросила»</w:t>
      </w:r>
    </w:p>
    <w:p w14:paraId="13119B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2576F9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Руководитель (-1948-49 г.-)- Е. Г. Комар.</w:t>
      </w:r>
    </w:p>
    <w:p w14:paraId="605CD5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конструкторы: (1948 г.)- И.Ф. Малышев (электромагнит, др. узлы ускорителя).</w:t>
      </w:r>
    </w:p>
    <w:p w14:paraId="646EC2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0829CF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46F7D7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507A31">
        <w:rPr>
          <w:color w:val="000000" w:themeColor="text1"/>
          <w:sz w:val="16"/>
          <w:szCs w:val="16"/>
          <w:vertAlign w:val="superscript"/>
        </w:rPr>
        <w:t>131</w:t>
      </w:r>
    </w:p>
    <w:p w14:paraId="2D02A8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«Металлист», Псковский электромашиностроительный завод (ПЭМЗ) им. 60-летия СССР, ОАО «ПЭМЗ»</w:t>
      </w:r>
    </w:p>
    <w:p w14:paraId="5A0FC3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/180004  г. Псков Октябрьский пр., 27 тел. 16-82-53 </w:t>
      </w:r>
      <w:r w:rsidR="00984C86" w:rsidRPr="00507A31">
        <w:rPr>
          <w:color w:val="000000" w:themeColor="text1"/>
          <w:sz w:val="16"/>
          <w:szCs w:val="16"/>
        </w:rPr>
        <w:fldChar w:fldCharType="begin"/>
      </w:r>
      <w:r w:rsidR="00984C86" w:rsidRPr="00507A31">
        <w:rPr>
          <w:color w:val="000000" w:themeColor="text1"/>
          <w:sz w:val="16"/>
          <w:szCs w:val="16"/>
        </w:rPr>
        <w:instrText xml:space="preserve">ref  HYPERLINK "http://www.pemz.ru/"  \* MERGEFORMAT </w:instrText>
      </w:r>
      <w:r w:rsidR="00984C86" w:rsidRPr="00507A31">
        <w:rPr>
          <w:color w:val="000000" w:themeColor="text1"/>
          <w:sz w:val="16"/>
          <w:szCs w:val="16"/>
        </w:rPr>
        <w:fldChar w:fldCharType="separate"/>
      </w:r>
      <w:r w:rsidRPr="00507A31">
        <w:rPr>
          <w:color w:val="000000" w:themeColor="text1"/>
          <w:sz w:val="16"/>
          <w:szCs w:val="16"/>
          <w:lang w:val="en-US"/>
        </w:rPr>
        <w:t>www</w:t>
      </w:r>
      <w:r w:rsidRPr="00507A31">
        <w:rPr>
          <w:color w:val="000000" w:themeColor="text1"/>
          <w:sz w:val="16"/>
          <w:szCs w:val="16"/>
        </w:rPr>
        <w:t>.</w:t>
      </w:r>
      <w:r w:rsidRPr="00507A31">
        <w:rPr>
          <w:color w:val="000000" w:themeColor="text1"/>
          <w:sz w:val="16"/>
          <w:szCs w:val="16"/>
          <w:lang w:val="en-US"/>
        </w:rPr>
        <w:t>pemz</w:t>
      </w:r>
      <w:r w:rsidRPr="00507A31">
        <w:rPr>
          <w:color w:val="000000" w:themeColor="text1"/>
          <w:sz w:val="16"/>
          <w:szCs w:val="16"/>
        </w:rPr>
        <w:t>.</w:t>
      </w:r>
      <w:r w:rsidRPr="00507A31">
        <w:rPr>
          <w:color w:val="000000" w:themeColor="text1"/>
          <w:sz w:val="16"/>
          <w:szCs w:val="16"/>
          <w:lang w:val="en-US"/>
        </w:rPr>
        <w:t>ru</w:t>
      </w:r>
      <w:r w:rsidRPr="00507A31">
        <w:rPr>
          <w:color w:val="000000" w:themeColor="text1"/>
          <w:sz w:val="16"/>
          <w:szCs w:val="16"/>
        </w:rPr>
        <w:t>/</w:t>
      </w:r>
      <w:r w:rsidR="00984C86" w:rsidRPr="00507A31">
        <w:rPr>
          <w:color w:val="000000" w:themeColor="text1"/>
          <w:sz w:val="16"/>
          <w:szCs w:val="16"/>
        </w:rPr>
        <w:fldChar w:fldCharType="end"/>
      </w:r>
    </w:p>
    <w:p w14:paraId="29CF07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Основан в 12.1895 г. А. Штейном как слесарная мастерская. В 1920-е  г. завод получил название «Металлист». Производство оборудования для льноперерабатывающей промышленности и добычи торфа.</w:t>
      </w:r>
    </w:p>
    <w:p w14:paraId="064EEC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  г. в Японии закуплено оборудование по производству микродвигателей для кассетных магнитофонов.</w:t>
      </w:r>
    </w:p>
    <w:p w14:paraId="1CC620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1982 г. заводу присвоено имя 60-летия СССР.</w:t>
      </w:r>
    </w:p>
    <w:p w14:paraId="77DADA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(1980 г.)- более 4000 чел., (2006 г.)- около 1100 чел.</w:t>
      </w:r>
    </w:p>
    <w:p w14:paraId="21EEB3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Гендиректор (2006 г.)- В.А. Игнатьев.</w:t>
      </w:r>
    </w:p>
    <w:p w14:paraId="5D6900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гендиректора по экономике и финансам (-2001 г.)- А. Кузьмицкий.</w:t>
      </w:r>
    </w:p>
    <w:p w14:paraId="2033E8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027171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Великолукский завод «Реостат»</w:t>
      </w:r>
    </w:p>
    <w:p w14:paraId="551B96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/182100  г. Великие Луки Псковской обл. ул. 3-й Ударной Армии, 65 тел. 44-240/'</w:t>
      </w:r>
    </w:p>
    <w:p w14:paraId="1E7A36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10.1962 г. Великолукский завод «Реостат» вошел в состав ЛПЭО «Электросила». В 2002 г. являлся ДП ОАО «Электросила».</w:t>
      </w:r>
    </w:p>
    <w:p w14:paraId="5187D2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(2002 г.): низковольтная электрическая аппаратура, контакторы, предохранители.</w:t>
      </w:r>
    </w:p>
    <w:p w14:paraId="62A890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(2002 г.)- 700 чел.</w:t>
      </w:r>
    </w:p>
    <w:p w14:paraId="77BD78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(2002 г.)- В.А. Железняков (11982).</w:t>
      </w:r>
    </w:p>
    <w:p w14:paraId="3ACAE1A2" w14:textId="77777777" w:rsidR="00537E5F" w:rsidRPr="00507A31" w:rsidRDefault="00537E5F" w:rsidP="00507A31">
      <w:pPr>
        <w:autoSpaceDE w:val="0"/>
        <w:autoSpaceDN w:val="0"/>
        <w:adjustRightInd w:val="0"/>
        <w:jc w:val="both"/>
        <w:rPr>
          <w:color w:val="000000" w:themeColor="text1"/>
          <w:sz w:val="16"/>
          <w:szCs w:val="16"/>
        </w:rPr>
      </w:pPr>
    </w:p>
    <w:p w14:paraId="143ECF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январе 1930 г. завод (ГС завод № 211 НКОП, НКАП, НКЭП, МПСС, МЭСЭП, МРТП, АО машиностроительных заводов «Я.М. Айваз», п/я 729, Завод электрических ламп накливания «Светлана» ВСНХ, Электровакуумный завод «Светлана» ВСНХ, НКТП, НКОП, Дважды ордена Ленина и дважды ордена Трудового Красного Знамени Ленинградское производственное объединение электронного приборостроения (ЛОЭП) «Светлана» МЭП, А-1632, Х-5263, АООТ, ОАО «Объединение «Светлана» / г. Санкт-Петербург,  г. Петроград,  г. Ленинград / /197022  г. Санкт-Петербург ул. Академика Павлова, 14А; ул. Энгельса, 27/) переименован в электровакуумный завод «Светлана». С 1930 г. - в ведении ВЭО, с 1931 г. - ВЭСО ВСНХ, с 1932 г. - ВЭСО НКТП. В 12.1936 г. завод передан в НКОП, по пр. № Обсс от 30.12.1936 г. переименован в завод № 211, приказом № 116 от 31.03.1937 г. утвержден Устав ГС завода № 211 5ГУ НКОП. В 01.1939 г. передан из 5ГУ НКОП в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48AF39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1928 г. впервые в СССР организован выпуск радиоламп. В связи с необходимостью увеличения выпуска радиоламп, на завод переведено электровакуумное производство ЦРЛ. Приказами № 0020 от 3.02.1937 г. и № 0101 от 7.05.1937 г. предписано к 1.01.1938 г. закончить реконструкцию завода и создать мощности по производству приемно-усилительных ламп (в т.ч. американских) - 12,3 млн. шт. в год. Приказом № 0063 от 27.03.1937 г. для реализации договора об инотехпомоши с фирмой «Радио-Корпорейшн», повышения качества средств вооружения РККА и внедрения американского опыта производства радиоламп и радиоаппаратуры заводу выдано задание выпустить в 1937 г. 1900 тыс. приемоусилительных металлических ламп; организовать к 1.07.1937 г. машиностроительный цех для изготовления станков лампового производства по американским образцам. Приказом № 0207 от 17.09.1937 г. заводу задан план на 4-й квартал 1937 г.: лампы: коммутаторные - 190 шт., генераторные - 1615 шт., газотроны - 1488 шт., кенотроны - 80 шт., для карманных фонарей - 550 шт.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- 20, насосный агрегат - 40, автомат сеточный - 80.</w:t>
      </w:r>
    </w:p>
    <w:p w14:paraId="053586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22.05.1928 г. в состав завода вошли электровакуумный завод и лаборатория С.А. Векшинского. На ее базе организована вакуумная лаборатория, в 1933 г. она получает статус отраслевой (ОВЛ). Действовали лаборатории (1930-е  г.): применения генераторных ламп; по разработке генераторных ламп средней мощности.</w:t>
      </w:r>
    </w:p>
    <w:p w14:paraId="7171F1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1930-31 г. созданы: первый тетрод СО-44, затем СТ-80, СО-95; в 1939 г.- генераторная лампа ИГ-8 для РЛС РУС-2. Производство аварийных газосветных ламп (1941 г.). В 1933-41 г. разработано и освоено в серии около 500 видов электровакуумных приборов.</w:t>
      </w:r>
    </w:p>
    <w:p w14:paraId="3B5B59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33 от 19.01.1937 г. в состав завода № 211 включен завод «Октябрь» 5ГУ на правах филиала (с самостоятельным балансом), по пр. № 127 от 1.04.1938 г. он выделен в самостоятельный завод № 396 ЖОП.</w:t>
      </w:r>
    </w:p>
    <w:p w14:paraId="3A920B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156с от 7/10.05.1938 г. необходимо было в 1938 г. организовать лабораторию для испытаний ламп; пр. № 290с требовалось к 31.12.1938 г. сдать в эксплуатацию опытный завод. В 1938 г. на заводе была разработана и изготовлена ( Г.И. Бабат, М. Г. Лозинский) высокочастотная закалочная установка. Для внедрения ее в промышленность пр. № 483с от 31.12.1938/2.01.1939 г. заводу поручено изготовить такие установки для заводов: № 234-к 1.04.1939 г., № 173-к 1.05.1939 г., №26-к 1.06.1939 г.</w:t>
      </w:r>
    </w:p>
    <w:p w14:paraId="0FD141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99сс от 11.07.1941 г. часть завода № 211 НКЭП эвакуирована в Новосибирск на площадку водочного завода и в помещения Дворца Труда. По пр. НКЭП № 231сс от 16.08.1941 г. эвакуированные в Новосибирск цеха реорганизованы в самостоятельный завод № 617 НКЭП.</w:t>
      </w:r>
      <w:r w:rsidRPr="00507A31">
        <w:rPr>
          <w:color w:val="000000" w:themeColor="text1"/>
          <w:sz w:val="16"/>
          <w:szCs w:val="16"/>
          <w:vertAlign w:val="superscript"/>
        </w:rPr>
        <w:t>149</w:t>
      </w:r>
    </w:p>
    <w:p w14:paraId="69C568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Часть завода осталась действовать в Ленинграде (и на 07.1942 г.), производство боеприпасов.</w:t>
      </w:r>
    </w:p>
    <w:p w14:paraId="553E16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03.1946 г. завод № 211 - в ведении МПСС, с 1952 г. - МЭСЭП, с 1954 г. - МРТП, с 1957 г. - Управления радиотехнической промышленности ЛенСНХ. Имел наименования «п/я 729» (1954 г.), «п/я А-1632».</w:t>
      </w:r>
    </w:p>
    <w:p w14:paraId="4A035A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войны завод становится крупнейшей в стране организацией по разработке и выпуску изделий электроники. В 1949 г. в состав ЛОЭП в качестве подразделения вошел завод рентгеновских приборов № 461, а в 1973 г.- КБ микроэлектроники.</w:t>
      </w:r>
    </w:p>
    <w:p w14:paraId="7DA421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Создана отечественная школа по разработке генераторных ламп (</w:t>
      </w:r>
      <w:r w:rsidRPr="00507A31">
        <w:rPr>
          <w:color w:val="000000" w:themeColor="text1"/>
          <w:sz w:val="16"/>
          <w:szCs w:val="16"/>
          <w:lang w:val="en-US"/>
        </w:rPr>
        <w:t>E</w:t>
      </w:r>
      <w:r w:rsidRPr="00507A31">
        <w:rPr>
          <w:color w:val="000000" w:themeColor="text1"/>
          <w:sz w:val="16"/>
          <w:szCs w:val="16"/>
        </w:rPr>
        <w:t>.</w:t>
      </w:r>
      <w:r w:rsidRPr="00507A31">
        <w:rPr>
          <w:color w:val="000000" w:themeColor="text1"/>
          <w:sz w:val="16"/>
          <w:szCs w:val="16"/>
          <w:lang w:val="en-US"/>
        </w:rPr>
        <w:t>JI</w:t>
      </w:r>
      <w:r w:rsidRPr="00507A31">
        <w:rPr>
          <w:color w:val="000000" w:themeColor="text1"/>
          <w:sz w:val="16"/>
          <w:szCs w:val="16"/>
        </w:rPr>
        <w:t>. Подгурский). В 1947 г. на заводе организовано производство первых отечественных металлокерамических ламп. В 1952 г. разработана первая отечественная двухфокусная медицинская рентгеновская трубка.</w:t>
      </w:r>
    </w:p>
    <w:p w14:paraId="1C99F9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1955 г. по решению правительства на заводе созданы подразделения по разработке и производству полупроводников, впервые в СССР организовано серийное производство транзисторов П1-П2. Далее это производство выделено в ЗАО «Светлана-Полупроводники». В 1965 г. организована лаборатория твердотельных СВЧ приборов.</w:t>
      </w:r>
    </w:p>
    <w:p w14:paraId="5A0337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1962 г. создано 9 первых в стране отраслевых объединений, в их числе- ЛОЭП «Светлана» на базе одноименного завода. С 1.10.1964 г. в состав ЛОЭП вошло предприятие «п/я 438» (бывший завод им. Ф. Энгельса; далее - «Светлана-Электронприбор»). В 03.1965 г. ЛЭОП передано в ведение МЭП. Имело наименование «п/я X- 5263». В составе ЛЭОП- несколько научно-производственных комплексов (НПК), в т.ч. по производству вакуумных ламп, полупроводниковых приборов, рентгеновской аппаратуры, электронных приборов. Организованы сборочные производства в Бабаево, Устюжне.</w:t>
      </w:r>
    </w:p>
    <w:p w14:paraId="486771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1975 г. разработана первая в стране 16-разрядная настольная ЭВМ на отечественных интегральных схемах, в 1979 г. создана первая в стране однокристальная микро-ЭВМ.</w:t>
      </w:r>
    </w:p>
    <w:p w14:paraId="436C3E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Созданы и освоены в производстве приборы для РЛ аппаратуры «Заслон-М», «Бук-М», «Спираль», «Сова», «С-27У СВЧ», «Копье», «Панцирь-С1».</w:t>
      </w:r>
    </w:p>
    <w:p w14:paraId="2AAF5E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1990 г. ЛОЭП «Светлана»- в ведении МЭП,</w:t>
      </w:r>
      <w:r w:rsidRPr="00507A31">
        <w:rPr>
          <w:color w:val="000000" w:themeColor="text1"/>
          <w:sz w:val="16"/>
          <w:szCs w:val="16"/>
          <w:vertAlign w:val="superscript"/>
        </w:rPr>
        <w:t>77</w:t>
      </w:r>
      <w:r w:rsidRPr="00507A31">
        <w:rPr>
          <w:color w:val="000000" w:themeColor="text1"/>
          <w:sz w:val="16"/>
          <w:szCs w:val="16"/>
        </w:rPr>
        <w:t xml:space="preserve"> в 1993 г. преобразовано в АООТ, а в 2002 г.- в ОАО «Объединение «Светлана».</w:t>
      </w:r>
      <w:r w:rsidRPr="00507A31">
        <w:rPr>
          <w:color w:val="000000" w:themeColor="text1"/>
          <w:sz w:val="16"/>
          <w:szCs w:val="16"/>
          <w:vertAlign w:val="superscript"/>
        </w:rPr>
        <w:t>131</w:t>
      </w:r>
      <w:r w:rsidRPr="00507A31">
        <w:rPr>
          <w:color w:val="000000" w:themeColor="text1"/>
          <w:sz w:val="16"/>
          <w:szCs w:val="16"/>
        </w:rPr>
        <w:t xml:space="preserve"> В 1997(9) г. «Светлана» вошла в состав холдинга «Российская электроника». По решению правительства № 22-р от 9.01.2004 г. вошло в перечень стратегических предприятий.</w:t>
      </w:r>
    </w:p>
    <w:p w14:paraId="24D4DA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1996 г. на территории предприятия создан инновационный технологический центр - Региональный фонд научно-технического развития Санкт-Петербурга.</w:t>
      </w:r>
    </w:p>
    <w:p w14:paraId="14D42B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2006 г. в состав объединения «Светлана» входили материнская компания ОАО «Светлана» и ряд дочерних предприятий (ДП), специализирующихся на определенном виде продукции. Каждое из них имело свое КБ и осуществляло полный цикл деятельности: «исследования-разработка-производство-реализация продукции». ДП: ЗАО «Светлана-Полупроводники», ЗАО «С.Е.Д.-СПб», ЗАО «Светлана-Рентген» (см. завод № 461), ЗАО «Светлана-Электронприбор», ЗАО «Светлана-Машиностроение», ЗАО «КТБ «Светлана-микроэлектроника», ОАО «КДЦ на Поклонной горе», ЗАО «Лайт Телеком», ЗАО «Светлана-ОСР», ЗАО «Светлана-Сервис», ООО «Светлана-Мультимедиа», ООО «Энергетик». Предприятия, входящие в состав ОАО «Светлана»: ЗАО «Светлана-Оптоэлектроника», ЗАО «Светлана-Карт», ЗАО «Санпресс-СПб», ЗАО «Светлана-Рост», ЗАО «Хитачи-Светлана Пауэр Электронике». Филиалы: Бабаевский завод электронной техники, Мало-Вишерский стекольный завод, завод «Онего».</w:t>
      </w:r>
    </w:p>
    <w:p w14:paraId="2A95C5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(-03.1937-21.11.1938; 1942 г.)- Н.А. Жук (снят); и.о. (-05-08.1938 г.-)- В.А. Восканьян; (5.11.1938 г.-)- В.П. Виноградов, (1947-52 г.)- А .А. Захаров, (1961-62 г.)- И.И. Каминский. Гендиректор (1962-69 г.)- И.И. Каминский, (1969-88 г.)- О.В. Филатов, (1988 г.-)-  Г.С. Хижа, (20.09.1994-2007 г.-)- В.В. Попов.</w:t>
      </w:r>
    </w:p>
    <w:p w14:paraId="4ECAD2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1-й зам. гендиректора: по экономике, финансам и управлению активами (2006 г.)- Н.Ю. Гладков; по производству и развитию (2005-06 г.-)- М.Б. Павлов. Зам. директора: (-11.02.1937 г.)- Н.И. Щеголь, (17.05.1937 г.-)- В.А. Восканян; по экономике- Б.Л. Уткин; по ПВО (29.07.1938 г.-)- Н.П. Михайлов. Зам. гендиректора: по коммерческим вопросам (1983-2006 г.-)- В.Б. Леонко; по управлению недвижимостью (2005-06 г.-)- В.В. Грушинский; (1962-73 г.)- Я.А. Кацман, (1975 г.-)- А.И. Боровской, (1994 г.-)- М.Б. Павлов. Помощник директора по найму и увольнению (8.03.1938 г.-)- И.И. Осипов.</w:t>
      </w:r>
    </w:p>
    <w:p w14:paraId="55E847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(1959-62 г.)- К.И. Бухарин, (1962-73 г.)- Я.А. Кацман, (-1984 г.)- В.Д. Степанов, (1984-92 г.)- А.И. Боровской, (1992 г.-)- В.В. Попов.</w:t>
      </w:r>
    </w:p>
    <w:p w14:paraId="4AF90A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гл. инженера- И.И. Каминский, (1962 г.)- К.И. Бухарин, Ю.К. Лесиш, (1968-75 г.)- А.И. Боровской, (-1973 г.)- Е.Л. Подгурский, (-1980 г.)- Е.Е. Хольнов, (1987-91 г.)- Л.И. Биндар.</w:t>
      </w:r>
    </w:p>
    <w:p w14:paraId="4F09CE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(1940 г.)- С.А. Зусмановский. Гл. технолог (1953-62 г.)- Я.А. Кацман, С.А. Оболенский.</w:t>
      </w:r>
    </w:p>
    <w:p w14:paraId="464F5A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производства (-1942 г.)- Я.А. Кацман, Б.Л. Уткин.</w:t>
      </w:r>
    </w:p>
    <w:p w14:paraId="6D594E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гл. механика (1966-67 г.)- В.Б. Леонко. Зам. начальника производства (1967-81 г.)- В.Б. Леонко.</w:t>
      </w:r>
    </w:p>
    <w:p w14:paraId="1617A5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НПК генераторных и модуляторных приборов (1977 г.-)- Ю.С. Сергеев.</w:t>
      </w:r>
    </w:p>
    <w:p w14:paraId="243410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гл. инженера НПК (-1994 г.)- А.С. Ванслов.</w:t>
      </w:r>
    </w:p>
    <w:p w14:paraId="7C6862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Начальники отделений: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C</w:t>
      </w:r>
      <w:r w:rsidRPr="00507A31">
        <w:rPr>
          <w:color w:val="000000" w:themeColor="text1"/>
          <w:sz w:val="16"/>
          <w:szCs w:val="16"/>
        </w:rPr>
        <w:t>. Прилуцкий.</w:t>
      </w:r>
    </w:p>
    <w:p w14:paraId="4B8CF9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отделения: по техническим вопросам- А.С. Ванслов.</w:t>
      </w:r>
    </w:p>
    <w:p w14:paraId="7A395C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конструкторы: (1964 г.-)- А.И. Боровской (полупроводниковые приборы), Н.Н. Серова (мощные генераторные лампы), Л. Г. Смарышева (ГИ-57А, -58А).</w:t>
      </w:r>
    </w:p>
    <w:p w14:paraId="059208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цехов: машиностроительного (1950 г.-)- И.И. Каминский; радиоламп (-1944 г.)- С.И. Рудковский; газотронов (1944-47 г.)- С.И. Рудковский; (-1941 г.)- К.И. Бухарин, Я.А. Кацман, Е.Л. Подгурский, (-1990 г.)- В.В. Попов, Б.Л. Уткин.</w:t>
      </w:r>
    </w:p>
    <w:p w14:paraId="4E66CF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цеха: полупроводниковых приборов (1961 г.-)- А.И. Боровской; (1964-66 г.)- В.Б. Леонко, (1985 г.-)- В.В. Попов.</w:t>
      </w:r>
    </w:p>
    <w:p w14:paraId="592881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Начальники отделов: технического (1938 г.)- Старик, (1985-87 г.)- Л.И. Биндар, </w:t>
      </w:r>
      <w:r w:rsidRPr="00507A31">
        <w:rPr>
          <w:color w:val="000000" w:themeColor="text1"/>
          <w:sz w:val="16"/>
          <w:szCs w:val="16"/>
          <w:lang w:val="en-US"/>
        </w:rPr>
        <w:t>E</w:t>
      </w:r>
      <w:r w:rsidRPr="00507A31">
        <w:rPr>
          <w:color w:val="000000" w:themeColor="text1"/>
          <w:sz w:val="16"/>
          <w:szCs w:val="16"/>
        </w:rPr>
        <w:t>.</w:t>
      </w:r>
      <w:r w:rsidRPr="00507A31">
        <w:rPr>
          <w:color w:val="000000" w:themeColor="text1"/>
          <w:sz w:val="16"/>
          <w:szCs w:val="16"/>
          <w:lang w:val="en-US"/>
        </w:rPr>
        <w:t>JI</w:t>
      </w:r>
      <w:r w:rsidRPr="00507A31">
        <w:rPr>
          <w:color w:val="000000" w:themeColor="text1"/>
          <w:sz w:val="16"/>
          <w:szCs w:val="16"/>
        </w:rPr>
        <w:t xml:space="preserve">. Подгурский; измерительного- С.А. Оболенский; ОТК- С.А. Оболенский;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C</w:t>
      </w:r>
      <w:r w:rsidRPr="00507A31">
        <w:rPr>
          <w:color w:val="000000" w:themeColor="text1"/>
          <w:sz w:val="16"/>
          <w:szCs w:val="16"/>
        </w:rPr>
        <w:t>. Прилуцкий, Ф.М. Рыбаков.</w:t>
      </w:r>
    </w:p>
    <w:p w14:paraId="020BEC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лабораторий: генераторных и модуляторных ламп-  Г.М. Московская; отражательных клистронов- С.М. Никифоров; твердотельных СВЧ приборов (1965 г.-)- Ю.С. Сергеев; мощных генераторных ламп (1974-89 г.)- Л. Г. Смарышева; ЦЗЛ- С.А. Оболенский; (1982 г.-)- Т.С. Абрамова, (1948 г.-)- К.И. Бухарин, А.С. Ванслов,  Г.Н. Голубчин, Я.А. Кацман, Е.Л. Подгурский, (1966-68 г.)- Р.Я. Рощин, В.Д. Степанов. Руководители групп: (-1933-39 г.)- С.А. Зусмановский.</w:t>
      </w:r>
    </w:p>
    <w:p w14:paraId="1E8C5B65"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Создано:</w:t>
      </w:r>
      <w:r w:rsidRPr="00507A31">
        <w:rPr>
          <w:color w:val="000000" w:themeColor="text1"/>
          <w:sz w:val="16"/>
          <w:szCs w:val="16"/>
        </w:rPr>
        <w:t xml:space="preserve"> мощный триод ГК-1А; генераторные лампы: ГИ-57А, -58А для РЛС «Дарьял». </w:t>
      </w:r>
      <w:r w:rsidRPr="00507A31">
        <w:rPr>
          <w:iCs/>
          <w:color w:val="000000" w:themeColor="text1"/>
          <w:sz w:val="16"/>
          <w:szCs w:val="16"/>
        </w:rPr>
        <w:t>Производство:</w:t>
      </w:r>
      <w:r w:rsidRPr="00507A31">
        <w:rPr>
          <w:color w:val="000000" w:themeColor="text1"/>
          <w:sz w:val="16"/>
          <w:szCs w:val="16"/>
        </w:rPr>
        <w:t xml:space="preserve"> лампы: накаливания (1920-38), коммутаторные (1937), генераторные (1937), газотроны (1937), кеноторны (1937), для карманных фонарей (-1936-37-), СО-118, СБ-147 (1938); транзистор П1-П2 (1956-); трубка 17ЛО; тиратрон ТГИ1-50; игнитроны; вторичноэлектронный умножитель ВЭУ-6, фотоэлементы, фотоэлектронные умножители; рентгеновские трубки; герконы; фильтры пьезоэлектрические;</w:t>
      </w:r>
      <w:r w:rsidRPr="00507A31">
        <w:rPr>
          <w:color w:val="000000" w:themeColor="text1"/>
          <w:sz w:val="16"/>
          <w:szCs w:val="16"/>
          <w:vertAlign w:val="superscript"/>
          <w:lang w:val="en-US"/>
        </w:rPr>
        <w:t>wwwsvetlana</w:t>
      </w:r>
      <w:r w:rsidRPr="00507A31">
        <w:rPr>
          <w:color w:val="000000" w:themeColor="text1"/>
          <w:sz w:val="16"/>
          <w:szCs w:val="16"/>
          <w:lang w:val="en-US"/>
        </w:rPr>
        <w:t>i</w:t>
      </w:r>
      <w:r w:rsidRPr="00507A31">
        <w:rPr>
          <w:color w:val="000000" w:themeColor="text1"/>
          <w:sz w:val="16"/>
          <w:szCs w:val="16"/>
          <w:vertAlign w:val="superscript"/>
          <w:lang w:val="en-US"/>
        </w:rPr>
        <w:t>scm</w:t>
      </w:r>
      <w:r w:rsidRPr="00507A31">
        <w:rPr>
          <w:color w:val="000000" w:themeColor="text1"/>
          <w:sz w:val="16"/>
          <w:szCs w:val="16"/>
        </w:rPr>
        <w:t xml:space="preserve"> ручная грната РГД-33 (ВОВ).</w:t>
      </w:r>
    </w:p>
    <w:p w14:paraId="099B06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Отраслевая вакуумная лаборатория (</w:t>
      </w:r>
      <w:r w:rsidRPr="00507A31">
        <w:rPr>
          <w:color w:val="000000" w:themeColor="text1"/>
          <w:sz w:val="16"/>
          <w:szCs w:val="16"/>
          <w:lang w:val="en-US"/>
        </w:rPr>
        <w:t>OBJI</w:t>
      </w:r>
      <w:r w:rsidRPr="00507A31">
        <w:rPr>
          <w:color w:val="000000" w:themeColor="text1"/>
          <w:sz w:val="16"/>
          <w:szCs w:val="16"/>
        </w:rPr>
        <w:t xml:space="preserve">) 22.05.1928 г. лаборатория С.А. Векшинского вошла в состав завода «Светлана». В 1933 г. вакуумная лаборатория завода «Светлана» получила статус отраслевой (ОВЛ). Начальник (-1933-36 г.)- академик С.А. Векшинский. Зам. начальника- С.А. Оболенский. </w:t>
      </w:r>
      <w:r w:rsidRPr="00507A31">
        <w:rPr>
          <w:iCs/>
          <w:color w:val="000000" w:themeColor="text1"/>
          <w:sz w:val="16"/>
          <w:szCs w:val="16"/>
        </w:rPr>
        <w:t>Создано:</w:t>
      </w:r>
      <w:r w:rsidRPr="00507A31">
        <w:rPr>
          <w:color w:val="000000" w:themeColor="text1"/>
          <w:sz w:val="16"/>
          <w:szCs w:val="16"/>
        </w:rPr>
        <w:t xml:space="preserve"> мощные генераторные лампы (МГЛ) (1937) (11982).</w:t>
      </w:r>
    </w:p>
    <w:p w14:paraId="1B5E515C" w14:textId="77777777" w:rsidR="00537E5F" w:rsidRPr="00507A31" w:rsidRDefault="00537E5F" w:rsidP="00507A31">
      <w:pPr>
        <w:autoSpaceDE w:val="0"/>
        <w:autoSpaceDN w:val="0"/>
        <w:adjustRightInd w:val="0"/>
        <w:jc w:val="both"/>
        <w:rPr>
          <w:color w:val="000000" w:themeColor="text1"/>
          <w:sz w:val="16"/>
          <w:szCs w:val="16"/>
        </w:rPr>
      </w:pPr>
    </w:p>
    <w:p w14:paraId="0C6401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 недавно созданное объединение стало называться Государственным всесоюзным объединением нефтяной и газовой промышленности ВСНХ СССР «Союзнефть». На базе «Нефтесиндиката» создавался трест «Союзнефтесбыт». В структуре объединения, наряду с центральным аппаратом, в 1930 г. существовали тресты «Азнефть», «Грознефть», «Эмбанефть», «Сахалиннефть», «Средазнефть», «Туркменнефть», «Востокнефть», «Нефтепроводстрой», «Нефтезаводы» (11522).</w:t>
      </w:r>
    </w:p>
    <w:p w14:paraId="73ABA4B6" w14:textId="77777777" w:rsidR="00537E5F" w:rsidRPr="00507A31" w:rsidRDefault="00537E5F" w:rsidP="00507A31">
      <w:pPr>
        <w:autoSpaceDE w:val="0"/>
        <w:autoSpaceDN w:val="0"/>
        <w:adjustRightInd w:val="0"/>
        <w:jc w:val="both"/>
        <w:rPr>
          <w:color w:val="000000" w:themeColor="text1"/>
          <w:sz w:val="16"/>
          <w:szCs w:val="16"/>
        </w:rPr>
      </w:pPr>
    </w:p>
    <w:p w14:paraId="1ADAC75E" w14:textId="77777777" w:rsidR="002B5819" w:rsidRPr="00507A31" w:rsidRDefault="002B5819" w:rsidP="00507A31">
      <w:pPr>
        <w:jc w:val="both"/>
        <w:rPr>
          <w:color w:val="000000" w:themeColor="text1"/>
          <w:sz w:val="16"/>
          <w:szCs w:val="16"/>
        </w:rPr>
      </w:pPr>
      <w:r w:rsidRPr="00507A31">
        <w:rPr>
          <w:color w:val="000000" w:themeColor="text1"/>
          <w:sz w:val="16"/>
          <w:szCs w:val="16"/>
        </w:rPr>
        <w:t>В январе 1930 г. МПУ ВСНХ поставило задачу СУ ВЭО приступить к разработке агрегатов питания для основных типов радиостанций, чтобы избавиться от импортной зависимости. В первую очередь требовались машины к станциям «Шторм» и «Шквал». Разработка и серийное изготовление силовой аппаратуры было поручена нескольким электрозаводам сильного тока, в том числе ленинградским «Электрик» и «Электросила», московскому «Электрозаводу», а также Всесоюзному электротехническому институту. Разработка шла очень медленно, так что даже для радиостанций, выпускавшихся в 1932 г., машины частично пришлось закупать за границей3. Качество же освоенных в производстве отечественных агрегатов питания, например, для радиостанций «Зарница», выпущенных «Электрозаводом», было таковым, что на заводе им. Коминтерна их были вынуждены переделывать (18297).</w:t>
      </w:r>
    </w:p>
    <w:p w14:paraId="561F0E54" w14:textId="77777777" w:rsidR="002B5819" w:rsidRPr="00507A31" w:rsidRDefault="002B5819" w:rsidP="00507A31">
      <w:pPr>
        <w:jc w:val="both"/>
        <w:rPr>
          <w:color w:val="000000" w:themeColor="text1"/>
          <w:sz w:val="16"/>
          <w:szCs w:val="16"/>
        </w:rPr>
      </w:pPr>
    </w:p>
    <w:p w14:paraId="00759A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 согласно правил Лозаннской кон</w:t>
      </w:r>
      <w:r w:rsidRPr="00507A31">
        <w:rPr>
          <w:color w:val="000000" w:themeColor="text1"/>
          <w:sz w:val="16"/>
          <w:szCs w:val="16"/>
        </w:rPr>
        <w:softHyphen/>
        <w:t>венции о проливах в Черное море через Дарданеллы и Босфор вошли линкор "Парижская коммуна" и крейсер "Профинтерн" (3898).</w:t>
      </w:r>
    </w:p>
    <w:p w14:paraId="3ABB1FAF" w14:textId="77777777" w:rsidR="00537E5F" w:rsidRPr="00507A31" w:rsidRDefault="00537E5F" w:rsidP="00507A31">
      <w:pPr>
        <w:autoSpaceDE w:val="0"/>
        <w:autoSpaceDN w:val="0"/>
        <w:adjustRightInd w:val="0"/>
        <w:jc w:val="both"/>
        <w:rPr>
          <w:color w:val="000000" w:themeColor="text1"/>
          <w:sz w:val="16"/>
          <w:szCs w:val="16"/>
        </w:rPr>
      </w:pPr>
    </w:p>
    <w:p w14:paraId="37BB51B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2839E5CB" w14:textId="77777777" w:rsidR="00537E5F" w:rsidRPr="00507A31" w:rsidRDefault="00537E5F" w:rsidP="00507A31">
      <w:pPr>
        <w:autoSpaceDE w:val="0"/>
        <w:autoSpaceDN w:val="0"/>
        <w:adjustRightInd w:val="0"/>
        <w:jc w:val="both"/>
        <w:rPr>
          <w:iCs/>
          <w:color w:val="000000" w:themeColor="text1"/>
          <w:sz w:val="16"/>
          <w:szCs w:val="16"/>
        </w:rPr>
      </w:pPr>
    </w:p>
    <w:p w14:paraId="503165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 в "Требования к самолетам ВВС РККА", утвержденные Реввоенсоветом СССР, включили положение о том, что целесообразнее приспосабливать для несения мин и торпед серийные бомбардировщики и "крейсера" (многоцелевые машины). Затем этот тезис нашел свое отражение и в программном документе "Система вооружения ВВС РККА", определившим тематику технических заданий конструкторам на первую половину 30-х годов. В нем предусматривалось наличие в ВВС двух основных видов торпедоносцев: ближнего действия (для нужд береговой обороны) - на базе легкого бомбардировщика или "крейсера", и дальнего действия (в открытом море вдали от берегов) - на основе тяжелого бомбардировщика. В соответствии с этим в июле 1933 г. Реввоенсоветом было принято решение приспособить к роли торпедоносцев самолеты Р-5, Р-6 и ТБ-3 (12002).</w:t>
      </w:r>
    </w:p>
    <w:p w14:paraId="1204482C" w14:textId="77777777" w:rsidR="00537E5F" w:rsidRPr="00507A31" w:rsidRDefault="00537E5F" w:rsidP="00507A31">
      <w:pPr>
        <w:autoSpaceDE w:val="0"/>
        <w:autoSpaceDN w:val="0"/>
        <w:adjustRightInd w:val="0"/>
        <w:jc w:val="both"/>
        <w:rPr>
          <w:color w:val="000000" w:themeColor="text1"/>
          <w:sz w:val="16"/>
          <w:szCs w:val="16"/>
        </w:rPr>
      </w:pPr>
    </w:p>
    <w:p w14:paraId="495170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месяце 1930 УММ вошло в РЗ СТО об определении контингента автотранспорта для УММ. Решением РЗ СТО была образована специальная комиссия для распределения автотранспорта. Согласно решений этой комиссии для Наркомвоенмора был определен автоконтингент в размере 360 легковых автомобилей и 1884 грузовых автомобилей. Это распределение было утверждено Советом Труда и Обороны (10977).</w:t>
      </w:r>
    </w:p>
    <w:p w14:paraId="54430D7D" w14:textId="77777777" w:rsidR="00537E5F" w:rsidRPr="00507A31" w:rsidRDefault="00537E5F" w:rsidP="00507A31">
      <w:pPr>
        <w:autoSpaceDE w:val="0"/>
        <w:autoSpaceDN w:val="0"/>
        <w:adjustRightInd w:val="0"/>
        <w:jc w:val="both"/>
        <w:rPr>
          <w:color w:val="000000" w:themeColor="text1"/>
          <w:sz w:val="16"/>
          <w:szCs w:val="16"/>
        </w:rPr>
      </w:pPr>
    </w:p>
    <w:p w14:paraId="2B694B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 в маневрах на Украине последний раз использовали ФГ-62, которые передали как учебные эскадрильям формируемой 11-й авиабригады в Воронеже. Из двух самолетов, прибывших в Харьков, один совершил два транспортных полета для перевозки комсостава.</w:t>
      </w:r>
    </w:p>
    <w:p w14:paraId="018443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ЮГ-1 ненадолго стал единственным типом тяжелого бомбардировщика в ВВС РККА. Несмотря на недостатки, общая надежность немецких машин была выше, чем у многих отечественных машин и значительно выше, чем у "Голиафов". В 1930 г. 55-ю и 57-ю эскадрильи признали лучшими по безаварийности полетов в Ленинградском военном округе. Но в том же году ВВС РККА получили первые отечественные бомбардировщики ТБ-1, на которые начали поспешно перевооружать тяжелобомбардировочные части.</w:t>
      </w:r>
    </w:p>
    <w:p w14:paraId="4A2159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"Юнкерсы" передали сначала в морскую авиацию, затем в ГВФ, где они эксплуатировались до 1936 г. (12036).</w:t>
      </w:r>
    </w:p>
    <w:p w14:paraId="7C627B8C" w14:textId="77777777" w:rsidR="00537E5F" w:rsidRPr="00507A31" w:rsidRDefault="00537E5F" w:rsidP="00507A31">
      <w:pPr>
        <w:autoSpaceDE w:val="0"/>
        <w:autoSpaceDN w:val="0"/>
        <w:adjustRightInd w:val="0"/>
        <w:jc w:val="both"/>
        <w:rPr>
          <w:color w:val="000000" w:themeColor="text1"/>
          <w:sz w:val="16"/>
          <w:szCs w:val="16"/>
        </w:rPr>
      </w:pPr>
    </w:p>
    <w:p w14:paraId="692AB320" w14:textId="77777777" w:rsidR="00BA117A" w:rsidRPr="00507A31" w:rsidRDefault="00BA117A" w:rsidP="00507A31">
      <w:pPr>
        <w:jc w:val="both"/>
        <w:rPr>
          <w:color w:val="000000" w:themeColor="text1"/>
          <w:sz w:val="16"/>
          <w:szCs w:val="16"/>
        </w:rPr>
      </w:pPr>
      <w:r w:rsidRPr="00507A31">
        <w:rPr>
          <w:color w:val="000000" w:themeColor="text1"/>
          <w:sz w:val="16"/>
          <w:szCs w:val="16"/>
        </w:rPr>
        <w:t>В январе 1930 г. Заместитель Начальника ВВС (ответственный редактор «Вестника воздушного флота») Я.И. Алкснис в своей статье «Задачи на новый год» подвел итоги работы журнала за прошедший год и поставил задачи на новый учебный год. Я.И. Алкснис, отдавая должное провозглашенному ВКП(б) ускорению строительства социализма, писал, что увеличение «темпов работы сплошь и к ряду есть дело лишь организации [курсив наш]. Рационализация и стандартизация в области технической эксплуатации материальной части должна все более и более углубляться, развиваться и усовершенствоваться. (…) В одиночку, в отрыве от опыта других частей, темп работы [курсив наш] не может быть быстрым. Опытом необходимо обмениваться. [Далее автор говорит о том, для чего существует журнал «Вестник воздушного флота»]. «Вестник» ставит себе задачей и впредь в максимальной степени обеспечивать этот обмен опытом, который должен в конечном итоге преследовать одну единственную задачу – задачу дальнейшего повышения боеспособности и боеготовности наших воздушных сил» [курсив наш]. Редакционная коллегия, ставя себе задачей и на будущий год по-прежнему всемерно содействовать повышению боевой мощи воздушных сил, приглашает наши активные творческие силы принять участие в проработке всех вопросов, так или иначе связанных с этой задачей [курсив наш]. В дружных усилиях, все более и более качественно высоких, к новым успехам, к новым победам» 1 . Как видим, ответственный редактор «Вестника воздушного флота» в 1930 г. призывает авторов в новом учебном году вести через журнал обмен опытом и присылать статьи не на какие-то узкоспециальные темы, а расширять творческое поле до проработки всех вопросов, которые содействовали бы повышению боевой мощи воздушных сил (19566).</w:t>
      </w:r>
    </w:p>
    <w:p w14:paraId="2626C9D6" w14:textId="77777777" w:rsidR="00BA117A" w:rsidRPr="00507A31" w:rsidRDefault="00BA117A" w:rsidP="00507A31">
      <w:pPr>
        <w:jc w:val="both"/>
        <w:rPr>
          <w:color w:val="000000" w:themeColor="text1"/>
          <w:sz w:val="16"/>
          <w:szCs w:val="16"/>
        </w:rPr>
      </w:pPr>
    </w:p>
    <w:p w14:paraId="3919F03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320F673" w14:textId="77777777" w:rsidR="00537E5F" w:rsidRPr="00507A31" w:rsidRDefault="00537E5F" w:rsidP="00507A31">
      <w:pPr>
        <w:autoSpaceDE w:val="0"/>
        <w:autoSpaceDN w:val="0"/>
        <w:adjustRightInd w:val="0"/>
        <w:jc w:val="both"/>
        <w:rPr>
          <w:iCs/>
          <w:color w:val="000000" w:themeColor="text1"/>
          <w:sz w:val="16"/>
          <w:szCs w:val="16"/>
        </w:rPr>
      </w:pPr>
    </w:p>
    <w:p w14:paraId="129B61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в преддверие нового советского праздника — шестой годовщины смерти «Ленина» — в газете «Правда» появилось предложение отметить его ударным ростом ударных бригад. Так как «Правда» являлась печатным органом, не чего-нибудь, а ЦК ВКП(б), все всё поняли. Особенно решил выделиться сибирский крайсовет профсоюзов, который через прессу бросил по региону клич о мобилизации «50 тысяч новых ударников-ленинцев». Щекотливость ситуации заключалась в том, что во всей Сибири на тот момент в целом не набиралось и 20 тысяч промышленных рабочих. К сожалению, не имею информации о том, чем результировал клич сибирских профсоюзников, — однако, согласно официальной информации, по Союзу «в короткий срок» количество ударников достигло 1,5 миллиона человек. Причём движение начало развиваться как раз в том направлении, которое активно обсуждалось на первом съезде ударных бригад, — от ударной бригады к ударному цеху, от ударного цеха к ударному предприятию.</w:t>
      </w:r>
    </w:p>
    <w:p w14:paraId="6DF4C5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Такое расширение ударничества было, без сомнения, призвано способствовать выполнению новых, скорректированных «великим вождём» в сторону резкого увеличения планов пятилетки. Труд ударников в назидание остальным решили поощрять: заносили в списки ударников, вручали почётные грамоты и переходящие знамёна, снабжали в первую очередь и лучшими материалами — но, самое главное, им выделяли увеличенный хлебный паёк, установили повышенные нормы по мясу и жирам (на 25 и 50% соответственно), увеличили количество дней с мясными обедами на предприятиях, в первую очередь выдавали ордера (довольно, впрочем, скудные) на дефицитные промтовары. Это стало возможным после принятия в сентябре 1929 решения об образовании фондов содействия социалистическому соревнованию, которые формировались из отчислений предприятий в размере 40% от суммы экономии, достигнутой в результате проведения соревнования. И если поначалу соревнование проявлялось в виде трудового соперничества между родственными предприятиями, то теперь на первый план вышло внутризаводское соревнование между цехами, сменами, бригадами и отдельными рабочими.</w:t>
      </w:r>
    </w:p>
    <w:p w14:paraId="624976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слепое администрирование вкупе со льготами впервые (но далеко не в последний раз) привело к эффекту, который тогда получил название «лжеударничества»: в бригады записывались именно ради ништяков. В.З. Роговин в этой связи приводит выдержку из выступления Л. Кагановича перед московским партактивом — тот рассказал о своей беседе с рабочим, задавшим вопрос: «Почему ударнику дали пальто, а мне, неударнику, не дают?» «А ты пойди в ударную бригаду и тебе дадут», — ответил Каганович. Народ в массе своей так и сделал, понятное дело. В результате проверка на Кувшинском заводе (Свердловск), например, показала, что из 1000 ударников только 66 человек добросовестно относились к работе. А несколько индивидов, считавшихся ударниками, были уволены за злостные прогулы. Аналогичные примеры наблюдались и на кожзаводе «Труд», и на заводе «Красный пахарь». Естественно, что подобные штучки обнаруживались далеко не только в столице Урала. И очень быстро действенность бригад упала, пошли вниз и показатели трудовой дисциплины (борьба за которую являлась одним из краеугольных камней ударничества) (11562).</w:t>
      </w:r>
    </w:p>
    <w:p w14:paraId="3753CC91" w14:textId="77777777" w:rsidR="00537E5F" w:rsidRPr="00507A31" w:rsidRDefault="00537E5F" w:rsidP="00507A31">
      <w:pPr>
        <w:autoSpaceDE w:val="0"/>
        <w:autoSpaceDN w:val="0"/>
        <w:adjustRightInd w:val="0"/>
        <w:jc w:val="both"/>
        <w:rPr>
          <w:color w:val="000000" w:themeColor="text1"/>
          <w:sz w:val="16"/>
          <w:szCs w:val="16"/>
        </w:rPr>
      </w:pPr>
    </w:p>
    <w:p w14:paraId="24DB95C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январе 1930 года власти начали кампанию по искоренению "частного предпринимательства". Эта операция была направлена против торговцев, ремесленников, а также многих представителей свободных профессий, в целом их было зафиксировано около полутора миллионов. Во времена НЭПа они весьма мирно трудились в "частном секторе". Эти предприниматели, частный капитал которых в торговле не превышал 1000 рублей (98% из них не использовали ни одного наемного работника), были быстро лишены возможности продолжать свою деятельность удесятерением их налогообложения, конфискацией имущества, как "деклассированные, паразитические или "социально чуждые элементы", лишены всех гражданских прав, как сходящие на нет "бывшие" или как "члены прежнего класса имущих и царского аппарата" (6804).</w:t>
      </w:r>
    </w:p>
    <w:p w14:paraId="170D57C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5EDED8B" w14:textId="77777777" w:rsidR="004F2A23" w:rsidRPr="00507A31" w:rsidRDefault="004F2A23" w:rsidP="00507A31">
      <w:pPr>
        <w:jc w:val="both"/>
        <w:rPr>
          <w:color w:val="000000" w:themeColor="text1"/>
          <w:sz w:val="16"/>
          <w:szCs w:val="16"/>
        </w:rPr>
      </w:pPr>
      <w:r w:rsidRPr="00507A31">
        <w:rPr>
          <w:color w:val="000000" w:themeColor="text1"/>
          <w:sz w:val="16"/>
          <w:szCs w:val="16"/>
        </w:rPr>
        <w:lastRenderedPageBreak/>
        <w:t>Январь 1930. Во втором квартале установлена следующая норма отпуска хозяйственного мыла: рабочим - 1000 граммов на квартал (3 месяца), Другим трудящимся и семьям рабочих - 750 граммов, сельскому населению - 250 граммов (18725).</w:t>
      </w:r>
    </w:p>
    <w:p w14:paraId="43BEF5CA" w14:textId="77777777" w:rsidR="004F2A23" w:rsidRPr="00507A31" w:rsidRDefault="004F2A23" w:rsidP="00507A31">
      <w:pPr>
        <w:jc w:val="both"/>
        <w:rPr>
          <w:color w:val="000000" w:themeColor="text1"/>
          <w:sz w:val="16"/>
          <w:szCs w:val="16"/>
        </w:rPr>
      </w:pPr>
    </w:p>
    <w:p w14:paraId="0FE82FCF" w14:textId="77777777" w:rsidR="00C63DE9" w:rsidRPr="00507A31" w:rsidRDefault="00C63DE9" w:rsidP="00507A31">
      <w:pPr>
        <w:tabs>
          <w:tab w:val="left" w:pos="11199"/>
        </w:tabs>
        <w:autoSpaceDE w:val="0"/>
        <w:autoSpaceDN w:val="0"/>
        <w:adjustRightInd w:val="0"/>
        <w:jc w:val="both"/>
        <w:rPr>
          <w:color w:val="000000" w:themeColor="text1"/>
          <w:sz w:val="16"/>
          <w:szCs w:val="16"/>
        </w:rPr>
      </w:pPr>
      <w:r w:rsidRPr="00507A31">
        <w:rPr>
          <w:rStyle w:val="highlight"/>
          <w:color w:val="000000" w:themeColor="text1"/>
          <w:sz w:val="16"/>
          <w:szCs w:val="16"/>
        </w:rPr>
        <w:t>В  январе  1930 </w:t>
      </w:r>
      <w:r w:rsidRPr="00507A31">
        <w:rPr>
          <w:color w:val="000000" w:themeColor="text1"/>
          <w:sz w:val="16"/>
          <w:szCs w:val="16"/>
        </w:rPr>
        <w:t xml:space="preserve"> г. было покончено </w:t>
      </w:r>
      <w:r w:rsidRPr="00507A31">
        <w:rPr>
          <w:rStyle w:val="highlight"/>
          <w:color w:val="000000" w:themeColor="text1"/>
          <w:sz w:val="16"/>
          <w:szCs w:val="16"/>
        </w:rPr>
        <w:t> </w:t>
      </w:r>
      <w:r w:rsidRPr="00507A31">
        <w:rPr>
          <w:color w:val="000000" w:themeColor="text1"/>
          <w:sz w:val="16"/>
          <w:szCs w:val="16"/>
        </w:rPr>
        <w:t xml:space="preserve"> с развитием женского движения в стране, когда в ходе реорганизации партийного аппарата были упразднены женотделы. Таким образом, с началом </w:t>
      </w:r>
      <w:bookmarkStart w:id="20" w:name="YANDEX_6"/>
      <w:bookmarkEnd w:id="20"/>
      <w:r w:rsidRPr="00507A31">
        <w:rPr>
          <w:rStyle w:val="highlight"/>
          <w:color w:val="000000" w:themeColor="text1"/>
          <w:sz w:val="16"/>
          <w:szCs w:val="16"/>
        </w:rPr>
        <w:t> 1930 </w:t>
      </w:r>
      <w:bookmarkStart w:id="21" w:name="YANDEX_LAST"/>
      <w:bookmarkEnd w:id="21"/>
      <w:r w:rsidRPr="00507A31">
        <w:rPr>
          <w:color w:val="000000" w:themeColor="text1"/>
          <w:sz w:val="16"/>
          <w:szCs w:val="16"/>
        </w:rPr>
        <w:t>-х гг. решение проблем женщин государственной властью происходило при отсутствии контроля со стороны женского движения. «Огосударствление» женщины произошло, однако образ «новой» женщины не смог в конечном итоге вытеснить традиционные представления о ней как о матери, жене и хозяйке дома (17242).</w:t>
      </w:r>
    </w:p>
    <w:p w14:paraId="597EE17A" w14:textId="77777777" w:rsidR="00C63DE9" w:rsidRPr="00507A31" w:rsidRDefault="00C63DE9" w:rsidP="00507A31">
      <w:pPr>
        <w:tabs>
          <w:tab w:val="left" w:pos="11199"/>
        </w:tabs>
        <w:autoSpaceDE w:val="0"/>
        <w:autoSpaceDN w:val="0"/>
        <w:adjustRightInd w:val="0"/>
        <w:jc w:val="both"/>
        <w:rPr>
          <w:color w:val="000000" w:themeColor="text1"/>
          <w:sz w:val="16"/>
          <w:szCs w:val="16"/>
        </w:rPr>
      </w:pPr>
    </w:p>
    <w:p w14:paraId="739CF7E2" w14:textId="77777777" w:rsidR="00FD573E" w:rsidRPr="00507A31" w:rsidRDefault="00FD573E" w:rsidP="00507A31">
      <w:pPr>
        <w:tabs>
          <w:tab w:val="left" w:pos="11199"/>
        </w:tabs>
        <w:autoSpaceDE w:val="0"/>
        <w:autoSpaceDN w:val="0"/>
        <w:adjustRightInd w:val="0"/>
        <w:jc w:val="both"/>
        <w:rPr>
          <w:color w:val="000000" w:themeColor="text1"/>
          <w:sz w:val="16"/>
          <w:szCs w:val="16"/>
        </w:rPr>
      </w:pPr>
      <w:r w:rsidRPr="00507A31">
        <w:rPr>
          <w:rStyle w:val="highlight"/>
          <w:color w:val="000000" w:themeColor="text1"/>
          <w:sz w:val="16"/>
          <w:szCs w:val="16"/>
        </w:rPr>
        <w:t> В  январе  1930 </w:t>
      </w:r>
      <w:r w:rsidRPr="00507A31">
        <w:rPr>
          <w:color w:val="000000" w:themeColor="text1"/>
          <w:sz w:val="16"/>
          <w:szCs w:val="16"/>
        </w:rPr>
        <w:t xml:space="preserve"> г. были упразднены коллегиальные органы управления в университетах (правления и деканаты), ликвидировались кафедры. В этот период государство практически поддержало революционный энтузиазм некоторых деятелей высшей школы и студенчества по фактическому преобразованию университетов как исторически сложившихся, классических высших учебных заведений. Политбюро поручило Совнаркому в течение марта </w:t>
      </w:r>
      <w:r w:rsidRPr="00507A31">
        <w:rPr>
          <w:rStyle w:val="highlight"/>
          <w:color w:val="000000" w:themeColor="text1"/>
          <w:sz w:val="16"/>
          <w:szCs w:val="16"/>
        </w:rPr>
        <w:t> 1930 </w:t>
      </w:r>
      <w:r w:rsidRPr="00507A31">
        <w:rPr>
          <w:color w:val="000000" w:themeColor="text1"/>
          <w:sz w:val="16"/>
          <w:szCs w:val="16"/>
        </w:rPr>
        <w:t xml:space="preserve"> г. рассмотреть и утвердить окончательный вариант реорганизации системы высшего образования страны. Принятие данного решения на уровне Политбюро говорило о том значении, какое имел вопрос о кадрах новых специалистов для партии. МГУ после активных действий по его расформированию и преобразованию находился в состоянии полной разрухи. Система управления была крайне сложна и запутана, отсутствовало четкое разделение труда и ответственность за качество и результаты проводимой работы. Единоначалие провозглашалось только на бумаге. Задача восстановления факультетской структуры была определена постановлением ЦИК СССР от 19 сентября 1932 г. «Об учебных программах и режиме в высшей школе». Были введены вступительные испытания (17243).</w:t>
      </w:r>
    </w:p>
    <w:p w14:paraId="67DE8EE3" w14:textId="77777777" w:rsidR="00FD573E" w:rsidRPr="00507A31" w:rsidRDefault="00FD573E" w:rsidP="00507A31">
      <w:pPr>
        <w:tabs>
          <w:tab w:val="left" w:pos="11199"/>
        </w:tabs>
        <w:autoSpaceDE w:val="0"/>
        <w:autoSpaceDN w:val="0"/>
        <w:adjustRightInd w:val="0"/>
        <w:jc w:val="both"/>
        <w:rPr>
          <w:color w:val="000000" w:themeColor="text1"/>
          <w:sz w:val="16"/>
          <w:szCs w:val="16"/>
        </w:rPr>
      </w:pPr>
    </w:p>
    <w:p w14:paraId="601C88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года были приняты постановления ЦИК и СНК "О мерах борьбы с хищническим убоем скота" и "О запрещении убоя лошадей и об ответственности за незаконный убой и хищническую эксплуатацию лошадей". Согласно этим постановлениям и постановлению ЦИК и СНК от 1 ноября 1930 года "О мерах против хищнического убоя скота", убой в кулацких хозяйствах карался полной или частичной конфискацией скота и сельскохозяйственного инвентаря и лишением свободы на срок до двух лет, а в бедняцко-середняцких - штрафом в размере, равном десятикратной стоимости забитого животного. Такой же штраф налагался и на колхозы, где из-за отсутствия общественных животноводческих построек, кормов, навыков обслуживания обобществлённого скота и т. д. часто забивали ослабленный плохим уходом скот, сведённый с крестьянских подворий в общее стадо (9492).</w:t>
      </w:r>
    </w:p>
    <w:p w14:paraId="41C00250" w14:textId="77777777" w:rsidR="00537E5F" w:rsidRPr="00507A31" w:rsidRDefault="00537E5F" w:rsidP="00507A31">
      <w:pPr>
        <w:autoSpaceDE w:val="0"/>
        <w:autoSpaceDN w:val="0"/>
        <w:adjustRightInd w:val="0"/>
        <w:jc w:val="both"/>
        <w:rPr>
          <w:color w:val="000000" w:themeColor="text1"/>
          <w:sz w:val="16"/>
          <w:szCs w:val="16"/>
        </w:rPr>
      </w:pPr>
    </w:p>
    <w:p w14:paraId="7E259D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январе-марте 1930 года прошло не менее 2200 массовых выступлений с участием почти 800 тысяч крестьян. Намного большим было число индивидуальных и групповых расправ над организаторами коллективизации и колхозными активистами (9492).</w:t>
      </w:r>
    </w:p>
    <w:p w14:paraId="0428E917" w14:textId="77777777" w:rsidR="00537E5F" w:rsidRPr="00507A31" w:rsidRDefault="00537E5F" w:rsidP="00507A31">
      <w:pPr>
        <w:autoSpaceDE w:val="0"/>
        <w:autoSpaceDN w:val="0"/>
        <w:adjustRightInd w:val="0"/>
        <w:jc w:val="both"/>
        <w:rPr>
          <w:color w:val="000000" w:themeColor="text1"/>
          <w:sz w:val="16"/>
          <w:szCs w:val="16"/>
        </w:rPr>
      </w:pPr>
    </w:p>
    <w:p w14:paraId="3082D63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6610B65" w14:textId="77777777" w:rsidR="00537E5F" w:rsidRPr="00507A31" w:rsidRDefault="00537E5F" w:rsidP="00507A31">
      <w:pPr>
        <w:autoSpaceDE w:val="0"/>
        <w:autoSpaceDN w:val="0"/>
        <w:adjustRightInd w:val="0"/>
        <w:jc w:val="both"/>
        <w:rPr>
          <w:iCs/>
          <w:color w:val="000000" w:themeColor="text1"/>
          <w:sz w:val="16"/>
          <w:szCs w:val="16"/>
        </w:rPr>
      </w:pPr>
    </w:p>
    <w:p w14:paraId="73FEEE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1930-го Наркомвоенмор Ворошилов докладывал Политбюро: "Вопрос об обмене командирами-офицерами между Японской и Красной армиями имеет уже значительную давность. Еще в 1925/26 году бывший японский военный атташе в СССР полковник Мике неоднократно выдвигал его по поручению Генштаба перед тов.Пугачевым [заместителем начальника Штаба РККА]. При этом японцы основной упор делали на командирование офицеров-японцев в СССР "для изучения языка" и очевидно усматривали в этом с их стороны стремление обеспечить официальным путем более широкое развертывание агентурной сети. Мы возражали против этого, предлагая перенести центр тяжести вопроса на взаимное прикомандирование командиров-офицеров к воинским частям. В этом смысле и состоялось решение Политбюро от 23 июля 1927 года, считавшее возможным допустить в наши части до пяти японских офицеров на основах полной взаимности с японской стороны... Очевидно это не удовлетворило японцев... 10 декабря 1929 года на обеде, устроенном японским военным атташе полковником Комацубара, он официально заявил Начальнику Отдела Внешних Сношений т.Судакову о том, что Японское Военное Министерство на основании доклада генерала Мацуи (Начальник Генштаба) приняло решение согласиться на предложенные в свое время Реввоенсоветом СССР условия... При этом конкретные переговоры о взаимном прикомандировании каждой стороной по 2 человека (одного в пехоту и одного в кавалерию) поручено вести ему - Комацубара - в Москве. Не случайно, очевидно, и то, что возобновление разговора на эту достаточно старую тему совпало по времени с нашими военными успехами на Дальнем Востоке и обменом нотами с САСШ, ибо интерес японцев к РККА сильно возрос". Ворошилов предлагал пойти на предложение японцев, "учитывая, что японская армия представляет для нас большой интерес и что специфические японские условия крайне затрудняют изучение этой армии обычными методами"; соглашение было достигнуто, срок стажировки для каждого командира-офицера был определен в полтора года. 21 марта 1930-го Ворошилов уведомил замнаркоминдела Л.М.Карахана о том, что "отъезд назначенных для прикомандирования к частям РККА капитанов пехоты Масатоси Мияко и Козумаро Хориге намечен 30 марта... Возражений против прикомандирования к частям РККА указанных двух японских офицеров у меня нет. Назначенные прикомандирования к японской армии командиры РККА Покладок и Козловский готовятся к отъезду в Японию 15 апреля". Практически так же строилось в 1920-х - 1930-х и военное сотрудничество с Турцией (7559).</w:t>
      </w:r>
    </w:p>
    <w:p w14:paraId="16103895" w14:textId="77777777" w:rsidR="00537E5F" w:rsidRPr="00507A31" w:rsidRDefault="00537E5F" w:rsidP="00507A31">
      <w:pPr>
        <w:autoSpaceDE w:val="0"/>
        <w:autoSpaceDN w:val="0"/>
        <w:adjustRightInd w:val="0"/>
        <w:jc w:val="both"/>
        <w:rPr>
          <w:color w:val="000000" w:themeColor="text1"/>
          <w:sz w:val="16"/>
          <w:szCs w:val="16"/>
        </w:rPr>
      </w:pPr>
    </w:p>
    <w:p w14:paraId="075779A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1E3E1FA" w14:textId="77777777" w:rsidR="00537E5F" w:rsidRPr="00507A31" w:rsidRDefault="00537E5F" w:rsidP="00507A31">
      <w:pPr>
        <w:autoSpaceDE w:val="0"/>
        <w:autoSpaceDN w:val="0"/>
        <w:adjustRightInd w:val="0"/>
        <w:jc w:val="both"/>
        <w:rPr>
          <w:iCs/>
          <w:color w:val="000000" w:themeColor="text1"/>
          <w:sz w:val="16"/>
          <w:szCs w:val="16"/>
        </w:rPr>
      </w:pPr>
    </w:p>
    <w:p w14:paraId="1CBC4E67" w14:textId="77777777" w:rsidR="00D24779" w:rsidRPr="00507A31" w:rsidRDefault="00D24779" w:rsidP="00507A31">
      <w:pPr>
        <w:jc w:val="both"/>
        <w:rPr>
          <w:color w:val="0070C0"/>
          <w:sz w:val="16"/>
          <w:szCs w:val="16"/>
        </w:rPr>
      </w:pPr>
      <w:r w:rsidRPr="00507A31">
        <w:rPr>
          <w:color w:val="0070C0"/>
          <w:sz w:val="16"/>
          <w:szCs w:val="16"/>
        </w:rPr>
        <w:t xml:space="preserve">В январе 1930 Фрэнк Хоукс пытается взлететь на Lockheed Air Express Texaco Five (регистрационный номер NR7955) с мокрого поля в Уэст-Палм-Бич , Флорида , но самолет разрушается в результате впечатляющего столкновения с рядом из трех припаркованных самолетов. Ястребы целы и невредимы (20805). </w:t>
      </w:r>
    </w:p>
    <w:p w14:paraId="7F188447" w14:textId="77777777" w:rsidR="00D24779" w:rsidRPr="00507A31" w:rsidRDefault="00D24779" w:rsidP="00507A31">
      <w:pPr>
        <w:jc w:val="both"/>
        <w:rPr>
          <w:color w:val="0070C0"/>
          <w:sz w:val="16"/>
          <w:szCs w:val="16"/>
        </w:rPr>
      </w:pPr>
    </w:p>
    <w:p w14:paraId="1526172B" w14:textId="77777777" w:rsidR="00D24779" w:rsidRPr="00507A31" w:rsidRDefault="00D24779" w:rsidP="00507A31">
      <w:pPr>
        <w:pStyle w:val="116"/>
        <w:shd w:val="clear" w:color="auto" w:fill="auto"/>
        <w:spacing w:after="0" w:line="240" w:lineRule="auto"/>
        <w:ind w:firstLine="0"/>
        <w:jc w:val="both"/>
        <w:rPr>
          <w:rFonts w:ascii="Times New Roman" w:hAnsi="Times New Roman" w:cs="Times New Roman"/>
          <w:color w:val="0070C0"/>
          <w:sz w:val="16"/>
          <w:szCs w:val="16"/>
        </w:rPr>
      </w:pPr>
      <w:r w:rsidRPr="00507A31">
        <w:rPr>
          <w:rStyle w:val="800"/>
          <w:rFonts w:ascii="Times New Roman" w:hAnsi="Times New Roman" w:cs="Times New Roman"/>
          <w:color w:val="0070C0"/>
          <w:sz w:val="16"/>
          <w:szCs w:val="16"/>
          <w:lang w:val="ru-RU"/>
        </w:rPr>
        <w:t>В</w:t>
      </w:r>
      <w:r w:rsidRPr="00507A31">
        <w:rPr>
          <w:rStyle w:val="800"/>
          <w:rFonts w:ascii="Times New Roman" w:hAnsi="Times New Roman" w:cs="Times New Roman"/>
          <w:color w:val="0070C0"/>
          <w:sz w:val="16"/>
          <w:szCs w:val="16"/>
        </w:rPr>
        <w:t xml:space="preserve"> январе 1930 года было готово </w:t>
      </w:r>
      <w:r w:rsidRPr="00507A31">
        <w:rPr>
          <w:rStyle w:val="800"/>
          <w:rFonts w:ascii="Times New Roman" w:hAnsi="Times New Roman" w:cs="Times New Roman"/>
          <w:color w:val="0070C0"/>
          <w:sz w:val="16"/>
          <w:szCs w:val="16"/>
          <w:lang w:val="ru-RU"/>
        </w:rPr>
        <w:t>п</w:t>
      </w:r>
      <w:r w:rsidRPr="00507A31">
        <w:rPr>
          <w:rStyle w:val="800"/>
          <w:rFonts w:ascii="Times New Roman" w:hAnsi="Times New Roman" w:cs="Times New Roman"/>
          <w:color w:val="0070C0"/>
          <w:sz w:val="16"/>
          <w:szCs w:val="16"/>
        </w:rPr>
        <w:t>ер</w:t>
      </w:r>
      <w:r w:rsidRPr="00507A31">
        <w:rPr>
          <w:rStyle w:val="800"/>
          <w:rFonts w:ascii="Times New Roman" w:hAnsi="Times New Roman" w:cs="Times New Roman"/>
          <w:color w:val="0070C0"/>
          <w:sz w:val="16"/>
          <w:szCs w:val="16"/>
        </w:rPr>
        <w:softHyphen/>
        <w:t>вое шасси</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lang w:val="en-US"/>
        </w:rPr>
        <w:t>Leicht</w:t>
      </w:r>
      <w:r w:rsidRPr="00507A31">
        <w:rPr>
          <w:rStyle w:val="800"/>
          <w:rFonts w:ascii="Times New Roman" w:hAnsi="Times New Roman" w:cs="Times New Roman"/>
          <w:color w:val="0070C0"/>
          <w:sz w:val="16"/>
          <w:szCs w:val="16"/>
          <w:lang w:val="ru-RU"/>
        </w:rPr>
        <w:softHyphen/>
      </w:r>
      <w:r w:rsidRPr="00507A31">
        <w:rPr>
          <w:rStyle w:val="800"/>
          <w:rFonts w:ascii="Times New Roman" w:hAnsi="Times New Roman" w:cs="Times New Roman"/>
          <w:color w:val="0070C0"/>
          <w:sz w:val="16"/>
          <w:szCs w:val="16"/>
          <w:lang w:val="en-US"/>
        </w:rPr>
        <w:t>traktor</w:t>
      </w:r>
      <w:r w:rsidRPr="00507A31">
        <w:rPr>
          <w:rStyle w:val="800"/>
          <w:rFonts w:ascii="Times New Roman" w:hAnsi="Times New Roman" w:cs="Times New Roman"/>
          <w:color w:val="0070C0"/>
          <w:sz w:val="16"/>
          <w:szCs w:val="16"/>
          <w:lang w:val="ru-RU"/>
        </w:rPr>
        <w:t xml:space="preserve"> от </w:t>
      </w:r>
      <w:r w:rsidRPr="00507A31">
        <w:rPr>
          <w:rStyle w:val="800"/>
          <w:rFonts w:ascii="Times New Roman" w:hAnsi="Times New Roman" w:cs="Times New Roman"/>
          <w:color w:val="0070C0"/>
          <w:sz w:val="16"/>
          <w:szCs w:val="16"/>
          <w:lang w:val="en-US"/>
        </w:rPr>
        <w:t>RheinmetaLL</w:t>
      </w:r>
      <w:r w:rsidRPr="00507A31">
        <w:rPr>
          <w:rStyle w:val="800"/>
          <w:rFonts w:ascii="Times New Roman" w:hAnsi="Times New Roman" w:cs="Times New Roman"/>
          <w:color w:val="0070C0"/>
          <w:sz w:val="16"/>
          <w:szCs w:val="16"/>
        </w:rPr>
        <w:t xml:space="preserve">, а окончательно танки были построены в мае того же года. «Трактора» </w:t>
      </w:r>
      <w:r w:rsidRPr="00507A31">
        <w:rPr>
          <w:rStyle w:val="800"/>
          <w:rFonts w:ascii="Times New Roman" w:hAnsi="Times New Roman" w:cs="Times New Roman"/>
          <w:color w:val="0070C0"/>
          <w:sz w:val="16"/>
          <w:szCs w:val="16"/>
          <w:lang w:val="en-US"/>
        </w:rPr>
        <w:t>Krupp</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rPr>
        <w:t xml:space="preserve">получили номера 37 и 38, а </w:t>
      </w:r>
      <w:r w:rsidRPr="00507A31">
        <w:rPr>
          <w:rStyle w:val="800"/>
          <w:rFonts w:ascii="Times New Roman" w:hAnsi="Times New Roman" w:cs="Times New Roman"/>
          <w:color w:val="0070C0"/>
          <w:sz w:val="16"/>
          <w:szCs w:val="16"/>
          <w:lang w:val="en-US"/>
        </w:rPr>
        <w:t>RheinmetaLL</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rPr>
        <w:t>- 39 и 40. Маши</w:t>
      </w:r>
      <w:r w:rsidRPr="00507A31">
        <w:rPr>
          <w:rStyle w:val="800"/>
          <w:rFonts w:ascii="Times New Roman" w:hAnsi="Times New Roman" w:cs="Times New Roman"/>
          <w:color w:val="0070C0"/>
          <w:sz w:val="16"/>
          <w:szCs w:val="16"/>
        </w:rPr>
        <w:softHyphen/>
        <w:t>ны получили трехцветный камуфляж, кото</w:t>
      </w:r>
      <w:r w:rsidRPr="00507A31">
        <w:rPr>
          <w:rStyle w:val="800"/>
          <w:rFonts w:ascii="Times New Roman" w:hAnsi="Times New Roman" w:cs="Times New Roman"/>
          <w:color w:val="0070C0"/>
          <w:sz w:val="16"/>
          <w:szCs w:val="16"/>
        </w:rPr>
        <w:softHyphen/>
        <w:t xml:space="preserve">рый являлся стандартным для бронетехники Рейхсвера и Вермахта до 1938 года. Танки </w:t>
      </w:r>
      <w:r w:rsidRPr="00507A31">
        <w:rPr>
          <w:rStyle w:val="800"/>
          <w:rFonts w:ascii="Times New Roman" w:hAnsi="Times New Roman" w:cs="Times New Roman"/>
          <w:color w:val="0070C0"/>
          <w:sz w:val="16"/>
          <w:szCs w:val="16"/>
          <w:lang w:val="en-US"/>
        </w:rPr>
        <w:t>RheinmetaLL</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rPr>
        <w:t>оказались чуть тяжелее: их бое</w:t>
      </w:r>
      <w:r w:rsidRPr="00507A31">
        <w:rPr>
          <w:rStyle w:val="800"/>
          <w:rFonts w:ascii="Times New Roman" w:hAnsi="Times New Roman" w:cs="Times New Roman"/>
          <w:color w:val="0070C0"/>
          <w:sz w:val="16"/>
          <w:szCs w:val="16"/>
        </w:rPr>
        <w:softHyphen/>
        <w:t xml:space="preserve">вая масса составила 8 тонн, а машины </w:t>
      </w:r>
      <w:r w:rsidRPr="00507A31">
        <w:rPr>
          <w:rStyle w:val="800"/>
          <w:rFonts w:ascii="Times New Roman" w:hAnsi="Times New Roman" w:cs="Times New Roman"/>
          <w:color w:val="0070C0"/>
          <w:sz w:val="16"/>
          <w:szCs w:val="16"/>
          <w:lang w:val="en-US"/>
        </w:rPr>
        <w:t>Krupp</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rPr>
        <w:t>имели боевую массу 7,9 тонн</w:t>
      </w:r>
      <w:r w:rsidRPr="00507A31">
        <w:rPr>
          <w:rStyle w:val="800"/>
          <w:rFonts w:ascii="Times New Roman" w:hAnsi="Times New Roman" w:cs="Times New Roman"/>
          <w:color w:val="0070C0"/>
          <w:sz w:val="16"/>
          <w:szCs w:val="16"/>
          <w:lang w:val="ru-RU"/>
        </w:rPr>
        <w:t xml:space="preserve"> (19890)</w:t>
      </w:r>
      <w:r w:rsidRPr="00507A31">
        <w:rPr>
          <w:rStyle w:val="800"/>
          <w:rFonts w:ascii="Times New Roman" w:hAnsi="Times New Roman" w:cs="Times New Roman"/>
          <w:color w:val="0070C0"/>
          <w:sz w:val="16"/>
          <w:szCs w:val="16"/>
        </w:rPr>
        <w:t>.</w:t>
      </w:r>
    </w:p>
    <w:p w14:paraId="715381D1" w14:textId="77777777" w:rsidR="00D24779" w:rsidRPr="00507A31" w:rsidRDefault="00D24779" w:rsidP="00507A31">
      <w:pPr>
        <w:pStyle w:val="116"/>
        <w:shd w:val="clear" w:color="auto" w:fill="auto"/>
        <w:spacing w:after="0" w:line="240" w:lineRule="auto"/>
        <w:ind w:firstLine="0"/>
        <w:jc w:val="both"/>
        <w:rPr>
          <w:rStyle w:val="800"/>
          <w:rFonts w:ascii="Times New Roman" w:hAnsi="Times New Roman" w:cs="Times New Roman"/>
          <w:color w:val="0070C0"/>
          <w:sz w:val="16"/>
          <w:szCs w:val="16"/>
        </w:rPr>
      </w:pPr>
    </w:p>
    <w:p w14:paraId="5E60FE86" w14:textId="77777777" w:rsidR="002670C7" w:rsidRPr="00507A31" w:rsidRDefault="002670C7" w:rsidP="00507A31">
      <w:pPr>
        <w:autoSpaceDE w:val="0"/>
        <w:autoSpaceDN w:val="0"/>
        <w:adjustRightInd w:val="0"/>
        <w:jc w:val="both"/>
        <w:rPr>
          <w:color w:val="000000" w:themeColor="text1"/>
          <w:sz w:val="16"/>
          <w:szCs w:val="16"/>
        </w:rPr>
      </w:pPr>
      <w:r w:rsidRPr="00507A31">
        <w:rPr>
          <w:rStyle w:val="highlight"/>
          <w:color w:val="000000" w:themeColor="text1"/>
          <w:sz w:val="16"/>
          <w:szCs w:val="16"/>
        </w:rPr>
        <w:t>В  январе  1930 </w:t>
      </w:r>
      <w:r w:rsidRPr="00507A31">
        <w:rPr>
          <w:color w:val="000000" w:themeColor="text1"/>
          <w:sz w:val="16"/>
          <w:szCs w:val="16"/>
        </w:rPr>
        <w:t xml:space="preserve"> года на ежегодной Нью-Йорской выставке "Автомобильное Шоу" был представлен </w:t>
      </w:r>
      <w:r w:rsidRPr="00507A31">
        <w:rPr>
          <w:rStyle w:val="highlight"/>
          <w:color w:val="000000" w:themeColor="text1"/>
          <w:sz w:val="16"/>
          <w:szCs w:val="16"/>
        </w:rPr>
        <w:t> </w:t>
      </w:r>
      <w:r w:rsidRPr="00507A31">
        <w:rPr>
          <w:color w:val="000000" w:themeColor="text1"/>
          <w:sz w:val="16"/>
          <w:szCs w:val="16"/>
        </w:rPr>
        <w:t xml:space="preserve"> широкой публике ходовой образец Cadillac с 16-ти цилиндровым мотором появился благодаря техническому гению Лоуренса Фишера, являвшегося генеральным директором Cadillac Motors, после чего проект получили развитие и машины появились в продаже. Первые автомобили, оснащенные небывалым по тем временам 16-ти цилиндровым мотором, получили заказные кузова, а заводские версии 16-цилиндровых моделей обозначались Fleetwood. Этот двигатель стал апогеем развития моторостроения автомобильных корпораций того времени (17239).</w:t>
      </w:r>
    </w:p>
    <w:p w14:paraId="4A113831" w14:textId="77777777" w:rsidR="002670C7" w:rsidRPr="00507A31" w:rsidRDefault="002670C7" w:rsidP="00507A31">
      <w:pPr>
        <w:autoSpaceDE w:val="0"/>
        <w:autoSpaceDN w:val="0"/>
        <w:adjustRightInd w:val="0"/>
        <w:jc w:val="both"/>
        <w:rPr>
          <w:color w:val="000000" w:themeColor="text1"/>
          <w:sz w:val="16"/>
          <w:szCs w:val="16"/>
        </w:rPr>
      </w:pPr>
    </w:p>
    <w:p w14:paraId="11A57D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г. возглавлявший с 1923 г. испанское правительство диктатор, генерал Примо Де Ривьера, в ответ на предложение короля Альфонсо ХIII подать в отставку совершенно неожиданно подчинился (3871).</w:t>
      </w:r>
    </w:p>
    <w:p w14:paraId="14D23EF2" w14:textId="77777777" w:rsidR="00537E5F" w:rsidRPr="00507A31" w:rsidRDefault="00537E5F" w:rsidP="00507A31">
      <w:pPr>
        <w:autoSpaceDE w:val="0"/>
        <w:autoSpaceDN w:val="0"/>
        <w:adjustRightInd w:val="0"/>
        <w:jc w:val="both"/>
        <w:rPr>
          <w:color w:val="000000" w:themeColor="text1"/>
          <w:sz w:val="16"/>
          <w:szCs w:val="16"/>
        </w:rPr>
      </w:pPr>
    </w:p>
    <w:p w14:paraId="60C584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1930 Войска Ибн Сауда вытеснили мятежных ихванов на территорию Кувейта, где те сдались британским войскам. Ихванские лидеры - Дэвиш и кузен Ибн Хитлейна Нейиф были впоследствии выданы англичанами Ибн Сауду и заключены в тюрьму в Эр-Рияде. Подавлением восстания ихванов завершился период хронических войн на Аравийском полуострове (7558).</w:t>
      </w:r>
    </w:p>
    <w:p w14:paraId="146AEB5D" w14:textId="77777777" w:rsidR="00537E5F" w:rsidRPr="00507A31" w:rsidRDefault="00537E5F" w:rsidP="00507A31">
      <w:pPr>
        <w:autoSpaceDE w:val="0"/>
        <w:autoSpaceDN w:val="0"/>
        <w:adjustRightInd w:val="0"/>
        <w:jc w:val="both"/>
        <w:rPr>
          <w:color w:val="000000" w:themeColor="text1"/>
          <w:sz w:val="16"/>
          <w:szCs w:val="16"/>
        </w:rPr>
      </w:pPr>
    </w:p>
    <w:p w14:paraId="64D40E8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63F00CE" w14:textId="77777777" w:rsidR="00537E5F" w:rsidRPr="00507A31" w:rsidRDefault="00537E5F" w:rsidP="00507A31">
      <w:pPr>
        <w:autoSpaceDE w:val="0"/>
        <w:autoSpaceDN w:val="0"/>
        <w:adjustRightInd w:val="0"/>
        <w:jc w:val="both"/>
        <w:rPr>
          <w:iCs/>
          <w:color w:val="000000" w:themeColor="text1"/>
          <w:sz w:val="16"/>
          <w:szCs w:val="16"/>
        </w:rPr>
      </w:pPr>
    </w:p>
    <w:p w14:paraId="2A0EA0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начале 1930 г. об</w:t>
      </w:r>
      <w:r w:rsidRPr="00507A31">
        <w:rPr>
          <w:color w:val="000000" w:themeColor="text1"/>
          <w:sz w:val="16"/>
          <w:szCs w:val="16"/>
        </w:rPr>
        <w:softHyphen/>
        <w:t>лик самолета И-8 (АНТ-13)и его конструктивное ис</w:t>
      </w:r>
      <w:r w:rsidRPr="00507A31">
        <w:rPr>
          <w:color w:val="000000" w:themeColor="text1"/>
          <w:sz w:val="16"/>
          <w:szCs w:val="16"/>
        </w:rPr>
        <w:softHyphen/>
        <w:t>полнение окончательно оформились, о чем свидетельствует утверждение пол</w:t>
      </w:r>
      <w:r w:rsidRPr="00507A31">
        <w:rPr>
          <w:color w:val="000000" w:themeColor="text1"/>
          <w:sz w:val="16"/>
          <w:szCs w:val="16"/>
        </w:rPr>
        <w:softHyphen/>
        <w:t>норазмерного макета 30 января 1930 г. (10729).</w:t>
      </w:r>
    </w:p>
    <w:p w14:paraId="0E3200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F3D14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нап ГАЗ-1 собрали последние Р-1. В Таганроге выпуск Р-1 сохранялся примерно на одном и том же уровне еще два года. Изменения, внесенные в Р-1 в этот период, были сравнительно небольшими. Вновь усилили козырек пилотской кабины, а с самолета № 3483 опять перешли с целлулоида на триплекс. На левом борту в обеих кабинах сделали сумки для револьверов. Приборы теперь были только советские. На части машин поставили оптические стрелковые прицелы ОП-1 («Альдис») и дублирующие кольцевые КП-5, зеркала заднего вида и новые радиостанции ЭРО. С 1930 г. самолеты выпускались только в двух вариантах: ближнего разведчика-корректировщика и учебного самолета. Функции легкого бомбардировщика и армейского разведчика теперь возлагались на Р-5 (11923).</w:t>
      </w:r>
    </w:p>
    <w:p w14:paraId="55581DB0" w14:textId="77777777" w:rsidR="00537E5F" w:rsidRPr="00507A31" w:rsidRDefault="00537E5F" w:rsidP="00507A31">
      <w:pPr>
        <w:autoSpaceDE w:val="0"/>
        <w:autoSpaceDN w:val="0"/>
        <w:adjustRightInd w:val="0"/>
        <w:jc w:val="both"/>
        <w:rPr>
          <w:color w:val="000000" w:themeColor="text1"/>
          <w:sz w:val="16"/>
          <w:szCs w:val="16"/>
        </w:rPr>
      </w:pPr>
    </w:p>
    <w:p w14:paraId="3077CA1F" w14:textId="77777777" w:rsidR="001C5517" w:rsidRPr="00507A31" w:rsidRDefault="001C5517" w:rsidP="00507A31">
      <w:pPr>
        <w:jc w:val="both"/>
        <w:rPr>
          <w:color w:val="000000" w:themeColor="text1"/>
          <w:sz w:val="16"/>
          <w:szCs w:val="16"/>
        </w:rPr>
      </w:pPr>
      <w:r w:rsidRPr="00507A31">
        <w:rPr>
          <w:color w:val="000000" w:themeColor="text1"/>
          <w:sz w:val="16"/>
          <w:szCs w:val="16"/>
        </w:rPr>
        <w:t>В нача</w:t>
      </w:r>
      <w:r w:rsidRPr="00507A31">
        <w:rPr>
          <w:color w:val="000000" w:themeColor="text1"/>
          <w:sz w:val="16"/>
          <w:szCs w:val="16"/>
        </w:rPr>
        <w:softHyphen/>
        <w:t>ле 1930 г. облик самолета И-8 и его конструктив</w:t>
      </w:r>
      <w:r w:rsidRPr="00507A31">
        <w:rPr>
          <w:color w:val="000000" w:themeColor="text1"/>
          <w:sz w:val="16"/>
          <w:szCs w:val="16"/>
        </w:rPr>
        <w:softHyphen/>
        <w:t>ное исполнение окончательно определились, о чем свидетельствует утверждение макета 30 января 1930 г. Конструкция самолета метал</w:t>
      </w:r>
      <w:r w:rsidRPr="00507A31">
        <w:rPr>
          <w:color w:val="000000" w:themeColor="text1"/>
          <w:sz w:val="16"/>
          <w:szCs w:val="16"/>
        </w:rPr>
        <w:softHyphen/>
        <w:t>лическая, причем с элементами новизны - полки лонжеронов выполнили из нержаве</w:t>
      </w:r>
      <w:r w:rsidRPr="00507A31">
        <w:rPr>
          <w:color w:val="000000" w:themeColor="text1"/>
          <w:sz w:val="16"/>
          <w:szCs w:val="16"/>
        </w:rPr>
        <w:softHyphen/>
        <w:t>ющей стали 2А (введение нержавеющей ста</w:t>
      </w:r>
      <w:r w:rsidRPr="00507A31">
        <w:rPr>
          <w:color w:val="000000" w:themeColor="text1"/>
          <w:sz w:val="16"/>
          <w:szCs w:val="16"/>
        </w:rPr>
        <w:softHyphen/>
        <w:t xml:space="preserve">ли в практику советского самолетостроения набирало обороты). В сечении крыльев был использован профиль </w:t>
      </w:r>
      <w:r w:rsidR="00DC625D" w:rsidRPr="00507A31">
        <w:rPr>
          <w:color w:val="000000" w:themeColor="text1"/>
          <w:sz w:val="16"/>
          <w:szCs w:val="16"/>
          <w:lang w:val="en-US"/>
        </w:rPr>
        <w:t>NA</w:t>
      </w:r>
      <w:r w:rsidRPr="00507A31">
        <w:rPr>
          <w:color w:val="000000" w:themeColor="text1"/>
          <w:sz w:val="16"/>
          <w:szCs w:val="16"/>
        </w:rPr>
        <w:t>СА М-12, обшивка несущих поверхностей — полотняная. Хво</w:t>
      </w:r>
      <w:r w:rsidRPr="00507A31">
        <w:rPr>
          <w:color w:val="000000" w:themeColor="text1"/>
          <w:sz w:val="16"/>
          <w:szCs w:val="16"/>
        </w:rPr>
        <w:softHyphen/>
        <w:t>стовое оперение обшито дюралевым гофром. Фюзеляж — сварная ферма из хромомолиб- деновых труб. Шасси неубираемое, распро</w:t>
      </w:r>
      <w:r w:rsidRPr="00507A31">
        <w:rPr>
          <w:color w:val="000000" w:themeColor="text1"/>
          <w:sz w:val="16"/>
          <w:szCs w:val="16"/>
        </w:rPr>
        <w:softHyphen/>
        <w:t>страненной пирамидальной схемы с резино</w:t>
      </w:r>
      <w:r w:rsidRPr="00507A31">
        <w:rPr>
          <w:color w:val="000000" w:themeColor="text1"/>
          <w:sz w:val="16"/>
          <w:szCs w:val="16"/>
        </w:rPr>
        <w:softHyphen/>
        <w:t>вой пластинчатой амортизацией. Вооруже</w:t>
      </w:r>
      <w:r w:rsidRPr="00507A31">
        <w:rPr>
          <w:color w:val="000000" w:themeColor="text1"/>
          <w:sz w:val="16"/>
          <w:szCs w:val="16"/>
        </w:rPr>
        <w:softHyphen/>
        <w:t>ние - два синхронных пулемета П В-1.</w:t>
      </w:r>
    </w:p>
    <w:p w14:paraId="7E91D14A" w14:textId="5A55A684" w:rsidR="001C5517" w:rsidRPr="00507A31" w:rsidRDefault="001C5517" w:rsidP="00507A31">
      <w:pPr>
        <w:jc w:val="both"/>
        <w:rPr>
          <w:color w:val="000000" w:themeColor="text1"/>
          <w:sz w:val="16"/>
          <w:szCs w:val="16"/>
        </w:rPr>
      </w:pPr>
      <w:r w:rsidRPr="00507A31">
        <w:rPr>
          <w:color w:val="000000" w:themeColor="text1"/>
          <w:sz w:val="16"/>
          <w:szCs w:val="16"/>
        </w:rPr>
        <w:lastRenderedPageBreak/>
        <w:t>До марта 1930 г. в ЦАГИ не могли полу</w:t>
      </w:r>
      <w:r w:rsidRPr="00507A31">
        <w:rPr>
          <w:color w:val="000000" w:themeColor="text1"/>
          <w:sz w:val="16"/>
          <w:szCs w:val="16"/>
        </w:rPr>
        <w:softHyphen/>
        <w:t>чить американский Кертисс «Конкверор» (Со</w:t>
      </w:r>
      <w:r w:rsidR="00147EFD" w:rsidRPr="00507A31">
        <w:rPr>
          <w:color w:val="000000" w:themeColor="text1"/>
          <w:sz w:val="16"/>
          <w:szCs w:val="16"/>
          <w:lang w:val="en-US"/>
        </w:rPr>
        <w:t>nquerr</w:t>
      </w:r>
      <w:r w:rsidRPr="00507A31">
        <w:rPr>
          <w:color w:val="000000" w:themeColor="text1"/>
          <w:sz w:val="16"/>
          <w:szCs w:val="16"/>
        </w:rPr>
        <w:t>ог), причем заказывали высотный его вариант, оснащенный турбокомпрессо</w:t>
      </w:r>
      <w:r w:rsidRPr="00507A31">
        <w:rPr>
          <w:color w:val="000000" w:themeColor="text1"/>
          <w:sz w:val="16"/>
          <w:szCs w:val="16"/>
        </w:rPr>
        <w:softHyphen/>
        <w:t>ром (в документах его называли импелле</w:t>
      </w:r>
      <w:r w:rsidRPr="00507A31">
        <w:rPr>
          <w:color w:val="000000" w:themeColor="text1"/>
          <w:sz w:val="16"/>
          <w:szCs w:val="16"/>
        </w:rPr>
        <w:softHyphen/>
        <w:t>ром). Нужно отметить, что для задуманного самолета указанный двигатель подходил на</w:t>
      </w:r>
      <w:r w:rsidRPr="00507A31">
        <w:rPr>
          <w:color w:val="000000" w:themeColor="text1"/>
          <w:sz w:val="16"/>
          <w:szCs w:val="16"/>
        </w:rPr>
        <w:softHyphen/>
        <w:t>иболее оптимально. Ибо по сравнению с дру</w:t>
      </w:r>
      <w:r w:rsidRPr="00507A31">
        <w:rPr>
          <w:color w:val="000000" w:themeColor="text1"/>
          <w:sz w:val="16"/>
          <w:szCs w:val="16"/>
        </w:rPr>
        <w:softHyphen/>
        <w:t>гими однотипными двигателями «</w:t>
      </w:r>
      <w:r w:rsidR="00147EFD" w:rsidRPr="00507A31">
        <w:rPr>
          <w:color w:val="000000" w:themeColor="text1"/>
          <w:sz w:val="16"/>
          <w:szCs w:val="16"/>
        </w:rPr>
        <w:t>Со</w:t>
      </w:r>
      <w:r w:rsidR="00147EFD" w:rsidRPr="00507A31">
        <w:rPr>
          <w:color w:val="000000" w:themeColor="text1"/>
          <w:sz w:val="16"/>
          <w:szCs w:val="16"/>
          <w:lang w:val="en-US"/>
        </w:rPr>
        <w:t>nquerr</w:t>
      </w:r>
      <w:r w:rsidR="00147EFD" w:rsidRPr="00507A31">
        <w:rPr>
          <w:color w:val="000000" w:themeColor="text1"/>
          <w:sz w:val="16"/>
          <w:szCs w:val="16"/>
        </w:rPr>
        <w:t>ог</w:t>
      </w:r>
      <w:r w:rsidRPr="00507A31">
        <w:rPr>
          <w:color w:val="000000" w:themeColor="text1"/>
          <w:sz w:val="16"/>
          <w:szCs w:val="16"/>
        </w:rPr>
        <w:t>» V-1570 в базовой комплектации весил все</w:t>
      </w:r>
      <w:r w:rsidRPr="00507A31">
        <w:rPr>
          <w:color w:val="000000" w:themeColor="text1"/>
          <w:sz w:val="16"/>
          <w:szCs w:val="16"/>
        </w:rPr>
        <w:softHyphen/>
        <w:t>го 345 кг. Габариты также были не самыми большими: длина — 1600 мм, ширина - 670 мм, высота — 930 мм. Для сравнения: немец</w:t>
      </w:r>
      <w:r w:rsidRPr="00507A31">
        <w:rPr>
          <w:color w:val="000000" w:themeColor="text1"/>
          <w:sz w:val="16"/>
          <w:szCs w:val="16"/>
        </w:rPr>
        <w:softHyphen/>
        <w:t>кий ВМ\У-У1 имел длину 1970 мм, ширину — 844 мм, высоту - 1057 мм. Сухой вес ВМ\У- VI составлял 510-545 кг.</w:t>
      </w:r>
    </w:p>
    <w:p w14:paraId="3B16EF68" w14:textId="77777777" w:rsidR="001C5517" w:rsidRPr="00507A31" w:rsidRDefault="001C5517" w:rsidP="00507A31">
      <w:pPr>
        <w:jc w:val="both"/>
        <w:rPr>
          <w:color w:val="000000" w:themeColor="text1"/>
          <w:sz w:val="16"/>
          <w:szCs w:val="16"/>
        </w:rPr>
      </w:pPr>
      <w:r w:rsidRPr="00507A31">
        <w:rPr>
          <w:color w:val="000000" w:themeColor="text1"/>
          <w:sz w:val="16"/>
          <w:szCs w:val="16"/>
        </w:rPr>
        <w:t>Весной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507A31">
        <w:rPr>
          <w:color w:val="000000" w:themeColor="text1"/>
          <w:sz w:val="16"/>
          <w:szCs w:val="16"/>
        </w:rPr>
        <w:softHyphen/>
        <w:t>тому окончательный вариант эскизного про</w:t>
      </w:r>
      <w:r w:rsidRPr="00507A31">
        <w:rPr>
          <w:color w:val="000000" w:themeColor="text1"/>
          <w:sz w:val="16"/>
          <w:szCs w:val="16"/>
        </w:rPr>
        <w:softHyphen/>
        <w:t>екта И-8 готовился под невысотный вариант «Конкверора» (12295).</w:t>
      </w:r>
    </w:p>
    <w:p w14:paraId="79EB356E" w14:textId="77777777" w:rsidR="001C5517" w:rsidRPr="00507A31" w:rsidRDefault="001C5517" w:rsidP="00507A31">
      <w:pPr>
        <w:jc w:val="both"/>
        <w:rPr>
          <w:color w:val="000000" w:themeColor="text1"/>
          <w:sz w:val="16"/>
          <w:szCs w:val="16"/>
        </w:rPr>
      </w:pPr>
    </w:p>
    <w:p w14:paraId="50364685" w14:textId="77777777" w:rsidR="00147EFD" w:rsidRPr="00507A31" w:rsidRDefault="00147EFD" w:rsidP="00507A31">
      <w:pPr>
        <w:jc w:val="both"/>
        <w:rPr>
          <w:color w:val="0070C0"/>
          <w:sz w:val="16"/>
          <w:szCs w:val="16"/>
        </w:rPr>
      </w:pPr>
      <w:r w:rsidRPr="00507A31">
        <w:rPr>
          <w:color w:val="0070C0"/>
          <w:sz w:val="16"/>
          <w:szCs w:val="16"/>
        </w:rPr>
        <w:t>В начале 1930 г. приступили к ра</w:t>
      </w:r>
      <w:r w:rsidRPr="00507A31">
        <w:rPr>
          <w:color w:val="0070C0"/>
          <w:sz w:val="16"/>
          <w:szCs w:val="16"/>
        </w:rPr>
        <w:softHyphen/>
        <w:t>боте по созданию самолета, который согласно документам (РГВА, ф.29 оп.13 д.2300), поначалу проектировался как «Штурмовик» ЦКБ ГВАО, иногда определялся как «Ш» или «ТШ».</w:t>
      </w:r>
    </w:p>
    <w:p w14:paraId="4D3C4118" w14:textId="77777777" w:rsidR="00147EFD" w:rsidRPr="00507A31" w:rsidRDefault="00147EFD" w:rsidP="00507A31">
      <w:pPr>
        <w:jc w:val="both"/>
        <w:rPr>
          <w:color w:val="0070C0"/>
          <w:sz w:val="16"/>
          <w:szCs w:val="16"/>
        </w:rPr>
      </w:pPr>
      <w:r w:rsidRPr="00507A31">
        <w:rPr>
          <w:color w:val="0070C0"/>
          <w:sz w:val="16"/>
          <w:szCs w:val="16"/>
        </w:rPr>
        <w:t>В тактико-тактических требованиях (III) указыва</w:t>
      </w:r>
      <w:r w:rsidRPr="00507A31">
        <w:rPr>
          <w:color w:val="0070C0"/>
          <w:sz w:val="16"/>
          <w:szCs w:val="16"/>
        </w:rPr>
        <w:softHyphen/>
        <w:t>лось его основное назначение: «Уничтожение живой силы и технических средств противника. Полет в группе, редко в одиночку, на высоте 5-25 метров. Главное средство по</w:t>
      </w:r>
      <w:r w:rsidRPr="00507A31">
        <w:rPr>
          <w:color w:val="0070C0"/>
          <w:sz w:val="16"/>
          <w:szCs w:val="16"/>
        </w:rPr>
        <w:softHyphen/>
        <w:t>ражения живой силы — осколочные 2-10 кг авиабомбы или пехотные гранаты. Для уничтожения технических средств — 20-37 мм пушка» (20362).</w:t>
      </w:r>
    </w:p>
    <w:p w14:paraId="1B9A1B53" w14:textId="77777777" w:rsidR="00147EFD" w:rsidRPr="00507A31" w:rsidRDefault="00147EFD" w:rsidP="00507A31">
      <w:pPr>
        <w:shd w:val="clear" w:color="auto" w:fill="FFFFFF"/>
        <w:jc w:val="both"/>
        <w:rPr>
          <w:color w:val="0070C0"/>
          <w:sz w:val="16"/>
          <w:szCs w:val="16"/>
        </w:rPr>
      </w:pPr>
    </w:p>
    <w:p w14:paraId="7192CF94" w14:textId="77777777" w:rsidR="00147EFD" w:rsidRPr="00507A31" w:rsidRDefault="00147EFD" w:rsidP="00507A31">
      <w:pPr>
        <w:jc w:val="both"/>
        <w:rPr>
          <w:color w:val="0070C0"/>
          <w:sz w:val="16"/>
          <w:szCs w:val="16"/>
        </w:rPr>
      </w:pPr>
      <w:r w:rsidRPr="00507A31">
        <w:rPr>
          <w:color w:val="0070C0"/>
          <w:sz w:val="16"/>
          <w:szCs w:val="16"/>
        </w:rPr>
        <w:t>В начале 1930 г. вышло решение ЦАГИ о проектировании в Секции опытных конструкций ЗАО ЦАГИ экспериментального ав</w:t>
      </w:r>
      <w:r w:rsidRPr="00507A31">
        <w:rPr>
          <w:color w:val="0070C0"/>
          <w:sz w:val="16"/>
          <w:szCs w:val="16"/>
        </w:rPr>
        <w:softHyphen/>
        <w:t>тожира по типу последнего аппарата де ла Сиервы С-19 Mk.III. Основной целью при его создании являлось полу</w:t>
      </w:r>
      <w:r w:rsidRPr="00507A31">
        <w:rPr>
          <w:color w:val="0070C0"/>
          <w:sz w:val="16"/>
          <w:szCs w:val="16"/>
        </w:rPr>
        <w:softHyphen/>
        <w:t>чение экспериментального аппарата, на котором можно было проверить правильность применяемых методов рас</w:t>
      </w:r>
      <w:r w:rsidRPr="00507A31">
        <w:rPr>
          <w:color w:val="0070C0"/>
          <w:sz w:val="16"/>
          <w:szCs w:val="16"/>
        </w:rPr>
        <w:softHyphen/>
        <w:t>чета, получить практические навыки постройки и эксплу</w:t>
      </w:r>
      <w:r w:rsidRPr="00507A31">
        <w:rPr>
          <w:color w:val="0070C0"/>
          <w:sz w:val="16"/>
          <w:szCs w:val="16"/>
        </w:rPr>
        <w:softHyphen/>
        <w:t>атации. Общее техническое руководство осуществлял А.М. Черемухин, рабочее проектирование вели И.П. Бра</w:t>
      </w:r>
      <w:r w:rsidRPr="00507A31">
        <w:rPr>
          <w:color w:val="0070C0"/>
          <w:sz w:val="16"/>
          <w:szCs w:val="16"/>
        </w:rPr>
        <w:softHyphen/>
        <w:t>тухин и В.А. Кузнецов.</w:t>
      </w:r>
    </w:p>
    <w:p w14:paraId="28325B0D" w14:textId="77777777" w:rsidR="00147EFD" w:rsidRPr="00507A31" w:rsidRDefault="00147EFD" w:rsidP="00507A31">
      <w:pPr>
        <w:jc w:val="both"/>
        <w:rPr>
          <w:color w:val="0070C0"/>
          <w:sz w:val="16"/>
          <w:szCs w:val="16"/>
        </w:rPr>
      </w:pPr>
      <w:r w:rsidRPr="00507A31">
        <w:rPr>
          <w:color w:val="0070C0"/>
          <w:sz w:val="16"/>
          <w:szCs w:val="16"/>
        </w:rPr>
        <w:t>Автожир, получивший обозначение ЦАГИ 2-ЭА (Экспери</w:t>
      </w:r>
      <w:r w:rsidRPr="00507A31">
        <w:rPr>
          <w:color w:val="0070C0"/>
          <w:sz w:val="16"/>
          <w:szCs w:val="16"/>
        </w:rPr>
        <w:softHyphen/>
        <w:t>ментальный Аппарат-2), являлся двухместным и был осна</w:t>
      </w:r>
      <w:r w:rsidRPr="00507A31">
        <w:rPr>
          <w:color w:val="0070C0"/>
          <w:sz w:val="16"/>
          <w:szCs w:val="16"/>
        </w:rPr>
        <w:softHyphen/>
        <w:t>щен звездообразным двигателем воздушного охлажде</w:t>
      </w:r>
      <w:r w:rsidRPr="00507A31">
        <w:rPr>
          <w:color w:val="0070C0"/>
          <w:sz w:val="16"/>
          <w:szCs w:val="16"/>
        </w:rPr>
        <w:softHyphen/>
        <w:t>ния Гном-Рон «Титан» мощностью 225 л.с.</w:t>
      </w:r>
    </w:p>
    <w:p w14:paraId="2EDBC5FC" w14:textId="77777777" w:rsidR="00147EFD" w:rsidRPr="00507A31" w:rsidRDefault="00147EFD" w:rsidP="00507A31">
      <w:pPr>
        <w:jc w:val="both"/>
        <w:rPr>
          <w:color w:val="0070C0"/>
          <w:sz w:val="16"/>
          <w:szCs w:val="16"/>
        </w:rPr>
      </w:pPr>
      <w:r w:rsidRPr="00507A31">
        <w:rPr>
          <w:color w:val="0070C0"/>
          <w:sz w:val="16"/>
          <w:szCs w:val="16"/>
        </w:rPr>
        <w:t>Конструктивно фюзеляж ЦАГИ 2-ЭА представлял собой сварную стальную ферму, рассчитанную на посадку с вер</w:t>
      </w:r>
      <w:r w:rsidRPr="00507A31">
        <w:rPr>
          <w:color w:val="0070C0"/>
          <w:sz w:val="16"/>
          <w:szCs w:val="16"/>
        </w:rPr>
        <w:softHyphen/>
        <w:t>тикальной посадочной скоростью до 4,5 м/сек. Передняя часть фюзеляжа обшита листовым дюралюминием, да</w:t>
      </w:r>
      <w:r w:rsidRPr="00507A31">
        <w:rPr>
          <w:color w:val="0070C0"/>
          <w:sz w:val="16"/>
          <w:szCs w:val="16"/>
        </w:rPr>
        <w:softHyphen/>
        <w:t>лее — полотном. Над передним пилотским сидением уста</w:t>
      </w:r>
      <w:r w:rsidRPr="00507A31">
        <w:rPr>
          <w:color w:val="0070C0"/>
          <w:sz w:val="16"/>
          <w:szCs w:val="16"/>
        </w:rPr>
        <w:softHyphen/>
        <w:t>новлена четырехстержневая пирамида, на которой крепит</w:t>
      </w:r>
      <w:r w:rsidRPr="00507A31">
        <w:rPr>
          <w:color w:val="0070C0"/>
          <w:sz w:val="16"/>
          <w:szCs w:val="16"/>
        </w:rPr>
        <w:softHyphen/>
        <w:t>ся свободновращающийся четырехлопастный несущий ротор. Лопасти ротора состояли из хромомолибденовой трубы размером 50х47 мм с поперечными деревянными нервюрами, обшивка из фанеры толщиной 1 мм. Для уменьшения провисания они крепились расчалками к ко</w:t>
      </w:r>
      <w:r w:rsidRPr="00507A31">
        <w:rPr>
          <w:color w:val="0070C0"/>
          <w:sz w:val="16"/>
          <w:szCs w:val="16"/>
        </w:rPr>
        <w:softHyphen/>
        <w:t>нусу, расположенному над осью ротора. Вес ротора соста</w:t>
      </w:r>
      <w:r w:rsidRPr="00507A31">
        <w:rPr>
          <w:color w:val="0070C0"/>
          <w:sz w:val="16"/>
          <w:szCs w:val="16"/>
        </w:rPr>
        <w:softHyphen/>
        <w:t>вил 126 кг, т.е. 13% от общего веса автожира.</w:t>
      </w:r>
    </w:p>
    <w:p w14:paraId="40471A3B" w14:textId="77777777" w:rsidR="00147EFD" w:rsidRPr="00507A31" w:rsidRDefault="00147EFD" w:rsidP="00507A31">
      <w:pPr>
        <w:jc w:val="both"/>
        <w:rPr>
          <w:color w:val="0070C0"/>
          <w:sz w:val="16"/>
          <w:szCs w:val="16"/>
        </w:rPr>
      </w:pPr>
      <w:r w:rsidRPr="00507A31">
        <w:rPr>
          <w:color w:val="0070C0"/>
          <w:sz w:val="16"/>
          <w:szCs w:val="16"/>
        </w:rPr>
        <w:t>Низко расположенное крыло деревянной конструкции с отогнутыми законцовками для повышения путевой устой</w:t>
      </w:r>
      <w:r w:rsidRPr="00507A31">
        <w:rPr>
          <w:color w:val="0070C0"/>
          <w:sz w:val="16"/>
          <w:szCs w:val="16"/>
        </w:rPr>
        <w:softHyphen/>
        <w:t>чивости снабжено элеронами. При расчетной максималь</w:t>
      </w:r>
      <w:r w:rsidRPr="00507A31">
        <w:rPr>
          <w:color w:val="0070C0"/>
          <w:sz w:val="16"/>
          <w:szCs w:val="16"/>
        </w:rPr>
        <w:softHyphen/>
        <w:t>ной скорости полета крыло несло 25% полетного веса, при минимальной - около 7%.</w:t>
      </w:r>
    </w:p>
    <w:p w14:paraId="02C6206E" w14:textId="77777777" w:rsidR="00147EFD" w:rsidRPr="00507A31" w:rsidRDefault="00147EFD" w:rsidP="00507A31">
      <w:pPr>
        <w:jc w:val="both"/>
        <w:rPr>
          <w:color w:val="0070C0"/>
          <w:sz w:val="16"/>
          <w:szCs w:val="16"/>
        </w:rPr>
      </w:pPr>
      <w:r w:rsidRPr="00507A31">
        <w:rPr>
          <w:color w:val="0070C0"/>
          <w:sz w:val="16"/>
          <w:szCs w:val="16"/>
        </w:rPr>
        <w:t>Оперение, в основном, деревянной конструкции, лонже</w:t>
      </w:r>
      <w:r w:rsidRPr="00507A31">
        <w:rPr>
          <w:color w:val="0070C0"/>
          <w:sz w:val="16"/>
          <w:szCs w:val="16"/>
        </w:rPr>
        <w:softHyphen/>
        <w:t>роны стабилизатора и руля высоты из дюралюминиевых труб. Особенностью горизонтального оперения являлось его предназначение для воздушной (или аэродинамичес аэродинамичес</w:t>
      </w:r>
      <w:r w:rsidRPr="00507A31">
        <w:rPr>
          <w:color w:val="0070C0"/>
          <w:sz w:val="16"/>
          <w:szCs w:val="16"/>
        </w:rPr>
        <w:softHyphen/>
        <w:t>кой) раскрутки ротора, поэтому оно было выполнено по би</w:t>
      </w:r>
      <w:r w:rsidRPr="00507A31">
        <w:rPr>
          <w:color w:val="0070C0"/>
          <w:sz w:val="16"/>
          <w:szCs w:val="16"/>
        </w:rPr>
        <w:softHyphen/>
        <w:t>планной схеме, с двумя килевыми шайбами. При рас</w:t>
      </w:r>
      <w:r w:rsidRPr="00507A31">
        <w:rPr>
          <w:color w:val="0070C0"/>
          <w:sz w:val="16"/>
          <w:szCs w:val="16"/>
        </w:rPr>
        <w:softHyphen/>
        <w:t>крутке ротора обе горизонтальные поверхности опере</w:t>
      </w:r>
      <w:r w:rsidRPr="00507A31">
        <w:rPr>
          <w:color w:val="0070C0"/>
          <w:sz w:val="16"/>
          <w:szCs w:val="16"/>
        </w:rPr>
        <w:softHyphen/>
        <w:t>ния отклонялись на 55-60°, образуя тем самым дефлектор, направляющий воздушный поток от тянущего винта вверх на ротор. Этот способ, предложенный Сиервой, получил название «хвост скорпиона», он позволял раскручивать несущий ротор до 60-70 оборотов в минуту. Недостатком способа считалось то, что за время перестановки горизон</w:t>
      </w:r>
      <w:r w:rsidRPr="00507A31">
        <w:rPr>
          <w:color w:val="0070C0"/>
          <w:sz w:val="16"/>
          <w:szCs w:val="16"/>
        </w:rPr>
        <w:softHyphen/>
        <w:t>тального оперения в полетное положение вращение рото</w:t>
      </w:r>
      <w:r w:rsidRPr="00507A31">
        <w:rPr>
          <w:color w:val="0070C0"/>
          <w:sz w:val="16"/>
          <w:szCs w:val="16"/>
        </w:rPr>
        <w:softHyphen/>
        <w:t>ра уменьшалось до 50 оборотов в минуту. Тем не менее, даже с этим показателем разбег автожира на взлете ока</w:t>
      </w:r>
      <w:r w:rsidRPr="00507A31">
        <w:rPr>
          <w:color w:val="0070C0"/>
          <w:sz w:val="16"/>
          <w:szCs w:val="16"/>
        </w:rPr>
        <w:softHyphen/>
        <w:t>зался сравнительно малым и составил около 50 метров (20361).</w:t>
      </w:r>
    </w:p>
    <w:p w14:paraId="05D6CB05" w14:textId="77777777" w:rsidR="00147EFD" w:rsidRPr="00507A31" w:rsidRDefault="00147EFD" w:rsidP="00507A31">
      <w:pPr>
        <w:shd w:val="clear" w:color="auto" w:fill="FFFFFF"/>
        <w:jc w:val="both"/>
        <w:rPr>
          <w:color w:val="0070C0"/>
          <w:sz w:val="16"/>
          <w:szCs w:val="16"/>
        </w:rPr>
      </w:pPr>
    </w:p>
    <w:p w14:paraId="4F6DB632" w14:textId="77777777" w:rsidR="001C5517" w:rsidRPr="00507A31" w:rsidRDefault="001C5517" w:rsidP="00507A31">
      <w:pPr>
        <w:pStyle w:val="45"/>
        <w:shd w:val="clear" w:color="auto" w:fill="auto"/>
        <w:spacing w:before="0" w:line="240" w:lineRule="auto"/>
        <w:jc w:val="both"/>
        <w:rPr>
          <w:rFonts w:ascii="Times New Roman" w:cs="Times New Roman"/>
          <w:color w:val="000000" w:themeColor="text1"/>
          <w:sz w:val="16"/>
          <w:szCs w:val="16"/>
        </w:rPr>
      </w:pPr>
      <w:r w:rsidRPr="00507A31">
        <w:rPr>
          <w:rFonts w:ascii="Times New Roman" w:cs="Times New Roman"/>
          <w:color w:val="000000" w:themeColor="text1"/>
          <w:sz w:val="16"/>
          <w:szCs w:val="16"/>
        </w:rPr>
        <w:t>В начале 1930 г. МР-5 передали в конструкторское бюро Ришара, получившее наименование ОПО-4. Здесь работа значилась как плановая в течение года. Однако, судя по многочисленности заданий, возложенных на эту организацию, здесь было не до исправления само</w:t>
      </w:r>
      <w:r w:rsidRPr="00507A31">
        <w:rPr>
          <w:rFonts w:ascii="Times New Roman" w:cs="Times New Roman"/>
          <w:color w:val="000000" w:themeColor="text1"/>
          <w:sz w:val="16"/>
          <w:szCs w:val="16"/>
        </w:rPr>
        <w:softHyphen/>
        <w:t>летов других конструкторов. Таким образом, работа по созданию МР-5 благополучно пережила ОМОС, ОПО-3, а с уходом Ришара и ОПО-4.</w:t>
      </w:r>
    </w:p>
    <w:p w14:paraId="3EF3721B" w14:textId="77777777" w:rsidR="001C5517" w:rsidRPr="00507A31" w:rsidRDefault="001C5517" w:rsidP="00507A31">
      <w:pPr>
        <w:pStyle w:val="45"/>
        <w:shd w:val="clear" w:color="auto" w:fill="auto"/>
        <w:spacing w:before="0" w:line="240" w:lineRule="auto"/>
        <w:jc w:val="both"/>
        <w:rPr>
          <w:rFonts w:ascii="Times New Roman" w:cs="Times New Roman"/>
          <w:color w:val="000000" w:themeColor="text1"/>
          <w:sz w:val="16"/>
          <w:szCs w:val="16"/>
        </w:rPr>
      </w:pPr>
      <w:r w:rsidRPr="00507A31">
        <w:rPr>
          <w:rFonts w:ascii="Times New Roman" w:cs="Times New Roman"/>
          <w:color w:val="000000" w:themeColor="text1"/>
          <w:sz w:val="16"/>
          <w:szCs w:val="16"/>
        </w:rPr>
        <w:t>В 1931 г. начальник морского отдела ЦКБ-ЦАГИ И.В. Четвериков добился разрешения довести много</w:t>
      </w:r>
      <w:r w:rsidRPr="00507A31">
        <w:rPr>
          <w:rFonts w:ascii="Times New Roman" w:cs="Times New Roman"/>
          <w:color w:val="000000" w:themeColor="text1"/>
          <w:sz w:val="16"/>
          <w:szCs w:val="16"/>
        </w:rPr>
        <w:softHyphen/>
        <w:t>страдальный МР-5 до хороших пока</w:t>
      </w:r>
      <w:r w:rsidRPr="00507A31">
        <w:rPr>
          <w:rFonts w:ascii="Times New Roman" w:cs="Times New Roman"/>
          <w:color w:val="000000" w:themeColor="text1"/>
          <w:sz w:val="16"/>
          <w:szCs w:val="16"/>
        </w:rPr>
        <w:softHyphen/>
        <w:t>зателей мореходности. Ему удалось построить новый деревянный ло</w:t>
      </w:r>
      <w:r w:rsidRPr="00507A31">
        <w:rPr>
          <w:rFonts w:ascii="Times New Roman" w:cs="Times New Roman"/>
          <w:color w:val="000000" w:themeColor="text1"/>
          <w:sz w:val="16"/>
          <w:szCs w:val="16"/>
        </w:rPr>
        <w:softHyphen/>
        <w:t>дочный фюзеляж, с которым само</w:t>
      </w:r>
      <w:r w:rsidRPr="00507A31">
        <w:rPr>
          <w:rFonts w:ascii="Times New Roman" w:cs="Times New Roman"/>
          <w:color w:val="000000" w:themeColor="text1"/>
          <w:sz w:val="16"/>
          <w:szCs w:val="16"/>
        </w:rPr>
        <w:softHyphen/>
        <w:t>лет обозначался как ЦКБ №10 или МР-5бис. В январе 1932 г. Четвериков докладывал, что начались испытания самолета N210. Очевидно, это были летные испытания на лыжах. Основ</w:t>
      </w:r>
      <w:r w:rsidRPr="00507A31">
        <w:rPr>
          <w:rFonts w:ascii="Times New Roman" w:cs="Times New Roman"/>
          <w:color w:val="000000" w:themeColor="text1"/>
          <w:sz w:val="16"/>
          <w:szCs w:val="16"/>
        </w:rPr>
        <w:softHyphen/>
        <w:t>ные испытания провели летом 1932 г. на участке Москвы-реки, там, где сейчас находится Центральный парк культуры и отдыха (ЦПКО). Обводы модернизированной лодки теперь оценивались удачными, брызгообразование снизилось до приемлемых значений. Впрочем, вопрос о серии не возникал. В то время на авиазаво</w:t>
      </w:r>
      <w:r w:rsidRPr="00507A31">
        <w:rPr>
          <w:rFonts w:ascii="Times New Roman" w:cs="Times New Roman"/>
          <w:color w:val="000000" w:themeColor="text1"/>
          <w:sz w:val="16"/>
          <w:szCs w:val="16"/>
        </w:rPr>
        <w:softHyphen/>
        <w:t>де в Таганроге уже серийно строили лицензионную летающую лодку ита</w:t>
      </w:r>
      <w:r w:rsidRPr="00507A31">
        <w:rPr>
          <w:rFonts w:ascii="Times New Roman" w:cs="Times New Roman"/>
          <w:color w:val="000000" w:themeColor="text1"/>
          <w:sz w:val="16"/>
          <w:szCs w:val="16"/>
        </w:rPr>
        <w:softHyphen/>
        <w:t>льянской конструкции Савойя С-62, которая в ВВС РККА получила обо</w:t>
      </w:r>
      <w:r w:rsidRPr="00507A31">
        <w:rPr>
          <w:rFonts w:ascii="Times New Roman" w:cs="Times New Roman"/>
          <w:color w:val="000000" w:themeColor="text1"/>
          <w:sz w:val="16"/>
          <w:szCs w:val="16"/>
        </w:rPr>
        <w:softHyphen/>
        <w:t>значение МР-4 (12609).</w:t>
      </w:r>
    </w:p>
    <w:p w14:paraId="1C6D5CC3" w14:textId="77777777" w:rsidR="001C5517" w:rsidRPr="00507A31" w:rsidRDefault="001C5517" w:rsidP="00507A31">
      <w:pPr>
        <w:pStyle w:val="45"/>
        <w:shd w:val="clear" w:color="auto" w:fill="auto"/>
        <w:spacing w:before="0" w:line="240" w:lineRule="auto"/>
        <w:jc w:val="both"/>
        <w:rPr>
          <w:rFonts w:ascii="Times New Roman" w:cs="Times New Roman"/>
          <w:color w:val="000000" w:themeColor="text1"/>
          <w:sz w:val="16"/>
          <w:szCs w:val="16"/>
        </w:rPr>
      </w:pPr>
    </w:p>
    <w:p w14:paraId="2A8C6E59" w14:textId="77777777" w:rsidR="00DC625D" w:rsidRPr="00507A31" w:rsidRDefault="00DC625D" w:rsidP="00507A31">
      <w:pPr>
        <w:shd w:val="clear" w:color="auto" w:fill="FFFFFF"/>
        <w:jc w:val="both"/>
        <w:rPr>
          <w:color w:val="000000" w:themeColor="text1"/>
          <w:sz w:val="16"/>
          <w:szCs w:val="16"/>
        </w:rPr>
      </w:pPr>
      <w:r w:rsidRPr="00507A31">
        <w:rPr>
          <w:color w:val="000000" w:themeColor="text1"/>
          <w:sz w:val="16"/>
          <w:szCs w:val="16"/>
        </w:rPr>
        <w:t>В начале 1930 года на заводе № 39 в рамках бюро новых конструкций (БНК) под руководством француза Анри Лавиля строился очередной двухместный истребитель ДИ-4. На самолете предполагалось получить следующие характеристики: скорость на высоте 3000 метров – не менее 300-320 км/ч, практический потолок - не менее 8000 метров, дальность полета - 900-1000 км, полезная нагрузка - 410 кг. Опытный образец ДИ-4 был выполнен по схеме подкосного высокоплана, в котором подкосы опирались на элементы шасси. Такая схема получила распространение именно во Франции во 2-й половине 1920-х годов. Конструкция – цельнометаллическая, в основном дюралевая. Обшивка гладкая, тонкая, с редкими подкреплениями. Крыло – в виде «чайки» для улучшения обзора из кабины пилота. Топливо размещалось в двух фюзеляжных баках общей емкостью 230 кг. Вооружение состояло из 4-х синхронных пулеметов ПВ-1 и одного кормового пулемета ДА на шкворневой установке. В отличие от обычной практики, изготовление ДИ-4 длилось достаточно долго. Сказывалась новизна конструкции и необходимость освоения технологии гладких металлических обшивок (15223).</w:t>
      </w:r>
    </w:p>
    <w:p w14:paraId="68720713" w14:textId="77777777" w:rsidR="00DC625D" w:rsidRPr="00507A31" w:rsidRDefault="00DC625D" w:rsidP="00507A31">
      <w:pPr>
        <w:shd w:val="clear" w:color="auto" w:fill="FFFFFF"/>
        <w:jc w:val="both"/>
        <w:rPr>
          <w:color w:val="000000" w:themeColor="text1"/>
          <w:sz w:val="16"/>
          <w:szCs w:val="16"/>
        </w:rPr>
      </w:pPr>
    </w:p>
    <w:p w14:paraId="79864D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начале 1930 г. завод № 39 оказался в ведении ОГПУ. Частая смена ведомственной принадлежности, происхо</w:t>
      </w:r>
      <w:r w:rsidRPr="00507A31">
        <w:rPr>
          <w:color w:val="000000" w:themeColor="text1"/>
          <w:sz w:val="16"/>
          <w:szCs w:val="16"/>
        </w:rPr>
        <w:softHyphen/>
        <w:t>дившая в течение года, задержала переоснащение завода, но с конца первого квартала 1930 г. его переоборудова</w:t>
      </w:r>
      <w:r w:rsidRPr="00507A31">
        <w:rPr>
          <w:color w:val="000000" w:themeColor="text1"/>
          <w:sz w:val="16"/>
          <w:szCs w:val="16"/>
        </w:rPr>
        <w:softHyphen/>
        <w:t>ние для нужд авиапромышленности стало происходить в ускоренном темпе (10667).</w:t>
      </w:r>
    </w:p>
    <w:p w14:paraId="305158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BC856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первому ЦКБ, подчиненному Всесоюзному авиационному объединению (на самом деле - Авиатресту) и созданному в мае 1926, также предоставили производственную базу на Московском авиазаводе N 39 им. В.Р.Менжинского. Здесь стали работать С.А.Кочеригин, А.Н.Рафаэлянц, А.С.Яковлев, В.П.Яценко, В.В.Никитин.</w:t>
      </w:r>
    </w:p>
    <w:p w14:paraId="0FA9CA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очень ясно, так как ВАО появился только в марте-апреле 1930 (80,414).</w:t>
      </w:r>
    </w:p>
    <w:p w14:paraId="7FBFF9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КБ, созданное в Бутырках сначала называли ОКБ, но в январе 1930 оно было переведено на завод 39 (228,76), где начали создавать ЦКБ. На территории завода приспособили ангар N 7 и там было 20 ЗК (в основном из ОМОС), включая сотрудников Д.П.Григоровича, А.Н.Сидельникова (зам. нач. отдела), В.Л.Корвина (зав. производством), Н.Г.Михельсона (нач. черт. бюро), и сотрудников Н.Н.П. Е.И.Майоранова, В.А.Тисова, а также А.В.Надашкевича (ПВ-1), Б.Ф.Гончарова (дир. завода 25), П.М.Крейсона (стат. испытания), И.М.Косткина (пом. дир. завода 1). Связь с вольными обеспечивал С.М.Данскер (191,17).</w:t>
      </w:r>
    </w:p>
    <w:p w14:paraId="02CDA2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Поместили а ангаре, разделенным перегородкой на две части: в одной - работали, в другой - спали. Именно это называлось ВТ (228,76).</w:t>
      </w:r>
    </w:p>
    <w:p w14:paraId="25ED3E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ЦКБ-39 (ЦКБ лт ГПУ) ВТ стала тогда, когда пришлось привлекать вольных (228,76).</w:t>
      </w:r>
    </w:p>
    <w:p w14:paraId="1989E5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Есть мнение, что ОКБ перевели на завод 39 Менжинского только в феврале 1930 (79,120). С февраля 1930 находившихся в заключении авиационные специалистов (Н.Н.П., Д.П.Г., П.М.Крейсон, Б.Ф.Гончаров, И.М.Косткин) ГПУ начало использовать по их проф. назначению. Перевели на завод 39 и разместили в ангарах ВТ (Внутренняя тюрьма), приспособленных под КБ и жилье.</w:t>
      </w:r>
    </w:p>
    <w:p w14:paraId="5A4236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при Инспекции ГВФ и на его средства образовали Отдел опытного самолетостроения (ООС) в ВВА под руководством А.И.Путилова - ГК, откомандированного из ЦАГИ (92,439). Разрабатывался однодвигательный стальной самолет для аэросъемки и с/х с пилотом и 4 пассажирами (80,369).</w:t>
      </w:r>
    </w:p>
    <w:p w14:paraId="39253F7B" w14:textId="77777777" w:rsidR="00537E5F" w:rsidRPr="00507A31" w:rsidRDefault="00537E5F" w:rsidP="00507A31">
      <w:pPr>
        <w:autoSpaceDE w:val="0"/>
        <w:autoSpaceDN w:val="0"/>
        <w:adjustRightInd w:val="0"/>
        <w:jc w:val="both"/>
        <w:rPr>
          <w:color w:val="000000" w:themeColor="text1"/>
          <w:sz w:val="16"/>
          <w:szCs w:val="16"/>
        </w:rPr>
      </w:pPr>
    </w:p>
    <w:p w14:paraId="650111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для организации постройки И-5 ОКБ из Бутырской тюрьмы перевели на завод № 39. Там на его основе создали Центральное конструкторское бюро (ЦКБ), где трудились и вольнонаемные инженеры. Деятельность его курировало ОГПУ, поэтому завод получил имя В.Р.Менжинского. Затем возникла идея влить в ЦКБ все остальные конструкторские коллективы (за исключением ЦАГИ).</w:t>
      </w:r>
    </w:p>
    <w:p w14:paraId="74F8D3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ЦКБ имело структуру, во многом отличающуюся от принятой в те годы. Сравнительно небольшие по численности конструкторские бригады занимались проектированием машин. В отделе общих видов разрабатывалась их детальная компоновка. Расчеты аэродинамики, прочности и другие проводились в специализированных отделах для всех конструкторских бригад. Отрицательная сторона такой организации труда-оторванность процесса проектирования от оперативного выполнения расчетов, немаловажных при оптимизации конструкции самолета.</w:t>
      </w:r>
    </w:p>
    <w:p w14:paraId="08C3A3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Наркомат обороны не смог осуществлять эффективное управление авиационной промышленностью, поэтому в 1931 г. ВАО передали в ведение ВСНХ (9536,4).</w:t>
      </w:r>
    </w:p>
    <w:p w14:paraId="546B2DA4" w14:textId="77777777" w:rsidR="00537E5F" w:rsidRPr="00507A31" w:rsidRDefault="00537E5F" w:rsidP="00507A31">
      <w:pPr>
        <w:autoSpaceDE w:val="0"/>
        <w:autoSpaceDN w:val="0"/>
        <w:adjustRightInd w:val="0"/>
        <w:jc w:val="both"/>
        <w:rPr>
          <w:color w:val="000000" w:themeColor="text1"/>
          <w:sz w:val="16"/>
          <w:szCs w:val="16"/>
        </w:rPr>
      </w:pPr>
    </w:p>
    <w:p w14:paraId="2EC2C7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начале 1930 г. в советской «исправительной системе» появилась еще одна «шарага» - особое техническое бюро (ОТБ) ОГПУ по авиационным двигателям. В нем находились известные отечественные мотористы Б.С.Стечкин, Н.Р.Бриллинг, А.А.Бессонов и др. Им поручили спроектировать, испытать и запустить в производство 24-цилиндровый двигатель ФЭД (Ф.Э.Дзержинский). Выполненный по Х-образной схеме, снабженный приводом центрального наддува (ПЦН), он должен был </w:t>
      </w:r>
      <w:r w:rsidRPr="00507A31">
        <w:rPr>
          <w:color w:val="000000" w:themeColor="text1"/>
          <w:sz w:val="16"/>
          <w:szCs w:val="16"/>
        </w:rPr>
        <w:lastRenderedPageBreak/>
        <w:t>развивать на высоте 3000 м весьма приличную по тем временам мощность в 1100-1250 л.с. Создавался ФЭД именно для ТБ-5. Установка двигателей на самолете планировалась в двух вариантах: в передней кромке крыла или на стойках под ним. Однако к сроку ФЭДы не были готовы, и бомбардировщик решили оснастить 4 двигателями Гном Рон «Юпитер», расположенными тандемом под каждой консолью крыла (5854,33).</w:t>
      </w:r>
    </w:p>
    <w:p w14:paraId="01796617" w14:textId="77777777" w:rsidR="00537E5F" w:rsidRPr="00507A31" w:rsidRDefault="00537E5F" w:rsidP="00507A31">
      <w:pPr>
        <w:autoSpaceDE w:val="0"/>
        <w:autoSpaceDN w:val="0"/>
        <w:adjustRightInd w:val="0"/>
        <w:jc w:val="both"/>
        <w:rPr>
          <w:color w:val="000000" w:themeColor="text1"/>
          <w:sz w:val="16"/>
          <w:szCs w:val="16"/>
        </w:rPr>
      </w:pPr>
    </w:p>
    <w:p w14:paraId="294E31CF" w14:textId="77777777" w:rsidR="001C5517" w:rsidRPr="00507A31" w:rsidRDefault="001C5517" w:rsidP="00507A31">
      <w:pPr>
        <w:jc w:val="both"/>
        <w:rPr>
          <w:color w:val="000000" w:themeColor="text1"/>
          <w:sz w:val="16"/>
          <w:szCs w:val="16"/>
        </w:rPr>
      </w:pPr>
      <w:r w:rsidRPr="00507A31">
        <w:rPr>
          <w:color w:val="000000" w:themeColor="text1"/>
          <w:sz w:val="16"/>
          <w:szCs w:val="16"/>
        </w:rPr>
        <w:t>В начале 1930 г. завод № 39 оказался в веде</w:t>
      </w:r>
      <w:r w:rsidRPr="00507A31">
        <w:rPr>
          <w:color w:val="000000" w:themeColor="text1"/>
          <w:sz w:val="16"/>
          <w:szCs w:val="16"/>
        </w:rPr>
        <w:softHyphen/>
        <w:t>нии ОГПУ. Чуть позднее он даже получил до</w:t>
      </w:r>
      <w:r w:rsidRPr="00507A31">
        <w:rPr>
          <w:color w:val="000000" w:themeColor="text1"/>
          <w:sz w:val="16"/>
          <w:szCs w:val="16"/>
        </w:rPr>
        <w:softHyphen/>
        <w:t>полнительное наименование во славу предсе</w:t>
      </w:r>
      <w:r w:rsidRPr="00507A31">
        <w:rPr>
          <w:color w:val="000000" w:themeColor="text1"/>
          <w:sz w:val="16"/>
          <w:szCs w:val="16"/>
        </w:rPr>
        <w:softHyphen/>
        <w:t>дателя ОГПУ и стал называться заводом име</w:t>
      </w:r>
      <w:r w:rsidRPr="00507A31">
        <w:rPr>
          <w:color w:val="000000" w:themeColor="text1"/>
          <w:sz w:val="16"/>
          <w:szCs w:val="16"/>
        </w:rPr>
        <w:softHyphen/>
        <w:t>ни Менжинского (12295).</w:t>
      </w:r>
    </w:p>
    <w:p w14:paraId="37D9A78B" w14:textId="77777777" w:rsidR="001C5517" w:rsidRPr="00507A31" w:rsidRDefault="001C5517" w:rsidP="00507A31">
      <w:pPr>
        <w:jc w:val="both"/>
        <w:rPr>
          <w:color w:val="000000" w:themeColor="text1"/>
          <w:sz w:val="16"/>
          <w:szCs w:val="16"/>
        </w:rPr>
      </w:pPr>
    </w:p>
    <w:p w14:paraId="33FD6091" w14:textId="77777777" w:rsidR="001C5517" w:rsidRPr="00507A31" w:rsidRDefault="001C5517" w:rsidP="00507A31">
      <w:pPr>
        <w:jc w:val="both"/>
        <w:rPr>
          <w:color w:val="000000" w:themeColor="text1"/>
          <w:sz w:val="16"/>
          <w:szCs w:val="16"/>
        </w:rPr>
      </w:pPr>
      <w:r w:rsidRPr="00507A31">
        <w:rPr>
          <w:color w:val="000000" w:themeColor="text1"/>
          <w:sz w:val="16"/>
          <w:szCs w:val="16"/>
        </w:rPr>
        <w:t>В начале 1930 г. завод № 39 оказался в ведении ОГПУ. Чуть позднее он даже получил дополнительное наименова</w:t>
      </w:r>
      <w:r w:rsidRPr="00507A31">
        <w:rPr>
          <w:color w:val="000000" w:themeColor="text1"/>
          <w:sz w:val="16"/>
          <w:szCs w:val="16"/>
        </w:rPr>
        <w:softHyphen/>
        <w:t>ние во славу председателя ОГПУ и стал на</w:t>
      </w:r>
      <w:r w:rsidRPr="00507A31">
        <w:rPr>
          <w:color w:val="000000" w:themeColor="text1"/>
          <w:sz w:val="16"/>
          <w:szCs w:val="16"/>
        </w:rPr>
        <w:softHyphen/>
        <w:t>зываться заводом имени Менжинского.</w:t>
      </w:r>
    </w:p>
    <w:p w14:paraId="1A6E6D66" w14:textId="77777777" w:rsidR="001C5517" w:rsidRPr="00507A31" w:rsidRDefault="001C5517" w:rsidP="00507A31">
      <w:pPr>
        <w:pStyle w:val="80"/>
        <w:shd w:val="clear" w:color="auto" w:fill="auto"/>
        <w:spacing w:line="240" w:lineRule="auto"/>
        <w:jc w:val="both"/>
        <w:rPr>
          <w:rFonts w:ascii="Times New Roman" w:hAnsi="Times New Roman" w:cs="Times New Roman"/>
          <w:color w:val="000000" w:themeColor="text1"/>
        </w:rPr>
      </w:pPr>
      <w:r w:rsidRPr="00507A31">
        <w:rPr>
          <w:rStyle w:val="8"/>
          <w:rFonts w:ascii="Times New Roman" w:hAnsi="Times New Roman" w:cs="Times New Roman"/>
          <w:i w:val="0"/>
          <w:color w:val="000000" w:themeColor="text1"/>
        </w:rPr>
        <w:t>Современник и очевидец событий описываемого периода авиаконструктор В.Б. Шавров вспоминал:</w:t>
      </w:r>
      <w:r w:rsidRPr="00507A31">
        <w:rPr>
          <w:rFonts w:ascii="Times New Roman" w:hAnsi="Times New Roman" w:cs="Times New Roman"/>
          <w:color w:val="000000" w:themeColor="text1"/>
        </w:rPr>
        <w:t xml:space="preserve"> «ГПУ, посадившее множество инженерно-технических работ</w:t>
      </w:r>
      <w:r w:rsidRPr="00507A31">
        <w:rPr>
          <w:rFonts w:ascii="Times New Roman" w:hAnsi="Times New Roman" w:cs="Times New Roman"/>
          <w:color w:val="000000" w:themeColor="text1"/>
        </w:rPr>
        <w:softHyphen/>
        <w:t>ников старшего поколения, решило взять на себя опытное строительство самолетов. Мол, при таком положении вредительства не будет.</w:t>
      </w:r>
    </w:p>
    <w:p w14:paraId="1967A9EA" w14:textId="77777777" w:rsidR="001C5517" w:rsidRPr="00507A31" w:rsidRDefault="001C5517" w:rsidP="00507A31">
      <w:pPr>
        <w:pStyle w:val="80"/>
        <w:shd w:val="clear" w:color="auto" w:fill="auto"/>
        <w:spacing w:line="240" w:lineRule="auto"/>
        <w:jc w:val="both"/>
        <w:rPr>
          <w:rFonts w:ascii="Times New Roman" w:hAnsi="Times New Roman" w:cs="Times New Roman"/>
          <w:color w:val="000000" w:themeColor="text1"/>
        </w:rPr>
      </w:pPr>
      <w:r w:rsidRPr="00507A31">
        <w:rPr>
          <w:rFonts w:ascii="Times New Roman" w:hAnsi="Times New Roman" w:cs="Times New Roman"/>
          <w:color w:val="000000" w:themeColor="text1"/>
        </w:rPr>
        <w:t>ГПУ решило собрать на заводе №39 всех, кто работал у Ришара, Поликарпова, Бартини. И, прежде всего, был составлен обширный план работ ЦКБ. План этот ба</w:t>
      </w:r>
      <w:r w:rsidRPr="00507A31">
        <w:rPr>
          <w:rFonts w:ascii="Times New Roman" w:hAnsi="Times New Roman" w:cs="Times New Roman"/>
          <w:color w:val="000000" w:themeColor="text1"/>
        </w:rPr>
        <w:softHyphen/>
        <w:t xml:space="preserve">зировался на следующем предположении: </w:t>
      </w:r>
      <w:r w:rsidRPr="00507A31">
        <w:rPr>
          <w:rStyle w:val="8"/>
          <w:rFonts w:ascii="Times New Roman" w:hAnsi="Times New Roman" w:cs="Times New Roman"/>
          <w:i w:val="0"/>
          <w:color w:val="000000" w:themeColor="text1"/>
        </w:rPr>
        <w:t>у</w:t>
      </w:r>
      <w:r w:rsidRPr="00507A31">
        <w:rPr>
          <w:rFonts w:ascii="Times New Roman" w:hAnsi="Times New Roman" w:cs="Times New Roman"/>
          <w:color w:val="000000" w:themeColor="text1"/>
        </w:rPr>
        <w:t xml:space="preserve"> Туполева опытный самолет строится четы</w:t>
      </w:r>
      <w:r w:rsidRPr="00507A31">
        <w:rPr>
          <w:rFonts w:ascii="Times New Roman" w:hAnsi="Times New Roman" w:cs="Times New Roman"/>
          <w:color w:val="000000" w:themeColor="text1"/>
        </w:rPr>
        <w:softHyphen/>
        <w:t>ре года, а мы будем строить за три недели. У нас - триста человек штата, так всех бросим на одно задание, чтобы быстро его выполнить. ЦКБ — мощная организация, которая, навалившись с силами на любое задание, сможет быстро его выполнить. ГПУ было убеждено, что именно так все и будет. Часть людей в ЦКБ была вольной, а часть — «арестованные». Мы, вольные, были подчинены последним, хотя они жили под стражей, и даже не могли отлучаться с заво</w:t>
      </w:r>
      <w:r w:rsidRPr="00507A31">
        <w:rPr>
          <w:rFonts w:ascii="Times New Roman" w:hAnsi="Times New Roman" w:cs="Times New Roman"/>
          <w:color w:val="000000" w:themeColor="text1"/>
        </w:rPr>
        <w:softHyphen/>
        <w:t>да. Арестованные были нашими начальни</w:t>
      </w:r>
      <w:r w:rsidRPr="00507A31">
        <w:rPr>
          <w:rFonts w:ascii="Times New Roman" w:hAnsi="Times New Roman" w:cs="Times New Roman"/>
          <w:color w:val="000000" w:themeColor="text1"/>
        </w:rPr>
        <w:softHyphen/>
        <w:t>ками, а над ними — ГПУ, которое постоянно во все вмешивалось.</w:t>
      </w:r>
    </w:p>
    <w:p w14:paraId="38EE30E7" w14:textId="77777777" w:rsidR="001C5517" w:rsidRPr="00507A31" w:rsidRDefault="001C5517" w:rsidP="00507A31">
      <w:pPr>
        <w:pStyle w:val="80"/>
        <w:shd w:val="clear" w:color="auto" w:fill="auto"/>
        <w:spacing w:line="240" w:lineRule="auto"/>
        <w:jc w:val="both"/>
        <w:rPr>
          <w:rFonts w:ascii="Times New Roman" w:hAnsi="Times New Roman" w:cs="Times New Roman"/>
          <w:color w:val="000000" w:themeColor="text1"/>
        </w:rPr>
      </w:pPr>
      <w:r w:rsidRPr="00507A31">
        <w:rPr>
          <w:rFonts w:ascii="Times New Roman" w:hAnsi="Times New Roman" w:cs="Times New Roman"/>
          <w:color w:val="000000" w:themeColor="text1"/>
        </w:rPr>
        <w:t>Система, придуманная ГПУ, себя не оправдала. Она начисто обанкротилась. Оказалось, что, сколько людей не бросай на одно дело, оно от этого быстрее не пой</w:t>
      </w:r>
      <w:r w:rsidRPr="00507A31">
        <w:rPr>
          <w:rFonts w:ascii="Times New Roman" w:hAnsi="Times New Roman" w:cs="Times New Roman"/>
          <w:color w:val="000000" w:themeColor="text1"/>
        </w:rPr>
        <w:softHyphen/>
        <w:t>дет. Если, к примеру, на самолете тридцать пар нервюр разного размера, то это не означает, что эти нервюры можно сделать за два дня. Взаимосвязь сотрудников ока</w:t>
      </w:r>
      <w:r w:rsidRPr="00507A31">
        <w:rPr>
          <w:rFonts w:ascii="Times New Roman" w:hAnsi="Times New Roman" w:cs="Times New Roman"/>
          <w:color w:val="000000" w:themeColor="text1"/>
        </w:rPr>
        <w:softHyphen/>
        <w:t>залась такой, что сверхтемп проектирова</w:t>
      </w:r>
      <w:r w:rsidRPr="00507A31">
        <w:rPr>
          <w:rFonts w:ascii="Times New Roman" w:hAnsi="Times New Roman" w:cs="Times New Roman"/>
          <w:color w:val="000000" w:themeColor="text1"/>
        </w:rPr>
        <w:softHyphen/>
        <w:t>ния, предложенный ГПУ, оказался ЦКБ не под силу. Ведь крыло обычно рассчитывает кто-то один. Да и любой агрегат самолета делается ограниченным числом людей, и если их количество увеличивать, то проку от этого будет мало. ГПУ этой простой истины не понимало, но при первой же постройке штурмовиков ГШ эта система полностью проявила свои недостатки. Полгода все было в бурном движении: сверху нажим, сверхурочные, а результатов никаких. Ра</w:t>
      </w:r>
      <w:r w:rsidRPr="00507A31">
        <w:rPr>
          <w:rFonts w:ascii="Times New Roman" w:hAnsi="Times New Roman" w:cs="Times New Roman"/>
          <w:color w:val="000000" w:themeColor="text1"/>
        </w:rPr>
        <w:softHyphen/>
        <w:t>бота шла точно так, как если бы велась нор</w:t>
      </w:r>
      <w:r w:rsidRPr="00507A31">
        <w:rPr>
          <w:rFonts w:ascii="Times New Roman" w:hAnsi="Times New Roman" w:cs="Times New Roman"/>
          <w:color w:val="000000" w:themeColor="text1"/>
        </w:rPr>
        <w:softHyphen/>
        <w:t>мальная работа над этой машиной».</w:t>
      </w:r>
    </w:p>
    <w:p w14:paraId="24D6DEEB" w14:textId="77777777" w:rsidR="001C5517" w:rsidRPr="00507A31" w:rsidRDefault="001C5517" w:rsidP="00507A31">
      <w:pPr>
        <w:jc w:val="both"/>
        <w:rPr>
          <w:color w:val="000000" w:themeColor="text1"/>
          <w:sz w:val="16"/>
          <w:szCs w:val="16"/>
        </w:rPr>
      </w:pPr>
      <w:r w:rsidRPr="00507A31">
        <w:rPr>
          <w:color w:val="000000" w:themeColor="text1"/>
          <w:sz w:val="16"/>
          <w:szCs w:val="16"/>
        </w:rPr>
        <w:t>Существует мнение, что идеологом создания тюремных конструкторских бюро стал председатель ОГПУ В.Р. Менжин</w:t>
      </w:r>
      <w:r w:rsidRPr="00507A31">
        <w:rPr>
          <w:color w:val="000000" w:themeColor="text1"/>
          <w:sz w:val="16"/>
          <w:szCs w:val="16"/>
        </w:rPr>
        <w:softHyphen/>
        <w:t>ский, занявший этот пост после смерти Ф.Э.Дзержинского в 1926 г. Возможно, в качестве образца для своей изощренной затеи Менжинский использовал историю создания знаменитого американского дви</w:t>
      </w:r>
      <w:r w:rsidRPr="00507A31">
        <w:rPr>
          <w:color w:val="000000" w:themeColor="text1"/>
          <w:sz w:val="16"/>
          <w:szCs w:val="16"/>
        </w:rPr>
        <w:softHyphen/>
        <w:t>гателя «Либерти». В США для разработки этого двигателя в 1917 г. привлекли лучших инженеров, которых буквально заперли в одной из вашингтонских гостиниц. Одно</w:t>
      </w:r>
      <w:r w:rsidRPr="00507A31">
        <w:rPr>
          <w:color w:val="000000" w:themeColor="text1"/>
          <w:sz w:val="16"/>
          <w:szCs w:val="16"/>
        </w:rPr>
        <w:softHyphen/>
        <w:t>временно, в помощь проектировщикам, с различных предприятий Америки со</w:t>
      </w:r>
      <w:r w:rsidRPr="00507A31">
        <w:rPr>
          <w:color w:val="000000" w:themeColor="text1"/>
          <w:sz w:val="16"/>
          <w:szCs w:val="16"/>
        </w:rPr>
        <w:softHyphen/>
        <w:t>брали наиболее опытных консультантов и чертежников. Работа велась практически круглосуточно, что позволило спроекти</w:t>
      </w:r>
      <w:r w:rsidRPr="00507A31">
        <w:rPr>
          <w:color w:val="000000" w:themeColor="text1"/>
          <w:sz w:val="16"/>
          <w:szCs w:val="16"/>
        </w:rPr>
        <w:softHyphen/>
        <w:t>ровать и изготовить двигатель в период с 3 июня по 3 июля 1917 г., то есть ровно за один месяц.</w:t>
      </w:r>
    </w:p>
    <w:p w14:paraId="62329E68" w14:textId="77777777" w:rsidR="001C5517" w:rsidRPr="00507A31" w:rsidRDefault="001C5517" w:rsidP="00507A31">
      <w:pPr>
        <w:jc w:val="both"/>
        <w:rPr>
          <w:color w:val="000000" w:themeColor="text1"/>
          <w:sz w:val="16"/>
          <w:szCs w:val="16"/>
        </w:rPr>
      </w:pPr>
      <w:r w:rsidRPr="00507A31">
        <w:rPr>
          <w:color w:val="000000" w:themeColor="text1"/>
          <w:sz w:val="16"/>
          <w:szCs w:val="16"/>
        </w:rPr>
        <w:t>В советском варианте арестованным инженерам поручили в кратчайшие сро</w:t>
      </w:r>
      <w:r w:rsidRPr="00507A31">
        <w:rPr>
          <w:color w:val="000000" w:themeColor="text1"/>
          <w:sz w:val="16"/>
          <w:szCs w:val="16"/>
        </w:rPr>
        <w:softHyphen/>
        <w:t>ки спроектировать самолет-истребитель. Старшим этого творческого коллектива на</w:t>
      </w:r>
      <w:r w:rsidRPr="00507A31">
        <w:rPr>
          <w:color w:val="000000" w:themeColor="text1"/>
          <w:sz w:val="16"/>
          <w:szCs w:val="16"/>
        </w:rPr>
        <w:softHyphen/>
        <w:t>значили Д.П. Григоровича, а начальником всей организации — представителя ОГПУ Горяинова. Срочность полученного зада</w:t>
      </w:r>
      <w:r w:rsidRPr="00507A31">
        <w:rPr>
          <w:color w:val="000000" w:themeColor="text1"/>
          <w:sz w:val="16"/>
          <w:szCs w:val="16"/>
        </w:rPr>
        <w:softHyphen/>
        <w:t>ния предполагала, что проектировщики ис</w:t>
      </w:r>
      <w:r w:rsidRPr="00507A31">
        <w:rPr>
          <w:color w:val="000000" w:themeColor="text1"/>
          <w:sz w:val="16"/>
          <w:szCs w:val="16"/>
        </w:rPr>
        <w:softHyphen/>
        <w:t>пользуют свой богатый практический опыт, полученный за предыдущие годы работы в авиапромышленности (12610).</w:t>
      </w:r>
    </w:p>
    <w:p w14:paraId="4AF3EF18" w14:textId="77777777" w:rsidR="001C5517" w:rsidRPr="00507A31" w:rsidRDefault="001C5517" w:rsidP="00507A31">
      <w:pPr>
        <w:jc w:val="both"/>
        <w:rPr>
          <w:color w:val="000000" w:themeColor="text1"/>
          <w:sz w:val="16"/>
          <w:szCs w:val="16"/>
        </w:rPr>
      </w:pPr>
    </w:p>
    <w:p w14:paraId="0B285A77" w14:textId="77777777" w:rsidR="001C5517" w:rsidRPr="00507A31" w:rsidRDefault="001C5517" w:rsidP="00507A31">
      <w:pPr>
        <w:jc w:val="both"/>
        <w:rPr>
          <w:color w:val="000000" w:themeColor="text1"/>
          <w:sz w:val="16"/>
          <w:szCs w:val="16"/>
        </w:rPr>
      </w:pPr>
      <w:r w:rsidRPr="00507A31">
        <w:rPr>
          <w:color w:val="000000" w:themeColor="text1"/>
          <w:sz w:val="16"/>
          <w:szCs w:val="16"/>
        </w:rPr>
        <w:t>В начале 1930 г. кроме самолетостроительного ЦКБ образовали еще одну тюремную «шарагу» — особое техническое бюро (ОТБ) ОГПУ по авиаци</w:t>
      </w:r>
      <w:r w:rsidRPr="00507A31">
        <w:rPr>
          <w:color w:val="000000" w:themeColor="text1"/>
          <w:sz w:val="16"/>
          <w:szCs w:val="16"/>
        </w:rPr>
        <w:softHyphen/>
        <w:t>онным двигателям, которое находилось в центре Москвы, на Никольской улице. Находящимся в этом учреждении не по своей воле видным отечественным мотористам Б.С. Стечкину, Н.Р. Бриллингу, А.А. Бессонову и некоторым другим пору</w:t>
      </w:r>
      <w:r w:rsidRPr="00507A31">
        <w:rPr>
          <w:color w:val="000000" w:themeColor="text1"/>
          <w:sz w:val="16"/>
          <w:szCs w:val="16"/>
        </w:rPr>
        <w:softHyphen/>
        <w:t>чили спроектировать, испытать и запустить в производство несколько новых типов бензиновых и дизельных двигателей. Зна</w:t>
      </w:r>
      <w:r w:rsidRPr="00507A31">
        <w:rPr>
          <w:color w:val="000000" w:themeColor="text1"/>
          <w:sz w:val="16"/>
          <w:szCs w:val="16"/>
        </w:rPr>
        <w:softHyphen/>
        <w:t>чился среди них и мощный 24-цилиндровый двигатель ФЭД (Феликс Эдмундович Дзер- жинский). Выполненный по Х-образной схеме, снабженный приводом централь</w:t>
      </w:r>
      <w:r w:rsidRPr="00507A31">
        <w:rPr>
          <w:color w:val="000000" w:themeColor="text1"/>
          <w:sz w:val="16"/>
          <w:szCs w:val="16"/>
        </w:rPr>
        <w:softHyphen/>
        <w:t>ного наддува (ПЦН), ФЭД должен был раз</w:t>
      </w:r>
      <w:r w:rsidRPr="00507A31">
        <w:rPr>
          <w:color w:val="000000" w:themeColor="text1"/>
          <w:sz w:val="16"/>
          <w:szCs w:val="16"/>
        </w:rPr>
        <w:softHyphen/>
        <w:t>вивать на высоте 3000 м весьма приличную по тем временам мощность — 1100— 1250 л.с. Создавался двигатель ФЭД, прежде всего, для оснащения бомбарди</w:t>
      </w:r>
      <w:r w:rsidRPr="00507A31">
        <w:rPr>
          <w:color w:val="000000" w:themeColor="text1"/>
          <w:sz w:val="16"/>
          <w:szCs w:val="16"/>
        </w:rPr>
        <w:softHyphen/>
        <w:t>ровщика ТБ-5. Установка двигателей на самолете планировалось в двух видах: в передней кромке крыла, либо на вынесен</w:t>
      </w:r>
      <w:r w:rsidRPr="00507A31">
        <w:rPr>
          <w:color w:val="000000" w:themeColor="text1"/>
          <w:sz w:val="16"/>
          <w:szCs w:val="16"/>
        </w:rPr>
        <w:softHyphen/>
        <w:t>ных стойках под крылом. В обоих вариантах за силовой установкой предусматривалось размещение крыльевой оборонительной установки. То есть задумывалось все грамотно и обстоятельно. Впрочем, создание хороших авиа</w:t>
      </w:r>
      <w:r w:rsidRPr="00507A31">
        <w:rPr>
          <w:color w:val="000000" w:themeColor="text1"/>
          <w:sz w:val="16"/>
          <w:szCs w:val="16"/>
        </w:rPr>
        <w:softHyphen/>
        <w:t>ционных двигателей всегда является несравнимо более сложной и длительной по времени разрешения задачей. К нуж</w:t>
      </w:r>
      <w:r w:rsidRPr="00507A31">
        <w:rPr>
          <w:color w:val="000000" w:themeColor="text1"/>
          <w:sz w:val="16"/>
          <w:szCs w:val="16"/>
        </w:rPr>
        <w:softHyphen/>
        <w:t>ному сроку двигатели ФЭД готовы не были, поэтому ТБ-5строился под4двигателя Гном Рон «Юпитер», расположенных попарно друг за другом (тандем) под крылом с двух сторон фюзеляжа. Решение строить ТБ-5 с «Юпитерами» окончательно оформилось весной 1931 г. (12611).</w:t>
      </w:r>
    </w:p>
    <w:p w14:paraId="26234C8B" w14:textId="77777777" w:rsidR="001C5517" w:rsidRPr="00507A31" w:rsidRDefault="001C5517" w:rsidP="00507A31">
      <w:pPr>
        <w:jc w:val="both"/>
        <w:rPr>
          <w:color w:val="000000" w:themeColor="text1"/>
          <w:sz w:val="16"/>
          <w:szCs w:val="16"/>
        </w:rPr>
      </w:pPr>
    </w:p>
    <w:p w14:paraId="333C24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решением Реввоенсовета республики Бартини перевели в авиационную промышленность для реализа</w:t>
      </w:r>
      <w:r w:rsidRPr="00507A31">
        <w:rPr>
          <w:color w:val="000000" w:themeColor="text1"/>
          <w:sz w:val="16"/>
          <w:szCs w:val="16"/>
        </w:rPr>
        <w:softHyphen/>
        <w:t>ции разработанных им проектов и, чуть позд</w:t>
      </w:r>
      <w:r w:rsidRPr="00507A31">
        <w:rPr>
          <w:color w:val="000000" w:themeColor="text1"/>
          <w:sz w:val="16"/>
          <w:szCs w:val="16"/>
        </w:rPr>
        <w:softHyphen/>
        <w:t>нее, он был назначен главным конструктором ОПО-3 (Опытный производственный отдел, ба</w:t>
      </w:r>
      <w:r w:rsidRPr="00507A31">
        <w:rPr>
          <w:color w:val="000000" w:themeColor="text1"/>
          <w:sz w:val="16"/>
          <w:szCs w:val="16"/>
        </w:rPr>
        <w:softHyphen/>
        <w:t>зировался на авиазаводе №22 в Филях). Проектов было несколько, и почти все они от</w:t>
      </w:r>
      <w:r w:rsidRPr="00507A31">
        <w:rPr>
          <w:color w:val="000000" w:themeColor="text1"/>
          <w:sz w:val="16"/>
          <w:szCs w:val="16"/>
        </w:rPr>
        <w:softHyphen/>
        <w:t>носились к гидроавиации. Позднее, по разра</w:t>
      </w:r>
      <w:r w:rsidRPr="00507A31">
        <w:rPr>
          <w:color w:val="000000" w:themeColor="text1"/>
          <w:sz w:val="16"/>
          <w:szCs w:val="16"/>
        </w:rPr>
        <w:softHyphen/>
        <w:t>ботанным Бартини схемам были построены известные гидросамолеты МБР-2 и МК - «Морской крейсер». Осенью 1930 г. Бартини направили главным конструктором в НИИ ГВФ, где основным направлением его деятельности в течение нескольких последующих лет стало проектирование экспериментального истре</w:t>
      </w:r>
      <w:r w:rsidRPr="00507A31">
        <w:rPr>
          <w:color w:val="000000" w:themeColor="text1"/>
          <w:sz w:val="16"/>
          <w:szCs w:val="16"/>
        </w:rPr>
        <w:softHyphen/>
        <w:t>бителя «Сталь-б» и освоение технологии свар</w:t>
      </w:r>
      <w:r w:rsidRPr="00507A31">
        <w:rPr>
          <w:color w:val="000000" w:themeColor="text1"/>
          <w:sz w:val="16"/>
          <w:szCs w:val="16"/>
        </w:rPr>
        <w:softHyphen/>
        <w:t>ных стальных конструкций (11979).</w:t>
      </w:r>
    </w:p>
    <w:p w14:paraId="2556B7F8" w14:textId="77777777" w:rsidR="00537E5F" w:rsidRPr="00507A31" w:rsidRDefault="00537E5F" w:rsidP="00507A31">
      <w:pPr>
        <w:autoSpaceDE w:val="0"/>
        <w:autoSpaceDN w:val="0"/>
        <w:adjustRightInd w:val="0"/>
        <w:jc w:val="both"/>
        <w:rPr>
          <w:color w:val="000000" w:themeColor="text1"/>
          <w:sz w:val="16"/>
          <w:szCs w:val="16"/>
        </w:rPr>
      </w:pPr>
    </w:p>
    <w:p w14:paraId="3307F0DB" w14:textId="4DB81ADE" w:rsidR="00430B0A" w:rsidRPr="00507A31" w:rsidRDefault="00430B0A" w:rsidP="00507A31">
      <w:pPr>
        <w:jc w:val="both"/>
        <w:rPr>
          <w:color w:val="0070C0"/>
          <w:sz w:val="16"/>
          <w:szCs w:val="16"/>
        </w:rPr>
      </w:pPr>
      <w:r w:rsidRPr="00507A31">
        <w:rPr>
          <w:color w:val="0070C0"/>
          <w:sz w:val="16"/>
          <w:szCs w:val="16"/>
          <w:lang w:bidi="ru-RU"/>
        </w:rPr>
        <w:t>В начале 30-х таганрогский завод был готов переходить от деревян</w:t>
      </w:r>
      <w:r w:rsidRPr="00507A31">
        <w:rPr>
          <w:color w:val="0070C0"/>
          <w:sz w:val="16"/>
          <w:szCs w:val="16"/>
          <w:lang w:bidi="ru-RU"/>
        </w:rPr>
        <w:softHyphen/>
        <w:t>ного самолетостроения к постройке машин смешанной и цельнометаллической конструкции. Но переход этот не был легким. Если до 1931 г. завод строил только один тип са</w:t>
      </w:r>
      <w:r w:rsidRPr="00507A31">
        <w:rPr>
          <w:color w:val="0070C0"/>
          <w:sz w:val="16"/>
          <w:szCs w:val="16"/>
          <w:lang w:bidi="ru-RU"/>
        </w:rPr>
        <w:softHyphen/>
        <w:t>молета Р-1 и его модификации, то теперь таганрогским авиастроителям пришлось одновременно работать над сухопутными и морскими машинами. Причем случались го</w:t>
      </w:r>
      <w:r w:rsidRPr="00507A31">
        <w:rPr>
          <w:color w:val="0070C0"/>
          <w:sz w:val="16"/>
          <w:szCs w:val="16"/>
          <w:lang w:bidi="ru-RU"/>
        </w:rPr>
        <w:softHyphen/>
        <w:t>ды, когда на заводе одновременно серийно строили четы</w:t>
      </w:r>
      <w:r w:rsidRPr="00507A31">
        <w:rPr>
          <w:color w:val="0070C0"/>
          <w:sz w:val="16"/>
          <w:szCs w:val="16"/>
          <w:lang w:bidi="ru-RU"/>
        </w:rPr>
        <w:softHyphen/>
        <w:t>ре, пять и даже шесть различных типов самолетов. Такие спущенные сверху планы все труднее и труднее воплоща</w:t>
      </w:r>
      <w:r w:rsidRPr="00507A31">
        <w:rPr>
          <w:color w:val="0070C0"/>
          <w:sz w:val="16"/>
          <w:szCs w:val="16"/>
          <w:lang w:bidi="ru-RU"/>
        </w:rPr>
        <w:softHyphen/>
        <w:t>лись в реальность.</w:t>
      </w:r>
    </w:p>
    <w:p w14:paraId="52AFC90A" w14:textId="77777777" w:rsidR="00430B0A" w:rsidRPr="00507A31" w:rsidRDefault="00430B0A" w:rsidP="00507A31">
      <w:pPr>
        <w:jc w:val="both"/>
        <w:rPr>
          <w:color w:val="0070C0"/>
          <w:sz w:val="16"/>
          <w:szCs w:val="16"/>
          <w:lang w:bidi="ru-RU"/>
        </w:rPr>
      </w:pPr>
      <w:r w:rsidRPr="00507A31">
        <w:rPr>
          <w:color w:val="0070C0"/>
          <w:sz w:val="16"/>
          <w:szCs w:val="16"/>
          <w:lang w:bidi="ru-RU"/>
        </w:rPr>
        <w:t>Следует признать, что такое положение было вынужден</w:t>
      </w:r>
      <w:r w:rsidRPr="00507A31">
        <w:rPr>
          <w:color w:val="0070C0"/>
          <w:sz w:val="16"/>
          <w:szCs w:val="16"/>
          <w:lang w:bidi="ru-RU"/>
        </w:rPr>
        <w:softHyphen/>
        <w:t>ным, но, к сожалению, в данной обстановке неизбежным. Пожалуй, лучшим объяснением данной ситуации будут слова И.В. Сталина, с жестокой откровенностью сказавше</w:t>
      </w:r>
      <w:r w:rsidRPr="00507A31">
        <w:rPr>
          <w:color w:val="0070C0"/>
          <w:sz w:val="16"/>
          <w:szCs w:val="16"/>
          <w:lang w:bidi="ru-RU"/>
        </w:rPr>
        <w:softHyphen/>
        <w:t xml:space="preserve">го </w:t>
      </w:r>
    </w:p>
    <w:p w14:paraId="3CC06969" w14:textId="77777777" w:rsidR="00430B0A" w:rsidRPr="00507A31" w:rsidRDefault="00430B0A" w:rsidP="00507A31">
      <w:pPr>
        <w:jc w:val="both"/>
        <w:rPr>
          <w:color w:val="0070C0"/>
          <w:sz w:val="16"/>
          <w:szCs w:val="16"/>
          <w:lang w:bidi="ru-RU"/>
        </w:rPr>
      </w:pPr>
    </w:p>
    <w:p w14:paraId="2F633457" w14:textId="77777777" w:rsidR="00753F1F" w:rsidRPr="00507A31" w:rsidRDefault="00753F1F" w:rsidP="00507A31">
      <w:pPr>
        <w:jc w:val="both"/>
        <w:rPr>
          <w:color w:val="0070C0"/>
          <w:sz w:val="16"/>
          <w:szCs w:val="16"/>
        </w:rPr>
      </w:pPr>
      <w:r w:rsidRPr="00507A31">
        <w:rPr>
          <w:color w:val="0070C0"/>
          <w:sz w:val="16"/>
          <w:szCs w:val="16"/>
          <w:lang w:bidi="ru-RU"/>
        </w:rPr>
        <w:t>В начале 1930 года авиазавод в Нижнем Новгороде получит номерное обозначение и стал заводом №21. Проект которого под обозначнием «С-20» выполнил московский нститут Мосгипромез и в это время 21 завод назывался заводом «А». Одновременно строящиеся в Н.Новгороде автомобильный и машиностроительный заводы назывались соответственно «В» и «С», Завод проектировался для изготовления в военное время одноместных истребителей И-3 с мотором М-17 и двухместных разведчиков Р-5 с мотором М-17. В мирное время дополнительно предусматривался выпуск пассажирских самолетов К-5 (21100).</w:t>
      </w:r>
    </w:p>
    <w:p w14:paraId="0BDBA7AE" w14:textId="77777777" w:rsidR="00753F1F" w:rsidRPr="00507A31" w:rsidRDefault="00753F1F" w:rsidP="00507A31">
      <w:pPr>
        <w:jc w:val="both"/>
        <w:rPr>
          <w:color w:val="0070C0"/>
          <w:sz w:val="16"/>
          <w:szCs w:val="16"/>
          <w:lang w:bidi="ru-RU"/>
        </w:rPr>
      </w:pPr>
    </w:p>
    <w:p w14:paraId="4E8D505C" w14:textId="77777777" w:rsidR="00753F1F" w:rsidRPr="00507A31" w:rsidRDefault="00753F1F" w:rsidP="00507A31">
      <w:pPr>
        <w:jc w:val="both"/>
        <w:rPr>
          <w:color w:val="0070C0"/>
          <w:sz w:val="16"/>
          <w:szCs w:val="16"/>
        </w:rPr>
      </w:pPr>
      <w:r w:rsidRPr="00507A31">
        <w:rPr>
          <w:color w:val="0070C0"/>
          <w:sz w:val="16"/>
          <w:szCs w:val="16"/>
          <w:lang w:bidi="ru-RU"/>
        </w:rPr>
        <w:t>В начале 1930 г. в Севастополь на авиаремонт</w:t>
      </w:r>
      <w:r w:rsidRPr="00507A31">
        <w:rPr>
          <w:color w:val="0070C0"/>
          <w:sz w:val="16"/>
          <w:szCs w:val="16"/>
          <w:lang w:bidi="ru-RU"/>
        </w:rPr>
        <w:softHyphen/>
        <w:t>ный завод №45, специализировавшийся на ремонте этих ле</w:t>
      </w:r>
      <w:r w:rsidRPr="00507A31">
        <w:rPr>
          <w:color w:val="0070C0"/>
          <w:sz w:val="16"/>
          <w:szCs w:val="16"/>
          <w:lang w:bidi="ru-RU"/>
        </w:rPr>
        <w:softHyphen/>
        <w:t>тающих лодок, ранее закупленных СССР, был командирован конструктор завода №31 Л.В. Властов с задачей разработ</w:t>
      </w:r>
      <w:r w:rsidRPr="00507A31">
        <w:rPr>
          <w:color w:val="0070C0"/>
          <w:sz w:val="16"/>
          <w:szCs w:val="16"/>
          <w:lang w:bidi="ru-RU"/>
        </w:rPr>
        <w:softHyphen/>
        <w:t>ки чертежей «самолета М.Д.» (так шифровали «Валь» в пере</w:t>
      </w:r>
      <w:r w:rsidRPr="00507A31">
        <w:rPr>
          <w:color w:val="0070C0"/>
          <w:sz w:val="16"/>
          <w:szCs w:val="16"/>
          <w:lang w:bidi="ru-RU"/>
        </w:rPr>
        <w:softHyphen/>
        <w:t>писке). Образцом должна была стать одна из закупленных ле</w:t>
      </w:r>
      <w:r w:rsidRPr="00507A31">
        <w:rPr>
          <w:color w:val="0070C0"/>
          <w:sz w:val="16"/>
          <w:szCs w:val="16"/>
          <w:lang w:bidi="ru-RU"/>
        </w:rPr>
        <w:softHyphen/>
        <w:t>тающих лодок, а для выполнения этой работы намечалось со</w:t>
      </w:r>
      <w:r w:rsidRPr="00507A31">
        <w:rPr>
          <w:color w:val="0070C0"/>
          <w:sz w:val="16"/>
          <w:szCs w:val="16"/>
          <w:lang w:bidi="ru-RU"/>
        </w:rPr>
        <w:softHyphen/>
        <w:t>здать на месте временное конструкторское бюро.</w:t>
      </w:r>
    </w:p>
    <w:p w14:paraId="1E50C8D8" w14:textId="77777777" w:rsidR="00753F1F" w:rsidRPr="00507A31" w:rsidRDefault="00753F1F" w:rsidP="00507A31">
      <w:pPr>
        <w:jc w:val="both"/>
        <w:rPr>
          <w:color w:val="0070C0"/>
          <w:sz w:val="16"/>
          <w:szCs w:val="16"/>
        </w:rPr>
      </w:pPr>
      <w:r w:rsidRPr="00507A31">
        <w:rPr>
          <w:color w:val="0070C0"/>
          <w:sz w:val="16"/>
          <w:szCs w:val="16"/>
          <w:lang w:bidi="ru-RU"/>
        </w:rPr>
        <w:t>Время поджимало, и в Севастополь из Таганрога шли де</w:t>
      </w:r>
      <w:r w:rsidRPr="00507A31">
        <w:rPr>
          <w:color w:val="0070C0"/>
          <w:sz w:val="16"/>
          <w:szCs w:val="16"/>
          <w:lang w:bidi="ru-RU"/>
        </w:rPr>
        <w:softHyphen/>
        <w:t>пеши следующего содержания: «...чертежи заготовляйте по группам, например: лодка, крылья, моторная установка и т.д. и, по окончании такой группы, сейчас же направляй</w:t>
      </w:r>
      <w:r w:rsidRPr="00507A31">
        <w:rPr>
          <w:color w:val="0070C0"/>
          <w:sz w:val="16"/>
          <w:szCs w:val="16"/>
          <w:lang w:bidi="ru-RU"/>
        </w:rPr>
        <w:softHyphen/>
        <w:t>те чертежи заводу №31. Получив Ваши чертежи, мы будем их пускать в работу. Ожидать изготовления всех чертежей на самолет обстоятельства не позволяют».</w:t>
      </w:r>
    </w:p>
    <w:p w14:paraId="1C35D4C5" w14:textId="77777777" w:rsidR="00753F1F" w:rsidRPr="00507A31" w:rsidRDefault="00753F1F" w:rsidP="00507A31">
      <w:pPr>
        <w:jc w:val="both"/>
        <w:rPr>
          <w:color w:val="0070C0"/>
          <w:sz w:val="16"/>
          <w:szCs w:val="16"/>
          <w:lang w:bidi="ru-RU"/>
        </w:rPr>
      </w:pPr>
      <w:r w:rsidRPr="00507A31">
        <w:rPr>
          <w:color w:val="0070C0"/>
          <w:sz w:val="16"/>
          <w:szCs w:val="16"/>
          <w:lang w:bidi="ru-RU"/>
        </w:rPr>
        <w:t>Однако на месте выяснилось, что работать над чертежа</w:t>
      </w:r>
      <w:r w:rsidRPr="00507A31">
        <w:rPr>
          <w:color w:val="0070C0"/>
          <w:sz w:val="16"/>
          <w:szCs w:val="16"/>
          <w:lang w:bidi="ru-RU"/>
        </w:rPr>
        <w:softHyphen/>
        <w:t>ми «самолета М.Д.», собственно, особенно некому, так как «технический персонал завода №45 — незначителен и перегружен работой по заводу, так что может быть исполь</w:t>
      </w:r>
      <w:r w:rsidRPr="00507A31">
        <w:rPr>
          <w:color w:val="0070C0"/>
          <w:sz w:val="16"/>
          <w:szCs w:val="16"/>
          <w:lang w:bidi="ru-RU"/>
        </w:rPr>
        <w:softHyphen/>
        <w:t>зован лишь в неурочные часы, что и предполагается сде</w:t>
      </w:r>
      <w:r w:rsidRPr="00507A31">
        <w:rPr>
          <w:color w:val="0070C0"/>
          <w:sz w:val="16"/>
          <w:szCs w:val="16"/>
          <w:lang w:bidi="ru-RU"/>
        </w:rPr>
        <w:softHyphen/>
        <w:t>лать, так как набор необходимого количества достаточно квалифицированных чертежников, в особенности работав</w:t>
      </w:r>
      <w:r w:rsidRPr="00507A31">
        <w:rPr>
          <w:color w:val="0070C0"/>
          <w:sz w:val="16"/>
          <w:szCs w:val="16"/>
          <w:lang w:bidi="ru-RU"/>
        </w:rPr>
        <w:softHyphen/>
        <w:t>ших по самолетостроению, в Севастополе очень затруд</w:t>
      </w:r>
      <w:r w:rsidRPr="00507A31">
        <w:rPr>
          <w:color w:val="0070C0"/>
          <w:sz w:val="16"/>
          <w:szCs w:val="16"/>
          <w:lang w:bidi="ru-RU"/>
        </w:rPr>
        <w:softHyphen/>
        <w:t>нен». Работы по разработке чертежей «Валя» продолжались далее, как говорится, ни шатко ни валко, в результате «са</w:t>
      </w:r>
      <w:r w:rsidRPr="00507A31">
        <w:rPr>
          <w:color w:val="0070C0"/>
          <w:sz w:val="16"/>
          <w:szCs w:val="16"/>
          <w:lang w:bidi="ru-RU"/>
        </w:rPr>
        <w:softHyphen/>
        <w:t>молет М.Д.» в цехах завода №31 так и не появился (20325).</w:t>
      </w:r>
    </w:p>
    <w:p w14:paraId="58305C49" w14:textId="77777777" w:rsidR="00753F1F" w:rsidRPr="00507A31" w:rsidRDefault="00753F1F" w:rsidP="00507A31">
      <w:pPr>
        <w:jc w:val="both"/>
        <w:rPr>
          <w:color w:val="0070C0"/>
          <w:sz w:val="16"/>
          <w:szCs w:val="16"/>
        </w:rPr>
      </w:pPr>
    </w:p>
    <w:p w14:paraId="0ADC59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в авиапромышленность было передано пять ремонтных заводов треста Промвоздух УВВС РККА в Смоленске, Москве, Киеве, Севастополе и Ленинграде, а также Харьковский завод ГА (80,414):</w:t>
      </w:r>
    </w:p>
    <w:p w14:paraId="425E49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завод 35 - Смоленск;</w:t>
      </w:r>
    </w:p>
    <w:p w14:paraId="362E6E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завод 39 - им. Менжинского, бывший Авиаработник, Москва;</w:t>
      </w:r>
    </w:p>
    <w:p w14:paraId="2E4A78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завод 43 - Киев;</w:t>
      </w:r>
    </w:p>
    <w:p w14:paraId="7A049C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завод 45 - Севастополь;</w:t>
      </w:r>
    </w:p>
    <w:p w14:paraId="1E060C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завод 47 - Ленинград;</w:t>
      </w:r>
    </w:p>
    <w:p w14:paraId="690C90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завод 135 - Харьков (80,414).</w:t>
      </w:r>
    </w:p>
    <w:p w14:paraId="2207CD69" w14:textId="77777777" w:rsidR="00537E5F" w:rsidRPr="00507A31" w:rsidRDefault="00537E5F" w:rsidP="00507A31">
      <w:pPr>
        <w:autoSpaceDE w:val="0"/>
        <w:autoSpaceDN w:val="0"/>
        <w:adjustRightInd w:val="0"/>
        <w:jc w:val="both"/>
        <w:rPr>
          <w:color w:val="000000" w:themeColor="text1"/>
          <w:sz w:val="16"/>
          <w:szCs w:val="16"/>
        </w:rPr>
      </w:pPr>
    </w:p>
    <w:p w14:paraId="205FF1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на заводе № 82 из заключённых конструкторов- моторостроителей было образовано ОТБ ОГПУ. При заводе работала конструкторская группа под руководством М.А. Коссова. Затем по приказу № 0021 от 10.01.1939 г. создано единое ОТБ в системе 4-го спецотдела НКВД доя использования заключенных, имеющих специальные технические знания (см. ЦКБ-29 НКВД). На заводе № 82- конструкторская группа ОТБ по моторостроению. К 05.1940 г. завод № 82 стал производственной базой ОТБ.</w:t>
      </w:r>
    </w:p>
    <w:p w14:paraId="1BD05D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Глушко арестован в 03.1938 г., по 08.1939 г. находился во внутренней тюрьме НКВД на Лубянке и в Бутырке, затем- в ОТБ. Летом 1940 г. Глушко переведен на завод № 27 в качестве гл. конструктора группы 4-го Спецотдела НКВД.</w:t>
      </w:r>
    </w:p>
    <w:p w14:paraId="239BDF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Создавался опытный 24-цилиндровый мотор ФЭД для ТБ-5, но не был закончен. Работы по авиационному дизелю М-30 (АД-5) для ТБ-7, ДБ-240; М-30Ф, М-20; М-40 (АН-1-РТК) для ТБ-7, М-40Ф (гл. конструктор- В.М. Яковлев); морскому М-50 (МН-1) для ПЛ-95. Создан первый в стране звездообразный дизель Д-11 на базе М-11 (Т.М. Мелькумов, 1937 г.). Работы по газогенератору и ЖРД для самолетов С-100 и «Сталь-7» (1939-40 г., В.П. Глушко).</w:t>
      </w:r>
    </w:p>
    <w:p w14:paraId="2DCCD7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1941 г. эвакуировано вместе с заводом № 82 на завод № 27 в Казань как самостоятельный цех, далее- в составе ОКБ завода № 16 в системе 4-го Спецотдела НКВД.</w:t>
      </w:r>
    </w:p>
    <w:p w14:paraId="268183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(1933-37 г.)- М.А. Коссов, (1937 г.)- Т.М. Мелькумов, (1938-41 г.)- Ф.Я. Тулупов, (1942-45 г.)- А.Д. Чаромский-Броничев (11982).</w:t>
      </w:r>
    </w:p>
    <w:p w14:paraId="51957C9A" w14:textId="77777777" w:rsidR="00DC625D" w:rsidRPr="00507A31" w:rsidRDefault="00DC625D" w:rsidP="00507A31">
      <w:pPr>
        <w:autoSpaceDE w:val="0"/>
        <w:autoSpaceDN w:val="0"/>
        <w:adjustRightInd w:val="0"/>
        <w:jc w:val="both"/>
        <w:rPr>
          <w:color w:val="000000" w:themeColor="text1"/>
          <w:sz w:val="16"/>
          <w:szCs w:val="16"/>
        </w:rPr>
      </w:pPr>
    </w:p>
    <w:p w14:paraId="6EDA02EC" w14:textId="77777777" w:rsidR="004F27E5" w:rsidRPr="00507A31" w:rsidRDefault="004F27E5" w:rsidP="00507A31">
      <w:pPr>
        <w:jc w:val="both"/>
        <w:rPr>
          <w:color w:val="000000" w:themeColor="text1"/>
          <w:sz w:val="16"/>
          <w:szCs w:val="16"/>
        </w:rPr>
      </w:pPr>
      <w:r w:rsidRPr="00507A31">
        <w:rPr>
          <w:color w:val="000000" w:themeColor="text1"/>
          <w:sz w:val="16"/>
          <w:szCs w:val="16"/>
        </w:rPr>
        <w:t>В начале 1930 года, когда на чертежах репрессированных конструкторов появились контуры будущей машины, и возникла необходимость в проведении опытных работ, ОКБ предоставили несколько охраняемых сотрудниками ОГПУ ангаров на территории завода № 39 им. Менжинского, получивших название «внутренняя тюрьма». Один из ангаров, именуемый «седьмым», был разделен на две половины: в одной находилось конструкторское бюро, в другой – жилая зона. Заместителем руководителя ОКБ стал директор завода № 39 Н.Е. Пауфлер. Тогда же ОКБ было переименовано в Центральное конструкторское бюро - ЦКБ-З9, и стало входить в состав Технического отделения ЭКУ ОГПУ, ведавшего использованием арестованных специалистов. Для ускорения работ ЦКБ-39 вскоре было расширено за счет привлечения вольнонаемных авиационных специалистов. Можно предположить, что тогда в его состав вошли и специалисты ЦКБ ВАО, образованного в марте 1930 года. Ядром новой организации явились конструкторы заводов № 22 и № 25, а также «группа из седьмого ангара» завода № 39. Образованный коллектив ЦКБ отличался очень высокой квалификацией. Поскольку заключенным конструкторам выход за охраняемую территорию был строго запрещен, связь с другими производственными подразделениями завода осуществлял вольнонаемный инженер С.М. Данскер. Летчиком-испытателем ЦКБ-39 был назначен Б.Л. Бухгольц (18293).</w:t>
      </w:r>
    </w:p>
    <w:p w14:paraId="3CAF15EA" w14:textId="77777777" w:rsidR="004F27E5" w:rsidRPr="00507A31" w:rsidRDefault="004F27E5" w:rsidP="00507A31">
      <w:pPr>
        <w:jc w:val="both"/>
        <w:rPr>
          <w:color w:val="000000" w:themeColor="text1"/>
          <w:sz w:val="16"/>
          <w:szCs w:val="16"/>
        </w:rPr>
      </w:pPr>
    </w:p>
    <w:p w14:paraId="23E8875A" w14:textId="77777777" w:rsidR="004F27E5" w:rsidRPr="00507A31" w:rsidRDefault="004F27E5" w:rsidP="00507A31">
      <w:pPr>
        <w:jc w:val="both"/>
        <w:rPr>
          <w:color w:val="000000" w:themeColor="text1"/>
          <w:sz w:val="16"/>
          <w:szCs w:val="16"/>
        </w:rPr>
      </w:pPr>
      <w:r w:rsidRPr="00507A31">
        <w:rPr>
          <w:color w:val="000000" w:themeColor="text1"/>
          <w:sz w:val="16"/>
          <w:szCs w:val="16"/>
        </w:rPr>
        <w:t>В начале 1930 года Авиатрест ВСНХ СССР преобразовывают во Всесоюзное Авиационное Объединение (ВАО). Вскоре руководством ВАО была предпринята попытка сосредоточения опытного самолетостроения в едином Центральном конструкторском бюро, которое должно размещаться на одном из авиационных заводов, использовать его производственную базу и работать под одним административным и техническим руководством. Предполагалось, что собранные вместе в таком ЦКБ инженеры и конструкторы будут оперативно решать любые задачи по созданию новых самолетов, и затем быстро передавать их в серийное производство.</w:t>
      </w:r>
    </w:p>
    <w:p w14:paraId="2A9D5D44" w14:textId="77777777" w:rsidR="004F27E5" w:rsidRPr="00507A31" w:rsidRDefault="004F27E5" w:rsidP="00507A31">
      <w:pPr>
        <w:jc w:val="both"/>
        <w:rPr>
          <w:color w:val="000000" w:themeColor="text1"/>
          <w:sz w:val="16"/>
          <w:szCs w:val="16"/>
        </w:rPr>
      </w:pPr>
      <w:r w:rsidRPr="00507A31">
        <w:rPr>
          <w:color w:val="000000" w:themeColor="text1"/>
          <w:sz w:val="16"/>
          <w:szCs w:val="16"/>
        </w:rPr>
        <w:t>В марте 1930 года такое единое ЦКБ было организовано на заводе № 39 им. Менжинского. На территории завода выделяется часть ангаров для организации опытного самолетостроительного производства, в ЦКБ переводятся лучшие конструкторские коллективы и авиационные специалисты. Завод становиться производственной базой ЦКБ и приступает к строительству опытных образцов и освоению технологии серийного производства новых типов самолетов.</w:t>
      </w:r>
    </w:p>
    <w:p w14:paraId="720FBDCF" w14:textId="77777777" w:rsidR="004F27E5" w:rsidRPr="00507A31" w:rsidRDefault="004F27E5" w:rsidP="00507A31">
      <w:pPr>
        <w:jc w:val="both"/>
        <w:rPr>
          <w:color w:val="000000" w:themeColor="text1"/>
          <w:sz w:val="16"/>
          <w:szCs w:val="16"/>
        </w:rPr>
      </w:pPr>
      <w:r w:rsidRPr="00507A31">
        <w:rPr>
          <w:color w:val="000000" w:themeColor="text1"/>
          <w:sz w:val="16"/>
          <w:szCs w:val="16"/>
        </w:rPr>
        <w:t>Главного конструктора ЦКБ не имело - были лишь консультанты. Эскизные проекты самолетов делались в отделе общих видов. Необходимые расчеты по аэродинамике, прочности и другие выполнялись централизовано в расчетном отделе. Затем проекты рассматривались и утверждались решающей инстанцией – Техническим Советом ЦКБ. Одновременно проходило согласование в соответствующих организациях ВВС, после чего строился макет самолета. Далее проекты направлялись в конструкторские отделы для разработки чертежей, а также для выполнения работ по оборудованию и вооружению. Завершались работы деталировками чертежей, контролем и передачей их в опытное производство (18293).</w:t>
      </w:r>
    </w:p>
    <w:p w14:paraId="60F1B2AC" w14:textId="77777777" w:rsidR="004F27E5" w:rsidRPr="00507A31" w:rsidRDefault="004F27E5" w:rsidP="00507A31">
      <w:pPr>
        <w:jc w:val="both"/>
        <w:rPr>
          <w:color w:val="000000" w:themeColor="text1"/>
          <w:sz w:val="16"/>
          <w:szCs w:val="16"/>
        </w:rPr>
      </w:pPr>
    </w:p>
    <w:p w14:paraId="33604F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делегация в составе начальника ВВС П.И.Баранова, Н.М.Харламова, А.Н.Туполева, Б.С.Стечкина, Е.В.Урмина и А.В.Петрова посетила Всемирную авиационную выставку в американском городе Сан-Луи. Среди осмотренных авиационных предприятий особое внимание уделялось посещению фирмы Кертисс-Райт. В результате, закупили несколько образцов авиамоторов. Чуть позже советская сторона приобрела несколько десятков двигателей Райт «Уайрлвинд» J-6 мощностью 300 л.с. Двигатели ставились на туполевских трехмоторных АНТ-9, АИР-5 А.С.Яковлева и некоторых других советских самолетах. Положительная оценка этой покупки привела к более масштабным действиям (6593).</w:t>
      </w:r>
    </w:p>
    <w:p w14:paraId="10DF1A84" w14:textId="77777777" w:rsidR="00537E5F" w:rsidRPr="00507A31" w:rsidRDefault="00537E5F" w:rsidP="00507A31">
      <w:pPr>
        <w:autoSpaceDE w:val="0"/>
        <w:autoSpaceDN w:val="0"/>
        <w:adjustRightInd w:val="0"/>
        <w:jc w:val="both"/>
        <w:rPr>
          <w:color w:val="000000" w:themeColor="text1"/>
          <w:sz w:val="16"/>
          <w:szCs w:val="16"/>
        </w:rPr>
      </w:pPr>
    </w:p>
    <w:p w14:paraId="5A08F7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года провели сравнительные испытания нескольких типов лыж для ТБ-1, сконструированных в ЦАГИ и на заводе № 28. Первые делались целиком из кольчугалюминия, вторые были деревянными с козелком из стальных труб. Металлические оказались прочнее и легче, но вдвое дороже. В итоге выбрали облегченные лыжи завода № 28 с усиленной обшивкой. Их запустили в производство и стали отправлять во все эскадрильи, вооружавшиеся новыми бомбардировщиками (12001).</w:t>
      </w:r>
    </w:p>
    <w:p w14:paraId="24FF15D3" w14:textId="77777777" w:rsidR="00537E5F" w:rsidRPr="00507A31" w:rsidRDefault="00537E5F" w:rsidP="00507A31">
      <w:pPr>
        <w:autoSpaceDE w:val="0"/>
        <w:autoSpaceDN w:val="0"/>
        <w:adjustRightInd w:val="0"/>
        <w:jc w:val="both"/>
        <w:rPr>
          <w:color w:val="000000" w:themeColor="text1"/>
          <w:sz w:val="16"/>
          <w:szCs w:val="16"/>
        </w:rPr>
      </w:pPr>
    </w:p>
    <w:p w14:paraId="68F4F4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конструктор В. С. Вахмистров в развитие идеи создания тяжелого самолета поля боя на базе серийного бомбардировщика установил вертикально в фюзеляже самолета ТБ-1 стреляющую вниз динамо-реактивную пушку калибра 76 мм, предназначенную для поражения наземных целей.</w:t>
      </w:r>
    </w:p>
    <w:p w14:paraId="184289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ДРП крепилась на специальном «пауке», укрепленном на балках бомбодержателей типа ДЕР-9 у левого люка. В фюзеляже было прорезано окно с усиленными обводами. Сопло ДРП выступало сверху на 200 мм, а дульная часть выходила из люка на 500 мм.</w:t>
      </w:r>
    </w:p>
    <w:p w14:paraId="4B92C5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земле Вахмистров произвел два выстрела. С этой целью под самолетом была вырыта яма глубиной два метра и площадью 1 м2. После второго выстрела вырвало часть обшивки фюзеляжа, в кабине бомбардира выбило два окна, образовалась небольшая пробоина в фюзеляже.</w:t>
      </w:r>
    </w:p>
    <w:p w14:paraId="58AE85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Было принято решение о нецелесообразности дальнейших испытаний ДРП на ТБ-1. Полагали, что имело смысл продолжить их на самолете Р-7. Сведений о продолжении этих работ не найдено (9649).</w:t>
      </w:r>
    </w:p>
    <w:p w14:paraId="3A4B2C11" w14:textId="77777777" w:rsidR="00537E5F" w:rsidRPr="00507A31" w:rsidRDefault="00537E5F" w:rsidP="00507A31">
      <w:pPr>
        <w:autoSpaceDE w:val="0"/>
        <w:autoSpaceDN w:val="0"/>
        <w:adjustRightInd w:val="0"/>
        <w:jc w:val="both"/>
        <w:rPr>
          <w:color w:val="000000" w:themeColor="text1"/>
          <w:sz w:val="16"/>
          <w:szCs w:val="16"/>
        </w:rPr>
      </w:pPr>
    </w:p>
    <w:p w14:paraId="70E669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начале 1930 года на опытном заводе ЦАГИ была завершена построй</w:t>
      </w:r>
      <w:r w:rsidRPr="00507A31">
        <w:rPr>
          <w:color w:val="000000" w:themeColor="text1"/>
          <w:sz w:val="16"/>
          <w:szCs w:val="16"/>
        </w:rPr>
        <w:softHyphen/>
        <w:t>ка вертолета ЦАГИ 1-ЭА, и в августе начались наземные испытания с запус</w:t>
      </w:r>
      <w:r w:rsidRPr="00507A31">
        <w:rPr>
          <w:color w:val="000000" w:themeColor="text1"/>
          <w:sz w:val="16"/>
          <w:szCs w:val="16"/>
        </w:rPr>
        <w:softHyphen/>
        <w:t>ком двигателей. В дальнейших его ис</w:t>
      </w:r>
      <w:r w:rsidRPr="00507A31">
        <w:rPr>
          <w:color w:val="000000" w:themeColor="text1"/>
          <w:sz w:val="16"/>
          <w:szCs w:val="16"/>
        </w:rPr>
        <w:softHyphen/>
        <w:t>пытаниях на привязи была исполь</w:t>
      </w:r>
      <w:r w:rsidRPr="00507A31">
        <w:rPr>
          <w:color w:val="000000" w:themeColor="text1"/>
          <w:sz w:val="16"/>
          <w:szCs w:val="16"/>
        </w:rPr>
        <w:softHyphen/>
        <w:t>зована методика, разработанная А.М. Черемухиным. В сентябре 1930 года на специально оборудованном аэро</w:t>
      </w:r>
      <w:r w:rsidRPr="00507A31">
        <w:rPr>
          <w:color w:val="000000" w:themeColor="text1"/>
          <w:sz w:val="16"/>
          <w:szCs w:val="16"/>
        </w:rPr>
        <w:softHyphen/>
        <w:t>дроме в Ухтомской начались летные испытания вертолета. Отрабатывались все режимы полета, наиболее харак</w:t>
      </w:r>
      <w:r w:rsidRPr="00507A31">
        <w:rPr>
          <w:color w:val="000000" w:themeColor="text1"/>
          <w:sz w:val="16"/>
          <w:szCs w:val="16"/>
        </w:rPr>
        <w:softHyphen/>
        <w:t>терные для вертолетов: взлет с места, вертикальный подъем, полет на режи</w:t>
      </w:r>
      <w:r w:rsidRPr="00507A31">
        <w:rPr>
          <w:color w:val="000000" w:themeColor="text1"/>
          <w:sz w:val="16"/>
          <w:szCs w:val="16"/>
        </w:rPr>
        <w:softHyphen/>
        <w:t>ме висения, строго отвесный спуск и посадка в намеченном месте, полет вперед и в стороны, развороты на ре</w:t>
      </w:r>
      <w:r w:rsidRPr="00507A31">
        <w:rPr>
          <w:color w:val="000000" w:themeColor="text1"/>
          <w:sz w:val="16"/>
          <w:szCs w:val="16"/>
        </w:rPr>
        <w:softHyphen/>
        <w:t>жиме висения. Устойчивость вертоле</w:t>
      </w:r>
      <w:r w:rsidRPr="00507A31">
        <w:rPr>
          <w:color w:val="000000" w:themeColor="text1"/>
          <w:sz w:val="16"/>
          <w:szCs w:val="16"/>
        </w:rPr>
        <w:softHyphen/>
        <w:t>та оставляла желать лучшего, А.М. Черемухин отмечал, что в полете он «как на острие иглы». Как рассказы</w:t>
      </w:r>
      <w:r w:rsidRPr="00507A31">
        <w:rPr>
          <w:color w:val="000000" w:themeColor="text1"/>
          <w:sz w:val="16"/>
          <w:szCs w:val="16"/>
        </w:rPr>
        <w:softHyphen/>
        <w:t>вал автору один из участников созда</w:t>
      </w:r>
      <w:r w:rsidRPr="00507A31">
        <w:rPr>
          <w:color w:val="000000" w:themeColor="text1"/>
          <w:sz w:val="16"/>
          <w:szCs w:val="16"/>
        </w:rPr>
        <w:softHyphen/>
        <w:t>ния вертолета ЦАГИ 1-ЭА Иван Пав</w:t>
      </w:r>
      <w:r w:rsidRPr="00507A31">
        <w:rPr>
          <w:color w:val="000000" w:themeColor="text1"/>
          <w:sz w:val="16"/>
          <w:szCs w:val="16"/>
        </w:rPr>
        <w:softHyphen/>
        <w:t>лович Братухин, первые полеты обыч</w:t>
      </w:r>
      <w:r w:rsidRPr="00507A31">
        <w:rPr>
          <w:color w:val="000000" w:themeColor="text1"/>
          <w:sz w:val="16"/>
          <w:szCs w:val="16"/>
        </w:rPr>
        <w:softHyphen/>
        <w:t>но проводились на рассвете, в корот</w:t>
      </w:r>
      <w:r w:rsidRPr="00507A31">
        <w:rPr>
          <w:color w:val="000000" w:themeColor="text1"/>
          <w:sz w:val="16"/>
          <w:szCs w:val="16"/>
        </w:rPr>
        <w:softHyphen/>
        <w:t>кую пору затишья, когда совершенно нет ветра, столь опасного для поле</w:t>
      </w:r>
      <w:r w:rsidRPr="00507A31">
        <w:rPr>
          <w:color w:val="000000" w:themeColor="text1"/>
          <w:sz w:val="16"/>
          <w:szCs w:val="16"/>
        </w:rPr>
        <w:softHyphen/>
        <w:t>тов. Характеристики устойчивости и уп</w:t>
      </w:r>
      <w:r w:rsidRPr="00507A31">
        <w:rPr>
          <w:color w:val="000000" w:themeColor="text1"/>
          <w:sz w:val="16"/>
          <w:szCs w:val="16"/>
        </w:rPr>
        <w:softHyphen/>
        <w:t>равляемости испытываемого вертоле</w:t>
      </w:r>
      <w:r w:rsidRPr="00507A31">
        <w:rPr>
          <w:color w:val="000000" w:themeColor="text1"/>
          <w:sz w:val="16"/>
          <w:szCs w:val="16"/>
        </w:rPr>
        <w:softHyphen/>
        <w:t>та еще были далеки от совершенства. В первом полете вертолет, оторвав</w:t>
      </w:r>
      <w:r w:rsidRPr="00507A31">
        <w:rPr>
          <w:color w:val="000000" w:themeColor="text1"/>
          <w:sz w:val="16"/>
          <w:szCs w:val="16"/>
        </w:rPr>
        <w:softHyphen/>
        <w:t>шись от земли, завис на высоте 1-3 м, затем начал вертикально поднимать</w:t>
      </w:r>
      <w:r w:rsidRPr="00507A31">
        <w:rPr>
          <w:color w:val="000000" w:themeColor="text1"/>
          <w:sz w:val="16"/>
          <w:szCs w:val="16"/>
        </w:rPr>
        <w:softHyphen/>
        <w:t>ся. Достигнув высоты 10 м, пошел на вертикальное снижение и совершил по</w:t>
      </w:r>
      <w:r w:rsidRPr="00507A31">
        <w:rPr>
          <w:color w:val="000000" w:themeColor="text1"/>
          <w:sz w:val="16"/>
          <w:szCs w:val="16"/>
        </w:rPr>
        <w:softHyphen/>
        <w:t>садку (11401).</w:t>
      </w:r>
    </w:p>
    <w:p w14:paraId="526798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B4B69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рассматривавший состояние опытного строительства самолетов и моторов Совет труда и обороны (СТО) записал в своем по</w:t>
      </w:r>
      <w:r w:rsidRPr="00507A31">
        <w:rPr>
          <w:color w:val="000000" w:themeColor="text1"/>
          <w:sz w:val="16"/>
          <w:szCs w:val="16"/>
        </w:rPr>
        <w:softHyphen/>
        <w:t>становлении: «Констатировать абсолютное несоответствие базы опытного строительства (количество опытных заводов, состояние их оборудования, состояние конструкторских бюро, финансирование и т.д.) воздушного флота, особенно по авиамоторам, интересам обороны страны и директиве Прави</w:t>
      </w:r>
      <w:r w:rsidRPr="00507A31">
        <w:rPr>
          <w:color w:val="000000" w:themeColor="text1"/>
          <w:sz w:val="16"/>
          <w:szCs w:val="16"/>
        </w:rPr>
        <w:softHyphen/>
        <w:t>тельства догнать и перегнать передовые капиталистические страны». Форсировать опытное моторостроение решили путем изменения форм организации труда конструкторов. Их решили сосредоточить под единым руководством. На первой стадии ВАО подчинило своих конструкторов Центральному конструкторскому бюро (ЦКБ), создав из них Опытно-моторный отдел (ОМО). Располагался он на заводе № 24. ЦКБ работало по модной тогда бригадной системе, напоминавшей конвейер. Каждая бри</w:t>
      </w:r>
      <w:r w:rsidRPr="00507A31">
        <w:rPr>
          <w:color w:val="000000" w:themeColor="text1"/>
          <w:sz w:val="16"/>
          <w:szCs w:val="16"/>
        </w:rPr>
        <w:softHyphen/>
        <w:t>гада выполняла свой объем работ. Ведущий конструктор по конкретному двигателю не назначался. Ответственным за ход работ по всем моторам сразу являлся руководитель ОМО. В итоге в процессе проектирования не было эффективного координатора. Распыление сил приводило к тому, что большинство конструкций «застревало» на стыках ответственности бригад. Уже в мае 1930 г. появились предложения по назначению ответственных конструкторов по разным типам двигателей. Начальник ВМО ЦАГИ Ма</w:t>
      </w:r>
      <w:r w:rsidRPr="00507A31">
        <w:rPr>
          <w:color w:val="000000" w:themeColor="text1"/>
          <w:sz w:val="16"/>
          <w:szCs w:val="16"/>
        </w:rPr>
        <w:softHyphen/>
        <w:t>рьямов, сменивший арестованного как «вредителя» Стечкина, даже раз</w:t>
      </w:r>
      <w:r w:rsidRPr="00507A31">
        <w:rPr>
          <w:color w:val="000000" w:themeColor="text1"/>
          <w:sz w:val="16"/>
          <w:szCs w:val="16"/>
        </w:rPr>
        <w:softHyphen/>
        <w:t>работал план такого распределения. Недостаток специалистов был одной из главных бед всей советской промышленности. Но в то же время в тюрьмах и лагерях сидело не</w:t>
      </w:r>
      <w:r w:rsidRPr="00507A31">
        <w:rPr>
          <w:color w:val="000000" w:themeColor="text1"/>
          <w:sz w:val="16"/>
          <w:szCs w:val="16"/>
        </w:rPr>
        <w:softHyphen/>
        <w:t>мало прекрасных инженеров с дореволюционной подготовкой и бога</w:t>
      </w:r>
      <w:r w:rsidRPr="00507A31">
        <w:rPr>
          <w:color w:val="000000" w:themeColor="text1"/>
          <w:sz w:val="16"/>
          <w:szCs w:val="16"/>
        </w:rPr>
        <w:softHyphen/>
        <w:t>тым опытом. По «делу Промпартии» арестовали целый ряд ведущих моторостроителей страны. Их решили использовать не в забоях шахт и не на лесоповале. На том же заводе № 24 в 1929 г. разместили кон</w:t>
      </w:r>
      <w:r w:rsidRPr="00507A31">
        <w:rPr>
          <w:color w:val="000000" w:themeColor="text1"/>
          <w:sz w:val="16"/>
          <w:szCs w:val="16"/>
        </w:rPr>
        <w:softHyphen/>
        <w:t>структорское бюро ОГПУ, укомплектованное инженерами-заключенными. Руководство бюро состояло из чекистов с высокими званиями, но без образования. Фактически оно должно было лишь надзирать за специали</w:t>
      </w:r>
      <w:r w:rsidRPr="00507A31">
        <w:rPr>
          <w:color w:val="000000" w:themeColor="text1"/>
          <w:sz w:val="16"/>
          <w:szCs w:val="16"/>
        </w:rPr>
        <w:softHyphen/>
        <w:t>стами. Для последних стимулом к хорошей работе являлось сокращение сроков заключения и даже выход на свободу. Но эффективность бюро оказалась невысокой, и в 1932 г. его ликвидировали, а большинство ра</w:t>
      </w:r>
      <w:r w:rsidRPr="00507A31">
        <w:rPr>
          <w:color w:val="000000" w:themeColor="text1"/>
          <w:sz w:val="16"/>
          <w:szCs w:val="16"/>
        </w:rPr>
        <w:softHyphen/>
        <w:t>ботников — освободили. Иногда к проектированию двигателей привлекали учебные заведения, та</w:t>
      </w:r>
      <w:r w:rsidRPr="00507A31">
        <w:rPr>
          <w:color w:val="000000" w:themeColor="text1"/>
          <w:sz w:val="16"/>
          <w:szCs w:val="16"/>
        </w:rPr>
        <w:softHyphen/>
        <w:t>кие как Харьковский авиационный институт, или научно-исследовательские организации. Так, в дизельной программе участвовал Всесоюзный научно-исследовательский дизельный институт (ВНИДИ) из Ленинграда (11852).</w:t>
      </w:r>
    </w:p>
    <w:p w14:paraId="4712299F" w14:textId="77777777" w:rsidR="00537E5F" w:rsidRPr="00507A31" w:rsidRDefault="00537E5F" w:rsidP="00507A31">
      <w:pPr>
        <w:autoSpaceDE w:val="0"/>
        <w:autoSpaceDN w:val="0"/>
        <w:adjustRightInd w:val="0"/>
        <w:jc w:val="both"/>
        <w:rPr>
          <w:color w:val="000000" w:themeColor="text1"/>
          <w:sz w:val="16"/>
          <w:szCs w:val="16"/>
        </w:rPr>
      </w:pPr>
    </w:p>
    <w:p w14:paraId="1ED3A3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возглавляемая начальником Управления ВВС П.И. Барановым делегация посетила Всемирную авиационную выставку в американском городе Сан-Луи. Среди осмотренных авиационных предприятий особое внимание уделялось фирме "Кертисс-Райт", у которой удалось закупить несколько образцов авиамоторов. Чуть позже советская сторона приобрела некоторое количество двигателей Райт "Уайрлвинд" J-6 мощностью 300 л.с. Двигатели ставились на трехмоторных АНТ-9, АИР-5 А.С.Яковлева и некоторых других советских самолетах. Положительная оценка Авиационный значимости этой покупки привела к более двигатель М-25 масштабным мероприятиям (12014).</w:t>
      </w:r>
    </w:p>
    <w:p w14:paraId="382FD2A6" w14:textId="77777777" w:rsidR="00537E5F" w:rsidRPr="00507A31" w:rsidRDefault="00537E5F" w:rsidP="00507A31">
      <w:pPr>
        <w:autoSpaceDE w:val="0"/>
        <w:autoSpaceDN w:val="0"/>
        <w:adjustRightInd w:val="0"/>
        <w:jc w:val="both"/>
        <w:rPr>
          <w:color w:val="000000" w:themeColor="text1"/>
          <w:sz w:val="16"/>
          <w:szCs w:val="16"/>
        </w:rPr>
      </w:pPr>
    </w:p>
    <w:p w14:paraId="1DB101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 начала 1930 г. вели испытания М-13 (11852)</w:t>
      </w:r>
    </w:p>
    <w:p w14:paraId="2A8B96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Характеристики:</w:t>
      </w:r>
    </w:p>
    <w:p w14:paraId="480767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12-цилиндровый, рядный У-образный, четырехтактный, водяного охлаждения;</w:t>
      </w:r>
    </w:p>
    <w:p w14:paraId="5F0A50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150/170 мм;</w:t>
      </w:r>
    </w:p>
    <w:p w14:paraId="29C39B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36,0 л;</w:t>
      </w:r>
    </w:p>
    <w:p w14:paraId="504008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степень сжатия и вес в зависимости от модификации. Известны модификации:</w:t>
      </w:r>
    </w:p>
    <w:p w14:paraId="439EF9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М-13, первый вариант конструкции, изготовлен в 2 экз., испытывал</w:t>
      </w:r>
      <w:r w:rsidRPr="00507A31">
        <w:rPr>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44E944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М-13М, проект модификации с элементами конструкции мотора Райт Т4 «Тайфун».</w:t>
      </w:r>
    </w:p>
    <w:p w14:paraId="43F07B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7BB9F8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- 2ГМ-13, модернизированный вариант проекта катерного двигателя с</w:t>
      </w:r>
    </w:p>
    <w:p w14:paraId="2885E6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ПЦН, мощность до 1000 л.с.</w:t>
      </w:r>
    </w:p>
    <w:p w14:paraId="33F349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Предлагался для использования на самолетах Р-5, МРТ-1, И-3 и тор</w:t>
      </w:r>
      <w:r w:rsidRPr="00507A31">
        <w:rPr>
          <w:color w:val="000000" w:themeColor="text1"/>
          <w:sz w:val="16"/>
          <w:szCs w:val="16"/>
        </w:rPr>
        <w:softHyphen/>
        <w:t>педных катерах (11852).</w:t>
      </w:r>
    </w:p>
    <w:p w14:paraId="175FE1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44C54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было закончено изготовление двух автоматических 76-мм пушек АПК-4.</w:t>
      </w:r>
    </w:p>
    <w:p w14:paraId="0F5F18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Пушки АПК-4 были выполнены по схеме автоматических пушек Курчевского. Ствол нарезной, длина ствола без сопла и ложи 19 калибров. Вес орудия 75 кг. Расчетный темп стрельбы 30–40 выстр/мин. В надствольном магазине помещалось 6 унитарных выстрелов, кроме того, еще один выстрел помещался в стволе.</w:t>
      </w:r>
    </w:p>
    <w:p w14:paraId="4E396F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пушки АПК-4 были созданы новые специальные снаряды, среди которых были осколочные гранаты, обычная (пулевая) шрапнель и стержневая шрапнель системы Розенберга. В 1935 г. АПК-4 был присвоен индекс 342, и он был включен в название боеприпасов, так, шрапнель называлась Ш-342. Вес снарядов колебался от 3,07 до 3,92 кг. Снаряды оснащались дистанционной трубкой, чаще всего переделанной 22-секундной полевой трубкой. Но установка трубки производилась только на земле. Фактически это была не дистанционная трубка, а самоликвидатор. Таким образом, для эффективного поражения цели нужно было стрелять так, чтобы снаряд оказался близко к цели, допустим, через 6 секунд. Естественно, что рассчитать точно момент выстрела летчик не мог.</w:t>
      </w:r>
    </w:p>
    <w:p w14:paraId="0C6C1B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стрельбе на преследовании убойный интервал для осколочной гранаты или пулевой шрапнели составлял 15–25 м, а для стержневой шрапнели — 40–75 м. Конечно, эффективность стрельбы можно было резко увеличить, использовав управляемый из кабины автоматический установщик трубок (АУТ). В принципе первые АУТ были созданы в Первую мировую войну. Но в середине 1930-х годов у нас их не было даже в зенитной артиллерии.</w:t>
      </w:r>
    </w:p>
    <w:p w14:paraId="2A5575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Выстрелы АПК-4, как и у всех автоматических пушек Курчевского, имели гильзы из нитроткани с деревянным поддоном. В гильзе использовалось 600 г пороха МСК. При выстреле ткань полностью не сгорала, а вместе с раздробленными кусочками деревянного поддона застревала в канале, что приводило к отказу в работе автоматики, а то и разрыву ствола. В течение 1932–1935 гг. Курчевский долго, но безрезультатно работал над улучшением конструкции гильзы. В 1935 г. были созданы пластмассовые донышки (поддоны), но и они застревали в канале. Наконец Курчевский решил не изобретать велосипеда и вернуться к латунным несгораемым гильзам (12091).</w:t>
      </w:r>
    </w:p>
    <w:p w14:paraId="2B90F034" w14:textId="77777777" w:rsidR="00537E5F" w:rsidRPr="00507A31" w:rsidRDefault="00537E5F" w:rsidP="00507A31">
      <w:pPr>
        <w:autoSpaceDE w:val="0"/>
        <w:autoSpaceDN w:val="0"/>
        <w:adjustRightInd w:val="0"/>
        <w:jc w:val="both"/>
        <w:rPr>
          <w:color w:val="000000" w:themeColor="text1"/>
          <w:sz w:val="16"/>
          <w:szCs w:val="16"/>
        </w:rPr>
      </w:pPr>
    </w:p>
    <w:p w14:paraId="3FDEFA3A" w14:textId="77777777" w:rsidR="000C378A" w:rsidRPr="00507A31" w:rsidRDefault="000C378A" w:rsidP="00507A31">
      <w:pPr>
        <w:jc w:val="both"/>
        <w:rPr>
          <w:color w:val="0070C0"/>
          <w:sz w:val="16"/>
          <w:szCs w:val="16"/>
        </w:rPr>
      </w:pPr>
      <w:r w:rsidRPr="00507A31">
        <w:rPr>
          <w:color w:val="0070C0"/>
          <w:sz w:val="16"/>
          <w:szCs w:val="16"/>
        </w:rPr>
        <w:t>В начале 1930 г. Воздухоплава</w:t>
      </w:r>
      <w:r w:rsidRPr="00507A31">
        <w:rPr>
          <w:color w:val="0070C0"/>
          <w:sz w:val="16"/>
          <w:szCs w:val="16"/>
        </w:rPr>
        <w:softHyphen/>
        <w:t>тельная секция Экспериментально-аэродинами</w:t>
      </w:r>
      <w:r w:rsidRPr="00507A31">
        <w:rPr>
          <w:color w:val="0070C0"/>
          <w:sz w:val="16"/>
          <w:szCs w:val="16"/>
        </w:rPr>
        <w:softHyphen/>
        <w:t>ческого отдела под общим руководством Н.В. Ле</w:t>
      </w:r>
      <w:r w:rsidRPr="00507A31">
        <w:rPr>
          <w:color w:val="0070C0"/>
          <w:sz w:val="16"/>
          <w:szCs w:val="16"/>
        </w:rPr>
        <w:softHyphen/>
        <w:t>бедева, приступила к эскизному проектированию дирижабля полужёсткого типа.</w:t>
      </w:r>
    </w:p>
    <w:p w14:paraId="68324FCB" w14:textId="77777777" w:rsidR="000C378A" w:rsidRPr="00507A31" w:rsidRDefault="000C378A" w:rsidP="00507A31">
      <w:pPr>
        <w:jc w:val="both"/>
        <w:rPr>
          <w:color w:val="0070C0"/>
          <w:sz w:val="16"/>
          <w:szCs w:val="16"/>
        </w:rPr>
      </w:pPr>
      <w:r w:rsidRPr="00507A31">
        <w:rPr>
          <w:color w:val="0070C0"/>
          <w:sz w:val="16"/>
          <w:szCs w:val="16"/>
        </w:rPr>
        <w:t>Дирижабль имел оболочку объёмом 2750 м3, внутри которой находились два баллонета, опре</w:t>
      </w:r>
      <w:r w:rsidRPr="00507A31">
        <w:rPr>
          <w:color w:val="0070C0"/>
          <w:sz w:val="16"/>
          <w:szCs w:val="16"/>
        </w:rPr>
        <w:softHyphen/>
        <w:t>делявшие статический потолок дирижабля (при четырёх человеках на борту) в 1900 м.</w:t>
      </w:r>
    </w:p>
    <w:p w14:paraId="6D2C1EF2" w14:textId="77777777" w:rsidR="000C378A" w:rsidRPr="00507A31" w:rsidRDefault="000C378A" w:rsidP="00507A31">
      <w:pPr>
        <w:jc w:val="both"/>
        <w:rPr>
          <w:color w:val="0070C0"/>
          <w:sz w:val="16"/>
          <w:szCs w:val="16"/>
        </w:rPr>
      </w:pPr>
      <w:r w:rsidRPr="00507A31">
        <w:rPr>
          <w:color w:val="0070C0"/>
          <w:sz w:val="16"/>
          <w:szCs w:val="16"/>
        </w:rPr>
        <w:t>Оперение состояло из четырёх планов, из ко</w:t>
      </w:r>
      <w:r w:rsidRPr="00507A31">
        <w:rPr>
          <w:color w:val="0070C0"/>
          <w:sz w:val="16"/>
          <w:szCs w:val="16"/>
        </w:rPr>
        <w:softHyphen/>
        <w:t>торых нижний и два боковых имели рули.</w:t>
      </w:r>
    </w:p>
    <w:p w14:paraId="50AC21F3" w14:textId="77777777" w:rsidR="000C378A" w:rsidRPr="00507A31" w:rsidRDefault="000C378A" w:rsidP="00507A31">
      <w:pPr>
        <w:jc w:val="both"/>
        <w:rPr>
          <w:color w:val="0070C0"/>
          <w:sz w:val="16"/>
          <w:szCs w:val="16"/>
        </w:rPr>
      </w:pPr>
      <w:r w:rsidRPr="00507A31">
        <w:rPr>
          <w:color w:val="0070C0"/>
          <w:sz w:val="16"/>
          <w:szCs w:val="16"/>
        </w:rPr>
        <w:t>Нижняя подвесная арматура дирижабля (киль) представляла собой кольчугалюминиевую трёхгранную пространственную ферму. Киль крепился к оболочке спроектированной инжене</w:t>
      </w:r>
      <w:r w:rsidRPr="00507A31">
        <w:rPr>
          <w:color w:val="0070C0"/>
          <w:sz w:val="16"/>
          <w:szCs w:val="16"/>
        </w:rPr>
        <w:softHyphen/>
        <w:t>ром Б.А. Ушаковым внутренней подвеской, обес</w:t>
      </w:r>
      <w:r w:rsidRPr="00507A31">
        <w:rPr>
          <w:color w:val="0070C0"/>
          <w:sz w:val="16"/>
          <w:szCs w:val="16"/>
        </w:rPr>
        <w:softHyphen/>
        <w:t>печивавшей приближение формы поперечного сечения к кругу, а следовательно, и наибольший газовый объём. Обшитый перкалем киль начи</w:t>
      </w:r>
      <w:r w:rsidRPr="00507A31">
        <w:rPr>
          <w:color w:val="0070C0"/>
          <w:sz w:val="16"/>
          <w:szCs w:val="16"/>
        </w:rPr>
        <w:softHyphen/>
        <w:t>нался за носовым реечным усилением и заканчи</w:t>
      </w:r>
      <w:r w:rsidRPr="00507A31">
        <w:rPr>
          <w:color w:val="0070C0"/>
          <w:sz w:val="16"/>
          <w:szCs w:val="16"/>
        </w:rPr>
        <w:softHyphen/>
        <w:t>вался на одной линии с концом нижнего стаби</w:t>
      </w:r>
      <w:r w:rsidRPr="00507A31">
        <w:rPr>
          <w:color w:val="0070C0"/>
          <w:sz w:val="16"/>
          <w:szCs w:val="16"/>
        </w:rPr>
        <w:softHyphen/>
        <w:t>лизатора. Он делился на четыре части, соединён</w:t>
      </w:r>
      <w:r w:rsidRPr="00507A31">
        <w:rPr>
          <w:color w:val="0070C0"/>
          <w:sz w:val="16"/>
          <w:szCs w:val="16"/>
        </w:rPr>
        <w:softHyphen/>
        <w:t>ные между собой шарнирными узлами. Усилия в киле от аэродинамических нагрузок Б.А. Уша</w:t>
      </w:r>
      <w:r w:rsidRPr="00507A31">
        <w:rPr>
          <w:color w:val="0070C0"/>
          <w:sz w:val="16"/>
          <w:szCs w:val="16"/>
        </w:rPr>
        <w:softHyphen/>
        <w:t>ков и К.К. Федяевский определили на основании результатов испытания модели в аэродинами</w:t>
      </w:r>
      <w:r w:rsidRPr="00507A31">
        <w:rPr>
          <w:color w:val="0070C0"/>
          <w:sz w:val="16"/>
          <w:szCs w:val="16"/>
        </w:rPr>
        <w:softHyphen/>
        <w:t>ческой трубе. Гондола с остовом из кольчугалю- миниевых труб и профилей вплотную крепилась к килю. Два мотора Изотта-Фраскини по 100 л.с. находились в мотогондолах по бокам средней ча</w:t>
      </w:r>
      <w:r w:rsidRPr="00507A31">
        <w:rPr>
          <w:color w:val="0070C0"/>
          <w:sz w:val="16"/>
          <w:szCs w:val="16"/>
        </w:rPr>
        <w:softHyphen/>
        <w:t>сти киля. Во время полёта механик должен был находиться в киле, поддерживая связь с пилотом по телефону. В его распоряжении находились приборы управления винтомоторной группой, а за моторами он наблюдал через окна в обшив</w:t>
      </w:r>
      <w:r w:rsidRPr="00507A31">
        <w:rPr>
          <w:color w:val="0070C0"/>
          <w:sz w:val="16"/>
          <w:szCs w:val="16"/>
        </w:rPr>
        <w:softHyphen/>
        <w:t>ке киля. Баки с горючим, смазкой и водяным балластом также размещались в киле. Расчётный запас горючего обеспечивал 6 ч полёта при пол</w:t>
      </w:r>
      <w:r w:rsidRPr="00507A31">
        <w:rPr>
          <w:color w:val="0070C0"/>
          <w:sz w:val="16"/>
          <w:szCs w:val="16"/>
        </w:rPr>
        <w:softHyphen/>
        <w:t>ной мощности моторов, а при замене части бал</w:t>
      </w:r>
      <w:r w:rsidRPr="00507A31">
        <w:rPr>
          <w:color w:val="0070C0"/>
          <w:sz w:val="16"/>
          <w:szCs w:val="16"/>
        </w:rPr>
        <w:softHyphen/>
        <w:t>ласта горючим — 9 ч.</w:t>
      </w:r>
    </w:p>
    <w:p w14:paraId="769F40D0" w14:textId="77777777" w:rsidR="000C378A" w:rsidRPr="00507A31" w:rsidRDefault="000C378A" w:rsidP="00507A31">
      <w:pPr>
        <w:jc w:val="both"/>
        <w:rPr>
          <w:color w:val="0070C0"/>
          <w:sz w:val="16"/>
          <w:szCs w:val="16"/>
        </w:rPr>
      </w:pPr>
      <w:r w:rsidRPr="00507A31">
        <w:rPr>
          <w:color w:val="0070C0"/>
          <w:sz w:val="16"/>
          <w:szCs w:val="16"/>
        </w:rPr>
        <w:t>Оболочку корпуса дирижабля, выполненную из алюминированной снаружи двухслойной про</w:t>
      </w:r>
      <w:r w:rsidRPr="00507A31">
        <w:rPr>
          <w:color w:val="0070C0"/>
          <w:sz w:val="16"/>
          <w:szCs w:val="16"/>
        </w:rPr>
        <w:softHyphen/>
        <w:t>резиненной ткани, изготовили из 18 основных продольных и двух боковых тангенциальных полотнищ, в которые вделали катенарии, пере</w:t>
      </w:r>
      <w:r w:rsidRPr="00507A31">
        <w:rPr>
          <w:color w:val="0070C0"/>
          <w:sz w:val="16"/>
          <w:szCs w:val="16"/>
        </w:rPr>
        <w:softHyphen/>
        <w:t>дающие натяжение ткани на узлы киля. Газовое пространство разделялось на три отсека. Диа</w:t>
      </w:r>
      <w:r w:rsidRPr="00507A31">
        <w:rPr>
          <w:color w:val="0070C0"/>
          <w:sz w:val="16"/>
          <w:szCs w:val="16"/>
        </w:rPr>
        <w:softHyphen/>
        <w:t>фрагмы, выполненные из однослойной проре</w:t>
      </w:r>
      <w:r w:rsidRPr="00507A31">
        <w:rPr>
          <w:color w:val="0070C0"/>
          <w:sz w:val="16"/>
          <w:szCs w:val="16"/>
        </w:rPr>
        <w:softHyphen/>
        <w:t>зиненной материи, имели небольшие отверстия для выравнивания давления между отсеками. Баллонеты общим объёмом 460 м3 состояли из двух отдельных отсеков, разделённых нижней частью первой диафрагмы оболочки. Наполне</w:t>
      </w:r>
      <w:r w:rsidRPr="00507A31">
        <w:rPr>
          <w:color w:val="0070C0"/>
          <w:sz w:val="16"/>
          <w:szCs w:val="16"/>
        </w:rPr>
        <w:softHyphen/>
        <w:t>ние баллонетов воздухом происходило через воз</w:t>
      </w:r>
      <w:r w:rsidRPr="00507A31">
        <w:rPr>
          <w:color w:val="0070C0"/>
          <w:sz w:val="16"/>
          <w:szCs w:val="16"/>
        </w:rPr>
        <w:softHyphen/>
        <w:t>душный клапан-улавливатель, расположенный в носовой части дирижабля.</w:t>
      </w:r>
    </w:p>
    <w:p w14:paraId="56866E16" w14:textId="77777777" w:rsidR="000C378A" w:rsidRPr="00507A31" w:rsidRDefault="000C378A" w:rsidP="00507A31">
      <w:pPr>
        <w:jc w:val="both"/>
        <w:rPr>
          <w:color w:val="0070C0"/>
          <w:sz w:val="16"/>
          <w:szCs w:val="16"/>
        </w:rPr>
      </w:pPr>
      <w:r w:rsidRPr="00507A31">
        <w:rPr>
          <w:color w:val="0070C0"/>
          <w:sz w:val="16"/>
          <w:szCs w:val="16"/>
        </w:rPr>
        <w:t>Оболочку оборудовали двумя автоматиче</w:t>
      </w:r>
      <w:r w:rsidRPr="00507A31">
        <w:rPr>
          <w:color w:val="0070C0"/>
          <w:sz w:val="16"/>
          <w:szCs w:val="16"/>
        </w:rPr>
        <w:softHyphen/>
        <w:t>скими газовыми клапанами системы инженера В.В. Катанского, имевшими также проводку для управления вручную. Для опорожнения балло</w:t>
      </w:r>
      <w:r w:rsidRPr="00507A31">
        <w:rPr>
          <w:color w:val="0070C0"/>
          <w:sz w:val="16"/>
          <w:szCs w:val="16"/>
        </w:rPr>
        <w:softHyphen/>
        <w:t>нетов имелись два выпускных клапана ручного управления. Давление в газовых отсеках и балло</w:t>
      </w:r>
      <w:r w:rsidRPr="00507A31">
        <w:rPr>
          <w:color w:val="0070C0"/>
          <w:sz w:val="16"/>
          <w:szCs w:val="16"/>
        </w:rPr>
        <w:softHyphen/>
        <w:t>нетах контролировалось манометрической уста</w:t>
      </w:r>
      <w:r w:rsidRPr="00507A31">
        <w:rPr>
          <w:color w:val="0070C0"/>
          <w:sz w:val="16"/>
          <w:szCs w:val="16"/>
        </w:rPr>
        <w:softHyphen/>
        <w:t>новкой в гондоле, давление к которой подводи</w:t>
      </w:r>
      <w:r w:rsidRPr="00507A31">
        <w:rPr>
          <w:color w:val="0070C0"/>
          <w:sz w:val="16"/>
          <w:szCs w:val="16"/>
        </w:rPr>
        <w:softHyphen/>
        <w:t>лось по резиновым шлангам.</w:t>
      </w:r>
    </w:p>
    <w:p w14:paraId="7E3A2C03" w14:textId="77777777" w:rsidR="000C378A" w:rsidRPr="00507A31" w:rsidRDefault="000C378A" w:rsidP="00507A31">
      <w:pPr>
        <w:jc w:val="both"/>
        <w:rPr>
          <w:color w:val="0070C0"/>
          <w:sz w:val="16"/>
          <w:szCs w:val="16"/>
        </w:rPr>
      </w:pPr>
      <w:r w:rsidRPr="00507A31">
        <w:rPr>
          <w:color w:val="0070C0"/>
          <w:sz w:val="16"/>
          <w:szCs w:val="16"/>
        </w:rPr>
        <w:t>Конструкция килевой фермы была типовая для дирижаблей Нобиле, но шпангоуты и стрин</w:t>
      </w:r>
      <w:r w:rsidRPr="00507A31">
        <w:rPr>
          <w:color w:val="0070C0"/>
          <w:sz w:val="16"/>
          <w:szCs w:val="16"/>
        </w:rPr>
        <w:softHyphen/>
        <w:t>геры выполнили из кольчугалюминиевых труб и только переднюю и заднюю части киля сдела</w:t>
      </w:r>
      <w:r w:rsidRPr="00507A31">
        <w:rPr>
          <w:color w:val="0070C0"/>
          <w:sz w:val="16"/>
          <w:szCs w:val="16"/>
        </w:rPr>
        <w:softHyphen/>
        <w:t>ли в виде цельносварных фермочек из стальных труб. В некоторых продольных стержнях киля установили шаровые шарниры, позволявшие стержням-стрингерам изменять своё направ</w:t>
      </w:r>
      <w:r w:rsidRPr="00507A31">
        <w:rPr>
          <w:color w:val="0070C0"/>
          <w:sz w:val="16"/>
          <w:szCs w:val="16"/>
        </w:rPr>
        <w:softHyphen/>
        <w:t>ление в некоторых пределах. Каркас покрыли алюминированным перкалем. К килевой ферме крепилось носовое усиление, кормовое развитие с горизонтальными стабилизаторами и рулями высоты, а также нижний вертикальный стабили</w:t>
      </w:r>
      <w:r w:rsidRPr="00507A31">
        <w:rPr>
          <w:color w:val="0070C0"/>
          <w:sz w:val="16"/>
          <w:szCs w:val="16"/>
        </w:rPr>
        <w:softHyphen/>
        <w:t>затор с рулями направления.</w:t>
      </w:r>
    </w:p>
    <w:p w14:paraId="18B7701E" w14:textId="77777777" w:rsidR="000C378A" w:rsidRPr="00507A31" w:rsidRDefault="000C378A" w:rsidP="00507A31">
      <w:pPr>
        <w:jc w:val="both"/>
        <w:rPr>
          <w:color w:val="0070C0"/>
          <w:sz w:val="16"/>
          <w:szCs w:val="16"/>
        </w:rPr>
      </w:pPr>
      <w:r w:rsidRPr="00507A31">
        <w:rPr>
          <w:color w:val="0070C0"/>
          <w:sz w:val="16"/>
          <w:szCs w:val="16"/>
        </w:rPr>
        <w:t>Каркас носового усиления был прочно связан с оболочкой и с килем корабля. Но система была настолько эластична, что давала возможность изменять форму носовой части оболочки в не</w:t>
      </w:r>
      <w:r w:rsidRPr="00507A31">
        <w:rPr>
          <w:color w:val="0070C0"/>
          <w:sz w:val="16"/>
          <w:szCs w:val="16"/>
        </w:rPr>
        <w:softHyphen/>
        <w:t>которых пределах под действием меняющегося давления несущего газа в эксплуатационных ус</w:t>
      </w:r>
      <w:r w:rsidRPr="00507A31">
        <w:rPr>
          <w:color w:val="0070C0"/>
          <w:sz w:val="16"/>
          <w:szCs w:val="16"/>
        </w:rPr>
        <w:softHyphen/>
        <w:t>ловиях.</w:t>
      </w:r>
    </w:p>
    <w:p w14:paraId="505500A5" w14:textId="77777777" w:rsidR="000C378A" w:rsidRPr="00507A31" w:rsidRDefault="000C378A" w:rsidP="00507A31">
      <w:pPr>
        <w:jc w:val="both"/>
        <w:rPr>
          <w:color w:val="0070C0"/>
          <w:sz w:val="16"/>
          <w:szCs w:val="16"/>
        </w:rPr>
      </w:pPr>
      <w:r w:rsidRPr="00507A31">
        <w:rPr>
          <w:color w:val="0070C0"/>
          <w:sz w:val="16"/>
          <w:szCs w:val="16"/>
        </w:rPr>
        <w:t>Кольцо купола носового усиления одновре</w:t>
      </w:r>
      <w:r w:rsidRPr="00507A31">
        <w:rPr>
          <w:color w:val="0070C0"/>
          <w:sz w:val="16"/>
          <w:szCs w:val="16"/>
        </w:rPr>
        <w:softHyphen/>
        <w:t>менно являлось основанием пилона из шести труб, несущих конус для прикрепления дирижаб</w:t>
      </w:r>
      <w:r w:rsidRPr="00507A31">
        <w:rPr>
          <w:color w:val="0070C0"/>
          <w:sz w:val="16"/>
          <w:szCs w:val="16"/>
        </w:rPr>
        <w:softHyphen/>
        <w:t>ля к причальной мачте.</w:t>
      </w:r>
    </w:p>
    <w:p w14:paraId="68069A4C" w14:textId="77777777" w:rsidR="000C378A" w:rsidRPr="00507A31" w:rsidRDefault="000C378A" w:rsidP="00507A31">
      <w:pPr>
        <w:jc w:val="both"/>
        <w:rPr>
          <w:color w:val="0070C0"/>
          <w:sz w:val="16"/>
          <w:szCs w:val="16"/>
        </w:rPr>
      </w:pPr>
      <w:r w:rsidRPr="00507A31">
        <w:rPr>
          <w:color w:val="0070C0"/>
          <w:sz w:val="16"/>
          <w:szCs w:val="16"/>
        </w:rPr>
        <w:t>Кормовое развитие состояло из двух труб</w:t>
      </w:r>
      <w:r w:rsidRPr="00507A31">
        <w:rPr>
          <w:color w:val="0070C0"/>
          <w:sz w:val="16"/>
          <w:szCs w:val="16"/>
        </w:rPr>
        <w:softHyphen/>
        <w:t>чатых ферм, верхние узлы которых доходили до горизонтальной плоскости оболочки. Меж</w:t>
      </w:r>
      <w:r w:rsidRPr="00507A31">
        <w:rPr>
          <w:color w:val="0070C0"/>
          <w:sz w:val="16"/>
          <w:szCs w:val="16"/>
        </w:rPr>
        <w:softHyphen/>
        <w:t>ду собой фермы соединялись при помощи труб и проволочных расчалок, образуя жёсткий кар</w:t>
      </w:r>
      <w:r w:rsidRPr="00507A31">
        <w:rPr>
          <w:color w:val="0070C0"/>
          <w:sz w:val="16"/>
          <w:szCs w:val="16"/>
        </w:rPr>
        <w:softHyphen/>
        <w:t>кас, к которому присоединялись с обеих сторон горизонтальных стабилизаторы. Стабилизато</w:t>
      </w:r>
      <w:r w:rsidRPr="00507A31">
        <w:rPr>
          <w:color w:val="0070C0"/>
          <w:sz w:val="16"/>
          <w:szCs w:val="16"/>
        </w:rPr>
        <w:softHyphen/>
        <w:t>ры усилили двумя трубчатыми подкосами, что придало корме жёсткость и устранило вибрацию хвостовых поверхностей в полёте. К стабилиза</w:t>
      </w:r>
      <w:r w:rsidRPr="00507A31">
        <w:rPr>
          <w:color w:val="0070C0"/>
          <w:sz w:val="16"/>
          <w:szCs w:val="16"/>
        </w:rPr>
        <w:softHyphen/>
        <w:t>торам были привешены рули высоты. Верхний вертикальный стабилизатор присоединялся не</w:t>
      </w:r>
      <w:r w:rsidRPr="00507A31">
        <w:rPr>
          <w:color w:val="0070C0"/>
          <w:sz w:val="16"/>
          <w:szCs w:val="16"/>
        </w:rPr>
        <w:softHyphen/>
        <w:t>посредственно к мягкой оболочке матерчатыми поясами и был расчален по обе стороны тремя парами тросов. Руль направления подвешивался к нижнему вертикальному стабилизатору.</w:t>
      </w:r>
    </w:p>
    <w:p w14:paraId="605A4613" w14:textId="77777777" w:rsidR="000C378A" w:rsidRPr="00507A31" w:rsidRDefault="000C378A" w:rsidP="00507A31">
      <w:pPr>
        <w:jc w:val="both"/>
        <w:rPr>
          <w:color w:val="0070C0"/>
          <w:sz w:val="16"/>
          <w:szCs w:val="16"/>
        </w:rPr>
      </w:pPr>
      <w:r w:rsidRPr="00507A31">
        <w:rPr>
          <w:color w:val="0070C0"/>
          <w:sz w:val="16"/>
          <w:szCs w:val="16"/>
        </w:rPr>
        <w:t>Управление рулями осуществлялось при по</w:t>
      </w:r>
      <w:r w:rsidRPr="00507A31">
        <w:rPr>
          <w:color w:val="0070C0"/>
          <w:sz w:val="16"/>
          <w:szCs w:val="16"/>
        </w:rPr>
        <w:softHyphen/>
        <w:t>мощи тросовых тяг. Они соединялись с двумя штурвалами (штурвал для управления рулём на</w:t>
      </w:r>
      <w:r w:rsidRPr="00507A31">
        <w:rPr>
          <w:color w:val="0070C0"/>
          <w:sz w:val="16"/>
          <w:szCs w:val="16"/>
        </w:rPr>
        <w:softHyphen/>
        <w:t>правления находился в передней части гондолы, а штурвал управления рулями высоты — по ле</w:t>
      </w:r>
      <w:r w:rsidRPr="00507A31">
        <w:rPr>
          <w:color w:val="0070C0"/>
          <w:sz w:val="16"/>
          <w:szCs w:val="16"/>
        </w:rPr>
        <w:softHyphen/>
        <w:t>вому борту), оборудованных самотормозящим приспособлением — автологом, позволявшим оставлять их в любом положении.</w:t>
      </w:r>
    </w:p>
    <w:p w14:paraId="023F3966" w14:textId="77777777" w:rsidR="000C378A" w:rsidRPr="00507A31" w:rsidRDefault="000C378A" w:rsidP="00507A31">
      <w:pPr>
        <w:jc w:val="both"/>
        <w:rPr>
          <w:color w:val="0070C0"/>
          <w:sz w:val="16"/>
          <w:szCs w:val="16"/>
        </w:rPr>
      </w:pPr>
      <w:r w:rsidRPr="00507A31">
        <w:rPr>
          <w:color w:val="0070C0"/>
          <w:sz w:val="16"/>
          <w:szCs w:val="16"/>
        </w:rPr>
        <w:t>Закрытая подвесная металлическая гондо</w:t>
      </w:r>
      <w:r w:rsidRPr="00507A31">
        <w:rPr>
          <w:color w:val="0070C0"/>
          <w:sz w:val="16"/>
          <w:szCs w:val="16"/>
        </w:rPr>
        <w:softHyphen/>
        <w:t>ла на 5-6 человек, имела каплеобразную форму (длина 5,5 м, наибольшее сечение 1,9*1,4 м). В верхней части имелись закрываемые штормо</w:t>
      </w:r>
      <w:r w:rsidRPr="00507A31">
        <w:rPr>
          <w:color w:val="0070C0"/>
          <w:sz w:val="16"/>
          <w:szCs w:val="16"/>
        </w:rPr>
        <w:softHyphen/>
        <w:t>выми крышками люки, средний из которых слу</w:t>
      </w:r>
      <w:r w:rsidRPr="00507A31">
        <w:rPr>
          <w:color w:val="0070C0"/>
          <w:sz w:val="16"/>
          <w:szCs w:val="16"/>
        </w:rPr>
        <w:softHyphen/>
        <w:t>жил входом в гондолу. Передняя часть гондолы имела окна из целлулоида. Подвеска гондолы к килю осуществлялась пятью парами тросов.</w:t>
      </w:r>
    </w:p>
    <w:p w14:paraId="4E89A026" w14:textId="77777777" w:rsidR="000C378A" w:rsidRPr="00507A31" w:rsidRDefault="000C378A" w:rsidP="00507A31">
      <w:pPr>
        <w:jc w:val="both"/>
        <w:rPr>
          <w:color w:val="0070C0"/>
          <w:sz w:val="16"/>
          <w:szCs w:val="16"/>
        </w:rPr>
      </w:pPr>
      <w:r w:rsidRPr="00507A31">
        <w:rPr>
          <w:color w:val="0070C0"/>
          <w:sz w:val="16"/>
          <w:szCs w:val="16"/>
        </w:rPr>
        <w:t>В корме гондолы на цельносварной стальной подмоторной раме установили мотор, работав</w:t>
      </w:r>
      <w:r w:rsidRPr="00507A31">
        <w:rPr>
          <w:color w:val="0070C0"/>
          <w:sz w:val="16"/>
          <w:szCs w:val="16"/>
        </w:rPr>
        <w:softHyphen/>
        <w:t>ший на толкающий пропеллер. Первоначально использовался мотор воздушного охлаждения Sh-13a в 82 л.с., заменённый на советский М-11 в 100 л.с. Масляный бак ёмкостью 30 л распола</w:t>
      </w:r>
      <w:r w:rsidRPr="00507A31">
        <w:rPr>
          <w:color w:val="0070C0"/>
          <w:sz w:val="16"/>
          <w:szCs w:val="16"/>
        </w:rPr>
        <w:softHyphen/>
        <w:t>гался непосредственно над мотором. В киле на</w:t>
      </w:r>
      <w:r w:rsidRPr="00507A31">
        <w:rPr>
          <w:color w:val="0070C0"/>
          <w:sz w:val="16"/>
          <w:szCs w:val="16"/>
        </w:rPr>
        <w:softHyphen/>
        <w:t>ходились два бензобака по 225 л, два бака водяно</w:t>
      </w:r>
      <w:r w:rsidRPr="00507A31">
        <w:rPr>
          <w:color w:val="0070C0"/>
          <w:sz w:val="16"/>
          <w:szCs w:val="16"/>
        </w:rPr>
        <w:softHyphen/>
        <w:t>го балласта по 90 л и гайдроп — пеньковый канат диаметром 18 мм и длиною около 100 м (20120).</w:t>
      </w:r>
    </w:p>
    <w:p w14:paraId="10D19E16" w14:textId="77777777" w:rsidR="000C378A" w:rsidRPr="00507A31" w:rsidRDefault="000C378A" w:rsidP="00507A31">
      <w:pPr>
        <w:jc w:val="both"/>
        <w:rPr>
          <w:color w:val="0070C0"/>
          <w:sz w:val="16"/>
          <w:szCs w:val="16"/>
        </w:rPr>
      </w:pPr>
    </w:p>
    <w:p w14:paraId="725BB9C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3F20A2A" w14:textId="77777777" w:rsidR="00537E5F" w:rsidRPr="00507A31" w:rsidRDefault="00537E5F" w:rsidP="00507A31">
      <w:pPr>
        <w:autoSpaceDE w:val="0"/>
        <w:autoSpaceDN w:val="0"/>
        <w:adjustRightInd w:val="0"/>
        <w:jc w:val="both"/>
        <w:rPr>
          <w:iCs/>
          <w:color w:val="000000" w:themeColor="text1"/>
          <w:sz w:val="16"/>
          <w:szCs w:val="16"/>
        </w:rPr>
      </w:pPr>
    </w:p>
    <w:p w14:paraId="377CBA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года по Постановлению Реввоенсовета СССР на базе спецпроизводства Ленинградского Металлического завода (ЛМЗ) было создано отдельное конструкторское бюро (ОКБ-3) под начальством А. Г. Дукельского, которому было поручено создать проект 356-мм транспортера. Коллегами А. Г. Дукельского по созданию тяжелых артиллерийских систем береговой обороны были Н. С. Лесенко, А. А. Лооляхкер, В. В. Твердохлебов, Д. Е. Бриль, К. В. Турба, А. А. Флоренский, Н. В. Богданов и другие (11454).</w:t>
      </w:r>
    </w:p>
    <w:p w14:paraId="470071FF" w14:textId="77777777" w:rsidR="00537E5F" w:rsidRPr="00507A31" w:rsidRDefault="00537E5F" w:rsidP="00507A31">
      <w:pPr>
        <w:autoSpaceDE w:val="0"/>
        <w:autoSpaceDN w:val="0"/>
        <w:adjustRightInd w:val="0"/>
        <w:jc w:val="both"/>
        <w:rPr>
          <w:color w:val="000000" w:themeColor="text1"/>
          <w:sz w:val="16"/>
          <w:szCs w:val="16"/>
        </w:rPr>
      </w:pPr>
    </w:p>
    <w:p w14:paraId="77222F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года для 37-мм зенитной пушки обр. 1928 года инженером завода "Большевик" Упорниковым был спроектирован колесный лафет, получивший заводской индекс Б-5. Кстати, в некоторых документах так называли и всю систему. В походном положении лафет имел двухколесный ход, а в боевом положении ход отделялся и раздвигались три трехметровые станины, на сошники которых и опирался лафет (3861).</w:t>
      </w:r>
    </w:p>
    <w:p w14:paraId="757DC436" w14:textId="77777777" w:rsidR="00537E5F" w:rsidRPr="00507A31" w:rsidRDefault="00537E5F" w:rsidP="00507A31">
      <w:pPr>
        <w:autoSpaceDE w:val="0"/>
        <w:autoSpaceDN w:val="0"/>
        <w:adjustRightInd w:val="0"/>
        <w:jc w:val="both"/>
        <w:rPr>
          <w:color w:val="000000" w:themeColor="text1"/>
          <w:sz w:val="16"/>
          <w:szCs w:val="16"/>
        </w:rPr>
      </w:pPr>
    </w:p>
    <w:p w14:paraId="74DD35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АНИИ получил распоряжение о «проведении спешных работ по созданию танка огневого сопровождения механизированных соединений». При этом в качестве вооружения предписывалось взять «76-мм полковую пушку нового типа» (имеется в виду обр. 1927 г.), а в качестве шасси «в максимальной степени использовать хорошо освоенный малый танк Т-18.» (6469, 12).</w:t>
      </w:r>
    </w:p>
    <w:p w14:paraId="655FAF50" w14:textId="77777777" w:rsidR="00537E5F" w:rsidRPr="00507A31" w:rsidRDefault="00537E5F" w:rsidP="00507A31">
      <w:pPr>
        <w:autoSpaceDE w:val="0"/>
        <w:autoSpaceDN w:val="0"/>
        <w:adjustRightInd w:val="0"/>
        <w:jc w:val="both"/>
        <w:rPr>
          <w:color w:val="000000" w:themeColor="text1"/>
          <w:sz w:val="16"/>
          <w:szCs w:val="16"/>
        </w:rPr>
      </w:pPr>
    </w:p>
    <w:p w14:paraId="22D58F11" w14:textId="77777777" w:rsidR="004F0F8F" w:rsidRPr="00507A31" w:rsidRDefault="004F0F8F" w:rsidP="00507A31">
      <w:pPr>
        <w:pStyle w:val="ae"/>
        <w:shd w:val="clear" w:color="auto" w:fill="FFFFFF"/>
        <w:spacing w:before="0" w:after="0"/>
        <w:jc w:val="both"/>
        <w:rPr>
          <w:color w:val="000000" w:themeColor="text1"/>
          <w:sz w:val="16"/>
          <w:szCs w:val="16"/>
        </w:rPr>
      </w:pPr>
      <w:r w:rsidRPr="00507A31">
        <w:rPr>
          <w:color w:val="000000" w:themeColor="text1"/>
          <w:sz w:val="16"/>
          <w:szCs w:val="16"/>
        </w:rPr>
        <w:t>В начале 1930 года появилась идея собирать корпуса и башни Т-18 не заклёпками, а с помощью сварки. Это решение советские танкостроители подсмотрели у немцев, которые с лета 1929 года испытывали свои танки на полигоне ТЕКО под Казанью. Сварное соединение было более прочным, а созданные с его помощью корпуса получались дешевле. Планировался быстрый переход на сварку, но опытные работы по этой тематике сильно затянулись. Первый сварной корпус был готов на Ижорском заводе только 28 июля 1930 года. Хотя встречаются утверждения, что было налажено серийное производство сварных корпусов для МС-1, на самом деле это не так. Затянулась разработка 4-скоростной коробки передач, третья серия выпускалась без неё (17724).</w:t>
      </w:r>
    </w:p>
    <w:p w14:paraId="75DE5471" w14:textId="77777777" w:rsidR="004F0F8F" w:rsidRPr="00507A31" w:rsidRDefault="004F0F8F" w:rsidP="00507A31">
      <w:pPr>
        <w:jc w:val="both"/>
        <w:rPr>
          <w:color w:val="000000" w:themeColor="text1"/>
          <w:sz w:val="16"/>
          <w:szCs w:val="16"/>
        </w:rPr>
      </w:pPr>
    </w:p>
    <w:p w14:paraId="6D5A68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года в США находилась специальная советская миссия, занимавшаяся закупками образцов вооружений, которые в дальнейшем предполагалось использовать как основу для создания отечественных конструкций. Прежде всего советских военных интересовал легкий танк Т1 американской фирмы J.Cunninghem, при этом СССР собирался закупить 50 машин. Однако планы изменились и предпочтение было отдано танкам Кристи (3862).</w:t>
      </w:r>
    </w:p>
    <w:p w14:paraId="405529C2" w14:textId="77777777" w:rsidR="00537E5F" w:rsidRPr="00507A31" w:rsidRDefault="00537E5F" w:rsidP="00507A31">
      <w:pPr>
        <w:autoSpaceDE w:val="0"/>
        <w:autoSpaceDN w:val="0"/>
        <w:adjustRightInd w:val="0"/>
        <w:jc w:val="both"/>
        <w:rPr>
          <w:color w:val="000000" w:themeColor="text1"/>
          <w:sz w:val="16"/>
          <w:szCs w:val="16"/>
        </w:rPr>
      </w:pPr>
    </w:p>
    <w:p w14:paraId="1E2FDC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с целью привлечения иност</w:t>
      </w:r>
      <w:r w:rsidRPr="00507A31">
        <w:rPr>
          <w:color w:val="000000" w:themeColor="text1"/>
          <w:sz w:val="16"/>
          <w:szCs w:val="16"/>
        </w:rPr>
        <w:softHyphen/>
        <w:t>ранных специалистов и изучения передового опыта пред</w:t>
      </w:r>
      <w:r w:rsidRPr="00507A31">
        <w:rPr>
          <w:color w:val="000000" w:themeColor="text1"/>
          <w:sz w:val="16"/>
          <w:szCs w:val="16"/>
        </w:rPr>
        <w:softHyphen/>
        <w:t>седатель НТК УММ Лебедев выдвинул аналогичные ТТГ на рассмотрение специальной советско-германской Техни</w:t>
      </w:r>
      <w:r w:rsidRPr="00507A31">
        <w:rPr>
          <w:color w:val="000000" w:themeColor="text1"/>
          <w:sz w:val="16"/>
          <w:szCs w:val="16"/>
        </w:rPr>
        <w:softHyphen/>
        <w:t>ческой комиссии (ТЕКО). С германской стороны прора</w:t>
      </w:r>
      <w:r w:rsidRPr="00507A31">
        <w:rPr>
          <w:color w:val="000000" w:themeColor="text1"/>
          <w:sz w:val="16"/>
          <w:szCs w:val="16"/>
        </w:rPr>
        <w:softHyphen/>
        <w:t>ботку задания вели конструкторы фирмы «Даймлер-Бенц».</w:t>
      </w:r>
    </w:p>
    <w:p w14:paraId="2D218F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Согласно заданию для нужд РККА требовалась 76мм дивизионное или полковое самоходное орудие поддержки.</w:t>
      </w:r>
    </w:p>
    <w:p w14:paraId="7B8016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Немецкая фирма не уложилась в отведенные сроки и предложила проект только в середине 1932, когда испытания отечественной версии указанной САУ, уже закончились. Кроме того, цена, затребованная немцами, примерно втрое превысила предварительно оговоренную. К тому же в СССР уже было принято решение о принятии на вооружение нового легкого танка Т-26, родившегося из бри</w:t>
      </w:r>
      <w:r w:rsidRPr="00507A31">
        <w:rPr>
          <w:color w:val="000000" w:themeColor="text1"/>
          <w:sz w:val="16"/>
          <w:szCs w:val="16"/>
        </w:rPr>
        <w:softHyphen/>
        <w:t>танского «Виккерс 6-тонный», на базе которого и было ре</w:t>
      </w:r>
      <w:r w:rsidRPr="00507A31">
        <w:rPr>
          <w:color w:val="000000" w:themeColor="text1"/>
          <w:sz w:val="16"/>
          <w:szCs w:val="16"/>
        </w:rPr>
        <w:softHyphen/>
        <w:t>шено проектировать САУ своими силами:</w:t>
      </w:r>
    </w:p>
    <w:p w14:paraId="7BEC57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«...Поскольку немецкая сторона задерживает с пред'яв-лением результатов проэктирования и вновь просит увели</w:t>
      </w:r>
      <w:r w:rsidRPr="00507A31">
        <w:rPr>
          <w:iCs/>
          <w:color w:val="000000" w:themeColor="text1"/>
          <w:sz w:val="16"/>
          <w:szCs w:val="16"/>
        </w:rPr>
        <w:softHyphen/>
        <w:t>чить размер оплаты заказа, прошу вас разрешить заводу про-должение работ по созданию 76-мм самоходной бронирован</w:t>
      </w:r>
      <w:r w:rsidRPr="00507A31">
        <w:rPr>
          <w:iCs/>
          <w:color w:val="000000" w:themeColor="text1"/>
          <w:sz w:val="16"/>
          <w:szCs w:val="16"/>
        </w:rPr>
        <w:softHyphen/>
        <w:t>ной пушки на шасси танка В-26... Симский».</w:t>
      </w:r>
    </w:p>
    <w:p w14:paraId="34F09C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Сделка не состоялась, но немецкая разработка не про</w:t>
      </w:r>
      <w:r w:rsidRPr="00507A31">
        <w:rPr>
          <w:color w:val="000000" w:themeColor="text1"/>
          <w:sz w:val="16"/>
          <w:szCs w:val="16"/>
        </w:rPr>
        <w:softHyphen/>
        <w:t>пала втуне. В 1937 г. она появилась на свет, дав старт самым популярным в Германии в 1940-е гг. штурмовым орудиям (11417).</w:t>
      </w:r>
    </w:p>
    <w:p w14:paraId="0DBE21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20A935C" w14:textId="77777777" w:rsidR="004F27E5" w:rsidRPr="00507A31" w:rsidRDefault="004F27E5" w:rsidP="00507A31">
      <w:pPr>
        <w:jc w:val="both"/>
        <w:rPr>
          <w:color w:val="000000" w:themeColor="text1"/>
          <w:sz w:val="16"/>
          <w:szCs w:val="16"/>
        </w:rPr>
      </w:pPr>
      <w:r w:rsidRPr="00507A31">
        <w:rPr>
          <w:color w:val="000000" w:themeColor="text1"/>
          <w:sz w:val="16"/>
          <w:szCs w:val="16"/>
        </w:rPr>
        <w:t>В начале 1930 года посланная в Германию советская делегация осмотрела заводы «Рейнметалл» и выпускаемые фирмой орудия, после чего представила БЮТАСТ список уже имевшихся в разработке и производстве немецких артиллерийских систем, в которых руководство РККА было заинтересовано:</w:t>
      </w:r>
    </w:p>
    <w:p w14:paraId="7AC4011E" w14:textId="77777777" w:rsidR="004F27E5" w:rsidRPr="00507A31" w:rsidRDefault="004F27E5" w:rsidP="00507A31">
      <w:pPr>
        <w:jc w:val="both"/>
        <w:rPr>
          <w:color w:val="000000" w:themeColor="text1"/>
          <w:sz w:val="16"/>
          <w:szCs w:val="16"/>
        </w:rPr>
      </w:pPr>
      <w:r w:rsidRPr="00507A31">
        <w:rPr>
          <w:color w:val="000000" w:themeColor="text1"/>
          <w:sz w:val="16"/>
          <w:szCs w:val="16"/>
        </w:rPr>
        <w:t>1) 76,2-мм зенитное орудие;</w:t>
      </w:r>
    </w:p>
    <w:p w14:paraId="4C6BCDCA" w14:textId="77777777" w:rsidR="004F27E5" w:rsidRPr="00507A31" w:rsidRDefault="004F27E5" w:rsidP="00507A31">
      <w:pPr>
        <w:jc w:val="both"/>
        <w:rPr>
          <w:color w:val="000000" w:themeColor="text1"/>
          <w:sz w:val="16"/>
          <w:szCs w:val="16"/>
        </w:rPr>
      </w:pPr>
      <w:r w:rsidRPr="00507A31">
        <w:rPr>
          <w:color w:val="000000" w:themeColor="text1"/>
          <w:sz w:val="16"/>
          <w:szCs w:val="16"/>
        </w:rPr>
        <w:t>2) 150-мм средний миномет;</w:t>
      </w:r>
    </w:p>
    <w:p w14:paraId="5EC29BD1" w14:textId="77777777" w:rsidR="004F27E5" w:rsidRPr="00507A31" w:rsidRDefault="004F27E5" w:rsidP="00507A31">
      <w:pPr>
        <w:jc w:val="both"/>
        <w:rPr>
          <w:color w:val="000000" w:themeColor="text1"/>
          <w:sz w:val="16"/>
          <w:szCs w:val="16"/>
        </w:rPr>
      </w:pPr>
      <w:r w:rsidRPr="00507A31">
        <w:rPr>
          <w:color w:val="000000" w:themeColor="text1"/>
          <w:sz w:val="16"/>
          <w:szCs w:val="16"/>
        </w:rPr>
        <w:t>3) 37-мм противотанковая пушка;</w:t>
      </w:r>
    </w:p>
    <w:p w14:paraId="6AE08E2B" w14:textId="77777777" w:rsidR="004F27E5" w:rsidRPr="00507A31" w:rsidRDefault="004F27E5" w:rsidP="00507A31">
      <w:pPr>
        <w:jc w:val="both"/>
        <w:rPr>
          <w:color w:val="000000" w:themeColor="text1"/>
          <w:sz w:val="16"/>
          <w:szCs w:val="16"/>
        </w:rPr>
      </w:pPr>
      <w:r w:rsidRPr="00507A31">
        <w:rPr>
          <w:color w:val="000000" w:themeColor="text1"/>
          <w:sz w:val="16"/>
          <w:szCs w:val="16"/>
        </w:rPr>
        <w:t>4) 20-мм зенитный автомат;</w:t>
      </w:r>
    </w:p>
    <w:p w14:paraId="43BB0161" w14:textId="77777777" w:rsidR="004F27E5" w:rsidRPr="00507A31" w:rsidRDefault="004F27E5" w:rsidP="00507A31">
      <w:pPr>
        <w:jc w:val="both"/>
        <w:rPr>
          <w:color w:val="000000" w:themeColor="text1"/>
          <w:sz w:val="16"/>
          <w:szCs w:val="16"/>
        </w:rPr>
      </w:pPr>
      <w:r w:rsidRPr="00507A31">
        <w:rPr>
          <w:color w:val="000000" w:themeColor="text1"/>
          <w:sz w:val="16"/>
          <w:szCs w:val="16"/>
        </w:rPr>
        <w:t>5) 152-мм гаубица;</w:t>
      </w:r>
    </w:p>
    <w:p w14:paraId="7830C685" w14:textId="77777777" w:rsidR="004F27E5" w:rsidRPr="00507A31" w:rsidRDefault="004F27E5" w:rsidP="00507A31">
      <w:pPr>
        <w:jc w:val="both"/>
        <w:rPr>
          <w:color w:val="000000" w:themeColor="text1"/>
          <w:sz w:val="16"/>
          <w:szCs w:val="16"/>
        </w:rPr>
      </w:pPr>
      <w:r w:rsidRPr="00507A31">
        <w:rPr>
          <w:color w:val="000000" w:themeColor="text1"/>
          <w:sz w:val="16"/>
          <w:szCs w:val="16"/>
        </w:rPr>
        <w:t>6) 37-мм зенитный автомат.</w:t>
      </w:r>
    </w:p>
    <w:p w14:paraId="023CC5D2" w14:textId="77777777" w:rsidR="004F27E5" w:rsidRPr="00507A31" w:rsidRDefault="004F27E5" w:rsidP="00507A31">
      <w:pPr>
        <w:jc w:val="both"/>
        <w:rPr>
          <w:color w:val="000000" w:themeColor="text1"/>
          <w:sz w:val="16"/>
          <w:szCs w:val="16"/>
        </w:rPr>
      </w:pPr>
      <w:r w:rsidRPr="00507A31">
        <w:rPr>
          <w:color w:val="000000" w:themeColor="text1"/>
          <w:sz w:val="16"/>
          <w:szCs w:val="16"/>
        </w:rPr>
        <w:t>Все эти системы успешно прошли испытания в Германии, с середины 1930-х гг. были запущены в серийное производство и успешно воевали на полях Второй мировой войны (исключая, впрочем, 76,2-мм зенитное орудие, поскольку немцы вскоре отказались от этого калибра, сочтя более удачным вариантом 88 миллиметров). Кроме орудий советских представителей весьма заинтересовали приборы координации и наведения огня зенитных батарей системы «Пшор-Герет», разработанные «Рейнметаллом» совместно с фирмой «Цейсе», противопехотные мины «Рейнметалл» и авиабомбы, над которыми работал перешедший из «Юнкерса» в эту фирму доктор Ахиллес; Людвигу удалось даже уговорить его в случае необходимости переехать в Москву. В апреле 1930 года, еще до заключения договора, советско-германской комиссией (в состав которой входили представители Управления вооружений РККА, представители, командированные «Рейнметаллом», и члены ВСНХ) под председательством Уборевича была утверждена следующая программа работ для конструкторского бюро: 305-мм мортира, 305-мм гаубица, 122-мм гаубица, 76-мм танковая пушка, 107-122-мм тяжелая зенитная пушка, 152-мм пушка, 37-мм зенитный автомат, 37-мм танковая пушка и 20-мм тяжелый авиационный пулемет (18263).</w:t>
      </w:r>
    </w:p>
    <w:p w14:paraId="707DB32C" w14:textId="77777777" w:rsidR="004F27E5" w:rsidRPr="00507A31" w:rsidRDefault="004F27E5" w:rsidP="00507A31">
      <w:pPr>
        <w:jc w:val="both"/>
        <w:rPr>
          <w:color w:val="000000" w:themeColor="text1"/>
          <w:sz w:val="16"/>
          <w:szCs w:val="16"/>
        </w:rPr>
      </w:pPr>
    </w:p>
    <w:p w14:paraId="214F8D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года в план работ КБ-2 где работали германские специалисты (в основном из фирмы "Рейнметалл", наряду с другими темами была включена разработка 305-мм гаубицы (3861).</w:t>
      </w:r>
    </w:p>
    <w:p w14:paraId="03F19BD7" w14:textId="77777777" w:rsidR="00537E5F" w:rsidRPr="00507A31" w:rsidRDefault="00537E5F" w:rsidP="00507A31">
      <w:pPr>
        <w:autoSpaceDE w:val="0"/>
        <w:autoSpaceDN w:val="0"/>
        <w:adjustRightInd w:val="0"/>
        <w:jc w:val="both"/>
        <w:rPr>
          <w:color w:val="000000" w:themeColor="text1"/>
          <w:sz w:val="16"/>
          <w:szCs w:val="16"/>
        </w:rPr>
      </w:pPr>
    </w:p>
    <w:p w14:paraId="07FCE015" w14:textId="77777777" w:rsidR="008615E9" w:rsidRPr="00507A31" w:rsidRDefault="008615E9" w:rsidP="00507A31">
      <w:pPr>
        <w:shd w:val="clear" w:color="auto" w:fill="FFFFFF"/>
        <w:jc w:val="both"/>
        <w:rPr>
          <w:color w:val="0070C0"/>
          <w:sz w:val="16"/>
          <w:szCs w:val="16"/>
        </w:rPr>
      </w:pPr>
      <w:r w:rsidRPr="00507A31">
        <w:rPr>
          <w:color w:val="0070C0"/>
          <w:sz w:val="16"/>
          <w:szCs w:val="16"/>
          <w:shd w:val="clear" w:color="auto" w:fill="FFFFFF"/>
        </w:rPr>
        <w:t>В самом начале 1930 года НТК УММ КА пополнился за счет нового сотрудника - С.А. Гинзбурга. Гинзбург являлся танкостроителем второй волны. Если Шукалов и другие танкостроители первого поколения были либо артиллеристами, либо занимались тракторостроением, то Гинзбург являлся одним из первых, кто получил специальное образование. Это Военно-техническая академия им. Ф.Э. Дзержинского, где появилась и специальность "танкостроение", и те самые ТЕКО, где, совершенно внезапно, обучались далеко не одни немецкие танкисты. Плюс практика на заводе "Большевик", которую хоть как-то можно назвать связующим звеном с Шукаловым. Появление в НТК УММ человека с таким багажом знаний ничего хорошего для ГКБ ОАТ не означало. Там появился специалист, хорошо разбирающийся в танкостроении, да еще и имевший возможность познакомиться с новейшими немецкими танками (20375).</w:t>
      </w:r>
    </w:p>
    <w:p w14:paraId="0B2D3C7B" w14:textId="77777777" w:rsidR="008615E9" w:rsidRPr="00507A31" w:rsidRDefault="008615E9" w:rsidP="00507A31">
      <w:pPr>
        <w:shd w:val="clear" w:color="auto" w:fill="FFFFFF"/>
        <w:jc w:val="both"/>
        <w:rPr>
          <w:color w:val="0070C0"/>
          <w:sz w:val="16"/>
          <w:szCs w:val="16"/>
        </w:rPr>
      </w:pPr>
    </w:p>
    <w:p w14:paraId="66F449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был выполнен первый проект среднего трактора на базе танка Т-19 и он получил наименование Борец. Трактор должен был буксировать грузы весом до 7 т, а его масса - не превышать 7.5 т. Помимо водителя предусматривали 9 мест для расчета. В конце 1931 работы прекратили и решили сделать аналогичный на базе Т-26 (9527,211).</w:t>
      </w:r>
    </w:p>
    <w:p w14:paraId="44B9FDCE" w14:textId="77777777" w:rsidR="00537E5F" w:rsidRPr="00507A31" w:rsidRDefault="00537E5F" w:rsidP="00507A31">
      <w:pPr>
        <w:autoSpaceDE w:val="0"/>
        <w:autoSpaceDN w:val="0"/>
        <w:adjustRightInd w:val="0"/>
        <w:jc w:val="both"/>
        <w:rPr>
          <w:color w:val="000000" w:themeColor="text1"/>
          <w:sz w:val="16"/>
          <w:szCs w:val="16"/>
        </w:rPr>
      </w:pPr>
    </w:p>
    <w:p w14:paraId="2E4AB0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начале 1930 года продолжались испытания танка Т-12 и его доводка, это не спасло положения: в результате завышения его веса (вместо 16 тонн по техническому заданию, его вес достиг почти 20 тонн), произошло сни</w:t>
      </w:r>
      <w:r w:rsidRPr="00507A31">
        <w:rPr>
          <w:color w:val="000000" w:themeColor="text1"/>
          <w:sz w:val="16"/>
          <w:szCs w:val="16"/>
        </w:rPr>
        <w:softHyphen/>
        <w:t>жение его скоростных показателей, и как выражаются конструкторы, танк Т-12 «не пошел». Результаты его официальных испытаний, проведенных в феврале 1930 года, были признаны отрицательными (11504).</w:t>
      </w:r>
    </w:p>
    <w:p w14:paraId="0270C1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AB32E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начале 1930 года УММ РККА начало работы по осна</w:t>
      </w:r>
      <w:r w:rsidRPr="00507A31">
        <w:rPr>
          <w:color w:val="000000" w:themeColor="text1"/>
          <w:sz w:val="16"/>
          <w:szCs w:val="16"/>
        </w:rPr>
        <w:softHyphen/>
        <w:t>щению армии новыми современными образцами бронетан</w:t>
      </w:r>
      <w:r w:rsidRPr="00507A31">
        <w:rPr>
          <w:color w:val="000000" w:themeColor="text1"/>
          <w:sz w:val="16"/>
          <w:szCs w:val="16"/>
        </w:rPr>
        <w:softHyphen/>
        <w:t>ковой техники, что потребовало разработки новых органи</w:t>
      </w:r>
      <w:r w:rsidRPr="00507A31">
        <w:rPr>
          <w:color w:val="000000" w:themeColor="text1"/>
          <w:sz w:val="16"/>
          <w:szCs w:val="16"/>
        </w:rPr>
        <w:softHyphen/>
        <w:t>зационно-штатных структур и способов боевого примене</w:t>
      </w:r>
      <w:r w:rsidRPr="00507A31">
        <w:rPr>
          <w:color w:val="000000" w:themeColor="text1"/>
          <w:sz w:val="16"/>
          <w:szCs w:val="16"/>
        </w:rPr>
        <w:softHyphen/>
        <w:t>ния вновь создаваемых механизированных частей. Поэтому в подмосковном Наро-Фоминске формирует</w:t>
      </w:r>
      <w:r w:rsidRPr="00507A31">
        <w:rPr>
          <w:color w:val="000000" w:themeColor="text1"/>
          <w:sz w:val="16"/>
          <w:szCs w:val="16"/>
        </w:rPr>
        <w:softHyphen/>
        <w:t>ся Опытная механизированная бригада, которая располага</w:t>
      </w:r>
      <w:r w:rsidRPr="00507A31">
        <w:rPr>
          <w:color w:val="000000" w:themeColor="text1"/>
          <w:sz w:val="16"/>
          <w:szCs w:val="16"/>
        </w:rPr>
        <w:softHyphen/>
        <w:t>лась на том самом месте, где в настоящее время дислоциру</w:t>
      </w:r>
      <w:r w:rsidRPr="00507A31">
        <w:rPr>
          <w:color w:val="000000" w:themeColor="text1"/>
          <w:sz w:val="16"/>
          <w:szCs w:val="16"/>
        </w:rPr>
        <w:softHyphen/>
        <w:t>ется 4-я гвардейская Кантемировская танковая дивизия. 10 сентября 1930 года заместитель начальника УММ РККА Бокис утвердил табели к штату опытной мехбригады (мир</w:t>
      </w:r>
      <w:r w:rsidRPr="00507A31">
        <w:rPr>
          <w:color w:val="000000" w:themeColor="text1"/>
          <w:sz w:val="16"/>
          <w:szCs w:val="16"/>
        </w:rPr>
        <w:softHyphen/>
        <w:t>ного времени). В соответствии с ними формировался легкий полк механизированной бригады, имевший на вооружении 12 бронемашин БА-27 (из них 3 учебных). Директивой На</w:t>
      </w:r>
      <w:r w:rsidRPr="00507A31">
        <w:rPr>
          <w:color w:val="000000" w:themeColor="text1"/>
          <w:sz w:val="16"/>
          <w:szCs w:val="16"/>
        </w:rPr>
        <w:softHyphen/>
        <w:t>родного комиссара по военным и морским делам СССР и Революционно-военного совета СССР № 017127/сс от 22 февраля 1931 года на формирование опытной мехбрига</w:t>
      </w:r>
      <w:r w:rsidRPr="00507A31">
        <w:rPr>
          <w:color w:val="000000" w:themeColor="text1"/>
          <w:sz w:val="16"/>
          <w:szCs w:val="16"/>
        </w:rPr>
        <w:softHyphen/>
        <w:t>ды обращался 3-й автоброневой дивизион, расположенный в Москве (11284).</w:t>
      </w:r>
    </w:p>
    <w:p w14:paraId="070C25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7F9C6D8" w14:textId="77777777" w:rsidR="009A77C3" w:rsidRPr="00507A31" w:rsidRDefault="009A77C3" w:rsidP="00507A31">
      <w:pPr>
        <w:jc w:val="both"/>
        <w:rPr>
          <w:color w:val="000000" w:themeColor="text1"/>
          <w:sz w:val="16"/>
          <w:szCs w:val="16"/>
        </w:rPr>
      </w:pPr>
      <w:r w:rsidRPr="00507A31">
        <w:rPr>
          <w:color w:val="000000" w:themeColor="text1"/>
          <w:sz w:val="16"/>
          <w:szCs w:val="16"/>
        </w:rPr>
        <w:t>В начале 1930 г. в Англию едет советская делегация во главе с начальником УММ РККА И. Халепским и начальником Инженерно-конструкторского бюро по танкам С. Гинзбургом. Они закупили там 20 танкеток «Карден-Ллойд», 16 шеститонных танков «Виккерс» и 15 двенадцатитонных танков «Виккерс» (15117).</w:t>
      </w:r>
    </w:p>
    <w:p w14:paraId="444E3478" w14:textId="77777777" w:rsidR="009A77C3" w:rsidRPr="00507A31" w:rsidRDefault="009A77C3" w:rsidP="00507A31">
      <w:pPr>
        <w:jc w:val="both"/>
        <w:rPr>
          <w:color w:val="000000" w:themeColor="text1"/>
          <w:sz w:val="16"/>
          <w:szCs w:val="16"/>
        </w:rPr>
      </w:pPr>
    </w:p>
    <w:p w14:paraId="073FBDEF" w14:textId="77777777" w:rsidR="009A77C3" w:rsidRPr="00507A31" w:rsidRDefault="009A77C3" w:rsidP="00507A31">
      <w:pPr>
        <w:jc w:val="both"/>
        <w:rPr>
          <w:color w:val="000000" w:themeColor="text1"/>
          <w:sz w:val="16"/>
          <w:szCs w:val="16"/>
        </w:rPr>
      </w:pPr>
      <w:r w:rsidRPr="00507A31">
        <w:rPr>
          <w:color w:val="000000" w:themeColor="text1"/>
          <w:sz w:val="16"/>
          <w:szCs w:val="16"/>
        </w:rPr>
        <w:t>В начале 1930 г. в США прибыла специальная миссия из СССР, занимавшаяся закупками образцов вооружений, которые в дальнейшем предполагалось использовать как основу для создания отечественных конструкций. Поначалу советских военных специалистов заинтересовал легкий танк Т1 американской фирмы «L Cunninghem», и они собирались заключить контракт на закупку 50 таких машин. Но вскоре планы изменились, и предпочтение было отдано танкам «Кристи» М.1931 (15117).</w:t>
      </w:r>
    </w:p>
    <w:p w14:paraId="3366213D" w14:textId="77777777" w:rsidR="009A77C3" w:rsidRPr="00507A31" w:rsidRDefault="009A77C3" w:rsidP="00507A31">
      <w:pPr>
        <w:jc w:val="both"/>
        <w:rPr>
          <w:color w:val="000000" w:themeColor="text1"/>
          <w:sz w:val="16"/>
          <w:szCs w:val="16"/>
        </w:rPr>
      </w:pPr>
    </w:p>
    <w:p w14:paraId="7015E977" w14:textId="77777777" w:rsidR="009A77C3" w:rsidRPr="00507A31" w:rsidRDefault="009A77C3" w:rsidP="00507A31">
      <w:pPr>
        <w:widowControl w:val="0"/>
        <w:jc w:val="both"/>
        <w:rPr>
          <w:color w:val="000000" w:themeColor="text1"/>
          <w:sz w:val="16"/>
          <w:szCs w:val="16"/>
        </w:rPr>
      </w:pPr>
      <w:r w:rsidRPr="00507A31">
        <w:rPr>
          <w:color w:val="000000" w:themeColor="text1"/>
          <w:sz w:val="16"/>
          <w:szCs w:val="16"/>
        </w:rPr>
        <w:t xml:space="preserve">К началу </w:t>
      </w:r>
      <w:smartTag w:uri="urn:schemas-microsoft-com:office:smarttags" w:element="metricconverter">
        <w:smartTagPr>
          <w:attr w:name="ProductID" w:val="1930 г"/>
        </w:smartTagPr>
        <w:r w:rsidRPr="00507A31">
          <w:rPr>
            <w:color w:val="000000" w:themeColor="text1"/>
            <w:sz w:val="16"/>
            <w:szCs w:val="16"/>
          </w:rPr>
          <w:t>1930 г</w:t>
        </w:r>
      </w:smartTag>
      <w:r w:rsidRPr="00507A31">
        <w:rPr>
          <w:color w:val="000000" w:themeColor="text1"/>
          <w:sz w:val="16"/>
          <w:szCs w:val="16"/>
        </w:rPr>
        <w:t>. фирме «Остин и Кº» были выданы необходимые задания на архитектурно-строительное проектирование ГАЗ (15218).</w:t>
      </w:r>
    </w:p>
    <w:p w14:paraId="13AA5EF0" w14:textId="77777777" w:rsidR="009A77C3" w:rsidRPr="00507A31" w:rsidRDefault="009A77C3" w:rsidP="00507A31">
      <w:pPr>
        <w:widowControl w:val="0"/>
        <w:jc w:val="both"/>
        <w:rPr>
          <w:color w:val="000000" w:themeColor="text1"/>
          <w:sz w:val="16"/>
          <w:szCs w:val="16"/>
        </w:rPr>
      </w:pPr>
    </w:p>
    <w:p w14:paraId="0A08D5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начале 1930 г. заказ от советского правительства на техническое проектирование Челябинского тракторного завода получила фирма Albert Kahn, Inc., расположенная в Детройте. Выбор места был предопределен однозначно: Детройт (штат Мичиган, США) – столица американской автотракторной промышленности, там расположены заводы Генри Форда, фирмы «Катерпиллер» и многие другие. Выбор фирмы тоже был не случаен: перед этим известный архитектор промышленных сооружений А. Кан спроектировал не только все заводы Форда, но и практически, на примере Сталинградского тракторного завода (СТЗ), доказал, что может делать </w:t>
      </w:r>
      <w:r w:rsidRPr="00507A31">
        <w:rPr>
          <w:color w:val="000000" w:themeColor="text1"/>
          <w:sz w:val="16"/>
          <w:szCs w:val="16"/>
        </w:rPr>
        <w:lastRenderedPageBreak/>
        <w:t>подобное и в СССР – проект СТЗ был выполнен в рекордно короткие сроки. Металлические конструкции для СТЗ были изготовлены в США, перевезены в СССР и смонтированы в течение шести месяцев. И следующим заказом стал проект гигантского Челябинского тракторного завода (впоследствии Кану был предложен пакет заказов на строительство промышленных предприятий в СССР общей стоимостью в 2 миллиарда долларов) (11811).</w:t>
      </w:r>
    </w:p>
    <w:p w14:paraId="0FF1D328" w14:textId="77777777" w:rsidR="00537E5F" w:rsidRPr="00507A31" w:rsidRDefault="00537E5F" w:rsidP="00507A31">
      <w:pPr>
        <w:autoSpaceDE w:val="0"/>
        <w:autoSpaceDN w:val="0"/>
        <w:adjustRightInd w:val="0"/>
        <w:jc w:val="both"/>
        <w:rPr>
          <w:color w:val="000000" w:themeColor="text1"/>
          <w:sz w:val="16"/>
          <w:szCs w:val="16"/>
        </w:rPr>
      </w:pPr>
    </w:p>
    <w:p w14:paraId="4B3E5D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первые недели 1930 г. руководство ТРЕМАССа начало под</w:t>
      </w:r>
      <w:r w:rsidRPr="00507A31">
        <w:rPr>
          <w:color w:val="000000" w:themeColor="text1"/>
          <w:sz w:val="16"/>
          <w:szCs w:val="16"/>
        </w:rPr>
        <w:softHyphen/>
        <w:t>готовку выпуска мотоциклов. Предполагали участие нескольких предприятий Ленинграда, но основной объём работ возложили на заводы «ПРОМЕТ» [4.1], выпускающий пожарное оборудование, и «Красный Октябрь», изготавливающий запчасти для трактора «Фордзон-Путиловец», трансмиссии для танков Т-26, также Т-28 и другую военную продукцию [4.2]. На «Красном Октябре» планировали изготавливать силовой агрегат мотоцикла, а на ПРОМЕТе - экипажную часть и осуществлять сборку. К этой ра</w:t>
      </w:r>
      <w:r w:rsidRPr="00507A31">
        <w:rPr>
          <w:color w:val="000000" w:themeColor="text1"/>
          <w:sz w:val="16"/>
          <w:szCs w:val="16"/>
        </w:rPr>
        <w:softHyphen/>
        <w:t>боте привлекли ленинградские заводы: «Красный треугольник» -для изготовления шин и других резиноизделий, «Вулкан» - для поставок литьевых деталей и др. [4.3]. Часть специалистов, подго</w:t>
      </w:r>
      <w:r w:rsidRPr="00507A31">
        <w:rPr>
          <w:color w:val="000000" w:themeColor="text1"/>
          <w:sz w:val="16"/>
          <w:szCs w:val="16"/>
        </w:rPr>
        <w:softHyphen/>
        <w:t>тавливавших документацию для изготовления мотоциклов, со</w:t>
      </w:r>
      <w:r w:rsidRPr="00507A31">
        <w:rPr>
          <w:color w:val="000000" w:themeColor="text1"/>
          <w:sz w:val="16"/>
          <w:szCs w:val="16"/>
        </w:rPr>
        <w:softHyphen/>
        <w:t>средоточили в штате завода ПРОМЕТ, а другую - на «Красном Октябре». В неё включили и прибывших из Ижевска.</w:t>
      </w:r>
    </w:p>
    <w:p w14:paraId="32902B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Руководство ВСНХ поручило ТРЕМАСС освоить мелкосе</w:t>
      </w:r>
      <w:r w:rsidRPr="00507A31">
        <w:rPr>
          <w:color w:val="000000" w:themeColor="text1"/>
          <w:sz w:val="16"/>
          <w:szCs w:val="16"/>
        </w:rPr>
        <w:softHyphen/>
        <w:t>рийное производство мотоциклов и выделило на эти работы 600 тыс. р. [4.4]. Следуя рекомендациям Ленинградского отде</w:t>
      </w:r>
      <w:r w:rsidRPr="00507A31">
        <w:rPr>
          <w:color w:val="000000" w:themeColor="text1"/>
          <w:sz w:val="16"/>
          <w:szCs w:val="16"/>
        </w:rPr>
        <w:softHyphen/>
        <w:t>ления АВТОДОРа, в ТРЕМАСС решили изготавливать ино</w:t>
      </w:r>
      <w:r w:rsidRPr="00507A31">
        <w:rPr>
          <w:color w:val="000000" w:themeColor="text1"/>
          <w:sz w:val="16"/>
          <w:szCs w:val="16"/>
        </w:rPr>
        <w:softHyphen/>
        <w:t>странный мотоцикл. Первым делом рассмотрели предложение А. Иерусалимского выпускать английскую машину «Ковент</w:t>
      </w:r>
      <w:r w:rsidRPr="00507A31">
        <w:rPr>
          <w:color w:val="000000" w:themeColor="text1"/>
          <w:sz w:val="16"/>
          <w:szCs w:val="16"/>
        </w:rPr>
        <w:softHyphen/>
        <w:t>ри-250» [3.101]. Оказалось, что эту модель ещё не строили се</w:t>
      </w:r>
      <w:r w:rsidRPr="00507A31">
        <w:rPr>
          <w:color w:val="000000" w:themeColor="text1"/>
          <w:sz w:val="16"/>
          <w:szCs w:val="16"/>
        </w:rPr>
        <w:softHyphen/>
        <w:t>рийно, к тому же в ней специалисты ТРЕМАСС нашли сущест</w:t>
      </w:r>
      <w:r w:rsidRPr="00507A31">
        <w:rPr>
          <w:color w:val="000000" w:themeColor="text1"/>
          <w:sz w:val="16"/>
          <w:szCs w:val="16"/>
        </w:rPr>
        <w:softHyphen/>
        <w:t>венные недостатки. Ситуация показала, что к выбору прототи</w:t>
      </w:r>
      <w:r w:rsidRPr="00507A31">
        <w:rPr>
          <w:color w:val="000000" w:themeColor="text1"/>
          <w:sz w:val="16"/>
          <w:szCs w:val="16"/>
        </w:rPr>
        <w:softHyphen/>
        <w:t>па первого серийного советского мотоцикла нужно подходить ответственно. Решили создать комиссию, которой следовало выбрать модель для изготовления опытной партии мотоцик</w:t>
      </w:r>
      <w:r w:rsidRPr="00507A31">
        <w:rPr>
          <w:color w:val="000000" w:themeColor="text1"/>
          <w:sz w:val="16"/>
          <w:szCs w:val="16"/>
        </w:rPr>
        <w:softHyphen/>
        <w:t>лов. Председателем комиссии назначили П.В. Можарова, на которого возложили ответственность за этот выбор. Члены комиссии ознакомились с мотозаводами Германии, Франции и Англии [4.5].</w:t>
      </w:r>
    </w:p>
    <w:p w14:paraId="5FF0E7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Германии П.В. Можаров посетил фирмы, на которых бы</w:t>
      </w:r>
      <w:r w:rsidRPr="00507A31">
        <w:rPr>
          <w:color w:val="000000" w:themeColor="text1"/>
          <w:sz w:val="16"/>
          <w:szCs w:val="16"/>
        </w:rPr>
        <w:softHyphen/>
        <w:t>вал раньше. На фирме ВМ</w:t>
      </w:r>
      <w:r w:rsidRPr="00507A31">
        <w:rPr>
          <w:color w:val="000000" w:themeColor="text1"/>
          <w:sz w:val="16"/>
          <w:szCs w:val="16"/>
          <w:lang w:val="en-US"/>
        </w:rPr>
        <w:t>W</w:t>
      </w:r>
      <w:r w:rsidRPr="00507A31">
        <w:rPr>
          <w:color w:val="000000" w:themeColor="text1"/>
          <w:sz w:val="16"/>
          <w:szCs w:val="16"/>
        </w:rPr>
        <w:t xml:space="preserve"> в проекте тяжёлого мотоцикла мо</w:t>
      </w:r>
      <w:r w:rsidRPr="00507A31">
        <w:rPr>
          <w:color w:val="000000" w:themeColor="text1"/>
          <w:sz w:val="16"/>
          <w:szCs w:val="16"/>
        </w:rPr>
        <w:softHyphen/>
        <w:t xml:space="preserve">дели </w:t>
      </w:r>
      <w:r w:rsidRPr="00507A31">
        <w:rPr>
          <w:color w:val="000000" w:themeColor="text1"/>
          <w:sz w:val="16"/>
          <w:szCs w:val="16"/>
          <w:lang w:val="en-US"/>
        </w:rPr>
        <w:t>R</w:t>
      </w:r>
      <w:r w:rsidRPr="00507A31">
        <w:rPr>
          <w:color w:val="000000" w:themeColor="text1"/>
          <w:sz w:val="16"/>
          <w:szCs w:val="16"/>
        </w:rPr>
        <w:t xml:space="preserve">-16 он выявил недоработки. Из 17 его уточнений четыре внесли в чертежи [4.6]. Наиболее подходящим оказался лёгкий мотоцикл </w:t>
      </w:r>
      <w:r w:rsidRPr="00507A31">
        <w:rPr>
          <w:color w:val="000000" w:themeColor="text1"/>
          <w:sz w:val="16"/>
          <w:szCs w:val="16"/>
          <w:lang w:val="en-US"/>
        </w:rPr>
        <w:t>Luxus</w:t>
      </w:r>
      <w:r w:rsidRPr="00507A31">
        <w:rPr>
          <w:color w:val="000000" w:themeColor="text1"/>
          <w:sz w:val="16"/>
          <w:szCs w:val="16"/>
        </w:rPr>
        <w:t xml:space="preserve">-300 фирмы </w:t>
      </w:r>
      <w:r w:rsidRPr="00507A31">
        <w:rPr>
          <w:color w:val="000000" w:themeColor="text1"/>
          <w:sz w:val="16"/>
          <w:szCs w:val="16"/>
          <w:lang w:val="en-US"/>
        </w:rPr>
        <w:t>DKW</w:t>
      </w:r>
      <w:r w:rsidRPr="00507A31">
        <w:rPr>
          <w:color w:val="000000" w:themeColor="text1"/>
          <w:sz w:val="16"/>
          <w:szCs w:val="16"/>
        </w:rPr>
        <w:t xml:space="preserve"> с годовым выпуском около 50 тыс. мотоциклов. Вскоре в СССР привезли несколько образ</w:t>
      </w:r>
      <w:r w:rsidRPr="00507A31">
        <w:rPr>
          <w:color w:val="000000" w:themeColor="text1"/>
          <w:sz w:val="16"/>
          <w:szCs w:val="16"/>
        </w:rPr>
        <w:softHyphen/>
        <w:t>цов этой модели и немало комплектующих для неё изделий [4.7]. Одну из привезённых машин всесторонне испытали в лаборато</w:t>
      </w:r>
      <w:r w:rsidRPr="00507A31">
        <w:rPr>
          <w:color w:val="000000" w:themeColor="text1"/>
          <w:sz w:val="16"/>
          <w:szCs w:val="16"/>
        </w:rPr>
        <w:softHyphen/>
        <w:t>рии НАМИ [4.8]. Этот мотоцикл с двухтактным одноцилиндро</w:t>
      </w:r>
      <w:r w:rsidRPr="00507A31">
        <w:rPr>
          <w:color w:val="000000" w:themeColor="text1"/>
          <w:sz w:val="16"/>
          <w:szCs w:val="16"/>
        </w:rPr>
        <w:softHyphen/>
        <w:t>вым двигателем воздушного охлаждения рабочим объёмом 300 см</w:t>
      </w:r>
      <w:r w:rsidRPr="00507A31">
        <w:rPr>
          <w:color w:val="000000" w:themeColor="text1"/>
          <w:sz w:val="16"/>
          <w:szCs w:val="16"/>
          <w:vertAlign w:val="superscript"/>
        </w:rPr>
        <w:t>3</w:t>
      </w:r>
      <w:r w:rsidRPr="00507A31">
        <w:rPr>
          <w:color w:val="000000" w:themeColor="text1"/>
          <w:sz w:val="16"/>
          <w:szCs w:val="16"/>
        </w:rPr>
        <w:t xml:space="preserve"> вполне подходил для изготовления опытных машин. Не</w:t>
      </w:r>
      <w:r w:rsidRPr="00507A31">
        <w:rPr>
          <w:color w:val="000000" w:themeColor="text1"/>
          <w:sz w:val="16"/>
          <w:szCs w:val="16"/>
        </w:rPr>
        <w:softHyphen/>
        <w:t>согласные с П.В. Можаровым члены комиссии предлагали изго</w:t>
      </w:r>
      <w:r w:rsidRPr="00507A31">
        <w:rPr>
          <w:color w:val="000000" w:themeColor="text1"/>
          <w:sz w:val="16"/>
          <w:szCs w:val="16"/>
        </w:rPr>
        <w:softHyphen/>
        <w:t>товить опытную партию более сложной модели 2-500 той же фирмы с двухтактным двухцилиндровым двигателем жидкостно</w:t>
      </w:r>
      <w:r w:rsidRPr="00507A31">
        <w:rPr>
          <w:color w:val="000000" w:themeColor="text1"/>
          <w:sz w:val="16"/>
          <w:szCs w:val="16"/>
        </w:rPr>
        <w:softHyphen/>
        <w:t>го охлаждения рабочим объёмом двигателя 500 см</w:t>
      </w:r>
      <w:r w:rsidRPr="00507A31">
        <w:rPr>
          <w:color w:val="000000" w:themeColor="text1"/>
          <w:sz w:val="16"/>
          <w:szCs w:val="16"/>
          <w:vertAlign w:val="superscript"/>
        </w:rPr>
        <w:t>3</w:t>
      </w:r>
      <w:r w:rsidRPr="00507A31">
        <w:rPr>
          <w:color w:val="000000" w:themeColor="text1"/>
          <w:sz w:val="16"/>
          <w:szCs w:val="16"/>
        </w:rPr>
        <w:t xml:space="preserve"> [4.5].</w:t>
      </w:r>
    </w:p>
    <w:p w14:paraId="37DEB4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ТРЕМАСС предписали изготовить опытную серию 25-ти мо</w:t>
      </w:r>
      <w:r w:rsidRPr="00507A31">
        <w:rPr>
          <w:color w:val="000000" w:themeColor="text1"/>
          <w:sz w:val="16"/>
          <w:szCs w:val="16"/>
        </w:rPr>
        <w:softHyphen/>
        <w:t>тоциклов целиком из отечественных материалов и комплектую</w:t>
      </w:r>
      <w:r w:rsidRPr="00507A31">
        <w:rPr>
          <w:color w:val="000000" w:themeColor="text1"/>
          <w:sz w:val="16"/>
          <w:szCs w:val="16"/>
        </w:rPr>
        <w:softHyphen/>
        <w:t xml:space="preserve">щих изделий, в качестве прототипа взяв </w:t>
      </w:r>
      <w:r w:rsidRPr="00507A31">
        <w:rPr>
          <w:color w:val="000000" w:themeColor="text1"/>
          <w:sz w:val="16"/>
          <w:szCs w:val="16"/>
          <w:lang w:val="en-US"/>
        </w:rPr>
        <w:t>Luxus</w:t>
      </w:r>
      <w:r w:rsidRPr="00507A31">
        <w:rPr>
          <w:color w:val="000000" w:themeColor="text1"/>
          <w:sz w:val="16"/>
          <w:szCs w:val="16"/>
        </w:rPr>
        <w:t>-300, что требовало выпуска комплекта чертежей, к разработке которых приступили в мае 1930 года. Тогда же прошло совещание в ВСНХ СССР, на котором обсуждали выбор места для строительства первого мо</w:t>
      </w:r>
      <w:r w:rsidRPr="00507A31">
        <w:rPr>
          <w:color w:val="000000" w:themeColor="text1"/>
          <w:sz w:val="16"/>
          <w:szCs w:val="16"/>
        </w:rPr>
        <w:softHyphen/>
        <w:t>тоциклетного завода с годовой программой 50 тыс. мотоциклов. Из трёх предложенных экспертами наиболее удачных вариан</w:t>
      </w:r>
      <w:r w:rsidRPr="00507A31">
        <w:rPr>
          <w:color w:val="000000" w:themeColor="text1"/>
          <w:sz w:val="16"/>
          <w:szCs w:val="16"/>
        </w:rPr>
        <w:softHyphen/>
        <w:t>тов - Москва, Ленинград, Ижевск - последний признали лучшим по множеству соображений. Сравнивали по экономическим пока</w:t>
      </w:r>
      <w:r w:rsidRPr="00507A31">
        <w:rPr>
          <w:color w:val="000000" w:themeColor="text1"/>
          <w:sz w:val="16"/>
          <w:szCs w:val="16"/>
        </w:rPr>
        <w:softHyphen/>
        <w:t>зателям (общая стоимость завода, наличие квалифицированной рабочей силы, стоимость жилищного строительства, близость энергетической и топливной базы и пр.) по производственным (близость сырьевой базы, возможность производственной коопе</w:t>
      </w:r>
      <w:r w:rsidRPr="00507A31">
        <w:rPr>
          <w:color w:val="000000" w:themeColor="text1"/>
          <w:sz w:val="16"/>
          <w:szCs w:val="16"/>
        </w:rPr>
        <w:softHyphen/>
        <w:t>рации на месте и пр.). Заключение о преимуществах создания мо</w:t>
      </w:r>
      <w:r w:rsidRPr="00507A31">
        <w:rPr>
          <w:color w:val="000000" w:themeColor="text1"/>
          <w:sz w:val="16"/>
          <w:szCs w:val="16"/>
        </w:rPr>
        <w:softHyphen/>
        <w:t>тозавода в Ижевске передали на утверждение президиума ВСНХ СССР [4.9].</w:t>
      </w:r>
    </w:p>
    <w:p w14:paraId="75BB92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Вскоре стало известно о проведении в Москве выставки со</w:t>
      </w:r>
      <w:r w:rsidRPr="00507A31">
        <w:rPr>
          <w:color w:val="000000" w:themeColor="text1"/>
          <w:sz w:val="16"/>
          <w:szCs w:val="16"/>
        </w:rPr>
        <w:softHyphen/>
        <w:t>ветского мотоциклостроения, которую предполагали открыть под трибунами столичного стадиона «Динамо». На ней решили продемонстрировать первый мотоцикл, изготавливаемый на заводах ТРЕМАСС [4.10]. Из-за нехватки времени решили из</w:t>
      </w:r>
      <w:r w:rsidRPr="00507A31">
        <w:rPr>
          <w:color w:val="000000" w:themeColor="text1"/>
          <w:sz w:val="16"/>
          <w:szCs w:val="16"/>
        </w:rPr>
        <w:softHyphen/>
        <w:t>готовить промышленный образец, от которого требовалось только внешнее сходство с будущей моделью, поэтому при его изготовлении частично применили импортные комплектую</w:t>
      </w:r>
      <w:r w:rsidRPr="00507A31">
        <w:rPr>
          <w:color w:val="000000" w:themeColor="text1"/>
          <w:sz w:val="16"/>
          <w:szCs w:val="16"/>
        </w:rPr>
        <w:softHyphen/>
        <w:t>щие изделия (11429).</w:t>
      </w:r>
    </w:p>
    <w:p w14:paraId="37F8FC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5F8E266" w14:textId="77777777" w:rsidR="009A77C3" w:rsidRPr="00507A31" w:rsidRDefault="009A77C3" w:rsidP="00507A31">
      <w:pPr>
        <w:jc w:val="both"/>
        <w:rPr>
          <w:color w:val="000000" w:themeColor="text1"/>
          <w:sz w:val="16"/>
          <w:szCs w:val="16"/>
        </w:rPr>
      </w:pPr>
      <w:r w:rsidRPr="00507A31">
        <w:rPr>
          <w:color w:val="000000" w:themeColor="text1"/>
          <w:sz w:val="16"/>
          <w:szCs w:val="16"/>
        </w:rPr>
        <w:t>В начале 1930 года УММ РККА произвело ревизию материальной части бронепоездов в частях и на военном складе №60. На 31 января состояние бронепоездного парка было следующим:</w:t>
      </w:r>
    </w:p>
    <w:p w14:paraId="1812461D" w14:textId="77777777" w:rsidR="009A77C3" w:rsidRPr="00507A31" w:rsidRDefault="009A77C3" w:rsidP="00507A31">
      <w:pPr>
        <w:jc w:val="both"/>
        <w:rPr>
          <w:color w:val="000000" w:themeColor="text1"/>
          <w:sz w:val="16"/>
          <w:szCs w:val="16"/>
        </w:rPr>
      </w:pPr>
      <w:r w:rsidRPr="00507A31">
        <w:rPr>
          <w:color w:val="000000" w:themeColor="text1"/>
          <w:sz w:val="16"/>
          <w:szCs w:val="16"/>
        </w:rPr>
        <w:t>«Наличие легких бронепоездов в частях РККА и на складе №60 по типам:</w:t>
      </w:r>
    </w:p>
    <w:p w14:paraId="10187EF6" w14:textId="77777777" w:rsidR="009A77C3" w:rsidRPr="00507A31" w:rsidRDefault="009A77C3" w:rsidP="00507A31">
      <w:pPr>
        <w:jc w:val="both"/>
        <w:rPr>
          <w:color w:val="000000" w:themeColor="text1"/>
          <w:sz w:val="16"/>
          <w:szCs w:val="16"/>
        </w:rPr>
      </w:pPr>
      <w:r w:rsidRPr="00507A31">
        <w:rPr>
          <w:color w:val="000000" w:themeColor="text1"/>
          <w:sz w:val="16"/>
          <w:szCs w:val="16"/>
        </w:rPr>
        <w:t>1. БВО. 2-й полк бепо: брянских – 6; сормовских – 6;</w:t>
      </w:r>
    </w:p>
    <w:p w14:paraId="16CB4E3B" w14:textId="77777777" w:rsidR="009A77C3" w:rsidRPr="00507A31" w:rsidRDefault="009A77C3" w:rsidP="00507A31">
      <w:pPr>
        <w:jc w:val="both"/>
        <w:rPr>
          <w:color w:val="000000" w:themeColor="text1"/>
          <w:sz w:val="16"/>
          <w:szCs w:val="16"/>
        </w:rPr>
      </w:pPr>
      <w:r w:rsidRPr="00507A31">
        <w:rPr>
          <w:color w:val="000000" w:themeColor="text1"/>
          <w:sz w:val="16"/>
          <w:szCs w:val="16"/>
        </w:rPr>
        <w:t>2-й дивизион бепо: брянских 4;</w:t>
      </w:r>
    </w:p>
    <w:p w14:paraId="1084DD04" w14:textId="77777777" w:rsidR="009A77C3" w:rsidRPr="00507A31" w:rsidRDefault="009A77C3" w:rsidP="00507A31">
      <w:pPr>
        <w:jc w:val="both"/>
        <w:rPr>
          <w:color w:val="000000" w:themeColor="text1"/>
          <w:sz w:val="16"/>
          <w:szCs w:val="16"/>
        </w:rPr>
      </w:pPr>
      <w:r w:rsidRPr="00507A31">
        <w:rPr>
          <w:color w:val="000000" w:themeColor="text1"/>
          <w:sz w:val="16"/>
          <w:szCs w:val="16"/>
        </w:rPr>
        <w:t>2. УВО. 1-й дивизион бепо: сормовских – 4;</w:t>
      </w:r>
    </w:p>
    <w:p w14:paraId="541FA30A" w14:textId="77777777" w:rsidR="009A77C3" w:rsidRPr="00507A31" w:rsidRDefault="009A77C3" w:rsidP="00507A31">
      <w:pPr>
        <w:jc w:val="both"/>
        <w:rPr>
          <w:color w:val="000000" w:themeColor="text1"/>
          <w:sz w:val="16"/>
          <w:szCs w:val="16"/>
        </w:rPr>
      </w:pPr>
      <w:r w:rsidRPr="00507A31">
        <w:rPr>
          <w:color w:val="000000" w:themeColor="text1"/>
          <w:sz w:val="16"/>
          <w:szCs w:val="16"/>
        </w:rPr>
        <w:t>3. СКВО. Бепо №11: ижорских – 2; брянских – 2;</w:t>
      </w:r>
    </w:p>
    <w:p w14:paraId="5CBEA680" w14:textId="77777777" w:rsidR="009A77C3" w:rsidRPr="00507A31" w:rsidRDefault="009A77C3" w:rsidP="00507A31">
      <w:pPr>
        <w:jc w:val="both"/>
        <w:rPr>
          <w:color w:val="000000" w:themeColor="text1"/>
          <w:sz w:val="16"/>
          <w:szCs w:val="16"/>
        </w:rPr>
      </w:pPr>
      <w:r w:rsidRPr="00507A31">
        <w:rPr>
          <w:color w:val="000000" w:themeColor="text1"/>
          <w:sz w:val="16"/>
          <w:szCs w:val="16"/>
        </w:rPr>
        <w:t>4. СибВО. Бепо №60: брянских – 2;</w:t>
      </w:r>
    </w:p>
    <w:p w14:paraId="19065D9C" w14:textId="77777777" w:rsidR="009A77C3" w:rsidRPr="00507A31" w:rsidRDefault="009A77C3" w:rsidP="00507A31">
      <w:pPr>
        <w:jc w:val="both"/>
        <w:rPr>
          <w:color w:val="000000" w:themeColor="text1"/>
          <w:sz w:val="16"/>
          <w:szCs w:val="16"/>
        </w:rPr>
      </w:pPr>
      <w:r w:rsidRPr="00507A31">
        <w:rPr>
          <w:color w:val="000000" w:themeColor="text1"/>
          <w:sz w:val="16"/>
          <w:szCs w:val="16"/>
        </w:rPr>
        <w:t>5. САВО. Бепо №10: севастопольских – 2; ижорских – 2;</w:t>
      </w:r>
    </w:p>
    <w:p w14:paraId="2441ECBC" w14:textId="77777777" w:rsidR="009A77C3" w:rsidRPr="00507A31" w:rsidRDefault="009A77C3" w:rsidP="00507A31">
      <w:pPr>
        <w:jc w:val="both"/>
        <w:rPr>
          <w:color w:val="000000" w:themeColor="text1"/>
          <w:sz w:val="16"/>
          <w:szCs w:val="16"/>
        </w:rPr>
      </w:pPr>
      <w:r w:rsidRPr="00507A31">
        <w:rPr>
          <w:color w:val="000000" w:themeColor="text1"/>
          <w:sz w:val="16"/>
          <w:szCs w:val="16"/>
        </w:rPr>
        <w:t>6. ОКДВА. Севастопольских – 9; сормовских – 1; днепровских – 2;</w:t>
      </w:r>
    </w:p>
    <w:p w14:paraId="1023B194" w14:textId="77777777" w:rsidR="009A77C3" w:rsidRPr="00507A31" w:rsidRDefault="009A77C3" w:rsidP="00507A31">
      <w:pPr>
        <w:jc w:val="both"/>
        <w:rPr>
          <w:color w:val="000000" w:themeColor="text1"/>
          <w:sz w:val="16"/>
          <w:szCs w:val="16"/>
        </w:rPr>
      </w:pPr>
      <w:r w:rsidRPr="00507A31">
        <w:rPr>
          <w:color w:val="000000" w:themeColor="text1"/>
          <w:sz w:val="16"/>
          <w:szCs w:val="16"/>
        </w:rPr>
        <w:t>7. ККА. Сормовских – 2; днепровских – 2;</w:t>
      </w:r>
    </w:p>
    <w:p w14:paraId="446046F8" w14:textId="77777777" w:rsidR="009A77C3" w:rsidRPr="00507A31" w:rsidRDefault="009A77C3" w:rsidP="00507A31">
      <w:pPr>
        <w:jc w:val="both"/>
        <w:rPr>
          <w:color w:val="000000" w:themeColor="text1"/>
          <w:sz w:val="16"/>
          <w:szCs w:val="16"/>
        </w:rPr>
      </w:pPr>
      <w:r w:rsidRPr="00507A31">
        <w:rPr>
          <w:color w:val="000000" w:themeColor="text1"/>
          <w:sz w:val="16"/>
          <w:szCs w:val="16"/>
        </w:rPr>
        <w:t>8. Модернизированный бепо. Сормовских – 2;</w:t>
      </w:r>
    </w:p>
    <w:p w14:paraId="3C8F6785" w14:textId="77777777" w:rsidR="009A77C3" w:rsidRPr="00507A31" w:rsidRDefault="009A77C3" w:rsidP="00507A31">
      <w:pPr>
        <w:jc w:val="both"/>
        <w:rPr>
          <w:color w:val="000000" w:themeColor="text1"/>
          <w:sz w:val="16"/>
          <w:szCs w:val="16"/>
        </w:rPr>
      </w:pPr>
      <w:r w:rsidRPr="00507A31">
        <w:rPr>
          <w:color w:val="000000" w:themeColor="text1"/>
          <w:sz w:val="16"/>
          <w:szCs w:val="16"/>
        </w:rPr>
        <w:t>9. Склад №60. Сормовских – 12; Голяховского –16. Остальное наличие склада не учтено, но сормовских нет.</w:t>
      </w:r>
    </w:p>
    <w:p w14:paraId="64832178" w14:textId="77777777" w:rsidR="009A77C3" w:rsidRPr="00507A31" w:rsidRDefault="009A77C3" w:rsidP="00507A31">
      <w:pPr>
        <w:jc w:val="both"/>
        <w:rPr>
          <w:color w:val="000000" w:themeColor="text1"/>
          <w:sz w:val="16"/>
          <w:szCs w:val="16"/>
        </w:rPr>
      </w:pPr>
      <w:r w:rsidRPr="00507A31">
        <w:rPr>
          <w:color w:val="000000" w:themeColor="text1"/>
          <w:sz w:val="16"/>
          <w:szCs w:val="16"/>
        </w:rPr>
        <w:t>Всего: сормовских – 27;</w:t>
      </w:r>
    </w:p>
    <w:p w14:paraId="15A7F5BA" w14:textId="77777777" w:rsidR="009A77C3" w:rsidRPr="00507A31" w:rsidRDefault="009A77C3" w:rsidP="00507A31">
      <w:pPr>
        <w:jc w:val="both"/>
        <w:rPr>
          <w:color w:val="000000" w:themeColor="text1"/>
          <w:sz w:val="16"/>
          <w:szCs w:val="16"/>
        </w:rPr>
      </w:pPr>
      <w:r w:rsidRPr="00507A31">
        <w:rPr>
          <w:color w:val="000000" w:themeColor="text1"/>
          <w:sz w:val="16"/>
          <w:szCs w:val="16"/>
        </w:rPr>
        <w:t>Брянских – 14;</w:t>
      </w:r>
    </w:p>
    <w:p w14:paraId="678AA115" w14:textId="77777777" w:rsidR="009A77C3" w:rsidRPr="00507A31" w:rsidRDefault="009A77C3" w:rsidP="00507A31">
      <w:pPr>
        <w:jc w:val="both"/>
        <w:rPr>
          <w:color w:val="000000" w:themeColor="text1"/>
          <w:sz w:val="16"/>
          <w:szCs w:val="16"/>
        </w:rPr>
      </w:pPr>
      <w:r w:rsidRPr="00507A31">
        <w:rPr>
          <w:color w:val="000000" w:themeColor="text1"/>
          <w:sz w:val="16"/>
          <w:szCs w:val="16"/>
        </w:rPr>
        <w:t>Севастопольских – 11;</w:t>
      </w:r>
    </w:p>
    <w:p w14:paraId="4C528B87" w14:textId="77777777" w:rsidR="009A77C3" w:rsidRPr="00507A31" w:rsidRDefault="009A77C3" w:rsidP="00507A31">
      <w:pPr>
        <w:jc w:val="both"/>
        <w:rPr>
          <w:color w:val="000000" w:themeColor="text1"/>
          <w:sz w:val="16"/>
          <w:szCs w:val="16"/>
        </w:rPr>
      </w:pPr>
      <w:r w:rsidRPr="00507A31">
        <w:rPr>
          <w:color w:val="000000" w:themeColor="text1"/>
          <w:sz w:val="16"/>
          <w:szCs w:val="16"/>
        </w:rPr>
        <w:t>Днепровских – 4;</w:t>
      </w:r>
    </w:p>
    <w:p w14:paraId="15BF9F46" w14:textId="77777777" w:rsidR="009A77C3" w:rsidRPr="00507A31" w:rsidRDefault="009A77C3" w:rsidP="00507A31">
      <w:pPr>
        <w:jc w:val="both"/>
        <w:rPr>
          <w:color w:val="000000" w:themeColor="text1"/>
          <w:sz w:val="16"/>
          <w:szCs w:val="16"/>
        </w:rPr>
      </w:pPr>
      <w:r w:rsidRPr="00507A31">
        <w:rPr>
          <w:color w:val="000000" w:themeColor="text1"/>
          <w:sz w:val="16"/>
          <w:szCs w:val="16"/>
        </w:rPr>
        <w:t>Новороссийских – 16;</w:t>
      </w:r>
    </w:p>
    <w:p w14:paraId="734E031D" w14:textId="77777777" w:rsidR="009A77C3" w:rsidRPr="00507A31" w:rsidRDefault="009A77C3" w:rsidP="00507A31">
      <w:pPr>
        <w:jc w:val="both"/>
        <w:rPr>
          <w:color w:val="000000" w:themeColor="text1"/>
          <w:sz w:val="16"/>
          <w:szCs w:val="16"/>
        </w:rPr>
      </w:pPr>
      <w:r w:rsidRPr="00507A31">
        <w:rPr>
          <w:color w:val="000000" w:themeColor="text1"/>
          <w:sz w:val="16"/>
          <w:szCs w:val="16"/>
        </w:rPr>
        <w:t>Ижорских – 4.</w:t>
      </w:r>
    </w:p>
    <w:p w14:paraId="12DA62B4" w14:textId="77777777" w:rsidR="009A77C3" w:rsidRPr="00507A31" w:rsidRDefault="009A77C3" w:rsidP="00507A31">
      <w:pPr>
        <w:jc w:val="both"/>
        <w:rPr>
          <w:color w:val="000000" w:themeColor="text1"/>
          <w:sz w:val="16"/>
          <w:szCs w:val="16"/>
        </w:rPr>
      </w:pPr>
      <w:r w:rsidRPr="00507A31">
        <w:rPr>
          <w:color w:val="000000" w:themeColor="text1"/>
          <w:sz w:val="16"/>
          <w:szCs w:val="16"/>
        </w:rPr>
        <w:t>ВСЕГО: 76 штук.</w:t>
      </w:r>
    </w:p>
    <w:p w14:paraId="5F094DE8" w14:textId="77777777" w:rsidR="009A77C3" w:rsidRPr="00507A31" w:rsidRDefault="009A77C3" w:rsidP="00507A31">
      <w:pPr>
        <w:jc w:val="both"/>
        <w:rPr>
          <w:color w:val="000000" w:themeColor="text1"/>
          <w:sz w:val="16"/>
          <w:szCs w:val="16"/>
        </w:rPr>
      </w:pPr>
      <w:r w:rsidRPr="00507A31">
        <w:rPr>
          <w:color w:val="000000" w:themeColor="text1"/>
          <w:sz w:val="16"/>
          <w:szCs w:val="16"/>
        </w:rPr>
        <w:t>Бронепаровозов:</w:t>
      </w:r>
    </w:p>
    <w:p w14:paraId="02FEB82B" w14:textId="77777777" w:rsidR="009A77C3" w:rsidRPr="00507A31" w:rsidRDefault="009A77C3" w:rsidP="00507A31">
      <w:pPr>
        <w:jc w:val="both"/>
        <w:rPr>
          <w:color w:val="000000" w:themeColor="text1"/>
          <w:sz w:val="16"/>
          <w:szCs w:val="16"/>
        </w:rPr>
      </w:pPr>
      <w:r w:rsidRPr="00507A31">
        <w:rPr>
          <w:color w:val="000000" w:themeColor="text1"/>
          <w:sz w:val="16"/>
          <w:szCs w:val="16"/>
        </w:rPr>
        <w:t>Южно-Днепровских – 2;</w:t>
      </w:r>
    </w:p>
    <w:p w14:paraId="00EBF8E8" w14:textId="77777777" w:rsidR="009A77C3" w:rsidRPr="00507A31" w:rsidRDefault="009A77C3" w:rsidP="00507A31">
      <w:pPr>
        <w:jc w:val="both"/>
        <w:rPr>
          <w:color w:val="000000" w:themeColor="text1"/>
          <w:sz w:val="16"/>
          <w:szCs w:val="16"/>
        </w:rPr>
      </w:pPr>
      <w:r w:rsidRPr="00507A31">
        <w:rPr>
          <w:color w:val="000000" w:themeColor="text1"/>
          <w:sz w:val="16"/>
          <w:szCs w:val="16"/>
        </w:rPr>
        <w:t>Брянских – 21;</w:t>
      </w:r>
    </w:p>
    <w:p w14:paraId="77B880FF" w14:textId="77777777" w:rsidR="009A77C3" w:rsidRPr="00507A31" w:rsidRDefault="009A77C3" w:rsidP="00507A31">
      <w:pPr>
        <w:jc w:val="both"/>
        <w:rPr>
          <w:color w:val="000000" w:themeColor="text1"/>
          <w:sz w:val="16"/>
          <w:szCs w:val="16"/>
        </w:rPr>
      </w:pPr>
      <w:r w:rsidRPr="00507A31">
        <w:rPr>
          <w:color w:val="000000" w:themeColor="text1"/>
          <w:sz w:val="16"/>
          <w:szCs w:val="16"/>
        </w:rPr>
        <w:t>Сормовских – 13;</w:t>
      </w:r>
    </w:p>
    <w:p w14:paraId="7C39A79F" w14:textId="77777777" w:rsidR="009A77C3" w:rsidRPr="00507A31" w:rsidRDefault="009A77C3" w:rsidP="00507A31">
      <w:pPr>
        <w:jc w:val="both"/>
        <w:rPr>
          <w:color w:val="000000" w:themeColor="text1"/>
          <w:sz w:val="16"/>
          <w:szCs w:val="16"/>
        </w:rPr>
      </w:pPr>
      <w:r w:rsidRPr="00507A31">
        <w:rPr>
          <w:color w:val="000000" w:themeColor="text1"/>
          <w:sz w:val="16"/>
          <w:szCs w:val="16"/>
        </w:rPr>
        <w:t>Ижорских – 3;</w:t>
      </w:r>
    </w:p>
    <w:p w14:paraId="4AE068A3" w14:textId="77777777" w:rsidR="009A77C3" w:rsidRPr="00507A31" w:rsidRDefault="009A77C3" w:rsidP="00507A31">
      <w:pPr>
        <w:jc w:val="both"/>
        <w:rPr>
          <w:color w:val="000000" w:themeColor="text1"/>
          <w:sz w:val="16"/>
          <w:szCs w:val="16"/>
        </w:rPr>
      </w:pPr>
      <w:r w:rsidRPr="00507A31">
        <w:rPr>
          <w:color w:val="000000" w:themeColor="text1"/>
          <w:sz w:val="16"/>
          <w:szCs w:val="16"/>
        </w:rPr>
        <w:t>Севастопольских – 3.</w:t>
      </w:r>
    </w:p>
    <w:p w14:paraId="1E1B0205" w14:textId="77777777" w:rsidR="009A77C3" w:rsidRPr="00507A31" w:rsidRDefault="009A77C3" w:rsidP="00507A31">
      <w:pPr>
        <w:jc w:val="both"/>
        <w:rPr>
          <w:color w:val="000000" w:themeColor="text1"/>
          <w:sz w:val="16"/>
          <w:szCs w:val="16"/>
        </w:rPr>
      </w:pPr>
      <w:r w:rsidRPr="00507A31">
        <w:rPr>
          <w:color w:val="000000" w:themeColor="text1"/>
          <w:sz w:val="16"/>
          <w:szCs w:val="16"/>
        </w:rPr>
        <w:t>ВСЕГО: 42 штуки (15218).</w:t>
      </w:r>
    </w:p>
    <w:p w14:paraId="0D293444" w14:textId="77777777" w:rsidR="009A77C3" w:rsidRPr="00507A31" w:rsidRDefault="009A77C3" w:rsidP="00507A31">
      <w:pPr>
        <w:jc w:val="both"/>
        <w:rPr>
          <w:color w:val="000000" w:themeColor="text1"/>
          <w:sz w:val="16"/>
          <w:szCs w:val="16"/>
        </w:rPr>
      </w:pPr>
    </w:p>
    <w:p w14:paraId="00C6BBE5" w14:textId="77777777" w:rsidR="004F2A23" w:rsidRPr="00507A31" w:rsidRDefault="004F2A23" w:rsidP="00507A31">
      <w:pPr>
        <w:jc w:val="both"/>
        <w:rPr>
          <w:color w:val="000000" w:themeColor="text1"/>
          <w:sz w:val="16"/>
          <w:szCs w:val="16"/>
        </w:rPr>
      </w:pPr>
      <w:r w:rsidRPr="00507A31">
        <w:rPr>
          <w:color w:val="000000" w:themeColor="text1"/>
          <w:sz w:val="16"/>
          <w:szCs w:val="16"/>
        </w:rPr>
        <w:t>В начале 1930 года представители УММ провели инспекцию бронепоездных частей, наметив пути их модернизации и совершенствования. По вопросу бронедрезин начальник технического управления УММ РККА Г. Бокис 19 марта 1930 года докладывал следующее: </w:t>
      </w:r>
    </w:p>
    <w:p w14:paraId="6322F397" w14:textId="77777777" w:rsidR="004F2A23" w:rsidRPr="00507A31" w:rsidRDefault="004F2A23" w:rsidP="00507A31">
      <w:pPr>
        <w:jc w:val="both"/>
        <w:rPr>
          <w:color w:val="000000" w:themeColor="text1"/>
          <w:sz w:val="16"/>
          <w:szCs w:val="16"/>
        </w:rPr>
      </w:pPr>
      <w:r w:rsidRPr="00507A31">
        <w:rPr>
          <w:color w:val="000000" w:themeColor="text1"/>
          <w:sz w:val="16"/>
          <w:szCs w:val="16"/>
        </w:rPr>
        <w:t>«До сего времени не имеется стандартного образца бронедрезины. Имеющиеся в частях РККА машины разнообразны по конструкции и техническим требованиям не удовлетворяют (речь идет о дрезинах «Матваль». - Прим. автора). В срочном порядке необходимо сконструировать типовую пулеметную (легкую) и пушечную (тяжелую) бронедрезины для обеспечения заказов промышленности в 1930 году. Новые легкие бронедрезины, отвечая всем требованиям НКПС для обеспечения беспрепятственного движения по железной дороге должны в целях достижения наименьшей уязвимости быть малых размеров, имея конфигурацию брони (толщина 7-8 мм), дающую наименьшую возможность попадания по нормали, иметь скорость движения на горизонтальной площадке не менее 50 верст в час, с одинаковой скоростью двигаться передним и задним ходом, иметь полное наблюдение за путем и полем боя через прорези и перископы, иметь на вооружении 2 пулемета Максима на установках, допускающих З60 градусов горизонтального обстрела при наименьшем мертвом пространстве и стрельбу по воздушным целям. </w:t>
      </w:r>
    </w:p>
    <w:p w14:paraId="4EE7D8EC" w14:textId="77777777" w:rsidR="004F2A23" w:rsidRPr="00507A31" w:rsidRDefault="004F2A23" w:rsidP="00507A31">
      <w:pPr>
        <w:jc w:val="both"/>
        <w:rPr>
          <w:color w:val="000000" w:themeColor="text1"/>
          <w:sz w:val="16"/>
          <w:szCs w:val="16"/>
        </w:rPr>
      </w:pPr>
      <w:r w:rsidRPr="00507A31">
        <w:rPr>
          <w:color w:val="000000" w:themeColor="text1"/>
          <w:sz w:val="16"/>
          <w:szCs w:val="16"/>
        </w:rPr>
        <w:t>Для конструирования пушечной бронедрезины, на вооружении которой должны быть 2 пулемета и 76-мм орудие 1927 или 1913 года с уменьшенным откатом, могут быть использованы бронеавтомобили «Гарфорд», с вооружения автоброневых частей снятые, с изменением конфигурации брони. Против совершенно нового типа бронедрезины не возражаю». </w:t>
      </w:r>
    </w:p>
    <w:p w14:paraId="2F79BEB6" w14:textId="77777777" w:rsidR="004F2A23" w:rsidRPr="00507A31" w:rsidRDefault="004F2A23" w:rsidP="00507A31">
      <w:pPr>
        <w:jc w:val="both"/>
        <w:rPr>
          <w:color w:val="000000" w:themeColor="text1"/>
          <w:sz w:val="16"/>
          <w:szCs w:val="16"/>
        </w:rPr>
      </w:pPr>
      <w:r w:rsidRPr="00507A31">
        <w:rPr>
          <w:color w:val="000000" w:themeColor="text1"/>
          <w:sz w:val="16"/>
          <w:szCs w:val="16"/>
        </w:rPr>
        <w:t>Несмотря на вышеприведенный доклад, к разработке новых типов бронедрезин приступили только через полтора года, причем их проектированием занялся все тот же Николай Дыренков, активно двигавший свои изобретения военным (18626).</w:t>
      </w:r>
    </w:p>
    <w:p w14:paraId="6C9611F3" w14:textId="77777777" w:rsidR="004F2A23" w:rsidRPr="00507A31" w:rsidRDefault="004F2A23" w:rsidP="00507A31">
      <w:pPr>
        <w:jc w:val="both"/>
        <w:rPr>
          <w:color w:val="000000" w:themeColor="text1"/>
          <w:sz w:val="16"/>
          <w:szCs w:val="16"/>
        </w:rPr>
      </w:pPr>
    </w:p>
    <w:p w14:paraId="543B7C34" w14:textId="77777777" w:rsidR="004F2A23" w:rsidRPr="00507A31" w:rsidRDefault="004F2A23" w:rsidP="00507A31">
      <w:pPr>
        <w:jc w:val="both"/>
        <w:rPr>
          <w:color w:val="000000" w:themeColor="text1"/>
          <w:sz w:val="16"/>
          <w:szCs w:val="16"/>
        </w:rPr>
      </w:pPr>
      <w:r w:rsidRPr="00507A31">
        <w:rPr>
          <w:color w:val="000000" w:themeColor="text1"/>
          <w:sz w:val="16"/>
          <w:szCs w:val="16"/>
        </w:rPr>
        <w:t xml:space="preserve">В начале 1930 г. произошел переход на поставку части продукции для военного ведомства по так называемой системе «марка фабрики», осуществленного одновременно с реформой военприемки. На новую систему была переведена большая часть предметов и материалов военно-хозяйственного снабжения, т.е. неоружия от обмундирования и продуктов питания до полевых кухонь, и часть предметов вооружения76. По этой системе продукция сдавалась «под ответственность заключивших договоры поставки и подряда хозорганов за соответствие установленным техусловиям». Со стороны ВХУ РККА контроль качества за продукцией, сдаваемой по «марке фабрики», осуществлялся только путем систематического получения образцов и периодических проверок. Вводя такую систему, военное ведомство преследовало двойную цель — полностью «возложить ответственность за качество сдаваемой продукции на промышленность и сократить штат военных приемщиков»77. Если вторая цель была достигнута и после реформы число приемщиков ВХУ сократилось с 263 до 161, то вторая очевидно провалена. После введения «марки фабрики» качество поставляемой продукции заметно упало. Это официально признал начальник ВХУ Ошлей: «Должен сказать, что это &lt;переход на «марку </w:t>
      </w:r>
      <w:r w:rsidRPr="00507A31">
        <w:rPr>
          <w:color w:val="000000" w:themeColor="text1"/>
          <w:sz w:val="16"/>
          <w:szCs w:val="16"/>
        </w:rPr>
        <w:lastRenderedPageBreak/>
        <w:t>фабрики»&gt; привело к значительному ухудшению. Не потому, что этот принцип приемки не годится, а только потому, что мы не сумели соответствующим образом переключить контроль на склады и войсковые части. Промышленность эту нашу слабую сторону учитывает и под видом хорошего качества дает имущество, которое другой раз не дала бы... имущество стало несомненно худшего качества, в этом нет сомнений... непринятое, как не соответствующее техусловиям, в 1929 и 1928 гг. было по качеству несомненно выше того, что мы принимали в 1932 г. как хорошее»78. Об этом же говорят многочисленные статистические данные о качестве поставленного в 1928/29 и 1929/30 гг. имущества79. Однако в силу нехватки кадров система сдачи по «марке фабрики» продолжала существовать еще некоторое время после того, как снижение качества получаемых армией товаров стало очевидным (18627)..</w:t>
      </w:r>
    </w:p>
    <w:p w14:paraId="0918CA82" w14:textId="77777777" w:rsidR="004F2A23" w:rsidRPr="00507A31" w:rsidRDefault="004F2A23" w:rsidP="00507A31">
      <w:pPr>
        <w:jc w:val="both"/>
        <w:rPr>
          <w:color w:val="000000" w:themeColor="text1"/>
          <w:sz w:val="16"/>
          <w:szCs w:val="16"/>
        </w:rPr>
      </w:pPr>
    </w:p>
    <w:p w14:paraId="171D9B1F" w14:textId="77777777" w:rsidR="004F2A23" w:rsidRPr="00507A31" w:rsidRDefault="004F2A23" w:rsidP="00507A31">
      <w:pPr>
        <w:jc w:val="both"/>
        <w:rPr>
          <w:color w:val="000000" w:themeColor="text1"/>
          <w:sz w:val="16"/>
          <w:szCs w:val="16"/>
        </w:rPr>
      </w:pPr>
      <w:r w:rsidRPr="00507A31">
        <w:rPr>
          <w:color w:val="000000" w:themeColor="text1"/>
          <w:sz w:val="16"/>
          <w:szCs w:val="16"/>
          <w:shd w:val="clear" w:color="auto" w:fill="FFFFFF"/>
        </w:rPr>
        <w:t>В начале 1930 года после проведенной тарификации, а, наиболее распространенной у рабочих была зарплата в 60—90 рублей в месяц. Только что приехавшие из деревни чернорабочие получали 30—50 рублей, высокооплачиваемые и квалифицированные — около 180 рублей. Постановление Совнаркома СССР от 1 ноября 1937 года «О повышении заработной платы низкооплачиваемым рабочим и служащим фабрично-заводской промышленности и транспорта» предусматривало такое увеличение зарплаты этим категориям работников, при котором при повременной оплате тарифная ставка вместе с надбавкой составляла не ниже 115 рублей в месяц, а при сдельной — не ниже 110 рублей (19650).</w:t>
      </w:r>
    </w:p>
    <w:p w14:paraId="65D4A916" w14:textId="77777777" w:rsidR="004F2A23" w:rsidRPr="00507A31" w:rsidRDefault="004F2A23" w:rsidP="00507A31">
      <w:pPr>
        <w:jc w:val="both"/>
        <w:rPr>
          <w:color w:val="000000" w:themeColor="text1"/>
          <w:sz w:val="16"/>
          <w:szCs w:val="16"/>
        </w:rPr>
      </w:pPr>
    </w:p>
    <w:p w14:paraId="2A678D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начале 1930 года в ВСУ была создана специальная Военная вакцинно-сывороточная лаборатория (ВВСЛ). Разместилась она во имении Власиха недалеко от станции Перхушково (Московская область) и на первых порах была ориентирована в основном на решение оборонительных задач биологической войны. Руководителем стал И.М.Великанов, который перешел из ИХО РККА. Публике он был известен, впрочем, не как начальник секретной лаборатории по биологическому оружию, а как заведующий кафедрой микробиологии МГУ и член ВКП(б) с 1919 года. </w:t>
      </w:r>
    </w:p>
    <w:p w14:paraId="61993B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Однако с самого начала своей новой работы, то есть уже с апреля 1930 года И.М.Великанов начал предлагать руководству армии объединение оборонительных и наступательных работ по биологическому оружию "в одну лабораторию под общим руководством". Оказывается, "работа должна производиться как по линии обороны, так и по линии нападения, причем обе части этой работы должны быть теснейшим образом связаны друг с другом, ибо являются двумя сторонами одного и того же дела". Впрочем, замнаркома обороны И.П.Уборевич, лично посетив лабораторию ВВСЛ во Власихе в сентябре 1930 года, обнаружил не столько микробиологические достижения, сколько обыкновенный беспорядок, и потому он распорядился приостановить работы до наведения порядка. </w:t>
      </w:r>
    </w:p>
    <w:p w14:paraId="4E84CD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следующем году, впрочем, у новой лаборатории появились и достижения - сыворотка для борьбы с заболеванием газовой гангреной, средство для борьбы с туляремией. </w:t>
      </w:r>
    </w:p>
    <w:p w14:paraId="57DD6F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Нормальная работа лаборатории в Власихе по оборонительной проблематике привела и к организационным результатам. </w:t>
      </w:r>
    </w:p>
    <w:p w14:paraId="6510BF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9 января 1933 года РВС СССР приказом № 02 за подписью М.Н.Тухачевского преобразовал лабораторию ВВСЛ в Военный научно-медицинский институт РККА (ВМИ) с подчинением его ВСУ. В основном институт был ориентирован на решение оборонительных задач биологической войны: 1) разработку научных вопросов создания средств защиты от бактериологического нападения; 2) разработку и организацию производства сывороток и вакцин, необходимых для профилактических работ в РККА). </w:t>
      </w:r>
    </w:p>
    <w:p w14:paraId="4E877C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Следует подчеркнуть, что конкурентные отношения двух военных ведомств (ВОХИМУ и ВСУ) за лидерское место в военно-биологической области отражали объективную реальность. Фактически речь шла о том, что именно закладывать в фундамент работ - наступательную или оборонительную составляющую биологической войны. На том этапе "победили химики", изначально выступавшие за наступательную ориентацию работ и уже добившиеся серьезных результатов в создании рецептур биологического оружия. </w:t>
      </w:r>
    </w:p>
    <w:p w14:paraId="3EBF6B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508CE2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7DFD4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70E8C0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2C2C80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245D9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0CB558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2410A9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2E4631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55D40E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10 марта 1937 приказом наркома обороны К.Е.Ворошилова № 0012 военно-биологический институт (к этому времени он обрел новое название - БИТИ, то есть Биотехнический институт) был изъят из ведения ХИМУ РККА и подчинен непосредственно начальнику вооружений. </w:t>
      </w:r>
    </w:p>
    <w:p w14:paraId="43486A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 тому времени в БИТИ уже было создано несколько эффективных образцов биологического оружия. </w:t>
      </w:r>
    </w:p>
    <w:p w14:paraId="4C2A61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Остается добавить, что в 1937 году в силу известных обстоятельств с горизонта исчезли и все руководители, боровшиеся между собой за лидерство в разработках биологического оружия, - глава БИТИ И.М.Великанов, а также главы ХИМУ и ВСУ РККА Я.М.Фишман и М.И.Баранов (1888-1943). </w:t>
      </w:r>
    </w:p>
    <w:p w14:paraId="10E883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Начальник ХИМУ Я.М.Фишман вплоть до самого ареста не терял надежду на возвращение контроля за военно-биологическими работами. Во всяком случае в одном из последних рукописных документов, который был подготовлен им 25 апреля 1937 года, однако так и не попал в руки машинистки для перепечатки (как раз в ту ночь его "взяли"), обе военно-биологических организации (и БИТИ, и III-я испытательная лаборатория) еще рассматривались им как учреждения ХИМУ. Однако после ареста Я.М.Фишмана новый руководитель М.И.Степанов уже не очень активно боролся за контроль над военно-биологической проблематикой. В самом начале 1938 года БИТИ полностью утратил связи с ХИМУ РККА. </w:t>
      </w:r>
    </w:p>
    <w:p w14:paraId="43188D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И.М.Великанов был арестован 5 июля 1937 года как "японский шпион" (предлог был - осенью 1934 года в качестве начальника БИХИ он в составе делегации из трех человек действительно побывал на международной конференции Красного Креста в Токио, руководителем той делегации был известный советский дипломат Раковский) и через 9 месяцев расстрелян в Бутырской тюрьме.</w:t>
      </w:r>
    </w:p>
    <w:p w14:paraId="2007D8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БИТИ возглавил микробиолог Л.М.Хатеневер (1896-1948) (11776).</w:t>
      </w:r>
    </w:p>
    <w:p w14:paraId="680CE9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25D38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После перехода предприятий и НИУ бывшего ЭТЗСТ в состав ВЭО началась новая страница в совместной истории завода им. Ко минтерна и ЦРЛ. Описание этих событий дается в от 8 сентября 1932 г. докладной записке технического директора ЦРЛ Н.И. Дозорова «… в начале 1930 года по конец 1931 ЦРЛ была объединена с заводом им. Коминтерна. Это слияние произведено под лозунгом предоставления ЦРЛ производственной базы в лице завода им. Коминтерна. На деле вышло все наоборот. Завод подчинил себе ЦРЛ и начал использовать силы и средства лаборатории в интересах текущего производст ва с явным ущербом для исследовательских работ. Начиная с июля 1931 г., ра ботники ЦРЛ повели решительную борьбу за отделение ЦРЛ от завода и, не смотря на отчаянное сопротивление работников завода, довели ее до конца при помощи областной РКИ и Петроградского райкома ВКП (б). С 1 сентября 1931 года ЦРЛ вновь стала самостоятельным предприятием» (Михайлов В.А. Указ. соч. С. 57.) (11870).</w:t>
      </w:r>
    </w:p>
    <w:p w14:paraId="5D526668" w14:textId="77777777" w:rsidR="00537E5F" w:rsidRPr="00507A31" w:rsidRDefault="00537E5F" w:rsidP="00507A31">
      <w:pPr>
        <w:autoSpaceDE w:val="0"/>
        <w:autoSpaceDN w:val="0"/>
        <w:adjustRightInd w:val="0"/>
        <w:jc w:val="both"/>
        <w:rPr>
          <w:color w:val="000000" w:themeColor="text1"/>
          <w:sz w:val="16"/>
          <w:szCs w:val="16"/>
        </w:rPr>
      </w:pPr>
    </w:p>
    <w:p w14:paraId="3D2F8F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 было создано Всесоюзное объединение Речсоюзверфь куда вошли 12 заводов и верфей речного судостроения, включая Сормовскую верфь (в 1929-1933 гг. она была самостоя</w:t>
      </w:r>
      <w:r w:rsidRPr="00507A31">
        <w:rPr>
          <w:color w:val="000000" w:themeColor="text1"/>
          <w:sz w:val="16"/>
          <w:szCs w:val="16"/>
        </w:rPr>
        <w:softHyphen/>
        <w:t>тельной и не входила в состав завода "Красное Сормово") и начатые строительством Сталинградскую (создавалась на базе бывшей Сарептской). Пермскую верфи и Рыбинский катерный завод (3898).</w:t>
      </w:r>
    </w:p>
    <w:p w14:paraId="64A20F86" w14:textId="77777777" w:rsidR="00537E5F" w:rsidRPr="00507A31" w:rsidRDefault="00537E5F" w:rsidP="00507A31">
      <w:pPr>
        <w:autoSpaceDE w:val="0"/>
        <w:autoSpaceDN w:val="0"/>
        <w:adjustRightInd w:val="0"/>
        <w:jc w:val="both"/>
        <w:rPr>
          <w:color w:val="000000" w:themeColor="text1"/>
          <w:sz w:val="16"/>
          <w:szCs w:val="16"/>
        </w:rPr>
      </w:pPr>
    </w:p>
    <w:p w14:paraId="383A6D9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348AC82B" w14:textId="77777777" w:rsidR="00537E5F" w:rsidRPr="00507A31" w:rsidRDefault="00537E5F" w:rsidP="00507A31">
      <w:pPr>
        <w:autoSpaceDE w:val="0"/>
        <w:autoSpaceDN w:val="0"/>
        <w:adjustRightInd w:val="0"/>
        <w:jc w:val="both"/>
        <w:rPr>
          <w:iCs/>
          <w:color w:val="000000" w:themeColor="text1"/>
          <w:sz w:val="16"/>
          <w:szCs w:val="16"/>
        </w:rPr>
      </w:pPr>
    </w:p>
    <w:p w14:paraId="4B2DE7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 начале 1930 года, согласно работе «Судьба полководца» Г.С. Иссерсон состоялось обсуждении труда В.К. Трианда</w:t>
      </w:r>
      <w:r w:rsidRPr="00507A31">
        <w:rPr>
          <w:color w:val="000000" w:themeColor="text1"/>
          <w:sz w:val="16"/>
          <w:szCs w:val="16"/>
        </w:rPr>
        <w:softHyphen/>
        <w:t>филлова «Характер операций современных армий», который привлек все</w:t>
      </w:r>
      <w:r w:rsidRPr="00507A31">
        <w:rPr>
          <w:color w:val="000000" w:themeColor="text1"/>
          <w:sz w:val="16"/>
          <w:szCs w:val="16"/>
        </w:rPr>
        <w:softHyphen/>
        <w:t>общее внимание военных кругов, и «был справедливо воспринят как про</w:t>
      </w:r>
      <w:r w:rsidRPr="00507A31">
        <w:rPr>
          <w:color w:val="000000" w:themeColor="text1"/>
          <w:sz w:val="16"/>
          <w:szCs w:val="16"/>
        </w:rPr>
        <w:softHyphen/>
        <w:t>грессивное слово в области оперативного искусства, давшее новое направ</w:t>
      </w:r>
      <w:r w:rsidRPr="00507A31">
        <w:rPr>
          <w:color w:val="000000" w:themeColor="text1"/>
          <w:sz w:val="16"/>
          <w:szCs w:val="16"/>
        </w:rPr>
        <w:softHyphen/>
        <w:t>ление нашей военно-теоретической мысли».</w:t>
      </w:r>
    </w:p>
    <w:p w14:paraId="3B1E7B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новое слово в военной теории так было воспринято не всеми. Некоторые деятели Красной Армии, «ограничивавшие свои представле</w:t>
      </w:r>
      <w:r w:rsidRPr="00507A31">
        <w:rPr>
          <w:color w:val="000000" w:themeColor="text1"/>
          <w:sz w:val="16"/>
          <w:szCs w:val="16"/>
        </w:rPr>
        <w:softHyphen/>
        <w:t>ния о современной войне масштабами гражданской войны не понимали новых мыслей, высказанных Триандафилловым, и поэтому относились к ним отрицательно». Теория «глубокой операции» была объявлена ими теорией «глубокого предательства». Особенно враждебное отношение вызвали у таких деятелей взгляды Триандафиллова на конницу, которая, по его мнению, «не могла больше играть решающей роли при современ</w:t>
      </w:r>
      <w:r w:rsidRPr="00507A31">
        <w:rPr>
          <w:color w:val="000000" w:themeColor="text1"/>
          <w:sz w:val="16"/>
          <w:szCs w:val="16"/>
        </w:rPr>
        <w:softHyphen/>
        <w:t>ной технике и возросшей силе огня».</w:t>
      </w:r>
    </w:p>
    <w:p w14:paraId="1B81E1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Споры о роли конницы имели место и ранее. Уже после Русско-япон</w:t>
      </w:r>
      <w:r w:rsidRPr="00507A31">
        <w:rPr>
          <w:color w:val="000000" w:themeColor="text1"/>
          <w:sz w:val="16"/>
          <w:szCs w:val="16"/>
        </w:rPr>
        <w:softHyphen/>
        <w:t>ской войны профессор Российского Генштаба Н. Н. Сухотин ратовал за новые приемы кавалерийской тактики, ибо «славная русская конница те</w:t>
      </w:r>
      <w:r w:rsidRPr="00507A31">
        <w:rPr>
          <w:color w:val="000000" w:themeColor="text1"/>
          <w:sz w:val="16"/>
          <w:szCs w:val="16"/>
        </w:rPr>
        <w:softHyphen/>
        <w:t>ряла определяющую роль».</w:t>
      </w:r>
    </w:p>
    <w:p w14:paraId="60BBFD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Тогда генерал от кавалерии В.А.Сухомлинов, в 1908-1909 начальник Генштаба, а в 1909-1915 годах — военный министр, высмеял Сухотина в печати, назвав его «табуретным всадником».</w:t>
      </w:r>
    </w:p>
    <w:p w14:paraId="26E877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начале 1930 года состоялось обсуждение труда Триандафиллова, ко</w:t>
      </w:r>
      <w:r w:rsidRPr="00507A31">
        <w:rPr>
          <w:color w:val="000000" w:themeColor="text1"/>
          <w:sz w:val="16"/>
          <w:szCs w:val="16"/>
        </w:rPr>
        <w:softHyphen/>
        <w:t>торое предвещало «очень острую дискуссию».</w:t>
      </w:r>
    </w:p>
    <w:p w14:paraId="3F2DF8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Разбор происходил в ЦЦКА под председательством начальника Поли</w:t>
      </w:r>
      <w:r w:rsidRPr="00507A31">
        <w:rPr>
          <w:color w:val="000000" w:themeColor="text1"/>
          <w:sz w:val="16"/>
          <w:szCs w:val="16"/>
        </w:rPr>
        <w:softHyphen/>
        <w:t>туправления РВСа Я.Б.Гамарника. Присутствовали А.И.Егоров, С.М. Бу</w:t>
      </w:r>
      <w:r w:rsidRPr="00507A31">
        <w:rPr>
          <w:color w:val="000000" w:themeColor="text1"/>
          <w:sz w:val="16"/>
          <w:szCs w:val="16"/>
        </w:rPr>
        <w:softHyphen/>
        <w:t>денный, М.Н.Тухачевский, И.П. Уборевич, Р.П.Эйдеман, работники штаба РККА, преподаватели и слушатели военных академий.</w:t>
      </w:r>
    </w:p>
    <w:p w14:paraId="61B3D6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Основной доклад делал начальник кафедры оперативного искусства академии имени М.В.Фрунзе Н.Е.Варфоломеев, который входил вместе с Г.С. Иссерсоном, В.Н.Триандафилловым, К.Б.Калиновским, Н.Н. Шварцем, М.Н.Тухачевским и другими в неформальную группу по иссле</w:t>
      </w:r>
      <w:r w:rsidRPr="00507A31">
        <w:rPr>
          <w:color w:val="000000" w:themeColor="text1"/>
          <w:sz w:val="16"/>
          <w:szCs w:val="16"/>
        </w:rPr>
        <w:softHyphen/>
        <w:t>дованию вопросов будущей войны, особенно проблем преодоления на</w:t>
      </w:r>
      <w:r w:rsidRPr="00507A31">
        <w:rPr>
          <w:color w:val="000000" w:themeColor="text1"/>
          <w:sz w:val="16"/>
          <w:szCs w:val="16"/>
        </w:rPr>
        <w:softHyphen/>
        <w:t>сыщенной обороны и превращения войны «траншейной» в войну манев</w:t>
      </w:r>
      <w:r w:rsidRPr="00507A31">
        <w:rPr>
          <w:color w:val="000000" w:themeColor="text1"/>
          <w:sz w:val="16"/>
          <w:szCs w:val="16"/>
        </w:rPr>
        <w:softHyphen/>
        <w:t>ренную. Варфоломеев отметил большое значение труда для развития опе</w:t>
      </w:r>
      <w:r w:rsidRPr="00507A31">
        <w:rPr>
          <w:color w:val="000000" w:themeColor="text1"/>
          <w:sz w:val="16"/>
          <w:szCs w:val="16"/>
        </w:rPr>
        <w:softHyphen/>
        <w:t>ративного искусства. Такую же оценку труду дал и ряд других выступаю</w:t>
      </w:r>
      <w:r w:rsidRPr="00507A31">
        <w:rPr>
          <w:color w:val="000000" w:themeColor="text1"/>
          <w:sz w:val="16"/>
          <w:szCs w:val="16"/>
        </w:rPr>
        <w:softHyphen/>
        <w:t>щих.</w:t>
      </w:r>
    </w:p>
    <w:p w14:paraId="4B3983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Совершенно иного мнения был известный конник Щаденко.</w:t>
      </w:r>
    </w:p>
    <w:p w14:paraId="786983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«Война моторов, механизация, авиация и химия, — говорил он, — придуманы военспецами. Пока главное — лошадка. Решающую роль в будущей войне будет играть конница. Ей предстоит проникать в тылы и там сокрушать врага...».</w:t>
      </w:r>
    </w:p>
    <w:p w14:paraId="02E1DE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Такой взгляд исповедовал не один Щаденко... За ним выступил С.М.Бу</w:t>
      </w:r>
      <w:r w:rsidRPr="00507A31">
        <w:rPr>
          <w:color w:val="000000" w:themeColor="text1"/>
          <w:sz w:val="16"/>
          <w:szCs w:val="16"/>
        </w:rPr>
        <w:softHyphen/>
        <w:t>денный, мнение которого оказалось совершенно противоположным но</w:t>
      </w:r>
      <w:r w:rsidRPr="00507A31">
        <w:rPr>
          <w:color w:val="000000" w:themeColor="text1"/>
          <w:sz w:val="16"/>
          <w:szCs w:val="16"/>
        </w:rPr>
        <w:softHyphen/>
        <w:t>вым мыслям, изложенным в труде Триандафиллова. Он, не стесняясь в выражениях, назвал труд вредным, принижающим роль конницы и про</w:t>
      </w:r>
      <w:r w:rsidRPr="00507A31">
        <w:rPr>
          <w:color w:val="000000" w:themeColor="text1"/>
          <w:sz w:val="16"/>
          <w:szCs w:val="16"/>
        </w:rPr>
        <w:softHyphen/>
        <w:t>тиворечащим духу Красной Армии. Это выступление, не аргументиро</w:t>
      </w:r>
      <w:r w:rsidRPr="00507A31">
        <w:rPr>
          <w:color w:val="000000" w:themeColor="text1"/>
          <w:sz w:val="16"/>
          <w:szCs w:val="16"/>
        </w:rPr>
        <w:softHyphen/>
        <w:t>ванное и голословное, вызвало в зале веселое оживление.</w:t>
      </w:r>
    </w:p>
    <w:p w14:paraId="2E2792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После Буденного слово взял М.Н.Тухачевский. Он очень обстоятель</w:t>
      </w:r>
      <w:r w:rsidRPr="00507A31">
        <w:rPr>
          <w:color w:val="000000" w:themeColor="text1"/>
          <w:sz w:val="16"/>
          <w:szCs w:val="16"/>
        </w:rPr>
        <w:softHyphen/>
        <w:t>но разобрал все основные положения труда о характере современных опе</w:t>
      </w:r>
      <w:r w:rsidRPr="00507A31">
        <w:rPr>
          <w:color w:val="000000" w:themeColor="text1"/>
          <w:sz w:val="16"/>
          <w:szCs w:val="16"/>
        </w:rPr>
        <w:softHyphen/>
        <w:t>раций, подчеркнул их прогрессивность и правильность для новых усло-</w:t>
      </w:r>
    </w:p>
    <w:p w14:paraId="3F2626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вий перевооружения армии техническими средствами борьбы и, прежде всего танками и самолетами. Тухачевский также подчеркнул, что «конни</w:t>
      </w:r>
      <w:r w:rsidRPr="00507A31">
        <w:rPr>
          <w:color w:val="000000" w:themeColor="text1"/>
          <w:sz w:val="16"/>
          <w:szCs w:val="16"/>
        </w:rPr>
        <w:softHyphen/>
        <w:t>ца, не оправдавшая себя уже в 1-ю мировую войну, не сможет в будущей войне играть какую-либо важную роль».</w:t>
      </w:r>
    </w:p>
    <w:p w14:paraId="359E94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Выступление Тухачевского вызвало бурю негодования со стороны Бу</w:t>
      </w:r>
      <w:r w:rsidRPr="00507A31">
        <w:rPr>
          <w:color w:val="000000" w:themeColor="text1"/>
          <w:sz w:val="16"/>
          <w:szCs w:val="16"/>
        </w:rPr>
        <w:softHyphen/>
        <w:t>денного, сидевшего в президиуме и бросившего реплику, что Тухачевс</w:t>
      </w:r>
      <w:r w:rsidRPr="00507A31">
        <w:rPr>
          <w:color w:val="000000" w:themeColor="text1"/>
          <w:sz w:val="16"/>
          <w:szCs w:val="16"/>
        </w:rPr>
        <w:softHyphen/>
        <w:t>кий «гробит всю Красную Армию».</w:t>
      </w:r>
    </w:p>
    <w:p w14:paraId="1FBA64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Тухачевский не смолчал, он обернулся к Буденному и с вежливой улыб</w:t>
      </w:r>
      <w:r w:rsidRPr="00507A31">
        <w:rPr>
          <w:color w:val="000000" w:themeColor="text1"/>
          <w:sz w:val="16"/>
          <w:szCs w:val="16"/>
        </w:rPr>
        <w:softHyphen/>
        <w:t>кой сказал:</w:t>
      </w:r>
    </w:p>
    <w:p w14:paraId="4CAD55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Ведь Вам, Семен Михайлович, и не все объяснить можно!</w:t>
      </w:r>
    </w:p>
    <w:p w14:paraId="30B86C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Это вызвало смех в зале. Обстановка накалялась и достигла высшего предела, когда выступил А.И.Тодорский. Со всей своей горячностью Тодорский обрушился на Тухачевского за защиту им книги Триандафилло</w:t>
      </w:r>
      <w:r w:rsidRPr="00507A31">
        <w:rPr>
          <w:color w:val="000000" w:themeColor="text1"/>
          <w:sz w:val="16"/>
          <w:szCs w:val="16"/>
        </w:rPr>
        <w:softHyphen/>
        <w:t>ва. По его мнению, он пропагандировал идеи технически вооруженных западноевропейских армий и не учитывал отсталости СССР в этой обла</w:t>
      </w:r>
      <w:r w:rsidRPr="00507A31">
        <w:rPr>
          <w:color w:val="000000" w:themeColor="text1"/>
          <w:sz w:val="16"/>
          <w:szCs w:val="16"/>
        </w:rPr>
        <w:softHyphen/>
        <w:t>сти. «Когда еще у нас будет эта техника!» — возглашал Тодорский, выска</w:t>
      </w:r>
      <w:r w:rsidRPr="00507A31">
        <w:rPr>
          <w:color w:val="000000" w:themeColor="text1"/>
          <w:sz w:val="16"/>
          <w:szCs w:val="16"/>
        </w:rPr>
        <w:softHyphen/>
        <w:t>зывая этим полное непонимание перспектив, которые уже открывала пер</w:t>
      </w:r>
      <w:r w:rsidRPr="00507A31">
        <w:rPr>
          <w:color w:val="000000" w:themeColor="text1"/>
          <w:sz w:val="16"/>
          <w:szCs w:val="16"/>
        </w:rPr>
        <w:softHyphen/>
        <w:t>вая пятилетка. Конница, по мнению Тодорского, сохранила все свое зна</w:t>
      </w:r>
      <w:r w:rsidRPr="00507A31">
        <w:rPr>
          <w:color w:val="000000" w:themeColor="text1"/>
          <w:sz w:val="16"/>
          <w:szCs w:val="16"/>
        </w:rPr>
        <w:softHyphen/>
        <w:t>чение, доказав это в Гражданскую войну, в частности, в Польскую компа</w:t>
      </w:r>
      <w:r w:rsidRPr="00507A31">
        <w:rPr>
          <w:color w:val="000000" w:themeColor="text1"/>
          <w:sz w:val="16"/>
          <w:szCs w:val="16"/>
        </w:rPr>
        <w:softHyphen/>
        <w:t>нию 1920 года, когда она дошла до Львова. И если бы она не была отозвана оттуда Тухачевским, то выиграла бы операцию. И тут, обратившись к Ту</w:t>
      </w:r>
      <w:r w:rsidRPr="00507A31">
        <w:rPr>
          <w:color w:val="000000" w:themeColor="text1"/>
          <w:sz w:val="16"/>
          <w:szCs w:val="16"/>
        </w:rPr>
        <w:softHyphen/>
        <w:t>хачевскому, который тоже сидел в президиуме, и, подняв сжатые кулаки, высоким голосом выпалил: «Вас за 1920 год вешать надо!!».</w:t>
      </w:r>
    </w:p>
    <w:p w14:paraId="2E33A9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Был объявлен перерыв, после которого Гамарник, переговоривший по телефону с Ворошиловым и получивший указания, объявил, что так как дискуссия по будущей книге Триандафиллова получила неправильное направление и приняла нежелательный оборот, необходимо обсуждение прекратить и перенести его на другой, более отдаленный срок.</w:t>
      </w:r>
    </w:p>
    <w:p w14:paraId="0EFF4A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каким-то тяжелым чувством все стали молча расходиться. Обсужде</w:t>
      </w:r>
      <w:r w:rsidRPr="00507A31">
        <w:rPr>
          <w:color w:val="000000" w:themeColor="text1"/>
          <w:sz w:val="16"/>
          <w:szCs w:val="16"/>
        </w:rPr>
        <w:softHyphen/>
        <w:t>ние в будущем так и не состоялось, но борьба, вокруг этого вопроса не утихала. Однако теория глубокой наступательной операции все больше и больше завоевывала умы военных и вскоре после выпуска его Военизда-том в 1932 году труд Триандафиллова стал настольной книгой командных кадров (11504).</w:t>
      </w:r>
    </w:p>
    <w:p w14:paraId="72CE4F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D2C4A8" w14:textId="77777777" w:rsidR="003547C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3CF5F24" w14:textId="77777777" w:rsidR="003547CE" w:rsidRPr="00507A31" w:rsidRDefault="003547CE" w:rsidP="00507A31">
      <w:pPr>
        <w:autoSpaceDE w:val="0"/>
        <w:autoSpaceDN w:val="0"/>
        <w:adjustRightInd w:val="0"/>
        <w:jc w:val="both"/>
        <w:rPr>
          <w:iCs/>
          <w:color w:val="000000" w:themeColor="text1"/>
          <w:sz w:val="16"/>
          <w:szCs w:val="16"/>
        </w:rPr>
      </w:pPr>
    </w:p>
    <w:p w14:paraId="4581902A" w14:textId="77777777" w:rsidR="003547CE" w:rsidRPr="00507A31" w:rsidRDefault="003547CE" w:rsidP="00507A31">
      <w:pPr>
        <w:jc w:val="both"/>
        <w:rPr>
          <w:color w:val="000000" w:themeColor="text1"/>
          <w:sz w:val="16"/>
          <w:szCs w:val="16"/>
        </w:rPr>
      </w:pPr>
      <w:r w:rsidRPr="00507A31">
        <w:rPr>
          <w:color w:val="000000" w:themeColor="text1"/>
          <w:sz w:val="16"/>
          <w:szCs w:val="16"/>
        </w:rPr>
        <w:t>В начале 1930</w:t>
      </w:r>
      <w:r w:rsidRPr="00507A31">
        <w:rPr>
          <w:color w:val="000000" w:themeColor="text1"/>
          <w:sz w:val="16"/>
          <w:szCs w:val="16"/>
          <w:lang w:val="en-US"/>
        </w:rPr>
        <w:t> </w:t>
      </w:r>
      <w:r w:rsidRPr="00507A31">
        <w:rPr>
          <w:color w:val="000000" w:themeColor="text1"/>
          <w:sz w:val="16"/>
          <w:szCs w:val="16"/>
        </w:rPr>
        <w:t>года нереальность государственных финансовых планов стала очевидной. Поскольку себестоимость продукции государственной промышленности снижалась гораздо медленнее, чем было запланировано, Госбанк СССР вынужден был превысить свой кредитный план за 9</w:t>
      </w:r>
      <w:r w:rsidRPr="00507A31">
        <w:rPr>
          <w:color w:val="000000" w:themeColor="text1"/>
          <w:sz w:val="16"/>
          <w:szCs w:val="16"/>
          <w:lang w:val="en-US"/>
        </w:rPr>
        <w:t> </w:t>
      </w:r>
      <w:r w:rsidRPr="00507A31">
        <w:rPr>
          <w:color w:val="000000" w:themeColor="text1"/>
          <w:sz w:val="16"/>
          <w:szCs w:val="16"/>
        </w:rPr>
        <w:t>месяцев 1929/30</w:t>
      </w:r>
      <w:r w:rsidRPr="00507A31">
        <w:rPr>
          <w:color w:val="000000" w:themeColor="text1"/>
          <w:sz w:val="16"/>
          <w:szCs w:val="16"/>
          <w:lang w:val="en-US"/>
        </w:rPr>
        <w:t> </w:t>
      </w:r>
      <w:r w:rsidRPr="00507A31">
        <w:rPr>
          <w:color w:val="000000" w:themeColor="text1"/>
          <w:sz w:val="16"/>
          <w:szCs w:val="16"/>
        </w:rPr>
        <w:t>г. на 1671</w:t>
      </w:r>
      <w:r w:rsidRPr="00507A31">
        <w:rPr>
          <w:color w:val="000000" w:themeColor="text1"/>
          <w:sz w:val="16"/>
          <w:szCs w:val="16"/>
          <w:lang w:val="en-US"/>
        </w:rPr>
        <w:t> </w:t>
      </w:r>
      <w:r w:rsidRPr="00507A31">
        <w:rPr>
          <w:color w:val="000000" w:themeColor="text1"/>
          <w:sz w:val="16"/>
          <w:szCs w:val="16"/>
        </w:rPr>
        <w:t>млн. рублей.</w:t>
      </w:r>
    </w:p>
    <w:p w14:paraId="16847BEB" w14:textId="77777777" w:rsidR="003547CE" w:rsidRPr="00507A31" w:rsidRDefault="003547CE" w:rsidP="00507A31">
      <w:pPr>
        <w:autoSpaceDE w:val="0"/>
        <w:autoSpaceDN w:val="0"/>
        <w:adjustRightInd w:val="0"/>
        <w:jc w:val="both"/>
        <w:rPr>
          <w:iCs/>
          <w:color w:val="000000" w:themeColor="text1"/>
          <w:sz w:val="16"/>
          <w:szCs w:val="16"/>
        </w:rPr>
      </w:pPr>
      <w:r w:rsidRPr="00507A31">
        <w:rPr>
          <w:color w:val="000000" w:themeColor="text1"/>
          <w:sz w:val="16"/>
          <w:szCs w:val="16"/>
        </w:rPr>
        <w:t>На протяжении 1931?1932</w:t>
      </w:r>
      <w:r w:rsidRPr="00507A31">
        <w:rPr>
          <w:color w:val="000000" w:themeColor="text1"/>
          <w:sz w:val="16"/>
          <w:szCs w:val="16"/>
          <w:lang w:val="en-US"/>
        </w:rPr>
        <w:t> </w:t>
      </w:r>
      <w:r w:rsidRPr="00507A31">
        <w:rPr>
          <w:color w:val="000000" w:themeColor="text1"/>
          <w:sz w:val="16"/>
          <w:szCs w:val="16"/>
        </w:rPr>
        <w:t>гг. бюджет практически не предоставлял Госбанку СССР средств для кредитования народного хозяйства, поэтому в 1931</w:t>
      </w:r>
      <w:r w:rsidRPr="00507A31">
        <w:rPr>
          <w:color w:val="000000" w:themeColor="text1"/>
          <w:sz w:val="16"/>
          <w:szCs w:val="16"/>
          <w:lang w:val="en-US"/>
        </w:rPr>
        <w:t> </w:t>
      </w:r>
      <w:r w:rsidRPr="00507A31">
        <w:rPr>
          <w:color w:val="000000" w:themeColor="text1"/>
          <w:sz w:val="16"/>
          <w:szCs w:val="16"/>
        </w:rPr>
        <w:t>г. банк вынужден был 45% своих кредитных вложений покрыть за счет эмиссии, составившей 1,3</w:t>
      </w:r>
      <w:r w:rsidRPr="00507A31">
        <w:rPr>
          <w:color w:val="000000" w:themeColor="text1"/>
          <w:sz w:val="16"/>
          <w:szCs w:val="16"/>
          <w:lang w:val="en-US"/>
        </w:rPr>
        <w:t> </w:t>
      </w:r>
      <w:r w:rsidRPr="00507A31">
        <w:rPr>
          <w:color w:val="000000" w:themeColor="text1"/>
          <w:sz w:val="16"/>
          <w:szCs w:val="16"/>
        </w:rPr>
        <w:t>млрд. рублей. В</w:t>
      </w:r>
      <w:r w:rsidRPr="00507A31">
        <w:rPr>
          <w:color w:val="000000" w:themeColor="text1"/>
          <w:sz w:val="16"/>
          <w:szCs w:val="16"/>
          <w:lang w:val="en-US"/>
        </w:rPr>
        <w:t> </w:t>
      </w:r>
      <w:r w:rsidRPr="00507A31">
        <w:rPr>
          <w:color w:val="000000" w:themeColor="text1"/>
          <w:sz w:val="16"/>
          <w:szCs w:val="16"/>
        </w:rPr>
        <w:t>результате денежная масса в обращении увеличилась почти на 30%. В</w:t>
      </w:r>
      <w:r w:rsidRPr="00507A31">
        <w:rPr>
          <w:color w:val="000000" w:themeColor="text1"/>
          <w:sz w:val="16"/>
          <w:szCs w:val="16"/>
          <w:lang w:val="en-US"/>
        </w:rPr>
        <w:t> </w:t>
      </w:r>
      <w:r w:rsidRPr="00507A31">
        <w:rPr>
          <w:color w:val="000000" w:themeColor="text1"/>
          <w:sz w:val="16"/>
          <w:szCs w:val="16"/>
        </w:rPr>
        <w:t>1932</w:t>
      </w:r>
      <w:r w:rsidRPr="00507A31">
        <w:rPr>
          <w:color w:val="000000" w:themeColor="text1"/>
          <w:sz w:val="16"/>
          <w:szCs w:val="16"/>
          <w:lang w:val="en-US"/>
        </w:rPr>
        <w:t> </w:t>
      </w:r>
      <w:r w:rsidRPr="00507A31">
        <w:rPr>
          <w:color w:val="000000" w:themeColor="text1"/>
          <w:sz w:val="16"/>
          <w:szCs w:val="16"/>
        </w:rPr>
        <w:t>г. средства для кредитования хозяйства, предоставленные за счет эмиссии, составили около 2,2</w:t>
      </w:r>
      <w:r w:rsidRPr="00507A31">
        <w:rPr>
          <w:color w:val="000000" w:themeColor="text1"/>
          <w:sz w:val="16"/>
          <w:szCs w:val="16"/>
          <w:lang w:val="en-US"/>
        </w:rPr>
        <w:t> </w:t>
      </w:r>
      <w:r w:rsidRPr="00507A31">
        <w:rPr>
          <w:color w:val="000000" w:themeColor="text1"/>
          <w:sz w:val="16"/>
          <w:szCs w:val="16"/>
        </w:rPr>
        <w:t>млрд. рублей. Сумма выпущенных в обращение денег в 1932</w:t>
      </w:r>
      <w:r w:rsidRPr="00507A31">
        <w:rPr>
          <w:color w:val="000000" w:themeColor="text1"/>
          <w:sz w:val="16"/>
          <w:szCs w:val="16"/>
          <w:lang w:val="en-US"/>
        </w:rPr>
        <w:t> </w:t>
      </w:r>
      <w:r w:rsidRPr="00507A31">
        <w:rPr>
          <w:color w:val="000000" w:themeColor="text1"/>
          <w:sz w:val="16"/>
          <w:szCs w:val="16"/>
        </w:rPr>
        <w:t>г. достигла 2,6</w:t>
      </w:r>
      <w:r w:rsidRPr="00507A31">
        <w:rPr>
          <w:color w:val="000000" w:themeColor="text1"/>
          <w:sz w:val="16"/>
          <w:szCs w:val="16"/>
          <w:lang w:val="en-US"/>
        </w:rPr>
        <w:t> </w:t>
      </w:r>
      <w:r w:rsidRPr="00507A31">
        <w:rPr>
          <w:color w:val="000000" w:themeColor="text1"/>
          <w:sz w:val="16"/>
          <w:szCs w:val="16"/>
        </w:rPr>
        <w:t>млрд. руб. (почти 50% к объему денежной массы на начало года). Всего за 1931-1932</w:t>
      </w:r>
      <w:r w:rsidRPr="00507A31">
        <w:rPr>
          <w:color w:val="000000" w:themeColor="text1"/>
          <w:sz w:val="16"/>
          <w:szCs w:val="16"/>
          <w:lang w:val="en-US"/>
        </w:rPr>
        <w:t> </w:t>
      </w:r>
      <w:r w:rsidRPr="00507A31">
        <w:rPr>
          <w:color w:val="000000" w:themeColor="text1"/>
          <w:sz w:val="16"/>
          <w:szCs w:val="16"/>
        </w:rPr>
        <w:t>гг. денежная масса увеличилась в 2</w:t>
      </w:r>
      <w:r w:rsidRPr="00507A31">
        <w:rPr>
          <w:color w:val="000000" w:themeColor="text1"/>
          <w:sz w:val="16"/>
          <w:szCs w:val="16"/>
          <w:lang w:val="en-US"/>
        </w:rPr>
        <w:t> </w:t>
      </w:r>
      <w:r w:rsidRPr="00507A31">
        <w:rPr>
          <w:color w:val="000000" w:themeColor="text1"/>
          <w:sz w:val="16"/>
          <w:szCs w:val="16"/>
        </w:rPr>
        <w:t>раза (17238).</w:t>
      </w:r>
    </w:p>
    <w:p w14:paraId="7392A5FB" w14:textId="77777777" w:rsidR="003547CE" w:rsidRPr="00507A31" w:rsidRDefault="003547CE" w:rsidP="00507A31">
      <w:pPr>
        <w:autoSpaceDE w:val="0"/>
        <w:autoSpaceDN w:val="0"/>
        <w:adjustRightInd w:val="0"/>
        <w:jc w:val="both"/>
        <w:rPr>
          <w:iCs/>
          <w:color w:val="000000" w:themeColor="text1"/>
          <w:sz w:val="16"/>
          <w:szCs w:val="16"/>
        </w:rPr>
      </w:pPr>
    </w:p>
    <w:p w14:paraId="5BF6968D" w14:textId="77777777" w:rsidR="001927A3" w:rsidRPr="00507A31" w:rsidRDefault="001927A3" w:rsidP="00507A31">
      <w:pPr>
        <w:autoSpaceDE w:val="0"/>
        <w:autoSpaceDN w:val="0"/>
        <w:adjustRightInd w:val="0"/>
        <w:jc w:val="both"/>
        <w:rPr>
          <w:iCs/>
          <w:color w:val="000000" w:themeColor="text1"/>
          <w:sz w:val="16"/>
          <w:szCs w:val="16"/>
        </w:rPr>
      </w:pPr>
      <w:r w:rsidRPr="00507A31">
        <w:rPr>
          <w:color w:val="000000" w:themeColor="text1"/>
          <w:sz w:val="16"/>
          <w:szCs w:val="16"/>
        </w:rPr>
        <w:t xml:space="preserve">В начале </w:t>
      </w:r>
      <w:r w:rsidRPr="00507A31">
        <w:rPr>
          <w:rStyle w:val="highlight"/>
          <w:color w:val="000000" w:themeColor="text1"/>
          <w:sz w:val="16"/>
          <w:szCs w:val="16"/>
        </w:rPr>
        <w:t> 1930 </w:t>
      </w:r>
      <w:r w:rsidRPr="00507A31">
        <w:rPr>
          <w:color w:val="000000" w:themeColor="text1"/>
          <w:sz w:val="16"/>
          <w:szCs w:val="16"/>
        </w:rPr>
        <w:t xml:space="preserve">-х гг. провалы и неудачи экономической политики ВКП (б) вынудили партийное руководство переложить вину за срывы темпов индустриализации и коллективизации на «вредителей» из числа «классовых» врагов. В стране были произведены аресты, захватившие и ученых- финансистов: Л.Н. Юровского, З.С. Каценеленбаума, П.А. Садырина, А.П. Спундэ, Д.А. Лоевецкого, В.В. Шера, Н.Д. Кондратьева, Г.М. Аркуса и других. Подписи этих людей стояли некогда на купюрах советских червонцев. В </w:t>
      </w:r>
      <w:r w:rsidRPr="00507A31">
        <w:rPr>
          <w:rStyle w:val="highlight"/>
          <w:color w:val="000000" w:themeColor="text1"/>
          <w:sz w:val="16"/>
          <w:szCs w:val="16"/>
        </w:rPr>
        <w:t> 1930 </w:t>
      </w:r>
      <w:r w:rsidRPr="00507A31">
        <w:rPr>
          <w:color w:val="000000" w:themeColor="text1"/>
          <w:sz w:val="16"/>
          <w:szCs w:val="16"/>
        </w:rPr>
        <w:t xml:space="preserve"> г. был арестован профессор И.Х. Озеров (постановлением правительства  в 1927 г. ему была назначена персональная пенсия), которому инкриминировали создание и руководство монархической организацией, имеющей связи с центрами белой эмиграции [27, с. 3]. «Профессоров-вредителей» разоблачали и клеймили позором на митингах и собраниях. Нарком финансов СССР Г.Ф. Гринько заявил, что необходимо провести борьбу с «юровщиной» в методах работы финансового аппарата. Л.Н. Юровский был вынужден уйти с поста начальника планово-экономического управления Наркомата финансов. В печати была начата открытая кампания травли против ученого. Например, экономисты Б.Я. Бляхер и Б.И. Лебедев в брошюре посвященной роли денег в социалистическом обществе, причисляли Л.Н. Юровского к вредителям, которые тянули страну к капиталистическому денежному обращению и стремились взять курс на восстановление золотых денег. «Отсюда следует, что мы должны беспощадно разоблачать «юровщину» и ее сторонников, мобилизуя внимание пролетарских масс на борьбу с этими вредительскими теориями», - писали авторы данной пропагандистской работы </w:t>
      </w:r>
      <w:r w:rsidR="007D6C11" w:rsidRPr="00507A31">
        <w:rPr>
          <w:color w:val="000000" w:themeColor="text1"/>
          <w:sz w:val="16"/>
          <w:szCs w:val="16"/>
        </w:rPr>
        <w:t>(17240)</w:t>
      </w:r>
      <w:r w:rsidRPr="00507A31">
        <w:rPr>
          <w:color w:val="000000" w:themeColor="text1"/>
          <w:sz w:val="16"/>
          <w:szCs w:val="16"/>
        </w:rPr>
        <w:t>.</w:t>
      </w:r>
    </w:p>
    <w:p w14:paraId="1DFA8F8B" w14:textId="77777777" w:rsidR="001927A3" w:rsidRPr="00507A31" w:rsidRDefault="001927A3" w:rsidP="00507A31">
      <w:pPr>
        <w:autoSpaceDE w:val="0"/>
        <w:autoSpaceDN w:val="0"/>
        <w:adjustRightInd w:val="0"/>
        <w:jc w:val="both"/>
        <w:rPr>
          <w:iCs/>
          <w:color w:val="000000" w:themeColor="text1"/>
          <w:sz w:val="16"/>
          <w:szCs w:val="16"/>
        </w:rPr>
      </w:pPr>
    </w:p>
    <w:p w14:paraId="306185B0" w14:textId="77777777" w:rsidR="00BB137F" w:rsidRPr="00507A31" w:rsidRDefault="00BB137F" w:rsidP="00507A31">
      <w:pPr>
        <w:jc w:val="both"/>
        <w:rPr>
          <w:color w:val="000000" w:themeColor="text1"/>
          <w:sz w:val="16"/>
          <w:szCs w:val="16"/>
        </w:rPr>
      </w:pPr>
      <w:r w:rsidRPr="00507A31">
        <w:rPr>
          <w:color w:val="000000" w:themeColor="text1"/>
          <w:sz w:val="16"/>
          <w:szCs w:val="16"/>
        </w:rPr>
        <w:t>В начале 1930 г. постановлением Совнаркома завершила ликвидация бирж. Таким образом, в период НЭПа товарные биржи и фондовые отделы при биржах существовали всего несколько лет. Появление фондовой биржи на этом этапе связано с возрождением не только товарного, но и финансового рынка, с формированием системы рыночных отношений и адекватных им институтов и механизмов регулирования экономики (18290).</w:t>
      </w:r>
    </w:p>
    <w:p w14:paraId="285281A3" w14:textId="77777777" w:rsidR="00BB137F" w:rsidRPr="00507A31" w:rsidRDefault="00BB137F" w:rsidP="00507A31">
      <w:pPr>
        <w:jc w:val="both"/>
        <w:rPr>
          <w:color w:val="000000" w:themeColor="text1"/>
          <w:sz w:val="16"/>
          <w:szCs w:val="16"/>
        </w:rPr>
      </w:pPr>
    </w:p>
    <w:p w14:paraId="004415B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F02F775" w14:textId="77777777" w:rsidR="00537E5F" w:rsidRPr="00507A31" w:rsidRDefault="00537E5F" w:rsidP="00507A31">
      <w:pPr>
        <w:autoSpaceDE w:val="0"/>
        <w:autoSpaceDN w:val="0"/>
        <w:adjustRightInd w:val="0"/>
        <w:jc w:val="both"/>
        <w:rPr>
          <w:iCs/>
          <w:color w:val="000000" w:themeColor="text1"/>
          <w:sz w:val="16"/>
          <w:szCs w:val="16"/>
        </w:rPr>
      </w:pPr>
    </w:p>
    <w:p w14:paraId="3FDC30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А.Липпиш создал свободно летающую модель с треугольным крылом, а затем и двухместный планер Дельта 1, который потом переоборудовали в двухместный самолет с тем же названием с двигателем в 30 нр и толкающим винтом (3973,19).</w:t>
      </w:r>
    </w:p>
    <w:p w14:paraId="7D471787" w14:textId="77777777" w:rsidR="00537E5F" w:rsidRPr="00507A31" w:rsidRDefault="00537E5F" w:rsidP="00507A31">
      <w:pPr>
        <w:autoSpaceDE w:val="0"/>
        <w:autoSpaceDN w:val="0"/>
        <w:adjustRightInd w:val="0"/>
        <w:jc w:val="both"/>
        <w:rPr>
          <w:color w:val="000000" w:themeColor="text1"/>
          <w:sz w:val="16"/>
          <w:szCs w:val="16"/>
        </w:rPr>
      </w:pPr>
    </w:p>
    <w:p w14:paraId="2B5E97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1930 года состоялась конференция «Общества межпланетных сообщений», на которой обсуждались дальнейшие планы. Помимо решения о покупке незаконченной ракеты Оберта у кинокомпании, на той же конференции Рудольф Небель предложил построить ракету с жидкостным двигателем, чтобы доказать ее преимущества перед ракетами на твердом топливе. По его мнению, эта ракета должна была иметь возможно меньшие размеры, что объяснялось недостатком средств.</w:t>
      </w:r>
    </w:p>
    <w:p w14:paraId="66F31D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Небеля попросили составить эскиз предварительного проекта своей ракеты, которую он назвал «Mirak» («Мирак», сокращение от «Minimumrakete»).</w:t>
      </w:r>
    </w:p>
    <w:p w14:paraId="17CCB7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Тем временем членам «Общества» удалось связаться с Государственным институтом химии и технологии, директор которого доктор Риттер предложил показать ему ракетный двигатель на жидком топливе. Имелась договоренность, что если демонстрация пройдет хорошо, Риттер выдаст Герману Оберту и его соратникам документы, которые помогут «Обществу» при обращении в другие организации за финансовой поддержкой.</w:t>
      </w:r>
    </w:p>
    <w:p w14:paraId="2396F7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назначенный для испытания день шел проливной дождь. «Kegelduse» была установлена на регистрирующем приборе и вместе с ним помещена в неглубокое щелевое убежище в земле. Несмотря на большую потерю жидкого кислорода, объяснявшуюся высокой влажностью воздуха, Клаусу Риделю, который занимался налаживанием оборудования, удалось запустить двигатель. В этом ему помогал еще один член «Общества» – молодой студент Берлинского университета Вернер фон Браун.</w:t>
      </w:r>
    </w:p>
    <w:p w14:paraId="7191FB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По итогам испытаний доктор Риттер выписал официальный документ, удостоверяющий, что двигатель «Kegelduse» «исправно работал 23 июля 1930 года в течение 90 секунд, израсходовав 6 кг жидкого кислорода и 1 кг бензина и развив при этом тягу около 7 кг».</w:t>
      </w:r>
    </w:p>
    <w:p w14:paraId="0878CE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в Государственном институте явилось также испытанием и в другом отношении. Все чаще раздавались голоса, требовавшие запретить эксперименты с ракетами из-за несчастного случая с Максом Валье.</w:t>
      </w:r>
    </w:p>
    <w:p w14:paraId="1D91A7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успеха с «Kegelduse» члены «Общества» взялись за отработку ракеты «Mirak» (11688).</w:t>
      </w:r>
    </w:p>
    <w:p w14:paraId="77DC00D4" w14:textId="77777777" w:rsidR="00537E5F" w:rsidRPr="00507A31" w:rsidRDefault="00537E5F" w:rsidP="00507A31">
      <w:pPr>
        <w:autoSpaceDE w:val="0"/>
        <w:autoSpaceDN w:val="0"/>
        <w:adjustRightInd w:val="0"/>
        <w:jc w:val="both"/>
        <w:rPr>
          <w:color w:val="000000" w:themeColor="text1"/>
          <w:sz w:val="16"/>
          <w:szCs w:val="16"/>
        </w:rPr>
      </w:pPr>
    </w:p>
    <w:p w14:paraId="4E18ADB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3CC2FB3" w14:textId="77777777" w:rsidR="00537E5F" w:rsidRPr="00507A31" w:rsidRDefault="00537E5F" w:rsidP="00507A31">
      <w:pPr>
        <w:autoSpaceDE w:val="0"/>
        <w:autoSpaceDN w:val="0"/>
        <w:adjustRightInd w:val="0"/>
        <w:jc w:val="both"/>
        <w:rPr>
          <w:iCs/>
          <w:color w:val="000000" w:themeColor="text1"/>
          <w:sz w:val="16"/>
          <w:szCs w:val="16"/>
        </w:rPr>
      </w:pPr>
    </w:p>
    <w:p w14:paraId="6B4EBC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 ЦАГИ получил от НТУ ВСНХ выписку из постановления РЗ СТО от 14 января N 582, посланную 31 января 1930 ЦАГИ, согласно которому Президиум ВСНХ был обязан немедленно приступить к организации 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w:t>
      </w:r>
    </w:p>
    <w:p w14:paraId="4690DFEA" w14:textId="77777777" w:rsidR="00537E5F" w:rsidRPr="00507A31" w:rsidRDefault="00537E5F" w:rsidP="00507A31">
      <w:pPr>
        <w:autoSpaceDE w:val="0"/>
        <w:autoSpaceDN w:val="0"/>
        <w:adjustRightInd w:val="0"/>
        <w:jc w:val="both"/>
        <w:rPr>
          <w:color w:val="000000" w:themeColor="text1"/>
          <w:sz w:val="16"/>
          <w:szCs w:val="16"/>
        </w:rPr>
      </w:pPr>
    </w:p>
    <w:p w14:paraId="3EEAFF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 ЦАГИ получил выписку из директивы РККА по оперативно-тактическим требованиям к сухопутным самолетам РККА (351).</w:t>
      </w:r>
    </w:p>
    <w:p w14:paraId="58655077" w14:textId="77777777" w:rsidR="00537E5F" w:rsidRPr="00507A31" w:rsidRDefault="00537E5F" w:rsidP="00507A31">
      <w:pPr>
        <w:autoSpaceDE w:val="0"/>
        <w:autoSpaceDN w:val="0"/>
        <w:adjustRightInd w:val="0"/>
        <w:jc w:val="both"/>
        <w:rPr>
          <w:color w:val="000000" w:themeColor="text1"/>
          <w:sz w:val="16"/>
          <w:szCs w:val="16"/>
        </w:rPr>
      </w:pPr>
    </w:p>
    <w:p w14:paraId="01B6CB01" w14:textId="77777777" w:rsidR="00D14034" w:rsidRPr="00507A31" w:rsidRDefault="00D14034" w:rsidP="00507A31">
      <w:pPr>
        <w:jc w:val="both"/>
        <w:rPr>
          <w:color w:val="0070C0"/>
          <w:sz w:val="16"/>
          <w:szCs w:val="16"/>
        </w:rPr>
      </w:pPr>
      <w:r w:rsidRPr="00507A31">
        <w:rPr>
          <w:color w:val="0070C0"/>
          <w:sz w:val="16"/>
          <w:szCs w:val="16"/>
        </w:rPr>
        <w:t>1 февраля 1930 - ЦАГИ получил от НТУ ВСНХ выписку из постановления РЗ СТО от 14 января N 582, посланную 31 января 1930 ЦАГИ, согласно которому Президиум ВСНХ был обязан немедлено приступить к организации в ЦАГИ опытного строительства самолетов смешанных (сварных) и деревянных кнструкций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(22637).</w:t>
      </w:r>
    </w:p>
    <w:p w14:paraId="5C969F5B" w14:textId="77777777" w:rsidR="00D14034" w:rsidRPr="00507A31" w:rsidRDefault="00D14034" w:rsidP="00507A31">
      <w:pPr>
        <w:jc w:val="both"/>
        <w:rPr>
          <w:color w:val="0070C0"/>
          <w:sz w:val="16"/>
          <w:szCs w:val="16"/>
        </w:rPr>
      </w:pPr>
    </w:p>
    <w:p w14:paraId="41CCC7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 Гроза, член комиссии от НАМИ письмом N 196/с направил председателю подкомиссии по авиа Одоевскому план работы Подкомиссии по опытному моторостроению и указал, что по опытному самолетостроению работу ведет Чернышев (1025,32).</w:t>
      </w:r>
    </w:p>
    <w:p w14:paraId="67FB9980" w14:textId="77777777" w:rsidR="00537E5F" w:rsidRPr="00507A31" w:rsidRDefault="00537E5F" w:rsidP="00507A31">
      <w:pPr>
        <w:autoSpaceDE w:val="0"/>
        <w:autoSpaceDN w:val="0"/>
        <w:adjustRightInd w:val="0"/>
        <w:jc w:val="both"/>
        <w:rPr>
          <w:color w:val="000000" w:themeColor="text1"/>
          <w:sz w:val="16"/>
          <w:szCs w:val="16"/>
        </w:rPr>
      </w:pPr>
    </w:p>
    <w:p w14:paraId="3A3CB46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5E23C72" w14:textId="77777777" w:rsidR="00537E5F" w:rsidRPr="00507A31" w:rsidRDefault="00537E5F" w:rsidP="00507A31">
      <w:pPr>
        <w:autoSpaceDE w:val="0"/>
        <w:autoSpaceDN w:val="0"/>
        <w:adjustRightInd w:val="0"/>
        <w:jc w:val="both"/>
        <w:rPr>
          <w:iCs/>
          <w:color w:val="000000" w:themeColor="text1"/>
          <w:sz w:val="16"/>
          <w:szCs w:val="16"/>
        </w:rPr>
      </w:pPr>
    </w:p>
    <w:p w14:paraId="1335B7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1 по 8 февраля 1930 года Г.Г.Бокис в г. Перми на мото-авиамеханическом машиностроительном заводе, проверяет изготовление моторов для танков.</w:t>
      </w:r>
    </w:p>
    <w:p w14:paraId="0ECDC4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13 по 17 февраля Бокис в Харькове, на ХПЗ, где был изготовлен «ма</w:t>
      </w:r>
      <w:r w:rsidRPr="00507A31">
        <w:rPr>
          <w:color w:val="000000" w:themeColor="text1"/>
          <w:sz w:val="16"/>
          <w:szCs w:val="16"/>
        </w:rPr>
        <w:softHyphen/>
        <w:t>невренный» танк Т-12 и должны были проходить его испытания.</w:t>
      </w:r>
    </w:p>
    <w:p w14:paraId="0701E1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26 марта по 2 апреля он вновь в Ленинграде на заводе «Большевик». С 14 по 20 мая 1930 года опять едет из Москвы в Ленинград.</w:t>
      </w:r>
    </w:p>
    <w:p w14:paraId="6E3001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б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42BF45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ED2FA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 РЗ СТО приняло постановление "О реорганизации военной промышленности" Военно-химический трест передали во Всесоюзное объединение Химической промышленности. Авиатрест выделили в самостоятельное производственное объединение, подчиненное Президиуму ВСНХ. ГУПТ упразднили и тресты Оружейно-пулеметный, Патронно-трубочный и Орудийно-арсенальный преобразовали в объединения, работающие на хозрасчете (ГАРФ ф.8418, оп. 10. 9, д. 137, л. 1-120). Руководство ГУВП ВСНХ объявил вредителями (1566,74).</w:t>
      </w:r>
    </w:p>
    <w:p w14:paraId="3EF179BE" w14:textId="77777777" w:rsidR="00537E5F" w:rsidRPr="00507A31" w:rsidRDefault="00537E5F" w:rsidP="00507A31">
      <w:pPr>
        <w:autoSpaceDE w:val="0"/>
        <w:autoSpaceDN w:val="0"/>
        <w:adjustRightInd w:val="0"/>
        <w:jc w:val="both"/>
        <w:rPr>
          <w:color w:val="000000" w:themeColor="text1"/>
          <w:sz w:val="16"/>
          <w:szCs w:val="16"/>
        </w:rPr>
      </w:pPr>
    </w:p>
    <w:p w14:paraId="50D83C79" w14:textId="77777777" w:rsidR="00BB137F" w:rsidRPr="00507A31" w:rsidRDefault="00BB137F" w:rsidP="00507A31">
      <w:pPr>
        <w:jc w:val="both"/>
        <w:rPr>
          <w:color w:val="000000" w:themeColor="text1"/>
          <w:sz w:val="16"/>
          <w:szCs w:val="16"/>
        </w:rPr>
      </w:pPr>
      <w:r w:rsidRPr="00507A31">
        <w:rPr>
          <w:color w:val="000000" w:themeColor="text1"/>
          <w:sz w:val="16"/>
          <w:szCs w:val="16"/>
        </w:rPr>
        <w:t>1 февраля 1930 г. на РЗ СТО было принято решение о реорганизации военной промышленности. Часть трестов было решено превратить в объединения и непо</w:t>
      </w:r>
      <w:r w:rsidRPr="00507A31">
        <w:rPr>
          <w:color w:val="000000" w:themeColor="text1"/>
          <w:sz w:val="16"/>
          <w:szCs w:val="16"/>
        </w:rPr>
        <w:softHyphen/>
        <w:t>средственно подчинить Президиуму ВСНХ (военно-экономиче</w:t>
      </w:r>
      <w:r w:rsidRPr="00507A31">
        <w:rPr>
          <w:color w:val="000000" w:themeColor="text1"/>
          <w:sz w:val="16"/>
          <w:szCs w:val="16"/>
        </w:rPr>
        <w:softHyphen/>
        <w:t>скому отделу - ВЭО). ГВПУ упразднялось как “вредительский орган”. Вместо него создавалось Главное военно-мобилизацион- ное управление (ГВМУ) ВСНХ во главе с И.П. Павлуновским. Теперь этому старому чекисту и руководителю ВМИ РКП, столь много критиковавшему Военпром, самому надо было исправлять положение (18393).</w:t>
      </w:r>
    </w:p>
    <w:p w14:paraId="1294CE9E" w14:textId="77777777" w:rsidR="00BB137F" w:rsidRPr="00507A31" w:rsidRDefault="00BB137F" w:rsidP="00507A31">
      <w:pPr>
        <w:jc w:val="both"/>
        <w:rPr>
          <w:color w:val="000000" w:themeColor="text1"/>
          <w:sz w:val="16"/>
          <w:szCs w:val="16"/>
        </w:rPr>
      </w:pPr>
    </w:p>
    <w:p w14:paraId="71C743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 на заводе Гудок октября из комплектов американских деталей собрали первые Форд ГАЗ-АА (2344,17).</w:t>
      </w:r>
    </w:p>
    <w:p w14:paraId="0462AC1A" w14:textId="77777777" w:rsidR="00537E5F" w:rsidRPr="00507A31" w:rsidRDefault="00537E5F" w:rsidP="00507A31">
      <w:pPr>
        <w:autoSpaceDE w:val="0"/>
        <w:autoSpaceDN w:val="0"/>
        <w:adjustRightInd w:val="0"/>
        <w:jc w:val="both"/>
        <w:rPr>
          <w:color w:val="000000" w:themeColor="text1"/>
          <w:sz w:val="16"/>
          <w:szCs w:val="16"/>
        </w:rPr>
      </w:pPr>
    </w:p>
    <w:p w14:paraId="587105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 г. первый советский грузовой Форд, на базе которого была впоследствии построена знаменитая полуторка, вышел из заводских ворот. Первое “фордовское” предприятие в СССР — Автосборочный завод № 1 — был сооружен в Канавине, у окраины Нижнего Новгорода, за счет переоборудования одного старого предприятия. На это ушло полгода. Этот завод, ставший предшественником знаменитого автогиганта, монтировал машины из импортных деталей и должен был выпускать по 12 000 автомобилей в год.</w:t>
      </w:r>
    </w:p>
    <w:p w14:paraId="02DB0E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Большой завод полного цикла, рассчитанный уже не на 100 000, а на 140 000 машин, заложили в мае 1931 г. под Нижним Новгородом, у деревни Монастырка, и он начал давать продукцию в январе 1932 г. За образец был взят фордовский завод в Канаде с годовой производительностью в 110 000 машин. Нижегородский завод проектировал упоминавшийся уже Альберт Кан; техническое руководство строительством осуществляла американская компания Остин, а само строительство — трест Металлострой. Крупнее этого советского завода были только американские.</w:t>
      </w:r>
    </w:p>
    <w:p w14:paraId="28D485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Организация и качество впервые проводившихся в СССР столь масштабных работ не дотягивали до американского уровня. Велика была доля ручного труда, нерационального использования ресурсов, показухи и бюрократизма. Заокеанские специалисты не могли действовать столь же эффективно, как в своей стране: они столкнулись с реалиями другой страны, другой экономики, другой культуры. Довольно производительно трудились, впрочем, работавшие в Америке до революции российские эмигранты, которые захотели вернуться на родину.</w:t>
      </w:r>
    </w:p>
    <w:p w14:paraId="7C0C99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Особенно трудно было научить людей, привыкших к поштучной работе, работать на конвейере или на скоростных станках. Специалист по производству тракторов П.Макгрегор с возмущением докладывал руководству Путиловского завода, что “вся система работ настолько плоха, что процесс невозможно ускорить”. Например, на изготовление рабочего чертежа здесь требовались недели, а на американских заводах — меньше пяти минут.</w:t>
      </w:r>
    </w:p>
    <w:p w14:paraId="0A5F14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Другой менеджер компании Форда, побывавший на объектах в конце 1931 г., выявил серьезные недостатки в подготовке к пуску Нижегородского автозавода. В сборочном цеху завода АМО из-за привычки к поштучной работе одни операции делались быстро, другие медленно, и в результате сборка автомобиля выбивалась из графика. Качество отделки было “просто ужасным”, но, поскольку машины покупало государство, работники о качестве не беспокоились. Дальнейшие отношения с компанией Форда протекали на фоне тех трудностей, с которыми в начале 1930-х гг. столкнулись не только США, но и Советский Союз. Сокращение валютной выручки от внешней торговли в период Великой депрессии стало причиной невыполнения советской стороной своих обязательств по закупкам фордовских авточастей. </w:t>
      </w:r>
    </w:p>
    <w:p w14:paraId="7C94B3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Вместо 72 000 комплектов к 1932/33 финансовому году их было закуплено вдвое меньше (11506).</w:t>
      </w:r>
    </w:p>
    <w:p w14:paraId="6FC16EB8" w14:textId="77777777" w:rsidR="00537E5F" w:rsidRPr="00507A31" w:rsidRDefault="00537E5F" w:rsidP="00507A31">
      <w:pPr>
        <w:autoSpaceDE w:val="0"/>
        <w:autoSpaceDN w:val="0"/>
        <w:adjustRightInd w:val="0"/>
        <w:jc w:val="both"/>
        <w:rPr>
          <w:color w:val="000000" w:themeColor="text1"/>
          <w:sz w:val="16"/>
          <w:szCs w:val="16"/>
        </w:rPr>
      </w:pPr>
    </w:p>
    <w:p w14:paraId="6AC1873F" w14:textId="77777777" w:rsidR="00EA78E2" w:rsidRPr="00507A31" w:rsidRDefault="00EA78E2" w:rsidP="00507A31">
      <w:pPr>
        <w:widowControl w:val="0"/>
        <w:jc w:val="both"/>
        <w:rPr>
          <w:color w:val="000000" w:themeColor="text1"/>
          <w:sz w:val="16"/>
          <w:szCs w:val="16"/>
        </w:rPr>
      </w:pPr>
      <w:r w:rsidRPr="00507A31">
        <w:rPr>
          <w:color w:val="000000" w:themeColor="text1"/>
          <w:sz w:val="16"/>
          <w:szCs w:val="16"/>
        </w:rPr>
        <w:t xml:space="preserve">1 февраля </w:t>
      </w:r>
      <w:smartTag w:uri="urn:schemas-microsoft-com:office:smarttags" w:element="metricconverter">
        <w:smartTagPr>
          <w:attr w:name="ProductID" w:val="1930 г"/>
        </w:smartTagPr>
        <w:r w:rsidRPr="00507A31">
          <w:rPr>
            <w:color w:val="000000" w:themeColor="text1"/>
            <w:sz w:val="16"/>
            <w:szCs w:val="16"/>
          </w:rPr>
          <w:t>1930 г</w:t>
        </w:r>
      </w:smartTag>
      <w:r w:rsidRPr="00507A31">
        <w:rPr>
          <w:color w:val="000000" w:themeColor="text1"/>
          <w:sz w:val="16"/>
          <w:szCs w:val="16"/>
        </w:rPr>
        <w:t>. на автосборочный прибыли представители краевых организаций и делегации рабочих от нижегородских предприятий. На митинге, посвященном выпуску первых грузовиков, выступили члены бюро крайкома партии. Поперек конвейера перед фарами первых собранных автомобилей протянулась алая лента с лозунгом: «На социалистических колесах вперед по пути к социализму!». Под звуки заводского гудка, гром оркестра и радостные крики «Ура!» шофер первой машины плавно спускает ее с конвейера и выводит на заводской двор, за ней сходят еще девять машин. Рабочие обступили их, гладили кабины, разглядывали машины как диковинки. Лучшие производственники на новых грузовиках поехали к заводам «Двигатель революции», «Красная Этна» и фабрике «Красный Октябрь», на Сормовский завод и к другим предприятиям. С огромным интересом всюду рассматривали первые нижегородские автомобили (15218).</w:t>
      </w:r>
    </w:p>
    <w:p w14:paraId="1D6E6636" w14:textId="77777777" w:rsidR="00EA78E2" w:rsidRPr="00507A31" w:rsidRDefault="00EA78E2" w:rsidP="00507A31">
      <w:pPr>
        <w:widowControl w:val="0"/>
        <w:jc w:val="both"/>
        <w:rPr>
          <w:color w:val="000000" w:themeColor="text1"/>
          <w:sz w:val="16"/>
          <w:szCs w:val="16"/>
        </w:rPr>
      </w:pPr>
    </w:p>
    <w:p w14:paraId="2F53F5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 года на заводе "Гудок Октября" в десяти километрах от Нижнего, в Канавине, установили сборочный конвейер в автосборочном цехе смонтировали первые 10 грузовиков "Форд-АА", а в конце 1931 года наладили выпуск трехосок "Форд-Тимкен" (9648).</w:t>
      </w:r>
    </w:p>
    <w:p w14:paraId="43092DDC" w14:textId="77777777" w:rsidR="00537E5F" w:rsidRPr="00507A31" w:rsidRDefault="00537E5F" w:rsidP="00507A31">
      <w:pPr>
        <w:autoSpaceDE w:val="0"/>
        <w:autoSpaceDN w:val="0"/>
        <w:adjustRightInd w:val="0"/>
        <w:jc w:val="both"/>
        <w:rPr>
          <w:color w:val="000000" w:themeColor="text1"/>
          <w:sz w:val="16"/>
          <w:szCs w:val="16"/>
        </w:rPr>
      </w:pPr>
    </w:p>
    <w:p w14:paraId="523124D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25F36BB" w14:textId="77777777" w:rsidR="00537E5F" w:rsidRPr="00507A31" w:rsidRDefault="00537E5F" w:rsidP="00507A31">
      <w:pPr>
        <w:autoSpaceDE w:val="0"/>
        <w:autoSpaceDN w:val="0"/>
        <w:adjustRightInd w:val="0"/>
        <w:jc w:val="both"/>
        <w:rPr>
          <w:iCs/>
          <w:color w:val="000000" w:themeColor="text1"/>
          <w:sz w:val="16"/>
          <w:szCs w:val="16"/>
        </w:rPr>
      </w:pPr>
    </w:p>
    <w:p w14:paraId="59C369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 в СССР началась массовая коллективизация (3263,62).</w:t>
      </w:r>
    </w:p>
    <w:p w14:paraId="38B7A964" w14:textId="77777777" w:rsidR="00537E5F" w:rsidRPr="00507A31" w:rsidRDefault="00537E5F" w:rsidP="00507A31">
      <w:pPr>
        <w:autoSpaceDE w:val="0"/>
        <w:autoSpaceDN w:val="0"/>
        <w:adjustRightInd w:val="0"/>
        <w:jc w:val="both"/>
        <w:rPr>
          <w:color w:val="000000" w:themeColor="text1"/>
          <w:sz w:val="16"/>
          <w:szCs w:val="16"/>
        </w:rPr>
      </w:pPr>
    </w:p>
    <w:p w14:paraId="78EA36B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февраля 1930 в СССР объявлено начало массовой коллективизации (4962).</w:t>
      </w:r>
    </w:p>
    <w:p w14:paraId="4C4319E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54659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февраля 1930 вышли постановления ЦИК и СНК "О мероприятиях по укреплению социалистического переустройства сельского хозяйства в районах сплошной коллективизации и по борьбе с кулачеством" и "О воспрещении самовольного переселения кулацких хозяйств и распродажи ими имущества". Эти решения отменяли </w:t>
      </w:r>
      <w:r w:rsidRPr="00507A31">
        <w:rPr>
          <w:color w:val="000000" w:themeColor="text1"/>
          <w:sz w:val="16"/>
          <w:szCs w:val="16"/>
        </w:rPr>
        <w:lastRenderedPageBreak/>
        <w:t>в районах сплошной коллективизации действие законов об аренде земли и применении наёмного труда. За самовольное переселение кулацких хозяйств и распродажу ими своего имущества предусматривались жёсткие репрессивные меры (9492).</w:t>
      </w:r>
    </w:p>
    <w:p w14:paraId="36D75F59" w14:textId="77777777" w:rsidR="00537E5F" w:rsidRPr="00507A31" w:rsidRDefault="00537E5F" w:rsidP="00507A31">
      <w:pPr>
        <w:autoSpaceDE w:val="0"/>
        <w:autoSpaceDN w:val="0"/>
        <w:adjustRightInd w:val="0"/>
        <w:jc w:val="both"/>
        <w:rPr>
          <w:color w:val="000000" w:themeColor="text1"/>
          <w:sz w:val="16"/>
          <w:szCs w:val="16"/>
        </w:rPr>
      </w:pPr>
    </w:p>
    <w:p w14:paraId="7F71B0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 вышло Постановление ЦИК и СНК "О мероприятиях по укреплению социалистического переустройства сельского хозяйства в районах сплошной коллективизации и по борьбе с кулачеством". Органам Советской власти на местах предоставлено право применять против кулаков все необходимые меры - отбирать землю, конфисковывать имущество и выселять за пределы районов и областей. Раскулачиваемые делились на три категории. К первой относился "контрреволюционный актив" - участники антисоветских и антиколхозных выступлений. Они сами подлежали аресту, а их семьи - выселению в отдаленные районы страны. Ко второй"крупные кулаки и бывшие полупомещики, активно выступавшие против коллективизации". Их выселяли вместе с семьями в отдаленные районы. К третьей - "остальная часть кулаков". Она подлежала расселению специальными поселками в пределах районов прежнего своего проживания. На 1 февраля в стране коллективизировано 32, 5% крестьянских хозяйств (10687).</w:t>
      </w:r>
    </w:p>
    <w:p w14:paraId="479D3489" w14:textId="77777777" w:rsidR="00537E5F" w:rsidRPr="00507A31" w:rsidRDefault="00537E5F" w:rsidP="00507A31">
      <w:pPr>
        <w:autoSpaceDE w:val="0"/>
        <w:autoSpaceDN w:val="0"/>
        <w:adjustRightInd w:val="0"/>
        <w:jc w:val="both"/>
        <w:rPr>
          <w:color w:val="000000" w:themeColor="text1"/>
          <w:sz w:val="16"/>
          <w:szCs w:val="16"/>
        </w:rPr>
      </w:pPr>
    </w:p>
    <w:p w14:paraId="74F54DB3" w14:textId="77777777" w:rsidR="00A51B66" w:rsidRPr="00507A31" w:rsidRDefault="00A51B66" w:rsidP="00507A31">
      <w:pPr>
        <w:jc w:val="both"/>
        <w:rPr>
          <w:color w:val="000000" w:themeColor="text1"/>
          <w:sz w:val="16"/>
          <w:szCs w:val="16"/>
        </w:rPr>
      </w:pPr>
      <w:r w:rsidRPr="00507A31">
        <w:rPr>
          <w:color w:val="000000" w:themeColor="text1"/>
          <w:sz w:val="16"/>
          <w:szCs w:val="16"/>
        </w:rPr>
        <w:t>1 февраля 1930 вышло Постановления ЦК, ЦИК и СНК о борьбе с кулаками. За 10 лет 240 тыс. семей кулаков, не вступивших в колхозы, были высланы. Куда? В Сибирь. А что они там делали? Вступали в колхозы. А если не вступали, то куда их высылали? (12629).</w:t>
      </w:r>
    </w:p>
    <w:p w14:paraId="01B2B561" w14:textId="77777777" w:rsidR="00A51B66" w:rsidRPr="00507A31" w:rsidRDefault="00A51B66" w:rsidP="00507A31">
      <w:pPr>
        <w:autoSpaceDE w:val="0"/>
        <w:autoSpaceDN w:val="0"/>
        <w:adjustRightInd w:val="0"/>
        <w:jc w:val="both"/>
        <w:rPr>
          <w:iCs/>
          <w:color w:val="000000" w:themeColor="text1"/>
          <w:sz w:val="16"/>
          <w:szCs w:val="16"/>
        </w:rPr>
      </w:pPr>
    </w:p>
    <w:p w14:paraId="3FE50CB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51250D4A" w14:textId="77777777" w:rsidR="00537E5F" w:rsidRPr="00507A31" w:rsidRDefault="00537E5F" w:rsidP="00507A31">
      <w:pPr>
        <w:autoSpaceDE w:val="0"/>
        <w:autoSpaceDN w:val="0"/>
        <w:adjustRightInd w:val="0"/>
        <w:jc w:val="both"/>
        <w:rPr>
          <w:iCs/>
          <w:color w:val="000000" w:themeColor="text1"/>
          <w:sz w:val="16"/>
          <w:szCs w:val="16"/>
        </w:rPr>
      </w:pPr>
    </w:p>
    <w:p w14:paraId="157BAD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1 и 6 февраля 1930. Из протокола заседания Политбюро N 116, особая папка, 1930 г.</w:t>
      </w:r>
    </w:p>
    <w:p w14:paraId="44C349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 Иностранном отделе ОГПУ</w:t>
      </w:r>
    </w:p>
    <w:p w14:paraId="12D550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Утвердить предложения комиссии Политбюро: </w:t>
      </w:r>
    </w:p>
    <w:p w14:paraId="1C77AE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I. Районы разведывательной работы ИНО ОГПУ. </w:t>
      </w:r>
    </w:p>
    <w:p w14:paraId="367FE4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Исходя из необходимости концентрации всех наших разведывательных сил и средств на определенных главных территориальных участках, основными районами разведывательной деятельности ИНО ОГПУ определить: </w:t>
      </w:r>
    </w:p>
    <w:p w14:paraId="6365CB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Англию, </w:t>
      </w:r>
    </w:p>
    <w:p w14:paraId="5335B3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Францию, </w:t>
      </w:r>
    </w:p>
    <w:p w14:paraId="4E33FD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Германию (Центр), </w:t>
      </w:r>
    </w:p>
    <w:p w14:paraId="3B912D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Польшу, </w:t>
      </w:r>
    </w:p>
    <w:p w14:paraId="4B7A61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Румынию, </w:t>
      </w:r>
    </w:p>
    <w:p w14:paraId="30EFF0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Японию, </w:t>
      </w:r>
    </w:p>
    <w:p w14:paraId="7FD89B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7. Лимитрофы (Литва, Латвия, Эстония, Финляндия). </w:t>
      </w:r>
    </w:p>
    <w:p w14:paraId="33E1D8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II. Задачи, стоящие перед ИНО ОГПУ: </w:t>
      </w:r>
    </w:p>
    <w:p w14:paraId="7A4792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Освещение и проникновение в центры вредительской эмиграции, независимо от места их нахождения. </w:t>
      </w:r>
    </w:p>
    <w:p w14:paraId="26DE84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Выявление террористических организаций во всех местах их концентрации. </w:t>
      </w:r>
    </w:p>
    <w:p w14:paraId="419B2E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Проникновение в интервенционистские планы и выяснение сроков выполнения этих планов, подготовляемых руководящими кругами Англии, Германии, Франции, Польши, Румынии и Японии. </w:t>
      </w:r>
    </w:p>
    <w:p w14:paraId="795020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Освещение и выявление планов финансово-экономической блокады в руководящих кругах упомянутых стран. </w:t>
      </w:r>
    </w:p>
    <w:p w14:paraId="12053E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Добыча документов секретных военно-политических соглашений и договоров между указанными странами. </w:t>
      </w:r>
    </w:p>
    <w:p w14:paraId="6E4896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Борьба с иностранным шпионажем в наших организациях. </w:t>
      </w:r>
    </w:p>
    <w:p w14:paraId="71D1B2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7. Организация уничтожения предателей, перебежчиков и главарей белогвардейских террористических организаций. </w:t>
      </w:r>
    </w:p>
    <w:p w14:paraId="14B5B9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8. Добыча для нашей промышленности изобретений, технико-производственных чертежей и секретов, не могущих быть добытыми обычным путем, и </w:t>
      </w:r>
    </w:p>
    <w:p w14:paraId="1A96E0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9. Наблюдение за советскими учреждениями за границей и выявление скрытых предателей. </w:t>
      </w:r>
    </w:p>
    <w:p w14:paraId="2931D1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III. Кадры и средства. </w:t>
      </w:r>
    </w:p>
    <w:p w14:paraId="775119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Дать ОГПУ для иноработы пять ответственнейших партийцев, которые могли бы быть брошены в качестве организаторов и политических руководителей в основные пункты закордонной работы ИНО. Подбор этих товарищей осуществить по заявкам ОГПУ. </w:t>
      </w:r>
    </w:p>
    <w:p w14:paraId="7D424C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В течение года дать ОГПУ для иноработы не менее пятидесяти особо проверенных и стойких партийцев с тем, чтобы они по специально разработанному ОГПУ плану прошли теоретическую и практическую предварительную подготовку. </w:t>
      </w:r>
    </w:p>
    <w:p w14:paraId="738DB4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Признать принципиально необходимым перевод работы органов ИНО из сов. учреждений на нелегальное положение, осуществить постепенно в течение года. </w:t>
      </w:r>
    </w:p>
    <w:p w14:paraId="1E5A35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Орграспреду ЦК, совместно с ОГПУ, разработать порядок включения работников ИНО в заграничные советские учреждения для обслуживания этих же учреждений с обеспечением конспиративности этого включения. </w:t>
      </w:r>
    </w:p>
    <w:p w14:paraId="05C0A7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IV. Для выполнения поставленных перед ОГПУ задач увеличить денежные средства для иноработы до 300 тыс. рублей золотом (11652).</w:t>
      </w:r>
    </w:p>
    <w:p w14:paraId="4ADE6BB1" w14:textId="77777777" w:rsidR="00537E5F" w:rsidRPr="00507A31" w:rsidRDefault="00537E5F" w:rsidP="00507A31">
      <w:pPr>
        <w:autoSpaceDE w:val="0"/>
        <w:autoSpaceDN w:val="0"/>
        <w:adjustRightInd w:val="0"/>
        <w:jc w:val="both"/>
        <w:rPr>
          <w:color w:val="000000" w:themeColor="text1"/>
          <w:sz w:val="16"/>
          <w:szCs w:val="16"/>
        </w:rPr>
      </w:pPr>
    </w:p>
    <w:p w14:paraId="51D64CC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54C4237" w14:textId="77777777" w:rsidR="00537E5F" w:rsidRPr="00507A31" w:rsidRDefault="00537E5F" w:rsidP="00507A31">
      <w:pPr>
        <w:autoSpaceDE w:val="0"/>
        <w:autoSpaceDN w:val="0"/>
        <w:adjustRightInd w:val="0"/>
        <w:jc w:val="both"/>
        <w:rPr>
          <w:iCs/>
          <w:color w:val="000000" w:themeColor="text1"/>
          <w:sz w:val="16"/>
          <w:szCs w:val="16"/>
        </w:rPr>
      </w:pPr>
    </w:p>
    <w:p w14:paraId="7994FC3D" w14:textId="77777777" w:rsidR="00EA78E2" w:rsidRPr="00507A31" w:rsidRDefault="00EA78E2" w:rsidP="00507A31">
      <w:pPr>
        <w:jc w:val="both"/>
        <w:rPr>
          <w:rStyle w:val="ucoz-forum-post"/>
          <w:rFonts w:eastAsiaTheme="majorEastAsia"/>
          <w:color w:val="000000" w:themeColor="text1"/>
          <w:sz w:val="16"/>
          <w:szCs w:val="16"/>
        </w:rPr>
      </w:pPr>
      <w:r w:rsidRPr="00507A31">
        <w:rPr>
          <w:bCs/>
          <w:color w:val="000000" w:themeColor="text1"/>
          <w:sz w:val="16"/>
          <w:szCs w:val="16"/>
        </w:rPr>
        <w:t>1 февраля</w:t>
      </w:r>
      <w:r w:rsidRPr="00507A31">
        <w:rPr>
          <w:color w:val="000000" w:themeColor="text1"/>
          <w:sz w:val="16"/>
          <w:szCs w:val="16"/>
        </w:rPr>
        <w:t xml:space="preserve"> в 1930 году </w:t>
      </w:r>
      <w:r w:rsidRPr="00507A31">
        <w:rPr>
          <w:color w:val="000000" w:themeColor="text1"/>
          <w:sz w:val="16"/>
          <w:szCs w:val="16"/>
          <w:lang w:val="en-US"/>
        </w:rPr>
        <w:t>c</w:t>
      </w:r>
      <w:r w:rsidRPr="00507A31">
        <w:rPr>
          <w:rStyle w:val="ucoz-forum-post"/>
          <w:rFonts w:eastAsiaTheme="majorEastAsia"/>
          <w:color w:val="000000" w:themeColor="text1"/>
          <w:sz w:val="16"/>
          <w:szCs w:val="16"/>
        </w:rPr>
        <w:t>остоялся первый полет бомбардировщика-разведчика SPCA 30 (15027).</w:t>
      </w:r>
    </w:p>
    <w:p w14:paraId="639D9C34" w14:textId="77777777" w:rsidR="00EA78E2" w:rsidRPr="00507A31" w:rsidRDefault="00EA78E2" w:rsidP="00507A31">
      <w:pPr>
        <w:jc w:val="both"/>
        <w:rPr>
          <w:rStyle w:val="ucoz-forum-post"/>
          <w:rFonts w:eastAsiaTheme="majorEastAsia"/>
          <w:color w:val="000000" w:themeColor="text1"/>
          <w:sz w:val="16"/>
          <w:szCs w:val="16"/>
        </w:rPr>
      </w:pPr>
    </w:p>
    <w:p w14:paraId="307E74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 Таймс опубликовала первый кроссворд (3481).</w:t>
      </w:r>
    </w:p>
    <w:p w14:paraId="7E442A0B" w14:textId="77777777" w:rsidR="00537E5F" w:rsidRPr="00507A31" w:rsidRDefault="00537E5F" w:rsidP="00507A31">
      <w:pPr>
        <w:autoSpaceDE w:val="0"/>
        <w:autoSpaceDN w:val="0"/>
        <w:adjustRightInd w:val="0"/>
        <w:jc w:val="both"/>
        <w:rPr>
          <w:color w:val="000000" w:themeColor="text1"/>
          <w:sz w:val="16"/>
          <w:szCs w:val="16"/>
        </w:rPr>
      </w:pPr>
    </w:p>
    <w:p w14:paraId="180DE2A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февраля 1930 бомба обнаружена в здании Британского Музея в Лондоне (4962).</w:t>
      </w:r>
    </w:p>
    <w:p w14:paraId="67BD07D8"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9E2C7E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C1AD77B" w14:textId="77777777" w:rsidR="00537E5F" w:rsidRPr="00507A31" w:rsidRDefault="00537E5F" w:rsidP="00507A31">
      <w:pPr>
        <w:autoSpaceDE w:val="0"/>
        <w:autoSpaceDN w:val="0"/>
        <w:adjustRightInd w:val="0"/>
        <w:jc w:val="both"/>
        <w:rPr>
          <w:iCs/>
          <w:color w:val="000000" w:themeColor="text1"/>
          <w:sz w:val="16"/>
          <w:szCs w:val="16"/>
        </w:rPr>
      </w:pPr>
    </w:p>
    <w:p w14:paraId="5CC974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состоянию на 2 февраля 1930 представители советской военной промышленности заключили договора с многими немецкими фирмами, в т.ч. Фольмара (проект танка на гусеничном и колесном ходу), Отто Шмицом (проект батальонной пушки), Вальтер (технология нарезки стволов и воронения стали), Гирш Купферверке (проект завода плакировочных металлов), БМВ (авиамоторы), Паулин (азотная кислота). Во Франции договорились с Гном Рон (мотор Юпитер), Стик Обур (искусственный щелк), Петролифер (активированный уголь), Люмьер (кинофотопленка на пороховых заводах), в Италии Сентилла (магнето для авто и авиамоторов) (1566,76).</w:t>
      </w:r>
    </w:p>
    <w:p w14:paraId="377CE0AA" w14:textId="77777777" w:rsidR="00537E5F" w:rsidRPr="00507A31" w:rsidRDefault="00537E5F" w:rsidP="00507A31">
      <w:pPr>
        <w:autoSpaceDE w:val="0"/>
        <w:autoSpaceDN w:val="0"/>
        <w:adjustRightInd w:val="0"/>
        <w:jc w:val="both"/>
        <w:rPr>
          <w:color w:val="000000" w:themeColor="text1"/>
          <w:sz w:val="16"/>
          <w:szCs w:val="16"/>
        </w:rPr>
      </w:pPr>
    </w:p>
    <w:p w14:paraId="4CC39C7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7558E38" w14:textId="77777777" w:rsidR="00537E5F" w:rsidRPr="00507A31" w:rsidRDefault="00537E5F" w:rsidP="00507A31">
      <w:pPr>
        <w:autoSpaceDE w:val="0"/>
        <w:autoSpaceDN w:val="0"/>
        <w:adjustRightInd w:val="0"/>
        <w:jc w:val="both"/>
        <w:rPr>
          <w:iCs/>
          <w:color w:val="000000" w:themeColor="text1"/>
          <w:sz w:val="16"/>
          <w:szCs w:val="16"/>
        </w:rPr>
      </w:pPr>
    </w:p>
    <w:p w14:paraId="783DB4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февраля 1930-го на основании решения Политбюро был издан приказ ОГПУ № 44/21 "О проведении ликвидации кулачества как класса". По этому приказу в сельской местности были проведены массовые аресты "контрреволюционного актива": сотни тысяч крестьянских семей были лишены своего имущества и выселены в отдаленные районы. Для руководства всей этой операцией приказом ОГПУ № 47/22 от 3 февраля в Центральном аппарате ОГПУ была создана оперативная группа. В нее вошли: от КРО - С.В.Пузицкий (начальник опергруппы) и Н.Г.Николаев-Журид (общее руководство и специальные оперативные вопросы), от ГУПО и войск ОГПУ - Н.К.Кручинкин (по военным вопросам), от ТО - В.А.Кишкин (по вопросам транспорта), от СО - Я.М.Генкин (по проведению операции), от ИНФО - М.А.Герасимова (по Московской области). Вся работа оперативной группы велась под непосредственным руководством начальника СОУ Е.Г.Евдокимова и его помощника Я.К.Ольского (7557).</w:t>
      </w:r>
    </w:p>
    <w:p w14:paraId="724D76EE" w14:textId="77777777" w:rsidR="00537E5F" w:rsidRPr="00507A31" w:rsidRDefault="00537E5F" w:rsidP="00507A31">
      <w:pPr>
        <w:autoSpaceDE w:val="0"/>
        <w:autoSpaceDN w:val="0"/>
        <w:adjustRightInd w:val="0"/>
        <w:jc w:val="both"/>
        <w:rPr>
          <w:color w:val="000000" w:themeColor="text1"/>
          <w:sz w:val="16"/>
          <w:szCs w:val="16"/>
        </w:rPr>
      </w:pPr>
    </w:p>
    <w:p w14:paraId="20D888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февраля 1930 вышел приказ ОГПУ и 4 февраля 1930 секретная инструкция ЦИК и СНК. В этих документах предписывалось в районах сплошной коллективизации конфисковывать у кулаков средства производства, скот, хозяйственные и жилые постройки, производственные и торговые предприятия, продовольственные, кормовые и семенные запасы, наличные деньги и "излишки домашнего имущества". В этом и заключалось собственно раскулачивание, которому планировалось подвергнуть в среднем 3-5 % крестьянских хозяйств. Кулаки, подлежавшие более суровым репрессиям, разделялись на три категории. К первой категории был отнесён "контрреволюционный кулацкий актив", особенно кадры действующих повстанческих организаций, которые подлежали заключению в концлагеря или расстрелу по приговору "троек". "Изъятие первой категории", которое предполагалось закончить к началу развертывания кампании по выселению кулаков, должно было распространиться на 50-60 тыс. чел. Семьи лиц, заключённых в лагеря или приговорённых к высшей мере наказания, должны были выселяться в отдалённые районы страны вместе с семьями "второй категории", к которой были отнесены "крупные кулаки и бывшие полупомещики, активно выступающие против коллективизации", "местные кулацкие авторитеты и весь кулацкий кадр, из которого формируется контрреволюционный актив". Только из Украины, Белоруссии, Казахстана, Сибири, </w:t>
      </w:r>
      <w:r w:rsidRPr="00507A31">
        <w:rPr>
          <w:color w:val="000000" w:themeColor="text1"/>
          <w:sz w:val="16"/>
          <w:szCs w:val="16"/>
        </w:rPr>
        <w:lastRenderedPageBreak/>
        <w:t>Урала, Северного Кавказа, Средневолжского и Нижневолжского краёв, Центрально-Черноземной области планировалось выслать 210 тысяч семей. Остальных кулаков предполагалось выселять в отводимые за пределами колхозных хозяйств поселки в районах, где они проживали (9492).</w:t>
      </w:r>
    </w:p>
    <w:p w14:paraId="2DFFB382" w14:textId="77777777" w:rsidR="00537E5F" w:rsidRPr="00507A31" w:rsidRDefault="00537E5F" w:rsidP="00507A31">
      <w:pPr>
        <w:autoSpaceDE w:val="0"/>
        <w:autoSpaceDN w:val="0"/>
        <w:adjustRightInd w:val="0"/>
        <w:jc w:val="both"/>
        <w:rPr>
          <w:color w:val="000000" w:themeColor="text1"/>
          <w:sz w:val="16"/>
          <w:szCs w:val="16"/>
        </w:rPr>
      </w:pPr>
    </w:p>
    <w:p w14:paraId="45963C39" w14:textId="77777777" w:rsidR="00885AF8"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F9120D0" w14:textId="77777777" w:rsidR="00885AF8" w:rsidRPr="00507A31" w:rsidRDefault="00885AF8" w:rsidP="00507A31">
      <w:pPr>
        <w:autoSpaceDE w:val="0"/>
        <w:autoSpaceDN w:val="0"/>
        <w:adjustRightInd w:val="0"/>
        <w:jc w:val="both"/>
        <w:rPr>
          <w:iCs/>
          <w:color w:val="000000" w:themeColor="text1"/>
          <w:sz w:val="16"/>
          <w:szCs w:val="16"/>
        </w:rPr>
      </w:pPr>
    </w:p>
    <w:p w14:paraId="6DA497B0" w14:textId="77777777" w:rsidR="00885AF8" w:rsidRPr="00507A31" w:rsidRDefault="00885AF8" w:rsidP="00507A31">
      <w:pPr>
        <w:autoSpaceDE w:val="0"/>
        <w:autoSpaceDN w:val="0"/>
        <w:adjustRightInd w:val="0"/>
        <w:jc w:val="both"/>
        <w:rPr>
          <w:color w:val="000000" w:themeColor="text1"/>
          <w:sz w:val="16"/>
          <w:szCs w:val="16"/>
        </w:rPr>
      </w:pPr>
      <w:r w:rsidRPr="00507A31">
        <w:rPr>
          <w:bCs/>
          <w:color w:val="000000" w:themeColor="text1"/>
          <w:sz w:val="16"/>
          <w:szCs w:val="16"/>
        </w:rPr>
        <w:t xml:space="preserve">2 февраля 1930 г. Пий ХI обратился к кардиналу Базилио Помпильи с письмом, где говорилось, что он потрясен «ужасными и святотатственными злодеяниями против бога и души», которые будто бы происходят в России. Папа напомнил, что в меморандуме, врученном участникам Генуэзской конференции, он предлагал оказать давление на Советскую Россию, чтобы навязать ей ряд условий, но, «к несчастью», державы его не послушали и вступили с СССР в нормальные дипломатические отношения. Папа напомнил также, что он давно борется с Советской Россией, с первых же дней своего вступления на папский престол. На </w:t>
      </w:r>
      <w:r w:rsidRPr="00507A31">
        <w:rPr>
          <w:color w:val="000000" w:themeColor="text1"/>
          <w:sz w:val="16"/>
          <w:szCs w:val="16"/>
        </w:rPr>
        <w:t>19 марта 1930 г.</w:t>
      </w:r>
      <w:r w:rsidRPr="00507A31">
        <w:rPr>
          <w:bCs/>
          <w:color w:val="000000" w:themeColor="text1"/>
          <w:sz w:val="16"/>
          <w:szCs w:val="16"/>
        </w:rPr>
        <w:t xml:space="preserve"> он назначил специальные антисоветские молебствия. Призыв к «крестовому походу» был повсюду подхвачен самыми реакционными элементами и облегчил дело империалистов, разжигавших антисоветскую войну. Несколько недель почти во всех странах мира реакционные элементы буржуазии и духовенства (часто при личном участии представителей Ватикана) вели разнузданную антисоветскую травлю.» (17325).</w:t>
      </w:r>
    </w:p>
    <w:p w14:paraId="5E5C29C1" w14:textId="77777777" w:rsidR="00885AF8" w:rsidRPr="00507A31" w:rsidRDefault="00885AF8" w:rsidP="00507A31">
      <w:pPr>
        <w:autoSpaceDE w:val="0"/>
        <w:autoSpaceDN w:val="0"/>
        <w:adjustRightInd w:val="0"/>
        <w:jc w:val="both"/>
        <w:rPr>
          <w:color w:val="000000" w:themeColor="text1"/>
          <w:sz w:val="16"/>
          <w:szCs w:val="16"/>
        </w:rPr>
      </w:pPr>
    </w:p>
    <w:p w14:paraId="10BAC3D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7F77960" w14:textId="77777777" w:rsidR="00537E5F" w:rsidRPr="00507A31" w:rsidRDefault="00537E5F" w:rsidP="00507A31">
      <w:pPr>
        <w:autoSpaceDE w:val="0"/>
        <w:autoSpaceDN w:val="0"/>
        <w:adjustRightInd w:val="0"/>
        <w:jc w:val="both"/>
        <w:rPr>
          <w:iCs/>
          <w:color w:val="000000" w:themeColor="text1"/>
          <w:sz w:val="16"/>
          <w:szCs w:val="16"/>
        </w:rPr>
      </w:pPr>
    </w:p>
    <w:p w14:paraId="1BF83E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февраля 1930 Директор ЦАГИ Чаплыгин писал письмо № 121/с Заводу № 39. Отдел вооружений.</w:t>
      </w:r>
    </w:p>
    <w:p w14:paraId="1D7535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 при сем препровождает схему установки пулеметов для проекгирования синхронизатооов для самолета И-5 Юп. УП (10757).</w:t>
      </w:r>
    </w:p>
    <w:p w14:paraId="34995A69" w14:textId="77777777" w:rsidR="00537E5F" w:rsidRPr="00507A31" w:rsidRDefault="00537E5F" w:rsidP="00507A31">
      <w:pPr>
        <w:autoSpaceDE w:val="0"/>
        <w:autoSpaceDN w:val="0"/>
        <w:adjustRightInd w:val="0"/>
        <w:jc w:val="both"/>
        <w:rPr>
          <w:color w:val="000000" w:themeColor="text1"/>
          <w:sz w:val="16"/>
          <w:szCs w:val="16"/>
        </w:rPr>
      </w:pPr>
    </w:p>
    <w:p w14:paraId="7A2E2DD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8A12D5A" w14:textId="77777777" w:rsidR="00537E5F" w:rsidRPr="00507A31" w:rsidRDefault="00537E5F" w:rsidP="00507A31">
      <w:pPr>
        <w:autoSpaceDE w:val="0"/>
        <w:autoSpaceDN w:val="0"/>
        <w:adjustRightInd w:val="0"/>
        <w:jc w:val="both"/>
        <w:rPr>
          <w:iCs/>
          <w:color w:val="000000" w:themeColor="text1"/>
          <w:sz w:val="16"/>
          <w:szCs w:val="16"/>
        </w:rPr>
      </w:pPr>
    </w:p>
    <w:p w14:paraId="3A55C1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февраля 1930 г. Госплан передан из подчинения СТО в СНК. Пост. ЦИК от 12.11.1923г. вся военная промышленность была передана в общесоюзное ведение - ВСНХ СССР. В соответствии с декретом о трестах от 10.04.1923г. приказом ВСНХ № 609 от 24.03.1924г. ГУВП преобразовано в Государственное объединение «ГУВП СССР» (Главвоенпром). 7.01.1925г. ГУВП было реорганизовано в ПО Военной промышленности Главвоенпром. В соответствии с пост. СТО № 121 от 28.01.1925г. и приказом ВСНХ № 415 от 10.02.1925г.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1927г. из ГУ Металлопромышленности выделился образованный в 01.1925г. Авиатрест (11 предприятий), в 06.1927г. образован Военно-Кислотный трест. С 1928г. координирующим органом Трестов стало созданное на базе ВПУ Главное военно-промышленное управление (ГВПУ) ВСНХ. В 1928г. предприятия «Промвоздуха» переподчинены Авиатресту. Для управления судостроительными заводами в 1929г. образованы Всесоюзные объединения морских судостроительных заводов «Союзверфь» и речных - «Речсоюзверфь» (11982).</w:t>
      </w:r>
    </w:p>
    <w:p w14:paraId="06FF0CA2" w14:textId="77777777" w:rsidR="00537E5F" w:rsidRPr="00507A31" w:rsidRDefault="00537E5F" w:rsidP="00507A31">
      <w:pPr>
        <w:autoSpaceDE w:val="0"/>
        <w:autoSpaceDN w:val="0"/>
        <w:adjustRightInd w:val="0"/>
        <w:jc w:val="both"/>
        <w:rPr>
          <w:color w:val="000000" w:themeColor="text1"/>
          <w:sz w:val="16"/>
          <w:szCs w:val="16"/>
        </w:rPr>
      </w:pPr>
    </w:p>
    <w:p w14:paraId="0194458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03CC328" w14:textId="77777777" w:rsidR="00537E5F" w:rsidRPr="00507A31" w:rsidRDefault="00537E5F" w:rsidP="00507A31">
      <w:pPr>
        <w:autoSpaceDE w:val="0"/>
        <w:autoSpaceDN w:val="0"/>
        <w:adjustRightInd w:val="0"/>
        <w:jc w:val="both"/>
        <w:rPr>
          <w:iCs/>
          <w:color w:val="000000" w:themeColor="text1"/>
          <w:sz w:val="16"/>
          <w:szCs w:val="16"/>
        </w:rPr>
      </w:pPr>
    </w:p>
    <w:p w14:paraId="2617B1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февраля 1930 В передовой статье "Правды", написанной по прямому указанию И. Сталина, заявлялось: "Последняя наметка коллективизации - 75 процентов бедняцко-середняцких хозяйств в течение 1930-1931 года - не является максимальной" (10687).</w:t>
      </w:r>
    </w:p>
    <w:p w14:paraId="75FA6952" w14:textId="77777777" w:rsidR="00537E5F" w:rsidRPr="00507A31" w:rsidRDefault="00537E5F" w:rsidP="00507A31">
      <w:pPr>
        <w:autoSpaceDE w:val="0"/>
        <w:autoSpaceDN w:val="0"/>
        <w:adjustRightInd w:val="0"/>
        <w:jc w:val="both"/>
        <w:rPr>
          <w:color w:val="000000" w:themeColor="text1"/>
          <w:sz w:val="16"/>
          <w:szCs w:val="16"/>
        </w:rPr>
      </w:pPr>
    </w:p>
    <w:p w14:paraId="22A75EC6" w14:textId="77777777" w:rsidR="00EA78E2" w:rsidRPr="00507A31" w:rsidRDefault="00EA78E2" w:rsidP="00507A31">
      <w:pPr>
        <w:jc w:val="both"/>
        <w:rPr>
          <w:color w:val="000000" w:themeColor="text1"/>
          <w:sz w:val="16"/>
          <w:szCs w:val="16"/>
        </w:rPr>
      </w:pPr>
      <w:r w:rsidRPr="00507A31">
        <w:rPr>
          <w:bCs/>
          <w:color w:val="000000" w:themeColor="text1"/>
          <w:sz w:val="16"/>
          <w:szCs w:val="16"/>
        </w:rPr>
        <w:t>3 февраля</w:t>
      </w:r>
      <w:r w:rsidRPr="00507A31">
        <w:rPr>
          <w:color w:val="000000" w:themeColor="text1"/>
          <w:sz w:val="16"/>
          <w:szCs w:val="16"/>
        </w:rPr>
        <w:t xml:space="preserve"> в 1930 году "Красная газета" сообщила о передаче в фонд цветного металла первых турецких пушек, снятых при демонтаже памятника Славы из Троицкого собора на Измайловском проспекте (15029).</w:t>
      </w:r>
    </w:p>
    <w:p w14:paraId="09EB840F" w14:textId="77777777" w:rsidR="00EA78E2" w:rsidRPr="00507A31" w:rsidRDefault="00EA78E2" w:rsidP="00507A31">
      <w:pPr>
        <w:jc w:val="both"/>
        <w:rPr>
          <w:color w:val="000000" w:themeColor="text1"/>
          <w:sz w:val="16"/>
          <w:szCs w:val="16"/>
        </w:rPr>
      </w:pPr>
    </w:p>
    <w:p w14:paraId="2B35FAC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0E2A17F" w14:textId="77777777" w:rsidR="00537E5F" w:rsidRPr="00507A31" w:rsidRDefault="00537E5F" w:rsidP="00507A31">
      <w:pPr>
        <w:autoSpaceDE w:val="0"/>
        <w:autoSpaceDN w:val="0"/>
        <w:adjustRightInd w:val="0"/>
        <w:jc w:val="both"/>
        <w:rPr>
          <w:iCs/>
          <w:color w:val="000000" w:themeColor="text1"/>
          <w:sz w:val="16"/>
          <w:szCs w:val="16"/>
        </w:rPr>
      </w:pPr>
    </w:p>
    <w:p w14:paraId="215A72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февраля 1930 была основана компартия Вьетнама (3481).</w:t>
      </w:r>
    </w:p>
    <w:p w14:paraId="25F9EBF7" w14:textId="77777777" w:rsidR="00537E5F" w:rsidRPr="00507A31" w:rsidRDefault="00537E5F" w:rsidP="00507A31">
      <w:pPr>
        <w:autoSpaceDE w:val="0"/>
        <w:autoSpaceDN w:val="0"/>
        <w:adjustRightInd w:val="0"/>
        <w:jc w:val="both"/>
        <w:rPr>
          <w:color w:val="000000" w:themeColor="text1"/>
          <w:sz w:val="16"/>
          <w:szCs w:val="16"/>
        </w:rPr>
      </w:pPr>
    </w:p>
    <w:p w14:paraId="7FDE21F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7CA0CA0" w14:textId="77777777" w:rsidR="00537E5F" w:rsidRPr="00507A31" w:rsidRDefault="00537E5F" w:rsidP="00507A31">
      <w:pPr>
        <w:autoSpaceDE w:val="0"/>
        <w:autoSpaceDN w:val="0"/>
        <w:adjustRightInd w:val="0"/>
        <w:jc w:val="both"/>
        <w:rPr>
          <w:iCs/>
          <w:color w:val="000000" w:themeColor="text1"/>
          <w:sz w:val="16"/>
          <w:szCs w:val="16"/>
        </w:rPr>
      </w:pPr>
    </w:p>
    <w:p w14:paraId="6D530E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февраля 1930 была выпущена директива РККА по оперативно-тактическим требованиям к сухопутным самолетам. Там было и по ТШ - бронированному (351).</w:t>
      </w:r>
    </w:p>
    <w:p w14:paraId="265C2258" w14:textId="77777777" w:rsidR="00537E5F" w:rsidRPr="00507A31" w:rsidRDefault="00537E5F" w:rsidP="00507A31">
      <w:pPr>
        <w:autoSpaceDE w:val="0"/>
        <w:autoSpaceDN w:val="0"/>
        <w:adjustRightInd w:val="0"/>
        <w:jc w:val="both"/>
        <w:rPr>
          <w:color w:val="000000" w:themeColor="text1"/>
          <w:sz w:val="16"/>
          <w:szCs w:val="16"/>
        </w:rPr>
      </w:pPr>
    </w:p>
    <w:p w14:paraId="379E41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февраля 1930 УВВС письмом N 406c за подписью Нач. ВВС Я.И.Алксниса направило Проект положения о расширении прав Начальника ВВС по наблюдению за опытным строительством ВВС и общие основания Положения об опытном строительстве по главнейшим отраслям строительства ВВС (самолеты, моторы, спец. службы, воздухоплавание). Приложение - на 20 л. (351).</w:t>
      </w:r>
    </w:p>
    <w:p w14:paraId="4D5488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 постановления РЗ СТО о расширении прав Начальника ВВС в деле контроля и наблюдения над опытным строительством ВВС</w:t>
      </w:r>
    </w:p>
    <w:p w14:paraId="3EFEC6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Общее положение об опытном строительстве материальной части ВВС</w:t>
      </w:r>
    </w:p>
    <w:p w14:paraId="4F1E4A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Инструкция о порядке прохождения и осуществления образцов опытных самолетов</w:t>
      </w:r>
    </w:p>
    <w:p w14:paraId="582FD0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Инструкция о порядке прохождения и осуществления моторов опытного строительства</w:t>
      </w:r>
    </w:p>
    <w:p w14:paraId="3D6E3D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Инструкция о порядке прохождения и осуществления опытных образцов предметов вооружения/оборудования и спец. служб ВВС</w:t>
      </w:r>
    </w:p>
    <w:p w14:paraId="494AB1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ПРОЕКТ ПОСТАНОВЛЕНИЯ РЗ СТО</w:t>
      </w:r>
    </w:p>
    <w:p w14:paraId="518DED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 расширении прав и ответственности Начальника ВВС РККА в деле контроля и наблюдения над опытным строительством во всех стадиях.</w:t>
      </w:r>
    </w:p>
    <w:p w14:paraId="4CCF74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целях урегулирования взаимоотношений между НКВМ /по УВВС/ и ВСНХ /по опытным учреждениям Воздушного флота/ и в целях усиления контроля со стороны НКВМ /Начальника ВВС РКАА/ за опытным строи</w:t>
      </w:r>
      <w:r w:rsidRPr="00507A31">
        <w:rPr>
          <w:color w:val="000000" w:themeColor="text1"/>
          <w:sz w:val="16"/>
          <w:szCs w:val="16"/>
        </w:rPr>
        <w:softHyphen/>
        <w:t>тельством воздушного флота, РЗ СТО постановляет:</w:t>
      </w:r>
    </w:p>
    <w:p w14:paraId="4DC7F1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smallCaps/>
          <w:color w:val="000000" w:themeColor="text1"/>
          <w:sz w:val="16"/>
          <w:szCs w:val="16"/>
        </w:rPr>
        <w:t>1. В</w:t>
      </w:r>
      <w:r w:rsidRPr="00507A31">
        <w:rPr>
          <w:color w:val="000000" w:themeColor="text1"/>
          <w:sz w:val="16"/>
          <w:szCs w:val="16"/>
        </w:rPr>
        <w:t>озложить целиком и полностью на НКВМ определение типов и конструкций опытных образцов, установление технических и тактических требованвй к опытным образцам, постановку заданий по строительству и контроль за распределением этих заданий между учреждениями и исполнителями.</w:t>
      </w:r>
    </w:p>
    <w:p w14:paraId="0A9690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Конструирование, постройку опытных образцов самолетов, мотрров и всех остальных предметов снабжения и вооружения Воздушного Флота производить на опытных заводах /учреждениях и заведениях/ ВСНХ только на основе договоров, заключаемых между НКВМ /его центральными Управлениями/ и ВСНХ /его опытными учреждениями и ваведеняшй/ на каждый тип конструкции отдельно.</w:t>
      </w:r>
    </w:p>
    <w:p w14:paraId="4D4419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Каждьгй такой договор должен предусмотреть:</w:t>
      </w:r>
    </w:p>
    <w:p w14:paraId="48A10D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окончательные тактические-и технические требования, прадъявляемые к опытному образцу;</w:t>
      </w:r>
    </w:p>
    <w:p w14:paraId="659855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сроки предъявления опытными учреждениями эскизного и предва</w:t>
      </w:r>
      <w:r w:rsidRPr="00507A31">
        <w:rPr>
          <w:color w:val="000000" w:themeColor="text1"/>
          <w:sz w:val="16"/>
          <w:szCs w:val="16"/>
        </w:rPr>
        <w:softHyphen/>
        <w:t>рительного проектов, макета и других материалов, и об"емы их;</w:t>
      </w:r>
    </w:p>
    <w:p w14:paraId="200BCA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сроки рассмотрения иутверждения научно-Техническими Комитетами НКВМ проектов, макета и всех .остальных материалов по данному опытному образцу;</w:t>
      </w:r>
    </w:p>
    <w:p w14:paraId="7F55FE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сроки сдачи в законченное виде опытных образцов для типовых /государственных/ испытаний;</w:t>
      </w:r>
    </w:p>
    <w:p w14:paraId="211EA0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материальную ответственность сторон за невыполнение обязательств, принятых на себя договором;</w:t>
      </w:r>
    </w:p>
    <w:p w14:paraId="2F0AB2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Установить для договоров по опытному строительству воздушного флота для обоих сторон, за каждый просроченный день против срока договора - пеню в размэре не менее 1% общей договорной суммы, причем оплата каждой такой пени производится с доклада и разрешения главы ведомства /Председателя ВСНХ, Председателя РВС/.</w:t>
      </w:r>
    </w:p>
    <w:p w14:paraId="488031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4.Обязать ВСНХ с 1931/32 года довести сроки конструирования и постройки опытных образцов самолетов, моторов и других предметов вооружения и снабжения Воздушного флота до заграничных. Потребовать, под строжайшей личной ответственностью руководителей опытных заводов и институтов выпуска новых конструкций, во первых, в сроки, обусловленные планоми договорами, а во вторых в совершенно законченном виде, т.е. без конструктивных и производственных дефектов, могущих мешать или задерживать испытание опытных образцов.</w:t>
      </w:r>
    </w:p>
    <w:p w14:paraId="78F6F2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5.Обязать ВСНХ в лице его опытных учреждений одноврееменно со сдачей опытных образцов для типовых /государственных/ испытаний преждъявлять заказчику /НКВМ/ расчеты конструкций, полный комплект конструктйвнмх схем и чертежей, индивидуальные технические требования и без без исключения остальные материалы, необходимы для изготовления рабочих чертежей и внедрения образца /типа/ в серийное производство.</w:t>
      </w:r>
    </w:p>
    <w:p w14:paraId="34BA84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Обязать НКВМ /по УВВС/ иметь своих ответственных представите</w:t>
      </w:r>
      <w:r w:rsidRPr="00507A31">
        <w:rPr>
          <w:color w:val="000000" w:themeColor="text1"/>
          <w:sz w:val="16"/>
          <w:szCs w:val="16"/>
        </w:rPr>
        <w:softHyphen/>
        <w:t xml:space="preserve">лей инженеров на всех опытных заводах /мастерских цехах/ и н научно-исслвдоватальских институтах, на которых возложить: а/ наблюдение и контроль за организацией, конструированием и постройкой опытных образцов Воздушного флота от начала </w:t>
      </w:r>
      <w:r w:rsidRPr="00507A31">
        <w:rPr>
          <w:color w:val="000000" w:themeColor="text1"/>
          <w:sz w:val="16"/>
          <w:szCs w:val="16"/>
        </w:rPr>
        <w:lastRenderedPageBreak/>
        <w:t>проектирования до окончания типовых /государственных/ испытаний этих образцов и б/ разрешение под свою ответственность всех вопросов технического порядка, возни</w:t>
      </w:r>
      <w:r w:rsidRPr="00507A31">
        <w:rPr>
          <w:color w:val="000000" w:themeColor="text1"/>
          <w:sz w:val="16"/>
          <w:szCs w:val="16"/>
        </w:rPr>
        <w:softHyphen/>
        <w:t>кающих в процессе конструирования и постройки опытного образца.</w:t>
      </w:r>
    </w:p>
    <w:p w14:paraId="726BF8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Обязать ВСНХ под личную ответственность руководителей опытных заводов, учреждений и заведений в наикратчайший срок впоспт.ь з опытные образцы конструктивные изменения и устранять дефекты , не</w:t>
      </w:r>
      <w:r w:rsidRPr="00507A31">
        <w:rPr>
          <w:color w:val="000000" w:themeColor="text1"/>
          <w:sz w:val="16"/>
          <w:szCs w:val="16"/>
        </w:rPr>
        <w:softHyphen/>
        <w:t>обходимость внесения и устранения коих выявлена и признана типовыми /государственными/ испытаниями.</w:t>
      </w:r>
    </w:p>
    <w:p w14:paraId="332817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возложить на ВСНХ /его Тресты, ведающие серййньшх производст</w:t>
      </w:r>
      <w:r w:rsidRPr="00507A31">
        <w:rPr>
          <w:color w:val="000000" w:themeColor="text1"/>
          <w:sz w:val="16"/>
          <w:szCs w:val="16"/>
        </w:rPr>
        <w:softHyphen/>
        <w:t>вом/ изготовление рабочих чертежей и ответственность за их соответствие во всем опытному образцу, при чем обязать промышленность приступать к подготовке серийного производства данного нового типа по первому требованию НКВМ /Начальника ВВС РККА/ и Начальника воору</w:t>
      </w:r>
      <w:r w:rsidRPr="00507A31">
        <w:rPr>
          <w:color w:val="000000" w:themeColor="text1"/>
          <w:sz w:val="16"/>
          <w:szCs w:val="16"/>
        </w:rPr>
        <w:softHyphen/>
        <w:t>жения /по принадлежности/, изготовление рабочих чертежей должно производится одновременно с постройкой опытных образцов и закончено не позже, чем через месяц пееле пред"явления опытного образца для типовых /государственных/ испытаний.</w:t>
      </w:r>
    </w:p>
    <w:p w14:paraId="242A63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9.•Все расходы но подготовке серийного производства новых типов включал сюда и изготовление рабочих чертежей, отнести за счет обо</w:t>
      </w:r>
      <w:r w:rsidRPr="00507A31">
        <w:rPr>
          <w:color w:val="000000" w:themeColor="text1"/>
          <w:sz w:val="16"/>
          <w:szCs w:val="16"/>
        </w:rPr>
        <w:softHyphen/>
        <w:t>ротных капиталов соответствующих Трестов ВСНХ с последующим вклю</w:t>
      </w:r>
      <w:r w:rsidRPr="00507A31">
        <w:rPr>
          <w:color w:val="000000" w:themeColor="text1"/>
          <w:sz w:val="16"/>
          <w:szCs w:val="16"/>
        </w:rPr>
        <w:softHyphen/>
        <w:t>чением этих расходов в калькуляцию серийного производства нового типа конструкций.</w:t>
      </w:r>
    </w:p>
    <w:p w14:paraId="094433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Для увеличения темпов опытного строительства В.В.Флота обя</w:t>
      </w:r>
      <w:r w:rsidRPr="00507A31">
        <w:rPr>
          <w:color w:val="000000" w:themeColor="text1"/>
          <w:sz w:val="16"/>
          <w:szCs w:val="16"/>
        </w:rPr>
        <w:softHyphen/>
        <w:t>зать НКВМ и ВСНХ: а/выписывать лучшие образцы материальной части из-за границы с целью совместного между НКВМ и ВСНХ испытания и изучения по особой установленной между заинтересованными ведомства</w:t>
      </w:r>
      <w:r w:rsidRPr="00507A31">
        <w:rPr>
          <w:color w:val="000000" w:themeColor="text1"/>
          <w:sz w:val="16"/>
          <w:szCs w:val="16"/>
        </w:rPr>
        <w:softHyphen/>
        <w:t>ми программе: б/ установить для руководящегофтицерского состава опытных заводов, учреждений и заведений и технических комитетов /главных конструкторов, инженеро-конструкторов, постоянных членов Научно-Технических Комитетов и т.д./ оклады содержания, обеспечиваю</w:t>
      </w:r>
      <w:r w:rsidRPr="00507A31">
        <w:rPr>
          <w:color w:val="000000" w:themeColor="text1"/>
          <w:sz w:val="16"/>
          <w:szCs w:val="16"/>
        </w:rPr>
        <w:softHyphen/>
        <w:t>щие для этих специалистов необходимые материальное и бытовые усло</w:t>
      </w:r>
      <w:r w:rsidRPr="00507A31">
        <w:rPr>
          <w:color w:val="000000" w:themeColor="text1"/>
          <w:sz w:val="16"/>
          <w:szCs w:val="16"/>
        </w:rPr>
        <w:softHyphen/>
        <w:t>вия существования и работы, и обеспечигь опытные учреждения и научно-техническйе комитеты необходимыми трансоортными средствами связи и передвижения.</w:t>
      </w:r>
    </w:p>
    <w:p w14:paraId="18830D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Разрешить Президиуму ВСНХ и РВС Союза, по их особым постано</w:t>
      </w:r>
      <w:r w:rsidRPr="00507A31">
        <w:rPr>
          <w:color w:val="000000" w:themeColor="text1"/>
          <w:sz w:val="16"/>
          <w:szCs w:val="16"/>
        </w:rPr>
        <w:softHyphen/>
        <w:t>влениям, практиковать выдачу премий по опытному строительству воздушного флота за исключительные достижения /по срокам, темпу и техни</w:t>
      </w:r>
      <w:r w:rsidRPr="00507A31">
        <w:rPr>
          <w:color w:val="000000" w:themeColor="text1"/>
          <w:sz w:val="16"/>
          <w:szCs w:val="16"/>
        </w:rPr>
        <w:softHyphen/>
        <w:t>ческим достижениям/.</w:t>
      </w:r>
    </w:p>
    <w:p w14:paraId="76AA71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Возложить на НКВМ производство типовых /государственных/ и войсковых /эксплоатационных/ испытаний новых типов самолетов, мото</w:t>
      </w:r>
      <w:r w:rsidRPr="00507A31">
        <w:rPr>
          <w:color w:val="000000" w:themeColor="text1"/>
          <w:sz w:val="16"/>
          <w:szCs w:val="16"/>
        </w:rPr>
        <w:softHyphen/>
        <w:t>ров, вооружения, оборудования и других предметов снабжения воздушно</w:t>
      </w:r>
      <w:r w:rsidRPr="00507A31">
        <w:rPr>
          <w:color w:val="000000" w:themeColor="text1"/>
          <w:sz w:val="16"/>
          <w:szCs w:val="16"/>
        </w:rPr>
        <w:softHyphen/>
        <w:t>го флота и принятие /дачу/ окончательного решения о пригодности или непригодности для введения данного нового типа на вооружение и снаб</w:t>
      </w:r>
      <w:r w:rsidRPr="00507A31">
        <w:rPr>
          <w:color w:val="000000" w:themeColor="text1"/>
          <w:sz w:val="16"/>
          <w:szCs w:val="16"/>
        </w:rPr>
        <w:softHyphen/>
        <w:t>жение Воздушного флота.</w:t>
      </w:r>
    </w:p>
    <w:p w14:paraId="03E227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Утвердить и ввести в действие прилагаемое при сем "Общее поло</w:t>
      </w:r>
      <w:r w:rsidRPr="00507A31">
        <w:rPr>
          <w:color w:val="000000" w:themeColor="text1"/>
          <w:sz w:val="16"/>
          <w:szCs w:val="16"/>
        </w:rPr>
        <w:softHyphen/>
        <w:t>жение об опытном строительстве материальной части военных воздушных сил РККА (351).</w:t>
      </w:r>
    </w:p>
    <w:p w14:paraId="1610858E" w14:textId="77777777" w:rsidR="00537E5F" w:rsidRPr="00507A31" w:rsidRDefault="00537E5F" w:rsidP="00507A31">
      <w:pPr>
        <w:autoSpaceDE w:val="0"/>
        <w:autoSpaceDN w:val="0"/>
        <w:adjustRightInd w:val="0"/>
        <w:jc w:val="both"/>
        <w:rPr>
          <w:color w:val="000000" w:themeColor="text1"/>
          <w:sz w:val="16"/>
          <w:szCs w:val="16"/>
        </w:rPr>
      </w:pPr>
    </w:p>
    <w:p w14:paraId="12E048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февраля 1930 вышел приказ по Государственному тресту Авиационной промышленности № 73</w:t>
      </w:r>
    </w:p>
    <w:p w14:paraId="413A7A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правильного отправления грузов заводу № 25 в связи с переименованием жел. дор. - грузовой адрес для вышеуказанного завода с сего числа считать следующий: Ст. Москва, Товарная, Смоленская М.Б.Б. ж.д., Заводу № 25 (8826,24).</w:t>
      </w:r>
    </w:p>
    <w:p w14:paraId="7B7429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25E9D2B" w14:textId="77777777" w:rsidR="00EA78E2" w:rsidRPr="00507A31" w:rsidRDefault="00EA78E2" w:rsidP="00507A31">
      <w:pPr>
        <w:jc w:val="both"/>
        <w:rPr>
          <w:color w:val="000000" w:themeColor="text1"/>
          <w:sz w:val="16"/>
          <w:szCs w:val="16"/>
        </w:rPr>
      </w:pPr>
      <w:r w:rsidRPr="00507A31">
        <w:rPr>
          <w:bCs/>
          <w:color w:val="000000" w:themeColor="text1"/>
          <w:sz w:val="16"/>
          <w:szCs w:val="16"/>
        </w:rPr>
        <w:t>4 февраля</w:t>
      </w:r>
      <w:r w:rsidRPr="00507A31">
        <w:rPr>
          <w:color w:val="000000" w:themeColor="text1"/>
          <w:sz w:val="16"/>
          <w:szCs w:val="16"/>
        </w:rPr>
        <w:t xml:space="preserve"> в 1930 году на оcтрове Кегостров был открыт аэродром (до 1963 г. главный гражданский аэродром города Архангельска)</w:t>
      </w:r>
    </w:p>
    <w:p w14:paraId="72C04147" w14:textId="77777777" w:rsidR="00EA78E2" w:rsidRPr="00507A31" w:rsidRDefault="00EA78E2" w:rsidP="00507A31">
      <w:pPr>
        <w:jc w:val="both"/>
        <w:rPr>
          <w:color w:val="000000" w:themeColor="text1"/>
          <w:sz w:val="16"/>
          <w:szCs w:val="16"/>
        </w:rPr>
      </w:pPr>
    </w:p>
    <w:p w14:paraId="549525A5" w14:textId="77777777" w:rsidR="00EA78E2" w:rsidRPr="00507A31" w:rsidRDefault="00EA78E2" w:rsidP="00507A31">
      <w:pPr>
        <w:jc w:val="both"/>
        <w:rPr>
          <w:color w:val="000000" w:themeColor="text1"/>
          <w:sz w:val="16"/>
          <w:szCs w:val="16"/>
        </w:rPr>
      </w:pPr>
      <w:r w:rsidRPr="00507A31">
        <w:rPr>
          <w:bCs/>
          <w:color w:val="000000" w:themeColor="text1"/>
          <w:sz w:val="16"/>
          <w:szCs w:val="16"/>
        </w:rPr>
        <w:t>4 февраля</w:t>
      </w:r>
      <w:r w:rsidRPr="00507A31">
        <w:rPr>
          <w:color w:val="000000" w:themeColor="text1"/>
          <w:sz w:val="16"/>
          <w:szCs w:val="16"/>
        </w:rPr>
        <w:t xml:space="preserve"> в 1930 году в Архангельске, на оcтрове Кегостров был открыт аэродром (до 1963 года главный гражданский аэродром города Архангельска). В этот день в 1930 году был совершен первый пассажирский авиарейс по маршруту Архангельск - Березник - Котлас - Усть-Сысольск (Сыктывкар) и обратно. Начало создания гражданской авиации на российском Севере (15030).</w:t>
      </w:r>
    </w:p>
    <w:p w14:paraId="78D217A9" w14:textId="77777777" w:rsidR="00EA78E2" w:rsidRPr="00507A31" w:rsidRDefault="00EA78E2" w:rsidP="00507A31">
      <w:pPr>
        <w:jc w:val="both"/>
        <w:rPr>
          <w:color w:val="000000" w:themeColor="text1"/>
          <w:sz w:val="16"/>
          <w:szCs w:val="16"/>
        </w:rPr>
      </w:pPr>
    </w:p>
    <w:p w14:paraId="2EE29DBD" w14:textId="77777777" w:rsidR="00BB137F" w:rsidRPr="00507A31" w:rsidRDefault="00BB137F" w:rsidP="00507A31">
      <w:pPr>
        <w:autoSpaceDE w:val="0"/>
        <w:autoSpaceDN w:val="0"/>
        <w:adjustRightInd w:val="0"/>
        <w:jc w:val="both"/>
        <w:rPr>
          <w:i/>
          <w:iCs/>
          <w:color w:val="000000" w:themeColor="text1"/>
          <w:sz w:val="16"/>
          <w:szCs w:val="16"/>
        </w:rPr>
      </w:pPr>
      <w:r w:rsidRPr="00507A31">
        <w:rPr>
          <w:i/>
          <w:iCs/>
          <w:color w:val="000000" w:themeColor="text1"/>
          <w:sz w:val="16"/>
          <w:szCs w:val="16"/>
        </w:rPr>
        <w:t>Другие оборонные отрасли:</w:t>
      </w:r>
    </w:p>
    <w:p w14:paraId="46CA3281" w14:textId="77777777" w:rsidR="00BB137F" w:rsidRPr="00507A31" w:rsidRDefault="00BB137F" w:rsidP="00507A31">
      <w:pPr>
        <w:autoSpaceDE w:val="0"/>
        <w:autoSpaceDN w:val="0"/>
        <w:adjustRightInd w:val="0"/>
        <w:jc w:val="both"/>
        <w:rPr>
          <w:i/>
          <w:color w:val="000000" w:themeColor="text1"/>
          <w:sz w:val="16"/>
          <w:szCs w:val="16"/>
        </w:rPr>
      </w:pPr>
    </w:p>
    <w:p w14:paraId="56004658" w14:textId="77777777" w:rsidR="00BB137F" w:rsidRPr="00507A31" w:rsidRDefault="00BB137F" w:rsidP="00507A31">
      <w:pPr>
        <w:jc w:val="both"/>
        <w:rPr>
          <w:color w:val="000000" w:themeColor="text1"/>
          <w:sz w:val="16"/>
          <w:szCs w:val="16"/>
        </w:rPr>
      </w:pPr>
      <w:r w:rsidRPr="00507A31">
        <w:rPr>
          <w:color w:val="000000" w:themeColor="text1"/>
          <w:sz w:val="16"/>
          <w:szCs w:val="16"/>
        </w:rPr>
        <w:t>4 февраля 1930 г. в НТК УММ прошло очередное совещание второй секции, на этот раз о производстве мотоциклов на заводах Велостроя. На совещании присутствовали представители НАМИ, ВСНХ РСФСР, Цудортранса, военные, заместители управляющего и главный инженер Велостроя. Также был приглашен представитель союзного руководства — начальник планового отдела спецуправления (ведавшего выпуском военной техники) ВАТО т. Кузнецов. Заместитель главного инженера Д. М. Каров подробно рассказал о планах своей организации, и после непродолжительного обсуждения секция приняла постановление:</w:t>
      </w:r>
    </w:p>
    <w:p w14:paraId="639782BF" w14:textId="77777777" w:rsidR="00BB137F" w:rsidRPr="00507A31" w:rsidRDefault="00BB137F" w:rsidP="00507A31">
      <w:pPr>
        <w:jc w:val="both"/>
        <w:rPr>
          <w:color w:val="000000" w:themeColor="text1"/>
          <w:sz w:val="16"/>
          <w:szCs w:val="16"/>
        </w:rPr>
      </w:pPr>
      <w:r w:rsidRPr="00507A31">
        <w:rPr>
          <w:color w:val="000000" w:themeColor="text1"/>
          <w:sz w:val="16"/>
          <w:szCs w:val="16"/>
        </w:rPr>
        <w:t>«1. Доклад т. Карова о работах по проектированию мотоциклетного завода принять к сведению. 2. Просить Велострой выслать указанный доклад в письменном виде во 2-ю секцию НТК УММ.</w:t>
      </w:r>
    </w:p>
    <w:p w14:paraId="467FBEFD" w14:textId="77777777" w:rsidR="00BB137F" w:rsidRPr="00507A31" w:rsidRDefault="00BB137F" w:rsidP="00507A31">
      <w:pPr>
        <w:jc w:val="both"/>
        <w:rPr>
          <w:color w:val="000000" w:themeColor="text1"/>
          <w:sz w:val="16"/>
          <w:szCs w:val="16"/>
        </w:rPr>
      </w:pPr>
      <w:r w:rsidRPr="00507A31">
        <w:rPr>
          <w:color w:val="000000" w:themeColor="text1"/>
          <w:sz w:val="16"/>
          <w:szCs w:val="16"/>
        </w:rPr>
        <w:t xml:space="preserve">3. Отметить: а/ выбор типа мотоцикла вообще в 500 см3 возражений со стороны Секции не встречает б/ марка машины ВСА модели 500 см3 1930 г., предполагаемой к производству в Союзе, не достаточно изучена и выбор типа мотоцикла базировался на основе: </w:t>
      </w:r>
    </w:p>
    <w:p w14:paraId="2DCED570" w14:textId="77777777" w:rsidR="00BB137F" w:rsidRPr="00507A31" w:rsidRDefault="00BB137F" w:rsidP="00507A31">
      <w:pPr>
        <w:jc w:val="both"/>
        <w:rPr>
          <w:color w:val="000000" w:themeColor="text1"/>
          <w:sz w:val="16"/>
          <w:szCs w:val="16"/>
        </w:rPr>
      </w:pPr>
      <w:r w:rsidRPr="00507A31">
        <w:rPr>
          <w:color w:val="000000" w:themeColor="text1"/>
          <w:sz w:val="16"/>
          <w:szCs w:val="16"/>
        </w:rPr>
        <w:t xml:space="preserve">1/ на имеющейся у Велостроя связи с фирмой ВСА по линии проектирования вело-завода </w:t>
      </w:r>
    </w:p>
    <w:p w14:paraId="72DF083F" w14:textId="77777777" w:rsidR="00BB137F" w:rsidRPr="00507A31" w:rsidRDefault="00BB137F" w:rsidP="00507A31">
      <w:pPr>
        <w:jc w:val="both"/>
        <w:rPr>
          <w:color w:val="000000" w:themeColor="text1"/>
          <w:sz w:val="16"/>
          <w:szCs w:val="16"/>
        </w:rPr>
      </w:pPr>
      <w:r w:rsidRPr="00507A31">
        <w:rPr>
          <w:color w:val="000000" w:themeColor="text1"/>
          <w:sz w:val="16"/>
          <w:szCs w:val="16"/>
        </w:rPr>
        <w:t xml:space="preserve">2/ тех качеств машины ВСА 500 см3 , которыми она зарекомендовала себя в Англии </w:t>
      </w:r>
    </w:p>
    <w:p w14:paraId="714C3B91" w14:textId="77777777" w:rsidR="00BB137F" w:rsidRPr="00507A31" w:rsidRDefault="00BB137F" w:rsidP="00507A31">
      <w:pPr>
        <w:jc w:val="both"/>
        <w:rPr>
          <w:color w:val="000000" w:themeColor="text1"/>
          <w:sz w:val="16"/>
          <w:szCs w:val="16"/>
        </w:rPr>
      </w:pPr>
      <w:r w:rsidRPr="00507A31">
        <w:rPr>
          <w:color w:val="000000" w:themeColor="text1"/>
          <w:sz w:val="16"/>
          <w:szCs w:val="16"/>
        </w:rPr>
        <w:t xml:space="preserve">3/ лабораторных испытаний в НАМИ другой модели мотоцикла ВСА 500 см3 и испытаний этой модели пробегом в 1929 г. Поэтому УММ, не считая возможным утвердить этот тип за неимением достаточно исчерпывающих материалов по эксплоатации этих машин в СССР считает необходимым просить Велострой передать в УММ один мотоцикл этой модели /ВСА 500 см3 — 1930г./ для испытаний на полигоне и один мотоцикл для лабораторных испытаний в НАМИ. </w:t>
      </w:r>
    </w:p>
    <w:p w14:paraId="14960C0F" w14:textId="77777777" w:rsidR="00BB137F" w:rsidRPr="00507A31" w:rsidRDefault="00BB137F" w:rsidP="00507A31">
      <w:pPr>
        <w:jc w:val="both"/>
        <w:rPr>
          <w:color w:val="000000" w:themeColor="text1"/>
          <w:sz w:val="16"/>
          <w:szCs w:val="16"/>
        </w:rPr>
      </w:pPr>
      <w:r w:rsidRPr="00507A31">
        <w:rPr>
          <w:color w:val="000000" w:themeColor="text1"/>
          <w:sz w:val="16"/>
          <w:szCs w:val="16"/>
        </w:rPr>
        <w:t xml:space="preserve">4. Намечаемый к производству второй тип мотоцикла ВСА 250 см3 нельзя признать удовлетворительным, т.к. имеющиеся в СССР образцы 250 см3 , подобные намеченной модели, зарекомендовали себя ненадежностью в работе. </w:t>
      </w:r>
    </w:p>
    <w:p w14:paraId="5B5961F5" w14:textId="77777777" w:rsidR="00BB137F" w:rsidRPr="00507A31" w:rsidRDefault="00BB137F" w:rsidP="00507A31">
      <w:pPr>
        <w:jc w:val="both"/>
        <w:rPr>
          <w:color w:val="000000" w:themeColor="text1"/>
          <w:sz w:val="16"/>
          <w:szCs w:val="16"/>
        </w:rPr>
      </w:pPr>
      <w:r w:rsidRPr="00507A31">
        <w:rPr>
          <w:color w:val="000000" w:themeColor="text1"/>
          <w:sz w:val="16"/>
          <w:szCs w:val="16"/>
        </w:rPr>
        <w:t>5. Ввиду того, что в настоящее время две хозяйственные организации Велострой и Тремасс самостоятельно ведут разработку проектов произ</w:t>
      </w:r>
      <w:r w:rsidRPr="00507A31">
        <w:rPr>
          <w:color w:val="000000" w:themeColor="text1"/>
          <w:sz w:val="16"/>
          <w:szCs w:val="16"/>
        </w:rPr>
        <w:softHyphen/>
        <w:t xml:space="preserve"> водства мотоциклов, каждый на выпуск 25 000 шт., причем Тремасс начал уже производство опытных образцов, а третья организация — Ижевский Завод закончил проработку проекта, выпустил и испытал опытные образцы, просить МПУ ВСНХ о скорейшем упорядочении вопроса с проектированием мотозаводов и увязки их с общими планами мотостроения в СССР» (19776).</w:t>
      </w:r>
    </w:p>
    <w:p w14:paraId="0F0FCAED" w14:textId="77777777" w:rsidR="00BB137F" w:rsidRPr="00507A31" w:rsidRDefault="00BB137F" w:rsidP="00507A31">
      <w:pPr>
        <w:jc w:val="both"/>
        <w:rPr>
          <w:color w:val="000000" w:themeColor="text1"/>
          <w:sz w:val="16"/>
          <w:szCs w:val="16"/>
        </w:rPr>
      </w:pPr>
    </w:p>
    <w:p w14:paraId="6BE88E2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3A381BB" w14:textId="77777777" w:rsidR="00537E5F" w:rsidRPr="00507A31" w:rsidRDefault="00537E5F" w:rsidP="00507A31">
      <w:pPr>
        <w:autoSpaceDE w:val="0"/>
        <w:autoSpaceDN w:val="0"/>
        <w:adjustRightInd w:val="0"/>
        <w:jc w:val="both"/>
        <w:rPr>
          <w:iCs/>
          <w:color w:val="000000" w:themeColor="text1"/>
          <w:sz w:val="16"/>
          <w:szCs w:val="16"/>
        </w:rPr>
      </w:pPr>
    </w:p>
    <w:p w14:paraId="42B4C9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февраля 1930 на органы ОГПУ возложили задачи по организации раскулачивания (3481) - были утверждены инструкции (3908,333).</w:t>
      </w:r>
    </w:p>
    <w:p w14:paraId="2C923465" w14:textId="77777777" w:rsidR="00537E5F" w:rsidRPr="00507A31" w:rsidRDefault="00537E5F" w:rsidP="00507A31">
      <w:pPr>
        <w:autoSpaceDE w:val="0"/>
        <w:autoSpaceDN w:val="0"/>
        <w:adjustRightInd w:val="0"/>
        <w:jc w:val="both"/>
        <w:rPr>
          <w:color w:val="000000" w:themeColor="text1"/>
          <w:sz w:val="16"/>
          <w:szCs w:val="16"/>
        </w:rPr>
      </w:pPr>
    </w:p>
    <w:p w14:paraId="7FF0C8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февраля 1930 вышла секретная инструкция ЦИК и СНК и 2 февраля 1930 приказ ОГПУ. В этих документах предписывалось в районах сплошной коллективизации конфисковывать у кулаков средства производства, скот, хозяйственные и жилые постройки, производственные и торговые предприятия, продовольственные, кормовые и семенные запасы, наличные деньги и "излишки домашнего имущества". В этом и заключалось собственно раскулачивание, которому планировалось подвергнуть в среднем 3-5 % крестьянских хозяйств. Кулаки, подлежавшие более суровым репрессиям, разделялись на три категории. К первой категории был отнесён "контрреволюционный кулацкий актив", особенно кадры действующих повстанческих организаций, которые подлежали заключению в концлагеря или расстрелу по приговору "троек". "Изъятие первой категории", которое предполагалось закончить к началу развертывания кампании по выселению кулаков, должно было распространиться на 50-60 тыс. чел. Семьи лиц, заключённых в лагеря или приговорённых к высшей мере наказания, должны были выселяться в отдалённые районы страны вместе с семьями "второй категории", к которой были отнесены "крупные кулаки и бывшие полупомещики, активно выступающие против коллективизации", "местные кулацкие авторитеты и весь кулацкий кадр, из которого формируется контрреволюционный актив". Только из Украины, Белоруссии, Казахстана, Сибири, Урала, Северного Кавказа, Средневолжского и Нижневолжского краёв, Центрально-Черноземной области планировалось выслать 210 тысяч семей. Остальных кулаков предполагалось выселять в отводимые за пределами колхозных хозяйств поселки в районах, где они проживали (9492).</w:t>
      </w:r>
    </w:p>
    <w:p w14:paraId="5344FCB8" w14:textId="77777777" w:rsidR="00537E5F" w:rsidRPr="00507A31" w:rsidRDefault="00537E5F" w:rsidP="00507A31">
      <w:pPr>
        <w:autoSpaceDE w:val="0"/>
        <w:autoSpaceDN w:val="0"/>
        <w:adjustRightInd w:val="0"/>
        <w:jc w:val="both"/>
        <w:rPr>
          <w:color w:val="000000" w:themeColor="text1"/>
          <w:sz w:val="16"/>
          <w:szCs w:val="16"/>
        </w:rPr>
      </w:pPr>
    </w:p>
    <w:p w14:paraId="18A00ED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F66FCF7" w14:textId="77777777" w:rsidR="00537E5F" w:rsidRPr="00507A31" w:rsidRDefault="00537E5F" w:rsidP="00507A31">
      <w:pPr>
        <w:autoSpaceDE w:val="0"/>
        <w:autoSpaceDN w:val="0"/>
        <w:adjustRightInd w:val="0"/>
        <w:jc w:val="both"/>
        <w:rPr>
          <w:iCs/>
          <w:color w:val="000000" w:themeColor="text1"/>
          <w:sz w:val="16"/>
          <w:szCs w:val="16"/>
        </w:rPr>
      </w:pPr>
    </w:p>
    <w:p w14:paraId="3D0370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февраля 1930 на техническом совещании АГОС было заявлено о готовности макета АНТ-6 (ТБ-3) (421,104).</w:t>
      </w:r>
    </w:p>
    <w:p w14:paraId="480F8B09" w14:textId="77777777" w:rsidR="00537E5F" w:rsidRPr="00507A31" w:rsidRDefault="00537E5F" w:rsidP="00507A31">
      <w:pPr>
        <w:autoSpaceDE w:val="0"/>
        <w:autoSpaceDN w:val="0"/>
        <w:adjustRightInd w:val="0"/>
        <w:jc w:val="both"/>
        <w:rPr>
          <w:color w:val="000000" w:themeColor="text1"/>
          <w:sz w:val="16"/>
          <w:szCs w:val="16"/>
        </w:rPr>
      </w:pPr>
    </w:p>
    <w:p w14:paraId="1755C3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февраля 1930 состоялось заседание Правления Авиатреста (протокол 42) и обсудили промфмнплан на 29/30 и работу завода 36 за год (2367,135):</w:t>
      </w:r>
    </w:p>
    <w:p w14:paraId="50450F52" w14:textId="77777777" w:rsidR="00537E5F" w:rsidRPr="00507A31" w:rsidRDefault="00537E5F" w:rsidP="00507A31">
      <w:pPr>
        <w:autoSpaceDE w:val="0"/>
        <w:autoSpaceDN w:val="0"/>
        <w:adjustRightInd w:val="0"/>
        <w:jc w:val="both"/>
        <w:rPr>
          <w:iCs/>
          <w:color w:val="000000" w:themeColor="text1"/>
          <w:sz w:val="16"/>
          <w:szCs w:val="16"/>
        </w:rPr>
      </w:pPr>
    </w:p>
    <w:p w14:paraId="0469AF0F" w14:textId="77777777" w:rsidR="00EA78E2" w:rsidRPr="00507A31" w:rsidRDefault="00EA78E2" w:rsidP="00507A31">
      <w:pPr>
        <w:jc w:val="both"/>
        <w:rPr>
          <w:color w:val="000000" w:themeColor="text1"/>
          <w:sz w:val="16"/>
          <w:szCs w:val="16"/>
          <w:u w:color="002060"/>
        </w:rPr>
      </w:pPr>
      <w:r w:rsidRPr="00507A31">
        <w:rPr>
          <w:color w:val="000000" w:themeColor="text1"/>
          <w:sz w:val="16"/>
          <w:szCs w:val="16"/>
          <w:u w:color="002060"/>
        </w:rPr>
        <w:t>5 февраля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116. 2. Сообщение комиссии Кагановича (Каганович, Урываев, Акулов) [о строительстве самолетов]. — ОП. Постановили: а) разрешить на собранные в порядке отчислений в «фонд обороны» средства построить самолеты, но без расхода валюты и при обязательном выполнении полностью программы военведа; б) комиссию Политбюро по упорядочению отчислений в «фонд обороны» ликвидировать. 6. О мобуправлении ВСНХ (ПБ от 25 января 1930 г., пр. № 115, п. 6) (Каганович, Куйбышев, Ворошилов). 7. О реорганизации управления военной промышленностью (Рыков, Ворошилов, Урываев, Постников). Решения ПБ от 30 января 1930 г. 35. Об «Осоавиахиме» (Ворошилов). 47. О металлургической базе для тракторного завода в Сталинграде. (Политбюро... Т. 2. С. 15, 16; РГАСПИ. Ф. 17. Оп. 162. Д. 8. Л. 59) (12416).</w:t>
      </w:r>
    </w:p>
    <w:p w14:paraId="656D85FF" w14:textId="77777777" w:rsidR="00EA78E2" w:rsidRPr="00507A31" w:rsidRDefault="00EA78E2" w:rsidP="00507A31">
      <w:pPr>
        <w:jc w:val="both"/>
        <w:rPr>
          <w:color w:val="000000" w:themeColor="text1"/>
          <w:sz w:val="16"/>
          <w:szCs w:val="16"/>
          <w:u w:color="002060"/>
        </w:rPr>
      </w:pPr>
    </w:p>
    <w:p w14:paraId="35BA86A4" w14:textId="77777777" w:rsidR="00EA78E2" w:rsidRPr="00507A31" w:rsidRDefault="00EA78E2" w:rsidP="00507A31">
      <w:pPr>
        <w:jc w:val="both"/>
        <w:rPr>
          <w:color w:val="000000" w:themeColor="text1"/>
          <w:sz w:val="16"/>
          <w:szCs w:val="16"/>
        </w:rPr>
      </w:pPr>
      <w:r w:rsidRPr="00507A31">
        <w:rPr>
          <w:color w:val="000000" w:themeColor="text1"/>
          <w:sz w:val="16"/>
          <w:szCs w:val="16"/>
        </w:rPr>
        <w:lastRenderedPageBreak/>
        <w:t>5 февраля 1930 г. Протокол ПБ № 116п.2: Сообщение комиссии Кагановича (Каганович, Урываев, Акулов) - ОП. Решено: а) Разрешить на собранные в порядке отчислений в фонд обороны средства построить самолеты без расхода валюты и при обязательном выполнении полностью программы Военведа. б) Комиссию Политбюро по упорядочению отчислений в фонд обороны ликвидировать (15893).</w:t>
      </w:r>
    </w:p>
    <w:p w14:paraId="4FCC16D9" w14:textId="77777777" w:rsidR="00EA78E2" w:rsidRPr="00507A31" w:rsidRDefault="00EA78E2" w:rsidP="00507A31">
      <w:pPr>
        <w:jc w:val="both"/>
        <w:rPr>
          <w:color w:val="000000" w:themeColor="text1"/>
          <w:sz w:val="16"/>
          <w:szCs w:val="16"/>
        </w:rPr>
      </w:pPr>
    </w:p>
    <w:p w14:paraId="39A5762F" w14:textId="77777777" w:rsidR="00D14034" w:rsidRPr="00507A31" w:rsidRDefault="00D14034" w:rsidP="00507A31">
      <w:pPr>
        <w:jc w:val="both"/>
        <w:rPr>
          <w:color w:val="0070C0"/>
          <w:sz w:val="16"/>
          <w:szCs w:val="16"/>
        </w:rPr>
      </w:pPr>
      <w:bookmarkStart w:id="22" w:name="_Hlk56763263"/>
      <w:r w:rsidRPr="00507A31">
        <w:rPr>
          <w:color w:val="0070C0"/>
          <w:sz w:val="16"/>
          <w:szCs w:val="16"/>
        </w:rPr>
        <w:t>5 февраля 1930 состоялось заседание ПБ (Протокол № 116. Особый № 114)</w:t>
      </w:r>
    </w:p>
    <w:p w14:paraId="1BB3AC10" w14:textId="77777777" w:rsidR="00D14034" w:rsidRPr="00507A31" w:rsidRDefault="00D14034" w:rsidP="00507A31">
      <w:pPr>
        <w:jc w:val="both"/>
        <w:rPr>
          <w:color w:val="0070C0"/>
          <w:sz w:val="16"/>
          <w:szCs w:val="16"/>
        </w:rPr>
      </w:pPr>
      <w:r w:rsidRPr="00507A31">
        <w:rPr>
          <w:color w:val="0070C0"/>
          <w:sz w:val="16"/>
          <w:szCs w:val="16"/>
        </w:rPr>
        <w:t>2.-Сообщение комиссии т. Кагановича</w:t>
      </w:r>
    </w:p>
    <w:p w14:paraId="56DCA41F" w14:textId="77777777" w:rsidR="00D14034" w:rsidRPr="00507A31" w:rsidRDefault="00D14034" w:rsidP="00507A31">
      <w:pPr>
        <w:jc w:val="both"/>
        <w:rPr>
          <w:color w:val="0070C0"/>
          <w:sz w:val="16"/>
          <w:szCs w:val="16"/>
        </w:rPr>
      </w:pPr>
      <w:r w:rsidRPr="00507A31">
        <w:rPr>
          <w:color w:val="0070C0"/>
          <w:sz w:val="16"/>
          <w:szCs w:val="16"/>
        </w:rPr>
        <w:t>(т.т. Каганович, Урываев, Акулов)</w:t>
      </w:r>
    </w:p>
    <w:p w14:paraId="69912FF2" w14:textId="77777777" w:rsidR="00D14034" w:rsidRPr="00507A31" w:rsidRDefault="00D14034" w:rsidP="00507A31">
      <w:pPr>
        <w:jc w:val="both"/>
        <w:rPr>
          <w:color w:val="0070C0"/>
          <w:sz w:val="16"/>
          <w:szCs w:val="16"/>
        </w:rPr>
      </w:pPr>
      <w:r w:rsidRPr="00507A31">
        <w:rPr>
          <w:color w:val="0070C0"/>
          <w:sz w:val="16"/>
          <w:szCs w:val="16"/>
        </w:rPr>
        <w:t>а) Разрешить на собранные в порядке отчислений в «фонд обороны» средства построить самолеты, но без расхода валюты и при обязательном выполнении полностью программы Военведа.</w:t>
      </w:r>
    </w:p>
    <w:p w14:paraId="01E94C55" w14:textId="77777777" w:rsidR="00D14034" w:rsidRPr="00507A31" w:rsidRDefault="00D14034" w:rsidP="00507A31">
      <w:pPr>
        <w:jc w:val="both"/>
        <w:rPr>
          <w:color w:val="0070C0"/>
          <w:sz w:val="16"/>
          <w:szCs w:val="16"/>
        </w:rPr>
      </w:pPr>
      <w:r w:rsidRPr="00507A31">
        <w:rPr>
          <w:color w:val="0070C0"/>
          <w:sz w:val="16"/>
          <w:szCs w:val="16"/>
        </w:rPr>
        <w:t>б) Комиссию Политбюро по упорядочению отчислений в "фонд обороны" ликвидировать (23102).</w:t>
      </w:r>
    </w:p>
    <w:p w14:paraId="6E21FE31" w14:textId="77777777" w:rsidR="00D14034" w:rsidRPr="00507A31" w:rsidRDefault="00D14034" w:rsidP="00507A31">
      <w:pPr>
        <w:jc w:val="both"/>
        <w:rPr>
          <w:color w:val="0070C0"/>
          <w:sz w:val="16"/>
          <w:szCs w:val="16"/>
        </w:rPr>
      </w:pPr>
    </w:p>
    <w:bookmarkEnd w:id="22"/>
    <w:p w14:paraId="6395516E" w14:textId="77777777" w:rsidR="00537E5F" w:rsidRPr="00507A31" w:rsidRDefault="00537E5F" w:rsidP="00507A31">
      <w:pPr>
        <w:autoSpaceDE w:val="0"/>
        <w:autoSpaceDN w:val="0"/>
        <w:adjustRightInd w:val="0"/>
        <w:jc w:val="both"/>
        <w:rPr>
          <w:i/>
          <w:iCs/>
          <w:color w:val="000000" w:themeColor="text1"/>
          <w:sz w:val="16"/>
          <w:szCs w:val="16"/>
        </w:rPr>
      </w:pPr>
      <w:r w:rsidRPr="00507A31">
        <w:rPr>
          <w:i/>
          <w:iCs/>
          <w:color w:val="000000" w:themeColor="text1"/>
          <w:sz w:val="16"/>
          <w:szCs w:val="16"/>
        </w:rPr>
        <w:t>Другие оборо</w:t>
      </w:r>
      <w:r w:rsidR="00BB137F" w:rsidRPr="00507A31">
        <w:rPr>
          <w:i/>
          <w:iCs/>
          <w:color w:val="000000" w:themeColor="text1"/>
          <w:sz w:val="16"/>
          <w:szCs w:val="16"/>
        </w:rPr>
        <w:t>н</w:t>
      </w:r>
      <w:r w:rsidRPr="00507A31">
        <w:rPr>
          <w:i/>
          <w:iCs/>
          <w:color w:val="000000" w:themeColor="text1"/>
          <w:sz w:val="16"/>
          <w:szCs w:val="16"/>
        </w:rPr>
        <w:t>ные отрасли:</w:t>
      </w:r>
    </w:p>
    <w:p w14:paraId="7261D78D" w14:textId="77777777" w:rsidR="00537E5F" w:rsidRPr="00507A31" w:rsidRDefault="00537E5F" w:rsidP="00507A31">
      <w:pPr>
        <w:autoSpaceDE w:val="0"/>
        <w:autoSpaceDN w:val="0"/>
        <w:adjustRightInd w:val="0"/>
        <w:jc w:val="both"/>
        <w:rPr>
          <w:i/>
          <w:color w:val="000000" w:themeColor="text1"/>
          <w:sz w:val="16"/>
          <w:szCs w:val="16"/>
        </w:rPr>
      </w:pPr>
    </w:p>
    <w:p w14:paraId="2E974053" w14:textId="77777777" w:rsidR="00BB137F" w:rsidRPr="00507A31" w:rsidRDefault="00BB137F" w:rsidP="00507A31">
      <w:pPr>
        <w:jc w:val="both"/>
        <w:rPr>
          <w:color w:val="000000" w:themeColor="text1"/>
          <w:sz w:val="16"/>
          <w:szCs w:val="16"/>
        </w:rPr>
      </w:pPr>
      <w:r w:rsidRPr="00507A31">
        <w:rPr>
          <w:color w:val="000000" w:themeColor="text1"/>
          <w:sz w:val="16"/>
          <w:szCs w:val="16"/>
        </w:rPr>
        <w:t>5 февраля 1930</w:t>
      </w:r>
    </w:p>
    <w:p w14:paraId="7B8B6C9E" w14:textId="77777777" w:rsidR="00BB137F" w:rsidRPr="00507A31" w:rsidRDefault="00BB137F" w:rsidP="00507A31">
      <w:pPr>
        <w:jc w:val="both"/>
        <w:rPr>
          <w:color w:val="000000" w:themeColor="text1"/>
          <w:sz w:val="16"/>
          <w:szCs w:val="16"/>
        </w:rPr>
      </w:pPr>
      <w:r w:rsidRPr="00507A31">
        <w:rPr>
          <w:color w:val="000000" w:themeColor="text1"/>
          <w:sz w:val="16"/>
          <w:szCs w:val="16"/>
        </w:rPr>
        <w:t>Протокол № 116 заседания Политбюро ЦК ВКП(б) от 5 февраля 1930 г.</w:t>
      </w:r>
    </w:p>
    <w:p w14:paraId="2ED2D9A4" w14:textId="77777777" w:rsidR="00BB137F" w:rsidRPr="00507A31" w:rsidRDefault="00BB137F" w:rsidP="00507A31">
      <w:pPr>
        <w:jc w:val="both"/>
        <w:rPr>
          <w:color w:val="000000" w:themeColor="text1"/>
          <w:sz w:val="16"/>
          <w:szCs w:val="16"/>
        </w:rPr>
      </w:pPr>
      <w:r w:rsidRPr="00507A31">
        <w:rPr>
          <w:color w:val="000000" w:themeColor="text1"/>
          <w:sz w:val="16"/>
          <w:szCs w:val="16"/>
        </w:rPr>
        <w:t>(Особый № 114).</w:t>
      </w:r>
    </w:p>
    <w:p w14:paraId="69F44650" w14:textId="77777777" w:rsidR="00BB137F" w:rsidRPr="00507A31" w:rsidRDefault="00BB137F" w:rsidP="00507A31">
      <w:pPr>
        <w:jc w:val="both"/>
        <w:rPr>
          <w:color w:val="000000" w:themeColor="text1"/>
          <w:sz w:val="16"/>
          <w:szCs w:val="16"/>
        </w:rPr>
      </w:pPr>
      <w:r w:rsidRPr="00507A31">
        <w:rPr>
          <w:color w:val="000000" w:themeColor="text1"/>
          <w:sz w:val="16"/>
          <w:szCs w:val="16"/>
        </w:rPr>
        <w:t>Заседание Политбюро от 5 февраля 1930 г.</w:t>
      </w:r>
    </w:p>
    <w:p w14:paraId="5B3A4DD1" w14:textId="77777777" w:rsidR="00BB137F" w:rsidRPr="00507A31" w:rsidRDefault="00BB137F" w:rsidP="00507A31">
      <w:pPr>
        <w:jc w:val="both"/>
        <w:rPr>
          <w:color w:val="000000" w:themeColor="text1"/>
          <w:sz w:val="16"/>
          <w:szCs w:val="16"/>
        </w:rPr>
      </w:pPr>
      <w:r w:rsidRPr="00507A31">
        <w:rPr>
          <w:color w:val="000000" w:themeColor="text1"/>
          <w:sz w:val="16"/>
          <w:szCs w:val="16"/>
        </w:rPr>
        <w:t>п. 7: О реорганизации управления военной промышленностью</w:t>
      </w:r>
    </w:p>
    <w:p w14:paraId="66C83433" w14:textId="77777777" w:rsidR="00BB137F" w:rsidRPr="00507A31" w:rsidRDefault="00BB137F" w:rsidP="00507A31">
      <w:pPr>
        <w:jc w:val="both"/>
        <w:rPr>
          <w:color w:val="000000" w:themeColor="text1"/>
          <w:sz w:val="16"/>
          <w:szCs w:val="16"/>
        </w:rPr>
      </w:pPr>
      <w:r w:rsidRPr="00507A31">
        <w:rPr>
          <w:color w:val="000000" w:themeColor="text1"/>
          <w:sz w:val="16"/>
          <w:szCs w:val="16"/>
        </w:rPr>
        <w:t>(Рыков, Ворошилов, Урываев, Постников).</w:t>
      </w:r>
    </w:p>
    <w:p w14:paraId="29876A3C" w14:textId="77777777" w:rsidR="00BB137F" w:rsidRPr="00507A31" w:rsidRDefault="00BB137F" w:rsidP="00507A31">
      <w:pPr>
        <w:jc w:val="both"/>
        <w:rPr>
          <w:color w:val="000000" w:themeColor="text1"/>
          <w:sz w:val="16"/>
          <w:szCs w:val="16"/>
        </w:rPr>
      </w:pPr>
      <w:r w:rsidRPr="00507A31">
        <w:rPr>
          <w:color w:val="000000" w:themeColor="text1"/>
          <w:sz w:val="16"/>
          <w:szCs w:val="16"/>
        </w:rPr>
        <w:t>Утвердить решение РЗ СТО о реорганизации военной промышленности:</w:t>
      </w:r>
    </w:p>
    <w:p w14:paraId="4B03543E" w14:textId="77777777" w:rsidR="00BB137F" w:rsidRPr="00507A31" w:rsidRDefault="00BB137F" w:rsidP="00507A31">
      <w:pPr>
        <w:jc w:val="both"/>
        <w:rPr>
          <w:color w:val="000000" w:themeColor="text1"/>
          <w:sz w:val="16"/>
          <w:szCs w:val="16"/>
        </w:rPr>
      </w:pPr>
      <w:r w:rsidRPr="00507A31">
        <w:rPr>
          <w:color w:val="000000" w:themeColor="text1"/>
          <w:sz w:val="16"/>
          <w:szCs w:val="16"/>
        </w:rPr>
        <w:t>а) В целях соединения технического руководства всеми военно-химическими производствами, увязки планов их развития с развитием основной сырьевой базы, а также для обеспечения максимального использования основного капитала таковых в мирное время, передать военно-химический трест из состава военной промышленности во всесоюзное объединение химической промышленности.</w:t>
      </w:r>
    </w:p>
    <w:p w14:paraId="59C39D32" w14:textId="77777777" w:rsidR="00BB137F" w:rsidRPr="00507A31" w:rsidRDefault="00BB137F" w:rsidP="00507A31">
      <w:pPr>
        <w:jc w:val="both"/>
        <w:rPr>
          <w:color w:val="000000" w:themeColor="text1"/>
          <w:sz w:val="16"/>
          <w:szCs w:val="16"/>
        </w:rPr>
      </w:pPr>
      <w:r w:rsidRPr="00507A31">
        <w:rPr>
          <w:color w:val="000000" w:themeColor="text1"/>
          <w:sz w:val="16"/>
          <w:szCs w:val="16"/>
        </w:rPr>
        <w:t>б) Трест авиационной промышленности выделить в самостоятельное объединение, подчиненное президиуму и мобилизационно-плановому управлению ВСНХ СССР на таких же основаниях, как военно-промышленное управление.</w:t>
      </w:r>
    </w:p>
    <w:p w14:paraId="40727CBA" w14:textId="77777777" w:rsidR="00BB137F" w:rsidRPr="00507A31" w:rsidRDefault="00BB137F" w:rsidP="00507A31">
      <w:pPr>
        <w:jc w:val="both"/>
        <w:rPr>
          <w:color w:val="000000" w:themeColor="text1"/>
          <w:sz w:val="16"/>
          <w:szCs w:val="16"/>
        </w:rPr>
      </w:pPr>
      <w:r w:rsidRPr="00507A31">
        <w:rPr>
          <w:color w:val="000000" w:themeColor="text1"/>
          <w:sz w:val="16"/>
          <w:szCs w:val="16"/>
        </w:rPr>
        <w:t>в) Главное управление военной промышленности реорганизовать в объединение военных заводов, действующее на началах хозяйственного расчета, с оставлением в его составе: оружейно-пулеметного, патронно-трубочного и орудийно-арсенального трестов.</w:t>
      </w:r>
    </w:p>
    <w:p w14:paraId="0327C530" w14:textId="77777777" w:rsidR="00BB137F" w:rsidRPr="00507A31" w:rsidRDefault="00BB137F" w:rsidP="00507A31">
      <w:pPr>
        <w:jc w:val="both"/>
        <w:rPr>
          <w:color w:val="000000" w:themeColor="text1"/>
          <w:sz w:val="16"/>
          <w:szCs w:val="16"/>
        </w:rPr>
      </w:pPr>
      <w:r w:rsidRPr="00507A31">
        <w:rPr>
          <w:color w:val="000000" w:themeColor="text1"/>
          <w:sz w:val="16"/>
          <w:szCs w:val="16"/>
        </w:rPr>
        <w:t>г) Реорганизацию управления военной промышленностью произвести в десятидневный срок, обеспечив преемственность работ по оборонной подготовке военной промышленности и не допуская снижения темпа таковой.</w:t>
      </w:r>
    </w:p>
    <w:p w14:paraId="27C47F35" w14:textId="77777777" w:rsidR="00BB137F" w:rsidRPr="00507A31" w:rsidRDefault="00BB137F" w:rsidP="00507A31">
      <w:pPr>
        <w:jc w:val="both"/>
        <w:rPr>
          <w:color w:val="000000" w:themeColor="text1"/>
          <w:sz w:val="16"/>
          <w:szCs w:val="16"/>
        </w:rPr>
      </w:pPr>
      <w:r w:rsidRPr="00507A31">
        <w:rPr>
          <w:color w:val="000000" w:themeColor="text1"/>
          <w:sz w:val="16"/>
          <w:szCs w:val="16"/>
        </w:rPr>
        <w:t>5 февраля 1930</w:t>
      </w:r>
    </w:p>
    <w:p w14:paraId="3850D3A5" w14:textId="77777777" w:rsidR="00BB137F" w:rsidRPr="00507A31" w:rsidRDefault="00BB137F" w:rsidP="00507A31">
      <w:pPr>
        <w:jc w:val="both"/>
        <w:rPr>
          <w:color w:val="000000" w:themeColor="text1"/>
          <w:sz w:val="16"/>
          <w:szCs w:val="16"/>
        </w:rPr>
      </w:pPr>
      <w:r w:rsidRPr="00507A31">
        <w:rPr>
          <w:color w:val="000000" w:themeColor="text1"/>
          <w:sz w:val="16"/>
          <w:szCs w:val="16"/>
        </w:rPr>
        <w:t>Приложение № 2</w:t>
      </w:r>
    </w:p>
    <w:p w14:paraId="0FD4450D" w14:textId="77777777" w:rsidR="00BB137F" w:rsidRPr="00507A31" w:rsidRDefault="00BB137F" w:rsidP="00507A31">
      <w:pPr>
        <w:jc w:val="both"/>
        <w:rPr>
          <w:color w:val="000000" w:themeColor="text1"/>
          <w:sz w:val="16"/>
          <w:szCs w:val="16"/>
        </w:rPr>
      </w:pPr>
      <w:r w:rsidRPr="00507A31">
        <w:rPr>
          <w:color w:val="000000" w:themeColor="text1"/>
          <w:sz w:val="16"/>
          <w:szCs w:val="16"/>
        </w:rPr>
        <w:t>к п. 9 пр. ПБ № 116.</w:t>
      </w:r>
    </w:p>
    <w:p w14:paraId="5D69AA9C" w14:textId="77777777" w:rsidR="00BB137F" w:rsidRPr="00507A31" w:rsidRDefault="00BB137F" w:rsidP="00507A31">
      <w:pPr>
        <w:jc w:val="both"/>
        <w:rPr>
          <w:color w:val="000000" w:themeColor="text1"/>
          <w:sz w:val="16"/>
          <w:szCs w:val="16"/>
        </w:rPr>
      </w:pPr>
      <w:r w:rsidRPr="00507A31">
        <w:rPr>
          <w:color w:val="000000" w:themeColor="text1"/>
          <w:sz w:val="16"/>
          <w:szCs w:val="16"/>
        </w:rPr>
        <w:t>Постановление ЦК ВКП(б) о работе треста “Гомзы”.</w:t>
      </w:r>
    </w:p>
    <w:p w14:paraId="39C306ED" w14:textId="77777777" w:rsidR="00BB137F" w:rsidRPr="00507A31" w:rsidRDefault="00BB137F" w:rsidP="00507A31">
      <w:pPr>
        <w:jc w:val="both"/>
        <w:rPr>
          <w:color w:val="000000" w:themeColor="text1"/>
          <w:sz w:val="16"/>
          <w:szCs w:val="16"/>
        </w:rPr>
      </w:pPr>
      <w:r w:rsidRPr="00507A31">
        <w:rPr>
          <w:color w:val="000000" w:themeColor="text1"/>
          <w:sz w:val="16"/>
          <w:szCs w:val="16"/>
        </w:rPr>
        <w:t>(Утверждено Политбюро ЦК ВКП(б) 5.II.1930 г.).</w:t>
      </w:r>
    </w:p>
    <w:p w14:paraId="09ED8D4A" w14:textId="77777777" w:rsidR="00BB137F" w:rsidRPr="00507A31" w:rsidRDefault="00BB137F" w:rsidP="00507A31">
      <w:pPr>
        <w:jc w:val="both"/>
        <w:rPr>
          <w:color w:val="000000" w:themeColor="text1"/>
          <w:sz w:val="16"/>
          <w:szCs w:val="16"/>
        </w:rPr>
      </w:pPr>
      <w:r w:rsidRPr="00507A31">
        <w:rPr>
          <w:color w:val="000000" w:themeColor="text1"/>
          <w:sz w:val="16"/>
          <w:szCs w:val="16"/>
        </w:rPr>
        <w:t>1. Объединяя около ⅓ машиностроения союзного значения, трест ГОМЗ'ы является крупнейшим в Союзе объединением тяжелой индустрии и одной из основных пролетарских баз центрально-промышленного района и всей страны. Являясь на ⅔ объединением транспортного машиностроения (паровозы, вагоны, суда), трест Гомзы имеет исключительное значение в работе транспорта.</w:t>
      </w:r>
    </w:p>
    <w:p w14:paraId="79520587" w14:textId="77777777" w:rsidR="00BB137F" w:rsidRPr="00507A31" w:rsidRDefault="00BB137F" w:rsidP="00507A31">
      <w:pPr>
        <w:jc w:val="both"/>
        <w:rPr>
          <w:color w:val="000000" w:themeColor="text1"/>
          <w:sz w:val="16"/>
          <w:szCs w:val="16"/>
        </w:rPr>
      </w:pPr>
      <w:r w:rsidRPr="00507A31">
        <w:rPr>
          <w:color w:val="000000" w:themeColor="text1"/>
          <w:sz w:val="16"/>
          <w:szCs w:val="16"/>
        </w:rPr>
        <w:t>За истекшие годы трест ГОМЗ'ы дает непрерывный рост выпуска, значительно превзошедший в настоящее время довоенный уровень. Рост нагрузки основного капитала сопровождался улучшением основных техно-экономических показателей, выпуск валовой продукции на 1 руб. основного капитала вырос в 1928/29 г. до 2 руб. против 1 руб. 73 коп. в 1927/28 г. Начиная с 1927/28 г. трест впервые начал выходить с прибылью. Трестом организованы некоторые новые производства, из коих значительные достижения имеются по дизелестроению (переход на производство наиболее современных моделей двигателей) и некоторое удешевление себестоимости.</w:t>
      </w:r>
    </w:p>
    <w:p w14:paraId="5AAB0E58" w14:textId="77777777" w:rsidR="00BB137F" w:rsidRPr="00507A31" w:rsidRDefault="00BB137F" w:rsidP="00507A31">
      <w:pPr>
        <w:jc w:val="both"/>
        <w:rPr>
          <w:color w:val="000000" w:themeColor="text1"/>
          <w:sz w:val="16"/>
          <w:szCs w:val="16"/>
        </w:rPr>
      </w:pPr>
      <w:r w:rsidRPr="00507A31">
        <w:rPr>
          <w:color w:val="000000" w:themeColor="text1"/>
          <w:sz w:val="16"/>
          <w:szCs w:val="16"/>
        </w:rPr>
        <w:t>2. Вместе с тем ЦК отмечает недостаточное выполнение заводами треста плановых заданий за 1928/29 г.: валовая продукция по заводам треста в целом составила 96% плана; еще меньше выполнение по токарной части продукции — 86% плана.</w:t>
      </w:r>
    </w:p>
    <w:p w14:paraId="6F521B03" w14:textId="77777777" w:rsidR="00BB137F" w:rsidRPr="00507A31" w:rsidRDefault="00BB137F" w:rsidP="00507A31">
      <w:pPr>
        <w:jc w:val="both"/>
        <w:rPr>
          <w:color w:val="000000" w:themeColor="text1"/>
          <w:sz w:val="16"/>
          <w:szCs w:val="16"/>
        </w:rPr>
      </w:pPr>
      <w:r w:rsidRPr="00507A31">
        <w:rPr>
          <w:color w:val="000000" w:themeColor="text1"/>
          <w:sz w:val="16"/>
          <w:szCs w:val="16"/>
        </w:rPr>
        <w:t>Средняя месячная зарплата выросла на 15% против 10% по плану, тогда как рост выработки на 1 рабочего составил всего только 22,1% вместо 28%, заданных планом. Снижение заводской себестоимости в среднем составило 6,5% вместо заданных 8,6%.</w:t>
      </w:r>
    </w:p>
    <w:p w14:paraId="3BE32226" w14:textId="77777777" w:rsidR="00BB137F" w:rsidRPr="00507A31" w:rsidRDefault="00BB137F" w:rsidP="00507A31">
      <w:pPr>
        <w:jc w:val="both"/>
        <w:rPr>
          <w:color w:val="000000" w:themeColor="text1"/>
          <w:sz w:val="16"/>
          <w:szCs w:val="16"/>
        </w:rPr>
      </w:pPr>
      <w:r w:rsidRPr="00507A31">
        <w:rPr>
          <w:color w:val="000000" w:themeColor="text1"/>
          <w:sz w:val="16"/>
          <w:szCs w:val="16"/>
        </w:rPr>
        <w:t>3. ЦК отмечает отсутствие производственных перспектив по заводам объединения, частые изменения производственных программ что, в связи с неудовлетворительной системой производственного планирования приводило к перебоям и производственным неполадкам. Простои и сверхурочные часы дали некоторое увеличение против прошлого года.</w:t>
      </w:r>
    </w:p>
    <w:p w14:paraId="13A1E08D" w14:textId="77777777" w:rsidR="00BB137F" w:rsidRPr="00507A31" w:rsidRDefault="00BB137F" w:rsidP="00507A31">
      <w:pPr>
        <w:jc w:val="both"/>
        <w:rPr>
          <w:color w:val="000000" w:themeColor="text1"/>
          <w:sz w:val="16"/>
          <w:szCs w:val="16"/>
        </w:rPr>
      </w:pPr>
      <w:r w:rsidRPr="00507A31">
        <w:rPr>
          <w:color w:val="000000" w:themeColor="text1"/>
          <w:sz w:val="16"/>
          <w:szCs w:val="16"/>
        </w:rPr>
        <w:t>4. Несмотря на значительные капитальные вложения, имевшие место за последние годы (в частности, строительства новых цехов), ни по Гомзе, ни по отдельным заводам не имеется законченных и утвержденных проектов реконструкции, увязанных с перспективами развития отдельных отраслей тяжелой промышленности.</w:t>
      </w:r>
    </w:p>
    <w:p w14:paraId="44304568" w14:textId="77777777" w:rsidR="00BB137F" w:rsidRPr="00507A31" w:rsidRDefault="00BB137F" w:rsidP="00507A31">
      <w:pPr>
        <w:jc w:val="both"/>
        <w:rPr>
          <w:color w:val="000000" w:themeColor="text1"/>
          <w:sz w:val="16"/>
          <w:szCs w:val="16"/>
        </w:rPr>
      </w:pPr>
      <w:r w:rsidRPr="00507A31">
        <w:rPr>
          <w:color w:val="000000" w:themeColor="text1"/>
          <w:sz w:val="16"/>
          <w:szCs w:val="16"/>
        </w:rPr>
        <w:t>Ошибки в осуществлении капитального строительства привели к тому, что сделанные до сего времени вложения в новые цеха не дали экономического эффекта.</w:t>
      </w:r>
    </w:p>
    <w:p w14:paraId="0AE38BDD" w14:textId="77777777" w:rsidR="00BB137F" w:rsidRPr="00507A31" w:rsidRDefault="00BB137F" w:rsidP="00507A31">
      <w:pPr>
        <w:jc w:val="both"/>
        <w:rPr>
          <w:color w:val="000000" w:themeColor="text1"/>
          <w:sz w:val="16"/>
          <w:szCs w:val="16"/>
        </w:rPr>
      </w:pPr>
      <w:r w:rsidRPr="00507A31">
        <w:rPr>
          <w:color w:val="000000" w:themeColor="text1"/>
          <w:sz w:val="16"/>
          <w:szCs w:val="16"/>
        </w:rPr>
        <w:t>В связи с этим ЦК отмечает неудовлетворительность работы Гипромез'а по вопросам реконструкции заводов Гомзы и неудовлетворительное руководство со стороны ВСНХ вопросами реконструкции машиностроения.</w:t>
      </w:r>
    </w:p>
    <w:p w14:paraId="56795209" w14:textId="77777777" w:rsidR="00BB137F" w:rsidRPr="00507A31" w:rsidRDefault="00BB137F" w:rsidP="00507A31">
      <w:pPr>
        <w:jc w:val="both"/>
        <w:rPr>
          <w:color w:val="000000" w:themeColor="text1"/>
          <w:sz w:val="16"/>
          <w:szCs w:val="16"/>
        </w:rPr>
      </w:pPr>
      <w:r w:rsidRPr="00507A31">
        <w:rPr>
          <w:color w:val="000000" w:themeColor="text1"/>
          <w:sz w:val="16"/>
          <w:szCs w:val="16"/>
        </w:rPr>
        <w:t>5. ЦК констатирует, что заводы Гомз'ы в их настоящем состоянии обладают производственными возможностями, обеспечивающими значительный дальнейший рост выпуска продукции и в частности удовлетворение потребности железнодорожного транспорта.</w:t>
      </w:r>
    </w:p>
    <w:p w14:paraId="074CF851" w14:textId="77777777" w:rsidR="00BB137F" w:rsidRPr="00507A31" w:rsidRDefault="00BB137F" w:rsidP="00507A31">
      <w:pPr>
        <w:jc w:val="both"/>
        <w:rPr>
          <w:color w:val="000000" w:themeColor="text1"/>
          <w:sz w:val="16"/>
          <w:szCs w:val="16"/>
        </w:rPr>
      </w:pPr>
      <w:r w:rsidRPr="00507A31">
        <w:rPr>
          <w:color w:val="000000" w:themeColor="text1"/>
          <w:sz w:val="16"/>
          <w:szCs w:val="16"/>
        </w:rPr>
        <w:t>В то же время наличке узких мест на заводах, ликвидации которых не уделялось со стороны ВСНХ и Гомз’ы внимания, служит в настоящее время препятствием в целом ряде случаев к дальнейшему развитию производства.</w:t>
      </w:r>
    </w:p>
    <w:p w14:paraId="2EDEF51F" w14:textId="77777777" w:rsidR="00BB137F" w:rsidRPr="00507A31" w:rsidRDefault="00BB137F" w:rsidP="00507A31">
      <w:pPr>
        <w:jc w:val="both"/>
        <w:rPr>
          <w:color w:val="000000" w:themeColor="text1"/>
          <w:sz w:val="16"/>
          <w:szCs w:val="16"/>
        </w:rPr>
      </w:pPr>
      <w:r w:rsidRPr="00507A31">
        <w:rPr>
          <w:color w:val="000000" w:themeColor="text1"/>
          <w:sz w:val="16"/>
          <w:szCs w:val="16"/>
        </w:rPr>
        <w:t>В частности ЦК отмечает крупную плановую ошибку ВСНХ и Гомзы, выразившуюся в потере темпа по реконструкции заготовительных цехов, которая создает критическое положение с некоторыми видами заготовок (стальное литье, дизельное литье). Указанное положение требует решительных мер по модернизации и расширению заготовительных цехов.</w:t>
      </w:r>
    </w:p>
    <w:p w14:paraId="3A6E7ADB" w14:textId="77777777" w:rsidR="00BB137F" w:rsidRPr="00507A31" w:rsidRDefault="00BB137F" w:rsidP="00507A31">
      <w:pPr>
        <w:jc w:val="both"/>
        <w:rPr>
          <w:color w:val="000000" w:themeColor="text1"/>
          <w:sz w:val="16"/>
          <w:szCs w:val="16"/>
        </w:rPr>
      </w:pPr>
      <w:r w:rsidRPr="00507A31">
        <w:rPr>
          <w:color w:val="000000" w:themeColor="text1"/>
          <w:sz w:val="16"/>
          <w:szCs w:val="16"/>
        </w:rPr>
        <w:t>6. В области общей постановки производства ЦК отмечает:</w:t>
      </w:r>
    </w:p>
    <w:p w14:paraId="3B6C002C" w14:textId="77777777" w:rsidR="00BB137F" w:rsidRPr="00507A31" w:rsidRDefault="00BB137F" w:rsidP="00507A31">
      <w:pPr>
        <w:jc w:val="both"/>
        <w:rPr>
          <w:color w:val="000000" w:themeColor="text1"/>
          <w:sz w:val="16"/>
          <w:szCs w:val="16"/>
        </w:rPr>
      </w:pPr>
      <w:r w:rsidRPr="00507A31">
        <w:rPr>
          <w:color w:val="000000" w:themeColor="text1"/>
          <w:sz w:val="16"/>
          <w:szCs w:val="16"/>
        </w:rPr>
        <w:t>а) недостаточное проведение специализации заводов и кооперирования их заготовительных цехов;</w:t>
      </w:r>
    </w:p>
    <w:p w14:paraId="394F5EF1" w14:textId="77777777" w:rsidR="00BB137F" w:rsidRPr="00507A31" w:rsidRDefault="00BB137F" w:rsidP="00507A31">
      <w:pPr>
        <w:jc w:val="both"/>
        <w:rPr>
          <w:color w:val="000000" w:themeColor="text1"/>
          <w:sz w:val="16"/>
          <w:szCs w:val="16"/>
        </w:rPr>
      </w:pPr>
      <w:r w:rsidRPr="00507A31">
        <w:rPr>
          <w:color w:val="000000" w:themeColor="text1"/>
          <w:sz w:val="16"/>
          <w:szCs w:val="16"/>
        </w:rPr>
        <w:t>б) совершенно недостаточное внедрение иностранного технического опыта в заводы Гомз’ы; слабый темп развития новых производств и использования договоров о техническом содействии (дизеля, холодильные машины);</w:t>
      </w:r>
    </w:p>
    <w:p w14:paraId="34FA1DEA" w14:textId="77777777" w:rsidR="00BB137F" w:rsidRPr="00507A31" w:rsidRDefault="00BB137F" w:rsidP="00507A31">
      <w:pPr>
        <w:jc w:val="both"/>
        <w:rPr>
          <w:color w:val="000000" w:themeColor="text1"/>
          <w:sz w:val="16"/>
          <w:szCs w:val="16"/>
        </w:rPr>
      </w:pPr>
      <w:r w:rsidRPr="00507A31">
        <w:rPr>
          <w:color w:val="000000" w:themeColor="text1"/>
          <w:sz w:val="16"/>
          <w:szCs w:val="16"/>
        </w:rPr>
        <w:t>в) высокую себестоимость по некоторым видам продукции, против других передовых заводов СССР с аналогичными производствами;</w:t>
      </w:r>
    </w:p>
    <w:p w14:paraId="7A5A7617" w14:textId="77777777" w:rsidR="00BB137F" w:rsidRPr="00507A31" w:rsidRDefault="00BB137F" w:rsidP="00507A31">
      <w:pPr>
        <w:jc w:val="both"/>
        <w:rPr>
          <w:color w:val="000000" w:themeColor="text1"/>
          <w:sz w:val="16"/>
          <w:szCs w:val="16"/>
        </w:rPr>
      </w:pPr>
      <w:r w:rsidRPr="00507A31">
        <w:rPr>
          <w:color w:val="000000" w:themeColor="text1"/>
          <w:sz w:val="16"/>
          <w:szCs w:val="16"/>
        </w:rPr>
        <w:t>г) неудовлетворительное состояние инструментального, калиберного дела и заводских лабораторий;</w:t>
      </w:r>
    </w:p>
    <w:p w14:paraId="7B71599F" w14:textId="77777777" w:rsidR="00BB137F" w:rsidRPr="00507A31" w:rsidRDefault="00BB137F" w:rsidP="00507A31">
      <w:pPr>
        <w:jc w:val="both"/>
        <w:rPr>
          <w:color w:val="000000" w:themeColor="text1"/>
          <w:sz w:val="16"/>
          <w:szCs w:val="16"/>
        </w:rPr>
      </w:pPr>
      <w:r w:rsidRPr="00507A31">
        <w:rPr>
          <w:color w:val="000000" w:themeColor="text1"/>
          <w:sz w:val="16"/>
          <w:szCs w:val="16"/>
        </w:rPr>
        <w:t>д) недостаточное внимание к технико-нормировочной работе на заводах и наличие в ряде случаев хвостистских настроений со стороны заводских профорганизаций в вопросах технического нормирования;</w:t>
      </w:r>
    </w:p>
    <w:p w14:paraId="46881FF9" w14:textId="77777777" w:rsidR="00BB137F" w:rsidRPr="00507A31" w:rsidRDefault="00BB137F" w:rsidP="00507A31">
      <w:pPr>
        <w:jc w:val="both"/>
        <w:rPr>
          <w:color w:val="000000" w:themeColor="text1"/>
          <w:sz w:val="16"/>
          <w:szCs w:val="16"/>
        </w:rPr>
      </w:pPr>
      <w:r w:rsidRPr="00507A31">
        <w:rPr>
          <w:color w:val="000000" w:themeColor="text1"/>
          <w:sz w:val="16"/>
          <w:szCs w:val="16"/>
        </w:rPr>
        <w:t>е) крайнюю техническую отсталость металлургических цехов и высокую себестоимость металла.</w:t>
      </w:r>
    </w:p>
    <w:p w14:paraId="6F3F6CFE" w14:textId="77777777" w:rsidR="00BB137F" w:rsidRPr="00507A31" w:rsidRDefault="00BB137F" w:rsidP="00507A31">
      <w:pPr>
        <w:jc w:val="both"/>
        <w:rPr>
          <w:color w:val="000000" w:themeColor="text1"/>
          <w:sz w:val="16"/>
          <w:szCs w:val="16"/>
        </w:rPr>
      </w:pPr>
      <w:r w:rsidRPr="00507A31">
        <w:rPr>
          <w:color w:val="000000" w:themeColor="text1"/>
          <w:sz w:val="16"/>
          <w:szCs w:val="16"/>
        </w:rPr>
        <w:t>7. ЦК признает недостаточной работу профорганизаций по втягиванию масс в социалистическое соревнование и признает, что наличие в ряде случаев производственной бесплановости хозорганов служит причиной распадения ударных бригад (Сормово) и тем самым срывает ход соцсоревнования.</w:t>
      </w:r>
    </w:p>
    <w:p w14:paraId="6F454ECC" w14:textId="77777777" w:rsidR="00BB137F" w:rsidRPr="00507A31" w:rsidRDefault="00BB137F" w:rsidP="00507A31">
      <w:pPr>
        <w:jc w:val="both"/>
        <w:rPr>
          <w:color w:val="000000" w:themeColor="text1"/>
          <w:sz w:val="16"/>
          <w:szCs w:val="16"/>
        </w:rPr>
      </w:pPr>
      <w:r w:rsidRPr="00507A31">
        <w:rPr>
          <w:color w:val="000000" w:themeColor="text1"/>
          <w:sz w:val="16"/>
          <w:szCs w:val="16"/>
        </w:rPr>
        <w:t>8. Средняя насыщенность инженерно-техническими работниками составляет 0,9%, что является совершенно недостаточным.</w:t>
      </w:r>
    </w:p>
    <w:p w14:paraId="50ECD222" w14:textId="77777777" w:rsidR="00BB137F" w:rsidRPr="00507A31" w:rsidRDefault="00BB137F" w:rsidP="00507A31">
      <w:pPr>
        <w:jc w:val="both"/>
        <w:rPr>
          <w:color w:val="000000" w:themeColor="text1"/>
          <w:sz w:val="16"/>
          <w:szCs w:val="16"/>
        </w:rPr>
      </w:pPr>
      <w:r w:rsidRPr="00507A31">
        <w:rPr>
          <w:color w:val="000000" w:themeColor="text1"/>
          <w:sz w:val="16"/>
          <w:szCs w:val="16"/>
        </w:rPr>
        <w:t>Совершенно ненормальным следует признать высокий процент текучести среди специалистов, в основном происходящий за счет молодых инженеров.</w:t>
      </w:r>
    </w:p>
    <w:p w14:paraId="28463D17" w14:textId="77777777" w:rsidR="00BB137F" w:rsidRPr="00507A31" w:rsidRDefault="00BB137F" w:rsidP="00507A31">
      <w:pPr>
        <w:jc w:val="both"/>
        <w:rPr>
          <w:color w:val="000000" w:themeColor="text1"/>
          <w:sz w:val="16"/>
          <w:szCs w:val="16"/>
        </w:rPr>
      </w:pPr>
      <w:r w:rsidRPr="00507A31">
        <w:rPr>
          <w:color w:val="000000" w:themeColor="text1"/>
          <w:sz w:val="16"/>
          <w:szCs w:val="16"/>
        </w:rPr>
        <w:t>Начавшееся выдвижение на заводах партийцев — квалифицированных рабочих на руководящую административно-техническую работу признать удавшимся и опыт подлежащим расширению. Вместе с тем совершенно еще недостаточно развита работа по переподготовке и поднятию квалификации выдвиженцев административно-технических работников.</w:t>
      </w:r>
    </w:p>
    <w:p w14:paraId="29A273EC" w14:textId="77777777" w:rsidR="00BB137F" w:rsidRPr="00507A31" w:rsidRDefault="00BB137F" w:rsidP="00507A31">
      <w:pPr>
        <w:jc w:val="both"/>
        <w:rPr>
          <w:color w:val="000000" w:themeColor="text1"/>
          <w:sz w:val="16"/>
          <w:szCs w:val="16"/>
        </w:rPr>
      </w:pPr>
      <w:r w:rsidRPr="00507A31">
        <w:rPr>
          <w:color w:val="000000" w:themeColor="text1"/>
          <w:sz w:val="16"/>
          <w:szCs w:val="16"/>
        </w:rPr>
        <w:t>Исходя из этого, ЦК постановляет:</w:t>
      </w:r>
    </w:p>
    <w:p w14:paraId="5845F309" w14:textId="77777777" w:rsidR="00BB137F" w:rsidRPr="00507A31" w:rsidRDefault="00BB137F" w:rsidP="00507A31">
      <w:pPr>
        <w:jc w:val="both"/>
        <w:rPr>
          <w:color w:val="000000" w:themeColor="text1"/>
          <w:sz w:val="16"/>
          <w:szCs w:val="16"/>
        </w:rPr>
      </w:pPr>
      <w:r w:rsidRPr="00507A31">
        <w:rPr>
          <w:color w:val="000000" w:themeColor="text1"/>
          <w:sz w:val="16"/>
          <w:szCs w:val="16"/>
        </w:rPr>
        <w:t>1. В связи с уже имеющимися решениями правительственных органов об организации специализированных трестов тяжелого машиностроения (паровозно-дизельный, вагонный, речной, судостроительный и др.), ВСНХ СССР должен в кратчайший срок реорганизовать заводы Гомз'ы.</w:t>
      </w:r>
    </w:p>
    <w:p w14:paraId="0E8972FE" w14:textId="77777777" w:rsidR="00BB137F" w:rsidRPr="00507A31" w:rsidRDefault="00BB137F" w:rsidP="00507A31">
      <w:pPr>
        <w:jc w:val="both"/>
        <w:rPr>
          <w:color w:val="000000" w:themeColor="text1"/>
          <w:sz w:val="16"/>
          <w:szCs w:val="16"/>
        </w:rPr>
      </w:pPr>
      <w:r w:rsidRPr="00507A31">
        <w:rPr>
          <w:color w:val="000000" w:themeColor="text1"/>
          <w:sz w:val="16"/>
          <w:szCs w:val="16"/>
        </w:rPr>
        <w:t>Реорганизация заводов треста Гомз'ы, а также и других заводов тяжелого машиностроения должна быть осуществлена таким образом, чтобы не было перебоев в выполнении текущей производственной программы и чтобы к началу 1930/31 г. все заводы, входящие ныне в Гомз'у, имели бы ясную производственную установку и утвержденную ВСНХ пятилетку.</w:t>
      </w:r>
    </w:p>
    <w:p w14:paraId="4A0D4221" w14:textId="77777777" w:rsidR="00BB137F" w:rsidRPr="00507A31" w:rsidRDefault="00BB137F" w:rsidP="00507A31">
      <w:pPr>
        <w:jc w:val="both"/>
        <w:rPr>
          <w:color w:val="000000" w:themeColor="text1"/>
          <w:sz w:val="16"/>
          <w:szCs w:val="16"/>
        </w:rPr>
      </w:pPr>
      <w:r w:rsidRPr="00507A31">
        <w:rPr>
          <w:color w:val="000000" w:themeColor="text1"/>
          <w:sz w:val="16"/>
          <w:szCs w:val="16"/>
        </w:rPr>
        <w:t>2. В тесной связи с производственной установкой должна быть пересмотрена существующая пятилетка машиностроения в целом, а также планы капитальных работ по машиностроительным заводам в направлении:</w:t>
      </w:r>
    </w:p>
    <w:p w14:paraId="79AECD3E" w14:textId="77777777" w:rsidR="00BB137F" w:rsidRPr="00507A31" w:rsidRDefault="00BB137F" w:rsidP="00507A31">
      <w:pPr>
        <w:jc w:val="both"/>
        <w:rPr>
          <w:color w:val="000000" w:themeColor="text1"/>
          <w:sz w:val="16"/>
          <w:szCs w:val="16"/>
        </w:rPr>
      </w:pPr>
      <w:r w:rsidRPr="00507A31">
        <w:rPr>
          <w:color w:val="000000" w:themeColor="text1"/>
          <w:sz w:val="16"/>
          <w:szCs w:val="16"/>
        </w:rPr>
        <w:lastRenderedPageBreak/>
        <w:t>а) значительного усиления дефицитных отраслей машиностроения (горно-металлургического оборудования, химического, строительных и дорожных машин, холодильных и проч.);</w:t>
      </w:r>
    </w:p>
    <w:p w14:paraId="4204BAE2" w14:textId="77777777" w:rsidR="00BB137F" w:rsidRPr="00507A31" w:rsidRDefault="00BB137F" w:rsidP="00507A31">
      <w:pPr>
        <w:jc w:val="both"/>
        <w:rPr>
          <w:color w:val="000000" w:themeColor="text1"/>
          <w:sz w:val="16"/>
          <w:szCs w:val="16"/>
        </w:rPr>
      </w:pPr>
      <w:r w:rsidRPr="00507A31">
        <w:rPr>
          <w:color w:val="000000" w:themeColor="text1"/>
          <w:sz w:val="16"/>
          <w:szCs w:val="16"/>
        </w:rPr>
        <w:t>б) полной мобилизации внутренних ресурсов и ликвидации узких мест;</w:t>
      </w:r>
    </w:p>
    <w:p w14:paraId="4A825794" w14:textId="77777777" w:rsidR="00BB137F" w:rsidRPr="00507A31" w:rsidRDefault="00BB137F" w:rsidP="00507A31">
      <w:pPr>
        <w:jc w:val="both"/>
        <w:rPr>
          <w:color w:val="000000" w:themeColor="text1"/>
          <w:sz w:val="16"/>
          <w:szCs w:val="16"/>
        </w:rPr>
      </w:pPr>
      <w:r w:rsidRPr="00507A31">
        <w:rPr>
          <w:color w:val="000000" w:themeColor="text1"/>
          <w:sz w:val="16"/>
          <w:szCs w:val="16"/>
        </w:rPr>
        <w:t>в) последовательного и твердого проведения специализации и кооперирования заводов и концентрации их заготовительных цехов.</w:t>
      </w:r>
    </w:p>
    <w:p w14:paraId="05669CB0" w14:textId="77777777" w:rsidR="00BB137F" w:rsidRPr="00507A31" w:rsidRDefault="00BB137F" w:rsidP="00507A31">
      <w:pPr>
        <w:jc w:val="both"/>
        <w:rPr>
          <w:color w:val="000000" w:themeColor="text1"/>
          <w:sz w:val="16"/>
          <w:szCs w:val="16"/>
        </w:rPr>
      </w:pPr>
      <w:r w:rsidRPr="00507A31">
        <w:rPr>
          <w:color w:val="000000" w:themeColor="text1"/>
          <w:sz w:val="16"/>
          <w:szCs w:val="16"/>
        </w:rPr>
        <w:t>План реконструкции заводов машиностроения должен быть составлен как единый план, охватывающий в отраслевом разрезе соответствующие заводы.</w:t>
      </w:r>
    </w:p>
    <w:p w14:paraId="4C95D032" w14:textId="77777777" w:rsidR="00BB137F" w:rsidRPr="00507A31" w:rsidRDefault="00BB137F" w:rsidP="00507A31">
      <w:pPr>
        <w:jc w:val="both"/>
        <w:rPr>
          <w:color w:val="000000" w:themeColor="text1"/>
          <w:sz w:val="16"/>
          <w:szCs w:val="16"/>
        </w:rPr>
      </w:pPr>
      <w:r w:rsidRPr="00507A31">
        <w:rPr>
          <w:color w:val="000000" w:themeColor="text1"/>
          <w:sz w:val="16"/>
          <w:szCs w:val="16"/>
        </w:rPr>
        <w:t>3. ЦК одобряет решение НК РКИ и ВСНХ о разделении Гипромеза на отдельные специализированные проектные организации и обращает внимание ВСНХ на необходимость в связи с этим усиления с его стороны общего руководства и планирования капитальных затрат по машиностроению в союзной, а также республиканской и местной промышленности.</w:t>
      </w:r>
    </w:p>
    <w:p w14:paraId="2A60FA36" w14:textId="77777777" w:rsidR="00BB137F" w:rsidRPr="00507A31" w:rsidRDefault="00BB137F" w:rsidP="00507A31">
      <w:pPr>
        <w:jc w:val="both"/>
        <w:rPr>
          <w:color w:val="000000" w:themeColor="text1"/>
          <w:sz w:val="16"/>
          <w:szCs w:val="16"/>
        </w:rPr>
      </w:pPr>
      <w:r w:rsidRPr="00507A31">
        <w:rPr>
          <w:color w:val="000000" w:themeColor="text1"/>
          <w:sz w:val="16"/>
          <w:szCs w:val="16"/>
        </w:rPr>
        <w:t>4. Параллельно с усилением и специализацией проектных организации должны быть приняты решительные меры к усилению конструкторских бюро по отдельным отраслям машиностроения и к повышению качества их работы.</w:t>
      </w:r>
    </w:p>
    <w:p w14:paraId="656BC09B" w14:textId="77777777" w:rsidR="00BB137F" w:rsidRPr="00507A31" w:rsidRDefault="00BB137F" w:rsidP="00507A31">
      <w:pPr>
        <w:jc w:val="both"/>
        <w:rPr>
          <w:color w:val="000000" w:themeColor="text1"/>
          <w:sz w:val="16"/>
          <w:szCs w:val="16"/>
        </w:rPr>
      </w:pPr>
      <w:r w:rsidRPr="00507A31">
        <w:rPr>
          <w:color w:val="000000" w:themeColor="text1"/>
          <w:sz w:val="16"/>
          <w:szCs w:val="16"/>
        </w:rPr>
        <w:t>Обязать ВСНХ пересмотреть типы производимых в настоящее время основных изделий тяжелого машиностроения в целях отбора из них наиболее современных и экономических моделей и ликвидации производства устаревших.</w:t>
      </w:r>
    </w:p>
    <w:p w14:paraId="71C8F616" w14:textId="77777777" w:rsidR="00BB137F" w:rsidRPr="00507A31" w:rsidRDefault="00BB137F" w:rsidP="00507A31">
      <w:pPr>
        <w:jc w:val="both"/>
        <w:rPr>
          <w:color w:val="000000" w:themeColor="text1"/>
          <w:sz w:val="16"/>
          <w:szCs w:val="16"/>
        </w:rPr>
      </w:pPr>
      <w:r w:rsidRPr="00507A31">
        <w:rPr>
          <w:color w:val="000000" w:themeColor="text1"/>
          <w:sz w:val="16"/>
          <w:szCs w:val="16"/>
        </w:rPr>
        <w:t>5. Исключительное внимание должно быть уделено работе заготовительных цехов, их модернизации и снижению брака полуфабрикатов.</w:t>
      </w:r>
    </w:p>
    <w:p w14:paraId="4595ACE4" w14:textId="77777777" w:rsidR="00BB137F" w:rsidRPr="00507A31" w:rsidRDefault="00BB137F" w:rsidP="00507A31">
      <w:pPr>
        <w:jc w:val="both"/>
        <w:rPr>
          <w:color w:val="000000" w:themeColor="text1"/>
          <w:sz w:val="16"/>
          <w:szCs w:val="16"/>
        </w:rPr>
      </w:pPr>
      <w:r w:rsidRPr="00507A31">
        <w:rPr>
          <w:color w:val="000000" w:themeColor="text1"/>
          <w:sz w:val="16"/>
          <w:szCs w:val="16"/>
        </w:rPr>
        <w:t>ВСНХ СССР должен уже в текущем году предусмотреть такую передвижку средств на капитальные работы и рационализацию, которая бы подтянула производительность заготовительных цехов до необходимого уровня, соответствующего производительности выпускных цехов.</w:t>
      </w:r>
    </w:p>
    <w:p w14:paraId="1A168D42" w14:textId="77777777" w:rsidR="00BB137F" w:rsidRPr="00507A31" w:rsidRDefault="00BB137F" w:rsidP="00507A31">
      <w:pPr>
        <w:jc w:val="both"/>
        <w:rPr>
          <w:color w:val="000000" w:themeColor="text1"/>
          <w:sz w:val="16"/>
          <w:szCs w:val="16"/>
        </w:rPr>
      </w:pPr>
      <w:r w:rsidRPr="00507A31">
        <w:rPr>
          <w:color w:val="000000" w:themeColor="text1"/>
          <w:sz w:val="16"/>
          <w:szCs w:val="16"/>
        </w:rPr>
        <w:t>ЦК обращает внимание ВСНХ на необходимость перенесения достижений Америки и Европы в области заготовительных цехов — создание мощных и в то же время специализированных центральных кузниц и литейных.</w:t>
      </w:r>
    </w:p>
    <w:p w14:paraId="6E35DC10" w14:textId="77777777" w:rsidR="00BB137F" w:rsidRPr="00507A31" w:rsidRDefault="00BB137F" w:rsidP="00507A31">
      <w:pPr>
        <w:jc w:val="both"/>
        <w:rPr>
          <w:color w:val="000000" w:themeColor="text1"/>
          <w:sz w:val="16"/>
          <w:szCs w:val="16"/>
        </w:rPr>
      </w:pPr>
      <w:r w:rsidRPr="00507A31">
        <w:rPr>
          <w:color w:val="000000" w:themeColor="text1"/>
          <w:sz w:val="16"/>
          <w:szCs w:val="16"/>
        </w:rPr>
        <w:t>6. ЦК поручает Госплану, ВСНХ и НКПС не позже 1.III.1930 г. определить перспективную потребность в речных судах, разработать на основе этих данных твердый календарный план речного судостроения по годам и план строительства новых верфей по всему бассейну Волга-Каспий; одновременно с этим провести работу по стандартизации строящихся речных судов.</w:t>
      </w:r>
    </w:p>
    <w:p w14:paraId="23484FC5" w14:textId="77777777" w:rsidR="00BB137F" w:rsidRPr="00507A31" w:rsidRDefault="00BB137F" w:rsidP="00507A31">
      <w:pPr>
        <w:jc w:val="both"/>
        <w:rPr>
          <w:color w:val="000000" w:themeColor="text1"/>
          <w:sz w:val="16"/>
          <w:szCs w:val="16"/>
        </w:rPr>
      </w:pPr>
      <w:r w:rsidRPr="00507A31">
        <w:rPr>
          <w:color w:val="000000" w:themeColor="text1"/>
          <w:sz w:val="16"/>
          <w:szCs w:val="16"/>
        </w:rPr>
        <w:t>7. Обязать ВСНХ не позже 1 марта 1930 г. закончить, подвергнуть экспертизе и утвердить проект Сормовской судоверфи, предусмотрев осуществление строительства в минимально-возможным срок.</w:t>
      </w:r>
    </w:p>
    <w:p w14:paraId="2828F915" w14:textId="77777777" w:rsidR="00BB137F" w:rsidRPr="00507A31" w:rsidRDefault="00BB137F" w:rsidP="00507A31">
      <w:pPr>
        <w:jc w:val="both"/>
        <w:rPr>
          <w:color w:val="000000" w:themeColor="text1"/>
          <w:sz w:val="16"/>
          <w:szCs w:val="16"/>
        </w:rPr>
      </w:pPr>
      <w:r w:rsidRPr="00507A31">
        <w:rPr>
          <w:color w:val="000000" w:themeColor="text1"/>
          <w:sz w:val="16"/>
          <w:szCs w:val="16"/>
        </w:rPr>
        <w:t>8. Поручить СТО и ВСНХ в месячный срок проработать вопрос о наиболее целесообразном направление капитальных вложений по заводам малой металлургии центрального района, базирующихся на ломе, имея в виду необходимость наибольшей концентрации вложений и обеспечение заводов специального машиностроения необходимыми базами качественного металла.</w:t>
      </w:r>
    </w:p>
    <w:p w14:paraId="46E85D2A" w14:textId="77777777" w:rsidR="00BB137F" w:rsidRPr="00507A31" w:rsidRDefault="00BB137F" w:rsidP="00507A31">
      <w:pPr>
        <w:jc w:val="both"/>
        <w:rPr>
          <w:color w:val="000000" w:themeColor="text1"/>
          <w:sz w:val="16"/>
          <w:szCs w:val="16"/>
        </w:rPr>
      </w:pPr>
      <w:r w:rsidRPr="00507A31">
        <w:rPr>
          <w:color w:val="000000" w:themeColor="text1"/>
          <w:sz w:val="16"/>
          <w:szCs w:val="16"/>
        </w:rPr>
        <w:t>9. В целях ликвидации отдельных узких мест по отдельным заводам Гомзы, препятствующих дальнейшему развитию производительности, поручить ВСНХ за счет его импортного контингента обеспечить в текущем году получение заводами Гомз’ы дополнительной партии станков, в которых испытывается наиболее острая нужда, не сумму не свыше 300 тыс. руб.</w:t>
      </w:r>
    </w:p>
    <w:p w14:paraId="5B4AF97C" w14:textId="77777777" w:rsidR="00BB137F" w:rsidRPr="00507A31" w:rsidRDefault="00BB137F" w:rsidP="00507A31">
      <w:pPr>
        <w:jc w:val="both"/>
        <w:rPr>
          <w:color w:val="000000" w:themeColor="text1"/>
          <w:sz w:val="16"/>
          <w:szCs w:val="16"/>
        </w:rPr>
      </w:pPr>
      <w:r w:rsidRPr="00507A31">
        <w:rPr>
          <w:color w:val="000000" w:themeColor="text1"/>
          <w:sz w:val="16"/>
          <w:szCs w:val="16"/>
        </w:rPr>
        <w:t>10. В виду явной недостаточности намеченного по пятилетке производства дизелей в СССР, а также в целях дальнейшего снижения себестоимости, стандартизации типов дизелей и наиболее полного использования заграничной техпомощи и полного освобождения от импорта, признать необходимым в кратчайший срок объединить все дизелестроение в одном тресте (заводы — Коломенский, Сормовский, Харьковский, Русские дизеля и др.).</w:t>
      </w:r>
    </w:p>
    <w:p w14:paraId="6651F318" w14:textId="77777777" w:rsidR="00BB137F" w:rsidRPr="00507A31" w:rsidRDefault="00BB137F" w:rsidP="00507A31">
      <w:pPr>
        <w:jc w:val="both"/>
        <w:rPr>
          <w:color w:val="000000" w:themeColor="text1"/>
          <w:sz w:val="16"/>
          <w:szCs w:val="16"/>
        </w:rPr>
      </w:pPr>
      <w:r w:rsidRPr="00507A31">
        <w:rPr>
          <w:color w:val="000000" w:themeColor="text1"/>
          <w:sz w:val="16"/>
          <w:szCs w:val="16"/>
        </w:rPr>
        <w:t>11. В связи с напряженным положением с металлом, исключительное значение приобретает проблема снабжения заводов Гомзы качественным металлом и заготовками. ВСНХ должен обратить особое внимание на достижение строгой плановости в деле снабжения, четкого выполнения сроков и прикрепления заводов Гомзы к определенным базам-заводам, снабжающим металлом и полуфабрикатами.</w:t>
      </w:r>
    </w:p>
    <w:p w14:paraId="70E7D2E2" w14:textId="77777777" w:rsidR="00BB137F" w:rsidRPr="00507A31" w:rsidRDefault="00BB137F" w:rsidP="00507A31">
      <w:pPr>
        <w:jc w:val="both"/>
        <w:rPr>
          <w:color w:val="000000" w:themeColor="text1"/>
          <w:sz w:val="16"/>
          <w:szCs w:val="16"/>
        </w:rPr>
      </w:pPr>
      <w:r w:rsidRPr="00507A31">
        <w:rPr>
          <w:color w:val="000000" w:themeColor="text1"/>
          <w:sz w:val="16"/>
          <w:szCs w:val="16"/>
        </w:rPr>
        <w:t>В целях большего обеспечения заготовками (литье, поковки) должны быть использованы все недогруженные заводы, а также и железнодорожные мастерские.</w:t>
      </w:r>
    </w:p>
    <w:p w14:paraId="089208EA" w14:textId="77777777" w:rsidR="00BB137F" w:rsidRPr="00507A31" w:rsidRDefault="00BB137F" w:rsidP="00507A31">
      <w:pPr>
        <w:jc w:val="both"/>
        <w:rPr>
          <w:color w:val="000000" w:themeColor="text1"/>
          <w:sz w:val="16"/>
          <w:szCs w:val="16"/>
        </w:rPr>
      </w:pPr>
      <w:r w:rsidRPr="00507A31">
        <w:rPr>
          <w:color w:val="000000" w:themeColor="text1"/>
          <w:sz w:val="16"/>
          <w:szCs w:val="16"/>
        </w:rPr>
        <w:t>12. Перейти не систему 2</w:t>
      </w:r>
      <w:r w:rsidRPr="00507A31">
        <w:rPr>
          <w:color w:val="000000" w:themeColor="text1"/>
          <w:sz w:val="16"/>
          <w:szCs w:val="16"/>
        </w:rPr>
        <w:noBreakHyphen/>
        <w:t>х и 3</w:t>
      </w:r>
      <w:r w:rsidRPr="00507A31">
        <w:rPr>
          <w:color w:val="000000" w:themeColor="text1"/>
          <w:sz w:val="16"/>
          <w:szCs w:val="16"/>
        </w:rPr>
        <w:noBreakHyphen/>
        <w:t>х летних плановых заказов по основным видам тяжелого машиностроения.</w:t>
      </w:r>
    </w:p>
    <w:p w14:paraId="656CA031" w14:textId="77777777" w:rsidR="00BB137F" w:rsidRPr="00507A31" w:rsidRDefault="00BB137F" w:rsidP="00507A31">
      <w:pPr>
        <w:jc w:val="both"/>
        <w:rPr>
          <w:color w:val="000000" w:themeColor="text1"/>
          <w:sz w:val="16"/>
          <w:szCs w:val="16"/>
        </w:rPr>
      </w:pPr>
      <w:r w:rsidRPr="00507A31">
        <w:rPr>
          <w:color w:val="000000" w:themeColor="text1"/>
          <w:sz w:val="16"/>
          <w:szCs w:val="16"/>
        </w:rPr>
        <w:t>13. Признавая недостаточными вложения на жилстроительство в основные заводы Гомзы, растягиваемые на ряд лет и не отвечающие задачам укрепления постоянных пролетарских кадров этих районов и увеличению количества техперсонала, обязать ВСНХ предусмотреть увеличение ассигнований на жилстроительство этих заводов.</w:t>
      </w:r>
    </w:p>
    <w:p w14:paraId="134A77EE" w14:textId="77777777" w:rsidR="00BB137F" w:rsidRPr="00507A31" w:rsidRDefault="00BB137F" w:rsidP="00507A31">
      <w:pPr>
        <w:jc w:val="both"/>
        <w:rPr>
          <w:color w:val="000000" w:themeColor="text1"/>
          <w:sz w:val="16"/>
          <w:szCs w:val="16"/>
        </w:rPr>
      </w:pPr>
      <w:r w:rsidRPr="00507A31">
        <w:rPr>
          <w:color w:val="000000" w:themeColor="text1"/>
          <w:sz w:val="16"/>
          <w:szCs w:val="16"/>
        </w:rPr>
        <w:t>14. Поручить ВСНХ направить на предприятия Гомз'ы в течение 1929/30 г. не менее 200 молодых специалистов (инженеров и экономистов), в том числе не менее 40 членов ВКП(б).</w:t>
      </w:r>
    </w:p>
    <w:p w14:paraId="2AE7B02B" w14:textId="77777777" w:rsidR="00BB137F" w:rsidRPr="00507A31" w:rsidRDefault="00BB137F" w:rsidP="00507A31">
      <w:pPr>
        <w:jc w:val="both"/>
        <w:rPr>
          <w:color w:val="000000" w:themeColor="text1"/>
          <w:sz w:val="16"/>
          <w:szCs w:val="16"/>
        </w:rPr>
      </w:pPr>
      <w:r w:rsidRPr="00507A31">
        <w:rPr>
          <w:color w:val="000000" w:themeColor="text1"/>
          <w:sz w:val="16"/>
          <w:szCs w:val="16"/>
        </w:rPr>
        <w:t>15. Считать необходимым наиболее полное использование заключенных договоров о техническом содействии (дизеля, холодильные машины и пр.) как в области применения наиболее современных конструкций, так и в постановке технологического процесса, ставя себе задачей достижение наилучших иностранных техно-экономических показателей; обратить особое внимание на использование заграничной техники, увеличив количество командируемых с заводов Гомз'ы инженеров и техников заграницу.</w:t>
      </w:r>
    </w:p>
    <w:p w14:paraId="155E18C5" w14:textId="77777777" w:rsidR="00BB137F" w:rsidRPr="00507A31" w:rsidRDefault="00BB137F" w:rsidP="00507A31">
      <w:pPr>
        <w:jc w:val="both"/>
        <w:rPr>
          <w:color w:val="000000" w:themeColor="text1"/>
          <w:sz w:val="16"/>
          <w:szCs w:val="16"/>
        </w:rPr>
      </w:pPr>
      <w:r w:rsidRPr="00507A31">
        <w:rPr>
          <w:color w:val="000000" w:themeColor="text1"/>
          <w:sz w:val="16"/>
          <w:szCs w:val="16"/>
        </w:rPr>
        <w:t>16. Выявленная в металлопромышленности, и в частности в ГОМЗ'е вредительская организация, работала по дезорганизации производства, распылению средств на капитальные работы, созданию финансовых затруднений и имела своей конечной целью сдачу заводов в концессию прежним владельцам, причем, эта вредительская организация в течение нескольких лет вела свою разрушительную работу, прикрываясь иногда слепым доверием и отсутствием критического отношения со стороны отдельных руководителей в хозорганах. Необходимо хозяйственным, профессиональным и партийным организациям принять решительные меры к организации действительного вовлечения широких рабочих масс и инженерно-технического персонала в дело проработки и контроля над проведением планов развития работы заводов для того, чтобы не только предотвратить возможность повторения, но и ликвидировать в кратчайший срок последствия этой вредительской работы.</w:t>
      </w:r>
    </w:p>
    <w:p w14:paraId="55E90B6A" w14:textId="77777777" w:rsidR="00BB137F" w:rsidRPr="00507A31" w:rsidRDefault="00BB137F" w:rsidP="00507A31">
      <w:pPr>
        <w:jc w:val="both"/>
        <w:rPr>
          <w:color w:val="000000" w:themeColor="text1"/>
          <w:sz w:val="16"/>
          <w:szCs w:val="16"/>
        </w:rPr>
      </w:pPr>
      <w:r w:rsidRPr="00507A31">
        <w:rPr>
          <w:color w:val="000000" w:themeColor="text1"/>
          <w:sz w:val="16"/>
          <w:szCs w:val="16"/>
        </w:rPr>
        <w:t>+ + +</w:t>
      </w:r>
    </w:p>
    <w:p w14:paraId="6867D725" w14:textId="77777777" w:rsidR="00BB137F" w:rsidRPr="00507A31" w:rsidRDefault="00BB137F" w:rsidP="00507A31">
      <w:pPr>
        <w:jc w:val="both"/>
        <w:rPr>
          <w:color w:val="000000" w:themeColor="text1"/>
          <w:sz w:val="16"/>
          <w:szCs w:val="16"/>
        </w:rPr>
      </w:pPr>
      <w:r w:rsidRPr="00507A31">
        <w:rPr>
          <w:color w:val="000000" w:themeColor="text1"/>
          <w:sz w:val="16"/>
          <w:szCs w:val="16"/>
        </w:rPr>
        <w:t>В заключение ЦК отмечает, что опыт Гомз'ы, равно как и ряда других трестов (Югосталь, Ленмаштрест и др.) показывает, что делу полного использования существующего основного капитала все еще не уделено достаточного внимания. В значительных группах руководящих работников промышленности существует неправильная установка, заключающаяся в ориентировке исключительно на новые вложения и недооценке задач улучшения существующего производства. Подобная установка не оправдывается также ссылками на необходимость перестройки всего производства на основах новейшей техники, так как эта перестройка предполагает, прежде всего, наряду со строительством новых заводов, также и наиболее полное, наиболее эффективное использование существующего капитала. В этом основном капитале скрыты еще значительные резервы, позволяющие значительно развивать выпуск продукции в течение ближайших лет.</w:t>
      </w:r>
    </w:p>
    <w:p w14:paraId="72B58705" w14:textId="77777777" w:rsidR="00BB137F" w:rsidRPr="00507A31" w:rsidRDefault="00BB137F" w:rsidP="00507A31">
      <w:pPr>
        <w:jc w:val="both"/>
        <w:rPr>
          <w:color w:val="000000" w:themeColor="text1"/>
          <w:sz w:val="16"/>
          <w:szCs w:val="16"/>
        </w:rPr>
      </w:pPr>
      <w:r w:rsidRPr="00507A31">
        <w:rPr>
          <w:color w:val="000000" w:themeColor="text1"/>
          <w:sz w:val="16"/>
          <w:szCs w:val="16"/>
        </w:rPr>
        <w:t>Осуществление пятилетки ставит огромные задачи перед машиностроением, являющимся ведущим началом индустриализации страны. Отмечая, что по ряду основных производств машиностроение уже оставило позади довоенный уровень, ЦК обращает внимание всех хозяйственников, а также и профессиональных и партийных организаций на необходимость, не довольствуясь этими достижениями, обеспечить дальнейшей значительный рост машиностроения, дальнейшее снижение себестоимости его продукции и общий рост его качественных показателей, приближающихся к передовому уровню мировой техники (18324).</w:t>
      </w:r>
    </w:p>
    <w:p w14:paraId="3909D031" w14:textId="77777777" w:rsidR="00BB137F" w:rsidRPr="00507A31" w:rsidRDefault="00BB137F" w:rsidP="00507A31">
      <w:pPr>
        <w:jc w:val="both"/>
        <w:rPr>
          <w:color w:val="000000" w:themeColor="text1"/>
          <w:sz w:val="16"/>
          <w:szCs w:val="16"/>
        </w:rPr>
      </w:pPr>
    </w:p>
    <w:p w14:paraId="4884A791" w14:textId="77777777" w:rsidR="00B71C22" w:rsidRPr="00507A31" w:rsidRDefault="00B71C22" w:rsidP="00507A31">
      <w:pPr>
        <w:jc w:val="both"/>
        <w:rPr>
          <w:color w:val="000000" w:themeColor="text1"/>
          <w:sz w:val="16"/>
          <w:szCs w:val="16"/>
        </w:rPr>
      </w:pPr>
      <w:r w:rsidRPr="00507A31">
        <w:rPr>
          <w:rStyle w:val="a7"/>
          <w:b w:val="0"/>
          <w:color w:val="000000" w:themeColor="text1"/>
          <w:sz w:val="16"/>
          <w:szCs w:val="16"/>
        </w:rPr>
        <w:t xml:space="preserve">5 февраля 1930 </w:t>
      </w:r>
      <w:r w:rsidRPr="00507A31">
        <w:rPr>
          <w:color w:val="000000" w:themeColor="text1"/>
          <w:sz w:val="16"/>
          <w:szCs w:val="16"/>
        </w:rPr>
        <w:t>Политбюро ЦК ВКП (б) утвердило проект постановления ЦК ВКП (б) «О работе треста ГОМЗЫ», одобрило в основном решение совещания заместителей председателя СНК об источниках покрытия дополнительных расходов по бюджету на 1929/30 г (12265).</w:t>
      </w:r>
    </w:p>
    <w:p w14:paraId="241D2F42" w14:textId="77777777" w:rsidR="00B71C22" w:rsidRPr="00507A31" w:rsidRDefault="00B71C22" w:rsidP="00507A31">
      <w:pPr>
        <w:jc w:val="both"/>
        <w:rPr>
          <w:color w:val="000000" w:themeColor="text1"/>
          <w:sz w:val="16"/>
          <w:szCs w:val="16"/>
        </w:rPr>
      </w:pPr>
      <w:r w:rsidRPr="00507A31">
        <w:rPr>
          <w:color w:val="000000" w:themeColor="text1"/>
          <w:sz w:val="16"/>
          <w:szCs w:val="16"/>
        </w:rPr>
        <w:t> </w:t>
      </w:r>
    </w:p>
    <w:p w14:paraId="0EAAB8B1" w14:textId="77777777" w:rsidR="004F0F8F" w:rsidRPr="00507A31" w:rsidRDefault="004F0F8F" w:rsidP="00507A31">
      <w:pPr>
        <w:jc w:val="both"/>
        <w:rPr>
          <w:color w:val="000000" w:themeColor="text1"/>
          <w:sz w:val="16"/>
          <w:szCs w:val="16"/>
        </w:rPr>
      </w:pPr>
      <w:r w:rsidRPr="00507A31">
        <w:rPr>
          <w:color w:val="000000" w:themeColor="text1"/>
          <w:sz w:val="16"/>
          <w:szCs w:val="16"/>
        </w:rPr>
        <w:t>5 февраля 1930</w:t>
      </w:r>
    </w:p>
    <w:p w14:paraId="467C1D3E" w14:textId="77777777" w:rsidR="004F0F8F" w:rsidRPr="00507A31" w:rsidRDefault="004F0F8F" w:rsidP="00507A31">
      <w:pPr>
        <w:jc w:val="both"/>
        <w:rPr>
          <w:color w:val="000000" w:themeColor="text1"/>
          <w:sz w:val="16"/>
          <w:szCs w:val="16"/>
        </w:rPr>
      </w:pPr>
      <w:r w:rsidRPr="00507A31">
        <w:rPr>
          <w:color w:val="000000" w:themeColor="text1"/>
          <w:sz w:val="16"/>
          <w:szCs w:val="16"/>
        </w:rPr>
        <w:t>Источник: </w:t>
      </w:r>
    </w:p>
    <w:p w14:paraId="227A9D2E" w14:textId="77777777" w:rsidR="004F0F8F" w:rsidRPr="00507A31" w:rsidRDefault="004F0F8F" w:rsidP="00507A31">
      <w:pPr>
        <w:jc w:val="both"/>
        <w:rPr>
          <w:color w:val="000000" w:themeColor="text1"/>
          <w:sz w:val="16"/>
          <w:szCs w:val="16"/>
        </w:rPr>
      </w:pPr>
      <w:r w:rsidRPr="00507A31">
        <w:rPr>
          <w:color w:val="000000" w:themeColor="text1"/>
          <w:sz w:val="16"/>
          <w:szCs w:val="16"/>
        </w:rPr>
        <w:t>http://sovdoc.rusarchives.ru</w:t>
      </w:r>
    </w:p>
    <w:p w14:paraId="54ECB664" w14:textId="77777777" w:rsidR="004F0F8F" w:rsidRPr="00507A31" w:rsidRDefault="004F0F8F" w:rsidP="00507A31">
      <w:pPr>
        <w:jc w:val="both"/>
        <w:rPr>
          <w:color w:val="000000" w:themeColor="text1"/>
          <w:sz w:val="16"/>
          <w:szCs w:val="16"/>
        </w:rPr>
      </w:pPr>
      <w:r w:rsidRPr="00507A31">
        <w:rPr>
          <w:color w:val="000000" w:themeColor="text1"/>
          <w:sz w:val="16"/>
          <w:szCs w:val="16"/>
        </w:rPr>
        <w:t>Архив: </w:t>
      </w:r>
    </w:p>
    <w:p w14:paraId="181DFB83" w14:textId="77777777" w:rsidR="004F0F8F" w:rsidRPr="00507A31" w:rsidRDefault="004F0F8F" w:rsidP="00507A31">
      <w:pPr>
        <w:jc w:val="both"/>
        <w:rPr>
          <w:color w:val="000000" w:themeColor="text1"/>
          <w:sz w:val="16"/>
          <w:szCs w:val="16"/>
        </w:rPr>
      </w:pPr>
      <w:r w:rsidRPr="00507A31">
        <w:rPr>
          <w:color w:val="000000" w:themeColor="text1"/>
          <w:sz w:val="16"/>
          <w:szCs w:val="16"/>
        </w:rPr>
        <w:t>РГАСПИ. Ф. 17. Оп. 3. Д. 775. Л. 20-24.</w:t>
      </w:r>
    </w:p>
    <w:p w14:paraId="51469A9E" w14:textId="77777777" w:rsidR="004F0F8F" w:rsidRPr="00507A31" w:rsidRDefault="004F0F8F" w:rsidP="00507A31">
      <w:pPr>
        <w:jc w:val="both"/>
        <w:rPr>
          <w:color w:val="000000" w:themeColor="text1"/>
          <w:sz w:val="16"/>
          <w:szCs w:val="16"/>
        </w:rPr>
      </w:pPr>
      <w:r w:rsidRPr="00507A31">
        <w:rPr>
          <w:color w:val="000000" w:themeColor="text1"/>
          <w:sz w:val="16"/>
          <w:szCs w:val="16"/>
        </w:rPr>
        <w:t>Приложение № 2</w:t>
      </w:r>
    </w:p>
    <w:p w14:paraId="1CA68AEC" w14:textId="77777777" w:rsidR="004F0F8F" w:rsidRPr="00507A31" w:rsidRDefault="004F0F8F" w:rsidP="00507A31">
      <w:pPr>
        <w:jc w:val="both"/>
        <w:rPr>
          <w:color w:val="000000" w:themeColor="text1"/>
          <w:sz w:val="16"/>
          <w:szCs w:val="16"/>
        </w:rPr>
      </w:pPr>
      <w:r w:rsidRPr="00507A31">
        <w:rPr>
          <w:color w:val="000000" w:themeColor="text1"/>
          <w:sz w:val="16"/>
          <w:szCs w:val="16"/>
        </w:rPr>
        <w:t>к п. 9 пр. ПБ № 116.</w:t>
      </w:r>
    </w:p>
    <w:p w14:paraId="3C2C4C50" w14:textId="77777777" w:rsidR="004F0F8F" w:rsidRPr="00507A31" w:rsidRDefault="004F0F8F" w:rsidP="00507A31">
      <w:pPr>
        <w:jc w:val="both"/>
        <w:rPr>
          <w:color w:val="000000" w:themeColor="text1"/>
          <w:sz w:val="16"/>
          <w:szCs w:val="16"/>
        </w:rPr>
      </w:pPr>
      <w:r w:rsidRPr="00507A31">
        <w:rPr>
          <w:color w:val="000000" w:themeColor="text1"/>
          <w:sz w:val="16"/>
          <w:szCs w:val="16"/>
        </w:rPr>
        <w:t>Постановление ЦК ВКП(б) о работе треста “Гомзы”.</w:t>
      </w:r>
    </w:p>
    <w:p w14:paraId="0A7864F8" w14:textId="77777777" w:rsidR="004F0F8F" w:rsidRPr="00507A31" w:rsidRDefault="004F0F8F" w:rsidP="00507A31">
      <w:pPr>
        <w:jc w:val="both"/>
        <w:rPr>
          <w:color w:val="000000" w:themeColor="text1"/>
          <w:sz w:val="16"/>
          <w:szCs w:val="16"/>
        </w:rPr>
      </w:pPr>
      <w:r w:rsidRPr="00507A31">
        <w:rPr>
          <w:color w:val="000000" w:themeColor="text1"/>
          <w:sz w:val="16"/>
          <w:szCs w:val="16"/>
        </w:rPr>
        <w:t>(Утверждено Политбюро ЦК ВКП(б) 5.II.1930 г.).</w:t>
      </w:r>
    </w:p>
    <w:p w14:paraId="47C631A5" w14:textId="77777777" w:rsidR="004F0F8F" w:rsidRPr="00507A31" w:rsidRDefault="004F0F8F" w:rsidP="00507A31">
      <w:pPr>
        <w:jc w:val="both"/>
        <w:rPr>
          <w:color w:val="000000" w:themeColor="text1"/>
          <w:sz w:val="16"/>
          <w:szCs w:val="16"/>
        </w:rPr>
      </w:pPr>
      <w:r w:rsidRPr="00507A31">
        <w:rPr>
          <w:color w:val="000000" w:themeColor="text1"/>
          <w:sz w:val="16"/>
          <w:szCs w:val="16"/>
        </w:rPr>
        <w:t>1. Объединяя около ⅓ машиностроения союзного значения, трест ГОМЗ'ы является крупнейшим в Союзе объединением тяжелой индустрии и одной из основных пролетарских баз центрально-промышленного района и всей страны. Являясь на ⅔ объединением транспортного машиностроения (паровозы, вагоны, суда), трест Гомзы имеет исключительное значение в работе транспорта.</w:t>
      </w:r>
    </w:p>
    <w:p w14:paraId="196B5F96" w14:textId="77777777" w:rsidR="004F0F8F" w:rsidRPr="00507A31" w:rsidRDefault="004F0F8F" w:rsidP="00507A31">
      <w:pPr>
        <w:jc w:val="both"/>
        <w:rPr>
          <w:color w:val="000000" w:themeColor="text1"/>
          <w:sz w:val="16"/>
          <w:szCs w:val="16"/>
        </w:rPr>
      </w:pPr>
      <w:r w:rsidRPr="00507A31">
        <w:rPr>
          <w:color w:val="000000" w:themeColor="text1"/>
          <w:sz w:val="16"/>
          <w:szCs w:val="16"/>
        </w:rPr>
        <w:t>За истекшие годы трест ГОМЗ'ы дает непрерывный рост выпуска, значительно превзошедший в настоящее время довоенный уровень. Рост нагрузки основного капитала сопровождался улучшением основных техно-экономических показателей, выпуск валовой продукции на 1 руб. основного капитала вырос в 1928/29 г. до 2 руб. против 1 руб. 73 коп. в 1927/28 г. Начиная с 1927/28 г. трест впервые начал выходить с прибылью. Трестом организованы некоторые новые производства, из коих значительные достижения имеются по дизелестроению (переход на производство наиболее современных моделей двигателей) и некоторое удешевление себестоимости.</w:t>
      </w:r>
    </w:p>
    <w:p w14:paraId="473EAC66" w14:textId="77777777" w:rsidR="004F0F8F" w:rsidRPr="00507A31" w:rsidRDefault="004F0F8F" w:rsidP="00507A31">
      <w:pPr>
        <w:jc w:val="both"/>
        <w:rPr>
          <w:color w:val="000000" w:themeColor="text1"/>
          <w:sz w:val="16"/>
          <w:szCs w:val="16"/>
        </w:rPr>
      </w:pPr>
      <w:r w:rsidRPr="00507A31">
        <w:rPr>
          <w:color w:val="000000" w:themeColor="text1"/>
          <w:sz w:val="16"/>
          <w:szCs w:val="16"/>
        </w:rPr>
        <w:t>2. Вместе с тем ЦК отмечает недостаточное выполнение заводами треста плановых заданий за 1928/29 г.: валовая продукция по заводам треста в целом составила 96% плана; еще меньше выполнение по токарной части продукции — 86% плана.</w:t>
      </w:r>
    </w:p>
    <w:p w14:paraId="4A6893A7" w14:textId="77777777" w:rsidR="004F0F8F" w:rsidRPr="00507A31" w:rsidRDefault="004F0F8F" w:rsidP="00507A31">
      <w:pPr>
        <w:jc w:val="both"/>
        <w:rPr>
          <w:color w:val="000000" w:themeColor="text1"/>
          <w:sz w:val="16"/>
          <w:szCs w:val="16"/>
        </w:rPr>
      </w:pPr>
      <w:r w:rsidRPr="00507A31">
        <w:rPr>
          <w:color w:val="000000" w:themeColor="text1"/>
          <w:sz w:val="16"/>
          <w:szCs w:val="16"/>
        </w:rPr>
        <w:lastRenderedPageBreak/>
        <w:t>Средняя месячная зарплата выросла на 15% против 10% по плану, тогда как рост выработки на 1 рабочего составил всего только 22,1% вместо 28%, заданных планом. Снижение заводской себестоимости в среднем составило 6,5% вместо заданных 8,6%.</w:t>
      </w:r>
    </w:p>
    <w:p w14:paraId="28F55C44" w14:textId="77777777" w:rsidR="004F0F8F" w:rsidRPr="00507A31" w:rsidRDefault="004F0F8F" w:rsidP="00507A31">
      <w:pPr>
        <w:jc w:val="both"/>
        <w:rPr>
          <w:color w:val="000000" w:themeColor="text1"/>
          <w:sz w:val="16"/>
          <w:szCs w:val="16"/>
        </w:rPr>
      </w:pPr>
      <w:r w:rsidRPr="00507A31">
        <w:rPr>
          <w:color w:val="000000" w:themeColor="text1"/>
          <w:sz w:val="16"/>
          <w:szCs w:val="16"/>
        </w:rPr>
        <w:t>3. ЦК отмечает отсутствие производственных перспектив по заводам объединения, частые изменения производственных программ что, в связи с неудовлетворительной системой производственного планирования приводило к перебоям и производственным неполадкам. Простои и сверхурочные часы дали некоторое увеличение против прошлого года.</w:t>
      </w:r>
    </w:p>
    <w:p w14:paraId="67E15413" w14:textId="77777777" w:rsidR="004F0F8F" w:rsidRPr="00507A31" w:rsidRDefault="004F0F8F" w:rsidP="00507A31">
      <w:pPr>
        <w:jc w:val="both"/>
        <w:rPr>
          <w:color w:val="000000" w:themeColor="text1"/>
          <w:sz w:val="16"/>
          <w:szCs w:val="16"/>
        </w:rPr>
      </w:pPr>
      <w:r w:rsidRPr="00507A31">
        <w:rPr>
          <w:color w:val="000000" w:themeColor="text1"/>
          <w:sz w:val="16"/>
          <w:szCs w:val="16"/>
        </w:rPr>
        <w:t>4. Несмотря на значительные капитальные вложения, имевшие место за последние годы (в частности, строительства новых цехов), ни по Гомзе, ни по отдельным заводам не имеется законченных и утвержденных проектов реконструкции, увязанных с перспективами развития отдельных отраслей тяжелой промышленности.</w:t>
      </w:r>
    </w:p>
    <w:p w14:paraId="4A633FA8" w14:textId="77777777" w:rsidR="004F0F8F" w:rsidRPr="00507A31" w:rsidRDefault="004F0F8F" w:rsidP="00507A31">
      <w:pPr>
        <w:jc w:val="both"/>
        <w:rPr>
          <w:color w:val="000000" w:themeColor="text1"/>
          <w:sz w:val="16"/>
          <w:szCs w:val="16"/>
        </w:rPr>
      </w:pPr>
      <w:r w:rsidRPr="00507A31">
        <w:rPr>
          <w:color w:val="000000" w:themeColor="text1"/>
          <w:sz w:val="16"/>
          <w:szCs w:val="16"/>
        </w:rPr>
        <w:t>Ошибки в осуществлении капитального строительства привели к тому, что сделанные до сего времени вложения в новые цеха не дали экономического эффекта.</w:t>
      </w:r>
    </w:p>
    <w:p w14:paraId="5C8DF94E" w14:textId="77777777" w:rsidR="004F0F8F" w:rsidRPr="00507A31" w:rsidRDefault="004F0F8F" w:rsidP="00507A31">
      <w:pPr>
        <w:jc w:val="both"/>
        <w:rPr>
          <w:color w:val="000000" w:themeColor="text1"/>
          <w:sz w:val="16"/>
          <w:szCs w:val="16"/>
        </w:rPr>
      </w:pPr>
      <w:r w:rsidRPr="00507A31">
        <w:rPr>
          <w:color w:val="000000" w:themeColor="text1"/>
          <w:sz w:val="16"/>
          <w:szCs w:val="16"/>
        </w:rPr>
        <w:t>В связи с этим ЦК отмечает неудовлетворительность работы Гипромез'а по вопросам реконструкции заводов Гомзы и неудовлетворительное руководство со стороны ВСНХ вопросами реконструкции машиностроения.</w:t>
      </w:r>
    </w:p>
    <w:p w14:paraId="4DA2070B" w14:textId="77777777" w:rsidR="004F0F8F" w:rsidRPr="00507A31" w:rsidRDefault="004F0F8F" w:rsidP="00507A31">
      <w:pPr>
        <w:jc w:val="both"/>
        <w:rPr>
          <w:color w:val="000000" w:themeColor="text1"/>
          <w:sz w:val="16"/>
          <w:szCs w:val="16"/>
        </w:rPr>
      </w:pPr>
      <w:r w:rsidRPr="00507A31">
        <w:rPr>
          <w:color w:val="000000" w:themeColor="text1"/>
          <w:sz w:val="16"/>
          <w:szCs w:val="16"/>
        </w:rPr>
        <w:t>5. ЦК констатирует, что заводы Гомз'ы в их настоящем состоянии обладают производственными возможностями, обеспечивающими значительный дальнейший рост выпуска продукции и в частности удовлетворение потребности железнодорожного транспорта.</w:t>
      </w:r>
    </w:p>
    <w:p w14:paraId="5BF50570" w14:textId="77777777" w:rsidR="004F0F8F" w:rsidRPr="00507A31" w:rsidRDefault="004F0F8F" w:rsidP="00507A31">
      <w:pPr>
        <w:jc w:val="both"/>
        <w:rPr>
          <w:color w:val="000000" w:themeColor="text1"/>
          <w:sz w:val="16"/>
          <w:szCs w:val="16"/>
        </w:rPr>
      </w:pPr>
      <w:r w:rsidRPr="00507A31">
        <w:rPr>
          <w:color w:val="000000" w:themeColor="text1"/>
          <w:sz w:val="16"/>
          <w:szCs w:val="16"/>
        </w:rPr>
        <w:t>В то же время наличке узких мест на заводах, ликвидации которых не уделялось со стороны ВСНХ и Гомз’ы внимания, служит в настоящее время препятствием в целом ряде случаев к дальнейшему развитию производства.</w:t>
      </w:r>
    </w:p>
    <w:p w14:paraId="61DE8EB9" w14:textId="77777777" w:rsidR="004F0F8F" w:rsidRPr="00507A31" w:rsidRDefault="004F0F8F" w:rsidP="00507A31">
      <w:pPr>
        <w:jc w:val="both"/>
        <w:rPr>
          <w:color w:val="000000" w:themeColor="text1"/>
          <w:sz w:val="16"/>
          <w:szCs w:val="16"/>
        </w:rPr>
      </w:pPr>
      <w:r w:rsidRPr="00507A31">
        <w:rPr>
          <w:color w:val="000000" w:themeColor="text1"/>
          <w:sz w:val="16"/>
          <w:szCs w:val="16"/>
        </w:rPr>
        <w:t>В частности ЦК отмечает крупную плановую ошибку ВСНХ и Гомзы, выразившуюся в потере темпа по реконструкции заготовительных цехов, которая создает критическое положение с некоторыми видами заготовок (стальное литье, дизельное литье). Указанное положение требует решительных мер по модернизации и расширению заготовительных цехов.</w:t>
      </w:r>
    </w:p>
    <w:p w14:paraId="321644C5" w14:textId="77777777" w:rsidR="004F0F8F" w:rsidRPr="00507A31" w:rsidRDefault="004F0F8F" w:rsidP="00507A31">
      <w:pPr>
        <w:jc w:val="both"/>
        <w:rPr>
          <w:color w:val="000000" w:themeColor="text1"/>
          <w:sz w:val="16"/>
          <w:szCs w:val="16"/>
        </w:rPr>
      </w:pPr>
      <w:r w:rsidRPr="00507A31">
        <w:rPr>
          <w:color w:val="000000" w:themeColor="text1"/>
          <w:sz w:val="16"/>
          <w:szCs w:val="16"/>
        </w:rPr>
        <w:t>6. В области общей постановки производства ЦК отмечает:</w:t>
      </w:r>
    </w:p>
    <w:p w14:paraId="1B59132F" w14:textId="77777777" w:rsidR="004F0F8F" w:rsidRPr="00507A31" w:rsidRDefault="004F0F8F" w:rsidP="00507A31">
      <w:pPr>
        <w:jc w:val="both"/>
        <w:rPr>
          <w:color w:val="000000" w:themeColor="text1"/>
          <w:sz w:val="16"/>
          <w:szCs w:val="16"/>
        </w:rPr>
      </w:pPr>
      <w:r w:rsidRPr="00507A31">
        <w:rPr>
          <w:color w:val="000000" w:themeColor="text1"/>
          <w:sz w:val="16"/>
          <w:szCs w:val="16"/>
        </w:rPr>
        <w:t>а) недостаточное проведение специализации заводов и кооперирования их заготовительных цехов;</w:t>
      </w:r>
    </w:p>
    <w:p w14:paraId="4341AED7" w14:textId="77777777" w:rsidR="004F0F8F" w:rsidRPr="00507A31" w:rsidRDefault="004F0F8F" w:rsidP="00507A31">
      <w:pPr>
        <w:jc w:val="both"/>
        <w:rPr>
          <w:color w:val="000000" w:themeColor="text1"/>
          <w:sz w:val="16"/>
          <w:szCs w:val="16"/>
        </w:rPr>
      </w:pPr>
      <w:r w:rsidRPr="00507A31">
        <w:rPr>
          <w:color w:val="000000" w:themeColor="text1"/>
          <w:sz w:val="16"/>
          <w:szCs w:val="16"/>
        </w:rPr>
        <w:t>б) совершенно недостаточное внедрение иностранного технического опыта в заводы Гомз’ы; слабый темп развития новых производств и использования договоров о техническом содействии (дизеля, холодильные машины);</w:t>
      </w:r>
    </w:p>
    <w:p w14:paraId="49DD53DC" w14:textId="77777777" w:rsidR="004F0F8F" w:rsidRPr="00507A31" w:rsidRDefault="004F0F8F" w:rsidP="00507A31">
      <w:pPr>
        <w:jc w:val="both"/>
        <w:rPr>
          <w:color w:val="000000" w:themeColor="text1"/>
          <w:sz w:val="16"/>
          <w:szCs w:val="16"/>
        </w:rPr>
      </w:pPr>
      <w:r w:rsidRPr="00507A31">
        <w:rPr>
          <w:color w:val="000000" w:themeColor="text1"/>
          <w:sz w:val="16"/>
          <w:szCs w:val="16"/>
        </w:rPr>
        <w:t>в) высокую себестоимость по некоторым видам продукции, против других передовых заводов СССР с аналогичными производствами;</w:t>
      </w:r>
    </w:p>
    <w:p w14:paraId="4AE6EC06" w14:textId="77777777" w:rsidR="004F0F8F" w:rsidRPr="00507A31" w:rsidRDefault="004F0F8F" w:rsidP="00507A31">
      <w:pPr>
        <w:jc w:val="both"/>
        <w:rPr>
          <w:color w:val="000000" w:themeColor="text1"/>
          <w:sz w:val="16"/>
          <w:szCs w:val="16"/>
        </w:rPr>
      </w:pPr>
      <w:r w:rsidRPr="00507A31">
        <w:rPr>
          <w:color w:val="000000" w:themeColor="text1"/>
          <w:sz w:val="16"/>
          <w:szCs w:val="16"/>
        </w:rPr>
        <w:t>г) неудовлетворительное состояние инструментального, калиберного дела и заводских лабораторий;</w:t>
      </w:r>
    </w:p>
    <w:p w14:paraId="17F97880" w14:textId="77777777" w:rsidR="004F0F8F" w:rsidRPr="00507A31" w:rsidRDefault="004F0F8F" w:rsidP="00507A31">
      <w:pPr>
        <w:jc w:val="both"/>
        <w:rPr>
          <w:color w:val="000000" w:themeColor="text1"/>
          <w:sz w:val="16"/>
          <w:szCs w:val="16"/>
        </w:rPr>
      </w:pPr>
      <w:r w:rsidRPr="00507A31">
        <w:rPr>
          <w:color w:val="000000" w:themeColor="text1"/>
          <w:sz w:val="16"/>
          <w:szCs w:val="16"/>
        </w:rPr>
        <w:t>д) недостаточное внимание к технико-нормировочной работе на заводах и наличие в ряде случаев хвостистских настроений со стороны заводских профорганизаций в вопросах технического нормирования;</w:t>
      </w:r>
    </w:p>
    <w:p w14:paraId="58908391" w14:textId="77777777" w:rsidR="004F0F8F" w:rsidRPr="00507A31" w:rsidRDefault="004F0F8F" w:rsidP="00507A31">
      <w:pPr>
        <w:jc w:val="both"/>
        <w:rPr>
          <w:color w:val="000000" w:themeColor="text1"/>
          <w:sz w:val="16"/>
          <w:szCs w:val="16"/>
        </w:rPr>
      </w:pPr>
      <w:r w:rsidRPr="00507A31">
        <w:rPr>
          <w:color w:val="000000" w:themeColor="text1"/>
          <w:sz w:val="16"/>
          <w:szCs w:val="16"/>
        </w:rPr>
        <w:t>е) крайнюю техническую отсталость металлургических цехов и высокую себестоимость металла.</w:t>
      </w:r>
    </w:p>
    <w:p w14:paraId="3B142CF0" w14:textId="77777777" w:rsidR="004F0F8F" w:rsidRPr="00507A31" w:rsidRDefault="004F0F8F" w:rsidP="00507A31">
      <w:pPr>
        <w:jc w:val="both"/>
        <w:rPr>
          <w:color w:val="000000" w:themeColor="text1"/>
          <w:sz w:val="16"/>
          <w:szCs w:val="16"/>
        </w:rPr>
      </w:pPr>
      <w:r w:rsidRPr="00507A31">
        <w:rPr>
          <w:color w:val="000000" w:themeColor="text1"/>
          <w:sz w:val="16"/>
          <w:szCs w:val="16"/>
        </w:rPr>
        <w:t>7. ЦК признает недостаточной работу профорганизаций по втягиванию масс в социалистическое соревнование и признает, что наличие в ряде случаев производственной бесплановости хозорганов служит причиной распадения ударных бригад (Сормово) и тем самым срывает ход соцсоревнования.</w:t>
      </w:r>
    </w:p>
    <w:p w14:paraId="100CD62C" w14:textId="77777777" w:rsidR="004F0F8F" w:rsidRPr="00507A31" w:rsidRDefault="004F0F8F" w:rsidP="00507A31">
      <w:pPr>
        <w:jc w:val="both"/>
        <w:rPr>
          <w:color w:val="000000" w:themeColor="text1"/>
          <w:sz w:val="16"/>
          <w:szCs w:val="16"/>
        </w:rPr>
      </w:pPr>
      <w:r w:rsidRPr="00507A31">
        <w:rPr>
          <w:color w:val="000000" w:themeColor="text1"/>
          <w:sz w:val="16"/>
          <w:szCs w:val="16"/>
        </w:rPr>
        <w:t>8. Средняя насыщенность инженерно-техническими работниками составляет 0,9%, что является совершенно недостаточным.</w:t>
      </w:r>
    </w:p>
    <w:p w14:paraId="57810770" w14:textId="77777777" w:rsidR="004F0F8F" w:rsidRPr="00507A31" w:rsidRDefault="004F0F8F" w:rsidP="00507A31">
      <w:pPr>
        <w:jc w:val="both"/>
        <w:rPr>
          <w:color w:val="000000" w:themeColor="text1"/>
          <w:sz w:val="16"/>
          <w:szCs w:val="16"/>
        </w:rPr>
      </w:pPr>
      <w:r w:rsidRPr="00507A31">
        <w:rPr>
          <w:color w:val="000000" w:themeColor="text1"/>
          <w:sz w:val="16"/>
          <w:szCs w:val="16"/>
        </w:rPr>
        <w:t>Совершенно ненормальным следует признать высокий процент текучести среди специалистов, в основном происходящий за счет молодых инженеров.</w:t>
      </w:r>
    </w:p>
    <w:p w14:paraId="0C072909" w14:textId="77777777" w:rsidR="004F0F8F" w:rsidRPr="00507A31" w:rsidRDefault="004F0F8F" w:rsidP="00507A31">
      <w:pPr>
        <w:jc w:val="both"/>
        <w:rPr>
          <w:color w:val="000000" w:themeColor="text1"/>
          <w:sz w:val="16"/>
          <w:szCs w:val="16"/>
        </w:rPr>
      </w:pPr>
      <w:r w:rsidRPr="00507A31">
        <w:rPr>
          <w:color w:val="000000" w:themeColor="text1"/>
          <w:sz w:val="16"/>
          <w:szCs w:val="16"/>
        </w:rPr>
        <w:t>Начавшееся выдвижение на заводах партийцев — квалифицированных рабочих на руководящую административно-техническую работу признать удавшимся и опыт подлежащим расширению. Вместе с тем совершенно еще недостаточно развита работа по переподготовке и поднятию квалификации выдвиженцев административно-технических работников.</w:t>
      </w:r>
    </w:p>
    <w:p w14:paraId="09BDED7A" w14:textId="77777777" w:rsidR="004F0F8F" w:rsidRPr="00507A31" w:rsidRDefault="004F0F8F" w:rsidP="00507A31">
      <w:pPr>
        <w:jc w:val="both"/>
        <w:rPr>
          <w:color w:val="000000" w:themeColor="text1"/>
          <w:sz w:val="16"/>
          <w:szCs w:val="16"/>
        </w:rPr>
      </w:pPr>
      <w:r w:rsidRPr="00507A31">
        <w:rPr>
          <w:color w:val="000000" w:themeColor="text1"/>
          <w:sz w:val="16"/>
          <w:szCs w:val="16"/>
        </w:rPr>
        <w:t>Исходя из этого, ЦК постановляет:</w:t>
      </w:r>
    </w:p>
    <w:p w14:paraId="564C256E" w14:textId="77777777" w:rsidR="004F0F8F" w:rsidRPr="00507A31" w:rsidRDefault="004F0F8F" w:rsidP="00507A31">
      <w:pPr>
        <w:jc w:val="both"/>
        <w:rPr>
          <w:color w:val="000000" w:themeColor="text1"/>
          <w:sz w:val="16"/>
          <w:szCs w:val="16"/>
        </w:rPr>
      </w:pPr>
      <w:r w:rsidRPr="00507A31">
        <w:rPr>
          <w:color w:val="000000" w:themeColor="text1"/>
          <w:sz w:val="16"/>
          <w:szCs w:val="16"/>
        </w:rPr>
        <w:t>1. В связи с уже имеющимися решениями правительственных органов об организации специализированных трестов тяжелого машиностроения (паровозно-дизельный, вагонный, речной, судостроительный и др.), ВСНХ СССР должен в кратчайший срок реорганизовать заводы Гомз'ы.</w:t>
      </w:r>
    </w:p>
    <w:p w14:paraId="4244CB12" w14:textId="77777777" w:rsidR="004F0F8F" w:rsidRPr="00507A31" w:rsidRDefault="004F0F8F" w:rsidP="00507A31">
      <w:pPr>
        <w:jc w:val="both"/>
        <w:rPr>
          <w:color w:val="000000" w:themeColor="text1"/>
          <w:sz w:val="16"/>
          <w:szCs w:val="16"/>
        </w:rPr>
      </w:pPr>
      <w:r w:rsidRPr="00507A31">
        <w:rPr>
          <w:color w:val="000000" w:themeColor="text1"/>
          <w:sz w:val="16"/>
          <w:szCs w:val="16"/>
        </w:rPr>
        <w:t>Реорганизация заводов треста Гомз'ы, а также и других заводов тяжелого машиностроения должна быть осуществлена таким образом, чтобы не было перебоев в выполнении текущей производственной программы и чтобы к началу 1930/31 г. все заводы, входящие ныне в Гомз'у, имели бы ясную производственную установку и утвержденную ВСНХ пятилетку.</w:t>
      </w:r>
    </w:p>
    <w:p w14:paraId="642F50C5" w14:textId="77777777" w:rsidR="004F0F8F" w:rsidRPr="00507A31" w:rsidRDefault="004F0F8F" w:rsidP="00507A31">
      <w:pPr>
        <w:jc w:val="both"/>
        <w:rPr>
          <w:color w:val="000000" w:themeColor="text1"/>
          <w:sz w:val="16"/>
          <w:szCs w:val="16"/>
        </w:rPr>
      </w:pPr>
      <w:r w:rsidRPr="00507A31">
        <w:rPr>
          <w:color w:val="000000" w:themeColor="text1"/>
          <w:sz w:val="16"/>
          <w:szCs w:val="16"/>
        </w:rPr>
        <w:t>2. В тесной связи с производственной установкой должна быть пересмотрена существующая пятилетка машиностроения в целом, а также планы капитальных работ по машиностроительным заводам в направлении:</w:t>
      </w:r>
    </w:p>
    <w:p w14:paraId="063A909A" w14:textId="77777777" w:rsidR="004F0F8F" w:rsidRPr="00507A31" w:rsidRDefault="004F0F8F" w:rsidP="00507A31">
      <w:pPr>
        <w:jc w:val="both"/>
        <w:rPr>
          <w:color w:val="000000" w:themeColor="text1"/>
          <w:sz w:val="16"/>
          <w:szCs w:val="16"/>
        </w:rPr>
      </w:pPr>
      <w:r w:rsidRPr="00507A31">
        <w:rPr>
          <w:color w:val="000000" w:themeColor="text1"/>
          <w:sz w:val="16"/>
          <w:szCs w:val="16"/>
        </w:rPr>
        <w:t>а) значительного усиления дефицитных отраслей машиностроения (горно-металлургического оборудования, химического, строительных и дорожных машин, холодильных и проч.);</w:t>
      </w:r>
    </w:p>
    <w:p w14:paraId="0FCA212A" w14:textId="77777777" w:rsidR="004F0F8F" w:rsidRPr="00507A31" w:rsidRDefault="004F0F8F" w:rsidP="00507A31">
      <w:pPr>
        <w:jc w:val="both"/>
        <w:rPr>
          <w:color w:val="000000" w:themeColor="text1"/>
          <w:sz w:val="16"/>
          <w:szCs w:val="16"/>
        </w:rPr>
      </w:pPr>
      <w:r w:rsidRPr="00507A31">
        <w:rPr>
          <w:color w:val="000000" w:themeColor="text1"/>
          <w:sz w:val="16"/>
          <w:szCs w:val="16"/>
        </w:rPr>
        <w:t>б) полной мобилизации внутренних ресурсов и ликвидации узких мест;</w:t>
      </w:r>
    </w:p>
    <w:p w14:paraId="58670B18" w14:textId="77777777" w:rsidR="004F0F8F" w:rsidRPr="00507A31" w:rsidRDefault="004F0F8F" w:rsidP="00507A31">
      <w:pPr>
        <w:jc w:val="both"/>
        <w:rPr>
          <w:color w:val="000000" w:themeColor="text1"/>
          <w:sz w:val="16"/>
          <w:szCs w:val="16"/>
        </w:rPr>
      </w:pPr>
      <w:r w:rsidRPr="00507A31">
        <w:rPr>
          <w:color w:val="000000" w:themeColor="text1"/>
          <w:sz w:val="16"/>
          <w:szCs w:val="16"/>
        </w:rPr>
        <w:t>в) последовательного и твердого проведения специализации и кооперирования заводов и концентрации их заготовительных цехов.</w:t>
      </w:r>
    </w:p>
    <w:p w14:paraId="04217276" w14:textId="77777777" w:rsidR="004F0F8F" w:rsidRPr="00507A31" w:rsidRDefault="004F0F8F" w:rsidP="00507A31">
      <w:pPr>
        <w:jc w:val="both"/>
        <w:rPr>
          <w:color w:val="000000" w:themeColor="text1"/>
          <w:sz w:val="16"/>
          <w:szCs w:val="16"/>
        </w:rPr>
      </w:pPr>
      <w:r w:rsidRPr="00507A31">
        <w:rPr>
          <w:color w:val="000000" w:themeColor="text1"/>
          <w:sz w:val="16"/>
          <w:szCs w:val="16"/>
        </w:rPr>
        <w:t>План реконструкции заводов машиностроения должен быть составлен как единый план, охватывающий в отраслевом разрезе соответствующие заводы.</w:t>
      </w:r>
    </w:p>
    <w:p w14:paraId="1230CB13" w14:textId="77777777" w:rsidR="004F0F8F" w:rsidRPr="00507A31" w:rsidRDefault="004F0F8F" w:rsidP="00507A31">
      <w:pPr>
        <w:jc w:val="both"/>
        <w:rPr>
          <w:color w:val="000000" w:themeColor="text1"/>
          <w:sz w:val="16"/>
          <w:szCs w:val="16"/>
        </w:rPr>
      </w:pPr>
      <w:r w:rsidRPr="00507A31">
        <w:rPr>
          <w:color w:val="000000" w:themeColor="text1"/>
          <w:sz w:val="16"/>
          <w:szCs w:val="16"/>
        </w:rPr>
        <w:t>3. ЦК одобряет решение НК РКИ и ВСНХ о разделении Гипромеза на отдельные специализированные проектные организации и обращает внимание ВСНХ на необходимость в связи с этим усиления с его стороны общего руководства и планирования капитальных затрат по машиностроению в союзной, а также республиканской и местной промышленности.</w:t>
      </w:r>
    </w:p>
    <w:p w14:paraId="74EB3FD6" w14:textId="77777777" w:rsidR="004F0F8F" w:rsidRPr="00507A31" w:rsidRDefault="004F0F8F" w:rsidP="00507A31">
      <w:pPr>
        <w:jc w:val="both"/>
        <w:rPr>
          <w:color w:val="000000" w:themeColor="text1"/>
          <w:sz w:val="16"/>
          <w:szCs w:val="16"/>
        </w:rPr>
      </w:pPr>
      <w:r w:rsidRPr="00507A31">
        <w:rPr>
          <w:color w:val="000000" w:themeColor="text1"/>
          <w:sz w:val="16"/>
          <w:szCs w:val="16"/>
        </w:rPr>
        <w:t>4. Параллельно с усилением и специализацией проектных организации должны быть приняты решительные меры к усилению конструкторских бюро по отдельным отраслям машиностроения и к повышению качества их работы.</w:t>
      </w:r>
    </w:p>
    <w:p w14:paraId="7FFCEDD3" w14:textId="77777777" w:rsidR="004F0F8F" w:rsidRPr="00507A31" w:rsidRDefault="004F0F8F" w:rsidP="00507A31">
      <w:pPr>
        <w:jc w:val="both"/>
        <w:rPr>
          <w:color w:val="000000" w:themeColor="text1"/>
          <w:sz w:val="16"/>
          <w:szCs w:val="16"/>
        </w:rPr>
      </w:pPr>
      <w:r w:rsidRPr="00507A31">
        <w:rPr>
          <w:color w:val="000000" w:themeColor="text1"/>
          <w:sz w:val="16"/>
          <w:szCs w:val="16"/>
        </w:rPr>
        <w:t>Обязать ВСНХ пересмотреть типы производимых в настоящее время основных изделий тяжелого машиностроения в целях отбора из них наиболее современных и экономических моделей и ликвидации производства устаревших.</w:t>
      </w:r>
    </w:p>
    <w:p w14:paraId="253CA5E0" w14:textId="77777777" w:rsidR="004F0F8F" w:rsidRPr="00507A31" w:rsidRDefault="004F0F8F" w:rsidP="00507A31">
      <w:pPr>
        <w:jc w:val="both"/>
        <w:rPr>
          <w:color w:val="000000" w:themeColor="text1"/>
          <w:sz w:val="16"/>
          <w:szCs w:val="16"/>
        </w:rPr>
      </w:pPr>
      <w:r w:rsidRPr="00507A31">
        <w:rPr>
          <w:color w:val="000000" w:themeColor="text1"/>
          <w:sz w:val="16"/>
          <w:szCs w:val="16"/>
        </w:rPr>
        <w:t>5. Исключительное внимание должно быть уделено работе заготовительных цехов, их модернизации и снижению брака полуфабрикатов.</w:t>
      </w:r>
    </w:p>
    <w:p w14:paraId="22B43D58" w14:textId="77777777" w:rsidR="004F0F8F" w:rsidRPr="00507A31" w:rsidRDefault="004F0F8F" w:rsidP="00507A31">
      <w:pPr>
        <w:jc w:val="both"/>
        <w:rPr>
          <w:color w:val="000000" w:themeColor="text1"/>
          <w:sz w:val="16"/>
          <w:szCs w:val="16"/>
        </w:rPr>
      </w:pPr>
      <w:r w:rsidRPr="00507A31">
        <w:rPr>
          <w:color w:val="000000" w:themeColor="text1"/>
          <w:sz w:val="16"/>
          <w:szCs w:val="16"/>
        </w:rPr>
        <w:t>ВСНХ СССР должен уже в текущем году предусмотреть такую передвижку средств на капитальные работы и рационализацию, которая бы подтянула производительность заготовительных цехов до необходимого уровня, соответствующего производительности выпускных цехов.</w:t>
      </w:r>
    </w:p>
    <w:p w14:paraId="77A230EE" w14:textId="77777777" w:rsidR="004F0F8F" w:rsidRPr="00507A31" w:rsidRDefault="004F0F8F" w:rsidP="00507A31">
      <w:pPr>
        <w:jc w:val="both"/>
        <w:rPr>
          <w:color w:val="000000" w:themeColor="text1"/>
          <w:sz w:val="16"/>
          <w:szCs w:val="16"/>
        </w:rPr>
      </w:pPr>
      <w:r w:rsidRPr="00507A31">
        <w:rPr>
          <w:color w:val="000000" w:themeColor="text1"/>
          <w:sz w:val="16"/>
          <w:szCs w:val="16"/>
        </w:rPr>
        <w:t>ЦК обращает внимание ВСНХ на необходимость перенесения достижений Америки и Европы в области заготовительных цехов — создание мощных и в то же время специализированных центральных кузниц и литейных.</w:t>
      </w:r>
    </w:p>
    <w:p w14:paraId="243C241B" w14:textId="77777777" w:rsidR="004F0F8F" w:rsidRPr="00507A31" w:rsidRDefault="004F0F8F" w:rsidP="00507A31">
      <w:pPr>
        <w:jc w:val="both"/>
        <w:rPr>
          <w:color w:val="000000" w:themeColor="text1"/>
          <w:sz w:val="16"/>
          <w:szCs w:val="16"/>
        </w:rPr>
      </w:pPr>
      <w:r w:rsidRPr="00507A31">
        <w:rPr>
          <w:color w:val="000000" w:themeColor="text1"/>
          <w:sz w:val="16"/>
          <w:szCs w:val="16"/>
        </w:rPr>
        <w:t>6. ЦК поручает Госплану, ВСНХ и НКПС не позже 1.III.1930 г. определить перспективную потребность в речных судах, разработать на основе этих данных твердый календарный план речного судостроения по годам и план строительства новых верфей по всему бассейну Волга-Каспий; одновременно с этим провести работу по стандартизации строящихся речных судов.</w:t>
      </w:r>
    </w:p>
    <w:p w14:paraId="3241ED36" w14:textId="77777777" w:rsidR="004F0F8F" w:rsidRPr="00507A31" w:rsidRDefault="004F0F8F" w:rsidP="00507A31">
      <w:pPr>
        <w:jc w:val="both"/>
        <w:rPr>
          <w:color w:val="000000" w:themeColor="text1"/>
          <w:sz w:val="16"/>
          <w:szCs w:val="16"/>
        </w:rPr>
      </w:pPr>
      <w:r w:rsidRPr="00507A31">
        <w:rPr>
          <w:color w:val="000000" w:themeColor="text1"/>
          <w:sz w:val="16"/>
          <w:szCs w:val="16"/>
        </w:rPr>
        <w:t>7. Обязать ВСНХ не позже 1 марта 1930 г. закончить, подвергнуть экспертизе и утвердить проект Сормовской судоверфи, предусмотрев осуществление строительства в минимально-возможным срок.</w:t>
      </w:r>
    </w:p>
    <w:p w14:paraId="2635FC72" w14:textId="77777777" w:rsidR="004F0F8F" w:rsidRPr="00507A31" w:rsidRDefault="004F0F8F" w:rsidP="00507A31">
      <w:pPr>
        <w:jc w:val="both"/>
        <w:rPr>
          <w:color w:val="000000" w:themeColor="text1"/>
          <w:sz w:val="16"/>
          <w:szCs w:val="16"/>
        </w:rPr>
      </w:pPr>
      <w:r w:rsidRPr="00507A31">
        <w:rPr>
          <w:color w:val="000000" w:themeColor="text1"/>
          <w:sz w:val="16"/>
          <w:szCs w:val="16"/>
        </w:rPr>
        <w:t>8. Поручить СТО и ВСНХ в месячный срок проработать вопрос о наиболее целесообразном направление капитальных вложений по заводам малой металлургии центрального района, базирующихся на ломе, имея в виду необходимость наибольшей концентрации вложений и обеспечение заводов специального машиностроения необходимыми базами качественного металла.</w:t>
      </w:r>
    </w:p>
    <w:p w14:paraId="0022745D" w14:textId="77777777" w:rsidR="004F0F8F" w:rsidRPr="00507A31" w:rsidRDefault="004F0F8F" w:rsidP="00507A31">
      <w:pPr>
        <w:jc w:val="both"/>
        <w:rPr>
          <w:color w:val="000000" w:themeColor="text1"/>
          <w:sz w:val="16"/>
          <w:szCs w:val="16"/>
        </w:rPr>
      </w:pPr>
      <w:r w:rsidRPr="00507A31">
        <w:rPr>
          <w:color w:val="000000" w:themeColor="text1"/>
          <w:sz w:val="16"/>
          <w:szCs w:val="16"/>
        </w:rPr>
        <w:t>9. В целях ликвидации отдельных узких мест по отдельным заводам Гомзы, препятствующих дальнейшему развитию производительности, поручить ВСНХ за счет его импортного контингента обеспечить в текущем году получение заводами Гомз’ы дополнительной партии станков, в которых испытывается наиболее острая нужда, не сумму не свыше 300 тыс. руб.</w:t>
      </w:r>
    </w:p>
    <w:p w14:paraId="44D6CA2F" w14:textId="77777777" w:rsidR="004F0F8F" w:rsidRPr="00507A31" w:rsidRDefault="004F0F8F" w:rsidP="00507A31">
      <w:pPr>
        <w:jc w:val="both"/>
        <w:rPr>
          <w:color w:val="000000" w:themeColor="text1"/>
          <w:sz w:val="16"/>
          <w:szCs w:val="16"/>
        </w:rPr>
      </w:pPr>
      <w:r w:rsidRPr="00507A31">
        <w:rPr>
          <w:color w:val="000000" w:themeColor="text1"/>
          <w:sz w:val="16"/>
          <w:szCs w:val="16"/>
        </w:rPr>
        <w:t>10. В виду явной недостаточности намеченного по пятилетке производства дизелей в СССР, а также в целях дальнейшего снижения себестоимости, стандартизации типов дизелей и наиболее полного использования заграничной техпомощи и полного освобождения от импорта, признать необходимым в кратчайший срок объединить все дизелестроение в одном тресте (заводы — Коломенский, Сормовский, Харьковский, Русские дизеля и др.).</w:t>
      </w:r>
    </w:p>
    <w:p w14:paraId="7F1741F7" w14:textId="77777777" w:rsidR="004F0F8F" w:rsidRPr="00507A31" w:rsidRDefault="004F0F8F" w:rsidP="00507A31">
      <w:pPr>
        <w:jc w:val="both"/>
        <w:rPr>
          <w:color w:val="000000" w:themeColor="text1"/>
          <w:sz w:val="16"/>
          <w:szCs w:val="16"/>
        </w:rPr>
      </w:pPr>
      <w:r w:rsidRPr="00507A31">
        <w:rPr>
          <w:color w:val="000000" w:themeColor="text1"/>
          <w:sz w:val="16"/>
          <w:szCs w:val="16"/>
        </w:rPr>
        <w:t>11. В связи с напряженным положением с металлом, исключительное значение приобретает проблема снабжения заводов Гомзы качественным металлом и заготовками. ВСНХ должен обратить особое внимание на достижение строгой плановости в деле снабжения, четкого выполнения сроков и прикрепления заводов Гомзы к определенным базам-заводам, снабжающим металлом и полуфабрикатами.</w:t>
      </w:r>
    </w:p>
    <w:p w14:paraId="3A4AA79A" w14:textId="77777777" w:rsidR="004F0F8F" w:rsidRPr="00507A31" w:rsidRDefault="004F0F8F" w:rsidP="00507A31">
      <w:pPr>
        <w:jc w:val="both"/>
        <w:rPr>
          <w:color w:val="000000" w:themeColor="text1"/>
          <w:sz w:val="16"/>
          <w:szCs w:val="16"/>
        </w:rPr>
      </w:pPr>
      <w:r w:rsidRPr="00507A31">
        <w:rPr>
          <w:color w:val="000000" w:themeColor="text1"/>
          <w:sz w:val="16"/>
          <w:szCs w:val="16"/>
        </w:rPr>
        <w:t>В целях большего обеспечения заготовками (литье, поковки) должны быть использованы все недогруженные заводы, а также и железнодорожные мастерские.</w:t>
      </w:r>
    </w:p>
    <w:p w14:paraId="5D0C96FC" w14:textId="77777777" w:rsidR="004F0F8F" w:rsidRPr="00507A31" w:rsidRDefault="004F0F8F" w:rsidP="00507A31">
      <w:pPr>
        <w:jc w:val="both"/>
        <w:rPr>
          <w:color w:val="000000" w:themeColor="text1"/>
          <w:sz w:val="16"/>
          <w:szCs w:val="16"/>
        </w:rPr>
      </w:pPr>
      <w:r w:rsidRPr="00507A31">
        <w:rPr>
          <w:color w:val="000000" w:themeColor="text1"/>
          <w:sz w:val="16"/>
          <w:szCs w:val="16"/>
        </w:rPr>
        <w:t>12. Перейти не систему 2</w:t>
      </w:r>
      <w:r w:rsidRPr="00507A31">
        <w:rPr>
          <w:color w:val="000000" w:themeColor="text1"/>
          <w:sz w:val="16"/>
          <w:szCs w:val="16"/>
        </w:rPr>
        <w:noBreakHyphen/>
        <w:t>х и 3</w:t>
      </w:r>
      <w:r w:rsidRPr="00507A31">
        <w:rPr>
          <w:color w:val="000000" w:themeColor="text1"/>
          <w:sz w:val="16"/>
          <w:szCs w:val="16"/>
        </w:rPr>
        <w:noBreakHyphen/>
        <w:t>х летних плановых заказов по основным видам тяжелого машиностроения.</w:t>
      </w:r>
    </w:p>
    <w:p w14:paraId="47092BCC" w14:textId="77777777" w:rsidR="004F0F8F" w:rsidRPr="00507A31" w:rsidRDefault="004F0F8F" w:rsidP="00507A31">
      <w:pPr>
        <w:jc w:val="both"/>
        <w:rPr>
          <w:color w:val="000000" w:themeColor="text1"/>
          <w:sz w:val="16"/>
          <w:szCs w:val="16"/>
        </w:rPr>
      </w:pPr>
      <w:r w:rsidRPr="00507A31">
        <w:rPr>
          <w:color w:val="000000" w:themeColor="text1"/>
          <w:sz w:val="16"/>
          <w:szCs w:val="16"/>
        </w:rPr>
        <w:t>13. Признавая недостаточными вложения на жилстроительство в основные заводы Гомзы, растягиваемые на ряд лет и не отвечающие задачам укрепления постоянных пролетарских кадров этих районов и увеличению количества техперсонала, обязать ВСНХ предусмотреть увеличение ассигнований на жилстроительство этих заводов.</w:t>
      </w:r>
    </w:p>
    <w:p w14:paraId="45E1FA50" w14:textId="77777777" w:rsidR="004F0F8F" w:rsidRPr="00507A31" w:rsidRDefault="004F0F8F" w:rsidP="00507A31">
      <w:pPr>
        <w:jc w:val="both"/>
        <w:rPr>
          <w:color w:val="000000" w:themeColor="text1"/>
          <w:sz w:val="16"/>
          <w:szCs w:val="16"/>
        </w:rPr>
      </w:pPr>
      <w:r w:rsidRPr="00507A31">
        <w:rPr>
          <w:color w:val="000000" w:themeColor="text1"/>
          <w:sz w:val="16"/>
          <w:szCs w:val="16"/>
        </w:rPr>
        <w:t>14. Поручить ВСНХ направить на предприятия Гомз'ы в течение 1929/30 г. не менее 200 молодых специалистов (инженеров и экономистов), в том числе не менее 40 членов ВКП(б).</w:t>
      </w:r>
    </w:p>
    <w:p w14:paraId="094CBAAA" w14:textId="77777777" w:rsidR="004F0F8F" w:rsidRPr="00507A31" w:rsidRDefault="004F0F8F" w:rsidP="00507A31">
      <w:pPr>
        <w:jc w:val="both"/>
        <w:rPr>
          <w:color w:val="000000" w:themeColor="text1"/>
          <w:sz w:val="16"/>
          <w:szCs w:val="16"/>
        </w:rPr>
      </w:pPr>
      <w:r w:rsidRPr="00507A31">
        <w:rPr>
          <w:color w:val="000000" w:themeColor="text1"/>
          <w:sz w:val="16"/>
          <w:szCs w:val="16"/>
        </w:rPr>
        <w:t>15. Считать необходимым наиболее полное использование заключенных договоров о техническом содействии (дизеля, холодильные машины и пр.) как в области применения наиболее современных конструкций, так и в постановке технологического процесса, ставя себе задачей достижение наилучших иностранных техно-</w:t>
      </w:r>
      <w:r w:rsidRPr="00507A31">
        <w:rPr>
          <w:color w:val="000000" w:themeColor="text1"/>
          <w:sz w:val="16"/>
          <w:szCs w:val="16"/>
        </w:rPr>
        <w:lastRenderedPageBreak/>
        <w:t>экономических показателей; обратить особое внимание на использование заграничной техники, увеличив количество командируемых с заводов Гомз'ы инженеров и техников заграницу.</w:t>
      </w:r>
    </w:p>
    <w:p w14:paraId="5FA1B8F0" w14:textId="77777777" w:rsidR="004F0F8F" w:rsidRPr="00507A31" w:rsidRDefault="004F0F8F" w:rsidP="00507A31">
      <w:pPr>
        <w:jc w:val="both"/>
        <w:rPr>
          <w:color w:val="000000" w:themeColor="text1"/>
          <w:sz w:val="16"/>
          <w:szCs w:val="16"/>
        </w:rPr>
      </w:pPr>
      <w:r w:rsidRPr="00507A31">
        <w:rPr>
          <w:color w:val="000000" w:themeColor="text1"/>
          <w:sz w:val="16"/>
          <w:szCs w:val="16"/>
        </w:rPr>
        <w:t>16. Выявленная в металлопромышленности, и в частности в ГОМЗ'е вредительская организация, работала по дезорганизации производства, распылению средств на капитальные работы, созданию финансовых затруднений и имела своей конечной целью сдачу заводов в концессию прежним владельцам, причем, эта вредительская организация в течение нескольких лет вела свою разрушительную работу, прикрываясь иногда слепым доверием и отсутствием критического отношения со стороны отдельных руководителей в хозорганах. Необходимо хозяйственным, профессиональным и партийным организациям принять решительные меры к организации действительного вовлечения широких рабочих масс и инженерно-технического персонала в дело проработки и контроля над проведением планов развития работы заводов для того, чтобы не только предотвратить возможность повторения, но и ликвидировать в кратчайший срок последствия этой вредительской работы.</w:t>
      </w:r>
    </w:p>
    <w:p w14:paraId="5A40BD55" w14:textId="77777777" w:rsidR="004F0F8F" w:rsidRPr="00507A31" w:rsidRDefault="004F0F8F" w:rsidP="00507A31">
      <w:pPr>
        <w:jc w:val="both"/>
        <w:rPr>
          <w:color w:val="000000" w:themeColor="text1"/>
          <w:sz w:val="16"/>
          <w:szCs w:val="16"/>
        </w:rPr>
      </w:pPr>
      <w:r w:rsidRPr="00507A31">
        <w:rPr>
          <w:color w:val="000000" w:themeColor="text1"/>
          <w:sz w:val="16"/>
          <w:szCs w:val="16"/>
        </w:rPr>
        <w:t>+ + +</w:t>
      </w:r>
    </w:p>
    <w:p w14:paraId="00AC402C" w14:textId="77777777" w:rsidR="004F0F8F" w:rsidRPr="00507A31" w:rsidRDefault="004F0F8F" w:rsidP="00507A31">
      <w:pPr>
        <w:jc w:val="both"/>
        <w:rPr>
          <w:color w:val="000000" w:themeColor="text1"/>
          <w:sz w:val="16"/>
          <w:szCs w:val="16"/>
        </w:rPr>
      </w:pPr>
      <w:r w:rsidRPr="00507A31">
        <w:rPr>
          <w:color w:val="000000" w:themeColor="text1"/>
          <w:sz w:val="16"/>
          <w:szCs w:val="16"/>
        </w:rPr>
        <w:t>В заключение ЦК отмечает, что опыт Гомз'ы, равно как и ряда других трестов (Югосталь, Ленмаштрест и др.) показывает, что делу полного использования существующего основного капитала все еще не уделено достаточного внимания. В значительных группах руководящих работников промышленности существует неправильная установка, заключающаяся в ориентировке исключительно на новые вложения и недооценке задач улучшения существующего производства. Подобная установка не оправдывается также ссылками на необходимость перестройки всего производства на основах новейшей техники, так как эта перестройка предполагает, прежде всего, наряду со строительством новых заводов, также и наиболее полное, наиболее эффективное использование существующего капитала. В этом основном капитале скрыты еще значительные резервы, позволяющие значительно развивать выпуск продукции в течение ближайших лет.</w:t>
      </w:r>
    </w:p>
    <w:p w14:paraId="6B2686BD" w14:textId="77777777" w:rsidR="004F0F8F" w:rsidRPr="00507A31" w:rsidRDefault="004F0F8F" w:rsidP="00507A31">
      <w:pPr>
        <w:jc w:val="both"/>
        <w:rPr>
          <w:color w:val="000000" w:themeColor="text1"/>
          <w:sz w:val="16"/>
          <w:szCs w:val="16"/>
        </w:rPr>
      </w:pPr>
      <w:r w:rsidRPr="00507A31">
        <w:rPr>
          <w:color w:val="000000" w:themeColor="text1"/>
          <w:sz w:val="16"/>
          <w:szCs w:val="16"/>
        </w:rPr>
        <w:t>Осуществление пятилетки ставит огромные задачи перед машиностроением, являющимся ведущим началом индустриализации страны. Отмечая, что по ряду основных производств машиностроение уже оставило позади довоенный уровень, ЦК обращает внимание всех хозяйственников, а также и профессиональных и партийных организаций на необходимость, не довольствуясь этими достижениями, обеспечить дальнейшей значительный рост машиностроения, дальнейшее снижение себестоимости его продукции и общий рост его качественных показателей, приближающихся к передовому уровню мировой техники (18053).</w:t>
      </w:r>
    </w:p>
    <w:p w14:paraId="400BE7B0" w14:textId="77777777" w:rsidR="004F0F8F" w:rsidRPr="00507A31" w:rsidRDefault="004F0F8F" w:rsidP="00507A31">
      <w:pPr>
        <w:jc w:val="both"/>
        <w:rPr>
          <w:color w:val="000000" w:themeColor="text1"/>
          <w:sz w:val="16"/>
          <w:szCs w:val="16"/>
        </w:rPr>
      </w:pPr>
    </w:p>
    <w:p w14:paraId="23C42707" w14:textId="77777777" w:rsidR="00C31E35" w:rsidRPr="00507A31" w:rsidRDefault="00C31E35" w:rsidP="00507A31">
      <w:pPr>
        <w:jc w:val="both"/>
        <w:rPr>
          <w:color w:val="000000" w:themeColor="text1"/>
          <w:sz w:val="16"/>
          <w:szCs w:val="16"/>
          <w:u w:color="002060"/>
        </w:rPr>
      </w:pPr>
      <w:r w:rsidRPr="00507A31">
        <w:rPr>
          <w:color w:val="000000" w:themeColor="text1"/>
          <w:sz w:val="16"/>
          <w:szCs w:val="16"/>
          <w:u w:color="002060"/>
        </w:rPr>
        <w:t>5 февраля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дополнительных ассигнованиях ВСНХ СССР на подготовку производственных мощностей ИНЗ № 2 (РГАЭ. Ф. 2097. Оп. 1. Д. 986. Л. 22) (12415).</w:t>
      </w:r>
    </w:p>
    <w:p w14:paraId="3719F416" w14:textId="77777777" w:rsidR="00C31E35" w:rsidRPr="00507A31" w:rsidRDefault="00C31E35" w:rsidP="00507A31">
      <w:pPr>
        <w:jc w:val="both"/>
        <w:rPr>
          <w:color w:val="000000" w:themeColor="text1"/>
          <w:sz w:val="16"/>
          <w:szCs w:val="16"/>
          <w:u w:color="002060"/>
        </w:rPr>
      </w:pPr>
    </w:p>
    <w:p w14:paraId="79B5C0D6" w14:textId="77777777" w:rsidR="00EA78E2" w:rsidRPr="00507A31" w:rsidRDefault="00EA78E2" w:rsidP="00507A31">
      <w:pPr>
        <w:jc w:val="both"/>
        <w:rPr>
          <w:color w:val="000000" w:themeColor="text1"/>
          <w:sz w:val="16"/>
          <w:szCs w:val="16"/>
        </w:rPr>
      </w:pPr>
      <w:r w:rsidRPr="00507A31">
        <w:rPr>
          <w:color w:val="000000" w:themeColor="text1"/>
          <w:sz w:val="16"/>
          <w:szCs w:val="16"/>
        </w:rPr>
        <w:t>5 февраля 1930 г. Протокол ПБ № 116 п.7: О реорганизации управления военной промышленностью (Рыков, Ворошилов, Урываев, Постников). Решено утвердить решение РЗ (распорядительного заседания) СТО о реорганизации военной промышленности: а) В целях объединения технического руководства всеми военно-химическими производствами, увязки планов их развития с развитием основной сырьевой базы, а также для обеспечения максимального использования основного капитала таковых в мирное время, передать военно-химический трест из состава военной промышленности во всесоюзное объединение химической промышленности. б) Трест авиационной промышленности выделить в самостоятельное объединение, подчиненное президиуму и мобилизационно-плановому управлению ВСНХ СССР на таких же основах, как военно-промышленное управление. в) Главное управление военной промышленности реорганизовать в объединение военных заводов, действующее на началах хозяйственного расчета, с оставлением в его составе оружейно-пулеметного, патроно-трубочного и орудийно-арсенального трестов. г) Реорганизацию управления военной промышленностью произвести в 10-дневный срок, обеспечив преемственность работ по оборонной подготовке военной промышленности и не допуская снижения темпа таковой (15938).</w:t>
      </w:r>
    </w:p>
    <w:p w14:paraId="4CB3D192" w14:textId="77777777" w:rsidR="00EA78E2" w:rsidRPr="00507A31" w:rsidRDefault="00EA78E2" w:rsidP="00507A31">
      <w:pPr>
        <w:jc w:val="both"/>
        <w:rPr>
          <w:color w:val="000000" w:themeColor="text1"/>
          <w:sz w:val="16"/>
          <w:szCs w:val="16"/>
        </w:rPr>
      </w:pPr>
    </w:p>
    <w:p w14:paraId="297BA362" w14:textId="77777777" w:rsidR="00B71C22" w:rsidRPr="00507A31" w:rsidRDefault="00B71C22" w:rsidP="00507A31">
      <w:pPr>
        <w:jc w:val="both"/>
        <w:rPr>
          <w:color w:val="000000" w:themeColor="text1"/>
          <w:sz w:val="16"/>
          <w:szCs w:val="16"/>
        </w:rPr>
      </w:pPr>
      <w:r w:rsidRPr="00507A31">
        <w:rPr>
          <w:color w:val="000000" w:themeColor="text1"/>
          <w:sz w:val="16"/>
          <w:szCs w:val="16"/>
        </w:rPr>
        <w:t>По состоянию на 5 февраля 1930 года бронедрезины Матваль, получившие военные номера с 30 по 37, имелись в составе 1-го (№ 32, 35,36,37) и 7-го (№ 31 и 33) отдельных дивизионов бронепоездов и 2-го полка бронепоездов (№ 30 и 34). В «ведомости бронедрезин системы Матваль, состоящих при 1-м дивизионе бронепоездов Украинского военного округа», датированной 20 марта 1930 года говорилось: </w:t>
      </w:r>
    </w:p>
    <w:p w14:paraId="0737BC2C" w14:textId="77777777" w:rsidR="00B71C22" w:rsidRPr="00507A31" w:rsidRDefault="00B71C22" w:rsidP="00507A31">
      <w:pPr>
        <w:jc w:val="both"/>
        <w:rPr>
          <w:color w:val="000000" w:themeColor="text1"/>
          <w:sz w:val="16"/>
          <w:szCs w:val="16"/>
        </w:rPr>
      </w:pPr>
      <w:r w:rsidRPr="00507A31">
        <w:rPr>
          <w:color w:val="000000" w:themeColor="text1"/>
          <w:sz w:val="16"/>
          <w:szCs w:val="16"/>
        </w:rPr>
        <w:t>«Бронедрезины системы Матваль № 32, 35, 36, 37, состоящие при 1-м дивизионе бронепоездов с мая 1927 года и поступили от 2-го дивизиона бронепоездов. Имеют следующую характеристику. </w:t>
      </w:r>
    </w:p>
    <w:p w14:paraId="003AA819" w14:textId="77777777" w:rsidR="00B71C22" w:rsidRPr="00507A31" w:rsidRDefault="00B71C22" w:rsidP="00507A31">
      <w:pPr>
        <w:jc w:val="both"/>
        <w:rPr>
          <w:color w:val="000000" w:themeColor="text1"/>
          <w:sz w:val="16"/>
          <w:szCs w:val="16"/>
        </w:rPr>
      </w:pPr>
      <w:r w:rsidRPr="00507A31">
        <w:rPr>
          <w:color w:val="000000" w:themeColor="text1"/>
          <w:sz w:val="16"/>
          <w:szCs w:val="16"/>
        </w:rPr>
        <w:t>Задний мост Уайт (сплошная ось), емкость баков для горючего (один сзади и один под сиденьем водителя) 115 кг. Система бронировки сходна с типом Остин (III или IV серии), ответственные места забронированы сталью 8 мм, неответственные 4 мм, по качеству бронь - мозаика. Допустимая скорость движения по прямому участку - 40 км/ч, на путях станций -15 км/ч. За время пребывания в дивизионе совершено с 1927 по 1930 год пробега каждой машиной - по 2500 км» (18626).</w:t>
      </w:r>
    </w:p>
    <w:p w14:paraId="654F7ED4" w14:textId="77777777" w:rsidR="00B71C22" w:rsidRPr="00507A31" w:rsidRDefault="00B71C22" w:rsidP="00507A31">
      <w:pPr>
        <w:jc w:val="both"/>
        <w:rPr>
          <w:color w:val="000000" w:themeColor="text1"/>
          <w:sz w:val="16"/>
          <w:szCs w:val="16"/>
        </w:rPr>
      </w:pPr>
    </w:p>
    <w:p w14:paraId="35C16A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февраля 1930 г. на Балтийском заводе заложенны первых трех лодок — "Щука" (Щ-301), "Окунь" (Щ-302) и "Ерш" (Щ-303) (3898).</w:t>
      </w:r>
    </w:p>
    <w:p w14:paraId="5815FC4E" w14:textId="77777777" w:rsidR="00537E5F" w:rsidRPr="00507A31" w:rsidRDefault="00537E5F" w:rsidP="00507A31">
      <w:pPr>
        <w:autoSpaceDE w:val="0"/>
        <w:autoSpaceDN w:val="0"/>
        <w:adjustRightInd w:val="0"/>
        <w:jc w:val="both"/>
        <w:rPr>
          <w:color w:val="000000" w:themeColor="text1"/>
          <w:sz w:val="16"/>
          <w:szCs w:val="16"/>
        </w:rPr>
      </w:pPr>
    </w:p>
    <w:p w14:paraId="5E7D1B1E" w14:textId="77777777" w:rsidR="00EA78E2" w:rsidRPr="00507A31" w:rsidRDefault="00EA78E2" w:rsidP="00507A31">
      <w:pPr>
        <w:jc w:val="both"/>
        <w:rPr>
          <w:color w:val="000000" w:themeColor="text1"/>
          <w:sz w:val="16"/>
          <w:szCs w:val="16"/>
        </w:rPr>
      </w:pPr>
      <w:r w:rsidRPr="00507A31">
        <w:rPr>
          <w:bCs/>
          <w:color w:val="000000" w:themeColor="text1"/>
          <w:sz w:val="16"/>
          <w:szCs w:val="16"/>
        </w:rPr>
        <w:t>5 февраля</w:t>
      </w:r>
      <w:r w:rsidRPr="00507A31">
        <w:rPr>
          <w:color w:val="000000" w:themeColor="text1"/>
          <w:sz w:val="16"/>
          <w:szCs w:val="16"/>
        </w:rPr>
        <w:t xml:space="preserve"> в 1930 году на Балтийском заводе в Ленинграде была заложена командная подводная лодка "Щука" третьей серии (первая средняя подводная лодка в Военно-морских силах страны). Руководитель проекта Б.М.Малинин (15031).</w:t>
      </w:r>
    </w:p>
    <w:p w14:paraId="0086457D" w14:textId="77777777" w:rsidR="00EA78E2" w:rsidRPr="00507A31" w:rsidRDefault="00EA78E2" w:rsidP="00507A31">
      <w:pPr>
        <w:jc w:val="both"/>
        <w:rPr>
          <w:color w:val="000000" w:themeColor="text1"/>
          <w:sz w:val="16"/>
          <w:szCs w:val="16"/>
        </w:rPr>
      </w:pPr>
    </w:p>
    <w:p w14:paraId="3A247BF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4B57FDD" w14:textId="77777777" w:rsidR="00537E5F" w:rsidRPr="00507A31" w:rsidRDefault="00537E5F" w:rsidP="00507A31">
      <w:pPr>
        <w:autoSpaceDE w:val="0"/>
        <w:autoSpaceDN w:val="0"/>
        <w:adjustRightInd w:val="0"/>
        <w:jc w:val="both"/>
        <w:rPr>
          <w:iCs/>
          <w:color w:val="000000" w:themeColor="text1"/>
          <w:sz w:val="16"/>
          <w:szCs w:val="16"/>
        </w:rPr>
      </w:pPr>
    </w:p>
    <w:p w14:paraId="61F716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февраля 1930 года Политбюро ЦК предложило ЦК ВКП(б) организовать два широких сообщения инженерно-техническим работникам с докладами о вредительстве на этих собраниях поручалось выступить Рычкову, Сырцову, Рудзутаку, Кржижановскому и Куйбышеву. Было принято решение о необходимости опубликования в газетах в течение ближайшей декады ряда статей Крыленко и Кржижановского с тем, чтобы в основу их были положены материалы представленные ОГПУ (11248).</w:t>
      </w:r>
    </w:p>
    <w:p w14:paraId="5F1D94B4" w14:textId="77777777" w:rsidR="00537E5F" w:rsidRPr="00507A31" w:rsidRDefault="00537E5F" w:rsidP="00507A31">
      <w:pPr>
        <w:autoSpaceDE w:val="0"/>
        <w:autoSpaceDN w:val="0"/>
        <w:adjustRightInd w:val="0"/>
        <w:jc w:val="both"/>
        <w:rPr>
          <w:color w:val="000000" w:themeColor="text1"/>
          <w:sz w:val="16"/>
          <w:szCs w:val="16"/>
        </w:rPr>
      </w:pPr>
    </w:p>
    <w:p w14:paraId="0CDE961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231660B" w14:textId="77777777" w:rsidR="00537E5F" w:rsidRPr="00507A31" w:rsidRDefault="00537E5F" w:rsidP="00507A31">
      <w:pPr>
        <w:autoSpaceDE w:val="0"/>
        <w:autoSpaceDN w:val="0"/>
        <w:adjustRightInd w:val="0"/>
        <w:jc w:val="both"/>
        <w:rPr>
          <w:iCs/>
          <w:color w:val="000000" w:themeColor="text1"/>
          <w:sz w:val="16"/>
          <w:szCs w:val="16"/>
        </w:rPr>
      </w:pPr>
    </w:p>
    <w:p w14:paraId="4C24A4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февраля 1930 на заседании у т. Уншлихта с Авиаобъединением согласовывался план работ по опытному строительству УВВС по моторной части плана и 10 февраля у т. Алксннса - по самолетной части, при чем пред”дявленные Авиаоб"единению требования по срокам оказались настолько тяжелыми, что Авиаоб”единение в ГВПУ отказались признать эти сроки обязательными для пронышленаости в предложили принять сроки УВВС в качестве необходимых, которые промышленость должна осуществить во что бы то ни стало.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A61694" w:rsidRPr="00507A31" w14:paraId="27DF7AB1" w14:textId="77777777">
        <w:tc>
          <w:tcPr>
            <w:tcW w:w="2394" w:type="dxa"/>
            <w:tcBorders>
              <w:top w:val="single" w:sz="12" w:space="0" w:color="auto"/>
            </w:tcBorders>
          </w:tcPr>
          <w:p w14:paraId="34D494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w:t>
            </w:r>
          </w:p>
        </w:tc>
        <w:tc>
          <w:tcPr>
            <w:tcW w:w="2394" w:type="dxa"/>
            <w:tcBorders>
              <w:top w:val="single" w:sz="12" w:space="0" w:color="auto"/>
            </w:tcBorders>
          </w:tcPr>
          <w:p w14:paraId="5A59E4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w:t>
            </w:r>
          </w:p>
        </w:tc>
        <w:tc>
          <w:tcPr>
            <w:tcW w:w="2394" w:type="dxa"/>
            <w:tcBorders>
              <w:top w:val="single" w:sz="12" w:space="0" w:color="auto"/>
            </w:tcBorders>
          </w:tcPr>
          <w:p w14:paraId="45995F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tc>
      </w:tr>
      <w:tr w:rsidR="00A61694" w:rsidRPr="00507A31" w14:paraId="19821BF2" w14:textId="77777777">
        <w:tc>
          <w:tcPr>
            <w:tcW w:w="2394" w:type="dxa"/>
          </w:tcPr>
          <w:p w14:paraId="4372A8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М-30</w:t>
            </w:r>
          </w:p>
        </w:tc>
        <w:tc>
          <w:tcPr>
            <w:tcW w:w="2394" w:type="dxa"/>
          </w:tcPr>
          <w:p w14:paraId="20B331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УП-30</w:t>
            </w:r>
          </w:p>
        </w:tc>
        <w:tc>
          <w:tcPr>
            <w:tcW w:w="2394" w:type="dxa"/>
          </w:tcPr>
          <w:p w14:paraId="158139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A61694" w:rsidRPr="00507A31" w14:paraId="7F5C166D" w14:textId="77777777">
        <w:tc>
          <w:tcPr>
            <w:tcW w:w="2394" w:type="dxa"/>
          </w:tcPr>
          <w:p w14:paraId="2F76DC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М-31</w:t>
            </w:r>
          </w:p>
        </w:tc>
        <w:tc>
          <w:tcPr>
            <w:tcW w:w="2394" w:type="dxa"/>
          </w:tcPr>
          <w:p w14:paraId="7DE756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2394" w:type="dxa"/>
          </w:tcPr>
          <w:p w14:paraId="2EEE19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A61694" w:rsidRPr="00507A31" w14:paraId="06D6DE77" w14:textId="77777777">
        <w:tc>
          <w:tcPr>
            <w:tcW w:w="2394" w:type="dxa"/>
          </w:tcPr>
          <w:p w14:paraId="0AD55B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М-32</w:t>
            </w:r>
          </w:p>
        </w:tc>
        <w:tc>
          <w:tcPr>
            <w:tcW w:w="2394" w:type="dxa"/>
          </w:tcPr>
          <w:p w14:paraId="361944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1-32</w:t>
            </w:r>
          </w:p>
        </w:tc>
        <w:tc>
          <w:tcPr>
            <w:tcW w:w="2394" w:type="dxa"/>
          </w:tcPr>
          <w:p w14:paraId="026564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A61694" w:rsidRPr="00507A31" w14:paraId="7BB28AE7" w14:textId="77777777">
        <w:tc>
          <w:tcPr>
            <w:tcW w:w="2394" w:type="dxa"/>
          </w:tcPr>
          <w:p w14:paraId="7C211D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М-36</w:t>
            </w:r>
          </w:p>
        </w:tc>
        <w:tc>
          <w:tcPr>
            <w:tcW w:w="2394" w:type="dxa"/>
          </w:tcPr>
          <w:p w14:paraId="1D88BB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Х-30</w:t>
            </w:r>
          </w:p>
        </w:tc>
        <w:tc>
          <w:tcPr>
            <w:tcW w:w="2394" w:type="dxa"/>
          </w:tcPr>
          <w:p w14:paraId="2184B8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A61694" w:rsidRPr="00507A31" w14:paraId="0957A96B" w14:textId="77777777">
        <w:tc>
          <w:tcPr>
            <w:tcW w:w="2394" w:type="dxa"/>
          </w:tcPr>
          <w:p w14:paraId="0B87B8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М-37</w:t>
            </w:r>
          </w:p>
        </w:tc>
        <w:tc>
          <w:tcPr>
            <w:tcW w:w="2394" w:type="dxa"/>
          </w:tcPr>
          <w:p w14:paraId="70BD04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1-32</w:t>
            </w:r>
          </w:p>
        </w:tc>
        <w:tc>
          <w:tcPr>
            <w:tcW w:w="2394" w:type="dxa"/>
          </w:tcPr>
          <w:p w14:paraId="1E56F7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A61694" w:rsidRPr="00507A31" w14:paraId="49B271F3" w14:textId="77777777">
        <w:tc>
          <w:tcPr>
            <w:tcW w:w="2394" w:type="dxa"/>
          </w:tcPr>
          <w:p w14:paraId="030B21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М-38</w:t>
            </w:r>
          </w:p>
        </w:tc>
        <w:tc>
          <w:tcPr>
            <w:tcW w:w="2394" w:type="dxa"/>
          </w:tcPr>
          <w:p w14:paraId="5D13C4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Х-32</w:t>
            </w:r>
          </w:p>
        </w:tc>
        <w:tc>
          <w:tcPr>
            <w:tcW w:w="2394" w:type="dxa"/>
          </w:tcPr>
          <w:p w14:paraId="5A6AAE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A61694" w:rsidRPr="00507A31" w14:paraId="4AB5ADC2" w14:textId="77777777">
        <w:tc>
          <w:tcPr>
            <w:tcW w:w="2394" w:type="dxa"/>
          </w:tcPr>
          <w:p w14:paraId="5DCA55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М-33</w:t>
            </w:r>
          </w:p>
        </w:tc>
        <w:tc>
          <w:tcPr>
            <w:tcW w:w="2394" w:type="dxa"/>
          </w:tcPr>
          <w:p w14:paraId="3648F5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П-31</w:t>
            </w:r>
          </w:p>
        </w:tc>
        <w:tc>
          <w:tcPr>
            <w:tcW w:w="2394" w:type="dxa"/>
          </w:tcPr>
          <w:p w14:paraId="280108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М-27</w:t>
            </w:r>
          </w:p>
        </w:tc>
      </w:tr>
      <w:tr w:rsidR="00A61694" w:rsidRPr="00507A31" w14:paraId="055CF81A" w14:textId="77777777">
        <w:tc>
          <w:tcPr>
            <w:tcW w:w="2394" w:type="dxa"/>
          </w:tcPr>
          <w:p w14:paraId="36D7C3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w:t>
            </w:r>
          </w:p>
        </w:tc>
        <w:tc>
          <w:tcPr>
            <w:tcW w:w="2394" w:type="dxa"/>
          </w:tcPr>
          <w:p w14:paraId="0E6349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П-32</w:t>
            </w:r>
          </w:p>
        </w:tc>
        <w:tc>
          <w:tcPr>
            <w:tcW w:w="2394" w:type="dxa"/>
          </w:tcPr>
          <w:p w14:paraId="1219DDC1"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4531185B" w14:textId="77777777">
        <w:tc>
          <w:tcPr>
            <w:tcW w:w="2394" w:type="dxa"/>
          </w:tcPr>
          <w:p w14:paraId="5AA6BF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 НАМИ</w:t>
            </w:r>
          </w:p>
        </w:tc>
        <w:tc>
          <w:tcPr>
            <w:tcW w:w="2394" w:type="dxa"/>
          </w:tcPr>
          <w:p w14:paraId="4A1745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1У-32</w:t>
            </w:r>
          </w:p>
        </w:tc>
        <w:tc>
          <w:tcPr>
            <w:tcW w:w="2394" w:type="dxa"/>
          </w:tcPr>
          <w:p w14:paraId="79DD9885"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10EDE3F3" w14:textId="77777777">
        <w:tc>
          <w:tcPr>
            <w:tcW w:w="2394" w:type="dxa"/>
          </w:tcPr>
          <w:p w14:paraId="078046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М-39</w:t>
            </w:r>
          </w:p>
        </w:tc>
        <w:tc>
          <w:tcPr>
            <w:tcW w:w="2394" w:type="dxa"/>
          </w:tcPr>
          <w:p w14:paraId="5F208E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ХП-31</w:t>
            </w:r>
          </w:p>
        </w:tc>
        <w:tc>
          <w:tcPr>
            <w:tcW w:w="2394" w:type="dxa"/>
          </w:tcPr>
          <w:p w14:paraId="7F0F81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М-29</w:t>
            </w:r>
          </w:p>
        </w:tc>
      </w:tr>
      <w:tr w:rsidR="00A61694" w:rsidRPr="00507A31" w14:paraId="033AE821" w14:textId="77777777">
        <w:tc>
          <w:tcPr>
            <w:tcW w:w="2394" w:type="dxa"/>
          </w:tcPr>
          <w:p w14:paraId="114E93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М-40</w:t>
            </w:r>
          </w:p>
        </w:tc>
        <w:tc>
          <w:tcPr>
            <w:tcW w:w="2394" w:type="dxa"/>
          </w:tcPr>
          <w:p w14:paraId="0E7F83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ХП-32</w:t>
            </w:r>
          </w:p>
        </w:tc>
        <w:tc>
          <w:tcPr>
            <w:tcW w:w="2394" w:type="dxa"/>
          </w:tcPr>
          <w:p w14:paraId="4CF237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М-29</w:t>
            </w:r>
          </w:p>
        </w:tc>
      </w:tr>
      <w:tr w:rsidR="00A61694" w:rsidRPr="00507A31" w14:paraId="21413DCB" w14:textId="77777777">
        <w:tc>
          <w:tcPr>
            <w:tcW w:w="2394" w:type="dxa"/>
          </w:tcPr>
          <w:p w14:paraId="05E7F1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М-28</w:t>
            </w:r>
          </w:p>
        </w:tc>
        <w:tc>
          <w:tcPr>
            <w:tcW w:w="2394" w:type="dxa"/>
          </w:tcPr>
          <w:p w14:paraId="2E2339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ХП-31</w:t>
            </w:r>
          </w:p>
        </w:tc>
        <w:tc>
          <w:tcPr>
            <w:tcW w:w="2394" w:type="dxa"/>
          </w:tcPr>
          <w:p w14:paraId="185573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ФЭД</w:t>
            </w:r>
          </w:p>
        </w:tc>
      </w:tr>
      <w:tr w:rsidR="00A61694" w:rsidRPr="00507A31" w14:paraId="7C55A011" w14:textId="77777777">
        <w:tc>
          <w:tcPr>
            <w:tcW w:w="2394" w:type="dxa"/>
          </w:tcPr>
          <w:p w14:paraId="5EEC58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М-35</w:t>
            </w:r>
          </w:p>
        </w:tc>
        <w:tc>
          <w:tcPr>
            <w:tcW w:w="2394" w:type="dxa"/>
          </w:tcPr>
          <w:p w14:paraId="2C0138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ХП-32</w:t>
            </w:r>
          </w:p>
        </w:tc>
        <w:tc>
          <w:tcPr>
            <w:tcW w:w="2394" w:type="dxa"/>
          </w:tcPr>
          <w:p w14:paraId="45EBA6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ФЭД</w:t>
            </w:r>
          </w:p>
        </w:tc>
      </w:tr>
      <w:tr w:rsidR="00A61694" w:rsidRPr="00507A31" w14:paraId="007E26A9" w14:textId="77777777">
        <w:tc>
          <w:tcPr>
            <w:tcW w:w="2394" w:type="dxa"/>
          </w:tcPr>
          <w:p w14:paraId="7BEA9C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М-26</w:t>
            </w:r>
          </w:p>
        </w:tc>
        <w:tc>
          <w:tcPr>
            <w:tcW w:w="2394" w:type="dxa"/>
          </w:tcPr>
          <w:p w14:paraId="728552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УШ-30</w:t>
            </w:r>
          </w:p>
        </w:tc>
        <w:tc>
          <w:tcPr>
            <w:tcW w:w="2394" w:type="dxa"/>
          </w:tcPr>
          <w:p w14:paraId="7FAF3B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w:t>
            </w:r>
          </w:p>
        </w:tc>
      </w:tr>
      <w:tr w:rsidR="00A61694" w:rsidRPr="00507A31" w14:paraId="1F034940" w14:textId="77777777">
        <w:tc>
          <w:tcPr>
            <w:tcW w:w="2394" w:type="dxa"/>
          </w:tcPr>
          <w:p w14:paraId="029DD7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М-45</w:t>
            </w:r>
          </w:p>
        </w:tc>
        <w:tc>
          <w:tcPr>
            <w:tcW w:w="2394" w:type="dxa"/>
          </w:tcPr>
          <w:p w14:paraId="7C6F3B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Х-31</w:t>
            </w:r>
          </w:p>
        </w:tc>
        <w:tc>
          <w:tcPr>
            <w:tcW w:w="2394" w:type="dxa"/>
          </w:tcPr>
          <w:p w14:paraId="524AEA17"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045BD2B" w14:textId="77777777">
        <w:tc>
          <w:tcPr>
            <w:tcW w:w="2394" w:type="dxa"/>
          </w:tcPr>
          <w:p w14:paraId="5C1DEE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w:t>
            </w:r>
          </w:p>
        </w:tc>
        <w:tc>
          <w:tcPr>
            <w:tcW w:w="2394" w:type="dxa"/>
          </w:tcPr>
          <w:p w14:paraId="034E8F5A" w14:textId="77777777" w:rsidR="00537E5F" w:rsidRPr="00507A31" w:rsidRDefault="00537E5F" w:rsidP="00507A31">
            <w:pPr>
              <w:autoSpaceDE w:val="0"/>
              <w:autoSpaceDN w:val="0"/>
              <w:adjustRightInd w:val="0"/>
              <w:jc w:val="both"/>
              <w:rPr>
                <w:color w:val="000000" w:themeColor="text1"/>
                <w:sz w:val="16"/>
                <w:szCs w:val="16"/>
              </w:rPr>
            </w:pPr>
          </w:p>
        </w:tc>
        <w:tc>
          <w:tcPr>
            <w:tcW w:w="2394" w:type="dxa"/>
          </w:tcPr>
          <w:p w14:paraId="77DE2531"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30C1177" w14:textId="77777777">
        <w:tc>
          <w:tcPr>
            <w:tcW w:w="2394" w:type="dxa"/>
          </w:tcPr>
          <w:p w14:paraId="2E76E8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w:t>
            </w:r>
          </w:p>
        </w:tc>
        <w:tc>
          <w:tcPr>
            <w:tcW w:w="2394" w:type="dxa"/>
          </w:tcPr>
          <w:p w14:paraId="22C139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1.УШ-30</w:t>
            </w:r>
          </w:p>
        </w:tc>
        <w:tc>
          <w:tcPr>
            <w:tcW w:w="2394" w:type="dxa"/>
          </w:tcPr>
          <w:p w14:paraId="69BD6D04"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16569164" w14:textId="77777777">
        <w:tc>
          <w:tcPr>
            <w:tcW w:w="2394" w:type="dxa"/>
          </w:tcPr>
          <w:p w14:paraId="2106C1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w:t>
            </w:r>
          </w:p>
        </w:tc>
        <w:tc>
          <w:tcPr>
            <w:tcW w:w="2394" w:type="dxa"/>
          </w:tcPr>
          <w:p w14:paraId="1B4D1D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1.ХП-30</w:t>
            </w:r>
          </w:p>
        </w:tc>
        <w:tc>
          <w:tcPr>
            <w:tcW w:w="2394" w:type="dxa"/>
          </w:tcPr>
          <w:p w14:paraId="7866AF0E"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F1AB7A5" w14:textId="77777777">
        <w:tc>
          <w:tcPr>
            <w:tcW w:w="2394" w:type="dxa"/>
          </w:tcPr>
          <w:p w14:paraId="121472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 деревянный</w:t>
            </w:r>
          </w:p>
        </w:tc>
        <w:tc>
          <w:tcPr>
            <w:tcW w:w="2394" w:type="dxa"/>
          </w:tcPr>
          <w:p w14:paraId="358BF6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2394" w:type="dxa"/>
          </w:tcPr>
          <w:p w14:paraId="5571F040"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4D5F4D8B" w14:textId="77777777">
        <w:tc>
          <w:tcPr>
            <w:tcW w:w="2394" w:type="dxa"/>
          </w:tcPr>
          <w:p w14:paraId="0F03FA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 сварной</w:t>
            </w:r>
          </w:p>
        </w:tc>
        <w:tc>
          <w:tcPr>
            <w:tcW w:w="2394" w:type="dxa"/>
          </w:tcPr>
          <w:p w14:paraId="269E84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1ХП-31</w:t>
            </w:r>
          </w:p>
        </w:tc>
        <w:tc>
          <w:tcPr>
            <w:tcW w:w="2394" w:type="dxa"/>
          </w:tcPr>
          <w:p w14:paraId="2A3BA615"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54EEAD09" w14:textId="77777777">
        <w:tc>
          <w:tcPr>
            <w:tcW w:w="2394" w:type="dxa"/>
          </w:tcPr>
          <w:p w14:paraId="5C2EA6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И-10</w:t>
            </w:r>
          </w:p>
        </w:tc>
        <w:tc>
          <w:tcPr>
            <w:tcW w:w="2394" w:type="dxa"/>
          </w:tcPr>
          <w:p w14:paraId="04A861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1.УП-32</w:t>
            </w:r>
          </w:p>
        </w:tc>
        <w:tc>
          <w:tcPr>
            <w:tcW w:w="2394" w:type="dxa"/>
          </w:tcPr>
          <w:p w14:paraId="4AC3CF25"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F6CA2B2" w14:textId="77777777">
        <w:tc>
          <w:tcPr>
            <w:tcW w:w="2394" w:type="dxa"/>
          </w:tcPr>
          <w:p w14:paraId="637110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ДИ-2 (Д2)</w:t>
            </w:r>
          </w:p>
        </w:tc>
        <w:tc>
          <w:tcPr>
            <w:tcW w:w="2394" w:type="dxa"/>
          </w:tcPr>
          <w:p w14:paraId="037FD9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1.У1-30</w:t>
            </w:r>
          </w:p>
        </w:tc>
        <w:tc>
          <w:tcPr>
            <w:tcW w:w="2394" w:type="dxa"/>
          </w:tcPr>
          <w:p w14:paraId="5AB93D2C"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E21EFC8" w14:textId="77777777">
        <w:tc>
          <w:tcPr>
            <w:tcW w:w="2394" w:type="dxa"/>
          </w:tcPr>
          <w:p w14:paraId="55AA34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деревянный</w:t>
            </w:r>
          </w:p>
        </w:tc>
        <w:tc>
          <w:tcPr>
            <w:tcW w:w="2394" w:type="dxa"/>
          </w:tcPr>
          <w:p w14:paraId="7DB652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1.У1-33</w:t>
            </w:r>
          </w:p>
        </w:tc>
        <w:tc>
          <w:tcPr>
            <w:tcW w:w="2394" w:type="dxa"/>
          </w:tcPr>
          <w:p w14:paraId="5676FF03"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9104344" w14:textId="77777777">
        <w:tc>
          <w:tcPr>
            <w:tcW w:w="2394" w:type="dxa"/>
          </w:tcPr>
          <w:p w14:paraId="66F88F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ДИ-4 сварной</w:t>
            </w:r>
          </w:p>
        </w:tc>
        <w:tc>
          <w:tcPr>
            <w:tcW w:w="2394" w:type="dxa"/>
          </w:tcPr>
          <w:p w14:paraId="68A1D0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1УШ-33</w:t>
            </w:r>
          </w:p>
        </w:tc>
        <w:tc>
          <w:tcPr>
            <w:tcW w:w="2394" w:type="dxa"/>
          </w:tcPr>
          <w:p w14:paraId="22DA3AD8"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1EDA8D62" w14:textId="77777777">
        <w:tc>
          <w:tcPr>
            <w:tcW w:w="2394" w:type="dxa"/>
          </w:tcPr>
          <w:p w14:paraId="6FF156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w:t>
            </w:r>
          </w:p>
        </w:tc>
        <w:tc>
          <w:tcPr>
            <w:tcW w:w="2394" w:type="dxa"/>
          </w:tcPr>
          <w:p w14:paraId="189156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1.Х1-32</w:t>
            </w:r>
          </w:p>
        </w:tc>
        <w:tc>
          <w:tcPr>
            <w:tcW w:w="2394" w:type="dxa"/>
          </w:tcPr>
          <w:p w14:paraId="1AA3F429"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CBD0A05" w14:textId="77777777">
        <w:tc>
          <w:tcPr>
            <w:tcW w:w="2394" w:type="dxa"/>
          </w:tcPr>
          <w:p w14:paraId="416E9C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w:t>
            </w:r>
          </w:p>
        </w:tc>
        <w:tc>
          <w:tcPr>
            <w:tcW w:w="2394" w:type="dxa"/>
          </w:tcPr>
          <w:p w14:paraId="4B833B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2394" w:type="dxa"/>
          </w:tcPr>
          <w:p w14:paraId="0493FF7D"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6C9E848" w14:textId="77777777">
        <w:tc>
          <w:tcPr>
            <w:tcW w:w="2394" w:type="dxa"/>
          </w:tcPr>
          <w:p w14:paraId="3B3630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деревянный</w:t>
            </w:r>
          </w:p>
        </w:tc>
        <w:tc>
          <w:tcPr>
            <w:tcW w:w="2394" w:type="dxa"/>
          </w:tcPr>
          <w:p w14:paraId="28F7C0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1.1-32</w:t>
            </w:r>
          </w:p>
        </w:tc>
        <w:tc>
          <w:tcPr>
            <w:tcW w:w="2394" w:type="dxa"/>
          </w:tcPr>
          <w:p w14:paraId="43A407BE"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5EDB4B7D" w14:textId="77777777">
        <w:tc>
          <w:tcPr>
            <w:tcW w:w="2394" w:type="dxa"/>
          </w:tcPr>
          <w:p w14:paraId="0AE0C6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сварной</w:t>
            </w:r>
          </w:p>
        </w:tc>
        <w:tc>
          <w:tcPr>
            <w:tcW w:w="2394" w:type="dxa"/>
          </w:tcPr>
          <w:p w14:paraId="6C3E67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1.1У-32</w:t>
            </w:r>
          </w:p>
        </w:tc>
        <w:tc>
          <w:tcPr>
            <w:tcW w:w="2394" w:type="dxa"/>
          </w:tcPr>
          <w:p w14:paraId="3109C51A"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C1861AE" w14:textId="77777777">
        <w:tc>
          <w:tcPr>
            <w:tcW w:w="2394" w:type="dxa"/>
          </w:tcPr>
          <w:p w14:paraId="1DEBDA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Р-9</w:t>
            </w:r>
          </w:p>
        </w:tc>
        <w:tc>
          <w:tcPr>
            <w:tcW w:w="2394" w:type="dxa"/>
          </w:tcPr>
          <w:p w14:paraId="7C2902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1.1Х-31</w:t>
            </w:r>
          </w:p>
        </w:tc>
        <w:tc>
          <w:tcPr>
            <w:tcW w:w="2394" w:type="dxa"/>
          </w:tcPr>
          <w:p w14:paraId="4C45C80C"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4ADD6746" w14:textId="77777777">
        <w:tc>
          <w:tcPr>
            <w:tcW w:w="2394" w:type="dxa"/>
          </w:tcPr>
          <w:p w14:paraId="3E682A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 (ТОМ)</w:t>
            </w:r>
          </w:p>
        </w:tc>
        <w:tc>
          <w:tcPr>
            <w:tcW w:w="2394" w:type="dxa"/>
          </w:tcPr>
          <w:p w14:paraId="3D3625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1.Х1-30</w:t>
            </w:r>
          </w:p>
        </w:tc>
        <w:tc>
          <w:tcPr>
            <w:tcW w:w="2394" w:type="dxa"/>
          </w:tcPr>
          <w:p w14:paraId="61490F50"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46635DEF" w14:textId="77777777">
        <w:tc>
          <w:tcPr>
            <w:tcW w:w="2394" w:type="dxa"/>
          </w:tcPr>
          <w:p w14:paraId="2ACFC1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 (МР5)</w:t>
            </w:r>
          </w:p>
        </w:tc>
        <w:tc>
          <w:tcPr>
            <w:tcW w:w="2394" w:type="dxa"/>
          </w:tcPr>
          <w:p w14:paraId="7F4E43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1юУШ-30</w:t>
            </w:r>
          </w:p>
        </w:tc>
        <w:tc>
          <w:tcPr>
            <w:tcW w:w="2394" w:type="dxa"/>
          </w:tcPr>
          <w:p w14:paraId="787BF498"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5721765" w14:textId="77777777">
        <w:tc>
          <w:tcPr>
            <w:tcW w:w="2394" w:type="dxa"/>
          </w:tcPr>
          <w:p w14:paraId="6D1777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w:t>
            </w:r>
          </w:p>
        </w:tc>
        <w:tc>
          <w:tcPr>
            <w:tcW w:w="2394" w:type="dxa"/>
          </w:tcPr>
          <w:p w14:paraId="38470C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1.У-32</w:t>
            </w:r>
          </w:p>
        </w:tc>
        <w:tc>
          <w:tcPr>
            <w:tcW w:w="2394" w:type="dxa"/>
          </w:tcPr>
          <w:p w14:paraId="18ACBA41"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C4B128C" w14:textId="77777777">
        <w:tc>
          <w:tcPr>
            <w:tcW w:w="2394" w:type="dxa"/>
          </w:tcPr>
          <w:p w14:paraId="74F857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МДР-1 (РОМ)</w:t>
            </w:r>
          </w:p>
        </w:tc>
        <w:tc>
          <w:tcPr>
            <w:tcW w:w="2394" w:type="dxa"/>
          </w:tcPr>
          <w:p w14:paraId="76540D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1.Х1-30</w:t>
            </w:r>
          </w:p>
        </w:tc>
        <w:tc>
          <w:tcPr>
            <w:tcW w:w="2394" w:type="dxa"/>
          </w:tcPr>
          <w:p w14:paraId="118F2A01"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6A513878" w14:textId="77777777">
        <w:tc>
          <w:tcPr>
            <w:tcW w:w="2394" w:type="dxa"/>
          </w:tcPr>
          <w:p w14:paraId="271368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w:t>
            </w:r>
          </w:p>
        </w:tc>
        <w:tc>
          <w:tcPr>
            <w:tcW w:w="2394" w:type="dxa"/>
          </w:tcPr>
          <w:p w14:paraId="2EA8D9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2394" w:type="dxa"/>
          </w:tcPr>
          <w:p w14:paraId="1EA2E5A9"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2845FB6" w14:textId="77777777">
        <w:tc>
          <w:tcPr>
            <w:tcW w:w="2394" w:type="dxa"/>
          </w:tcPr>
          <w:p w14:paraId="48F036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 (ПУ2)</w:t>
            </w:r>
          </w:p>
        </w:tc>
        <w:tc>
          <w:tcPr>
            <w:tcW w:w="2394" w:type="dxa"/>
          </w:tcPr>
          <w:p w14:paraId="426D5D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1.У1-30</w:t>
            </w:r>
          </w:p>
        </w:tc>
        <w:tc>
          <w:tcPr>
            <w:tcW w:w="2394" w:type="dxa"/>
          </w:tcPr>
          <w:p w14:paraId="78990C93"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5FD8E42" w14:textId="77777777">
        <w:tc>
          <w:tcPr>
            <w:tcW w:w="2394" w:type="dxa"/>
          </w:tcPr>
          <w:p w14:paraId="4B5889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w:t>
            </w:r>
          </w:p>
        </w:tc>
        <w:tc>
          <w:tcPr>
            <w:tcW w:w="2394" w:type="dxa"/>
          </w:tcPr>
          <w:p w14:paraId="1EAA8E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1юУ1-31</w:t>
            </w:r>
          </w:p>
        </w:tc>
        <w:tc>
          <w:tcPr>
            <w:tcW w:w="2394" w:type="dxa"/>
          </w:tcPr>
          <w:p w14:paraId="101B64FA"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1571F016" w14:textId="77777777">
        <w:tc>
          <w:tcPr>
            <w:tcW w:w="2394" w:type="dxa"/>
            <w:tcBorders>
              <w:bottom w:val="single" w:sz="12" w:space="0" w:color="auto"/>
            </w:tcBorders>
          </w:tcPr>
          <w:p w14:paraId="6B473F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w:t>
            </w:r>
          </w:p>
        </w:tc>
        <w:tc>
          <w:tcPr>
            <w:tcW w:w="2394" w:type="dxa"/>
            <w:tcBorders>
              <w:bottom w:val="single" w:sz="12" w:space="0" w:color="auto"/>
            </w:tcBorders>
          </w:tcPr>
          <w:p w14:paraId="2764ED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Borders>
              <w:bottom w:val="single" w:sz="12" w:space="0" w:color="auto"/>
            </w:tcBorders>
          </w:tcPr>
          <w:p w14:paraId="65EECE6C" w14:textId="77777777" w:rsidR="00537E5F" w:rsidRPr="00507A31" w:rsidRDefault="00537E5F" w:rsidP="00507A31">
            <w:pPr>
              <w:autoSpaceDE w:val="0"/>
              <w:autoSpaceDN w:val="0"/>
              <w:adjustRightInd w:val="0"/>
              <w:jc w:val="both"/>
              <w:rPr>
                <w:color w:val="000000" w:themeColor="text1"/>
                <w:sz w:val="16"/>
                <w:szCs w:val="16"/>
              </w:rPr>
            </w:pPr>
          </w:p>
        </w:tc>
      </w:tr>
    </w:tbl>
    <w:p w14:paraId="4F143037" w14:textId="77777777" w:rsidR="00537E5F" w:rsidRPr="00507A31" w:rsidRDefault="00537E5F" w:rsidP="00507A31">
      <w:pPr>
        <w:autoSpaceDE w:val="0"/>
        <w:autoSpaceDN w:val="0"/>
        <w:adjustRightInd w:val="0"/>
        <w:jc w:val="both"/>
        <w:rPr>
          <w:iCs/>
          <w:color w:val="000000" w:themeColor="text1"/>
          <w:sz w:val="16"/>
          <w:szCs w:val="16"/>
        </w:rPr>
      </w:pPr>
      <w:r w:rsidRPr="00507A31">
        <w:rPr>
          <w:iCs/>
          <w:color w:val="000000" w:themeColor="text1"/>
          <w:sz w:val="16"/>
          <w:szCs w:val="16"/>
        </w:rPr>
        <w:t>(351).</w:t>
      </w:r>
    </w:p>
    <w:p w14:paraId="548A9EF9" w14:textId="77777777" w:rsidR="00537E5F" w:rsidRPr="00507A31" w:rsidRDefault="00537E5F" w:rsidP="00507A31">
      <w:pPr>
        <w:autoSpaceDE w:val="0"/>
        <w:autoSpaceDN w:val="0"/>
        <w:adjustRightInd w:val="0"/>
        <w:jc w:val="both"/>
        <w:rPr>
          <w:iCs/>
          <w:color w:val="000000" w:themeColor="text1"/>
          <w:sz w:val="16"/>
          <w:szCs w:val="16"/>
        </w:rPr>
      </w:pPr>
    </w:p>
    <w:p w14:paraId="65018C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февраля 1930 года на совещании был согласован представителями с ВСНХ и РВС План опытного моторостроения НКВМ как в части основных технических данных опытных образцов, так и в части сроков, которые ВСНХ принял в качестве необходимых и подлежащих выполнению во что бы то ни стало (3625, 25).</w:t>
      </w:r>
    </w:p>
    <w:p w14:paraId="078B0AFA" w14:textId="77777777" w:rsidR="00537E5F" w:rsidRPr="00507A31" w:rsidRDefault="00537E5F" w:rsidP="00507A31">
      <w:pPr>
        <w:autoSpaceDE w:val="0"/>
        <w:autoSpaceDN w:val="0"/>
        <w:adjustRightInd w:val="0"/>
        <w:jc w:val="both"/>
        <w:rPr>
          <w:color w:val="000000" w:themeColor="text1"/>
          <w:sz w:val="16"/>
          <w:szCs w:val="16"/>
        </w:rPr>
      </w:pPr>
    </w:p>
    <w:p w14:paraId="7C30C1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февраля 1930 вышел приказ по Государственному тресту Авиационной промышленности № 74</w:t>
      </w:r>
    </w:p>
    <w:p w14:paraId="7576A4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 изменение ранее установленного грузового адреса для завода № 33, с сего числа считать для отправки грузов на вышеупоянутый завод следующий адрес: Ст. Москва, Товарная, Бутырская Севю ж.д., Савеловский вокзал, Заводу № 33 (8826,25).</w:t>
      </w:r>
    </w:p>
    <w:p w14:paraId="6384AC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4DDAEA5" w14:textId="77777777" w:rsidR="004724BF" w:rsidRPr="00507A31" w:rsidRDefault="004724BF" w:rsidP="00507A31">
      <w:pPr>
        <w:jc w:val="both"/>
        <w:rPr>
          <w:color w:val="0070C0"/>
          <w:sz w:val="16"/>
          <w:szCs w:val="16"/>
        </w:rPr>
      </w:pPr>
      <w:r w:rsidRPr="00507A31">
        <w:rPr>
          <w:color w:val="0070C0"/>
          <w:sz w:val="16"/>
          <w:szCs w:val="16"/>
        </w:rPr>
        <w:t>6 февраля 1930 г.</w:t>
      </w:r>
    </w:p>
    <w:p w14:paraId="0781C0CB" w14:textId="77777777" w:rsidR="004724BF" w:rsidRPr="00507A31" w:rsidRDefault="004724BF" w:rsidP="00507A31">
      <w:pPr>
        <w:jc w:val="both"/>
        <w:rPr>
          <w:color w:val="0070C0"/>
          <w:sz w:val="16"/>
          <w:szCs w:val="16"/>
        </w:rPr>
      </w:pPr>
      <w:r w:rsidRPr="00507A31">
        <w:rPr>
          <w:color w:val="0070C0"/>
          <w:sz w:val="16"/>
          <w:szCs w:val="16"/>
        </w:rPr>
        <w:t>Докладная записка С.С. Каменева заместителю председателя РВС СССР и заместителю наркомвоенмора СССР И.С. Уншлихту о результатах поисков американских летчиков К. Эйельсона и Э. Борланда</w:t>
      </w:r>
    </w:p>
    <w:p w14:paraId="17CDDEDA" w14:textId="77777777" w:rsidR="004724BF" w:rsidRPr="00507A31" w:rsidRDefault="004724BF" w:rsidP="00507A31">
      <w:pPr>
        <w:jc w:val="both"/>
        <w:rPr>
          <w:color w:val="0070C0"/>
          <w:sz w:val="16"/>
          <w:szCs w:val="16"/>
        </w:rPr>
      </w:pPr>
      <w:r w:rsidRPr="00507A31">
        <w:rPr>
          <w:color w:val="0070C0"/>
          <w:sz w:val="16"/>
          <w:szCs w:val="16"/>
        </w:rPr>
        <w:t>6 февраля 1930 г.</w:t>
      </w:r>
    </w:p>
    <w:p w14:paraId="4FEB0006" w14:textId="77777777" w:rsidR="004724BF" w:rsidRPr="00507A31" w:rsidRDefault="004724BF" w:rsidP="00507A31">
      <w:pPr>
        <w:jc w:val="both"/>
        <w:rPr>
          <w:color w:val="0070C0"/>
          <w:sz w:val="16"/>
          <w:szCs w:val="16"/>
        </w:rPr>
      </w:pPr>
      <w:r w:rsidRPr="00507A31">
        <w:rPr>
          <w:color w:val="0070C0"/>
          <w:sz w:val="16"/>
          <w:szCs w:val="16"/>
        </w:rPr>
        <w:t>Секретно</w:t>
      </w:r>
    </w:p>
    <w:p w14:paraId="056CD42E" w14:textId="77777777" w:rsidR="004724BF" w:rsidRPr="00507A31" w:rsidRDefault="004724BF" w:rsidP="00507A31">
      <w:pPr>
        <w:jc w:val="both"/>
        <w:rPr>
          <w:color w:val="0070C0"/>
          <w:sz w:val="16"/>
          <w:szCs w:val="16"/>
        </w:rPr>
      </w:pPr>
      <w:r w:rsidRPr="00507A31">
        <w:rPr>
          <w:color w:val="0070C0"/>
          <w:sz w:val="16"/>
          <w:szCs w:val="16"/>
        </w:rPr>
        <w:t>Докладываю:</w:t>
      </w:r>
    </w:p>
    <w:p w14:paraId="3B148EB3" w14:textId="77777777" w:rsidR="004724BF" w:rsidRPr="00507A31" w:rsidRDefault="004724BF" w:rsidP="00507A31">
      <w:pPr>
        <w:jc w:val="both"/>
        <w:rPr>
          <w:color w:val="0070C0"/>
          <w:sz w:val="16"/>
          <w:szCs w:val="16"/>
        </w:rPr>
      </w:pPr>
      <w:r w:rsidRPr="00507A31">
        <w:rPr>
          <w:color w:val="0070C0"/>
          <w:sz w:val="16"/>
          <w:szCs w:val="16"/>
        </w:rPr>
        <w:t>Вылетевший 10 ноября из американского порта Толлер летчик Эльсон с бортмехаником Борландом к месту посадки (Северный мыс) не прибыли.</w:t>
      </w:r>
    </w:p>
    <w:p w14:paraId="1EB34664" w14:textId="77777777" w:rsidR="004724BF" w:rsidRPr="00507A31" w:rsidRDefault="004724BF" w:rsidP="00507A31">
      <w:pPr>
        <w:jc w:val="both"/>
        <w:rPr>
          <w:color w:val="0070C0"/>
          <w:sz w:val="16"/>
          <w:szCs w:val="16"/>
        </w:rPr>
      </w:pPr>
      <w:r w:rsidRPr="00507A31">
        <w:rPr>
          <w:color w:val="0070C0"/>
          <w:sz w:val="16"/>
          <w:szCs w:val="16"/>
        </w:rPr>
        <w:t>22 ноября была сделана первая попытка со стороны владельца американской шхуны «Нанук» Свенсона разыскать летчиков с помощью санной экспедиции на собаках. Эти поиски ничего не дали.</w:t>
      </w:r>
    </w:p>
    <w:p w14:paraId="5EA02A3E" w14:textId="77777777" w:rsidR="004724BF" w:rsidRPr="00507A31" w:rsidRDefault="004724BF" w:rsidP="00507A31">
      <w:pPr>
        <w:jc w:val="both"/>
        <w:rPr>
          <w:color w:val="0070C0"/>
          <w:sz w:val="16"/>
          <w:szCs w:val="16"/>
        </w:rPr>
      </w:pPr>
      <w:r w:rsidRPr="00507A31">
        <w:rPr>
          <w:color w:val="0070C0"/>
          <w:sz w:val="16"/>
          <w:szCs w:val="16"/>
        </w:rPr>
        <w:t>Затем наступившие пурги и продолжавшаяся полярная ночь не дали возможности произвести розыск как американскими, так и советскими самолетами и нартами до 20 января.</w:t>
      </w:r>
    </w:p>
    <w:p w14:paraId="4181640A" w14:textId="77777777" w:rsidR="004724BF" w:rsidRPr="00507A31" w:rsidRDefault="004724BF" w:rsidP="00507A31">
      <w:pPr>
        <w:jc w:val="both"/>
        <w:rPr>
          <w:color w:val="0070C0"/>
          <w:sz w:val="16"/>
          <w:szCs w:val="16"/>
        </w:rPr>
      </w:pPr>
      <w:r w:rsidRPr="00507A31">
        <w:rPr>
          <w:color w:val="0070C0"/>
          <w:sz w:val="16"/>
          <w:szCs w:val="16"/>
        </w:rPr>
        <w:t>26 января американский пилот Кроссон обнаружил по тени на снегу крыло самолета, после чего капитаном корабля «Ставрополь» Миловзоровым и владельцем шхуны «Нанук» Свенсоном было решено приступить к детальному обследованию района аварии.</w:t>
      </w:r>
    </w:p>
    <w:p w14:paraId="1BE7B378" w14:textId="77777777" w:rsidR="004724BF" w:rsidRPr="00507A31" w:rsidRDefault="004724BF" w:rsidP="00507A31">
      <w:pPr>
        <w:jc w:val="both"/>
        <w:rPr>
          <w:color w:val="0070C0"/>
          <w:sz w:val="16"/>
          <w:szCs w:val="16"/>
        </w:rPr>
      </w:pPr>
      <w:r w:rsidRPr="00507A31">
        <w:rPr>
          <w:color w:val="0070C0"/>
          <w:sz w:val="16"/>
          <w:szCs w:val="16"/>
        </w:rPr>
        <w:t>К этому времени - 29 января - из бухты Провидения прилетели на мыс Северный наши два самолета с летчиками Слепневым и Галышевым, имея пассажиром начальника погранотряда тов. Кучму.</w:t>
      </w:r>
    </w:p>
    <w:p w14:paraId="22DCC249" w14:textId="77777777" w:rsidR="004724BF" w:rsidRPr="00507A31" w:rsidRDefault="004724BF" w:rsidP="00507A31">
      <w:pPr>
        <w:jc w:val="both"/>
        <w:rPr>
          <w:color w:val="0070C0"/>
          <w:sz w:val="16"/>
          <w:szCs w:val="16"/>
        </w:rPr>
      </w:pPr>
      <w:r w:rsidRPr="00507A31">
        <w:rPr>
          <w:color w:val="0070C0"/>
          <w:sz w:val="16"/>
          <w:szCs w:val="16"/>
        </w:rPr>
        <w:t>30 января Арктической комиссии было приказано образовать тройку в составе капитана «Ставрополя» Миловзорова, начальника летного звена Слепнева и начальника погранотряда Кучмы для руководства дальнейшими розысками с целью выяснения судьбы пострадавших американских летчиков.</w:t>
      </w:r>
    </w:p>
    <w:p w14:paraId="0A162D22" w14:textId="77777777" w:rsidR="004724BF" w:rsidRPr="00507A31" w:rsidRDefault="004724BF" w:rsidP="00507A31">
      <w:pPr>
        <w:jc w:val="both"/>
        <w:rPr>
          <w:color w:val="0070C0"/>
          <w:sz w:val="16"/>
          <w:szCs w:val="16"/>
        </w:rPr>
      </w:pPr>
      <w:r w:rsidRPr="00507A31">
        <w:rPr>
          <w:color w:val="0070C0"/>
          <w:sz w:val="16"/>
          <w:szCs w:val="16"/>
        </w:rPr>
        <w:t>Того же 30 января американский пилот Кроссон с нашим летчиком Слепневым производили полет на легкой разведывательной машине к месту катастрофы (полет был произведен на американской машине в силу невозможности посадки тяжелого самолета в том районе). Этим полетом было произведено детальное обследование места катастрофы с составлением соответствующего акта, из которого явствует:</w:t>
      </w:r>
    </w:p>
    <w:p w14:paraId="0FCE3730" w14:textId="77777777" w:rsidR="004724BF" w:rsidRPr="00507A31" w:rsidRDefault="004724BF" w:rsidP="00507A31">
      <w:pPr>
        <w:jc w:val="both"/>
        <w:rPr>
          <w:color w:val="0070C0"/>
          <w:sz w:val="16"/>
          <w:szCs w:val="16"/>
        </w:rPr>
      </w:pPr>
      <w:r w:rsidRPr="00507A31">
        <w:rPr>
          <w:color w:val="0070C0"/>
          <w:sz w:val="16"/>
          <w:szCs w:val="16"/>
        </w:rPr>
        <w:t>Американский самолет на колесах дюралюминиевой конструкции типа моноплана с верхним расположением крыльев, мотор 565 сил; вес всей конструкции 3,342 ангор‘-фунта; поднимаемый груз - 3,500.</w:t>
      </w:r>
    </w:p>
    <w:p w14:paraId="7527EB00" w14:textId="77777777" w:rsidR="004724BF" w:rsidRPr="00507A31" w:rsidRDefault="004724BF" w:rsidP="00507A31">
      <w:pPr>
        <w:jc w:val="both"/>
        <w:rPr>
          <w:color w:val="0070C0"/>
          <w:sz w:val="16"/>
          <w:szCs w:val="16"/>
        </w:rPr>
      </w:pPr>
      <w:r w:rsidRPr="00507A31">
        <w:rPr>
          <w:color w:val="0070C0"/>
          <w:sz w:val="16"/>
          <w:szCs w:val="16"/>
        </w:rPr>
        <w:t>Самолет найден в 50-60 км к востоку от мыса Северного и 100 км от берега сильно разбитым и исковерканным. Мотор находится в 10 метрах от фюзеляжа, правое крыло в 30 метрах вправо от фюзеляжа, правый бок фюзеляжа переломлен, правое колесо в 100 метрах сзади, ось изогнута вперед, пилотская кабинка разбита. Сиденье Эльсона совершенно цело, ремни тоже отстегнуты. Товарищ Эльсона Сонг сообщил, что обыкновенно Эльсон не привязывался. Сиденье Борланда сплющено, рукоятки газа перед ним согнуты. Следов крови нет.</w:t>
      </w:r>
    </w:p>
    <w:p w14:paraId="176F528B" w14:textId="77777777" w:rsidR="004724BF" w:rsidRPr="00507A31" w:rsidRDefault="004724BF" w:rsidP="00507A31">
      <w:pPr>
        <w:jc w:val="both"/>
        <w:rPr>
          <w:color w:val="0070C0"/>
          <w:sz w:val="16"/>
          <w:szCs w:val="16"/>
        </w:rPr>
      </w:pPr>
      <w:r w:rsidRPr="00507A31">
        <w:rPr>
          <w:color w:val="0070C0"/>
          <w:sz w:val="16"/>
          <w:szCs w:val="16"/>
        </w:rPr>
        <w:t>Вся машина разбросана на площади 100 метров, занесена 4-х фунтовым плотным снегом «застругами». Одновременно с этим откопан револьвер без обоймы, найден сплющенный бидон бензина, мешок из-под сахара со следами крови. Найдена также летная шапка и перчатки Борланда. Предполагают, что эта шапка запасная.</w:t>
      </w:r>
    </w:p>
    <w:p w14:paraId="24BE5592" w14:textId="77777777" w:rsidR="004724BF" w:rsidRPr="00507A31" w:rsidRDefault="004724BF" w:rsidP="00507A31">
      <w:pPr>
        <w:jc w:val="both"/>
        <w:rPr>
          <w:color w:val="0070C0"/>
          <w:sz w:val="16"/>
          <w:szCs w:val="16"/>
        </w:rPr>
      </w:pPr>
      <w:r w:rsidRPr="00507A31">
        <w:rPr>
          <w:color w:val="0070C0"/>
          <w:sz w:val="16"/>
          <w:szCs w:val="16"/>
        </w:rPr>
        <w:t>По мнению тройки, к которому присоединился участвовавший в осмотре американский летчик Чундеб, признано, что состояние, в котором найден самолет, указывает на несомненную гибель летчиков Эльсона и Борланда, в силу чего дальнейшая воздушная разведка с помощью самолетов в этих условиях признана излишней. Дальнейшие поиски решено производить путем раскопки площади аварии до обнаружения трупов. Этого рода поиски производить средствами «Ставрополя», санной партии Добролета, подходящей сейчас к Колючинской губе, и экипажем шхуны «Нанук».</w:t>
      </w:r>
    </w:p>
    <w:p w14:paraId="34E588EC" w14:textId="77777777" w:rsidR="004724BF" w:rsidRPr="00507A31" w:rsidRDefault="004724BF" w:rsidP="00507A31">
      <w:pPr>
        <w:jc w:val="both"/>
        <w:rPr>
          <w:color w:val="0070C0"/>
          <w:sz w:val="16"/>
          <w:szCs w:val="16"/>
        </w:rPr>
      </w:pPr>
      <w:r w:rsidRPr="00507A31">
        <w:rPr>
          <w:color w:val="0070C0"/>
          <w:sz w:val="16"/>
          <w:szCs w:val="16"/>
        </w:rPr>
        <w:t>Для переброски к месту раскопок поисковой партии решено использовать 2 советских самолета и 4 американских. Руководителем розыскной группы назначен т. Слепнев, с механиком Фарихом. В качестве живой силы для раскопок выделены 7 советских и 3 американских моряка.</w:t>
      </w:r>
    </w:p>
    <w:p w14:paraId="64C29921" w14:textId="77777777" w:rsidR="004724BF" w:rsidRPr="00507A31" w:rsidRDefault="004724BF" w:rsidP="00507A31">
      <w:pPr>
        <w:jc w:val="both"/>
        <w:rPr>
          <w:color w:val="0070C0"/>
          <w:sz w:val="16"/>
          <w:szCs w:val="16"/>
        </w:rPr>
      </w:pPr>
      <w:r w:rsidRPr="00507A31">
        <w:rPr>
          <w:color w:val="0070C0"/>
          <w:sz w:val="16"/>
          <w:szCs w:val="16"/>
        </w:rPr>
        <w:t>По полученным сведениям, Слепнев с командой вылетел к месту катастрофы, благополучно произвел высадку и приступил к раскопкам.</w:t>
      </w:r>
    </w:p>
    <w:p w14:paraId="18796733" w14:textId="77777777" w:rsidR="004724BF" w:rsidRPr="00507A31" w:rsidRDefault="004724BF" w:rsidP="00507A31">
      <w:pPr>
        <w:jc w:val="both"/>
        <w:rPr>
          <w:color w:val="0070C0"/>
          <w:sz w:val="16"/>
          <w:szCs w:val="16"/>
        </w:rPr>
      </w:pPr>
      <w:r w:rsidRPr="00507A31">
        <w:rPr>
          <w:color w:val="0070C0"/>
          <w:sz w:val="16"/>
          <w:szCs w:val="16"/>
        </w:rPr>
        <w:t>Американский летчик Кроссон на легком разведывательном самолете сопровождал Слепнева в воздухе.</w:t>
      </w:r>
    </w:p>
    <w:p w14:paraId="0478CBB3" w14:textId="77777777" w:rsidR="004724BF" w:rsidRPr="00507A31" w:rsidRDefault="004724BF" w:rsidP="00507A31">
      <w:pPr>
        <w:jc w:val="both"/>
        <w:rPr>
          <w:color w:val="0070C0"/>
          <w:sz w:val="16"/>
          <w:szCs w:val="16"/>
        </w:rPr>
      </w:pPr>
      <w:r w:rsidRPr="00507A31">
        <w:rPr>
          <w:color w:val="0070C0"/>
          <w:sz w:val="16"/>
          <w:szCs w:val="16"/>
        </w:rPr>
        <w:t>Одновременно начальник погранотряда т. Кучма вышел туда же с 5-ю моряками на нартах.</w:t>
      </w:r>
    </w:p>
    <w:p w14:paraId="292B4009" w14:textId="77777777" w:rsidR="004724BF" w:rsidRPr="00507A31" w:rsidRDefault="004724BF" w:rsidP="00507A31">
      <w:pPr>
        <w:jc w:val="both"/>
        <w:rPr>
          <w:color w:val="0070C0"/>
          <w:sz w:val="16"/>
          <w:szCs w:val="16"/>
        </w:rPr>
      </w:pPr>
      <w:r w:rsidRPr="00507A31">
        <w:rPr>
          <w:color w:val="0070C0"/>
          <w:sz w:val="16"/>
          <w:szCs w:val="16"/>
        </w:rPr>
        <w:t>Питание продуктами высадившейся партии Слепнева происходит путем сбрасывания с аэропланов.</w:t>
      </w:r>
    </w:p>
    <w:p w14:paraId="7B4460F9" w14:textId="77777777" w:rsidR="004724BF" w:rsidRPr="00507A31" w:rsidRDefault="004724BF" w:rsidP="00507A31">
      <w:pPr>
        <w:jc w:val="both"/>
        <w:rPr>
          <w:color w:val="0070C0"/>
          <w:sz w:val="16"/>
          <w:szCs w:val="16"/>
        </w:rPr>
      </w:pPr>
      <w:r w:rsidRPr="00507A31">
        <w:rPr>
          <w:color w:val="0070C0"/>
          <w:sz w:val="16"/>
          <w:szCs w:val="16"/>
        </w:rPr>
        <w:t>Дальнейших сведений о работах по розыскам Арктическая комиссия не имеет.</w:t>
      </w:r>
    </w:p>
    <w:p w14:paraId="09492A25" w14:textId="77777777" w:rsidR="004724BF" w:rsidRPr="00507A31" w:rsidRDefault="004724BF" w:rsidP="00507A31">
      <w:pPr>
        <w:jc w:val="both"/>
        <w:rPr>
          <w:color w:val="0070C0"/>
          <w:sz w:val="16"/>
          <w:szCs w:val="16"/>
        </w:rPr>
      </w:pPr>
      <w:r w:rsidRPr="00507A31">
        <w:rPr>
          <w:color w:val="0070C0"/>
          <w:sz w:val="16"/>
          <w:szCs w:val="16"/>
        </w:rPr>
        <w:t>В связи с изложенным комиссия пришла к решению:</w:t>
      </w:r>
    </w:p>
    <w:p w14:paraId="56E28051" w14:textId="77777777" w:rsidR="004724BF" w:rsidRPr="00507A31" w:rsidRDefault="004724BF" w:rsidP="00507A31">
      <w:pPr>
        <w:jc w:val="both"/>
        <w:rPr>
          <w:color w:val="0070C0"/>
          <w:sz w:val="16"/>
          <w:szCs w:val="16"/>
        </w:rPr>
      </w:pPr>
      <w:r w:rsidRPr="00507A31">
        <w:rPr>
          <w:color w:val="0070C0"/>
          <w:sz w:val="16"/>
          <w:szCs w:val="16"/>
        </w:rPr>
        <w:t>1) Признать, что усиление летными средствами района мыса Северный сейчас не нужно, тем более что запас бензина в этом районе чрезвычайно ограничен, ввиду чего испрашивается разрешение о возвращении летчиков Громова из Хабаровска в Москву и Чухновского из Иркутска в Красноярск.</w:t>
      </w:r>
    </w:p>
    <w:p w14:paraId="4A618A14" w14:textId="77777777" w:rsidR="004724BF" w:rsidRPr="00507A31" w:rsidRDefault="004724BF" w:rsidP="00507A31">
      <w:pPr>
        <w:jc w:val="both"/>
        <w:rPr>
          <w:color w:val="0070C0"/>
          <w:sz w:val="16"/>
          <w:szCs w:val="16"/>
        </w:rPr>
      </w:pPr>
      <w:r w:rsidRPr="00507A31">
        <w:rPr>
          <w:color w:val="0070C0"/>
          <w:sz w:val="16"/>
          <w:szCs w:val="16"/>
        </w:rPr>
        <w:t>2) Намеченный план тройки по розыску трупов американских летчиков утвердить.</w:t>
      </w:r>
    </w:p>
    <w:p w14:paraId="1AFAF543" w14:textId="77777777" w:rsidR="004724BF" w:rsidRPr="00507A31" w:rsidRDefault="004724BF" w:rsidP="00507A31">
      <w:pPr>
        <w:jc w:val="both"/>
        <w:rPr>
          <w:color w:val="0070C0"/>
          <w:sz w:val="16"/>
          <w:szCs w:val="16"/>
        </w:rPr>
      </w:pPr>
      <w:r w:rsidRPr="00507A31">
        <w:rPr>
          <w:color w:val="0070C0"/>
          <w:sz w:val="16"/>
          <w:szCs w:val="16"/>
        </w:rPr>
        <w:t>3) Необходимо теперь же принять меры к усилению района розысков запасом бензина для обеспечения возврата как американских летчиков, так и наших в бухту Провидения.</w:t>
      </w:r>
    </w:p>
    <w:p w14:paraId="289FD692" w14:textId="77777777" w:rsidR="004724BF" w:rsidRPr="00507A31" w:rsidRDefault="004724BF" w:rsidP="00507A31">
      <w:pPr>
        <w:jc w:val="both"/>
        <w:rPr>
          <w:color w:val="0070C0"/>
          <w:sz w:val="16"/>
          <w:szCs w:val="16"/>
        </w:rPr>
      </w:pPr>
      <w:r w:rsidRPr="00507A31">
        <w:rPr>
          <w:color w:val="0070C0"/>
          <w:sz w:val="16"/>
          <w:szCs w:val="16"/>
        </w:rPr>
        <w:t>По изложенным трем пунктам прошу утверждения.</w:t>
      </w:r>
    </w:p>
    <w:p w14:paraId="16F7609B" w14:textId="77777777" w:rsidR="004724BF" w:rsidRPr="00507A31" w:rsidRDefault="004724BF" w:rsidP="00507A31">
      <w:pPr>
        <w:jc w:val="both"/>
        <w:rPr>
          <w:color w:val="0070C0"/>
          <w:sz w:val="16"/>
          <w:szCs w:val="16"/>
        </w:rPr>
      </w:pPr>
      <w:r w:rsidRPr="00507A31">
        <w:rPr>
          <w:color w:val="0070C0"/>
          <w:sz w:val="16"/>
          <w:szCs w:val="16"/>
        </w:rPr>
        <w:t>Подытоживая всю проведенную кампанию, необходимо отметить, что с нашей стороны оказано содействие американцам в виде:</w:t>
      </w:r>
    </w:p>
    <w:p w14:paraId="2B41CB50" w14:textId="77777777" w:rsidR="004724BF" w:rsidRPr="00507A31" w:rsidRDefault="004724BF" w:rsidP="00507A31">
      <w:pPr>
        <w:jc w:val="both"/>
        <w:rPr>
          <w:color w:val="0070C0"/>
          <w:sz w:val="16"/>
          <w:szCs w:val="16"/>
        </w:rPr>
      </w:pPr>
      <w:r w:rsidRPr="00507A31">
        <w:rPr>
          <w:color w:val="0070C0"/>
          <w:sz w:val="16"/>
          <w:szCs w:val="16"/>
        </w:rPr>
        <w:t>а) предоставления бензина на мысе Северном;</w:t>
      </w:r>
    </w:p>
    <w:p w14:paraId="16218DF6" w14:textId="77777777" w:rsidR="004724BF" w:rsidRPr="00507A31" w:rsidRDefault="004724BF" w:rsidP="00507A31">
      <w:pPr>
        <w:jc w:val="both"/>
        <w:rPr>
          <w:color w:val="0070C0"/>
          <w:sz w:val="16"/>
          <w:szCs w:val="16"/>
        </w:rPr>
      </w:pPr>
      <w:r w:rsidRPr="00507A31">
        <w:rPr>
          <w:color w:val="0070C0"/>
          <w:sz w:val="16"/>
          <w:szCs w:val="16"/>
        </w:rPr>
        <w:t>б) доставки бензина из бухты Провидения в Колючинскую и мыс Северный;</w:t>
      </w:r>
    </w:p>
    <w:p w14:paraId="204FDE4D" w14:textId="77777777" w:rsidR="004724BF" w:rsidRPr="00507A31" w:rsidRDefault="004724BF" w:rsidP="00507A31">
      <w:pPr>
        <w:jc w:val="both"/>
        <w:rPr>
          <w:color w:val="0070C0"/>
          <w:sz w:val="16"/>
          <w:szCs w:val="16"/>
        </w:rPr>
      </w:pPr>
      <w:r w:rsidRPr="00507A31">
        <w:rPr>
          <w:color w:val="0070C0"/>
          <w:sz w:val="16"/>
          <w:szCs w:val="16"/>
        </w:rPr>
        <w:t>в) обслуживания радиостанциями (о. Врангеля, корабль «Ставрополь» и Пинкигней);</w:t>
      </w:r>
    </w:p>
    <w:p w14:paraId="330FF1D6" w14:textId="77777777" w:rsidR="004724BF" w:rsidRPr="00507A31" w:rsidRDefault="004724BF" w:rsidP="00507A31">
      <w:pPr>
        <w:jc w:val="both"/>
        <w:rPr>
          <w:color w:val="0070C0"/>
          <w:sz w:val="16"/>
          <w:szCs w:val="16"/>
        </w:rPr>
      </w:pPr>
      <w:r w:rsidRPr="00507A31">
        <w:rPr>
          <w:color w:val="0070C0"/>
          <w:sz w:val="16"/>
          <w:szCs w:val="16"/>
        </w:rPr>
        <w:t>г) дачи метсведений с наших метстанций;</w:t>
      </w:r>
    </w:p>
    <w:p w14:paraId="05BD6B9F" w14:textId="77777777" w:rsidR="004724BF" w:rsidRPr="00507A31" w:rsidRDefault="004724BF" w:rsidP="00507A31">
      <w:pPr>
        <w:jc w:val="both"/>
        <w:rPr>
          <w:color w:val="0070C0"/>
          <w:sz w:val="16"/>
          <w:szCs w:val="16"/>
        </w:rPr>
      </w:pPr>
      <w:r w:rsidRPr="00507A31">
        <w:rPr>
          <w:color w:val="0070C0"/>
          <w:sz w:val="16"/>
          <w:szCs w:val="16"/>
        </w:rPr>
        <w:t>д) осмотра колонией Врангеля ближайшего района к югозападу от о. Врангеля;</w:t>
      </w:r>
    </w:p>
    <w:p w14:paraId="4ED6742C" w14:textId="77777777" w:rsidR="004724BF" w:rsidRPr="00507A31" w:rsidRDefault="004724BF" w:rsidP="00507A31">
      <w:pPr>
        <w:jc w:val="both"/>
        <w:rPr>
          <w:color w:val="0070C0"/>
          <w:sz w:val="16"/>
          <w:szCs w:val="16"/>
        </w:rPr>
      </w:pPr>
      <w:r w:rsidRPr="00507A31">
        <w:rPr>
          <w:color w:val="0070C0"/>
          <w:sz w:val="16"/>
          <w:szCs w:val="16"/>
        </w:rPr>
        <w:t>е) осмотра партией «Ставрополя» на нартах района к востоку от мыса Северного вплоть до района губы Колючинской;</w:t>
      </w:r>
    </w:p>
    <w:p w14:paraId="1433ABC8" w14:textId="77777777" w:rsidR="004724BF" w:rsidRPr="00507A31" w:rsidRDefault="004724BF" w:rsidP="00507A31">
      <w:pPr>
        <w:jc w:val="both"/>
        <w:rPr>
          <w:color w:val="0070C0"/>
          <w:sz w:val="16"/>
          <w:szCs w:val="16"/>
        </w:rPr>
      </w:pPr>
      <w:r w:rsidRPr="00507A31">
        <w:rPr>
          <w:color w:val="0070C0"/>
          <w:sz w:val="16"/>
          <w:szCs w:val="16"/>
        </w:rPr>
        <w:t>ж) обследования нашими советскими летчиками Слепневым и Галышевым маршрута Эльсона от о. Лаврентия до мыса Северного;</w:t>
      </w:r>
    </w:p>
    <w:p w14:paraId="1D51CB6F" w14:textId="77777777" w:rsidR="004724BF" w:rsidRPr="00507A31" w:rsidRDefault="004724BF" w:rsidP="00507A31">
      <w:pPr>
        <w:jc w:val="both"/>
        <w:rPr>
          <w:color w:val="0070C0"/>
          <w:sz w:val="16"/>
          <w:szCs w:val="16"/>
        </w:rPr>
      </w:pPr>
      <w:r w:rsidRPr="00507A31">
        <w:rPr>
          <w:color w:val="0070C0"/>
          <w:sz w:val="16"/>
          <w:szCs w:val="16"/>
        </w:rPr>
        <w:t>з) полета Слепнева вместе с американским летчиком к месту предполагаемой катастрофы, который дал совершенно точную картину катастрофы;</w:t>
      </w:r>
    </w:p>
    <w:p w14:paraId="65F62881" w14:textId="77777777" w:rsidR="004724BF" w:rsidRPr="00507A31" w:rsidRDefault="004724BF" w:rsidP="00507A31">
      <w:pPr>
        <w:jc w:val="both"/>
        <w:rPr>
          <w:color w:val="0070C0"/>
          <w:sz w:val="16"/>
          <w:szCs w:val="16"/>
        </w:rPr>
      </w:pPr>
      <w:r w:rsidRPr="00507A31">
        <w:rPr>
          <w:color w:val="0070C0"/>
          <w:sz w:val="16"/>
          <w:szCs w:val="16"/>
        </w:rPr>
        <w:t>и) дальнейших полетов к месту катастрофы летчика Слепнева и высадки партии для производства раскопок;</w:t>
      </w:r>
    </w:p>
    <w:p w14:paraId="2F7CCC22" w14:textId="77777777" w:rsidR="004724BF" w:rsidRPr="00507A31" w:rsidRDefault="004724BF" w:rsidP="00507A31">
      <w:pPr>
        <w:jc w:val="both"/>
        <w:rPr>
          <w:color w:val="0070C0"/>
          <w:sz w:val="16"/>
          <w:szCs w:val="16"/>
        </w:rPr>
      </w:pPr>
      <w:r w:rsidRPr="00507A31">
        <w:rPr>
          <w:color w:val="0070C0"/>
          <w:sz w:val="16"/>
          <w:szCs w:val="16"/>
        </w:rPr>
        <w:t>к) снаряжения дополнительных санных партий от «Ставрополя» и Добролета;</w:t>
      </w:r>
    </w:p>
    <w:p w14:paraId="61B00413" w14:textId="77777777" w:rsidR="004724BF" w:rsidRPr="00507A31" w:rsidRDefault="004724BF" w:rsidP="00507A31">
      <w:pPr>
        <w:jc w:val="both"/>
        <w:rPr>
          <w:color w:val="0070C0"/>
          <w:sz w:val="16"/>
          <w:szCs w:val="16"/>
        </w:rPr>
      </w:pPr>
      <w:r w:rsidRPr="00507A31">
        <w:rPr>
          <w:color w:val="0070C0"/>
          <w:sz w:val="16"/>
          <w:szCs w:val="16"/>
        </w:rPr>
        <w:t>л) организации руководящего ядра по розыскам американских летчиков в виде тройки в составе Миловзорова, Слепнева и Кучмы.</w:t>
      </w:r>
    </w:p>
    <w:p w14:paraId="389930EF" w14:textId="77777777" w:rsidR="004724BF" w:rsidRPr="00507A31" w:rsidRDefault="004724BF" w:rsidP="00507A31">
      <w:pPr>
        <w:jc w:val="both"/>
        <w:rPr>
          <w:color w:val="0070C0"/>
          <w:sz w:val="16"/>
          <w:szCs w:val="16"/>
        </w:rPr>
      </w:pPr>
      <w:r w:rsidRPr="00507A31">
        <w:rPr>
          <w:color w:val="0070C0"/>
          <w:sz w:val="16"/>
          <w:szCs w:val="16"/>
        </w:rPr>
        <w:t>С. Каменев</w:t>
      </w:r>
    </w:p>
    <w:p w14:paraId="67F7071B" w14:textId="77777777" w:rsidR="004724BF" w:rsidRPr="00507A31" w:rsidRDefault="004724BF" w:rsidP="00507A31">
      <w:pPr>
        <w:jc w:val="both"/>
        <w:rPr>
          <w:color w:val="0070C0"/>
          <w:sz w:val="16"/>
          <w:szCs w:val="16"/>
        </w:rPr>
      </w:pPr>
      <w:r w:rsidRPr="00507A31">
        <w:rPr>
          <w:color w:val="0070C0"/>
          <w:sz w:val="16"/>
          <w:szCs w:val="16"/>
        </w:rPr>
        <w:t>АП РФ. Ф. 3. On. 66. Д. 436. Л. 75-78. Подлинник.</w:t>
      </w:r>
    </w:p>
    <w:p w14:paraId="0AD87F30" w14:textId="77777777" w:rsidR="004724BF" w:rsidRPr="00507A31" w:rsidRDefault="004724BF" w:rsidP="00507A31">
      <w:pPr>
        <w:jc w:val="both"/>
        <w:rPr>
          <w:color w:val="0070C0"/>
          <w:sz w:val="16"/>
          <w:szCs w:val="16"/>
        </w:rPr>
      </w:pPr>
      <w:r w:rsidRPr="00507A31">
        <w:rPr>
          <w:color w:val="0070C0"/>
          <w:sz w:val="16"/>
          <w:szCs w:val="16"/>
        </w:rPr>
        <w:lastRenderedPageBreak/>
        <w:t>1 Записка направлена 6 февраля 1930 г. И.С. Уншлихтом И.В. Сталину с просьбой обсудить на заседании Политбюро ЦК ВКП(б) предложения комиссии, возглавляемой С.С. Каменевым, но это предложение было отклонено (20595).</w:t>
      </w:r>
    </w:p>
    <w:p w14:paraId="2E9408E4" w14:textId="77777777" w:rsidR="004724BF" w:rsidRPr="00507A31" w:rsidRDefault="004724BF" w:rsidP="00507A31">
      <w:pPr>
        <w:jc w:val="both"/>
        <w:rPr>
          <w:color w:val="0070C0"/>
          <w:sz w:val="16"/>
          <w:szCs w:val="16"/>
        </w:rPr>
      </w:pPr>
    </w:p>
    <w:p w14:paraId="73DADB8D" w14:textId="77777777" w:rsidR="00EA78E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E25B8BE" w14:textId="77777777" w:rsidR="00EA78E2" w:rsidRPr="00507A31" w:rsidRDefault="00EA78E2" w:rsidP="00507A31">
      <w:pPr>
        <w:autoSpaceDE w:val="0"/>
        <w:autoSpaceDN w:val="0"/>
        <w:adjustRightInd w:val="0"/>
        <w:jc w:val="both"/>
        <w:rPr>
          <w:iCs/>
          <w:color w:val="000000" w:themeColor="text1"/>
          <w:sz w:val="16"/>
          <w:szCs w:val="16"/>
        </w:rPr>
      </w:pPr>
    </w:p>
    <w:p w14:paraId="782D2910" w14:textId="77777777" w:rsidR="00EA78E2" w:rsidRPr="00507A31" w:rsidRDefault="00EA78E2" w:rsidP="00507A31">
      <w:pPr>
        <w:jc w:val="both"/>
        <w:rPr>
          <w:color w:val="000000" w:themeColor="text1"/>
          <w:sz w:val="16"/>
          <w:szCs w:val="16"/>
        </w:rPr>
      </w:pPr>
      <w:r w:rsidRPr="00507A31">
        <w:rPr>
          <w:color w:val="000000" w:themeColor="text1"/>
          <w:sz w:val="16"/>
          <w:szCs w:val="16"/>
        </w:rPr>
        <w:t>6 февраля 1930 года было письмо народного комиссара по военным и морским делам СССР председателю СНКУССР от, в котором говорится следующее:</w:t>
      </w:r>
    </w:p>
    <w:p w14:paraId="778D350F" w14:textId="77777777" w:rsidR="00EA78E2" w:rsidRPr="00507A31" w:rsidRDefault="00EA78E2" w:rsidP="00507A31">
      <w:pPr>
        <w:jc w:val="both"/>
        <w:rPr>
          <w:color w:val="000000" w:themeColor="text1"/>
          <w:sz w:val="16"/>
          <w:szCs w:val="16"/>
        </w:rPr>
      </w:pPr>
      <w:r w:rsidRPr="00507A31">
        <w:rPr>
          <w:color w:val="000000" w:themeColor="text1"/>
          <w:sz w:val="16"/>
          <w:szCs w:val="16"/>
        </w:rPr>
        <w:t>«По заказу Наркомздрава УССР инженером Дыренковым был спроектирован и построен самоходный вагон с двигателем внутреннего сгорания. 31.12.29 г. этот вагон испытан на Московско-Курской дороге. Вагон этот до сих пор находится в распоряжении Наркомздрава УССР. Так как подобные вагоны крайне необходимы Военному Ведомству, то прошу Ваших распоряжений о предоставлении вагона в распоряжение Военведа на срок 1 месяц с подачей его в Брянский узел, склад № 60 для производства специспытаний» (15624).</w:t>
      </w:r>
    </w:p>
    <w:p w14:paraId="7F39702A" w14:textId="77777777" w:rsidR="00EA78E2" w:rsidRPr="00507A31" w:rsidRDefault="00EA78E2" w:rsidP="00507A31">
      <w:pPr>
        <w:jc w:val="both"/>
        <w:rPr>
          <w:color w:val="000000" w:themeColor="text1"/>
          <w:sz w:val="16"/>
          <w:szCs w:val="16"/>
        </w:rPr>
      </w:pPr>
    </w:p>
    <w:p w14:paraId="5990F4DD" w14:textId="77777777" w:rsidR="00B71C22" w:rsidRPr="00507A31" w:rsidRDefault="00B71C22" w:rsidP="00507A31">
      <w:pPr>
        <w:jc w:val="both"/>
        <w:rPr>
          <w:color w:val="000000" w:themeColor="text1"/>
          <w:sz w:val="16"/>
          <w:szCs w:val="16"/>
        </w:rPr>
      </w:pPr>
      <w:r w:rsidRPr="00507A31">
        <w:rPr>
          <w:color w:val="000000" w:themeColor="text1"/>
          <w:sz w:val="16"/>
          <w:szCs w:val="16"/>
        </w:rPr>
        <w:t>6 февраля 1930 года было письмо народного комиссара по военным и морским делам СССР председателю СНКУССР, в котором говорится следующее: </w:t>
      </w:r>
    </w:p>
    <w:p w14:paraId="290EBAFF" w14:textId="77777777" w:rsidR="00B71C22" w:rsidRPr="00507A31" w:rsidRDefault="00B71C22" w:rsidP="00507A31">
      <w:pPr>
        <w:jc w:val="both"/>
        <w:rPr>
          <w:color w:val="000000" w:themeColor="text1"/>
          <w:sz w:val="16"/>
          <w:szCs w:val="16"/>
        </w:rPr>
      </w:pPr>
      <w:r w:rsidRPr="00507A31">
        <w:rPr>
          <w:color w:val="000000" w:themeColor="text1"/>
          <w:sz w:val="16"/>
          <w:szCs w:val="16"/>
        </w:rPr>
        <w:t>«По заказу Наркомздрава УССР инженером Дыренковым был спроектирован и построен самоходный вагон с двигателем внутреннего сгорания. 31.12.29 г. этот вагон испытан на Московско-Курской дороге. Вагон этот до сих пор находится в распоряжении Наркомздрава УССР. Так как подобные вагоны крайне необходимы Военному Ведомству, то прошу Ваших распоряжений о предоставлении вагона в распоряжение Военведа на срок 1 месяц с подачей его в Брянский узел, склад № 60 для производства специспытаний» (18626).</w:t>
      </w:r>
    </w:p>
    <w:p w14:paraId="35289404" w14:textId="77777777" w:rsidR="00B71C22" w:rsidRPr="00507A31" w:rsidRDefault="00B71C22" w:rsidP="00507A31">
      <w:pPr>
        <w:jc w:val="both"/>
        <w:rPr>
          <w:color w:val="000000" w:themeColor="text1"/>
          <w:sz w:val="16"/>
          <w:szCs w:val="16"/>
        </w:rPr>
      </w:pPr>
    </w:p>
    <w:p w14:paraId="70C32CF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AA05BC5" w14:textId="77777777" w:rsidR="00537E5F" w:rsidRPr="00507A31" w:rsidRDefault="00537E5F" w:rsidP="00507A31">
      <w:pPr>
        <w:autoSpaceDE w:val="0"/>
        <w:autoSpaceDN w:val="0"/>
        <w:adjustRightInd w:val="0"/>
        <w:jc w:val="both"/>
        <w:rPr>
          <w:iCs/>
          <w:color w:val="000000" w:themeColor="text1"/>
          <w:sz w:val="16"/>
          <w:szCs w:val="16"/>
        </w:rPr>
      </w:pPr>
    </w:p>
    <w:p w14:paraId="44ED40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февраля 1930 спектаклем КВДЖ открылся центральный театр КА (3398,61).</w:t>
      </w:r>
    </w:p>
    <w:p w14:paraId="5CDDAC15" w14:textId="77777777" w:rsidR="00537E5F" w:rsidRPr="00507A31" w:rsidRDefault="00537E5F" w:rsidP="00507A31">
      <w:pPr>
        <w:autoSpaceDE w:val="0"/>
        <w:autoSpaceDN w:val="0"/>
        <w:adjustRightInd w:val="0"/>
        <w:jc w:val="both"/>
        <w:rPr>
          <w:color w:val="000000" w:themeColor="text1"/>
          <w:sz w:val="16"/>
          <w:szCs w:val="16"/>
        </w:rPr>
      </w:pPr>
    </w:p>
    <w:p w14:paraId="3F1F87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февраля 1930 Согласно директиве председателя ОГПУ Г.Ягоды N 44.21 началась операция по "изъятию" шестидесяти тысяч кулаков "первой категории". В первый день операции ОГПУ было арестовано 15 985 человек (10687).</w:t>
      </w:r>
    </w:p>
    <w:p w14:paraId="378B285A" w14:textId="77777777" w:rsidR="00537E5F" w:rsidRPr="00507A31" w:rsidRDefault="00537E5F" w:rsidP="00507A31">
      <w:pPr>
        <w:autoSpaceDE w:val="0"/>
        <w:autoSpaceDN w:val="0"/>
        <w:adjustRightInd w:val="0"/>
        <w:jc w:val="both"/>
        <w:rPr>
          <w:color w:val="000000" w:themeColor="text1"/>
          <w:sz w:val="16"/>
          <w:szCs w:val="16"/>
        </w:rPr>
      </w:pPr>
    </w:p>
    <w:p w14:paraId="7097C94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A10A42C" w14:textId="77777777" w:rsidR="00537E5F" w:rsidRPr="00507A31" w:rsidRDefault="00537E5F" w:rsidP="00507A31">
      <w:pPr>
        <w:autoSpaceDE w:val="0"/>
        <w:autoSpaceDN w:val="0"/>
        <w:adjustRightInd w:val="0"/>
        <w:jc w:val="both"/>
        <w:rPr>
          <w:iCs/>
          <w:color w:val="000000" w:themeColor="text1"/>
          <w:sz w:val="16"/>
          <w:szCs w:val="16"/>
        </w:rPr>
      </w:pPr>
    </w:p>
    <w:p w14:paraId="3B76F2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февраля 1930 Австрия и Италия подписали Договор о дружбе (3907,161).</w:t>
      </w:r>
    </w:p>
    <w:p w14:paraId="5D47626E" w14:textId="77777777" w:rsidR="00537E5F" w:rsidRPr="00507A31" w:rsidRDefault="00537E5F" w:rsidP="00507A31">
      <w:pPr>
        <w:autoSpaceDE w:val="0"/>
        <w:autoSpaceDN w:val="0"/>
        <w:adjustRightInd w:val="0"/>
        <w:jc w:val="both"/>
        <w:rPr>
          <w:color w:val="000000" w:themeColor="text1"/>
          <w:sz w:val="16"/>
          <w:szCs w:val="16"/>
        </w:rPr>
      </w:pPr>
    </w:p>
    <w:p w14:paraId="16980289" w14:textId="77777777" w:rsidR="00C31E35"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0A5FCD0" w14:textId="77777777" w:rsidR="00C31E35" w:rsidRPr="00507A31" w:rsidRDefault="00C31E35" w:rsidP="00507A31">
      <w:pPr>
        <w:autoSpaceDE w:val="0"/>
        <w:autoSpaceDN w:val="0"/>
        <w:adjustRightInd w:val="0"/>
        <w:jc w:val="both"/>
        <w:rPr>
          <w:iCs/>
          <w:color w:val="000000" w:themeColor="text1"/>
          <w:sz w:val="16"/>
          <w:szCs w:val="16"/>
        </w:rPr>
      </w:pPr>
    </w:p>
    <w:p w14:paraId="5AE0967F" w14:textId="77777777" w:rsidR="00C31E35" w:rsidRPr="00507A31" w:rsidRDefault="00C31E35" w:rsidP="00507A31">
      <w:pPr>
        <w:jc w:val="both"/>
        <w:rPr>
          <w:color w:val="000000" w:themeColor="text1"/>
          <w:sz w:val="16"/>
          <w:szCs w:val="16"/>
        </w:rPr>
      </w:pPr>
      <w:r w:rsidRPr="00507A31">
        <w:rPr>
          <w:color w:val="000000" w:themeColor="text1"/>
          <w:sz w:val="16"/>
          <w:szCs w:val="16"/>
        </w:rPr>
        <w:t>В начале февраля 1930 неисправности тормозов Т-12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74FA654B" w14:textId="77777777" w:rsidR="00C31E35" w:rsidRPr="00507A31" w:rsidRDefault="00C31E35" w:rsidP="00507A31">
      <w:pPr>
        <w:jc w:val="both"/>
        <w:rPr>
          <w:color w:val="000000" w:themeColor="text1"/>
          <w:sz w:val="16"/>
          <w:szCs w:val="16"/>
        </w:rPr>
      </w:pPr>
    </w:p>
    <w:p w14:paraId="450CE24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A52D87A" w14:textId="77777777" w:rsidR="00537E5F" w:rsidRPr="00507A31" w:rsidRDefault="00537E5F" w:rsidP="00507A31">
      <w:pPr>
        <w:autoSpaceDE w:val="0"/>
        <w:autoSpaceDN w:val="0"/>
        <w:adjustRightInd w:val="0"/>
        <w:jc w:val="both"/>
        <w:rPr>
          <w:iCs/>
          <w:color w:val="000000" w:themeColor="text1"/>
          <w:sz w:val="16"/>
          <w:szCs w:val="16"/>
        </w:rPr>
      </w:pPr>
    </w:p>
    <w:p w14:paraId="774789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февраля 1930 в ЦАГИ поступила выписка из директивы РККА по оперативно-тактическим требованиям к сухопутным самолетам. Там было и по ТШ - бронированному. Получила N 161с (351):</w:t>
      </w:r>
    </w:p>
    <w:p w14:paraId="0E7C64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Основные требования</w:t>
      </w:r>
    </w:p>
    <w:p w14:paraId="553746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Бомбовая нагрузка 800-1000 кг бомб;</w:t>
      </w:r>
    </w:p>
    <w:p w14:paraId="448889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Гор. скорость на высоте 1000 м - 250 км/ч;</w:t>
      </w:r>
    </w:p>
    <w:p w14:paraId="451DD5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Посадочная скорость - как у корпусного разведчика;</w:t>
      </w:r>
    </w:p>
    <w:p w14:paraId="248ADC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Маневренность;</w:t>
      </w:r>
    </w:p>
    <w:p w14:paraId="7E3FDB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 Радиус действия - 150 км;</w:t>
      </w:r>
    </w:p>
    <w:p w14:paraId="72DFCE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 Полная нагрузка - 2200 кг;</w:t>
      </w:r>
    </w:p>
    <w:p w14:paraId="0F027A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Вооружение</w:t>
      </w:r>
    </w:p>
    <w:p w14:paraId="6D2D73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не менее двух пулеметов и одного орудия калибра 20-37 мм для стрельбы вперед по земным целям и 2 турельных пулемета;</w:t>
      </w:r>
    </w:p>
    <w:p w14:paraId="03ADE5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бомб 800-1000 кг калибра 50-100 кг на бомбодержателях и 10 кг осколочные в кассетах;</w:t>
      </w:r>
    </w:p>
    <w:p w14:paraId="41541C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приборы для разбрызгивания и распыления ОВ за счет бомбовой нагрузки</w:t>
      </w:r>
    </w:p>
    <w:p w14:paraId="52DE7F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Оборудование</w:t>
      </w:r>
    </w:p>
    <w:p w14:paraId="3CC00F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приемо-передающая радиостанция (351).</w:t>
      </w:r>
    </w:p>
    <w:p w14:paraId="2F1994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 Развитие этого типа должно идти в сторону увеличения горизонтальной скорости и бомбовой нагрузки ((351).</w:t>
      </w:r>
    </w:p>
    <w:p w14:paraId="036519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сожалению, о броне - ничего.</w:t>
      </w:r>
    </w:p>
    <w:p w14:paraId="589E7D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 это было 1).</w:t>
      </w:r>
    </w:p>
    <w:p w14:paraId="534AB3EB" w14:textId="77777777" w:rsidR="00537E5F" w:rsidRPr="00507A31" w:rsidRDefault="00537E5F" w:rsidP="00507A31">
      <w:pPr>
        <w:autoSpaceDE w:val="0"/>
        <w:autoSpaceDN w:val="0"/>
        <w:adjustRightInd w:val="0"/>
        <w:jc w:val="both"/>
        <w:rPr>
          <w:color w:val="000000" w:themeColor="text1"/>
          <w:sz w:val="16"/>
          <w:szCs w:val="16"/>
        </w:rPr>
      </w:pPr>
    </w:p>
    <w:p w14:paraId="73E52CA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9EF5DFC" w14:textId="77777777" w:rsidR="00537E5F" w:rsidRPr="00507A31" w:rsidRDefault="00537E5F" w:rsidP="00507A31">
      <w:pPr>
        <w:autoSpaceDE w:val="0"/>
        <w:autoSpaceDN w:val="0"/>
        <w:adjustRightInd w:val="0"/>
        <w:jc w:val="both"/>
        <w:rPr>
          <w:iCs/>
          <w:color w:val="000000" w:themeColor="text1"/>
          <w:sz w:val="16"/>
          <w:szCs w:val="16"/>
        </w:rPr>
      </w:pPr>
    </w:p>
    <w:p w14:paraId="2EF559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февраля 1930 Казахская ССР. Восстание в г.Созак Сырдарьинского округа. Поводом для него стало сооружение в районе нескольких концентрационных лагерей для раскулаченных и их родственников. За короткое время была разоружена местная милиция, убиты представители власти и активисты, около 20 человек было арестовано (10687).</w:t>
      </w:r>
    </w:p>
    <w:p w14:paraId="15774BE2" w14:textId="77777777" w:rsidR="00537E5F" w:rsidRPr="00507A31" w:rsidRDefault="00537E5F" w:rsidP="00507A31">
      <w:pPr>
        <w:autoSpaceDE w:val="0"/>
        <w:autoSpaceDN w:val="0"/>
        <w:adjustRightInd w:val="0"/>
        <w:jc w:val="both"/>
        <w:rPr>
          <w:color w:val="000000" w:themeColor="text1"/>
          <w:sz w:val="16"/>
          <w:szCs w:val="16"/>
        </w:rPr>
      </w:pPr>
    </w:p>
    <w:p w14:paraId="1CA6E26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948B0A8" w14:textId="77777777" w:rsidR="00537E5F" w:rsidRPr="00507A31" w:rsidRDefault="00537E5F" w:rsidP="00507A31">
      <w:pPr>
        <w:autoSpaceDE w:val="0"/>
        <w:autoSpaceDN w:val="0"/>
        <w:adjustRightInd w:val="0"/>
        <w:jc w:val="both"/>
        <w:rPr>
          <w:iCs/>
          <w:color w:val="000000" w:themeColor="text1"/>
          <w:sz w:val="16"/>
          <w:szCs w:val="16"/>
        </w:rPr>
      </w:pPr>
    </w:p>
    <w:p w14:paraId="04AE07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февраля 1930 в НТК УВВС были разработаны данные для подсчетов самолетов во изменение и дополнение ранее присланных данных. Там были и по Тяжелому штурмовику - бронированному. Экипаж - 4 чел., гор. скор. на 1000 м - 250 км/час, дальн. - 300 км на макс. скорости, полезная нагрузка без брони и горючего, но с людьми - 1955 кг (351).</w:t>
      </w:r>
    </w:p>
    <w:p w14:paraId="23517EC0" w14:textId="77777777" w:rsidR="00537E5F" w:rsidRPr="00507A31" w:rsidRDefault="00537E5F" w:rsidP="00507A31">
      <w:pPr>
        <w:autoSpaceDE w:val="0"/>
        <w:autoSpaceDN w:val="0"/>
        <w:adjustRightInd w:val="0"/>
        <w:jc w:val="both"/>
        <w:rPr>
          <w:color w:val="000000" w:themeColor="text1"/>
          <w:sz w:val="16"/>
          <w:szCs w:val="16"/>
        </w:rPr>
      </w:pPr>
    </w:p>
    <w:p w14:paraId="08785D5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CA1F1C2" w14:textId="77777777" w:rsidR="00537E5F" w:rsidRPr="00507A31" w:rsidRDefault="00537E5F" w:rsidP="00507A31">
      <w:pPr>
        <w:autoSpaceDE w:val="0"/>
        <w:autoSpaceDN w:val="0"/>
        <w:adjustRightInd w:val="0"/>
        <w:jc w:val="both"/>
        <w:rPr>
          <w:iCs/>
          <w:color w:val="000000" w:themeColor="text1"/>
          <w:sz w:val="16"/>
          <w:szCs w:val="16"/>
        </w:rPr>
      </w:pPr>
    </w:p>
    <w:p w14:paraId="3BC44B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февраля 1930 Алтайский край. Баранчиково. Антисоветское восстание ойротов и русских староверов. Сформированный повстанческий отряд Тужлея (47 чел.) в этот же день занял с.Купчегень (10687).</w:t>
      </w:r>
    </w:p>
    <w:p w14:paraId="748FB93E" w14:textId="77777777" w:rsidR="00537E5F" w:rsidRPr="00507A31" w:rsidRDefault="00537E5F" w:rsidP="00507A31">
      <w:pPr>
        <w:autoSpaceDE w:val="0"/>
        <w:autoSpaceDN w:val="0"/>
        <w:adjustRightInd w:val="0"/>
        <w:jc w:val="both"/>
        <w:rPr>
          <w:color w:val="000000" w:themeColor="text1"/>
          <w:sz w:val="16"/>
          <w:szCs w:val="16"/>
        </w:rPr>
      </w:pPr>
    </w:p>
    <w:p w14:paraId="48C2756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671E2629" w14:textId="77777777" w:rsidR="00537E5F" w:rsidRPr="00507A31" w:rsidRDefault="00537E5F" w:rsidP="00507A31">
      <w:pPr>
        <w:autoSpaceDE w:val="0"/>
        <w:autoSpaceDN w:val="0"/>
        <w:adjustRightInd w:val="0"/>
        <w:jc w:val="both"/>
        <w:rPr>
          <w:iCs/>
          <w:color w:val="000000" w:themeColor="text1"/>
          <w:sz w:val="16"/>
          <w:szCs w:val="16"/>
        </w:rPr>
      </w:pPr>
    </w:p>
    <w:p w14:paraId="0AAAF2E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 февраля 1930 папа римский Пий XI осудил СССР за преследования христиан (4962).</w:t>
      </w:r>
    </w:p>
    <w:p w14:paraId="5B34382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D5AA2D4" w14:textId="77777777" w:rsidR="00EA78E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925927C" w14:textId="77777777" w:rsidR="00EA78E2" w:rsidRPr="00507A31" w:rsidRDefault="00EA78E2" w:rsidP="00507A31">
      <w:pPr>
        <w:autoSpaceDE w:val="0"/>
        <w:autoSpaceDN w:val="0"/>
        <w:adjustRightInd w:val="0"/>
        <w:jc w:val="both"/>
        <w:rPr>
          <w:iCs/>
          <w:color w:val="000000" w:themeColor="text1"/>
          <w:sz w:val="16"/>
          <w:szCs w:val="16"/>
        </w:rPr>
      </w:pPr>
    </w:p>
    <w:p w14:paraId="51714F13" w14:textId="77777777" w:rsidR="00EA78E2" w:rsidRPr="00507A31" w:rsidRDefault="00EA78E2" w:rsidP="00507A31">
      <w:pPr>
        <w:jc w:val="both"/>
        <w:rPr>
          <w:color w:val="000000" w:themeColor="text1"/>
          <w:sz w:val="16"/>
          <w:szCs w:val="16"/>
        </w:rPr>
      </w:pPr>
      <w:r w:rsidRPr="00507A31">
        <w:rPr>
          <w:bCs/>
          <w:color w:val="000000" w:themeColor="text1"/>
          <w:sz w:val="16"/>
          <w:szCs w:val="16"/>
        </w:rPr>
        <w:t>8 февраля</w:t>
      </w:r>
      <w:r w:rsidRPr="00507A31">
        <w:rPr>
          <w:color w:val="000000" w:themeColor="text1"/>
          <w:sz w:val="16"/>
          <w:szCs w:val="16"/>
        </w:rPr>
        <w:t xml:space="preserve"> в 1930 году первый полёт прототипа шестиместного, однодвигательного пассажирского самолета, получившего обозначение </w:t>
      </w:r>
      <w:hyperlink r:id="rId28" w:tgtFrame="_blank" w:history="1">
        <w:r w:rsidRPr="00507A31">
          <w:rPr>
            <w:color w:val="000000" w:themeColor="text1"/>
            <w:sz w:val="16"/>
            <w:szCs w:val="16"/>
          </w:rPr>
          <w:t xml:space="preserve">«Lublin» «R-XI» </w:t>
        </w:r>
      </w:hyperlink>
      <w:r w:rsidRPr="00507A31">
        <w:rPr>
          <w:color w:val="000000" w:themeColor="text1"/>
          <w:sz w:val="16"/>
          <w:szCs w:val="16"/>
        </w:rPr>
        <w:t>(компания Lublin, Польша). Летом 1931 года самолет «Lublin» «R-XI» потерпел аварию и больше не восстанавливался (15034).</w:t>
      </w:r>
    </w:p>
    <w:p w14:paraId="02F3764E" w14:textId="77777777" w:rsidR="00EA78E2" w:rsidRPr="00507A31" w:rsidRDefault="00EA78E2" w:rsidP="00507A31">
      <w:pPr>
        <w:jc w:val="both"/>
        <w:rPr>
          <w:color w:val="000000" w:themeColor="text1"/>
          <w:sz w:val="16"/>
          <w:szCs w:val="16"/>
        </w:rPr>
      </w:pPr>
    </w:p>
    <w:p w14:paraId="6A80DF52" w14:textId="77777777" w:rsidR="00950703" w:rsidRPr="00507A31" w:rsidRDefault="00950703"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D044665" w14:textId="77777777" w:rsidR="00950703" w:rsidRPr="00507A31" w:rsidRDefault="00950703" w:rsidP="00507A31">
      <w:pPr>
        <w:autoSpaceDE w:val="0"/>
        <w:autoSpaceDN w:val="0"/>
        <w:adjustRightInd w:val="0"/>
        <w:jc w:val="both"/>
        <w:rPr>
          <w:iCs/>
          <w:color w:val="000000" w:themeColor="text1"/>
          <w:sz w:val="16"/>
          <w:szCs w:val="16"/>
        </w:rPr>
      </w:pPr>
    </w:p>
    <w:p w14:paraId="21EA0954" w14:textId="77777777" w:rsidR="00950703" w:rsidRPr="00507A31" w:rsidRDefault="00950703" w:rsidP="00507A31">
      <w:pPr>
        <w:pStyle w:val="article-renderblock"/>
        <w:shd w:val="clear" w:color="auto" w:fill="FFFFFF"/>
        <w:spacing w:before="0" w:beforeAutospacing="0" w:after="0" w:afterAutospacing="0"/>
        <w:jc w:val="both"/>
        <w:rPr>
          <w:color w:val="0070C0"/>
          <w:sz w:val="16"/>
          <w:szCs w:val="16"/>
        </w:rPr>
      </w:pPr>
      <w:r w:rsidRPr="00507A31">
        <w:rPr>
          <w:color w:val="0070C0"/>
          <w:sz w:val="16"/>
          <w:szCs w:val="16"/>
        </w:rPr>
        <w:t xml:space="preserve">9 февраля 1930 пришло письмо за подписью К.Б. Калиновского, одного из ключевых людей в советских танковых войсках и на тот момент ВРИД начальника УММ КА Он назвал превышение массы недопустимым, заодно выкатив измененные требования. Теперь скорость 25 км/ч была средней, а максимальной - 30 км/ч. А еще к </w:t>
      </w:r>
      <w:r w:rsidRPr="00507A31">
        <w:rPr>
          <w:color w:val="0070C0"/>
          <w:sz w:val="16"/>
          <w:szCs w:val="16"/>
        </w:rPr>
        <w:lastRenderedPageBreak/>
        <w:t xml:space="preserve">Т-19 должны были цепляться надувные поплавки, благодаря чему обеспечивалась плавучесть. Это товарищ Калиновский явно подсмотрел у немцев, которые с 1929 года на ТЕКО под Казанью испытывали свои средние танки Großtraktor. Причем на плаву Т-19 должен был развивать скорость не менее 5-6 км/ч (20842). </w:t>
      </w:r>
    </w:p>
    <w:p w14:paraId="2A749B18" w14:textId="77777777" w:rsidR="00950703" w:rsidRPr="00507A31" w:rsidRDefault="00950703" w:rsidP="00507A31">
      <w:pPr>
        <w:pStyle w:val="article-renderblock"/>
        <w:shd w:val="clear" w:color="auto" w:fill="FFFFFF"/>
        <w:spacing w:before="0" w:beforeAutospacing="0" w:after="0" w:afterAutospacing="0"/>
        <w:jc w:val="both"/>
        <w:rPr>
          <w:color w:val="0070C0"/>
          <w:sz w:val="16"/>
          <w:szCs w:val="16"/>
        </w:rPr>
      </w:pPr>
    </w:p>
    <w:p w14:paraId="510E3F1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A981EE5" w14:textId="77777777" w:rsidR="00537E5F" w:rsidRPr="00507A31" w:rsidRDefault="00537E5F" w:rsidP="00507A31">
      <w:pPr>
        <w:autoSpaceDE w:val="0"/>
        <w:autoSpaceDN w:val="0"/>
        <w:adjustRightInd w:val="0"/>
        <w:jc w:val="both"/>
        <w:rPr>
          <w:iCs/>
          <w:color w:val="000000" w:themeColor="text1"/>
          <w:sz w:val="16"/>
          <w:szCs w:val="16"/>
        </w:rPr>
      </w:pPr>
    </w:p>
    <w:p w14:paraId="28E5FC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состоянию на 9 февраля 1930 число арестованных ОГПУ "кулаков" достигло 25 245 человек (10687).</w:t>
      </w:r>
    </w:p>
    <w:p w14:paraId="1A0635AA" w14:textId="77777777" w:rsidR="00537E5F" w:rsidRPr="00507A31" w:rsidRDefault="00537E5F" w:rsidP="00507A31">
      <w:pPr>
        <w:autoSpaceDE w:val="0"/>
        <w:autoSpaceDN w:val="0"/>
        <w:adjustRightInd w:val="0"/>
        <w:jc w:val="both"/>
        <w:rPr>
          <w:color w:val="000000" w:themeColor="text1"/>
          <w:sz w:val="16"/>
          <w:szCs w:val="16"/>
        </w:rPr>
      </w:pPr>
    </w:p>
    <w:p w14:paraId="7B456CA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1666830" w14:textId="77777777" w:rsidR="00537E5F" w:rsidRPr="00507A31" w:rsidRDefault="00537E5F" w:rsidP="00507A31">
      <w:pPr>
        <w:autoSpaceDE w:val="0"/>
        <w:autoSpaceDN w:val="0"/>
        <w:adjustRightInd w:val="0"/>
        <w:jc w:val="both"/>
        <w:rPr>
          <w:iCs/>
          <w:color w:val="000000" w:themeColor="text1"/>
          <w:sz w:val="16"/>
          <w:szCs w:val="16"/>
        </w:rPr>
      </w:pPr>
    </w:p>
    <w:p w14:paraId="40B7B6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фев</w:t>
      </w:r>
      <w:r w:rsidRPr="00507A31">
        <w:rPr>
          <w:color w:val="000000" w:themeColor="text1"/>
          <w:sz w:val="16"/>
          <w:szCs w:val="16"/>
        </w:rPr>
        <w:softHyphen/>
        <w:t>раля 1930 г. для ЦАГИ в очередной раз утвердили задание на истребитель смешанной конструкции под мотор Ю-УП. По проекту договора институт, в случае успешного завершения работ, мог рас</w:t>
      </w:r>
      <w:r w:rsidRPr="00507A31">
        <w:rPr>
          <w:color w:val="000000" w:themeColor="text1"/>
          <w:sz w:val="16"/>
          <w:szCs w:val="16"/>
        </w:rPr>
        <w:softHyphen/>
        <w:t>считывать на денежное вознаграждение в размере 150000 руб. Заведующий кон</w:t>
      </w:r>
      <w:r w:rsidRPr="00507A31">
        <w:rPr>
          <w:color w:val="000000" w:themeColor="text1"/>
          <w:sz w:val="16"/>
          <w:szCs w:val="16"/>
        </w:rPr>
        <w:softHyphen/>
        <w:t>структорской частью П.О.Сухой докла</w:t>
      </w:r>
      <w:r w:rsidRPr="00507A31">
        <w:rPr>
          <w:color w:val="000000" w:themeColor="text1"/>
          <w:sz w:val="16"/>
          <w:szCs w:val="16"/>
        </w:rPr>
        <w:softHyphen/>
        <w:t>дывал о готовности к тому моменту всех рабочих чертежей, была собрана ферма фюзеляжа и два деревянных полнораз</w:t>
      </w:r>
      <w:r w:rsidRPr="00507A31">
        <w:rPr>
          <w:color w:val="000000" w:themeColor="text1"/>
          <w:sz w:val="16"/>
          <w:szCs w:val="16"/>
        </w:rPr>
        <w:softHyphen/>
        <w:t>мерных макета. Только на этом все и за</w:t>
      </w:r>
      <w:r w:rsidRPr="00507A31">
        <w:rPr>
          <w:color w:val="000000" w:themeColor="text1"/>
          <w:sz w:val="16"/>
          <w:szCs w:val="16"/>
        </w:rPr>
        <w:softHyphen/>
        <w:t>кончилось. К лету 1930 г. начал активно летать истребитель И-5 (ВТ-11), постро</w:t>
      </w:r>
      <w:r w:rsidRPr="00507A31">
        <w:rPr>
          <w:color w:val="000000" w:themeColor="text1"/>
          <w:sz w:val="16"/>
          <w:szCs w:val="16"/>
        </w:rPr>
        <w:softHyphen/>
        <w:t>енный в ЦКБ-39 ОГПУ, поэтому необ</w:t>
      </w:r>
      <w:r w:rsidRPr="00507A31">
        <w:rPr>
          <w:color w:val="000000" w:themeColor="text1"/>
          <w:sz w:val="16"/>
          <w:szCs w:val="16"/>
        </w:rPr>
        <w:softHyphen/>
        <w:t>ходимость в еще одном таком аппарате отпала и И-5 (АНТ-12) ЦАГИ оконча</w:t>
      </w:r>
      <w:r w:rsidRPr="00507A31">
        <w:rPr>
          <w:color w:val="000000" w:themeColor="text1"/>
          <w:sz w:val="16"/>
          <w:szCs w:val="16"/>
        </w:rPr>
        <w:softHyphen/>
        <w:t>тельно сняли с плана (10729).</w:t>
      </w:r>
    </w:p>
    <w:p w14:paraId="62DB8E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BF230D4" w14:textId="77777777" w:rsidR="00C31E35" w:rsidRPr="00507A31" w:rsidRDefault="00C31E35" w:rsidP="00507A31">
      <w:pPr>
        <w:jc w:val="both"/>
        <w:rPr>
          <w:color w:val="000000" w:themeColor="text1"/>
          <w:sz w:val="16"/>
          <w:szCs w:val="16"/>
        </w:rPr>
      </w:pPr>
      <w:r w:rsidRPr="00507A31">
        <w:rPr>
          <w:color w:val="000000" w:themeColor="text1"/>
          <w:sz w:val="16"/>
          <w:szCs w:val="16"/>
        </w:rPr>
        <w:t>10 февраля 1930 г. для ЦАГИ в очередной раз утвердили задание на истре</w:t>
      </w:r>
      <w:r w:rsidRPr="00507A31">
        <w:rPr>
          <w:color w:val="000000" w:themeColor="text1"/>
          <w:sz w:val="16"/>
          <w:szCs w:val="16"/>
        </w:rPr>
        <w:softHyphen/>
        <w:t>битель смешанной конструкции под мотор «Юпитер» VII. Институт по проекту догово</w:t>
      </w:r>
      <w:r w:rsidRPr="00507A31">
        <w:rPr>
          <w:color w:val="000000" w:themeColor="text1"/>
          <w:sz w:val="16"/>
          <w:szCs w:val="16"/>
        </w:rPr>
        <w:softHyphen/>
        <w:t>ра, в случае успешного завершения работ мог рассчитывать на денежное вознаграждение в размере 150 000 руб. Заведующий конструк</w:t>
      </w:r>
      <w:r w:rsidRPr="00507A31">
        <w:rPr>
          <w:color w:val="000000" w:themeColor="text1"/>
          <w:sz w:val="16"/>
          <w:szCs w:val="16"/>
        </w:rPr>
        <w:softHyphen/>
        <w:t>торской частью П.О. Сухой докладывал о го</w:t>
      </w:r>
      <w:r w:rsidRPr="00507A31">
        <w:rPr>
          <w:color w:val="000000" w:themeColor="text1"/>
          <w:sz w:val="16"/>
          <w:szCs w:val="16"/>
        </w:rPr>
        <w:softHyphen/>
        <w:t>товности к тому моменту всей рабочих чер</w:t>
      </w:r>
      <w:r w:rsidRPr="00507A31">
        <w:rPr>
          <w:color w:val="000000" w:themeColor="text1"/>
          <w:sz w:val="16"/>
          <w:szCs w:val="16"/>
        </w:rPr>
        <w:softHyphen/>
        <w:t>тежей, была изготовлена ферма фюзеляжа и два деревянных полноразмерных макета. На этом все и закончилось. Летом 1930 г. АНТ- 12 конструкции ЦАГИ окончательно сняли с плана. Причин тому имелось множество (12295).</w:t>
      </w:r>
    </w:p>
    <w:p w14:paraId="3547E5B8" w14:textId="77777777" w:rsidR="00C31E35" w:rsidRPr="00507A31" w:rsidRDefault="00C31E35" w:rsidP="00507A31">
      <w:pPr>
        <w:jc w:val="both"/>
        <w:rPr>
          <w:color w:val="000000" w:themeColor="text1"/>
          <w:sz w:val="16"/>
          <w:szCs w:val="16"/>
        </w:rPr>
      </w:pPr>
    </w:p>
    <w:p w14:paraId="2244A0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февраля 1930 на заседании у т. Алксннса с Авиаобъединением согласовывался план работ по опытному строительству УВВС по самолетной части. По моторной части был согласован на совещании т. Уншлихта 6 февраля у, при чем пред”дявленные Авиаоб"единению требования по срокам оказались настолько тяжелыми, что Авиаоб”единение в ГВПУ отказались признать эти сроки обязательными для пронышленаости в предложили принять сроки УВВС в качестве необходимых, которые промышленость должна осуществить во что бы то ни стало.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A61694" w:rsidRPr="00507A31" w14:paraId="0C870E1E" w14:textId="77777777">
        <w:tc>
          <w:tcPr>
            <w:tcW w:w="2394" w:type="dxa"/>
            <w:tcBorders>
              <w:top w:val="single" w:sz="12" w:space="0" w:color="auto"/>
            </w:tcBorders>
          </w:tcPr>
          <w:p w14:paraId="3DC3CF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w:t>
            </w:r>
          </w:p>
        </w:tc>
        <w:tc>
          <w:tcPr>
            <w:tcW w:w="2394" w:type="dxa"/>
            <w:tcBorders>
              <w:top w:val="single" w:sz="12" w:space="0" w:color="auto"/>
            </w:tcBorders>
          </w:tcPr>
          <w:p w14:paraId="1C099E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w:t>
            </w:r>
          </w:p>
        </w:tc>
        <w:tc>
          <w:tcPr>
            <w:tcW w:w="2394" w:type="dxa"/>
            <w:tcBorders>
              <w:top w:val="single" w:sz="12" w:space="0" w:color="auto"/>
            </w:tcBorders>
          </w:tcPr>
          <w:p w14:paraId="3814AE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tc>
      </w:tr>
      <w:tr w:rsidR="00A61694" w:rsidRPr="00507A31" w14:paraId="1F6B1CC3" w14:textId="77777777">
        <w:tc>
          <w:tcPr>
            <w:tcW w:w="2394" w:type="dxa"/>
          </w:tcPr>
          <w:p w14:paraId="343556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М-30</w:t>
            </w:r>
          </w:p>
        </w:tc>
        <w:tc>
          <w:tcPr>
            <w:tcW w:w="2394" w:type="dxa"/>
          </w:tcPr>
          <w:p w14:paraId="7D5123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УП-30</w:t>
            </w:r>
          </w:p>
        </w:tc>
        <w:tc>
          <w:tcPr>
            <w:tcW w:w="2394" w:type="dxa"/>
          </w:tcPr>
          <w:p w14:paraId="2CCF15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A61694" w:rsidRPr="00507A31" w14:paraId="47BAAA0C" w14:textId="77777777">
        <w:tc>
          <w:tcPr>
            <w:tcW w:w="2394" w:type="dxa"/>
          </w:tcPr>
          <w:p w14:paraId="6B3B23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М-31</w:t>
            </w:r>
          </w:p>
        </w:tc>
        <w:tc>
          <w:tcPr>
            <w:tcW w:w="2394" w:type="dxa"/>
          </w:tcPr>
          <w:p w14:paraId="56BBBA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2394" w:type="dxa"/>
          </w:tcPr>
          <w:p w14:paraId="7AF297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A61694" w:rsidRPr="00507A31" w14:paraId="39F205F6" w14:textId="77777777">
        <w:tc>
          <w:tcPr>
            <w:tcW w:w="2394" w:type="dxa"/>
          </w:tcPr>
          <w:p w14:paraId="5F1A77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М-32</w:t>
            </w:r>
          </w:p>
        </w:tc>
        <w:tc>
          <w:tcPr>
            <w:tcW w:w="2394" w:type="dxa"/>
          </w:tcPr>
          <w:p w14:paraId="1566A3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1-32</w:t>
            </w:r>
          </w:p>
        </w:tc>
        <w:tc>
          <w:tcPr>
            <w:tcW w:w="2394" w:type="dxa"/>
          </w:tcPr>
          <w:p w14:paraId="1DA765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A61694" w:rsidRPr="00507A31" w14:paraId="624042E7" w14:textId="77777777">
        <w:tc>
          <w:tcPr>
            <w:tcW w:w="2394" w:type="dxa"/>
          </w:tcPr>
          <w:p w14:paraId="14DB84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М-36</w:t>
            </w:r>
          </w:p>
        </w:tc>
        <w:tc>
          <w:tcPr>
            <w:tcW w:w="2394" w:type="dxa"/>
          </w:tcPr>
          <w:p w14:paraId="447B31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Х-30</w:t>
            </w:r>
          </w:p>
        </w:tc>
        <w:tc>
          <w:tcPr>
            <w:tcW w:w="2394" w:type="dxa"/>
          </w:tcPr>
          <w:p w14:paraId="4518C4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A61694" w:rsidRPr="00507A31" w14:paraId="538A4872" w14:textId="77777777">
        <w:tc>
          <w:tcPr>
            <w:tcW w:w="2394" w:type="dxa"/>
          </w:tcPr>
          <w:p w14:paraId="565373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М-37</w:t>
            </w:r>
          </w:p>
        </w:tc>
        <w:tc>
          <w:tcPr>
            <w:tcW w:w="2394" w:type="dxa"/>
          </w:tcPr>
          <w:p w14:paraId="5A796E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1-32</w:t>
            </w:r>
          </w:p>
        </w:tc>
        <w:tc>
          <w:tcPr>
            <w:tcW w:w="2394" w:type="dxa"/>
          </w:tcPr>
          <w:p w14:paraId="7F935E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A61694" w:rsidRPr="00507A31" w14:paraId="7F22A285" w14:textId="77777777">
        <w:tc>
          <w:tcPr>
            <w:tcW w:w="2394" w:type="dxa"/>
          </w:tcPr>
          <w:p w14:paraId="7B0A0F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М-38</w:t>
            </w:r>
          </w:p>
        </w:tc>
        <w:tc>
          <w:tcPr>
            <w:tcW w:w="2394" w:type="dxa"/>
          </w:tcPr>
          <w:p w14:paraId="4BFFF7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Х-32</w:t>
            </w:r>
          </w:p>
        </w:tc>
        <w:tc>
          <w:tcPr>
            <w:tcW w:w="2394" w:type="dxa"/>
          </w:tcPr>
          <w:p w14:paraId="35CFC7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A61694" w:rsidRPr="00507A31" w14:paraId="1928B450" w14:textId="77777777">
        <w:tc>
          <w:tcPr>
            <w:tcW w:w="2394" w:type="dxa"/>
          </w:tcPr>
          <w:p w14:paraId="6EC1C7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М-33</w:t>
            </w:r>
          </w:p>
        </w:tc>
        <w:tc>
          <w:tcPr>
            <w:tcW w:w="2394" w:type="dxa"/>
          </w:tcPr>
          <w:p w14:paraId="1B02AA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П-31</w:t>
            </w:r>
          </w:p>
        </w:tc>
        <w:tc>
          <w:tcPr>
            <w:tcW w:w="2394" w:type="dxa"/>
          </w:tcPr>
          <w:p w14:paraId="504F9C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М-27</w:t>
            </w:r>
          </w:p>
        </w:tc>
      </w:tr>
      <w:tr w:rsidR="00A61694" w:rsidRPr="00507A31" w14:paraId="489785C3" w14:textId="77777777">
        <w:tc>
          <w:tcPr>
            <w:tcW w:w="2394" w:type="dxa"/>
          </w:tcPr>
          <w:p w14:paraId="499A1B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w:t>
            </w:r>
          </w:p>
        </w:tc>
        <w:tc>
          <w:tcPr>
            <w:tcW w:w="2394" w:type="dxa"/>
          </w:tcPr>
          <w:p w14:paraId="3826B7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П-32</w:t>
            </w:r>
          </w:p>
        </w:tc>
        <w:tc>
          <w:tcPr>
            <w:tcW w:w="2394" w:type="dxa"/>
          </w:tcPr>
          <w:p w14:paraId="405644BB"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74D10B15" w14:textId="77777777">
        <w:tc>
          <w:tcPr>
            <w:tcW w:w="2394" w:type="dxa"/>
          </w:tcPr>
          <w:p w14:paraId="77F35C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 НАМИ</w:t>
            </w:r>
          </w:p>
        </w:tc>
        <w:tc>
          <w:tcPr>
            <w:tcW w:w="2394" w:type="dxa"/>
          </w:tcPr>
          <w:p w14:paraId="4E3B67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1У-32</w:t>
            </w:r>
          </w:p>
        </w:tc>
        <w:tc>
          <w:tcPr>
            <w:tcW w:w="2394" w:type="dxa"/>
          </w:tcPr>
          <w:p w14:paraId="580938B3"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71AD776" w14:textId="77777777">
        <w:tc>
          <w:tcPr>
            <w:tcW w:w="2394" w:type="dxa"/>
          </w:tcPr>
          <w:p w14:paraId="12A31F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М-39</w:t>
            </w:r>
          </w:p>
        </w:tc>
        <w:tc>
          <w:tcPr>
            <w:tcW w:w="2394" w:type="dxa"/>
          </w:tcPr>
          <w:p w14:paraId="16FF9A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ХП-31</w:t>
            </w:r>
          </w:p>
        </w:tc>
        <w:tc>
          <w:tcPr>
            <w:tcW w:w="2394" w:type="dxa"/>
          </w:tcPr>
          <w:p w14:paraId="66CAA4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М-29</w:t>
            </w:r>
          </w:p>
        </w:tc>
      </w:tr>
      <w:tr w:rsidR="00A61694" w:rsidRPr="00507A31" w14:paraId="35FB656B" w14:textId="77777777">
        <w:tc>
          <w:tcPr>
            <w:tcW w:w="2394" w:type="dxa"/>
          </w:tcPr>
          <w:p w14:paraId="2BC87F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М-40</w:t>
            </w:r>
          </w:p>
        </w:tc>
        <w:tc>
          <w:tcPr>
            <w:tcW w:w="2394" w:type="dxa"/>
          </w:tcPr>
          <w:p w14:paraId="45E206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ХП-32</w:t>
            </w:r>
          </w:p>
        </w:tc>
        <w:tc>
          <w:tcPr>
            <w:tcW w:w="2394" w:type="dxa"/>
          </w:tcPr>
          <w:p w14:paraId="0B1169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М-29</w:t>
            </w:r>
          </w:p>
        </w:tc>
      </w:tr>
      <w:tr w:rsidR="00A61694" w:rsidRPr="00507A31" w14:paraId="573541EF" w14:textId="77777777">
        <w:tc>
          <w:tcPr>
            <w:tcW w:w="2394" w:type="dxa"/>
          </w:tcPr>
          <w:p w14:paraId="086E7D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М-28</w:t>
            </w:r>
          </w:p>
        </w:tc>
        <w:tc>
          <w:tcPr>
            <w:tcW w:w="2394" w:type="dxa"/>
          </w:tcPr>
          <w:p w14:paraId="11CFC5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ХП-31</w:t>
            </w:r>
          </w:p>
        </w:tc>
        <w:tc>
          <w:tcPr>
            <w:tcW w:w="2394" w:type="dxa"/>
          </w:tcPr>
          <w:p w14:paraId="6ACD0B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ФЭД</w:t>
            </w:r>
          </w:p>
        </w:tc>
      </w:tr>
      <w:tr w:rsidR="00A61694" w:rsidRPr="00507A31" w14:paraId="19B42774" w14:textId="77777777">
        <w:tc>
          <w:tcPr>
            <w:tcW w:w="2394" w:type="dxa"/>
          </w:tcPr>
          <w:p w14:paraId="312F43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М-35</w:t>
            </w:r>
          </w:p>
        </w:tc>
        <w:tc>
          <w:tcPr>
            <w:tcW w:w="2394" w:type="dxa"/>
          </w:tcPr>
          <w:p w14:paraId="7D479D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ХП-32</w:t>
            </w:r>
          </w:p>
        </w:tc>
        <w:tc>
          <w:tcPr>
            <w:tcW w:w="2394" w:type="dxa"/>
          </w:tcPr>
          <w:p w14:paraId="3F64D1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ФЭД</w:t>
            </w:r>
          </w:p>
        </w:tc>
      </w:tr>
      <w:tr w:rsidR="00A61694" w:rsidRPr="00507A31" w14:paraId="50603BB8" w14:textId="77777777">
        <w:tc>
          <w:tcPr>
            <w:tcW w:w="2394" w:type="dxa"/>
          </w:tcPr>
          <w:p w14:paraId="2F5A57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М-26</w:t>
            </w:r>
          </w:p>
        </w:tc>
        <w:tc>
          <w:tcPr>
            <w:tcW w:w="2394" w:type="dxa"/>
          </w:tcPr>
          <w:p w14:paraId="37CEF8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УШ-30</w:t>
            </w:r>
          </w:p>
        </w:tc>
        <w:tc>
          <w:tcPr>
            <w:tcW w:w="2394" w:type="dxa"/>
          </w:tcPr>
          <w:p w14:paraId="1A1270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w:t>
            </w:r>
          </w:p>
        </w:tc>
      </w:tr>
      <w:tr w:rsidR="00A61694" w:rsidRPr="00507A31" w14:paraId="74B68E38" w14:textId="77777777">
        <w:tc>
          <w:tcPr>
            <w:tcW w:w="2394" w:type="dxa"/>
          </w:tcPr>
          <w:p w14:paraId="16DFDB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М-45</w:t>
            </w:r>
          </w:p>
        </w:tc>
        <w:tc>
          <w:tcPr>
            <w:tcW w:w="2394" w:type="dxa"/>
          </w:tcPr>
          <w:p w14:paraId="24FE7A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Х-31</w:t>
            </w:r>
          </w:p>
        </w:tc>
        <w:tc>
          <w:tcPr>
            <w:tcW w:w="2394" w:type="dxa"/>
          </w:tcPr>
          <w:p w14:paraId="519FA62B"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78A7E0D5" w14:textId="77777777">
        <w:tc>
          <w:tcPr>
            <w:tcW w:w="2394" w:type="dxa"/>
          </w:tcPr>
          <w:p w14:paraId="1A7AE8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w:t>
            </w:r>
          </w:p>
        </w:tc>
        <w:tc>
          <w:tcPr>
            <w:tcW w:w="2394" w:type="dxa"/>
          </w:tcPr>
          <w:p w14:paraId="78471CEB" w14:textId="77777777" w:rsidR="00537E5F" w:rsidRPr="00507A31" w:rsidRDefault="00537E5F" w:rsidP="00507A31">
            <w:pPr>
              <w:autoSpaceDE w:val="0"/>
              <w:autoSpaceDN w:val="0"/>
              <w:adjustRightInd w:val="0"/>
              <w:jc w:val="both"/>
              <w:rPr>
                <w:color w:val="000000" w:themeColor="text1"/>
                <w:sz w:val="16"/>
                <w:szCs w:val="16"/>
              </w:rPr>
            </w:pPr>
          </w:p>
        </w:tc>
        <w:tc>
          <w:tcPr>
            <w:tcW w:w="2394" w:type="dxa"/>
          </w:tcPr>
          <w:p w14:paraId="5B2D6C7D"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DC2B4A2" w14:textId="77777777">
        <w:tc>
          <w:tcPr>
            <w:tcW w:w="2394" w:type="dxa"/>
          </w:tcPr>
          <w:p w14:paraId="5B693B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w:t>
            </w:r>
          </w:p>
        </w:tc>
        <w:tc>
          <w:tcPr>
            <w:tcW w:w="2394" w:type="dxa"/>
          </w:tcPr>
          <w:p w14:paraId="6F0A21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1.УШ-30</w:t>
            </w:r>
          </w:p>
        </w:tc>
        <w:tc>
          <w:tcPr>
            <w:tcW w:w="2394" w:type="dxa"/>
          </w:tcPr>
          <w:p w14:paraId="72B53BC4"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99592F3" w14:textId="77777777">
        <w:tc>
          <w:tcPr>
            <w:tcW w:w="2394" w:type="dxa"/>
          </w:tcPr>
          <w:p w14:paraId="21986A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w:t>
            </w:r>
          </w:p>
        </w:tc>
        <w:tc>
          <w:tcPr>
            <w:tcW w:w="2394" w:type="dxa"/>
          </w:tcPr>
          <w:p w14:paraId="6F27FA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1.ХП-30</w:t>
            </w:r>
          </w:p>
        </w:tc>
        <w:tc>
          <w:tcPr>
            <w:tcW w:w="2394" w:type="dxa"/>
          </w:tcPr>
          <w:p w14:paraId="6BAF27C5"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6065DE0" w14:textId="77777777">
        <w:tc>
          <w:tcPr>
            <w:tcW w:w="2394" w:type="dxa"/>
          </w:tcPr>
          <w:p w14:paraId="3A333A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 деревянный</w:t>
            </w:r>
          </w:p>
        </w:tc>
        <w:tc>
          <w:tcPr>
            <w:tcW w:w="2394" w:type="dxa"/>
          </w:tcPr>
          <w:p w14:paraId="5A6307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2394" w:type="dxa"/>
          </w:tcPr>
          <w:p w14:paraId="243450A4"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C7491B5" w14:textId="77777777">
        <w:tc>
          <w:tcPr>
            <w:tcW w:w="2394" w:type="dxa"/>
          </w:tcPr>
          <w:p w14:paraId="3D4C19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 сварной</w:t>
            </w:r>
          </w:p>
        </w:tc>
        <w:tc>
          <w:tcPr>
            <w:tcW w:w="2394" w:type="dxa"/>
          </w:tcPr>
          <w:p w14:paraId="2B8DE0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1ХП-31</w:t>
            </w:r>
          </w:p>
        </w:tc>
        <w:tc>
          <w:tcPr>
            <w:tcW w:w="2394" w:type="dxa"/>
          </w:tcPr>
          <w:p w14:paraId="7CFA6152"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6F7A43D" w14:textId="77777777">
        <w:tc>
          <w:tcPr>
            <w:tcW w:w="2394" w:type="dxa"/>
          </w:tcPr>
          <w:p w14:paraId="0F069D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И-10</w:t>
            </w:r>
          </w:p>
        </w:tc>
        <w:tc>
          <w:tcPr>
            <w:tcW w:w="2394" w:type="dxa"/>
          </w:tcPr>
          <w:p w14:paraId="0BD8F6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1.УП-32</w:t>
            </w:r>
          </w:p>
        </w:tc>
        <w:tc>
          <w:tcPr>
            <w:tcW w:w="2394" w:type="dxa"/>
          </w:tcPr>
          <w:p w14:paraId="1D71EF57"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178BB11B" w14:textId="77777777">
        <w:tc>
          <w:tcPr>
            <w:tcW w:w="2394" w:type="dxa"/>
          </w:tcPr>
          <w:p w14:paraId="556484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ДИ-2 (Д2)</w:t>
            </w:r>
          </w:p>
        </w:tc>
        <w:tc>
          <w:tcPr>
            <w:tcW w:w="2394" w:type="dxa"/>
          </w:tcPr>
          <w:p w14:paraId="0C3C72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1.У1-30</w:t>
            </w:r>
          </w:p>
        </w:tc>
        <w:tc>
          <w:tcPr>
            <w:tcW w:w="2394" w:type="dxa"/>
          </w:tcPr>
          <w:p w14:paraId="0612BA8F"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1D389140" w14:textId="77777777">
        <w:tc>
          <w:tcPr>
            <w:tcW w:w="2394" w:type="dxa"/>
          </w:tcPr>
          <w:p w14:paraId="651612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деревянный</w:t>
            </w:r>
          </w:p>
        </w:tc>
        <w:tc>
          <w:tcPr>
            <w:tcW w:w="2394" w:type="dxa"/>
          </w:tcPr>
          <w:p w14:paraId="1AC813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1.У1-33</w:t>
            </w:r>
          </w:p>
        </w:tc>
        <w:tc>
          <w:tcPr>
            <w:tcW w:w="2394" w:type="dxa"/>
          </w:tcPr>
          <w:p w14:paraId="08AE2E72"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CEFC03E" w14:textId="77777777">
        <w:tc>
          <w:tcPr>
            <w:tcW w:w="2394" w:type="dxa"/>
          </w:tcPr>
          <w:p w14:paraId="1E2902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сварной</w:t>
            </w:r>
          </w:p>
        </w:tc>
        <w:tc>
          <w:tcPr>
            <w:tcW w:w="2394" w:type="dxa"/>
          </w:tcPr>
          <w:p w14:paraId="265DD9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1УШ-33</w:t>
            </w:r>
          </w:p>
        </w:tc>
        <w:tc>
          <w:tcPr>
            <w:tcW w:w="2394" w:type="dxa"/>
          </w:tcPr>
          <w:p w14:paraId="795E97BA"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3CEDE49" w14:textId="77777777">
        <w:tc>
          <w:tcPr>
            <w:tcW w:w="2394" w:type="dxa"/>
          </w:tcPr>
          <w:p w14:paraId="54AEE6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w:t>
            </w:r>
          </w:p>
        </w:tc>
        <w:tc>
          <w:tcPr>
            <w:tcW w:w="2394" w:type="dxa"/>
          </w:tcPr>
          <w:p w14:paraId="54C092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1.Х1-32</w:t>
            </w:r>
          </w:p>
        </w:tc>
        <w:tc>
          <w:tcPr>
            <w:tcW w:w="2394" w:type="dxa"/>
          </w:tcPr>
          <w:p w14:paraId="7ABB7044"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61B9D230" w14:textId="77777777">
        <w:tc>
          <w:tcPr>
            <w:tcW w:w="2394" w:type="dxa"/>
          </w:tcPr>
          <w:p w14:paraId="32325A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w:t>
            </w:r>
          </w:p>
        </w:tc>
        <w:tc>
          <w:tcPr>
            <w:tcW w:w="2394" w:type="dxa"/>
          </w:tcPr>
          <w:p w14:paraId="50C5F0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2394" w:type="dxa"/>
          </w:tcPr>
          <w:p w14:paraId="54B5E909"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54DE8B68" w14:textId="77777777">
        <w:tc>
          <w:tcPr>
            <w:tcW w:w="2394" w:type="dxa"/>
          </w:tcPr>
          <w:p w14:paraId="30C166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деревянный</w:t>
            </w:r>
          </w:p>
        </w:tc>
        <w:tc>
          <w:tcPr>
            <w:tcW w:w="2394" w:type="dxa"/>
          </w:tcPr>
          <w:p w14:paraId="067539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1.1-32</w:t>
            </w:r>
          </w:p>
        </w:tc>
        <w:tc>
          <w:tcPr>
            <w:tcW w:w="2394" w:type="dxa"/>
          </w:tcPr>
          <w:p w14:paraId="5A2B9421"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35A23BF" w14:textId="77777777">
        <w:tc>
          <w:tcPr>
            <w:tcW w:w="2394" w:type="dxa"/>
          </w:tcPr>
          <w:p w14:paraId="7896F1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сварной</w:t>
            </w:r>
          </w:p>
        </w:tc>
        <w:tc>
          <w:tcPr>
            <w:tcW w:w="2394" w:type="dxa"/>
          </w:tcPr>
          <w:p w14:paraId="51B496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1.1У-32</w:t>
            </w:r>
          </w:p>
        </w:tc>
        <w:tc>
          <w:tcPr>
            <w:tcW w:w="2394" w:type="dxa"/>
          </w:tcPr>
          <w:p w14:paraId="18092EEE"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775A87F" w14:textId="77777777">
        <w:tc>
          <w:tcPr>
            <w:tcW w:w="2394" w:type="dxa"/>
          </w:tcPr>
          <w:p w14:paraId="241A34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Р-9</w:t>
            </w:r>
          </w:p>
        </w:tc>
        <w:tc>
          <w:tcPr>
            <w:tcW w:w="2394" w:type="dxa"/>
          </w:tcPr>
          <w:p w14:paraId="1C5FAB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1.1Х-31</w:t>
            </w:r>
          </w:p>
        </w:tc>
        <w:tc>
          <w:tcPr>
            <w:tcW w:w="2394" w:type="dxa"/>
          </w:tcPr>
          <w:p w14:paraId="1D393A13"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4D8535C7" w14:textId="77777777">
        <w:tc>
          <w:tcPr>
            <w:tcW w:w="2394" w:type="dxa"/>
          </w:tcPr>
          <w:p w14:paraId="37CDCF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 (ТОМ)</w:t>
            </w:r>
          </w:p>
        </w:tc>
        <w:tc>
          <w:tcPr>
            <w:tcW w:w="2394" w:type="dxa"/>
          </w:tcPr>
          <w:p w14:paraId="6D9C5B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1.Х1-30</w:t>
            </w:r>
          </w:p>
        </w:tc>
        <w:tc>
          <w:tcPr>
            <w:tcW w:w="2394" w:type="dxa"/>
          </w:tcPr>
          <w:p w14:paraId="226666DF"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AFC3D81" w14:textId="77777777">
        <w:tc>
          <w:tcPr>
            <w:tcW w:w="2394" w:type="dxa"/>
          </w:tcPr>
          <w:p w14:paraId="0A6CF9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 (МР5)</w:t>
            </w:r>
          </w:p>
        </w:tc>
        <w:tc>
          <w:tcPr>
            <w:tcW w:w="2394" w:type="dxa"/>
          </w:tcPr>
          <w:p w14:paraId="119B0E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1юУШ-30</w:t>
            </w:r>
          </w:p>
        </w:tc>
        <w:tc>
          <w:tcPr>
            <w:tcW w:w="2394" w:type="dxa"/>
          </w:tcPr>
          <w:p w14:paraId="04869B30"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73CC65D6" w14:textId="77777777">
        <w:tc>
          <w:tcPr>
            <w:tcW w:w="2394" w:type="dxa"/>
          </w:tcPr>
          <w:p w14:paraId="79D059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w:t>
            </w:r>
          </w:p>
        </w:tc>
        <w:tc>
          <w:tcPr>
            <w:tcW w:w="2394" w:type="dxa"/>
          </w:tcPr>
          <w:p w14:paraId="48F803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1.У-32</w:t>
            </w:r>
          </w:p>
        </w:tc>
        <w:tc>
          <w:tcPr>
            <w:tcW w:w="2394" w:type="dxa"/>
          </w:tcPr>
          <w:p w14:paraId="6DAF2932"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19EE6D83" w14:textId="77777777">
        <w:tc>
          <w:tcPr>
            <w:tcW w:w="2394" w:type="dxa"/>
          </w:tcPr>
          <w:p w14:paraId="036BBA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МДР-1 (РОМ)</w:t>
            </w:r>
          </w:p>
        </w:tc>
        <w:tc>
          <w:tcPr>
            <w:tcW w:w="2394" w:type="dxa"/>
          </w:tcPr>
          <w:p w14:paraId="56E09E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1.Х1-30</w:t>
            </w:r>
          </w:p>
        </w:tc>
        <w:tc>
          <w:tcPr>
            <w:tcW w:w="2394" w:type="dxa"/>
          </w:tcPr>
          <w:p w14:paraId="021FD301"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09FAE47" w14:textId="77777777">
        <w:tc>
          <w:tcPr>
            <w:tcW w:w="2394" w:type="dxa"/>
          </w:tcPr>
          <w:p w14:paraId="6AEBEB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w:t>
            </w:r>
          </w:p>
        </w:tc>
        <w:tc>
          <w:tcPr>
            <w:tcW w:w="2394" w:type="dxa"/>
          </w:tcPr>
          <w:p w14:paraId="77A8CF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2394" w:type="dxa"/>
          </w:tcPr>
          <w:p w14:paraId="223C5BEF"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72E7A48C" w14:textId="77777777">
        <w:tc>
          <w:tcPr>
            <w:tcW w:w="2394" w:type="dxa"/>
          </w:tcPr>
          <w:p w14:paraId="08ED94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 (ПУ2)</w:t>
            </w:r>
          </w:p>
        </w:tc>
        <w:tc>
          <w:tcPr>
            <w:tcW w:w="2394" w:type="dxa"/>
          </w:tcPr>
          <w:p w14:paraId="1D56F5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1.У1-30</w:t>
            </w:r>
          </w:p>
        </w:tc>
        <w:tc>
          <w:tcPr>
            <w:tcW w:w="2394" w:type="dxa"/>
          </w:tcPr>
          <w:p w14:paraId="2C27189A"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628BDA27" w14:textId="77777777">
        <w:tc>
          <w:tcPr>
            <w:tcW w:w="2394" w:type="dxa"/>
          </w:tcPr>
          <w:p w14:paraId="3BA073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w:t>
            </w:r>
          </w:p>
        </w:tc>
        <w:tc>
          <w:tcPr>
            <w:tcW w:w="2394" w:type="dxa"/>
          </w:tcPr>
          <w:p w14:paraId="158849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1юУ1-31</w:t>
            </w:r>
          </w:p>
        </w:tc>
        <w:tc>
          <w:tcPr>
            <w:tcW w:w="2394" w:type="dxa"/>
          </w:tcPr>
          <w:p w14:paraId="2879C51E"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4B0A303F" w14:textId="77777777">
        <w:tc>
          <w:tcPr>
            <w:tcW w:w="2394" w:type="dxa"/>
            <w:tcBorders>
              <w:bottom w:val="single" w:sz="12" w:space="0" w:color="auto"/>
            </w:tcBorders>
          </w:tcPr>
          <w:p w14:paraId="2A3CE4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w:t>
            </w:r>
          </w:p>
        </w:tc>
        <w:tc>
          <w:tcPr>
            <w:tcW w:w="2394" w:type="dxa"/>
            <w:tcBorders>
              <w:bottom w:val="single" w:sz="12" w:space="0" w:color="auto"/>
            </w:tcBorders>
          </w:tcPr>
          <w:p w14:paraId="7D0C92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Borders>
              <w:bottom w:val="single" w:sz="12" w:space="0" w:color="auto"/>
            </w:tcBorders>
          </w:tcPr>
          <w:p w14:paraId="664A4A1D" w14:textId="77777777" w:rsidR="00537E5F" w:rsidRPr="00507A31" w:rsidRDefault="00537E5F" w:rsidP="00507A31">
            <w:pPr>
              <w:autoSpaceDE w:val="0"/>
              <w:autoSpaceDN w:val="0"/>
              <w:adjustRightInd w:val="0"/>
              <w:jc w:val="both"/>
              <w:rPr>
                <w:color w:val="000000" w:themeColor="text1"/>
                <w:sz w:val="16"/>
                <w:szCs w:val="16"/>
              </w:rPr>
            </w:pPr>
          </w:p>
        </w:tc>
      </w:tr>
    </w:tbl>
    <w:p w14:paraId="60E9C870" w14:textId="77777777" w:rsidR="00537E5F" w:rsidRPr="00507A31" w:rsidRDefault="00537E5F" w:rsidP="00507A31">
      <w:pPr>
        <w:autoSpaceDE w:val="0"/>
        <w:autoSpaceDN w:val="0"/>
        <w:adjustRightInd w:val="0"/>
        <w:jc w:val="both"/>
        <w:rPr>
          <w:iCs/>
          <w:color w:val="000000" w:themeColor="text1"/>
          <w:sz w:val="16"/>
          <w:szCs w:val="16"/>
        </w:rPr>
      </w:pPr>
      <w:r w:rsidRPr="00507A31">
        <w:rPr>
          <w:iCs/>
          <w:color w:val="000000" w:themeColor="text1"/>
          <w:sz w:val="16"/>
          <w:szCs w:val="16"/>
        </w:rPr>
        <w:t>(351).</w:t>
      </w:r>
    </w:p>
    <w:p w14:paraId="03BB4B94" w14:textId="77777777" w:rsidR="00537E5F" w:rsidRPr="00507A31" w:rsidRDefault="00537E5F" w:rsidP="00507A31">
      <w:pPr>
        <w:autoSpaceDE w:val="0"/>
        <w:autoSpaceDN w:val="0"/>
        <w:adjustRightInd w:val="0"/>
        <w:jc w:val="both"/>
        <w:rPr>
          <w:iCs/>
          <w:color w:val="000000" w:themeColor="text1"/>
          <w:sz w:val="16"/>
          <w:szCs w:val="16"/>
        </w:rPr>
      </w:pPr>
    </w:p>
    <w:p w14:paraId="434F2C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февраля 1930 В.Чернышев из ЦАГИ послал служебную записку N 6/140/с в моторный отдел Авиатреста Л.С.Душкину с проектом плана работ по опытному самолетостроению (1025,38).</w:t>
      </w:r>
    </w:p>
    <w:p w14:paraId="4F7A8657" w14:textId="77777777" w:rsidR="00537E5F" w:rsidRPr="00507A31" w:rsidRDefault="00537E5F" w:rsidP="00507A31">
      <w:pPr>
        <w:autoSpaceDE w:val="0"/>
        <w:autoSpaceDN w:val="0"/>
        <w:adjustRightInd w:val="0"/>
        <w:jc w:val="both"/>
        <w:rPr>
          <w:color w:val="000000" w:themeColor="text1"/>
          <w:sz w:val="16"/>
          <w:szCs w:val="16"/>
        </w:rPr>
      </w:pPr>
    </w:p>
    <w:p w14:paraId="2A808B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февраля 1930 состоялось заседание Правления Авиатреста (протокол 43) и обсудили (2367,142):</w:t>
      </w:r>
    </w:p>
    <w:p w14:paraId="20643F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О расширении прав Нач. ВВС по наблюдению за опытным строительством - приняли соответствующий проект постановления РЗ СТО об урегулировании взаимоотношений ВСНХ и НКВМ</w:t>
      </w:r>
    </w:p>
    <w:p w14:paraId="40D4C0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Доклад о годовой работе завода 23 и утверждении промплана, о производстве У-2 на заводе</w:t>
      </w:r>
    </w:p>
    <w:p w14:paraId="3CF081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о внедрении М-17 на 24 заводе и др. (2367,142).</w:t>
      </w:r>
    </w:p>
    <w:p w14:paraId="71A86867" w14:textId="77777777" w:rsidR="00537E5F" w:rsidRPr="00507A31" w:rsidRDefault="00537E5F" w:rsidP="00507A31">
      <w:pPr>
        <w:autoSpaceDE w:val="0"/>
        <w:autoSpaceDN w:val="0"/>
        <w:adjustRightInd w:val="0"/>
        <w:jc w:val="both"/>
        <w:rPr>
          <w:color w:val="000000" w:themeColor="text1"/>
          <w:sz w:val="16"/>
          <w:szCs w:val="16"/>
        </w:rPr>
      </w:pPr>
    </w:p>
    <w:p w14:paraId="64BA1C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февраля 1930 был принят проект постановления РЗ СТО об урегулировании взаимоотношений органов ВСНХ и НКВМ (по УВВС) по изготовлению опытных образцов и об ускорении темпов опытного строительства ВСНХ для нужд НКВМ по УВВС (351).</w:t>
      </w:r>
    </w:p>
    <w:p w14:paraId="52E40F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Исходящий Авиатреста 4/4524 от 23 февраля 1930. Входящий ЦАГИ 848т-14 от 24 февраля 1930</w:t>
      </w:r>
    </w:p>
    <w:p w14:paraId="122CBF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 постановления РЗ СТО об урегулировании взаимоотношений органов ВСНХ и НКВМ (по УВВС) по изготовлению опытных образцов и об ускорении темпов опытного строительства ВСНХ для нужд НУВМ по УВВС и выписка из протокола о его принятии от 10 февраля 1930 (351).</w:t>
      </w:r>
    </w:p>
    <w:p w14:paraId="59AE8A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 УРЕГУЛИРОВАНИИ ВЗАИМООТНОШЕНИЙ ОРГАНОВ ВСНХ и НКВМ (по УВВС) ПО ИЗГОТОВЛЕНИЮ ОПЫТНЫХ ОБРАЗЦОВ И ОБ УСКОРЕНИИ ТЕМПОВ ОПЫТНОГО СТРОИТЕЛЬСТВА ДЛЯ НУЖД НКВМ и УВВС</w:t>
      </w:r>
    </w:p>
    <w:p w14:paraId="17F875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целях. урегулирования взаимоотношений между НКВМ (по УВВС) и органами ВСНХ по опытным заводам и учреждениям, а равно для ускоре</w:t>
      </w:r>
      <w:r w:rsidRPr="00507A31">
        <w:rPr>
          <w:color w:val="000000" w:themeColor="text1"/>
          <w:sz w:val="16"/>
          <w:szCs w:val="16"/>
        </w:rPr>
        <w:softHyphen/>
        <w:t>ния темпов опытного строительства ВСНХ для удовлетворенжя нужд НКВМ (по УВВС) РЗ СТО постановляет:</w:t>
      </w:r>
    </w:p>
    <w:p w14:paraId="31B272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 Возложить на НКВМ (по УВВС) проработку и составление пятилетних планов развития опытных работ по военной и гражданской авиации, согласованного о органами ВСНХ, в отношении определения типов и характера конструкции опытных образцов и установления тактичес</w:t>
      </w:r>
      <w:r w:rsidRPr="00507A31">
        <w:rPr>
          <w:color w:val="000000" w:themeColor="text1"/>
          <w:sz w:val="16"/>
          <w:szCs w:val="16"/>
        </w:rPr>
        <w:softHyphen/>
        <w:t>ких технических к нин требований, а также сроков осуществле</w:t>
      </w:r>
      <w:r w:rsidRPr="00507A31">
        <w:rPr>
          <w:color w:val="000000" w:themeColor="text1"/>
          <w:sz w:val="16"/>
          <w:szCs w:val="16"/>
        </w:rPr>
        <w:softHyphen/>
        <w:t>ния промышленностью этих образцов.</w:t>
      </w:r>
    </w:p>
    <w:p w14:paraId="25DD31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Также вменять в обязанность НКВМ (по УВВС) производить ежегод</w:t>
      </w:r>
      <w:r w:rsidRPr="00507A31">
        <w:rPr>
          <w:color w:val="000000" w:themeColor="text1"/>
          <w:sz w:val="16"/>
          <w:szCs w:val="16"/>
        </w:rPr>
        <w:softHyphen/>
        <w:t>ную корректировку и уточнение пятилетних планов опытных работ, но согласованию о промышленностью,</w:t>
      </w:r>
    </w:p>
    <w:p w14:paraId="31CB08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Возложить на органы ВСНХ конструирование к постройку опытных образцов самолетов, моторов и всех остальных предметов снаб</w:t>
      </w:r>
      <w:r w:rsidRPr="00507A31">
        <w:rPr>
          <w:color w:val="000000" w:themeColor="text1"/>
          <w:sz w:val="16"/>
          <w:szCs w:val="16"/>
        </w:rPr>
        <w:softHyphen/>
        <w:t>жения и вооружения воздушного флота, за счет дотаций специаль</w:t>
      </w:r>
      <w:r w:rsidRPr="00507A31">
        <w:rPr>
          <w:color w:val="000000" w:themeColor="text1"/>
          <w:sz w:val="16"/>
          <w:szCs w:val="16"/>
        </w:rPr>
        <w:softHyphen/>
        <w:t>но отпускаемых на опытное строительство и на основе установленных НКВМ (по УВВС) технических и тактических требований.</w:t>
      </w:r>
    </w:p>
    <w:p w14:paraId="550FA1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 органами ВСНХ сохраняется право но собственной инициативе вво</w:t>
      </w:r>
      <w:r w:rsidRPr="00507A31">
        <w:rPr>
          <w:color w:val="000000" w:themeColor="text1"/>
          <w:sz w:val="16"/>
          <w:szCs w:val="16"/>
        </w:rPr>
        <w:softHyphen/>
        <w:t>дить в план опытного строительства и осуществлять опытные образцы, отвечающие по своим качествам лучшим заграничным образцам ими превосходящие их и отвечающие всем требованиям НКВМ.</w:t>
      </w:r>
    </w:p>
    <w:p w14:paraId="53B4A7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Распределение отпускаемых высшими органами на нужды опытного строительства кредитов между опытными учреждениями производит</w:t>
      </w:r>
      <w:r w:rsidRPr="00507A31">
        <w:rPr>
          <w:color w:val="000000" w:themeColor="text1"/>
          <w:sz w:val="16"/>
          <w:szCs w:val="16"/>
        </w:rPr>
        <w:softHyphen/>
        <w:t>ся ВСНХ.</w:t>
      </w:r>
    </w:p>
    <w:p w14:paraId="5477F8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НКВМ (по УВВС) обязан определять типы и характер конструкций опытннх образцов и устанавливать технические и тактические к ним требования в разрезе пятилетних планов, с таким расчетом, чтобы эти задания могли быть получены в окончательном виде ор</w:t>
      </w:r>
      <w:r w:rsidRPr="00507A31">
        <w:rPr>
          <w:color w:val="000000" w:themeColor="text1"/>
          <w:sz w:val="16"/>
          <w:szCs w:val="16"/>
        </w:rPr>
        <w:softHyphen/>
        <w:t>ганам ВСНХ не позднее 1-го марта каждого года, для включения в программу промышленности на следующий операционный год.</w:t>
      </w:r>
    </w:p>
    <w:p w14:paraId="197D96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Указанные технические и тактические требования должны исчерпывающим образом определять все технические, эксплоатационные, летние и пр. качества опытного образца, которые буду требоваться НКВМ при типовых государственна испытаниях образца.</w:t>
      </w:r>
    </w:p>
    <w:p w14:paraId="0202FE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Органы ВСНХ обязаны на позднее 1-го мая каждого года на осно</w:t>
      </w:r>
      <w:r w:rsidRPr="00507A31">
        <w:rPr>
          <w:color w:val="000000" w:themeColor="text1"/>
          <w:sz w:val="16"/>
          <w:szCs w:val="16"/>
        </w:rPr>
        <w:softHyphen/>
        <w:t>ве полученных от НКВМ (по У ВВС) заданий, указанных в п. 4, разработать календарный план исполнения этих заданий и довести его до сведения НКВМ (по УВВС).</w:t>
      </w:r>
    </w:p>
    <w:p w14:paraId="47DE94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Все спорнне вопросы, касающеся объема программы или календарного плана ее выполнения, должны быть согласованы сторонами в месячный срок по получении НКВМ (по УВВС) от ВСНХ данных указанных в п.5, в противном случае срок выполнения заданий авто</w:t>
      </w:r>
      <w:r w:rsidRPr="00507A31">
        <w:rPr>
          <w:color w:val="000000" w:themeColor="text1"/>
          <w:sz w:val="16"/>
          <w:szCs w:val="16"/>
        </w:rPr>
        <w:softHyphen/>
        <w:t>матически отодвигаться на промежуток времени затраченный но согла</w:t>
      </w:r>
      <w:r w:rsidRPr="00507A31">
        <w:rPr>
          <w:color w:val="000000" w:themeColor="text1"/>
          <w:sz w:val="16"/>
          <w:szCs w:val="16"/>
        </w:rPr>
        <w:softHyphen/>
        <w:t>сование.</w:t>
      </w:r>
    </w:p>
    <w:p w14:paraId="40EAAE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Еслив процессе проектирования, постройки или заводских испыта</w:t>
      </w:r>
      <w:r w:rsidRPr="00507A31">
        <w:rPr>
          <w:color w:val="000000" w:themeColor="text1"/>
          <w:sz w:val="16"/>
          <w:szCs w:val="16"/>
        </w:rPr>
        <w:softHyphen/>
        <w:t>ний опытного образца выявится невозмжность выполнения каких либо требований НКВМ (по УВВС), которые неа могли быть преду</w:t>
      </w:r>
      <w:r w:rsidRPr="00507A31">
        <w:rPr>
          <w:color w:val="000000" w:themeColor="text1"/>
          <w:sz w:val="16"/>
          <w:szCs w:val="16"/>
        </w:rPr>
        <w:softHyphen/>
        <w:t>смотрены заранее, - органы ВСНХ обязаны немедленно поставить об этом в известность НКВМ (по УВВС) и согласовать с ним вопрос о продолжении или прекращении работ по данному образцу.</w:t>
      </w:r>
    </w:p>
    <w:p w14:paraId="0642A9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Всякие изменения технических, тактических и др. требований к опытным образцам или дополнения к ним, как правило, в перио</w:t>
      </w:r>
      <w:r w:rsidRPr="00507A31">
        <w:rPr>
          <w:color w:val="000000" w:themeColor="text1"/>
          <w:sz w:val="16"/>
          <w:szCs w:val="16"/>
        </w:rPr>
        <w:softHyphen/>
        <w:t>де проектирования и постройки опытного образца не должны до</w:t>
      </w:r>
      <w:r w:rsidRPr="00507A31">
        <w:rPr>
          <w:color w:val="000000" w:themeColor="text1"/>
          <w:sz w:val="16"/>
          <w:szCs w:val="16"/>
        </w:rPr>
        <w:softHyphen/>
        <w:t>пускаться.</w:t>
      </w:r>
    </w:p>
    <w:p w14:paraId="467BD7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случае крайней необходимости, по предварительному соглашению между НКВМ (по УВВС) и органами ВСНХ, промышленность может при</w:t>
      </w:r>
      <w:r w:rsidRPr="00507A31">
        <w:rPr>
          <w:color w:val="000000" w:themeColor="text1"/>
          <w:sz w:val="16"/>
          <w:szCs w:val="16"/>
        </w:rPr>
        <w:softHyphen/>
        <w:t>нять изменения или дополнения к представленным НЕШ требованиям, сдвинув соответственно сроки выпуска продукции.</w:t>
      </w:r>
    </w:p>
    <w:p w14:paraId="180952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Обязать органы ВСНХ в сроки, обусловленные календарным плавом выполнения опытных работ, представлять на утверждение НКВМ (по УВВС) эскизные проекты опытных образцов в объеме устанавлива</w:t>
      </w:r>
      <w:r w:rsidRPr="00507A31">
        <w:rPr>
          <w:color w:val="000000" w:themeColor="text1"/>
          <w:sz w:val="16"/>
          <w:szCs w:val="16"/>
        </w:rPr>
        <w:softHyphen/>
        <w:t>емом органами ВСНХ по соглашению с НКВМ (по УВВС).</w:t>
      </w:r>
    </w:p>
    <w:p w14:paraId="38C12C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Обязать НКВМ (по УВВС) в 15-ти дневный срок от времени получения эскизного проекта опытного образца рассмотреть таковой и вывести по нему свое суждение в смысле удовлетворения проектом основных технических и тактических требований, пред"являемых к образцу.</w:t>
      </w:r>
    </w:p>
    <w:p w14:paraId="65CEF8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По требованию промышленности НКВМ (по УВВС) обязан в 10-ти дневный срок назначать авторитетную кошссию для утверждения представленного промышленностью макета расположения приборов, оборудования, воооужения, а также условия обзора и обстрела иа опытном образце.</w:t>
      </w:r>
    </w:p>
    <w:p w14:paraId="5021DE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случае необходимости тех или изменений в предъявленном макете, последние производятся промышленность» и макет пред”является вторично Комиссии, обязательно в том жо составе для окончательного утверждения.</w:t>
      </w:r>
    </w:p>
    <w:p w14:paraId="3E6BB8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НКВМ (по УВВС) при типовых государственных испытаниях не вправе требовать каких-либо изменений в расположении, приборов, оборудования и вооружения и пр., отличных от отвержденного комиссией макета..</w:t>
      </w:r>
    </w:p>
    <w:p w14:paraId="459B9C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дальнейшем, в процессе выполнения программы, органы ВСНХ обязаны периодически информировать НКВМ (по УВВС), о-положе</w:t>
      </w:r>
      <w:r w:rsidRPr="00507A31">
        <w:rPr>
          <w:color w:val="000000" w:themeColor="text1"/>
          <w:sz w:val="16"/>
          <w:szCs w:val="16"/>
        </w:rPr>
        <w:softHyphen/>
        <w:t>нии, пред усмотревши планами опытных работ.</w:t>
      </w:r>
    </w:p>
    <w:p w14:paraId="7DD96D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По окончании постройки опытного образца органы ВСНХ передают его НКВМ (по УВВС) для типовых государственных испытаний, препровождая одновременно краткое описание образца, основные расчеты, чертежи общих видов и даннне заводских испитаний.</w:t>
      </w:r>
    </w:p>
    <w:p w14:paraId="194617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Задание считается выаоленным полностью если выполнены все требования, сообщенные НКВМ (по УВВС) при даче задания с учетом имевших место отклонений, предусмотренных п. 7.</w:t>
      </w:r>
    </w:p>
    <w:p w14:paraId="30F4EE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НКВМ (по УВВС) в срок намеченный утвержденной программой обязан закончить типовые государственные испытания пред”явленного образца и дать исчерпывающее заключение о пригод</w:t>
      </w:r>
      <w:r w:rsidRPr="00507A31">
        <w:rPr>
          <w:color w:val="000000" w:themeColor="text1"/>
          <w:sz w:val="16"/>
          <w:szCs w:val="16"/>
        </w:rPr>
        <w:softHyphen/>
        <w:t>ности его для снабжения УВВС. Вместе с тем, НКВМ (по УВВС) представляет промышленности технически обоснованный перечень дефектов, подлежащих устранение на -предъявленном образце.</w:t>
      </w:r>
    </w:p>
    <w:p w14:paraId="3F62D8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Указанные дефекты, порядок и сроки их устранения согласовываются органами ВСНХ с НКВМ (по УВВС) и выполняются на первом опытном образце, после чего образец вновь пред"явля</w:t>
      </w:r>
      <w:r w:rsidRPr="00507A31">
        <w:rPr>
          <w:color w:val="000000" w:themeColor="text1"/>
          <w:sz w:val="16"/>
          <w:szCs w:val="16"/>
        </w:rPr>
        <w:softHyphen/>
        <w:t>ется НКВМ для окончательного утверждения изделия, как об</w:t>
      </w:r>
      <w:r w:rsidRPr="00507A31">
        <w:rPr>
          <w:color w:val="000000" w:themeColor="text1"/>
          <w:sz w:val="16"/>
          <w:szCs w:val="16"/>
        </w:rPr>
        <w:softHyphen/>
        <w:t>разца для серийного производства.</w:t>
      </w:r>
    </w:p>
    <w:p w14:paraId="4E269B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Повторное возвращение образца для выполнения требований, пред”явленных вновь (не отмеченных в перечне представленном после первого испытания) - не допускается,</w:t>
      </w:r>
    </w:p>
    <w:p w14:paraId="3A2002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Новые требования, предъявляемые НКВМ к образцу, прошедше</w:t>
      </w:r>
      <w:r w:rsidRPr="00507A31">
        <w:rPr>
          <w:color w:val="000000" w:themeColor="text1"/>
          <w:sz w:val="16"/>
          <w:szCs w:val="16"/>
        </w:rPr>
        <w:softHyphen/>
        <w:t>му типовое государственное испытание, а также выявленные в результате войсковых эксплоатационных испытаний образца, промышленность приннимает по взаимному согласованию с НКВМ (по УВВС.) для проведения их уже только в серии, причем заранее должен быть согласован вопрос, с какого номера серий</w:t>
      </w:r>
      <w:r w:rsidRPr="00507A31">
        <w:rPr>
          <w:color w:val="000000" w:themeColor="text1"/>
          <w:sz w:val="16"/>
          <w:szCs w:val="16"/>
        </w:rPr>
        <w:softHyphen/>
        <w:t>ного изделия, вводится то или иное изменение.</w:t>
      </w:r>
    </w:p>
    <w:p w14:paraId="791877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Обязать органы ВСНХ изготовлять опытные образцы небольших самолетов в 2 - 3 экземплярах и крупных - в одном зкземпляре, опытые образцы моторов в 3-4 экземплярах, исполь</w:t>
      </w:r>
      <w:r w:rsidRPr="00507A31">
        <w:rPr>
          <w:color w:val="000000" w:themeColor="text1"/>
          <w:sz w:val="16"/>
          <w:szCs w:val="16"/>
        </w:rPr>
        <w:softHyphen/>
        <w:t>зовав эти дополнительные экземпляры как запасше на случай аварий, а также для возможности быстрого устранения дефек</w:t>
      </w:r>
      <w:r w:rsidRPr="00507A31">
        <w:rPr>
          <w:color w:val="000000" w:themeColor="text1"/>
          <w:sz w:val="16"/>
          <w:szCs w:val="16"/>
        </w:rPr>
        <w:softHyphen/>
        <w:t>тов, ваявлящихся в процессе испытаний.</w:t>
      </w:r>
    </w:p>
    <w:p w14:paraId="3A9AE1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сдаче НКВМ (по УВВС) этих дополнительных образцов, таковые не проходят типовых испытаний и НКВМ (по УВВС) произво</w:t>
      </w:r>
      <w:r w:rsidRPr="00507A31">
        <w:rPr>
          <w:color w:val="000000" w:themeColor="text1"/>
          <w:sz w:val="16"/>
          <w:szCs w:val="16"/>
        </w:rPr>
        <w:softHyphen/>
        <w:t>дит в отношении их только контрольные испытания и проверку соответствия этих экземпляров первому опытному образцу.</w:t>
      </w:r>
    </w:p>
    <w:p w14:paraId="62B74D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Сроки сдачи этих дополнительных экземпляров не должны фикси</w:t>
      </w:r>
      <w:r w:rsidRPr="00507A31">
        <w:rPr>
          <w:color w:val="000000" w:themeColor="text1"/>
          <w:sz w:val="16"/>
          <w:szCs w:val="16"/>
        </w:rPr>
        <w:softHyphen/>
        <w:t>роваться планом.</w:t>
      </w:r>
    </w:p>
    <w:p w14:paraId="2D1FCC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Обязать органа ВСНХ, к моменту окончания государственных ти</w:t>
      </w:r>
      <w:r w:rsidRPr="00507A31">
        <w:rPr>
          <w:color w:val="000000" w:themeColor="text1"/>
          <w:sz w:val="16"/>
          <w:szCs w:val="16"/>
        </w:rPr>
        <w:softHyphen/>
        <w:t>повых испытанний опытного образца, иметь чертежи того образ</w:t>
      </w:r>
      <w:r w:rsidRPr="00507A31">
        <w:rPr>
          <w:color w:val="000000" w:themeColor="text1"/>
          <w:sz w:val="16"/>
          <w:szCs w:val="16"/>
        </w:rPr>
        <w:softHyphen/>
        <w:t>ца в количестве и объеме, достаточном для введения образца в серийное производство.</w:t>
      </w:r>
    </w:p>
    <w:p w14:paraId="37FE54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Для увеличения темпов опытного строительства ВВФ обязать НКВМ и ВСНХ периодически выписывать лучшие образцы материаль</w:t>
      </w:r>
      <w:r w:rsidRPr="00507A31">
        <w:rPr>
          <w:color w:val="000000" w:themeColor="text1"/>
          <w:sz w:val="16"/>
          <w:szCs w:val="16"/>
        </w:rPr>
        <w:softHyphen/>
        <w:t>ной части ВВС из заграницы с целью совместного между ВСНХ и НКВМ испытания и изучения их по особой установленной, меж</w:t>
      </w:r>
      <w:r w:rsidRPr="00507A31">
        <w:rPr>
          <w:color w:val="000000" w:themeColor="text1"/>
          <w:sz w:val="16"/>
          <w:szCs w:val="16"/>
        </w:rPr>
        <w:softHyphen/>
        <w:t>ду этими ведомствами, программе.</w:t>
      </w:r>
    </w:p>
    <w:p w14:paraId="32F653BD" w14:textId="77777777" w:rsidR="00537E5F" w:rsidRPr="00507A31" w:rsidRDefault="00537E5F" w:rsidP="00507A31">
      <w:pPr>
        <w:shd w:val="clear" w:color="auto" w:fill="FFFFFF"/>
        <w:autoSpaceDE w:val="0"/>
        <w:autoSpaceDN w:val="0"/>
        <w:adjustRightInd w:val="0"/>
        <w:jc w:val="both"/>
        <w:rPr>
          <w:color w:val="000000" w:themeColor="text1"/>
          <w:sz w:val="16"/>
          <w:szCs w:val="16"/>
          <w:vertAlign w:val="superscript"/>
        </w:rPr>
      </w:pPr>
      <w:r w:rsidRPr="00507A31">
        <w:rPr>
          <w:color w:val="000000" w:themeColor="text1"/>
          <w:sz w:val="16"/>
          <w:szCs w:val="16"/>
        </w:rPr>
        <w:t>17) Обязать ВСНХ, в соответствии с указанным постановлением, в 15~тн дневный срок разработать и утвердить для опытных заводов и учреждений Положение об опытном строительстве, доводя последнее до сведенин НКВМ (по УВВС) (351).</w:t>
      </w:r>
    </w:p>
    <w:p w14:paraId="2EF7541A" w14:textId="77777777" w:rsidR="00537E5F" w:rsidRPr="00507A31" w:rsidRDefault="00537E5F" w:rsidP="00507A31">
      <w:pPr>
        <w:autoSpaceDE w:val="0"/>
        <w:autoSpaceDN w:val="0"/>
        <w:adjustRightInd w:val="0"/>
        <w:jc w:val="both"/>
        <w:rPr>
          <w:color w:val="000000" w:themeColor="text1"/>
          <w:sz w:val="16"/>
          <w:szCs w:val="16"/>
        </w:rPr>
      </w:pPr>
    </w:p>
    <w:p w14:paraId="616226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10-14 февраля 1930 состоялся Второй съезд Осоавиахима (237,158). К этому времени собрали 10 млн. в фонд эскадрильи "Наш ответ Чемберлену" (438,606).</w:t>
      </w:r>
    </w:p>
    <w:p w14:paraId="0D5DEB81" w14:textId="77777777" w:rsidR="00537E5F" w:rsidRPr="00507A31" w:rsidRDefault="00537E5F" w:rsidP="00507A31">
      <w:pPr>
        <w:autoSpaceDE w:val="0"/>
        <w:autoSpaceDN w:val="0"/>
        <w:adjustRightInd w:val="0"/>
        <w:jc w:val="both"/>
        <w:rPr>
          <w:color w:val="000000" w:themeColor="text1"/>
          <w:sz w:val="16"/>
          <w:szCs w:val="16"/>
        </w:rPr>
      </w:pPr>
    </w:p>
    <w:p w14:paraId="67205EB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FDEB526" w14:textId="77777777" w:rsidR="00537E5F" w:rsidRPr="00507A31" w:rsidRDefault="00537E5F" w:rsidP="00507A31">
      <w:pPr>
        <w:autoSpaceDE w:val="0"/>
        <w:autoSpaceDN w:val="0"/>
        <w:adjustRightInd w:val="0"/>
        <w:jc w:val="both"/>
        <w:rPr>
          <w:iCs/>
          <w:color w:val="000000" w:themeColor="text1"/>
          <w:sz w:val="16"/>
          <w:szCs w:val="16"/>
        </w:rPr>
      </w:pPr>
    </w:p>
    <w:p w14:paraId="7DD859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февраля 1930 г. представители военпрома и «Райнметалла» подписали предварительное соглашение (на 60 стр. ). Сама фирма в договоре не упоминалась. В сопроводительном письме к договору разъяснялось, что Управление вооружений именовалось ВПН, а немецкая сторона — «ЕЛ. ». Под аббревиатурой «Р. Л. » подразумевалось исследовательское общество, которое «Райнметалл» обязался основать в Голландии (){110}. Сразу же после подписания в Германию выехала большая военная делегация из 12 офицеров во главе с Уборевичем. 15 февраля 1930 г. она уже была в Берлине. Ей предстояло посетить целый ряд фирм («К. Цайсс», «Тиль», «Райнметалл»), принять участие в испытаниях 4 готовых артсистем на полигоне «Райнметалла» и подписать окончательный договор (11784).</w:t>
      </w:r>
    </w:p>
    <w:p w14:paraId="6FF830FB" w14:textId="77777777" w:rsidR="00537E5F" w:rsidRPr="00507A31" w:rsidRDefault="00537E5F" w:rsidP="00507A31">
      <w:pPr>
        <w:autoSpaceDE w:val="0"/>
        <w:autoSpaceDN w:val="0"/>
        <w:adjustRightInd w:val="0"/>
        <w:jc w:val="both"/>
        <w:rPr>
          <w:color w:val="000000" w:themeColor="text1"/>
          <w:sz w:val="16"/>
          <w:szCs w:val="16"/>
        </w:rPr>
      </w:pPr>
    </w:p>
    <w:p w14:paraId="1F7BEE5E" w14:textId="77777777" w:rsidR="00B71C22" w:rsidRPr="00507A31" w:rsidRDefault="00B71C22" w:rsidP="00507A31">
      <w:pPr>
        <w:jc w:val="both"/>
        <w:rPr>
          <w:color w:val="000000" w:themeColor="text1"/>
          <w:sz w:val="16"/>
          <w:szCs w:val="16"/>
        </w:rPr>
      </w:pPr>
      <w:r w:rsidRPr="00507A31">
        <w:rPr>
          <w:color w:val="000000" w:themeColor="text1"/>
          <w:sz w:val="16"/>
          <w:szCs w:val="16"/>
        </w:rPr>
        <w:t>10 февраля 1930 г. представители военпрома и «Райнметалла» подписали предварительное соглашение (на 60 стр.). Сама фирма в договоре не упоминалась. В сопроводительном письме к договору разъяснялось, что Управление вооружений именовалось ВПН, а немецкая сторона — «Р. Л.». Под аббревиатурой «Р. Л.» подразумевалось исследовательское общество, которое «Райнметалл» обязался основать в Голландии. Сразу же после подписания в Германию выехала большая военная делегация из 12 офицеров во главе с Уборевичем. 15 февраля 1930 г. она уже была в Берлине. Ей предстояло посетить целый ряд фирм («К. Цайсс», «Тиль», «Райнметалл»), принять участие в испытаниях 4 готовых артсистем на полигоне «Райнметалла» и подписать окончательный договор (18265).</w:t>
      </w:r>
    </w:p>
    <w:p w14:paraId="70745640" w14:textId="77777777" w:rsidR="00B71C22" w:rsidRPr="00507A31" w:rsidRDefault="00B71C22" w:rsidP="00507A31">
      <w:pPr>
        <w:jc w:val="both"/>
        <w:rPr>
          <w:color w:val="000000" w:themeColor="text1"/>
          <w:sz w:val="16"/>
          <w:szCs w:val="16"/>
        </w:rPr>
      </w:pPr>
    </w:p>
    <w:p w14:paraId="3A1DC7B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3848C7B" w14:textId="77777777" w:rsidR="00537E5F" w:rsidRPr="00507A31" w:rsidRDefault="00537E5F" w:rsidP="00507A31">
      <w:pPr>
        <w:autoSpaceDE w:val="0"/>
        <w:autoSpaceDN w:val="0"/>
        <w:adjustRightInd w:val="0"/>
        <w:jc w:val="both"/>
        <w:rPr>
          <w:iCs/>
          <w:color w:val="000000" w:themeColor="text1"/>
          <w:sz w:val="16"/>
          <w:szCs w:val="16"/>
        </w:rPr>
      </w:pPr>
    </w:p>
    <w:p w14:paraId="2F0E16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10 февраля 1930 в "Правде" была опубликована статья “Ответ товарищам свердловцам", в которой Сталин потребовал бороться против "самоликвидации" кулацких хозяйств и "растранжиривания" ими своего имущества, что перекрывало последний путь спасения зажиточным крестьянским семьям, стремившимся избежать нависшей над ними расправы. Другое сталинское требование нацеливало на форсирование коллективизации в тех районах, где, согласно предыдущим решениям, "сплошная коллективизация" не должна была проводиться (9492).</w:t>
      </w:r>
    </w:p>
    <w:p w14:paraId="4A93B1C2" w14:textId="77777777" w:rsidR="00537E5F" w:rsidRPr="00507A31" w:rsidRDefault="00537E5F" w:rsidP="00507A31">
      <w:pPr>
        <w:autoSpaceDE w:val="0"/>
        <w:autoSpaceDN w:val="0"/>
        <w:adjustRightInd w:val="0"/>
        <w:jc w:val="both"/>
        <w:rPr>
          <w:color w:val="000000" w:themeColor="text1"/>
          <w:sz w:val="16"/>
          <w:szCs w:val="16"/>
        </w:rPr>
      </w:pPr>
    </w:p>
    <w:p w14:paraId="54EF8C73" w14:textId="77777777" w:rsidR="00950703" w:rsidRPr="00507A31" w:rsidRDefault="00950703"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4EBFFDB" w14:textId="77777777" w:rsidR="00950703" w:rsidRPr="00507A31" w:rsidRDefault="00950703" w:rsidP="00507A31">
      <w:pPr>
        <w:autoSpaceDE w:val="0"/>
        <w:autoSpaceDN w:val="0"/>
        <w:adjustRightInd w:val="0"/>
        <w:jc w:val="both"/>
        <w:rPr>
          <w:iCs/>
          <w:color w:val="000000" w:themeColor="text1"/>
          <w:sz w:val="16"/>
          <w:szCs w:val="16"/>
        </w:rPr>
      </w:pPr>
    </w:p>
    <w:p w14:paraId="0E8D5A76" w14:textId="77777777" w:rsidR="00950703" w:rsidRPr="00507A31" w:rsidRDefault="00950703" w:rsidP="00507A31">
      <w:pPr>
        <w:jc w:val="both"/>
        <w:rPr>
          <w:color w:val="0070C0"/>
          <w:sz w:val="16"/>
          <w:szCs w:val="16"/>
        </w:rPr>
      </w:pPr>
      <w:r w:rsidRPr="00507A31">
        <w:rPr>
          <w:color w:val="0070C0"/>
          <w:sz w:val="16"/>
          <w:szCs w:val="16"/>
        </w:rPr>
        <w:t>10 февраля 1930 у самолета Air Union Farman F.63 bis Goliath F-FHMY произошла поломка конструкции хвостового оперения во время полета из аэропорта Париж-Ле-Бурже под Парижем в аэропорт Кройдон в Лондоне с шестью людьми на борту. Пилоты пытается приземлиться в Pagehurst и совершить аварийную посадку Граунд в Мардена, Кент , Англия, но двигатель самолета глохнет и он падает. Два пассажира погибают, а двое других пассажиров и оба члена экипажа получают травмы (20805).</w:t>
      </w:r>
    </w:p>
    <w:p w14:paraId="5FD42760" w14:textId="77777777" w:rsidR="00950703" w:rsidRPr="00507A31" w:rsidRDefault="00950703" w:rsidP="00507A31">
      <w:pPr>
        <w:jc w:val="both"/>
        <w:rPr>
          <w:color w:val="0070C0"/>
          <w:sz w:val="16"/>
          <w:szCs w:val="16"/>
        </w:rPr>
      </w:pPr>
    </w:p>
    <w:p w14:paraId="1991D94A" w14:textId="77777777" w:rsidR="00950703" w:rsidRPr="00507A31" w:rsidRDefault="00950703"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2BE1ABC" w14:textId="77777777" w:rsidR="00950703" w:rsidRPr="00507A31" w:rsidRDefault="00950703" w:rsidP="00507A31">
      <w:pPr>
        <w:jc w:val="both"/>
        <w:rPr>
          <w:color w:val="0070C0"/>
          <w:sz w:val="16"/>
          <w:szCs w:val="16"/>
        </w:rPr>
      </w:pPr>
    </w:p>
    <w:p w14:paraId="4369EA49" w14:textId="0B49A14F" w:rsidR="00950703" w:rsidRPr="00507A31" w:rsidRDefault="00950703" w:rsidP="00507A31">
      <w:pPr>
        <w:jc w:val="both"/>
        <w:rPr>
          <w:color w:val="0070C0"/>
          <w:sz w:val="16"/>
          <w:szCs w:val="16"/>
        </w:rPr>
      </w:pPr>
      <w:r w:rsidRPr="00507A31">
        <w:rPr>
          <w:color w:val="0070C0"/>
          <w:sz w:val="16"/>
          <w:szCs w:val="16"/>
        </w:rPr>
        <w:t>11 февраля 1930 приказом Реввоенсовета СССР от введено в действие "Положение о военных представительствах на заводах гражданской и военной промышленности в военное и мирное время", законодательно закрепившее принципы контроля создания военной техники (20985). </w:t>
      </w:r>
    </w:p>
    <w:p w14:paraId="514DDAAB" w14:textId="77777777" w:rsidR="00950703" w:rsidRPr="00507A31" w:rsidRDefault="00950703" w:rsidP="00507A31">
      <w:pPr>
        <w:jc w:val="both"/>
        <w:rPr>
          <w:color w:val="0070C0"/>
          <w:sz w:val="16"/>
          <w:szCs w:val="16"/>
        </w:rPr>
      </w:pPr>
    </w:p>
    <w:p w14:paraId="1F1749E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B79ED84" w14:textId="77777777" w:rsidR="00537E5F" w:rsidRPr="00507A31" w:rsidRDefault="00537E5F" w:rsidP="00507A31">
      <w:pPr>
        <w:autoSpaceDE w:val="0"/>
        <w:autoSpaceDN w:val="0"/>
        <w:adjustRightInd w:val="0"/>
        <w:jc w:val="both"/>
        <w:rPr>
          <w:iCs/>
          <w:color w:val="000000" w:themeColor="text1"/>
          <w:sz w:val="16"/>
          <w:szCs w:val="16"/>
        </w:rPr>
      </w:pPr>
    </w:p>
    <w:p w14:paraId="6F99C4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февраля 1930 Алтайский край. Органами ОГПУ в с.Старо-Белокуриха арестовано 25 человек, в их числе священник В.Пальмин, бывший монах Ф.Резанов, церковный староста С.Казанин, регент Ф.Губа. Священнику было предъявлено обвинение в организации контрреволюционной группы для срыва коллективизации на селе, остальным - что они ее участники. Трое арестованных: В.Казанин, С.Стародубцев и Е.Рыбин в тот же день сумели бежать из-под ареста, остальные были отконвоированы в г.Бийск (10687).</w:t>
      </w:r>
    </w:p>
    <w:p w14:paraId="790CDEFE" w14:textId="77777777" w:rsidR="00537E5F" w:rsidRPr="00507A31" w:rsidRDefault="00537E5F" w:rsidP="00507A31">
      <w:pPr>
        <w:autoSpaceDE w:val="0"/>
        <w:autoSpaceDN w:val="0"/>
        <w:adjustRightInd w:val="0"/>
        <w:jc w:val="both"/>
        <w:rPr>
          <w:color w:val="000000" w:themeColor="text1"/>
          <w:sz w:val="16"/>
          <w:szCs w:val="16"/>
        </w:rPr>
      </w:pPr>
    </w:p>
    <w:p w14:paraId="7DD39D7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A4C2343" w14:textId="77777777" w:rsidR="00537E5F" w:rsidRPr="00507A31" w:rsidRDefault="00537E5F" w:rsidP="00507A31">
      <w:pPr>
        <w:autoSpaceDE w:val="0"/>
        <w:autoSpaceDN w:val="0"/>
        <w:adjustRightInd w:val="0"/>
        <w:jc w:val="both"/>
        <w:rPr>
          <w:iCs/>
          <w:color w:val="000000" w:themeColor="text1"/>
          <w:sz w:val="16"/>
          <w:szCs w:val="16"/>
        </w:rPr>
      </w:pPr>
    </w:p>
    <w:p w14:paraId="15F19D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февраля 1930 Авиатрест за подписью Зав. ТО Пастушенко письмом N 151/4182 направил Материалы пятилетнего плана по морским самолетам (351).</w:t>
      </w:r>
    </w:p>
    <w:p w14:paraId="7125C2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Ближний разведчик, береговой и корабельный (прил. N 10).</w:t>
      </w:r>
    </w:p>
    <w:p w14:paraId="50911B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Дальний разведчик (прил. N 1).</w:t>
      </w:r>
    </w:p>
    <w:p w14:paraId="69CB58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работы МОСа по опытному морскому самолетостроению на 1929-32 (351).</w:t>
      </w:r>
    </w:p>
    <w:p w14:paraId="391C40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Ближний разведчик, береговой к корабельный /прил.№ 10/</w:t>
      </w:r>
    </w:p>
    <w:p w14:paraId="0BEB9C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Назначение</w:t>
      </w:r>
    </w:p>
    <w:p w14:paraId="68CE63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разведка прибрежных районов моля и побережья; |бл обнаружение минных полей;</w:t>
      </w:r>
    </w:p>
    <w:p w14:paraId="50DD81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поиски подводных лодок и борьба с ними;</w:t>
      </w:r>
    </w:p>
    <w:p w14:paraId="5CBFC6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корректировка артиллерийского огня береговых батарей и боевевых судов;</w:t>
      </w:r>
    </w:p>
    <w:p w14:paraId="441BEE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совместные действия с минзаградителями и крейсерами;</w:t>
      </w:r>
    </w:p>
    <w:p w14:paraId="7E9F51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Основные требования и их последовательность.</w:t>
      </w:r>
    </w:p>
    <w:p w14:paraId="411173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3-местиый самолет лодочного типа с плавучестью и мореходностью, позволяющей посадку при волне высотой 0,8 м.</w:t>
      </w:r>
    </w:p>
    <w:p w14:paraId="557763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Радиус действия нормальный 350 клм.</w:t>
      </w:r>
    </w:p>
    <w:p w14:paraId="60409F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Емкость баков не менее б час. на крейсерской скорости,</w:t>
      </w:r>
    </w:p>
    <w:p w14:paraId="2A29A6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Большой диапазон скоростей.</w:t>
      </w:r>
    </w:p>
    <w:p w14:paraId="1AE45C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Горизонтальная скорость на 3000 мтр.</w:t>
      </w:r>
      <w:r w:rsidRPr="00507A31">
        <w:rPr>
          <w:color w:val="000000" w:themeColor="text1"/>
          <w:sz w:val="16"/>
          <w:szCs w:val="16"/>
        </w:rPr>
        <w:tab/>
        <w:t>200 клм.</w:t>
      </w:r>
    </w:p>
    <w:p w14:paraId="45BBA8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 маневренность.</w:t>
      </w:r>
    </w:p>
    <w:p w14:paraId="4B3F18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 Вертикальная скорость на 3000мтр.</w:t>
      </w:r>
      <w:r w:rsidRPr="00507A31">
        <w:rPr>
          <w:color w:val="000000" w:themeColor="text1"/>
          <w:sz w:val="16"/>
          <w:szCs w:val="16"/>
        </w:rPr>
        <w:tab/>
        <w:t>15-20 мин.</w:t>
      </w:r>
    </w:p>
    <w:p w14:paraId="4EA80F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 Потолок - 5000 мтр.</w:t>
      </w:r>
    </w:p>
    <w:p w14:paraId="20571D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 Полная нагрузка 900 клгр. Полетный вес не более 3,5 т.</w:t>
      </w:r>
    </w:p>
    <w:p w14:paraId="49052A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Вооружение и оборудование.</w:t>
      </w:r>
    </w:p>
    <w:p w14:paraId="663EE3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4 пулемета, установленные на 2-х турелях - одна в носовой асти, а другая - в кормовой, бомбодержатели 2 х 250 кгр. бомб. Бомбы за счет перегрузки и горючего.</w:t>
      </w:r>
    </w:p>
    <w:p w14:paraId="15AF60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Радио-телеграфно-телефонная станция как у армейского разведчика, с аварийным приспособлением, а у корабельного - как у корпусного разведчика</w:t>
      </w:r>
    </w:p>
    <w:p w14:paraId="0428D1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Перспективный фото-аппарат и короткофокусный фото-аппарат для плановой с"емки.</w:t>
      </w:r>
    </w:p>
    <w:p w14:paraId="2CF55F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Электрооборудование и пиротехнические средства для ночных полетов.</w:t>
      </w:r>
    </w:p>
    <w:p w14:paraId="5C63C6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Приборы для выпуска дымовых завес на некоторых самолетах.</w:t>
      </w:r>
    </w:p>
    <w:p w14:paraId="7AB139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 Означенный тип самолета при использовании его в качестве корабельного разведчика сбрасывается катапультой.</w:t>
      </w:r>
    </w:p>
    <w:p w14:paraId="7C0496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Дальний разведчик /приложение № I/</w:t>
      </w:r>
    </w:p>
    <w:p w14:paraId="5701B7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Назна чение</w:t>
      </w:r>
    </w:p>
    <w:p w14:paraId="77F424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Разведка удаленных районов открытого моря, баз флота пр-ка и его укрепленных районов.</w:t>
      </w:r>
    </w:p>
    <w:p w14:paraId="6C1B1A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Бомбардировочные атаки боевых и вспомогательных судов, транспортов и дессантов.</w:t>
      </w:r>
    </w:p>
    <w:p w14:paraId="66C8D5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Сторожевая служба и борьба с подводными лодками.</w:t>
      </w:r>
    </w:p>
    <w:p w14:paraId="41A3C6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Основные требования и их последовательность</w:t>
      </w:r>
    </w:p>
    <w:p w14:paraId="4314FC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5-ти•местный самолет лодочного типа с большой мореходностью, позволяющей посадку при волне высотой до 1,5 метра.</w:t>
      </w:r>
    </w:p>
    <w:p w14:paraId="1721BD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Мореходность и плавучесть.</w:t>
      </w:r>
    </w:p>
    <w:p w14:paraId="047073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Радиус действия 1000 -1200 клм.</w:t>
      </w:r>
    </w:p>
    <w:p w14:paraId="690539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Потолок - 5000 мтр.</w:t>
      </w:r>
    </w:p>
    <w:p w14:paraId="0879EC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Горизонтальная скорость на 3000 мтр. - 200 клм/час.</w:t>
      </w:r>
    </w:p>
    <w:p w14:paraId="4863C7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Вертикальная скорость на 3000 мтр. - 20 мин.</w:t>
      </w:r>
    </w:p>
    <w:p w14:paraId="36E02E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ОСНОВНЫЕ ТРЕБОВАНИЯ И ИХ ПОСЛЕДОВАТЕЛЬНОСТЬ МРБ</w:t>
      </w:r>
    </w:p>
    <w:p w14:paraId="5153AB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3- местный самолет лодочного типа с плавучестью и мораходностью, позволяющей посадку при волье - высотой 0,8 мтр.</w:t>
      </w:r>
    </w:p>
    <w:p w14:paraId="11E059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Радиус действия нормальный 350 клм.</w:t>
      </w:r>
    </w:p>
    <w:p w14:paraId="66DB64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в) </w:t>
      </w:r>
      <w:r w:rsidRPr="00507A31">
        <w:rPr>
          <w:smallCaps/>
          <w:color w:val="000000" w:themeColor="text1"/>
          <w:sz w:val="16"/>
          <w:szCs w:val="16"/>
        </w:rPr>
        <w:t xml:space="preserve">емкость </w:t>
      </w:r>
      <w:r w:rsidRPr="00507A31">
        <w:rPr>
          <w:color w:val="000000" w:themeColor="text1"/>
          <w:sz w:val="16"/>
          <w:szCs w:val="16"/>
        </w:rPr>
        <w:t>баков не менее 5 час. на крейсерской скорости.</w:t>
      </w:r>
    </w:p>
    <w:p w14:paraId="09A9B6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Большой диапазон скоростей.</w:t>
      </w:r>
    </w:p>
    <w:p w14:paraId="4ED37E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горизонтальная скорость на 3000 мтр.- 200 клм.</w:t>
      </w:r>
    </w:p>
    <w:p w14:paraId="22BBC1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 Маневвренность.</w:t>
      </w:r>
    </w:p>
    <w:p w14:paraId="17F81C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 Вертикальная скорость на 3000 м тр. ~ 15 - 20. мин.</w:t>
      </w:r>
    </w:p>
    <w:p w14:paraId="2463C9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 Потолок - 5000 мтр.</w:t>
      </w:r>
    </w:p>
    <w:p w14:paraId="2331B3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 Полетный вес не более 3,5 т.:</w:t>
      </w:r>
    </w:p>
    <w:p w14:paraId="44AD17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пул. 2 на туре ли в носу</w:t>
      </w:r>
    </w:p>
    <w:p w14:paraId="3F6FAB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 на корме - 170 кг.</w:t>
      </w:r>
    </w:p>
    <w:p w14:paraId="3A092E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Бомбодержатель 2 х 250 кг. бомб за счет перегрузки и горюч. - 30 кг.</w:t>
      </w:r>
    </w:p>
    <w:p w14:paraId="0D539C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Радио-телеграф. станция как у армейского разведчика- 60 кг.</w:t>
      </w:r>
    </w:p>
    <w:p w14:paraId="5B9559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 карабельн., как у корпусн. разведчика</w:t>
      </w:r>
    </w:p>
    <w:p w14:paraId="0BA90C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Аварийное приспособл. /за счет перегрузки/ - 33 кг.</w:t>
      </w:r>
    </w:p>
    <w:p w14:paraId="6F575E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Перспект. Фотоаппарат и коротко -фокусныйй фото-аппарат для плановой съемки - 30 кг.</w:t>
      </w:r>
    </w:p>
    <w:p w14:paraId="05C3BE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Электрооборудован. и электро</w:t>
      </w:r>
      <w:r w:rsidRPr="00507A31">
        <w:rPr>
          <w:color w:val="000000" w:themeColor="text1"/>
          <w:sz w:val="16"/>
          <w:szCs w:val="16"/>
        </w:rPr>
        <w:softHyphen/>
        <w:t>технич. средства для ночных полетов/за счет перегрузки/ - 60 кг.</w:t>
      </w:r>
    </w:p>
    <w:p w14:paraId="417CC1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Прибор для выпуска дымовых завес на некоторых самолетах 75 кг.</w:t>
      </w:r>
    </w:p>
    <w:p w14:paraId="6A2885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Аороназигац.и всспомог.оборуд. 75 кг.</w:t>
      </w:r>
    </w:p>
    <w:p w14:paraId="2F8529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Экипаж -240 кг.</w:t>
      </w:r>
    </w:p>
    <w:p w14:paraId="22921A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 700 кг.</w:t>
      </w:r>
    </w:p>
    <w:p w14:paraId="5A116D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ОСНОВНЫЕ ТРЕБОВАНИЯ И ИХ ПОСЛЕДОВАТЕЛЬНОСТЬ МРД</w:t>
      </w:r>
    </w:p>
    <w:p w14:paraId="69A8CF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местный самолет лодочного типа с большой мореходностью, позво</w:t>
      </w:r>
      <w:r w:rsidRPr="00507A31">
        <w:rPr>
          <w:color w:val="000000" w:themeColor="text1"/>
          <w:sz w:val="16"/>
          <w:szCs w:val="16"/>
        </w:rPr>
        <w:softHyphen/>
        <w:t>ляющтй посадку при волне высостой до 1,5 метр</w:t>
      </w:r>
    </w:p>
    <w:p w14:paraId="0C2B4D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Мореходность и плавучесть.</w:t>
      </w:r>
    </w:p>
    <w:p w14:paraId="744B5E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радиус действия 1000 - 1200 клм.</w:t>
      </w:r>
    </w:p>
    <w:p w14:paraId="0A7683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Потолок - 5000 м.</w:t>
      </w:r>
    </w:p>
    <w:p w14:paraId="7FA7C4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Горизонтальнал скорость на 3000 мтр. - 200 клм/час.</w:t>
      </w:r>
    </w:p>
    <w:p w14:paraId="621C8F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вертикалькая скорость на 3000 мтр. - 20 мин.</w:t>
      </w:r>
    </w:p>
    <w:p w14:paraId="7CC9E1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Нагрузка:</w:t>
      </w:r>
    </w:p>
    <w:p w14:paraId="67CF19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4 пул.на турелях - 180 кг.</w:t>
      </w:r>
    </w:p>
    <w:p w14:paraId="0F1E24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Нормальн. бомбов. нагрузка 500 кг.- и кроме того за счет горючего до 1000 кг. калибров 100, 250, 500 - 560 кг.</w:t>
      </w:r>
    </w:p>
    <w:p w14:paraId="126EA1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smallCaps/>
          <w:color w:val="000000" w:themeColor="text1"/>
          <w:sz w:val="16"/>
          <w:szCs w:val="16"/>
        </w:rPr>
        <w:t>3. аб</w:t>
      </w:r>
      <w:r w:rsidRPr="00507A31">
        <w:rPr>
          <w:color w:val="000000" w:themeColor="text1"/>
          <w:sz w:val="16"/>
          <w:szCs w:val="16"/>
        </w:rPr>
        <w:t>томат.фото -аппарта с фокус н. расстоянием 50 с. для планирован. с"емки и ручн. Перспект.</w:t>
      </w:r>
    </w:p>
    <w:p w14:paraId="393693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Приемно-передаточн. радиотелеф.-телеграф. с танция с дальностью действия 300 клм. телефон. и телеграфом 600 км.</w:t>
      </w:r>
    </w:p>
    <w:p w14:paraId="7DD3D3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Программа МОСа на 1929-32 гг</w:t>
      </w:r>
    </w:p>
    <w:p w14:paraId="4259B7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Общие тактические требования под опытные морские самоде ты.</w:t>
      </w:r>
    </w:p>
    <w:p w14:paraId="06F395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МРД - под 2 мотора М-33.</w:t>
      </w:r>
    </w:p>
    <w:p w14:paraId="49C341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5-местныЙ разведчик дальнего действия.Конструкция вся металличес</w:t>
      </w:r>
      <w:r w:rsidRPr="00507A31">
        <w:rPr>
          <w:color w:val="000000" w:themeColor="text1"/>
          <w:sz w:val="16"/>
          <w:szCs w:val="16"/>
        </w:rPr>
        <w:softHyphen/>
        <w:t>кая (дюраль). Крыло должно быть дублировано деревянное по треб.НТК УВВС. Лодка должна обладать большой мореходностью и плавучестью. Радиус действия самолета 1000 - 1200 ки.</w:t>
      </w:r>
    </w:p>
    <w:p w14:paraId="62A868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Скорость 200 км/час</w:t>
      </w:r>
    </w:p>
    <w:p w14:paraId="71B5AB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Потолок 5000 м</w:t>
      </w:r>
    </w:p>
    <w:p w14:paraId="6190D8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Под"ем на 3000 м. - 20 мин.</w:t>
      </w:r>
    </w:p>
    <w:p w14:paraId="0CE16F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Полная полезная погрузка 2750 (без бензина и масла).</w:t>
      </w:r>
    </w:p>
    <w:p w14:paraId="3F8EAC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Посадка на волну на 1,5 м - срок постройки в мастерских, по желанию НТК УВВС, 1 октября 31 г.</w:t>
      </w:r>
    </w:p>
    <w:p w14:paraId="5F791A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МРД - под 2 мот. М-34.</w:t>
      </w:r>
    </w:p>
    <w:p w14:paraId="43FB73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Тот-же самолет, но ставятся моторы улучшенного типа М-34</w:t>
      </w:r>
    </w:p>
    <w:p w14:paraId="2089DF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Тот-же мотор М-33, но поставлен редуктор и поддув.</w:t>
      </w:r>
    </w:p>
    <w:p w14:paraId="64472C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МРБ - Морской разведчик береговой под мотор М- 33.</w:t>
      </w:r>
    </w:p>
    <w:p w14:paraId="198849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3-ех местный, лодочного типа. К инструкция вся металлическая, но должны быть разработаны чертежи лодки металлической конструкции.</w:t>
      </w:r>
    </w:p>
    <w:p w14:paraId="1C7876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Радиус действия 350 км.</w:t>
      </w:r>
    </w:p>
    <w:p w14:paraId="546C1B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Емкость баков не менее 6 ч. на крейсерекой скорости.</w:t>
      </w:r>
    </w:p>
    <w:p w14:paraId="52666C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Большой диопозон скоростей.</w:t>
      </w:r>
    </w:p>
    <w:p w14:paraId="3E5608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Скорость 3000 = 200</w:t>
      </w:r>
    </w:p>
    <w:p w14:paraId="059ECA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Под"ем 3000 за 15 - 20</w:t>
      </w:r>
    </w:p>
    <w:p w14:paraId="37DB81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Потолок 5000 м</w:t>
      </w:r>
    </w:p>
    <w:p w14:paraId="7B1316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Посадка на волну 0,8.</w:t>
      </w:r>
    </w:p>
    <w:p w14:paraId="2663F2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Самолет должен обладать хорошей маневренностью.</w:t>
      </w:r>
    </w:p>
    <w:p w14:paraId="636813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Полезная погрузка 900 кг</w:t>
      </w:r>
    </w:p>
    <w:p w14:paraId="2ABFDB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Полетный вес не более 3,5 т.</w:t>
      </w:r>
    </w:p>
    <w:p w14:paraId="1D66E9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Самолет должен быть приспособлен для сбрасывания с катапульты</w:t>
      </w:r>
    </w:p>
    <w:p w14:paraId="101A97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Вооружение 4 пулем.на 2-х турелях.</w:t>
      </w:r>
    </w:p>
    <w:p w14:paraId="671F87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Бомбы 2 х 250 за счет перегрузки.</w:t>
      </w:r>
    </w:p>
    <w:p w14:paraId="3F8FFC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Радио с аварийным приспособлением.</w:t>
      </w:r>
    </w:p>
    <w:p w14:paraId="11DCF3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Перспектив. фотоаппарат и один коротко-фокусный.</w:t>
      </w:r>
    </w:p>
    <w:p w14:paraId="6471A0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Электро-оборудование для ночных полетов.</w:t>
      </w:r>
    </w:p>
    <w:p w14:paraId="761844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Приборы для дымовой завоси.</w:t>
      </w:r>
    </w:p>
    <w:p w14:paraId="1BFAD7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Срок постройки по требованию НТК 1 октября 31 года.</w:t>
      </w:r>
    </w:p>
    <w:p w14:paraId="011B83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МУ - 3 -Морская учебная машина под мотор 100 нр.</w:t>
      </w:r>
    </w:p>
    <w:p w14:paraId="177E50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Срок постройки 1 февраля 31 г.</w:t>
      </w:r>
    </w:p>
    <w:p w14:paraId="63F456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Кроме того, для МОС"а остается в силе программа на доделку самолетов МР5 и РОМ -2 , а также на окончат. достройку самолета ТОМ1.</w:t>
      </w:r>
    </w:p>
    <w:p w14:paraId="2FB91B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Что-же касается разведчика, то должен быть разработан Конструк</w:t>
      </w:r>
      <w:r w:rsidRPr="00507A31">
        <w:rPr>
          <w:color w:val="000000" w:themeColor="text1"/>
          <w:sz w:val="16"/>
          <w:szCs w:val="16"/>
        </w:rPr>
        <w:softHyphen/>
        <w:t>торским БЮРО МОСа эскизный проэкт (351).</w:t>
      </w:r>
    </w:p>
    <w:p w14:paraId="6B53B2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 полная нагрузка - 2750 кгр. (351).</w:t>
      </w:r>
    </w:p>
    <w:p w14:paraId="04EF462D" w14:textId="77777777" w:rsidR="00537E5F" w:rsidRPr="00507A31" w:rsidRDefault="00537E5F" w:rsidP="00507A31">
      <w:pPr>
        <w:autoSpaceDE w:val="0"/>
        <w:autoSpaceDN w:val="0"/>
        <w:adjustRightInd w:val="0"/>
        <w:jc w:val="both"/>
        <w:rPr>
          <w:color w:val="000000" w:themeColor="text1"/>
          <w:sz w:val="16"/>
          <w:szCs w:val="16"/>
        </w:rPr>
      </w:pPr>
    </w:p>
    <w:p w14:paraId="6A63E77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5B3A623" w14:textId="77777777" w:rsidR="00537E5F" w:rsidRPr="00507A31" w:rsidRDefault="00537E5F" w:rsidP="00507A31">
      <w:pPr>
        <w:autoSpaceDE w:val="0"/>
        <w:autoSpaceDN w:val="0"/>
        <w:adjustRightInd w:val="0"/>
        <w:jc w:val="both"/>
        <w:rPr>
          <w:iCs/>
          <w:color w:val="000000" w:themeColor="text1"/>
          <w:sz w:val="16"/>
          <w:szCs w:val="16"/>
        </w:rPr>
      </w:pPr>
    </w:p>
    <w:p w14:paraId="27F941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февраля 1930 Алтайский край. Банда В.Атаманова совершила налет на с.Иня, где к повстанцам присоединилось 3 человека.(Подробнее см. Восстания на Алтае 1930 г) (10687).</w:t>
      </w:r>
    </w:p>
    <w:p w14:paraId="204E6768" w14:textId="77777777" w:rsidR="00537E5F" w:rsidRPr="00507A31" w:rsidRDefault="00537E5F" w:rsidP="00507A31">
      <w:pPr>
        <w:autoSpaceDE w:val="0"/>
        <w:autoSpaceDN w:val="0"/>
        <w:adjustRightInd w:val="0"/>
        <w:jc w:val="both"/>
        <w:rPr>
          <w:color w:val="000000" w:themeColor="text1"/>
          <w:sz w:val="16"/>
          <w:szCs w:val="16"/>
        </w:rPr>
      </w:pPr>
    </w:p>
    <w:p w14:paraId="7AE1BE9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159C7CD" w14:textId="77777777" w:rsidR="00537E5F" w:rsidRPr="00507A31" w:rsidRDefault="00537E5F" w:rsidP="00507A31">
      <w:pPr>
        <w:autoSpaceDE w:val="0"/>
        <w:autoSpaceDN w:val="0"/>
        <w:adjustRightInd w:val="0"/>
        <w:jc w:val="both"/>
        <w:rPr>
          <w:iCs/>
          <w:color w:val="000000" w:themeColor="text1"/>
          <w:sz w:val="16"/>
          <w:szCs w:val="16"/>
        </w:rPr>
      </w:pPr>
    </w:p>
    <w:p w14:paraId="2C52E3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февраля 1930 летчик Добролета М.Т.Слепнев обнаружил у мыса Северного погибших американских летчиков Эйельсона и Борданда, которые 10 ноября вылетели для съема пассажиров со шхуны Наук. Искали по просьбе американского правительства. 4 марта сопроводили тела на Аляску (438,607).</w:t>
      </w:r>
    </w:p>
    <w:p w14:paraId="02F28CE0" w14:textId="77777777" w:rsidR="00537E5F" w:rsidRPr="00507A31" w:rsidRDefault="00537E5F" w:rsidP="00507A31">
      <w:pPr>
        <w:autoSpaceDE w:val="0"/>
        <w:autoSpaceDN w:val="0"/>
        <w:adjustRightInd w:val="0"/>
        <w:jc w:val="both"/>
        <w:rPr>
          <w:color w:val="000000" w:themeColor="text1"/>
          <w:sz w:val="16"/>
          <w:szCs w:val="16"/>
        </w:rPr>
      </w:pPr>
    </w:p>
    <w:p w14:paraId="2E131F8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EAC5F33" w14:textId="77777777" w:rsidR="00537E5F" w:rsidRPr="00507A31" w:rsidRDefault="00537E5F" w:rsidP="00507A31">
      <w:pPr>
        <w:autoSpaceDE w:val="0"/>
        <w:autoSpaceDN w:val="0"/>
        <w:adjustRightInd w:val="0"/>
        <w:jc w:val="both"/>
        <w:rPr>
          <w:iCs/>
          <w:color w:val="000000" w:themeColor="text1"/>
          <w:sz w:val="16"/>
          <w:szCs w:val="16"/>
        </w:rPr>
      </w:pPr>
    </w:p>
    <w:p w14:paraId="25CCEF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13 по 17 февраля Бокис в Харькове, на ХПЗ, где был изготовлен «ма</w:t>
      </w:r>
      <w:r w:rsidRPr="00507A31">
        <w:rPr>
          <w:color w:val="000000" w:themeColor="text1"/>
          <w:sz w:val="16"/>
          <w:szCs w:val="16"/>
        </w:rPr>
        <w:softHyphen/>
        <w:t>невренный» танк Т-12 и должны были проходить его испытания.</w:t>
      </w:r>
    </w:p>
    <w:p w14:paraId="41FA04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26 марта по 2 апреля он вновь в Ленинграде на заводе «Большевик». С 14 по 20 мая 1930 года опять едет из Москвы в Ленинград.</w:t>
      </w:r>
    </w:p>
    <w:p w14:paraId="2F8BAE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б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1CB0F0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B11210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B2D38F3" w14:textId="77777777" w:rsidR="00537E5F" w:rsidRPr="00507A31" w:rsidRDefault="00537E5F" w:rsidP="00507A31">
      <w:pPr>
        <w:autoSpaceDE w:val="0"/>
        <w:autoSpaceDN w:val="0"/>
        <w:adjustRightInd w:val="0"/>
        <w:jc w:val="both"/>
        <w:rPr>
          <w:iCs/>
          <w:color w:val="000000" w:themeColor="text1"/>
          <w:sz w:val="16"/>
          <w:szCs w:val="16"/>
        </w:rPr>
      </w:pPr>
    </w:p>
    <w:p w14:paraId="40EEA4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февраля 1930 г. Кинокомитет был преобразован в общесоюзное Объединение по кинофотопромышленности (Союзкино), кинематографии была передана в подчинение индустриального ведомства — Высшего Совета Народного Хозяйства СССР (ВСНХ). В ведение Союзкино перешли кинофабрики, прокатные пункты, часть киносети, заводы, фотохимтресты и т.д. В 1932 г. кинематограф был передан Народному комиссариату легкой промышленности СССР. Национальные кинематографии теперь управлялись московскими бюрократическими инстанциями (11019).</w:t>
      </w:r>
    </w:p>
    <w:p w14:paraId="1E2CCDF5" w14:textId="77777777" w:rsidR="00537E5F" w:rsidRPr="00507A31" w:rsidRDefault="00537E5F" w:rsidP="00507A31">
      <w:pPr>
        <w:autoSpaceDE w:val="0"/>
        <w:autoSpaceDN w:val="0"/>
        <w:adjustRightInd w:val="0"/>
        <w:jc w:val="both"/>
        <w:rPr>
          <w:color w:val="000000" w:themeColor="text1"/>
          <w:sz w:val="16"/>
          <w:szCs w:val="16"/>
        </w:rPr>
      </w:pPr>
    </w:p>
    <w:p w14:paraId="37E604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 ЦИК и СНК СССР о реорганизации управления государственной промышленностью от 13 февраля 1930 устанавливало правовое положение объединений, заключавшееся в том, что они действовали в качестве самостоятельных хозяйственных единиц на началах хозяйственного расчета, в соответствии с плановыми заданиями ВСНХ СССР и под его общим надзором. Для осуществления этого надзора, а также планово-экономического и технического руководства сформированными объединениями в структуре ВСНХ СССР было образовано Планово-технико-экономическое управление (ПТЭУ), созданное взамен ликвидированных главков (Главное управление металлопромышленности не было ликвидировано) (275).</w:t>
      </w:r>
    </w:p>
    <w:p w14:paraId="0E371F1A" w14:textId="77777777" w:rsidR="00537E5F" w:rsidRPr="00507A31" w:rsidRDefault="00537E5F" w:rsidP="00507A31">
      <w:pPr>
        <w:autoSpaceDE w:val="0"/>
        <w:autoSpaceDN w:val="0"/>
        <w:adjustRightInd w:val="0"/>
        <w:jc w:val="both"/>
        <w:rPr>
          <w:color w:val="000000" w:themeColor="text1"/>
          <w:sz w:val="16"/>
          <w:szCs w:val="16"/>
        </w:rPr>
      </w:pPr>
    </w:p>
    <w:p w14:paraId="73B0E5E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4700D34" w14:textId="77777777" w:rsidR="00537E5F" w:rsidRPr="00507A31" w:rsidRDefault="00537E5F" w:rsidP="00507A31">
      <w:pPr>
        <w:autoSpaceDE w:val="0"/>
        <w:autoSpaceDN w:val="0"/>
        <w:adjustRightInd w:val="0"/>
        <w:jc w:val="both"/>
        <w:rPr>
          <w:iCs/>
          <w:color w:val="000000" w:themeColor="text1"/>
          <w:sz w:val="16"/>
          <w:szCs w:val="16"/>
        </w:rPr>
      </w:pPr>
    </w:p>
    <w:p w14:paraId="39B778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14 февраля 1930 состоялось заседание Правления Авиатреста (протокол 44) по состоянию работ на заводе 26 и программе завода 1 по И-3 и др. (2367,147).</w:t>
      </w:r>
    </w:p>
    <w:p w14:paraId="4E9E720C" w14:textId="77777777" w:rsidR="00537E5F" w:rsidRPr="00507A31" w:rsidRDefault="00537E5F" w:rsidP="00507A31">
      <w:pPr>
        <w:autoSpaceDE w:val="0"/>
        <w:autoSpaceDN w:val="0"/>
        <w:adjustRightInd w:val="0"/>
        <w:jc w:val="both"/>
        <w:rPr>
          <w:color w:val="000000" w:themeColor="text1"/>
          <w:sz w:val="16"/>
          <w:szCs w:val="16"/>
        </w:rPr>
      </w:pPr>
    </w:p>
    <w:p w14:paraId="2F8A1C5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06DF13F" w14:textId="77777777" w:rsidR="00537E5F" w:rsidRPr="00507A31" w:rsidRDefault="00537E5F" w:rsidP="00507A31">
      <w:pPr>
        <w:autoSpaceDE w:val="0"/>
        <w:autoSpaceDN w:val="0"/>
        <w:adjustRightInd w:val="0"/>
        <w:jc w:val="both"/>
        <w:rPr>
          <w:iCs/>
          <w:color w:val="000000" w:themeColor="text1"/>
          <w:sz w:val="16"/>
          <w:szCs w:val="16"/>
        </w:rPr>
      </w:pPr>
    </w:p>
    <w:p w14:paraId="74CCEE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февраля 1931 г. было письмо Менжинского Сталину: «Строительство Челябтракторостроя находится сейчас в следующем состоянии: Ведется широкое жилищное строительство совершенно неувязанное со сроками вступления завода в эксплуатацию, в то время как для строительства промышленных цехов произведены только подготовительные работы и ни один цех в течение года готов не будет.</w:t>
      </w:r>
    </w:p>
    <w:p w14:paraId="74DB25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произведенных арестов из аппарата Управления строительством вычищено 40 чел. и приняты меры к удалению со строительства остального негодного элемента. Полностью же разработанного проекта Челябтракторостроя не имеется».</w:t>
      </w:r>
    </w:p>
    <w:p w14:paraId="163857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текста очевидно, что строительство, как обычно делается, началось с жилья для рабочих (возможно, по готовым проектам фирмы Кана). И что существовал приказ Сталина по прекращению строительства жилья. Строить следовало сам завод, но никак не жилые дома, роль которых должны были играть палатки, землянки или, в лучшем случае, бараки (11598).</w:t>
      </w:r>
    </w:p>
    <w:p w14:paraId="0A787EE2" w14:textId="77777777" w:rsidR="00537E5F" w:rsidRPr="00507A31" w:rsidRDefault="00537E5F" w:rsidP="00507A31">
      <w:pPr>
        <w:autoSpaceDE w:val="0"/>
        <w:autoSpaceDN w:val="0"/>
        <w:adjustRightInd w:val="0"/>
        <w:jc w:val="both"/>
        <w:rPr>
          <w:color w:val="000000" w:themeColor="text1"/>
          <w:sz w:val="16"/>
          <w:szCs w:val="16"/>
        </w:rPr>
      </w:pPr>
    </w:p>
    <w:p w14:paraId="4BA859E6" w14:textId="77777777" w:rsidR="00C31E35" w:rsidRPr="00507A31" w:rsidRDefault="00C31E35" w:rsidP="00507A31">
      <w:pPr>
        <w:jc w:val="both"/>
        <w:rPr>
          <w:color w:val="000000" w:themeColor="text1"/>
          <w:sz w:val="16"/>
          <w:szCs w:val="16"/>
        </w:rPr>
      </w:pPr>
      <w:r w:rsidRPr="00507A31">
        <w:rPr>
          <w:rStyle w:val="a7"/>
          <w:b w:val="0"/>
          <w:color w:val="000000" w:themeColor="text1"/>
          <w:sz w:val="16"/>
          <w:szCs w:val="16"/>
        </w:rPr>
        <w:t xml:space="preserve">14 февраля 1930 </w:t>
      </w:r>
      <w:r w:rsidRPr="00507A31">
        <w:rPr>
          <w:color w:val="000000" w:themeColor="text1"/>
          <w:sz w:val="16"/>
          <w:szCs w:val="16"/>
        </w:rPr>
        <w:t>СНК принял постановление «О мероприятиях по плановому обеспечению рабочей силой предприятий, подготовке кадров, организации рынка труда и ослаблению безработицы» (12265).</w:t>
      </w:r>
    </w:p>
    <w:p w14:paraId="148DB66E" w14:textId="77777777" w:rsidR="00C31E35" w:rsidRPr="00507A31" w:rsidRDefault="00C31E35" w:rsidP="00507A31">
      <w:pPr>
        <w:jc w:val="both"/>
        <w:rPr>
          <w:color w:val="000000" w:themeColor="text1"/>
          <w:sz w:val="16"/>
          <w:szCs w:val="16"/>
        </w:rPr>
      </w:pPr>
      <w:r w:rsidRPr="00507A31">
        <w:rPr>
          <w:color w:val="000000" w:themeColor="text1"/>
          <w:sz w:val="16"/>
          <w:szCs w:val="16"/>
        </w:rPr>
        <w:t> </w:t>
      </w:r>
    </w:p>
    <w:p w14:paraId="1B9C66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февраля 1930 Алтайский край. Советский отряд Нечаева (30 всадников) на подходе к п. Айлягуш попал в засаду банды В.Атаманова, в результате чего потерял 8 человек убитыми и 5 ранеными, причем бандой было взято оружие раненых и убитых и ручной пулемет с одним диском (10687).</w:t>
      </w:r>
    </w:p>
    <w:p w14:paraId="5A1C47C6" w14:textId="77777777" w:rsidR="00537E5F" w:rsidRPr="00507A31" w:rsidRDefault="00537E5F" w:rsidP="00507A31">
      <w:pPr>
        <w:autoSpaceDE w:val="0"/>
        <w:autoSpaceDN w:val="0"/>
        <w:adjustRightInd w:val="0"/>
        <w:jc w:val="both"/>
        <w:rPr>
          <w:color w:val="000000" w:themeColor="text1"/>
          <w:sz w:val="16"/>
          <w:szCs w:val="16"/>
        </w:rPr>
      </w:pPr>
    </w:p>
    <w:p w14:paraId="09FA6EF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77FD31E" w14:textId="77777777" w:rsidR="00537E5F" w:rsidRPr="00507A31" w:rsidRDefault="00537E5F" w:rsidP="00507A31">
      <w:pPr>
        <w:autoSpaceDE w:val="0"/>
        <w:autoSpaceDN w:val="0"/>
        <w:adjustRightInd w:val="0"/>
        <w:jc w:val="both"/>
        <w:rPr>
          <w:iCs/>
          <w:color w:val="000000" w:themeColor="text1"/>
          <w:sz w:val="16"/>
          <w:szCs w:val="16"/>
        </w:rPr>
      </w:pPr>
    </w:p>
    <w:p w14:paraId="2DD31A7D" w14:textId="77777777" w:rsidR="000B7DE2" w:rsidRPr="00507A31" w:rsidRDefault="000B7DE2" w:rsidP="00507A31">
      <w:pPr>
        <w:pStyle w:val="ae"/>
        <w:shd w:val="clear" w:color="auto" w:fill="FFFFFF"/>
        <w:spacing w:before="0" w:after="0"/>
        <w:jc w:val="both"/>
        <w:rPr>
          <w:color w:val="000000" w:themeColor="text1"/>
          <w:sz w:val="16"/>
          <w:szCs w:val="16"/>
        </w:rPr>
      </w:pPr>
      <w:r w:rsidRPr="00507A31">
        <w:rPr>
          <w:color w:val="000000" w:themeColor="text1"/>
          <w:sz w:val="16"/>
          <w:szCs w:val="16"/>
        </w:rPr>
        <w:t>14 февраля 1930 года было первое упоминание о Kleinetraktor с кормовым расположением двигателя,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16ABF92A" w14:textId="77777777" w:rsidR="000B7DE2" w:rsidRPr="00507A31" w:rsidRDefault="000B7DE2" w:rsidP="00507A31">
      <w:pPr>
        <w:pStyle w:val="ae"/>
        <w:shd w:val="clear" w:color="auto" w:fill="FFFFFF"/>
        <w:spacing w:before="0" w:after="0"/>
        <w:jc w:val="both"/>
        <w:rPr>
          <w:color w:val="000000" w:themeColor="text1"/>
          <w:sz w:val="16"/>
          <w:szCs w:val="16"/>
        </w:rPr>
      </w:pPr>
      <w:r w:rsidRPr="00507A31">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5E828C3C" w14:textId="77777777" w:rsidR="000B7DE2" w:rsidRPr="00507A31" w:rsidRDefault="000B7DE2" w:rsidP="00507A31">
      <w:pPr>
        <w:pStyle w:val="ae"/>
        <w:shd w:val="clear" w:color="auto" w:fill="FFFFFF"/>
        <w:spacing w:before="0" w:after="0"/>
        <w:jc w:val="both"/>
        <w:rPr>
          <w:color w:val="000000" w:themeColor="text1"/>
          <w:sz w:val="16"/>
          <w:szCs w:val="16"/>
        </w:rPr>
      </w:pPr>
      <w:r w:rsidRPr="00507A31">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514ABAAE" w14:textId="77777777" w:rsidR="000B7DE2" w:rsidRPr="00507A31" w:rsidRDefault="000B7DE2" w:rsidP="00507A31">
      <w:pPr>
        <w:pStyle w:val="ae"/>
        <w:shd w:val="clear" w:color="auto" w:fill="FFFFFF"/>
        <w:spacing w:before="0" w:after="0"/>
        <w:jc w:val="both"/>
        <w:rPr>
          <w:color w:val="000000" w:themeColor="text1"/>
          <w:sz w:val="16"/>
          <w:szCs w:val="16"/>
        </w:rPr>
      </w:pPr>
    </w:p>
    <w:p w14:paraId="3AE879B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14 февраля 1930 папа римский наложил запрет на «неприличную» одежду (4962).</w:t>
      </w:r>
    </w:p>
    <w:p w14:paraId="0392D09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25888D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986A076" w14:textId="77777777" w:rsidR="00537E5F" w:rsidRPr="00507A31" w:rsidRDefault="00537E5F" w:rsidP="00507A31">
      <w:pPr>
        <w:autoSpaceDE w:val="0"/>
        <w:autoSpaceDN w:val="0"/>
        <w:adjustRightInd w:val="0"/>
        <w:jc w:val="both"/>
        <w:rPr>
          <w:iCs/>
          <w:color w:val="000000" w:themeColor="text1"/>
          <w:sz w:val="16"/>
          <w:szCs w:val="16"/>
        </w:rPr>
      </w:pPr>
    </w:p>
    <w:p w14:paraId="0CC688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1930 состоялось техническое совещание руководителей групп отдела АГОС по АНТ-7 и по перелету на 8000 км (1077,151).</w:t>
      </w:r>
    </w:p>
    <w:p w14:paraId="376091AF" w14:textId="77777777" w:rsidR="00537E5F" w:rsidRPr="00507A31" w:rsidRDefault="00537E5F" w:rsidP="00507A31">
      <w:pPr>
        <w:autoSpaceDE w:val="0"/>
        <w:autoSpaceDN w:val="0"/>
        <w:adjustRightInd w:val="0"/>
        <w:jc w:val="both"/>
        <w:rPr>
          <w:color w:val="000000" w:themeColor="text1"/>
          <w:sz w:val="16"/>
          <w:szCs w:val="16"/>
        </w:rPr>
      </w:pPr>
    </w:p>
    <w:p w14:paraId="0EC1B5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1930 состоялось заседание Правления Авиатреста (протокол 46) под пред. Михайлова и с участием заводов. Рассмотрели и утвердили сроки по 5 летнему плану опытных работ и доклад о годовой работе 24 завода, а также рассмотрели промфинплан 24 завода (2367).</w:t>
      </w:r>
    </w:p>
    <w:p w14:paraId="385EA6EF" w14:textId="77777777" w:rsidR="00537E5F" w:rsidRPr="00507A31" w:rsidRDefault="00537E5F" w:rsidP="00507A31">
      <w:pPr>
        <w:autoSpaceDE w:val="0"/>
        <w:autoSpaceDN w:val="0"/>
        <w:adjustRightInd w:val="0"/>
        <w:jc w:val="both"/>
        <w:rPr>
          <w:color w:val="000000" w:themeColor="text1"/>
          <w:sz w:val="16"/>
          <w:szCs w:val="16"/>
        </w:rPr>
      </w:pPr>
    </w:p>
    <w:p w14:paraId="2236E7F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F6D6045" w14:textId="77777777" w:rsidR="00537E5F" w:rsidRPr="00507A31" w:rsidRDefault="00537E5F" w:rsidP="00507A31">
      <w:pPr>
        <w:autoSpaceDE w:val="0"/>
        <w:autoSpaceDN w:val="0"/>
        <w:adjustRightInd w:val="0"/>
        <w:jc w:val="both"/>
        <w:rPr>
          <w:iCs/>
          <w:color w:val="000000" w:themeColor="text1"/>
          <w:sz w:val="16"/>
          <w:szCs w:val="16"/>
        </w:rPr>
      </w:pPr>
    </w:p>
    <w:p w14:paraId="54714E88" w14:textId="77777777" w:rsidR="0011253F" w:rsidRPr="00507A31" w:rsidRDefault="0011253F" w:rsidP="00507A31">
      <w:pPr>
        <w:pStyle w:val="article-renderblock"/>
        <w:shd w:val="clear" w:color="auto" w:fill="FFFFFF"/>
        <w:spacing w:before="0" w:beforeAutospacing="0" w:after="0" w:afterAutospacing="0"/>
        <w:jc w:val="both"/>
        <w:rPr>
          <w:color w:val="0070C0"/>
          <w:sz w:val="16"/>
          <w:szCs w:val="16"/>
        </w:rPr>
      </w:pPr>
      <w:r w:rsidRPr="00507A31">
        <w:rPr>
          <w:color w:val="0070C0"/>
          <w:sz w:val="16"/>
          <w:szCs w:val="16"/>
        </w:rPr>
        <w:t xml:space="preserve">К 15 февраля 1930 года, когда "Большевик" закончил первый этап разработки Т-19, стало ясно, что масса танка приближается к 8 тоннам. На это 9 февраля пришло письмо за подписью К.Б. Калиновского, одного из ключевых людей в советских танковых войсках и на тот момент ВРИД начальника УММ КА Он назвал превышение массы недопустимым, заодно выкатив измененные требования. Теперь скорость 25 км/ч была средней, а максимальной - 30 км/ч. А еще к Т-19 должны были цепляться надувные поплавки, благодаря чему обеспечивалась плавучесть. Это товарищ Калиновский явно подсмотрел у немцев, которые с 1929 года на ТЕКО под Казанью испытывали свои средние танки Großtraktor. Причем на плаву Т-19 должен был развивать скорость не менее 5-6 км/ч (20842). </w:t>
      </w:r>
    </w:p>
    <w:p w14:paraId="19DEAC26" w14:textId="77777777" w:rsidR="0011253F" w:rsidRPr="00507A31" w:rsidRDefault="0011253F" w:rsidP="00507A31">
      <w:pPr>
        <w:pStyle w:val="article-renderblock"/>
        <w:shd w:val="clear" w:color="auto" w:fill="FFFFFF"/>
        <w:spacing w:before="0" w:beforeAutospacing="0" w:after="0" w:afterAutospacing="0"/>
        <w:jc w:val="both"/>
        <w:rPr>
          <w:color w:val="0070C0"/>
          <w:sz w:val="16"/>
          <w:szCs w:val="16"/>
        </w:rPr>
      </w:pPr>
    </w:p>
    <w:p w14:paraId="12130E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1930 г. большая военная делегация из 12 офицеров во главе с Уборевичем уже была в Берлине. Ей предстояло посетить целый ряд фирм («К. Цайсс», «Тиль», «Райнметалл»), принять участие в испытаниях 4 готовых артсистем на полигоне «Райнметалла» и подписать окончательный договор (11784).</w:t>
      </w:r>
    </w:p>
    <w:p w14:paraId="002909B5" w14:textId="77777777" w:rsidR="00537E5F" w:rsidRPr="00507A31" w:rsidRDefault="00537E5F" w:rsidP="00507A31">
      <w:pPr>
        <w:autoSpaceDE w:val="0"/>
        <w:autoSpaceDN w:val="0"/>
        <w:adjustRightInd w:val="0"/>
        <w:jc w:val="both"/>
        <w:rPr>
          <w:color w:val="000000" w:themeColor="text1"/>
          <w:sz w:val="16"/>
          <w:szCs w:val="16"/>
        </w:rPr>
      </w:pPr>
    </w:p>
    <w:p w14:paraId="41661C33" w14:textId="77777777" w:rsidR="00C31E35" w:rsidRPr="00507A31" w:rsidRDefault="00C31E35" w:rsidP="00507A31">
      <w:pPr>
        <w:jc w:val="both"/>
        <w:rPr>
          <w:color w:val="000000" w:themeColor="text1"/>
          <w:sz w:val="16"/>
          <w:szCs w:val="16"/>
          <w:u w:color="002060"/>
        </w:rPr>
      </w:pPr>
      <w:r w:rsidRPr="00507A31">
        <w:rPr>
          <w:color w:val="000000" w:themeColor="text1"/>
          <w:sz w:val="16"/>
          <w:szCs w:val="16"/>
          <w:u w:color="002060"/>
        </w:rPr>
        <w:t>15 февраля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об отмене постановления СТО от 13 января 1930 г. об образовании треста общесоюзного значения в составе оружейного завода им. Воскова (РГАЭ. Ф. 2097. Оп. 1. Д. 986. Л. 18) (12415).</w:t>
      </w:r>
    </w:p>
    <w:p w14:paraId="0554BA42" w14:textId="77777777" w:rsidR="00C31E35" w:rsidRPr="00507A31" w:rsidRDefault="00C31E35" w:rsidP="00507A31">
      <w:pPr>
        <w:jc w:val="both"/>
        <w:rPr>
          <w:color w:val="000000" w:themeColor="text1"/>
          <w:sz w:val="16"/>
          <w:szCs w:val="16"/>
          <w:u w:color="002060"/>
        </w:rPr>
      </w:pPr>
    </w:p>
    <w:p w14:paraId="1E7A1CCB" w14:textId="77777777" w:rsidR="00C31E35" w:rsidRPr="00507A31" w:rsidRDefault="00C31E35" w:rsidP="00507A31">
      <w:pPr>
        <w:jc w:val="both"/>
        <w:rPr>
          <w:color w:val="000000" w:themeColor="text1"/>
          <w:sz w:val="16"/>
          <w:szCs w:val="16"/>
          <w:u w:color="002060"/>
        </w:rPr>
      </w:pPr>
      <w:r w:rsidRPr="00507A31">
        <w:rPr>
          <w:color w:val="000000" w:themeColor="text1"/>
          <w:sz w:val="16"/>
          <w:szCs w:val="16"/>
          <w:u w:color="002060"/>
        </w:rPr>
        <w:t>15 февраля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117. 5. О судостроении на заводах Юга и Дальнего Востока (Куйбышев). (Политбюро... Т. 2. С. 18) (12416).</w:t>
      </w:r>
    </w:p>
    <w:p w14:paraId="4DAF4EAB" w14:textId="77777777" w:rsidR="00C31E35" w:rsidRPr="00507A31" w:rsidRDefault="00C31E35" w:rsidP="00507A31">
      <w:pPr>
        <w:jc w:val="both"/>
        <w:rPr>
          <w:color w:val="000000" w:themeColor="text1"/>
          <w:sz w:val="16"/>
          <w:szCs w:val="16"/>
          <w:u w:color="002060"/>
        </w:rPr>
      </w:pPr>
    </w:p>
    <w:p w14:paraId="5969D56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C2DB899" w14:textId="77777777" w:rsidR="00537E5F" w:rsidRPr="00507A31" w:rsidRDefault="00537E5F" w:rsidP="00507A31">
      <w:pPr>
        <w:autoSpaceDE w:val="0"/>
        <w:autoSpaceDN w:val="0"/>
        <w:adjustRightInd w:val="0"/>
        <w:jc w:val="both"/>
        <w:rPr>
          <w:iCs/>
          <w:color w:val="000000" w:themeColor="text1"/>
          <w:sz w:val="16"/>
          <w:szCs w:val="16"/>
        </w:rPr>
      </w:pPr>
    </w:p>
    <w:p w14:paraId="110FA50B" w14:textId="77777777" w:rsidR="00C31E35" w:rsidRPr="00507A31" w:rsidRDefault="00C31E35" w:rsidP="00507A31">
      <w:pPr>
        <w:jc w:val="both"/>
        <w:rPr>
          <w:color w:val="000000" w:themeColor="text1"/>
          <w:sz w:val="16"/>
          <w:szCs w:val="16"/>
        </w:rPr>
      </w:pPr>
      <w:r w:rsidRPr="00507A31">
        <w:rPr>
          <w:rStyle w:val="a7"/>
          <w:b w:val="0"/>
          <w:color w:val="000000" w:themeColor="text1"/>
          <w:sz w:val="16"/>
          <w:szCs w:val="16"/>
        </w:rPr>
        <w:t xml:space="preserve">15 февраля 1930 </w:t>
      </w:r>
      <w:r w:rsidRPr="00507A31">
        <w:rPr>
          <w:color w:val="000000" w:themeColor="text1"/>
          <w:sz w:val="16"/>
          <w:szCs w:val="16"/>
        </w:rPr>
        <w:t>Политбюро ЦК ВКП (б) одобрило проект декрета о конверсии государственных займов индустриализации и выпуске займа «Пятилетка в четыре года» и решение совещания заместителей председателя СНК о распределении дополнительных ресурсов по финплану на 1929/30 г., обратив внимание заместителей на необходимость изыскать дополнительные средства на черную металлургию в размере 80-90 млн. руб.; предложило ВСНХ, НКЗ, НКПС и Наркомторгу в двухмесячный срок разработать план хозяйственного развития Казахстана на оставшиеся три года пятилетки; признало возможным продлить срок представления плана подготовки кадров для народного хозяйства до 1 апреля 1930 г. и разработать к этому времени вопрос о передаче втузов, вузов и техникумов соответствующим наркоматам; приняло постановление об основных хозяйственных проблемах Средне-Волжского края, предложив увеличить темпы развития промышленности в крае (12265).</w:t>
      </w:r>
    </w:p>
    <w:p w14:paraId="203B5A36" w14:textId="77777777" w:rsidR="00C31E35" w:rsidRPr="00507A31" w:rsidRDefault="00C31E35" w:rsidP="00507A31">
      <w:pPr>
        <w:jc w:val="both"/>
        <w:rPr>
          <w:color w:val="000000" w:themeColor="text1"/>
          <w:sz w:val="16"/>
          <w:szCs w:val="16"/>
        </w:rPr>
      </w:pPr>
      <w:r w:rsidRPr="00507A31">
        <w:rPr>
          <w:color w:val="000000" w:themeColor="text1"/>
          <w:sz w:val="16"/>
          <w:szCs w:val="16"/>
        </w:rPr>
        <w:t> </w:t>
      </w:r>
    </w:p>
    <w:p w14:paraId="20007A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1930 года Политбюро ЦК принимает решение о необходимости издания уже отдельными брошюрами статей Кржижановского и Крыленко о вредительстве. Причем эти же брошюры было признано необходимым издать также на немецком, французском и английском языках. Для того чтобы с ними мог ознакомиться международный пролетариат (11248).</w:t>
      </w:r>
    </w:p>
    <w:p w14:paraId="4D6737EB" w14:textId="77777777" w:rsidR="00537E5F" w:rsidRPr="00507A31" w:rsidRDefault="00537E5F" w:rsidP="00507A31">
      <w:pPr>
        <w:autoSpaceDE w:val="0"/>
        <w:autoSpaceDN w:val="0"/>
        <w:adjustRightInd w:val="0"/>
        <w:jc w:val="both"/>
        <w:rPr>
          <w:color w:val="000000" w:themeColor="text1"/>
          <w:sz w:val="16"/>
          <w:szCs w:val="16"/>
        </w:rPr>
      </w:pPr>
    </w:p>
    <w:p w14:paraId="0BD902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1930 вышла Спецсводка ОГПУ: "При ликвидации кулаков как класса изъято из обращения в массовых операциях и при индивидуальных чистках 64 589 человек, из них в ходе подготовительных операций (1 категории) 52 166 человек, а в ходе массовых операций - 12.423 человека" (10687).</w:t>
      </w:r>
    </w:p>
    <w:p w14:paraId="1F4375F9" w14:textId="77777777" w:rsidR="00537E5F" w:rsidRPr="00507A31" w:rsidRDefault="00537E5F" w:rsidP="00507A31">
      <w:pPr>
        <w:autoSpaceDE w:val="0"/>
        <w:autoSpaceDN w:val="0"/>
        <w:adjustRightInd w:val="0"/>
        <w:jc w:val="both"/>
        <w:rPr>
          <w:color w:val="000000" w:themeColor="text1"/>
          <w:sz w:val="16"/>
          <w:szCs w:val="16"/>
        </w:rPr>
      </w:pPr>
    </w:p>
    <w:p w14:paraId="7A11A560" w14:textId="77777777" w:rsidR="00537E5F" w:rsidRPr="00507A31" w:rsidRDefault="00AC7355" w:rsidP="00507A31">
      <w:pPr>
        <w:autoSpaceDE w:val="0"/>
        <w:autoSpaceDN w:val="0"/>
        <w:adjustRightInd w:val="0"/>
        <w:jc w:val="both"/>
        <w:rPr>
          <w:iCs/>
          <w:color w:val="000000" w:themeColor="text1"/>
          <w:sz w:val="16"/>
          <w:szCs w:val="16"/>
          <w:lang w:val="en-US"/>
        </w:rPr>
      </w:pPr>
      <w:r w:rsidRPr="00507A31">
        <w:rPr>
          <w:i/>
          <w:iCs/>
          <w:color w:val="000000" w:themeColor="text1"/>
          <w:sz w:val="16"/>
          <w:szCs w:val="16"/>
        </w:rPr>
        <w:t>За</w:t>
      </w:r>
      <w:r w:rsidRPr="00507A31">
        <w:rPr>
          <w:i/>
          <w:iCs/>
          <w:color w:val="000000" w:themeColor="text1"/>
          <w:sz w:val="16"/>
          <w:szCs w:val="16"/>
          <w:lang w:val="en-US"/>
        </w:rPr>
        <w:t xml:space="preserve"> </w:t>
      </w:r>
      <w:r w:rsidRPr="00507A31">
        <w:rPr>
          <w:i/>
          <w:iCs/>
          <w:color w:val="000000" w:themeColor="text1"/>
          <w:sz w:val="16"/>
          <w:szCs w:val="16"/>
        </w:rPr>
        <w:t>рубежом</w:t>
      </w:r>
      <w:r w:rsidRPr="00507A31">
        <w:rPr>
          <w:i/>
          <w:iCs/>
          <w:color w:val="000000" w:themeColor="text1"/>
          <w:sz w:val="16"/>
          <w:szCs w:val="16"/>
          <w:lang w:val="en-US"/>
        </w:rPr>
        <w:t>:</w:t>
      </w:r>
    </w:p>
    <w:p w14:paraId="12023E80" w14:textId="77777777" w:rsidR="00537E5F" w:rsidRPr="00507A31" w:rsidRDefault="00537E5F" w:rsidP="00507A31">
      <w:pPr>
        <w:autoSpaceDE w:val="0"/>
        <w:autoSpaceDN w:val="0"/>
        <w:adjustRightInd w:val="0"/>
        <w:jc w:val="both"/>
        <w:rPr>
          <w:iCs/>
          <w:color w:val="000000" w:themeColor="text1"/>
          <w:sz w:val="16"/>
          <w:szCs w:val="16"/>
          <w:lang w:val="en-US"/>
        </w:rPr>
      </w:pPr>
    </w:p>
    <w:p w14:paraId="7B247A41" w14:textId="77777777" w:rsidR="00537E5F" w:rsidRPr="00507A31" w:rsidRDefault="00537E5F" w:rsidP="00507A31">
      <w:pPr>
        <w:autoSpaceDE w:val="0"/>
        <w:autoSpaceDN w:val="0"/>
        <w:adjustRightInd w:val="0"/>
        <w:jc w:val="both"/>
        <w:rPr>
          <w:color w:val="000000" w:themeColor="text1"/>
          <w:sz w:val="16"/>
          <w:szCs w:val="16"/>
          <w:lang w:val="en-US"/>
        </w:rPr>
      </w:pPr>
      <w:r w:rsidRPr="00507A31">
        <w:rPr>
          <w:color w:val="000000" w:themeColor="text1"/>
          <w:sz w:val="16"/>
          <w:szCs w:val="16"/>
          <w:lang w:val="en-US"/>
        </w:rPr>
        <w:t>February 15, 1930 The design of retractable landing gear, particularly attractive for use in fighting planes because of its promise to improve performance and thereby enhance military value, had progressed to the point that the Naval Aircraft Factory was authorized to construct working models as a means of establishing the practicability of various retracting mechanisms (1090).</w:t>
      </w:r>
    </w:p>
    <w:p w14:paraId="417313F0" w14:textId="1AFEF18A" w:rsidR="00537E5F" w:rsidRPr="00507A31" w:rsidRDefault="00537E5F" w:rsidP="00507A31">
      <w:pPr>
        <w:autoSpaceDE w:val="0"/>
        <w:autoSpaceDN w:val="0"/>
        <w:adjustRightInd w:val="0"/>
        <w:jc w:val="both"/>
        <w:rPr>
          <w:color w:val="000000" w:themeColor="text1"/>
          <w:sz w:val="16"/>
          <w:szCs w:val="16"/>
          <w:lang w:val="en-US"/>
        </w:rPr>
      </w:pPr>
    </w:p>
    <w:p w14:paraId="4184F700" w14:textId="6A5B628A" w:rsidR="0011253F" w:rsidRPr="00507A31" w:rsidRDefault="0011253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1930 в США начали разработку убирающегося шасси (1090).</w:t>
      </w:r>
    </w:p>
    <w:p w14:paraId="55CC55A8" w14:textId="77777777" w:rsidR="0011253F" w:rsidRPr="00507A31" w:rsidRDefault="0011253F" w:rsidP="00507A31">
      <w:pPr>
        <w:autoSpaceDE w:val="0"/>
        <w:autoSpaceDN w:val="0"/>
        <w:adjustRightInd w:val="0"/>
        <w:jc w:val="both"/>
        <w:rPr>
          <w:color w:val="000000" w:themeColor="text1"/>
          <w:sz w:val="16"/>
          <w:szCs w:val="16"/>
        </w:rPr>
      </w:pPr>
    </w:p>
    <w:p w14:paraId="3ADD44F3" w14:textId="77777777" w:rsidR="0011253F" w:rsidRPr="00507A31" w:rsidRDefault="0011253F" w:rsidP="00507A31">
      <w:pPr>
        <w:jc w:val="both"/>
        <w:rPr>
          <w:color w:val="0070C0"/>
          <w:sz w:val="16"/>
          <w:szCs w:val="16"/>
        </w:rPr>
      </w:pPr>
      <w:r w:rsidRPr="00507A31">
        <w:rPr>
          <w:color w:val="0070C0"/>
          <w:sz w:val="16"/>
          <w:szCs w:val="16"/>
        </w:rPr>
        <w:t>15 февраля 1930 итальянский теоретик авиации Джулио Дуэ умирает в возрасте 60 лет (20805).</w:t>
      </w:r>
    </w:p>
    <w:p w14:paraId="55AAE2B0" w14:textId="77777777" w:rsidR="0011253F" w:rsidRPr="00507A31" w:rsidRDefault="0011253F" w:rsidP="00507A31">
      <w:pPr>
        <w:jc w:val="both"/>
        <w:rPr>
          <w:color w:val="0070C0"/>
          <w:sz w:val="16"/>
          <w:szCs w:val="16"/>
        </w:rPr>
      </w:pPr>
    </w:p>
    <w:p w14:paraId="76D0AFA2" w14:textId="77777777" w:rsidR="004562A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Другие оборонные отрасли:</w:t>
      </w:r>
    </w:p>
    <w:p w14:paraId="3EEEC4B3" w14:textId="77777777" w:rsidR="004562AE" w:rsidRPr="00507A31" w:rsidRDefault="004562AE" w:rsidP="00507A31">
      <w:pPr>
        <w:autoSpaceDE w:val="0"/>
        <w:autoSpaceDN w:val="0"/>
        <w:adjustRightInd w:val="0"/>
        <w:jc w:val="both"/>
        <w:rPr>
          <w:iCs/>
          <w:color w:val="000000" w:themeColor="text1"/>
          <w:sz w:val="16"/>
          <w:szCs w:val="16"/>
        </w:rPr>
      </w:pPr>
    </w:p>
    <w:p w14:paraId="68FCE1C3" w14:textId="77777777" w:rsidR="004562AE" w:rsidRPr="00507A31" w:rsidRDefault="004562AE" w:rsidP="00507A31">
      <w:pPr>
        <w:shd w:val="clear" w:color="auto" w:fill="FFFFFF"/>
        <w:jc w:val="both"/>
        <w:rPr>
          <w:color w:val="000000" w:themeColor="text1"/>
          <w:sz w:val="16"/>
          <w:szCs w:val="16"/>
        </w:rPr>
      </w:pPr>
      <w:r w:rsidRPr="00507A31">
        <w:rPr>
          <w:bCs/>
          <w:iCs/>
          <w:color w:val="000000" w:themeColor="text1"/>
          <w:sz w:val="16"/>
          <w:szCs w:val="16"/>
        </w:rPr>
        <w:t>16 февраля 1930 г.</w:t>
      </w:r>
      <w:r w:rsidRPr="00507A31">
        <w:rPr>
          <w:color w:val="000000" w:themeColor="text1"/>
          <w:sz w:val="16"/>
          <w:szCs w:val="16"/>
        </w:rPr>
        <w:t xml:space="preserve"> Письмо Военно-санитарного управления РККА в адрес ВОХИМУ РККА с согласием на проведение химических опытов на людях («</w:t>
      </w:r>
      <w:r w:rsidRPr="00507A31">
        <w:rPr>
          <w:bCs/>
          <w:iCs/>
          <w:color w:val="000000" w:themeColor="text1"/>
          <w:sz w:val="16"/>
          <w:szCs w:val="16"/>
        </w:rPr>
        <w:t>применение испытаний ОВ на людях</w:t>
      </w:r>
      <w:r w:rsidRPr="00507A31">
        <w:rPr>
          <w:iCs/>
          <w:color w:val="000000" w:themeColor="text1"/>
          <w:sz w:val="16"/>
          <w:szCs w:val="16"/>
        </w:rPr>
        <w:t xml:space="preserve">, не только в целях уточнения имеющихся выводов о действии ОВ на организм, но и в целях ознакомления личного состава Красной Армии с ОВ и мерами борьбы с ними, </w:t>
      </w:r>
      <w:r w:rsidRPr="00507A31">
        <w:rPr>
          <w:bCs/>
          <w:iCs/>
          <w:color w:val="000000" w:themeColor="text1"/>
          <w:sz w:val="16"/>
          <w:szCs w:val="16"/>
        </w:rPr>
        <w:t>возражений принципиально не встречает</w:t>
      </w:r>
      <w:r w:rsidRPr="00507A31">
        <w:rPr>
          <w:color w:val="000000" w:themeColor="text1"/>
          <w:sz w:val="16"/>
          <w:szCs w:val="16"/>
        </w:rPr>
        <w:t>»). Документ был предварительно согласован с наркомом здравоохранения РСФСР Н.А.Семашко, его резолюция на обращении ВОХИМУ гласила: «</w:t>
      </w:r>
      <w:r w:rsidRPr="00507A31">
        <w:rPr>
          <w:iCs/>
          <w:color w:val="000000" w:themeColor="text1"/>
          <w:sz w:val="16"/>
          <w:szCs w:val="16"/>
        </w:rPr>
        <w:t>Вопрос нужно научно проработать и уточнить</w:t>
      </w:r>
      <w:r w:rsidRPr="00507A31">
        <w:rPr>
          <w:color w:val="000000" w:themeColor="text1"/>
          <w:sz w:val="16"/>
          <w:szCs w:val="16"/>
        </w:rPr>
        <w:t>» (17133).</w:t>
      </w:r>
    </w:p>
    <w:p w14:paraId="486DF4C5" w14:textId="77777777" w:rsidR="004562AE" w:rsidRPr="00507A31" w:rsidRDefault="004562AE" w:rsidP="00507A31">
      <w:pPr>
        <w:shd w:val="clear" w:color="auto" w:fill="FFFFFF"/>
        <w:jc w:val="both"/>
        <w:rPr>
          <w:color w:val="000000" w:themeColor="text1"/>
          <w:sz w:val="16"/>
          <w:szCs w:val="16"/>
        </w:rPr>
      </w:pPr>
    </w:p>
    <w:p w14:paraId="3D53F7D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958D25E" w14:textId="77777777" w:rsidR="00537E5F" w:rsidRPr="00507A31" w:rsidRDefault="00537E5F" w:rsidP="00507A31">
      <w:pPr>
        <w:autoSpaceDE w:val="0"/>
        <w:autoSpaceDN w:val="0"/>
        <w:adjustRightInd w:val="0"/>
        <w:jc w:val="both"/>
        <w:rPr>
          <w:iCs/>
          <w:color w:val="000000" w:themeColor="text1"/>
          <w:sz w:val="16"/>
          <w:szCs w:val="16"/>
        </w:rPr>
      </w:pPr>
    </w:p>
    <w:p w14:paraId="3F8B4E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февраля 1930 И.Сталин телеграфировал первому секретарю Западно-Сибирского крайкома ВКП(б) Эйхе: "Недопустимо, что Сибирь и Казахстан не были готовы для приема ссыльных. Сибирь должна непременно принять 15.000 семей уже в конце апреля" (10687).</w:t>
      </w:r>
    </w:p>
    <w:p w14:paraId="5E4A4D67" w14:textId="77777777" w:rsidR="00537E5F" w:rsidRPr="00507A31" w:rsidRDefault="00537E5F" w:rsidP="00507A31">
      <w:pPr>
        <w:autoSpaceDE w:val="0"/>
        <w:autoSpaceDN w:val="0"/>
        <w:adjustRightInd w:val="0"/>
        <w:jc w:val="both"/>
        <w:rPr>
          <w:color w:val="000000" w:themeColor="text1"/>
          <w:sz w:val="16"/>
          <w:szCs w:val="16"/>
        </w:rPr>
      </w:pPr>
    </w:p>
    <w:p w14:paraId="63885FC7" w14:textId="77777777" w:rsidR="00C51A9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1CF3CB3" w14:textId="77777777" w:rsidR="00C51A9F" w:rsidRPr="00507A31" w:rsidRDefault="00C51A9F" w:rsidP="00507A31">
      <w:pPr>
        <w:autoSpaceDE w:val="0"/>
        <w:autoSpaceDN w:val="0"/>
        <w:adjustRightInd w:val="0"/>
        <w:jc w:val="both"/>
        <w:rPr>
          <w:iCs/>
          <w:color w:val="000000" w:themeColor="text1"/>
          <w:sz w:val="16"/>
          <w:szCs w:val="16"/>
        </w:rPr>
      </w:pPr>
    </w:p>
    <w:p w14:paraId="0658459F" w14:textId="77777777" w:rsidR="00C51A9F" w:rsidRPr="00507A31" w:rsidRDefault="00C51A9F" w:rsidP="00507A31">
      <w:pPr>
        <w:jc w:val="both"/>
        <w:rPr>
          <w:color w:val="000000" w:themeColor="text1"/>
          <w:sz w:val="16"/>
          <w:szCs w:val="16"/>
        </w:rPr>
      </w:pPr>
      <w:r w:rsidRPr="00507A31">
        <w:rPr>
          <w:color w:val="000000" w:themeColor="text1"/>
          <w:sz w:val="16"/>
          <w:szCs w:val="16"/>
        </w:rPr>
        <w:t>17, 20 и 21 февраля 1930 г. заводские испытания танка Т-12 под руководством помощника начальника тракторного цеха С.Н. Махонина и начальника КБ И.Н. Алексенко были продолжены (12303).</w:t>
      </w:r>
    </w:p>
    <w:p w14:paraId="037386C9" w14:textId="77777777" w:rsidR="00C51A9F" w:rsidRPr="00507A31" w:rsidRDefault="00C51A9F" w:rsidP="00507A31">
      <w:pPr>
        <w:jc w:val="both"/>
        <w:rPr>
          <w:color w:val="000000" w:themeColor="text1"/>
          <w:sz w:val="16"/>
          <w:szCs w:val="16"/>
        </w:rPr>
      </w:pPr>
    </w:p>
    <w:p w14:paraId="020682F6" w14:textId="77777777" w:rsidR="00B71C22" w:rsidRPr="00507A31" w:rsidRDefault="00B71C22" w:rsidP="00507A31">
      <w:pPr>
        <w:jc w:val="both"/>
        <w:rPr>
          <w:color w:val="000000" w:themeColor="text1"/>
          <w:sz w:val="16"/>
          <w:szCs w:val="16"/>
        </w:rPr>
      </w:pPr>
      <w:r w:rsidRPr="00507A31">
        <w:rPr>
          <w:color w:val="000000" w:themeColor="text1"/>
          <w:sz w:val="16"/>
          <w:szCs w:val="16"/>
        </w:rPr>
        <w:t>17 февраля 1930 г. выходит постановлением правления ВЭО о реорганизации радиозавода им. Коминтерна. Завод объединяется с ЦРЛ в комплексную научно-производственную организацию – Центральную радиолабораторию-завод (ЦРЛЗ) им. Коминтерна, на которую были возложены функции опытного завода по реализации научных разработок ЦРЛ и вновь формируемой отраслевой радиолаборатории передающих устройств (ОРПУ). В состав ОРПУ вошли лаборатории ЦРЛ и завода, занимавшиеся разработкой передатчиков, а также Бюро мощного радиостроения (БМР) бывшего ЭТЗСТ. Руководитель этого бюро – Александр Львович Минц – становится заведующим ОРПУ (18297).</w:t>
      </w:r>
    </w:p>
    <w:p w14:paraId="4EDAD98E" w14:textId="77777777" w:rsidR="00B71C22" w:rsidRPr="00507A31" w:rsidRDefault="00B71C22" w:rsidP="00507A31">
      <w:pPr>
        <w:jc w:val="both"/>
        <w:rPr>
          <w:color w:val="000000" w:themeColor="text1"/>
          <w:sz w:val="16"/>
          <w:szCs w:val="16"/>
        </w:rPr>
      </w:pPr>
    </w:p>
    <w:p w14:paraId="3CD90CBF" w14:textId="77777777" w:rsidR="00B71C22" w:rsidRPr="00507A31" w:rsidRDefault="00B71C22" w:rsidP="00507A31">
      <w:pPr>
        <w:jc w:val="both"/>
        <w:rPr>
          <w:color w:val="000000" w:themeColor="text1"/>
          <w:sz w:val="16"/>
          <w:szCs w:val="16"/>
        </w:rPr>
      </w:pPr>
      <w:r w:rsidRPr="00507A31">
        <w:rPr>
          <w:color w:val="000000" w:themeColor="text1"/>
          <w:sz w:val="16"/>
          <w:szCs w:val="16"/>
        </w:rPr>
        <w:t>17 февраля 1930 г. выходит постановление Правления ВЭО о реорга</w:t>
      </w:r>
      <w:r w:rsidRPr="00507A31">
        <w:rPr>
          <w:color w:val="000000" w:themeColor="text1"/>
          <w:sz w:val="16"/>
          <w:szCs w:val="16"/>
        </w:rPr>
        <w:softHyphen/>
        <w:t>низации радиозавода им. Коминтерна. Завод объединяется с ЦРЛ в комплекс</w:t>
      </w:r>
      <w:r w:rsidRPr="00507A31">
        <w:rPr>
          <w:color w:val="000000" w:themeColor="text1"/>
          <w:sz w:val="16"/>
          <w:szCs w:val="16"/>
        </w:rPr>
        <w:softHyphen/>
        <w:t>ную научно-производственную организацию - Центральную радиолаборато</w:t>
      </w:r>
      <w:r w:rsidRPr="00507A31">
        <w:rPr>
          <w:color w:val="000000" w:themeColor="text1"/>
          <w:sz w:val="16"/>
          <w:szCs w:val="16"/>
        </w:rPr>
        <w:softHyphen/>
        <w:t>рию - завод (ЦРЛЗ) им. Коминтерна, на которую были возложены функции опытного завода по реализации научных разработок ЦРЛ и вновь формируе</w:t>
      </w:r>
      <w:r w:rsidRPr="00507A31">
        <w:rPr>
          <w:color w:val="000000" w:themeColor="text1"/>
          <w:sz w:val="16"/>
          <w:szCs w:val="16"/>
        </w:rPr>
        <w:softHyphen/>
        <w:t>мой отраслевой радиолаборатории передающих устройств (ОРПУ) . В состав ОРПУ вошли лаборатории ЦРЛ и завода, занимавшиеся разработкой передат</w:t>
      </w:r>
      <w:r w:rsidRPr="00507A31">
        <w:rPr>
          <w:color w:val="000000" w:themeColor="text1"/>
          <w:sz w:val="16"/>
          <w:szCs w:val="16"/>
        </w:rPr>
        <w:softHyphen/>
        <w:t>чиков, а также БМР. Заведующим ОРПУ становится А.Л. Минц.</w:t>
      </w:r>
    </w:p>
    <w:p w14:paraId="6DCAD9B8" w14:textId="77777777" w:rsidR="00B71C22" w:rsidRPr="00507A31" w:rsidRDefault="00B71C22" w:rsidP="00507A31">
      <w:pPr>
        <w:jc w:val="both"/>
        <w:rPr>
          <w:color w:val="000000" w:themeColor="text1"/>
          <w:sz w:val="16"/>
          <w:szCs w:val="16"/>
        </w:rPr>
      </w:pPr>
      <w:r w:rsidRPr="00507A31">
        <w:rPr>
          <w:color w:val="000000" w:themeColor="text1"/>
          <w:sz w:val="16"/>
          <w:szCs w:val="16"/>
        </w:rPr>
        <w:t>Объединение ЦРЛ с заводом рассматривалось как централизация сил на технических направлениях, актуальных для народного хозяйства, и как сбли</w:t>
      </w:r>
      <w:r w:rsidRPr="00507A31">
        <w:rPr>
          <w:color w:val="000000" w:themeColor="text1"/>
          <w:sz w:val="16"/>
          <w:szCs w:val="16"/>
        </w:rPr>
        <w:softHyphen/>
        <w:t>жение науки с производством. Но создание объединения не принесло желае</w:t>
      </w:r>
      <w:r w:rsidRPr="00507A31">
        <w:rPr>
          <w:color w:val="000000" w:themeColor="text1"/>
          <w:sz w:val="16"/>
          <w:szCs w:val="16"/>
        </w:rPr>
        <w:softHyphen/>
        <w:t>мых результатов. В сентябре 1931 г. была проведена обратная реорганизация (19098).</w:t>
      </w:r>
    </w:p>
    <w:p w14:paraId="1A0F5BFC" w14:textId="77777777" w:rsidR="00B71C22" w:rsidRPr="00507A31" w:rsidRDefault="00B71C22" w:rsidP="00507A31">
      <w:pPr>
        <w:jc w:val="both"/>
        <w:rPr>
          <w:color w:val="000000" w:themeColor="text1"/>
          <w:sz w:val="16"/>
          <w:szCs w:val="16"/>
        </w:rPr>
      </w:pPr>
    </w:p>
    <w:p w14:paraId="5A489B0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E6F41A4" w14:textId="77777777" w:rsidR="00537E5F" w:rsidRPr="00507A31" w:rsidRDefault="00537E5F" w:rsidP="00507A31">
      <w:pPr>
        <w:autoSpaceDE w:val="0"/>
        <w:autoSpaceDN w:val="0"/>
        <w:adjustRightInd w:val="0"/>
        <w:jc w:val="both"/>
        <w:rPr>
          <w:iCs/>
          <w:color w:val="000000" w:themeColor="text1"/>
          <w:sz w:val="16"/>
          <w:szCs w:val="16"/>
        </w:rPr>
      </w:pPr>
    </w:p>
    <w:p w14:paraId="7D3606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февраля 1930 Балкария. В Чегемском и Эльбрусском районах началось восстание под лозунгами "Долой коммунистов и колхозы!" и "Да здравствует свободная жизнь в свободной Балкарии". Оно было в основном подавлено к концу апреля. Многих повстанцев заставили сдаться угрозы в отношении родственников (10687).</w:t>
      </w:r>
    </w:p>
    <w:p w14:paraId="1CB6427F" w14:textId="77777777" w:rsidR="00537E5F" w:rsidRPr="00507A31" w:rsidRDefault="00537E5F" w:rsidP="00507A31">
      <w:pPr>
        <w:autoSpaceDE w:val="0"/>
        <w:autoSpaceDN w:val="0"/>
        <w:adjustRightInd w:val="0"/>
        <w:jc w:val="both"/>
        <w:rPr>
          <w:color w:val="000000" w:themeColor="text1"/>
          <w:sz w:val="16"/>
          <w:szCs w:val="16"/>
        </w:rPr>
      </w:pPr>
    </w:p>
    <w:p w14:paraId="1721B2E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2D99E5E" w14:textId="77777777" w:rsidR="00537E5F" w:rsidRPr="00507A31" w:rsidRDefault="00537E5F" w:rsidP="00507A31">
      <w:pPr>
        <w:autoSpaceDE w:val="0"/>
        <w:autoSpaceDN w:val="0"/>
        <w:adjustRightInd w:val="0"/>
        <w:jc w:val="both"/>
        <w:rPr>
          <w:iCs/>
          <w:color w:val="000000" w:themeColor="text1"/>
          <w:sz w:val="16"/>
          <w:szCs w:val="16"/>
        </w:rPr>
      </w:pPr>
    </w:p>
    <w:p w14:paraId="41A2A728" w14:textId="77777777" w:rsidR="00974066" w:rsidRPr="00507A31" w:rsidRDefault="00974066" w:rsidP="00507A31">
      <w:pPr>
        <w:jc w:val="both"/>
        <w:rPr>
          <w:color w:val="0070C0"/>
          <w:sz w:val="16"/>
          <w:szCs w:val="16"/>
        </w:rPr>
      </w:pPr>
      <w:r w:rsidRPr="00507A31">
        <w:rPr>
          <w:color w:val="0070C0"/>
          <w:sz w:val="16"/>
          <w:szCs w:val="16"/>
        </w:rPr>
        <w:t>17 февраля 1930 - Первый полёт трёхмоторного пассажирского самолёта Farman F.301.</w:t>
      </w:r>
    </w:p>
    <w:p w14:paraId="17F37729" w14:textId="77777777" w:rsidR="00974066" w:rsidRPr="00507A31" w:rsidRDefault="00974066" w:rsidP="00507A31">
      <w:pPr>
        <w:jc w:val="both"/>
        <w:rPr>
          <w:color w:val="0070C0"/>
          <w:sz w:val="16"/>
          <w:szCs w:val="16"/>
        </w:rPr>
      </w:pPr>
      <w:r w:rsidRPr="00507A31">
        <w:rPr>
          <w:color w:val="0070C0"/>
          <w:sz w:val="16"/>
          <w:szCs w:val="16"/>
        </w:rPr>
        <w:t>F.301 являлся серийным вариантом серии F.300 со звездообразными двигателями Salmson 9Ab. Работы над прототипом серии начались в ответ на потребность иметь для маршрутов средней дальности авиалайнер повышенной надёжности (отсюда и 3 двигателя).</w:t>
      </w:r>
    </w:p>
    <w:p w14:paraId="722F1A43" w14:textId="77777777" w:rsidR="00974066" w:rsidRPr="00507A31" w:rsidRDefault="00974066" w:rsidP="00507A31">
      <w:pPr>
        <w:jc w:val="both"/>
        <w:rPr>
          <w:color w:val="0070C0"/>
          <w:sz w:val="16"/>
          <w:szCs w:val="16"/>
        </w:rPr>
      </w:pPr>
      <w:r w:rsidRPr="00507A31">
        <w:rPr>
          <w:color w:val="0070C0"/>
          <w:sz w:val="16"/>
          <w:szCs w:val="16"/>
        </w:rPr>
        <w:t>Конструктивно — типичный для 1930-х годов подкосный моноплан с крылом толстого профиля (подобная схема была, например, на голландском Fokker Trimotor). Кабина пилотом располагалась сразу за передним двигателем, перед крылом. За ней находился комфортный салон на 8 пассажиров.</w:t>
      </w:r>
    </w:p>
    <w:p w14:paraId="140F694A" w14:textId="77777777" w:rsidR="00974066" w:rsidRPr="00507A31" w:rsidRDefault="00974066" w:rsidP="00507A31">
      <w:pPr>
        <w:jc w:val="both"/>
        <w:rPr>
          <w:color w:val="0070C0"/>
          <w:sz w:val="16"/>
          <w:szCs w:val="16"/>
        </w:rPr>
      </w:pPr>
      <w:r w:rsidRPr="00507A31">
        <w:rPr>
          <w:color w:val="0070C0"/>
          <w:sz w:val="16"/>
          <w:szCs w:val="16"/>
        </w:rPr>
        <w:t>Было выпущено 6 самолётов Farman F.301, названные "Etoile d'Argent" («Серебряная звезда»). Все они эксплуатировались собственной авиакомпанией фирмы Farman — Société Générale des Transports Aériens. В рамках серии F.300 построили 20 самолётов. 14 из них в 1933 году войдут в состав флота новосозданной авиакомпании Air France (22595).</w:t>
      </w:r>
    </w:p>
    <w:p w14:paraId="2E46F38E" w14:textId="77777777" w:rsidR="00974066" w:rsidRPr="00507A31" w:rsidRDefault="00974066" w:rsidP="00507A31">
      <w:pPr>
        <w:jc w:val="both"/>
        <w:rPr>
          <w:color w:val="0070C0"/>
          <w:sz w:val="16"/>
          <w:szCs w:val="16"/>
        </w:rPr>
      </w:pPr>
    </w:p>
    <w:p w14:paraId="72FA66D9" w14:textId="77777777" w:rsidR="00974066" w:rsidRPr="00507A31" w:rsidRDefault="00974066" w:rsidP="00507A31">
      <w:pPr>
        <w:jc w:val="both"/>
        <w:rPr>
          <w:color w:val="0070C0"/>
          <w:sz w:val="16"/>
          <w:szCs w:val="16"/>
        </w:rPr>
      </w:pPr>
      <w:r w:rsidRPr="00507A31">
        <w:rPr>
          <w:color w:val="0070C0"/>
          <w:sz w:val="16"/>
          <w:szCs w:val="16"/>
        </w:rPr>
        <w:t>17 февраля 1930 пожар уничтожает мастерские Société d'Aviation Letord в Медоне, Франция, а также самолеты, в том числе первый Couzinet 20 и Couzinet 27 Arc-en-ciel II (20805).</w:t>
      </w:r>
    </w:p>
    <w:p w14:paraId="0B4891FD" w14:textId="77777777" w:rsidR="00974066" w:rsidRPr="00507A31" w:rsidRDefault="00974066" w:rsidP="00507A31">
      <w:pPr>
        <w:jc w:val="both"/>
        <w:rPr>
          <w:color w:val="0070C0"/>
          <w:sz w:val="16"/>
          <w:szCs w:val="16"/>
        </w:rPr>
      </w:pPr>
    </w:p>
    <w:p w14:paraId="719D2A14" w14:textId="77777777" w:rsidR="004562AE" w:rsidRPr="00507A31" w:rsidRDefault="004562AE" w:rsidP="00507A31">
      <w:pPr>
        <w:jc w:val="both"/>
        <w:rPr>
          <w:color w:val="000000" w:themeColor="text1"/>
          <w:sz w:val="16"/>
          <w:szCs w:val="16"/>
        </w:rPr>
      </w:pPr>
      <w:r w:rsidRPr="00507A31">
        <w:rPr>
          <w:bCs/>
          <w:color w:val="000000" w:themeColor="text1"/>
          <w:sz w:val="16"/>
          <w:szCs w:val="16"/>
        </w:rPr>
        <w:t>17 февраля</w:t>
      </w:r>
      <w:r w:rsidRPr="00507A31">
        <w:rPr>
          <w:color w:val="000000" w:themeColor="text1"/>
          <w:sz w:val="16"/>
          <w:szCs w:val="16"/>
        </w:rPr>
        <w:t xml:space="preserve"> в 1930 году сгорел вместе с ангаром экспериментальный самолет для дальних перелетов </w:t>
      </w:r>
      <w:hyperlink r:id="rId29" w:tgtFrame="_blank" w:history="1">
        <w:r w:rsidRPr="00507A31">
          <w:rPr>
            <w:color w:val="000000" w:themeColor="text1"/>
            <w:sz w:val="16"/>
            <w:szCs w:val="16"/>
          </w:rPr>
          <w:t xml:space="preserve">«Couzinet 27» «Arc en ciel». </w:t>
        </w:r>
      </w:hyperlink>
    </w:p>
    <w:p w14:paraId="3564285F" w14:textId="77777777" w:rsidR="004562AE" w:rsidRPr="00507A31" w:rsidRDefault="004562AE" w:rsidP="00507A31">
      <w:pPr>
        <w:jc w:val="both"/>
        <w:rPr>
          <w:color w:val="000000" w:themeColor="text1"/>
          <w:sz w:val="16"/>
          <w:szCs w:val="16"/>
        </w:rPr>
      </w:pPr>
    </w:p>
    <w:p w14:paraId="5E6D8C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февраля 1930 в США упал крупный каменный метеорит Парагулд (3960, 67).</w:t>
      </w:r>
    </w:p>
    <w:p w14:paraId="2BBA52E4" w14:textId="77777777" w:rsidR="00537E5F" w:rsidRPr="00507A31" w:rsidRDefault="00537E5F" w:rsidP="00507A31">
      <w:pPr>
        <w:autoSpaceDE w:val="0"/>
        <w:autoSpaceDN w:val="0"/>
        <w:adjustRightInd w:val="0"/>
        <w:jc w:val="both"/>
        <w:rPr>
          <w:color w:val="000000" w:themeColor="text1"/>
          <w:sz w:val="16"/>
          <w:szCs w:val="16"/>
        </w:rPr>
      </w:pPr>
    </w:p>
    <w:p w14:paraId="260AB558" w14:textId="77777777" w:rsidR="00C55CAB" w:rsidRPr="00507A31" w:rsidRDefault="00C55CAB" w:rsidP="00507A31">
      <w:pPr>
        <w:shd w:val="clear" w:color="auto" w:fill="FFFFFF"/>
        <w:jc w:val="both"/>
        <w:rPr>
          <w:color w:val="000000" w:themeColor="text1"/>
          <w:sz w:val="16"/>
          <w:szCs w:val="16"/>
        </w:rPr>
      </w:pPr>
      <w:r w:rsidRPr="00507A31">
        <w:rPr>
          <w:color w:val="000000" w:themeColor="text1"/>
          <w:sz w:val="16"/>
          <w:szCs w:val="16"/>
        </w:rPr>
        <w:t>17 февраля 1930 г. введены единые цены на керосин и бензин в Аргентине (</w:t>
      </w:r>
      <w:r w:rsidRPr="00507A31">
        <w:rPr>
          <w:bCs/>
          <w:iCs/>
          <w:color w:val="000000" w:themeColor="text1"/>
          <w:sz w:val="16"/>
          <w:szCs w:val="16"/>
        </w:rPr>
        <w:t xml:space="preserve">«Очерки истории Аргентины», М., ИСЭЛ, 1961): </w:t>
      </w:r>
      <w:r w:rsidRPr="00507A31">
        <w:rPr>
          <w:bCs/>
          <w:color w:val="000000" w:themeColor="text1"/>
          <w:sz w:val="16"/>
          <w:szCs w:val="16"/>
        </w:rPr>
        <w:t xml:space="preserve">«Важнейшее мероприятие правительств радикалов — это национализация основных нефтяных источников Аргентины и создание государственной нефтяной монополии — Ясимьентос Петролиферос Фискалес (ЯПФ). Нефть в тот период была «центральным фактором империалистического проникновения». 1 августа 1929 г. государственная организация «Нефтяные месторождения» установила контроль над производством нефти и ее распределением. Фактически это означало национализацию нефтяных источников. </w:t>
      </w:r>
      <w:r w:rsidRPr="00507A31">
        <w:rPr>
          <w:color w:val="000000" w:themeColor="text1"/>
          <w:sz w:val="16"/>
          <w:szCs w:val="16"/>
        </w:rPr>
        <w:t>17 февраля 1930 г.</w:t>
      </w:r>
      <w:r w:rsidRPr="00507A31">
        <w:rPr>
          <w:bCs/>
          <w:color w:val="000000" w:themeColor="text1"/>
          <w:sz w:val="16"/>
          <w:szCs w:val="16"/>
        </w:rPr>
        <w:t xml:space="preserve"> правительство ввело единые цены на керосин и бензин для всей страны.» (17325).</w:t>
      </w:r>
    </w:p>
    <w:p w14:paraId="03DBB382" w14:textId="77777777" w:rsidR="00C55CAB" w:rsidRPr="00507A31" w:rsidRDefault="00C55CAB" w:rsidP="00507A31">
      <w:pPr>
        <w:autoSpaceDE w:val="0"/>
        <w:autoSpaceDN w:val="0"/>
        <w:adjustRightInd w:val="0"/>
        <w:jc w:val="both"/>
        <w:rPr>
          <w:color w:val="000000" w:themeColor="text1"/>
          <w:sz w:val="16"/>
          <w:szCs w:val="16"/>
        </w:rPr>
      </w:pPr>
    </w:p>
    <w:p w14:paraId="1E824118" w14:textId="77777777" w:rsidR="004562A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607F869" w14:textId="77777777" w:rsidR="004562AE" w:rsidRPr="00507A31" w:rsidRDefault="004562AE" w:rsidP="00507A31">
      <w:pPr>
        <w:autoSpaceDE w:val="0"/>
        <w:autoSpaceDN w:val="0"/>
        <w:adjustRightInd w:val="0"/>
        <w:jc w:val="both"/>
        <w:rPr>
          <w:iCs/>
          <w:color w:val="000000" w:themeColor="text1"/>
          <w:sz w:val="16"/>
          <w:szCs w:val="16"/>
        </w:rPr>
      </w:pPr>
    </w:p>
    <w:p w14:paraId="7AD17A94" w14:textId="77777777" w:rsidR="004562AE" w:rsidRPr="00507A31" w:rsidRDefault="004562AE" w:rsidP="00507A31">
      <w:pPr>
        <w:jc w:val="both"/>
        <w:rPr>
          <w:color w:val="000000" w:themeColor="text1"/>
          <w:sz w:val="16"/>
          <w:szCs w:val="16"/>
        </w:rPr>
      </w:pPr>
      <w:r w:rsidRPr="00507A31">
        <w:rPr>
          <w:color w:val="000000" w:themeColor="text1"/>
          <w:sz w:val="16"/>
          <w:szCs w:val="16"/>
        </w:rPr>
        <w:t>18 фе</w:t>
      </w:r>
      <w:r w:rsidRPr="00507A31">
        <w:rPr>
          <w:color w:val="000000" w:themeColor="text1"/>
          <w:sz w:val="16"/>
          <w:szCs w:val="16"/>
        </w:rPr>
        <w:softHyphen/>
        <w:t>враля 1930 член коллегии ОГПУ Г. И. Благонравов (который был одно</w:t>
      </w:r>
      <w:r w:rsidRPr="00507A31">
        <w:rPr>
          <w:color w:val="000000" w:themeColor="text1"/>
          <w:sz w:val="16"/>
          <w:szCs w:val="16"/>
        </w:rPr>
        <w:softHyphen/>
        <w:t>временно зам. наркома путей сообщения) сообщил руководите</w:t>
      </w:r>
      <w:r w:rsidRPr="00507A31">
        <w:rPr>
          <w:color w:val="000000" w:themeColor="text1"/>
          <w:sz w:val="16"/>
          <w:szCs w:val="16"/>
        </w:rPr>
        <w:softHyphen/>
        <w:t>лям  ЭПРОНа , что коллегия ОГПУ обсудила предложение о пере</w:t>
      </w:r>
      <w:r w:rsidRPr="00507A31">
        <w:rPr>
          <w:color w:val="000000" w:themeColor="text1"/>
          <w:sz w:val="16"/>
          <w:szCs w:val="16"/>
        </w:rPr>
        <w:softHyphen/>
        <w:t>даче всего  ЭПРОНа  в НКПС, но по настоянию В. Р. Менжинского, эта передача признана нецелесообразной. Однако время существования  ЭПРОНа  в структуре ОГПУ бли</w:t>
      </w:r>
      <w:r w:rsidRPr="00507A31">
        <w:rPr>
          <w:color w:val="000000" w:themeColor="text1"/>
          <w:sz w:val="16"/>
          <w:szCs w:val="16"/>
        </w:rPr>
        <w:softHyphen/>
        <w:t>зилось к концу (15509).</w:t>
      </w:r>
    </w:p>
    <w:p w14:paraId="515886EF" w14:textId="77777777" w:rsidR="004562AE" w:rsidRPr="00507A31" w:rsidRDefault="004562AE" w:rsidP="00507A31">
      <w:pPr>
        <w:jc w:val="both"/>
        <w:rPr>
          <w:color w:val="000000" w:themeColor="text1"/>
          <w:sz w:val="16"/>
          <w:szCs w:val="16"/>
        </w:rPr>
      </w:pPr>
    </w:p>
    <w:p w14:paraId="4C3D72B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C67966C" w14:textId="77777777" w:rsidR="00537E5F" w:rsidRPr="00507A31" w:rsidRDefault="00537E5F" w:rsidP="00507A31">
      <w:pPr>
        <w:autoSpaceDE w:val="0"/>
        <w:autoSpaceDN w:val="0"/>
        <w:adjustRightInd w:val="0"/>
        <w:jc w:val="both"/>
        <w:rPr>
          <w:iCs/>
          <w:color w:val="000000" w:themeColor="text1"/>
          <w:sz w:val="16"/>
          <w:szCs w:val="16"/>
        </w:rPr>
      </w:pPr>
    </w:p>
    <w:p w14:paraId="5D029E4D" w14:textId="77777777" w:rsidR="00B71C22" w:rsidRPr="00507A31" w:rsidRDefault="00B71C22" w:rsidP="00507A31">
      <w:pPr>
        <w:jc w:val="both"/>
        <w:rPr>
          <w:color w:val="000000" w:themeColor="text1"/>
          <w:sz w:val="16"/>
          <w:szCs w:val="16"/>
        </w:rPr>
      </w:pPr>
      <w:r w:rsidRPr="00507A31">
        <w:rPr>
          <w:color w:val="000000" w:themeColor="text1"/>
          <w:sz w:val="16"/>
          <w:szCs w:val="16"/>
        </w:rPr>
        <w:t>18 февраля 1930. Из Оружейной палаты Кремля изъяли большое количество серебряных произведений прикладного искусства, в том числе "Орловский сервиз" работы французских мастеров XVIII века, для продажи за рубежом (18725).</w:t>
      </w:r>
    </w:p>
    <w:p w14:paraId="487FCD8F" w14:textId="77777777" w:rsidR="00B71C22" w:rsidRPr="00507A31" w:rsidRDefault="00B71C22" w:rsidP="00507A31">
      <w:pPr>
        <w:jc w:val="both"/>
        <w:rPr>
          <w:color w:val="000000" w:themeColor="text1"/>
          <w:sz w:val="16"/>
          <w:szCs w:val="16"/>
        </w:rPr>
      </w:pPr>
    </w:p>
    <w:p w14:paraId="69FDBB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февраля 1930 вышло Постановление пленума ВС СССР о применении к кулакам 58 статьи УК СССР (10687).</w:t>
      </w:r>
    </w:p>
    <w:p w14:paraId="46193FB8" w14:textId="77777777" w:rsidR="00537E5F" w:rsidRPr="00507A31" w:rsidRDefault="00537E5F" w:rsidP="00507A31">
      <w:pPr>
        <w:autoSpaceDE w:val="0"/>
        <w:autoSpaceDN w:val="0"/>
        <w:adjustRightInd w:val="0"/>
        <w:jc w:val="both"/>
        <w:rPr>
          <w:color w:val="000000" w:themeColor="text1"/>
          <w:sz w:val="16"/>
          <w:szCs w:val="16"/>
        </w:rPr>
      </w:pPr>
    </w:p>
    <w:p w14:paraId="51AE56C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844D1F6" w14:textId="77777777" w:rsidR="00537E5F" w:rsidRPr="00507A31" w:rsidRDefault="00537E5F" w:rsidP="00507A31">
      <w:pPr>
        <w:autoSpaceDE w:val="0"/>
        <w:autoSpaceDN w:val="0"/>
        <w:adjustRightInd w:val="0"/>
        <w:jc w:val="both"/>
        <w:rPr>
          <w:iCs/>
          <w:color w:val="000000" w:themeColor="text1"/>
          <w:sz w:val="16"/>
          <w:szCs w:val="16"/>
        </w:rPr>
      </w:pPr>
    </w:p>
    <w:p w14:paraId="73379B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февраля 1930 в США впервые подняли в на самолете воздух корову Элли Фарм Олли. Там ее доили и сбрасывали молоко в пакетах на маленьких парашютах над Сент-Луисом (3263,87).</w:t>
      </w:r>
    </w:p>
    <w:p w14:paraId="37644548" w14:textId="77777777" w:rsidR="00537E5F" w:rsidRPr="00507A31" w:rsidRDefault="00537E5F" w:rsidP="00507A31">
      <w:pPr>
        <w:autoSpaceDE w:val="0"/>
        <w:autoSpaceDN w:val="0"/>
        <w:adjustRightInd w:val="0"/>
        <w:jc w:val="both"/>
        <w:rPr>
          <w:color w:val="000000" w:themeColor="text1"/>
          <w:sz w:val="16"/>
          <w:szCs w:val="16"/>
        </w:rPr>
      </w:pPr>
    </w:p>
    <w:p w14:paraId="1CC2B1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февраля 1930 Клайд Томбо обнаружил 9-ю планету - Плутон. Сообщил - 13 марта (3263,87).</w:t>
      </w:r>
    </w:p>
    <w:p w14:paraId="7427F1FF" w14:textId="77777777" w:rsidR="00537E5F" w:rsidRPr="00507A31" w:rsidRDefault="00537E5F" w:rsidP="00507A31">
      <w:pPr>
        <w:autoSpaceDE w:val="0"/>
        <w:autoSpaceDN w:val="0"/>
        <w:adjustRightInd w:val="0"/>
        <w:jc w:val="both"/>
        <w:rPr>
          <w:color w:val="000000" w:themeColor="text1"/>
          <w:sz w:val="16"/>
          <w:szCs w:val="16"/>
        </w:rPr>
      </w:pPr>
    </w:p>
    <w:p w14:paraId="3B7BB8E6" w14:textId="77777777" w:rsidR="00AA783B" w:rsidRPr="00507A31" w:rsidRDefault="00AA783B" w:rsidP="00507A31">
      <w:pPr>
        <w:shd w:val="clear" w:color="auto" w:fill="FFFFFF"/>
        <w:jc w:val="both"/>
        <w:rPr>
          <w:iCs/>
          <w:color w:val="000000" w:themeColor="text1"/>
          <w:sz w:val="16"/>
          <w:szCs w:val="16"/>
        </w:rPr>
      </w:pPr>
      <w:r w:rsidRPr="00507A31">
        <w:rPr>
          <w:color w:val="000000" w:themeColor="text1"/>
          <w:sz w:val="16"/>
          <w:szCs w:val="16"/>
        </w:rPr>
        <w:t>18 февраля 1930 г. Клайд Томбаг– 24-летний американский астроном из обсерватории Лоуэлла в Флагстаффе, Аризона, открыл новую 9-ю планету – Плутон (17325).</w:t>
      </w:r>
    </w:p>
    <w:p w14:paraId="147133BD" w14:textId="77777777" w:rsidR="00AA783B" w:rsidRPr="00507A31" w:rsidRDefault="00AA783B" w:rsidP="00507A31">
      <w:pPr>
        <w:autoSpaceDE w:val="0"/>
        <w:autoSpaceDN w:val="0"/>
        <w:adjustRightInd w:val="0"/>
        <w:jc w:val="both"/>
        <w:rPr>
          <w:iCs/>
          <w:color w:val="000000" w:themeColor="text1"/>
          <w:sz w:val="16"/>
          <w:szCs w:val="16"/>
        </w:rPr>
      </w:pPr>
    </w:p>
    <w:p w14:paraId="55DA878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B8DB316" w14:textId="77777777" w:rsidR="00537E5F" w:rsidRPr="00507A31" w:rsidRDefault="00537E5F" w:rsidP="00507A31">
      <w:pPr>
        <w:autoSpaceDE w:val="0"/>
        <w:autoSpaceDN w:val="0"/>
        <w:adjustRightInd w:val="0"/>
        <w:jc w:val="both"/>
        <w:rPr>
          <w:iCs/>
          <w:color w:val="000000" w:themeColor="text1"/>
          <w:sz w:val="16"/>
          <w:szCs w:val="16"/>
        </w:rPr>
      </w:pPr>
    </w:p>
    <w:p w14:paraId="461C2E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 февраля 1930 г. появилось ПРЕДЛОЖЕНИЕ НАМИ ПО ПРИВЛЕЧЕНИЮ СОТРУДНИКОВ УММ К ВЕДЕНИЮ НИОКР В ИНСТИТУТЕ</w:t>
      </w:r>
    </w:p>
    <w:p w14:paraId="4232D6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334B84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Научный автомоторный институт считает необходимым в интересах усиления работ по конст</w:t>
      </w:r>
      <w:r w:rsidRPr="00507A31">
        <w:rPr>
          <w:color w:val="000000" w:themeColor="text1"/>
          <w:sz w:val="16"/>
          <w:szCs w:val="16"/>
        </w:rPr>
        <w:softHyphen/>
        <w:t>руированию новых типов автомобилей и тракторов, а также в целях содействия работникам УММ по повышению их квалификации и по ведению непосредственно научно-исследовательских и кон</w:t>
      </w:r>
      <w:r w:rsidRPr="00507A31">
        <w:rPr>
          <w:color w:val="000000" w:themeColor="text1"/>
          <w:sz w:val="16"/>
          <w:szCs w:val="16"/>
        </w:rPr>
        <w:softHyphen/>
        <w:t>структорских работ, внести Управлению моторизации следующее предложение:</w:t>
      </w:r>
    </w:p>
    <w:p w14:paraId="732AB8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Предоставить инженерам, сотрудникам УММ и его Научно-исследовательского комитета воз-</w:t>
      </w:r>
    </w:p>
    <w:p w14:paraId="48F1F5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можность ведения научно-исследовательских и конструкторских работ в стенах НАМИ по преиму</w:t>
      </w:r>
      <w:r w:rsidRPr="00507A31">
        <w:rPr>
          <w:color w:val="000000" w:themeColor="text1"/>
          <w:sz w:val="16"/>
          <w:szCs w:val="16"/>
        </w:rPr>
        <w:softHyphen/>
        <w:t>ществу по работам, поставленным в Институте по заданиям УММ.</w:t>
      </w:r>
    </w:p>
    <w:p w14:paraId="0553E5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Наиболее удобным Институт полагал бы сформирование из инженеров УММ особых групп, по</w:t>
      </w:r>
      <w:r w:rsidRPr="00507A31">
        <w:rPr>
          <w:color w:val="000000" w:themeColor="text1"/>
          <w:sz w:val="16"/>
          <w:szCs w:val="16"/>
        </w:rPr>
        <w:softHyphen/>
        <w:t>рядок работ коих был бы несколько отличным от порядка работы сотрудников института в связи с особыми условиями совместительства.</w:t>
      </w:r>
    </w:p>
    <w:p w14:paraId="7E8C7C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этом случае институт считает целесообразным обеспечить такие группы максимально квалифи</w:t>
      </w:r>
      <w:r w:rsidRPr="00507A31">
        <w:rPr>
          <w:color w:val="000000" w:themeColor="text1"/>
          <w:sz w:val="16"/>
          <w:szCs w:val="16"/>
        </w:rPr>
        <w:softHyphen/>
        <w:t>цированным руководством из числа работников НАМИ, что кроме обеспечения качества работ, также обеспечило бы наиболее возможный для института уровень содействия работникам УММ в повыше</w:t>
      </w:r>
      <w:r w:rsidRPr="00507A31">
        <w:rPr>
          <w:color w:val="000000" w:themeColor="text1"/>
          <w:sz w:val="16"/>
          <w:szCs w:val="16"/>
        </w:rPr>
        <w:softHyphen/>
        <w:t>нии их квалификации.</w:t>
      </w:r>
    </w:p>
    <w:p w14:paraId="6E8AF2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НАМИ полагает, что данное предложение одновременно ответит на следующие задачи:</w:t>
      </w:r>
    </w:p>
    <w:p w14:paraId="6394F4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Общее увеличение количества научно-исследовательской и конструкторской продукции.</w:t>
      </w:r>
    </w:p>
    <w:p w14:paraId="64699E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Приближение работников УММ и его НТК к непосредственной научно-исследовательской и конструкторской работе.</w:t>
      </w:r>
    </w:p>
    <w:p w14:paraId="42EAAB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Помощь работникам УММ и самому Управлению моторизации в повышении квалификации его инженерно-технических кадров. Просьба ответить незамедлительно.</w:t>
      </w:r>
    </w:p>
    <w:p w14:paraId="3FD215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директора НАМИ</w:t>
      </w:r>
    </w:p>
    <w:p w14:paraId="799C86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1.Д. 255. Л. 17. Подлинник (11210).</w:t>
      </w:r>
    </w:p>
    <w:p w14:paraId="04ECAB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2FF014B" w14:textId="77777777" w:rsidR="00974066" w:rsidRPr="00507A31" w:rsidRDefault="00974066" w:rsidP="00507A31">
      <w:pPr>
        <w:jc w:val="both"/>
        <w:rPr>
          <w:color w:val="0070C0"/>
          <w:sz w:val="16"/>
          <w:szCs w:val="16"/>
        </w:rPr>
      </w:pPr>
      <w:r w:rsidRPr="00507A31">
        <w:rPr>
          <w:color w:val="0070C0"/>
          <w:sz w:val="16"/>
          <w:szCs w:val="16"/>
        </w:rPr>
        <w:t>19 февраля 1930 НАМИ выступил с предложени</w:t>
      </w:r>
      <w:r w:rsidRPr="00507A31">
        <w:rPr>
          <w:color w:val="0070C0"/>
          <w:sz w:val="16"/>
          <w:szCs w:val="16"/>
        </w:rPr>
        <w:softHyphen/>
        <w:t>ем по привлечению сотрудников Управления мото</w:t>
      </w:r>
      <w:r w:rsidRPr="00507A31">
        <w:rPr>
          <w:color w:val="0070C0"/>
          <w:sz w:val="16"/>
          <w:szCs w:val="16"/>
        </w:rPr>
        <w:softHyphen/>
        <w:t>ризации и механизации (УММ) РККА непосредствен</w:t>
      </w:r>
      <w:r w:rsidRPr="00507A31">
        <w:rPr>
          <w:color w:val="0070C0"/>
          <w:sz w:val="16"/>
          <w:szCs w:val="16"/>
        </w:rPr>
        <w:softHyphen/>
        <w:t>но к участию в научно-исследовательских и конст</w:t>
      </w:r>
      <w:r w:rsidRPr="00507A31">
        <w:rPr>
          <w:color w:val="0070C0"/>
          <w:sz w:val="16"/>
          <w:szCs w:val="16"/>
        </w:rPr>
        <w:softHyphen/>
        <w:t>рукторских работах (22518).</w:t>
      </w:r>
    </w:p>
    <w:p w14:paraId="2BE1506C" w14:textId="77777777" w:rsidR="00974066" w:rsidRPr="00507A31" w:rsidRDefault="00974066" w:rsidP="00507A31">
      <w:pPr>
        <w:jc w:val="both"/>
        <w:rPr>
          <w:color w:val="0070C0"/>
          <w:sz w:val="16"/>
          <w:szCs w:val="16"/>
        </w:rPr>
      </w:pPr>
    </w:p>
    <w:p w14:paraId="0686155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0EE22C4" w14:textId="77777777" w:rsidR="00537E5F" w:rsidRPr="00507A31" w:rsidRDefault="00537E5F" w:rsidP="00507A31">
      <w:pPr>
        <w:autoSpaceDE w:val="0"/>
        <w:autoSpaceDN w:val="0"/>
        <w:adjustRightInd w:val="0"/>
        <w:jc w:val="both"/>
        <w:rPr>
          <w:iCs/>
          <w:color w:val="000000" w:themeColor="text1"/>
          <w:sz w:val="16"/>
          <w:szCs w:val="16"/>
        </w:rPr>
      </w:pPr>
    </w:p>
    <w:p w14:paraId="2AB8A9D2" w14:textId="77777777" w:rsidR="00AA2406" w:rsidRPr="00507A31" w:rsidRDefault="007328FE" w:rsidP="00507A31">
      <w:pPr>
        <w:autoSpaceDE w:val="0"/>
        <w:autoSpaceDN w:val="0"/>
        <w:adjustRightInd w:val="0"/>
        <w:jc w:val="both"/>
        <w:rPr>
          <w:color w:val="000000" w:themeColor="text1"/>
          <w:sz w:val="16"/>
          <w:szCs w:val="16"/>
        </w:rPr>
      </w:pPr>
      <w:r w:rsidRPr="00507A31">
        <w:rPr>
          <w:color w:val="000000" w:themeColor="text1"/>
          <w:sz w:val="16"/>
          <w:szCs w:val="16"/>
        </w:rPr>
        <w:t>19 февраля 1930 года</w:t>
      </w:r>
      <w:r w:rsidR="00AA2406" w:rsidRPr="00507A31">
        <w:rPr>
          <w:bCs/>
          <w:color w:val="000000" w:themeColor="text1"/>
          <w:sz w:val="16"/>
          <w:szCs w:val="16"/>
        </w:rPr>
        <w:t>Бухарин</w:t>
      </w:r>
      <w:r w:rsidRPr="00507A31">
        <w:rPr>
          <w:bCs/>
          <w:color w:val="000000" w:themeColor="text1"/>
          <w:sz w:val="16"/>
          <w:szCs w:val="16"/>
        </w:rPr>
        <w:t>, который</w:t>
      </w:r>
      <w:r w:rsidRPr="00507A31">
        <w:rPr>
          <w:color w:val="000000" w:themeColor="text1"/>
          <w:sz w:val="16"/>
          <w:szCs w:val="16"/>
        </w:rPr>
        <w:t>был сторонником НЭПа и 17 мая 1921 г. выдвинул лозунг «</w:t>
      </w:r>
      <w:r w:rsidRPr="00507A31">
        <w:rPr>
          <w:bCs/>
          <w:iCs/>
          <w:color w:val="000000" w:themeColor="text1"/>
          <w:sz w:val="16"/>
          <w:szCs w:val="16"/>
        </w:rPr>
        <w:t>обогащайтесь!</w:t>
      </w:r>
      <w:r w:rsidRPr="00507A31">
        <w:rPr>
          <w:color w:val="000000" w:themeColor="text1"/>
          <w:sz w:val="16"/>
          <w:szCs w:val="16"/>
        </w:rPr>
        <w:t xml:space="preserve">», </w:t>
      </w:r>
      <w:r w:rsidR="00AA2406" w:rsidRPr="00507A31">
        <w:rPr>
          <w:bCs/>
          <w:color w:val="000000" w:themeColor="text1"/>
          <w:sz w:val="16"/>
          <w:szCs w:val="16"/>
        </w:rPr>
        <w:t>в статье «Великая реконструкция», опубликованной в «Правде», писал, что «мы переживаем… крутой перелом с чрезвычайным обострением классовой борьбы… повсюду началось продвижение пролетарских отрядов. Но наиболее отчаянная борьба идет именно в деревне. Здесь быстро и победоносно развивается антикулацкая революция». Бухарин утверждал, что с кулаком «нужно разговаривать языком свинца» (17325).</w:t>
      </w:r>
    </w:p>
    <w:p w14:paraId="0957B75B" w14:textId="77777777" w:rsidR="00AA2406" w:rsidRPr="00507A31" w:rsidRDefault="00AA2406" w:rsidP="00507A31">
      <w:pPr>
        <w:autoSpaceDE w:val="0"/>
        <w:autoSpaceDN w:val="0"/>
        <w:adjustRightInd w:val="0"/>
        <w:jc w:val="both"/>
        <w:rPr>
          <w:color w:val="000000" w:themeColor="text1"/>
          <w:sz w:val="16"/>
          <w:szCs w:val="16"/>
        </w:rPr>
      </w:pPr>
    </w:p>
    <w:p w14:paraId="0521DE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февраля 1930 в Ленинграде трест Рудметаллторг приступил к работам по снятию колоколов с Исакиевского собора (3960, 70).</w:t>
      </w:r>
    </w:p>
    <w:p w14:paraId="7F58F074" w14:textId="77777777" w:rsidR="00537E5F" w:rsidRPr="00507A31" w:rsidRDefault="00537E5F" w:rsidP="00507A31">
      <w:pPr>
        <w:autoSpaceDE w:val="0"/>
        <w:autoSpaceDN w:val="0"/>
        <w:adjustRightInd w:val="0"/>
        <w:jc w:val="both"/>
        <w:rPr>
          <w:color w:val="000000" w:themeColor="text1"/>
          <w:sz w:val="16"/>
          <w:szCs w:val="16"/>
        </w:rPr>
      </w:pPr>
    </w:p>
    <w:p w14:paraId="120D87D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C219DD3" w14:textId="77777777" w:rsidR="00537E5F" w:rsidRPr="00507A31" w:rsidRDefault="00537E5F" w:rsidP="00507A31">
      <w:pPr>
        <w:autoSpaceDE w:val="0"/>
        <w:autoSpaceDN w:val="0"/>
        <w:adjustRightInd w:val="0"/>
        <w:jc w:val="both"/>
        <w:rPr>
          <w:iCs/>
          <w:color w:val="000000" w:themeColor="text1"/>
          <w:sz w:val="16"/>
          <w:szCs w:val="16"/>
        </w:rPr>
      </w:pPr>
    </w:p>
    <w:p w14:paraId="20B063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февраля 1930 в Германии был принят первый Хейнкель HD.55 (1083,7).</w:t>
      </w:r>
    </w:p>
    <w:p w14:paraId="29D864D3" w14:textId="77777777" w:rsidR="00537E5F" w:rsidRPr="00507A31" w:rsidRDefault="00537E5F" w:rsidP="00507A31">
      <w:pPr>
        <w:autoSpaceDE w:val="0"/>
        <w:autoSpaceDN w:val="0"/>
        <w:adjustRightInd w:val="0"/>
        <w:jc w:val="both"/>
        <w:rPr>
          <w:color w:val="000000" w:themeColor="text1"/>
          <w:sz w:val="16"/>
          <w:szCs w:val="16"/>
        </w:rPr>
      </w:pPr>
    </w:p>
    <w:p w14:paraId="6DA0B915" w14:textId="77777777" w:rsidR="004562AE" w:rsidRPr="00507A31" w:rsidRDefault="004562AE" w:rsidP="00507A31">
      <w:pPr>
        <w:jc w:val="both"/>
        <w:rPr>
          <w:color w:val="000000" w:themeColor="text1"/>
          <w:sz w:val="16"/>
          <w:szCs w:val="16"/>
        </w:rPr>
      </w:pPr>
      <w:r w:rsidRPr="00507A31">
        <w:rPr>
          <w:bCs/>
          <w:color w:val="000000" w:themeColor="text1"/>
          <w:sz w:val="16"/>
          <w:szCs w:val="16"/>
        </w:rPr>
        <w:t>19 февраля</w:t>
      </w:r>
      <w:r w:rsidRPr="00507A31">
        <w:rPr>
          <w:color w:val="000000" w:themeColor="text1"/>
          <w:sz w:val="16"/>
          <w:szCs w:val="16"/>
        </w:rPr>
        <w:t xml:space="preserve"> в 1930 году состоялся первый почтовый рейс из Буэнос-Айреса в Майами, выполненный на самолёте </w:t>
      </w:r>
      <w:hyperlink r:id="rId30" w:tgtFrame="_blank" w:history="1">
        <w:r w:rsidRPr="00507A31">
          <w:rPr>
            <w:color w:val="000000" w:themeColor="text1"/>
            <w:sz w:val="16"/>
            <w:szCs w:val="16"/>
          </w:rPr>
          <w:t xml:space="preserve">«Consolidated 16» «Commodore» </w:t>
        </w:r>
      </w:hyperlink>
      <w:r w:rsidRPr="00507A31">
        <w:rPr>
          <w:color w:val="000000" w:themeColor="text1"/>
          <w:sz w:val="16"/>
          <w:szCs w:val="16"/>
        </w:rPr>
        <w:t>(компания «Consolidated», США). Его начал второй экземпляр самолёта, названный "Rio de Janeiro". Однако из-за аварии в Порту-Алегри остальную часть пути выполнила шестёрка «Sikorsky» «S-38», передавая почту друг другу по эстафете. И лишь заключительный отрезок от Сантьяго-де Куба до Майами вновь проделал «Commodore» - «NC660M» "Cuba". Первый рейс продолжался более 5 суток и закончился 25 февраля. Еженедельные регулярные рейсы из Майами в Буэнос-Айрес начались на следующий день. Сами рейсы также продолжались неделю. Из конечных пунктов одновременно отправлялись по одному самолёту. Это была самая протяжённая авиалиния тогдашнего мира - 14 484 км, проходившая через 15 стран. Последний пассажирский "Commodore" был списан 19 февраля 1946 года (15045).</w:t>
      </w:r>
    </w:p>
    <w:p w14:paraId="49E950F1" w14:textId="77777777" w:rsidR="004562AE" w:rsidRPr="00507A31" w:rsidRDefault="004562AE" w:rsidP="00507A31">
      <w:pPr>
        <w:autoSpaceDE w:val="0"/>
        <w:autoSpaceDN w:val="0"/>
        <w:adjustRightInd w:val="0"/>
        <w:jc w:val="both"/>
        <w:rPr>
          <w:color w:val="000000" w:themeColor="text1"/>
          <w:sz w:val="16"/>
          <w:szCs w:val="16"/>
        </w:rPr>
      </w:pPr>
    </w:p>
    <w:p w14:paraId="16D30033" w14:textId="77777777" w:rsidR="00C51A9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7BB656B" w14:textId="77777777" w:rsidR="00C51A9F" w:rsidRPr="00507A31" w:rsidRDefault="00C51A9F" w:rsidP="00507A31">
      <w:pPr>
        <w:autoSpaceDE w:val="0"/>
        <w:autoSpaceDN w:val="0"/>
        <w:adjustRightInd w:val="0"/>
        <w:jc w:val="both"/>
        <w:rPr>
          <w:iCs/>
          <w:color w:val="000000" w:themeColor="text1"/>
          <w:sz w:val="16"/>
          <w:szCs w:val="16"/>
        </w:rPr>
      </w:pPr>
    </w:p>
    <w:p w14:paraId="2B2E78E3" w14:textId="77777777" w:rsidR="00C51A9F" w:rsidRPr="00507A31" w:rsidRDefault="00C51A9F" w:rsidP="00507A31">
      <w:pPr>
        <w:jc w:val="both"/>
        <w:rPr>
          <w:color w:val="000000" w:themeColor="text1"/>
          <w:sz w:val="16"/>
          <w:szCs w:val="16"/>
        </w:rPr>
      </w:pPr>
      <w:r w:rsidRPr="00507A31">
        <w:rPr>
          <w:color w:val="000000" w:themeColor="text1"/>
          <w:sz w:val="16"/>
          <w:szCs w:val="16"/>
        </w:rPr>
        <w:t>20 февраля 1930 г. — Объяснительная записка временно исполняющего обязанности начальника ВВС РККА Я. И. Алксниса в Реввоенсовет СССР к плану и программе опытного строительства ВВС РККА на 1929-1933 гг.</w:t>
      </w:r>
    </w:p>
    <w:p w14:paraId="30E06D17" w14:textId="77777777" w:rsidR="00C51A9F" w:rsidRPr="00507A31" w:rsidRDefault="00C51A9F"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2CC5CFEB"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Представляю план²* и программу опытного строительства ВВС РККА на 1929</w:t>
      </w:r>
      <w:r w:rsidRPr="00507A31">
        <w:rPr>
          <w:color w:val="000000" w:themeColor="text1"/>
          <w:sz w:val="16"/>
          <w:szCs w:val="16"/>
        </w:rPr>
        <w:noBreakHyphen/>
        <w:t>1933 гг. и следующие к нему объяснения. Основным в осуществлении плана является вопрос о постройке моторов. Без решения проблемы мотора весь остальной план опытного строительства не может быть выполнен в соответствии с требованиями системы вооружения РККА.</w:t>
      </w:r>
    </w:p>
    <w:p w14:paraId="3BC62591"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 Представленный план опытного моторостроения в основном удовлетворяет требованиям Штаба РККА к самолетостроению и принят исполнительными организациями, за исключением экспериментального нефтяного мотора ЭНЗ в 1000 НР. От принятия этого задания НАМИ пока отказывается из-за отсутствия соответствующего опыта.</w:t>
      </w:r>
    </w:p>
    <w:p w14:paraId="3B9BF22F"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Вследствие исключительной важности постройки авиационного мотора под нефть мотор ЭНЗ оставлен в плане с тем, что исполнение его будет передано опытным учреждениям в последующие годы пятилетки после изготовления первых экспериментальных моделей нефтяных двигателей.</w:t>
      </w:r>
    </w:p>
    <w:p w14:paraId="68A6CBFD"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2. Выдвинутые УВВС требования в отношении весовых данных моторов полностью приняты промышленностью не были. Веса моторов по сравнению с первоначальными требованиями УВВС повышены: для истребительных — на 20</w:t>
      </w:r>
      <w:r w:rsidRPr="00507A31">
        <w:rPr>
          <w:color w:val="000000" w:themeColor="text1"/>
          <w:sz w:val="16"/>
          <w:szCs w:val="16"/>
        </w:rPr>
        <w:noBreakHyphen/>
        <w:t>40 кг, а для разведчиков и легких бомбардировщиков — на 30</w:t>
      </w:r>
      <w:r w:rsidRPr="00507A31">
        <w:rPr>
          <w:color w:val="000000" w:themeColor="text1"/>
          <w:sz w:val="16"/>
          <w:szCs w:val="16"/>
        </w:rPr>
        <w:noBreakHyphen/>
        <w:t>70 кг. Принятое частичное повышение весов является верхним допустимым пределом.</w:t>
      </w:r>
    </w:p>
    <w:p w14:paraId="61EC9DB9"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При условии осуществления полностью намеченного плана по моторам мы к концу пятилетки значительно поднимемся к уровню заграничной техники по моторостроению, но полностью ее еще не догоним (вероятно, будем иметь опоздание на 1</w:t>
      </w:r>
      <w:r w:rsidRPr="00507A31">
        <w:rPr>
          <w:color w:val="000000" w:themeColor="text1"/>
          <w:sz w:val="16"/>
          <w:szCs w:val="16"/>
        </w:rPr>
        <w:noBreakHyphen/>
        <w:t>1,5 года вместо нынешнего отставания на 3</w:t>
      </w:r>
      <w:r w:rsidRPr="00507A31">
        <w:rPr>
          <w:color w:val="000000" w:themeColor="text1"/>
          <w:sz w:val="16"/>
          <w:szCs w:val="16"/>
        </w:rPr>
        <w:noBreakHyphen/>
        <w:t>4 года).</w:t>
      </w:r>
    </w:p>
    <w:p w14:paraId="4D6BA2DD"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По мере повышения и укрепления металлургической базы необходимо в процессе осуществления плана настойчиво добиваться: а) дальнейшего снижения весовых данных; б) увеличения высотности и в) надежности работ мотора.</w:t>
      </w:r>
    </w:p>
    <w:p w14:paraId="3553DE43"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3. Требования УВВС по высотности приняты исполнителями (кроме мотора для разведчиков и легких бомбардировщиков, по которому Авиатрест гарантирует высотность только в 4 тыс. м), что надо считать минимальным требованием, так как быстрое совершенствование специальных агрегатов для повышения высотности может заставить еще до истечения пятилетки повысить требования к высотности, особенно к моторам для тяжелых бомбардировщиков, для которых пока промышленностью принята высотность лишь в 3,5 тыс. м вместо 5 тыс. м.</w:t>
      </w:r>
    </w:p>
    <w:p w14:paraId="6D829258"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4. Сроки изготовления опытных образцов моторов согласованы полностью с исполнительными организациями и должны быть рассматриваемы как крайние, подлежащие сокращению при проведении плана.</w:t>
      </w:r>
    </w:p>
    <w:p w14:paraId="45352A49"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5. План опытного самолетостроения также принят исполнителями. Отдельные замечания исполнителей по этому плану сводятся к следующему.</w:t>
      </w:r>
    </w:p>
    <w:p w14:paraId="23A41726"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Самолеты ТБ</w:t>
      </w:r>
      <w:r w:rsidRPr="00507A31">
        <w:rPr>
          <w:color w:val="000000" w:themeColor="text1"/>
          <w:sz w:val="16"/>
          <w:szCs w:val="16"/>
        </w:rPr>
        <w:noBreakHyphen/>
        <w:t>2 и ТБ</w:t>
      </w:r>
      <w:r w:rsidRPr="00507A31">
        <w:rPr>
          <w:color w:val="000000" w:themeColor="text1"/>
          <w:sz w:val="16"/>
          <w:szCs w:val="16"/>
        </w:rPr>
        <w:noBreakHyphen/>
        <w:t>3 являются переходными к самолету ТБ</w:t>
      </w:r>
      <w:r w:rsidRPr="00507A31">
        <w:rPr>
          <w:color w:val="000000" w:themeColor="text1"/>
          <w:sz w:val="16"/>
          <w:szCs w:val="16"/>
        </w:rPr>
        <w:noBreakHyphen/>
        <w:t>4, требования Штаба РККА к которому могут быть удовлетворены с большим напряжениям. При этом ЦАГИ (исполнитель) не гарантирует выпуска ТБ</w:t>
      </w:r>
      <w:r w:rsidRPr="00507A31">
        <w:rPr>
          <w:color w:val="000000" w:themeColor="text1"/>
          <w:sz w:val="16"/>
          <w:szCs w:val="16"/>
        </w:rPr>
        <w:noBreakHyphen/>
        <w:t>4 на государственные испытания к июлю 1933 г., а настаивает на оставлении срока — октябрь 1933 г.</w:t>
      </w:r>
    </w:p>
    <w:p w14:paraId="6918E478"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Остальные самолеты плана опытного строительства требованиям Штаба РККА соответствуют. Затруднения ожидаются в достижении в отдельных типах самолетов полностью всех данных, а именно: в самолете ТШ</w:t>
      </w:r>
      <w:r w:rsidRPr="00507A31">
        <w:rPr>
          <w:color w:val="000000" w:themeColor="text1"/>
          <w:sz w:val="16"/>
          <w:szCs w:val="16"/>
        </w:rPr>
        <w:noBreakHyphen/>
        <w:t>1 — скорости в 250 км/ч, в самолете Р</w:t>
      </w:r>
      <w:r w:rsidRPr="00507A31">
        <w:rPr>
          <w:color w:val="000000" w:themeColor="text1"/>
          <w:sz w:val="16"/>
          <w:szCs w:val="16"/>
        </w:rPr>
        <w:noBreakHyphen/>
        <w:t>8 — скороподъемности, МИ</w:t>
      </w:r>
      <w:r w:rsidRPr="00507A31">
        <w:rPr>
          <w:color w:val="000000" w:themeColor="text1"/>
          <w:sz w:val="16"/>
          <w:szCs w:val="16"/>
        </w:rPr>
        <w:noBreakHyphen/>
        <w:t>3 — радиуса действия (1 тыс. км) без понижения прочих данных, И</w:t>
      </w:r>
      <w:r w:rsidRPr="00507A31">
        <w:rPr>
          <w:color w:val="000000" w:themeColor="text1"/>
          <w:sz w:val="16"/>
          <w:szCs w:val="16"/>
        </w:rPr>
        <w:noBreakHyphen/>
        <w:t>9 — скороподъемности и некоторые другие менее существенные.</w:t>
      </w:r>
    </w:p>
    <w:p w14:paraId="7B01BD5C"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УВВС полагает все же необходимым и возможным добиться удовлетворения требований Штаба РККА полностью.</w:t>
      </w:r>
    </w:p>
    <w:p w14:paraId="0CCA7699"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7. В области воздухоплавания основной задачей является постройка новейших образцов привязных аэростатов и аэростатов заграждения³* и приобретение в этом деле надлежащего темпа, который до сих пор являлся неудовлетворительным. Основной исполнитель — Резинотрест с которым план согласован.</w:t>
      </w:r>
    </w:p>
    <w:p w14:paraId="4E348EF1"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8. Объекты пятилетнего плана по специальным службам ВВС соответствуют системе вооружения ВВС, приняты промышленностью и в случае их выполнения дают основания полагать, что к концу пятилетки разрыв с соответствующими отраслями этого дела за границей будет ликвидирован. «Узким» местом следует считать раздел автоматических прицелов для стрельбы, главным образом с турели. Эта задача в полном объеме не разрешена также и за границей.</w:t>
      </w:r>
    </w:p>
    <w:p w14:paraId="515C98B4"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Изготовление прицелов и приборов для бомбометания и стрельбы, а также фотоаппаратуры обеспечивает ТОМП. Бомбардировочное и стрелковое оборудование — Авиатрест. Аэронавигационное и метеорологические приборы — Авиаприбор. Радио и электро — соответствующими заводами через ВТУ. Остальные объекты не размещены, но выполнение их сомнений не вызывает.</w:t>
      </w:r>
    </w:p>
    <w:p w14:paraId="685B1378"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9. Представленный финансовый план составлен по заявкам исполняющих организаций и предусматривает наряду с конструированием и постройкой объектов, перечисленных в плане, еще осуществление исследовательских и экспериментальных работ, необходимых для обеспечения выполнения плана опытного строительства в соответствии с требованиями системы вооружения ВВС, а равно и контрольные затраты по опытному строительству и по подготовке образцов. Суммы являются ориентировочными и подлежат уточнению ежегодно при составлении годового исполнительного плана опытного строительства и при прохождении смет.</w:t>
      </w:r>
    </w:p>
    <w:p w14:paraId="0906D9E2"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lastRenderedPageBreak/>
        <w:t>10. Осуществление плана может быть обеспечено при усилении темпа работ теми органами, которые привлекаются и ведут опытное строительство, используя максимально все достижения нашей и заграничной науки и техники.</w:t>
      </w:r>
    </w:p>
    <w:p w14:paraId="66E16D2B"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Для перестраховки на случай неудач по отдельным объектам самолетов и, особенно, моторов главнейшие из них дублируются между исполнителями. Одновременно план предусматривает расходы на закупку готовых иностранных образцов и на конструирование и постройку некоторых опытных образцов за границей по специальным нашим заданиям в виде дополнительной перестраховки.</w:t>
      </w:r>
    </w:p>
    <w:p w14:paraId="7126020E" w14:textId="77777777" w:rsidR="00C51A9F" w:rsidRPr="00507A31" w:rsidRDefault="00C51A9F"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Врио начальника ВВС РККА </w:t>
      </w:r>
      <w:hyperlink r:id="rId31" w:history="1">
        <w:r w:rsidRPr="00507A31">
          <w:rPr>
            <w:rStyle w:val="af0"/>
            <w:i w:val="0"/>
            <w:color w:val="000000" w:themeColor="text1"/>
            <w:sz w:val="16"/>
            <w:szCs w:val="16"/>
          </w:rPr>
          <w:t>Алкснис</w:t>
        </w:r>
      </w:hyperlink>
    </w:p>
    <w:p w14:paraId="5A29C174" w14:textId="77777777" w:rsidR="00C51A9F" w:rsidRPr="00507A31" w:rsidRDefault="00C51A9F"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0EEF6E6A" w14:textId="77777777" w:rsidR="00C51A9F" w:rsidRPr="00507A31" w:rsidRDefault="00C51A9F" w:rsidP="00507A31">
      <w:pPr>
        <w:pStyle w:val="ae"/>
        <w:spacing w:before="0" w:after="0"/>
        <w:jc w:val="both"/>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Заголовок документа.</w:t>
      </w:r>
    </w:p>
    <w:p w14:paraId="126B81DF"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План опытного строительства воздушного флота на 1929/30</w:t>
      </w:r>
      <w:r w:rsidRPr="00507A31">
        <w:rPr>
          <w:color w:val="000000" w:themeColor="text1"/>
          <w:sz w:val="16"/>
          <w:szCs w:val="16"/>
        </w:rPr>
        <w:noBreakHyphen/>
        <w:t>1932/33 гг. был утвержден на заседании РЗ СТО 30 апреля 1930 г. Планом предписывалось за 4 года изготовить: опытных моторов — 6 шт., самолетов — 32 шт., аэростатов — 9, вооружения (пулеметы, пушки, бомбы) — 47 шт. Расходы по осуществлению плана опытного строительства ВВС были отнесены за счет ВСНХ СССР. Президиум ВСНХ по соглашению с НКВМ должен был обеспечить опытные учреждения ассигнованиями. Все расходы на изготовление рабочих чертежей были отнесены за счет промышленности. (РГВА. Ф. 4. Оп. 1. Д. 1221. Л. 24</w:t>
      </w:r>
      <w:r w:rsidRPr="00507A31">
        <w:rPr>
          <w:color w:val="000000" w:themeColor="text1"/>
          <w:sz w:val="16"/>
          <w:szCs w:val="16"/>
        </w:rPr>
        <w:noBreakHyphen/>
        <w:t>26).</w:t>
      </w:r>
    </w:p>
    <w:p w14:paraId="416205AE"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3* </w:t>
      </w:r>
      <w:r w:rsidRPr="00507A31">
        <w:rPr>
          <w:rStyle w:val="af0"/>
          <w:i w:val="0"/>
          <w:color w:val="000000" w:themeColor="text1"/>
          <w:sz w:val="16"/>
          <w:szCs w:val="16"/>
        </w:rPr>
        <w:t>Аэростат</w:t>
      </w:r>
      <w:r w:rsidRPr="00507A31">
        <w:rPr>
          <w:color w:val="000000" w:themeColor="text1"/>
          <w:sz w:val="16"/>
          <w:szCs w:val="16"/>
        </w:rPr>
        <w:t xml:space="preserve"> (от греч. аэро — воздух и statos — стоящий, неподвижный), летательный аппарат легче воздуха. Подъемная сила аэростата создается заключенным в оболочке газом с плотностью меньшей, чем плотность атмосферного воздуха. Различают аэростаты свободного полета (управляемые и неуправляемые) и привязные (аэростаты заграждения). К управляемым аэростатам относятся дирижабли. В 1930 г. была образована комиссия Политбюро ЦК ВКП(б) по дирижаблестроению. 5 сентября 1930 г. постановлением Политбюро принята трехлетняя программа развития дирижаблестроения в СССР, в соответствии с которой до 1934 г. предполагалось построить 10 дирижаблей, из них: 2 цельнометаллических, 3 полужестких и 5 жестких. Эта программа включала в себя значительную часть опытного строительства, т. к. помимо выбора местности для верфи (район Переславля-Залесского или Поволжье) и обучения личного состава, существовала необходимость в иностранной помощи для организации производства, а также в решении задачи добычи, очистки и транспортировки гелия. Страна обладала богатейшими запасами гелия (был создан специальный Гелиевый комитет при ВСНХ СССР), что представляло большую ценность для дирижаблестроения, т. к. при наполнении корпуса аэростата водородом существовала опасность воспламенения. К тому же гелий не добывался в Европе, что давало возможность взаимовыгодного обмена газа на техническую помощь. Строительство дирижаблей относилось к ведению Всесоюзного объединения гражданского воздушного флота при СТО СССР, но дирижабли предполагалось использовать и военных целях, в качестве стратегических разведчиков, а также ночных бомбардировщиков. В 30</w:t>
      </w:r>
      <w:r w:rsidRPr="00507A31">
        <w:rPr>
          <w:color w:val="000000" w:themeColor="text1"/>
          <w:sz w:val="16"/>
          <w:szCs w:val="16"/>
        </w:rPr>
        <w:noBreakHyphen/>
        <w:t>е годы удалось построить только дирижабли мягкой и полужесткой систем. (РГАЭ. Ф. 4372. Оп. 91. Д. 590а. Л. 84</w:t>
      </w:r>
      <w:r w:rsidRPr="00507A31">
        <w:rPr>
          <w:color w:val="000000" w:themeColor="text1"/>
          <w:sz w:val="16"/>
          <w:szCs w:val="16"/>
        </w:rPr>
        <w:noBreakHyphen/>
        <w:t>82, 100, 103</w:t>
      </w:r>
      <w:r w:rsidRPr="00507A31">
        <w:rPr>
          <w:color w:val="000000" w:themeColor="text1"/>
          <w:sz w:val="16"/>
          <w:szCs w:val="16"/>
        </w:rPr>
        <w:noBreakHyphen/>
        <w:t>102, 106</w:t>
      </w:r>
      <w:r w:rsidRPr="00507A31">
        <w:rPr>
          <w:color w:val="000000" w:themeColor="text1"/>
          <w:sz w:val="16"/>
          <w:szCs w:val="16"/>
        </w:rPr>
        <w:noBreakHyphen/>
        <w:t>106 об. 122</w:t>
      </w:r>
      <w:r w:rsidRPr="00507A31">
        <w:rPr>
          <w:color w:val="000000" w:themeColor="text1"/>
          <w:sz w:val="16"/>
          <w:szCs w:val="16"/>
        </w:rPr>
        <w:noBreakHyphen/>
        <w:t>111; Д. 521. Л. 28).</w:t>
      </w:r>
    </w:p>
    <w:p w14:paraId="6880AA7E" w14:textId="77777777" w:rsidR="00C51A9F" w:rsidRPr="00507A31" w:rsidRDefault="00C51A9F" w:rsidP="00507A31">
      <w:pPr>
        <w:pStyle w:val="ae"/>
        <w:spacing w:before="0" w:after="0"/>
        <w:jc w:val="both"/>
        <w:rPr>
          <w:color w:val="000000" w:themeColor="text1"/>
          <w:sz w:val="16"/>
          <w:szCs w:val="16"/>
        </w:rPr>
      </w:pPr>
      <w:r w:rsidRPr="00507A31">
        <w:rPr>
          <w:color w:val="000000" w:themeColor="text1"/>
          <w:sz w:val="16"/>
          <w:szCs w:val="16"/>
        </w:rPr>
        <w:t>РГАЭ. Ф. 2097. Оп. 1. Д. 950. Л. 38—39 об. Подлинник.</w:t>
      </w:r>
    </w:p>
    <w:p w14:paraId="2B198C26" w14:textId="77777777" w:rsidR="00C51A9F" w:rsidRPr="00507A31" w:rsidRDefault="00C51A9F" w:rsidP="00507A31">
      <w:pPr>
        <w:jc w:val="both"/>
        <w:rPr>
          <w:color w:val="000000" w:themeColor="text1"/>
          <w:sz w:val="16"/>
          <w:szCs w:val="16"/>
        </w:rPr>
      </w:pPr>
      <w:r w:rsidRPr="00507A31">
        <w:rPr>
          <w:color w:val="000000" w:themeColor="text1"/>
          <w:sz w:val="16"/>
          <w:szCs w:val="16"/>
        </w:rPr>
        <w:t xml:space="preserve">Архив: РГАЭ. Ф. 2097. Оп. 1. Д. 950. Л. 38—39 об. Подлинник. </w:t>
      </w:r>
    </w:p>
    <w:p w14:paraId="0E22689F" w14:textId="77777777" w:rsidR="00C51A9F" w:rsidRPr="00507A31" w:rsidRDefault="00C51A9F"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420-422 (12493).</w:t>
      </w:r>
    </w:p>
    <w:p w14:paraId="591454EE" w14:textId="77777777" w:rsidR="00C51A9F" w:rsidRPr="00507A31" w:rsidRDefault="00C51A9F" w:rsidP="00507A31">
      <w:pPr>
        <w:jc w:val="both"/>
        <w:rPr>
          <w:color w:val="000000" w:themeColor="text1"/>
          <w:sz w:val="16"/>
          <w:szCs w:val="16"/>
        </w:rPr>
      </w:pPr>
    </w:p>
    <w:p w14:paraId="7C0B1F00" w14:textId="77777777" w:rsidR="00C51A9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1B13C75" w14:textId="77777777" w:rsidR="00C51A9F" w:rsidRPr="00507A31" w:rsidRDefault="00C51A9F" w:rsidP="00507A31">
      <w:pPr>
        <w:autoSpaceDE w:val="0"/>
        <w:autoSpaceDN w:val="0"/>
        <w:adjustRightInd w:val="0"/>
        <w:jc w:val="both"/>
        <w:rPr>
          <w:iCs/>
          <w:color w:val="000000" w:themeColor="text1"/>
          <w:sz w:val="16"/>
          <w:szCs w:val="16"/>
        </w:rPr>
      </w:pPr>
    </w:p>
    <w:p w14:paraId="17693F48" w14:textId="77777777" w:rsidR="00B71C22" w:rsidRPr="00507A31" w:rsidRDefault="00B71C22" w:rsidP="00507A31">
      <w:pPr>
        <w:jc w:val="both"/>
        <w:rPr>
          <w:color w:val="000000" w:themeColor="text1"/>
          <w:sz w:val="16"/>
          <w:szCs w:val="16"/>
        </w:rPr>
      </w:pPr>
      <w:r w:rsidRPr="00507A31">
        <w:rPr>
          <w:color w:val="000000" w:themeColor="text1"/>
          <w:sz w:val="16"/>
          <w:szCs w:val="16"/>
        </w:rPr>
        <w:t>20 февраля 1930</w:t>
      </w:r>
    </w:p>
    <w:p w14:paraId="3BAD5A6A" w14:textId="77777777" w:rsidR="00B71C22" w:rsidRPr="00507A31" w:rsidRDefault="00B71C22" w:rsidP="00507A31">
      <w:pPr>
        <w:jc w:val="both"/>
        <w:rPr>
          <w:color w:val="000000" w:themeColor="text1"/>
          <w:sz w:val="16"/>
          <w:szCs w:val="16"/>
        </w:rPr>
      </w:pPr>
      <w:r w:rsidRPr="00507A31">
        <w:rPr>
          <w:color w:val="000000" w:themeColor="text1"/>
          <w:sz w:val="16"/>
          <w:szCs w:val="16"/>
        </w:rPr>
        <w:t>п. 4: Проект резолюции по военной промышленности</w:t>
      </w:r>
    </w:p>
    <w:p w14:paraId="04726343" w14:textId="77777777" w:rsidR="00B71C22" w:rsidRPr="00507A31" w:rsidRDefault="00B71C22" w:rsidP="00507A31">
      <w:pPr>
        <w:jc w:val="both"/>
        <w:rPr>
          <w:color w:val="000000" w:themeColor="text1"/>
          <w:sz w:val="16"/>
          <w:szCs w:val="16"/>
        </w:rPr>
      </w:pPr>
      <w:r w:rsidRPr="00507A31">
        <w:rPr>
          <w:color w:val="000000" w:themeColor="text1"/>
          <w:sz w:val="16"/>
          <w:szCs w:val="16"/>
        </w:rPr>
        <w:t>(ПБ от 20.II.30 г., пр. № 118, п. 45).</w:t>
      </w:r>
    </w:p>
    <w:p w14:paraId="3356B125" w14:textId="77777777" w:rsidR="00B71C22" w:rsidRPr="00507A31" w:rsidRDefault="00B71C22" w:rsidP="00507A31">
      <w:pPr>
        <w:jc w:val="both"/>
        <w:rPr>
          <w:color w:val="000000" w:themeColor="text1"/>
          <w:sz w:val="16"/>
          <w:szCs w:val="16"/>
        </w:rPr>
      </w:pPr>
      <w:r w:rsidRPr="00507A31">
        <w:rPr>
          <w:color w:val="000000" w:themeColor="text1"/>
          <w:sz w:val="16"/>
          <w:szCs w:val="16"/>
        </w:rPr>
        <w:t>(Шверник, Ворошилов, Прокофьев, Постников, Нейман).</w:t>
      </w:r>
    </w:p>
    <w:p w14:paraId="1FD6ADF0" w14:textId="77777777" w:rsidR="00B71C22" w:rsidRPr="00507A31" w:rsidRDefault="00B71C22" w:rsidP="00507A31">
      <w:pPr>
        <w:jc w:val="both"/>
        <w:rPr>
          <w:color w:val="000000" w:themeColor="text1"/>
          <w:sz w:val="16"/>
          <w:szCs w:val="16"/>
        </w:rPr>
      </w:pPr>
      <w:r w:rsidRPr="00507A31">
        <w:rPr>
          <w:color w:val="000000" w:themeColor="text1"/>
          <w:sz w:val="16"/>
          <w:szCs w:val="16"/>
        </w:rPr>
        <w:t>Решение — особая папка.</w:t>
      </w:r>
    </w:p>
    <w:p w14:paraId="09DB8D55" w14:textId="77777777" w:rsidR="00B71C22" w:rsidRPr="00507A31" w:rsidRDefault="00B71C22" w:rsidP="00507A31">
      <w:pPr>
        <w:jc w:val="both"/>
        <w:rPr>
          <w:color w:val="000000" w:themeColor="text1"/>
          <w:sz w:val="16"/>
          <w:szCs w:val="16"/>
        </w:rPr>
      </w:pPr>
      <w:r w:rsidRPr="00507A31">
        <w:rPr>
          <w:color w:val="000000" w:themeColor="text1"/>
          <w:sz w:val="16"/>
          <w:szCs w:val="16"/>
        </w:rPr>
        <w:t>а) Утвердить с поправками представленный комиссией проект резолюции о ходе ликвидации вредительства на предприятиях военной промышленности (</w:t>
      </w:r>
      <w:hyperlink r:id="rId32" w:history="1">
        <w:r w:rsidRPr="00507A31">
          <w:rPr>
            <w:rStyle w:val="a5"/>
            <w:color w:val="000000" w:themeColor="text1"/>
            <w:sz w:val="16"/>
            <w:szCs w:val="16"/>
            <w:u w:val="none"/>
          </w:rPr>
          <w:t>см. приложение № 1</w:t>
        </w:r>
        <w:r w:rsidRPr="00507A31">
          <w:rPr>
            <w:rStyle w:val="a5"/>
            <w:color w:val="000000" w:themeColor="text1"/>
            <w:sz w:val="16"/>
            <w:szCs w:val="16"/>
            <w:u w:val="none"/>
          </w:rPr>
          <w:noBreakHyphen/>
          <w:t>ОП</w:t>
        </w:r>
      </w:hyperlink>
      <w:r w:rsidRPr="00507A31">
        <w:rPr>
          <w:color w:val="000000" w:themeColor="text1"/>
          <w:sz w:val="16"/>
          <w:szCs w:val="16"/>
        </w:rPr>
        <w:t>).</w:t>
      </w:r>
    </w:p>
    <w:p w14:paraId="46C9B1BF" w14:textId="77777777" w:rsidR="00B71C22" w:rsidRPr="00507A31" w:rsidRDefault="00B71C22" w:rsidP="00507A31">
      <w:pPr>
        <w:jc w:val="both"/>
        <w:rPr>
          <w:color w:val="000000" w:themeColor="text1"/>
          <w:sz w:val="16"/>
          <w:szCs w:val="16"/>
        </w:rPr>
      </w:pPr>
      <w:r w:rsidRPr="00507A31">
        <w:rPr>
          <w:color w:val="000000" w:themeColor="text1"/>
          <w:sz w:val="16"/>
          <w:szCs w:val="16"/>
        </w:rPr>
        <w:t>б) Резолюцию считать особо секретной и разослать: 1) всем членам ЦК и секретарям тех окружкомов, в районе которых расположена военная промышленность (лично), поручив т. Товстухе установить специальное наблюдение за ее возвращением; 2) директорам заводов военной промышленности, с обязательством хранить ее на правах шифра.</w:t>
      </w:r>
    </w:p>
    <w:p w14:paraId="42B4CB3F" w14:textId="77777777" w:rsidR="00B71C22" w:rsidRPr="00507A31" w:rsidRDefault="00B71C22" w:rsidP="00507A31">
      <w:pPr>
        <w:jc w:val="both"/>
        <w:rPr>
          <w:color w:val="000000" w:themeColor="text1"/>
          <w:sz w:val="16"/>
          <w:szCs w:val="16"/>
        </w:rPr>
      </w:pPr>
      <w:r w:rsidRPr="00507A31">
        <w:rPr>
          <w:color w:val="000000" w:themeColor="text1"/>
          <w:sz w:val="16"/>
          <w:szCs w:val="16"/>
        </w:rPr>
        <w:t>Постановление послано:</w:t>
      </w:r>
    </w:p>
    <w:p w14:paraId="2CE60814" w14:textId="77777777" w:rsidR="00B71C22" w:rsidRPr="00507A31" w:rsidRDefault="00B71C22" w:rsidP="00507A31">
      <w:pPr>
        <w:jc w:val="both"/>
        <w:rPr>
          <w:color w:val="000000" w:themeColor="text1"/>
          <w:sz w:val="16"/>
          <w:szCs w:val="16"/>
        </w:rPr>
      </w:pPr>
    </w:p>
    <w:p w14:paraId="0FD0B917" w14:textId="77777777" w:rsidR="00C51A9F" w:rsidRPr="00507A31" w:rsidRDefault="00C51A9F" w:rsidP="00507A31">
      <w:pPr>
        <w:jc w:val="both"/>
        <w:rPr>
          <w:color w:val="000000" w:themeColor="text1"/>
          <w:sz w:val="16"/>
          <w:szCs w:val="16"/>
        </w:rPr>
      </w:pPr>
      <w:r w:rsidRPr="00507A31">
        <w:rPr>
          <w:color w:val="000000" w:themeColor="text1"/>
          <w:sz w:val="16"/>
          <w:szCs w:val="16"/>
        </w:rPr>
        <w:t>20 февраля 1930 г. Выписка из протокола совещания по военным вопросам у председателя ВСНХ СССР В. В. Куйбышева о Вохимтресте (РГАЭ. Ф. 3429. Оп. 6. Д. 193. Л. 17) (12417).</w:t>
      </w:r>
    </w:p>
    <w:p w14:paraId="55596851" w14:textId="77777777" w:rsidR="00C51A9F" w:rsidRPr="00507A31" w:rsidRDefault="00C51A9F" w:rsidP="00507A31">
      <w:pPr>
        <w:jc w:val="both"/>
        <w:rPr>
          <w:color w:val="000000" w:themeColor="text1"/>
          <w:sz w:val="16"/>
          <w:szCs w:val="16"/>
        </w:rPr>
      </w:pPr>
    </w:p>
    <w:p w14:paraId="6203D7C5" w14:textId="77777777" w:rsidR="00C51A9F" w:rsidRPr="00507A31" w:rsidRDefault="00C51A9F" w:rsidP="00507A31">
      <w:pPr>
        <w:jc w:val="both"/>
        <w:rPr>
          <w:color w:val="000000" w:themeColor="text1"/>
          <w:sz w:val="16"/>
          <w:szCs w:val="16"/>
        </w:rPr>
      </w:pPr>
      <w:r w:rsidRPr="00507A31">
        <w:rPr>
          <w:color w:val="000000" w:themeColor="text1"/>
          <w:sz w:val="16"/>
          <w:szCs w:val="16"/>
        </w:rPr>
        <w:t>20, 17 и 21 февраля 1930 г. заводские испытания танка Т-12 под руководством помощника начальника тракторного цеха С.Н. Махонина и начальника КБ И.Н. Алексенко были продолжены (12303).</w:t>
      </w:r>
    </w:p>
    <w:p w14:paraId="4879936E" w14:textId="77777777" w:rsidR="00C51A9F" w:rsidRPr="00507A31" w:rsidRDefault="00C51A9F" w:rsidP="00507A31">
      <w:pPr>
        <w:jc w:val="both"/>
        <w:rPr>
          <w:color w:val="000000" w:themeColor="text1"/>
          <w:sz w:val="16"/>
          <w:szCs w:val="16"/>
        </w:rPr>
      </w:pPr>
    </w:p>
    <w:p w14:paraId="7B19CE4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80A9803" w14:textId="77777777" w:rsidR="00537E5F" w:rsidRPr="00507A31" w:rsidRDefault="00537E5F" w:rsidP="00507A31">
      <w:pPr>
        <w:autoSpaceDE w:val="0"/>
        <w:autoSpaceDN w:val="0"/>
        <w:adjustRightInd w:val="0"/>
        <w:jc w:val="both"/>
        <w:rPr>
          <w:iCs/>
          <w:color w:val="000000" w:themeColor="text1"/>
          <w:sz w:val="16"/>
          <w:szCs w:val="16"/>
        </w:rPr>
      </w:pPr>
    </w:p>
    <w:p w14:paraId="397683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20 февраля в колхозах числилось 60% (14 млн.) крестьянских хозяйств - обалденный перегиб. Состоялось совещание в ЦК и поняли, что ошибки надо исправлять (226,402).</w:t>
      </w:r>
    </w:p>
    <w:p w14:paraId="129CF2B9" w14:textId="77777777" w:rsidR="00537E5F" w:rsidRPr="00507A31" w:rsidRDefault="00537E5F" w:rsidP="00507A31">
      <w:pPr>
        <w:autoSpaceDE w:val="0"/>
        <w:autoSpaceDN w:val="0"/>
        <w:adjustRightInd w:val="0"/>
        <w:jc w:val="both"/>
        <w:rPr>
          <w:color w:val="000000" w:themeColor="text1"/>
          <w:sz w:val="16"/>
          <w:szCs w:val="16"/>
        </w:rPr>
      </w:pPr>
    </w:p>
    <w:p w14:paraId="2A185B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февраля 1930 вышла Директива ЦК ВКП(б) ОГПУ в течение шести месяцев подготовить районы для расселения раскулаченных семей на 200-300 тысяч семей под управлением специальных комендатур (10687).</w:t>
      </w:r>
    </w:p>
    <w:p w14:paraId="038B8032" w14:textId="77777777" w:rsidR="00537E5F" w:rsidRPr="00507A31" w:rsidRDefault="00537E5F" w:rsidP="00507A31">
      <w:pPr>
        <w:autoSpaceDE w:val="0"/>
        <w:autoSpaceDN w:val="0"/>
        <w:adjustRightInd w:val="0"/>
        <w:jc w:val="both"/>
        <w:rPr>
          <w:color w:val="000000" w:themeColor="text1"/>
          <w:sz w:val="16"/>
          <w:szCs w:val="16"/>
        </w:rPr>
      </w:pPr>
    </w:p>
    <w:p w14:paraId="19C1C3A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397A9336" w14:textId="77777777" w:rsidR="00537E5F" w:rsidRPr="00507A31" w:rsidRDefault="00537E5F" w:rsidP="00507A31">
      <w:pPr>
        <w:autoSpaceDE w:val="0"/>
        <w:autoSpaceDN w:val="0"/>
        <w:adjustRightInd w:val="0"/>
        <w:jc w:val="both"/>
        <w:rPr>
          <w:iCs/>
          <w:color w:val="000000" w:themeColor="text1"/>
          <w:sz w:val="16"/>
          <w:szCs w:val="16"/>
        </w:rPr>
      </w:pPr>
    </w:p>
    <w:p w14:paraId="2E6E60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февраля 1930 г. на заседании кабинета министров Германии состоялось обсуждение взаимоотношений, в том числе военных, с СССР. Учитывая их значение, министр иностранных дел Курциус настоятельно рекомендовал после завершения переговоров по «плану Юнга» и введению его в действие заняться выравниванием отношений с восточным соседом и, — вопреки резкой антисоветской критике по поводу сталинской аграрной реформы и преследованию церкви в СССР, — придерживаться «рапалльской линии». Военный министр Гренер проинформировал правительство о военном сотрудничестве с СССР, подчеркнув, что его сокращение вызвало бы большое разочарование в райхсвере. Гренер отмечал, что «только благодаря отношениям с русскими, армия имеет возможность познакомиться с самыми современными средствами ведения войны и быть в курсе дела. Выгода для германской промышленности от заказов и сбора ценного опыта также весьма значительна». В этом же духе высказался и канцлер X. Мюллер. Он отметил, что оба государства не входят в «версальский клуб» держав-победительниц, поэтому в политическом отношении у них много общего. В самом СССР налицо два силовых центра, это компартия и Красная Армия, причем РККА настроена дружественно к Германии, и этот настрой следовало сохранять. 18 апреля 1930 г. в Москве был подписан текст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(11784).</w:t>
      </w:r>
    </w:p>
    <w:p w14:paraId="5B750477" w14:textId="77777777" w:rsidR="00537E5F" w:rsidRPr="00507A31" w:rsidRDefault="00537E5F" w:rsidP="00507A31">
      <w:pPr>
        <w:autoSpaceDE w:val="0"/>
        <w:autoSpaceDN w:val="0"/>
        <w:adjustRightInd w:val="0"/>
        <w:jc w:val="both"/>
        <w:rPr>
          <w:color w:val="000000" w:themeColor="text1"/>
          <w:sz w:val="16"/>
          <w:szCs w:val="16"/>
        </w:rPr>
      </w:pPr>
    </w:p>
    <w:p w14:paraId="33393A26" w14:textId="77777777" w:rsidR="00B71C22" w:rsidRPr="00507A31" w:rsidRDefault="00B71C22" w:rsidP="00507A31">
      <w:pPr>
        <w:jc w:val="both"/>
        <w:rPr>
          <w:color w:val="000000" w:themeColor="text1"/>
          <w:sz w:val="16"/>
          <w:szCs w:val="16"/>
        </w:rPr>
      </w:pPr>
      <w:r w:rsidRPr="00507A31">
        <w:rPr>
          <w:color w:val="000000" w:themeColor="text1"/>
          <w:sz w:val="16"/>
          <w:szCs w:val="16"/>
        </w:rPr>
        <w:t>20 февраля 1930 г. на заседании германского кабинета военный министр Гренер информировал, что в 1929 г. на маневры каждая из сторон направила по 12 офицеров. В «Центре Москва» тогда было занято, 5 немецких служащих; в авиационной школе: один руководитель, семь преподавателей, 85 человек постоянного персонала, в том числе советские представители, на время обучения (15 мая — 15 октября) ежегодно приезжали еще 52 человека; в танковой школе: водитель, один преподаватель, 20 постоянных служащих, обучение в период с 1 мая по 1 ноября ежегодно проходили 10 офицеров; на «Томке» насчитывалось 33 человека, в основном химики (1 руководитель, 1 врач, 31 служащий). В 1929–1930 гг. общие расходы военного министерства на эти 4 объекта составили 6,7 млн. марок, в 1930–1931 гг. — 5,29 млн. марок (18265).</w:t>
      </w:r>
    </w:p>
    <w:p w14:paraId="35789361" w14:textId="77777777" w:rsidR="00B71C22" w:rsidRPr="00507A31" w:rsidRDefault="00B71C22" w:rsidP="00507A31">
      <w:pPr>
        <w:jc w:val="both"/>
        <w:rPr>
          <w:color w:val="000000" w:themeColor="text1"/>
          <w:sz w:val="16"/>
          <w:szCs w:val="16"/>
        </w:rPr>
      </w:pPr>
    </w:p>
    <w:p w14:paraId="6DBAC654" w14:textId="77777777" w:rsidR="00B71C22" w:rsidRPr="00507A31" w:rsidRDefault="00B71C22" w:rsidP="00507A31">
      <w:pPr>
        <w:jc w:val="both"/>
        <w:rPr>
          <w:color w:val="000000" w:themeColor="text1"/>
          <w:sz w:val="16"/>
          <w:szCs w:val="16"/>
        </w:rPr>
      </w:pPr>
      <w:r w:rsidRPr="00507A31">
        <w:rPr>
          <w:color w:val="000000" w:themeColor="text1"/>
          <w:sz w:val="16"/>
          <w:szCs w:val="16"/>
        </w:rPr>
        <w:t xml:space="preserve">20 февраля 1930 г. на заседании кабинета министров Германии состоялось обсуждение взаимоотношений, в том числе военных, с СССР. Учитывая их значение, министр иностранных дел Курциус настоятельно рекомендовал после завершения переговоров по «плану Юнга» и введению его в действие заняться выравниванием отношений с восточным соседом и, — вопреки резкой антисоветской критике по поводу сталинской аграрной реформы и преследованию церкви в СССР, — придерживаться «рапалльской линии». Военный министр Гренер проинформировал правительство о военном сотрудничестве с СССР, подчеркнув, что его сокращение вызвало бы большое разочарование в райхсвере. Гренер отмечал, что «только благодаря отношениям с русскими, армия имеет возможность познакомиться с самыми современными средствами ведения войны и быть в курсе дела. Выгода для германской промышленности от заказов и сбора ценного опыта также весьма значительна». В этом же духе высказался и канцлер X. Мюллер. Он отметил, что оба государства не входят в «версальский клуб» держав-победительниц, </w:t>
      </w:r>
      <w:r w:rsidRPr="00507A31">
        <w:rPr>
          <w:color w:val="000000" w:themeColor="text1"/>
          <w:sz w:val="16"/>
          <w:szCs w:val="16"/>
        </w:rPr>
        <w:lastRenderedPageBreak/>
        <w:t>поэтому в политическом отношении у них много общего. В самом СССР налицо два силовых центра, это компартия и Красная Армия, причем РККА настроена дружественно к Германии, и этот настрой следовало сохранять. 18 апреля 1930 г. в Москве был подписан текст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(18265).</w:t>
      </w:r>
    </w:p>
    <w:p w14:paraId="31577968" w14:textId="77777777" w:rsidR="00B71C22" w:rsidRPr="00507A31" w:rsidRDefault="00B71C22" w:rsidP="00507A31">
      <w:pPr>
        <w:jc w:val="both"/>
        <w:rPr>
          <w:color w:val="000000" w:themeColor="text1"/>
          <w:sz w:val="16"/>
          <w:szCs w:val="16"/>
        </w:rPr>
      </w:pPr>
    </w:p>
    <w:p w14:paraId="03D94C0C" w14:textId="77777777" w:rsidR="004562A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24723DA" w14:textId="77777777" w:rsidR="004562AE" w:rsidRPr="00507A31" w:rsidRDefault="004562AE" w:rsidP="00507A31">
      <w:pPr>
        <w:autoSpaceDE w:val="0"/>
        <w:autoSpaceDN w:val="0"/>
        <w:adjustRightInd w:val="0"/>
        <w:jc w:val="both"/>
        <w:rPr>
          <w:iCs/>
          <w:color w:val="000000" w:themeColor="text1"/>
          <w:sz w:val="16"/>
          <w:szCs w:val="16"/>
        </w:rPr>
      </w:pPr>
    </w:p>
    <w:p w14:paraId="3E374494" w14:textId="77777777" w:rsidR="004562AE" w:rsidRPr="00507A31" w:rsidRDefault="004562AE" w:rsidP="00507A31">
      <w:pPr>
        <w:jc w:val="both"/>
        <w:rPr>
          <w:color w:val="000000" w:themeColor="text1"/>
          <w:sz w:val="16"/>
          <w:szCs w:val="16"/>
        </w:rPr>
      </w:pPr>
      <w:r w:rsidRPr="00507A31">
        <w:rPr>
          <w:bCs/>
          <w:color w:val="000000" w:themeColor="text1"/>
          <w:sz w:val="16"/>
          <w:szCs w:val="16"/>
        </w:rPr>
        <w:t>20 февраля</w:t>
      </w:r>
      <w:r w:rsidRPr="00507A31">
        <w:rPr>
          <w:color w:val="000000" w:themeColor="text1"/>
          <w:sz w:val="16"/>
          <w:szCs w:val="16"/>
        </w:rPr>
        <w:t xml:space="preserve"> в 1930 году американец Шредер на экспериментальном самолете </w:t>
      </w:r>
      <w:hyperlink r:id="rId33" w:tgtFrame="_blank" w:history="1">
        <w:r w:rsidRPr="00507A31">
          <w:rPr>
            <w:color w:val="000000" w:themeColor="text1"/>
            <w:sz w:val="16"/>
            <w:szCs w:val="16"/>
          </w:rPr>
          <w:t xml:space="preserve">«Bristol» 138A </w:t>
        </w:r>
      </w:hyperlink>
      <w:r w:rsidRPr="00507A31">
        <w:rPr>
          <w:color w:val="000000" w:themeColor="text1"/>
          <w:sz w:val="16"/>
          <w:szCs w:val="16"/>
        </w:rPr>
        <w:t>преодолел 10-километровый рубеж и достиг высоты 10097 метров. Увы, самолет-рекордсмен "Бристоль 138А" не сохранился до наших дней. Верно прослужив много лет и совершив немало экспериментальных высотных полетов, внесших значительный вклад в обороноспособность Британских ВВС, самолет был разобран в училище авиатехников во время войны (15046).</w:t>
      </w:r>
    </w:p>
    <w:p w14:paraId="694EA832" w14:textId="77777777" w:rsidR="004562AE" w:rsidRPr="00507A31" w:rsidRDefault="004562AE" w:rsidP="00507A31">
      <w:pPr>
        <w:jc w:val="both"/>
        <w:rPr>
          <w:color w:val="000000" w:themeColor="text1"/>
          <w:sz w:val="16"/>
          <w:szCs w:val="16"/>
        </w:rPr>
      </w:pPr>
    </w:p>
    <w:p w14:paraId="09977C7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38F26E5" w14:textId="77777777" w:rsidR="00537E5F" w:rsidRPr="00507A31" w:rsidRDefault="00537E5F" w:rsidP="00507A31">
      <w:pPr>
        <w:autoSpaceDE w:val="0"/>
        <w:autoSpaceDN w:val="0"/>
        <w:adjustRightInd w:val="0"/>
        <w:jc w:val="both"/>
        <w:rPr>
          <w:iCs/>
          <w:color w:val="000000" w:themeColor="text1"/>
          <w:sz w:val="16"/>
          <w:szCs w:val="16"/>
        </w:rPr>
      </w:pPr>
    </w:p>
    <w:p w14:paraId="75D3D9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февраля 1930 собралась первая макетная комиссия по АНТ-6 (ТБ-3) и макет утвердили (346,26). Дело было в ЦАГИ (1077,120).</w:t>
      </w:r>
    </w:p>
    <w:p w14:paraId="5B3CF0AB" w14:textId="77777777" w:rsidR="00537E5F" w:rsidRPr="00507A31" w:rsidRDefault="00537E5F" w:rsidP="00507A31">
      <w:pPr>
        <w:autoSpaceDE w:val="0"/>
        <w:autoSpaceDN w:val="0"/>
        <w:adjustRightInd w:val="0"/>
        <w:jc w:val="both"/>
        <w:rPr>
          <w:color w:val="000000" w:themeColor="text1"/>
          <w:sz w:val="16"/>
          <w:szCs w:val="16"/>
        </w:rPr>
      </w:pPr>
    </w:p>
    <w:p w14:paraId="4BE9C6BB" w14:textId="77777777" w:rsidR="004562AE" w:rsidRPr="00507A31" w:rsidRDefault="004562AE" w:rsidP="00507A31">
      <w:pPr>
        <w:jc w:val="both"/>
        <w:rPr>
          <w:color w:val="000000" w:themeColor="text1"/>
          <w:sz w:val="16"/>
          <w:szCs w:val="16"/>
        </w:rPr>
      </w:pPr>
      <w:r w:rsidRPr="00507A31">
        <w:rPr>
          <w:bCs/>
          <w:color w:val="000000" w:themeColor="text1"/>
          <w:sz w:val="16"/>
          <w:szCs w:val="16"/>
        </w:rPr>
        <w:t>21 февраля</w:t>
      </w:r>
      <w:r w:rsidRPr="00507A31">
        <w:rPr>
          <w:color w:val="000000" w:themeColor="text1"/>
          <w:sz w:val="16"/>
          <w:szCs w:val="16"/>
        </w:rPr>
        <w:t xml:space="preserve"> в 1930 году собралась первая макетная комиссия по </w:t>
      </w:r>
      <w:hyperlink r:id="rId34" w:tgtFrame="_blank" w:history="1">
        <w:r w:rsidRPr="00507A31">
          <w:rPr>
            <w:color w:val="000000" w:themeColor="text1"/>
            <w:sz w:val="16"/>
            <w:szCs w:val="16"/>
          </w:rPr>
          <w:t xml:space="preserve">«АНТ-6» («ТБ-32») </w:t>
        </w:r>
      </w:hyperlink>
      <w:r w:rsidRPr="00507A31">
        <w:rPr>
          <w:color w:val="000000" w:themeColor="text1"/>
          <w:sz w:val="16"/>
          <w:szCs w:val="16"/>
        </w:rPr>
        <w:t>и макет утвердили. Примечательно, что строительство самолета уже велось. «АНТ-6» первый в мире самолет стратегического назначения; Тяжелый бомбардировщик «ТБ-3» («АНТ-6»)-четырехмоторный цельнометаллический свободнонесущий моноплан с неубирающимся шасси и гофрированной обшивкой (15047).</w:t>
      </w:r>
    </w:p>
    <w:p w14:paraId="6279E260" w14:textId="77777777" w:rsidR="004562AE" w:rsidRPr="00507A31" w:rsidRDefault="004562AE" w:rsidP="00507A31">
      <w:pPr>
        <w:jc w:val="both"/>
        <w:rPr>
          <w:color w:val="000000" w:themeColor="text1"/>
          <w:sz w:val="16"/>
          <w:szCs w:val="16"/>
        </w:rPr>
      </w:pPr>
    </w:p>
    <w:p w14:paraId="78EE73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февраля 1930 г. самолет ТБ-3 был впервые представили макетной комиссии. Макета как такового, похоже, не было - комиссии показывали незаконченный бомбардировщик с деревянными муляжами отсутствующих узлов и оборудования. Именно после этого впервые подняли вопрос об усилении обороны нижней полусферы путем установки подкрыльных башен (8887).</w:t>
      </w:r>
    </w:p>
    <w:p w14:paraId="6EC00B44" w14:textId="77777777" w:rsidR="00537E5F" w:rsidRPr="00507A31" w:rsidRDefault="00537E5F" w:rsidP="00507A31">
      <w:pPr>
        <w:autoSpaceDE w:val="0"/>
        <w:autoSpaceDN w:val="0"/>
        <w:adjustRightInd w:val="0"/>
        <w:jc w:val="both"/>
        <w:rPr>
          <w:color w:val="000000" w:themeColor="text1"/>
          <w:sz w:val="16"/>
          <w:szCs w:val="16"/>
        </w:rPr>
      </w:pPr>
    </w:p>
    <w:p w14:paraId="587D183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21751E5" w14:textId="77777777" w:rsidR="00537E5F" w:rsidRPr="00507A31" w:rsidRDefault="00537E5F" w:rsidP="00507A31">
      <w:pPr>
        <w:autoSpaceDE w:val="0"/>
        <w:autoSpaceDN w:val="0"/>
        <w:adjustRightInd w:val="0"/>
        <w:jc w:val="both"/>
        <w:rPr>
          <w:iCs/>
          <w:color w:val="000000" w:themeColor="text1"/>
          <w:sz w:val="16"/>
          <w:szCs w:val="16"/>
        </w:rPr>
      </w:pPr>
    </w:p>
    <w:p w14:paraId="63AD9C73" w14:textId="77777777" w:rsidR="00C51A9F" w:rsidRPr="00507A31" w:rsidRDefault="00C51A9F" w:rsidP="00507A31">
      <w:pPr>
        <w:jc w:val="both"/>
        <w:rPr>
          <w:color w:val="000000" w:themeColor="text1"/>
          <w:sz w:val="16"/>
          <w:szCs w:val="16"/>
        </w:rPr>
      </w:pPr>
      <w:r w:rsidRPr="00507A31">
        <w:rPr>
          <w:color w:val="000000" w:themeColor="text1"/>
          <w:sz w:val="16"/>
          <w:szCs w:val="16"/>
        </w:rPr>
        <w:t>21 20 и 17 февраля 1930 г. заводские испытания танка Т-12 под руководством помощника начальника тракторного цеха С.Н. Махонина и начальника КБ И.Н. Алексенко были продолжены (12303).</w:t>
      </w:r>
    </w:p>
    <w:p w14:paraId="1657D4F3" w14:textId="77777777" w:rsidR="00C51A9F" w:rsidRPr="00507A31" w:rsidRDefault="00C51A9F" w:rsidP="00507A31">
      <w:pPr>
        <w:jc w:val="both"/>
        <w:rPr>
          <w:color w:val="000000" w:themeColor="text1"/>
          <w:sz w:val="16"/>
          <w:szCs w:val="16"/>
        </w:rPr>
      </w:pPr>
    </w:p>
    <w:p w14:paraId="42913A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 февраля 1930 года, изучив положение дел, руководство Управления моторизации и механизации заключи</w:t>
      </w:r>
      <w:r w:rsidRPr="00507A31">
        <w:rPr>
          <w:color w:val="000000" w:themeColor="text1"/>
          <w:sz w:val="16"/>
          <w:szCs w:val="16"/>
        </w:rPr>
        <w:softHyphen/>
        <w:t>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(11284).</w:t>
      </w:r>
    </w:p>
    <w:p w14:paraId="5885EF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54A48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21 февраля 1930 года, изучив положение дел, руководство Управления моторизации и механизации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2DB8FF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2D3DAA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A61694" w:rsidRPr="00507A31" w14:paraId="062670A3" w14:textId="77777777">
        <w:trPr>
          <w:jc w:val="center"/>
        </w:trPr>
        <w:tc>
          <w:tcPr>
            <w:tcW w:w="4715" w:type="dxa"/>
            <w:tcBorders>
              <w:top w:val="single" w:sz="12" w:space="0" w:color="auto"/>
            </w:tcBorders>
          </w:tcPr>
          <w:p w14:paraId="31B4F8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Масса</w:t>
            </w:r>
          </w:p>
        </w:tc>
        <w:tc>
          <w:tcPr>
            <w:tcW w:w="4800" w:type="dxa"/>
            <w:tcBorders>
              <w:top w:val="single" w:sz="12" w:space="0" w:color="auto"/>
            </w:tcBorders>
          </w:tcPr>
          <w:p w14:paraId="06AF17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4100 кг</w:t>
            </w:r>
          </w:p>
        </w:tc>
      </w:tr>
      <w:tr w:rsidR="00A61694" w:rsidRPr="00507A31" w14:paraId="6C971D0A" w14:textId="77777777">
        <w:trPr>
          <w:jc w:val="center"/>
        </w:trPr>
        <w:tc>
          <w:tcPr>
            <w:tcW w:w="4715" w:type="dxa"/>
          </w:tcPr>
          <w:p w14:paraId="0BBBC1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4800" w:type="dxa"/>
          </w:tcPr>
          <w:p w14:paraId="3CFA62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человека</w:t>
            </w:r>
          </w:p>
        </w:tc>
      </w:tr>
      <w:tr w:rsidR="00A61694" w:rsidRPr="00507A31" w14:paraId="07B7F6CF" w14:textId="77777777">
        <w:trPr>
          <w:jc w:val="center"/>
        </w:trPr>
        <w:tc>
          <w:tcPr>
            <w:tcW w:w="4715" w:type="dxa"/>
          </w:tcPr>
          <w:p w14:paraId="7C41FD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Длина</w:t>
            </w:r>
          </w:p>
        </w:tc>
        <w:tc>
          <w:tcPr>
            <w:tcW w:w="4800" w:type="dxa"/>
          </w:tcPr>
          <w:p w14:paraId="0AB61E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4617 мм</w:t>
            </w:r>
          </w:p>
        </w:tc>
      </w:tr>
      <w:tr w:rsidR="00A61694" w:rsidRPr="00507A31" w14:paraId="7C0A4A5A" w14:textId="77777777">
        <w:trPr>
          <w:jc w:val="center"/>
        </w:trPr>
        <w:tc>
          <w:tcPr>
            <w:tcW w:w="4715" w:type="dxa"/>
          </w:tcPr>
          <w:p w14:paraId="378423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Ширина</w:t>
            </w:r>
          </w:p>
        </w:tc>
        <w:tc>
          <w:tcPr>
            <w:tcW w:w="4800" w:type="dxa"/>
          </w:tcPr>
          <w:p w14:paraId="636385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1710 мм</w:t>
            </w:r>
          </w:p>
        </w:tc>
      </w:tr>
      <w:tr w:rsidR="00A61694" w:rsidRPr="00507A31" w14:paraId="2899217A" w14:textId="77777777">
        <w:trPr>
          <w:jc w:val="center"/>
        </w:trPr>
        <w:tc>
          <w:tcPr>
            <w:tcW w:w="4715" w:type="dxa"/>
          </w:tcPr>
          <w:p w14:paraId="31D348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Высота</w:t>
            </w:r>
          </w:p>
        </w:tc>
        <w:tc>
          <w:tcPr>
            <w:tcW w:w="4800" w:type="dxa"/>
          </w:tcPr>
          <w:p w14:paraId="119F55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2520 мм</w:t>
            </w:r>
          </w:p>
        </w:tc>
      </w:tr>
      <w:tr w:rsidR="00A61694" w:rsidRPr="00507A31" w14:paraId="7F3FB8CE" w14:textId="77777777">
        <w:trPr>
          <w:jc w:val="center"/>
        </w:trPr>
        <w:tc>
          <w:tcPr>
            <w:tcW w:w="4715" w:type="dxa"/>
          </w:tcPr>
          <w:p w14:paraId="15A614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Клиренс</w:t>
            </w:r>
          </w:p>
        </w:tc>
        <w:tc>
          <w:tcPr>
            <w:tcW w:w="4800" w:type="dxa"/>
          </w:tcPr>
          <w:p w14:paraId="1F684C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 мм</w:t>
            </w:r>
          </w:p>
        </w:tc>
      </w:tr>
      <w:tr w:rsidR="00A61694" w:rsidRPr="00507A31" w14:paraId="4461476F" w14:textId="77777777">
        <w:trPr>
          <w:jc w:val="center"/>
        </w:trPr>
        <w:tc>
          <w:tcPr>
            <w:tcW w:w="4715" w:type="dxa"/>
          </w:tcPr>
          <w:p w14:paraId="4AA1C2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Давление на грунт</w:t>
            </w:r>
          </w:p>
        </w:tc>
        <w:tc>
          <w:tcPr>
            <w:tcW w:w="4800" w:type="dxa"/>
          </w:tcPr>
          <w:p w14:paraId="3AA419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3,4 кг/см2</w:t>
            </w:r>
          </w:p>
        </w:tc>
      </w:tr>
      <w:tr w:rsidR="00A61694" w:rsidRPr="00507A31" w14:paraId="4DCEB252" w14:textId="77777777">
        <w:trPr>
          <w:jc w:val="center"/>
        </w:trPr>
        <w:tc>
          <w:tcPr>
            <w:tcW w:w="4715" w:type="dxa"/>
          </w:tcPr>
          <w:p w14:paraId="62FE4D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 двигателя</w:t>
            </w:r>
          </w:p>
        </w:tc>
        <w:tc>
          <w:tcPr>
            <w:tcW w:w="4800" w:type="dxa"/>
          </w:tcPr>
          <w:p w14:paraId="50DD1D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4-х цил., карб. АМО</w:t>
            </w:r>
          </w:p>
        </w:tc>
      </w:tr>
      <w:tr w:rsidR="00A61694" w:rsidRPr="00507A31" w14:paraId="56BB1197" w14:textId="77777777">
        <w:trPr>
          <w:jc w:val="center"/>
        </w:trPr>
        <w:tc>
          <w:tcPr>
            <w:tcW w:w="4715" w:type="dxa"/>
          </w:tcPr>
          <w:p w14:paraId="0D9BDF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Мощность двигателя</w:t>
            </w:r>
          </w:p>
        </w:tc>
        <w:tc>
          <w:tcPr>
            <w:tcW w:w="4800" w:type="dxa"/>
          </w:tcPr>
          <w:p w14:paraId="2FCFEC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 л.с.</w:t>
            </w:r>
          </w:p>
        </w:tc>
      </w:tr>
      <w:tr w:rsidR="00A61694" w:rsidRPr="00507A31" w14:paraId="7BE8FA11" w14:textId="77777777">
        <w:trPr>
          <w:jc w:val="center"/>
        </w:trPr>
        <w:tc>
          <w:tcPr>
            <w:tcW w:w="4715" w:type="dxa"/>
          </w:tcPr>
          <w:p w14:paraId="619EA7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Скорость по шоссе</w:t>
            </w:r>
          </w:p>
        </w:tc>
        <w:tc>
          <w:tcPr>
            <w:tcW w:w="4800" w:type="dxa"/>
          </w:tcPr>
          <w:p w14:paraId="1E88A9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30 км/ч</w:t>
            </w:r>
          </w:p>
        </w:tc>
      </w:tr>
      <w:tr w:rsidR="00A61694" w:rsidRPr="00507A31" w14:paraId="4BC6E12B" w14:textId="77777777">
        <w:trPr>
          <w:jc w:val="center"/>
        </w:trPr>
        <w:tc>
          <w:tcPr>
            <w:tcW w:w="4715" w:type="dxa"/>
          </w:tcPr>
          <w:p w14:paraId="33CE51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Запас хода по шоссе</w:t>
            </w:r>
          </w:p>
        </w:tc>
        <w:tc>
          <w:tcPr>
            <w:tcW w:w="4800" w:type="dxa"/>
          </w:tcPr>
          <w:p w14:paraId="0D1077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180 км</w:t>
            </w:r>
          </w:p>
        </w:tc>
      </w:tr>
      <w:tr w:rsidR="00A61694" w:rsidRPr="00507A31" w14:paraId="29BED42E" w14:textId="77777777">
        <w:trPr>
          <w:jc w:val="center"/>
        </w:trPr>
        <w:tc>
          <w:tcPr>
            <w:tcW w:w="4715" w:type="dxa"/>
          </w:tcPr>
          <w:p w14:paraId="27B908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Преодолеваемый подъем</w:t>
            </w:r>
          </w:p>
        </w:tc>
        <w:tc>
          <w:tcPr>
            <w:tcW w:w="4800" w:type="dxa"/>
          </w:tcPr>
          <w:p w14:paraId="007529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15°</w:t>
            </w:r>
          </w:p>
        </w:tc>
      </w:tr>
      <w:tr w:rsidR="00A61694" w:rsidRPr="00507A31" w14:paraId="0B671CF6" w14:textId="77777777">
        <w:trPr>
          <w:jc w:val="center"/>
        </w:trPr>
        <w:tc>
          <w:tcPr>
            <w:tcW w:w="4715" w:type="dxa"/>
          </w:tcPr>
          <w:p w14:paraId="18DEB4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4800" w:type="dxa"/>
          </w:tcPr>
          <w:p w14:paraId="32C6B0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37-мм пушка Гочкис, 7,62-мм пулемет ДТ</w:t>
            </w:r>
          </w:p>
        </w:tc>
      </w:tr>
      <w:tr w:rsidR="00A61694" w:rsidRPr="00507A31" w14:paraId="2AD666FE" w14:textId="77777777">
        <w:trPr>
          <w:jc w:val="center"/>
        </w:trPr>
        <w:tc>
          <w:tcPr>
            <w:tcW w:w="4715" w:type="dxa"/>
          </w:tcPr>
          <w:p w14:paraId="0DCEB9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Боекомплект</w:t>
            </w:r>
          </w:p>
        </w:tc>
        <w:tc>
          <w:tcPr>
            <w:tcW w:w="4800" w:type="dxa"/>
          </w:tcPr>
          <w:p w14:paraId="4E9E52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 снарядов, 2016 патронов</w:t>
            </w:r>
          </w:p>
        </w:tc>
      </w:tr>
      <w:tr w:rsidR="00A61694" w:rsidRPr="00507A31" w14:paraId="1A366B39" w14:textId="77777777">
        <w:trPr>
          <w:jc w:val="center"/>
        </w:trPr>
        <w:tc>
          <w:tcPr>
            <w:tcW w:w="4715" w:type="dxa"/>
            <w:tcBorders>
              <w:bottom w:val="single" w:sz="12" w:space="0" w:color="auto"/>
            </w:tcBorders>
          </w:tcPr>
          <w:p w14:paraId="7E39D9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Бронирование</w:t>
            </w:r>
          </w:p>
        </w:tc>
        <w:tc>
          <w:tcPr>
            <w:tcW w:w="4800" w:type="dxa"/>
            <w:tcBorders>
              <w:bottom w:val="single" w:sz="12" w:space="0" w:color="auto"/>
            </w:tcBorders>
          </w:tcPr>
          <w:p w14:paraId="0C5E56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3–7 мм</w:t>
            </w:r>
          </w:p>
        </w:tc>
      </w:tr>
    </w:tbl>
    <w:p w14:paraId="34BC19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(11861).</w:t>
      </w:r>
    </w:p>
    <w:p w14:paraId="2F2B8C16" w14:textId="77777777" w:rsidR="00537E5F" w:rsidRPr="00507A31" w:rsidRDefault="00537E5F" w:rsidP="00507A31">
      <w:pPr>
        <w:autoSpaceDE w:val="0"/>
        <w:autoSpaceDN w:val="0"/>
        <w:adjustRightInd w:val="0"/>
        <w:jc w:val="both"/>
        <w:rPr>
          <w:color w:val="000000" w:themeColor="text1"/>
          <w:sz w:val="16"/>
          <w:szCs w:val="16"/>
        </w:rPr>
      </w:pPr>
    </w:p>
    <w:p w14:paraId="34A9E5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февраля 1930 Зав. Административным отделом Орудийно-Арсенального Треста Урдианов писал письмо №  Ф7578 в Адм. Отдел ГВПУ:</w:t>
      </w:r>
    </w:p>
    <w:p w14:paraId="74C82B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Препровождается список заводов Треста с просимыми Вами сведениями</w:t>
      </w:r>
    </w:p>
    <w:p w14:paraId="3E3CD1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Приложение: упомянутое (8826,62)</w:t>
      </w:r>
    </w:p>
    <w:p w14:paraId="3E50AF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СПИСОК РУКОВОДЯЩЕГО СОСТАВА ЗАВОДОВ /ДИРЕКТОРОВ И ИХ ЗАМЕСТИТЕЛЕЙ/, ВХОДЯЩИХ В ОБЪЕДИНЕНИЕ РУЖЕЙНО-АРСЕНАЛЬНОГО ТРЕСТА, ПО СОСТОЯНИЮ НА 20/П - 19З0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755"/>
        <w:gridCol w:w="1755"/>
        <w:gridCol w:w="1755"/>
        <w:gridCol w:w="1755"/>
        <w:gridCol w:w="1755"/>
        <w:gridCol w:w="1755"/>
      </w:tblGrid>
      <w:tr w:rsidR="00A61694" w:rsidRPr="00507A31" w14:paraId="7F69F937" w14:textId="77777777">
        <w:tc>
          <w:tcPr>
            <w:tcW w:w="675" w:type="dxa"/>
            <w:tcBorders>
              <w:top w:val="single" w:sz="12" w:space="0" w:color="auto"/>
            </w:tcBorders>
          </w:tcPr>
          <w:p w14:paraId="38600A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п/п</w:t>
            </w:r>
          </w:p>
        </w:tc>
        <w:tc>
          <w:tcPr>
            <w:tcW w:w="1755" w:type="dxa"/>
            <w:tcBorders>
              <w:top w:val="single" w:sz="12" w:space="0" w:color="auto"/>
            </w:tcBorders>
          </w:tcPr>
          <w:p w14:paraId="576CCD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ФИО</w:t>
            </w:r>
          </w:p>
        </w:tc>
        <w:tc>
          <w:tcPr>
            <w:tcW w:w="1755" w:type="dxa"/>
            <w:tcBorders>
              <w:top w:val="single" w:sz="12" w:space="0" w:color="auto"/>
            </w:tcBorders>
          </w:tcPr>
          <w:p w14:paraId="04206B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Должность</w:t>
            </w:r>
          </w:p>
        </w:tc>
        <w:tc>
          <w:tcPr>
            <w:tcW w:w="1755" w:type="dxa"/>
            <w:tcBorders>
              <w:top w:val="single" w:sz="12" w:space="0" w:color="auto"/>
            </w:tcBorders>
          </w:tcPr>
          <w:p w14:paraId="6AC108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 завода</w:t>
            </w:r>
          </w:p>
        </w:tc>
        <w:tc>
          <w:tcPr>
            <w:tcW w:w="1755" w:type="dxa"/>
            <w:tcBorders>
              <w:top w:val="single" w:sz="12" w:space="0" w:color="auto"/>
            </w:tcBorders>
          </w:tcPr>
          <w:p w14:paraId="0A5F5C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Почтовый адрес</w:t>
            </w:r>
          </w:p>
        </w:tc>
        <w:tc>
          <w:tcPr>
            <w:tcW w:w="1755" w:type="dxa"/>
            <w:tcBorders>
              <w:top w:val="single" w:sz="12" w:space="0" w:color="auto"/>
            </w:tcBorders>
          </w:tcPr>
          <w:p w14:paraId="077147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Телеграфный адрес</w:t>
            </w:r>
          </w:p>
        </w:tc>
        <w:tc>
          <w:tcPr>
            <w:tcW w:w="1755" w:type="dxa"/>
            <w:tcBorders>
              <w:top w:val="single" w:sz="12" w:space="0" w:color="auto"/>
            </w:tcBorders>
          </w:tcPr>
          <w:p w14:paraId="1FE06A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телефонов</w:t>
            </w:r>
          </w:p>
        </w:tc>
      </w:tr>
      <w:tr w:rsidR="00A61694" w:rsidRPr="00507A31" w14:paraId="26E25742" w14:textId="77777777">
        <w:tc>
          <w:tcPr>
            <w:tcW w:w="675" w:type="dxa"/>
          </w:tcPr>
          <w:p w14:paraId="1F8AA8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755" w:type="dxa"/>
          </w:tcPr>
          <w:p w14:paraId="257F15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КУСТОВ Адриан Яковлевич</w:t>
            </w:r>
          </w:p>
        </w:tc>
        <w:tc>
          <w:tcPr>
            <w:tcW w:w="1755" w:type="dxa"/>
          </w:tcPr>
          <w:p w14:paraId="176D04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c>
          <w:tcPr>
            <w:tcW w:w="1755" w:type="dxa"/>
          </w:tcPr>
          <w:p w14:paraId="4C525B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Мотовилихинский машиностроительный</w:t>
            </w:r>
          </w:p>
        </w:tc>
        <w:tc>
          <w:tcPr>
            <w:tcW w:w="1755" w:type="dxa"/>
          </w:tcPr>
          <w:p w14:paraId="0E8DDF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Мотовилиха, Пермс. Окр., почт. ящ. № 1</w:t>
            </w:r>
          </w:p>
        </w:tc>
        <w:tc>
          <w:tcPr>
            <w:tcW w:w="1755" w:type="dxa"/>
          </w:tcPr>
          <w:p w14:paraId="73D43C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Мотовилиха Завод</w:t>
            </w:r>
          </w:p>
        </w:tc>
        <w:tc>
          <w:tcPr>
            <w:tcW w:w="1755" w:type="dxa"/>
          </w:tcPr>
          <w:p w14:paraId="301168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6F4D99D8" w14:textId="77777777">
        <w:tc>
          <w:tcPr>
            <w:tcW w:w="675" w:type="dxa"/>
          </w:tcPr>
          <w:p w14:paraId="543A3C44"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5926EC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вакансия</w:t>
            </w:r>
          </w:p>
        </w:tc>
        <w:tc>
          <w:tcPr>
            <w:tcW w:w="1755" w:type="dxa"/>
          </w:tcPr>
          <w:p w14:paraId="4559FD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755" w:type="dxa"/>
          </w:tcPr>
          <w:p w14:paraId="2863E26E"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1AF260BE"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5F761723"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506289CF"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77BBD67D" w14:textId="77777777">
        <w:tc>
          <w:tcPr>
            <w:tcW w:w="675" w:type="dxa"/>
          </w:tcPr>
          <w:p w14:paraId="0F13F6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755" w:type="dxa"/>
          </w:tcPr>
          <w:p w14:paraId="0BF379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ГРИГОРЬЕВ Николай Степанович</w:t>
            </w:r>
          </w:p>
        </w:tc>
        <w:tc>
          <w:tcPr>
            <w:tcW w:w="1755" w:type="dxa"/>
          </w:tcPr>
          <w:p w14:paraId="169263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c>
          <w:tcPr>
            <w:tcW w:w="1755" w:type="dxa"/>
          </w:tcPr>
          <w:p w14:paraId="0911AA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Большевик</w:t>
            </w:r>
          </w:p>
        </w:tc>
        <w:tc>
          <w:tcPr>
            <w:tcW w:w="1755" w:type="dxa"/>
          </w:tcPr>
          <w:p w14:paraId="05C53F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12 почт. отд., почт. ящ. № 2</w:t>
            </w:r>
          </w:p>
        </w:tc>
        <w:tc>
          <w:tcPr>
            <w:tcW w:w="1755" w:type="dxa"/>
          </w:tcPr>
          <w:p w14:paraId="7B1DC6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Сталь</w:t>
            </w:r>
          </w:p>
        </w:tc>
        <w:tc>
          <w:tcPr>
            <w:tcW w:w="1755" w:type="dxa"/>
          </w:tcPr>
          <w:p w14:paraId="406660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4-82-82</w:t>
            </w:r>
          </w:p>
          <w:p w14:paraId="3290CA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2-65-51</w:t>
            </w:r>
          </w:p>
        </w:tc>
      </w:tr>
      <w:tr w:rsidR="00A61694" w:rsidRPr="00507A31" w14:paraId="44D23413" w14:textId="77777777">
        <w:tc>
          <w:tcPr>
            <w:tcW w:w="675" w:type="dxa"/>
          </w:tcPr>
          <w:p w14:paraId="7C20677A"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022EAD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ТИПИКИН Петр Алекандров.</w:t>
            </w:r>
          </w:p>
        </w:tc>
        <w:tc>
          <w:tcPr>
            <w:tcW w:w="1755" w:type="dxa"/>
          </w:tcPr>
          <w:p w14:paraId="53B2B8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755" w:type="dxa"/>
          </w:tcPr>
          <w:p w14:paraId="0A5EBC5D"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6F6CFCAC"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432637DD"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2C39E9FC"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265994E" w14:textId="77777777">
        <w:tc>
          <w:tcPr>
            <w:tcW w:w="675" w:type="dxa"/>
          </w:tcPr>
          <w:p w14:paraId="4F249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755" w:type="dxa"/>
          </w:tcPr>
          <w:p w14:paraId="4A41C2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Зотов Григорий Тихонович</w:t>
            </w:r>
          </w:p>
        </w:tc>
        <w:tc>
          <w:tcPr>
            <w:tcW w:w="1755" w:type="dxa"/>
          </w:tcPr>
          <w:p w14:paraId="57CF08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c>
          <w:tcPr>
            <w:tcW w:w="1755" w:type="dxa"/>
          </w:tcPr>
          <w:p w14:paraId="3C91A7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Баррикады</w:t>
            </w:r>
          </w:p>
        </w:tc>
        <w:tc>
          <w:tcPr>
            <w:tcW w:w="1755" w:type="dxa"/>
          </w:tcPr>
          <w:p w14:paraId="3AC233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Сталинград, почт. ящ. № 12</w:t>
            </w:r>
          </w:p>
        </w:tc>
        <w:tc>
          <w:tcPr>
            <w:tcW w:w="1755" w:type="dxa"/>
          </w:tcPr>
          <w:p w14:paraId="473F96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Сталинград Баррикады</w:t>
            </w:r>
          </w:p>
        </w:tc>
        <w:tc>
          <w:tcPr>
            <w:tcW w:w="1755" w:type="dxa"/>
          </w:tcPr>
          <w:p w14:paraId="6D7A28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A61694" w:rsidRPr="00507A31" w14:paraId="37DF9B5D" w14:textId="77777777">
        <w:tc>
          <w:tcPr>
            <w:tcW w:w="675" w:type="dxa"/>
          </w:tcPr>
          <w:p w14:paraId="0EB6F837"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1C5D16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КУРОЧКИН</w:t>
            </w:r>
          </w:p>
        </w:tc>
        <w:tc>
          <w:tcPr>
            <w:tcW w:w="1755" w:type="dxa"/>
          </w:tcPr>
          <w:p w14:paraId="3A2C40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755" w:type="dxa"/>
          </w:tcPr>
          <w:p w14:paraId="4EA28E56"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4D3B61FE"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7A2B2490"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6426999A"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6CBCB0A" w14:textId="77777777">
        <w:tc>
          <w:tcPr>
            <w:tcW w:w="675" w:type="dxa"/>
          </w:tcPr>
          <w:p w14:paraId="185800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755" w:type="dxa"/>
          </w:tcPr>
          <w:p w14:paraId="030F4D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Чернышев Федор Моисеевич</w:t>
            </w:r>
          </w:p>
        </w:tc>
        <w:tc>
          <w:tcPr>
            <w:tcW w:w="1755" w:type="dxa"/>
          </w:tcPr>
          <w:p w14:paraId="7D2994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c>
          <w:tcPr>
            <w:tcW w:w="1755" w:type="dxa"/>
          </w:tcPr>
          <w:p w14:paraId="3F20E4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Киевский Краснизнаменный</w:t>
            </w:r>
          </w:p>
        </w:tc>
        <w:tc>
          <w:tcPr>
            <w:tcW w:w="1755" w:type="dxa"/>
          </w:tcPr>
          <w:p w14:paraId="6BF775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Киев, 2 почт.-телегр. Отд., почт. ящ. № 1</w:t>
            </w:r>
          </w:p>
        </w:tc>
        <w:tc>
          <w:tcPr>
            <w:tcW w:w="1755" w:type="dxa"/>
          </w:tcPr>
          <w:p w14:paraId="0F5FC8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Киев Вперед</w:t>
            </w:r>
          </w:p>
        </w:tc>
        <w:tc>
          <w:tcPr>
            <w:tcW w:w="1755" w:type="dxa"/>
          </w:tcPr>
          <w:p w14:paraId="68A87A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32-62</w:t>
            </w:r>
          </w:p>
          <w:p w14:paraId="226138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38-80</w:t>
            </w:r>
          </w:p>
        </w:tc>
      </w:tr>
      <w:tr w:rsidR="00A61694" w:rsidRPr="00507A31" w14:paraId="6126EBCE" w14:textId="77777777">
        <w:tc>
          <w:tcPr>
            <w:tcW w:w="675" w:type="dxa"/>
          </w:tcPr>
          <w:p w14:paraId="53390092"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4CD7B4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КОНДРАТЬЕВ Иван Иванович - зам. директора</w:t>
            </w:r>
          </w:p>
        </w:tc>
        <w:tc>
          <w:tcPr>
            <w:tcW w:w="1755" w:type="dxa"/>
          </w:tcPr>
          <w:p w14:paraId="0A4325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755" w:type="dxa"/>
          </w:tcPr>
          <w:p w14:paraId="4D0C4D48"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6BFD99C5"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7B0119DE"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744A4ADD"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4A841014" w14:textId="77777777">
        <w:tc>
          <w:tcPr>
            <w:tcW w:w="675" w:type="dxa"/>
          </w:tcPr>
          <w:p w14:paraId="2D3130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755" w:type="dxa"/>
          </w:tcPr>
          <w:p w14:paraId="532BEE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РУДА Иван Павлович</w:t>
            </w:r>
          </w:p>
        </w:tc>
        <w:tc>
          <w:tcPr>
            <w:tcW w:w="1755" w:type="dxa"/>
          </w:tcPr>
          <w:p w14:paraId="5758D7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c>
          <w:tcPr>
            <w:tcW w:w="1755" w:type="dxa"/>
          </w:tcPr>
          <w:p w14:paraId="06621E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 7</w:t>
            </w:r>
          </w:p>
        </w:tc>
        <w:tc>
          <w:tcPr>
            <w:tcW w:w="1755" w:type="dxa"/>
          </w:tcPr>
          <w:p w14:paraId="7D29E9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9 почт. отд, почт. ящ. № 1</w:t>
            </w:r>
          </w:p>
        </w:tc>
        <w:tc>
          <w:tcPr>
            <w:tcW w:w="1755" w:type="dxa"/>
          </w:tcPr>
          <w:p w14:paraId="4BFFBC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Завод 7</w:t>
            </w:r>
          </w:p>
        </w:tc>
        <w:tc>
          <w:tcPr>
            <w:tcW w:w="1755" w:type="dxa"/>
          </w:tcPr>
          <w:p w14:paraId="2CF81C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4-85-09</w:t>
            </w:r>
          </w:p>
          <w:p w14:paraId="455E37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5-42-60</w:t>
            </w:r>
          </w:p>
        </w:tc>
      </w:tr>
      <w:tr w:rsidR="00A61694" w:rsidRPr="00507A31" w14:paraId="111E2FFA" w14:textId="77777777">
        <w:tc>
          <w:tcPr>
            <w:tcW w:w="675" w:type="dxa"/>
          </w:tcPr>
          <w:p w14:paraId="47699C4B"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399DB8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МОНАХОВ Николай Федорович</w:t>
            </w:r>
          </w:p>
        </w:tc>
        <w:tc>
          <w:tcPr>
            <w:tcW w:w="1755" w:type="dxa"/>
          </w:tcPr>
          <w:p w14:paraId="72BF86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755" w:type="dxa"/>
          </w:tcPr>
          <w:p w14:paraId="38A20E75"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3C115EB8"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016B85E0"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14FB8B5D"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4966C49" w14:textId="77777777">
        <w:tc>
          <w:tcPr>
            <w:tcW w:w="675" w:type="dxa"/>
          </w:tcPr>
          <w:p w14:paraId="4E2349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w:t>
            </w:r>
          </w:p>
        </w:tc>
        <w:tc>
          <w:tcPr>
            <w:tcW w:w="1755" w:type="dxa"/>
          </w:tcPr>
          <w:p w14:paraId="3AD4D8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ИВАНОВ Константин Васильевич</w:t>
            </w:r>
          </w:p>
        </w:tc>
        <w:tc>
          <w:tcPr>
            <w:tcW w:w="1755" w:type="dxa"/>
          </w:tcPr>
          <w:p w14:paraId="128712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c>
          <w:tcPr>
            <w:tcW w:w="1755" w:type="dxa"/>
          </w:tcPr>
          <w:p w14:paraId="62D1D8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 13</w:t>
            </w:r>
          </w:p>
        </w:tc>
        <w:tc>
          <w:tcPr>
            <w:tcW w:w="1755" w:type="dxa"/>
          </w:tcPr>
          <w:p w14:paraId="275CA3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Брянск, Брянск. Почт.-телеграф. Контора, почт. ящ. № 6</w:t>
            </w:r>
          </w:p>
        </w:tc>
        <w:tc>
          <w:tcPr>
            <w:tcW w:w="1755" w:type="dxa"/>
          </w:tcPr>
          <w:p w14:paraId="27EA23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Брянск Шесть</w:t>
            </w:r>
          </w:p>
        </w:tc>
        <w:tc>
          <w:tcPr>
            <w:tcW w:w="1755" w:type="dxa"/>
          </w:tcPr>
          <w:p w14:paraId="5C5112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3-47</w:t>
            </w:r>
          </w:p>
          <w:p w14:paraId="2D4D2B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3-51</w:t>
            </w:r>
          </w:p>
        </w:tc>
      </w:tr>
      <w:tr w:rsidR="00A61694" w:rsidRPr="00507A31" w14:paraId="32C82485" w14:textId="77777777">
        <w:tc>
          <w:tcPr>
            <w:tcW w:w="675" w:type="dxa"/>
          </w:tcPr>
          <w:p w14:paraId="19C4D5F5"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2F50DC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ваканчия</w:t>
            </w:r>
          </w:p>
        </w:tc>
        <w:tc>
          <w:tcPr>
            <w:tcW w:w="1755" w:type="dxa"/>
          </w:tcPr>
          <w:p w14:paraId="4C2D41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755" w:type="dxa"/>
          </w:tcPr>
          <w:p w14:paraId="7F3FD868"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4F5E0B6F"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65E992B0"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4CAD6352"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53AD8FF" w14:textId="77777777">
        <w:tc>
          <w:tcPr>
            <w:tcW w:w="675" w:type="dxa"/>
          </w:tcPr>
          <w:p w14:paraId="432DD3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1755" w:type="dxa"/>
          </w:tcPr>
          <w:p w14:paraId="5007EB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ГУЗАКОВ Петр Васильевич</w:t>
            </w:r>
          </w:p>
        </w:tc>
        <w:tc>
          <w:tcPr>
            <w:tcW w:w="1755" w:type="dxa"/>
          </w:tcPr>
          <w:p w14:paraId="5AEFE3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c>
          <w:tcPr>
            <w:tcW w:w="1755" w:type="dxa"/>
          </w:tcPr>
          <w:p w14:paraId="3FF7DF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8</w:t>
            </w:r>
          </w:p>
        </w:tc>
        <w:tc>
          <w:tcPr>
            <w:tcW w:w="1755" w:type="dxa"/>
          </w:tcPr>
          <w:p w14:paraId="235357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Мытищи, Мос. Губ.Э абон. ящик № 1</w:t>
            </w:r>
          </w:p>
        </w:tc>
        <w:tc>
          <w:tcPr>
            <w:tcW w:w="1755" w:type="dxa"/>
          </w:tcPr>
          <w:p w14:paraId="4F5886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Мытищи Московский ЗИК</w:t>
            </w:r>
          </w:p>
        </w:tc>
        <w:tc>
          <w:tcPr>
            <w:tcW w:w="1755" w:type="dxa"/>
          </w:tcPr>
          <w:p w14:paraId="122735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3-72-30</w:t>
            </w:r>
          </w:p>
        </w:tc>
      </w:tr>
      <w:tr w:rsidR="00A61694" w:rsidRPr="00507A31" w14:paraId="47287603" w14:textId="77777777">
        <w:tc>
          <w:tcPr>
            <w:tcW w:w="675" w:type="dxa"/>
          </w:tcPr>
          <w:p w14:paraId="3DA35C0B"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3F0EEE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АРТАМОНОВ Дмитрий Иванович</w:t>
            </w:r>
          </w:p>
        </w:tc>
        <w:tc>
          <w:tcPr>
            <w:tcW w:w="1755" w:type="dxa"/>
          </w:tcPr>
          <w:p w14:paraId="3AE77D80"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5DC66DBE"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206CEE7D"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0E05EA6F"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13FF6092"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7E57A24D" w14:textId="77777777">
        <w:tc>
          <w:tcPr>
            <w:tcW w:w="675" w:type="dxa"/>
          </w:tcPr>
          <w:p w14:paraId="76443B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1755" w:type="dxa"/>
          </w:tcPr>
          <w:p w14:paraId="3299C2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КУЗЬМИЧЕВ Григорий Трофимович</w:t>
            </w:r>
          </w:p>
        </w:tc>
        <w:tc>
          <w:tcPr>
            <w:tcW w:w="1755" w:type="dxa"/>
          </w:tcPr>
          <w:p w14:paraId="4FC0E6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c>
          <w:tcPr>
            <w:tcW w:w="1755" w:type="dxa"/>
          </w:tcPr>
          <w:p w14:paraId="36503D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Мостяжарт</w:t>
            </w:r>
          </w:p>
        </w:tc>
        <w:tc>
          <w:tcPr>
            <w:tcW w:w="1755" w:type="dxa"/>
          </w:tcPr>
          <w:p w14:paraId="3F5C67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Семеновская застава, Вельяминовская ул., 32</w:t>
            </w:r>
          </w:p>
        </w:tc>
        <w:tc>
          <w:tcPr>
            <w:tcW w:w="1755" w:type="dxa"/>
          </w:tcPr>
          <w:p w14:paraId="56F0FC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755" w:type="dxa"/>
          </w:tcPr>
          <w:p w14:paraId="7610D2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4-47-18</w:t>
            </w:r>
          </w:p>
        </w:tc>
      </w:tr>
      <w:tr w:rsidR="00A61694" w:rsidRPr="00507A31" w14:paraId="10A69860" w14:textId="77777777">
        <w:tc>
          <w:tcPr>
            <w:tcW w:w="675" w:type="dxa"/>
          </w:tcPr>
          <w:p w14:paraId="02FA52CC"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584702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ПЕТРАШКО Иван Иосифович</w:t>
            </w:r>
          </w:p>
        </w:tc>
        <w:tc>
          <w:tcPr>
            <w:tcW w:w="1755" w:type="dxa"/>
          </w:tcPr>
          <w:p w14:paraId="372856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755" w:type="dxa"/>
          </w:tcPr>
          <w:p w14:paraId="21892A55"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2629CD55"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2CB6F02D"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0128ADF7"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50B15FF" w14:textId="77777777">
        <w:tc>
          <w:tcPr>
            <w:tcW w:w="675" w:type="dxa"/>
          </w:tcPr>
          <w:p w14:paraId="623064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tc>
        <w:tc>
          <w:tcPr>
            <w:tcW w:w="1755" w:type="dxa"/>
          </w:tcPr>
          <w:p w14:paraId="759909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ТИТОВ Игнат Тихонович</w:t>
            </w:r>
          </w:p>
        </w:tc>
        <w:tc>
          <w:tcPr>
            <w:tcW w:w="1755" w:type="dxa"/>
          </w:tcPr>
          <w:p w14:paraId="0AFDD6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c>
          <w:tcPr>
            <w:tcW w:w="1755" w:type="dxa"/>
          </w:tcPr>
          <w:p w14:paraId="47281E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точной механики № 9</w:t>
            </w:r>
          </w:p>
        </w:tc>
        <w:tc>
          <w:tcPr>
            <w:tcW w:w="1755" w:type="dxa"/>
          </w:tcPr>
          <w:p w14:paraId="6925C1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 Павшино, МББ ж.д. почт. ящ. № 2</w:t>
            </w:r>
          </w:p>
        </w:tc>
        <w:tc>
          <w:tcPr>
            <w:tcW w:w="1755" w:type="dxa"/>
          </w:tcPr>
          <w:p w14:paraId="686BF9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755" w:type="dxa"/>
          </w:tcPr>
          <w:p w14:paraId="1147AF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5-56-43</w:t>
            </w:r>
          </w:p>
          <w:p w14:paraId="06311B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2-93-75</w:t>
            </w:r>
          </w:p>
        </w:tc>
      </w:tr>
      <w:tr w:rsidR="00A61694" w:rsidRPr="00507A31" w14:paraId="55525128" w14:textId="77777777">
        <w:tc>
          <w:tcPr>
            <w:tcW w:w="675" w:type="dxa"/>
          </w:tcPr>
          <w:p w14:paraId="355798C0"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7C8BD1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нет по штату</w:t>
            </w:r>
          </w:p>
        </w:tc>
        <w:tc>
          <w:tcPr>
            <w:tcW w:w="1755" w:type="dxa"/>
          </w:tcPr>
          <w:p w14:paraId="1AF777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755" w:type="dxa"/>
          </w:tcPr>
          <w:p w14:paraId="22B9A026"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46418967"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5B4105B7"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68851A64"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B2D2735" w14:textId="77777777">
        <w:tc>
          <w:tcPr>
            <w:tcW w:w="675" w:type="dxa"/>
          </w:tcPr>
          <w:p w14:paraId="52005B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1755" w:type="dxa"/>
          </w:tcPr>
          <w:p w14:paraId="72CD98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ВИКСНЕ Ян Петрович</w:t>
            </w:r>
          </w:p>
        </w:tc>
        <w:tc>
          <w:tcPr>
            <w:tcW w:w="1755" w:type="dxa"/>
          </w:tcPr>
          <w:p w14:paraId="5460D4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c>
          <w:tcPr>
            <w:tcW w:w="1755" w:type="dxa"/>
          </w:tcPr>
          <w:p w14:paraId="21CF7B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Изюмский завод оптич. стекла</w:t>
            </w:r>
          </w:p>
        </w:tc>
        <w:tc>
          <w:tcPr>
            <w:tcW w:w="1755" w:type="dxa"/>
          </w:tcPr>
          <w:p w14:paraId="2FB1B5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Изюм, почт. ящ. 24</w:t>
            </w:r>
          </w:p>
        </w:tc>
        <w:tc>
          <w:tcPr>
            <w:tcW w:w="1755" w:type="dxa"/>
          </w:tcPr>
          <w:p w14:paraId="4F9016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Изюм Гудок</w:t>
            </w:r>
          </w:p>
        </w:tc>
        <w:tc>
          <w:tcPr>
            <w:tcW w:w="1755" w:type="dxa"/>
          </w:tcPr>
          <w:p w14:paraId="65CE6CB4"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0EDD5FD7" w14:textId="77777777">
        <w:tc>
          <w:tcPr>
            <w:tcW w:w="675" w:type="dxa"/>
          </w:tcPr>
          <w:p w14:paraId="4E45F2B8"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6C7D6E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нет по штату</w:t>
            </w:r>
          </w:p>
        </w:tc>
        <w:tc>
          <w:tcPr>
            <w:tcW w:w="1755" w:type="dxa"/>
          </w:tcPr>
          <w:p w14:paraId="22F9E0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755" w:type="dxa"/>
          </w:tcPr>
          <w:p w14:paraId="672BB0F1"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123004B1"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5730A66F"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Pr>
          <w:p w14:paraId="006DC9A5"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3359CE4" w14:textId="77777777">
        <w:tc>
          <w:tcPr>
            <w:tcW w:w="675" w:type="dxa"/>
          </w:tcPr>
          <w:p w14:paraId="5DB264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w:t>
            </w:r>
          </w:p>
        </w:tc>
        <w:tc>
          <w:tcPr>
            <w:tcW w:w="1755" w:type="dxa"/>
          </w:tcPr>
          <w:p w14:paraId="1FCAD8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ИАНОВ Василий Иванович</w:t>
            </w:r>
          </w:p>
        </w:tc>
        <w:tc>
          <w:tcPr>
            <w:tcW w:w="1755" w:type="dxa"/>
          </w:tcPr>
          <w:p w14:paraId="43E099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c>
          <w:tcPr>
            <w:tcW w:w="1755" w:type="dxa"/>
          </w:tcPr>
          <w:p w14:paraId="1A710F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ЛЕНЗОС</w:t>
            </w:r>
          </w:p>
        </w:tc>
        <w:tc>
          <w:tcPr>
            <w:tcW w:w="1755" w:type="dxa"/>
          </w:tcPr>
          <w:p w14:paraId="7E73F1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33 почт. отд., почт. ящ. № 1</w:t>
            </w:r>
          </w:p>
        </w:tc>
        <w:tc>
          <w:tcPr>
            <w:tcW w:w="1755" w:type="dxa"/>
          </w:tcPr>
          <w:p w14:paraId="40FE49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Лензос</w:t>
            </w:r>
          </w:p>
        </w:tc>
        <w:tc>
          <w:tcPr>
            <w:tcW w:w="1755" w:type="dxa"/>
          </w:tcPr>
          <w:p w14:paraId="765B9A26"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1D6152E4" w14:textId="77777777">
        <w:tc>
          <w:tcPr>
            <w:tcW w:w="675" w:type="dxa"/>
            <w:tcBorders>
              <w:bottom w:val="single" w:sz="12" w:space="0" w:color="auto"/>
            </w:tcBorders>
          </w:tcPr>
          <w:p w14:paraId="2AD09EB0"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Borders>
              <w:bottom w:val="single" w:sz="12" w:space="0" w:color="auto"/>
            </w:tcBorders>
          </w:tcPr>
          <w:p w14:paraId="206480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нет по штату</w:t>
            </w:r>
          </w:p>
        </w:tc>
        <w:tc>
          <w:tcPr>
            <w:tcW w:w="1755" w:type="dxa"/>
            <w:tcBorders>
              <w:bottom w:val="single" w:sz="12" w:space="0" w:color="auto"/>
            </w:tcBorders>
          </w:tcPr>
          <w:p w14:paraId="4AAF3C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755" w:type="dxa"/>
            <w:tcBorders>
              <w:bottom w:val="single" w:sz="12" w:space="0" w:color="auto"/>
            </w:tcBorders>
          </w:tcPr>
          <w:p w14:paraId="3FAC1647"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Borders>
              <w:bottom w:val="single" w:sz="12" w:space="0" w:color="auto"/>
            </w:tcBorders>
          </w:tcPr>
          <w:p w14:paraId="47DF6EBF"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Borders>
              <w:bottom w:val="single" w:sz="12" w:space="0" w:color="auto"/>
            </w:tcBorders>
          </w:tcPr>
          <w:p w14:paraId="61A85DC4" w14:textId="77777777" w:rsidR="00537E5F" w:rsidRPr="00507A31" w:rsidRDefault="00537E5F" w:rsidP="00507A31">
            <w:pPr>
              <w:autoSpaceDE w:val="0"/>
              <w:autoSpaceDN w:val="0"/>
              <w:adjustRightInd w:val="0"/>
              <w:jc w:val="both"/>
              <w:rPr>
                <w:color w:val="000000" w:themeColor="text1"/>
                <w:sz w:val="16"/>
                <w:szCs w:val="16"/>
              </w:rPr>
            </w:pPr>
          </w:p>
        </w:tc>
        <w:tc>
          <w:tcPr>
            <w:tcW w:w="1755" w:type="dxa"/>
            <w:tcBorders>
              <w:bottom w:val="single" w:sz="12" w:space="0" w:color="auto"/>
            </w:tcBorders>
          </w:tcPr>
          <w:p w14:paraId="132213E1" w14:textId="77777777" w:rsidR="00537E5F" w:rsidRPr="00507A31" w:rsidRDefault="00537E5F" w:rsidP="00507A31">
            <w:pPr>
              <w:autoSpaceDE w:val="0"/>
              <w:autoSpaceDN w:val="0"/>
              <w:adjustRightInd w:val="0"/>
              <w:jc w:val="both"/>
              <w:rPr>
                <w:color w:val="000000" w:themeColor="text1"/>
                <w:sz w:val="16"/>
                <w:szCs w:val="16"/>
              </w:rPr>
            </w:pPr>
          </w:p>
        </w:tc>
      </w:tr>
    </w:tbl>
    <w:p w14:paraId="39B5B8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(8826,61).</w:t>
      </w:r>
    </w:p>
    <w:p w14:paraId="0B736E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D43F17B" w14:textId="77777777" w:rsidR="00974066" w:rsidRPr="00507A31" w:rsidRDefault="00974066" w:rsidP="00507A31">
      <w:pPr>
        <w:shd w:val="clear" w:color="auto" w:fill="FFFFFF"/>
        <w:jc w:val="both"/>
        <w:rPr>
          <w:color w:val="0070C0"/>
          <w:sz w:val="16"/>
          <w:szCs w:val="16"/>
        </w:rPr>
      </w:pPr>
      <w:bookmarkStart w:id="23" w:name="_Hlk83565520"/>
      <w:r w:rsidRPr="00507A31">
        <w:rPr>
          <w:color w:val="0070C0"/>
          <w:sz w:val="16"/>
          <w:szCs w:val="16"/>
        </w:rPr>
        <w:t>21 февраля 1930 состоялось заседание РЗ СТО</w:t>
      </w:r>
    </w:p>
    <w:p w14:paraId="7293CF3A" w14:textId="77777777" w:rsidR="00974066" w:rsidRPr="00507A31" w:rsidRDefault="00974066" w:rsidP="00507A31">
      <w:pPr>
        <w:shd w:val="clear" w:color="auto" w:fill="FFFFFF"/>
        <w:jc w:val="both"/>
        <w:rPr>
          <w:color w:val="0070C0"/>
          <w:sz w:val="16"/>
          <w:szCs w:val="16"/>
        </w:rPr>
      </w:pPr>
      <w:r w:rsidRPr="00507A31">
        <w:rPr>
          <w:color w:val="0070C0"/>
          <w:sz w:val="16"/>
          <w:szCs w:val="16"/>
        </w:rPr>
        <w:t>Протокол № 45 от 21 февраля 1930 г.:</w:t>
      </w:r>
    </w:p>
    <w:p w14:paraId="2B81D237" w14:textId="77777777" w:rsidR="00974066" w:rsidRPr="00507A31" w:rsidRDefault="00974066" w:rsidP="00507A31">
      <w:pPr>
        <w:shd w:val="clear" w:color="auto" w:fill="FFFFFF"/>
        <w:jc w:val="both"/>
        <w:rPr>
          <w:color w:val="0070C0"/>
          <w:sz w:val="16"/>
          <w:szCs w:val="16"/>
        </w:rPr>
      </w:pPr>
      <w:r w:rsidRPr="00507A31">
        <w:rPr>
          <w:color w:val="0070C0"/>
          <w:sz w:val="16"/>
          <w:szCs w:val="16"/>
        </w:rPr>
        <w:t>…Об изменении редакции ст. 2-й постановления РЗ СТО от 30/1-30 г. (пр. № 44 п. 7) - "Об организации Государственного института по проектированию заводов военной промышленности" (постановление РЗ СТО от 15.2.1930 г. к протоколу РЗ СТО № 45 от 21.2.1930 г. по п. 13).</w:t>
      </w:r>
    </w:p>
    <w:p w14:paraId="2E6A626C" w14:textId="77777777" w:rsidR="00974066" w:rsidRPr="00507A31" w:rsidRDefault="00974066" w:rsidP="00507A31">
      <w:pPr>
        <w:shd w:val="clear" w:color="auto" w:fill="FFFFFF"/>
        <w:jc w:val="both"/>
        <w:rPr>
          <w:color w:val="0070C0"/>
          <w:sz w:val="16"/>
          <w:szCs w:val="16"/>
        </w:rPr>
      </w:pPr>
      <w:r w:rsidRPr="00507A31">
        <w:rPr>
          <w:color w:val="0070C0"/>
          <w:sz w:val="16"/>
          <w:szCs w:val="16"/>
        </w:rPr>
        <w:t>…О дислокации новых заводов Авиатреста (постановление РЗ СТО от 18.2.1930 г. к протоколу РЗ СТО № 45 от 21.2.1930 г. по п. 16).</w:t>
      </w:r>
    </w:p>
    <w:p w14:paraId="424E85ED" w14:textId="77777777" w:rsidR="00974066" w:rsidRPr="00507A31" w:rsidRDefault="00974066" w:rsidP="00507A31">
      <w:pPr>
        <w:shd w:val="clear" w:color="auto" w:fill="FFFFFF"/>
        <w:jc w:val="both"/>
        <w:rPr>
          <w:color w:val="0070C0"/>
          <w:sz w:val="16"/>
          <w:szCs w:val="16"/>
        </w:rPr>
      </w:pPr>
      <w:r w:rsidRPr="00507A31">
        <w:rPr>
          <w:color w:val="0070C0"/>
          <w:sz w:val="16"/>
          <w:szCs w:val="16"/>
        </w:rPr>
        <w:t>Об усилении бдительности охраны важнейших объектов государственного значения, а также специальных запасов имущества и товаров (постановление СНК СССР от 15.2.1930 г. [протокол СНК СССР № 7/333 п. 4] к протоколу РЗ CTO № 45 от 21.2.1930 г. по п. 17) (21566).</w:t>
      </w:r>
    </w:p>
    <w:p w14:paraId="5974B3E1" w14:textId="77777777" w:rsidR="00974066" w:rsidRPr="00507A31" w:rsidRDefault="00974066" w:rsidP="00507A31">
      <w:pPr>
        <w:jc w:val="both"/>
        <w:rPr>
          <w:color w:val="0070C0"/>
          <w:sz w:val="16"/>
          <w:szCs w:val="16"/>
        </w:rPr>
      </w:pPr>
    </w:p>
    <w:bookmarkEnd w:id="23"/>
    <w:p w14:paraId="6652A07F" w14:textId="77777777" w:rsidR="00C51A9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AE420ED" w14:textId="77777777" w:rsidR="00C51A9F" w:rsidRPr="00507A31" w:rsidRDefault="00C51A9F" w:rsidP="00507A31">
      <w:pPr>
        <w:autoSpaceDE w:val="0"/>
        <w:autoSpaceDN w:val="0"/>
        <w:adjustRightInd w:val="0"/>
        <w:jc w:val="both"/>
        <w:rPr>
          <w:iCs/>
          <w:color w:val="000000" w:themeColor="text1"/>
          <w:sz w:val="16"/>
          <w:szCs w:val="16"/>
        </w:rPr>
      </w:pPr>
    </w:p>
    <w:p w14:paraId="6CCFD014" w14:textId="77777777" w:rsidR="00C51A9F" w:rsidRPr="00507A31" w:rsidRDefault="00C51A9F" w:rsidP="00507A31">
      <w:pPr>
        <w:jc w:val="both"/>
        <w:rPr>
          <w:color w:val="000000" w:themeColor="text1"/>
          <w:sz w:val="16"/>
          <w:szCs w:val="16"/>
        </w:rPr>
      </w:pPr>
      <w:r w:rsidRPr="00507A31">
        <w:rPr>
          <w:rStyle w:val="a7"/>
          <w:b w:val="0"/>
          <w:color w:val="000000" w:themeColor="text1"/>
          <w:sz w:val="16"/>
          <w:szCs w:val="16"/>
        </w:rPr>
        <w:t xml:space="preserve">21 февраля 1930 </w:t>
      </w:r>
      <w:r w:rsidRPr="00507A31">
        <w:rPr>
          <w:color w:val="000000" w:themeColor="text1"/>
          <w:sz w:val="16"/>
          <w:szCs w:val="16"/>
        </w:rPr>
        <w:t>ЦИК и СНК приняли постановление «О государственном займе "Пятилетка в четыре года» (12265).</w:t>
      </w:r>
    </w:p>
    <w:p w14:paraId="7B6E8101" w14:textId="77777777" w:rsidR="00C51A9F" w:rsidRPr="00507A31" w:rsidRDefault="00C51A9F" w:rsidP="00507A31">
      <w:pPr>
        <w:jc w:val="both"/>
        <w:rPr>
          <w:color w:val="000000" w:themeColor="text1"/>
          <w:sz w:val="16"/>
          <w:szCs w:val="16"/>
        </w:rPr>
      </w:pPr>
      <w:r w:rsidRPr="00507A31">
        <w:rPr>
          <w:color w:val="000000" w:themeColor="text1"/>
          <w:sz w:val="16"/>
          <w:szCs w:val="16"/>
        </w:rPr>
        <w:t>СНК принял постановление «О планировании энергетического хозяйства» (12265).</w:t>
      </w:r>
    </w:p>
    <w:p w14:paraId="5957F960" w14:textId="77777777" w:rsidR="00C51A9F" w:rsidRPr="00507A31" w:rsidRDefault="00C51A9F" w:rsidP="00507A31">
      <w:pPr>
        <w:jc w:val="both"/>
        <w:rPr>
          <w:color w:val="000000" w:themeColor="text1"/>
          <w:sz w:val="16"/>
          <w:szCs w:val="16"/>
        </w:rPr>
      </w:pPr>
      <w:r w:rsidRPr="00507A31">
        <w:rPr>
          <w:color w:val="000000" w:themeColor="text1"/>
          <w:sz w:val="16"/>
          <w:szCs w:val="16"/>
        </w:rPr>
        <w:t> </w:t>
      </w:r>
    </w:p>
    <w:p w14:paraId="1F06B50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F5B0576" w14:textId="77777777" w:rsidR="00537E5F" w:rsidRPr="00507A31" w:rsidRDefault="00537E5F" w:rsidP="00507A31">
      <w:pPr>
        <w:autoSpaceDE w:val="0"/>
        <w:autoSpaceDN w:val="0"/>
        <w:adjustRightInd w:val="0"/>
        <w:jc w:val="both"/>
        <w:rPr>
          <w:iCs/>
          <w:color w:val="000000" w:themeColor="text1"/>
          <w:sz w:val="16"/>
          <w:szCs w:val="16"/>
        </w:rPr>
      </w:pPr>
    </w:p>
    <w:p w14:paraId="41ED63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февраля 1930 вышел приказ РВС СССР, утвердивший "Наставления по применению морской авиации", которые можно считать датой рождения торпедоносцев (561,5).</w:t>
      </w:r>
    </w:p>
    <w:p w14:paraId="4B187519" w14:textId="77777777" w:rsidR="00537E5F" w:rsidRPr="00507A31" w:rsidRDefault="00537E5F" w:rsidP="00507A31">
      <w:pPr>
        <w:autoSpaceDE w:val="0"/>
        <w:autoSpaceDN w:val="0"/>
        <w:adjustRightInd w:val="0"/>
        <w:jc w:val="both"/>
        <w:rPr>
          <w:color w:val="000000" w:themeColor="text1"/>
          <w:sz w:val="16"/>
          <w:szCs w:val="16"/>
        </w:rPr>
      </w:pPr>
    </w:p>
    <w:p w14:paraId="04510A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22 февраля 1930 Реввоенсовет утвердил "Наставление по боевому применению морской авиации", в 6-й статье которого вводилось деление морской авиации на истребительную, разведывательную. бомбардировочную и торпедоносную. При этом последняя существовала только в виде нескольких экспериментальных самолетов (12002).</w:t>
      </w:r>
    </w:p>
    <w:p w14:paraId="34065F4F" w14:textId="77777777" w:rsidR="00537E5F" w:rsidRPr="00507A31" w:rsidRDefault="00537E5F" w:rsidP="00507A31">
      <w:pPr>
        <w:autoSpaceDE w:val="0"/>
        <w:autoSpaceDN w:val="0"/>
        <w:adjustRightInd w:val="0"/>
        <w:jc w:val="both"/>
        <w:rPr>
          <w:color w:val="000000" w:themeColor="text1"/>
          <w:sz w:val="16"/>
          <w:szCs w:val="16"/>
        </w:rPr>
      </w:pPr>
    </w:p>
    <w:p w14:paraId="738319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февраля 1930 г. приказом № 43 РВС СССР было принято «Наставле</w:t>
      </w:r>
      <w:r w:rsidRPr="00507A31">
        <w:rPr>
          <w:color w:val="000000" w:themeColor="text1"/>
          <w:sz w:val="16"/>
          <w:szCs w:val="16"/>
        </w:rPr>
        <w:softHyphen/>
        <w:t>ние по боевому применению морс</w:t>
      </w:r>
      <w:r w:rsidRPr="00507A31">
        <w:rPr>
          <w:color w:val="000000" w:themeColor="text1"/>
          <w:sz w:val="16"/>
          <w:szCs w:val="16"/>
        </w:rPr>
        <w:softHyphen/>
        <w:t>кой авиации». Приказ был подпи</w:t>
      </w:r>
      <w:r w:rsidRPr="00507A31">
        <w:rPr>
          <w:color w:val="000000" w:themeColor="text1"/>
          <w:sz w:val="16"/>
          <w:szCs w:val="16"/>
        </w:rPr>
        <w:softHyphen/>
        <w:t>сан Наркомом по Военным и Мор</w:t>
      </w:r>
      <w:r w:rsidRPr="00507A31">
        <w:rPr>
          <w:color w:val="000000" w:themeColor="text1"/>
          <w:sz w:val="16"/>
          <w:szCs w:val="16"/>
        </w:rPr>
        <w:softHyphen/>
        <w:t>ским делами и Председателем РВС СССР Ворошиловым.</w:t>
      </w:r>
    </w:p>
    <w:p w14:paraId="0785F3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Отдавая должное довольно скромным возможностям морской авиации, в Наставлении было за</w:t>
      </w:r>
      <w:r w:rsidRPr="00507A31">
        <w:rPr>
          <w:color w:val="000000" w:themeColor="text1"/>
          <w:sz w:val="16"/>
          <w:szCs w:val="16"/>
        </w:rPr>
        <w:softHyphen/>
        <w:t>писано: «В современной стадии развития морская авиация рассмат</w:t>
      </w:r>
      <w:r w:rsidRPr="00507A31">
        <w:rPr>
          <w:color w:val="000000" w:themeColor="text1"/>
          <w:sz w:val="16"/>
          <w:szCs w:val="16"/>
        </w:rPr>
        <w:softHyphen/>
        <w:t>ривается как вспомогательное бо</w:t>
      </w:r>
      <w:r w:rsidRPr="00507A31">
        <w:rPr>
          <w:color w:val="000000" w:themeColor="text1"/>
          <w:sz w:val="16"/>
          <w:szCs w:val="16"/>
        </w:rPr>
        <w:softHyphen/>
        <w:t>евое средство, имеющее основным назначением содействовать опера</w:t>
      </w:r>
      <w:r w:rsidRPr="00507A31">
        <w:rPr>
          <w:color w:val="000000" w:themeColor="text1"/>
          <w:sz w:val="16"/>
          <w:szCs w:val="16"/>
        </w:rPr>
        <w:softHyphen/>
        <w:t>циям Морских сил». Таким образом, не исключалось, что морская авиа</w:t>
      </w:r>
      <w:r w:rsidRPr="00507A31">
        <w:rPr>
          <w:color w:val="000000" w:themeColor="text1"/>
          <w:sz w:val="16"/>
          <w:szCs w:val="16"/>
        </w:rPr>
        <w:softHyphen/>
        <w:t>ция в перспективе займёт более достойное и подобающее ей мес</w:t>
      </w:r>
      <w:r w:rsidRPr="00507A31">
        <w:rPr>
          <w:color w:val="000000" w:themeColor="text1"/>
          <w:sz w:val="16"/>
          <w:szCs w:val="16"/>
        </w:rPr>
        <w:softHyphen/>
        <w:t>то. Далее в Наставлении были оп</w:t>
      </w:r>
      <w:r w:rsidRPr="00507A31">
        <w:rPr>
          <w:color w:val="000000" w:themeColor="text1"/>
          <w:sz w:val="16"/>
          <w:szCs w:val="16"/>
        </w:rPr>
        <w:softHyphen/>
        <w:t>ределены основные рода морской авиации: разведывательная, бом</w:t>
      </w:r>
      <w:r w:rsidRPr="00507A31">
        <w:rPr>
          <w:color w:val="000000" w:themeColor="text1"/>
          <w:sz w:val="16"/>
          <w:szCs w:val="16"/>
        </w:rPr>
        <w:softHyphen/>
        <w:t>бардировочная, торпедоносная и истребительная. Обращает внима</w:t>
      </w:r>
      <w:r w:rsidRPr="00507A31">
        <w:rPr>
          <w:color w:val="000000" w:themeColor="text1"/>
          <w:sz w:val="16"/>
          <w:szCs w:val="16"/>
        </w:rPr>
        <w:softHyphen/>
        <w:t>ние, что штурмовой авиации, как роду сил, в морской авиации места не нашлось. Морская авиация де</w:t>
      </w:r>
      <w:r w:rsidRPr="00507A31">
        <w:rPr>
          <w:color w:val="000000" w:themeColor="text1"/>
          <w:sz w:val="16"/>
          <w:szCs w:val="16"/>
        </w:rPr>
        <w:softHyphen/>
        <w:t>лилась на береговую и корабель</w:t>
      </w:r>
      <w:r w:rsidRPr="00507A31">
        <w:rPr>
          <w:color w:val="000000" w:themeColor="text1"/>
          <w:sz w:val="16"/>
          <w:szCs w:val="16"/>
        </w:rPr>
        <w:softHyphen/>
        <w:t>ную. Береговая авиация организу</w:t>
      </w:r>
      <w:r w:rsidRPr="00507A31">
        <w:rPr>
          <w:color w:val="000000" w:themeColor="text1"/>
          <w:sz w:val="16"/>
          <w:szCs w:val="16"/>
        </w:rPr>
        <w:softHyphen/>
        <w:t>ется из отдельных отрядов и эскад</w:t>
      </w:r>
      <w:r w:rsidRPr="00507A31">
        <w:rPr>
          <w:color w:val="000000" w:themeColor="text1"/>
          <w:sz w:val="16"/>
          <w:szCs w:val="16"/>
        </w:rPr>
        <w:softHyphen/>
        <w:t>рилий. Из общих положений следо</w:t>
      </w:r>
      <w:r w:rsidRPr="00507A31">
        <w:rPr>
          <w:color w:val="000000" w:themeColor="text1"/>
          <w:sz w:val="16"/>
          <w:szCs w:val="16"/>
        </w:rPr>
        <w:softHyphen/>
        <w:t>вало, что боевое управление все</w:t>
      </w:r>
      <w:r w:rsidRPr="00507A31">
        <w:rPr>
          <w:color w:val="000000" w:themeColor="text1"/>
          <w:sz w:val="16"/>
          <w:szCs w:val="16"/>
        </w:rPr>
        <w:softHyphen/>
        <w:t>ми частями морской авиации на данном морском театре осуществ</w:t>
      </w:r>
      <w:r w:rsidRPr="00507A31">
        <w:rPr>
          <w:color w:val="000000" w:themeColor="text1"/>
          <w:sz w:val="16"/>
          <w:szCs w:val="16"/>
        </w:rPr>
        <w:softHyphen/>
        <w:t>ляет начальник ВВС моря (12084).</w:t>
      </w:r>
    </w:p>
    <w:p w14:paraId="38C96F9F" w14:textId="77777777" w:rsidR="00537E5F" w:rsidRPr="00507A31" w:rsidRDefault="00537E5F" w:rsidP="00507A31">
      <w:pPr>
        <w:autoSpaceDE w:val="0"/>
        <w:autoSpaceDN w:val="0"/>
        <w:adjustRightInd w:val="0"/>
        <w:jc w:val="both"/>
        <w:rPr>
          <w:color w:val="000000" w:themeColor="text1"/>
          <w:sz w:val="16"/>
          <w:szCs w:val="16"/>
        </w:rPr>
      </w:pPr>
    </w:p>
    <w:p w14:paraId="22CBE7F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38E302B" w14:textId="77777777" w:rsidR="00537E5F" w:rsidRPr="00507A31" w:rsidRDefault="00537E5F" w:rsidP="00507A31">
      <w:pPr>
        <w:autoSpaceDE w:val="0"/>
        <w:autoSpaceDN w:val="0"/>
        <w:adjustRightInd w:val="0"/>
        <w:jc w:val="both"/>
        <w:rPr>
          <w:iCs/>
          <w:color w:val="000000" w:themeColor="text1"/>
          <w:sz w:val="16"/>
          <w:szCs w:val="16"/>
        </w:rPr>
      </w:pPr>
    </w:p>
    <w:p w14:paraId="00DAA1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февраля 1930 Казахская ССР. Войска ОГПУ начали карательную операцию против восставших русских сел в Усть-Каменогорском и Зыряновском районах (10687).</w:t>
      </w:r>
    </w:p>
    <w:p w14:paraId="5E7C7BE5" w14:textId="77777777" w:rsidR="00537E5F" w:rsidRPr="00507A31" w:rsidRDefault="00537E5F" w:rsidP="00507A31">
      <w:pPr>
        <w:autoSpaceDE w:val="0"/>
        <w:autoSpaceDN w:val="0"/>
        <w:adjustRightInd w:val="0"/>
        <w:jc w:val="both"/>
        <w:rPr>
          <w:color w:val="000000" w:themeColor="text1"/>
          <w:sz w:val="16"/>
          <w:szCs w:val="16"/>
        </w:rPr>
      </w:pPr>
    </w:p>
    <w:p w14:paraId="68A9FA0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BE9AAD2" w14:textId="77777777" w:rsidR="00537E5F" w:rsidRPr="00507A31" w:rsidRDefault="00537E5F" w:rsidP="00507A31">
      <w:pPr>
        <w:autoSpaceDE w:val="0"/>
        <w:autoSpaceDN w:val="0"/>
        <w:adjustRightInd w:val="0"/>
        <w:jc w:val="both"/>
        <w:rPr>
          <w:iCs/>
          <w:color w:val="000000" w:themeColor="text1"/>
          <w:sz w:val="16"/>
          <w:szCs w:val="16"/>
        </w:rPr>
      </w:pPr>
    </w:p>
    <w:p w14:paraId="2E4B10AF" w14:textId="77777777" w:rsidR="004562AE" w:rsidRPr="00507A31" w:rsidRDefault="004562AE" w:rsidP="00507A31">
      <w:pPr>
        <w:jc w:val="both"/>
        <w:rPr>
          <w:color w:val="000000" w:themeColor="text1"/>
          <w:sz w:val="16"/>
          <w:szCs w:val="16"/>
        </w:rPr>
      </w:pPr>
      <w:r w:rsidRPr="00507A31">
        <w:rPr>
          <w:bCs/>
          <w:color w:val="000000" w:themeColor="text1"/>
          <w:sz w:val="16"/>
          <w:szCs w:val="16"/>
        </w:rPr>
        <w:t>22 февраля</w:t>
      </w:r>
      <w:r w:rsidRPr="00507A31">
        <w:rPr>
          <w:color w:val="000000" w:themeColor="text1"/>
          <w:sz w:val="16"/>
          <w:szCs w:val="16"/>
        </w:rPr>
        <w:t xml:space="preserve"> в 1930 году в английском городке Мэнсфилд прошел первый футбольный матч при электрическом освещении, а ровно 26 лет спустя в Портсмуте футбольный матч состоялся на стадионе, где для освещения поля были воздвигнуты специальные прожекторные стойки (15048).</w:t>
      </w:r>
    </w:p>
    <w:p w14:paraId="10CBCD9D" w14:textId="77777777" w:rsidR="004562AE" w:rsidRPr="00507A31" w:rsidRDefault="004562AE" w:rsidP="00507A31">
      <w:pPr>
        <w:jc w:val="both"/>
        <w:rPr>
          <w:color w:val="000000" w:themeColor="text1"/>
          <w:sz w:val="16"/>
          <w:szCs w:val="16"/>
        </w:rPr>
      </w:pPr>
    </w:p>
    <w:p w14:paraId="759BB0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февраля 1930 Персидский залив. Король Хиджаза и Неджда Ибн Сауд заключил мир с королем Ирака Фейсалом (сыном бывшего эмира Хиджаза Хуссейна) на борту английского корабля "Лупин", завершив саудовско-хашимитскую династическую вражду на Аравийском п-ове (1919-1930) 1930 Войска короля Хиджаза и Неджда Ибн Сауда завершили покорение Асира. (1920-1930 гг) (7558).</w:t>
      </w:r>
    </w:p>
    <w:p w14:paraId="70DAFEEA" w14:textId="77777777" w:rsidR="00537E5F" w:rsidRPr="00507A31" w:rsidRDefault="00537E5F" w:rsidP="00507A31">
      <w:pPr>
        <w:autoSpaceDE w:val="0"/>
        <w:autoSpaceDN w:val="0"/>
        <w:adjustRightInd w:val="0"/>
        <w:jc w:val="both"/>
        <w:rPr>
          <w:color w:val="000000" w:themeColor="text1"/>
          <w:sz w:val="16"/>
          <w:szCs w:val="16"/>
        </w:rPr>
      </w:pPr>
    </w:p>
    <w:p w14:paraId="1C7251D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8B98DAC" w14:textId="77777777" w:rsidR="00537E5F" w:rsidRPr="00507A31" w:rsidRDefault="00537E5F" w:rsidP="00507A31">
      <w:pPr>
        <w:autoSpaceDE w:val="0"/>
        <w:autoSpaceDN w:val="0"/>
        <w:adjustRightInd w:val="0"/>
        <w:jc w:val="both"/>
        <w:rPr>
          <w:iCs/>
          <w:color w:val="000000" w:themeColor="text1"/>
          <w:sz w:val="16"/>
          <w:szCs w:val="16"/>
        </w:rPr>
      </w:pPr>
    </w:p>
    <w:p w14:paraId="317CFC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февраля 1930 состоялось заседание Правления Авиатреста (протокол 47) по проблемам заводов 21 - об обеспечении раб. техсилы и 26 - перестройка жилдомов и обеспечение бензином и т.п. (2367,166).</w:t>
      </w:r>
    </w:p>
    <w:p w14:paraId="22DCFAF3" w14:textId="77777777" w:rsidR="00537E5F" w:rsidRPr="00507A31" w:rsidRDefault="00537E5F" w:rsidP="00507A31">
      <w:pPr>
        <w:autoSpaceDE w:val="0"/>
        <w:autoSpaceDN w:val="0"/>
        <w:adjustRightInd w:val="0"/>
        <w:jc w:val="both"/>
        <w:rPr>
          <w:color w:val="000000" w:themeColor="text1"/>
          <w:sz w:val="16"/>
          <w:szCs w:val="16"/>
        </w:rPr>
      </w:pPr>
    </w:p>
    <w:p w14:paraId="1293F9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февраля 1930 был упразднен Совет по гражданской авиации, созданный 9 февраля 1923 и функции были переданы в Гл. инспекции ГА (62,187) - ГИ ГВФ (261,19). Ей подчинили все гражданские общества и организации, имевшие самолеты (438,607).</w:t>
      </w:r>
    </w:p>
    <w:p w14:paraId="51D4601A" w14:textId="77777777" w:rsidR="00537E5F" w:rsidRPr="00507A31" w:rsidRDefault="00537E5F" w:rsidP="00507A31">
      <w:pPr>
        <w:autoSpaceDE w:val="0"/>
        <w:autoSpaceDN w:val="0"/>
        <w:adjustRightInd w:val="0"/>
        <w:jc w:val="both"/>
        <w:rPr>
          <w:color w:val="000000" w:themeColor="text1"/>
          <w:sz w:val="16"/>
          <w:szCs w:val="16"/>
        </w:rPr>
      </w:pPr>
    </w:p>
    <w:p w14:paraId="5B77A44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7E71C88" w14:textId="77777777" w:rsidR="00537E5F" w:rsidRPr="00507A31" w:rsidRDefault="00537E5F" w:rsidP="00507A31">
      <w:pPr>
        <w:autoSpaceDE w:val="0"/>
        <w:autoSpaceDN w:val="0"/>
        <w:adjustRightInd w:val="0"/>
        <w:jc w:val="both"/>
        <w:rPr>
          <w:iCs/>
          <w:color w:val="000000" w:themeColor="text1"/>
          <w:sz w:val="16"/>
          <w:szCs w:val="16"/>
        </w:rPr>
      </w:pPr>
    </w:p>
    <w:p w14:paraId="183E38DE" w14:textId="77777777" w:rsidR="00C51A9F" w:rsidRPr="00507A31" w:rsidRDefault="00C51A9F" w:rsidP="00507A31">
      <w:pPr>
        <w:jc w:val="both"/>
        <w:rPr>
          <w:color w:val="000000" w:themeColor="text1"/>
          <w:sz w:val="16"/>
          <w:szCs w:val="16"/>
        </w:rPr>
      </w:pPr>
      <w:r w:rsidRPr="00507A31">
        <w:rPr>
          <w:color w:val="000000" w:themeColor="text1"/>
          <w:sz w:val="16"/>
          <w:szCs w:val="16"/>
        </w:rPr>
        <w:t>23 февраля 1930 г. — Из служебной записки командующего войсками Ленинградского военного округа М. И. Тухачевского наркому по военным и морским делам К. Е. Ворошилову о методах мобилизации промышленности</w:t>
      </w:r>
    </w:p>
    <w:p w14:paraId="26185D9D" w14:textId="77777777" w:rsidR="00C51A9F" w:rsidRPr="00507A31" w:rsidRDefault="00C51A9F" w:rsidP="00507A31">
      <w:pPr>
        <w:jc w:val="both"/>
        <w:rPr>
          <w:color w:val="000000" w:themeColor="text1"/>
          <w:sz w:val="16"/>
          <w:szCs w:val="16"/>
        </w:rPr>
      </w:pPr>
      <w:r w:rsidRPr="00507A31">
        <w:rPr>
          <w:color w:val="000000" w:themeColor="text1"/>
          <w:sz w:val="16"/>
          <w:szCs w:val="16"/>
        </w:rPr>
        <w:t>Совершенно секретно.</w:t>
      </w:r>
    </w:p>
    <w:p w14:paraId="0FCC1605" w14:textId="77777777" w:rsidR="00C51A9F" w:rsidRPr="00507A31" w:rsidRDefault="00C51A9F" w:rsidP="00507A31">
      <w:pPr>
        <w:jc w:val="both"/>
        <w:rPr>
          <w:color w:val="000000" w:themeColor="text1"/>
          <w:sz w:val="16"/>
          <w:szCs w:val="16"/>
        </w:rPr>
      </w:pPr>
      <w:r w:rsidRPr="00507A31">
        <w:rPr>
          <w:color w:val="000000" w:themeColor="text1"/>
          <w:sz w:val="16"/>
          <w:szCs w:val="16"/>
        </w:rPr>
        <w:t>Немощное состояние нашей мобилизационной работы, постановление ЦК ВКП(б) о реорганизации управления промышленностью, а также постановление РЗ СТО о превращении МПУ ВСНХ СССР в оперативный орган³* заставляет искать наиболее совершенные методы промышленной мобилизации. Действующие методы организации промышленности в крупных капиталистических странах сохраняются в тайне, и мы имеем о них лишь обрывочные сведения. Поэтому наиболее правильно начать исследование этих форм в их историческом развитии, в период войны 1914</w:t>
      </w:r>
      <w:r w:rsidRPr="00507A31">
        <w:rPr>
          <w:color w:val="000000" w:themeColor="text1"/>
          <w:sz w:val="16"/>
          <w:szCs w:val="16"/>
        </w:rPr>
        <w:noBreakHyphen/>
        <w:t>1918 гг. Приведу несколько кратких характеристик этих методов, основанных на данных IV Управления Штаба РККА...⁴*</w:t>
      </w:r>
    </w:p>
    <w:p w14:paraId="23758A52" w14:textId="77777777" w:rsidR="00C51A9F" w:rsidRPr="00507A31" w:rsidRDefault="00C51A9F" w:rsidP="00507A31">
      <w:pPr>
        <w:jc w:val="both"/>
        <w:rPr>
          <w:color w:val="000000" w:themeColor="text1"/>
          <w:sz w:val="16"/>
          <w:szCs w:val="16"/>
        </w:rPr>
      </w:pPr>
      <w:r w:rsidRPr="00507A31">
        <w:rPr>
          <w:color w:val="000000" w:themeColor="text1"/>
          <w:sz w:val="16"/>
          <w:szCs w:val="16"/>
        </w:rPr>
        <w:t>Итоги</w:t>
      </w:r>
    </w:p>
    <w:p w14:paraId="6F4830B8"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В общем, во всех передовых капиталистических странах увеличение военной продукции достигалось путем организации групп предприятий, своего рода «трестов», во главе которых стояли крупные государственные или частные военные заводы. Частные предприятия приписывались к военным заводам с таким расчетом, чтобы усовершенствованием общего процесса производства между всеми заводами, с распределением по ним отдельных процессов и деталей и со сборкой их, главным образом на военных заводах, достигался бы наибольший производственный эффект. Основным организатором производства во всей группе являлся военный завод, а зачастую и его директор, который: а) готовил, инструктировал и инспектировал кадры, б) готовил и проверял чертежи и лекала, в) разрабатывал проекты общего технологического производственного процесса объединенных предприятий.</w:t>
      </w:r>
    </w:p>
    <w:p w14:paraId="3F82073E" w14:textId="77777777" w:rsidR="00C51A9F" w:rsidRPr="00507A31" w:rsidRDefault="00C51A9F" w:rsidP="00507A31">
      <w:pPr>
        <w:jc w:val="both"/>
        <w:rPr>
          <w:color w:val="000000" w:themeColor="text1"/>
          <w:sz w:val="16"/>
          <w:szCs w:val="16"/>
        </w:rPr>
      </w:pPr>
      <w:r w:rsidRPr="00507A31">
        <w:rPr>
          <w:color w:val="000000" w:themeColor="text1"/>
          <w:sz w:val="16"/>
          <w:szCs w:val="16"/>
        </w:rPr>
        <w:t>Современные взгляды на мобилизацию</w:t>
      </w:r>
    </w:p>
    <w:p w14:paraId="7A5CADDC"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Демобилизация промышленности после империалистической войны, встретившая во всех странах громаднейшие затруднения, прошла под углом зрения сохранения прежней системы кооперирования предприятий для производства.</w:t>
      </w:r>
    </w:p>
    <w:p w14:paraId="5086D70B"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В практике большинства иностранных государств широко применяется кооперирование заводов, оправдавшееся на практике войны 1914</w:t>
      </w:r>
      <w:r w:rsidRPr="00507A31">
        <w:rPr>
          <w:color w:val="000000" w:themeColor="text1"/>
          <w:sz w:val="16"/>
          <w:szCs w:val="16"/>
        </w:rPr>
        <w:noBreakHyphen/>
        <w:t>1918 гг. Для массового производства сложных изделий организуются группы предприятий, между которыми распределяется производство отдельных элементов изделия. Группа возглавляется более крупным предприятием, имеющим большой производственный опыт в данном производстве. Предприятие «лидер группы» производит приемку изготовленных элементов и их сборку, инструктируя предприятия группы.</w:t>
      </w:r>
    </w:p>
    <w:p w14:paraId="5FF4A03A"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Успех кооперирования заводов зависит от правильного подбора группы и надлежащей подготовки всей системы производства. В подготовку, прежде всего, входит детальная проработка производственных процессов, составление детальных чертежей и спецификаций, заготовка необходимого добавочного оборудования и подготовка кадра инструкторов. В связи с кооперированием заводов приобретают большое значение опытные заказы, даваемые гражданским предприятиям с целью подготовить их к производству военного времени.</w:t>
      </w:r>
    </w:p>
    <w:p w14:paraId="46B3CC1A"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Ввиду того что кооперирование, как правило, целесообразно лишь при массовом производстве, требующем полной взаимозаменяемости частей, является необходимым обеспечить достаточную степень точности размеров отдельных частей, изготовляемых на различных заводах. Для этого проводится внедрение работы по лекалам (калибрам) и проводится тщательная проверка лекал отдельных предприятий для обеспечения однородной степени точности.</w:t>
      </w:r>
    </w:p>
    <w:p w14:paraId="7AA9E506"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Усовершенствование методов мобилизации, унаследованных от империалистической войны, дальнейшая их рационализация позволяет капиталистическим странам достигать ускоренных сроков мобилизации. «По сравнению с войной 1914</w:t>
      </w:r>
      <w:r w:rsidRPr="00507A31">
        <w:rPr>
          <w:color w:val="000000" w:themeColor="text1"/>
          <w:sz w:val="16"/>
          <w:szCs w:val="16"/>
        </w:rPr>
        <w:noBreakHyphen/>
        <w:t>1918 гг. намеченные размеры военного производства значительно расширены, а срок развертывания уменьшен примерно вдвое (до 6</w:t>
      </w:r>
      <w:r w:rsidRPr="00507A31">
        <w:rPr>
          <w:color w:val="000000" w:themeColor="text1"/>
          <w:sz w:val="16"/>
          <w:szCs w:val="16"/>
        </w:rPr>
        <w:noBreakHyphen/>
        <w:t>8 месяцев)». Немцы стремятся к шестинедельной мобилизации промышленности для производства артснарядов.</w:t>
      </w:r>
    </w:p>
    <w:p w14:paraId="62C40061"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Подготовка к мобилизации народного хозяйства и промышленности в капиталистических странах стремится охватить и спланировать все отрасли хозяйства и все отрасли производства в промышленности. Однако это стремление к плановости не только не исключает, а, наоборот, необходимо предполагает известную децентрализацию, специализацию подготовки мобилизации по определенным военным производствам, причем подготовка мобилизации имеет не бумажный, а чисто производственный характер. Это касается, по-видимому, всех передовых капиталистических стран, не исключая и САСШ. «Для американской системы организации характерна децентрализация мобработы как в районном, так и в функциональном разрезе».</w:t>
      </w:r>
    </w:p>
    <w:p w14:paraId="144F63FB" w14:textId="77777777" w:rsidR="00C51A9F" w:rsidRPr="00507A31" w:rsidRDefault="00C51A9F" w:rsidP="00507A31">
      <w:pPr>
        <w:jc w:val="both"/>
        <w:rPr>
          <w:color w:val="000000" w:themeColor="text1"/>
          <w:sz w:val="16"/>
          <w:szCs w:val="16"/>
        </w:rPr>
      </w:pPr>
      <w:r w:rsidRPr="00507A31">
        <w:rPr>
          <w:color w:val="000000" w:themeColor="text1"/>
          <w:sz w:val="16"/>
          <w:szCs w:val="16"/>
        </w:rPr>
        <w:t>Мобилизация русской промышленности</w:t>
      </w:r>
    </w:p>
    <w:p w14:paraId="44BB4663" w14:textId="77777777" w:rsidR="00C51A9F" w:rsidRPr="00507A31" w:rsidRDefault="00C51A9F" w:rsidP="00507A31">
      <w:pPr>
        <w:jc w:val="both"/>
        <w:rPr>
          <w:color w:val="000000" w:themeColor="text1"/>
          <w:sz w:val="16"/>
          <w:szCs w:val="16"/>
        </w:rPr>
      </w:pPr>
      <w:r w:rsidRPr="00507A31">
        <w:rPr>
          <w:color w:val="000000" w:themeColor="text1"/>
          <w:sz w:val="16"/>
          <w:szCs w:val="16"/>
        </w:rPr>
        <w:t>Во время империалистической войны русская промышленность, по словам Маниковского, точно также стремилась кооперировать работу мелких предприятий с крупными военными заводами («как подсобные мастерские для крупных заводов») и работала в этом направлении. Однако особых успехов достигнуто не было, и организованное производство было захлестнуто бешенной неудержимой спекуляцией. Но тем не менее в этом направлении работала и русская промышленность.</w:t>
      </w:r>
    </w:p>
    <w:p w14:paraId="5F881243" w14:textId="77777777" w:rsidR="00C51A9F" w:rsidRPr="00507A31" w:rsidRDefault="00C51A9F" w:rsidP="00507A31">
      <w:pPr>
        <w:jc w:val="both"/>
        <w:rPr>
          <w:color w:val="000000" w:themeColor="text1"/>
          <w:sz w:val="16"/>
          <w:szCs w:val="16"/>
        </w:rPr>
      </w:pPr>
      <w:r w:rsidRPr="00507A31">
        <w:rPr>
          <w:color w:val="000000" w:themeColor="text1"/>
          <w:sz w:val="16"/>
          <w:szCs w:val="16"/>
        </w:rPr>
        <w:t>КДМ и ГУВП</w:t>
      </w:r>
    </w:p>
    <w:p w14:paraId="02318D6E"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 xml:space="preserve">Демобилизация нашей промышленности, как известно, в техническом отношении находилась в руках вредительской группы, возглавляемой Михайловым. Система демобилизации и мобилизации промышленности строилась таким образом, чтобы позволяла возможно больше подорвать наше военное производство. Идея кооперирования по определенным специальностям производства была совершенно выброшена, и ей была противопоставлена схоластическая формула «единого выстрела». По этой формуле не требовалось никакой децентрализации ни в районном, ни в функциональном разрезе. Военная промышленность, возглавляемая ГУВП, была оторвана от всей промышленности, в значительной части переведена на консервацию, вместо того чтобы быть заполненной мирным производством, и таким образом была подорвана сама возможность наладить кооперирование в мобилизационном отношении вокруг крупных военных заводов, родственных им предприятий </w:t>
      </w:r>
      <w:r w:rsidRPr="00507A31">
        <w:rPr>
          <w:color w:val="000000" w:themeColor="text1"/>
          <w:sz w:val="16"/>
          <w:szCs w:val="16"/>
        </w:rPr>
        <w:lastRenderedPageBreak/>
        <w:t>мирного производства. «Единый выстрел» требовал абсолютной централизации. Никакой увязки между отдельными заводами и их самостоятельной работы не требовалось.</w:t>
      </w:r>
    </w:p>
    <w:p w14:paraId="420B5674"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Первый организационный удар по вредительской системе Михайлова был нанесен Аванесовым в 1926 г., когда было произведено растрестирование ГУВП, когда т. Дзержинский на заседании К[омиссии] Р[ыкова] расшифровал формулу «единый выстрел» формулой «рука руку моет». Однако этот удар оказался лишь ударом в области военной промышленности, не коснувшись системы мобилизации. Если промышленность наша от «единого выстрела» перешла к растрестированию, то система мобилизации по-прежнему и до сих пор базируется на принципе «единого выстрела».</w:t>
      </w:r>
    </w:p>
    <w:p w14:paraId="48008166" w14:textId="77777777" w:rsidR="00C51A9F" w:rsidRPr="00507A31" w:rsidRDefault="00C51A9F" w:rsidP="00507A31">
      <w:pPr>
        <w:jc w:val="both"/>
        <w:rPr>
          <w:color w:val="000000" w:themeColor="text1"/>
          <w:sz w:val="16"/>
          <w:szCs w:val="16"/>
        </w:rPr>
      </w:pPr>
      <w:r w:rsidRPr="00507A31">
        <w:rPr>
          <w:color w:val="000000" w:themeColor="text1"/>
          <w:sz w:val="16"/>
          <w:szCs w:val="16"/>
        </w:rPr>
        <w:t>Система МПУ</w:t>
      </w:r>
    </w:p>
    <w:p w14:paraId="56710E0E" w14:textId="77777777" w:rsidR="00C51A9F" w:rsidRPr="00507A31" w:rsidRDefault="00C51A9F" w:rsidP="00507A31">
      <w:pPr>
        <w:jc w:val="both"/>
        <w:rPr>
          <w:color w:val="000000" w:themeColor="text1"/>
          <w:sz w:val="16"/>
          <w:szCs w:val="16"/>
        </w:rPr>
      </w:pPr>
      <w:r w:rsidRPr="00507A31">
        <w:rPr>
          <w:color w:val="000000" w:themeColor="text1"/>
          <w:sz w:val="16"/>
          <w:szCs w:val="16"/>
        </w:rPr>
        <w:t>МПУ в некоторой степени, и то условно, децентрализовало свою мобилизационную работу в районном разрезе: республика, область и т. д.; имеются мобилизационные органы в трестах военной промышленности и в трестах гражданских. Таким образом, эта система мобилизации обслуживает организационную структуру и производственные процессы мирной продукции и не построена по принципу обслуживания производственных процессов военной продукции, основанных на кооперировании.</w:t>
      </w:r>
    </w:p>
    <w:p w14:paraId="4A350D6C" w14:textId="77777777" w:rsidR="00C51A9F" w:rsidRPr="00507A31" w:rsidRDefault="00C51A9F" w:rsidP="00507A31">
      <w:pPr>
        <w:jc w:val="both"/>
        <w:rPr>
          <w:color w:val="000000" w:themeColor="text1"/>
          <w:sz w:val="16"/>
          <w:szCs w:val="16"/>
        </w:rPr>
      </w:pPr>
      <w:r w:rsidRPr="00507A31">
        <w:rPr>
          <w:color w:val="000000" w:themeColor="text1"/>
          <w:sz w:val="16"/>
          <w:szCs w:val="16"/>
        </w:rPr>
        <w:t>Тресты военной промышленности мобилизуются внутри себя без кооперирования гражданской промышленности, без разработки и распределения между военными и приписанными к ним гражданскими заводами соответствующих производственных процессов, без подготовки соответствующей рабочей силы, лекал, чертежей, без соответствующего инструктажа и т. д. В свою очередь, тресты гражданской промышленности мобилизуются внутри себя, вне связи с заводами военной промышленности.</w:t>
      </w:r>
    </w:p>
    <w:p w14:paraId="7050B602" w14:textId="77777777" w:rsidR="00C51A9F" w:rsidRPr="00507A31" w:rsidRDefault="00C51A9F" w:rsidP="00507A31">
      <w:pPr>
        <w:jc w:val="both"/>
        <w:rPr>
          <w:color w:val="000000" w:themeColor="text1"/>
          <w:sz w:val="16"/>
          <w:szCs w:val="16"/>
        </w:rPr>
      </w:pPr>
      <w:r w:rsidRPr="00507A31">
        <w:rPr>
          <w:color w:val="000000" w:themeColor="text1"/>
          <w:sz w:val="16"/>
          <w:szCs w:val="16"/>
        </w:rPr>
        <w:t>В силу этого, в заводской и трестовской работе военная промышленность отделена в мобилизационном отношении от гражданской непроницаемой стеной. Заменить кооперирование внутри определенных групп заводов должна работа 3</w:t>
      </w:r>
      <w:r w:rsidRPr="00507A31">
        <w:rPr>
          <w:color w:val="000000" w:themeColor="text1"/>
          <w:sz w:val="16"/>
          <w:szCs w:val="16"/>
        </w:rPr>
        <w:noBreakHyphen/>
        <w:t>го отдела МПУ («единый выстрел»), в котором, очевидно, на таких основных проблемах, как орудийная, снарядная, пулеметная, химическая, авиационная и т. п., по всей вероятности, сидит по одному человеку, насколько мне известно, не из числа инженеров. Совершенно естественно, что эта чрезмерная централизация, построенная по формальным, а не производственным (в смысле военной продукции) признакам, вырастающая в пренебрежение к специализации производства в мобилизационном отношении, может повести только к бюрократической бумажной работе, ничего общего не имеющей с действительными производственными процессами. Военная промышленность мобилизуется сама по себе, гражданская — сама по себе, а так как это не дает и не может дать никакой эффективности, то никакой эффективной мобилизационной подготовки и не получается.</w:t>
      </w:r>
    </w:p>
    <w:p w14:paraId="63635965" w14:textId="77777777" w:rsidR="00C51A9F" w:rsidRPr="00507A31" w:rsidRDefault="00C51A9F" w:rsidP="00507A31">
      <w:pPr>
        <w:jc w:val="both"/>
        <w:rPr>
          <w:color w:val="000000" w:themeColor="text1"/>
          <w:sz w:val="16"/>
          <w:szCs w:val="16"/>
        </w:rPr>
      </w:pPr>
      <w:r w:rsidRPr="00507A31">
        <w:rPr>
          <w:color w:val="000000" w:themeColor="text1"/>
          <w:sz w:val="16"/>
          <w:szCs w:val="16"/>
        </w:rPr>
        <w:t>По опыту мобилизационной работы в Ленинграде: излишняя централизация постоянно ведет к крайне нецелесообразному расходованию государственных средств. Так, например, «Красный Арсенал» составляет сметы и подготовляется к стройке сушилок, в то время как ему известно — в Ленинграде много сушилок, которые не будут использованы по мобилизации. Между тем моборган «Красного Арсенала» не имеет права «кустоваться» и должен заботиться только о себе. На одних заводах упраздняются такие цеха, печи, станки и прочее, которые нужны для других заводов и т. п. Об этом в один голос говорят все мобработники заводов, и все они говорят, что если к крупным заводам или военным отделам на гражданских заводах будут приписаны подсобные гражданские заводы, то мобилизационная работа по соответствующим отраслям военного производства возрастет в несколько раз.</w:t>
      </w:r>
    </w:p>
    <w:p w14:paraId="75695C78" w14:textId="77777777" w:rsidR="00C51A9F" w:rsidRPr="00507A31" w:rsidRDefault="00C51A9F" w:rsidP="00507A31">
      <w:pPr>
        <w:jc w:val="both"/>
        <w:rPr>
          <w:color w:val="000000" w:themeColor="text1"/>
          <w:sz w:val="16"/>
          <w:szCs w:val="16"/>
        </w:rPr>
      </w:pPr>
      <w:r w:rsidRPr="00507A31">
        <w:rPr>
          <w:color w:val="000000" w:themeColor="text1"/>
          <w:sz w:val="16"/>
          <w:szCs w:val="16"/>
        </w:rPr>
        <w:t>Необходимые мероприятия</w:t>
      </w:r>
    </w:p>
    <w:p w14:paraId="660D4D32"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Как указывалось уже выше, к крупным военным заводам и военным отделам на гражданских заводах должны быть приписаны родственные по производству заводы и предприятия гражданской промышленности. Производство военных предметов, разбитое на определенные процессы, должно быть поделено по этим процессам между основным и приписанными заводами (сборка в большинстве случаев на военном заводе). Такая система мобилизации будет наиболее продуктивна, наиболее реальна и вовлечет в дело военного производства максимальное количество предприятий. Основной, ведущий военный завод подготовляет, инструктирует и инспектирует работу кадров во всех кооперированных предприятиях, распределяет между ними по элементам заказы мирного времени, проверяет и объединяет сметные заявки на мобреконструктивные мероприятия, новые постройки, оборудование и т. п. Моборган кооперированных предприятий разрабатывает как сроки мобилизации и размер военной продукции, так и плановые предположения по необходимым капиталовложениям в мирное время, в предмобпериод и в период войны.</w:t>
      </w:r>
    </w:p>
    <w:p w14:paraId="27575CB2"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Работа военных заводов и кооперированных предприятий как в области мобилизационный подготовки, так и продукции мирного времени, объединяется и руководится соответствующими военными трестами. Трест руководит припиской к военным заводам кооперируемых ими предприятий. Таким образом, на наши военные тресты ляжет ответственейшая задача по мобилизационным мероприятиям кооперированной гражданской промышленности соответствующих специальностей. В связи с этим, мне кажется, было бы целесообразно пойти по пути еще большей специализации наших военных трестов, т. е., например, иметь не Орудийно-арсенальный трест, а отдельно орудийный от арсенального и т. д. Кроме того, было бы полезно децентрализовать тресты в районном разрезе. Вряд ли возможно не бумажное, а реконструктивно-производственное руководство единого треста по всем, например, орудийным и приписанным к ним гражданским заводам. На тресты должно быть возложено руководство всей реконструктивной работой и по объединению военной и гражданской промышленности в соответствующем объеме и по переводу ее с мирного на военное положение. В соответствии с этим, тресты гражданской промышленности в большинстве случаев не должны будут иметь мобилизационных органов. Зато в период войны, по всей вероятности, на эти органы ляжет основная подготовка мероприятий по демобилизации промышленности.</w:t>
      </w:r>
    </w:p>
    <w:p w14:paraId="5D8BD0DC"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МПУ должно объединять работу трестов, руководить их реконструктивной и рационализаторской деятельностью, планировать сырье, полуфабрикаты, организовывать военные тресты. Само МПУ объединяет и суммирует проделанную военными трестами мобилизационную работу. МПУ, поскольку оно существует, должно руководить производственной работой трестов мирного времени, не руководя мобилизационной их работой.</w:t>
      </w:r>
    </w:p>
    <w:p w14:paraId="57D86A9A"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Может встать вопрос, не возникнет ли излишних трений между органами управления мирной промышленностью и органами мобилизации промышленности. Конечно, ни в какой работе дело без трений не обходится, но раз на МПУ возложены оперативные функции, то тем самым эти трения где-то должны будут определиться. Вопрос заключается в том, чтобы эти трения имели место не при бюрократической системе руководства, а в живой производственной, когда всякие трения гораздо легче устраняются и примиряются. При существующей системе мобилизации промышленности оперативная деятельность МПУ или должна будет остаться на бумаге, или же будет влечь за собою ничем не устранимые трения и перебои в работе. Во всяком случае, ясно, что система МПУ противоречит всему опыту мобилизации во время империалистической войны и ни в какой степени не увязана с производственными мобилизационными процессами.</w:t>
      </w:r>
    </w:p>
    <w:p w14:paraId="247E7841" w14:textId="77777777" w:rsidR="00C51A9F" w:rsidRPr="00507A31" w:rsidRDefault="00C51A9F"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Командующий войсками ЛВО </w:t>
      </w:r>
      <w:hyperlink r:id="rId35" w:history="1">
        <w:r w:rsidRPr="00507A31">
          <w:rPr>
            <w:rStyle w:val="af0"/>
            <w:i w:val="0"/>
            <w:color w:val="000000" w:themeColor="text1"/>
            <w:sz w:val="16"/>
            <w:szCs w:val="16"/>
          </w:rPr>
          <w:t>М. Тухачевский</w:t>
        </w:r>
      </w:hyperlink>
    </w:p>
    <w:p w14:paraId="22D81514" w14:textId="77777777" w:rsidR="00C51A9F" w:rsidRPr="00507A31" w:rsidRDefault="00C51A9F"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56AD7456"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Копии направлены: начальнику Штаба РККА Б. М. Шапошникову, члену РВС СССР А. М. Постникову, начальнику вооружений РККА И. П. Уборевичу.</w:t>
      </w:r>
    </w:p>
    <w:p w14:paraId="5754D970"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23 марта 1930 г. И. В. Сталин писал К. Е. Ворошилову: «Получил оба документа, и объяснительную записку т. Тухачевского и «соображения» Штаба. Ты знаешь, что я очень уважаю т. Тухачевского,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 е. нет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полным, с ее лимитами хозяйственного и культурного порядка. «План»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 Как мог возникнуть такой «план» в голове марксиста, прошедшего школу гражданской войны? Я думаю, что «план» т. 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 — фантастикой. «Осуществлять» такой «план» — значит наверняка загубить и хозяйство страны и армию. Это было бы хуже всякой контрреволюции. Отрадно, что Штаб РККА, при всей опасности искушения, ясно и определенно отмежевался от «плана» т. Тухачевского. Твой И. Сталин». (РГАСПИ. Ф. 558. Оп. 11. Д. 447. Л. 8).</w:t>
      </w:r>
    </w:p>
    <w:p w14:paraId="6D26817D"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11 июля 1927 г. РЗ СТО СССР приняло к сведению, что Мобилизационное управление ВСНХ СССР преобразовано в Мобилизационно-плановое управление. В документе речь идет о Постановлении РЗ СТО СССР о мобилизационной подготовке промышленности от 21 декабря 1930 г. (РГАЭ. Ф. 4372. Оп. 91. Д. 595. Л. 5</w:t>
      </w:r>
      <w:r w:rsidRPr="00507A31">
        <w:rPr>
          <w:color w:val="000000" w:themeColor="text1"/>
          <w:sz w:val="16"/>
          <w:szCs w:val="16"/>
        </w:rPr>
        <w:noBreakHyphen/>
        <w:t>З об.).</w:t>
      </w:r>
    </w:p>
    <w:p w14:paraId="79429683"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vertAlign w:val="superscript"/>
        </w:rPr>
        <w:t>4</w:t>
      </w:r>
      <w:r w:rsidRPr="00507A31">
        <w:rPr>
          <w:color w:val="000000" w:themeColor="text1"/>
          <w:sz w:val="16"/>
          <w:szCs w:val="16"/>
        </w:rPr>
        <w:t>* Опущены характеристики методов промышленной мобилизации в отдельных странах в 1914</w:t>
      </w:r>
      <w:r w:rsidRPr="00507A31">
        <w:rPr>
          <w:color w:val="000000" w:themeColor="text1"/>
          <w:sz w:val="16"/>
          <w:szCs w:val="16"/>
        </w:rPr>
        <w:noBreakHyphen/>
        <w:t>1918 гг.</w:t>
      </w:r>
    </w:p>
    <w:p w14:paraId="0A951468"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РГАСПИ. Ф. 558. Оп. 11. Д. 446. Л. 59, 60 об.— 6З об. Заверенная копия.</w:t>
      </w:r>
    </w:p>
    <w:p w14:paraId="143C9427" w14:textId="77777777" w:rsidR="00C51A9F" w:rsidRPr="00507A31" w:rsidRDefault="00C51A9F" w:rsidP="00507A31">
      <w:pPr>
        <w:jc w:val="both"/>
        <w:rPr>
          <w:color w:val="000000" w:themeColor="text1"/>
          <w:sz w:val="16"/>
          <w:szCs w:val="16"/>
        </w:rPr>
      </w:pPr>
      <w:r w:rsidRPr="00507A31">
        <w:rPr>
          <w:color w:val="000000" w:themeColor="text1"/>
          <w:sz w:val="16"/>
          <w:szCs w:val="16"/>
        </w:rPr>
        <w:t xml:space="preserve">Архив: РГАСПИ. Ф. 558. Оп. 11. Д. 446. Л. 59, 60 об.— 6З об. Заверенная копия. </w:t>
      </w:r>
    </w:p>
    <w:p w14:paraId="730C62BF" w14:textId="77777777" w:rsidR="00C51A9F" w:rsidRPr="00507A31" w:rsidRDefault="00C51A9F"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422-426 (12494).</w:t>
      </w:r>
    </w:p>
    <w:p w14:paraId="3D353DA3" w14:textId="77777777" w:rsidR="00C51A9F" w:rsidRPr="00507A31" w:rsidRDefault="00C51A9F" w:rsidP="00507A31">
      <w:pPr>
        <w:jc w:val="both"/>
        <w:rPr>
          <w:color w:val="000000" w:themeColor="text1"/>
          <w:sz w:val="16"/>
          <w:szCs w:val="16"/>
        </w:rPr>
      </w:pPr>
    </w:p>
    <w:p w14:paraId="3E8A60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февраля 1930 Зав. Секретной частью Вохимтреста писал письмо № 5508с в ГВПУ</w:t>
      </w:r>
    </w:p>
    <w:p w14:paraId="5DA975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вх. № 3573 от 18 ноября 1930</w:t>
      </w:r>
    </w:p>
    <w:p w14:paraId="4909A8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сем препровождается список заводов, входящих в объединение Треста, с указанием почтовых, телеграфных адресов, а также сообщаем фамилии директоров и их заместителей в отдельности каждого завода, при чем добавляю, что сведений о №№ телефонов заводов мы не имеем.</w:t>
      </w:r>
    </w:p>
    <w:p w14:paraId="128DD2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Приложение: упомянутое (8826,68).</w:t>
      </w:r>
    </w:p>
    <w:p w14:paraId="65C21E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СПИСОК ЗАВОДОВ В ОБЪЕДИНЕНИИ ТРЕСТА, С УКАЗАНИЕМ ПОЧТОВЫХ, ТЕЛЕГРАФНЫХ АДРЕСОВ, А ТАКЖЕ С УКАЗАНИЕМ ФАМИЛИЙ ДИРЕКТОРОВ И ИХ ЗАМЕСТИТЕЛЕЙ.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14"/>
        <w:gridCol w:w="2397"/>
        <w:gridCol w:w="1529"/>
        <w:gridCol w:w="1805"/>
        <w:gridCol w:w="1806"/>
        <w:gridCol w:w="1806"/>
      </w:tblGrid>
      <w:tr w:rsidR="00A61694" w:rsidRPr="00507A31" w14:paraId="6C3E4004" w14:textId="77777777">
        <w:trPr>
          <w:trHeight w:val="605"/>
        </w:trPr>
        <w:tc>
          <w:tcPr>
            <w:tcW w:w="1714" w:type="dxa"/>
            <w:tcBorders>
              <w:top w:val="single" w:sz="12" w:space="0" w:color="auto"/>
            </w:tcBorders>
          </w:tcPr>
          <w:p w14:paraId="630A23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Наименование заводов.</w:t>
            </w:r>
          </w:p>
        </w:tc>
        <w:tc>
          <w:tcPr>
            <w:tcW w:w="2397" w:type="dxa"/>
            <w:tcBorders>
              <w:top w:val="single" w:sz="12" w:space="0" w:color="auto"/>
            </w:tcBorders>
          </w:tcPr>
          <w:p w14:paraId="16F6B9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Фамилия, имя, отчество</w:t>
            </w:r>
          </w:p>
        </w:tc>
        <w:tc>
          <w:tcPr>
            <w:tcW w:w="1529" w:type="dxa"/>
            <w:tcBorders>
              <w:top w:val="single" w:sz="12" w:space="0" w:color="auto"/>
            </w:tcBorders>
          </w:tcPr>
          <w:p w14:paraId="12428A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ДОЛЖНОСТЬ</w:t>
            </w:r>
          </w:p>
        </w:tc>
        <w:tc>
          <w:tcPr>
            <w:tcW w:w="1805" w:type="dxa"/>
            <w:tcBorders>
              <w:top w:val="single" w:sz="12" w:space="0" w:color="auto"/>
            </w:tcBorders>
          </w:tcPr>
          <w:p w14:paraId="1DC422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Почтовые а,дреса.</w:t>
            </w:r>
          </w:p>
        </w:tc>
        <w:tc>
          <w:tcPr>
            <w:tcW w:w="1806" w:type="dxa"/>
            <w:tcBorders>
              <w:top w:val="single" w:sz="12" w:space="0" w:color="auto"/>
            </w:tcBorders>
          </w:tcPr>
          <w:p w14:paraId="087AD1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Телеграфные адреса.</w:t>
            </w:r>
          </w:p>
        </w:tc>
        <w:tc>
          <w:tcPr>
            <w:tcW w:w="1806" w:type="dxa"/>
            <w:tcBorders>
              <w:top w:val="single" w:sz="12" w:space="0" w:color="auto"/>
            </w:tcBorders>
          </w:tcPr>
          <w:p w14:paraId="6AC6EB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отправки грузов</w:t>
            </w:r>
          </w:p>
        </w:tc>
      </w:tr>
      <w:tr w:rsidR="00A61694" w:rsidRPr="00507A31" w14:paraId="0A5F1B2C" w14:textId="77777777">
        <w:trPr>
          <w:trHeight w:val="828"/>
        </w:trPr>
        <w:tc>
          <w:tcPr>
            <w:tcW w:w="1714" w:type="dxa"/>
          </w:tcPr>
          <w:p w14:paraId="2B2ABF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 Ком. по постройке зав. № 1</w:t>
            </w:r>
          </w:p>
        </w:tc>
        <w:tc>
          <w:tcPr>
            <w:tcW w:w="2397" w:type="dxa"/>
          </w:tcPr>
          <w:p w14:paraId="21F901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МАСЛОВ Михаил Федоров.</w:t>
            </w:r>
          </w:p>
          <w:p w14:paraId="68B3C0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ЯКОВЛЕВ Федор Федоров.</w:t>
            </w:r>
          </w:p>
        </w:tc>
        <w:tc>
          <w:tcPr>
            <w:tcW w:w="1529" w:type="dxa"/>
          </w:tcPr>
          <w:p w14:paraId="52DEDE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завода</w:t>
            </w:r>
          </w:p>
          <w:p w14:paraId="4B06C7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Пом.Дир.по Тех. ч.</w:t>
            </w:r>
          </w:p>
        </w:tc>
        <w:tc>
          <w:tcPr>
            <w:tcW w:w="1805" w:type="dxa"/>
          </w:tcPr>
          <w:p w14:paraId="5E13AD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гор. Павлоград.</w:t>
            </w:r>
          </w:p>
        </w:tc>
        <w:tc>
          <w:tcPr>
            <w:tcW w:w="1806" w:type="dxa"/>
          </w:tcPr>
          <w:p w14:paraId="3400D6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806" w:type="dxa"/>
          </w:tcPr>
          <w:p w14:paraId="1F25DB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 Павлоград, Южн.ж.д.</w:t>
            </w:r>
          </w:p>
        </w:tc>
      </w:tr>
      <w:tr w:rsidR="00A61694" w:rsidRPr="00507A31" w14:paraId="564E907D" w14:textId="77777777">
        <w:trPr>
          <w:trHeight w:val="763"/>
        </w:trPr>
        <w:tc>
          <w:tcPr>
            <w:tcW w:w="1714" w:type="dxa"/>
          </w:tcPr>
          <w:p w14:paraId="7DA21A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КРАСЗНАМЕНЕЦ</w:t>
            </w:r>
          </w:p>
        </w:tc>
        <w:tc>
          <w:tcPr>
            <w:tcW w:w="2397" w:type="dxa"/>
          </w:tcPr>
          <w:p w14:paraId="4ED273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АБРАМОВ Григор. Алекссев.</w:t>
            </w:r>
          </w:p>
          <w:p w14:paraId="7A94CA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ВЫСОЦКИЙ Иван Леонтев.</w:t>
            </w:r>
          </w:p>
        </w:tc>
        <w:tc>
          <w:tcPr>
            <w:tcW w:w="1529" w:type="dxa"/>
          </w:tcPr>
          <w:p w14:paraId="391A6E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завода</w:t>
            </w:r>
          </w:p>
          <w:p w14:paraId="461AD9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Замдиректора</w:t>
            </w:r>
          </w:p>
        </w:tc>
        <w:tc>
          <w:tcPr>
            <w:tcW w:w="1805" w:type="dxa"/>
          </w:tcPr>
          <w:p w14:paraId="0F1670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гор. Ленинград, 20-е почт. отделение, ящ. № 1</w:t>
            </w:r>
          </w:p>
        </w:tc>
        <w:tc>
          <w:tcPr>
            <w:tcW w:w="1806" w:type="dxa"/>
          </w:tcPr>
          <w:p w14:paraId="6AF0FF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Ленинград - ПЯТЬ.</w:t>
            </w:r>
          </w:p>
        </w:tc>
        <w:tc>
          <w:tcPr>
            <w:tcW w:w="1806" w:type="dxa"/>
          </w:tcPr>
          <w:p w14:paraId="3A8D35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Грузы повагонные - на: ст ?ка, Окт.ж.д. прочие - Лек Окт.ж.д. , финляндская тов.</w:t>
            </w:r>
          </w:p>
        </w:tc>
      </w:tr>
      <w:tr w:rsidR="00A61694" w:rsidRPr="00507A31" w14:paraId="400F10D5" w14:textId="77777777">
        <w:trPr>
          <w:trHeight w:val="749"/>
        </w:trPr>
        <w:tc>
          <w:tcPr>
            <w:tcW w:w="1714" w:type="dxa"/>
          </w:tcPr>
          <w:p w14:paraId="1F09FE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smallCaps/>
                <w:color w:val="000000" w:themeColor="text1"/>
                <w:sz w:val="16"/>
                <w:szCs w:val="16"/>
              </w:rPr>
              <w:t xml:space="preserve">ШОСТКЕНСКИЙ завод № </w:t>
            </w:r>
            <w:r w:rsidRPr="00507A31">
              <w:rPr>
                <w:color w:val="000000" w:themeColor="text1"/>
                <w:sz w:val="16"/>
                <w:szCs w:val="16"/>
              </w:rPr>
              <w:t>9</w:t>
            </w:r>
          </w:p>
        </w:tc>
        <w:tc>
          <w:tcPr>
            <w:tcW w:w="2397" w:type="dxa"/>
          </w:tcPr>
          <w:p w14:paraId="5D640F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УРИЦКИЙ Семен Борисов.</w:t>
            </w:r>
          </w:p>
          <w:p w14:paraId="62A4B5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ПАНКРАТОВ Сергей Дмитр.</w:t>
            </w:r>
          </w:p>
        </w:tc>
        <w:tc>
          <w:tcPr>
            <w:tcW w:w="1529" w:type="dxa"/>
          </w:tcPr>
          <w:p w14:paraId="63E468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завода</w:t>
            </w:r>
          </w:p>
          <w:p w14:paraId="4C9BAF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805" w:type="dxa"/>
          </w:tcPr>
          <w:p w14:paraId="0B98B3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 Шостка, Шостскнское отделение связи</w:t>
            </w:r>
          </w:p>
        </w:tc>
        <w:tc>
          <w:tcPr>
            <w:tcW w:w="1806" w:type="dxa"/>
          </w:tcPr>
          <w:p w14:paraId="7C22DE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Шостка - КРАСНОЗНАМЕНЕЦ</w:t>
            </w:r>
          </w:p>
        </w:tc>
        <w:tc>
          <w:tcPr>
            <w:tcW w:w="1806" w:type="dxa"/>
          </w:tcPr>
          <w:p w14:paraId="60C351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Шостенский завод № 9, ст. Шостка, М.К.В. ж.д.</w:t>
            </w:r>
          </w:p>
        </w:tc>
      </w:tr>
      <w:tr w:rsidR="00A61694" w:rsidRPr="00507A31" w14:paraId="6BFC6F47" w14:textId="77777777">
        <w:trPr>
          <w:trHeight w:val="670"/>
        </w:trPr>
        <w:tc>
          <w:tcPr>
            <w:tcW w:w="1714" w:type="dxa"/>
          </w:tcPr>
          <w:p w14:paraId="1D0586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СЕРГИЕВСКИЙ ЗАВОД № 11</w:t>
            </w:r>
          </w:p>
        </w:tc>
        <w:tc>
          <w:tcPr>
            <w:tcW w:w="2397" w:type="dxa"/>
          </w:tcPr>
          <w:p w14:paraId="77F891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ЖИЛЯЕВ Николай Данилов.</w:t>
            </w:r>
          </w:p>
          <w:p w14:paraId="15DFE9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ПЕТРЕВИЦ Ян Крястанович</w:t>
            </w:r>
          </w:p>
        </w:tc>
        <w:tc>
          <w:tcPr>
            <w:tcW w:w="1529" w:type="dxa"/>
          </w:tcPr>
          <w:p w14:paraId="4A19EC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завода</w:t>
            </w:r>
          </w:p>
          <w:p w14:paraId="5FA390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Замдиректора</w:t>
            </w:r>
          </w:p>
        </w:tc>
        <w:tc>
          <w:tcPr>
            <w:tcW w:w="1805" w:type="dxa"/>
          </w:tcPr>
          <w:p w14:paraId="20E1B1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Сеогитево, Московской губ. Почт. ящ. № 3</w:t>
            </w:r>
          </w:p>
        </w:tc>
        <w:tc>
          <w:tcPr>
            <w:tcW w:w="1806" w:type="dxa"/>
          </w:tcPr>
          <w:p w14:paraId="0D693B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СЕРГИЕВО-ТРЕТИЙ</w:t>
            </w:r>
          </w:p>
        </w:tc>
        <w:tc>
          <w:tcPr>
            <w:tcW w:w="1806" w:type="dxa"/>
          </w:tcPr>
          <w:p w14:paraId="1922ED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 Бужаииновский, Сев. Сергиевский завод № 11.</w:t>
            </w:r>
          </w:p>
        </w:tc>
      </w:tr>
      <w:tr w:rsidR="00A61694" w:rsidRPr="00507A31" w14:paraId="7CD78381" w14:textId="77777777">
        <w:trPr>
          <w:trHeight w:val="670"/>
        </w:trPr>
        <w:tc>
          <w:tcPr>
            <w:tcW w:w="1714" w:type="dxa"/>
          </w:tcPr>
          <w:p w14:paraId="4E45E5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БОГОРОДСКИЙ ЗАВОД № 12</w:t>
            </w:r>
          </w:p>
        </w:tc>
        <w:tc>
          <w:tcPr>
            <w:tcW w:w="2397" w:type="dxa"/>
          </w:tcPr>
          <w:p w14:paraId="6A80C4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ТИТОВ Александр Ефимов.</w:t>
            </w:r>
          </w:p>
          <w:p w14:paraId="6904D3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ГАЛКИН Степан Иванович</w:t>
            </w:r>
          </w:p>
        </w:tc>
        <w:tc>
          <w:tcPr>
            <w:tcW w:w="1529" w:type="dxa"/>
          </w:tcPr>
          <w:p w14:paraId="793461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Директор завода </w:t>
            </w:r>
          </w:p>
          <w:p w14:paraId="697B01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805" w:type="dxa"/>
          </w:tcPr>
          <w:p w14:paraId="2EFE92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Богородск, Моск. губ. почтов.ящик № 1.</w:t>
            </w:r>
          </w:p>
        </w:tc>
        <w:tc>
          <w:tcPr>
            <w:tcW w:w="1806" w:type="dxa"/>
          </w:tcPr>
          <w:p w14:paraId="7746B5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БОГОРОДСК-ДВЕНАДЦАТЬ.</w:t>
            </w:r>
          </w:p>
        </w:tc>
        <w:tc>
          <w:tcPr>
            <w:tcW w:w="1806" w:type="dxa"/>
          </w:tcPr>
          <w:p w14:paraId="6EB3A5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Богородский зав. № 12, ст. Электросталь, Московск. Курской</w:t>
            </w:r>
          </w:p>
        </w:tc>
      </w:tr>
      <w:tr w:rsidR="00A61694" w:rsidRPr="00507A31" w14:paraId="443370D1" w14:textId="77777777">
        <w:trPr>
          <w:trHeight w:val="655"/>
        </w:trPr>
        <w:tc>
          <w:tcPr>
            <w:tcW w:w="1714" w:type="dxa"/>
          </w:tcPr>
          <w:p w14:paraId="72DCE4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САМАРСКИЙ ЗАВОД № 15</w:t>
            </w:r>
          </w:p>
        </w:tc>
        <w:tc>
          <w:tcPr>
            <w:tcW w:w="2397" w:type="dxa"/>
          </w:tcPr>
          <w:p w14:paraId="1F33E7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КОЗЛОВСКИЙ Павел Алексеев.</w:t>
            </w:r>
          </w:p>
          <w:p w14:paraId="253622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НАУМОВ Ал-р Иванович</w:t>
            </w:r>
          </w:p>
        </w:tc>
        <w:tc>
          <w:tcPr>
            <w:tcW w:w="1529" w:type="dxa"/>
          </w:tcPr>
          <w:p w14:paraId="28CF75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завода</w:t>
            </w:r>
          </w:p>
          <w:p w14:paraId="39C8CA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805" w:type="dxa"/>
          </w:tcPr>
          <w:p w14:paraId="66FB7B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Чапаевск, Самарск. губ., почт. ящ. № 15.</w:t>
            </w:r>
          </w:p>
        </w:tc>
        <w:tc>
          <w:tcPr>
            <w:tcW w:w="1806" w:type="dxa"/>
          </w:tcPr>
          <w:p w14:paraId="58CB70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ЧАПАЕВСК-САМАР-СКИЙ-ПАТНАДЦАТЬ</w:t>
            </w:r>
          </w:p>
        </w:tc>
        <w:tc>
          <w:tcPr>
            <w:tcW w:w="1806" w:type="dxa"/>
          </w:tcPr>
          <w:p w14:paraId="0FA4E6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 15, ст. Иващенково Златоустовской ж.д.</w:t>
            </w:r>
          </w:p>
        </w:tc>
      </w:tr>
      <w:tr w:rsidR="00A61694" w:rsidRPr="00507A31" w14:paraId="5C4EF95E" w14:textId="77777777">
        <w:trPr>
          <w:trHeight w:val="641"/>
        </w:trPr>
        <w:tc>
          <w:tcPr>
            <w:tcW w:w="1714" w:type="dxa"/>
          </w:tcPr>
          <w:p w14:paraId="047BCB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 40 имени ЛЕНИНА.</w:t>
            </w:r>
          </w:p>
        </w:tc>
        <w:tc>
          <w:tcPr>
            <w:tcW w:w="2397" w:type="dxa"/>
          </w:tcPr>
          <w:p w14:paraId="1C2F7C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ЧИПШЕВ Григор. Иванович</w:t>
            </w:r>
          </w:p>
          <w:p w14:paraId="64C663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ШЕЛЕПЧИКОВ Серг. Павлов.</w:t>
            </w:r>
          </w:p>
        </w:tc>
        <w:tc>
          <w:tcPr>
            <w:tcW w:w="1529" w:type="dxa"/>
          </w:tcPr>
          <w:p w14:paraId="29F469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завода</w:t>
            </w:r>
          </w:p>
          <w:p w14:paraId="2084A9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805" w:type="dxa"/>
          </w:tcPr>
          <w:p w14:paraId="1C5A97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Казань, почтов. ящик № 101.</w:t>
            </w:r>
          </w:p>
        </w:tc>
        <w:tc>
          <w:tcPr>
            <w:tcW w:w="1806" w:type="dxa"/>
          </w:tcPr>
          <w:p w14:paraId="5A64DC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КАЗАНЬ-КАЗЛЕНЗАВОД.</w:t>
            </w:r>
          </w:p>
        </w:tc>
        <w:tc>
          <w:tcPr>
            <w:tcW w:w="1806" w:type="dxa"/>
          </w:tcPr>
          <w:p w14:paraId="6A6268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Грузы 5 тн. и больше: Юдино с подачей на ветку зав. Им. Ленина.</w:t>
            </w:r>
          </w:p>
        </w:tc>
      </w:tr>
      <w:tr w:rsidR="00A61694" w:rsidRPr="00507A31" w14:paraId="719A2928" w14:textId="77777777">
        <w:trPr>
          <w:trHeight w:val="576"/>
        </w:trPr>
        <w:tc>
          <w:tcPr>
            <w:tcW w:w="1714" w:type="dxa"/>
          </w:tcPr>
          <w:p w14:paraId="5CC17E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имени Свердлова № 80</w:t>
            </w:r>
          </w:p>
        </w:tc>
        <w:tc>
          <w:tcPr>
            <w:tcW w:w="2397" w:type="dxa"/>
          </w:tcPr>
          <w:p w14:paraId="0617A3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КЕТУРА Николай Герасим.</w:t>
            </w:r>
          </w:p>
        </w:tc>
        <w:tc>
          <w:tcPr>
            <w:tcW w:w="1529" w:type="dxa"/>
          </w:tcPr>
          <w:p w14:paraId="53F66F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завода</w:t>
            </w:r>
          </w:p>
        </w:tc>
        <w:tc>
          <w:tcPr>
            <w:tcW w:w="1805" w:type="dxa"/>
          </w:tcPr>
          <w:p w14:paraId="3022C1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Растяпино, почтов. ящик № 5.</w:t>
            </w:r>
          </w:p>
        </w:tc>
        <w:tc>
          <w:tcPr>
            <w:tcW w:w="1806" w:type="dxa"/>
          </w:tcPr>
          <w:p w14:paraId="4055E6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РАСТЯПИНО-ПЫРА.</w:t>
            </w:r>
          </w:p>
        </w:tc>
        <w:tc>
          <w:tcPr>
            <w:tcW w:w="1806" w:type="dxa"/>
          </w:tcPr>
          <w:p w14:paraId="3A8A95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Я.М. Свердлова, ст. Растяпино, Нижегородск. ж.д.</w:t>
            </w:r>
          </w:p>
        </w:tc>
      </w:tr>
      <w:tr w:rsidR="00A61694" w:rsidRPr="00507A31" w14:paraId="11FDB5A4" w14:textId="77777777">
        <w:trPr>
          <w:trHeight w:val="626"/>
        </w:trPr>
        <w:tc>
          <w:tcPr>
            <w:tcW w:w="1714" w:type="dxa"/>
          </w:tcPr>
          <w:p w14:paraId="4229D9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Ленинградский Ульяновский завод.</w:t>
            </w:r>
          </w:p>
        </w:tc>
        <w:tc>
          <w:tcPr>
            <w:tcW w:w="2397" w:type="dxa"/>
          </w:tcPr>
          <w:p w14:paraId="5A7D27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Ходулев Федор Тимофеевич</w:t>
            </w:r>
          </w:p>
        </w:tc>
        <w:tc>
          <w:tcPr>
            <w:tcW w:w="1529" w:type="dxa"/>
          </w:tcPr>
          <w:p w14:paraId="0E5B94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завода</w:t>
            </w:r>
          </w:p>
        </w:tc>
        <w:tc>
          <w:tcPr>
            <w:tcW w:w="1805" w:type="dxa"/>
          </w:tcPr>
          <w:p w14:paraId="6A6235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Ленинградский Ульяновскии завод.</w:t>
            </w:r>
          </w:p>
        </w:tc>
        <w:tc>
          <w:tcPr>
            <w:tcW w:w="1806" w:type="dxa"/>
          </w:tcPr>
          <w:p w14:paraId="54A9E0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УЛЬЯНОКА-КОРОБОЧКА.</w:t>
            </w:r>
          </w:p>
        </w:tc>
        <w:tc>
          <w:tcPr>
            <w:tcW w:w="1806" w:type="dxa"/>
          </w:tcPr>
          <w:p w14:paraId="1418AE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Ленинград, Ульяновский завод, ст.Саблино, Октяорьской ж/д.</w:t>
            </w:r>
          </w:p>
        </w:tc>
      </w:tr>
      <w:tr w:rsidR="00A61694" w:rsidRPr="00507A31" w14:paraId="71E5C7F1" w14:textId="77777777">
        <w:trPr>
          <w:trHeight w:val="770"/>
        </w:trPr>
        <w:tc>
          <w:tcPr>
            <w:tcW w:w="1714" w:type="dxa"/>
          </w:tcPr>
          <w:p w14:paraId="4D2E21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Шлиссельбургский завод им. Морозова</w:t>
            </w:r>
          </w:p>
        </w:tc>
        <w:tc>
          <w:tcPr>
            <w:tcW w:w="2397" w:type="dxa"/>
          </w:tcPr>
          <w:p w14:paraId="7DDA66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ВОЛОСТНОВ Павел Иван.</w:t>
            </w:r>
          </w:p>
          <w:p w14:paraId="3E8854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НОСОВ Михаил Ал-дров.</w:t>
            </w:r>
          </w:p>
        </w:tc>
        <w:tc>
          <w:tcPr>
            <w:tcW w:w="1529" w:type="dxa"/>
          </w:tcPr>
          <w:p w14:paraId="0F0CBA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завода</w:t>
            </w:r>
          </w:p>
          <w:p w14:paraId="764C79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Замдиректора.</w:t>
            </w:r>
          </w:p>
        </w:tc>
        <w:tc>
          <w:tcPr>
            <w:tcW w:w="1805" w:type="dxa"/>
          </w:tcPr>
          <w:p w14:paraId="6EE489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Шлиссельбургский завод им. Морозова, ст Шереметьевка, Иринов. линии, Окт. ж.д</w:t>
            </w:r>
          </w:p>
        </w:tc>
        <w:tc>
          <w:tcPr>
            <w:tcW w:w="1806" w:type="dxa"/>
          </w:tcPr>
          <w:p w14:paraId="507B37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ШЛИССЕЛЬБУРГСКИЙ ЗАВОД.</w:t>
            </w:r>
          </w:p>
        </w:tc>
        <w:tc>
          <w:tcPr>
            <w:tcW w:w="1806" w:type="dxa"/>
          </w:tcPr>
          <w:p w14:paraId="220697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Шлиссельбургский завод им. Морозова, Шлиссельбург, Окт-ской ж.д.</w:t>
            </w:r>
          </w:p>
        </w:tc>
      </w:tr>
      <w:tr w:rsidR="00A61694" w:rsidRPr="00507A31" w14:paraId="3ACE1EAF" w14:textId="77777777">
        <w:trPr>
          <w:trHeight w:val="605"/>
        </w:trPr>
        <w:tc>
          <w:tcPr>
            <w:tcW w:w="1714" w:type="dxa"/>
          </w:tcPr>
          <w:p w14:paraId="17346A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им. КОСЯКОВА</w:t>
            </w:r>
          </w:p>
        </w:tc>
        <w:tc>
          <w:tcPr>
            <w:tcW w:w="2397" w:type="dxa"/>
          </w:tcPr>
          <w:p w14:paraId="50DD03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АЛЕКСЕЕВ Кузьма Алекс.</w:t>
            </w:r>
          </w:p>
          <w:p w14:paraId="49D36F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КАСАТКИН Афанасий Степан.</w:t>
            </w:r>
          </w:p>
        </w:tc>
        <w:tc>
          <w:tcPr>
            <w:tcW w:w="1529" w:type="dxa"/>
          </w:tcPr>
          <w:p w14:paraId="4F59BD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завода</w:t>
            </w:r>
          </w:p>
          <w:p w14:paraId="40C09E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Дир. по строит.</w:t>
            </w:r>
          </w:p>
        </w:tc>
        <w:tc>
          <w:tcPr>
            <w:tcW w:w="1805" w:type="dxa"/>
          </w:tcPr>
          <w:p w14:paraId="389ABD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 Рошаль, Москов. губ., почтов. ящик № 3.</w:t>
            </w:r>
          </w:p>
        </w:tc>
        <w:tc>
          <w:tcPr>
            <w:tcW w:w="1806" w:type="dxa"/>
          </w:tcPr>
          <w:p w14:paraId="235859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РОШАЛЬ-ТРИ.</w:t>
            </w:r>
          </w:p>
        </w:tc>
        <w:tc>
          <w:tcPr>
            <w:tcW w:w="1806" w:type="dxa"/>
          </w:tcPr>
          <w:p w14:paraId="0F5E96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имени Косякова, ст. Черусти, Моск. Ка занск. жел. дор.</w:t>
            </w:r>
          </w:p>
        </w:tc>
      </w:tr>
      <w:tr w:rsidR="00A61694" w:rsidRPr="00507A31" w14:paraId="17DE2668" w14:textId="77777777">
        <w:trPr>
          <w:trHeight w:val="662"/>
        </w:trPr>
        <w:tc>
          <w:tcPr>
            <w:tcW w:w="1714" w:type="dxa"/>
          </w:tcPr>
          <w:p w14:paraId="107BF2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Центр. Научно-Испытат. Лабор. ЦНИЛ</w:t>
            </w:r>
          </w:p>
        </w:tc>
        <w:tc>
          <w:tcPr>
            <w:tcW w:w="2397" w:type="dxa"/>
          </w:tcPr>
          <w:p w14:paraId="7E0835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НИКИТИН Мих. Алексеквич.</w:t>
            </w:r>
          </w:p>
          <w:p w14:paraId="1BFCED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МИШИН В.Ф.</w:t>
            </w:r>
          </w:p>
        </w:tc>
        <w:tc>
          <w:tcPr>
            <w:tcW w:w="1529" w:type="dxa"/>
          </w:tcPr>
          <w:p w14:paraId="5133D7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 ЦНИЛ</w:t>
            </w:r>
          </w:p>
          <w:p w14:paraId="4CD6B0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Начальника.</w:t>
            </w:r>
          </w:p>
        </w:tc>
        <w:tc>
          <w:tcPr>
            <w:tcW w:w="1805" w:type="dxa"/>
          </w:tcPr>
          <w:p w14:paraId="634507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Ленинград 30-ое почтовое отделение</w:t>
            </w:r>
          </w:p>
        </w:tc>
        <w:tc>
          <w:tcPr>
            <w:tcW w:w="1806" w:type="dxa"/>
          </w:tcPr>
          <w:p w14:paraId="6A2AC4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Ленинград-ЦНИЛ</w:t>
            </w:r>
          </w:p>
        </w:tc>
        <w:tc>
          <w:tcPr>
            <w:tcW w:w="1806" w:type="dxa"/>
          </w:tcPr>
          <w:p w14:paraId="05D357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Грузы повагонные - на ст. Окт. ж. д. Прочие - Ленинград. д. Финляндская товарная.</w:t>
            </w:r>
          </w:p>
        </w:tc>
      </w:tr>
      <w:tr w:rsidR="00A61694" w:rsidRPr="00507A31" w14:paraId="08B7357C" w14:textId="77777777">
        <w:trPr>
          <w:trHeight w:val="684"/>
        </w:trPr>
        <w:tc>
          <w:tcPr>
            <w:tcW w:w="1714" w:type="dxa"/>
            <w:tcBorders>
              <w:bottom w:val="single" w:sz="12" w:space="0" w:color="auto"/>
            </w:tcBorders>
          </w:tcPr>
          <w:p w14:paraId="40741F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“КРАСНЫЙ БОЕВИК”</w:t>
            </w:r>
          </w:p>
        </w:tc>
        <w:tc>
          <w:tcPr>
            <w:tcW w:w="2397" w:type="dxa"/>
            <w:tcBorders>
              <w:bottom w:val="single" w:sz="12" w:space="0" w:color="auto"/>
            </w:tcBorders>
          </w:tcPr>
          <w:p w14:paraId="41FA81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МОСЕЕВ Федор Леонтьевич</w:t>
            </w:r>
          </w:p>
          <w:p w14:paraId="424C85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БАЛАШОВ Сергей Иванович</w:t>
            </w:r>
          </w:p>
        </w:tc>
        <w:tc>
          <w:tcPr>
            <w:tcW w:w="1529" w:type="dxa"/>
            <w:tcBorders>
              <w:bottom w:val="single" w:sz="12" w:space="0" w:color="auto"/>
            </w:tcBorders>
          </w:tcPr>
          <w:p w14:paraId="0C9797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завода</w:t>
            </w:r>
          </w:p>
          <w:p w14:paraId="2E9870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директора</w:t>
            </w:r>
          </w:p>
        </w:tc>
        <w:tc>
          <w:tcPr>
            <w:tcW w:w="1805" w:type="dxa"/>
            <w:tcBorders>
              <w:bottom w:val="single" w:sz="12" w:space="0" w:color="auto"/>
            </w:tcBorders>
          </w:tcPr>
          <w:p w14:paraId="291C46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гор. Тамбов</w:t>
            </w:r>
          </w:p>
        </w:tc>
        <w:tc>
          <w:tcPr>
            <w:tcW w:w="1806" w:type="dxa"/>
            <w:tcBorders>
              <w:bottom w:val="single" w:sz="12" w:space="0" w:color="auto"/>
            </w:tcBorders>
          </w:tcPr>
          <w:p w14:paraId="3CBFFF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ТАМБОВ-БОЕВИК</w:t>
            </w:r>
          </w:p>
        </w:tc>
        <w:tc>
          <w:tcPr>
            <w:tcW w:w="1806" w:type="dxa"/>
            <w:tcBorders>
              <w:bottom w:val="single" w:sz="12" w:space="0" w:color="auto"/>
            </w:tcBorders>
          </w:tcPr>
          <w:p w14:paraId="2CBDCE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Тамбов, Ряз. Уральск. ж.д. Зав. “Красный Боевик".</w:t>
            </w:r>
          </w:p>
        </w:tc>
      </w:tr>
    </w:tbl>
    <w:p w14:paraId="778B87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(8826,69).</w:t>
      </w:r>
    </w:p>
    <w:p w14:paraId="3EC8CF9F" w14:textId="77777777" w:rsidR="00537E5F" w:rsidRPr="00507A31" w:rsidRDefault="00537E5F" w:rsidP="00507A31">
      <w:pPr>
        <w:autoSpaceDE w:val="0"/>
        <w:autoSpaceDN w:val="0"/>
        <w:adjustRightInd w:val="0"/>
        <w:jc w:val="both"/>
        <w:rPr>
          <w:color w:val="000000" w:themeColor="text1"/>
          <w:sz w:val="16"/>
          <w:szCs w:val="16"/>
        </w:rPr>
      </w:pPr>
    </w:p>
    <w:p w14:paraId="38D1CE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февраля 1930 г. на заводе "Красное Сормово" была заложена четвертая лодка серии, которая получила название "Комсомолец" (Щ-304). Средства на ее по</w:t>
      </w:r>
      <w:r w:rsidRPr="00507A31">
        <w:rPr>
          <w:color w:val="000000" w:themeColor="text1"/>
          <w:sz w:val="16"/>
          <w:szCs w:val="16"/>
        </w:rPr>
        <w:softHyphen/>
        <w:t>стройку (2,5 млн руб.) собрали комсомольцы по инициативе ЦК ВЛКСМ. После спуска на воду (2 мая 1931 г.) корпус "Комсо</w:t>
      </w:r>
      <w:r w:rsidRPr="00507A31">
        <w:rPr>
          <w:color w:val="000000" w:themeColor="text1"/>
          <w:sz w:val="16"/>
          <w:szCs w:val="16"/>
        </w:rPr>
        <w:softHyphen/>
        <w:t>мольца" в плавучем доке бьш доставлен из Горького в Ленинград по внутренним водным путям. Лодка достраивалась на Балтийском заводе и вступила в строй в августе 1934 г. Опыт создания лодки, строителем которой бьш П. М. Макаркин, впоследствии пригодил</w:t>
      </w:r>
      <w:r w:rsidRPr="00507A31">
        <w:rPr>
          <w:color w:val="000000" w:themeColor="text1"/>
          <w:sz w:val="16"/>
          <w:szCs w:val="16"/>
        </w:rPr>
        <w:softHyphen/>
        <w:t>ся при серийной постройке подводных лодок в Горьком (3898).</w:t>
      </w:r>
    </w:p>
    <w:p w14:paraId="63F62465" w14:textId="77777777" w:rsidR="00537E5F" w:rsidRPr="00507A31" w:rsidRDefault="00537E5F" w:rsidP="00507A31">
      <w:pPr>
        <w:autoSpaceDE w:val="0"/>
        <w:autoSpaceDN w:val="0"/>
        <w:adjustRightInd w:val="0"/>
        <w:jc w:val="both"/>
        <w:rPr>
          <w:color w:val="000000" w:themeColor="text1"/>
          <w:sz w:val="16"/>
          <w:szCs w:val="16"/>
        </w:rPr>
      </w:pPr>
    </w:p>
    <w:p w14:paraId="74DF25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февраля 1930 г. на торжественной закладке подводной лодки Щ-304 (Комсомолец), которая по призыву ЦК ВЛКСМ строилась на отчисления из средств комсомольцев и молодежи страны, присутствовали Председатель Реввоенсовета СССР К. Е. Ворошилов и секретарь ЦК ВЛКСМ А. В. Косарев. Строителем Щ-304 стала молодежь, которой пришлось осваивать новые специальности и технологию. Эту задачу она с честью выполнила. В начале 1931 г. судостроители рапортовали IX съезду комсомола, что все трудности "сметены мощной волной энтузиазма рабочей молодежи". Приемо-сдаточные испытания Щ-304 проводились летом 1934 г. Первым командиром лодки был К. М. Бубнов, впоследствии известный подводник-испытатель (10700).</w:t>
      </w:r>
    </w:p>
    <w:p w14:paraId="2FBA5E5A" w14:textId="77777777" w:rsidR="00537E5F" w:rsidRPr="00507A31" w:rsidRDefault="00537E5F" w:rsidP="00507A31">
      <w:pPr>
        <w:autoSpaceDE w:val="0"/>
        <w:autoSpaceDN w:val="0"/>
        <w:adjustRightInd w:val="0"/>
        <w:jc w:val="both"/>
        <w:rPr>
          <w:color w:val="000000" w:themeColor="text1"/>
          <w:sz w:val="16"/>
          <w:szCs w:val="16"/>
        </w:rPr>
      </w:pPr>
    </w:p>
    <w:p w14:paraId="1BC268C1" w14:textId="77777777" w:rsidR="00A01ACD" w:rsidRPr="00507A31" w:rsidRDefault="00A01ACD" w:rsidP="00507A31">
      <w:pPr>
        <w:pStyle w:val="rtejustify"/>
        <w:spacing w:before="0" w:after="0"/>
        <w:rPr>
          <w:color w:val="000000" w:themeColor="text1"/>
          <w:sz w:val="16"/>
          <w:szCs w:val="16"/>
        </w:rPr>
      </w:pPr>
      <w:r w:rsidRPr="00507A31">
        <w:rPr>
          <w:color w:val="000000" w:themeColor="text1"/>
          <w:sz w:val="16"/>
          <w:szCs w:val="16"/>
        </w:rPr>
        <w:t xml:space="preserve">23 февраля 1930 г. на заводе «Красное Сормово» была заложена подводная лодка </w:t>
      </w:r>
      <w:r w:rsidRPr="00507A31">
        <w:rPr>
          <w:rStyle w:val="af0"/>
          <w:bCs/>
          <w:i w:val="0"/>
          <w:color w:val="000000" w:themeColor="text1"/>
          <w:sz w:val="16"/>
          <w:szCs w:val="16"/>
        </w:rPr>
        <w:t>«Комсомолец»(Щ-304)</w:t>
      </w:r>
      <w:r w:rsidRPr="00507A31">
        <w:rPr>
          <w:color w:val="000000" w:themeColor="text1"/>
          <w:sz w:val="16"/>
          <w:szCs w:val="16"/>
        </w:rPr>
        <w:t> — четвертая лодка серии «Щука». После спуска на воду корпус «Комсомольца» в плавучем доке был доставлен из Горького в Ленинград по внутренним водным путям. Лодка достраивалась на Балтийском заводе и вступила в строй в августе 1934 г. Опыт создания лодки, впоследствии пригодился при серийной постройке подводных лодок в Горьком (15280).</w:t>
      </w:r>
    </w:p>
    <w:p w14:paraId="0C398796" w14:textId="77777777" w:rsidR="00A01ACD" w:rsidRPr="00507A31" w:rsidRDefault="00A01ACD" w:rsidP="00507A31">
      <w:pPr>
        <w:shd w:val="clear" w:color="auto" w:fill="FFFFFF"/>
        <w:autoSpaceDE w:val="0"/>
        <w:autoSpaceDN w:val="0"/>
        <w:adjustRightInd w:val="0"/>
        <w:jc w:val="both"/>
        <w:rPr>
          <w:color w:val="000000" w:themeColor="text1"/>
          <w:sz w:val="16"/>
          <w:szCs w:val="16"/>
        </w:rPr>
      </w:pPr>
    </w:p>
    <w:p w14:paraId="161346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 февраля 1930 г., в день 12-й годовщины Красной Армии, на берегах Волги была заложена Щ-304 — первая сормовская подводная лодка. Деньги на ее постройку были собраны в ходе знаменитой акции «Подводная лодка от комсомола», то есть из «добровольных» взносов членов ВЛКСМ. Поэтому и название будущей лодки было выбрано не случайно — «Комсомолец». Вообще же первой лодкой Х серии стала Щ-301 «Щука», и затем по традиции все субмарины этого типа называли именами рыб: «Окунь», «Лещ», «Семга» и тому подобное. Щ-304 первоначально должна была называться «Язь», и уже затем, в связи с акцией комсомола по сбору средств, ее название было изменено на «Комсомолец». Как и большая часть советской военной техники, подводные лодки не являлись творением советских инженеров и изобретателей. «Щуки» представляли собой копию поднятой и обследованной английской субмарины L-55, с октября 1929 г. находившейся на восстановительном ремонте в Кронштадте. Первоначально для строительства «спецсудов» было выделено самостоятельное подразделение — «спецсектор», и только впоследствии произошла полная переориентация «Красного Сормова» на данный профиль. Строительство первой субмарины растянулось более чем на четыре года. Во-первых, из-за нехватки средств не была проведена запланированная реконструкция завода: строительство крытого стапеля, дноуглубление затона, укрепление берега, прокладка железнодорожных путей, строительство ряда вспомогательных мастерских и т. д. Подводную лодку приходилось строить примитивными средствами и практически вручную. Например, большие листы металла с участка обработки до стапеля тащили более недели. Во-вторых, плановая документация на лодку поступила на завод только в июле 1930 г. В-третьих, отсутствовали специалисты, у руководителей не было производственного и организационного опыта, не была создана система работы с поставщиками. Сектору спецсудостроения не хватало рабочих, требовались 500–550 человек, а в июне 1931 г. в наличии имелись только 150 человек (11741).</w:t>
      </w:r>
    </w:p>
    <w:p w14:paraId="7C7CFC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1F90021" w14:textId="77777777" w:rsidR="00C51A9F" w:rsidRPr="00507A31" w:rsidRDefault="00C51A9F" w:rsidP="00507A31">
      <w:pPr>
        <w:pStyle w:val="ae"/>
        <w:shd w:val="clear" w:color="auto" w:fill="FFFFFF"/>
        <w:spacing w:before="0" w:after="0"/>
        <w:jc w:val="both"/>
        <w:rPr>
          <w:color w:val="000000" w:themeColor="text1"/>
          <w:sz w:val="16"/>
          <w:szCs w:val="16"/>
        </w:rPr>
      </w:pPr>
      <w:r w:rsidRPr="00507A31">
        <w:rPr>
          <w:color w:val="000000" w:themeColor="text1"/>
          <w:sz w:val="16"/>
          <w:szCs w:val="16"/>
        </w:rPr>
        <w:lastRenderedPageBreak/>
        <w:t>23 февраля 1930 года, в двенадцатую годовщину Красной Армии, заложили первую подводную лодку (Щука) в Сормово. Было много людей из Сормова, комсомольских делегатов, прибывших со всей страны, и красноармейцев Нижегородского гарнизона. Ведь лодка строилась на деньги (2,5 миллиона рублей), собранные комсомольцами и молодежью страны.</w:t>
      </w:r>
    </w:p>
    <w:p w14:paraId="2886DC9D" w14:textId="77777777" w:rsidR="00C51A9F" w:rsidRPr="00507A31" w:rsidRDefault="00C51A9F" w:rsidP="00507A31">
      <w:pPr>
        <w:pStyle w:val="ae"/>
        <w:shd w:val="clear" w:color="auto" w:fill="FFFFFF"/>
        <w:spacing w:before="0" w:after="0"/>
        <w:jc w:val="both"/>
        <w:rPr>
          <w:color w:val="000000" w:themeColor="text1"/>
          <w:sz w:val="16"/>
          <w:szCs w:val="16"/>
        </w:rPr>
      </w:pPr>
      <w:r w:rsidRPr="00507A31">
        <w:rPr>
          <w:color w:val="000000" w:themeColor="text1"/>
          <w:sz w:val="16"/>
          <w:szCs w:val="16"/>
        </w:rPr>
        <w:t>На закладку комсомольской лодки приехали и заместитель Наркомвоенмора, и Председатель Реввоенсовета СССР С. С. Каменев, и секретарь ЦК ВЛКСМ С. А. Салтанов. Кстати, сначала лодку намеревались назвать «Язь». А в заводских документах она многие годы носила намного более прозаичное название — «Баржа 550».</w:t>
      </w:r>
    </w:p>
    <w:p w14:paraId="58CA38B8" w14:textId="77777777" w:rsidR="00C51A9F" w:rsidRPr="00507A31" w:rsidRDefault="00C51A9F" w:rsidP="00507A31">
      <w:pPr>
        <w:pStyle w:val="ae"/>
        <w:shd w:val="clear" w:color="auto" w:fill="FFFFFF"/>
        <w:spacing w:before="0" w:after="0"/>
        <w:jc w:val="both"/>
        <w:rPr>
          <w:color w:val="000000" w:themeColor="text1"/>
          <w:sz w:val="16"/>
          <w:szCs w:val="16"/>
        </w:rPr>
      </w:pPr>
      <w:r w:rsidRPr="00507A31">
        <w:rPr>
          <w:color w:val="000000" w:themeColor="text1"/>
          <w:sz w:val="16"/>
          <w:szCs w:val="16"/>
        </w:rPr>
        <w:t>В тексте закладной доски первой сормовской подводной лодки наряду с руководителями страны, в бытность которых заложена подводная лодка, упомянуты директор завода — В. К. Войнов, заведующий судостроительным отделом завода — В. П. Лебедев, заведующий постройкой подводной лодки на заводе — П. И. Макаркин» (12189).</w:t>
      </w:r>
    </w:p>
    <w:p w14:paraId="60EEC1D5" w14:textId="77777777" w:rsidR="00C51A9F" w:rsidRPr="00507A31" w:rsidRDefault="00C51A9F" w:rsidP="00507A31">
      <w:pPr>
        <w:pStyle w:val="ae"/>
        <w:shd w:val="clear" w:color="auto" w:fill="FFFFFF"/>
        <w:spacing w:before="0" w:after="0"/>
        <w:jc w:val="both"/>
        <w:rPr>
          <w:color w:val="000000" w:themeColor="text1"/>
          <w:sz w:val="16"/>
          <w:szCs w:val="16"/>
        </w:rPr>
      </w:pPr>
    </w:p>
    <w:p w14:paraId="428F042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39F756F" w14:textId="77777777" w:rsidR="00537E5F" w:rsidRPr="00507A31" w:rsidRDefault="00537E5F" w:rsidP="00507A31">
      <w:pPr>
        <w:autoSpaceDE w:val="0"/>
        <w:autoSpaceDN w:val="0"/>
        <w:adjustRightInd w:val="0"/>
        <w:jc w:val="both"/>
        <w:rPr>
          <w:iCs/>
          <w:color w:val="000000" w:themeColor="text1"/>
          <w:sz w:val="16"/>
          <w:szCs w:val="16"/>
        </w:rPr>
      </w:pPr>
    </w:p>
    <w:p w14:paraId="1768E3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февраля 1930 состоялось заседание комиссии по вопросу изменения ТУ к АНТ-6 (ТБ-3) по размещению экипажа (1077,121).</w:t>
      </w:r>
    </w:p>
    <w:p w14:paraId="2DE5528C" w14:textId="77777777" w:rsidR="00537E5F" w:rsidRPr="00507A31" w:rsidRDefault="00537E5F" w:rsidP="00507A31">
      <w:pPr>
        <w:autoSpaceDE w:val="0"/>
        <w:autoSpaceDN w:val="0"/>
        <w:adjustRightInd w:val="0"/>
        <w:jc w:val="both"/>
        <w:rPr>
          <w:color w:val="000000" w:themeColor="text1"/>
          <w:sz w:val="16"/>
          <w:szCs w:val="16"/>
        </w:rPr>
      </w:pPr>
    </w:p>
    <w:p w14:paraId="519CA092" w14:textId="77777777" w:rsidR="00142716"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0C8E778" w14:textId="77777777" w:rsidR="00142716" w:rsidRPr="00507A31" w:rsidRDefault="00142716" w:rsidP="00507A31">
      <w:pPr>
        <w:autoSpaceDE w:val="0"/>
        <w:autoSpaceDN w:val="0"/>
        <w:adjustRightInd w:val="0"/>
        <w:jc w:val="both"/>
        <w:rPr>
          <w:iCs/>
          <w:color w:val="000000" w:themeColor="text1"/>
          <w:sz w:val="16"/>
          <w:szCs w:val="16"/>
        </w:rPr>
      </w:pPr>
    </w:p>
    <w:p w14:paraId="3664A5AF"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24 февраля 1930 года Политбюро ЦКВКП( б) во главе с И.В. Сталиным снова обсудило вопрос о ситуации в ВПК и мерах по преодолению последствий вредительства. </w:t>
      </w:r>
    </w:p>
    <w:p w14:paraId="4E35022B"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I </w:t>
      </w:r>
    </w:p>
    <w:p w14:paraId="62A0F786"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Заслушав доклад ОГПУ о ликвидации на предприятиях военной промышленности последствий вредительства, ЦК ВКП( 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имеют место выпуск военной продукции с пониженными боевыми качествами во всех военных производствах. </w:t>
      </w:r>
    </w:p>
    <w:p w14:paraId="5444A998"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 </w:t>
      </w:r>
    </w:p>
    <w:p w14:paraId="692B04DB"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Несерьёзное отношение большинства руководящего состава военной промышленности к информационным документам ОГПУ (сравнительное заключение по вредительству от августа 29 г.) и другим сообщениям. </w:t>
      </w:r>
    </w:p>
    <w:p w14:paraId="32664131" w14:textId="77777777" w:rsidR="00142716" w:rsidRPr="00507A31" w:rsidRDefault="00142716" w:rsidP="00507A31">
      <w:pPr>
        <w:jc w:val="both"/>
        <w:rPr>
          <w:color w:val="000000" w:themeColor="text1"/>
          <w:sz w:val="16"/>
          <w:szCs w:val="16"/>
        </w:rPr>
      </w:pPr>
      <w:r w:rsidRPr="00507A31">
        <w:rPr>
          <w:color w:val="000000" w:themeColor="text1"/>
          <w:sz w:val="16"/>
          <w:szCs w:val="16"/>
        </w:rPr>
        <w:t>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17DFC367"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 а) не мобилизовали внимания рабочих и всего инженерно-технического персонала к восстановлению утерянных навыков точных работ; </w:t>
      </w:r>
    </w:p>
    <w:p w14:paraId="7E580EA5"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б) не приняли серьёзных мер по оздоровлению в кратчайший срок лекального и инструментального дела, обеспечивающего требуемое качество продукции; </w:t>
      </w:r>
    </w:p>
    <w:p w14:paraId="1336D40B"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 отнеслись формально к определению мощностей заводов, отчего это определение ещё не везде закончено и остались ещё преуменьшенные мощности (в особенности ОАТ и ПТТ); </w:t>
      </w:r>
    </w:p>
    <w:p w14:paraId="39716677"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 </w:t>
      </w:r>
    </w:p>
    <w:p w14:paraId="4E74AD1C"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По-прежнему не привлечён к организации и рационализации производства беспартийный и коммунистический рабочий актив, благодаря чему остались неустраненными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так и низовых профессиональных и партийных организаций. </w:t>
      </w:r>
    </w:p>
    <w:p w14:paraId="6D21E8C1"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Наблюдаются случаи активного и пассивного сопротивления директоров заводов мероприятиям ОГПУ по ликвидации последствий вредительства. </w:t>
      </w:r>
    </w:p>
    <w:p w14:paraId="48EB2F4C"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II </w:t>
      </w:r>
    </w:p>
    <w:p w14:paraId="018241C4"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 </w:t>
      </w:r>
    </w:p>
    <w:p w14:paraId="7D21B6CB"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Крупные недоделы военной продукции по 1-му кварталу 29/30 г. почти по всем трестам. </w:t>
      </w:r>
    </w:p>
    <w:p w14:paraId="116E8B9A"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Опытные конструкторские работы ещё не поставлены на надлежащую высоту, не пополнены кадры технического персонала в особенности конструкторами. </w:t>
      </w:r>
    </w:p>
    <w:p w14:paraId="58EE49B7"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Отсутствие заметных улучшений в технологических процессах, что при прежнем расстройстве чертёжного, лекального и инструментального дела и низких технических условиях приводит к дальнейшей дезорганизации военного производства. </w:t>
      </w:r>
    </w:p>
    <w:p w14:paraId="488EE937"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Всё это свидетельствует, что в основном решения Политбюро от 15/VII-29 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неё задач по обороне страны. Всё это обязывает директоров заводов, руководителей трестов, ГВПУ и ВСНХ мобилизовать все возможные силы и средства для ликвидации в кратчайший срок последствий вредительства по производству военной продукции. </w:t>
      </w:r>
    </w:p>
    <w:p w14:paraId="2D95C6DD"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III </w:t>
      </w:r>
    </w:p>
    <w:p w14:paraId="65FAC4A1"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 целях быстрейшей ликвидации последствий вредительства и решительного улучшения постановки дела в военной промышленности: </w:t>
      </w:r>
    </w:p>
    <w:p w14:paraId="6056451B"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пулемёт и т.д.), с установлением точных кратчайших сроков их выполнения, привлекая к работе по ликвидации вредительства и раскаявшихся вредителей. </w:t>
      </w:r>
    </w:p>
    <w:p w14:paraId="68A5F6DF"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ГВПУ и ОГПУ развернуть работу этих комиссий немедленно. </w:t>
      </w:r>
    </w:p>
    <w:p w14:paraId="41FCAF97"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Привлечь беспартийный и коммунистический актив не только к участию в организации и рационализации производства, но и к борьбе и к ликвидации последствий вредительства. ВСНХ провести на деле в жизнь приказ о рассекречивании (No 716). </w:t>
      </w:r>
    </w:p>
    <w:p w14:paraId="15E900E2"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Всему хозяйственному составу (в особенности по ОАТ и по ВХТ) усилить бдительность в дальнейшем вскрытии вредительских актов. </w:t>
      </w:r>
    </w:p>
    <w:p w14:paraId="26D3AD74"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Обвинительное заключение ОГПУ о вредительстве (от августа 29 г.) и дополнительные материалы по этому вопросу разослать всем Окружным партийным комитетам, на территории коих расположены военные заводы. </w:t>
      </w:r>
    </w:p>
    <w:p w14:paraId="21B1FC55"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 </w:t>
      </w:r>
    </w:p>
    <w:p w14:paraId="4429FD67"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Разъяснить всем руководителям хозяйственных органов военной промышленности (директорам заводов, председателям трестов и ж.д.),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 </w:t>
      </w:r>
    </w:p>
    <w:p w14:paraId="19EB3EEC"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 связи с этим хозяйственники обязаны поднять свою квалификацию и техническую грамотность. </w:t>
      </w:r>
    </w:p>
    <w:p w14:paraId="70D9A9CA"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ВСНХ и ГВПУ должны им в этом помочь денежными средствами, временным полным освобождением для учёбы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 </w:t>
      </w:r>
    </w:p>
    <w:p w14:paraId="6953A437"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выездами на таковые. При правильной организации этих выездов (очерёдность и систематичность) будет обеспечено не только улучшение руководства, но и повышение квалификации самих хозяйственников. Предложить ВСНХ издать приказ о переходе в объединениях и трестах военной промышленности от коллегиального к единоличному управлению. </w:t>
      </w:r>
    </w:p>
    <w:p w14:paraId="48CFB94E"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 </w:t>
      </w:r>
    </w:p>
    <w:p w14:paraId="6404D1AE"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Для оздоровления инструментального и лекального дела: </w:t>
      </w:r>
    </w:p>
    <w:p w14:paraId="27ECF314"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а) организовать на всех заводах военной промышленности генеральную проверку чертежей, эталонов, шаблонов, лекал и рабочего инструмента и изъять всё негодное; </w:t>
      </w:r>
    </w:p>
    <w:p w14:paraId="48360B33"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б) ВСНХ и НКВМ в месячный срок разработать систему мероприятий периодической проверки указанного инструмента со стороны дирекции заводов, военных приёмщиков и вышестоящих органов. </w:t>
      </w:r>
    </w:p>
    <w:p w14:paraId="5C588190"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 НКВМ ускорить пересмотр всех чертежей, закончив его по основным изделиям в 2-месячный срок; </w:t>
      </w:r>
    </w:p>
    <w:p w14:paraId="4A6F4994"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г) ВСНХ наладить использование в полной мере инструментальных отделов (цехов) военных заводов, организовать в 30/31 г. специальные инструментальные заводы для военной промышленности, дабы улучшить качество лекал и инструмента, используя новейшие достижения техники; </w:t>
      </w:r>
    </w:p>
    <w:p w14:paraId="2A668B8F"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д) НКТоргу и ВСНХ ещё в 29/30 г. обеспечить все инструментальные отделы заводов нужным количеством инструментальной стали и в первую очередь завезти всё импортное оборудование для указанных цехов; </w:t>
      </w:r>
    </w:p>
    <w:p w14:paraId="3B04A9CB"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 </w:t>
      </w:r>
    </w:p>
    <w:p w14:paraId="3CF2971B" w14:textId="77777777" w:rsidR="00142716" w:rsidRPr="00507A31" w:rsidRDefault="00142716" w:rsidP="00507A31">
      <w:pPr>
        <w:jc w:val="both"/>
        <w:rPr>
          <w:color w:val="000000" w:themeColor="text1"/>
          <w:sz w:val="16"/>
          <w:szCs w:val="16"/>
        </w:rPr>
      </w:pPr>
      <w:r w:rsidRPr="00507A31">
        <w:rPr>
          <w:color w:val="000000" w:themeColor="text1"/>
          <w:sz w:val="16"/>
          <w:szCs w:val="16"/>
        </w:rPr>
        <w:lastRenderedPageBreak/>
        <w:t xml:space="preserve">ж) ВСНХ более смело использовать заграничную помощь (вербовка лекальщиков в Германии и т.д.); </w:t>
      </w:r>
    </w:p>
    <w:p w14:paraId="419BAFCA"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з) для ускорения подготовки высококвалифицированной рабочей силы, наряду с укреплением Фабзауча, ВСНХ более широко использовать ЦИТ. </w:t>
      </w:r>
    </w:p>
    <w:p w14:paraId="0CB3AF14"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 </w:t>
      </w:r>
    </w:p>
    <w:p w14:paraId="64504BCF"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ещё не имеют. </w:t>
      </w:r>
    </w:p>
    <w:p w14:paraId="77793138"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Правительственной комиссии закончить общий пересмотр технических условий к 1 мая 1930 г. </w:t>
      </w:r>
    </w:p>
    <w:p w14:paraId="7F621632"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НКРКИ проверить состояние работы по рассмотрению технических условий и в 2-недельный срок представить в РЗ СТО доклад. </w:t>
      </w:r>
    </w:p>
    <w:p w14:paraId="70FA68E2"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НКРКИ, НКВМ и ВСНХ в 3-месячный срок проверить состояние мобилизационного запаса основных видов военной продукции. РЗ СТО, по мере хода проверки, устанавливать жёсткие сроки приведения его в состояние боевой готовности. </w:t>
      </w:r>
    </w:p>
    <w:p w14:paraId="51969585"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Обязать НКВМ улучшить военную приёмку с тем, чтобы исключить на будущее время накопление негодного мобзапаса. </w:t>
      </w:r>
    </w:p>
    <w:p w14:paraId="18F2ED0E"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Обязать ВСНХ в 1-месячный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 </w:t>
      </w:r>
    </w:p>
    <w:p w14:paraId="3A7CEE7B"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Тов. КУЙБЫШЕВУ и т. МИКОЯНУ в 10-дневный срок провести срочные мероприятия, обеспечивающие своевременный завоз импортного оборудования по плану 29/30 г. и заказанного в предыдущие годы. </w:t>
      </w:r>
    </w:p>
    <w:p w14:paraId="65D5A798"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НКТруду во внеочередном порядке обеспечить капитальное строительство военных заводов необходимыми кадрами рабочих. </w:t>
      </w:r>
    </w:p>
    <w:p w14:paraId="508B53ED"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ГВПУ и ОГПУ проработать все вредительские материалы по капитальному строительству с тем, чтобы в контрольных цифрах 30/31 г. была предусмотрена полная ликвидация вредительства в этой области. </w:t>
      </w:r>
    </w:p>
    <w:p w14:paraId="0C1F7F8C"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 целях ликвидации остатков контрреволюционной группы специалистов ВСНХ в месячный срок разработать мероприятия по переброске технического персонала с военных заводов на гражданские и обратно. </w:t>
      </w:r>
    </w:p>
    <w:p w14:paraId="2F6CC62C"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IV </w:t>
      </w:r>
    </w:p>
    <w:p w14:paraId="7AFB552E"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 целях обеспечения выполнения и перевыполнения производственных программ военной промышленности: </w:t>
      </w:r>
    </w:p>
    <w:p w14:paraId="16FFC5B1"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СТО и НКВМ установить реальную и твёрдую производственную программу военной продукции, не подвергая её частым изменениям. Впредь задания должны быть даны своевременно (не позже 1/IV предшествующего операционного года), дабы промышленность имела возможность планомерно развернуться. </w:t>
      </w:r>
    </w:p>
    <w:p w14:paraId="6D4FD411"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ВСНХ и ЦК металлистов внести в 2-декадный срок проект перевода на положение мобилизованных некоторых заводов, где по выполнению программы имеются серьёзные опасения. Немедленно дать директиву об освобождении военных заводов на 29/30 г. от мобилизации личного состава на разные кампании (посевная, хлебозаготовительная, колхозная и т.д.). </w:t>
      </w:r>
    </w:p>
    <w:p w14:paraId="2A8775EE"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 целях улучшения технического руководства на военных заводах: </w:t>
      </w:r>
    </w:p>
    <w:p w14:paraId="29C3F8B7"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ВСНХ и НКТруду в месячный срок мобилизовать инженеров из гражданской промышленности для военных заводов, в первую очередь конструкторов и металлургов. </w:t>
      </w:r>
    </w:p>
    <w:p w14:paraId="5E29425F"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С этой целью СНК и ЦИК СССР издать постановление о принудительной командировке инженеров на военные заводы и о прикреплении их на известный срок к этим заводам. </w:t>
      </w:r>
    </w:p>
    <w:p w14:paraId="6FE411B2"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 </w:t>
      </w:r>
    </w:p>
    <w:p w14:paraId="1B87DC0B"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заключённых контрактов и договоров. </w:t>
      </w:r>
    </w:p>
    <w:p w14:paraId="46114792"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Обязать ВСНХ доложить в месячный срок РЗ СТО о ходе привлечения к военным производствам иностранной технической помощи и приглашения ин-специалистов, а также план значительного расширения этого привлечения. </w:t>
      </w:r>
    </w:p>
    <w:p w14:paraId="1FF38103"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человек и новую группу военных работников в количестве 20 человек. </w:t>
      </w:r>
    </w:p>
    <w:p w14:paraId="5BA902D1"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Одновременно обязать местные партийные организации командировать определённое количество партийцев для работы на соответствующих заводах военной промышленности. </w:t>
      </w:r>
    </w:p>
    <w:p w14:paraId="7DDDE4A3"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путём создания специальных опытных мастерских по важнейшим производствам. </w:t>
      </w:r>
    </w:p>
    <w:p w14:paraId="449943D1"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Обязать ВСНХ в месячный срок доложить РЗ СТО о проводимых им мероприятиях во исполнение этих предложений. </w:t>
      </w:r>
    </w:p>
    <w:p w14:paraId="46CB737B" w14:textId="77777777" w:rsidR="00142716" w:rsidRPr="00507A31" w:rsidRDefault="00142716" w:rsidP="00507A31">
      <w:pPr>
        <w:jc w:val="both"/>
        <w:rPr>
          <w:color w:val="000000" w:themeColor="text1"/>
          <w:sz w:val="16"/>
          <w:szCs w:val="16"/>
        </w:rPr>
      </w:pPr>
      <w:r w:rsidRPr="00507A31">
        <w:rPr>
          <w:color w:val="000000" w:themeColor="text1"/>
          <w:sz w:val="16"/>
          <w:szCs w:val="16"/>
        </w:rPr>
        <w:t>Для оздоровления всей военной промышленности срочно командировать членов ЦК и ЦКК на основные военные заводы на срок не менее месяца. В первую очередь они должны наблюдать за проведением мероприятий по ликвидации вредительства, за приведением военных заводов в полную мобилизационную готовность к 1/VII с.г., за выполнением промфинплана 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хозрасчёт.</w:t>
      </w:r>
    </w:p>
    <w:p w14:paraId="061A0543" w14:textId="77777777" w:rsidR="00142716" w:rsidRPr="00507A31" w:rsidRDefault="00142716" w:rsidP="00507A31">
      <w:pPr>
        <w:jc w:val="both"/>
        <w:rPr>
          <w:color w:val="000000" w:themeColor="text1"/>
          <w:sz w:val="16"/>
          <w:szCs w:val="16"/>
        </w:rPr>
      </w:pPr>
      <w:r w:rsidRPr="00507A31">
        <w:rPr>
          <w:color w:val="000000" w:themeColor="text1"/>
          <w:sz w:val="16"/>
          <w:szCs w:val="16"/>
        </w:rPr>
        <w:t> Секретариату ЦК к следующему заседанию представить список командируемых.</w:t>
      </w:r>
    </w:p>
    <w:p w14:paraId="2F488B12"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 V </w:t>
      </w:r>
    </w:p>
    <w:p w14:paraId="0D0C0011"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Директоров заводов: ИОЗа тов. 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 года занимать ответственные хозяйственные должности. </w:t>
      </w:r>
    </w:p>
    <w:p w14:paraId="206B4D71"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Директора завода No 50 тов. ДМИТРИЕВА за несвоевременное принятие мер по ликвидации вредительства снять с работы и объявить выговор. </w:t>
      </w:r>
    </w:p>
    <w:p w14:paraId="4F86A38B"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Директору ТОЗа тов. СИТНИКОВУ за недостаточно активное изжитие последствий вредительства объявить выговор, обязав в кратчайший срок выправить это дело. </w:t>
      </w:r>
    </w:p>
    <w:p w14:paraId="7B3CEDE0"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Директору завода No 42 тов. ШМЫРОВУ за невыполнение программы и плохое состояние завода объявить выговор, предложить в кратчайший срок выправить положение. </w:t>
      </w:r>
    </w:p>
    <w:p w14:paraId="6B7E972B" w14:textId="77777777" w:rsidR="00142716" w:rsidRPr="00507A31" w:rsidRDefault="00142716" w:rsidP="00507A31">
      <w:pPr>
        <w:jc w:val="both"/>
        <w:rPr>
          <w:color w:val="000000" w:themeColor="text1"/>
          <w:sz w:val="16"/>
          <w:szCs w:val="16"/>
        </w:rPr>
      </w:pPr>
      <w:r w:rsidRPr="00507A31">
        <w:rPr>
          <w:color w:val="000000" w:themeColor="text1"/>
          <w:sz w:val="16"/>
          <w:szCs w:val="16"/>
        </w:rPr>
        <w:t xml:space="preserve">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 </w:t>
      </w:r>
    </w:p>
    <w:p w14:paraId="727A42EE" w14:textId="77777777" w:rsidR="00142716" w:rsidRPr="00507A31" w:rsidRDefault="00142716" w:rsidP="00507A31">
      <w:pPr>
        <w:jc w:val="both"/>
        <w:rPr>
          <w:color w:val="000000" w:themeColor="text1"/>
          <w:sz w:val="16"/>
          <w:szCs w:val="16"/>
        </w:rPr>
      </w:pPr>
      <w:r w:rsidRPr="00507A31">
        <w:rPr>
          <w:color w:val="000000" w:themeColor="text1"/>
          <w:sz w:val="16"/>
          <w:szCs w:val="16"/>
        </w:rPr>
        <w:t>О ходе исполнения настоящего решения, как и решения ПБ от 15/УН-29 г., ВСНХ доложить через 3 месяца" {Постановление Политбюро ЦК ВКП( б) "О ходе ликвидации вредительства на предприятиях военной промышленности". 24 февраля 1930 года // Лубянка. Сталин и ВЧК-ГПУ-ОГПУ-НКВД. Архив Сталина. Документы высших органов партийной и государственной власти. Январь 1922 - декабрь 1936 года. М., 2003. С. 220-225} (17466).</w:t>
      </w:r>
    </w:p>
    <w:p w14:paraId="57669D78" w14:textId="77777777" w:rsidR="00142716" w:rsidRPr="00507A31" w:rsidRDefault="00142716" w:rsidP="00507A31">
      <w:pPr>
        <w:autoSpaceDE w:val="0"/>
        <w:autoSpaceDN w:val="0"/>
        <w:adjustRightInd w:val="0"/>
        <w:jc w:val="both"/>
        <w:rPr>
          <w:iCs/>
          <w:color w:val="000000" w:themeColor="text1"/>
          <w:sz w:val="16"/>
          <w:szCs w:val="16"/>
        </w:rPr>
      </w:pPr>
    </w:p>
    <w:p w14:paraId="1848028E" w14:textId="77777777" w:rsidR="00F35708" w:rsidRPr="00507A31" w:rsidRDefault="00F35708" w:rsidP="00507A31">
      <w:pPr>
        <w:jc w:val="both"/>
        <w:rPr>
          <w:color w:val="0070C0"/>
          <w:sz w:val="16"/>
          <w:szCs w:val="16"/>
        </w:rPr>
      </w:pPr>
      <w:bookmarkStart w:id="24" w:name="_Hlk83473728"/>
      <w:r w:rsidRPr="00507A31">
        <w:rPr>
          <w:color w:val="0070C0"/>
          <w:sz w:val="16"/>
          <w:szCs w:val="16"/>
        </w:rPr>
        <w:t>24 февраля 1930 г.</w:t>
      </w:r>
    </w:p>
    <w:p w14:paraId="1D96B451" w14:textId="77777777" w:rsidR="00F35708" w:rsidRPr="00507A31" w:rsidRDefault="00F35708" w:rsidP="00507A31">
      <w:pPr>
        <w:jc w:val="both"/>
        <w:rPr>
          <w:color w:val="0070C0"/>
          <w:sz w:val="16"/>
          <w:szCs w:val="16"/>
        </w:rPr>
      </w:pPr>
      <w:r w:rsidRPr="00507A31">
        <w:rPr>
          <w:color w:val="0070C0"/>
          <w:sz w:val="16"/>
          <w:szCs w:val="16"/>
        </w:rPr>
        <w:t>ПРОЕКТ ПОСТАНОВЛЕНИЯ ПОЛИТБЮРО ЦК ВКП(б)</w:t>
      </w:r>
    </w:p>
    <w:p w14:paraId="399039C7" w14:textId="77777777" w:rsidR="00F35708" w:rsidRPr="00507A31" w:rsidRDefault="00F35708" w:rsidP="00507A31">
      <w:pPr>
        <w:jc w:val="both"/>
        <w:rPr>
          <w:color w:val="0070C0"/>
          <w:sz w:val="16"/>
          <w:szCs w:val="16"/>
        </w:rPr>
      </w:pPr>
      <w:r w:rsidRPr="00507A31">
        <w:rPr>
          <w:color w:val="0070C0"/>
          <w:sz w:val="16"/>
          <w:szCs w:val="16"/>
        </w:rPr>
        <w:t>«О ХОДЕ ЛИКВИДАЦИИ ВРЕДИТЕЛЬСТВА НА ПРЕДПРИЯТИЯХ ВОЕННОЙ ПРОМЫШЛЕННОСТИ»</w:t>
      </w:r>
    </w:p>
    <w:p w14:paraId="6D056387" w14:textId="77777777" w:rsidR="00F35708" w:rsidRPr="00507A31" w:rsidRDefault="00F35708" w:rsidP="00507A31">
      <w:pPr>
        <w:jc w:val="both"/>
        <w:rPr>
          <w:color w:val="0070C0"/>
          <w:sz w:val="16"/>
          <w:szCs w:val="16"/>
        </w:rPr>
      </w:pPr>
      <w:r w:rsidRPr="00507A31">
        <w:rPr>
          <w:color w:val="0070C0"/>
          <w:sz w:val="16"/>
          <w:szCs w:val="16"/>
        </w:rPr>
        <w:t>24 февраля 1930 г.</w:t>
      </w:r>
    </w:p>
    <w:p w14:paraId="02C822E4" w14:textId="77777777" w:rsidR="00F35708" w:rsidRPr="00507A31" w:rsidRDefault="00F35708" w:rsidP="00507A31">
      <w:pPr>
        <w:jc w:val="both"/>
        <w:rPr>
          <w:color w:val="0070C0"/>
          <w:sz w:val="16"/>
          <w:szCs w:val="16"/>
        </w:rPr>
      </w:pPr>
      <w:r w:rsidRPr="00507A31">
        <w:rPr>
          <w:color w:val="0070C0"/>
          <w:sz w:val="16"/>
          <w:szCs w:val="16"/>
        </w:rPr>
        <w:t>СОВ. СЕКРЕТНО</w:t>
      </w:r>
    </w:p>
    <w:p w14:paraId="52EF2738" w14:textId="77777777" w:rsidR="00F35708" w:rsidRPr="00507A31" w:rsidRDefault="00F35708" w:rsidP="00507A31">
      <w:pPr>
        <w:jc w:val="both"/>
        <w:rPr>
          <w:color w:val="0070C0"/>
          <w:sz w:val="16"/>
          <w:szCs w:val="16"/>
        </w:rPr>
      </w:pPr>
      <w:r w:rsidRPr="00507A31">
        <w:rPr>
          <w:color w:val="0070C0"/>
          <w:sz w:val="16"/>
          <w:szCs w:val="16"/>
        </w:rPr>
        <w:t>I</w:t>
      </w:r>
    </w:p>
    <w:p w14:paraId="3BC0777F" w14:textId="77777777" w:rsidR="00F35708" w:rsidRPr="00507A31" w:rsidRDefault="00F35708" w:rsidP="00507A31">
      <w:pPr>
        <w:jc w:val="both"/>
        <w:rPr>
          <w:color w:val="0070C0"/>
          <w:sz w:val="16"/>
          <w:szCs w:val="16"/>
        </w:rPr>
      </w:pPr>
      <w:r w:rsidRPr="00507A31">
        <w:rPr>
          <w:color w:val="0070C0"/>
          <w:sz w:val="16"/>
          <w:szCs w:val="16"/>
        </w:rPr>
        <w:t>Заслушав доклад ОГПУ о ликвидации на предприятиях военной промышленности последствий вредительства, ЦК 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имеют место выпуск военной продукции с пониженными боевыми качествами во всех военных производствах.</w:t>
      </w:r>
    </w:p>
    <w:p w14:paraId="61B5200C" w14:textId="77777777" w:rsidR="00F35708" w:rsidRPr="00507A31" w:rsidRDefault="00F35708" w:rsidP="00507A31">
      <w:pPr>
        <w:jc w:val="both"/>
        <w:rPr>
          <w:color w:val="0070C0"/>
          <w:sz w:val="16"/>
          <w:szCs w:val="16"/>
        </w:rPr>
      </w:pPr>
      <w:r w:rsidRPr="00507A31">
        <w:rPr>
          <w:color w:val="0070C0"/>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7C9B4F30" w14:textId="77777777" w:rsidR="00F35708" w:rsidRPr="00507A31" w:rsidRDefault="00F35708" w:rsidP="00507A31">
      <w:pPr>
        <w:jc w:val="both"/>
        <w:rPr>
          <w:color w:val="0070C0"/>
          <w:sz w:val="16"/>
          <w:szCs w:val="16"/>
        </w:rPr>
      </w:pPr>
      <w:r w:rsidRPr="00507A31">
        <w:rPr>
          <w:color w:val="0070C0"/>
          <w:sz w:val="16"/>
          <w:szCs w:val="16"/>
        </w:rPr>
        <w:t>1. Несерьезное отношение большинства руководящего состава военной промышленности к информационным документам ОГПУ (сравнительное заключение по вредительству от августа 29 г.) и другие сообщения.</w:t>
      </w:r>
    </w:p>
    <w:p w14:paraId="6D39D4AD" w14:textId="77777777" w:rsidR="00F35708" w:rsidRPr="00507A31" w:rsidRDefault="00F35708" w:rsidP="00507A31">
      <w:pPr>
        <w:jc w:val="both"/>
        <w:rPr>
          <w:color w:val="0070C0"/>
          <w:sz w:val="16"/>
          <w:szCs w:val="16"/>
        </w:rPr>
      </w:pPr>
      <w:r w:rsidRPr="00507A31">
        <w:rPr>
          <w:color w:val="0070C0"/>
          <w:sz w:val="16"/>
          <w:szCs w:val="16"/>
        </w:rPr>
        <w:t>2. 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5EA0F4F2" w14:textId="77777777" w:rsidR="00F35708" w:rsidRPr="00507A31" w:rsidRDefault="00F35708" w:rsidP="00507A31">
      <w:pPr>
        <w:jc w:val="both"/>
        <w:rPr>
          <w:color w:val="0070C0"/>
          <w:sz w:val="16"/>
          <w:szCs w:val="16"/>
        </w:rPr>
      </w:pPr>
      <w:r w:rsidRPr="00507A31">
        <w:rPr>
          <w:color w:val="0070C0"/>
          <w:sz w:val="16"/>
          <w:szCs w:val="16"/>
        </w:rPr>
        <w:t>а) не мобилизовали внимания рабочих и всего инженерно-технического персонала к восстановлению утерянных навыков точных работ;</w:t>
      </w:r>
    </w:p>
    <w:p w14:paraId="5FE1CABE" w14:textId="77777777" w:rsidR="00F35708" w:rsidRPr="00507A31" w:rsidRDefault="00F35708" w:rsidP="00507A31">
      <w:pPr>
        <w:jc w:val="both"/>
        <w:rPr>
          <w:color w:val="0070C0"/>
          <w:sz w:val="16"/>
          <w:szCs w:val="16"/>
        </w:rPr>
      </w:pPr>
      <w:r w:rsidRPr="00507A31">
        <w:rPr>
          <w:color w:val="0070C0"/>
          <w:sz w:val="16"/>
          <w:szCs w:val="16"/>
        </w:rPr>
        <w:t>б) 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742BCB43" w14:textId="77777777" w:rsidR="00F35708" w:rsidRPr="00507A31" w:rsidRDefault="00F35708" w:rsidP="00507A31">
      <w:pPr>
        <w:jc w:val="both"/>
        <w:rPr>
          <w:color w:val="0070C0"/>
          <w:sz w:val="16"/>
          <w:szCs w:val="16"/>
        </w:rPr>
      </w:pPr>
      <w:r w:rsidRPr="00507A31">
        <w:rPr>
          <w:color w:val="0070C0"/>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4F21CD4A" w14:textId="77777777" w:rsidR="00F35708" w:rsidRPr="00507A31" w:rsidRDefault="00F35708" w:rsidP="00507A31">
      <w:pPr>
        <w:jc w:val="both"/>
        <w:rPr>
          <w:color w:val="0070C0"/>
          <w:sz w:val="16"/>
          <w:szCs w:val="16"/>
        </w:rPr>
      </w:pPr>
      <w:r w:rsidRPr="00507A31">
        <w:rPr>
          <w:color w:val="0070C0"/>
          <w:sz w:val="16"/>
          <w:szCs w:val="16"/>
        </w:rPr>
        <w:lastRenderedPageBreak/>
        <w:t>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5ECD64C6" w14:textId="77777777" w:rsidR="00F35708" w:rsidRPr="00507A31" w:rsidRDefault="00F35708" w:rsidP="00507A31">
      <w:pPr>
        <w:jc w:val="both"/>
        <w:rPr>
          <w:color w:val="0070C0"/>
          <w:sz w:val="16"/>
          <w:szCs w:val="16"/>
        </w:rPr>
      </w:pPr>
      <w:r w:rsidRPr="00507A31">
        <w:rPr>
          <w:color w:val="0070C0"/>
          <w:sz w:val="16"/>
          <w:szCs w:val="16"/>
        </w:rPr>
        <w:t>3. По-прежнему не привлечен к организации и рационализации производства беспартийный и коммунистический рабочий актив, благодаря чему остались неустраненными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так и низовых профессиональных и партийных организаций.</w:t>
      </w:r>
    </w:p>
    <w:p w14:paraId="089FF86B" w14:textId="77777777" w:rsidR="00F35708" w:rsidRPr="00507A31" w:rsidRDefault="00F35708" w:rsidP="00507A31">
      <w:pPr>
        <w:jc w:val="both"/>
        <w:rPr>
          <w:color w:val="0070C0"/>
          <w:sz w:val="16"/>
          <w:szCs w:val="16"/>
        </w:rPr>
      </w:pPr>
      <w:r w:rsidRPr="00507A31">
        <w:rPr>
          <w:color w:val="0070C0"/>
          <w:sz w:val="16"/>
          <w:szCs w:val="16"/>
        </w:rPr>
        <w:t>4. Наблюдаются случаи активного и пассивного сопротивления директоров заводов мероприятиям ОГПУ по ликвидации последствий вредительства.</w:t>
      </w:r>
    </w:p>
    <w:p w14:paraId="7C09D757" w14:textId="77777777" w:rsidR="00F35708" w:rsidRPr="00507A31" w:rsidRDefault="00F35708" w:rsidP="00507A31">
      <w:pPr>
        <w:jc w:val="both"/>
        <w:rPr>
          <w:color w:val="0070C0"/>
          <w:sz w:val="16"/>
          <w:szCs w:val="16"/>
        </w:rPr>
      </w:pPr>
      <w:r w:rsidRPr="00507A31">
        <w:rPr>
          <w:color w:val="0070C0"/>
          <w:sz w:val="16"/>
          <w:szCs w:val="16"/>
        </w:rPr>
        <w:t>II</w:t>
      </w:r>
    </w:p>
    <w:p w14:paraId="209726D5" w14:textId="77777777" w:rsidR="00F35708" w:rsidRPr="00507A31" w:rsidRDefault="00F35708" w:rsidP="00507A31">
      <w:pPr>
        <w:jc w:val="both"/>
        <w:rPr>
          <w:color w:val="0070C0"/>
          <w:sz w:val="16"/>
          <w:szCs w:val="16"/>
        </w:rPr>
      </w:pPr>
      <w:r w:rsidRPr="00507A31">
        <w:rPr>
          <w:color w:val="0070C0"/>
          <w:sz w:val="16"/>
          <w:szCs w:val="16"/>
        </w:rPr>
        <w:t>Вредительство не только подрывало базу снабжения Красной Армии, но и наносило непосредственный ущерб совершенствованию военной техники,</w:t>
      </w:r>
    </w:p>
    <w:p w14:paraId="61B98787" w14:textId="77777777" w:rsidR="00F35708" w:rsidRPr="00507A31" w:rsidRDefault="00F35708" w:rsidP="00507A31">
      <w:pPr>
        <w:jc w:val="both"/>
        <w:rPr>
          <w:color w:val="0070C0"/>
          <w:sz w:val="16"/>
          <w:szCs w:val="16"/>
        </w:rPr>
      </w:pPr>
      <w:r w:rsidRPr="00507A31">
        <w:rPr>
          <w:color w:val="0070C0"/>
          <w:sz w:val="16"/>
          <w:szCs w:val="16"/>
        </w:rPr>
        <w:t>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25913131" w14:textId="77777777" w:rsidR="00F35708" w:rsidRPr="00507A31" w:rsidRDefault="00F35708" w:rsidP="00507A31">
      <w:pPr>
        <w:jc w:val="both"/>
        <w:rPr>
          <w:color w:val="0070C0"/>
          <w:sz w:val="16"/>
          <w:szCs w:val="16"/>
        </w:rPr>
      </w:pPr>
      <w:r w:rsidRPr="00507A31">
        <w:rPr>
          <w:color w:val="0070C0"/>
          <w:sz w:val="16"/>
          <w:szCs w:val="16"/>
        </w:rPr>
        <w:t>1. Крупные недоделы военной продукции по 1-му кварталу 29/30 г. почти по всем трестам.</w:t>
      </w:r>
    </w:p>
    <w:p w14:paraId="4E18F4E6" w14:textId="77777777" w:rsidR="00F35708" w:rsidRPr="00507A31" w:rsidRDefault="00F35708" w:rsidP="00507A31">
      <w:pPr>
        <w:jc w:val="both"/>
        <w:rPr>
          <w:color w:val="0070C0"/>
          <w:sz w:val="16"/>
          <w:szCs w:val="16"/>
        </w:rPr>
      </w:pPr>
      <w:r w:rsidRPr="00507A31">
        <w:rPr>
          <w:color w:val="0070C0"/>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2E77FC10" w14:textId="77777777" w:rsidR="00F35708" w:rsidRPr="00507A31" w:rsidRDefault="00F35708" w:rsidP="00507A31">
      <w:pPr>
        <w:jc w:val="both"/>
        <w:rPr>
          <w:color w:val="0070C0"/>
          <w:sz w:val="16"/>
          <w:szCs w:val="16"/>
        </w:rPr>
      </w:pPr>
      <w:r w:rsidRPr="00507A31">
        <w:rPr>
          <w:color w:val="0070C0"/>
          <w:sz w:val="16"/>
          <w:szCs w:val="16"/>
        </w:rPr>
        <w:t>3. 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4C0DC9DA" w14:textId="77777777" w:rsidR="00F35708" w:rsidRPr="00507A31" w:rsidRDefault="00F35708" w:rsidP="00507A31">
      <w:pPr>
        <w:jc w:val="both"/>
        <w:rPr>
          <w:color w:val="0070C0"/>
          <w:sz w:val="16"/>
          <w:szCs w:val="16"/>
        </w:rPr>
      </w:pPr>
      <w:r w:rsidRPr="00507A31">
        <w:rPr>
          <w:color w:val="0070C0"/>
          <w:sz w:val="16"/>
          <w:szCs w:val="16"/>
        </w:rPr>
        <w:t>Все это свидетельствует, что в основном решения Политбюро от 15/ѴІІ-29 г. не выполнены, темп, взятый на оздоровление и восстановление различных производств военной промышленности, оказался совершенно неѵдовлетворительным, и последняя по-прежнему не сумела подготовиться к выполнению возложенных на нее задач по обороне страны.</w:t>
      </w:r>
    </w:p>
    <w:p w14:paraId="48059A72" w14:textId="77777777" w:rsidR="00F35708" w:rsidRPr="00507A31" w:rsidRDefault="00F35708" w:rsidP="00507A31">
      <w:pPr>
        <w:jc w:val="both"/>
        <w:rPr>
          <w:color w:val="0070C0"/>
          <w:sz w:val="16"/>
          <w:szCs w:val="16"/>
        </w:rPr>
      </w:pPr>
      <w:r w:rsidRPr="00507A31">
        <w:rPr>
          <w:color w:val="0070C0"/>
          <w:sz w:val="16"/>
          <w:szCs w:val="16"/>
        </w:rPr>
        <w:t>Все это обязывает директоров заводов, руководителей трестов, ГВПУ и ВСНХ мобилизовать все возможные силы и средства для ликвидации в кратчайший срок последствий вредительства по производству военной продукции.</w:t>
      </w:r>
    </w:p>
    <w:p w14:paraId="1A02D09F" w14:textId="77777777" w:rsidR="00F35708" w:rsidRPr="00507A31" w:rsidRDefault="00F35708" w:rsidP="00507A31">
      <w:pPr>
        <w:jc w:val="both"/>
        <w:rPr>
          <w:color w:val="0070C0"/>
          <w:sz w:val="16"/>
          <w:szCs w:val="16"/>
        </w:rPr>
      </w:pPr>
      <w:r w:rsidRPr="00507A31">
        <w:rPr>
          <w:color w:val="0070C0"/>
          <w:sz w:val="16"/>
          <w:szCs w:val="16"/>
        </w:rPr>
        <w:t>III</w:t>
      </w:r>
    </w:p>
    <w:p w14:paraId="790A28FE" w14:textId="77777777" w:rsidR="00F35708" w:rsidRPr="00507A31" w:rsidRDefault="00F35708" w:rsidP="00507A31">
      <w:pPr>
        <w:jc w:val="both"/>
        <w:rPr>
          <w:color w:val="0070C0"/>
          <w:sz w:val="16"/>
          <w:szCs w:val="16"/>
        </w:rPr>
      </w:pPr>
      <w:r w:rsidRPr="00507A31">
        <w:rPr>
          <w:color w:val="0070C0"/>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15D3922F" w14:textId="77777777" w:rsidR="00F35708" w:rsidRPr="00507A31" w:rsidRDefault="00F35708" w:rsidP="00507A31">
      <w:pPr>
        <w:jc w:val="both"/>
        <w:rPr>
          <w:color w:val="0070C0"/>
          <w:sz w:val="16"/>
          <w:szCs w:val="16"/>
        </w:rPr>
      </w:pPr>
      <w:r w:rsidRPr="00507A31">
        <w:rPr>
          <w:color w:val="0070C0"/>
          <w:sz w:val="16"/>
          <w:szCs w:val="16"/>
        </w:rPr>
        <w:t>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 т.д.), с установлением точных кратчайших сроков их выполнения, привлекая к работе по ликвидации вредительства и раскаявшихся вредителей.</w:t>
      </w:r>
    </w:p>
    <w:p w14:paraId="709BDCEE" w14:textId="77777777" w:rsidR="00F35708" w:rsidRPr="00507A31" w:rsidRDefault="00F35708" w:rsidP="00507A31">
      <w:pPr>
        <w:jc w:val="both"/>
        <w:rPr>
          <w:color w:val="0070C0"/>
          <w:sz w:val="16"/>
          <w:szCs w:val="16"/>
        </w:rPr>
      </w:pPr>
      <w:r w:rsidRPr="00507A31">
        <w:rPr>
          <w:color w:val="0070C0"/>
          <w:sz w:val="16"/>
          <w:szCs w:val="16"/>
        </w:rPr>
        <w:t>ГВПУ и ОГПУ развернуть работу этих комиссий немедленно.</w:t>
      </w:r>
    </w:p>
    <w:p w14:paraId="267777B8" w14:textId="77777777" w:rsidR="00F35708" w:rsidRPr="00507A31" w:rsidRDefault="00F35708" w:rsidP="00507A31">
      <w:pPr>
        <w:jc w:val="both"/>
        <w:rPr>
          <w:color w:val="0070C0"/>
          <w:sz w:val="16"/>
          <w:szCs w:val="16"/>
        </w:rPr>
      </w:pPr>
      <w:r w:rsidRPr="00507A31">
        <w:rPr>
          <w:color w:val="0070C0"/>
          <w:sz w:val="16"/>
          <w:szCs w:val="16"/>
        </w:rPr>
        <w:t>2. Привлечь беспартийный и коммунистический актив не только к участию в организации и рационализации производства, но и к борьбе и к ликвидации последствий вредительства. ВСНХ провести на деле в жизнь приказ о рассекречивании (N9 716).</w:t>
      </w:r>
    </w:p>
    <w:p w14:paraId="50389EFE" w14:textId="77777777" w:rsidR="00F35708" w:rsidRPr="00507A31" w:rsidRDefault="00F35708" w:rsidP="00507A31">
      <w:pPr>
        <w:jc w:val="both"/>
        <w:rPr>
          <w:color w:val="0070C0"/>
          <w:sz w:val="16"/>
          <w:szCs w:val="16"/>
        </w:rPr>
      </w:pPr>
      <w:r w:rsidRPr="00507A31">
        <w:rPr>
          <w:color w:val="0070C0"/>
          <w:sz w:val="16"/>
          <w:szCs w:val="16"/>
        </w:rPr>
        <w:t>3. Всему хозяйственному составу (в особенности по ОАТ и по ВХТ) усилить бдительность в дальнейшем вскрытии вредительских актов.</w:t>
      </w:r>
    </w:p>
    <w:p w14:paraId="27384540" w14:textId="77777777" w:rsidR="00F35708" w:rsidRPr="00507A31" w:rsidRDefault="00F35708" w:rsidP="00507A31">
      <w:pPr>
        <w:jc w:val="both"/>
        <w:rPr>
          <w:color w:val="0070C0"/>
          <w:sz w:val="16"/>
          <w:szCs w:val="16"/>
        </w:rPr>
      </w:pPr>
      <w:r w:rsidRPr="00507A31">
        <w:rPr>
          <w:color w:val="0070C0"/>
          <w:sz w:val="16"/>
          <w:szCs w:val="16"/>
        </w:rPr>
        <w:t>4. Обвинительное заключение ОГПУ о вредительстве (от августа 29 г.) и дополнительные материалы по этому вопросу разослать всем Окружным партийным комитетам, на территории коих расположены военные заводы.</w:t>
      </w:r>
    </w:p>
    <w:p w14:paraId="34C56CF6" w14:textId="77777777" w:rsidR="00F35708" w:rsidRPr="00507A31" w:rsidRDefault="00F35708" w:rsidP="00507A31">
      <w:pPr>
        <w:jc w:val="both"/>
        <w:rPr>
          <w:color w:val="0070C0"/>
          <w:sz w:val="16"/>
          <w:szCs w:val="16"/>
        </w:rPr>
      </w:pPr>
      <w:r w:rsidRPr="00507A31">
        <w:rPr>
          <w:color w:val="0070C0"/>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14F1E280" w14:textId="77777777" w:rsidR="00F35708" w:rsidRPr="00507A31" w:rsidRDefault="00F35708" w:rsidP="00507A31">
      <w:pPr>
        <w:jc w:val="both"/>
        <w:rPr>
          <w:color w:val="0070C0"/>
          <w:sz w:val="16"/>
          <w:szCs w:val="16"/>
        </w:rPr>
      </w:pPr>
      <w:r w:rsidRPr="00507A31">
        <w:rPr>
          <w:color w:val="0070C0"/>
          <w:sz w:val="16"/>
          <w:szCs w:val="16"/>
        </w:rPr>
        <w:t>5. Разъяснить всем руководителям хозяйственных органов военной промышленности (директорам заводов, председателям трестов и ж.д.),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1E8B06C5" w14:textId="77777777" w:rsidR="00F35708" w:rsidRPr="00507A31" w:rsidRDefault="00F35708" w:rsidP="00507A31">
      <w:pPr>
        <w:jc w:val="both"/>
        <w:rPr>
          <w:color w:val="0070C0"/>
          <w:sz w:val="16"/>
          <w:szCs w:val="16"/>
        </w:rPr>
      </w:pPr>
      <w:r w:rsidRPr="00507A31">
        <w:rPr>
          <w:color w:val="0070C0"/>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568F64DE" w14:textId="77777777" w:rsidR="00F35708" w:rsidRPr="00507A31" w:rsidRDefault="00F35708" w:rsidP="00507A31">
      <w:pPr>
        <w:jc w:val="both"/>
        <w:rPr>
          <w:color w:val="0070C0"/>
          <w:sz w:val="16"/>
          <w:szCs w:val="16"/>
        </w:rPr>
      </w:pPr>
      <w:r w:rsidRPr="00507A31">
        <w:rPr>
          <w:color w:val="0070C0"/>
          <w:sz w:val="16"/>
          <w:szCs w:val="16"/>
        </w:rPr>
        <w:t xml:space="preserve">6. 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выездами на таковые. </w:t>
      </w:r>
    </w:p>
    <w:p w14:paraId="561D866B" w14:textId="77777777" w:rsidR="00F35708" w:rsidRPr="00507A31" w:rsidRDefault="00F35708" w:rsidP="00507A31">
      <w:pPr>
        <w:jc w:val="both"/>
        <w:rPr>
          <w:color w:val="0070C0"/>
          <w:sz w:val="16"/>
          <w:szCs w:val="16"/>
        </w:rPr>
      </w:pPr>
      <w:r w:rsidRPr="00507A31">
        <w:rPr>
          <w:color w:val="0070C0"/>
          <w:sz w:val="16"/>
          <w:szCs w:val="16"/>
        </w:rPr>
        <w:t>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45BA94AE" w14:textId="77777777" w:rsidR="00F35708" w:rsidRPr="00507A31" w:rsidRDefault="00F35708" w:rsidP="00507A31">
      <w:pPr>
        <w:jc w:val="both"/>
        <w:rPr>
          <w:color w:val="0070C0"/>
          <w:sz w:val="16"/>
          <w:szCs w:val="16"/>
        </w:rPr>
      </w:pPr>
      <w:r w:rsidRPr="00507A31">
        <w:rPr>
          <w:color w:val="0070C0"/>
          <w:sz w:val="16"/>
          <w:szCs w:val="16"/>
        </w:rPr>
        <w:t>7. Предложить ВСНХ издать приказ о переходе в объединениях и трестах военной промышленности от коллегиального к единоличному управлению.</w:t>
      </w:r>
    </w:p>
    <w:p w14:paraId="21E6C0F0" w14:textId="77777777" w:rsidR="00F35708" w:rsidRPr="00507A31" w:rsidRDefault="00F35708" w:rsidP="00507A31">
      <w:pPr>
        <w:jc w:val="both"/>
        <w:rPr>
          <w:color w:val="0070C0"/>
          <w:sz w:val="16"/>
          <w:szCs w:val="16"/>
        </w:rPr>
      </w:pPr>
      <w:r w:rsidRPr="00507A31">
        <w:rPr>
          <w:color w:val="0070C0"/>
          <w:sz w:val="16"/>
          <w:szCs w:val="16"/>
        </w:rPr>
        <w:t>8. 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2C8475FB" w14:textId="77777777" w:rsidR="00F35708" w:rsidRPr="00507A31" w:rsidRDefault="00F35708" w:rsidP="00507A31">
      <w:pPr>
        <w:jc w:val="both"/>
        <w:rPr>
          <w:color w:val="0070C0"/>
          <w:sz w:val="16"/>
          <w:szCs w:val="16"/>
        </w:rPr>
      </w:pPr>
      <w:r w:rsidRPr="00507A31">
        <w:rPr>
          <w:color w:val="0070C0"/>
          <w:sz w:val="16"/>
          <w:szCs w:val="16"/>
        </w:rPr>
        <w:t>9. Для оздоровления инструментального и лекального дела:</w:t>
      </w:r>
    </w:p>
    <w:p w14:paraId="70AED9E6" w14:textId="77777777" w:rsidR="00F35708" w:rsidRPr="00507A31" w:rsidRDefault="00F35708" w:rsidP="00507A31">
      <w:pPr>
        <w:jc w:val="both"/>
        <w:rPr>
          <w:color w:val="0070C0"/>
          <w:sz w:val="16"/>
          <w:szCs w:val="16"/>
        </w:rPr>
      </w:pPr>
      <w:r w:rsidRPr="00507A31">
        <w:rPr>
          <w:color w:val="0070C0"/>
          <w:sz w:val="16"/>
          <w:szCs w:val="16"/>
        </w:rPr>
        <w:t>а) организовать на всех заводах военной промышленности генеральную проверку чертежей, эталонов, шаблонов, лекал и рабочего инструмента и изъять все негодное.</w:t>
      </w:r>
    </w:p>
    <w:p w14:paraId="7EEA43D6" w14:textId="77777777" w:rsidR="00F35708" w:rsidRPr="00507A31" w:rsidRDefault="00F35708" w:rsidP="00507A31">
      <w:pPr>
        <w:jc w:val="both"/>
        <w:rPr>
          <w:color w:val="0070C0"/>
          <w:sz w:val="16"/>
          <w:szCs w:val="16"/>
        </w:rPr>
      </w:pPr>
      <w:r w:rsidRPr="00507A31">
        <w:rPr>
          <w:color w:val="0070C0"/>
          <w:sz w:val="16"/>
          <w:szCs w:val="16"/>
        </w:rPr>
        <w:t>б) ВСНХ и НКВМ в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7C396F89" w14:textId="77777777" w:rsidR="00F35708" w:rsidRPr="00507A31" w:rsidRDefault="00F35708" w:rsidP="00507A31">
      <w:pPr>
        <w:jc w:val="both"/>
        <w:rPr>
          <w:color w:val="0070C0"/>
          <w:sz w:val="16"/>
          <w:szCs w:val="16"/>
        </w:rPr>
      </w:pPr>
      <w:r w:rsidRPr="00507A31">
        <w:rPr>
          <w:color w:val="0070C0"/>
          <w:sz w:val="16"/>
          <w:szCs w:val="16"/>
        </w:rPr>
        <w:t>в) НКВМ ускорить пересмотр всех чертежей, закончив его по основным изделиям в 2-х месячный срок.</w:t>
      </w:r>
    </w:p>
    <w:p w14:paraId="4278D248" w14:textId="77777777" w:rsidR="00F35708" w:rsidRPr="00507A31" w:rsidRDefault="00F35708" w:rsidP="00507A31">
      <w:pPr>
        <w:jc w:val="both"/>
        <w:rPr>
          <w:color w:val="0070C0"/>
          <w:sz w:val="16"/>
          <w:szCs w:val="16"/>
        </w:rPr>
      </w:pPr>
      <w:r w:rsidRPr="00507A31">
        <w:rPr>
          <w:color w:val="0070C0"/>
          <w:sz w:val="16"/>
          <w:szCs w:val="16"/>
        </w:rPr>
        <w:t>г) ВСНХ наладить использование в полной мере инструментальных отделов (цехов) военных заводов, организовать в 30/31 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3027E335" w14:textId="77777777" w:rsidR="00F35708" w:rsidRPr="00507A31" w:rsidRDefault="00F35708" w:rsidP="00507A31">
      <w:pPr>
        <w:jc w:val="both"/>
        <w:rPr>
          <w:color w:val="0070C0"/>
          <w:sz w:val="16"/>
          <w:szCs w:val="16"/>
        </w:rPr>
      </w:pPr>
      <w:r w:rsidRPr="00507A31">
        <w:rPr>
          <w:color w:val="0070C0"/>
          <w:sz w:val="16"/>
          <w:szCs w:val="16"/>
        </w:rPr>
        <w:t>д) НКТоргу и ВСНХ еще в 29/30 г. обеспечить все инструментальные отделы заводов нужным количеством инструментальной стали и в первую очередь завезти все импортное оборудование для указанных цехов.</w:t>
      </w:r>
    </w:p>
    <w:p w14:paraId="054433EF" w14:textId="77777777" w:rsidR="00F35708" w:rsidRPr="00507A31" w:rsidRDefault="00F35708" w:rsidP="00507A31">
      <w:pPr>
        <w:jc w:val="both"/>
        <w:rPr>
          <w:color w:val="0070C0"/>
          <w:sz w:val="16"/>
          <w:szCs w:val="16"/>
        </w:rPr>
      </w:pPr>
      <w:r w:rsidRPr="00507A31">
        <w:rPr>
          <w:color w:val="0070C0"/>
          <w:sz w:val="16"/>
          <w:szCs w:val="16"/>
        </w:rPr>
        <w:t>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24891CD6" w14:textId="77777777" w:rsidR="00F35708" w:rsidRPr="00507A31" w:rsidRDefault="00F35708" w:rsidP="00507A31">
      <w:pPr>
        <w:jc w:val="both"/>
        <w:rPr>
          <w:color w:val="0070C0"/>
          <w:sz w:val="16"/>
          <w:szCs w:val="16"/>
        </w:rPr>
      </w:pPr>
      <w:r w:rsidRPr="00507A31">
        <w:rPr>
          <w:color w:val="0070C0"/>
          <w:sz w:val="16"/>
          <w:szCs w:val="16"/>
        </w:rPr>
        <w:t>ж) ВСНХ более смело использовать заграничную помощь (вербовка лекальщиков в Германии и т.д.);</w:t>
      </w:r>
    </w:p>
    <w:p w14:paraId="3B23FC62" w14:textId="77777777" w:rsidR="00F35708" w:rsidRPr="00507A31" w:rsidRDefault="00F35708" w:rsidP="00507A31">
      <w:pPr>
        <w:jc w:val="both"/>
        <w:rPr>
          <w:color w:val="0070C0"/>
          <w:sz w:val="16"/>
          <w:szCs w:val="16"/>
        </w:rPr>
      </w:pPr>
      <w:r w:rsidRPr="00507A31">
        <w:rPr>
          <w:color w:val="0070C0"/>
          <w:sz w:val="16"/>
          <w:szCs w:val="16"/>
        </w:rPr>
        <w:t>з) для ускорения подготовки высококвалифицированной рабочей силы, наряду с укреплением Фабзауча, ВСНХ более широко использовать ЦИТ.</w:t>
      </w:r>
    </w:p>
    <w:p w14:paraId="6E960FBE" w14:textId="77777777" w:rsidR="00F35708" w:rsidRPr="00507A31" w:rsidRDefault="00F35708" w:rsidP="00507A31">
      <w:pPr>
        <w:jc w:val="both"/>
        <w:rPr>
          <w:color w:val="0070C0"/>
          <w:sz w:val="16"/>
          <w:szCs w:val="16"/>
        </w:rPr>
      </w:pPr>
      <w:r w:rsidRPr="00507A31">
        <w:rPr>
          <w:color w:val="0070C0"/>
          <w:sz w:val="16"/>
          <w:szCs w:val="16"/>
        </w:rPr>
        <w:t>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0DE6EB8E" w14:textId="77777777" w:rsidR="00F35708" w:rsidRPr="00507A31" w:rsidRDefault="00F35708" w:rsidP="00507A31">
      <w:pPr>
        <w:jc w:val="both"/>
        <w:rPr>
          <w:color w:val="0070C0"/>
          <w:sz w:val="16"/>
          <w:szCs w:val="16"/>
        </w:rPr>
      </w:pPr>
      <w:r w:rsidRPr="00507A31">
        <w:rPr>
          <w:color w:val="0070C0"/>
          <w:sz w:val="16"/>
          <w:szCs w:val="16"/>
        </w:rPr>
        <w:t>11. 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6EE7600E" w14:textId="77777777" w:rsidR="00F35708" w:rsidRPr="00507A31" w:rsidRDefault="00F35708" w:rsidP="00507A31">
      <w:pPr>
        <w:jc w:val="both"/>
        <w:rPr>
          <w:color w:val="0070C0"/>
          <w:sz w:val="16"/>
          <w:szCs w:val="16"/>
        </w:rPr>
      </w:pPr>
      <w:r w:rsidRPr="00507A31">
        <w:rPr>
          <w:color w:val="0070C0"/>
          <w:sz w:val="16"/>
          <w:szCs w:val="16"/>
        </w:rPr>
        <w:t>12.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3D5CDF24" w14:textId="77777777" w:rsidR="00F35708" w:rsidRPr="00507A31" w:rsidRDefault="00F35708" w:rsidP="00507A31">
      <w:pPr>
        <w:jc w:val="both"/>
        <w:rPr>
          <w:color w:val="0070C0"/>
          <w:sz w:val="16"/>
          <w:szCs w:val="16"/>
        </w:rPr>
      </w:pPr>
      <w:r w:rsidRPr="00507A31">
        <w:rPr>
          <w:color w:val="0070C0"/>
          <w:sz w:val="16"/>
          <w:szCs w:val="16"/>
        </w:rPr>
        <w:t>13. Правительственной комиссии закончить общий пересмотр технических условий к 1 мая 1930 г.</w:t>
      </w:r>
    </w:p>
    <w:p w14:paraId="2EE92AD7" w14:textId="77777777" w:rsidR="00F35708" w:rsidRPr="00507A31" w:rsidRDefault="00F35708" w:rsidP="00507A31">
      <w:pPr>
        <w:jc w:val="both"/>
        <w:rPr>
          <w:color w:val="0070C0"/>
          <w:sz w:val="16"/>
          <w:szCs w:val="16"/>
        </w:rPr>
      </w:pPr>
      <w:r w:rsidRPr="00507A31">
        <w:rPr>
          <w:color w:val="0070C0"/>
          <w:sz w:val="16"/>
          <w:szCs w:val="16"/>
        </w:rPr>
        <w:t>14. НКРКИ проверить состояние работы по рассмотрению технических условий и в 2-х недельный срок представить в РЗ СТО доклад.</w:t>
      </w:r>
    </w:p>
    <w:p w14:paraId="421D4DE0" w14:textId="77777777" w:rsidR="00F35708" w:rsidRPr="00507A31" w:rsidRDefault="00F35708" w:rsidP="00507A31">
      <w:pPr>
        <w:jc w:val="both"/>
        <w:rPr>
          <w:color w:val="0070C0"/>
          <w:sz w:val="16"/>
          <w:szCs w:val="16"/>
        </w:rPr>
      </w:pPr>
      <w:r w:rsidRPr="00507A31">
        <w:rPr>
          <w:color w:val="0070C0"/>
          <w:sz w:val="16"/>
          <w:szCs w:val="16"/>
        </w:rPr>
        <w:t>15. НКРКИ, НКВМ и ВСНХ в 3-х месячный срок проверить состояние мобилизационного запаса основных видов военной продукции. РЗ СТО, по мере хода проверки, устанавливать жесткие сроки приведения его в состояние боевой готовности.</w:t>
      </w:r>
    </w:p>
    <w:p w14:paraId="7941670F" w14:textId="77777777" w:rsidR="00F35708" w:rsidRPr="00507A31" w:rsidRDefault="00F35708" w:rsidP="00507A31">
      <w:pPr>
        <w:jc w:val="both"/>
        <w:rPr>
          <w:color w:val="0070C0"/>
          <w:sz w:val="16"/>
          <w:szCs w:val="16"/>
        </w:rPr>
      </w:pPr>
      <w:r w:rsidRPr="00507A31">
        <w:rPr>
          <w:color w:val="0070C0"/>
          <w:sz w:val="16"/>
          <w:szCs w:val="16"/>
        </w:rPr>
        <w:t>Обязать НКВМ улучшить военную приемку с тем, чтобы исключить на будущее время накопление негодного мобзапаса.</w:t>
      </w:r>
    </w:p>
    <w:p w14:paraId="5D1B9EBD" w14:textId="77777777" w:rsidR="00F35708" w:rsidRPr="00507A31" w:rsidRDefault="00F35708" w:rsidP="00507A31">
      <w:pPr>
        <w:jc w:val="both"/>
        <w:rPr>
          <w:color w:val="0070C0"/>
          <w:sz w:val="16"/>
          <w:szCs w:val="16"/>
        </w:rPr>
      </w:pPr>
      <w:r w:rsidRPr="00507A31">
        <w:rPr>
          <w:color w:val="0070C0"/>
          <w:sz w:val="16"/>
          <w:szCs w:val="16"/>
        </w:rPr>
        <w:t>16. Обязать ВСНХ в 1-месячный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w:t>
      </w:r>
    </w:p>
    <w:p w14:paraId="07A58EE8" w14:textId="77777777" w:rsidR="00F35708" w:rsidRPr="00507A31" w:rsidRDefault="00F35708" w:rsidP="00507A31">
      <w:pPr>
        <w:jc w:val="both"/>
        <w:rPr>
          <w:color w:val="0070C0"/>
          <w:sz w:val="16"/>
          <w:szCs w:val="16"/>
        </w:rPr>
      </w:pPr>
      <w:r w:rsidRPr="00507A31">
        <w:rPr>
          <w:color w:val="0070C0"/>
          <w:sz w:val="16"/>
          <w:szCs w:val="16"/>
        </w:rPr>
        <w:t>17. Тов. КУЙБЫШЕВУ и т. МИКОЯНУ в 10-ти дневный срок провести срочные мероприятия, обеспечивающие своевременный завоз импортного оборудования по плану 29/30 г. и заказанного в предыдущие годы.</w:t>
      </w:r>
    </w:p>
    <w:p w14:paraId="75681060" w14:textId="77777777" w:rsidR="00F35708" w:rsidRPr="00507A31" w:rsidRDefault="00F35708" w:rsidP="00507A31">
      <w:pPr>
        <w:jc w:val="both"/>
        <w:rPr>
          <w:color w:val="0070C0"/>
          <w:sz w:val="16"/>
          <w:szCs w:val="16"/>
        </w:rPr>
      </w:pPr>
      <w:r w:rsidRPr="00507A31">
        <w:rPr>
          <w:color w:val="0070C0"/>
          <w:sz w:val="16"/>
          <w:szCs w:val="16"/>
        </w:rPr>
        <w:t>18. НКТруду во внеочередном порядке обеспечить капитальное строительство оенных заводов необходимыми кадрами рабочих.</w:t>
      </w:r>
    </w:p>
    <w:p w14:paraId="3449389F" w14:textId="77777777" w:rsidR="00F35708" w:rsidRPr="00507A31" w:rsidRDefault="00F35708" w:rsidP="00507A31">
      <w:pPr>
        <w:jc w:val="both"/>
        <w:rPr>
          <w:color w:val="0070C0"/>
          <w:sz w:val="16"/>
          <w:szCs w:val="16"/>
        </w:rPr>
      </w:pPr>
      <w:r w:rsidRPr="00507A31">
        <w:rPr>
          <w:color w:val="0070C0"/>
          <w:sz w:val="16"/>
          <w:szCs w:val="16"/>
        </w:rPr>
        <w:t>19. ГВПУ и ОГПУ проработать все вредительские материалы по капитальному строительству с тем, чтобы в контрольных цифрах 30/31 г. была предусмотрена полная ликвидация вредительства в этой области.</w:t>
      </w:r>
    </w:p>
    <w:p w14:paraId="780E0E70" w14:textId="77777777" w:rsidR="00F35708" w:rsidRPr="00507A31" w:rsidRDefault="00F35708" w:rsidP="00507A31">
      <w:pPr>
        <w:jc w:val="both"/>
        <w:rPr>
          <w:color w:val="0070C0"/>
          <w:sz w:val="16"/>
          <w:szCs w:val="16"/>
        </w:rPr>
      </w:pPr>
      <w:r w:rsidRPr="00507A31">
        <w:rPr>
          <w:color w:val="0070C0"/>
          <w:sz w:val="16"/>
          <w:szCs w:val="16"/>
        </w:rPr>
        <w:t>20. В целях ликвидации остатков контрреволюционной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4E4CE75B" w14:textId="77777777" w:rsidR="00F35708" w:rsidRPr="00507A31" w:rsidRDefault="00F35708" w:rsidP="00507A31">
      <w:pPr>
        <w:jc w:val="both"/>
        <w:rPr>
          <w:color w:val="0070C0"/>
          <w:sz w:val="16"/>
          <w:szCs w:val="16"/>
        </w:rPr>
      </w:pPr>
      <w:r w:rsidRPr="00507A31">
        <w:rPr>
          <w:color w:val="0070C0"/>
          <w:sz w:val="16"/>
          <w:szCs w:val="16"/>
        </w:rPr>
        <w:t>IV</w:t>
      </w:r>
    </w:p>
    <w:p w14:paraId="775473E2" w14:textId="77777777" w:rsidR="00F35708" w:rsidRPr="00507A31" w:rsidRDefault="00F35708" w:rsidP="00507A31">
      <w:pPr>
        <w:jc w:val="both"/>
        <w:rPr>
          <w:color w:val="0070C0"/>
          <w:sz w:val="16"/>
          <w:szCs w:val="16"/>
        </w:rPr>
      </w:pPr>
      <w:r w:rsidRPr="00507A31">
        <w:rPr>
          <w:color w:val="0070C0"/>
          <w:sz w:val="16"/>
          <w:szCs w:val="16"/>
        </w:rPr>
        <w:t>В целях обеспечения выполнения и перевыполнения производственных программ военной промышленности:</w:t>
      </w:r>
    </w:p>
    <w:p w14:paraId="7DEE9F88" w14:textId="77777777" w:rsidR="00F35708" w:rsidRPr="00507A31" w:rsidRDefault="00F35708" w:rsidP="00507A31">
      <w:pPr>
        <w:jc w:val="both"/>
        <w:rPr>
          <w:color w:val="0070C0"/>
          <w:sz w:val="16"/>
          <w:szCs w:val="16"/>
        </w:rPr>
      </w:pPr>
      <w:r w:rsidRPr="00507A31">
        <w:rPr>
          <w:color w:val="0070C0"/>
          <w:sz w:val="16"/>
          <w:szCs w:val="16"/>
        </w:rPr>
        <w:t>1. 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1/1V предшествующего операционного года), дабы промышленность имела возможность планомерно развернуться.</w:t>
      </w:r>
    </w:p>
    <w:p w14:paraId="466B1D1E" w14:textId="77777777" w:rsidR="00F35708" w:rsidRPr="00507A31" w:rsidRDefault="00F35708" w:rsidP="00507A31">
      <w:pPr>
        <w:jc w:val="both"/>
        <w:rPr>
          <w:color w:val="0070C0"/>
          <w:sz w:val="16"/>
          <w:szCs w:val="16"/>
        </w:rPr>
      </w:pPr>
      <w:r w:rsidRPr="00507A31">
        <w:rPr>
          <w:color w:val="0070C0"/>
          <w:sz w:val="16"/>
          <w:szCs w:val="16"/>
        </w:rPr>
        <w:lastRenderedPageBreak/>
        <w:t>2. ВСНХ и ЦК металлистов внести в 2-х декадный срок проект перевода на положение мобилизованных некоторых заводов, где по выполнению программы имеются серьезные опасения.</w:t>
      </w:r>
    </w:p>
    <w:p w14:paraId="1648D35B" w14:textId="77777777" w:rsidR="00F35708" w:rsidRPr="00507A31" w:rsidRDefault="00F35708" w:rsidP="00507A31">
      <w:pPr>
        <w:jc w:val="both"/>
        <w:rPr>
          <w:color w:val="0070C0"/>
          <w:sz w:val="16"/>
          <w:szCs w:val="16"/>
        </w:rPr>
      </w:pPr>
      <w:r w:rsidRPr="00507A31">
        <w:rPr>
          <w:color w:val="0070C0"/>
          <w:sz w:val="16"/>
          <w:szCs w:val="16"/>
        </w:rPr>
        <w:t>3. Немедленно дать директиву об освобождении военных заводов на 29/30 г. от мобилизации личного состава на разные кампании (посевная, хлебозаготовительная, колхозная и т.д.).</w:t>
      </w:r>
    </w:p>
    <w:p w14:paraId="02E0FA2B" w14:textId="77777777" w:rsidR="00F35708" w:rsidRPr="00507A31" w:rsidRDefault="00F35708" w:rsidP="00507A31">
      <w:pPr>
        <w:jc w:val="both"/>
        <w:rPr>
          <w:color w:val="0070C0"/>
          <w:sz w:val="16"/>
          <w:szCs w:val="16"/>
        </w:rPr>
      </w:pPr>
      <w:r w:rsidRPr="00507A31">
        <w:rPr>
          <w:color w:val="0070C0"/>
          <w:sz w:val="16"/>
          <w:szCs w:val="16"/>
        </w:rPr>
        <w:t>V</w:t>
      </w:r>
    </w:p>
    <w:p w14:paraId="0BE9E844" w14:textId="77777777" w:rsidR="00F35708" w:rsidRPr="00507A31" w:rsidRDefault="00F35708" w:rsidP="00507A31">
      <w:pPr>
        <w:jc w:val="both"/>
        <w:rPr>
          <w:color w:val="0070C0"/>
          <w:sz w:val="16"/>
          <w:szCs w:val="16"/>
        </w:rPr>
      </w:pPr>
      <w:r w:rsidRPr="00507A31">
        <w:rPr>
          <w:color w:val="0070C0"/>
          <w:sz w:val="16"/>
          <w:szCs w:val="16"/>
        </w:rPr>
        <w:t>В целях улучшения технического руководства на военных заводах:</w:t>
      </w:r>
    </w:p>
    <w:p w14:paraId="2780255D" w14:textId="77777777" w:rsidR="00F35708" w:rsidRPr="00507A31" w:rsidRDefault="00F35708" w:rsidP="00507A31">
      <w:pPr>
        <w:jc w:val="both"/>
        <w:rPr>
          <w:color w:val="0070C0"/>
          <w:sz w:val="16"/>
          <w:szCs w:val="16"/>
        </w:rPr>
      </w:pPr>
      <w:r w:rsidRPr="00507A31">
        <w:rPr>
          <w:color w:val="0070C0"/>
          <w:sz w:val="16"/>
          <w:szCs w:val="16"/>
        </w:rPr>
        <w:t>1. ВСНХ и НКТруду в месячный срок мобилизовать инженеров из гражданской промышленности для военных заводов, в первую очередь конструкторов и металлургов;</w:t>
      </w:r>
    </w:p>
    <w:p w14:paraId="7A263524" w14:textId="77777777" w:rsidR="00F35708" w:rsidRPr="00507A31" w:rsidRDefault="00F35708" w:rsidP="00507A31">
      <w:pPr>
        <w:jc w:val="both"/>
        <w:rPr>
          <w:color w:val="0070C0"/>
          <w:sz w:val="16"/>
          <w:szCs w:val="16"/>
        </w:rPr>
      </w:pPr>
      <w:r w:rsidRPr="00507A31">
        <w:rPr>
          <w:color w:val="0070C0"/>
          <w:sz w:val="16"/>
          <w:szCs w:val="16"/>
        </w:rPr>
        <w:t>С этой целью СНК и ЦИК СССР издать постановление о принудительной командировке инженеров на военные заводы и о прикреплении их на известный срок к этим заводам.</w:t>
      </w:r>
    </w:p>
    <w:p w14:paraId="26D1AB44" w14:textId="77777777" w:rsidR="00F35708" w:rsidRPr="00507A31" w:rsidRDefault="00F35708" w:rsidP="00507A31">
      <w:pPr>
        <w:jc w:val="both"/>
        <w:rPr>
          <w:color w:val="0070C0"/>
          <w:sz w:val="16"/>
          <w:szCs w:val="16"/>
        </w:rPr>
      </w:pPr>
      <w:r w:rsidRPr="00507A31">
        <w:rPr>
          <w:color w:val="0070C0"/>
          <w:sz w:val="16"/>
          <w:szCs w:val="16"/>
        </w:rPr>
        <w:t>2. 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54A41144" w14:textId="77777777" w:rsidR="00F35708" w:rsidRPr="00507A31" w:rsidRDefault="00F35708" w:rsidP="00507A31">
      <w:pPr>
        <w:jc w:val="both"/>
        <w:rPr>
          <w:color w:val="0070C0"/>
          <w:sz w:val="16"/>
          <w:szCs w:val="16"/>
        </w:rPr>
      </w:pPr>
      <w:r w:rsidRPr="00507A31">
        <w:rPr>
          <w:color w:val="0070C0"/>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35373512" w14:textId="77777777" w:rsidR="00F35708" w:rsidRPr="00507A31" w:rsidRDefault="00F35708" w:rsidP="00507A31">
      <w:pPr>
        <w:jc w:val="both"/>
        <w:rPr>
          <w:color w:val="0070C0"/>
          <w:sz w:val="16"/>
          <w:szCs w:val="16"/>
        </w:rPr>
      </w:pPr>
      <w:r w:rsidRPr="00507A31">
        <w:rPr>
          <w:color w:val="0070C0"/>
          <w:sz w:val="16"/>
          <w:szCs w:val="16"/>
        </w:rPr>
        <w:t>4. Обязать ВСНХ доложить в месячный срок РЗ СТО о ходе привлечения к военным производствам иностранной технической помощи и приглашения инспециалистов, а также план значительного расширения этого привлечения.</w:t>
      </w:r>
    </w:p>
    <w:p w14:paraId="21FBC570" w14:textId="77777777" w:rsidR="00F35708" w:rsidRPr="00507A31" w:rsidRDefault="00F35708" w:rsidP="00507A31">
      <w:pPr>
        <w:jc w:val="both"/>
        <w:rPr>
          <w:color w:val="0070C0"/>
          <w:sz w:val="16"/>
          <w:szCs w:val="16"/>
        </w:rPr>
      </w:pPr>
      <w:r w:rsidRPr="00507A31">
        <w:rPr>
          <w:color w:val="0070C0"/>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человек и новую іруппу военных работников в количестве 20 человек.</w:t>
      </w:r>
    </w:p>
    <w:p w14:paraId="52D2219E" w14:textId="77777777" w:rsidR="00F35708" w:rsidRPr="00507A31" w:rsidRDefault="00F35708" w:rsidP="00507A31">
      <w:pPr>
        <w:jc w:val="both"/>
        <w:rPr>
          <w:color w:val="0070C0"/>
          <w:sz w:val="16"/>
          <w:szCs w:val="16"/>
        </w:rPr>
      </w:pPr>
      <w:r w:rsidRPr="00507A31">
        <w:rPr>
          <w:color w:val="0070C0"/>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6260929F" w14:textId="77777777" w:rsidR="00F35708" w:rsidRPr="00507A31" w:rsidRDefault="00F35708" w:rsidP="00507A31">
      <w:pPr>
        <w:jc w:val="both"/>
        <w:rPr>
          <w:color w:val="0070C0"/>
          <w:sz w:val="16"/>
          <w:szCs w:val="16"/>
        </w:rPr>
      </w:pPr>
      <w:r w:rsidRPr="00507A31">
        <w:rPr>
          <w:color w:val="0070C0"/>
          <w:sz w:val="16"/>
          <w:szCs w:val="16"/>
        </w:rPr>
        <w:t>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2DE5D101" w14:textId="77777777" w:rsidR="00F35708" w:rsidRPr="00507A31" w:rsidRDefault="00F35708" w:rsidP="00507A31">
      <w:pPr>
        <w:jc w:val="both"/>
        <w:rPr>
          <w:color w:val="0070C0"/>
          <w:sz w:val="16"/>
          <w:szCs w:val="16"/>
        </w:rPr>
      </w:pPr>
      <w:r w:rsidRPr="00507A31">
        <w:rPr>
          <w:color w:val="0070C0"/>
          <w:sz w:val="16"/>
          <w:szCs w:val="16"/>
        </w:rPr>
        <w:t>Обязать ВСНХ в месячный срок доложить РЗ СТО о проводимых им мероприятиях во исполнение этих предложений.</w:t>
      </w:r>
    </w:p>
    <w:p w14:paraId="648FD4C6" w14:textId="77777777" w:rsidR="00F35708" w:rsidRPr="00507A31" w:rsidRDefault="00F35708" w:rsidP="00507A31">
      <w:pPr>
        <w:jc w:val="both"/>
        <w:rPr>
          <w:color w:val="0070C0"/>
          <w:sz w:val="16"/>
          <w:szCs w:val="16"/>
        </w:rPr>
      </w:pPr>
      <w:r w:rsidRPr="00507A31">
        <w:rPr>
          <w:color w:val="0070C0"/>
          <w:sz w:val="16"/>
          <w:szCs w:val="16"/>
        </w:rPr>
        <w:t>Для оздоровления всей военной промышленности срочно командировать членов ЦК и ЦКК на основные военные заводы на срок не менее месяца.</w:t>
      </w:r>
    </w:p>
    <w:p w14:paraId="7CE29FB8" w14:textId="77777777" w:rsidR="00F35708" w:rsidRPr="00507A31" w:rsidRDefault="00F35708" w:rsidP="00507A31">
      <w:pPr>
        <w:jc w:val="both"/>
        <w:rPr>
          <w:color w:val="0070C0"/>
          <w:sz w:val="16"/>
          <w:szCs w:val="16"/>
        </w:rPr>
      </w:pPr>
      <w:r w:rsidRPr="00507A31">
        <w:rPr>
          <w:color w:val="0070C0"/>
          <w:sz w:val="16"/>
          <w:szCs w:val="16"/>
        </w:rPr>
        <w:t>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1/ѴІІ с.г., за выполнением промфинплана 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1D165659" w14:textId="77777777" w:rsidR="00F35708" w:rsidRPr="00507A31" w:rsidRDefault="00F35708" w:rsidP="00507A31">
      <w:pPr>
        <w:jc w:val="both"/>
        <w:rPr>
          <w:color w:val="0070C0"/>
          <w:sz w:val="16"/>
          <w:szCs w:val="16"/>
        </w:rPr>
      </w:pPr>
      <w:r w:rsidRPr="00507A31">
        <w:rPr>
          <w:color w:val="0070C0"/>
          <w:sz w:val="16"/>
          <w:szCs w:val="16"/>
        </w:rPr>
        <w:t>Секретариату ЦК к следующему заседанию представить список командируемых.</w:t>
      </w:r>
    </w:p>
    <w:p w14:paraId="7CFB5B96" w14:textId="77777777" w:rsidR="00F35708" w:rsidRPr="00507A31" w:rsidRDefault="00F35708" w:rsidP="00507A31">
      <w:pPr>
        <w:jc w:val="both"/>
        <w:rPr>
          <w:color w:val="0070C0"/>
          <w:sz w:val="16"/>
          <w:szCs w:val="16"/>
        </w:rPr>
      </w:pPr>
      <w:r w:rsidRPr="00507A31">
        <w:rPr>
          <w:color w:val="0070C0"/>
          <w:sz w:val="16"/>
          <w:szCs w:val="16"/>
        </w:rPr>
        <w:t>VI</w:t>
      </w:r>
    </w:p>
    <w:p w14:paraId="51F57FBA" w14:textId="77777777" w:rsidR="00F35708" w:rsidRPr="00507A31" w:rsidRDefault="00F35708" w:rsidP="00507A31">
      <w:pPr>
        <w:jc w:val="both"/>
        <w:rPr>
          <w:color w:val="0070C0"/>
          <w:sz w:val="16"/>
          <w:szCs w:val="16"/>
        </w:rPr>
      </w:pPr>
      <w:r w:rsidRPr="00507A31">
        <w:rPr>
          <w:color w:val="0070C0"/>
          <w:sz w:val="16"/>
          <w:szCs w:val="16"/>
        </w:rPr>
        <w:t>1. Директоров заводов: ИОЗа — тов. 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 года занимать ответственные хозяйственные должности.</w:t>
      </w:r>
    </w:p>
    <w:p w14:paraId="5231F4AF" w14:textId="77777777" w:rsidR="00F35708" w:rsidRPr="00507A31" w:rsidRDefault="00F35708" w:rsidP="00507A31">
      <w:pPr>
        <w:jc w:val="both"/>
        <w:rPr>
          <w:color w:val="0070C0"/>
          <w:sz w:val="16"/>
          <w:szCs w:val="16"/>
        </w:rPr>
      </w:pPr>
      <w:r w:rsidRPr="00507A31">
        <w:rPr>
          <w:color w:val="0070C0"/>
          <w:sz w:val="16"/>
          <w:szCs w:val="16"/>
        </w:rPr>
        <w:t>Директора завода № 50 тов. ДМИТРИЕВА за несвоевременное принятие мер по ликвидации вредительства снять с работы и объявить выговор.</w:t>
      </w:r>
    </w:p>
    <w:p w14:paraId="6184CFEA" w14:textId="77777777" w:rsidR="00F35708" w:rsidRPr="00507A31" w:rsidRDefault="00F35708" w:rsidP="00507A31">
      <w:pPr>
        <w:jc w:val="both"/>
        <w:rPr>
          <w:color w:val="0070C0"/>
          <w:sz w:val="16"/>
          <w:szCs w:val="16"/>
        </w:rPr>
      </w:pPr>
      <w:r w:rsidRPr="00507A31">
        <w:rPr>
          <w:color w:val="0070C0"/>
          <w:sz w:val="16"/>
          <w:szCs w:val="16"/>
        </w:rPr>
        <w:t>Директору ТОЗа тов. СИТНИКОВУ за недостаточно активное изжитие последствий вредительства объявить выговор, обязав в кратчайший срок выправить это дело.</w:t>
      </w:r>
    </w:p>
    <w:p w14:paraId="3F2924E4" w14:textId="77777777" w:rsidR="00F35708" w:rsidRPr="00507A31" w:rsidRDefault="00F35708" w:rsidP="00507A31">
      <w:pPr>
        <w:jc w:val="both"/>
        <w:rPr>
          <w:color w:val="0070C0"/>
          <w:sz w:val="16"/>
          <w:szCs w:val="16"/>
        </w:rPr>
      </w:pPr>
      <w:r w:rsidRPr="00507A31">
        <w:rPr>
          <w:color w:val="0070C0"/>
          <w:sz w:val="16"/>
          <w:szCs w:val="16"/>
        </w:rPr>
        <w:t>Директору завода № 42 тов. ШМЫРОВУ за невыполнение программы и плохое состояние завода объявить выговор, предложить в кратчайший срок выправить положение.</w:t>
      </w:r>
    </w:p>
    <w:p w14:paraId="28791359" w14:textId="77777777" w:rsidR="00F35708" w:rsidRPr="00507A31" w:rsidRDefault="00F35708" w:rsidP="00507A31">
      <w:pPr>
        <w:jc w:val="both"/>
        <w:rPr>
          <w:color w:val="0070C0"/>
          <w:sz w:val="16"/>
          <w:szCs w:val="16"/>
        </w:rPr>
      </w:pPr>
      <w:r w:rsidRPr="00507A31">
        <w:rPr>
          <w:color w:val="0070C0"/>
          <w:sz w:val="16"/>
          <w:szCs w:val="16"/>
        </w:rPr>
        <w:t>2. 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47E812FA" w14:textId="77777777" w:rsidR="00F35708" w:rsidRPr="00507A31" w:rsidRDefault="00F35708" w:rsidP="00507A31">
      <w:pPr>
        <w:jc w:val="both"/>
        <w:rPr>
          <w:color w:val="0070C0"/>
          <w:sz w:val="16"/>
          <w:szCs w:val="16"/>
        </w:rPr>
      </w:pPr>
      <w:r w:rsidRPr="00507A31">
        <w:rPr>
          <w:color w:val="0070C0"/>
          <w:sz w:val="16"/>
          <w:szCs w:val="16"/>
        </w:rPr>
        <w:t>3. О ходе исполнения настоящего решения, как и решения ПБ от 15/ѴІІ-29 г., ВСНХ доложить через 3 месяца.</w:t>
      </w:r>
    </w:p>
    <w:p w14:paraId="2D2CCBE6" w14:textId="77777777" w:rsidR="00F35708" w:rsidRPr="00507A31" w:rsidRDefault="00F35708" w:rsidP="00507A31">
      <w:pPr>
        <w:jc w:val="both"/>
        <w:rPr>
          <w:color w:val="0070C0"/>
          <w:sz w:val="16"/>
          <w:szCs w:val="16"/>
        </w:rPr>
      </w:pPr>
      <w:r w:rsidRPr="00507A31">
        <w:rPr>
          <w:color w:val="0070C0"/>
          <w:sz w:val="16"/>
          <w:szCs w:val="16"/>
        </w:rPr>
        <w:t>Куйбышев</w:t>
      </w:r>
    </w:p>
    <w:p w14:paraId="2A97108C" w14:textId="77777777" w:rsidR="00F35708" w:rsidRPr="00507A31" w:rsidRDefault="00F35708" w:rsidP="00507A31">
      <w:pPr>
        <w:jc w:val="both"/>
        <w:rPr>
          <w:color w:val="0070C0"/>
          <w:sz w:val="16"/>
          <w:szCs w:val="16"/>
        </w:rPr>
      </w:pPr>
      <w:r w:rsidRPr="00507A31">
        <w:rPr>
          <w:color w:val="0070C0"/>
          <w:sz w:val="16"/>
          <w:szCs w:val="16"/>
        </w:rPr>
        <w:t>АПРФ. Ф. 3. Оп. 58. Д. 340. Л. 200—209. Подлинник. Машинопись (20915).</w:t>
      </w:r>
    </w:p>
    <w:bookmarkEnd w:id="24"/>
    <w:p w14:paraId="0062841C" w14:textId="77777777" w:rsidR="00F35708" w:rsidRPr="00507A31" w:rsidRDefault="00F35708" w:rsidP="00507A31">
      <w:pPr>
        <w:jc w:val="both"/>
        <w:rPr>
          <w:color w:val="0070C0"/>
          <w:sz w:val="16"/>
          <w:szCs w:val="16"/>
        </w:rPr>
      </w:pPr>
    </w:p>
    <w:p w14:paraId="657E6D6B" w14:textId="77777777" w:rsidR="001124F8" w:rsidRPr="00507A31" w:rsidRDefault="001124F8" w:rsidP="00507A31">
      <w:pPr>
        <w:shd w:val="clear" w:color="auto" w:fill="FFFFFF"/>
        <w:jc w:val="both"/>
        <w:textAlignment w:val="baseline"/>
        <w:rPr>
          <w:color w:val="0070C0"/>
          <w:sz w:val="16"/>
          <w:szCs w:val="16"/>
        </w:rPr>
      </w:pPr>
      <w:r w:rsidRPr="00507A31">
        <w:rPr>
          <w:color w:val="0070C0"/>
          <w:sz w:val="16"/>
          <w:szCs w:val="16"/>
        </w:rPr>
        <w:t>С 24 февраля по 9 марта 1930 года советская морская комиссия под руководством В. М. Орлова в составе П. Ю. Ораса, П. А. Смирнова, А. И. Берга, А. В. Леонова работала в Германии с целью ознакомления с ее Морскими силами. Работе советских специалистов активно содействовали морской атташе СССР В. К. Путна и его помощник К. Зенек [3, д. 103, л. 1-4]. Комиссия посетила: Берлин, Киль, Вильгельмсгафен, Гамбург, Бремен, Дюссельдорф. Во время поездки были осмотрены: В Киле: линкор, крейсер, морской арсенал «Дойче Верке», школа морской артиллерии, механическая школа, Фридрихская радиостанция; в Вильгельмсгафене: крейсер «Лейпциг», эсминец «Ягуар», морская верфь, школа береговой и зенитной артиллерии, зенитная батарея; в Дюссельдорфе: орудийный завод «Рейн-металл»; в Гамбурге – порт и город.</w:t>
      </w:r>
    </w:p>
    <w:p w14:paraId="3E389FD3" w14:textId="77777777" w:rsidR="001124F8" w:rsidRPr="00507A31" w:rsidRDefault="001124F8" w:rsidP="00507A31">
      <w:pPr>
        <w:shd w:val="clear" w:color="auto" w:fill="FFFFFF"/>
        <w:jc w:val="both"/>
        <w:textAlignment w:val="baseline"/>
        <w:rPr>
          <w:color w:val="0070C0"/>
          <w:sz w:val="16"/>
          <w:szCs w:val="16"/>
        </w:rPr>
      </w:pPr>
      <w:r w:rsidRPr="00507A31">
        <w:rPr>
          <w:color w:val="0070C0"/>
          <w:sz w:val="16"/>
          <w:szCs w:val="16"/>
        </w:rPr>
        <w:t>Комиссии удалось получить ряд важных сведений. Основной метод работы членов комиссии сводился к личным наблюдениям, взаимно проверяемым и координируемым. Выводы получились очень обширные, конкретные, по всем представленным материалам. Так, например, «линкор ―Эрзац Прейсен‖, крейсера ―Кенигсберг‖, ―Лейпциг‖, эсминец ―Ягуар‖ – получено полное описание (со схемами вооружения и средствами связи). Артиллерийская школа, школа береговой и зенитной артиллерии, морское училище ―Киль-Вик‖ (подготовка личного состава механической и электрической служб) – описание системы обучения, практики, учебноматериальной базы. Морская верфь, завод ―Дойче Верке‖ – описание оборудования, загруженности, пожарной безопасности. Завод ―Рейн-металл‖ – члены комиссии отметили, что на предприятии ведется постройка артиллерии от мелких калибров до 170-мм включительно. Особо подчеркивалась комиссией долгая разработка  3-х орудийной артиллерийской башни (около 2-х лет) и скорая еѐ постройка – 1 год» [Там же, л. 61-128]. Комиссия ознакомилась с конструкторским бюро и его работой, технологией изготовления орудийных стволов, качеством металла. По результатам работы на этом предприятии члены комиссии обратили внимание на особенности производства. Вызвано это было тем, что завод представлял исключительный интерес как с металлургической стороны (производство орудий), так и со стороны механических цехов, где строились башни и артиллерийские установки, а также в отношении работы конструкторского бюро. Отмечено было также, что немецкие специалисты достигли значительных результатов по сварке судостроительной стали [Там же, л. 64-66].</w:t>
      </w:r>
    </w:p>
    <w:p w14:paraId="1D584875" w14:textId="77777777" w:rsidR="001124F8" w:rsidRPr="00507A31" w:rsidRDefault="001124F8" w:rsidP="00507A31">
      <w:pPr>
        <w:shd w:val="clear" w:color="auto" w:fill="FFFFFF"/>
        <w:jc w:val="both"/>
        <w:textAlignment w:val="baseline"/>
        <w:rPr>
          <w:color w:val="0070C0"/>
          <w:sz w:val="16"/>
          <w:szCs w:val="16"/>
        </w:rPr>
      </w:pPr>
      <w:r w:rsidRPr="00507A31">
        <w:rPr>
          <w:color w:val="0070C0"/>
          <w:sz w:val="16"/>
          <w:szCs w:val="16"/>
        </w:rPr>
        <w:t>Особые заключения комиссия сделала по военно-морской технике и вооружению [Там же, л. 67]: </w:t>
      </w:r>
      <w:r w:rsidRPr="00507A31">
        <w:rPr>
          <w:i/>
          <w:iCs/>
          <w:color w:val="0070C0"/>
          <w:sz w:val="16"/>
          <w:szCs w:val="16"/>
          <w:bdr w:val="none" w:sz="0" w:space="0" w:color="auto" w:frame="1"/>
        </w:rPr>
        <w:t>По артиллерийскому вооружению:</w:t>
      </w:r>
      <w:r w:rsidRPr="00507A31">
        <w:rPr>
          <w:color w:val="0070C0"/>
          <w:sz w:val="16"/>
          <w:szCs w:val="16"/>
        </w:rPr>
        <w:t> приборы управления артиллерийским огнем (ПУАО) созданы на принципе точной стрельбы (попадание, а не накрытие). Простота и надежность управления артиллерийским огнем. Скорострельность морских орудий была сориентирована на меткость стрельбы, а не на количество выпущенных снарядов. Члены комиссии предлагали изучить немецкую методику артиллерийской стрельбы. Отмечалась ими и высокая живучесть артиллерийских орудий (от 500 до 2000 выстрелов). Комиссия признала большие достижения немецких фирм в создании легких артиллерийских башен и рекомендовала тщательно изучить изготовление данного вида вооружения и освоить его отечественной промышленностью. </w:t>
      </w:r>
      <w:r w:rsidRPr="00507A31">
        <w:rPr>
          <w:i/>
          <w:iCs/>
          <w:color w:val="0070C0"/>
          <w:sz w:val="16"/>
          <w:szCs w:val="16"/>
          <w:bdr w:val="none" w:sz="0" w:space="0" w:color="auto" w:frame="1"/>
        </w:rPr>
        <w:t>По торпедному вооружению:</w:t>
      </w:r>
      <w:r w:rsidRPr="00507A31">
        <w:rPr>
          <w:color w:val="0070C0"/>
          <w:sz w:val="16"/>
          <w:szCs w:val="16"/>
        </w:rPr>
        <w:t> основное внимание в его производстве германской промышленностью и применению флотом уделялось простоте, удобству и точности торпедного залпа. </w:t>
      </w:r>
      <w:r w:rsidRPr="00507A31">
        <w:rPr>
          <w:i/>
          <w:iCs/>
          <w:color w:val="0070C0"/>
          <w:sz w:val="16"/>
          <w:szCs w:val="16"/>
          <w:bdr w:val="none" w:sz="0" w:space="0" w:color="auto" w:frame="1"/>
        </w:rPr>
        <w:t>По средствам связи:</w:t>
      </w:r>
      <w:r w:rsidRPr="00507A31">
        <w:rPr>
          <w:color w:val="0070C0"/>
          <w:sz w:val="16"/>
          <w:szCs w:val="16"/>
        </w:rPr>
        <w:t> члены комиссии отмечали, что оборудование средствами связи полностью соответствовало задачам отдельных кораблей. На крейсерах были установлены коротковолновые и длинноволновые радиостанции, обеспечивающие поддержание непрерывной связи до предельных расстояний на земном шаре. Корабли всех классов были оборудованы современной приемо-передающей радиосвязью, особое внимание при этом уделялось внутриэскадренной связи. Также большим преимуществом германских морских радиосредств отмечалось электрическое питание от судовых электромагистралей (т.е. отсутствовало громоздкое и сложное аккумуляторное хозяйство).</w:t>
      </w:r>
    </w:p>
    <w:p w14:paraId="5EE06C12" w14:textId="77777777" w:rsidR="001124F8" w:rsidRPr="00507A31" w:rsidRDefault="001124F8" w:rsidP="00507A31">
      <w:pPr>
        <w:shd w:val="clear" w:color="auto" w:fill="FFFFFF"/>
        <w:jc w:val="both"/>
        <w:textAlignment w:val="baseline"/>
        <w:rPr>
          <w:color w:val="0070C0"/>
          <w:sz w:val="16"/>
          <w:szCs w:val="16"/>
        </w:rPr>
      </w:pPr>
      <w:r w:rsidRPr="00507A31">
        <w:rPr>
          <w:color w:val="0070C0"/>
          <w:sz w:val="16"/>
          <w:szCs w:val="16"/>
        </w:rPr>
        <w:t>Однако комиссии не удалось ознакомиться с учебно-боевой подготовкой флота, с новыми германскими зенитными установками, артиллерией береговой обороны. По подводным лодкам, торпедным катерам, минам материалы немецкой стороной также не предоставлялись.</w:t>
      </w:r>
    </w:p>
    <w:p w14:paraId="629ED7E3" w14:textId="77777777" w:rsidR="001124F8" w:rsidRPr="00507A31" w:rsidRDefault="001124F8" w:rsidP="00507A31">
      <w:pPr>
        <w:shd w:val="clear" w:color="auto" w:fill="FFFFFF"/>
        <w:jc w:val="both"/>
        <w:textAlignment w:val="baseline"/>
        <w:rPr>
          <w:color w:val="0070C0"/>
          <w:sz w:val="16"/>
          <w:szCs w:val="16"/>
        </w:rPr>
      </w:pPr>
      <w:r w:rsidRPr="00507A31">
        <w:rPr>
          <w:color w:val="0070C0"/>
          <w:sz w:val="16"/>
          <w:szCs w:val="16"/>
        </w:rPr>
        <w:t>Итоги работы и выводы были доложены Народному комиссару по военным и морским делам (НКВМ) К. Е. Ворошилову (231528).</w:t>
      </w:r>
    </w:p>
    <w:p w14:paraId="02CD0825" w14:textId="77777777" w:rsidR="001124F8" w:rsidRPr="00507A31" w:rsidRDefault="001124F8" w:rsidP="00507A31">
      <w:pPr>
        <w:shd w:val="clear" w:color="auto" w:fill="FFFFFF"/>
        <w:jc w:val="both"/>
        <w:textAlignment w:val="baseline"/>
        <w:rPr>
          <w:color w:val="0070C0"/>
          <w:sz w:val="16"/>
          <w:szCs w:val="16"/>
        </w:rPr>
      </w:pPr>
    </w:p>
    <w:p w14:paraId="16B3EBEC" w14:textId="77777777" w:rsidR="00B71C22" w:rsidRPr="00507A31" w:rsidRDefault="00B71C22"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0F6E82B8" w14:textId="77777777" w:rsidR="00B71C22" w:rsidRPr="00507A31" w:rsidRDefault="00B71C22" w:rsidP="00507A31">
      <w:pPr>
        <w:autoSpaceDE w:val="0"/>
        <w:autoSpaceDN w:val="0"/>
        <w:adjustRightInd w:val="0"/>
        <w:jc w:val="both"/>
        <w:rPr>
          <w:iCs/>
          <w:color w:val="000000" w:themeColor="text1"/>
          <w:sz w:val="16"/>
          <w:szCs w:val="16"/>
        </w:rPr>
      </w:pPr>
    </w:p>
    <w:p w14:paraId="1D999959" w14:textId="77777777" w:rsidR="00B71C22" w:rsidRPr="00507A31" w:rsidRDefault="00B71C22" w:rsidP="00507A31">
      <w:pPr>
        <w:jc w:val="both"/>
        <w:rPr>
          <w:color w:val="000000" w:themeColor="text1"/>
          <w:sz w:val="16"/>
          <w:szCs w:val="16"/>
        </w:rPr>
      </w:pPr>
      <w:r w:rsidRPr="00507A31">
        <w:rPr>
          <w:color w:val="000000" w:themeColor="text1"/>
          <w:sz w:val="16"/>
          <w:szCs w:val="16"/>
        </w:rPr>
        <w:t>С 24 февраля по 9 марта 1930 года советская морская комиссия под руководством В. М. Орлова в составе П. Ю. Ораса, П. А. Смирнова, А. И. Берга, А. В. Леонова работала в Германии с целью ознакомления с ее Морскими силами. Работе советских специалистов активно содействовали морской атташе СССР В. К. Путна и его помощник К. Зенек [3, д. 103, л. 1-4]. Комиссия посетила: Берлин, Киль, Вильгельмсгафен, Гамбург, Бремен, Дюссельдорф. Во время поездки были осмотрены: В Киле: линкор, крейсер, морской арсенал «Дойче Верке», школа морской артиллерии, механическая школа, Фридрихская радиостанция; в Вильгельмсгафене: крейсер «Лейпциг», эсминец «Ягуар», морская верфь, школа береговой и зенитной артиллерии, зенитная батарея; в Дюссельдорфе: орудийный завод «Рейн-металл»; в Гамбурге – порт и город.</w:t>
      </w:r>
    </w:p>
    <w:p w14:paraId="289CB045" w14:textId="77777777" w:rsidR="00B71C22" w:rsidRPr="00507A31" w:rsidRDefault="00B71C22" w:rsidP="00507A31">
      <w:pPr>
        <w:jc w:val="both"/>
        <w:rPr>
          <w:color w:val="000000" w:themeColor="text1"/>
          <w:sz w:val="16"/>
          <w:szCs w:val="16"/>
        </w:rPr>
      </w:pPr>
      <w:r w:rsidRPr="00507A31">
        <w:rPr>
          <w:color w:val="000000" w:themeColor="text1"/>
          <w:sz w:val="16"/>
          <w:szCs w:val="16"/>
        </w:rPr>
        <w:t xml:space="preserve">Комиссии удалось получить ряд важных сведений. Основной метод работы членов комиссии сводился к личным наблюдениям, взаимно проверяемым и координируемым. Выводы получились очень обширные, конкретные, по всем представленным материалам. Так, например, «линкор ―Эрзац Прейсен, крейсера ―Кенигсберг, ―Лейпциг, эсминец ―Ягуар – получено полное описание (со схемами вооружения и средствами связи). Артиллерийская школа, школа береговой и </w:t>
      </w:r>
      <w:r w:rsidRPr="00507A31">
        <w:rPr>
          <w:color w:val="000000" w:themeColor="text1"/>
          <w:sz w:val="16"/>
          <w:szCs w:val="16"/>
        </w:rPr>
        <w:lastRenderedPageBreak/>
        <w:t>зенитной артиллерии, морское училище ―Киль-Вик (подготовка личного состава механической и электрической служб) – описание системы обучения, практики, учебноматериальной базы. Морская верфь, завод ―Дойче Верке – описание оборудования, загруженности, пожарной безопасности. Завод ―Рейн-металл – члены комиссии отметили, что на предприятии ведется постройка артиллерии от мелких калибров до 170-мм включительно. Особо подчеркивалась комиссией долгая разработка  3-х орудийной артиллерийской башни (около 2-х лет) и скорая еѐ постройка – 1 год» [Там же, л. 61-128]. Комиссия ознакомилась с конструкторским бюро и его работой, технологией изготовления орудийных стволов, качеством металла. По результатам работы на этом предприятии члены комиссии обратили внимание на особенности производства. Вызвано это было тем, что завод представлял исключительный интерес как с металлургической стороны (производство орудий), так и со стороны механических цехов, где строились башни и артиллерийские установки, а также в отношении работы конструкторского бюро. Отмечено было также, что немецкие специалисты достигли значительных результатов по сварке судостроительной стали [Там же, л. 64-66].</w:t>
      </w:r>
    </w:p>
    <w:p w14:paraId="1E22FEBE" w14:textId="77777777" w:rsidR="00B71C22" w:rsidRPr="00507A31" w:rsidRDefault="00B71C22" w:rsidP="00507A31">
      <w:pPr>
        <w:jc w:val="both"/>
        <w:rPr>
          <w:color w:val="000000" w:themeColor="text1"/>
          <w:sz w:val="16"/>
          <w:szCs w:val="16"/>
        </w:rPr>
      </w:pPr>
      <w:r w:rsidRPr="00507A31">
        <w:rPr>
          <w:color w:val="000000" w:themeColor="text1"/>
          <w:sz w:val="16"/>
          <w:szCs w:val="16"/>
        </w:rPr>
        <w:t>Особые заключения комиссия сделала по военно-морской технике и вооружению [Там же, л. 67]:</w:t>
      </w:r>
    </w:p>
    <w:p w14:paraId="3F9370ED" w14:textId="77777777" w:rsidR="00B71C22" w:rsidRPr="00507A31" w:rsidRDefault="00B71C22" w:rsidP="00507A31">
      <w:pPr>
        <w:jc w:val="both"/>
        <w:rPr>
          <w:color w:val="000000" w:themeColor="text1"/>
          <w:sz w:val="16"/>
          <w:szCs w:val="16"/>
        </w:rPr>
      </w:pPr>
      <w:r w:rsidRPr="00507A31">
        <w:rPr>
          <w:color w:val="000000" w:themeColor="text1"/>
          <w:sz w:val="16"/>
          <w:szCs w:val="16"/>
        </w:rPr>
        <w:t>По артиллерийскому вооружению: приборы управления артиллерийским огнем (ПУАО) созданы на принципе точной стрельбы (попадание, а не накрытие). Простота и надежность управления артиллерийским огнем. Скорострельность морских орудий была сориентирована на меткость стрельбы, а не на количество выпущенных снарядов. Члены комиссии предлагали изучить немецкую методику артиллерийской стрельбы. Отмечалась ими и высокая живучесть артиллерийских орудий (от 500 до 2000 выстрелов). Комиссия признала большие достижения немецких фирм в создании легких артиллерийских башен и рекомендовала тщательно изучить изготовление данного вида вооружения и освоить его отечественной промышленностью. По торпедному вооружению: основное внимание в его производстве германской промышленностью и применению флотом уделялось простоте, удобству и точности торпедного залпа.</w:t>
      </w:r>
    </w:p>
    <w:p w14:paraId="16600CE4" w14:textId="77777777" w:rsidR="00B71C22" w:rsidRPr="00507A31" w:rsidRDefault="00B71C22" w:rsidP="00507A31">
      <w:pPr>
        <w:jc w:val="both"/>
        <w:rPr>
          <w:color w:val="000000" w:themeColor="text1"/>
          <w:sz w:val="16"/>
          <w:szCs w:val="16"/>
        </w:rPr>
      </w:pPr>
      <w:r w:rsidRPr="00507A31">
        <w:rPr>
          <w:color w:val="000000" w:themeColor="text1"/>
          <w:sz w:val="16"/>
          <w:szCs w:val="16"/>
        </w:rPr>
        <w:t>По средствам связи: члены комиссии отмечали, что оборудование средствами связи полностью соответствовало задачам отдельных кораблей. На крейсерах были установлены коротковолновые и длинноволновые радиостанции, обеспечивающие поддержание непрерывной связи до предельных расстояний на земном шаре. Корабли всех классов были оборудованы современной приемо-передающей радиосвязью, особое внимание при этом уделялось внутриэскадренной связи. Также большим преимуществом германских морских радиосредств отмечалось электрическое питание от судовых электромагистралей (т.е. отсутствовало громоздкое и сложное аккумуляторное хозяйство).</w:t>
      </w:r>
    </w:p>
    <w:p w14:paraId="7DDB43AB" w14:textId="77777777" w:rsidR="00B71C22" w:rsidRPr="00507A31" w:rsidRDefault="00B71C22" w:rsidP="00507A31">
      <w:pPr>
        <w:jc w:val="both"/>
        <w:rPr>
          <w:color w:val="000000" w:themeColor="text1"/>
          <w:sz w:val="16"/>
          <w:szCs w:val="16"/>
        </w:rPr>
      </w:pPr>
      <w:r w:rsidRPr="00507A31">
        <w:rPr>
          <w:color w:val="000000" w:themeColor="text1"/>
          <w:sz w:val="16"/>
          <w:szCs w:val="16"/>
        </w:rPr>
        <w:t>Однако комиссии не удалось ознакомиться с учебно-боевой подготовкой флота, с новыми германскими зенитными установками, артиллерией береговой обороны. По подводным лодкам, торпедным катерам, минам материалы немецкой стороной также не предоставлялись.</w:t>
      </w:r>
    </w:p>
    <w:p w14:paraId="5FBFE3D7" w14:textId="77777777" w:rsidR="00B71C22" w:rsidRPr="00507A31" w:rsidRDefault="00B71C22" w:rsidP="00507A31">
      <w:pPr>
        <w:jc w:val="both"/>
        <w:rPr>
          <w:color w:val="000000" w:themeColor="text1"/>
          <w:sz w:val="16"/>
          <w:szCs w:val="16"/>
        </w:rPr>
      </w:pPr>
      <w:r w:rsidRPr="00507A31">
        <w:rPr>
          <w:color w:val="000000" w:themeColor="text1"/>
          <w:sz w:val="16"/>
          <w:szCs w:val="16"/>
        </w:rPr>
        <w:t>Итоги работы и выводы были доложены Народному комиссару по военным и морским делам (НКВМ) К. Е. Ворошилову (18262).</w:t>
      </w:r>
    </w:p>
    <w:p w14:paraId="5F949E86" w14:textId="77777777" w:rsidR="00B71C22" w:rsidRPr="00507A31" w:rsidRDefault="00B71C22" w:rsidP="00507A31">
      <w:pPr>
        <w:jc w:val="both"/>
        <w:rPr>
          <w:color w:val="000000" w:themeColor="text1"/>
          <w:sz w:val="16"/>
          <w:szCs w:val="16"/>
        </w:rPr>
      </w:pPr>
    </w:p>
    <w:p w14:paraId="6392585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053DD66" w14:textId="77777777" w:rsidR="00537E5F" w:rsidRPr="00507A31" w:rsidRDefault="00537E5F" w:rsidP="00507A31">
      <w:pPr>
        <w:autoSpaceDE w:val="0"/>
        <w:autoSpaceDN w:val="0"/>
        <w:adjustRightInd w:val="0"/>
        <w:jc w:val="both"/>
        <w:rPr>
          <w:iCs/>
          <w:color w:val="000000" w:themeColor="text1"/>
          <w:sz w:val="16"/>
          <w:szCs w:val="16"/>
        </w:rPr>
      </w:pPr>
    </w:p>
    <w:p w14:paraId="2C6132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февраля 1930 вышла Директива Генсекретаря ЦК КП(б)У С.Косиора местным парторганизациям с задачей "коллективизировать... всю Украину - к осени 1930 г." (10687).</w:t>
      </w:r>
    </w:p>
    <w:p w14:paraId="27E3C48B" w14:textId="77777777" w:rsidR="00537E5F" w:rsidRPr="00507A31" w:rsidRDefault="00537E5F" w:rsidP="00507A31">
      <w:pPr>
        <w:autoSpaceDE w:val="0"/>
        <w:autoSpaceDN w:val="0"/>
        <w:adjustRightInd w:val="0"/>
        <w:jc w:val="both"/>
        <w:rPr>
          <w:color w:val="000000" w:themeColor="text1"/>
          <w:sz w:val="16"/>
          <w:szCs w:val="16"/>
        </w:rPr>
      </w:pPr>
    </w:p>
    <w:p w14:paraId="656E800A" w14:textId="77777777" w:rsidR="001B0421" w:rsidRPr="00507A31" w:rsidRDefault="001B0421"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B32F232" w14:textId="77777777" w:rsidR="001B0421" w:rsidRPr="00507A31" w:rsidRDefault="001B0421" w:rsidP="00507A31">
      <w:pPr>
        <w:autoSpaceDE w:val="0"/>
        <w:autoSpaceDN w:val="0"/>
        <w:adjustRightInd w:val="0"/>
        <w:jc w:val="both"/>
        <w:rPr>
          <w:iCs/>
          <w:color w:val="000000" w:themeColor="text1"/>
          <w:sz w:val="16"/>
          <w:szCs w:val="16"/>
        </w:rPr>
      </w:pPr>
    </w:p>
    <w:p w14:paraId="75594347" w14:textId="77777777" w:rsidR="001B0421" w:rsidRPr="00507A31" w:rsidRDefault="001B0421" w:rsidP="00507A31">
      <w:pPr>
        <w:jc w:val="both"/>
        <w:rPr>
          <w:color w:val="0070C0"/>
          <w:sz w:val="16"/>
          <w:szCs w:val="16"/>
        </w:rPr>
      </w:pPr>
      <w:r w:rsidRPr="00507A31">
        <w:rPr>
          <w:color w:val="0070C0"/>
          <w:sz w:val="16"/>
          <w:szCs w:val="16"/>
        </w:rPr>
        <w:t>24 февраля 1930 в Гаване, Куба, открывается аэропорт Ранчо-Бойерос - будущий международный аэропорт Хосе Марти (20805).</w:t>
      </w:r>
    </w:p>
    <w:p w14:paraId="7C76EE2E" w14:textId="77777777" w:rsidR="001B0421" w:rsidRPr="00507A31" w:rsidRDefault="001B0421" w:rsidP="00507A31">
      <w:pPr>
        <w:jc w:val="both"/>
        <w:rPr>
          <w:color w:val="0070C0"/>
          <w:sz w:val="16"/>
          <w:szCs w:val="16"/>
        </w:rPr>
      </w:pPr>
    </w:p>
    <w:p w14:paraId="67F7C87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7D31B89" w14:textId="77777777" w:rsidR="00537E5F" w:rsidRPr="00507A31" w:rsidRDefault="00537E5F" w:rsidP="00507A31">
      <w:pPr>
        <w:autoSpaceDE w:val="0"/>
        <w:autoSpaceDN w:val="0"/>
        <w:adjustRightInd w:val="0"/>
        <w:jc w:val="both"/>
        <w:rPr>
          <w:iCs/>
          <w:color w:val="000000" w:themeColor="text1"/>
          <w:sz w:val="16"/>
          <w:szCs w:val="16"/>
        </w:rPr>
      </w:pPr>
    </w:p>
    <w:p w14:paraId="68D40C1E" w14:textId="77777777" w:rsidR="00A01ACD" w:rsidRPr="00507A31" w:rsidRDefault="00A01ACD" w:rsidP="00507A31">
      <w:pPr>
        <w:shd w:val="clear" w:color="auto" w:fill="FFFFFF"/>
        <w:jc w:val="both"/>
        <w:rPr>
          <w:color w:val="000000" w:themeColor="text1"/>
          <w:sz w:val="16"/>
          <w:szCs w:val="16"/>
        </w:rPr>
      </w:pPr>
      <w:r w:rsidRPr="00507A31">
        <w:rPr>
          <w:bCs/>
          <w:iCs/>
          <w:color w:val="000000" w:themeColor="text1"/>
          <w:sz w:val="16"/>
          <w:szCs w:val="16"/>
        </w:rPr>
        <w:t>25 февраля 1930 г.</w:t>
      </w:r>
      <w:r w:rsidRPr="00507A31">
        <w:rPr>
          <w:color w:val="000000" w:themeColor="text1"/>
          <w:sz w:val="16"/>
          <w:szCs w:val="16"/>
        </w:rPr>
        <w:t xml:space="preserve"> Постановление Политбюро ЦК ВКП(б) о недостатках в работе военной промышленности СССР. В основу легло подготовленное ОГПУ СССР «</w:t>
      </w:r>
      <w:r w:rsidRPr="00507A31">
        <w:rPr>
          <w:iCs/>
          <w:color w:val="000000" w:themeColor="text1"/>
          <w:sz w:val="16"/>
          <w:szCs w:val="16"/>
        </w:rPr>
        <w:t>Обвинительное заключение ОГПУ по делу о вредительской организации в военной промышленности</w:t>
      </w:r>
      <w:r w:rsidRPr="00507A31">
        <w:rPr>
          <w:color w:val="000000" w:themeColor="text1"/>
          <w:sz w:val="16"/>
          <w:szCs w:val="16"/>
        </w:rPr>
        <w:t>». Документом с самого верха властной пирамиды было указано место поиска виноватых. Ими оказались «</w:t>
      </w:r>
      <w:r w:rsidRPr="00507A31">
        <w:rPr>
          <w:bCs/>
          <w:iCs/>
          <w:color w:val="000000" w:themeColor="text1"/>
          <w:sz w:val="16"/>
          <w:szCs w:val="16"/>
        </w:rPr>
        <w:t>вредители</w:t>
      </w:r>
      <w:r w:rsidRPr="00507A31">
        <w:rPr>
          <w:color w:val="000000" w:themeColor="text1"/>
          <w:sz w:val="16"/>
          <w:szCs w:val="16"/>
        </w:rPr>
        <w:t>». Их активный отлов был поставлен на поток по данным и под руководством ЭКУ ОГПУ по всей промышленности ВПК, в том числе на заводах химического оружия в Военно-химическом тресте (в Москве и Чапаевске, Дзержинске и Электростали). Мишенью стала большая команда людей из рядов технической интеллигенции, что искренне встала под знамена советской власти. Именно эти люди заполнили только что созданные под их размещение многочисленные «шарашки». Правовое основание для них было издано 15 мая 1930 года в виде «</w:t>
      </w:r>
      <w:r w:rsidRPr="00507A31">
        <w:rPr>
          <w:iCs/>
          <w:color w:val="000000" w:themeColor="text1"/>
          <w:sz w:val="16"/>
          <w:szCs w:val="16"/>
        </w:rPr>
        <w:t>Циркуляра Высшего Совета Народного Хозяйства и Объединенного государственного политического управления» об «использовании на производствах специалистов, осужденных за вредительство</w:t>
      </w:r>
      <w:r w:rsidRPr="00507A31">
        <w:rPr>
          <w:color w:val="000000" w:themeColor="text1"/>
          <w:sz w:val="16"/>
          <w:szCs w:val="16"/>
        </w:rPr>
        <w:t>». Документ был подписан В.В.Куйбышевым и Г.Г.Ягодой и содержал формулу решения: «</w:t>
      </w:r>
      <w:r w:rsidRPr="00507A31">
        <w:rPr>
          <w:iCs/>
          <w:color w:val="000000" w:themeColor="text1"/>
          <w:sz w:val="16"/>
          <w:szCs w:val="16"/>
        </w:rPr>
        <w:t>Использование вредителей следует организовать таким образом, чтобы работа их проходила в помещениях органов ОГПУ</w:t>
      </w:r>
      <w:r w:rsidRPr="00507A31">
        <w:rPr>
          <w:color w:val="000000" w:themeColor="text1"/>
          <w:sz w:val="16"/>
          <w:szCs w:val="16"/>
        </w:rPr>
        <w:t>» (17133).</w:t>
      </w:r>
    </w:p>
    <w:p w14:paraId="29E1C154" w14:textId="77777777" w:rsidR="00A01ACD" w:rsidRPr="00507A31" w:rsidRDefault="00A01ACD" w:rsidP="00507A31">
      <w:pPr>
        <w:shd w:val="clear" w:color="auto" w:fill="FFFFFF"/>
        <w:jc w:val="both"/>
        <w:rPr>
          <w:color w:val="000000" w:themeColor="text1"/>
          <w:sz w:val="16"/>
          <w:szCs w:val="16"/>
        </w:rPr>
      </w:pPr>
    </w:p>
    <w:p w14:paraId="54C272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февраля 1930 закончились заводские испытания опытного образца танка Т-12, которые выявили его существенные недостатки (9527,117).</w:t>
      </w:r>
    </w:p>
    <w:p w14:paraId="42B37BE6" w14:textId="77777777" w:rsidR="00537E5F" w:rsidRPr="00507A31" w:rsidRDefault="00537E5F" w:rsidP="00507A31">
      <w:pPr>
        <w:autoSpaceDE w:val="0"/>
        <w:autoSpaceDN w:val="0"/>
        <w:adjustRightInd w:val="0"/>
        <w:jc w:val="both"/>
        <w:rPr>
          <w:color w:val="000000" w:themeColor="text1"/>
          <w:sz w:val="16"/>
          <w:szCs w:val="16"/>
        </w:rPr>
      </w:pPr>
    </w:p>
    <w:p w14:paraId="7AA50D5A" w14:textId="77777777" w:rsidR="00C51A9F" w:rsidRPr="00507A31" w:rsidRDefault="00C51A9F" w:rsidP="00507A31">
      <w:pPr>
        <w:jc w:val="both"/>
        <w:rPr>
          <w:color w:val="000000" w:themeColor="text1"/>
          <w:sz w:val="16"/>
          <w:szCs w:val="16"/>
        </w:rPr>
      </w:pPr>
      <w:r w:rsidRPr="00507A31">
        <w:rPr>
          <w:color w:val="000000" w:themeColor="text1"/>
          <w:sz w:val="16"/>
          <w:szCs w:val="16"/>
        </w:rPr>
        <w:t>25 и 26 февраля 1930 г. испытания Т-12 проходили в присутствии смешанной комиссии из представителей Машинообъеднения (Коваленко), Мобилизационно-планового управленияВСНХ СССР (Кононенко) и Управления механизации и моторизации РККА (К.Б. Калиновской) с участием И.Н. Алексенко, С.Н. Махонина и С.П, Шукалова (как представителя от ОАТ), атак-же артприемщика В,М. Иванова. Комиссия провела окончательные заводские испытания«... на разных скоростях в течение 2 час. 35 мин. была опробована способность машины брать подъем. При этом обнаружено недостаточное сцепление с почвой вследствие отсутствия шпор (постоянные шпоры оказались низкими), что затруднило преодоление подъема в 35—40 градусов.26 февраля... испытание продолжалось в течение 10 мин. на 3 и 4 скорости. Внезапная остановка и последующее явление перемены направления движения при выключенных скоростях... показали на заедание центрального вала - и испытание было прекращено...Указанными выше испытаниями представители ОАТ, УММ и МПУ считают заводские испытания опытного образца законченными с тем, чтобы завод приступил к переделкам, предусмотренным к весеннему испытанию».Очередные испытания танка и его осмотр состоялись 14 и 15 марта 1930 г. По их результатам комиссией ГКБ ОАТ к соответствующему акту были составлены следующие замечания: «Комиссия ГКВюро ОАТ считает, что впредь до постановки в корпус следующих механизмов:</w:t>
      </w:r>
    </w:p>
    <w:p w14:paraId="28FE3DFE" w14:textId="77777777" w:rsidR="00C51A9F" w:rsidRPr="00507A31" w:rsidRDefault="00C51A9F" w:rsidP="00507A31">
      <w:pPr>
        <w:jc w:val="both"/>
        <w:rPr>
          <w:color w:val="000000" w:themeColor="text1"/>
          <w:sz w:val="16"/>
          <w:szCs w:val="16"/>
        </w:rPr>
      </w:pPr>
      <w:r w:rsidRPr="00507A31">
        <w:rPr>
          <w:color w:val="000000" w:themeColor="text1"/>
          <w:sz w:val="16"/>
          <w:szCs w:val="16"/>
        </w:rPr>
        <w:t>1 - новой коробки передач на роликовых подшипниках;</w:t>
      </w:r>
    </w:p>
    <w:p w14:paraId="3C9CFC56" w14:textId="77777777" w:rsidR="00C51A9F" w:rsidRPr="00507A31" w:rsidRDefault="00C51A9F" w:rsidP="00507A31">
      <w:pPr>
        <w:jc w:val="both"/>
        <w:rPr>
          <w:color w:val="000000" w:themeColor="text1"/>
          <w:sz w:val="16"/>
          <w:szCs w:val="16"/>
        </w:rPr>
      </w:pPr>
      <w:r w:rsidRPr="00507A31">
        <w:rPr>
          <w:color w:val="000000" w:themeColor="text1"/>
          <w:sz w:val="16"/>
          <w:szCs w:val="16"/>
        </w:rPr>
        <w:t>2 - нового вентилятора с улиткой на крыше;</w:t>
      </w:r>
    </w:p>
    <w:p w14:paraId="6D893885" w14:textId="77777777" w:rsidR="00C51A9F" w:rsidRPr="00507A31" w:rsidRDefault="00C51A9F" w:rsidP="00507A31">
      <w:pPr>
        <w:jc w:val="both"/>
        <w:rPr>
          <w:color w:val="000000" w:themeColor="text1"/>
          <w:sz w:val="16"/>
          <w:szCs w:val="16"/>
        </w:rPr>
      </w:pPr>
      <w:r w:rsidRPr="00507A31">
        <w:rPr>
          <w:color w:val="000000" w:themeColor="text1"/>
          <w:sz w:val="16"/>
          <w:szCs w:val="16"/>
        </w:rPr>
        <w:t>3 - новых проверенных тормозов,</w:t>
      </w:r>
    </w:p>
    <w:p w14:paraId="444A38E2" w14:textId="77777777" w:rsidR="00C51A9F" w:rsidRPr="00507A31" w:rsidRDefault="00C51A9F" w:rsidP="00507A31">
      <w:pPr>
        <w:jc w:val="both"/>
        <w:rPr>
          <w:color w:val="000000" w:themeColor="text1"/>
          <w:sz w:val="16"/>
          <w:szCs w:val="16"/>
        </w:rPr>
      </w:pPr>
      <w:r w:rsidRPr="00507A31">
        <w:rPr>
          <w:color w:val="000000" w:themeColor="text1"/>
          <w:sz w:val="16"/>
          <w:szCs w:val="16"/>
        </w:rPr>
        <w:t>дальнейшие испытания всей машины в целом являются бесполезными...» (12303).</w:t>
      </w:r>
    </w:p>
    <w:p w14:paraId="6E750599" w14:textId="77777777" w:rsidR="00C51A9F" w:rsidRPr="00507A31" w:rsidRDefault="00C51A9F" w:rsidP="00507A31">
      <w:pPr>
        <w:jc w:val="both"/>
        <w:rPr>
          <w:color w:val="000000" w:themeColor="text1"/>
          <w:sz w:val="16"/>
          <w:szCs w:val="16"/>
        </w:rPr>
      </w:pPr>
    </w:p>
    <w:p w14:paraId="1A64B4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 февраля 1930 г. вышел ПРИКАЗ ПО УММ РККА О РАБОТЕ КОМИССИИ ПО ВЫБОРУ МЕСТА ПОД ПОЛИГОН №21</w:t>
      </w:r>
    </w:p>
    <w:p w14:paraId="245CE9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1B6A97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приказанию зампреда РВС Союза т. Уншлихта назначаю комиссию под председательством помощника инспектора УММАт. Деревцова С.И. и членов — представителя от 2 управления штаба РККА т. Рулева, представителя Военно-строительного управления РККА т. Емельянова и представи</w:t>
      </w:r>
      <w:r w:rsidRPr="00507A31">
        <w:rPr>
          <w:color w:val="000000" w:themeColor="text1"/>
          <w:sz w:val="16"/>
          <w:szCs w:val="16"/>
        </w:rPr>
        <w:softHyphen/>
        <w:t>теля Штаба МВО т. Борцова — на предмет установления места расположения Научно-испытатель</w:t>
      </w:r>
      <w:r w:rsidRPr="00507A31">
        <w:rPr>
          <w:color w:val="000000" w:themeColor="text1"/>
          <w:sz w:val="16"/>
          <w:szCs w:val="16"/>
        </w:rPr>
        <w:softHyphen/>
        <w:t>ного полигона и новых формирований.</w:t>
      </w:r>
    </w:p>
    <w:p w14:paraId="633C30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Комиссии закончить работу к 10 марта с.г.</w:t>
      </w:r>
    </w:p>
    <w:p w14:paraId="171EA2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начальника УММ РККА</w:t>
      </w:r>
    </w:p>
    <w:p w14:paraId="0D3AD1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Бокис</w:t>
      </w:r>
    </w:p>
    <w:p w14:paraId="2482A3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17. Л. 22. Копия (11210).</w:t>
      </w:r>
    </w:p>
    <w:p w14:paraId="42D242E4" w14:textId="77777777" w:rsidR="00537E5F" w:rsidRPr="00507A31" w:rsidRDefault="00537E5F" w:rsidP="00507A31">
      <w:pPr>
        <w:autoSpaceDE w:val="0"/>
        <w:autoSpaceDN w:val="0"/>
        <w:adjustRightInd w:val="0"/>
        <w:jc w:val="both"/>
        <w:rPr>
          <w:color w:val="000000" w:themeColor="text1"/>
          <w:sz w:val="16"/>
          <w:szCs w:val="16"/>
        </w:rPr>
      </w:pPr>
    </w:p>
    <w:p w14:paraId="175CFBBF" w14:textId="77777777" w:rsidR="00C51A9F" w:rsidRPr="00507A31" w:rsidRDefault="00C51A9F" w:rsidP="00507A31">
      <w:pPr>
        <w:jc w:val="both"/>
        <w:rPr>
          <w:color w:val="000000" w:themeColor="text1"/>
          <w:sz w:val="16"/>
          <w:szCs w:val="16"/>
          <w:u w:color="002060"/>
        </w:rPr>
      </w:pPr>
      <w:r w:rsidRPr="00507A31">
        <w:rPr>
          <w:color w:val="000000" w:themeColor="text1"/>
          <w:sz w:val="16"/>
          <w:szCs w:val="16"/>
          <w:u w:color="002060"/>
        </w:rPr>
        <w:t>25 февраля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118. 3. О мобфондах (Ворошилов, Рыков). 4. Проект резолюции по военной промышленности (ПБ от 20 февраля 1930 г., пр. № 118, п. 45) (Шверник, Ворошилов, Прокофьев, Постников, Нейман). — ОП. 16. О судостроении на заводах Юга и Дальнего Востока (ПБ от 15 февраля 1930 г., пр. № 117, п. 5) (Близниченко, Рудзутак, Зоф, Файнберг, Полуян, Воробьев, Фрумкин, Хлыстов, Муклевич, Доценко, Борисов, Шверник). Решения ПБ от 20 февраля 1930 г. 45. О военной промышленности (Прокофьев, Ягода, Павлуновский, Козловский, Дмитриев, Ходулев, Кустов, Ершов, Григорьев, Гузаков, Ситников, Ильин, Миняйло, Десятников, Малахов, Королев, Горшков, Ткалун, Невструев, Михайлов, Венецкий, Шарсков, Постников, Ефимов, Шпекторов, Аппога, Котт, Нейман, Ляшко, Мартинович, Рухимович, Лобов, Толоконцев, Гамарник, Венцов, Москвин, Строганов, Егоров В.). (Политбюро... Т. 2. С. 21, 22?23) (12416).</w:t>
      </w:r>
    </w:p>
    <w:p w14:paraId="65329CD6" w14:textId="77777777" w:rsidR="00C51A9F" w:rsidRPr="00507A31" w:rsidRDefault="00C51A9F" w:rsidP="00507A31">
      <w:pPr>
        <w:jc w:val="both"/>
        <w:rPr>
          <w:color w:val="000000" w:themeColor="text1"/>
          <w:sz w:val="16"/>
          <w:szCs w:val="16"/>
          <w:u w:color="002060"/>
        </w:rPr>
      </w:pPr>
    </w:p>
    <w:p w14:paraId="61B79E66" w14:textId="77777777" w:rsidR="00C51A9F" w:rsidRPr="00507A31" w:rsidRDefault="00C51A9F" w:rsidP="00507A31">
      <w:pPr>
        <w:jc w:val="both"/>
        <w:rPr>
          <w:color w:val="000000" w:themeColor="text1"/>
          <w:sz w:val="16"/>
          <w:szCs w:val="16"/>
        </w:rPr>
      </w:pPr>
      <w:r w:rsidRPr="00507A31">
        <w:rPr>
          <w:rStyle w:val="a7"/>
          <w:b w:val="0"/>
          <w:color w:val="000000" w:themeColor="text1"/>
          <w:sz w:val="16"/>
          <w:szCs w:val="16"/>
        </w:rPr>
        <w:t xml:space="preserve">25 февраля 1930 </w:t>
      </w:r>
      <w:r w:rsidRPr="00507A31">
        <w:rPr>
          <w:color w:val="000000" w:themeColor="text1"/>
          <w:sz w:val="16"/>
          <w:szCs w:val="16"/>
        </w:rPr>
        <w:t>Политбюро ЦК ВКП (б) приняло проект постановления НК РКИ о развитии судостроения на заводах Юга и Дальнего Востока; одобрило проект постановления Колхозцентра об использовании труда колхозников на отхожих промыслах; утвердило проект постановления ЦК ВКП (б) об основных хозяйственных проблемах Средне-Волжского края (12265).</w:t>
      </w:r>
    </w:p>
    <w:p w14:paraId="5C449508" w14:textId="77777777" w:rsidR="00C51A9F" w:rsidRPr="00507A31" w:rsidRDefault="00C51A9F" w:rsidP="00507A31">
      <w:pPr>
        <w:jc w:val="both"/>
        <w:rPr>
          <w:color w:val="000000" w:themeColor="text1"/>
          <w:sz w:val="16"/>
          <w:szCs w:val="16"/>
        </w:rPr>
      </w:pPr>
      <w:r w:rsidRPr="00507A31">
        <w:rPr>
          <w:color w:val="000000" w:themeColor="text1"/>
          <w:sz w:val="16"/>
          <w:szCs w:val="16"/>
        </w:rPr>
        <w:t> </w:t>
      </w:r>
    </w:p>
    <w:p w14:paraId="4E1635E9" w14:textId="77777777" w:rsidR="00C51A9F" w:rsidRPr="00507A31" w:rsidRDefault="00C51A9F" w:rsidP="00507A31">
      <w:pPr>
        <w:jc w:val="both"/>
        <w:rPr>
          <w:color w:val="000000" w:themeColor="text1"/>
          <w:sz w:val="16"/>
          <w:szCs w:val="16"/>
        </w:rPr>
      </w:pPr>
      <w:r w:rsidRPr="00507A31">
        <w:rPr>
          <w:color w:val="000000" w:themeColor="text1"/>
          <w:sz w:val="16"/>
          <w:szCs w:val="16"/>
        </w:rPr>
        <w:t>25 февраля 1930 г. — Постановление Политбюро ЦК ВКП(б) «О ходе ликвидации вредительства на предприятиях военной промышленности»</w:t>
      </w:r>
    </w:p>
    <w:p w14:paraId="451F1BF6" w14:textId="77777777" w:rsidR="00C51A9F" w:rsidRPr="00507A31" w:rsidRDefault="00C51A9F" w:rsidP="00507A31">
      <w:pPr>
        <w:jc w:val="both"/>
        <w:rPr>
          <w:color w:val="000000" w:themeColor="text1"/>
          <w:sz w:val="16"/>
          <w:szCs w:val="16"/>
        </w:rPr>
      </w:pPr>
      <w:r w:rsidRPr="00507A31">
        <w:rPr>
          <w:color w:val="000000" w:themeColor="text1"/>
          <w:sz w:val="16"/>
          <w:szCs w:val="16"/>
        </w:rPr>
        <w:lastRenderedPageBreak/>
        <w:t>I.</w:t>
      </w:r>
    </w:p>
    <w:p w14:paraId="558090EC"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Заслушав доклад ОГПУ о ликвидации на предприятиях военной промышленности последствий вредительства, ЦК 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w:t>
      </w:r>
    </w:p>
    <w:p w14:paraId="40447E6F"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1EB333DB"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 Несерьезное отношение большинства руководящего состава военной промышленности к информационным документам ОГПУ (обвинительное заключение по вредительству от августа 1929 г. и другие сообщения).</w:t>
      </w:r>
    </w:p>
    <w:p w14:paraId="5BD90FA1"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2. Большинство руководителей (директоры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313980BC"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а) не мобилизовали внимания рабочих и всего инженерно-технического персонала к восстановлению утерянных навыков точных работ;</w:t>
      </w:r>
    </w:p>
    <w:p w14:paraId="060C7FB2"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б) 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288B8983"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0C2722C3"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546D40D8"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3. По прежнему не привлечен к организации и рационализации производства беспартийный и коммунистический рабочий актив, благодаря чему остался не устраненным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так и низовых профессиональных и партийных организаций.</w:t>
      </w:r>
    </w:p>
    <w:p w14:paraId="7E5D8C89"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4. Наблюдаются случаи активного и пассивного сопротивления директоров заводов мероприятиям ОГПУ по ликвидации последствий вредительства.</w:t>
      </w:r>
    </w:p>
    <w:p w14:paraId="65E55D73" w14:textId="77777777" w:rsidR="00C51A9F" w:rsidRPr="00507A31" w:rsidRDefault="00C51A9F" w:rsidP="00507A31">
      <w:pPr>
        <w:jc w:val="both"/>
        <w:rPr>
          <w:color w:val="000000" w:themeColor="text1"/>
          <w:sz w:val="16"/>
          <w:szCs w:val="16"/>
        </w:rPr>
      </w:pPr>
      <w:r w:rsidRPr="00507A31">
        <w:rPr>
          <w:color w:val="000000" w:themeColor="text1"/>
          <w:sz w:val="16"/>
          <w:szCs w:val="16"/>
        </w:rPr>
        <w:t>II.</w:t>
      </w:r>
    </w:p>
    <w:p w14:paraId="2B3F0462" w14:textId="77777777" w:rsidR="00C51A9F" w:rsidRPr="00507A31" w:rsidRDefault="00C51A9F" w:rsidP="00507A31">
      <w:pPr>
        <w:jc w:val="both"/>
        <w:rPr>
          <w:color w:val="000000" w:themeColor="text1"/>
          <w:sz w:val="16"/>
          <w:szCs w:val="16"/>
        </w:rPr>
      </w:pPr>
      <w:r w:rsidRPr="00507A31">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2B97E3E4" w14:textId="77777777" w:rsidR="00C51A9F" w:rsidRPr="00507A31" w:rsidRDefault="00C51A9F" w:rsidP="00507A31">
      <w:pPr>
        <w:jc w:val="both"/>
        <w:rPr>
          <w:color w:val="000000" w:themeColor="text1"/>
          <w:sz w:val="16"/>
          <w:szCs w:val="16"/>
        </w:rPr>
      </w:pPr>
      <w:r w:rsidRPr="00507A31">
        <w:rPr>
          <w:color w:val="000000" w:themeColor="text1"/>
          <w:sz w:val="16"/>
          <w:szCs w:val="16"/>
        </w:rPr>
        <w:t>1. Крупные недоделы военной продукции по I кварталу 1929/30 г. почти по всем трестам.</w:t>
      </w:r>
    </w:p>
    <w:p w14:paraId="7D0E75D2" w14:textId="77777777" w:rsidR="00C51A9F" w:rsidRPr="00507A31" w:rsidRDefault="00C51A9F" w:rsidP="00507A31">
      <w:pPr>
        <w:jc w:val="both"/>
        <w:rPr>
          <w:color w:val="000000" w:themeColor="text1"/>
          <w:sz w:val="16"/>
          <w:szCs w:val="16"/>
        </w:rPr>
      </w:pPr>
      <w:r w:rsidRPr="00507A31">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2ECAEAE2" w14:textId="77777777" w:rsidR="00C51A9F" w:rsidRPr="00507A31" w:rsidRDefault="00C51A9F" w:rsidP="00507A31">
      <w:pPr>
        <w:jc w:val="both"/>
        <w:rPr>
          <w:color w:val="000000" w:themeColor="text1"/>
          <w:sz w:val="16"/>
          <w:szCs w:val="16"/>
        </w:rPr>
      </w:pPr>
      <w:r w:rsidRPr="00507A31">
        <w:rPr>
          <w:color w:val="000000" w:themeColor="text1"/>
          <w:sz w:val="16"/>
          <w:szCs w:val="16"/>
        </w:rPr>
        <w:t>3. 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39A1A1AA" w14:textId="77777777" w:rsidR="00C51A9F" w:rsidRPr="00507A31" w:rsidRDefault="00C51A9F" w:rsidP="00507A31">
      <w:pPr>
        <w:jc w:val="both"/>
        <w:rPr>
          <w:color w:val="000000" w:themeColor="text1"/>
          <w:sz w:val="16"/>
          <w:szCs w:val="16"/>
        </w:rPr>
      </w:pPr>
      <w:r w:rsidRPr="00507A31">
        <w:rPr>
          <w:color w:val="000000" w:themeColor="text1"/>
          <w:sz w:val="16"/>
          <w:szCs w:val="16"/>
        </w:rPr>
        <w:t>Все это свидетельствует, что в основном решения Политбюро от 15 июля 1929 г.¹* не выполнены, темп, взятий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w:t>
      </w:r>
    </w:p>
    <w:p w14:paraId="08C3CE21" w14:textId="77777777" w:rsidR="00C51A9F" w:rsidRPr="00507A31" w:rsidRDefault="00C51A9F" w:rsidP="00507A31">
      <w:pPr>
        <w:jc w:val="both"/>
        <w:rPr>
          <w:color w:val="000000" w:themeColor="text1"/>
          <w:sz w:val="16"/>
          <w:szCs w:val="16"/>
        </w:rPr>
      </w:pPr>
      <w:r w:rsidRPr="00507A31">
        <w:rPr>
          <w:color w:val="000000" w:themeColor="text1"/>
          <w:sz w:val="16"/>
          <w:szCs w:val="16"/>
        </w:rPr>
        <w:t>Все это обязывает директоров заводов, руководителей трестов, ГВПУ и ВСНХ мобилизовать все возможные силы и средства для ликвидации в кратчайший срок последствий вредительства по производству военной продукции.</w:t>
      </w:r>
    </w:p>
    <w:p w14:paraId="5AC77385" w14:textId="77777777" w:rsidR="00C51A9F" w:rsidRPr="00507A31" w:rsidRDefault="00C51A9F" w:rsidP="00507A31">
      <w:pPr>
        <w:jc w:val="both"/>
        <w:rPr>
          <w:color w:val="000000" w:themeColor="text1"/>
          <w:sz w:val="16"/>
          <w:szCs w:val="16"/>
        </w:rPr>
      </w:pPr>
      <w:r w:rsidRPr="00507A31">
        <w:rPr>
          <w:color w:val="000000" w:themeColor="text1"/>
          <w:sz w:val="16"/>
          <w:szCs w:val="16"/>
        </w:rPr>
        <w:t>III.</w:t>
      </w:r>
    </w:p>
    <w:p w14:paraId="30A7A39D"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2A3C7FE6"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 т. д.), с установлением точных кратчайших сроков их выполнения, привлекая к работе по ликвидации вредительства и раскаявшихся вредителей.</w:t>
      </w:r>
    </w:p>
    <w:p w14:paraId="6E03676E"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ГВПУ и ОГПУ развернуть работу этих комиссий немедленно.</w:t>
      </w:r>
    </w:p>
    <w:p w14:paraId="13A3CEBD"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2. Привлечь беспартийных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 716).</w:t>
      </w:r>
    </w:p>
    <w:p w14:paraId="0E3EF22B"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3. Всему хозяйственному составу (в особенности по ОАТ и по ВХТ) усилить бдительность в дальнейшем вскрытии вредительских актов.</w:t>
      </w:r>
    </w:p>
    <w:p w14:paraId="1FDD165E"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4. Обвинительное заключение ОГПУ о вредительстве (от августа 1929 г.) и дополнительные материалы по этому вопросу разослать всем окружным партийным комитетам, на территории коих расположены военные заводы.</w:t>
      </w:r>
    </w:p>
    <w:p w14:paraId="7FAFD735"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17DFFBE6"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5. Разъяснить всем руководителям хозяйственных органов военной промышленности (директорам заводов, председателям трестов и т. 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06CF72E9"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5F780BA4"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6. 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длительными (месяца на 2</w:t>
      </w:r>
      <w:r w:rsidRPr="00507A31">
        <w:rPr>
          <w:color w:val="000000" w:themeColor="text1"/>
          <w:sz w:val="16"/>
          <w:szCs w:val="16"/>
        </w:rPr>
        <w:noBreakHyphen/>
        <w:t>3) выездами на таковые. 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1B6378DC"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7. Предложить ВСНХ издать приказ о переходе в объединениях и трестах военной промышленности от коллегиального к единоличному управлению.</w:t>
      </w:r>
    </w:p>
    <w:p w14:paraId="52204113"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8. 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3A6D55BC"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9. Для оздоровления инструментального и лекального дела:</w:t>
      </w:r>
    </w:p>
    <w:p w14:paraId="0F7EF35A"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а) организовать на всех заводах военной промышленности генеральную проверку чертежей, эталонов, шаблонов, лекал и рабочего инструмента и изъять все негодное;</w:t>
      </w:r>
    </w:p>
    <w:p w14:paraId="144A864F"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б) ВСНХ и НКВМ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0A0F4A89"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в) НКВМ ускорить пересмотр всех чертежей, закончив его по основным изделиям в двухмесячный срок;</w:t>
      </w:r>
    </w:p>
    <w:p w14:paraId="07AB2857"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г) ВСНХ наладить использование в полной мере инструментальных отделов (цехов) военных заводов, организовать в 1930/31 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4C37386B"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д) НКТоргу и ВСНХ еще в 1929/30 г. обеспечить все инструментальные отделы заводов нужным количеством инструментальной стали и в первую очередь завести все импортное оборудование для указанных цехов;</w:t>
      </w:r>
    </w:p>
    <w:p w14:paraId="7D7C3E27"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226963D8"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ж) ВСНХ более смело использовать заграничную помощь (вербовка лекальщиков в Германии и т. д.);</w:t>
      </w:r>
    </w:p>
    <w:p w14:paraId="40280ABE"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з) для ускорения подготовки высококвалифицированной рабочей силы, наряду с укреплением фабзавуча, ВСНХ более широко использовать ЦИТ.</w:t>
      </w:r>
    </w:p>
    <w:p w14:paraId="5B30FA7B"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01062A43"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11. 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648FFD31"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12.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02F12B21"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13. Правительственной комиссии закончить общий пересмотр технических условий к 1 мая 1930 г.</w:t>
      </w:r>
    </w:p>
    <w:p w14:paraId="79104642"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14. НК РКИ проверить состояние работы по рассмотрению технических условий и в двухнедельный срок представить в РЗ СТО доклад.</w:t>
      </w:r>
    </w:p>
    <w:p w14:paraId="006457CE"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15. НК РКИ, НКВМ и ВСНХ в 3</w:t>
      </w:r>
      <w:r w:rsidRPr="00507A31">
        <w:rPr>
          <w:color w:val="000000" w:themeColor="text1"/>
          <w:sz w:val="16"/>
          <w:szCs w:val="16"/>
        </w:rPr>
        <w:noBreakHyphen/>
        <w:t>месячный срок проверить состояние мобилизационного запаса основных видов военной продукции. РЗ СТО, по мере хода проверки, устанавливать жесткие сроки приведения его в состояние боевой готовности.</w:t>
      </w:r>
    </w:p>
    <w:p w14:paraId="24892DC3"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Обязать НКВМ улучшить военную приемку с тем, чтобы исключить на будущее время накопление негодного мобзапаса.</w:t>
      </w:r>
    </w:p>
    <w:p w14:paraId="3DAD66F6"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lastRenderedPageBreak/>
        <w:t>16. Обязать ВСНХ в полуторамесячный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w:t>
      </w:r>
    </w:p>
    <w:p w14:paraId="4053BA6B"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17. Тов. </w:t>
      </w:r>
      <w:hyperlink r:id="rId36" w:history="1">
        <w:r w:rsidRPr="00507A31">
          <w:rPr>
            <w:color w:val="000000" w:themeColor="text1"/>
            <w:sz w:val="16"/>
            <w:szCs w:val="16"/>
          </w:rPr>
          <w:t>Куйбышеву</w:t>
        </w:r>
      </w:hyperlink>
      <w:r w:rsidRPr="00507A31">
        <w:rPr>
          <w:color w:val="000000" w:themeColor="text1"/>
          <w:sz w:val="16"/>
          <w:szCs w:val="16"/>
        </w:rPr>
        <w:t xml:space="preserve"> и т. </w:t>
      </w:r>
      <w:hyperlink r:id="rId37" w:history="1">
        <w:r w:rsidRPr="00507A31">
          <w:rPr>
            <w:color w:val="000000" w:themeColor="text1"/>
            <w:sz w:val="16"/>
            <w:szCs w:val="16"/>
          </w:rPr>
          <w:t>Микояну</w:t>
        </w:r>
      </w:hyperlink>
      <w:r w:rsidRPr="00507A31">
        <w:rPr>
          <w:color w:val="000000" w:themeColor="text1"/>
          <w:sz w:val="16"/>
          <w:szCs w:val="16"/>
        </w:rPr>
        <w:t xml:space="preserve"> в 10</w:t>
      </w:r>
      <w:r w:rsidRPr="00507A31">
        <w:rPr>
          <w:color w:val="000000" w:themeColor="text1"/>
          <w:sz w:val="16"/>
          <w:szCs w:val="16"/>
        </w:rPr>
        <w:noBreakHyphen/>
        <w:t>дневный срок провести срочные мероприятия, обеспечивающие своевременный завоз импортного оборудования по плану 1929/30 г. и заказанного в предыдущие годы.</w:t>
      </w:r>
    </w:p>
    <w:p w14:paraId="6723668C"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18. НКТруду во внеочередном порядке обеспечить капитальное строительство военных заводов необходимыми кадрами рабочих.</w:t>
      </w:r>
    </w:p>
    <w:p w14:paraId="5421F43B"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19. ГВПУ и ОГПУ проработать все вредительские материалы по капитальному строительству с тем, чтобы в контрольных цифрах 1930/31 г. была предусмотрена полная ликвидация вредительства в этой области.</w:t>
      </w:r>
    </w:p>
    <w:p w14:paraId="35A36070"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20. В целях ликвидации остатков контрреволюционной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57B77CD5" w14:textId="77777777" w:rsidR="00C51A9F" w:rsidRPr="00507A31" w:rsidRDefault="00C51A9F" w:rsidP="00507A31">
      <w:pPr>
        <w:jc w:val="both"/>
        <w:rPr>
          <w:color w:val="000000" w:themeColor="text1"/>
          <w:sz w:val="16"/>
          <w:szCs w:val="16"/>
        </w:rPr>
      </w:pPr>
      <w:r w:rsidRPr="00507A31">
        <w:rPr>
          <w:color w:val="000000" w:themeColor="text1"/>
          <w:sz w:val="16"/>
          <w:szCs w:val="16"/>
        </w:rPr>
        <w:t>IV.</w:t>
      </w:r>
    </w:p>
    <w:p w14:paraId="353CD08B" w14:textId="77777777" w:rsidR="00C51A9F" w:rsidRPr="00507A31" w:rsidRDefault="00C51A9F" w:rsidP="00507A31">
      <w:pPr>
        <w:jc w:val="both"/>
        <w:rPr>
          <w:color w:val="000000" w:themeColor="text1"/>
          <w:sz w:val="16"/>
          <w:szCs w:val="16"/>
        </w:rPr>
      </w:pPr>
      <w:r w:rsidRPr="00507A31">
        <w:rPr>
          <w:color w:val="000000" w:themeColor="text1"/>
          <w:sz w:val="16"/>
          <w:szCs w:val="16"/>
        </w:rPr>
        <w:t>В целях обеспечения выполнения и перевыполнения производственных программ военной промышленности:</w:t>
      </w:r>
    </w:p>
    <w:p w14:paraId="7919442D" w14:textId="77777777" w:rsidR="00C51A9F" w:rsidRPr="00507A31" w:rsidRDefault="00C51A9F" w:rsidP="00507A31">
      <w:pPr>
        <w:jc w:val="both"/>
        <w:rPr>
          <w:color w:val="000000" w:themeColor="text1"/>
          <w:sz w:val="16"/>
          <w:szCs w:val="16"/>
        </w:rPr>
      </w:pPr>
      <w:r w:rsidRPr="00507A31">
        <w:rPr>
          <w:color w:val="000000" w:themeColor="text1"/>
          <w:sz w:val="16"/>
          <w:szCs w:val="16"/>
        </w:rPr>
        <w:t>1. 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 апреля предшествующего операционного года), дабы промышленность имела возможность планомерно развернуться.</w:t>
      </w:r>
    </w:p>
    <w:p w14:paraId="595970D3" w14:textId="77777777" w:rsidR="00C51A9F" w:rsidRPr="00507A31" w:rsidRDefault="00C51A9F" w:rsidP="00507A31">
      <w:pPr>
        <w:jc w:val="both"/>
        <w:rPr>
          <w:color w:val="000000" w:themeColor="text1"/>
          <w:sz w:val="16"/>
          <w:szCs w:val="16"/>
        </w:rPr>
      </w:pPr>
      <w:r w:rsidRPr="00507A31">
        <w:rPr>
          <w:color w:val="000000" w:themeColor="text1"/>
          <w:sz w:val="16"/>
          <w:szCs w:val="16"/>
        </w:rPr>
        <w:t>2. ВСНХ и ЦК металлистов внести в двухдекадный срок проект перевода на положение мобилизованных некоторых заводов, где по выполнению программы имеются серьезные опасения.</w:t>
      </w:r>
    </w:p>
    <w:p w14:paraId="574A3FDE" w14:textId="77777777" w:rsidR="00C51A9F" w:rsidRPr="00507A31" w:rsidRDefault="00C51A9F" w:rsidP="00507A31">
      <w:pPr>
        <w:jc w:val="both"/>
        <w:rPr>
          <w:color w:val="000000" w:themeColor="text1"/>
          <w:sz w:val="16"/>
          <w:szCs w:val="16"/>
        </w:rPr>
      </w:pPr>
      <w:r w:rsidRPr="00507A31">
        <w:rPr>
          <w:color w:val="000000" w:themeColor="text1"/>
          <w:sz w:val="16"/>
          <w:szCs w:val="16"/>
        </w:rPr>
        <w:t>3. Немедленно дать директиву об освобождении военных заводов на 1929/30 г. от мобилизации личного состава на разные кампании (посевная, хлебозаготовительная, колхозная и т. д.).</w:t>
      </w:r>
    </w:p>
    <w:p w14:paraId="56811318" w14:textId="77777777" w:rsidR="00C51A9F" w:rsidRPr="00507A31" w:rsidRDefault="00C51A9F" w:rsidP="00507A31">
      <w:pPr>
        <w:jc w:val="both"/>
        <w:rPr>
          <w:color w:val="000000" w:themeColor="text1"/>
          <w:sz w:val="16"/>
          <w:szCs w:val="16"/>
        </w:rPr>
      </w:pPr>
      <w:r w:rsidRPr="00507A31">
        <w:rPr>
          <w:color w:val="000000" w:themeColor="text1"/>
          <w:sz w:val="16"/>
          <w:szCs w:val="16"/>
        </w:rPr>
        <w:t>4. ВСНХ принять меры к своевременному и полному снабжению военных заводов сырьем и полуфабрикатами для выполнения военных заказов, возложив за это персональную ответственность на руководителей снабжающих органов.</w:t>
      </w:r>
    </w:p>
    <w:p w14:paraId="30C66BB1" w14:textId="77777777" w:rsidR="00C51A9F" w:rsidRPr="00507A31" w:rsidRDefault="00C51A9F" w:rsidP="00507A31">
      <w:pPr>
        <w:jc w:val="both"/>
        <w:rPr>
          <w:color w:val="000000" w:themeColor="text1"/>
          <w:sz w:val="16"/>
          <w:szCs w:val="16"/>
        </w:rPr>
      </w:pPr>
      <w:r w:rsidRPr="00507A31">
        <w:rPr>
          <w:color w:val="000000" w:themeColor="text1"/>
          <w:sz w:val="16"/>
          <w:szCs w:val="16"/>
        </w:rPr>
        <w:t>5. Обязать директоров заводов присылать в адрес ВСНХ, ЦК ВКП(б), СНК, НК РКИ и РВСР ежемесячные краткие письменные отчеты о мерах, принятых ими для проведения в жизнь данного постановления.</w:t>
      </w:r>
    </w:p>
    <w:p w14:paraId="471E3553" w14:textId="77777777" w:rsidR="00C51A9F" w:rsidRPr="00507A31" w:rsidRDefault="00C51A9F" w:rsidP="00507A31">
      <w:pPr>
        <w:jc w:val="both"/>
        <w:rPr>
          <w:color w:val="000000" w:themeColor="text1"/>
          <w:sz w:val="16"/>
          <w:szCs w:val="16"/>
        </w:rPr>
      </w:pPr>
      <w:r w:rsidRPr="00507A31">
        <w:rPr>
          <w:color w:val="000000" w:themeColor="text1"/>
          <w:sz w:val="16"/>
          <w:szCs w:val="16"/>
        </w:rPr>
        <w:t>V.</w:t>
      </w:r>
    </w:p>
    <w:p w14:paraId="6CF08AB0"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В целях улучшения технического руководства на военных заводах:</w:t>
      </w:r>
    </w:p>
    <w:p w14:paraId="63058476"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 ВСНХ и НКТруду в месячный срок мобилизовать инженеров из гражданской промышленности для военных заводов, в первую очередь конструкторов и металлургов. С этой целью СНК и ЦИК 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65B78CE4"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2. 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4DA4E17E"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496B705F"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4. Обязать ВСНХ доложить в месячный срок РЗ СТО о ходе привлечения к военным производствам иностранной технической помощи и приглашения ин[остранных] специалистов, а также план значительного расширения этого привлечения.</w:t>
      </w:r>
    </w:p>
    <w:p w14:paraId="39C2BEEF"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 и новую группу военных работников в количестве 20 чел.</w:t>
      </w:r>
    </w:p>
    <w:p w14:paraId="7F23A92B"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161DC85D"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0F9C6770"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Обязать ВСНХ в месячный срок доложить РЗ СТО о проводимых им мероприятиях во исполнение этих предложений.</w:t>
      </w:r>
    </w:p>
    <w:p w14:paraId="7E38EA62" w14:textId="77777777" w:rsidR="00C51A9F" w:rsidRPr="00507A31" w:rsidRDefault="00C51A9F" w:rsidP="00507A31">
      <w:pPr>
        <w:jc w:val="both"/>
        <w:rPr>
          <w:color w:val="000000" w:themeColor="text1"/>
          <w:sz w:val="16"/>
          <w:szCs w:val="16"/>
        </w:rPr>
      </w:pPr>
      <w:r w:rsidRPr="00507A31">
        <w:rPr>
          <w:color w:val="000000" w:themeColor="text1"/>
          <w:sz w:val="16"/>
          <w:szCs w:val="16"/>
        </w:rPr>
        <w:t>VI.</w:t>
      </w:r>
    </w:p>
    <w:p w14:paraId="6884A25E" w14:textId="77777777" w:rsidR="00C51A9F" w:rsidRPr="00507A31" w:rsidRDefault="00C51A9F" w:rsidP="00507A31">
      <w:pPr>
        <w:jc w:val="both"/>
        <w:rPr>
          <w:color w:val="000000" w:themeColor="text1"/>
          <w:sz w:val="16"/>
          <w:szCs w:val="16"/>
        </w:rPr>
      </w:pPr>
      <w:r w:rsidRPr="00507A31">
        <w:rPr>
          <w:color w:val="000000" w:themeColor="text1"/>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2</w:t>
      </w:r>
      <w:r w:rsidRPr="00507A31">
        <w:rPr>
          <w:color w:val="000000" w:themeColor="text1"/>
          <w:sz w:val="16"/>
          <w:szCs w:val="16"/>
        </w:rPr>
        <w:noBreakHyphen/>
        <w:t>3 месяцев. 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 июля с. г., за выполнением промфинплана 1929/30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4355D839" w14:textId="77777777" w:rsidR="00C51A9F" w:rsidRPr="00507A31" w:rsidRDefault="00C51A9F" w:rsidP="00507A31">
      <w:pPr>
        <w:jc w:val="both"/>
        <w:rPr>
          <w:color w:val="000000" w:themeColor="text1"/>
          <w:sz w:val="16"/>
          <w:szCs w:val="16"/>
        </w:rPr>
      </w:pPr>
      <w:r w:rsidRPr="00507A31">
        <w:rPr>
          <w:color w:val="000000" w:themeColor="text1"/>
          <w:sz w:val="16"/>
          <w:szCs w:val="16"/>
        </w:rPr>
        <w:t>Секретариату ЦК к следующему заседанию представить список командируемых.</w:t>
      </w:r>
    </w:p>
    <w:p w14:paraId="4F54E802" w14:textId="77777777" w:rsidR="00C51A9F" w:rsidRPr="00507A31" w:rsidRDefault="00C51A9F" w:rsidP="00507A31">
      <w:pPr>
        <w:jc w:val="both"/>
        <w:rPr>
          <w:color w:val="000000" w:themeColor="text1"/>
          <w:sz w:val="16"/>
          <w:szCs w:val="16"/>
        </w:rPr>
      </w:pPr>
      <w:r w:rsidRPr="00507A31">
        <w:rPr>
          <w:color w:val="000000" w:themeColor="text1"/>
          <w:sz w:val="16"/>
          <w:szCs w:val="16"/>
        </w:rPr>
        <w:t>VII.</w:t>
      </w:r>
    </w:p>
    <w:p w14:paraId="075584C0"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1. Директоров заводов: ИОЗа т. 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 года занимать ответственные хозяйственные должности; директора завода № 50 т. Дмитриева за несвоевременное принятие мер по ликвидации вредительства снять с работы и объявить выговор; директору ТОЗа т. Ситникову за недостаточно активное изжитие последствий вредительства объявить выговор, обязав в кратчайший срок выправить это дело; директору завода № 42 т. Шмырову за невыполнение программы и непринятие достаточных мер для ликвидации работы вредителей, что в результате дезорганизовало работу производства, объявить строгий выговор, предложить в кратчайший срок выправить положение.</w:t>
      </w:r>
    </w:p>
    <w:p w14:paraId="76D25C10"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2. 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7F22D95B"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rPr>
        <w:t>3. Обязать ЦК РКИ иметь непрерывное наблюдение за выполнением настоящего постановления.</w:t>
      </w:r>
    </w:p>
    <w:p w14:paraId="76F96886" w14:textId="77777777" w:rsidR="00C51A9F" w:rsidRPr="00507A31" w:rsidRDefault="00C51A9F"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Примечание</w:t>
      </w:r>
      <w:r w:rsidRPr="00507A31">
        <w:rPr>
          <w:color w:val="000000" w:themeColor="text1"/>
          <w:sz w:val="16"/>
          <w:szCs w:val="16"/>
        </w:rPr>
        <w:t>:</w:t>
      </w:r>
    </w:p>
    <w:p w14:paraId="592BCF3E" w14:textId="77777777" w:rsidR="00C51A9F" w:rsidRPr="00507A31" w:rsidRDefault="00C51A9F"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См. документы: от 15 июля 1929 г. — Постановление Политбюро ЦК ВКП(б) о состоянии обороны СССР и от 15 июля 1929 г. — Постановление Политбюро ЦК ВКП(б) о военной промышленности.</w:t>
      </w:r>
    </w:p>
    <w:p w14:paraId="00BA7364" w14:textId="77777777" w:rsidR="00C51A9F" w:rsidRPr="00507A31" w:rsidRDefault="00C51A9F" w:rsidP="00507A31">
      <w:pPr>
        <w:pStyle w:val="ae"/>
        <w:spacing w:before="0" w:after="0"/>
        <w:jc w:val="both"/>
        <w:rPr>
          <w:color w:val="000000" w:themeColor="text1"/>
          <w:sz w:val="16"/>
          <w:szCs w:val="16"/>
        </w:rPr>
      </w:pPr>
      <w:r w:rsidRPr="00507A31">
        <w:rPr>
          <w:color w:val="000000" w:themeColor="text1"/>
          <w:sz w:val="16"/>
          <w:szCs w:val="16"/>
        </w:rPr>
        <w:t>РГАСПИ. Ф. 17. Оп. 162. Д. 8. Л. 85—91. Заверенная копия.</w:t>
      </w:r>
    </w:p>
    <w:p w14:paraId="0BE96C18" w14:textId="77777777" w:rsidR="00C51A9F" w:rsidRPr="00507A31" w:rsidRDefault="00C51A9F" w:rsidP="00507A31">
      <w:pPr>
        <w:jc w:val="both"/>
        <w:rPr>
          <w:color w:val="000000" w:themeColor="text1"/>
          <w:sz w:val="16"/>
          <w:szCs w:val="16"/>
        </w:rPr>
      </w:pPr>
      <w:r w:rsidRPr="00507A31">
        <w:rPr>
          <w:color w:val="000000" w:themeColor="text1"/>
          <w:sz w:val="16"/>
          <w:szCs w:val="16"/>
        </w:rPr>
        <w:t xml:space="preserve">Архив: РГАСПИ. Ф. 17. Оп. 162. Д. 8. Л. 85—91. Заверенная копия. </w:t>
      </w:r>
    </w:p>
    <w:p w14:paraId="14E48101" w14:textId="77777777" w:rsidR="00C51A9F" w:rsidRPr="00507A31" w:rsidRDefault="00C51A9F"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426-431 (12495).</w:t>
      </w:r>
    </w:p>
    <w:p w14:paraId="1D35CFC1" w14:textId="77777777" w:rsidR="00C51A9F" w:rsidRPr="00507A31" w:rsidRDefault="00C51A9F" w:rsidP="00507A31">
      <w:pPr>
        <w:jc w:val="both"/>
        <w:rPr>
          <w:color w:val="000000" w:themeColor="text1"/>
          <w:sz w:val="16"/>
          <w:szCs w:val="16"/>
        </w:rPr>
      </w:pPr>
    </w:p>
    <w:p w14:paraId="1B2668B9" w14:textId="77777777" w:rsidR="00E920AC" w:rsidRPr="00507A31" w:rsidRDefault="00E920AC" w:rsidP="00507A31">
      <w:pPr>
        <w:jc w:val="both"/>
        <w:rPr>
          <w:color w:val="0070C0"/>
          <w:sz w:val="16"/>
          <w:szCs w:val="16"/>
        </w:rPr>
      </w:pPr>
      <w:r w:rsidRPr="00507A31">
        <w:rPr>
          <w:color w:val="0070C0"/>
          <w:sz w:val="16"/>
          <w:szCs w:val="16"/>
        </w:rPr>
        <w:t>25 февраля 1930 состоялось заседание ПБ (Протокол № 118. Особый № 116)</w:t>
      </w:r>
    </w:p>
    <w:p w14:paraId="2B8C41CC" w14:textId="77777777" w:rsidR="00E920AC" w:rsidRPr="00507A31" w:rsidRDefault="00E920AC" w:rsidP="00507A31">
      <w:pPr>
        <w:jc w:val="both"/>
        <w:rPr>
          <w:color w:val="0070C0"/>
          <w:sz w:val="16"/>
          <w:szCs w:val="16"/>
        </w:rPr>
      </w:pPr>
      <w:r w:rsidRPr="00507A31">
        <w:rPr>
          <w:color w:val="0070C0"/>
          <w:sz w:val="16"/>
          <w:szCs w:val="16"/>
        </w:rPr>
        <w:t>4.-Проект резолюции по военной ппомлшленности.</w:t>
      </w:r>
    </w:p>
    <w:p w14:paraId="3EC4F89D" w14:textId="77777777" w:rsidR="00E920AC" w:rsidRPr="00507A31" w:rsidRDefault="00E920AC" w:rsidP="00507A31">
      <w:pPr>
        <w:jc w:val="both"/>
        <w:rPr>
          <w:color w:val="0070C0"/>
          <w:sz w:val="16"/>
          <w:szCs w:val="16"/>
        </w:rPr>
      </w:pPr>
      <w:r w:rsidRPr="00507A31">
        <w:rPr>
          <w:color w:val="0070C0"/>
          <w:sz w:val="16"/>
          <w:szCs w:val="16"/>
        </w:rPr>
        <w:t>(ПБ от 20.П.ЗО г., пр. № 118, п. 5).</w:t>
      </w:r>
    </w:p>
    <w:p w14:paraId="25828025" w14:textId="77777777" w:rsidR="00E920AC" w:rsidRPr="00507A31" w:rsidRDefault="00E920AC" w:rsidP="00507A31">
      <w:pPr>
        <w:jc w:val="both"/>
        <w:rPr>
          <w:color w:val="0070C0"/>
          <w:sz w:val="16"/>
          <w:szCs w:val="16"/>
        </w:rPr>
      </w:pPr>
      <w:r w:rsidRPr="00507A31">
        <w:rPr>
          <w:color w:val="0070C0"/>
          <w:sz w:val="16"/>
          <w:szCs w:val="16"/>
        </w:rPr>
        <w:t>(т.т. Шверник, Ворошилов, Прокофьев, Постников, Нейман).</w:t>
      </w:r>
    </w:p>
    <w:p w14:paraId="1A7ACE81" w14:textId="77777777" w:rsidR="00E920AC" w:rsidRPr="00507A31" w:rsidRDefault="00E920AC" w:rsidP="00507A31">
      <w:pPr>
        <w:jc w:val="both"/>
        <w:rPr>
          <w:color w:val="0070C0"/>
          <w:sz w:val="16"/>
          <w:szCs w:val="16"/>
        </w:rPr>
      </w:pPr>
      <w:r w:rsidRPr="00507A31">
        <w:rPr>
          <w:color w:val="0070C0"/>
          <w:sz w:val="16"/>
          <w:szCs w:val="16"/>
        </w:rPr>
        <w:t>а) Утвердить с поправками представленный комиссией проект резолюции о ходе ликвидации вредительства на предприятиях воен</w:t>
      </w:r>
      <w:r w:rsidRPr="00507A31">
        <w:rPr>
          <w:color w:val="0070C0"/>
          <w:sz w:val="16"/>
          <w:szCs w:val="16"/>
        </w:rPr>
        <w:softHyphen/>
        <w:t>ной промышленности (см. приложение №).</w:t>
      </w:r>
    </w:p>
    <w:p w14:paraId="7450F424" w14:textId="77777777" w:rsidR="00E920AC" w:rsidRPr="00507A31" w:rsidRDefault="00E920AC" w:rsidP="00507A31">
      <w:pPr>
        <w:jc w:val="both"/>
        <w:rPr>
          <w:color w:val="0070C0"/>
          <w:sz w:val="16"/>
          <w:szCs w:val="16"/>
        </w:rPr>
      </w:pPr>
      <w:r w:rsidRPr="00507A31">
        <w:rPr>
          <w:color w:val="0070C0"/>
          <w:sz w:val="16"/>
          <w:szCs w:val="16"/>
        </w:rPr>
        <w:t>ПРИЛОЖЕНИЕ к п. 4 (о.п.) пр. ПБ № 118</w:t>
      </w:r>
    </w:p>
    <w:p w14:paraId="60B2FBA4" w14:textId="77777777" w:rsidR="00E920AC" w:rsidRPr="00507A31" w:rsidRDefault="00E920AC" w:rsidP="00507A31">
      <w:pPr>
        <w:jc w:val="both"/>
        <w:rPr>
          <w:color w:val="0070C0"/>
          <w:sz w:val="16"/>
          <w:szCs w:val="16"/>
        </w:rPr>
      </w:pPr>
      <w:r w:rsidRPr="00507A31">
        <w:rPr>
          <w:color w:val="0070C0"/>
          <w:sz w:val="16"/>
          <w:szCs w:val="16"/>
        </w:rPr>
        <w:t>О ХОДЕ ЛИКВИДАЦИИ ВРЕДИТЕЛЬСТВА В ВОЕННОЙ ПРОМЫШЛЕННОСТИ.</w:t>
      </w:r>
    </w:p>
    <w:p w14:paraId="4D6CB871" w14:textId="77777777" w:rsidR="00E920AC" w:rsidRPr="00507A31" w:rsidRDefault="00E920AC" w:rsidP="00507A31">
      <w:pPr>
        <w:jc w:val="both"/>
        <w:rPr>
          <w:color w:val="0070C0"/>
          <w:sz w:val="16"/>
          <w:szCs w:val="16"/>
        </w:rPr>
      </w:pPr>
      <w:r w:rsidRPr="00507A31">
        <w:rPr>
          <w:color w:val="0070C0"/>
          <w:sz w:val="16"/>
          <w:szCs w:val="16"/>
        </w:rPr>
        <w:t>(Утверждено Политбюро ЦК ВКП (б) 25.П.30 г.).</w:t>
      </w:r>
    </w:p>
    <w:p w14:paraId="5EEC962C" w14:textId="77777777" w:rsidR="00E920AC" w:rsidRPr="00507A31" w:rsidRDefault="00E920AC" w:rsidP="00507A31">
      <w:pPr>
        <w:jc w:val="both"/>
        <w:rPr>
          <w:color w:val="0070C0"/>
          <w:sz w:val="16"/>
          <w:szCs w:val="16"/>
        </w:rPr>
      </w:pPr>
      <w:r w:rsidRPr="00507A31">
        <w:rPr>
          <w:color w:val="0070C0"/>
          <w:sz w:val="16"/>
          <w:szCs w:val="16"/>
        </w:rPr>
        <w:t>Заслушав доклад ОГПУ о ликвидации на предприятиях воен</w:t>
      </w:r>
      <w:r w:rsidRPr="00507A31">
        <w:rPr>
          <w:color w:val="0070C0"/>
          <w:sz w:val="16"/>
          <w:szCs w:val="16"/>
        </w:rPr>
        <w:softHyphen/>
        <w:t>ной промышленности последствий вредительства, ЦК ВКП(б) кон</w:t>
      </w:r>
      <w:r w:rsidRPr="00507A31">
        <w:rPr>
          <w:color w:val="0070C0"/>
          <w:sz w:val="16"/>
          <w:szCs w:val="16"/>
        </w:rPr>
        <w:softHyphen/>
        <w:t>статирует, что до настоящего времени всей военной промышлен</w:t>
      </w:r>
      <w:r w:rsidRPr="00507A31">
        <w:rPr>
          <w:color w:val="0070C0"/>
          <w:sz w:val="16"/>
          <w:szCs w:val="16"/>
        </w:rPr>
        <w:softHyphen/>
        <w:t>ностью не принято достаточных реальных мер по ликвидации этих последствий к до сих пор имеет место  выпуск военной про</w:t>
      </w:r>
      <w:r w:rsidRPr="00507A31">
        <w:rPr>
          <w:color w:val="0070C0"/>
          <w:sz w:val="16"/>
          <w:szCs w:val="16"/>
        </w:rPr>
        <w:softHyphen/>
        <w:t>дукции с пониженными боевыми качествами во всех военных произ</w:t>
      </w:r>
      <w:r w:rsidRPr="00507A31">
        <w:rPr>
          <w:color w:val="0070C0"/>
          <w:sz w:val="16"/>
          <w:szCs w:val="16"/>
        </w:rPr>
        <w:softHyphen/>
        <w:t>водствах.</w:t>
      </w:r>
    </w:p>
    <w:p w14:paraId="354A0EFF" w14:textId="77777777" w:rsidR="00E920AC" w:rsidRPr="00507A31" w:rsidRDefault="00E920AC" w:rsidP="00507A31">
      <w:pPr>
        <w:jc w:val="both"/>
        <w:rPr>
          <w:color w:val="0070C0"/>
          <w:sz w:val="16"/>
          <w:szCs w:val="16"/>
        </w:rPr>
      </w:pPr>
      <w:r w:rsidRPr="00507A31">
        <w:rPr>
          <w:color w:val="0070C0"/>
          <w:sz w:val="16"/>
          <w:szCs w:val="16"/>
        </w:rPr>
        <w:t>Создавшееся положение об'ясняется, главным образом тем, что у руководителей заводов, трестов, ГВПУ имеется-недооцевнка всей_глубины расстройства воённой промышленностй, получившегося в результате вредительства, и отсюда:</w:t>
      </w:r>
    </w:p>
    <w:p w14:paraId="752E0D86" w14:textId="77777777" w:rsidR="00E920AC" w:rsidRPr="00507A31" w:rsidRDefault="00E920AC" w:rsidP="00507A31">
      <w:pPr>
        <w:jc w:val="both"/>
        <w:rPr>
          <w:color w:val="0070C0"/>
          <w:sz w:val="16"/>
          <w:szCs w:val="16"/>
        </w:rPr>
      </w:pPr>
      <w:r w:rsidRPr="00507A31">
        <w:rPr>
          <w:color w:val="0070C0"/>
          <w:sz w:val="16"/>
          <w:szCs w:val="16"/>
        </w:rPr>
        <w:t>1. Несерьёзное отношение большинства руководящего состава военной промышленности к информационным документам ОГПУ -(об</w:t>
      </w:r>
      <w:r w:rsidRPr="00507A31">
        <w:rPr>
          <w:color w:val="0070C0"/>
          <w:sz w:val="16"/>
          <w:szCs w:val="16"/>
        </w:rPr>
        <w:softHyphen/>
        <w:t>винительное заключение по вредительству от августа 1929 г. и другие сообщения).</w:t>
      </w:r>
    </w:p>
    <w:p w14:paraId="02C9B310" w14:textId="77777777" w:rsidR="00E920AC" w:rsidRPr="00507A31" w:rsidRDefault="00E920AC" w:rsidP="00507A31">
      <w:pPr>
        <w:jc w:val="both"/>
        <w:rPr>
          <w:color w:val="0070C0"/>
          <w:sz w:val="16"/>
          <w:szCs w:val="16"/>
        </w:rPr>
      </w:pPr>
      <w:r w:rsidRPr="00507A31">
        <w:rPr>
          <w:color w:val="0070C0"/>
          <w:sz w:val="16"/>
          <w:szCs w:val="16"/>
        </w:rPr>
        <w:t>2. Большинство руководителей (директора и члены правле</w:t>
      </w:r>
      <w:r w:rsidRPr="00507A31">
        <w:rPr>
          <w:color w:val="0070C0"/>
          <w:sz w:val="16"/>
          <w:szCs w:val="16"/>
        </w:rPr>
        <w:softHyphen/>
        <w:t>ний трестов) военной промышленности не сделали из вышеуказан</w:t>
      </w:r>
      <w:r w:rsidRPr="00507A31">
        <w:rPr>
          <w:color w:val="0070C0"/>
          <w:sz w:val="16"/>
          <w:szCs w:val="16"/>
        </w:rPr>
        <w:softHyphen/>
        <w:t>ных документов практических выводов и не проработали конкрет</w:t>
      </w:r>
      <w:r w:rsidRPr="00507A31">
        <w:rPr>
          <w:color w:val="0070C0"/>
          <w:sz w:val="16"/>
          <w:szCs w:val="16"/>
        </w:rPr>
        <w:softHyphen/>
        <w:t>ных мероприятий:</w:t>
      </w:r>
    </w:p>
    <w:p w14:paraId="0EE71726" w14:textId="77777777" w:rsidR="00E920AC" w:rsidRPr="00507A31" w:rsidRDefault="00E920AC" w:rsidP="00507A31">
      <w:pPr>
        <w:jc w:val="both"/>
        <w:rPr>
          <w:color w:val="0070C0"/>
          <w:sz w:val="16"/>
          <w:szCs w:val="16"/>
        </w:rPr>
      </w:pPr>
      <w:r w:rsidRPr="00507A31">
        <w:rPr>
          <w:color w:val="0070C0"/>
          <w:sz w:val="16"/>
          <w:szCs w:val="16"/>
        </w:rPr>
        <w:t>а) не мобилизовали внимания рабочих и всего инженерно- технического персонала к восстановлению утерянных навыков точных работ;</w:t>
      </w:r>
    </w:p>
    <w:p w14:paraId="526FD855" w14:textId="77777777" w:rsidR="00E920AC" w:rsidRPr="00507A31" w:rsidRDefault="00E920AC" w:rsidP="00507A31">
      <w:pPr>
        <w:jc w:val="both"/>
        <w:rPr>
          <w:color w:val="0070C0"/>
          <w:sz w:val="16"/>
          <w:szCs w:val="16"/>
        </w:rPr>
      </w:pPr>
      <w:r w:rsidRPr="00507A31">
        <w:rPr>
          <w:color w:val="0070C0"/>
          <w:sz w:val="16"/>
          <w:szCs w:val="16"/>
        </w:rPr>
        <w:t>б) не приняли серьезных мер по оздоровлению в кратчай</w:t>
      </w:r>
      <w:r w:rsidRPr="00507A31">
        <w:rPr>
          <w:color w:val="0070C0"/>
          <w:sz w:val="16"/>
          <w:szCs w:val="16"/>
        </w:rPr>
        <w:softHyphen/>
        <w:t>ший срок лекального и инструментального дела, обеспечивающе</w:t>
      </w:r>
      <w:r w:rsidRPr="00507A31">
        <w:rPr>
          <w:color w:val="0070C0"/>
          <w:sz w:val="16"/>
          <w:szCs w:val="16"/>
        </w:rPr>
        <w:softHyphen/>
        <w:t>го требуемое качество продукции;</w:t>
      </w:r>
    </w:p>
    <w:p w14:paraId="27CB2952" w14:textId="77777777" w:rsidR="00E920AC" w:rsidRPr="00507A31" w:rsidRDefault="00E920AC" w:rsidP="00507A31">
      <w:pPr>
        <w:jc w:val="both"/>
        <w:rPr>
          <w:color w:val="0070C0"/>
          <w:sz w:val="16"/>
          <w:szCs w:val="16"/>
        </w:rPr>
      </w:pPr>
      <w:r w:rsidRPr="00507A31">
        <w:rPr>
          <w:color w:val="0070C0"/>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37FCEC9B" w14:textId="77777777" w:rsidR="00E920AC" w:rsidRPr="00507A31" w:rsidRDefault="00E920AC" w:rsidP="00507A31">
      <w:pPr>
        <w:jc w:val="both"/>
        <w:rPr>
          <w:color w:val="0070C0"/>
          <w:sz w:val="16"/>
          <w:szCs w:val="16"/>
        </w:rPr>
      </w:pPr>
      <w:r w:rsidRPr="00507A31">
        <w:rPr>
          <w:color w:val="0070C0"/>
          <w:sz w:val="16"/>
          <w:szCs w:val="16"/>
        </w:rPr>
        <w:lastRenderedPageBreak/>
        <w:t>г) не улучшили сколько ни будь заметно наблюдение и конт</w:t>
      </w:r>
      <w:r w:rsidRPr="00507A31">
        <w:rPr>
          <w:color w:val="0070C0"/>
          <w:sz w:val="16"/>
          <w:szCs w:val="16"/>
        </w:rPr>
        <w:softHyphen/>
        <w:t>роль за производством и качеством продукции, в особенности в части изготовления высококачественных сталей.</w:t>
      </w:r>
    </w:p>
    <w:p w14:paraId="7D0DCA86" w14:textId="77777777" w:rsidR="00E920AC" w:rsidRPr="00507A31" w:rsidRDefault="00E920AC" w:rsidP="00507A31">
      <w:pPr>
        <w:jc w:val="both"/>
        <w:rPr>
          <w:color w:val="0070C0"/>
          <w:sz w:val="16"/>
          <w:szCs w:val="16"/>
        </w:rPr>
      </w:pPr>
      <w:r w:rsidRPr="00507A31">
        <w:rPr>
          <w:color w:val="0070C0"/>
          <w:sz w:val="16"/>
          <w:szCs w:val="16"/>
        </w:rPr>
        <w:t>3. По прежнему не привлечен к организации и рационали</w:t>
      </w:r>
      <w:r w:rsidRPr="00507A31">
        <w:rPr>
          <w:color w:val="0070C0"/>
          <w:sz w:val="16"/>
          <w:szCs w:val="16"/>
        </w:rPr>
        <w:softHyphen/>
        <w:t>зации производства беспартийный и коммунистический рабочий актив, благодаря чему остались не 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хозяйственный органов, так и низовых профессиональных и партийных организации.</w:t>
      </w:r>
    </w:p>
    <w:p w14:paraId="151F7D2E" w14:textId="77777777" w:rsidR="00E920AC" w:rsidRPr="00507A31" w:rsidRDefault="00E920AC" w:rsidP="00507A31">
      <w:pPr>
        <w:jc w:val="both"/>
        <w:rPr>
          <w:color w:val="0070C0"/>
          <w:sz w:val="16"/>
          <w:szCs w:val="16"/>
        </w:rPr>
      </w:pPr>
      <w:r w:rsidRPr="00507A31">
        <w:rPr>
          <w:color w:val="0070C0"/>
          <w:sz w:val="16"/>
          <w:szCs w:val="16"/>
        </w:rPr>
        <w:t>4. Наблюдаются случаи активного и пассивного сопротивле</w:t>
      </w:r>
      <w:r w:rsidRPr="00507A31">
        <w:rPr>
          <w:color w:val="0070C0"/>
          <w:sz w:val="16"/>
          <w:szCs w:val="16"/>
        </w:rPr>
        <w:softHyphen/>
        <w:t>ния директоров заводов мероприятиям ОГПУ по ликвидации по</w:t>
      </w:r>
      <w:r w:rsidRPr="00507A31">
        <w:rPr>
          <w:color w:val="0070C0"/>
          <w:sz w:val="16"/>
          <w:szCs w:val="16"/>
        </w:rPr>
        <w:softHyphen/>
        <w:t>следствий вредительстве.</w:t>
      </w:r>
    </w:p>
    <w:p w14:paraId="741202FB" w14:textId="77777777" w:rsidR="00E920AC" w:rsidRPr="00507A31" w:rsidRDefault="00E920AC" w:rsidP="00507A31">
      <w:pPr>
        <w:jc w:val="both"/>
        <w:rPr>
          <w:color w:val="0070C0"/>
          <w:sz w:val="16"/>
          <w:szCs w:val="16"/>
        </w:rPr>
      </w:pPr>
      <w:r w:rsidRPr="00507A31">
        <w:rPr>
          <w:color w:val="0070C0"/>
          <w:sz w:val="16"/>
          <w:szCs w:val="16"/>
        </w:rPr>
        <w:t>П</w:t>
      </w:r>
    </w:p>
    <w:p w14:paraId="72095D01" w14:textId="77777777" w:rsidR="00E920AC" w:rsidRPr="00507A31" w:rsidRDefault="00E920AC" w:rsidP="00507A31">
      <w:pPr>
        <w:jc w:val="both"/>
        <w:rPr>
          <w:color w:val="0070C0"/>
          <w:sz w:val="16"/>
          <w:szCs w:val="16"/>
        </w:rPr>
      </w:pPr>
      <w:r w:rsidRPr="00507A31">
        <w:rPr>
          <w:color w:val="0070C0"/>
          <w:sz w:val="16"/>
          <w:szCs w:val="16"/>
        </w:rPr>
        <w:t>Вредительство не только подрывало базу снабжения Красной Армии, но и наносило непосредственный ущерб совершенствова</w:t>
      </w:r>
      <w:r w:rsidRPr="00507A31">
        <w:rPr>
          <w:color w:val="0070C0"/>
          <w:sz w:val="16"/>
          <w:szCs w:val="16"/>
        </w:rPr>
        <w:softHyphen/>
        <w:t>нию военной техники, тормозило перевооружение и ухудшало качество военных запасов. Необходимы героические усилия для того, чтобы наверстать упущенное. Этого не осознали_ некото</w:t>
      </w:r>
      <w:r w:rsidRPr="00507A31">
        <w:rPr>
          <w:color w:val="0070C0"/>
          <w:sz w:val="16"/>
          <w:szCs w:val="16"/>
        </w:rPr>
        <w:softHyphen/>
        <w:t>рые руководители хазяйственных органов военной промышленности и отсюда:</w:t>
      </w:r>
    </w:p>
    <w:p w14:paraId="6C41D916" w14:textId="77777777" w:rsidR="00E920AC" w:rsidRPr="00507A31" w:rsidRDefault="00E920AC" w:rsidP="00507A31">
      <w:pPr>
        <w:jc w:val="both"/>
        <w:rPr>
          <w:color w:val="0070C0"/>
          <w:sz w:val="16"/>
          <w:szCs w:val="16"/>
        </w:rPr>
      </w:pPr>
      <w:r w:rsidRPr="00507A31">
        <w:rPr>
          <w:color w:val="0070C0"/>
          <w:sz w:val="16"/>
          <w:szCs w:val="16"/>
        </w:rPr>
        <w:t>1. Крупные недоделы военной продукции по 1-му кварталу 29/30 г. почти по всем трестам.</w:t>
      </w:r>
    </w:p>
    <w:p w14:paraId="35320639" w14:textId="77777777" w:rsidR="00E920AC" w:rsidRPr="00507A31" w:rsidRDefault="00E920AC" w:rsidP="00507A31">
      <w:pPr>
        <w:jc w:val="both"/>
        <w:rPr>
          <w:color w:val="0070C0"/>
          <w:sz w:val="16"/>
          <w:szCs w:val="16"/>
        </w:rPr>
      </w:pPr>
      <w:r w:rsidRPr="00507A31">
        <w:rPr>
          <w:color w:val="0070C0"/>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5B257B78" w14:textId="77777777" w:rsidR="00E920AC" w:rsidRPr="00507A31" w:rsidRDefault="00E920AC" w:rsidP="00507A31">
      <w:pPr>
        <w:jc w:val="both"/>
        <w:rPr>
          <w:color w:val="0070C0"/>
          <w:sz w:val="16"/>
          <w:szCs w:val="16"/>
        </w:rPr>
      </w:pPr>
      <w:r w:rsidRPr="00507A31">
        <w:rPr>
          <w:color w:val="0070C0"/>
          <w:sz w:val="16"/>
          <w:szCs w:val="16"/>
        </w:rPr>
        <w:t>3. Отсутствие заметных улучшений в технологических про</w:t>
      </w:r>
      <w:r w:rsidRPr="00507A31">
        <w:rPr>
          <w:color w:val="0070C0"/>
          <w:sz w:val="16"/>
          <w:szCs w:val="16"/>
        </w:rPr>
        <w:softHyphen/>
        <w:t>цессах, что при прежнем расстройстве чертежного, лекального к инструментального дела и низших технических условиях при</w:t>
      </w:r>
      <w:r w:rsidRPr="00507A31">
        <w:rPr>
          <w:color w:val="0070C0"/>
          <w:sz w:val="16"/>
          <w:szCs w:val="16"/>
        </w:rPr>
        <w:softHyphen/>
        <w:t>водит к дальнейшей дезорганизации военного производства.</w:t>
      </w:r>
    </w:p>
    <w:p w14:paraId="47FE7E5D" w14:textId="77777777" w:rsidR="00E920AC" w:rsidRPr="00507A31" w:rsidRDefault="00E920AC" w:rsidP="00507A31">
      <w:pPr>
        <w:jc w:val="both"/>
        <w:rPr>
          <w:color w:val="0070C0"/>
          <w:sz w:val="16"/>
          <w:szCs w:val="16"/>
        </w:rPr>
      </w:pPr>
      <w:r w:rsidRPr="00507A31">
        <w:rPr>
          <w:color w:val="0070C0"/>
          <w:sz w:val="16"/>
          <w:szCs w:val="16"/>
        </w:rPr>
        <w:t>Все это свидетельствует, что в основном решения полит</w:t>
      </w:r>
      <w:r w:rsidRPr="00507A31">
        <w:rPr>
          <w:color w:val="0070C0"/>
          <w:sz w:val="16"/>
          <w:szCs w:val="16"/>
        </w:rPr>
        <w:softHyphen/>
        <w:t>бюро от 15.УП.29_г. не выполнено, темп, взятый. нa оздоровле</w:t>
      </w:r>
      <w:r w:rsidRPr="00507A31">
        <w:rPr>
          <w:color w:val="0070C0"/>
          <w:sz w:val="16"/>
          <w:szCs w:val="16"/>
        </w:rPr>
        <w:softHyphen/>
        <w:t>ние и восстановление различных производств военной_промышленности оказался совершенно не удовлетворительным и последняя по-прежнему не сумела подготовиться к выполнению возложенных на нее задач по обороне страны.</w:t>
      </w:r>
    </w:p>
    <w:p w14:paraId="0942927A" w14:textId="77777777" w:rsidR="00E920AC" w:rsidRPr="00507A31" w:rsidRDefault="00E920AC" w:rsidP="00507A31">
      <w:pPr>
        <w:jc w:val="both"/>
        <w:rPr>
          <w:color w:val="0070C0"/>
          <w:sz w:val="16"/>
          <w:szCs w:val="16"/>
        </w:rPr>
      </w:pPr>
      <w:r w:rsidRPr="00507A31">
        <w:rPr>
          <w:color w:val="0070C0"/>
          <w:sz w:val="16"/>
          <w:szCs w:val="16"/>
        </w:rPr>
        <w:t>Все это обязывает директоров заводов, руководителей_ трестов, ГВПУ и ВСНХ мобилизовать все возможные силы и средства для ликвидации в кратчайший сроk последствий_вредительства- по производству военной продукции.</w:t>
      </w:r>
    </w:p>
    <w:p w14:paraId="59F9F9E2" w14:textId="77777777" w:rsidR="00E920AC" w:rsidRPr="00507A31" w:rsidRDefault="00E920AC" w:rsidP="00507A31">
      <w:pPr>
        <w:jc w:val="both"/>
        <w:rPr>
          <w:color w:val="0070C0"/>
          <w:sz w:val="16"/>
          <w:szCs w:val="16"/>
        </w:rPr>
      </w:pPr>
      <w:r w:rsidRPr="00507A31">
        <w:rPr>
          <w:color w:val="0070C0"/>
          <w:sz w:val="16"/>
          <w:szCs w:val="16"/>
        </w:rPr>
        <w:t>Ш.</w:t>
      </w:r>
    </w:p>
    <w:p w14:paraId="65F42958" w14:textId="77777777" w:rsidR="00E920AC" w:rsidRPr="00507A31" w:rsidRDefault="00E920AC" w:rsidP="00507A31">
      <w:pPr>
        <w:jc w:val="both"/>
        <w:rPr>
          <w:color w:val="0070C0"/>
          <w:sz w:val="16"/>
          <w:szCs w:val="16"/>
        </w:rPr>
      </w:pPr>
      <w:r w:rsidRPr="00507A31">
        <w:rPr>
          <w:color w:val="0070C0"/>
          <w:sz w:val="16"/>
          <w:szCs w:val="16"/>
        </w:rPr>
        <w:t>В целях быстрейшей ликвидации последствий вредительства и решительного улучшения постановки дела в военной промышлен</w:t>
      </w:r>
      <w:r w:rsidRPr="00507A31">
        <w:rPr>
          <w:color w:val="0070C0"/>
          <w:sz w:val="16"/>
          <w:szCs w:val="16"/>
        </w:rPr>
        <w:softHyphen/>
        <w:t>ности:</w:t>
      </w:r>
    </w:p>
    <w:p w14:paraId="62E2F16E" w14:textId="77777777" w:rsidR="00E920AC" w:rsidRPr="00507A31" w:rsidRDefault="00E920AC" w:rsidP="00507A31">
      <w:pPr>
        <w:jc w:val="both"/>
        <w:rPr>
          <w:color w:val="0070C0"/>
          <w:sz w:val="16"/>
          <w:szCs w:val="16"/>
        </w:rPr>
      </w:pPr>
      <w:r w:rsidRPr="00507A31">
        <w:rPr>
          <w:color w:val="0070C0"/>
          <w:sz w:val="16"/>
          <w:szCs w:val="16"/>
        </w:rPr>
        <w:t>1. Создать при трестах комиссии из хозяйственников, пред</w:t>
      </w:r>
      <w:r w:rsidRPr="00507A31">
        <w:rPr>
          <w:color w:val="0070C0"/>
          <w:sz w:val="16"/>
          <w:szCs w:val="16"/>
        </w:rPr>
        <w:softHyphen/>
        <w:t>ставителей ОГПУ, НКВС, ЦК соответствующего союза, которым раз</w:t>
      </w:r>
      <w:r w:rsidRPr="00507A31">
        <w:rPr>
          <w:color w:val="0070C0"/>
          <w:sz w:val="16"/>
          <w:szCs w:val="16"/>
        </w:rPr>
        <w:softHyphen/>
        <w:t>работать на основе имеющегося материала ОГПУ, конкретные задачи для каждого производства (трубка, патрон, пулемет и т.д.), с установлением точных кратчайших сроков их выпол</w:t>
      </w:r>
      <w:r w:rsidRPr="00507A31">
        <w:rPr>
          <w:color w:val="0070C0"/>
          <w:sz w:val="16"/>
          <w:szCs w:val="16"/>
        </w:rPr>
        <w:softHyphen/>
        <w:t>нения, привлекая к работе по ликвидации вредительства и рас</w:t>
      </w:r>
      <w:r w:rsidRPr="00507A31">
        <w:rPr>
          <w:color w:val="0070C0"/>
          <w:sz w:val="16"/>
          <w:szCs w:val="16"/>
        </w:rPr>
        <w:softHyphen/>
        <w:t>каявшихся вредителей.</w:t>
      </w:r>
    </w:p>
    <w:p w14:paraId="3754E858" w14:textId="77777777" w:rsidR="00E920AC" w:rsidRPr="00507A31" w:rsidRDefault="00E920AC" w:rsidP="00507A31">
      <w:pPr>
        <w:jc w:val="both"/>
        <w:rPr>
          <w:color w:val="0070C0"/>
          <w:sz w:val="16"/>
          <w:szCs w:val="16"/>
        </w:rPr>
      </w:pPr>
      <w:r w:rsidRPr="00507A31">
        <w:rPr>
          <w:color w:val="0070C0"/>
          <w:sz w:val="16"/>
          <w:szCs w:val="16"/>
        </w:rPr>
        <w:t>ГВПУ и ОГПУ развернуть работу этих комиссий немедленно.</w:t>
      </w:r>
    </w:p>
    <w:p w14:paraId="4F625A93" w14:textId="77777777" w:rsidR="00E920AC" w:rsidRPr="00507A31" w:rsidRDefault="00E920AC" w:rsidP="00507A31">
      <w:pPr>
        <w:jc w:val="both"/>
        <w:rPr>
          <w:color w:val="0070C0"/>
          <w:sz w:val="16"/>
          <w:szCs w:val="16"/>
        </w:rPr>
      </w:pPr>
      <w:r w:rsidRPr="00507A31">
        <w:rPr>
          <w:color w:val="0070C0"/>
          <w:sz w:val="16"/>
          <w:szCs w:val="16"/>
        </w:rPr>
        <w:t>2. Привлечь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 716).</w:t>
      </w:r>
    </w:p>
    <w:p w14:paraId="0B3994BE" w14:textId="77777777" w:rsidR="00E920AC" w:rsidRPr="00507A31" w:rsidRDefault="00E920AC" w:rsidP="00507A31">
      <w:pPr>
        <w:jc w:val="both"/>
        <w:rPr>
          <w:color w:val="0070C0"/>
          <w:sz w:val="16"/>
          <w:szCs w:val="16"/>
        </w:rPr>
      </w:pPr>
      <w:r w:rsidRPr="00507A31">
        <w:rPr>
          <w:color w:val="0070C0"/>
          <w:sz w:val="16"/>
          <w:szCs w:val="16"/>
        </w:rPr>
        <w:t>3. Всему хозяйственному составу (в особенности по ОАТ и по БХТ) усилить бдительность в дальнейшем вскрытии вредитель</w:t>
      </w:r>
      <w:r w:rsidRPr="00507A31">
        <w:rPr>
          <w:color w:val="0070C0"/>
          <w:sz w:val="16"/>
          <w:szCs w:val="16"/>
        </w:rPr>
        <w:softHyphen/>
        <w:t>ских актов.</w:t>
      </w:r>
    </w:p>
    <w:p w14:paraId="3B0C009C" w14:textId="77777777" w:rsidR="00E920AC" w:rsidRPr="00507A31" w:rsidRDefault="00E920AC" w:rsidP="00507A31">
      <w:pPr>
        <w:jc w:val="both"/>
        <w:rPr>
          <w:color w:val="0070C0"/>
          <w:sz w:val="16"/>
          <w:szCs w:val="16"/>
        </w:rPr>
      </w:pPr>
      <w:r w:rsidRPr="00507A31">
        <w:rPr>
          <w:color w:val="0070C0"/>
          <w:sz w:val="16"/>
          <w:szCs w:val="16"/>
        </w:rPr>
        <w:t>4. Обвинительное заключение ОГПУ о вредительстве (от августа 1229г.) и дополнительные материалы по этому вопросу разослать всем окружным партийным комитетам, на территории коих расположены военные заводы.</w:t>
      </w:r>
    </w:p>
    <w:p w14:paraId="5680345E" w14:textId="77777777" w:rsidR="00E920AC" w:rsidRPr="00507A31" w:rsidRDefault="00E920AC" w:rsidP="00507A31">
      <w:pPr>
        <w:jc w:val="both"/>
        <w:rPr>
          <w:color w:val="0070C0"/>
          <w:sz w:val="16"/>
          <w:szCs w:val="16"/>
        </w:rPr>
      </w:pPr>
      <w:r w:rsidRPr="00507A31">
        <w:rPr>
          <w:color w:val="0070C0"/>
          <w:sz w:val="16"/>
          <w:szCs w:val="16"/>
        </w:rPr>
        <w:t>Возложить на указанные окружкомы и ЦК. металлистов и хи</w:t>
      </w:r>
      <w:r w:rsidRPr="00507A31">
        <w:rPr>
          <w:color w:val="0070C0"/>
          <w:sz w:val="16"/>
          <w:szCs w:val="16"/>
        </w:rPr>
        <w:softHyphen/>
        <w:t>миков ответственность за своевременную мобилизацию партий</w:t>
      </w:r>
      <w:r w:rsidRPr="00507A31">
        <w:rPr>
          <w:color w:val="0070C0"/>
          <w:sz w:val="16"/>
          <w:szCs w:val="16"/>
        </w:rPr>
        <w:softHyphen/>
        <w:t>ной и профессиональной общественности на ликвидацию послед</w:t>
      </w:r>
      <w:r w:rsidRPr="00507A31">
        <w:rPr>
          <w:color w:val="0070C0"/>
          <w:sz w:val="16"/>
          <w:szCs w:val="16"/>
        </w:rPr>
        <w:softHyphen/>
        <w:t>ствий вредительства.</w:t>
      </w:r>
    </w:p>
    <w:p w14:paraId="0F65CFDF" w14:textId="77777777" w:rsidR="00E920AC" w:rsidRPr="00507A31" w:rsidRDefault="00E920AC" w:rsidP="00507A31">
      <w:pPr>
        <w:jc w:val="both"/>
        <w:rPr>
          <w:color w:val="0070C0"/>
          <w:sz w:val="16"/>
          <w:szCs w:val="16"/>
        </w:rPr>
      </w:pPr>
      <w:r w:rsidRPr="00507A31">
        <w:rPr>
          <w:color w:val="0070C0"/>
          <w:sz w:val="16"/>
          <w:szCs w:val="16"/>
        </w:rPr>
        <w:t>5. Разъяснить всем руководителям хозяйственных органов военной промышленности (директорам заводов, председателям трестов и т.д.), что они отвечают не только за общее адми</w:t>
      </w:r>
      <w:r w:rsidRPr="00507A31">
        <w:rPr>
          <w:color w:val="0070C0"/>
          <w:sz w:val="16"/>
          <w:szCs w:val="16"/>
        </w:rPr>
        <w:softHyphen/>
        <w:t>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4FE449B2" w14:textId="77777777" w:rsidR="00E920AC" w:rsidRPr="00507A31" w:rsidRDefault="00E920AC" w:rsidP="00507A31">
      <w:pPr>
        <w:jc w:val="both"/>
        <w:rPr>
          <w:color w:val="0070C0"/>
          <w:sz w:val="16"/>
          <w:szCs w:val="16"/>
        </w:rPr>
      </w:pPr>
      <w:r w:rsidRPr="00507A31">
        <w:rPr>
          <w:color w:val="0070C0"/>
          <w:sz w:val="16"/>
          <w:szCs w:val="16"/>
        </w:rPr>
        <w:t>В связи с этим хозяйственники обязаны поднять свою ква</w:t>
      </w:r>
      <w:r w:rsidRPr="00507A31">
        <w:rPr>
          <w:color w:val="0070C0"/>
          <w:sz w:val="16"/>
          <w:szCs w:val="16"/>
        </w:rPr>
        <w:softHyphen/>
        <w:t>лификацию и техническую грамотность. ВСНХ и ГВПУ должны им в этом помочь денежными средствами, временным полным осво</w:t>
      </w:r>
      <w:r w:rsidRPr="00507A31">
        <w:rPr>
          <w:color w:val="0070C0"/>
          <w:sz w:val="16"/>
          <w:szCs w:val="16"/>
        </w:rPr>
        <w:softHyphen/>
        <w:t>бождением для учебы и временным освобождением от всякой об</w:t>
      </w:r>
      <w:r w:rsidRPr="00507A31">
        <w:rPr>
          <w:color w:val="0070C0"/>
          <w:sz w:val="16"/>
          <w:szCs w:val="16"/>
        </w:rPr>
        <w:softHyphen/>
        <w:t>щественной нагрузки. В декадный срок составить календарный план такого освобождения всех руководящих работников военной промышленности.</w:t>
      </w:r>
    </w:p>
    <w:p w14:paraId="03EC0789" w14:textId="77777777" w:rsidR="00E920AC" w:rsidRPr="00507A31" w:rsidRDefault="00E920AC" w:rsidP="00507A31">
      <w:pPr>
        <w:jc w:val="both"/>
        <w:rPr>
          <w:color w:val="0070C0"/>
          <w:sz w:val="16"/>
          <w:szCs w:val="16"/>
        </w:rPr>
      </w:pPr>
      <w:r w:rsidRPr="00507A31">
        <w:rPr>
          <w:color w:val="0070C0"/>
          <w:sz w:val="16"/>
          <w:szCs w:val="16"/>
        </w:rPr>
        <w:t>6. Председатели и члены правления трестов и ГВПУ должны перейти от бюрократическо-кабинетной работы к живому руковод</w:t>
      </w:r>
      <w:r w:rsidRPr="00507A31">
        <w:rPr>
          <w:color w:val="0070C0"/>
          <w:sz w:val="16"/>
          <w:szCs w:val="16"/>
        </w:rPr>
        <w:softHyphen/>
        <w:t>ству и инструктированию предприятии, осуществляя его непосред</w:t>
      </w:r>
      <w:r w:rsidRPr="00507A31">
        <w:rPr>
          <w:color w:val="0070C0"/>
          <w:sz w:val="16"/>
          <w:szCs w:val="16"/>
        </w:rPr>
        <w:softHyphen/>
        <w:t>ственными длительными (месяца на 2-3) выездами на таковые. При правильной организации этих выездов (очередность и систе</w:t>
      </w:r>
      <w:r w:rsidRPr="00507A31">
        <w:rPr>
          <w:color w:val="0070C0"/>
          <w:sz w:val="16"/>
          <w:szCs w:val="16"/>
        </w:rPr>
        <w:softHyphen/>
        <w:t>матичность) будет обеспечено не только улучшение руководства, ко и повышение квалификации самих хозяйственников.</w:t>
      </w:r>
    </w:p>
    <w:p w14:paraId="10E9CC65" w14:textId="77777777" w:rsidR="00E920AC" w:rsidRPr="00507A31" w:rsidRDefault="00E920AC" w:rsidP="00507A31">
      <w:pPr>
        <w:jc w:val="both"/>
        <w:rPr>
          <w:color w:val="0070C0"/>
          <w:sz w:val="16"/>
          <w:szCs w:val="16"/>
        </w:rPr>
      </w:pPr>
      <w:r w:rsidRPr="00507A31">
        <w:rPr>
          <w:color w:val="0070C0"/>
          <w:sz w:val="16"/>
          <w:szCs w:val="16"/>
        </w:rPr>
        <w:t>7. Предложить ВСНХ издать приказ о переходе в об’единениях и трестах военной промышленности от коллегиального к единоличному управлению.</w:t>
      </w:r>
    </w:p>
    <w:p w14:paraId="7452E5F3" w14:textId="77777777" w:rsidR="00E920AC" w:rsidRPr="00507A31" w:rsidRDefault="00E920AC" w:rsidP="00507A31">
      <w:pPr>
        <w:jc w:val="both"/>
        <w:rPr>
          <w:color w:val="0070C0"/>
          <w:sz w:val="16"/>
          <w:szCs w:val="16"/>
        </w:rPr>
      </w:pPr>
      <w:r w:rsidRPr="00507A31">
        <w:rPr>
          <w:color w:val="0070C0"/>
          <w:sz w:val="16"/>
          <w:szCs w:val="16"/>
        </w:rPr>
        <w:t>8. Предложить ВСНХ СССР для проверки хода ликвидации последствий вредительства и выполнения промфинпланов и моб- планов периодически созывать совещания директоров военных заводов и правлений военных трестов.</w:t>
      </w:r>
    </w:p>
    <w:p w14:paraId="2B4CA260" w14:textId="77777777" w:rsidR="00E920AC" w:rsidRPr="00507A31" w:rsidRDefault="00E920AC" w:rsidP="00507A31">
      <w:pPr>
        <w:jc w:val="both"/>
        <w:rPr>
          <w:color w:val="0070C0"/>
          <w:sz w:val="16"/>
          <w:szCs w:val="16"/>
        </w:rPr>
      </w:pPr>
      <w:r w:rsidRPr="00507A31">
        <w:rPr>
          <w:color w:val="0070C0"/>
          <w:sz w:val="16"/>
          <w:szCs w:val="16"/>
        </w:rPr>
        <w:t>9. Для оздоровления инструментального и лекального дела:</w:t>
      </w:r>
    </w:p>
    <w:p w14:paraId="35FE0389" w14:textId="77777777" w:rsidR="00E920AC" w:rsidRPr="00507A31" w:rsidRDefault="00E920AC" w:rsidP="00507A31">
      <w:pPr>
        <w:jc w:val="both"/>
        <w:rPr>
          <w:color w:val="0070C0"/>
          <w:sz w:val="16"/>
          <w:szCs w:val="16"/>
        </w:rPr>
      </w:pPr>
      <w:r w:rsidRPr="00507A31">
        <w:rPr>
          <w:color w:val="0070C0"/>
          <w:sz w:val="16"/>
          <w:szCs w:val="16"/>
        </w:rPr>
        <w:t>а) организовать на всех заводах военной промышленности генеральную_проверку чертежей, эталонов, шаблонов, _лекал_и рабочего инструментами и йзъять_все негодное.</w:t>
      </w:r>
    </w:p>
    <w:p w14:paraId="6CDA5D42" w14:textId="77777777" w:rsidR="00E920AC" w:rsidRPr="00507A31" w:rsidRDefault="00E920AC" w:rsidP="00507A31">
      <w:pPr>
        <w:jc w:val="both"/>
        <w:rPr>
          <w:color w:val="0070C0"/>
          <w:sz w:val="16"/>
          <w:szCs w:val="16"/>
        </w:rPr>
      </w:pPr>
      <w:r w:rsidRPr="00507A31">
        <w:rPr>
          <w:color w:val="0070C0"/>
          <w:sz w:val="16"/>
          <w:szCs w:val="16"/>
        </w:rPr>
        <w:t>б) ВСНХ и НКВМ в месячный срок разработать систему мероприятий периодической проверки указанного инструмента со сто</w:t>
      </w:r>
      <w:r w:rsidRPr="00507A31">
        <w:rPr>
          <w:color w:val="0070C0"/>
          <w:sz w:val="16"/>
          <w:szCs w:val="16"/>
        </w:rPr>
        <w:softHyphen/>
        <w:t>роны дирекции заводов, военных приемщиков и вышестоящих органов.</w:t>
      </w:r>
    </w:p>
    <w:p w14:paraId="1038998D" w14:textId="77777777" w:rsidR="00E920AC" w:rsidRPr="00507A31" w:rsidRDefault="00E920AC" w:rsidP="00507A31">
      <w:pPr>
        <w:jc w:val="both"/>
        <w:rPr>
          <w:color w:val="0070C0"/>
          <w:sz w:val="16"/>
          <w:szCs w:val="16"/>
        </w:rPr>
      </w:pPr>
      <w:r w:rsidRPr="00507A31">
        <w:rPr>
          <w:color w:val="0070C0"/>
          <w:sz w:val="16"/>
          <w:szCs w:val="16"/>
        </w:rPr>
        <w:t>в) HКBМ ускорить пересмотр всех чертежей, закончив его по основным, изделиям в 2 -х месячный срок.</w:t>
      </w:r>
    </w:p>
    <w:p w14:paraId="66677157" w14:textId="77777777" w:rsidR="00E920AC" w:rsidRPr="00507A31" w:rsidRDefault="00E920AC" w:rsidP="00507A31">
      <w:pPr>
        <w:jc w:val="both"/>
        <w:rPr>
          <w:color w:val="0070C0"/>
          <w:sz w:val="16"/>
          <w:szCs w:val="16"/>
        </w:rPr>
      </w:pPr>
      <w:r w:rsidRPr="00507A31">
        <w:rPr>
          <w:color w:val="0070C0"/>
          <w:sz w:val="16"/>
          <w:szCs w:val="16"/>
        </w:rPr>
        <w:t>г) ВСНХ наладить использование в полной мере инструмен</w:t>
      </w:r>
      <w:r w:rsidRPr="00507A31">
        <w:rPr>
          <w:color w:val="0070C0"/>
          <w:sz w:val="16"/>
          <w:szCs w:val="16"/>
        </w:rPr>
        <w:softHyphen/>
        <w:t>тальных отделов цехов, военных заводов, организовать в 30/31 г специальные инструментальные заводы для военной про</w:t>
      </w:r>
      <w:r w:rsidRPr="00507A31">
        <w:rPr>
          <w:color w:val="0070C0"/>
          <w:sz w:val="16"/>
          <w:szCs w:val="16"/>
        </w:rPr>
        <w:softHyphen/>
        <w:t>мышленности, дабы улучшить-качество лекал и инструмента, используя новейшие достижения техники.</w:t>
      </w:r>
    </w:p>
    <w:p w14:paraId="2973FC82" w14:textId="77777777" w:rsidR="00E920AC" w:rsidRPr="00507A31" w:rsidRDefault="00E920AC" w:rsidP="00507A31">
      <w:pPr>
        <w:jc w:val="both"/>
        <w:rPr>
          <w:color w:val="0070C0"/>
          <w:sz w:val="16"/>
          <w:szCs w:val="16"/>
        </w:rPr>
      </w:pPr>
      <w:r w:rsidRPr="00507A31">
        <w:rPr>
          <w:color w:val="0070C0"/>
          <w:sz w:val="16"/>
          <w:szCs w:val="16"/>
        </w:rPr>
        <w:t>д) НКТоргу и ВСНХ еще в 29/30 г. обеспечить все инстру</w:t>
      </w:r>
      <w:r w:rsidRPr="00507A31">
        <w:rPr>
          <w:color w:val="0070C0"/>
          <w:sz w:val="16"/>
          <w:szCs w:val="16"/>
        </w:rPr>
        <w:softHyphen/>
        <w:t>ментальные отделы заводов нужным количеством инструменталь</w:t>
      </w:r>
      <w:r w:rsidRPr="00507A31">
        <w:rPr>
          <w:color w:val="0070C0"/>
          <w:sz w:val="16"/>
          <w:szCs w:val="16"/>
        </w:rPr>
        <w:softHyphen/>
        <w:t>ной стали и в первую очередь завести все импортное оборудо</w:t>
      </w:r>
      <w:r w:rsidRPr="00507A31">
        <w:rPr>
          <w:color w:val="0070C0"/>
          <w:sz w:val="16"/>
          <w:szCs w:val="16"/>
        </w:rPr>
        <w:softHyphen/>
        <w:t>вание для указанных цехов.</w:t>
      </w:r>
    </w:p>
    <w:p w14:paraId="61AAE243" w14:textId="77777777" w:rsidR="00E920AC" w:rsidRPr="00507A31" w:rsidRDefault="00E920AC" w:rsidP="00507A31">
      <w:pPr>
        <w:jc w:val="both"/>
        <w:rPr>
          <w:color w:val="0070C0"/>
          <w:sz w:val="16"/>
          <w:szCs w:val="16"/>
        </w:rPr>
      </w:pPr>
      <w:r w:rsidRPr="00507A31">
        <w:rPr>
          <w:color w:val="0070C0"/>
          <w:sz w:val="16"/>
          <w:szCs w:val="16"/>
        </w:rPr>
        <w:t>е) В целях наилучшего использования незначительных кад</w:t>
      </w:r>
      <w:r w:rsidRPr="00507A31">
        <w:rPr>
          <w:color w:val="0070C0"/>
          <w:sz w:val="16"/>
          <w:szCs w:val="16"/>
        </w:rPr>
        <w:softHyphen/>
        <w:t>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w:t>
      </w:r>
      <w:r w:rsidRPr="00507A31">
        <w:rPr>
          <w:color w:val="0070C0"/>
          <w:sz w:val="16"/>
          <w:szCs w:val="16"/>
        </w:rPr>
        <w:softHyphen/>
        <w:t>цированных рабочих, не подлежащих призыву по мобилизации в военное время.</w:t>
      </w:r>
    </w:p>
    <w:p w14:paraId="73B718C7" w14:textId="77777777" w:rsidR="00E920AC" w:rsidRPr="00507A31" w:rsidRDefault="00E920AC" w:rsidP="00507A31">
      <w:pPr>
        <w:jc w:val="both"/>
        <w:rPr>
          <w:color w:val="0070C0"/>
          <w:sz w:val="16"/>
          <w:szCs w:val="16"/>
        </w:rPr>
      </w:pPr>
      <w:r w:rsidRPr="00507A31">
        <w:rPr>
          <w:color w:val="0070C0"/>
          <w:sz w:val="16"/>
          <w:szCs w:val="16"/>
        </w:rPr>
        <w:t>ж) ВСНХ более смело использовать заграничную помощь (вербовка лекальщиков в Германии и т.д.).</w:t>
      </w:r>
    </w:p>
    <w:p w14:paraId="523E6E79" w14:textId="77777777" w:rsidR="00E920AC" w:rsidRPr="00507A31" w:rsidRDefault="00E920AC" w:rsidP="00507A31">
      <w:pPr>
        <w:jc w:val="both"/>
        <w:rPr>
          <w:color w:val="0070C0"/>
          <w:sz w:val="16"/>
          <w:szCs w:val="16"/>
        </w:rPr>
      </w:pPr>
      <w:r w:rsidRPr="00507A31">
        <w:rPr>
          <w:color w:val="0070C0"/>
          <w:sz w:val="16"/>
          <w:szCs w:val="16"/>
        </w:rPr>
        <w:t>з) Для ускорения подготовки высококвалифицированной рабочей силы, наряду с укреплением фабзавуча, ВСНХ более широко использовать ЦИТ.</w:t>
      </w:r>
    </w:p>
    <w:p w14:paraId="4020EC40" w14:textId="77777777" w:rsidR="00E920AC" w:rsidRPr="00507A31" w:rsidRDefault="00E920AC" w:rsidP="00507A31">
      <w:pPr>
        <w:jc w:val="both"/>
        <w:rPr>
          <w:color w:val="0070C0"/>
          <w:sz w:val="16"/>
          <w:szCs w:val="16"/>
        </w:rPr>
      </w:pPr>
      <w:r w:rsidRPr="00507A31">
        <w:rPr>
          <w:color w:val="0070C0"/>
          <w:sz w:val="16"/>
          <w:szCs w:val="16"/>
        </w:rPr>
        <w:t>10. Партийным и профессиональным организациям мобилизо</w:t>
      </w:r>
      <w:r w:rsidRPr="00507A31">
        <w:rPr>
          <w:color w:val="0070C0"/>
          <w:sz w:val="16"/>
          <w:szCs w:val="16"/>
        </w:rPr>
        <w:softHyphen/>
        <w:t>вать внимание рабочих военных производств по восстановлению утерянных навыков точных работ и провести широкую кампанию по улучшению качества военной продукции, ведя борьбу с рва</w:t>
      </w:r>
      <w:r w:rsidRPr="00507A31">
        <w:rPr>
          <w:color w:val="0070C0"/>
          <w:sz w:val="16"/>
          <w:szCs w:val="16"/>
        </w:rPr>
        <w:softHyphen/>
        <w:t>чеством отсталой части рабочих и хвостизмом цеховой, а иног</w:t>
      </w:r>
      <w:r w:rsidRPr="00507A31">
        <w:rPr>
          <w:color w:val="0070C0"/>
          <w:sz w:val="16"/>
          <w:szCs w:val="16"/>
        </w:rPr>
        <w:softHyphen/>
        <w:t>да и заводской администрации, потворствующей этому.</w:t>
      </w:r>
    </w:p>
    <w:p w14:paraId="4A143A5A" w14:textId="77777777" w:rsidR="00E920AC" w:rsidRPr="00507A31" w:rsidRDefault="00E920AC" w:rsidP="00507A31">
      <w:pPr>
        <w:jc w:val="both"/>
        <w:rPr>
          <w:color w:val="0070C0"/>
          <w:sz w:val="16"/>
          <w:szCs w:val="16"/>
        </w:rPr>
      </w:pPr>
      <w:r w:rsidRPr="00507A31">
        <w:rPr>
          <w:color w:val="0070C0"/>
          <w:sz w:val="16"/>
          <w:szCs w:val="16"/>
        </w:rPr>
        <w:t>11. ВСНХ в двухнедельный срок разработать новые положе</w:t>
      </w:r>
      <w:r w:rsidRPr="00507A31">
        <w:rPr>
          <w:color w:val="0070C0"/>
          <w:sz w:val="16"/>
          <w:szCs w:val="16"/>
        </w:rPr>
        <w:softHyphen/>
        <w:t>ния о контрольных отделах, с подчинением непосредственно ди</w:t>
      </w:r>
      <w:r w:rsidRPr="00507A31">
        <w:rPr>
          <w:color w:val="0070C0"/>
          <w:sz w:val="16"/>
          <w:szCs w:val="16"/>
        </w:rPr>
        <w:softHyphen/>
        <w:t>ректорам заводов. Пересмотреть и укрепить личный состав бра</w:t>
      </w:r>
      <w:r w:rsidRPr="00507A31">
        <w:rPr>
          <w:color w:val="0070C0"/>
          <w:sz w:val="16"/>
          <w:szCs w:val="16"/>
        </w:rPr>
        <w:softHyphen/>
        <w:t>ковщиков, уделить особое внимание своевременной разбраковке в процессе производства.</w:t>
      </w:r>
    </w:p>
    <w:p w14:paraId="050F6624" w14:textId="77777777" w:rsidR="00E920AC" w:rsidRPr="00507A31" w:rsidRDefault="00E920AC" w:rsidP="00507A31">
      <w:pPr>
        <w:jc w:val="both"/>
        <w:rPr>
          <w:color w:val="0070C0"/>
          <w:sz w:val="16"/>
          <w:szCs w:val="16"/>
        </w:rPr>
      </w:pPr>
      <w:r w:rsidRPr="00507A31">
        <w:rPr>
          <w:color w:val="0070C0"/>
          <w:sz w:val="16"/>
          <w:szCs w:val="16"/>
        </w:rPr>
        <w:t>12. ВСНХ и НКВМ в месячный срок закончить разработку технических условий и кондиций на поставляемые военному ведом</w:t>
      </w:r>
      <w:r w:rsidRPr="00507A31">
        <w:rPr>
          <w:color w:val="0070C0"/>
          <w:sz w:val="16"/>
          <w:szCs w:val="16"/>
        </w:rPr>
        <w:softHyphen/>
        <w:t>ству промышленные изделия, которые таковых еще не имеют.</w:t>
      </w:r>
    </w:p>
    <w:p w14:paraId="3ACE2595" w14:textId="77777777" w:rsidR="00E920AC" w:rsidRPr="00507A31" w:rsidRDefault="00E920AC" w:rsidP="00507A31">
      <w:pPr>
        <w:jc w:val="both"/>
        <w:rPr>
          <w:color w:val="0070C0"/>
          <w:sz w:val="16"/>
          <w:szCs w:val="16"/>
        </w:rPr>
      </w:pPr>
      <w:r w:rsidRPr="00507A31">
        <w:rPr>
          <w:color w:val="0070C0"/>
          <w:sz w:val="16"/>
          <w:szCs w:val="16"/>
        </w:rPr>
        <w:t>13. Правительственной комиссии закончить общий пере</w:t>
      </w:r>
      <w:r w:rsidRPr="00507A31">
        <w:rPr>
          <w:color w:val="0070C0"/>
          <w:sz w:val="16"/>
          <w:szCs w:val="16"/>
        </w:rPr>
        <w:softHyphen/>
        <w:t>смотр технических условий к 1 мая 1930 г.</w:t>
      </w:r>
    </w:p>
    <w:p w14:paraId="118488F1" w14:textId="77777777" w:rsidR="00E920AC" w:rsidRPr="00507A31" w:rsidRDefault="00E920AC" w:rsidP="00507A31">
      <w:pPr>
        <w:jc w:val="both"/>
        <w:rPr>
          <w:color w:val="0070C0"/>
          <w:sz w:val="16"/>
          <w:szCs w:val="16"/>
        </w:rPr>
      </w:pPr>
      <w:r w:rsidRPr="00507A31">
        <w:rPr>
          <w:color w:val="0070C0"/>
          <w:sz w:val="16"/>
          <w:szCs w:val="16"/>
        </w:rPr>
        <w:t>14. НКРКИ проверить состояние работы по рассмотрению технических условий и в 2-х недельный срок представить в РЗ СТО доклад.</w:t>
      </w:r>
    </w:p>
    <w:p w14:paraId="248647CA" w14:textId="77777777" w:rsidR="00E920AC" w:rsidRPr="00507A31" w:rsidRDefault="00E920AC" w:rsidP="00507A31">
      <w:pPr>
        <w:jc w:val="both"/>
        <w:rPr>
          <w:color w:val="0070C0"/>
          <w:sz w:val="16"/>
          <w:szCs w:val="16"/>
        </w:rPr>
      </w:pPr>
      <w:r w:rsidRPr="00507A31">
        <w:rPr>
          <w:color w:val="0070C0"/>
          <w:sz w:val="16"/>
          <w:szCs w:val="16"/>
        </w:rPr>
        <w:t>15 НКРКИ, НКВМ и ВСНХ в 3-месячный срок проверить сос</w:t>
      </w:r>
      <w:r w:rsidRPr="00507A31">
        <w:rPr>
          <w:color w:val="0070C0"/>
          <w:sz w:val="16"/>
          <w:szCs w:val="16"/>
        </w:rPr>
        <w:softHyphen/>
        <w:t>тояние мобилизационного запаса основных видов военной продук</w:t>
      </w:r>
      <w:r w:rsidRPr="00507A31">
        <w:rPr>
          <w:color w:val="0070C0"/>
          <w:sz w:val="16"/>
          <w:szCs w:val="16"/>
        </w:rPr>
        <w:softHyphen/>
        <w:t>ции. РЗ СТО, по мере хода проверки, устанавливать жесткие сроки приведения его в состояние боевой готовности.</w:t>
      </w:r>
    </w:p>
    <w:p w14:paraId="4E7CD9BD" w14:textId="77777777" w:rsidR="00E920AC" w:rsidRPr="00507A31" w:rsidRDefault="00E920AC" w:rsidP="00507A31">
      <w:pPr>
        <w:jc w:val="both"/>
        <w:rPr>
          <w:color w:val="0070C0"/>
          <w:sz w:val="16"/>
          <w:szCs w:val="16"/>
        </w:rPr>
      </w:pPr>
      <w:r w:rsidRPr="00507A31">
        <w:rPr>
          <w:color w:val="0070C0"/>
          <w:sz w:val="16"/>
          <w:szCs w:val="16"/>
        </w:rPr>
        <w:t>Обязать НКВМ улучшить военную приемку с тем, чтобы исключить на будущее время накопление негодного_мобзапаса.</w:t>
      </w:r>
    </w:p>
    <w:p w14:paraId="26B9FAD5" w14:textId="77777777" w:rsidR="00E920AC" w:rsidRPr="00507A31" w:rsidRDefault="00E920AC" w:rsidP="00507A31">
      <w:pPr>
        <w:jc w:val="both"/>
        <w:rPr>
          <w:color w:val="0070C0"/>
          <w:sz w:val="16"/>
          <w:szCs w:val="16"/>
        </w:rPr>
      </w:pPr>
      <w:r w:rsidRPr="00507A31">
        <w:rPr>
          <w:color w:val="0070C0"/>
          <w:sz w:val="16"/>
          <w:szCs w:val="16"/>
        </w:rPr>
        <w:t>16. Обязать ВСНХ в 1 ½ 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w:t>
      </w:r>
    </w:p>
    <w:p w14:paraId="47D888AF" w14:textId="77777777" w:rsidR="00E920AC" w:rsidRPr="00507A31" w:rsidRDefault="00E920AC" w:rsidP="00507A31">
      <w:pPr>
        <w:jc w:val="both"/>
        <w:rPr>
          <w:color w:val="0070C0"/>
          <w:sz w:val="16"/>
          <w:szCs w:val="16"/>
        </w:rPr>
      </w:pPr>
      <w:r w:rsidRPr="00507A31">
        <w:rPr>
          <w:color w:val="0070C0"/>
          <w:sz w:val="16"/>
          <w:szCs w:val="16"/>
        </w:rPr>
        <w:t>17. Тов. Куйбышеву и т. Микояну в 10-дневный срок провести срочные мероприятия, обеспечивающие своевременный завоз им</w:t>
      </w:r>
      <w:r w:rsidRPr="00507A31">
        <w:rPr>
          <w:color w:val="0070C0"/>
          <w:sz w:val="16"/>
          <w:szCs w:val="16"/>
        </w:rPr>
        <w:softHyphen/>
        <w:t>портного оборудования по плану 29/30 г. и заказанного в пре</w:t>
      </w:r>
      <w:r w:rsidRPr="00507A31">
        <w:rPr>
          <w:color w:val="0070C0"/>
          <w:sz w:val="16"/>
          <w:szCs w:val="16"/>
        </w:rPr>
        <w:softHyphen/>
        <w:t>дыдущие годы.</w:t>
      </w:r>
    </w:p>
    <w:p w14:paraId="59006A1B" w14:textId="77777777" w:rsidR="00E920AC" w:rsidRPr="00507A31" w:rsidRDefault="00E920AC" w:rsidP="00507A31">
      <w:pPr>
        <w:jc w:val="both"/>
        <w:rPr>
          <w:color w:val="0070C0"/>
          <w:sz w:val="16"/>
          <w:szCs w:val="16"/>
        </w:rPr>
      </w:pPr>
      <w:r w:rsidRPr="00507A31">
        <w:rPr>
          <w:color w:val="0070C0"/>
          <w:sz w:val="16"/>
          <w:szCs w:val="16"/>
        </w:rPr>
        <w:t>18. НКТруду во внеочередном порядке обеспечить капиталь</w:t>
      </w:r>
      <w:r w:rsidRPr="00507A31">
        <w:rPr>
          <w:color w:val="0070C0"/>
          <w:sz w:val="16"/>
          <w:szCs w:val="16"/>
        </w:rPr>
        <w:softHyphen/>
        <w:t>ное строительство военных заводов, необходимыми кадрами рабочих.</w:t>
      </w:r>
    </w:p>
    <w:p w14:paraId="7FF3610D" w14:textId="77777777" w:rsidR="00E920AC" w:rsidRPr="00507A31" w:rsidRDefault="00E920AC" w:rsidP="00507A31">
      <w:pPr>
        <w:jc w:val="both"/>
        <w:rPr>
          <w:color w:val="0070C0"/>
          <w:sz w:val="16"/>
          <w:szCs w:val="16"/>
        </w:rPr>
      </w:pPr>
      <w:r w:rsidRPr="00507A31">
        <w:rPr>
          <w:color w:val="0070C0"/>
          <w:sz w:val="16"/>
          <w:szCs w:val="16"/>
        </w:rPr>
        <w:t>19. ГВПУ и ОГПУ проработать все вредительские материалы по капитальному строительству с тем, чтобы в контрольных цифрах 30/31 г., была предусмотрена полная ликвидация вреди</w:t>
      </w:r>
      <w:r w:rsidRPr="00507A31">
        <w:rPr>
          <w:color w:val="0070C0"/>
          <w:sz w:val="16"/>
          <w:szCs w:val="16"/>
        </w:rPr>
        <w:softHyphen/>
        <w:t>тельства в этой области.</w:t>
      </w:r>
    </w:p>
    <w:p w14:paraId="36DF285C" w14:textId="77777777" w:rsidR="00E920AC" w:rsidRPr="00507A31" w:rsidRDefault="00E920AC" w:rsidP="00507A31">
      <w:pPr>
        <w:jc w:val="both"/>
        <w:rPr>
          <w:color w:val="0070C0"/>
          <w:sz w:val="16"/>
          <w:szCs w:val="16"/>
        </w:rPr>
      </w:pPr>
      <w:r w:rsidRPr="00507A31">
        <w:rPr>
          <w:color w:val="0070C0"/>
          <w:sz w:val="16"/>
          <w:szCs w:val="16"/>
        </w:rPr>
        <w:t>20. В целях ликвидации остатков контрреволюционной группы специалистов, ВСНХ в месячный срок разработать меро</w:t>
      </w:r>
      <w:r w:rsidRPr="00507A31">
        <w:rPr>
          <w:color w:val="0070C0"/>
          <w:sz w:val="16"/>
          <w:szCs w:val="16"/>
        </w:rPr>
        <w:softHyphen/>
        <w:t>приятия по переброске технического персонала с военных заво</w:t>
      </w:r>
      <w:r w:rsidRPr="00507A31">
        <w:rPr>
          <w:color w:val="0070C0"/>
          <w:sz w:val="16"/>
          <w:szCs w:val="16"/>
        </w:rPr>
        <w:softHyphen/>
        <w:t>дов на гражданские и обратно.</w:t>
      </w:r>
    </w:p>
    <w:p w14:paraId="2A1C15FC" w14:textId="77777777" w:rsidR="00E920AC" w:rsidRPr="00507A31" w:rsidRDefault="00E920AC" w:rsidP="00507A31">
      <w:pPr>
        <w:jc w:val="both"/>
        <w:rPr>
          <w:color w:val="0070C0"/>
          <w:sz w:val="16"/>
          <w:szCs w:val="16"/>
        </w:rPr>
      </w:pPr>
      <w:r w:rsidRPr="00507A31">
        <w:rPr>
          <w:color w:val="0070C0"/>
          <w:sz w:val="16"/>
          <w:szCs w:val="16"/>
        </w:rPr>
        <w:t>1У.</w:t>
      </w:r>
    </w:p>
    <w:p w14:paraId="12841FBE" w14:textId="77777777" w:rsidR="00E920AC" w:rsidRPr="00507A31" w:rsidRDefault="00E920AC" w:rsidP="00507A31">
      <w:pPr>
        <w:jc w:val="both"/>
        <w:rPr>
          <w:color w:val="0070C0"/>
          <w:sz w:val="16"/>
          <w:szCs w:val="16"/>
        </w:rPr>
      </w:pPr>
      <w:r w:rsidRPr="00507A31">
        <w:rPr>
          <w:color w:val="0070C0"/>
          <w:sz w:val="16"/>
          <w:szCs w:val="16"/>
        </w:rPr>
        <w:t>В целях обеспечения выполнения и перевыполнения произ</w:t>
      </w:r>
      <w:r w:rsidRPr="00507A31">
        <w:rPr>
          <w:color w:val="0070C0"/>
          <w:sz w:val="16"/>
          <w:szCs w:val="16"/>
        </w:rPr>
        <w:softHyphen/>
        <w:t>водственных программ, военной промышбенности:</w:t>
      </w:r>
    </w:p>
    <w:p w14:paraId="71C28287" w14:textId="77777777" w:rsidR="00E920AC" w:rsidRPr="00507A31" w:rsidRDefault="00E920AC" w:rsidP="00507A31">
      <w:pPr>
        <w:jc w:val="both"/>
        <w:rPr>
          <w:color w:val="0070C0"/>
          <w:sz w:val="16"/>
          <w:szCs w:val="16"/>
        </w:rPr>
      </w:pPr>
      <w:r w:rsidRPr="00507A31">
        <w:rPr>
          <w:color w:val="0070C0"/>
          <w:sz w:val="16"/>
          <w:szCs w:val="16"/>
        </w:rPr>
        <w:t>1. СТО и НКВМ установить реальную и твердую производст</w:t>
      </w:r>
      <w:r w:rsidRPr="00507A31">
        <w:rPr>
          <w:color w:val="0070C0"/>
          <w:sz w:val="16"/>
          <w:szCs w:val="16"/>
        </w:rPr>
        <w:softHyphen/>
        <w:t>венную программу военной продукции, не подвергая ее частым изменениям. Впредь задания должны быть даны своевременно (не позже 1.1У. предшествующего операционного года), дабы промышленность имела возможность планомерно развернуться.</w:t>
      </w:r>
    </w:p>
    <w:p w14:paraId="4E167253" w14:textId="77777777" w:rsidR="00E920AC" w:rsidRPr="00507A31" w:rsidRDefault="00E920AC" w:rsidP="00507A31">
      <w:pPr>
        <w:jc w:val="both"/>
        <w:rPr>
          <w:color w:val="0070C0"/>
          <w:sz w:val="16"/>
          <w:szCs w:val="16"/>
        </w:rPr>
      </w:pPr>
      <w:r w:rsidRPr="00507A31">
        <w:rPr>
          <w:color w:val="0070C0"/>
          <w:sz w:val="16"/>
          <w:szCs w:val="16"/>
        </w:rPr>
        <w:lastRenderedPageBreak/>
        <w:t>2. ВСНХ и ЦК металлистов внести в 2-х декадный срок проект перевода на положение мобилизованных некоторых заво</w:t>
      </w:r>
      <w:r w:rsidRPr="00507A31">
        <w:rPr>
          <w:color w:val="0070C0"/>
          <w:sz w:val="16"/>
          <w:szCs w:val="16"/>
        </w:rPr>
        <w:softHyphen/>
        <w:t>дов, где по выполнению программы имеются серьезные опасения.</w:t>
      </w:r>
    </w:p>
    <w:p w14:paraId="4E2CA89A" w14:textId="77777777" w:rsidR="00E920AC" w:rsidRPr="00507A31" w:rsidRDefault="00E920AC" w:rsidP="00507A31">
      <w:pPr>
        <w:jc w:val="both"/>
        <w:rPr>
          <w:color w:val="0070C0"/>
          <w:sz w:val="16"/>
          <w:szCs w:val="16"/>
        </w:rPr>
      </w:pPr>
      <w:r w:rsidRPr="00507A31">
        <w:rPr>
          <w:color w:val="0070C0"/>
          <w:sz w:val="16"/>
          <w:szCs w:val="16"/>
        </w:rPr>
        <w:t>3. Немедленно дать директиву об освобождении военных заводов на 29/30 г. от мобилизации личного состава на разные кампании (посевная, хлебозаготовительная, колхозная и т.д.).</w:t>
      </w:r>
    </w:p>
    <w:p w14:paraId="224CFC9B" w14:textId="77777777" w:rsidR="00E920AC" w:rsidRPr="00507A31" w:rsidRDefault="00E920AC" w:rsidP="00507A31">
      <w:pPr>
        <w:jc w:val="both"/>
        <w:rPr>
          <w:color w:val="0070C0"/>
          <w:sz w:val="16"/>
          <w:szCs w:val="16"/>
        </w:rPr>
      </w:pPr>
      <w:r w:rsidRPr="00507A31">
        <w:rPr>
          <w:color w:val="0070C0"/>
          <w:sz w:val="16"/>
          <w:szCs w:val="16"/>
        </w:rPr>
        <w:t>4. ВСНХ принять меры к своевременному и полному снабже</w:t>
      </w:r>
      <w:r w:rsidRPr="00507A31">
        <w:rPr>
          <w:color w:val="0070C0"/>
          <w:sz w:val="16"/>
          <w:szCs w:val="16"/>
        </w:rPr>
        <w:softHyphen/>
        <w:t>нию военных заводов сырьем и полуфабрикатами для выполнения военных заказов, возложив за это персональную ответствен</w:t>
      </w:r>
      <w:r w:rsidRPr="00507A31">
        <w:rPr>
          <w:color w:val="0070C0"/>
          <w:sz w:val="16"/>
          <w:szCs w:val="16"/>
        </w:rPr>
        <w:softHyphen/>
        <w:t>ность на руководителей снабжающих органов.</w:t>
      </w:r>
    </w:p>
    <w:p w14:paraId="7E8385EB" w14:textId="77777777" w:rsidR="00E920AC" w:rsidRPr="00507A31" w:rsidRDefault="00E920AC" w:rsidP="00507A31">
      <w:pPr>
        <w:jc w:val="both"/>
        <w:rPr>
          <w:color w:val="0070C0"/>
          <w:sz w:val="16"/>
          <w:szCs w:val="16"/>
        </w:rPr>
      </w:pPr>
      <w:r w:rsidRPr="00507A31">
        <w:rPr>
          <w:color w:val="0070C0"/>
          <w:sz w:val="16"/>
          <w:szCs w:val="16"/>
        </w:rPr>
        <w:t>5. Обязать директоров заводов присылать в адрес ВСНХ, ЦК ВКП(б), CHК, НКРКИ и РБСР ежемесячные краткие письменные отчеты о мерах, принятых ими для проведения в жизнь данного постановления.</w:t>
      </w:r>
    </w:p>
    <w:p w14:paraId="16B590BE" w14:textId="77777777" w:rsidR="00E920AC" w:rsidRPr="00507A31" w:rsidRDefault="00E920AC" w:rsidP="00507A31">
      <w:pPr>
        <w:jc w:val="both"/>
        <w:rPr>
          <w:color w:val="0070C0"/>
          <w:sz w:val="16"/>
          <w:szCs w:val="16"/>
        </w:rPr>
      </w:pPr>
      <w:r w:rsidRPr="00507A31">
        <w:rPr>
          <w:color w:val="0070C0"/>
          <w:sz w:val="16"/>
          <w:szCs w:val="16"/>
        </w:rPr>
        <w:t>У.</w:t>
      </w:r>
    </w:p>
    <w:p w14:paraId="4E7E92FA" w14:textId="77777777" w:rsidR="00E920AC" w:rsidRPr="00507A31" w:rsidRDefault="00E920AC" w:rsidP="00507A31">
      <w:pPr>
        <w:jc w:val="both"/>
        <w:rPr>
          <w:color w:val="0070C0"/>
          <w:sz w:val="16"/>
          <w:szCs w:val="16"/>
        </w:rPr>
      </w:pPr>
      <w:r w:rsidRPr="00507A31">
        <w:rPr>
          <w:color w:val="0070C0"/>
          <w:sz w:val="16"/>
          <w:szCs w:val="16"/>
        </w:rPr>
        <w:t>В целях улучшения технического руководства на военных заводах:</w:t>
      </w:r>
    </w:p>
    <w:p w14:paraId="68D9655F" w14:textId="77777777" w:rsidR="00E920AC" w:rsidRPr="00507A31" w:rsidRDefault="00E920AC" w:rsidP="00507A31">
      <w:pPr>
        <w:jc w:val="both"/>
        <w:rPr>
          <w:color w:val="0070C0"/>
          <w:sz w:val="16"/>
          <w:szCs w:val="16"/>
        </w:rPr>
      </w:pPr>
      <w:r w:rsidRPr="00507A31">
        <w:rPr>
          <w:color w:val="0070C0"/>
          <w:sz w:val="16"/>
          <w:szCs w:val="16"/>
        </w:rPr>
        <w:t>1) ВСНХ и НКТруду в месячный срок мобилизовать инжене</w:t>
      </w:r>
      <w:r w:rsidRPr="00507A31">
        <w:rPr>
          <w:color w:val="0070C0"/>
          <w:sz w:val="16"/>
          <w:szCs w:val="16"/>
        </w:rPr>
        <w:softHyphen/>
        <w:t>ров из гражданской промышленности для военных заводов, в первую очередь конструкторов и металлургов;</w:t>
      </w:r>
    </w:p>
    <w:p w14:paraId="7712E492" w14:textId="77777777" w:rsidR="00E920AC" w:rsidRPr="00507A31" w:rsidRDefault="00E920AC" w:rsidP="00507A31">
      <w:pPr>
        <w:jc w:val="both"/>
        <w:rPr>
          <w:color w:val="0070C0"/>
          <w:sz w:val="16"/>
          <w:szCs w:val="16"/>
        </w:rPr>
      </w:pPr>
      <w:r w:rsidRPr="00507A31">
        <w:rPr>
          <w:color w:val="0070C0"/>
          <w:sz w:val="16"/>
          <w:szCs w:val="16"/>
        </w:rPr>
        <w:t>С этой целью CHК и ЦИК 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2AD7A6EF" w14:textId="77777777" w:rsidR="00E920AC" w:rsidRPr="00507A31" w:rsidRDefault="00E920AC" w:rsidP="00507A31">
      <w:pPr>
        <w:jc w:val="both"/>
        <w:rPr>
          <w:color w:val="0070C0"/>
          <w:sz w:val="16"/>
          <w:szCs w:val="16"/>
        </w:rPr>
      </w:pPr>
      <w:r w:rsidRPr="00507A31">
        <w:rPr>
          <w:color w:val="0070C0"/>
          <w:sz w:val="16"/>
          <w:szCs w:val="16"/>
        </w:rPr>
        <w:t>2) Обязать ВСНХ усиленным темпом развернуть сеть воени</w:t>
      </w:r>
      <w:r w:rsidRPr="00507A31">
        <w:rPr>
          <w:color w:val="0070C0"/>
          <w:sz w:val="16"/>
          <w:szCs w:val="16"/>
        </w:rPr>
        <w:softHyphen/>
        <w:t>зированных втузов и техникумов до пределов, соответствующих полной потребности военной промышленности и военных произ</w:t>
      </w:r>
      <w:r w:rsidRPr="00507A31">
        <w:rPr>
          <w:color w:val="0070C0"/>
          <w:sz w:val="16"/>
          <w:szCs w:val="16"/>
        </w:rPr>
        <w:softHyphen/>
        <w:t>водств гражданской промышленности.</w:t>
      </w:r>
    </w:p>
    <w:p w14:paraId="2E2BD5E6" w14:textId="77777777" w:rsidR="00E920AC" w:rsidRPr="00507A31" w:rsidRDefault="00E920AC" w:rsidP="00507A31">
      <w:pPr>
        <w:jc w:val="both"/>
        <w:rPr>
          <w:color w:val="0070C0"/>
          <w:sz w:val="16"/>
          <w:szCs w:val="16"/>
        </w:rPr>
      </w:pPr>
      <w:r w:rsidRPr="00507A31">
        <w:rPr>
          <w:color w:val="0070C0"/>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62B99F6F" w14:textId="77777777" w:rsidR="00E920AC" w:rsidRPr="00507A31" w:rsidRDefault="00E920AC" w:rsidP="00507A31">
      <w:pPr>
        <w:jc w:val="both"/>
        <w:rPr>
          <w:color w:val="0070C0"/>
          <w:sz w:val="16"/>
          <w:szCs w:val="16"/>
        </w:rPr>
      </w:pPr>
      <w:r w:rsidRPr="00507A31">
        <w:rPr>
          <w:color w:val="0070C0"/>
          <w:sz w:val="16"/>
          <w:szCs w:val="16"/>
        </w:rPr>
        <w:t>4) Обязать ВСНХ доложить в месячный срок РЗ СТО о ходе привлечения к военным производствам иностранной технической помощи и приглашения ин специалистов, а также план значитель</w:t>
      </w:r>
      <w:r w:rsidRPr="00507A31">
        <w:rPr>
          <w:color w:val="0070C0"/>
          <w:sz w:val="16"/>
          <w:szCs w:val="16"/>
        </w:rPr>
        <w:softHyphen/>
        <w:t>ного расширения этого привлечения.</w:t>
      </w:r>
    </w:p>
    <w:p w14:paraId="06265F16" w14:textId="77777777" w:rsidR="00E920AC" w:rsidRPr="00507A31" w:rsidRDefault="00E920AC" w:rsidP="00507A31">
      <w:pPr>
        <w:jc w:val="both"/>
        <w:rPr>
          <w:color w:val="0070C0"/>
          <w:sz w:val="16"/>
          <w:szCs w:val="16"/>
        </w:rPr>
      </w:pPr>
      <w:r w:rsidRPr="00507A31">
        <w:rPr>
          <w:color w:val="0070C0"/>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человек и новую группу военных* работников в количестве 20 человек.</w:t>
      </w:r>
    </w:p>
    <w:p w14:paraId="091A88D7" w14:textId="77777777" w:rsidR="00E920AC" w:rsidRPr="00507A31" w:rsidRDefault="00E920AC" w:rsidP="00507A31">
      <w:pPr>
        <w:jc w:val="both"/>
        <w:rPr>
          <w:color w:val="0070C0"/>
          <w:sz w:val="16"/>
          <w:szCs w:val="16"/>
        </w:rPr>
      </w:pPr>
      <w:r w:rsidRPr="00507A31">
        <w:rPr>
          <w:color w:val="0070C0"/>
          <w:sz w:val="16"/>
          <w:szCs w:val="16"/>
        </w:rPr>
        <w:t>Одновременно обязать местные партийные организации ко</w:t>
      </w:r>
      <w:r w:rsidRPr="00507A31">
        <w:rPr>
          <w:color w:val="0070C0"/>
          <w:sz w:val="16"/>
          <w:szCs w:val="16"/>
        </w:rPr>
        <w:softHyphen/>
        <w:t>мандировать определенное количество партийцев для работы на соответствующих заводах военной промышленности.</w:t>
      </w:r>
    </w:p>
    <w:p w14:paraId="5A005C46" w14:textId="77777777" w:rsidR="00E920AC" w:rsidRPr="00507A31" w:rsidRDefault="00E920AC" w:rsidP="00507A31">
      <w:pPr>
        <w:jc w:val="both"/>
        <w:rPr>
          <w:color w:val="0070C0"/>
          <w:sz w:val="16"/>
          <w:szCs w:val="16"/>
        </w:rPr>
      </w:pPr>
      <w:r w:rsidRPr="00507A31">
        <w:rPr>
          <w:color w:val="0070C0"/>
          <w:sz w:val="16"/>
          <w:szCs w:val="16"/>
        </w:rPr>
        <w:t>6) Предложить ВСНХ добиться решительного перелома в состоянии опытного дела на военных производствах, в кратчай</w:t>
      </w:r>
      <w:r w:rsidRPr="00507A31">
        <w:rPr>
          <w:color w:val="0070C0"/>
          <w:sz w:val="16"/>
          <w:szCs w:val="16"/>
        </w:rPr>
        <w:softHyphen/>
        <w:t>ший срок добиться минимальных сроков изготовления и внедре</w:t>
      </w:r>
      <w:r w:rsidRPr="00507A31">
        <w:rPr>
          <w:color w:val="0070C0"/>
          <w:sz w:val="16"/>
          <w:szCs w:val="16"/>
        </w:rPr>
        <w:softHyphen/>
        <w:t>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w:t>
      </w:r>
      <w:r w:rsidRPr="00507A31">
        <w:rPr>
          <w:color w:val="0070C0"/>
          <w:sz w:val="16"/>
          <w:szCs w:val="16"/>
        </w:rPr>
        <w:softHyphen/>
        <w:t>шим производствам.</w:t>
      </w:r>
    </w:p>
    <w:p w14:paraId="5AE0BDCC" w14:textId="77777777" w:rsidR="00E920AC" w:rsidRPr="00507A31" w:rsidRDefault="00E920AC" w:rsidP="00507A31">
      <w:pPr>
        <w:jc w:val="both"/>
        <w:rPr>
          <w:color w:val="0070C0"/>
          <w:sz w:val="16"/>
          <w:szCs w:val="16"/>
        </w:rPr>
      </w:pPr>
      <w:r w:rsidRPr="00507A31">
        <w:rPr>
          <w:color w:val="0070C0"/>
          <w:sz w:val="16"/>
          <w:szCs w:val="16"/>
        </w:rPr>
        <w:t>Обязать ВСНХ в месячный срок доложить РЗ СТО о прово</w:t>
      </w:r>
      <w:r w:rsidRPr="00507A31">
        <w:rPr>
          <w:color w:val="0070C0"/>
          <w:sz w:val="16"/>
          <w:szCs w:val="16"/>
        </w:rPr>
        <w:softHyphen/>
        <w:t>димых им мероприятиях во исполнение этих предложений/</w:t>
      </w:r>
    </w:p>
    <w:p w14:paraId="7ADE292D" w14:textId="77777777" w:rsidR="00E920AC" w:rsidRPr="00507A31" w:rsidRDefault="00E920AC" w:rsidP="00507A31">
      <w:pPr>
        <w:jc w:val="both"/>
        <w:rPr>
          <w:color w:val="0070C0"/>
          <w:sz w:val="16"/>
          <w:szCs w:val="16"/>
        </w:rPr>
      </w:pPr>
      <w:r w:rsidRPr="00507A31">
        <w:rPr>
          <w:color w:val="0070C0"/>
          <w:sz w:val="16"/>
          <w:szCs w:val="16"/>
        </w:rPr>
        <w:t>У1.</w:t>
      </w:r>
    </w:p>
    <w:p w14:paraId="37DE9D08" w14:textId="77777777" w:rsidR="00E920AC" w:rsidRPr="00507A31" w:rsidRDefault="00E920AC" w:rsidP="00507A31">
      <w:pPr>
        <w:jc w:val="both"/>
        <w:rPr>
          <w:color w:val="0070C0"/>
          <w:sz w:val="16"/>
          <w:szCs w:val="16"/>
        </w:rPr>
      </w:pPr>
      <w:r w:rsidRPr="00507A31">
        <w:rPr>
          <w:color w:val="0070C0"/>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двух-трех месяцев.</w:t>
      </w:r>
    </w:p>
    <w:p w14:paraId="723B1525" w14:textId="77777777" w:rsidR="00E920AC" w:rsidRPr="00507A31" w:rsidRDefault="00E920AC" w:rsidP="00507A31">
      <w:pPr>
        <w:jc w:val="both"/>
        <w:rPr>
          <w:color w:val="0070C0"/>
          <w:sz w:val="16"/>
          <w:szCs w:val="16"/>
        </w:rPr>
      </w:pPr>
      <w:r w:rsidRPr="00507A31">
        <w:rPr>
          <w:color w:val="0070C0"/>
          <w:sz w:val="16"/>
          <w:szCs w:val="16"/>
        </w:rPr>
        <w:t>В первую очередь они должны наблюсти за проведением мероприя</w:t>
      </w:r>
      <w:r w:rsidRPr="00507A31">
        <w:rPr>
          <w:color w:val="0070C0"/>
          <w:sz w:val="16"/>
          <w:szCs w:val="16"/>
        </w:rPr>
        <w:softHyphen/>
        <w:t>тий по ликвидации вредительства, за приведением военных за</w:t>
      </w:r>
      <w:r w:rsidRPr="00507A31">
        <w:rPr>
          <w:color w:val="0070C0"/>
          <w:sz w:val="16"/>
          <w:szCs w:val="16"/>
        </w:rPr>
        <w:softHyphen/>
        <w:t>водов в полную мобилизационную готовность к 1.УП.с.г., за выполнением промфинплана 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5FA71317" w14:textId="77777777" w:rsidR="00E920AC" w:rsidRPr="00507A31" w:rsidRDefault="00E920AC" w:rsidP="00507A31">
      <w:pPr>
        <w:jc w:val="both"/>
        <w:rPr>
          <w:color w:val="0070C0"/>
          <w:sz w:val="16"/>
          <w:szCs w:val="16"/>
        </w:rPr>
      </w:pPr>
      <w:r w:rsidRPr="00507A31">
        <w:rPr>
          <w:color w:val="0070C0"/>
          <w:sz w:val="16"/>
          <w:szCs w:val="16"/>
        </w:rPr>
        <w:t>Секретариату ЦК к следующему заседанию представить и список командируемых.</w:t>
      </w:r>
    </w:p>
    <w:p w14:paraId="279453DD" w14:textId="77777777" w:rsidR="00E920AC" w:rsidRPr="00507A31" w:rsidRDefault="00E920AC" w:rsidP="00507A31">
      <w:pPr>
        <w:jc w:val="both"/>
        <w:rPr>
          <w:color w:val="0070C0"/>
          <w:sz w:val="16"/>
          <w:szCs w:val="16"/>
        </w:rPr>
      </w:pPr>
      <w:r w:rsidRPr="00507A31">
        <w:rPr>
          <w:color w:val="0070C0"/>
          <w:sz w:val="16"/>
          <w:szCs w:val="16"/>
        </w:rPr>
        <w:t>УП.</w:t>
      </w:r>
    </w:p>
    <w:p w14:paraId="00621E74" w14:textId="77777777" w:rsidR="00E920AC" w:rsidRPr="00507A31" w:rsidRDefault="00E920AC" w:rsidP="00507A31">
      <w:pPr>
        <w:jc w:val="both"/>
        <w:rPr>
          <w:color w:val="0070C0"/>
          <w:sz w:val="16"/>
          <w:szCs w:val="16"/>
        </w:rPr>
      </w:pPr>
      <w:r w:rsidRPr="00507A31">
        <w:rPr>
          <w:color w:val="0070C0"/>
          <w:sz w:val="16"/>
          <w:szCs w:val="16"/>
        </w:rPr>
        <w:t>1. Директоров заводов: ИОЗ’а – т. Ершова за непринятие своевременных мер по ликвидации последствий вредительства и за срыв производственной программы снять с работы, об‘явить строгий выговор, лишить права на 2 года занимать ответствен</w:t>
      </w:r>
      <w:r w:rsidRPr="00507A31">
        <w:rPr>
          <w:color w:val="0070C0"/>
          <w:sz w:val="16"/>
          <w:szCs w:val="16"/>
        </w:rPr>
        <w:softHyphen/>
        <w:t>ные хозяйственные должности.</w:t>
      </w:r>
    </w:p>
    <w:p w14:paraId="4F370176" w14:textId="77777777" w:rsidR="00E920AC" w:rsidRPr="00507A31" w:rsidRDefault="00E920AC" w:rsidP="00507A31">
      <w:pPr>
        <w:jc w:val="both"/>
        <w:rPr>
          <w:color w:val="0070C0"/>
          <w:sz w:val="16"/>
          <w:szCs w:val="16"/>
        </w:rPr>
      </w:pPr>
      <w:r w:rsidRPr="00507A31">
        <w:rPr>
          <w:color w:val="0070C0"/>
          <w:sz w:val="16"/>
          <w:szCs w:val="16"/>
        </w:rPr>
        <w:t>Директора завода № 50 т. Дмитриева за несвоевременное принятие мер по ликвидации вредительства снять с работы и об'явить выговор.</w:t>
      </w:r>
    </w:p>
    <w:p w14:paraId="0C3FE3FD" w14:textId="77777777" w:rsidR="00E920AC" w:rsidRPr="00507A31" w:rsidRDefault="00E920AC" w:rsidP="00507A31">
      <w:pPr>
        <w:jc w:val="both"/>
        <w:rPr>
          <w:color w:val="0070C0"/>
          <w:sz w:val="16"/>
          <w:szCs w:val="16"/>
        </w:rPr>
      </w:pPr>
      <w:r w:rsidRPr="00507A31">
        <w:rPr>
          <w:color w:val="0070C0"/>
          <w:sz w:val="16"/>
          <w:szCs w:val="16"/>
        </w:rPr>
        <w:t>Директору ТОЗ'а т. Ситникову за недостаточно активное изжитие последствий вредительства об’явить выговор, обязав в кратчайший срок выправить это дело.</w:t>
      </w:r>
    </w:p>
    <w:p w14:paraId="0A1A13CA" w14:textId="77777777" w:rsidR="00E920AC" w:rsidRPr="00507A31" w:rsidRDefault="00E920AC" w:rsidP="00507A31">
      <w:pPr>
        <w:jc w:val="both"/>
        <w:rPr>
          <w:color w:val="0070C0"/>
          <w:sz w:val="16"/>
          <w:szCs w:val="16"/>
        </w:rPr>
      </w:pPr>
      <w:r w:rsidRPr="00507A31">
        <w:rPr>
          <w:color w:val="0070C0"/>
          <w:sz w:val="16"/>
          <w:szCs w:val="16"/>
        </w:rPr>
        <w:t>Директору завода № 42 т. Шмырову за невыполнение про</w:t>
      </w:r>
      <w:r w:rsidRPr="00507A31">
        <w:rPr>
          <w:color w:val="0070C0"/>
          <w:sz w:val="16"/>
          <w:szCs w:val="16"/>
        </w:rPr>
        <w:softHyphen/>
        <w:t>граммы и непринятие достаточных мер для ликвидации работы вредителей, что в результате дезорганизовало работу производ</w:t>
      </w:r>
      <w:r w:rsidRPr="00507A31">
        <w:rPr>
          <w:color w:val="0070C0"/>
          <w:sz w:val="16"/>
          <w:szCs w:val="16"/>
        </w:rPr>
        <w:softHyphen/>
        <w:t>ства, об’явить строгий выговор, предложить в кратчайший срок выправить положение.</w:t>
      </w:r>
    </w:p>
    <w:p w14:paraId="2575ECAC" w14:textId="77777777" w:rsidR="00E920AC" w:rsidRPr="00507A31" w:rsidRDefault="00E920AC" w:rsidP="00507A31">
      <w:pPr>
        <w:jc w:val="both"/>
        <w:rPr>
          <w:color w:val="0070C0"/>
          <w:sz w:val="16"/>
          <w:szCs w:val="16"/>
        </w:rPr>
      </w:pPr>
      <w:r w:rsidRPr="00507A31">
        <w:rPr>
          <w:color w:val="0070C0"/>
          <w:sz w:val="16"/>
          <w:szCs w:val="16"/>
        </w:rPr>
        <w:t>2. ЦК предупреждает всех работников военной промышлен</w:t>
      </w:r>
      <w:r w:rsidRPr="00507A31">
        <w:rPr>
          <w:color w:val="0070C0"/>
          <w:sz w:val="16"/>
          <w:szCs w:val="16"/>
        </w:rPr>
        <w:softHyphen/>
        <w:t>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3805567B" w14:textId="77777777" w:rsidR="00E920AC" w:rsidRPr="00507A31" w:rsidRDefault="00E920AC" w:rsidP="00507A31">
      <w:pPr>
        <w:jc w:val="both"/>
        <w:rPr>
          <w:color w:val="0070C0"/>
          <w:sz w:val="16"/>
          <w:szCs w:val="16"/>
        </w:rPr>
      </w:pPr>
      <w:r w:rsidRPr="00507A31">
        <w:rPr>
          <w:color w:val="0070C0"/>
          <w:sz w:val="16"/>
          <w:szCs w:val="16"/>
        </w:rPr>
        <w:t>3. Обязать ЦКК-РКИ иметь непрерывное наблюдение за вы</w:t>
      </w:r>
      <w:r w:rsidRPr="00507A31">
        <w:rPr>
          <w:color w:val="0070C0"/>
          <w:sz w:val="16"/>
          <w:szCs w:val="16"/>
        </w:rPr>
        <w:softHyphen/>
        <w:t>полнением настоящего постановления.</w:t>
      </w:r>
    </w:p>
    <w:p w14:paraId="3FD377E9" w14:textId="77777777" w:rsidR="00E920AC" w:rsidRPr="00507A31" w:rsidRDefault="00E920AC" w:rsidP="00507A31">
      <w:pPr>
        <w:jc w:val="both"/>
        <w:rPr>
          <w:color w:val="0070C0"/>
          <w:sz w:val="16"/>
          <w:szCs w:val="16"/>
        </w:rPr>
      </w:pPr>
      <w:r w:rsidRPr="00507A31">
        <w:rPr>
          <w:color w:val="0070C0"/>
          <w:sz w:val="16"/>
          <w:szCs w:val="16"/>
        </w:rPr>
        <w:t>Верно</w:t>
      </w:r>
    </w:p>
    <w:p w14:paraId="2EAC0D92" w14:textId="77777777" w:rsidR="00E920AC" w:rsidRPr="00507A31" w:rsidRDefault="00E920AC" w:rsidP="00507A31">
      <w:pPr>
        <w:jc w:val="both"/>
        <w:rPr>
          <w:color w:val="0070C0"/>
          <w:sz w:val="16"/>
          <w:szCs w:val="16"/>
        </w:rPr>
      </w:pPr>
      <w:r w:rsidRPr="00507A31">
        <w:rPr>
          <w:color w:val="0070C0"/>
          <w:sz w:val="16"/>
          <w:szCs w:val="16"/>
        </w:rPr>
        <w:t>4. Резолюцию считать особо секретной и разослать: 1) всем членам ЦК и секретарям тех окружкомов, в районе которых распо</w:t>
      </w:r>
      <w:r w:rsidRPr="00507A31">
        <w:rPr>
          <w:color w:val="0070C0"/>
          <w:sz w:val="16"/>
          <w:szCs w:val="16"/>
        </w:rPr>
        <w:softHyphen/>
        <w:t>ложена военная промышленность (лично), поручив т. Товстухе установить специальное наблюдение за ее возвращением; 2) директорам заводов военной промышленности, с обязательством хранить ее на нравах шифра.</w:t>
      </w:r>
    </w:p>
    <w:p w14:paraId="19917168" w14:textId="77777777" w:rsidR="00E920AC" w:rsidRPr="00507A31" w:rsidRDefault="00E920AC" w:rsidP="00507A31">
      <w:pPr>
        <w:jc w:val="both"/>
        <w:rPr>
          <w:color w:val="0070C0"/>
          <w:sz w:val="16"/>
          <w:szCs w:val="16"/>
        </w:rPr>
      </w:pPr>
      <w:r w:rsidRPr="00507A31">
        <w:rPr>
          <w:color w:val="0070C0"/>
          <w:sz w:val="16"/>
          <w:szCs w:val="16"/>
        </w:rPr>
        <w:t>Постановление послано: см. список.</w:t>
      </w:r>
    </w:p>
    <w:p w14:paraId="7BB874AD" w14:textId="77777777" w:rsidR="00E920AC" w:rsidRPr="00507A31" w:rsidRDefault="00E920AC" w:rsidP="00507A31">
      <w:pPr>
        <w:jc w:val="both"/>
        <w:rPr>
          <w:color w:val="0070C0"/>
          <w:sz w:val="16"/>
          <w:szCs w:val="16"/>
        </w:rPr>
      </w:pPr>
      <w:r w:rsidRPr="00507A31">
        <w:rPr>
          <w:color w:val="0070C0"/>
          <w:sz w:val="16"/>
          <w:szCs w:val="16"/>
        </w:rPr>
        <w:t>10 февраля 1930 опросом членов ПБ</w:t>
      </w:r>
    </w:p>
    <w:p w14:paraId="6E60FF24" w14:textId="77777777" w:rsidR="00E920AC" w:rsidRPr="00507A31" w:rsidRDefault="00E920AC" w:rsidP="00507A31">
      <w:pPr>
        <w:jc w:val="both"/>
        <w:rPr>
          <w:color w:val="0070C0"/>
          <w:sz w:val="16"/>
          <w:szCs w:val="16"/>
        </w:rPr>
      </w:pPr>
      <w:r w:rsidRPr="00507A31">
        <w:rPr>
          <w:color w:val="0070C0"/>
          <w:sz w:val="16"/>
          <w:szCs w:val="16"/>
        </w:rPr>
        <w:t>74.- Вопрос т. Халепского.</w:t>
      </w:r>
    </w:p>
    <w:p w14:paraId="1A28F04E" w14:textId="77777777" w:rsidR="00E920AC" w:rsidRPr="00507A31" w:rsidRDefault="00E920AC" w:rsidP="00507A31">
      <w:pPr>
        <w:jc w:val="both"/>
        <w:rPr>
          <w:color w:val="0070C0"/>
          <w:sz w:val="16"/>
          <w:szCs w:val="16"/>
        </w:rPr>
      </w:pPr>
      <w:r w:rsidRPr="00507A31">
        <w:rPr>
          <w:color w:val="0070C0"/>
          <w:sz w:val="16"/>
          <w:szCs w:val="16"/>
        </w:rPr>
        <w:t>1) Указать т.т. Халепскому и Буднику, что они должны вести переговоры с Виккерсом и другими фирмами не как нищие с протя</w:t>
      </w:r>
      <w:r w:rsidRPr="00507A31">
        <w:rPr>
          <w:color w:val="0070C0"/>
          <w:sz w:val="16"/>
          <w:szCs w:val="16"/>
        </w:rPr>
        <w:softHyphen/>
        <w:t>нутой рукой, а как хозяева, ибо покупательость хозяин на рын</w:t>
      </w:r>
      <w:r w:rsidRPr="00507A31">
        <w:rPr>
          <w:color w:val="0070C0"/>
          <w:sz w:val="16"/>
          <w:szCs w:val="16"/>
        </w:rPr>
        <w:softHyphen/>
        <w:t>ке;</w:t>
      </w:r>
    </w:p>
    <w:p w14:paraId="2F97AD4A" w14:textId="77777777" w:rsidR="00E920AC" w:rsidRPr="00507A31" w:rsidRDefault="00E920AC" w:rsidP="00507A31">
      <w:pPr>
        <w:jc w:val="both"/>
        <w:rPr>
          <w:color w:val="0070C0"/>
          <w:sz w:val="16"/>
          <w:szCs w:val="16"/>
        </w:rPr>
      </w:pPr>
      <w:r w:rsidRPr="00507A31">
        <w:rPr>
          <w:color w:val="0070C0"/>
          <w:sz w:val="16"/>
          <w:szCs w:val="16"/>
        </w:rPr>
        <w:t>2) Указать им на неправильность сообщения о том, что танки покупаются будто бы другими странами за наличные, ибо на деле танки и вообще предметы вооружения покупаются странами по линии займов на несколько лет и только нам прихо</w:t>
      </w:r>
      <w:r w:rsidRPr="00507A31">
        <w:rPr>
          <w:color w:val="0070C0"/>
          <w:sz w:val="16"/>
          <w:szCs w:val="16"/>
        </w:rPr>
        <w:softHyphen/>
        <w:t>дится платить наличными;</w:t>
      </w:r>
    </w:p>
    <w:p w14:paraId="68DFB843" w14:textId="77777777" w:rsidR="00E920AC" w:rsidRPr="00507A31" w:rsidRDefault="00E920AC" w:rsidP="00507A31">
      <w:pPr>
        <w:jc w:val="both"/>
        <w:rPr>
          <w:color w:val="0070C0"/>
          <w:sz w:val="16"/>
          <w:szCs w:val="16"/>
        </w:rPr>
      </w:pPr>
      <w:r w:rsidRPr="00507A31">
        <w:rPr>
          <w:color w:val="0070C0"/>
          <w:sz w:val="16"/>
          <w:szCs w:val="16"/>
        </w:rPr>
        <w:t>3) программу закупок, предложенную т. Халепским, принять, увеличив количество танкеток до 20 штук;</w:t>
      </w:r>
    </w:p>
    <w:p w14:paraId="69ACCE02" w14:textId="77777777" w:rsidR="00E920AC" w:rsidRPr="00507A31" w:rsidRDefault="00E920AC" w:rsidP="00507A31">
      <w:pPr>
        <w:jc w:val="both"/>
        <w:rPr>
          <w:color w:val="0070C0"/>
          <w:sz w:val="16"/>
          <w:szCs w:val="16"/>
        </w:rPr>
      </w:pPr>
      <w:r w:rsidRPr="00507A31">
        <w:rPr>
          <w:color w:val="0070C0"/>
          <w:sz w:val="16"/>
          <w:szCs w:val="16"/>
        </w:rPr>
        <w:t>4) добиваться 20-30 % платежа наличными и гарантии каче</w:t>
      </w:r>
      <w:r w:rsidRPr="00507A31">
        <w:rPr>
          <w:color w:val="0070C0"/>
          <w:sz w:val="16"/>
          <w:szCs w:val="16"/>
        </w:rPr>
        <w:softHyphen/>
        <w:t>ства брони;</w:t>
      </w:r>
    </w:p>
    <w:p w14:paraId="2568239B" w14:textId="77777777" w:rsidR="00E920AC" w:rsidRPr="00507A31" w:rsidRDefault="00E920AC" w:rsidP="00507A31">
      <w:pPr>
        <w:jc w:val="both"/>
        <w:rPr>
          <w:color w:val="0070C0"/>
          <w:sz w:val="16"/>
          <w:szCs w:val="16"/>
        </w:rPr>
      </w:pPr>
      <w:r w:rsidRPr="00507A31">
        <w:rPr>
          <w:color w:val="0070C0"/>
          <w:sz w:val="16"/>
          <w:szCs w:val="16"/>
        </w:rPr>
        <w:t>5) предложить т. Халепскому принять срочные меры, чтобы телеграммы шифровались аккуратно, а наиболее секретиные предло</w:t>
      </w:r>
      <w:r w:rsidRPr="00507A31">
        <w:rPr>
          <w:color w:val="0070C0"/>
          <w:sz w:val="16"/>
          <w:szCs w:val="16"/>
        </w:rPr>
        <w:softHyphen/>
        <w:t>жения посылались письмом.</w:t>
      </w:r>
    </w:p>
    <w:p w14:paraId="272AB4F8" w14:textId="77777777" w:rsidR="00E920AC" w:rsidRPr="00507A31" w:rsidRDefault="00E920AC" w:rsidP="00507A31">
      <w:pPr>
        <w:jc w:val="both"/>
        <w:rPr>
          <w:color w:val="0070C0"/>
          <w:sz w:val="16"/>
          <w:szCs w:val="16"/>
        </w:rPr>
      </w:pPr>
      <w:r w:rsidRPr="00507A31">
        <w:rPr>
          <w:color w:val="0070C0"/>
          <w:sz w:val="16"/>
          <w:szCs w:val="16"/>
        </w:rPr>
        <w:t>Выписки посланы: т.т. Ворошилову, Сокольникову (для Халепского) шифром (23103).</w:t>
      </w:r>
    </w:p>
    <w:p w14:paraId="2C6D68C2" w14:textId="77777777" w:rsidR="00E920AC" w:rsidRPr="00507A31" w:rsidRDefault="00E920AC" w:rsidP="00507A31">
      <w:pPr>
        <w:jc w:val="both"/>
        <w:rPr>
          <w:color w:val="0070C0"/>
          <w:sz w:val="16"/>
          <w:szCs w:val="16"/>
        </w:rPr>
      </w:pPr>
    </w:p>
    <w:p w14:paraId="346FEC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февраля 1930 Политбюро ЦК ВКП(б) приняло постановление "О ходе ликвидации вредительства на предприятиях военной промышленности". В постановлении "Заслушав доклад ОГПУ о ликвидации на предприятиях военной промышленности последствий вредительства, ЦК ВКП(б) констатирует, что до настоящего времени во всей военной промышленности не принято достаточных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 Для ликвидации вредительства при трестах военной промышленности создавались спец. комиссии из представителей ОГПУ, НКВМ и профсоюзов, которым поручили организовать генеральную проверку чертежей, эталонов, шаблонов, лекал, рабочего инструмента, улучшить систему проверки качества продукции (1566,74).</w:t>
      </w:r>
    </w:p>
    <w:p w14:paraId="44DB5F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ликвидации «вредительства» при трестах военной про</w:t>
      </w:r>
      <w:r w:rsidRPr="00507A31">
        <w:rPr>
          <w:color w:val="000000" w:themeColor="text1"/>
          <w:sz w:val="16"/>
          <w:szCs w:val="16"/>
        </w:rPr>
        <w:softHyphen/>
        <w:t>мышленности создавались специальные комиссии из представи</w:t>
      </w:r>
      <w:r w:rsidRPr="00507A31">
        <w:rPr>
          <w:color w:val="000000" w:themeColor="text1"/>
          <w:sz w:val="16"/>
          <w:szCs w:val="16"/>
        </w:rPr>
        <w:softHyphen/>
        <w:t>телей ОПТУ, НКВМ и профсоюзов, которым поручалось органи</w:t>
      </w:r>
      <w:r w:rsidRPr="00507A31">
        <w:rPr>
          <w:color w:val="000000" w:themeColor="text1"/>
          <w:sz w:val="16"/>
          <w:szCs w:val="16"/>
        </w:rPr>
        <w:softHyphen/>
        <w:t>зовать генеральную проверку чертежей, эталонов, шаблонов, ле</w:t>
      </w:r>
      <w:r w:rsidRPr="00507A31">
        <w:rPr>
          <w:color w:val="000000" w:themeColor="text1"/>
          <w:sz w:val="16"/>
          <w:szCs w:val="16"/>
        </w:rPr>
        <w:softHyphen/>
        <w:t>кал и рабочего инструмента, улучшить систему проверки качест</w:t>
      </w:r>
      <w:r w:rsidRPr="00507A31">
        <w:rPr>
          <w:color w:val="000000" w:themeColor="text1"/>
          <w:sz w:val="16"/>
          <w:szCs w:val="16"/>
        </w:rPr>
        <w:softHyphen/>
        <w:t>ва продукции. Другие, намеченные в постановлении мероприятия, являлись напоминанием различным ведомствам того, что они, по идее, обязаны были делать без напоминания, например, СТО и НКВМ Политбюро просило установить реальную производствен</w:t>
      </w:r>
      <w:r w:rsidRPr="00507A31">
        <w:rPr>
          <w:color w:val="000000" w:themeColor="text1"/>
          <w:sz w:val="16"/>
          <w:szCs w:val="16"/>
        </w:rPr>
        <w:softHyphen/>
        <w:t>ную программу, ВСНХ — принять меры к своевременному и пол</w:t>
      </w:r>
      <w:r w:rsidRPr="00507A31">
        <w:rPr>
          <w:color w:val="000000" w:themeColor="text1"/>
          <w:sz w:val="16"/>
          <w:szCs w:val="16"/>
        </w:rPr>
        <w:softHyphen/>
        <w:t>ному снабжению военных заводов сырьем и полуфабрикатами, Наркомтруд — обеспечить капитальное строительство необходи</w:t>
      </w:r>
      <w:r w:rsidRPr="00507A31">
        <w:rPr>
          <w:color w:val="000000" w:themeColor="text1"/>
          <w:sz w:val="16"/>
          <w:szCs w:val="16"/>
        </w:rPr>
        <w:softHyphen/>
        <w:t>мыми кадрами. Военные заводы освобождались «от мобилизации личного состава на разные кампании (посевная, хлебозаготови</w:t>
      </w:r>
      <w:r w:rsidRPr="00507A31">
        <w:rPr>
          <w:color w:val="000000" w:themeColor="text1"/>
          <w:sz w:val="16"/>
          <w:szCs w:val="16"/>
        </w:rPr>
        <w:softHyphen/>
        <w:t>тельная, колхозная и т.д.)» (ГАРФ ф.8418, оп. 21, д. 2, л. 170) (1566,74).</w:t>
      </w:r>
    </w:p>
    <w:p w14:paraId="2EE4F138" w14:textId="77777777" w:rsidR="00537E5F" w:rsidRPr="00507A31" w:rsidRDefault="00537E5F" w:rsidP="00507A31">
      <w:pPr>
        <w:autoSpaceDE w:val="0"/>
        <w:autoSpaceDN w:val="0"/>
        <w:adjustRightInd w:val="0"/>
        <w:jc w:val="both"/>
        <w:rPr>
          <w:color w:val="000000" w:themeColor="text1"/>
          <w:sz w:val="16"/>
          <w:szCs w:val="16"/>
        </w:rPr>
      </w:pPr>
    </w:p>
    <w:p w14:paraId="2006CF75" w14:textId="77777777" w:rsidR="006214BF" w:rsidRPr="00507A31" w:rsidRDefault="006214BF" w:rsidP="00507A31">
      <w:pPr>
        <w:jc w:val="both"/>
        <w:rPr>
          <w:color w:val="000000" w:themeColor="text1"/>
          <w:sz w:val="16"/>
          <w:szCs w:val="16"/>
        </w:rPr>
      </w:pPr>
      <w:r w:rsidRPr="00507A31">
        <w:rPr>
          <w:color w:val="000000" w:themeColor="text1"/>
          <w:sz w:val="16"/>
          <w:szCs w:val="16"/>
        </w:rPr>
        <w:t>25 февраля 1930</w:t>
      </w:r>
    </w:p>
    <w:p w14:paraId="40517460" w14:textId="77777777" w:rsidR="006214BF" w:rsidRPr="00507A31" w:rsidRDefault="006214BF" w:rsidP="00507A31">
      <w:pPr>
        <w:jc w:val="both"/>
        <w:rPr>
          <w:color w:val="000000" w:themeColor="text1"/>
          <w:sz w:val="16"/>
          <w:szCs w:val="16"/>
        </w:rPr>
      </w:pPr>
      <w:r w:rsidRPr="00507A31">
        <w:rPr>
          <w:color w:val="000000" w:themeColor="text1"/>
          <w:sz w:val="16"/>
          <w:szCs w:val="16"/>
        </w:rPr>
        <w:t>Источник: </w:t>
      </w:r>
    </w:p>
    <w:p w14:paraId="0FEA5B8C" w14:textId="77777777" w:rsidR="006214BF" w:rsidRPr="00507A31" w:rsidRDefault="006214BF" w:rsidP="00507A31">
      <w:pPr>
        <w:jc w:val="both"/>
        <w:rPr>
          <w:color w:val="000000" w:themeColor="text1"/>
          <w:sz w:val="16"/>
          <w:szCs w:val="16"/>
        </w:rPr>
      </w:pPr>
      <w:r w:rsidRPr="00507A31">
        <w:rPr>
          <w:color w:val="000000" w:themeColor="text1"/>
          <w:sz w:val="16"/>
          <w:szCs w:val="16"/>
        </w:rPr>
        <w:t>http://sovdoc.rusarchives.ru</w:t>
      </w:r>
    </w:p>
    <w:p w14:paraId="2CC6C714" w14:textId="77777777" w:rsidR="006214BF" w:rsidRPr="00507A31" w:rsidRDefault="006214BF" w:rsidP="00507A31">
      <w:pPr>
        <w:jc w:val="both"/>
        <w:rPr>
          <w:color w:val="000000" w:themeColor="text1"/>
          <w:sz w:val="16"/>
          <w:szCs w:val="16"/>
        </w:rPr>
      </w:pPr>
      <w:r w:rsidRPr="00507A31">
        <w:rPr>
          <w:color w:val="000000" w:themeColor="text1"/>
          <w:sz w:val="16"/>
          <w:szCs w:val="16"/>
        </w:rPr>
        <w:t>Архив: </w:t>
      </w:r>
    </w:p>
    <w:p w14:paraId="60D00D1A" w14:textId="77777777" w:rsidR="006214BF" w:rsidRPr="00507A31" w:rsidRDefault="006214BF" w:rsidP="00507A31">
      <w:pPr>
        <w:jc w:val="both"/>
        <w:rPr>
          <w:color w:val="000000" w:themeColor="text1"/>
          <w:sz w:val="16"/>
          <w:szCs w:val="16"/>
        </w:rPr>
      </w:pPr>
      <w:r w:rsidRPr="00507A31">
        <w:rPr>
          <w:color w:val="000000" w:themeColor="text1"/>
          <w:sz w:val="16"/>
          <w:szCs w:val="16"/>
        </w:rPr>
        <w:t>РГАСПИ. Ф. 17. Оп. 162. Д. 8. Л. 85-91.</w:t>
      </w:r>
    </w:p>
    <w:p w14:paraId="2893792F" w14:textId="77777777" w:rsidR="006214BF" w:rsidRPr="00507A31" w:rsidRDefault="006214BF" w:rsidP="00507A31">
      <w:pPr>
        <w:jc w:val="both"/>
        <w:rPr>
          <w:color w:val="000000" w:themeColor="text1"/>
          <w:sz w:val="16"/>
          <w:szCs w:val="16"/>
        </w:rPr>
      </w:pPr>
      <w:r w:rsidRPr="00507A31">
        <w:rPr>
          <w:color w:val="000000" w:themeColor="text1"/>
          <w:sz w:val="16"/>
          <w:szCs w:val="16"/>
        </w:rPr>
        <w:t>Приложение № 1</w:t>
      </w:r>
      <w:r w:rsidRPr="00507A31">
        <w:rPr>
          <w:color w:val="000000" w:themeColor="text1"/>
          <w:sz w:val="16"/>
          <w:szCs w:val="16"/>
        </w:rPr>
        <w:noBreakHyphen/>
        <w:t>ОП</w:t>
      </w:r>
    </w:p>
    <w:p w14:paraId="3C9CD8A4" w14:textId="77777777" w:rsidR="006214BF" w:rsidRPr="00507A31" w:rsidRDefault="006214BF" w:rsidP="00507A31">
      <w:pPr>
        <w:jc w:val="both"/>
        <w:rPr>
          <w:color w:val="000000" w:themeColor="text1"/>
          <w:sz w:val="16"/>
          <w:szCs w:val="16"/>
        </w:rPr>
      </w:pPr>
      <w:r w:rsidRPr="00507A31">
        <w:rPr>
          <w:color w:val="000000" w:themeColor="text1"/>
          <w:sz w:val="16"/>
          <w:szCs w:val="16"/>
        </w:rPr>
        <w:t>к п. 4 (о. п.) пр. ПБ № 118.</w:t>
      </w:r>
    </w:p>
    <w:p w14:paraId="682FD9E0" w14:textId="77777777" w:rsidR="006214BF" w:rsidRPr="00507A31" w:rsidRDefault="006214BF" w:rsidP="00507A31">
      <w:pPr>
        <w:jc w:val="both"/>
        <w:rPr>
          <w:color w:val="000000" w:themeColor="text1"/>
          <w:sz w:val="16"/>
          <w:szCs w:val="16"/>
        </w:rPr>
      </w:pPr>
      <w:r w:rsidRPr="00507A31">
        <w:rPr>
          <w:color w:val="000000" w:themeColor="text1"/>
          <w:sz w:val="16"/>
          <w:szCs w:val="16"/>
        </w:rPr>
        <w:t>О ликвидации вредительства на предприятиях военной промышленности.</w:t>
      </w:r>
    </w:p>
    <w:p w14:paraId="0EC65F76" w14:textId="77777777" w:rsidR="006214BF" w:rsidRPr="00507A31" w:rsidRDefault="006214BF" w:rsidP="00507A31">
      <w:pPr>
        <w:jc w:val="both"/>
        <w:rPr>
          <w:color w:val="000000" w:themeColor="text1"/>
          <w:sz w:val="16"/>
          <w:szCs w:val="16"/>
        </w:rPr>
      </w:pPr>
      <w:r w:rsidRPr="00507A31">
        <w:rPr>
          <w:color w:val="000000" w:themeColor="text1"/>
          <w:sz w:val="16"/>
          <w:szCs w:val="16"/>
        </w:rPr>
        <w:t>(Утверждено Политбюро ЦК ВКП(б) 25.II.1930 г.).</w:t>
      </w:r>
    </w:p>
    <w:p w14:paraId="6B48F9B9" w14:textId="77777777" w:rsidR="006214BF" w:rsidRPr="00507A31" w:rsidRDefault="006214BF" w:rsidP="00507A31">
      <w:pPr>
        <w:jc w:val="both"/>
        <w:rPr>
          <w:color w:val="000000" w:themeColor="text1"/>
          <w:sz w:val="16"/>
          <w:szCs w:val="16"/>
        </w:rPr>
      </w:pPr>
      <w:r w:rsidRPr="00507A31">
        <w:rPr>
          <w:color w:val="000000" w:themeColor="text1"/>
          <w:sz w:val="16"/>
          <w:szCs w:val="16"/>
        </w:rPr>
        <w:t>I.</w:t>
      </w:r>
    </w:p>
    <w:p w14:paraId="69A10F76" w14:textId="77777777" w:rsidR="006214BF" w:rsidRPr="00507A31" w:rsidRDefault="006214BF" w:rsidP="00507A31">
      <w:pPr>
        <w:jc w:val="both"/>
        <w:rPr>
          <w:color w:val="000000" w:themeColor="text1"/>
          <w:sz w:val="16"/>
          <w:szCs w:val="16"/>
        </w:rPr>
      </w:pPr>
      <w:r w:rsidRPr="00507A31">
        <w:rPr>
          <w:color w:val="000000" w:themeColor="text1"/>
          <w:sz w:val="16"/>
          <w:szCs w:val="16"/>
        </w:rPr>
        <w:lastRenderedPageBreak/>
        <w:t>Заслушав доклад ОГПУ о ликвидации на предприятиях военной промышленности последствий вредительства, ЦК 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w:t>
      </w:r>
    </w:p>
    <w:p w14:paraId="62DB1960" w14:textId="77777777" w:rsidR="006214BF" w:rsidRPr="00507A31" w:rsidRDefault="006214BF" w:rsidP="00507A31">
      <w:pPr>
        <w:jc w:val="both"/>
        <w:rPr>
          <w:color w:val="000000" w:themeColor="text1"/>
          <w:sz w:val="16"/>
          <w:szCs w:val="16"/>
        </w:rPr>
      </w:pPr>
      <w:r w:rsidRPr="00507A31">
        <w:rPr>
          <w:color w:val="000000" w:themeColor="text1"/>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0A696D37" w14:textId="77777777" w:rsidR="006214BF" w:rsidRPr="00507A31" w:rsidRDefault="006214BF" w:rsidP="00507A31">
      <w:pPr>
        <w:jc w:val="both"/>
        <w:rPr>
          <w:color w:val="000000" w:themeColor="text1"/>
          <w:sz w:val="16"/>
          <w:szCs w:val="16"/>
        </w:rPr>
      </w:pPr>
      <w:r w:rsidRPr="00507A31">
        <w:rPr>
          <w:color w:val="000000" w:themeColor="text1"/>
          <w:sz w:val="16"/>
          <w:szCs w:val="16"/>
        </w:rPr>
        <w:t>1. Несерьезное отношение 6ольшинства руководящего состава военной промышленности к информационным документам ОГПУ (обвинительное заключение по вредительству от августа 1929 г. и другие сообщения).</w:t>
      </w:r>
    </w:p>
    <w:p w14:paraId="098F9BB2" w14:textId="77777777" w:rsidR="006214BF" w:rsidRPr="00507A31" w:rsidRDefault="006214BF" w:rsidP="00507A31">
      <w:pPr>
        <w:jc w:val="both"/>
        <w:rPr>
          <w:color w:val="000000" w:themeColor="text1"/>
          <w:sz w:val="16"/>
          <w:szCs w:val="16"/>
        </w:rPr>
      </w:pPr>
      <w:r w:rsidRPr="00507A31">
        <w:rPr>
          <w:color w:val="000000" w:themeColor="text1"/>
          <w:sz w:val="16"/>
          <w:szCs w:val="16"/>
        </w:rPr>
        <w:t>2. 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65549E6E" w14:textId="77777777" w:rsidR="006214BF" w:rsidRPr="00507A31" w:rsidRDefault="006214BF" w:rsidP="00507A31">
      <w:pPr>
        <w:jc w:val="both"/>
        <w:rPr>
          <w:color w:val="000000" w:themeColor="text1"/>
          <w:sz w:val="16"/>
          <w:szCs w:val="16"/>
        </w:rPr>
      </w:pPr>
      <w:r w:rsidRPr="00507A31">
        <w:rPr>
          <w:color w:val="000000" w:themeColor="text1"/>
          <w:sz w:val="16"/>
          <w:szCs w:val="16"/>
        </w:rPr>
        <w:t>а) не мобилизовали внимания рабочих и всего инженерно-технического персонала к восстановлению утерянных навыков точных работ;</w:t>
      </w:r>
    </w:p>
    <w:p w14:paraId="7A4EC696" w14:textId="77777777" w:rsidR="006214BF" w:rsidRPr="00507A31" w:rsidRDefault="006214BF" w:rsidP="00507A31">
      <w:pPr>
        <w:jc w:val="both"/>
        <w:rPr>
          <w:color w:val="000000" w:themeColor="text1"/>
          <w:sz w:val="16"/>
          <w:szCs w:val="16"/>
        </w:rPr>
      </w:pPr>
      <w:r w:rsidRPr="00507A31">
        <w:rPr>
          <w:color w:val="000000" w:themeColor="text1"/>
          <w:sz w:val="16"/>
          <w:szCs w:val="16"/>
        </w:rPr>
        <w:t>б) 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3B256686" w14:textId="77777777" w:rsidR="006214BF" w:rsidRPr="00507A31" w:rsidRDefault="006214BF" w:rsidP="00507A31">
      <w:pPr>
        <w:jc w:val="both"/>
        <w:rPr>
          <w:color w:val="000000" w:themeColor="text1"/>
          <w:sz w:val="16"/>
          <w:szCs w:val="16"/>
        </w:rPr>
      </w:pPr>
      <w:r w:rsidRPr="00507A31">
        <w:rPr>
          <w:color w:val="000000" w:themeColor="text1"/>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24DAEA3D" w14:textId="77777777" w:rsidR="006214BF" w:rsidRPr="00507A31" w:rsidRDefault="006214BF" w:rsidP="00507A31">
      <w:pPr>
        <w:jc w:val="both"/>
        <w:rPr>
          <w:color w:val="000000" w:themeColor="text1"/>
          <w:sz w:val="16"/>
          <w:szCs w:val="16"/>
        </w:rPr>
      </w:pPr>
      <w:r w:rsidRPr="00507A31">
        <w:rPr>
          <w:color w:val="000000" w:themeColor="text1"/>
          <w:sz w:val="16"/>
          <w:szCs w:val="16"/>
        </w:rPr>
        <w:t>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7D58EB8A" w14:textId="77777777" w:rsidR="006214BF" w:rsidRPr="00507A31" w:rsidRDefault="006214BF" w:rsidP="00507A31">
      <w:pPr>
        <w:jc w:val="both"/>
        <w:rPr>
          <w:color w:val="000000" w:themeColor="text1"/>
          <w:sz w:val="16"/>
          <w:szCs w:val="16"/>
        </w:rPr>
      </w:pPr>
      <w:r w:rsidRPr="00507A31">
        <w:rPr>
          <w:color w:val="000000" w:themeColor="text1"/>
          <w:sz w:val="16"/>
          <w:szCs w:val="16"/>
        </w:rPr>
        <w:t>3. По-прежнему не привлечен к организации и рационализации производства беспартийный и коммунистически рабочий актив, благодаря чему остались не 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тек и низовых профессиональных и партийных организаций.</w:t>
      </w:r>
    </w:p>
    <w:p w14:paraId="575114FA" w14:textId="77777777" w:rsidR="006214BF" w:rsidRPr="00507A31" w:rsidRDefault="006214BF" w:rsidP="00507A31">
      <w:pPr>
        <w:jc w:val="both"/>
        <w:rPr>
          <w:color w:val="000000" w:themeColor="text1"/>
          <w:sz w:val="16"/>
          <w:szCs w:val="16"/>
        </w:rPr>
      </w:pPr>
      <w:r w:rsidRPr="00507A31">
        <w:rPr>
          <w:color w:val="000000" w:themeColor="text1"/>
          <w:sz w:val="16"/>
          <w:szCs w:val="16"/>
        </w:rPr>
        <w:t>4. Наблюдаются случаи активного и пассивного сопротивления директоров заводов мероприятиям ОГПУ по ликвидации последствий вредительства.</w:t>
      </w:r>
    </w:p>
    <w:p w14:paraId="5C9EA0CC" w14:textId="77777777" w:rsidR="006214BF" w:rsidRPr="00507A31" w:rsidRDefault="006214BF" w:rsidP="00507A31">
      <w:pPr>
        <w:jc w:val="both"/>
        <w:rPr>
          <w:color w:val="000000" w:themeColor="text1"/>
          <w:sz w:val="16"/>
          <w:szCs w:val="16"/>
        </w:rPr>
      </w:pPr>
      <w:r w:rsidRPr="00507A31">
        <w:rPr>
          <w:color w:val="000000" w:themeColor="text1"/>
          <w:sz w:val="16"/>
          <w:szCs w:val="16"/>
        </w:rPr>
        <w:t>II.</w:t>
      </w:r>
    </w:p>
    <w:p w14:paraId="4C8B941D" w14:textId="77777777" w:rsidR="006214BF" w:rsidRPr="00507A31" w:rsidRDefault="006214BF" w:rsidP="00507A31">
      <w:pPr>
        <w:jc w:val="both"/>
        <w:rPr>
          <w:color w:val="000000" w:themeColor="text1"/>
          <w:sz w:val="16"/>
          <w:szCs w:val="16"/>
        </w:rPr>
      </w:pPr>
      <w:r w:rsidRPr="00507A31">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21BE0CDB" w14:textId="77777777" w:rsidR="006214BF" w:rsidRPr="00507A31" w:rsidRDefault="006214BF" w:rsidP="00507A31">
      <w:pPr>
        <w:jc w:val="both"/>
        <w:rPr>
          <w:color w:val="000000" w:themeColor="text1"/>
          <w:sz w:val="16"/>
          <w:szCs w:val="16"/>
        </w:rPr>
      </w:pPr>
      <w:r w:rsidRPr="00507A31">
        <w:rPr>
          <w:color w:val="000000" w:themeColor="text1"/>
          <w:sz w:val="16"/>
          <w:szCs w:val="16"/>
        </w:rPr>
        <w:t>1. Крупные недоделы военной продукции по 1</w:t>
      </w:r>
      <w:r w:rsidRPr="00507A31">
        <w:rPr>
          <w:color w:val="000000" w:themeColor="text1"/>
          <w:sz w:val="16"/>
          <w:szCs w:val="16"/>
        </w:rPr>
        <w:noBreakHyphen/>
        <w:t>му кварталу 1929/30 г. почти по всем трестам.</w:t>
      </w:r>
    </w:p>
    <w:p w14:paraId="12FFEBC1" w14:textId="77777777" w:rsidR="006214BF" w:rsidRPr="00507A31" w:rsidRDefault="006214BF" w:rsidP="00507A31">
      <w:pPr>
        <w:jc w:val="both"/>
        <w:rPr>
          <w:color w:val="000000" w:themeColor="text1"/>
          <w:sz w:val="16"/>
          <w:szCs w:val="16"/>
        </w:rPr>
      </w:pPr>
      <w:r w:rsidRPr="00507A31">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7F03F572" w14:textId="77777777" w:rsidR="006214BF" w:rsidRPr="00507A31" w:rsidRDefault="006214BF" w:rsidP="00507A31">
      <w:pPr>
        <w:jc w:val="both"/>
        <w:rPr>
          <w:color w:val="000000" w:themeColor="text1"/>
          <w:sz w:val="16"/>
          <w:szCs w:val="16"/>
        </w:rPr>
      </w:pPr>
      <w:r w:rsidRPr="00507A31">
        <w:rPr>
          <w:color w:val="000000" w:themeColor="text1"/>
          <w:sz w:val="16"/>
          <w:szCs w:val="16"/>
        </w:rPr>
        <w:t>3. 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55EC084E" w14:textId="77777777" w:rsidR="006214BF" w:rsidRPr="00507A31" w:rsidRDefault="006214BF" w:rsidP="00507A31">
      <w:pPr>
        <w:jc w:val="both"/>
        <w:rPr>
          <w:color w:val="000000" w:themeColor="text1"/>
          <w:sz w:val="16"/>
          <w:szCs w:val="16"/>
        </w:rPr>
      </w:pPr>
      <w:r w:rsidRPr="00507A31">
        <w:rPr>
          <w:color w:val="000000" w:themeColor="text1"/>
          <w:sz w:val="16"/>
          <w:szCs w:val="16"/>
        </w:rPr>
        <w:t>Все это свидетельствует, что в основном решения Политбюро от 15.VII.1929 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w:t>
      </w:r>
    </w:p>
    <w:p w14:paraId="5B0775C5" w14:textId="77777777" w:rsidR="006214BF" w:rsidRPr="00507A31" w:rsidRDefault="006214BF" w:rsidP="00507A31">
      <w:pPr>
        <w:jc w:val="both"/>
        <w:rPr>
          <w:color w:val="000000" w:themeColor="text1"/>
          <w:sz w:val="16"/>
          <w:szCs w:val="16"/>
        </w:rPr>
      </w:pPr>
      <w:r w:rsidRPr="00507A31">
        <w:rPr>
          <w:color w:val="000000" w:themeColor="text1"/>
          <w:sz w:val="16"/>
          <w:szCs w:val="16"/>
        </w:rPr>
        <w:t>Все это обязывает директоров заводов, руководителей трестов, ГВПУ и ВСНХ мобилизовать всевозможные силы и средства для ликвидации в кратчайший срок последствий вредительства по производству военной продукции.</w:t>
      </w:r>
    </w:p>
    <w:p w14:paraId="483DF3D0" w14:textId="77777777" w:rsidR="006214BF" w:rsidRPr="00507A31" w:rsidRDefault="006214BF" w:rsidP="00507A31">
      <w:pPr>
        <w:jc w:val="both"/>
        <w:rPr>
          <w:color w:val="000000" w:themeColor="text1"/>
          <w:sz w:val="16"/>
          <w:szCs w:val="16"/>
        </w:rPr>
      </w:pPr>
      <w:r w:rsidRPr="00507A31">
        <w:rPr>
          <w:color w:val="000000" w:themeColor="text1"/>
          <w:sz w:val="16"/>
          <w:szCs w:val="16"/>
        </w:rPr>
        <w:t>III.</w:t>
      </w:r>
    </w:p>
    <w:p w14:paraId="0BBF45F6" w14:textId="77777777" w:rsidR="006214BF" w:rsidRPr="00507A31" w:rsidRDefault="006214BF" w:rsidP="00507A31">
      <w:pPr>
        <w:jc w:val="both"/>
        <w:rPr>
          <w:color w:val="000000" w:themeColor="text1"/>
          <w:sz w:val="16"/>
          <w:szCs w:val="16"/>
        </w:rPr>
      </w:pPr>
      <w:r w:rsidRPr="00507A31">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43EBA836" w14:textId="77777777" w:rsidR="006214BF" w:rsidRPr="00507A31" w:rsidRDefault="006214BF" w:rsidP="00507A31">
      <w:pPr>
        <w:jc w:val="both"/>
        <w:rPr>
          <w:color w:val="000000" w:themeColor="text1"/>
          <w:sz w:val="16"/>
          <w:szCs w:val="16"/>
        </w:rPr>
      </w:pPr>
      <w:r w:rsidRPr="00507A31">
        <w:rPr>
          <w:color w:val="000000" w:themeColor="text1"/>
          <w:sz w:val="16"/>
          <w:szCs w:val="16"/>
        </w:rPr>
        <w:t>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 т. д.), с установлением точных кратчайших сроков их выполнения, привлекая к работе по ликвидации вредительства и раскаявшихся вредителей.</w:t>
      </w:r>
    </w:p>
    <w:p w14:paraId="42A10226" w14:textId="77777777" w:rsidR="006214BF" w:rsidRPr="00507A31" w:rsidRDefault="006214BF" w:rsidP="00507A31">
      <w:pPr>
        <w:jc w:val="both"/>
        <w:rPr>
          <w:color w:val="000000" w:themeColor="text1"/>
          <w:sz w:val="16"/>
          <w:szCs w:val="16"/>
        </w:rPr>
      </w:pPr>
      <w:r w:rsidRPr="00507A31">
        <w:rPr>
          <w:color w:val="000000" w:themeColor="text1"/>
          <w:sz w:val="16"/>
          <w:szCs w:val="16"/>
        </w:rPr>
        <w:t>ГВПУ и ОГПУ развернуть работу этих комиссий немедленно.</w:t>
      </w:r>
    </w:p>
    <w:p w14:paraId="35DC402D" w14:textId="77777777" w:rsidR="006214BF" w:rsidRPr="00507A31" w:rsidRDefault="006214BF" w:rsidP="00507A31">
      <w:pPr>
        <w:jc w:val="both"/>
        <w:rPr>
          <w:color w:val="000000" w:themeColor="text1"/>
          <w:sz w:val="16"/>
          <w:szCs w:val="16"/>
        </w:rPr>
      </w:pPr>
      <w:r w:rsidRPr="00507A31">
        <w:rPr>
          <w:color w:val="000000" w:themeColor="text1"/>
          <w:sz w:val="16"/>
          <w:szCs w:val="16"/>
        </w:rPr>
        <w:t>2. Привлечь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 716).</w:t>
      </w:r>
    </w:p>
    <w:p w14:paraId="5D96C60D" w14:textId="77777777" w:rsidR="006214BF" w:rsidRPr="00507A31" w:rsidRDefault="006214BF" w:rsidP="00507A31">
      <w:pPr>
        <w:jc w:val="both"/>
        <w:rPr>
          <w:color w:val="000000" w:themeColor="text1"/>
          <w:sz w:val="16"/>
          <w:szCs w:val="16"/>
        </w:rPr>
      </w:pPr>
      <w:r w:rsidRPr="00507A31">
        <w:rPr>
          <w:color w:val="000000" w:themeColor="text1"/>
          <w:sz w:val="16"/>
          <w:szCs w:val="16"/>
        </w:rPr>
        <w:t>3. Всему хозяйственному составу (в особенности по ОАТ и по ВХТ) усилить бдительность в дальнейшем вскрытии вредительских актов.</w:t>
      </w:r>
    </w:p>
    <w:p w14:paraId="7C38DA67" w14:textId="77777777" w:rsidR="006214BF" w:rsidRPr="00507A31" w:rsidRDefault="006214BF" w:rsidP="00507A31">
      <w:pPr>
        <w:jc w:val="both"/>
        <w:rPr>
          <w:color w:val="000000" w:themeColor="text1"/>
          <w:sz w:val="16"/>
          <w:szCs w:val="16"/>
        </w:rPr>
      </w:pPr>
      <w:r w:rsidRPr="00507A31">
        <w:rPr>
          <w:color w:val="000000" w:themeColor="text1"/>
          <w:sz w:val="16"/>
          <w:szCs w:val="16"/>
        </w:rPr>
        <w:t>4. Обвинительное заключение ОГПУ о вредительстве (от августа 1929 г.) и дополнительные материалы по этому вопросу разослать всем окружным партийным комитетам, на территории коих расположены военные заводы.</w:t>
      </w:r>
    </w:p>
    <w:p w14:paraId="2C1FA106" w14:textId="77777777" w:rsidR="006214BF" w:rsidRPr="00507A31" w:rsidRDefault="006214BF" w:rsidP="00507A31">
      <w:pPr>
        <w:jc w:val="both"/>
        <w:rPr>
          <w:color w:val="000000" w:themeColor="text1"/>
          <w:sz w:val="16"/>
          <w:szCs w:val="16"/>
        </w:rPr>
      </w:pPr>
      <w:r w:rsidRPr="00507A31">
        <w:rPr>
          <w:color w:val="000000" w:themeColor="text1"/>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5471238B" w14:textId="77777777" w:rsidR="006214BF" w:rsidRPr="00507A31" w:rsidRDefault="006214BF" w:rsidP="00507A31">
      <w:pPr>
        <w:jc w:val="both"/>
        <w:rPr>
          <w:color w:val="000000" w:themeColor="text1"/>
          <w:sz w:val="16"/>
          <w:szCs w:val="16"/>
        </w:rPr>
      </w:pPr>
      <w:r w:rsidRPr="00507A31">
        <w:rPr>
          <w:color w:val="000000" w:themeColor="text1"/>
          <w:sz w:val="16"/>
          <w:szCs w:val="16"/>
        </w:rPr>
        <w:t>5. Разъяснить всем руководителям хозяйственных органов военной промышленности (директорам заводов, председателям трестов и т. 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136D6676" w14:textId="77777777" w:rsidR="006214BF" w:rsidRPr="00507A31" w:rsidRDefault="006214BF" w:rsidP="00507A31">
      <w:pPr>
        <w:jc w:val="both"/>
        <w:rPr>
          <w:color w:val="000000" w:themeColor="text1"/>
          <w:sz w:val="16"/>
          <w:szCs w:val="16"/>
        </w:rPr>
      </w:pPr>
      <w:r w:rsidRPr="00507A31">
        <w:rPr>
          <w:color w:val="000000" w:themeColor="text1"/>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670083F9" w14:textId="77777777" w:rsidR="006214BF" w:rsidRPr="00507A31" w:rsidRDefault="006214BF" w:rsidP="00507A31">
      <w:pPr>
        <w:jc w:val="both"/>
        <w:rPr>
          <w:color w:val="000000" w:themeColor="text1"/>
          <w:sz w:val="16"/>
          <w:szCs w:val="16"/>
        </w:rPr>
      </w:pPr>
      <w:r w:rsidRPr="00507A31">
        <w:rPr>
          <w:color w:val="000000" w:themeColor="text1"/>
          <w:sz w:val="16"/>
          <w:szCs w:val="16"/>
        </w:rPr>
        <w:t>6. 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длительными (месяца на 2</w:t>
      </w:r>
      <w:r w:rsidRPr="00507A31">
        <w:rPr>
          <w:color w:val="000000" w:themeColor="text1"/>
          <w:sz w:val="16"/>
          <w:szCs w:val="16"/>
        </w:rPr>
        <w:noBreakHyphen/>
        <w:t>3) выездами на таковые. 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19D3CFC3" w14:textId="77777777" w:rsidR="006214BF" w:rsidRPr="00507A31" w:rsidRDefault="006214BF" w:rsidP="00507A31">
      <w:pPr>
        <w:jc w:val="both"/>
        <w:rPr>
          <w:color w:val="000000" w:themeColor="text1"/>
          <w:sz w:val="16"/>
          <w:szCs w:val="16"/>
        </w:rPr>
      </w:pPr>
      <w:r w:rsidRPr="00507A31">
        <w:rPr>
          <w:color w:val="000000" w:themeColor="text1"/>
          <w:sz w:val="16"/>
          <w:szCs w:val="16"/>
        </w:rPr>
        <w:t>7. Предложить ВСНХ издать приказ о переходе в объединениях и трестах военной промышленности от коллегиального к единоличному управлению.</w:t>
      </w:r>
    </w:p>
    <w:p w14:paraId="6DD61952" w14:textId="77777777" w:rsidR="006214BF" w:rsidRPr="00507A31" w:rsidRDefault="006214BF" w:rsidP="00507A31">
      <w:pPr>
        <w:jc w:val="both"/>
        <w:rPr>
          <w:color w:val="000000" w:themeColor="text1"/>
          <w:sz w:val="16"/>
          <w:szCs w:val="16"/>
        </w:rPr>
      </w:pPr>
      <w:r w:rsidRPr="00507A31">
        <w:rPr>
          <w:color w:val="000000" w:themeColor="text1"/>
          <w:sz w:val="16"/>
          <w:szCs w:val="16"/>
        </w:rPr>
        <w:t>8. 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49964272" w14:textId="77777777" w:rsidR="006214BF" w:rsidRPr="00507A31" w:rsidRDefault="006214BF" w:rsidP="00507A31">
      <w:pPr>
        <w:jc w:val="both"/>
        <w:rPr>
          <w:color w:val="000000" w:themeColor="text1"/>
          <w:sz w:val="16"/>
          <w:szCs w:val="16"/>
        </w:rPr>
      </w:pPr>
      <w:r w:rsidRPr="00507A31">
        <w:rPr>
          <w:color w:val="000000" w:themeColor="text1"/>
          <w:sz w:val="16"/>
          <w:szCs w:val="16"/>
        </w:rPr>
        <w:t>9. Для оздоровления инструментального и лекального дела:</w:t>
      </w:r>
    </w:p>
    <w:p w14:paraId="247FD95F" w14:textId="77777777" w:rsidR="006214BF" w:rsidRPr="00507A31" w:rsidRDefault="006214BF" w:rsidP="00507A31">
      <w:pPr>
        <w:jc w:val="both"/>
        <w:rPr>
          <w:color w:val="000000" w:themeColor="text1"/>
          <w:sz w:val="16"/>
          <w:szCs w:val="16"/>
        </w:rPr>
      </w:pPr>
      <w:r w:rsidRPr="00507A31">
        <w:rPr>
          <w:color w:val="000000" w:themeColor="text1"/>
          <w:sz w:val="16"/>
          <w:szCs w:val="16"/>
        </w:rPr>
        <w:t>а) организовать на всех заводах военной промышленности генеральную проверку чертежей, эталонов, шаблонов, лекал и рабочего инструмента и изъять все негодное.</w:t>
      </w:r>
    </w:p>
    <w:p w14:paraId="57C2CFB3" w14:textId="77777777" w:rsidR="006214BF" w:rsidRPr="00507A31" w:rsidRDefault="006214BF" w:rsidP="00507A31">
      <w:pPr>
        <w:jc w:val="both"/>
        <w:rPr>
          <w:color w:val="000000" w:themeColor="text1"/>
          <w:sz w:val="16"/>
          <w:szCs w:val="16"/>
        </w:rPr>
      </w:pPr>
      <w:r w:rsidRPr="00507A31">
        <w:rPr>
          <w:color w:val="000000" w:themeColor="text1"/>
          <w:sz w:val="16"/>
          <w:szCs w:val="16"/>
        </w:rPr>
        <w:t>б) ВСНХ и НКВМ в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67A6FD16" w14:textId="77777777" w:rsidR="006214BF" w:rsidRPr="00507A31" w:rsidRDefault="006214BF" w:rsidP="00507A31">
      <w:pPr>
        <w:jc w:val="both"/>
        <w:rPr>
          <w:color w:val="000000" w:themeColor="text1"/>
          <w:sz w:val="16"/>
          <w:szCs w:val="16"/>
        </w:rPr>
      </w:pPr>
      <w:r w:rsidRPr="00507A31">
        <w:rPr>
          <w:color w:val="000000" w:themeColor="text1"/>
          <w:sz w:val="16"/>
          <w:szCs w:val="16"/>
        </w:rPr>
        <w:t>в) НКВМ ускорить пересмотр всех чертежей, закончив его по основным изделиям в 2</w:t>
      </w:r>
      <w:r w:rsidRPr="00507A31">
        <w:rPr>
          <w:color w:val="000000" w:themeColor="text1"/>
          <w:sz w:val="16"/>
          <w:szCs w:val="16"/>
        </w:rPr>
        <w:noBreakHyphen/>
        <w:t>х месячный срок.</w:t>
      </w:r>
    </w:p>
    <w:p w14:paraId="0C4826E3" w14:textId="77777777" w:rsidR="006214BF" w:rsidRPr="00507A31" w:rsidRDefault="006214BF" w:rsidP="00507A31">
      <w:pPr>
        <w:jc w:val="both"/>
        <w:rPr>
          <w:color w:val="000000" w:themeColor="text1"/>
          <w:sz w:val="16"/>
          <w:szCs w:val="16"/>
        </w:rPr>
      </w:pPr>
      <w:r w:rsidRPr="00507A31">
        <w:rPr>
          <w:color w:val="000000" w:themeColor="text1"/>
          <w:sz w:val="16"/>
          <w:szCs w:val="16"/>
        </w:rPr>
        <w:t>г) ВСНХ наладить использование в полной мере инструментальных отделов (цехов) военных заводов, организовать в 1930/31 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47088989" w14:textId="77777777" w:rsidR="006214BF" w:rsidRPr="00507A31" w:rsidRDefault="006214BF" w:rsidP="00507A31">
      <w:pPr>
        <w:jc w:val="both"/>
        <w:rPr>
          <w:color w:val="000000" w:themeColor="text1"/>
          <w:sz w:val="16"/>
          <w:szCs w:val="16"/>
        </w:rPr>
      </w:pPr>
      <w:r w:rsidRPr="00507A31">
        <w:rPr>
          <w:color w:val="000000" w:themeColor="text1"/>
          <w:sz w:val="16"/>
          <w:szCs w:val="16"/>
        </w:rPr>
        <w:t>д) НКТоргу и ВСНХ еще в 1929/30 г. обеспечить все инструментальные отделы заводов нужным количеством инструментальной стали и в первую очередь завести все импортное оборудование для указанных цехов.</w:t>
      </w:r>
    </w:p>
    <w:p w14:paraId="2D913A04" w14:textId="77777777" w:rsidR="006214BF" w:rsidRPr="00507A31" w:rsidRDefault="006214BF" w:rsidP="00507A31">
      <w:pPr>
        <w:jc w:val="both"/>
        <w:rPr>
          <w:color w:val="000000" w:themeColor="text1"/>
          <w:sz w:val="16"/>
          <w:szCs w:val="16"/>
        </w:rPr>
      </w:pPr>
      <w:r w:rsidRPr="00507A31">
        <w:rPr>
          <w:color w:val="000000" w:themeColor="text1"/>
          <w:sz w:val="16"/>
          <w:szCs w:val="16"/>
        </w:rPr>
        <w:t>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376B7ED9" w14:textId="77777777" w:rsidR="006214BF" w:rsidRPr="00507A31" w:rsidRDefault="006214BF" w:rsidP="00507A31">
      <w:pPr>
        <w:jc w:val="both"/>
        <w:rPr>
          <w:color w:val="000000" w:themeColor="text1"/>
          <w:sz w:val="16"/>
          <w:szCs w:val="16"/>
        </w:rPr>
      </w:pPr>
      <w:r w:rsidRPr="00507A31">
        <w:rPr>
          <w:color w:val="000000" w:themeColor="text1"/>
          <w:sz w:val="16"/>
          <w:szCs w:val="16"/>
        </w:rPr>
        <w:t>ж) ВСНХ более смело использовать заграничную помощь вербовка лекальщиков в Германии и т. д.).</w:t>
      </w:r>
    </w:p>
    <w:p w14:paraId="31EE2B0B" w14:textId="77777777" w:rsidR="006214BF" w:rsidRPr="00507A31" w:rsidRDefault="006214BF" w:rsidP="00507A31">
      <w:pPr>
        <w:jc w:val="both"/>
        <w:rPr>
          <w:color w:val="000000" w:themeColor="text1"/>
          <w:sz w:val="16"/>
          <w:szCs w:val="16"/>
        </w:rPr>
      </w:pPr>
      <w:r w:rsidRPr="00507A31">
        <w:rPr>
          <w:color w:val="000000" w:themeColor="text1"/>
          <w:sz w:val="16"/>
          <w:szCs w:val="16"/>
        </w:rPr>
        <w:t>з) Для ускорения подготовки высококвалифицированной рабочей силы, наряду с укреплением фабзавуча; ВСНХ более широко использовать ЦИТ.</w:t>
      </w:r>
    </w:p>
    <w:p w14:paraId="18F6012B" w14:textId="77777777" w:rsidR="006214BF" w:rsidRPr="00507A31" w:rsidRDefault="006214BF" w:rsidP="00507A31">
      <w:pPr>
        <w:jc w:val="both"/>
        <w:rPr>
          <w:color w:val="000000" w:themeColor="text1"/>
          <w:sz w:val="16"/>
          <w:szCs w:val="16"/>
        </w:rPr>
      </w:pPr>
      <w:r w:rsidRPr="00507A31">
        <w:rPr>
          <w:color w:val="000000" w:themeColor="text1"/>
          <w:sz w:val="16"/>
          <w:szCs w:val="16"/>
        </w:rPr>
        <w:t>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30977CA1" w14:textId="77777777" w:rsidR="006214BF" w:rsidRPr="00507A31" w:rsidRDefault="006214BF" w:rsidP="00507A31">
      <w:pPr>
        <w:jc w:val="both"/>
        <w:rPr>
          <w:color w:val="000000" w:themeColor="text1"/>
          <w:sz w:val="16"/>
          <w:szCs w:val="16"/>
        </w:rPr>
      </w:pPr>
      <w:r w:rsidRPr="00507A31">
        <w:rPr>
          <w:color w:val="000000" w:themeColor="text1"/>
          <w:sz w:val="16"/>
          <w:szCs w:val="16"/>
        </w:rPr>
        <w:t>11. 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3E94F432" w14:textId="77777777" w:rsidR="006214BF" w:rsidRPr="00507A31" w:rsidRDefault="006214BF" w:rsidP="00507A31">
      <w:pPr>
        <w:jc w:val="both"/>
        <w:rPr>
          <w:color w:val="000000" w:themeColor="text1"/>
          <w:sz w:val="16"/>
          <w:szCs w:val="16"/>
        </w:rPr>
      </w:pPr>
      <w:r w:rsidRPr="00507A31">
        <w:rPr>
          <w:color w:val="000000" w:themeColor="text1"/>
          <w:sz w:val="16"/>
          <w:szCs w:val="16"/>
        </w:rPr>
        <w:t>12.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7368F57B" w14:textId="77777777" w:rsidR="006214BF" w:rsidRPr="00507A31" w:rsidRDefault="006214BF" w:rsidP="00507A31">
      <w:pPr>
        <w:jc w:val="both"/>
        <w:rPr>
          <w:color w:val="000000" w:themeColor="text1"/>
          <w:sz w:val="16"/>
          <w:szCs w:val="16"/>
        </w:rPr>
      </w:pPr>
      <w:r w:rsidRPr="00507A31">
        <w:rPr>
          <w:color w:val="000000" w:themeColor="text1"/>
          <w:sz w:val="16"/>
          <w:szCs w:val="16"/>
        </w:rPr>
        <w:t>13. Правительственной комиссии закончить общий пересмотр технических условий к 1 мая 1930 г.</w:t>
      </w:r>
    </w:p>
    <w:p w14:paraId="1C9E6F4A" w14:textId="77777777" w:rsidR="006214BF" w:rsidRPr="00507A31" w:rsidRDefault="006214BF" w:rsidP="00507A31">
      <w:pPr>
        <w:jc w:val="both"/>
        <w:rPr>
          <w:color w:val="000000" w:themeColor="text1"/>
          <w:sz w:val="16"/>
          <w:szCs w:val="16"/>
        </w:rPr>
      </w:pPr>
      <w:r w:rsidRPr="00507A31">
        <w:rPr>
          <w:color w:val="000000" w:themeColor="text1"/>
          <w:sz w:val="16"/>
          <w:szCs w:val="16"/>
        </w:rPr>
        <w:t>14. НК РКИ проверить состояние работы по рассмотрению технических условий и в 2</w:t>
      </w:r>
      <w:r w:rsidRPr="00507A31">
        <w:rPr>
          <w:color w:val="000000" w:themeColor="text1"/>
          <w:sz w:val="16"/>
          <w:szCs w:val="16"/>
        </w:rPr>
        <w:noBreakHyphen/>
        <w:t>х недельный срок представить в РЗ СТО доклад.</w:t>
      </w:r>
    </w:p>
    <w:p w14:paraId="05202A40" w14:textId="77777777" w:rsidR="006214BF" w:rsidRPr="00507A31" w:rsidRDefault="006214BF" w:rsidP="00507A31">
      <w:pPr>
        <w:jc w:val="both"/>
        <w:rPr>
          <w:color w:val="000000" w:themeColor="text1"/>
          <w:sz w:val="16"/>
          <w:szCs w:val="16"/>
        </w:rPr>
      </w:pPr>
      <w:r w:rsidRPr="00507A31">
        <w:rPr>
          <w:color w:val="000000" w:themeColor="text1"/>
          <w:sz w:val="16"/>
          <w:szCs w:val="16"/>
        </w:rPr>
        <w:t>15. НК РКИ, НКВМ и ВСНХ в 3</w:t>
      </w:r>
      <w:r w:rsidRPr="00507A31">
        <w:rPr>
          <w:color w:val="000000" w:themeColor="text1"/>
          <w:sz w:val="16"/>
          <w:szCs w:val="16"/>
        </w:rPr>
        <w:noBreakHyphen/>
        <w:t>месячный срок проверить состояние мобилизационного запаса основных видов военной продукции. РЗ СТО, по мере хода проверки, устанавливать жесткие сроки приведения его в состояние боевой готовности.</w:t>
      </w:r>
    </w:p>
    <w:p w14:paraId="3E018DDA" w14:textId="77777777" w:rsidR="006214BF" w:rsidRPr="00507A31" w:rsidRDefault="006214BF" w:rsidP="00507A31">
      <w:pPr>
        <w:jc w:val="both"/>
        <w:rPr>
          <w:color w:val="000000" w:themeColor="text1"/>
          <w:sz w:val="16"/>
          <w:szCs w:val="16"/>
        </w:rPr>
      </w:pPr>
      <w:r w:rsidRPr="00507A31">
        <w:rPr>
          <w:color w:val="000000" w:themeColor="text1"/>
          <w:sz w:val="16"/>
          <w:szCs w:val="16"/>
        </w:rPr>
        <w:t>Обязать НКВМ улучшить военную приемку с тем, чтобы исключить на будущее время накопление негодного мобзапаса.</w:t>
      </w:r>
    </w:p>
    <w:p w14:paraId="5CABAB4D" w14:textId="77777777" w:rsidR="006214BF" w:rsidRPr="00507A31" w:rsidRDefault="006214BF" w:rsidP="00507A31">
      <w:pPr>
        <w:jc w:val="both"/>
        <w:rPr>
          <w:color w:val="000000" w:themeColor="text1"/>
          <w:sz w:val="16"/>
          <w:szCs w:val="16"/>
        </w:rPr>
      </w:pPr>
      <w:r w:rsidRPr="00507A31">
        <w:rPr>
          <w:color w:val="000000" w:themeColor="text1"/>
          <w:sz w:val="16"/>
          <w:szCs w:val="16"/>
        </w:rPr>
        <w:t>16. Обязать ВСНХ в 1½</w:t>
      </w:r>
      <w:r w:rsidRPr="00507A31">
        <w:rPr>
          <w:color w:val="000000" w:themeColor="text1"/>
          <w:sz w:val="16"/>
          <w:szCs w:val="16"/>
        </w:rPr>
        <w:noBreakHyphen/>
        <w:t>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w:t>
      </w:r>
    </w:p>
    <w:p w14:paraId="40D79146" w14:textId="77777777" w:rsidR="006214BF" w:rsidRPr="00507A31" w:rsidRDefault="006214BF" w:rsidP="00507A31">
      <w:pPr>
        <w:jc w:val="both"/>
        <w:rPr>
          <w:color w:val="000000" w:themeColor="text1"/>
          <w:sz w:val="16"/>
          <w:szCs w:val="16"/>
        </w:rPr>
      </w:pPr>
      <w:r w:rsidRPr="00507A31">
        <w:rPr>
          <w:color w:val="000000" w:themeColor="text1"/>
          <w:sz w:val="16"/>
          <w:szCs w:val="16"/>
        </w:rPr>
        <w:lastRenderedPageBreak/>
        <w:t>17. Тов. Куйбышеву и т. Микояну в 10</w:t>
      </w:r>
      <w:r w:rsidRPr="00507A31">
        <w:rPr>
          <w:color w:val="000000" w:themeColor="text1"/>
          <w:sz w:val="16"/>
          <w:szCs w:val="16"/>
        </w:rPr>
        <w:noBreakHyphen/>
        <w:t>дневный срок провести срочные мероприятия, обеспечивающие своевременный завоз импортного оборудования по плану 1929/30 г. и заказанного в предыдущие годы.</w:t>
      </w:r>
    </w:p>
    <w:p w14:paraId="28ECFE47" w14:textId="77777777" w:rsidR="006214BF" w:rsidRPr="00507A31" w:rsidRDefault="006214BF" w:rsidP="00507A31">
      <w:pPr>
        <w:jc w:val="both"/>
        <w:rPr>
          <w:color w:val="000000" w:themeColor="text1"/>
          <w:sz w:val="16"/>
          <w:szCs w:val="16"/>
        </w:rPr>
      </w:pPr>
      <w:r w:rsidRPr="00507A31">
        <w:rPr>
          <w:color w:val="000000" w:themeColor="text1"/>
          <w:sz w:val="16"/>
          <w:szCs w:val="16"/>
        </w:rPr>
        <w:t>18. НКТруду в внеочередном порядке обеспечить капитальное строительство военных заводов необходимыми кадрами рабочих.</w:t>
      </w:r>
    </w:p>
    <w:p w14:paraId="26E3A716" w14:textId="77777777" w:rsidR="006214BF" w:rsidRPr="00507A31" w:rsidRDefault="006214BF" w:rsidP="00507A31">
      <w:pPr>
        <w:jc w:val="both"/>
        <w:rPr>
          <w:color w:val="000000" w:themeColor="text1"/>
          <w:sz w:val="16"/>
          <w:szCs w:val="16"/>
        </w:rPr>
      </w:pPr>
      <w:r w:rsidRPr="00507A31">
        <w:rPr>
          <w:color w:val="000000" w:themeColor="text1"/>
          <w:sz w:val="16"/>
          <w:szCs w:val="16"/>
        </w:rPr>
        <w:t>19. ГВПУ и ОГПУ проработать все вредительские материалы по капитальному строительству с тем, чтобы в контрольных цифрах 1930/31 г. была предусмотрена полная ликвидация вредительства в этой области.</w:t>
      </w:r>
    </w:p>
    <w:p w14:paraId="068DC0CD" w14:textId="77777777" w:rsidR="006214BF" w:rsidRPr="00507A31" w:rsidRDefault="006214BF" w:rsidP="00507A31">
      <w:pPr>
        <w:jc w:val="both"/>
        <w:rPr>
          <w:color w:val="000000" w:themeColor="text1"/>
          <w:sz w:val="16"/>
          <w:szCs w:val="16"/>
        </w:rPr>
      </w:pPr>
      <w:r w:rsidRPr="00507A31">
        <w:rPr>
          <w:color w:val="000000" w:themeColor="text1"/>
          <w:sz w:val="16"/>
          <w:szCs w:val="16"/>
        </w:rPr>
        <w:t>20. В целях ликвидации остатков контр-революционкой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072A28BB" w14:textId="77777777" w:rsidR="006214BF" w:rsidRPr="00507A31" w:rsidRDefault="006214BF" w:rsidP="00507A31">
      <w:pPr>
        <w:jc w:val="both"/>
        <w:rPr>
          <w:color w:val="000000" w:themeColor="text1"/>
          <w:sz w:val="16"/>
          <w:szCs w:val="16"/>
        </w:rPr>
      </w:pPr>
      <w:r w:rsidRPr="00507A31">
        <w:rPr>
          <w:color w:val="000000" w:themeColor="text1"/>
          <w:sz w:val="16"/>
          <w:szCs w:val="16"/>
        </w:rPr>
        <w:t>IV.</w:t>
      </w:r>
    </w:p>
    <w:p w14:paraId="77694082" w14:textId="77777777" w:rsidR="006214BF" w:rsidRPr="00507A31" w:rsidRDefault="006214BF" w:rsidP="00507A31">
      <w:pPr>
        <w:jc w:val="both"/>
        <w:rPr>
          <w:color w:val="000000" w:themeColor="text1"/>
          <w:sz w:val="16"/>
          <w:szCs w:val="16"/>
        </w:rPr>
      </w:pPr>
      <w:r w:rsidRPr="00507A31">
        <w:rPr>
          <w:color w:val="000000" w:themeColor="text1"/>
          <w:sz w:val="16"/>
          <w:szCs w:val="16"/>
        </w:rPr>
        <w:t>В целях обеспечения выполнения и перевыполнения производственных программ военной промышленности:</w:t>
      </w:r>
    </w:p>
    <w:p w14:paraId="1BDCAC5F" w14:textId="77777777" w:rsidR="006214BF" w:rsidRPr="00507A31" w:rsidRDefault="006214BF" w:rsidP="00507A31">
      <w:pPr>
        <w:jc w:val="both"/>
        <w:rPr>
          <w:color w:val="000000" w:themeColor="text1"/>
          <w:sz w:val="16"/>
          <w:szCs w:val="16"/>
        </w:rPr>
      </w:pPr>
      <w:r w:rsidRPr="00507A31">
        <w:rPr>
          <w:color w:val="000000" w:themeColor="text1"/>
          <w:sz w:val="16"/>
          <w:szCs w:val="16"/>
        </w:rPr>
        <w:t>1. 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1.IV. предшествующего операционного года), дабы промышленность имела возможность планомерно развернуться.</w:t>
      </w:r>
    </w:p>
    <w:p w14:paraId="7BCD76C6" w14:textId="77777777" w:rsidR="006214BF" w:rsidRPr="00507A31" w:rsidRDefault="006214BF" w:rsidP="00507A31">
      <w:pPr>
        <w:jc w:val="both"/>
        <w:rPr>
          <w:color w:val="000000" w:themeColor="text1"/>
          <w:sz w:val="16"/>
          <w:szCs w:val="16"/>
        </w:rPr>
      </w:pPr>
      <w:r w:rsidRPr="00507A31">
        <w:rPr>
          <w:color w:val="000000" w:themeColor="text1"/>
          <w:sz w:val="16"/>
          <w:szCs w:val="16"/>
        </w:rPr>
        <w:t>2. ВСНХ и ЦК металлистов внести в 2</w:t>
      </w:r>
      <w:r w:rsidRPr="00507A31">
        <w:rPr>
          <w:color w:val="000000" w:themeColor="text1"/>
          <w:sz w:val="16"/>
          <w:szCs w:val="16"/>
        </w:rPr>
        <w:noBreakHyphen/>
        <w:t>х декадный срок проект перевода на положение мобилизованных некоторых заводов, где по выполнению программы имеются серьезные опасения.</w:t>
      </w:r>
    </w:p>
    <w:p w14:paraId="145287F6" w14:textId="77777777" w:rsidR="006214BF" w:rsidRPr="00507A31" w:rsidRDefault="006214BF" w:rsidP="00507A31">
      <w:pPr>
        <w:jc w:val="both"/>
        <w:rPr>
          <w:color w:val="000000" w:themeColor="text1"/>
          <w:sz w:val="16"/>
          <w:szCs w:val="16"/>
        </w:rPr>
      </w:pPr>
      <w:r w:rsidRPr="00507A31">
        <w:rPr>
          <w:color w:val="000000" w:themeColor="text1"/>
          <w:sz w:val="16"/>
          <w:szCs w:val="16"/>
        </w:rPr>
        <w:t>3. Немедленно дать директиву об освобождении военных заводов на 1929/30 г. от мобилизации личного состава на разные кампании (посевная, хлебозаготовительная, колхозная и т. д.).</w:t>
      </w:r>
    </w:p>
    <w:p w14:paraId="3D36AFED" w14:textId="77777777" w:rsidR="006214BF" w:rsidRPr="00507A31" w:rsidRDefault="006214BF" w:rsidP="00507A31">
      <w:pPr>
        <w:jc w:val="both"/>
        <w:rPr>
          <w:color w:val="000000" w:themeColor="text1"/>
          <w:sz w:val="16"/>
          <w:szCs w:val="16"/>
        </w:rPr>
      </w:pPr>
      <w:r w:rsidRPr="00507A31">
        <w:rPr>
          <w:color w:val="000000" w:themeColor="text1"/>
          <w:sz w:val="16"/>
          <w:szCs w:val="16"/>
        </w:rPr>
        <w:t>4. ВСНХ принять меры к своевременному и полному снабжению военных заводов сырьем и полуфабрикатами для выполнения военных заказов, возложив за это персональную ответственность на руководителей снабжающих органов.</w:t>
      </w:r>
    </w:p>
    <w:p w14:paraId="7607DC7A" w14:textId="77777777" w:rsidR="006214BF" w:rsidRPr="00507A31" w:rsidRDefault="006214BF" w:rsidP="00507A31">
      <w:pPr>
        <w:jc w:val="both"/>
        <w:rPr>
          <w:color w:val="000000" w:themeColor="text1"/>
          <w:sz w:val="16"/>
          <w:szCs w:val="16"/>
        </w:rPr>
      </w:pPr>
      <w:r w:rsidRPr="00507A31">
        <w:rPr>
          <w:color w:val="000000" w:themeColor="text1"/>
          <w:sz w:val="16"/>
          <w:szCs w:val="16"/>
        </w:rPr>
        <w:t>5. Обязать директоров заводов присылать в адрес ВСНХ, ЦК ВКП(6), СНК, НК РКИ и РБСР ежемесячные краткие письменные отчеты о мерах, принятых ими для проведения в жизнь данного постановления.</w:t>
      </w:r>
    </w:p>
    <w:p w14:paraId="26A23C2B" w14:textId="77777777" w:rsidR="006214BF" w:rsidRPr="00507A31" w:rsidRDefault="006214BF" w:rsidP="00507A31">
      <w:pPr>
        <w:jc w:val="both"/>
        <w:rPr>
          <w:color w:val="000000" w:themeColor="text1"/>
          <w:sz w:val="16"/>
          <w:szCs w:val="16"/>
        </w:rPr>
      </w:pPr>
      <w:r w:rsidRPr="00507A31">
        <w:rPr>
          <w:color w:val="000000" w:themeColor="text1"/>
          <w:sz w:val="16"/>
          <w:szCs w:val="16"/>
        </w:rPr>
        <w:t>V.</w:t>
      </w:r>
    </w:p>
    <w:p w14:paraId="38EAFD3C" w14:textId="77777777" w:rsidR="006214BF" w:rsidRPr="00507A31" w:rsidRDefault="006214BF" w:rsidP="00507A31">
      <w:pPr>
        <w:jc w:val="both"/>
        <w:rPr>
          <w:color w:val="000000" w:themeColor="text1"/>
          <w:sz w:val="16"/>
          <w:szCs w:val="16"/>
        </w:rPr>
      </w:pPr>
      <w:r w:rsidRPr="00507A31">
        <w:rPr>
          <w:color w:val="000000" w:themeColor="text1"/>
          <w:sz w:val="16"/>
          <w:szCs w:val="16"/>
        </w:rPr>
        <w:t>В целях улучшения технического руководства на военных заводах:</w:t>
      </w:r>
    </w:p>
    <w:p w14:paraId="2A01C8CE" w14:textId="77777777" w:rsidR="006214BF" w:rsidRPr="00507A31" w:rsidRDefault="006214BF" w:rsidP="00507A31">
      <w:pPr>
        <w:jc w:val="both"/>
        <w:rPr>
          <w:color w:val="000000" w:themeColor="text1"/>
          <w:sz w:val="16"/>
          <w:szCs w:val="16"/>
        </w:rPr>
      </w:pPr>
      <w:r w:rsidRPr="00507A31">
        <w:rPr>
          <w:color w:val="000000" w:themeColor="text1"/>
          <w:sz w:val="16"/>
          <w:szCs w:val="16"/>
        </w:rPr>
        <w:t>1) ВСНХ и НКТруду в месячный срок мобилизовать инженеров из гражданской промышленности для военных заводов, в первую очередь конструкторов и металлургов;</w:t>
      </w:r>
    </w:p>
    <w:p w14:paraId="218150CB" w14:textId="77777777" w:rsidR="006214BF" w:rsidRPr="00507A31" w:rsidRDefault="006214BF" w:rsidP="00507A31">
      <w:pPr>
        <w:jc w:val="both"/>
        <w:rPr>
          <w:color w:val="000000" w:themeColor="text1"/>
          <w:sz w:val="16"/>
          <w:szCs w:val="16"/>
        </w:rPr>
      </w:pPr>
      <w:r w:rsidRPr="00507A31">
        <w:rPr>
          <w:color w:val="000000" w:themeColor="text1"/>
          <w:sz w:val="16"/>
          <w:szCs w:val="16"/>
        </w:rPr>
        <w:t>2) С этой целью СНК и ЦИК 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790539EF" w14:textId="77777777" w:rsidR="006214BF" w:rsidRPr="00507A31" w:rsidRDefault="006214BF" w:rsidP="00507A31">
      <w:pPr>
        <w:jc w:val="both"/>
        <w:rPr>
          <w:color w:val="000000" w:themeColor="text1"/>
          <w:sz w:val="16"/>
          <w:szCs w:val="16"/>
        </w:rPr>
      </w:pPr>
      <w:r w:rsidRPr="00507A31">
        <w:rPr>
          <w:color w:val="000000" w:themeColor="text1"/>
          <w:sz w:val="16"/>
          <w:szCs w:val="16"/>
        </w:rPr>
        <w:t>2) 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588C7CE2" w14:textId="77777777" w:rsidR="006214BF" w:rsidRPr="00507A31" w:rsidRDefault="006214BF" w:rsidP="00507A31">
      <w:pPr>
        <w:jc w:val="both"/>
        <w:rPr>
          <w:color w:val="000000" w:themeColor="text1"/>
          <w:sz w:val="16"/>
          <w:szCs w:val="16"/>
        </w:rPr>
      </w:pPr>
      <w:r w:rsidRPr="00507A31">
        <w:rPr>
          <w:color w:val="000000" w:themeColor="text1"/>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209FDC12" w14:textId="77777777" w:rsidR="006214BF" w:rsidRPr="00507A31" w:rsidRDefault="006214BF" w:rsidP="00507A31">
      <w:pPr>
        <w:jc w:val="both"/>
        <w:rPr>
          <w:color w:val="000000" w:themeColor="text1"/>
          <w:sz w:val="16"/>
          <w:szCs w:val="16"/>
        </w:rPr>
      </w:pPr>
      <w:r w:rsidRPr="00507A31">
        <w:rPr>
          <w:color w:val="000000" w:themeColor="text1"/>
          <w:sz w:val="16"/>
          <w:szCs w:val="16"/>
        </w:rPr>
        <w:t>4) Обязать ВСНХ доложить в месячный срок РЗ СТО о ходе привлечения к военным производствам иностранной технической помощи и приглашения инспециалистов, в также план значительного расширения этого привлечения.</w:t>
      </w:r>
    </w:p>
    <w:p w14:paraId="2FCA5C95" w14:textId="77777777" w:rsidR="006214BF" w:rsidRPr="00507A31" w:rsidRDefault="006214BF" w:rsidP="00507A31">
      <w:pPr>
        <w:jc w:val="both"/>
        <w:rPr>
          <w:color w:val="000000" w:themeColor="text1"/>
          <w:sz w:val="16"/>
          <w:szCs w:val="16"/>
        </w:rPr>
      </w:pPr>
      <w:r w:rsidRPr="00507A31">
        <w:rPr>
          <w:color w:val="000000" w:themeColor="text1"/>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человек и новую группу военных работников в количестве 20 человек.</w:t>
      </w:r>
    </w:p>
    <w:p w14:paraId="014E82E5" w14:textId="77777777" w:rsidR="006214BF" w:rsidRPr="00507A31" w:rsidRDefault="006214BF" w:rsidP="00507A31">
      <w:pPr>
        <w:jc w:val="both"/>
        <w:rPr>
          <w:color w:val="000000" w:themeColor="text1"/>
          <w:sz w:val="16"/>
          <w:szCs w:val="16"/>
        </w:rPr>
      </w:pPr>
      <w:r w:rsidRPr="00507A31">
        <w:rPr>
          <w:color w:val="000000" w:themeColor="text1"/>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3C003899" w14:textId="77777777" w:rsidR="006214BF" w:rsidRPr="00507A31" w:rsidRDefault="006214BF" w:rsidP="00507A31">
      <w:pPr>
        <w:jc w:val="both"/>
        <w:rPr>
          <w:color w:val="000000" w:themeColor="text1"/>
          <w:sz w:val="16"/>
          <w:szCs w:val="16"/>
        </w:rPr>
      </w:pPr>
      <w:r w:rsidRPr="00507A31">
        <w:rPr>
          <w:color w:val="000000" w:themeColor="text1"/>
          <w:sz w:val="16"/>
          <w:szCs w:val="16"/>
        </w:rPr>
        <w:t>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6F882244" w14:textId="77777777" w:rsidR="006214BF" w:rsidRPr="00507A31" w:rsidRDefault="006214BF" w:rsidP="00507A31">
      <w:pPr>
        <w:jc w:val="both"/>
        <w:rPr>
          <w:color w:val="000000" w:themeColor="text1"/>
          <w:sz w:val="16"/>
          <w:szCs w:val="16"/>
        </w:rPr>
      </w:pPr>
      <w:r w:rsidRPr="00507A31">
        <w:rPr>
          <w:color w:val="000000" w:themeColor="text1"/>
          <w:sz w:val="16"/>
          <w:szCs w:val="16"/>
        </w:rPr>
        <w:t>Обязать ВСНХ в месячный срок доложить РЗ СТО о проводимых им мероприятиях во исполнение этих предложений.</w:t>
      </w:r>
    </w:p>
    <w:p w14:paraId="54978A74" w14:textId="77777777" w:rsidR="006214BF" w:rsidRPr="00507A31" w:rsidRDefault="006214BF" w:rsidP="00507A31">
      <w:pPr>
        <w:jc w:val="both"/>
        <w:rPr>
          <w:color w:val="000000" w:themeColor="text1"/>
          <w:sz w:val="16"/>
          <w:szCs w:val="16"/>
        </w:rPr>
      </w:pPr>
      <w:r w:rsidRPr="00507A31">
        <w:rPr>
          <w:color w:val="000000" w:themeColor="text1"/>
          <w:sz w:val="16"/>
          <w:szCs w:val="16"/>
        </w:rPr>
        <w:t>VI.</w:t>
      </w:r>
    </w:p>
    <w:p w14:paraId="54A778CE" w14:textId="77777777" w:rsidR="006214BF" w:rsidRPr="00507A31" w:rsidRDefault="006214BF" w:rsidP="00507A31">
      <w:pPr>
        <w:jc w:val="both"/>
        <w:rPr>
          <w:color w:val="000000" w:themeColor="text1"/>
          <w:sz w:val="16"/>
          <w:szCs w:val="16"/>
        </w:rPr>
      </w:pPr>
      <w:r w:rsidRPr="00507A31">
        <w:rPr>
          <w:color w:val="000000" w:themeColor="text1"/>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двух-трех месяцев.</w:t>
      </w:r>
    </w:p>
    <w:p w14:paraId="37D2498F" w14:textId="77777777" w:rsidR="006214BF" w:rsidRPr="00507A31" w:rsidRDefault="006214BF" w:rsidP="00507A31">
      <w:pPr>
        <w:jc w:val="both"/>
        <w:rPr>
          <w:color w:val="000000" w:themeColor="text1"/>
          <w:sz w:val="16"/>
          <w:szCs w:val="16"/>
        </w:rPr>
      </w:pPr>
      <w:r w:rsidRPr="00507A31">
        <w:rPr>
          <w:color w:val="000000" w:themeColor="text1"/>
          <w:sz w:val="16"/>
          <w:szCs w:val="16"/>
        </w:rPr>
        <w:t>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1.VII. с. г., за выполнением промфинплана 1929/30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195CBACF" w14:textId="77777777" w:rsidR="006214BF" w:rsidRPr="00507A31" w:rsidRDefault="006214BF" w:rsidP="00507A31">
      <w:pPr>
        <w:jc w:val="both"/>
        <w:rPr>
          <w:color w:val="000000" w:themeColor="text1"/>
          <w:sz w:val="16"/>
          <w:szCs w:val="16"/>
        </w:rPr>
      </w:pPr>
      <w:r w:rsidRPr="00507A31">
        <w:rPr>
          <w:color w:val="000000" w:themeColor="text1"/>
          <w:sz w:val="16"/>
          <w:szCs w:val="16"/>
        </w:rPr>
        <w:t>Секретариату ЦК к следующему заседанию представить список командируемых.</w:t>
      </w:r>
    </w:p>
    <w:p w14:paraId="15775219" w14:textId="77777777" w:rsidR="006214BF" w:rsidRPr="00507A31" w:rsidRDefault="006214BF" w:rsidP="00507A31">
      <w:pPr>
        <w:jc w:val="both"/>
        <w:rPr>
          <w:color w:val="000000" w:themeColor="text1"/>
          <w:sz w:val="16"/>
          <w:szCs w:val="16"/>
        </w:rPr>
      </w:pPr>
      <w:r w:rsidRPr="00507A31">
        <w:rPr>
          <w:color w:val="000000" w:themeColor="text1"/>
          <w:sz w:val="16"/>
          <w:szCs w:val="16"/>
        </w:rPr>
        <w:t>VII.</w:t>
      </w:r>
    </w:p>
    <w:p w14:paraId="1D9533B8" w14:textId="77777777" w:rsidR="006214BF" w:rsidRPr="00507A31" w:rsidRDefault="006214BF" w:rsidP="00507A31">
      <w:pPr>
        <w:jc w:val="both"/>
        <w:rPr>
          <w:color w:val="000000" w:themeColor="text1"/>
          <w:sz w:val="16"/>
          <w:szCs w:val="16"/>
        </w:rPr>
      </w:pPr>
      <w:r w:rsidRPr="00507A31">
        <w:rPr>
          <w:color w:val="000000" w:themeColor="text1"/>
          <w:sz w:val="16"/>
          <w:szCs w:val="16"/>
        </w:rPr>
        <w:t>1. Директоров заводов: МОЗ'а — т. 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 года занимать ответственные хозяйственные должности.</w:t>
      </w:r>
    </w:p>
    <w:p w14:paraId="7FEDDAE1" w14:textId="77777777" w:rsidR="006214BF" w:rsidRPr="00507A31" w:rsidRDefault="006214BF" w:rsidP="00507A31">
      <w:pPr>
        <w:jc w:val="both"/>
        <w:rPr>
          <w:color w:val="000000" w:themeColor="text1"/>
          <w:sz w:val="16"/>
          <w:szCs w:val="16"/>
        </w:rPr>
      </w:pPr>
      <w:r w:rsidRPr="00507A31">
        <w:rPr>
          <w:color w:val="000000" w:themeColor="text1"/>
          <w:sz w:val="16"/>
          <w:szCs w:val="16"/>
        </w:rPr>
        <w:t>Директоре завода № 50 т. Дмитриева за несвоевременное принятие мер по ликвидации вредительства снять с работы и объявить выговор.</w:t>
      </w:r>
    </w:p>
    <w:p w14:paraId="62F2DD0D" w14:textId="77777777" w:rsidR="006214BF" w:rsidRPr="00507A31" w:rsidRDefault="006214BF" w:rsidP="00507A31">
      <w:pPr>
        <w:jc w:val="both"/>
        <w:rPr>
          <w:color w:val="000000" w:themeColor="text1"/>
          <w:sz w:val="16"/>
          <w:szCs w:val="16"/>
        </w:rPr>
      </w:pPr>
      <w:r w:rsidRPr="00507A31">
        <w:rPr>
          <w:color w:val="000000" w:themeColor="text1"/>
          <w:sz w:val="16"/>
          <w:szCs w:val="16"/>
        </w:rPr>
        <w:t>Директору ТОЗ'а т. Ситникову за недостаточно активное изжитие последствий вредительства объявить выговор, обязав в кратчайший срок выправить это дело.</w:t>
      </w:r>
    </w:p>
    <w:p w14:paraId="1A172A8B" w14:textId="77777777" w:rsidR="006214BF" w:rsidRPr="00507A31" w:rsidRDefault="006214BF" w:rsidP="00507A31">
      <w:pPr>
        <w:jc w:val="both"/>
        <w:rPr>
          <w:color w:val="000000" w:themeColor="text1"/>
          <w:sz w:val="16"/>
          <w:szCs w:val="16"/>
        </w:rPr>
      </w:pPr>
      <w:r w:rsidRPr="00507A31">
        <w:rPr>
          <w:color w:val="000000" w:themeColor="text1"/>
          <w:sz w:val="16"/>
          <w:szCs w:val="16"/>
        </w:rPr>
        <w:t>Директору завода № 42 т. Шмырову за невыполнение программы и непринятие достаточных мер для ликвидации работы вредителей, что в результате дезорганизовало работу производства, объявить строгий выговор, предложить в кратчайший срок выправить положение.</w:t>
      </w:r>
    </w:p>
    <w:p w14:paraId="05C7E2C7" w14:textId="77777777" w:rsidR="006214BF" w:rsidRPr="00507A31" w:rsidRDefault="006214BF" w:rsidP="00507A31">
      <w:pPr>
        <w:jc w:val="both"/>
        <w:rPr>
          <w:color w:val="000000" w:themeColor="text1"/>
          <w:sz w:val="16"/>
          <w:szCs w:val="16"/>
        </w:rPr>
      </w:pPr>
      <w:r w:rsidRPr="00507A31">
        <w:rPr>
          <w:color w:val="000000" w:themeColor="text1"/>
          <w:sz w:val="16"/>
          <w:szCs w:val="16"/>
        </w:rPr>
        <w:t>2. 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60539C52" w14:textId="77777777" w:rsidR="006214BF" w:rsidRPr="00507A31" w:rsidRDefault="006214BF" w:rsidP="00507A31">
      <w:pPr>
        <w:jc w:val="both"/>
        <w:rPr>
          <w:color w:val="000000" w:themeColor="text1"/>
          <w:sz w:val="16"/>
          <w:szCs w:val="16"/>
        </w:rPr>
      </w:pPr>
      <w:r w:rsidRPr="00507A31">
        <w:rPr>
          <w:color w:val="000000" w:themeColor="text1"/>
          <w:sz w:val="16"/>
          <w:szCs w:val="16"/>
        </w:rPr>
        <w:t>3. Обязать ЦКК-РКИ иметь непрерывное наблюдение за выполнением настоящего постановления (18052).</w:t>
      </w:r>
    </w:p>
    <w:p w14:paraId="02A0E031" w14:textId="77777777" w:rsidR="006214BF" w:rsidRPr="00507A31" w:rsidRDefault="006214BF" w:rsidP="00507A31">
      <w:pPr>
        <w:jc w:val="both"/>
        <w:rPr>
          <w:color w:val="000000" w:themeColor="text1"/>
          <w:sz w:val="16"/>
          <w:szCs w:val="16"/>
        </w:rPr>
      </w:pPr>
    </w:p>
    <w:p w14:paraId="70C56894" w14:textId="77777777" w:rsidR="00AD150A" w:rsidRPr="00507A31" w:rsidRDefault="00AD150A" w:rsidP="00507A31">
      <w:pPr>
        <w:jc w:val="both"/>
        <w:rPr>
          <w:color w:val="000000" w:themeColor="text1"/>
          <w:sz w:val="16"/>
          <w:szCs w:val="16"/>
        </w:rPr>
      </w:pPr>
      <w:r w:rsidRPr="00507A31">
        <w:rPr>
          <w:color w:val="000000" w:themeColor="text1"/>
          <w:sz w:val="16"/>
          <w:szCs w:val="16"/>
        </w:rPr>
        <w:t>25 февраля 1930</w:t>
      </w:r>
    </w:p>
    <w:p w14:paraId="6049D91F" w14:textId="77777777" w:rsidR="00AD150A" w:rsidRPr="00507A31" w:rsidRDefault="00AD150A" w:rsidP="00507A31">
      <w:pPr>
        <w:jc w:val="both"/>
        <w:rPr>
          <w:color w:val="000000" w:themeColor="text1"/>
          <w:sz w:val="16"/>
          <w:szCs w:val="16"/>
        </w:rPr>
      </w:pPr>
      <w:r w:rsidRPr="00507A31">
        <w:rPr>
          <w:color w:val="000000" w:themeColor="text1"/>
          <w:sz w:val="16"/>
          <w:szCs w:val="16"/>
        </w:rPr>
        <w:t>Приложение № 1</w:t>
      </w:r>
      <w:r w:rsidRPr="00507A31">
        <w:rPr>
          <w:color w:val="000000" w:themeColor="text1"/>
          <w:sz w:val="16"/>
          <w:szCs w:val="16"/>
        </w:rPr>
        <w:noBreakHyphen/>
        <w:t>ОП</w:t>
      </w:r>
    </w:p>
    <w:p w14:paraId="0C1B65A3" w14:textId="77777777" w:rsidR="00AD150A" w:rsidRPr="00507A31" w:rsidRDefault="00AD150A" w:rsidP="00507A31">
      <w:pPr>
        <w:jc w:val="both"/>
        <w:rPr>
          <w:color w:val="000000" w:themeColor="text1"/>
          <w:sz w:val="16"/>
          <w:szCs w:val="16"/>
        </w:rPr>
      </w:pPr>
      <w:r w:rsidRPr="00507A31">
        <w:rPr>
          <w:color w:val="000000" w:themeColor="text1"/>
          <w:sz w:val="16"/>
          <w:szCs w:val="16"/>
        </w:rPr>
        <w:t>к п. 4 (о. п.) пр. ПБ № 118.</w:t>
      </w:r>
    </w:p>
    <w:p w14:paraId="1216DCDC" w14:textId="77777777" w:rsidR="00AD150A" w:rsidRPr="00507A31" w:rsidRDefault="00AD150A" w:rsidP="00507A31">
      <w:pPr>
        <w:jc w:val="both"/>
        <w:rPr>
          <w:color w:val="000000" w:themeColor="text1"/>
          <w:sz w:val="16"/>
          <w:szCs w:val="16"/>
        </w:rPr>
      </w:pPr>
      <w:r w:rsidRPr="00507A31">
        <w:rPr>
          <w:color w:val="000000" w:themeColor="text1"/>
          <w:sz w:val="16"/>
          <w:szCs w:val="16"/>
        </w:rPr>
        <w:t>О ликвидации вредительства на предприятиях военной промышленности.</w:t>
      </w:r>
    </w:p>
    <w:p w14:paraId="122391B5" w14:textId="77777777" w:rsidR="00AD150A" w:rsidRPr="00507A31" w:rsidRDefault="00AD150A" w:rsidP="00507A31">
      <w:pPr>
        <w:jc w:val="both"/>
        <w:rPr>
          <w:color w:val="000000" w:themeColor="text1"/>
          <w:sz w:val="16"/>
          <w:szCs w:val="16"/>
        </w:rPr>
      </w:pPr>
      <w:r w:rsidRPr="00507A31">
        <w:rPr>
          <w:color w:val="000000" w:themeColor="text1"/>
          <w:sz w:val="16"/>
          <w:szCs w:val="16"/>
        </w:rPr>
        <w:t>(Утверждено Политбюро ЦК ВКП(б) 25.II.1930 г.).</w:t>
      </w:r>
    </w:p>
    <w:p w14:paraId="79997F8D" w14:textId="77777777" w:rsidR="00AD150A" w:rsidRPr="00507A31" w:rsidRDefault="00AD150A" w:rsidP="00507A31">
      <w:pPr>
        <w:jc w:val="both"/>
        <w:rPr>
          <w:color w:val="000000" w:themeColor="text1"/>
          <w:sz w:val="16"/>
          <w:szCs w:val="16"/>
        </w:rPr>
      </w:pPr>
      <w:r w:rsidRPr="00507A31">
        <w:rPr>
          <w:color w:val="000000" w:themeColor="text1"/>
          <w:sz w:val="16"/>
          <w:szCs w:val="16"/>
        </w:rPr>
        <w:t>I.</w:t>
      </w:r>
    </w:p>
    <w:p w14:paraId="10BF4A46" w14:textId="77777777" w:rsidR="00AD150A" w:rsidRPr="00507A31" w:rsidRDefault="00AD150A" w:rsidP="00507A31">
      <w:pPr>
        <w:jc w:val="both"/>
        <w:rPr>
          <w:color w:val="000000" w:themeColor="text1"/>
          <w:sz w:val="16"/>
          <w:szCs w:val="16"/>
        </w:rPr>
      </w:pPr>
      <w:r w:rsidRPr="00507A31">
        <w:rPr>
          <w:color w:val="000000" w:themeColor="text1"/>
          <w:sz w:val="16"/>
          <w:szCs w:val="16"/>
        </w:rPr>
        <w:t>Заслушав доклад ОГПУ о ликвидации на предприятиях военной промышленности последствий вредительства, ЦК 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w:t>
      </w:r>
    </w:p>
    <w:p w14:paraId="15911143" w14:textId="77777777" w:rsidR="00AD150A" w:rsidRPr="00507A31" w:rsidRDefault="00AD150A" w:rsidP="00507A31">
      <w:pPr>
        <w:jc w:val="both"/>
        <w:rPr>
          <w:color w:val="000000" w:themeColor="text1"/>
          <w:sz w:val="16"/>
          <w:szCs w:val="16"/>
        </w:rPr>
      </w:pPr>
      <w:r w:rsidRPr="00507A31">
        <w:rPr>
          <w:color w:val="000000" w:themeColor="text1"/>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794FE2CC" w14:textId="77777777" w:rsidR="00AD150A" w:rsidRPr="00507A31" w:rsidRDefault="00AD150A" w:rsidP="00507A31">
      <w:pPr>
        <w:jc w:val="both"/>
        <w:rPr>
          <w:color w:val="000000" w:themeColor="text1"/>
          <w:sz w:val="16"/>
          <w:szCs w:val="16"/>
        </w:rPr>
      </w:pPr>
      <w:r w:rsidRPr="00507A31">
        <w:rPr>
          <w:color w:val="000000" w:themeColor="text1"/>
          <w:sz w:val="16"/>
          <w:szCs w:val="16"/>
        </w:rPr>
        <w:t>1. Несерьезное отношение 6ольшинства руководящего состава военной промышленности к информационным документам ОГПУ (обвинительное заключение по вредительству от августа 1929 г. и другие сообщения).</w:t>
      </w:r>
    </w:p>
    <w:p w14:paraId="08BC9370" w14:textId="77777777" w:rsidR="00AD150A" w:rsidRPr="00507A31" w:rsidRDefault="00AD150A" w:rsidP="00507A31">
      <w:pPr>
        <w:jc w:val="both"/>
        <w:rPr>
          <w:color w:val="000000" w:themeColor="text1"/>
          <w:sz w:val="16"/>
          <w:szCs w:val="16"/>
        </w:rPr>
      </w:pPr>
      <w:r w:rsidRPr="00507A31">
        <w:rPr>
          <w:color w:val="000000" w:themeColor="text1"/>
          <w:sz w:val="16"/>
          <w:szCs w:val="16"/>
        </w:rPr>
        <w:t>2. 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4570F5BF" w14:textId="77777777" w:rsidR="00AD150A" w:rsidRPr="00507A31" w:rsidRDefault="00AD150A" w:rsidP="00507A31">
      <w:pPr>
        <w:jc w:val="both"/>
        <w:rPr>
          <w:color w:val="000000" w:themeColor="text1"/>
          <w:sz w:val="16"/>
          <w:szCs w:val="16"/>
        </w:rPr>
      </w:pPr>
      <w:r w:rsidRPr="00507A31">
        <w:rPr>
          <w:color w:val="000000" w:themeColor="text1"/>
          <w:sz w:val="16"/>
          <w:szCs w:val="16"/>
        </w:rPr>
        <w:t>а) не мобилизовали внимания рабочих и всего инженерно-технического персонала к восстановлению утерянных навыков точных работ;</w:t>
      </w:r>
    </w:p>
    <w:p w14:paraId="199073DC" w14:textId="77777777" w:rsidR="00AD150A" w:rsidRPr="00507A31" w:rsidRDefault="00AD150A" w:rsidP="00507A31">
      <w:pPr>
        <w:jc w:val="both"/>
        <w:rPr>
          <w:color w:val="000000" w:themeColor="text1"/>
          <w:sz w:val="16"/>
          <w:szCs w:val="16"/>
        </w:rPr>
      </w:pPr>
      <w:r w:rsidRPr="00507A31">
        <w:rPr>
          <w:color w:val="000000" w:themeColor="text1"/>
          <w:sz w:val="16"/>
          <w:szCs w:val="16"/>
        </w:rPr>
        <w:t>б) 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55B97FBC" w14:textId="77777777" w:rsidR="00AD150A" w:rsidRPr="00507A31" w:rsidRDefault="00AD150A" w:rsidP="00507A31">
      <w:pPr>
        <w:jc w:val="both"/>
        <w:rPr>
          <w:color w:val="000000" w:themeColor="text1"/>
          <w:sz w:val="16"/>
          <w:szCs w:val="16"/>
        </w:rPr>
      </w:pPr>
      <w:r w:rsidRPr="00507A31">
        <w:rPr>
          <w:color w:val="000000" w:themeColor="text1"/>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48662DB5" w14:textId="77777777" w:rsidR="00AD150A" w:rsidRPr="00507A31" w:rsidRDefault="00AD150A" w:rsidP="00507A31">
      <w:pPr>
        <w:jc w:val="both"/>
        <w:rPr>
          <w:color w:val="000000" w:themeColor="text1"/>
          <w:sz w:val="16"/>
          <w:szCs w:val="16"/>
        </w:rPr>
      </w:pPr>
      <w:r w:rsidRPr="00507A31">
        <w:rPr>
          <w:color w:val="000000" w:themeColor="text1"/>
          <w:sz w:val="16"/>
          <w:szCs w:val="16"/>
        </w:rPr>
        <w:t>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12F44D80" w14:textId="77777777" w:rsidR="00AD150A" w:rsidRPr="00507A31" w:rsidRDefault="00AD150A" w:rsidP="00507A31">
      <w:pPr>
        <w:jc w:val="both"/>
        <w:rPr>
          <w:color w:val="000000" w:themeColor="text1"/>
          <w:sz w:val="16"/>
          <w:szCs w:val="16"/>
        </w:rPr>
      </w:pPr>
      <w:r w:rsidRPr="00507A31">
        <w:rPr>
          <w:color w:val="000000" w:themeColor="text1"/>
          <w:sz w:val="16"/>
          <w:szCs w:val="16"/>
        </w:rPr>
        <w:t>3. По-прежнему не привлечен к организации и рационализации производства беспартийный и коммунистически рабочий актив, благодаря чему остались не 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тек и низовых профессиональных и партийных организаций.</w:t>
      </w:r>
    </w:p>
    <w:p w14:paraId="414DEBAF" w14:textId="77777777" w:rsidR="00AD150A" w:rsidRPr="00507A31" w:rsidRDefault="00AD150A" w:rsidP="00507A31">
      <w:pPr>
        <w:jc w:val="both"/>
        <w:rPr>
          <w:color w:val="000000" w:themeColor="text1"/>
          <w:sz w:val="16"/>
          <w:szCs w:val="16"/>
        </w:rPr>
      </w:pPr>
      <w:r w:rsidRPr="00507A31">
        <w:rPr>
          <w:color w:val="000000" w:themeColor="text1"/>
          <w:sz w:val="16"/>
          <w:szCs w:val="16"/>
        </w:rPr>
        <w:t>4. Наблюдаются случаи активного и пассивного сопротивления директоров заводов мероприятиям ОГПУ по ликвидации последствий вредительства.</w:t>
      </w:r>
    </w:p>
    <w:p w14:paraId="65577DA7" w14:textId="77777777" w:rsidR="00AD150A" w:rsidRPr="00507A31" w:rsidRDefault="00AD150A" w:rsidP="00507A31">
      <w:pPr>
        <w:jc w:val="both"/>
        <w:rPr>
          <w:color w:val="000000" w:themeColor="text1"/>
          <w:sz w:val="16"/>
          <w:szCs w:val="16"/>
        </w:rPr>
      </w:pPr>
      <w:r w:rsidRPr="00507A31">
        <w:rPr>
          <w:color w:val="000000" w:themeColor="text1"/>
          <w:sz w:val="16"/>
          <w:szCs w:val="16"/>
        </w:rPr>
        <w:t>II.</w:t>
      </w:r>
    </w:p>
    <w:p w14:paraId="687C4AC7" w14:textId="77777777" w:rsidR="00AD150A" w:rsidRPr="00507A31" w:rsidRDefault="00AD150A" w:rsidP="00507A31">
      <w:pPr>
        <w:jc w:val="both"/>
        <w:rPr>
          <w:color w:val="000000" w:themeColor="text1"/>
          <w:sz w:val="16"/>
          <w:szCs w:val="16"/>
        </w:rPr>
      </w:pPr>
      <w:r w:rsidRPr="00507A31">
        <w:rPr>
          <w:color w:val="000000" w:themeColor="text1"/>
          <w:sz w:val="16"/>
          <w:szCs w:val="16"/>
        </w:rPr>
        <w:lastRenderedPageBreak/>
        <w:t>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034DAFB4" w14:textId="77777777" w:rsidR="00AD150A" w:rsidRPr="00507A31" w:rsidRDefault="00AD150A" w:rsidP="00507A31">
      <w:pPr>
        <w:jc w:val="both"/>
        <w:rPr>
          <w:color w:val="000000" w:themeColor="text1"/>
          <w:sz w:val="16"/>
          <w:szCs w:val="16"/>
        </w:rPr>
      </w:pPr>
      <w:r w:rsidRPr="00507A31">
        <w:rPr>
          <w:color w:val="000000" w:themeColor="text1"/>
          <w:sz w:val="16"/>
          <w:szCs w:val="16"/>
        </w:rPr>
        <w:t>1. Крупные недоделы военной продукции по 1</w:t>
      </w:r>
      <w:r w:rsidRPr="00507A31">
        <w:rPr>
          <w:color w:val="000000" w:themeColor="text1"/>
          <w:sz w:val="16"/>
          <w:szCs w:val="16"/>
        </w:rPr>
        <w:noBreakHyphen/>
        <w:t>му кварталу 1929/30 г. почти по всем трестам.</w:t>
      </w:r>
    </w:p>
    <w:p w14:paraId="565A4616" w14:textId="77777777" w:rsidR="00AD150A" w:rsidRPr="00507A31" w:rsidRDefault="00AD150A" w:rsidP="00507A31">
      <w:pPr>
        <w:jc w:val="both"/>
        <w:rPr>
          <w:color w:val="000000" w:themeColor="text1"/>
          <w:sz w:val="16"/>
          <w:szCs w:val="16"/>
        </w:rPr>
      </w:pPr>
      <w:r w:rsidRPr="00507A31">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603F8E96" w14:textId="77777777" w:rsidR="00AD150A" w:rsidRPr="00507A31" w:rsidRDefault="00AD150A" w:rsidP="00507A31">
      <w:pPr>
        <w:jc w:val="both"/>
        <w:rPr>
          <w:color w:val="000000" w:themeColor="text1"/>
          <w:sz w:val="16"/>
          <w:szCs w:val="16"/>
        </w:rPr>
      </w:pPr>
      <w:r w:rsidRPr="00507A31">
        <w:rPr>
          <w:color w:val="000000" w:themeColor="text1"/>
          <w:sz w:val="16"/>
          <w:szCs w:val="16"/>
        </w:rPr>
        <w:t>3. 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014E041C" w14:textId="77777777" w:rsidR="00AD150A" w:rsidRPr="00507A31" w:rsidRDefault="00AD150A" w:rsidP="00507A31">
      <w:pPr>
        <w:jc w:val="both"/>
        <w:rPr>
          <w:color w:val="000000" w:themeColor="text1"/>
          <w:sz w:val="16"/>
          <w:szCs w:val="16"/>
        </w:rPr>
      </w:pPr>
      <w:r w:rsidRPr="00507A31">
        <w:rPr>
          <w:color w:val="000000" w:themeColor="text1"/>
          <w:sz w:val="16"/>
          <w:szCs w:val="16"/>
        </w:rPr>
        <w:t>Все это свидетельствует, что в основном решения Политбюро от 15.VII.1929 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w:t>
      </w:r>
    </w:p>
    <w:p w14:paraId="29006410" w14:textId="77777777" w:rsidR="00AD150A" w:rsidRPr="00507A31" w:rsidRDefault="00AD150A" w:rsidP="00507A31">
      <w:pPr>
        <w:jc w:val="both"/>
        <w:rPr>
          <w:color w:val="000000" w:themeColor="text1"/>
          <w:sz w:val="16"/>
          <w:szCs w:val="16"/>
        </w:rPr>
      </w:pPr>
      <w:r w:rsidRPr="00507A31">
        <w:rPr>
          <w:color w:val="000000" w:themeColor="text1"/>
          <w:sz w:val="16"/>
          <w:szCs w:val="16"/>
        </w:rPr>
        <w:t>Все это обязывает директоров заводов, руководителей трестов, ГВПУ и ВСНХ мобилизовать всевозможные силы и средства для ликвидации в кратчайший срок последствий вредительства по производству военной продукции.</w:t>
      </w:r>
    </w:p>
    <w:p w14:paraId="0F0B9501" w14:textId="77777777" w:rsidR="00AD150A" w:rsidRPr="00507A31" w:rsidRDefault="00AD150A" w:rsidP="00507A31">
      <w:pPr>
        <w:jc w:val="both"/>
        <w:rPr>
          <w:color w:val="000000" w:themeColor="text1"/>
          <w:sz w:val="16"/>
          <w:szCs w:val="16"/>
        </w:rPr>
      </w:pPr>
      <w:r w:rsidRPr="00507A31">
        <w:rPr>
          <w:color w:val="000000" w:themeColor="text1"/>
          <w:sz w:val="16"/>
          <w:szCs w:val="16"/>
        </w:rPr>
        <w:t>III.</w:t>
      </w:r>
    </w:p>
    <w:p w14:paraId="4A600883" w14:textId="77777777" w:rsidR="00AD150A" w:rsidRPr="00507A31" w:rsidRDefault="00AD150A" w:rsidP="00507A31">
      <w:pPr>
        <w:jc w:val="both"/>
        <w:rPr>
          <w:color w:val="000000" w:themeColor="text1"/>
          <w:sz w:val="16"/>
          <w:szCs w:val="16"/>
        </w:rPr>
      </w:pPr>
      <w:r w:rsidRPr="00507A31">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6133742C" w14:textId="77777777" w:rsidR="00AD150A" w:rsidRPr="00507A31" w:rsidRDefault="00AD150A" w:rsidP="00507A31">
      <w:pPr>
        <w:jc w:val="both"/>
        <w:rPr>
          <w:color w:val="000000" w:themeColor="text1"/>
          <w:sz w:val="16"/>
          <w:szCs w:val="16"/>
        </w:rPr>
      </w:pPr>
      <w:r w:rsidRPr="00507A31">
        <w:rPr>
          <w:color w:val="000000" w:themeColor="text1"/>
          <w:sz w:val="16"/>
          <w:szCs w:val="16"/>
        </w:rPr>
        <w:t>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 т. д.), с установлением точных кратчайших сроков их выполнения, привлекая к работе по ликвидации вредительства и раскаявшихся вредителей.</w:t>
      </w:r>
    </w:p>
    <w:p w14:paraId="0DFCB7C5" w14:textId="77777777" w:rsidR="00AD150A" w:rsidRPr="00507A31" w:rsidRDefault="00AD150A" w:rsidP="00507A31">
      <w:pPr>
        <w:jc w:val="both"/>
        <w:rPr>
          <w:color w:val="000000" w:themeColor="text1"/>
          <w:sz w:val="16"/>
          <w:szCs w:val="16"/>
        </w:rPr>
      </w:pPr>
      <w:r w:rsidRPr="00507A31">
        <w:rPr>
          <w:color w:val="000000" w:themeColor="text1"/>
          <w:sz w:val="16"/>
          <w:szCs w:val="16"/>
        </w:rPr>
        <w:t>ГВПУ и ОГПУ развернуть работу этих комиссий немедленно.</w:t>
      </w:r>
    </w:p>
    <w:p w14:paraId="3322B6BE" w14:textId="77777777" w:rsidR="00AD150A" w:rsidRPr="00507A31" w:rsidRDefault="00AD150A" w:rsidP="00507A31">
      <w:pPr>
        <w:jc w:val="both"/>
        <w:rPr>
          <w:color w:val="000000" w:themeColor="text1"/>
          <w:sz w:val="16"/>
          <w:szCs w:val="16"/>
        </w:rPr>
      </w:pPr>
      <w:r w:rsidRPr="00507A31">
        <w:rPr>
          <w:color w:val="000000" w:themeColor="text1"/>
          <w:sz w:val="16"/>
          <w:szCs w:val="16"/>
        </w:rPr>
        <w:t>2. Привлечь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 716).</w:t>
      </w:r>
    </w:p>
    <w:p w14:paraId="55C95703" w14:textId="77777777" w:rsidR="00AD150A" w:rsidRPr="00507A31" w:rsidRDefault="00AD150A" w:rsidP="00507A31">
      <w:pPr>
        <w:jc w:val="both"/>
        <w:rPr>
          <w:color w:val="000000" w:themeColor="text1"/>
          <w:sz w:val="16"/>
          <w:szCs w:val="16"/>
        </w:rPr>
      </w:pPr>
      <w:r w:rsidRPr="00507A31">
        <w:rPr>
          <w:color w:val="000000" w:themeColor="text1"/>
          <w:sz w:val="16"/>
          <w:szCs w:val="16"/>
        </w:rPr>
        <w:t>3. Всему хозяйственному составу (в особенности по ОАТ и по ВХТ) усилить бдительность в дальнейшем вскрытии вредительских актов.</w:t>
      </w:r>
    </w:p>
    <w:p w14:paraId="281BEC94" w14:textId="77777777" w:rsidR="00AD150A" w:rsidRPr="00507A31" w:rsidRDefault="00AD150A" w:rsidP="00507A31">
      <w:pPr>
        <w:jc w:val="both"/>
        <w:rPr>
          <w:color w:val="000000" w:themeColor="text1"/>
          <w:sz w:val="16"/>
          <w:szCs w:val="16"/>
        </w:rPr>
      </w:pPr>
      <w:r w:rsidRPr="00507A31">
        <w:rPr>
          <w:color w:val="000000" w:themeColor="text1"/>
          <w:sz w:val="16"/>
          <w:szCs w:val="16"/>
        </w:rPr>
        <w:t>4. Обвинительное заключение ОГПУ о вредительстве (от августа 1929 г.) и дополнительные материалы по этому вопросу разослать всем окружным партийным комитетам, на территории коих расположены военные заводы.</w:t>
      </w:r>
    </w:p>
    <w:p w14:paraId="524F9F1D" w14:textId="77777777" w:rsidR="00AD150A" w:rsidRPr="00507A31" w:rsidRDefault="00AD150A" w:rsidP="00507A31">
      <w:pPr>
        <w:jc w:val="both"/>
        <w:rPr>
          <w:color w:val="000000" w:themeColor="text1"/>
          <w:sz w:val="16"/>
          <w:szCs w:val="16"/>
        </w:rPr>
      </w:pPr>
      <w:r w:rsidRPr="00507A31">
        <w:rPr>
          <w:color w:val="000000" w:themeColor="text1"/>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539801F6" w14:textId="77777777" w:rsidR="00AD150A" w:rsidRPr="00507A31" w:rsidRDefault="00AD150A" w:rsidP="00507A31">
      <w:pPr>
        <w:jc w:val="both"/>
        <w:rPr>
          <w:color w:val="000000" w:themeColor="text1"/>
          <w:sz w:val="16"/>
          <w:szCs w:val="16"/>
        </w:rPr>
      </w:pPr>
      <w:r w:rsidRPr="00507A31">
        <w:rPr>
          <w:color w:val="000000" w:themeColor="text1"/>
          <w:sz w:val="16"/>
          <w:szCs w:val="16"/>
        </w:rPr>
        <w:t>5. Разъяснить всем руководителям хозяйственных органов военной промышленности (директорам заводов, председателям трестов и т. 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09901FD3" w14:textId="77777777" w:rsidR="00AD150A" w:rsidRPr="00507A31" w:rsidRDefault="00AD150A" w:rsidP="00507A31">
      <w:pPr>
        <w:jc w:val="both"/>
        <w:rPr>
          <w:color w:val="000000" w:themeColor="text1"/>
          <w:sz w:val="16"/>
          <w:szCs w:val="16"/>
        </w:rPr>
      </w:pPr>
      <w:r w:rsidRPr="00507A31">
        <w:rPr>
          <w:color w:val="000000" w:themeColor="text1"/>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792192E1" w14:textId="77777777" w:rsidR="00AD150A" w:rsidRPr="00507A31" w:rsidRDefault="00AD150A" w:rsidP="00507A31">
      <w:pPr>
        <w:jc w:val="both"/>
        <w:rPr>
          <w:color w:val="000000" w:themeColor="text1"/>
          <w:sz w:val="16"/>
          <w:szCs w:val="16"/>
        </w:rPr>
      </w:pPr>
      <w:r w:rsidRPr="00507A31">
        <w:rPr>
          <w:color w:val="000000" w:themeColor="text1"/>
          <w:sz w:val="16"/>
          <w:szCs w:val="16"/>
        </w:rPr>
        <w:t>6. 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длительными (месяца на 2</w:t>
      </w:r>
      <w:r w:rsidRPr="00507A31">
        <w:rPr>
          <w:color w:val="000000" w:themeColor="text1"/>
          <w:sz w:val="16"/>
          <w:szCs w:val="16"/>
        </w:rPr>
        <w:noBreakHyphen/>
        <w:t>3) выездами на таковые. 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180CA88B" w14:textId="77777777" w:rsidR="00AD150A" w:rsidRPr="00507A31" w:rsidRDefault="00AD150A" w:rsidP="00507A31">
      <w:pPr>
        <w:jc w:val="both"/>
        <w:rPr>
          <w:color w:val="000000" w:themeColor="text1"/>
          <w:sz w:val="16"/>
          <w:szCs w:val="16"/>
        </w:rPr>
      </w:pPr>
      <w:r w:rsidRPr="00507A31">
        <w:rPr>
          <w:color w:val="000000" w:themeColor="text1"/>
          <w:sz w:val="16"/>
          <w:szCs w:val="16"/>
        </w:rPr>
        <w:t>7. Предложить ВСНХ издать приказ о переходе в объединениях и трестах военной промышленности от коллегиального к единоличному управлению.</w:t>
      </w:r>
    </w:p>
    <w:p w14:paraId="38AA9811" w14:textId="77777777" w:rsidR="00AD150A" w:rsidRPr="00507A31" w:rsidRDefault="00AD150A" w:rsidP="00507A31">
      <w:pPr>
        <w:jc w:val="both"/>
        <w:rPr>
          <w:color w:val="000000" w:themeColor="text1"/>
          <w:sz w:val="16"/>
          <w:szCs w:val="16"/>
        </w:rPr>
      </w:pPr>
      <w:r w:rsidRPr="00507A31">
        <w:rPr>
          <w:color w:val="000000" w:themeColor="text1"/>
          <w:sz w:val="16"/>
          <w:szCs w:val="16"/>
        </w:rPr>
        <w:t>8. 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0398872A" w14:textId="77777777" w:rsidR="00AD150A" w:rsidRPr="00507A31" w:rsidRDefault="00AD150A" w:rsidP="00507A31">
      <w:pPr>
        <w:jc w:val="both"/>
        <w:rPr>
          <w:color w:val="000000" w:themeColor="text1"/>
          <w:sz w:val="16"/>
          <w:szCs w:val="16"/>
        </w:rPr>
      </w:pPr>
      <w:r w:rsidRPr="00507A31">
        <w:rPr>
          <w:color w:val="000000" w:themeColor="text1"/>
          <w:sz w:val="16"/>
          <w:szCs w:val="16"/>
        </w:rPr>
        <w:t>9. Для оздоровления инструментального и лекального дела:</w:t>
      </w:r>
    </w:p>
    <w:p w14:paraId="0D861893" w14:textId="77777777" w:rsidR="00AD150A" w:rsidRPr="00507A31" w:rsidRDefault="00AD150A" w:rsidP="00507A31">
      <w:pPr>
        <w:jc w:val="both"/>
        <w:rPr>
          <w:color w:val="000000" w:themeColor="text1"/>
          <w:sz w:val="16"/>
          <w:szCs w:val="16"/>
        </w:rPr>
      </w:pPr>
      <w:r w:rsidRPr="00507A31">
        <w:rPr>
          <w:color w:val="000000" w:themeColor="text1"/>
          <w:sz w:val="16"/>
          <w:szCs w:val="16"/>
        </w:rPr>
        <w:t>а) организовать на всех заводах военной промышленности генеральную проверку чертежей, эталонов, шаблонов, лекал и рабочего инструмента и изъять все негодное.</w:t>
      </w:r>
    </w:p>
    <w:p w14:paraId="6C69695C" w14:textId="77777777" w:rsidR="00AD150A" w:rsidRPr="00507A31" w:rsidRDefault="00AD150A" w:rsidP="00507A31">
      <w:pPr>
        <w:jc w:val="both"/>
        <w:rPr>
          <w:color w:val="000000" w:themeColor="text1"/>
          <w:sz w:val="16"/>
          <w:szCs w:val="16"/>
        </w:rPr>
      </w:pPr>
      <w:r w:rsidRPr="00507A31">
        <w:rPr>
          <w:color w:val="000000" w:themeColor="text1"/>
          <w:sz w:val="16"/>
          <w:szCs w:val="16"/>
        </w:rPr>
        <w:t>б) ВСНХ и НКВМ в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22FBE3D6" w14:textId="77777777" w:rsidR="00AD150A" w:rsidRPr="00507A31" w:rsidRDefault="00AD150A" w:rsidP="00507A31">
      <w:pPr>
        <w:jc w:val="both"/>
        <w:rPr>
          <w:color w:val="000000" w:themeColor="text1"/>
          <w:sz w:val="16"/>
          <w:szCs w:val="16"/>
        </w:rPr>
      </w:pPr>
      <w:r w:rsidRPr="00507A31">
        <w:rPr>
          <w:color w:val="000000" w:themeColor="text1"/>
          <w:sz w:val="16"/>
          <w:szCs w:val="16"/>
        </w:rPr>
        <w:t>в) НКВМ ускорить пересмотр всех чертежей, закончив его по основным изделиям в 2</w:t>
      </w:r>
      <w:r w:rsidRPr="00507A31">
        <w:rPr>
          <w:color w:val="000000" w:themeColor="text1"/>
          <w:sz w:val="16"/>
          <w:szCs w:val="16"/>
        </w:rPr>
        <w:noBreakHyphen/>
        <w:t>х месячный срок.</w:t>
      </w:r>
    </w:p>
    <w:p w14:paraId="3460547F" w14:textId="77777777" w:rsidR="00AD150A" w:rsidRPr="00507A31" w:rsidRDefault="00AD150A" w:rsidP="00507A31">
      <w:pPr>
        <w:jc w:val="both"/>
        <w:rPr>
          <w:color w:val="000000" w:themeColor="text1"/>
          <w:sz w:val="16"/>
          <w:szCs w:val="16"/>
        </w:rPr>
      </w:pPr>
      <w:r w:rsidRPr="00507A31">
        <w:rPr>
          <w:color w:val="000000" w:themeColor="text1"/>
          <w:sz w:val="16"/>
          <w:szCs w:val="16"/>
        </w:rPr>
        <w:t>г) ВСНХ наладить использование в полной мере инструментальных отделов (цехов) военных заводов, организовать в 1930/31 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6E96581D" w14:textId="77777777" w:rsidR="00AD150A" w:rsidRPr="00507A31" w:rsidRDefault="00AD150A" w:rsidP="00507A31">
      <w:pPr>
        <w:jc w:val="both"/>
        <w:rPr>
          <w:color w:val="000000" w:themeColor="text1"/>
          <w:sz w:val="16"/>
          <w:szCs w:val="16"/>
        </w:rPr>
      </w:pPr>
      <w:r w:rsidRPr="00507A31">
        <w:rPr>
          <w:color w:val="000000" w:themeColor="text1"/>
          <w:sz w:val="16"/>
          <w:szCs w:val="16"/>
        </w:rPr>
        <w:t>д) НКТоргу и ВСНХ еще в 1929/30 г. обеспечить все инструментальные отделы заводов нужным количеством инструментальной стали и в первую очередь завести все импортное оборудование для указанных цехов.</w:t>
      </w:r>
    </w:p>
    <w:p w14:paraId="18BF316C" w14:textId="77777777" w:rsidR="00AD150A" w:rsidRPr="00507A31" w:rsidRDefault="00AD150A" w:rsidP="00507A31">
      <w:pPr>
        <w:jc w:val="both"/>
        <w:rPr>
          <w:color w:val="000000" w:themeColor="text1"/>
          <w:sz w:val="16"/>
          <w:szCs w:val="16"/>
        </w:rPr>
      </w:pPr>
      <w:r w:rsidRPr="00507A31">
        <w:rPr>
          <w:color w:val="000000" w:themeColor="text1"/>
          <w:sz w:val="16"/>
          <w:szCs w:val="16"/>
        </w:rPr>
        <w:t>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79D7AA76" w14:textId="77777777" w:rsidR="00AD150A" w:rsidRPr="00507A31" w:rsidRDefault="00AD150A" w:rsidP="00507A31">
      <w:pPr>
        <w:jc w:val="both"/>
        <w:rPr>
          <w:color w:val="000000" w:themeColor="text1"/>
          <w:sz w:val="16"/>
          <w:szCs w:val="16"/>
        </w:rPr>
      </w:pPr>
      <w:r w:rsidRPr="00507A31">
        <w:rPr>
          <w:color w:val="000000" w:themeColor="text1"/>
          <w:sz w:val="16"/>
          <w:szCs w:val="16"/>
        </w:rPr>
        <w:t>ж) ВСНХ более смело использовать заграничную помощь вербовка лекальщиков в Германии и т. д.).</w:t>
      </w:r>
    </w:p>
    <w:p w14:paraId="61B373D7" w14:textId="77777777" w:rsidR="00AD150A" w:rsidRPr="00507A31" w:rsidRDefault="00AD150A" w:rsidP="00507A31">
      <w:pPr>
        <w:jc w:val="both"/>
        <w:rPr>
          <w:color w:val="000000" w:themeColor="text1"/>
          <w:sz w:val="16"/>
          <w:szCs w:val="16"/>
        </w:rPr>
      </w:pPr>
      <w:r w:rsidRPr="00507A31">
        <w:rPr>
          <w:color w:val="000000" w:themeColor="text1"/>
          <w:sz w:val="16"/>
          <w:szCs w:val="16"/>
        </w:rPr>
        <w:t>з) Для ускорения подготовки высококвалифицированной рабочей силы, наряду с укреплением фабзавуча; ВСНХ более широко использовать ЦИТ.</w:t>
      </w:r>
    </w:p>
    <w:p w14:paraId="3C6FEC6D" w14:textId="77777777" w:rsidR="00AD150A" w:rsidRPr="00507A31" w:rsidRDefault="00AD150A" w:rsidP="00507A31">
      <w:pPr>
        <w:jc w:val="both"/>
        <w:rPr>
          <w:color w:val="000000" w:themeColor="text1"/>
          <w:sz w:val="16"/>
          <w:szCs w:val="16"/>
        </w:rPr>
      </w:pPr>
      <w:r w:rsidRPr="00507A31">
        <w:rPr>
          <w:color w:val="000000" w:themeColor="text1"/>
          <w:sz w:val="16"/>
          <w:szCs w:val="16"/>
        </w:rPr>
        <w:t>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2CCDEBF6" w14:textId="77777777" w:rsidR="00AD150A" w:rsidRPr="00507A31" w:rsidRDefault="00AD150A" w:rsidP="00507A31">
      <w:pPr>
        <w:jc w:val="both"/>
        <w:rPr>
          <w:color w:val="000000" w:themeColor="text1"/>
          <w:sz w:val="16"/>
          <w:szCs w:val="16"/>
        </w:rPr>
      </w:pPr>
      <w:r w:rsidRPr="00507A31">
        <w:rPr>
          <w:color w:val="000000" w:themeColor="text1"/>
          <w:sz w:val="16"/>
          <w:szCs w:val="16"/>
        </w:rPr>
        <w:t>11. 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72E21874" w14:textId="77777777" w:rsidR="00AD150A" w:rsidRPr="00507A31" w:rsidRDefault="00AD150A" w:rsidP="00507A31">
      <w:pPr>
        <w:jc w:val="both"/>
        <w:rPr>
          <w:color w:val="000000" w:themeColor="text1"/>
          <w:sz w:val="16"/>
          <w:szCs w:val="16"/>
        </w:rPr>
      </w:pPr>
      <w:r w:rsidRPr="00507A31">
        <w:rPr>
          <w:color w:val="000000" w:themeColor="text1"/>
          <w:sz w:val="16"/>
          <w:szCs w:val="16"/>
        </w:rPr>
        <w:t>12.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66D0FD0B" w14:textId="77777777" w:rsidR="00AD150A" w:rsidRPr="00507A31" w:rsidRDefault="00AD150A" w:rsidP="00507A31">
      <w:pPr>
        <w:jc w:val="both"/>
        <w:rPr>
          <w:color w:val="000000" w:themeColor="text1"/>
          <w:sz w:val="16"/>
          <w:szCs w:val="16"/>
        </w:rPr>
      </w:pPr>
      <w:r w:rsidRPr="00507A31">
        <w:rPr>
          <w:color w:val="000000" w:themeColor="text1"/>
          <w:sz w:val="16"/>
          <w:szCs w:val="16"/>
        </w:rPr>
        <w:t>13. Правительственной комиссии закончить общий пересмотр технических условий к 1 мая 1930 г.</w:t>
      </w:r>
    </w:p>
    <w:p w14:paraId="7A888634" w14:textId="77777777" w:rsidR="00AD150A" w:rsidRPr="00507A31" w:rsidRDefault="00AD150A" w:rsidP="00507A31">
      <w:pPr>
        <w:jc w:val="both"/>
        <w:rPr>
          <w:color w:val="000000" w:themeColor="text1"/>
          <w:sz w:val="16"/>
          <w:szCs w:val="16"/>
        </w:rPr>
      </w:pPr>
      <w:r w:rsidRPr="00507A31">
        <w:rPr>
          <w:color w:val="000000" w:themeColor="text1"/>
          <w:sz w:val="16"/>
          <w:szCs w:val="16"/>
        </w:rPr>
        <w:t>14. НК РКИ проверить состояние работы по рассмотрению технических условий и в 2</w:t>
      </w:r>
      <w:r w:rsidRPr="00507A31">
        <w:rPr>
          <w:color w:val="000000" w:themeColor="text1"/>
          <w:sz w:val="16"/>
          <w:szCs w:val="16"/>
        </w:rPr>
        <w:noBreakHyphen/>
        <w:t>х недельный срок представить в РЗ СТО доклад.</w:t>
      </w:r>
    </w:p>
    <w:p w14:paraId="629178B7" w14:textId="77777777" w:rsidR="00AD150A" w:rsidRPr="00507A31" w:rsidRDefault="00AD150A" w:rsidP="00507A31">
      <w:pPr>
        <w:jc w:val="both"/>
        <w:rPr>
          <w:color w:val="000000" w:themeColor="text1"/>
          <w:sz w:val="16"/>
          <w:szCs w:val="16"/>
        </w:rPr>
      </w:pPr>
      <w:r w:rsidRPr="00507A31">
        <w:rPr>
          <w:color w:val="000000" w:themeColor="text1"/>
          <w:sz w:val="16"/>
          <w:szCs w:val="16"/>
        </w:rPr>
        <w:t>15. НК РКИ, НКВМ и ВСНХ в 3</w:t>
      </w:r>
      <w:r w:rsidRPr="00507A31">
        <w:rPr>
          <w:color w:val="000000" w:themeColor="text1"/>
          <w:sz w:val="16"/>
          <w:szCs w:val="16"/>
        </w:rPr>
        <w:noBreakHyphen/>
        <w:t>месячный срок проверить состояние мобилизационного запаса основных видов военной продукции. РЗ СТО, по мере хода проверки, устанавливать жесткие сроки приведения его в состояние боевой готовности.</w:t>
      </w:r>
    </w:p>
    <w:p w14:paraId="01D10031" w14:textId="77777777" w:rsidR="00AD150A" w:rsidRPr="00507A31" w:rsidRDefault="00AD150A" w:rsidP="00507A31">
      <w:pPr>
        <w:jc w:val="both"/>
        <w:rPr>
          <w:color w:val="000000" w:themeColor="text1"/>
          <w:sz w:val="16"/>
          <w:szCs w:val="16"/>
        </w:rPr>
      </w:pPr>
      <w:r w:rsidRPr="00507A31">
        <w:rPr>
          <w:color w:val="000000" w:themeColor="text1"/>
          <w:sz w:val="16"/>
          <w:szCs w:val="16"/>
        </w:rPr>
        <w:t>Обязать НКВМ улучшить военную приемку с тем, чтобы исключить на будущее время накопление негодного мобзапаса.</w:t>
      </w:r>
    </w:p>
    <w:p w14:paraId="4A010701" w14:textId="77777777" w:rsidR="00AD150A" w:rsidRPr="00507A31" w:rsidRDefault="00AD150A" w:rsidP="00507A31">
      <w:pPr>
        <w:jc w:val="both"/>
        <w:rPr>
          <w:color w:val="000000" w:themeColor="text1"/>
          <w:sz w:val="16"/>
          <w:szCs w:val="16"/>
        </w:rPr>
      </w:pPr>
      <w:r w:rsidRPr="00507A31">
        <w:rPr>
          <w:color w:val="000000" w:themeColor="text1"/>
          <w:sz w:val="16"/>
          <w:szCs w:val="16"/>
        </w:rPr>
        <w:t>16. Обязать ВСНХ в 1½</w:t>
      </w:r>
      <w:r w:rsidRPr="00507A31">
        <w:rPr>
          <w:color w:val="000000" w:themeColor="text1"/>
          <w:sz w:val="16"/>
          <w:szCs w:val="16"/>
        </w:rPr>
        <w:noBreakHyphen/>
        <w:t>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w:t>
      </w:r>
    </w:p>
    <w:p w14:paraId="24769BD7" w14:textId="77777777" w:rsidR="00AD150A" w:rsidRPr="00507A31" w:rsidRDefault="00AD150A" w:rsidP="00507A31">
      <w:pPr>
        <w:jc w:val="both"/>
        <w:rPr>
          <w:color w:val="000000" w:themeColor="text1"/>
          <w:sz w:val="16"/>
          <w:szCs w:val="16"/>
        </w:rPr>
      </w:pPr>
      <w:r w:rsidRPr="00507A31">
        <w:rPr>
          <w:color w:val="000000" w:themeColor="text1"/>
          <w:sz w:val="16"/>
          <w:szCs w:val="16"/>
        </w:rPr>
        <w:t>17. Тов. Куйбышеву и т. Микояну в 10</w:t>
      </w:r>
      <w:r w:rsidRPr="00507A31">
        <w:rPr>
          <w:color w:val="000000" w:themeColor="text1"/>
          <w:sz w:val="16"/>
          <w:szCs w:val="16"/>
        </w:rPr>
        <w:noBreakHyphen/>
        <w:t>дневный срок провести срочные мероприятия, обеспечивающие своевременный завоз импортного оборудования по плану 1929/30 г. и заказанного в предыдущие годы.</w:t>
      </w:r>
    </w:p>
    <w:p w14:paraId="754555DA" w14:textId="77777777" w:rsidR="00AD150A" w:rsidRPr="00507A31" w:rsidRDefault="00AD150A" w:rsidP="00507A31">
      <w:pPr>
        <w:jc w:val="both"/>
        <w:rPr>
          <w:color w:val="000000" w:themeColor="text1"/>
          <w:sz w:val="16"/>
          <w:szCs w:val="16"/>
        </w:rPr>
      </w:pPr>
      <w:r w:rsidRPr="00507A31">
        <w:rPr>
          <w:color w:val="000000" w:themeColor="text1"/>
          <w:sz w:val="16"/>
          <w:szCs w:val="16"/>
        </w:rPr>
        <w:t>18. НКТруду в внеочередном порядке обеспечить капитальное строительство военных заводов необходимыми кадрами рабочих.</w:t>
      </w:r>
    </w:p>
    <w:p w14:paraId="7FFB88B9" w14:textId="77777777" w:rsidR="00AD150A" w:rsidRPr="00507A31" w:rsidRDefault="00AD150A" w:rsidP="00507A31">
      <w:pPr>
        <w:jc w:val="both"/>
        <w:rPr>
          <w:color w:val="000000" w:themeColor="text1"/>
          <w:sz w:val="16"/>
          <w:szCs w:val="16"/>
        </w:rPr>
      </w:pPr>
      <w:r w:rsidRPr="00507A31">
        <w:rPr>
          <w:color w:val="000000" w:themeColor="text1"/>
          <w:sz w:val="16"/>
          <w:szCs w:val="16"/>
        </w:rPr>
        <w:t>19. ГВПУ и ОГПУ проработать все вредительские материалы по капитальному строительству с тем, чтобы в контрольных цифрах 1930/31 г. была предусмотрена полная ликвидация вредительства в этой области.</w:t>
      </w:r>
    </w:p>
    <w:p w14:paraId="6FB91D36" w14:textId="77777777" w:rsidR="00AD150A" w:rsidRPr="00507A31" w:rsidRDefault="00AD150A" w:rsidP="00507A31">
      <w:pPr>
        <w:jc w:val="both"/>
        <w:rPr>
          <w:color w:val="000000" w:themeColor="text1"/>
          <w:sz w:val="16"/>
          <w:szCs w:val="16"/>
        </w:rPr>
      </w:pPr>
      <w:r w:rsidRPr="00507A31">
        <w:rPr>
          <w:color w:val="000000" w:themeColor="text1"/>
          <w:sz w:val="16"/>
          <w:szCs w:val="16"/>
        </w:rPr>
        <w:t>20. В целях ликвидации остатков контр-революционкой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2BA29223" w14:textId="77777777" w:rsidR="00AD150A" w:rsidRPr="00507A31" w:rsidRDefault="00AD150A" w:rsidP="00507A31">
      <w:pPr>
        <w:jc w:val="both"/>
        <w:rPr>
          <w:color w:val="000000" w:themeColor="text1"/>
          <w:sz w:val="16"/>
          <w:szCs w:val="16"/>
        </w:rPr>
      </w:pPr>
      <w:r w:rsidRPr="00507A31">
        <w:rPr>
          <w:color w:val="000000" w:themeColor="text1"/>
          <w:sz w:val="16"/>
          <w:szCs w:val="16"/>
        </w:rPr>
        <w:t>IV.</w:t>
      </w:r>
    </w:p>
    <w:p w14:paraId="16CD0363" w14:textId="77777777" w:rsidR="00AD150A" w:rsidRPr="00507A31" w:rsidRDefault="00AD150A" w:rsidP="00507A31">
      <w:pPr>
        <w:jc w:val="both"/>
        <w:rPr>
          <w:color w:val="000000" w:themeColor="text1"/>
          <w:sz w:val="16"/>
          <w:szCs w:val="16"/>
        </w:rPr>
      </w:pPr>
      <w:r w:rsidRPr="00507A31">
        <w:rPr>
          <w:color w:val="000000" w:themeColor="text1"/>
          <w:sz w:val="16"/>
          <w:szCs w:val="16"/>
        </w:rPr>
        <w:t>В целях обеспечения выполнения и перевыполнения производственных программ военной промышленности:</w:t>
      </w:r>
    </w:p>
    <w:p w14:paraId="5207A90E" w14:textId="77777777" w:rsidR="00AD150A" w:rsidRPr="00507A31" w:rsidRDefault="00AD150A" w:rsidP="00507A31">
      <w:pPr>
        <w:jc w:val="both"/>
        <w:rPr>
          <w:color w:val="000000" w:themeColor="text1"/>
          <w:sz w:val="16"/>
          <w:szCs w:val="16"/>
        </w:rPr>
      </w:pPr>
      <w:r w:rsidRPr="00507A31">
        <w:rPr>
          <w:color w:val="000000" w:themeColor="text1"/>
          <w:sz w:val="16"/>
          <w:szCs w:val="16"/>
        </w:rPr>
        <w:t>1. 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1.IV. предшествующего операционного года), дабы промышленность имела возможность планомерно развернуться.</w:t>
      </w:r>
    </w:p>
    <w:p w14:paraId="0AED71DB" w14:textId="77777777" w:rsidR="00AD150A" w:rsidRPr="00507A31" w:rsidRDefault="00AD150A" w:rsidP="00507A31">
      <w:pPr>
        <w:jc w:val="both"/>
        <w:rPr>
          <w:color w:val="000000" w:themeColor="text1"/>
          <w:sz w:val="16"/>
          <w:szCs w:val="16"/>
        </w:rPr>
      </w:pPr>
      <w:r w:rsidRPr="00507A31">
        <w:rPr>
          <w:color w:val="000000" w:themeColor="text1"/>
          <w:sz w:val="16"/>
          <w:szCs w:val="16"/>
        </w:rPr>
        <w:t>2. ВСНХ и ЦК металлистов внести в 2</w:t>
      </w:r>
      <w:r w:rsidRPr="00507A31">
        <w:rPr>
          <w:color w:val="000000" w:themeColor="text1"/>
          <w:sz w:val="16"/>
          <w:szCs w:val="16"/>
        </w:rPr>
        <w:noBreakHyphen/>
        <w:t>х декадный срок проект перевода на положение мобилизованных некоторых заводов, где по выполнению программы имеются серьезные опасения.</w:t>
      </w:r>
    </w:p>
    <w:p w14:paraId="52358406" w14:textId="77777777" w:rsidR="00AD150A" w:rsidRPr="00507A31" w:rsidRDefault="00AD150A" w:rsidP="00507A31">
      <w:pPr>
        <w:jc w:val="both"/>
        <w:rPr>
          <w:color w:val="000000" w:themeColor="text1"/>
          <w:sz w:val="16"/>
          <w:szCs w:val="16"/>
        </w:rPr>
      </w:pPr>
      <w:r w:rsidRPr="00507A31">
        <w:rPr>
          <w:color w:val="000000" w:themeColor="text1"/>
          <w:sz w:val="16"/>
          <w:szCs w:val="16"/>
        </w:rPr>
        <w:t>3. Немедленно дать директиву об освобождении военных заводов на 1929/30 г. от мобилизации личного состава на разные кампании (посевная, хлебозаготовительная, колхозная и т. д.).</w:t>
      </w:r>
    </w:p>
    <w:p w14:paraId="6A16AD20" w14:textId="77777777" w:rsidR="00AD150A" w:rsidRPr="00507A31" w:rsidRDefault="00AD150A" w:rsidP="00507A31">
      <w:pPr>
        <w:jc w:val="both"/>
        <w:rPr>
          <w:color w:val="000000" w:themeColor="text1"/>
          <w:sz w:val="16"/>
          <w:szCs w:val="16"/>
        </w:rPr>
      </w:pPr>
      <w:r w:rsidRPr="00507A31">
        <w:rPr>
          <w:color w:val="000000" w:themeColor="text1"/>
          <w:sz w:val="16"/>
          <w:szCs w:val="16"/>
        </w:rPr>
        <w:t>4. ВСНХ принять меры к своевременному и полному снабжению военных заводов сырьем и полуфабрикатами для выполнения военных заказов, возложив за это персональную ответственность на руководителей снабжающих органов.</w:t>
      </w:r>
    </w:p>
    <w:p w14:paraId="02FC8164" w14:textId="77777777" w:rsidR="00AD150A" w:rsidRPr="00507A31" w:rsidRDefault="00AD150A" w:rsidP="00507A31">
      <w:pPr>
        <w:jc w:val="both"/>
        <w:rPr>
          <w:color w:val="000000" w:themeColor="text1"/>
          <w:sz w:val="16"/>
          <w:szCs w:val="16"/>
        </w:rPr>
      </w:pPr>
      <w:r w:rsidRPr="00507A31">
        <w:rPr>
          <w:color w:val="000000" w:themeColor="text1"/>
          <w:sz w:val="16"/>
          <w:szCs w:val="16"/>
        </w:rPr>
        <w:t>5. Обязать директоров заводов присылать в адрес ВСНХ, ЦК ВКП(6), СНК, НК РКИ и РБСР ежемесячные краткие письменные отчеты о мерах, принятых ими для проведения в жизнь данного постановления.</w:t>
      </w:r>
    </w:p>
    <w:p w14:paraId="2BFC87DC" w14:textId="77777777" w:rsidR="00AD150A" w:rsidRPr="00507A31" w:rsidRDefault="00AD150A" w:rsidP="00507A31">
      <w:pPr>
        <w:jc w:val="both"/>
        <w:rPr>
          <w:color w:val="000000" w:themeColor="text1"/>
          <w:sz w:val="16"/>
          <w:szCs w:val="16"/>
        </w:rPr>
      </w:pPr>
      <w:r w:rsidRPr="00507A31">
        <w:rPr>
          <w:color w:val="000000" w:themeColor="text1"/>
          <w:sz w:val="16"/>
          <w:szCs w:val="16"/>
        </w:rPr>
        <w:t>V.</w:t>
      </w:r>
    </w:p>
    <w:p w14:paraId="11F4D50C" w14:textId="77777777" w:rsidR="00AD150A" w:rsidRPr="00507A31" w:rsidRDefault="00AD150A" w:rsidP="00507A31">
      <w:pPr>
        <w:jc w:val="both"/>
        <w:rPr>
          <w:color w:val="000000" w:themeColor="text1"/>
          <w:sz w:val="16"/>
          <w:szCs w:val="16"/>
        </w:rPr>
      </w:pPr>
      <w:r w:rsidRPr="00507A31">
        <w:rPr>
          <w:color w:val="000000" w:themeColor="text1"/>
          <w:sz w:val="16"/>
          <w:szCs w:val="16"/>
        </w:rPr>
        <w:lastRenderedPageBreak/>
        <w:t>В целях улучшения технического руководства на военных заводах:</w:t>
      </w:r>
    </w:p>
    <w:p w14:paraId="789DFAD5" w14:textId="77777777" w:rsidR="00AD150A" w:rsidRPr="00507A31" w:rsidRDefault="00AD150A" w:rsidP="00507A31">
      <w:pPr>
        <w:jc w:val="both"/>
        <w:rPr>
          <w:color w:val="000000" w:themeColor="text1"/>
          <w:sz w:val="16"/>
          <w:szCs w:val="16"/>
        </w:rPr>
      </w:pPr>
      <w:r w:rsidRPr="00507A31">
        <w:rPr>
          <w:color w:val="000000" w:themeColor="text1"/>
          <w:sz w:val="16"/>
          <w:szCs w:val="16"/>
        </w:rPr>
        <w:t>1) ВСНХ и НКТруду в месячный срок мобилизовать инженеров из гражданской промышленности для военных заводов, в первую очередь конструкторов и металлургов;</w:t>
      </w:r>
    </w:p>
    <w:p w14:paraId="5FACB689" w14:textId="77777777" w:rsidR="00AD150A" w:rsidRPr="00507A31" w:rsidRDefault="00AD150A" w:rsidP="00507A31">
      <w:pPr>
        <w:jc w:val="both"/>
        <w:rPr>
          <w:color w:val="000000" w:themeColor="text1"/>
          <w:sz w:val="16"/>
          <w:szCs w:val="16"/>
        </w:rPr>
      </w:pPr>
      <w:r w:rsidRPr="00507A31">
        <w:rPr>
          <w:color w:val="000000" w:themeColor="text1"/>
          <w:sz w:val="16"/>
          <w:szCs w:val="16"/>
        </w:rPr>
        <w:t>2) С этой целью СНК и ЦИК 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7FE39B07" w14:textId="77777777" w:rsidR="00AD150A" w:rsidRPr="00507A31" w:rsidRDefault="00AD150A" w:rsidP="00507A31">
      <w:pPr>
        <w:jc w:val="both"/>
        <w:rPr>
          <w:color w:val="000000" w:themeColor="text1"/>
          <w:sz w:val="16"/>
          <w:szCs w:val="16"/>
        </w:rPr>
      </w:pPr>
      <w:r w:rsidRPr="00507A31">
        <w:rPr>
          <w:color w:val="000000" w:themeColor="text1"/>
          <w:sz w:val="16"/>
          <w:szCs w:val="16"/>
        </w:rPr>
        <w:t>2) 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59BF6602" w14:textId="77777777" w:rsidR="00AD150A" w:rsidRPr="00507A31" w:rsidRDefault="00AD150A" w:rsidP="00507A31">
      <w:pPr>
        <w:jc w:val="both"/>
        <w:rPr>
          <w:color w:val="000000" w:themeColor="text1"/>
          <w:sz w:val="16"/>
          <w:szCs w:val="16"/>
        </w:rPr>
      </w:pPr>
      <w:r w:rsidRPr="00507A31">
        <w:rPr>
          <w:color w:val="000000" w:themeColor="text1"/>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1EB94E58" w14:textId="77777777" w:rsidR="00AD150A" w:rsidRPr="00507A31" w:rsidRDefault="00AD150A" w:rsidP="00507A31">
      <w:pPr>
        <w:jc w:val="both"/>
        <w:rPr>
          <w:color w:val="000000" w:themeColor="text1"/>
          <w:sz w:val="16"/>
          <w:szCs w:val="16"/>
        </w:rPr>
      </w:pPr>
      <w:r w:rsidRPr="00507A31">
        <w:rPr>
          <w:color w:val="000000" w:themeColor="text1"/>
          <w:sz w:val="16"/>
          <w:szCs w:val="16"/>
        </w:rPr>
        <w:t>4) Обязать ВСНХ доложить в месячный срок РЗ СТО о ходе привлечения к военным производствам иностранной технической помощи и приглашения инспециалистов, в также план значительного расширения этого привлечения.</w:t>
      </w:r>
    </w:p>
    <w:p w14:paraId="45FF43DC" w14:textId="77777777" w:rsidR="00AD150A" w:rsidRPr="00507A31" w:rsidRDefault="00AD150A" w:rsidP="00507A31">
      <w:pPr>
        <w:jc w:val="both"/>
        <w:rPr>
          <w:color w:val="000000" w:themeColor="text1"/>
          <w:sz w:val="16"/>
          <w:szCs w:val="16"/>
        </w:rPr>
      </w:pPr>
      <w:r w:rsidRPr="00507A31">
        <w:rPr>
          <w:color w:val="000000" w:themeColor="text1"/>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человек и новую группу военных работников в количестве 20 человек.</w:t>
      </w:r>
    </w:p>
    <w:p w14:paraId="6CDB2A1B" w14:textId="77777777" w:rsidR="00AD150A" w:rsidRPr="00507A31" w:rsidRDefault="00AD150A" w:rsidP="00507A31">
      <w:pPr>
        <w:jc w:val="both"/>
        <w:rPr>
          <w:color w:val="000000" w:themeColor="text1"/>
          <w:sz w:val="16"/>
          <w:szCs w:val="16"/>
        </w:rPr>
      </w:pPr>
      <w:r w:rsidRPr="00507A31">
        <w:rPr>
          <w:color w:val="000000" w:themeColor="text1"/>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2EEB502F" w14:textId="77777777" w:rsidR="00AD150A" w:rsidRPr="00507A31" w:rsidRDefault="00AD150A" w:rsidP="00507A31">
      <w:pPr>
        <w:jc w:val="both"/>
        <w:rPr>
          <w:color w:val="000000" w:themeColor="text1"/>
          <w:sz w:val="16"/>
          <w:szCs w:val="16"/>
        </w:rPr>
      </w:pPr>
      <w:r w:rsidRPr="00507A31">
        <w:rPr>
          <w:color w:val="000000" w:themeColor="text1"/>
          <w:sz w:val="16"/>
          <w:szCs w:val="16"/>
        </w:rPr>
        <w:t>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146FF704" w14:textId="77777777" w:rsidR="00AD150A" w:rsidRPr="00507A31" w:rsidRDefault="00AD150A" w:rsidP="00507A31">
      <w:pPr>
        <w:jc w:val="both"/>
        <w:rPr>
          <w:color w:val="000000" w:themeColor="text1"/>
          <w:sz w:val="16"/>
          <w:szCs w:val="16"/>
        </w:rPr>
      </w:pPr>
      <w:r w:rsidRPr="00507A31">
        <w:rPr>
          <w:color w:val="000000" w:themeColor="text1"/>
          <w:sz w:val="16"/>
          <w:szCs w:val="16"/>
        </w:rPr>
        <w:t>Обязать ВСНХ в месячный срок доложить РЗ СТО о проводимых им мероприятиях во исполнение этих предложений.</w:t>
      </w:r>
    </w:p>
    <w:p w14:paraId="2664030F" w14:textId="77777777" w:rsidR="00AD150A" w:rsidRPr="00507A31" w:rsidRDefault="00AD150A" w:rsidP="00507A31">
      <w:pPr>
        <w:jc w:val="both"/>
        <w:rPr>
          <w:color w:val="000000" w:themeColor="text1"/>
          <w:sz w:val="16"/>
          <w:szCs w:val="16"/>
        </w:rPr>
      </w:pPr>
      <w:r w:rsidRPr="00507A31">
        <w:rPr>
          <w:color w:val="000000" w:themeColor="text1"/>
          <w:sz w:val="16"/>
          <w:szCs w:val="16"/>
        </w:rPr>
        <w:t>VI.</w:t>
      </w:r>
    </w:p>
    <w:p w14:paraId="65D62F89" w14:textId="77777777" w:rsidR="00AD150A" w:rsidRPr="00507A31" w:rsidRDefault="00AD150A" w:rsidP="00507A31">
      <w:pPr>
        <w:jc w:val="both"/>
        <w:rPr>
          <w:color w:val="000000" w:themeColor="text1"/>
          <w:sz w:val="16"/>
          <w:szCs w:val="16"/>
        </w:rPr>
      </w:pPr>
      <w:r w:rsidRPr="00507A31">
        <w:rPr>
          <w:color w:val="000000" w:themeColor="text1"/>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двух-трех месяцев.</w:t>
      </w:r>
    </w:p>
    <w:p w14:paraId="64EA99D9" w14:textId="77777777" w:rsidR="00AD150A" w:rsidRPr="00507A31" w:rsidRDefault="00AD150A" w:rsidP="00507A31">
      <w:pPr>
        <w:jc w:val="both"/>
        <w:rPr>
          <w:color w:val="000000" w:themeColor="text1"/>
          <w:sz w:val="16"/>
          <w:szCs w:val="16"/>
        </w:rPr>
      </w:pPr>
      <w:r w:rsidRPr="00507A31">
        <w:rPr>
          <w:color w:val="000000" w:themeColor="text1"/>
          <w:sz w:val="16"/>
          <w:szCs w:val="16"/>
        </w:rPr>
        <w:t>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1.VII. с. г., за выполнением промфинплана 1929/30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171CF612" w14:textId="77777777" w:rsidR="00AD150A" w:rsidRPr="00507A31" w:rsidRDefault="00AD150A" w:rsidP="00507A31">
      <w:pPr>
        <w:jc w:val="both"/>
        <w:rPr>
          <w:color w:val="000000" w:themeColor="text1"/>
          <w:sz w:val="16"/>
          <w:szCs w:val="16"/>
        </w:rPr>
      </w:pPr>
      <w:r w:rsidRPr="00507A31">
        <w:rPr>
          <w:color w:val="000000" w:themeColor="text1"/>
          <w:sz w:val="16"/>
          <w:szCs w:val="16"/>
        </w:rPr>
        <w:t>Секретариату ЦК к следующему заседанию представить список командируемых.</w:t>
      </w:r>
    </w:p>
    <w:p w14:paraId="4D18DB04" w14:textId="77777777" w:rsidR="00AD150A" w:rsidRPr="00507A31" w:rsidRDefault="00AD150A" w:rsidP="00507A31">
      <w:pPr>
        <w:jc w:val="both"/>
        <w:rPr>
          <w:color w:val="000000" w:themeColor="text1"/>
          <w:sz w:val="16"/>
          <w:szCs w:val="16"/>
        </w:rPr>
      </w:pPr>
      <w:r w:rsidRPr="00507A31">
        <w:rPr>
          <w:color w:val="000000" w:themeColor="text1"/>
          <w:sz w:val="16"/>
          <w:szCs w:val="16"/>
        </w:rPr>
        <w:t>VII.</w:t>
      </w:r>
    </w:p>
    <w:p w14:paraId="4D97176C" w14:textId="77777777" w:rsidR="00AD150A" w:rsidRPr="00507A31" w:rsidRDefault="00AD150A" w:rsidP="00507A31">
      <w:pPr>
        <w:jc w:val="both"/>
        <w:rPr>
          <w:color w:val="000000" w:themeColor="text1"/>
          <w:sz w:val="16"/>
          <w:szCs w:val="16"/>
        </w:rPr>
      </w:pPr>
      <w:r w:rsidRPr="00507A31">
        <w:rPr>
          <w:color w:val="000000" w:themeColor="text1"/>
          <w:sz w:val="16"/>
          <w:szCs w:val="16"/>
        </w:rPr>
        <w:t>1. Директоров заводов: МОЗ'а — т. 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 года занимать ответственные хозяйственные должности.</w:t>
      </w:r>
    </w:p>
    <w:p w14:paraId="386A6473" w14:textId="77777777" w:rsidR="00AD150A" w:rsidRPr="00507A31" w:rsidRDefault="00AD150A" w:rsidP="00507A31">
      <w:pPr>
        <w:jc w:val="both"/>
        <w:rPr>
          <w:color w:val="000000" w:themeColor="text1"/>
          <w:sz w:val="16"/>
          <w:szCs w:val="16"/>
        </w:rPr>
      </w:pPr>
      <w:r w:rsidRPr="00507A31">
        <w:rPr>
          <w:color w:val="000000" w:themeColor="text1"/>
          <w:sz w:val="16"/>
          <w:szCs w:val="16"/>
        </w:rPr>
        <w:t>Директоре завода № 50 т. Дмитриева за несвоевременное принятие мер по ликвидации вредительства снять с работы и объявить выговор.</w:t>
      </w:r>
    </w:p>
    <w:p w14:paraId="649C5DED" w14:textId="77777777" w:rsidR="00AD150A" w:rsidRPr="00507A31" w:rsidRDefault="00AD150A" w:rsidP="00507A31">
      <w:pPr>
        <w:jc w:val="both"/>
        <w:rPr>
          <w:color w:val="000000" w:themeColor="text1"/>
          <w:sz w:val="16"/>
          <w:szCs w:val="16"/>
        </w:rPr>
      </w:pPr>
      <w:r w:rsidRPr="00507A31">
        <w:rPr>
          <w:color w:val="000000" w:themeColor="text1"/>
          <w:sz w:val="16"/>
          <w:szCs w:val="16"/>
        </w:rPr>
        <w:t>Директору ТОЗ'а т. Ситникову за недостаточно активное изжитие последствий вредительства объявить выговор, обязав в кратчайший срок выправить это дело.</w:t>
      </w:r>
    </w:p>
    <w:p w14:paraId="5DCC383E" w14:textId="77777777" w:rsidR="00AD150A" w:rsidRPr="00507A31" w:rsidRDefault="00AD150A" w:rsidP="00507A31">
      <w:pPr>
        <w:jc w:val="both"/>
        <w:rPr>
          <w:color w:val="000000" w:themeColor="text1"/>
          <w:sz w:val="16"/>
          <w:szCs w:val="16"/>
        </w:rPr>
      </w:pPr>
      <w:r w:rsidRPr="00507A31">
        <w:rPr>
          <w:color w:val="000000" w:themeColor="text1"/>
          <w:sz w:val="16"/>
          <w:szCs w:val="16"/>
        </w:rPr>
        <w:t>Директору завода № 42 т. Шмырову за невыполнение программы и непринятие достаточных мер для ликвидации работы вредителей, что в результате дезорганизовало работу производства, объявить строгий выговор, предложить в кратчайший срок выправить положение.</w:t>
      </w:r>
    </w:p>
    <w:p w14:paraId="7E9698FB" w14:textId="77777777" w:rsidR="00AD150A" w:rsidRPr="00507A31" w:rsidRDefault="00AD150A" w:rsidP="00507A31">
      <w:pPr>
        <w:jc w:val="both"/>
        <w:rPr>
          <w:color w:val="000000" w:themeColor="text1"/>
          <w:sz w:val="16"/>
          <w:szCs w:val="16"/>
        </w:rPr>
      </w:pPr>
      <w:r w:rsidRPr="00507A31">
        <w:rPr>
          <w:color w:val="000000" w:themeColor="text1"/>
          <w:sz w:val="16"/>
          <w:szCs w:val="16"/>
        </w:rPr>
        <w:t>2. 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7277DC0D" w14:textId="77777777" w:rsidR="00AD150A" w:rsidRPr="00507A31" w:rsidRDefault="00AD150A" w:rsidP="00507A31">
      <w:pPr>
        <w:jc w:val="both"/>
        <w:rPr>
          <w:color w:val="000000" w:themeColor="text1"/>
          <w:sz w:val="16"/>
          <w:szCs w:val="16"/>
        </w:rPr>
      </w:pPr>
      <w:r w:rsidRPr="00507A31">
        <w:rPr>
          <w:color w:val="000000" w:themeColor="text1"/>
          <w:sz w:val="16"/>
          <w:szCs w:val="16"/>
        </w:rPr>
        <w:t>3. Обязать ЦКК-РКИ иметь непрерывное наблюдение за выполнением настоящего постановления.</w:t>
      </w:r>
    </w:p>
    <w:p w14:paraId="7B41DD20" w14:textId="77777777" w:rsidR="00AD150A" w:rsidRPr="00507A31" w:rsidRDefault="00AD150A" w:rsidP="00507A31">
      <w:pPr>
        <w:jc w:val="both"/>
        <w:rPr>
          <w:color w:val="000000" w:themeColor="text1"/>
          <w:sz w:val="16"/>
          <w:szCs w:val="16"/>
        </w:rPr>
      </w:pPr>
      <w:r w:rsidRPr="00507A31">
        <w:rPr>
          <w:color w:val="000000" w:themeColor="text1"/>
          <w:sz w:val="16"/>
          <w:szCs w:val="16"/>
        </w:rPr>
        <w:t>п. 45: О военной промышленности</w:t>
      </w:r>
    </w:p>
    <w:p w14:paraId="28CCFEF3" w14:textId="77777777" w:rsidR="00AD150A" w:rsidRPr="00507A31" w:rsidRDefault="00AD150A" w:rsidP="00507A31">
      <w:pPr>
        <w:jc w:val="both"/>
        <w:rPr>
          <w:color w:val="000000" w:themeColor="text1"/>
          <w:sz w:val="16"/>
          <w:szCs w:val="16"/>
        </w:rPr>
      </w:pPr>
      <w:r w:rsidRPr="00507A31">
        <w:rPr>
          <w:color w:val="000000" w:themeColor="text1"/>
          <w:sz w:val="16"/>
          <w:szCs w:val="16"/>
        </w:rPr>
        <w:t>(Прокофьев, Ягода, Павлуновский, Козловский, Дмитриев Ходулев, Кустов, Ершов, Григорьев, Гузаков, Ситников, Ильин, Миняйло, Десятников, Малахов, Королев, Горшков, Ткалун, Невструев, Михайлов. Венецкий, Шароков, Постников, Ефимов, Шпекторов, Аппога, Котт, Нейман, Ляшко, Мартынович, Рухимович, Лобов, Толоконцев, Гамарник, Венцов, Москвин, Строганов, Егоров Б.).</w:t>
      </w:r>
    </w:p>
    <w:p w14:paraId="5B5D8086" w14:textId="77777777" w:rsidR="00AD150A" w:rsidRPr="00507A31" w:rsidRDefault="00AD150A" w:rsidP="00507A31">
      <w:pPr>
        <w:jc w:val="both"/>
        <w:rPr>
          <w:color w:val="000000" w:themeColor="text1"/>
          <w:sz w:val="16"/>
          <w:szCs w:val="16"/>
        </w:rPr>
      </w:pPr>
      <w:r w:rsidRPr="00507A31">
        <w:rPr>
          <w:color w:val="000000" w:themeColor="text1"/>
          <w:sz w:val="16"/>
          <w:szCs w:val="16"/>
        </w:rPr>
        <w:t>а) Для составления проекта конкретной резолюции, на основе состоявшегося обмена мнений, создать комиссию в составе: т.т. Куйбышев, Ворошилов, Павлуновский, Прокофьев, Шверник. Рухимович, Нейман, Ситников, Невструев, Ткалун, Венецкий, Дмитриев, Ильин, Постников, Григорьев, Кустов, Миняйло, Ершов, Королев, Михайлов, Десятников, Ляшко, Козловский, Каталев, Толоконцев.</w:t>
      </w:r>
    </w:p>
    <w:p w14:paraId="2D188320" w14:textId="77777777" w:rsidR="00AD150A" w:rsidRPr="00507A31" w:rsidRDefault="00AD150A" w:rsidP="00507A31">
      <w:pPr>
        <w:jc w:val="both"/>
        <w:rPr>
          <w:color w:val="000000" w:themeColor="text1"/>
          <w:sz w:val="16"/>
          <w:szCs w:val="16"/>
        </w:rPr>
      </w:pPr>
      <w:r w:rsidRPr="00507A31">
        <w:rPr>
          <w:color w:val="000000" w:themeColor="text1"/>
          <w:sz w:val="16"/>
          <w:szCs w:val="16"/>
        </w:rPr>
        <w:t>Созыв за т. Куйбышевым. Срок — к 25 февраля.</w:t>
      </w:r>
    </w:p>
    <w:p w14:paraId="206B326D" w14:textId="77777777" w:rsidR="00AD150A" w:rsidRPr="00507A31" w:rsidRDefault="00AD150A" w:rsidP="00507A31">
      <w:pPr>
        <w:jc w:val="both"/>
        <w:rPr>
          <w:color w:val="000000" w:themeColor="text1"/>
          <w:sz w:val="16"/>
          <w:szCs w:val="16"/>
        </w:rPr>
      </w:pPr>
      <w:r w:rsidRPr="00507A31">
        <w:rPr>
          <w:color w:val="000000" w:themeColor="text1"/>
          <w:sz w:val="16"/>
          <w:szCs w:val="16"/>
        </w:rPr>
        <w:t>б) Созвать на 20 марта подобное же совещание членов Политбюро с работниками гражданской металлический промышленности, поставив не нем доклады ОГПУ и ВСНХ СССР (18325).</w:t>
      </w:r>
    </w:p>
    <w:p w14:paraId="4B7A443B" w14:textId="77777777" w:rsidR="00AD150A" w:rsidRPr="00507A31" w:rsidRDefault="00AD150A" w:rsidP="00507A31">
      <w:pPr>
        <w:jc w:val="both"/>
        <w:rPr>
          <w:color w:val="000000" w:themeColor="text1"/>
          <w:sz w:val="16"/>
          <w:szCs w:val="16"/>
        </w:rPr>
      </w:pPr>
    </w:p>
    <w:p w14:paraId="2C9873F6" w14:textId="77777777" w:rsidR="00AD150A" w:rsidRPr="00507A31" w:rsidRDefault="00AD150A" w:rsidP="00507A31">
      <w:pPr>
        <w:jc w:val="both"/>
        <w:rPr>
          <w:color w:val="000000" w:themeColor="text1"/>
          <w:sz w:val="16"/>
          <w:szCs w:val="16"/>
        </w:rPr>
      </w:pPr>
      <w:r w:rsidRPr="00507A31">
        <w:rPr>
          <w:color w:val="000000" w:themeColor="text1"/>
          <w:sz w:val="16"/>
          <w:szCs w:val="16"/>
          <w:shd w:val="clear" w:color="auto" w:fill="FFFFFF"/>
        </w:rPr>
        <w:t>25 февраля 1930 года Политбюро ЦК ВКП(б) приняло постановление «О ходе вредительства на предприятиях военной промышленности» и на пороге уже стоял процесс «Промпартии». Именно в это время нарастает кампания по поиску вредителей на государственных предприятиях и стройках.</w:t>
      </w:r>
      <w:r w:rsidRPr="00507A31">
        <w:rPr>
          <w:bCs/>
          <w:iCs/>
          <w:color w:val="000000" w:themeColor="text1"/>
          <w:sz w:val="16"/>
          <w:szCs w:val="16"/>
          <w:shd w:val="clear" w:color="auto" w:fill="FFFFFF"/>
        </w:rPr>
        <w:t> Условия первых лет индустриализации с ее грандиозными планами, авральными работами, использованием неквалифицированной рабочей силы и отсутствием грамотных руководителей в итоге приводило к различным авариям, поломкам оборудования, техногенным катастрофам (18976).</w:t>
      </w:r>
    </w:p>
    <w:p w14:paraId="6FA566C0" w14:textId="77777777" w:rsidR="00AD150A" w:rsidRPr="00507A31" w:rsidRDefault="00AD150A" w:rsidP="00507A31">
      <w:pPr>
        <w:jc w:val="both"/>
        <w:rPr>
          <w:color w:val="000000" w:themeColor="text1"/>
          <w:sz w:val="16"/>
          <w:szCs w:val="16"/>
        </w:rPr>
      </w:pPr>
    </w:p>
    <w:p w14:paraId="3763D1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 февраля 1930 г. Политбюро ЦК ВКП(б) приняло специальное постановление "О ходе ликвидации вреди</w:t>
      </w:r>
      <w:r w:rsidRPr="00507A31">
        <w:rPr>
          <w:color w:val="000000" w:themeColor="text1"/>
          <w:sz w:val="16"/>
          <w:szCs w:val="16"/>
        </w:rPr>
        <w:softHyphen/>
        <w:t>тельства на предприятиях военной промышленности", в котором говорилось: "Заслушав доклад ОГПУ о ликвидации на предпри</w:t>
      </w:r>
      <w:r w:rsidRPr="00507A31">
        <w:rPr>
          <w:color w:val="000000" w:themeColor="text1"/>
          <w:sz w:val="16"/>
          <w:szCs w:val="16"/>
        </w:rPr>
        <w:softHyphen/>
        <w:t>ятиях военной промышленности последствий вредительства, ЦК ВКП(б) констатирует, что до настоящего времени во всей воен</w:t>
      </w:r>
      <w:r w:rsidRPr="00507A31">
        <w:rPr>
          <w:color w:val="000000" w:themeColor="text1"/>
          <w:sz w:val="16"/>
          <w:szCs w:val="16"/>
        </w:rPr>
        <w:softHyphen/>
        <w:t>ной промышленности не принято достаточных мер по ликвида</w:t>
      </w:r>
      <w:r w:rsidRPr="00507A31">
        <w:rPr>
          <w:color w:val="000000" w:themeColor="text1"/>
          <w:sz w:val="16"/>
          <w:szCs w:val="16"/>
        </w:rPr>
        <w:softHyphen/>
        <w:t>ции этих последствий... Необходимы героические усилия для того, чтобы наверстать упущенное" (10788).</w:t>
      </w:r>
    </w:p>
    <w:p w14:paraId="0B654D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865EB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 февраля 1930 г. в постановлении Политбюро "О ходе ликвидации вредительства на пред</w:t>
      </w:r>
      <w:r w:rsidRPr="00507A31">
        <w:rPr>
          <w:color w:val="000000" w:themeColor="text1"/>
          <w:sz w:val="16"/>
          <w:szCs w:val="16"/>
        </w:rPr>
        <w:softHyphen/>
        <w:t>приятиях военной промышленности" утверждалось, что надо "привлекать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Во исполне</w:t>
      </w:r>
      <w:r w:rsidRPr="00507A31">
        <w:rPr>
          <w:color w:val="000000" w:themeColor="text1"/>
          <w:sz w:val="16"/>
          <w:szCs w:val="16"/>
        </w:rPr>
        <w:softHyphen/>
        <w:t>ние этого постановления был издан совместный приказ Нарко</w:t>
      </w:r>
      <w:r w:rsidRPr="00507A31">
        <w:rPr>
          <w:color w:val="000000" w:themeColor="text1"/>
          <w:sz w:val="16"/>
          <w:szCs w:val="16"/>
        </w:rPr>
        <w:softHyphen/>
        <w:t>мата военных и морских дел, ВСНХ и ВЦСПС, который расши</w:t>
      </w:r>
      <w:r w:rsidRPr="00507A31">
        <w:rPr>
          <w:color w:val="000000" w:themeColor="text1"/>
          <w:sz w:val="16"/>
          <w:szCs w:val="16"/>
        </w:rPr>
        <w:softHyphen/>
        <w:t>рял права производственных комиссий и совещаний, а также до</w:t>
      </w:r>
      <w:r w:rsidRPr="00507A31">
        <w:rPr>
          <w:color w:val="000000" w:themeColor="text1"/>
          <w:sz w:val="16"/>
          <w:szCs w:val="16"/>
        </w:rPr>
        <w:softHyphen/>
        <w:t>пускал обсуждение ряда вопросов производственного характера на общих собраниях рабочих. Однако, по словам Ворошилова, к марту 1930 г. этот приказ еще не дошел до военных заводов и, ве</w:t>
      </w:r>
      <w:r w:rsidRPr="00507A31">
        <w:rPr>
          <w:color w:val="000000" w:themeColor="text1"/>
          <w:sz w:val="16"/>
          <w:szCs w:val="16"/>
        </w:rPr>
        <w:softHyphen/>
        <w:t>роятно, так и не вступил в силу (10788).</w:t>
      </w:r>
    </w:p>
    <w:p w14:paraId="08F6C2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D8B3A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февраля 1930 года Политбюро ЦК ВКП(б) принимает директивное постановление "О ликвидации последствий вредительства в военной промышленности", которое дает новый толчок для различного рода чисток и на которое оперативно реагирует ленинградский обком ВКП(б). 7 марта того же года он принимает созвучное с названием документа высшей инстанции постановление. Отмечая, что ход выполнения "плана выпуска военной продукции за первый квартал 1929-1930 года. оказался совершенно неудовлетворительным", областной комитет партии требует образовать на всех оборонных предприятиях специальные комиссии по борьбе с вредительством и даже. составить планы борьбы с этим явлением. Как эти решения реализовывались, можно продемонстрировать на примере военного завода № 5 "Краснознаменец" (бывший Охтенский пороховой и взрывчатых веществ). После получения упомянутых указаний здесь были составлены списки старых специалистов и вынесен на обсуждение вопрос о необходимости их замены. И это в то время, когда на заводе шел сложный процесс освоения производства азида свинца - нового инициирующего вещества, в несколько раз превосходящего гремучую ртуть. Ведущим специалистом в данной области был инженер-технолог С.А. Владимиров с дореволюционным стажем. Его пытались заменить давно, но работника подобного уровня найти не удавалось, поскольку технология, которой Владимиров овладел в совершенстве, была абсолютно новой, да и ни один из молодых специалистов не мог освоить ее. Тогда администрацией предприятия было принято решение "резко ограничить круг лиц, концентрирующихся вокруг инженера Владимирова". Ситуация усугубилась взрывами азида свинца 6 и 29 октября 1930 года, повлекшими за собой человеческие жертвы. Несмотря на то что при этом погибла пытавшаяся предотвратить страшное происшествие жена инженера Владимирова, его вместе с инженером Грибачом арестовали. В докладе председателю правления Всесоюзного химического треста, которому подчинялся завод, директор Г. Абрамов безапелляционно утверждал: "Это происшествие не является случайным, а делом, заранее разработанным группой вредителей, которые имели в виду не только произвести этот взрыв, но и более значительный, чтобы разнести другие здания с большим количеством человеческих жертв". Комиссия по борьбе с последствиями вредительства в связи с этим случаем разработала специальный план, состоявший из 450 мероприятий, которые должны были исключить всякую аварийность на заводе. Однако 14 ноября последовал еще один взрыв в одном из цехов азидного производства, послуживший поводом для ареста технического директора завода, заведующего контрольно-измерительным отделом и прессовочного мастера. Необоснованные и поспешные репрессивные меры по отношению к ведущим специалистам привели к тому, что годовой план был выполнен лишь на 76 проц. Пытаясь исправить положение, руководство города перебросило с гражданских предприятий на военный завод "Краснознаменец" двух опытных инженеров И.Н. Уженко и М.Б. Шварца. Но лишь второй, можно сказать, пришелся ко двору, да и то в качестве инструктора, первый же оказался некомпетентным в данной области. Руководство завода в срочном порядке обратилось с ходатайством о помощи к правлению Химического треста, где, в частности, указывалось: "Завод ощущает острую нужду в высшем техническом персонале. До сего времени Военно-</w:t>
      </w:r>
      <w:r w:rsidRPr="00507A31">
        <w:rPr>
          <w:color w:val="000000" w:themeColor="text1"/>
          <w:sz w:val="16"/>
          <w:szCs w:val="16"/>
        </w:rPr>
        <w:lastRenderedPageBreak/>
        <w:t>техническая академия дала 2 инженеров, но один уже арестован ОГПУ. На заводе нет технического директора". Обратилось оно с просительным письмом и в партийную организацию упомянутого в ходатайстве вуза. Заканчивалось послание следующими словами: "Заводоуправление и завком видят единственный выход в принятии Военно-технической академией шефства над заводом и помощи нам в разрешении переживаемого заводом кризиса в отсутствии специалистов" (11025).</w:t>
      </w:r>
    </w:p>
    <w:p w14:paraId="61525272" w14:textId="77777777" w:rsidR="00537E5F" w:rsidRPr="00507A31" w:rsidRDefault="00537E5F" w:rsidP="00507A31">
      <w:pPr>
        <w:autoSpaceDE w:val="0"/>
        <w:autoSpaceDN w:val="0"/>
        <w:adjustRightInd w:val="0"/>
        <w:jc w:val="both"/>
        <w:rPr>
          <w:color w:val="000000" w:themeColor="text1"/>
          <w:sz w:val="16"/>
          <w:szCs w:val="16"/>
        </w:rPr>
      </w:pPr>
    </w:p>
    <w:p w14:paraId="2E31B8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25 февраля 1930 года по поручению Сталина в особо секретном письме вместе с Постановлением Политбюро ЦК директоров заводов обязали сообщить о принятых мерах по выявлению и ликвидации вредительства в военной промышленности. </w:t>
      </w:r>
    </w:p>
    <w:p w14:paraId="448B85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Последние в ответ стали направлять в Политбюро ЦК письма о принятых мерах. На некоторых заводах стали организовывать комиссии по ликвидации последствий вредительства, которые вели протоколы своих заседаний и направляли их в Политбюро. </w:t>
      </w:r>
    </w:p>
    <w:p w14:paraId="377C82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Так в отчете о вредительстве директор завода им. Морозова в Ленинграде 23 мая 1930 года писал: Завод терпит исключительную нужду в руководящем техническом персонале. Не налажены поставки. Завод не справляется с достижением мобилизационной готовности. Далее сообщает о произошедшем взрыве на заводе (по-видимому, из-за курения, которое не заводе было запрещено). </w:t>
      </w:r>
    </w:p>
    <w:p w14:paraId="3EA9C0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завода № 11 г. Загорска от 9 августа 1930 года писал, что при ликвидации вредительства было вывезено до 2000 возов мусора, прочищено оборудование, приведена в порядок пожарная сигнализация, проверены строящиеся или проектирующиеся здания в 1929-1936 г.г. под углом зрения соответствия их с мобилизационным заданиям (11248).</w:t>
      </w:r>
    </w:p>
    <w:p w14:paraId="1150A78E" w14:textId="77777777" w:rsidR="00537E5F" w:rsidRPr="00507A31" w:rsidRDefault="00537E5F" w:rsidP="00507A31">
      <w:pPr>
        <w:autoSpaceDE w:val="0"/>
        <w:autoSpaceDN w:val="0"/>
        <w:adjustRightInd w:val="0"/>
        <w:jc w:val="both"/>
        <w:rPr>
          <w:color w:val="000000" w:themeColor="text1"/>
          <w:sz w:val="16"/>
          <w:szCs w:val="16"/>
        </w:rPr>
      </w:pPr>
    </w:p>
    <w:p w14:paraId="5E38A0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февраля 1930 Член Правления Патрубтреста Ляпидевский писал письмо № 5211/966 в Общий Отдел ГВПУ:</w:t>
      </w:r>
    </w:p>
    <w:p w14:paraId="3D7B6E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Ваш № 3573с от 18 февраля 1930</w:t>
      </w:r>
    </w:p>
    <w:p w14:paraId="435161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Правление треста сообщает адреса Заводов, фамилии директорпов и зам. директоров заводов:</w:t>
      </w:r>
    </w:p>
    <w:p w14:paraId="240ABB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Завод № 4 им. Калинина</w:t>
      </w:r>
    </w:p>
    <w:p w14:paraId="4AC896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Почт. адрес - гор. Ленинград, пост. ящ. № 18</w:t>
      </w:r>
    </w:p>
    <w:p w14:paraId="0C44E3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телеграф. - Ленинград-Чугун</w:t>
      </w:r>
    </w:p>
    <w:p w14:paraId="49D6F4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телефон - 5-42-59</w:t>
      </w:r>
    </w:p>
    <w:p w14:paraId="567BC7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ХОЛОДИЛИН Федор Иванович</w:t>
      </w:r>
    </w:p>
    <w:p w14:paraId="6594F8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 - ЗАЙЦЕВ Владимир Ефимович</w:t>
      </w:r>
    </w:p>
    <w:p w14:paraId="1F1B34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 - ОСИПОВ Иван Иванович</w:t>
      </w:r>
    </w:p>
    <w:p w14:paraId="71C2E7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Завод № 42 им. Масленникова</w:t>
      </w:r>
    </w:p>
    <w:p w14:paraId="5D49B6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Почтов.адрес - гор. Самара, почт.ящик № 59</w:t>
      </w:r>
    </w:p>
    <w:p w14:paraId="6FDD3A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телегр. -тоже</w:t>
      </w:r>
    </w:p>
    <w:p w14:paraId="151DF0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телефон - (не известно)</w:t>
      </w:r>
    </w:p>
    <w:p w14:paraId="38978E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 ШМЫРЕВ Иван Иванович</w:t>
      </w:r>
    </w:p>
    <w:p w14:paraId="294127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 ВИНОГРАДОВ Николай Андревич</w:t>
      </w:r>
    </w:p>
    <w:p w14:paraId="438E68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Пензенский Велозавод.</w:t>
      </w:r>
    </w:p>
    <w:p w14:paraId="494DDB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почтов. адрес - г. Пенза, почт.ящик № 25</w:t>
      </w:r>
    </w:p>
    <w:p w14:paraId="4AE744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телегр. - Пенза-Сталь</w:t>
      </w:r>
    </w:p>
    <w:p w14:paraId="2539F2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телефон - (не известно)</w:t>
      </w:r>
    </w:p>
    <w:p w14:paraId="3B285C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 ДМИТРИЕВ Михаил Егорович.</w:t>
      </w:r>
    </w:p>
    <w:p w14:paraId="167D69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 ЗЕЛЕНОВ Макар Дмитриевич.</w:t>
      </w:r>
    </w:p>
    <w:p w14:paraId="644C3B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Завод № 60</w:t>
      </w:r>
    </w:p>
    <w:p w14:paraId="5B9007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почтов. адрес - гор. Луганск, почт. ящик № 27</w:t>
      </w:r>
    </w:p>
    <w:p w14:paraId="3F69A5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телегр. - Луганск-Коммутатор</w:t>
      </w:r>
    </w:p>
    <w:p w14:paraId="5307AD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телефон - (неизвестно)</w:t>
      </w:r>
    </w:p>
    <w:p w14:paraId="68A2A9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 МАЛЬЦЕВ Петр Иванович</w:t>
      </w:r>
    </w:p>
    <w:p w14:paraId="43607B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 СТАРИЦКИЙ Гавриил Аристархович</w:t>
      </w:r>
    </w:p>
    <w:p w14:paraId="676AB0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 ГАВРИЛОВ Михаил Тимофеевич.</w:t>
      </w:r>
    </w:p>
    <w:p w14:paraId="030C89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Тульский Патронный Завод</w:t>
      </w:r>
    </w:p>
    <w:p w14:paraId="12F197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почтов. адрес: - г.Тула, абониментн. ящик № 37.</w:t>
      </w:r>
    </w:p>
    <w:p w14:paraId="593AC3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телегр. - Тула-Прокатрон</w:t>
      </w:r>
    </w:p>
    <w:p w14:paraId="3E690B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телефоны - 2-72 и 2-73 (через загородн. станцию)</w:t>
      </w:r>
    </w:p>
    <w:p w14:paraId="5EED65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 ИЛЬИН Филипп Васильевич</w:t>
      </w:r>
    </w:p>
    <w:p w14:paraId="5461CF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 ПЛОДУХИН Андрей Иванович</w:t>
      </w:r>
    </w:p>
    <w:p w14:paraId="476CAE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ГЕНЕРАЛОВ Петр Михайлович.</w:t>
      </w:r>
    </w:p>
    <w:p w14:paraId="2F6C81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Завод № 17.</w:t>
      </w:r>
    </w:p>
    <w:p w14:paraId="70A0FB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почтов. адрес - г. Подольск, Моск. Обл, почт. ящ. № 17</w:t>
      </w:r>
    </w:p>
    <w:p w14:paraId="6AE283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телегр. - Подольск-Семнадцать.</w:t>
      </w:r>
    </w:p>
    <w:p w14:paraId="0EDA51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телефон - В 78 (через загородную станц.)</w:t>
      </w:r>
    </w:p>
    <w:p w14:paraId="687F5E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 ДОРОФЕЕВ Александр Николаевич</w:t>
      </w:r>
    </w:p>
    <w:p w14:paraId="794A41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 ПАВИЧ Антон Александрович.</w:t>
      </w:r>
    </w:p>
    <w:p w14:paraId="30CBF3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Завод № 3 им. Володарского</w:t>
      </w:r>
    </w:p>
    <w:p w14:paraId="1B484F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почтов. адрес: - г.Ульяновск, почт. ящик № 19</w:t>
      </w:r>
    </w:p>
    <w:p w14:paraId="401488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телегр. -тоже</w:t>
      </w:r>
    </w:p>
    <w:p w14:paraId="6EBE44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телефон - (не известно)</w:t>
      </w:r>
    </w:p>
    <w:p w14:paraId="1465EB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 МЕНЯЙЛО Михаил Лаврентьевич</w:t>
      </w:r>
    </w:p>
    <w:p w14:paraId="24FE92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 БЕЛОВ Василий Петрович</w:t>
      </w:r>
    </w:p>
    <w:p w14:paraId="554CBE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Московский дроболитейный завод</w:t>
      </w:r>
    </w:p>
    <w:p w14:paraId="7C24BB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постов.адрес - Москва, Ярославское ш., № 2</w:t>
      </w:r>
    </w:p>
    <w:p w14:paraId="283D5D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телёгр. - Москва-Дробь</w:t>
      </w:r>
    </w:p>
    <w:p w14:paraId="554397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телефон - 4-41-60.</w:t>
      </w:r>
    </w:p>
    <w:p w14:paraId="1D272F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Директор - ПЕРФИЛЬЕВ Николай Антонович (8826,67).</w:t>
      </w:r>
    </w:p>
    <w:p w14:paraId="03438BD7" w14:textId="77777777" w:rsidR="00537E5F" w:rsidRPr="00507A31" w:rsidRDefault="00537E5F" w:rsidP="00507A31">
      <w:pPr>
        <w:autoSpaceDE w:val="0"/>
        <w:autoSpaceDN w:val="0"/>
        <w:adjustRightInd w:val="0"/>
        <w:jc w:val="both"/>
        <w:rPr>
          <w:color w:val="000000" w:themeColor="text1"/>
          <w:sz w:val="16"/>
          <w:szCs w:val="16"/>
        </w:rPr>
      </w:pPr>
    </w:p>
    <w:p w14:paraId="5158735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94DF8AC" w14:textId="77777777" w:rsidR="00537E5F" w:rsidRPr="00507A31" w:rsidRDefault="00537E5F" w:rsidP="00507A31">
      <w:pPr>
        <w:autoSpaceDE w:val="0"/>
        <w:autoSpaceDN w:val="0"/>
        <w:adjustRightInd w:val="0"/>
        <w:jc w:val="both"/>
        <w:rPr>
          <w:iCs/>
          <w:color w:val="000000" w:themeColor="text1"/>
          <w:sz w:val="16"/>
          <w:szCs w:val="16"/>
        </w:rPr>
      </w:pPr>
    </w:p>
    <w:p w14:paraId="4F49B9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февраля 1930 в Москве открылся Клуб театральных работников (потом ЦДРИ) (3960, 78).</w:t>
      </w:r>
    </w:p>
    <w:p w14:paraId="5A4DD888" w14:textId="77777777" w:rsidR="00537E5F" w:rsidRPr="00507A31" w:rsidRDefault="00537E5F" w:rsidP="00507A31">
      <w:pPr>
        <w:autoSpaceDE w:val="0"/>
        <w:autoSpaceDN w:val="0"/>
        <w:adjustRightInd w:val="0"/>
        <w:jc w:val="both"/>
        <w:rPr>
          <w:color w:val="000000" w:themeColor="text1"/>
          <w:sz w:val="16"/>
          <w:szCs w:val="16"/>
        </w:rPr>
      </w:pPr>
    </w:p>
    <w:p w14:paraId="7778AFF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C02CF3F" w14:textId="77777777" w:rsidR="00537E5F" w:rsidRPr="00507A31" w:rsidRDefault="00537E5F" w:rsidP="00507A31">
      <w:pPr>
        <w:autoSpaceDE w:val="0"/>
        <w:autoSpaceDN w:val="0"/>
        <w:adjustRightInd w:val="0"/>
        <w:jc w:val="both"/>
        <w:rPr>
          <w:iCs/>
          <w:color w:val="000000" w:themeColor="text1"/>
          <w:sz w:val="16"/>
          <w:szCs w:val="16"/>
        </w:rPr>
      </w:pPr>
    </w:p>
    <w:p w14:paraId="42D599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февраля 1930 вышел приказ Гос. треста по АП N 84:</w:t>
      </w:r>
    </w:p>
    <w:p w14:paraId="1766EA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На основании протокола совещания у Пред. Правления Авиатреста от 12 февраля 1930 разделить опытное морское самолетостроение на заводе 22 на две группы: одну под руководством и Ришар, а др. - под непосредственным руководством дир. завода 22.</w:t>
      </w:r>
    </w:p>
    <w:p w14:paraId="6247AD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Организационное оформление и разделение работ и передачу персонала МОСа провести к 1 марта 1930.</w:t>
      </w:r>
    </w:p>
    <w:p w14:paraId="72D9B4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КГ, работающую под руководством и Ришар именовать "Морское опытное самолетостроение" с непосредственным подчинением Правления Треста через Техотдел. выделенную группу из состава МОСа именовать ОПО-3 с непосредственным подчинением директору завода 22. Пред. правления Михайлов (2352,76).</w:t>
      </w:r>
    </w:p>
    <w:p w14:paraId="24F7B18B" w14:textId="77777777" w:rsidR="00537E5F" w:rsidRPr="00507A31" w:rsidRDefault="00537E5F" w:rsidP="00507A31">
      <w:pPr>
        <w:autoSpaceDE w:val="0"/>
        <w:autoSpaceDN w:val="0"/>
        <w:adjustRightInd w:val="0"/>
        <w:jc w:val="both"/>
        <w:rPr>
          <w:color w:val="000000" w:themeColor="text1"/>
          <w:sz w:val="16"/>
          <w:szCs w:val="16"/>
        </w:rPr>
      </w:pPr>
    </w:p>
    <w:p w14:paraId="4D62F7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февраля 1930 состоялось заседание Правления Авиатреста (протокол 48) по проблемам заводов 22 - о состоянии снабжения, 31 - о годовой работе и выполнении программы за 1-й кв., а также промплан и др. (2367,155).</w:t>
      </w:r>
    </w:p>
    <w:p w14:paraId="68AFEB27" w14:textId="77777777" w:rsidR="00537E5F" w:rsidRPr="00507A31" w:rsidRDefault="00537E5F" w:rsidP="00507A31">
      <w:pPr>
        <w:autoSpaceDE w:val="0"/>
        <w:autoSpaceDN w:val="0"/>
        <w:adjustRightInd w:val="0"/>
        <w:jc w:val="both"/>
        <w:rPr>
          <w:color w:val="000000" w:themeColor="text1"/>
          <w:sz w:val="16"/>
          <w:szCs w:val="16"/>
        </w:rPr>
      </w:pPr>
    </w:p>
    <w:p w14:paraId="3FDD37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26 февраля 1930 В.П.Чкалов разбил в плохую погоду первый опытный Ш-1 В.Б.Ш. у ст. Вялка Октябрьской ж/д (7621, 33).</w:t>
      </w:r>
    </w:p>
    <w:p w14:paraId="24A7C8ED" w14:textId="77777777" w:rsidR="00537E5F" w:rsidRPr="00507A31" w:rsidRDefault="00537E5F" w:rsidP="00507A31">
      <w:pPr>
        <w:autoSpaceDE w:val="0"/>
        <w:autoSpaceDN w:val="0"/>
        <w:adjustRightInd w:val="0"/>
        <w:jc w:val="both"/>
        <w:rPr>
          <w:color w:val="000000" w:themeColor="text1"/>
          <w:sz w:val="16"/>
          <w:szCs w:val="16"/>
        </w:rPr>
      </w:pPr>
    </w:p>
    <w:p w14:paraId="53D3FD3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6A728DD" w14:textId="77777777" w:rsidR="00537E5F" w:rsidRPr="00507A31" w:rsidRDefault="00537E5F" w:rsidP="00507A31">
      <w:pPr>
        <w:autoSpaceDE w:val="0"/>
        <w:autoSpaceDN w:val="0"/>
        <w:adjustRightInd w:val="0"/>
        <w:jc w:val="both"/>
        <w:rPr>
          <w:iCs/>
          <w:color w:val="000000" w:themeColor="text1"/>
          <w:sz w:val="16"/>
          <w:szCs w:val="16"/>
        </w:rPr>
      </w:pPr>
    </w:p>
    <w:p w14:paraId="55D76A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 февраля 1930 г. был подготовлен:</w:t>
      </w:r>
    </w:p>
    <w:p w14:paraId="443081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ПРОТОКОЛ ЗАСЕДАНИЯ УММ О КАПИТАЛЬНОМ РЕМОНТЕ ТАНКОВ</w:t>
      </w:r>
    </w:p>
    <w:p w14:paraId="13EF20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г. Москва </w:t>
      </w:r>
    </w:p>
    <w:p w14:paraId="57CB63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вопросу: О капитальном ремонте танков в мирное и военное время и заказа на тракторы «Большевик».</w:t>
      </w:r>
    </w:p>
    <w:p w14:paraId="30A38A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Присутствовали: от УМ РККА: тт. Бокис, Мизонов и Давыдов.</w:t>
      </w:r>
    </w:p>
    <w:p w14:paraId="0D0F5F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ОАТ: т. Поляков Председатель: Бокис. Секретарь: Давыдов. Слушали:</w:t>
      </w:r>
    </w:p>
    <w:p w14:paraId="21BCDF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 капитальном ремонте танков. Постановили:</w:t>
      </w:r>
    </w:p>
    <w:p w14:paraId="65E313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УМ РККА считает, что организация капитального ремонта должна быть целиком возложена на промышленность, для чего УМ к 1 апреля 1930 г. дать цифровые данные по ремонту танков в мир</w:t>
      </w:r>
      <w:r w:rsidRPr="00507A31">
        <w:rPr>
          <w:color w:val="000000" w:themeColor="text1"/>
          <w:sz w:val="16"/>
          <w:szCs w:val="16"/>
        </w:rPr>
        <w:softHyphen/>
        <w:t>ное и военное время.</w:t>
      </w:r>
    </w:p>
    <w:p w14:paraId="537835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Для производства среднего ремонта танков средствами НКВМ, промышленность должна пол</w:t>
      </w:r>
      <w:r w:rsidRPr="00507A31">
        <w:rPr>
          <w:color w:val="000000" w:themeColor="text1"/>
          <w:sz w:val="16"/>
          <w:szCs w:val="16"/>
        </w:rPr>
        <w:softHyphen/>
        <w:t>ностью обеспечить запасными частями, для чего УМ к 1 апреля 1930 г. дать заявку на потребное ко</w:t>
      </w:r>
      <w:r w:rsidRPr="00507A31">
        <w:rPr>
          <w:color w:val="000000" w:themeColor="text1"/>
          <w:sz w:val="16"/>
          <w:szCs w:val="16"/>
        </w:rPr>
        <w:softHyphen/>
        <w:t>личество запасных частей.</w:t>
      </w:r>
    </w:p>
    <w:p w14:paraId="45ABA6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К 1 апреля УМ сообщить промышленности количество танков, подлежащих капитальному ре</w:t>
      </w:r>
      <w:r w:rsidRPr="00507A31">
        <w:rPr>
          <w:color w:val="000000" w:themeColor="text1"/>
          <w:sz w:val="16"/>
          <w:szCs w:val="16"/>
        </w:rPr>
        <w:softHyphen/>
        <w:t>монту в 1930-1931 гг.</w:t>
      </w:r>
    </w:p>
    <w:p w14:paraId="65152C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Производственная программа танков «МС-1», утвержденная Наркомвоенмором от 21 января 1930 г. на 1930-1931 гг. составляет 665 танков. Слушали:</w:t>
      </w:r>
    </w:p>
    <w:p w14:paraId="784EA4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 производстве новых тракторов «Большевик» в 1930 - 1931 г. Постановили: УМ к 1 апреля 1930 г. дать промышленности данные о потребном количестве тракторов «Большевик».</w:t>
      </w:r>
    </w:p>
    <w:p w14:paraId="7C09D7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Бокис</w:t>
      </w:r>
    </w:p>
    <w:p w14:paraId="2092E1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Секретарь Давыдов</w:t>
      </w:r>
    </w:p>
    <w:p w14:paraId="3DE986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175. Л. 59. Подлинник (11210).</w:t>
      </w:r>
    </w:p>
    <w:p w14:paraId="42CDCA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BDBECD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F1A2994" w14:textId="77777777" w:rsidR="00537E5F" w:rsidRPr="00507A31" w:rsidRDefault="00537E5F" w:rsidP="00507A31">
      <w:pPr>
        <w:autoSpaceDE w:val="0"/>
        <w:autoSpaceDN w:val="0"/>
        <w:adjustRightInd w:val="0"/>
        <w:jc w:val="both"/>
        <w:rPr>
          <w:iCs/>
          <w:color w:val="000000" w:themeColor="text1"/>
          <w:sz w:val="16"/>
          <w:szCs w:val="16"/>
        </w:rPr>
      </w:pPr>
    </w:p>
    <w:p w14:paraId="59BA10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февраля 1930 Казахская ССР. Части ОГПУ взяли с.Васильевка - центр крестьянского антисоветского восстания (20-26.02.1930). Руководитель восстания Толстоухов был арестован, остатки восставших ушли в горы и пытались уйти в Китай (10687).</w:t>
      </w:r>
    </w:p>
    <w:p w14:paraId="521A89FA" w14:textId="77777777" w:rsidR="00537E5F" w:rsidRPr="00507A31" w:rsidRDefault="00537E5F" w:rsidP="00507A31">
      <w:pPr>
        <w:autoSpaceDE w:val="0"/>
        <w:autoSpaceDN w:val="0"/>
        <w:adjustRightInd w:val="0"/>
        <w:jc w:val="both"/>
        <w:rPr>
          <w:color w:val="000000" w:themeColor="text1"/>
          <w:sz w:val="16"/>
          <w:szCs w:val="16"/>
        </w:rPr>
      </w:pPr>
    </w:p>
    <w:p w14:paraId="5F2C2CF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CC5BDD9" w14:textId="77777777" w:rsidR="00537E5F" w:rsidRPr="00507A31" w:rsidRDefault="00537E5F" w:rsidP="00507A31">
      <w:pPr>
        <w:autoSpaceDE w:val="0"/>
        <w:autoSpaceDN w:val="0"/>
        <w:adjustRightInd w:val="0"/>
        <w:jc w:val="both"/>
        <w:rPr>
          <w:iCs/>
          <w:color w:val="000000" w:themeColor="text1"/>
          <w:sz w:val="16"/>
          <w:szCs w:val="16"/>
        </w:rPr>
      </w:pPr>
    </w:p>
    <w:p w14:paraId="6F4384F3" w14:textId="77777777" w:rsidR="00224BD3" w:rsidRPr="00507A31" w:rsidRDefault="00224BD3" w:rsidP="00507A31">
      <w:pPr>
        <w:shd w:val="clear" w:color="auto" w:fill="FFFFFF"/>
        <w:jc w:val="both"/>
        <w:rPr>
          <w:color w:val="0070C0"/>
          <w:sz w:val="16"/>
          <w:szCs w:val="16"/>
        </w:rPr>
      </w:pPr>
      <w:r w:rsidRPr="00507A31">
        <w:rPr>
          <w:color w:val="0070C0"/>
          <w:sz w:val="16"/>
          <w:szCs w:val="16"/>
          <w:shd w:val="clear" w:color="auto" w:fill="FFFFFF"/>
        </w:rPr>
        <w:t>26 февраля 1930 года в Рауэй (там располагалась U.S. Wheel Track Layer Corporation) прибыла делегация во главе с полковником Тадеушем Коссаковским. По итогам переговоров был заключен контракт на выпуск колесно-гусеничного танка, который также назывался M1940 Christie Tank (это, кстати, может сбить с толку, ибо под одним индексом скрывалось 2 танка). Сумма контракта оказалась не то, чтобы большой - 30 тысяч долларов США, а также 3,5 тысячи долларов запчастей. Срок в 90 дней выглядел для Кристи рискованным, учитывая дальнейшие события, вряд ли бы он в него уложился. К тому же поляки имели право оштрафовать Кристи на 10 тысяч долларов в случае срыва сроков. Одним словом, появление Халепского стало для Кристи очень интересным вариантом. Американская армия упиралась, не особо желая закупать танк, контракт с Польшей выглядел не более чем сделкой на пределе рентабельности, а вот советская сторона смотрелась весьма перспективно (20339).</w:t>
      </w:r>
    </w:p>
    <w:p w14:paraId="0910F791" w14:textId="77777777" w:rsidR="00C3234B" w:rsidRPr="00507A31" w:rsidRDefault="00C3234B" w:rsidP="00507A31">
      <w:pPr>
        <w:jc w:val="both"/>
        <w:rPr>
          <w:color w:val="000000" w:themeColor="text1"/>
          <w:sz w:val="16"/>
          <w:szCs w:val="16"/>
        </w:rPr>
      </w:pPr>
      <w:r w:rsidRPr="00507A31">
        <w:rPr>
          <w:color w:val="000000" w:themeColor="text1"/>
          <w:sz w:val="16"/>
          <w:szCs w:val="16"/>
        </w:rPr>
        <w:t>26 февраля 1930 года в США прибыла польская закупочная делегация во главе с начальником конструкторского отдела WIBI полковником Тадеушем Коссаковским.</w:t>
      </w:r>
    </w:p>
    <w:p w14:paraId="6AF61EF5" w14:textId="77777777" w:rsidR="00C3234B" w:rsidRPr="00507A31" w:rsidRDefault="00C3234B" w:rsidP="00507A31">
      <w:pPr>
        <w:jc w:val="both"/>
        <w:rPr>
          <w:color w:val="000000" w:themeColor="text1"/>
          <w:sz w:val="16"/>
          <w:szCs w:val="16"/>
        </w:rPr>
      </w:pPr>
      <w:r w:rsidRPr="00507A31">
        <w:rPr>
          <w:color w:val="000000" w:themeColor="text1"/>
          <w:sz w:val="16"/>
          <w:szCs w:val="16"/>
        </w:rPr>
        <w:t>В 1929 году в Америку командировали капитана Марьяна Русинского, перед которым поставили задачу детально ознакомиться с танками Кристи. Наиболее современной машиной на тот момент являлся М1928, но поскольку речь шла о возможной закупке лицензии на их выпуск американцы продемонстрировали проект танка М1931. Оба танка оставили очень благоприятное впечатление. В начале марта был подписан контракт на изготовление одного М1928 для испытаний в Польше – за него была внесена предоплата и в случае удачного исхода польская сторона без промедления покупала лицензию. Казалось бы, у танка Кристи в Польше сложиться безоблачное будущее, однако очень скоро события приняли совершенно другой оборот. Спустя несколько месяцев американская сторона вернула деньги и в одностороннем порядке разорвала контракт. Догадаться, в чём была причина столь резкого шага, было не сложно – в это же время Кристи вёл переговоры с советской стороной, которая предложила более выгодные условия. Тем не менее, в 1932 году польскими инженерами был разработан проект аналогичного танка “A la Christie”, который стал прототипом для широко известного 10ТР, постройка которого была завершена в 1938 г. (17214).</w:t>
      </w:r>
    </w:p>
    <w:p w14:paraId="7F0EA06D" w14:textId="77777777" w:rsidR="00C3234B" w:rsidRPr="00507A31" w:rsidRDefault="00C3234B" w:rsidP="00507A31">
      <w:pPr>
        <w:tabs>
          <w:tab w:val="left" w:pos="11199"/>
        </w:tabs>
        <w:autoSpaceDE w:val="0"/>
        <w:autoSpaceDN w:val="0"/>
        <w:adjustRightInd w:val="0"/>
        <w:jc w:val="both"/>
        <w:rPr>
          <w:color w:val="000000" w:themeColor="text1"/>
          <w:sz w:val="16"/>
          <w:szCs w:val="16"/>
        </w:rPr>
      </w:pPr>
    </w:p>
    <w:p w14:paraId="6F2D668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февраля 1930 в Нью-Йорке убит один из боссов американской мафии Том Рейна, с чего началась крупнейшая в истории Нью-Йорка война мафиозных кланов (4962).</w:t>
      </w:r>
    </w:p>
    <w:p w14:paraId="3BC2A59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557E21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7891101" w14:textId="77777777" w:rsidR="00537E5F" w:rsidRPr="00507A31" w:rsidRDefault="00537E5F" w:rsidP="00507A31">
      <w:pPr>
        <w:autoSpaceDE w:val="0"/>
        <w:autoSpaceDN w:val="0"/>
        <w:adjustRightInd w:val="0"/>
        <w:jc w:val="both"/>
        <w:rPr>
          <w:iCs/>
          <w:color w:val="000000" w:themeColor="text1"/>
          <w:sz w:val="16"/>
          <w:szCs w:val="16"/>
        </w:rPr>
      </w:pPr>
    </w:p>
    <w:p w14:paraId="305E10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февраля 1930 Нач. адм.-инж. части Грос Э.Б.Шабшаевич писал Зам. нач. ВАО Харламову (копия МПУ ВАО) письмо N 177с:</w:t>
      </w:r>
    </w:p>
    <w:p w14:paraId="23BA66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связи с выделением Опытного Самолетостроения ГРОС в самостоятельную производственную единицу, заводу необходимо, кроме выделенных рабочих ХАЗ еще 200 чел...(2375,43).</w:t>
      </w:r>
    </w:p>
    <w:p w14:paraId="40F91408" w14:textId="77777777" w:rsidR="00537E5F" w:rsidRPr="00507A31" w:rsidRDefault="00537E5F" w:rsidP="00507A31">
      <w:pPr>
        <w:autoSpaceDE w:val="0"/>
        <w:autoSpaceDN w:val="0"/>
        <w:adjustRightInd w:val="0"/>
        <w:jc w:val="both"/>
        <w:rPr>
          <w:color w:val="000000" w:themeColor="text1"/>
          <w:sz w:val="16"/>
          <w:szCs w:val="16"/>
        </w:rPr>
      </w:pPr>
    </w:p>
    <w:p w14:paraId="2E8250F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86920AB" w14:textId="77777777" w:rsidR="00537E5F" w:rsidRPr="00507A31" w:rsidRDefault="00537E5F" w:rsidP="00507A31">
      <w:pPr>
        <w:autoSpaceDE w:val="0"/>
        <w:autoSpaceDN w:val="0"/>
        <w:adjustRightInd w:val="0"/>
        <w:jc w:val="both"/>
        <w:rPr>
          <w:iCs/>
          <w:color w:val="000000" w:themeColor="text1"/>
          <w:sz w:val="16"/>
          <w:szCs w:val="16"/>
        </w:rPr>
      </w:pPr>
    </w:p>
    <w:p w14:paraId="54173382" w14:textId="77777777" w:rsidR="00B12F17" w:rsidRPr="00507A31" w:rsidRDefault="00B12F17" w:rsidP="00507A31">
      <w:pPr>
        <w:jc w:val="both"/>
        <w:rPr>
          <w:color w:val="000000" w:themeColor="text1"/>
          <w:sz w:val="16"/>
          <w:szCs w:val="16"/>
        </w:rPr>
      </w:pPr>
      <w:r w:rsidRPr="00507A31">
        <w:rPr>
          <w:color w:val="000000" w:themeColor="text1"/>
          <w:sz w:val="16"/>
          <w:szCs w:val="16"/>
        </w:rPr>
        <w:t>27 февраля 1930</w:t>
      </w:r>
    </w:p>
    <w:p w14:paraId="191FF7F1" w14:textId="77777777" w:rsidR="00B12F17" w:rsidRPr="00507A31" w:rsidRDefault="00B12F17" w:rsidP="00507A31">
      <w:pPr>
        <w:jc w:val="both"/>
        <w:rPr>
          <w:color w:val="000000" w:themeColor="text1"/>
          <w:sz w:val="16"/>
          <w:szCs w:val="16"/>
        </w:rPr>
      </w:pPr>
      <w:r w:rsidRPr="00507A31">
        <w:rPr>
          <w:color w:val="000000" w:themeColor="text1"/>
          <w:sz w:val="16"/>
          <w:szCs w:val="16"/>
        </w:rPr>
        <w:t>Справка о выполнении постановления совещания у начальника вооружений РККА, состоявшегося 27.02.1930, о мероприятиях по контролю за качеством продукции, сдаваемой промышленностью по заказам военведа (18627).</w:t>
      </w:r>
    </w:p>
    <w:p w14:paraId="7A7799BC" w14:textId="77777777" w:rsidR="00B12F17" w:rsidRPr="00507A31" w:rsidRDefault="00B12F17" w:rsidP="00507A31">
      <w:pPr>
        <w:jc w:val="both"/>
        <w:rPr>
          <w:color w:val="000000" w:themeColor="text1"/>
          <w:sz w:val="16"/>
          <w:szCs w:val="16"/>
        </w:rPr>
      </w:pPr>
    </w:p>
    <w:p w14:paraId="5951C28C" w14:textId="77777777" w:rsidR="00B12F17" w:rsidRPr="00507A31" w:rsidRDefault="00B12F17" w:rsidP="00507A31">
      <w:pPr>
        <w:jc w:val="both"/>
        <w:rPr>
          <w:color w:val="000000" w:themeColor="text1"/>
          <w:sz w:val="16"/>
          <w:szCs w:val="16"/>
        </w:rPr>
      </w:pPr>
      <w:r w:rsidRPr="00507A31">
        <w:rPr>
          <w:color w:val="000000" w:themeColor="text1"/>
          <w:sz w:val="16"/>
          <w:szCs w:val="16"/>
        </w:rPr>
        <w:t>27 февраля 1930</w:t>
      </w:r>
    </w:p>
    <w:p w14:paraId="30A15B70" w14:textId="77777777" w:rsidR="00B12F17" w:rsidRPr="00507A31" w:rsidRDefault="00B12F17" w:rsidP="00507A31">
      <w:pPr>
        <w:jc w:val="both"/>
        <w:rPr>
          <w:color w:val="000000" w:themeColor="text1"/>
          <w:sz w:val="16"/>
          <w:szCs w:val="16"/>
        </w:rPr>
      </w:pPr>
      <w:r w:rsidRPr="00507A31">
        <w:rPr>
          <w:color w:val="000000" w:themeColor="text1"/>
          <w:sz w:val="16"/>
          <w:szCs w:val="16"/>
        </w:rPr>
        <w:t>Протокол совещания по вопросам о мероприятиях по контролю за качеством продукции, сдаваемой промышленностью по заказам военведа, и об обследовании находящегося в НКВМ имущества неприкосновенного и мобилизационного запаса от 27.02.1930 (18627).</w:t>
      </w:r>
    </w:p>
    <w:p w14:paraId="393DA4B7" w14:textId="77777777" w:rsidR="00B12F17" w:rsidRPr="00507A31" w:rsidRDefault="00B12F17" w:rsidP="00507A31">
      <w:pPr>
        <w:jc w:val="both"/>
        <w:rPr>
          <w:color w:val="000000" w:themeColor="text1"/>
          <w:sz w:val="16"/>
          <w:szCs w:val="16"/>
        </w:rPr>
      </w:pPr>
    </w:p>
    <w:p w14:paraId="0CE4CF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февраля 1930 Правление Орудийно-Пулеметного Треста “РУЖ” писало письмо № 2564 На. общего отдела ГВПУ</w:t>
      </w:r>
    </w:p>
    <w:p w14:paraId="4105DF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Ваш № 3573с от 20 февраля 1930 РУЖ препровождает требуемые Вами списки заводов.</w:t>
      </w:r>
    </w:p>
    <w:p w14:paraId="195E98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Приложение: Список на 1 л.</w:t>
      </w:r>
    </w:p>
    <w:p w14:paraId="5D0FB2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СПИСОК ЗАВОДОВ, ВХОДЯЩИХ В ОБ"ЕДИНЕНИЕ ОРУЖЕЙНО - ПУЛЕМЕТНОГО ТРЕСТА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26"/>
        <w:gridCol w:w="1926"/>
        <w:gridCol w:w="2208"/>
        <w:gridCol w:w="1347"/>
        <w:gridCol w:w="1107"/>
        <w:gridCol w:w="1432"/>
        <w:gridCol w:w="1608"/>
        <w:gridCol w:w="1065"/>
      </w:tblGrid>
      <w:tr w:rsidR="00A61694" w:rsidRPr="00507A31" w14:paraId="4DD6DCF8" w14:textId="77777777">
        <w:trPr>
          <w:trHeight w:val="518"/>
        </w:trPr>
        <w:tc>
          <w:tcPr>
            <w:tcW w:w="626" w:type="dxa"/>
            <w:tcBorders>
              <w:top w:val="single" w:sz="12" w:space="0" w:color="auto"/>
            </w:tcBorders>
          </w:tcPr>
          <w:p w14:paraId="3E4BC1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п./п.</w:t>
            </w:r>
          </w:p>
        </w:tc>
        <w:tc>
          <w:tcPr>
            <w:tcW w:w="1926" w:type="dxa"/>
            <w:tcBorders>
              <w:top w:val="single" w:sz="12" w:space="0" w:color="auto"/>
            </w:tcBorders>
          </w:tcPr>
          <w:p w14:paraId="7B5DB4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НАИМЕНОВАНИЕ ЗАВОДОВ.</w:t>
            </w:r>
          </w:p>
        </w:tc>
        <w:tc>
          <w:tcPr>
            <w:tcW w:w="2208" w:type="dxa"/>
            <w:tcBorders>
              <w:top w:val="single" w:sz="12" w:space="0" w:color="auto"/>
            </w:tcBorders>
          </w:tcPr>
          <w:p w14:paraId="54CFE4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ПОЧТОВЫЙ адрес</w:t>
            </w:r>
          </w:p>
        </w:tc>
        <w:tc>
          <w:tcPr>
            <w:tcW w:w="1347" w:type="dxa"/>
            <w:tcBorders>
              <w:top w:val="single" w:sz="12" w:space="0" w:color="auto"/>
            </w:tcBorders>
          </w:tcPr>
          <w:p w14:paraId="4682D2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Телеграфн. адрес</w:t>
            </w:r>
          </w:p>
        </w:tc>
        <w:tc>
          <w:tcPr>
            <w:tcW w:w="1107" w:type="dxa"/>
            <w:tcBorders>
              <w:top w:val="single" w:sz="12" w:space="0" w:color="auto"/>
            </w:tcBorders>
          </w:tcPr>
          <w:p w14:paraId="23E476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телефон</w:t>
            </w:r>
          </w:p>
        </w:tc>
        <w:tc>
          <w:tcPr>
            <w:tcW w:w="1432" w:type="dxa"/>
            <w:tcBorders>
              <w:top w:val="single" w:sz="12" w:space="0" w:color="auto"/>
            </w:tcBorders>
          </w:tcPr>
          <w:p w14:paraId="0E9636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Фамилия директора</w:t>
            </w:r>
          </w:p>
        </w:tc>
        <w:tc>
          <w:tcPr>
            <w:tcW w:w="1608" w:type="dxa"/>
            <w:tcBorders>
              <w:top w:val="single" w:sz="12" w:space="0" w:color="auto"/>
            </w:tcBorders>
          </w:tcPr>
          <w:p w14:paraId="33A44F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Фамилия . Зам. Дирек.</w:t>
            </w:r>
          </w:p>
        </w:tc>
        <w:tc>
          <w:tcPr>
            <w:tcW w:w="1065" w:type="dxa"/>
            <w:tcBorders>
              <w:top w:val="single" w:sz="12" w:space="0" w:color="auto"/>
            </w:tcBorders>
          </w:tcPr>
          <w:p w14:paraId="4196B6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Примечение.</w:t>
            </w:r>
          </w:p>
        </w:tc>
      </w:tr>
      <w:tr w:rsidR="00A61694" w:rsidRPr="00507A31" w14:paraId="372F17AE" w14:textId="77777777">
        <w:trPr>
          <w:trHeight w:val="1008"/>
        </w:trPr>
        <w:tc>
          <w:tcPr>
            <w:tcW w:w="626" w:type="dxa"/>
          </w:tcPr>
          <w:p w14:paraId="46E7F8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tc>
        <w:tc>
          <w:tcPr>
            <w:tcW w:w="1926" w:type="dxa"/>
          </w:tcPr>
          <w:p w14:paraId="4C22E7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ПЕРВЫЕ ОРУЖЕЙНЫЕ ЗАВОДЫ</w:t>
            </w:r>
          </w:p>
        </w:tc>
        <w:tc>
          <w:tcPr>
            <w:tcW w:w="2208" w:type="dxa"/>
          </w:tcPr>
          <w:p w14:paraId="72190E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Тула, почтамт, почтовый ящик № 86-87.</w:t>
            </w:r>
          </w:p>
        </w:tc>
        <w:tc>
          <w:tcPr>
            <w:tcW w:w="1347" w:type="dxa"/>
          </w:tcPr>
          <w:p w14:paraId="465679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Тула-ТОЗ</w:t>
            </w:r>
          </w:p>
        </w:tc>
        <w:tc>
          <w:tcPr>
            <w:tcW w:w="1107" w:type="dxa"/>
          </w:tcPr>
          <w:p w14:paraId="7E7335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5-71</w:t>
            </w:r>
          </w:p>
        </w:tc>
        <w:tc>
          <w:tcPr>
            <w:tcW w:w="1432" w:type="dxa"/>
          </w:tcPr>
          <w:p w14:paraId="24DED3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Ситников В.Н.</w:t>
            </w:r>
          </w:p>
        </w:tc>
        <w:tc>
          <w:tcPr>
            <w:tcW w:w="1608" w:type="dxa"/>
          </w:tcPr>
          <w:p w14:paraId="1357B7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Сковородников В.С.</w:t>
            </w:r>
          </w:p>
        </w:tc>
        <w:tc>
          <w:tcPr>
            <w:tcW w:w="1065" w:type="dxa"/>
          </w:tcPr>
          <w:p w14:paraId="272450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0BB27940" w14:textId="77777777">
        <w:trPr>
          <w:trHeight w:val="706"/>
        </w:trPr>
        <w:tc>
          <w:tcPr>
            <w:tcW w:w="626" w:type="dxa"/>
          </w:tcPr>
          <w:p w14:paraId="24AC48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tc>
        <w:tc>
          <w:tcPr>
            <w:tcW w:w="1926" w:type="dxa"/>
          </w:tcPr>
          <w:p w14:paraId="0057CC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ИЖЕВСКИИЕ ОРУ</w:t>
            </w:r>
            <w:r w:rsidRPr="00507A31">
              <w:rPr>
                <w:color w:val="000000" w:themeColor="text1"/>
                <w:sz w:val="16"/>
                <w:szCs w:val="16"/>
              </w:rPr>
              <w:softHyphen/>
              <w:t>ЖЕЙНЫЕ ЗАВОДЫ</w:t>
            </w:r>
          </w:p>
        </w:tc>
        <w:tc>
          <w:tcPr>
            <w:tcW w:w="2208" w:type="dxa"/>
          </w:tcPr>
          <w:p w14:paraId="434421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Ижевск Антоном. области, почтовый ящик № 11.</w:t>
            </w:r>
          </w:p>
        </w:tc>
        <w:tc>
          <w:tcPr>
            <w:tcW w:w="1347" w:type="dxa"/>
          </w:tcPr>
          <w:p w14:paraId="27D81C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Ижевск - Стальной</w:t>
            </w:r>
          </w:p>
        </w:tc>
        <w:tc>
          <w:tcPr>
            <w:tcW w:w="1107" w:type="dxa"/>
          </w:tcPr>
          <w:p w14:paraId="28B942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432" w:type="dxa"/>
          </w:tcPr>
          <w:p w14:paraId="66285F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ЕРШОВ М.И.</w:t>
            </w:r>
          </w:p>
        </w:tc>
        <w:tc>
          <w:tcPr>
            <w:tcW w:w="1608" w:type="dxa"/>
          </w:tcPr>
          <w:p w14:paraId="35D5CC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СИЗОВ И.К.</w:t>
            </w:r>
          </w:p>
        </w:tc>
        <w:tc>
          <w:tcPr>
            <w:tcW w:w="1065" w:type="dxa"/>
          </w:tcPr>
          <w:p w14:paraId="6619ED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2D1660B2" w14:textId="77777777">
        <w:trPr>
          <w:trHeight w:val="698"/>
        </w:trPr>
        <w:tc>
          <w:tcPr>
            <w:tcW w:w="626" w:type="dxa"/>
          </w:tcPr>
          <w:p w14:paraId="58E235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w:t>
            </w:r>
          </w:p>
        </w:tc>
        <w:tc>
          <w:tcPr>
            <w:tcW w:w="1926" w:type="dxa"/>
          </w:tcPr>
          <w:p w14:paraId="792CA5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ИНСТРУМЕНТАЛЬНЫЙ ЗАВ. № 2</w:t>
            </w:r>
          </w:p>
        </w:tc>
        <w:tc>
          <w:tcPr>
            <w:tcW w:w="2208" w:type="dxa"/>
          </w:tcPr>
          <w:p w14:paraId="40E2A6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Ковров Владимир, губ., почтовый ящик № 9</w:t>
            </w:r>
          </w:p>
        </w:tc>
        <w:tc>
          <w:tcPr>
            <w:tcW w:w="1347" w:type="dxa"/>
          </w:tcPr>
          <w:p w14:paraId="52252E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Ковров-ИНЗ</w:t>
            </w:r>
          </w:p>
        </w:tc>
        <w:tc>
          <w:tcPr>
            <w:tcW w:w="1107" w:type="dxa"/>
          </w:tcPr>
          <w:p w14:paraId="777EA1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1-27</w:t>
            </w:r>
          </w:p>
        </w:tc>
        <w:tc>
          <w:tcPr>
            <w:tcW w:w="1432" w:type="dxa"/>
          </w:tcPr>
          <w:p w14:paraId="4FFC6A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БУРУХИН А.М.</w:t>
            </w:r>
          </w:p>
        </w:tc>
        <w:tc>
          <w:tcPr>
            <w:tcW w:w="1608" w:type="dxa"/>
          </w:tcPr>
          <w:p w14:paraId="219A9C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САВЕЛЬЕВ С.В.</w:t>
            </w:r>
          </w:p>
        </w:tc>
        <w:tc>
          <w:tcPr>
            <w:tcW w:w="1065" w:type="dxa"/>
          </w:tcPr>
          <w:p w14:paraId="4379A7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69BEF7E9" w14:textId="77777777">
        <w:trPr>
          <w:trHeight w:val="504"/>
        </w:trPr>
        <w:tc>
          <w:tcPr>
            <w:tcW w:w="626" w:type="dxa"/>
          </w:tcPr>
          <w:p w14:paraId="4E8852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tc>
        <w:tc>
          <w:tcPr>
            <w:tcW w:w="1926" w:type="dxa"/>
          </w:tcPr>
          <w:p w14:paraId="5EC637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имени ВОСКОВА.</w:t>
            </w:r>
          </w:p>
        </w:tc>
        <w:tc>
          <w:tcPr>
            <w:tcW w:w="2208" w:type="dxa"/>
          </w:tcPr>
          <w:p w14:paraId="754F2C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Сестрорецк-Ключ</w:t>
            </w:r>
          </w:p>
        </w:tc>
        <w:tc>
          <w:tcPr>
            <w:tcW w:w="1347" w:type="dxa"/>
          </w:tcPr>
          <w:p w14:paraId="79761D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 же</w:t>
            </w:r>
          </w:p>
        </w:tc>
        <w:tc>
          <w:tcPr>
            <w:tcW w:w="1107" w:type="dxa"/>
          </w:tcPr>
          <w:p w14:paraId="4349E8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w:t>
            </w:r>
          </w:p>
        </w:tc>
        <w:tc>
          <w:tcPr>
            <w:tcW w:w="1432" w:type="dxa"/>
          </w:tcPr>
          <w:p w14:paraId="0559A2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ЖВАКОВ П.И.</w:t>
            </w:r>
          </w:p>
        </w:tc>
        <w:tc>
          <w:tcPr>
            <w:tcW w:w="1608" w:type="dxa"/>
          </w:tcPr>
          <w:p w14:paraId="5AC4BA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ЕРЕМИН П.П.</w:t>
            </w:r>
          </w:p>
        </w:tc>
        <w:tc>
          <w:tcPr>
            <w:tcW w:w="1065" w:type="dxa"/>
          </w:tcPr>
          <w:p w14:paraId="483D10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A61694" w:rsidRPr="00507A31" w14:paraId="364FB04C" w14:textId="77777777">
        <w:trPr>
          <w:trHeight w:val="922"/>
        </w:trPr>
        <w:tc>
          <w:tcPr>
            <w:tcW w:w="626" w:type="dxa"/>
            <w:tcBorders>
              <w:bottom w:val="single" w:sz="12" w:space="0" w:color="auto"/>
            </w:tcBorders>
          </w:tcPr>
          <w:p w14:paraId="5E399F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tc>
        <w:tc>
          <w:tcPr>
            <w:tcW w:w="1926" w:type="dxa"/>
            <w:tcBorders>
              <w:bottom w:val="single" w:sz="12" w:space="0" w:color="auto"/>
            </w:tcBorders>
          </w:tcPr>
          <w:p w14:paraId="639993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“КРАСНОГВАРДЕЕЦ”.</w:t>
            </w:r>
          </w:p>
        </w:tc>
        <w:tc>
          <w:tcPr>
            <w:tcW w:w="2208" w:type="dxa"/>
            <w:tcBorders>
              <w:bottom w:val="single" w:sz="12" w:space="0" w:color="auto"/>
            </w:tcBorders>
          </w:tcPr>
          <w:p w14:paraId="15AEBF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Ленинград, 32-е почтовое отде</w:t>
            </w:r>
            <w:r w:rsidRPr="00507A31">
              <w:rPr>
                <w:color w:val="000000" w:themeColor="text1"/>
                <w:sz w:val="16"/>
                <w:szCs w:val="16"/>
              </w:rPr>
              <w:softHyphen/>
              <w:t>ление, почтовый ящик № 1.</w:t>
            </w:r>
          </w:p>
        </w:tc>
        <w:tc>
          <w:tcPr>
            <w:tcW w:w="1347" w:type="dxa"/>
            <w:tcBorders>
              <w:bottom w:val="single" w:sz="12" w:space="0" w:color="auto"/>
            </w:tcBorders>
          </w:tcPr>
          <w:p w14:paraId="6BE5CE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Ленинград--Молотобоец</w:t>
            </w:r>
          </w:p>
        </w:tc>
        <w:tc>
          <w:tcPr>
            <w:tcW w:w="1107" w:type="dxa"/>
            <w:tcBorders>
              <w:bottom w:val="single" w:sz="12" w:space="0" w:color="auto"/>
            </w:tcBorders>
          </w:tcPr>
          <w:p w14:paraId="6A334C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1-82-55</w:t>
            </w:r>
          </w:p>
        </w:tc>
        <w:tc>
          <w:tcPr>
            <w:tcW w:w="1432" w:type="dxa"/>
            <w:tcBorders>
              <w:bottom w:val="single" w:sz="12" w:space="0" w:color="auto"/>
            </w:tcBorders>
          </w:tcPr>
          <w:p w14:paraId="4D1055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ШАХОВ А.М.</w:t>
            </w:r>
          </w:p>
        </w:tc>
        <w:tc>
          <w:tcPr>
            <w:tcW w:w="1608" w:type="dxa"/>
            <w:tcBorders>
              <w:bottom w:val="single" w:sz="12" w:space="0" w:color="auto"/>
            </w:tcBorders>
          </w:tcPr>
          <w:p w14:paraId="06A8DC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ТЕЦ С. С.</w:t>
            </w:r>
          </w:p>
        </w:tc>
        <w:tc>
          <w:tcPr>
            <w:tcW w:w="1065" w:type="dxa"/>
            <w:tcBorders>
              <w:bottom w:val="single" w:sz="12" w:space="0" w:color="auto"/>
            </w:tcBorders>
          </w:tcPr>
          <w:p w14:paraId="171C5E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r>
    </w:tbl>
    <w:p w14:paraId="2A2B1C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(8826,65).</w:t>
      </w:r>
    </w:p>
    <w:p w14:paraId="52E64431" w14:textId="77777777" w:rsidR="00537E5F" w:rsidRPr="00507A31" w:rsidRDefault="00537E5F" w:rsidP="00507A31">
      <w:pPr>
        <w:autoSpaceDE w:val="0"/>
        <w:autoSpaceDN w:val="0"/>
        <w:adjustRightInd w:val="0"/>
        <w:jc w:val="both"/>
        <w:rPr>
          <w:color w:val="000000" w:themeColor="text1"/>
          <w:sz w:val="16"/>
          <w:szCs w:val="16"/>
        </w:rPr>
      </w:pPr>
    </w:p>
    <w:p w14:paraId="66D300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февраля 1930 г. на базе оптических мастерских (отдела) завода «Большевик» в ведении ВООМП ВСНХ по приказу ГВПУ ВСНХ образован ЛОМЗ (Ленинградский государственный оптико-механический завод № 350 НКВ, Ленинградский оптико-механический завод (ЛОМЗ) ВСНХ, НКТП, НКОП, НКВ /с. Александрова Володарского р-на Ленинградской обл. Берговский пер., 3 (1932 г.);  г. Новосибирск/). В 1932 г. передан в ведение НКТП, в 12.1936 г. - НКОП. По пр. № 09с от 23.01.1937 г. завод передан в ведение 9ГУ НКОП, приказом № 69 от 23.02.1937 г. утвержден Устав завода. В 02.1939 г. ЛОМЗ 9ГУ передан в ведение 9ГУ НКВ. В 1940 г. переименован в ЛОМЗ № 350, в 06.1940 г. - в ведении 2ГУ НКВ.</w:t>
      </w:r>
    </w:p>
    <w:p w14:paraId="47BFE8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Распоряжением ВТОМП № 933с от 23.06.1936 г. заводу предписано: закончить и предать на «Прогресс» чертежи Б-13; командировать на завод на 2 месяца одного технолога; выделить приборы - динаметр Рамсдена, динаметр для проверки удаления входного зрачка, прибор для поверки параллакса; коллиматор для проверки разрешающей силы.</w:t>
      </w:r>
    </w:p>
    <w:p w14:paraId="283C2F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Расп. № 02сс от 22/25.12.1936 г. заводу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штуфен-фотометров для завода № 395.</w:t>
      </w:r>
    </w:p>
    <w:p w14:paraId="27FF5F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1936-38 г. при заводе действовало КБ.</w:t>
      </w:r>
    </w:p>
    <w:p w14:paraId="0B1244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Постановлению ГКО № 99сс от 11.07.1941 г. завод эвакуирован в  г. Новосибирск в помещения Инженерно- строительного и Сельскохозяйственного институтов и продолжил действовать под прежним номером.</w:t>
      </w:r>
      <w:r w:rsidRPr="00507A31">
        <w:rPr>
          <w:color w:val="000000" w:themeColor="text1"/>
          <w:sz w:val="16"/>
          <w:szCs w:val="16"/>
          <w:vertAlign w:val="superscript"/>
        </w:rPr>
        <w:t>47</w:t>
      </w:r>
    </w:p>
    <w:p w14:paraId="56EC08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1945 г. завод № 350 ликвидирован; оборудование и кадры переданы заводам № 69 и № 349 НКВ. Площадка завода в Ленинграде со зданиями и сооружениями была передана заводу «Большевик».</w:t>
      </w:r>
      <w:r w:rsidRPr="00507A31">
        <w:rPr>
          <w:color w:val="000000" w:themeColor="text1"/>
          <w:sz w:val="16"/>
          <w:szCs w:val="16"/>
          <w:vertAlign w:val="superscript"/>
        </w:rPr>
        <w:t>131</w:t>
      </w:r>
    </w:p>
    <w:p w14:paraId="380FEC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(1929 г.)- 513 чел., (1930 г.)- 673 чел., (1931 г.)- 1465 чел., (1935 г.)- 1226 чел.</w:t>
      </w:r>
    </w:p>
    <w:p w14:paraId="55E718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(-01-8.08.1934; 01-06.1935 г.)- Е.Б. Крившхкий, (8.08.1934 г.-&gt; А.К. Шиндер; и.о. (1.07.1935 г.-&gt; С.И. Фрейберг; (05.1936 г.)- Матвеев, (-12.1936-20.08.1937 г.)- М.А. Цикановский, (20.08.1937-05.1938 г.-)- Ш.И. Ступельман.</w:t>
      </w:r>
    </w:p>
    <w:p w14:paraId="1DA320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 по техчасти (07.1934 г.)- С.И. Фрейбер г.</w:t>
      </w:r>
    </w:p>
    <w:p w14:paraId="16262F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Технический директор (-09.1934-07.1935 г.-)- С.И. Фрейбер г.</w:t>
      </w:r>
    </w:p>
    <w:p w14:paraId="51E5ED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цехов: механического (12.1934 г.)- Клячкин; литейного (12.1934 г.)- Линз.</w:t>
      </w:r>
    </w:p>
    <w:p w14:paraId="7CCD04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цеха: опытного (06.1936 г.)- Гольдфайн.</w:t>
      </w:r>
    </w:p>
    <w:p w14:paraId="6045B8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отделов: подготовки производства (12.1934 г.)- Пер. Начальник снабжения (01.1935 г.)- Таттоли.</w:t>
      </w:r>
    </w:p>
    <w:p w14:paraId="6DB1B5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Заведующие бюро: ТНБ (12.1934 г.)- Меклер; БОТ механического цеха (12.1934 г.)- Вельский.</w:t>
      </w:r>
    </w:p>
    <w:p w14:paraId="557D174F"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 визиры:</w:t>
      </w:r>
      <w:r w:rsidRPr="00507A31">
        <w:rPr>
          <w:color w:val="000000" w:themeColor="text1"/>
          <w:sz w:val="16"/>
          <w:szCs w:val="16"/>
        </w:rPr>
        <w:t xml:space="preserve"> целеуказания ВЦУ, наклона оси цапф ВНЦ, командира башни ВМК и ПЕР-4, МК-3- 130 и МК-3-180, ночного целеуказания ВНЦН, зенитного целеуказания ВЦУ-3, вертикальной и горизонтальной наводки и спаренный панорамный для поста управления МПУАЗО, наводки постов, управления огнем и постов стабилизации СПН (1937);</w:t>
      </w:r>
      <w:r w:rsidRPr="00507A31">
        <w:rPr>
          <w:iCs/>
          <w:color w:val="000000" w:themeColor="text1"/>
          <w:sz w:val="16"/>
          <w:szCs w:val="16"/>
        </w:rPr>
        <w:t xml:space="preserve"> прицелы:</w:t>
      </w:r>
      <w:r w:rsidRPr="00507A31">
        <w:rPr>
          <w:color w:val="000000" w:themeColor="text1"/>
          <w:sz w:val="16"/>
          <w:szCs w:val="16"/>
        </w:rPr>
        <w:t xml:space="preserve"> танковый ПТ-1 (1936), к башенным установкам МБ-2-130, для артсистем ПЛ Б-24, торпедных аппаратов (1937), бомбардировочные (ВОВ); бинокли: 6x30 (1928-32)- 21462, (ВОВ); телескопическая прицельная труба ТПТ 3x9 (1937); монокуляры, панорамы (1930-е); приборы ЗЮ, Б-4, стилоскоп, ПО-1, БИ, ШБ-1, МВШ, ТПТ (1938); готовальни (1928-32)- 45576.</w:t>
      </w:r>
    </w:p>
    <w:p w14:paraId="3AF417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КБ ЛОМЗ</w:t>
      </w:r>
    </w:p>
    <w:p w14:paraId="41376A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Распоряжением ВТОМГ1 № 696с от 15.05.1936 г.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05EEAC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306565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197с от 2.06.1938 г. требовалось к 1.08.1938 г. организовать при КБ опытный цех.</w:t>
      </w:r>
    </w:p>
    <w:p w14:paraId="3CFCDB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(-06.1936 г.)- А.Ф. Колосов, (07.1936 г.)- Гальперин (11982).</w:t>
      </w:r>
    </w:p>
    <w:p w14:paraId="4B79CCCB" w14:textId="77777777" w:rsidR="00A01ACD" w:rsidRPr="00507A31" w:rsidRDefault="00A01ACD" w:rsidP="00507A31">
      <w:pPr>
        <w:shd w:val="clear" w:color="auto" w:fill="FFFFFF"/>
        <w:jc w:val="both"/>
        <w:rPr>
          <w:bCs/>
          <w:iCs/>
          <w:color w:val="000000" w:themeColor="text1"/>
          <w:sz w:val="16"/>
          <w:szCs w:val="16"/>
        </w:rPr>
      </w:pPr>
    </w:p>
    <w:p w14:paraId="1AB26170" w14:textId="77777777" w:rsidR="00061186" w:rsidRPr="00507A31" w:rsidRDefault="00061186"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850C96C" w14:textId="77777777" w:rsidR="00061186" w:rsidRPr="00507A31" w:rsidRDefault="00061186" w:rsidP="00507A31">
      <w:pPr>
        <w:autoSpaceDE w:val="0"/>
        <w:autoSpaceDN w:val="0"/>
        <w:adjustRightInd w:val="0"/>
        <w:jc w:val="both"/>
        <w:rPr>
          <w:iCs/>
          <w:color w:val="000000" w:themeColor="text1"/>
          <w:sz w:val="16"/>
          <w:szCs w:val="16"/>
        </w:rPr>
      </w:pPr>
    </w:p>
    <w:p w14:paraId="5E4C15DD" w14:textId="77777777" w:rsidR="00061186" w:rsidRPr="00507A31" w:rsidRDefault="00061186" w:rsidP="00507A31">
      <w:pPr>
        <w:autoSpaceDE w:val="0"/>
        <w:autoSpaceDN w:val="0"/>
        <w:adjustRightInd w:val="0"/>
        <w:jc w:val="both"/>
        <w:rPr>
          <w:color w:val="000000" w:themeColor="text1"/>
          <w:sz w:val="16"/>
          <w:szCs w:val="16"/>
        </w:rPr>
      </w:pPr>
      <w:r w:rsidRPr="00507A31">
        <w:rPr>
          <w:color w:val="000000" w:themeColor="text1"/>
          <w:sz w:val="16"/>
          <w:szCs w:val="16"/>
        </w:rPr>
        <w:t>27 февраля 1930 Сообщение ОГПУ о раскрытии националистической подпольной антисоветской организации "Союз вiзволення Украiни" (СВУ), действующей на территории УССР в 1926-1929 гг. (10687).</w:t>
      </w:r>
    </w:p>
    <w:p w14:paraId="27EFB320" w14:textId="77777777" w:rsidR="00061186" w:rsidRPr="00507A31" w:rsidRDefault="00061186" w:rsidP="00507A31">
      <w:pPr>
        <w:autoSpaceDE w:val="0"/>
        <w:autoSpaceDN w:val="0"/>
        <w:adjustRightInd w:val="0"/>
        <w:jc w:val="both"/>
        <w:rPr>
          <w:color w:val="000000" w:themeColor="text1"/>
          <w:sz w:val="16"/>
          <w:szCs w:val="16"/>
        </w:rPr>
      </w:pPr>
    </w:p>
    <w:p w14:paraId="31B7A56C" w14:textId="77777777" w:rsidR="00061186" w:rsidRPr="00507A31" w:rsidRDefault="00061186"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D51EF0E" w14:textId="77777777" w:rsidR="00061186" w:rsidRPr="00507A31" w:rsidRDefault="00061186" w:rsidP="00507A31">
      <w:pPr>
        <w:autoSpaceDE w:val="0"/>
        <w:autoSpaceDN w:val="0"/>
        <w:adjustRightInd w:val="0"/>
        <w:jc w:val="both"/>
        <w:rPr>
          <w:iCs/>
          <w:color w:val="000000" w:themeColor="text1"/>
          <w:sz w:val="16"/>
          <w:szCs w:val="16"/>
        </w:rPr>
      </w:pPr>
    </w:p>
    <w:p w14:paraId="7B4CEF95" w14:textId="77777777" w:rsidR="00061186" w:rsidRPr="00507A31" w:rsidRDefault="00061186" w:rsidP="00507A31">
      <w:pPr>
        <w:jc w:val="both"/>
        <w:rPr>
          <w:color w:val="000000" w:themeColor="text1"/>
          <w:sz w:val="16"/>
          <w:szCs w:val="16"/>
        </w:rPr>
      </w:pPr>
      <w:r w:rsidRPr="00507A31">
        <w:rPr>
          <w:color w:val="000000" w:themeColor="text1"/>
          <w:sz w:val="16"/>
          <w:szCs w:val="16"/>
        </w:rPr>
        <w:t>28 февраля 1930 г. № 3/32с Председателю Революционного Военного Совета Союза ССР</w:t>
      </w:r>
    </w:p>
    <w:p w14:paraId="51901EF0" w14:textId="77777777" w:rsidR="00061186" w:rsidRPr="00507A31" w:rsidRDefault="00061186" w:rsidP="00507A31">
      <w:pPr>
        <w:jc w:val="both"/>
        <w:rPr>
          <w:color w:val="000000" w:themeColor="text1"/>
          <w:sz w:val="16"/>
          <w:szCs w:val="16"/>
        </w:rPr>
      </w:pPr>
      <w:r w:rsidRPr="00507A31">
        <w:rPr>
          <w:color w:val="000000" w:themeColor="text1"/>
          <w:sz w:val="16"/>
          <w:szCs w:val="16"/>
        </w:rPr>
        <w:t>«РВС СССР Начальник Военных Воздушных cил РККА</w:t>
      </w:r>
    </w:p>
    <w:p w14:paraId="20FFC81D" w14:textId="77777777" w:rsidR="00061186" w:rsidRPr="00507A31" w:rsidRDefault="00061186" w:rsidP="00507A31">
      <w:pPr>
        <w:jc w:val="both"/>
        <w:rPr>
          <w:color w:val="000000" w:themeColor="text1"/>
          <w:sz w:val="16"/>
          <w:szCs w:val="16"/>
        </w:rPr>
      </w:pPr>
      <w:r w:rsidRPr="00507A31">
        <w:rPr>
          <w:color w:val="000000" w:themeColor="text1"/>
          <w:sz w:val="16"/>
          <w:szCs w:val="16"/>
        </w:rPr>
        <w:t xml:space="preserve">О заказе Юпитеров VI, покупке лизензии и технической помощи на их производство. Реввоенсовету Союза и Правительству хорошо известен тот исключительно тяжелый кризис, который переживал Воздушный флот на протяжении своего развития в отношении недостатка истребителей до 1929 года включительно. Истребители Фоккер Д-VII и Мартинсайды, купленные со складов еще в 1921 – 22 г. и Фоккер Д-XI-ые, заказанные и поступившие на вооружение в 1923 – 24 г., настолько сильно износились в эксплуатации и устарели по своим летно-тактическим данным, что еще в 1925 – 26 г. во всей остроте встал вопрос о перевооружении нашей истребительной авиации на более современную матчасть (самолеты и моторы). В то же время уже стало совершенно очевидным, что истребители советской конструкции (И-1, И-2, И-2-бис и т.д.) под мотор М5 (400 НР) устаревают раньше своего выхода из опыт. производства и типовых испытаний и что под наш единственный серийный мотор того времени М5 в 400 НР с его громадным сухим весом в 420 кг и большим расходом горючего в 240–250 грамм на силу/час – современного истребителя построить невозможно. (…) </w:t>
      </w:r>
    </w:p>
    <w:p w14:paraId="0FACBBBB" w14:textId="77777777" w:rsidR="00061186" w:rsidRPr="00507A31" w:rsidRDefault="00061186" w:rsidP="00507A31">
      <w:pPr>
        <w:jc w:val="both"/>
        <w:rPr>
          <w:color w:val="000000" w:themeColor="text1"/>
          <w:sz w:val="16"/>
          <w:szCs w:val="16"/>
        </w:rPr>
      </w:pPr>
      <w:r w:rsidRPr="00507A31">
        <w:rPr>
          <w:color w:val="000000" w:themeColor="text1"/>
          <w:sz w:val="16"/>
          <w:szCs w:val="16"/>
        </w:rPr>
        <w:t xml:space="preserve">В силу всего вышеизложенного Воздушному флоту пришлось начать поиски на внешнем рынке не только мощного современного истребительного авиамотора, но и готовых истребителей. [Далее говорится, что Управление ВВС договорилось с французской фирмой о производстве авиамотора «Юпитер IV» по лицензии, но эта фирма не всегда выполняла условия соглашения]. </w:t>
      </w:r>
    </w:p>
    <w:p w14:paraId="70AABB70" w14:textId="77777777" w:rsidR="00061186" w:rsidRPr="00507A31" w:rsidRDefault="00061186" w:rsidP="00507A31">
      <w:pPr>
        <w:jc w:val="both"/>
        <w:rPr>
          <w:color w:val="000000" w:themeColor="text1"/>
          <w:sz w:val="16"/>
          <w:szCs w:val="16"/>
        </w:rPr>
      </w:pPr>
      <w:r w:rsidRPr="00507A31">
        <w:rPr>
          <w:color w:val="000000" w:themeColor="text1"/>
          <w:sz w:val="16"/>
          <w:szCs w:val="16"/>
        </w:rPr>
        <w:t xml:space="preserve">По состоянию на 1/II-1930 г. нами уже окончательно приняты 10 моторов Юпитер VI (480 НР), каковые находятся на пути в Союз. </w:t>
      </w:r>
    </w:p>
    <w:p w14:paraId="60E5B4F7" w14:textId="77777777" w:rsidR="00061186" w:rsidRPr="00507A31" w:rsidRDefault="00061186" w:rsidP="00507A31">
      <w:pPr>
        <w:jc w:val="both"/>
        <w:rPr>
          <w:color w:val="000000" w:themeColor="text1"/>
          <w:sz w:val="16"/>
          <w:szCs w:val="16"/>
        </w:rPr>
      </w:pPr>
      <w:r w:rsidRPr="00507A31">
        <w:rPr>
          <w:color w:val="000000" w:themeColor="text1"/>
          <w:sz w:val="16"/>
          <w:szCs w:val="16"/>
        </w:rPr>
        <w:t xml:space="preserve">В процессе приемки находятся остальные 40 моторов первой серии, которые по письму председателя прием. комиссии будут приняты полностью в течение февраля месяца. Таким образом, вопрос о выполнении фирмой своих обязательств по дополнительному соглашению, как в части моторов Юпитер IV номинальной мощности 420 НР, так и в части моторов Юпитер VI номинальной мощности 480 НР надо считать решенным, и опоздания имеются только в отношении сроков поставки, за каковые с фирмы будут взысканы пени в размерах, установленных дополнительным соглашением. </w:t>
      </w:r>
    </w:p>
    <w:p w14:paraId="675C5C8B" w14:textId="77777777" w:rsidR="00061186" w:rsidRPr="00507A31" w:rsidRDefault="00061186" w:rsidP="00507A31">
      <w:pPr>
        <w:jc w:val="both"/>
        <w:rPr>
          <w:color w:val="000000" w:themeColor="text1"/>
          <w:sz w:val="16"/>
          <w:szCs w:val="16"/>
        </w:rPr>
      </w:pPr>
      <w:r w:rsidRPr="00507A31">
        <w:rPr>
          <w:color w:val="000000" w:themeColor="text1"/>
          <w:sz w:val="16"/>
          <w:szCs w:val="16"/>
        </w:rPr>
        <w:t>[Я.И. Алкснис обращал внимание на то, что Юпитер VI планируется производить 1930 г. по лицензии на 29-м заводе, но Авиатрест не хотел производить Юпитер VI]. Тогда в качестве арбитра между УВВС и Авиатрестом выступило ГВПУ, которое протоколом от 19/IX-1929 года за № 222 потребовало: Обязать Авиатрест принять все меры к тому, чтобы обеспечить выпуск первой серии моторов Юпитер VI в количестве 10 штук к 1/Х-30 года. Постановлением СТО от 16/I-с.г. Авиатрест обязывается в течение 1930/31 года предъявить и сдать 200 моторов М-22 (Юпитер VI). Эти моторы М-22 уже все, по мнению УВВС, должны быть изготовлены в соответствии с чертежами на Юпитер VI номинальной мощности 480 НР производства фирмы ГНОМ и РОН, поскольку Авиатрест имеет право на лицензию этого типа мотора и поскольку фирма ГНОМ и РОН выпустила в завершенном виде этого типа мотор еще в августе 1929 г.</w:t>
      </w:r>
    </w:p>
    <w:p w14:paraId="5D572127" w14:textId="77777777" w:rsidR="00061186" w:rsidRPr="00507A31" w:rsidRDefault="00061186" w:rsidP="00507A31">
      <w:pPr>
        <w:jc w:val="both"/>
        <w:rPr>
          <w:color w:val="000000" w:themeColor="text1"/>
          <w:sz w:val="16"/>
          <w:szCs w:val="16"/>
        </w:rPr>
      </w:pPr>
      <w:r w:rsidRPr="00507A31">
        <w:rPr>
          <w:color w:val="000000" w:themeColor="text1"/>
          <w:sz w:val="16"/>
          <w:szCs w:val="16"/>
        </w:rPr>
        <w:t>Врид НАЧАЛЬНИКА ВВС РККА [подпись] Алкснис» (РГВА. Ф. 4. Оп. 1. Д. 1481. Л. 13, 23об.) (19566).</w:t>
      </w:r>
    </w:p>
    <w:p w14:paraId="729FBB25" w14:textId="77777777" w:rsidR="00061186" w:rsidRPr="00507A31" w:rsidRDefault="00061186" w:rsidP="00507A31">
      <w:pPr>
        <w:jc w:val="both"/>
        <w:rPr>
          <w:color w:val="000000" w:themeColor="text1"/>
          <w:sz w:val="16"/>
          <w:szCs w:val="16"/>
        </w:rPr>
      </w:pPr>
    </w:p>
    <w:p w14:paraId="74DB5C72" w14:textId="77777777" w:rsidR="00061186" w:rsidRPr="00507A31" w:rsidRDefault="00061186"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E7671BC" w14:textId="77777777" w:rsidR="00061186" w:rsidRPr="00507A31" w:rsidRDefault="00061186" w:rsidP="00507A31">
      <w:pPr>
        <w:autoSpaceDE w:val="0"/>
        <w:autoSpaceDN w:val="0"/>
        <w:adjustRightInd w:val="0"/>
        <w:jc w:val="both"/>
        <w:rPr>
          <w:iCs/>
          <w:color w:val="000000" w:themeColor="text1"/>
          <w:sz w:val="16"/>
          <w:szCs w:val="16"/>
        </w:rPr>
      </w:pPr>
    </w:p>
    <w:p w14:paraId="130ECE3F" w14:textId="77777777" w:rsidR="00287AFF" w:rsidRPr="00507A31" w:rsidRDefault="00A27724" w:rsidP="00507A31">
      <w:pPr>
        <w:jc w:val="both"/>
        <w:rPr>
          <w:color w:val="0070C0"/>
          <w:sz w:val="16"/>
          <w:szCs w:val="16"/>
        </w:rPr>
      </w:pPr>
      <w:r w:rsidRPr="00507A31">
        <w:rPr>
          <w:sz w:val="16"/>
          <w:szCs w:val="16"/>
        </w:rPr>
        <w:fldChar w:fldCharType="begin"/>
      </w:r>
      <w:r w:rsidRPr="00507A31">
        <w:rPr>
          <w:sz w:val="16"/>
          <w:szCs w:val="16"/>
        </w:rPr>
        <w:instrText xml:space="preserve"> TOC \o "1-5" \h \z </w:instrText>
      </w:r>
      <w:r w:rsidR="002D4D90" w:rsidRPr="00507A31">
        <w:rPr>
          <w:sz w:val="16"/>
          <w:szCs w:val="16"/>
        </w:rPr>
        <w:fldChar w:fldCharType="separate"/>
      </w:r>
      <w:r w:rsidRPr="00507A31">
        <w:rPr>
          <w:sz w:val="16"/>
          <w:szCs w:val="16"/>
        </w:rPr>
        <w:fldChar w:fldCharType="end"/>
      </w:r>
      <w:r w:rsidR="00287AFF" w:rsidRPr="00507A31">
        <w:rPr>
          <w:color w:val="0070C0"/>
          <w:sz w:val="16"/>
          <w:szCs w:val="16"/>
        </w:rPr>
        <w:t>28 февраля 1930 г., согласно Приказу РВС СССР №011, в Ленинграде был образован АНИИ РККА. Таким образом, в городе была сохранена преемственность пребывания в нем головного центра по модернизации и разработке новых образцов артиллерийского вооружения для армии страны. Тематика направлений работ целого ряда подразделений АНИИ была напрямую связана с производственной специализацией завода №7, в связи с чем предприятие стало одним из основных заводов Ленинграда, где проводились опытные работы по указаниям инженеров Института. Работы по изготовлению опытных образцов минометов осуществлялись под руководством специалистов конструкторско-испытательной группы АНИИ по газометам и минометам под руководством Н. А. Доровлева (группы «Д») (20074).</w:t>
      </w:r>
    </w:p>
    <w:p w14:paraId="3A0AF14C" w14:textId="77777777" w:rsidR="00287AFF" w:rsidRPr="00507A31" w:rsidRDefault="00287AFF" w:rsidP="00507A31">
      <w:pPr>
        <w:autoSpaceDE w:val="0"/>
        <w:autoSpaceDN w:val="0"/>
        <w:adjustRightInd w:val="0"/>
        <w:jc w:val="both"/>
        <w:rPr>
          <w:color w:val="0070C0"/>
          <w:sz w:val="16"/>
          <w:szCs w:val="16"/>
        </w:rPr>
      </w:pPr>
    </w:p>
    <w:p w14:paraId="50D7C31B" w14:textId="77777777" w:rsidR="00287AFF" w:rsidRPr="00507A31" w:rsidRDefault="00287AFF" w:rsidP="00507A31">
      <w:pPr>
        <w:jc w:val="both"/>
        <w:rPr>
          <w:color w:val="0070C0"/>
          <w:sz w:val="16"/>
          <w:szCs w:val="16"/>
        </w:rPr>
      </w:pPr>
      <w:r w:rsidRPr="00507A31">
        <w:rPr>
          <w:color w:val="0070C0"/>
          <w:sz w:val="16"/>
          <w:szCs w:val="16"/>
        </w:rPr>
        <w:t>28 февраля 1930 г. в соответствии с Приказом РВС СССР №011 в Ленинграде на базе КБ НТК АУ РККА был образован АНИИ РККА. НИАП организационно вошел в структуру АНИИ.169 Также в состав АНИИ вошла Газодинамическая лаборатория (ГДЛ) - первая в СССР организация, которая занималась исследованиями в области ракетной техники. Она была основана в Петрограде в 1921 г. и первоначально именовалась Лабораторией Н. И. Тихомирова (по имени основателя, инженера-химика Н. И. Тихомирова). В 1928 г. она получила название Газодинамическая лаборатория, находилась в ведении ВНИК при РВС СССР. Основная часть исследовательских работ ГДЛ проводились на территории НИАПа, где были размещены ряд ее подразделений. Также ГДЛ задействовались технические возможности и оборудование ряда других мастерских полигона. 170 В числе опытных работ, проводимых ГДЛ в конце 1920-х гг. помимо своей основной тематики, были исследовательские работы, связанные с усовершенствованием минометного вооружения. В июне – июле 1929 г. по заданию Арткома в ГДЛ под руководством Г. Э. Лангемака были проведены опыты по определению наилучшей марки зерненого пороха отечественного производства для вкладной каморы к 240-мм длинноствольному французскому миномету системы Батиньоль. Необходимо было выяснить, какой порох при наибольшем весе заряда, допускаемом конструкцией каморы, обеспечивал бы нормальный взрыв и давление, не превышающее 1 200 кг/см². Для проведения опытов была использована вкладная камора. Помимо определения марки пороха, обеспечивающей необходимые характеристики, во время опытных взрывов выяснилось, что для эффективного использования энергии газов и обеспечения ровного горения зарядов перспективным является помещение заряда в оболочке.171 (20074).</w:t>
      </w:r>
    </w:p>
    <w:p w14:paraId="0064BC21" w14:textId="77777777" w:rsidR="00287AFF" w:rsidRPr="00507A31" w:rsidRDefault="00287AFF" w:rsidP="00507A31">
      <w:pPr>
        <w:jc w:val="both"/>
        <w:rPr>
          <w:color w:val="0070C0"/>
          <w:sz w:val="16"/>
          <w:szCs w:val="16"/>
        </w:rPr>
      </w:pPr>
    </w:p>
    <w:p w14:paraId="40F5F790" w14:textId="77777777" w:rsidR="00A01ACD" w:rsidRPr="00507A31" w:rsidRDefault="00A01ACD" w:rsidP="00507A31">
      <w:pPr>
        <w:shd w:val="clear" w:color="auto" w:fill="FFFFFF"/>
        <w:jc w:val="both"/>
        <w:rPr>
          <w:color w:val="000000" w:themeColor="text1"/>
          <w:sz w:val="16"/>
          <w:szCs w:val="16"/>
        </w:rPr>
      </w:pPr>
      <w:r w:rsidRPr="00507A31">
        <w:rPr>
          <w:bCs/>
          <w:iCs/>
          <w:color w:val="000000" w:themeColor="text1"/>
          <w:sz w:val="16"/>
          <w:szCs w:val="16"/>
        </w:rPr>
        <w:t>28 февраля-5 марта 1930 г.</w:t>
      </w:r>
      <w:r w:rsidRPr="00507A31">
        <w:rPr>
          <w:color w:val="000000" w:themeColor="text1"/>
          <w:sz w:val="16"/>
          <w:szCs w:val="16"/>
        </w:rPr>
        <w:t xml:space="preserve"> Испытаний различных видов химического оружия на артполигоне возле г.Луга (Ленинградская область). Испытывались артхимснаряды в снаряжении ипритом, фосгеном, дифосгеном. Адамсит, дифенилхлорарсин и другие ядовитые дымы распространялись в ЯД-шашках (17133).</w:t>
      </w:r>
    </w:p>
    <w:p w14:paraId="372726FB" w14:textId="77777777" w:rsidR="00A01ACD" w:rsidRPr="00507A31" w:rsidRDefault="00A01ACD" w:rsidP="00507A31">
      <w:pPr>
        <w:shd w:val="clear" w:color="auto" w:fill="FFFFFF"/>
        <w:jc w:val="both"/>
        <w:rPr>
          <w:color w:val="000000" w:themeColor="text1"/>
          <w:sz w:val="16"/>
          <w:szCs w:val="16"/>
        </w:rPr>
      </w:pPr>
    </w:p>
    <w:p w14:paraId="740F3296" w14:textId="77777777" w:rsidR="00FF60B1"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614A8AB" w14:textId="77777777" w:rsidR="00FF60B1" w:rsidRPr="00507A31" w:rsidRDefault="00FF60B1" w:rsidP="00507A31">
      <w:pPr>
        <w:autoSpaceDE w:val="0"/>
        <w:autoSpaceDN w:val="0"/>
        <w:adjustRightInd w:val="0"/>
        <w:jc w:val="both"/>
        <w:rPr>
          <w:iCs/>
          <w:color w:val="000000" w:themeColor="text1"/>
          <w:sz w:val="16"/>
          <w:szCs w:val="16"/>
        </w:rPr>
      </w:pPr>
    </w:p>
    <w:p w14:paraId="61976B7B" w14:textId="77777777" w:rsidR="00FF60B1" w:rsidRPr="00507A31" w:rsidRDefault="00FF60B1" w:rsidP="00507A31">
      <w:pPr>
        <w:jc w:val="both"/>
        <w:rPr>
          <w:color w:val="000000" w:themeColor="text1"/>
          <w:sz w:val="16"/>
          <w:szCs w:val="16"/>
        </w:rPr>
      </w:pPr>
      <w:r w:rsidRPr="00507A31">
        <w:rPr>
          <w:rStyle w:val="a7"/>
          <w:b w:val="0"/>
          <w:color w:val="000000" w:themeColor="text1"/>
          <w:sz w:val="16"/>
          <w:szCs w:val="16"/>
        </w:rPr>
        <w:t xml:space="preserve">28 февраля 1930 </w:t>
      </w:r>
      <w:r w:rsidRPr="00507A31">
        <w:rPr>
          <w:color w:val="000000" w:themeColor="text1"/>
          <w:sz w:val="16"/>
          <w:szCs w:val="16"/>
        </w:rPr>
        <w:t>СНК принял постановление «О составлении контрольных цифр народного хозяйства на 1930/31 г.» (12265).</w:t>
      </w:r>
    </w:p>
    <w:p w14:paraId="090332D7" w14:textId="77777777" w:rsidR="00FF60B1" w:rsidRPr="00507A31" w:rsidRDefault="00FF60B1" w:rsidP="00507A31">
      <w:pPr>
        <w:jc w:val="both"/>
        <w:rPr>
          <w:color w:val="000000" w:themeColor="text1"/>
          <w:sz w:val="16"/>
          <w:szCs w:val="16"/>
        </w:rPr>
      </w:pPr>
      <w:r w:rsidRPr="00507A31">
        <w:rPr>
          <w:color w:val="000000" w:themeColor="text1"/>
          <w:sz w:val="16"/>
          <w:szCs w:val="16"/>
        </w:rPr>
        <w:t> </w:t>
      </w:r>
    </w:p>
    <w:p w14:paraId="534C1857" w14:textId="77777777" w:rsidR="00B60C8B" w:rsidRPr="00507A31" w:rsidRDefault="00B60C8B" w:rsidP="00507A31">
      <w:pPr>
        <w:jc w:val="both"/>
        <w:rPr>
          <w:color w:val="0070C0"/>
          <w:sz w:val="16"/>
          <w:szCs w:val="16"/>
        </w:rPr>
      </w:pPr>
      <w:r w:rsidRPr="00507A31">
        <w:rPr>
          <w:color w:val="0070C0"/>
          <w:sz w:val="16"/>
          <w:szCs w:val="16"/>
        </w:rPr>
        <w:t>28 февраля 1930 опросом членов ПБ</w:t>
      </w:r>
    </w:p>
    <w:p w14:paraId="294EAD47" w14:textId="77777777" w:rsidR="00B60C8B" w:rsidRPr="00507A31" w:rsidRDefault="00B60C8B" w:rsidP="00507A31">
      <w:pPr>
        <w:jc w:val="both"/>
        <w:rPr>
          <w:color w:val="0070C0"/>
          <w:sz w:val="16"/>
          <w:szCs w:val="16"/>
        </w:rPr>
      </w:pPr>
      <w:r w:rsidRPr="00507A31">
        <w:rPr>
          <w:color w:val="0070C0"/>
          <w:sz w:val="16"/>
          <w:szCs w:val="16"/>
        </w:rPr>
        <w:t>З0.-Об орденах.</w:t>
      </w:r>
    </w:p>
    <w:p w14:paraId="4A5A574E" w14:textId="77777777" w:rsidR="00B60C8B" w:rsidRPr="00507A31" w:rsidRDefault="00B60C8B" w:rsidP="00507A31">
      <w:pPr>
        <w:jc w:val="both"/>
        <w:rPr>
          <w:color w:val="0070C0"/>
          <w:sz w:val="16"/>
          <w:szCs w:val="16"/>
        </w:rPr>
      </w:pPr>
      <w:r w:rsidRPr="00507A31">
        <w:rPr>
          <w:color w:val="0070C0"/>
          <w:sz w:val="16"/>
          <w:szCs w:val="16"/>
        </w:rPr>
        <w:t>(т. Ворошилов).</w:t>
      </w:r>
    </w:p>
    <w:p w14:paraId="06D4355D" w14:textId="77777777" w:rsidR="00B60C8B" w:rsidRPr="00507A31" w:rsidRDefault="00B60C8B" w:rsidP="00507A31">
      <w:pPr>
        <w:jc w:val="both"/>
        <w:rPr>
          <w:color w:val="0070C0"/>
          <w:sz w:val="16"/>
          <w:szCs w:val="16"/>
        </w:rPr>
      </w:pPr>
      <w:r w:rsidRPr="00507A31">
        <w:rPr>
          <w:color w:val="0070C0"/>
          <w:sz w:val="16"/>
          <w:szCs w:val="16"/>
        </w:rPr>
        <w:t xml:space="preserve">Утвердить введение двух дополнительных орденов, одного по военной линии - ''Орден красной звезды", другой по хозяйственному строительств - “Орден Ленина". Поручить выработать проект статута </w:t>
      </w:r>
    </w:p>
    <w:p w14:paraId="160FE517" w14:textId="77777777" w:rsidR="00B60C8B" w:rsidRPr="00507A31" w:rsidRDefault="00B60C8B" w:rsidP="00507A31">
      <w:pPr>
        <w:jc w:val="both"/>
        <w:rPr>
          <w:color w:val="0070C0"/>
          <w:sz w:val="16"/>
          <w:szCs w:val="16"/>
        </w:rPr>
      </w:pPr>
      <w:r w:rsidRPr="00507A31">
        <w:rPr>
          <w:color w:val="0070C0"/>
          <w:sz w:val="16"/>
          <w:szCs w:val="16"/>
        </w:rPr>
        <w:t>т.Ворошилову, Енукидзе и Томскому.</w:t>
      </w:r>
    </w:p>
    <w:p w14:paraId="7AD44E96" w14:textId="77777777" w:rsidR="00B60C8B" w:rsidRPr="00507A31" w:rsidRDefault="00B60C8B" w:rsidP="00507A31">
      <w:pPr>
        <w:jc w:val="both"/>
        <w:rPr>
          <w:color w:val="0070C0"/>
          <w:sz w:val="16"/>
          <w:szCs w:val="16"/>
        </w:rPr>
      </w:pPr>
      <w:r w:rsidRPr="00507A31">
        <w:rPr>
          <w:color w:val="0070C0"/>
          <w:sz w:val="16"/>
          <w:szCs w:val="16"/>
        </w:rPr>
        <w:t>Выписки посланы: т. Ворошилову; т. Енукидзе; т. Томскому.</w:t>
      </w:r>
    </w:p>
    <w:p w14:paraId="3DD7C947" w14:textId="77777777" w:rsidR="00B60C8B" w:rsidRPr="00507A31" w:rsidRDefault="00B60C8B" w:rsidP="00507A31">
      <w:pPr>
        <w:jc w:val="both"/>
        <w:rPr>
          <w:color w:val="0070C0"/>
          <w:sz w:val="16"/>
          <w:szCs w:val="16"/>
        </w:rPr>
      </w:pPr>
      <w:r w:rsidRPr="00507A31">
        <w:rPr>
          <w:color w:val="0070C0"/>
          <w:sz w:val="16"/>
          <w:szCs w:val="16"/>
        </w:rPr>
        <w:t>34. - О “Дженераль-моторс".</w:t>
      </w:r>
    </w:p>
    <w:p w14:paraId="1A517B24" w14:textId="77777777" w:rsidR="00B60C8B" w:rsidRPr="00507A31" w:rsidRDefault="00B60C8B" w:rsidP="00507A31">
      <w:pPr>
        <w:jc w:val="both"/>
        <w:rPr>
          <w:color w:val="0070C0"/>
          <w:sz w:val="16"/>
          <w:szCs w:val="16"/>
        </w:rPr>
      </w:pPr>
      <w:r w:rsidRPr="00507A31">
        <w:rPr>
          <w:color w:val="0070C0"/>
          <w:sz w:val="16"/>
          <w:szCs w:val="16"/>
        </w:rPr>
        <w:t>(т. Микоян)</w:t>
      </w:r>
    </w:p>
    <w:p w14:paraId="42EDDF75" w14:textId="77777777" w:rsidR="00B60C8B" w:rsidRPr="00507A31" w:rsidRDefault="00B60C8B" w:rsidP="00507A31">
      <w:pPr>
        <w:jc w:val="both"/>
        <w:rPr>
          <w:color w:val="0070C0"/>
          <w:sz w:val="16"/>
          <w:szCs w:val="16"/>
        </w:rPr>
      </w:pPr>
      <w:r w:rsidRPr="00507A31">
        <w:rPr>
          <w:color w:val="0070C0"/>
          <w:sz w:val="16"/>
          <w:szCs w:val="16"/>
        </w:rPr>
        <w:t>Представителям “Дженераль-Моторс" заявил, что из предложение интересное, но они несколько опоздали, но не всё потеряно. Ввиду того, что они разъехались с председателем Автотракторного объединения, который выехал в Канаду, предложить им встретиться т. Осинским.</w:t>
      </w:r>
    </w:p>
    <w:p w14:paraId="3AA25B01" w14:textId="77777777" w:rsidR="00B60C8B" w:rsidRPr="00507A31" w:rsidRDefault="00B60C8B" w:rsidP="00507A31">
      <w:pPr>
        <w:jc w:val="both"/>
        <w:rPr>
          <w:color w:val="0070C0"/>
          <w:sz w:val="16"/>
          <w:szCs w:val="16"/>
        </w:rPr>
      </w:pPr>
      <w:r w:rsidRPr="00507A31">
        <w:rPr>
          <w:color w:val="0070C0"/>
          <w:sz w:val="16"/>
          <w:szCs w:val="16"/>
        </w:rPr>
        <w:t>Тов. Осинскому предложить вежливо тянуть, не ангажируясь ничем.</w:t>
      </w:r>
    </w:p>
    <w:p w14:paraId="018A047E" w14:textId="77777777" w:rsidR="00B60C8B" w:rsidRPr="00507A31" w:rsidRDefault="00B60C8B" w:rsidP="00507A31">
      <w:pPr>
        <w:jc w:val="both"/>
        <w:rPr>
          <w:color w:val="0070C0"/>
          <w:sz w:val="16"/>
          <w:szCs w:val="16"/>
        </w:rPr>
      </w:pPr>
      <w:r w:rsidRPr="00507A31">
        <w:rPr>
          <w:color w:val="0070C0"/>
          <w:sz w:val="16"/>
          <w:szCs w:val="16"/>
        </w:rPr>
        <w:t>Выписка послана: т. Микояну.</w:t>
      </w:r>
    </w:p>
    <w:p w14:paraId="26DB020F" w14:textId="77777777" w:rsidR="00B60C8B" w:rsidRPr="00507A31" w:rsidRDefault="00B60C8B" w:rsidP="00507A31">
      <w:pPr>
        <w:jc w:val="both"/>
        <w:rPr>
          <w:color w:val="0070C0"/>
          <w:sz w:val="16"/>
          <w:szCs w:val="16"/>
        </w:rPr>
      </w:pPr>
      <w:r w:rsidRPr="00507A31">
        <w:rPr>
          <w:color w:val="0070C0"/>
          <w:sz w:val="16"/>
          <w:szCs w:val="16"/>
        </w:rPr>
        <w:t>5 марта 1930 состоялось заседание ПБ (Протокол № 119. Особый № 117) (23104).</w:t>
      </w:r>
    </w:p>
    <w:p w14:paraId="423C1613" w14:textId="77777777" w:rsidR="00B60C8B" w:rsidRPr="00507A31" w:rsidRDefault="00B60C8B" w:rsidP="00507A31">
      <w:pPr>
        <w:autoSpaceDE w:val="0"/>
        <w:autoSpaceDN w:val="0"/>
        <w:adjustRightInd w:val="0"/>
        <w:jc w:val="both"/>
        <w:rPr>
          <w:i/>
          <w:iCs/>
          <w:color w:val="0070C0"/>
          <w:sz w:val="16"/>
          <w:szCs w:val="16"/>
        </w:rPr>
      </w:pPr>
    </w:p>
    <w:p w14:paraId="5AC21DD2" w14:textId="5753BB0F" w:rsidR="00D51101"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3FEF893" w14:textId="77777777" w:rsidR="00D51101" w:rsidRPr="00507A31" w:rsidRDefault="00D51101" w:rsidP="00507A31">
      <w:pPr>
        <w:autoSpaceDE w:val="0"/>
        <w:autoSpaceDN w:val="0"/>
        <w:adjustRightInd w:val="0"/>
        <w:jc w:val="both"/>
        <w:rPr>
          <w:iCs/>
          <w:color w:val="000000" w:themeColor="text1"/>
          <w:sz w:val="16"/>
          <w:szCs w:val="16"/>
        </w:rPr>
      </w:pPr>
    </w:p>
    <w:p w14:paraId="4792FFD6" w14:textId="77777777" w:rsidR="00D51101" w:rsidRPr="00507A31" w:rsidRDefault="00D51101" w:rsidP="00507A31">
      <w:pPr>
        <w:autoSpaceDE w:val="0"/>
        <w:autoSpaceDN w:val="0"/>
        <w:adjustRightInd w:val="0"/>
        <w:jc w:val="both"/>
        <w:rPr>
          <w:color w:val="000000" w:themeColor="text1"/>
          <w:sz w:val="16"/>
          <w:szCs w:val="16"/>
        </w:rPr>
      </w:pPr>
      <w:r w:rsidRPr="00507A31">
        <w:rPr>
          <w:color w:val="000000" w:themeColor="text1"/>
          <w:sz w:val="16"/>
          <w:szCs w:val="16"/>
        </w:rPr>
        <w:t>28 февраля 1930 в Испании диктатор Примо де Ривера лишившись поддержки военных ушел в отставку и новое правительство сформировал г Беркегер (3907,161).</w:t>
      </w:r>
    </w:p>
    <w:p w14:paraId="6D6D85D0" w14:textId="77777777" w:rsidR="00D51101" w:rsidRPr="00507A31" w:rsidRDefault="00D51101" w:rsidP="00507A31">
      <w:pPr>
        <w:autoSpaceDE w:val="0"/>
        <w:autoSpaceDN w:val="0"/>
        <w:adjustRightInd w:val="0"/>
        <w:jc w:val="both"/>
        <w:rPr>
          <w:color w:val="000000" w:themeColor="text1"/>
          <w:sz w:val="16"/>
          <w:szCs w:val="16"/>
        </w:rPr>
      </w:pPr>
    </w:p>
    <w:p w14:paraId="1DB36AE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71A1BBC" w14:textId="77777777" w:rsidR="00537E5F" w:rsidRPr="00507A31" w:rsidRDefault="00537E5F" w:rsidP="00507A31">
      <w:pPr>
        <w:autoSpaceDE w:val="0"/>
        <w:autoSpaceDN w:val="0"/>
        <w:adjustRightInd w:val="0"/>
        <w:jc w:val="both"/>
        <w:rPr>
          <w:iCs/>
          <w:color w:val="000000" w:themeColor="text1"/>
          <w:sz w:val="16"/>
          <w:szCs w:val="16"/>
        </w:rPr>
      </w:pPr>
    </w:p>
    <w:p w14:paraId="0FA6A4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военным был предъявлен полноразмерный деревянный макет АНТ-6 (ТБ-3), одобрили, но попросили усилить вооружение путем установки подкрыльных выдвижных башен по типу тех, что на АНТ-7 (Р-6) (80,304).</w:t>
      </w:r>
    </w:p>
    <w:p w14:paraId="0707A5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Интересно, что строительство уже велось.</w:t>
      </w:r>
    </w:p>
    <w:p w14:paraId="4B541D18" w14:textId="77777777" w:rsidR="00537E5F" w:rsidRPr="00507A31" w:rsidRDefault="00537E5F" w:rsidP="00507A31">
      <w:pPr>
        <w:autoSpaceDE w:val="0"/>
        <w:autoSpaceDN w:val="0"/>
        <w:adjustRightInd w:val="0"/>
        <w:jc w:val="both"/>
        <w:rPr>
          <w:color w:val="000000" w:themeColor="text1"/>
          <w:sz w:val="16"/>
          <w:szCs w:val="16"/>
        </w:rPr>
      </w:pPr>
    </w:p>
    <w:p w14:paraId="74ED0A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1930-го состоялась защита макета ТБ-3, спустя восемь месяцев машину построили (5740,6).</w:t>
      </w:r>
    </w:p>
    <w:p w14:paraId="44A91588" w14:textId="77777777" w:rsidR="00537E5F" w:rsidRPr="00507A31" w:rsidRDefault="00537E5F" w:rsidP="00507A31">
      <w:pPr>
        <w:autoSpaceDE w:val="0"/>
        <w:autoSpaceDN w:val="0"/>
        <w:adjustRightInd w:val="0"/>
        <w:jc w:val="both"/>
        <w:rPr>
          <w:color w:val="000000" w:themeColor="text1"/>
          <w:sz w:val="16"/>
          <w:szCs w:val="16"/>
        </w:rPr>
      </w:pPr>
    </w:p>
    <w:p w14:paraId="25ABE1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г. тормозные колеса для Р-5 заказали в Америке, у фирмы "Бендикс", но затем квоту по валюте урезали, и этот пункт исключили. Тем не менее уже в следующем году появилось постановление Совнаркома, требовавшее в 1932 г. сдать ВВС 100 самолетов с тормозами, на этот раз отечественной конструкции. Гидравлические тормоза спроектировали в ЦАГИ, взяв за основу образец фирмы "Виккерс". Чтобы их включить, летчик должен был использовать длинный рычаг, соединенный с гидронасосом. В 1932 г. опытные образцы прошли испытания сначала в ОЭЛИД, а затем в НИИ ВВС. Пробег уменьшался почти вдвое. Но работали тормоза не очень- то надежно, масло из системы подтекало. Отмечалось запаздывание при включении и выключении, неравномерное торможение правого и левого колес, приводившее к неуправляемому развороту. А самое главное, при значительном количестве горючего в верхних баках неопытный летчик запросто мог поставить машину на нос (12034).</w:t>
      </w:r>
    </w:p>
    <w:p w14:paraId="4E07A4BB" w14:textId="77777777" w:rsidR="00537E5F" w:rsidRPr="00507A31" w:rsidRDefault="00537E5F" w:rsidP="00507A31">
      <w:pPr>
        <w:autoSpaceDE w:val="0"/>
        <w:autoSpaceDN w:val="0"/>
        <w:adjustRightInd w:val="0"/>
        <w:jc w:val="both"/>
        <w:rPr>
          <w:color w:val="000000" w:themeColor="text1"/>
          <w:sz w:val="16"/>
          <w:szCs w:val="16"/>
        </w:rPr>
      </w:pPr>
    </w:p>
    <w:p w14:paraId="16476D0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феврале 1930 проект истребителя И-7 в деревянной версии был утвержден НТК ВВС (6925).</w:t>
      </w:r>
    </w:p>
    <w:p w14:paraId="4D2E903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E6067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февра</w:t>
      </w:r>
      <w:r w:rsidRPr="00507A31">
        <w:rPr>
          <w:color w:val="000000" w:themeColor="text1"/>
          <w:sz w:val="16"/>
          <w:szCs w:val="16"/>
        </w:rPr>
        <w:softHyphen/>
        <w:t>ле 1930 г. эскизный проект И-7 ВМV -VI послали в Авиатреет для утвержде</w:t>
      </w:r>
      <w:r w:rsidRPr="00507A31">
        <w:rPr>
          <w:color w:val="000000" w:themeColor="text1"/>
          <w:sz w:val="16"/>
          <w:szCs w:val="16"/>
        </w:rPr>
        <w:softHyphen/>
        <w:t>ния. Для трех вариантов указывались следующие расчетные характеристики:</w:t>
      </w:r>
    </w:p>
    <w:tbl>
      <w:tblPr>
        <w:tblW w:w="0" w:type="auto"/>
        <w:tblInd w:w="40" w:type="dxa"/>
        <w:tblLayout w:type="fixed"/>
        <w:tblCellMar>
          <w:left w:w="40" w:type="dxa"/>
          <w:right w:w="40" w:type="dxa"/>
        </w:tblCellMar>
        <w:tblLook w:val="0000" w:firstRow="0" w:lastRow="0" w:firstColumn="0" w:lastColumn="0" w:noHBand="0" w:noVBand="0"/>
      </w:tblPr>
      <w:tblGrid>
        <w:gridCol w:w="2966"/>
        <w:gridCol w:w="1267"/>
        <w:gridCol w:w="1325"/>
        <w:gridCol w:w="1373"/>
      </w:tblGrid>
      <w:tr w:rsidR="00A61694" w:rsidRPr="00507A31" w14:paraId="7003FBA4" w14:textId="77777777">
        <w:trPr>
          <w:trHeight w:val="288"/>
        </w:trPr>
        <w:tc>
          <w:tcPr>
            <w:tcW w:w="2966" w:type="dxa"/>
            <w:tcBorders>
              <w:top w:val="single" w:sz="6" w:space="0" w:color="auto"/>
              <w:left w:val="single" w:sz="6" w:space="0" w:color="auto"/>
              <w:bottom w:val="single" w:sz="6" w:space="0" w:color="auto"/>
              <w:right w:val="single" w:sz="6" w:space="0" w:color="auto"/>
            </w:tcBorders>
          </w:tcPr>
          <w:p w14:paraId="2362FC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772C6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вариант</w:t>
            </w:r>
          </w:p>
        </w:tc>
        <w:tc>
          <w:tcPr>
            <w:tcW w:w="1325" w:type="dxa"/>
            <w:tcBorders>
              <w:top w:val="single" w:sz="6" w:space="0" w:color="auto"/>
              <w:left w:val="single" w:sz="6" w:space="0" w:color="auto"/>
              <w:bottom w:val="single" w:sz="6" w:space="0" w:color="auto"/>
              <w:right w:val="single" w:sz="6" w:space="0" w:color="auto"/>
            </w:tcBorders>
          </w:tcPr>
          <w:p w14:paraId="792805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вариант</w:t>
            </w:r>
          </w:p>
        </w:tc>
        <w:tc>
          <w:tcPr>
            <w:tcW w:w="1373" w:type="dxa"/>
            <w:tcBorders>
              <w:top w:val="single" w:sz="6" w:space="0" w:color="auto"/>
              <w:left w:val="single" w:sz="6" w:space="0" w:color="auto"/>
              <w:bottom w:val="single" w:sz="6" w:space="0" w:color="auto"/>
              <w:right w:val="single" w:sz="6" w:space="0" w:color="auto"/>
            </w:tcBorders>
          </w:tcPr>
          <w:p w14:paraId="0F70A8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вариант</w:t>
            </w:r>
          </w:p>
        </w:tc>
      </w:tr>
      <w:tr w:rsidR="00A61694" w:rsidRPr="00507A31" w14:paraId="3E90FE36"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63D9BA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Тип</w:t>
            </w:r>
          </w:p>
        </w:tc>
        <w:tc>
          <w:tcPr>
            <w:tcW w:w="1267" w:type="dxa"/>
            <w:tcBorders>
              <w:top w:val="single" w:sz="6" w:space="0" w:color="auto"/>
              <w:left w:val="single" w:sz="6" w:space="0" w:color="auto"/>
              <w:bottom w:val="single" w:sz="6" w:space="0" w:color="auto"/>
              <w:right w:val="single" w:sz="6" w:space="0" w:color="auto"/>
            </w:tcBorders>
          </w:tcPr>
          <w:p w14:paraId="32C1F3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полутороплан</w:t>
            </w:r>
          </w:p>
        </w:tc>
        <w:tc>
          <w:tcPr>
            <w:tcW w:w="1325" w:type="dxa"/>
            <w:tcBorders>
              <w:top w:val="single" w:sz="6" w:space="0" w:color="auto"/>
              <w:left w:val="single" w:sz="6" w:space="0" w:color="auto"/>
              <w:bottom w:val="single" w:sz="6" w:space="0" w:color="auto"/>
              <w:right w:val="single" w:sz="6" w:space="0" w:color="auto"/>
            </w:tcBorders>
          </w:tcPr>
          <w:p w14:paraId="55AB7E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биплан</w:t>
            </w:r>
          </w:p>
        </w:tc>
        <w:tc>
          <w:tcPr>
            <w:tcW w:w="1373" w:type="dxa"/>
            <w:tcBorders>
              <w:top w:val="single" w:sz="6" w:space="0" w:color="auto"/>
              <w:left w:val="single" w:sz="6" w:space="0" w:color="auto"/>
              <w:bottom w:val="single" w:sz="6" w:space="0" w:color="auto"/>
              <w:right w:val="single" w:sz="6" w:space="0" w:color="auto"/>
            </w:tcBorders>
          </w:tcPr>
          <w:p w14:paraId="2F1E75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полутороплан</w:t>
            </w:r>
          </w:p>
        </w:tc>
      </w:tr>
      <w:tr w:rsidR="00A61694" w:rsidRPr="00507A31" w14:paraId="04F6884F"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5B7542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Размах верхнего крыла, м</w:t>
            </w:r>
          </w:p>
        </w:tc>
        <w:tc>
          <w:tcPr>
            <w:tcW w:w="1267" w:type="dxa"/>
            <w:tcBorders>
              <w:top w:val="single" w:sz="6" w:space="0" w:color="auto"/>
              <w:left w:val="single" w:sz="6" w:space="0" w:color="auto"/>
              <w:bottom w:val="single" w:sz="6" w:space="0" w:color="auto"/>
              <w:right w:val="single" w:sz="6" w:space="0" w:color="auto"/>
            </w:tcBorders>
          </w:tcPr>
          <w:p w14:paraId="3C9241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w:t>
            </w:r>
          </w:p>
        </w:tc>
        <w:tc>
          <w:tcPr>
            <w:tcW w:w="1325" w:type="dxa"/>
            <w:tcBorders>
              <w:top w:val="single" w:sz="6" w:space="0" w:color="auto"/>
              <w:left w:val="single" w:sz="6" w:space="0" w:color="auto"/>
              <w:bottom w:val="single" w:sz="6" w:space="0" w:color="auto"/>
              <w:right w:val="single" w:sz="6" w:space="0" w:color="auto"/>
            </w:tcBorders>
          </w:tcPr>
          <w:p w14:paraId="51E858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w:t>
            </w:r>
          </w:p>
        </w:tc>
        <w:tc>
          <w:tcPr>
            <w:tcW w:w="1373" w:type="dxa"/>
            <w:tcBorders>
              <w:top w:val="single" w:sz="6" w:space="0" w:color="auto"/>
              <w:left w:val="single" w:sz="6" w:space="0" w:color="auto"/>
              <w:bottom w:val="single" w:sz="6" w:space="0" w:color="auto"/>
              <w:right w:val="single" w:sz="6" w:space="0" w:color="auto"/>
            </w:tcBorders>
          </w:tcPr>
          <w:p w14:paraId="598957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w:t>
            </w:r>
          </w:p>
        </w:tc>
      </w:tr>
      <w:tr w:rsidR="00A61694" w:rsidRPr="00507A31" w14:paraId="424AF527"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00D7F2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Размах нижнего крыла, м</w:t>
            </w:r>
          </w:p>
        </w:tc>
        <w:tc>
          <w:tcPr>
            <w:tcW w:w="1267" w:type="dxa"/>
            <w:tcBorders>
              <w:top w:val="single" w:sz="6" w:space="0" w:color="auto"/>
              <w:left w:val="single" w:sz="6" w:space="0" w:color="auto"/>
              <w:bottom w:val="single" w:sz="6" w:space="0" w:color="auto"/>
              <w:right w:val="single" w:sz="6" w:space="0" w:color="auto"/>
            </w:tcBorders>
          </w:tcPr>
          <w:p w14:paraId="776F9A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w:t>
            </w:r>
          </w:p>
        </w:tc>
        <w:tc>
          <w:tcPr>
            <w:tcW w:w="1325" w:type="dxa"/>
            <w:tcBorders>
              <w:top w:val="single" w:sz="6" w:space="0" w:color="auto"/>
              <w:left w:val="single" w:sz="6" w:space="0" w:color="auto"/>
              <w:bottom w:val="single" w:sz="6" w:space="0" w:color="auto"/>
              <w:right w:val="single" w:sz="6" w:space="0" w:color="auto"/>
            </w:tcBorders>
          </w:tcPr>
          <w:p w14:paraId="0F7981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w:t>
            </w:r>
          </w:p>
        </w:tc>
        <w:tc>
          <w:tcPr>
            <w:tcW w:w="1373" w:type="dxa"/>
            <w:tcBorders>
              <w:top w:val="single" w:sz="6" w:space="0" w:color="auto"/>
              <w:left w:val="single" w:sz="6" w:space="0" w:color="auto"/>
              <w:bottom w:val="single" w:sz="6" w:space="0" w:color="auto"/>
              <w:right w:val="single" w:sz="6" w:space="0" w:color="auto"/>
            </w:tcBorders>
          </w:tcPr>
          <w:p w14:paraId="4362D9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w:t>
            </w:r>
          </w:p>
        </w:tc>
      </w:tr>
      <w:tr w:rsidR="00A61694" w:rsidRPr="00507A31" w14:paraId="44A917F6"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50ABA4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Длина, м</w:t>
            </w:r>
          </w:p>
        </w:tc>
        <w:tc>
          <w:tcPr>
            <w:tcW w:w="1267" w:type="dxa"/>
            <w:tcBorders>
              <w:top w:val="single" w:sz="6" w:space="0" w:color="auto"/>
              <w:left w:val="single" w:sz="6" w:space="0" w:color="auto"/>
              <w:bottom w:val="single" w:sz="6" w:space="0" w:color="auto"/>
              <w:right w:val="single" w:sz="6" w:space="0" w:color="auto"/>
            </w:tcBorders>
          </w:tcPr>
          <w:p w14:paraId="63E2BD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7,520</w:t>
            </w:r>
          </w:p>
        </w:tc>
        <w:tc>
          <w:tcPr>
            <w:tcW w:w="1325" w:type="dxa"/>
            <w:tcBorders>
              <w:top w:val="single" w:sz="6" w:space="0" w:color="auto"/>
              <w:left w:val="single" w:sz="6" w:space="0" w:color="auto"/>
              <w:bottom w:val="single" w:sz="6" w:space="0" w:color="auto"/>
              <w:right w:val="single" w:sz="6" w:space="0" w:color="auto"/>
            </w:tcBorders>
          </w:tcPr>
          <w:p w14:paraId="0C94D0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7,120</w:t>
            </w:r>
          </w:p>
        </w:tc>
        <w:tc>
          <w:tcPr>
            <w:tcW w:w="1373" w:type="dxa"/>
            <w:tcBorders>
              <w:top w:val="single" w:sz="6" w:space="0" w:color="auto"/>
              <w:left w:val="single" w:sz="6" w:space="0" w:color="auto"/>
              <w:bottom w:val="single" w:sz="6" w:space="0" w:color="auto"/>
              <w:right w:val="single" w:sz="6" w:space="0" w:color="auto"/>
            </w:tcBorders>
          </w:tcPr>
          <w:p w14:paraId="43FC64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7,420</w:t>
            </w:r>
          </w:p>
        </w:tc>
      </w:tr>
      <w:tr w:rsidR="00A61694" w:rsidRPr="00507A31" w14:paraId="1369C347"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260903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Хорда верхнего крыла, м</w:t>
            </w:r>
          </w:p>
        </w:tc>
        <w:tc>
          <w:tcPr>
            <w:tcW w:w="1267" w:type="dxa"/>
            <w:tcBorders>
              <w:top w:val="single" w:sz="6" w:space="0" w:color="auto"/>
              <w:left w:val="single" w:sz="6" w:space="0" w:color="auto"/>
              <w:bottom w:val="single" w:sz="6" w:space="0" w:color="auto"/>
              <w:right w:val="single" w:sz="6" w:space="0" w:color="auto"/>
            </w:tcBorders>
          </w:tcPr>
          <w:p w14:paraId="42D606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w:t>
            </w:r>
          </w:p>
        </w:tc>
        <w:tc>
          <w:tcPr>
            <w:tcW w:w="1325" w:type="dxa"/>
            <w:tcBorders>
              <w:top w:val="single" w:sz="6" w:space="0" w:color="auto"/>
              <w:left w:val="single" w:sz="6" w:space="0" w:color="auto"/>
              <w:bottom w:val="single" w:sz="6" w:space="0" w:color="auto"/>
              <w:right w:val="single" w:sz="6" w:space="0" w:color="auto"/>
            </w:tcBorders>
          </w:tcPr>
          <w:p w14:paraId="27C07D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1,65</w:t>
            </w:r>
          </w:p>
        </w:tc>
        <w:tc>
          <w:tcPr>
            <w:tcW w:w="1373" w:type="dxa"/>
            <w:tcBorders>
              <w:top w:val="single" w:sz="6" w:space="0" w:color="auto"/>
              <w:left w:val="single" w:sz="6" w:space="0" w:color="auto"/>
              <w:bottom w:val="single" w:sz="6" w:space="0" w:color="auto"/>
              <w:right w:val="single" w:sz="6" w:space="0" w:color="auto"/>
            </w:tcBorders>
          </w:tcPr>
          <w:p w14:paraId="1E8946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w:t>
            </w:r>
          </w:p>
        </w:tc>
      </w:tr>
      <w:tr w:rsidR="00A61694" w:rsidRPr="00507A31" w14:paraId="483E56E6" w14:textId="77777777">
        <w:trPr>
          <w:trHeight w:val="173"/>
        </w:trPr>
        <w:tc>
          <w:tcPr>
            <w:tcW w:w="2966" w:type="dxa"/>
            <w:tcBorders>
              <w:top w:val="single" w:sz="6" w:space="0" w:color="auto"/>
              <w:left w:val="single" w:sz="6" w:space="0" w:color="auto"/>
              <w:bottom w:val="single" w:sz="6" w:space="0" w:color="auto"/>
              <w:right w:val="single" w:sz="6" w:space="0" w:color="auto"/>
            </w:tcBorders>
          </w:tcPr>
          <w:p w14:paraId="5B753F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Хорда нижнего крыла, м</w:t>
            </w:r>
          </w:p>
        </w:tc>
        <w:tc>
          <w:tcPr>
            <w:tcW w:w="1267" w:type="dxa"/>
            <w:tcBorders>
              <w:top w:val="single" w:sz="6" w:space="0" w:color="auto"/>
              <w:left w:val="single" w:sz="6" w:space="0" w:color="auto"/>
              <w:bottom w:val="single" w:sz="6" w:space="0" w:color="auto"/>
              <w:right w:val="single" w:sz="6" w:space="0" w:color="auto"/>
            </w:tcBorders>
          </w:tcPr>
          <w:p w14:paraId="3C1200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1,05</w:t>
            </w:r>
          </w:p>
        </w:tc>
        <w:tc>
          <w:tcPr>
            <w:tcW w:w="1325" w:type="dxa"/>
            <w:tcBorders>
              <w:top w:val="single" w:sz="6" w:space="0" w:color="auto"/>
              <w:left w:val="single" w:sz="6" w:space="0" w:color="auto"/>
              <w:bottom w:val="single" w:sz="6" w:space="0" w:color="auto"/>
              <w:right w:val="single" w:sz="6" w:space="0" w:color="auto"/>
            </w:tcBorders>
          </w:tcPr>
          <w:p w14:paraId="19BCF4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1,30</w:t>
            </w:r>
          </w:p>
        </w:tc>
        <w:tc>
          <w:tcPr>
            <w:tcW w:w="1373" w:type="dxa"/>
            <w:tcBorders>
              <w:top w:val="single" w:sz="6" w:space="0" w:color="auto"/>
              <w:left w:val="single" w:sz="6" w:space="0" w:color="auto"/>
              <w:bottom w:val="single" w:sz="6" w:space="0" w:color="auto"/>
              <w:right w:val="single" w:sz="6" w:space="0" w:color="auto"/>
            </w:tcBorders>
          </w:tcPr>
          <w:p w14:paraId="010C19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1,05</w:t>
            </w:r>
          </w:p>
        </w:tc>
      </w:tr>
      <w:tr w:rsidR="00A61694" w:rsidRPr="00507A31" w14:paraId="279B88BD"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1A9893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Площадь крыльев, кв. м</w:t>
            </w:r>
          </w:p>
        </w:tc>
        <w:tc>
          <w:tcPr>
            <w:tcW w:w="1267" w:type="dxa"/>
            <w:tcBorders>
              <w:top w:val="single" w:sz="6" w:space="0" w:color="auto"/>
              <w:left w:val="single" w:sz="6" w:space="0" w:color="auto"/>
              <w:bottom w:val="single" w:sz="6" w:space="0" w:color="auto"/>
              <w:right w:val="single" w:sz="6" w:space="0" w:color="auto"/>
            </w:tcBorders>
          </w:tcPr>
          <w:p w14:paraId="6A5A4B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24,42</w:t>
            </w:r>
          </w:p>
        </w:tc>
        <w:tc>
          <w:tcPr>
            <w:tcW w:w="1325" w:type="dxa"/>
            <w:tcBorders>
              <w:top w:val="single" w:sz="6" w:space="0" w:color="auto"/>
              <w:left w:val="single" w:sz="6" w:space="0" w:color="auto"/>
              <w:bottom w:val="single" w:sz="6" w:space="0" w:color="auto"/>
              <w:right w:val="single" w:sz="6" w:space="0" w:color="auto"/>
            </w:tcBorders>
          </w:tcPr>
          <w:p w14:paraId="25216C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25,67</w:t>
            </w:r>
          </w:p>
        </w:tc>
        <w:tc>
          <w:tcPr>
            <w:tcW w:w="1373" w:type="dxa"/>
            <w:tcBorders>
              <w:top w:val="single" w:sz="6" w:space="0" w:color="auto"/>
              <w:left w:val="single" w:sz="6" w:space="0" w:color="auto"/>
              <w:bottom w:val="single" w:sz="6" w:space="0" w:color="auto"/>
              <w:right w:val="single" w:sz="6" w:space="0" w:color="auto"/>
            </w:tcBorders>
          </w:tcPr>
          <w:p w14:paraId="0E4FD4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24,10</w:t>
            </w:r>
          </w:p>
        </w:tc>
      </w:tr>
      <w:tr w:rsidR="00A61694" w:rsidRPr="00507A31" w14:paraId="6DE3BCFF"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14D973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 пустого, кг</w:t>
            </w:r>
          </w:p>
        </w:tc>
        <w:tc>
          <w:tcPr>
            <w:tcW w:w="1267" w:type="dxa"/>
            <w:tcBorders>
              <w:top w:val="single" w:sz="6" w:space="0" w:color="auto"/>
              <w:left w:val="single" w:sz="6" w:space="0" w:color="auto"/>
              <w:bottom w:val="single" w:sz="6" w:space="0" w:color="auto"/>
              <w:right w:val="single" w:sz="6" w:space="0" w:color="auto"/>
            </w:tcBorders>
          </w:tcPr>
          <w:p w14:paraId="751DDD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1211</w:t>
            </w:r>
          </w:p>
        </w:tc>
        <w:tc>
          <w:tcPr>
            <w:tcW w:w="1325" w:type="dxa"/>
            <w:tcBorders>
              <w:top w:val="single" w:sz="6" w:space="0" w:color="auto"/>
              <w:left w:val="single" w:sz="6" w:space="0" w:color="auto"/>
              <w:bottom w:val="single" w:sz="6" w:space="0" w:color="auto"/>
              <w:right w:val="single" w:sz="6" w:space="0" w:color="auto"/>
            </w:tcBorders>
          </w:tcPr>
          <w:p w14:paraId="15D9C0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1219</w:t>
            </w:r>
          </w:p>
        </w:tc>
        <w:tc>
          <w:tcPr>
            <w:tcW w:w="1373" w:type="dxa"/>
            <w:tcBorders>
              <w:top w:val="single" w:sz="6" w:space="0" w:color="auto"/>
              <w:left w:val="single" w:sz="6" w:space="0" w:color="auto"/>
              <w:bottom w:val="single" w:sz="6" w:space="0" w:color="auto"/>
              <w:right w:val="single" w:sz="6" w:space="0" w:color="auto"/>
            </w:tcBorders>
          </w:tcPr>
          <w:p w14:paraId="5DB117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1210</w:t>
            </w:r>
          </w:p>
        </w:tc>
      </w:tr>
      <w:tr w:rsidR="00A61694" w:rsidRPr="00507A31" w14:paraId="2AB39F41"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54D670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Полетный вес, кг</w:t>
            </w:r>
          </w:p>
        </w:tc>
        <w:tc>
          <w:tcPr>
            <w:tcW w:w="1267" w:type="dxa"/>
            <w:tcBorders>
              <w:top w:val="single" w:sz="6" w:space="0" w:color="auto"/>
              <w:left w:val="single" w:sz="6" w:space="0" w:color="auto"/>
              <w:bottom w:val="single" w:sz="6" w:space="0" w:color="auto"/>
              <w:right w:val="single" w:sz="6" w:space="0" w:color="auto"/>
            </w:tcBorders>
          </w:tcPr>
          <w:p w14:paraId="4197A4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1627</w:t>
            </w:r>
          </w:p>
        </w:tc>
        <w:tc>
          <w:tcPr>
            <w:tcW w:w="1325" w:type="dxa"/>
            <w:tcBorders>
              <w:top w:val="single" w:sz="6" w:space="0" w:color="auto"/>
              <w:left w:val="single" w:sz="6" w:space="0" w:color="auto"/>
              <w:bottom w:val="single" w:sz="6" w:space="0" w:color="auto"/>
              <w:right w:val="single" w:sz="6" w:space="0" w:color="auto"/>
            </w:tcBorders>
          </w:tcPr>
          <w:p w14:paraId="718279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1635</w:t>
            </w:r>
          </w:p>
        </w:tc>
        <w:tc>
          <w:tcPr>
            <w:tcW w:w="1373" w:type="dxa"/>
            <w:tcBorders>
              <w:top w:val="single" w:sz="6" w:space="0" w:color="auto"/>
              <w:left w:val="single" w:sz="6" w:space="0" w:color="auto"/>
              <w:bottom w:val="single" w:sz="6" w:space="0" w:color="auto"/>
              <w:right w:val="single" w:sz="6" w:space="0" w:color="auto"/>
            </w:tcBorders>
          </w:tcPr>
          <w:p w14:paraId="358AD9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1626</w:t>
            </w:r>
          </w:p>
        </w:tc>
      </w:tr>
      <w:tr w:rsidR="00A61694" w:rsidRPr="00507A31" w14:paraId="74265981"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47F15A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Скорость макс, на высоте 5000 м, км/ч</w:t>
            </w:r>
          </w:p>
        </w:tc>
        <w:tc>
          <w:tcPr>
            <w:tcW w:w="1267" w:type="dxa"/>
            <w:tcBorders>
              <w:top w:val="single" w:sz="6" w:space="0" w:color="auto"/>
              <w:left w:val="single" w:sz="6" w:space="0" w:color="auto"/>
              <w:bottom w:val="single" w:sz="6" w:space="0" w:color="auto"/>
              <w:right w:val="single" w:sz="6" w:space="0" w:color="auto"/>
            </w:tcBorders>
          </w:tcPr>
          <w:p w14:paraId="113085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290</w:t>
            </w:r>
          </w:p>
        </w:tc>
        <w:tc>
          <w:tcPr>
            <w:tcW w:w="1325" w:type="dxa"/>
            <w:tcBorders>
              <w:top w:val="single" w:sz="6" w:space="0" w:color="auto"/>
              <w:left w:val="single" w:sz="6" w:space="0" w:color="auto"/>
              <w:bottom w:val="single" w:sz="6" w:space="0" w:color="auto"/>
              <w:right w:val="single" w:sz="6" w:space="0" w:color="auto"/>
            </w:tcBorders>
          </w:tcPr>
          <w:p w14:paraId="0D7B73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282</w:t>
            </w:r>
          </w:p>
        </w:tc>
        <w:tc>
          <w:tcPr>
            <w:tcW w:w="1373" w:type="dxa"/>
            <w:tcBorders>
              <w:top w:val="single" w:sz="6" w:space="0" w:color="auto"/>
              <w:left w:val="single" w:sz="6" w:space="0" w:color="auto"/>
              <w:bottom w:val="single" w:sz="6" w:space="0" w:color="auto"/>
              <w:right w:val="single" w:sz="6" w:space="0" w:color="auto"/>
            </w:tcBorders>
          </w:tcPr>
          <w:p w14:paraId="540F90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289</w:t>
            </w:r>
          </w:p>
        </w:tc>
      </w:tr>
      <w:tr w:rsidR="00A61694" w:rsidRPr="00507A31" w14:paraId="07CE7ED7"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7E44AB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Время набора 5000 м, мин.</w:t>
            </w:r>
          </w:p>
        </w:tc>
        <w:tc>
          <w:tcPr>
            <w:tcW w:w="1267" w:type="dxa"/>
            <w:tcBorders>
              <w:top w:val="single" w:sz="6" w:space="0" w:color="auto"/>
              <w:left w:val="single" w:sz="6" w:space="0" w:color="auto"/>
              <w:bottom w:val="single" w:sz="6" w:space="0" w:color="auto"/>
              <w:right w:val="single" w:sz="6" w:space="0" w:color="auto"/>
            </w:tcBorders>
          </w:tcPr>
          <w:p w14:paraId="2B655E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8,2</w:t>
            </w:r>
          </w:p>
        </w:tc>
        <w:tc>
          <w:tcPr>
            <w:tcW w:w="1325" w:type="dxa"/>
            <w:tcBorders>
              <w:top w:val="single" w:sz="6" w:space="0" w:color="auto"/>
              <w:left w:val="single" w:sz="6" w:space="0" w:color="auto"/>
              <w:bottom w:val="single" w:sz="6" w:space="0" w:color="auto"/>
              <w:right w:val="single" w:sz="6" w:space="0" w:color="auto"/>
            </w:tcBorders>
          </w:tcPr>
          <w:p w14:paraId="6AD84B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8,2</w:t>
            </w:r>
          </w:p>
        </w:tc>
        <w:tc>
          <w:tcPr>
            <w:tcW w:w="1373" w:type="dxa"/>
            <w:tcBorders>
              <w:top w:val="single" w:sz="6" w:space="0" w:color="auto"/>
              <w:left w:val="single" w:sz="6" w:space="0" w:color="auto"/>
              <w:bottom w:val="single" w:sz="6" w:space="0" w:color="auto"/>
              <w:right w:val="single" w:sz="6" w:space="0" w:color="auto"/>
            </w:tcBorders>
          </w:tcPr>
          <w:p w14:paraId="06DA82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8,42</w:t>
            </w:r>
          </w:p>
        </w:tc>
      </w:tr>
      <w:tr w:rsidR="00A61694" w:rsidRPr="00507A31" w14:paraId="188C385B" w14:textId="77777777">
        <w:trPr>
          <w:trHeight w:val="317"/>
        </w:trPr>
        <w:tc>
          <w:tcPr>
            <w:tcW w:w="2966" w:type="dxa"/>
            <w:tcBorders>
              <w:top w:val="single" w:sz="6" w:space="0" w:color="auto"/>
              <w:left w:val="single" w:sz="6" w:space="0" w:color="auto"/>
              <w:bottom w:val="single" w:sz="6" w:space="0" w:color="auto"/>
              <w:right w:val="single" w:sz="6" w:space="0" w:color="auto"/>
            </w:tcBorders>
          </w:tcPr>
          <w:p w14:paraId="17E4B3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Практический потолок, м</w:t>
            </w:r>
          </w:p>
        </w:tc>
        <w:tc>
          <w:tcPr>
            <w:tcW w:w="1267" w:type="dxa"/>
            <w:tcBorders>
              <w:top w:val="single" w:sz="6" w:space="0" w:color="auto"/>
              <w:left w:val="single" w:sz="6" w:space="0" w:color="auto"/>
              <w:bottom w:val="single" w:sz="6" w:space="0" w:color="auto"/>
              <w:right w:val="single" w:sz="6" w:space="0" w:color="auto"/>
            </w:tcBorders>
          </w:tcPr>
          <w:p w14:paraId="3BB410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8300</w:t>
            </w:r>
          </w:p>
        </w:tc>
        <w:tc>
          <w:tcPr>
            <w:tcW w:w="1325" w:type="dxa"/>
            <w:tcBorders>
              <w:top w:val="single" w:sz="6" w:space="0" w:color="auto"/>
              <w:left w:val="single" w:sz="6" w:space="0" w:color="auto"/>
              <w:bottom w:val="single" w:sz="6" w:space="0" w:color="auto"/>
              <w:right w:val="single" w:sz="6" w:space="0" w:color="auto"/>
            </w:tcBorders>
          </w:tcPr>
          <w:p w14:paraId="05E3D7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7910</w:t>
            </w:r>
          </w:p>
        </w:tc>
        <w:tc>
          <w:tcPr>
            <w:tcW w:w="1373" w:type="dxa"/>
            <w:tcBorders>
              <w:top w:val="single" w:sz="6" w:space="0" w:color="auto"/>
              <w:left w:val="single" w:sz="6" w:space="0" w:color="auto"/>
              <w:bottom w:val="single" w:sz="6" w:space="0" w:color="auto"/>
              <w:right w:val="single" w:sz="6" w:space="0" w:color="auto"/>
            </w:tcBorders>
          </w:tcPr>
          <w:p w14:paraId="10DA0F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7950</w:t>
            </w:r>
          </w:p>
        </w:tc>
      </w:tr>
    </w:tbl>
    <w:p w14:paraId="565ABF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рассмотрении указанных вари</w:t>
      </w:r>
      <w:r w:rsidRPr="00507A31">
        <w:rPr>
          <w:color w:val="000000" w:themeColor="text1"/>
          <w:sz w:val="16"/>
          <w:szCs w:val="16"/>
        </w:rPr>
        <w:softHyphen/>
        <w:t>антов предпочтение отдавали биплану, на котором надеялись получить улучше</w:t>
      </w:r>
      <w:r w:rsidRPr="00507A31">
        <w:rPr>
          <w:color w:val="000000" w:themeColor="text1"/>
          <w:sz w:val="16"/>
          <w:szCs w:val="16"/>
        </w:rPr>
        <w:softHyphen/>
        <w:t>ние маневренности за счет уменьшения размеров и снижения моментов инерции. Проектные работы по истребителю И-7 продолжались в течение 1930 г. (10729).</w:t>
      </w:r>
    </w:p>
    <w:p w14:paraId="7264B2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C298F2C" w14:textId="77777777" w:rsidR="00FF60B1" w:rsidRPr="00507A31" w:rsidRDefault="00FF60B1" w:rsidP="00507A31">
      <w:pPr>
        <w:jc w:val="both"/>
        <w:rPr>
          <w:color w:val="000000" w:themeColor="text1"/>
          <w:sz w:val="16"/>
          <w:szCs w:val="16"/>
        </w:rPr>
      </w:pPr>
      <w:r w:rsidRPr="00507A31">
        <w:rPr>
          <w:color w:val="000000" w:themeColor="text1"/>
          <w:sz w:val="16"/>
          <w:szCs w:val="16"/>
        </w:rPr>
        <w:t>В феврале 1930 г. эскизный проект И-7 БМВ-У1 в трех вариантах послали в Авиа</w:t>
      </w:r>
      <w:r w:rsidRPr="00507A31">
        <w:rPr>
          <w:color w:val="000000" w:themeColor="text1"/>
          <w:sz w:val="16"/>
          <w:szCs w:val="16"/>
        </w:rPr>
        <w:softHyphen/>
        <w:t>трест для утверждения.</w:t>
      </w:r>
    </w:p>
    <w:p w14:paraId="0166395E" w14:textId="77777777" w:rsidR="00FF60B1" w:rsidRPr="00507A31" w:rsidRDefault="00FF60B1" w:rsidP="00507A31">
      <w:pPr>
        <w:jc w:val="both"/>
        <w:rPr>
          <w:color w:val="000000" w:themeColor="text1"/>
          <w:sz w:val="16"/>
          <w:szCs w:val="16"/>
        </w:rPr>
      </w:pPr>
      <w:r w:rsidRPr="00507A31">
        <w:rPr>
          <w:color w:val="000000" w:themeColor="text1"/>
          <w:sz w:val="16"/>
          <w:szCs w:val="16"/>
        </w:rPr>
        <w:t>При рассмотрении представленных вари</w:t>
      </w:r>
      <w:r w:rsidRPr="00507A31">
        <w:rPr>
          <w:color w:val="000000" w:themeColor="text1"/>
          <w:sz w:val="16"/>
          <w:szCs w:val="16"/>
        </w:rPr>
        <w:softHyphen/>
        <w:t>антов предпочтение отдавали биплану, с ко</w:t>
      </w:r>
      <w:r w:rsidRPr="00507A31">
        <w:rPr>
          <w:color w:val="000000" w:themeColor="text1"/>
          <w:sz w:val="16"/>
          <w:szCs w:val="16"/>
        </w:rPr>
        <w:softHyphen/>
        <w:t>торым предполагалось улучшение маневрен</w:t>
      </w:r>
      <w:r w:rsidRPr="00507A31">
        <w:rPr>
          <w:color w:val="000000" w:themeColor="text1"/>
          <w:sz w:val="16"/>
          <w:szCs w:val="16"/>
        </w:rPr>
        <w:softHyphen/>
        <w:t>ности за счет уменьшения размеров, ведущих к уменьшению моментов инерции.</w:t>
      </w:r>
    </w:p>
    <w:p w14:paraId="49B38F55" w14:textId="77777777" w:rsidR="00FF60B1" w:rsidRPr="00507A31" w:rsidRDefault="00FF60B1" w:rsidP="00507A31">
      <w:pPr>
        <w:jc w:val="both"/>
        <w:rPr>
          <w:color w:val="000000" w:themeColor="text1"/>
          <w:sz w:val="16"/>
          <w:szCs w:val="16"/>
        </w:rPr>
      </w:pPr>
      <w:r w:rsidRPr="00507A31">
        <w:rPr>
          <w:color w:val="000000" w:themeColor="text1"/>
          <w:sz w:val="16"/>
          <w:szCs w:val="16"/>
        </w:rPr>
        <w:t>Проектные работы по И-7 Поликарпова продолжались в течение 1930 г. Осенью, при составлении плана опытного строительства на 1930-1933 гг. от создания этого истреби</w:t>
      </w:r>
      <w:r w:rsidRPr="00507A31">
        <w:rPr>
          <w:color w:val="000000" w:themeColor="text1"/>
          <w:sz w:val="16"/>
          <w:szCs w:val="16"/>
        </w:rPr>
        <w:softHyphen/>
        <w:t>теля окончательно отказались со следующей формулировкой: «Самолет И-7 М-17 заменя</w:t>
      </w:r>
      <w:r w:rsidRPr="00507A31">
        <w:rPr>
          <w:color w:val="000000" w:themeColor="text1"/>
          <w:sz w:val="16"/>
          <w:szCs w:val="16"/>
        </w:rPr>
        <w:softHyphen/>
        <w:t>ется лицензионным НД-37 М-17» (12295).</w:t>
      </w:r>
    </w:p>
    <w:p w14:paraId="088E94F6" w14:textId="77777777" w:rsidR="00FF60B1" w:rsidRPr="00507A31" w:rsidRDefault="00FF60B1" w:rsidP="00507A31">
      <w:pPr>
        <w:jc w:val="both"/>
        <w:rPr>
          <w:color w:val="000000" w:themeColor="text1"/>
          <w:sz w:val="16"/>
          <w:szCs w:val="16"/>
        </w:rPr>
      </w:pPr>
    </w:p>
    <w:p w14:paraId="60F561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г. была образована ВТ-11 (Группа ВТ-11 (внутренняя тюрьма) ОГПУ, ЦКБ-39 ОГПУ при заводе № 39 /г. Москва ул. Бутырская/). 15.05.1930 г. вышел циркуляр председателя ВСНХ об организации особых КБ ОГПУ и привлечении к работе в них осужденных специалистов. Располагалась сначала в Бутырской тюрьме. В 05.1930 г. переведена на завод № 39 и преобразована в ЦКБ-39 ОГПУ. Имело неофициальное название «7-й ангар».</w:t>
      </w:r>
    </w:p>
    <w:p w14:paraId="40AD5E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Работали арестованные авиаконструкторы: Д.П. Григорович, Н.Н.Поликарпов, вооруженец А.В. Надашкевич, Б.Ф. Гончаров, П.М. Крейсон, И.М. Косткин,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JI</w:t>
      </w:r>
      <w:r w:rsidRPr="00507A31">
        <w:rPr>
          <w:color w:val="000000" w:themeColor="text1"/>
          <w:sz w:val="16"/>
          <w:szCs w:val="16"/>
        </w:rPr>
        <w:t>. Корвин-Кербер. Созданы: истребитель И-5 (первый полет 29.04.1930 г.), бомбардировщик ТБ-5.</w:t>
      </w:r>
    </w:p>
    <w:p w14:paraId="5601F3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 Григорович, оставаясь арестованным, был неофициальным техническим руководителем ЦКБ. Получив задание на создание И-</w:t>
      </w:r>
      <w:r w:rsidRPr="00507A31">
        <w:rPr>
          <w:color w:val="000000" w:themeColor="text1"/>
          <w:sz w:val="16"/>
          <w:szCs w:val="16"/>
          <w:lang w:val="en-US"/>
        </w:rPr>
        <w:t>Z</w:t>
      </w:r>
      <w:r w:rsidRPr="00507A31">
        <w:rPr>
          <w:color w:val="000000" w:themeColor="text1"/>
          <w:sz w:val="16"/>
          <w:szCs w:val="16"/>
        </w:rPr>
        <w:t>, он организовал группу конструкторов, с которой работал в ангаре № 7 завода № 39. Работали: А.Н. Седельников, В.Л. Корвин, (1930-31 г.)- А.Н. Надашкевич, Е.И. Майоранов, В.Д. Яровицкий,  Г.Е. Чупилко, С.Н. Шишкин.</w:t>
      </w:r>
    </w:p>
    <w:p w14:paraId="23F5E6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Здесь работал, будучи заключенным, И.Ф. Флоров.</w:t>
      </w:r>
    </w:p>
    <w:p w14:paraId="2B907F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Заключенные по-своему расшифровывали «ВТ»- «вредители- трудящимся!».</w:t>
      </w:r>
    </w:p>
    <w:p w14:paraId="61828F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05.1931 г. был освобожден Григорович, в 07.1931 г. - Поликарпов. В том же году освобождены и награждены остальные конструкторы, </w:t>
      </w:r>
      <w:r w:rsidRPr="00507A31">
        <w:rPr>
          <w:color w:val="000000" w:themeColor="text1"/>
          <w:sz w:val="16"/>
          <w:szCs w:val="16"/>
          <w:lang w:val="en-US"/>
        </w:rPr>
        <w:t>ipynna</w:t>
      </w:r>
      <w:r w:rsidRPr="00507A31">
        <w:rPr>
          <w:color w:val="000000" w:themeColor="text1"/>
          <w:sz w:val="16"/>
          <w:szCs w:val="16"/>
        </w:rPr>
        <w:t xml:space="preserve"> влита в состав ЦКБ.</w:t>
      </w:r>
    </w:p>
    <w:p w14:paraId="68B76B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(1930 г.)- около 300 чел.</w:t>
      </w:r>
    </w:p>
    <w:p w14:paraId="5FA7A0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(1930-31 г.)- Е.С. Пауфлер, А. Г. Горяинов (11982).</w:t>
      </w:r>
    </w:p>
    <w:p w14:paraId="3CB3F9E6" w14:textId="77777777" w:rsidR="00537E5F" w:rsidRPr="00507A31" w:rsidRDefault="00537E5F" w:rsidP="00507A31">
      <w:pPr>
        <w:autoSpaceDE w:val="0"/>
        <w:autoSpaceDN w:val="0"/>
        <w:adjustRightInd w:val="0"/>
        <w:jc w:val="both"/>
        <w:rPr>
          <w:color w:val="000000" w:themeColor="text1"/>
          <w:sz w:val="16"/>
          <w:szCs w:val="16"/>
        </w:rPr>
      </w:pPr>
    </w:p>
    <w:p w14:paraId="5F86CA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первые машины У-2 поступили в Борисоглебское военное училище, а осенью того же года - в Качинское. В дальнейшем по</w:t>
      </w:r>
      <w:r w:rsidRPr="00507A31">
        <w:rPr>
          <w:color w:val="000000" w:themeColor="text1"/>
          <w:sz w:val="16"/>
          <w:szCs w:val="16"/>
        </w:rPr>
        <w:softHyphen/>
        <w:t>ставки самолетов в военные училища и строевые части, где они выполняли роль связных машин, увеличились (10667).</w:t>
      </w:r>
    </w:p>
    <w:p w14:paraId="51253A79" w14:textId="77777777" w:rsidR="00537E5F" w:rsidRPr="00507A31" w:rsidRDefault="00537E5F" w:rsidP="00507A31">
      <w:pPr>
        <w:autoSpaceDE w:val="0"/>
        <w:autoSpaceDN w:val="0"/>
        <w:adjustRightInd w:val="0"/>
        <w:jc w:val="both"/>
        <w:rPr>
          <w:color w:val="000000" w:themeColor="text1"/>
          <w:sz w:val="16"/>
          <w:szCs w:val="16"/>
        </w:rPr>
      </w:pPr>
    </w:p>
    <w:p w14:paraId="1C411E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НТК УВВС утвердил эскизный проект исполкомовского К-9, который разрабатывался с 1929 в начале И.Г.Неманом, а потом А.Я.Щербаковым (70,182).</w:t>
      </w:r>
    </w:p>
    <w:p w14:paraId="093C1FF2" w14:textId="77777777" w:rsidR="00537E5F" w:rsidRPr="00507A31" w:rsidRDefault="00537E5F" w:rsidP="00507A31">
      <w:pPr>
        <w:autoSpaceDE w:val="0"/>
        <w:autoSpaceDN w:val="0"/>
        <w:adjustRightInd w:val="0"/>
        <w:jc w:val="both"/>
        <w:rPr>
          <w:color w:val="000000" w:themeColor="text1"/>
          <w:sz w:val="16"/>
          <w:szCs w:val="16"/>
        </w:rPr>
      </w:pPr>
    </w:p>
    <w:p w14:paraId="62A23B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руководство Комсевпути заказало в Италии еще два Дорнье Валь с учетом опыта эксплуатации первой, полученной с ЧМ. Зашили турели, усилили набор и утолстили обшивку. Заказ выполнил завод Пьяджо и машины получили номера N 142 и 143. принимали И.К.Иванов и А.Д.Алексеев (штурман Чухновского) (2543,13).</w:t>
      </w:r>
    </w:p>
    <w:p w14:paraId="04D7BDCE" w14:textId="77777777" w:rsidR="00537E5F" w:rsidRPr="00507A31" w:rsidRDefault="00537E5F" w:rsidP="00507A31">
      <w:pPr>
        <w:autoSpaceDE w:val="0"/>
        <w:autoSpaceDN w:val="0"/>
        <w:adjustRightInd w:val="0"/>
        <w:jc w:val="both"/>
        <w:rPr>
          <w:color w:val="000000" w:themeColor="text1"/>
          <w:sz w:val="16"/>
          <w:szCs w:val="16"/>
        </w:rPr>
      </w:pPr>
    </w:p>
    <w:p w14:paraId="639941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февраля 1930 г. делалась малая серия М-19 из 10 экз. на заводе № 24</w:t>
      </w:r>
    </w:p>
    <w:p w14:paraId="0973D3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3B7283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12-цилиндровый, рядный У-образный, четырехтактный, водяного охлаждения, с односкоростным ПЦН;</w:t>
      </w:r>
    </w:p>
    <w:p w14:paraId="332FE4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в зависимости от модификации;</w:t>
      </w:r>
    </w:p>
    <w:p w14:paraId="4F70BE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6,4;</w:t>
      </w:r>
    </w:p>
    <w:p w14:paraId="334E4F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135/160 мм;</w:t>
      </w:r>
    </w:p>
    <w:p w14:paraId="5E451F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27,47 л;</w:t>
      </w:r>
    </w:p>
    <w:p w14:paraId="1CE4CB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6,4;</w:t>
      </w:r>
    </w:p>
    <w:p w14:paraId="106312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 с ПЦН;</w:t>
      </w:r>
    </w:p>
    <w:p w14:paraId="43DB16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вес 475 кг (без втулки винта, синхронизатора и бензонасоса). Известны следующие модификации:</w:t>
      </w:r>
    </w:p>
    <w:p w14:paraId="46EF6A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М-19 (М-19К), основной вариант мощностью 500/600 л.с. (фактиче</w:t>
      </w:r>
      <w:r w:rsidRPr="00507A31">
        <w:rPr>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507A31">
        <w:rPr>
          <w:color w:val="000000" w:themeColor="text1"/>
          <w:sz w:val="16"/>
          <w:szCs w:val="16"/>
        </w:rPr>
        <w:softHyphen/>
        <w:t>метра) крыльчаткой ПЦН.</w:t>
      </w:r>
    </w:p>
    <w:p w14:paraId="69C873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М-19а, усовершенствованный вариант мощностью 600/650 л.с. с но</w:t>
      </w:r>
      <w:r w:rsidRPr="00507A31">
        <w:rPr>
          <w:color w:val="000000" w:themeColor="text1"/>
          <w:sz w:val="16"/>
          <w:szCs w:val="16"/>
        </w:rPr>
        <w:softHyphen/>
        <w:t>вым блоком головок и измененным механизмом привода ПЦН. Про</w:t>
      </w:r>
      <w:r w:rsidRPr="00507A31">
        <w:rPr>
          <w:color w:val="000000" w:themeColor="text1"/>
          <w:sz w:val="16"/>
          <w:szCs w:val="16"/>
        </w:rPr>
        <w:softHyphen/>
        <w:t>ектировался в ИАМ в 1931 г., опытный образец не изготавливался.</w:t>
      </w:r>
    </w:p>
    <w:p w14:paraId="49FA15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1A0DF8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Планировались варианты с редуктором, двухскоростным и трехскорост-ным ПЦН.</w:t>
      </w:r>
    </w:p>
    <w:p w14:paraId="24F63A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Устанавливался на одном из опытных образцов самолета Р-5. Предла</w:t>
      </w:r>
      <w:r w:rsidRPr="00507A31">
        <w:rPr>
          <w:color w:val="000000" w:themeColor="text1"/>
          <w:sz w:val="16"/>
          <w:szCs w:val="16"/>
        </w:rPr>
        <w:softHyphen/>
        <w:t>галось также использовать его на истребителе ДИ-4 (11852).</w:t>
      </w:r>
    </w:p>
    <w:p w14:paraId="15399D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E6627E4" w14:textId="77777777" w:rsidR="00FF60B1" w:rsidRPr="00507A31" w:rsidRDefault="00FF60B1"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 феврале 1930 г. Главным конструктором ОМОС назначили Ришара. Базирование для нового конструк</w:t>
      </w:r>
      <w:r w:rsidRPr="00507A31">
        <w:rPr>
          <w:rFonts w:ascii="Times New Roman" w:hAnsi="Times New Roman" w:cs="Times New Roman"/>
          <w:b w:val="0"/>
          <w:color w:val="000000" w:themeColor="text1"/>
          <w:sz w:val="16"/>
          <w:szCs w:val="16"/>
        </w:rPr>
        <w:softHyphen/>
        <w:t>торского бюро определили на авиазаводе №22 при общем руководстве директора Ф.С. Малахова. Впрочем, новая организация в ряде документов продолжала имено</w:t>
      </w:r>
      <w:r w:rsidRPr="00507A31">
        <w:rPr>
          <w:rFonts w:ascii="Times New Roman" w:hAnsi="Times New Roman" w:cs="Times New Roman"/>
          <w:b w:val="0"/>
          <w:color w:val="000000" w:themeColor="text1"/>
          <w:sz w:val="16"/>
          <w:szCs w:val="16"/>
        </w:rPr>
        <w:softHyphen/>
        <w:t>ваться ОПО-4.</w:t>
      </w:r>
    </w:p>
    <w:p w14:paraId="10153ECE" w14:textId="77777777" w:rsidR="00FF60B1" w:rsidRPr="00507A31" w:rsidRDefault="00FF60B1" w:rsidP="00507A31">
      <w:pPr>
        <w:jc w:val="both"/>
        <w:rPr>
          <w:color w:val="000000" w:themeColor="text1"/>
          <w:sz w:val="16"/>
          <w:szCs w:val="16"/>
        </w:rPr>
      </w:pPr>
      <w:r w:rsidRPr="00507A31">
        <w:rPr>
          <w:color w:val="000000" w:themeColor="text1"/>
          <w:sz w:val="16"/>
          <w:szCs w:val="16"/>
        </w:rPr>
        <w:t>Несмотря на приведенный обширный план разрабатываемых проектов, уже 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Эмэ Ришар вернулся на родину (12609).</w:t>
      </w:r>
    </w:p>
    <w:p w14:paraId="1A172AAC" w14:textId="77777777" w:rsidR="00FF60B1" w:rsidRPr="00507A31" w:rsidRDefault="00FF60B1" w:rsidP="00507A31">
      <w:pPr>
        <w:jc w:val="both"/>
        <w:rPr>
          <w:color w:val="000000" w:themeColor="text1"/>
          <w:sz w:val="16"/>
          <w:szCs w:val="16"/>
        </w:rPr>
      </w:pPr>
    </w:p>
    <w:p w14:paraId="05CCC7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года Отдел специального назначения, который с 1928 года находился в одном из помещений зданий ГУМа, переехал в новое помещение – в здание бывш. церкви (Черниговский пер.). В марте 1931 года ОСН был переведен в новое задние Наркомтяжпрома – Китайский проезд. Осенью 1931 года ОСН в полном составе в результате реорганизации Гипромеза выделился в самостоятельную проектную организацию под название Московское отделение Гипроспецмета. Основное производство Гипроспецмета и управление находилось в Ленинграде. 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1BFD0A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Институт Гипроавиа возник в результате слияния двух групп:</w:t>
      </w:r>
    </w:p>
    <w:p w14:paraId="5597F6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самолетной группы Гипроспецмета</w:t>
      </w:r>
    </w:p>
    <w:p w14:paraId="41E575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группы сотрудников ВАО.</w:t>
      </w:r>
    </w:p>
    <w:p w14:paraId="1AD63F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Новому проектному институту было отведено помещение на ул. Володарского, 20.</w:t>
      </w:r>
    </w:p>
    <w:p w14:paraId="28414D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6C565A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47CC7B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0A9F6438" w14:textId="77777777" w:rsidR="00537E5F" w:rsidRPr="00507A31" w:rsidRDefault="00537E5F" w:rsidP="00507A31">
      <w:pPr>
        <w:autoSpaceDE w:val="0"/>
        <w:autoSpaceDN w:val="0"/>
        <w:adjustRightInd w:val="0"/>
        <w:jc w:val="both"/>
        <w:rPr>
          <w:color w:val="000000" w:themeColor="text1"/>
          <w:sz w:val="16"/>
          <w:szCs w:val="16"/>
        </w:rPr>
      </w:pPr>
    </w:p>
    <w:p w14:paraId="1FD462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феврале 1930 г. после того, как 3 января 1930 г. существовавшие до этого добровольные об</w:t>
      </w:r>
      <w:r w:rsidRPr="00507A31">
        <w:rPr>
          <w:color w:val="000000" w:themeColor="text1"/>
          <w:sz w:val="16"/>
          <w:szCs w:val="16"/>
        </w:rPr>
        <w:softHyphen/>
        <w:t>щества "Добролет", "Укрвоздухпуть" и "Закавиа" объединились в одно общество "Добредет", было создано специальное подразделение "Добролета" (во главе с А,И.Путиловым), которое было возложено разработка и строительство опытного цельнометаллического самолета (11114).</w:t>
      </w:r>
    </w:p>
    <w:p w14:paraId="31C659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169E2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г. специально для Комсеверпути в Алтенрейне заказали Дорнье "Валь" СССР-Н2 - Заводской № 142, двигатели - 2 BMW-VI, дата присвоения опознавательного знака с литерой "Н" - 08.04.31 г., затем приемщики - летчик-наблюдатель Алексеев и механик Шелагин отправились в Марина Ди Пиза, где приняли самолет (а также и ДВ №143, впоследствии СССР-НЗ). Машина имела усиленную конструкцию, более толстую обшивку хвостовой части фюзеляжа, люк в носовой части оборудовали съемной крышкой и козырьком. Кроме того, на ней предусмотрели аварийный слив топлива в полете и установку радиопеленгатора. Отсутствовали бортовые пилоны для вооружения, на этом месте оборудовали дополнительные иллюминаторы.</w:t>
      </w:r>
    </w:p>
    <w:p w14:paraId="7630FC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ДВ № 142 перегнал из Италии в Севастополь 29-30 июля 1930 г. итальянец де Бри- ганти совместно с А.Д.Алексеевым. Далее самолет, получивший название "Комсевер- путь-2", направился на остров Колгуев через Таганрог, Самару и Архангельск для участия в ледовых разведках. Командир экипажа - И.К.Иванов. До </w:t>
      </w:r>
      <w:r w:rsidRPr="00507A31">
        <w:rPr>
          <w:color w:val="000000" w:themeColor="text1"/>
          <w:sz w:val="16"/>
          <w:szCs w:val="16"/>
        </w:rPr>
        <w:lastRenderedPageBreak/>
        <w:t>окончания навигации "Комсеверпуть-2" выполнил 12 полетов, покрыв в общей сложности 10600 км, базировался на острове Вайгач, в бухте Варнека и на острове Диксон (11970).</w:t>
      </w:r>
    </w:p>
    <w:p w14:paraId="50554C8B" w14:textId="77777777" w:rsidR="00537E5F" w:rsidRPr="00507A31" w:rsidRDefault="00537E5F" w:rsidP="00507A31">
      <w:pPr>
        <w:autoSpaceDE w:val="0"/>
        <w:autoSpaceDN w:val="0"/>
        <w:adjustRightInd w:val="0"/>
        <w:jc w:val="both"/>
        <w:rPr>
          <w:color w:val="000000" w:themeColor="text1"/>
          <w:sz w:val="16"/>
          <w:szCs w:val="16"/>
        </w:rPr>
      </w:pPr>
    </w:p>
    <w:p w14:paraId="67D90BC7"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rPr>
        <w:t>В феврале 1930 года заседание комитета, которое открыл Ян Анвельт, сменивший Зарзара на посту главного инспектора ГВФ:</w:t>
      </w:r>
    </w:p>
    <w:p w14:paraId="0CA5C74F"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bdr w:val="none" w:sz="0" w:space="0" w:color="auto" w:frame="1"/>
          <w:shd w:val="clear" w:color="auto" w:fill="FFFFFF"/>
        </w:rPr>
        <w:t>Комитет по дирижаблестроению на первых же шагах встретился с запросом: чем дирижабли будут заниматься? И есть такие скептики, которые полагают, что дирижаблям у нас нечего делать; что если бы они были построены, то применения не нашли бы. &lt;…&gt;</w:t>
      </w:r>
    </w:p>
    <w:p w14:paraId="4EDBD865"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bdr w:val="none" w:sz="0" w:space="0" w:color="auto" w:frame="1"/>
          <w:shd w:val="clear" w:color="auto" w:fill="FFFFFF"/>
        </w:rPr>
        <w:t>Что это за совещание? Мы сейчас будем перерабатывать пятилетку развития гражданской авиации, и мы хотим внести в план и дирижаблестроение. Но у многих и, в частности, в президиуме комитета возник вопрос: а для чего же дирижабли нужны? Оказалось, что есть товарищи, которые спрашивают, был ли вопрос где-то проработан. Я очень молодой воздухоплаватель, и этого не знаю, если такие материалы есть, то, признаться, комитет их не имеет.</w:t>
      </w:r>
    </w:p>
    <w:p w14:paraId="63098B75"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rPr>
        <w:t>Из вступительного слова следовало, что тезис о регулярных пассажирских сообщениях как главном предназначении дирижаблей ни у кого не вызывал сомнений и обсуждению не подлежал. Вопрос заключался лишь в том, когда именно в стране появится достаточное для этого количество кораблей. Оставалось выяснить другие возможные области их гражданского применения, и здесь по ряду пунктов обнаружилось заметное различие позиций.</w:t>
      </w:r>
    </w:p>
    <w:p w14:paraId="0037EF82"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rPr>
        <w:t>Так, оптимисты говорили о преимуществах воздушных кораблей в деле борьбы с лесными вредителями, в ледовой разведке, в аэрофотосъёмке. Скептики возражали: маленькие, быстрые и недорогие в эксплуатации самолёты справятся с этими задачами лучше.</w:t>
      </w:r>
    </w:p>
    <w:p w14:paraId="7CEC0632"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rPr>
        <w:t>Первые доказывали выгоды применения дирижабля для наблюдений на зверобойных промыслах, вторые парировали: </w:t>
      </w:r>
      <w:r w:rsidRPr="00507A31">
        <w:rPr>
          <w:color w:val="0070C0"/>
          <w:sz w:val="16"/>
          <w:szCs w:val="16"/>
          <w:bdr w:val="none" w:sz="0" w:space="0" w:color="auto" w:frame="1"/>
          <w:shd w:val="clear" w:color="auto" w:fill="FFFFFF"/>
        </w:rPr>
        <w:t>«…если бы дирижабль представлял какую-нибудь прелесть в этом отношении, то за границей давно бы уже применяли его, а там всё на самолётах»</w:t>
      </w:r>
      <w:r w:rsidRPr="00507A31">
        <w:rPr>
          <w:color w:val="0070C0"/>
          <w:sz w:val="16"/>
          <w:szCs w:val="16"/>
        </w:rPr>
        <w:t>.</w:t>
      </w:r>
    </w:p>
    <w:p w14:paraId="05B6A04F"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rPr>
        <w:t>Среди приведённых «заграничных» аргументов встречались довольно любопытные:</w:t>
      </w:r>
    </w:p>
    <w:p w14:paraId="4A30A707"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bdr w:val="none" w:sz="0" w:space="0" w:color="auto" w:frame="1"/>
          <w:shd w:val="clear" w:color="auto" w:fill="FFFFFF"/>
        </w:rPr>
        <w:t>Если за границей какая-то шоколадная фирма «Трумп» считает целесообразным заказывать и строить дирижабли только для того, чтобы написать на них: «Шоколад – Трумп», то, следовательно, она извлекает отсюда прибыль</w:t>
      </w:r>
      <w:bookmarkStart w:id="25" w:name="read_n_13_back"/>
      <w:r w:rsidRPr="00507A31">
        <w:rPr>
          <w:color w:val="0070C0"/>
          <w:sz w:val="16"/>
          <w:szCs w:val="16"/>
          <w:u w:val="single"/>
          <w:bdr w:val="none" w:sz="0" w:space="0" w:color="auto" w:frame="1"/>
          <w:shd w:val="clear" w:color="auto" w:fill="FFFFFF"/>
        </w:rPr>
        <w:t>[13]</w:t>
      </w:r>
      <w:bookmarkEnd w:id="25"/>
      <w:r w:rsidRPr="00507A31">
        <w:rPr>
          <w:color w:val="0070C0"/>
          <w:sz w:val="16"/>
          <w:szCs w:val="16"/>
          <w:bdr w:val="none" w:sz="0" w:space="0" w:color="auto" w:frame="1"/>
          <w:shd w:val="clear" w:color="auto" w:fill="FFFFFF"/>
        </w:rPr>
        <w:t>. И у нас можно было бы рекламировать лозунги пятилетки, займов и т. д.</w:t>
      </w:r>
    </w:p>
    <w:p w14:paraId="47849773"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rPr>
        <w:t>Единственное явно отрицательное суждение высказал авиаработник Иван Гроза, который вскоре был назначен начальником НИИ ГВФ:</w:t>
      </w:r>
    </w:p>
    <w:p w14:paraId="44B303CC"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bdr w:val="none" w:sz="0" w:space="0" w:color="auto" w:frame="1"/>
          <w:shd w:val="clear" w:color="auto" w:fill="FFFFFF"/>
        </w:rPr>
        <w:t>Говорить относительно того, что можно сейчас уже ставить вопрос о массовом использовании дирижаблей у нас в системе народного хозяйства… нельзя, ибо достаточно сказать о том, что вся материальная база [дирижаблестроения. – А. Б.] требует колоссальнейших затрат. &lt;…&gt;</w:t>
      </w:r>
    </w:p>
    <w:p w14:paraId="22A58DF7"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bdr w:val="none" w:sz="0" w:space="0" w:color="auto" w:frame="1"/>
          <w:shd w:val="clear" w:color="auto" w:fill="FFFFFF"/>
        </w:rPr>
        <w:t>Я не оптимистически смотрю на применение дирижаблей у нас в Советском Союзе, исходя из основ достаточного развития у нас авиации, потому что уже на сегодняшний день можно a priori ставить вопрос: ведь Нобиле спасал ледокол совместно с самолётом, дирижабль спасал не дирижабль, а самолёт с ледоколом.</w:t>
      </w:r>
    </w:p>
    <w:p w14:paraId="444402F0"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rPr>
        <w:t>Однако его никто не поддержал, и по итогам совещания скептики оказались в меньшинстве. Впрочем, они и не упорствовали: общественное мнение уже явно склонилось в пользу дирижаблей. Сошлись на том, что строить их надо, и как можно быстрей, а председательствующий призвал коллег перейти от рассуждений к делу и помочь убедить в этом правительство.</w:t>
      </w:r>
    </w:p>
    <w:p w14:paraId="00319299"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bdr w:val="none" w:sz="0" w:space="0" w:color="auto" w:frame="1"/>
          <w:shd w:val="clear" w:color="auto" w:fill="FFFFFF"/>
        </w:rPr>
        <w:t>Нас спросят: для чего вам дирижабли нужны? Было бы смешно, если бы мы сказали, что вообще это полезная вещь; потребуется экономическое обоснование. На сегодняшнем совещании выявилось, что есть бесспорно ряд областей, где применение дирижабля целесообразно, например, исследование отдалённых местностей. У нас в Союзе имеются колоссальные пространства, где нет никаких путей сообщения, для исследования этих областей дирижабль имел бы значение. Затем, завоз и вывоз грузов… Перевозка экспедиций, смена работников на метеорологических станциях и пр.</w:t>
      </w:r>
    </w:p>
    <w:p w14:paraId="08D1B028" w14:textId="77777777" w:rsidR="00287AFF" w:rsidRPr="00507A31" w:rsidRDefault="00287AFF" w:rsidP="00507A31">
      <w:pPr>
        <w:shd w:val="clear" w:color="auto" w:fill="FFFFFF"/>
        <w:jc w:val="both"/>
        <w:textAlignment w:val="baseline"/>
        <w:rPr>
          <w:color w:val="0070C0"/>
          <w:sz w:val="16"/>
          <w:szCs w:val="16"/>
        </w:rPr>
      </w:pPr>
      <w:r w:rsidRPr="00507A31">
        <w:rPr>
          <w:color w:val="0070C0"/>
          <w:sz w:val="16"/>
          <w:szCs w:val="16"/>
          <w:bdr w:val="none" w:sz="0" w:space="0" w:color="auto" w:frame="1"/>
          <w:shd w:val="clear" w:color="auto" w:fill="FFFFFF"/>
        </w:rPr>
        <w:t>Я думаю, что энтузиасты воздухоплавательного дела помогут нашему воздушному флоту. Надо было бы дать более подробное экономическое обоснование этому делу, чтобы мы могли доказать в Госплане, в СТО, что управляемое воздухоплавание дело стоящее</w:t>
      </w:r>
      <w:bookmarkStart w:id="26" w:name="read_n_14_back"/>
      <w:r w:rsidRPr="00507A31">
        <w:rPr>
          <w:color w:val="0070C0"/>
          <w:sz w:val="16"/>
          <w:szCs w:val="16"/>
          <w:bdr w:val="none" w:sz="0" w:space="0" w:color="auto" w:frame="1"/>
          <w:shd w:val="clear" w:color="auto" w:fill="FFFFFF"/>
        </w:rPr>
        <w:t xml:space="preserve"> (20466).</w:t>
      </w:r>
      <w:bookmarkEnd w:id="26"/>
    </w:p>
    <w:p w14:paraId="6F5FA753" w14:textId="77777777" w:rsidR="00287AFF" w:rsidRPr="00507A31" w:rsidRDefault="00287AFF" w:rsidP="00507A31">
      <w:pPr>
        <w:jc w:val="both"/>
        <w:rPr>
          <w:color w:val="0070C0"/>
          <w:sz w:val="16"/>
          <w:szCs w:val="16"/>
          <w:shd w:val="clear" w:color="auto" w:fill="FFFFFF"/>
        </w:rPr>
      </w:pPr>
    </w:p>
    <w:p w14:paraId="736647A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5D71B92" w14:textId="77777777" w:rsidR="00537E5F" w:rsidRPr="00507A31" w:rsidRDefault="00537E5F" w:rsidP="00507A31">
      <w:pPr>
        <w:autoSpaceDE w:val="0"/>
        <w:autoSpaceDN w:val="0"/>
        <w:adjustRightInd w:val="0"/>
        <w:jc w:val="both"/>
        <w:rPr>
          <w:iCs/>
          <w:color w:val="000000" w:themeColor="text1"/>
          <w:sz w:val="16"/>
          <w:szCs w:val="16"/>
        </w:rPr>
      </w:pPr>
    </w:p>
    <w:p w14:paraId="615A5DBD" w14:textId="77777777" w:rsidR="00C97C49" w:rsidRPr="00507A31" w:rsidRDefault="00C97C49" w:rsidP="00507A31">
      <w:pPr>
        <w:jc w:val="both"/>
        <w:rPr>
          <w:rFonts w:eastAsia="TimesNewRomanPSMT"/>
          <w:color w:val="0070C0"/>
          <w:sz w:val="16"/>
          <w:szCs w:val="16"/>
        </w:rPr>
      </w:pPr>
      <w:r w:rsidRPr="00507A31">
        <w:rPr>
          <w:color w:val="0070C0"/>
          <w:sz w:val="16"/>
          <w:szCs w:val="16"/>
        </w:rPr>
        <w:t>В феврале 1930 г. с завода №7 на НИАП были доставлены английская и французская системы с комплектами принадлежности, а также ящики принадлежности и запасных частей. В июле – августе 1930 г. заводом были сданы приемке оставшиеся детали запчастей и принадлежностей. Опытные образцы колец для ручной подноски длинных и коротких мин 240-мм минометов, изготавливаемые на НИАПе, были готовы к началу июля 1930 г., однако их испытания выявили ряд конструктивных недочетов, после чего кольца были направлены на завод №7 для доработки, которая была закончена в октябре 1930 г. Их испытания были проведены в ноябре 1930 г., усовершенствованная заводом конструкция колец нареканий не вызвала (20074).</w:t>
      </w:r>
    </w:p>
    <w:p w14:paraId="62CB0109" w14:textId="77777777" w:rsidR="00C97C49" w:rsidRPr="00507A31" w:rsidRDefault="00C97C49" w:rsidP="00507A31">
      <w:pPr>
        <w:jc w:val="both"/>
        <w:rPr>
          <w:rFonts w:eastAsia="TimesNewRomanPSMT"/>
          <w:color w:val="0070C0"/>
          <w:sz w:val="16"/>
          <w:szCs w:val="16"/>
        </w:rPr>
      </w:pPr>
    </w:p>
    <w:p w14:paraId="184984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феврале 1930 г. опытный обра</w:t>
      </w:r>
      <w:r w:rsidRPr="00507A31">
        <w:rPr>
          <w:color w:val="000000" w:themeColor="text1"/>
          <w:sz w:val="16"/>
          <w:szCs w:val="16"/>
        </w:rPr>
        <w:softHyphen/>
        <w:t>зец танка Т-12 был окончательно принят, но лишь в начале апреля начались его заводские испытания (10733,86).</w:t>
      </w:r>
    </w:p>
    <w:p w14:paraId="576C57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26E23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после завершения заводских начались официальные испытания танка Т-12 (9154). Поскольку выполненный образец танка Т-12 по сравнению с проектом получился тяжелее (20т вместо 16т) и обладал к тому же еще рядом недостатков, коллектив танковой группы (к этому времени численность ее возросла уже в два раза) срочно приступил к его переделке. Существенная переработка конструкции танка Т-12 с учетом результатов испытаний привела практически к созданию проекта новой машины. Кроме увеличения параметров подвижности (уменьшены вес и удельное давление, увеличены мощность двигателя и скорости движения), в лобовой части корпуса установлен четвертый пулемет, слева от механика-водителя, и оборудовано место стрелка. Таким образом, оружие в танке стало располагаться в три яруса, что явилось новшеством в танкостроении. Новому танку была присвоена марка Т-24 и он стал первой боевой машиной, полностью разработанной силами молодого танкового конструкторского коллектива ХПЗ (9154).</w:t>
      </w:r>
    </w:p>
    <w:p w14:paraId="06512666" w14:textId="77777777" w:rsidR="00537E5F" w:rsidRPr="00507A31" w:rsidRDefault="00537E5F" w:rsidP="00507A31">
      <w:pPr>
        <w:autoSpaceDE w:val="0"/>
        <w:autoSpaceDN w:val="0"/>
        <w:adjustRightInd w:val="0"/>
        <w:jc w:val="both"/>
        <w:rPr>
          <w:color w:val="000000" w:themeColor="text1"/>
          <w:sz w:val="16"/>
          <w:szCs w:val="16"/>
        </w:rPr>
      </w:pPr>
    </w:p>
    <w:p w14:paraId="05A118E6" w14:textId="77777777" w:rsidR="00C97C49" w:rsidRPr="00507A31" w:rsidRDefault="00C97C49" w:rsidP="00507A31">
      <w:pPr>
        <w:jc w:val="both"/>
        <w:rPr>
          <w:color w:val="0070C0"/>
          <w:sz w:val="16"/>
          <w:szCs w:val="16"/>
          <w:shd w:val="clear" w:color="auto" w:fill="FFFFFF"/>
        </w:rPr>
      </w:pPr>
      <w:r w:rsidRPr="00507A31">
        <w:rPr>
          <w:color w:val="0070C0"/>
          <w:sz w:val="16"/>
          <w:szCs w:val="16"/>
          <w:shd w:val="clear" w:color="auto" w:fill="FFFFFF"/>
        </w:rPr>
        <w:t>В феврале 1930 года руководство УММ (Управление Механизации и Моторизации), новая структура, которая была уже независимой от артиллерии (а раньше танки относились к артиллерии), потребовало снизить массу танка Т-12. Сделать это можно было за счет снижения толщины брони до 20 мм. Уже в марте Ижорский завод уведомили о грядущем снижении толщины брони, а в апреле 1930 года появился переработанный проект Т-12, который получил индекс Т-24. В целом это был тот же Т-12, но боевая масса оценивалась уже в 18,5 тонн. При мощности мотора в 250 л.с. максимальная скорость составляла 22 км/ч. После долгих доводок по машине ее, наконец, 5 ноября 1930 года было принято решение о запуске машины в серию. Сегодня как раз исполнилось 90 лет с этой даты (20203).</w:t>
      </w:r>
    </w:p>
    <w:p w14:paraId="1044DDF0" w14:textId="77777777" w:rsidR="00C97C49" w:rsidRPr="00507A31" w:rsidRDefault="00C97C49" w:rsidP="00507A31">
      <w:pPr>
        <w:jc w:val="both"/>
        <w:rPr>
          <w:color w:val="0070C0"/>
          <w:sz w:val="16"/>
          <w:szCs w:val="16"/>
          <w:shd w:val="clear" w:color="auto" w:fill="FFFFFF"/>
        </w:rPr>
      </w:pPr>
    </w:p>
    <w:p w14:paraId="3D03045F" w14:textId="77777777" w:rsidR="00C97C49" w:rsidRPr="00507A31" w:rsidRDefault="00C97C49" w:rsidP="00507A31">
      <w:pPr>
        <w:jc w:val="both"/>
        <w:rPr>
          <w:color w:val="0070C0"/>
          <w:sz w:val="16"/>
          <w:szCs w:val="16"/>
        </w:rPr>
      </w:pPr>
      <w:r w:rsidRPr="00507A31">
        <w:rPr>
          <w:color w:val="0070C0"/>
          <w:sz w:val="16"/>
          <w:szCs w:val="16"/>
        </w:rPr>
        <w:t>По состоянию на февраль 1930 года сроком изготовления опытного образца танкетки Т-23 с корпусом из конструкционной значился март 1931 года. При этом опытный образец стоил 100000 рублей. Естественно, серийная машина получалась сильно дешевле, но как-то многовато для танкетки.</w:t>
      </w:r>
    </w:p>
    <w:p w14:paraId="37CB9597" w14:textId="77777777" w:rsidR="00C97C49" w:rsidRPr="00507A31" w:rsidRDefault="00C97C49" w:rsidP="00507A31">
      <w:pPr>
        <w:jc w:val="both"/>
        <w:rPr>
          <w:color w:val="0070C0"/>
          <w:sz w:val="16"/>
          <w:szCs w:val="16"/>
        </w:rPr>
      </w:pPr>
      <w:r w:rsidRPr="00507A31">
        <w:rPr>
          <w:color w:val="0070C0"/>
          <w:sz w:val="16"/>
          <w:szCs w:val="16"/>
        </w:rPr>
        <w:t>Изначально боевая масса Т-23 оценивалась в 3180 кг, но далее стало понятно, что этот параметр выдержать не удастся. Даже при толщине лба 10 мм и бортов 6 мм масса продолжала расти. Поэтому вскоре проект разделился на два. Базовый вариант Т-23, оснащенный башней кругового вращения, имел боевую массу 3750 кг. Таким образом, он уже приблизился по массе к английским "патрульным" танкам. Второй вариант, Т-23, который не имел башни, получался легче - 3400 кг. Но выбрали явно первую версию (22492).</w:t>
      </w:r>
    </w:p>
    <w:p w14:paraId="18369CF9" w14:textId="77777777" w:rsidR="00C97C49" w:rsidRPr="00507A31" w:rsidRDefault="00C97C49" w:rsidP="00507A31">
      <w:pPr>
        <w:jc w:val="both"/>
        <w:rPr>
          <w:rFonts w:eastAsia="TimesNewRomanPSMT"/>
          <w:color w:val="0070C0"/>
          <w:sz w:val="16"/>
          <w:szCs w:val="16"/>
        </w:rPr>
      </w:pPr>
    </w:p>
    <w:p w14:paraId="723AD3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февралю 1930 года была закончена общая компоновка танка Дыренкова Д-4 после чего приступили к изготовлению рабочих чертежей. Согласно проекту это был 12-тонный танк, защищенный 15-20-мм броней, вооруженный двумя 45-мм пушками Соколова и четырьмя пулеметами ДТ. Вооружение размещалось в двух башнях (с углами обстрела в 270 градусов у каждой) и передней части корпуса. Но самой оригинальной частью Д-4 являлась его ходовая часть - так как он задумывался конструктором как "танк-вездеход", предполагалось использование колесно-гусеничного движителя. Гусеничный ход состоял из ведущего (звездочка) и направляющего (ленивец) колес и трех сдвоенных опорных катков большого диаметра (на борт) без поддерживающих роликов. В качестве элементов подвески использовались горизонтальные пластинчатые рессоры автомобильного типа. Каждый трак гусеницы склепывался из двух половинок - нижней штампованной и верхней литой. Снаружи вся ходовая часть закрывалась экраном. Между экраном и корпусом танка монтировалась массивная клепаная стальная коробка, на которой крепились опорные катки вместе с рессорами. Колесный ход состоял из двух пар автомобильных колес, установленных с внешней стороны экрана на осях ленивца и звездочки. Привод осуществлялся на задние колеса, а передняя пара была управляемой. Переход с гусениц на колеса (и обратно) осуществлялся при помощи двух домкратов с приводом от двигателя танка, которыми поднималась (или опускалась) клепаная коробка с опорными катками. Таким образом танк вставал на автомобильные колеса (или на гусеницы), смонтированные на осях ленивца и звездочки. Кроме того, в передней и задней части танка под днищем монтировались железнодорожные скаты. Благодаря им Д-4 мог самостоятельно передвигаться по рельсам, превращаясь таким образом в бронедрезину, а для форсирования водных преград машина оснащалась оборудованием для подводного хода. В качестве силовой установки использовалась пара импортных автомобильных двигателей "Гергулес" мощностью по 105 л.с. каждый, работавших на общую коробку перемены передач. Управление танком осуществлялось при помощи гидравлических усилителей, а благодаря установки реверса Д-4 мог передвигаться вперед и назад с одинаковой скоростью. Механик-водитель использовал для наблюдения стробоскопический прибор. Из-за высокой сложности, а главным образом по вине самого Дыренкова, работа по изготовлению Д-4 затянулась. Дело в том, что Дыренков сам не мог сделать необходимых расчетов по танку (от помощи инженеров, выделенных в его КБ, он категорически отказался), поэтому многие вещи он делал "на глазок, по наитию". Кроме того, конструктор постоянно отвлекался для разработки своих очередных изобретений, не успев закончить начатое. В результате одни и те же чертежи переделывались по нескольку раз (10291).</w:t>
      </w:r>
    </w:p>
    <w:p w14:paraId="55DD050A" w14:textId="77777777" w:rsidR="00537E5F" w:rsidRPr="00507A31" w:rsidRDefault="00537E5F" w:rsidP="00507A31">
      <w:pPr>
        <w:autoSpaceDE w:val="0"/>
        <w:autoSpaceDN w:val="0"/>
        <w:adjustRightInd w:val="0"/>
        <w:jc w:val="both"/>
        <w:rPr>
          <w:color w:val="000000" w:themeColor="text1"/>
          <w:sz w:val="16"/>
          <w:szCs w:val="16"/>
        </w:rPr>
      </w:pPr>
    </w:p>
    <w:p w14:paraId="1B1744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 феврале 1930 г. состоялась защита проекта самоходной 76,2-мм пушки со</w:t>
      </w:r>
      <w:r w:rsidRPr="00507A31">
        <w:rPr>
          <w:color w:val="000000" w:themeColor="text1"/>
          <w:sz w:val="16"/>
          <w:szCs w:val="16"/>
        </w:rPr>
        <w:softHyphen/>
        <w:t>провождения мехчастей на базе малого танка Т-18 и бро</w:t>
      </w:r>
      <w:r w:rsidRPr="00507A31">
        <w:rPr>
          <w:color w:val="000000" w:themeColor="text1"/>
          <w:sz w:val="16"/>
          <w:szCs w:val="16"/>
        </w:rPr>
        <w:softHyphen/>
        <w:t>нированного трактора-транспортера к ней выполненного конструктором АНИИ К.М. Иванов по заказу Управления.механизации и моторизации (УММ) РККА, ко</w:t>
      </w:r>
      <w:r w:rsidRPr="00507A31">
        <w:rPr>
          <w:color w:val="000000" w:themeColor="text1"/>
          <w:sz w:val="16"/>
          <w:szCs w:val="16"/>
        </w:rPr>
        <w:softHyphen/>
        <w:t>торый был сочтен удовлетворительным, однако, по мне</w:t>
      </w:r>
      <w:r w:rsidRPr="00507A31">
        <w:rPr>
          <w:color w:val="000000" w:themeColor="text1"/>
          <w:sz w:val="16"/>
          <w:szCs w:val="16"/>
        </w:rPr>
        <w:softHyphen/>
        <w:t>нию членов приемочной комиссии, перевозимого запаса выстрелов (4—6 шт.) было мало не только для проведения боя, но даже для решения любой поставленной задачи, а применение на батарею еще одной машины спецпострой</w:t>
      </w:r>
      <w:r w:rsidRPr="00507A31">
        <w:rPr>
          <w:color w:val="000000" w:themeColor="text1"/>
          <w:sz w:val="16"/>
          <w:szCs w:val="16"/>
        </w:rPr>
        <w:softHyphen/>
        <w:t>ки неоправданно удорожало САУ. Проект был отклонен в пользу подобной машины на шасси перспективного танка Т-19, создать который планировалось к началу 1932 г. (11417)</w:t>
      </w:r>
    </w:p>
    <w:p w14:paraId="66A209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1458543" w14:textId="77777777" w:rsidR="007833A1" w:rsidRPr="00507A31" w:rsidRDefault="007833A1" w:rsidP="00507A31">
      <w:pPr>
        <w:jc w:val="both"/>
        <w:rPr>
          <w:color w:val="000000" w:themeColor="text1"/>
          <w:sz w:val="16"/>
          <w:szCs w:val="16"/>
        </w:rPr>
      </w:pPr>
      <w:r w:rsidRPr="00507A31">
        <w:rPr>
          <w:color w:val="000000" w:themeColor="text1"/>
          <w:sz w:val="16"/>
          <w:szCs w:val="16"/>
        </w:rPr>
        <w:t>В феврале 1930 г. под Ленинградом прошло первое испытание танка «Рено», оборудованного аппаратурой телеуправления «Река-1». Но в 1931 г. в Ленинграде начали серийное производство легкого танка Т-26. И весной 1932 г. двухбашенный Т-26 оснастили аппаратурой телеуправления под шифром «Мост-1», позднее — аппаратурой «Река-1» и «Река-2». Испытания прошли в апреле 1932 г. на Московском Химическом полигоне (в районе Кузьминки). По результатам испытаний был выдан заказ на изготовление четырех телетанков и двух танков управления (15722).</w:t>
      </w:r>
    </w:p>
    <w:p w14:paraId="13165DB8" w14:textId="77777777" w:rsidR="007833A1" w:rsidRPr="00507A31" w:rsidRDefault="007833A1" w:rsidP="00507A31">
      <w:pPr>
        <w:jc w:val="both"/>
        <w:rPr>
          <w:color w:val="000000" w:themeColor="text1"/>
          <w:sz w:val="16"/>
          <w:szCs w:val="16"/>
        </w:rPr>
      </w:pPr>
    </w:p>
    <w:p w14:paraId="5C16116B" w14:textId="77777777" w:rsidR="007833A1" w:rsidRPr="00507A31" w:rsidRDefault="007833A1" w:rsidP="00507A31">
      <w:pPr>
        <w:jc w:val="both"/>
        <w:rPr>
          <w:color w:val="000000" w:themeColor="text1"/>
          <w:sz w:val="16"/>
          <w:szCs w:val="16"/>
        </w:rPr>
      </w:pPr>
      <w:r w:rsidRPr="00507A31">
        <w:rPr>
          <w:color w:val="000000" w:themeColor="text1"/>
          <w:sz w:val="16"/>
          <w:szCs w:val="16"/>
        </w:rPr>
        <w:t>В феврале 1930 г. на полигоне под Ленинградом прошло первое испытание танка «Рено», оборудованного аппаратурой телеуправления «Река-1». Весной 1932 г. аппаратурой «Мост-1», а позднее — «Река-1» и «Река-2» был оснащен двухбашенный танк Т-26. В апреле 1932 г. на Московском химполигоне проводились испытания этого танка. По результатам испытаний было заказано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(15117).</w:t>
      </w:r>
    </w:p>
    <w:p w14:paraId="55A70AD7" w14:textId="77777777" w:rsidR="007833A1" w:rsidRPr="00507A31" w:rsidRDefault="007833A1" w:rsidP="00507A31">
      <w:pPr>
        <w:jc w:val="both"/>
        <w:rPr>
          <w:color w:val="000000" w:themeColor="text1"/>
          <w:sz w:val="16"/>
          <w:szCs w:val="16"/>
        </w:rPr>
      </w:pPr>
    </w:p>
    <w:p w14:paraId="0457B333" w14:textId="77777777" w:rsidR="00FF60B1" w:rsidRPr="00507A31" w:rsidRDefault="00FF60B1" w:rsidP="00507A31">
      <w:pPr>
        <w:jc w:val="both"/>
        <w:rPr>
          <w:color w:val="000000" w:themeColor="text1"/>
          <w:sz w:val="16"/>
          <w:szCs w:val="16"/>
        </w:rPr>
      </w:pPr>
      <w:r w:rsidRPr="00507A31">
        <w:rPr>
          <w:color w:val="000000" w:themeColor="text1"/>
          <w:sz w:val="16"/>
          <w:szCs w:val="16"/>
        </w:rPr>
        <w:t>В феврале 1930 г. в Челябинске на территории недостроенного мясохолодильника началось строительство «Опытного завода Тракторстроя» (Челябтракторстрой). Возле холодильника были сооружены два барака: в одном из них разместились строители и хозяйственники, а в другом – инженеры. Позднее была добавлена пристройка. Позже, в годы войны, именно из этих барачных построек вырос завод №100 НКТП, а пока сотрудники, добираясь до предприятия, «ходили группами по пять-шесть человек, потому что в одиночку появляться около бараков Сибирского переезда было небезопасно».</w:t>
      </w:r>
    </w:p>
    <w:p w14:paraId="33825DE1" w14:textId="77777777" w:rsidR="00FF60B1" w:rsidRPr="00507A31" w:rsidRDefault="00FF60B1" w:rsidP="00507A31">
      <w:pPr>
        <w:jc w:val="both"/>
        <w:rPr>
          <w:color w:val="000000" w:themeColor="text1"/>
          <w:sz w:val="16"/>
          <w:szCs w:val="16"/>
        </w:rPr>
      </w:pPr>
      <w:r w:rsidRPr="00507A31">
        <w:rPr>
          <w:color w:val="000000" w:themeColor="text1"/>
          <w:sz w:val="16"/>
          <w:szCs w:val="16"/>
        </w:rPr>
        <w:t>7 ноября 1930 г. состоялся пуск опытного завода. Предполагалось, что он должен был стать как бы заводом в миниатюре, с полным набором производственных участков, укомплектованных всеми видами оборудования, и с научно-исследовательской базой, но пока имелось лишь самое необходимое оборудование. Для изготовления части деталей и заготовок пришлось прибегнуть к помощи других предприятий.</w:t>
      </w:r>
    </w:p>
    <w:p w14:paraId="2B585CFA" w14:textId="77777777" w:rsidR="00FF60B1" w:rsidRPr="00507A31" w:rsidRDefault="00FF60B1" w:rsidP="00507A31">
      <w:pPr>
        <w:jc w:val="both"/>
        <w:rPr>
          <w:color w:val="000000" w:themeColor="text1"/>
          <w:sz w:val="16"/>
          <w:szCs w:val="16"/>
        </w:rPr>
      </w:pPr>
      <w:r w:rsidRPr="00507A31">
        <w:rPr>
          <w:color w:val="000000" w:themeColor="text1"/>
          <w:sz w:val="16"/>
          <w:szCs w:val="16"/>
        </w:rPr>
        <w:t>15 февраля 1931 г. на опытном заводе собрали первый опытный трактор и 27 апреля отправили в Москву для показа правительству. Следующий трактор был отправлен в Москву к лету, где он подвергся кратковременным испытаниям совместно с американским прототипом – «Sixty».</w:t>
      </w:r>
    </w:p>
    <w:p w14:paraId="77F3AD4C" w14:textId="77777777" w:rsidR="00FF60B1" w:rsidRPr="00507A31" w:rsidRDefault="00FF60B1" w:rsidP="00507A31">
      <w:pPr>
        <w:jc w:val="both"/>
        <w:rPr>
          <w:color w:val="000000" w:themeColor="text1"/>
          <w:sz w:val="16"/>
          <w:szCs w:val="16"/>
        </w:rPr>
      </w:pPr>
      <w:r w:rsidRPr="00507A31">
        <w:rPr>
          <w:color w:val="000000" w:themeColor="text1"/>
          <w:sz w:val="16"/>
          <w:szCs w:val="16"/>
        </w:rPr>
        <w:t>За океаном в это время не сидели сложа руки: фирма «Катерпиллер» серьезно пересмотрела конструкцию выпускавшихся моделей. Модернизированные тракторы получили двигатели более высокой мощности и новые коробки скоростей. У тракторов моделей «15», «20» и «25» имелась возможность путем смены шестерен (так называемая «третья специальная скорость») повысить скорость движения на 3-й передаче. Например, максимальная скорость трактора «15» при смене шестерен возрастала с 5,63 до 7,07 км/ч. Но монтаж и демонтаж коробок скоростей с заменой шестерен нельзя было назвать легко осуществимой операций. Несколько удачнее проблему быстроходности попытались решить в модели «35».</w:t>
      </w:r>
    </w:p>
    <w:p w14:paraId="5A4C2B94" w14:textId="77777777" w:rsidR="00FF60B1" w:rsidRPr="00507A31" w:rsidRDefault="00FF60B1" w:rsidP="00507A31">
      <w:pPr>
        <w:jc w:val="both"/>
        <w:rPr>
          <w:color w:val="000000" w:themeColor="text1"/>
          <w:sz w:val="16"/>
          <w:szCs w:val="16"/>
        </w:rPr>
      </w:pPr>
      <w:r w:rsidRPr="00507A31">
        <w:rPr>
          <w:color w:val="000000" w:themeColor="text1"/>
          <w:sz w:val="16"/>
          <w:szCs w:val="16"/>
        </w:rPr>
        <w:t>Трактор «35» в основном был идентичен модели «30», но оснащался двигателем мощностью 46 л.с. и новой четырехскоростной коробкой передач, допускающими движение с максимальной скоростью до 7,4 км/ч. На смену модели «60» шли тракторы «65» и «70» (трактор «70» появился на рынке в 1932 г.), но подробную информацию по ним в период разработки фирма не предоставляла и от консультаций воздерживалась, поэтому первоначально сведения о перспективных американских моделях были самые противоречивые.</w:t>
      </w:r>
    </w:p>
    <w:p w14:paraId="3730A70E" w14:textId="77777777" w:rsidR="00FF60B1" w:rsidRPr="00507A31" w:rsidRDefault="00FF60B1" w:rsidP="00507A31">
      <w:pPr>
        <w:jc w:val="both"/>
        <w:rPr>
          <w:color w:val="000000" w:themeColor="text1"/>
          <w:sz w:val="16"/>
          <w:szCs w:val="16"/>
        </w:rPr>
      </w:pPr>
      <w:r w:rsidRPr="00507A31">
        <w:rPr>
          <w:color w:val="000000" w:themeColor="text1"/>
          <w:sz w:val="16"/>
          <w:szCs w:val="16"/>
        </w:rPr>
        <w:t>Трактор «Sixty», хотя и был весьма надежным и тяговитым, имел низкие скоростные показатели, что существенно ограничивало область его применения в военном деле и на некоторых транспортных работах. Это побудило организовать проектные работы по созданию его скоростной модификации. Их вели коллективы АТТБ ОГПУ и Опытного завода тракторстроя, где приступили к проектированию скоростной версии трактора на основании немногих имевшихся данных об американских «15», «20, «25» и «35».</w:t>
      </w:r>
    </w:p>
    <w:p w14:paraId="60859934" w14:textId="77777777" w:rsidR="00FF60B1" w:rsidRPr="00507A31" w:rsidRDefault="00FF60B1" w:rsidP="00507A31">
      <w:pPr>
        <w:jc w:val="both"/>
        <w:rPr>
          <w:color w:val="000000" w:themeColor="text1"/>
          <w:sz w:val="16"/>
          <w:szCs w:val="16"/>
        </w:rPr>
      </w:pPr>
      <w:r w:rsidRPr="00507A31">
        <w:rPr>
          <w:color w:val="000000" w:themeColor="text1"/>
          <w:sz w:val="16"/>
          <w:szCs w:val="16"/>
        </w:rPr>
        <w:t>Вслед за опытными тракторами №1 и №2 изготовили «Сталинец-3», или №3. Внешне все первые «Сталинцы» были весьма похожи и различались, разве что, конструкцией и формой топливного бака. Главные же отличия скрывались внутри: трактор №3 имел четырехскоростную коробку передач специальной конструкции, а №1 и №2 – трехскоростную КПП, подобную КПП «Sixty». Основным визуальным отличием всех трех отечественных машин от «Sixty» являлось отсутствие тента, что можно было объяснить известной спешкой при изготовлении.</w:t>
      </w:r>
    </w:p>
    <w:p w14:paraId="005346EC" w14:textId="77777777" w:rsidR="00FF60B1" w:rsidRPr="00507A31" w:rsidRDefault="00FF60B1" w:rsidP="00507A31">
      <w:pPr>
        <w:jc w:val="both"/>
        <w:rPr>
          <w:color w:val="000000" w:themeColor="text1"/>
          <w:sz w:val="16"/>
          <w:szCs w:val="16"/>
        </w:rPr>
      </w:pPr>
      <w:r w:rsidRPr="00507A31">
        <w:rPr>
          <w:color w:val="000000" w:themeColor="text1"/>
          <w:sz w:val="16"/>
          <w:szCs w:val="16"/>
        </w:rPr>
        <w:t>Дело в том, что первоначально предполагалось подготовить два прототипа к февралю 1931 г., но сроки поджимали. На Опытном заводе скопились горы бракованного литья, а технология изготовления ответственных узлов и деталей все еще была далека от совершенства. В этой связи главный инженер завода В.А. Якобсон отдал распоряжение готовить к назначенному сроку один трактор. Тент поэтому могли посчитать малозначительной деталью (12132).</w:t>
      </w:r>
    </w:p>
    <w:p w14:paraId="15D475D9" w14:textId="77777777" w:rsidR="00FF60B1" w:rsidRPr="00507A31" w:rsidRDefault="00FF60B1" w:rsidP="00507A31">
      <w:pPr>
        <w:jc w:val="both"/>
        <w:rPr>
          <w:color w:val="000000" w:themeColor="text1"/>
          <w:sz w:val="16"/>
          <w:szCs w:val="16"/>
        </w:rPr>
      </w:pPr>
    </w:p>
    <w:p w14:paraId="12B9BC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февраля 1930 года на заводе "Гудок Октября" в Нижнем Новгороде началась сборка автомобилей "Форд-А", "Форд-АА" и "Форд-Тимкен" (3862).</w:t>
      </w:r>
    </w:p>
    <w:p w14:paraId="7A7FA64E" w14:textId="77777777" w:rsidR="00537E5F" w:rsidRPr="00507A31" w:rsidRDefault="00537E5F" w:rsidP="00507A31">
      <w:pPr>
        <w:autoSpaceDE w:val="0"/>
        <w:autoSpaceDN w:val="0"/>
        <w:adjustRightInd w:val="0"/>
        <w:jc w:val="both"/>
        <w:rPr>
          <w:color w:val="000000" w:themeColor="text1"/>
          <w:sz w:val="16"/>
          <w:szCs w:val="16"/>
        </w:rPr>
      </w:pPr>
    </w:p>
    <w:p w14:paraId="0E1BED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феврале 1930 года сборка «фордов» из американских деталей началась на заводе «Гудок Октября» в Нижнем Нов</w:t>
      </w:r>
      <w:r w:rsidRPr="00507A31">
        <w:rPr>
          <w:color w:val="000000" w:themeColor="text1"/>
          <w:sz w:val="16"/>
          <w:szCs w:val="16"/>
        </w:rPr>
        <w:softHyphen/>
        <w:t>городе, в ноябре к нему присоединился 2-й автосборочный завод в Москве. В январе 1932 года был запущен автомо</w:t>
      </w:r>
      <w:r w:rsidRPr="00507A31">
        <w:rPr>
          <w:color w:val="000000" w:themeColor="text1"/>
          <w:sz w:val="16"/>
          <w:szCs w:val="16"/>
        </w:rPr>
        <w:softHyphen/>
        <w:t>бильный завод в Нижнем Новгороде, ставший крупнейшим производителем легковых и грузовых машин в СССР (по</w:t>
      </w:r>
      <w:r w:rsidRPr="00507A31">
        <w:rPr>
          <w:color w:val="000000" w:themeColor="text1"/>
          <w:sz w:val="16"/>
          <w:szCs w:val="16"/>
        </w:rPr>
        <w:softHyphen/>
        <w:t>сле переименования Нижнего Новгорода в Горький пред</w:t>
      </w:r>
      <w:r w:rsidRPr="00507A31">
        <w:rPr>
          <w:color w:val="000000" w:themeColor="text1"/>
          <w:sz w:val="16"/>
          <w:szCs w:val="16"/>
        </w:rPr>
        <w:softHyphen/>
        <w:t>приятие стало называться ГАЗ — Горьковский автомобиль</w:t>
      </w:r>
      <w:r w:rsidRPr="00507A31">
        <w:rPr>
          <w:color w:val="000000" w:themeColor="text1"/>
          <w:sz w:val="16"/>
          <w:szCs w:val="16"/>
        </w:rPr>
        <w:softHyphen/>
        <w:t>ный завод имени Молотова). Здесь выпускались грузовики ГАЗ-АА и легковые ГАЗ-А, являвшиеся советскими вариан</w:t>
      </w:r>
      <w:r w:rsidRPr="00507A31">
        <w:rPr>
          <w:color w:val="000000" w:themeColor="text1"/>
          <w:sz w:val="16"/>
          <w:szCs w:val="16"/>
        </w:rPr>
        <w:softHyphen/>
        <w:t>тами фордовских моделей (11284).</w:t>
      </w:r>
    </w:p>
    <w:p w14:paraId="60738B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BB36169" w14:textId="77777777" w:rsidR="007833A1" w:rsidRPr="00507A31" w:rsidRDefault="007833A1"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г. первые машины Форд вышли из ворот завода “Гудок Октября”. Любопытный факт - на головном автомобиле этой первой колонны, грузовике "Форд-АА" образца 1928 г. с односкатными задними колесами и низким (по сравнению с моделью 1929 г.) радиатором, был укреплен плакат: "Выполняем пятилетку. Первый советский "Форд". Впоследствии "Гудок Октября" стал филиалом Горьковского автомобильного завода, а ныне он является Горьковским заводом специализированных автомобилей (ГЗСА). Второе автосборочное предприятие - завод имени КИМ (ныне АЗЛК) вырос в Москве и вступил в строй с ноября 1930 г. В противоположность "Гудку Октября" он строился заново как современное предприятие, был рассчитан на годовой выпуск 24 тыс. машин. Оба собирали "Форд-А" и "Форд-АА", то есть модели, которые после окончания строительства предстояло выпускать основному заводу в Нижнем Новгороде. Тогда фордовские детали должны были постепенно уступать место отечественным. Надо отметить, что "Гудок Октября" со второй половины 1931 г. начал монтаж и трехосных грузовиков "Форд-Тимкен" (12098).</w:t>
      </w:r>
    </w:p>
    <w:p w14:paraId="3BACD695" w14:textId="77777777" w:rsidR="007833A1" w:rsidRPr="00507A31" w:rsidRDefault="007833A1" w:rsidP="00507A31">
      <w:pPr>
        <w:autoSpaceDE w:val="0"/>
        <w:autoSpaceDN w:val="0"/>
        <w:adjustRightInd w:val="0"/>
        <w:jc w:val="both"/>
        <w:rPr>
          <w:color w:val="000000" w:themeColor="text1"/>
          <w:sz w:val="16"/>
          <w:szCs w:val="16"/>
        </w:rPr>
      </w:pPr>
    </w:p>
    <w:p w14:paraId="70B0D902" w14:textId="77777777" w:rsidR="007833A1" w:rsidRPr="00507A31" w:rsidRDefault="007833A1" w:rsidP="00507A31">
      <w:pPr>
        <w:widowControl w:val="0"/>
        <w:jc w:val="both"/>
        <w:rPr>
          <w:color w:val="000000" w:themeColor="text1"/>
          <w:sz w:val="16"/>
          <w:szCs w:val="16"/>
        </w:rPr>
      </w:pPr>
      <w:r w:rsidRPr="00507A31">
        <w:rPr>
          <w:color w:val="000000" w:themeColor="text1"/>
          <w:sz w:val="16"/>
          <w:szCs w:val="16"/>
        </w:rPr>
        <w:t xml:space="preserve">В феврале </w:t>
      </w:r>
      <w:smartTag w:uri="urn:schemas-microsoft-com:office:smarttags" w:element="metricconverter">
        <w:smartTagPr>
          <w:attr w:name="ProductID" w:val="1930 г"/>
        </w:smartTagPr>
        <w:r w:rsidRPr="00507A31">
          <w:rPr>
            <w:color w:val="000000" w:themeColor="text1"/>
            <w:sz w:val="16"/>
            <w:szCs w:val="16"/>
          </w:rPr>
          <w:t>1930 г</w:t>
        </w:r>
      </w:smartTag>
      <w:r w:rsidRPr="00507A31">
        <w:rPr>
          <w:color w:val="000000" w:themeColor="text1"/>
          <w:sz w:val="16"/>
          <w:szCs w:val="16"/>
        </w:rPr>
        <w:t>. в Нижнем Новгороде переоборудованный завод «Гудок Октября», на котором предстояло собирать ежегодно по 12 тыс. автомобилей из фордовских деталей, выпустил первые машины. Одновременно быстрыми темпами шло строительство первого завода по массовому производству грузовых автомобилей (15218).</w:t>
      </w:r>
    </w:p>
    <w:p w14:paraId="4B821B7C" w14:textId="77777777" w:rsidR="007833A1" w:rsidRPr="00507A31" w:rsidRDefault="007833A1" w:rsidP="00507A31">
      <w:pPr>
        <w:widowControl w:val="0"/>
        <w:jc w:val="both"/>
        <w:rPr>
          <w:color w:val="000000" w:themeColor="text1"/>
          <w:sz w:val="16"/>
          <w:szCs w:val="16"/>
        </w:rPr>
      </w:pPr>
    </w:p>
    <w:p w14:paraId="59654454"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В феврале 1930 года КБ ХАСЗ начинает разрабатывать конструкцию грузового автомобиля марки "У-4"(Украина, 4-хтонный). Кропотливо изучили грузовик "</w:t>
      </w:r>
      <w:r w:rsidRPr="00507A31">
        <w:rPr>
          <w:color w:val="000000" w:themeColor="text1"/>
          <w:sz w:val="16"/>
          <w:szCs w:val="16"/>
          <w:lang w:val="en-AU"/>
        </w:rPr>
        <w:t>Lanchia</w:t>
      </w:r>
      <w:r w:rsidRPr="00507A31">
        <w:rPr>
          <w:color w:val="000000" w:themeColor="text1"/>
          <w:sz w:val="16"/>
          <w:szCs w:val="16"/>
        </w:rPr>
        <w:t>" и переделали его для наших условий эксплуатации (11602).</w:t>
      </w:r>
    </w:p>
    <w:p w14:paraId="1CFB3404" w14:textId="77777777" w:rsidR="00537E5F" w:rsidRPr="00507A31" w:rsidRDefault="00537E5F" w:rsidP="00507A31">
      <w:pPr>
        <w:widowControl w:val="0"/>
        <w:autoSpaceDE w:val="0"/>
        <w:autoSpaceDN w:val="0"/>
        <w:adjustRightInd w:val="0"/>
        <w:jc w:val="both"/>
        <w:rPr>
          <w:color w:val="000000" w:themeColor="text1"/>
          <w:sz w:val="16"/>
          <w:szCs w:val="16"/>
        </w:rPr>
      </w:pPr>
    </w:p>
    <w:p w14:paraId="6C074D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г. был подписан договор, согласно которому фирма А.Кана становилась главным консультантом советского правительства по промышленному строительству. Кану был предложен пакет заказов на строительство промышленных предприятий общей стоимостью в 2 миллиарда долларов.</w:t>
      </w:r>
    </w:p>
    <w:p w14:paraId="6F3CBA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1929 и 1932 гг. фирма А.Кана спроектировала 521 (!) (по другим данным — 571) объект. Это в первую очередь тракторные заводы в Сталинграде, Челябинске, Харькове, Томске; самолётостроительные заводы в Краматорске и Томске; автомобильные заводы в Челябинске, Москве, Сталинграде, Нижнем Новгороде, Самаре; кузнечные цеха в Челябинске, Днепропетровске, Харькове, Коломне, Люберецке, Магнитогорске, Нижнем Тагиле, Сталинграде; станкостроительные заводы в Калуге, Новосибирске, Верхней Сольде; прокатный стан в Москве; литейные заводы в Челябинске, Днепропетровске, Харькове, Коломне, Люберецке, Магнитогорске, Сормово, Сталинграде; механические цеха в Челябинске, Люберецке, Подольске, Сталинграде, Свердловске; теплоэлектростанцию в Якутске; сталелитейные и прокатные станы в Каменском, Коломне, Кузнецке, Магнитогорске, Нижнем Тагиле, Верхнем Тагиле, Сормово; Ленинградский алюминиевый завод; Уральскую асбестовую фабрику и многие другие объекты.</w:t>
      </w:r>
    </w:p>
    <w:p w14:paraId="07CA83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Проекты разрабатывались филиалом фирмы Кана в Москве под руководством брата главы фирмы — Морица Кана. Бюро Кана существовало до 1932 г. под названием «Госпроектстрой». В нём работали 25 американских инженеров и около 2,5 тыс. советских сотрудников. В то время, это было самое большое архитектурное бюро мира. Через Госпроектстрой прошло в общей около 4 тыс. советских архитекторов, инженеров и техников. Они овладели и уносли с собой живой практический опыт осуществления поточно-конвейерного способа проектирования. В 1932 г, после расторжения контракта и отъезда американских архитекторов, Госпроектстрой был реформирован в Металлостройпроект.</w:t>
      </w:r>
    </w:p>
    <w:p w14:paraId="7F332D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Скорее всего, фирма Кана разрабатывала не только промышленные предприятия, но и соответствующую инфраструктуру. Известно, что вместе с проектом Сталинградского тракторного завода поставлялись и проекты домов для рабочих.</w:t>
      </w:r>
    </w:p>
    <w:p w14:paraId="6975C4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По списку объектов видно, что А.Кан спроектировал (и оснастил оборудованием) едва ли не всю советскую военную промышленность. Ведь до 1930 г. в СССР, практически, не существовало собственных тракторных и танковых заводов. В 1931 г. побывавший на строительстве Челябинского тракторного завода американский журналист Г.Р.Кникербокер писал в книге «Угроза красной торговли», посвященной первому пятилетнему плану: «Стоя посредине быстро растущих к небу стен самой большой тракторной фабрики мира, невольно вспоминаешь фразу из "Известий", официального органа советского правительства о том, что "производства танков и тракторов имеют между собой очень много общего. Даже артиллерию, пулемёты и пушки можно успешно производить на гражданских промышленных предприятиях" (...). По твёрдому убеждению большевистских пессимистов строящаяся сейчас тракторная фабрика в Челябинске может почти моментально быть переориентирована на военные цели для отражения ожидаемого нападения капиталистического мира. Планируемый выпуск 50 000 штук десятитонных 60-сильных гусеничных тракторов в год, очень сильно напоминающих танки, означает, что рёчь идет о производстве одного из типов танков» (11596).</w:t>
      </w:r>
    </w:p>
    <w:p w14:paraId="65FA6FDC" w14:textId="77777777" w:rsidR="00537E5F" w:rsidRPr="00507A31" w:rsidRDefault="00537E5F" w:rsidP="00507A31">
      <w:pPr>
        <w:autoSpaceDE w:val="0"/>
        <w:autoSpaceDN w:val="0"/>
        <w:adjustRightInd w:val="0"/>
        <w:jc w:val="both"/>
        <w:rPr>
          <w:color w:val="000000" w:themeColor="text1"/>
          <w:sz w:val="16"/>
          <w:szCs w:val="16"/>
        </w:rPr>
      </w:pPr>
    </w:p>
    <w:p w14:paraId="53A229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феврале 1930 г. был подписан договор с фирмой Кана, которая становилась главным консультантом советского правительства по промышленному строительству. Кану был предложен пакет заказов на строительство промышленных предприятий стоимостью в два миллиарда долларов. Это сумма эквивалентная приблизительно 220 миллиардам долларов в 2004 г. </w:t>
      </w:r>
    </w:p>
    <w:p w14:paraId="0F1E36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следующие проекты разрабатывались филиалом фирмы Кана в Москве под руководством брата Альберта Кана Морица Кана. Этот филиал существовал до 1932 г. и носил русское название «Госпроектстрой». В нем работали 25 американских инженеров и около 2,5 тыс. советских сотрудников. В то время это было самое большое архитектурное бюро мира. Через «Госпроектстрой» прошло в общей около 4 тыс. советских архитекторов, инженеров и техников.</w:t>
      </w:r>
    </w:p>
    <w:p w14:paraId="151870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российской научно-исторической литературе упоминания о «Госпроектстрое» и его деятельности практически отсутствуют. Как впрочем и любая информация о том, как, кем и когда осуществлялось проектирование объектов первой пятилетки. </w:t>
      </w:r>
    </w:p>
    <w:p w14:paraId="659108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Скорее всего, фирма Кана разрабатывала не только сами промышленные предприятия, но и соответствующую инфраструктуру. Известно, что вместе с проектом Сталинградского тракторного завода поставлялись и проекты домов для рабочих. По крайне мере, в самом начале. Потом это было сочтено излишним (11598).</w:t>
      </w:r>
    </w:p>
    <w:p w14:paraId="07F3C726" w14:textId="77777777" w:rsidR="00537E5F" w:rsidRPr="00507A31" w:rsidRDefault="00537E5F" w:rsidP="00507A31">
      <w:pPr>
        <w:autoSpaceDE w:val="0"/>
        <w:autoSpaceDN w:val="0"/>
        <w:adjustRightInd w:val="0"/>
        <w:jc w:val="both"/>
        <w:rPr>
          <w:color w:val="000000" w:themeColor="text1"/>
          <w:sz w:val="16"/>
          <w:szCs w:val="16"/>
        </w:rPr>
      </w:pPr>
    </w:p>
    <w:p w14:paraId="2E2BA8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года Управление моторизации и механизации Красной Армии разработало требование к системе бронепоездного вооружения (9642).</w:t>
      </w:r>
    </w:p>
    <w:p w14:paraId="5BF15905" w14:textId="77777777" w:rsidR="00537E5F" w:rsidRPr="00507A31" w:rsidRDefault="00537E5F" w:rsidP="00507A31">
      <w:pPr>
        <w:autoSpaceDE w:val="0"/>
        <w:autoSpaceDN w:val="0"/>
        <w:adjustRightInd w:val="0"/>
        <w:jc w:val="both"/>
        <w:rPr>
          <w:color w:val="000000" w:themeColor="text1"/>
          <w:sz w:val="16"/>
          <w:szCs w:val="16"/>
        </w:rPr>
      </w:pPr>
    </w:p>
    <w:p w14:paraId="54F0EC8E" w14:textId="77777777" w:rsidR="00061186" w:rsidRPr="00507A31" w:rsidRDefault="00061186" w:rsidP="00507A31">
      <w:pPr>
        <w:jc w:val="both"/>
        <w:rPr>
          <w:color w:val="000000" w:themeColor="text1"/>
          <w:sz w:val="16"/>
          <w:szCs w:val="16"/>
        </w:rPr>
      </w:pPr>
      <w:r w:rsidRPr="00507A31">
        <w:rPr>
          <w:color w:val="000000" w:themeColor="text1"/>
          <w:sz w:val="16"/>
          <w:szCs w:val="16"/>
        </w:rPr>
        <w:t>В феврале 1930 г. был выработан комплекс мер, призванных нормализовать процесс разработки и внедрения новых образцов радиотехники специального назначения. Для НКВМ устанавливался срок в 2-3 месяца для проведения испытаний образцов, после чего они должны были немедленно представляться в РВС на утверждение. ВТУ совместно с УВМС, УВВС и ВЭО ставилась задача «… разработать более рациональный порядок испытаний и приемки радиостанций с тем, чтобы в процессе их конструирования было бы возможно меньше изменений, тормозящих эту разработку и чтобы эти изменения ни в коем случае не вносились слишком поздно». Кроме этого ВТУ совместно с УВМС на основании предложенных ВЭО технических условий на существующие и предполагаемые гражданские рации предписывалось выработать типы этих станций с учетом их использования при мобилизации (18297).</w:t>
      </w:r>
    </w:p>
    <w:p w14:paraId="39AFF853" w14:textId="77777777" w:rsidR="00061186" w:rsidRPr="00507A31" w:rsidRDefault="00061186" w:rsidP="00507A31">
      <w:pPr>
        <w:jc w:val="both"/>
        <w:rPr>
          <w:color w:val="000000" w:themeColor="text1"/>
          <w:sz w:val="16"/>
          <w:szCs w:val="16"/>
        </w:rPr>
      </w:pPr>
    </w:p>
    <w:p w14:paraId="2ED661D8" w14:textId="77777777" w:rsidR="00061186" w:rsidRPr="00507A31" w:rsidRDefault="00061186" w:rsidP="00507A31">
      <w:pPr>
        <w:jc w:val="both"/>
        <w:rPr>
          <w:color w:val="000000" w:themeColor="text1"/>
          <w:sz w:val="16"/>
          <w:szCs w:val="16"/>
        </w:rPr>
      </w:pPr>
      <w:r w:rsidRPr="00507A31">
        <w:rPr>
          <w:color w:val="000000" w:themeColor="text1"/>
          <w:sz w:val="16"/>
          <w:szCs w:val="16"/>
        </w:rPr>
        <w:t>В феврале 1930 г. принимается решение, а в апреле того же года происходит слияние завода им. Коминтерна с ЦРЛ и БМР. Целью этой реорганизации было превращение предприятия в производственную базу для изготовления образцов и макетов как приемо-передающих устройств, так и других радиоизделий. С ЦРЛЗ связывались большие надежды на ускорение процесса внедрения в производство новейших лабораторных разработок.</w:t>
      </w:r>
    </w:p>
    <w:p w14:paraId="71745F34" w14:textId="77777777" w:rsidR="00061186" w:rsidRPr="00507A31" w:rsidRDefault="00061186" w:rsidP="00507A31">
      <w:pPr>
        <w:jc w:val="both"/>
        <w:rPr>
          <w:color w:val="000000" w:themeColor="text1"/>
          <w:sz w:val="16"/>
          <w:szCs w:val="16"/>
        </w:rPr>
      </w:pPr>
      <w:r w:rsidRPr="00507A31">
        <w:rPr>
          <w:color w:val="000000" w:themeColor="text1"/>
          <w:sz w:val="16"/>
          <w:szCs w:val="16"/>
        </w:rPr>
        <w:t>В соответствии с перспективным планом развития электрослаботочного производства в первой пятилетке руководство ЭТЗСТ планировало постепенно свернуть производство на заводе им. Коминтерна и в конце-концов ликвидировать предприятие. В качестве обоснования такой меры прежде всего учитывалось неудобство расположения завода (на берегу залива, вдалеке от железной дороги при недостатке места для территориального расширения) (18297).</w:t>
      </w:r>
    </w:p>
    <w:p w14:paraId="18752F86" w14:textId="77777777" w:rsidR="00061186" w:rsidRPr="00507A31" w:rsidRDefault="00061186" w:rsidP="00507A31">
      <w:pPr>
        <w:jc w:val="both"/>
        <w:rPr>
          <w:color w:val="000000" w:themeColor="text1"/>
          <w:sz w:val="16"/>
          <w:szCs w:val="16"/>
        </w:rPr>
      </w:pPr>
    </w:p>
    <w:p w14:paraId="62ACF5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февраля 1930 г. автосборочный завод на базе завода «Гудок Октября» производил сборку автомобилей «Форд-А» и «Форд-АА» из американских деталей, с 1933 г. начат выпуск автобусов, с 1934 г. - пикапов на шасси ГАЗ.</w:t>
      </w:r>
    </w:p>
    <w:p w14:paraId="2048B2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Горьковский автосборочный завод в 1930 г. - в ведении ВСНХ, с 1932 г. - НКТП. В 1939 г. переименован в ГЗА.</w:t>
      </w:r>
    </w:p>
    <w:p w14:paraId="1FE919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1916 г. в Канавино был основан Завод № 642 МПС С, Горьковский автосборочный завод, Горьковский завод автобусов (ГЗА), Горьковский завод аппаратуры связи (ГЗАС) им. А.С. Попова МРТП, п/я 680, Нижегородский завод аппаратуры связи, ОАО «ГЗАС им. А.С. Попова» /Канавино Горьковской обл. ул. Интернациональная, 75 (1935 г.); ул. Интернациональная, 85 (1939 г.);  г. Горький, 35 (1940 г.)/ /603950  г. Нижний Новгород-2 ул. Интернациональная, 100 тел. 42-61-74/</w:t>
      </w:r>
    </w:p>
    <w:p w14:paraId="4C79C9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1929-51 г. являлся филиалом ГАЗа. В соответствии с пост. СМ СССР от 15.12.1951 г. автобусный завод был реорганизован в предприятие «п/я 680» в системе МРТП. В 1975 г. пост. СМ СССР заводу присвоено имя А.С. Попова. Имел название АНПО «Завод им. А.С. Попова». В 1992 г. предприятие преобразовано в ОАО.</w:t>
      </w:r>
    </w:p>
    <w:p w14:paraId="774516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1950 г. производство автобусов передано на завод в Павлово-на-Оке. Начато освоение аппаратуры радиосвязи. С 1952 г. переориентирован на выпуск бортовой самолетной аппаратуры </w:t>
      </w:r>
      <w:r w:rsidRPr="00507A31">
        <w:rPr>
          <w:color w:val="000000" w:themeColor="text1"/>
          <w:sz w:val="16"/>
          <w:szCs w:val="16"/>
          <w:lang w:val="en-US"/>
        </w:rPr>
        <w:t>KB</w:t>
      </w:r>
      <w:r w:rsidRPr="00507A31">
        <w:rPr>
          <w:color w:val="000000" w:themeColor="text1"/>
          <w:sz w:val="16"/>
          <w:szCs w:val="16"/>
        </w:rPr>
        <w:t xml:space="preserve"> и СВ радиосвязи.</w:t>
      </w:r>
    </w:p>
    <w:p w14:paraId="30872C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(2002-05 г.): разработка, производство, ремонт и модернизация: самолетные и наземные радиостанции СВ и ДКМВ диапазонов; бортовое радиооборудование; печатные платы.</w:t>
      </w:r>
    </w:p>
    <w:p w14:paraId="4CC225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Разработка (2005 г.): </w:t>
      </w:r>
      <w:r w:rsidRPr="00507A31">
        <w:rPr>
          <w:color w:val="000000" w:themeColor="text1"/>
          <w:sz w:val="16"/>
          <w:szCs w:val="16"/>
          <w:lang w:val="en-US"/>
        </w:rPr>
        <w:t>KB</w:t>
      </w:r>
      <w:r w:rsidRPr="00507A31">
        <w:rPr>
          <w:color w:val="000000" w:themeColor="text1"/>
          <w:sz w:val="16"/>
          <w:szCs w:val="16"/>
        </w:rPr>
        <w:t xml:space="preserve"> радиостанция «Ядро-1А2» с пультом Б7АЗ-Яр1.</w:t>
      </w:r>
    </w:p>
    <w:p w14:paraId="4F1450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(2002 г.)- 2500 чел.</w:t>
      </w:r>
    </w:p>
    <w:p w14:paraId="59678E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Директор (1940 г.)- Рябинин, (1952 г.-)- Д.Д. Безобразов, (1953-80 г.)- А.Ф. Клюковкин, (1980-87 г.)- ЮЛ. Лобастов, (1987-92 г.)- И.Б. Петяшин, (1992-95 г.)- С.И. Вопилкин. Гендиректор (1995-2005 г.-)-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C</w:t>
      </w:r>
      <w:r w:rsidRPr="00507A31">
        <w:rPr>
          <w:color w:val="000000" w:themeColor="text1"/>
          <w:sz w:val="16"/>
          <w:szCs w:val="16"/>
        </w:rPr>
        <w:t>. Федоров.</w:t>
      </w:r>
    </w:p>
    <w:p w14:paraId="74BFAD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гендиректора: по ВЭД, маркетингу и сбыту (2002 г.)-  Г.Ф. Кошелев; по экономическим вопросам (2002 г.)- В.И. Федюнин.</w:t>
      </w:r>
    </w:p>
    <w:p w14:paraId="785ED3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(1952 г.-)- И.Т. Косюга, (2002 г.)- А.Ф. Шорохов.</w:t>
      </w:r>
    </w:p>
    <w:p w14:paraId="68D608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(1952 г.-)- С.В. Руденко.</w:t>
      </w:r>
    </w:p>
    <w:p w14:paraId="760E38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технолог (1952 г.-)- Б.М. Маскальнин.</w:t>
      </w:r>
    </w:p>
    <w:p w14:paraId="1A96BC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Производство: передатчики радиостанций: «Ока», «Кама», СВБ-5, РСБ-70, РЛС-УКВ (1950-е); радиостанции: бортовые «Арлекин-Д», «Кристалл», «Ядро-1», «Ядро-2», Р-842М1, «Широта-У», «Микрон», Р- 864 «Журавль К» (2002); «Каштан»; модули самолетных комплексов связи М-ДдА, М1А (2000-е); </w:t>
      </w:r>
      <w:r w:rsidRPr="00507A31">
        <w:rPr>
          <w:color w:val="000000" w:themeColor="text1"/>
          <w:sz w:val="16"/>
          <w:szCs w:val="16"/>
          <w:lang w:val="en-US"/>
        </w:rPr>
        <w:t>KB</w:t>
      </w:r>
      <w:r w:rsidRPr="00507A31">
        <w:rPr>
          <w:color w:val="000000" w:themeColor="text1"/>
          <w:sz w:val="16"/>
          <w:szCs w:val="16"/>
        </w:rPr>
        <w:t xml:space="preserve"> модем «Лиман», многочастотный модем «Пойма»; модуль связи и передачи данных МСПД, модуль самолетного переговорного устройства МСПУ, самолетное переговорное устройство СПУ-34, СПГУ-35, СПУ-200 (2005); аппаратура речевого оповещения АРО-28С, «Алмаз-УПМ»;</w:t>
      </w:r>
      <w:r w:rsidRPr="00507A31">
        <w:rPr>
          <w:color w:val="000000" w:themeColor="text1"/>
          <w:sz w:val="16"/>
          <w:szCs w:val="16"/>
          <w:vertAlign w:val="superscript"/>
        </w:rPr>
        <w:t>69</w:t>
      </w:r>
      <w:r w:rsidRPr="00507A31">
        <w:rPr>
          <w:color w:val="000000" w:themeColor="text1"/>
          <w:sz w:val="16"/>
          <w:szCs w:val="16"/>
        </w:rPr>
        <w:t xml:space="preserve"> радиоприемник "</w:t>
      </w:r>
      <w:r w:rsidRPr="00507A31">
        <w:rPr>
          <w:color w:val="000000" w:themeColor="text1"/>
          <w:sz w:val="16"/>
          <w:szCs w:val="16"/>
          <w:lang w:val="en-US"/>
        </w:rPr>
        <w:t>Orion</w:t>
      </w:r>
      <w:r w:rsidRPr="00507A31">
        <w:rPr>
          <w:color w:val="000000" w:themeColor="text1"/>
          <w:sz w:val="16"/>
          <w:szCs w:val="16"/>
        </w:rPr>
        <w:t xml:space="preserve">" </w:t>
      </w:r>
      <w:r w:rsidRPr="00507A31">
        <w:rPr>
          <w:color w:val="000000" w:themeColor="text1"/>
          <w:sz w:val="16"/>
          <w:szCs w:val="16"/>
          <w:lang w:val="en-US"/>
        </w:rPr>
        <w:t>RS</w:t>
      </w:r>
      <w:r w:rsidRPr="00507A31">
        <w:rPr>
          <w:color w:val="000000" w:themeColor="text1"/>
          <w:sz w:val="16"/>
          <w:szCs w:val="16"/>
        </w:rPr>
        <w:t>-301; цветомузыкальное устройство «Мираж»; комплектующие для автомобильной промышленности.</w:t>
      </w:r>
      <w:r w:rsidRPr="00507A31">
        <w:rPr>
          <w:color w:val="000000" w:themeColor="text1"/>
          <w:sz w:val="16"/>
          <w:szCs w:val="16"/>
          <w:vertAlign w:val="superscript"/>
        </w:rPr>
        <w:t>101</w:t>
      </w:r>
    </w:p>
    <w:p w14:paraId="23C8A3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«Гудок Октября» НКОМ /г. Горький/</w:t>
      </w:r>
    </w:p>
    <w:p w14:paraId="6342C9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07.1929 г. на базе завода создан автосборочный завод (далее - завод № 642 МПСС). В 1940 г. корпус завода «Гудок Октября» передан из НКОМ заводу № 21 НКАП как один из филиалов. В 1941 г. на площадке завода размещен завод № 119 НКАП.</w:t>
      </w:r>
    </w:p>
    <w:p w14:paraId="14427F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1сс от 1.07.1941 г. заводу «Гудок Октября» НКОМ поручен выпуск комплектующих для танков Т-34 и авиамоторов М-17.</w:t>
      </w:r>
    </w:p>
    <w:p w14:paraId="561986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СКБ завода, Филиал МНИИРС, п/я 300, Горьковский НИИ радиосвязи (ГНИИРС), НПО «Полет», ФГУП «НПП «Полет» /603950  г. Нижний Новгород ГСП-462 Комсомольская пл., 1 тел. 42-21-04, -31-57/ /московское представительство: ул. Покровка, 48 тел. 921-62-63/</w:t>
      </w:r>
    </w:p>
    <w:p w14:paraId="2C5A44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Распоряжением ВСНХ от 28.08.1964 г. на базе СКБ ГЗАС организован филиал МНИИРС, предприятие- п/я 300, для разработки и внедрения в производство аппаратуры дальней радиосвязи. В 09.1964 г. от СКБ филиалу переданы часть лабораторно-технических и производственных подразделений, опытный цех и полигон, а также 938 специалистов. Филиал размещался в корпусе площадью 6500 м</w:t>
      </w:r>
      <w:r w:rsidRPr="00507A31">
        <w:rPr>
          <w:color w:val="000000" w:themeColor="text1"/>
          <w:sz w:val="16"/>
          <w:szCs w:val="16"/>
          <w:vertAlign w:val="superscript"/>
        </w:rPr>
        <w:t>2</w:t>
      </w:r>
      <w:r w:rsidRPr="00507A31">
        <w:rPr>
          <w:color w:val="000000" w:themeColor="text1"/>
          <w:sz w:val="16"/>
          <w:szCs w:val="16"/>
        </w:rPr>
        <w:t>, принадлежащем ГЗАС. Были организованы новые отделы: усилителей мощности, антенных согласующих устройств, возбудителей, модуляторов, опорных генераторов, приемников, вторичных источников питания, устройств автоматики. Заново были созданы службы гл. механика и энергетика, нормоконтроля и стандартизации, метрологии и др.</w:t>
      </w:r>
    </w:p>
    <w:p w14:paraId="1E1165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1966 г. филиал преобразован в самостоятельный ГНИИРС. В 1970-е  г. построен новый лабораторно- производственный корпус.</w:t>
      </w:r>
    </w:p>
    <w:p w14:paraId="1C7279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1970-е  г. институту поручена разработка автоматизированных типовых комплексов связи ЛА с наземными пунктами управления. С начала 1970-х  г. велась разработка первого отечественного бортового комплекса средств связи воздушного КП «Бизон» на базе Ил-18. В 1980-х  г. созданы системы связи и управления ВКП на базе Ил- 86, самолета-ретранслятора Ил-76, Ил-18.</w:t>
      </w:r>
    </w:p>
    <w:p w14:paraId="6EA111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1980-е  г. разработан и сдан на вооружение первый отечественный бортовой сверхдлинноволновой передатчик.</w:t>
      </w:r>
    </w:p>
    <w:p w14:paraId="3424FE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Разработка и производство (2002-05 г.): специальные системы управления и связи; бортовые комплексы связи </w:t>
      </w:r>
      <w:r w:rsidRPr="00507A31">
        <w:rPr>
          <w:color w:val="000000" w:themeColor="text1"/>
          <w:sz w:val="16"/>
          <w:szCs w:val="16"/>
          <w:lang w:val="en-US"/>
        </w:rPr>
        <w:t>J</w:t>
      </w:r>
      <w:r w:rsidRPr="00507A31">
        <w:rPr>
          <w:color w:val="000000" w:themeColor="text1"/>
          <w:sz w:val="16"/>
          <w:szCs w:val="16"/>
        </w:rPr>
        <w:t>1</w:t>
      </w:r>
      <w:r w:rsidRPr="00507A31">
        <w:rPr>
          <w:color w:val="000000" w:themeColor="text1"/>
          <w:sz w:val="16"/>
          <w:szCs w:val="16"/>
          <w:lang w:val="en-US"/>
        </w:rPr>
        <w:t>A</w:t>
      </w:r>
      <w:r w:rsidRPr="00507A31">
        <w:rPr>
          <w:color w:val="000000" w:themeColor="text1"/>
          <w:sz w:val="16"/>
          <w:szCs w:val="16"/>
        </w:rPr>
        <w:t xml:space="preserve"> и наземных радиоцентров; техника авиационной радиосвязи (приемники, передатчики, радиостанции, устройства преобразования сигналов, аппаратура внутренней связи, антенно-фидерные устройства, многочастотные модемы, мультиплексоры); комплексы связи наземных радиоцентров; отраслевая объединенная испытательная моделирующая сеть полигонов; система авиационно-наземного экологического патрулирования; медицинские приборы для аспирации, аэроионотерапии, магнитотерашш, биоритмостимуляции. (2005 г.): разработка: типового комплекса связи ТИП-2М; комплекса связи для истребителя 5-го поколения; бортовой МВ- ДМВ радиостанции повышенной помехозащищенности для межвидового взаимодействия тактического звена управления.</w:t>
      </w:r>
    </w:p>
    <w:p w14:paraId="0A33E3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Направления научной деятельности: первичные и вторичные сети связи; комплексы и системы связи; проблемы бортовой авионики; помехозащищенность авиационной радиосвязи; микроэлектроника.</w:t>
      </w:r>
    </w:p>
    <w:p w14:paraId="039E87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1990 г. создан Учебно-научно-производственный комплекс (УН1Ж). Имеет Московский филиал. Создано СП- ЗАО «Сатурн». Действует испытательно-моделирующая система радиополигонов в Нижегородской, Московской, Астраханской областях, в Крыму и на Украине.</w:t>
      </w:r>
    </w:p>
    <w:p w14:paraId="73D1FF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Головное предприятие (2005 г.) по разработке и производству воздушных пунктов управления.</w:t>
      </w:r>
    </w:p>
    <w:p w14:paraId="5A454C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1991 г. ГНИИРС преобразован в НЛП «Полет». В 2007 г. планировалось вхождение предприятия в холдинг «Электронные системы» ОПК «Оборонпром».</w:t>
      </w:r>
    </w:p>
    <w:p w14:paraId="2FA489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Производственные площади (2003 г.)- 72 тыс. м</w:t>
      </w:r>
      <w:r w:rsidRPr="00507A31">
        <w:rPr>
          <w:color w:val="000000" w:themeColor="text1"/>
          <w:sz w:val="16"/>
          <w:szCs w:val="16"/>
          <w:vertAlign w:val="superscript"/>
        </w:rPr>
        <w:t>2</w:t>
      </w:r>
      <w:r w:rsidRPr="00507A31">
        <w:rPr>
          <w:color w:val="000000" w:themeColor="text1"/>
          <w:sz w:val="16"/>
          <w:szCs w:val="16"/>
        </w:rPr>
        <w:t>.</w:t>
      </w:r>
    </w:p>
    <w:p w14:paraId="563D7F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(2002 г.)- 2200 чел., (2003 г.)- 3314 чел.</w:t>
      </w:r>
    </w:p>
    <w:p w14:paraId="105E86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(1964-69 г.)- И.И. Кобин, (1969-72 г.)- А.И. Макеев, (1972 г.-&gt;</w:t>
      </w:r>
      <w:r w:rsidRPr="00507A31">
        <w:rPr>
          <w:color w:val="000000" w:themeColor="text1"/>
          <w:sz w:val="16"/>
          <w:szCs w:val="16"/>
          <w:lang w:val="en-US"/>
        </w:rPr>
        <w:t>E</w:t>
      </w:r>
      <w:r w:rsidRPr="00507A31">
        <w:rPr>
          <w:color w:val="000000" w:themeColor="text1"/>
          <w:sz w:val="16"/>
          <w:szCs w:val="16"/>
        </w:rPr>
        <w:t>.</w:t>
      </w:r>
      <w:r w:rsidRPr="00507A31">
        <w:rPr>
          <w:color w:val="000000" w:themeColor="text1"/>
          <w:sz w:val="16"/>
          <w:szCs w:val="16"/>
          <w:lang w:val="en-US"/>
        </w:rPr>
        <w:t>JI</w:t>
      </w:r>
      <w:r w:rsidRPr="00507A31">
        <w:rPr>
          <w:color w:val="000000" w:themeColor="text1"/>
          <w:sz w:val="16"/>
          <w:szCs w:val="16"/>
        </w:rPr>
        <w:t>. Белоусов. Гендиректор (1987- 2007 г.-)- Е.Л. Белоусов.</w:t>
      </w:r>
      <w:r w:rsidRPr="00507A31">
        <w:rPr>
          <w:color w:val="000000" w:themeColor="text1"/>
          <w:sz w:val="16"/>
          <w:szCs w:val="16"/>
          <w:vertAlign w:val="superscript"/>
        </w:rPr>
        <w:t>101</w:t>
      </w:r>
    </w:p>
    <w:p w14:paraId="1553AD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1-й зам. гендиректора (2002 г.)- В.А. Писарев. Зам. гендиректора: по НИОКР (2005 г.)- А.В. Комяков, (2006 г.)- Д. Демин; по координации и управлению (2002 г.)- Ю.И. Ремешков; (2005 г.)- В.А. Ковалев.</w:t>
      </w:r>
    </w:p>
    <w:p w14:paraId="4625FE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Технический директор (2002 г.)- С.С. Сухотин. Директор по ВЭС и ВПК (-2002-06 г.-&gt; В.А. Ковалев.</w:t>
      </w:r>
      <w:r w:rsidRPr="00507A31">
        <w:rPr>
          <w:color w:val="000000" w:themeColor="text1"/>
          <w:sz w:val="16"/>
          <w:szCs w:val="16"/>
          <w:vertAlign w:val="superscript"/>
        </w:rPr>
        <w:t>69</w:t>
      </w:r>
    </w:p>
    <w:p w14:paraId="3A9390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Гл. конструктор (-1987-2002 г.-)- </w:t>
      </w:r>
      <w:r w:rsidRPr="00507A31">
        <w:rPr>
          <w:color w:val="000000" w:themeColor="text1"/>
          <w:sz w:val="16"/>
          <w:szCs w:val="16"/>
          <w:lang w:val="en-US"/>
        </w:rPr>
        <w:t>E</w:t>
      </w:r>
      <w:r w:rsidRPr="00507A31">
        <w:rPr>
          <w:color w:val="000000" w:themeColor="text1"/>
          <w:sz w:val="16"/>
          <w:szCs w:val="16"/>
        </w:rPr>
        <w:t>.</w:t>
      </w:r>
      <w:r w:rsidRPr="00507A31">
        <w:rPr>
          <w:color w:val="000000" w:themeColor="text1"/>
          <w:sz w:val="16"/>
          <w:szCs w:val="16"/>
          <w:lang w:val="en-US"/>
        </w:rPr>
        <w:t>JI</w:t>
      </w:r>
      <w:r w:rsidRPr="00507A31">
        <w:rPr>
          <w:color w:val="000000" w:themeColor="text1"/>
          <w:sz w:val="16"/>
          <w:szCs w:val="16"/>
        </w:rPr>
        <w:t>. Белоусов. Ген. конструктор (-2003-07 г.-)- Е.Л. Белоусов.</w:t>
      </w:r>
    </w:p>
    <w:p w14:paraId="4A1C88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(1967-69 г.)- А.И. Макеев.</w:t>
      </w:r>
    </w:p>
    <w:p w14:paraId="43C085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конструкторы: А.И. Макеев («Призма», «Микрон»), (-2005-06 г.-)- А. Перевезенцев (НКВС-27).</w:t>
      </w:r>
    </w:p>
    <w:p w14:paraId="4BCBFB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НИЦ (2003 г.)- К. Войткевич; УНПК (2005 г.)- В. Денежкина.</w:t>
      </w:r>
    </w:p>
    <w:p w14:paraId="6B80C5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отделов: (1954 г.-)- А.И. Макеев.</w:t>
      </w:r>
    </w:p>
    <w:p w14:paraId="462F19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Создано: аппаратура связи «Призма»; бортовые радиостанции: 2-го поколения «Микрон», «Протон» (1960- е), 3-го поколения </w:t>
      </w:r>
      <w:r w:rsidRPr="00507A31">
        <w:rPr>
          <w:color w:val="000000" w:themeColor="text1"/>
          <w:sz w:val="16"/>
          <w:szCs w:val="16"/>
          <w:lang w:val="en-US"/>
        </w:rPr>
        <w:t>KB</w:t>
      </w:r>
      <w:r w:rsidRPr="00507A31">
        <w:rPr>
          <w:color w:val="000000" w:themeColor="text1"/>
          <w:sz w:val="16"/>
          <w:szCs w:val="16"/>
        </w:rPr>
        <w:t xml:space="preserve"> диапазона «Журавль-К» (1970-е), 4-го поколения «Крестец-1, -2, -3» (1980-е), «Крестец- ЗМ» (1990-е), поколения 4+ ДКМВ диапазона «Бозон-2М» для ВВС (2000-е), «Ягут» для ГА и ВТА (2000-е); приемник «Метеор» (1960-е), «Крестец-П» (1980-е); бортовые комплексы радиосвязи: ТКС-1 с радиостанцией «Позитрон» (Р-865, Р-866, 1970-е) и радиоприемником «Метеорит» (Р-887) для Ан-124, Т-95МС, Ту-22МЗ, Ту-160 (1983-87); ТИП-1 для тяжелых самолетов (1980-е), ТКС-2, ТИП-2 для Су-27, Су- 30, МиГ-29, Ка-31 (1983-87), ТИП-2М (2000-е), С-108 для Су-35; комплексы связи для ВКП: «Бизон» (Ил-18); 2-го поколения «Зебра» (Ил-18), «Яхонт» (Ми-6), «Иволга» (Ми-8), для ВКП на базе Ил-86, для ретранслятора Ил-76 (1980-е);</w:t>
      </w:r>
      <w:r w:rsidRPr="00507A31">
        <w:rPr>
          <w:color w:val="000000" w:themeColor="text1"/>
          <w:sz w:val="16"/>
          <w:szCs w:val="16"/>
          <w:vertAlign w:val="superscript"/>
        </w:rPr>
        <w:t>101</w:t>
      </w:r>
      <w:r w:rsidRPr="00507A31">
        <w:rPr>
          <w:color w:val="000000" w:themeColor="text1"/>
          <w:sz w:val="16"/>
          <w:szCs w:val="16"/>
        </w:rPr>
        <w:t xml:space="preserve"> наземный комплекс воздушной связи НКВС-27 для Су-35; бортовая аппаратура селективного вызова «Селкол»;</w:t>
      </w:r>
    </w:p>
    <w:p w14:paraId="17E14B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(2004) радиостанции: Р-805К, «Арлекин-Д»; бортовая аппаратура селективного вызова АСВ- 324, аппаратура внутренней связи самолетов ГА «База-1»; бортовой комплекс автоматизированного обмена данными «БРИК-324»; наземный комплекс передачи данных «Рубин-М»; НКВС-27 (2005); экспортный бортовой комплекс связи К-ДпАЭ; устройство защиты «Шлюз»; авиационные радиосвязные антенны АМЗ-МВ, АСВ-МВ2; система авиационно-наземного патрулирования нефтяных загрязнений «След-ЗС», эхолот-измеритель КТ-ЗС, прибор измерения концентрации нефти в воде АПИН, радиометр-измеритель толщины пленки нефти КТС РМК- Н; аппаратура зондирования ионосферы «Сириус»; аппарат психоэмоциональной реабилитации «Ритм- полет».</w:t>
      </w:r>
    </w:p>
    <w:p w14:paraId="390F2C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ЗАО «Сатурн» /603950  г. Нижний Новгород ГСП-462 пл. Комсомольская, 1 тел. 42-21-78/</w:t>
      </w:r>
    </w:p>
    <w:p w14:paraId="163030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Совместное предприятие НПП «Полет» с немецкой фирмой «Роде и Шварц».</w:t>
      </w:r>
    </w:p>
    <w:p w14:paraId="51CBE1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(2002 г.): современное радиосвязное оборудование.</w:t>
      </w:r>
    </w:p>
    <w:p w14:paraId="158F9B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(2002 г.)- А. Гришуков (11982).</w:t>
      </w:r>
    </w:p>
    <w:p w14:paraId="414F0966" w14:textId="77777777" w:rsidR="00537E5F" w:rsidRPr="00507A31" w:rsidRDefault="00537E5F" w:rsidP="00507A31">
      <w:pPr>
        <w:autoSpaceDE w:val="0"/>
        <w:autoSpaceDN w:val="0"/>
        <w:adjustRightInd w:val="0"/>
        <w:jc w:val="both"/>
        <w:rPr>
          <w:color w:val="000000" w:themeColor="text1"/>
          <w:sz w:val="16"/>
          <w:szCs w:val="16"/>
        </w:rPr>
      </w:pPr>
    </w:p>
    <w:p w14:paraId="102869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года Совет Труда и Обороны принял решение создать опытный завод по выработке спиртового синтетического каучука .</w:t>
      </w:r>
    </w:p>
    <w:p w14:paraId="79548B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осени 1930 г. лабораторию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3B83CE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4AA62E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644E99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3660E867" w14:textId="77777777" w:rsidR="00537E5F" w:rsidRPr="00507A31" w:rsidRDefault="00537E5F" w:rsidP="00507A31">
      <w:pPr>
        <w:autoSpaceDE w:val="0"/>
        <w:autoSpaceDN w:val="0"/>
        <w:adjustRightInd w:val="0"/>
        <w:jc w:val="both"/>
        <w:rPr>
          <w:color w:val="000000" w:themeColor="text1"/>
          <w:sz w:val="16"/>
          <w:szCs w:val="16"/>
        </w:rPr>
      </w:pPr>
    </w:p>
    <w:p w14:paraId="3EC090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г. проект торпедоносца-лидера, который разрабатывался в НТК УВМС под руководством Ю. А. Шиманского, был одобрен командованием РККФ в начале 1930 г. (3898).</w:t>
      </w:r>
    </w:p>
    <w:p w14:paraId="7C6C0454" w14:textId="77777777" w:rsidR="00537E5F" w:rsidRPr="00507A31" w:rsidRDefault="00537E5F" w:rsidP="00507A31">
      <w:pPr>
        <w:autoSpaceDE w:val="0"/>
        <w:autoSpaceDN w:val="0"/>
        <w:adjustRightInd w:val="0"/>
        <w:jc w:val="both"/>
        <w:rPr>
          <w:color w:val="000000" w:themeColor="text1"/>
          <w:sz w:val="16"/>
          <w:szCs w:val="16"/>
        </w:rPr>
      </w:pPr>
    </w:p>
    <w:p w14:paraId="56EEF3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года было принято решение о строительстве обогатительной фабрики в Хибинах. Огромный энтузиазм, высочайшего накала патриотизм советских людей позволили в чрезвычайно сложных условиях за очень короткий срок построить апатито - нефелиновую фабрику, первая очередь которой была введена в строй к 8 сентября 1931 года. Ввод новой советской фабрики позволил отказаться от ввода марокканских фосфоритов. Отсюда отправили первый эшелон отечественного апатитового концентрата. "Ещё совсем недавно само слово апатит было знакомо лишь минералогам,а сегодня оно волнует тысячи людей. Ради апатита вырастает в Хибинской тундре город..." писал А.Е.Ферсман (9702).</w:t>
      </w:r>
    </w:p>
    <w:p w14:paraId="27F18F41" w14:textId="77777777" w:rsidR="00537E5F" w:rsidRPr="00507A31" w:rsidRDefault="00537E5F" w:rsidP="00507A31">
      <w:pPr>
        <w:autoSpaceDE w:val="0"/>
        <w:autoSpaceDN w:val="0"/>
        <w:adjustRightInd w:val="0"/>
        <w:jc w:val="both"/>
        <w:rPr>
          <w:color w:val="000000" w:themeColor="text1"/>
          <w:sz w:val="16"/>
          <w:szCs w:val="16"/>
        </w:rPr>
      </w:pPr>
    </w:p>
    <w:p w14:paraId="791183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феврале 1930 г. завод «Руссуд» переименован в судостроительный завод им. «61» в честь 61 жителя Николаева (в основном, богатых), взятых в заложники и расстрелянных деникинцами в 1919 г.) (ЗаВОД № 200 ИМ. «61» НКОП, НКСП, Николаевское адмиралтейство, Николаевский судостроительный завод, Завод Русского судостроительного общества («Руссуд»), трест «Наваль- Руссуд», завод «Тремсуд», Николаевские государственные заводы им. А. Марти (Никгосзаводы), Николаевский государственный завод им. «61» ВСНХ, НКТП / г. Николаев п/я 120 «Шпиль» (1938 г.)/). В 1933 г. передан из Союзверфи в подчинение Главморпрому НКТП. По пр. НКОП № Обсс от 30.12.1936 г. Николаевский государственный завод им. «61» переименован в завод № 200 им. «61». В 02.1937 г. завод - в ведении 2ГУ </w:t>
      </w:r>
      <w:r w:rsidRPr="00507A31">
        <w:rPr>
          <w:color w:val="000000" w:themeColor="text1"/>
          <w:sz w:val="16"/>
          <w:szCs w:val="16"/>
          <w:lang w:val="en-US"/>
        </w:rPr>
        <w:t>HKOII</w:t>
      </w:r>
      <w:r w:rsidRPr="00507A31">
        <w:rPr>
          <w:color w:val="000000" w:themeColor="text1"/>
          <w:sz w:val="16"/>
          <w:szCs w:val="16"/>
        </w:rPr>
        <w:t>, приказом № 136 от 11.04.1937 г. утвержден Устав завода. В 02.1939 г. из 2ГУ НКОП передан в состав 2ГУ НКСП.</w:t>
      </w:r>
    </w:p>
    <w:p w14:paraId="2FF981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Приказами № 0014 от 1.02.1937 г. и № 0093 от 27.04.1937 г. утверждены работы по капстроительству на 1937 г.: удлинение и реконструкция стапелей №1,2, 3, 4, ввод в эксплуатацию механического цеха Ремсуд. Приказом № 00235 от 29.10.1937 г. окончание работ по реконструкции стапелей было перенесено: № 1 и 2 - на 05.1938 г., № 3 - на 08.1938 г. «В связи с неудовлетворительными темпами работ» 13/20.01.1938 г. вышел приказ № Юс провести обследование реконструкции завода. В соответствии с пост, правительства № 80сс от 11.05.1938 г. и пр. № 178сс от 26.05.1938 г. заводу передан от Николаевского облсовета земельный участок вдоль берега р. Ингул вверх по течению длиной 500 м, шириной 50 м для подъездных путей к стапелю № 3.</w:t>
      </w:r>
    </w:p>
    <w:p w14:paraId="11E315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заводе строились эсминцы, ПЛ (с 1932-33 г.), плавсредства обеспечения ВМФ, в т.ч. спасательные суда с глубоководными аппаратами. Приказом № 0088 от 22.04.1937 г. заводу предписано заложить линкор типа «А» в 10.1937г, и по одному линкору типа «Б» в 12.1937 г. и в 02.1938 г. (приказ был отменен пост, правительства № 87сс от 13/15.08.1937 г.). Во исполнение постановления СТО № ОК-167сс от 16.07.1936 г. приказом № 00157 от 14/15.07.1937 г. заводу поручено изготовить к 30.08.1937 г. 24 противоторпедных отсека для УМС НКО.</w:t>
      </w:r>
    </w:p>
    <w:p w14:paraId="4FC68D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07.1941 г. перешел на выполнение фронтовых заказов: производил понтоны, минометы, бомбы, снаряды, мины. 8.07.1941 г. вышла директива НКСП о частичной эвакуации завода. В соответствии с приказом НКСП от 18.07.1941 г. завод был частично эвакуирован (1457 чел.) в Астрахань на завод № 638 и на завод № 342, оставшаяся часть завода попала в оккупацию. Завод был переименован немцами в «Северную верфь» и производил понтоны, фермы мостов, детали для транспорта. Перед отступлением в начале 1944 г. стапель с корпусом крейсера «Севастополь» был взорван.</w:t>
      </w:r>
    </w:p>
    <w:p w14:paraId="0F368D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освобождения Николаева в 03.1944 г. до конца 1945 г. шло восстановление завода, которому был присвоен № 445.</w:t>
      </w:r>
      <w:r w:rsidRPr="00507A31">
        <w:rPr>
          <w:color w:val="000000" w:themeColor="text1"/>
          <w:sz w:val="16"/>
          <w:szCs w:val="16"/>
          <w:vertAlign w:val="superscript"/>
        </w:rPr>
        <w:t>61</w:t>
      </w:r>
    </w:p>
    <w:p w14:paraId="3ADD5F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(1818 г.)- около 1500 чел., (04.1920 г.)- 500 чел., (1937 г.)- 7423 чел., (06.1941 г.)- 10.800 чел.</w:t>
      </w:r>
    </w:p>
    <w:p w14:paraId="59B5D7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(-1913-16 г.-)- Н.И. Дмитриев, (-07-29.08.1937 г.)- Н.В. Щербина; и.о. (29.08-21.09.1937 г.)- И. Г. Миляшкин; (21.09.1937-09.1938 г.-)- И. Г. Миляшкин.</w:t>
      </w:r>
    </w:p>
    <w:p w14:paraId="300D79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Управляющий (1913 г.)- К. Г. Ващалов. Зам. директора (21.09.1937 г.-)-  Г.В. Бабенко. 2-й зам. директора (21.09.1937 г.-)- В.И. Кузнецов. Помощник директора по найму и увольнению (19.07.1937-09.1938 г.-)- Е.М. Гервиц.</w:t>
      </w:r>
    </w:p>
    <w:p w14:paraId="100193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корабельный инженер (-1914-16 г.-)- Л.Л. Коромальди. Гл. инженер (-05-07.1937 г.-)- А.И. Павлов, (29.08- 21.09.1937 г.)- И. Г. Миляшкин, (21.09.1937 г.-)-  Г.В. Бабенко.</w:t>
      </w:r>
    </w:p>
    <w:p w14:paraId="278565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строители: (-1896-1904 г.-)- А.Э. Шотт, (1939 г.-)-  Г.В. Бабенко (пр. 69).</w:t>
      </w:r>
    </w:p>
    <w:p w14:paraId="43A424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Начальники цехов: корпусного (05.1937 г.)- </w:t>
      </w:r>
      <w:r w:rsidRPr="00507A31">
        <w:rPr>
          <w:color w:val="000000" w:themeColor="text1"/>
          <w:sz w:val="16"/>
          <w:szCs w:val="16"/>
          <w:lang w:val="en-US"/>
        </w:rPr>
        <w:t>A</w:t>
      </w:r>
      <w:r w:rsidRPr="00507A31">
        <w:rPr>
          <w:color w:val="000000" w:themeColor="text1"/>
          <w:sz w:val="16"/>
          <w:szCs w:val="16"/>
        </w:rPr>
        <w:t>.</w:t>
      </w:r>
      <w:r w:rsidRPr="00507A31">
        <w:rPr>
          <w:color w:val="000000" w:themeColor="text1"/>
          <w:sz w:val="16"/>
          <w:szCs w:val="16"/>
          <w:lang w:val="en-US"/>
        </w:rPr>
        <w:t>M</w:t>
      </w:r>
      <w:r w:rsidRPr="00507A31">
        <w:rPr>
          <w:color w:val="000000" w:themeColor="text1"/>
          <w:sz w:val="16"/>
          <w:szCs w:val="16"/>
        </w:rPr>
        <w:t>. Челпаков.</w:t>
      </w:r>
    </w:p>
    <w:p w14:paraId="0B1F79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отделов: технического (1911 г.)- А.Н. Прохоров; ПЭО (01.1938 г.)- Коревицкий.</w:t>
      </w:r>
    </w:p>
    <w:p w14:paraId="517F6B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технического бюро (1914 г.)- Л.Л. Коромальди, (1916 г.)- М.И. Сасиновский.</w:t>
      </w:r>
    </w:p>
    <w:p w14:paraId="204FE1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Корабельные мастера: (-1817-20 г.-)- А.И. Мелихов, (1823 г.)- И.С. Разумов, (1829 г.)- М.И. Суравцев, (-1846-55 г.-)- С.И. Чернявский, (-1837-55 г.-)- А.С. Акимов. Строители кораблей: (-1887-91 г.-)- С.К. Ратник, (1894 г.)- Н.И. Янковский, (-1894-97 г.-)- М.К. Яковлев, (1904 г.)- А.Л. Коссов, (1907 г.)- И.О. Гайдамович (1920-е)- Я.С. Солдатов. Машинный мастер (1819 г.)- Шмит.</w:t>
      </w:r>
    </w:p>
    <w:p w14:paraId="337B09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Производство: фрегаты: 26 -пушечные (1790)- 1, 44-пушечные «Св. Николай» (01.1790-), «Минвера» (11.1809-), «Поспешный» (1820-21), «Пармен» (1822-23), «Флора» (1837-39), «Кагул» (1840-43), 50-пушечный «Григорий Великия Армения» (09.1790-91), 60-пушечные «Тенедос» (1827-28), «Архипелаг» (1828-29), </w:t>
      </w:r>
      <w:r w:rsidRPr="00507A31">
        <w:rPr>
          <w:color w:val="000000" w:themeColor="text1"/>
          <w:sz w:val="16"/>
          <w:szCs w:val="16"/>
        </w:rPr>
        <w:lastRenderedPageBreak/>
        <w:t>«Агатополь» (1833-34), «Месемврия» (1838-40), «Мидия» (1840-43), «Кулевчи»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«Силистрия» (-1835), «Султан Махмут» (1835-36), «Селафаил» (08.1838-40), «Ягудиил»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«Кинбурн» (1837-38), «Дунай» (-1847), (1838-49-)- 10; корветы: «Або» (1808-09), «Сизополь» (-1830), «Калипсо» (-1845), 18-пушечный «Орест» (1835-36), «Андромаха» (1840-41), 20-пушечный «Пилад» (1838-40), 22-пушечный «Ифигения» (1833-34), 24-пушечный «Пендераклия» (1830-), винтовой «Воин» (1855-58); 8-пушечный тендер (1817); бриги: 12-пушечный «Эндимион» (1837-39), 16-пушечный «Эней» (1840-42), 20-пушечные «Ганимед» (1819-), «Фемистокл» (1832-33); «Орфей» (1820-), (1829)- 2, «Фемистокл», «Паламед» (1838-39), «Персей», «Неарк» (1839-40), «Тезей», «Птолемей» (-1845); яхты «Утеха» (1820-21), (1830-35)- 3, «Ориадна» (1836-); пароходы: «Везувий» (12.1819-05.1820), «Метеор» (03.1823-), «Громоносец»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«поповки»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«Анакрия» № 268 и № 269 (1892-95), типа «Пернов» № 270, 271, 272, 273 (1890-е); минные крейсера: «Капитан Сакен» (-04.1889), «Гридень»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АГ- 21 (08.1917-18), АГ-22 (03.1917-07.1920), АГ-23 (1917-06.1920), АГ-24 (06.1920-04.1921), АГ-25 (07.1921-04.1922), АГ-26 (10.1920-02.1923); сборка лодок заводов Балтийского и им. Марта Убис (VII) серии Щ-201, -202, -203, -204 (-1935); VI серии М-2, -4, -5, -6, -7, 10, -14,' -15, -23,26 (1932-35)- 10; Убис (II) серии Щ-205, Щ-206, Щ-207 (1930- е); У1бис серии М-54, М-55, М-56 (1930-е); X серии Щ-208, -209, -210, -211, -212, -213 (зак. 1037, 1938), -214 (зак. 1038, 1938), -215 (05.1934-09.1938); Хбис серии Щ-216 (1939-41); плавбаза ПЛ «Эльборус» (05-12.1916); десантные корабли типа «элышдифор» № 4Ю-412 (1916-20), 413-429 (1916-)- 20; достройка № 413-415 в качестве канонерских лодок «Красная Абхазия», «Красный Аджаристан» (1920-21)- 3, № 416, 417 в качестве тральщиков (1921-23), № 422 как танкера, № 418-421, 423-427 как гражданские транспорты (1922-29), № 428, 429- не достроены; вооружение пароходов «Медведица», «Старочеркасск», «Вилково» (1920-е); лесовозы типа «Волголес»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122DD4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Спасская верфь / г. Николаев/</w:t>
      </w:r>
    </w:p>
    <w:p w14:paraId="032D2A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Сребренным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76C35A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Производство:_линейные корабли: «Анапа», «Эривань» (-1829), 84-пушечные «Императрица Екатерина» (12.1829-), «Гавриил» (08.1838-11.1839), «Уриил»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3F7EFABC" w14:textId="77777777" w:rsidR="00792E63" w:rsidRPr="00507A31" w:rsidRDefault="00792E63" w:rsidP="00507A31">
      <w:pPr>
        <w:autoSpaceDE w:val="0"/>
        <w:autoSpaceDN w:val="0"/>
        <w:adjustRightInd w:val="0"/>
        <w:jc w:val="both"/>
        <w:rPr>
          <w:iCs/>
          <w:color w:val="000000" w:themeColor="text1"/>
          <w:sz w:val="16"/>
          <w:szCs w:val="16"/>
        </w:rPr>
      </w:pPr>
    </w:p>
    <w:p w14:paraId="0565D8BD" w14:textId="77777777" w:rsidR="00061186" w:rsidRPr="00507A31" w:rsidRDefault="00061186" w:rsidP="00507A31">
      <w:pPr>
        <w:jc w:val="both"/>
        <w:rPr>
          <w:color w:val="000000" w:themeColor="text1"/>
          <w:sz w:val="16"/>
          <w:szCs w:val="16"/>
        </w:rPr>
      </w:pPr>
      <w:r w:rsidRPr="00507A31">
        <w:rPr>
          <w:color w:val="000000" w:themeColor="text1"/>
          <w:sz w:val="16"/>
          <w:szCs w:val="16"/>
        </w:rPr>
        <w:t>В феврале 1930 г. ПБ приняло очередное решение о ликвида</w:t>
      </w:r>
      <w:r w:rsidRPr="00507A31">
        <w:rPr>
          <w:color w:val="000000" w:themeColor="text1"/>
          <w:sz w:val="16"/>
          <w:szCs w:val="16"/>
        </w:rPr>
        <w:softHyphen/>
        <w:t>ции последствий вредительства на военных заводах. В нем ука</w:t>
      </w:r>
      <w:r w:rsidRPr="00507A31">
        <w:rPr>
          <w:color w:val="000000" w:themeColor="text1"/>
          <w:sz w:val="16"/>
          <w:szCs w:val="16"/>
        </w:rPr>
        <w:softHyphen/>
        <w:t>зывалось, что по докладу ОГПУ о вредительстве надлежащих мер принято не было, что взятые темпы его ликвидации совер</w:t>
      </w:r>
      <w:r w:rsidRPr="00507A31">
        <w:rPr>
          <w:color w:val="000000" w:themeColor="text1"/>
          <w:sz w:val="16"/>
          <w:szCs w:val="16"/>
        </w:rPr>
        <w:softHyphen/>
        <w:t>шенно неудовлетворительные. Продолжает поступать продук</w:t>
      </w:r>
      <w:r w:rsidRPr="00507A31">
        <w:rPr>
          <w:color w:val="000000" w:themeColor="text1"/>
          <w:sz w:val="16"/>
          <w:szCs w:val="16"/>
        </w:rPr>
        <w:softHyphen/>
        <w:t>ция низкого качества. Говорилось о том, что “у руководителей заводов, трестов нет правильной оценки глубины расстройства, причиненного вредителями”. В связи с этим отмечалось несерь</w:t>
      </w:r>
      <w:r w:rsidRPr="00507A31">
        <w:rPr>
          <w:color w:val="000000" w:themeColor="text1"/>
          <w:sz w:val="16"/>
          <w:szCs w:val="16"/>
        </w:rPr>
        <w:softHyphen/>
        <w:t>езное отношение к информационным документам ОГПУ. Делал</w:t>
      </w:r>
      <w:r w:rsidRPr="00507A31">
        <w:rPr>
          <w:color w:val="000000" w:themeColor="text1"/>
          <w:sz w:val="16"/>
          <w:szCs w:val="16"/>
        </w:rPr>
        <w:softHyphen/>
        <w:t>ся вывод, что руководители заводов не сделали выводов, не под</w:t>
      </w:r>
      <w:r w:rsidRPr="00507A31">
        <w:rPr>
          <w:color w:val="000000" w:themeColor="text1"/>
          <w:sz w:val="16"/>
          <w:szCs w:val="16"/>
        </w:rPr>
        <w:softHyphen/>
        <w:t>держали инициативу партии в борьбе с вредителями, не мобили</w:t>
      </w:r>
      <w:r w:rsidRPr="00507A31">
        <w:rPr>
          <w:color w:val="000000" w:themeColor="text1"/>
          <w:sz w:val="16"/>
          <w:szCs w:val="16"/>
        </w:rPr>
        <w:softHyphen/>
        <w:t>зовали силы и не обеспечили контроль, и в этом усматривалось пассивное сопротивление мероприятиям ОГПУ.</w:t>
      </w:r>
    </w:p>
    <w:p w14:paraId="2F38875A" w14:textId="77777777" w:rsidR="00061186" w:rsidRPr="00507A31" w:rsidRDefault="00061186" w:rsidP="00507A31">
      <w:pPr>
        <w:jc w:val="both"/>
        <w:rPr>
          <w:color w:val="000000" w:themeColor="text1"/>
          <w:sz w:val="16"/>
          <w:szCs w:val="16"/>
        </w:rPr>
      </w:pPr>
      <w:r w:rsidRPr="00507A31">
        <w:rPr>
          <w:color w:val="000000" w:themeColor="text1"/>
          <w:sz w:val="16"/>
          <w:szCs w:val="16"/>
        </w:rPr>
        <w:t>В целях ликвидации последствий вредительства предлагалось создавать при трестах комиссии из хозяйственников, представи</w:t>
      </w:r>
      <w:r w:rsidRPr="00507A31">
        <w:rPr>
          <w:color w:val="000000" w:themeColor="text1"/>
          <w:sz w:val="16"/>
          <w:szCs w:val="16"/>
        </w:rPr>
        <w:softHyphen/>
        <w:t>телей ОГПУ, НКВМ, ЦК с целью проработать имеющиеся в ОГПУ материалы, изучить конкретные задания и определить сроки их выполнения. ГВПУ и ОГПУ должны были развернуть работу в этом направлении немедленно, привлечь коммунисти</w:t>
      </w:r>
      <w:r w:rsidRPr="00507A31">
        <w:rPr>
          <w:color w:val="000000" w:themeColor="text1"/>
          <w:sz w:val="16"/>
          <w:szCs w:val="16"/>
        </w:rPr>
        <w:softHyphen/>
        <w:t>ческий актив с целью продолжения выявления вредительских [167] актов. Чтобы усилить эту работу, издавался приказ о частичном рассекречивании. Намечалось периодически проводить совеща</w:t>
      </w:r>
      <w:r w:rsidRPr="00507A31">
        <w:rPr>
          <w:color w:val="000000" w:themeColor="text1"/>
          <w:sz w:val="16"/>
          <w:szCs w:val="16"/>
        </w:rPr>
        <w:softHyphen/>
        <w:t>ния директоров для проверки хода ликвидации вредительства по состоянию инструментальной базы и документации, активно привлекать к участию в этом военных приемщиков. Любопытно, что к мерам по ликвидации вредительства привязывались такие, как пересмотр политики зарплаты, ее повышение прежде всего для рабочих-инструментальщиков, освобождение их от террито</w:t>
      </w:r>
      <w:r w:rsidRPr="00507A31">
        <w:rPr>
          <w:color w:val="000000" w:themeColor="text1"/>
          <w:sz w:val="16"/>
          <w:szCs w:val="16"/>
        </w:rPr>
        <w:softHyphen/>
        <w:t>риальных сборов РККА. То есть, комплекс мер борьбы с “вреди</w:t>
      </w:r>
      <w:r w:rsidRPr="00507A31">
        <w:rPr>
          <w:color w:val="000000" w:themeColor="text1"/>
          <w:sz w:val="16"/>
          <w:szCs w:val="16"/>
        </w:rPr>
        <w:softHyphen/>
        <w:t>тельством” как-то очень обыденно встраивался в круг решений, не имеющих к нему никакого отношения. В постановлении гово</w:t>
      </w:r>
      <w:r w:rsidRPr="00507A31">
        <w:rPr>
          <w:color w:val="000000" w:themeColor="text1"/>
          <w:sz w:val="16"/>
          <w:szCs w:val="16"/>
        </w:rPr>
        <w:softHyphen/>
        <w:t>рилось также о необходимости смело использовать заграничную помощь, вербовать рабочих в Германии, ускорить их подготовку через фабзавуч методом ЦИТ (Центральный институт труда, разрабатывавший в то время методы обучения на основе систем Тейлора и Форда), развернуть борьбу с рвачеством на производ</w:t>
      </w:r>
      <w:r w:rsidRPr="00507A31">
        <w:rPr>
          <w:color w:val="000000" w:themeColor="text1"/>
          <w:sz w:val="16"/>
          <w:szCs w:val="16"/>
        </w:rPr>
        <w:softHyphen/>
        <w:t>стве, сформировать корпус браковщиков, пересмотреть задан</w:t>
      </w:r>
      <w:r w:rsidRPr="00507A31">
        <w:rPr>
          <w:color w:val="000000" w:themeColor="text1"/>
          <w:sz w:val="16"/>
          <w:szCs w:val="16"/>
        </w:rPr>
        <w:softHyphen/>
        <w:t>ные технических условия. Постановление обязывало НК РКИ организовать проверку мобзапасов и представить в РЗ СТО зада</w:t>
      </w:r>
      <w:r w:rsidRPr="00507A31">
        <w:rPr>
          <w:color w:val="000000" w:themeColor="text1"/>
          <w:sz w:val="16"/>
          <w:szCs w:val="16"/>
        </w:rPr>
        <w:softHyphen/>
        <w:t>ния по капстроительству и реконструкции военных заводов. В це</w:t>
      </w:r>
      <w:r w:rsidRPr="00507A31">
        <w:rPr>
          <w:color w:val="000000" w:themeColor="text1"/>
          <w:sz w:val="16"/>
          <w:szCs w:val="16"/>
        </w:rPr>
        <w:softHyphen/>
        <w:t>лях ликвидации последствий вредительства позволялось осуще</w:t>
      </w:r>
      <w:r w:rsidRPr="00507A31">
        <w:rPr>
          <w:color w:val="000000" w:themeColor="text1"/>
          <w:sz w:val="16"/>
          <w:szCs w:val="16"/>
        </w:rPr>
        <w:softHyphen/>
        <w:t>ствлять перевод и мобилизацию работников туда, где сложилось напряженное положение со специалистами. Работники военных заводов освобождались от проведения государственных кампа</w:t>
      </w:r>
      <w:r w:rsidRPr="00507A31">
        <w:rPr>
          <w:color w:val="000000" w:themeColor="text1"/>
          <w:sz w:val="16"/>
          <w:szCs w:val="16"/>
        </w:rPr>
        <w:softHyphen/>
        <w:t>ний (посевных, хлебофуражных, колхозных и т.п.). Разрешалось провести мобилизацию инженеров в гражданской промышленно</w:t>
      </w:r>
      <w:r w:rsidRPr="00507A31">
        <w:rPr>
          <w:color w:val="000000" w:themeColor="text1"/>
          <w:sz w:val="16"/>
          <w:szCs w:val="16"/>
        </w:rPr>
        <w:softHyphen/>
        <w:t>сти, практиковать принудительные командировки и прикрепле</w:t>
      </w:r>
      <w:r w:rsidRPr="00507A31">
        <w:rPr>
          <w:color w:val="000000" w:themeColor="text1"/>
          <w:sz w:val="16"/>
          <w:szCs w:val="16"/>
        </w:rPr>
        <w:softHyphen/>
        <w:t>ние к военным заводам, развить сеть вузов и техникумов до необ</w:t>
      </w:r>
      <w:r w:rsidRPr="00507A31">
        <w:rPr>
          <w:color w:val="000000" w:themeColor="text1"/>
          <w:sz w:val="16"/>
          <w:szCs w:val="16"/>
        </w:rPr>
        <w:softHyphen/>
        <w:t>ходимых размеров. Устанавливалась персональная ответствен</w:t>
      </w:r>
      <w:r w:rsidRPr="00507A31">
        <w:rPr>
          <w:color w:val="000000" w:themeColor="text1"/>
          <w:sz w:val="16"/>
          <w:szCs w:val="16"/>
        </w:rPr>
        <w:softHyphen/>
        <w:t>ность руководителей снабженческих организаций за поставки на военные заводы. Было решено организовать специальные опыт</w:t>
      </w:r>
      <w:r w:rsidRPr="00507A31">
        <w:rPr>
          <w:color w:val="000000" w:themeColor="text1"/>
          <w:sz w:val="16"/>
          <w:szCs w:val="16"/>
        </w:rPr>
        <w:softHyphen/>
        <w:t>ные мастерские и через месяц заслушать вопрос об этом на РЗ СТО. Для “оздоровления обстановки” на заводы направля</w:t>
      </w:r>
      <w:r w:rsidRPr="00507A31">
        <w:rPr>
          <w:color w:val="000000" w:themeColor="text1"/>
          <w:sz w:val="16"/>
          <w:szCs w:val="16"/>
        </w:rPr>
        <w:softHyphen/>
        <w:t>лись члены ЦК и ЦКК на срок не менее месяца. Директора Ижевского оружейного завода (ИОЗ) решено было снять за не</w:t>
      </w:r>
      <w:r w:rsidRPr="00507A31">
        <w:rPr>
          <w:color w:val="000000" w:themeColor="text1"/>
          <w:sz w:val="16"/>
          <w:szCs w:val="16"/>
        </w:rPr>
        <w:softHyphen/>
        <w:t>принятие мер против вредителей и срыв производственной про</w:t>
      </w:r>
      <w:r w:rsidRPr="00507A31">
        <w:rPr>
          <w:color w:val="000000" w:themeColor="text1"/>
          <w:sz w:val="16"/>
          <w:szCs w:val="16"/>
        </w:rPr>
        <w:softHyphen/>
        <w:t>граммы без права в течение двух лет занимать ответственные должности, снять директора завода № 50 и объявить выговор. Выговор объявлялся директорам Тульского оружейного завода (ТОЗ) и завода № 42. На ряд работников дела передавались в суд (18393).</w:t>
      </w:r>
    </w:p>
    <w:p w14:paraId="26AD667B" w14:textId="77777777" w:rsidR="00061186" w:rsidRPr="00507A31" w:rsidRDefault="00061186" w:rsidP="00507A31">
      <w:pPr>
        <w:jc w:val="both"/>
        <w:rPr>
          <w:color w:val="000000" w:themeColor="text1"/>
          <w:sz w:val="16"/>
          <w:szCs w:val="16"/>
        </w:rPr>
      </w:pPr>
      <w:r w:rsidRPr="00507A31">
        <w:rPr>
          <w:color w:val="000000" w:themeColor="text1"/>
          <w:sz w:val="16"/>
          <w:szCs w:val="16"/>
        </w:rPr>
        <w:t>О том, как легко было попасть в число “вредителей”, говорит следующий факт. На ряде военных заводов (“Большевик”, авиа</w:t>
      </w:r>
      <w:r w:rsidRPr="00507A31">
        <w:rPr>
          <w:color w:val="000000" w:themeColor="text1"/>
          <w:sz w:val="16"/>
          <w:szCs w:val="16"/>
        </w:rPr>
        <w:softHyphen/>
        <w:t>ционных № 22 и 24, 7 “Оружобъединения” и др. - всего на 12) на 1931 г. были выдвинуты встречные планы, которые-де могли способствовать повышению эффективности производства, но встретили возражение администрации, для которой эти инициа</w:t>
      </w:r>
      <w:r w:rsidRPr="00507A31">
        <w:rPr>
          <w:color w:val="000000" w:themeColor="text1"/>
          <w:sz w:val="16"/>
          <w:szCs w:val="16"/>
        </w:rPr>
        <w:softHyphen/>
        <w:t>тивы вылились бы в увеличение заданий и поиск дополнитель</w:t>
      </w:r>
      <w:r w:rsidRPr="00507A31">
        <w:rPr>
          <w:color w:val="000000" w:themeColor="text1"/>
          <w:sz w:val="16"/>
          <w:szCs w:val="16"/>
        </w:rPr>
        <w:softHyphen/>
        <w:t>ных ресурсов. Подобное отношение расценивалось как “вреди</w:t>
      </w:r>
      <w:r w:rsidRPr="00507A31">
        <w:rPr>
          <w:color w:val="000000" w:themeColor="text1"/>
          <w:sz w:val="16"/>
          <w:szCs w:val="16"/>
        </w:rPr>
        <w:softHyphen/>
        <w:t>тельский акт”. Правда, тут же давалась инструкция, как состав</w:t>
      </w:r>
      <w:r w:rsidRPr="00507A31">
        <w:rPr>
          <w:color w:val="000000" w:themeColor="text1"/>
          <w:sz w:val="16"/>
          <w:szCs w:val="16"/>
        </w:rPr>
        <w:softHyphen/>
        <w:t>лять встречные планы, как связывать их с производственной про</w:t>
      </w:r>
      <w:r w:rsidRPr="00507A31">
        <w:rPr>
          <w:color w:val="000000" w:themeColor="text1"/>
          <w:sz w:val="16"/>
          <w:szCs w:val="16"/>
        </w:rPr>
        <w:softHyphen/>
        <w:t>граммой, как обеспечивать контроль, как активнее привлекать рабочих, которая представляла собой не что иное как бюрокра</w:t>
      </w:r>
      <w:r w:rsidRPr="00507A31">
        <w:rPr>
          <w:color w:val="000000" w:themeColor="text1"/>
          <w:sz w:val="16"/>
          <w:szCs w:val="16"/>
        </w:rPr>
        <w:softHyphen/>
        <w:t>тический абсолютно невыполнимый регламент.</w:t>
      </w:r>
    </w:p>
    <w:p w14:paraId="65414DE7" w14:textId="77777777" w:rsidR="00061186" w:rsidRPr="00507A31" w:rsidRDefault="00061186" w:rsidP="00507A31">
      <w:pPr>
        <w:jc w:val="both"/>
        <w:rPr>
          <w:color w:val="000000" w:themeColor="text1"/>
          <w:sz w:val="16"/>
          <w:szCs w:val="16"/>
        </w:rPr>
      </w:pPr>
      <w:r w:rsidRPr="00507A31">
        <w:rPr>
          <w:color w:val="000000" w:themeColor="text1"/>
          <w:sz w:val="16"/>
          <w:szCs w:val="16"/>
        </w:rPr>
        <w:t>Тем не менее, как показывают документы, кампания против “вредителей” на заводах велась очень вяло, и мало руководителей предприятий на нее откликнулись, несмотря на решение регулярно поставлять сведения о том, как ликвидируются последствия вреди</w:t>
      </w:r>
      <w:r w:rsidRPr="00507A31">
        <w:rPr>
          <w:color w:val="000000" w:themeColor="text1"/>
          <w:sz w:val="16"/>
          <w:szCs w:val="16"/>
        </w:rPr>
        <w:softHyphen/>
        <w:t>тельства. В отдельных материалах, представляющих такие сообще</w:t>
      </w:r>
      <w:r w:rsidRPr="00507A31">
        <w:rPr>
          <w:color w:val="000000" w:themeColor="text1"/>
          <w:sz w:val="16"/>
          <w:szCs w:val="16"/>
        </w:rPr>
        <w:softHyphen/>
        <w:t>ния, главным образом перечислялись недостатки производства, ко</w:t>
      </w:r>
      <w:r w:rsidRPr="00507A31">
        <w:rPr>
          <w:color w:val="000000" w:themeColor="text1"/>
          <w:sz w:val="16"/>
          <w:szCs w:val="16"/>
        </w:rPr>
        <w:softHyphen/>
        <w:t>торые списывались на “вредителей”. Так, директор завода № 11 Н. Жиляев сообщал, что вредительство на заводе шло по следую</w:t>
      </w:r>
      <w:r w:rsidRPr="00507A31">
        <w:rPr>
          <w:color w:val="000000" w:themeColor="text1"/>
          <w:sz w:val="16"/>
          <w:szCs w:val="16"/>
        </w:rPr>
        <w:softHyphen/>
        <w:t>щим направлениям: длительная и почти полная консервация завода в течение шести лет; разоружение тепло-силового хозяйства; посте</w:t>
      </w:r>
      <w:r w:rsidRPr="00507A31">
        <w:rPr>
          <w:color w:val="000000" w:themeColor="text1"/>
          <w:sz w:val="16"/>
          <w:szCs w:val="16"/>
        </w:rPr>
        <w:softHyphen/>
        <w:t>пенная ликвидация инструментальной мастерской капсюльного производства; срыв строительной программы и капитальных работ; разбазаривание кадров рабочих и ИТР. На заводе № 29 суть вреди</w:t>
      </w:r>
      <w:r w:rsidRPr="00507A31">
        <w:rPr>
          <w:color w:val="000000" w:themeColor="text1"/>
          <w:sz w:val="16"/>
          <w:szCs w:val="16"/>
        </w:rPr>
        <w:softHyphen/>
        <w:t>тельства заключалась якобы в подрыве мобготовности завода, задержке сроков его реконструкции, срыве производства мотора М-22. Указывалось, что полученный в 1928 г. заказ на изготовление моторов воздушного охлаждения сорвал всю предыдущую работу, в то время как по мотору воздушного охлаждения ничего сделано не было. Кроме того, капитальное строительство велось без плана, но с большим размахом. Якобы умышленно было развернуто строи</w:t>
      </w:r>
      <w:r w:rsidRPr="00507A31">
        <w:rPr>
          <w:color w:val="000000" w:themeColor="text1"/>
          <w:sz w:val="16"/>
          <w:szCs w:val="16"/>
        </w:rPr>
        <w:softHyphen/>
        <w:t>тельство новой испытательной станции, в то время как для этого вполне можно было приспособить старую. Да еще из треста присла</w:t>
      </w:r>
      <w:r w:rsidRPr="00507A31">
        <w:rPr>
          <w:color w:val="000000" w:themeColor="text1"/>
          <w:sz w:val="16"/>
          <w:szCs w:val="16"/>
        </w:rPr>
        <w:softHyphen/>
        <w:t>ли плохой проект, недостатки которого не удалось устранить. В ре</w:t>
      </w:r>
      <w:r w:rsidRPr="00507A31">
        <w:rPr>
          <w:color w:val="000000" w:themeColor="text1"/>
          <w:sz w:val="16"/>
          <w:szCs w:val="16"/>
        </w:rPr>
        <w:softHyphen/>
        <w:t>зультате - огромный брак в работе завода. Будто бы по вине вреди</w:t>
      </w:r>
      <w:r w:rsidRPr="00507A31">
        <w:rPr>
          <w:color w:val="000000" w:themeColor="text1"/>
          <w:sz w:val="16"/>
          <w:szCs w:val="16"/>
        </w:rPr>
        <w:softHyphen/>
        <w:t>телей были задержки поставок. Вместо того чтобы перейти на две смены, как предполагалось мобзаданием, работы продолжали вести в одну. Умышленно задерживалось внедрение новых образцов. Вре</w:t>
      </w:r>
      <w:r w:rsidRPr="00507A31">
        <w:rPr>
          <w:color w:val="000000" w:themeColor="text1"/>
          <w:sz w:val="16"/>
          <w:szCs w:val="16"/>
        </w:rPr>
        <w:softHyphen/>
        <w:t>дительство по моторам М-12 вело к тому, что они часто ломались при испытании. “Вредители знали, что коленвал слаб, но ссылались на плохой металл”.</w:t>
      </w:r>
    </w:p>
    <w:p w14:paraId="1556933A" w14:textId="77777777" w:rsidR="00061186" w:rsidRPr="00507A31" w:rsidRDefault="00061186" w:rsidP="00507A31">
      <w:pPr>
        <w:jc w:val="both"/>
        <w:rPr>
          <w:color w:val="000000" w:themeColor="text1"/>
          <w:sz w:val="16"/>
          <w:szCs w:val="16"/>
        </w:rPr>
      </w:pPr>
      <w:r w:rsidRPr="00507A31">
        <w:rPr>
          <w:color w:val="000000" w:themeColor="text1"/>
          <w:sz w:val="16"/>
          <w:szCs w:val="16"/>
        </w:rPr>
        <w:t>Аресты вели к дезорганизации производства, к потере иници</w:t>
      </w:r>
      <w:r w:rsidRPr="00507A31">
        <w:rPr>
          <w:color w:val="000000" w:themeColor="text1"/>
          <w:sz w:val="16"/>
          <w:szCs w:val="16"/>
        </w:rPr>
        <w:softHyphen/>
        <w:t>ативности, нагнетанию нервозности и страха. Об этом довольно красноречиво свидетельствует сам нарком Ворошилов, который  выезжал в Ленинград для выяснения, как там идет выполнение танковой программы. В письме новому Председателю ВСНХ Г.К. Орджоникидзе он сообщал, что, прибыв в Ленинград, он ор</w:t>
      </w:r>
      <w:r w:rsidRPr="00507A31">
        <w:rPr>
          <w:color w:val="000000" w:themeColor="text1"/>
          <w:sz w:val="16"/>
          <w:szCs w:val="16"/>
        </w:rPr>
        <w:softHyphen/>
        <w:t>ганизовал совещание на Ижорском заводе, пригласив руководи</w:t>
      </w:r>
      <w:r w:rsidRPr="00507A31">
        <w:rPr>
          <w:color w:val="000000" w:themeColor="text1"/>
          <w:sz w:val="16"/>
          <w:szCs w:val="16"/>
        </w:rPr>
        <w:softHyphen/>
        <w:t xml:space="preserve">телей других предприятий, комиссию </w:t>
      </w:r>
      <w:r w:rsidRPr="00507A31">
        <w:rPr>
          <w:color w:val="000000" w:themeColor="text1"/>
          <w:sz w:val="16"/>
          <w:szCs w:val="16"/>
        </w:rPr>
        <w:lastRenderedPageBreak/>
        <w:t>Ленобкома, военных пред</w:t>
      </w:r>
      <w:r w:rsidRPr="00507A31">
        <w:rPr>
          <w:color w:val="000000" w:themeColor="text1"/>
          <w:sz w:val="16"/>
          <w:szCs w:val="16"/>
        </w:rPr>
        <w:softHyphen/>
        <w:t>ставителей, работников ОГПУ. Случилась, как писал Вороши</w:t>
      </w:r>
      <w:r w:rsidRPr="00507A31">
        <w:rPr>
          <w:color w:val="000000" w:themeColor="text1"/>
          <w:sz w:val="16"/>
          <w:szCs w:val="16"/>
        </w:rPr>
        <w:softHyphen/>
        <w:t>лов, “форменная потасовка и выяснилась безобразная картина, говорящая о том, что Ижорский завод серьезно болен”. К тому же, писал он, постоянно работающие комиссии нервируют и от</w:t>
      </w:r>
      <w:r w:rsidRPr="00507A31">
        <w:rPr>
          <w:color w:val="000000" w:themeColor="text1"/>
          <w:sz w:val="16"/>
          <w:szCs w:val="16"/>
        </w:rPr>
        <w:softHyphen/>
        <w:t>рывают от работы. Директор Богомолов - человек мягкотелый и мечтает удрать. Авторитет руководства завода и единоначалие отсутствуют. Технический директор Власов - “сознавшийся вре</w:t>
      </w:r>
      <w:r w:rsidRPr="00507A31">
        <w:rPr>
          <w:color w:val="000000" w:themeColor="text1"/>
          <w:sz w:val="16"/>
          <w:szCs w:val="16"/>
        </w:rPr>
        <w:softHyphen/>
        <w:t>дитель”. Зав. механической мастерской арестован, а исполняю</w:t>
      </w:r>
      <w:r w:rsidRPr="00507A31">
        <w:rPr>
          <w:color w:val="000000" w:themeColor="text1"/>
          <w:sz w:val="16"/>
          <w:szCs w:val="16"/>
        </w:rPr>
        <w:softHyphen/>
        <w:t>щий его обязанности перепуган и просто жалок. Рабочие развин</w:t>
      </w:r>
      <w:r w:rsidRPr="00507A31">
        <w:rPr>
          <w:color w:val="000000" w:themeColor="text1"/>
          <w:sz w:val="16"/>
          <w:szCs w:val="16"/>
        </w:rPr>
        <w:softHyphen/>
        <w:t>чены, слабо дисциплинированы. На заводе самотек, рвачество, прогулы, прямые хулиганские выступления, матерная ругань по адресу ЦК. Много производится брака и уйма денег уходит зря. На заводе слабая парторганизация. Тем не менее в разговорах все обещают исправиться, взять напором поставленные задачи</w:t>
      </w:r>
      <w:bookmarkStart w:id="27" w:name="_ednref38"/>
      <w:r w:rsidRPr="00507A31">
        <w:rPr>
          <w:color w:val="000000" w:themeColor="text1"/>
          <w:sz w:val="16"/>
          <w:szCs w:val="16"/>
        </w:rPr>
        <w:t xml:space="preserve"> (18393)</w:t>
      </w:r>
      <w:bookmarkEnd w:id="27"/>
      <w:r w:rsidRPr="00507A31">
        <w:rPr>
          <w:color w:val="000000" w:themeColor="text1"/>
          <w:sz w:val="16"/>
          <w:szCs w:val="16"/>
        </w:rPr>
        <w:t>.</w:t>
      </w:r>
    </w:p>
    <w:p w14:paraId="355AD8A9" w14:textId="77777777" w:rsidR="00061186" w:rsidRPr="00507A31" w:rsidRDefault="00061186" w:rsidP="00507A31">
      <w:pPr>
        <w:jc w:val="both"/>
        <w:rPr>
          <w:color w:val="000000" w:themeColor="text1"/>
          <w:sz w:val="16"/>
          <w:szCs w:val="16"/>
        </w:rPr>
      </w:pPr>
    </w:p>
    <w:p w14:paraId="793694E5" w14:textId="77777777" w:rsidR="00061186" w:rsidRPr="00507A31" w:rsidRDefault="00061186" w:rsidP="00507A31">
      <w:pPr>
        <w:jc w:val="both"/>
        <w:rPr>
          <w:color w:val="000000" w:themeColor="text1"/>
          <w:sz w:val="16"/>
          <w:szCs w:val="16"/>
        </w:rPr>
      </w:pPr>
      <w:r w:rsidRPr="00507A31">
        <w:rPr>
          <w:color w:val="000000" w:themeColor="text1"/>
          <w:sz w:val="16"/>
          <w:szCs w:val="16"/>
        </w:rPr>
        <w:t>В феврале 1930 Тухачевский обращает</w:t>
      </w:r>
      <w:r w:rsidRPr="00507A31">
        <w:rPr>
          <w:color w:val="000000" w:themeColor="text1"/>
          <w:sz w:val="16"/>
          <w:szCs w:val="16"/>
        </w:rPr>
        <w:softHyphen/>
        <w:t>ся к Ворошилову с запиской о новом плане мобилизации про</w:t>
      </w:r>
      <w:r w:rsidRPr="00507A31">
        <w:rPr>
          <w:color w:val="000000" w:themeColor="text1"/>
          <w:sz w:val="16"/>
          <w:szCs w:val="16"/>
        </w:rPr>
        <w:softHyphen/>
        <w:t>мышленности. В ней положительно оценивается постановление ЦК о реорганизации управления промышленностью, постанов</w:t>
      </w:r>
      <w:r w:rsidRPr="00507A31">
        <w:rPr>
          <w:color w:val="000000" w:themeColor="text1"/>
          <w:sz w:val="16"/>
          <w:szCs w:val="16"/>
        </w:rPr>
        <w:softHyphen/>
        <w:t>ление РЗ СТО о превращении МПУ ВСНХ в оперативный орган управления, одобряются меры по борьбе с вредителями. Сам план военной мобилизации, представленный Тухачевским, по своим идеям довольно созвучен с изложенными выше идеями Смилги (18393).</w:t>
      </w:r>
    </w:p>
    <w:p w14:paraId="3DFB1CAA" w14:textId="77777777" w:rsidR="00061186" w:rsidRPr="00507A31" w:rsidRDefault="00061186" w:rsidP="00507A31">
      <w:pPr>
        <w:jc w:val="both"/>
        <w:rPr>
          <w:color w:val="000000" w:themeColor="text1"/>
          <w:sz w:val="16"/>
          <w:szCs w:val="16"/>
        </w:rPr>
      </w:pPr>
    </w:p>
    <w:p w14:paraId="658768D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6CD0992" w14:textId="77777777" w:rsidR="00537E5F" w:rsidRPr="00507A31" w:rsidRDefault="00537E5F" w:rsidP="00507A31">
      <w:pPr>
        <w:autoSpaceDE w:val="0"/>
        <w:autoSpaceDN w:val="0"/>
        <w:adjustRightInd w:val="0"/>
        <w:jc w:val="both"/>
        <w:rPr>
          <w:iCs/>
          <w:color w:val="000000" w:themeColor="text1"/>
          <w:sz w:val="16"/>
          <w:szCs w:val="16"/>
        </w:rPr>
      </w:pPr>
    </w:p>
    <w:p w14:paraId="52F4F2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1930 г. был утвержден план закупок новой техники для ВВС, в котором значилось, что в финансовом 1930/1931 г. от промышленности должны получить первые восемь ТБ-3. Позже цифру дважды корректировали, рассчитывая до конца 1931 г. принять сначала пять, потом только три самолета (7668).</w:t>
      </w:r>
    </w:p>
    <w:p w14:paraId="19FE03F3" w14:textId="77777777" w:rsidR="00537E5F" w:rsidRPr="00507A31" w:rsidRDefault="00537E5F" w:rsidP="00507A31">
      <w:pPr>
        <w:autoSpaceDE w:val="0"/>
        <w:autoSpaceDN w:val="0"/>
        <w:adjustRightInd w:val="0"/>
        <w:jc w:val="both"/>
        <w:rPr>
          <w:color w:val="000000" w:themeColor="text1"/>
          <w:sz w:val="16"/>
          <w:szCs w:val="16"/>
        </w:rPr>
      </w:pPr>
    </w:p>
    <w:p w14:paraId="40EA496F" w14:textId="77777777" w:rsidR="00061186" w:rsidRPr="00507A31" w:rsidRDefault="00061186" w:rsidP="00507A31">
      <w:pPr>
        <w:jc w:val="both"/>
        <w:rPr>
          <w:color w:val="000000" w:themeColor="text1"/>
          <w:sz w:val="16"/>
          <w:szCs w:val="16"/>
        </w:rPr>
      </w:pPr>
      <w:r w:rsidRPr="00507A31">
        <w:rPr>
          <w:color w:val="000000" w:themeColor="text1"/>
          <w:sz w:val="16"/>
          <w:szCs w:val="16"/>
        </w:rPr>
        <w:t>В феврале 1930 г. выщел приказ РВС СССР № 43 «О введении в действие Наставления по боевому применению Морской авиации» (19566).</w:t>
      </w:r>
    </w:p>
    <w:p w14:paraId="770FFE17" w14:textId="77777777" w:rsidR="00061186" w:rsidRPr="00507A31" w:rsidRDefault="00061186" w:rsidP="00507A31">
      <w:pPr>
        <w:jc w:val="both"/>
        <w:rPr>
          <w:color w:val="000000" w:themeColor="text1"/>
          <w:sz w:val="16"/>
          <w:szCs w:val="16"/>
        </w:rPr>
      </w:pPr>
    </w:p>
    <w:p w14:paraId="5CA8A986" w14:textId="77777777" w:rsidR="00C97C49" w:rsidRPr="00507A31" w:rsidRDefault="00C97C49" w:rsidP="00507A31">
      <w:pPr>
        <w:shd w:val="clear" w:color="auto" w:fill="FFFFFF"/>
        <w:jc w:val="both"/>
        <w:rPr>
          <w:color w:val="0070C0"/>
          <w:sz w:val="16"/>
          <w:szCs w:val="16"/>
        </w:rPr>
      </w:pPr>
      <w:r w:rsidRPr="00507A31">
        <w:rPr>
          <w:color w:val="0070C0"/>
          <w:sz w:val="16"/>
          <w:szCs w:val="16"/>
        </w:rPr>
        <w:t>В феврале 1930 г. работа штабов округов и Штаба РККА приобрела исключительно напряженный характер (По утверждению руководителей ЛВО, "мобилизационные работники и работники оперативного отделения (Штаба округа) вынуждены просиживать сверх норм не менее 4 часов в сутки". "Такая усиленная работа, - писали они в начале апреля, - ведется уже в течение полутора месяцев и закончится не ранее половины мая" (Обращение Помощника Командующего войсками ЛВО Федько и Помощника Начальника ПУ ЛВО Витола к Заместителю Председателя РВС СССР Уншлихту. 3/4.04.1930 // РГВА Ф. 4- On. 1. Д 1372. Л. 85)). Если в округах усилия были сосредоточены на разработке мобрасписания № 10 с одновременным уточнением расписания № 8, то Штаб РККА был озабочен прежде всего пересмотром варианта № 12 (на 1933 г.). До середины февраля сохранялась неясность, "какой из намеченных четырех вариантов" (Литеры "А1", "А", "Б" и "В") будет принят политическим руководством в качестве исходного для определения параметров армии военного времеии (Доклад Начальника Штаба РККА Шапошникова Наркому по Военным и Морским Делам Ворошилову, [до 15J.02.1930 // Там же Ф. 7. On. 10. Д. 994. Л. 8. Разница между этими вариантами была громадной. Проект численности армии военного времени (без учета пополнений убыли) по литере А1 выражался в 3652 тыс. человек, а по литере "Б" - в 6029 тыс. (Черновые материалы II Управления Штаба РККА, б/д // Там же. Л. 35). В данном случае, видимо, под армией военного времени имелись в виду силы, развертываемые как по мобилизации, так и в первый период (вероятно, год) войны, однако меньшие по своим размерам, чем совокупность состава мирного времени и новых призывных контингентов, поскольку из них исключался личный состав, идущий на пополнение всех видов потерь. Неясно, включали ли названные цифры численность войск ОГПУ и конвойных войск). Судя но косвенным данным, такие директивы были получены НКВМ в середине февраля, и к 27 февраля Штаб РККА представил на рассмотрение наркома "новый вариант на военное время" (См.: Доклад Начальника Штаба РККА Шапошникова Наркому по Военным и Морским Делам Ворошилову ("весьма срочно", "лично"), 13-03.1930 // Там же. Ф. 4. On. 1. Д 1230. Л. 11.) (22725).</w:t>
      </w:r>
    </w:p>
    <w:p w14:paraId="4D7C6D4B" w14:textId="77777777" w:rsidR="00C97C49" w:rsidRPr="00507A31" w:rsidRDefault="00C97C49" w:rsidP="00507A31">
      <w:pPr>
        <w:jc w:val="both"/>
        <w:rPr>
          <w:rFonts w:eastAsia="TimesNewRomanPSMT"/>
          <w:color w:val="0070C0"/>
          <w:sz w:val="16"/>
          <w:szCs w:val="16"/>
        </w:rPr>
      </w:pPr>
    </w:p>
    <w:p w14:paraId="3B939F3C" w14:textId="77777777" w:rsidR="000649FD" w:rsidRPr="00507A31" w:rsidRDefault="000649FD"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9508369" w14:textId="77777777" w:rsidR="000649FD" w:rsidRPr="00507A31" w:rsidRDefault="000649FD" w:rsidP="00507A31">
      <w:pPr>
        <w:autoSpaceDE w:val="0"/>
        <w:autoSpaceDN w:val="0"/>
        <w:adjustRightInd w:val="0"/>
        <w:jc w:val="both"/>
        <w:rPr>
          <w:iCs/>
          <w:color w:val="000000" w:themeColor="text1"/>
          <w:sz w:val="16"/>
          <w:szCs w:val="16"/>
        </w:rPr>
      </w:pPr>
    </w:p>
    <w:p w14:paraId="10CE18FB" w14:textId="77777777" w:rsidR="000649FD" w:rsidRPr="00507A31" w:rsidRDefault="000649FD" w:rsidP="00507A31">
      <w:pPr>
        <w:jc w:val="both"/>
        <w:rPr>
          <w:color w:val="000000" w:themeColor="text1"/>
          <w:sz w:val="16"/>
          <w:szCs w:val="16"/>
        </w:rPr>
      </w:pPr>
      <w:r w:rsidRPr="00507A31">
        <w:rPr>
          <w:color w:val="000000" w:themeColor="text1"/>
          <w:sz w:val="16"/>
          <w:szCs w:val="16"/>
        </w:rPr>
        <w:t>В феврале 1930 г. группа морских офицеров во главе с командующим Черноморским флотом Орловым</w:t>
      </w:r>
      <w:hyperlink r:id="rId38" w:anchor="n_378" w:history="1">
        <w:r w:rsidRPr="00507A31">
          <w:rPr>
            <w:rStyle w:val="a5"/>
            <w:color w:val="000000" w:themeColor="text1"/>
            <w:sz w:val="16"/>
            <w:szCs w:val="16"/>
          </w:rPr>
          <w:t>[378]</w:t>
        </w:r>
      </w:hyperlink>
      <w:r w:rsidRPr="00507A31">
        <w:rPr>
          <w:color w:val="000000" w:themeColor="text1"/>
          <w:sz w:val="16"/>
          <w:szCs w:val="16"/>
        </w:rPr>
        <w:t> прибыла в Берлин. В ее состав входили также командир соединения минных заградителей Балтфлота П. И. Смирнов (под псевдонимом Соколин), председатель военно-морской секции Военно-научного комитета (ВНК) при РВС А. И. Берг, его заместитель П. Ю. Орас, начальник артиллеристской секции ВНК Леонов. С немецкой стороны переговоры вели командующий ВМС Германии адмирал Рэдер, его заместитель адмирал Брутцер, а также морские офицеры Айхель Тилиссен, Ханзен. Немцы прямо сказали Орлову, что германский флот мало заинтересован в сотрудничестве с СССР в области вооружений, поскольку здесь Германия продвинулась гораздо дальше, чем Советский Союз. Но Брутцер отметил, что было бы неплохо использовать возможность для подготовки на территории СССР немецких летчиков морской авиации, так как самой Германии это было запрещено Версальским договором. Орлов пригласил немцев приехать с ответным визитом в СССР. Летом 1931 г. семь немецких летчиков морской авиации прошли обучение в Липецке.</w:t>
      </w:r>
    </w:p>
    <w:p w14:paraId="4DA113C0" w14:textId="77777777" w:rsidR="000649FD" w:rsidRPr="00507A31" w:rsidRDefault="000649FD" w:rsidP="00507A31">
      <w:pPr>
        <w:jc w:val="both"/>
        <w:rPr>
          <w:color w:val="000000" w:themeColor="text1"/>
          <w:sz w:val="16"/>
          <w:szCs w:val="16"/>
        </w:rPr>
      </w:pPr>
      <w:r w:rsidRPr="00507A31">
        <w:rPr>
          <w:color w:val="000000" w:themeColor="text1"/>
          <w:sz w:val="16"/>
          <w:szCs w:val="16"/>
        </w:rPr>
        <w:t>Помимо Берлина делегация Орлова посетила Киль, Вильгельмсхафен, Гамбург, Бремен, Дюссельдорф. В Киле ей показали крейсеры «Пройссен» и «Кенигсберг», морской арсенал, стапеля фирмы «Дойче Верке», школу морской артиллерии, механическую школу, радиостанцию; в Вильгельмсхафене — крейсер «Ляйпциг», морскую верфь, школу береговой артиллерии, зенитную батарею; в Дюссельдорфе — орудийный завод «Райнметалла».</w:t>
      </w:r>
    </w:p>
    <w:p w14:paraId="377F79ED" w14:textId="77777777" w:rsidR="000649FD" w:rsidRPr="00507A31" w:rsidRDefault="000649FD" w:rsidP="00507A31">
      <w:pPr>
        <w:jc w:val="both"/>
        <w:rPr>
          <w:color w:val="000000" w:themeColor="text1"/>
          <w:sz w:val="16"/>
          <w:szCs w:val="16"/>
        </w:rPr>
      </w:pPr>
      <w:r w:rsidRPr="00507A31">
        <w:rPr>
          <w:color w:val="000000" w:themeColor="text1"/>
          <w:sz w:val="16"/>
          <w:szCs w:val="16"/>
        </w:rPr>
        <w:t>По результатам поездки Орлов отметил, что с подводными лодками, торпедными катерами, минами, химией и зенитной артиллерией ознакомиться не удалось. Он сделал вывод о нежелании немцев знакомить советскую делегацию с данными видами вооружений. Однако не это было главным. Относительно сотрудничества с германскими ВМС по существу он писал:</w:t>
      </w:r>
    </w:p>
    <w:p w14:paraId="30755662" w14:textId="77777777" w:rsidR="000649FD" w:rsidRPr="00507A31" w:rsidRDefault="000649FD" w:rsidP="00507A31">
      <w:pPr>
        <w:jc w:val="both"/>
        <w:rPr>
          <w:color w:val="000000" w:themeColor="text1"/>
          <w:sz w:val="16"/>
          <w:szCs w:val="16"/>
        </w:rPr>
      </w:pPr>
      <w:r w:rsidRPr="00507A31">
        <w:rPr>
          <w:color w:val="000000" w:themeColor="text1"/>
          <w:sz w:val="16"/>
          <w:szCs w:val="16"/>
        </w:rPr>
        <w:t>«Германский флот представляет для нас весьма крупный интерес. &lt;…&gt; Высокая техника и солидный боевой опыт германского флота подтверждают это со всей определенностью. Связь с германским флотом должна быть продолжена и превращена в систематическую и постоянную.</w:t>
      </w:r>
    </w:p>
    <w:p w14:paraId="207FCCEA" w14:textId="77777777" w:rsidR="000649FD" w:rsidRPr="00507A31" w:rsidRDefault="000649FD" w:rsidP="00507A31">
      <w:pPr>
        <w:jc w:val="both"/>
        <w:rPr>
          <w:color w:val="000000" w:themeColor="text1"/>
          <w:sz w:val="16"/>
          <w:szCs w:val="16"/>
        </w:rPr>
      </w:pPr>
      <w:r w:rsidRPr="00507A31">
        <w:rPr>
          <w:color w:val="000000" w:themeColor="text1"/>
          <w:sz w:val="16"/>
          <w:szCs w:val="16"/>
        </w:rPr>
        <w:t>Использование нами германской военно-морской техники должно быть поставлено со всей серьезностью. Необходимо теперь же приступить к разработке вопросов: реализации технической помощи со стороны Германии, увязки пятилетки строительства морских сил РККА с производством отдельных заказов в Германии, изучения непосредственно на предприятии отдельных технических проблем.</w:t>
      </w:r>
    </w:p>
    <w:p w14:paraId="61E4E248" w14:textId="77777777" w:rsidR="000649FD" w:rsidRPr="00507A31" w:rsidRDefault="000649FD" w:rsidP="00507A31">
      <w:pPr>
        <w:jc w:val="both"/>
        <w:rPr>
          <w:color w:val="000000" w:themeColor="text1"/>
          <w:sz w:val="16"/>
          <w:szCs w:val="16"/>
        </w:rPr>
      </w:pPr>
      <w:r w:rsidRPr="00507A31">
        <w:rPr>
          <w:color w:val="000000" w:themeColor="text1"/>
          <w:sz w:val="16"/>
          <w:szCs w:val="16"/>
        </w:rPr>
        <w:t>Следует также учесть необходимость тщательной и продуманной проработки вопроса о привлечении (в соответственно ограниченных рамках) немцев к усовершенствованию учебно-боевой подготовки морских сил СССР. Соблюдая в этом вопросе особую осторожность и предусмотрительность, необходимо все же использовать не только технические достижения, но и боевой опыт германского флота» (18265).</w:t>
      </w:r>
    </w:p>
    <w:p w14:paraId="24C9C39E" w14:textId="77777777" w:rsidR="000649FD" w:rsidRPr="00507A31" w:rsidRDefault="000649FD" w:rsidP="00507A31">
      <w:pPr>
        <w:jc w:val="both"/>
        <w:rPr>
          <w:color w:val="000000" w:themeColor="text1"/>
          <w:sz w:val="16"/>
          <w:szCs w:val="16"/>
        </w:rPr>
      </w:pPr>
    </w:p>
    <w:p w14:paraId="6B62479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46202E4" w14:textId="77777777" w:rsidR="00537E5F" w:rsidRPr="00507A31" w:rsidRDefault="00537E5F" w:rsidP="00507A31">
      <w:pPr>
        <w:autoSpaceDE w:val="0"/>
        <w:autoSpaceDN w:val="0"/>
        <w:adjustRightInd w:val="0"/>
        <w:jc w:val="both"/>
        <w:rPr>
          <w:iCs/>
          <w:color w:val="000000" w:themeColor="text1"/>
          <w:sz w:val="16"/>
          <w:szCs w:val="16"/>
        </w:rPr>
      </w:pPr>
    </w:p>
    <w:p w14:paraId="2F15A8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феврале- марте 1930 года на лужском полигоне прошли испытания различных видов химоружия, в том числе ядовито-дымных шашек с адамситом (9065).</w:t>
      </w:r>
    </w:p>
    <w:p w14:paraId="6CF91D8E" w14:textId="77777777" w:rsidR="00442680" w:rsidRPr="00507A31" w:rsidRDefault="00442680" w:rsidP="00507A31">
      <w:pPr>
        <w:autoSpaceDE w:val="0"/>
        <w:autoSpaceDN w:val="0"/>
        <w:adjustRightInd w:val="0"/>
        <w:jc w:val="both"/>
        <w:rPr>
          <w:iCs/>
          <w:color w:val="000000" w:themeColor="text1"/>
          <w:sz w:val="16"/>
          <w:szCs w:val="16"/>
        </w:rPr>
      </w:pPr>
    </w:p>
    <w:p w14:paraId="2BEFB810" w14:textId="77777777" w:rsidR="00442680"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67511CF" w14:textId="77777777" w:rsidR="00442680" w:rsidRPr="00507A31" w:rsidRDefault="00442680" w:rsidP="00507A31">
      <w:pPr>
        <w:autoSpaceDE w:val="0"/>
        <w:autoSpaceDN w:val="0"/>
        <w:adjustRightInd w:val="0"/>
        <w:jc w:val="both"/>
        <w:rPr>
          <w:iCs/>
          <w:color w:val="000000" w:themeColor="text1"/>
          <w:sz w:val="16"/>
          <w:szCs w:val="16"/>
        </w:rPr>
      </w:pPr>
    </w:p>
    <w:p w14:paraId="7438FD6D" w14:textId="77777777" w:rsidR="00442680" w:rsidRPr="00507A31" w:rsidRDefault="00442680" w:rsidP="00507A31">
      <w:pPr>
        <w:pStyle w:val="ae"/>
        <w:shd w:val="clear" w:color="auto" w:fill="FFFFFF"/>
        <w:spacing w:before="0" w:after="0"/>
        <w:jc w:val="both"/>
        <w:rPr>
          <w:color w:val="000000" w:themeColor="text1"/>
          <w:sz w:val="16"/>
          <w:szCs w:val="16"/>
        </w:rPr>
      </w:pPr>
      <w:r w:rsidRPr="00507A31">
        <w:rPr>
          <w:color w:val="000000" w:themeColor="text1"/>
          <w:sz w:val="16"/>
          <w:szCs w:val="16"/>
        </w:rPr>
        <w:t>К весне 1931 года корпус первой сормовской Щуки был готов. 2 мая 1931 года, во время весеннего половодья, подводную лодку спустили (вернее, она всплыла над стапельными клетками) и вывели в затон завода. Построенный корпус подлодки долго плавал в затоне, тщетно дожидаясь поставки главных механизмов, судового оборудования и некоторых деталей с комбината «Красное Сормово». Вместо постройки шла переписка — завод просил, контрагенты обещали, сроки срывались, интенсивно шуршала только бумага в канцеляриях. Вот 3 марта 1933 года «Главтрансмаш» просит «Русский дизель» немедленно отгрузить пару дизелей «Красному Сормову». А 8 марта 1933 он же просит «Красное Сормово» связаться с «Русским дизелем» для доставки в кратчайшие сроки дизелей, которые обещают отгрузить 12 и 25 марта. В апреле они еще так и не поступили на завод. Годом раньше дизели вообще обещали поставить с Коломенского завода в мае 1932 года (?!) Даже комбинат «Красное Сормово» и тот обманул верфь — не поставил — 11,5 т стальных поковок, 18,9 т — стального и 5,3 т бронзового литья. Отставание по срокам поставок составляло 6—8 месяцев. Объективных причин отставания строительства первой подводной лодки было предостаточно. Когда заложили первую подводную лодку на стапеле, на заводе еще не было не только необходимых рабочих чертежей, но даже плазовой документации, — она поступила лишь 20 июля.</w:t>
      </w:r>
    </w:p>
    <w:p w14:paraId="495F2686" w14:textId="77777777" w:rsidR="00442680" w:rsidRPr="00507A31" w:rsidRDefault="00442680" w:rsidP="00507A31">
      <w:pPr>
        <w:pStyle w:val="ae"/>
        <w:shd w:val="clear" w:color="auto" w:fill="FFFFFF"/>
        <w:spacing w:before="0" w:after="0"/>
        <w:jc w:val="both"/>
        <w:rPr>
          <w:color w:val="000000" w:themeColor="text1"/>
          <w:sz w:val="16"/>
          <w:szCs w:val="16"/>
        </w:rPr>
      </w:pPr>
      <w:r w:rsidRPr="00507A31">
        <w:rPr>
          <w:color w:val="000000" w:themeColor="text1"/>
          <w:sz w:val="16"/>
          <w:szCs w:val="16"/>
        </w:rPr>
        <w:t>А вот начальник морских сил РККА В. М. Орлов объективные трудности не признавал. Исходя из факта отставания строительства подводной лодки, высказал свое мнение о целесообразности передачи последующего заказа на подводную лодку с Сормовской верфи. Заместитель Наркома тяжелой промышленности т. Доценко тоже высказался за передачу строительства подлодок с «Красного Сормова» на другую верфь страны. В октябре того же года последовало указание из «Речсоюзверфи»: «Сектор специального судостроения как самостоятельную производственную единицу ликвидировать, весь личный состав передать Верфи…90 человек командировать в Хабаровск на «Востоксоюзверфь».</w:t>
      </w:r>
    </w:p>
    <w:p w14:paraId="6255BA1F" w14:textId="77777777" w:rsidR="00442680" w:rsidRPr="00507A31" w:rsidRDefault="00442680" w:rsidP="00507A31">
      <w:pPr>
        <w:pStyle w:val="ae"/>
        <w:shd w:val="clear" w:color="auto" w:fill="FFFFFF"/>
        <w:spacing w:before="0" w:after="0"/>
        <w:jc w:val="both"/>
        <w:rPr>
          <w:color w:val="000000" w:themeColor="text1"/>
          <w:sz w:val="16"/>
          <w:szCs w:val="16"/>
        </w:rPr>
      </w:pPr>
      <w:r w:rsidRPr="00507A31">
        <w:rPr>
          <w:color w:val="000000" w:themeColor="text1"/>
          <w:sz w:val="16"/>
          <w:szCs w:val="16"/>
        </w:rPr>
        <w:t>В защиту продолжения строительства подводных лодок на заводе выступил П. И. Макаркин. Он обратился в Совет труда и обороны (СТО) с письмом: «Как начальник специального судостроения на Сормовской верфи, отдавший из-за любви к этому делу лучшие годы своей жизни, — писал он, — я не могу не высказать Вам своего мнения… Есть необходимость иметь в глубине Союза безопасную базу для постройки подлодок… Спецверфь построила корпус первой подлодки к лету 1931 года, затратив на постройку около 10 месяцев, то есть не уступая другим хорошо оборудованным верфям Союза, например, Балтийского и Николаевского заводов…»</w:t>
      </w:r>
    </w:p>
    <w:p w14:paraId="0DD21021" w14:textId="77777777" w:rsidR="00442680" w:rsidRPr="00507A31" w:rsidRDefault="00442680" w:rsidP="00507A31">
      <w:pPr>
        <w:pStyle w:val="ae"/>
        <w:shd w:val="clear" w:color="auto" w:fill="FFFFFF"/>
        <w:spacing w:before="0" w:after="0"/>
        <w:jc w:val="both"/>
        <w:rPr>
          <w:color w:val="000000" w:themeColor="text1"/>
          <w:sz w:val="16"/>
          <w:szCs w:val="16"/>
        </w:rPr>
      </w:pPr>
      <w:r w:rsidRPr="00507A31">
        <w:rPr>
          <w:color w:val="000000" w:themeColor="text1"/>
          <w:sz w:val="16"/>
          <w:szCs w:val="16"/>
        </w:rPr>
        <w:t>Он ищет поддержку и в партийных органах. Отстаивает, доказывает, обращаясь в Москву, он просит «… установить истинные причины медленного хода постройки подлодок на Сормовской Судоверфи… и продолжить строительство подводных лодок на Сормовском заводе» (12189).</w:t>
      </w:r>
    </w:p>
    <w:p w14:paraId="4EC185CC" w14:textId="77777777" w:rsidR="00442680" w:rsidRPr="00507A31" w:rsidRDefault="00442680" w:rsidP="00507A31">
      <w:pPr>
        <w:pStyle w:val="ae"/>
        <w:shd w:val="clear" w:color="auto" w:fill="FFFFFF"/>
        <w:spacing w:before="0" w:after="0"/>
        <w:jc w:val="both"/>
        <w:rPr>
          <w:color w:val="000000" w:themeColor="text1"/>
          <w:sz w:val="16"/>
          <w:szCs w:val="16"/>
        </w:rPr>
      </w:pPr>
    </w:p>
    <w:p w14:paraId="7136CBB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E31CE78" w14:textId="77777777" w:rsidR="00537E5F" w:rsidRPr="00507A31" w:rsidRDefault="00537E5F" w:rsidP="00507A31">
      <w:pPr>
        <w:autoSpaceDE w:val="0"/>
        <w:autoSpaceDN w:val="0"/>
        <w:adjustRightInd w:val="0"/>
        <w:jc w:val="both"/>
        <w:rPr>
          <w:iCs/>
          <w:color w:val="000000" w:themeColor="text1"/>
          <w:sz w:val="16"/>
          <w:szCs w:val="16"/>
        </w:rPr>
      </w:pPr>
    </w:p>
    <w:p w14:paraId="37CACB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течение зимы и весны 1930 года на полигоне Кузьминках были проведены сначала опытные, а затем и войсковые испытания носимого ранцевого прибора для заражения местности НПЗ-2. Его рабочая емкость составляла 17-18 литров. Площадь, заражаемая с помощью одного прибора - от 600 до 1100 квадратных метров (9065).</w:t>
      </w:r>
    </w:p>
    <w:p w14:paraId="79E25C29" w14:textId="77777777" w:rsidR="00537E5F" w:rsidRPr="00507A31" w:rsidRDefault="00537E5F" w:rsidP="00507A31">
      <w:pPr>
        <w:autoSpaceDE w:val="0"/>
        <w:autoSpaceDN w:val="0"/>
        <w:adjustRightInd w:val="0"/>
        <w:jc w:val="both"/>
        <w:rPr>
          <w:color w:val="000000" w:themeColor="text1"/>
          <w:sz w:val="16"/>
          <w:szCs w:val="16"/>
        </w:rPr>
      </w:pPr>
    </w:p>
    <w:p w14:paraId="7BF67BAA" w14:textId="77777777" w:rsidR="00C82FB4" w:rsidRPr="00507A31" w:rsidRDefault="00C82FB4"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39F322D1" w14:textId="77777777" w:rsidR="00C82FB4" w:rsidRPr="00507A31" w:rsidRDefault="00C82FB4" w:rsidP="00507A31">
      <w:pPr>
        <w:autoSpaceDE w:val="0"/>
        <w:autoSpaceDN w:val="0"/>
        <w:adjustRightInd w:val="0"/>
        <w:jc w:val="both"/>
        <w:rPr>
          <w:iCs/>
          <w:color w:val="000000" w:themeColor="text1"/>
          <w:sz w:val="16"/>
          <w:szCs w:val="16"/>
        </w:rPr>
      </w:pPr>
    </w:p>
    <w:p w14:paraId="3F8B81B8" w14:textId="77777777" w:rsidR="00C82FB4" w:rsidRPr="00507A31" w:rsidRDefault="00C82FB4" w:rsidP="00507A31">
      <w:pPr>
        <w:pStyle w:val="ae"/>
        <w:spacing w:before="0" w:after="0"/>
        <w:jc w:val="both"/>
        <w:textAlignment w:val="baseline"/>
        <w:rPr>
          <w:color w:val="000000" w:themeColor="text1"/>
          <w:sz w:val="16"/>
          <w:szCs w:val="16"/>
        </w:rPr>
      </w:pPr>
      <w:r w:rsidRPr="00507A31">
        <w:rPr>
          <w:color w:val="000000" w:themeColor="text1"/>
          <w:sz w:val="16"/>
          <w:szCs w:val="16"/>
        </w:rPr>
        <w:t>Зима-весна 1930 года в Казани прошли под знаком переделок. Правда, танкам Daimler-Benz они помогли не сильно. На них были установлены новые траки шириной 380 мм, оснащённые резиновыми подушками. Вот только испытания показали, что и новые траки ведут себя не очень хорошо. Особенно это касалось резиновых подушек, довольно быстро разрушавшихся. Второй проблемой оказались рессоры, на которые при поворотах действовала дополнительная нагрузка. Проблема с перегревом двигателя осталась даже после переделки системы охлаждения, лишь к концу 1930 года ситуацию удалось немного улучшить. За весь 1930 год танк №41 преодолел 25 километров, а танк №42 не ездил вообще. Поездки проходили на территории полигона, быстрее 8,1 км/ч танк не разгонялся.</w:t>
      </w:r>
    </w:p>
    <w:p w14:paraId="65FC48DB" w14:textId="77777777" w:rsidR="00C82FB4" w:rsidRPr="00507A31" w:rsidRDefault="00C82FB4" w:rsidP="00507A31">
      <w:pPr>
        <w:pStyle w:val="ae"/>
        <w:spacing w:before="0" w:after="0"/>
        <w:jc w:val="both"/>
        <w:textAlignment w:val="baseline"/>
        <w:rPr>
          <w:color w:val="000000" w:themeColor="text1"/>
          <w:sz w:val="16"/>
          <w:szCs w:val="16"/>
        </w:rPr>
      </w:pPr>
      <w:r w:rsidRPr="00507A31">
        <w:rPr>
          <w:color w:val="000000" w:themeColor="text1"/>
          <w:sz w:val="16"/>
          <w:szCs w:val="16"/>
        </w:rPr>
        <w:t xml:space="preserve">Правда, и у танка Krupp дела не заладились. Танк №43 не ездил вообще, а танк №44 проехал всего 10 километров, и тоже только по территории полигона. При этом, правда, была развита скорость 22,5 км/ч. Испытания показали, что немецкие гусеничные ленты имеют ряд недостатков, у всех без исключения танков отмечалась склонность к их сбрасыванию. В итоге это привело к появлению идеи переднего расположения трансмиссии, скопированного с британского транспортёра Carden-Loyd и впервые применённого немцами на </w:t>
      </w:r>
      <w:hyperlink r:id="rId39" w:history="1">
        <w:r w:rsidRPr="00507A31">
          <w:rPr>
            <w:rStyle w:val="a5"/>
            <w:bCs/>
            <w:iCs/>
            <w:color w:val="000000" w:themeColor="text1"/>
            <w:sz w:val="16"/>
            <w:szCs w:val="16"/>
            <w:bdr w:val="none" w:sz="0" w:space="0" w:color="auto" w:frame="1"/>
          </w:rPr>
          <w:t>La.S</w:t>
        </w:r>
      </w:hyperlink>
      <w:r w:rsidRPr="00507A31">
        <w:rPr>
          <w:color w:val="000000" w:themeColor="text1"/>
          <w:sz w:val="16"/>
          <w:szCs w:val="16"/>
        </w:rPr>
        <w:t>. Вот только дело было далеко не в одном приводе. Достаточно посмотреть на конструкцию ведущих колёс всех Großtraktor, чтобы понять, что проблема заключалась в неудачной системе зацепления. Кроме того, траки на всех танках быстро изнашивались. Лучше всего дела обстояли на средних танках Rheinmetall: танк №45 (который утонул) весь 1930 год не ездил, зато танк №46 преодолел 215 километров. Это был единственный из Großtraktor, который покидал территорию полигона. Его максимальная скорость достигала 22 км/ч.</w:t>
      </w:r>
    </w:p>
    <w:p w14:paraId="1A83F1AC" w14:textId="77777777" w:rsidR="00C82FB4" w:rsidRPr="00507A31" w:rsidRDefault="00C82FB4" w:rsidP="00507A31">
      <w:pPr>
        <w:pStyle w:val="ae"/>
        <w:spacing w:before="0" w:after="0"/>
        <w:jc w:val="both"/>
        <w:textAlignment w:val="baseline"/>
        <w:rPr>
          <w:color w:val="000000" w:themeColor="text1"/>
          <w:sz w:val="16"/>
          <w:szCs w:val="16"/>
        </w:rPr>
      </w:pPr>
      <w:r w:rsidRPr="00507A31">
        <w:rPr>
          <w:color w:val="000000" w:themeColor="text1"/>
          <w:sz w:val="16"/>
          <w:szCs w:val="16"/>
        </w:rPr>
        <w:t>Ходовую часть танка в связи с имевшимися к ней претензиями модернизировали. Количество опорных катков сократилось до 16 на борт.</w:t>
      </w:r>
    </w:p>
    <w:p w14:paraId="52DB0D7A" w14:textId="77777777" w:rsidR="00C82FB4" w:rsidRPr="00507A31" w:rsidRDefault="00C82FB4" w:rsidP="00507A31">
      <w:pPr>
        <w:pStyle w:val="ae"/>
        <w:spacing w:before="0" w:after="0"/>
        <w:jc w:val="both"/>
        <w:textAlignment w:val="baseline"/>
        <w:rPr>
          <w:color w:val="000000" w:themeColor="text1"/>
          <w:sz w:val="16"/>
          <w:szCs w:val="16"/>
        </w:rPr>
      </w:pPr>
      <w:r w:rsidRPr="00507A31">
        <w:rPr>
          <w:color w:val="000000" w:themeColor="text1"/>
          <w:sz w:val="16"/>
          <w:szCs w:val="16"/>
        </w:rPr>
        <w:t>Много претензий было и к работе коробки передач. Для того, чтобы переключиться на другую передачу, приходилось останавливать танк. Явно назрела серьёзная переделка трансмиссии (17713).</w:t>
      </w:r>
    </w:p>
    <w:p w14:paraId="38A0F1CA" w14:textId="77777777" w:rsidR="00C82FB4" w:rsidRPr="00507A31" w:rsidRDefault="00C82FB4" w:rsidP="00507A31">
      <w:pPr>
        <w:jc w:val="both"/>
        <w:rPr>
          <w:color w:val="000000" w:themeColor="text1"/>
          <w:sz w:val="16"/>
          <w:szCs w:val="16"/>
        </w:rPr>
      </w:pPr>
    </w:p>
    <w:p w14:paraId="11689E83" w14:textId="77777777" w:rsidR="000649FD" w:rsidRPr="00507A31" w:rsidRDefault="000649FD"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595D00B" w14:textId="77777777" w:rsidR="000649FD" w:rsidRPr="00507A31" w:rsidRDefault="000649FD" w:rsidP="00507A31">
      <w:pPr>
        <w:autoSpaceDE w:val="0"/>
        <w:autoSpaceDN w:val="0"/>
        <w:adjustRightInd w:val="0"/>
        <w:jc w:val="both"/>
        <w:rPr>
          <w:iCs/>
          <w:color w:val="000000" w:themeColor="text1"/>
          <w:sz w:val="16"/>
          <w:szCs w:val="16"/>
        </w:rPr>
      </w:pPr>
    </w:p>
    <w:p w14:paraId="0F5B28A4" w14:textId="77777777" w:rsidR="000649FD" w:rsidRPr="00507A31" w:rsidRDefault="000649FD" w:rsidP="00507A31">
      <w:pPr>
        <w:shd w:val="clear" w:color="auto" w:fill="FFFFFF"/>
        <w:jc w:val="both"/>
        <w:rPr>
          <w:color w:val="000000" w:themeColor="text1"/>
          <w:sz w:val="16"/>
          <w:szCs w:val="16"/>
        </w:rPr>
      </w:pPr>
      <w:r w:rsidRPr="00507A31">
        <w:rPr>
          <w:color w:val="000000" w:themeColor="text1"/>
          <w:sz w:val="16"/>
          <w:szCs w:val="16"/>
        </w:rPr>
        <w:t>К началу марта 1930 года был представлен проект Т-19, а Гинзбургом являлся сотрудником УММ КА, то есть фактически приемщиком со стороны заказчика. Разрабатывался Т-19 "Большевиком" совместно с ГКБ ОАТ, главным конструктором машины был Шукалов, а ведущим инженером - Г.С. Прахье. Ну и дальнейшие события показали, что Гинзбург отнюдь не отстаивал данную машину. Ну и тем более она была не "его" (19634).</w:t>
      </w:r>
    </w:p>
    <w:p w14:paraId="3732CBC2" w14:textId="77777777" w:rsidR="000649FD" w:rsidRPr="00507A31" w:rsidRDefault="000649FD" w:rsidP="00507A31">
      <w:pPr>
        <w:shd w:val="clear" w:color="auto" w:fill="FFFFFF"/>
        <w:jc w:val="both"/>
        <w:rPr>
          <w:color w:val="000000" w:themeColor="text1"/>
          <w:sz w:val="16"/>
          <w:szCs w:val="16"/>
        </w:rPr>
      </w:pPr>
    </w:p>
    <w:p w14:paraId="32BFA37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CEE41AC" w14:textId="77777777" w:rsidR="00537E5F" w:rsidRPr="00507A31" w:rsidRDefault="00537E5F" w:rsidP="00507A31">
      <w:pPr>
        <w:autoSpaceDE w:val="0"/>
        <w:autoSpaceDN w:val="0"/>
        <w:adjustRightInd w:val="0"/>
        <w:jc w:val="both"/>
        <w:rPr>
          <w:iCs/>
          <w:color w:val="000000" w:themeColor="text1"/>
          <w:sz w:val="16"/>
          <w:szCs w:val="16"/>
        </w:rPr>
      </w:pPr>
    </w:p>
    <w:p w14:paraId="5B5A6D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 года гл. инспектор Анвельт и управделами Ястребов писали письмо № 1220 в Отдел труда Московского областного исполкома</w:t>
      </w:r>
    </w:p>
    <w:p w14:paraId="3738F6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прошлого бюджетного года снабжение нашего ГВФ металлическими пассажирскими самолетами базировалось исключительно на иностранный рынок.</w:t>
      </w:r>
    </w:p>
    <w:p w14:paraId="1F646D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Только в минувшем году по настоянию УВВС удалось в этом отношении коренным образом изменить дальнейшее снабжение, перенеся постройку пассажирских самолетов на свою авиапромышленность.</w:t>
      </w:r>
    </w:p>
    <w:p w14:paraId="6AB999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Этот сдвиг удалось произвести лишь при том героическом напряжении, который выявил в своей работе ЦАГИ, давший в сверхплановом порядке первый опытный металлический пассажирский самолет "АНТ-9" – "Крылья Советов".</w:t>
      </w:r>
    </w:p>
    <w:p w14:paraId="6D4EC2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пассажирские самолеты АНТ-9, давшие блестящие результаты уже введены на снабжение воздушных линий Союза с выпуском первой серии в 1930 году в количестве более 10 самолетов.</w:t>
      </w:r>
    </w:p>
    <w:p w14:paraId="01994D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текущем году совершенно необходимо в интересах нормального развития ГВФ немедленно приступить к постройке головного пятимоторного металлического пассажирского самолета на 32 пассажира "АНТ-14".</w:t>
      </w:r>
    </w:p>
    <w:p w14:paraId="713099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Точно также, как и в прошлом году при наличии еще большей перегрузки программы ЦАГИ специальными важными заданиями приходится считать, что единственным органом, который в данное время может выполнить вышеуказанную задачу, является все же ЦАГИ. Единственный путь к осуществлению проектирования и постройки вышеуказанного самолета может быть только в порядке проведения работ вне плана.</w:t>
      </w:r>
    </w:p>
    <w:p w14:paraId="708415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162D65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 провел уже крупные подготовительные работы и принимает самые экстренные меры к тому, чтобы намеченный самолет выпустить к 1 мая 1931 года.</w:t>
      </w:r>
    </w:p>
    <w:p w14:paraId="66A8EB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79504A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Настоящим Инспекция убедительно просит в срочном порядке разрешить ЦАГИ производство сверхурочных работ …………….(7771, 6).</w:t>
      </w:r>
    </w:p>
    <w:p w14:paraId="183DFC48" w14:textId="77777777" w:rsidR="00537E5F" w:rsidRPr="00507A31" w:rsidRDefault="00537E5F" w:rsidP="00507A31">
      <w:pPr>
        <w:autoSpaceDE w:val="0"/>
        <w:autoSpaceDN w:val="0"/>
        <w:adjustRightInd w:val="0"/>
        <w:jc w:val="both"/>
        <w:rPr>
          <w:color w:val="000000" w:themeColor="text1"/>
          <w:sz w:val="16"/>
          <w:szCs w:val="16"/>
        </w:rPr>
      </w:pPr>
    </w:p>
    <w:p w14:paraId="1D04071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E90A1EC" w14:textId="77777777" w:rsidR="00537E5F" w:rsidRPr="00507A31" w:rsidRDefault="00537E5F" w:rsidP="00507A31">
      <w:pPr>
        <w:autoSpaceDE w:val="0"/>
        <w:autoSpaceDN w:val="0"/>
        <w:adjustRightInd w:val="0"/>
        <w:jc w:val="both"/>
        <w:rPr>
          <w:iCs/>
          <w:color w:val="000000" w:themeColor="text1"/>
          <w:sz w:val="16"/>
          <w:szCs w:val="16"/>
        </w:rPr>
      </w:pPr>
    </w:p>
    <w:p w14:paraId="4DA0A6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 в Москве на базе КАСАРТОП, расформированной в 1927, был сформирован Артиллерийский НИИ (3398,94).</w:t>
      </w:r>
    </w:p>
    <w:p w14:paraId="272B54DF" w14:textId="77777777" w:rsidR="00537E5F" w:rsidRPr="00507A31" w:rsidRDefault="00537E5F" w:rsidP="00507A31">
      <w:pPr>
        <w:autoSpaceDE w:val="0"/>
        <w:autoSpaceDN w:val="0"/>
        <w:adjustRightInd w:val="0"/>
        <w:jc w:val="both"/>
        <w:rPr>
          <w:color w:val="000000" w:themeColor="text1"/>
          <w:sz w:val="16"/>
          <w:szCs w:val="16"/>
        </w:rPr>
      </w:pPr>
    </w:p>
    <w:p w14:paraId="4463BF69" w14:textId="77777777" w:rsidR="004C15D3" w:rsidRPr="00507A31" w:rsidRDefault="004C15D3" w:rsidP="00507A31">
      <w:pPr>
        <w:jc w:val="both"/>
        <w:rPr>
          <w:color w:val="000000" w:themeColor="text1"/>
          <w:sz w:val="16"/>
          <w:szCs w:val="16"/>
        </w:rPr>
      </w:pPr>
      <w:r w:rsidRPr="00507A31">
        <w:rPr>
          <w:bCs/>
          <w:color w:val="000000" w:themeColor="text1"/>
          <w:sz w:val="16"/>
          <w:szCs w:val="16"/>
        </w:rPr>
        <w:t>1 марта</w:t>
      </w:r>
      <w:r w:rsidRPr="00507A31">
        <w:rPr>
          <w:color w:val="000000" w:themeColor="text1"/>
          <w:sz w:val="16"/>
          <w:szCs w:val="16"/>
        </w:rPr>
        <w:t xml:space="preserve"> в 1930 году в Москве сформирован Артиллерийский научно-исследовательский институт. Институт был создан на базе Комиссии Особых артиллерийских опытов (КОСАРТОП), занимавшейся вопросами исследования артиллерийской техники и боеприпасов, расформированной в 1927 г (15055).</w:t>
      </w:r>
    </w:p>
    <w:p w14:paraId="41B2F52A" w14:textId="77777777" w:rsidR="004C15D3" w:rsidRPr="00507A31" w:rsidRDefault="004C15D3" w:rsidP="00507A31">
      <w:pPr>
        <w:jc w:val="both"/>
        <w:rPr>
          <w:color w:val="000000" w:themeColor="text1"/>
          <w:sz w:val="16"/>
          <w:szCs w:val="16"/>
        </w:rPr>
      </w:pPr>
    </w:p>
    <w:p w14:paraId="097413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 состоялась приемка проекта танка Т-19 ГКБ ОАТ. Масса д.б.б. не более 7.3 т, скорость движения - не ниже 30 км/час, двигатель - 100 нр, 40-мм танковая пушка и 2 пулемета. Броня - 18-20 мм. Подвеска от Рено NC обр. 1927. Ответственный - С.А.Гинзбург (4243.15).</w:t>
      </w:r>
    </w:p>
    <w:p w14:paraId="4528FE4F" w14:textId="77777777" w:rsidR="00537E5F" w:rsidRPr="00507A31" w:rsidRDefault="00537E5F" w:rsidP="00507A31">
      <w:pPr>
        <w:autoSpaceDE w:val="0"/>
        <w:autoSpaceDN w:val="0"/>
        <w:adjustRightInd w:val="0"/>
        <w:jc w:val="both"/>
        <w:rPr>
          <w:color w:val="000000" w:themeColor="text1"/>
          <w:sz w:val="16"/>
          <w:szCs w:val="16"/>
        </w:rPr>
      </w:pPr>
    </w:p>
    <w:p w14:paraId="50B0FE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марта 1930 г. состоялась приемка проекта Т-19 (10733,97). Танк Т-19 должен был стать ударным средством мо</w:t>
      </w:r>
      <w:r w:rsidRPr="00507A31">
        <w:rPr>
          <w:color w:val="000000" w:themeColor="text1"/>
          <w:sz w:val="16"/>
          <w:szCs w:val="16"/>
        </w:rPr>
        <w:softHyphen/>
        <w:t>бильных подразделений РККА в условиях маневренного боя. Главными требованиями к нему стали: способность преодолевать большинство полевых фортификационных сооружений (окопов) и проволочных заграждений без по</w:t>
      </w:r>
      <w:r w:rsidRPr="00507A31">
        <w:rPr>
          <w:color w:val="000000" w:themeColor="text1"/>
          <w:sz w:val="16"/>
          <w:szCs w:val="16"/>
        </w:rPr>
        <w:softHyphen/>
        <w:t>мощи «хвоста» и на максимально возможной скорости; ог</w:t>
      </w:r>
      <w:r w:rsidRPr="00507A31">
        <w:rPr>
          <w:color w:val="000000" w:themeColor="text1"/>
          <w:sz w:val="16"/>
          <w:szCs w:val="16"/>
        </w:rPr>
        <w:softHyphen/>
        <w:t>невая мощь, обеспечивающая превосходство на поле боя перед всеми известными боевыми машинами сходной мас</w:t>
      </w:r>
      <w:r w:rsidRPr="00507A31">
        <w:rPr>
          <w:color w:val="000000" w:themeColor="text1"/>
          <w:sz w:val="16"/>
          <w:szCs w:val="16"/>
        </w:rPr>
        <w:softHyphen/>
        <w:t>сы; бронирование, защищающее его экипаж от винтовоч</w:t>
      </w:r>
      <w:r w:rsidRPr="00507A31">
        <w:rPr>
          <w:color w:val="000000" w:themeColor="text1"/>
          <w:sz w:val="16"/>
          <w:szCs w:val="16"/>
        </w:rPr>
        <w:softHyphen/>
        <w:t>ных и пулеметных пуль на всех дистанциях, а от огня 37-мм пушек на дальности 1000 м. Согласно техзаданию танк должен был обладать массой не более 7,3 т, скоростью движения по хорошему фунту не ниже 30 км/ч, двигателем мощностью 100 л.с., вооружени</w:t>
      </w:r>
      <w:r w:rsidRPr="00507A31">
        <w:rPr>
          <w:color w:val="000000" w:themeColor="text1"/>
          <w:sz w:val="16"/>
          <w:szCs w:val="16"/>
        </w:rPr>
        <w:softHyphen/>
        <w:t>ем из 40-мм танковой пушки и 2 пулеметов и броневой за</w:t>
      </w:r>
      <w:r w:rsidRPr="00507A31">
        <w:rPr>
          <w:color w:val="000000" w:themeColor="text1"/>
          <w:sz w:val="16"/>
          <w:szCs w:val="16"/>
        </w:rPr>
        <w:softHyphen/>
        <w:t>щитой толщиной 18—20 мм. Ответственным исполнителем по танку Т-19 был назначен С. Гинзбург. Над проектом ра</w:t>
      </w:r>
      <w:r w:rsidRPr="00507A31">
        <w:rPr>
          <w:color w:val="000000" w:themeColor="text1"/>
          <w:sz w:val="16"/>
          <w:szCs w:val="16"/>
        </w:rPr>
        <w:softHyphen/>
        <w:t>ботали также инженеры А. Микулин и В. Симский (сило</w:t>
      </w:r>
      <w:r w:rsidRPr="00507A31">
        <w:rPr>
          <w:color w:val="000000" w:themeColor="text1"/>
          <w:sz w:val="16"/>
          <w:szCs w:val="16"/>
        </w:rPr>
        <w:softHyphen/>
        <w:t>вой агрегат и ходовая часть), Д. Майдель (общая компонов</w:t>
      </w:r>
      <w:r w:rsidRPr="00507A31">
        <w:rPr>
          <w:color w:val="000000" w:themeColor="text1"/>
          <w:sz w:val="16"/>
          <w:szCs w:val="16"/>
        </w:rPr>
        <w:softHyphen/>
        <w:t>ка, башня), П. Сячинтов (вооружение). Подвеска Т-19 стала развитием таковой от французско</w:t>
      </w:r>
      <w:r w:rsidRPr="00507A31">
        <w:rPr>
          <w:color w:val="000000" w:themeColor="text1"/>
          <w:sz w:val="16"/>
          <w:szCs w:val="16"/>
        </w:rPr>
        <w:softHyphen/>
        <w:t>го танка «Рено» обр 1927 г. (Renault NC). Новый танк был более длинным, чем Т-18, что позволяло улучшить его про</w:t>
      </w:r>
      <w:r w:rsidRPr="00507A31">
        <w:rPr>
          <w:color w:val="000000" w:themeColor="text1"/>
          <w:sz w:val="16"/>
          <w:szCs w:val="16"/>
        </w:rPr>
        <w:softHyphen/>
        <w:t>ходимость без применения «хвоста», а также уменьшить продольные колебания корпуса. Интересно отметить, что когда выяснился факт превышения допустимой массы Т-19 по сравнению с техзаданием (что не позволяло ис</w:t>
      </w:r>
      <w:r w:rsidRPr="00507A31">
        <w:rPr>
          <w:color w:val="000000" w:themeColor="text1"/>
          <w:sz w:val="16"/>
          <w:szCs w:val="16"/>
        </w:rPr>
        <w:softHyphen/>
        <w:t>пользовать в нем бронирование толщиной более 16 мм), повышение пулестойкости корпуса попытались достичь тщательным подбором формы кузова. Для строящегося Т-19 была выбрана схема бронирования, предложенная конструктором С. Гинзбургом и разработанная М. Таршиновым (занятым в КБ ХПЗ созданием Т-12/Т-24). Идея улучшения бронестойкости кузова заключалась в том, что</w:t>
      </w:r>
      <w:r w:rsidRPr="00507A31">
        <w:rPr>
          <w:color w:val="000000" w:themeColor="text1"/>
          <w:sz w:val="16"/>
          <w:szCs w:val="16"/>
        </w:rPr>
        <w:softHyphen/>
        <w:t>бы изготавливать его с большими углами наклона броне</w:t>
      </w:r>
      <w:r w:rsidRPr="00507A31">
        <w:rPr>
          <w:color w:val="000000" w:themeColor="text1"/>
          <w:sz w:val="16"/>
          <w:szCs w:val="16"/>
        </w:rPr>
        <w:softHyphen/>
        <w:t>вых листов, которые будут сказываться на склонности пуль и снарядов к рикошету (аналогичное решение было приме</w:t>
      </w:r>
      <w:r w:rsidRPr="00507A31">
        <w:rPr>
          <w:color w:val="000000" w:themeColor="text1"/>
          <w:sz w:val="16"/>
          <w:szCs w:val="16"/>
        </w:rPr>
        <w:softHyphen/>
        <w:t>нено позднее при создании А-20 — Т-34). Вооружение Т-19 после пересмотра проекта предпола</w:t>
      </w:r>
      <w:r w:rsidRPr="00507A31">
        <w:rPr>
          <w:color w:val="000000" w:themeColor="text1"/>
          <w:sz w:val="16"/>
          <w:szCs w:val="16"/>
        </w:rPr>
        <w:softHyphen/>
        <w:t>галось из 37-мм полуавтоматической танковой пушки обр. 1930 г., а также двух пулеметов ДТ (один располагался в ло</w:t>
      </w:r>
      <w:r w:rsidRPr="00507A31">
        <w:rPr>
          <w:color w:val="000000" w:themeColor="text1"/>
          <w:sz w:val="16"/>
          <w:szCs w:val="16"/>
        </w:rPr>
        <w:softHyphen/>
        <w:t>бовом листе корпуса у радиста; второй — в башне). Уста</w:t>
      </w:r>
      <w:r w:rsidRPr="00507A31">
        <w:rPr>
          <w:color w:val="000000" w:themeColor="text1"/>
          <w:sz w:val="16"/>
          <w:szCs w:val="16"/>
        </w:rPr>
        <w:softHyphen/>
        <w:t>новка вооружения в башне предусматривалась в двух вари</w:t>
      </w:r>
      <w:r w:rsidRPr="00507A31">
        <w:rPr>
          <w:color w:val="000000" w:themeColor="text1"/>
          <w:sz w:val="16"/>
          <w:szCs w:val="16"/>
        </w:rPr>
        <w:softHyphen/>
        <w:t>антах — независимая установка пушки и пулемета, а также спаренная установка их в единой маске. Т-19 стал первым танком, специально спроектирован</w:t>
      </w:r>
      <w:r w:rsidRPr="00507A31">
        <w:rPr>
          <w:color w:val="000000" w:themeColor="text1"/>
          <w:sz w:val="16"/>
          <w:szCs w:val="16"/>
        </w:rPr>
        <w:softHyphen/>
        <w:t>ным для действий в условиях химической войны, для чего он оборудовался приточной вентиляцией производимое-•тью 180 м</w:t>
      </w:r>
      <w:r w:rsidRPr="00507A31">
        <w:rPr>
          <w:color w:val="000000" w:themeColor="text1"/>
          <w:sz w:val="16"/>
          <w:szCs w:val="16"/>
          <w:vertAlign w:val="superscript"/>
        </w:rPr>
        <w:t>3</w:t>
      </w:r>
      <w:r w:rsidRPr="00507A31">
        <w:rPr>
          <w:color w:val="000000" w:themeColor="text1"/>
          <w:sz w:val="16"/>
          <w:szCs w:val="16"/>
        </w:rPr>
        <w:t>/ч с «противогазным фильтром», способным нейтрализовать фосген, синильную кислоту, хлорпикрин, окись углерода и ядовитые дымы в течение трех часов, поеле чего экипаж мог выполнять боевую задачу в противога</w:t>
      </w:r>
      <w:r w:rsidRPr="00507A31">
        <w:rPr>
          <w:color w:val="000000" w:themeColor="text1"/>
          <w:sz w:val="16"/>
          <w:szCs w:val="16"/>
        </w:rPr>
        <w:softHyphen/>
        <w:t>зах либо, выйдя из отравленной зоны и сменив фильтр, действовать без них еще 3 часа. Проектом Т-19 предусматривалось придание ему «плову-чих свойств» при помощи надувных, или каркасных поплав</w:t>
      </w:r>
      <w:r w:rsidRPr="00507A31">
        <w:rPr>
          <w:color w:val="000000" w:themeColor="text1"/>
          <w:sz w:val="16"/>
          <w:szCs w:val="16"/>
        </w:rPr>
        <w:softHyphen/>
        <w:t>ков, сброс которых мог бы производиться без выхода экипа</w:t>
      </w:r>
      <w:r w:rsidRPr="00507A31">
        <w:rPr>
          <w:color w:val="000000" w:themeColor="text1"/>
          <w:sz w:val="16"/>
          <w:szCs w:val="16"/>
        </w:rPr>
        <w:softHyphen/>
        <w:t>жа из машины. К изготовлению были приняты плавсредства корабельного инженера Б. Смирнова. Первоначально было даже желание оснастить танк двумя съемными винтами для движения танка по воде, но позднее функцию движения тан</w:t>
      </w:r>
      <w:r w:rsidRPr="00507A31">
        <w:rPr>
          <w:color w:val="000000" w:themeColor="text1"/>
          <w:sz w:val="16"/>
          <w:szCs w:val="16"/>
        </w:rPr>
        <w:softHyphen/>
        <w:t>ка по водной глади доверили специальному «водяному трак</w:t>
      </w:r>
      <w:r w:rsidRPr="00507A31">
        <w:rPr>
          <w:color w:val="000000" w:themeColor="text1"/>
          <w:sz w:val="16"/>
          <w:szCs w:val="16"/>
        </w:rPr>
        <w:softHyphen/>
        <w:t>тору», создание которого планировалось в 1931 г. Т-19 не имел «хвоста» и преодолевал окопы и неширо</w:t>
      </w:r>
      <w:r w:rsidRPr="00507A31">
        <w:rPr>
          <w:color w:val="000000" w:themeColor="text1"/>
          <w:sz w:val="16"/>
          <w:szCs w:val="16"/>
        </w:rPr>
        <w:softHyphen/>
        <w:t>кие канавы (до 2000 мм) за счет собственной длины. На случай же встречи противотанковых рвов шириной 2,5—3 м два танка должны были уметь «спариваться», удлиняясь вдвое. Для этого в передней и задней части танков предпо</w:t>
      </w:r>
      <w:r w:rsidRPr="00507A31">
        <w:rPr>
          <w:color w:val="000000" w:themeColor="text1"/>
          <w:sz w:val="16"/>
          <w:szCs w:val="16"/>
        </w:rPr>
        <w:softHyphen/>
        <w:t xml:space="preserve">лагалось </w:t>
      </w:r>
      <w:r w:rsidRPr="00507A31">
        <w:rPr>
          <w:color w:val="000000" w:themeColor="text1"/>
          <w:sz w:val="16"/>
          <w:szCs w:val="16"/>
        </w:rPr>
        <w:lastRenderedPageBreak/>
        <w:t>установить специальные «фермы спаривания». Для наблюдения поля боя на танке не использовались простые щели, равно как и неудачный «бронеглаз». Снача</w:t>
      </w:r>
      <w:r w:rsidRPr="00507A31">
        <w:rPr>
          <w:color w:val="000000" w:themeColor="text1"/>
          <w:sz w:val="16"/>
          <w:szCs w:val="16"/>
        </w:rPr>
        <w:softHyphen/>
        <w:t>ла хотели дополнить Т-19 стробоскопами, но после опробо</w:t>
      </w:r>
      <w:r w:rsidRPr="00507A31">
        <w:rPr>
          <w:color w:val="000000" w:themeColor="text1"/>
          <w:sz w:val="16"/>
          <w:szCs w:val="16"/>
        </w:rPr>
        <w:softHyphen/>
        <w:t>вания на Т-20 более предпочтительными сочли пуленепро</w:t>
      </w:r>
      <w:r w:rsidRPr="00507A31">
        <w:rPr>
          <w:color w:val="000000" w:themeColor="text1"/>
          <w:sz w:val="16"/>
          <w:szCs w:val="16"/>
        </w:rPr>
        <w:softHyphen/>
        <w:t>биваемые стекла «симплекс-триплекс» (10733,100).</w:t>
      </w:r>
    </w:p>
    <w:p w14:paraId="311410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5D06FF9" w14:textId="77777777" w:rsidR="005E2635" w:rsidRPr="00507A31" w:rsidRDefault="005E2635" w:rsidP="00507A31">
      <w:pPr>
        <w:jc w:val="both"/>
        <w:rPr>
          <w:color w:val="0070C0"/>
          <w:sz w:val="16"/>
          <w:szCs w:val="16"/>
        </w:rPr>
      </w:pPr>
      <w:r w:rsidRPr="00507A31">
        <w:rPr>
          <w:color w:val="0070C0"/>
          <w:sz w:val="16"/>
          <w:szCs w:val="16"/>
        </w:rPr>
        <w:t>1 марта 1930 опросом членов ПБ</w:t>
      </w:r>
    </w:p>
    <w:p w14:paraId="6864793F" w14:textId="77777777" w:rsidR="005E2635" w:rsidRPr="00507A31" w:rsidRDefault="005E2635" w:rsidP="00507A31">
      <w:pPr>
        <w:jc w:val="both"/>
        <w:rPr>
          <w:color w:val="0070C0"/>
          <w:sz w:val="16"/>
          <w:szCs w:val="16"/>
        </w:rPr>
      </w:pPr>
      <w:r w:rsidRPr="00507A31">
        <w:rPr>
          <w:color w:val="0070C0"/>
          <w:sz w:val="16"/>
          <w:szCs w:val="16"/>
        </w:rPr>
        <w:t>49.-Телеграмма Осинского</w:t>
      </w:r>
    </w:p>
    <w:p w14:paraId="718C6543" w14:textId="77777777" w:rsidR="005E2635" w:rsidRPr="00507A31" w:rsidRDefault="005E2635" w:rsidP="00507A31">
      <w:pPr>
        <w:jc w:val="both"/>
        <w:rPr>
          <w:color w:val="0070C0"/>
          <w:sz w:val="16"/>
          <w:szCs w:val="16"/>
        </w:rPr>
      </w:pPr>
      <w:r w:rsidRPr="00507A31">
        <w:rPr>
          <w:color w:val="0070C0"/>
          <w:sz w:val="16"/>
          <w:szCs w:val="16"/>
        </w:rPr>
        <w:t>Согласны на вашу установку, как на крайнюю уступку с тем, однако, чтобы, во-первых, полностью был обеспечен допуск нообходимого количества наших рабочих и инженеров на заводы Катерпиллер и, во-вторых были сoхранены в силе наши сроки выплат.</w:t>
      </w:r>
    </w:p>
    <w:p w14:paraId="3215B373" w14:textId="77777777" w:rsidR="005E2635" w:rsidRPr="00507A31" w:rsidRDefault="005E2635" w:rsidP="00507A31">
      <w:pPr>
        <w:jc w:val="both"/>
        <w:rPr>
          <w:color w:val="0070C0"/>
          <w:sz w:val="16"/>
          <w:szCs w:val="16"/>
        </w:rPr>
      </w:pPr>
      <w:r w:rsidRPr="00507A31">
        <w:rPr>
          <w:color w:val="0070C0"/>
          <w:sz w:val="16"/>
          <w:szCs w:val="16"/>
        </w:rPr>
        <w:t>Выписки посланы: т. Куйбышеву, т. Микояну</w:t>
      </w:r>
    </w:p>
    <w:p w14:paraId="05922337" w14:textId="77777777" w:rsidR="005E2635" w:rsidRPr="00507A31" w:rsidRDefault="005E2635" w:rsidP="00507A31">
      <w:pPr>
        <w:jc w:val="both"/>
        <w:rPr>
          <w:color w:val="0070C0"/>
          <w:sz w:val="16"/>
          <w:szCs w:val="16"/>
        </w:rPr>
      </w:pPr>
      <w:r w:rsidRPr="00507A31">
        <w:rPr>
          <w:color w:val="0070C0"/>
          <w:sz w:val="16"/>
          <w:szCs w:val="16"/>
        </w:rPr>
        <w:t>5 марта 1930 состоялось заседание ПБ (Протокол № 119. Особый № 117) (23104).</w:t>
      </w:r>
    </w:p>
    <w:p w14:paraId="525D9FB0" w14:textId="77777777" w:rsidR="005E2635" w:rsidRPr="00507A31" w:rsidRDefault="005E2635" w:rsidP="00507A31">
      <w:pPr>
        <w:jc w:val="both"/>
        <w:rPr>
          <w:rFonts w:eastAsia="TimesNewRomanPSMT"/>
          <w:color w:val="0070C0"/>
          <w:sz w:val="16"/>
          <w:szCs w:val="16"/>
        </w:rPr>
      </w:pPr>
    </w:p>
    <w:p w14:paraId="69CE321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марта 1930 года на основании решения СНК и ВСНХ бывшая оптическая мастерская «Большевик» была выделена в самостоятельный завод, входящий в систему Всесоюзного треста оптико-механической промышленности «ВОТМП». Год основания бывшей оптической мастерской бывшего Обуховского завода – 1905 (6279).</w:t>
      </w:r>
    </w:p>
    <w:p w14:paraId="2663D0F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E54EAF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1 марта по 6 апреля 1930 экспедиция ВОХИМУ проводила опытные работы по заражению и дегазации средств ж/д транспорта на ст. Шуерецкая (Карелия). Среди прочего объектом химического нападения выступал состав с людьми и животными (лошади, овцы), который проследовал через облако ОВю Проверялась герметичность вагонов. С людьми на хлор, с животными - на иприт. От людей требовалось сидеть без противогазов до момента, когда терпеть невозможно (6264).</w:t>
      </w:r>
    </w:p>
    <w:p w14:paraId="7AC83337"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D61CB79" w14:textId="77777777" w:rsidR="004C15D3" w:rsidRPr="00507A31" w:rsidRDefault="004C15D3" w:rsidP="00507A31">
      <w:pPr>
        <w:jc w:val="both"/>
        <w:rPr>
          <w:color w:val="000000" w:themeColor="text1"/>
          <w:sz w:val="16"/>
          <w:szCs w:val="16"/>
        </w:rPr>
      </w:pPr>
      <w:r w:rsidRPr="00507A31">
        <w:rPr>
          <w:color w:val="000000" w:themeColor="text1"/>
          <w:sz w:val="16"/>
          <w:szCs w:val="16"/>
        </w:rPr>
        <w:t>1 марта 1930 г. между НКПС и ОГПУ заключается соглашение об объединении Центральной водолазной базы НКПС и  ЭПРОНа  ОГПУ (15509).</w:t>
      </w:r>
    </w:p>
    <w:p w14:paraId="5BC7E2F5" w14:textId="77777777" w:rsidR="004C15D3" w:rsidRPr="00507A31" w:rsidRDefault="004C15D3" w:rsidP="00507A31">
      <w:pPr>
        <w:jc w:val="both"/>
        <w:rPr>
          <w:color w:val="000000" w:themeColor="text1"/>
          <w:sz w:val="16"/>
          <w:szCs w:val="16"/>
        </w:rPr>
      </w:pPr>
    </w:p>
    <w:p w14:paraId="1E5AB08A" w14:textId="77777777" w:rsidR="004C15D3" w:rsidRPr="00507A31" w:rsidRDefault="004C15D3" w:rsidP="00507A31">
      <w:pPr>
        <w:shd w:val="clear" w:color="auto" w:fill="FFFFFF"/>
        <w:jc w:val="both"/>
        <w:rPr>
          <w:color w:val="000000" w:themeColor="text1"/>
          <w:sz w:val="16"/>
          <w:szCs w:val="16"/>
        </w:rPr>
      </w:pPr>
      <w:r w:rsidRPr="00507A31">
        <w:rPr>
          <w:bCs/>
          <w:iCs/>
          <w:color w:val="000000" w:themeColor="text1"/>
          <w:sz w:val="16"/>
          <w:szCs w:val="16"/>
        </w:rPr>
        <w:t>1 марта-6 апреля 1930 г.</w:t>
      </w:r>
      <w:r w:rsidRPr="00507A31">
        <w:rPr>
          <w:color w:val="000000" w:themeColor="text1"/>
          <w:sz w:val="16"/>
          <w:szCs w:val="16"/>
        </w:rPr>
        <w:t xml:space="preserve"> Экспедиция по проведению опытных работ по заражению и дегазации средств железнодорожного транспорта на ст.Шуерецкая (Карелия). Цель- повторение в зимних условиях опытов, уже осуществленных летом. Численность экспедиции — около 250 человек. Выполнено 28 опытов по заражению ОВ и дегазации. Среди прочего, объектом химического нападения был избран железнодорожный состав с людьми и животными (лошади, овцы), проследовавший через облако ОВ. Проверена герметичность вагонов — «</w:t>
      </w:r>
      <w:r w:rsidRPr="00507A31">
        <w:rPr>
          <w:bCs/>
          <w:iCs/>
          <w:color w:val="000000" w:themeColor="text1"/>
          <w:sz w:val="16"/>
          <w:szCs w:val="16"/>
        </w:rPr>
        <w:t>с людями на хлор</w:t>
      </w:r>
      <w:r w:rsidRPr="00507A31">
        <w:rPr>
          <w:iCs/>
          <w:color w:val="000000" w:themeColor="text1"/>
          <w:sz w:val="16"/>
          <w:szCs w:val="16"/>
        </w:rPr>
        <w:t>, с животными — на иприт</w:t>
      </w:r>
      <w:r w:rsidRPr="00507A31">
        <w:rPr>
          <w:color w:val="000000" w:themeColor="text1"/>
          <w:sz w:val="16"/>
          <w:szCs w:val="16"/>
        </w:rPr>
        <w:t>» (в частности, при проверке герметичности подвижного состава на проникновение в них ЯД-ОВ была поставлена задача: «</w:t>
      </w:r>
      <w:r w:rsidRPr="00507A31">
        <w:rPr>
          <w:iCs/>
          <w:color w:val="000000" w:themeColor="text1"/>
          <w:sz w:val="16"/>
          <w:szCs w:val="16"/>
        </w:rPr>
        <w:t>в момент пуска дыма все люди сидят не надевая противогаза и надевают их только в том случае, когда сидение без противогазов станет невозможным</w:t>
      </w:r>
      <w:r w:rsidRPr="00507A31">
        <w:rPr>
          <w:color w:val="000000" w:themeColor="text1"/>
          <w:sz w:val="16"/>
          <w:szCs w:val="16"/>
        </w:rPr>
        <w:t>»). Заражению жидким ипритом подвергнуты полосы отчуждения и станционные сооружения — полотно железной дороги, стрелки. Часть зараженных объектов продегазирована не была. Всего во время опытных работ за помощью обратилось 75 человек с поражениями кожи и 18 человек с поражениями глаз. В стационаре лечилось 6 человек, пораженных НОВ (адамсит, дифосген, смесь хлор-фосген), и 20 человек, пораженных ипритом. Обследование, выполненное в июле, показало, что продегазированные объекты «</w:t>
      </w:r>
      <w:r w:rsidRPr="00507A31">
        <w:rPr>
          <w:iCs/>
          <w:color w:val="000000" w:themeColor="text1"/>
          <w:sz w:val="16"/>
          <w:szCs w:val="16"/>
        </w:rPr>
        <w:t>вполне обезвреженными считать не представляется возможным</w:t>
      </w:r>
      <w:r w:rsidRPr="00507A31">
        <w:rPr>
          <w:color w:val="000000" w:themeColor="text1"/>
          <w:sz w:val="16"/>
          <w:szCs w:val="16"/>
        </w:rPr>
        <w:t xml:space="preserve">». Опасность отобранных образцов при обследовании была </w:t>
      </w:r>
      <w:r w:rsidRPr="00507A31">
        <w:rPr>
          <w:bCs/>
          <w:iCs/>
          <w:color w:val="000000" w:themeColor="text1"/>
          <w:sz w:val="16"/>
          <w:szCs w:val="16"/>
        </w:rPr>
        <w:t>проверена на людях</w:t>
      </w:r>
      <w:r w:rsidRPr="00507A31">
        <w:rPr>
          <w:color w:val="000000" w:themeColor="text1"/>
          <w:sz w:val="16"/>
          <w:szCs w:val="16"/>
        </w:rPr>
        <w:t xml:space="preserve"> (17133).</w:t>
      </w:r>
    </w:p>
    <w:p w14:paraId="18336851" w14:textId="77777777" w:rsidR="004C15D3" w:rsidRPr="00507A31" w:rsidRDefault="004C15D3" w:rsidP="00507A31">
      <w:pPr>
        <w:shd w:val="clear" w:color="auto" w:fill="FFFFFF"/>
        <w:jc w:val="both"/>
        <w:rPr>
          <w:color w:val="000000" w:themeColor="text1"/>
          <w:sz w:val="16"/>
          <w:szCs w:val="16"/>
        </w:rPr>
      </w:pPr>
    </w:p>
    <w:p w14:paraId="0735982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E1B213B" w14:textId="77777777" w:rsidR="00537E5F" w:rsidRPr="00507A31" w:rsidRDefault="00537E5F" w:rsidP="00507A31">
      <w:pPr>
        <w:autoSpaceDE w:val="0"/>
        <w:autoSpaceDN w:val="0"/>
        <w:adjustRightInd w:val="0"/>
        <w:jc w:val="both"/>
        <w:rPr>
          <w:iCs/>
          <w:color w:val="000000" w:themeColor="text1"/>
          <w:sz w:val="16"/>
          <w:szCs w:val="16"/>
        </w:rPr>
      </w:pPr>
    </w:p>
    <w:p w14:paraId="61D6A1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 был утвержден примерный устав сельскохозяйственной артели (1348,199), предполагавший обобществление земли, скота и инвенторя. В личной собственности оставались дом, приусадебный участок, одна корова и несколько голов мелкого рогатого скота (3908,333).</w:t>
      </w:r>
    </w:p>
    <w:p w14:paraId="01EE9BDE" w14:textId="77777777" w:rsidR="00537E5F" w:rsidRPr="00507A31" w:rsidRDefault="00537E5F" w:rsidP="00507A31">
      <w:pPr>
        <w:autoSpaceDE w:val="0"/>
        <w:autoSpaceDN w:val="0"/>
        <w:adjustRightInd w:val="0"/>
        <w:jc w:val="both"/>
        <w:rPr>
          <w:color w:val="000000" w:themeColor="text1"/>
          <w:sz w:val="16"/>
          <w:szCs w:val="16"/>
        </w:rPr>
      </w:pPr>
    </w:p>
    <w:p w14:paraId="39DE431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EC02F49" w14:textId="77777777" w:rsidR="00537E5F" w:rsidRPr="00507A31" w:rsidRDefault="00537E5F" w:rsidP="00507A31">
      <w:pPr>
        <w:autoSpaceDE w:val="0"/>
        <w:autoSpaceDN w:val="0"/>
        <w:adjustRightInd w:val="0"/>
        <w:jc w:val="both"/>
        <w:rPr>
          <w:iCs/>
          <w:color w:val="000000" w:themeColor="text1"/>
          <w:sz w:val="16"/>
          <w:szCs w:val="16"/>
        </w:rPr>
      </w:pPr>
    </w:p>
    <w:p w14:paraId="4DE2C5E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марта 1930 на артполигоне АКУКС им. III Интернационала (Луга) испытывалась эффективность ядовито-дымных атак. Выпустили три волны - две адамситовых и одна хлорацетоновую. На растояниии 1000, 2000 и 4000 м по ветру стояли люди-нюхачи без противогазов для определения степени раздражения ядовитого дыма. Луга была в 11 км и водна ее также достигла и поразила 27 чел. (6264).</w:t>
      </w:r>
    </w:p>
    <w:p w14:paraId="0FCF2C9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9EDCE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марта 1930 на Лужском полигоне облако адамсита распространилось на 11 км от места дымопуска и поразило 27 жителей Луги - работников завода "Свобода" (им было разъяснено, что причиной был выброс сернистых соединений с завода "Смычка"). Облако могло добраться и до Финляндии (80 км), если бы планы были выполнены в полном объеме и был реализован первоначальный замысел одновременного поджига по 500 шашек (фактически поджигалось лишь по 50 адамситовых шашек ) (9065).</w:t>
      </w:r>
    </w:p>
    <w:p w14:paraId="53115EEE" w14:textId="77777777" w:rsidR="00537E5F" w:rsidRPr="00507A31" w:rsidRDefault="00537E5F" w:rsidP="00507A31">
      <w:pPr>
        <w:autoSpaceDE w:val="0"/>
        <w:autoSpaceDN w:val="0"/>
        <w:adjustRightInd w:val="0"/>
        <w:jc w:val="both"/>
        <w:rPr>
          <w:color w:val="000000" w:themeColor="text1"/>
          <w:sz w:val="16"/>
          <w:szCs w:val="16"/>
        </w:rPr>
      </w:pPr>
    </w:p>
    <w:p w14:paraId="5C73B84F" w14:textId="77777777" w:rsidR="004C15D3" w:rsidRPr="00507A31" w:rsidRDefault="004C15D3" w:rsidP="00507A31">
      <w:pPr>
        <w:shd w:val="clear" w:color="auto" w:fill="FFFFFF"/>
        <w:jc w:val="both"/>
        <w:rPr>
          <w:color w:val="000000" w:themeColor="text1"/>
          <w:sz w:val="16"/>
          <w:szCs w:val="16"/>
        </w:rPr>
      </w:pPr>
      <w:r w:rsidRPr="00507A31">
        <w:rPr>
          <w:bCs/>
          <w:iCs/>
          <w:color w:val="000000" w:themeColor="text1"/>
          <w:sz w:val="16"/>
          <w:szCs w:val="16"/>
        </w:rPr>
        <w:t>2 марта 1930 г.</w:t>
      </w:r>
      <w:r w:rsidRPr="00507A31">
        <w:rPr>
          <w:color w:val="000000" w:themeColor="text1"/>
          <w:sz w:val="16"/>
          <w:szCs w:val="16"/>
        </w:rPr>
        <w:t xml:space="preserve"> Испытания эффективности ядовито-дымных волновых атак на артполигоне возле г.Луга. Было выпущено две адамситовых ЯД-волны и третья — хлорацетофеноновая. На расстояниях 1000, 2000 и 4000 метров от места пуска были выставлены </w:t>
      </w:r>
      <w:r w:rsidRPr="00507A31">
        <w:rPr>
          <w:bCs/>
          <w:iCs/>
          <w:color w:val="000000" w:themeColor="text1"/>
          <w:sz w:val="16"/>
          <w:szCs w:val="16"/>
        </w:rPr>
        <w:t>люди-нюхачи без противогазов</w:t>
      </w:r>
      <w:r w:rsidRPr="00507A31">
        <w:rPr>
          <w:color w:val="000000" w:themeColor="text1"/>
          <w:sz w:val="16"/>
          <w:szCs w:val="16"/>
        </w:rPr>
        <w:t xml:space="preserve"> для определения степени раздражающего действия ядовитого дыма. Скорость ветра составляла 3-7 м/с, и волна адамсита достигла г.Луга, расположенного в 11 км от позиции дымопуска. В Луге пострадало 27 работников лесопильного завода «Свобода» (в порядке официального прикрытия им было разъяснено, что причиной был выброс сернистых соединений с расположенного с наветренной стороны завода «Смычка»). Каждая ЯД-волна была образована путем одновременного поджига 50 шашек. Если бы был реализован первоначальный план поджига по 500 шашек, то ЯД-волны могли достичь границы Финляндии (80 км от позиции дымопуска) (17133).</w:t>
      </w:r>
    </w:p>
    <w:p w14:paraId="5E72A576" w14:textId="77777777" w:rsidR="004C15D3" w:rsidRPr="00507A31" w:rsidRDefault="004C15D3" w:rsidP="00507A31">
      <w:pPr>
        <w:shd w:val="clear" w:color="auto" w:fill="FFFFFF"/>
        <w:jc w:val="both"/>
        <w:rPr>
          <w:color w:val="000000" w:themeColor="text1"/>
          <w:sz w:val="16"/>
          <w:szCs w:val="16"/>
        </w:rPr>
      </w:pPr>
    </w:p>
    <w:p w14:paraId="6F4275E2" w14:textId="77777777" w:rsidR="004C15D3" w:rsidRPr="00507A31" w:rsidRDefault="004C15D3" w:rsidP="00507A31">
      <w:pPr>
        <w:jc w:val="both"/>
        <w:rPr>
          <w:color w:val="000000" w:themeColor="text1"/>
          <w:sz w:val="16"/>
          <w:szCs w:val="16"/>
        </w:rPr>
      </w:pPr>
      <w:r w:rsidRPr="00507A31">
        <w:rPr>
          <w:color w:val="000000" w:themeColor="text1"/>
          <w:sz w:val="16"/>
          <w:szCs w:val="16"/>
        </w:rPr>
        <w:t>2-го марта 1930 решением Правительственной Комиссии по работам Остехбюро была назначени Комиссия под моим председательством (Аппоги) в составе т. Бекаури и представителя ОГПУ. ...</w:t>
      </w:r>
    </w:p>
    <w:p w14:paraId="63B14D05" w14:textId="77777777" w:rsidR="004C15D3" w:rsidRPr="00507A31" w:rsidRDefault="004C15D3" w:rsidP="00507A31">
      <w:pPr>
        <w:jc w:val="both"/>
        <w:rPr>
          <w:color w:val="000000" w:themeColor="text1"/>
          <w:sz w:val="16"/>
          <w:szCs w:val="16"/>
        </w:rPr>
      </w:pPr>
      <w:r w:rsidRPr="00507A31">
        <w:rPr>
          <w:color w:val="000000" w:themeColor="text1"/>
          <w:sz w:val="16"/>
          <w:szCs w:val="16"/>
        </w:rPr>
        <w:t>Если партпрослойку в масштабе Остехбюро в целом можно признать удовлетворительной, то в отношени квалифицированной части прослойка является недостаточной. Особенно это касается конструкторскойй части, в составе которой членов партии 3 чел (на 113 чел). В конструкторской асти имеются отдельные группы, в составе которых членов партии и комсомольцев нет совершенно (торпедная группа). Комиссией подробно был изучен лишь состав научных работников. Наиболее удачно подобрны работники по группе ОВУ (отдел волнового управления), эта группа работников работает наиболее интенсивно, сотрудники конструкторской части, как по своему происхождению образовательному цензу, так и настроениям, заставляют желать много лучшего. ... В общественную работу научные работники, как правило, не втянуты, и желания участвовать в этой работе не проявляют. Такое положние, естественно, крайне неблагоприятно отражается как на качестве, так и на темпах работы. Некоторые из научных работников полностью подчеркивают свою "полную беспартийность", есть и такие, которые открыто высказывают свое несогласие с политикой советской власти и компартии.</w:t>
      </w:r>
    </w:p>
    <w:p w14:paraId="23E4A4A4" w14:textId="77777777" w:rsidR="004C15D3" w:rsidRPr="00507A31" w:rsidRDefault="004C15D3" w:rsidP="00507A31">
      <w:pPr>
        <w:jc w:val="both"/>
        <w:rPr>
          <w:color w:val="000000" w:themeColor="text1"/>
          <w:sz w:val="16"/>
          <w:szCs w:val="16"/>
        </w:rPr>
      </w:pPr>
      <w:r w:rsidRPr="00507A31">
        <w:rPr>
          <w:color w:val="000000" w:themeColor="text1"/>
          <w:sz w:val="16"/>
          <w:szCs w:val="16"/>
        </w:rPr>
        <w:t>Л. 9</w:t>
      </w:r>
    </w:p>
    <w:p w14:paraId="158CE9AB" w14:textId="77777777" w:rsidR="004C15D3" w:rsidRPr="00507A31" w:rsidRDefault="004C15D3" w:rsidP="00507A31">
      <w:pPr>
        <w:jc w:val="both"/>
        <w:rPr>
          <w:color w:val="000000" w:themeColor="text1"/>
          <w:sz w:val="16"/>
          <w:szCs w:val="16"/>
        </w:rPr>
      </w:pPr>
      <w:r w:rsidRPr="00507A31">
        <w:rPr>
          <w:color w:val="000000" w:themeColor="text1"/>
          <w:sz w:val="16"/>
          <w:szCs w:val="16"/>
        </w:rPr>
        <w:t>Список сотрудников Остехбюро, представляемых к премированию</w:t>
      </w:r>
    </w:p>
    <w:p w14:paraId="59ED008A" w14:textId="77777777" w:rsidR="004C15D3" w:rsidRPr="00507A31" w:rsidRDefault="004C15D3" w:rsidP="00507A31">
      <w:pPr>
        <w:jc w:val="both"/>
        <w:rPr>
          <w:color w:val="000000" w:themeColor="text1"/>
          <w:sz w:val="16"/>
          <w:szCs w:val="16"/>
        </w:rPr>
      </w:pPr>
      <w:r w:rsidRPr="00507A31">
        <w:rPr>
          <w:color w:val="000000" w:themeColor="text1"/>
          <w:sz w:val="16"/>
          <w:szCs w:val="16"/>
        </w:rPr>
        <w:t>(ГАРФ, Фонд №: Р8425, Название фонда: Остехбюро, Опись №: 1, Дело №: 38 (январь 1927- июль 1930), Л. 19) (15251).</w:t>
      </w:r>
    </w:p>
    <w:p w14:paraId="743A898B" w14:textId="77777777" w:rsidR="004C15D3" w:rsidRPr="00507A31" w:rsidRDefault="004C15D3" w:rsidP="00507A31">
      <w:pPr>
        <w:jc w:val="both"/>
        <w:rPr>
          <w:color w:val="000000" w:themeColor="text1"/>
          <w:sz w:val="16"/>
          <w:szCs w:val="16"/>
        </w:rPr>
      </w:pPr>
    </w:p>
    <w:p w14:paraId="04BB8A6B" w14:textId="77777777" w:rsidR="00537E5F" w:rsidRPr="00507A31" w:rsidRDefault="00AC7355" w:rsidP="00507A31">
      <w:pPr>
        <w:autoSpaceDE w:val="0"/>
        <w:autoSpaceDN w:val="0"/>
        <w:adjustRightInd w:val="0"/>
        <w:jc w:val="both"/>
        <w:rPr>
          <w:iCs/>
          <w:color w:val="000000" w:themeColor="text1"/>
          <w:sz w:val="16"/>
          <w:szCs w:val="16"/>
          <w:lang w:val="en-US"/>
        </w:rPr>
      </w:pPr>
      <w:r w:rsidRPr="00507A31">
        <w:rPr>
          <w:i/>
          <w:iCs/>
          <w:color w:val="000000" w:themeColor="text1"/>
          <w:sz w:val="16"/>
          <w:szCs w:val="16"/>
        </w:rPr>
        <w:t>Жизнь</w:t>
      </w:r>
      <w:r w:rsidRPr="00507A31">
        <w:rPr>
          <w:i/>
          <w:iCs/>
          <w:color w:val="000000" w:themeColor="text1"/>
          <w:sz w:val="16"/>
          <w:szCs w:val="16"/>
          <w:lang w:val="en-US"/>
        </w:rPr>
        <w:t xml:space="preserve"> </w:t>
      </w:r>
      <w:r w:rsidRPr="00507A31">
        <w:rPr>
          <w:i/>
          <w:iCs/>
          <w:color w:val="000000" w:themeColor="text1"/>
          <w:sz w:val="16"/>
          <w:szCs w:val="16"/>
        </w:rPr>
        <w:t>и</w:t>
      </w:r>
      <w:r w:rsidRPr="00507A31">
        <w:rPr>
          <w:i/>
          <w:iCs/>
          <w:color w:val="000000" w:themeColor="text1"/>
          <w:sz w:val="16"/>
          <w:szCs w:val="16"/>
          <w:lang w:val="en-US"/>
        </w:rPr>
        <w:t xml:space="preserve"> </w:t>
      </w:r>
      <w:r w:rsidRPr="00507A31">
        <w:rPr>
          <w:i/>
          <w:iCs/>
          <w:color w:val="000000" w:themeColor="text1"/>
          <w:sz w:val="16"/>
          <w:szCs w:val="16"/>
        </w:rPr>
        <w:t>внутренняя</w:t>
      </w:r>
      <w:r w:rsidRPr="00507A31">
        <w:rPr>
          <w:i/>
          <w:iCs/>
          <w:color w:val="000000" w:themeColor="text1"/>
          <w:sz w:val="16"/>
          <w:szCs w:val="16"/>
          <w:lang w:val="en-US"/>
        </w:rPr>
        <w:t xml:space="preserve"> </w:t>
      </w:r>
      <w:r w:rsidRPr="00507A31">
        <w:rPr>
          <w:i/>
          <w:iCs/>
          <w:color w:val="000000" w:themeColor="text1"/>
          <w:sz w:val="16"/>
          <w:szCs w:val="16"/>
        </w:rPr>
        <w:t>политика</w:t>
      </w:r>
      <w:r w:rsidRPr="00507A31">
        <w:rPr>
          <w:i/>
          <w:iCs/>
          <w:color w:val="000000" w:themeColor="text1"/>
          <w:sz w:val="16"/>
          <w:szCs w:val="16"/>
          <w:lang w:val="en-US"/>
        </w:rPr>
        <w:t>:</w:t>
      </w:r>
    </w:p>
    <w:p w14:paraId="29B9D429" w14:textId="77777777" w:rsidR="00537E5F" w:rsidRPr="00507A31" w:rsidRDefault="00537E5F" w:rsidP="00507A31">
      <w:pPr>
        <w:autoSpaceDE w:val="0"/>
        <w:autoSpaceDN w:val="0"/>
        <w:adjustRightInd w:val="0"/>
        <w:jc w:val="both"/>
        <w:rPr>
          <w:iCs/>
          <w:color w:val="000000" w:themeColor="text1"/>
          <w:sz w:val="16"/>
          <w:szCs w:val="16"/>
          <w:lang w:val="en-US"/>
        </w:rPr>
      </w:pPr>
    </w:p>
    <w:p w14:paraId="590CDF97" w14:textId="77777777" w:rsidR="00537E5F" w:rsidRPr="00507A31" w:rsidRDefault="00537E5F" w:rsidP="00507A31">
      <w:pPr>
        <w:autoSpaceDE w:val="0"/>
        <w:autoSpaceDN w:val="0"/>
        <w:adjustRightInd w:val="0"/>
        <w:jc w:val="both"/>
        <w:rPr>
          <w:color w:val="000000" w:themeColor="text1"/>
          <w:sz w:val="16"/>
          <w:szCs w:val="16"/>
          <w:lang w:val="en-US"/>
        </w:rPr>
      </w:pPr>
      <w:r w:rsidRPr="00507A31">
        <w:rPr>
          <w:color w:val="000000" w:themeColor="text1"/>
          <w:sz w:val="16"/>
          <w:szCs w:val="16"/>
          <w:lang w:val="en-US"/>
        </w:rPr>
        <w:t>March 2, 1930, Stalin published an important article entitled, `Dizzy with success' (1065).</w:t>
      </w:r>
    </w:p>
    <w:p w14:paraId="5DEA949F" w14:textId="77777777" w:rsidR="00537E5F" w:rsidRPr="00507A31" w:rsidRDefault="00537E5F" w:rsidP="00507A31">
      <w:pPr>
        <w:autoSpaceDE w:val="0"/>
        <w:autoSpaceDN w:val="0"/>
        <w:adjustRightInd w:val="0"/>
        <w:jc w:val="both"/>
        <w:rPr>
          <w:color w:val="000000" w:themeColor="text1"/>
          <w:sz w:val="16"/>
          <w:szCs w:val="16"/>
          <w:lang w:val="en-US"/>
        </w:rPr>
      </w:pPr>
    </w:p>
    <w:p w14:paraId="0B547F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марта 1930 в Правде вышла статья И.В.С. "Головокружение от успехов" (3186).</w:t>
      </w:r>
    </w:p>
    <w:p w14:paraId="43B63A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этот день опубликовали и примерный устав с/х артели (226,405).</w:t>
      </w:r>
    </w:p>
    <w:p w14:paraId="40E29E20" w14:textId="77777777" w:rsidR="00537E5F" w:rsidRPr="00507A31" w:rsidRDefault="00537E5F" w:rsidP="00507A31">
      <w:pPr>
        <w:autoSpaceDE w:val="0"/>
        <w:autoSpaceDN w:val="0"/>
        <w:adjustRightInd w:val="0"/>
        <w:jc w:val="both"/>
        <w:rPr>
          <w:color w:val="000000" w:themeColor="text1"/>
          <w:sz w:val="16"/>
          <w:szCs w:val="16"/>
        </w:rPr>
      </w:pPr>
    </w:p>
    <w:p w14:paraId="50D8F9E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марта 1930 была публикация в "Правде" статьи И.В.С. "Головокружение от успехов", в которой он возлагает вину за катастрофические последствия коллективизации на местные власти и сдерживает принудительную запись в колхозы (4962)..</w:t>
      </w:r>
    </w:p>
    <w:p w14:paraId="2EF9042A" w14:textId="77777777" w:rsidR="00537E5F" w:rsidRPr="00507A31" w:rsidRDefault="00537E5F" w:rsidP="00507A31">
      <w:pPr>
        <w:autoSpaceDE w:val="0"/>
        <w:autoSpaceDN w:val="0"/>
        <w:adjustRightInd w:val="0"/>
        <w:jc w:val="both"/>
        <w:rPr>
          <w:iCs/>
          <w:color w:val="000000" w:themeColor="text1"/>
          <w:sz w:val="16"/>
          <w:szCs w:val="16"/>
        </w:rPr>
      </w:pPr>
    </w:p>
    <w:p w14:paraId="22219DE5" w14:textId="77777777" w:rsidR="007A5C2D" w:rsidRPr="00507A31" w:rsidRDefault="007A5C2D" w:rsidP="00507A31">
      <w:pPr>
        <w:jc w:val="both"/>
        <w:rPr>
          <w:color w:val="000000" w:themeColor="text1"/>
          <w:sz w:val="16"/>
          <w:szCs w:val="16"/>
        </w:rPr>
      </w:pPr>
      <w:r w:rsidRPr="00507A31">
        <w:rPr>
          <w:bCs/>
          <w:color w:val="000000" w:themeColor="text1"/>
          <w:sz w:val="16"/>
          <w:szCs w:val="16"/>
        </w:rPr>
        <w:t>2 марта</w:t>
      </w:r>
      <w:r w:rsidRPr="00507A31">
        <w:rPr>
          <w:color w:val="000000" w:themeColor="text1"/>
          <w:sz w:val="16"/>
          <w:szCs w:val="16"/>
        </w:rPr>
        <w:t xml:space="preserve"> в 1930 году в газете "Правда" опубликована статья И.В.Сталина "Головокружение от успехов" о "перегибах на местах", допущенных при коллективизации. Решение задачи коллективизации осуществлялось за счет раскулачивания не только кулаков, но и середняков, всех, кто не хотел идти в колхоз (в некоторых районах раскулаченные составляли 10-15 процентов населения, а коллективизация за несколько дней «вырастала» с 10 до 90 процентов). Насилие было основным методом объединения в колхозы. Крестьянство ответило массовым недовольством и открытыми выступлениями. Перед лицом фактически развертывающейся гражданской войны сталинское руководство решило сманеврировать: были осуждены так называемые «перегибы» в коллективизации и раскулачивании, предлагалось, в частности, пересмотреть отношение к середняку, допускалось в отдельных областях как временная мера прекращение на время сева расселения кулаков, запрещалось без санкции ОГПУ (центра) посылать войска в районы крестьянских выступлений. 2 марта 1930 года в «Правде» появилась статья Сталина «Головокружение от успехов». В своей статье Сталин осудил многочисленные случаи нарушения принципа добровольности при организации колхозов, «чиновничье декретирование колхозного движения». </w:t>
      </w:r>
      <w:r w:rsidRPr="00507A31">
        <w:rPr>
          <w:color w:val="000000" w:themeColor="text1"/>
          <w:sz w:val="16"/>
          <w:szCs w:val="16"/>
        </w:rPr>
        <w:lastRenderedPageBreak/>
        <w:t>Он критиковал излишнюю «ретивость» в деле раскулачивания, жертвами которого стали многие середняки. Обобществлению часто подвергался мелкий скот, птица, инвентарь, постройки. Необходимо было остановить это «головокружение от успехов» и покончить с «бумажными колхозами, которых еще нет в действительности, но о существовании которых имеется куча хвастливых резолюций». В статье, однако, абсолютно отсутствовала самокритика, а вся ответственность за допущенные ошибки возлагалась на местное руководство. Ни в коей мере не вставал вопрос о пересмотре самого принципа коллективизации. Эффект от статьи, вслед за которой 14 марта появилось постановление ЦК ВКП(б) «О борьбе против искривления партийной линии в колхозном движении», сказался немедленно. Пока местные партийные кадры пребывали в полном смятении, начался массовый выход крестьян из колхозов (только в марте 1930 года - пять миллионов человек). Постановление о раскулачивании, принятое одновременно с переходом к сплошной коллективизации ЦК ВКП(б) в постановлении от 5 января 1930 года, так и не отменили. Отступление от первых «успехов» было кратким перемирием. К осени 1930 года, после засыпки урожая в закрома, колхозное наступление возобновилось (15056).</w:t>
      </w:r>
    </w:p>
    <w:p w14:paraId="7EB31D79" w14:textId="77777777" w:rsidR="007A5C2D" w:rsidRPr="00507A31" w:rsidRDefault="007A5C2D" w:rsidP="00507A31">
      <w:pPr>
        <w:jc w:val="both"/>
        <w:rPr>
          <w:color w:val="000000" w:themeColor="text1"/>
          <w:sz w:val="16"/>
          <w:szCs w:val="16"/>
        </w:rPr>
      </w:pPr>
    </w:p>
    <w:p w14:paraId="387EAF8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F1FCE23" w14:textId="77777777" w:rsidR="00537E5F" w:rsidRPr="00507A31" w:rsidRDefault="00537E5F" w:rsidP="00507A31">
      <w:pPr>
        <w:autoSpaceDE w:val="0"/>
        <w:autoSpaceDN w:val="0"/>
        <w:adjustRightInd w:val="0"/>
        <w:jc w:val="both"/>
        <w:rPr>
          <w:iCs/>
          <w:color w:val="000000" w:themeColor="text1"/>
          <w:sz w:val="16"/>
          <w:szCs w:val="16"/>
        </w:rPr>
      </w:pPr>
    </w:p>
    <w:p w14:paraId="323412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марта 1930 г. Государственный трест авиапромышленности Главного управления ме</w:t>
      </w:r>
      <w:r w:rsidRPr="00507A31">
        <w:rPr>
          <w:color w:val="000000" w:themeColor="text1"/>
          <w:sz w:val="16"/>
          <w:szCs w:val="16"/>
        </w:rPr>
        <w:softHyphen/>
        <w:t>таллургической промышленности (ГУМП) был преобразован во Всесоюзное авиацион</w:t>
      </w:r>
      <w:r w:rsidRPr="00507A31">
        <w:rPr>
          <w:color w:val="000000" w:themeColor="text1"/>
          <w:sz w:val="16"/>
          <w:szCs w:val="16"/>
        </w:rPr>
        <w:softHyphen/>
        <w:t>ное объединение (ВАО). В новом качестве он попрежнему подчинялся ВСНХ СССР. Спустя несколько месяцев, 31 июля 1930 г., согласно приказу Революционного военного совета (</w:t>
      </w:r>
      <w:r w:rsidRPr="00507A31">
        <w:rPr>
          <w:color w:val="000000" w:themeColor="text1"/>
          <w:sz w:val="16"/>
          <w:szCs w:val="16"/>
          <w:lang w:val="en-US"/>
        </w:rPr>
        <w:t>P</w:t>
      </w:r>
      <w:r w:rsidRPr="00507A31">
        <w:rPr>
          <w:color w:val="000000" w:themeColor="text1"/>
          <w:sz w:val="16"/>
          <w:szCs w:val="16"/>
        </w:rPr>
        <w:t>В</w:t>
      </w:r>
      <w:r w:rsidRPr="00507A31">
        <w:rPr>
          <w:color w:val="000000" w:themeColor="text1"/>
          <w:sz w:val="16"/>
          <w:szCs w:val="16"/>
          <w:lang w:val="en-US"/>
        </w:rPr>
        <w:t>C</w:t>
      </w:r>
      <w:r w:rsidRPr="00507A31">
        <w:rPr>
          <w:color w:val="000000" w:themeColor="text1"/>
          <w:sz w:val="16"/>
          <w:szCs w:val="16"/>
        </w:rPr>
        <w:t>) №052 ВАО и Центральный аэрогидродинамический институт (ЦАГИ) перешли в под</w:t>
      </w:r>
      <w:r w:rsidRPr="00507A31">
        <w:rPr>
          <w:color w:val="000000" w:themeColor="text1"/>
          <w:sz w:val="16"/>
          <w:szCs w:val="16"/>
        </w:rPr>
        <w:softHyphen/>
        <w:t>чинение Наркомата по военным и морским делам СССР. То есть, как тогда говорили, в ве</w:t>
      </w:r>
      <w:r w:rsidRPr="00507A31">
        <w:rPr>
          <w:color w:val="000000" w:themeColor="text1"/>
          <w:sz w:val="16"/>
          <w:szCs w:val="16"/>
        </w:rPr>
        <w:softHyphen/>
        <w:t>дение Наркомвоенмора Климента Ефре</w:t>
      </w:r>
      <w:r w:rsidRPr="00507A31">
        <w:rPr>
          <w:color w:val="000000" w:themeColor="text1"/>
          <w:sz w:val="16"/>
          <w:szCs w:val="16"/>
        </w:rPr>
        <w:softHyphen/>
        <w:t>мовича Ворошилова. Поэтому неудивитель</w:t>
      </w:r>
      <w:r w:rsidRPr="00507A31">
        <w:rPr>
          <w:color w:val="000000" w:themeColor="text1"/>
          <w:sz w:val="16"/>
          <w:szCs w:val="16"/>
        </w:rPr>
        <w:softHyphen/>
        <w:t>но, что второй опытный И-5, построенный в середине года, стал именным самолетом - на борту его ярко красного фюзеляжа нанесли иадпись«Клим Ворошилов». Именно этот именной экземпляр стал эталоном для первых серий И-5, выпускаемых на московских заводах №1 и №39 начиная с 1930 г. Поначалу количество заказанных истребителей определили в 100 экземпляров, причем первые 34 машины требовалось по</w:t>
      </w:r>
      <w:r w:rsidRPr="00507A31">
        <w:rPr>
          <w:color w:val="000000" w:themeColor="text1"/>
          <w:sz w:val="16"/>
          <w:szCs w:val="16"/>
        </w:rPr>
        <w:softHyphen/>
        <w:t>строить уже в октябре текущего года (11974).</w:t>
      </w:r>
    </w:p>
    <w:p w14:paraId="12BA310E" w14:textId="77777777" w:rsidR="00537E5F" w:rsidRPr="00507A31" w:rsidRDefault="00537E5F" w:rsidP="00507A31">
      <w:pPr>
        <w:autoSpaceDE w:val="0"/>
        <w:autoSpaceDN w:val="0"/>
        <w:adjustRightInd w:val="0"/>
        <w:jc w:val="both"/>
        <w:rPr>
          <w:color w:val="000000" w:themeColor="text1"/>
          <w:sz w:val="16"/>
          <w:szCs w:val="16"/>
        </w:rPr>
      </w:pPr>
    </w:p>
    <w:p w14:paraId="0BF8A5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марта 1930 г. Авиатрест был преобразован в ВАО, в подчинении которого находилось 25 заводов. По приказам ВСНХ № 1166 и № 1167 от 7.04.1930 г. на базе ГУВП и трестов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По приказу № 1324 от 3.05.1930 г. ГУВП и тресты были упразднены. Другие заводы перешли или остались в составе гражданских трестов и управлений (11982).</w:t>
      </w:r>
    </w:p>
    <w:p w14:paraId="5CFC85E7" w14:textId="77777777" w:rsidR="00537E5F" w:rsidRPr="00507A31" w:rsidRDefault="00537E5F" w:rsidP="00507A31">
      <w:pPr>
        <w:autoSpaceDE w:val="0"/>
        <w:autoSpaceDN w:val="0"/>
        <w:adjustRightInd w:val="0"/>
        <w:jc w:val="both"/>
        <w:rPr>
          <w:color w:val="000000" w:themeColor="text1"/>
          <w:sz w:val="16"/>
          <w:szCs w:val="16"/>
        </w:rPr>
      </w:pPr>
    </w:p>
    <w:p w14:paraId="5EA9DB1D" w14:textId="77777777" w:rsidR="005F36E2" w:rsidRPr="00507A31" w:rsidRDefault="005F36E2" w:rsidP="00507A31">
      <w:pPr>
        <w:shd w:val="clear" w:color="auto" w:fill="FFFFFF"/>
        <w:jc w:val="both"/>
        <w:rPr>
          <w:color w:val="000000" w:themeColor="text1"/>
          <w:sz w:val="16"/>
          <w:szCs w:val="16"/>
        </w:rPr>
      </w:pPr>
      <w:r w:rsidRPr="00507A31">
        <w:rPr>
          <w:color w:val="000000" w:themeColor="text1"/>
          <w:sz w:val="16"/>
          <w:szCs w:val="16"/>
        </w:rPr>
        <w:t>3 марта 1930 г. Авиатрест был преобразован во Всесоюзное объединение авиационной промышленности ВСНХ (ВАО), которое уже 28 июля 1930 года было переподчинено народному комиссариату по военным и морским делам (НКВМ). ВАО подчинялись семь авиастроительных, четыре моторостроительных, шесть ремонтных, пять подсобных и три опытных завода. Образование ВАО было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(12704).</w:t>
      </w:r>
    </w:p>
    <w:p w14:paraId="3547CC77" w14:textId="77777777" w:rsidR="005F36E2" w:rsidRPr="00507A31" w:rsidRDefault="005F36E2" w:rsidP="00507A31">
      <w:pPr>
        <w:shd w:val="clear" w:color="auto" w:fill="FFFFFF"/>
        <w:jc w:val="both"/>
        <w:rPr>
          <w:color w:val="000000" w:themeColor="text1"/>
          <w:sz w:val="16"/>
          <w:szCs w:val="16"/>
        </w:rPr>
      </w:pPr>
    </w:p>
    <w:p w14:paraId="1E7BBE69" w14:textId="77777777" w:rsidR="00DA1AA9" w:rsidRPr="00507A31" w:rsidRDefault="00DA1AA9" w:rsidP="00507A31">
      <w:pPr>
        <w:jc w:val="both"/>
        <w:rPr>
          <w:color w:val="000000" w:themeColor="text1"/>
          <w:sz w:val="16"/>
          <w:szCs w:val="16"/>
        </w:rPr>
      </w:pPr>
      <w:r w:rsidRPr="00507A31">
        <w:rPr>
          <w:bCs/>
          <w:color w:val="000000" w:themeColor="text1"/>
          <w:sz w:val="16"/>
          <w:szCs w:val="16"/>
        </w:rPr>
        <w:t>С 3 марта 1930 Авиатрест стал ВАО (ГВАО):</w:t>
      </w:r>
    </w:p>
    <w:p w14:paraId="0C447912" w14:textId="77777777" w:rsidR="00DA1AA9" w:rsidRPr="00507A31" w:rsidRDefault="00DA1AA9" w:rsidP="00507A31">
      <w:pPr>
        <w:jc w:val="both"/>
        <w:rPr>
          <w:color w:val="000000" w:themeColor="text1"/>
          <w:sz w:val="16"/>
          <w:szCs w:val="16"/>
        </w:rPr>
      </w:pPr>
      <w:r w:rsidRPr="00507A31">
        <w:rPr>
          <w:color w:val="000000" w:themeColor="text1"/>
          <w:sz w:val="16"/>
          <w:szCs w:val="16"/>
        </w:rPr>
        <w:t xml:space="preserve">В марте 1930 года Авиатрест был реорганизован. На его основе возникло </w:t>
      </w:r>
      <w:r w:rsidRPr="00507A31">
        <w:rPr>
          <w:bCs/>
          <w:iCs/>
          <w:color w:val="000000" w:themeColor="text1"/>
          <w:sz w:val="16"/>
          <w:szCs w:val="16"/>
        </w:rPr>
        <w:t xml:space="preserve">Всесоюзное авиаобъединение </w:t>
      </w:r>
      <w:r w:rsidRPr="00507A31">
        <w:rPr>
          <w:color w:val="000000" w:themeColor="text1"/>
          <w:sz w:val="16"/>
          <w:szCs w:val="16"/>
        </w:rPr>
        <w:t>(</w:t>
      </w:r>
      <w:r w:rsidRPr="00507A31">
        <w:rPr>
          <w:bCs/>
          <w:color w:val="000000" w:themeColor="text1"/>
          <w:sz w:val="16"/>
          <w:szCs w:val="16"/>
        </w:rPr>
        <w:t xml:space="preserve">ВАО, </w:t>
      </w:r>
      <w:r w:rsidRPr="00507A31">
        <w:rPr>
          <w:color w:val="000000" w:themeColor="text1"/>
          <w:sz w:val="16"/>
          <w:szCs w:val="16"/>
        </w:rPr>
        <w:t xml:space="preserve">оно же </w:t>
      </w:r>
      <w:r w:rsidRPr="00507A31">
        <w:rPr>
          <w:bCs/>
          <w:color w:val="000000" w:themeColor="text1"/>
          <w:sz w:val="16"/>
          <w:szCs w:val="16"/>
        </w:rPr>
        <w:t xml:space="preserve">ВОА </w:t>
      </w:r>
      <w:r w:rsidRPr="00507A31">
        <w:rPr>
          <w:color w:val="000000" w:themeColor="text1"/>
          <w:sz w:val="16"/>
          <w:szCs w:val="16"/>
        </w:rPr>
        <w:t xml:space="preserve">– </w:t>
      </w:r>
      <w:r w:rsidRPr="00507A31">
        <w:rPr>
          <w:bCs/>
          <w:iCs/>
          <w:color w:val="000000" w:themeColor="text1"/>
          <w:sz w:val="16"/>
          <w:szCs w:val="16"/>
        </w:rPr>
        <w:t>Всесоюзное объединение авиапромышленности</w:t>
      </w:r>
      <w:r w:rsidRPr="00507A31">
        <w:rPr>
          <w:color w:val="000000" w:themeColor="text1"/>
          <w:sz w:val="16"/>
          <w:szCs w:val="16"/>
        </w:rPr>
        <w:t xml:space="preserve">), по-прежнему подчинённое ГВПУ ВСНХ. </w:t>
      </w:r>
    </w:p>
    <w:p w14:paraId="39E5607C" w14:textId="77777777" w:rsidR="00DA1AA9" w:rsidRPr="00507A31" w:rsidRDefault="00DA1AA9" w:rsidP="00507A31">
      <w:pPr>
        <w:jc w:val="both"/>
        <w:rPr>
          <w:color w:val="000000" w:themeColor="text1"/>
          <w:sz w:val="16"/>
          <w:szCs w:val="16"/>
        </w:rPr>
      </w:pPr>
      <w:r w:rsidRPr="00507A31">
        <w:rPr>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507A31">
        <w:rPr>
          <w:bCs/>
          <w:iCs/>
          <w:color w:val="000000" w:themeColor="text1"/>
          <w:sz w:val="16"/>
          <w:szCs w:val="16"/>
        </w:rPr>
        <w:t xml:space="preserve">Управление военно-воздушных сил </w:t>
      </w:r>
      <w:r w:rsidRPr="00507A31">
        <w:rPr>
          <w:color w:val="000000" w:themeColor="text1"/>
          <w:sz w:val="16"/>
          <w:szCs w:val="16"/>
        </w:rPr>
        <w:t>(</w:t>
      </w:r>
      <w:r w:rsidRPr="00507A31">
        <w:rPr>
          <w:bCs/>
          <w:color w:val="000000" w:themeColor="text1"/>
          <w:sz w:val="16"/>
          <w:szCs w:val="16"/>
        </w:rPr>
        <w:t>УВВС</w:t>
      </w:r>
      <w:r w:rsidRPr="00507A31">
        <w:rPr>
          <w:color w:val="000000" w:themeColor="text1"/>
          <w:sz w:val="16"/>
          <w:szCs w:val="16"/>
        </w:rPr>
        <w:t xml:space="preserve">) и стало при этом </w:t>
      </w:r>
      <w:r w:rsidRPr="00507A31">
        <w:rPr>
          <w:bCs/>
          <w:iCs/>
          <w:color w:val="000000" w:themeColor="text1"/>
          <w:sz w:val="16"/>
          <w:szCs w:val="16"/>
        </w:rPr>
        <w:t xml:space="preserve">Государственным </w:t>
      </w:r>
      <w:r w:rsidRPr="00507A31">
        <w:rPr>
          <w:color w:val="000000" w:themeColor="text1"/>
          <w:sz w:val="16"/>
          <w:szCs w:val="16"/>
        </w:rPr>
        <w:t>(</w:t>
      </w:r>
      <w:r w:rsidRPr="00507A31">
        <w:rPr>
          <w:bCs/>
          <w:color w:val="000000" w:themeColor="text1"/>
          <w:sz w:val="16"/>
          <w:szCs w:val="16"/>
        </w:rPr>
        <w:t xml:space="preserve">ГВАО УВВС НКВМ). </w:t>
      </w:r>
      <w:r w:rsidRPr="00507A31">
        <w:rPr>
          <w:color w:val="000000" w:themeColor="text1"/>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2FB350AF" w14:textId="77777777" w:rsidR="00DA1AA9" w:rsidRPr="00507A31" w:rsidRDefault="00DA1AA9" w:rsidP="00507A31">
      <w:pPr>
        <w:jc w:val="both"/>
        <w:rPr>
          <w:color w:val="000000" w:themeColor="text1"/>
          <w:sz w:val="16"/>
          <w:szCs w:val="16"/>
        </w:rPr>
      </w:pPr>
      <w:r w:rsidRPr="00507A31">
        <w:rPr>
          <w:color w:val="000000" w:themeColor="text1"/>
          <w:sz w:val="16"/>
          <w:szCs w:val="16"/>
        </w:rPr>
        <w:t xml:space="preserve">Однако в феврале (или в июне) 1931 года ГВАО … снова подчиняется ВСНХ СССР как ВАО. </w:t>
      </w:r>
    </w:p>
    <w:p w14:paraId="0D2B2909" w14:textId="77777777" w:rsidR="00DA1AA9" w:rsidRPr="00507A31" w:rsidRDefault="00DA1AA9" w:rsidP="00507A31">
      <w:pPr>
        <w:jc w:val="both"/>
        <w:rPr>
          <w:color w:val="000000" w:themeColor="text1"/>
          <w:sz w:val="16"/>
          <w:szCs w:val="16"/>
        </w:rPr>
      </w:pPr>
      <w:r w:rsidRPr="00507A31">
        <w:rPr>
          <w:color w:val="000000" w:themeColor="text1"/>
          <w:sz w:val="16"/>
          <w:szCs w:val="16"/>
        </w:rPr>
        <w:t xml:space="preserve">Возглавляли ВАО/ГВАО Михайлов Иван Константинович (1930) и Урываев Михаил Георгиевич (1930/1931). </w:t>
      </w:r>
    </w:p>
    <w:p w14:paraId="4BD2017B" w14:textId="77777777" w:rsidR="00DA1AA9" w:rsidRPr="00507A31" w:rsidRDefault="00DA1AA9" w:rsidP="00507A31">
      <w:pPr>
        <w:jc w:val="both"/>
        <w:rPr>
          <w:color w:val="000000" w:themeColor="text1"/>
          <w:sz w:val="16"/>
          <w:szCs w:val="16"/>
        </w:rPr>
      </w:pPr>
      <w:r w:rsidRPr="00507A31">
        <w:rPr>
          <w:color w:val="000000" w:themeColor="text1"/>
          <w:sz w:val="16"/>
          <w:szCs w:val="16"/>
        </w:rPr>
        <w:t xml:space="preserve">По предложению Орджоникидзе, который в это время был руководителем ВСНХ, в августе вся авиапромышленность объединена в единый «Авиатрест» (уже </w:t>
      </w:r>
      <w:r w:rsidRPr="00507A31">
        <w:rPr>
          <w:iCs/>
          <w:color w:val="000000" w:themeColor="text1"/>
          <w:sz w:val="16"/>
          <w:szCs w:val="16"/>
        </w:rPr>
        <w:t>другой</w:t>
      </w:r>
      <w:r w:rsidRPr="00507A31">
        <w:rPr>
          <w:color w:val="000000" w:themeColor="text1"/>
          <w:sz w:val="16"/>
          <w:szCs w:val="16"/>
        </w:rPr>
        <w:t xml:space="preserve">), а его начальником назначен опытный производственник и организатор Фёдор Сергеевич </w:t>
      </w:r>
      <w:r w:rsidRPr="00507A31">
        <w:rPr>
          <w:bCs/>
          <w:color w:val="000000" w:themeColor="text1"/>
          <w:sz w:val="16"/>
          <w:szCs w:val="16"/>
        </w:rPr>
        <w:t xml:space="preserve">Малахов. </w:t>
      </w:r>
      <w:r w:rsidRPr="00507A31">
        <w:rPr>
          <w:color w:val="000000" w:themeColor="text1"/>
          <w:sz w:val="16"/>
          <w:szCs w:val="16"/>
        </w:rPr>
        <w:t xml:space="preserve">ВАО при этом, похоже, ещё остаётся, но такой симбиоз просуществовал совсем недолго. </w:t>
      </w:r>
    </w:p>
    <w:p w14:paraId="528FA2E6"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Руководство УВВС НКВМ: </w:t>
      </w:r>
    </w:p>
    <w:p w14:paraId="6B693BE0"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Баранов </w:t>
      </w:r>
      <w:r w:rsidRPr="00507A31">
        <w:rPr>
          <w:color w:val="000000" w:themeColor="text1"/>
          <w:sz w:val="16"/>
          <w:szCs w:val="16"/>
        </w:rPr>
        <w:t xml:space="preserve">Пётр Ионович </w:t>
      </w:r>
      <w:r w:rsidRPr="00507A31">
        <w:rPr>
          <w:bCs/>
          <w:color w:val="000000" w:themeColor="text1"/>
          <w:sz w:val="16"/>
          <w:szCs w:val="16"/>
        </w:rPr>
        <w:t xml:space="preserve">Алкснис </w:t>
      </w:r>
      <w:r w:rsidRPr="00507A31">
        <w:rPr>
          <w:color w:val="000000" w:themeColor="text1"/>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507A31">
        <w:rPr>
          <w:bCs/>
          <w:color w:val="000000" w:themeColor="text1"/>
          <w:sz w:val="16"/>
          <w:szCs w:val="16"/>
        </w:rPr>
        <w:t xml:space="preserve">ГУАП: </w:t>
      </w:r>
    </w:p>
    <w:p w14:paraId="3F2AF6E9" w14:textId="77777777" w:rsidR="00DA1AA9" w:rsidRPr="00507A31" w:rsidRDefault="00DA1AA9" w:rsidP="00507A31">
      <w:pPr>
        <w:jc w:val="both"/>
        <w:rPr>
          <w:color w:val="000000" w:themeColor="text1"/>
          <w:sz w:val="16"/>
          <w:szCs w:val="16"/>
        </w:rPr>
      </w:pPr>
      <w:r w:rsidRPr="00507A31">
        <w:rPr>
          <w:color w:val="000000" w:themeColor="text1"/>
          <w:sz w:val="16"/>
          <w:szCs w:val="16"/>
        </w:rPr>
        <w:t xml:space="preserve">29 декабря 1931 г. ВАО ВСНХ преобразуется в </w:t>
      </w:r>
      <w:r w:rsidRPr="00507A31">
        <w:rPr>
          <w:bCs/>
          <w:iCs/>
          <w:color w:val="000000" w:themeColor="text1"/>
          <w:sz w:val="16"/>
          <w:szCs w:val="16"/>
        </w:rPr>
        <w:t xml:space="preserve">Главное управление авиационной промышленности </w:t>
      </w:r>
      <w:r w:rsidRPr="00507A31">
        <w:rPr>
          <w:color w:val="000000" w:themeColor="text1"/>
          <w:sz w:val="16"/>
          <w:szCs w:val="16"/>
        </w:rPr>
        <w:t>(</w:t>
      </w:r>
      <w:r w:rsidRPr="00507A31">
        <w:rPr>
          <w:bCs/>
          <w:iCs/>
          <w:color w:val="000000" w:themeColor="text1"/>
          <w:sz w:val="16"/>
          <w:szCs w:val="16"/>
        </w:rPr>
        <w:t>ГУАП</w:t>
      </w:r>
      <w:r w:rsidRPr="00507A31">
        <w:rPr>
          <w:color w:val="000000" w:themeColor="text1"/>
          <w:sz w:val="16"/>
          <w:szCs w:val="16"/>
        </w:rPr>
        <w:t xml:space="preserve">) </w:t>
      </w:r>
      <w:r w:rsidRPr="00507A31">
        <w:rPr>
          <w:bCs/>
          <w:iCs/>
          <w:color w:val="000000" w:themeColor="text1"/>
          <w:sz w:val="16"/>
          <w:szCs w:val="16"/>
        </w:rPr>
        <w:t xml:space="preserve">при ВСНХ </w:t>
      </w:r>
      <w:r w:rsidRPr="00507A31">
        <w:rPr>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507A31">
        <w:rPr>
          <w:bCs/>
          <w:iCs/>
          <w:color w:val="000000" w:themeColor="text1"/>
          <w:sz w:val="16"/>
          <w:szCs w:val="16"/>
        </w:rPr>
        <w:t>при НКТП</w:t>
      </w:r>
      <w:r w:rsidRPr="00507A31">
        <w:rPr>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6E4F3045" w14:textId="77777777" w:rsidR="00DA1AA9" w:rsidRPr="00507A31" w:rsidRDefault="00DA1AA9" w:rsidP="00507A31">
      <w:pPr>
        <w:jc w:val="both"/>
        <w:rPr>
          <w:color w:val="000000" w:themeColor="text1"/>
          <w:sz w:val="16"/>
          <w:szCs w:val="16"/>
        </w:rPr>
      </w:pPr>
      <w:r w:rsidRPr="00507A31">
        <w:rPr>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6EFBA8EC" w14:textId="77777777" w:rsidR="00DA1AA9" w:rsidRPr="00507A31" w:rsidRDefault="00DA1AA9" w:rsidP="00507A31">
      <w:pPr>
        <w:jc w:val="both"/>
        <w:rPr>
          <w:bCs/>
          <w:color w:val="000000" w:themeColor="text1"/>
          <w:sz w:val="16"/>
          <w:szCs w:val="16"/>
        </w:rPr>
      </w:pPr>
    </w:p>
    <w:p w14:paraId="478C4844" w14:textId="77777777" w:rsidR="00E76DA3" w:rsidRPr="00507A31" w:rsidRDefault="00E76DA3" w:rsidP="00507A31">
      <w:pPr>
        <w:pStyle w:val="rtejustify"/>
        <w:shd w:val="clear" w:color="auto" w:fill="FFFFFF"/>
        <w:spacing w:before="0" w:after="0"/>
        <w:rPr>
          <w:color w:val="000000" w:themeColor="text1"/>
          <w:sz w:val="16"/>
          <w:szCs w:val="16"/>
        </w:rPr>
      </w:pPr>
      <w:r w:rsidRPr="00507A31">
        <w:rPr>
          <w:color w:val="000000" w:themeColor="text1"/>
          <w:sz w:val="16"/>
          <w:szCs w:val="16"/>
        </w:rPr>
        <w:t>3 марта 1930 года, прибыв на ЗОК, комиссия обнаружила, что практически никаких изменений в макете нет, и он не подготовлен к осмотру. Было принято решение силами макетной комиссии завершить работу по макету. (Беспрецедентный случай!) Но окончить работу и составить протокол в этот день не удалось. Окончательно макет утвердили лишь 8 марта 1930 года, хотя вопрос о летных данных самолета остался открытым, ввиду отсутствия характеристик мотора (19171).</w:t>
      </w:r>
    </w:p>
    <w:p w14:paraId="6BBD2D25" w14:textId="77777777" w:rsidR="00E76DA3" w:rsidRPr="00507A31" w:rsidRDefault="00E76DA3" w:rsidP="00507A31">
      <w:pPr>
        <w:pStyle w:val="rtejustify"/>
        <w:shd w:val="clear" w:color="auto" w:fill="FFFFFF"/>
        <w:spacing w:before="0" w:after="0"/>
        <w:rPr>
          <w:color w:val="000000" w:themeColor="text1"/>
          <w:sz w:val="16"/>
          <w:szCs w:val="16"/>
        </w:rPr>
      </w:pPr>
    </w:p>
    <w:p w14:paraId="0390416C" w14:textId="77777777" w:rsidR="005E2635" w:rsidRPr="00507A31" w:rsidRDefault="005E2635" w:rsidP="00507A31">
      <w:pPr>
        <w:jc w:val="both"/>
        <w:rPr>
          <w:color w:val="0070C0"/>
          <w:sz w:val="16"/>
          <w:szCs w:val="16"/>
        </w:rPr>
      </w:pPr>
      <w:r w:rsidRPr="00507A31">
        <w:rPr>
          <w:color w:val="0070C0"/>
          <w:sz w:val="16"/>
          <w:szCs w:val="16"/>
        </w:rPr>
        <w:t>3 марта 1930 г. главный летчик-испытатель фирмы «SIAI-Marchetti» Алессандро Пассалева вылетел на S.62 в Севастополь, где с 15 марта до 10 апреля проводились государственные испытания308. Руководил ими Р.Л. Бартини. С итальянской стороны присутствовал представитель фирмы «SIAI» Карутти (правильно – Гарутти), Пассалева же осуществлял полеты. Самолет показал хорошую управляемость и удовлетворительную устойчивость. Пассалева продемонстрировал «виражи с креном до 70º, боевые развороты, крутые спирали, скольжение с креном до 40º, пикирование с углом до 45º и потерю скорости, при которой самолет, парашютируя, переходит на нос и, вновь набрав скорость, возвращается в исходное положение»309. Среднюю скорость рассчитали равной 180 км/ч. Комиссия под председательством В.К. Лаврова отметила положительные качества самолета – горизонтальную скорость, скороподъемность, маневренность в воздухе, разбег, простоту в эксплуатации, грузоподъемность, большой радиус действия, однако обнаружила и несколько недостатков: тугое управление, неудовлетворительную продольную устойчивость, трудную маневренность в воде. Тем не менее, в заключении комиссия признавала, что «благодаря хорошим летным качествам, простоты в эксплуатации Савойя 62-бис является вполне современным гидросамолетом и после устранения недостатков, отмеченных в акте технического осмотра, может быть рекомендован на снабжение ВВС РККА как разведчик и легкий бомбардировщик» (21410).</w:t>
      </w:r>
    </w:p>
    <w:p w14:paraId="502A7957" w14:textId="77777777" w:rsidR="005E2635" w:rsidRPr="00507A31" w:rsidRDefault="005E2635" w:rsidP="00507A31">
      <w:pPr>
        <w:jc w:val="both"/>
        <w:rPr>
          <w:color w:val="0070C0"/>
          <w:sz w:val="16"/>
          <w:szCs w:val="16"/>
        </w:rPr>
      </w:pPr>
    </w:p>
    <w:p w14:paraId="5379D97B" w14:textId="77777777" w:rsidR="00442680"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4991309" w14:textId="77777777" w:rsidR="00442680" w:rsidRPr="00507A31" w:rsidRDefault="00442680" w:rsidP="00507A31">
      <w:pPr>
        <w:autoSpaceDE w:val="0"/>
        <w:autoSpaceDN w:val="0"/>
        <w:adjustRightInd w:val="0"/>
        <w:jc w:val="both"/>
        <w:rPr>
          <w:iCs/>
          <w:color w:val="000000" w:themeColor="text1"/>
          <w:sz w:val="16"/>
          <w:szCs w:val="16"/>
        </w:rPr>
      </w:pPr>
    </w:p>
    <w:p w14:paraId="7F7C0174" w14:textId="77777777" w:rsidR="00442680" w:rsidRPr="00507A31" w:rsidRDefault="00442680" w:rsidP="00507A31">
      <w:pPr>
        <w:pStyle w:val="rtejustify"/>
        <w:spacing w:before="0" w:after="0"/>
        <w:rPr>
          <w:color w:val="000000" w:themeColor="text1"/>
          <w:sz w:val="16"/>
          <w:szCs w:val="16"/>
        </w:rPr>
      </w:pPr>
      <w:r w:rsidRPr="00507A31">
        <w:rPr>
          <w:rStyle w:val="af0"/>
          <w:i w:val="0"/>
          <w:color w:val="000000" w:themeColor="text1"/>
          <w:sz w:val="16"/>
          <w:szCs w:val="16"/>
        </w:rPr>
        <w:t xml:space="preserve">3 марта 1930 г. Протокол Реввоенсовета №3. </w:t>
      </w:r>
      <w:r w:rsidRPr="00507A31">
        <w:rPr>
          <w:color w:val="000000" w:themeColor="text1"/>
          <w:sz w:val="16"/>
          <w:szCs w:val="16"/>
        </w:rPr>
        <w:t>4. О ходе работ по системе артвооружения в части работ по пулям, патронам и гильзам. (Ефимов). 5. О пятилетием плане опытного строительства ВВС. (Алкснис). 8. О принятии на вооружение угломера-квадранта. (Ефимов). 9. О введении на вооружение передка образца 1928 г. для полковой артиллерии. (Ефимов). 10. О невыполненных работах по плану работ РВСС. (Литуновский). 19. Перечень предметов, принимаемых на вооружение и снабжение, с утверждения РВСС. (Шапошников). (РГВА. Ф. 4. Оп. 18. Д. 19. Л. 55</w:t>
      </w:r>
      <w:r w:rsidRPr="00507A31">
        <w:rPr>
          <w:color w:val="000000" w:themeColor="text1"/>
          <w:sz w:val="16"/>
          <w:szCs w:val="16"/>
        </w:rPr>
        <w:noBreakHyphen/>
        <w:t>59, 61</w:t>
      </w:r>
      <w:r w:rsidRPr="00507A31">
        <w:rPr>
          <w:color w:val="000000" w:themeColor="text1"/>
          <w:sz w:val="16"/>
          <w:szCs w:val="16"/>
        </w:rPr>
        <w:noBreakHyphen/>
        <w:t>64) (12342).</w:t>
      </w:r>
    </w:p>
    <w:p w14:paraId="5350C064" w14:textId="77777777" w:rsidR="00442680" w:rsidRPr="00507A31" w:rsidRDefault="00442680" w:rsidP="00507A31">
      <w:pPr>
        <w:pStyle w:val="rtejustify"/>
        <w:spacing w:before="0" w:after="0"/>
        <w:rPr>
          <w:color w:val="000000" w:themeColor="text1"/>
          <w:sz w:val="16"/>
          <w:szCs w:val="16"/>
        </w:rPr>
      </w:pPr>
    </w:p>
    <w:p w14:paraId="5BF1A2E7" w14:textId="77777777" w:rsidR="00792E63" w:rsidRPr="00507A31" w:rsidRDefault="00792E63" w:rsidP="00507A31">
      <w:pPr>
        <w:shd w:val="clear" w:color="auto" w:fill="FFFFFF"/>
        <w:jc w:val="both"/>
        <w:rPr>
          <w:color w:val="000000" w:themeColor="text1"/>
          <w:sz w:val="16"/>
          <w:szCs w:val="16"/>
        </w:rPr>
      </w:pPr>
      <w:r w:rsidRPr="00507A31">
        <w:rPr>
          <w:bCs/>
          <w:iCs/>
          <w:color w:val="000000" w:themeColor="text1"/>
          <w:sz w:val="16"/>
          <w:szCs w:val="16"/>
        </w:rPr>
        <w:t>3 марта 1930 г.</w:t>
      </w:r>
      <w:r w:rsidRPr="00507A31">
        <w:rPr>
          <w:color w:val="000000" w:themeColor="text1"/>
          <w:sz w:val="16"/>
          <w:szCs w:val="16"/>
        </w:rPr>
        <w:t xml:space="preserve"> Решение РВС СССР о принятии на вооружение РККА новых средств химического вооружения — новых ОВ, рецептур снаряжения артхимснарядов и авиахимбомб, а также ядовито-дымных шашек (17133).</w:t>
      </w:r>
    </w:p>
    <w:p w14:paraId="60036B4E" w14:textId="77777777" w:rsidR="00792E63" w:rsidRPr="00507A31" w:rsidRDefault="00792E63" w:rsidP="00507A31">
      <w:pPr>
        <w:shd w:val="clear" w:color="auto" w:fill="FFFFFF"/>
        <w:jc w:val="both"/>
        <w:rPr>
          <w:color w:val="000000" w:themeColor="text1"/>
          <w:sz w:val="16"/>
          <w:szCs w:val="16"/>
        </w:rPr>
      </w:pPr>
    </w:p>
    <w:p w14:paraId="7E38850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95504E9" w14:textId="77777777" w:rsidR="00537E5F" w:rsidRPr="00507A31" w:rsidRDefault="00537E5F" w:rsidP="00507A31">
      <w:pPr>
        <w:autoSpaceDE w:val="0"/>
        <w:autoSpaceDN w:val="0"/>
        <w:adjustRightInd w:val="0"/>
        <w:jc w:val="both"/>
        <w:rPr>
          <w:iCs/>
          <w:color w:val="000000" w:themeColor="text1"/>
          <w:sz w:val="16"/>
          <w:szCs w:val="16"/>
        </w:rPr>
      </w:pPr>
    </w:p>
    <w:p w14:paraId="2DAA39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3-4 марта 1930 Читинская область. Бичурское вооруженное восстание против коллективизации, которое на следующий день было подавлено ОГПУ (10687).</w:t>
      </w:r>
    </w:p>
    <w:p w14:paraId="7673BCA6" w14:textId="77777777" w:rsidR="00537E5F" w:rsidRPr="00507A31" w:rsidRDefault="00537E5F" w:rsidP="00507A31">
      <w:pPr>
        <w:autoSpaceDE w:val="0"/>
        <w:autoSpaceDN w:val="0"/>
        <w:adjustRightInd w:val="0"/>
        <w:jc w:val="both"/>
        <w:rPr>
          <w:color w:val="000000" w:themeColor="text1"/>
          <w:sz w:val="16"/>
          <w:szCs w:val="16"/>
        </w:rPr>
      </w:pPr>
    </w:p>
    <w:p w14:paraId="5119107C" w14:textId="77777777" w:rsidR="00F2522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99A3957" w14:textId="77777777" w:rsidR="00F25222" w:rsidRPr="00507A31" w:rsidRDefault="00F25222" w:rsidP="00507A31">
      <w:pPr>
        <w:autoSpaceDE w:val="0"/>
        <w:autoSpaceDN w:val="0"/>
        <w:adjustRightInd w:val="0"/>
        <w:jc w:val="both"/>
        <w:rPr>
          <w:iCs/>
          <w:color w:val="000000" w:themeColor="text1"/>
          <w:sz w:val="16"/>
          <w:szCs w:val="16"/>
        </w:rPr>
      </w:pPr>
    </w:p>
    <w:p w14:paraId="3C96A5B5" w14:textId="77777777" w:rsidR="00F25222" w:rsidRPr="00507A31" w:rsidRDefault="00F25222" w:rsidP="00507A31">
      <w:pPr>
        <w:shd w:val="clear" w:color="auto" w:fill="FFFFFF"/>
        <w:jc w:val="both"/>
        <w:rPr>
          <w:color w:val="000000" w:themeColor="text1"/>
          <w:sz w:val="16"/>
          <w:szCs w:val="16"/>
        </w:rPr>
      </w:pPr>
      <w:r w:rsidRPr="00507A31">
        <w:rPr>
          <w:bCs/>
          <w:iCs/>
          <w:color w:val="000000" w:themeColor="text1"/>
          <w:sz w:val="16"/>
          <w:szCs w:val="16"/>
        </w:rPr>
        <w:lastRenderedPageBreak/>
        <w:t>4 марта 1930 г.</w:t>
      </w:r>
      <w:r w:rsidRPr="00507A31">
        <w:rPr>
          <w:color w:val="000000" w:themeColor="text1"/>
          <w:sz w:val="16"/>
          <w:szCs w:val="16"/>
        </w:rPr>
        <w:t xml:space="preserve"> Испытания на артполигоне возле г.Луга артиллерийских снарядов в снаряжении ипритом. На две площадки было выпущено по 200 ипритных снарядов калибра 122 мм (17133).</w:t>
      </w:r>
    </w:p>
    <w:p w14:paraId="7A5FE831" w14:textId="77777777" w:rsidR="00F25222" w:rsidRPr="00507A31" w:rsidRDefault="00F25222" w:rsidP="00507A31">
      <w:pPr>
        <w:shd w:val="clear" w:color="auto" w:fill="FFFFFF"/>
        <w:jc w:val="both"/>
        <w:rPr>
          <w:color w:val="000000" w:themeColor="text1"/>
          <w:sz w:val="16"/>
          <w:szCs w:val="16"/>
        </w:rPr>
      </w:pPr>
    </w:p>
    <w:p w14:paraId="4C5B9F0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71F0B9DD" w14:textId="77777777" w:rsidR="00537E5F" w:rsidRPr="00507A31" w:rsidRDefault="00537E5F" w:rsidP="00507A31">
      <w:pPr>
        <w:autoSpaceDE w:val="0"/>
        <w:autoSpaceDN w:val="0"/>
        <w:adjustRightInd w:val="0"/>
        <w:jc w:val="both"/>
        <w:rPr>
          <w:iCs/>
          <w:color w:val="000000" w:themeColor="text1"/>
          <w:sz w:val="16"/>
          <w:szCs w:val="16"/>
        </w:rPr>
      </w:pPr>
    </w:p>
    <w:p w14:paraId="3B1749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марта 1930 года на Лужском полигоне были испытаны артхимснаряды в снаряжении ипритом. На две площадки было выпущено по 200 снарядов калибра 122 мм. Были и "промазы" (9065).</w:t>
      </w:r>
    </w:p>
    <w:p w14:paraId="0777E4EB" w14:textId="77777777" w:rsidR="00537E5F" w:rsidRPr="00507A31" w:rsidRDefault="00537E5F" w:rsidP="00507A31">
      <w:pPr>
        <w:autoSpaceDE w:val="0"/>
        <w:autoSpaceDN w:val="0"/>
        <w:adjustRightInd w:val="0"/>
        <w:jc w:val="both"/>
        <w:rPr>
          <w:color w:val="000000" w:themeColor="text1"/>
          <w:sz w:val="16"/>
          <w:szCs w:val="16"/>
        </w:rPr>
      </w:pPr>
    </w:p>
    <w:p w14:paraId="1D95C6D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5FAEEAB" w14:textId="77777777" w:rsidR="00537E5F" w:rsidRPr="00507A31" w:rsidRDefault="00537E5F" w:rsidP="00507A31">
      <w:pPr>
        <w:autoSpaceDE w:val="0"/>
        <w:autoSpaceDN w:val="0"/>
        <w:adjustRightInd w:val="0"/>
        <w:jc w:val="both"/>
        <w:rPr>
          <w:iCs/>
          <w:color w:val="000000" w:themeColor="text1"/>
          <w:sz w:val="16"/>
          <w:szCs w:val="16"/>
        </w:rPr>
      </w:pPr>
    </w:p>
    <w:p w14:paraId="56A2DC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марта 1930 вышло решение Правительства о широком привлечении иностранной помощи (1028,123) для развития авиации (3529).</w:t>
      </w:r>
    </w:p>
    <w:p w14:paraId="40F40389" w14:textId="77777777" w:rsidR="00537E5F" w:rsidRPr="00507A31" w:rsidRDefault="00537E5F" w:rsidP="00507A31">
      <w:pPr>
        <w:autoSpaceDE w:val="0"/>
        <w:autoSpaceDN w:val="0"/>
        <w:adjustRightInd w:val="0"/>
        <w:jc w:val="both"/>
        <w:rPr>
          <w:color w:val="000000" w:themeColor="text1"/>
          <w:sz w:val="16"/>
          <w:szCs w:val="16"/>
        </w:rPr>
      </w:pPr>
    </w:p>
    <w:p w14:paraId="6C387157" w14:textId="77777777" w:rsidR="00442680" w:rsidRPr="00507A31" w:rsidRDefault="00442680" w:rsidP="00507A31">
      <w:pPr>
        <w:jc w:val="both"/>
        <w:rPr>
          <w:color w:val="000000" w:themeColor="text1"/>
          <w:sz w:val="16"/>
          <w:szCs w:val="16"/>
        </w:rPr>
      </w:pPr>
      <w:r w:rsidRPr="00507A31">
        <w:rPr>
          <w:color w:val="000000" w:themeColor="text1"/>
          <w:sz w:val="16"/>
          <w:szCs w:val="16"/>
        </w:rPr>
        <w:t>5 марта 1930 г. — Постановление Политбюро ЦК ВКП(б) об авиапромышленности</w:t>
      </w:r>
    </w:p>
    <w:p w14:paraId="4C60F6E3"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1. Констатировать, что конструирование новых типов авиамоторов идет чрезвычайно медленно (3</w:t>
      </w:r>
      <w:r w:rsidRPr="00507A31">
        <w:rPr>
          <w:color w:val="000000" w:themeColor="text1"/>
          <w:sz w:val="16"/>
          <w:szCs w:val="16"/>
        </w:rPr>
        <w:noBreakHyphen/>
        <w:t>4 года) и не закончено даже постройкой в опытных образцах; что серийное производство мощных моторов по лицензиям, закупленным 1,5</w:t>
      </w:r>
      <w:r w:rsidRPr="00507A31">
        <w:rPr>
          <w:color w:val="000000" w:themeColor="text1"/>
          <w:sz w:val="16"/>
          <w:szCs w:val="16"/>
        </w:rPr>
        <w:noBreakHyphen/>
        <w:t>2 года назад, до сих пор еще не поставлено; что в серийном производстве все еще продолжает оставаться мотор «Либерти» образца 1917 г., давно снятый с вооружения во всех странах и значительно уступающий по своим техническим данным моторам наших вероятных противников.</w:t>
      </w:r>
    </w:p>
    <w:p w14:paraId="3EEC4C0A"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до 4 лет против средних сроков в 1</w:t>
      </w:r>
      <w:r w:rsidRPr="00507A31">
        <w:rPr>
          <w:color w:val="000000" w:themeColor="text1"/>
          <w:sz w:val="16"/>
          <w:szCs w:val="16"/>
        </w:rPr>
        <w:noBreakHyphen/>
        <w:t>1,5 года за границей). До сих пор совершенно нет законченных опытных образцов гидросамолетов и самолетов сварных и стальных конструкций, широко распространенных за границей. 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0A2DF2DA"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1FCA5928"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2. Это положение воздушного флота и авиапромышленности остается, несмотря на директиву Политбюро от 15 июля 1929 г. и ряд постановлений РЗ СТО (20 февраля и 23 августа 1928 г., 29 июля 1929 г.²*), требовавших от ВСНХ и ГВПУ принятия срочных и действительных мер для устранения указанных недочетов.</w:t>
      </w:r>
    </w:p>
    <w:p w14:paraId="30CB23B5"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Главнейшими причинами этого являются:</w:t>
      </w:r>
    </w:p>
    <w:p w14:paraId="7C2597DD"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а) 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493FF391"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356FEC4D"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 СТО.</w:t>
      </w:r>
    </w:p>
    <w:p w14:paraId="21C90BA8"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3. В целях скорейшего оздоровления авиапромышленности и обеспечения строительства военно-воздушного флота, признать необходимым:</w:t>
      </w:r>
    </w:p>
    <w:p w14:paraId="38D10306"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а) в двухмесячный срок произвести поголовную проверку и чистку всего личного состава как служащих, так и рабочих авиапромышленности; проведение этого возложить на комиссии: в центре — в составе представителей ВСНХ, ВЦСПС, ЦК ВКП(б), НКВМ и ОГПУ, под председательством представителя НК РКИ (т. Павлуновского), а на предприятиях —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456DD299"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б) прекратить переброски по партийным, советским и профессиональным мобилизациям квалифицированных рабочих и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разрешения ЦК ВКП(б);</w:t>
      </w:r>
    </w:p>
    <w:p w14:paraId="2135141F"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в) в 1930 г. провести проверочную мобилизацию 2 моторостроительных заводов;</w:t>
      </w:r>
    </w:p>
    <w:p w14:paraId="0C51A941"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г) 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33D6DABC"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4. Обязать РЗ СТО:</w:t>
      </w:r>
    </w:p>
    <w:p w14:paraId="54923A02"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а) обеспечить успешное выполнение всех мероприятий по оздоровлению и развитию авиапромышленности и воздушного флота в ударном порядке;</w:t>
      </w:r>
    </w:p>
    <w:p w14:paraId="08C84528"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со стороны НК РКИ и НКВМ;</w:t>
      </w:r>
    </w:p>
    <w:p w14:paraId="0611CEA0"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в) через 6 месяцев доложить Политбюро о достигнутых результатах и необходимых мероприятиях для дальнейшего улучшения состояния авиапромышленности.</w:t>
      </w:r>
    </w:p>
    <w:p w14:paraId="7430815A"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5. Обязать т. </w:t>
      </w:r>
      <w:hyperlink r:id="rId40" w:history="1">
        <w:r w:rsidRPr="00507A31">
          <w:rPr>
            <w:color w:val="000000" w:themeColor="text1"/>
            <w:sz w:val="16"/>
            <w:szCs w:val="16"/>
          </w:rPr>
          <w:t>Рыкова</w:t>
        </w:r>
      </w:hyperlink>
      <w:r w:rsidRPr="00507A31">
        <w:rPr>
          <w:color w:val="000000" w:themeColor="text1"/>
          <w:sz w:val="16"/>
          <w:szCs w:val="16"/>
        </w:rPr>
        <w:t xml:space="preserve"> лично разрешать текущие вопросы по авиапромышленности, выходящие за пределы компетенции ВСНХ и препятствующие нормальному ходу работы.</w:t>
      </w:r>
    </w:p>
    <w:p w14:paraId="03DF4080"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6. Принять к сведению постановления РЗ СТО от 16 октября 1929 г. и 30 января 1930 г.³*, предусматривающие осуществление практических мероприятий по авиапромышленности и воздушному флоту.</w:t>
      </w:r>
    </w:p>
    <w:p w14:paraId="26BA2A12"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7. 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4EECB786"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Предоставить НКВМору право контроля и наблюдения за выполнением заказов на самолеты и моторы, особенно в части изготовления новых образцов.</w:t>
      </w:r>
    </w:p>
    <w:p w14:paraId="6A49785A"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8. Принять к сведению заявление т. </w:t>
      </w:r>
      <w:hyperlink r:id="rId41" w:history="1">
        <w:r w:rsidRPr="00507A31">
          <w:rPr>
            <w:color w:val="000000" w:themeColor="text1"/>
            <w:sz w:val="16"/>
            <w:szCs w:val="16"/>
          </w:rPr>
          <w:t>Ворошилова</w:t>
        </w:r>
      </w:hyperlink>
      <w:r w:rsidRPr="00507A31">
        <w:rPr>
          <w:color w:val="000000" w:themeColor="text1"/>
          <w:sz w:val="16"/>
          <w:szCs w:val="16"/>
        </w:rPr>
        <w:t>, что предложение НК 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1F9B0B62"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9. НКВМ и ВСНХ не позже 1 апреля 1930 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507A31">
        <w:rPr>
          <w:color w:val="000000" w:themeColor="text1"/>
          <w:sz w:val="16"/>
          <w:szCs w:val="16"/>
        </w:rPr>
        <w:noBreakHyphen/>
        <w:t>8 месяцев.</w:t>
      </w:r>
    </w:p>
    <w:p w14:paraId="1A107DA7"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05B13B59"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11. В целях максимального сокращения сроков мобилизационного развертывания авиазаводов обязать ВСНХ в месячный срок представить в РЗ СТО план загрузки авиазаводов другими видами продукции, помимо военных заказов, —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7B3E8A56"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12. 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 Помимо этого, в срочном порядке привлечь из-за границы нескольких крупных конструкторов, инженеров и мастеров.</w:t>
      </w:r>
    </w:p>
    <w:p w14:paraId="294E109C"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13. Поручить ВСНХ и НКВМ в двухмесячный срок закупить за границей несколько типов новейших моторов для установки их производства на наших заводах.</w:t>
      </w:r>
    </w:p>
    <w:p w14:paraId="32E004D1"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14. Обязать ВСНХ и НКВМ через 4 месяца представить в ПБ доклад о принятых мерах и достигнутых результатах.</w:t>
      </w:r>
    </w:p>
    <w:p w14:paraId="57259F17" w14:textId="77777777" w:rsidR="00442680" w:rsidRPr="00507A31" w:rsidRDefault="00442680"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5955150A" w14:textId="77777777" w:rsidR="00442680" w:rsidRPr="00507A31" w:rsidRDefault="00442680" w:rsidP="00507A31">
      <w:pPr>
        <w:pStyle w:val="ae"/>
        <w:spacing w:before="0" w:after="0"/>
        <w:jc w:val="both"/>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Дата утверждения Политбюро ЦК ВКП(б).</w:t>
      </w:r>
    </w:p>
    <w:p w14:paraId="3014F8C0"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w:t>
      </w:r>
      <w:r w:rsidRPr="00507A31">
        <w:rPr>
          <w:rStyle w:val="af0"/>
          <w:i w:val="0"/>
          <w:color w:val="000000" w:themeColor="text1"/>
          <w:sz w:val="16"/>
          <w:szCs w:val="16"/>
        </w:rPr>
        <w:t>20 февраля 1928 г.</w:t>
      </w:r>
      <w:r w:rsidRPr="00507A31">
        <w:rPr>
          <w:color w:val="000000" w:themeColor="text1"/>
          <w:sz w:val="16"/>
          <w:szCs w:val="16"/>
        </w:rPr>
        <w:t xml:space="preserve"> рассматривался вопрос о мерах усиления самолето- и моторостроения в СССР. РЗ СТО СССР констатировало, что авиапромышленность развивалась в сторону увеличения количества выпускаемой продукции при замедленном темпе усовершенствования типов и образцов производства самолетов и моторов. РЗ СТО СССР постановило поручить ВСНХ СССР и НКВМ СССР организовать производство на авиазаводах современных типов самолетов и моторов. </w:t>
      </w:r>
      <w:r w:rsidRPr="00507A31">
        <w:rPr>
          <w:rStyle w:val="af0"/>
          <w:i w:val="0"/>
          <w:color w:val="000000" w:themeColor="text1"/>
          <w:sz w:val="16"/>
          <w:szCs w:val="16"/>
        </w:rPr>
        <w:t>23 августа 1928 г.</w:t>
      </w:r>
      <w:r w:rsidRPr="00507A31">
        <w:rPr>
          <w:color w:val="000000" w:themeColor="text1"/>
          <w:sz w:val="16"/>
          <w:szCs w:val="16"/>
        </w:rPr>
        <w:t xml:space="preserve"> РЗ СТО СССР приняло постановление «О мобилизационных потребностях (заявке) НКВМ на год ведения войны», которым была предусмотрена разработка перспективного плана (на 3 года) усиленного самолето- и моторостроения: постройка в течение 5 лет одного завода для производства металлических самолетов, 2 заводов для производства самолетов </w:t>
      </w:r>
      <w:r w:rsidRPr="00507A31">
        <w:rPr>
          <w:rStyle w:val="af0"/>
          <w:i w:val="0"/>
          <w:color w:val="000000" w:themeColor="text1"/>
          <w:sz w:val="16"/>
          <w:szCs w:val="16"/>
        </w:rPr>
        <w:t>с</w:t>
      </w:r>
      <w:r w:rsidRPr="00507A31">
        <w:rPr>
          <w:color w:val="000000" w:themeColor="text1"/>
          <w:sz w:val="16"/>
          <w:szCs w:val="16"/>
        </w:rPr>
        <w:t xml:space="preserve"> деревянными элементами конструкции и 2 заводов для производства авиамоторов. Постановлением </w:t>
      </w:r>
      <w:r w:rsidRPr="00507A31">
        <w:rPr>
          <w:rStyle w:val="af0"/>
          <w:i w:val="0"/>
          <w:color w:val="000000" w:themeColor="text1"/>
          <w:sz w:val="16"/>
          <w:szCs w:val="16"/>
        </w:rPr>
        <w:t>29 июля 1929 г.</w:t>
      </w:r>
      <w:r w:rsidRPr="00507A31">
        <w:rPr>
          <w:color w:val="000000" w:themeColor="text1"/>
          <w:sz w:val="16"/>
          <w:szCs w:val="16"/>
        </w:rPr>
        <w:t xml:space="preserve"> была образована комиссия под председательством И. С. Уншлихта для разработки постановления о мероприятиях по развитию авиапромышленности.</w:t>
      </w:r>
    </w:p>
    <w:p w14:paraId="2F97A89B"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w:t>
      </w:r>
      <w:r w:rsidRPr="00507A31">
        <w:rPr>
          <w:rStyle w:val="af0"/>
          <w:i w:val="0"/>
          <w:color w:val="000000" w:themeColor="text1"/>
          <w:sz w:val="16"/>
          <w:szCs w:val="16"/>
        </w:rPr>
        <w:t>Постановление РЗ СТО СССР «О мероприятиях по развитию авиапромышленности в течение 1929/30 г.-1932/33 г.» от 16 октября 1929 г.</w:t>
      </w:r>
      <w:r w:rsidRPr="00507A31">
        <w:rPr>
          <w:color w:val="000000" w:themeColor="text1"/>
          <w:sz w:val="16"/>
          <w:szCs w:val="16"/>
        </w:rPr>
        <w:t xml:space="preserve"> предусматривало увеличение мощности существующих самолетов до норм, полностью обеспечивающих потребности воздушного флота СССР. К 1931/32 г. также предполагалось сосредоточить производство вспомогательных механизмов и деталей моторов на новом заводе, выделив производство моторов из серийных заводов.</w:t>
      </w:r>
    </w:p>
    <w:p w14:paraId="682C0764" w14:textId="77777777" w:rsidR="00442680" w:rsidRPr="00507A31" w:rsidRDefault="00442680" w:rsidP="00507A31">
      <w:pPr>
        <w:pStyle w:val="rtejustify"/>
        <w:spacing w:before="0" w:after="0"/>
        <w:rPr>
          <w:color w:val="000000" w:themeColor="text1"/>
          <w:sz w:val="16"/>
          <w:szCs w:val="16"/>
        </w:rPr>
      </w:pPr>
      <w:r w:rsidRPr="00507A31">
        <w:rPr>
          <w:rStyle w:val="af0"/>
          <w:i w:val="0"/>
          <w:color w:val="000000" w:themeColor="text1"/>
          <w:sz w:val="16"/>
          <w:szCs w:val="16"/>
        </w:rPr>
        <w:lastRenderedPageBreak/>
        <w:t>Постановление РЗ СТО СССР «О мероприятиях по развитию авиапромышленности в течение 1929/30-1932/33 г.» от 16 октября 1929 г.</w:t>
      </w:r>
      <w:r w:rsidRPr="00507A31">
        <w:rPr>
          <w:color w:val="000000" w:themeColor="text1"/>
          <w:sz w:val="16"/>
          <w:szCs w:val="16"/>
        </w:rPr>
        <w:t xml:space="preserve"> установило минимальную потребность воздушного флота СССР в самолетах и моторах на год ведения войны (для ВВС РККА и гражданской авиации). Решено было приступить в 1929/30 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 г. должна была достигнуть по заводу </w:t>
      </w:r>
      <w:r w:rsidRPr="00507A31">
        <w:rPr>
          <w:rStyle w:val="af0"/>
          <w:i w:val="0"/>
          <w:color w:val="000000" w:themeColor="text1"/>
          <w:sz w:val="16"/>
          <w:szCs w:val="16"/>
        </w:rPr>
        <w:t>«А» —</w:t>
      </w:r>
      <w:r w:rsidRPr="00507A31">
        <w:rPr>
          <w:color w:val="000000" w:themeColor="text1"/>
          <w:sz w:val="16"/>
          <w:szCs w:val="16"/>
        </w:rPr>
        <w:t xml:space="preserve"> до 860 и по заводу «Б» —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 г. на новом заводе, выделив их производство из серийных заводов. Производство самолетов в 1929/30 г. предполагалось в количестве 4106, в 1930/31 — 4489, в 1931/32 г. — 4892, в 1932/33 г. — 7098; моторов в 1929/30 г. — 4663, 1930/31 г. — 5330, в 1931/32 г. — 6224, в 1932/33 г. — 9297.</w:t>
      </w:r>
    </w:p>
    <w:p w14:paraId="7C24734C" w14:textId="77777777" w:rsidR="00442680" w:rsidRPr="00507A31" w:rsidRDefault="00442680" w:rsidP="00507A31">
      <w:pPr>
        <w:pStyle w:val="rtejustify"/>
        <w:spacing w:before="0" w:after="0"/>
        <w:rPr>
          <w:color w:val="000000" w:themeColor="text1"/>
          <w:sz w:val="16"/>
          <w:szCs w:val="16"/>
        </w:rPr>
      </w:pPr>
      <w:r w:rsidRPr="00507A31">
        <w:rPr>
          <w:rStyle w:val="af0"/>
          <w:i w:val="0"/>
          <w:color w:val="000000" w:themeColor="text1"/>
          <w:sz w:val="16"/>
          <w:szCs w:val="16"/>
        </w:rPr>
        <w:t>30 января 1930 г. принято постановление РЗ СТО «О мероприятиях по развитию авиапромышленности»,</w:t>
      </w:r>
      <w:r w:rsidRPr="00507A31">
        <w:rPr>
          <w:color w:val="000000" w:themeColor="text1"/>
          <w:sz w:val="16"/>
          <w:szCs w:val="16"/>
        </w:rPr>
        <w:t xml:space="preserve"> которым предусматривалось форсировать опытные работы по авиамоторам — немедленно приступить к организации серийного производства моторов М</w:t>
      </w:r>
      <w:r w:rsidRPr="00507A31">
        <w:rPr>
          <w:color w:val="000000" w:themeColor="text1"/>
          <w:sz w:val="16"/>
          <w:szCs w:val="16"/>
        </w:rPr>
        <w:noBreakHyphen/>
        <w:t>17 на заводе № 24 (к 1 октября изготовить 40 моторов), ассигновав для этой цели 2 млн. 400 тыс. руб. Заводы № 29 и 26 переводились на военное положение. ВСНХ предписывалось приобрести лицензию и техническую помощь на организацию серийного производства образцов гидросамолетов ближней разведки. Не позднее 15 февраля 1930 г. закончить переговоры с фирмой «Хейнкель» о приобретении лицензий и технической помощи на постановку производства истребителей сварных конструкций.</w:t>
      </w:r>
    </w:p>
    <w:p w14:paraId="1D682100"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РГАСПИ. Ф. 17. Оп. 162. Д. 8. Л. 106-108. Заверенная копия.</w:t>
      </w:r>
    </w:p>
    <w:p w14:paraId="3EC6B02D" w14:textId="77777777" w:rsidR="00442680" w:rsidRPr="00507A31" w:rsidRDefault="00442680" w:rsidP="00507A31">
      <w:pPr>
        <w:jc w:val="both"/>
        <w:rPr>
          <w:color w:val="000000" w:themeColor="text1"/>
          <w:sz w:val="16"/>
          <w:szCs w:val="16"/>
        </w:rPr>
      </w:pPr>
      <w:r w:rsidRPr="00507A31">
        <w:rPr>
          <w:color w:val="000000" w:themeColor="text1"/>
          <w:sz w:val="16"/>
          <w:szCs w:val="16"/>
        </w:rPr>
        <w:t xml:space="preserve">Архив: РГАСПИ. Ф. 17. Оп. 162. Д. 8. Л. 106-108. Заверенная копия. </w:t>
      </w:r>
    </w:p>
    <w:p w14:paraId="67618A82" w14:textId="77777777" w:rsidR="00442680" w:rsidRPr="00507A31" w:rsidRDefault="00442680"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431-433 (12496).</w:t>
      </w:r>
    </w:p>
    <w:p w14:paraId="240B871A" w14:textId="77777777" w:rsidR="00442680" w:rsidRPr="00507A31" w:rsidRDefault="00442680" w:rsidP="00507A31">
      <w:pPr>
        <w:jc w:val="both"/>
        <w:rPr>
          <w:color w:val="000000" w:themeColor="text1"/>
          <w:sz w:val="16"/>
          <w:szCs w:val="16"/>
        </w:rPr>
      </w:pPr>
    </w:p>
    <w:p w14:paraId="7FE1F7CF" w14:textId="77777777" w:rsidR="00233523" w:rsidRPr="00507A31" w:rsidRDefault="00233523" w:rsidP="00507A31">
      <w:pPr>
        <w:jc w:val="both"/>
        <w:rPr>
          <w:color w:val="0070C0"/>
          <w:sz w:val="16"/>
          <w:szCs w:val="16"/>
        </w:rPr>
      </w:pPr>
      <w:r w:rsidRPr="00507A31">
        <w:rPr>
          <w:color w:val="0070C0"/>
          <w:sz w:val="16"/>
          <w:szCs w:val="16"/>
        </w:rPr>
        <w:t>5 марта 1930 состоялось заседание ПБ (Протокол № 119. Особый № 117)</w:t>
      </w:r>
    </w:p>
    <w:p w14:paraId="1AECC5B9" w14:textId="77777777" w:rsidR="00233523" w:rsidRPr="00507A31" w:rsidRDefault="00233523" w:rsidP="00507A31">
      <w:pPr>
        <w:jc w:val="both"/>
        <w:rPr>
          <w:color w:val="0070C0"/>
          <w:sz w:val="16"/>
          <w:szCs w:val="16"/>
        </w:rPr>
      </w:pPr>
      <w:r w:rsidRPr="00507A31">
        <w:rPr>
          <w:color w:val="0070C0"/>
          <w:sz w:val="16"/>
          <w:szCs w:val="16"/>
        </w:rPr>
        <w:t>2.-Собщение т. Рыкова</w:t>
      </w:r>
    </w:p>
    <w:p w14:paraId="086A1810" w14:textId="77777777" w:rsidR="00233523" w:rsidRPr="00507A31" w:rsidRDefault="00233523" w:rsidP="00507A31">
      <w:pPr>
        <w:jc w:val="both"/>
        <w:rPr>
          <w:color w:val="0070C0"/>
          <w:sz w:val="16"/>
          <w:szCs w:val="16"/>
        </w:rPr>
      </w:pPr>
      <w:r w:rsidRPr="00507A31">
        <w:rPr>
          <w:color w:val="0070C0"/>
          <w:sz w:val="16"/>
          <w:szCs w:val="16"/>
        </w:rPr>
        <w:t>(ПБ от 25.1.30 г., пр. № 115, п. 2).</w:t>
      </w:r>
    </w:p>
    <w:p w14:paraId="6929C6B9" w14:textId="77777777" w:rsidR="00233523" w:rsidRPr="00507A31" w:rsidRDefault="00233523" w:rsidP="00507A31">
      <w:pPr>
        <w:jc w:val="both"/>
        <w:rPr>
          <w:color w:val="0070C0"/>
          <w:sz w:val="16"/>
          <w:szCs w:val="16"/>
        </w:rPr>
      </w:pPr>
      <w:r w:rsidRPr="00507A31">
        <w:rPr>
          <w:color w:val="0070C0"/>
          <w:sz w:val="16"/>
          <w:szCs w:val="16"/>
        </w:rPr>
        <w:fldChar w:fldCharType="begin"/>
      </w:r>
      <w:r w:rsidRPr="00507A31">
        <w:rPr>
          <w:color w:val="0070C0"/>
          <w:sz w:val="16"/>
          <w:szCs w:val="16"/>
        </w:rPr>
        <w:instrText xml:space="preserve"> TOC \o "1-5" \h \z </w:instrText>
      </w:r>
      <w:r w:rsidRPr="00507A31">
        <w:rPr>
          <w:color w:val="0070C0"/>
          <w:sz w:val="16"/>
          <w:szCs w:val="16"/>
        </w:rPr>
        <w:fldChar w:fldCharType="separate"/>
      </w:r>
      <w:r w:rsidRPr="00507A31">
        <w:rPr>
          <w:color w:val="0070C0"/>
          <w:sz w:val="16"/>
          <w:szCs w:val="16"/>
        </w:rPr>
        <w:t>(т. Рыков, Ворошилов, Урываев, Михайлов, Уншлихт, Павлуновский, Постников, Королев, Малахов, Десятников, Мартинович, ,Дубенский, Алкснис).</w:t>
      </w:r>
    </w:p>
    <w:p w14:paraId="02B987CB" w14:textId="77777777" w:rsidR="00233523" w:rsidRPr="00507A31" w:rsidRDefault="00233523" w:rsidP="00507A31">
      <w:pPr>
        <w:jc w:val="both"/>
        <w:rPr>
          <w:color w:val="0070C0"/>
          <w:sz w:val="16"/>
          <w:szCs w:val="16"/>
        </w:rPr>
      </w:pPr>
      <w:r w:rsidRPr="00507A31">
        <w:rPr>
          <w:color w:val="0070C0"/>
          <w:sz w:val="16"/>
          <w:szCs w:val="16"/>
        </w:rPr>
        <w:t>а) Утвердить с поправками и предложенными НК РК дополнениями проект постановления по авиапромышленности (см. приложение № 1).</w:t>
      </w:r>
    </w:p>
    <w:p w14:paraId="229B2F65" w14:textId="77777777" w:rsidR="00233523" w:rsidRPr="00507A31" w:rsidRDefault="00233523" w:rsidP="00507A31">
      <w:pPr>
        <w:jc w:val="both"/>
        <w:rPr>
          <w:color w:val="0070C0"/>
          <w:sz w:val="16"/>
          <w:szCs w:val="16"/>
        </w:rPr>
      </w:pPr>
      <w:r w:rsidRPr="00507A31">
        <w:rPr>
          <w:color w:val="0070C0"/>
          <w:sz w:val="16"/>
          <w:szCs w:val="16"/>
        </w:rPr>
        <w:t>Приложение № 1 к п. 2 пр. ПБ 5.Ш.30 г..</w:t>
      </w:r>
    </w:p>
    <w:p w14:paraId="3675F575" w14:textId="77777777" w:rsidR="00233523" w:rsidRPr="00507A31" w:rsidRDefault="00233523" w:rsidP="00507A31">
      <w:pPr>
        <w:jc w:val="both"/>
        <w:rPr>
          <w:color w:val="0070C0"/>
          <w:sz w:val="16"/>
          <w:szCs w:val="16"/>
        </w:rPr>
      </w:pPr>
      <w:r w:rsidRPr="00507A31">
        <w:rPr>
          <w:color w:val="0070C0"/>
          <w:sz w:val="16"/>
          <w:szCs w:val="16"/>
        </w:rPr>
        <w:t>ПОСТАНОВЛЕНИЕ ЦК ВКП (б) ПО ВОПРОСУ АВИАПРОМЫШЛЕННОСТИ</w:t>
      </w:r>
    </w:p>
    <w:p w14:paraId="66566A16" w14:textId="77777777" w:rsidR="00233523" w:rsidRPr="00507A31" w:rsidRDefault="00233523" w:rsidP="00507A31">
      <w:pPr>
        <w:jc w:val="both"/>
        <w:rPr>
          <w:color w:val="0070C0"/>
          <w:sz w:val="16"/>
          <w:szCs w:val="16"/>
        </w:rPr>
      </w:pPr>
      <w:r w:rsidRPr="00507A31">
        <w:rPr>
          <w:color w:val="0070C0"/>
          <w:sz w:val="16"/>
          <w:szCs w:val="16"/>
        </w:rPr>
        <w:t>(Утверждено Политбюро ЦК ВКП(б) 5.Ш.1930 года).</w:t>
      </w:r>
    </w:p>
    <w:p w14:paraId="1C30AD01" w14:textId="77777777" w:rsidR="00233523" w:rsidRPr="00507A31" w:rsidRDefault="00233523" w:rsidP="00507A31">
      <w:pPr>
        <w:jc w:val="both"/>
        <w:rPr>
          <w:color w:val="0070C0"/>
          <w:sz w:val="16"/>
          <w:szCs w:val="16"/>
        </w:rPr>
      </w:pPr>
      <w:r w:rsidRPr="00507A31">
        <w:rPr>
          <w:color w:val="0070C0"/>
          <w:sz w:val="16"/>
          <w:szCs w:val="16"/>
        </w:rPr>
        <w:t>1.- Констатировать, что конструирование новых с моторов идет чрезвычайно медленно (5-4 года) и не закончено даже в опытных образцах; что серийное производство мощных моторов по лицензиям, закупленным 1 1/2 - 2 года назад до сих пор еще не поставлено; что в серийном производстве все еще про</w:t>
      </w:r>
      <w:r w:rsidRPr="00507A31">
        <w:rPr>
          <w:color w:val="0070C0"/>
          <w:sz w:val="16"/>
          <w:szCs w:val="16"/>
        </w:rPr>
        <w:softHyphen/>
        <w:t>должает оставаться мотор Либерти образца 1917 г., давно снятый с вооружения во всех странах и значительно уступающий по его техническим данным моторам наших вероятных противников.</w:t>
      </w:r>
    </w:p>
    <w:p w14:paraId="1269BF21" w14:textId="77777777" w:rsidR="00233523" w:rsidRPr="00507A31" w:rsidRDefault="00233523" w:rsidP="00507A31">
      <w:pPr>
        <w:jc w:val="both"/>
        <w:rPr>
          <w:color w:val="0070C0"/>
          <w:sz w:val="16"/>
          <w:szCs w:val="16"/>
        </w:rPr>
      </w:pPr>
      <w:r w:rsidRPr="00507A31">
        <w:rPr>
          <w:color w:val="0070C0"/>
          <w:sz w:val="16"/>
          <w:szCs w:val="16"/>
        </w:rPr>
        <w:t>Постройка опытных образцов самолетов и внедрение новых типов в серийное производство чрезвычайно длительны (от 2 - до 4 лет против средних сроков в 1-1/2 года заграницей). До сих пор совершенно нет законченных опытных образцов гидросамолетов и сомоле</w:t>
      </w:r>
      <w:r w:rsidRPr="00507A31">
        <w:rPr>
          <w:color w:val="0070C0"/>
          <w:sz w:val="16"/>
          <w:szCs w:val="16"/>
        </w:rPr>
        <w:softHyphen/>
        <w:t>тов сварных и стальных конструкций, широко распространенных заграницей.</w:t>
      </w:r>
    </w:p>
    <w:p w14:paraId="7DD61E90" w14:textId="77777777" w:rsidR="00233523" w:rsidRPr="00507A31" w:rsidRDefault="00233523" w:rsidP="00507A31">
      <w:pPr>
        <w:jc w:val="both"/>
        <w:rPr>
          <w:color w:val="0070C0"/>
          <w:sz w:val="16"/>
          <w:szCs w:val="16"/>
        </w:rPr>
      </w:pPr>
      <w:r w:rsidRPr="00507A31">
        <w:rPr>
          <w:color w:val="0070C0"/>
          <w:sz w:val="16"/>
          <w:szCs w:val="16"/>
        </w:rPr>
        <w:t>Вместе с тем, качество поставляемых авиапромышленностью самолетов и, особенно, моторов за последнее время не улучшается и цены прододжают оставаться чрезвычайно высокими:</w:t>
      </w:r>
    </w:p>
    <w:p w14:paraId="1A5F88C1" w14:textId="77777777" w:rsidR="00233523" w:rsidRPr="00507A31" w:rsidRDefault="00233523" w:rsidP="00507A31">
      <w:pPr>
        <w:jc w:val="both"/>
        <w:rPr>
          <w:color w:val="0070C0"/>
          <w:sz w:val="16"/>
          <w:szCs w:val="16"/>
        </w:rPr>
      </w:pPr>
      <w:r w:rsidRPr="00507A31">
        <w:rPr>
          <w:color w:val="0070C0"/>
          <w:sz w:val="16"/>
          <w:szCs w:val="16"/>
        </w:rPr>
        <w:t>Такое состояние авиапромышленности, оособенно моторостроения, ставит в чрезвычайно тяжелое и опасное положение раз</w:t>
      </w:r>
      <w:r w:rsidRPr="00507A31">
        <w:rPr>
          <w:color w:val="0070C0"/>
          <w:sz w:val="16"/>
          <w:szCs w:val="16"/>
        </w:rPr>
        <w:softHyphen/>
        <w:t>витие военно-воздушных сил и оборону страны.</w:t>
      </w:r>
    </w:p>
    <w:p w14:paraId="5E0E1320" w14:textId="77777777" w:rsidR="00233523" w:rsidRPr="00507A31" w:rsidRDefault="00233523" w:rsidP="00507A31">
      <w:pPr>
        <w:jc w:val="both"/>
        <w:rPr>
          <w:color w:val="0070C0"/>
          <w:sz w:val="16"/>
          <w:szCs w:val="16"/>
        </w:rPr>
      </w:pPr>
      <w:r w:rsidRPr="00507A31">
        <w:rPr>
          <w:color w:val="0070C0"/>
          <w:sz w:val="16"/>
          <w:szCs w:val="16"/>
        </w:rPr>
        <w:t>2. - Это положение воздушного флота и авиапромышленности остается, несмотря на директиву Политбюро от 15.УП.29 г. и ряда постановлений РЗ СТО (20.П. и 23.УШ.28 г., 2.9.УП.29 г.), требовавших от ВСНХ и ГВПУ принятия срочных и действительных мер для устранения указанных недочетов.</w:t>
      </w:r>
    </w:p>
    <w:p w14:paraId="5D00A99C" w14:textId="77777777" w:rsidR="00233523" w:rsidRPr="00507A31" w:rsidRDefault="00233523" w:rsidP="00507A31">
      <w:pPr>
        <w:jc w:val="both"/>
        <w:rPr>
          <w:color w:val="0070C0"/>
          <w:sz w:val="16"/>
          <w:szCs w:val="16"/>
        </w:rPr>
      </w:pPr>
      <w:r w:rsidRPr="00507A31">
        <w:rPr>
          <w:color w:val="0070C0"/>
          <w:sz w:val="16"/>
          <w:szCs w:val="16"/>
        </w:rPr>
        <w:t>Главнейшими причинами этого являются:</w:t>
      </w:r>
    </w:p>
    <w:p w14:paraId="7D77B097" w14:textId="77777777" w:rsidR="00233523" w:rsidRPr="00507A31" w:rsidRDefault="00233523" w:rsidP="00507A31">
      <w:pPr>
        <w:jc w:val="both"/>
        <w:rPr>
          <w:color w:val="0070C0"/>
          <w:sz w:val="16"/>
          <w:szCs w:val="16"/>
        </w:rPr>
      </w:pPr>
      <w:r w:rsidRPr="00507A31">
        <w:rPr>
          <w:color w:val="0070C0"/>
          <w:sz w:val="16"/>
          <w:szCs w:val="16"/>
        </w:rPr>
        <w:t>а) наличие длительного организованного вредительства не только со стороны части старого илженерно-тохнического состава, но и со стороны проникших в среду рабочих авиапромышленности вредителей, особенно, в опытном строительстве;</w:t>
      </w:r>
    </w:p>
    <w:p w14:paraId="73BE98C6" w14:textId="77777777" w:rsidR="00233523" w:rsidRPr="00507A31" w:rsidRDefault="00233523" w:rsidP="00507A31">
      <w:pPr>
        <w:jc w:val="both"/>
        <w:rPr>
          <w:color w:val="0070C0"/>
          <w:sz w:val="16"/>
          <w:szCs w:val="16"/>
        </w:rPr>
      </w:pPr>
      <w:r w:rsidRPr="00507A31">
        <w:rPr>
          <w:color w:val="0070C0"/>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w:t>
      </w:r>
      <w:r w:rsidRPr="00507A31">
        <w:rPr>
          <w:color w:val="0070C0"/>
          <w:sz w:val="16"/>
          <w:szCs w:val="16"/>
        </w:rPr>
        <w:softHyphen/>
        <w:t>внимательное отношение со стороны ВСНХ и ГВПУ к этому серьезно</w:t>
      </w:r>
      <w:r w:rsidRPr="00507A31">
        <w:rPr>
          <w:color w:val="0070C0"/>
          <w:sz w:val="16"/>
          <w:szCs w:val="16"/>
        </w:rPr>
        <w:softHyphen/>
        <w:t>му делу:</w:t>
      </w:r>
    </w:p>
    <w:p w14:paraId="71F7D0F3" w14:textId="77777777" w:rsidR="00233523" w:rsidRPr="00507A31" w:rsidRDefault="00233523" w:rsidP="00507A31">
      <w:pPr>
        <w:jc w:val="both"/>
        <w:rPr>
          <w:color w:val="0070C0"/>
          <w:sz w:val="16"/>
          <w:szCs w:val="16"/>
        </w:rPr>
      </w:pPr>
      <w:r w:rsidRPr="00507A31">
        <w:rPr>
          <w:color w:val="0070C0"/>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 СТО.</w:t>
      </w:r>
    </w:p>
    <w:p w14:paraId="4B17DF35" w14:textId="77777777" w:rsidR="00233523" w:rsidRPr="00507A31" w:rsidRDefault="00233523" w:rsidP="00507A31">
      <w:pPr>
        <w:jc w:val="both"/>
        <w:rPr>
          <w:color w:val="0070C0"/>
          <w:sz w:val="16"/>
          <w:szCs w:val="16"/>
        </w:rPr>
      </w:pPr>
      <w:r w:rsidRPr="00507A31">
        <w:rPr>
          <w:color w:val="0070C0"/>
          <w:sz w:val="16"/>
          <w:szCs w:val="16"/>
        </w:rPr>
        <w:t>3.- В целях скорейшего оздоровления авиапромышленности и обеспечения строительства военно-воздушного флота, признать необходимым:</w:t>
      </w:r>
    </w:p>
    <w:p w14:paraId="6DDAC181" w14:textId="77777777" w:rsidR="00233523" w:rsidRPr="00507A31" w:rsidRDefault="00233523" w:rsidP="00507A31">
      <w:pPr>
        <w:jc w:val="both"/>
        <w:rPr>
          <w:color w:val="0070C0"/>
          <w:sz w:val="16"/>
          <w:szCs w:val="16"/>
        </w:rPr>
      </w:pPr>
      <w:r w:rsidRPr="00507A31">
        <w:rPr>
          <w:color w:val="0070C0"/>
          <w:sz w:val="16"/>
          <w:szCs w:val="16"/>
        </w:rPr>
        <w:t>а) в 2-х месячный срок произвести поголовную проверку и чистки всего личного состава как служащих, так и рабочих авиапромышленности; проведение этого возложить на комиссии – в центре - в составе представителей ВСНХ, ВЦСПС, ЦК ВКП(б), НКВМ и ОГПУ, под председательством представителя НК РКИ (т. Павлуновского), а на предприятиях - в составе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7C3E561D" w14:textId="77777777" w:rsidR="00233523" w:rsidRPr="00507A31" w:rsidRDefault="00233523" w:rsidP="00507A31">
      <w:pPr>
        <w:jc w:val="both"/>
        <w:rPr>
          <w:color w:val="0070C0"/>
          <w:sz w:val="16"/>
          <w:szCs w:val="16"/>
        </w:rPr>
      </w:pPr>
      <w:r w:rsidRPr="00507A31">
        <w:rPr>
          <w:color w:val="0070C0"/>
          <w:sz w:val="16"/>
          <w:szCs w:val="16"/>
        </w:rPr>
        <w:t>б) Прекратить переброски по Партийным, советским и профессиональным мобилизациям квалифицированного 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разреше</w:t>
      </w:r>
      <w:r w:rsidRPr="00507A31">
        <w:rPr>
          <w:color w:val="0070C0"/>
          <w:sz w:val="16"/>
          <w:szCs w:val="16"/>
        </w:rPr>
        <w:softHyphen/>
        <w:t>ния ЦК ВКП (б);</w:t>
      </w:r>
    </w:p>
    <w:p w14:paraId="7E7A983C" w14:textId="77777777" w:rsidR="00233523" w:rsidRPr="00507A31" w:rsidRDefault="00233523" w:rsidP="00507A31">
      <w:pPr>
        <w:jc w:val="both"/>
        <w:rPr>
          <w:color w:val="0070C0"/>
          <w:sz w:val="16"/>
          <w:szCs w:val="16"/>
        </w:rPr>
      </w:pPr>
      <w:r w:rsidRPr="00507A31">
        <w:rPr>
          <w:color w:val="0070C0"/>
          <w:sz w:val="16"/>
          <w:szCs w:val="16"/>
        </w:rPr>
        <w:t>в) в 1930 г. провести проверочную мобилизацию двух моторостростроительных заводов;</w:t>
      </w:r>
    </w:p>
    <w:p w14:paraId="402F1FD2" w14:textId="77777777" w:rsidR="00233523" w:rsidRPr="00507A31" w:rsidRDefault="00233523" w:rsidP="00507A31">
      <w:pPr>
        <w:jc w:val="both"/>
        <w:rPr>
          <w:color w:val="0070C0"/>
          <w:sz w:val="16"/>
          <w:szCs w:val="16"/>
        </w:rPr>
      </w:pPr>
      <w:r w:rsidRPr="00507A31">
        <w:rPr>
          <w:color w:val="0070C0"/>
          <w:sz w:val="16"/>
          <w:szCs w:val="16"/>
        </w:rPr>
        <w:t>г) ликвидировать на заводах авиапромышленности излишнее засекречивание, препятствий производственной активности и контролю рабочих пасс, и мобилизовать внимание заводских партийных, профессиональных к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6AE49606" w14:textId="77777777" w:rsidR="00233523" w:rsidRPr="00507A31" w:rsidRDefault="00233523" w:rsidP="00507A31">
      <w:pPr>
        <w:jc w:val="both"/>
        <w:rPr>
          <w:color w:val="0070C0"/>
          <w:sz w:val="16"/>
          <w:szCs w:val="16"/>
        </w:rPr>
      </w:pPr>
      <w:r w:rsidRPr="00507A31">
        <w:rPr>
          <w:color w:val="0070C0"/>
          <w:sz w:val="16"/>
          <w:szCs w:val="16"/>
        </w:rPr>
        <w:t>4.- Обязать РЗ СТО:</w:t>
      </w:r>
    </w:p>
    <w:p w14:paraId="5E5C631B" w14:textId="77777777" w:rsidR="00233523" w:rsidRPr="00507A31" w:rsidRDefault="00233523" w:rsidP="00507A31">
      <w:pPr>
        <w:jc w:val="both"/>
        <w:rPr>
          <w:color w:val="0070C0"/>
          <w:sz w:val="16"/>
          <w:szCs w:val="16"/>
        </w:rPr>
      </w:pPr>
      <w:r w:rsidRPr="00507A31">
        <w:rPr>
          <w:color w:val="0070C0"/>
          <w:sz w:val="16"/>
          <w:szCs w:val="16"/>
        </w:rPr>
        <w:t>а) обеспечить успешное выполнение всех мероприятий по оздоровлению и развитию авиапромышленности и воздушного флота в удар</w:t>
      </w:r>
      <w:r w:rsidRPr="00507A31">
        <w:rPr>
          <w:color w:val="0070C0"/>
          <w:sz w:val="16"/>
          <w:szCs w:val="16"/>
        </w:rPr>
        <w:softHyphen/>
        <w:t>ном порядке;</w:t>
      </w:r>
    </w:p>
    <w:p w14:paraId="1952F7A0" w14:textId="77777777" w:rsidR="00233523" w:rsidRPr="00507A31" w:rsidRDefault="00233523" w:rsidP="00507A31">
      <w:pPr>
        <w:jc w:val="both"/>
        <w:rPr>
          <w:color w:val="0070C0"/>
          <w:sz w:val="16"/>
          <w:szCs w:val="16"/>
        </w:rPr>
      </w:pPr>
      <w:r w:rsidRPr="00507A31">
        <w:rPr>
          <w:color w:val="0070C0"/>
          <w:sz w:val="16"/>
          <w:szCs w:val="16"/>
        </w:rPr>
        <w:t>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путей систематического наблюдения со стороны НК РКИ и НКВМ;</w:t>
      </w:r>
    </w:p>
    <w:p w14:paraId="1EF26F6C" w14:textId="77777777" w:rsidR="00233523" w:rsidRPr="00507A31" w:rsidRDefault="00233523" w:rsidP="00507A31">
      <w:pPr>
        <w:jc w:val="both"/>
        <w:rPr>
          <w:color w:val="0070C0"/>
          <w:sz w:val="16"/>
          <w:szCs w:val="16"/>
        </w:rPr>
      </w:pPr>
      <w:r w:rsidRPr="00507A31">
        <w:rPr>
          <w:color w:val="0070C0"/>
          <w:sz w:val="16"/>
          <w:szCs w:val="16"/>
        </w:rPr>
        <w:t>в) через 6 месяцев доложить Политбюро о достигнутых результатах и необходимых мероприятиях для дальнейшего улучшепня coстояния авиапромышленности.</w:t>
      </w:r>
    </w:p>
    <w:p w14:paraId="55A941D9" w14:textId="77777777" w:rsidR="00233523" w:rsidRPr="00507A31" w:rsidRDefault="00233523" w:rsidP="00507A31">
      <w:pPr>
        <w:jc w:val="both"/>
        <w:rPr>
          <w:color w:val="0070C0"/>
          <w:sz w:val="16"/>
          <w:szCs w:val="16"/>
        </w:rPr>
      </w:pPr>
      <w:r w:rsidRPr="00507A31">
        <w:rPr>
          <w:color w:val="0070C0"/>
          <w:sz w:val="16"/>
          <w:szCs w:val="16"/>
        </w:rPr>
        <w:t>5.- Обязать т. Рыкова лично разрешать текущие вопросы авиапромышленности, выходящие за пределы компетенции ВСНХ и препятствующие нормальному ходу работы.</w:t>
      </w:r>
    </w:p>
    <w:p w14:paraId="595003D6" w14:textId="77777777" w:rsidR="00233523" w:rsidRPr="00507A31" w:rsidRDefault="00233523" w:rsidP="00507A31">
      <w:pPr>
        <w:jc w:val="both"/>
        <w:rPr>
          <w:color w:val="0070C0"/>
          <w:sz w:val="16"/>
          <w:szCs w:val="16"/>
        </w:rPr>
      </w:pPr>
      <w:r w:rsidRPr="00507A31">
        <w:rPr>
          <w:color w:val="0070C0"/>
          <w:sz w:val="16"/>
          <w:szCs w:val="16"/>
        </w:rPr>
        <w:t>6.- Принять к сведению постановление РЗ СТО от 16.Х.29 г. и 30.1.30 г., предусматривающие осуществление практических мероприятий по авиапромышленности и воздушному флоту.</w:t>
      </w:r>
    </w:p>
    <w:p w14:paraId="6DB0190F" w14:textId="77777777" w:rsidR="00233523" w:rsidRPr="00507A31" w:rsidRDefault="00233523" w:rsidP="00507A31">
      <w:pPr>
        <w:jc w:val="both"/>
        <w:rPr>
          <w:color w:val="0070C0"/>
          <w:sz w:val="16"/>
          <w:szCs w:val="16"/>
        </w:rPr>
      </w:pPr>
      <w:r w:rsidRPr="00507A31">
        <w:rPr>
          <w:color w:val="0070C0"/>
          <w:sz w:val="16"/>
          <w:szCs w:val="16"/>
        </w:rPr>
        <w:t>7.- Предоставить НКВМору право установления обязательных для авиапромышленности и институтов BСHX (НАМИ и ЦАГИ) программ работ по новым образцам вооружения воздушного флота, дачи обяза</w:t>
      </w:r>
      <w:r w:rsidRPr="00507A31">
        <w:rPr>
          <w:color w:val="0070C0"/>
          <w:sz w:val="16"/>
          <w:szCs w:val="16"/>
        </w:rPr>
        <w:softHyphen/>
        <w:t>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17BE3901" w14:textId="77777777" w:rsidR="00233523" w:rsidRPr="00507A31" w:rsidRDefault="00233523" w:rsidP="00507A31">
      <w:pPr>
        <w:jc w:val="both"/>
        <w:rPr>
          <w:color w:val="0070C0"/>
          <w:sz w:val="16"/>
          <w:szCs w:val="16"/>
        </w:rPr>
      </w:pPr>
      <w:r w:rsidRPr="00507A31">
        <w:rPr>
          <w:color w:val="0070C0"/>
          <w:sz w:val="16"/>
          <w:szCs w:val="16"/>
        </w:rPr>
        <w:t>Предоставить НКВМору право контроля и наблюдения за выполнением заказов на самолеты, моторы, особенно в части изготовления новых образцов.</w:t>
      </w:r>
    </w:p>
    <w:p w14:paraId="779DAC35" w14:textId="77777777" w:rsidR="00233523" w:rsidRPr="00507A31" w:rsidRDefault="00233523" w:rsidP="00507A31">
      <w:pPr>
        <w:jc w:val="both"/>
        <w:rPr>
          <w:color w:val="0070C0"/>
          <w:sz w:val="16"/>
          <w:szCs w:val="16"/>
        </w:rPr>
      </w:pPr>
      <w:r w:rsidRPr="00507A31">
        <w:rPr>
          <w:color w:val="0070C0"/>
          <w:sz w:val="16"/>
          <w:szCs w:val="16"/>
        </w:rPr>
        <w:t>8.- Принята к сведению заявление т. Ворошилова, что предложение НК РКИ об усилении, при пересмотре перспективного плана развития авиации, в составе нашей авиации роли и значения штур</w:t>
      </w:r>
      <w:r w:rsidRPr="00507A31">
        <w:rPr>
          <w:color w:val="0070C0"/>
          <w:sz w:val="16"/>
          <w:szCs w:val="16"/>
        </w:rPr>
        <w:softHyphen/>
        <w:t>мовой и тяжелой бомбардировочной авиации, наркомвоенмором уже принято и проводится в жизнь.</w:t>
      </w:r>
    </w:p>
    <w:p w14:paraId="76E46D14" w14:textId="77777777" w:rsidR="00233523" w:rsidRPr="00507A31" w:rsidRDefault="00233523" w:rsidP="00507A31">
      <w:pPr>
        <w:jc w:val="both"/>
        <w:rPr>
          <w:color w:val="0070C0"/>
          <w:sz w:val="16"/>
          <w:szCs w:val="16"/>
        </w:rPr>
      </w:pPr>
      <w:r w:rsidRPr="00507A31">
        <w:rPr>
          <w:color w:val="0070C0"/>
          <w:sz w:val="16"/>
          <w:szCs w:val="16"/>
        </w:rPr>
        <w:t>9.- НКВМ и ВСНХ не позже 1 апреля 1930 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6-8 месяцев.</w:t>
      </w:r>
    </w:p>
    <w:p w14:paraId="343993F9" w14:textId="77777777" w:rsidR="00233523" w:rsidRPr="00507A31" w:rsidRDefault="00233523" w:rsidP="00507A31">
      <w:pPr>
        <w:jc w:val="both"/>
        <w:rPr>
          <w:color w:val="0070C0"/>
          <w:sz w:val="16"/>
          <w:szCs w:val="16"/>
        </w:rPr>
      </w:pPr>
      <w:r w:rsidRPr="00507A31">
        <w:rPr>
          <w:color w:val="0070C0"/>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1FEE8D1A" w14:textId="77777777" w:rsidR="00233523" w:rsidRPr="00507A31" w:rsidRDefault="00233523" w:rsidP="00507A31">
      <w:pPr>
        <w:jc w:val="both"/>
        <w:rPr>
          <w:color w:val="0070C0"/>
          <w:sz w:val="16"/>
          <w:szCs w:val="16"/>
        </w:rPr>
      </w:pPr>
      <w:r w:rsidRPr="00507A31">
        <w:rPr>
          <w:color w:val="0070C0"/>
          <w:sz w:val="16"/>
          <w:szCs w:val="16"/>
        </w:rPr>
        <w:t>11.- В целях максимального сокращения сроков мобилизацион</w:t>
      </w:r>
      <w:r w:rsidRPr="00507A31">
        <w:rPr>
          <w:color w:val="0070C0"/>
          <w:sz w:val="16"/>
          <w:szCs w:val="16"/>
        </w:rPr>
        <w:softHyphen/>
        <w:t>ного развертывания заводов, обязать ВСНХ представить в РЗ СТО план загрузки авиазаводов видами продукции помимо военных заказов - гражданские самолеты, автомобиль</w:t>
      </w:r>
      <w:r w:rsidRPr="00507A31">
        <w:rPr>
          <w:color w:val="0070C0"/>
          <w:sz w:val="16"/>
          <w:szCs w:val="16"/>
        </w:rPr>
        <w:softHyphen/>
        <w:t>ные кузова, моторы для автомобилей, тракторов, двигатели для моторных лодок, катеров и пр. продукции, которая ни в коей степени не нарушала бы основных производственных возможностей 'авиазаводов.</w:t>
      </w:r>
    </w:p>
    <w:p w14:paraId="1DA7E987" w14:textId="77777777" w:rsidR="00233523" w:rsidRPr="00507A31" w:rsidRDefault="00233523" w:rsidP="00507A31">
      <w:pPr>
        <w:jc w:val="both"/>
        <w:rPr>
          <w:color w:val="0070C0"/>
          <w:sz w:val="16"/>
          <w:szCs w:val="16"/>
        </w:rPr>
      </w:pPr>
      <w:r w:rsidRPr="00507A31">
        <w:rPr>
          <w:color w:val="0070C0"/>
          <w:sz w:val="16"/>
          <w:szCs w:val="16"/>
        </w:rPr>
        <w:t>12.- НКВМ и BCНХ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4DB693AB" w14:textId="77777777" w:rsidR="00233523" w:rsidRPr="00507A31" w:rsidRDefault="00233523" w:rsidP="00507A31">
      <w:pPr>
        <w:jc w:val="both"/>
        <w:rPr>
          <w:color w:val="0070C0"/>
          <w:sz w:val="16"/>
          <w:szCs w:val="16"/>
        </w:rPr>
      </w:pPr>
      <w:r w:rsidRPr="00507A31">
        <w:rPr>
          <w:color w:val="0070C0"/>
          <w:sz w:val="16"/>
          <w:szCs w:val="16"/>
        </w:rPr>
        <w:t>Помимо этого, в срочном порядке привлечь из-заграницы не</w:t>
      </w:r>
      <w:r w:rsidRPr="00507A31">
        <w:rPr>
          <w:color w:val="0070C0"/>
          <w:sz w:val="16"/>
          <w:szCs w:val="16"/>
        </w:rPr>
        <w:softHyphen/>
        <w:t>скольких крупных конструкторов, инженеров и мастеров.</w:t>
      </w:r>
    </w:p>
    <w:p w14:paraId="704BE6BA" w14:textId="77777777" w:rsidR="00233523" w:rsidRPr="00507A31" w:rsidRDefault="00233523" w:rsidP="00507A31">
      <w:pPr>
        <w:jc w:val="both"/>
        <w:rPr>
          <w:color w:val="0070C0"/>
          <w:sz w:val="16"/>
          <w:szCs w:val="16"/>
        </w:rPr>
      </w:pPr>
      <w:r w:rsidRPr="00507A31">
        <w:rPr>
          <w:color w:val="0070C0"/>
          <w:sz w:val="16"/>
          <w:szCs w:val="16"/>
        </w:rPr>
        <w:t>13.- Поручить ВСНХ и НКВМ в двухмесячный срок закупить за</w:t>
      </w:r>
      <w:r w:rsidRPr="00507A31">
        <w:rPr>
          <w:color w:val="0070C0"/>
          <w:sz w:val="16"/>
          <w:szCs w:val="16"/>
        </w:rPr>
        <w:softHyphen/>
        <w:t>границей несколько типов новейших моторов для установки их про</w:t>
      </w:r>
      <w:r w:rsidRPr="00507A31">
        <w:rPr>
          <w:color w:val="0070C0"/>
          <w:sz w:val="16"/>
          <w:szCs w:val="16"/>
        </w:rPr>
        <w:softHyphen/>
        <w:t>изводства на наших заводах.</w:t>
      </w:r>
    </w:p>
    <w:p w14:paraId="2ADF6515" w14:textId="77777777" w:rsidR="00233523" w:rsidRPr="00507A31" w:rsidRDefault="00233523" w:rsidP="00507A31">
      <w:pPr>
        <w:jc w:val="both"/>
        <w:rPr>
          <w:color w:val="0070C0"/>
          <w:sz w:val="16"/>
          <w:szCs w:val="16"/>
        </w:rPr>
      </w:pPr>
      <w:r w:rsidRPr="00507A31">
        <w:rPr>
          <w:color w:val="0070C0"/>
          <w:sz w:val="16"/>
          <w:szCs w:val="16"/>
        </w:rPr>
        <w:t>14.- Обязать ВСНХ и НКBМ через четыре месяца представить в ПБ доклад о принятых мерах и достигнутых результатах.</w:t>
      </w:r>
    </w:p>
    <w:p w14:paraId="5735A5AD" w14:textId="77777777" w:rsidR="00233523" w:rsidRPr="00507A31" w:rsidRDefault="00233523" w:rsidP="00507A31">
      <w:pPr>
        <w:jc w:val="both"/>
        <w:rPr>
          <w:color w:val="0070C0"/>
          <w:sz w:val="16"/>
          <w:szCs w:val="16"/>
        </w:rPr>
      </w:pPr>
      <w:r w:rsidRPr="00507A31">
        <w:rPr>
          <w:color w:val="0070C0"/>
          <w:sz w:val="16"/>
          <w:szCs w:val="16"/>
        </w:rPr>
        <w:lastRenderedPageBreak/>
        <w:t>б) Поручить т.т. Ворошилову и Куйбышеву определить контингент лиц, которым должно быть разослано настоящее постановление, и сроки его возвращения.</w:t>
      </w:r>
    </w:p>
    <w:p w14:paraId="4021CFE4" w14:textId="77777777" w:rsidR="00233523" w:rsidRPr="00507A31" w:rsidRDefault="00233523" w:rsidP="00507A31">
      <w:pPr>
        <w:jc w:val="both"/>
        <w:rPr>
          <w:color w:val="0070C0"/>
          <w:sz w:val="16"/>
          <w:szCs w:val="16"/>
        </w:rPr>
      </w:pPr>
      <w:r w:rsidRPr="00507A31">
        <w:rPr>
          <w:color w:val="0070C0"/>
          <w:sz w:val="16"/>
          <w:szCs w:val="16"/>
        </w:rPr>
        <w:t>Высписки посланы: т. Куйбышеву; т. Ворошилову.</w:t>
      </w:r>
    </w:p>
    <w:p w14:paraId="6C3122D6" w14:textId="77777777" w:rsidR="00233523" w:rsidRPr="00507A31" w:rsidRDefault="00233523" w:rsidP="00507A31">
      <w:pPr>
        <w:jc w:val="both"/>
        <w:rPr>
          <w:color w:val="0070C0"/>
          <w:sz w:val="16"/>
          <w:szCs w:val="16"/>
        </w:rPr>
      </w:pPr>
      <w:r w:rsidRPr="00507A31">
        <w:rPr>
          <w:color w:val="0070C0"/>
          <w:sz w:val="16"/>
          <w:szCs w:val="16"/>
        </w:rPr>
        <w:t>28 февраля 1930 опросом членов ПБ</w:t>
      </w:r>
    </w:p>
    <w:p w14:paraId="341250BF" w14:textId="77777777" w:rsidR="00233523" w:rsidRPr="00507A31" w:rsidRDefault="00233523" w:rsidP="00507A31">
      <w:pPr>
        <w:jc w:val="both"/>
        <w:rPr>
          <w:color w:val="0070C0"/>
          <w:sz w:val="16"/>
          <w:szCs w:val="16"/>
        </w:rPr>
      </w:pPr>
      <w:r w:rsidRPr="00507A31">
        <w:rPr>
          <w:color w:val="0070C0"/>
          <w:sz w:val="16"/>
          <w:szCs w:val="16"/>
        </w:rPr>
        <w:t>З0.-Об орденах.</w:t>
      </w:r>
    </w:p>
    <w:p w14:paraId="3DB08388" w14:textId="77777777" w:rsidR="00233523" w:rsidRPr="00507A31" w:rsidRDefault="00233523" w:rsidP="00507A31">
      <w:pPr>
        <w:jc w:val="both"/>
        <w:rPr>
          <w:color w:val="0070C0"/>
          <w:sz w:val="16"/>
          <w:szCs w:val="16"/>
        </w:rPr>
      </w:pPr>
      <w:r w:rsidRPr="00507A31">
        <w:rPr>
          <w:color w:val="0070C0"/>
          <w:sz w:val="16"/>
          <w:szCs w:val="16"/>
        </w:rPr>
        <w:t>(т. Ворошилов).</w:t>
      </w:r>
    </w:p>
    <w:p w14:paraId="37B2D192" w14:textId="77777777" w:rsidR="00233523" w:rsidRPr="00507A31" w:rsidRDefault="00233523" w:rsidP="00507A31">
      <w:pPr>
        <w:jc w:val="both"/>
        <w:rPr>
          <w:color w:val="0070C0"/>
          <w:sz w:val="16"/>
          <w:szCs w:val="16"/>
        </w:rPr>
      </w:pPr>
      <w:r w:rsidRPr="00507A31">
        <w:rPr>
          <w:color w:val="0070C0"/>
          <w:sz w:val="16"/>
          <w:szCs w:val="16"/>
        </w:rPr>
        <w:t xml:space="preserve">Утвердить введение двух дополнительных орденов, одного по военной линии - ''Орден красной звезды", другой по хозяйственному строительств - “Орден Ленина". Поручить выработать проект статута </w:t>
      </w:r>
    </w:p>
    <w:p w14:paraId="621EADB9" w14:textId="77777777" w:rsidR="00233523" w:rsidRPr="00507A31" w:rsidRDefault="00233523" w:rsidP="00507A31">
      <w:pPr>
        <w:jc w:val="both"/>
        <w:rPr>
          <w:color w:val="0070C0"/>
          <w:sz w:val="16"/>
          <w:szCs w:val="16"/>
        </w:rPr>
      </w:pPr>
      <w:r w:rsidRPr="00507A31">
        <w:rPr>
          <w:color w:val="0070C0"/>
          <w:sz w:val="16"/>
          <w:szCs w:val="16"/>
        </w:rPr>
        <w:t>т.Ворошилову, Енукидзе и Томскому.</w:t>
      </w:r>
    </w:p>
    <w:p w14:paraId="4DFB6A52" w14:textId="77777777" w:rsidR="00233523" w:rsidRPr="00507A31" w:rsidRDefault="00233523" w:rsidP="00507A31">
      <w:pPr>
        <w:jc w:val="both"/>
        <w:rPr>
          <w:color w:val="0070C0"/>
          <w:sz w:val="16"/>
          <w:szCs w:val="16"/>
        </w:rPr>
      </w:pPr>
      <w:r w:rsidRPr="00507A31">
        <w:rPr>
          <w:color w:val="0070C0"/>
          <w:sz w:val="16"/>
          <w:szCs w:val="16"/>
        </w:rPr>
        <w:t>Выписки посланы: т. Ворошилову; т. Енукидзе; т. Томскому.</w:t>
      </w:r>
    </w:p>
    <w:p w14:paraId="412ABD02" w14:textId="77777777" w:rsidR="00233523" w:rsidRPr="00507A31" w:rsidRDefault="00233523" w:rsidP="00507A31">
      <w:pPr>
        <w:jc w:val="both"/>
        <w:rPr>
          <w:color w:val="0070C0"/>
          <w:sz w:val="16"/>
          <w:szCs w:val="16"/>
        </w:rPr>
      </w:pPr>
      <w:r w:rsidRPr="00507A31">
        <w:rPr>
          <w:color w:val="0070C0"/>
          <w:sz w:val="16"/>
          <w:szCs w:val="16"/>
        </w:rPr>
        <w:t>34. - О “Дженераль-моторс".</w:t>
      </w:r>
    </w:p>
    <w:p w14:paraId="1FA1BAD0" w14:textId="77777777" w:rsidR="00233523" w:rsidRPr="00507A31" w:rsidRDefault="00233523" w:rsidP="00507A31">
      <w:pPr>
        <w:jc w:val="both"/>
        <w:rPr>
          <w:color w:val="0070C0"/>
          <w:sz w:val="16"/>
          <w:szCs w:val="16"/>
        </w:rPr>
      </w:pPr>
      <w:r w:rsidRPr="00507A31">
        <w:rPr>
          <w:color w:val="0070C0"/>
          <w:sz w:val="16"/>
          <w:szCs w:val="16"/>
        </w:rPr>
        <w:t>(т. Микоян)</w:t>
      </w:r>
    </w:p>
    <w:p w14:paraId="1A88832C" w14:textId="77777777" w:rsidR="00233523" w:rsidRPr="00507A31" w:rsidRDefault="00233523" w:rsidP="00507A31">
      <w:pPr>
        <w:jc w:val="both"/>
        <w:rPr>
          <w:color w:val="0070C0"/>
          <w:sz w:val="16"/>
          <w:szCs w:val="16"/>
        </w:rPr>
      </w:pPr>
      <w:r w:rsidRPr="00507A31">
        <w:rPr>
          <w:color w:val="0070C0"/>
          <w:sz w:val="16"/>
          <w:szCs w:val="16"/>
        </w:rPr>
        <w:t>Представителям “Дженераль-Моторс" заявил, что из предложение интересное, но они несколько опоздали, но не всё потеряно. Ввиду того, что они разъехались с председателем Автотракторного объединения, который выехал в Канаду, предложить им встретиться т. Осинским.</w:t>
      </w:r>
    </w:p>
    <w:p w14:paraId="021CFF03" w14:textId="77777777" w:rsidR="00233523" w:rsidRPr="00507A31" w:rsidRDefault="00233523" w:rsidP="00507A31">
      <w:pPr>
        <w:jc w:val="both"/>
        <w:rPr>
          <w:color w:val="0070C0"/>
          <w:sz w:val="16"/>
          <w:szCs w:val="16"/>
        </w:rPr>
      </w:pPr>
      <w:r w:rsidRPr="00507A31">
        <w:rPr>
          <w:color w:val="0070C0"/>
          <w:sz w:val="16"/>
          <w:szCs w:val="16"/>
        </w:rPr>
        <w:t>Тов. Осинскому предложить вежливо тянуть, не ангажируясь ничем.</w:t>
      </w:r>
    </w:p>
    <w:p w14:paraId="2D6FC944" w14:textId="77777777" w:rsidR="00233523" w:rsidRPr="00507A31" w:rsidRDefault="00233523" w:rsidP="00507A31">
      <w:pPr>
        <w:jc w:val="both"/>
        <w:rPr>
          <w:color w:val="0070C0"/>
          <w:sz w:val="16"/>
          <w:szCs w:val="16"/>
        </w:rPr>
      </w:pPr>
      <w:r w:rsidRPr="00507A31">
        <w:rPr>
          <w:color w:val="0070C0"/>
          <w:sz w:val="16"/>
          <w:szCs w:val="16"/>
        </w:rPr>
        <w:t>Выписка послана: т. Микояну.</w:t>
      </w:r>
    </w:p>
    <w:p w14:paraId="348911DE" w14:textId="77777777" w:rsidR="00233523" w:rsidRPr="00507A31" w:rsidRDefault="00233523" w:rsidP="00507A31">
      <w:pPr>
        <w:jc w:val="both"/>
        <w:rPr>
          <w:color w:val="0070C0"/>
          <w:sz w:val="16"/>
          <w:szCs w:val="16"/>
        </w:rPr>
      </w:pPr>
      <w:r w:rsidRPr="00507A31">
        <w:rPr>
          <w:color w:val="0070C0"/>
          <w:sz w:val="16"/>
          <w:szCs w:val="16"/>
        </w:rPr>
        <w:t>1 марта 1930 опросом членов ПБ</w:t>
      </w:r>
    </w:p>
    <w:p w14:paraId="097F4C2A" w14:textId="77777777" w:rsidR="00233523" w:rsidRPr="00507A31" w:rsidRDefault="00233523" w:rsidP="00507A31">
      <w:pPr>
        <w:jc w:val="both"/>
        <w:rPr>
          <w:color w:val="0070C0"/>
          <w:sz w:val="16"/>
          <w:szCs w:val="16"/>
        </w:rPr>
      </w:pPr>
      <w:r w:rsidRPr="00507A31">
        <w:rPr>
          <w:color w:val="0070C0"/>
          <w:sz w:val="16"/>
          <w:szCs w:val="16"/>
        </w:rPr>
        <w:t>49.-Телеграмма Осинского</w:t>
      </w:r>
    </w:p>
    <w:p w14:paraId="7399AAEA" w14:textId="77777777" w:rsidR="00233523" w:rsidRPr="00507A31" w:rsidRDefault="00233523" w:rsidP="00507A31">
      <w:pPr>
        <w:jc w:val="both"/>
        <w:rPr>
          <w:color w:val="0070C0"/>
          <w:sz w:val="16"/>
          <w:szCs w:val="16"/>
        </w:rPr>
      </w:pPr>
      <w:r w:rsidRPr="00507A31">
        <w:rPr>
          <w:color w:val="0070C0"/>
          <w:sz w:val="16"/>
          <w:szCs w:val="16"/>
        </w:rPr>
        <w:t>Согласны на вашу установку, как на крайнюю уступку с тем, однако, чтобы, во-первых, полностью был обеспечен допуск нообходимого количества наших рабочих и инженеров на заводы Катерпиллер и, во-вторых были сoхранены в силе наши сроки выплат.</w:t>
      </w:r>
    </w:p>
    <w:p w14:paraId="693ED408" w14:textId="77777777" w:rsidR="00233523" w:rsidRPr="00507A31" w:rsidRDefault="00233523" w:rsidP="00507A31">
      <w:pPr>
        <w:jc w:val="both"/>
        <w:rPr>
          <w:color w:val="0070C0"/>
          <w:sz w:val="16"/>
          <w:szCs w:val="16"/>
        </w:rPr>
      </w:pPr>
      <w:r w:rsidRPr="00507A31">
        <w:rPr>
          <w:color w:val="0070C0"/>
          <w:sz w:val="16"/>
          <w:szCs w:val="16"/>
        </w:rPr>
        <w:t>Выписки посланы: т. Куйбышеву, т. Микояну (23104).</w:t>
      </w:r>
    </w:p>
    <w:p w14:paraId="2A592F05" w14:textId="77777777" w:rsidR="00233523" w:rsidRPr="00507A31" w:rsidRDefault="00233523" w:rsidP="00507A31">
      <w:pPr>
        <w:jc w:val="both"/>
        <w:rPr>
          <w:color w:val="0070C0"/>
          <w:sz w:val="16"/>
          <w:szCs w:val="16"/>
        </w:rPr>
      </w:pPr>
      <w:r w:rsidRPr="00507A31">
        <w:rPr>
          <w:color w:val="0070C0"/>
          <w:sz w:val="16"/>
          <w:szCs w:val="16"/>
        </w:rPr>
        <w:fldChar w:fldCharType="end"/>
      </w:r>
      <w:bookmarkStart w:id="28" w:name="_Hlk95290580"/>
      <w:r w:rsidRPr="00507A31">
        <w:rPr>
          <w:color w:val="0070C0"/>
          <w:sz w:val="16"/>
          <w:szCs w:val="16"/>
        </w:rPr>
        <w:t>контингент лиц, которым должно быть разослано настоящее постановление, и сроки его возвращения.</w:t>
      </w:r>
    </w:p>
    <w:p w14:paraId="3A6D8CD0" w14:textId="77777777" w:rsidR="00233523" w:rsidRPr="00507A31" w:rsidRDefault="00233523" w:rsidP="00507A31">
      <w:pPr>
        <w:jc w:val="both"/>
        <w:rPr>
          <w:color w:val="0070C0"/>
          <w:sz w:val="16"/>
          <w:szCs w:val="16"/>
        </w:rPr>
      </w:pPr>
      <w:r w:rsidRPr="00507A31">
        <w:rPr>
          <w:color w:val="0070C0"/>
          <w:sz w:val="16"/>
          <w:szCs w:val="16"/>
        </w:rPr>
        <w:t>Высписки посланы: т. Куйбышеву; т. Ворошилову (23104).</w:t>
      </w:r>
    </w:p>
    <w:p w14:paraId="17BFD1AB" w14:textId="77777777" w:rsidR="00233523" w:rsidRPr="00507A31" w:rsidRDefault="00233523" w:rsidP="00507A31">
      <w:pPr>
        <w:jc w:val="both"/>
        <w:rPr>
          <w:color w:val="0070C0"/>
          <w:sz w:val="16"/>
          <w:szCs w:val="16"/>
        </w:rPr>
      </w:pPr>
    </w:p>
    <w:bookmarkEnd w:id="28"/>
    <w:p w14:paraId="694ABD2B" w14:textId="77777777" w:rsidR="00945426" w:rsidRPr="00507A31" w:rsidRDefault="00945426" w:rsidP="00507A31">
      <w:pPr>
        <w:jc w:val="both"/>
        <w:rPr>
          <w:color w:val="000000" w:themeColor="text1"/>
          <w:sz w:val="16"/>
          <w:szCs w:val="16"/>
        </w:rPr>
      </w:pPr>
      <w:r w:rsidRPr="00507A31">
        <w:rPr>
          <w:color w:val="000000" w:themeColor="text1"/>
          <w:sz w:val="16"/>
          <w:szCs w:val="16"/>
        </w:rPr>
        <w:t>5 марта 1930</w:t>
      </w:r>
    </w:p>
    <w:p w14:paraId="73481AD2" w14:textId="77777777" w:rsidR="00945426" w:rsidRPr="00507A31" w:rsidRDefault="00945426" w:rsidP="00507A31">
      <w:pPr>
        <w:jc w:val="both"/>
        <w:rPr>
          <w:color w:val="000000" w:themeColor="text1"/>
          <w:sz w:val="16"/>
          <w:szCs w:val="16"/>
        </w:rPr>
      </w:pPr>
      <w:r w:rsidRPr="00507A31">
        <w:rPr>
          <w:color w:val="000000" w:themeColor="text1"/>
          <w:sz w:val="16"/>
          <w:szCs w:val="16"/>
        </w:rPr>
        <w:t>Источник: </w:t>
      </w:r>
    </w:p>
    <w:p w14:paraId="3039E253" w14:textId="77777777" w:rsidR="00945426" w:rsidRPr="00507A31" w:rsidRDefault="00945426" w:rsidP="00507A31">
      <w:pPr>
        <w:jc w:val="both"/>
        <w:rPr>
          <w:color w:val="000000" w:themeColor="text1"/>
          <w:sz w:val="16"/>
          <w:szCs w:val="16"/>
        </w:rPr>
      </w:pPr>
      <w:r w:rsidRPr="00507A31">
        <w:rPr>
          <w:color w:val="000000" w:themeColor="text1"/>
          <w:sz w:val="16"/>
          <w:szCs w:val="16"/>
        </w:rPr>
        <w:t>http://sovdoc.rusarchives.ru</w:t>
      </w:r>
    </w:p>
    <w:p w14:paraId="37AC63B1" w14:textId="77777777" w:rsidR="00945426" w:rsidRPr="00507A31" w:rsidRDefault="00945426" w:rsidP="00507A31">
      <w:pPr>
        <w:jc w:val="both"/>
        <w:rPr>
          <w:color w:val="000000" w:themeColor="text1"/>
          <w:sz w:val="16"/>
          <w:szCs w:val="16"/>
        </w:rPr>
      </w:pPr>
      <w:r w:rsidRPr="00507A31">
        <w:rPr>
          <w:color w:val="000000" w:themeColor="text1"/>
          <w:sz w:val="16"/>
          <w:szCs w:val="16"/>
        </w:rPr>
        <w:t>Архив: </w:t>
      </w:r>
    </w:p>
    <w:p w14:paraId="6B795976" w14:textId="77777777" w:rsidR="00945426" w:rsidRPr="00507A31" w:rsidRDefault="00945426" w:rsidP="00507A31">
      <w:pPr>
        <w:jc w:val="both"/>
        <w:rPr>
          <w:color w:val="000000" w:themeColor="text1"/>
          <w:sz w:val="16"/>
          <w:szCs w:val="16"/>
        </w:rPr>
      </w:pPr>
      <w:r w:rsidRPr="00507A31">
        <w:rPr>
          <w:color w:val="000000" w:themeColor="text1"/>
          <w:sz w:val="16"/>
          <w:szCs w:val="16"/>
        </w:rPr>
        <w:t>РГАСПИ. Ф. 17. Оп. 162. Д. 8. Л. 106-108.</w:t>
      </w:r>
    </w:p>
    <w:p w14:paraId="2969EDBE" w14:textId="77777777" w:rsidR="00945426" w:rsidRPr="00507A31" w:rsidRDefault="00945426" w:rsidP="00507A31">
      <w:pPr>
        <w:jc w:val="both"/>
        <w:rPr>
          <w:color w:val="000000" w:themeColor="text1"/>
          <w:sz w:val="16"/>
          <w:szCs w:val="16"/>
        </w:rPr>
      </w:pPr>
      <w:r w:rsidRPr="00507A31">
        <w:rPr>
          <w:color w:val="000000" w:themeColor="text1"/>
          <w:sz w:val="16"/>
          <w:szCs w:val="16"/>
        </w:rPr>
        <w:t>Приложение № 1</w:t>
      </w:r>
      <w:r w:rsidRPr="00507A31">
        <w:rPr>
          <w:color w:val="000000" w:themeColor="text1"/>
          <w:sz w:val="16"/>
          <w:szCs w:val="16"/>
        </w:rPr>
        <w:noBreakHyphen/>
        <w:t>ОП</w:t>
      </w:r>
    </w:p>
    <w:p w14:paraId="5FD25ED3" w14:textId="77777777" w:rsidR="00945426" w:rsidRPr="00507A31" w:rsidRDefault="00945426" w:rsidP="00507A31">
      <w:pPr>
        <w:jc w:val="both"/>
        <w:rPr>
          <w:color w:val="000000" w:themeColor="text1"/>
          <w:sz w:val="16"/>
          <w:szCs w:val="16"/>
        </w:rPr>
      </w:pPr>
      <w:r w:rsidRPr="00507A31">
        <w:rPr>
          <w:color w:val="000000" w:themeColor="text1"/>
          <w:sz w:val="16"/>
          <w:szCs w:val="16"/>
        </w:rPr>
        <w:t>к п. 2 (о. п.) пр. ПБ № 119.</w:t>
      </w:r>
    </w:p>
    <w:p w14:paraId="248CA576" w14:textId="77777777" w:rsidR="00945426" w:rsidRPr="00507A31" w:rsidRDefault="00945426" w:rsidP="00507A31">
      <w:pPr>
        <w:jc w:val="both"/>
        <w:rPr>
          <w:color w:val="000000" w:themeColor="text1"/>
          <w:sz w:val="16"/>
          <w:szCs w:val="16"/>
        </w:rPr>
      </w:pPr>
      <w:r w:rsidRPr="00507A31">
        <w:rPr>
          <w:color w:val="000000" w:themeColor="text1"/>
          <w:sz w:val="16"/>
          <w:szCs w:val="16"/>
        </w:rPr>
        <w:t>Постановление ЦК ВКП(б) по вопросу об авиапромышленности.</w:t>
      </w:r>
    </w:p>
    <w:p w14:paraId="42B46D6B" w14:textId="77777777" w:rsidR="00945426" w:rsidRPr="00507A31" w:rsidRDefault="00945426" w:rsidP="00507A31">
      <w:pPr>
        <w:jc w:val="both"/>
        <w:rPr>
          <w:color w:val="000000" w:themeColor="text1"/>
          <w:sz w:val="16"/>
          <w:szCs w:val="16"/>
        </w:rPr>
      </w:pPr>
      <w:r w:rsidRPr="00507A31">
        <w:rPr>
          <w:color w:val="000000" w:themeColor="text1"/>
          <w:sz w:val="16"/>
          <w:szCs w:val="16"/>
        </w:rPr>
        <w:t>(Утверждено Политбюро ЦК ВКП(б) 5.III.1930 года).</w:t>
      </w:r>
    </w:p>
    <w:p w14:paraId="1ED67BA3" w14:textId="77777777" w:rsidR="00945426" w:rsidRPr="00507A31" w:rsidRDefault="00945426" w:rsidP="00507A31">
      <w:pPr>
        <w:jc w:val="both"/>
        <w:rPr>
          <w:color w:val="000000" w:themeColor="text1"/>
          <w:sz w:val="16"/>
          <w:szCs w:val="16"/>
        </w:rPr>
      </w:pPr>
      <w:r w:rsidRPr="00507A31">
        <w:rPr>
          <w:color w:val="000000" w:themeColor="text1"/>
          <w:sz w:val="16"/>
          <w:szCs w:val="16"/>
        </w:rPr>
        <w:t>1. Констатировать, что конструирование новых типов авиамоторов идет чрезвычайно медленно (3</w:t>
      </w:r>
      <w:r w:rsidRPr="00507A31">
        <w:rPr>
          <w:color w:val="000000" w:themeColor="text1"/>
          <w:sz w:val="16"/>
          <w:szCs w:val="16"/>
        </w:rPr>
        <w:noBreakHyphen/>
        <w:t>4 года) и не закончено даже постройкой в опытных образцах; что серийное производство сложных моторов по лицензиям, закупленным 1½</w:t>
      </w:r>
      <w:r w:rsidRPr="00507A31">
        <w:rPr>
          <w:color w:val="000000" w:themeColor="text1"/>
          <w:sz w:val="16"/>
          <w:szCs w:val="16"/>
        </w:rPr>
        <w:noBreakHyphen/>
        <w:t>2 года назад, до сих пор еще не поставлено; что в серийном производстве все еще продолжает оставаться мотор Либерти образца 1917 года, давно снятый с вооружения во всех странах и значительно уступавший по своим технических данным моторам наших вероятных противников.</w:t>
      </w:r>
    </w:p>
    <w:p w14:paraId="2551E6EC" w14:textId="77777777" w:rsidR="00945426" w:rsidRPr="00507A31" w:rsidRDefault="00945426" w:rsidP="00507A31">
      <w:pPr>
        <w:jc w:val="both"/>
        <w:rPr>
          <w:color w:val="000000" w:themeColor="text1"/>
          <w:sz w:val="16"/>
          <w:szCs w:val="16"/>
        </w:rPr>
      </w:pPr>
      <w:r w:rsidRPr="00507A31">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до 4 против средних сроков в 1</w:t>
      </w:r>
      <w:r w:rsidRPr="00507A31">
        <w:rPr>
          <w:color w:val="000000" w:themeColor="text1"/>
          <w:sz w:val="16"/>
          <w:szCs w:val="16"/>
        </w:rPr>
        <w:noBreakHyphen/>
        <w:t>1½ года заграницей). До сих совершенно нет законченных опытных образцов гидросамолетов и самолетов сварных и стальных конструкций, широко распространенных заграницей.</w:t>
      </w:r>
    </w:p>
    <w:p w14:paraId="5214A2E1" w14:textId="77777777" w:rsidR="00945426" w:rsidRPr="00507A31" w:rsidRDefault="00945426" w:rsidP="00507A31">
      <w:pPr>
        <w:jc w:val="both"/>
        <w:rPr>
          <w:color w:val="000000" w:themeColor="text1"/>
          <w:sz w:val="16"/>
          <w:szCs w:val="16"/>
        </w:rPr>
      </w:pPr>
      <w:r w:rsidRPr="00507A31">
        <w:rPr>
          <w:color w:val="000000" w:themeColor="text1"/>
          <w:sz w:val="16"/>
          <w:szCs w:val="16"/>
        </w:rPr>
        <w:t>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7CB985F3" w14:textId="77777777" w:rsidR="00945426" w:rsidRPr="00507A31" w:rsidRDefault="00945426" w:rsidP="00507A31">
      <w:pPr>
        <w:jc w:val="both"/>
        <w:rPr>
          <w:color w:val="000000" w:themeColor="text1"/>
          <w:sz w:val="16"/>
          <w:szCs w:val="16"/>
        </w:rPr>
      </w:pPr>
      <w:r w:rsidRPr="00507A31">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7454B0E9" w14:textId="77777777" w:rsidR="00945426" w:rsidRPr="00507A31" w:rsidRDefault="00945426" w:rsidP="00507A31">
      <w:pPr>
        <w:jc w:val="both"/>
        <w:rPr>
          <w:color w:val="000000" w:themeColor="text1"/>
          <w:sz w:val="16"/>
          <w:szCs w:val="16"/>
        </w:rPr>
      </w:pPr>
      <w:r w:rsidRPr="00507A31">
        <w:rPr>
          <w:color w:val="000000" w:themeColor="text1"/>
          <w:sz w:val="16"/>
          <w:szCs w:val="16"/>
        </w:rPr>
        <w:t>2. Это положение воздушного флота и авиапромышленности остается, несмотря на директиву Политбюро от 15.VII.1929 г. и ряд постановлений РЗ СТО (20.II. и 23.VII.28 г., 29.VII.29 г.), требовавших от ВСНХ и ГВПУ принятия срочных и действительных мер для устранения указанных недочетов.</w:t>
      </w:r>
    </w:p>
    <w:p w14:paraId="7013E1BD" w14:textId="77777777" w:rsidR="00945426" w:rsidRPr="00507A31" w:rsidRDefault="00945426" w:rsidP="00507A31">
      <w:pPr>
        <w:jc w:val="both"/>
        <w:rPr>
          <w:color w:val="000000" w:themeColor="text1"/>
          <w:sz w:val="16"/>
          <w:szCs w:val="16"/>
        </w:rPr>
      </w:pPr>
      <w:r w:rsidRPr="00507A31">
        <w:rPr>
          <w:color w:val="000000" w:themeColor="text1"/>
          <w:sz w:val="16"/>
          <w:szCs w:val="16"/>
        </w:rPr>
        <w:t>Главнейшими причинами этого являются:</w:t>
      </w:r>
    </w:p>
    <w:p w14:paraId="45C7FCAE" w14:textId="77777777" w:rsidR="00945426" w:rsidRPr="00507A31" w:rsidRDefault="00945426" w:rsidP="00507A31">
      <w:pPr>
        <w:jc w:val="both"/>
        <w:rPr>
          <w:color w:val="000000" w:themeColor="text1"/>
          <w:sz w:val="16"/>
          <w:szCs w:val="16"/>
        </w:rPr>
      </w:pPr>
      <w:r w:rsidRPr="00507A31">
        <w:rPr>
          <w:color w:val="000000" w:themeColor="text1"/>
          <w:sz w:val="16"/>
          <w:szCs w:val="16"/>
        </w:rPr>
        <w:t>а) 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24358424" w14:textId="77777777" w:rsidR="00945426" w:rsidRPr="00507A31" w:rsidRDefault="00945426" w:rsidP="00507A31">
      <w:pPr>
        <w:jc w:val="both"/>
        <w:rPr>
          <w:color w:val="000000" w:themeColor="text1"/>
          <w:sz w:val="16"/>
          <w:szCs w:val="16"/>
        </w:rPr>
      </w:pPr>
      <w:r w:rsidRPr="00507A31">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341B2641" w14:textId="77777777" w:rsidR="00945426" w:rsidRPr="00507A31" w:rsidRDefault="00945426" w:rsidP="00507A31">
      <w:pPr>
        <w:jc w:val="both"/>
        <w:rPr>
          <w:color w:val="000000" w:themeColor="text1"/>
          <w:sz w:val="16"/>
          <w:szCs w:val="16"/>
        </w:rPr>
      </w:pPr>
      <w:r w:rsidRPr="00507A31">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 СТО.</w:t>
      </w:r>
    </w:p>
    <w:p w14:paraId="109768E7" w14:textId="77777777" w:rsidR="00945426" w:rsidRPr="00507A31" w:rsidRDefault="00945426" w:rsidP="00507A31">
      <w:pPr>
        <w:jc w:val="both"/>
        <w:rPr>
          <w:color w:val="000000" w:themeColor="text1"/>
          <w:sz w:val="16"/>
          <w:szCs w:val="16"/>
        </w:rPr>
      </w:pPr>
      <w:r w:rsidRPr="00507A31">
        <w:rPr>
          <w:color w:val="000000" w:themeColor="text1"/>
          <w:sz w:val="16"/>
          <w:szCs w:val="16"/>
        </w:rPr>
        <w:t>3. В целях скорейшего оздоровления авиапромышленности и обеспечения строительства военно-воздушного флота, признать необходимым:</w:t>
      </w:r>
    </w:p>
    <w:p w14:paraId="1BA01EDE" w14:textId="77777777" w:rsidR="00945426" w:rsidRPr="00507A31" w:rsidRDefault="00945426" w:rsidP="00507A31">
      <w:pPr>
        <w:jc w:val="both"/>
        <w:rPr>
          <w:color w:val="000000" w:themeColor="text1"/>
          <w:sz w:val="16"/>
          <w:szCs w:val="16"/>
        </w:rPr>
      </w:pPr>
      <w:r w:rsidRPr="00507A31">
        <w:rPr>
          <w:color w:val="000000" w:themeColor="text1"/>
          <w:sz w:val="16"/>
          <w:szCs w:val="16"/>
        </w:rPr>
        <w:t>а) в 2-х месячный срок произвести поголовную проверку и чистку всего личного состава как служащих, так и рабочих промышленности; проведение этого возложить на комиссии — в центре — в составе представителей ВСНХ, ВЦСПС, ЦК ВКП(б), и ОГПУ, под председательством представителя НК РКИ (т. Павлуновского), а на предприятиях —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68CCDFEC" w14:textId="77777777" w:rsidR="00945426" w:rsidRPr="00507A31" w:rsidRDefault="00945426" w:rsidP="00507A31">
      <w:pPr>
        <w:jc w:val="both"/>
        <w:rPr>
          <w:color w:val="000000" w:themeColor="text1"/>
          <w:sz w:val="16"/>
          <w:szCs w:val="16"/>
        </w:rPr>
      </w:pPr>
      <w:r w:rsidRPr="00507A31">
        <w:rPr>
          <w:color w:val="000000" w:themeColor="text1"/>
          <w:sz w:val="16"/>
          <w:szCs w:val="16"/>
        </w:rPr>
        <w:t>б) прекратить переброски по партийным, советским и профессиональным мобилизациям квалифицированных работников,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распоряжения ЦК ВКП(б);</w:t>
      </w:r>
    </w:p>
    <w:p w14:paraId="16B74032" w14:textId="77777777" w:rsidR="00945426" w:rsidRPr="00507A31" w:rsidRDefault="00945426" w:rsidP="00507A31">
      <w:pPr>
        <w:jc w:val="both"/>
        <w:rPr>
          <w:color w:val="000000" w:themeColor="text1"/>
          <w:sz w:val="16"/>
          <w:szCs w:val="16"/>
        </w:rPr>
      </w:pPr>
      <w:r w:rsidRPr="00507A31">
        <w:rPr>
          <w:color w:val="000000" w:themeColor="text1"/>
          <w:sz w:val="16"/>
          <w:szCs w:val="16"/>
        </w:rPr>
        <w:t>в) в 1930 г. провести проверочную мобилизацию двух моторостроительных заводов;</w:t>
      </w:r>
    </w:p>
    <w:p w14:paraId="0F268161" w14:textId="77777777" w:rsidR="00945426" w:rsidRPr="00507A31" w:rsidRDefault="00945426" w:rsidP="00507A31">
      <w:pPr>
        <w:jc w:val="both"/>
        <w:rPr>
          <w:color w:val="000000" w:themeColor="text1"/>
          <w:sz w:val="16"/>
          <w:szCs w:val="16"/>
        </w:rPr>
      </w:pPr>
      <w:r w:rsidRPr="00507A31">
        <w:rPr>
          <w:color w:val="000000" w:themeColor="text1"/>
          <w:sz w:val="16"/>
          <w:szCs w:val="16"/>
        </w:rPr>
        <w:t>г) 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533E1717" w14:textId="77777777" w:rsidR="00945426" w:rsidRPr="00507A31" w:rsidRDefault="00945426" w:rsidP="00507A31">
      <w:pPr>
        <w:jc w:val="both"/>
        <w:rPr>
          <w:color w:val="000000" w:themeColor="text1"/>
          <w:sz w:val="16"/>
          <w:szCs w:val="16"/>
        </w:rPr>
      </w:pPr>
      <w:r w:rsidRPr="00507A31">
        <w:rPr>
          <w:color w:val="000000" w:themeColor="text1"/>
          <w:sz w:val="16"/>
          <w:szCs w:val="16"/>
        </w:rPr>
        <w:t>4. Обязать РЗ СТО:</w:t>
      </w:r>
    </w:p>
    <w:p w14:paraId="1008B7AF" w14:textId="77777777" w:rsidR="00945426" w:rsidRPr="00507A31" w:rsidRDefault="00945426" w:rsidP="00507A31">
      <w:pPr>
        <w:jc w:val="both"/>
        <w:rPr>
          <w:color w:val="000000" w:themeColor="text1"/>
          <w:sz w:val="16"/>
          <w:szCs w:val="16"/>
        </w:rPr>
      </w:pPr>
      <w:r w:rsidRPr="00507A31">
        <w:rPr>
          <w:color w:val="000000" w:themeColor="text1"/>
          <w:sz w:val="16"/>
          <w:szCs w:val="16"/>
        </w:rPr>
        <w:t>а) обеспечить успешное выполнение всех мероприятий но оздоровлению и развитию авиапромышленности и воздушного флота в ударном порядке;</w:t>
      </w:r>
    </w:p>
    <w:p w14:paraId="397B5E63" w14:textId="77777777" w:rsidR="00945426" w:rsidRPr="00507A31" w:rsidRDefault="00945426" w:rsidP="00507A31">
      <w:pPr>
        <w:jc w:val="both"/>
        <w:rPr>
          <w:color w:val="000000" w:themeColor="text1"/>
          <w:sz w:val="16"/>
          <w:szCs w:val="16"/>
        </w:rPr>
      </w:pPr>
      <w:r w:rsidRPr="00507A31">
        <w:rPr>
          <w:color w:val="000000" w:themeColor="text1"/>
          <w:sz w:val="16"/>
          <w:szCs w:val="16"/>
        </w:rPr>
        <w:t>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со сторона НК РКИ и НКВМ;</w:t>
      </w:r>
    </w:p>
    <w:p w14:paraId="4CE0BD14" w14:textId="77777777" w:rsidR="00945426" w:rsidRPr="00507A31" w:rsidRDefault="00945426" w:rsidP="00507A31">
      <w:pPr>
        <w:jc w:val="both"/>
        <w:rPr>
          <w:color w:val="000000" w:themeColor="text1"/>
          <w:sz w:val="16"/>
          <w:szCs w:val="16"/>
        </w:rPr>
      </w:pPr>
      <w:r w:rsidRPr="00507A31">
        <w:rPr>
          <w:color w:val="000000" w:themeColor="text1"/>
          <w:sz w:val="16"/>
          <w:szCs w:val="16"/>
        </w:rPr>
        <w:t>в) через 6 месяцев доложить Политбюро о достигнутых результатах и необходимых мероприятиях для дальнейшего улучшения состояния авиапромышленности.</w:t>
      </w:r>
    </w:p>
    <w:p w14:paraId="64C27C2F" w14:textId="77777777" w:rsidR="00945426" w:rsidRPr="00507A31" w:rsidRDefault="00945426" w:rsidP="00507A31">
      <w:pPr>
        <w:jc w:val="both"/>
        <w:rPr>
          <w:color w:val="000000" w:themeColor="text1"/>
          <w:sz w:val="16"/>
          <w:szCs w:val="16"/>
        </w:rPr>
      </w:pPr>
      <w:r w:rsidRPr="00507A31">
        <w:rPr>
          <w:color w:val="000000" w:themeColor="text1"/>
          <w:sz w:val="16"/>
          <w:szCs w:val="16"/>
        </w:rPr>
        <w:t>5. Обязать т. Рыкова лично разрешать текущие вопросы по авиапромышленности, выходящие за проделы компетенции ВСНХ и препятствующие нормальному ходу работы.</w:t>
      </w:r>
    </w:p>
    <w:p w14:paraId="142301B3" w14:textId="77777777" w:rsidR="00945426" w:rsidRPr="00507A31" w:rsidRDefault="00945426" w:rsidP="00507A31">
      <w:pPr>
        <w:jc w:val="both"/>
        <w:rPr>
          <w:color w:val="000000" w:themeColor="text1"/>
          <w:sz w:val="16"/>
          <w:szCs w:val="16"/>
        </w:rPr>
      </w:pPr>
      <w:r w:rsidRPr="00507A31">
        <w:rPr>
          <w:color w:val="000000" w:themeColor="text1"/>
          <w:sz w:val="16"/>
          <w:szCs w:val="16"/>
        </w:rPr>
        <w:t>6. Принять к сведению постановление РЗ СТО от 16.Х.29 г. и 30.I.30 г., предусматривающие осуществление практических мероприятий по авиапромышленности и воздушному флоту.</w:t>
      </w:r>
    </w:p>
    <w:p w14:paraId="1E04F5B7" w14:textId="77777777" w:rsidR="00945426" w:rsidRPr="00507A31" w:rsidRDefault="00945426" w:rsidP="00507A31">
      <w:pPr>
        <w:jc w:val="both"/>
        <w:rPr>
          <w:color w:val="000000" w:themeColor="text1"/>
          <w:sz w:val="16"/>
          <w:szCs w:val="16"/>
        </w:rPr>
      </w:pPr>
      <w:r w:rsidRPr="00507A31">
        <w:rPr>
          <w:color w:val="000000" w:themeColor="text1"/>
          <w:sz w:val="16"/>
          <w:szCs w:val="16"/>
        </w:rPr>
        <w:t>7. 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3F531E1C" w14:textId="77777777" w:rsidR="00945426" w:rsidRPr="00507A31" w:rsidRDefault="00945426" w:rsidP="00507A31">
      <w:pPr>
        <w:jc w:val="both"/>
        <w:rPr>
          <w:color w:val="000000" w:themeColor="text1"/>
          <w:sz w:val="16"/>
          <w:szCs w:val="16"/>
        </w:rPr>
      </w:pPr>
      <w:r w:rsidRPr="00507A31">
        <w:rPr>
          <w:color w:val="000000" w:themeColor="text1"/>
          <w:sz w:val="16"/>
          <w:szCs w:val="16"/>
        </w:rPr>
        <w:t>Предоставить НКВМору право контроля наблюдения за выполнением заказов на самолеты и моторы, особенно в части изготовления новых образцов.</w:t>
      </w:r>
    </w:p>
    <w:p w14:paraId="72B6ED96" w14:textId="77777777" w:rsidR="00945426" w:rsidRPr="00507A31" w:rsidRDefault="00945426" w:rsidP="00507A31">
      <w:pPr>
        <w:jc w:val="both"/>
        <w:rPr>
          <w:color w:val="000000" w:themeColor="text1"/>
          <w:sz w:val="16"/>
          <w:szCs w:val="16"/>
        </w:rPr>
      </w:pPr>
      <w:r w:rsidRPr="00507A31">
        <w:rPr>
          <w:color w:val="000000" w:themeColor="text1"/>
          <w:sz w:val="16"/>
          <w:szCs w:val="16"/>
        </w:rPr>
        <w:t>8. Принять к сведению заявление т. Ворошилова, что предложение НК 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6EC59664" w14:textId="77777777" w:rsidR="00945426" w:rsidRPr="00507A31" w:rsidRDefault="00945426" w:rsidP="00507A31">
      <w:pPr>
        <w:jc w:val="both"/>
        <w:rPr>
          <w:color w:val="000000" w:themeColor="text1"/>
          <w:sz w:val="16"/>
          <w:szCs w:val="16"/>
        </w:rPr>
      </w:pPr>
      <w:r w:rsidRPr="00507A31">
        <w:rPr>
          <w:color w:val="000000" w:themeColor="text1"/>
          <w:sz w:val="16"/>
          <w:szCs w:val="16"/>
        </w:rPr>
        <w:t>9. НКВМ и ВСНХ не позже 1 апреля 1930 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507A31">
        <w:rPr>
          <w:color w:val="000000" w:themeColor="text1"/>
          <w:sz w:val="16"/>
          <w:szCs w:val="16"/>
        </w:rPr>
        <w:noBreakHyphen/>
        <w:t>8 месяцев.</w:t>
      </w:r>
    </w:p>
    <w:p w14:paraId="2D2760C2" w14:textId="77777777" w:rsidR="00945426" w:rsidRPr="00507A31" w:rsidRDefault="00945426" w:rsidP="00507A31">
      <w:pPr>
        <w:jc w:val="both"/>
        <w:rPr>
          <w:color w:val="000000" w:themeColor="text1"/>
          <w:sz w:val="16"/>
          <w:szCs w:val="16"/>
        </w:rPr>
      </w:pPr>
      <w:r w:rsidRPr="00507A31">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5AB7B1A4" w14:textId="77777777" w:rsidR="00945426" w:rsidRPr="00507A31" w:rsidRDefault="00945426" w:rsidP="00507A31">
      <w:pPr>
        <w:jc w:val="both"/>
        <w:rPr>
          <w:color w:val="000000" w:themeColor="text1"/>
          <w:sz w:val="16"/>
          <w:szCs w:val="16"/>
        </w:rPr>
      </w:pPr>
      <w:r w:rsidRPr="00507A31">
        <w:rPr>
          <w:color w:val="000000" w:themeColor="text1"/>
          <w:sz w:val="16"/>
          <w:szCs w:val="16"/>
        </w:rPr>
        <w:lastRenderedPageBreak/>
        <w:t>11. В целях максимального сокращения сроков мобилизационного развертывания авиазаводов, обязать ВСНХ в месячный срок представить в РЗ СТО план загрузки авиазаводов другими видами продукции, помимо военных заказов —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5426BF23" w14:textId="77777777" w:rsidR="00945426" w:rsidRPr="00507A31" w:rsidRDefault="00945426" w:rsidP="00507A31">
      <w:pPr>
        <w:jc w:val="both"/>
        <w:rPr>
          <w:color w:val="000000" w:themeColor="text1"/>
          <w:sz w:val="16"/>
          <w:szCs w:val="16"/>
        </w:rPr>
      </w:pPr>
      <w:r w:rsidRPr="00507A31">
        <w:rPr>
          <w:color w:val="000000" w:themeColor="text1"/>
          <w:sz w:val="16"/>
          <w:szCs w:val="16"/>
        </w:rPr>
        <w:t>12. 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6D7F8465" w14:textId="77777777" w:rsidR="00945426" w:rsidRPr="00507A31" w:rsidRDefault="00945426" w:rsidP="00507A31">
      <w:pPr>
        <w:jc w:val="both"/>
        <w:rPr>
          <w:color w:val="000000" w:themeColor="text1"/>
          <w:sz w:val="16"/>
          <w:szCs w:val="16"/>
        </w:rPr>
      </w:pPr>
      <w:r w:rsidRPr="00507A31">
        <w:rPr>
          <w:color w:val="000000" w:themeColor="text1"/>
          <w:sz w:val="16"/>
          <w:szCs w:val="16"/>
        </w:rPr>
        <w:t>Помимо этого, в срочном порядке привлечь из-заграницы нескольких крупных конструкторов, инженеров и мастеров.</w:t>
      </w:r>
    </w:p>
    <w:p w14:paraId="5006F8FF" w14:textId="77777777" w:rsidR="00945426" w:rsidRPr="00507A31" w:rsidRDefault="00945426" w:rsidP="00507A31">
      <w:pPr>
        <w:jc w:val="both"/>
        <w:rPr>
          <w:color w:val="000000" w:themeColor="text1"/>
          <w:sz w:val="16"/>
          <w:szCs w:val="16"/>
        </w:rPr>
      </w:pPr>
      <w:r w:rsidRPr="00507A31">
        <w:rPr>
          <w:color w:val="000000" w:themeColor="text1"/>
          <w:sz w:val="16"/>
          <w:szCs w:val="16"/>
        </w:rPr>
        <w:t>13. Поручить ВСНХ и НКВМ в двухмесячный срок закупить заграницей несколько типов новейших моторов для установки их производства на наших заводах.</w:t>
      </w:r>
    </w:p>
    <w:p w14:paraId="368B3477" w14:textId="77777777" w:rsidR="00945426" w:rsidRPr="00507A31" w:rsidRDefault="00945426" w:rsidP="00507A31">
      <w:pPr>
        <w:jc w:val="both"/>
        <w:rPr>
          <w:color w:val="000000" w:themeColor="text1"/>
          <w:sz w:val="16"/>
          <w:szCs w:val="16"/>
        </w:rPr>
      </w:pPr>
      <w:r w:rsidRPr="00507A31">
        <w:rPr>
          <w:color w:val="000000" w:themeColor="text1"/>
          <w:sz w:val="16"/>
          <w:szCs w:val="16"/>
        </w:rPr>
        <w:t>14. Обязать ВСНХ и НКВМ через четыре месяца представить в ПБ доклад о принятых мерах и достигнутых результатах (18047).</w:t>
      </w:r>
    </w:p>
    <w:p w14:paraId="15688D4E" w14:textId="77777777" w:rsidR="00945426" w:rsidRPr="00507A31" w:rsidRDefault="00945426" w:rsidP="00507A31">
      <w:pPr>
        <w:jc w:val="both"/>
        <w:rPr>
          <w:color w:val="000000" w:themeColor="text1"/>
          <w:sz w:val="16"/>
          <w:szCs w:val="16"/>
        </w:rPr>
      </w:pPr>
    </w:p>
    <w:p w14:paraId="6701952B" w14:textId="77777777" w:rsidR="00E76DA3" w:rsidRPr="00507A31" w:rsidRDefault="00E76DA3" w:rsidP="00507A31">
      <w:pPr>
        <w:jc w:val="both"/>
        <w:rPr>
          <w:color w:val="000000" w:themeColor="text1"/>
          <w:sz w:val="16"/>
          <w:szCs w:val="16"/>
        </w:rPr>
      </w:pPr>
      <w:r w:rsidRPr="00507A31">
        <w:rPr>
          <w:color w:val="000000" w:themeColor="text1"/>
          <w:sz w:val="16"/>
          <w:szCs w:val="16"/>
        </w:rPr>
        <w:t>5 марта 1930</w:t>
      </w:r>
    </w:p>
    <w:p w14:paraId="42C4766D" w14:textId="77777777" w:rsidR="00E76DA3" w:rsidRPr="00507A31" w:rsidRDefault="00E76DA3" w:rsidP="00507A31">
      <w:pPr>
        <w:jc w:val="both"/>
        <w:rPr>
          <w:color w:val="000000" w:themeColor="text1"/>
          <w:sz w:val="16"/>
          <w:szCs w:val="16"/>
        </w:rPr>
      </w:pPr>
      <w:r w:rsidRPr="00507A31">
        <w:rPr>
          <w:color w:val="000000" w:themeColor="text1"/>
          <w:sz w:val="16"/>
          <w:szCs w:val="16"/>
        </w:rPr>
        <w:t>п. 2: Сообщение т. Рыкова</w:t>
      </w:r>
    </w:p>
    <w:p w14:paraId="06000B58" w14:textId="77777777" w:rsidR="00E76DA3" w:rsidRPr="00507A31" w:rsidRDefault="00E76DA3" w:rsidP="00507A31">
      <w:pPr>
        <w:jc w:val="both"/>
        <w:rPr>
          <w:color w:val="000000" w:themeColor="text1"/>
          <w:sz w:val="16"/>
          <w:szCs w:val="16"/>
        </w:rPr>
      </w:pPr>
      <w:r w:rsidRPr="00507A31">
        <w:rPr>
          <w:color w:val="000000" w:themeColor="text1"/>
          <w:sz w:val="16"/>
          <w:szCs w:val="16"/>
        </w:rPr>
        <w:t>(ПБ от 25.I.30 г., пр. № 115, п. 2).</w:t>
      </w:r>
    </w:p>
    <w:p w14:paraId="4ABFD6FB" w14:textId="77777777" w:rsidR="00E76DA3" w:rsidRPr="00507A31" w:rsidRDefault="00E76DA3" w:rsidP="00507A31">
      <w:pPr>
        <w:jc w:val="both"/>
        <w:rPr>
          <w:color w:val="000000" w:themeColor="text1"/>
          <w:sz w:val="16"/>
          <w:szCs w:val="16"/>
        </w:rPr>
      </w:pPr>
      <w:r w:rsidRPr="00507A31">
        <w:rPr>
          <w:color w:val="000000" w:themeColor="text1"/>
          <w:sz w:val="16"/>
          <w:szCs w:val="16"/>
        </w:rPr>
        <w:t>(Рыков, Ворошилов, Урываев, Михайлов, Уншлихт, Павлуновский, Постников, Королев, Малахов, Десятников, Мартинович Дубенский, Алкснис).</w:t>
      </w:r>
    </w:p>
    <w:p w14:paraId="3CA734E0" w14:textId="77777777" w:rsidR="00E76DA3" w:rsidRPr="00507A31" w:rsidRDefault="00E76DA3" w:rsidP="00507A31">
      <w:pPr>
        <w:jc w:val="both"/>
        <w:rPr>
          <w:color w:val="000000" w:themeColor="text1"/>
          <w:sz w:val="16"/>
          <w:szCs w:val="16"/>
        </w:rPr>
      </w:pPr>
      <w:r w:rsidRPr="00507A31">
        <w:rPr>
          <w:color w:val="000000" w:themeColor="text1"/>
          <w:sz w:val="16"/>
          <w:szCs w:val="16"/>
        </w:rPr>
        <w:t>Решение — особая папка.</w:t>
      </w:r>
    </w:p>
    <w:p w14:paraId="75A4391B" w14:textId="77777777" w:rsidR="00E76DA3" w:rsidRPr="00507A31" w:rsidRDefault="00E76DA3" w:rsidP="00507A31">
      <w:pPr>
        <w:jc w:val="both"/>
        <w:rPr>
          <w:color w:val="000000" w:themeColor="text1"/>
          <w:sz w:val="16"/>
          <w:szCs w:val="16"/>
        </w:rPr>
      </w:pPr>
      <w:r w:rsidRPr="00507A31">
        <w:rPr>
          <w:color w:val="000000" w:themeColor="text1"/>
          <w:sz w:val="16"/>
          <w:szCs w:val="16"/>
        </w:rPr>
        <w:t>а) Утвердить с поправками и предложенными НК РКИ дополнениями проект постановления по вопросу об авиапромышленности (</w:t>
      </w:r>
      <w:hyperlink r:id="rId42" w:history="1">
        <w:r w:rsidRPr="00507A31">
          <w:rPr>
            <w:rStyle w:val="a5"/>
            <w:color w:val="000000" w:themeColor="text1"/>
            <w:sz w:val="16"/>
            <w:szCs w:val="16"/>
          </w:rPr>
          <w:t>см. приложение № 1</w:t>
        </w:r>
        <w:r w:rsidRPr="00507A31">
          <w:rPr>
            <w:rStyle w:val="a5"/>
            <w:color w:val="000000" w:themeColor="text1"/>
            <w:sz w:val="16"/>
            <w:szCs w:val="16"/>
          </w:rPr>
          <w:noBreakHyphen/>
          <w:t>ОП</w:t>
        </w:r>
      </w:hyperlink>
      <w:r w:rsidRPr="00507A31">
        <w:rPr>
          <w:color w:val="000000" w:themeColor="text1"/>
          <w:sz w:val="16"/>
          <w:szCs w:val="16"/>
        </w:rPr>
        <w:t>).</w:t>
      </w:r>
    </w:p>
    <w:p w14:paraId="382FC8CE" w14:textId="77777777" w:rsidR="00E76DA3" w:rsidRPr="00507A31" w:rsidRDefault="00E76DA3" w:rsidP="00507A31">
      <w:pPr>
        <w:jc w:val="both"/>
        <w:rPr>
          <w:color w:val="000000" w:themeColor="text1"/>
          <w:sz w:val="16"/>
          <w:szCs w:val="16"/>
        </w:rPr>
      </w:pPr>
      <w:r w:rsidRPr="00507A31">
        <w:rPr>
          <w:color w:val="000000" w:themeColor="text1"/>
          <w:sz w:val="16"/>
          <w:szCs w:val="16"/>
        </w:rPr>
        <w:t>б) Поручить т.т. Ворошилову и Куйбышеву установить контингент лиц, которым должно быть разослано настоящее постановление, и сроки его возвращения.</w:t>
      </w:r>
    </w:p>
    <w:p w14:paraId="1C375464" w14:textId="77777777" w:rsidR="00E76DA3" w:rsidRPr="00507A31" w:rsidRDefault="00E76DA3" w:rsidP="00507A31">
      <w:pPr>
        <w:jc w:val="both"/>
        <w:rPr>
          <w:color w:val="000000" w:themeColor="text1"/>
          <w:sz w:val="16"/>
          <w:szCs w:val="16"/>
        </w:rPr>
      </w:pPr>
      <w:r w:rsidRPr="00507A31">
        <w:rPr>
          <w:color w:val="000000" w:themeColor="text1"/>
          <w:sz w:val="16"/>
          <w:szCs w:val="16"/>
        </w:rPr>
        <w:t>Выписки посланы:</w:t>
      </w:r>
    </w:p>
    <w:p w14:paraId="11AD33BB" w14:textId="77777777" w:rsidR="00E76DA3" w:rsidRPr="00507A31" w:rsidRDefault="00E76DA3" w:rsidP="00507A31">
      <w:pPr>
        <w:jc w:val="both"/>
        <w:rPr>
          <w:color w:val="000000" w:themeColor="text1"/>
          <w:sz w:val="16"/>
          <w:szCs w:val="16"/>
        </w:rPr>
      </w:pPr>
      <w:r w:rsidRPr="00507A31">
        <w:rPr>
          <w:color w:val="000000" w:themeColor="text1"/>
          <w:sz w:val="16"/>
          <w:szCs w:val="16"/>
        </w:rPr>
        <w:t>Куйбышеву, Ворошилову.</w:t>
      </w:r>
    </w:p>
    <w:p w14:paraId="3CA657A3" w14:textId="77777777" w:rsidR="00E76DA3" w:rsidRPr="00507A31" w:rsidRDefault="00E76DA3" w:rsidP="00507A31">
      <w:pPr>
        <w:jc w:val="both"/>
        <w:rPr>
          <w:color w:val="000000" w:themeColor="text1"/>
          <w:sz w:val="16"/>
          <w:szCs w:val="16"/>
        </w:rPr>
      </w:pPr>
      <w:r w:rsidRPr="00507A31">
        <w:rPr>
          <w:color w:val="000000" w:themeColor="text1"/>
          <w:sz w:val="16"/>
          <w:szCs w:val="16"/>
        </w:rPr>
        <w:t>Приложение № 1</w:t>
      </w:r>
      <w:r w:rsidRPr="00507A31">
        <w:rPr>
          <w:color w:val="000000" w:themeColor="text1"/>
          <w:sz w:val="16"/>
          <w:szCs w:val="16"/>
        </w:rPr>
        <w:noBreakHyphen/>
        <w:t>ОП</w:t>
      </w:r>
    </w:p>
    <w:p w14:paraId="547CE5B9" w14:textId="77777777" w:rsidR="00E76DA3" w:rsidRPr="00507A31" w:rsidRDefault="00E76DA3" w:rsidP="00507A31">
      <w:pPr>
        <w:jc w:val="both"/>
        <w:rPr>
          <w:color w:val="000000" w:themeColor="text1"/>
          <w:sz w:val="16"/>
          <w:szCs w:val="16"/>
        </w:rPr>
      </w:pPr>
      <w:r w:rsidRPr="00507A31">
        <w:rPr>
          <w:color w:val="000000" w:themeColor="text1"/>
          <w:sz w:val="16"/>
          <w:szCs w:val="16"/>
        </w:rPr>
        <w:t>к п. 2 (о. п.) пр. ПБ № 119.</w:t>
      </w:r>
    </w:p>
    <w:p w14:paraId="5685DE6B" w14:textId="77777777" w:rsidR="00E76DA3" w:rsidRPr="00507A31" w:rsidRDefault="00E76DA3" w:rsidP="00507A31">
      <w:pPr>
        <w:jc w:val="both"/>
        <w:rPr>
          <w:color w:val="000000" w:themeColor="text1"/>
          <w:sz w:val="16"/>
          <w:szCs w:val="16"/>
        </w:rPr>
      </w:pPr>
      <w:r w:rsidRPr="00507A31">
        <w:rPr>
          <w:color w:val="000000" w:themeColor="text1"/>
          <w:sz w:val="16"/>
          <w:szCs w:val="16"/>
        </w:rPr>
        <w:t>Постановление ЦК ВКП(б) по вопросу об авиапромышленности.</w:t>
      </w:r>
    </w:p>
    <w:p w14:paraId="68B2A482" w14:textId="77777777" w:rsidR="00E76DA3" w:rsidRPr="00507A31" w:rsidRDefault="00E76DA3" w:rsidP="00507A31">
      <w:pPr>
        <w:jc w:val="both"/>
        <w:rPr>
          <w:color w:val="000000" w:themeColor="text1"/>
          <w:sz w:val="16"/>
          <w:szCs w:val="16"/>
        </w:rPr>
      </w:pPr>
      <w:r w:rsidRPr="00507A31">
        <w:rPr>
          <w:color w:val="000000" w:themeColor="text1"/>
          <w:sz w:val="16"/>
          <w:szCs w:val="16"/>
        </w:rPr>
        <w:t>(Утверждено Политбюро ЦК ВКП(б) 5.III.1930 года).</w:t>
      </w:r>
    </w:p>
    <w:p w14:paraId="285DEFD0" w14:textId="77777777" w:rsidR="00E76DA3" w:rsidRPr="00507A31" w:rsidRDefault="00E76DA3" w:rsidP="00507A31">
      <w:pPr>
        <w:jc w:val="both"/>
        <w:rPr>
          <w:color w:val="000000" w:themeColor="text1"/>
          <w:sz w:val="16"/>
          <w:szCs w:val="16"/>
        </w:rPr>
      </w:pPr>
      <w:r w:rsidRPr="00507A31">
        <w:rPr>
          <w:color w:val="000000" w:themeColor="text1"/>
          <w:sz w:val="16"/>
          <w:szCs w:val="16"/>
        </w:rPr>
        <w:t>1. Констатировать, что конструирование новых типов авиамоторов идет чрезвычайно медленно (3</w:t>
      </w:r>
      <w:r w:rsidRPr="00507A31">
        <w:rPr>
          <w:color w:val="000000" w:themeColor="text1"/>
          <w:sz w:val="16"/>
          <w:szCs w:val="16"/>
        </w:rPr>
        <w:noBreakHyphen/>
        <w:t>4 года) и не закончено даже постройкой в опытных образцах; что серийное производство сложных моторов по лицензиям, закупленным 1½</w:t>
      </w:r>
      <w:r w:rsidRPr="00507A31">
        <w:rPr>
          <w:color w:val="000000" w:themeColor="text1"/>
          <w:sz w:val="16"/>
          <w:szCs w:val="16"/>
        </w:rPr>
        <w:noBreakHyphen/>
        <w:t>2 года назад, до сих пор еще не поставлено; что в серийном производстве все еще продолжает оставаться мотор Либерти образца 1917 года, давно снятый с вооружения во всех странах и значительно уступавший по своим технических данным моторам наших вероятных противников.</w:t>
      </w:r>
    </w:p>
    <w:p w14:paraId="36C5B736" w14:textId="77777777" w:rsidR="00E76DA3" w:rsidRPr="00507A31" w:rsidRDefault="00E76DA3" w:rsidP="00507A31">
      <w:pPr>
        <w:jc w:val="both"/>
        <w:rPr>
          <w:color w:val="000000" w:themeColor="text1"/>
          <w:sz w:val="16"/>
          <w:szCs w:val="16"/>
        </w:rPr>
      </w:pPr>
      <w:r w:rsidRPr="00507A31">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до 4 против средних сроков в 1</w:t>
      </w:r>
      <w:r w:rsidRPr="00507A31">
        <w:rPr>
          <w:color w:val="000000" w:themeColor="text1"/>
          <w:sz w:val="16"/>
          <w:szCs w:val="16"/>
        </w:rPr>
        <w:noBreakHyphen/>
        <w:t>1½ года заграницей). До сих совершенно нет законченных опытных образцов гидросамолетов и самолетов сварных и стальных конструкций, широко распространенных заграницей.</w:t>
      </w:r>
    </w:p>
    <w:p w14:paraId="5A125261" w14:textId="77777777" w:rsidR="00E76DA3" w:rsidRPr="00507A31" w:rsidRDefault="00E76DA3" w:rsidP="00507A31">
      <w:pPr>
        <w:jc w:val="both"/>
        <w:rPr>
          <w:color w:val="000000" w:themeColor="text1"/>
          <w:sz w:val="16"/>
          <w:szCs w:val="16"/>
        </w:rPr>
      </w:pPr>
      <w:r w:rsidRPr="00507A31">
        <w:rPr>
          <w:color w:val="000000" w:themeColor="text1"/>
          <w:sz w:val="16"/>
          <w:szCs w:val="16"/>
        </w:rPr>
        <w:t>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0BEF432F" w14:textId="77777777" w:rsidR="00E76DA3" w:rsidRPr="00507A31" w:rsidRDefault="00E76DA3" w:rsidP="00507A31">
      <w:pPr>
        <w:jc w:val="both"/>
        <w:rPr>
          <w:color w:val="000000" w:themeColor="text1"/>
          <w:sz w:val="16"/>
          <w:szCs w:val="16"/>
        </w:rPr>
      </w:pPr>
      <w:r w:rsidRPr="00507A31">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74F123C9" w14:textId="77777777" w:rsidR="00E76DA3" w:rsidRPr="00507A31" w:rsidRDefault="00E76DA3" w:rsidP="00507A31">
      <w:pPr>
        <w:jc w:val="both"/>
        <w:rPr>
          <w:color w:val="000000" w:themeColor="text1"/>
          <w:sz w:val="16"/>
          <w:szCs w:val="16"/>
        </w:rPr>
      </w:pPr>
      <w:r w:rsidRPr="00507A31">
        <w:rPr>
          <w:color w:val="000000" w:themeColor="text1"/>
          <w:sz w:val="16"/>
          <w:szCs w:val="16"/>
        </w:rPr>
        <w:t>2. Это положение воздушного флота и авиапромышленности остается, несмотря на директиву Политбюро от 15.VII.1929 г. и ряд постановлений РЗ СТО (20.II. и 23.VII.28 г., 29.VII.29 г.), требовавших от ВСНХ и ГВПУ принятия срочных и действительных мер для устранения указанных недочетов.</w:t>
      </w:r>
    </w:p>
    <w:p w14:paraId="61F6BB52" w14:textId="77777777" w:rsidR="00E76DA3" w:rsidRPr="00507A31" w:rsidRDefault="00E76DA3" w:rsidP="00507A31">
      <w:pPr>
        <w:jc w:val="both"/>
        <w:rPr>
          <w:color w:val="000000" w:themeColor="text1"/>
          <w:sz w:val="16"/>
          <w:szCs w:val="16"/>
        </w:rPr>
      </w:pPr>
      <w:r w:rsidRPr="00507A31">
        <w:rPr>
          <w:color w:val="000000" w:themeColor="text1"/>
          <w:sz w:val="16"/>
          <w:szCs w:val="16"/>
        </w:rPr>
        <w:t>Главнейшими причинами этого являются:</w:t>
      </w:r>
    </w:p>
    <w:p w14:paraId="517D28CE" w14:textId="77777777" w:rsidR="00E76DA3" w:rsidRPr="00507A31" w:rsidRDefault="00E76DA3" w:rsidP="00507A31">
      <w:pPr>
        <w:jc w:val="both"/>
        <w:rPr>
          <w:color w:val="000000" w:themeColor="text1"/>
          <w:sz w:val="16"/>
          <w:szCs w:val="16"/>
        </w:rPr>
      </w:pPr>
      <w:r w:rsidRPr="00507A31">
        <w:rPr>
          <w:color w:val="000000" w:themeColor="text1"/>
          <w:sz w:val="16"/>
          <w:szCs w:val="16"/>
        </w:rPr>
        <w:t>а) 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499355E1" w14:textId="77777777" w:rsidR="00E76DA3" w:rsidRPr="00507A31" w:rsidRDefault="00E76DA3" w:rsidP="00507A31">
      <w:pPr>
        <w:jc w:val="both"/>
        <w:rPr>
          <w:color w:val="000000" w:themeColor="text1"/>
          <w:sz w:val="16"/>
          <w:szCs w:val="16"/>
        </w:rPr>
      </w:pPr>
      <w:r w:rsidRPr="00507A31">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345279EC" w14:textId="77777777" w:rsidR="00E76DA3" w:rsidRPr="00507A31" w:rsidRDefault="00E76DA3" w:rsidP="00507A31">
      <w:pPr>
        <w:jc w:val="both"/>
        <w:rPr>
          <w:color w:val="000000" w:themeColor="text1"/>
          <w:sz w:val="16"/>
          <w:szCs w:val="16"/>
        </w:rPr>
      </w:pPr>
      <w:r w:rsidRPr="00507A31">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 СТО.</w:t>
      </w:r>
    </w:p>
    <w:p w14:paraId="5B1C1CC3" w14:textId="77777777" w:rsidR="00E76DA3" w:rsidRPr="00507A31" w:rsidRDefault="00E76DA3" w:rsidP="00507A31">
      <w:pPr>
        <w:jc w:val="both"/>
        <w:rPr>
          <w:color w:val="000000" w:themeColor="text1"/>
          <w:sz w:val="16"/>
          <w:szCs w:val="16"/>
        </w:rPr>
      </w:pPr>
      <w:r w:rsidRPr="00507A31">
        <w:rPr>
          <w:color w:val="000000" w:themeColor="text1"/>
          <w:sz w:val="16"/>
          <w:szCs w:val="16"/>
        </w:rPr>
        <w:t>3. В целях скорейшего оздоровления авиапромышленности и обеспечения строительства военно-воздушного флота, признать необходимым:</w:t>
      </w:r>
    </w:p>
    <w:p w14:paraId="6088505C" w14:textId="77777777" w:rsidR="00E76DA3" w:rsidRPr="00507A31" w:rsidRDefault="00E76DA3" w:rsidP="00507A31">
      <w:pPr>
        <w:jc w:val="both"/>
        <w:rPr>
          <w:color w:val="000000" w:themeColor="text1"/>
          <w:sz w:val="16"/>
          <w:szCs w:val="16"/>
        </w:rPr>
      </w:pPr>
      <w:r w:rsidRPr="00507A31">
        <w:rPr>
          <w:color w:val="000000" w:themeColor="text1"/>
          <w:sz w:val="16"/>
          <w:szCs w:val="16"/>
        </w:rPr>
        <w:t>а) в 2-х месячный срок произвести поголовную проверку и чистку всего личного состава как служащих, так и рабочих промышленности; проведение этого возложить на комиссии — в центре — в составе представителей ВСНХ, ВЦСПС, ЦК ВКП(б), и ОГПУ, под председательством представителя НК РКИ (т. Павлуновского), а на предприятиях —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687FCC5C" w14:textId="77777777" w:rsidR="00E76DA3" w:rsidRPr="00507A31" w:rsidRDefault="00E76DA3" w:rsidP="00507A31">
      <w:pPr>
        <w:jc w:val="both"/>
        <w:rPr>
          <w:color w:val="000000" w:themeColor="text1"/>
          <w:sz w:val="16"/>
          <w:szCs w:val="16"/>
        </w:rPr>
      </w:pPr>
      <w:r w:rsidRPr="00507A31">
        <w:rPr>
          <w:color w:val="000000" w:themeColor="text1"/>
          <w:sz w:val="16"/>
          <w:szCs w:val="16"/>
        </w:rPr>
        <w:t>б) прекратить переброски по партийным, советским и профессиональным мобилизациям квалифицированных работников,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распоряжения ЦК ВКП(б);</w:t>
      </w:r>
    </w:p>
    <w:p w14:paraId="09CFD7B1" w14:textId="77777777" w:rsidR="00E76DA3" w:rsidRPr="00507A31" w:rsidRDefault="00E76DA3" w:rsidP="00507A31">
      <w:pPr>
        <w:jc w:val="both"/>
        <w:rPr>
          <w:color w:val="000000" w:themeColor="text1"/>
          <w:sz w:val="16"/>
          <w:szCs w:val="16"/>
        </w:rPr>
      </w:pPr>
      <w:r w:rsidRPr="00507A31">
        <w:rPr>
          <w:color w:val="000000" w:themeColor="text1"/>
          <w:sz w:val="16"/>
          <w:szCs w:val="16"/>
        </w:rPr>
        <w:t>в) в 1930 г. провести проверочную мобилизацию двух моторостроительных заводов;</w:t>
      </w:r>
    </w:p>
    <w:p w14:paraId="059254DB" w14:textId="77777777" w:rsidR="00E76DA3" w:rsidRPr="00507A31" w:rsidRDefault="00E76DA3" w:rsidP="00507A31">
      <w:pPr>
        <w:jc w:val="both"/>
        <w:rPr>
          <w:color w:val="000000" w:themeColor="text1"/>
          <w:sz w:val="16"/>
          <w:szCs w:val="16"/>
        </w:rPr>
      </w:pPr>
      <w:r w:rsidRPr="00507A31">
        <w:rPr>
          <w:color w:val="000000" w:themeColor="text1"/>
          <w:sz w:val="16"/>
          <w:szCs w:val="16"/>
        </w:rPr>
        <w:t>г) 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59CE07D6" w14:textId="77777777" w:rsidR="00E76DA3" w:rsidRPr="00507A31" w:rsidRDefault="00E76DA3" w:rsidP="00507A31">
      <w:pPr>
        <w:jc w:val="both"/>
        <w:rPr>
          <w:color w:val="000000" w:themeColor="text1"/>
          <w:sz w:val="16"/>
          <w:szCs w:val="16"/>
        </w:rPr>
      </w:pPr>
      <w:r w:rsidRPr="00507A31">
        <w:rPr>
          <w:color w:val="000000" w:themeColor="text1"/>
          <w:sz w:val="16"/>
          <w:szCs w:val="16"/>
        </w:rPr>
        <w:t>4. Обязать РЗ СТО:</w:t>
      </w:r>
    </w:p>
    <w:p w14:paraId="500F7203" w14:textId="77777777" w:rsidR="00E76DA3" w:rsidRPr="00507A31" w:rsidRDefault="00E76DA3" w:rsidP="00507A31">
      <w:pPr>
        <w:jc w:val="both"/>
        <w:rPr>
          <w:color w:val="000000" w:themeColor="text1"/>
          <w:sz w:val="16"/>
          <w:szCs w:val="16"/>
        </w:rPr>
      </w:pPr>
      <w:r w:rsidRPr="00507A31">
        <w:rPr>
          <w:color w:val="000000" w:themeColor="text1"/>
          <w:sz w:val="16"/>
          <w:szCs w:val="16"/>
        </w:rPr>
        <w:t>а) обеспечить успешное выполнение всех мероприятий но оздоровлению и развитию авиапромышленности и воздушного флота в ударном порядке;</w:t>
      </w:r>
    </w:p>
    <w:p w14:paraId="7B95ABB0" w14:textId="77777777" w:rsidR="00E76DA3" w:rsidRPr="00507A31" w:rsidRDefault="00E76DA3" w:rsidP="00507A31">
      <w:pPr>
        <w:jc w:val="both"/>
        <w:rPr>
          <w:color w:val="000000" w:themeColor="text1"/>
          <w:sz w:val="16"/>
          <w:szCs w:val="16"/>
        </w:rPr>
      </w:pPr>
      <w:r w:rsidRPr="00507A31">
        <w:rPr>
          <w:color w:val="000000" w:themeColor="text1"/>
          <w:sz w:val="16"/>
          <w:szCs w:val="16"/>
        </w:rPr>
        <w:t>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со сторона НК РКИ и НКВМ;</w:t>
      </w:r>
    </w:p>
    <w:p w14:paraId="37E86D88" w14:textId="77777777" w:rsidR="00E76DA3" w:rsidRPr="00507A31" w:rsidRDefault="00E76DA3" w:rsidP="00507A31">
      <w:pPr>
        <w:jc w:val="both"/>
        <w:rPr>
          <w:color w:val="000000" w:themeColor="text1"/>
          <w:sz w:val="16"/>
          <w:szCs w:val="16"/>
        </w:rPr>
      </w:pPr>
      <w:r w:rsidRPr="00507A31">
        <w:rPr>
          <w:color w:val="000000" w:themeColor="text1"/>
          <w:sz w:val="16"/>
          <w:szCs w:val="16"/>
        </w:rPr>
        <w:t>в) через 6 месяцев доложить Политбюро о достигнутых результатах и необходимых мероприятиях для дальнейшего улучшения состояния авиапромышленности.</w:t>
      </w:r>
    </w:p>
    <w:p w14:paraId="6ABED824" w14:textId="77777777" w:rsidR="00E76DA3" w:rsidRPr="00507A31" w:rsidRDefault="00E76DA3" w:rsidP="00507A31">
      <w:pPr>
        <w:jc w:val="both"/>
        <w:rPr>
          <w:color w:val="000000" w:themeColor="text1"/>
          <w:sz w:val="16"/>
          <w:szCs w:val="16"/>
        </w:rPr>
      </w:pPr>
      <w:r w:rsidRPr="00507A31">
        <w:rPr>
          <w:color w:val="000000" w:themeColor="text1"/>
          <w:sz w:val="16"/>
          <w:szCs w:val="16"/>
        </w:rPr>
        <w:t>5. Обязать т. Рыкова лично разрешать текущие вопросы по авиапромышленности, выходящие за проделы компетенции ВСНХ и препятствующие нормальному ходу работы.</w:t>
      </w:r>
    </w:p>
    <w:p w14:paraId="3676BFD6" w14:textId="77777777" w:rsidR="00E76DA3" w:rsidRPr="00507A31" w:rsidRDefault="00E76DA3" w:rsidP="00507A31">
      <w:pPr>
        <w:jc w:val="both"/>
        <w:rPr>
          <w:color w:val="000000" w:themeColor="text1"/>
          <w:sz w:val="16"/>
          <w:szCs w:val="16"/>
        </w:rPr>
      </w:pPr>
      <w:r w:rsidRPr="00507A31">
        <w:rPr>
          <w:color w:val="000000" w:themeColor="text1"/>
          <w:sz w:val="16"/>
          <w:szCs w:val="16"/>
        </w:rPr>
        <w:t>6. Принять к сведению постановление РЗ СТО от 16.Х.29 г. и 30.I.30 г., предусматривающие осуществление практических мероприятий по авиапромышленности и воздушному флоту.</w:t>
      </w:r>
    </w:p>
    <w:p w14:paraId="04AA37A8" w14:textId="77777777" w:rsidR="00E76DA3" w:rsidRPr="00507A31" w:rsidRDefault="00E76DA3" w:rsidP="00507A31">
      <w:pPr>
        <w:jc w:val="both"/>
        <w:rPr>
          <w:color w:val="000000" w:themeColor="text1"/>
          <w:sz w:val="16"/>
          <w:szCs w:val="16"/>
        </w:rPr>
      </w:pPr>
      <w:r w:rsidRPr="00507A31">
        <w:rPr>
          <w:color w:val="000000" w:themeColor="text1"/>
          <w:sz w:val="16"/>
          <w:szCs w:val="16"/>
        </w:rPr>
        <w:t>7. 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1125E361" w14:textId="77777777" w:rsidR="00E76DA3" w:rsidRPr="00507A31" w:rsidRDefault="00E76DA3" w:rsidP="00507A31">
      <w:pPr>
        <w:jc w:val="both"/>
        <w:rPr>
          <w:color w:val="000000" w:themeColor="text1"/>
          <w:sz w:val="16"/>
          <w:szCs w:val="16"/>
        </w:rPr>
      </w:pPr>
      <w:r w:rsidRPr="00507A31">
        <w:rPr>
          <w:color w:val="000000" w:themeColor="text1"/>
          <w:sz w:val="16"/>
          <w:szCs w:val="16"/>
        </w:rPr>
        <w:t>Предоставить НКВМору право контроля наблюдения за выполнением заказов на самолеты и моторы, особенно в части изготовления новых образцов.</w:t>
      </w:r>
    </w:p>
    <w:p w14:paraId="7590AE51" w14:textId="77777777" w:rsidR="00E76DA3" w:rsidRPr="00507A31" w:rsidRDefault="00E76DA3" w:rsidP="00507A31">
      <w:pPr>
        <w:jc w:val="both"/>
        <w:rPr>
          <w:color w:val="000000" w:themeColor="text1"/>
          <w:sz w:val="16"/>
          <w:szCs w:val="16"/>
        </w:rPr>
      </w:pPr>
      <w:r w:rsidRPr="00507A31">
        <w:rPr>
          <w:color w:val="000000" w:themeColor="text1"/>
          <w:sz w:val="16"/>
          <w:szCs w:val="16"/>
        </w:rPr>
        <w:t>8. Принять к сведению заявление т. Ворошилова, что предложение НК 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4A7C4E77" w14:textId="77777777" w:rsidR="00E76DA3" w:rsidRPr="00507A31" w:rsidRDefault="00E76DA3" w:rsidP="00507A31">
      <w:pPr>
        <w:jc w:val="both"/>
        <w:rPr>
          <w:color w:val="000000" w:themeColor="text1"/>
          <w:sz w:val="16"/>
          <w:szCs w:val="16"/>
        </w:rPr>
      </w:pPr>
      <w:r w:rsidRPr="00507A31">
        <w:rPr>
          <w:color w:val="000000" w:themeColor="text1"/>
          <w:sz w:val="16"/>
          <w:szCs w:val="16"/>
        </w:rPr>
        <w:t>9. НКВМ и ВСНХ не позже 1 апреля 1930 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507A31">
        <w:rPr>
          <w:color w:val="000000" w:themeColor="text1"/>
          <w:sz w:val="16"/>
          <w:szCs w:val="16"/>
        </w:rPr>
        <w:noBreakHyphen/>
        <w:t>8 месяцев.</w:t>
      </w:r>
    </w:p>
    <w:p w14:paraId="1DDAFA95" w14:textId="77777777" w:rsidR="00E76DA3" w:rsidRPr="00507A31" w:rsidRDefault="00E76DA3" w:rsidP="00507A31">
      <w:pPr>
        <w:jc w:val="both"/>
        <w:rPr>
          <w:color w:val="000000" w:themeColor="text1"/>
          <w:sz w:val="16"/>
          <w:szCs w:val="16"/>
        </w:rPr>
      </w:pPr>
      <w:r w:rsidRPr="00507A31">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74CBE750" w14:textId="77777777" w:rsidR="00E76DA3" w:rsidRPr="00507A31" w:rsidRDefault="00E76DA3" w:rsidP="00507A31">
      <w:pPr>
        <w:jc w:val="both"/>
        <w:rPr>
          <w:color w:val="000000" w:themeColor="text1"/>
          <w:sz w:val="16"/>
          <w:szCs w:val="16"/>
        </w:rPr>
      </w:pPr>
      <w:r w:rsidRPr="00507A31">
        <w:rPr>
          <w:color w:val="000000" w:themeColor="text1"/>
          <w:sz w:val="16"/>
          <w:szCs w:val="16"/>
        </w:rPr>
        <w:t>11. В целях максимального сокращения сроков мобилизационного развертывания авиазаводов, обязать ВСНХ в месячный срок представить в РЗ СТО план загрузки авиазаводов другими видами продукции, помимо военных заказов —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4D75E950" w14:textId="77777777" w:rsidR="00E76DA3" w:rsidRPr="00507A31" w:rsidRDefault="00E76DA3" w:rsidP="00507A31">
      <w:pPr>
        <w:jc w:val="both"/>
        <w:rPr>
          <w:color w:val="000000" w:themeColor="text1"/>
          <w:sz w:val="16"/>
          <w:szCs w:val="16"/>
        </w:rPr>
      </w:pPr>
      <w:r w:rsidRPr="00507A31">
        <w:rPr>
          <w:color w:val="000000" w:themeColor="text1"/>
          <w:sz w:val="16"/>
          <w:szCs w:val="16"/>
        </w:rPr>
        <w:t>12. 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3F8488A4" w14:textId="77777777" w:rsidR="00E76DA3" w:rsidRPr="00507A31" w:rsidRDefault="00E76DA3" w:rsidP="00507A31">
      <w:pPr>
        <w:jc w:val="both"/>
        <w:rPr>
          <w:color w:val="000000" w:themeColor="text1"/>
          <w:sz w:val="16"/>
          <w:szCs w:val="16"/>
        </w:rPr>
      </w:pPr>
      <w:r w:rsidRPr="00507A31">
        <w:rPr>
          <w:color w:val="000000" w:themeColor="text1"/>
          <w:sz w:val="16"/>
          <w:szCs w:val="16"/>
        </w:rPr>
        <w:t>Помимо этого, в срочном порядке привлечь из-заграницы нескольких крупных конструкторов, инженеров и мастеров.</w:t>
      </w:r>
    </w:p>
    <w:p w14:paraId="5A7AC89A" w14:textId="77777777" w:rsidR="00E76DA3" w:rsidRPr="00507A31" w:rsidRDefault="00E76DA3" w:rsidP="00507A31">
      <w:pPr>
        <w:jc w:val="both"/>
        <w:rPr>
          <w:color w:val="000000" w:themeColor="text1"/>
          <w:sz w:val="16"/>
          <w:szCs w:val="16"/>
        </w:rPr>
      </w:pPr>
      <w:r w:rsidRPr="00507A31">
        <w:rPr>
          <w:color w:val="000000" w:themeColor="text1"/>
          <w:sz w:val="16"/>
          <w:szCs w:val="16"/>
        </w:rPr>
        <w:t>13. Поручить ВСНХ и НКВМ в двухмесячный срок закупить заграницей несколько типов новейших моторов для установки их производства на наших заводах.</w:t>
      </w:r>
    </w:p>
    <w:p w14:paraId="336EB1A9" w14:textId="77777777" w:rsidR="00E76DA3" w:rsidRPr="00507A31" w:rsidRDefault="00E76DA3" w:rsidP="00507A31">
      <w:pPr>
        <w:jc w:val="both"/>
        <w:rPr>
          <w:color w:val="000000" w:themeColor="text1"/>
          <w:sz w:val="16"/>
          <w:szCs w:val="16"/>
        </w:rPr>
      </w:pPr>
      <w:r w:rsidRPr="00507A31">
        <w:rPr>
          <w:color w:val="000000" w:themeColor="text1"/>
          <w:sz w:val="16"/>
          <w:szCs w:val="16"/>
        </w:rPr>
        <w:t>14. Обязать ВСНХ и НКВМ через четыре месяца представить в ПБ доклад о принятых мерах и достигнутых результатах (18326).</w:t>
      </w:r>
    </w:p>
    <w:p w14:paraId="38A26195" w14:textId="77777777" w:rsidR="00E76DA3" w:rsidRPr="00507A31" w:rsidRDefault="00E76DA3" w:rsidP="00507A31">
      <w:pPr>
        <w:jc w:val="both"/>
        <w:rPr>
          <w:color w:val="000000" w:themeColor="text1"/>
          <w:sz w:val="16"/>
          <w:szCs w:val="16"/>
        </w:rPr>
      </w:pPr>
    </w:p>
    <w:p w14:paraId="36C157A1" w14:textId="77777777" w:rsidR="006469F6" w:rsidRPr="00507A31" w:rsidRDefault="006469F6" w:rsidP="00507A31">
      <w:pPr>
        <w:pStyle w:val="article-renderblock"/>
        <w:shd w:val="clear" w:color="auto" w:fill="FFFFFF"/>
        <w:spacing w:before="0" w:beforeAutospacing="0" w:after="0" w:afterAutospacing="0"/>
        <w:jc w:val="both"/>
        <w:rPr>
          <w:color w:val="0070C0"/>
          <w:sz w:val="16"/>
          <w:szCs w:val="16"/>
        </w:rPr>
      </w:pPr>
      <w:r w:rsidRPr="00507A31">
        <w:rPr>
          <w:color w:val="0070C0"/>
          <w:sz w:val="16"/>
          <w:szCs w:val="16"/>
        </w:rPr>
        <w:lastRenderedPageBreak/>
        <w:t>5 марта 1930 года, именно тогда, как секретарь совещания, впервые присутствовал Гинзбург состоялось рассмотрение проекта Т-19. Гинзбург участвовал не как конструктор Т-19, а в качестве одного из представителей УММ КА. Судя по переписке, изначально Т-19 имел ходовую часть по типу Т-18. Также следует отметить, что УММ КА требовало проработать вариант спаренной установки 37-мм пушки и пулемета ДТ, это также подсмотрели у немцев (20842).</w:t>
      </w:r>
    </w:p>
    <w:p w14:paraId="324B9C86" w14:textId="77777777" w:rsidR="006469F6" w:rsidRPr="00507A31" w:rsidRDefault="006469F6" w:rsidP="00507A31">
      <w:pPr>
        <w:pStyle w:val="article-renderblock"/>
        <w:shd w:val="clear" w:color="auto" w:fill="FFFFFF"/>
        <w:spacing w:before="0" w:beforeAutospacing="0" w:after="0" w:afterAutospacing="0"/>
        <w:jc w:val="both"/>
        <w:rPr>
          <w:color w:val="0070C0"/>
          <w:sz w:val="16"/>
          <w:szCs w:val="16"/>
        </w:rPr>
      </w:pPr>
    </w:p>
    <w:p w14:paraId="19C07CC6" w14:textId="77777777" w:rsidR="006469F6" w:rsidRPr="00507A31" w:rsidRDefault="006469F6" w:rsidP="00507A31">
      <w:pPr>
        <w:jc w:val="both"/>
        <w:rPr>
          <w:color w:val="0070C0"/>
          <w:sz w:val="16"/>
          <w:szCs w:val="16"/>
        </w:rPr>
      </w:pPr>
      <w:r w:rsidRPr="00507A31">
        <w:rPr>
          <w:color w:val="0070C0"/>
          <w:sz w:val="16"/>
          <w:szCs w:val="16"/>
        </w:rPr>
        <w:t>5 марта 1930 решением Прези</w:t>
      </w:r>
      <w:r w:rsidRPr="00507A31">
        <w:rPr>
          <w:color w:val="0070C0"/>
          <w:sz w:val="16"/>
          <w:szCs w:val="16"/>
        </w:rPr>
        <w:softHyphen/>
        <w:t>диума ВСНХ тракторный отдел Всесоюзного института сельскохо</w:t>
      </w:r>
      <w:r w:rsidRPr="00507A31">
        <w:rPr>
          <w:color w:val="0070C0"/>
          <w:sz w:val="16"/>
          <w:szCs w:val="16"/>
        </w:rPr>
        <w:softHyphen/>
        <w:t>зяйственной механики (ВИСХОМ) и газогенераторная лаборатория Института древесины и орглеса переводятся в НАМИ. 25 марта в институте из подотдела создается газогенераторный отдел. Авиационный отдел НАМИ предполагали раз</w:t>
      </w:r>
      <w:r w:rsidRPr="00507A31">
        <w:rPr>
          <w:color w:val="0070C0"/>
          <w:sz w:val="16"/>
          <w:szCs w:val="16"/>
        </w:rPr>
        <w:softHyphen/>
        <w:t>местить вместе с Винтомоторным отделом ЦАГИ в помещении бывшей кирхи в Немецкой слободе (на нынешней ул. Радио) (22518).</w:t>
      </w:r>
    </w:p>
    <w:p w14:paraId="087F8556" w14:textId="77777777" w:rsidR="006469F6" w:rsidRPr="00507A31" w:rsidRDefault="006469F6" w:rsidP="00507A31">
      <w:pPr>
        <w:jc w:val="both"/>
        <w:rPr>
          <w:color w:val="0070C0"/>
          <w:sz w:val="16"/>
          <w:szCs w:val="16"/>
        </w:rPr>
      </w:pPr>
    </w:p>
    <w:p w14:paraId="48866C04" w14:textId="77777777" w:rsidR="00442680"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7EABBF4" w14:textId="77777777" w:rsidR="00442680" w:rsidRPr="00507A31" w:rsidRDefault="00442680" w:rsidP="00507A31">
      <w:pPr>
        <w:autoSpaceDE w:val="0"/>
        <w:autoSpaceDN w:val="0"/>
        <w:adjustRightInd w:val="0"/>
        <w:jc w:val="both"/>
        <w:rPr>
          <w:iCs/>
          <w:color w:val="000000" w:themeColor="text1"/>
          <w:sz w:val="16"/>
          <w:szCs w:val="16"/>
        </w:rPr>
      </w:pPr>
    </w:p>
    <w:p w14:paraId="33396C10" w14:textId="77777777" w:rsidR="00442680" w:rsidRPr="00507A31" w:rsidRDefault="00442680" w:rsidP="00507A31">
      <w:pPr>
        <w:jc w:val="both"/>
        <w:rPr>
          <w:color w:val="000000" w:themeColor="text1"/>
          <w:sz w:val="16"/>
          <w:szCs w:val="16"/>
          <w:u w:color="002060"/>
        </w:rPr>
      </w:pPr>
      <w:r w:rsidRPr="00507A31">
        <w:rPr>
          <w:color w:val="000000" w:themeColor="text1"/>
          <w:sz w:val="16"/>
          <w:szCs w:val="16"/>
          <w:u w:color="002060"/>
        </w:rPr>
        <w:t>5 марта</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119. 2. Сообщение Рыкова (ПБ от 25 января 1930 г., пр. № 115, п. 2) (Рыков, Ворошилов, Урываев, Михайлов, Уншлихт, Павлуновский, Постников, Королев, Малахов, Десятников, Мартинович, Дубенский, Алкснис) [об авиапромышленности]. — ОП. 21. О мобфондах (ПБ от 25 февраля 1930 г., пр. № 118, п. 3). Решения ПБ от 28 февраля 1930 г. 39. О руководителях объединенной военной промышленности (Куйбышев, Рухимович). (Политбюро... Т. 2. С. 24, 25) (12416).</w:t>
      </w:r>
    </w:p>
    <w:p w14:paraId="3CF37548" w14:textId="77777777" w:rsidR="00442680" w:rsidRPr="00507A31" w:rsidRDefault="00442680" w:rsidP="00507A31">
      <w:pPr>
        <w:jc w:val="both"/>
        <w:rPr>
          <w:color w:val="000000" w:themeColor="text1"/>
          <w:sz w:val="16"/>
          <w:szCs w:val="16"/>
          <w:u w:color="002060"/>
        </w:rPr>
      </w:pPr>
    </w:p>
    <w:p w14:paraId="62E73255" w14:textId="77777777" w:rsidR="00947D0E" w:rsidRPr="00507A31" w:rsidRDefault="00947D0E" w:rsidP="00507A31">
      <w:pPr>
        <w:jc w:val="both"/>
        <w:rPr>
          <w:color w:val="000000" w:themeColor="text1"/>
          <w:sz w:val="16"/>
          <w:szCs w:val="16"/>
        </w:rPr>
      </w:pPr>
      <w:r w:rsidRPr="00507A31">
        <w:rPr>
          <w:color w:val="000000" w:themeColor="text1"/>
          <w:sz w:val="16"/>
          <w:szCs w:val="16"/>
        </w:rPr>
        <w:t>5 марта 1930</w:t>
      </w:r>
    </w:p>
    <w:p w14:paraId="5A82C54A" w14:textId="77777777" w:rsidR="00947D0E" w:rsidRPr="00507A31" w:rsidRDefault="00947D0E" w:rsidP="00507A31">
      <w:pPr>
        <w:jc w:val="both"/>
        <w:rPr>
          <w:color w:val="000000" w:themeColor="text1"/>
          <w:sz w:val="16"/>
          <w:szCs w:val="16"/>
        </w:rPr>
      </w:pPr>
      <w:r w:rsidRPr="00507A31">
        <w:rPr>
          <w:color w:val="000000" w:themeColor="text1"/>
          <w:sz w:val="16"/>
          <w:szCs w:val="16"/>
        </w:rPr>
        <w:t>Источник: </w:t>
      </w:r>
    </w:p>
    <w:p w14:paraId="65D77CA0" w14:textId="77777777" w:rsidR="00947D0E" w:rsidRPr="00507A31" w:rsidRDefault="00947D0E" w:rsidP="00507A31">
      <w:pPr>
        <w:jc w:val="both"/>
        <w:rPr>
          <w:color w:val="000000" w:themeColor="text1"/>
          <w:sz w:val="16"/>
          <w:szCs w:val="16"/>
        </w:rPr>
      </w:pPr>
      <w:r w:rsidRPr="00507A31">
        <w:rPr>
          <w:color w:val="000000" w:themeColor="text1"/>
          <w:sz w:val="16"/>
          <w:szCs w:val="16"/>
        </w:rPr>
        <w:t>http://sovdoc.rusarchives.ru</w:t>
      </w:r>
    </w:p>
    <w:p w14:paraId="16D4F0AD" w14:textId="77777777" w:rsidR="00947D0E" w:rsidRPr="00507A31" w:rsidRDefault="00947D0E" w:rsidP="00507A31">
      <w:pPr>
        <w:jc w:val="both"/>
        <w:rPr>
          <w:color w:val="000000" w:themeColor="text1"/>
          <w:sz w:val="16"/>
          <w:szCs w:val="16"/>
        </w:rPr>
      </w:pPr>
      <w:r w:rsidRPr="00507A31">
        <w:rPr>
          <w:color w:val="000000" w:themeColor="text1"/>
          <w:sz w:val="16"/>
          <w:szCs w:val="16"/>
        </w:rPr>
        <w:t>Архив: </w:t>
      </w:r>
    </w:p>
    <w:p w14:paraId="0221DB91" w14:textId="77777777" w:rsidR="00947D0E" w:rsidRPr="00507A31" w:rsidRDefault="00947D0E" w:rsidP="00507A31">
      <w:pPr>
        <w:jc w:val="both"/>
        <w:rPr>
          <w:color w:val="000000" w:themeColor="text1"/>
          <w:sz w:val="16"/>
          <w:szCs w:val="16"/>
        </w:rPr>
      </w:pPr>
      <w:r w:rsidRPr="00507A31">
        <w:rPr>
          <w:color w:val="000000" w:themeColor="text1"/>
          <w:sz w:val="16"/>
          <w:szCs w:val="16"/>
        </w:rPr>
        <w:t>РГАСПИ. Ф. 17. Оп. 3. Д. 778. Л. 11-12.</w:t>
      </w:r>
    </w:p>
    <w:p w14:paraId="67F0FE6C" w14:textId="77777777" w:rsidR="00947D0E" w:rsidRPr="00507A31" w:rsidRDefault="00947D0E" w:rsidP="00507A31">
      <w:pPr>
        <w:jc w:val="both"/>
        <w:rPr>
          <w:color w:val="000000" w:themeColor="text1"/>
          <w:sz w:val="16"/>
          <w:szCs w:val="16"/>
        </w:rPr>
      </w:pPr>
      <w:r w:rsidRPr="00507A31">
        <w:rPr>
          <w:color w:val="000000" w:themeColor="text1"/>
          <w:sz w:val="16"/>
          <w:szCs w:val="16"/>
        </w:rPr>
        <w:t>Приложение № 1</w:t>
      </w:r>
    </w:p>
    <w:p w14:paraId="235D70A5" w14:textId="77777777" w:rsidR="00947D0E" w:rsidRPr="00507A31" w:rsidRDefault="00947D0E" w:rsidP="00507A31">
      <w:pPr>
        <w:jc w:val="both"/>
        <w:rPr>
          <w:color w:val="000000" w:themeColor="text1"/>
          <w:sz w:val="16"/>
          <w:szCs w:val="16"/>
        </w:rPr>
      </w:pPr>
      <w:r w:rsidRPr="00507A31">
        <w:rPr>
          <w:color w:val="000000" w:themeColor="text1"/>
          <w:sz w:val="16"/>
          <w:szCs w:val="16"/>
        </w:rPr>
        <w:t>к п. 18 пр. ПБ № 119.</w:t>
      </w:r>
    </w:p>
    <w:p w14:paraId="52B73AA3" w14:textId="77777777" w:rsidR="00947D0E" w:rsidRPr="00507A31" w:rsidRDefault="00947D0E" w:rsidP="00507A31">
      <w:pPr>
        <w:jc w:val="both"/>
        <w:rPr>
          <w:color w:val="000000" w:themeColor="text1"/>
          <w:sz w:val="16"/>
          <w:szCs w:val="16"/>
        </w:rPr>
      </w:pPr>
      <w:r w:rsidRPr="00507A31">
        <w:rPr>
          <w:color w:val="000000" w:themeColor="text1"/>
          <w:sz w:val="16"/>
          <w:szCs w:val="16"/>
        </w:rPr>
        <w:t>О передаче вузов, втузов и техникумов в ведение соответствующих наркоматов.</w:t>
      </w:r>
    </w:p>
    <w:p w14:paraId="5A51711B" w14:textId="77777777" w:rsidR="00947D0E" w:rsidRPr="00507A31" w:rsidRDefault="00947D0E" w:rsidP="00507A31">
      <w:pPr>
        <w:jc w:val="both"/>
        <w:rPr>
          <w:color w:val="000000" w:themeColor="text1"/>
          <w:sz w:val="16"/>
          <w:szCs w:val="16"/>
        </w:rPr>
      </w:pPr>
      <w:r w:rsidRPr="00507A31">
        <w:rPr>
          <w:color w:val="000000" w:themeColor="text1"/>
          <w:sz w:val="16"/>
          <w:szCs w:val="16"/>
        </w:rPr>
        <w:t>(Утверждено Политбюро ЦК ВКП(б) 5.III.1930 года).</w:t>
      </w:r>
    </w:p>
    <w:p w14:paraId="016CF640" w14:textId="77777777" w:rsidR="00947D0E" w:rsidRPr="00507A31" w:rsidRDefault="00947D0E" w:rsidP="00507A31">
      <w:pPr>
        <w:jc w:val="both"/>
        <w:rPr>
          <w:color w:val="000000" w:themeColor="text1"/>
          <w:sz w:val="16"/>
          <w:szCs w:val="16"/>
        </w:rPr>
      </w:pPr>
      <w:r w:rsidRPr="00507A31">
        <w:rPr>
          <w:color w:val="000000" w:themeColor="text1"/>
          <w:sz w:val="16"/>
          <w:szCs w:val="16"/>
        </w:rPr>
        <w:t>1. В развитие решений июльского и ноябрьского пленумов ЦК о кадрах народного хозяйства признать необходимым передать полностью все втузы, вузы и техникумы в ведение соответствующих наркоматов:</w:t>
      </w:r>
    </w:p>
    <w:p w14:paraId="4C2F95C5" w14:textId="77777777" w:rsidR="00947D0E" w:rsidRPr="00507A31" w:rsidRDefault="00947D0E" w:rsidP="00507A31">
      <w:pPr>
        <w:jc w:val="both"/>
        <w:rPr>
          <w:color w:val="000000" w:themeColor="text1"/>
          <w:sz w:val="16"/>
          <w:szCs w:val="16"/>
        </w:rPr>
      </w:pPr>
      <w:r w:rsidRPr="00507A31">
        <w:rPr>
          <w:color w:val="000000" w:themeColor="text1"/>
          <w:sz w:val="16"/>
          <w:szCs w:val="16"/>
        </w:rPr>
        <w:t>в) втузы, индустриальные техникумы и технические факультеты вузов — в ведение ВСНХ СССР, а через него СНК союзных республик, их местных органов и хозяйственных объединений;</w:t>
      </w:r>
    </w:p>
    <w:p w14:paraId="589179F6" w14:textId="77777777" w:rsidR="00947D0E" w:rsidRPr="00507A31" w:rsidRDefault="00947D0E" w:rsidP="00507A31">
      <w:pPr>
        <w:jc w:val="both"/>
        <w:rPr>
          <w:color w:val="000000" w:themeColor="text1"/>
          <w:sz w:val="16"/>
          <w:szCs w:val="16"/>
        </w:rPr>
      </w:pPr>
      <w:r w:rsidRPr="00507A31">
        <w:rPr>
          <w:color w:val="000000" w:themeColor="text1"/>
          <w:sz w:val="16"/>
          <w:szCs w:val="16"/>
        </w:rPr>
        <w:t>б) сельскохозяйственные вузы и техникумы — в ведение Наркомзема СССР, наркомземов союзных республик, их местных органов и сельскохозяйственных объединений;</w:t>
      </w:r>
    </w:p>
    <w:p w14:paraId="6000BE0A" w14:textId="77777777" w:rsidR="00947D0E" w:rsidRPr="00507A31" w:rsidRDefault="00947D0E" w:rsidP="00507A31">
      <w:pPr>
        <w:jc w:val="both"/>
        <w:rPr>
          <w:color w:val="000000" w:themeColor="text1"/>
          <w:sz w:val="16"/>
          <w:szCs w:val="16"/>
        </w:rPr>
      </w:pPr>
      <w:r w:rsidRPr="00507A31">
        <w:rPr>
          <w:color w:val="000000" w:themeColor="text1"/>
          <w:sz w:val="16"/>
          <w:szCs w:val="16"/>
        </w:rPr>
        <w:t>в) медицинские институты и медицинские факультеты университетов — в ведение наркомздравов союзных республик;</w:t>
      </w:r>
    </w:p>
    <w:p w14:paraId="17876026" w14:textId="77777777" w:rsidR="00947D0E" w:rsidRPr="00507A31" w:rsidRDefault="00947D0E" w:rsidP="00507A31">
      <w:pPr>
        <w:jc w:val="both"/>
        <w:rPr>
          <w:color w:val="000000" w:themeColor="text1"/>
          <w:sz w:val="16"/>
          <w:szCs w:val="16"/>
        </w:rPr>
      </w:pPr>
      <w:r w:rsidRPr="00507A31">
        <w:rPr>
          <w:color w:val="000000" w:themeColor="text1"/>
          <w:sz w:val="16"/>
          <w:szCs w:val="16"/>
        </w:rPr>
        <w:t>г) педагогические вузы, а также физико-математические, географические, метереологические и литературные и т. п. факультеты оставить в ведении наркомпросов союзных республик;</w:t>
      </w:r>
    </w:p>
    <w:p w14:paraId="3F805577" w14:textId="77777777" w:rsidR="00947D0E" w:rsidRPr="00507A31" w:rsidRDefault="00947D0E" w:rsidP="00507A31">
      <w:pPr>
        <w:jc w:val="both"/>
        <w:rPr>
          <w:color w:val="000000" w:themeColor="text1"/>
          <w:sz w:val="16"/>
          <w:szCs w:val="16"/>
        </w:rPr>
      </w:pPr>
      <w:r w:rsidRPr="00507A31">
        <w:rPr>
          <w:color w:val="000000" w:themeColor="text1"/>
          <w:sz w:val="16"/>
          <w:szCs w:val="16"/>
        </w:rPr>
        <w:t>д) факультеты права и советского строительства оставить в ведении НКПроса и поручить СНК разработать вопрос о формах привлечения к руководству ими органов НКЮста;</w:t>
      </w:r>
    </w:p>
    <w:p w14:paraId="395B90E5" w14:textId="77777777" w:rsidR="00947D0E" w:rsidRPr="00507A31" w:rsidRDefault="00947D0E" w:rsidP="00507A31">
      <w:pPr>
        <w:jc w:val="both"/>
        <w:rPr>
          <w:color w:val="000000" w:themeColor="text1"/>
          <w:sz w:val="16"/>
          <w:szCs w:val="16"/>
        </w:rPr>
      </w:pPr>
      <w:r w:rsidRPr="00507A31">
        <w:rPr>
          <w:color w:val="000000" w:themeColor="text1"/>
          <w:sz w:val="16"/>
          <w:szCs w:val="16"/>
        </w:rPr>
        <w:t>е) экономические вузы и факультеты реорганизуются в самостоятельные институты по специальностям (торговля, планирование, финансы и т. д.) с передачей их Наркомторгу, Госплану, Наркомфину и Центросоюзу; Наркомторгу же передается часть индустриальных факультетов и отделения для обслуживания тех отраслей промышленности, которые находятся в ведении Наркомторга. Подготовка экономистов для промышленности, сельского хозяйства и транспорта производится в тех учебных заведениях, которые переданы в ведение ВСНХ, Наркомзема и НКПС.</w:t>
      </w:r>
    </w:p>
    <w:p w14:paraId="08D272CB" w14:textId="77777777" w:rsidR="00947D0E" w:rsidRPr="00507A31" w:rsidRDefault="00947D0E" w:rsidP="00507A31">
      <w:pPr>
        <w:jc w:val="both"/>
        <w:rPr>
          <w:color w:val="000000" w:themeColor="text1"/>
          <w:sz w:val="16"/>
          <w:szCs w:val="16"/>
        </w:rPr>
      </w:pPr>
      <w:r w:rsidRPr="00507A31">
        <w:rPr>
          <w:color w:val="000000" w:themeColor="text1"/>
          <w:sz w:val="16"/>
          <w:szCs w:val="16"/>
        </w:rPr>
        <w:t>2. Те государственные и хозяйственные органы, которые нуждаются в специалистах, выпускаемых вузами, находящихся в распоряжении других органов, бронируют за собою необходимое им количество учащихся в этих учебных заведениях в порядке договора, оплачивая стоимость обучения студентов и персонально контрактуя их.</w:t>
      </w:r>
    </w:p>
    <w:p w14:paraId="0C8A81CF" w14:textId="77777777" w:rsidR="00947D0E" w:rsidRPr="00507A31" w:rsidRDefault="00947D0E" w:rsidP="00507A31">
      <w:pPr>
        <w:jc w:val="both"/>
        <w:rPr>
          <w:color w:val="000000" w:themeColor="text1"/>
          <w:sz w:val="16"/>
          <w:szCs w:val="16"/>
        </w:rPr>
      </w:pPr>
      <w:r w:rsidRPr="00507A31">
        <w:rPr>
          <w:color w:val="000000" w:themeColor="text1"/>
          <w:sz w:val="16"/>
          <w:szCs w:val="16"/>
        </w:rPr>
        <w:t>3. Произвести реорганизацию существующих многофакультетных вузов и втузов в специальные институты, расчленяя как правило, эти вузы и втузы и в необходимых случаях объединяя однородные факультеты разных вузов в единые институты по соответствующим отраслям. Передаваемые в ведение ВСНХ, Наркомзема, Наркомторга и т. п. вузы, втузы, а также отдельные факультеты) и техникумы, реорганизуемые в специальные институты, должны быть прикреплены к отдельным крупнейшим хозяйственным объединениям.</w:t>
      </w:r>
    </w:p>
    <w:p w14:paraId="38A28E2F" w14:textId="77777777" w:rsidR="00947D0E" w:rsidRPr="00507A31" w:rsidRDefault="00947D0E" w:rsidP="00507A31">
      <w:pPr>
        <w:jc w:val="both"/>
        <w:rPr>
          <w:color w:val="000000" w:themeColor="text1"/>
          <w:sz w:val="16"/>
          <w:szCs w:val="16"/>
        </w:rPr>
      </w:pPr>
      <w:r w:rsidRPr="00507A31">
        <w:rPr>
          <w:color w:val="000000" w:themeColor="text1"/>
          <w:sz w:val="16"/>
          <w:szCs w:val="16"/>
        </w:rPr>
        <w:t>4. Поручить Совнаркому СССР не позже чем в течение марта месяце рассмотреть и окончательно утвердить план реорганизации и передачи вузов, втузов и техникумов, причем точно определить срок, порядок и очередность передачи, с тем, чтобы передача была произведена в кратчайший срок и чтобы было обеспечено бесперебойное руководство вузами. Что касается окончательной реорганизации вузов, признать необходимым провести ее постепенно, в несколько очередей. При установлении сроков окончательной реорганизации исходить из особенностей каждого вуза и обеспечения материальной и учебной базы. Совнаркому одновременно разработать вопрос о порядке финансирования вузов и техникумов в связи с передачей их наркоматам, обеспечив полное выполнение принятого плана капитального строительства в текущем году.</w:t>
      </w:r>
    </w:p>
    <w:p w14:paraId="4F356C74" w14:textId="77777777" w:rsidR="00947D0E" w:rsidRPr="00507A31" w:rsidRDefault="00947D0E" w:rsidP="00507A31">
      <w:pPr>
        <w:jc w:val="both"/>
        <w:rPr>
          <w:color w:val="000000" w:themeColor="text1"/>
          <w:sz w:val="16"/>
          <w:szCs w:val="16"/>
        </w:rPr>
      </w:pPr>
      <w:r w:rsidRPr="00507A31">
        <w:rPr>
          <w:color w:val="000000" w:themeColor="text1"/>
          <w:sz w:val="16"/>
          <w:szCs w:val="16"/>
        </w:rPr>
        <w:t>5. Обязать наркомпросы республик, наркоматы, хозобъединения и ректоров вузов принять все необходимые меры для обеспечения бесперебойной учебной работы и темпа выпуска оканчивающих.</w:t>
      </w:r>
    </w:p>
    <w:p w14:paraId="4F8E6DA4" w14:textId="77777777" w:rsidR="00947D0E" w:rsidRPr="00507A31" w:rsidRDefault="00947D0E" w:rsidP="00507A31">
      <w:pPr>
        <w:jc w:val="both"/>
        <w:rPr>
          <w:color w:val="000000" w:themeColor="text1"/>
          <w:sz w:val="16"/>
          <w:szCs w:val="16"/>
        </w:rPr>
      </w:pPr>
      <w:r w:rsidRPr="00507A31">
        <w:rPr>
          <w:color w:val="000000" w:themeColor="text1"/>
          <w:sz w:val="16"/>
          <w:szCs w:val="16"/>
        </w:rPr>
        <w:t>6. Наркоматы и хозяйственные объединения, в ведение коих передаются учебные заведения, должны в первую очередь усилить таковые руководящими работниками-партийцами, научно-техническими и преподавательскими силами.</w:t>
      </w:r>
    </w:p>
    <w:p w14:paraId="2610FBB4" w14:textId="77777777" w:rsidR="00947D0E" w:rsidRPr="00507A31" w:rsidRDefault="00947D0E" w:rsidP="00507A31">
      <w:pPr>
        <w:jc w:val="both"/>
        <w:rPr>
          <w:color w:val="000000" w:themeColor="text1"/>
          <w:sz w:val="16"/>
          <w:szCs w:val="16"/>
        </w:rPr>
      </w:pPr>
      <w:r w:rsidRPr="00507A31">
        <w:rPr>
          <w:color w:val="000000" w:themeColor="text1"/>
          <w:sz w:val="16"/>
          <w:szCs w:val="16"/>
        </w:rPr>
        <w:t>7. Передача вузов и втузов наркоматам и хозобъединениям предполагает безусловное обеспечение программно-методического руководства всеми учебными заведениями со стороны наркомпросов республик. Это программно-методическое руководство должно состоять в утверждении учебных планов, основ учебных программ, установления сроков обучения, утверждении планов научно-исследовательской работы, контроле за научно-исследовательской работой в вузах и подготовкой научных работников, окончательном утверждении профессуры и в участии в подборе руководящего состава и приеме студентов (18048).</w:t>
      </w:r>
    </w:p>
    <w:p w14:paraId="7494FB09" w14:textId="77777777" w:rsidR="00947D0E" w:rsidRPr="00507A31" w:rsidRDefault="00947D0E" w:rsidP="00507A31">
      <w:pPr>
        <w:jc w:val="both"/>
        <w:rPr>
          <w:color w:val="000000" w:themeColor="text1"/>
          <w:sz w:val="16"/>
          <w:szCs w:val="16"/>
        </w:rPr>
      </w:pPr>
    </w:p>
    <w:p w14:paraId="126F6F86" w14:textId="77777777" w:rsidR="00442680"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81626D8" w14:textId="77777777" w:rsidR="00442680" w:rsidRPr="00507A31" w:rsidRDefault="00442680" w:rsidP="00507A31">
      <w:pPr>
        <w:autoSpaceDE w:val="0"/>
        <w:autoSpaceDN w:val="0"/>
        <w:adjustRightInd w:val="0"/>
        <w:jc w:val="both"/>
        <w:rPr>
          <w:iCs/>
          <w:color w:val="000000" w:themeColor="text1"/>
          <w:sz w:val="16"/>
          <w:szCs w:val="16"/>
        </w:rPr>
      </w:pPr>
    </w:p>
    <w:p w14:paraId="64DD0B07" w14:textId="77777777" w:rsidR="00442680" w:rsidRPr="00507A31" w:rsidRDefault="00442680" w:rsidP="00507A31">
      <w:pPr>
        <w:jc w:val="both"/>
        <w:rPr>
          <w:color w:val="000000" w:themeColor="text1"/>
          <w:sz w:val="16"/>
          <w:szCs w:val="16"/>
        </w:rPr>
      </w:pPr>
      <w:r w:rsidRPr="00507A31">
        <w:rPr>
          <w:color w:val="000000" w:themeColor="text1"/>
          <w:sz w:val="16"/>
          <w:szCs w:val="16"/>
        </w:rPr>
        <w:t>5 марта 1930 г. — Из заключения Штаба РККА по докладу командующего войсками Ленинградского военного округа М. Н. Тухачевского об основных направлениях реконструкции РККА</w:t>
      </w:r>
    </w:p>
    <w:p w14:paraId="0EFCEE3A" w14:textId="77777777" w:rsidR="00442680" w:rsidRPr="00507A31" w:rsidRDefault="00442680" w:rsidP="00507A31">
      <w:pPr>
        <w:jc w:val="both"/>
        <w:rPr>
          <w:color w:val="000000" w:themeColor="text1"/>
          <w:sz w:val="16"/>
          <w:szCs w:val="16"/>
        </w:rPr>
      </w:pPr>
      <w:r w:rsidRPr="00507A31">
        <w:rPr>
          <w:color w:val="000000" w:themeColor="text1"/>
          <w:sz w:val="16"/>
          <w:szCs w:val="16"/>
        </w:rPr>
        <w:t>Совершенно секретно.</w:t>
      </w:r>
    </w:p>
    <w:p w14:paraId="184BE304" w14:textId="77777777" w:rsidR="00442680" w:rsidRPr="00507A31" w:rsidRDefault="00442680" w:rsidP="00507A31">
      <w:pPr>
        <w:jc w:val="both"/>
        <w:rPr>
          <w:color w:val="000000" w:themeColor="text1"/>
          <w:sz w:val="16"/>
          <w:szCs w:val="16"/>
        </w:rPr>
      </w:pPr>
      <w:r w:rsidRPr="00507A31">
        <w:rPr>
          <w:color w:val="000000" w:themeColor="text1"/>
          <w:sz w:val="16"/>
          <w:szCs w:val="16"/>
        </w:rPr>
        <w:t>6. Материальное обеспечение развертываемой армии³*</w:t>
      </w:r>
    </w:p>
    <w:p w14:paraId="3250CFEB"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Материальные потребности армии в основном слагаются из: 1) технического ее оснащения для развертывания; 2) накопления запасов на 4 месяца ведения войны, т. е. на время, пока мобилизуется промышленность; 3) потребности армии в материальной части на год ведения войны (с учетом имеющихся у нас запасов). Берем только некоторые основные показатели: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8"/>
        <w:gridCol w:w="1441"/>
        <w:gridCol w:w="1573"/>
        <w:gridCol w:w="1324"/>
        <w:gridCol w:w="1441"/>
        <w:gridCol w:w="1573"/>
        <w:gridCol w:w="1372"/>
      </w:tblGrid>
      <w:tr w:rsidR="00A61694" w:rsidRPr="00507A31" w14:paraId="1C5FA10B"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453E70" w14:textId="77777777" w:rsidR="00442680" w:rsidRPr="00507A31" w:rsidRDefault="00442680" w:rsidP="00507A31">
            <w:pPr>
              <w:jc w:val="both"/>
              <w:rPr>
                <w:color w:val="000000" w:themeColor="text1"/>
                <w:sz w:val="16"/>
                <w:szCs w:val="16"/>
              </w:rPr>
            </w:pPr>
            <w:r w:rsidRPr="00507A31">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879473F" w14:textId="77777777" w:rsidR="00442680" w:rsidRPr="00507A31" w:rsidRDefault="00442680" w:rsidP="00507A31">
            <w:pPr>
              <w:jc w:val="both"/>
              <w:rPr>
                <w:color w:val="000000" w:themeColor="text1"/>
                <w:sz w:val="16"/>
                <w:szCs w:val="16"/>
              </w:rPr>
            </w:pPr>
            <w:r w:rsidRPr="00507A31">
              <w:rPr>
                <w:color w:val="000000" w:themeColor="text1"/>
                <w:sz w:val="16"/>
                <w:szCs w:val="16"/>
              </w:rPr>
              <w:t>Вариант № 10-930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FAF1FB2" w14:textId="77777777" w:rsidR="00442680" w:rsidRPr="00507A31" w:rsidRDefault="00442680" w:rsidP="00507A31">
            <w:pPr>
              <w:jc w:val="both"/>
              <w:rPr>
                <w:color w:val="000000" w:themeColor="text1"/>
                <w:sz w:val="16"/>
                <w:szCs w:val="16"/>
              </w:rPr>
            </w:pPr>
            <w:r w:rsidRPr="00507A31">
              <w:rPr>
                <w:color w:val="000000" w:themeColor="text1"/>
                <w:sz w:val="16"/>
                <w:szCs w:val="16"/>
              </w:rPr>
              <w:t>Вариант «В» на 245 стр[елковых] дивиз[ий]</w:t>
            </w:r>
          </w:p>
        </w:tc>
      </w:tr>
      <w:tr w:rsidR="00A61694" w:rsidRPr="00507A31" w14:paraId="61347B98"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1BB1F160" w14:textId="77777777" w:rsidR="00442680" w:rsidRPr="00507A31" w:rsidRDefault="00442680" w:rsidP="00507A31">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5A334" w14:textId="77777777" w:rsidR="00442680" w:rsidRPr="00507A31" w:rsidRDefault="00442680" w:rsidP="00507A31">
            <w:pPr>
              <w:jc w:val="both"/>
              <w:rPr>
                <w:color w:val="000000" w:themeColor="text1"/>
                <w:sz w:val="16"/>
                <w:szCs w:val="16"/>
              </w:rPr>
            </w:pPr>
            <w:r w:rsidRPr="00507A31">
              <w:rPr>
                <w:color w:val="000000" w:themeColor="text1"/>
                <w:sz w:val="16"/>
                <w:szCs w:val="16"/>
              </w:rPr>
              <w:t>На мобразверты-ван[ие]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2C5A0" w14:textId="77777777" w:rsidR="00442680" w:rsidRPr="00507A31" w:rsidRDefault="00442680" w:rsidP="00507A31">
            <w:pPr>
              <w:jc w:val="both"/>
              <w:rPr>
                <w:color w:val="000000" w:themeColor="text1"/>
                <w:sz w:val="16"/>
                <w:szCs w:val="16"/>
              </w:rPr>
            </w:pPr>
            <w:r w:rsidRPr="00507A31">
              <w:rPr>
                <w:color w:val="000000" w:themeColor="text1"/>
                <w:sz w:val="16"/>
                <w:szCs w:val="16"/>
              </w:rPr>
              <w:t>На 4 месяца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46CC1" w14:textId="77777777" w:rsidR="00442680" w:rsidRPr="00507A31" w:rsidRDefault="00442680" w:rsidP="00507A31">
            <w:pPr>
              <w:jc w:val="both"/>
              <w:rPr>
                <w:color w:val="000000" w:themeColor="text1"/>
                <w:sz w:val="16"/>
                <w:szCs w:val="16"/>
              </w:rPr>
            </w:pPr>
            <w:r w:rsidRPr="00507A31">
              <w:rPr>
                <w:color w:val="000000" w:themeColor="text1"/>
                <w:sz w:val="16"/>
                <w:szCs w:val="16"/>
              </w:rPr>
              <w:t>На год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D1BF3" w14:textId="77777777" w:rsidR="00442680" w:rsidRPr="00507A31" w:rsidRDefault="00442680" w:rsidP="00507A31">
            <w:pPr>
              <w:jc w:val="both"/>
              <w:rPr>
                <w:color w:val="000000" w:themeColor="text1"/>
                <w:sz w:val="16"/>
                <w:szCs w:val="16"/>
              </w:rPr>
            </w:pPr>
            <w:r w:rsidRPr="00507A31">
              <w:rPr>
                <w:color w:val="000000" w:themeColor="text1"/>
                <w:sz w:val="16"/>
                <w:szCs w:val="16"/>
              </w:rPr>
              <w:t>На мобразверты-ван[ие]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63270" w14:textId="77777777" w:rsidR="00442680" w:rsidRPr="00507A31" w:rsidRDefault="00442680" w:rsidP="00507A31">
            <w:pPr>
              <w:jc w:val="both"/>
              <w:rPr>
                <w:color w:val="000000" w:themeColor="text1"/>
                <w:sz w:val="16"/>
                <w:szCs w:val="16"/>
              </w:rPr>
            </w:pPr>
            <w:r w:rsidRPr="00507A31">
              <w:rPr>
                <w:color w:val="000000" w:themeColor="text1"/>
                <w:sz w:val="16"/>
                <w:szCs w:val="16"/>
              </w:rPr>
              <w:t>На 4 месяца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9C196" w14:textId="77777777" w:rsidR="00442680" w:rsidRPr="00507A31" w:rsidRDefault="00442680" w:rsidP="00507A31">
            <w:pPr>
              <w:jc w:val="both"/>
              <w:rPr>
                <w:color w:val="000000" w:themeColor="text1"/>
                <w:sz w:val="16"/>
                <w:szCs w:val="16"/>
              </w:rPr>
            </w:pPr>
            <w:r w:rsidRPr="00507A31">
              <w:rPr>
                <w:color w:val="000000" w:themeColor="text1"/>
                <w:sz w:val="16"/>
                <w:szCs w:val="16"/>
              </w:rPr>
              <w:t>На год вед[ения] войны</w:t>
            </w:r>
          </w:p>
        </w:tc>
      </w:tr>
      <w:tr w:rsidR="00A61694" w:rsidRPr="00507A31" w14:paraId="1AC6F4A3"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357669D6" w14:textId="77777777" w:rsidR="00442680" w:rsidRPr="00507A31" w:rsidRDefault="00442680" w:rsidP="00507A31">
            <w:pPr>
              <w:jc w:val="both"/>
              <w:rPr>
                <w:color w:val="000000" w:themeColor="text1"/>
                <w:sz w:val="16"/>
                <w:szCs w:val="16"/>
              </w:rPr>
            </w:pPr>
            <w:r w:rsidRPr="00507A31">
              <w:rPr>
                <w:rStyle w:val="a7"/>
                <w:b w:val="0"/>
                <w:color w:val="000000" w:themeColor="text1"/>
                <w:sz w:val="16"/>
                <w:szCs w:val="16"/>
              </w:rPr>
              <w:t>Ручн[ого] оруж[ия]</w:t>
            </w:r>
          </w:p>
        </w:tc>
      </w:tr>
      <w:tr w:rsidR="00A61694" w:rsidRPr="00507A31" w14:paraId="114FCED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DA3C60A" w14:textId="77777777" w:rsidR="00442680" w:rsidRPr="00507A31" w:rsidRDefault="00442680" w:rsidP="00507A31">
            <w:pPr>
              <w:jc w:val="both"/>
              <w:rPr>
                <w:color w:val="000000" w:themeColor="text1"/>
                <w:sz w:val="16"/>
                <w:szCs w:val="16"/>
              </w:rPr>
            </w:pPr>
            <w:r w:rsidRPr="00507A31">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149A4" w14:textId="77777777" w:rsidR="00442680" w:rsidRPr="00507A31" w:rsidRDefault="00442680" w:rsidP="00507A31">
            <w:pPr>
              <w:jc w:val="both"/>
              <w:rPr>
                <w:color w:val="000000" w:themeColor="text1"/>
                <w:sz w:val="16"/>
                <w:szCs w:val="16"/>
              </w:rPr>
            </w:pPr>
            <w:r w:rsidRPr="00507A31">
              <w:rPr>
                <w:color w:val="000000" w:themeColor="text1"/>
                <w:sz w:val="16"/>
                <w:szCs w:val="16"/>
              </w:rPr>
              <w:t>1 713 000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31AE1" w14:textId="77777777" w:rsidR="00442680" w:rsidRPr="00507A31" w:rsidRDefault="00442680" w:rsidP="00507A31">
            <w:pPr>
              <w:jc w:val="both"/>
              <w:rPr>
                <w:color w:val="000000" w:themeColor="text1"/>
                <w:sz w:val="16"/>
                <w:szCs w:val="16"/>
              </w:rPr>
            </w:pPr>
            <w:r w:rsidRPr="00507A31">
              <w:rPr>
                <w:color w:val="000000" w:themeColor="text1"/>
                <w:sz w:val="16"/>
                <w:szCs w:val="16"/>
              </w:rPr>
              <w:t>425 000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AFEC8" w14:textId="77777777" w:rsidR="00442680" w:rsidRPr="00507A31" w:rsidRDefault="00442680" w:rsidP="00507A31">
            <w:pPr>
              <w:jc w:val="both"/>
              <w:rPr>
                <w:color w:val="000000" w:themeColor="text1"/>
                <w:sz w:val="16"/>
                <w:szCs w:val="16"/>
              </w:rPr>
            </w:pPr>
            <w:r w:rsidRPr="00507A31">
              <w:rPr>
                <w:color w:val="000000" w:themeColor="text1"/>
                <w:sz w:val="16"/>
                <w:szCs w:val="16"/>
              </w:rPr>
              <w:t>1 275 000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D1EB6" w14:textId="77777777" w:rsidR="00442680" w:rsidRPr="00507A31" w:rsidRDefault="00442680" w:rsidP="00507A31">
            <w:pPr>
              <w:jc w:val="both"/>
              <w:rPr>
                <w:color w:val="000000" w:themeColor="text1"/>
                <w:sz w:val="16"/>
                <w:szCs w:val="16"/>
              </w:rPr>
            </w:pPr>
            <w:r w:rsidRPr="00507A31">
              <w:rPr>
                <w:color w:val="000000" w:themeColor="text1"/>
                <w:sz w:val="16"/>
                <w:szCs w:val="16"/>
              </w:rPr>
              <w:t>3 127 000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02712" w14:textId="77777777" w:rsidR="00442680" w:rsidRPr="00507A31" w:rsidRDefault="00442680" w:rsidP="00507A31">
            <w:pPr>
              <w:jc w:val="both"/>
              <w:rPr>
                <w:color w:val="000000" w:themeColor="text1"/>
                <w:sz w:val="16"/>
                <w:szCs w:val="16"/>
              </w:rPr>
            </w:pPr>
            <w:r w:rsidRPr="00507A31">
              <w:rPr>
                <w:color w:val="000000" w:themeColor="text1"/>
                <w:sz w:val="16"/>
                <w:szCs w:val="16"/>
              </w:rPr>
              <w:t>781 750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7E097" w14:textId="77777777" w:rsidR="00442680" w:rsidRPr="00507A31" w:rsidRDefault="00442680" w:rsidP="00507A31">
            <w:pPr>
              <w:jc w:val="both"/>
              <w:rPr>
                <w:color w:val="000000" w:themeColor="text1"/>
                <w:sz w:val="16"/>
                <w:szCs w:val="16"/>
              </w:rPr>
            </w:pPr>
            <w:r w:rsidRPr="00507A31">
              <w:rPr>
                <w:color w:val="000000" w:themeColor="text1"/>
                <w:sz w:val="16"/>
                <w:szCs w:val="16"/>
              </w:rPr>
              <w:t>1 735 500</w:t>
            </w:r>
          </w:p>
        </w:tc>
      </w:tr>
      <w:tr w:rsidR="00A61694" w:rsidRPr="00507A31" w14:paraId="4B97590D"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DBF84C5" w14:textId="77777777" w:rsidR="00442680" w:rsidRPr="00507A31" w:rsidRDefault="00442680" w:rsidP="00507A31">
            <w:pPr>
              <w:jc w:val="both"/>
              <w:rPr>
                <w:color w:val="000000" w:themeColor="text1"/>
                <w:sz w:val="16"/>
                <w:szCs w:val="16"/>
              </w:rPr>
            </w:pPr>
            <w:r w:rsidRPr="00507A31">
              <w:rPr>
                <w:color w:val="000000" w:themeColor="text1"/>
                <w:sz w:val="16"/>
                <w:szCs w:val="16"/>
              </w:rPr>
              <w:t>Ручн[ых] пулем[етов]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551E7" w14:textId="77777777" w:rsidR="00442680" w:rsidRPr="00507A31" w:rsidRDefault="00442680" w:rsidP="00507A31">
            <w:pPr>
              <w:jc w:val="both"/>
              <w:rPr>
                <w:color w:val="000000" w:themeColor="text1"/>
                <w:sz w:val="16"/>
                <w:szCs w:val="16"/>
              </w:rPr>
            </w:pPr>
            <w:r w:rsidRPr="00507A31">
              <w:rPr>
                <w:color w:val="000000" w:themeColor="text1"/>
                <w:sz w:val="16"/>
                <w:szCs w:val="16"/>
              </w:rPr>
              <w:t>40 830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4110B" w14:textId="77777777" w:rsidR="00442680" w:rsidRPr="00507A31" w:rsidRDefault="00442680" w:rsidP="00507A31">
            <w:pPr>
              <w:jc w:val="both"/>
              <w:rPr>
                <w:color w:val="000000" w:themeColor="text1"/>
                <w:sz w:val="16"/>
                <w:szCs w:val="16"/>
              </w:rPr>
            </w:pPr>
            <w:r w:rsidRPr="00507A31">
              <w:rPr>
                <w:color w:val="000000" w:themeColor="text1"/>
                <w:sz w:val="16"/>
                <w:szCs w:val="16"/>
              </w:rPr>
              <w:t>11 667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8BDE" w14:textId="77777777" w:rsidR="00442680" w:rsidRPr="00507A31" w:rsidRDefault="00442680" w:rsidP="00507A31">
            <w:pPr>
              <w:jc w:val="both"/>
              <w:rPr>
                <w:color w:val="000000" w:themeColor="text1"/>
                <w:sz w:val="16"/>
                <w:szCs w:val="16"/>
              </w:rPr>
            </w:pPr>
            <w:r w:rsidRPr="00507A31">
              <w:rPr>
                <w:color w:val="000000" w:themeColor="text1"/>
                <w:sz w:val="16"/>
                <w:szCs w:val="16"/>
              </w:rPr>
              <w:t>35 000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89852" w14:textId="77777777" w:rsidR="00442680" w:rsidRPr="00507A31" w:rsidRDefault="00442680" w:rsidP="00507A31">
            <w:pPr>
              <w:jc w:val="both"/>
              <w:rPr>
                <w:color w:val="000000" w:themeColor="text1"/>
                <w:sz w:val="16"/>
                <w:szCs w:val="16"/>
              </w:rPr>
            </w:pPr>
            <w:r w:rsidRPr="00507A31">
              <w:rPr>
                <w:color w:val="000000" w:themeColor="text1"/>
                <w:sz w:val="16"/>
                <w:szCs w:val="16"/>
              </w:rPr>
              <w:t>549 197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83F02" w14:textId="77777777" w:rsidR="00442680" w:rsidRPr="00507A31" w:rsidRDefault="00442680" w:rsidP="00507A31">
            <w:pPr>
              <w:jc w:val="both"/>
              <w:rPr>
                <w:color w:val="000000" w:themeColor="text1"/>
                <w:sz w:val="16"/>
                <w:szCs w:val="16"/>
              </w:rPr>
            </w:pPr>
            <w:r w:rsidRPr="00507A31">
              <w:rPr>
                <w:color w:val="000000" w:themeColor="text1"/>
                <w:sz w:val="16"/>
                <w:szCs w:val="16"/>
              </w:rPr>
              <w:t>343 620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5F28F" w14:textId="77777777" w:rsidR="00442680" w:rsidRPr="00507A31" w:rsidRDefault="00442680" w:rsidP="00507A31">
            <w:pPr>
              <w:jc w:val="both"/>
              <w:rPr>
                <w:color w:val="000000" w:themeColor="text1"/>
                <w:sz w:val="16"/>
                <w:szCs w:val="16"/>
              </w:rPr>
            </w:pPr>
            <w:r w:rsidRPr="00507A31">
              <w:rPr>
                <w:color w:val="000000" w:themeColor="text1"/>
                <w:sz w:val="16"/>
                <w:szCs w:val="16"/>
              </w:rPr>
              <w:t>701 338</w:t>
            </w:r>
          </w:p>
        </w:tc>
      </w:tr>
      <w:tr w:rsidR="00A61694" w:rsidRPr="00507A31" w14:paraId="1F26650E"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840205E" w14:textId="77777777" w:rsidR="00442680" w:rsidRPr="00507A31" w:rsidRDefault="00442680" w:rsidP="00507A31">
            <w:pPr>
              <w:jc w:val="both"/>
              <w:rPr>
                <w:color w:val="000000" w:themeColor="text1"/>
                <w:sz w:val="16"/>
                <w:szCs w:val="16"/>
              </w:rPr>
            </w:pPr>
            <w:r w:rsidRPr="00507A31">
              <w:rPr>
                <w:rStyle w:val="a7"/>
                <w:b w:val="0"/>
                <w:color w:val="000000" w:themeColor="text1"/>
                <w:sz w:val="16"/>
                <w:szCs w:val="16"/>
              </w:rPr>
              <w:t>Орудий</w:t>
            </w:r>
          </w:p>
        </w:tc>
      </w:tr>
      <w:tr w:rsidR="00A61694" w:rsidRPr="00507A31" w14:paraId="2715DA4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FF98B0" w14:textId="77777777" w:rsidR="00442680" w:rsidRPr="00507A31" w:rsidRDefault="00442680" w:rsidP="00507A31">
            <w:pPr>
              <w:jc w:val="both"/>
              <w:rPr>
                <w:color w:val="000000" w:themeColor="text1"/>
                <w:sz w:val="16"/>
                <w:szCs w:val="16"/>
              </w:rPr>
            </w:pPr>
            <w:r w:rsidRPr="00507A31">
              <w:rPr>
                <w:color w:val="000000" w:themeColor="text1"/>
                <w:sz w:val="16"/>
                <w:szCs w:val="16"/>
              </w:rPr>
              <w:t>Мелкокалиб[ерных]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1602B" w14:textId="77777777" w:rsidR="00442680" w:rsidRPr="00507A31" w:rsidRDefault="00442680" w:rsidP="00507A31">
            <w:pPr>
              <w:jc w:val="both"/>
              <w:rPr>
                <w:color w:val="000000" w:themeColor="text1"/>
                <w:sz w:val="16"/>
                <w:szCs w:val="16"/>
              </w:rPr>
            </w:pPr>
            <w:r w:rsidRPr="00507A31">
              <w:rPr>
                <w:color w:val="000000" w:themeColor="text1"/>
                <w:sz w:val="16"/>
                <w:szCs w:val="16"/>
              </w:rPr>
              <w:t>2031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32F5B" w14:textId="77777777" w:rsidR="00442680" w:rsidRPr="00507A31" w:rsidRDefault="00442680" w:rsidP="00507A31">
            <w:pPr>
              <w:jc w:val="both"/>
              <w:rPr>
                <w:color w:val="000000" w:themeColor="text1"/>
                <w:sz w:val="16"/>
                <w:szCs w:val="16"/>
              </w:rPr>
            </w:pPr>
            <w:r w:rsidRPr="00507A31">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C98D0" w14:textId="77777777" w:rsidR="00442680" w:rsidRPr="00507A31" w:rsidRDefault="00442680" w:rsidP="00507A31">
            <w:pPr>
              <w:jc w:val="both"/>
              <w:rPr>
                <w:color w:val="000000" w:themeColor="text1"/>
                <w:sz w:val="16"/>
                <w:szCs w:val="16"/>
              </w:rPr>
            </w:pPr>
            <w:r w:rsidRPr="00507A31">
              <w:rPr>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F4CD7" w14:textId="77777777" w:rsidR="00442680" w:rsidRPr="00507A31" w:rsidRDefault="00442680" w:rsidP="00507A31">
            <w:pPr>
              <w:jc w:val="both"/>
              <w:rPr>
                <w:color w:val="000000" w:themeColor="text1"/>
                <w:sz w:val="16"/>
                <w:szCs w:val="16"/>
              </w:rPr>
            </w:pPr>
            <w:r w:rsidRPr="00507A31">
              <w:rPr>
                <w:color w:val="000000" w:themeColor="text1"/>
                <w:sz w:val="16"/>
                <w:szCs w:val="16"/>
              </w:rPr>
              <w:t>80 817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38F85" w14:textId="77777777" w:rsidR="00442680" w:rsidRPr="00507A31" w:rsidRDefault="00442680" w:rsidP="00507A31">
            <w:pPr>
              <w:jc w:val="both"/>
              <w:rPr>
                <w:color w:val="000000" w:themeColor="text1"/>
                <w:sz w:val="16"/>
                <w:szCs w:val="16"/>
              </w:rPr>
            </w:pPr>
            <w:r w:rsidRPr="00507A31">
              <w:rPr>
                <w:color w:val="000000" w:themeColor="text1"/>
                <w:sz w:val="16"/>
                <w:szCs w:val="16"/>
              </w:rPr>
              <w:t>61 010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5E317" w14:textId="77777777" w:rsidR="00442680" w:rsidRPr="00507A31" w:rsidRDefault="00442680" w:rsidP="00507A31">
            <w:pPr>
              <w:jc w:val="both"/>
              <w:rPr>
                <w:color w:val="000000" w:themeColor="text1"/>
                <w:sz w:val="16"/>
                <w:szCs w:val="16"/>
              </w:rPr>
            </w:pPr>
            <w:r w:rsidRPr="00507A31">
              <w:rPr>
                <w:color w:val="000000" w:themeColor="text1"/>
                <w:sz w:val="16"/>
                <w:szCs w:val="16"/>
              </w:rPr>
              <w:t>122 324</w:t>
            </w:r>
          </w:p>
        </w:tc>
      </w:tr>
      <w:tr w:rsidR="00A61694" w:rsidRPr="00507A31" w14:paraId="76200FE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C637F02" w14:textId="77777777" w:rsidR="00442680" w:rsidRPr="00507A31" w:rsidRDefault="00442680" w:rsidP="00507A31">
            <w:pPr>
              <w:jc w:val="both"/>
              <w:rPr>
                <w:color w:val="000000" w:themeColor="text1"/>
                <w:sz w:val="16"/>
                <w:szCs w:val="16"/>
              </w:rPr>
            </w:pPr>
            <w:r w:rsidRPr="00507A31">
              <w:rPr>
                <w:color w:val="000000" w:themeColor="text1"/>
                <w:sz w:val="16"/>
                <w:szCs w:val="16"/>
              </w:rPr>
              <w:t>Полев[ых] 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C1F74" w14:textId="77777777" w:rsidR="00442680" w:rsidRPr="00507A31" w:rsidRDefault="00442680" w:rsidP="00507A31">
            <w:pPr>
              <w:jc w:val="both"/>
              <w:rPr>
                <w:color w:val="000000" w:themeColor="text1"/>
                <w:sz w:val="16"/>
                <w:szCs w:val="16"/>
              </w:rPr>
            </w:pPr>
            <w:r w:rsidRPr="00507A31">
              <w:rPr>
                <w:color w:val="000000" w:themeColor="text1"/>
                <w:sz w:val="16"/>
                <w:szCs w:val="16"/>
              </w:rPr>
              <w:t>1302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F9A07" w14:textId="77777777" w:rsidR="00442680" w:rsidRPr="00507A31" w:rsidRDefault="00442680" w:rsidP="00507A31">
            <w:pPr>
              <w:jc w:val="both"/>
              <w:rPr>
                <w:color w:val="000000" w:themeColor="text1"/>
                <w:sz w:val="16"/>
                <w:szCs w:val="16"/>
              </w:rPr>
            </w:pPr>
            <w:r w:rsidRPr="00507A31">
              <w:rPr>
                <w:color w:val="000000" w:themeColor="text1"/>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4E62A" w14:textId="77777777" w:rsidR="00442680" w:rsidRPr="00507A31" w:rsidRDefault="00442680" w:rsidP="00507A31">
            <w:pPr>
              <w:jc w:val="both"/>
              <w:rPr>
                <w:color w:val="000000" w:themeColor="text1"/>
                <w:sz w:val="16"/>
                <w:szCs w:val="16"/>
              </w:rPr>
            </w:pPr>
            <w:r w:rsidRPr="00507A31">
              <w:rPr>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EE17B" w14:textId="77777777" w:rsidR="00442680" w:rsidRPr="00507A31" w:rsidRDefault="00442680" w:rsidP="00507A31">
            <w:pPr>
              <w:jc w:val="both"/>
              <w:rPr>
                <w:color w:val="000000" w:themeColor="text1"/>
                <w:sz w:val="16"/>
                <w:szCs w:val="16"/>
              </w:rPr>
            </w:pPr>
            <w:r w:rsidRPr="00507A31">
              <w:rPr>
                <w:color w:val="000000" w:themeColor="text1"/>
                <w:sz w:val="16"/>
                <w:szCs w:val="16"/>
              </w:rPr>
              <w:t>7271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CE7DB" w14:textId="77777777" w:rsidR="00442680" w:rsidRPr="00507A31" w:rsidRDefault="00442680" w:rsidP="00507A31">
            <w:pPr>
              <w:jc w:val="both"/>
              <w:rPr>
                <w:color w:val="000000" w:themeColor="text1"/>
                <w:sz w:val="16"/>
                <w:szCs w:val="16"/>
              </w:rPr>
            </w:pPr>
            <w:r w:rsidRPr="00507A31">
              <w:rPr>
                <w:color w:val="000000" w:themeColor="text1"/>
                <w:sz w:val="16"/>
                <w:szCs w:val="16"/>
              </w:rPr>
              <w:t>1555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76A91" w14:textId="77777777" w:rsidR="00442680" w:rsidRPr="00507A31" w:rsidRDefault="00442680" w:rsidP="00507A31">
            <w:pPr>
              <w:jc w:val="both"/>
              <w:rPr>
                <w:color w:val="000000" w:themeColor="text1"/>
                <w:sz w:val="16"/>
                <w:szCs w:val="16"/>
              </w:rPr>
            </w:pPr>
            <w:r w:rsidRPr="00507A31">
              <w:rPr>
                <w:color w:val="000000" w:themeColor="text1"/>
                <w:sz w:val="16"/>
                <w:szCs w:val="16"/>
              </w:rPr>
              <w:t>3100</w:t>
            </w:r>
          </w:p>
        </w:tc>
      </w:tr>
      <w:tr w:rsidR="00A61694" w:rsidRPr="00507A31" w14:paraId="03579B03"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470E1C11" w14:textId="77777777" w:rsidR="00442680" w:rsidRPr="00507A31" w:rsidRDefault="00442680" w:rsidP="00507A31">
            <w:pPr>
              <w:jc w:val="both"/>
              <w:rPr>
                <w:color w:val="000000" w:themeColor="text1"/>
                <w:sz w:val="16"/>
                <w:szCs w:val="16"/>
              </w:rPr>
            </w:pPr>
            <w:r w:rsidRPr="00507A31">
              <w:rPr>
                <w:rStyle w:val="a7"/>
                <w:b w:val="0"/>
                <w:color w:val="000000" w:themeColor="text1"/>
                <w:sz w:val="16"/>
                <w:szCs w:val="16"/>
              </w:rPr>
              <w:t>Выстрелов (снарядов)</w:t>
            </w:r>
          </w:p>
        </w:tc>
      </w:tr>
      <w:tr w:rsidR="00A61694" w:rsidRPr="00507A31" w14:paraId="63D19D2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2E2659B" w14:textId="77777777" w:rsidR="00442680" w:rsidRPr="00507A31" w:rsidRDefault="00442680" w:rsidP="00507A31">
            <w:pPr>
              <w:jc w:val="both"/>
              <w:rPr>
                <w:color w:val="000000" w:themeColor="text1"/>
                <w:sz w:val="16"/>
                <w:szCs w:val="16"/>
              </w:rPr>
            </w:pPr>
            <w:r w:rsidRPr="00507A31">
              <w:rPr>
                <w:color w:val="000000" w:themeColor="text1"/>
                <w:sz w:val="16"/>
                <w:szCs w:val="16"/>
              </w:rPr>
              <w:t>Для мелкокал[иберной] арт[иллерии]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60C8E5" w14:textId="77777777" w:rsidR="00442680" w:rsidRPr="00507A31" w:rsidRDefault="00442680" w:rsidP="00507A31">
            <w:pPr>
              <w:jc w:val="both"/>
              <w:rPr>
                <w:color w:val="000000" w:themeColor="text1"/>
                <w:sz w:val="16"/>
                <w:szCs w:val="16"/>
              </w:rPr>
            </w:pPr>
            <w:r w:rsidRPr="00507A31">
              <w:rPr>
                <w:color w:val="000000" w:themeColor="text1"/>
                <w:sz w:val="16"/>
                <w:szCs w:val="16"/>
              </w:rPr>
              <w:t>3 670 000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7CE02" w14:textId="77777777" w:rsidR="00442680" w:rsidRPr="00507A31" w:rsidRDefault="00442680" w:rsidP="00507A31">
            <w:pPr>
              <w:jc w:val="both"/>
              <w:rPr>
                <w:color w:val="000000" w:themeColor="text1"/>
                <w:sz w:val="16"/>
                <w:szCs w:val="16"/>
              </w:rPr>
            </w:pPr>
            <w:r w:rsidRPr="00507A31">
              <w:rPr>
                <w:color w:val="000000" w:themeColor="text1"/>
                <w:sz w:val="16"/>
                <w:szCs w:val="16"/>
              </w:rPr>
              <w:t>5 110 000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77143E" w14:textId="77777777" w:rsidR="00442680" w:rsidRPr="00507A31" w:rsidRDefault="00442680" w:rsidP="00507A31">
            <w:pPr>
              <w:jc w:val="both"/>
              <w:rPr>
                <w:color w:val="000000" w:themeColor="text1"/>
                <w:sz w:val="16"/>
                <w:szCs w:val="16"/>
              </w:rPr>
            </w:pPr>
            <w:r w:rsidRPr="00507A31">
              <w:rPr>
                <w:color w:val="000000" w:themeColor="text1"/>
                <w:sz w:val="16"/>
                <w:szCs w:val="16"/>
              </w:rPr>
              <w:t>110 081 000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06F7A" w14:textId="77777777" w:rsidR="00442680" w:rsidRPr="00507A31" w:rsidRDefault="00442680" w:rsidP="00507A31">
            <w:pPr>
              <w:jc w:val="both"/>
              <w:rPr>
                <w:color w:val="000000" w:themeColor="text1"/>
                <w:sz w:val="16"/>
                <w:szCs w:val="16"/>
              </w:rPr>
            </w:pPr>
            <w:r w:rsidRPr="00507A31">
              <w:rPr>
                <w:color w:val="000000" w:themeColor="text1"/>
                <w:sz w:val="16"/>
                <w:szCs w:val="16"/>
              </w:rPr>
              <w:t>112 907 000</w:t>
            </w:r>
          </w:p>
        </w:tc>
      </w:tr>
      <w:tr w:rsidR="00A61694" w:rsidRPr="00507A31" w14:paraId="2A74DEA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B877294" w14:textId="77777777" w:rsidR="00442680" w:rsidRPr="00507A31" w:rsidRDefault="00442680" w:rsidP="00507A31">
            <w:pPr>
              <w:jc w:val="both"/>
              <w:rPr>
                <w:color w:val="000000" w:themeColor="text1"/>
                <w:sz w:val="16"/>
                <w:szCs w:val="16"/>
              </w:rPr>
            </w:pPr>
            <w:r w:rsidRPr="00507A31">
              <w:rPr>
                <w:color w:val="000000" w:themeColor="text1"/>
                <w:sz w:val="16"/>
                <w:szCs w:val="16"/>
              </w:rPr>
              <w:t>Для пол[евых] орудий тяж[елых] кал[ибров]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43908E" w14:textId="77777777" w:rsidR="00442680" w:rsidRPr="00507A31" w:rsidRDefault="00442680" w:rsidP="00507A31">
            <w:pPr>
              <w:jc w:val="both"/>
              <w:rPr>
                <w:color w:val="000000" w:themeColor="text1"/>
                <w:sz w:val="16"/>
                <w:szCs w:val="16"/>
              </w:rPr>
            </w:pPr>
            <w:r w:rsidRPr="00507A31">
              <w:rPr>
                <w:color w:val="000000" w:themeColor="text1"/>
                <w:sz w:val="16"/>
                <w:szCs w:val="16"/>
              </w:rPr>
              <w:t>2 268 000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D4392" w14:textId="77777777" w:rsidR="00442680" w:rsidRPr="00507A31" w:rsidRDefault="00442680" w:rsidP="00507A31">
            <w:pPr>
              <w:jc w:val="both"/>
              <w:rPr>
                <w:color w:val="000000" w:themeColor="text1"/>
                <w:sz w:val="16"/>
                <w:szCs w:val="16"/>
              </w:rPr>
            </w:pPr>
            <w:r w:rsidRPr="00507A31">
              <w:rPr>
                <w:color w:val="000000" w:themeColor="text1"/>
                <w:sz w:val="16"/>
                <w:szCs w:val="16"/>
              </w:rPr>
              <w:t>5 336 000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E6036B" w14:textId="77777777" w:rsidR="00442680" w:rsidRPr="00507A31" w:rsidRDefault="00442680" w:rsidP="00507A31">
            <w:pPr>
              <w:jc w:val="both"/>
              <w:rPr>
                <w:color w:val="000000" w:themeColor="text1"/>
                <w:sz w:val="16"/>
                <w:szCs w:val="16"/>
              </w:rPr>
            </w:pPr>
            <w:r w:rsidRPr="00507A31">
              <w:rPr>
                <w:color w:val="000000" w:themeColor="text1"/>
                <w:sz w:val="16"/>
                <w:szCs w:val="16"/>
              </w:rPr>
              <w:t>12 285 000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DEF5F" w14:textId="77777777" w:rsidR="00442680" w:rsidRPr="00507A31" w:rsidRDefault="00442680" w:rsidP="00507A31">
            <w:pPr>
              <w:jc w:val="both"/>
              <w:rPr>
                <w:color w:val="000000" w:themeColor="text1"/>
                <w:sz w:val="16"/>
                <w:szCs w:val="16"/>
              </w:rPr>
            </w:pPr>
            <w:r w:rsidRPr="00507A31">
              <w:rPr>
                <w:color w:val="000000" w:themeColor="text1"/>
                <w:sz w:val="16"/>
                <w:szCs w:val="16"/>
              </w:rPr>
              <w:t>25 558 000</w:t>
            </w:r>
          </w:p>
        </w:tc>
      </w:tr>
      <w:tr w:rsidR="00A61694" w:rsidRPr="00507A31" w14:paraId="30DB18F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08DE5DC" w14:textId="77777777" w:rsidR="00442680" w:rsidRPr="00507A31" w:rsidRDefault="00442680" w:rsidP="00507A31">
            <w:pPr>
              <w:jc w:val="both"/>
              <w:rPr>
                <w:color w:val="000000" w:themeColor="text1"/>
                <w:sz w:val="16"/>
                <w:szCs w:val="16"/>
              </w:rPr>
            </w:pPr>
            <w:r w:rsidRPr="00507A31">
              <w:rPr>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8102C" w14:textId="77777777" w:rsidR="00442680" w:rsidRPr="00507A31" w:rsidRDefault="00442680" w:rsidP="00507A31">
            <w:pPr>
              <w:jc w:val="both"/>
              <w:rPr>
                <w:color w:val="000000" w:themeColor="text1"/>
                <w:sz w:val="16"/>
                <w:szCs w:val="16"/>
              </w:rPr>
            </w:pPr>
            <w:r w:rsidRPr="00507A31">
              <w:rPr>
                <w:color w:val="000000" w:themeColor="text1"/>
                <w:sz w:val="16"/>
                <w:szCs w:val="16"/>
              </w:rPr>
              <w:t>3880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14D5D" w14:textId="77777777" w:rsidR="00442680" w:rsidRPr="00507A31" w:rsidRDefault="00442680" w:rsidP="00507A31">
            <w:pPr>
              <w:jc w:val="both"/>
              <w:rPr>
                <w:color w:val="000000" w:themeColor="text1"/>
                <w:sz w:val="16"/>
                <w:szCs w:val="16"/>
              </w:rPr>
            </w:pPr>
            <w:r w:rsidRPr="00507A31">
              <w:rPr>
                <w:color w:val="000000" w:themeColor="text1"/>
                <w:sz w:val="16"/>
                <w:szCs w:val="16"/>
              </w:rPr>
              <w:t>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1B968" w14:textId="77777777" w:rsidR="00442680" w:rsidRPr="00507A31" w:rsidRDefault="00442680" w:rsidP="00507A31">
            <w:pPr>
              <w:jc w:val="both"/>
              <w:rPr>
                <w:color w:val="000000" w:themeColor="text1"/>
                <w:sz w:val="16"/>
                <w:szCs w:val="16"/>
              </w:rPr>
            </w:pPr>
            <w:r w:rsidRPr="00507A31">
              <w:rPr>
                <w:color w:val="000000" w:themeColor="text1"/>
                <w:sz w:val="16"/>
                <w:szCs w:val="16"/>
              </w:rPr>
              <w:t>4267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2B5B5" w14:textId="77777777" w:rsidR="00442680" w:rsidRPr="00507A31" w:rsidRDefault="00442680" w:rsidP="00507A31">
            <w:pPr>
              <w:jc w:val="both"/>
              <w:rPr>
                <w:color w:val="000000" w:themeColor="text1"/>
                <w:sz w:val="16"/>
                <w:szCs w:val="16"/>
              </w:rPr>
            </w:pPr>
            <w:r w:rsidRPr="00507A31">
              <w:rPr>
                <w:color w:val="000000" w:themeColor="text1"/>
                <w:sz w:val="16"/>
                <w:szCs w:val="16"/>
              </w:rPr>
              <w:t>75 778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19BF4" w14:textId="77777777" w:rsidR="00442680" w:rsidRPr="00507A31" w:rsidRDefault="00442680" w:rsidP="00507A31">
            <w:pPr>
              <w:jc w:val="both"/>
              <w:rPr>
                <w:color w:val="000000" w:themeColor="text1"/>
                <w:sz w:val="16"/>
                <w:szCs w:val="16"/>
              </w:rPr>
            </w:pPr>
            <w:r w:rsidRPr="00507A31">
              <w:rPr>
                <w:color w:val="000000" w:themeColor="text1"/>
                <w:sz w:val="16"/>
                <w:szCs w:val="16"/>
              </w:rPr>
              <w:t>33 747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87FCA" w14:textId="77777777" w:rsidR="00442680" w:rsidRPr="00507A31" w:rsidRDefault="00442680" w:rsidP="00507A31">
            <w:pPr>
              <w:jc w:val="both"/>
              <w:rPr>
                <w:color w:val="000000" w:themeColor="text1"/>
                <w:sz w:val="16"/>
                <w:szCs w:val="16"/>
              </w:rPr>
            </w:pPr>
            <w:r w:rsidRPr="00507A31">
              <w:rPr>
                <w:color w:val="000000" w:themeColor="text1"/>
                <w:sz w:val="16"/>
                <w:szCs w:val="16"/>
              </w:rPr>
              <w:t>67 394</w:t>
            </w:r>
          </w:p>
        </w:tc>
      </w:tr>
      <w:tr w:rsidR="00A61694" w:rsidRPr="00507A31" w14:paraId="414B2F2B"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605894A4" w14:textId="77777777" w:rsidR="00442680" w:rsidRPr="00507A31" w:rsidRDefault="00442680" w:rsidP="00507A31">
            <w:pPr>
              <w:jc w:val="both"/>
              <w:rPr>
                <w:color w:val="000000" w:themeColor="text1"/>
                <w:sz w:val="16"/>
                <w:szCs w:val="16"/>
              </w:rPr>
            </w:pPr>
            <w:r w:rsidRPr="00507A31">
              <w:rPr>
                <w:rStyle w:val="a7"/>
                <w:b w:val="0"/>
                <w:color w:val="000000" w:themeColor="text1"/>
                <w:sz w:val="16"/>
                <w:szCs w:val="16"/>
              </w:rPr>
              <w:lastRenderedPageBreak/>
              <w:t>Танков</w:t>
            </w:r>
          </w:p>
        </w:tc>
      </w:tr>
      <w:tr w:rsidR="00A61694" w:rsidRPr="00507A31" w14:paraId="00BD75B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C5D6B6B" w14:textId="77777777" w:rsidR="00442680" w:rsidRPr="00507A31" w:rsidRDefault="00442680" w:rsidP="00507A31">
            <w:pPr>
              <w:jc w:val="both"/>
              <w:rPr>
                <w:color w:val="000000" w:themeColor="text1"/>
                <w:sz w:val="16"/>
                <w:szCs w:val="16"/>
              </w:rPr>
            </w:pPr>
            <w:r w:rsidRPr="00507A31">
              <w:rPr>
                <w:color w:val="000000" w:themeColor="text1"/>
                <w:sz w:val="16"/>
                <w:szCs w:val="16"/>
              </w:rPr>
              <w:t>мал[ых]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F02B" w14:textId="77777777" w:rsidR="00442680" w:rsidRPr="00507A31" w:rsidRDefault="00442680" w:rsidP="00507A31">
            <w:pPr>
              <w:jc w:val="both"/>
              <w:rPr>
                <w:color w:val="000000" w:themeColor="text1"/>
                <w:sz w:val="16"/>
                <w:szCs w:val="16"/>
              </w:rPr>
            </w:pPr>
            <w:r w:rsidRPr="00507A31">
              <w:rPr>
                <w:color w:val="000000" w:themeColor="text1"/>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064AF" w14:textId="77777777" w:rsidR="00442680" w:rsidRPr="00507A31" w:rsidRDefault="00442680" w:rsidP="00507A31">
            <w:pPr>
              <w:jc w:val="both"/>
              <w:rPr>
                <w:color w:val="000000" w:themeColor="text1"/>
                <w:sz w:val="16"/>
                <w:szCs w:val="16"/>
              </w:rPr>
            </w:pPr>
            <w:r w:rsidRPr="00507A31">
              <w:rPr>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356DA" w14:textId="77777777" w:rsidR="00442680" w:rsidRPr="00507A31" w:rsidRDefault="00442680" w:rsidP="00507A31">
            <w:pPr>
              <w:jc w:val="both"/>
              <w:rPr>
                <w:color w:val="000000" w:themeColor="text1"/>
                <w:sz w:val="16"/>
                <w:szCs w:val="16"/>
              </w:rPr>
            </w:pPr>
            <w:r w:rsidRPr="00507A31">
              <w:rPr>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7DBC3" w14:textId="77777777" w:rsidR="00442680" w:rsidRPr="00507A31" w:rsidRDefault="00442680" w:rsidP="00507A31">
            <w:pPr>
              <w:jc w:val="both"/>
              <w:rPr>
                <w:color w:val="000000" w:themeColor="text1"/>
                <w:sz w:val="16"/>
                <w:szCs w:val="16"/>
              </w:rPr>
            </w:pPr>
            <w:r w:rsidRPr="00507A31">
              <w:rPr>
                <w:color w:val="000000" w:themeColor="text1"/>
                <w:sz w:val="16"/>
                <w:szCs w:val="16"/>
              </w:rPr>
              <w:t>18 750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69744" w14:textId="77777777" w:rsidR="00442680" w:rsidRPr="00507A31" w:rsidRDefault="00442680" w:rsidP="00507A31">
            <w:pPr>
              <w:jc w:val="both"/>
              <w:rPr>
                <w:color w:val="000000" w:themeColor="text1"/>
                <w:sz w:val="16"/>
                <w:szCs w:val="16"/>
              </w:rPr>
            </w:pPr>
            <w:r w:rsidRPr="00507A31">
              <w:rPr>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5D3DB" w14:textId="77777777" w:rsidR="00442680" w:rsidRPr="00507A31" w:rsidRDefault="00442680" w:rsidP="00507A31">
            <w:pPr>
              <w:jc w:val="both"/>
              <w:rPr>
                <w:color w:val="000000" w:themeColor="text1"/>
                <w:sz w:val="16"/>
                <w:szCs w:val="16"/>
              </w:rPr>
            </w:pPr>
            <w:r w:rsidRPr="00507A31">
              <w:rPr>
                <w:color w:val="000000" w:themeColor="text1"/>
                <w:sz w:val="16"/>
                <w:szCs w:val="16"/>
              </w:rPr>
              <w:t>33 000</w:t>
            </w:r>
          </w:p>
        </w:tc>
      </w:tr>
      <w:tr w:rsidR="00A61694" w:rsidRPr="00507A31" w14:paraId="18A60ACA"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F58C7F6" w14:textId="77777777" w:rsidR="00442680" w:rsidRPr="00507A31" w:rsidRDefault="00442680" w:rsidP="00507A31">
            <w:pPr>
              <w:jc w:val="both"/>
              <w:rPr>
                <w:color w:val="000000" w:themeColor="text1"/>
                <w:sz w:val="16"/>
                <w:szCs w:val="16"/>
              </w:rPr>
            </w:pPr>
            <w:r w:rsidRPr="00507A31">
              <w:rPr>
                <w:color w:val="000000" w:themeColor="text1"/>
                <w:sz w:val="16"/>
                <w:szCs w:val="16"/>
              </w:rPr>
              <w:t>сред[них]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C1F35" w14:textId="77777777" w:rsidR="00442680" w:rsidRPr="00507A31" w:rsidRDefault="00442680"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5F66A" w14:textId="77777777" w:rsidR="00442680" w:rsidRPr="00507A31" w:rsidRDefault="00442680"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B2942" w14:textId="77777777" w:rsidR="00442680" w:rsidRPr="00507A31" w:rsidRDefault="00442680"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AA045" w14:textId="77777777" w:rsidR="00442680" w:rsidRPr="00507A31" w:rsidRDefault="00442680" w:rsidP="00507A31">
            <w:pPr>
              <w:jc w:val="both"/>
              <w:rPr>
                <w:color w:val="000000" w:themeColor="text1"/>
                <w:sz w:val="16"/>
                <w:szCs w:val="16"/>
              </w:rPr>
            </w:pPr>
            <w:r w:rsidRPr="00507A31">
              <w:rPr>
                <w:color w:val="000000" w:themeColor="text1"/>
                <w:sz w:val="16"/>
                <w:szCs w:val="16"/>
              </w:rPr>
              <w:t>46 875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341FF" w14:textId="77777777" w:rsidR="00442680" w:rsidRPr="00507A31" w:rsidRDefault="00442680" w:rsidP="00507A31">
            <w:pPr>
              <w:jc w:val="both"/>
              <w:rPr>
                <w:color w:val="000000" w:themeColor="text1"/>
                <w:sz w:val="16"/>
                <w:szCs w:val="16"/>
              </w:rPr>
            </w:pPr>
            <w:r w:rsidRPr="00507A31">
              <w:rPr>
                <w:color w:val="000000" w:themeColor="text1"/>
                <w:sz w:val="16"/>
                <w:szCs w:val="16"/>
              </w:rPr>
              <w:t>42 000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9FB0" w14:textId="77777777" w:rsidR="00442680" w:rsidRPr="00507A31" w:rsidRDefault="00442680" w:rsidP="00507A31">
            <w:pPr>
              <w:jc w:val="both"/>
              <w:rPr>
                <w:color w:val="000000" w:themeColor="text1"/>
                <w:sz w:val="16"/>
                <w:szCs w:val="16"/>
              </w:rPr>
            </w:pPr>
            <w:r w:rsidRPr="00507A31">
              <w:rPr>
                <w:color w:val="000000" w:themeColor="text1"/>
                <w:sz w:val="16"/>
                <w:szCs w:val="16"/>
              </w:rPr>
              <w:t>83 000</w:t>
            </w:r>
          </w:p>
        </w:tc>
      </w:tr>
      <w:tr w:rsidR="00A61694" w:rsidRPr="00507A31" w14:paraId="57E0DB9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4F8B7EF" w14:textId="77777777" w:rsidR="00442680" w:rsidRPr="00507A31" w:rsidRDefault="00442680" w:rsidP="00507A31">
            <w:pPr>
              <w:jc w:val="both"/>
              <w:rPr>
                <w:color w:val="000000" w:themeColor="text1"/>
                <w:sz w:val="16"/>
                <w:szCs w:val="16"/>
              </w:rPr>
            </w:pPr>
            <w:r w:rsidRPr="00507A31">
              <w:rPr>
                <w:color w:val="000000" w:themeColor="text1"/>
                <w:sz w:val="16"/>
                <w:szCs w:val="16"/>
              </w:rPr>
              <w:t>Тракторов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5096A" w14:textId="77777777" w:rsidR="00442680" w:rsidRPr="00507A31" w:rsidRDefault="00442680" w:rsidP="00507A31">
            <w:pPr>
              <w:jc w:val="both"/>
              <w:rPr>
                <w:color w:val="000000" w:themeColor="text1"/>
                <w:sz w:val="16"/>
                <w:szCs w:val="16"/>
              </w:rPr>
            </w:pPr>
            <w:r w:rsidRPr="00507A31">
              <w:rPr>
                <w:color w:val="000000" w:themeColor="text1"/>
                <w:sz w:val="16"/>
                <w:szCs w:val="16"/>
              </w:rPr>
              <w:t>1083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70D2F" w14:textId="77777777" w:rsidR="00442680" w:rsidRPr="00507A31" w:rsidRDefault="00442680" w:rsidP="00507A31">
            <w:pPr>
              <w:jc w:val="both"/>
              <w:rPr>
                <w:color w:val="000000" w:themeColor="text1"/>
                <w:sz w:val="16"/>
                <w:szCs w:val="16"/>
              </w:rPr>
            </w:pPr>
            <w:r w:rsidRPr="00507A31">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1B093" w14:textId="77777777" w:rsidR="00442680" w:rsidRPr="00507A31" w:rsidRDefault="00442680" w:rsidP="00507A31">
            <w:pPr>
              <w:jc w:val="both"/>
              <w:rPr>
                <w:color w:val="000000" w:themeColor="text1"/>
                <w:sz w:val="16"/>
                <w:szCs w:val="16"/>
              </w:rPr>
            </w:pPr>
            <w:r w:rsidRPr="00507A31">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FAB7A" w14:textId="77777777" w:rsidR="00442680" w:rsidRPr="00507A31" w:rsidRDefault="00442680" w:rsidP="00507A31">
            <w:pPr>
              <w:jc w:val="both"/>
              <w:rPr>
                <w:color w:val="000000" w:themeColor="text1"/>
                <w:sz w:val="16"/>
                <w:szCs w:val="16"/>
              </w:rPr>
            </w:pPr>
            <w:r w:rsidRPr="00507A31">
              <w:rPr>
                <w:color w:val="000000" w:themeColor="text1"/>
                <w:sz w:val="16"/>
                <w:szCs w:val="16"/>
              </w:rPr>
              <w:t>140 000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24A60" w14:textId="77777777" w:rsidR="00442680" w:rsidRPr="00507A31" w:rsidRDefault="00442680" w:rsidP="00507A31">
            <w:pPr>
              <w:jc w:val="both"/>
              <w:rPr>
                <w:color w:val="000000" w:themeColor="text1"/>
                <w:sz w:val="16"/>
                <w:szCs w:val="16"/>
              </w:rPr>
            </w:pPr>
            <w:r w:rsidRPr="00507A31">
              <w:rPr>
                <w:color w:val="000000" w:themeColor="text1"/>
                <w:sz w:val="16"/>
                <w:szCs w:val="16"/>
              </w:rPr>
              <w:t>17 300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C23A9" w14:textId="77777777" w:rsidR="00442680" w:rsidRPr="00507A31" w:rsidRDefault="00442680" w:rsidP="00507A31">
            <w:pPr>
              <w:jc w:val="both"/>
              <w:rPr>
                <w:color w:val="000000" w:themeColor="text1"/>
                <w:sz w:val="16"/>
                <w:szCs w:val="16"/>
              </w:rPr>
            </w:pPr>
            <w:r w:rsidRPr="00507A31">
              <w:rPr>
                <w:color w:val="000000" w:themeColor="text1"/>
                <w:sz w:val="16"/>
                <w:szCs w:val="16"/>
              </w:rPr>
              <w:t>67 000</w:t>
            </w:r>
          </w:p>
        </w:tc>
      </w:tr>
      <w:tr w:rsidR="00A61694" w:rsidRPr="00507A31" w14:paraId="490A7A8F"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68561257" w14:textId="77777777" w:rsidR="00442680" w:rsidRPr="00507A31" w:rsidRDefault="00442680" w:rsidP="00507A31">
            <w:pPr>
              <w:jc w:val="both"/>
              <w:rPr>
                <w:color w:val="000000" w:themeColor="text1"/>
                <w:sz w:val="16"/>
                <w:szCs w:val="16"/>
              </w:rPr>
            </w:pPr>
            <w:r w:rsidRPr="00507A31">
              <w:rPr>
                <w:rStyle w:val="a7"/>
                <w:b w:val="0"/>
                <w:color w:val="000000" w:themeColor="text1"/>
                <w:sz w:val="16"/>
                <w:szCs w:val="16"/>
              </w:rPr>
              <w:t>Автомоб[илей]</w:t>
            </w:r>
          </w:p>
        </w:tc>
      </w:tr>
      <w:tr w:rsidR="00A61694" w:rsidRPr="00507A31" w14:paraId="2C14DFB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20C8974" w14:textId="77777777" w:rsidR="00442680" w:rsidRPr="00507A31" w:rsidRDefault="00442680" w:rsidP="00507A31">
            <w:pPr>
              <w:jc w:val="both"/>
              <w:rPr>
                <w:color w:val="000000" w:themeColor="text1"/>
                <w:sz w:val="16"/>
                <w:szCs w:val="16"/>
              </w:rPr>
            </w:pPr>
            <w:r w:rsidRPr="00507A31">
              <w:rPr>
                <w:color w:val="000000" w:themeColor="text1"/>
                <w:sz w:val="16"/>
                <w:szCs w:val="16"/>
              </w:rPr>
              <w:t>легк[овых]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20840" w14:textId="77777777" w:rsidR="00442680" w:rsidRPr="00507A31" w:rsidRDefault="00442680" w:rsidP="00507A31">
            <w:pPr>
              <w:jc w:val="both"/>
              <w:rPr>
                <w:color w:val="000000" w:themeColor="text1"/>
                <w:sz w:val="16"/>
                <w:szCs w:val="16"/>
              </w:rPr>
            </w:pPr>
            <w:r w:rsidRPr="00507A31">
              <w:rPr>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34250" w14:textId="77777777" w:rsidR="00442680" w:rsidRPr="00507A31" w:rsidRDefault="00442680" w:rsidP="00507A31">
            <w:pPr>
              <w:jc w:val="both"/>
              <w:rPr>
                <w:color w:val="000000" w:themeColor="text1"/>
                <w:sz w:val="16"/>
                <w:szCs w:val="16"/>
              </w:rPr>
            </w:pPr>
            <w:r w:rsidRPr="00507A31">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3C058" w14:textId="77777777" w:rsidR="00442680" w:rsidRPr="00507A31" w:rsidRDefault="00442680" w:rsidP="00507A31">
            <w:pPr>
              <w:jc w:val="both"/>
              <w:rPr>
                <w:color w:val="000000" w:themeColor="text1"/>
                <w:sz w:val="16"/>
                <w:szCs w:val="16"/>
              </w:rPr>
            </w:pPr>
            <w:r w:rsidRPr="00507A31">
              <w:rPr>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6BC2B" w14:textId="77777777" w:rsidR="00442680" w:rsidRPr="00507A31" w:rsidRDefault="00442680" w:rsidP="00507A31">
            <w:pPr>
              <w:jc w:val="both"/>
              <w:rPr>
                <w:color w:val="000000" w:themeColor="text1"/>
                <w:sz w:val="16"/>
                <w:szCs w:val="16"/>
              </w:rPr>
            </w:pPr>
            <w:r w:rsidRPr="00507A31">
              <w:rPr>
                <w:color w:val="000000" w:themeColor="text1"/>
                <w:sz w:val="16"/>
                <w:szCs w:val="16"/>
              </w:rPr>
              <w:t>28 700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DB369" w14:textId="77777777" w:rsidR="00442680" w:rsidRPr="00507A31" w:rsidRDefault="00442680" w:rsidP="00507A31">
            <w:pPr>
              <w:jc w:val="both"/>
              <w:rPr>
                <w:color w:val="000000" w:themeColor="text1"/>
                <w:sz w:val="16"/>
                <w:szCs w:val="16"/>
              </w:rPr>
            </w:pPr>
            <w:r w:rsidRPr="00507A31">
              <w:rPr>
                <w:color w:val="000000" w:themeColor="text1"/>
                <w:sz w:val="16"/>
                <w:szCs w:val="16"/>
              </w:rPr>
              <w:t>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88B4D" w14:textId="77777777" w:rsidR="00442680" w:rsidRPr="00507A31" w:rsidRDefault="00442680" w:rsidP="00507A31">
            <w:pPr>
              <w:jc w:val="both"/>
              <w:rPr>
                <w:color w:val="000000" w:themeColor="text1"/>
                <w:sz w:val="16"/>
                <w:szCs w:val="16"/>
              </w:rPr>
            </w:pPr>
            <w:r w:rsidRPr="00507A31">
              <w:rPr>
                <w:color w:val="000000" w:themeColor="text1"/>
                <w:sz w:val="16"/>
                <w:szCs w:val="16"/>
              </w:rPr>
              <w:t>13 500</w:t>
            </w:r>
          </w:p>
        </w:tc>
      </w:tr>
      <w:tr w:rsidR="00A61694" w:rsidRPr="00507A31" w14:paraId="709CF2E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7D83C8A" w14:textId="77777777" w:rsidR="00442680" w:rsidRPr="00507A31" w:rsidRDefault="00442680" w:rsidP="00507A31">
            <w:pPr>
              <w:jc w:val="both"/>
              <w:rPr>
                <w:color w:val="000000" w:themeColor="text1"/>
                <w:sz w:val="16"/>
                <w:szCs w:val="16"/>
              </w:rPr>
            </w:pPr>
            <w:r w:rsidRPr="00507A31">
              <w:rPr>
                <w:color w:val="000000" w:themeColor="text1"/>
                <w:sz w:val="16"/>
                <w:szCs w:val="16"/>
              </w:rPr>
              <w:t>грузов[ых]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73CAA" w14:textId="77777777" w:rsidR="00442680" w:rsidRPr="00507A31" w:rsidRDefault="00442680" w:rsidP="00507A31">
            <w:pPr>
              <w:jc w:val="both"/>
              <w:rPr>
                <w:color w:val="000000" w:themeColor="text1"/>
                <w:sz w:val="16"/>
                <w:szCs w:val="16"/>
              </w:rPr>
            </w:pPr>
            <w:r w:rsidRPr="00507A31">
              <w:rPr>
                <w:color w:val="000000" w:themeColor="text1"/>
                <w:sz w:val="16"/>
                <w:szCs w:val="16"/>
              </w:rPr>
              <w:t>8298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F515A" w14:textId="77777777" w:rsidR="00442680" w:rsidRPr="00507A31" w:rsidRDefault="00442680" w:rsidP="00507A31">
            <w:pPr>
              <w:jc w:val="both"/>
              <w:rPr>
                <w:color w:val="000000" w:themeColor="text1"/>
                <w:sz w:val="16"/>
                <w:szCs w:val="16"/>
              </w:rPr>
            </w:pPr>
            <w:r w:rsidRPr="00507A31">
              <w:rPr>
                <w:color w:val="000000" w:themeColor="text1"/>
                <w:sz w:val="16"/>
                <w:szCs w:val="16"/>
              </w:rPr>
              <w:t>6415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0AC75" w14:textId="77777777" w:rsidR="00442680" w:rsidRPr="00507A31" w:rsidRDefault="00442680" w:rsidP="00507A31">
            <w:pPr>
              <w:jc w:val="both"/>
              <w:rPr>
                <w:color w:val="000000" w:themeColor="text1"/>
                <w:sz w:val="16"/>
                <w:szCs w:val="16"/>
              </w:rPr>
            </w:pPr>
            <w:r w:rsidRPr="00507A31">
              <w:rPr>
                <w:color w:val="000000" w:themeColor="text1"/>
                <w:sz w:val="16"/>
                <w:szCs w:val="16"/>
              </w:rPr>
              <w:t>19215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4D846" w14:textId="77777777" w:rsidR="00442680" w:rsidRPr="00507A31" w:rsidRDefault="00442680" w:rsidP="00507A31">
            <w:pPr>
              <w:jc w:val="both"/>
              <w:rPr>
                <w:color w:val="000000" w:themeColor="text1"/>
                <w:sz w:val="16"/>
                <w:szCs w:val="16"/>
              </w:rPr>
            </w:pPr>
            <w:r w:rsidRPr="00507A31">
              <w:rPr>
                <w:color w:val="000000" w:themeColor="text1"/>
                <w:sz w:val="16"/>
                <w:szCs w:val="16"/>
              </w:rPr>
              <w:t>324 000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9D21E" w14:textId="77777777" w:rsidR="00442680" w:rsidRPr="00507A31" w:rsidRDefault="00442680" w:rsidP="00507A31">
            <w:pPr>
              <w:jc w:val="both"/>
              <w:rPr>
                <w:color w:val="000000" w:themeColor="text1"/>
                <w:sz w:val="16"/>
                <w:szCs w:val="16"/>
              </w:rPr>
            </w:pPr>
            <w:r w:rsidRPr="00507A31">
              <w:rPr>
                <w:color w:val="000000" w:themeColor="text1"/>
                <w:sz w:val="16"/>
                <w:szCs w:val="16"/>
              </w:rPr>
              <w:t>66 000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E96D4" w14:textId="77777777" w:rsidR="00442680" w:rsidRPr="00507A31" w:rsidRDefault="00442680" w:rsidP="00507A31">
            <w:pPr>
              <w:jc w:val="both"/>
              <w:rPr>
                <w:color w:val="000000" w:themeColor="text1"/>
                <w:sz w:val="16"/>
                <w:szCs w:val="16"/>
              </w:rPr>
            </w:pPr>
            <w:r w:rsidRPr="00507A31">
              <w:rPr>
                <w:color w:val="000000" w:themeColor="text1"/>
                <w:sz w:val="16"/>
                <w:szCs w:val="16"/>
              </w:rPr>
              <w:t>104 900</w:t>
            </w:r>
          </w:p>
        </w:tc>
      </w:tr>
    </w:tbl>
    <w:p w14:paraId="501F17A7"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Для того чтобы осуществить проект т. Тухачевского, необходимо увеличить заказы промышленности, взяв для примера последний год пятилетки (1932/33 г.): по винтовкам — на 426%, по ручным пулеметам — на 3450%, по винтпатронам — на 2158%, по мелкокалиберной артиллерии — на 3333%, по самолетам — на 1891%, по моторам — на 2207% и т. д. и т. д. В численном выражении получается, что наша промышленность в 1932/33 г. должна выпускать 1,5 тыс. орудий средних калибров в месяц, тяжелых орудий — 525 в месяц, т. е. примерно то же, что германская промышленность достигла при крайнем своем военном напряжении, т. е. в 1918 г.</w:t>
      </w:r>
    </w:p>
    <w:p w14:paraId="53DB4133"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Потребные для этого затраты определить трудно. Для характеристики можно привести пример с развертыванием производства пулеметов Дегтярева с 15 до 40 тыс. шт. в год. На это потребовалось 12 млн. руб. По запроектированной же армии промышленность должна подать 350 тыс. ручных пулеметов, для чего необходима срочная постройка не менее 7 новых заводов, мощностью в 50 тыс. пулеметов каждый (как Тульский и Ковровский взятые вместе), учитывая, что пулеметное производство не может быть поставлено на заводах гражданской промышленности.</w:t>
      </w:r>
    </w:p>
    <w:p w14:paraId="1D613212"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Выпуск промышленностью 41 тыс. самолетов в год и 55 тыс. моторов — это превышает те цифры, которые давались Англией в 1918 г. (а мы ведь должны это дать в мирное время).</w:t>
      </w:r>
    </w:p>
    <w:p w14:paraId="34CAAFA3"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Финансовое выражение заказов мирного времени в течение трех лет для осуществления проекта т. Тухачевского составит кругло сумму в 58 млрд. руб. по ценам 1929/30 г.; год ведения войны будет стоить 77 млрд. руб.</w:t>
      </w:r>
    </w:p>
    <w:p w14:paraId="5EC0C48C" w14:textId="77777777" w:rsidR="00442680" w:rsidRPr="00507A31" w:rsidRDefault="00442680" w:rsidP="00507A31">
      <w:pPr>
        <w:jc w:val="both"/>
        <w:rPr>
          <w:color w:val="000000" w:themeColor="text1"/>
          <w:sz w:val="16"/>
          <w:szCs w:val="16"/>
        </w:rPr>
      </w:pPr>
      <w:r w:rsidRPr="00507A31">
        <w:rPr>
          <w:color w:val="000000" w:themeColor="text1"/>
          <w:sz w:val="16"/>
          <w:szCs w:val="16"/>
        </w:rPr>
        <w:t>7. Экономические возможности удовлетворения заявки на год ведения войны</w:t>
      </w:r>
    </w:p>
    <w:p w14:paraId="244121E0"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Тов. Тухачевский считает, что «узким» местом для развертывания наших дивизий будет являться не промышленность, а транспорт.</w:t>
      </w:r>
    </w:p>
    <w:p w14:paraId="71BD613E"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В Штабе РККА на основании полученных из Госплана весьма ориентировочных данных был произведен подсчет возможностей удовлетворения по сырью программы в «245 стр[елковых] дивизий». Получается, что во время войны процент отчуждения для военведа из всей суммы ресурсов народного хозяйства, учитывая новые повышенные показатели пятилетки, будет: по стали — 68%, по прокату стали — 28%, по цветным металлам — 100% плюс огромный импорт. Это, конечно, парализовало бы всю экономическую жизнь СССР. Если же взять процент отчуждения в повышенных нормах нашего варианта № 12, то вариант в «245 стр[елковых| дивизий» вообще может быть обеспечен: по стали — 28%, по меди — 21%, по азот[ной] кисл[оте] — 24% и т. д. Иными словами, получается огромное недопроизводство боеснабжения, ориентировочно: полевых орудий — 33 440 шт., пулеметов — до 780 тыс. шт., самолетов — до 59 тыс. шт., выстрелов — до 90 млн. шт. и т. д. Основным лимитом будет азотная кислота.</w:t>
      </w:r>
    </w:p>
    <w:p w14:paraId="094883AF"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Наладить производство самолетов по проекту т. Тухачевского также невозможно. Мы испытываем затруднения в алюминии, отсутствии производства стальных цельнотянутых труб, магнето, шарикоподшипниках, даже в авиаполотне, имеем мало заводов и подсобных предприятий, мало квалифицированной силы.</w:t>
      </w:r>
    </w:p>
    <w:p w14:paraId="3DF0834D"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Для выполнения утвержденной правительством программы удовлетворения нашей авиации к концу пятилетки в первый год войны до 7140 самолетов и 9116 моторов потребовалось вложение в капитальное строительство до 200 млн. руб., не считая прочих затрат. Трудно исчислить, какие бы потребовались суммы, чтобы довести годовую продукцию в военное время до 67 394 самолетов и 75 581 мотора, потребных по проекту т. Тухачевского.</w:t>
      </w:r>
    </w:p>
    <w:p w14:paraId="4EE9F9B0"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Ассимиляция авиапроизводства с автомобильным, выдвинутая т. Тухачевским, в основе правильна, но необходимо учесть, что современные высотные моторы далеки по конструкции от автомоторов. Даже Форду понадобилось около года, пока его предприятие переходило от автопроизводства к авиационному.</w:t>
      </w:r>
    </w:p>
    <w:p w14:paraId="011CB12E"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Бензина для самолетов, автомоторов и танков на год ведения войны потребуется: по варианту № 12 — 512 218 т, по варианту т. Тухачевского — 7 167 768 т. Считая 10</w:t>
      </w:r>
      <w:r w:rsidRPr="00507A31">
        <w:rPr>
          <w:color w:val="000000" w:themeColor="text1"/>
          <w:sz w:val="16"/>
          <w:szCs w:val="16"/>
        </w:rPr>
        <w:noBreakHyphen/>
        <w:t>процентный выход бензина из нефти, мы будем иметь бензина по новым заданиям для последнего года пятилетки 4,2 млн. т, т. е. 58% потребности НКВМ при условии 100% отчуждения у страны.</w:t>
      </w:r>
    </w:p>
    <w:p w14:paraId="44C5D5D4"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Не менее тяжелые затруднения и необходимость урезать до крайности основные жизненные ресурсы страны встретило бы выполнение проекта т. Тухачевского по танкам (нужно увеличить производство в 24 раза), не говоря о том, что нельзя два трактора считать равными одному танку, по снарядам и патронам, взрывателям, дистанционным трубкам и т.д. и т. д. Несколько легче, при условии осуществления пятилетки, реализовать проект по автотранспорту.</w:t>
      </w:r>
    </w:p>
    <w:p w14:paraId="74A8EE9F"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Нельзя также, говоря об экономических возможностях, не указать на то влияние, которое окажет призыв в армию сразу же по мобилизации до 10,5 млн. чел. военнообязанных трудового населения страны, при немедленной необходимости последующих огромных призывов.</w:t>
      </w:r>
    </w:p>
    <w:p w14:paraId="0FD72F71" w14:textId="77777777" w:rsidR="00442680" w:rsidRPr="00507A31" w:rsidRDefault="00442680" w:rsidP="00507A31">
      <w:pPr>
        <w:jc w:val="both"/>
        <w:rPr>
          <w:color w:val="000000" w:themeColor="text1"/>
          <w:sz w:val="16"/>
          <w:szCs w:val="16"/>
        </w:rPr>
      </w:pPr>
      <w:r w:rsidRPr="00507A31">
        <w:rPr>
          <w:color w:val="000000" w:themeColor="text1"/>
          <w:sz w:val="16"/>
          <w:szCs w:val="16"/>
        </w:rPr>
        <w:t>8. Финансовое выражение программы на 245 стр[елковых] дивизий</w:t>
      </w:r>
    </w:p>
    <w:p w14:paraId="4D43C842"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Оснащение армии в 245 стр[елковых] дивизий техникой и содержание ее кадров в мирное время потребует колоссальных затрат. Приведем некоторые данные: как выше указывалось, накопление вооружения потребует до 58 млрд. руб. в ценах 1929/30 г. Если себестоимость за остающиеся 3 года снизится на 20%, сумма выразится в 45</w:t>
      </w:r>
      <w:r w:rsidRPr="00507A31">
        <w:rPr>
          <w:color w:val="000000" w:themeColor="text1"/>
          <w:sz w:val="16"/>
          <w:szCs w:val="16"/>
        </w:rPr>
        <w:noBreakHyphen/>
        <w:t>46 млрд. руб. Это только на технику. Если исходить из того, что мы предполагаем в предстоящие 3 года тратить на технику до 60% бюджета военведа (пока тратим 41%), то за последние 3 года пятилетки бюджет военведа должен вылиться кругло, с 20</w:t>
      </w:r>
      <w:r w:rsidRPr="00507A31">
        <w:rPr>
          <w:color w:val="000000" w:themeColor="text1"/>
          <w:sz w:val="16"/>
          <w:szCs w:val="16"/>
        </w:rPr>
        <w:noBreakHyphen/>
        <w:t>процентным снижением цен, в 63 млрд. По оптимальному варианту Госплана весь госбюджет за эти 3 года исчисляется в 36 970 тыс. руб., беря даже прирост в 22% — 51 526 тыс. руб., т. е. не удовлетворит даже заявку одного лишь военведа.</w:t>
      </w:r>
    </w:p>
    <w:p w14:paraId="3C666D62"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Еще цифры: по варианту № 12 наша заявка на год ведения войны — 11 млрд. Подсчет стоимости года войны по варианту т. Тухачевского дает 77 млрд. руб., со снижением цен — 62 млрд. руб., в то время как весь народный доход по оптимальному варианту Госплана составит 50 млрд. (из них 28,8 млрд. — непроизводственное потребление).</w:t>
      </w:r>
    </w:p>
    <w:p w14:paraId="407F2789"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Стоимость года войны по т. Тухачевскому — 77 млрд., в то время как в мировую войну Англия, Германия, Франция и Россия вместе тратили 40 млрд. долларов. Увеличение стоимости года ведения войны, главным образом, объясняется широким увеличением в составе армии самолетов, танков, автомобилей и артиллерии.</w:t>
      </w:r>
    </w:p>
    <w:p w14:paraId="691C91ED" w14:textId="77777777" w:rsidR="00442680" w:rsidRPr="00507A31" w:rsidRDefault="00442680" w:rsidP="00507A31">
      <w:pPr>
        <w:jc w:val="both"/>
        <w:rPr>
          <w:color w:val="000000" w:themeColor="text1"/>
          <w:sz w:val="16"/>
          <w:szCs w:val="16"/>
        </w:rPr>
      </w:pPr>
      <w:r w:rsidRPr="00507A31">
        <w:rPr>
          <w:color w:val="000000" w:themeColor="text1"/>
          <w:sz w:val="16"/>
          <w:szCs w:val="16"/>
        </w:rPr>
        <w:t>9. Транспорт</w:t>
      </w:r>
    </w:p>
    <w:p w14:paraId="0817252A"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Произведенный Штабом ориентировочный подсчет сосредоточения такой армии к нашим границам, учитывая подвоз корпусов снабжения и резервов, исходя из провозоспособности линий по графику к концу пятилетки, показывает, что сосредоточение в основной массе закончится на 30</w:t>
      </w:r>
      <w:r w:rsidRPr="00507A31">
        <w:rPr>
          <w:color w:val="000000" w:themeColor="text1"/>
          <w:sz w:val="16"/>
          <w:szCs w:val="16"/>
        </w:rPr>
        <w:noBreakHyphen/>
        <w:t>35 день, а окончательно на 62 день (у т. Тухачевского на 28 день).</w:t>
      </w:r>
    </w:p>
    <w:p w14:paraId="7AF97D98"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Подвижного состава, исходя из пятилетки транспорта, не будет хватать для этих перевозок: паровозов — 1602, вагонов — 42 052. Развертывание армии в 150 стр[елковых] дивизий на участке Себеж — Слуцк на 400 км встретит затруднения в сети грунтовых дорог, ибо каждая дивизия будет иметь не менее 500 автомобилей.</w:t>
      </w:r>
    </w:p>
    <w:p w14:paraId="5054190B"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Тов. Тухачевский учитывает это и указывает на необходимость быстро восстановить грунтовые пути и использовать авиацию как средство подвоза, но пятилетка нашей гражданской авиации в связи с потребностями для подвоза очень мала.</w:t>
      </w:r>
    </w:p>
    <w:p w14:paraId="45519955" w14:textId="77777777" w:rsidR="00442680" w:rsidRPr="00507A31" w:rsidRDefault="00442680" w:rsidP="00507A31">
      <w:pPr>
        <w:jc w:val="both"/>
        <w:rPr>
          <w:color w:val="000000" w:themeColor="text1"/>
          <w:sz w:val="16"/>
          <w:szCs w:val="16"/>
        </w:rPr>
      </w:pPr>
      <w:r w:rsidRPr="00507A31">
        <w:rPr>
          <w:color w:val="000000" w:themeColor="text1"/>
          <w:sz w:val="16"/>
          <w:szCs w:val="16"/>
        </w:rPr>
        <w:t>10. Заключение</w:t>
      </w:r>
    </w:p>
    <w:p w14:paraId="66741FA7"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Штаб в заключение отмечает, что в основных предпосылках — а) увеличение армии военного времени, б) развитие авиации, в) развитие танк[овых] средств — доклад т. Тухачевского стоит на верных путях. Эти пути учитываются сейчас Штабом РККА в его проработке второй половины пятилетнего плана. Однако экономический рост СССР и наличие отработанного людского запаса не дают еще никакой возможности реализовать запроектированную армию в 245 стр[елковых] дивизий⁴*.</w:t>
      </w:r>
    </w:p>
    <w:p w14:paraId="0FEF3857" w14:textId="77777777" w:rsidR="00442680" w:rsidRPr="00507A31" w:rsidRDefault="00442680"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67511FF2"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xml:space="preserve">* См. документ от </w:t>
      </w:r>
      <w:r w:rsidRPr="00507A31">
        <w:rPr>
          <w:rStyle w:val="af0"/>
          <w:i w:val="0"/>
          <w:color w:val="000000" w:themeColor="text1"/>
          <w:sz w:val="16"/>
          <w:szCs w:val="16"/>
        </w:rPr>
        <w:t xml:space="preserve">11 января 1930 г. — </w:t>
      </w:r>
      <w:r w:rsidRPr="00507A31">
        <w:rPr>
          <w:color w:val="000000" w:themeColor="text1"/>
          <w:sz w:val="16"/>
          <w:szCs w:val="16"/>
        </w:rPr>
        <w:t>Доклад командующего войсками Ленинградского военного округа М. Н. Тухачевского наркому по военным и морским делам СССР, председателю Реввоенсовета СССР К. Е. Ворошилову об основных направлениях реконструкции вооруженных сил</w:t>
      </w:r>
    </w:p>
    <w:p w14:paraId="2E43658D"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Датировано по сопроводительной записке.</w:t>
      </w:r>
    </w:p>
    <w:p w14:paraId="6A9B9582"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Опущены разделы 1</w:t>
      </w:r>
      <w:r w:rsidRPr="00507A31">
        <w:rPr>
          <w:color w:val="000000" w:themeColor="text1"/>
          <w:sz w:val="16"/>
          <w:szCs w:val="16"/>
        </w:rPr>
        <w:noBreakHyphen/>
        <w:t>5 об организации армии.</w:t>
      </w:r>
    </w:p>
    <w:p w14:paraId="6DC37A69"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vertAlign w:val="superscript"/>
        </w:rPr>
        <w:t>4</w:t>
      </w:r>
      <w:r w:rsidRPr="00507A31">
        <w:rPr>
          <w:color w:val="000000" w:themeColor="text1"/>
          <w:sz w:val="16"/>
          <w:szCs w:val="16"/>
        </w:rPr>
        <w:t xml:space="preserve">* 19 июня 1930 г. М. Н. Тухачевский в письме, отправленном И. В. Сталину с пометкой «только лично», в частности писал: «...должен заявить, что моего в </w:t>
      </w:r>
      <w:r w:rsidRPr="00507A31">
        <w:rPr>
          <w:rStyle w:val="af0"/>
          <w:i w:val="0"/>
          <w:color w:val="000000" w:themeColor="text1"/>
          <w:sz w:val="16"/>
          <w:szCs w:val="16"/>
        </w:rPr>
        <w:t>докладе Штаба РККА</w:t>
      </w:r>
      <w:r w:rsidRPr="00507A31">
        <w:rPr>
          <w:color w:val="000000" w:themeColor="text1"/>
          <w:sz w:val="16"/>
          <w:szCs w:val="16"/>
        </w:rPr>
        <w:t xml:space="preserve"> нет абсолютно ничего. Мои предложения представлены даже не в карикатурном виде, а в прямом смысле в форме «записок сумасшедшего»». Далее подробно характеризуя цифры, приведенные в докладе Штаба РККА, он указывал: «численность отмобилизованной армии, по моему варианту, как его штаб называет в «245 стрелковых дивизий», определяется в 11 млн. 275 тыс. человек. Цифра столь же сумасшедшая, как и все вышеприведенные. Это легко доказать самыми обоснованными выкладками, но я предпочту опровергнуть их цифрами, представленными самим Штабом РККА в его докладе о пятилетке строительства вооруженных сил, утвержденном РВС СССР 13 апреля с. г. В этом докладе (стр. 14) численность германской армии в 1918 г. со всеми тылами показана в 4 129 892 человека. Как известно, в 1918 г. германская армия достигла 246 дивизий, т. е. примерно предложенной мною цифры». Рассматривая проблемы танкового производства, М. Н. Тухачевский утверждал: «в танковом вопросе у нас до сего времени подходят очень консервативно к конструкции танка, требуя чтобы все танки были специального военного образца», но «... танк может являться бронированным трактором, точно так же как мы имеем бронированные автомобили, поезда, дрезины, что позволит выставить бронетрактора в громадных массах». Основой для развития военной авиации он считал гражданскую авиацию. По поводу военного производства в целом М. Н. Тухачевский писал: «Штаб РККА указывает на необходимость постройки многих крупнейших военных заводов, что я считаю совершенно неправильным. Военное производство может в основном базироваться на гражданской промышленности, что я и доказываю цифровыми выкладками в записках о </w:t>
      </w:r>
      <w:r w:rsidRPr="00507A31">
        <w:rPr>
          <w:color w:val="000000" w:themeColor="text1"/>
          <w:sz w:val="16"/>
          <w:szCs w:val="16"/>
        </w:rPr>
        <w:lastRenderedPageBreak/>
        <w:t>системе мобилизации промышленности и об артиллерийской программе. Из прилагаемых записок Вам будет ясно, что в вопросах подготовки обороны я исхожу из стремления минимальных затрат в мирное время, путем изыскания способов приспособления мирной продукции и органов хозяйственного культурного строительства для целей войны». В заключение Тухачевский отмечал: «Записка о реконструкции РККА является попыткой теоретически нащупать те новые пути, которые требуются жизнью, успехами осуществления генеральной линии партии», и подчеркивал: «все свои расчеты я базировал на цифровом изучении экономического развития СССР. Приведенные мною в записке ориентировочные цифры развития вооруженных сил, мне кажется, намечают верное направление к достижению новых пропорций родов войск, хотя я вполне понимаю и оговариваю неоднократно в записке, что мои расчеты имеют лишь ориентировочный характер и требуют детальной углубленной проработки». (РГАСПИ. Ф. 558. Оп. 11. Д. 446. Л. 6-11 об.).</w:t>
      </w:r>
    </w:p>
    <w:p w14:paraId="7F3BF458" w14:textId="77777777" w:rsidR="00442680" w:rsidRPr="00507A31" w:rsidRDefault="00442680" w:rsidP="00507A31">
      <w:pPr>
        <w:pStyle w:val="rtejustify"/>
        <w:spacing w:before="0" w:after="0"/>
        <w:rPr>
          <w:color w:val="000000" w:themeColor="text1"/>
          <w:sz w:val="16"/>
          <w:szCs w:val="16"/>
        </w:rPr>
      </w:pPr>
      <w:r w:rsidRPr="00507A31">
        <w:rPr>
          <w:color w:val="000000" w:themeColor="text1"/>
          <w:sz w:val="16"/>
          <w:szCs w:val="16"/>
        </w:rPr>
        <w:t>РГАСПИ. Ф. 558. Оп. 11. Д. 447. Л. 14—18. Копия.</w:t>
      </w:r>
    </w:p>
    <w:p w14:paraId="3A19CAE1" w14:textId="77777777" w:rsidR="00442680" w:rsidRPr="00507A31" w:rsidRDefault="00442680" w:rsidP="00507A31">
      <w:pPr>
        <w:jc w:val="both"/>
        <w:rPr>
          <w:color w:val="000000" w:themeColor="text1"/>
          <w:sz w:val="16"/>
          <w:szCs w:val="16"/>
        </w:rPr>
      </w:pPr>
      <w:r w:rsidRPr="00507A31">
        <w:rPr>
          <w:color w:val="000000" w:themeColor="text1"/>
          <w:sz w:val="16"/>
          <w:szCs w:val="16"/>
        </w:rPr>
        <w:t xml:space="preserve">Архив: РГАСПИ. Ф. 558. Оп. 11. Д. 447. Л. 14—18. Копия. </w:t>
      </w:r>
    </w:p>
    <w:p w14:paraId="0A88FDC5" w14:textId="77777777" w:rsidR="00442680" w:rsidRPr="00507A31" w:rsidRDefault="00442680"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434-437 (12496).</w:t>
      </w:r>
    </w:p>
    <w:p w14:paraId="447C34D9" w14:textId="77777777" w:rsidR="00442680" w:rsidRPr="00507A31" w:rsidRDefault="00442680" w:rsidP="00507A31">
      <w:pPr>
        <w:jc w:val="both"/>
        <w:rPr>
          <w:color w:val="000000" w:themeColor="text1"/>
          <w:sz w:val="16"/>
          <w:szCs w:val="16"/>
        </w:rPr>
      </w:pPr>
    </w:p>
    <w:p w14:paraId="6C045134" w14:textId="77777777" w:rsidR="00275C3B" w:rsidRPr="00507A31" w:rsidRDefault="00275C3B" w:rsidP="00507A31">
      <w:pPr>
        <w:jc w:val="both"/>
        <w:rPr>
          <w:color w:val="000000" w:themeColor="text1"/>
          <w:sz w:val="16"/>
          <w:szCs w:val="16"/>
        </w:rPr>
      </w:pPr>
      <w:r w:rsidRPr="00507A31">
        <w:rPr>
          <w:rStyle w:val="a7"/>
          <w:b w:val="0"/>
          <w:color w:val="000000" w:themeColor="text1"/>
          <w:sz w:val="16"/>
          <w:szCs w:val="16"/>
        </w:rPr>
        <w:t xml:space="preserve">5 марта 1930 </w:t>
      </w:r>
      <w:r w:rsidRPr="00507A31">
        <w:rPr>
          <w:color w:val="000000" w:themeColor="text1"/>
          <w:sz w:val="16"/>
          <w:szCs w:val="16"/>
        </w:rPr>
        <w:t>Политбюро ЦК ВКП (б) утвердило проект постановления ЦК ВКП (б) о работе Государственного электротехнического треста; одобрило проект постановлении СНК «О передаче вузов, втузов и техникумов в соответствующие ведомства»; разрешило Государственному электротехническому тресту построить четыре турбогенератора для Днепростроя и пятый заказать за границей (12265).</w:t>
      </w:r>
    </w:p>
    <w:p w14:paraId="7CAC3910" w14:textId="67218127" w:rsidR="00275C3B" w:rsidRPr="00507A31" w:rsidRDefault="00275C3B" w:rsidP="00507A31">
      <w:pPr>
        <w:jc w:val="both"/>
        <w:rPr>
          <w:color w:val="000000" w:themeColor="text1"/>
          <w:sz w:val="16"/>
          <w:szCs w:val="16"/>
        </w:rPr>
      </w:pPr>
    </w:p>
    <w:p w14:paraId="05B1A891" w14:textId="77777777" w:rsidR="006469F6" w:rsidRPr="00507A31" w:rsidRDefault="006469F6" w:rsidP="00507A31">
      <w:pPr>
        <w:shd w:val="clear" w:color="auto" w:fill="FFFFFF"/>
        <w:jc w:val="both"/>
        <w:rPr>
          <w:color w:val="0070C0"/>
          <w:sz w:val="16"/>
          <w:szCs w:val="16"/>
        </w:rPr>
      </w:pPr>
      <w:bookmarkStart w:id="29" w:name="_Hlk91702357"/>
      <w:r w:rsidRPr="00507A31">
        <w:rPr>
          <w:color w:val="0070C0"/>
          <w:sz w:val="16"/>
          <w:szCs w:val="16"/>
        </w:rPr>
        <w:t>5 марта 1930, на третий день после сталинской статьи "Головокружение от успехов", когда Ворошилов мог рассчитывать на изменение настроений в Кремле (Характерно, что теми же днями датирована записка преподавателя Военной академии им. Фрунзе Свечина руководству НКВМ и РККА. Наряду с изложением военно-политических и стратегических прогнозов борьбы СССР с враждебной коалицией он вновь высказал убеждение, что "в пределах ближайших 15 лет мы не можем базировать наш успех в борьбе с империалистической коалицией на количественном и качественном превосходстве техники Красной Армии", и призывал "ликвидировать" соответствующие "настроения", "нашедшие столь яркое отражение в книге Триандафиллова и в выступлениях Тухачевского" (Записка Свечина Наркому по Военным и Морским Делам Ворошилову "Будущая война и наши военные задачи", 8.03-1930 (цит. по: Кокошин А. А. Указ. соч. С. 97))) он направил Сталину записку Тухачевского от 11 января, адресованная руководителям Наркомата по военным и морским делам и заключение Шапошникова. Хотел ли он получше прозондировать позицию Сталина перед принятием ответственного решения? Или стремился заручиться поддержкой секретаря ЦК перед предстоящими дебатами в стенах военного ведомства по поводу новой версии мобрасписания варианта № 12? В своей сопроводительной записке Ворошилов выразил сожаление, что не только Тухачевский хочет быть "оригинальным" и "радикальным", но и вообще "в Красной Армии есть порода людей, которые принимают этот радикализм за чистую монету" (Письмо Ворошилова Сталину, 5.03-1930 (заверенная машинописная копия) // РГВА. Ф. 4. Оп</w:t>
      </w:r>
      <w:r w:rsidRPr="00507A31">
        <w:rPr>
          <w:color w:val="0070C0"/>
          <w:sz w:val="16"/>
          <w:szCs w:val="16"/>
          <w:lang w:val="en-US"/>
        </w:rPr>
        <w:t xml:space="preserve">. 19 </w:t>
      </w:r>
      <w:r w:rsidRPr="00507A31">
        <w:rPr>
          <w:color w:val="0070C0"/>
          <w:sz w:val="16"/>
          <w:szCs w:val="16"/>
        </w:rPr>
        <w:t>Д</w:t>
      </w:r>
      <w:r w:rsidRPr="00507A31">
        <w:rPr>
          <w:color w:val="0070C0"/>
          <w:sz w:val="16"/>
          <w:szCs w:val="16"/>
          <w:lang w:val="en-US"/>
        </w:rPr>
        <w:t xml:space="preserve">. 10. </w:t>
      </w:r>
      <w:r w:rsidRPr="00507A31">
        <w:rPr>
          <w:color w:val="0070C0"/>
          <w:sz w:val="16"/>
          <w:szCs w:val="16"/>
        </w:rPr>
        <w:t>Л</w:t>
      </w:r>
      <w:r w:rsidRPr="00507A31">
        <w:rPr>
          <w:color w:val="0070C0"/>
          <w:sz w:val="16"/>
          <w:szCs w:val="16"/>
          <w:lang w:val="en-US"/>
        </w:rPr>
        <w:t xml:space="preserve">. 125. </w:t>
      </w:r>
      <w:r w:rsidRPr="00507A31">
        <w:rPr>
          <w:color w:val="0070C0"/>
          <w:sz w:val="16"/>
          <w:szCs w:val="16"/>
        </w:rPr>
        <w:t>По</w:t>
      </w:r>
      <w:r w:rsidRPr="00507A31">
        <w:rPr>
          <w:color w:val="0070C0"/>
          <w:sz w:val="16"/>
          <w:szCs w:val="16"/>
          <w:lang w:val="en-US"/>
        </w:rPr>
        <w:t xml:space="preserve"> </w:t>
      </w:r>
      <w:r w:rsidRPr="00507A31">
        <w:rPr>
          <w:color w:val="0070C0"/>
          <w:sz w:val="16"/>
          <w:szCs w:val="16"/>
        </w:rPr>
        <w:t>тексту</w:t>
      </w:r>
      <w:r w:rsidRPr="00507A31">
        <w:rPr>
          <w:color w:val="0070C0"/>
          <w:sz w:val="16"/>
          <w:szCs w:val="16"/>
          <w:lang w:val="en-US"/>
        </w:rPr>
        <w:t xml:space="preserve"> </w:t>
      </w:r>
      <w:r w:rsidRPr="00507A31">
        <w:rPr>
          <w:color w:val="0070C0"/>
          <w:sz w:val="16"/>
          <w:szCs w:val="16"/>
        </w:rPr>
        <w:t>оригинала</w:t>
      </w:r>
      <w:r w:rsidRPr="00507A31">
        <w:rPr>
          <w:color w:val="0070C0"/>
          <w:sz w:val="16"/>
          <w:szCs w:val="16"/>
          <w:lang w:val="en-US"/>
        </w:rPr>
        <w:t xml:space="preserve"> </w:t>
      </w:r>
      <w:r w:rsidRPr="00507A31">
        <w:rPr>
          <w:color w:val="0070C0"/>
          <w:sz w:val="16"/>
          <w:szCs w:val="16"/>
        </w:rPr>
        <w:t>опубликован</w:t>
      </w:r>
      <w:r w:rsidRPr="00507A31">
        <w:rPr>
          <w:color w:val="0070C0"/>
          <w:sz w:val="16"/>
          <w:szCs w:val="16"/>
          <w:lang w:val="en-US"/>
        </w:rPr>
        <w:t xml:space="preserve"> </w:t>
      </w:r>
      <w:r w:rsidRPr="00507A31">
        <w:rPr>
          <w:color w:val="0070C0"/>
          <w:sz w:val="16"/>
          <w:szCs w:val="16"/>
        </w:rPr>
        <w:t>в</w:t>
      </w:r>
      <w:r w:rsidRPr="00507A31">
        <w:rPr>
          <w:color w:val="0070C0"/>
          <w:sz w:val="16"/>
          <w:szCs w:val="16"/>
          <w:lang w:val="en-US"/>
        </w:rPr>
        <w:t xml:space="preserve">: SAMUELSON L Soviet Defence Industry Planning. Tukhachevskii and Military-Industrial Mobilisation, 1926-1937. </w:t>
      </w:r>
      <w:r w:rsidRPr="00507A31">
        <w:rPr>
          <w:color w:val="0070C0"/>
          <w:sz w:val="16"/>
          <w:szCs w:val="16"/>
        </w:rPr>
        <w:t>Stockholm, 1996. P. 126). Неясно, кого именно имел при этом в виду Ворошилов, но некоторыми примерами попыток перенести приемы социалистического строительства на армейскую практику руководство НКВМ, бесспорно, располагало (См.: "Товарищеское письмо" Командира и Начальника Политотдела 1-й Казанской стрелковой дивизии Ворошилову, 10.02.1930 // Трагедия советской деревни: Коллективизация и раскулачивание, 1927-1939: Документы и материалы: В 5 т. / Под ред В. Данилова, Р. Маннинг, Л. Виолы. Т. 4. М., 2001. С 196-198). Эпитеты, использованные Ворошиловым в обращении к Сталину, апеллировали к недавней сталинской насмешке над "головотяпскими упражнениями" энтузиастов социалистической реконструкции ("...Подумаешь какая р-р-революционностъ!") (СТАЛИН И. В. Головокружение от успехов: К вопросам колхозного строительства //Он же. Собр. соч.Т. 12. М., 1953-С. 198) (22725).</w:t>
      </w:r>
    </w:p>
    <w:bookmarkEnd w:id="29"/>
    <w:p w14:paraId="0B9C6FB6" w14:textId="77777777" w:rsidR="006469F6" w:rsidRPr="00507A31" w:rsidRDefault="006469F6" w:rsidP="00507A31">
      <w:pPr>
        <w:jc w:val="both"/>
        <w:rPr>
          <w:color w:val="0070C0"/>
          <w:sz w:val="16"/>
          <w:szCs w:val="16"/>
        </w:rPr>
      </w:pPr>
    </w:p>
    <w:p w14:paraId="761620B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9F1B05F" w14:textId="77777777" w:rsidR="00537E5F" w:rsidRPr="00507A31" w:rsidRDefault="00537E5F" w:rsidP="00507A31">
      <w:pPr>
        <w:autoSpaceDE w:val="0"/>
        <w:autoSpaceDN w:val="0"/>
        <w:adjustRightInd w:val="0"/>
        <w:jc w:val="both"/>
        <w:rPr>
          <w:iCs/>
          <w:color w:val="000000" w:themeColor="text1"/>
          <w:sz w:val="16"/>
          <w:szCs w:val="16"/>
        </w:rPr>
      </w:pPr>
    </w:p>
    <w:p w14:paraId="580806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марта 1930 г. с Р-ЗЛД "особого назначения", который в НИИ ВВС вооружили 76-мм динамореактивной (безоткатной) пушкой (ДРП) АПК-1 конструкции Курчевского, стреляли в воздухе над полигоном в Кунцево, при этом на верхней плоскости появилась "желобообразная промятость", у летчика снесло ветровой козырек, наполовину оторвался кожух курсового пулемета и разрушился обтекатель хвостовой лыжи. Его заменили, и он тут же опять сломался, причем сама лыжа развалилась при посадке. От стрельбы Залевский временно оглох.</w:t>
      </w:r>
    </w:p>
    <w:p w14:paraId="46F3FB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Орудие стояло наклонно (стволом, вздернутым вверх под углом 20° к линии полета) с левого борта. Оно крепилось к кронштейну верхней плоскости и муфте, соединенной с трубой, пропущенной через фюзеляж. Магазин на 10 снарядов по 3,2 кг каждый стоял на центроплане в обтекателе возле дульного среза орудия. Пушка предназначалась для борьбы с дирижаблями и аэростатами и стреляла картечью и шрапнелью. Выстрел производил пилот, у которого имелись примитивный прицел и спусковая ручка на левом борту кабины. Он же перезаряжал орудие соединенной с тросом рукоятью, располагавшейся в левом верхнем углу приборной доски.</w:t>
      </w:r>
    </w:p>
    <w:p w14:paraId="1911A3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первом же выстреле (причем холостым уменьшенным зарядом) на земле помяло стабилизатор и вырвало заклепки. Заднюю часть трубы пушки нарастили на метр, после чего ее общая длина достигла почти 5 м. Однако два последующих выстрела дали тот же результат. Самолет повезли на завод № 39 для ремонта хвостовой части, в ходе которого произвели усиление обшивки; ее толщину увеличили с 0,3 до 0,8 мм.</w:t>
      </w:r>
    </w:p>
    <w:p w14:paraId="54AAEC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Затем приступили к испытаниям в воздухе. Машину пилотировал А.И. Залевский. Из-за асимметрии установки пушки самолет немного тянуло в полете влево.</w:t>
      </w:r>
    </w:p>
    <w:p w14:paraId="3C3311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Последовал новый ремонт. В следующий раз намеревались стрелять по воздушным шарам, но они оторвались и улетели. Стали палить просто в воздух. После второго выстрела сидевшего в задней кабине Б.С. Вахмистрова контузило - из горла пошла кровь.</w:t>
      </w:r>
    </w:p>
    <w:p w14:paraId="0E38F9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следующей серии на шестом выстреле добились попадания в конус, буксировавшийся другим самолетом, сделав четыре пробоины. Пробовали стрелять вместо шрапнели чугунными болванками. Дальность стрельбы увеличилась, но зато перестали попадать в цель. Вывод испытателей был таков: "Стрелять с самолета из ДРП можно, но Р-3 непригоден".</w:t>
      </w:r>
    </w:p>
    <w:p w14:paraId="3AD9C7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шли и далее. Самолет "трещал по швам": вылетали заклепки, лопнули два шпангоута и обшивка на борту. Машину чинили и усиливали и, наконец, остановились, решив, что дальнейшее подкрепление хвостовой части приведет к опасному сдвигу центровки назад.</w:t>
      </w:r>
    </w:p>
    <w:p w14:paraId="4FCD2C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"наверху" на реактивное вооружение самолета смотрели с воодушевлением. 6 июля 1930 г. начальник УВВС приказал к Новому году вооружить ДРП 20 самолетов Р-ЗМ5 и передать их 30-й эскадрилье. Возможно, таким способом хотели продлить жизнь устаревшим разведчикам.</w:t>
      </w:r>
    </w:p>
    <w:p w14:paraId="0D304A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23 октября при стрельбе на земле машина опять получила сильные повреждения. Из НИИ ВВС сообщили в УВВС: "Самолет разрушен".</w:t>
      </w:r>
    </w:p>
    <w:p w14:paraId="109C10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4E32B7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0AC111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2BCE1A24" w14:textId="77777777" w:rsidR="00537E5F" w:rsidRPr="00507A31" w:rsidRDefault="00537E5F" w:rsidP="00507A31">
      <w:pPr>
        <w:autoSpaceDE w:val="0"/>
        <w:autoSpaceDN w:val="0"/>
        <w:adjustRightInd w:val="0"/>
        <w:jc w:val="both"/>
        <w:rPr>
          <w:color w:val="000000" w:themeColor="text1"/>
          <w:sz w:val="16"/>
          <w:szCs w:val="16"/>
        </w:rPr>
      </w:pPr>
    </w:p>
    <w:p w14:paraId="1CCDA9F4" w14:textId="77777777" w:rsidR="00275C3B" w:rsidRPr="00507A31" w:rsidRDefault="00275C3B" w:rsidP="00507A31">
      <w:pPr>
        <w:jc w:val="both"/>
        <w:rPr>
          <w:color w:val="000000" w:themeColor="text1"/>
          <w:sz w:val="16"/>
          <w:szCs w:val="16"/>
        </w:rPr>
      </w:pPr>
      <w:r w:rsidRPr="00507A31">
        <w:rPr>
          <w:color w:val="000000" w:themeColor="text1"/>
          <w:sz w:val="16"/>
          <w:szCs w:val="16"/>
        </w:rPr>
        <w:t>6 марта 1930 го</w:t>
      </w:r>
      <w:r w:rsidRPr="00507A31">
        <w:rPr>
          <w:color w:val="000000" w:themeColor="text1"/>
          <w:sz w:val="16"/>
          <w:szCs w:val="16"/>
        </w:rPr>
        <w:softHyphen/>
        <w:t>да Иван Ульянович пишет председателю Тех</w:t>
      </w:r>
      <w:r w:rsidRPr="00507A31">
        <w:rPr>
          <w:color w:val="000000" w:themeColor="text1"/>
          <w:sz w:val="16"/>
          <w:szCs w:val="16"/>
        </w:rPr>
        <w:softHyphen/>
        <w:t>нической секции НТК ВВС РККА С.В. Иль</w:t>
      </w:r>
      <w:r w:rsidRPr="00507A31">
        <w:rPr>
          <w:color w:val="000000" w:themeColor="text1"/>
          <w:sz w:val="16"/>
          <w:szCs w:val="16"/>
        </w:rPr>
        <w:softHyphen/>
        <w:t>юшину:</w:t>
      </w:r>
    </w:p>
    <w:p w14:paraId="18FDA513" w14:textId="77777777" w:rsidR="00275C3B" w:rsidRPr="00507A31" w:rsidRDefault="00275C3B" w:rsidP="00507A31">
      <w:pPr>
        <w:jc w:val="both"/>
        <w:rPr>
          <w:color w:val="000000" w:themeColor="text1"/>
          <w:sz w:val="16"/>
          <w:szCs w:val="16"/>
        </w:rPr>
      </w:pPr>
      <w:r w:rsidRPr="00507A31">
        <w:rPr>
          <w:color w:val="000000" w:themeColor="text1"/>
          <w:sz w:val="16"/>
          <w:szCs w:val="16"/>
        </w:rPr>
        <w:t>«Дорогой Сергей Владимирович.</w:t>
      </w:r>
    </w:p>
    <w:p w14:paraId="55B27C8E" w14:textId="77777777" w:rsidR="00275C3B" w:rsidRPr="00507A31" w:rsidRDefault="00275C3B" w:rsidP="00507A31">
      <w:pPr>
        <w:jc w:val="both"/>
        <w:rPr>
          <w:color w:val="000000" w:themeColor="text1"/>
          <w:sz w:val="16"/>
          <w:szCs w:val="16"/>
        </w:rPr>
      </w:pPr>
      <w:r w:rsidRPr="00507A31">
        <w:rPr>
          <w:color w:val="000000" w:themeColor="text1"/>
          <w:sz w:val="16"/>
          <w:szCs w:val="16"/>
        </w:rPr>
        <w:t>Как Вам известно, просмотр и ремонт мо</w:t>
      </w:r>
      <w:r w:rsidRPr="00507A31">
        <w:rPr>
          <w:color w:val="000000" w:themeColor="text1"/>
          <w:sz w:val="16"/>
          <w:szCs w:val="16"/>
        </w:rPr>
        <w:softHyphen/>
        <w:t>его самолета И-4 с мотором Юпитер VI происходил в ЦАГИ. Сейчас машина находит</w:t>
      </w:r>
      <w:r w:rsidRPr="00507A31">
        <w:rPr>
          <w:color w:val="000000" w:themeColor="text1"/>
          <w:sz w:val="16"/>
          <w:szCs w:val="16"/>
        </w:rPr>
        <w:softHyphen/>
        <w:t>ся на аэродроме, и показатели ее состояния проверены мною на последнем вылете в Иваново-Вознесенск и обратно.</w:t>
      </w:r>
    </w:p>
    <w:p w14:paraId="3B612555" w14:textId="77777777" w:rsidR="00275C3B" w:rsidRPr="00507A31" w:rsidRDefault="00275C3B" w:rsidP="00507A31">
      <w:pPr>
        <w:jc w:val="both"/>
        <w:rPr>
          <w:color w:val="000000" w:themeColor="text1"/>
          <w:sz w:val="16"/>
          <w:szCs w:val="16"/>
        </w:rPr>
      </w:pPr>
      <w:r w:rsidRPr="00507A31">
        <w:rPr>
          <w:color w:val="000000" w:themeColor="text1"/>
          <w:sz w:val="16"/>
          <w:szCs w:val="16"/>
        </w:rPr>
        <w:t>...Ремонт и просмотр самолета и мотора проведен работниками ЦАГИ с редкой в на</w:t>
      </w:r>
      <w:r w:rsidRPr="00507A31">
        <w:rPr>
          <w:color w:val="000000" w:themeColor="text1"/>
          <w:sz w:val="16"/>
          <w:szCs w:val="16"/>
        </w:rPr>
        <w:softHyphen/>
        <w:t>шей практике тщательностью и добросовест</w:t>
      </w:r>
      <w:r w:rsidRPr="00507A31">
        <w:rPr>
          <w:color w:val="000000" w:themeColor="text1"/>
          <w:sz w:val="16"/>
          <w:szCs w:val="16"/>
        </w:rPr>
        <w:softHyphen/>
        <w:t>ностью. За всю свою долголетнюю профес</w:t>
      </w:r>
      <w:r w:rsidRPr="00507A31">
        <w:rPr>
          <w:color w:val="000000" w:themeColor="text1"/>
          <w:sz w:val="16"/>
          <w:szCs w:val="16"/>
        </w:rPr>
        <w:softHyphen/>
        <w:t>сиональную деятельность, как летчик, я по</w:t>
      </w:r>
      <w:r w:rsidRPr="00507A31">
        <w:rPr>
          <w:color w:val="000000" w:themeColor="text1"/>
          <w:sz w:val="16"/>
          <w:szCs w:val="16"/>
        </w:rPr>
        <w:softHyphen/>
        <w:t>жалуй никогда еще не испытывал такой пси</w:t>
      </w:r>
      <w:r w:rsidRPr="00507A31">
        <w:rPr>
          <w:color w:val="000000" w:themeColor="text1"/>
          <w:sz w:val="16"/>
          <w:szCs w:val="16"/>
        </w:rPr>
        <w:softHyphen/>
        <w:t>хологической бодрости (способности верить в качество своей машины, что она тебя не подведет), как сейчас, когда я почувствовал, что мой крылатый конь приводился в поря</w:t>
      </w:r>
      <w:r w:rsidRPr="00507A31">
        <w:rPr>
          <w:color w:val="000000" w:themeColor="text1"/>
          <w:sz w:val="16"/>
          <w:szCs w:val="16"/>
        </w:rPr>
        <w:softHyphen/>
        <w:t>док работниками ЦАГИ, где «фуксом» уже ничего не проскочит...».</w:t>
      </w:r>
    </w:p>
    <w:p w14:paraId="18E20E3D" w14:textId="77777777" w:rsidR="00275C3B" w:rsidRPr="00507A31" w:rsidRDefault="00275C3B" w:rsidP="00507A31">
      <w:pPr>
        <w:jc w:val="both"/>
        <w:rPr>
          <w:color w:val="000000" w:themeColor="text1"/>
          <w:sz w:val="16"/>
          <w:szCs w:val="16"/>
        </w:rPr>
      </w:pPr>
      <w:r w:rsidRPr="00507A31">
        <w:rPr>
          <w:color w:val="000000" w:themeColor="text1"/>
          <w:sz w:val="16"/>
          <w:szCs w:val="16"/>
        </w:rPr>
        <w:t>Закончил свое письмо Иван Ульянович словами: «с коммунистическим приветом Павлов» (12295).</w:t>
      </w:r>
    </w:p>
    <w:p w14:paraId="33490444" w14:textId="77777777" w:rsidR="00275C3B" w:rsidRPr="00507A31" w:rsidRDefault="00275C3B" w:rsidP="00507A31">
      <w:pPr>
        <w:jc w:val="both"/>
        <w:rPr>
          <w:color w:val="000000" w:themeColor="text1"/>
          <w:sz w:val="16"/>
          <w:szCs w:val="16"/>
        </w:rPr>
      </w:pPr>
    </w:p>
    <w:p w14:paraId="133570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6 марта 1930 г. изготовили 11 фюзеляжей Р-5, на семь из которых установили моторы. Но верхних крыльев сделали всего четыре комплекта, а нижних семь, но без обтяжки. Шасси не было готово ни для одного Р-5.</w:t>
      </w:r>
    </w:p>
    <w:p w14:paraId="043663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Первым закончили самолет № 4141 - 14 апреля (отстав от срока на две недели). На следующий день № 4142 представили военной приемке, которая его забраковала. Машину № 4141. объявленную головной, отправили в НИИ ВВС для проведения государственных испытаний. Этот самолет укомплектовали более тщательно, чем остальные машины серии. На нем стояли электрооборудование, аккумулятор, радиостанция ВОЗ III (14С), все приборы. Интересно, что на задней турели смонтировали новые пулеметы ДА, а вот ящики сделали под диски "Дыоиса" - другого размера.</w:t>
      </w:r>
    </w:p>
    <w:p w14:paraId="35A0D5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ВНИИ ВВС летали на Р-5 днем и ночью, с бомбами и без них. По мере потепления погоды летчики все чаще сталкивались с перегревом воды. Даже при полностью выпущенном радиаторе она слишком быстро испарялась. Пришлось вернуться к конструкции с шестигранными трубками.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роста веса (12034).</w:t>
      </w:r>
    </w:p>
    <w:p w14:paraId="7618F735" w14:textId="77777777" w:rsidR="00537E5F" w:rsidRPr="00507A31" w:rsidRDefault="00537E5F" w:rsidP="00507A31">
      <w:pPr>
        <w:autoSpaceDE w:val="0"/>
        <w:autoSpaceDN w:val="0"/>
        <w:adjustRightInd w:val="0"/>
        <w:jc w:val="both"/>
        <w:rPr>
          <w:color w:val="000000" w:themeColor="text1"/>
          <w:sz w:val="16"/>
          <w:szCs w:val="16"/>
        </w:rPr>
      </w:pPr>
    </w:p>
    <w:p w14:paraId="36D096A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B305BCE" w14:textId="77777777" w:rsidR="00537E5F" w:rsidRPr="00507A31" w:rsidRDefault="00537E5F" w:rsidP="00507A31">
      <w:pPr>
        <w:autoSpaceDE w:val="0"/>
        <w:autoSpaceDN w:val="0"/>
        <w:adjustRightInd w:val="0"/>
        <w:jc w:val="both"/>
        <w:rPr>
          <w:iCs/>
          <w:color w:val="000000" w:themeColor="text1"/>
          <w:sz w:val="16"/>
          <w:szCs w:val="16"/>
        </w:rPr>
      </w:pPr>
    </w:p>
    <w:p w14:paraId="093EF7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марта 1930 г. директор строительства ЧТЗ К.П.Ловин писал в Челябинск своим заместителям В.В.Борисову и Б.П.Пронину: "У меня остается очень мало надежд на благоприятный исход переговоров с "Катерпиллером". Время безвозвратно уходит, и, по-видимому, придётся работать силами собственного бюро с помощью другой, второстепенной тракторной фирмы и отдельных американских специалистов. Это займёт значительно больше времени. Мы и так уже потеряли два месяца". Действительно, переговоры зашли в тупик. </w:t>
      </w:r>
    </w:p>
    <w:p w14:paraId="4FABD7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Тогда в Детройте, центре автотракторной промышленности США, нашими представителями было организовано специальное проектное бюро "Челябинск трактор плэнт", куда вошли 40 советских и 12 американских специалистов. Учитывая последние достижения в области тракторостроения, бюро внесло значительные изменения в эскизный проект ЧТЗ. </w:t>
      </w:r>
    </w:p>
    <w:p w14:paraId="0E651C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предложению фирмы "Альберт Кан" было решено сооружать 3 отдельных корпуса: механический, литейный и кузнечный вместо 20 цехов, намеченных первоначально. Они же рекомендовали заменить железобетонные опорные колонны металлическими. Это давало не только широкие пролёты, но и позволяло менять объекты производства. Переход на выпуск танков в начале Великой Отечественной войны подтвердил правильность принятых решений (11557).</w:t>
      </w:r>
    </w:p>
    <w:p w14:paraId="58064F54" w14:textId="77777777" w:rsidR="00537E5F" w:rsidRPr="00507A31" w:rsidRDefault="00537E5F" w:rsidP="00507A31">
      <w:pPr>
        <w:autoSpaceDE w:val="0"/>
        <w:autoSpaceDN w:val="0"/>
        <w:adjustRightInd w:val="0"/>
        <w:jc w:val="both"/>
        <w:rPr>
          <w:color w:val="000000" w:themeColor="text1"/>
          <w:sz w:val="16"/>
          <w:szCs w:val="16"/>
        </w:rPr>
      </w:pPr>
    </w:p>
    <w:p w14:paraId="051E232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0368C1E" w14:textId="77777777" w:rsidR="00537E5F" w:rsidRPr="00507A31" w:rsidRDefault="00537E5F" w:rsidP="00507A31">
      <w:pPr>
        <w:autoSpaceDE w:val="0"/>
        <w:autoSpaceDN w:val="0"/>
        <w:adjustRightInd w:val="0"/>
        <w:jc w:val="both"/>
        <w:rPr>
          <w:iCs/>
          <w:color w:val="000000" w:themeColor="text1"/>
          <w:sz w:val="16"/>
          <w:szCs w:val="16"/>
        </w:rPr>
      </w:pPr>
    </w:p>
    <w:p w14:paraId="77AA40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марта 1930 в Спрингфилде (Массачусетс) стала продаваться первая замороженная пища Clarence Birdseye (3481).</w:t>
      </w:r>
    </w:p>
    <w:p w14:paraId="597F13EB" w14:textId="77777777" w:rsidR="00537E5F" w:rsidRPr="00507A31" w:rsidRDefault="00537E5F" w:rsidP="00507A31">
      <w:pPr>
        <w:autoSpaceDE w:val="0"/>
        <w:autoSpaceDN w:val="0"/>
        <w:adjustRightInd w:val="0"/>
        <w:jc w:val="both"/>
        <w:rPr>
          <w:color w:val="000000" w:themeColor="text1"/>
          <w:sz w:val="16"/>
          <w:szCs w:val="16"/>
        </w:rPr>
      </w:pPr>
    </w:p>
    <w:p w14:paraId="7B2C02B2" w14:textId="77777777" w:rsidR="00F25222" w:rsidRPr="00507A31" w:rsidRDefault="00F25222" w:rsidP="00507A31">
      <w:pPr>
        <w:jc w:val="both"/>
        <w:rPr>
          <w:color w:val="000000" w:themeColor="text1"/>
          <w:sz w:val="16"/>
          <w:szCs w:val="16"/>
        </w:rPr>
      </w:pPr>
      <w:r w:rsidRPr="00507A31">
        <w:rPr>
          <w:bCs/>
          <w:color w:val="000000" w:themeColor="text1"/>
          <w:sz w:val="16"/>
          <w:szCs w:val="16"/>
        </w:rPr>
        <w:t>6 марта</w:t>
      </w:r>
      <w:r w:rsidRPr="00507A31">
        <w:rPr>
          <w:color w:val="000000" w:themeColor="text1"/>
          <w:sz w:val="16"/>
          <w:szCs w:val="16"/>
        </w:rPr>
        <w:t xml:space="preserve"> 1930 году первая замороженая пища Clarence Birdseye начинает продаваться в Спрингфилде, Массачусетс, США (15060).</w:t>
      </w:r>
    </w:p>
    <w:p w14:paraId="62706F2F" w14:textId="77777777" w:rsidR="00F25222" w:rsidRPr="00507A31" w:rsidRDefault="00F25222" w:rsidP="00507A31">
      <w:pPr>
        <w:jc w:val="both"/>
        <w:rPr>
          <w:color w:val="000000" w:themeColor="text1"/>
          <w:sz w:val="16"/>
          <w:szCs w:val="16"/>
        </w:rPr>
      </w:pPr>
    </w:p>
    <w:p w14:paraId="0E6636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марта 1930 были первые массовые демонстрации рабочих в США (3960, 92).</w:t>
      </w:r>
    </w:p>
    <w:p w14:paraId="0236E0CA" w14:textId="77777777" w:rsidR="00537E5F" w:rsidRPr="00507A31" w:rsidRDefault="00537E5F" w:rsidP="00507A31">
      <w:pPr>
        <w:autoSpaceDE w:val="0"/>
        <w:autoSpaceDN w:val="0"/>
        <w:adjustRightInd w:val="0"/>
        <w:jc w:val="both"/>
        <w:rPr>
          <w:color w:val="000000" w:themeColor="text1"/>
          <w:sz w:val="16"/>
          <w:szCs w:val="16"/>
        </w:rPr>
      </w:pPr>
    </w:p>
    <w:p w14:paraId="0E5A483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8919E4F" w14:textId="77777777" w:rsidR="00537E5F" w:rsidRPr="00507A31" w:rsidRDefault="00537E5F" w:rsidP="00507A31">
      <w:pPr>
        <w:autoSpaceDE w:val="0"/>
        <w:autoSpaceDN w:val="0"/>
        <w:adjustRightInd w:val="0"/>
        <w:jc w:val="both"/>
        <w:rPr>
          <w:iCs/>
          <w:color w:val="000000" w:themeColor="text1"/>
          <w:sz w:val="16"/>
          <w:szCs w:val="16"/>
        </w:rPr>
      </w:pPr>
    </w:p>
    <w:p w14:paraId="457300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марта 1930 начальник НИИ ВВС В.С.Горшков и помполитт Фоменков посетили КО (конструкторский отдел) П.И.Гроховского на окраине Петровского парка и выслушал доклад о ходе работы и прежде всего по парашютам. Тот рапортовал и в т.ч. по парашютам для собак и коней, которые П.И.Б. якобы заказал Ока Городовиков. На следующий день испробовали парашюты из перкали, но из нансука (по 70 коп. за метр) - не решились. Пред. НТК П.С.Дубенский не очень-то верил (1101,49).</w:t>
      </w:r>
    </w:p>
    <w:p w14:paraId="67F5C32D" w14:textId="77777777" w:rsidR="00537E5F" w:rsidRPr="00507A31" w:rsidRDefault="00537E5F" w:rsidP="00507A31">
      <w:pPr>
        <w:autoSpaceDE w:val="0"/>
        <w:autoSpaceDN w:val="0"/>
        <w:adjustRightInd w:val="0"/>
        <w:jc w:val="both"/>
        <w:rPr>
          <w:color w:val="000000" w:themeColor="text1"/>
          <w:sz w:val="16"/>
          <w:szCs w:val="16"/>
        </w:rPr>
      </w:pPr>
    </w:p>
    <w:p w14:paraId="5A4D96D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D9FF1B2" w14:textId="77777777" w:rsidR="00537E5F" w:rsidRPr="00507A31" w:rsidRDefault="00537E5F" w:rsidP="00507A31">
      <w:pPr>
        <w:autoSpaceDE w:val="0"/>
        <w:autoSpaceDN w:val="0"/>
        <w:adjustRightInd w:val="0"/>
        <w:jc w:val="both"/>
        <w:rPr>
          <w:iCs/>
          <w:color w:val="000000" w:themeColor="text1"/>
          <w:sz w:val="16"/>
          <w:szCs w:val="16"/>
        </w:rPr>
      </w:pPr>
    </w:p>
    <w:p w14:paraId="2C0819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марта 1930 в результате катастрофы Юнкерс W.33 СССР-176 на реке лена погиб л О.А.Кальвица (2466,33) и механик Ф.Ф.Леонгард (99,154) в районе Булуна при катастрофе во время снежной бури (438,607).</w:t>
      </w:r>
    </w:p>
    <w:p w14:paraId="4DCFA2F3" w14:textId="77777777" w:rsidR="00537E5F" w:rsidRPr="00507A31" w:rsidRDefault="00537E5F" w:rsidP="00507A31">
      <w:pPr>
        <w:autoSpaceDE w:val="0"/>
        <w:autoSpaceDN w:val="0"/>
        <w:adjustRightInd w:val="0"/>
        <w:jc w:val="both"/>
        <w:rPr>
          <w:color w:val="000000" w:themeColor="text1"/>
          <w:sz w:val="16"/>
          <w:szCs w:val="16"/>
        </w:rPr>
      </w:pPr>
    </w:p>
    <w:p w14:paraId="31AB2ED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F3039BC" w14:textId="77777777" w:rsidR="00537E5F" w:rsidRPr="00507A31" w:rsidRDefault="00537E5F" w:rsidP="00507A31">
      <w:pPr>
        <w:autoSpaceDE w:val="0"/>
        <w:autoSpaceDN w:val="0"/>
        <w:adjustRightInd w:val="0"/>
        <w:jc w:val="both"/>
        <w:rPr>
          <w:iCs/>
          <w:color w:val="000000" w:themeColor="text1"/>
          <w:sz w:val="16"/>
          <w:szCs w:val="16"/>
        </w:rPr>
      </w:pPr>
    </w:p>
    <w:p w14:paraId="482396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марта 1930 ленинградский обком ВКП(б) принимает постановление "О ликвидации последствий вредительства в военной промышленности". Отмечая, что ход выполнения "плана выпуска военной продукции за первый квартал 1929-1930 года. оказался совершенно неудовлетворительным", областной комитет партии требует образовать на всех оборонных предприятиях специальные комиссии по борьбе с вредительством и даже. составить планы борьбы с этим явлением. Как эти решения реализовывались, можно продемонстрировать на примере военного завода № 5 "Краснознаменец" (бывший Охтенский пороховой и взрывчатых веществ). После получения упомянутых указаний здесь были составлены списки старых специалистов и вынесен на обсуждение вопрос о необходимости их замены. И это в то время, когда на заводе шел сложный процесс освоения производства азида свинца - нового инициирующего вещества, в несколько раз превосходящего гремучую ртуть. Ведущим специалистом в данной области был инженер-технолог С.А. Владимиров с дореволюционным стажем. Его пытались заменить давно, но работника подобного уровня найти не удавалось, поскольку технология, которой Владимиров овладел в совершенстве, была абсолютно новой, да и ни один из молодых специалистов не мог освоить ее. Тогда администрацией предприятия было принято решение "резко ограничить круг лиц, концентрирующихся вокруг инженера Владимирова". Ситуация усугубилась взрывами азида свинца 6 и 29 октября 1930 года, повлекшими за собой человеческие жертвы. Несмотря на то что при этом погибла пытавшаяся предотвратить страшное происшествие жена инженера Владимирова, его вместе с инженером Грибачом арестовали. В докладе председателю правления Всесоюзного химического треста, которому подчинялся завод, директор Г. Абрамов безапелляционно утверждал: "Это происшествие не является случайным, а делом, заранее разработанным группой вредителей, которые имели в виду не только произвести этот взрыв, но и более значительный, чтобы разнести другие здания с большим количеством человеческих жертв". Комиссия по борьбе с последствиями вредительства в связи с этим случаем разработала специальный план, состоявший из 450 мероприятий, которые должны были исключить всякую аварийность на заводе. Однако 14 ноября последовал еще один взрыв в одном из цехов азидного производства, послуживший поводом для ареста технического директора завода, заведующего контрольно-измерительным отделом и прессовочного мастера. Необоснованные и поспешные репрессивные меры по отношению к ведущим специалистам привели к тому, что годовой план был выполнен лишь на 76 проц. Пытаясь исправить положение, руководство города перебросило с гражданских предприятий на военный завод "Краснознаменец" двух опытных инженеров И.Н. Уженко и М.Б. Шварца. Но лишь второй, можно сказать, пришелся ко двору, да и то в качестве инструктора, первый же оказался некомпетентным в данной области. Руководство завода в срочном порядке обратилось с ходатайством о помощи к правлению Химического треста, где, в частности, указывалось: "Завод ощущает острую нужду в высшем техническом персонале. До сего времени Военно-техническая академия дала 2 инженеров, но один уже арестован ОГПУ. На заводе нет технического директора". Обратилось оно с просительным письмом и в партийную организацию упомянутого в ходатайстве вуза. Заканчивалось послание следующими словами: "Заводоуправление и завком видят единственный выход в принятии Военно-технической академией шефства над заводом и помощи нам в разрешении переживаемого заводом кризиса в отсутствии специалистов" (21025).</w:t>
      </w:r>
    </w:p>
    <w:p w14:paraId="18401F68" w14:textId="77777777" w:rsidR="00537E5F" w:rsidRPr="00507A31" w:rsidRDefault="00537E5F" w:rsidP="00507A31">
      <w:pPr>
        <w:autoSpaceDE w:val="0"/>
        <w:autoSpaceDN w:val="0"/>
        <w:adjustRightInd w:val="0"/>
        <w:jc w:val="both"/>
        <w:rPr>
          <w:color w:val="000000" w:themeColor="text1"/>
          <w:sz w:val="16"/>
          <w:szCs w:val="16"/>
        </w:rPr>
      </w:pPr>
    </w:p>
    <w:p w14:paraId="55E064A0" w14:textId="77777777" w:rsidR="00BF32E0" w:rsidRPr="00507A31" w:rsidRDefault="00BF32E0" w:rsidP="00507A31">
      <w:pPr>
        <w:pStyle w:val="ae"/>
        <w:shd w:val="clear" w:color="auto" w:fill="FFFFFF"/>
        <w:spacing w:before="0" w:after="0"/>
        <w:jc w:val="both"/>
        <w:rPr>
          <w:color w:val="0070C0"/>
          <w:sz w:val="16"/>
          <w:szCs w:val="16"/>
        </w:rPr>
      </w:pPr>
      <w:r w:rsidRPr="00507A31">
        <w:rPr>
          <w:color w:val="0070C0"/>
          <w:sz w:val="16"/>
          <w:szCs w:val="16"/>
        </w:rPr>
        <w:t>7 марта 1930 года постановление секретариата Ленинградского областного комитета ВКП(б) от 7 марта 1930 года «О мерах по ликвидации вредительства на предприятиях военной промышленности Ленинграда» положило начало репрессиям. Примечательно, что в первоначальном варианте этот документ имел совсем иное название – «О работе предприятий военной промышленности». Очевидно, затем под давлением обстоятельств высший партийный орган города на Неве изменил формулировку, придав ей карательный характер.</w:t>
      </w:r>
    </w:p>
    <w:p w14:paraId="1C812771" w14:textId="77777777" w:rsidR="00BF32E0" w:rsidRPr="00507A31" w:rsidRDefault="00BF32E0" w:rsidP="00507A31">
      <w:pPr>
        <w:pStyle w:val="ae"/>
        <w:shd w:val="clear" w:color="auto" w:fill="FFFFFF"/>
        <w:spacing w:before="0" w:after="0"/>
        <w:jc w:val="both"/>
        <w:rPr>
          <w:color w:val="0070C0"/>
          <w:sz w:val="16"/>
          <w:szCs w:val="16"/>
        </w:rPr>
      </w:pPr>
      <w:r w:rsidRPr="00507A31">
        <w:rPr>
          <w:color w:val="0070C0"/>
          <w:sz w:val="16"/>
          <w:szCs w:val="16"/>
        </w:rPr>
        <w:t>В постановлении подчеркивалось: «Темп восстановления военной промышленности оказался совершенно неудовлетворительным и она по-прежнему недостаточно подготовлена к выполнению возложенных на нее задач». Документ содержал перечень вполне обоснованных мер, направленных на улучшение организации работы на оборонных заводах, в частности обращалось внимание на повышение ответственности руководителей предприятий и культуры производства, на совершенствование существующих технологий и многое другое. Однако в последующем на местах занялись не только этим. На всех военных заводах, например, сформировали специальные комиссии по борьбе с вредительством, которые должны были подготовить планы своей работы и постоянно отчитываться о выполнении поставленных перед ними задач (20981).</w:t>
      </w:r>
    </w:p>
    <w:p w14:paraId="21D2E14F" w14:textId="77777777" w:rsidR="00BF32E0" w:rsidRPr="00507A31" w:rsidRDefault="00BF32E0" w:rsidP="00507A31">
      <w:pPr>
        <w:pStyle w:val="ae"/>
        <w:shd w:val="clear" w:color="auto" w:fill="FFFFFF"/>
        <w:spacing w:before="0" w:after="0"/>
        <w:jc w:val="both"/>
        <w:rPr>
          <w:color w:val="0070C0"/>
          <w:sz w:val="16"/>
          <w:szCs w:val="16"/>
        </w:rPr>
      </w:pPr>
    </w:p>
    <w:p w14:paraId="6F01927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A5D26EA" w14:textId="77777777" w:rsidR="00537E5F" w:rsidRPr="00507A31" w:rsidRDefault="00537E5F" w:rsidP="00507A31">
      <w:pPr>
        <w:autoSpaceDE w:val="0"/>
        <w:autoSpaceDN w:val="0"/>
        <w:adjustRightInd w:val="0"/>
        <w:jc w:val="both"/>
        <w:rPr>
          <w:iCs/>
          <w:color w:val="000000" w:themeColor="text1"/>
          <w:sz w:val="16"/>
          <w:szCs w:val="16"/>
        </w:rPr>
      </w:pPr>
    </w:p>
    <w:p w14:paraId="52AABBB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 марта 1930 принято постановление об обобществлении земли, скота и инвентаря колхозников (4962).</w:t>
      </w:r>
    </w:p>
    <w:p w14:paraId="7AEF699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DB29C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марта 1930 Нижнесалдинский район. Восстание крестьян в д.Севеpная (40 км от г.Тагил) Попытки доставить на сбоpный пункт в п.Салда тpи кулацкие семьи, вызвали мощный пpотест всей деpевни. Толпа кpестьян встpетила милиционеpов кpиками: "Пpиехали гpабители, забиpают честных людей, не дадим своих в обиду!" и не дала увезти выселяемых. Втоpой наpяд милиции был встpечен толпой в 300 человек. Раздавались возгласы: "Нет у нас кулаков, они нас коpмили, не дадим выселять, уходите пока живы!". С той и дpугой стоpоны pаздались выстpелы, и пpедставители власти едва унесли ноги. Кpестьяне выставили вооpуженные посты и патpули, сельсовет был окpужен (10687).</w:t>
      </w:r>
    </w:p>
    <w:p w14:paraId="581B479E" w14:textId="77777777" w:rsidR="00537E5F" w:rsidRPr="00507A31" w:rsidRDefault="00537E5F" w:rsidP="00507A31">
      <w:pPr>
        <w:autoSpaceDE w:val="0"/>
        <w:autoSpaceDN w:val="0"/>
        <w:adjustRightInd w:val="0"/>
        <w:jc w:val="both"/>
        <w:rPr>
          <w:color w:val="000000" w:themeColor="text1"/>
          <w:sz w:val="16"/>
          <w:szCs w:val="16"/>
        </w:rPr>
      </w:pPr>
    </w:p>
    <w:p w14:paraId="29975EC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F1ACA3C" w14:textId="77777777" w:rsidR="00537E5F" w:rsidRPr="00507A31" w:rsidRDefault="00537E5F" w:rsidP="00507A31">
      <w:pPr>
        <w:autoSpaceDE w:val="0"/>
        <w:autoSpaceDN w:val="0"/>
        <w:adjustRightInd w:val="0"/>
        <w:jc w:val="both"/>
        <w:rPr>
          <w:iCs/>
          <w:color w:val="000000" w:themeColor="text1"/>
          <w:sz w:val="16"/>
          <w:szCs w:val="16"/>
        </w:rPr>
      </w:pPr>
    </w:p>
    <w:p w14:paraId="31CD3B8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 марта 1930 года проект И-7 в деревянной версии был пущен в разработку в Конструктивном отделе (6925).</w:t>
      </w:r>
    </w:p>
    <w:p w14:paraId="2970D0A8"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8017C1E" w14:textId="77777777" w:rsidR="00D4235A" w:rsidRPr="00507A31" w:rsidRDefault="00D4235A" w:rsidP="00507A31">
      <w:pPr>
        <w:pStyle w:val="rtejustify"/>
        <w:shd w:val="clear" w:color="auto" w:fill="FFFFFF"/>
        <w:spacing w:before="0" w:after="0"/>
        <w:rPr>
          <w:color w:val="000000" w:themeColor="text1"/>
          <w:sz w:val="16"/>
          <w:szCs w:val="16"/>
        </w:rPr>
      </w:pPr>
      <w:r w:rsidRPr="00507A31">
        <w:rPr>
          <w:color w:val="000000" w:themeColor="text1"/>
          <w:sz w:val="16"/>
          <w:szCs w:val="16"/>
        </w:rPr>
        <w:t>8 марта 1930 года макет И-8 окончательно макет утвердили, хотя вопрос о летных данных самолета остался открытым, ввиду отсутствия характеристик мотора (19171).</w:t>
      </w:r>
    </w:p>
    <w:p w14:paraId="1C0388DB" w14:textId="77777777" w:rsidR="00D4235A" w:rsidRPr="00507A31" w:rsidRDefault="00D4235A" w:rsidP="00507A31">
      <w:pPr>
        <w:pStyle w:val="rtejustify"/>
        <w:shd w:val="clear" w:color="auto" w:fill="FFFFFF"/>
        <w:spacing w:before="0" w:after="0"/>
        <w:rPr>
          <w:color w:val="000000" w:themeColor="text1"/>
          <w:sz w:val="16"/>
          <w:szCs w:val="16"/>
        </w:rPr>
      </w:pPr>
    </w:p>
    <w:p w14:paraId="4EA5F9F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0748D91" w14:textId="77777777" w:rsidR="00537E5F" w:rsidRPr="00507A31" w:rsidRDefault="00537E5F" w:rsidP="00507A31">
      <w:pPr>
        <w:autoSpaceDE w:val="0"/>
        <w:autoSpaceDN w:val="0"/>
        <w:adjustRightInd w:val="0"/>
        <w:jc w:val="both"/>
        <w:rPr>
          <w:iCs/>
          <w:color w:val="000000" w:themeColor="text1"/>
          <w:sz w:val="16"/>
          <w:szCs w:val="16"/>
        </w:rPr>
      </w:pPr>
    </w:p>
    <w:p w14:paraId="2267DD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марта 1930 Нижнесалдинский район. От pайкома ВКП(б) и pайисполкома к кpестьянам д. Севеpной было послано обpащение, где их действия pасценивались как восстание пpотив Советской власти. Это смутило кpестьян, и они пpекpатили оpганизованное сопpотивление, после чего более полусотни сотpудников ОГПУ и коммунистов пpибыли на место пpоисшествия, аpестовали 20 зачинщиков и вывезли семьи pаскулаченных.</w:t>
      </w:r>
    </w:p>
    <w:p w14:paraId="059717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Казахская ССР. Казахские повстанцы взяли п.Жайылма в Иргизском районе, южнее г.Орск. Всюду восставшие - сарбазы - громили сельсоветы, уничтожали документацию, срывали хлебозаготовкам, распускали колхозы. (Подробнее см.Восстания в Казахстане 1929-1931 гг) (10687).</w:t>
      </w:r>
    </w:p>
    <w:p w14:paraId="107AFCE3" w14:textId="77777777" w:rsidR="00537E5F" w:rsidRPr="00507A31" w:rsidRDefault="00537E5F" w:rsidP="00507A31">
      <w:pPr>
        <w:autoSpaceDE w:val="0"/>
        <w:autoSpaceDN w:val="0"/>
        <w:adjustRightInd w:val="0"/>
        <w:jc w:val="both"/>
        <w:rPr>
          <w:color w:val="000000" w:themeColor="text1"/>
          <w:sz w:val="16"/>
          <w:szCs w:val="16"/>
        </w:rPr>
      </w:pPr>
    </w:p>
    <w:p w14:paraId="5944392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95158D9" w14:textId="77777777" w:rsidR="00537E5F" w:rsidRPr="00507A31" w:rsidRDefault="00537E5F" w:rsidP="00507A31">
      <w:pPr>
        <w:autoSpaceDE w:val="0"/>
        <w:autoSpaceDN w:val="0"/>
        <w:adjustRightInd w:val="0"/>
        <w:jc w:val="both"/>
        <w:rPr>
          <w:iCs/>
          <w:color w:val="000000" w:themeColor="text1"/>
          <w:sz w:val="16"/>
          <w:szCs w:val="16"/>
        </w:rPr>
      </w:pPr>
    </w:p>
    <w:p w14:paraId="30CA41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марта 1930 года неохлаждаемый жидкостный двигатель Валье, работающий на этиловом спирте и жидком кислороде, развил на стенде тягу в 8 килограммов. Для дальнейших экспериментов был, как обычно, построен специальный автомобиль «Valier-Heylandt-Rak Motor» («Валье-Хейланд-Рак Мотор»), в задней части которого изобретатели установили свой двигатель, размер которого не превышал размера пивной бутылки. Емкости с кислородом и спиртом поместили внутрь автомобиля. Две трубки подводили компоненты топлива к двигателю, а электрическая искра осуществляла воспламенение.</w:t>
      </w:r>
    </w:p>
    <w:p w14:paraId="5A4CBA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испытания двигатель был демонтирован и усовершенствован – Риделю удалось поднять тягу до 30 килограммов. Автомобиль с этим двигателем демонстрировался 19 апреля 1930 года на аэродроме Темпельхоф в Берлине. Машина двигалась с шумом, реактивная струя была красноватой и дымной, что свидетельствовало о неполном сгорании топлива. Но даже при этих проблемах автомобиль развивал скорость до 80 км/ч в течение 5 минут, замедляя и ускоряя движение, и, вообще, показал полную управляемость (11688).</w:t>
      </w:r>
    </w:p>
    <w:p w14:paraId="4C8C9851" w14:textId="77777777" w:rsidR="00537E5F" w:rsidRPr="00507A31" w:rsidRDefault="00537E5F" w:rsidP="00507A31">
      <w:pPr>
        <w:autoSpaceDE w:val="0"/>
        <w:autoSpaceDN w:val="0"/>
        <w:adjustRightInd w:val="0"/>
        <w:jc w:val="both"/>
        <w:rPr>
          <w:color w:val="000000" w:themeColor="text1"/>
          <w:sz w:val="16"/>
          <w:szCs w:val="16"/>
        </w:rPr>
      </w:pPr>
    </w:p>
    <w:p w14:paraId="48BC3497" w14:textId="77777777" w:rsidR="00221B9E" w:rsidRPr="00507A31" w:rsidRDefault="00221B9E" w:rsidP="00507A31">
      <w:pPr>
        <w:jc w:val="both"/>
        <w:rPr>
          <w:color w:val="000000" w:themeColor="text1"/>
          <w:sz w:val="16"/>
          <w:szCs w:val="16"/>
        </w:rPr>
      </w:pPr>
      <w:r w:rsidRPr="00507A31">
        <w:rPr>
          <w:bCs/>
          <w:color w:val="000000" w:themeColor="text1"/>
          <w:sz w:val="16"/>
          <w:szCs w:val="16"/>
        </w:rPr>
        <w:t>8 марта</w:t>
      </w:r>
      <w:r w:rsidRPr="00507A31">
        <w:rPr>
          <w:color w:val="000000" w:themeColor="text1"/>
          <w:sz w:val="16"/>
          <w:szCs w:val="16"/>
        </w:rPr>
        <w:t xml:space="preserve"> в 1930 году немецкий конструктор Макс Валье провел на испытательном стенде пробное включение ЖРД, создаваемого для него инженером Вальтером Риделем, тяга двигателя составила 8 кгс (15062).</w:t>
      </w:r>
    </w:p>
    <w:p w14:paraId="773A6489" w14:textId="77777777" w:rsidR="00221B9E" w:rsidRPr="00507A31" w:rsidRDefault="00221B9E" w:rsidP="00507A31">
      <w:pPr>
        <w:jc w:val="both"/>
        <w:rPr>
          <w:color w:val="000000" w:themeColor="text1"/>
          <w:sz w:val="16"/>
          <w:szCs w:val="16"/>
        </w:rPr>
      </w:pPr>
    </w:p>
    <w:p w14:paraId="162FDA40" w14:textId="77777777" w:rsidR="00221B9E" w:rsidRPr="00507A31" w:rsidRDefault="00221B9E" w:rsidP="00507A31">
      <w:pPr>
        <w:jc w:val="both"/>
        <w:rPr>
          <w:color w:val="000000" w:themeColor="text1"/>
          <w:sz w:val="16"/>
          <w:szCs w:val="16"/>
        </w:rPr>
      </w:pPr>
      <w:r w:rsidRPr="00507A31">
        <w:rPr>
          <w:bCs/>
          <w:color w:val="000000" w:themeColor="text1"/>
          <w:sz w:val="16"/>
          <w:szCs w:val="16"/>
        </w:rPr>
        <w:t>8 марта</w:t>
      </w:r>
      <w:r w:rsidRPr="00507A31">
        <w:rPr>
          <w:color w:val="000000" w:themeColor="text1"/>
          <w:sz w:val="16"/>
          <w:szCs w:val="16"/>
        </w:rPr>
        <w:t xml:space="preserve"> в 1930 году в Индии начинается кампания гражданского неподчинения под руководством Махатмы Ганди (15062).</w:t>
      </w:r>
    </w:p>
    <w:p w14:paraId="44D4941A" w14:textId="77777777" w:rsidR="00221B9E" w:rsidRPr="00507A31" w:rsidRDefault="00221B9E" w:rsidP="00507A31">
      <w:pPr>
        <w:jc w:val="both"/>
        <w:rPr>
          <w:color w:val="000000" w:themeColor="text1"/>
          <w:sz w:val="16"/>
          <w:szCs w:val="16"/>
        </w:rPr>
      </w:pPr>
    </w:p>
    <w:p w14:paraId="2A4294E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756DACC" w14:textId="77777777" w:rsidR="00537E5F" w:rsidRPr="00507A31" w:rsidRDefault="00537E5F" w:rsidP="00507A31">
      <w:pPr>
        <w:autoSpaceDE w:val="0"/>
        <w:autoSpaceDN w:val="0"/>
        <w:adjustRightInd w:val="0"/>
        <w:jc w:val="both"/>
        <w:rPr>
          <w:iCs/>
          <w:color w:val="000000" w:themeColor="text1"/>
          <w:sz w:val="16"/>
          <w:szCs w:val="16"/>
        </w:rPr>
      </w:pPr>
    </w:p>
    <w:p w14:paraId="3A14BA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9/11 марта 1930 Отв. Секретарь Президиума ВСНХ СССР Юсим и Зав. Секретно-Шифровального отдела Президиума ВСНХ Высоцкий писали письмо № 4198/с циркулярно в ВСНХ Союзных Республик и всем ГУ и Объединениям, подведомственным ВСНХ СССР:</w:t>
      </w:r>
    </w:p>
    <w:p w14:paraId="484373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вопросу: об отправке секретной корреспонденции:</w:t>
      </w:r>
    </w:p>
    <w:p w14:paraId="5EB990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0FD686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 избежание пересылки секретной и сов. секретной корреспонденции через Наркомдочтель почтой "особой важности", в будущем секратная и сов. секретная корреспонденция, идущие в адреса нижеперечисленных хозорганов и заводов, должна отправляться через фельдсвязь ОГПУ, для следующей заадресовки пакетов: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7274"/>
      </w:tblGrid>
      <w:tr w:rsidR="00A61694" w:rsidRPr="00507A31" w14:paraId="794CDFD2" w14:textId="77777777">
        <w:tc>
          <w:tcPr>
            <w:tcW w:w="3936" w:type="dxa"/>
            <w:tcBorders>
              <w:top w:val="single" w:sz="12" w:space="0" w:color="auto"/>
            </w:tcBorders>
            <w:shd w:val="clear" w:color="auto" w:fill="FFFFFF"/>
          </w:tcPr>
          <w:p w14:paraId="33F68E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lang w:val="en-US"/>
              </w:rPr>
              <w:t xml:space="preserve">I/ </w:t>
            </w:r>
            <w:r w:rsidRPr="00507A31">
              <w:rPr>
                <w:color w:val="000000" w:themeColor="text1"/>
                <w:sz w:val="16"/>
                <w:szCs w:val="16"/>
              </w:rPr>
              <w:t>Завод "Карболит” адресовать</w:t>
            </w:r>
          </w:p>
        </w:tc>
        <w:tc>
          <w:tcPr>
            <w:tcW w:w="7274" w:type="dxa"/>
            <w:tcBorders>
              <w:top w:val="single" w:sz="12" w:space="0" w:color="auto"/>
            </w:tcBorders>
            <w:shd w:val="clear" w:color="auto" w:fill="FFFFFF"/>
          </w:tcPr>
          <w:p w14:paraId="14CC36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г. Орехово-Зуево Моск. пром. Области, завод “Карболит”</w:t>
            </w:r>
          </w:p>
        </w:tc>
      </w:tr>
      <w:tr w:rsidR="00A61694" w:rsidRPr="00507A31" w14:paraId="00CAED56" w14:textId="77777777">
        <w:tc>
          <w:tcPr>
            <w:tcW w:w="3936" w:type="dxa"/>
            <w:shd w:val="clear" w:color="auto" w:fill="FFFFFF"/>
          </w:tcPr>
          <w:p w14:paraId="15337B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Шлиссельбургский гос. завод</w:t>
            </w:r>
          </w:p>
        </w:tc>
        <w:tc>
          <w:tcPr>
            <w:tcW w:w="7274" w:type="dxa"/>
            <w:shd w:val="clear" w:color="auto" w:fill="FFFFFF"/>
          </w:tcPr>
          <w:p w14:paraId="730423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ШлиссельбургЮ Ленинградского округа, Шлиссельбургский гос. завод</w:t>
            </w:r>
          </w:p>
        </w:tc>
      </w:tr>
      <w:tr w:rsidR="00A61694" w:rsidRPr="00507A31" w14:paraId="0E952215" w14:textId="77777777">
        <w:tc>
          <w:tcPr>
            <w:tcW w:w="3936" w:type="dxa"/>
            <w:shd w:val="clear" w:color="auto" w:fill="FFFFFF"/>
          </w:tcPr>
          <w:p w14:paraId="03FF9D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Лениеградский Ульяновский завод</w:t>
            </w:r>
          </w:p>
        </w:tc>
        <w:tc>
          <w:tcPr>
            <w:tcW w:w="7274" w:type="dxa"/>
            <w:shd w:val="clear" w:color="auto" w:fill="FFFFFF"/>
          </w:tcPr>
          <w:p w14:paraId="005316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Ленинград, Ленияград. окр. Ульяновский з-д № 9.</w:t>
            </w:r>
          </w:p>
        </w:tc>
      </w:tr>
      <w:tr w:rsidR="00A61694" w:rsidRPr="00507A31" w14:paraId="7182B81B" w14:textId="77777777">
        <w:tc>
          <w:tcPr>
            <w:tcW w:w="3936" w:type="dxa"/>
            <w:shd w:val="clear" w:color="auto" w:fill="FFFFFF"/>
          </w:tcPr>
          <w:p w14:paraId="0A4947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завод "Большевик”</w:t>
            </w:r>
          </w:p>
        </w:tc>
        <w:tc>
          <w:tcPr>
            <w:tcW w:w="7274" w:type="dxa"/>
            <w:shd w:val="clear" w:color="auto" w:fill="FFFFFF"/>
          </w:tcPr>
          <w:p w14:paraId="385009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Ленинград, завод “Большевик".</w:t>
            </w:r>
          </w:p>
        </w:tc>
      </w:tr>
      <w:tr w:rsidR="00A61694" w:rsidRPr="00507A31" w14:paraId="5E30FC4D" w14:textId="77777777">
        <w:tc>
          <w:tcPr>
            <w:tcW w:w="3936" w:type="dxa"/>
            <w:shd w:val="clear" w:color="auto" w:fill="FFFFFF"/>
          </w:tcPr>
          <w:p w14:paraId="3EDDD8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3-д им. К.Либкнехта</w:t>
            </w:r>
          </w:p>
        </w:tc>
        <w:tc>
          <w:tcPr>
            <w:tcW w:w="7274" w:type="dxa"/>
            <w:shd w:val="clear" w:color="auto" w:fill="FFFFFF"/>
          </w:tcPr>
          <w:p w14:paraId="5FDA8B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Н.Днепровск, Днепропетровского округа, Завод им. Либкнехта</w:t>
            </w:r>
          </w:p>
        </w:tc>
      </w:tr>
      <w:tr w:rsidR="00A61694" w:rsidRPr="00507A31" w14:paraId="2E8BD489" w14:textId="77777777">
        <w:tc>
          <w:tcPr>
            <w:tcW w:w="3936" w:type="dxa"/>
            <w:shd w:val="clear" w:color="auto" w:fill="FFFFFF"/>
          </w:tcPr>
          <w:p w14:paraId="184BF9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Брянская ГРЭС</w:t>
            </w:r>
          </w:p>
        </w:tc>
        <w:tc>
          <w:tcPr>
            <w:tcW w:w="7274" w:type="dxa"/>
            <w:shd w:val="clear" w:color="auto" w:fill="FFFFFF"/>
          </w:tcPr>
          <w:p w14:paraId="35BCFE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Брянск , Брянская "ГРЭС" через от. Белые Берега.</w:t>
            </w:r>
          </w:p>
        </w:tc>
      </w:tr>
      <w:tr w:rsidR="00A61694" w:rsidRPr="00507A31" w14:paraId="54ACBE07" w14:textId="77777777">
        <w:tc>
          <w:tcPr>
            <w:tcW w:w="3936" w:type="dxa"/>
            <w:shd w:val="clear" w:color="auto" w:fill="FFFFFF"/>
          </w:tcPr>
          <w:p w14:paraId="456565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завод им. Дзержинского</w:t>
            </w:r>
          </w:p>
        </w:tc>
        <w:tc>
          <w:tcPr>
            <w:tcW w:w="7274" w:type="dxa"/>
            <w:shd w:val="clear" w:color="auto" w:fill="FFFFFF"/>
          </w:tcPr>
          <w:p w14:paraId="5E0082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Запорожье - Каменское, Днепропетровского округа, З-д им. Дзержинского</w:t>
            </w:r>
          </w:p>
        </w:tc>
      </w:tr>
      <w:tr w:rsidR="00A61694" w:rsidRPr="00507A31" w14:paraId="18145F27" w14:textId="77777777">
        <w:tc>
          <w:tcPr>
            <w:tcW w:w="3936" w:type="dxa"/>
            <w:shd w:val="clear" w:color="auto" w:fill="FFFFFF"/>
          </w:tcPr>
          <w:p w14:paraId="020308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ГРЭС Донсода</w:t>
            </w:r>
          </w:p>
        </w:tc>
        <w:tc>
          <w:tcPr>
            <w:tcW w:w="7274" w:type="dxa"/>
            <w:shd w:val="clear" w:color="auto" w:fill="FFFFFF"/>
          </w:tcPr>
          <w:p w14:paraId="49608D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Переездная, Артемовского округа, ГРЭС Донсода</w:t>
            </w:r>
          </w:p>
        </w:tc>
      </w:tr>
      <w:tr w:rsidR="00A61694" w:rsidRPr="00507A31" w14:paraId="5F4EF95C" w14:textId="77777777">
        <w:tc>
          <w:tcPr>
            <w:tcW w:w="3936" w:type="dxa"/>
            <w:shd w:val="clear" w:color="auto" w:fill="FFFFFF"/>
          </w:tcPr>
          <w:p w14:paraId="60930B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Фабрика “Герой труда”</w:t>
            </w:r>
          </w:p>
        </w:tc>
        <w:tc>
          <w:tcPr>
            <w:tcW w:w="7274" w:type="dxa"/>
            <w:shd w:val="clear" w:color="auto" w:fill="FFFFFF"/>
          </w:tcPr>
          <w:p w14:paraId="043E26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Гомель, фабрика “Герой труда”</w:t>
            </w:r>
          </w:p>
        </w:tc>
      </w:tr>
      <w:tr w:rsidR="00A61694" w:rsidRPr="00507A31" w14:paraId="6F064733" w14:textId="77777777">
        <w:tc>
          <w:tcPr>
            <w:tcW w:w="3936" w:type="dxa"/>
            <w:shd w:val="clear" w:color="auto" w:fill="FFFFFF"/>
          </w:tcPr>
          <w:p w14:paraId="73C125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Осинстрой</w:t>
            </w:r>
          </w:p>
        </w:tc>
        <w:tc>
          <w:tcPr>
            <w:tcW w:w="7274" w:type="dxa"/>
            <w:shd w:val="clear" w:color="auto" w:fill="FFFFFF"/>
          </w:tcPr>
          <w:p w14:paraId="53C95D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Орша, Осинстрой</w:t>
            </w:r>
          </w:p>
        </w:tc>
      </w:tr>
      <w:tr w:rsidR="00A61694" w:rsidRPr="00507A31" w14:paraId="6780F16A" w14:textId="77777777">
        <w:tc>
          <w:tcPr>
            <w:tcW w:w="3936" w:type="dxa"/>
            <w:shd w:val="clear" w:color="auto" w:fill="FFFFFF"/>
          </w:tcPr>
          <w:p w14:paraId="5EE660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Мурминская фабрика</w:t>
            </w:r>
          </w:p>
        </w:tc>
        <w:tc>
          <w:tcPr>
            <w:tcW w:w="7274" w:type="dxa"/>
            <w:shd w:val="clear" w:color="auto" w:fill="FFFFFF"/>
          </w:tcPr>
          <w:p w14:paraId="471764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Рязань, Мурминская фабрика</w:t>
            </w:r>
          </w:p>
        </w:tc>
      </w:tr>
      <w:tr w:rsidR="00A61694" w:rsidRPr="00507A31" w14:paraId="13CFDFAC" w14:textId="77777777">
        <w:tc>
          <w:tcPr>
            <w:tcW w:w="3936" w:type="dxa"/>
            <w:shd w:val="clear" w:color="auto" w:fill="FFFFFF"/>
          </w:tcPr>
          <w:p w14:paraId="58BA5D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Бурмакинская артель</w:t>
            </w:r>
          </w:p>
        </w:tc>
        <w:tc>
          <w:tcPr>
            <w:tcW w:w="7274" w:type="dxa"/>
            <w:shd w:val="clear" w:color="auto" w:fill="FFFFFF"/>
          </w:tcPr>
          <w:p w14:paraId="00994A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Ярославль, Бурмакинская артель</w:t>
            </w:r>
          </w:p>
        </w:tc>
      </w:tr>
      <w:tr w:rsidR="00A61694" w:rsidRPr="00507A31" w14:paraId="7F27F9A8" w14:textId="77777777">
        <w:tc>
          <w:tcPr>
            <w:tcW w:w="3936" w:type="dxa"/>
            <w:shd w:val="clear" w:color="auto" w:fill="FFFFFF"/>
          </w:tcPr>
          <w:p w14:paraId="28C488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Березниковский завод</w:t>
            </w:r>
          </w:p>
        </w:tc>
        <w:tc>
          <w:tcPr>
            <w:tcW w:w="7274" w:type="dxa"/>
            <w:shd w:val="clear" w:color="auto" w:fill="FFFFFF"/>
          </w:tcPr>
          <w:p w14:paraId="16ACD3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Усолье, В. Каменного окр. Уральской обл., Березниковскому заводу</w:t>
            </w:r>
          </w:p>
        </w:tc>
      </w:tr>
      <w:tr w:rsidR="00A61694" w:rsidRPr="00507A31" w14:paraId="7A033690" w14:textId="77777777">
        <w:tc>
          <w:tcPr>
            <w:tcW w:w="3936" w:type="dxa"/>
            <w:shd w:val="clear" w:color="auto" w:fill="FFFFFF"/>
          </w:tcPr>
          <w:p w14:paraId="3BA1A9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Ураласбест</w:t>
            </w:r>
          </w:p>
        </w:tc>
        <w:tc>
          <w:tcPr>
            <w:tcW w:w="7274" w:type="dxa"/>
            <w:shd w:val="clear" w:color="auto" w:fill="FFFFFF"/>
          </w:tcPr>
          <w:p w14:paraId="43E66D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 Свердловск, Уральской области, "Ураласбест”.</w:t>
            </w:r>
          </w:p>
        </w:tc>
      </w:tr>
      <w:tr w:rsidR="00A61694" w:rsidRPr="00507A31" w14:paraId="4138C93A" w14:textId="77777777">
        <w:tc>
          <w:tcPr>
            <w:tcW w:w="3936" w:type="dxa"/>
            <w:shd w:val="clear" w:color="auto" w:fill="FFFFFF"/>
          </w:tcPr>
          <w:p w14:paraId="685130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Завод "Злектроуголь </w:t>
            </w:r>
          </w:p>
        </w:tc>
        <w:tc>
          <w:tcPr>
            <w:tcW w:w="7274" w:type="dxa"/>
            <w:shd w:val="clear" w:color="auto" w:fill="FFFFFF"/>
          </w:tcPr>
          <w:p w14:paraId="0DC107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 Кудиново, Моск. и Нижегор. Ж.д. Московского округа, заводу "Электроуголь”</w:t>
            </w:r>
          </w:p>
        </w:tc>
      </w:tr>
      <w:tr w:rsidR="00A61694" w:rsidRPr="00507A31" w14:paraId="1796B503" w14:textId="77777777">
        <w:tc>
          <w:tcPr>
            <w:tcW w:w="3936" w:type="dxa"/>
            <w:shd w:val="clear" w:color="auto" w:fill="FFFFFF"/>
          </w:tcPr>
          <w:p w14:paraId="3A8C9C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Сясьская фабрика им.Сталина</w:t>
            </w:r>
          </w:p>
        </w:tc>
        <w:tc>
          <w:tcPr>
            <w:tcW w:w="7274" w:type="dxa"/>
            <w:shd w:val="clear" w:color="auto" w:fill="FFFFFF"/>
          </w:tcPr>
          <w:p w14:paraId="3F6819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 Лугачи, Мурманской ж.д. Заводоуправление Сясьского ЦБК им. Сталина</w:t>
            </w:r>
          </w:p>
        </w:tc>
      </w:tr>
      <w:tr w:rsidR="00A61694" w:rsidRPr="00507A31" w14:paraId="693F3F9E" w14:textId="77777777">
        <w:tc>
          <w:tcPr>
            <w:tcW w:w="3936" w:type="dxa"/>
            <w:shd w:val="clear" w:color="auto" w:fill="FFFFFF"/>
          </w:tcPr>
          <w:p w14:paraId="0BAAF6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Уралмедьстрой</w:t>
            </w:r>
          </w:p>
        </w:tc>
        <w:tc>
          <w:tcPr>
            <w:tcW w:w="7274" w:type="dxa"/>
            <w:shd w:val="clear" w:color="auto" w:fill="FFFFFF"/>
          </w:tcPr>
          <w:p w14:paraId="38AD3E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Н. Тагил, Уральской обл., Уральск. Обл., Уралмедьстрой</w:t>
            </w:r>
          </w:p>
        </w:tc>
      </w:tr>
      <w:tr w:rsidR="00A61694" w:rsidRPr="00507A31" w14:paraId="7749432F" w14:textId="77777777">
        <w:tc>
          <w:tcPr>
            <w:tcW w:w="3936" w:type="dxa"/>
            <w:shd w:val="clear" w:color="auto" w:fill="FFFFFF"/>
          </w:tcPr>
          <w:p w14:paraId="3A7880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С.Усть-Уса Консервный завод Авт. Коми Области</w:t>
            </w:r>
          </w:p>
        </w:tc>
        <w:tc>
          <w:tcPr>
            <w:tcW w:w="7274" w:type="dxa"/>
            <w:shd w:val="clear" w:color="auto" w:fill="FFFFFF"/>
          </w:tcPr>
          <w:p w14:paraId="3BE911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ст.Усть-Сыльма, Архангельского округа Северного Края, директору Консервного завода Авт. Коми Области</w:t>
            </w:r>
          </w:p>
        </w:tc>
      </w:tr>
      <w:tr w:rsidR="00A61694" w:rsidRPr="00507A31" w14:paraId="6660BD56" w14:textId="77777777">
        <w:tc>
          <w:tcPr>
            <w:tcW w:w="3936" w:type="dxa"/>
            <w:tcBorders>
              <w:bottom w:val="single" w:sz="12" w:space="0" w:color="auto"/>
            </w:tcBorders>
            <w:shd w:val="clear" w:color="auto" w:fill="FFFFFF"/>
          </w:tcPr>
          <w:p w14:paraId="50A353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Лосиноостровска, Склад № 36</w:t>
            </w:r>
          </w:p>
        </w:tc>
        <w:tc>
          <w:tcPr>
            <w:tcW w:w="7274" w:type="dxa"/>
            <w:tcBorders>
              <w:bottom w:val="single" w:sz="12" w:space="0" w:color="auto"/>
            </w:tcBorders>
            <w:shd w:val="clear" w:color="auto" w:fill="FFFFFF"/>
          </w:tcPr>
          <w:p w14:paraId="24BC49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"Через фельдкорпус ОГПУ” Склад № 36 - Лосиноостровоская</w:t>
            </w:r>
          </w:p>
        </w:tc>
      </w:tr>
    </w:tbl>
    <w:p w14:paraId="284C7A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w:t>
      </w:r>
    </w:p>
    <w:p w14:paraId="18F1A2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В связи с открытием авиационного сообщения между городами Хабаровск-Николаевск на/Амуре - Александровск - н/Сахалинск-ОХА переотправка секретной корреспонденции в эти пункты фельдкорпусоы производиться из Москвы до Хабаровска по жел. дороге, а от Хабаровска до выше указанных пунктов воздушным путем. </w:t>
      </w:r>
    </w:p>
    <w:p w14:paraId="09033B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Плата за пересылку секретной корреспонденция будет взиматься по нижеследующему расчету:</w:t>
      </w:r>
    </w:p>
    <w:p w14:paraId="5C05F7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3а пакеты весом до 400гр. лит. "в"</w:t>
      </w:r>
      <w:r w:rsidRPr="00507A31">
        <w:rPr>
          <w:color w:val="000000" w:themeColor="text1"/>
          <w:sz w:val="16"/>
          <w:szCs w:val="16"/>
        </w:rPr>
        <w:tab/>
        <w:t>2р30к</w:t>
      </w:r>
    </w:p>
    <w:p w14:paraId="6C05E0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 г. лит. “а”</w:t>
      </w:r>
      <w:r w:rsidRPr="00507A31">
        <w:rPr>
          <w:color w:val="000000" w:themeColor="text1"/>
          <w:sz w:val="16"/>
          <w:szCs w:val="16"/>
        </w:rPr>
        <w:tab/>
        <w:t>2р40к</w:t>
      </w:r>
    </w:p>
    <w:p w14:paraId="389567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 г  обр. “К”</w:t>
      </w:r>
      <w:r w:rsidRPr="00507A31">
        <w:rPr>
          <w:color w:val="000000" w:themeColor="text1"/>
          <w:sz w:val="16"/>
          <w:szCs w:val="16"/>
        </w:rPr>
        <w:tab/>
        <w:t>2р50к</w:t>
      </w:r>
    </w:p>
    <w:p w14:paraId="56B2B9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 пакеты свыше 400 г как за грузовую корреспонденцию лит “б”</w:t>
      </w:r>
      <w:r w:rsidRPr="00507A31">
        <w:rPr>
          <w:color w:val="000000" w:themeColor="text1"/>
          <w:sz w:val="16"/>
          <w:szCs w:val="16"/>
        </w:rPr>
        <w:tab/>
        <w:t>5р75к</w:t>
      </w:r>
    </w:p>
    <w:p w14:paraId="217EB5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лит “а”</w:t>
      </w:r>
      <w:r w:rsidRPr="00507A31">
        <w:rPr>
          <w:color w:val="000000" w:themeColor="text1"/>
          <w:sz w:val="16"/>
          <w:szCs w:val="16"/>
        </w:rPr>
        <w:tab/>
        <w:t>6р00к</w:t>
      </w:r>
    </w:p>
    <w:p w14:paraId="150C75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сер. “к”</w:t>
      </w:r>
      <w:r w:rsidRPr="00507A31">
        <w:rPr>
          <w:color w:val="000000" w:themeColor="text1"/>
          <w:sz w:val="16"/>
          <w:szCs w:val="16"/>
        </w:rPr>
        <w:tab/>
        <w:t>6р25к за каждый килограм</w:t>
      </w:r>
    </w:p>
    <w:p w14:paraId="1A121B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пакетах отправляемой секретной корреспонденции в вышеупомянутые пункты, надлежит в верхней части лицевой стороны проставить “Авиасвязью” и направлять таковые в фельдкорпус ОГПУ при отдельной сопроводит ел ьной записке /форма и 5/, с надписью "АВИАСВЯЗЬЮ”</w:t>
      </w:r>
    </w:p>
    <w:p w14:paraId="43B194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Примечание: форму № 5 надлежит получить в фельдкорпусе </w:t>
      </w:r>
      <w:r w:rsidRPr="00507A31">
        <w:rPr>
          <w:smallCaps/>
          <w:color w:val="000000" w:themeColor="text1"/>
          <w:sz w:val="16"/>
          <w:szCs w:val="16"/>
        </w:rPr>
        <w:t>огпу.</w:t>
      </w:r>
    </w:p>
    <w:p w14:paraId="0E8AD1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w:t>
      </w:r>
    </w:p>
    <w:p w14:paraId="7E9EAB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smallCaps/>
          <w:color w:val="000000" w:themeColor="text1"/>
          <w:sz w:val="16"/>
          <w:szCs w:val="16"/>
        </w:rPr>
        <w:t xml:space="preserve">Наблюдаются случаи, </w:t>
      </w:r>
      <w:r w:rsidRPr="00507A31">
        <w:rPr>
          <w:color w:val="000000" w:themeColor="text1"/>
          <w:sz w:val="16"/>
          <w:szCs w:val="16"/>
        </w:rPr>
        <w:t>когда хоз органы и учреждения, принимая “Шарикоподшипникострой” (госуарственное отроительство завода шарикоподшипников) и "Шарикоподшипник СКФ” (Шведское концессионное преддприятие) за одно и то же учреждение, направляют почтой с курьерами корреспонденцию, адресованную “Шарикоподшипникострою” - в “Шарикоподшипник СКФ” и обоатно.</w:t>
      </w:r>
    </w:p>
    <w:p w14:paraId="28289F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результате этого происходят недоразумения с концессией СКФ и разглашаются сведения, о которых концессия СКФ знать не должна.</w:t>
      </w:r>
    </w:p>
    <w:p w14:paraId="3970A3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Поэтому предлагается всем Главный управлениям, Об"единениям и хозорганам ВСНХ СССР принять меры к немедленному прекращению путаницы или сознательных преступлений, со стороны работников Управлений и хозорганов.</w:t>
      </w:r>
    </w:p>
    <w:p w14:paraId="3143DB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Адрес Шарикоподшипникостроя - 1-й дом Советов, уг. Моховой и Тверской</w:t>
      </w:r>
    </w:p>
    <w:p w14:paraId="133AF6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Адрес Шарикоподшипника СКФ - Мясницкая ул., д. 22 (Контора) и Шаболовка, 45 (завод)</w:t>
      </w:r>
    </w:p>
    <w:p w14:paraId="5804FC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ВСНХ Союзных Республик и всем об'единениям издать соответствующие распоряжения по подведомственным им органам (8826,45).</w:t>
      </w:r>
    </w:p>
    <w:p w14:paraId="52564290" w14:textId="77777777" w:rsidR="00537E5F" w:rsidRPr="00507A31" w:rsidRDefault="00537E5F" w:rsidP="00507A31">
      <w:pPr>
        <w:autoSpaceDE w:val="0"/>
        <w:autoSpaceDN w:val="0"/>
        <w:adjustRightInd w:val="0"/>
        <w:jc w:val="both"/>
        <w:rPr>
          <w:color w:val="000000" w:themeColor="text1"/>
          <w:sz w:val="16"/>
          <w:szCs w:val="16"/>
        </w:rPr>
      </w:pPr>
    </w:p>
    <w:p w14:paraId="5244664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5149513" w14:textId="77777777" w:rsidR="00537E5F" w:rsidRPr="00507A31" w:rsidRDefault="00537E5F" w:rsidP="00507A31">
      <w:pPr>
        <w:autoSpaceDE w:val="0"/>
        <w:autoSpaceDN w:val="0"/>
        <w:adjustRightInd w:val="0"/>
        <w:jc w:val="both"/>
        <w:rPr>
          <w:iCs/>
          <w:color w:val="000000" w:themeColor="text1"/>
          <w:sz w:val="16"/>
          <w:szCs w:val="16"/>
        </w:rPr>
      </w:pPr>
    </w:p>
    <w:p w14:paraId="21A7C73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9 марта 1930 в Киеве начался открытый судебный процесс над представителями украинской интеллигенции, обвинявшихся в создании «Спилки вызволення Украины» (4962).</w:t>
      </w:r>
    </w:p>
    <w:p w14:paraId="3C92E74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ABFFF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марта 1930 Начался судебный процесс по делу "Спiлки вiзволення Украiни" (СВУ). На скамье подсудимых - 43 человека (10687).</w:t>
      </w:r>
    </w:p>
    <w:p w14:paraId="62B27C73" w14:textId="77777777" w:rsidR="00537E5F" w:rsidRPr="00507A31" w:rsidRDefault="00537E5F" w:rsidP="00507A31">
      <w:pPr>
        <w:autoSpaceDE w:val="0"/>
        <w:autoSpaceDN w:val="0"/>
        <w:adjustRightInd w:val="0"/>
        <w:jc w:val="both"/>
        <w:rPr>
          <w:color w:val="000000" w:themeColor="text1"/>
          <w:sz w:val="16"/>
          <w:szCs w:val="16"/>
        </w:rPr>
      </w:pPr>
    </w:p>
    <w:p w14:paraId="745D203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3A8DE87" w14:textId="77777777" w:rsidR="00537E5F" w:rsidRPr="00507A31" w:rsidRDefault="00537E5F" w:rsidP="00507A31">
      <w:pPr>
        <w:autoSpaceDE w:val="0"/>
        <w:autoSpaceDN w:val="0"/>
        <w:adjustRightInd w:val="0"/>
        <w:jc w:val="both"/>
        <w:rPr>
          <w:iCs/>
          <w:color w:val="000000" w:themeColor="text1"/>
          <w:sz w:val="16"/>
          <w:szCs w:val="16"/>
        </w:rPr>
      </w:pPr>
    </w:p>
    <w:p w14:paraId="706DBC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марта 1930 вышло постановление РЗ СТО (прот. 46) "О мероприятиях по развитию авиапромышленности" (1028,88).</w:t>
      </w:r>
    </w:p>
    <w:p w14:paraId="3CD53FB4" w14:textId="77777777" w:rsidR="00537E5F" w:rsidRPr="00507A31" w:rsidRDefault="00537E5F" w:rsidP="00507A31">
      <w:pPr>
        <w:autoSpaceDE w:val="0"/>
        <w:autoSpaceDN w:val="0"/>
        <w:adjustRightInd w:val="0"/>
        <w:jc w:val="both"/>
        <w:rPr>
          <w:color w:val="000000" w:themeColor="text1"/>
          <w:sz w:val="16"/>
          <w:szCs w:val="16"/>
        </w:rPr>
      </w:pPr>
    </w:p>
    <w:p w14:paraId="5BF9C0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10 по 21 марта 1930 АНТ-10 прошел гос. испытания. В зачетном полете Москва-Подольск-Москва показал крейсерскую скорость 185 км/ч и радиус 476 км. Оказался сложным в управлении (346,47).</w:t>
      </w:r>
    </w:p>
    <w:p w14:paraId="17633501" w14:textId="77777777" w:rsidR="00537E5F" w:rsidRPr="00507A31" w:rsidRDefault="00537E5F" w:rsidP="00507A31">
      <w:pPr>
        <w:autoSpaceDE w:val="0"/>
        <w:autoSpaceDN w:val="0"/>
        <w:adjustRightInd w:val="0"/>
        <w:jc w:val="both"/>
        <w:rPr>
          <w:color w:val="000000" w:themeColor="text1"/>
          <w:sz w:val="16"/>
          <w:szCs w:val="16"/>
        </w:rPr>
      </w:pPr>
    </w:p>
    <w:p w14:paraId="53F518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марта 1930 закончились заводские испытания АНТ-7 Р-6, которые проводились с 11 сентября 1929 (1017,198).</w:t>
      </w:r>
    </w:p>
    <w:p w14:paraId="7CC8BF23" w14:textId="77777777" w:rsidR="00537E5F" w:rsidRPr="00507A31" w:rsidRDefault="00537E5F" w:rsidP="00507A31">
      <w:pPr>
        <w:autoSpaceDE w:val="0"/>
        <w:autoSpaceDN w:val="0"/>
        <w:adjustRightInd w:val="0"/>
        <w:jc w:val="both"/>
        <w:rPr>
          <w:color w:val="000000" w:themeColor="text1"/>
          <w:sz w:val="16"/>
          <w:szCs w:val="16"/>
        </w:rPr>
      </w:pPr>
    </w:p>
    <w:p w14:paraId="3C59998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463949A" w14:textId="77777777" w:rsidR="00537E5F" w:rsidRPr="00507A31" w:rsidRDefault="00537E5F" w:rsidP="00507A31">
      <w:pPr>
        <w:autoSpaceDE w:val="0"/>
        <w:autoSpaceDN w:val="0"/>
        <w:adjustRightInd w:val="0"/>
        <w:jc w:val="both"/>
        <w:rPr>
          <w:iCs/>
          <w:color w:val="000000" w:themeColor="text1"/>
          <w:sz w:val="16"/>
          <w:szCs w:val="16"/>
        </w:rPr>
      </w:pPr>
    </w:p>
    <w:p w14:paraId="0B48B9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марта 1930 года в Артиллерийский комитет поступили рабочие чертежи 122-мм полковой мортиры М-5. Проект 122-мм мортиры М-5 разработан в КБ Мотовилихинского механического завода (ММЗ). 122-мм полковая мортира, предназначенная для борьбы с укрытыми целями на ближних дистанциях, была включена в систему артиллерийского вооружения на 1922-1932 годы. Вес системы должен быть 700-800 кг, дальность стрельбы 5 км, максимальный угол возвышения до +75°. Были спроектированы и изготовлены два опытных образца 122-мм полковых мортир М-5 (по проекту КБ Мотовилихинского механического завода) и "Лом" (по проекту ГКБ ВОАО). Обе системы на вооружение не поступили. Мало того, в системе артиллерийского вооружения на 1932-1937 годы 122-мм мортир уже не было вовсе. Ствол полковой 122-мм мортиры - моноблок. Затвор горизонтальный клиновой, взят без изменений от 122-мм гаубицы обр. 1909 года. Тормоз отката гидравлический, накатник гидропневматический. При откате противоракетные устройства неподвижны. Подъемный механизм имел две зубчатые дуги. Боевая ось, поворотный механизм, деревянные колеса и подрессоривание целиком взяты у 76-мм полковой пушки обр. 1927 г. Сошник откидной типа Шнейдер. Для стрельбы из окопа сошники сделали составными. Передок не имел короба со снарядами. Заряжание раздельно-гильзовое. Гильза взята от 122-мм гаубицы обр. 1910 г. и укорочена до 95 мм (3861).</w:t>
      </w:r>
    </w:p>
    <w:p w14:paraId="00015060" w14:textId="77777777" w:rsidR="00537E5F" w:rsidRPr="00507A31" w:rsidRDefault="00537E5F" w:rsidP="00507A31">
      <w:pPr>
        <w:autoSpaceDE w:val="0"/>
        <w:autoSpaceDN w:val="0"/>
        <w:adjustRightInd w:val="0"/>
        <w:jc w:val="both"/>
        <w:rPr>
          <w:color w:val="000000" w:themeColor="text1"/>
          <w:sz w:val="16"/>
          <w:szCs w:val="16"/>
        </w:rPr>
      </w:pPr>
    </w:p>
    <w:p w14:paraId="4D75236E" w14:textId="77777777" w:rsidR="00275C3B" w:rsidRPr="00507A31" w:rsidRDefault="00275C3B" w:rsidP="00507A31">
      <w:pPr>
        <w:jc w:val="both"/>
        <w:rPr>
          <w:color w:val="000000" w:themeColor="text1"/>
          <w:sz w:val="16"/>
          <w:szCs w:val="16"/>
        </w:rPr>
      </w:pPr>
      <w:r w:rsidRPr="00507A31">
        <w:rPr>
          <w:color w:val="000000" w:themeColor="text1"/>
          <w:sz w:val="16"/>
          <w:szCs w:val="16"/>
        </w:rPr>
        <w:t>10 марта 1930 г. — Доклад начальника вооружений РККА И. П. Уборевича в Реввоенсовет СССР «О реализации системы артиллерийского вооружения в области снарядов»</w:t>
      </w:r>
    </w:p>
    <w:p w14:paraId="21DD016A" w14:textId="77777777" w:rsidR="00275C3B" w:rsidRPr="00507A31" w:rsidRDefault="00275C3B" w:rsidP="00507A31">
      <w:pPr>
        <w:jc w:val="both"/>
        <w:rPr>
          <w:color w:val="000000" w:themeColor="text1"/>
          <w:sz w:val="16"/>
          <w:szCs w:val="16"/>
        </w:rPr>
      </w:pPr>
      <w:r w:rsidRPr="00507A31">
        <w:rPr>
          <w:color w:val="000000" w:themeColor="text1"/>
          <w:sz w:val="16"/>
          <w:szCs w:val="16"/>
        </w:rPr>
        <w:t>1. Общее состояние работ</w:t>
      </w:r>
    </w:p>
    <w:p w14:paraId="368C07AA"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По утверждению Революционным военным советом СССР системы артиллерийского вооружения РККА основное внимание Артиллерийского управления было направлено на реализацию этой системы в отношении образцов орудий. Разработка же снарядов, связанная с конструктивными и баллистическими данными орудия, должна была задержаться до выявления этих данных в процессе проектирования артиллерийских систем.</w:t>
      </w:r>
    </w:p>
    <w:p w14:paraId="350EDB87"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В настоящее время недопустимо вести расчет снаряда только на прочность по наибольшему развиваемому в орудии давлению. Необходимость получить наилучшие баллистические свойства снаряда требует подхода к конструированию его с точным учетом и других данных орудия (начальная скорость, крутизна нарезки), ибо различным сочетаниям этих данных будут отвечать различные наивыгоднейшие, с точки зрения баллистических свойств и действия снаряда, элементы формы и конструкции его. Из этого следует, что проектирование снарядов по системе артил[лерийского] вооружения РККА может развертываться с достаточной полнотой лишь по мере окончания конструктивных проектов орудия.</w:t>
      </w:r>
    </w:p>
    <w:p w14:paraId="16088A8F" w14:textId="77777777" w:rsidR="00275C3B" w:rsidRPr="00507A31" w:rsidRDefault="00275C3B" w:rsidP="00507A31">
      <w:pPr>
        <w:jc w:val="both"/>
        <w:rPr>
          <w:color w:val="000000" w:themeColor="text1"/>
          <w:sz w:val="16"/>
          <w:szCs w:val="16"/>
        </w:rPr>
      </w:pPr>
      <w:r w:rsidRPr="00507A31">
        <w:rPr>
          <w:color w:val="000000" w:themeColor="text1"/>
          <w:sz w:val="16"/>
          <w:szCs w:val="16"/>
        </w:rPr>
        <w:t>2. Научно-опытная и теоретическая база</w:t>
      </w:r>
    </w:p>
    <w:p w14:paraId="60B8527C"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Необходимость форсирования реализации системы артвооружения застает научно-технические органы РККА недостаточно подготовленными в области разработки артиллерийских систем. Хотя в области вопросов, относящихся к баллистике снаряда (наивыгоднейшие элементы формы с точки зрения дальности и меткости), научно-испытательным артиллерийским полигоном за последние годы накоплен богатый опытный материал, позволяющий вполне сознательно подходить к конструированию снаряда, однако материал этот еще недостаточно систематизирован и обработан теоретически и не всегда гарантирует соответствие опытных результатов испытания снаряда с ожидавшимися по расчетным данным (главным образом, в отношении меткости).</w:t>
      </w:r>
    </w:p>
    <w:p w14:paraId="1A414447"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Гораздо хуже обстоит дело в отношении изучения действия снаряда, и даже основные элементы, как-то: наивыгоднейшее, с точки зрения осколочного действия, соотношение весов металла и взрывчатого вещества, требования к механическим свойствам металла осколочного снаряда, необходимые для действия по бетону механические качества металла являются совершенно недостаточно разработанными. Не проработан также вопрос и о баллистике снарядов при стрельбе с малыми начальными скоростями (мортиры). С целью освещения этого вопроса нынешним летом намечено изучение его постановкой специальных опытных стрельб из 76</w:t>
      </w:r>
      <w:r w:rsidRPr="00507A31">
        <w:rPr>
          <w:color w:val="000000" w:themeColor="text1"/>
          <w:sz w:val="16"/>
          <w:szCs w:val="16"/>
        </w:rPr>
        <w:noBreakHyphen/>
        <w:t>мм мортир и обрезанной 122</w:t>
      </w:r>
      <w:r w:rsidRPr="00507A31">
        <w:rPr>
          <w:color w:val="000000" w:themeColor="text1"/>
          <w:sz w:val="16"/>
          <w:szCs w:val="16"/>
        </w:rPr>
        <w:noBreakHyphen/>
        <w:t>мм гаубицы.</w:t>
      </w:r>
    </w:p>
    <w:p w14:paraId="54E51A7A"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Совершенно не разработанным как в отношении действия самого снаряда, так и наивыгоднейших интервалов разрыва остается снаряд для стрельбы по воздушному флоту. Отсутствие теоретической и исследовательской работы в этой области не дает возможности поставить правильное и практическое изучение всех элементов действия снаряда. Слабость же технического оборудования испытательных полигонов и, в частности, мишенной обстановки затрудняет нормальный ход проведения испытаний.</w:t>
      </w:r>
    </w:p>
    <w:p w14:paraId="7435AD7B" w14:textId="77777777" w:rsidR="00275C3B" w:rsidRPr="00507A31" w:rsidRDefault="00275C3B" w:rsidP="00507A31">
      <w:pPr>
        <w:jc w:val="both"/>
        <w:rPr>
          <w:color w:val="000000" w:themeColor="text1"/>
          <w:sz w:val="16"/>
          <w:szCs w:val="16"/>
        </w:rPr>
      </w:pPr>
      <w:r w:rsidRPr="00507A31">
        <w:rPr>
          <w:color w:val="000000" w:themeColor="text1"/>
          <w:sz w:val="16"/>
          <w:szCs w:val="16"/>
        </w:rPr>
        <w:t>3. Конструкторская и производственная база</w:t>
      </w:r>
    </w:p>
    <w:p w14:paraId="4A4D4EDB"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В этой области необходимо констатировать совершенное неблагополучие. Единственным конструкторским органом по снарядам в СССР является НИАП и конструкторское бюро научно-технического комитета АУ РККА. Промышленность до настоящего времени конструкторской работы не вела, и поэтому основная тяжесть работ по конструированию снарядов к артиллерийским системам I очереди неминуемо ляжет на органы НКВМ (НИАП и КБ НТК АУ).</w:t>
      </w:r>
    </w:p>
    <w:p w14:paraId="12D6F51D"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Нет в промышленности и опытной производственной базы. Заказы на опытные партии снарядов до последнего времени размещались Моб[илизационно-]плановым управлением ВСНХ СССР на заводах, выбираемых по соображениям мобподготовки. Отсутствие у этих заводов должного опыта влекло чрезвычайную длительность выполнения заказов и чрезмерную дороговизну их. Нельзя до сих пор считать разработанными вопросы основных производственных процессов, особенно по снарядам сталистого чугуна и бронебойным.</w:t>
      </w:r>
    </w:p>
    <w:p w14:paraId="5B860CEF"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Если сопоставить это положение с мобзадачами гражданской промышленности, то станет очевидным, что в случае войны нам грозит серьезная опасность вновь пережить те величайшие трудности, которые встретила русская армия во время империалистической войны.</w:t>
      </w:r>
    </w:p>
    <w:p w14:paraId="40AB1DE4"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Следует отметить, что к разработке вопросов производства бронебойных снарядов привлечен Всесоюзный институт металлов. Считаю, что сотрудничество этого института явится весьма ценным, вследствие чего необходимо эти работы всемерно форсировать и распространить и на производство снарядов сталистого чугуна.</w:t>
      </w:r>
    </w:p>
    <w:p w14:paraId="7FA69156" w14:textId="77777777" w:rsidR="00275C3B" w:rsidRPr="00507A31" w:rsidRDefault="00275C3B" w:rsidP="00507A31">
      <w:pPr>
        <w:jc w:val="both"/>
        <w:rPr>
          <w:color w:val="000000" w:themeColor="text1"/>
          <w:sz w:val="16"/>
          <w:szCs w:val="16"/>
        </w:rPr>
      </w:pPr>
      <w:r w:rsidRPr="00507A31">
        <w:rPr>
          <w:color w:val="000000" w:themeColor="text1"/>
          <w:sz w:val="16"/>
          <w:szCs w:val="16"/>
        </w:rPr>
        <w:t>4. Состояние опытных работ</w:t>
      </w:r>
    </w:p>
    <w:p w14:paraId="34228475"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В силу изложенного выше, в настоящее время работы по снарядам ведутся лишь для тех новых артиллерийских систем, баллистические и конструктивные данные которых выявились уже с достаточной определенностью. По этим системам состояние работ следующее:</w:t>
      </w:r>
    </w:p>
    <w:p w14:paraId="2B404BDB"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а) </w:t>
      </w:r>
      <w:r w:rsidRPr="00507A31">
        <w:rPr>
          <w:rStyle w:val="af0"/>
          <w:i w:val="0"/>
          <w:color w:val="000000" w:themeColor="text1"/>
          <w:sz w:val="16"/>
          <w:szCs w:val="16"/>
        </w:rPr>
        <w:t>37</w:t>
      </w:r>
      <w:r w:rsidRPr="00507A31">
        <w:rPr>
          <w:rStyle w:val="af0"/>
          <w:i w:val="0"/>
          <w:color w:val="000000" w:themeColor="text1"/>
          <w:sz w:val="16"/>
          <w:szCs w:val="16"/>
        </w:rPr>
        <w:noBreakHyphen/>
        <w:t>мм противотанковая пушка²*.</w:t>
      </w:r>
      <w:r w:rsidRPr="00507A31">
        <w:rPr>
          <w:color w:val="000000" w:themeColor="text1"/>
          <w:sz w:val="16"/>
          <w:szCs w:val="16"/>
        </w:rPr>
        <w:t xml:space="preserve"> Снаряды разработаны для 37</w:t>
      </w:r>
      <w:r w:rsidRPr="00507A31">
        <w:rPr>
          <w:color w:val="000000" w:themeColor="text1"/>
          <w:sz w:val="16"/>
          <w:szCs w:val="16"/>
        </w:rPr>
        <w:noBreakHyphen/>
        <w:t>мм танковой пушки большой мощности заводом «Большевик».</w:t>
      </w:r>
    </w:p>
    <w:p w14:paraId="5CAAD1BF"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Бронебойные снаряды заказаны «Петрозаводу» в двух вариантах: весом в 0,653 кг и 0,893 кг по 300 шт. каждого со сроком 1 января 1930 г. Заказ запаздывает и будет готов к 1 мая 1930 г. В настоящее время испытывается пробная партия снарядов весом 0,653 кг.</w:t>
      </w:r>
    </w:p>
    <w:p w14:paraId="203D6747"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Осколочные снаряды сталистого чугуна заказаны «Уралмету» и заводу «Коммунар» по 200 шт. В настоящее время испытывается пробная партия в 50 шт. Весь заказ должен быть выполнен в марте, однако уже сейчас очевидно, что срок этот промышленностью выдержан не будет;</w:t>
      </w:r>
    </w:p>
    <w:p w14:paraId="6EAFCEEE"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б) </w:t>
      </w:r>
      <w:r w:rsidRPr="00507A31">
        <w:rPr>
          <w:rStyle w:val="af0"/>
          <w:i w:val="0"/>
          <w:color w:val="000000" w:themeColor="text1"/>
          <w:sz w:val="16"/>
          <w:szCs w:val="16"/>
        </w:rPr>
        <w:t>45</w:t>
      </w:r>
      <w:r w:rsidRPr="00507A31">
        <w:rPr>
          <w:rStyle w:val="af0"/>
          <w:i w:val="0"/>
          <w:color w:val="000000" w:themeColor="text1"/>
          <w:sz w:val="16"/>
          <w:szCs w:val="16"/>
        </w:rPr>
        <w:noBreakHyphen/>
        <w:t>мм батальонная гаубица образца 1929 г.</w:t>
      </w:r>
      <w:r w:rsidRPr="00507A31">
        <w:rPr>
          <w:color w:val="000000" w:themeColor="text1"/>
          <w:sz w:val="16"/>
          <w:szCs w:val="16"/>
        </w:rPr>
        <w:t xml:space="preserve"> Бронебойные снаряды заказаны в двух опытных партиях по 200 шт. снарядов каждая. Первая — весом в 1,26 кг и вторая — весом в 1,41 кг. Заказ выполняется Люберецким заводом сельскохозяйственных машин с большим запозданием и по последнему обследованию положения должен быть выполнен: первая партия — к 1 мая 1930 г., вторая — к 1 июня 1930 г. Кроме того, Люберецкому заводу дано задание на изготовление третьей партии в 200 шт. снарядов весом в 1,41 кг с бронебойными наконечниками. По испытании этих снарядов летом 1930 г. будет принят один окончательный чертеж.</w:t>
      </w:r>
    </w:p>
    <w:p w14:paraId="69A26CE1"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Для обеспечения изготовляемых орудий бронебойными снарядами выполняется валовой заказ на переделку 47</w:t>
      </w:r>
      <w:r w:rsidRPr="00507A31">
        <w:rPr>
          <w:color w:val="000000" w:themeColor="text1"/>
          <w:sz w:val="16"/>
          <w:szCs w:val="16"/>
        </w:rPr>
        <w:noBreakHyphen/>
        <w:t>мм морских бронебойных снарядов на 45</w:t>
      </w:r>
      <w:r w:rsidRPr="00507A31">
        <w:rPr>
          <w:color w:val="000000" w:themeColor="text1"/>
          <w:sz w:val="16"/>
          <w:szCs w:val="16"/>
        </w:rPr>
        <w:noBreakHyphen/>
        <w:t>мм. Заказ выполняется «Петрозаводом» и сможет обеспечить испытания изготовляемых орудий.</w:t>
      </w:r>
    </w:p>
    <w:p w14:paraId="1737EDA6"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Осколочные снаряды заказаны в валовых партиях «Петрозаводу» и следует считать, что ими изготовляемые системы также обеспечены;</w:t>
      </w:r>
    </w:p>
    <w:p w14:paraId="57A4C116"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в) </w:t>
      </w:r>
      <w:r w:rsidRPr="00507A31">
        <w:rPr>
          <w:rStyle w:val="af0"/>
          <w:i w:val="0"/>
          <w:color w:val="000000" w:themeColor="text1"/>
          <w:sz w:val="16"/>
          <w:szCs w:val="16"/>
        </w:rPr>
        <w:t>76,2</w:t>
      </w:r>
      <w:r w:rsidRPr="00507A31">
        <w:rPr>
          <w:rStyle w:val="af0"/>
          <w:i w:val="0"/>
          <w:color w:val="000000" w:themeColor="text1"/>
          <w:sz w:val="16"/>
          <w:szCs w:val="16"/>
        </w:rPr>
        <w:noBreakHyphen/>
        <w:t>мм батальонные мортиры</w:t>
      </w:r>
      <w:r w:rsidRPr="00507A31">
        <w:rPr>
          <w:color w:val="000000" w:themeColor="text1"/>
          <w:sz w:val="16"/>
          <w:szCs w:val="16"/>
        </w:rPr>
        <w:t xml:space="preserve"> (ГШТ, «Кр[асный] Путиловец» и «Большевик»). Осколочные гранаты стальные. Заводу им. Карла Либкнехта заказаны 2 партии снарядов: 750 шт. весом 3 кг и 450 шт. весом 4 кг. Срок исполнения заказа 1 марта 1930 г. может быть выдержан.</w:t>
      </w:r>
    </w:p>
    <w:p w14:paraId="66904347"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lastRenderedPageBreak/>
        <w:t>Осколочные гранаты сталистого чугуна. Заводу «Приер» Акционерного общества «Мельстрой» заказаны 2 партии снарядов, весом в 3 кг и 4 кг по 200 шт. каждая со сроком 1 марта 1930 г. Выполнение сильно задерживается и фактически завод только сейчас приступает к его выполнению;</w:t>
      </w:r>
    </w:p>
    <w:p w14:paraId="4771F646"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г) </w:t>
      </w:r>
      <w:r w:rsidRPr="00507A31">
        <w:rPr>
          <w:rStyle w:val="af0"/>
          <w:i w:val="0"/>
          <w:color w:val="000000" w:themeColor="text1"/>
          <w:sz w:val="16"/>
          <w:szCs w:val="16"/>
        </w:rPr>
        <w:t>76,2</w:t>
      </w:r>
      <w:r w:rsidRPr="00507A31">
        <w:rPr>
          <w:rStyle w:val="af0"/>
          <w:i w:val="0"/>
          <w:color w:val="000000" w:themeColor="text1"/>
          <w:sz w:val="16"/>
          <w:szCs w:val="16"/>
        </w:rPr>
        <w:noBreakHyphen/>
        <w:t>мм батальонная мортира КБ НТК АУ.</w:t>
      </w:r>
      <w:r w:rsidRPr="00507A31">
        <w:rPr>
          <w:color w:val="000000" w:themeColor="text1"/>
          <w:sz w:val="16"/>
          <w:szCs w:val="16"/>
        </w:rPr>
        <w:t xml:space="preserve"> Осколочная граната весом в 3,2 кг выполняется в количестве 700 шт. переделкой из корпусов штатных гранат мастерскими НИАПа со сроком 1 июня 1930 г.;</w:t>
      </w:r>
    </w:p>
    <w:p w14:paraId="7A01C274"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д) </w:t>
      </w:r>
      <w:r w:rsidRPr="00507A31">
        <w:rPr>
          <w:rStyle w:val="af0"/>
          <w:i w:val="0"/>
          <w:color w:val="000000" w:themeColor="text1"/>
          <w:sz w:val="16"/>
          <w:szCs w:val="16"/>
        </w:rPr>
        <w:t>122</w:t>
      </w:r>
      <w:r w:rsidRPr="00507A31">
        <w:rPr>
          <w:rStyle w:val="af0"/>
          <w:i w:val="0"/>
          <w:color w:val="000000" w:themeColor="text1"/>
          <w:sz w:val="16"/>
          <w:szCs w:val="16"/>
        </w:rPr>
        <w:noBreakHyphen/>
        <w:t>мм полковая мортира.</w:t>
      </w:r>
      <w:r w:rsidRPr="00507A31">
        <w:rPr>
          <w:color w:val="000000" w:themeColor="text1"/>
          <w:sz w:val="16"/>
          <w:szCs w:val="16"/>
        </w:rPr>
        <w:t xml:space="preserve"> Конструкторским бюро НТК АУ разработаны проекты снарядов стального и сталистого чугуна. Ввиду того что проекты не удовлетворяют требованиям в отношении веса разрывного снаряда, они перерабатываются и ожидаются окончанием к 15 марта 1930 г. По изготовлении опытной партии снарядов к концу IV квартала их предполагается испытать стрельбой из 122</w:t>
      </w:r>
      <w:r w:rsidRPr="00507A31">
        <w:rPr>
          <w:color w:val="000000" w:themeColor="text1"/>
          <w:sz w:val="16"/>
          <w:szCs w:val="16"/>
        </w:rPr>
        <w:noBreakHyphen/>
        <w:t>мм обрезанной гаубицы;</w:t>
      </w:r>
    </w:p>
    <w:p w14:paraId="308DD2FA"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е) </w:t>
      </w:r>
      <w:r w:rsidRPr="00507A31">
        <w:rPr>
          <w:rStyle w:val="af0"/>
          <w:i w:val="0"/>
          <w:color w:val="000000" w:themeColor="text1"/>
          <w:sz w:val="16"/>
          <w:szCs w:val="16"/>
        </w:rPr>
        <w:t>152</w:t>
      </w:r>
      <w:r w:rsidRPr="00507A31">
        <w:rPr>
          <w:rStyle w:val="af0"/>
          <w:i w:val="0"/>
          <w:color w:val="000000" w:themeColor="text1"/>
          <w:sz w:val="16"/>
          <w:szCs w:val="16"/>
        </w:rPr>
        <w:noBreakHyphen/>
        <w:t>мм дивизионная мортира.</w:t>
      </w:r>
      <w:r w:rsidRPr="00507A31">
        <w:rPr>
          <w:color w:val="000000" w:themeColor="text1"/>
          <w:sz w:val="16"/>
          <w:szCs w:val="16"/>
        </w:rPr>
        <w:t xml:space="preserve"> Разработанный конструкторским бюро НТК АУ проект фугасной бомбы не удовлетворил требованиям веса разрывного заряда и пересоставляется. Окончание проекта должно быть выполнено к 15 марта 1930 г.</w:t>
      </w:r>
    </w:p>
    <w:p w14:paraId="4BE39DF5"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ж) </w:t>
      </w:r>
      <w:r w:rsidRPr="00507A31">
        <w:rPr>
          <w:rStyle w:val="af0"/>
          <w:i w:val="0"/>
          <w:color w:val="000000" w:themeColor="text1"/>
          <w:sz w:val="16"/>
          <w:szCs w:val="16"/>
        </w:rPr>
        <w:t>122</w:t>
      </w:r>
      <w:r w:rsidRPr="00507A31">
        <w:rPr>
          <w:rStyle w:val="af0"/>
          <w:i w:val="0"/>
          <w:color w:val="000000" w:themeColor="text1"/>
          <w:sz w:val="16"/>
          <w:szCs w:val="16"/>
        </w:rPr>
        <w:noBreakHyphen/>
        <w:t>мм корпусная пушка.</w:t>
      </w:r>
      <w:r w:rsidRPr="00507A31">
        <w:rPr>
          <w:color w:val="000000" w:themeColor="text1"/>
          <w:sz w:val="16"/>
          <w:szCs w:val="16"/>
        </w:rPr>
        <w:t xml:space="preserve"> КБ НТК АУ спроектированы снаряды для 122</w:t>
      </w:r>
      <w:r w:rsidRPr="00507A31">
        <w:rPr>
          <w:color w:val="000000" w:themeColor="text1"/>
          <w:sz w:val="16"/>
          <w:szCs w:val="16"/>
        </w:rPr>
        <w:noBreakHyphen/>
        <w:t>мм пушки, но заказ их задержан до испытания аналогичных снарядов, спроектированных для 120</w:t>
      </w:r>
      <w:r w:rsidRPr="00507A31">
        <w:rPr>
          <w:color w:val="000000" w:themeColor="text1"/>
          <w:sz w:val="16"/>
          <w:szCs w:val="16"/>
        </w:rPr>
        <w:noBreakHyphen/>
        <w:t>мм морской пушки.</w:t>
      </w:r>
    </w:p>
    <w:p w14:paraId="762F9160"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з) </w:t>
      </w:r>
      <w:r w:rsidRPr="00507A31">
        <w:rPr>
          <w:rStyle w:val="af0"/>
          <w:i w:val="0"/>
          <w:color w:val="000000" w:themeColor="text1"/>
          <w:sz w:val="16"/>
          <w:szCs w:val="16"/>
        </w:rPr>
        <w:t>203</w:t>
      </w:r>
      <w:r w:rsidRPr="00507A31">
        <w:rPr>
          <w:rStyle w:val="af0"/>
          <w:i w:val="0"/>
          <w:color w:val="000000" w:themeColor="text1"/>
          <w:sz w:val="16"/>
          <w:szCs w:val="16"/>
        </w:rPr>
        <w:noBreakHyphen/>
        <w:t>мм корпусная мортира.</w:t>
      </w:r>
      <w:r w:rsidRPr="00507A31">
        <w:rPr>
          <w:color w:val="000000" w:themeColor="text1"/>
          <w:sz w:val="16"/>
          <w:szCs w:val="16"/>
        </w:rPr>
        <w:t xml:space="preserve"> На основании разработанного баллистического решения и эскизного проекта ствола дано задание КБ НТК АУ на проектирование фугасной бомбы. Проект представлен, и в ближайшие дни будет выдан заказ.</w:t>
      </w:r>
    </w:p>
    <w:p w14:paraId="19E8F3C2"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и) </w:t>
      </w:r>
      <w:r w:rsidRPr="00507A31">
        <w:rPr>
          <w:rStyle w:val="af0"/>
          <w:i w:val="0"/>
          <w:color w:val="000000" w:themeColor="text1"/>
          <w:sz w:val="16"/>
          <w:szCs w:val="16"/>
        </w:rPr>
        <w:t>203</w:t>
      </w:r>
      <w:r w:rsidRPr="00507A31">
        <w:rPr>
          <w:rStyle w:val="af0"/>
          <w:i w:val="0"/>
          <w:color w:val="000000" w:themeColor="text1"/>
          <w:sz w:val="16"/>
          <w:szCs w:val="16"/>
        </w:rPr>
        <w:noBreakHyphen/>
        <w:t>мм гаубица АРГК.</w:t>
      </w:r>
      <w:r w:rsidRPr="00507A31">
        <w:rPr>
          <w:color w:val="000000" w:themeColor="text1"/>
          <w:sz w:val="16"/>
          <w:szCs w:val="16"/>
        </w:rPr>
        <w:t xml:space="preserve"> Дан заказ ММЗ на 100 дальнобойных фугасных снарядов со сроком 1 мая 1930 г. Завод принял заказ к исполнению со сроком 1 августа 1930 г. Необходимо потребовать от завода подачи первой партии снарядов (50 шт.) к июню 1930 г.</w:t>
      </w:r>
    </w:p>
    <w:p w14:paraId="18DC11E6"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Конструкторским бюро НТК АУ представлены проекты фугасных бомб стальной и сталистого чугуна, которые будут в ближайшие дни рассмотрены и по ним будет выдан заказ;</w:t>
      </w:r>
    </w:p>
    <w:p w14:paraId="4DA775C7"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к) </w:t>
      </w:r>
      <w:r w:rsidRPr="00507A31">
        <w:rPr>
          <w:rStyle w:val="af0"/>
          <w:i w:val="0"/>
          <w:color w:val="000000" w:themeColor="text1"/>
          <w:sz w:val="16"/>
          <w:szCs w:val="16"/>
        </w:rPr>
        <w:t>76,2</w:t>
      </w:r>
      <w:r w:rsidRPr="00507A31">
        <w:rPr>
          <w:rStyle w:val="af0"/>
          <w:i w:val="0"/>
          <w:color w:val="000000" w:themeColor="text1"/>
          <w:sz w:val="16"/>
          <w:szCs w:val="16"/>
        </w:rPr>
        <w:noBreakHyphen/>
        <w:t>мм корпусная зенитная пушка³*</w:t>
      </w:r>
      <w:r w:rsidRPr="00507A31">
        <w:rPr>
          <w:color w:val="000000" w:themeColor="text1"/>
          <w:sz w:val="16"/>
          <w:szCs w:val="16"/>
        </w:rPr>
        <w:t>. После проведения ноябрьского снарядного совещания, установившего форму снаряда, январским совещанием при НТК АУ по вопросам о действии снарядов по самолетам (по результатам испытаний на научно-испытательных артиллерийском и зенитном полигонах) был установлен дальнейший план испытаний. Более благоприятные показатели дали снаряды шрапнельного типа: шрапнель Розенберга с половинчатыми стержнями, снаряд осколочного типа со стержнями (Пелля, Дзержковича) и траловый снаряд «АСТ». Окончательное заключение совещания указывает на возможность для заказов на ближайшее время принять как временный снаряд-шрапнель Розенберга с половинчатыми стержнями. Для различного типа необходимо проведение теоретических расчетов и дальнейших испытаний. Проектирование снаряда для 76,2</w:t>
      </w:r>
      <w:r w:rsidRPr="00507A31">
        <w:rPr>
          <w:color w:val="000000" w:themeColor="text1"/>
          <w:sz w:val="16"/>
          <w:szCs w:val="16"/>
        </w:rPr>
        <w:noBreakHyphen/>
        <w:t>мм корпусной зенитной пушки задерживается вследствие отсутствия необходимых данных, так как к проектированию орудия Орудийно-арсенальным трестом не приступлено.</w:t>
      </w:r>
    </w:p>
    <w:p w14:paraId="2C5E293D"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Проектирование тех же снарядов к модернизованной 76,2</w:t>
      </w:r>
      <w:r w:rsidRPr="00507A31">
        <w:rPr>
          <w:color w:val="000000" w:themeColor="text1"/>
          <w:sz w:val="16"/>
          <w:szCs w:val="16"/>
        </w:rPr>
        <w:noBreakHyphen/>
        <w:t>мм пушке образца 1915/28 г. задерживается отсутствием окончательного выбора трубки и взрывателя. Испытания с трубкой «Д», проведенные в последнее время на НИАПе, дали удовлетворительные результаты. Сроки по плану проектирования (1 января 1930 г.) и изготовление опытной партии (5 июля 1930 г.) будут удлинены на 2,5</w:t>
      </w:r>
      <w:r w:rsidRPr="00507A31">
        <w:rPr>
          <w:color w:val="000000" w:themeColor="text1"/>
          <w:sz w:val="16"/>
          <w:szCs w:val="16"/>
        </w:rPr>
        <w:noBreakHyphen/>
        <w:t>3 месяца;</w:t>
      </w:r>
    </w:p>
    <w:p w14:paraId="3360C9C0"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л) </w:t>
      </w:r>
      <w:r w:rsidRPr="00507A31">
        <w:rPr>
          <w:rStyle w:val="af0"/>
          <w:i w:val="0"/>
          <w:color w:val="000000" w:themeColor="text1"/>
          <w:sz w:val="16"/>
          <w:szCs w:val="16"/>
        </w:rPr>
        <w:t>37</w:t>
      </w:r>
      <w:r w:rsidRPr="00507A31">
        <w:rPr>
          <w:rStyle w:val="af0"/>
          <w:i w:val="0"/>
          <w:color w:val="000000" w:themeColor="text1"/>
          <w:sz w:val="16"/>
          <w:szCs w:val="16"/>
        </w:rPr>
        <w:noBreakHyphen/>
        <w:t>мм автоматическая зен[итная] пушка.</w:t>
      </w:r>
      <w:r w:rsidRPr="00507A31">
        <w:rPr>
          <w:color w:val="000000" w:themeColor="text1"/>
          <w:sz w:val="16"/>
          <w:szCs w:val="16"/>
        </w:rPr>
        <w:t xml:space="preserve"> Ноябрьское снарядное совещание указало на необходимость принятия определенной формы снаряда. Январским совещанием было решено провести сравнительные испытания траловых снарядов и фугасных снарядов с чувствительными взрывателями. Хотя общий проект системы будет закончен по плану к 1 апреля 1930 г., но работы по разработке снаряда проводятся. Проектирование 37</w:t>
      </w:r>
      <w:r w:rsidRPr="00507A31">
        <w:rPr>
          <w:color w:val="000000" w:themeColor="text1"/>
          <w:sz w:val="16"/>
          <w:szCs w:val="16"/>
        </w:rPr>
        <w:noBreakHyphen/>
        <w:t>мм фугасного снаряда возложено на КБ НТК и быть закончено по плану 1 августа 1930 г.</w:t>
      </w:r>
    </w:p>
    <w:p w14:paraId="23289442"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Изготовление же 37/40</w:t>
      </w:r>
      <w:r w:rsidRPr="00507A31">
        <w:rPr>
          <w:color w:val="000000" w:themeColor="text1"/>
          <w:sz w:val="16"/>
          <w:szCs w:val="16"/>
        </w:rPr>
        <w:noBreakHyphen/>
        <w:t>мм автоматической пушки Виккерса (к 1 июня 1930 г.) и опытная партия траловых снарядов Куликовского (к 1 марта 1930 г.) наряду с испытанием фугасно-трассирующих снарядов «Бофрос» дает возможность вывести необходимое заключение о форме и конструкции снаряда.</w:t>
      </w:r>
    </w:p>
    <w:p w14:paraId="66CC62B8" w14:textId="77777777" w:rsidR="00275C3B" w:rsidRPr="00507A31" w:rsidRDefault="00275C3B" w:rsidP="00507A31">
      <w:pPr>
        <w:jc w:val="both"/>
        <w:rPr>
          <w:color w:val="000000" w:themeColor="text1"/>
          <w:sz w:val="16"/>
          <w:szCs w:val="16"/>
        </w:rPr>
      </w:pPr>
      <w:r w:rsidRPr="00507A31">
        <w:rPr>
          <w:color w:val="000000" w:themeColor="text1"/>
          <w:sz w:val="16"/>
          <w:szCs w:val="16"/>
        </w:rPr>
        <w:t>5. Снаряды дальней стрельбы для существующих орудий (модернизация)</w:t>
      </w:r>
    </w:p>
    <w:p w14:paraId="49F41644"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Состояние работ подробно изложено в докладе по модернизации, по которому состоялось постановление РВС СССР, изложенное в протоколе № 2 от 23 января 1930 г.⁴* В состоянии этих работ до настоящего времени произошли следующие изменения.</w:t>
      </w:r>
    </w:p>
    <w:p w14:paraId="34071E59"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76</w:t>
      </w:r>
      <w:r w:rsidRPr="00507A31">
        <w:rPr>
          <w:color w:val="000000" w:themeColor="text1"/>
          <w:sz w:val="16"/>
          <w:szCs w:val="16"/>
        </w:rPr>
        <w:noBreakHyphen/>
        <w:t>мм снаряд увеличенной дальности: а) представляется доклад с решением о принятии для валового заказа 1929/30 г. на 76</w:t>
      </w:r>
      <w:r w:rsidRPr="00507A31">
        <w:rPr>
          <w:color w:val="000000" w:themeColor="text1"/>
          <w:sz w:val="16"/>
          <w:szCs w:val="16"/>
        </w:rPr>
        <w:noBreakHyphen/>
        <w:t>мм снаряды увеличенной дальности чертежа, утвержденного ЖАКом № 927с 1927 г. Решение принято на основании результатов частичного выполнения программы испытаний 76</w:t>
      </w:r>
      <w:r w:rsidRPr="00507A31">
        <w:rPr>
          <w:color w:val="000000" w:themeColor="text1"/>
          <w:sz w:val="16"/>
          <w:szCs w:val="16"/>
        </w:rPr>
        <w:noBreakHyphen/>
        <w:t>мм снарядов разных чертежей, утвержденной и дополненной журналом НТК АУ № 479с 1929 г.;</w:t>
      </w:r>
    </w:p>
    <w:p w14:paraId="1024088A"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б) снаряды по черт[ежу] № 2464 — измененный чертеж химического снаряда № 14 в количестве 600 шт. (по 300 шт. каждого из двух вариантов) отправлены 15 февраля 1930 г. на НИАП. Снаряды по чертежу № 2474 200 шт. (по 100 шт. каждого варианта) и остальные 400 шт. по черт[ежу] № 2464 отправляются на НИАП 1 марта 1930 г. Остальные 800 шт. по черт[ежу] № 2474 будут изготовлены заводом к 1 апреля 1930 г. Таким образом выполнить полностью программу испытаний 76</w:t>
      </w:r>
      <w:r w:rsidRPr="00507A31">
        <w:rPr>
          <w:color w:val="000000" w:themeColor="text1"/>
          <w:sz w:val="16"/>
          <w:szCs w:val="16"/>
        </w:rPr>
        <w:noBreakHyphen/>
        <w:t>мм дальнобойных снарядов с целью установления окончательного чертежа представляется возможным к 1 мая 1930 г.</w:t>
      </w:r>
    </w:p>
    <w:p w14:paraId="51683F31"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107</w:t>
      </w:r>
      <w:r w:rsidRPr="00507A31">
        <w:rPr>
          <w:color w:val="000000" w:themeColor="text1"/>
          <w:sz w:val="16"/>
          <w:szCs w:val="16"/>
        </w:rPr>
        <w:noBreakHyphen/>
        <w:t>мм дальнобойный снаряд: а) по черт[ежу] № 1590 — Вохиму. Так как при испытании опытных партий снарядов Златоустовского завода получилась неудовлетворительная меткость, что можно объяснить ненормальной работой медных ведущих поясков (получаются уширенные отпечатки нарезов и сглаживание их), заводу высланы чертежи поясков усиленных профилей и предложено заводу в срочном порядке изготовить по 100 шт. снарядов с поясками двух вариантов [и] отправить их на НИАП; б) запрошено МПУ ВСНХ СССР о том, какому заводу можно выдать заказ на 200 снарядов по черт[ежу] № 2512 КБ НТК АУ для пушки в 40 кал. длиною.</w:t>
      </w:r>
    </w:p>
    <w:p w14:paraId="274D2952"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152</w:t>
      </w:r>
      <w:r w:rsidRPr="00507A31">
        <w:rPr>
          <w:color w:val="000000" w:themeColor="text1"/>
          <w:sz w:val="16"/>
          <w:szCs w:val="16"/>
        </w:rPr>
        <w:noBreakHyphen/>
        <w:t>мм гаубичный дальнобойный снаряд: дан заказ на 300 шт. заводу «Красный Профинтерн» по черт[ежу] № 2378 КБ НТК АУ по 150 шт. каждого из двух вариантов. Ориентировочный срок был установлен 1 апреля 1930 г. Срок за кодом был указан 8 месяцев. Для установления точного срока была командирована комиссия из представителей НТК АУ и Машинобъединения. На совещании на заводе «Красный Профинтерн» были установлены сроки изготовления 300 шт. снарядов по второму варианту и по третьему (измененному второму в целях сокращения срока) — 10 августа 1930 г. Таким образом, решение вопроса о снаряде дальней стрельбы для 152</w:t>
      </w:r>
      <w:r w:rsidRPr="00507A31">
        <w:rPr>
          <w:color w:val="000000" w:themeColor="text1"/>
          <w:sz w:val="16"/>
          <w:szCs w:val="16"/>
        </w:rPr>
        <w:noBreakHyphen/>
        <w:t>мм гаубиц возможно только к 1 октября 1930 г., а не к 1 апреля 1930 г., как указано в постановлении РВС СССР от 23 января 1930 г.</w:t>
      </w:r>
    </w:p>
    <w:p w14:paraId="5637058E" w14:textId="77777777" w:rsidR="00275C3B" w:rsidRPr="00507A31" w:rsidRDefault="00275C3B" w:rsidP="00507A31">
      <w:pPr>
        <w:jc w:val="both"/>
        <w:rPr>
          <w:color w:val="000000" w:themeColor="text1"/>
          <w:sz w:val="16"/>
          <w:szCs w:val="16"/>
        </w:rPr>
      </w:pPr>
      <w:r w:rsidRPr="00507A31">
        <w:rPr>
          <w:color w:val="000000" w:themeColor="text1"/>
          <w:sz w:val="16"/>
          <w:szCs w:val="16"/>
        </w:rPr>
        <w:t>Выводы</w:t>
      </w:r>
    </w:p>
    <w:p w14:paraId="17DCFF77"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1. Необходимо потребовать от промышленности действительной реализации мероприятий по организации конструкторских бюро и опытных цехов по снарядам при 2</w:t>
      </w:r>
      <w:r w:rsidRPr="00507A31">
        <w:rPr>
          <w:color w:val="000000" w:themeColor="text1"/>
          <w:sz w:val="16"/>
          <w:szCs w:val="16"/>
        </w:rPr>
        <w:noBreakHyphen/>
        <w:t>3 наиболее успешно выполняющих задания по снарядам заводах.</w:t>
      </w:r>
    </w:p>
    <w:p w14:paraId="14413AC5"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2. Для обеспечения правильного направления опытной работы по снарядам необходимо в текущем году провести максимальное развертывание исследовательской работы в области вопросов действия снарядов бронебойного, фугасного и по бетону. Календарная программа опытов текущего года должна быть разработана к 1 апреля 1930 г.</w:t>
      </w:r>
    </w:p>
    <w:p w14:paraId="2578566F"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3. Необходимо приступить немедленно к систематической теоретической обработке накопленного опытного материала и изданию его в виде научных трудов, имея в виду почти полное отсутствие литературного материала и необходимость быстрого освоения молодыми кадрами большого опыта единичных старых специалистов.</w:t>
      </w:r>
    </w:p>
    <w:p w14:paraId="1498A303"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4. Необходимо всемерное форсирование работ Всесоюзного института металлов по бронебойным снарядам и привлечение его к работам по снарядам сталистого чугуна. Учитывая крайне неблагополучное состояние нашего производства в этих областях, необходимо проработать вопрос о привлечении иностранной технической помощи.</w:t>
      </w:r>
    </w:p>
    <w:p w14:paraId="3EB276E4"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rPr>
        <w:t>5. Следует констатировать, что благодаря созданному НКВМором небольшому кадру снарядных конструкторов обеспечение первоочередных образцов новых орудий системы артвооружения РККА снарядами не встретит затруднений при условии, если промышленность своевременно создаст надлежащие опытные базы в производстве.</w:t>
      </w:r>
    </w:p>
    <w:p w14:paraId="5F87E9A2" w14:textId="77777777" w:rsidR="00275C3B" w:rsidRPr="00507A31" w:rsidRDefault="00275C3B"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Начальник вооружений РККА </w:t>
      </w:r>
      <w:hyperlink r:id="rId43" w:history="1">
        <w:r w:rsidRPr="00507A31">
          <w:rPr>
            <w:rStyle w:val="af0"/>
            <w:i w:val="0"/>
            <w:color w:val="000000" w:themeColor="text1"/>
            <w:sz w:val="16"/>
            <w:szCs w:val="16"/>
          </w:rPr>
          <w:t>Уборевич</w:t>
        </w:r>
      </w:hyperlink>
    </w:p>
    <w:p w14:paraId="7C1ADFC3" w14:textId="77777777" w:rsidR="00275C3B" w:rsidRPr="00507A31" w:rsidRDefault="00275C3B" w:rsidP="00507A31">
      <w:pPr>
        <w:pStyle w:val="ae"/>
        <w:spacing w:before="0" w:after="0"/>
        <w:jc w:val="both"/>
        <w:rPr>
          <w:color w:val="000000" w:themeColor="text1"/>
          <w:sz w:val="16"/>
          <w:szCs w:val="16"/>
        </w:rPr>
      </w:pPr>
      <w:r w:rsidRPr="00507A31">
        <w:rPr>
          <w:rStyle w:val="af0"/>
          <w:i w:val="0"/>
          <w:color w:val="000000" w:themeColor="text1"/>
          <w:sz w:val="16"/>
          <w:szCs w:val="16"/>
        </w:rPr>
        <w:t>Начальник Арт[иллерийского] управления⁵*</w:t>
      </w:r>
    </w:p>
    <w:p w14:paraId="2E073BF8" w14:textId="77777777" w:rsidR="00275C3B" w:rsidRPr="00507A31" w:rsidRDefault="00275C3B"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669463F2"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Подготовлен к заседанию РВС СССР.</w:t>
      </w:r>
    </w:p>
    <w:p w14:paraId="65CB265C"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xml:space="preserve">* Технические требования к </w:t>
      </w:r>
      <w:r w:rsidRPr="00507A31">
        <w:rPr>
          <w:rStyle w:val="af0"/>
          <w:i w:val="0"/>
          <w:color w:val="000000" w:themeColor="text1"/>
          <w:sz w:val="16"/>
          <w:szCs w:val="16"/>
        </w:rPr>
        <w:t>37</w:t>
      </w:r>
      <w:r w:rsidRPr="00507A31">
        <w:rPr>
          <w:rStyle w:val="af0"/>
          <w:i w:val="0"/>
          <w:color w:val="000000" w:themeColor="text1"/>
          <w:sz w:val="16"/>
          <w:szCs w:val="16"/>
        </w:rPr>
        <w:noBreakHyphen/>
        <w:t>мм танковой пушке</w:t>
      </w:r>
      <w:r w:rsidRPr="00507A31">
        <w:rPr>
          <w:color w:val="000000" w:themeColor="text1"/>
          <w:sz w:val="16"/>
          <w:szCs w:val="16"/>
        </w:rPr>
        <w:t xml:space="preserve"> были разработаны Артиллерийским комитетом в августе 1927 г. Заказ был передан на завод «Большевик», где с мая 1928 г. по февраль 1930 г. изготавливались, испытывались и переделывались образцы пушки. Чертежи для валового заказа были утверждены научно-техническим комитетом Артиллерийского управления в августе 1930 г., план 1931 г. предусматривал изготовление 200 систем. При контрольных испытаниях в присутствии комиссии РВС на дальности 600 м была пробита броня толщиной 30 мм. Пушки предназначались для вооружения легких танков. С 1931 г. производились опыты по повышению баллистики для установки этих пушек на самолетах. (РГВА. Ф. 4. Оп. 14. Д. 205. Л. 1, 5).</w:t>
      </w:r>
    </w:p>
    <w:p w14:paraId="3D8B8365"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xml:space="preserve">* Заказ на изготовление двух опытных образцов модернизированной </w:t>
      </w:r>
      <w:r w:rsidRPr="00507A31">
        <w:rPr>
          <w:rStyle w:val="af0"/>
          <w:i w:val="0"/>
          <w:color w:val="000000" w:themeColor="text1"/>
          <w:sz w:val="16"/>
          <w:szCs w:val="16"/>
        </w:rPr>
        <w:t>76,2</w:t>
      </w:r>
      <w:r w:rsidRPr="00507A31">
        <w:rPr>
          <w:rStyle w:val="af0"/>
          <w:i w:val="0"/>
          <w:color w:val="000000" w:themeColor="text1"/>
          <w:sz w:val="16"/>
          <w:szCs w:val="16"/>
        </w:rPr>
        <w:noBreakHyphen/>
        <w:t>мм зенитной пушки</w:t>
      </w:r>
      <w:r w:rsidRPr="00507A31">
        <w:rPr>
          <w:color w:val="000000" w:themeColor="text1"/>
          <w:sz w:val="16"/>
          <w:szCs w:val="16"/>
        </w:rPr>
        <w:t xml:space="preserve"> был передан в начале 1928 г. на Мотовилихинский машиностроительный завод № 8. С августа 1928 г. по март 1930 г. проходили испытания, проверки и переделки системы. По сравнению с 76</w:t>
      </w:r>
      <w:r w:rsidRPr="00507A31">
        <w:rPr>
          <w:color w:val="000000" w:themeColor="text1"/>
          <w:sz w:val="16"/>
          <w:szCs w:val="16"/>
        </w:rPr>
        <w:noBreakHyphen/>
        <w:t xml:space="preserve">мм зенитной пушкой образца 1915 г. ствол был удлинен с 30 до 50 калибров, повышена начальная скорость на 25%, увеличены вертикальная дальность с 5,8 км до 8 км, горизонтальная с 9 до 13 км, масса пушки составила 1600 кг. Независимо от окончания работ </w:t>
      </w:r>
      <w:r w:rsidRPr="00507A31">
        <w:rPr>
          <w:rStyle w:val="af0"/>
          <w:i w:val="0"/>
          <w:color w:val="000000" w:themeColor="text1"/>
          <w:sz w:val="16"/>
          <w:szCs w:val="16"/>
        </w:rPr>
        <w:t>с</w:t>
      </w:r>
      <w:r w:rsidRPr="00507A31">
        <w:rPr>
          <w:color w:val="000000" w:themeColor="text1"/>
          <w:sz w:val="16"/>
          <w:szCs w:val="16"/>
        </w:rPr>
        <w:t xml:space="preserve"> опытными образцами в начале апреля 1929 г. промышленности были даны задания по изготовлению первой партии (50 шт.) модернизированных зенитных пушек. В 1931 г. Артиллерийским управлением был запланирован заказ на 78 систем. (РГВА. Ф. 4. Оп. 14. Д. 205. Л. 7, 13).</w:t>
      </w:r>
    </w:p>
    <w:p w14:paraId="2C3C89B7"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vertAlign w:val="superscript"/>
        </w:rPr>
        <w:t>4</w:t>
      </w:r>
      <w:r w:rsidRPr="00507A31">
        <w:rPr>
          <w:color w:val="000000" w:themeColor="text1"/>
          <w:sz w:val="16"/>
          <w:szCs w:val="16"/>
        </w:rPr>
        <w:t xml:space="preserve">* В </w:t>
      </w:r>
      <w:r w:rsidRPr="00507A31">
        <w:rPr>
          <w:rStyle w:val="af0"/>
          <w:i w:val="0"/>
          <w:color w:val="000000" w:themeColor="text1"/>
          <w:sz w:val="16"/>
          <w:szCs w:val="16"/>
        </w:rPr>
        <w:t>постановлении Реввоенсовета СССР от 23 января 1930 г.</w:t>
      </w:r>
      <w:r w:rsidRPr="00507A31">
        <w:rPr>
          <w:color w:val="000000" w:themeColor="text1"/>
          <w:sz w:val="16"/>
          <w:szCs w:val="16"/>
        </w:rPr>
        <w:t xml:space="preserve"> работы по модернизации образцов вооружения в истекшем году были признаны неудовлетворительными. Утверждалось, что «план модернизации фактически сорван, как по вине Артиллерийского управления, так и по причине чрезвычайно медленного темпа работ промышленности, слабости конструкторских сил и их неорганизованности». Предписывалось испытания 76</w:t>
      </w:r>
      <w:r w:rsidRPr="00507A31">
        <w:rPr>
          <w:color w:val="000000" w:themeColor="text1"/>
          <w:sz w:val="16"/>
          <w:szCs w:val="16"/>
        </w:rPr>
        <w:noBreakHyphen/>
        <w:t xml:space="preserve">мм снарядов увеличенной </w:t>
      </w:r>
      <w:r w:rsidRPr="00507A31">
        <w:rPr>
          <w:color w:val="000000" w:themeColor="text1"/>
          <w:sz w:val="16"/>
          <w:szCs w:val="16"/>
        </w:rPr>
        <w:lastRenderedPageBreak/>
        <w:t>дальности стрельбы закончить к 1 февраля 1930 г. и окончательно установить образец для валовых заказов. Сдача 107</w:t>
      </w:r>
      <w:r w:rsidRPr="00507A31">
        <w:rPr>
          <w:color w:val="000000" w:themeColor="text1"/>
          <w:sz w:val="16"/>
          <w:szCs w:val="16"/>
        </w:rPr>
        <w:noBreakHyphen/>
        <w:t>мм снарядов увеличенной дальности стрельбы должна была состояться к 1 апреля 1930 г. с тем, чтобы войсковые испытания закончить к 1 августа, а полигонные — к 1 октября 1930 г. Промышленность должна была сдать партию 152</w:t>
      </w:r>
      <w:r w:rsidRPr="00507A31">
        <w:rPr>
          <w:color w:val="000000" w:themeColor="text1"/>
          <w:sz w:val="16"/>
          <w:szCs w:val="16"/>
        </w:rPr>
        <w:noBreakHyphen/>
        <w:t>мм снарядов дальней стрельбы к 1 апреля 1930 г., а полигонные испытания закончить не позднее 1 июля 1930 г. Первую партию 152</w:t>
      </w:r>
      <w:r w:rsidRPr="00507A31">
        <w:rPr>
          <w:color w:val="000000" w:themeColor="text1"/>
          <w:sz w:val="16"/>
          <w:szCs w:val="16"/>
        </w:rPr>
        <w:noBreakHyphen/>
        <w:t>мм снарядов, модернизированных по чертежам конструкторского бюро Научно-технического комитета Артиллерийского управления, предписывалось сдать к 15 марта, а испытания закончить к 1 июля 1930 г.</w:t>
      </w:r>
    </w:p>
    <w:p w14:paraId="297C0B05" w14:textId="77777777" w:rsidR="00275C3B" w:rsidRPr="00507A31" w:rsidRDefault="00275C3B" w:rsidP="00507A31">
      <w:pPr>
        <w:pStyle w:val="rtejustify"/>
        <w:spacing w:before="0" w:after="0"/>
        <w:rPr>
          <w:color w:val="000000" w:themeColor="text1"/>
          <w:sz w:val="16"/>
          <w:szCs w:val="16"/>
        </w:rPr>
      </w:pPr>
      <w:r w:rsidRPr="00507A31">
        <w:rPr>
          <w:color w:val="000000" w:themeColor="text1"/>
          <w:sz w:val="16"/>
          <w:szCs w:val="16"/>
          <w:vertAlign w:val="superscript"/>
        </w:rPr>
        <w:t>5</w:t>
      </w:r>
      <w:r w:rsidRPr="00507A31">
        <w:rPr>
          <w:color w:val="000000" w:themeColor="text1"/>
          <w:sz w:val="16"/>
          <w:szCs w:val="16"/>
        </w:rPr>
        <w:t>* Фамилия отсутствует.</w:t>
      </w:r>
    </w:p>
    <w:p w14:paraId="16BF9AFB" w14:textId="77777777" w:rsidR="00275C3B" w:rsidRPr="00507A31" w:rsidRDefault="00275C3B" w:rsidP="00507A31">
      <w:pPr>
        <w:pStyle w:val="ae"/>
        <w:spacing w:before="0" w:after="0"/>
        <w:jc w:val="both"/>
        <w:rPr>
          <w:color w:val="000000" w:themeColor="text1"/>
          <w:sz w:val="16"/>
          <w:szCs w:val="16"/>
        </w:rPr>
      </w:pPr>
      <w:r w:rsidRPr="00507A31">
        <w:rPr>
          <w:color w:val="000000" w:themeColor="text1"/>
          <w:sz w:val="16"/>
          <w:szCs w:val="16"/>
        </w:rPr>
        <w:t>РГАЭ. Ф. 2097. Оп. 1. Д. 993. Л. 199—195. Заверенная копия.</w:t>
      </w:r>
    </w:p>
    <w:p w14:paraId="4FA952B1" w14:textId="77777777" w:rsidR="00275C3B" w:rsidRPr="00507A31" w:rsidRDefault="00275C3B" w:rsidP="00507A31">
      <w:pPr>
        <w:jc w:val="both"/>
        <w:rPr>
          <w:color w:val="000000" w:themeColor="text1"/>
          <w:sz w:val="16"/>
          <w:szCs w:val="16"/>
        </w:rPr>
      </w:pPr>
      <w:r w:rsidRPr="00507A31">
        <w:rPr>
          <w:color w:val="000000" w:themeColor="text1"/>
          <w:sz w:val="16"/>
          <w:szCs w:val="16"/>
        </w:rPr>
        <w:t xml:space="preserve">Архив: РГАЭ. Ф. 2097. Оп. 1. Д. 993. Л. 199—195. Заверенная копия. </w:t>
      </w:r>
    </w:p>
    <w:p w14:paraId="2DD64364" w14:textId="77777777" w:rsidR="00275C3B" w:rsidRPr="00507A31" w:rsidRDefault="00275C3B"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437-442 (12497).</w:t>
      </w:r>
    </w:p>
    <w:p w14:paraId="0FE42D2C" w14:textId="77777777" w:rsidR="00275C3B" w:rsidRPr="00507A31" w:rsidRDefault="00275C3B" w:rsidP="00507A31">
      <w:pPr>
        <w:jc w:val="both"/>
        <w:rPr>
          <w:color w:val="000000" w:themeColor="text1"/>
          <w:sz w:val="16"/>
          <w:szCs w:val="16"/>
        </w:rPr>
      </w:pPr>
    </w:p>
    <w:p w14:paraId="3FA59C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марта 1930 РЗ СТО своим решением дало Госплану время до 1 июля 1930 для того, чтобы разработать параметры плана на случай войны на 1931. С 1931 перешли к календарному года и год стал длиннее на 1 квартал - четвертый 1930 (9089,142).</w:t>
      </w:r>
    </w:p>
    <w:p w14:paraId="4F69C2A3" w14:textId="77777777" w:rsidR="00537E5F" w:rsidRPr="00507A31" w:rsidRDefault="00537E5F" w:rsidP="00507A31">
      <w:pPr>
        <w:autoSpaceDE w:val="0"/>
        <w:autoSpaceDN w:val="0"/>
        <w:adjustRightInd w:val="0"/>
        <w:jc w:val="both"/>
        <w:rPr>
          <w:color w:val="000000" w:themeColor="text1"/>
          <w:sz w:val="16"/>
          <w:szCs w:val="16"/>
        </w:rPr>
      </w:pPr>
    </w:p>
    <w:p w14:paraId="4681865A" w14:textId="77777777" w:rsidR="00BF32E0" w:rsidRPr="00507A31" w:rsidRDefault="00BF32E0" w:rsidP="00507A31">
      <w:pPr>
        <w:jc w:val="both"/>
        <w:rPr>
          <w:color w:val="0070C0"/>
          <w:sz w:val="16"/>
          <w:szCs w:val="16"/>
        </w:rPr>
      </w:pPr>
      <w:bookmarkStart w:id="30" w:name="_Hlk83566391"/>
      <w:r w:rsidRPr="00507A31">
        <w:rPr>
          <w:color w:val="0070C0"/>
          <w:sz w:val="16"/>
          <w:szCs w:val="16"/>
        </w:rPr>
        <w:t>10 марта 1930 г. Решением РЗ СТО Госплану давалось время до 1 июля 1930 г., для того чтобы разработать параметры плана на случай войны на 1931 г.. Основываясь на директивах Госплана, соответствующие Наркоматы должны были направить местным органам власти, а также промышленным предприятиям инструкции для составления ими к сентябрю 1930 г. проекта годового хозяйственного плана на случай войны. Этот примерный план должен был быть готов к 1 марта 1931 г. Но поскольку 4 февраля 1931 г. доклад Госплана ещё не был представлен, Комиссия обороны не стала рассматривать этот вопрос. Поэтому Совнарком принял решение о приостановке работы над планом на 1931 г. Вместо этого, Госплан должен был разработать примерный хозяйственный план для условий военного времени на вторую половину 1931 г. Но при этом результаты работы, уже проделанной над планом 1931 г., должны были стать предметом обсуждения на следующем заседании КО. Это обсуждение должно было задать общие рамки для разработки хозяйственного плана на случай войны на 1932 г. (9089).</w:t>
      </w:r>
    </w:p>
    <w:bookmarkEnd w:id="30"/>
    <w:p w14:paraId="720C1145" w14:textId="77777777" w:rsidR="00BF32E0" w:rsidRPr="00507A31" w:rsidRDefault="00BF32E0" w:rsidP="00507A31">
      <w:pPr>
        <w:jc w:val="both"/>
        <w:rPr>
          <w:color w:val="0070C0"/>
          <w:sz w:val="16"/>
          <w:szCs w:val="16"/>
        </w:rPr>
      </w:pPr>
    </w:p>
    <w:p w14:paraId="53FF7775" w14:textId="77777777" w:rsidR="00BF32E0" w:rsidRPr="00507A31" w:rsidRDefault="00BF32E0" w:rsidP="00507A31">
      <w:pPr>
        <w:shd w:val="clear" w:color="auto" w:fill="FFFFFF"/>
        <w:jc w:val="both"/>
        <w:rPr>
          <w:color w:val="0070C0"/>
          <w:sz w:val="16"/>
          <w:szCs w:val="16"/>
        </w:rPr>
      </w:pPr>
      <w:bookmarkStart w:id="31" w:name="_Hlk83565894"/>
      <w:r w:rsidRPr="00507A31">
        <w:rPr>
          <w:color w:val="0070C0"/>
          <w:sz w:val="16"/>
          <w:szCs w:val="16"/>
        </w:rPr>
        <w:t>10 марта 1930 г. состоялось заседание РЗ СТО</w:t>
      </w:r>
    </w:p>
    <w:p w14:paraId="0A9692DB" w14:textId="77777777" w:rsidR="00BF32E0" w:rsidRPr="00507A31" w:rsidRDefault="00BF32E0" w:rsidP="00507A31">
      <w:pPr>
        <w:shd w:val="clear" w:color="auto" w:fill="FFFFFF"/>
        <w:jc w:val="both"/>
        <w:rPr>
          <w:color w:val="0070C0"/>
          <w:sz w:val="16"/>
          <w:szCs w:val="16"/>
        </w:rPr>
      </w:pPr>
      <w:r w:rsidRPr="00507A31">
        <w:rPr>
          <w:color w:val="0070C0"/>
          <w:sz w:val="16"/>
          <w:szCs w:val="16"/>
        </w:rPr>
        <w:t>Протокол № 46 от 10 марта 1930 г.</w:t>
      </w:r>
    </w:p>
    <w:p w14:paraId="4D8C9CBF" w14:textId="77777777" w:rsidR="00BF32E0" w:rsidRPr="00507A31" w:rsidRDefault="00BF32E0" w:rsidP="00507A31">
      <w:pPr>
        <w:shd w:val="clear" w:color="auto" w:fill="FFFFFF"/>
        <w:jc w:val="both"/>
        <w:rPr>
          <w:color w:val="0070C0"/>
          <w:sz w:val="16"/>
          <w:szCs w:val="16"/>
        </w:rPr>
      </w:pPr>
      <w:r w:rsidRPr="00507A31">
        <w:rPr>
          <w:color w:val="0070C0"/>
          <w:sz w:val="16"/>
          <w:szCs w:val="16"/>
        </w:rPr>
        <w:t>…О составлении мобилизационных планов и ориентировочных контрольных цифр на военное время в 1930 г. (постановление P3 СТО от 10.3.1930 г. к протоколу P3 СТО № 46 от 10.3.1930 г. по п. 4).</w:t>
      </w:r>
    </w:p>
    <w:p w14:paraId="26662647" w14:textId="77777777" w:rsidR="00BF32E0" w:rsidRPr="00507A31" w:rsidRDefault="00BF32E0" w:rsidP="00507A31">
      <w:pPr>
        <w:shd w:val="clear" w:color="auto" w:fill="FFFFFF"/>
        <w:jc w:val="both"/>
        <w:rPr>
          <w:color w:val="0070C0"/>
          <w:sz w:val="16"/>
          <w:szCs w:val="16"/>
        </w:rPr>
      </w:pPr>
      <w:r w:rsidRPr="00507A31">
        <w:rPr>
          <w:color w:val="0070C0"/>
          <w:sz w:val="16"/>
          <w:szCs w:val="16"/>
        </w:rPr>
        <w:t>О порядке разработки очередного варианта мобилизационных планов и контрольных цифр народного хозяйства на военное время (постановление P3 СТО от 10.3.1930 г. к протоколу P3 СТО № 46 от 10.3.1930 г. по п. 5).</w:t>
      </w:r>
    </w:p>
    <w:p w14:paraId="37D731EF" w14:textId="77777777" w:rsidR="00BF32E0" w:rsidRPr="00507A31" w:rsidRDefault="00BF32E0" w:rsidP="00507A31">
      <w:pPr>
        <w:shd w:val="clear" w:color="auto" w:fill="FFFFFF"/>
        <w:jc w:val="both"/>
        <w:rPr>
          <w:color w:val="0070C0"/>
          <w:sz w:val="16"/>
          <w:szCs w:val="16"/>
        </w:rPr>
      </w:pPr>
      <w:r w:rsidRPr="00507A31">
        <w:rPr>
          <w:color w:val="0070C0"/>
          <w:sz w:val="16"/>
          <w:szCs w:val="16"/>
        </w:rPr>
        <w:t>…Об изменении постановления P3 СТО от 21 XII-29 г. в отношении ассигнований на 1929/30 год по смете Наркомвоенмора (постановление P3 СТО от 1.3.1930 г. к протоколу P3 СТО № 46 от 10.3.1930 г. по п. 11).</w:t>
      </w:r>
    </w:p>
    <w:p w14:paraId="55A363E2" w14:textId="77777777" w:rsidR="00BF32E0" w:rsidRPr="00507A31" w:rsidRDefault="00BF32E0" w:rsidP="00507A31">
      <w:pPr>
        <w:shd w:val="clear" w:color="auto" w:fill="FFFFFF"/>
        <w:jc w:val="both"/>
        <w:rPr>
          <w:color w:val="0070C0"/>
          <w:sz w:val="16"/>
          <w:szCs w:val="16"/>
        </w:rPr>
      </w:pPr>
      <w:r w:rsidRPr="00507A31">
        <w:rPr>
          <w:color w:val="0070C0"/>
          <w:sz w:val="16"/>
          <w:szCs w:val="16"/>
        </w:rPr>
        <w:t>…О постройке экспериментальной мастерской Остехбюро (постановление P3 СТО от 5.3.1930 г. к протоколу P3 СТО № 46 от 10.3.1930 г. по п. 14).</w:t>
      </w:r>
    </w:p>
    <w:p w14:paraId="783BA892" w14:textId="77777777" w:rsidR="00BF32E0" w:rsidRPr="00507A31" w:rsidRDefault="00BF32E0" w:rsidP="00507A31">
      <w:pPr>
        <w:shd w:val="clear" w:color="auto" w:fill="FFFFFF"/>
        <w:jc w:val="both"/>
        <w:rPr>
          <w:color w:val="0070C0"/>
          <w:sz w:val="16"/>
          <w:szCs w:val="16"/>
        </w:rPr>
      </w:pPr>
      <w:r w:rsidRPr="00507A31">
        <w:rPr>
          <w:color w:val="0070C0"/>
          <w:sz w:val="16"/>
          <w:szCs w:val="16"/>
        </w:rPr>
        <w:t>…Об обеспечении станками завода "Двигатель" (постановление P3 СТО от 8.3.1930 г. к протоколу P3 СТО № 46 от 10.3.1930 г. по п. 18).</w:t>
      </w:r>
    </w:p>
    <w:p w14:paraId="23BED038" w14:textId="77777777" w:rsidR="00BF32E0" w:rsidRPr="00507A31" w:rsidRDefault="00BF32E0" w:rsidP="00507A31">
      <w:pPr>
        <w:shd w:val="clear" w:color="auto" w:fill="FFFFFF"/>
        <w:jc w:val="both"/>
        <w:rPr>
          <w:color w:val="0070C0"/>
          <w:sz w:val="16"/>
          <w:szCs w:val="16"/>
        </w:rPr>
      </w:pPr>
      <w:r w:rsidRPr="00507A31">
        <w:rPr>
          <w:color w:val="0070C0"/>
          <w:sz w:val="16"/>
          <w:szCs w:val="16"/>
        </w:rPr>
        <w:t>О мероприятиях по развитию авиапромышленности (постановление P3 CTQ от 10.3.1930 г. к протоколу РЗ СТО № 46 от 10.3.1930 г. по п. 19) (21566).</w:t>
      </w:r>
    </w:p>
    <w:p w14:paraId="6A46AC76" w14:textId="77777777" w:rsidR="00BF32E0" w:rsidRPr="00507A31" w:rsidRDefault="00BF32E0" w:rsidP="00507A31">
      <w:pPr>
        <w:shd w:val="clear" w:color="auto" w:fill="FFFFFF"/>
        <w:jc w:val="both"/>
        <w:rPr>
          <w:color w:val="0070C0"/>
          <w:sz w:val="16"/>
          <w:szCs w:val="16"/>
        </w:rPr>
      </w:pPr>
    </w:p>
    <w:p w14:paraId="34532CF2" w14:textId="77777777" w:rsidR="00BF32E0" w:rsidRPr="00507A31" w:rsidRDefault="00BF32E0" w:rsidP="00507A31">
      <w:pPr>
        <w:jc w:val="both"/>
        <w:rPr>
          <w:color w:val="0070C0"/>
          <w:sz w:val="16"/>
          <w:szCs w:val="16"/>
        </w:rPr>
      </w:pPr>
      <w:r w:rsidRPr="00507A31">
        <w:rPr>
          <w:color w:val="0070C0"/>
          <w:sz w:val="16"/>
          <w:szCs w:val="16"/>
          <w:lang w:bidi="ru-RU"/>
        </w:rPr>
        <w:t>10 марта 1930 г. Народный комиссариат путей сообщения дал срочное поручение определить основные параметры нового паровоза. Производство его предполагалось наладить на Луганском паровозостроительном заводе, который начиная с 1927 г. подвергся модернизации и расширению. Более года длилась разработка технико-экономического обоснования и эскизно</w:t>
      </w:r>
      <w:r w:rsidRPr="00507A31">
        <w:rPr>
          <w:color w:val="0070C0"/>
          <w:sz w:val="16"/>
          <w:szCs w:val="16"/>
          <w:lang w:bidi="ru-RU"/>
        </w:rPr>
        <w:softHyphen/>
        <w:t>го проекта. Сам же рабочий проект был подготовлен в рекордно короткие сроки — с 1 мая до 10 августа 1931 г. (за 100 рабочих дней) — не в послед</w:t>
      </w:r>
      <w:r w:rsidRPr="00507A31">
        <w:rPr>
          <w:color w:val="0070C0"/>
          <w:sz w:val="16"/>
          <w:szCs w:val="16"/>
          <w:lang w:bidi="ru-RU"/>
        </w:rPr>
        <w:softHyphen/>
        <w:t>нюю очередь благодаря использованию документации, предоставленной аме</w:t>
      </w:r>
      <w:r w:rsidRPr="00507A31">
        <w:rPr>
          <w:color w:val="0070C0"/>
          <w:sz w:val="16"/>
          <w:szCs w:val="16"/>
          <w:lang w:bidi="ru-RU"/>
        </w:rPr>
        <w:softHyphen/>
        <w:t>риканскими паровозостроительными фирмами. Проектировался новый паровоз в Центральном локомотиво</w:t>
      </w:r>
      <w:r w:rsidRPr="00507A31">
        <w:rPr>
          <w:color w:val="0070C0"/>
          <w:sz w:val="16"/>
          <w:szCs w:val="16"/>
          <w:lang w:bidi="ru-RU"/>
        </w:rPr>
        <w:softHyphen/>
        <w:t>проектном бюро на Коломенском заво</w:t>
      </w:r>
      <w:r w:rsidRPr="00507A31">
        <w:rPr>
          <w:color w:val="0070C0"/>
          <w:sz w:val="16"/>
          <w:szCs w:val="16"/>
          <w:lang w:bidi="ru-RU"/>
        </w:rPr>
        <w:softHyphen/>
        <w:t>де под руководством Л. Лебедянского (23180).</w:t>
      </w:r>
    </w:p>
    <w:p w14:paraId="75EFFFFA" w14:textId="77777777" w:rsidR="00BF32E0" w:rsidRPr="00507A31" w:rsidRDefault="00BF32E0" w:rsidP="00507A31">
      <w:pPr>
        <w:shd w:val="clear" w:color="auto" w:fill="FFFFFF"/>
        <w:jc w:val="both"/>
        <w:rPr>
          <w:color w:val="0070C0"/>
          <w:sz w:val="16"/>
          <w:szCs w:val="16"/>
        </w:rPr>
      </w:pPr>
    </w:p>
    <w:bookmarkEnd w:id="31"/>
    <w:p w14:paraId="275CB57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AA97BCE" w14:textId="77777777" w:rsidR="00537E5F" w:rsidRPr="00507A31" w:rsidRDefault="00537E5F" w:rsidP="00507A31">
      <w:pPr>
        <w:autoSpaceDE w:val="0"/>
        <w:autoSpaceDN w:val="0"/>
        <w:adjustRightInd w:val="0"/>
        <w:jc w:val="both"/>
        <w:rPr>
          <w:iCs/>
          <w:color w:val="000000" w:themeColor="text1"/>
          <w:sz w:val="16"/>
          <w:szCs w:val="16"/>
        </w:rPr>
      </w:pPr>
    </w:p>
    <w:p w14:paraId="42FF59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марта 1930 Алтайский край. Антисоветское восстание в с.Усть-Пристань, возглавленное... уполномоченным ОГПУ Добытиным, который освободил и вооружил 90 арестованных "кулаков". (Подробнее см. Восстания на Алтае 1930 г.) (10687).</w:t>
      </w:r>
    </w:p>
    <w:p w14:paraId="59256172" w14:textId="77777777" w:rsidR="00537E5F" w:rsidRPr="00507A31" w:rsidRDefault="00537E5F" w:rsidP="00507A31">
      <w:pPr>
        <w:autoSpaceDE w:val="0"/>
        <w:autoSpaceDN w:val="0"/>
        <w:adjustRightInd w:val="0"/>
        <w:jc w:val="both"/>
        <w:rPr>
          <w:color w:val="000000" w:themeColor="text1"/>
          <w:sz w:val="16"/>
          <w:szCs w:val="16"/>
        </w:rPr>
      </w:pPr>
    </w:p>
    <w:p w14:paraId="0A1826F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B9A7477" w14:textId="77777777" w:rsidR="00537E5F" w:rsidRPr="00507A31" w:rsidRDefault="00537E5F" w:rsidP="00507A31">
      <w:pPr>
        <w:autoSpaceDE w:val="0"/>
        <w:autoSpaceDN w:val="0"/>
        <w:adjustRightInd w:val="0"/>
        <w:jc w:val="both"/>
        <w:rPr>
          <w:iCs/>
          <w:color w:val="000000" w:themeColor="text1"/>
          <w:sz w:val="16"/>
          <w:szCs w:val="16"/>
        </w:rPr>
      </w:pPr>
    </w:p>
    <w:p w14:paraId="4F72EA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АНТ-7 (Р-6), направленный в НИИ ВВС еще 11 сентября 1928, передали на гос. испытания. Нашли недоработки и испытания перенесли на 24 июля (346,35) По другим данным прервали 30 марта 1930 до 24 июля 1930 и испытывали машины NN 16580 и 16583 (1017,203) до середины октября 1930 (1852,47).</w:t>
      </w:r>
    </w:p>
    <w:p w14:paraId="06A1A27A" w14:textId="77777777" w:rsidR="00537E5F" w:rsidRPr="00507A31" w:rsidRDefault="00537E5F" w:rsidP="00507A31">
      <w:pPr>
        <w:autoSpaceDE w:val="0"/>
        <w:autoSpaceDN w:val="0"/>
        <w:adjustRightInd w:val="0"/>
        <w:jc w:val="both"/>
        <w:rPr>
          <w:color w:val="000000" w:themeColor="text1"/>
          <w:sz w:val="16"/>
          <w:szCs w:val="16"/>
        </w:rPr>
      </w:pPr>
    </w:p>
    <w:p w14:paraId="01E2DB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года был первый раз предъявлен на испытания в НИИ ВВС Р7 БМВVI Е=6 (6998, 9-14).</w:t>
      </w:r>
    </w:p>
    <w:p w14:paraId="770E1AD2" w14:textId="77777777" w:rsidR="00537E5F" w:rsidRPr="00507A31" w:rsidRDefault="00537E5F" w:rsidP="00507A31">
      <w:pPr>
        <w:autoSpaceDE w:val="0"/>
        <w:autoSpaceDN w:val="0"/>
        <w:adjustRightInd w:val="0"/>
        <w:jc w:val="both"/>
        <w:rPr>
          <w:color w:val="000000" w:themeColor="text1"/>
          <w:sz w:val="16"/>
          <w:szCs w:val="16"/>
        </w:rPr>
      </w:pPr>
    </w:p>
    <w:p w14:paraId="7327DF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года был предъявлен на испытание в НИИ первый раз Р6-2БМВVI Е=7,3 – ЦАГИ (6998, 9-14).</w:t>
      </w:r>
    </w:p>
    <w:p w14:paraId="5BBAFF46" w14:textId="77777777" w:rsidR="00537E5F" w:rsidRPr="00507A31" w:rsidRDefault="00537E5F" w:rsidP="00507A31">
      <w:pPr>
        <w:autoSpaceDE w:val="0"/>
        <w:autoSpaceDN w:val="0"/>
        <w:adjustRightInd w:val="0"/>
        <w:jc w:val="both"/>
        <w:rPr>
          <w:color w:val="000000" w:themeColor="text1"/>
          <w:sz w:val="16"/>
          <w:szCs w:val="16"/>
        </w:rPr>
      </w:pPr>
    </w:p>
    <w:p w14:paraId="2FE00D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11 по 30 марта 1930 проходили гос. испытаний самолета Р6-2БМВVIс двумя моторами БМВVI 500/730 NN 16580 и 16583.</w:t>
      </w:r>
    </w:p>
    <w:p w14:paraId="418218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Инженер 2 отдела НИИ Вахмистров сообщил нижеследующие результаты испытаний самолета Р6-2БМВVI:</w:t>
      </w:r>
    </w:p>
    <w:p w14:paraId="37005D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продолжались 20 дней.</w:t>
      </w:r>
    </w:p>
    <w:p w14:paraId="240C1C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в воздухе 10 дней - 20 полетов, 18 час. 56 мин.</w:t>
      </w:r>
    </w:p>
    <w:p w14:paraId="7F9DCE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Назначение самолета:</w:t>
      </w:r>
    </w:p>
    <w:p w14:paraId="640FCC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Ведение воздушного боя против бомбардировочной авиации в дневное и ночное время, как у себя в тылу, так и на территории противника.</w:t>
      </w:r>
    </w:p>
    <w:p w14:paraId="4D2031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Для производства армейской разведки.</w:t>
      </w:r>
    </w:p>
    <w:p w14:paraId="6715F9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 состоит согласно ТУ из 3-х человек для варианта "а" и 4-х человек для варианта "б".</w:t>
      </w:r>
    </w:p>
    <w:p w14:paraId="512190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0FBEC4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не удовлетворяет предъявленным к нему техническим требованиям по вертикальным и горизонтальным скоростям.</w:t>
      </w:r>
    </w:p>
    <w:p w14:paraId="249587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 самолета не доработано вооружение и отсутствуют фото и электро установки.</w:t>
      </w:r>
    </w:p>
    <w:p w14:paraId="178587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имеет ряд конструктивных и эксплуатационных недостатков.</w:t>
      </w:r>
    </w:p>
    <w:p w14:paraId="78AA11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Р-6 в данном его виде не может быть рекомендован как образец для серийной постройки.</w:t>
      </w:r>
    </w:p>
    <w:p w14:paraId="2F61F9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Считать, что до получения результатов вторичного испытания дать окончательное заключение по оценке самолета и о возможности его постройки в серии - нельзя (3273).</w:t>
      </w:r>
    </w:p>
    <w:p w14:paraId="5CB59973" w14:textId="77777777" w:rsidR="00537E5F" w:rsidRPr="00507A31" w:rsidRDefault="00537E5F" w:rsidP="00507A31">
      <w:pPr>
        <w:autoSpaceDE w:val="0"/>
        <w:autoSpaceDN w:val="0"/>
        <w:adjustRightInd w:val="0"/>
        <w:jc w:val="both"/>
        <w:rPr>
          <w:color w:val="000000" w:themeColor="text1"/>
          <w:sz w:val="16"/>
          <w:szCs w:val="16"/>
        </w:rPr>
      </w:pPr>
    </w:p>
    <w:p w14:paraId="3DCCC4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 на государственные испытания поступил Р-6, готовый в сентябре 1929. Все испытания Р-6 проходил в НИИ ВВС. Первые полеты совершил М.М. Громов. Выявилось немало недостатков и машину вернули ЦАГИ на доработку.</w:t>
      </w:r>
    </w:p>
    <w:p w14:paraId="73AB33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Эти испытания прошли тоже не очень удачно. Общая оценка оказалась неутешительной. В выводах отчета НИИ ВВС четко сказано, что самолет не удовлетворяет техническим условиям. Взлетный вес оказался больше заданного на 355 кг. Скорость у земли была меньше требуемой на 14 км/ч, на высоте 3000 м - на 42 км/ч. Потолок "недобрали" на 1560 м. На высоту 5000 м Р-6 забирался за 30 мин вместо 15,3 по заданию. Нормальный радиус действия самолета, который должен был стать и дальним разведчиком, оказался всего 268 км/ч, в то время как у более легкого и дешевого одномоторного биплана Р-5 - 398 км!</w:t>
      </w:r>
    </w:p>
    <w:p w14:paraId="09EA58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выводах отчета записано: "Преимущество перед ТБ-1 минимально". А ведь за счет уменьшения габаритов и веса, фактического отказа от полноценной бомбовой нагрузки, как раз и собирались получить прирост летных данных по сравнению с бомбардировщиком. Кроме того, выявились вибрации хвостового оперения, фюзеляжа и моторов. В одном из полетов сорвало переднюю кромку крыла (она была задвижной, без фиксации). Протекали бензокраны, слишком жесткой была амортизация шасси. Обзор у летна- ба (штурмана-стрелка), сидевшего в передней кабине, сочли недостаточным. Он мог смотреть, только высовываясь вверх из проема турели. Всего специалисты НИИ ВВС отметили 73 дефекта.</w:t>
      </w:r>
    </w:p>
    <w:p w14:paraId="7E53F7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Конечно, нашли и кое-что положительное. В отчете указано, что самолет "прост и не утомителен в пилотировании", отметили "хорошую устойчивость и управляемость", по достоинству оценили небольшой (100 - 120 м) разбег и огневую мощь Р-6.</w:t>
      </w:r>
    </w:p>
    <w:p w14:paraId="765876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Испытания закончились 30 марта. Самолет еше раз вернули в ЦАГИ, где его подвергли значительной доработке. Переделки заняли около четырех месяцев. Причиной вибраций задней части и оперения сочли завихрения потоков воздуха, сбегающего по крылу. В борьбе с этим заднюю кромку крыла у фюзеляжа приподняли, оставив у концов в прежнем положении. Существенные изменения внесли и в мотоустановку. На двигатели надели новые капоты. Под моторы перенесли водяные радиаторы, </w:t>
      </w:r>
      <w:r w:rsidRPr="00507A31">
        <w:rPr>
          <w:color w:val="000000" w:themeColor="text1"/>
          <w:sz w:val="16"/>
          <w:szCs w:val="16"/>
        </w:rPr>
        <w:lastRenderedPageBreak/>
        <w:t>установив их в наклонном положении. Ранее они стояли под плоскостями между фюзеляжем и мотогондолами, и могли в полете для уменьшения сопротивления втягиваться в крыло. Изменением положения радиатора собирались и регулировать охлаждение. Теперь это сочли ненужным усложнением. Радиаторы сделали неподвижными, а наклон должен был уменьшить лобовое сопротивление до приемлемых пределов. На выхлопных патрубках моторов появились новые плоские глушители, выхлоп из которых был направлен вверх.</w:t>
      </w:r>
    </w:p>
    <w:p w14:paraId="3ABBAD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Переднюю кромку крыла прихватили проволокой. У лет- наба сделали спереди подслеповатое целлулоидное окошко. Заменили носовую пулеметную турель, теперь обе они, передняя и задняя, были одного типа - Тур-5. Задняя перекатывалась с борта на борт, увеличивая поле обстрела. Кресло пилота приподняли, чтобы улучшить обзор. Перед пилотской кабиной из-за этого пришлось сделать небольшой гар- грот-обтекатель. Ввели козырек перед задней турелью, увеличили вырез выпускной нижней башни и изменили в ней крепление пулемета. Колеса заменили на большие по размеру, метрового диаметра. Но после всех переделок машина не только не потяжелела, но конструкторам удалось даже "сбросить" около 80 кг (12036).</w:t>
      </w:r>
    </w:p>
    <w:p w14:paraId="4CFF47B5" w14:textId="77777777" w:rsidR="00537E5F" w:rsidRPr="00507A31" w:rsidRDefault="00537E5F" w:rsidP="00507A31">
      <w:pPr>
        <w:autoSpaceDE w:val="0"/>
        <w:autoSpaceDN w:val="0"/>
        <w:adjustRightInd w:val="0"/>
        <w:jc w:val="both"/>
        <w:rPr>
          <w:color w:val="000000" w:themeColor="text1"/>
          <w:sz w:val="16"/>
          <w:szCs w:val="16"/>
        </w:rPr>
      </w:pPr>
    </w:p>
    <w:p w14:paraId="786EBA06" w14:textId="77777777" w:rsidR="00ED50AE" w:rsidRPr="00507A31" w:rsidRDefault="00ED50AE" w:rsidP="00507A31">
      <w:pPr>
        <w:jc w:val="both"/>
        <w:rPr>
          <w:color w:val="000000" w:themeColor="text1"/>
          <w:sz w:val="16"/>
          <w:szCs w:val="16"/>
        </w:rPr>
      </w:pPr>
      <w:r w:rsidRPr="00507A31">
        <w:rPr>
          <w:color w:val="000000" w:themeColor="text1"/>
          <w:sz w:val="16"/>
          <w:szCs w:val="16"/>
        </w:rPr>
        <w:t>11 марта 1930 г. Р-6 поступил на госиспытания. Общая оценка их результатов оказалась неутешительной. В выводах отчёта НИИ ВВС сказано о том, что самолёт не удовлетворяет техническим условиям:</w:t>
      </w:r>
    </w:p>
    <w:p w14:paraId="4AE37F20" w14:textId="77777777" w:rsidR="00ED50AE" w:rsidRPr="00507A31" w:rsidRDefault="00ED50AE" w:rsidP="00507A31">
      <w:pPr>
        <w:jc w:val="both"/>
        <w:rPr>
          <w:color w:val="000000" w:themeColor="text1"/>
          <w:sz w:val="16"/>
          <w:szCs w:val="16"/>
        </w:rPr>
      </w:pPr>
      <w:r w:rsidRPr="00507A31">
        <w:rPr>
          <w:color w:val="000000" w:themeColor="text1"/>
          <w:sz w:val="16"/>
          <w:szCs w:val="16"/>
        </w:rPr>
        <w:t>АНТ-7 в своём первоначальном виде имел взлётный вес больше заданного на 355 кг; скорость у земли меньше требуемой на 14 км/ч, на высоте 3000 м - на 42 км/ч; потолок «недобрали» на 1560 м. На высоту 5000 м Р-6 забирался за 30 мин вместо 15,3 мин по заданию. Нормальный радиус действия самолёта, который должен был стать и дальним разведчиком, оказался всего 268 км, в то время как у более лёгкого и дешёвого Р-5 - 398 км!</w:t>
      </w:r>
    </w:p>
    <w:p w14:paraId="1490CDB6" w14:textId="77777777" w:rsidR="00ED50AE" w:rsidRPr="00507A31" w:rsidRDefault="00ED50AE" w:rsidP="00507A31">
      <w:pPr>
        <w:jc w:val="both"/>
        <w:rPr>
          <w:color w:val="000000" w:themeColor="text1"/>
          <w:sz w:val="16"/>
          <w:szCs w:val="16"/>
        </w:rPr>
      </w:pPr>
      <w:r w:rsidRPr="00507A31">
        <w:rPr>
          <w:color w:val="000000" w:themeColor="text1"/>
          <w:sz w:val="16"/>
          <w:szCs w:val="16"/>
        </w:rPr>
        <w:t>В выводах отчета значилось: «Преимущество перед ТБ-1 минимально». А ведь за счёт уменьшения габаритов и веса, фактического отказа от полноценной бомбовой нагрузки собирались получить существенный прирост данных по сравнению с бомбардировщиком. Кроме того, на испытаниях выявились вибрации хвостового оперения, фюзеляжа и моторов. В одном из полётов сорвало переднюю кромку крыла (она была задвижной, без фиксации). Протекали бензокраны, слишком жёсткой была амортизация шасси. Обзор у летнаба в сидячем положении сочли недостаточным - он мог смотреть, только высовываясь из проёма турели. Всего специалисты НИИ ВВС насчитали 73 дефекта. Отметили и кое-что положительное, например то, что самолёт «прост и не утомителен в пилотировании», име-ет «хорошую устойчивость и управляе-мость», небольшой (100 - 120 м) разбег и внушительную огневую мощь.</w:t>
      </w:r>
    </w:p>
    <w:p w14:paraId="123085DA" w14:textId="77777777" w:rsidR="00ED50AE" w:rsidRPr="00507A31" w:rsidRDefault="00ED50AE" w:rsidP="00507A31">
      <w:pPr>
        <w:jc w:val="both"/>
        <w:rPr>
          <w:color w:val="000000" w:themeColor="text1"/>
          <w:sz w:val="16"/>
          <w:szCs w:val="16"/>
        </w:rPr>
      </w:pPr>
      <w:r w:rsidRPr="00507A31">
        <w:rPr>
          <w:color w:val="000000" w:themeColor="text1"/>
          <w:sz w:val="16"/>
          <w:szCs w:val="16"/>
        </w:rPr>
        <w:t>Испытания завершились 30 марта. После них Р-6 ещё раз вернули в ЦАГИ на доработку. Переделки заняли около четырёх месяцев. Причиной вибраций задней части фюзеляжа и оперения сочли завихрения потока воздуха, сбегающего по крылу. В борьбе с этим заднюю кромку крыла у корня подняли на 175 мм, оставив у концов в прежнем положении. Существенные изменения внесли в мотоустанов-ку. На двигатели надели новые капоты. Под моторы перенесли водяные радиаторы, установив их в наклонном положении. Ранее они стояли под плоскостями между фюзеляжем и моторами и могли в полёте втягиваться в крыло. Теперь их закрепили неподвижно, а наклон должен был уменьшить лобовое сопротивление до приемлемых пределов. На выхлопных патрубках моторов появились новые глушители с плоскими коллекторами, выхлоп из которых направлялся вверх. Заменили бензокраны типа АМ на краны типа ЦАГИ: последние не подтекали, но поворачивались очень туго. Переместили вперёд сектор газа в пилотской кабине. Задвижную переднюю кромку крыла прихватили проволокой. У летнаба сделали небольшое целлулоидное окошко спереди. Носовую турель заменили, теперь обе верхние установки были типа Тур-5. Кресло пилота приподняли на 100 мм, чтобы улучшить обзор (12264).</w:t>
      </w:r>
    </w:p>
    <w:p w14:paraId="6A8BC1A7" w14:textId="77777777" w:rsidR="00ED50AE" w:rsidRPr="00507A31" w:rsidRDefault="00ED50AE" w:rsidP="00507A31">
      <w:pPr>
        <w:jc w:val="both"/>
        <w:rPr>
          <w:color w:val="000000" w:themeColor="text1"/>
          <w:sz w:val="16"/>
          <w:szCs w:val="16"/>
        </w:rPr>
      </w:pPr>
    </w:p>
    <w:p w14:paraId="0E910C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года председатель НТК УВВС Дубенский и управделами НТК Поляев подписали:</w:t>
      </w:r>
    </w:p>
    <w:p w14:paraId="6D8ABC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Объяснительная записка к плану опытного строительства ВВС на 1930-33 г.г.</w:t>
      </w:r>
    </w:p>
    <w:p w14:paraId="7E753A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Представляю план опытного строительства ВВС на 1930-33 г.г. и следующие к нему объяснения.</w:t>
      </w:r>
    </w:p>
    <w:p w14:paraId="7256D6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Представленный план является результатом переработки плана опытного строительства ВВС на 1929-30 г.г., принятого на заседании РВС.</w:t>
      </w:r>
    </w:p>
    <w:p w14:paraId="0876A0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Названный план переработан в соответствии с указаниями правительственных органов в сторону сокращения сроков выпуска опытных образцов и их числа.</w:t>
      </w:r>
    </w:p>
    <w:p w14:paraId="4A05F5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Основным в этом плане является вопрос осуществления моторов. Без решения этой основной задачи план опытного строительства не может обеспечить осуществление системы строительства ВВС, утвержденной в заседании РВС от 3 февраля 1930 года.</w:t>
      </w:r>
    </w:p>
    <w:p w14:paraId="619711D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 моторостроению план предусматривает осуществление следующих четырех основных типов мотора, а именно:</w:t>
      </w:r>
    </w:p>
    <w:p w14:paraId="7B9389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мотор водяного охлаждения для тяжелых бомбардировщиков М-35 с номинальной мощностью 1250 НР, высотностью 5000 м и весом 600 кг;</w:t>
      </w:r>
    </w:p>
    <w:p w14:paraId="660215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мотор водяного охлаждения для истребителей М-32 с номинальной мощностью в 600 НР, высотностью в 5000 метров и весом в 400 кг;</w:t>
      </w:r>
    </w:p>
    <w:p w14:paraId="78F928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мотор воздушного охлаждения для истребителей М-38 с теми же данными, что и предыдущий тип, но с весом в 380 кг;</w:t>
      </w:r>
    </w:p>
    <w:p w14:paraId="09857A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мотор водяного охлаждения для разведчиков, легких бомбардировщиков и многоместных истребителей М-34, с номинальной мощностью в 750 НР, высотностью в 5000 метров и весом 480 кг.</w:t>
      </w:r>
    </w:p>
    <w:p w14:paraId="60B61B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Эти моторы делают осуществимыми требования Штаба к большинству самолетов, не давая гарантии лишь в получении скорости 250 км/час для самолета ТШ-1 и …… приблизиться к уровню заграничной техники, ликвидируя к 1932 году наш прежний разрыв с ней по основным образцам в 3-4 года.</w:t>
      </w:r>
    </w:p>
    <w:p w14:paraId="453FA7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Наши требования промышленностью полностью приняты не были, а именно остались без окончательного согласования сроки выпуска моторов на госиспытания, так как представители промышленности установленные в этом плане сроки выпуски на госиспытания считают мало реальными, отстаивая эти сроки в основном в качестве сроков установки опытных образцов на станок для заводских, а не "государственных" испытаний. Это требование и предложение ни в какой мере не может удовлетворить военное ведомство, так как для ВВС имеет значение лишь срок предъявления первого, законченного мотора, способного пойти на госиспытания на предмет определения его годности или негодности для принятия на снабжение и вооружение воздушного флота и внедрения в серийное производство.</w:t>
      </w:r>
    </w:p>
    <w:p w14:paraId="3613AA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Особо следует обратить внимание на форсирование изготовления в срок моторов М-34, так как не исполнение этого мотора в срок – срывает выпуск ряда важнейших самолетов (ТШ-1, МИ-2, Р-8, МДР-3), предусмотренных прилагаемым при сем пятилетним планом опытного строительства.</w:t>
      </w:r>
    </w:p>
    <w:p w14:paraId="2B91EE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Главнейшими задачами в моторостроении на ближайшее время при осуществлении основных и последующих типов, является:</w:t>
      </w:r>
    </w:p>
    <w:p w14:paraId="186C87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повышение мощности одного агрегата;</w:t>
      </w:r>
    </w:p>
    <w:p w14:paraId="16A38D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увеличение высотности;</w:t>
      </w:r>
    </w:p>
    <w:p w14:paraId="1B70D9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снижение веса мотора;</w:t>
      </w:r>
    </w:p>
    <w:p w14:paraId="535500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обеспечение надежности его работы.</w:t>
      </w:r>
    </w:p>
    <w:p w14:paraId="7F00479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Кроме основных четырех типов моторов план предусматривает осуществление группы экспериментальных и полуэкспериментальных моторов, имеющих назначение проверить и предуказать новые принципы, могущие послужить ……………………………</w:t>
      </w:r>
    </w:p>
    <w:p w14:paraId="48C88FE7"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План может быть осуществлен лишь при соблюдении следующих основных требований:</w:t>
      </w:r>
    </w:p>
    <w:p w14:paraId="514575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коренном изменении промышленностью самой системы работ по опытному строительству как по темпам, так и по методике работ;</w:t>
      </w:r>
    </w:p>
    <w:p w14:paraId="70BB53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своевременным развитием научно-технической базы (в первую очередь Научно-авиамоторного института) и органической увязке работы промышленности по опытному строительству с работами научных институтов;</w:t>
      </w:r>
    </w:p>
    <w:p w14:paraId="5D8029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развитием металлургии специальных (пособных) отраслей, особенно по высокосортным сталям и легким сплавам;</w:t>
      </w:r>
    </w:p>
    <w:p w14:paraId="18C2FE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быстрым совершенствованием технологических процессов и процессов обработки.</w:t>
      </w:r>
    </w:p>
    <w:p w14:paraId="0BB08A17"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Самолеты, входящие в план находятся в точном соответствии с системой строительства ВВС, утвержденной РВС 3 февраля 1930 года.</w:t>
      </w:r>
    </w:p>
    <w:p w14:paraId="0EAE4F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Сроки их выхода на госиспытания в значительной мере определяются выходом первых серий основных типов моторов советской конструкции производства, предусмотренных прилагаемым планом опытного строительства. Но чтобы не задерживать конструирование и постройку важнейших и необходимейших образцов самолетов (ТБ4 и МТБ-2) план предусматривает постройку первых образцов их под сходные заграничные моторы с тем, чтобы по выходе наших основных типов моторов незамедлительно заменить заграничные советскими (М-35).</w:t>
      </w:r>
    </w:p>
    <w:p w14:paraId="501A7B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даже при этом условии сроки выпуска самолетов ТБ4 и МТБ-2, определенные планом, являются сильно напряженными и исполнимыми только при исключительном содействии опытным учреждениям со стороны всех организаций.</w:t>
      </w:r>
    </w:p>
    <w:p w14:paraId="2305E9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Другие самолеты в сроках выпуска отодвинуты так, чтобы обеспечить возможность установки на них моторов советской конструкции и производства, прибегая только в крайних случаях к установке на первых экземплярах иностранных моторов или моторов строящихся в СССР …………………………</w:t>
      </w:r>
    </w:p>
    <w:p w14:paraId="34E01E3A"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 области воздухоплавания основной задачей является постройка новейших образцов привязных аэростатов и аэростатов заграждения и приобретение в этом деле надлежащего темпа, который до сих пор являлся неудовлетворительным. Основной исполнитель – Резинотрест, с которым план был согласован.</w:t>
      </w:r>
    </w:p>
    <w:p w14:paraId="14F46A0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Объекты пятилетнего плана по специальным службам ВВС соответствуют системе вооружения ВВС, приняты промышленностью и в случае их выполнения дают основание полагать, что к концу пятилетки разрыв с соответствующими отраслями этого дела за границей будет ликвидирован. Узким местом следует считать раздел автоматических прицелов для стрельбы, главным образом с турели. Эта задача в полном объеме не разрешена до сих пор и за границей.</w:t>
      </w:r>
    </w:p>
    <w:p w14:paraId="7F93F8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Изготовление прицелов и приборов для бомбометания и стрельбы, а также фотоаппаратуры обеспечивает ТОМП. Бомбардировочное и стрелковое оборудование – Авиатрест. Аэронавигационные и метеорологические приборы – Авиаприбор. Радио и электро – соответствующими заводами, через ………….. Остальные объекты не размещены, но выполнение их сомнений не вызывает.</w:t>
      </w:r>
    </w:p>
    <w:p w14:paraId="6AA62AD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 xml:space="preserve">По существующему порядку, финансирование опытного строительства воздушного флота по основным объектам (самолетам и моторам) производит Президиум ВСНХ по особой его смете. Этот порядок необходимо распространить на все объекты опытного строительства воздушного флота. Кроме того, необходимо обязать </w:t>
      </w:r>
      <w:r w:rsidRPr="00507A31">
        <w:rPr>
          <w:color w:val="000000" w:themeColor="text1"/>
          <w:sz w:val="16"/>
          <w:szCs w:val="16"/>
        </w:rPr>
        <w:lastRenderedPageBreak/>
        <w:t>ВСНХ своевременно отпускать эти средства по заявкам исполняющих организаций на конструирование и постройку объектов, перечисленных в плане, имея также отпуск средств на исследовательские и экспериментальные работы …………………..</w:t>
      </w:r>
    </w:p>
    <w:p w14:paraId="03C7A59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Осуществление плана может быть обеспечено при резком изменении и усилении темпа работ теми органами, которые привлекаются и ведут опытное строительство, используя максимально все достижения нашей и заграничной науки и техники (3625, 11-13).</w:t>
      </w:r>
    </w:p>
    <w:p w14:paraId="1D27B5D9"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1777F7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года председатель НТК УВВС Дубенский и председатель 2 секции НТК Петровский подписали:</w:t>
      </w:r>
    </w:p>
    <w:p w14:paraId="7053A0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опытного строительства управления ВВС по авиамоторам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A61694" w:rsidRPr="00507A31" w14:paraId="5967F130" w14:textId="77777777">
        <w:tc>
          <w:tcPr>
            <w:tcW w:w="1349" w:type="dxa"/>
          </w:tcPr>
          <w:p w14:paraId="535409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 моторов</w:t>
            </w:r>
          </w:p>
        </w:tc>
        <w:tc>
          <w:tcPr>
            <w:tcW w:w="1053" w:type="dxa"/>
          </w:tcPr>
          <w:p w14:paraId="5A0F0C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Кто исполняет</w:t>
            </w:r>
          </w:p>
        </w:tc>
        <w:tc>
          <w:tcPr>
            <w:tcW w:w="1053" w:type="dxa"/>
          </w:tcPr>
          <w:p w14:paraId="0E60F2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Мощность номинальн./максимал.</w:t>
            </w:r>
          </w:p>
        </w:tc>
        <w:tc>
          <w:tcPr>
            <w:tcW w:w="1053" w:type="dxa"/>
          </w:tcPr>
          <w:p w14:paraId="384CDF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Обороты номинальн./максимал.</w:t>
            </w:r>
          </w:p>
        </w:tc>
        <w:tc>
          <w:tcPr>
            <w:tcW w:w="1053" w:type="dxa"/>
          </w:tcPr>
          <w:p w14:paraId="782CDC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 мотора сухой/ удельн.</w:t>
            </w:r>
          </w:p>
        </w:tc>
        <w:tc>
          <w:tcPr>
            <w:tcW w:w="907" w:type="dxa"/>
          </w:tcPr>
          <w:p w14:paraId="6C20EF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Нижний предел высотн.</w:t>
            </w:r>
          </w:p>
        </w:tc>
        <w:tc>
          <w:tcPr>
            <w:tcW w:w="964" w:type="dxa"/>
          </w:tcPr>
          <w:p w14:paraId="468D57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Охлажден.</w:t>
            </w:r>
          </w:p>
        </w:tc>
        <w:tc>
          <w:tcPr>
            <w:tcW w:w="1053" w:type="dxa"/>
          </w:tcPr>
          <w:p w14:paraId="376C3B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Начало проектир.</w:t>
            </w:r>
          </w:p>
        </w:tc>
        <w:tc>
          <w:tcPr>
            <w:tcW w:w="1053" w:type="dxa"/>
          </w:tcPr>
          <w:p w14:paraId="4E21C3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 на госиспыт.</w:t>
            </w:r>
          </w:p>
        </w:tc>
        <w:tc>
          <w:tcPr>
            <w:tcW w:w="1009" w:type="dxa"/>
          </w:tcPr>
          <w:p w14:paraId="005F83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Общая продолжит. работы </w:t>
            </w:r>
          </w:p>
        </w:tc>
        <w:tc>
          <w:tcPr>
            <w:tcW w:w="1053" w:type="dxa"/>
          </w:tcPr>
          <w:p w14:paraId="6B4F39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w:t>
            </w:r>
          </w:p>
        </w:tc>
      </w:tr>
    </w:tbl>
    <w:p w14:paraId="039CB6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Основные типы вооружения</w:t>
      </w:r>
    </w:p>
    <w:p w14:paraId="2E19B8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для тяжелых бомбардиров. и торпедоносцев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A61694" w:rsidRPr="00507A31" w14:paraId="6693C8C1" w14:textId="77777777">
        <w:tc>
          <w:tcPr>
            <w:tcW w:w="1349" w:type="dxa"/>
          </w:tcPr>
          <w:p w14:paraId="2BD977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М-35, осн. тип вооружения</w:t>
            </w:r>
          </w:p>
        </w:tc>
        <w:tc>
          <w:tcPr>
            <w:tcW w:w="1053" w:type="dxa"/>
          </w:tcPr>
          <w:p w14:paraId="50BFDF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6BE6C1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1250/1500</w:t>
            </w:r>
          </w:p>
        </w:tc>
        <w:tc>
          <w:tcPr>
            <w:tcW w:w="1053" w:type="dxa"/>
          </w:tcPr>
          <w:p w14:paraId="0E992E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25A355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600/0,48</w:t>
            </w:r>
          </w:p>
        </w:tc>
        <w:tc>
          <w:tcPr>
            <w:tcW w:w="907" w:type="dxa"/>
          </w:tcPr>
          <w:p w14:paraId="0622D3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964" w:type="dxa"/>
          </w:tcPr>
          <w:p w14:paraId="0105E3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053" w:type="dxa"/>
          </w:tcPr>
          <w:p w14:paraId="59E220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30</w:t>
            </w:r>
          </w:p>
        </w:tc>
        <w:tc>
          <w:tcPr>
            <w:tcW w:w="1053" w:type="dxa"/>
          </w:tcPr>
          <w:p w14:paraId="53004D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31</w:t>
            </w:r>
          </w:p>
        </w:tc>
        <w:tc>
          <w:tcPr>
            <w:tcW w:w="1009" w:type="dxa"/>
          </w:tcPr>
          <w:p w14:paraId="4DA82C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мес.</w:t>
            </w:r>
          </w:p>
        </w:tc>
        <w:tc>
          <w:tcPr>
            <w:tcW w:w="1053" w:type="dxa"/>
          </w:tcPr>
          <w:p w14:paraId="47CEE0D3" w14:textId="77777777" w:rsidR="00537E5F" w:rsidRPr="00507A31" w:rsidRDefault="00537E5F" w:rsidP="00507A31">
            <w:pPr>
              <w:autoSpaceDE w:val="0"/>
              <w:autoSpaceDN w:val="0"/>
              <w:adjustRightInd w:val="0"/>
              <w:jc w:val="both"/>
              <w:rPr>
                <w:color w:val="000000" w:themeColor="text1"/>
                <w:sz w:val="16"/>
                <w:szCs w:val="16"/>
              </w:rPr>
            </w:pPr>
          </w:p>
        </w:tc>
      </w:tr>
    </w:tbl>
    <w:p w14:paraId="4E8986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 для истребителей (сухопутных и морских)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A61694" w:rsidRPr="00507A31" w14:paraId="6B6BA009" w14:textId="77777777">
        <w:tc>
          <w:tcPr>
            <w:tcW w:w="1349" w:type="dxa"/>
          </w:tcPr>
          <w:p w14:paraId="0CFDB0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М-32 12-ти цилиндров., расположенных V-образно, осн. тип вооружения</w:t>
            </w:r>
          </w:p>
        </w:tc>
        <w:tc>
          <w:tcPr>
            <w:tcW w:w="1053" w:type="dxa"/>
          </w:tcPr>
          <w:p w14:paraId="7B731B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09F214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600/720</w:t>
            </w:r>
          </w:p>
        </w:tc>
        <w:tc>
          <w:tcPr>
            <w:tcW w:w="1053" w:type="dxa"/>
          </w:tcPr>
          <w:p w14:paraId="26F907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2100/2400</w:t>
            </w:r>
          </w:p>
        </w:tc>
        <w:tc>
          <w:tcPr>
            <w:tcW w:w="1053" w:type="dxa"/>
          </w:tcPr>
          <w:p w14:paraId="3A9CCB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400/0,67</w:t>
            </w:r>
          </w:p>
        </w:tc>
        <w:tc>
          <w:tcPr>
            <w:tcW w:w="907" w:type="dxa"/>
          </w:tcPr>
          <w:p w14:paraId="2C4A61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964" w:type="dxa"/>
          </w:tcPr>
          <w:p w14:paraId="3C960A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053" w:type="dxa"/>
          </w:tcPr>
          <w:p w14:paraId="6316F5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30</w:t>
            </w:r>
          </w:p>
        </w:tc>
        <w:tc>
          <w:tcPr>
            <w:tcW w:w="1053" w:type="dxa"/>
          </w:tcPr>
          <w:p w14:paraId="02DDF0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31</w:t>
            </w:r>
          </w:p>
        </w:tc>
        <w:tc>
          <w:tcPr>
            <w:tcW w:w="1009" w:type="dxa"/>
          </w:tcPr>
          <w:p w14:paraId="175223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мес.</w:t>
            </w:r>
          </w:p>
        </w:tc>
        <w:tc>
          <w:tcPr>
            <w:tcW w:w="1053" w:type="dxa"/>
          </w:tcPr>
          <w:p w14:paraId="451901EC"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1F00380E" w14:textId="77777777">
        <w:tc>
          <w:tcPr>
            <w:tcW w:w="1349" w:type="dxa"/>
          </w:tcPr>
          <w:p w14:paraId="1AE769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М-38 9-ти цилиндров., звездообразн., с импеллером и редуктором, осн. тип вооружения</w:t>
            </w:r>
          </w:p>
        </w:tc>
        <w:tc>
          <w:tcPr>
            <w:tcW w:w="1053" w:type="dxa"/>
          </w:tcPr>
          <w:p w14:paraId="3ABF04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4D21C9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600/720</w:t>
            </w:r>
          </w:p>
        </w:tc>
        <w:tc>
          <w:tcPr>
            <w:tcW w:w="1053" w:type="dxa"/>
          </w:tcPr>
          <w:p w14:paraId="2436E1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2300/2450</w:t>
            </w:r>
          </w:p>
        </w:tc>
        <w:tc>
          <w:tcPr>
            <w:tcW w:w="1053" w:type="dxa"/>
          </w:tcPr>
          <w:p w14:paraId="6864C1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380/0,63</w:t>
            </w:r>
          </w:p>
        </w:tc>
        <w:tc>
          <w:tcPr>
            <w:tcW w:w="907" w:type="dxa"/>
          </w:tcPr>
          <w:p w14:paraId="7C72A9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964" w:type="dxa"/>
          </w:tcPr>
          <w:p w14:paraId="55E156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w:t>
            </w:r>
          </w:p>
        </w:tc>
        <w:tc>
          <w:tcPr>
            <w:tcW w:w="1053" w:type="dxa"/>
          </w:tcPr>
          <w:p w14:paraId="40C454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30</w:t>
            </w:r>
          </w:p>
        </w:tc>
        <w:tc>
          <w:tcPr>
            <w:tcW w:w="1053" w:type="dxa"/>
          </w:tcPr>
          <w:p w14:paraId="46E0C9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31</w:t>
            </w:r>
          </w:p>
        </w:tc>
        <w:tc>
          <w:tcPr>
            <w:tcW w:w="1009" w:type="dxa"/>
          </w:tcPr>
          <w:p w14:paraId="38ACAF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мес.</w:t>
            </w:r>
          </w:p>
        </w:tc>
        <w:tc>
          <w:tcPr>
            <w:tcW w:w="1053" w:type="dxa"/>
          </w:tcPr>
          <w:p w14:paraId="53DB4C05" w14:textId="77777777" w:rsidR="00537E5F" w:rsidRPr="00507A31" w:rsidRDefault="00537E5F" w:rsidP="00507A31">
            <w:pPr>
              <w:autoSpaceDE w:val="0"/>
              <w:autoSpaceDN w:val="0"/>
              <w:adjustRightInd w:val="0"/>
              <w:jc w:val="both"/>
              <w:rPr>
                <w:color w:val="000000" w:themeColor="text1"/>
                <w:sz w:val="16"/>
                <w:szCs w:val="16"/>
              </w:rPr>
            </w:pPr>
          </w:p>
        </w:tc>
      </w:tr>
    </w:tbl>
    <w:p w14:paraId="66733B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для разведчиков и легких бомбардировщиков (сухопутных и морских)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A61694" w:rsidRPr="00507A31" w14:paraId="6AB6AA9E" w14:textId="77777777">
        <w:tc>
          <w:tcPr>
            <w:tcW w:w="1349" w:type="dxa"/>
          </w:tcPr>
          <w:p w14:paraId="6DC0F2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 12-ти цилиндров., расположенных V-образно, с редуктором, осн. тип вооружения</w:t>
            </w:r>
          </w:p>
        </w:tc>
        <w:tc>
          <w:tcPr>
            <w:tcW w:w="1053" w:type="dxa"/>
          </w:tcPr>
          <w:p w14:paraId="1E1B8E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НАМИ</w:t>
            </w:r>
          </w:p>
        </w:tc>
        <w:tc>
          <w:tcPr>
            <w:tcW w:w="1053" w:type="dxa"/>
          </w:tcPr>
          <w:p w14:paraId="2231A0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750/900</w:t>
            </w:r>
          </w:p>
        </w:tc>
        <w:tc>
          <w:tcPr>
            <w:tcW w:w="1053" w:type="dxa"/>
          </w:tcPr>
          <w:p w14:paraId="64ED5E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0150CA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480/0,64</w:t>
            </w:r>
          </w:p>
        </w:tc>
        <w:tc>
          <w:tcPr>
            <w:tcW w:w="907" w:type="dxa"/>
          </w:tcPr>
          <w:p w14:paraId="137909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964" w:type="dxa"/>
          </w:tcPr>
          <w:p w14:paraId="2576FC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053" w:type="dxa"/>
          </w:tcPr>
          <w:p w14:paraId="60C5E2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30</w:t>
            </w:r>
          </w:p>
        </w:tc>
        <w:tc>
          <w:tcPr>
            <w:tcW w:w="1053" w:type="dxa"/>
          </w:tcPr>
          <w:p w14:paraId="228C21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31</w:t>
            </w:r>
          </w:p>
        </w:tc>
        <w:tc>
          <w:tcPr>
            <w:tcW w:w="1009" w:type="dxa"/>
          </w:tcPr>
          <w:p w14:paraId="74DE35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мес.</w:t>
            </w:r>
          </w:p>
        </w:tc>
        <w:tc>
          <w:tcPr>
            <w:tcW w:w="1053" w:type="dxa"/>
          </w:tcPr>
          <w:p w14:paraId="0BA597A1" w14:textId="77777777" w:rsidR="00537E5F" w:rsidRPr="00507A31" w:rsidRDefault="00537E5F" w:rsidP="00507A31">
            <w:pPr>
              <w:autoSpaceDE w:val="0"/>
              <w:autoSpaceDN w:val="0"/>
              <w:adjustRightInd w:val="0"/>
              <w:jc w:val="both"/>
              <w:rPr>
                <w:color w:val="000000" w:themeColor="text1"/>
                <w:sz w:val="16"/>
                <w:szCs w:val="16"/>
              </w:rPr>
            </w:pPr>
          </w:p>
        </w:tc>
      </w:tr>
    </w:tbl>
    <w:p w14:paraId="7CBC52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 для вспомогательной авиации (самолетов связи, учебных и т.д.)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A61694" w:rsidRPr="00507A31" w14:paraId="73C986ED" w14:textId="77777777">
        <w:tc>
          <w:tcPr>
            <w:tcW w:w="1349" w:type="dxa"/>
          </w:tcPr>
          <w:p w14:paraId="5FC54A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М-26 7-ми цилиндров. Звездообразн.</w:t>
            </w:r>
          </w:p>
        </w:tc>
        <w:tc>
          <w:tcPr>
            <w:tcW w:w="1053" w:type="dxa"/>
          </w:tcPr>
          <w:p w14:paraId="2EBA72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41D09B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300/350</w:t>
            </w:r>
          </w:p>
        </w:tc>
        <w:tc>
          <w:tcPr>
            <w:tcW w:w="1053" w:type="dxa"/>
          </w:tcPr>
          <w:p w14:paraId="7AF694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1800/-</w:t>
            </w:r>
          </w:p>
        </w:tc>
        <w:tc>
          <w:tcPr>
            <w:tcW w:w="1053" w:type="dxa"/>
          </w:tcPr>
          <w:p w14:paraId="60BE95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300/1,0</w:t>
            </w:r>
          </w:p>
        </w:tc>
        <w:tc>
          <w:tcPr>
            <w:tcW w:w="907" w:type="dxa"/>
          </w:tcPr>
          <w:p w14:paraId="0A7E6A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2EC868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w:t>
            </w:r>
          </w:p>
        </w:tc>
        <w:tc>
          <w:tcPr>
            <w:tcW w:w="1053" w:type="dxa"/>
          </w:tcPr>
          <w:p w14:paraId="5959D7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66BB05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30</w:t>
            </w:r>
          </w:p>
        </w:tc>
        <w:tc>
          <w:tcPr>
            <w:tcW w:w="1009" w:type="dxa"/>
          </w:tcPr>
          <w:p w14:paraId="2FD6FB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657926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Мотор на зав. исп. </w:t>
            </w:r>
          </w:p>
        </w:tc>
      </w:tr>
      <w:tr w:rsidR="00A61694" w:rsidRPr="00507A31" w14:paraId="11E4BAF4" w14:textId="77777777">
        <w:tc>
          <w:tcPr>
            <w:tcW w:w="1349" w:type="dxa"/>
          </w:tcPr>
          <w:p w14:paraId="154A34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М-46</w:t>
            </w:r>
          </w:p>
        </w:tc>
        <w:tc>
          <w:tcPr>
            <w:tcW w:w="1053" w:type="dxa"/>
          </w:tcPr>
          <w:p w14:paraId="5AD761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НАМИ</w:t>
            </w:r>
          </w:p>
        </w:tc>
        <w:tc>
          <w:tcPr>
            <w:tcW w:w="1053" w:type="dxa"/>
          </w:tcPr>
          <w:p w14:paraId="13BF8A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w:t>
            </w:r>
          </w:p>
        </w:tc>
        <w:tc>
          <w:tcPr>
            <w:tcW w:w="1053" w:type="dxa"/>
          </w:tcPr>
          <w:p w14:paraId="3639B5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5F001D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2281B2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649E46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w:t>
            </w:r>
          </w:p>
        </w:tc>
        <w:tc>
          <w:tcPr>
            <w:tcW w:w="1053" w:type="dxa"/>
          </w:tcPr>
          <w:p w14:paraId="27115B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30</w:t>
            </w:r>
          </w:p>
        </w:tc>
        <w:tc>
          <w:tcPr>
            <w:tcW w:w="1053" w:type="dxa"/>
          </w:tcPr>
          <w:p w14:paraId="5FE3FE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30</w:t>
            </w:r>
          </w:p>
        </w:tc>
        <w:tc>
          <w:tcPr>
            <w:tcW w:w="1009" w:type="dxa"/>
          </w:tcPr>
          <w:p w14:paraId="489AF7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мес.</w:t>
            </w:r>
          </w:p>
        </w:tc>
        <w:tc>
          <w:tcPr>
            <w:tcW w:w="1053" w:type="dxa"/>
          </w:tcPr>
          <w:p w14:paraId="7C277C9E" w14:textId="77777777" w:rsidR="00537E5F" w:rsidRPr="00507A31" w:rsidRDefault="00537E5F" w:rsidP="00507A31">
            <w:pPr>
              <w:autoSpaceDE w:val="0"/>
              <w:autoSpaceDN w:val="0"/>
              <w:adjustRightInd w:val="0"/>
              <w:jc w:val="both"/>
              <w:rPr>
                <w:color w:val="000000" w:themeColor="text1"/>
                <w:sz w:val="16"/>
                <w:szCs w:val="16"/>
              </w:rPr>
            </w:pPr>
          </w:p>
        </w:tc>
      </w:tr>
    </w:tbl>
    <w:p w14:paraId="0EE4D8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Экспериментальные моторы и агрегаты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A61694" w:rsidRPr="00507A31" w14:paraId="483FAB57" w14:textId="77777777">
        <w:tc>
          <w:tcPr>
            <w:tcW w:w="1349" w:type="dxa"/>
          </w:tcPr>
          <w:p w14:paraId="7C4D4A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М-43</w:t>
            </w:r>
          </w:p>
        </w:tc>
        <w:tc>
          <w:tcPr>
            <w:tcW w:w="1053" w:type="dxa"/>
          </w:tcPr>
          <w:p w14:paraId="3C3739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НАМИ</w:t>
            </w:r>
          </w:p>
        </w:tc>
        <w:tc>
          <w:tcPr>
            <w:tcW w:w="1053" w:type="dxa"/>
          </w:tcPr>
          <w:p w14:paraId="2D9840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750/1000</w:t>
            </w:r>
          </w:p>
        </w:tc>
        <w:tc>
          <w:tcPr>
            <w:tcW w:w="1053" w:type="dxa"/>
          </w:tcPr>
          <w:p w14:paraId="44E94C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451A77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320/0,43</w:t>
            </w:r>
          </w:p>
        </w:tc>
        <w:tc>
          <w:tcPr>
            <w:tcW w:w="907" w:type="dxa"/>
          </w:tcPr>
          <w:p w14:paraId="237526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4000</w:t>
            </w:r>
          </w:p>
        </w:tc>
        <w:tc>
          <w:tcPr>
            <w:tcW w:w="964" w:type="dxa"/>
          </w:tcPr>
          <w:p w14:paraId="60401A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053" w:type="dxa"/>
          </w:tcPr>
          <w:p w14:paraId="1655EE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31</w:t>
            </w:r>
          </w:p>
        </w:tc>
        <w:tc>
          <w:tcPr>
            <w:tcW w:w="1053" w:type="dxa"/>
          </w:tcPr>
          <w:p w14:paraId="799D67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32</w:t>
            </w:r>
          </w:p>
        </w:tc>
        <w:tc>
          <w:tcPr>
            <w:tcW w:w="1009" w:type="dxa"/>
          </w:tcPr>
          <w:p w14:paraId="26A1B2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мес.</w:t>
            </w:r>
          </w:p>
        </w:tc>
        <w:tc>
          <w:tcPr>
            <w:tcW w:w="1053" w:type="dxa"/>
          </w:tcPr>
          <w:p w14:paraId="24400D01"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46D2DFA6" w14:textId="77777777">
        <w:tc>
          <w:tcPr>
            <w:tcW w:w="1349" w:type="dxa"/>
          </w:tcPr>
          <w:p w14:paraId="4D9D09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М-42</w:t>
            </w:r>
          </w:p>
        </w:tc>
        <w:tc>
          <w:tcPr>
            <w:tcW w:w="1053" w:type="dxa"/>
          </w:tcPr>
          <w:p w14:paraId="1C81D4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3BD284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550/900</w:t>
            </w:r>
          </w:p>
        </w:tc>
        <w:tc>
          <w:tcPr>
            <w:tcW w:w="1053" w:type="dxa"/>
          </w:tcPr>
          <w:p w14:paraId="1622CA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4FCE40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290/0,53</w:t>
            </w:r>
          </w:p>
        </w:tc>
        <w:tc>
          <w:tcPr>
            <w:tcW w:w="907" w:type="dxa"/>
          </w:tcPr>
          <w:p w14:paraId="368B81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964" w:type="dxa"/>
          </w:tcPr>
          <w:p w14:paraId="20FD73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w:t>
            </w:r>
          </w:p>
        </w:tc>
        <w:tc>
          <w:tcPr>
            <w:tcW w:w="1053" w:type="dxa"/>
          </w:tcPr>
          <w:p w14:paraId="36540D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31</w:t>
            </w:r>
          </w:p>
        </w:tc>
        <w:tc>
          <w:tcPr>
            <w:tcW w:w="1053" w:type="dxa"/>
          </w:tcPr>
          <w:p w14:paraId="5197DF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32</w:t>
            </w:r>
          </w:p>
        </w:tc>
        <w:tc>
          <w:tcPr>
            <w:tcW w:w="1009" w:type="dxa"/>
          </w:tcPr>
          <w:p w14:paraId="4A574B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мес.</w:t>
            </w:r>
          </w:p>
        </w:tc>
        <w:tc>
          <w:tcPr>
            <w:tcW w:w="1053" w:type="dxa"/>
          </w:tcPr>
          <w:p w14:paraId="11E630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 НАМИ</w:t>
            </w:r>
          </w:p>
        </w:tc>
      </w:tr>
      <w:tr w:rsidR="00A61694" w:rsidRPr="00507A31" w14:paraId="57A96730" w14:textId="77777777">
        <w:tc>
          <w:tcPr>
            <w:tcW w:w="1349" w:type="dxa"/>
          </w:tcPr>
          <w:p w14:paraId="22DAD1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ЭН-1 нефтяной 1 цилиндров.</w:t>
            </w:r>
          </w:p>
        </w:tc>
        <w:tc>
          <w:tcPr>
            <w:tcW w:w="1053" w:type="dxa"/>
          </w:tcPr>
          <w:p w14:paraId="3F93A3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НАМИ</w:t>
            </w:r>
          </w:p>
        </w:tc>
        <w:tc>
          <w:tcPr>
            <w:tcW w:w="1053" w:type="dxa"/>
          </w:tcPr>
          <w:p w14:paraId="1DFC66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10-20/-</w:t>
            </w:r>
          </w:p>
        </w:tc>
        <w:tc>
          <w:tcPr>
            <w:tcW w:w="1053" w:type="dxa"/>
          </w:tcPr>
          <w:p w14:paraId="77022B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1700/-</w:t>
            </w:r>
          </w:p>
        </w:tc>
        <w:tc>
          <w:tcPr>
            <w:tcW w:w="1053" w:type="dxa"/>
          </w:tcPr>
          <w:p w14:paraId="294265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732BC1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70A919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w:t>
            </w:r>
          </w:p>
        </w:tc>
        <w:tc>
          <w:tcPr>
            <w:tcW w:w="1053" w:type="dxa"/>
          </w:tcPr>
          <w:p w14:paraId="225033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79E307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30</w:t>
            </w:r>
          </w:p>
        </w:tc>
        <w:tc>
          <w:tcPr>
            <w:tcW w:w="1009" w:type="dxa"/>
          </w:tcPr>
          <w:p w14:paraId="1597D5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7CE426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в пр-ве</w:t>
            </w:r>
          </w:p>
        </w:tc>
      </w:tr>
      <w:tr w:rsidR="00A61694" w:rsidRPr="00507A31" w14:paraId="44FFFF7C" w14:textId="77777777">
        <w:tc>
          <w:tcPr>
            <w:tcW w:w="1349" w:type="dxa"/>
          </w:tcPr>
          <w:p w14:paraId="18E891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ЭН-1 нефтяной 9 цилиндров.</w:t>
            </w:r>
          </w:p>
        </w:tc>
        <w:tc>
          <w:tcPr>
            <w:tcW w:w="1053" w:type="dxa"/>
          </w:tcPr>
          <w:p w14:paraId="2D3023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НАМИ</w:t>
            </w:r>
          </w:p>
        </w:tc>
        <w:tc>
          <w:tcPr>
            <w:tcW w:w="1053" w:type="dxa"/>
          </w:tcPr>
          <w:p w14:paraId="2ADD0D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w:t>
            </w:r>
          </w:p>
        </w:tc>
        <w:tc>
          <w:tcPr>
            <w:tcW w:w="1053" w:type="dxa"/>
          </w:tcPr>
          <w:p w14:paraId="7D574D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1600-1800/-</w:t>
            </w:r>
          </w:p>
        </w:tc>
        <w:tc>
          <w:tcPr>
            <w:tcW w:w="1053" w:type="dxa"/>
          </w:tcPr>
          <w:p w14:paraId="194907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240/1,2</w:t>
            </w:r>
          </w:p>
        </w:tc>
        <w:tc>
          <w:tcPr>
            <w:tcW w:w="907" w:type="dxa"/>
          </w:tcPr>
          <w:p w14:paraId="21AFC6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6F5A5D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w:t>
            </w:r>
          </w:p>
        </w:tc>
        <w:tc>
          <w:tcPr>
            <w:tcW w:w="1053" w:type="dxa"/>
          </w:tcPr>
          <w:p w14:paraId="78D0C7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30</w:t>
            </w:r>
          </w:p>
        </w:tc>
        <w:tc>
          <w:tcPr>
            <w:tcW w:w="1053" w:type="dxa"/>
          </w:tcPr>
          <w:p w14:paraId="7C8EB4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31</w:t>
            </w:r>
          </w:p>
        </w:tc>
        <w:tc>
          <w:tcPr>
            <w:tcW w:w="1009" w:type="dxa"/>
          </w:tcPr>
          <w:p w14:paraId="09C0E3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мес.</w:t>
            </w:r>
          </w:p>
        </w:tc>
        <w:tc>
          <w:tcPr>
            <w:tcW w:w="1053" w:type="dxa"/>
          </w:tcPr>
          <w:p w14:paraId="47E8B1F6"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36E09E5" w14:textId="77777777">
        <w:tc>
          <w:tcPr>
            <w:tcW w:w="1349" w:type="dxa"/>
          </w:tcPr>
          <w:p w14:paraId="2BF91F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ЭН-1 нефтяной 9 цилиндров.</w:t>
            </w:r>
          </w:p>
        </w:tc>
        <w:tc>
          <w:tcPr>
            <w:tcW w:w="1053" w:type="dxa"/>
          </w:tcPr>
          <w:p w14:paraId="0F29EC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НАМИ</w:t>
            </w:r>
          </w:p>
        </w:tc>
        <w:tc>
          <w:tcPr>
            <w:tcW w:w="1053" w:type="dxa"/>
          </w:tcPr>
          <w:p w14:paraId="565DFB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w:t>
            </w:r>
          </w:p>
        </w:tc>
        <w:tc>
          <w:tcPr>
            <w:tcW w:w="1053" w:type="dxa"/>
          </w:tcPr>
          <w:p w14:paraId="6E9410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1800/-</w:t>
            </w:r>
          </w:p>
          <w:p w14:paraId="41524EF7"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0DAC37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425-500/ 0,85-1,0</w:t>
            </w:r>
          </w:p>
        </w:tc>
        <w:tc>
          <w:tcPr>
            <w:tcW w:w="907" w:type="dxa"/>
          </w:tcPr>
          <w:p w14:paraId="22E432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2770FE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w:t>
            </w:r>
          </w:p>
        </w:tc>
        <w:tc>
          <w:tcPr>
            <w:tcW w:w="1053" w:type="dxa"/>
          </w:tcPr>
          <w:p w14:paraId="34DBD8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31</w:t>
            </w:r>
          </w:p>
        </w:tc>
        <w:tc>
          <w:tcPr>
            <w:tcW w:w="1053" w:type="dxa"/>
          </w:tcPr>
          <w:p w14:paraId="711943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32</w:t>
            </w:r>
          </w:p>
        </w:tc>
        <w:tc>
          <w:tcPr>
            <w:tcW w:w="1009" w:type="dxa"/>
          </w:tcPr>
          <w:p w14:paraId="71418D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мес.</w:t>
            </w:r>
          </w:p>
        </w:tc>
        <w:tc>
          <w:tcPr>
            <w:tcW w:w="1053" w:type="dxa"/>
          </w:tcPr>
          <w:p w14:paraId="7AEEBA4D"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3F8232A" w14:textId="77777777">
        <w:tc>
          <w:tcPr>
            <w:tcW w:w="1349" w:type="dxa"/>
          </w:tcPr>
          <w:p w14:paraId="1F7E5B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ЭН-2 нефтяной 2 цилиндров.</w:t>
            </w:r>
          </w:p>
        </w:tc>
        <w:tc>
          <w:tcPr>
            <w:tcW w:w="1053" w:type="dxa"/>
          </w:tcPr>
          <w:p w14:paraId="4D8ED7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НАМИ</w:t>
            </w:r>
          </w:p>
        </w:tc>
        <w:tc>
          <w:tcPr>
            <w:tcW w:w="1053" w:type="dxa"/>
          </w:tcPr>
          <w:p w14:paraId="7BF7E8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w:t>
            </w:r>
          </w:p>
        </w:tc>
        <w:tc>
          <w:tcPr>
            <w:tcW w:w="1053" w:type="dxa"/>
          </w:tcPr>
          <w:p w14:paraId="70AE74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1600-1800/-</w:t>
            </w:r>
          </w:p>
        </w:tc>
        <w:tc>
          <w:tcPr>
            <w:tcW w:w="1053" w:type="dxa"/>
          </w:tcPr>
          <w:p w14:paraId="6FBC28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207875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48512E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053" w:type="dxa"/>
          </w:tcPr>
          <w:p w14:paraId="6D8364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30</w:t>
            </w:r>
          </w:p>
        </w:tc>
        <w:tc>
          <w:tcPr>
            <w:tcW w:w="1053" w:type="dxa"/>
          </w:tcPr>
          <w:p w14:paraId="64BC8A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31</w:t>
            </w:r>
          </w:p>
        </w:tc>
        <w:tc>
          <w:tcPr>
            <w:tcW w:w="1009" w:type="dxa"/>
          </w:tcPr>
          <w:p w14:paraId="301BAE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мес.</w:t>
            </w:r>
          </w:p>
        </w:tc>
        <w:tc>
          <w:tcPr>
            <w:tcW w:w="1053" w:type="dxa"/>
          </w:tcPr>
          <w:p w14:paraId="31123E98"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4737D07B" w14:textId="77777777">
        <w:tc>
          <w:tcPr>
            <w:tcW w:w="1349" w:type="dxa"/>
          </w:tcPr>
          <w:p w14:paraId="0169C2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ЭН-2 нефтяной 12 цилиндров.</w:t>
            </w:r>
          </w:p>
        </w:tc>
        <w:tc>
          <w:tcPr>
            <w:tcW w:w="1053" w:type="dxa"/>
          </w:tcPr>
          <w:p w14:paraId="5164C8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НАМИ</w:t>
            </w:r>
          </w:p>
        </w:tc>
        <w:tc>
          <w:tcPr>
            <w:tcW w:w="1053" w:type="dxa"/>
          </w:tcPr>
          <w:p w14:paraId="22666C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w:t>
            </w:r>
          </w:p>
        </w:tc>
        <w:tc>
          <w:tcPr>
            <w:tcW w:w="1053" w:type="dxa"/>
          </w:tcPr>
          <w:p w14:paraId="4E5787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1600-1800/-</w:t>
            </w:r>
          </w:p>
        </w:tc>
        <w:tc>
          <w:tcPr>
            <w:tcW w:w="1053" w:type="dxa"/>
          </w:tcPr>
          <w:p w14:paraId="0EEB56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600-660/ 1,0-1,1</w:t>
            </w:r>
          </w:p>
        </w:tc>
        <w:tc>
          <w:tcPr>
            <w:tcW w:w="907" w:type="dxa"/>
          </w:tcPr>
          <w:p w14:paraId="757449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0945D1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053" w:type="dxa"/>
          </w:tcPr>
          <w:p w14:paraId="568906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31</w:t>
            </w:r>
          </w:p>
        </w:tc>
        <w:tc>
          <w:tcPr>
            <w:tcW w:w="1053" w:type="dxa"/>
          </w:tcPr>
          <w:p w14:paraId="61DAA2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32</w:t>
            </w:r>
          </w:p>
        </w:tc>
        <w:tc>
          <w:tcPr>
            <w:tcW w:w="1009" w:type="dxa"/>
          </w:tcPr>
          <w:p w14:paraId="1BA5BA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мес.</w:t>
            </w:r>
          </w:p>
        </w:tc>
        <w:tc>
          <w:tcPr>
            <w:tcW w:w="1053" w:type="dxa"/>
          </w:tcPr>
          <w:p w14:paraId="3FE4CA75"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36595BE6" w14:textId="77777777">
        <w:tc>
          <w:tcPr>
            <w:tcW w:w="1349" w:type="dxa"/>
          </w:tcPr>
          <w:p w14:paraId="4345E0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Киреева 12 цилиндров. V образн.</w:t>
            </w:r>
          </w:p>
        </w:tc>
        <w:tc>
          <w:tcPr>
            <w:tcW w:w="1053" w:type="dxa"/>
          </w:tcPr>
          <w:p w14:paraId="6AC9B0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Большевик</w:t>
            </w:r>
          </w:p>
        </w:tc>
        <w:tc>
          <w:tcPr>
            <w:tcW w:w="1053" w:type="dxa"/>
          </w:tcPr>
          <w:p w14:paraId="567B92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750-1000/-</w:t>
            </w:r>
          </w:p>
        </w:tc>
        <w:tc>
          <w:tcPr>
            <w:tcW w:w="1053" w:type="dxa"/>
          </w:tcPr>
          <w:p w14:paraId="5DA34C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2700-3500/-</w:t>
            </w:r>
          </w:p>
        </w:tc>
        <w:tc>
          <w:tcPr>
            <w:tcW w:w="1053" w:type="dxa"/>
          </w:tcPr>
          <w:p w14:paraId="5CB971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560/0,75-0,56</w:t>
            </w:r>
          </w:p>
        </w:tc>
        <w:tc>
          <w:tcPr>
            <w:tcW w:w="907" w:type="dxa"/>
          </w:tcPr>
          <w:p w14:paraId="513321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319E7E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053" w:type="dxa"/>
          </w:tcPr>
          <w:p w14:paraId="286A99C2"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1C995E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30</w:t>
            </w:r>
          </w:p>
        </w:tc>
        <w:tc>
          <w:tcPr>
            <w:tcW w:w="1009" w:type="dxa"/>
          </w:tcPr>
          <w:p w14:paraId="42CA2E3C"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615C8B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в пр-ве</w:t>
            </w:r>
          </w:p>
        </w:tc>
      </w:tr>
      <w:tr w:rsidR="00A61694" w:rsidRPr="00507A31" w14:paraId="0D2761E5" w14:textId="77777777">
        <w:tc>
          <w:tcPr>
            <w:tcW w:w="1349" w:type="dxa"/>
          </w:tcPr>
          <w:p w14:paraId="1D2746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Газовая турбина</w:t>
            </w:r>
          </w:p>
        </w:tc>
        <w:tc>
          <w:tcPr>
            <w:tcW w:w="1053" w:type="dxa"/>
          </w:tcPr>
          <w:p w14:paraId="06BEA1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МВТУ</w:t>
            </w:r>
          </w:p>
        </w:tc>
        <w:tc>
          <w:tcPr>
            <w:tcW w:w="1053" w:type="dxa"/>
          </w:tcPr>
          <w:p w14:paraId="5A4671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5B76AE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731D08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3BD728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482C8C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700E62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30</w:t>
            </w:r>
          </w:p>
        </w:tc>
        <w:tc>
          <w:tcPr>
            <w:tcW w:w="1053" w:type="dxa"/>
          </w:tcPr>
          <w:p w14:paraId="72E1BE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32</w:t>
            </w:r>
          </w:p>
        </w:tc>
        <w:tc>
          <w:tcPr>
            <w:tcW w:w="1009" w:type="dxa"/>
          </w:tcPr>
          <w:p w14:paraId="5951EC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мес.</w:t>
            </w:r>
          </w:p>
        </w:tc>
        <w:tc>
          <w:tcPr>
            <w:tcW w:w="1053" w:type="dxa"/>
          </w:tcPr>
          <w:p w14:paraId="36E513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Вед. пред. исследов. </w:t>
            </w:r>
          </w:p>
        </w:tc>
      </w:tr>
      <w:tr w:rsidR="00A61694" w:rsidRPr="00507A31" w14:paraId="19B4E749" w14:textId="77777777">
        <w:tc>
          <w:tcPr>
            <w:tcW w:w="1349" w:type="dxa"/>
          </w:tcPr>
          <w:p w14:paraId="3AE336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Турбокомпрес. Для моторов 1000 НР</w:t>
            </w:r>
          </w:p>
        </w:tc>
        <w:tc>
          <w:tcPr>
            <w:tcW w:w="1053" w:type="dxa"/>
          </w:tcPr>
          <w:p w14:paraId="39A062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58F7A7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2FF3DC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396729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45AF14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68BACA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60EA4F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30</w:t>
            </w:r>
          </w:p>
        </w:tc>
        <w:tc>
          <w:tcPr>
            <w:tcW w:w="1053" w:type="dxa"/>
          </w:tcPr>
          <w:p w14:paraId="17F01C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30</w:t>
            </w:r>
          </w:p>
        </w:tc>
        <w:tc>
          <w:tcPr>
            <w:tcW w:w="1009" w:type="dxa"/>
          </w:tcPr>
          <w:p w14:paraId="7172EB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мес.</w:t>
            </w:r>
          </w:p>
        </w:tc>
        <w:tc>
          <w:tcPr>
            <w:tcW w:w="1053" w:type="dxa"/>
          </w:tcPr>
          <w:p w14:paraId="60D30007" w14:textId="77777777" w:rsidR="00537E5F" w:rsidRPr="00507A31" w:rsidRDefault="00537E5F" w:rsidP="00507A31">
            <w:pPr>
              <w:autoSpaceDE w:val="0"/>
              <w:autoSpaceDN w:val="0"/>
              <w:adjustRightInd w:val="0"/>
              <w:jc w:val="both"/>
              <w:rPr>
                <w:color w:val="000000" w:themeColor="text1"/>
                <w:sz w:val="16"/>
                <w:szCs w:val="16"/>
              </w:rPr>
            </w:pPr>
          </w:p>
        </w:tc>
      </w:tr>
      <w:tr w:rsidR="00A61694" w:rsidRPr="00507A31" w14:paraId="2870D4D0" w14:textId="77777777">
        <w:tc>
          <w:tcPr>
            <w:tcW w:w="1349" w:type="dxa"/>
          </w:tcPr>
          <w:p w14:paraId="4C198D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Реактивный двигатель</w:t>
            </w:r>
          </w:p>
        </w:tc>
        <w:tc>
          <w:tcPr>
            <w:tcW w:w="1053" w:type="dxa"/>
          </w:tcPr>
          <w:p w14:paraId="0B5EC0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4D0C0D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627FEB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606C58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379029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309B6C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559F1DA1"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544098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32</w:t>
            </w:r>
          </w:p>
        </w:tc>
        <w:tc>
          <w:tcPr>
            <w:tcW w:w="1009" w:type="dxa"/>
          </w:tcPr>
          <w:p w14:paraId="4D1CFB1B"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6BDA15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w:t>
            </w:r>
          </w:p>
        </w:tc>
      </w:tr>
      <w:tr w:rsidR="00A61694" w:rsidRPr="00507A31" w14:paraId="7EDE3F8B" w14:textId="77777777">
        <w:tc>
          <w:tcPr>
            <w:tcW w:w="1349" w:type="dxa"/>
          </w:tcPr>
          <w:p w14:paraId="0BA10A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Винт с перемен. шагом </w:t>
            </w:r>
          </w:p>
        </w:tc>
        <w:tc>
          <w:tcPr>
            <w:tcW w:w="1053" w:type="dxa"/>
          </w:tcPr>
          <w:p w14:paraId="3C1504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0D5BF0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1B23A5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417F85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42670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61ACA5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3748D6EF"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006A5B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30</w:t>
            </w:r>
          </w:p>
        </w:tc>
        <w:tc>
          <w:tcPr>
            <w:tcW w:w="1009" w:type="dxa"/>
          </w:tcPr>
          <w:p w14:paraId="0B4FA9AD"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0A2D17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постр.</w:t>
            </w:r>
          </w:p>
        </w:tc>
      </w:tr>
    </w:tbl>
    <w:p w14:paraId="2F38B0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p w14:paraId="2CCB3CC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Моторы 30, 33 и 36, строящиеся по постановлению РЗ СТО должны быть в соответствии с названным постановлением закончены.</w:t>
      </w:r>
    </w:p>
    <w:p w14:paraId="0BE8AD37"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Указанные моторы (М30, М36, М33), а также моторы экспериментального назначения строятся таким образом, что их исполнение не отражается на сроках исполнения плана опытного строительства по авиамоторам.</w:t>
      </w:r>
    </w:p>
    <w:p w14:paraId="7849CC8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Специальные агрегаты, обеспечивающие основные типы вооружения (винт с переменным шагом, турбокомпрессор) строятся на равных с ним основаниях (3625, 14-15).</w:t>
      </w:r>
    </w:p>
    <w:p w14:paraId="4239388E" w14:textId="77777777" w:rsidR="00537E5F" w:rsidRPr="00507A31" w:rsidRDefault="00537E5F" w:rsidP="00507A31">
      <w:pPr>
        <w:autoSpaceDE w:val="0"/>
        <w:autoSpaceDN w:val="0"/>
        <w:adjustRightInd w:val="0"/>
        <w:jc w:val="both"/>
        <w:rPr>
          <w:color w:val="000000" w:themeColor="text1"/>
          <w:sz w:val="16"/>
          <w:szCs w:val="16"/>
        </w:rPr>
      </w:pPr>
    </w:p>
    <w:p w14:paraId="283B78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года председатель НТК УВВС Дубенский и председатель 2 секции НТК Петровский подписали:</w:t>
      </w:r>
    </w:p>
    <w:p w14:paraId="0C971D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опытного строительства сухопутных самолетов на 1929/30-32/33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A61694" w:rsidRPr="00507A31" w14:paraId="727AD92E" w14:textId="77777777">
        <w:tc>
          <w:tcPr>
            <w:tcW w:w="1633" w:type="dxa"/>
          </w:tcPr>
          <w:p w14:paraId="1C4C0D55" w14:textId="77777777" w:rsidR="00537E5F" w:rsidRPr="00507A31" w:rsidRDefault="00537E5F" w:rsidP="00507A31">
            <w:pPr>
              <w:autoSpaceDE w:val="0"/>
              <w:autoSpaceDN w:val="0"/>
              <w:adjustRightInd w:val="0"/>
              <w:jc w:val="both"/>
              <w:rPr>
                <w:color w:val="000000" w:themeColor="text1"/>
                <w:sz w:val="16"/>
                <w:szCs w:val="16"/>
              </w:rPr>
            </w:pPr>
          </w:p>
        </w:tc>
        <w:tc>
          <w:tcPr>
            <w:tcW w:w="737" w:type="dxa"/>
          </w:tcPr>
          <w:p w14:paraId="2CA841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Кол-во летных экз.</w:t>
            </w:r>
          </w:p>
        </w:tc>
        <w:tc>
          <w:tcPr>
            <w:tcW w:w="1053" w:type="dxa"/>
          </w:tcPr>
          <w:p w14:paraId="4DD690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1053" w:type="dxa"/>
          </w:tcPr>
          <w:p w14:paraId="3B7B53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Полезная нагрузка (без горючего и масла) в кг</w:t>
            </w:r>
          </w:p>
        </w:tc>
        <w:tc>
          <w:tcPr>
            <w:tcW w:w="1053" w:type="dxa"/>
          </w:tcPr>
          <w:p w14:paraId="054572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Радиус действия в км или продолжит. полета </w:t>
            </w:r>
          </w:p>
        </w:tc>
        <w:tc>
          <w:tcPr>
            <w:tcW w:w="907" w:type="dxa"/>
          </w:tcPr>
          <w:p w14:paraId="544C5E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Максим. скорость на высоте V/Н</w:t>
            </w:r>
          </w:p>
        </w:tc>
        <w:tc>
          <w:tcPr>
            <w:tcW w:w="907" w:type="dxa"/>
          </w:tcPr>
          <w:p w14:paraId="10E3EB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подъема/ высота</w:t>
            </w:r>
          </w:p>
        </w:tc>
        <w:tc>
          <w:tcPr>
            <w:tcW w:w="1053" w:type="dxa"/>
          </w:tcPr>
          <w:p w14:paraId="12D1F3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Потолок практич.</w:t>
            </w:r>
          </w:p>
        </w:tc>
        <w:tc>
          <w:tcPr>
            <w:tcW w:w="1053" w:type="dxa"/>
          </w:tcPr>
          <w:p w14:paraId="1B67C7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w:t>
            </w:r>
          </w:p>
        </w:tc>
        <w:tc>
          <w:tcPr>
            <w:tcW w:w="1053" w:type="dxa"/>
          </w:tcPr>
          <w:p w14:paraId="775D1C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Начало проектир.</w:t>
            </w:r>
          </w:p>
        </w:tc>
        <w:tc>
          <w:tcPr>
            <w:tcW w:w="1053" w:type="dxa"/>
          </w:tcPr>
          <w:p w14:paraId="4A1DC0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 на госиспыт.</w:t>
            </w:r>
          </w:p>
        </w:tc>
      </w:tr>
    </w:tbl>
    <w:p w14:paraId="6DEAAF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Тяжелые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A61694" w:rsidRPr="00507A31" w14:paraId="44CB2F7F" w14:textId="77777777">
        <w:tc>
          <w:tcPr>
            <w:tcW w:w="1633" w:type="dxa"/>
          </w:tcPr>
          <w:p w14:paraId="5F6CC9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ТБ-2 деревянной конструкции, под 2 мотора БМВVI Е=6 общ. мощностью 1000 НР</w:t>
            </w:r>
          </w:p>
        </w:tc>
        <w:tc>
          <w:tcPr>
            <w:tcW w:w="737" w:type="dxa"/>
          </w:tcPr>
          <w:p w14:paraId="6B6903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36C9B5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735263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1500</w:t>
            </w:r>
          </w:p>
        </w:tc>
        <w:tc>
          <w:tcPr>
            <w:tcW w:w="1053" w:type="dxa"/>
          </w:tcPr>
          <w:p w14:paraId="3AB0E6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w:t>
            </w:r>
          </w:p>
        </w:tc>
        <w:tc>
          <w:tcPr>
            <w:tcW w:w="907" w:type="dxa"/>
          </w:tcPr>
          <w:p w14:paraId="2F91AC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195/3000</w:t>
            </w:r>
          </w:p>
        </w:tc>
        <w:tc>
          <w:tcPr>
            <w:tcW w:w="907" w:type="dxa"/>
          </w:tcPr>
          <w:p w14:paraId="0299F0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20'/3000</w:t>
            </w:r>
          </w:p>
        </w:tc>
        <w:tc>
          <w:tcPr>
            <w:tcW w:w="1053" w:type="dxa"/>
          </w:tcPr>
          <w:p w14:paraId="66A059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4500-5000</w:t>
            </w:r>
          </w:p>
        </w:tc>
        <w:tc>
          <w:tcPr>
            <w:tcW w:w="1053" w:type="dxa"/>
          </w:tcPr>
          <w:p w14:paraId="30A96F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 пулем.</w:t>
            </w:r>
          </w:p>
          <w:p w14:paraId="6F2530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 – 800 кг</w:t>
            </w:r>
          </w:p>
        </w:tc>
        <w:tc>
          <w:tcPr>
            <w:tcW w:w="1053" w:type="dxa"/>
          </w:tcPr>
          <w:p w14:paraId="00CDC7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71682E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30</w:t>
            </w:r>
          </w:p>
        </w:tc>
      </w:tr>
      <w:tr w:rsidR="00E371BA" w:rsidRPr="00507A31" w14:paraId="7F7DEA76" w14:textId="77777777">
        <w:tc>
          <w:tcPr>
            <w:tcW w:w="1633" w:type="dxa"/>
          </w:tcPr>
          <w:p w14:paraId="41E9FD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ТБ-3 металлической конструкции, под 4 мотора Кертис общей мощности 2400 НР</w:t>
            </w:r>
          </w:p>
        </w:tc>
        <w:tc>
          <w:tcPr>
            <w:tcW w:w="737" w:type="dxa"/>
          </w:tcPr>
          <w:p w14:paraId="48A41E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5B29F7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73FACA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3360</w:t>
            </w:r>
          </w:p>
        </w:tc>
        <w:tc>
          <w:tcPr>
            <w:tcW w:w="1053" w:type="dxa"/>
          </w:tcPr>
          <w:p w14:paraId="77426F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w:t>
            </w:r>
          </w:p>
        </w:tc>
        <w:tc>
          <w:tcPr>
            <w:tcW w:w="907" w:type="dxa"/>
          </w:tcPr>
          <w:p w14:paraId="4AB818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190/2000</w:t>
            </w:r>
          </w:p>
        </w:tc>
        <w:tc>
          <w:tcPr>
            <w:tcW w:w="907" w:type="dxa"/>
          </w:tcPr>
          <w:p w14:paraId="138685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20/3000</w:t>
            </w:r>
          </w:p>
        </w:tc>
        <w:tc>
          <w:tcPr>
            <w:tcW w:w="1053" w:type="dxa"/>
          </w:tcPr>
          <w:p w14:paraId="2AC003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4000-4500</w:t>
            </w:r>
          </w:p>
        </w:tc>
        <w:tc>
          <w:tcPr>
            <w:tcW w:w="1053" w:type="dxa"/>
          </w:tcPr>
          <w:p w14:paraId="23483D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пулем.</w:t>
            </w:r>
          </w:p>
          <w:p w14:paraId="256C66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 – 2000 кг с перегр. 4000 кг</w:t>
            </w:r>
          </w:p>
        </w:tc>
        <w:tc>
          <w:tcPr>
            <w:tcW w:w="1053" w:type="dxa"/>
          </w:tcPr>
          <w:p w14:paraId="4AA96C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60AD9D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30</w:t>
            </w:r>
          </w:p>
        </w:tc>
      </w:tr>
      <w:tr w:rsidR="00E371BA" w:rsidRPr="00507A31" w14:paraId="36C32CFE" w14:textId="77777777">
        <w:tc>
          <w:tcPr>
            <w:tcW w:w="1633" w:type="dxa"/>
          </w:tcPr>
          <w:p w14:paraId="1C98BF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ТБ-4 металлической конструкции, под моторы М-35 общей мощностью 5000 НР с предшествующей установкой загран. Моторов</w:t>
            </w:r>
          </w:p>
        </w:tc>
        <w:tc>
          <w:tcPr>
            <w:tcW w:w="737" w:type="dxa"/>
          </w:tcPr>
          <w:p w14:paraId="2AE759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0854F7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3EA02A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8580</w:t>
            </w:r>
          </w:p>
        </w:tc>
        <w:tc>
          <w:tcPr>
            <w:tcW w:w="1053" w:type="dxa"/>
          </w:tcPr>
          <w:p w14:paraId="21910E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w:t>
            </w:r>
          </w:p>
        </w:tc>
        <w:tc>
          <w:tcPr>
            <w:tcW w:w="907" w:type="dxa"/>
          </w:tcPr>
          <w:p w14:paraId="54F1A8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200/3000</w:t>
            </w:r>
          </w:p>
        </w:tc>
        <w:tc>
          <w:tcPr>
            <w:tcW w:w="907" w:type="dxa"/>
          </w:tcPr>
          <w:p w14:paraId="55E9D5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06B812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5000-6000</w:t>
            </w:r>
          </w:p>
        </w:tc>
        <w:tc>
          <w:tcPr>
            <w:tcW w:w="1053" w:type="dxa"/>
          </w:tcPr>
          <w:p w14:paraId="5EB686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6-8 пулем.</w:t>
            </w:r>
          </w:p>
          <w:p w14:paraId="1B5DA2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пушка</w:t>
            </w:r>
          </w:p>
          <w:p w14:paraId="72419E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 – 7000 кг</w:t>
            </w:r>
          </w:p>
        </w:tc>
        <w:tc>
          <w:tcPr>
            <w:tcW w:w="1053" w:type="dxa"/>
          </w:tcPr>
          <w:p w14:paraId="5A6379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30</w:t>
            </w:r>
          </w:p>
        </w:tc>
        <w:tc>
          <w:tcPr>
            <w:tcW w:w="1053" w:type="dxa"/>
          </w:tcPr>
          <w:p w14:paraId="353113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31</w:t>
            </w:r>
          </w:p>
        </w:tc>
      </w:tr>
    </w:tbl>
    <w:p w14:paraId="78A1D1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Тяжелые штурмовики бронированные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640FEE85" w14:textId="77777777">
        <w:tc>
          <w:tcPr>
            <w:tcW w:w="1633" w:type="dxa"/>
          </w:tcPr>
          <w:p w14:paraId="72EC5B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ТШ-1 металлическ. Конструкции, под моторы М-34 общей мощностью 5000 НР</w:t>
            </w:r>
          </w:p>
        </w:tc>
        <w:tc>
          <w:tcPr>
            <w:tcW w:w="737" w:type="dxa"/>
          </w:tcPr>
          <w:p w14:paraId="708E78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24C3AA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015E59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1955 (без брони)</w:t>
            </w:r>
          </w:p>
        </w:tc>
        <w:tc>
          <w:tcPr>
            <w:tcW w:w="1053" w:type="dxa"/>
          </w:tcPr>
          <w:p w14:paraId="1B9311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c>
          <w:tcPr>
            <w:tcW w:w="907" w:type="dxa"/>
          </w:tcPr>
          <w:p w14:paraId="74204F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250/1000</w:t>
            </w:r>
          </w:p>
        </w:tc>
        <w:tc>
          <w:tcPr>
            <w:tcW w:w="907" w:type="dxa"/>
          </w:tcPr>
          <w:p w14:paraId="168E4AE6"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6BDC0B3B"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73A7C0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пулем.</w:t>
            </w:r>
          </w:p>
          <w:p w14:paraId="0597C2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авт пушка</w:t>
            </w:r>
          </w:p>
          <w:p w14:paraId="2A1DF7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20-37 мм</w:t>
            </w:r>
          </w:p>
          <w:p w14:paraId="5AB4AD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приборы для ОВ</w:t>
            </w:r>
          </w:p>
          <w:p w14:paraId="605EA9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 800-1000 кг</w:t>
            </w:r>
          </w:p>
        </w:tc>
        <w:tc>
          <w:tcPr>
            <w:tcW w:w="1053" w:type="dxa"/>
          </w:tcPr>
          <w:p w14:paraId="2AAAC9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30</w:t>
            </w:r>
          </w:p>
        </w:tc>
        <w:tc>
          <w:tcPr>
            <w:tcW w:w="1053" w:type="dxa"/>
          </w:tcPr>
          <w:p w14:paraId="74F7DE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30</w:t>
            </w:r>
          </w:p>
        </w:tc>
      </w:tr>
    </w:tbl>
    <w:p w14:paraId="523E60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Армейские разведчики (они же легкие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6FB05BC3" w14:textId="77777777">
        <w:tc>
          <w:tcPr>
            <w:tcW w:w="1633" w:type="dxa"/>
          </w:tcPr>
          <w:p w14:paraId="3E021B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Р-7 металлической конструкции, под моторы БМВ VI; 500 НР</w:t>
            </w:r>
          </w:p>
        </w:tc>
        <w:tc>
          <w:tcPr>
            <w:tcW w:w="737" w:type="dxa"/>
          </w:tcPr>
          <w:p w14:paraId="71DB80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0CDA8E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37A6C5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410</w:t>
            </w:r>
          </w:p>
        </w:tc>
        <w:tc>
          <w:tcPr>
            <w:tcW w:w="1053" w:type="dxa"/>
          </w:tcPr>
          <w:p w14:paraId="13F80D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 час.</w:t>
            </w:r>
          </w:p>
        </w:tc>
        <w:tc>
          <w:tcPr>
            <w:tcW w:w="907" w:type="dxa"/>
          </w:tcPr>
          <w:p w14:paraId="2E25E0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240-250/ 3000</w:t>
            </w:r>
          </w:p>
        </w:tc>
        <w:tc>
          <w:tcPr>
            <w:tcW w:w="907" w:type="dxa"/>
          </w:tcPr>
          <w:p w14:paraId="7E25A3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10'-12'/ 3000</w:t>
            </w:r>
          </w:p>
        </w:tc>
        <w:tc>
          <w:tcPr>
            <w:tcW w:w="1053" w:type="dxa"/>
          </w:tcPr>
          <w:p w14:paraId="0502EF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6500</w:t>
            </w:r>
          </w:p>
        </w:tc>
        <w:tc>
          <w:tcPr>
            <w:tcW w:w="1053" w:type="dxa"/>
          </w:tcPr>
          <w:p w14:paraId="5CA6A7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пулем.</w:t>
            </w:r>
          </w:p>
        </w:tc>
        <w:tc>
          <w:tcPr>
            <w:tcW w:w="1053" w:type="dxa"/>
          </w:tcPr>
          <w:p w14:paraId="00642B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1DF589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марта 30</w:t>
            </w:r>
          </w:p>
        </w:tc>
      </w:tr>
      <w:tr w:rsidR="00E371BA" w:rsidRPr="00507A31" w14:paraId="4CD9A906" w14:textId="77777777">
        <w:tc>
          <w:tcPr>
            <w:tcW w:w="1633" w:type="dxa"/>
          </w:tcPr>
          <w:p w14:paraId="5BBD37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смешанной конструкции, под мотор М-34, 750 НР</w:t>
            </w:r>
          </w:p>
        </w:tc>
        <w:tc>
          <w:tcPr>
            <w:tcW w:w="737" w:type="dxa"/>
          </w:tcPr>
          <w:p w14:paraId="0514BB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053" w:type="dxa"/>
          </w:tcPr>
          <w:p w14:paraId="0770C4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0C1BF9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560 для бомбардирования 1060</w:t>
            </w:r>
          </w:p>
        </w:tc>
        <w:tc>
          <w:tcPr>
            <w:tcW w:w="1053" w:type="dxa"/>
          </w:tcPr>
          <w:p w14:paraId="284F25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650-750</w:t>
            </w:r>
          </w:p>
        </w:tc>
        <w:tc>
          <w:tcPr>
            <w:tcW w:w="907" w:type="dxa"/>
          </w:tcPr>
          <w:p w14:paraId="7F521E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250/5000</w:t>
            </w:r>
          </w:p>
        </w:tc>
        <w:tc>
          <w:tcPr>
            <w:tcW w:w="907" w:type="dxa"/>
          </w:tcPr>
          <w:p w14:paraId="0C7322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8'-10'/ 3000</w:t>
            </w:r>
          </w:p>
        </w:tc>
        <w:tc>
          <w:tcPr>
            <w:tcW w:w="1053" w:type="dxa"/>
          </w:tcPr>
          <w:p w14:paraId="380D54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7000-7500 для бомб 6000</w:t>
            </w:r>
          </w:p>
        </w:tc>
        <w:tc>
          <w:tcPr>
            <w:tcW w:w="1053" w:type="dxa"/>
          </w:tcPr>
          <w:p w14:paraId="7264E3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3-4 пулем.</w:t>
            </w:r>
          </w:p>
        </w:tc>
        <w:tc>
          <w:tcPr>
            <w:tcW w:w="1053" w:type="dxa"/>
          </w:tcPr>
          <w:p w14:paraId="237F3C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30</w:t>
            </w:r>
          </w:p>
        </w:tc>
        <w:tc>
          <w:tcPr>
            <w:tcW w:w="1053" w:type="dxa"/>
          </w:tcPr>
          <w:p w14:paraId="63519B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31</w:t>
            </w:r>
          </w:p>
        </w:tc>
      </w:tr>
    </w:tbl>
    <w:p w14:paraId="553637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Войсковые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27A1F702" w14:textId="77777777">
        <w:tc>
          <w:tcPr>
            <w:tcW w:w="1633" w:type="dxa"/>
          </w:tcPr>
          <w:p w14:paraId="1C0B61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Р-9 смешанной конструкции, под 2 мотора М-26 общей мощностью 600 НР</w:t>
            </w:r>
          </w:p>
        </w:tc>
        <w:tc>
          <w:tcPr>
            <w:tcW w:w="737" w:type="dxa"/>
          </w:tcPr>
          <w:p w14:paraId="7BB78B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4B65CF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1BE18B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535</w:t>
            </w:r>
          </w:p>
        </w:tc>
        <w:tc>
          <w:tcPr>
            <w:tcW w:w="1053" w:type="dxa"/>
          </w:tcPr>
          <w:p w14:paraId="36BBC3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c>
          <w:tcPr>
            <w:tcW w:w="907" w:type="dxa"/>
          </w:tcPr>
          <w:p w14:paraId="5C36DC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200/2000</w:t>
            </w:r>
          </w:p>
        </w:tc>
        <w:tc>
          <w:tcPr>
            <w:tcW w:w="907" w:type="dxa"/>
          </w:tcPr>
          <w:p w14:paraId="3FBBFA70"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298379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4500</w:t>
            </w:r>
          </w:p>
        </w:tc>
        <w:tc>
          <w:tcPr>
            <w:tcW w:w="1053" w:type="dxa"/>
          </w:tcPr>
          <w:p w14:paraId="33DDA7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пулем.</w:t>
            </w:r>
          </w:p>
        </w:tc>
        <w:tc>
          <w:tcPr>
            <w:tcW w:w="1053" w:type="dxa"/>
          </w:tcPr>
          <w:p w14:paraId="597FD6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31</w:t>
            </w:r>
          </w:p>
        </w:tc>
        <w:tc>
          <w:tcPr>
            <w:tcW w:w="1053" w:type="dxa"/>
          </w:tcPr>
          <w:p w14:paraId="185248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32</w:t>
            </w:r>
          </w:p>
        </w:tc>
      </w:tr>
    </w:tbl>
    <w:p w14:paraId="0B8DBF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Многоместные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6EBD000D" w14:textId="77777777">
        <w:tc>
          <w:tcPr>
            <w:tcW w:w="1633" w:type="dxa"/>
          </w:tcPr>
          <w:p w14:paraId="57FD23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МИ-1 металлическ. конструкции, под 2 мотора БМВ VI </w:t>
            </w:r>
          </w:p>
          <w:p w14:paraId="255854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Е-7,3 общей мощностью 1000 НР</w:t>
            </w:r>
          </w:p>
        </w:tc>
        <w:tc>
          <w:tcPr>
            <w:tcW w:w="737" w:type="dxa"/>
          </w:tcPr>
          <w:p w14:paraId="48A4FF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7CEDB2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45F5DF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619</w:t>
            </w:r>
          </w:p>
        </w:tc>
        <w:tc>
          <w:tcPr>
            <w:tcW w:w="1053" w:type="dxa"/>
          </w:tcPr>
          <w:p w14:paraId="0490D9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час.</w:t>
            </w:r>
          </w:p>
        </w:tc>
        <w:tc>
          <w:tcPr>
            <w:tcW w:w="907" w:type="dxa"/>
          </w:tcPr>
          <w:p w14:paraId="43F54F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215-220/ 5000</w:t>
            </w:r>
          </w:p>
        </w:tc>
        <w:tc>
          <w:tcPr>
            <w:tcW w:w="907" w:type="dxa"/>
          </w:tcPr>
          <w:p w14:paraId="34E4C0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19'-20'/ 5000</w:t>
            </w:r>
          </w:p>
        </w:tc>
        <w:tc>
          <w:tcPr>
            <w:tcW w:w="1053" w:type="dxa"/>
          </w:tcPr>
          <w:p w14:paraId="46AA0D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6500-7000</w:t>
            </w:r>
          </w:p>
        </w:tc>
        <w:tc>
          <w:tcPr>
            <w:tcW w:w="1053" w:type="dxa"/>
          </w:tcPr>
          <w:p w14:paraId="04CDC9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пулем.</w:t>
            </w:r>
          </w:p>
        </w:tc>
        <w:tc>
          <w:tcPr>
            <w:tcW w:w="1053" w:type="dxa"/>
          </w:tcPr>
          <w:p w14:paraId="65C73E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27B53B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30</w:t>
            </w:r>
          </w:p>
        </w:tc>
      </w:tr>
      <w:tr w:rsidR="00E371BA" w:rsidRPr="00507A31" w14:paraId="66494957" w14:textId="77777777">
        <w:tc>
          <w:tcPr>
            <w:tcW w:w="1633" w:type="dxa"/>
          </w:tcPr>
          <w:p w14:paraId="63B7E2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 смешанной конструкции, под 2 мотора М-34 общей мощностью 1500 НР</w:t>
            </w:r>
          </w:p>
        </w:tc>
        <w:tc>
          <w:tcPr>
            <w:tcW w:w="737" w:type="dxa"/>
          </w:tcPr>
          <w:p w14:paraId="20881B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53" w:type="dxa"/>
          </w:tcPr>
          <w:p w14:paraId="20949D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006080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1019</w:t>
            </w:r>
          </w:p>
        </w:tc>
        <w:tc>
          <w:tcPr>
            <w:tcW w:w="1053" w:type="dxa"/>
          </w:tcPr>
          <w:p w14:paraId="113744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w:t>
            </w:r>
          </w:p>
        </w:tc>
        <w:tc>
          <w:tcPr>
            <w:tcW w:w="907" w:type="dxa"/>
          </w:tcPr>
          <w:p w14:paraId="1048CF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300/5000</w:t>
            </w:r>
          </w:p>
        </w:tc>
        <w:tc>
          <w:tcPr>
            <w:tcW w:w="907" w:type="dxa"/>
          </w:tcPr>
          <w:p w14:paraId="545901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15'-18'/ 5000</w:t>
            </w:r>
          </w:p>
        </w:tc>
        <w:tc>
          <w:tcPr>
            <w:tcW w:w="1053" w:type="dxa"/>
          </w:tcPr>
          <w:p w14:paraId="759F9FA8"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07BCE8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6-8 пулем.</w:t>
            </w:r>
          </w:p>
          <w:p w14:paraId="75256D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автом. пушка </w:t>
            </w:r>
          </w:p>
          <w:p w14:paraId="37DF35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20-37 мм</w:t>
            </w:r>
          </w:p>
        </w:tc>
        <w:tc>
          <w:tcPr>
            <w:tcW w:w="1053" w:type="dxa"/>
          </w:tcPr>
          <w:p w14:paraId="091B47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30</w:t>
            </w:r>
          </w:p>
        </w:tc>
        <w:tc>
          <w:tcPr>
            <w:tcW w:w="1053" w:type="dxa"/>
          </w:tcPr>
          <w:p w14:paraId="76884E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31</w:t>
            </w:r>
          </w:p>
        </w:tc>
      </w:tr>
      <w:tr w:rsidR="00E371BA" w:rsidRPr="00507A31" w14:paraId="06C158EB" w14:textId="77777777">
        <w:tc>
          <w:tcPr>
            <w:tcW w:w="1633" w:type="dxa"/>
          </w:tcPr>
          <w:p w14:paraId="248F8E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МИ-3 металлическ. конструкции, под 2 мотора общей мощностью 1500 НР</w:t>
            </w:r>
          </w:p>
        </w:tc>
        <w:tc>
          <w:tcPr>
            <w:tcW w:w="737" w:type="dxa"/>
          </w:tcPr>
          <w:p w14:paraId="3249AE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4FAB5D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7C2E9B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1019</w:t>
            </w:r>
          </w:p>
        </w:tc>
        <w:tc>
          <w:tcPr>
            <w:tcW w:w="1053" w:type="dxa"/>
          </w:tcPr>
          <w:p w14:paraId="2314C5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w:t>
            </w:r>
          </w:p>
        </w:tc>
        <w:tc>
          <w:tcPr>
            <w:tcW w:w="907" w:type="dxa"/>
          </w:tcPr>
          <w:p w14:paraId="6ED691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300/5000</w:t>
            </w:r>
          </w:p>
        </w:tc>
        <w:tc>
          <w:tcPr>
            <w:tcW w:w="907" w:type="dxa"/>
          </w:tcPr>
          <w:p w14:paraId="389E88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15'-18'/ 5000</w:t>
            </w:r>
          </w:p>
        </w:tc>
        <w:tc>
          <w:tcPr>
            <w:tcW w:w="1053" w:type="dxa"/>
          </w:tcPr>
          <w:p w14:paraId="34F26E0C"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537492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6-8 пулем.</w:t>
            </w:r>
          </w:p>
          <w:p w14:paraId="3A31D2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автом. пушка </w:t>
            </w:r>
          </w:p>
          <w:p w14:paraId="246023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20-37 мм</w:t>
            </w:r>
          </w:p>
        </w:tc>
        <w:tc>
          <w:tcPr>
            <w:tcW w:w="1053" w:type="dxa"/>
          </w:tcPr>
          <w:p w14:paraId="1741F7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31</w:t>
            </w:r>
          </w:p>
        </w:tc>
        <w:tc>
          <w:tcPr>
            <w:tcW w:w="1053" w:type="dxa"/>
          </w:tcPr>
          <w:p w14:paraId="58B730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32</w:t>
            </w:r>
          </w:p>
        </w:tc>
      </w:tr>
    </w:tbl>
    <w:p w14:paraId="427CE5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Двухмоторные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3FF66B83" w14:textId="77777777">
        <w:tc>
          <w:tcPr>
            <w:tcW w:w="1633" w:type="dxa"/>
          </w:tcPr>
          <w:p w14:paraId="4C8D4B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ДИ-2 деревянная конструкция под мотор БМВ VI Е-7,3 500НР</w:t>
            </w:r>
          </w:p>
        </w:tc>
        <w:tc>
          <w:tcPr>
            <w:tcW w:w="737" w:type="dxa"/>
          </w:tcPr>
          <w:p w14:paraId="638AD3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5FEB0A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56F14E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370</w:t>
            </w:r>
          </w:p>
        </w:tc>
        <w:tc>
          <w:tcPr>
            <w:tcW w:w="1053" w:type="dxa"/>
          </w:tcPr>
          <w:p w14:paraId="02700B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tc>
        <w:tc>
          <w:tcPr>
            <w:tcW w:w="907" w:type="dxa"/>
          </w:tcPr>
          <w:p w14:paraId="1F6545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240-250/ 3000</w:t>
            </w:r>
          </w:p>
        </w:tc>
        <w:tc>
          <w:tcPr>
            <w:tcW w:w="907" w:type="dxa"/>
          </w:tcPr>
          <w:p w14:paraId="0B3272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9'/3000</w:t>
            </w:r>
          </w:p>
        </w:tc>
        <w:tc>
          <w:tcPr>
            <w:tcW w:w="1053" w:type="dxa"/>
          </w:tcPr>
          <w:p w14:paraId="294E6B9D"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408328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пулем.</w:t>
            </w:r>
          </w:p>
        </w:tc>
        <w:tc>
          <w:tcPr>
            <w:tcW w:w="1053" w:type="dxa"/>
          </w:tcPr>
          <w:p w14:paraId="02B28E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Переделывается</w:t>
            </w:r>
          </w:p>
        </w:tc>
        <w:tc>
          <w:tcPr>
            <w:tcW w:w="1053" w:type="dxa"/>
          </w:tcPr>
          <w:p w14:paraId="17129B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30</w:t>
            </w:r>
          </w:p>
        </w:tc>
      </w:tr>
      <w:tr w:rsidR="00E371BA" w:rsidRPr="00507A31" w14:paraId="62CE8B88" w14:textId="77777777">
        <w:tc>
          <w:tcPr>
            <w:tcW w:w="1633" w:type="dxa"/>
          </w:tcPr>
          <w:p w14:paraId="6B8759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ДИ-3 металлическ. конструкции, под мотор М-34 – 750 НР</w:t>
            </w:r>
          </w:p>
        </w:tc>
        <w:tc>
          <w:tcPr>
            <w:tcW w:w="737" w:type="dxa"/>
          </w:tcPr>
          <w:p w14:paraId="427141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053" w:type="dxa"/>
          </w:tcPr>
          <w:p w14:paraId="0DFC51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23C44C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465</w:t>
            </w:r>
          </w:p>
        </w:tc>
        <w:tc>
          <w:tcPr>
            <w:tcW w:w="1053" w:type="dxa"/>
          </w:tcPr>
          <w:p w14:paraId="3CA83F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450-500</w:t>
            </w:r>
          </w:p>
        </w:tc>
        <w:tc>
          <w:tcPr>
            <w:tcW w:w="907" w:type="dxa"/>
          </w:tcPr>
          <w:p w14:paraId="1DA6C0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300-320/ 5000</w:t>
            </w:r>
          </w:p>
        </w:tc>
        <w:tc>
          <w:tcPr>
            <w:tcW w:w="907" w:type="dxa"/>
          </w:tcPr>
          <w:p w14:paraId="2134BA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10'-12'/ 5000</w:t>
            </w:r>
          </w:p>
        </w:tc>
        <w:tc>
          <w:tcPr>
            <w:tcW w:w="1053" w:type="dxa"/>
          </w:tcPr>
          <w:p w14:paraId="7ED861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8000</w:t>
            </w:r>
          </w:p>
        </w:tc>
        <w:tc>
          <w:tcPr>
            <w:tcW w:w="1053" w:type="dxa"/>
          </w:tcPr>
          <w:p w14:paraId="4E2D4B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пулем. или </w:t>
            </w:r>
          </w:p>
          <w:p w14:paraId="3AAC6B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пушка 20-37 мм</w:t>
            </w:r>
          </w:p>
        </w:tc>
        <w:tc>
          <w:tcPr>
            <w:tcW w:w="1053" w:type="dxa"/>
          </w:tcPr>
          <w:p w14:paraId="03B469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30</w:t>
            </w:r>
          </w:p>
        </w:tc>
        <w:tc>
          <w:tcPr>
            <w:tcW w:w="1053" w:type="dxa"/>
          </w:tcPr>
          <w:p w14:paraId="3B4861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31</w:t>
            </w:r>
          </w:p>
        </w:tc>
      </w:tr>
      <w:tr w:rsidR="00E371BA" w:rsidRPr="00507A31" w14:paraId="7C309D1B" w14:textId="77777777">
        <w:tc>
          <w:tcPr>
            <w:tcW w:w="1633" w:type="dxa"/>
          </w:tcPr>
          <w:p w14:paraId="28CBC0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смешанной конструкции, под мотор М-34 – 750 НР</w:t>
            </w:r>
          </w:p>
        </w:tc>
        <w:tc>
          <w:tcPr>
            <w:tcW w:w="737" w:type="dxa"/>
          </w:tcPr>
          <w:p w14:paraId="2BAC09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053" w:type="dxa"/>
          </w:tcPr>
          <w:p w14:paraId="01F2DD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5D3908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465</w:t>
            </w:r>
          </w:p>
        </w:tc>
        <w:tc>
          <w:tcPr>
            <w:tcW w:w="1053" w:type="dxa"/>
          </w:tcPr>
          <w:p w14:paraId="6FFF0E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450-500</w:t>
            </w:r>
          </w:p>
        </w:tc>
        <w:tc>
          <w:tcPr>
            <w:tcW w:w="907" w:type="dxa"/>
          </w:tcPr>
          <w:p w14:paraId="26EA36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300-320/ 5000</w:t>
            </w:r>
          </w:p>
        </w:tc>
        <w:tc>
          <w:tcPr>
            <w:tcW w:w="907" w:type="dxa"/>
          </w:tcPr>
          <w:p w14:paraId="02316E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10'-12'/ 5000</w:t>
            </w:r>
          </w:p>
        </w:tc>
        <w:tc>
          <w:tcPr>
            <w:tcW w:w="1053" w:type="dxa"/>
          </w:tcPr>
          <w:p w14:paraId="3D57D9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8000</w:t>
            </w:r>
          </w:p>
        </w:tc>
        <w:tc>
          <w:tcPr>
            <w:tcW w:w="1053" w:type="dxa"/>
          </w:tcPr>
          <w:p w14:paraId="6E36D8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пулем. или </w:t>
            </w:r>
          </w:p>
          <w:p w14:paraId="49280B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пушка 20-37 мм</w:t>
            </w:r>
          </w:p>
        </w:tc>
        <w:tc>
          <w:tcPr>
            <w:tcW w:w="1053" w:type="dxa"/>
          </w:tcPr>
          <w:p w14:paraId="2059EE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30</w:t>
            </w:r>
          </w:p>
        </w:tc>
        <w:tc>
          <w:tcPr>
            <w:tcW w:w="1053" w:type="dxa"/>
          </w:tcPr>
          <w:p w14:paraId="3514DB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31</w:t>
            </w:r>
          </w:p>
        </w:tc>
      </w:tr>
    </w:tbl>
    <w:p w14:paraId="70080D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Истребители одноместные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1AA1AC57" w14:textId="77777777">
        <w:tc>
          <w:tcPr>
            <w:tcW w:w="1633" w:type="dxa"/>
          </w:tcPr>
          <w:p w14:paraId="7FFE52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 деревянная конструкция под мотор М-22 480 НР и Юпитер VII 480 НР</w:t>
            </w:r>
          </w:p>
        </w:tc>
        <w:tc>
          <w:tcPr>
            <w:tcW w:w="737" w:type="dxa"/>
          </w:tcPr>
          <w:p w14:paraId="5AB250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053" w:type="dxa"/>
          </w:tcPr>
          <w:p w14:paraId="05B8D8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1F57AB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208</w:t>
            </w:r>
          </w:p>
        </w:tc>
        <w:tc>
          <w:tcPr>
            <w:tcW w:w="1053" w:type="dxa"/>
          </w:tcPr>
          <w:p w14:paraId="015677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часа</w:t>
            </w:r>
          </w:p>
        </w:tc>
        <w:tc>
          <w:tcPr>
            <w:tcW w:w="907" w:type="dxa"/>
          </w:tcPr>
          <w:p w14:paraId="6D255D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260-270/ 5000</w:t>
            </w:r>
          </w:p>
        </w:tc>
        <w:tc>
          <w:tcPr>
            <w:tcW w:w="907" w:type="dxa"/>
          </w:tcPr>
          <w:p w14:paraId="4D8D0E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9'-10'/ 5000</w:t>
            </w:r>
          </w:p>
        </w:tc>
        <w:tc>
          <w:tcPr>
            <w:tcW w:w="1053" w:type="dxa"/>
          </w:tcPr>
          <w:p w14:paraId="3773B4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7500-8000</w:t>
            </w:r>
          </w:p>
        </w:tc>
        <w:tc>
          <w:tcPr>
            <w:tcW w:w="1053" w:type="dxa"/>
          </w:tcPr>
          <w:p w14:paraId="6CCD45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пулем.</w:t>
            </w:r>
          </w:p>
        </w:tc>
        <w:tc>
          <w:tcPr>
            <w:tcW w:w="1053" w:type="dxa"/>
          </w:tcPr>
          <w:p w14:paraId="19E106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68B8F5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30</w:t>
            </w:r>
          </w:p>
        </w:tc>
      </w:tr>
      <w:tr w:rsidR="00E371BA" w:rsidRPr="00507A31" w14:paraId="5814ACA5" w14:textId="77777777">
        <w:tc>
          <w:tcPr>
            <w:tcW w:w="1633" w:type="dxa"/>
          </w:tcPr>
          <w:p w14:paraId="475D50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 деревянная конструкция под мотор БМВ VI Е-7,3 500НР</w:t>
            </w:r>
          </w:p>
        </w:tc>
        <w:tc>
          <w:tcPr>
            <w:tcW w:w="737" w:type="dxa"/>
          </w:tcPr>
          <w:p w14:paraId="61F5C3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2C4D68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30B261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w:t>
            </w:r>
          </w:p>
        </w:tc>
        <w:tc>
          <w:tcPr>
            <w:tcW w:w="1053" w:type="dxa"/>
          </w:tcPr>
          <w:p w14:paraId="4652E3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часа</w:t>
            </w:r>
          </w:p>
        </w:tc>
        <w:tc>
          <w:tcPr>
            <w:tcW w:w="907" w:type="dxa"/>
          </w:tcPr>
          <w:p w14:paraId="74E255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270-280/ 5000</w:t>
            </w:r>
          </w:p>
        </w:tc>
        <w:tc>
          <w:tcPr>
            <w:tcW w:w="907" w:type="dxa"/>
          </w:tcPr>
          <w:p w14:paraId="29FE5C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8'/5000</w:t>
            </w:r>
          </w:p>
        </w:tc>
        <w:tc>
          <w:tcPr>
            <w:tcW w:w="1053" w:type="dxa"/>
          </w:tcPr>
          <w:p w14:paraId="1E2C24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7500</w:t>
            </w:r>
          </w:p>
        </w:tc>
        <w:tc>
          <w:tcPr>
            <w:tcW w:w="1053" w:type="dxa"/>
          </w:tcPr>
          <w:p w14:paraId="1E8AB6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пулем.</w:t>
            </w:r>
          </w:p>
        </w:tc>
        <w:tc>
          <w:tcPr>
            <w:tcW w:w="1053" w:type="dxa"/>
          </w:tcPr>
          <w:p w14:paraId="4A7D15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3B9B83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30</w:t>
            </w:r>
          </w:p>
        </w:tc>
      </w:tr>
      <w:tr w:rsidR="00E371BA" w:rsidRPr="00507A31" w14:paraId="1D138E7E" w14:textId="77777777">
        <w:tc>
          <w:tcPr>
            <w:tcW w:w="1633" w:type="dxa"/>
          </w:tcPr>
          <w:p w14:paraId="2C301F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 смешанной конструкции под мотор БМВ VI Е-7,3 500НР</w:t>
            </w:r>
          </w:p>
        </w:tc>
        <w:tc>
          <w:tcPr>
            <w:tcW w:w="737" w:type="dxa"/>
          </w:tcPr>
          <w:p w14:paraId="4D4441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4E928766"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66612619"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37FF8950"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6143A20B"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7AAC73FB"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44EA6B48"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70226FD0"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7428636A"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4C7AC63A"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53916FC" w14:textId="77777777">
        <w:tc>
          <w:tcPr>
            <w:tcW w:w="1633" w:type="dxa"/>
          </w:tcPr>
          <w:p w14:paraId="124E2F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И-8 эксперимент. стальной конструкц. под мотор Кертис Конкверор 625 НР</w:t>
            </w:r>
          </w:p>
        </w:tc>
        <w:tc>
          <w:tcPr>
            <w:tcW w:w="737" w:type="dxa"/>
          </w:tcPr>
          <w:p w14:paraId="5C70A1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67E9DA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11720E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w:t>
            </w:r>
          </w:p>
        </w:tc>
        <w:tc>
          <w:tcPr>
            <w:tcW w:w="1053" w:type="dxa"/>
          </w:tcPr>
          <w:p w14:paraId="5F9745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часа</w:t>
            </w:r>
          </w:p>
        </w:tc>
        <w:tc>
          <w:tcPr>
            <w:tcW w:w="907" w:type="dxa"/>
          </w:tcPr>
          <w:p w14:paraId="495C53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310/5000</w:t>
            </w:r>
          </w:p>
        </w:tc>
        <w:tc>
          <w:tcPr>
            <w:tcW w:w="907" w:type="dxa"/>
          </w:tcPr>
          <w:p w14:paraId="75FB89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6'-7'/5000</w:t>
            </w:r>
          </w:p>
        </w:tc>
        <w:tc>
          <w:tcPr>
            <w:tcW w:w="1053" w:type="dxa"/>
          </w:tcPr>
          <w:p w14:paraId="4DD1EC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8500</w:t>
            </w:r>
          </w:p>
        </w:tc>
        <w:tc>
          <w:tcPr>
            <w:tcW w:w="1053" w:type="dxa"/>
          </w:tcPr>
          <w:p w14:paraId="0973BF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пулем.</w:t>
            </w:r>
          </w:p>
        </w:tc>
        <w:tc>
          <w:tcPr>
            <w:tcW w:w="1053" w:type="dxa"/>
          </w:tcPr>
          <w:p w14:paraId="38840F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3D41ED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30</w:t>
            </w:r>
          </w:p>
        </w:tc>
      </w:tr>
      <w:tr w:rsidR="00E371BA" w:rsidRPr="00507A31" w14:paraId="3FFDE79B" w14:textId="77777777">
        <w:tc>
          <w:tcPr>
            <w:tcW w:w="1633" w:type="dxa"/>
          </w:tcPr>
          <w:p w14:paraId="1A3398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И-9 деревянная конструкция под мотор М-32 600 НР</w:t>
            </w:r>
          </w:p>
        </w:tc>
        <w:tc>
          <w:tcPr>
            <w:tcW w:w="737" w:type="dxa"/>
          </w:tcPr>
          <w:p w14:paraId="4880FA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053" w:type="dxa"/>
          </w:tcPr>
          <w:p w14:paraId="172168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77A396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266</w:t>
            </w:r>
          </w:p>
        </w:tc>
        <w:tc>
          <w:tcPr>
            <w:tcW w:w="1053" w:type="dxa"/>
          </w:tcPr>
          <w:p w14:paraId="59C013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350-400</w:t>
            </w:r>
          </w:p>
        </w:tc>
        <w:tc>
          <w:tcPr>
            <w:tcW w:w="907" w:type="dxa"/>
          </w:tcPr>
          <w:p w14:paraId="38C126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300-350/ 5000</w:t>
            </w:r>
          </w:p>
        </w:tc>
        <w:tc>
          <w:tcPr>
            <w:tcW w:w="907" w:type="dxa"/>
          </w:tcPr>
          <w:p w14:paraId="64F77F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5'-7'/ 5000</w:t>
            </w:r>
          </w:p>
        </w:tc>
        <w:tc>
          <w:tcPr>
            <w:tcW w:w="1053" w:type="dxa"/>
          </w:tcPr>
          <w:p w14:paraId="05F045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8000-10000</w:t>
            </w:r>
          </w:p>
        </w:tc>
        <w:tc>
          <w:tcPr>
            <w:tcW w:w="1053" w:type="dxa"/>
          </w:tcPr>
          <w:p w14:paraId="6DB59C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пулем.</w:t>
            </w:r>
          </w:p>
        </w:tc>
        <w:tc>
          <w:tcPr>
            <w:tcW w:w="1053" w:type="dxa"/>
          </w:tcPr>
          <w:p w14:paraId="6B3C44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30</w:t>
            </w:r>
          </w:p>
        </w:tc>
        <w:tc>
          <w:tcPr>
            <w:tcW w:w="1053" w:type="dxa"/>
          </w:tcPr>
          <w:p w14:paraId="021022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31</w:t>
            </w:r>
          </w:p>
        </w:tc>
      </w:tr>
      <w:tr w:rsidR="00E371BA" w:rsidRPr="00507A31" w14:paraId="0040D1D9" w14:textId="77777777">
        <w:tc>
          <w:tcPr>
            <w:tcW w:w="1633" w:type="dxa"/>
          </w:tcPr>
          <w:p w14:paraId="0AAB0B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И-10 смешанной конструкции под мотор М-38 600 НР</w:t>
            </w:r>
          </w:p>
          <w:p w14:paraId="5EEB47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Примечание: И-10 строятся при условии получения загранич. помощи </w:t>
            </w:r>
          </w:p>
        </w:tc>
        <w:tc>
          <w:tcPr>
            <w:tcW w:w="737" w:type="dxa"/>
          </w:tcPr>
          <w:p w14:paraId="03317B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053" w:type="dxa"/>
          </w:tcPr>
          <w:p w14:paraId="1C6535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71C793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266</w:t>
            </w:r>
          </w:p>
        </w:tc>
        <w:tc>
          <w:tcPr>
            <w:tcW w:w="1053" w:type="dxa"/>
          </w:tcPr>
          <w:p w14:paraId="107615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350-400</w:t>
            </w:r>
          </w:p>
        </w:tc>
        <w:tc>
          <w:tcPr>
            <w:tcW w:w="907" w:type="dxa"/>
          </w:tcPr>
          <w:p w14:paraId="1D30E1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300-350/ 5000</w:t>
            </w:r>
          </w:p>
        </w:tc>
        <w:tc>
          <w:tcPr>
            <w:tcW w:w="907" w:type="dxa"/>
          </w:tcPr>
          <w:p w14:paraId="7743EF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5'-7'/ 5000</w:t>
            </w:r>
          </w:p>
        </w:tc>
        <w:tc>
          <w:tcPr>
            <w:tcW w:w="1053" w:type="dxa"/>
          </w:tcPr>
          <w:p w14:paraId="04442B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8000-10000</w:t>
            </w:r>
          </w:p>
        </w:tc>
        <w:tc>
          <w:tcPr>
            <w:tcW w:w="1053" w:type="dxa"/>
          </w:tcPr>
          <w:p w14:paraId="463608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пулем.</w:t>
            </w:r>
          </w:p>
        </w:tc>
        <w:tc>
          <w:tcPr>
            <w:tcW w:w="1053" w:type="dxa"/>
          </w:tcPr>
          <w:p w14:paraId="21E23CEB"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7F47CA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месяцев с подписания договора об иностран. Помощи</w:t>
            </w:r>
          </w:p>
        </w:tc>
      </w:tr>
      <w:tr w:rsidR="00E371BA" w:rsidRPr="00507A31" w14:paraId="1755890C" w14:textId="77777777">
        <w:tc>
          <w:tcPr>
            <w:tcW w:w="1633" w:type="dxa"/>
          </w:tcPr>
          <w:p w14:paraId="51BF2D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М-11 эксперимент. электронная констр. под мотор М-41</w:t>
            </w:r>
          </w:p>
        </w:tc>
        <w:tc>
          <w:tcPr>
            <w:tcW w:w="737" w:type="dxa"/>
          </w:tcPr>
          <w:p w14:paraId="2E320B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51003D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11542A67"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64EB7693"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3830D858"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44E873DF"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24B20BED"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5D805BBD"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204C36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31</w:t>
            </w:r>
          </w:p>
        </w:tc>
        <w:tc>
          <w:tcPr>
            <w:tcW w:w="1053" w:type="dxa"/>
          </w:tcPr>
          <w:p w14:paraId="26E417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32</w:t>
            </w:r>
          </w:p>
        </w:tc>
      </w:tr>
    </w:tbl>
    <w:p w14:paraId="477748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 связи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6D4A14A0" w14:textId="77777777">
        <w:tc>
          <w:tcPr>
            <w:tcW w:w="1633" w:type="dxa"/>
          </w:tcPr>
          <w:p w14:paraId="462E10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С-1 деревянная конструкция под мотор 65 НР или М11 160 НР</w:t>
            </w:r>
          </w:p>
        </w:tc>
        <w:tc>
          <w:tcPr>
            <w:tcW w:w="737" w:type="dxa"/>
          </w:tcPr>
          <w:p w14:paraId="704319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053" w:type="dxa"/>
          </w:tcPr>
          <w:p w14:paraId="592B0E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линии Осоавиахим</w:t>
            </w:r>
          </w:p>
        </w:tc>
        <w:tc>
          <w:tcPr>
            <w:tcW w:w="1053" w:type="dxa"/>
          </w:tcPr>
          <w:p w14:paraId="63D15A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252</w:t>
            </w:r>
          </w:p>
        </w:tc>
        <w:tc>
          <w:tcPr>
            <w:tcW w:w="1053" w:type="dxa"/>
          </w:tcPr>
          <w:p w14:paraId="718D6E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150-200</w:t>
            </w:r>
          </w:p>
        </w:tc>
        <w:tc>
          <w:tcPr>
            <w:tcW w:w="907" w:type="dxa"/>
          </w:tcPr>
          <w:p w14:paraId="59CBA9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150-160/0</w:t>
            </w:r>
          </w:p>
        </w:tc>
        <w:tc>
          <w:tcPr>
            <w:tcW w:w="907" w:type="dxa"/>
          </w:tcPr>
          <w:p w14:paraId="7525FD09"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4D692C5E"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56D7F3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пулем.</w:t>
            </w:r>
          </w:p>
        </w:tc>
        <w:tc>
          <w:tcPr>
            <w:tcW w:w="1053" w:type="dxa"/>
          </w:tcPr>
          <w:p w14:paraId="35B00D22"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3DF4A4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31</w:t>
            </w:r>
          </w:p>
        </w:tc>
      </w:tr>
    </w:tbl>
    <w:p w14:paraId="4E0641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Химический боевик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0CFC7885" w14:textId="77777777">
        <w:tc>
          <w:tcPr>
            <w:tcW w:w="1633" w:type="dxa"/>
          </w:tcPr>
          <w:p w14:paraId="611068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ХБ-1 (видоизменение Р-9)</w:t>
            </w:r>
          </w:p>
        </w:tc>
        <w:tc>
          <w:tcPr>
            <w:tcW w:w="737" w:type="dxa"/>
          </w:tcPr>
          <w:p w14:paraId="4D8893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0B9E46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51F251B7"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5835B006"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1EAEA827"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2D75AF12"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16CA0348"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5EECAE68"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38EBB0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32</w:t>
            </w:r>
          </w:p>
        </w:tc>
        <w:tc>
          <w:tcPr>
            <w:tcW w:w="1053" w:type="dxa"/>
          </w:tcPr>
          <w:p w14:paraId="44CD24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33</w:t>
            </w:r>
          </w:p>
        </w:tc>
      </w:tr>
    </w:tbl>
    <w:p w14:paraId="4CA83BE4" w14:textId="77777777" w:rsidR="00537E5F" w:rsidRPr="00507A31" w:rsidRDefault="00537E5F" w:rsidP="00507A31">
      <w:pPr>
        <w:autoSpaceDE w:val="0"/>
        <w:autoSpaceDN w:val="0"/>
        <w:adjustRightInd w:val="0"/>
        <w:jc w:val="both"/>
        <w:rPr>
          <w:color w:val="000000" w:themeColor="text1"/>
          <w:sz w:val="16"/>
          <w:szCs w:val="16"/>
        </w:rPr>
      </w:pPr>
    </w:p>
    <w:p w14:paraId="6D0E6E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года председатель НТК УВВС Дубенский и председатель 2 секции НТК Петровский подписали:</w:t>
      </w:r>
    </w:p>
    <w:p w14:paraId="5DBD61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опытного строительства морских самолетов на 1929/30-1932/33 г.г.</w:t>
      </w:r>
    </w:p>
    <w:p w14:paraId="4546BA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Ближние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212B7EA1" w14:textId="77777777">
        <w:tc>
          <w:tcPr>
            <w:tcW w:w="1633" w:type="dxa"/>
          </w:tcPr>
          <w:p w14:paraId="456698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 деревянная конструкция под мотор БМВVI Е-6 500 НР с 2 лодками разных обводов</w:t>
            </w:r>
          </w:p>
        </w:tc>
        <w:tc>
          <w:tcPr>
            <w:tcW w:w="737" w:type="dxa"/>
          </w:tcPr>
          <w:p w14:paraId="0BFA45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1B3DF1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326A51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580</w:t>
            </w:r>
          </w:p>
        </w:tc>
        <w:tc>
          <w:tcPr>
            <w:tcW w:w="1053" w:type="dxa"/>
          </w:tcPr>
          <w:p w14:paraId="33BCCA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907" w:type="dxa"/>
          </w:tcPr>
          <w:p w14:paraId="6CAB32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183/3000</w:t>
            </w:r>
          </w:p>
        </w:tc>
        <w:tc>
          <w:tcPr>
            <w:tcW w:w="907" w:type="dxa"/>
          </w:tcPr>
          <w:p w14:paraId="7EB419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28'/3000</w:t>
            </w:r>
          </w:p>
        </w:tc>
        <w:tc>
          <w:tcPr>
            <w:tcW w:w="1053" w:type="dxa"/>
          </w:tcPr>
          <w:p w14:paraId="5E3759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4400</w:t>
            </w:r>
          </w:p>
        </w:tc>
        <w:tc>
          <w:tcPr>
            <w:tcW w:w="1053" w:type="dxa"/>
          </w:tcPr>
          <w:p w14:paraId="0C7232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пулем.</w:t>
            </w:r>
          </w:p>
        </w:tc>
        <w:tc>
          <w:tcPr>
            <w:tcW w:w="1053" w:type="dxa"/>
          </w:tcPr>
          <w:p w14:paraId="141133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730319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30</w:t>
            </w:r>
          </w:p>
          <w:p w14:paraId="590147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30</w:t>
            </w:r>
          </w:p>
        </w:tc>
      </w:tr>
      <w:tr w:rsidR="00E371BA" w:rsidRPr="00507A31" w14:paraId="707C486D" w14:textId="77777777">
        <w:tc>
          <w:tcPr>
            <w:tcW w:w="1633" w:type="dxa"/>
          </w:tcPr>
          <w:p w14:paraId="1CA598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 деревянная конструкция под мотор М-34 – 700 НР с предшеств. установкой БМВVI Е=7,3</w:t>
            </w:r>
          </w:p>
        </w:tc>
        <w:tc>
          <w:tcPr>
            <w:tcW w:w="737" w:type="dxa"/>
          </w:tcPr>
          <w:p w14:paraId="17C88D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053" w:type="dxa"/>
          </w:tcPr>
          <w:p w14:paraId="03EE73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6DD360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w:t>
            </w:r>
          </w:p>
        </w:tc>
        <w:tc>
          <w:tcPr>
            <w:tcW w:w="1053" w:type="dxa"/>
          </w:tcPr>
          <w:p w14:paraId="61245A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350</w:t>
            </w:r>
          </w:p>
        </w:tc>
        <w:tc>
          <w:tcPr>
            <w:tcW w:w="907" w:type="dxa"/>
          </w:tcPr>
          <w:p w14:paraId="4AA25A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200/3000</w:t>
            </w:r>
          </w:p>
        </w:tc>
        <w:tc>
          <w:tcPr>
            <w:tcW w:w="907" w:type="dxa"/>
          </w:tcPr>
          <w:p w14:paraId="5169BD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15'-20'/ 3000</w:t>
            </w:r>
          </w:p>
        </w:tc>
        <w:tc>
          <w:tcPr>
            <w:tcW w:w="1053" w:type="dxa"/>
          </w:tcPr>
          <w:p w14:paraId="608DF8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1053" w:type="dxa"/>
          </w:tcPr>
          <w:p w14:paraId="417E30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пулем.</w:t>
            </w:r>
          </w:p>
        </w:tc>
        <w:tc>
          <w:tcPr>
            <w:tcW w:w="1053" w:type="dxa"/>
          </w:tcPr>
          <w:p w14:paraId="210CE1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30</w:t>
            </w:r>
          </w:p>
        </w:tc>
        <w:tc>
          <w:tcPr>
            <w:tcW w:w="1053" w:type="dxa"/>
          </w:tcPr>
          <w:p w14:paraId="0625BA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30</w:t>
            </w:r>
          </w:p>
        </w:tc>
      </w:tr>
    </w:tbl>
    <w:p w14:paraId="6AF364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Дальние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179258B9" w14:textId="77777777">
        <w:tc>
          <w:tcPr>
            <w:tcW w:w="1633" w:type="dxa"/>
          </w:tcPr>
          <w:p w14:paraId="165F7E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МДР-1 металлическ. конструкции, под 2 мотора БМВVI общей мощностью 1000 НР</w:t>
            </w:r>
          </w:p>
        </w:tc>
        <w:tc>
          <w:tcPr>
            <w:tcW w:w="737" w:type="dxa"/>
          </w:tcPr>
          <w:p w14:paraId="689772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152283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6824B5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620</w:t>
            </w:r>
          </w:p>
        </w:tc>
        <w:tc>
          <w:tcPr>
            <w:tcW w:w="1053" w:type="dxa"/>
          </w:tcPr>
          <w:p w14:paraId="6361AE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w:t>
            </w:r>
          </w:p>
        </w:tc>
        <w:tc>
          <w:tcPr>
            <w:tcW w:w="907" w:type="dxa"/>
          </w:tcPr>
          <w:p w14:paraId="357844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163/3000</w:t>
            </w:r>
          </w:p>
        </w:tc>
        <w:tc>
          <w:tcPr>
            <w:tcW w:w="907" w:type="dxa"/>
          </w:tcPr>
          <w:p w14:paraId="61E008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32'/3000</w:t>
            </w:r>
          </w:p>
        </w:tc>
        <w:tc>
          <w:tcPr>
            <w:tcW w:w="1053" w:type="dxa"/>
          </w:tcPr>
          <w:p w14:paraId="6AA74D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4500</w:t>
            </w:r>
          </w:p>
        </w:tc>
        <w:tc>
          <w:tcPr>
            <w:tcW w:w="1053" w:type="dxa"/>
          </w:tcPr>
          <w:p w14:paraId="2F436189"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470183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2023C6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30</w:t>
            </w:r>
          </w:p>
        </w:tc>
      </w:tr>
      <w:tr w:rsidR="00E371BA" w:rsidRPr="00507A31" w14:paraId="210D384D" w14:textId="77777777">
        <w:tc>
          <w:tcPr>
            <w:tcW w:w="1633" w:type="dxa"/>
          </w:tcPr>
          <w:p w14:paraId="64626B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МДР-2 металлическ. конструкции, под 2 мотора БМВVI общей мощностью 1000 НР</w:t>
            </w:r>
          </w:p>
        </w:tc>
        <w:tc>
          <w:tcPr>
            <w:tcW w:w="737" w:type="dxa"/>
          </w:tcPr>
          <w:p w14:paraId="2EC8B3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649045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0DB80DE1"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68F927E2"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397BFD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163/3000</w:t>
            </w:r>
          </w:p>
        </w:tc>
        <w:tc>
          <w:tcPr>
            <w:tcW w:w="907" w:type="dxa"/>
          </w:tcPr>
          <w:p w14:paraId="64B1DB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26'/3000</w:t>
            </w:r>
          </w:p>
        </w:tc>
        <w:tc>
          <w:tcPr>
            <w:tcW w:w="1053" w:type="dxa"/>
          </w:tcPr>
          <w:p w14:paraId="164642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4250</w:t>
            </w:r>
          </w:p>
        </w:tc>
        <w:tc>
          <w:tcPr>
            <w:tcW w:w="1053" w:type="dxa"/>
          </w:tcPr>
          <w:p w14:paraId="207639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пулем.</w:t>
            </w:r>
          </w:p>
        </w:tc>
        <w:tc>
          <w:tcPr>
            <w:tcW w:w="1053" w:type="dxa"/>
          </w:tcPr>
          <w:p w14:paraId="728FAE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0D2009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30</w:t>
            </w:r>
          </w:p>
        </w:tc>
      </w:tr>
      <w:tr w:rsidR="00E371BA" w:rsidRPr="00507A31" w14:paraId="726C3882" w14:textId="77777777">
        <w:tc>
          <w:tcPr>
            <w:tcW w:w="1633" w:type="dxa"/>
          </w:tcPr>
          <w:p w14:paraId="1335AE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 металлическ. конструкции, под 2 мотора М-34 общей мощностью 150 НР</w:t>
            </w:r>
          </w:p>
        </w:tc>
        <w:tc>
          <w:tcPr>
            <w:tcW w:w="737" w:type="dxa"/>
          </w:tcPr>
          <w:p w14:paraId="0D81A2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414804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02D233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1500+500</w:t>
            </w:r>
          </w:p>
        </w:tc>
        <w:tc>
          <w:tcPr>
            <w:tcW w:w="1053" w:type="dxa"/>
          </w:tcPr>
          <w:p w14:paraId="5511C8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1000-1200</w:t>
            </w:r>
          </w:p>
        </w:tc>
        <w:tc>
          <w:tcPr>
            <w:tcW w:w="907" w:type="dxa"/>
          </w:tcPr>
          <w:p w14:paraId="264C5D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200/3000</w:t>
            </w:r>
          </w:p>
        </w:tc>
        <w:tc>
          <w:tcPr>
            <w:tcW w:w="907" w:type="dxa"/>
          </w:tcPr>
          <w:p w14:paraId="5AB59B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20'/3000</w:t>
            </w:r>
          </w:p>
        </w:tc>
        <w:tc>
          <w:tcPr>
            <w:tcW w:w="1053" w:type="dxa"/>
          </w:tcPr>
          <w:p w14:paraId="042862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1053" w:type="dxa"/>
          </w:tcPr>
          <w:p w14:paraId="1C4713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пулем.</w:t>
            </w:r>
          </w:p>
          <w:p w14:paraId="6DC989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 кг бомб</w:t>
            </w:r>
          </w:p>
        </w:tc>
        <w:tc>
          <w:tcPr>
            <w:tcW w:w="1053" w:type="dxa"/>
          </w:tcPr>
          <w:p w14:paraId="67A2E3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30</w:t>
            </w:r>
          </w:p>
        </w:tc>
        <w:tc>
          <w:tcPr>
            <w:tcW w:w="1053" w:type="dxa"/>
          </w:tcPr>
          <w:p w14:paraId="6EF970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31</w:t>
            </w:r>
          </w:p>
        </w:tc>
      </w:tr>
    </w:tbl>
    <w:p w14:paraId="3CC0CC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Тяжелые бомбардировщики (они же дальние торпедоносцы)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5AD905D0" w14:textId="77777777">
        <w:tc>
          <w:tcPr>
            <w:tcW w:w="1633" w:type="dxa"/>
          </w:tcPr>
          <w:p w14:paraId="4B6801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 металлическ. конструкции, под 2 мотора БМВVI общей мощностью 1000 НР</w:t>
            </w:r>
          </w:p>
        </w:tc>
        <w:tc>
          <w:tcPr>
            <w:tcW w:w="737" w:type="dxa"/>
          </w:tcPr>
          <w:p w14:paraId="6FFFEE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4871A3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4A8DBA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1500</w:t>
            </w:r>
          </w:p>
        </w:tc>
        <w:tc>
          <w:tcPr>
            <w:tcW w:w="1053" w:type="dxa"/>
          </w:tcPr>
          <w:p w14:paraId="3A331A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часа</w:t>
            </w:r>
          </w:p>
        </w:tc>
        <w:tc>
          <w:tcPr>
            <w:tcW w:w="907" w:type="dxa"/>
          </w:tcPr>
          <w:p w14:paraId="557BAB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180/3000</w:t>
            </w:r>
          </w:p>
        </w:tc>
        <w:tc>
          <w:tcPr>
            <w:tcW w:w="907" w:type="dxa"/>
          </w:tcPr>
          <w:p w14:paraId="0480AF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20'-25'/ 3000</w:t>
            </w:r>
          </w:p>
        </w:tc>
        <w:tc>
          <w:tcPr>
            <w:tcW w:w="1053" w:type="dxa"/>
          </w:tcPr>
          <w:p w14:paraId="57CCE4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4500</w:t>
            </w:r>
          </w:p>
        </w:tc>
        <w:tc>
          <w:tcPr>
            <w:tcW w:w="1053" w:type="dxa"/>
          </w:tcPr>
          <w:p w14:paraId="6A5F5C73"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676A98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7F7C33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30</w:t>
            </w:r>
          </w:p>
        </w:tc>
      </w:tr>
      <w:tr w:rsidR="00E371BA" w:rsidRPr="00507A31" w14:paraId="3A052952" w14:textId="77777777">
        <w:tc>
          <w:tcPr>
            <w:tcW w:w="1633" w:type="dxa"/>
          </w:tcPr>
          <w:p w14:paraId="52C0F3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 металлическ. конструкции, под 2 мотора М-35 общей мощностью 4000-5000 НР с предшест. установкой загран. Моторов</w:t>
            </w:r>
          </w:p>
        </w:tc>
        <w:tc>
          <w:tcPr>
            <w:tcW w:w="737" w:type="dxa"/>
          </w:tcPr>
          <w:p w14:paraId="4F380D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3471F0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123691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5360</w:t>
            </w:r>
          </w:p>
        </w:tc>
        <w:tc>
          <w:tcPr>
            <w:tcW w:w="1053" w:type="dxa"/>
          </w:tcPr>
          <w:p w14:paraId="526828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1200</w:t>
            </w:r>
          </w:p>
        </w:tc>
        <w:tc>
          <w:tcPr>
            <w:tcW w:w="907" w:type="dxa"/>
          </w:tcPr>
          <w:p w14:paraId="00EFEC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200/3000</w:t>
            </w:r>
          </w:p>
        </w:tc>
        <w:tc>
          <w:tcPr>
            <w:tcW w:w="907" w:type="dxa"/>
          </w:tcPr>
          <w:p w14:paraId="0F55634F"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59CF95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4500-5000</w:t>
            </w:r>
          </w:p>
        </w:tc>
        <w:tc>
          <w:tcPr>
            <w:tcW w:w="1053" w:type="dxa"/>
          </w:tcPr>
          <w:p w14:paraId="0BA675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 пулем.</w:t>
            </w:r>
          </w:p>
          <w:p w14:paraId="0BF586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пушка 20-37 мм</w:t>
            </w:r>
          </w:p>
          <w:p w14:paraId="653FBE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3200-4000 кг бомб</w:t>
            </w:r>
          </w:p>
        </w:tc>
        <w:tc>
          <w:tcPr>
            <w:tcW w:w="1053" w:type="dxa"/>
          </w:tcPr>
          <w:p w14:paraId="597F28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30</w:t>
            </w:r>
          </w:p>
        </w:tc>
        <w:tc>
          <w:tcPr>
            <w:tcW w:w="1053" w:type="dxa"/>
          </w:tcPr>
          <w:p w14:paraId="7E41B6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31</w:t>
            </w:r>
          </w:p>
        </w:tc>
      </w:tr>
      <w:tr w:rsidR="00E371BA" w:rsidRPr="00507A31" w14:paraId="6EC4A975" w14:textId="77777777">
        <w:tc>
          <w:tcPr>
            <w:tcW w:w="1633" w:type="dxa"/>
          </w:tcPr>
          <w:p w14:paraId="730F10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МТБ-3 металлическ. конструкции, под моторы мощностью ……</w:t>
            </w:r>
          </w:p>
        </w:tc>
        <w:tc>
          <w:tcPr>
            <w:tcW w:w="737" w:type="dxa"/>
          </w:tcPr>
          <w:p w14:paraId="23F5CC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27BB35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53" w:type="dxa"/>
          </w:tcPr>
          <w:p w14:paraId="53EF83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5360</w:t>
            </w:r>
          </w:p>
        </w:tc>
        <w:tc>
          <w:tcPr>
            <w:tcW w:w="1053" w:type="dxa"/>
          </w:tcPr>
          <w:p w14:paraId="269773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1200</w:t>
            </w:r>
          </w:p>
        </w:tc>
        <w:tc>
          <w:tcPr>
            <w:tcW w:w="907" w:type="dxa"/>
          </w:tcPr>
          <w:p w14:paraId="1B2EFC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200/3000</w:t>
            </w:r>
          </w:p>
        </w:tc>
        <w:tc>
          <w:tcPr>
            <w:tcW w:w="907" w:type="dxa"/>
          </w:tcPr>
          <w:p w14:paraId="74A26EC4"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168057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4500-5000</w:t>
            </w:r>
          </w:p>
        </w:tc>
        <w:tc>
          <w:tcPr>
            <w:tcW w:w="1053" w:type="dxa"/>
          </w:tcPr>
          <w:p w14:paraId="54A6E5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 пулем.</w:t>
            </w:r>
          </w:p>
          <w:p w14:paraId="21B04E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пушка 20-37 мм</w:t>
            </w:r>
          </w:p>
          <w:p w14:paraId="03B96F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3200-4000 кг бомб</w:t>
            </w:r>
          </w:p>
        </w:tc>
        <w:tc>
          <w:tcPr>
            <w:tcW w:w="1053" w:type="dxa"/>
          </w:tcPr>
          <w:p w14:paraId="7C0637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31</w:t>
            </w:r>
          </w:p>
        </w:tc>
        <w:tc>
          <w:tcPr>
            <w:tcW w:w="1053" w:type="dxa"/>
          </w:tcPr>
          <w:p w14:paraId="159E23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32</w:t>
            </w:r>
          </w:p>
        </w:tc>
      </w:tr>
    </w:tbl>
    <w:p w14:paraId="09A5E4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3E93035F" w14:textId="77777777">
        <w:tc>
          <w:tcPr>
            <w:tcW w:w="1633" w:type="dxa"/>
          </w:tcPr>
          <w:p w14:paraId="3C2A3B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 деревянная констр. поплавковая под мотор М-11 100 НР</w:t>
            </w:r>
          </w:p>
        </w:tc>
        <w:tc>
          <w:tcPr>
            <w:tcW w:w="737" w:type="dxa"/>
          </w:tcPr>
          <w:p w14:paraId="3B3034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4367B1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7C1B4C45"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3E49E961"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348B00E3"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53ADC55A"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4C78F313"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5711F086"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66452F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Проектируется</w:t>
            </w:r>
          </w:p>
        </w:tc>
        <w:tc>
          <w:tcPr>
            <w:tcW w:w="1053" w:type="dxa"/>
          </w:tcPr>
          <w:p w14:paraId="074008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30</w:t>
            </w:r>
          </w:p>
        </w:tc>
      </w:tr>
      <w:tr w:rsidR="00E371BA" w:rsidRPr="00507A31" w14:paraId="584F4621" w14:textId="77777777">
        <w:tc>
          <w:tcPr>
            <w:tcW w:w="1633" w:type="dxa"/>
          </w:tcPr>
          <w:p w14:paraId="28F52A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 деревянная констр. лодочная под мотор М-11 100 НР</w:t>
            </w:r>
          </w:p>
        </w:tc>
        <w:tc>
          <w:tcPr>
            <w:tcW w:w="737" w:type="dxa"/>
          </w:tcPr>
          <w:p w14:paraId="60698C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4C3C78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46F33673"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7B7CBBC8"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7B3CD7F8"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68365015"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06AB33BD"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70EC81AB"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3C377D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30</w:t>
            </w:r>
          </w:p>
        </w:tc>
        <w:tc>
          <w:tcPr>
            <w:tcW w:w="1053" w:type="dxa"/>
          </w:tcPr>
          <w:p w14:paraId="37C9EB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31</w:t>
            </w:r>
          </w:p>
        </w:tc>
      </w:tr>
    </w:tbl>
    <w:p w14:paraId="74424F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Легкие амфибии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507A31" w14:paraId="4A80BA18" w14:textId="77777777">
        <w:tc>
          <w:tcPr>
            <w:tcW w:w="1633" w:type="dxa"/>
          </w:tcPr>
          <w:p w14:paraId="2EF8A5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А-1 деревянная конструкция под мотор М-11 100 НР</w:t>
            </w:r>
          </w:p>
        </w:tc>
        <w:tc>
          <w:tcPr>
            <w:tcW w:w="737" w:type="dxa"/>
          </w:tcPr>
          <w:p w14:paraId="140240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053" w:type="dxa"/>
          </w:tcPr>
          <w:p w14:paraId="357337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53" w:type="dxa"/>
          </w:tcPr>
          <w:p w14:paraId="202C4C4E"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5E781F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c>
          <w:tcPr>
            <w:tcW w:w="907" w:type="dxa"/>
          </w:tcPr>
          <w:p w14:paraId="4157C9CA"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5FE51B27"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734FA006"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50BB05DB" w14:textId="77777777" w:rsidR="00537E5F" w:rsidRPr="00507A31" w:rsidRDefault="00537E5F" w:rsidP="00507A31">
            <w:pPr>
              <w:autoSpaceDE w:val="0"/>
              <w:autoSpaceDN w:val="0"/>
              <w:adjustRightInd w:val="0"/>
              <w:jc w:val="both"/>
              <w:rPr>
                <w:color w:val="000000" w:themeColor="text1"/>
                <w:sz w:val="16"/>
                <w:szCs w:val="16"/>
              </w:rPr>
            </w:pPr>
          </w:p>
        </w:tc>
        <w:tc>
          <w:tcPr>
            <w:tcW w:w="1053" w:type="dxa"/>
          </w:tcPr>
          <w:p w14:paraId="31DC90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w:t>
            </w:r>
          </w:p>
        </w:tc>
        <w:tc>
          <w:tcPr>
            <w:tcW w:w="1053" w:type="dxa"/>
          </w:tcPr>
          <w:p w14:paraId="759404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31</w:t>
            </w:r>
          </w:p>
        </w:tc>
      </w:tr>
    </w:tbl>
    <w:p w14:paraId="47700F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(3625, 16).</w:t>
      </w:r>
    </w:p>
    <w:p w14:paraId="3103E142" w14:textId="77777777" w:rsidR="00537E5F" w:rsidRPr="00507A31" w:rsidRDefault="00537E5F" w:rsidP="00507A31">
      <w:pPr>
        <w:autoSpaceDE w:val="0"/>
        <w:autoSpaceDN w:val="0"/>
        <w:adjustRightInd w:val="0"/>
        <w:jc w:val="both"/>
        <w:rPr>
          <w:color w:val="000000" w:themeColor="text1"/>
          <w:sz w:val="16"/>
          <w:szCs w:val="16"/>
        </w:rPr>
      </w:pPr>
    </w:p>
    <w:p w14:paraId="7CE570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года председатель НТК УВВС Дубенский и председатель 2 секции НТК Петровский подписали:</w:t>
      </w:r>
    </w:p>
    <w:p w14:paraId="091E87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опытного строительства НТК УВВС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E371BA" w:rsidRPr="00507A31" w14:paraId="291CA4BE" w14:textId="77777777">
        <w:tc>
          <w:tcPr>
            <w:tcW w:w="1134" w:type="dxa"/>
          </w:tcPr>
          <w:p w14:paraId="733506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w:t>
            </w:r>
          </w:p>
        </w:tc>
        <w:tc>
          <w:tcPr>
            <w:tcW w:w="772" w:type="dxa"/>
          </w:tcPr>
          <w:p w14:paraId="545A0D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37" w:type="dxa"/>
          </w:tcPr>
          <w:p w14:paraId="1DD214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Кол-во экз.</w:t>
            </w:r>
          </w:p>
        </w:tc>
        <w:tc>
          <w:tcPr>
            <w:tcW w:w="737" w:type="dxa"/>
          </w:tcPr>
          <w:p w14:paraId="1F58F9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Объем куб. м</w:t>
            </w:r>
          </w:p>
        </w:tc>
        <w:tc>
          <w:tcPr>
            <w:tcW w:w="851" w:type="dxa"/>
          </w:tcPr>
          <w:p w14:paraId="336344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72" w:type="dxa"/>
          </w:tcPr>
          <w:p w14:paraId="023B08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Полезн. нагруз. </w:t>
            </w:r>
          </w:p>
        </w:tc>
        <w:tc>
          <w:tcPr>
            <w:tcW w:w="737" w:type="dxa"/>
          </w:tcPr>
          <w:p w14:paraId="2DB774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 при ветре м/сек.</w:t>
            </w:r>
          </w:p>
        </w:tc>
        <w:tc>
          <w:tcPr>
            <w:tcW w:w="805" w:type="dxa"/>
          </w:tcPr>
          <w:p w14:paraId="71F9A3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Мощн. силовых установ. НР</w:t>
            </w:r>
          </w:p>
        </w:tc>
        <w:tc>
          <w:tcPr>
            <w:tcW w:w="772" w:type="dxa"/>
          </w:tcPr>
          <w:p w14:paraId="110B27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Наибол. ск. полета км/час</w:t>
            </w:r>
          </w:p>
        </w:tc>
        <w:tc>
          <w:tcPr>
            <w:tcW w:w="748" w:type="dxa"/>
          </w:tcPr>
          <w:p w14:paraId="73FC3E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Радиус действ.</w:t>
            </w:r>
          </w:p>
        </w:tc>
        <w:tc>
          <w:tcPr>
            <w:tcW w:w="772" w:type="dxa"/>
          </w:tcPr>
          <w:p w14:paraId="2EF6AD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Ск. выбир. м/сек. </w:t>
            </w:r>
          </w:p>
        </w:tc>
        <w:tc>
          <w:tcPr>
            <w:tcW w:w="992" w:type="dxa"/>
          </w:tcPr>
          <w:p w14:paraId="4873DB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Начало конструир.</w:t>
            </w:r>
          </w:p>
        </w:tc>
        <w:tc>
          <w:tcPr>
            <w:tcW w:w="964" w:type="dxa"/>
          </w:tcPr>
          <w:p w14:paraId="1FAE9A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предст. на госисп.</w:t>
            </w:r>
          </w:p>
        </w:tc>
        <w:tc>
          <w:tcPr>
            <w:tcW w:w="772" w:type="dxa"/>
          </w:tcPr>
          <w:p w14:paraId="085B14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Продолжител. постр. Образца</w:t>
            </w:r>
          </w:p>
        </w:tc>
      </w:tr>
    </w:tbl>
    <w:p w14:paraId="4AE8D0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опытного строительства НТК УВВС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E371BA" w:rsidRPr="00507A31" w14:paraId="2A5A3C1A" w14:textId="77777777">
        <w:tc>
          <w:tcPr>
            <w:tcW w:w="1134" w:type="dxa"/>
          </w:tcPr>
          <w:p w14:paraId="6083A5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Аэростат с нейтральной прослойкой</w:t>
            </w:r>
          </w:p>
        </w:tc>
        <w:tc>
          <w:tcPr>
            <w:tcW w:w="772" w:type="dxa"/>
          </w:tcPr>
          <w:p w14:paraId="35683A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Резинотрест (наруш. сроки. образец будет испыт. летом 1930 г.)</w:t>
            </w:r>
          </w:p>
        </w:tc>
        <w:tc>
          <w:tcPr>
            <w:tcW w:w="737" w:type="dxa"/>
          </w:tcPr>
          <w:p w14:paraId="7A9E28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737" w:type="dxa"/>
          </w:tcPr>
          <w:p w14:paraId="207BF3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1250</w:t>
            </w:r>
          </w:p>
        </w:tc>
        <w:tc>
          <w:tcPr>
            <w:tcW w:w="851" w:type="dxa"/>
          </w:tcPr>
          <w:p w14:paraId="4E4A88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1850</w:t>
            </w:r>
          </w:p>
        </w:tc>
        <w:tc>
          <w:tcPr>
            <w:tcW w:w="772" w:type="dxa"/>
          </w:tcPr>
          <w:p w14:paraId="1C54D4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набл. с приб.</w:t>
            </w:r>
          </w:p>
        </w:tc>
        <w:tc>
          <w:tcPr>
            <w:tcW w:w="737" w:type="dxa"/>
          </w:tcPr>
          <w:p w14:paraId="7D7261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tc>
        <w:tc>
          <w:tcPr>
            <w:tcW w:w="805" w:type="dxa"/>
          </w:tcPr>
          <w:p w14:paraId="281EDB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42C74D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48" w:type="dxa"/>
          </w:tcPr>
          <w:p w14:paraId="72F253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557AF7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6988D4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августа 1928</w:t>
            </w:r>
          </w:p>
        </w:tc>
        <w:tc>
          <w:tcPr>
            <w:tcW w:w="964" w:type="dxa"/>
          </w:tcPr>
          <w:p w14:paraId="413A8A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1929</w:t>
            </w:r>
          </w:p>
        </w:tc>
        <w:tc>
          <w:tcPr>
            <w:tcW w:w="772" w:type="dxa"/>
          </w:tcPr>
          <w:p w14:paraId="7DD689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мес.</w:t>
            </w:r>
          </w:p>
        </w:tc>
      </w:tr>
      <w:tr w:rsidR="00E371BA" w:rsidRPr="00507A31" w14:paraId="5DF1030F" w14:textId="77777777">
        <w:tc>
          <w:tcPr>
            <w:tcW w:w="1134" w:type="dxa"/>
          </w:tcPr>
          <w:p w14:paraId="62C06B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Аэростат с изменяющ. объемом </w:t>
            </w:r>
          </w:p>
        </w:tc>
        <w:tc>
          <w:tcPr>
            <w:tcW w:w="772" w:type="dxa"/>
          </w:tcPr>
          <w:p w14:paraId="0AE978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Резинотрест</w:t>
            </w:r>
          </w:p>
        </w:tc>
        <w:tc>
          <w:tcPr>
            <w:tcW w:w="737" w:type="dxa"/>
          </w:tcPr>
          <w:p w14:paraId="39AE6C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737" w:type="dxa"/>
          </w:tcPr>
          <w:p w14:paraId="738726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w:t>
            </w:r>
          </w:p>
        </w:tc>
        <w:tc>
          <w:tcPr>
            <w:tcW w:w="851" w:type="dxa"/>
          </w:tcPr>
          <w:p w14:paraId="22CBAF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2000</w:t>
            </w:r>
          </w:p>
        </w:tc>
        <w:tc>
          <w:tcPr>
            <w:tcW w:w="772" w:type="dxa"/>
          </w:tcPr>
          <w:p w14:paraId="7B25B3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набл. с приб.</w:t>
            </w:r>
          </w:p>
        </w:tc>
        <w:tc>
          <w:tcPr>
            <w:tcW w:w="737" w:type="dxa"/>
          </w:tcPr>
          <w:p w14:paraId="705D90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tc>
        <w:tc>
          <w:tcPr>
            <w:tcW w:w="805" w:type="dxa"/>
          </w:tcPr>
          <w:p w14:paraId="508724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6B7E6B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48" w:type="dxa"/>
          </w:tcPr>
          <w:p w14:paraId="6BDE90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546499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3262A0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апреля 1929</w:t>
            </w:r>
          </w:p>
        </w:tc>
        <w:tc>
          <w:tcPr>
            <w:tcW w:w="964" w:type="dxa"/>
          </w:tcPr>
          <w:p w14:paraId="0CAC25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августа 1929</w:t>
            </w:r>
          </w:p>
        </w:tc>
        <w:tc>
          <w:tcPr>
            <w:tcW w:w="772" w:type="dxa"/>
          </w:tcPr>
          <w:p w14:paraId="4320D7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мес.</w:t>
            </w:r>
          </w:p>
        </w:tc>
      </w:tr>
      <w:tr w:rsidR="00E371BA" w:rsidRPr="00507A31" w14:paraId="2BC0B3A5" w14:textId="77777777">
        <w:tc>
          <w:tcPr>
            <w:tcW w:w="1134" w:type="dxa"/>
          </w:tcPr>
          <w:p w14:paraId="020F3E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Усоверш. тип аэростата наблюдения</w:t>
            </w:r>
          </w:p>
        </w:tc>
        <w:tc>
          <w:tcPr>
            <w:tcW w:w="772" w:type="dxa"/>
          </w:tcPr>
          <w:p w14:paraId="1DEFBF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Резинотрест</w:t>
            </w:r>
          </w:p>
        </w:tc>
        <w:tc>
          <w:tcPr>
            <w:tcW w:w="737" w:type="dxa"/>
          </w:tcPr>
          <w:p w14:paraId="11872B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737" w:type="dxa"/>
          </w:tcPr>
          <w:p w14:paraId="099E7B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w:t>
            </w:r>
          </w:p>
        </w:tc>
        <w:tc>
          <w:tcPr>
            <w:tcW w:w="851" w:type="dxa"/>
          </w:tcPr>
          <w:p w14:paraId="1FFFDD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2000</w:t>
            </w:r>
          </w:p>
        </w:tc>
        <w:tc>
          <w:tcPr>
            <w:tcW w:w="772" w:type="dxa"/>
          </w:tcPr>
          <w:p w14:paraId="35EA37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набл. с приб.</w:t>
            </w:r>
          </w:p>
        </w:tc>
        <w:tc>
          <w:tcPr>
            <w:tcW w:w="737" w:type="dxa"/>
          </w:tcPr>
          <w:p w14:paraId="75642B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tc>
        <w:tc>
          <w:tcPr>
            <w:tcW w:w="805" w:type="dxa"/>
          </w:tcPr>
          <w:p w14:paraId="1EF8A4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43D2BF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48" w:type="dxa"/>
          </w:tcPr>
          <w:p w14:paraId="0710B5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270745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5D08D2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1931</w:t>
            </w:r>
          </w:p>
        </w:tc>
        <w:tc>
          <w:tcPr>
            <w:tcW w:w="964" w:type="dxa"/>
          </w:tcPr>
          <w:p w14:paraId="367B35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1932</w:t>
            </w:r>
          </w:p>
        </w:tc>
        <w:tc>
          <w:tcPr>
            <w:tcW w:w="772" w:type="dxa"/>
          </w:tcPr>
          <w:p w14:paraId="2FCB77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мес.</w:t>
            </w:r>
          </w:p>
        </w:tc>
      </w:tr>
      <w:tr w:rsidR="00E371BA" w:rsidRPr="00507A31" w14:paraId="4FAD02C7" w14:textId="77777777">
        <w:tc>
          <w:tcPr>
            <w:tcW w:w="1134" w:type="dxa"/>
          </w:tcPr>
          <w:p w14:paraId="1AB87A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Аэростат привязн. управляемый по проекту НИИ ВВС</w:t>
            </w:r>
          </w:p>
        </w:tc>
        <w:tc>
          <w:tcPr>
            <w:tcW w:w="772" w:type="dxa"/>
          </w:tcPr>
          <w:p w14:paraId="323454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Резинотрест и ЦАГИ</w:t>
            </w:r>
          </w:p>
        </w:tc>
        <w:tc>
          <w:tcPr>
            <w:tcW w:w="737" w:type="dxa"/>
          </w:tcPr>
          <w:p w14:paraId="1C9DCD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737" w:type="dxa"/>
          </w:tcPr>
          <w:p w14:paraId="6CE039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1260</w:t>
            </w:r>
          </w:p>
        </w:tc>
        <w:tc>
          <w:tcPr>
            <w:tcW w:w="851" w:type="dxa"/>
          </w:tcPr>
          <w:p w14:paraId="71032E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Прив. 2000</w:t>
            </w:r>
          </w:p>
          <w:p w14:paraId="221A6F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Упр. 1000</w:t>
            </w:r>
          </w:p>
        </w:tc>
        <w:tc>
          <w:tcPr>
            <w:tcW w:w="772" w:type="dxa"/>
          </w:tcPr>
          <w:p w14:paraId="6B4222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чел. горюч. на 4 часа и 100 кг груза</w:t>
            </w:r>
          </w:p>
        </w:tc>
        <w:tc>
          <w:tcPr>
            <w:tcW w:w="737" w:type="dxa"/>
          </w:tcPr>
          <w:p w14:paraId="6338A2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p w14:paraId="0EB0CC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05" w:type="dxa"/>
          </w:tcPr>
          <w:p w14:paraId="2F9645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32F40C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72" w:type="dxa"/>
          </w:tcPr>
          <w:p w14:paraId="578A80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7772B9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72</w:t>
            </w:r>
          </w:p>
        </w:tc>
        <w:tc>
          <w:tcPr>
            <w:tcW w:w="748" w:type="dxa"/>
          </w:tcPr>
          <w:p w14:paraId="074AFA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6273C9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c>
          <w:tcPr>
            <w:tcW w:w="772" w:type="dxa"/>
          </w:tcPr>
          <w:p w14:paraId="0EF9CC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201A5B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2E22C102"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06533C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w:t>
            </w:r>
          </w:p>
        </w:tc>
        <w:tc>
          <w:tcPr>
            <w:tcW w:w="964" w:type="dxa"/>
          </w:tcPr>
          <w:p w14:paraId="424B6F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772" w:type="dxa"/>
          </w:tcPr>
          <w:p w14:paraId="62F798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мес.</w:t>
            </w:r>
          </w:p>
        </w:tc>
      </w:tr>
      <w:tr w:rsidR="00E371BA" w:rsidRPr="00507A31" w14:paraId="0410FD49" w14:textId="77777777">
        <w:tc>
          <w:tcPr>
            <w:tcW w:w="1134" w:type="dxa"/>
          </w:tcPr>
          <w:p w14:paraId="3B5069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Усоверш. тип привязн. Управляем. аэростата </w:t>
            </w:r>
          </w:p>
        </w:tc>
        <w:tc>
          <w:tcPr>
            <w:tcW w:w="772" w:type="dxa"/>
          </w:tcPr>
          <w:p w14:paraId="16DDF2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Резинотрест</w:t>
            </w:r>
          </w:p>
        </w:tc>
        <w:tc>
          <w:tcPr>
            <w:tcW w:w="737" w:type="dxa"/>
          </w:tcPr>
          <w:p w14:paraId="5BBA63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737" w:type="dxa"/>
          </w:tcPr>
          <w:p w14:paraId="187C52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1260</w:t>
            </w:r>
          </w:p>
        </w:tc>
        <w:tc>
          <w:tcPr>
            <w:tcW w:w="851" w:type="dxa"/>
          </w:tcPr>
          <w:p w14:paraId="747105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Прив. 2000</w:t>
            </w:r>
          </w:p>
          <w:p w14:paraId="2EE1EE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Упр. 1000</w:t>
            </w:r>
          </w:p>
        </w:tc>
        <w:tc>
          <w:tcPr>
            <w:tcW w:w="772" w:type="dxa"/>
          </w:tcPr>
          <w:p w14:paraId="2C90A7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чел. горюч. на 4 часа и 100 кг груза</w:t>
            </w:r>
          </w:p>
        </w:tc>
        <w:tc>
          <w:tcPr>
            <w:tcW w:w="737" w:type="dxa"/>
          </w:tcPr>
          <w:p w14:paraId="4485D0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p w14:paraId="5CAA6B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05" w:type="dxa"/>
          </w:tcPr>
          <w:p w14:paraId="10EAF6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21070B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72" w:type="dxa"/>
          </w:tcPr>
          <w:p w14:paraId="265B36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1450F1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72</w:t>
            </w:r>
          </w:p>
        </w:tc>
        <w:tc>
          <w:tcPr>
            <w:tcW w:w="748" w:type="dxa"/>
          </w:tcPr>
          <w:p w14:paraId="005BA4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56BD98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c>
          <w:tcPr>
            <w:tcW w:w="772" w:type="dxa"/>
          </w:tcPr>
          <w:p w14:paraId="428B2F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70A688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3FC295DD"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26FC1A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1932</w:t>
            </w:r>
          </w:p>
        </w:tc>
        <w:tc>
          <w:tcPr>
            <w:tcW w:w="964" w:type="dxa"/>
          </w:tcPr>
          <w:p w14:paraId="30962F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1933</w:t>
            </w:r>
          </w:p>
        </w:tc>
        <w:tc>
          <w:tcPr>
            <w:tcW w:w="772" w:type="dxa"/>
          </w:tcPr>
          <w:p w14:paraId="0CB12C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мес.</w:t>
            </w:r>
          </w:p>
        </w:tc>
      </w:tr>
    </w:tbl>
    <w:p w14:paraId="1AD185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Аэростаты загражения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E371BA" w:rsidRPr="00507A31" w14:paraId="53041BDC" w14:textId="77777777">
        <w:tc>
          <w:tcPr>
            <w:tcW w:w="1134" w:type="dxa"/>
          </w:tcPr>
          <w:p w14:paraId="72EFF1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Аэростат Резинотреста</w:t>
            </w:r>
          </w:p>
        </w:tc>
        <w:tc>
          <w:tcPr>
            <w:tcW w:w="772" w:type="dxa"/>
          </w:tcPr>
          <w:p w14:paraId="7A1A7F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Резинотрест</w:t>
            </w:r>
          </w:p>
        </w:tc>
        <w:tc>
          <w:tcPr>
            <w:tcW w:w="737" w:type="dxa"/>
          </w:tcPr>
          <w:p w14:paraId="65989F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737" w:type="dxa"/>
          </w:tcPr>
          <w:p w14:paraId="2B2E65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350</w:t>
            </w:r>
          </w:p>
        </w:tc>
        <w:tc>
          <w:tcPr>
            <w:tcW w:w="851" w:type="dxa"/>
          </w:tcPr>
          <w:p w14:paraId="2DF6DC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3500</w:t>
            </w:r>
          </w:p>
        </w:tc>
        <w:tc>
          <w:tcPr>
            <w:tcW w:w="772" w:type="dxa"/>
          </w:tcPr>
          <w:p w14:paraId="7278A7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37" w:type="dxa"/>
          </w:tcPr>
          <w:p w14:paraId="19B256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w:t>
            </w:r>
          </w:p>
        </w:tc>
        <w:tc>
          <w:tcPr>
            <w:tcW w:w="805" w:type="dxa"/>
          </w:tcPr>
          <w:p w14:paraId="69BC58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799246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48" w:type="dxa"/>
          </w:tcPr>
          <w:p w14:paraId="7BA944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27BB5B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59AEB3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июня 1928</w:t>
            </w:r>
          </w:p>
        </w:tc>
        <w:tc>
          <w:tcPr>
            <w:tcW w:w="964" w:type="dxa"/>
          </w:tcPr>
          <w:p w14:paraId="1E29D0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сентября 1928</w:t>
            </w:r>
          </w:p>
        </w:tc>
        <w:tc>
          <w:tcPr>
            <w:tcW w:w="772" w:type="dxa"/>
          </w:tcPr>
          <w:p w14:paraId="452261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мес.</w:t>
            </w:r>
          </w:p>
        </w:tc>
      </w:tr>
      <w:tr w:rsidR="00E371BA" w:rsidRPr="00507A31" w14:paraId="0B51CBA4" w14:textId="77777777">
        <w:tc>
          <w:tcPr>
            <w:tcW w:w="1134" w:type="dxa"/>
          </w:tcPr>
          <w:p w14:paraId="5FAD9A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Аэростаты по образцу французск. Тандем.</w:t>
            </w:r>
          </w:p>
        </w:tc>
        <w:tc>
          <w:tcPr>
            <w:tcW w:w="772" w:type="dxa"/>
          </w:tcPr>
          <w:p w14:paraId="21FA76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Резинотрест</w:t>
            </w:r>
          </w:p>
        </w:tc>
        <w:tc>
          <w:tcPr>
            <w:tcW w:w="737" w:type="dxa"/>
          </w:tcPr>
          <w:p w14:paraId="209382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737" w:type="dxa"/>
          </w:tcPr>
          <w:p w14:paraId="560E85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185</w:t>
            </w:r>
          </w:p>
        </w:tc>
        <w:tc>
          <w:tcPr>
            <w:tcW w:w="851" w:type="dxa"/>
          </w:tcPr>
          <w:p w14:paraId="06174B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3500</w:t>
            </w:r>
          </w:p>
        </w:tc>
        <w:tc>
          <w:tcPr>
            <w:tcW w:w="772" w:type="dxa"/>
          </w:tcPr>
          <w:p w14:paraId="46BF77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37" w:type="dxa"/>
          </w:tcPr>
          <w:p w14:paraId="3A699D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w:t>
            </w:r>
          </w:p>
        </w:tc>
        <w:tc>
          <w:tcPr>
            <w:tcW w:w="805" w:type="dxa"/>
          </w:tcPr>
          <w:p w14:paraId="00C7BF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0A039D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48" w:type="dxa"/>
          </w:tcPr>
          <w:p w14:paraId="47B4B9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7B2E14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31DF7E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1930</w:t>
            </w:r>
          </w:p>
        </w:tc>
        <w:tc>
          <w:tcPr>
            <w:tcW w:w="964" w:type="dxa"/>
          </w:tcPr>
          <w:p w14:paraId="65F7FE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w:t>
            </w:r>
          </w:p>
        </w:tc>
        <w:tc>
          <w:tcPr>
            <w:tcW w:w="772" w:type="dxa"/>
          </w:tcPr>
          <w:p w14:paraId="75F9CD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мес.</w:t>
            </w:r>
          </w:p>
        </w:tc>
      </w:tr>
      <w:tr w:rsidR="00E371BA" w:rsidRPr="00507A31" w14:paraId="0B88D179" w14:textId="77777777">
        <w:tc>
          <w:tcPr>
            <w:tcW w:w="1134" w:type="dxa"/>
          </w:tcPr>
          <w:p w14:paraId="5BFE10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Усоверш. аэростат заграждения</w:t>
            </w:r>
          </w:p>
        </w:tc>
        <w:tc>
          <w:tcPr>
            <w:tcW w:w="772" w:type="dxa"/>
          </w:tcPr>
          <w:p w14:paraId="3CD346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Резинотрест</w:t>
            </w:r>
          </w:p>
        </w:tc>
        <w:tc>
          <w:tcPr>
            <w:tcW w:w="737" w:type="dxa"/>
          </w:tcPr>
          <w:p w14:paraId="104060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737" w:type="dxa"/>
          </w:tcPr>
          <w:p w14:paraId="10BCC6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185</w:t>
            </w:r>
          </w:p>
        </w:tc>
        <w:tc>
          <w:tcPr>
            <w:tcW w:w="851" w:type="dxa"/>
          </w:tcPr>
          <w:p w14:paraId="351E58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3500</w:t>
            </w:r>
          </w:p>
        </w:tc>
        <w:tc>
          <w:tcPr>
            <w:tcW w:w="772" w:type="dxa"/>
          </w:tcPr>
          <w:p w14:paraId="6836F4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37" w:type="dxa"/>
          </w:tcPr>
          <w:p w14:paraId="1F5595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tc>
        <w:tc>
          <w:tcPr>
            <w:tcW w:w="805" w:type="dxa"/>
          </w:tcPr>
          <w:p w14:paraId="3156E9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6E4DDA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48" w:type="dxa"/>
          </w:tcPr>
          <w:p w14:paraId="3BC505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105E6F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11E678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1931</w:t>
            </w:r>
          </w:p>
        </w:tc>
        <w:tc>
          <w:tcPr>
            <w:tcW w:w="964" w:type="dxa"/>
          </w:tcPr>
          <w:p w14:paraId="51A6CB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1931</w:t>
            </w:r>
          </w:p>
        </w:tc>
        <w:tc>
          <w:tcPr>
            <w:tcW w:w="772" w:type="dxa"/>
          </w:tcPr>
          <w:p w14:paraId="06E49D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мес.</w:t>
            </w:r>
          </w:p>
        </w:tc>
      </w:tr>
    </w:tbl>
    <w:p w14:paraId="1AD8CC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Дирижабли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E371BA" w:rsidRPr="00507A31" w14:paraId="0E8E394A" w14:textId="77777777">
        <w:tc>
          <w:tcPr>
            <w:tcW w:w="1134" w:type="dxa"/>
          </w:tcPr>
          <w:p w14:paraId="0A2BFC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Дирижабль полужесткий системы малого объема</w:t>
            </w:r>
          </w:p>
        </w:tc>
        <w:tc>
          <w:tcPr>
            <w:tcW w:w="772" w:type="dxa"/>
          </w:tcPr>
          <w:p w14:paraId="548400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737" w:type="dxa"/>
          </w:tcPr>
          <w:p w14:paraId="670B0B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737" w:type="dxa"/>
          </w:tcPr>
          <w:p w14:paraId="2DB747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10000</w:t>
            </w:r>
          </w:p>
        </w:tc>
        <w:tc>
          <w:tcPr>
            <w:tcW w:w="851" w:type="dxa"/>
          </w:tcPr>
          <w:p w14:paraId="6B30C2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2000</w:t>
            </w:r>
          </w:p>
        </w:tc>
        <w:tc>
          <w:tcPr>
            <w:tcW w:w="772" w:type="dxa"/>
          </w:tcPr>
          <w:p w14:paraId="489489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1000 кг гр.</w:t>
            </w:r>
          </w:p>
        </w:tc>
        <w:tc>
          <w:tcPr>
            <w:tcW w:w="737" w:type="dxa"/>
          </w:tcPr>
          <w:p w14:paraId="057C92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05" w:type="dxa"/>
          </w:tcPr>
          <w:p w14:paraId="16FEE2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300</w:t>
            </w:r>
          </w:p>
        </w:tc>
        <w:tc>
          <w:tcPr>
            <w:tcW w:w="772" w:type="dxa"/>
          </w:tcPr>
          <w:p w14:paraId="4B5501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48" w:type="dxa"/>
          </w:tcPr>
          <w:p w14:paraId="171657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500</w:t>
            </w:r>
          </w:p>
        </w:tc>
        <w:tc>
          <w:tcPr>
            <w:tcW w:w="772" w:type="dxa"/>
          </w:tcPr>
          <w:p w14:paraId="4F1BDC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7ADC66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1931</w:t>
            </w:r>
          </w:p>
        </w:tc>
        <w:tc>
          <w:tcPr>
            <w:tcW w:w="964" w:type="dxa"/>
          </w:tcPr>
          <w:p w14:paraId="744F56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1933</w:t>
            </w:r>
          </w:p>
        </w:tc>
        <w:tc>
          <w:tcPr>
            <w:tcW w:w="772" w:type="dxa"/>
          </w:tcPr>
          <w:p w14:paraId="22C585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мес.</w:t>
            </w:r>
          </w:p>
        </w:tc>
      </w:tr>
      <w:tr w:rsidR="00E371BA" w:rsidRPr="00507A31" w14:paraId="39D1CA2E" w14:textId="77777777">
        <w:tc>
          <w:tcPr>
            <w:tcW w:w="1134" w:type="dxa"/>
          </w:tcPr>
          <w:p w14:paraId="01387F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Дирижабль полужесткий системы малого объема (второй вариант)</w:t>
            </w:r>
          </w:p>
        </w:tc>
        <w:tc>
          <w:tcPr>
            <w:tcW w:w="772" w:type="dxa"/>
          </w:tcPr>
          <w:p w14:paraId="6F721E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737" w:type="dxa"/>
          </w:tcPr>
          <w:p w14:paraId="08083A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37" w:type="dxa"/>
          </w:tcPr>
          <w:p w14:paraId="3EB6B3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1" w:type="dxa"/>
          </w:tcPr>
          <w:p w14:paraId="020A72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65E257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37" w:type="dxa"/>
          </w:tcPr>
          <w:p w14:paraId="374836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05" w:type="dxa"/>
          </w:tcPr>
          <w:p w14:paraId="6872A3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10E483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48" w:type="dxa"/>
          </w:tcPr>
          <w:p w14:paraId="29A053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06AC04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10471E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Констр. начинается со второй пятилетки</w:t>
            </w:r>
          </w:p>
        </w:tc>
        <w:tc>
          <w:tcPr>
            <w:tcW w:w="964" w:type="dxa"/>
          </w:tcPr>
          <w:p w14:paraId="137717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5AC45A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bl>
    <w:p w14:paraId="404618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Автолебедки и лебедки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E371BA" w:rsidRPr="00507A31" w14:paraId="6C501F58" w14:textId="77777777">
        <w:tc>
          <w:tcPr>
            <w:tcW w:w="1134" w:type="dxa"/>
          </w:tcPr>
          <w:p w14:paraId="5C16C1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Автолебедки для аэростатов наблюдения</w:t>
            </w:r>
          </w:p>
        </w:tc>
        <w:tc>
          <w:tcPr>
            <w:tcW w:w="772" w:type="dxa"/>
          </w:tcPr>
          <w:p w14:paraId="700A76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Автотрест</w:t>
            </w:r>
          </w:p>
        </w:tc>
        <w:tc>
          <w:tcPr>
            <w:tcW w:w="737" w:type="dxa"/>
          </w:tcPr>
          <w:p w14:paraId="5C819F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737" w:type="dxa"/>
          </w:tcPr>
          <w:p w14:paraId="73CE8C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1" w:type="dxa"/>
          </w:tcPr>
          <w:p w14:paraId="55E4FA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4C7D5E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37" w:type="dxa"/>
          </w:tcPr>
          <w:p w14:paraId="00A317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05" w:type="dxa"/>
          </w:tcPr>
          <w:p w14:paraId="0BCD71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120</w:t>
            </w:r>
          </w:p>
        </w:tc>
        <w:tc>
          <w:tcPr>
            <w:tcW w:w="772" w:type="dxa"/>
          </w:tcPr>
          <w:p w14:paraId="637893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48" w:type="dxa"/>
          </w:tcPr>
          <w:p w14:paraId="23B0AC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4BD178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992" w:type="dxa"/>
          </w:tcPr>
          <w:p w14:paraId="3E1424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964" w:type="dxa"/>
          </w:tcPr>
          <w:p w14:paraId="25C7DA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1931</w:t>
            </w:r>
          </w:p>
        </w:tc>
        <w:tc>
          <w:tcPr>
            <w:tcW w:w="772" w:type="dxa"/>
          </w:tcPr>
          <w:p w14:paraId="7F2292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мес.</w:t>
            </w:r>
          </w:p>
        </w:tc>
      </w:tr>
      <w:tr w:rsidR="00E371BA" w:rsidRPr="00507A31" w14:paraId="51220F38" w14:textId="77777777">
        <w:tc>
          <w:tcPr>
            <w:tcW w:w="1134" w:type="dxa"/>
          </w:tcPr>
          <w:p w14:paraId="58CF6B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Лебедки для аэростатов заграждения</w:t>
            </w:r>
          </w:p>
        </w:tc>
        <w:tc>
          <w:tcPr>
            <w:tcW w:w="772" w:type="dxa"/>
          </w:tcPr>
          <w:p w14:paraId="28573E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Автотрест</w:t>
            </w:r>
          </w:p>
        </w:tc>
        <w:tc>
          <w:tcPr>
            <w:tcW w:w="737" w:type="dxa"/>
          </w:tcPr>
          <w:p w14:paraId="35F951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737" w:type="dxa"/>
          </w:tcPr>
          <w:p w14:paraId="38BEB0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1" w:type="dxa"/>
          </w:tcPr>
          <w:p w14:paraId="067CDB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7EFB8D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37" w:type="dxa"/>
          </w:tcPr>
          <w:p w14:paraId="137D3A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05" w:type="dxa"/>
          </w:tcPr>
          <w:p w14:paraId="4635B4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w:t>
            </w:r>
          </w:p>
        </w:tc>
        <w:tc>
          <w:tcPr>
            <w:tcW w:w="772" w:type="dxa"/>
          </w:tcPr>
          <w:p w14:paraId="155364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48" w:type="dxa"/>
          </w:tcPr>
          <w:p w14:paraId="3B4E59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47C490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c>
          <w:tcPr>
            <w:tcW w:w="992" w:type="dxa"/>
          </w:tcPr>
          <w:p w14:paraId="5AD9FB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964" w:type="dxa"/>
          </w:tcPr>
          <w:p w14:paraId="77909D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w:t>
            </w:r>
          </w:p>
        </w:tc>
        <w:tc>
          <w:tcPr>
            <w:tcW w:w="772" w:type="dxa"/>
          </w:tcPr>
          <w:p w14:paraId="01F939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мес.</w:t>
            </w:r>
          </w:p>
        </w:tc>
      </w:tr>
      <w:tr w:rsidR="00E371BA" w:rsidRPr="00507A31" w14:paraId="313430CE" w14:textId="77777777">
        <w:tc>
          <w:tcPr>
            <w:tcW w:w="1134" w:type="dxa"/>
          </w:tcPr>
          <w:p w14:paraId="22AEC3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Второй вариант этой лебедки</w:t>
            </w:r>
          </w:p>
        </w:tc>
        <w:tc>
          <w:tcPr>
            <w:tcW w:w="772" w:type="dxa"/>
          </w:tcPr>
          <w:p w14:paraId="258501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Автотрест</w:t>
            </w:r>
          </w:p>
        </w:tc>
        <w:tc>
          <w:tcPr>
            <w:tcW w:w="737" w:type="dxa"/>
          </w:tcPr>
          <w:p w14:paraId="7A9A85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737" w:type="dxa"/>
          </w:tcPr>
          <w:p w14:paraId="1508E6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1" w:type="dxa"/>
          </w:tcPr>
          <w:p w14:paraId="118BCD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3B4DC4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37" w:type="dxa"/>
          </w:tcPr>
          <w:p w14:paraId="316EA7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05" w:type="dxa"/>
          </w:tcPr>
          <w:p w14:paraId="7D1671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772" w:type="dxa"/>
          </w:tcPr>
          <w:p w14:paraId="60FF8F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48" w:type="dxa"/>
          </w:tcPr>
          <w:p w14:paraId="4736D3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1D5174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c>
          <w:tcPr>
            <w:tcW w:w="992" w:type="dxa"/>
          </w:tcPr>
          <w:p w14:paraId="58EBF0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964" w:type="dxa"/>
          </w:tcPr>
          <w:p w14:paraId="6E71AC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772" w:type="dxa"/>
          </w:tcPr>
          <w:p w14:paraId="19ECEC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мес.</w:t>
            </w:r>
          </w:p>
        </w:tc>
      </w:tr>
      <w:tr w:rsidR="00E371BA" w:rsidRPr="00507A31" w14:paraId="68BFAEA1" w14:textId="77777777">
        <w:tc>
          <w:tcPr>
            <w:tcW w:w="1134" w:type="dxa"/>
          </w:tcPr>
          <w:p w14:paraId="3A412F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Усоверш. тип лебедки для аэростатов заграждения</w:t>
            </w:r>
          </w:p>
        </w:tc>
        <w:tc>
          <w:tcPr>
            <w:tcW w:w="772" w:type="dxa"/>
          </w:tcPr>
          <w:p w14:paraId="71BC5B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Автотрест</w:t>
            </w:r>
          </w:p>
        </w:tc>
        <w:tc>
          <w:tcPr>
            <w:tcW w:w="737" w:type="dxa"/>
          </w:tcPr>
          <w:p w14:paraId="620632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737" w:type="dxa"/>
          </w:tcPr>
          <w:p w14:paraId="22C070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1" w:type="dxa"/>
          </w:tcPr>
          <w:p w14:paraId="4BAD50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52E466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37" w:type="dxa"/>
          </w:tcPr>
          <w:p w14:paraId="1F2ADE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05" w:type="dxa"/>
          </w:tcPr>
          <w:p w14:paraId="4AA9AA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w:t>
            </w:r>
          </w:p>
        </w:tc>
        <w:tc>
          <w:tcPr>
            <w:tcW w:w="772" w:type="dxa"/>
          </w:tcPr>
          <w:p w14:paraId="6A0E69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48" w:type="dxa"/>
          </w:tcPr>
          <w:p w14:paraId="45F766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772" w:type="dxa"/>
          </w:tcPr>
          <w:p w14:paraId="3F2470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992" w:type="dxa"/>
          </w:tcPr>
          <w:p w14:paraId="73F61D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964" w:type="dxa"/>
          </w:tcPr>
          <w:p w14:paraId="43E818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авгкста 1932</w:t>
            </w:r>
          </w:p>
        </w:tc>
        <w:tc>
          <w:tcPr>
            <w:tcW w:w="772" w:type="dxa"/>
          </w:tcPr>
          <w:p w14:paraId="3A0EE6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мес.</w:t>
            </w:r>
          </w:p>
        </w:tc>
      </w:tr>
    </w:tbl>
    <w:p w14:paraId="1C9B3D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(3625, 17)</w:t>
      </w:r>
    </w:p>
    <w:p w14:paraId="0AA500A7" w14:textId="77777777" w:rsidR="00537E5F" w:rsidRPr="00507A31" w:rsidRDefault="00537E5F" w:rsidP="00507A31">
      <w:pPr>
        <w:autoSpaceDE w:val="0"/>
        <w:autoSpaceDN w:val="0"/>
        <w:adjustRightInd w:val="0"/>
        <w:jc w:val="both"/>
        <w:rPr>
          <w:color w:val="000000" w:themeColor="text1"/>
          <w:sz w:val="16"/>
          <w:szCs w:val="16"/>
        </w:rPr>
      </w:pPr>
    </w:p>
    <w:p w14:paraId="7716CA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года председатель НТК УВВС Дубенский и председатель 2 секции НТК Петровский подписали:</w:t>
      </w:r>
    </w:p>
    <w:p w14:paraId="4073D2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опытного строительства предметов авиационного вооружения (бомбы, пулеметы и пушки) 1929/30-31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E371BA" w:rsidRPr="00507A31" w14:paraId="77D7A45E" w14:textId="77777777">
        <w:tc>
          <w:tcPr>
            <w:tcW w:w="1247" w:type="dxa"/>
          </w:tcPr>
          <w:p w14:paraId="3651AC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 образца</w:t>
            </w:r>
          </w:p>
        </w:tc>
        <w:tc>
          <w:tcPr>
            <w:tcW w:w="794" w:type="dxa"/>
          </w:tcPr>
          <w:p w14:paraId="7656B3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Система опытн. образца</w:t>
            </w:r>
          </w:p>
        </w:tc>
        <w:tc>
          <w:tcPr>
            <w:tcW w:w="907" w:type="dxa"/>
          </w:tcPr>
          <w:p w14:paraId="773070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Сост. работ </w:t>
            </w:r>
            <w:r w:rsidRPr="00507A31">
              <w:rPr>
                <w:color w:val="000000" w:themeColor="text1"/>
                <w:sz w:val="16"/>
                <w:szCs w:val="16"/>
              </w:rPr>
              <w:lastRenderedPageBreak/>
              <w:t xml:space="preserve">(сост. вопроса) </w:t>
            </w:r>
          </w:p>
        </w:tc>
        <w:tc>
          <w:tcPr>
            <w:tcW w:w="907" w:type="dxa"/>
          </w:tcPr>
          <w:p w14:paraId="1852A0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Сост. работ (где разрабат.)</w:t>
            </w:r>
          </w:p>
        </w:tc>
        <w:tc>
          <w:tcPr>
            <w:tcW w:w="907" w:type="dxa"/>
          </w:tcPr>
          <w:p w14:paraId="34EEF7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Начало проектир.</w:t>
            </w:r>
          </w:p>
        </w:tc>
        <w:tc>
          <w:tcPr>
            <w:tcW w:w="907" w:type="dxa"/>
          </w:tcPr>
          <w:p w14:paraId="4E8BFB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Окончан. проектир. </w:t>
            </w:r>
          </w:p>
        </w:tc>
        <w:tc>
          <w:tcPr>
            <w:tcW w:w="1021" w:type="dxa"/>
          </w:tcPr>
          <w:p w14:paraId="6B475A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Начало изготовл. </w:t>
            </w:r>
            <w:r w:rsidRPr="00507A31">
              <w:rPr>
                <w:color w:val="000000" w:themeColor="text1"/>
                <w:sz w:val="16"/>
                <w:szCs w:val="16"/>
              </w:rPr>
              <w:lastRenderedPageBreak/>
              <w:t>опытного образца</w:t>
            </w:r>
          </w:p>
        </w:tc>
        <w:tc>
          <w:tcPr>
            <w:tcW w:w="1021" w:type="dxa"/>
          </w:tcPr>
          <w:p w14:paraId="2B739C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Окончан. изготовл. образца по </w:t>
            </w:r>
            <w:r w:rsidRPr="00507A31">
              <w:rPr>
                <w:color w:val="000000" w:themeColor="text1"/>
                <w:sz w:val="16"/>
                <w:szCs w:val="16"/>
              </w:rPr>
              <w:lastRenderedPageBreak/>
              <w:t>данным пром-ти, прин. представ. Мостяжарта на повтор. Совещ. с ним 8 февраля</w:t>
            </w:r>
          </w:p>
        </w:tc>
        <w:tc>
          <w:tcPr>
            <w:tcW w:w="964" w:type="dxa"/>
          </w:tcPr>
          <w:p w14:paraId="0D4D8A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Окончан. снаряжен.</w:t>
            </w:r>
          </w:p>
        </w:tc>
        <w:tc>
          <w:tcPr>
            <w:tcW w:w="964" w:type="dxa"/>
          </w:tcPr>
          <w:p w14:paraId="72C3AC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Окончан. полигон. испыт.</w:t>
            </w:r>
          </w:p>
        </w:tc>
        <w:tc>
          <w:tcPr>
            <w:tcW w:w="992" w:type="dxa"/>
          </w:tcPr>
          <w:p w14:paraId="57BE44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Кто выполн. (проект)</w:t>
            </w:r>
          </w:p>
        </w:tc>
        <w:tc>
          <w:tcPr>
            <w:tcW w:w="992" w:type="dxa"/>
          </w:tcPr>
          <w:p w14:paraId="3943C4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Кто выполн. </w:t>
            </w:r>
            <w:r w:rsidRPr="00507A31">
              <w:rPr>
                <w:color w:val="000000" w:themeColor="text1"/>
                <w:sz w:val="16"/>
                <w:szCs w:val="16"/>
              </w:rPr>
              <w:lastRenderedPageBreak/>
              <w:t>(опытный образец)</w:t>
            </w:r>
          </w:p>
        </w:tc>
      </w:tr>
    </w:tbl>
    <w:p w14:paraId="26C999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Бомбы</w:t>
      </w:r>
    </w:p>
    <w:p w14:paraId="1F20AC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Осколочные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E371BA" w:rsidRPr="00507A31" w14:paraId="163D0496" w14:textId="77777777">
        <w:tc>
          <w:tcPr>
            <w:tcW w:w="1247" w:type="dxa"/>
          </w:tcPr>
          <w:p w14:paraId="43959F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2-х кг бомбы (со складным стабилизатор.)</w:t>
            </w:r>
          </w:p>
        </w:tc>
        <w:tc>
          <w:tcPr>
            <w:tcW w:w="794" w:type="dxa"/>
          </w:tcPr>
          <w:p w14:paraId="5E135C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27D5D3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Имеется проект</w:t>
            </w:r>
          </w:p>
        </w:tc>
        <w:tc>
          <w:tcPr>
            <w:tcW w:w="907" w:type="dxa"/>
          </w:tcPr>
          <w:p w14:paraId="51141A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НИИ</w:t>
            </w:r>
          </w:p>
        </w:tc>
        <w:tc>
          <w:tcPr>
            <w:tcW w:w="907" w:type="dxa"/>
          </w:tcPr>
          <w:p w14:paraId="0B40EB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4A911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751F08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1930</w:t>
            </w:r>
          </w:p>
        </w:tc>
        <w:tc>
          <w:tcPr>
            <w:tcW w:w="1021" w:type="dxa"/>
          </w:tcPr>
          <w:p w14:paraId="42931F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Дан заказ на 100 шт. Срок 15 мая 1930</w:t>
            </w:r>
          </w:p>
        </w:tc>
        <w:tc>
          <w:tcPr>
            <w:tcW w:w="964" w:type="dxa"/>
          </w:tcPr>
          <w:p w14:paraId="2138E6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мая 1930</w:t>
            </w:r>
          </w:p>
        </w:tc>
        <w:tc>
          <w:tcPr>
            <w:tcW w:w="964" w:type="dxa"/>
          </w:tcPr>
          <w:p w14:paraId="1F00D7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w:t>
            </w:r>
          </w:p>
        </w:tc>
        <w:tc>
          <w:tcPr>
            <w:tcW w:w="992" w:type="dxa"/>
          </w:tcPr>
          <w:p w14:paraId="7E55B1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Турахин </w:t>
            </w:r>
          </w:p>
        </w:tc>
        <w:tc>
          <w:tcPr>
            <w:tcW w:w="992" w:type="dxa"/>
          </w:tcPr>
          <w:p w14:paraId="38830A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5E1E3759" w14:textId="77777777">
        <w:tc>
          <w:tcPr>
            <w:tcW w:w="1247" w:type="dxa"/>
          </w:tcPr>
          <w:p w14:paraId="3DE5A6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2-х кг 2-ой вариант (Мастяжарт)</w:t>
            </w:r>
          </w:p>
        </w:tc>
        <w:tc>
          <w:tcPr>
            <w:tcW w:w="794" w:type="dxa"/>
          </w:tcPr>
          <w:p w14:paraId="2E2D11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11F738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431A1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0F09F4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w:t>
            </w:r>
          </w:p>
        </w:tc>
        <w:tc>
          <w:tcPr>
            <w:tcW w:w="907" w:type="dxa"/>
          </w:tcPr>
          <w:p w14:paraId="0C0673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1021" w:type="dxa"/>
          </w:tcPr>
          <w:p w14:paraId="6E79A2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4B5ED9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Дать заказ на 50 шт. Срок 15 июля 1930</w:t>
            </w:r>
          </w:p>
        </w:tc>
        <w:tc>
          <w:tcPr>
            <w:tcW w:w="964" w:type="dxa"/>
          </w:tcPr>
          <w:p w14:paraId="10BFD7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964" w:type="dxa"/>
          </w:tcPr>
          <w:p w14:paraId="2ABCAA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992" w:type="dxa"/>
          </w:tcPr>
          <w:p w14:paraId="22ED0E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Мастяжарт</w:t>
            </w:r>
          </w:p>
        </w:tc>
        <w:tc>
          <w:tcPr>
            <w:tcW w:w="992" w:type="dxa"/>
          </w:tcPr>
          <w:p w14:paraId="7B5DF2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Мастяжарт</w:t>
            </w:r>
          </w:p>
        </w:tc>
      </w:tr>
      <w:tr w:rsidR="00E371BA" w:rsidRPr="00507A31" w14:paraId="155EE7AB" w14:textId="77777777">
        <w:tc>
          <w:tcPr>
            <w:tcW w:w="1247" w:type="dxa"/>
          </w:tcPr>
          <w:p w14:paraId="483E32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10 кг осколоч. бомбы </w:t>
            </w:r>
          </w:p>
        </w:tc>
        <w:tc>
          <w:tcPr>
            <w:tcW w:w="794" w:type="dxa"/>
          </w:tcPr>
          <w:p w14:paraId="15137C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27A5FC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Изгот. опытная партия корп.</w:t>
            </w:r>
          </w:p>
        </w:tc>
        <w:tc>
          <w:tcPr>
            <w:tcW w:w="907" w:type="dxa"/>
          </w:tcPr>
          <w:p w14:paraId="25CF46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З-д № 7</w:t>
            </w:r>
          </w:p>
        </w:tc>
        <w:tc>
          <w:tcPr>
            <w:tcW w:w="907" w:type="dxa"/>
          </w:tcPr>
          <w:p w14:paraId="1BC1A7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6F4648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764A0D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11FE71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Дан доп. заказ на 30 шт. Срок 1 сентября 1930</w:t>
            </w:r>
          </w:p>
        </w:tc>
        <w:tc>
          <w:tcPr>
            <w:tcW w:w="964" w:type="dxa"/>
          </w:tcPr>
          <w:p w14:paraId="694280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w:t>
            </w:r>
          </w:p>
        </w:tc>
        <w:tc>
          <w:tcPr>
            <w:tcW w:w="964" w:type="dxa"/>
          </w:tcPr>
          <w:p w14:paraId="37464E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992" w:type="dxa"/>
          </w:tcPr>
          <w:p w14:paraId="1F447A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Сассапарель</w:t>
            </w:r>
          </w:p>
        </w:tc>
        <w:tc>
          <w:tcPr>
            <w:tcW w:w="992" w:type="dxa"/>
          </w:tcPr>
          <w:p w14:paraId="211DF5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 завод № 7</w:t>
            </w:r>
          </w:p>
        </w:tc>
      </w:tr>
      <w:tr w:rsidR="00E371BA" w:rsidRPr="00507A31" w14:paraId="69769B5E" w14:textId="77777777">
        <w:tc>
          <w:tcPr>
            <w:tcW w:w="1247" w:type="dxa"/>
          </w:tcPr>
          <w:p w14:paraId="74EA54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кг осколоч. бомбы</w:t>
            </w:r>
          </w:p>
        </w:tc>
        <w:tc>
          <w:tcPr>
            <w:tcW w:w="794" w:type="dxa"/>
          </w:tcPr>
          <w:p w14:paraId="5CAEFF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409B327B"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1CEC67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343A84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февраля 1930</w:t>
            </w:r>
          </w:p>
        </w:tc>
        <w:tc>
          <w:tcPr>
            <w:tcW w:w="907" w:type="dxa"/>
          </w:tcPr>
          <w:p w14:paraId="43EC1C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1021" w:type="dxa"/>
          </w:tcPr>
          <w:p w14:paraId="541A39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w:t>
            </w:r>
          </w:p>
        </w:tc>
        <w:tc>
          <w:tcPr>
            <w:tcW w:w="1021" w:type="dxa"/>
          </w:tcPr>
          <w:p w14:paraId="0D1100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Дать оп. заказ на 30 шт. Срок 1 июля 1930</w:t>
            </w:r>
          </w:p>
        </w:tc>
        <w:tc>
          <w:tcPr>
            <w:tcW w:w="964" w:type="dxa"/>
          </w:tcPr>
          <w:p w14:paraId="605266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июля 1930</w:t>
            </w:r>
          </w:p>
        </w:tc>
        <w:tc>
          <w:tcPr>
            <w:tcW w:w="964" w:type="dxa"/>
          </w:tcPr>
          <w:p w14:paraId="542E3F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992" w:type="dxa"/>
          </w:tcPr>
          <w:p w14:paraId="0D4E93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КБ Мастяжарт</w:t>
            </w:r>
          </w:p>
        </w:tc>
        <w:tc>
          <w:tcPr>
            <w:tcW w:w="992" w:type="dxa"/>
          </w:tcPr>
          <w:p w14:paraId="1A7083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013A6D4C" w14:textId="77777777">
        <w:tc>
          <w:tcPr>
            <w:tcW w:w="1247" w:type="dxa"/>
          </w:tcPr>
          <w:p w14:paraId="063343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кг дистанц. бомба (с самолета по самолету)</w:t>
            </w:r>
          </w:p>
        </w:tc>
        <w:tc>
          <w:tcPr>
            <w:tcW w:w="794" w:type="dxa"/>
          </w:tcPr>
          <w:p w14:paraId="77BF19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w:t>
            </w:r>
          </w:p>
        </w:tc>
        <w:tc>
          <w:tcPr>
            <w:tcW w:w="907" w:type="dxa"/>
          </w:tcPr>
          <w:p w14:paraId="7935AD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Имеется проект Остехбюро</w:t>
            </w:r>
          </w:p>
        </w:tc>
        <w:tc>
          <w:tcPr>
            <w:tcW w:w="907" w:type="dxa"/>
          </w:tcPr>
          <w:p w14:paraId="1B4A7B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w:t>
            </w:r>
          </w:p>
        </w:tc>
        <w:tc>
          <w:tcPr>
            <w:tcW w:w="907" w:type="dxa"/>
          </w:tcPr>
          <w:p w14:paraId="137EF5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088BC1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749693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1021" w:type="dxa"/>
          </w:tcPr>
          <w:p w14:paraId="4F9D52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Дать заказ на 20 шт. Срок 1 июля 1930</w:t>
            </w:r>
          </w:p>
        </w:tc>
        <w:tc>
          <w:tcPr>
            <w:tcW w:w="964" w:type="dxa"/>
          </w:tcPr>
          <w:p w14:paraId="61638F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июля 1930</w:t>
            </w:r>
          </w:p>
        </w:tc>
        <w:tc>
          <w:tcPr>
            <w:tcW w:w="964" w:type="dxa"/>
          </w:tcPr>
          <w:p w14:paraId="4387FC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992" w:type="dxa"/>
          </w:tcPr>
          <w:p w14:paraId="52E7FB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Остехбюро</w:t>
            </w:r>
          </w:p>
        </w:tc>
        <w:tc>
          <w:tcPr>
            <w:tcW w:w="992" w:type="dxa"/>
          </w:tcPr>
          <w:p w14:paraId="289543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56A5AF50" w14:textId="77777777">
        <w:tc>
          <w:tcPr>
            <w:tcW w:w="1247" w:type="dxa"/>
          </w:tcPr>
          <w:p w14:paraId="397F9D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кг дистанц. бомба (с самолета по самолету) (гирлянда) 1 вариант (условн.) пр. (Остехбюро) 2 вариант пр. (Остехбюро)</w:t>
            </w:r>
          </w:p>
        </w:tc>
        <w:tc>
          <w:tcPr>
            <w:tcW w:w="794" w:type="dxa"/>
          </w:tcPr>
          <w:p w14:paraId="6FD2CD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051CC0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 Остехбюро</w:t>
            </w:r>
          </w:p>
          <w:p w14:paraId="3B0DE6A4"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1F55F6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3FDA72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апреля 1930</w:t>
            </w:r>
          </w:p>
        </w:tc>
        <w:tc>
          <w:tcPr>
            <w:tcW w:w="907" w:type="dxa"/>
          </w:tcPr>
          <w:p w14:paraId="3A5C3C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июня 1930</w:t>
            </w:r>
          </w:p>
        </w:tc>
        <w:tc>
          <w:tcPr>
            <w:tcW w:w="1021" w:type="dxa"/>
          </w:tcPr>
          <w:p w14:paraId="7F7EBF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1021" w:type="dxa"/>
          </w:tcPr>
          <w:p w14:paraId="3C7640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p w14:paraId="1F8EC8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Дать оп. зак. на 30 шт. тех. зав. от Остехбюро Срок 1 марта 1930</w:t>
            </w:r>
          </w:p>
        </w:tc>
        <w:tc>
          <w:tcPr>
            <w:tcW w:w="964" w:type="dxa"/>
          </w:tcPr>
          <w:p w14:paraId="43A83B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964" w:type="dxa"/>
          </w:tcPr>
          <w:p w14:paraId="27F990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992" w:type="dxa"/>
          </w:tcPr>
          <w:p w14:paraId="2C2306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Остехбюро и Мастяжарт</w:t>
            </w:r>
          </w:p>
        </w:tc>
        <w:tc>
          <w:tcPr>
            <w:tcW w:w="992" w:type="dxa"/>
          </w:tcPr>
          <w:p w14:paraId="56B41C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bl>
    <w:p w14:paraId="2D4362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Фугасные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E371BA" w:rsidRPr="00507A31" w14:paraId="5FF78D46" w14:textId="77777777">
        <w:tc>
          <w:tcPr>
            <w:tcW w:w="1247" w:type="dxa"/>
          </w:tcPr>
          <w:p w14:paraId="0D28E1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кг бомба</w:t>
            </w:r>
          </w:p>
        </w:tc>
        <w:tc>
          <w:tcPr>
            <w:tcW w:w="794" w:type="dxa"/>
          </w:tcPr>
          <w:p w14:paraId="7456B4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3D6911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Изгот. опытная партия 20 шт.</w:t>
            </w:r>
          </w:p>
        </w:tc>
        <w:tc>
          <w:tcPr>
            <w:tcW w:w="907" w:type="dxa"/>
          </w:tcPr>
          <w:p w14:paraId="02C743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907" w:type="dxa"/>
          </w:tcPr>
          <w:p w14:paraId="316CC6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351254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1B3EAB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4E3E75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июня 1930</w:t>
            </w:r>
          </w:p>
        </w:tc>
        <w:tc>
          <w:tcPr>
            <w:tcW w:w="964" w:type="dxa"/>
          </w:tcPr>
          <w:p w14:paraId="4D306E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964" w:type="dxa"/>
          </w:tcPr>
          <w:p w14:paraId="55FD9B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992" w:type="dxa"/>
          </w:tcPr>
          <w:p w14:paraId="7D44D5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Богодаров</w:t>
            </w:r>
          </w:p>
        </w:tc>
        <w:tc>
          <w:tcPr>
            <w:tcW w:w="992" w:type="dxa"/>
          </w:tcPr>
          <w:p w14:paraId="54C9E2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67885DBC" w14:textId="77777777">
        <w:tc>
          <w:tcPr>
            <w:tcW w:w="1247" w:type="dxa"/>
          </w:tcPr>
          <w:p w14:paraId="36F3B2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 кг</w:t>
            </w:r>
          </w:p>
        </w:tc>
        <w:tc>
          <w:tcPr>
            <w:tcW w:w="794" w:type="dxa"/>
          </w:tcPr>
          <w:p w14:paraId="3E255C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3A6847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Изгот. опытная партия 65 шт.</w:t>
            </w:r>
          </w:p>
        </w:tc>
        <w:tc>
          <w:tcPr>
            <w:tcW w:w="907" w:type="dxa"/>
          </w:tcPr>
          <w:p w14:paraId="4D8902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w:t>
            </w:r>
          </w:p>
        </w:tc>
        <w:tc>
          <w:tcPr>
            <w:tcW w:w="907" w:type="dxa"/>
          </w:tcPr>
          <w:p w14:paraId="1C3E5D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1FA432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7934B6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764A0D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шт. – 1 апреля</w:t>
            </w:r>
          </w:p>
          <w:p w14:paraId="11F354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 шт. – 2 ноября</w:t>
            </w:r>
          </w:p>
        </w:tc>
        <w:tc>
          <w:tcPr>
            <w:tcW w:w="964" w:type="dxa"/>
          </w:tcPr>
          <w:p w14:paraId="3EF56E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964" w:type="dxa"/>
          </w:tcPr>
          <w:p w14:paraId="689A39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992" w:type="dxa"/>
          </w:tcPr>
          <w:p w14:paraId="7FA608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Турахин</w:t>
            </w:r>
          </w:p>
        </w:tc>
        <w:tc>
          <w:tcPr>
            <w:tcW w:w="992" w:type="dxa"/>
          </w:tcPr>
          <w:p w14:paraId="1F99BA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5DA49050" w14:textId="77777777">
        <w:tc>
          <w:tcPr>
            <w:tcW w:w="1247" w:type="dxa"/>
          </w:tcPr>
          <w:p w14:paraId="7580EC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 кг бомба</w:t>
            </w:r>
          </w:p>
        </w:tc>
        <w:tc>
          <w:tcPr>
            <w:tcW w:w="794" w:type="dxa"/>
          </w:tcPr>
          <w:p w14:paraId="6DEFB1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1F731A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w:t>
            </w:r>
          </w:p>
        </w:tc>
        <w:tc>
          <w:tcPr>
            <w:tcW w:w="907" w:type="dxa"/>
          </w:tcPr>
          <w:p w14:paraId="1DBDBD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13235C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4EAD4B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1021" w:type="dxa"/>
          </w:tcPr>
          <w:p w14:paraId="692E56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w:t>
            </w:r>
          </w:p>
        </w:tc>
        <w:tc>
          <w:tcPr>
            <w:tcW w:w="1021" w:type="dxa"/>
          </w:tcPr>
          <w:p w14:paraId="31A67B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Дать заказ на 30 шт. по получ. проекта. Срок 15 июля 1930. Сроки увязаны</w:t>
            </w:r>
          </w:p>
        </w:tc>
        <w:tc>
          <w:tcPr>
            <w:tcW w:w="964" w:type="dxa"/>
          </w:tcPr>
          <w:p w14:paraId="5AE7F8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августа 1930</w:t>
            </w:r>
          </w:p>
        </w:tc>
        <w:tc>
          <w:tcPr>
            <w:tcW w:w="964" w:type="dxa"/>
          </w:tcPr>
          <w:p w14:paraId="102BC9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сентября 1930</w:t>
            </w:r>
          </w:p>
        </w:tc>
        <w:tc>
          <w:tcPr>
            <w:tcW w:w="992" w:type="dxa"/>
          </w:tcPr>
          <w:p w14:paraId="7AEA99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Сассапарель</w:t>
            </w:r>
          </w:p>
        </w:tc>
        <w:tc>
          <w:tcPr>
            <w:tcW w:w="992" w:type="dxa"/>
          </w:tcPr>
          <w:p w14:paraId="15078C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52020C3A" w14:textId="77777777">
        <w:tc>
          <w:tcPr>
            <w:tcW w:w="1247" w:type="dxa"/>
          </w:tcPr>
          <w:p w14:paraId="0D413A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 кг</w:t>
            </w:r>
          </w:p>
        </w:tc>
        <w:tc>
          <w:tcPr>
            <w:tcW w:w="794" w:type="dxa"/>
          </w:tcPr>
          <w:p w14:paraId="1A60FC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15BDF1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 валов. партия 750 шт.</w:t>
            </w:r>
          </w:p>
        </w:tc>
        <w:tc>
          <w:tcPr>
            <w:tcW w:w="907" w:type="dxa"/>
          </w:tcPr>
          <w:p w14:paraId="32D8FA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НИИ</w:t>
            </w:r>
          </w:p>
        </w:tc>
        <w:tc>
          <w:tcPr>
            <w:tcW w:w="907" w:type="dxa"/>
          </w:tcPr>
          <w:p w14:paraId="490438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41E9C7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40A36C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588640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Сроки увязаны</w:t>
            </w:r>
          </w:p>
        </w:tc>
        <w:tc>
          <w:tcPr>
            <w:tcW w:w="964" w:type="dxa"/>
          </w:tcPr>
          <w:p w14:paraId="3168D5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1DDCC1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992" w:type="dxa"/>
          </w:tcPr>
          <w:p w14:paraId="38FDDF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Косартоп</w:t>
            </w:r>
          </w:p>
        </w:tc>
        <w:tc>
          <w:tcPr>
            <w:tcW w:w="992" w:type="dxa"/>
          </w:tcPr>
          <w:p w14:paraId="7E670A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353BDEDE" w14:textId="77777777">
        <w:tc>
          <w:tcPr>
            <w:tcW w:w="1247" w:type="dxa"/>
          </w:tcPr>
          <w:p w14:paraId="339BDD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 кг бомба</w:t>
            </w:r>
          </w:p>
        </w:tc>
        <w:tc>
          <w:tcPr>
            <w:tcW w:w="794" w:type="dxa"/>
          </w:tcPr>
          <w:p w14:paraId="7D7ADB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6D3F45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Строится опытная партия 10 шт.</w:t>
            </w:r>
          </w:p>
        </w:tc>
        <w:tc>
          <w:tcPr>
            <w:tcW w:w="907" w:type="dxa"/>
          </w:tcPr>
          <w:p w14:paraId="2F506B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w:t>
            </w:r>
          </w:p>
        </w:tc>
        <w:tc>
          <w:tcPr>
            <w:tcW w:w="907" w:type="dxa"/>
          </w:tcPr>
          <w:p w14:paraId="3B3765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730A0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7F968A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4D5403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15 июня 1930</w:t>
            </w:r>
          </w:p>
        </w:tc>
        <w:tc>
          <w:tcPr>
            <w:tcW w:w="964" w:type="dxa"/>
          </w:tcPr>
          <w:p w14:paraId="2B0D32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964" w:type="dxa"/>
          </w:tcPr>
          <w:p w14:paraId="3446C0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992" w:type="dxa"/>
          </w:tcPr>
          <w:p w14:paraId="195387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Дзержкович</w:t>
            </w:r>
          </w:p>
        </w:tc>
        <w:tc>
          <w:tcPr>
            <w:tcW w:w="992" w:type="dxa"/>
          </w:tcPr>
          <w:p w14:paraId="348033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47435E37" w14:textId="77777777">
        <w:tc>
          <w:tcPr>
            <w:tcW w:w="1247" w:type="dxa"/>
          </w:tcPr>
          <w:p w14:paraId="54E1CD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 кг бомба</w:t>
            </w:r>
          </w:p>
        </w:tc>
        <w:tc>
          <w:tcPr>
            <w:tcW w:w="794" w:type="dxa"/>
          </w:tcPr>
          <w:p w14:paraId="759D51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2F3FFC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Дан оп. заказ на 10 шт. Мастяжарт</w:t>
            </w:r>
          </w:p>
        </w:tc>
        <w:tc>
          <w:tcPr>
            <w:tcW w:w="907" w:type="dxa"/>
          </w:tcPr>
          <w:p w14:paraId="44C942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Проект Остехбюро </w:t>
            </w:r>
          </w:p>
          <w:p w14:paraId="781B7E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1 вар.</w:t>
            </w:r>
          </w:p>
          <w:p w14:paraId="51C2CE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2 вар.</w:t>
            </w:r>
          </w:p>
        </w:tc>
        <w:tc>
          <w:tcPr>
            <w:tcW w:w="907" w:type="dxa"/>
          </w:tcPr>
          <w:p w14:paraId="396E1B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022D4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632EA2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0F0C0C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июля 1930 (Мастяжарт)</w:t>
            </w:r>
          </w:p>
        </w:tc>
        <w:tc>
          <w:tcPr>
            <w:tcW w:w="964" w:type="dxa"/>
          </w:tcPr>
          <w:p w14:paraId="5C4424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964" w:type="dxa"/>
          </w:tcPr>
          <w:p w14:paraId="3D2EC5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992" w:type="dxa"/>
          </w:tcPr>
          <w:p w14:paraId="4655BF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Остехбюро</w:t>
            </w:r>
          </w:p>
        </w:tc>
        <w:tc>
          <w:tcPr>
            <w:tcW w:w="992" w:type="dxa"/>
          </w:tcPr>
          <w:p w14:paraId="62B288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шт. Мастяжарт</w:t>
            </w:r>
          </w:p>
          <w:p w14:paraId="763416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шт. Остехбюро</w:t>
            </w:r>
          </w:p>
        </w:tc>
      </w:tr>
      <w:tr w:rsidR="00E371BA" w:rsidRPr="00507A31" w14:paraId="06E68E71" w14:textId="77777777">
        <w:tc>
          <w:tcPr>
            <w:tcW w:w="1247" w:type="dxa"/>
          </w:tcPr>
          <w:p w14:paraId="7E8241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2000 кг бронеб.-фугасн. бомба</w:t>
            </w:r>
          </w:p>
        </w:tc>
        <w:tc>
          <w:tcPr>
            <w:tcW w:w="794" w:type="dxa"/>
          </w:tcPr>
          <w:p w14:paraId="661FEC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71B6A3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проектир.</w:t>
            </w:r>
          </w:p>
        </w:tc>
        <w:tc>
          <w:tcPr>
            <w:tcW w:w="907" w:type="dxa"/>
          </w:tcPr>
          <w:p w14:paraId="06A08A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800D8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907" w:type="dxa"/>
          </w:tcPr>
          <w:p w14:paraId="33755F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декабря 1930</w:t>
            </w:r>
          </w:p>
        </w:tc>
        <w:tc>
          <w:tcPr>
            <w:tcW w:w="1021" w:type="dxa"/>
          </w:tcPr>
          <w:p w14:paraId="38E53C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1931</w:t>
            </w:r>
          </w:p>
        </w:tc>
        <w:tc>
          <w:tcPr>
            <w:tcW w:w="1021" w:type="dxa"/>
          </w:tcPr>
          <w:p w14:paraId="4D4753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1931</w:t>
            </w:r>
          </w:p>
        </w:tc>
        <w:tc>
          <w:tcPr>
            <w:tcW w:w="964" w:type="dxa"/>
          </w:tcPr>
          <w:p w14:paraId="4468B2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1931</w:t>
            </w:r>
          </w:p>
        </w:tc>
        <w:tc>
          <w:tcPr>
            <w:tcW w:w="964" w:type="dxa"/>
          </w:tcPr>
          <w:p w14:paraId="7F829C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c>
          <w:tcPr>
            <w:tcW w:w="992" w:type="dxa"/>
          </w:tcPr>
          <w:p w14:paraId="50BE5C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Остехбюро</w:t>
            </w:r>
          </w:p>
        </w:tc>
        <w:tc>
          <w:tcPr>
            <w:tcW w:w="992" w:type="dxa"/>
          </w:tcPr>
          <w:p w14:paraId="31E3B0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Мастяжарт</w:t>
            </w:r>
          </w:p>
        </w:tc>
      </w:tr>
    </w:tbl>
    <w:p w14:paraId="55F327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Бронебойные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E371BA" w:rsidRPr="00507A31" w14:paraId="4AD1EE93" w14:textId="77777777">
        <w:tc>
          <w:tcPr>
            <w:tcW w:w="1247" w:type="dxa"/>
          </w:tcPr>
          <w:p w14:paraId="6C4881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 кг (из 10 кг бомб)</w:t>
            </w:r>
          </w:p>
        </w:tc>
        <w:tc>
          <w:tcPr>
            <w:tcW w:w="794" w:type="dxa"/>
          </w:tcPr>
          <w:p w14:paraId="34A3F2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1095A0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Изготов. оп. обр. 50 шт.</w:t>
            </w:r>
          </w:p>
        </w:tc>
        <w:tc>
          <w:tcPr>
            <w:tcW w:w="907" w:type="dxa"/>
          </w:tcPr>
          <w:p w14:paraId="574A33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Мастяжарт</w:t>
            </w:r>
          </w:p>
        </w:tc>
        <w:tc>
          <w:tcPr>
            <w:tcW w:w="907" w:type="dxa"/>
          </w:tcPr>
          <w:p w14:paraId="54984C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71C86B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30BF02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2ABF69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июля 1930</w:t>
            </w:r>
          </w:p>
        </w:tc>
        <w:tc>
          <w:tcPr>
            <w:tcW w:w="964" w:type="dxa"/>
          </w:tcPr>
          <w:p w14:paraId="0C42CC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964" w:type="dxa"/>
          </w:tcPr>
          <w:p w14:paraId="799DD4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w:t>
            </w:r>
          </w:p>
        </w:tc>
        <w:tc>
          <w:tcPr>
            <w:tcW w:w="992" w:type="dxa"/>
          </w:tcPr>
          <w:p w14:paraId="36F3A2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НТК УВВС</w:t>
            </w:r>
          </w:p>
        </w:tc>
        <w:tc>
          <w:tcPr>
            <w:tcW w:w="992" w:type="dxa"/>
          </w:tcPr>
          <w:p w14:paraId="3BB932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7B678DCC" w14:textId="77777777">
        <w:tc>
          <w:tcPr>
            <w:tcW w:w="1247" w:type="dxa"/>
          </w:tcPr>
          <w:p w14:paraId="72BA54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 кг (спец. констр.)</w:t>
            </w:r>
          </w:p>
        </w:tc>
        <w:tc>
          <w:tcPr>
            <w:tcW w:w="794" w:type="dxa"/>
          </w:tcPr>
          <w:p w14:paraId="7138FC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324073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 проект. (предпол. </w:t>
            </w:r>
            <w:r w:rsidRPr="00507A31">
              <w:rPr>
                <w:color w:val="000000" w:themeColor="text1"/>
                <w:sz w:val="16"/>
                <w:szCs w:val="16"/>
              </w:rPr>
              <w:lastRenderedPageBreak/>
              <w:t>дать оп. 5 шт.)</w:t>
            </w:r>
          </w:p>
        </w:tc>
        <w:tc>
          <w:tcPr>
            <w:tcW w:w="907" w:type="dxa"/>
          </w:tcPr>
          <w:p w14:paraId="6D8E37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w:t>
            </w:r>
          </w:p>
        </w:tc>
        <w:tc>
          <w:tcPr>
            <w:tcW w:w="907" w:type="dxa"/>
          </w:tcPr>
          <w:p w14:paraId="03EF04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w:t>
            </w:r>
          </w:p>
        </w:tc>
        <w:tc>
          <w:tcPr>
            <w:tcW w:w="907" w:type="dxa"/>
          </w:tcPr>
          <w:p w14:paraId="0393B1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1021" w:type="dxa"/>
          </w:tcPr>
          <w:p w14:paraId="540876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1021" w:type="dxa"/>
          </w:tcPr>
          <w:p w14:paraId="63C0C3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964" w:type="dxa"/>
          </w:tcPr>
          <w:p w14:paraId="752722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1931</w:t>
            </w:r>
          </w:p>
        </w:tc>
        <w:tc>
          <w:tcPr>
            <w:tcW w:w="964" w:type="dxa"/>
          </w:tcPr>
          <w:p w14:paraId="7958A0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1931</w:t>
            </w:r>
          </w:p>
        </w:tc>
        <w:tc>
          <w:tcPr>
            <w:tcW w:w="992" w:type="dxa"/>
          </w:tcPr>
          <w:p w14:paraId="582085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КБ Мастяжарт</w:t>
            </w:r>
          </w:p>
        </w:tc>
        <w:tc>
          <w:tcPr>
            <w:tcW w:w="992" w:type="dxa"/>
          </w:tcPr>
          <w:p w14:paraId="72BA98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24135E76" w14:textId="77777777">
        <w:tc>
          <w:tcPr>
            <w:tcW w:w="1247" w:type="dxa"/>
          </w:tcPr>
          <w:p w14:paraId="4EB7C7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 кг (спец. констр.)</w:t>
            </w:r>
          </w:p>
        </w:tc>
        <w:tc>
          <w:tcPr>
            <w:tcW w:w="794" w:type="dxa"/>
          </w:tcPr>
          <w:p w14:paraId="7B5E95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7688F4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проект. (предпол. дать оп. 5 шт.)</w:t>
            </w:r>
          </w:p>
        </w:tc>
        <w:tc>
          <w:tcPr>
            <w:tcW w:w="907" w:type="dxa"/>
          </w:tcPr>
          <w:p w14:paraId="7F1F92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79516E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w:t>
            </w:r>
          </w:p>
        </w:tc>
        <w:tc>
          <w:tcPr>
            <w:tcW w:w="907" w:type="dxa"/>
          </w:tcPr>
          <w:p w14:paraId="4403D6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w:t>
            </w:r>
          </w:p>
        </w:tc>
        <w:tc>
          <w:tcPr>
            <w:tcW w:w="1021" w:type="dxa"/>
          </w:tcPr>
          <w:p w14:paraId="624507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021" w:type="dxa"/>
          </w:tcPr>
          <w:p w14:paraId="0D3FC0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марта 1931</w:t>
            </w:r>
          </w:p>
        </w:tc>
        <w:tc>
          <w:tcPr>
            <w:tcW w:w="964" w:type="dxa"/>
          </w:tcPr>
          <w:p w14:paraId="61BAA1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1931</w:t>
            </w:r>
          </w:p>
        </w:tc>
        <w:tc>
          <w:tcPr>
            <w:tcW w:w="964" w:type="dxa"/>
          </w:tcPr>
          <w:p w14:paraId="4FC930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992" w:type="dxa"/>
          </w:tcPr>
          <w:p w14:paraId="745E27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Остехбюро</w:t>
            </w:r>
          </w:p>
        </w:tc>
        <w:tc>
          <w:tcPr>
            <w:tcW w:w="992" w:type="dxa"/>
          </w:tcPr>
          <w:p w14:paraId="5B0D30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247B6D55" w14:textId="77777777">
        <w:tc>
          <w:tcPr>
            <w:tcW w:w="1247" w:type="dxa"/>
          </w:tcPr>
          <w:p w14:paraId="161B97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 кг (спец. констр.)</w:t>
            </w:r>
          </w:p>
        </w:tc>
        <w:tc>
          <w:tcPr>
            <w:tcW w:w="794" w:type="dxa"/>
          </w:tcPr>
          <w:p w14:paraId="3B866F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2F7FE2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проект. (предпол. дать оп. 5 шт.)</w:t>
            </w:r>
          </w:p>
        </w:tc>
        <w:tc>
          <w:tcPr>
            <w:tcW w:w="907" w:type="dxa"/>
          </w:tcPr>
          <w:p w14:paraId="5815FD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EB170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w:t>
            </w:r>
          </w:p>
        </w:tc>
        <w:tc>
          <w:tcPr>
            <w:tcW w:w="907" w:type="dxa"/>
          </w:tcPr>
          <w:p w14:paraId="5847D0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021" w:type="dxa"/>
          </w:tcPr>
          <w:p w14:paraId="562437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1021" w:type="dxa"/>
          </w:tcPr>
          <w:p w14:paraId="4674F0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апреля 1931</w:t>
            </w:r>
          </w:p>
        </w:tc>
        <w:tc>
          <w:tcPr>
            <w:tcW w:w="964" w:type="dxa"/>
          </w:tcPr>
          <w:p w14:paraId="0F3465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964" w:type="dxa"/>
          </w:tcPr>
          <w:p w14:paraId="68281A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992" w:type="dxa"/>
          </w:tcPr>
          <w:p w14:paraId="6583EF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Остехбюро</w:t>
            </w:r>
          </w:p>
        </w:tc>
        <w:tc>
          <w:tcPr>
            <w:tcW w:w="992" w:type="dxa"/>
          </w:tcPr>
          <w:p w14:paraId="117A86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7EA30FB7" w14:textId="77777777">
        <w:tc>
          <w:tcPr>
            <w:tcW w:w="1247" w:type="dxa"/>
          </w:tcPr>
          <w:p w14:paraId="2E1E13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 кг противолодоч. бомба опыт.</w:t>
            </w:r>
          </w:p>
        </w:tc>
        <w:tc>
          <w:tcPr>
            <w:tcW w:w="794" w:type="dxa"/>
          </w:tcPr>
          <w:p w14:paraId="52E667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6C2C29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заявл. представ. Остехбюро проект закончен</w:t>
            </w:r>
          </w:p>
        </w:tc>
        <w:tc>
          <w:tcPr>
            <w:tcW w:w="907" w:type="dxa"/>
          </w:tcPr>
          <w:p w14:paraId="7536BE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031A8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1C0943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w:t>
            </w:r>
          </w:p>
        </w:tc>
        <w:tc>
          <w:tcPr>
            <w:tcW w:w="1021" w:type="dxa"/>
          </w:tcPr>
          <w:p w14:paraId="2A622B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апреля 1930</w:t>
            </w:r>
          </w:p>
        </w:tc>
        <w:tc>
          <w:tcPr>
            <w:tcW w:w="1021" w:type="dxa"/>
          </w:tcPr>
          <w:p w14:paraId="131C48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10 сентября 1930</w:t>
            </w:r>
          </w:p>
        </w:tc>
        <w:tc>
          <w:tcPr>
            <w:tcW w:w="964" w:type="dxa"/>
          </w:tcPr>
          <w:p w14:paraId="3F184D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октября 1930</w:t>
            </w:r>
          </w:p>
        </w:tc>
        <w:tc>
          <w:tcPr>
            <w:tcW w:w="964" w:type="dxa"/>
          </w:tcPr>
          <w:p w14:paraId="226984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ноября 1930</w:t>
            </w:r>
          </w:p>
        </w:tc>
        <w:tc>
          <w:tcPr>
            <w:tcW w:w="992" w:type="dxa"/>
          </w:tcPr>
          <w:p w14:paraId="451C40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Остехбюро</w:t>
            </w:r>
          </w:p>
        </w:tc>
        <w:tc>
          <w:tcPr>
            <w:tcW w:w="992" w:type="dxa"/>
          </w:tcPr>
          <w:p w14:paraId="67D8AE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bl>
    <w:p w14:paraId="509EE0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Бомбы спецназначения</w:t>
      </w:r>
    </w:p>
    <w:p w14:paraId="7A1A8C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Зажигательные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E371BA" w:rsidRPr="00507A31" w14:paraId="052E31C0" w14:textId="77777777">
        <w:tc>
          <w:tcPr>
            <w:tcW w:w="1247" w:type="dxa"/>
          </w:tcPr>
          <w:p w14:paraId="679736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кг дистанц. действ. Бомба</w:t>
            </w:r>
          </w:p>
        </w:tc>
        <w:tc>
          <w:tcPr>
            <w:tcW w:w="794" w:type="dxa"/>
          </w:tcPr>
          <w:p w14:paraId="2F1F7E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66447D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Дан заказ на 20 шт.</w:t>
            </w:r>
          </w:p>
        </w:tc>
        <w:tc>
          <w:tcPr>
            <w:tcW w:w="907" w:type="dxa"/>
          </w:tcPr>
          <w:p w14:paraId="6CA05C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EF7F5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699211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23BF11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741A70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мая 1930</w:t>
            </w:r>
          </w:p>
        </w:tc>
        <w:tc>
          <w:tcPr>
            <w:tcW w:w="964" w:type="dxa"/>
          </w:tcPr>
          <w:p w14:paraId="356B79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w:t>
            </w:r>
          </w:p>
        </w:tc>
        <w:tc>
          <w:tcPr>
            <w:tcW w:w="964" w:type="dxa"/>
          </w:tcPr>
          <w:p w14:paraId="770E29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992" w:type="dxa"/>
          </w:tcPr>
          <w:p w14:paraId="7549C4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Краснознаменец</w:t>
            </w:r>
          </w:p>
        </w:tc>
        <w:tc>
          <w:tcPr>
            <w:tcW w:w="992" w:type="dxa"/>
          </w:tcPr>
          <w:p w14:paraId="29F3B331"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B9853AA" w14:textId="77777777">
        <w:tc>
          <w:tcPr>
            <w:tcW w:w="1247" w:type="dxa"/>
          </w:tcPr>
          <w:p w14:paraId="583749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кг бомба</w:t>
            </w:r>
          </w:p>
        </w:tc>
        <w:tc>
          <w:tcPr>
            <w:tcW w:w="794" w:type="dxa"/>
          </w:tcPr>
          <w:p w14:paraId="5BFE0B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3C13A4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Изгот. 50 шт. (зак. получен 18 января) бомбы с дер. гол. </w:t>
            </w:r>
          </w:p>
        </w:tc>
        <w:tc>
          <w:tcPr>
            <w:tcW w:w="907" w:type="dxa"/>
          </w:tcPr>
          <w:p w14:paraId="588D22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Мастяжарт</w:t>
            </w:r>
          </w:p>
        </w:tc>
        <w:tc>
          <w:tcPr>
            <w:tcW w:w="907" w:type="dxa"/>
          </w:tcPr>
          <w:p w14:paraId="3976C9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1D1AC2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269349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7B882E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18 июля 1930</w:t>
            </w:r>
          </w:p>
        </w:tc>
        <w:tc>
          <w:tcPr>
            <w:tcW w:w="964" w:type="dxa"/>
          </w:tcPr>
          <w:p w14:paraId="325FE1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августа 1930</w:t>
            </w:r>
          </w:p>
        </w:tc>
        <w:tc>
          <w:tcPr>
            <w:tcW w:w="964" w:type="dxa"/>
          </w:tcPr>
          <w:p w14:paraId="234835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января 1930</w:t>
            </w:r>
          </w:p>
        </w:tc>
        <w:tc>
          <w:tcPr>
            <w:tcW w:w="992" w:type="dxa"/>
          </w:tcPr>
          <w:p w14:paraId="244075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Мастяжарт</w:t>
            </w:r>
          </w:p>
        </w:tc>
        <w:tc>
          <w:tcPr>
            <w:tcW w:w="992" w:type="dxa"/>
          </w:tcPr>
          <w:p w14:paraId="57EC9E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r w:rsidR="00E371BA" w:rsidRPr="00507A31" w14:paraId="73D6EEF5" w14:textId="77777777">
        <w:tc>
          <w:tcPr>
            <w:tcW w:w="1247" w:type="dxa"/>
          </w:tcPr>
          <w:p w14:paraId="0DCE7B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50 кг электронная дистанцион. действ. бомба </w:t>
            </w:r>
          </w:p>
        </w:tc>
        <w:tc>
          <w:tcPr>
            <w:tcW w:w="794" w:type="dxa"/>
          </w:tcPr>
          <w:p w14:paraId="45648F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3DE9BA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Предп. заказать 10 шт.</w:t>
            </w:r>
          </w:p>
        </w:tc>
        <w:tc>
          <w:tcPr>
            <w:tcW w:w="907" w:type="dxa"/>
          </w:tcPr>
          <w:p w14:paraId="4AABEB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40640D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907" w:type="dxa"/>
          </w:tcPr>
          <w:p w14:paraId="5954F3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1021" w:type="dxa"/>
          </w:tcPr>
          <w:p w14:paraId="2B0F53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w:t>
            </w:r>
          </w:p>
        </w:tc>
        <w:tc>
          <w:tcPr>
            <w:tcW w:w="1021" w:type="dxa"/>
          </w:tcPr>
          <w:p w14:paraId="05F18E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может быть установлен по получ. опред. Указаний. Срок 1 апреля 1931</w:t>
            </w:r>
          </w:p>
        </w:tc>
        <w:tc>
          <w:tcPr>
            <w:tcW w:w="964" w:type="dxa"/>
          </w:tcPr>
          <w:p w14:paraId="1EE2BC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964" w:type="dxa"/>
          </w:tcPr>
          <w:p w14:paraId="7B5B9F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992" w:type="dxa"/>
          </w:tcPr>
          <w:p w14:paraId="04F2FA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Мастяжарт</w:t>
            </w:r>
          </w:p>
        </w:tc>
        <w:tc>
          <w:tcPr>
            <w:tcW w:w="992" w:type="dxa"/>
          </w:tcPr>
          <w:p w14:paraId="788726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ОАТ/Мастяжарт</w:t>
            </w:r>
          </w:p>
        </w:tc>
      </w:tr>
    </w:tbl>
    <w:p w14:paraId="179A29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Светящиеся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E371BA" w:rsidRPr="00507A31" w14:paraId="32AA4E54" w14:textId="77777777">
        <w:tc>
          <w:tcPr>
            <w:tcW w:w="1247" w:type="dxa"/>
          </w:tcPr>
          <w:p w14:paraId="1046A1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кг светящ. бомба </w:t>
            </w:r>
          </w:p>
        </w:tc>
        <w:tc>
          <w:tcPr>
            <w:tcW w:w="794" w:type="dxa"/>
          </w:tcPr>
          <w:p w14:paraId="00B5D9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5B5926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стадии испр. </w:t>
            </w:r>
          </w:p>
        </w:tc>
        <w:tc>
          <w:tcPr>
            <w:tcW w:w="907" w:type="dxa"/>
          </w:tcPr>
          <w:p w14:paraId="062AD5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345E1E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19B28A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71818E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124707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49FB57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4A6A81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992" w:type="dxa"/>
          </w:tcPr>
          <w:p w14:paraId="72F09B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w:t>
            </w:r>
          </w:p>
        </w:tc>
        <w:tc>
          <w:tcPr>
            <w:tcW w:w="992" w:type="dxa"/>
          </w:tcPr>
          <w:p w14:paraId="138D66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w:t>
            </w:r>
          </w:p>
        </w:tc>
      </w:tr>
      <w:tr w:rsidR="00E371BA" w:rsidRPr="00507A31" w14:paraId="0909B6CB" w14:textId="77777777">
        <w:tc>
          <w:tcPr>
            <w:tcW w:w="1247" w:type="dxa"/>
          </w:tcPr>
          <w:p w14:paraId="4A8BA9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кг светящ. бомба </w:t>
            </w:r>
          </w:p>
        </w:tc>
        <w:tc>
          <w:tcPr>
            <w:tcW w:w="794" w:type="dxa"/>
          </w:tcPr>
          <w:p w14:paraId="6AFE34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351DE0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Изготовляются</w:t>
            </w:r>
          </w:p>
        </w:tc>
        <w:tc>
          <w:tcPr>
            <w:tcW w:w="907" w:type="dxa"/>
          </w:tcPr>
          <w:p w14:paraId="564CD6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CBF54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3315D7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68085C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23C92C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77B04A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412DE5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992" w:type="dxa"/>
          </w:tcPr>
          <w:p w14:paraId="18DC8F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w:t>
            </w:r>
          </w:p>
        </w:tc>
        <w:tc>
          <w:tcPr>
            <w:tcW w:w="992" w:type="dxa"/>
          </w:tcPr>
          <w:p w14:paraId="608929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w:t>
            </w:r>
          </w:p>
        </w:tc>
      </w:tr>
      <w:tr w:rsidR="00E371BA" w:rsidRPr="00507A31" w14:paraId="1350D1A2" w14:textId="77777777">
        <w:tc>
          <w:tcPr>
            <w:tcW w:w="1247" w:type="dxa"/>
          </w:tcPr>
          <w:p w14:paraId="54B652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кг светящ. бомба (из г. Мастяжарт снар. – Вохимтрест)</w:t>
            </w:r>
          </w:p>
        </w:tc>
        <w:tc>
          <w:tcPr>
            <w:tcW w:w="794" w:type="dxa"/>
          </w:tcPr>
          <w:p w14:paraId="718500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167BC2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проект.</w:t>
            </w:r>
          </w:p>
        </w:tc>
        <w:tc>
          <w:tcPr>
            <w:tcW w:w="907" w:type="dxa"/>
          </w:tcPr>
          <w:p w14:paraId="24E89F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0B2C4E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w:t>
            </w:r>
          </w:p>
        </w:tc>
        <w:tc>
          <w:tcPr>
            <w:tcW w:w="907" w:type="dxa"/>
          </w:tcPr>
          <w:p w14:paraId="3DD275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1021" w:type="dxa"/>
          </w:tcPr>
          <w:p w14:paraId="4DEABE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1021" w:type="dxa"/>
          </w:tcPr>
          <w:p w14:paraId="419BF3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октября 1930</w:t>
            </w:r>
          </w:p>
        </w:tc>
        <w:tc>
          <w:tcPr>
            <w:tcW w:w="964" w:type="dxa"/>
          </w:tcPr>
          <w:p w14:paraId="16D266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октября 1930</w:t>
            </w:r>
          </w:p>
        </w:tc>
        <w:tc>
          <w:tcPr>
            <w:tcW w:w="964" w:type="dxa"/>
          </w:tcPr>
          <w:p w14:paraId="20A21C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992" w:type="dxa"/>
          </w:tcPr>
          <w:p w14:paraId="061AE6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w:t>
            </w:r>
          </w:p>
        </w:tc>
        <w:tc>
          <w:tcPr>
            <w:tcW w:w="992" w:type="dxa"/>
          </w:tcPr>
          <w:p w14:paraId="511AFC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w:t>
            </w:r>
          </w:p>
        </w:tc>
      </w:tr>
      <w:tr w:rsidR="00E371BA" w:rsidRPr="00507A31" w14:paraId="0C5CEDBC" w14:textId="77777777">
        <w:tc>
          <w:tcPr>
            <w:tcW w:w="1247" w:type="dxa"/>
          </w:tcPr>
          <w:p w14:paraId="1E86F6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кг светящ. бомба (из г. Мастяжарт снар. – Вохимтрест)</w:t>
            </w:r>
          </w:p>
        </w:tc>
        <w:tc>
          <w:tcPr>
            <w:tcW w:w="794" w:type="dxa"/>
          </w:tcPr>
          <w:p w14:paraId="3AB578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5EDE67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проект.</w:t>
            </w:r>
          </w:p>
        </w:tc>
        <w:tc>
          <w:tcPr>
            <w:tcW w:w="907" w:type="dxa"/>
          </w:tcPr>
          <w:p w14:paraId="152DEA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1D7744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907" w:type="dxa"/>
          </w:tcPr>
          <w:p w14:paraId="0383A4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1021" w:type="dxa"/>
          </w:tcPr>
          <w:p w14:paraId="6C4A7F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1021" w:type="dxa"/>
          </w:tcPr>
          <w:p w14:paraId="010139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декабря 1930</w:t>
            </w:r>
          </w:p>
        </w:tc>
        <w:tc>
          <w:tcPr>
            <w:tcW w:w="964" w:type="dxa"/>
          </w:tcPr>
          <w:p w14:paraId="27060A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964" w:type="dxa"/>
          </w:tcPr>
          <w:p w14:paraId="2DD772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1931</w:t>
            </w:r>
          </w:p>
        </w:tc>
        <w:tc>
          <w:tcPr>
            <w:tcW w:w="992" w:type="dxa"/>
          </w:tcPr>
          <w:p w14:paraId="3D4B66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w:t>
            </w:r>
          </w:p>
        </w:tc>
        <w:tc>
          <w:tcPr>
            <w:tcW w:w="992" w:type="dxa"/>
          </w:tcPr>
          <w:p w14:paraId="10B50A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w:t>
            </w:r>
          </w:p>
        </w:tc>
      </w:tr>
      <w:tr w:rsidR="00E371BA" w:rsidRPr="00507A31" w14:paraId="47DB2C43" w14:textId="77777777">
        <w:tc>
          <w:tcPr>
            <w:tcW w:w="1247" w:type="dxa"/>
          </w:tcPr>
          <w:p w14:paraId="6418F0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Для ночной фотосъемки с дист. трубкой </w:t>
            </w:r>
          </w:p>
        </w:tc>
        <w:tc>
          <w:tcPr>
            <w:tcW w:w="794" w:type="dxa"/>
          </w:tcPr>
          <w:p w14:paraId="2BCAA4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1805BA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проект.</w:t>
            </w:r>
          </w:p>
        </w:tc>
        <w:tc>
          <w:tcPr>
            <w:tcW w:w="907" w:type="dxa"/>
          </w:tcPr>
          <w:p w14:paraId="2ED3B0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0A30D9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907" w:type="dxa"/>
          </w:tcPr>
          <w:p w14:paraId="0F0266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1021" w:type="dxa"/>
          </w:tcPr>
          <w:p w14:paraId="6A2E22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июля 1930</w:t>
            </w:r>
          </w:p>
        </w:tc>
        <w:tc>
          <w:tcPr>
            <w:tcW w:w="1021" w:type="dxa"/>
          </w:tcPr>
          <w:p w14:paraId="06E608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15 декабря 1930</w:t>
            </w:r>
          </w:p>
        </w:tc>
        <w:tc>
          <w:tcPr>
            <w:tcW w:w="964" w:type="dxa"/>
          </w:tcPr>
          <w:p w14:paraId="41D7BF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января 1931</w:t>
            </w:r>
          </w:p>
        </w:tc>
        <w:tc>
          <w:tcPr>
            <w:tcW w:w="964" w:type="dxa"/>
          </w:tcPr>
          <w:p w14:paraId="0CDDE8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1931</w:t>
            </w:r>
          </w:p>
        </w:tc>
        <w:tc>
          <w:tcPr>
            <w:tcW w:w="992" w:type="dxa"/>
          </w:tcPr>
          <w:p w14:paraId="381E55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w:t>
            </w:r>
          </w:p>
        </w:tc>
        <w:tc>
          <w:tcPr>
            <w:tcW w:w="992" w:type="dxa"/>
          </w:tcPr>
          <w:p w14:paraId="7EBD86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w:t>
            </w:r>
          </w:p>
        </w:tc>
      </w:tr>
    </w:tbl>
    <w:p w14:paraId="3E3DDB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Химические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E371BA" w:rsidRPr="00507A31" w14:paraId="6D2534AC" w14:textId="77777777">
        <w:tc>
          <w:tcPr>
            <w:tcW w:w="1247" w:type="dxa"/>
          </w:tcPr>
          <w:p w14:paraId="66161E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Изгот. Мастяжарт снар. Вохимтрест</w:t>
            </w:r>
          </w:p>
          <w:p w14:paraId="79A30D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кг оскол. ким.</w:t>
            </w:r>
          </w:p>
          <w:p w14:paraId="7F5C7F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вар. – цел. оск.</w:t>
            </w:r>
          </w:p>
          <w:p w14:paraId="1A94FE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вар. – дробящ. корп. </w:t>
            </w:r>
          </w:p>
        </w:tc>
        <w:tc>
          <w:tcPr>
            <w:tcW w:w="794" w:type="dxa"/>
          </w:tcPr>
          <w:p w14:paraId="60F98DA7"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60BC22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Заказан. оп. партия</w:t>
            </w:r>
          </w:p>
        </w:tc>
        <w:tc>
          <w:tcPr>
            <w:tcW w:w="907" w:type="dxa"/>
          </w:tcPr>
          <w:p w14:paraId="2C8CF1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362C6E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6197D4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18AFEA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2FB92F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марта 1930</w:t>
            </w:r>
          </w:p>
        </w:tc>
        <w:tc>
          <w:tcPr>
            <w:tcW w:w="964" w:type="dxa"/>
          </w:tcPr>
          <w:p w14:paraId="6E6D78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w:t>
            </w:r>
          </w:p>
        </w:tc>
        <w:tc>
          <w:tcPr>
            <w:tcW w:w="964" w:type="dxa"/>
          </w:tcPr>
          <w:p w14:paraId="78C578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1930</w:t>
            </w:r>
          </w:p>
        </w:tc>
        <w:tc>
          <w:tcPr>
            <w:tcW w:w="992" w:type="dxa"/>
          </w:tcPr>
          <w:p w14:paraId="4AB0E8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w:t>
            </w:r>
          </w:p>
        </w:tc>
        <w:tc>
          <w:tcPr>
            <w:tcW w:w="992" w:type="dxa"/>
          </w:tcPr>
          <w:p w14:paraId="7FD017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 (Киев Арсенал)</w:t>
            </w:r>
          </w:p>
        </w:tc>
      </w:tr>
      <w:tr w:rsidR="00E371BA" w:rsidRPr="00507A31" w14:paraId="042AC2F3" w14:textId="77777777">
        <w:tc>
          <w:tcPr>
            <w:tcW w:w="1247" w:type="dxa"/>
          </w:tcPr>
          <w:p w14:paraId="476295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кг химич. (стойкие ОВ)</w:t>
            </w:r>
          </w:p>
        </w:tc>
        <w:tc>
          <w:tcPr>
            <w:tcW w:w="794" w:type="dxa"/>
          </w:tcPr>
          <w:p w14:paraId="2C0A98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2D85E7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проект.</w:t>
            </w:r>
          </w:p>
        </w:tc>
        <w:tc>
          <w:tcPr>
            <w:tcW w:w="907" w:type="dxa"/>
          </w:tcPr>
          <w:p w14:paraId="052181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716BDB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1930</w:t>
            </w:r>
          </w:p>
        </w:tc>
        <w:tc>
          <w:tcPr>
            <w:tcW w:w="907" w:type="dxa"/>
          </w:tcPr>
          <w:p w14:paraId="51DBD7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1021" w:type="dxa"/>
          </w:tcPr>
          <w:p w14:paraId="79F5CA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1930</w:t>
            </w:r>
          </w:p>
        </w:tc>
        <w:tc>
          <w:tcPr>
            <w:tcW w:w="1021" w:type="dxa"/>
          </w:tcPr>
          <w:p w14:paraId="656847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Дать заказ 30 шт. Срок 1 декабря 1930</w:t>
            </w:r>
          </w:p>
        </w:tc>
        <w:tc>
          <w:tcPr>
            <w:tcW w:w="964" w:type="dxa"/>
          </w:tcPr>
          <w:p w14:paraId="6C93C5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декабря 1930</w:t>
            </w:r>
          </w:p>
        </w:tc>
        <w:tc>
          <w:tcPr>
            <w:tcW w:w="964" w:type="dxa"/>
          </w:tcPr>
          <w:p w14:paraId="7C0C4B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1931</w:t>
            </w:r>
          </w:p>
        </w:tc>
        <w:tc>
          <w:tcPr>
            <w:tcW w:w="992" w:type="dxa"/>
          </w:tcPr>
          <w:p w14:paraId="7EB317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378854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 и Вохимтрест</w:t>
            </w:r>
          </w:p>
        </w:tc>
      </w:tr>
      <w:tr w:rsidR="00E371BA" w:rsidRPr="00507A31" w14:paraId="248FB330" w14:textId="77777777">
        <w:tc>
          <w:tcPr>
            <w:tcW w:w="1247" w:type="dxa"/>
          </w:tcPr>
          <w:p w14:paraId="7785A2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кг со стойк. ОВ</w:t>
            </w:r>
          </w:p>
          <w:p w14:paraId="5CC225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Штаб РККА дать тех. задание</w:t>
            </w:r>
          </w:p>
        </w:tc>
        <w:tc>
          <w:tcPr>
            <w:tcW w:w="794" w:type="dxa"/>
          </w:tcPr>
          <w:p w14:paraId="1F2FFE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0F3FE8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21B5EF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BADEA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w:t>
            </w:r>
          </w:p>
        </w:tc>
        <w:tc>
          <w:tcPr>
            <w:tcW w:w="907" w:type="dxa"/>
          </w:tcPr>
          <w:p w14:paraId="39FBD8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1930</w:t>
            </w:r>
          </w:p>
        </w:tc>
        <w:tc>
          <w:tcPr>
            <w:tcW w:w="1021" w:type="dxa"/>
          </w:tcPr>
          <w:p w14:paraId="0DA0BD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1021" w:type="dxa"/>
          </w:tcPr>
          <w:p w14:paraId="6A9FC1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октября 1930</w:t>
            </w:r>
          </w:p>
        </w:tc>
        <w:tc>
          <w:tcPr>
            <w:tcW w:w="964" w:type="dxa"/>
          </w:tcPr>
          <w:p w14:paraId="0DC51C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964" w:type="dxa"/>
          </w:tcPr>
          <w:p w14:paraId="5DEBBD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992" w:type="dxa"/>
          </w:tcPr>
          <w:p w14:paraId="37D943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 и Мастяжарт</w:t>
            </w:r>
          </w:p>
        </w:tc>
        <w:tc>
          <w:tcPr>
            <w:tcW w:w="992" w:type="dxa"/>
          </w:tcPr>
          <w:p w14:paraId="24F9F7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 и Вохимтрест</w:t>
            </w:r>
          </w:p>
        </w:tc>
      </w:tr>
      <w:tr w:rsidR="00E371BA" w:rsidRPr="00507A31" w14:paraId="0BB38A64" w14:textId="77777777">
        <w:tc>
          <w:tcPr>
            <w:tcW w:w="1247" w:type="dxa"/>
          </w:tcPr>
          <w:p w14:paraId="37D9F6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 и 100 кг рассеив. бомбы с ампулами (стойкие ОВ)</w:t>
            </w:r>
          </w:p>
        </w:tc>
        <w:tc>
          <w:tcPr>
            <w:tcW w:w="794" w:type="dxa"/>
          </w:tcPr>
          <w:p w14:paraId="3FDFEE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0CD8ED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792164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1123E2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28B95D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1021" w:type="dxa"/>
          </w:tcPr>
          <w:p w14:paraId="6A33A8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1930</w:t>
            </w:r>
          </w:p>
        </w:tc>
        <w:tc>
          <w:tcPr>
            <w:tcW w:w="1021" w:type="dxa"/>
          </w:tcPr>
          <w:p w14:paraId="5AD4C6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Дать заказ 30 шт. Срок 15 декабря 1930</w:t>
            </w:r>
          </w:p>
        </w:tc>
        <w:tc>
          <w:tcPr>
            <w:tcW w:w="964" w:type="dxa"/>
          </w:tcPr>
          <w:p w14:paraId="2FC6F1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1931</w:t>
            </w:r>
          </w:p>
        </w:tc>
        <w:tc>
          <w:tcPr>
            <w:tcW w:w="964" w:type="dxa"/>
          </w:tcPr>
          <w:p w14:paraId="7E22EA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1931</w:t>
            </w:r>
          </w:p>
        </w:tc>
        <w:tc>
          <w:tcPr>
            <w:tcW w:w="992" w:type="dxa"/>
          </w:tcPr>
          <w:p w14:paraId="1C9331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 и Мастяжарт</w:t>
            </w:r>
          </w:p>
        </w:tc>
        <w:tc>
          <w:tcPr>
            <w:tcW w:w="992" w:type="dxa"/>
          </w:tcPr>
          <w:p w14:paraId="55E34A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 и Вохимтрест</w:t>
            </w:r>
          </w:p>
        </w:tc>
      </w:tr>
      <w:tr w:rsidR="00E371BA" w:rsidRPr="00507A31" w14:paraId="27A29B1B" w14:textId="77777777">
        <w:tc>
          <w:tcPr>
            <w:tcW w:w="1247" w:type="dxa"/>
          </w:tcPr>
          <w:p w14:paraId="01D0C7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100 кг дистан. действ. (стойкие ОВ и нестойкие)</w:t>
            </w:r>
          </w:p>
        </w:tc>
        <w:tc>
          <w:tcPr>
            <w:tcW w:w="794" w:type="dxa"/>
          </w:tcPr>
          <w:p w14:paraId="418C6E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4384F0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 50 шт. Мастяжарт</w:t>
            </w:r>
          </w:p>
        </w:tc>
        <w:tc>
          <w:tcPr>
            <w:tcW w:w="907" w:type="dxa"/>
          </w:tcPr>
          <w:p w14:paraId="5E0260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1C3B36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26AF6F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335C7E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7E7DB7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окончания постройки 1 марта</w:t>
            </w:r>
          </w:p>
        </w:tc>
        <w:tc>
          <w:tcPr>
            <w:tcW w:w="964" w:type="dxa"/>
          </w:tcPr>
          <w:p w14:paraId="38047A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964" w:type="dxa"/>
          </w:tcPr>
          <w:p w14:paraId="1ED67D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992" w:type="dxa"/>
          </w:tcPr>
          <w:p w14:paraId="25ABAA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 и Мастяжарт</w:t>
            </w:r>
          </w:p>
        </w:tc>
        <w:tc>
          <w:tcPr>
            <w:tcW w:w="992" w:type="dxa"/>
          </w:tcPr>
          <w:p w14:paraId="45C813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 и Вохимтрест</w:t>
            </w:r>
          </w:p>
        </w:tc>
      </w:tr>
    </w:tbl>
    <w:p w14:paraId="24252B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Гидростатические и дымовые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E371BA" w:rsidRPr="00507A31" w14:paraId="26898A28" w14:textId="77777777">
        <w:tc>
          <w:tcPr>
            <w:tcW w:w="1247" w:type="dxa"/>
          </w:tcPr>
          <w:p w14:paraId="411424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кг дымовая</w:t>
            </w:r>
          </w:p>
        </w:tc>
        <w:tc>
          <w:tcPr>
            <w:tcW w:w="794" w:type="dxa"/>
          </w:tcPr>
          <w:p w14:paraId="3CDB75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w:t>
            </w:r>
          </w:p>
        </w:tc>
        <w:tc>
          <w:tcPr>
            <w:tcW w:w="907" w:type="dxa"/>
          </w:tcPr>
          <w:p w14:paraId="4A469B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Испытана</w:t>
            </w:r>
          </w:p>
        </w:tc>
        <w:tc>
          <w:tcPr>
            <w:tcW w:w="907" w:type="dxa"/>
          </w:tcPr>
          <w:p w14:paraId="11C17D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ВОХИМУ</w:t>
            </w:r>
          </w:p>
        </w:tc>
        <w:tc>
          <w:tcPr>
            <w:tcW w:w="907" w:type="dxa"/>
          </w:tcPr>
          <w:p w14:paraId="46F549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Представ</w:t>
            </w:r>
          </w:p>
        </w:tc>
        <w:tc>
          <w:tcPr>
            <w:tcW w:w="907" w:type="dxa"/>
          </w:tcPr>
          <w:p w14:paraId="4B12FA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ляется </w:t>
            </w:r>
          </w:p>
        </w:tc>
        <w:tc>
          <w:tcPr>
            <w:tcW w:w="1021" w:type="dxa"/>
          </w:tcPr>
          <w:p w14:paraId="32225D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 </w:t>
            </w:r>
          </w:p>
        </w:tc>
        <w:tc>
          <w:tcPr>
            <w:tcW w:w="1021" w:type="dxa"/>
          </w:tcPr>
          <w:p w14:paraId="6B7AD0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вооруже </w:t>
            </w:r>
          </w:p>
        </w:tc>
        <w:tc>
          <w:tcPr>
            <w:tcW w:w="964" w:type="dxa"/>
          </w:tcPr>
          <w:p w14:paraId="6194F2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ние </w:t>
            </w:r>
          </w:p>
        </w:tc>
        <w:tc>
          <w:tcPr>
            <w:tcW w:w="964" w:type="dxa"/>
          </w:tcPr>
          <w:p w14:paraId="2A2B205D"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53854848"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3B32CA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 (снарядит. 50 штук)</w:t>
            </w:r>
          </w:p>
        </w:tc>
      </w:tr>
      <w:tr w:rsidR="00E371BA" w:rsidRPr="00507A31" w14:paraId="138B1AE3" w14:textId="77777777">
        <w:tc>
          <w:tcPr>
            <w:tcW w:w="1247" w:type="dxa"/>
          </w:tcPr>
          <w:p w14:paraId="0585E1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кг фосфорная</w:t>
            </w:r>
          </w:p>
        </w:tc>
        <w:tc>
          <w:tcPr>
            <w:tcW w:w="794" w:type="dxa"/>
          </w:tcPr>
          <w:p w14:paraId="7C288B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w:t>
            </w:r>
          </w:p>
        </w:tc>
        <w:tc>
          <w:tcPr>
            <w:tcW w:w="907" w:type="dxa"/>
          </w:tcPr>
          <w:p w14:paraId="3A6DF0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26BA54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53D80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337C27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3D13C8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3AFD9D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марта 1930</w:t>
            </w:r>
          </w:p>
        </w:tc>
        <w:tc>
          <w:tcPr>
            <w:tcW w:w="964" w:type="dxa"/>
          </w:tcPr>
          <w:p w14:paraId="2E80A0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марта 1930</w:t>
            </w:r>
          </w:p>
        </w:tc>
        <w:tc>
          <w:tcPr>
            <w:tcW w:w="964" w:type="dxa"/>
          </w:tcPr>
          <w:p w14:paraId="178E8F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992" w:type="dxa"/>
          </w:tcPr>
          <w:p w14:paraId="531F67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Вохимтрест и Мастяжарт</w:t>
            </w:r>
          </w:p>
        </w:tc>
        <w:tc>
          <w:tcPr>
            <w:tcW w:w="992" w:type="dxa"/>
          </w:tcPr>
          <w:p w14:paraId="76D990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4871C450" w14:textId="77777777">
        <w:tc>
          <w:tcPr>
            <w:tcW w:w="1247" w:type="dxa"/>
          </w:tcPr>
          <w:p w14:paraId="5A9329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100 кг гидростат. дымовая </w:t>
            </w:r>
          </w:p>
        </w:tc>
        <w:tc>
          <w:tcPr>
            <w:tcW w:w="794" w:type="dxa"/>
          </w:tcPr>
          <w:p w14:paraId="5AB154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600CC0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проект.</w:t>
            </w:r>
          </w:p>
        </w:tc>
        <w:tc>
          <w:tcPr>
            <w:tcW w:w="907" w:type="dxa"/>
          </w:tcPr>
          <w:p w14:paraId="644314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ВОХИМУ и НТК УВВС</w:t>
            </w:r>
          </w:p>
        </w:tc>
        <w:tc>
          <w:tcPr>
            <w:tcW w:w="907" w:type="dxa"/>
          </w:tcPr>
          <w:p w14:paraId="7C7625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907" w:type="dxa"/>
          </w:tcPr>
          <w:p w14:paraId="5B9BB9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1021" w:type="dxa"/>
          </w:tcPr>
          <w:p w14:paraId="0027F0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w:t>
            </w:r>
          </w:p>
        </w:tc>
        <w:tc>
          <w:tcPr>
            <w:tcW w:w="1021" w:type="dxa"/>
          </w:tcPr>
          <w:p w14:paraId="173B09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декабря 1930</w:t>
            </w:r>
          </w:p>
        </w:tc>
        <w:tc>
          <w:tcPr>
            <w:tcW w:w="964" w:type="dxa"/>
          </w:tcPr>
          <w:p w14:paraId="4EDDB9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1931</w:t>
            </w:r>
          </w:p>
        </w:tc>
        <w:tc>
          <w:tcPr>
            <w:tcW w:w="964" w:type="dxa"/>
          </w:tcPr>
          <w:p w14:paraId="2B2564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1931</w:t>
            </w:r>
          </w:p>
        </w:tc>
        <w:tc>
          <w:tcPr>
            <w:tcW w:w="992" w:type="dxa"/>
          </w:tcPr>
          <w:p w14:paraId="5482BB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w:t>
            </w:r>
          </w:p>
        </w:tc>
        <w:tc>
          <w:tcPr>
            <w:tcW w:w="992" w:type="dxa"/>
          </w:tcPr>
          <w:p w14:paraId="36647F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63714F71" w14:textId="77777777">
        <w:tc>
          <w:tcPr>
            <w:tcW w:w="1247" w:type="dxa"/>
          </w:tcPr>
          <w:p w14:paraId="4F850E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250 кг гидростат. дымовая </w:t>
            </w:r>
          </w:p>
        </w:tc>
        <w:tc>
          <w:tcPr>
            <w:tcW w:w="794" w:type="dxa"/>
          </w:tcPr>
          <w:p w14:paraId="3E8FCB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2D7055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проект.</w:t>
            </w:r>
          </w:p>
        </w:tc>
        <w:tc>
          <w:tcPr>
            <w:tcW w:w="907" w:type="dxa"/>
          </w:tcPr>
          <w:p w14:paraId="499794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ВОХИМУ и НТК УВВС</w:t>
            </w:r>
          </w:p>
        </w:tc>
        <w:tc>
          <w:tcPr>
            <w:tcW w:w="907" w:type="dxa"/>
          </w:tcPr>
          <w:p w14:paraId="571F36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907" w:type="dxa"/>
          </w:tcPr>
          <w:p w14:paraId="6383C2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1021" w:type="dxa"/>
          </w:tcPr>
          <w:p w14:paraId="50BD50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w:t>
            </w:r>
          </w:p>
        </w:tc>
        <w:tc>
          <w:tcPr>
            <w:tcW w:w="1021" w:type="dxa"/>
          </w:tcPr>
          <w:p w14:paraId="09C721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 декабря 1930</w:t>
            </w:r>
          </w:p>
        </w:tc>
        <w:tc>
          <w:tcPr>
            <w:tcW w:w="964" w:type="dxa"/>
          </w:tcPr>
          <w:p w14:paraId="375D69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1931</w:t>
            </w:r>
          </w:p>
        </w:tc>
        <w:tc>
          <w:tcPr>
            <w:tcW w:w="964" w:type="dxa"/>
          </w:tcPr>
          <w:p w14:paraId="15A8BF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1931</w:t>
            </w:r>
          </w:p>
        </w:tc>
        <w:tc>
          <w:tcPr>
            <w:tcW w:w="992" w:type="dxa"/>
          </w:tcPr>
          <w:p w14:paraId="05BD6A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w:t>
            </w:r>
          </w:p>
        </w:tc>
        <w:tc>
          <w:tcPr>
            <w:tcW w:w="992" w:type="dxa"/>
          </w:tcPr>
          <w:p w14:paraId="4EBA7D9A"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F099E42" w14:textId="77777777">
        <w:tc>
          <w:tcPr>
            <w:tcW w:w="1247" w:type="dxa"/>
          </w:tcPr>
          <w:p w14:paraId="0D017B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25 кг гидростат. дымовая </w:t>
            </w:r>
          </w:p>
        </w:tc>
        <w:tc>
          <w:tcPr>
            <w:tcW w:w="794" w:type="dxa"/>
          </w:tcPr>
          <w:p w14:paraId="0CE68C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w:t>
            </w:r>
          </w:p>
        </w:tc>
        <w:tc>
          <w:tcPr>
            <w:tcW w:w="907" w:type="dxa"/>
          </w:tcPr>
          <w:p w14:paraId="03A541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вар. – 25 шт.</w:t>
            </w:r>
          </w:p>
        </w:tc>
        <w:tc>
          <w:tcPr>
            <w:tcW w:w="907" w:type="dxa"/>
          </w:tcPr>
          <w:p w14:paraId="75D495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777D4C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1CE342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558420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1930</w:t>
            </w:r>
          </w:p>
        </w:tc>
        <w:tc>
          <w:tcPr>
            <w:tcW w:w="1021" w:type="dxa"/>
          </w:tcPr>
          <w:p w14:paraId="48DFD8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1930</w:t>
            </w:r>
          </w:p>
        </w:tc>
        <w:tc>
          <w:tcPr>
            <w:tcW w:w="964" w:type="dxa"/>
          </w:tcPr>
          <w:p w14:paraId="4E8230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июля 1930</w:t>
            </w:r>
          </w:p>
        </w:tc>
        <w:tc>
          <w:tcPr>
            <w:tcW w:w="964" w:type="dxa"/>
          </w:tcPr>
          <w:p w14:paraId="737CEB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992" w:type="dxa"/>
          </w:tcPr>
          <w:p w14:paraId="1A71EF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w:t>
            </w:r>
          </w:p>
        </w:tc>
        <w:tc>
          <w:tcPr>
            <w:tcW w:w="992" w:type="dxa"/>
          </w:tcPr>
          <w:p w14:paraId="2004B111"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8A1E933" w14:textId="77777777">
        <w:tc>
          <w:tcPr>
            <w:tcW w:w="1247" w:type="dxa"/>
          </w:tcPr>
          <w:p w14:paraId="5F0935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50 кг гидростат. </w:t>
            </w:r>
          </w:p>
        </w:tc>
        <w:tc>
          <w:tcPr>
            <w:tcW w:w="794" w:type="dxa"/>
          </w:tcPr>
          <w:p w14:paraId="7F677B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3FF4F2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330371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262B8A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w:t>
            </w:r>
          </w:p>
        </w:tc>
        <w:tc>
          <w:tcPr>
            <w:tcW w:w="907" w:type="dxa"/>
          </w:tcPr>
          <w:p w14:paraId="6F79B0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1021" w:type="dxa"/>
          </w:tcPr>
          <w:p w14:paraId="2A6A3F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сентября 1930</w:t>
            </w:r>
          </w:p>
        </w:tc>
        <w:tc>
          <w:tcPr>
            <w:tcW w:w="1021" w:type="dxa"/>
          </w:tcPr>
          <w:p w14:paraId="4923D4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15 октября 1930</w:t>
            </w:r>
          </w:p>
        </w:tc>
        <w:tc>
          <w:tcPr>
            <w:tcW w:w="964" w:type="dxa"/>
          </w:tcPr>
          <w:p w14:paraId="7E8C8A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70B81A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61E04E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75340B4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3108F8E" w14:textId="77777777">
        <w:tc>
          <w:tcPr>
            <w:tcW w:w="1247" w:type="dxa"/>
          </w:tcPr>
          <w:p w14:paraId="267C49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кг пристрел. бомбы </w:t>
            </w:r>
          </w:p>
        </w:tc>
        <w:tc>
          <w:tcPr>
            <w:tcW w:w="794" w:type="dxa"/>
          </w:tcPr>
          <w:p w14:paraId="090E5D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072B30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1EF342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755002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907" w:type="dxa"/>
          </w:tcPr>
          <w:p w14:paraId="197973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1021" w:type="dxa"/>
          </w:tcPr>
          <w:p w14:paraId="635F2A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1021" w:type="dxa"/>
          </w:tcPr>
          <w:p w14:paraId="54EB47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Дать заказ на 30 шт. Завод Лысьва 1 ноября 1930</w:t>
            </w:r>
          </w:p>
        </w:tc>
        <w:tc>
          <w:tcPr>
            <w:tcW w:w="964" w:type="dxa"/>
          </w:tcPr>
          <w:p w14:paraId="611390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964" w:type="dxa"/>
          </w:tcPr>
          <w:p w14:paraId="469899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992" w:type="dxa"/>
          </w:tcPr>
          <w:p w14:paraId="6748F0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ОАТ</w:t>
            </w:r>
          </w:p>
        </w:tc>
        <w:tc>
          <w:tcPr>
            <w:tcW w:w="992" w:type="dxa"/>
          </w:tcPr>
          <w:p w14:paraId="7434A7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Мастяжарт</w:t>
            </w:r>
          </w:p>
        </w:tc>
      </w:tr>
    </w:tbl>
    <w:p w14:paraId="4D6004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Пушки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E371BA" w:rsidRPr="00507A31" w14:paraId="6EBD8A50" w14:textId="77777777">
        <w:tc>
          <w:tcPr>
            <w:tcW w:w="1247" w:type="dxa"/>
          </w:tcPr>
          <w:p w14:paraId="77AC45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20 мм автомат. Пушка </w:t>
            </w:r>
          </w:p>
        </w:tc>
        <w:tc>
          <w:tcPr>
            <w:tcW w:w="794" w:type="dxa"/>
          </w:tcPr>
          <w:p w14:paraId="2702D9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337140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Разраб. баллист. Решение</w:t>
            </w:r>
          </w:p>
        </w:tc>
        <w:tc>
          <w:tcPr>
            <w:tcW w:w="907" w:type="dxa"/>
          </w:tcPr>
          <w:p w14:paraId="1AB268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ВТА</w:t>
            </w:r>
          </w:p>
        </w:tc>
        <w:tc>
          <w:tcPr>
            <w:tcW w:w="907" w:type="dxa"/>
          </w:tcPr>
          <w:p w14:paraId="49617D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w:t>
            </w:r>
          </w:p>
        </w:tc>
        <w:tc>
          <w:tcPr>
            <w:tcW w:w="907" w:type="dxa"/>
          </w:tcPr>
          <w:p w14:paraId="3C0847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1021" w:type="dxa"/>
          </w:tcPr>
          <w:p w14:paraId="24A32E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1021" w:type="dxa"/>
          </w:tcPr>
          <w:p w14:paraId="233DED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1931</w:t>
            </w:r>
          </w:p>
        </w:tc>
        <w:tc>
          <w:tcPr>
            <w:tcW w:w="964" w:type="dxa"/>
          </w:tcPr>
          <w:p w14:paraId="19CE3C1F" w14:textId="77777777" w:rsidR="00537E5F" w:rsidRPr="00507A31" w:rsidRDefault="00537E5F" w:rsidP="00507A31">
            <w:pPr>
              <w:autoSpaceDE w:val="0"/>
              <w:autoSpaceDN w:val="0"/>
              <w:adjustRightInd w:val="0"/>
              <w:jc w:val="both"/>
              <w:rPr>
                <w:color w:val="000000" w:themeColor="text1"/>
                <w:sz w:val="16"/>
                <w:szCs w:val="16"/>
              </w:rPr>
            </w:pPr>
          </w:p>
        </w:tc>
        <w:tc>
          <w:tcPr>
            <w:tcW w:w="964" w:type="dxa"/>
          </w:tcPr>
          <w:p w14:paraId="17E530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1931</w:t>
            </w:r>
          </w:p>
        </w:tc>
        <w:tc>
          <w:tcPr>
            <w:tcW w:w="992" w:type="dxa"/>
          </w:tcPr>
          <w:p w14:paraId="4E77048B"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46F637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8</w:t>
            </w:r>
          </w:p>
        </w:tc>
      </w:tr>
      <w:tr w:rsidR="00E371BA" w:rsidRPr="00507A31" w14:paraId="2E765F05" w14:textId="77777777">
        <w:tc>
          <w:tcPr>
            <w:tcW w:w="1247" w:type="dxa"/>
          </w:tcPr>
          <w:p w14:paraId="78700F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76,2 мм пушка ДРП</w:t>
            </w:r>
          </w:p>
        </w:tc>
        <w:tc>
          <w:tcPr>
            <w:tcW w:w="794" w:type="dxa"/>
          </w:tcPr>
          <w:p w14:paraId="7E0DC0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70A506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w:t>
            </w:r>
          </w:p>
        </w:tc>
        <w:tc>
          <w:tcPr>
            <w:tcW w:w="907" w:type="dxa"/>
          </w:tcPr>
          <w:p w14:paraId="05F3BD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8</w:t>
            </w:r>
          </w:p>
        </w:tc>
        <w:tc>
          <w:tcPr>
            <w:tcW w:w="907" w:type="dxa"/>
          </w:tcPr>
          <w:p w14:paraId="72A9F8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7DA34B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7C9A86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4F365D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73ADF5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739D0A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992" w:type="dxa"/>
          </w:tcPr>
          <w:p w14:paraId="6AB109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Курчевский</w:t>
            </w:r>
          </w:p>
        </w:tc>
        <w:tc>
          <w:tcPr>
            <w:tcW w:w="992" w:type="dxa"/>
          </w:tcPr>
          <w:p w14:paraId="24BE2AA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0A9AC761" w14:textId="77777777">
        <w:tc>
          <w:tcPr>
            <w:tcW w:w="1247" w:type="dxa"/>
          </w:tcPr>
          <w:p w14:paraId="0E2818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107 мм пушка ДРП</w:t>
            </w:r>
          </w:p>
        </w:tc>
        <w:tc>
          <w:tcPr>
            <w:tcW w:w="794" w:type="dxa"/>
          </w:tcPr>
          <w:p w14:paraId="333972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3DDF17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w:t>
            </w:r>
          </w:p>
        </w:tc>
        <w:tc>
          <w:tcPr>
            <w:tcW w:w="907" w:type="dxa"/>
          </w:tcPr>
          <w:p w14:paraId="3286DF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8</w:t>
            </w:r>
          </w:p>
        </w:tc>
        <w:tc>
          <w:tcPr>
            <w:tcW w:w="907" w:type="dxa"/>
          </w:tcPr>
          <w:p w14:paraId="7B2A80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907" w:type="dxa"/>
          </w:tcPr>
          <w:p w14:paraId="288EB3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w:t>
            </w:r>
          </w:p>
        </w:tc>
        <w:tc>
          <w:tcPr>
            <w:tcW w:w="1021" w:type="dxa"/>
          </w:tcPr>
          <w:p w14:paraId="059ACB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1021" w:type="dxa"/>
          </w:tcPr>
          <w:p w14:paraId="1E8531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1931</w:t>
            </w:r>
          </w:p>
        </w:tc>
        <w:tc>
          <w:tcPr>
            <w:tcW w:w="964" w:type="dxa"/>
          </w:tcPr>
          <w:p w14:paraId="76CE79CE" w14:textId="77777777" w:rsidR="00537E5F" w:rsidRPr="00507A31" w:rsidRDefault="00537E5F" w:rsidP="00507A31">
            <w:pPr>
              <w:autoSpaceDE w:val="0"/>
              <w:autoSpaceDN w:val="0"/>
              <w:adjustRightInd w:val="0"/>
              <w:jc w:val="both"/>
              <w:rPr>
                <w:color w:val="000000" w:themeColor="text1"/>
                <w:sz w:val="16"/>
                <w:szCs w:val="16"/>
              </w:rPr>
            </w:pPr>
          </w:p>
        </w:tc>
        <w:tc>
          <w:tcPr>
            <w:tcW w:w="964" w:type="dxa"/>
          </w:tcPr>
          <w:p w14:paraId="6A23BF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992" w:type="dxa"/>
          </w:tcPr>
          <w:p w14:paraId="786859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Курчевский</w:t>
            </w:r>
          </w:p>
        </w:tc>
        <w:tc>
          <w:tcPr>
            <w:tcW w:w="992" w:type="dxa"/>
          </w:tcPr>
          <w:p w14:paraId="563A033B"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1FDCF03" w14:textId="77777777">
        <w:tc>
          <w:tcPr>
            <w:tcW w:w="1247" w:type="dxa"/>
          </w:tcPr>
          <w:p w14:paraId="6EDF78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37 мм пушка присособл. полуавтомат танк. пушки </w:t>
            </w:r>
          </w:p>
        </w:tc>
        <w:tc>
          <w:tcPr>
            <w:tcW w:w="794" w:type="dxa"/>
          </w:tcPr>
          <w:p w14:paraId="0E2483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29C812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Разработан проект</w:t>
            </w:r>
          </w:p>
        </w:tc>
        <w:tc>
          <w:tcPr>
            <w:tcW w:w="907" w:type="dxa"/>
          </w:tcPr>
          <w:p w14:paraId="7B7EC1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Большевик</w:t>
            </w:r>
          </w:p>
        </w:tc>
        <w:tc>
          <w:tcPr>
            <w:tcW w:w="907" w:type="dxa"/>
          </w:tcPr>
          <w:p w14:paraId="48CA0C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декабря 1929</w:t>
            </w:r>
          </w:p>
        </w:tc>
        <w:tc>
          <w:tcPr>
            <w:tcW w:w="907" w:type="dxa"/>
          </w:tcPr>
          <w:p w14:paraId="0A5AC5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1930</w:t>
            </w:r>
          </w:p>
        </w:tc>
        <w:tc>
          <w:tcPr>
            <w:tcW w:w="1021" w:type="dxa"/>
          </w:tcPr>
          <w:p w14:paraId="5757D1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1021" w:type="dxa"/>
          </w:tcPr>
          <w:p w14:paraId="5F05AF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964" w:type="dxa"/>
          </w:tcPr>
          <w:p w14:paraId="78312981" w14:textId="77777777" w:rsidR="00537E5F" w:rsidRPr="00507A31" w:rsidRDefault="00537E5F" w:rsidP="00507A31">
            <w:pPr>
              <w:autoSpaceDE w:val="0"/>
              <w:autoSpaceDN w:val="0"/>
              <w:adjustRightInd w:val="0"/>
              <w:jc w:val="both"/>
              <w:rPr>
                <w:color w:val="000000" w:themeColor="text1"/>
                <w:sz w:val="16"/>
                <w:szCs w:val="16"/>
              </w:rPr>
            </w:pPr>
          </w:p>
        </w:tc>
        <w:tc>
          <w:tcPr>
            <w:tcW w:w="964" w:type="dxa"/>
          </w:tcPr>
          <w:p w14:paraId="111239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1931</w:t>
            </w:r>
          </w:p>
        </w:tc>
        <w:tc>
          <w:tcPr>
            <w:tcW w:w="992" w:type="dxa"/>
          </w:tcPr>
          <w:p w14:paraId="033EF072"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209AE9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Большевик</w:t>
            </w:r>
          </w:p>
        </w:tc>
      </w:tr>
    </w:tbl>
    <w:p w14:paraId="30FB97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Пулеметы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E371BA" w:rsidRPr="00507A31" w14:paraId="6A5E40E4" w14:textId="77777777">
        <w:tc>
          <w:tcPr>
            <w:tcW w:w="1247" w:type="dxa"/>
          </w:tcPr>
          <w:p w14:paraId="3EE876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7,62 мм сверхскорострельный пулем. для стрельбы сквозь винт Дягтерева</w:t>
            </w:r>
          </w:p>
        </w:tc>
        <w:tc>
          <w:tcPr>
            <w:tcW w:w="794" w:type="dxa"/>
          </w:tcPr>
          <w:p w14:paraId="7724A2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537AD4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Находится в переработке</w:t>
            </w:r>
          </w:p>
        </w:tc>
        <w:tc>
          <w:tcPr>
            <w:tcW w:w="907" w:type="dxa"/>
          </w:tcPr>
          <w:p w14:paraId="2A334D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ИНЗ 2</w:t>
            </w:r>
          </w:p>
        </w:tc>
        <w:tc>
          <w:tcPr>
            <w:tcW w:w="907" w:type="dxa"/>
          </w:tcPr>
          <w:p w14:paraId="0D2D6E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22F0C3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0987EE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3ECD9E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964" w:type="dxa"/>
          </w:tcPr>
          <w:p w14:paraId="713F78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2B0EB4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992" w:type="dxa"/>
          </w:tcPr>
          <w:p w14:paraId="6E1C3BBD"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4C2CB6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ИНЗ 2</w:t>
            </w:r>
          </w:p>
        </w:tc>
      </w:tr>
      <w:tr w:rsidR="00E371BA" w:rsidRPr="00507A31" w14:paraId="0E71EA13" w14:textId="77777777">
        <w:tc>
          <w:tcPr>
            <w:tcW w:w="1247" w:type="dxa"/>
          </w:tcPr>
          <w:p w14:paraId="3CEC62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7,62 мм сверхскорострельный пулем. сист. Токарева с темп. стрельбы 10000-1200 выстр.</w:t>
            </w:r>
          </w:p>
        </w:tc>
        <w:tc>
          <w:tcPr>
            <w:tcW w:w="794" w:type="dxa"/>
          </w:tcPr>
          <w:p w14:paraId="539991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457668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Находится в переработке</w:t>
            </w:r>
          </w:p>
        </w:tc>
        <w:tc>
          <w:tcPr>
            <w:tcW w:w="907" w:type="dxa"/>
          </w:tcPr>
          <w:p w14:paraId="6A836C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ТОЗ</w:t>
            </w:r>
          </w:p>
        </w:tc>
        <w:tc>
          <w:tcPr>
            <w:tcW w:w="907" w:type="dxa"/>
          </w:tcPr>
          <w:p w14:paraId="4EEC35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56BA6E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49322B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24AFCC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964" w:type="dxa"/>
          </w:tcPr>
          <w:p w14:paraId="0742FC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2FDD47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992" w:type="dxa"/>
          </w:tcPr>
          <w:p w14:paraId="5716E372"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242083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ТОЗ</w:t>
            </w:r>
          </w:p>
        </w:tc>
      </w:tr>
      <w:tr w:rsidR="00E371BA" w:rsidRPr="00507A31" w14:paraId="7BC54FE1" w14:textId="77777777">
        <w:tc>
          <w:tcPr>
            <w:tcW w:w="1247" w:type="dxa"/>
          </w:tcPr>
          <w:p w14:paraId="432D9F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7,62 мм спаренный турельный Дегтярева</w:t>
            </w:r>
          </w:p>
        </w:tc>
        <w:tc>
          <w:tcPr>
            <w:tcW w:w="794" w:type="dxa"/>
          </w:tcPr>
          <w:p w14:paraId="485113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695916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Окончен разработ.</w:t>
            </w:r>
          </w:p>
        </w:tc>
        <w:tc>
          <w:tcPr>
            <w:tcW w:w="907" w:type="dxa"/>
          </w:tcPr>
          <w:p w14:paraId="19CFDA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ИНЗ 2</w:t>
            </w:r>
          </w:p>
        </w:tc>
        <w:tc>
          <w:tcPr>
            <w:tcW w:w="907" w:type="dxa"/>
          </w:tcPr>
          <w:p w14:paraId="55F011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07" w:type="dxa"/>
          </w:tcPr>
          <w:p w14:paraId="75E61D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17FE63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21" w:type="dxa"/>
          </w:tcPr>
          <w:p w14:paraId="153226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февраля 1930</w:t>
            </w:r>
          </w:p>
        </w:tc>
        <w:tc>
          <w:tcPr>
            <w:tcW w:w="964" w:type="dxa"/>
          </w:tcPr>
          <w:p w14:paraId="40057C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64" w:type="dxa"/>
          </w:tcPr>
          <w:p w14:paraId="2D9191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марта 1930</w:t>
            </w:r>
          </w:p>
        </w:tc>
        <w:tc>
          <w:tcPr>
            <w:tcW w:w="992" w:type="dxa"/>
          </w:tcPr>
          <w:p w14:paraId="447F0B3D"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58DEF0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ИНЗ 2</w:t>
            </w:r>
          </w:p>
        </w:tc>
      </w:tr>
      <w:tr w:rsidR="00E371BA" w:rsidRPr="00507A31" w14:paraId="127B1839" w14:textId="77777777">
        <w:tc>
          <w:tcPr>
            <w:tcW w:w="1247" w:type="dxa"/>
          </w:tcPr>
          <w:p w14:paraId="5B965B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12,7 мм пулемет Дегтярева</w:t>
            </w:r>
          </w:p>
        </w:tc>
        <w:tc>
          <w:tcPr>
            <w:tcW w:w="794" w:type="dxa"/>
          </w:tcPr>
          <w:p w14:paraId="324CCB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4724C3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Изготовл. опытн. образец </w:t>
            </w:r>
          </w:p>
        </w:tc>
        <w:tc>
          <w:tcPr>
            <w:tcW w:w="907" w:type="dxa"/>
          </w:tcPr>
          <w:p w14:paraId="685BBB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ИНЗ 2</w:t>
            </w:r>
          </w:p>
        </w:tc>
        <w:tc>
          <w:tcPr>
            <w:tcW w:w="907" w:type="dxa"/>
          </w:tcPr>
          <w:p w14:paraId="222AF41F"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64E3FE62" w14:textId="77777777" w:rsidR="00537E5F" w:rsidRPr="00507A31" w:rsidRDefault="00537E5F" w:rsidP="00507A31">
            <w:pPr>
              <w:autoSpaceDE w:val="0"/>
              <w:autoSpaceDN w:val="0"/>
              <w:adjustRightInd w:val="0"/>
              <w:jc w:val="both"/>
              <w:rPr>
                <w:color w:val="000000" w:themeColor="text1"/>
                <w:sz w:val="16"/>
                <w:szCs w:val="16"/>
              </w:rPr>
            </w:pPr>
          </w:p>
        </w:tc>
        <w:tc>
          <w:tcPr>
            <w:tcW w:w="1021" w:type="dxa"/>
          </w:tcPr>
          <w:p w14:paraId="19A2ED7D" w14:textId="77777777" w:rsidR="00537E5F" w:rsidRPr="00507A31" w:rsidRDefault="00537E5F" w:rsidP="00507A31">
            <w:pPr>
              <w:autoSpaceDE w:val="0"/>
              <w:autoSpaceDN w:val="0"/>
              <w:adjustRightInd w:val="0"/>
              <w:jc w:val="both"/>
              <w:rPr>
                <w:color w:val="000000" w:themeColor="text1"/>
                <w:sz w:val="16"/>
                <w:szCs w:val="16"/>
              </w:rPr>
            </w:pPr>
          </w:p>
        </w:tc>
        <w:tc>
          <w:tcPr>
            <w:tcW w:w="1021" w:type="dxa"/>
          </w:tcPr>
          <w:p w14:paraId="1A7D9F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964" w:type="dxa"/>
          </w:tcPr>
          <w:p w14:paraId="606AB7C0" w14:textId="77777777" w:rsidR="00537E5F" w:rsidRPr="00507A31" w:rsidRDefault="00537E5F" w:rsidP="00507A31">
            <w:pPr>
              <w:autoSpaceDE w:val="0"/>
              <w:autoSpaceDN w:val="0"/>
              <w:adjustRightInd w:val="0"/>
              <w:jc w:val="both"/>
              <w:rPr>
                <w:color w:val="000000" w:themeColor="text1"/>
                <w:sz w:val="16"/>
                <w:szCs w:val="16"/>
              </w:rPr>
            </w:pPr>
          </w:p>
        </w:tc>
        <w:tc>
          <w:tcPr>
            <w:tcW w:w="964" w:type="dxa"/>
          </w:tcPr>
          <w:p w14:paraId="791832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992" w:type="dxa"/>
          </w:tcPr>
          <w:p w14:paraId="30477BEC"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4169CA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ИНЗ 2</w:t>
            </w:r>
          </w:p>
        </w:tc>
      </w:tr>
      <w:tr w:rsidR="00E371BA" w:rsidRPr="00507A31" w14:paraId="0E7CCE7B" w14:textId="77777777">
        <w:tc>
          <w:tcPr>
            <w:tcW w:w="1247" w:type="dxa"/>
          </w:tcPr>
          <w:p w14:paraId="175CEE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12,7 мм пулемет сист. Дрейзе (Пастухов)</w:t>
            </w:r>
          </w:p>
        </w:tc>
        <w:tc>
          <w:tcPr>
            <w:tcW w:w="794" w:type="dxa"/>
          </w:tcPr>
          <w:p w14:paraId="634387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w:t>
            </w:r>
          </w:p>
        </w:tc>
        <w:tc>
          <w:tcPr>
            <w:tcW w:w="907" w:type="dxa"/>
          </w:tcPr>
          <w:p w14:paraId="30AF01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Изготовл. опытн. образ. задержка с пулями</w:t>
            </w:r>
          </w:p>
        </w:tc>
        <w:tc>
          <w:tcPr>
            <w:tcW w:w="907" w:type="dxa"/>
          </w:tcPr>
          <w:p w14:paraId="44D90E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ТОЗ</w:t>
            </w:r>
          </w:p>
        </w:tc>
        <w:tc>
          <w:tcPr>
            <w:tcW w:w="907" w:type="dxa"/>
          </w:tcPr>
          <w:p w14:paraId="5613C1E8" w14:textId="77777777" w:rsidR="00537E5F" w:rsidRPr="00507A31" w:rsidRDefault="00537E5F" w:rsidP="00507A31">
            <w:pPr>
              <w:autoSpaceDE w:val="0"/>
              <w:autoSpaceDN w:val="0"/>
              <w:adjustRightInd w:val="0"/>
              <w:jc w:val="both"/>
              <w:rPr>
                <w:color w:val="000000" w:themeColor="text1"/>
                <w:sz w:val="16"/>
                <w:szCs w:val="16"/>
              </w:rPr>
            </w:pPr>
          </w:p>
        </w:tc>
        <w:tc>
          <w:tcPr>
            <w:tcW w:w="907" w:type="dxa"/>
          </w:tcPr>
          <w:p w14:paraId="4F02C5AF" w14:textId="77777777" w:rsidR="00537E5F" w:rsidRPr="00507A31" w:rsidRDefault="00537E5F" w:rsidP="00507A31">
            <w:pPr>
              <w:autoSpaceDE w:val="0"/>
              <w:autoSpaceDN w:val="0"/>
              <w:adjustRightInd w:val="0"/>
              <w:jc w:val="both"/>
              <w:rPr>
                <w:color w:val="000000" w:themeColor="text1"/>
                <w:sz w:val="16"/>
                <w:szCs w:val="16"/>
              </w:rPr>
            </w:pPr>
          </w:p>
        </w:tc>
        <w:tc>
          <w:tcPr>
            <w:tcW w:w="1021" w:type="dxa"/>
          </w:tcPr>
          <w:p w14:paraId="3866B3B3" w14:textId="77777777" w:rsidR="00537E5F" w:rsidRPr="00507A31" w:rsidRDefault="00537E5F" w:rsidP="00507A31">
            <w:pPr>
              <w:autoSpaceDE w:val="0"/>
              <w:autoSpaceDN w:val="0"/>
              <w:adjustRightInd w:val="0"/>
              <w:jc w:val="both"/>
              <w:rPr>
                <w:color w:val="000000" w:themeColor="text1"/>
                <w:sz w:val="16"/>
                <w:szCs w:val="16"/>
              </w:rPr>
            </w:pPr>
          </w:p>
        </w:tc>
        <w:tc>
          <w:tcPr>
            <w:tcW w:w="1021" w:type="dxa"/>
          </w:tcPr>
          <w:p w14:paraId="5708AD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964" w:type="dxa"/>
          </w:tcPr>
          <w:p w14:paraId="030047CD" w14:textId="77777777" w:rsidR="00537E5F" w:rsidRPr="00507A31" w:rsidRDefault="00537E5F" w:rsidP="00507A31">
            <w:pPr>
              <w:autoSpaceDE w:val="0"/>
              <w:autoSpaceDN w:val="0"/>
              <w:adjustRightInd w:val="0"/>
              <w:jc w:val="both"/>
              <w:rPr>
                <w:color w:val="000000" w:themeColor="text1"/>
                <w:sz w:val="16"/>
                <w:szCs w:val="16"/>
              </w:rPr>
            </w:pPr>
          </w:p>
        </w:tc>
        <w:tc>
          <w:tcPr>
            <w:tcW w:w="964" w:type="dxa"/>
          </w:tcPr>
          <w:p w14:paraId="3CCF2B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992" w:type="dxa"/>
          </w:tcPr>
          <w:p w14:paraId="72B2CE83"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50A96B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ТОЗ</w:t>
            </w:r>
          </w:p>
        </w:tc>
      </w:tr>
    </w:tbl>
    <w:p w14:paraId="650A08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 План опытного строительства предметов авиационного вооружения на 1931/33 г.г. и план научно-исследовательских работ будет разработан дополнительно, взяв в основу разработку новых более мощных и оригинальных образцов авиационного вооружения и усовершенствование имеющихся образцов в части их удешевления, облегчения веса, удобства хранения и т.д.</w:t>
      </w:r>
    </w:p>
    <w:p w14:paraId="4CFD51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(3625, 18-20)</w:t>
      </w:r>
    </w:p>
    <w:p w14:paraId="2D3F13E7" w14:textId="77777777" w:rsidR="00537E5F" w:rsidRPr="00507A31" w:rsidRDefault="00537E5F" w:rsidP="00507A31">
      <w:pPr>
        <w:autoSpaceDE w:val="0"/>
        <w:autoSpaceDN w:val="0"/>
        <w:adjustRightInd w:val="0"/>
        <w:jc w:val="both"/>
        <w:rPr>
          <w:color w:val="000000" w:themeColor="text1"/>
          <w:sz w:val="16"/>
          <w:szCs w:val="16"/>
        </w:rPr>
      </w:pPr>
    </w:p>
    <w:p w14:paraId="67EB59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года председатель НТК УВВС Дубенский и председатель 2 секции НТК Петровский подписали: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28"/>
        <w:gridCol w:w="1928"/>
        <w:gridCol w:w="2268"/>
        <w:gridCol w:w="1077"/>
        <w:gridCol w:w="1077"/>
        <w:gridCol w:w="1656"/>
        <w:gridCol w:w="1656"/>
      </w:tblGrid>
      <w:tr w:rsidR="00E371BA" w:rsidRPr="00507A31" w14:paraId="71707D6C" w14:textId="77777777">
        <w:tc>
          <w:tcPr>
            <w:tcW w:w="1928" w:type="dxa"/>
          </w:tcPr>
          <w:p w14:paraId="4ACA53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Указатели высоты полета. 3 варианта.</w:t>
            </w:r>
          </w:p>
        </w:tc>
        <w:tc>
          <w:tcPr>
            <w:tcW w:w="1928" w:type="dxa"/>
          </w:tcPr>
          <w:p w14:paraId="4EFA91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Получить прибор высокой точности показаний, необходимой для меткости бомбометания.</w:t>
            </w:r>
          </w:p>
        </w:tc>
        <w:tc>
          <w:tcPr>
            <w:tcW w:w="2268" w:type="dxa"/>
          </w:tcPr>
          <w:p w14:paraId="7DA476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три варианта дают максимально воздушную точность измерения высоты над пролетаемой местностью</w:t>
            </w:r>
          </w:p>
          <w:p w14:paraId="295E77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вариант – оптический, 2 – звуковой. 3 – электромагнитный.</w:t>
            </w:r>
          </w:p>
        </w:tc>
        <w:tc>
          <w:tcPr>
            <w:tcW w:w="1077" w:type="dxa"/>
          </w:tcPr>
          <w:p w14:paraId="2825CF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вар. – ТОМП</w:t>
            </w:r>
          </w:p>
          <w:p w14:paraId="4D9A3D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вар. – Остехбюро</w:t>
            </w:r>
          </w:p>
          <w:p w14:paraId="313B3E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вар. – ЭТЗСТ </w:t>
            </w:r>
          </w:p>
        </w:tc>
        <w:tc>
          <w:tcPr>
            <w:tcW w:w="1077" w:type="dxa"/>
          </w:tcPr>
          <w:p w14:paraId="48E8EF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p w14:paraId="2B3C8598" w14:textId="77777777" w:rsidR="00537E5F" w:rsidRPr="00507A31" w:rsidRDefault="00537E5F" w:rsidP="00507A31">
            <w:pPr>
              <w:autoSpaceDE w:val="0"/>
              <w:autoSpaceDN w:val="0"/>
              <w:adjustRightInd w:val="0"/>
              <w:jc w:val="both"/>
              <w:rPr>
                <w:color w:val="000000" w:themeColor="text1"/>
                <w:sz w:val="16"/>
                <w:szCs w:val="16"/>
              </w:rPr>
            </w:pPr>
          </w:p>
          <w:p w14:paraId="4BDDD6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Остехбюро</w:t>
            </w:r>
          </w:p>
          <w:p w14:paraId="18888A12" w14:textId="77777777" w:rsidR="00537E5F" w:rsidRPr="00507A31" w:rsidRDefault="00537E5F" w:rsidP="00507A31">
            <w:pPr>
              <w:autoSpaceDE w:val="0"/>
              <w:autoSpaceDN w:val="0"/>
              <w:adjustRightInd w:val="0"/>
              <w:jc w:val="both"/>
              <w:rPr>
                <w:color w:val="000000" w:themeColor="text1"/>
                <w:sz w:val="16"/>
                <w:szCs w:val="16"/>
              </w:rPr>
            </w:pPr>
          </w:p>
          <w:p w14:paraId="492587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656" w:type="dxa"/>
          </w:tcPr>
          <w:p w14:paraId="3FC5F4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p w14:paraId="28399300" w14:textId="77777777" w:rsidR="00537E5F" w:rsidRPr="00507A31" w:rsidRDefault="00537E5F" w:rsidP="00507A31">
            <w:pPr>
              <w:autoSpaceDE w:val="0"/>
              <w:autoSpaceDN w:val="0"/>
              <w:adjustRightInd w:val="0"/>
              <w:jc w:val="both"/>
              <w:rPr>
                <w:color w:val="000000" w:themeColor="text1"/>
                <w:sz w:val="16"/>
                <w:szCs w:val="16"/>
              </w:rPr>
            </w:pPr>
          </w:p>
          <w:p w14:paraId="43C931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p w14:paraId="188A63A5" w14:textId="77777777" w:rsidR="00537E5F" w:rsidRPr="00507A31" w:rsidRDefault="00537E5F" w:rsidP="00507A31">
            <w:pPr>
              <w:autoSpaceDE w:val="0"/>
              <w:autoSpaceDN w:val="0"/>
              <w:adjustRightInd w:val="0"/>
              <w:jc w:val="both"/>
              <w:rPr>
                <w:color w:val="000000" w:themeColor="text1"/>
                <w:sz w:val="16"/>
                <w:szCs w:val="16"/>
              </w:rPr>
            </w:pPr>
          </w:p>
          <w:p w14:paraId="101D76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1656" w:type="dxa"/>
          </w:tcPr>
          <w:p w14:paraId="5559CF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1933</w:t>
            </w:r>
          </w:p>
        </w:tc>
      </w:tr>
      <w:tr w:rsidR="00E371BA" w:rsidRPr="00507A31" w14:paraId="003EAF86" w14:textId="77777777">
        <w:tc>
          <w:tcPr>
            <w:tcW w:w="1928" w:type="dxa"/>
          </w:tcPr>
          <w:p w14:paraId="03889A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Указатель скорости</w:t>
            </w:r>
          </w:p>
        </w:tc>
        <w:tc>
          <w:tcPr>
            <w:tcW w:w="1928" w:type="dxa"/>
          </w:tcPr>
          <w:p w14:paraId="2AA5EE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Иметь прибор чрезвычайной точности</w:t>
            </w:r>
          </w:p>
        </w:tc>
        <w:tc>
          <w:tcPr>
            <w:tcW w:w="2268" w:type="dxa"/>
          </w:tcPr>
          <w:p w14:paraId="3ABB7F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Прибор дающий ошибку не более +(-) 2 км/час</w:t>
            </w:r>
          </w:p>
        </w:tc>
        <w:tc>
          <w:tcPr>
            <w:tcW w:w="1077" w:type="dxa"/>
          </w:tcPr>
          <w:p w14:paraId="460A3F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Точмех</w:t>
            </w:r>
          </w:p>
        </w:tc>
        <w:tc>
          <w:tcPr>
            <w:tcW w:w="1077" w:type="dxa"/>
          </w:tcPr>
          <w:p w14:paraId="124086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Точмех</w:t>
            </w:r>
          </w:p>
        </w:tc>
        <w:tc>
          <w:tcPr>
            <w:tcW w:w="1656" w:type="dxa"/>
          </w:tcPr>
          <w:p w14:paraId="50871D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1656" w:type="dxa"/>
          </w:tcPr>
          <w:p w14:paraId="6A84B5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1933</w:t>
            </w:r>
          </w:p>
        </w:tc>
      </w:tr>
      <w:tr w:rsidR="00E371BA" w:rsidRPr="00507A31" w14:paraId="36CFD8A1" w14:textId="77777777">
        <w:tc>
          <w:tcPr>
            <w:tcW w:w="1928" w:type="dxa"/>
          </w:tcPr>
          <w:p w14:paraId="7FE050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Прибор для корректирования с самолета стрельб по неподвижным целям. 2 варианта.</w:t>
            </w:r>
          </w:p>
        </w:tc>
        <w:tc>
          <w:tcPr>
            <w:tcW w:w="1928" w:type="dxa"/>
          </w:tcPr>
          <w:p w14:paraId="5B7AD1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Иметь прибор чрезвычайной точности.</w:t>
            </w:r>
          </w:p>
        </w:tc>
        <w:tc>
          <w:tcPr>
            <w:tcW w:w="2268" w:type="dxa"/>
          </w:tcPr>
          <w:p w14:paraId="11CB8F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Прибор должен разрешить задачу быстрой передачи координат разрывов относительно цели на стреляющую батарею.</w:t>
            </w:r>
          </w:p>
        </w:tc>
        <w:tc>
          <w:tcPr>
            <w:tcW w:w="1077" w:type="dxa"/>
          </w:tcPr>
          <w:p w14:paraId="49483D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Вар. АКУКС и ТОМП</w:t>
            </w:r>
          </w:p>
        </w:tc>
        <w:tc>
          <w:tcPr>
            <w:tcW w:w="1077" w:type="dxa"/>
          </w:tcPr>
          <w:p w14:paraId="736959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656" w:type="dxa"/>
          </w:tcPr>
          <w:p w14:paraId="2B9AD0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1931</w:t>
            </w:r>
          </w:p>
        </w:tc>
        <w:tc>
          <w:tcPr>
            <w:tcW w:w="1656" w:type="dxa"/>
          </w:tcPr>
          <w:p w14:paraId="6D3F77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1932 и 1 апреля 1933</w:t>
            </w:r>
          </w:p>
        </w:tc>
      </w:tr>
      <w:tr w:rsidR="00E371BA" w:rsidRPr="00507A31" w14:paraId="5A3FE028" w14:textId="77777777">
        <w:tc>
          <w:tcPr>
            <w:tcW w:w="1928" w:type="dxa"/>
          </w:tcPr>
          <w:p w14:paraId="5EB659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Прибор для корректирования с самолета стрельб береговой и судовой артиллерии по движущимся целям. 3 варианта.</w:t>
            </w:r>
          </w:p>
        </w:tc>
        <w:tc>
          <w:tcPr>
            <w:tcW w:w="1928" w:type="dxa"/>
          </w:tcPr>
          <w:p w14:paraId="14927D20" w14:textId="77777777" w:rsidR="00537E5F" w:rsidRPr="00507A31" w:rsidRDefault="00537E5F" w:rsidP="00507A31">
            <w:pPr>
              <w:autoSpaceDE w:val="0"/>
              <w:autoSpaceDN w:val="0"/>
              <w:adjustRightInd w:val="0"/>
              <w:jc w:val="both"/>
              <w:rPr>
                <w:color w:val="000000" w:themeColor="text1"/>
                <w:sz w:val="16"/>
                <w:szCs w:val="16"/>
              </w:rPr>
            </w:pPr>
          </w:p>
        </w:tc>
        <w:tc>
          <w:tcPr>
            <w:tcW w:w="2268" w:type="dxa"/>
          </w:tcPr>
          <w:p w14:paraId="52D701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Прибор должен давать возможность с максимальной скоростью и точностью передавать координаты разрывов относительно движущейся цели и ее курса на батарею.</w:t>
            </w:r>
          </w:p>
        </w:tc>
        <w:tc>
          <w:tcPr>
            <w:tcW w:w="1077" w:type="dxa"/>
          </w:tcPr>
          <w:p w14:paraId="1D5313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вар. ТОМП</w:t>
            </w:r>
          </w:p>
          <w:p w14:paraId="173022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вар. ТОМП</w:t>
            </w:r>
          </w:p>
          <w:p w14:paraId="2CB2B7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вар. ТОМП</w:t>
            </w:r>
          </w:p>
        </w:tc>
        <w:tc>
          <w:tcPr>
            <w:tcW w:w="1077" w:type="dxa"/>
          </w:tcPr>
          <w:p w14:paraId="5F433F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656" w:type="dxa"/>
          </w:tcPr>
          <w:p w14:paraId="31DB37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1931</w:t>
            </w:r>
          </w:p>
          <w:p w14:paraId="41F986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1932</w:t>
            </w:r>
          </w:p>
          <w:p w14:paraId="1CA4D9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1933</w:t>
            </w:r>
          </w:p>
        </w:tc>
        <w:tc>
          <w:tcPr>
            <w:tcW w:w="1656" w:type="dxa"/>
          </w:tcPr>
          <w:p w14:paraId="7B467D3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09A0A96" w14:textId="77777777">
        <w:tc>
          <w:tcPr>
            <w:tcW w:w="1928" w:type="dxa"/>
          </w:tcPr>
          <w:p w14:paraId="5F874B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Научно-исследовательская работа в области баллистики.</w:t>
            </w:r>
          </w:p>
        </w:tc>
        <w:tc>
          <w:tcPr>
            <w:tcW w:w="1928" w:type="dxa"/>
          </w:tcPr>
          <w:p w14:paraId="646A4513" w14:textId="77777777" w:rsidR="00537E5F" w:rsidRPr="00507A31" w:rsidRDefault="00537E5F" w:rsidP="00507A31">
            <w:pPr>
              <w:autoSpaceDE w:val="0"/>
              <w:autoSpaceDN w:val="0"/>
              <w:adjustRightInd w:val="0"/>
              <w:jc w:val="both"/>
              <w:rPr>
                <w:color w:val="000000" w:themeColor="text1"/>
                <w:sz w:val="16"/>
                <w:szCs w:val="16"/>
              </w:rPr>
            </w:pPr>
          </w:p>
        </w:tc>
        <w:tc>
          <w:tcPr>
            <w:tcW w:w="2268" w:type="dxa"/>
          </w:tcPr>
          <w:p w14:paraId="5BE8D679" w14:textId="77777777" w:rsidR="00537E5F" w:rsidRPr="00507A31" w:rsidRDefault="00537E5F" w:rsidP="00507A31">
            <w:pPr>
              <w:autoSpaceDE w:val="0"/>
              <w:autoSpaceDN w:val="0"/>
              <w:adjustRightInd w:val="0"/>
              <w:jc w:val="both"/>
              <w:rPr>
                <w:color w:val="000000" w:themeColor="text1"/>
                <w:sz w:val="16"/>
                <w:szCs w:val="16"/>
              </w:rPr>
            </w:pPr>
          </w:p>
        </w:tc>
        <w:tc>
          <w:tcPr>
            <w:tcW w:w="1077" w:type="dxa"/>
          </w:tcPr>
          <w:p w14:paraId="0E78C15E" w14:textId="77777777" w:rsidR="00537E5F" w:rsidRPr="00507A31" w:rsidRDefault="00537E5F" w:rsidP="00507A31">
            <w:pPr>
              <w:autoSpaceDE w:val="0"/>
              <w:autoSpaceDN w:val="0"/>
              <w:adjustRightInd w:val="0"/>
              <w:jc w:val="both"/>
              <w:rPr>
                <w:color w:val="000000" w:themeColor="text1"/>
                <w:sz w:val="16"/>
                <w:szCs w:val="16"/>
              </w:rPr>
            </w:pPr>
          </w:p>
        </w:tc>
        <w:tc>
          <w:tcPr>
            <w:tcW w:w="1077" w:type="dxa"/>
          </w:tcPr>
          <w:p w14:paraId="499EEBB8"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70C5D100"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6FEFE110" w14:textId="77777777" w:rsidR="00537E5F" w:rsidRPr="00507A31" w:rsidRDefault="00537E5F" w:rsidP="00507A31">
            <w:pPr>
              <w:autoSpaceDE w:val="0"/>
              <w:autoSpaceDN w:val="0"/>
              <w:adjustRightInd w:val="0"/>
              <w:jc w:val="both"/>
              <w:rPr>
                <w:color w:val="000000" w:themeColor="text1"/>
                <w:sz w:val="16"/>
                <w:szCs w:val="16"/>
              </w:rPr>
            </w:pPr>
          </w:p>
        </w:tc>
      </w:tr>
    </w:tbl>
    <w:p w14:paraId="10950C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Прицелы для стрельбы с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28"/>
        <w:gridCol w:w="1928"/>
        <w:gridCol w:w="2268"/>
        <w:gridCol w:w="1077"/>
        <w:gridCol w:w="1077"/>
        <w:gridCol w:w="1656"/>
        <w:gridCol w:w="1656"/>
      </w:tblGrid>
      <w:tr w:rsidR="00E371BA" w:rsidRPr="00507A31" w14:paraId="020FFF2F" w14:textId="77777777">
        <w:tc>
          <w:tcPr>
            <w:tcW w:w="1928" w:type="dxa"/>
          </w:tcPr>
          <w:p w14:paraId="410806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Кольцевой прицел для 7,62 с пулеметов, стреляющих через винт.</w:t>
            </w:r>
          </w:p>
        </w:tc>
        <w:tc>
          <w:tcPr>
            <w:tcW w:w="1928" w:type="dxa"/>
          </w:tcPr>
          <w:p w14:paraId="6BEF52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Замена ныне состоящего на вооружении ВВС прицела более совершенного типа.</w:t>
            </w:r>
          </w:p>
        </w:tc>
        <w:tc>
          <w:tcPr>
            <w:tcW w:w="2268" w:type="dxa"/>
          </w:tcPr>
          <w:p w14:paraId="573B8E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Прицел должен будет иметь приспособление для регулировки его на различные значения скоростей воздушного противника и на различные калибры пулеметов. Как кольцо, так и мушка этого прицела не должны воспринимать заметных вибраций, передаваемых им самолетом. В конструкцию этого прицела должны быть введены изменения, устраняющие дефекты ныне состоящего на вооружении прицела, обнаруженные в процессе его длительных эксплуатацион. испытаний.</w:t>
            </w:r>
          </w:p>
        </w:tc>
        <w:tc>
          <w:tcPr>
            <w:tcW w:w="1077" w:type="dxa"/>
          </w:tcPr>
          <w:p w14:paraId="22E4F3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077" w:type="dxa"/>
          </w:tcPr>
          <w:p w14:paraId="446703EE"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3F0EA7BD"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3045D52D"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5B107CB" w14:textId="77777777">
        <w:tc>
          <w:tcPr>
            <w:tcW w:w="1928" w:type="dxa"/>
          </w:tcPr>
          <w:p w14:paraId="3ABD6D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Приспособление кольцевого прицела КП1 для крупнокалиберных пулеметов.</w:t>
            </w:r>
          </w:p>
        </w:tc>
        <w:tc>
          <w:tcPr>
            <w:tcW w:w="1928" w:type="dxa"/>
          </w:tcPr>
          <w:p w14:paraId="1028BA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Обеспечить кольцевым прицелом крупнокалибер. пулемет</w:t>
            </w:r>
          </w:p>
        </w:tc>
        <w:tc>
          <w:tcPr>
            <w:tcW w:w="2268" w:type="dxa"/>
          </w:tcPr>
          <w:p w14:paraId="0593C0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Простой, надежный и дешевый тип кольцевого прицела.</w:t>
            </w:r>
          </w:p>
        </w:tc>
        <w:tc>
          <w:tcPr>
            <w:tcW w:w="1077" w:type="dxa"/>
          </w:tcPr>
          <w:p w14:paraId="1056D4B5" w14:textId="77777777" w:rsidR="00537E5F" w:rsidRPr="00507A31" w:rsidRDefault="00537E5F" w:rsidP="00507A31">
            <w:pPr>
              <w:autoSpaceDE w:val="0"/>
              <w:autoSpaceDN w:val="0"/>
              <w:adjustRightInd w:val="0"/>
              <w:jc w:val="both"/>
              <w:rPr>
                <w:color w:val="000000" w:themeColor="text1"/>
                <w:sz w:val="16"/>
                <w:szCs w:val="16"/>
              </w:rPr>
            </w:pPr>
          </w:p>
        </w:tc>
        <w:tc>
          <w:tcPr>
            <w:tcW w:w="1077" w:type="dxa"/>
          </w:tcPr>
          <w:p w14:paraId="6E2ACB63"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7AC998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1656" w:type="dxa"/>
          </w:tcPr>
          <w:p w14:paraId="22EDBE7A"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CD4D58C" w14:textId="77777777">
        <w:tc>
          <w:tcPr>
            <w:tcW w:w="1928" w:type="dxa"/>
          </w:tcPr>
          <w:p w14:paraId="4384B6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Прицел для штурмовиков для стрельбы по земным целям. 2 варианта.</w:t>
            </w:r>
          </w:p>
        </w:tc>
        <w:tc>
          <w:tcPr>
            <w:tcW w:w="1928" w:type="dxa"/>
          </w:tcPr>
          <w:p w14:paraId="5557A9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Обеспечить штурмовые самолеты прицелами для обстрела земных объектов.</w:t>
            </w:r>
          </w:p>
        </w:tc>
        <w:tc>
          <w:tcPr>
            <w:tcW w:w="2268" w:type="dxa"/>
          </w:tcPr>
          <w:p w14:paraId="1F06B4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Простой, надежный и дешевый тип неоптического прицела.</w:t>
            </w:r>
          </w:p>
        </w:tc>
        <w:tc>
          <w:tcPr>
            <w:tcW w:w="1077" w:type="dxa"/>
          </w:tcPr>
          <w:p w14:paraId="5F5327C3" w14:textId="77777777" w:rsidR="00537E5F" w:rsidRPr="00507A31" w:rsidRDefault="00537E5F" w:rsidP="00507A31">
            <w:pPr>
              <w:autoSpaceDE w:val="0"/>
              <w:autoSpaceDN w:val="0"/>
              <w:adjustRightInd w:val="0"/>
              <w:jc w:val="both"/>
              <w:rPr>
                <w:color w:val="000000" w:themeColor="text1"/>
                <w:sz w:val="16"/>
                <w:szCs w:val="16"/>
              </w:rPr>
            </w:pPr>
          </w:p>
        </w:tc>
        <w:tc>
          <w:tcPr>
            <w:tcW w:w="1077" w:type="dxa"/>
          </w:tcPr>
          <w:p w14:paraId="14295762"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110A01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w:t>
            </w:r>
          </w:p>
        </w:tc>
        <w:tc>
          <w:tcPr>
            <w:tcW w:w="1656" w:type="dxa"/>
          </w:tcPr>
          <w:p w14:paraId="47E950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1933</w:t>
            </w:r>
          </w:p>
        </w:tc>
      </w:tr>
      <w:tr w:rsidR="00E371BA" w:rsidRPr="00507A31" w14:paraId="5B7D0DE5" w14:textId="77777777">
        <w:tc>
          <w:tcPr>
            <w:tcW w:w="1928" w:type="dxa"/>
          </w:tcPr>
          <w:p w14:paraId="6C113B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Прицел для ночной стрельбы из неподвижных пулеметов.</w:t>
            </w:r>
          </w:p>
        </w:tc>
        <w:tc>
          <w:tcPr>
            <w:tcW w:w="1928" w:type="dxa"/>
          </w:tcPr>
          <w:p w14:paraId="6C1D7B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Обеспечить возможность самолетн. ночных стрельб.</w:t>
            </w:r>
          </w:p>
        </w:tc>
        <w:tc>
          <w:tcPr>
            <w:tcW w:w="2268" w:type="dxa"/>
          </w:tcPr>
          <w:p w14:paraId="422AE3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Прибор должен давать возможность одновременно с целью наблюдать ночью необходимые для правильной стрельбы детали прицела (кольца и мушку у неоптического прицела и кольца и крест нитей – у оптического), которые должны освещаться регулируемым в широких пределах очень тусклым светом.</w:t>
            </w:r>
          </w:p>
        </w:tc>
        <w:tc>
          <w:tcPr>
            <w:tcW w:w="1077" w:type="dxa"/>
          </w:tcPr>
          <w:p w14:paraId="025E7F41" w14:textId="77777777" w:rsidR="00537E5F" w:rsidRPr="00507A31" w:rsidRDefault="00537E5F" w:rsidP="00507A31">
            <w:pPr>
              <w:autoSpaceDE w:val="0"/>
              <w:autoSpaceDN w:val="0"/>
              <w:adjustRightInd w:val="0"/>
              <w:jc w:val="both"/>
              <w:rPr>
                <w:color w:val="000000" w:themeColor="text1"/>
                <w:sz w:val="16"/>
                <w:szCs w:val="16"/>
              </w:rPr>
            </w:pPr>
          </w:p>
        </w:tc>
        <w:tc>
          <w:tcPr>
            <w:tcW w:w="1077" w:type="dxa"/>
          </w:tcPr>
          <w:p w14:paraId="7E448D44"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26EC73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1931</w:t>
            </w:r>
          </w:p>
        </w:tc>
        <w:tc>
          <w:tcPr>
            <w:tcW w:w="1656" w:type="dxa"/>
          </w:tcPr>
          <w:p w14:paraId="582340E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CF20DC2" w14:textId="77777777">
        <w:tc>
          <w:tcPr>
            <w:tcW w:w="1928" w:type="dxa"/>
          </w:tcPr>
          <w:p w14:paraId="678AE4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Прицел для ночной стрельбы из турельных пулеметов.</w:t>
            </w:r>
          </w:p>
        </w:tc>
        <w:tc>
          <w:tcPr>
            <w:tcW w:w="1928" w:type="dxa"/>
          </w:tcPr>
          <w:p w14:paraId="566658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Обеспечить возможность самолетн. ночных стрельб.</w:t>
            </w:r>
          </w:p>
        </w:tc>
        <w:tc>
          <w:tcPr>
            <w:tcW w:w="2268" w:type="dxa"/>
          </w:tcPr>
          <w:p w14:paraId="2F4D26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Прибор должен давать возможность одновременно с целью наблюдать ночью необходимые для правильной стрельбы детали прицела (кольца и мушку у неоптического прицела и кольца и крест нитей – у оптического), которые должны освещаться регулируемым в широких пределах очень тусклым светом.</w:t>
            </w:r>
          </w:p>
        </w:tc>
        <w:tc>
          <w:tcPr>
            <w:tcW w:w="1077" w:type="dxa"/>
          </w:tcPr>
          <w:p w14:paraId="3DD330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077" w:type="dxa"/>
          </w:tcPr>
          <w:p w14:paraId="69FB0EB4"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5F6FFC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1931</w:t>
            </w:r>
          </w:p>
        </w:tc>
        <w:tc>
          <w:tcPr>
            <w:tcW w:w="1656" w:type="dxa"/>
          </w:tcPr>
          <w:p w14:paraId="6624CDA5"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4A99475" w14:textId="77777777">
        <w:tc>
          <w:tcPr>
            <w:tcW w:w="1928" w:type="dxa"/>
          </w:tcPr>
          <w:p w14:paraId="5D0684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Оптический прицел для турельных 7,62 мм пулеметов с автоматической установкой поправки на собственную скорость. 2 варианта.</w:t>
            </w:r>
          </w:p>
        </w:tc>
        <w:tc>
          <w:tcPr>
            <w:tcW w:w="1928" w:type="dxa"/>
          </w:tcPr>
          <w:p w14:paraId="5E1B9E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Заменить недостаточно совершен. неоптический прицел с флюгер-мушкой, при пользовании коим стрельба не может быть достаточно меткой.</w:t>
            </w:r>
          </w:p>
        </w:tc>
        <w:tc>
          <w:tcPr>
            <w:tcW w:w="2268" w:type="dxa"/>
          </w:tcPr>
          <w:p w14:paraId="649BCE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1-й вариант предназначается для учета влияния собственной скорости, величина коей будет устанавливаться на прицеле летнабом.</w:t>
            </w:r>
          </w:p>
          <w:p w14:paraId="484025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2-й вариант для учета влияния собственной скорости, автоматически устанавливаемой на прицеле от указания скорости.</w:t>
            </w:r>
          </w:p>
        </w:tc>
        <w:tc>
          <w:tcPr>
            <w:tcW w:w="1077" w:type="dxa"/>
          </w:tcPr>
          <w:p w14:paraId="5FF60FF1" w14:textId="77777777" w:rsidR="00537E5F" w:rsidRPr="00507A31" w:rsidRDefault="00537E5F" w:rsidP="00507A31">
            <w:pPr>
              <w:autoSpaceDE w:val="0"/>
              <w:autoSpaceDN w:val="0"/>
              <w:adjustRightInd w:val="0"/>
              <w:jc w:val="both"/>
              <w:rPr>
                <w:color w:val="000000" w:themeColor="text1"/>
                <w:sz w:val="16"/>
                <w:szCs w:val="16"/>
              </w:rPr>
            </w:pPr>
          </w:p>
        </w:tc>
        <w:tc>
          <w:tcPr>
            <w:tcW w:w="1077" w:type="dxa"/>
          </w:tcPr>
          <w:p w14:paraId="7DCE89C8"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7788B9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1931</w:t>
            </w:r>
          </w:p>
        </w:tc>
        <w:tc>
          <w:tcPr>
            <w:tcW w:w="1656" w:type="dxa"/>
          </w:tcPr>
          <w:p w14:paraId="534D39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1932</w:t>
            </w:r>
          </w:p>
        </w:tc>
      </w:tr>
      <w:tr w:rsidR="00E371BA" w:rsidRPr="00507A31" w14:paraId="160BA1E2" w14:textId="77777777">
        <w:tc>
          <w:tcPr>
            <w:tcW w:w="1928" w:type="dxa"/>
          </w:tcPr>
          <w:p w14:paraId="08B12F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Синхронный оптическ. прицел с автоматическ. установкой установокй поправки на скорость цели для 7,62 мм пулеметов, стреляющих через винт.</w:t>
            </w:r>
          </w:p>
          <w:p w14:paraId="10801F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Синхронный оптическ. прицел с автоматическ. установкой установокй поправки на скорость цели для 12,7 мм пулеметов.</w:t>
            </w:r>
          </w:p>
          <w:p w14:paraId="1E4454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Синхронный оптическ. прицел с автоматическ. установкой установокй поправки на скорость цели для безоткатной самолетной пушки калибра 7,62 мм, установленной на самолете неподвижно по направлению полета.</w:t>
            </w:r>
          </w:p>
        </w:tc>
        <w:tc>
          <w:tcPr>
            <w:tcW w:w="1928" w:type="dxa"/>
          </w:tcPr>
          <w:p w14:paraId="3E62E4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возможности вести действительную по воздушному противнику стрельбу из неподвижно укрепленного по направлению полета самолетного оружия с больших дистанций.</w:t>
            </w:r>
          </w:p>
          <w:p w14:paraId="72EB2D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избежания по улучшающихся при использовании современных прицелов недопустимых при стрельбе на большие дистанции значительн. индивидуальн. ошибок в оценке "на глаз" дистанции до воздушного противника, учета то же "на глаз" по кольцу прицела – ракурса воздушного противника и учета тоже "на глаз" положения воздушного противника в кольце прицела.)</w:t>
            </w:r>
          </w:p>
        </w:tc>
        <w:tc>
          <w:tcPr>
            <w:tcW w:w="2268" w:type="dxa"/>
          </w:tcPr>
          <w:p w14:paraId="4343BF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Прицелы эти должны будут автоматически – в результате удерживания цели на кресте нитей – вводить все поправки в положение оружия, необходимые для поражения воздушного противника.</w:t>
            </w:r>
          </w:p>
        </w:tc>
        <w:tc>
          <w:tcPr>
            <w:tcW w:w="1077" w:type="dxa"/>
          </w:tcPr>
          <w:p w14:paraId="19211A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077" w:type="dxa"/>
          </w:tcPr>
          <w:p w14:paraId="25F7C9E3"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2E08C0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1933</w:t>
            </w:r>
          </w:p>
          <w:p w14:paraId="20C97547" w14:textId="77777777" w:rsidR="00537E5F" w:rsidRPr="00507A31" w:rsidRDefault="00537E5F" w:rsidP="00507A31">
            <w:pPr>
              <w:autoSpaceDE w:val="0"/>
              <w:autoSpaceDN w:val="0"/>
              <w:adjustRightInd w:val="0"/>
              <w:jc w:val="both"/>
              <w:rPr>
                <w:color w:val="000000" w:themeColor="text1"/>
                <w:sz w:val="16"/>
                <w:szCs w:val="16"/>
              </w:rPr>
            </w:pPr>
          </w:p>
          <w:p w14:paraId="6BA4DA11" w14:textId="77777777" w:rsidR="00537E5F" w:rsidRPr="00507A31" w:rsidRDefault="00537E5F" w:rsidP="00507A31">
            <w:pPr>
              <w:autoSpaceDE w:val="0"/>
              <w:autoSpaceDN w:val="0"/>
              <w:adjustRightInd w:val="0"/>
              <w:jc w:val="both"/>
              <w:rPr>
                <w:color w:val="000000" w:themeColor="text1"/>
                <w:sz w:val="16"/>
                <w:szCs w:val="16"/>
              </w:rPr>
            </w:pPr>
          </w:p>
          <w:p w14:paraId="2E4E9DA3" w14:textId="77777777" w:rsidR="00537E5F" w:rsidRPr="00507A31" w:rsidRDefault="00537E5F" w:rsidP="00507A31">
            <w:pPr>
              <w:autoSpaceDE w:val="0"/>
              <w:autoSpaceDN w:val="0"/>
              <w:adjustRightInd w:val="0"/>
              <w:jc w:val="both"/>
              <w:rPr>
                <w:color w:val="000000" w:themeColor="text1"/>
                <w:sz w:val="16"/>
                <w:szCs w:val="16"/>
              </w:rPr>
            </w:pPr>
          </w:p>
          <w:p w14:paraId="19023994" w14:textId="77777777" w:rsidR="00537E5F" w:rsidRPr="00507A31" w:rsidRDefault="00537E5F" w:rsidP="00507A31">
            <w:pPr>
              <w:autoSpaceDE w:val="0"/>
              <w:autoSpaceDN w:val="0"/>
              <w:adjustRightInd w:val="0"/>
              <w:jc w:val="both"/>
              <w:rPr>
                <w:color w:val="000000" w:themeColor="text1"/>
                <w:sz w:val="16"/>
                <w:szCs w:val="16"/>
              </w:rPr>
            </w:pPr>
          </w:p>
          <w:p w14:paraId="0567A1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1933</w:t>
            </w:r>
          </w:p>
          <w:p w14:paraId="73ADA6AA" w14:textId="77777777" w:rsidR="00537E5F" w:rsidRPr="00507A31" w:rsidRDefault="00537E5F" w:rsidP="00507A31">
            <w:pPr>
              <w:autoSpaceDE w:val="0"/>
              <w:autoSpaceDN w:val="0"/>
              <w:adjustRightInd w:val="0"/>
              <w:jc w:val="both"/>
              <w:rPr>
                <w:color w:val="000000" w:themeColor="text1"/>
                <w:sz w:val="16"/>
                <w:szCs w:val="16"/>
              </w:rPr>
            </w:pPr>
          </w:p>
          <w:p w14:paraId="67DFBF0B" w14:textId="77777777" w:rsidR="00537E5F" w:rsidRPr="00507A31" w:rsidRDefault="00537E5F" w:rsidP="00507A31">
            <w:pPr>
              <w:autoSpaceDE w:val="0"/>
              <w:autoSpaceDN w:val="0"/>
              <w:adjustRightInd w:val="0"/>
              <w:jc w:val="both"/>
              <w:rPr>
                <w:color w:val="000000" w:themeColor="text1"/>
                <w:sz w:val="16"/>
                <w:szCs w:val="16"/>
              </w:rPr>
            </w:pPr>
          </w:p>
          <w:p w14:paraId="0DB0E96F" w14:textId="77777777" w:rsidR="00537E5F" w:rsidRPr="00507A31" w:rsidRDefault="00537E5F" w:rsidP="00507A31">
            <w:pPr>
              <w:autoSpaceDE w:val="0"/>
              <w:autoSpaceDN w:val="0"/>
              <w:adjustRightInd w:val="0"/>
              <w:jc w:val="both"/>
              <w:rPr>
                <w:color w:val="000000" w:themeColor="text1"/>
                <w:sz w:val="16"/>
                <w:szCs w:val="16"/>
              </w:rPr>
            </w:pPr>
          </w:p>
          <w:p w14:paraId="56F7F208" w14:textId="77777777" w:rsidR="00537E5F" w:rsidRPr="00507A31" w:rsidRDefault="00537E5F" w:rsidP="00507A31">
            <w:pPr>
              <w:autoSpaceDE w:val="0"/>
              <w:autoSpaceDN w:val="0"/>
              <w:adjustRightInd w:val="0"/>
              <w:jc w:val="both"/>
              <w:rPr>
                <w:color w:val="000000" w:themeColor="text1"/>
                <w:sz w:val="16"/>
                <w:szCs w:val="16"/>
              </w:rPr>
            </w:pPr>
          </w:p>
          <w:p w14:paraId="010D0B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1933</w:t>
            </w:r>
          </w:p>
        </w:tc>
        <w:tc>
          <w:tcPr>
            <w:tcW w:w="1656" w:type="dxa"/>
          </w:tcPr>
          <w:p w14:paraId="6C766B9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AAAFE46" w14:textId="77777777">
        <w:tc>
          <w:tcPr>
            <w:tcW w:w="1928" w:type="dxa"/>
          </w:tcPr>
          <w:p w14:paraId="574E28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Синхрон. оптический прицел с автоматическ. установкой поправки на собственную скорость, ведущего стрельбу самолета и на скорость воздушного противника для 7,62 мм турельных ….</w:t>
            </w:r>
          </w:p>
        </w:tc>
        <w:tc>
          <w:tcPr>
            <w:tcW w:w="1928" w:type="dxa"/>
          </w:tcPr>
          <w:p w14:paraId="6C74A8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возможности вести действительную по воздушному противнику стрельбу из подвижно укрепленного на самолете оружия (турельные пулеметы, поворотная пушка) с больших дистанций.</w:t>
            </w:r>
          </w:p>
        </w:tc>
        <w:tc>
          <w:tcPr>
            <w:tcW w:w="2268" w:type="dxa"/>
          </w:tcPr>
          <w:p w14:paraId="527861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1-й вариант явится решением задачи в первом приближении и предназначается для случая ведения самолета во время стрельбы строго прямолинейно (например, при помощи ведения самолета по визиру на какой-либо далеко удаленный земной ориентир).</w:t>
            </w:r>
          </w:p>
          <w:p w14:paraId="6F378AB8" w14:textId="77777777" w:rsidR="00537E5F" w:rsidRPr="00507A31" w:rsidRDefault="00537E5F" w:rsidP="00507A31">
            <w:pPr>
              <w:autoSpaceDE w:val="0"/>
              <w:autoSpaceDN w:val="0"/>
              <w:adjustRightInd w:val="0"/>
              <w:jc w:val="both"/>
              <w:rPr>
                <w:color w:val="000000" w:themeColor="text1"/>
                <w:sz w:val="16"/>
                <w:szCs w:val="16"/>
              </w:rPr>
            </w:pPr>
          </w:p>
          <w:p w14:paraId="40D1B7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2-й вариант ………….</w:t>
            </w:r>
          </w:p>
        </w:tc>
        <w:tc>
          <w:tcPr>
            <w:tcW w:w="1077" w:type="dxa"/>
          </w:tcPr>
          <w:p w14:paraId="4868FBB0" w14:textId="77777777" w:rsidR="00537E5F" w:rsidRPr="00507A31" w:rsidRDefault="00537E5F" w:rsidP="00507A31">
            <w:pPr>
              <w:autoSpaceDE w:val="0"/>
              <w:autoSpaceDN w:val="0"/>
              <w:adjustRightInd w:val="0"/>
              <w:jc w:val="both"/>
              <w:rPr>
                <w:color w:val="000000" w:themeColor="text1"/>
                <w:sz w:val="16"/>
                <w:szCs w:val="16"/>
              </w:rPr>
            </w:pPr>
          </w:p>
        </w:tc>
        <w:tc>
          <w:tcPr>
            <w:tcW w:w="1077" w:type="dxa"/>
          </w:tcPr>
          <w:p w14:paraId="7E8C7A15"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6E346E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1932</w:t>
            </w:r>
          </w:p>
        </w:tc>
        <w:tc>
          <w:tcPr>
            <w:tcW w:w="1656" w:type="dxa"/>
          </w:tcPr>
          <w:p w14:paraId="6C7048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1933</w:t>
            </w:r>
          </w:p>
        </w:tc>
      </w:tr>
      <w:tr w:rsidR="00E371BA" w:rsidRPr="00507A31" w14:paraId="6694CC99" w14:textId="77777777">
        <w:tc>
          <w:tcPr>
            <w:tcW w:w="1928" w:type="dxa"/>
          </w:tcPr>
          <w:p w14:paraId="7CE98A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Синхрон. оптический прицел с автоматическ. установкой поправки на собственную скорость, ведущего стрельбу самолета и на скорость воздушного противника для 12,7 мм пулеметов.</w:t>
            </w:r>
          </w:p>
        </w:tc>
        <w:tc>
          <w:tcPr>
            <w:tcW w:w="1928" w:type="dxa"/>
          </w:tcPr>
          <w:p w14:paraId="26691297" w14:textId="77777777" w:rsidR="00537E5F" w:rsidRPr="00507A31" w:rsidRDefault="00537E5F" w:rsidP="00507A31">
            <w:pPr>
              <w:autoSpaceDE w:val="0"/>
              <w:autoSpaceDN w:val="0"/>
              <w:adjustRightInd w:val="0"/>
              <w:jc w:val="both"/>
              <w:rPr>
                <w:color w:val="000000" w:themeColor="text1"/>
                <w:sz w:val="16"/>
                <w:szCs w:val="16"/>
              </w:rPr>
            </w:pPr>
          </w:p>
        </w:tc>
        <w:tc>
          <w:tcPr>
            <w:tcW w:w="2268" w:type="dxa"/>
          </w:tcPr>
          <w:p w14:paraId="27FAE8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Приборы должны будут учитывать ведение стрельбы с автоматически вводимыми в прицеле поправками при любом маневрировании самолета.</w:t>
            </w:r>
          </w:p>
        </w:tc>
        <w:tc>
          <w:tcPr>
            <w:tcW w:w="1077" w:type="dxa"/>
          </w:tcPr>
          <w:p w14:paraId="5FC2A2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077" w:type="dxa"/>
          </w:tcPr>
          <w:p w14:paraId="48DEC74E" w14:textId="77777777" w:rsidR="00537E5F" w:rsidRPr="00507A31" w:rsidRDefault="00537E5F" w:rsidP="00507A31">
            <w:pPr>
              <w:autoSpaceDE w:val="0"/>
              <w:autoSpaceDN w:val="0"/>
              <w:adjustRightInd w:val="0"/>
              <w:jc w:val="both"/>
              <w:rPr>
                <w:color w:val="000000" w:themeColor="text1"/>
                <w:sz w:val="16"/>
                <w:szCs w:val="16"/>
              </w:rPr>
            </w:pPr>
          </w:p>
        </w:tc>
        <w:tc>
          <w:tcPr>
            <w:tcW w:w="1656" w:type="dxa"/>
          </w:tcPr>
          <w:p w14:paraId="2590D7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1934</w:t>
            </w:r>
          </w:p>
        </w:tc>
        <w:tc>
          <w:tcPr>
            <w:tcW w:w="1656" w:type="dxa"/>
          </w:tcPr>
          <w:p w14:paraId="40ADCCC1" w14:textId="77777777" w:rsidR="00537E5F" w:rsidRPr="00507A31" w:rsidRDefault="00537E5F" w:rsidP="00507A31">
            <w:pPr>
              <w:autoSpaceDE w:val="0"/>
              <w:autoSpaceDN w:val="0"/>
              <w:adjustRightInd w:val="0"/>
              <w:jc w:val="both"/>
              <w:rPr>
                <w:color w:val="000000" w:themeColor="text1"/>
                <w:sz w:val="16"/>
                <w:szCs w:val="16"/>
              </w:rPr>
            </w:pPr>
          </w:p>
        </w:tc>
      </w:tr>
    </w:tbl>
    <w:p w14:paraId="7579E4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(3625, 21-22)</w:t>
      </w:r>
    </w:p>
    <w:p w14:paraId="6033369C" w14:textId="77777777" w:rsidR="00537E5F" w:rsidRPr="00507A31" w:rsidRDefault="00537E5F" w:rsidP="00507A31">
      <w:pPr>
        <w:autoSpaceDE w:val="0"/>
        <w:autoSpaceDN w:val="0"/>
        <w:adjustRightInd w:val="0"/>
        <w:jc w:val="both"/>
        <w:rPr>
          <w:color w:val="000000" w:themeColor="text1"/>
          <w:sz w:val="16"/>
          <w:szCs w:val="16"/>
        </w:rPr>
      </w:pPr>
    </w:p>
    <w:p w14:paraId="27C2FB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года председатель НТК УВВС Дубенский и председатель 2 секции НТК Петровский подписали:</w:t>
      </w:r>
    </w:p>
    <w:p w14:paraId="7E3A2E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опытного строительства основных образцов по фото с 1929/30-1932/33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3402"/>
        <w:gridCol w:w="3402"/>
        <w:gridCol w:w="1077"/>
        <w:gridCol w:w="1418"/>
      </w:tblGrid>
      <w:tr w:rsidR="00E371BA" w:rsidRPr="00507A31" w14:paraId="398554AF" w14:textId="77777777">
        <w:tc>
          <w:tcPr>
            <w:tcW w:w="2268" w:type="dxa"/>
          </w:tcPr>
          <w:p w14:paraId="191FD7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Образцы подлежащие разработке</w:t>
            </w:r>
          </w:p>
        </w:tc>
        <w:tc>
          <w:tcPr>
            <w:tcW w:w="3402" w:type="dxa"/>
          </w:tcPr>
          <w:p w14:paraId="759D6D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Какую цель преследует задание</w:t>
            </w:r>
          </w:p>
        </w:tc>
        <w:tc>
          <w:tcPr>
            <w:tcW w:w="3402" w:type="dxa"/>
          </w:tcPr>
          <w:p w14:paraId="33705F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Характеристика приборов</w:t>
            </w:r>
          </w:p>
        </w:tc>
        <w:tc>
          <w:tcPr>
            <w:tcW w:w="1077" w:type="dxa"/>
          </w:tcPr>
          <w:p w14:paraId="790154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Кто проектирует и строит</w:t>
            </w:r>
          </w:p>
        </w:tc>
        <w:tc>
          <w:tcPr>
            <w:tcW w:w="1418" w:type="dxa"/>
          </w:tcPr>
          <w:p w14:paraId="430F35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представления на госиспытания</w:t>
            </w:r>
          </w:p>
        </w:tc>
      </w:tr>
      <w:tr w:rsidR="00E371BA" w:rsidRPr="00507A31" w14:paraId="24BE08D9" w14:textId="77777777">
        <w:tc>
          <w:tcPr>
            <w:tcW w:w="2268" w:type="dxa"/>
          </w:tcPr>
          <w:p w14:paraId="4B0E92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Автоматический аэрофотоаппарат с советским объективом к нему и с аэрофотоустановкой.</w:t>
            </w:r>
          </w:p>
        </w:tc>
        <w:tc>
          <w:tcPr>
            <w:tcW w:w="3402" w:type="dxa"/>
          </w:tcPr>
          <w:p w14:paraId="092437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Разгрузить летнаба от выполнения ряда механич. манипуляций, неизбежных при аэросъемки полуавтоматом и тем самым дать ему возможность сосредоточить внимание на наблюдении за землей и воздухом. Кроме того, наличие автомата дает возможность вести стрельбу не прекращая аэрофотосъемку.</w:t>
            </w:r>
          </w:p>
        </w:tc>
        <w:tc>
          <w:tcPr>
            <w:tcW w:w="3402" w:type="dxa"/>
          </w:tcPr>
          <w:p w14:paraId="4D6175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Аэрофотоаппарат, будучи установлен для производства аэросъемки на заданной полетной высоте с тем или иным процентом перекрытия между снимками, автоматически осуществляет съемку, не требуя участия в ней летнаба. Приведение в движение всех механизмов осуществляется само собой за счет энергии летящего самолета.</w:t>
            </w:r>
          </w:p>
        </w:tc>
        <w:tc>
          <w:tcPr>
            <w:tcW w:w="1077" w:type="dxa"/>
          </w:tcPr>
          <w:p w14:paraId="2EEFE4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418" w:type="dxa"/>
          </w:tcPr>
          <w:p w14:paraId="441640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1931</w:t>
            </w:r>
          </w:p>
        </w:tc>
      </w:tr>
      <w:tr w:rsidR="00E371BA" w:rsidRPr="00507A31" w14:paraId="67455351" w14:textId="77777777">
        <w:tc>
          <w:tcPr>
            <w:tcW w:w="2268" w:type="dxa"/>
          </w:tcPr>
          <w:p w14:paraId="296628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Автоматический аэрофотоаппарат для специальной фоторазведки с больших высот</w:t>
            </w:r>
          </w:p>
        </w:tc>
        <w:tc>
          <w:tcPr>
            <w:tcW w:w="3402" w:type="dxa"/>
          </w:tcPr>
          <w:p w14:paraId="4F201A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воздушной разведки с больших высот, с которых визуальная разведка не осуществима.</w:t>
            </w:r>
          </w:p>
        </w:tc>
        <w:tc>
          <w:tcPr>
            <w:tcW w:w="3402" w:type="dxa"/>
          </w:tcPr>
          <w:p w14:paraId="1DB0AC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Аэрофотоаппарат будет давать максимальную возможную при современном состоянии науки и техники деталировку аэроснимков и таким образом будет обеспечивать возможность надежного распознавания запечатленных на них военных объектов.</w:t>
            </w:r>
          </w:p>
        </w:tc>
        <w:tc>
          <w:tcPr>
            <w:tcW w:w="1077" w:type="dxa"/>
          </w:tcPr>
          <w:p w14:paraId="1DD37A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418" w:type="dxa"/>
          </w:tcPr>
          <w:p w14:paraId="550CCD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1931</w:t>
            </w:r>
          </w:p>
        </w:tc>
      </w:tr>
      <w:tr w:rsidR="00E371BA" w:rsidRPr="00507A31" w14:paraId="356FE607" w14:textId="77777777">
        <w:tc>
          <w:tcPr>
            <w:tcW w:w="2268" w:type="dxa"/>
          </w:tcPr>
          <w:p w14:paraId="699A30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Стандартный полуавтоматич. аэрофотоаппарат с аэроустановкой к нему</w:t>
            </w:r>
          </w:p>
        </w:tc>
        <w:tc>
          <w:tcPr>
            <w:tcW w:w="3402" w:type="dxa"/>
          </w:tcPr>
          <w:p w14:paraId="5B3721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Получить возможно более легкий и дешевый стандартный тип аэрофотоаппарата.</w:t>
            </w:r>
          </w:p>
        </w:tc>
        <w:tc>
          <w:tcPr>
            <w:tcW w:w="3402" w:type="dxa"/>
          </w:tcPr>
          <w:p w14:paraId="6D18FE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Аэрофотоаппарат этот явился результатом отработки в эксплуатационных условиях полуавтомата Потте 1А и ныне испытаваемого в НИИ полуавтомата системы И.О. Кожевникова.</w:t>
            </w:r>
          </w:p>
        </w:tc>
        <w:tc>
          <w:tcPr>
            <w:tcW w:w="1077" w:type="dxa"/>
          </w:tcPr>
          <w:p w14:paraId="72F6E1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418" w:type="dxa"/>
          </w:tcPr>
          <w:p w14:paraId="042909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1931</w:t>
            </w:r>
          </w:p>
        </w:tc>
      </w:tr>
      <w:tr w:rsidR="00E371BA" w:rsidRPr="00507A31" w14:paraId="54388BB3" w14:textId="77777777">
        <w:tc>
          <w:tcPr>
            <w:tcW w:w="2268" w:type="dxa"/>
          </w:tcPr>
          <w:p w14:paraId="20D875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Аэрофотоаппарат для истребителя с аэрофотоустановкой</w:t>
            </w:r>
          </w:p>
        </w:tc>
        <w:tc>
          <w:tcPr>
            <w:tcW w:w="3402" w:type="dxa"/>
          </w:tcPr>
          <w:p w14:paraId="2B1543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Получение приемлемого по своему незначительному весу аэрофотоаппарата для истребительного самолета.</w:t>
            </w:r>
          </w:p>
        </w:tc>
        <w:tc>
          <w:tcPr>
            <w:tcW w:w="3402" w:type="dxa"/>
          </w:tcPr>
          <w:p w14:paraId="69D8D4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понижения строгости предъявляемых к этому аэрофотоаппарату требований и значительного упрощения – в связи с этим – его конструкции, вес его будет доведен до технически возможного в данное время минимума.</w:t>
            </w:r>
          </w:p>
        </w:tc>
        <w:tc>
          <w:tcPr>
            <w:tcW w:w="1077" w:type="dxa"/>
          </w:tcPr>
          <w:p w14:paraId="3E6183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418" w:type="dxa"/>
          </w:tcPr>
          <w:p w14:paraId="3E0801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1932</w:t>
            </w:r>
          </w:p>
        </w:tc>
      </w:tr>
      <w:tr w:rsidR="00E371BA" w:rsidRPr="00507A31" w14:paraId="11874A54" w14:textId="77777777">
        <w:tc>
          <w:tcPr>
            <w:tcW w:w="2268" w:type="dxa"/>
          </w:tcPr>
          <w:p w14:paraId="185447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Перспективный аэрофотоаппарат советского типа в двух вариантах</w:t>
            </w:r>
          </w:p>
        </w:tc>
        <w:tc>
          <w:tcPr>
            <w:tcW w:w="3402" w:type="dxa"/>
          </w:tcPr>
          <w:p w14:paraId="744865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Прекращение импорта заграничных перспективных аэрофотоаппаратов.</w:t>
            </w:r>
          </w:p>
        </w:tc>
        <w:tc>
          <w:tcPr>
            <w:tcW w:w="3402" w:type="dxa"/>
          </w:tcPr>
          <w:p w14:paraId="186E85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Ручная перспективная самолетная камера. 2-й вариант явится результатом внесения целого ряда корректив, в 1-й вариант, в результате его эксплуатационной проверки.</w:t>
            </w:r>
          </w:p>
        </w:tc>
        <w:tc>
          <w:tcPr>
            <w:tcW w:w="1077" w:type="dxa"/>
          </w:tcPr>
          <w:p w14:paraId="631121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418" w:type="dxa"/>
          </w:tcPr>
          <w:p w14:paraId="234E9F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1-й вариант – 1 ноября 1931</w:t>
            </w:r>
          </w:p>
          <w:p w14:paraId="1A56DD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2-й вариант – 1 ноября 1933</w:t>
            </w:r>
          </w:p>
        </w:tc>
      </w:tr>
      <w:tr w:rsidR="00E371BA" w:rsidRPr="00507A31" w14:paraId="23000830" w14:textId="77777777">
        <w:tc>
          <w:tcPr>
            <w:tcW w:w="2268" w:type="dxa"/>
          </w:tcPr>
          <w:p w14:paraId="0E3B37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Фотопулемет</w:t>
            </w:r>
          </w:p>
        </w:tc>
        <w:tc>
          <w:tcPr>
            <w:tcW w:w="3402" w:type="dxa"/>
          </w:tcPr>
          <w:p w14:paraId="10DF6C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Замена ныне находящегося на снабжении ВВС обладающего целым рядом недочетов фотострелка.</w:t>
            </w:r>
          </w:p>
        </w:tc>
        <w:tc>
          <w:tcPr>
            <w:tcW w:w="3402" w:type="dxa"/>
          </w:tcPr>
          <w:p w14:paraId="6648CB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Специальный фотоапарат, предназначенный для проведения учебы в воздушной стрельбе с самолета по самолету.</w:t>
            </w:r>
          </w:p>
        </w:tc>
        <w:tc>
          <w:tcPr>
            <w:tcW w:w="1077" w:type="dxa"/>
          </w:tcPr>
          <w:p w14:paraId="11BFA802" w14:textId="77777777" w:rsidR="00537E5F" w:rsidRPr="00507A31" w:rsidRDefault="00537E5F" w:rsidP="00507A31">
            <w:pPr>
              <w:autoSpaceDE w:val="0"/>
              <w:autoSpaceDN w:val="0"/>
              <w:adjustRightInd w:val="0"/>
              <w:jc w:val="both"/>
              <w:rPr>
                <w:color w:val="000000" w:themeColor="text1"/>
                <w:sz w:val="16"/>
                <w:szCs w:val="16"/>
              </w:rPr>
            </w:pPr>
          </w:p>
        </w:tc>
        <w:tc>
          <w:tcPr>
            <w:tcW w:w="1418" w:type="dxa"/>
          </w:tcPr>
          <w:p w14:paraId="009D061C"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C6DF6DD" w14:textId="77777777">
        <w:tc>
          <w:tcPr>
            <w:tcW w:w="2268" w:type="dxa"/>
          </w:tcPr>
          <w:p w14:paraId="5346CC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Фотокинопулемет советского типа</w:t>
            </w:r>
          </w:p>
        </w:tc>
        <w:tc>
          <w:tcPr>
            <w:tcW w:w="3402" w:type="dxa"/>
          </w:tcPr>
          <w:p w14:paraId="5E2A4A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Отказ от импорта заграничных приборов.</w:t>
            </w:r>
          </w:p>
        </w:tc>
        <w:tc>
          <w:tcPr>
            <w:tcW w:w="3402" w:type="dxa"/>
          </w:tcPr>
          <w:p w14:paraId="17769A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отличие от фотопулемета, прибор этот будет давать возможность получать при каждом нажиме на спуск не только одиночные снимки, но и серии таковых. При этом количество снимков в единицу времени будет совпадать с количеством выстрелов пулемета.</w:t>
            </w:r>
          </w:p>
        </w:tc>
        <w:tc>
          <w:tcPr>
            <w:tcW w:w="1077" w:type="dxa"/>
          </w:tcPr>
          <w:p w14:paraId="3C227A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ТОМП</w:t>
            </w:r>
          </w:p>
        </w:tc>
        <w:tc>
          <w:tcPr>
            <w:tcW w:w="1418" w:type="dxa"/>
          </w:tcPr>
          <w:p w14:paraId="11B0F3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1931</w:t>
            </w:r>
          </w:p>
        </w:tc>
      </w:tr>
    </w:tbl>
    <w:p w14:paraId="31A45D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(3625, 23)</w:t>
      </w:r>
    </w:p>
    <w:p w14:paraId="0999EF04" w14:textId="77777777" w:rsidR="00537E5F" w:rsidRPr="00507A31" w:rsidRDefault="00537E5F" w:rsidP="00507A31">
      <w:pPr>
        <w:autoSpaceDE w:val="0"/>
        <w:autoSpaceDN w:val="0"/>
        <w:adjustRightInd w:val="0"/>
        <w:jc w:val="both"/>
        <w:rPr>
          <w:color w:val="000000" w:themeColor="text1"/>
          <w:sz w:val="16"/>
          <w:szCs w:val="16"/>
        </w:rPr>
      </w:pPr>
    </w:p>
    <w:p w14:paraId="7173179C" w14:textId="77777777" w:rsidR="00DA1AA9" w:rsidRPr="00507A31" w:rsidRDefault="00DA1AA9" w:rsidP="00507A31">
      <w:pPr>
        <w:jc w:val="both"/>
        <w:rPr>
          <w:color w:val="000000" w:themeColor="text1"/>
          <w:sz w:val="16"/>
          <w:szCs w:val="16"/>
        </w:rPr>
      </w:pPr>
      <w:r w:rsidRPr="00507A31">
        <w:rPr>
          <w:color w:val="000000" w:themeColor="text1"/>
          <w:sz w:val="16"/>
          <w:szCs w:val="16"/>
        </w:rPr>
        <w:t>11 марта 1930 года показания Макаровского:</w:t>
      </w:r>
    </w:p>
    <w:p w14:paraId="675DAD7C" w14:textId="77777777" w:rsidR="00DA1AA9" w:rsidRPr="00507A31" w:rsidRDefault="00DA1AA9" w:rsidP="00507A31">
      <w:pPr>
        <w:jc w:val="both"/>
        <w:rPr>
          <w:bCs/>
          <w:color w:val="000000" w:themeColor="text1"/>
          <w:sz w:val="16"/>
          <w:szCs w:val="16"/>
        </w:rPr>
      </w:pPr>
      <w:r w:rsidRPr="00507A31">
        <w:rPr>
          <w:bCs/>
          <w:color w:val="000000" w:themeColor="text1"/>
          <w:sz w:val="16"/>
          <w:szCs w:val="16"/>
        </w:rPr>
        <w:t>«При моём поступлении в трест настроение руководящей группы было тревожное, подавленное, ожидающее ареста в связи с арестами КУТОВОГО и ГОНЧАРОВА» (12724).</w:t>
      </w:r>
    </w:p>
    <w:p w14:paraId="0FD56AF5"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«В ранее данных показаниях вредительство ОКРОМЕШКО, как в производстве, так и в строительстве нашло своё отражение. Сущность его сводилась к разработке заведомо невыполнимых планов и производственных программ и избыточному строительству и оборудованию. </w:t>
      </w:r>
    </w:p>
    <w:p w14:paraId="0974E49E"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Одиноким ОКРОМЕШКО не мог проводить вредительство, у него были соучастники, и в первую очередь ДАЙБОГ. Сам ОКРОМЕШКО, защищая выдвигаемую программу или проект строительства, «подчёркивал», что такого же мнения придерживался ДАЙБОГ. ДАЙБОГ часто бывал в Тресте, обсуждая и увязывая текущие вопросы с РУБЕНЧИКОМ, был в постоянном соприкосновении с работниками ЦАГИ и ТУПОЛЕВЫМ». </w:t>
      </w:r>
    </w:p>
    <w:p w14:paraId="647329EF" w14:textId="77777777" w:rsidR="00DA1AA9" w:rsidRPr="00507A31" w:rsidRDefault="00DA1AA9" w:rsidP="00507A31">
      <w:pPr>
        <w:jc w:val="both"/>
        <w:rPr>
          <w:color w:val="000000" w:themeColor="text1"/>
          <w:sz w:val="16"/>
          <w:szCs w:val="16"/>
        </w:rPr>
      </w:pPr>
      <w:r w:rsidRPr="00507A31">
        <w:rPr>
          <w:bCs/>
          <w:color w:val="000000" w:themeColor="text1"/>
          <w:sz w:val="16"/>
          <w:szCs w:val="16"/>
        </w:rPr>
        <w:t>… «Приняв от ОКРОМЕШКО вредительское наследство, ДАЙБОГ его развил и углубил. Резкое невыполнение программы 29 г. по зав. 22 - результат вредительства, а не указанных причин, хотя они выдвигались заводом и поддерживались перед Правлением РУБЕНЧИКОМ и мной» (12724).</w:t>
      </w:r>
    </w:p>
    <w:p w14:paraId="311C99EE" w14:textId="77777777" w:rsidR="00DA1AA9" w:rsidRPr="00507A31" w:rsidRDefault="00DA1AA9" w:rsidP="00507A31">
      <w:pPr>
        <w:jc w:val="both"/>
        <w:rPr>
          <w:color w:val="000000" w:themeColor="text1"/>
          <w:sz w:val="16"/>
          <w:szCs w:val="16"/>
        </w:rPr>
      </w:pPr>
    </w:p>
    <w:p w14:paraId="314A0CB7" w14:textId="77777777" w:rsidR="00537E5F" w:rsidRPr="00507A31" w:rsidRDefault="00537E5F" w:rsidP="00507A31">
      <w:pPr>
        <w:autoSpaceDE w:val="0"/>
        <w:autoSpaceDN w:val="0"/>
        <w:adjustRightInd w:val="0"/>
        <w:jc w:val="both"/>
        <w:rPr>
          <w:iCs/>
          <w:color w:val="000000" w:themeColor="text1"/>
          <w:sz w:val="16"/>
          <w:szCs w:val="16"/>
        </w:rPr>
      </w:pPr>
      <w:r w:rsidRPr="00507A31">
        <w:rPr>
          <w:iCs/>
          <w:color w:val="000000" w:themeColor="text1"/>
          <w:sz w:val="16"/>
          <w:szCs w:val="16"/>
        </w:rPr>
        <w:t>Другие оборотные отрасли:</w:t>
      </w:r>
    </w:p>
    <w:p w14:paraId="00D68660" w14:textId="77777777" w:rsidR="00537E5F" w:rsidRPr="00507A31" w:rsidRDefault="00537E5F" w:rsidP="00507A31">
      <w:pPr>
        <w:autoSpaceDE w:val="0"/>
        <w:autoSpaceDN w:val="0"/>
        <w:adjustRightInd w:val="0"/>
        <w:jc w:val="both"/>
        <w:rPr>
          <w:color w:val="000000" w:themeColor="text1"/>
          <w:sz w:val="16"/>
          <w:szCs w:val="16"/>
        </w:rPr>
      </w:pPr>
    </w:p>
    <w:p w14:paraId="40EDC5B3" w14:textId="77777777" w:rsidR="00221B9E" w:rsidRPr="00507A31" w:rsidRDefault="00221B9E" w:rsidP="00507A31">
      <w:pPr>
        <w:shd w:val="clear" w:color="auto" w:fill="FFFFFF"/>
        <w:jc w:val="both"/>
        <w:rPr>
          <w:color w:val="000000" w:themeColor="text1"/>
          <w:sz w:val="16"/>
          <w:szCs w:val="16"/>
        </w:rPr>
      </w:pPr>
      <w:r w:rsidRPr="00507A31">
        <w:rPr>
          <w:bCs/>
          <w:iCs/>
          <w:color w:val="000000" w:themeColor="text1"/>
          <w:sz w:val="16"/>
          <w:szCs w:val="16"/>
        </w:rPr>
        <w:t>11 марта 1930 г.</w:t>
      </w:r>
      <w:r w:rsidRPr="00507A31">
        <w:rPr>
          <w:color w:val="000000" w:themeColor="text1"/>
          <w:sz w:val="16"/>
          <w:szCs w:val="16"/>
        </w:rPr>
        <w:t xml:space="preserve"> Постановление РЗ СТО СССР «О расширении потребления хлора». На том же заседании было принято постановление «О расширении добычи мышьяка». ВСНХ СССР было предложено «</w:t>
      </w:r>
      <w:r w:rsidRPr="00507A31">
        <w:rPr>
          <w:iCs/>
          <w:color w:val="000000" w:themeColor="text1"/>
          <w:sz w:val="16"/>
          <w:szCs w:val="16"/>
        </w:rPr>
        <w:t>увеличить ввоз импортного мышьяка до норм, обеспечивающих минимальную потребность НКВМ</w:t>
      </w:r>
      <w:r w:rsidRPr="00507A31">
        <w:rPr>
          <w:color w:val="000000" w:themeColor="text1"/>
          <w:sz w:val="16"/>
          <w:szCs w:val="16"/>
        </w:rPr>
        <w:t>». ВСНХ СССР обязали также «</w:t>
      </w:r>
      <w:r w:rsidRPr="00507A31">
        <w:rPr>
          <w:iCs/>
          <w:color w:val="000000" w:themeColor="text1"/>
          <w:sz w:val="16"/>
          <w:szCs w:val="16"/>
        </w:rPr>
        <w:t>представить в РЗ план работ по разведке, добыче и переработке мышьяка</w:t>
      </w:r>
      <w:r w:rsidRPr="00507A31">
        <w:rPr>
          <w:color w:val="000000" w:themeColor="text1"/>
          <w:sz w:val="16"/>
          <w:szCs w:val="16"/>
        </w:rPr>
        <w:t>» (17133).</w:t>
      </w:r>
    </w:p>
    <w:p w14:paraId="7CC64009" w14:textId="77777777" w:rsidR="00221B9E" w:rsidRPr="00507A31" w:rsidRDefault="00221B9E" w:rsidP="00507A31">
      <w:pPr>
        <w:shd w:val="clear" w:color="auto" w:fill="FFFFFF"/>
        <w:jc w:val="both"/>
        <w:rPr>
          <w:color w:val="000000" w:themeColor="text1"/>
          <w:sz w:val="16"/>
          <w:szCs w:val="16"/>
        </w:rPr>
      </w:pPr>
    </w:p>
    <w:p w14:paraId="5C93A7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марта 1930 г. ВСНХ был утвержден Устав Союзверфи. Пер</w:t>
      </w:r>
      <w:r w:rsidRPr="00507A31">
        <w:rPr>
          <w:color w:val="000000" w:themeColor="text1"/>
          <w:sz w:val="16"/>
          <w:szCs w:val="16"/>
        </w:rPr>
        <w:softHyphen/>
        <w:t>вым председателем правления, которое находилось в Ленинграде, стал И. Воробьев. Правление имело свои филиалы в Москве и Харькове. В 1932 г. в связи с началом строительства на Дальнем Востоке новых судостроительных заводов был создан дальневосточ</w:t>
      </w:r>
      <w:r w:rsidRPr="00507A31">
        <w:rPr>
          <w:color w:val="000000" w:themeColor="text1"/>
          <w:sz w:val="16"/>
          <w:szCs w:val="16"/>
        </w:rPr>
        <w:softHyphen/>
        <w:t>ный филиал правления "Востоксоюзверфь", который возглавил из</w:t>
      </w:r>
      <w:r w:rsidRPr="00507A31">
        <w:rPr>
          <w:color w:val="000000" w:themeColor="text1"/>
          <w:sz w:val="16"/>
          <w:szCs w:val="16"/>
        </w:rPr>
        <w:softHyphen/>
        <w:t>вестный судостроитель П. Г. Гойнкис. П. Г. Гойнкису принадлежат особые заслуги в становлении советского судостроения. Он, в част</w:t>
      </w:r>
      <w:r w:rsidRPr="00507A31">
        <w:rPr>
          <w:color w:val="000000" w:themeColor="text1"/>
          <w:sz w:val="16"/>
          <w:szCs w:val="16"/>
        </w:rPr>
        <w:softHyphen/>
        <w:t>ности, организовал проектирование первых лесовозов в Ле</w:t>
      </w:r>
      <w:r w:rsidRPr="00507A31">
        <w:rPr>
          <w:color w:val="000000" w:themeColor="text1"/>
          <w:sz w:val="16"/>
          <w:szCs w:val="16"/>
        </w:rPr>
        <w:softHyphen/>
        <w:t>нинграде, а впоследствии способствовал становлению судостроения на Дальнем Востоке (3898).</w:t>
      </w:r>
    </w:p>
    <w:p w14:paraId="277BD139" w14:textId="77777777" w:rsidR="00537E5F" w:rsidRPr="00507A31" w:rsidRDefault="00537E5F" w:rsidP="00507A31">
      <w:pPr>
        <w:autoSpaceDE w:val="0"/>
        <w:autoSpaceDN w:val="0"/>
        <w:adjustRightInd w:val="0"/>
        <w:jc w:val="both"/>
        <w:rPr>
          <w:color w:val="000000" w:themeColor="text1"/>
          <w:sz w:val="16"/>
          <w:szCs w:val="16"/>
        </w:rPr>
      </w:pPr>
    </w:p>
    <w:p w14:paraId="54164016" w14:textId="77777777" w:rsidR="00221B9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4A577A9" w14:textId="77777777" w:rsidR="00221B9E" w:rsidRPr="00507A31" w:rsidRDefault="00221B9E" w:rsidP="00507A31">
      <w:pPr>
        <w:autoSpaceDE w:val="0"/>
        <w:autoSpaceDN w:val="0"/>
        <w:adjustRightInd w:val="0"/>
        <w:jc w:val="both"/>
        <w:rPr>
          <w:iCs/>
          <w:color w:val="000000" w:themeColor="text1"/>
          <w:sz w:val="16"/>
          <w:szCs w:val="16"/>
        </w:rPr>
      </w:pPr>
    </w:p>
    <w:p w14:paraId="0AEC8F46" w14:textId="77777777" w:rsidR="00221B9E" w:rsidRPr="00507A31" w:rsidRDefault="00221B9E" w:rsidP="00507A31">
      <w:pPr>
        <w:jc w:val="both"/>
        <w:rPr>
          <w:color w:val="000000" w:themeColor="text1"/>
          <w:sz w:val="16"/>
          <w:szCs w:val="16"/>
        </w:rPr>
      </w:pPr>
      <w:r w:rsidRPr="00507A31">
        <w:rPr>
          <w:bCs/>
          <w:color w:val="000000" w:themeColor="text1"/>
          <w:sz w:val="16"/>
          <w:szCs w:val="16"/>
        </w:rPr>
        <w:t>11 марта</w:t>
      </w:r>
      <w:r w:rsidRPr="00507A31">
        <w:rPr>
          <w:color w:val="000000" w:themeColor="text1"/>
          <w:sz w:val="16"/>
          <w:szCs w:val="16"/>
        </w:rPr>
        <w:t xml:space="preserve"> в 1930 году министерству авиации Великобритании представили прототип истребителя «Jockey» (разработчик: «Vickers», Великобритания). Истребитель оснастили девятицилиндровым мотором воздушного охлаждения Бристоль "Меркюри" - IIA мощностью 480 л. с. Оригинальной новинкой стала система крепления двигателя, позволявшая легко откинуть его на шарнирах вбок. Считалось, что такая конструкция существенно облегчит обслуживание мотора, тем более, что при этом не требовалось отсоединить синхронизатор пулеметов. Вооружение нового истребителя состояло из двух пулеметов "Виккерс", столь любимого англичанами винтовочного калибра 7, 7 мм, установленных в носовой части фюзеляжа (15065).</w:t>
      </w:r>
    </w:p>
    <w:p w14:paraId="30413417" w14:textId="77777777" w:rsidR="00221B9E" w:rsidRPr="00507A31" w:rsidRDefault="00221B9E" w:rsidP="00507A31">
      <w:pPr>
        <w:jc w:val="both"/>
        <w:rPr>
          <w:color w:val="000000" w:themeColor="text1"/>
          <w:sz w:val="16"/>
          <w:szCs w:val="16"/>
        </w:rPr>
      </w:pPr>
    </w:p>
    <w:p w14:paraId="5078310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DFD5E6A" w14:textId="77777777" w:rsidR="00537E5F" w:rsidRPr="00507A31" w:rsidRDefault="00537E5F" w:rsidP="00507A31">
      <w:pPr>
        <w:autoSpaceDE w:val="0"/>
        <w:autoSpaceDN w:val="0"/>
        <w:adjustRightInd w:val="0"/>
        <w:jc w:val="both"/>
        <w:rPr>
          <w:iCs/>
          <w:color w:val="000000" w:themeColor="text1"/>
          <w:sz w:val="16"/>
          <w:szCs w:val="16"/>
        </w:rPr>
      </w:pPr>
    </w:p>
    <w:p w14:paraId="6C1BDA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марта 1930 ВАО получил вариант плана опытного строительства УВВС при письме НТК УВВС N 57сс (351).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E371BA" w:rsidRPr="00507A31" w14:paraId="48DD08B8" w14:textId="77777777">
        <w:tc>
          <w:tcPr>
            <w:tcW w:w="2394" w:type="dxa"/>
            <w:tcBorders>
              <w:top w:val="single" w:sz="12" w:space="0" w:color="auto"/>
            </w:tcBorders>
          </w:tcPr>
          <w:p w14:paraId="03AAAE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w:t>
            </w:r>
          </w:p>
        </w:tc>
        <w:tc>
          <w:tcPr>
            <w:tcW w:w="2394" w:type="dxa"/>
            <w:tcBorders>
              <w:top w:val="single" w:sz="12" w:space="0" w:color="auto"/>
            </w:tcBorders>
          </w:tcPr>
          <w:p w14:paraId="460106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w:t>
            </w:r>
          </w:p>
        </w:tc>
        <w:tc>
          <w:tcPr>
            <w:tcW w:w="2394" w:type="dxa"/>
            <w:tcBorders>
              <w:top w:val="single" w:sz="12" w:space="0" w:color="auto"/>
            </w:tcBorders>
          </w:tcPr>
          <w:p w14:paraId="30690B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tc>
      </w:tr>
      <w:tr w:rsidR="00E371BA" w:rsidRPr="00507A31" w14:paraId="79A81890" w14:textId="77777777">
        <w:tc>
          <w:tcPr>
            <w:tcW w:w="2394" w:type="dxa"/>
          </w:tcPr>
          <w:p w14:paraId="62A44D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М-30</w:t>
            </w:r>
          </w:p>
        </w:tc>
        <w:tc>
          <w:tcPr>
            <w:tcW w:w="2394" w:type="dxa"/>
          </w:tcPr>
          <w:p w14:paraId="544BFB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УП-30</w:t>
            </w:r>
          </w:p>
        </w:tc>
        <w:tc>
          <w:tcPr>
            <w:tcW w:w="2394" w:type="dxa"/>
          </w:tcPr>
          <w:p w14:paraId="01E999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E371BA" w:rsidRPr="00507A31" w14:paraId="04320F16" w14:textId="77777777">
        <w:tc>
          <w:tcPr>
            <w:tcW w:w="2394" w:type="dxa"/>
          </w:tcPr>
          <w:p w14:paraId="40C34B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М-31</w:t>
            </w:r>
          </w:p>
        </w:tc>
        <w:tc>
          <w:tcPr>
            <w:tcW w:w="2394" w:type="dxa"/>
          </w:tcPr>
          <w:p w14:paraId="1F472D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2394" w:type="dxa"/>
          </w:tcPr>
          <w:p w14:paraId="08AD87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E371BA" w:rsidRPr="00507A31" w14:paraId="5C1BA558" w14:textId="77777777">
        <w:tc>
          <w:tcPr>
            <w:tcW w:w="2394" w:type="dxa"/>
          </w:tcPr>
          <w:p w14:paraId="0F797D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М-32</w:t>
            </w:r>
          </w:p>
        </w:tc>
        <w:tc>
          <w:tcPr>
            <w:tcW w:w="2394" w:type="dxa"/>
          </w:tcPr>
          <w:p w14:paraId="42CA04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2394" w:type="dxa"/>
          </w:tcPr>
          <w:p w14:paraId="5B1BFF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E371BA" w:rsidRPr="00507A31" w14:paraId="111A8B1A" w14:textId="77777777">
        <w:tc>
          <w:tcPr>
            <w:tcW w:w="2394" w:type="dxa"/>
          </w:tcPr>
          <w:p w14:paraId="2BA307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М-36</w:t>
            </w:r>
          </w:p>
        </w:tc>
        <w:tc>
          <w:tcPr>
            <w:tcW w:w="2394" w:type="dxa"/>
          </w:tcPr>
          <w:p w14:paraId="2856F3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Х-30</w:t>
            </w:r>
          </w:p>
        </w:tc>
        <w:tc>
          <w:tcPr>
            <w:tcW w:w="2394" w:type="dxa"/>
          </w:tcPr>
          <w:p w14:paraId="2AC98C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E371BA" w:rsidRPr="00507A31" w14:paraId="294F15B3" w14:textId="77777777">
        <w:tc>
          <w:tcPr>
            <w:tcW w:w="2394" w:type="dxa"/>
          </w:tcPr>
          <w:p w14:paraId="42572A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М-37</w:t>
            </w:r>
          </w:p>
        </w:tc>
        <w:tc>
          <w:tcPr>
            <w:tcW w:w="2394" w:type="dxa"/>
          </w:tcPr>
          <w:p w14:paraId="25094A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1-32</w:t>
            </w:r>
          </w:p>
        </w:tc>
        <w:tc>
          <w:tcPr>
            <w:tcW w:w="2394" w:type="dxa"/>
          </w:tcPr>
          <w:p w14:paraId="70708F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E371BA" w:rsidRPr="00507A31" w14:paraId="730279D1" w14:textId="77777777">
        <w:tc>
          <w:tcPr>
            <w:tcW w:w="2394" w:type="dxa"/>
          </w:tcPr>
          <w:p w14:paraId="5A0045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М-38</w:t>
            </w:r>
          </w:p>
        </w:tc>
        <w:tc>
          <w:tcPr>
            <w:tcW w:w="2394" w:type="dxa"/>
          </w:tcPr>
          <w:p w14:paraId="57705E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2394" w:type="dxa"/>
          </w:tcPr>
          <w:p w14:paraId="0CD56E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E371BA" w:rsidRPr="00507A31" w14:paraId="52497B46" w14:textId="77777777">
        <w:tc>
          <w:tcPr>
            <w:tcW w:w="2394" w:type="dxa"/>
          </w:tcPr>
          <w:p w14:paraId="41084A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М-33</w:t>
            </w:r>
          </w:p>
        </w:tc>
        <w:tc>
          <w:tcPr>
            <w:tcW w:w="2394" w:type="dxa"/>
          </w:tcPr>
          <w:p w14:paraId="762D48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П-31</w:t>
            </w:r>
          </w:p>
        </w:tc>
        <w:tc>
          <w:tcPr>
            <w:tcW w:w="2394" w:type="dxa"/>
          </w:tcPr>
          <w:p w14:paraId="423A51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М-27</w:t>
            </w:r>
          </w:p>
        </w:tc>
      </w:tr>
      <w:tr w:rsidR="00E371BA" w:rsidRPr="00507A31" w14:paraId="3B35B86C" w14:textId="77777777">
        <w:tc>
          <w:tcPr>
            <w:tcW w:w="2394" w:type="dxa"/>
          </w:tcPr>
          <w:p w14:paraId="680B08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w:t>
            </w:r>
          </w:p>
        </w:tc>
        <w:tc>
          <w:tcPr>
            <w:tcW w:w="2394" w:type="dxa"/>
          </w:tcPr>
          <w:p w14:paraId="0A49F3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П-32</w:t>
            </w:r>
          </w:p>
        </w:tc>
        <w:tc>
          <w:tcPr>
            <w:tcW w:w="2394" w:type="dxa"/>
          </w:tcPr>
          <w:p w14:paraId="5205951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3EE38FD" w14:textId="77777777">
        <w:tc>
          <w:tcPr>
            <w:tcW w:w="2394" w:type="dxa"/>
          </w:tcPr>
          <w:p w14:paraId="16F0E6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 НАМИ</w:t>
            </w:r>
          </w:p>
        </w:tc>
        <w:tc>
          <w:tcPr>
            <w:tcW w:w="2394" w:type="dxa"/>
          </w:tcPr>
          <w:p w14:paraId="32DA7D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2394" w:type="dxa"/>
          </w:tcPr>
          <w:p w14:paraId="0307F92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0DEEDA54" w14:textId="77777777">
        <w:tc>
          <w:tcPr>
            <w:tcW w:w="2394" w:type="dxa"/>
          </w:tcPr>
          <w:p w14:paraId="450D2A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М-39</w:t>
            </w:r>
          </w:p>
        </w:tc>
        <w:tc>
          <w:tcPr>
            <w:tcW w:w="2394" w:type="dxa"/>
          </w:tcPr>
          <w:p w14:paraId="251F04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ХП-32</w:t>
            </w:r>
          </w:p>
        </w:tc>
        <w:tc>
          <w:tcPr>
            <w:tcW w:w="2394" w:type="dxa"/>
          </w:tcPr>
          <w:p w14:paraId="31F137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М-29</w:t>
            </w:r>
          </w:p>
        </w:tc>
      </w:tr>
      <w:tr w:rsidR="00E371BA" w:rsidRPr="00507A31" w14:paraId="7666DB94" w14:textId="77777777">
        <w:tc>
          <w:tcPr>
            <w:tcW w:w="2394" w:type="dxa"/>
          </w:tcPr>
          <w:p w14:paraId="1F3A71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М-40</w:t>
            </w:r>
          </w:p>
        </w:tc>
        <w:tc>
          <w:tcPr>
            <w:tcW w:w="2394" w:type="dxa"/>
          </w:tcPr>
          <w:p w14:paraId="2026E2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УП-31</w:t>
            </w:r>
          </w:p>
        </w:tc>
        <w:tc>
          <w:tcPr>
            <w:tcW w:w="2394" w:type="dxa"/>
          </w:tcPr>
          <w:p w14:paraId="0ED758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М-29</w:t>
            </w:r>
          </w:p>
        </w:tc>
      </w:tr>
      <w:tr w:rsidR="00E371BA" w:rsidRPr="00507A31" w14:paraId="1AD2EDBF" w14:textId="77777777">
        <w:tc>
          <w:tcPr>
            <w:tcW w:w="2394" w:type="dxa"/>
          </w:tcPr>
          <w:p w14:paraId="6302A2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М-28</w:t>
            </w:r>
          </w:p>
        </w:tc>
        <w:tc>
          <w:tcPr>
            <w:tcW w:w="2394" w:type="dxa"/>
          </w:tcPr>
          <w:p w14:paraId="771336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УП-32</w:t>
            </w:r>
          </w:p>
        </w:tc>
        <w:tc>
          <w:tcPr>
            <w:tcW w:w="2394" w:type="dxa"/>
          </w:tcPr>
          <w:p w14:paraId="3710CE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ФЭД</w:t>
            </w:r>
          </w:p>
        </w:tc>
      </w:tr>
      <w:tr w:rsidR="00E371BA" w:rsidRPr="00507A31" w14:paraId="08A32370" w14:textId="77777777">
        <w:tc>
          <w:tcPr>
            <w:tcW w:w="2394" w:type="dxa"/>
          </w:tcPr>
          <w:p w14:paraId="28F77F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М-35</w:t>
            </w:r>
          </w:p>
        </w:tc>
        <w:tc>
          <w:tcPr>
            <w:tcW w:w="2394" w:type="dxa"/>
          </w:tcPr>
          <w:p w14:paraId="39DA4D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1-У1-31</w:t>
            </w:r>
          </w:p>
        </w:tc>
        <w:tc>
          <w:tcPr>
            <w:tcW w:w="2394" w:type="dxa"/>
          </w:tcPr>
          <w:p w14:paraId="06DA88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ФЭД</w:t>
            </w:r>
          </w:p>
        </w:tc>
      </w:tr>
      <w:tr w:rsidR="00E371BA" w:rsidRPr="00507A31" w14:paraId="54E40C7D" w14:textId="77777777">
        <w:tc>
          <w:tcPr>
            <w:tcW w:w="2394" w:type="dxa"/>
          </w:tcPr>
          <w:p w14:paraId="75932D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М-26</w:t>
            </w:r>
          </w:p>
        </w:tc>
        <w:tc>
          <w:tcPr>
            <w:tcW w:w="2394" w:type="dxa"/>
          </w:tcPr>
          <w:p w14:paraId="2A4CCD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1-У1-31</w:t>
            </w:r>
          </w:p>
        </w:tc>
        <w:tc>
          <w:tcPr>
            <w:tcW w:w="2394" w:type="dxa"/>
          </w:tcPr>
          <w:p w14:paraId="5F6F88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w:t>
            </w:r>
          </w:p>
        </w:tc>
      </w:tr>
      <w:tr w:rsidR="00E371BA" w:rsidRPr="00507A31" w14:paraId="1BBB4960" w14:textId="77777777">
        <w:tc>
          <w:tcPr>
            <w:tcW w:w="2394" w:type="dxa"/>
          </w:tcPr>
          <w:p w14:paraId="4BBFF9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М-45</w:t>
            </w:r>
          </w:p>
        </w:tc>
        <w:tc>
          <w:tcPr>
            <w:tcW w:w="2394" w:type="dxa"/>
          </w:tcPr>
          <w:p w14:paraId="1EE466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Х-31</w:t>
            </w:r>
          </w:p>
        </w:tc>
        <w:tc>
          <w:tcPr>
            <w:tcW w:w="2394" w:type="dxa"/>
          </w:tcPr>
          <w:p w14:paraId="3B4D3371"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F41D28E" w14:textId="77777777">
        <w:tc>
          <w:tcPr>
            <w:tcW w:w="2394" w:type="dxa"/>
          </w:tcPr>
          <w:p w14:paraId="7AFA9A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w:t>
            </w:r>
          </w:p>
        </w:tc>
        <w:tc>
          <w:tcPr>
            <w:tcW w:w="2394" w:type="dxa"/>
          </w:tcPr>
          <w:p w14:paraId="7B0F9E66" w14:textId="77777777" w:rsidR="00537E5F" w:rsidRPr="00507A31" w:rsidRDefault="00537E5F" w:rsidP="00507A31">
            <w:pPr>
              <w:autoSpaceDE w:val="0"/>
              <w:autoSpaceDN w:val="0"/>
              <w:adjustRightInd w:val="0"/>
              <w:jc w:val="both"/>
              <w:rPr>
                <w:color w:val="000000" w:themeColor="text1"/>
                <w:sz w:val="16"/>
                <w:szCs w:val="16"/>
              </w:rPr>
            </w:pPr>
          </w:p>
        </w:tc>
        <w:tc>
          <w:tcPr>
            <w:tcW w:w="2394" w:type="dxa"/>
          </w:tcPr>
          <w:p w14:paraId="213CA991"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C5FA797" w14:textId="77777777">
        <w:tc>
          <w:tcPr>
            <w:tcW w:w="2394" w:type="dxa"/>
          </w:tcPr>
          <w:p w14:paraId="0B3751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w:t>
            </w:r>
          </w:p>
        </w:tc>
        <w:tc>
          <w:tcPr>
            <w:tcW w:w="2394" w:type="dxa"/>
          </w:tcPr>
          <w:p w14:paraId="644CD2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2394" w:type="dxa"/>
          </w:tcPr>
          <w:p w14:paraId="722F51BD"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28D99C6" w14:textId="77777777">
        <w:tc>
          <w:tcPr>
            <w:tcW w:w="2394" w:type="dxa"/>
          </w:tcPr>
          <w:p w14:paraId="1CACFC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w:t>
            </w:r>
          </w:p>
        </w:tc>
        <w:tc>
          <w:tcPr>
            <w:tcW w:w="2394" w:type="dxa"/>
          </w:tcPr>
          <w:p w14:paraId="337035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1.ХП-30</w:t>
            </w:r>
          </w:p>
        </w:tc>
        <w:tc>
          <w:tcPr>
            <w:tcW w:w="2394" w:type="dxa"/>
          </w:tcPr>
          <w:p w14:paraId="72C88B1C"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C76BCD6" w14:textId="77777777">
        <w:tc>
          <w:tcPr>
            <w:tcW w:w="2394" w:type="dxa"/>
          </w:tcPr>
          <w:p w14:paraId="5D510A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 деревянный</w:t>
            </w:r>
          </w:p>
        </w:tc>
        <w:tc>
          <w:tcPr>
            <w:tcW w:w="2394" w:type="dxa"/>
          </w:tcPr>
          <w:p w14:paraId="090465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1.Ш-31</w:t>
            </w:r>
          </w:p>
        </w:tc>
        <w:tc>
          <w:tcPr>
            <w:tcW w:w="2394" w:type="dxa"/>
          </w:tcPr>
          <w:p w14:paraId="08BE029B"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52AD93E" w14:textId="77777777">
        <w:tc>
          <w:tcPr>
            <w:tcW w:w="2394" w:type="dxa"/>
          </w:tcPr>
          <w:p w14:paraId="723757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 сварной</w:t>
            </w:r>
          </w:p>
        </w:tc>
        <w:tc>
          <w:tcPr>
            <w:tcW w:w="2394" w:type="dxa"/>
          </w:tcPr>
          <w:p w14:paraId="501EEA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1.ХП-31</w:t>
            </w:r>
          </w:p>
        </w:tc>
        <w:tc>
          <w:tcPr>
            <w:tcW w:w="2394" w:type="dxa"/>
          </w:tcPr>
          <w:p w14:paraId="4D057373"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F902215" w14:textId="77777777">
        <w:tc>
          <w:tcPr>
            <w:tcW w:w="2394" w:type="dxa"/>
          </w:tcPr>
          <w:p w14:paraId="37DD10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И-10</w:t>
            </w:r>
          </w:p>
        </w:tc>
        <w:tc>
          <w:tcPr>
            <w:tcW w:w="2394" w:type="dxa"/>
          </w:tcPr>
          <w:p w14:paraId="36DDCD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неопределен</w:t>
            </w:r>
          </w:p>
        </w:tc>
        <w:tc>
          <w:tcPr>
            <w:tcW w:w="2394" w:type="dxa"/>
          </w:tcPr>
          <w:p w14:paraId="762EE18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99D7930" w14:textId="77777777">
        <w:tc>
          <w:tcPr>
            <w:tcW w:w="2394" w:type="dxa"/>
          </w:tcPr>
          <w:p w14:paraId="577878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ДИ-2 (Д2)</w:t>
            </w:r>
          </w:p>
        </w:tc>
        <w:tc>
          <w:tcPr>
            <w:tcW w:w="2394" w:type="dxa"/>
          </w:tcPr>
          <w:p w14:paraId="43B8EC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1.У-30</w:t>
            </w:r>
          </w:p>
        </w:tc>
        <w:tc>
          <w:tcPr>
            <w:tcW w:w="2394" w:type="dxa"/>
          </w:tcPr>
          <w:p w14:paraId="2857567B"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2F94C6B" w14:textId="77777777">
        <w:tc>
          <w:tcPr>
            <w:tcW w:w="2394" w:type="dxa"/>
          </w:tcPr>
          <w:p w14:paraId="693EEB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деревянный</w:t>
            </w:r>
          </w:p>
        </w:tc>
        <w:tc>
          <w:tcPr>
            <w:tcW w:w="2394" w:type="dxa"/>
          </w:tcPr>
          <w:p w14:paraId="2DD879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1.У1-33</w:t>
            </w:r>
          </w:p>
        </w:tc>
        <w:tc>
          <w:tcPr>
            <w:tcW w:w="2394" w:type="dxa"/>
          </w:tcPr>
          <w:p w14:paraId="64BBC81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19BB227" w14:textId="77777777">
        <w:tc>
          <w:tcPr>
            <w:tcW w:w="2394" w:type="dxa"/>
          </w:tcPr>
          <w:p w14:paraId="00F561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сварной</w:t>
            </w:r>
          </w:p>
        </w:tc>
        <w:tc>
          <w:tcPr>
            <w:tcW w:w="2394" w:type="dxa"/>
          </w:tcPr>
          <w:p w14:paraId="60B26F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2394" w:type="dxa"/>
          </w:tcPr>
          <w:p w14:paraId="38795416"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E9C0A8D" w14:textId="77777777">
        <w:tc>
          <w:tcPr>
            <w:tcW w:w="2394" w:type="dxa"/>
          </w:tcPr>
          <w:p w14:paraId="6D0E33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w:t>
            </w:r>
          </w:p>
        </w:tc>
        <w:tc>
          <w:tcPr>
            <w:tcW w:w="2394" w:type="dxa"/>
          </w:tcPr>
          <w:p w14:paraId="54E20F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2394" w:type="dxa"/>
          </w:tcPr>
          <w:p w14:paraId="7F8BBB44"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5298F58" w14:textId="77777777">
        <w:tc>
          <w:tcPr>
            <w:tcW w:w="2394" w:type="dxa"/>
          </w:tcPr>
          <w:p w14:paraId="334D9D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w:t>
            </w:r>
          </w:p>
        </w:tc>
        <w:tc>
          <w:tcPr>
            <w:tcW w:w="2394" w:type="dxa"/>
          </w:tcPr>
          <w:p w14:paraId="43B1BE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1.У-30</w:t>
            </w:r>
          </w:p>
        </w:tc>
        <w:tc>
          <w:tcPr>
            <w:tcW w:w="2394" w:type="dxa"/>
          </w:tcPr>
          <w:p w14:paraId="14F6A521"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F821ACC" w14:textId="77777777">
        <w:tc>
          <w:tcPr>
            <w:tcW w:w="2394" w:type="dxa"/>
          </w:tcPr>
          <w:p w14:paraId="366D11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деревянный</w:t>
            </w:r>
          </w:p>
        </w:tc>
        <w:tc>
          <w:tcPr>
            <w:tcW w:w="2394" w:type="dxa"/>
          </w:tcPr>
          <w:p w14:paraId="11393F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1.1.-32</w:t>
            </w:r>
          </w:p>
        </w:tc>
        <w:tc>
          <w:tcPr>
            <w:tcW w:w="2394" w:type="dxa"/>
          </w:tcPr>
          <w:p w14:paraId="5C4D60A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20C8678" w14:textId="77777777">
        <w:tc>
          <w:tcPr>
            <w:tcW w:w="2394" w:type="dxa"/>
          </w:tcPr>
          <w:p w14:paraId="5D4AD1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сварной</w:t>
            </w:r>
          </w:p>
        </w:tc>
        <w:tc>
          <w:tcPr>
            <w:tcW w:w="2394" w:type="dxa"/>
          </w:tcPr>
          <w:p w14:paraId="1A431B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2394" w:type="dxa"/>
          </w:tcPr>
          <w:p w14:paraId="1B77127A"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18FF04F" w14:textId="77777777">
        <w:tc>
          <w:tcPr>
            <w:tcW w:w="2394" w:type="dxa"/>
          </w:tcPr>
          <w:p w14:paraId="758F93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Р-9</w:t>
            </w:r>
          </w:p>
        </w:tc>
        <w:tc>
          <w:tcPr>
            <w:tcW w:w="2394" w:type="dxa"/>
          </w:tcPr>
          <w:p w14:paraId="201EEF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1.Х1-32</w:t>
            </w:r>
          </w:p>
        </w:tc>
        <w:tc>
          <w:tcPr>
            <w:tcW w:w="2394" w:type="dxa"/>
          </w:tcPr>
          <w:p w14:paraId="5DC60A8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CCBA3B7" w14:textId="77777777">
        <w:tc>
          <w:tcPr>
            <w:tcW w:w="2394" w:type="dxa"/>
          </w:tcPr>
          <w:p w14:paraId="5A02D0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 (ТОМ)</w:t>
            </w:r>
          </w:p>
        </w:tc>
        <w:tc>
          <w:tcPr>
            <w:tcW w:w="2394" w:type="dxa"/>
          </w:tcPr>
          <w:p w14:paraId="39113A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1.Х1-30</w:t>
            </w:r>
          </w:p>
        </w:tc>
        <w:tc>
          <w:tcPr>
            <w:tcW w:w="2394" w:type="dxa"/>
          </w:tcPr>
          <w:p w14:paraId="650FDE2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B9B54DF" w14:textId="77777777">
        <w:tc>
          <w:tcPr>
            <w:tcW w:w="2394" w:type="dxa"/>
          </w:tcPr>
          <w:p w14:paraId="1B5479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 (МР5)</w:t>
            </w:r>
          </w:p>
        </w:tc>
        <w:tc>
          <w:tcPr>
            <w:tcW w:w="2394" w:type="dxa"/>
          </w:tcPr>
          <w:p w14:paraId="12D44A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2394" w:type="dxa"/>
          </w:tcPr>
          <w:p w14:paraId="7537754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D98BAF7" w14:textId="77777777">
        <w:tc>
          <w:tcPr>
            <w:tcW w:w="2394" w:type="dxa"/>
          </w:tcPr>
          <w:p w14:paraId="4113E9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w:t>
            </w:r>
          </w:p>
        </w:tc>
        <w:tc>
          <w:tcPr>
            <w:tcW w:w="2394" w:type="dxa"/>
          </w:tcPr>
          <w:p w14:paraId="33FDEC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1.Х1-30</w:t>
            </w:r>
          </w:p>
        </w:tc>
        <w:tc>
          <w:tcPr>
            <w:tcW w:w="2394" w:type="dxa"/>
          </w:tcPr>
          <w:p w14:paraId="2F5511CD"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090E3C3" w14:textId="77777777">
        <w:tc>
          <w:tcPr>
            <w:tcW w:w="2394" w:type="dxa"/>
          </w:tcPr>
          <w:p w14:paraId="174979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МДР-1 (РОМ)</w:t>
            </w:r>
          </w:p>
        </w:tc>
        <w:tc>
          <w:tcPr>
            <w:tcW w:w="2394" w:type="dxa"/>
          </w:tcPr>
          <w:p w14:paraId="78BCD5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1.Х-30</w:t>
            </w:r>
          </w:p>
        </w:tc>
        <w:tc>
          <w:tcPr>
            <w:tcW w:w="2394" w:type="dxa"/>
          </w:tcPr>
          <w:p w14:paraId="7F454C66"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ADE4424" w14:textId="77777777">
        <w:tc>
          <w:tcPr>
            <w:tcW w:w="2394" w:type="dxa"/>
          </w:tcPr>
          <w:p w14:paraId="717E69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w:t>
            </w:r>
          </w:p>
        </w:tc>
        <w:tc>
          <w:tcPr>
            <w:tcW w:w="2394" w:type="dxa"/>
          </w:tcPr>
          <w:p w14:paraId="199AE1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2394" w:type="dxa"/>
          </w:tcPr>
          <w:p w14:paraId="65D36BD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F6D4B9A" w14:textId="77777777">
        <w:tc>
          <w:tcPr>
            <w:tcW w:w="2394" w:type="dxa"/>
          </w:tcPr>
          <w:p w14:paraId="3BE91C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 (ПУ2)</w:t>
            </w:r>
          </w:p>
        </w:tc>
        <w:tc>
          <w:tcPr>
            <w:tcW w:w="2394" w:type="dxa"/>
          </w:tcPr>
          <w:p w14:paraId="78E8EB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1.У1-30</w:t>
            </w:r>
          </w:p>
        </w:tc>
        <w:tc>
          <w:tcPr>
            <w:tcW w:w="2394" w:type="dxa"/>
          </w:tcPr>
          <w:p w14:paraId="1AB22620"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E44E38A" w14:textId="77777777">
        <w:tc>
          <w:tcPr>
            <w:tcW w:w="2394" w:type="dxa"/>
          </w:tcPr>
          <w:p w14:paraId="5EFA32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МУ3</w:t>
            </w:r>
          </w:p>
        </w:tc>
        <w:tc>
          <w:tcPr>
            <w:tcW w:w="2394" w:type="dxa"/>
          </w:tcPr>
          <w:p w14:paraId="3F7802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1.У1-31</w:t>
            </w:r>
          </w:p>
        </w:tc>
        <w:tc>
          <w:tcPr>
            <w:tcW w:w="2394" w:type="dxa"/>
          </w:tcPr>
          <w:p w14:paraId="7A03C90D"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0930F7EB" w14:textId="77777777">
        <w:tc>
          <w:tcPr>
            <w:tcW w:w="2394" w:type="dxa"/>
            <w:tcBorders>
              <w:bottom w:val="single" w:sz="12" w:space="0" w:color="auto"/>
            </w:tcBorders>
          </w:tcPr>
          <w:p w14:paraId="33DA34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w:t>
            </w:r>
          </w:p>
        </w:tc>
        <w:tc>
          <w:tcPr>
            <w:tcW w:w="2394" w:type="dxa"/>
            <w:tcBorders>
              <w:bottom w:val="single" w:sz="12" w:space="0" w:color="auto"/>
            </w:tcBorders>
          </w:tcPr>
          <w:p w14:paraId="550A8C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2394" w:type="dxa"/>
            <w:tcBorders>
              <w:bottom w:val="single" w:sz="12" w:space="0" w:color="auto"/>
            </w:tcBorders>
          </w:tcPr>
          <w:p w14:paraId="10C24DD7" w14:textId="77777777" w:rsidR="00537E5F" w:rsidRPr="00507A31" w:rsidRDefault="00537E5F" w:rsidP="00507A31">
            <w:pPr>
              <w:autoSpaceDE w:val="0"/>
              <w:autoSpaceDN w:val="0"/>
              <w:adjustRightInd w:val="0"/>
              <w:jc w:val="both"/>
              <w:rPr>
                <w:color w:val="000000" w:themeColor="text1"/>
                <w:sz w:val="16"/>
                <w:szCs w:val="16"/>
              </w:rPr>
            </w:pPr>
          </w:p>
        </w:tc>
      </w:tr>
    </w:tbl>
    <w:p w14:paraId="36A398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(351).</w:t>
      </w:r>
    </w:p>
    <w:p w14:paraId="3D1BBEA7" w14:textId="77777777" w:rsidR="00537E5F" w:rsidRPr="00507A31" w:rsidRDefault="00537E5F" w:rsidP="00507A31">
      <w:pPr>
        <w:autoSpaceDE w:val="0"/>
        <w:autoSpaceDN w:val="0"/>
        <w:adjustRightInd w:val="0"/>
        <w:jc w:val="both"/>
        <w:rPr>
          <w:color w:val="000000" w:themeColor="text1"/>
          <w:sz w:val="16"/>
          <w:szCs w:val="16"/>
        </w:rPr>
      </w:pPr>
    </w:p>
    <w:p w14:paraId="6C6DEE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марта 1930 вышео приказ РВС № 7 в соответствии с которым по согласованию с ВСНХ группу военных инженеров откомандировали на завод № 67 для создания “арсенала по бомбовому вооружению”. В итоге в 1930 на з-де создали группу по разработке авиабомб, которая стала отделом № 4 а через 4 года - НИО-67 (7453, 150).</w:t>
      </w:r>
    </w:p>
    <w:p w14:paraId="506FEC8B" w14:textId="77777777" w:rsidR="00537E5F" w:rsidRPr="00507A31" w:rsidRDefault="00537E5F" w:rsidP="00507A31">
      <w:pPr>
        <w:autoSpaceDE w:val="0"/>
        <w:autoSpaceDN w:val="0"/>
        <w:adjustRightInd w:val="0"/>
        <w:jc w:val="both"/>
        <w:rPr>
          <w:color w:val="000000" w:themeColor="text1"/>
          <w:sz w:val="16"/>
          <w:szCs w:val="16"/>
        </w:rPr>
      </w:pPr>
    </w:p>
    <w:p w14:paraId="70D26CE1" w14:textId="77777777" w:rsidR="00D4235A" w:rsidRPr="00507A31" w:rsidRDefault="00D4235A" w:rsidP="00507A31">
      <w:pPr>
        <w:pStyle w:val="ae"/>
        <w:spacing w:before="0" w:after="0"/>
        <w:jc w:val="both"/>
        <w:rPr>
          <w:color w:val="000000" w:themeColor="text1"/>
          <w:sz w:val="16"/>
          <w:szCs w:val="16"/>
        </w:rPr>
      </w:pPr>
      <w:r w:rsidRPr="00507A31">
        <w:rPr>
          <w:color w:val="000000" w:themeColor="text1"/>
          <w:sz w:val="16"/>
          <w:szCs w:val="16"/>
        </w:rPr>
        <w:t>12 марта 1930 года вышел приказ РВС РККА № 7, в соответствии с которым по согласованию с ВСНХ СССР на завод «Мастяжарт» в счет «тысячи» была откомандирована группа военных инженеров с целью «организации арсенала по бомбовому вооружению».</w:t>
      </w:r>
    </w:p>
    <w:p w14:paraId="53A7F284" w14:textId="77777777" w:rsidR="00D4235A" w:rsidRPr="00507A31" w:rsidRDefault="00D4235A" w:rsidP="00507A31">
      <w:pPr>
        <w:pStyle w:val="ae"/>
        <w:spacing w:before="0" w:after="0"/>
        <w:jc w:val="both"/>
        <w:rPr>
          <w:color w:val="000000" w:themeColor="text1"/>
          <w:sz w:val="16"/>
          <w:szCs w:val="16"/>
        </w:rPr>
      </w:pPr>
      <w:r w:rsidRPr="00507A31">
        <w:rPr>
          <w:color w:val="000000" w:themeColor="text1"/>
          <w:sz w:val="16"/>
          <w:szCs w:val="16"/>
        </w:rPr>
        <w:t>Сотрудники специальной группы в количестве 7 человек: В. И. Сассапарель, А. Ф. Турахин, Н. Л. Соловьев, М. Н. Трусов, В. В. Фролов, Н. М. Лапшин и И. В. Захаров с 28 марта 1930 года приступили к работе (19524).</w:t>
      </w:r>
    </w:p>
    <w:p w14:paraId="6D0F98AD" w14:textId="77777777" w:rsidR="00D4235A" w:rsidRPr="00507A31" w:rsidRDefault="00D4235A" w:rsidP="00507A31">
      <w:pPr>
        <w:pStyle w:val="ae"/>
        <w:spacing w:before="0" w:after="0"/>
        <w:jc w:val="both"/>
        <w:rPr>
          <w:color w:val="000000" w:themeColor="text1"/>
          <w:sz w:val="16"/>
          <w:szCs w:val="16"/>
        </w:rPr>
      </w:pPr>
    </w:p>
    <w:p w14:paraId="0A6126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марта 1930 г. вышел приказ РВС РККА № 7, в соответствии с которым и по согласованию с ВСНХ СССР группу военных инженеров откомандировали на завод № 67 для создания «арсенала по бомбовому вооружению». И среди них - В.И.Сассапарель, А.Ф.Турахин, Захаров, Фролов, Н.Я.Соловьев, Н.Н.Трусов, Н.И.Тверской и др. Следом за ними по путевкам Окружобъединения туда же прибыли инженеры С.П.Кунцевич, Б.В.Кудрявцев и Г.А.Талдынин. В итоге в 1930 г. на заводе № 67 создали группу по разработке авиабомб, вскоре преобразованную в отдел № 4, а еще через два года - в НИО-67 завода. Ведущим специалистам разрешено было сохранить свои воинские звания военных инженеров разных рангов. За успешную научную и производственную деятельность их поощряли не только государственными наградами, но и повышением в воинском звании (7453).</w:t>
      </w:r>
    </w:p>
    <w:p w14:paraId="4C02539B" w14:textId="77777777" w:rsidR="00537E5F" w:rsidRPr="00507A31" w:rsidRDefault="00537E5F" w:rsidP="00507A31">
      <w:pPr>
        <w:autoSpaceDE w:val="0"/>
        <w:autoSpaceDN w:val="0"/>
        <w:adjustRightInd w:val="0"/>
        <w:jc w:val="both"/>
        <w:rPr>
          <w:color w:val="000000" w:themeColor="text1"/>
          <w:sz w:val="16"/>
          <w:szCs w:val="16"/>
        </w:rPr>
      </w:pPr>
    </w:p>
    <w:p w14:paraId="104E312F" w14:textId="77777777" w:rsidR="00FA5B89" w:rsidRPr="00507A31" w:rsidRDefault="00FA5B89" w:rsidP="00507A31">
      <w:pPr>
        <w:jc w:val="both"/>
        <w:rPr>
          <w:color w:val="000000" w:themeColor="text1"/>
          <w:sz w:val="16"/>
          <w:szCs w:val="16"/>
        </w:rPr>
      </w:pPr>
      <w:r w:rsidRPr="00507A31">
        <w:rPr>
          <w:color w:val="000000" w:themeColor="text1"/>
          <w:sz w:val="16"/>
          <w:szCs w:val="16"/>
        </w:rPr>
        <w:t>12 марта 1930 года вышел приказ РВС РККА № 7, в соответствии с которым по согласованию с ВСНХ СССР на завод «Мастяжарт» в счет «тысячи» была откомандирована группа военных инженеров с целью «организации арсенала по бомбовому вооружению». Сотрудники специальной группы в количестве 7 человек: В. И. Сассапарель, А. Ф. Турахин, Н. Л. Соловьев, М. Н. Трусов, В. В. Фролов, Н. М. Лапшин и И. В. Захаров с 28 марта 1930 года приступили к работе (15794).</w:t>
      </w:r>
    </w:p>
    <w:p w14:paraId="22C1A3AE" w14:textId="77777777" w:rsidR="00FA5B89" w:rsidRPr="00507A31" w:rsidRDefault="00FA5B89" w:rsidP="00507A31">
      <w:pPr>
        <w:jc w:val="both"/>
        <w:rPr>
          <w:color w:val="000000" w:themeColor="text1"/>
          <w:sz w:val="16"/>
          <w:szCs w:val="16"/>
        </w:rPr>
      </w:pPr>
    </w:p>
    <w:p w14:paraId="79B108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12 марта 1930 г. по приказу РВС № 7 на завод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откомандирована группа военных инженеров: В.И. Сассапарель, А.Ф. Турахин, </w:t>
      </w:r>
      <w:r w:rsidRPr="00507A31">
        <w:rPr>
          <w:color w:val="000000" w:themeColor="text1"/>
          <w:sz w:val="16"/>
          <w:szCs w:val="16"/>
          <w:lang w:val="en-US"/>
        </w:rPr>
        <w:t>H</w:t>
      </w:r>
      <w:r w:rsidRPr="00507A31">
        <w:rPr>
          <w:color w:val="000000" w:themeColor="text1"/>
          <w:sz w:val="16"/>
          <w:szCs w:val="16"/>
        </w:rPr>
        <w:t>.</w:t>
      </w:r>
      <w:r w:rsidRPr="00507A31">
        <w:rPr>
          <w:color w:val="000000" w:themeColor="text1"/>
          <w:sz w:val="16"/>
          <w:szCs w:val="16"/>
          <w:lang w:val="en-US"/>
        </w:rPr>
        <w:t>JI</w:t>
      </w:r>
      <w:r w:rsidRPr="00507A31">
        <w:rPr>
          <w:color w:val="000000" w:themeColor="text1"/>
          <w:sz w:val="16"/>
          <w:szCs w:val="16"/>
        </w:rPr>
        <w:t>. Соловьев, М.Н. Трусов, В.В. Фролов, И.Н. Тверской, С.П. Кунцевич, Б.В. Кудрявцев,  Г.А. Талдыкин, Н.И. Лапшин, И.В. Захаров. Вскоре группа преобразована в отдел № 4 на правах цеха завода № 67, а в 1932 г. - в НИО- 67 с опытным производством.</w:t>
      </w:r>
    </w:p>
    <w:p w14:paraId="179668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 1932 г. создана новая система АБ: ФАБ-50, -100, -250, -500, -1000, -2000 (пнв в 1934 г.), БРАБ-220, -500,1000. В 1936 г. созданы бомбы: ЗАБ-2,5, -10, -50, АО-2,5, ОХАБ-15, АНАБ-1 (морская аэронавигационная), П-25, САБ-, 3, -15, -25, КРАБ-25 (ядовито-дымная), ГАБ-100 (морская дымовая); противогазные коробки: ТЧ, МТ-1, -3, </w:t>
      </w:r>
      <w:r w:rsidRPr="00507A31">
        <w:rPr>
          <w:color w:val="000000" w:themeColor="text1"/>
          <w:sz w:val="16"/>
          <w:szCs w:val="16"/>
          <w:lang w:val="en-US"/>
        </w:rPr>
        <w:t>JI</w:t>
      </w:r>
      <w:r w:rsidRPr="00507A31">
        <w:rPr>
          <w:color w:val="000000" w:themeColor="text1"/>
          <w:sz w:val="16"/>
          <w:szCs w:val="16"/>
        </w:rPr>
        <w:t>-1, дополнительного патрона ДП, конского противогаза. К 1938 г. сдано на вооружение 37 образцов бомб.</w:t>
      </w:r>
    </w:p>
    <w:p w14:paraId="002EFE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147сс от 4.05.1938 г. НИО-67 вместе с КТБ-27 вошли в состав образованного КБ по авиабомбостроению (ГСКБ-47).</w:t>
      </w:r>
    </w:p>
    <w:p w14:paraId="25EEBC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(1932- г.)- Флейшман, (1935-36 г.-)- Н.Т. Кулаков, (2.04.1938 г.-)- В.М. Гранов.</w:t>
      </w:r>
    </w:p>
    <w:p w14:paraId="52C244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Гл. конструктор (1932 г.)- </w:t>
      </w:r>
      <w:r w:rsidRPr="00507A31">
        <w:rPr>
          <w:color w:val="000000" w:themeColor="text1"/>
          <w:sz w:val="16"/>
          <w:szCs w:val="16"/>
          <w:lang w:val="en-US"/>
        </w:rPr>
        <w:t>H</w:t>
      </w:r>
      <w:r w:rsidRPr="00507A31">
        <w:rPr>
          <w:color w:val="000000" w:themeColor="text1"/>
          <w:sz w:val="16"/>
          <w:szCs w:val="16"/>
        </w:rPr>
        <w:t>.</w:t>
      </w:r>
      <w:r w:rsidRPr="00507A31">
        <w:rPr>
          <w:color w:val="000000" w:themeColor="text1"/>
          <w:sz w:val="16"/>
          <w:szCs w:val="16"/>
          <w:lang w:val="en-US"/>
        </w:rPr>
        <w:t>JI</w:t>
      </w:r>
      <w:r w:rsidRPr="00507A31">
        <w:rPr>
          <w:color w:val="000000" w:themeColor="text1"/>
          <w:sz w:val="16"/>
          <w:szCs w:val="16"/>
        </w:rPr>
        <w:t>. Соловьев.</w:t>
      </w:r>
    </w:p>
    <w:p w14:paraId="01C349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химик (1932 г.)- В.А. Преображенский. Гл. технолог (1932 г.)- Н.П. Васильев. Начальник летной станции (1932 г.)- А.Ф. Турахин (11982).</w:t>
      </w:r>
    </w:p>
    <w:p w14:paraId="3BE162C0" w14:textId="77777777" w:rsidR="00FA5B89" w:rsidRPr="00507A31" w:rsidRDefault="00FA5B89" w:rsidP="00507A31">
      <w:pPr>
        <w:autoSpaceDE w:val="0"/>
        <w:autoSpaceDN w:val="0"/>
        <w:adjustRightInd w:val="0"/>
        <w:jc w:val="both"/>
        <w:rPr>
          <w:iCs/>
          <w:color w:val="000000" w:themeColor="text1"/>
          <w:sz w:val="16"/>
          <w:szCs w:val="16"/>
        </w:rPr>
      </w:pPr>
    </w:p>
    <w:p w14:paraId="509638E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E125FB2" w14:textId="77777777" w:rsidR="00537E5F" w:rsidRPr="00507A31" w:rsidRDefault="00537E5F" w:rsidP="00507A31">
      <w:pPr>
        <w:autoSpaceDE w:val="0"/>
        <w:autoSpaceDN w:val="0"/>
        <w:adjustRightInd w:val="0"/>
        <w:jc w:val="both"/>
        <w:rPr>
          <w:iCs/>
          <w:color w:val="000000" w:themeColor="text1"/>
          <w:sz w:val="16"/>
          <w:szCs w:val="16"/>
        </w:rPr>
      </w:pPr>
    </w:p>
    <w:p w14:paraId="11EDFE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марта 1930 Ганди начал марш к морю (2100) в Данди - Соляной поход (3186).</w:t>
      </w:r>
    </w:p>
    <w:p w14:paraId="72517E28" w14:textId="77777777" w:rsidR="00537E5F" w:rsidRPr="00507A31" w:rsidRDefault="00537E5F" w:rsidP="00507A31">
      <w:pPr>
        <w:autoSpaceDE w:val="0"/>
        <w:autoSpaceDN w:val="0"/>
        <w:adjustRightInd w:val="0"/>
        <w:jc w:val="both"/>
        <w:rPr>
          <w:color w:val="000000" w:themeColor="text1"/>
          <w:sz w:val="16"/>
          <w:szCs w:val="16"/>
        </w:rPr>
      </w:pPr>
    </w:p>
    <w:p w14:paraId="3B61AFE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12 марта 1930 Махатма Ганди начал Соляной Марш в знак протеста против монополии Англии на торговлю солью (4962).</w:t>
      </w:r>
    </w:p>
    <w:p w14:paraId="2DA615F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7A6B2C0" w14:textId="77777777" w:rsidR="00FA5B89" w:rsidRPr="00507A31" w:rsidRDefault="00FA5B89" w:rsidP="00507A31">
      <w:pPr>
        <w:jc w:val="both"/>
        <w:rPr>
          <w:color w:val="000000" w:themeColor="text1"/>
          <w:sz w:val="16"/>
          <w:szCs w:val="16"/>
        </w:rPr>
      </w:pPr>
      <w:r w:rsidRPr="00507A31">
        <w:rPr>
          <w:bCs/>
          <w:color w:val="000000" w:themeColor="text1"/>
          <w:sz w:val="16"/>
          <w:szCs w:val="16"/>
        </w:rPr>
        <w:t>12 марта</w:t>
      </w:r>
      <w:r w:rsidRPr="00507A31">
        <w:rPr>
          <w:color w:val="000000" w:themeColor="text1"/>
          <w:sz w:val="16"/>
          <w:szCs w:val="16"/>
        </w:rPr>
        <w:t xml:space="preserve"> в 1930 году борец за национальную независимость Индии Карамчанд Ганди (1869–1948), более известный как Махатма (Великая душа), идеалист и аскет, возглавил так называемый "соляной поход" - выступление против непопулярного налога на соль и тем самым против британской монополии (добыча соли местным жителям была запрещена британской Ост-Индской компанией). За 24 дня участники похода, в котором приняли участие десятки тысяч людей, преодолели около 500 километров и вышли к берегу моря, где Ганди совершил символический акт выпаривания соли. Этот марш протеста всколыхнул всю страну. В ответ британские власти бросили в тюрьмы более 60 тысяч человек. Налог отменили только через 17 лет, когда Индия завоевала независимость (15066).</w:t>
      </w:r>
    </w:p>
    <w:p w14:paraId="312444CB" w14:textId="77777777" w:rsidR="00FA5B89" w:rsidRPr="00507A31" w:rsidRDefault="00FA5B89" w:rsidP="00507A31">
      <w:pPr>
        <w:jc w:val="both"/>
        <w:rPr>
          <w:color w:val="000000" w:themeColor="text1"/>
          <w:sz w:val="16"/>
          <w:szCs w:val="16"/>
        </w:rPr>
      </w:pPr>
    </w:p>
    <w:p w14:paraId="576FFF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марта 1930 было заключение таможенное соглашение между Китаем и Японией и Япония признала право Китая устанавливать таможенные пошлины (3907,161).</w:t>
      </w:r>
    </w:p>
    <w:p w14:paraId="7EB5566D" w14:textId="77777777" w:rsidR="00537E5F" w:rsidRPr="00507A31" w:rsidRDefault="00537E5F" w:rsidP="00507A31">
      <w:pPr>
        <w:autoSpaceDE w:val="0"/>
        <w:autoSpaceDN w:val="0"/>
        <w:adjustRightInd w:val="0"/>
        <w:jc w:val="both"/>
        <w:rPr>
          <w:color w:val="000000" w:themeColor="text1"/>
          <w:sz w:val="16"/>
          <w:szCs w:val="16"/>
        </w:rPr>
      </w:pPr>
    </w:p>
    <w:p w14:paraId="0DC1969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6BA4C5C" w14:textId="77777777" w:rsidR="00537E5F" w:rsidRPr="00507A31" w:rsidRDefault="00537E5F" w:rsidP="00507A31">
      <w:pPr>
        <w:autoSpaceDE w:val="0"/>
        <w:autoSpaceDN w:val="0"/>
        <w:adjustRightInd w:val="0"/>
        <w:jc w:val="both"/>
        <w:rPr>
          <w:iCs/>
          <w:color w:val="000000" w:themeColor="text1"/>
          <w:sz w:val="16"/>
          <w:szCs w:val="16"/>
        </w:rPr>
      </w:pPr>
    </w:p>
    <w:p w14:paraId="44103FC9" w14:textId="77777777" w:rsidR="00065987" w:rsidRPr="00507A31" w:rsidRDefault="00065987" w:rsidP="00507A31">
      <w:pPr>
        <w:jc w:val="both"/>
        <w:rPr>
          <w:color w:val="000000" w:themeColor="text1"/>
          <w:sz w:val="16"/>
          <w:szCs w:val="16"/>
        </w:rPr>
      </w:pPr>
      <w:r w:rsidRPr="00507A31">
        <w:rPr>
          <w:color w:val="000000" w:themeColor="text1"/>
          <w:sz w:val="16"/>
          <w:szCs w:val="16"/>
        </w:rPr>
        <w:t>13 марта 1930 г. — Доклад начальника Мобилизационно-планового управления ВСНХ СССР А. М. Постникова в Реввоенсовет СССР об освоении промышленностью производства новых систем вооружения из специальных сортов стали</w:t>
      </w:r>
    </w:p>
    <w:p w14:paraId="3E6BDE1B" w14:textId="77777777" w:rsidR="00065987" w:rsidRPr="00507A31" w:rsidRDefault="00065987"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4B3494B7"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1. Значительные успехи в науке о строении материи быстро отразились на металлургии стали и дали новые возможности для исследования специальных высокосортных сплавов, а широкое распространение их в некоторых отраслях техники (авиа- и автостроение) вызвало значительное улучшение в способах производства стали.</w:t>
      </w:r>
    </w:p>
    <w:p w14:paraId="3B3A0154"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Опыт мировой войны, данные иностранной литературы, экспонаты Лондонской промышленной выставки 1924 г., а также общий прогресс артиллерийской техники вполне определенно указали, что повышение мощности дальнобойности артиллерийских систем без увеличения их веса, осуществление требования высоких баллистических качеств для новых орудий, равно как на изготовление свободного лайнера, могут быть удовлетворены лишь путем использования высоких сортов специальной орудийной стали как в смысле ее химического состава и механических качеств, так и в смысле плотности и однородности металла. Подобные качества могут быть обеспечены лишь специальной методикой выработки стали.</w:t>
      </w:r>
    </w:p>
    <w:p w14:paraId="3B51CCFB"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Таким образом, работы по изысканию получения специальных сортов орудийной стали и перехода промышленности на изготовление их имели целью: а) дать металл для возможности осуществления новых современных артиллерийских конструкций, стреляющих с высокими давлениями и большой дальностью; б) упрочнение существующих слабых конструкций (122</w:t>
      </w:r>
      <w:r w:rsidRPr="00507A31">
        <w:rPr>
          <w:color w:val="000000" w:themeColor="text1"/>
          <w:sz w:val="16"/>
          <w:szCs w:val="16"/>
        </w:rPr>
        <w:noBreakHyphen/>
        <w:t>мм гаубицы 1909 г., 76</w:t>
      </w:r>
      <w:r w:rsidRPr="00507A31">
        <w:rPr>
          <w:color w:val="000000" w:themeColor="text1"/>
          <w:sz w:val="16"/>
          <w:szCs w:val="16"/>
        </w:rPr>
        <w:noBreakHyphen/>
        <w:t>мм гор[ной] обр[азца] 1909 г.); в) возможность модернизации существующих систем с целью получения большой дальнобойности; г) осуществление свободных лайнеров; д) изготовление орудий типа моноблок; е) выявление возможности увеличить живучесть орудий.</w:t>
      </w:r>
    </w:p>
    <w:p w14:paraId="4C318E60"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Проведенные опыты показали правильность намеченной линии и подтвердили необходимость перехода на специальные стали для осуществления мероприятий по п. “а”, “б”, “в”, “г”, “д”. На сегодняшний день остался не разрешен вопрос о степени увеличения живучести орудий с применением для их изготовления высокосортных специальных сталей.</w:t>
      </w:r>
    </w:p>
    <w:p w14:paraId="242FE6DF"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Заключение I Всесоюзной конференции по коррозии, сделанное на основе исследования корочки выгорания в каналах изношенных орудийных стволов при помощи методов металлографии и рентгенографии, говорит о том, что применение специальных сталей для стволов дает ничтожное преимущество в отношении сопротивления эрозии и долговечности. Опыты с орудиями, изготовленными из специальных сталей, еще не закончены, количество сделанных выстрелов еще не так велико, чтобы позволить сделать окончательные выводы о преимуществах высокосортных сталей в отношении живучести перед сталью углеродистой или малохромистой, но дали вполне определенные указания в отношении прочности. Таким образом, совершенно не ясен вопрос [о] необходимости применения высокосортных сталей для всех элементов орудий старых систем с целью только увеличить их живучесть.</w:t>
      </w:r>
    </w:p>
    <w:p w14:paraId="5CB8C55D"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 настоящее время изыскание способов по увеличению живучести стволов ведется главным образом в направлении изучения методов скрепления орудий и уменьшения прорыва газов, т. е. применения обтюраторов, конструктирования снарядов и зарядной камеры с целью уменьшить таковой прорыв как до начала движения снаряда, так и под ведущим пояском. Однако возможность разрешения только задач, указанных в п. “а”, “б”, “в”, “г” и “д”, уже заставляет промышленность подготовиться к валовому изготовлению орудий из специальных сталей, что является в начале сложным делом, требующим выработки методов и большого навыка. По имеющимся данным, за границей этот вопрос в большинстве уже разрешен: «Крупп» с 1900 г. перешел на изготовление всех орудий из спецсталей, американские исследования европейских орудий доказывают переход за время войны 1914</w:t>
      </w:r>
      <w:r w:rsidRPr="00507A31">
        <w:rPr>
          <w:color w:val="000000" w:themeColor="text1"/>
          <w:sz w:val="16"/>
          <w:szCs w:val="16"/>
        </w:rPr>
        <w:noBreakHyphen/>
        <w:t>1917 гг. английских и французских пушек на спецстали. По данным американского курса артиллерии (Me Garland, 1929 г.), механические качества орудийных сталей примерно такие же, как у нас (сталь кат[егории] “А” и “Б”).</w:t>
      </w:r>
    </w:p>
    <w:p w14:paraId="37785E26"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lastRenderedPageBreak/>
        <w:t>2. По изысканию для орудийных, пулеметных и ружейных стволов специальных сортов сталей, отвечающих современным требованиям артиллерии, в 1925 г. при Артил[лерийском] управлении была образована междуведомственная комиссия с привлечением ряда научных специалистов и представителей промышленности. На основе работ этой комиссии были выработаны технические требования для специальных сталей как в отношении химического состава, так и механических качеств, причем была принята сталь двух категорий — “А” и “Б”. Для стали категории “А” предлагалось [на] усмотрение промышленности испытать 3 анализа хромоникелевых и 2 анализа хромованадиевых сортов, для стали категории “Б” — 1 анализ хромо-ванадий-молибденовый и в дальнейшем была еще рекомендована орудийная сталь, применяемая в Англии типа вибракхромоникель молибденового состава. По механическим качествам эти категории стали при испытании в поперечных брусках должны удовлетворять следующим требованиям: категория “А” не меньше: предел упругости — 50 кг (мм² сжатие 40%, сопротивление удару по Шарии 5 кг/м); категория “Б”: предел упругости — 70 кг, сжатие — 40% и сопротивление удару по Шарии — 5 кг.</w:t>
      </w:r>
    </w:p>
    <w:p w14:paraId="1FC097B9"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Ввиду того что заданные требования значительно превышали существовавшие в до- и военное время технологические нормы, для промышленности выбор стали и установление для нее соответствующих методов производства выполнялись путем осторожного систематического подхода на практике и постоянного опытного исследования вопроса, а поэтому в отношении темпов мы имеем и до настоящего времени недоговоренность между НКВМором и промышленностью. АУ еще в 1928/29 г. предъявляло требование промышленности о применении высокосортных спецсталей кат[егории] “А” для выполнения текущих заказов по всем орудийным системам на 100%. Однако такое требование базировалось только в основном на желании подготовить промышленность к валовому изготовлению орудий из спецсталей без учета производственных возможностей и действительной потребности. Впоследствии такое требование по взаимному соглашению было снижено; на 100% требовалось изготовление только труб для тех систем, кои в этом безусловно нуждаются (76</w:t>
      </w:r>
      <w:r w:rsidRPr="00507A31">
        <w:rPr>
          <w:color w:val="000000" w:themeColor="text1"/>
          <w:sz w:val="16"/>
          <w:szCs w:val="16"/>
        </w:rPr>
        <w:noBreakHyphen/>
        <w:t>мм горные, 122</w:t>
      </w:r>
      <w:r w:rsidRPr="00507A31">
        <w:rPr>
          <w:color w:val="000000" w:themeColor="text1"/>
          <w:sz w:val="16"/>
          <w:szCs w:val="16"/>
        </w:rPr>
        <w:noBreakHyphen/>
        <w:t>мм гаубицы обр[азца] 1909 г., моноблоки, лайнеры, зенитные пушки 3</w:t>
      </w:r>
      <w:r w:rsidRPr="00507A31">
        <w:rPr>
          <w:color w:val="000000" w:themeColor="text1"/>
          <w:sz w:val="16"/>
          <w:szCs w:val="16"/>
        </w:rPr>
        <w:noBreakHyphen/>
        <w:t xml:space="preserve">дюймовые 1928 г.), а для остальных 50% изготовления систем из специальной стали </w:t>
      </w:r>
      <w:r w:rsidRPr="00507A31">
        <w:rPr>
          <w:rStyle w:val="af0"/>
          <w:i w:val="0"/>
          <w:color w:val="000000" w:themeColor="text1"/>
          <w:sz w:val="16"/>
          <w:szCs w:val="16"/>
        </w:rPr>
        <w:t>с</w:t>
      </w:r>
      <w:r w:rsidRPr="00507A31">
        <w:rPr>
          <w:color w:val="000000" w:themeColor="text1"/>
          <w:sz w:val="16"/>
          <w:szCs w:val="16"/>
        </w:rPr>
        <w:t xml:space="preserve"> гарантийным достижением механических качеств стали категории “А” только у 25%. За 1928/29 г. промышленность не только выполнила поставленные условия, но даже несколько повысила гарантийный процент стали кат[егории] “А”.</w:t>
      </w:r>
    </w:p>
    <w:p w14:paraId="3A89455C"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Для заказов 1929/30 г. АУ вначале также поставило условие 100% изготовления всех орудийных систем из спецстали не ниже кат[егории] “А”, но в настоящее время несколько их снизила. Однако соглашения с промышленностью пока не достигнуто: АУ требует 50% гарантийности достижения механических качеств стали кат[егории] “А”, промышленность считает возможным дать только 25% гарантии, но при условии все же, что 50% орудий будет изготовлено из спецстали. Такие, казалось бы, пониженные условия промышленность ставит, исходя из следующих соображений: а) отсутствие опыта в обращении со спецсталью, а также технической помощи извне не давало возможности своевременно определить все причины неполадок и наметить мероприятия для их изжития. Необходимо отметить, что первоначально поставленные АУ в свое время технические требования на специальные сорта орудийной стали в настоящее время на основе имеющегося опыта требуют пересмотра; б) изжитие неполадок, имеющих место в настоящее время, потребуют время и средств; в) недооборудованность ковочными и нагревательными средствами.</w:t>
      </w:r>
    </w:p>
    <w:p w14:paraId="3F36BA41"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Подготовка промышленности в получении и обработке спецсталей кат[егорий] “А” и “Б“ ведется по всем заводам, производящим орудия (завод «Большевик», ММЗ, «Кр[асный] Путиловец» и «Кр[асное] Сормово»), кроме завода «Баррикады», где таковая только начата.</w:t>
      </w:r>
    </w:p>
    <w:p w14:paraId="319435AB"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Однако имеющиеся на сегодняшний день успехи не дают возможности констатировать, что промышленность полностью подготовлена к освоению этого производства. Если по выполнению текущих заказов при сравнительно небольших размерах она удовлетворяет потребность НКВМора, то в мобилизационном отношении она далеко не подготовлена и в условиях войны вряд ли сумеет без понижения качества быстро перестроиться на требования, предъявляемые новыми конструкциями. По стали категории] “А” промышленность близка к переходу на валовое производство и с проведением ряда мероприятий к концу 1930/31 г. сможет перейти на 100</w:t>
      </w:r>
      <w:r w:rsidRPr="00507A31">
        <w:rPr>
          <w:color w:val="000000" w:themeColor="text1"/>
          <w:sz w:val="16"/>
          <w:szCs w:val="16"/>
        </w:rPr>
        <w:noBreakHyphen/>
        <w:t>процентное изготовление орудий из спецсталей с гарантией около 90% на качество стали кат[егории] “А”, но по стали кат[егории] “Б”, необходимой для некоторых калибров орудий большой дальности, надо считать производство еще в периоде изучения. Отдельные результаты были удовлетворительные, но валовое производство еще далеко не подготовлено. Особо необходимо отметить практическую неподготовленность в этом отношении завода «Большевик», изготовляющего морские орудия 100 мм, 45 кал[ибра] и 180 мм.</w:t>
      </w:r>
    </w:p>
    <w:p w14:paraId="1DDBA3BC"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Неполадки, имевшие место, в большинстве однородны по всем заводам и зависели, во-первых, от отсутствия опыта в обращении со спецсталями, а во-вторых, [от] несоответствия устаревшего оборудования современным требованиям. Так, по сталелитейной большое влияние оказывало применение устаревших способов разливки сталей, не соответствующих изложниц, не надлежащей передачи болванок в горячие цеха на обработку, а также не соответствующее качество шихты, отсутствие опыта по ее улучшению и недостаточное качество ферросплавов. По горячим и термическим цехам имел место недостаточный температурный режим, а в большинстве — несоответствие оборудования новейшим требованиям при обработке спецсталей: по кузнице — недостаток печей для отжига и подогрева, кранового оборудования, а также тихоходные прессы и молоты; по термической — неприспособленность печей старых конструкций для современных требований высокосортных сталей. Кроме того, недостаточное пока еще оборудование лабораторий не дало возможности до настоящего времени установить надлежащий контроль за производством. Процент брака от всех перечисленных неполадок как по механическим качествам, так и порокам металла в среднем был до 35% и в отдельных случаях доходил до 60%. Одним из главных недостатков наблюдения за производством является то обстоятельство, что на сегодняшний день мы не имеем усовершенствованного способа своевременного определения пороков металла и в большинстве обнаруживаем недостатки при чистовой обработке ведущих ответственных деталей орудий. Таким образом напрасно затрачиваем время и средства на механическую обработку и неожиданно срываем установленные сроки готовности орудий.</w:t>
      </w:r>
    </w:p>
    <w:p w14:paraId="0E252922"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Опыт истекшего года дал возможность изучить причины большинства неполадок и провести ряд мероприятий, не связанных с крупными затратами по реконструкции как сталелитейной, так и горячих цехов, что несколько повысило процент качественного металла, и процент брака по текущим заказам 1929/30 г. за I квартал доходит в среднем до 25, в отдельных случаях имеет, с одной стороны, снижение до 14% и повышение до 50%.</w:t>
      </w:r>
    </w:p>
    <w:p w14:paraId="42A7BBEB"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Одним из достижений является проведенный опыт обработки некоторых элементов орудий путем манесмановской прокатки, что при гарантии высоких механических качеств металла позволяет значительно увеличить производственные возможности. Необходимо ускорить проведение испытаний стрельбою для окончательных выводов.</w:t>
      </w:r>
    </w:p>
    <w:p w14:paraId="37E0F38C"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Переходя к оценке достижений отдельных заводов, необходимо отметить значительные успехи Мотовилихинского машзавода и наряду с этим совершенно недостаточную подготовку по заводам «Большевик» и «Баррикады». По заводу «Красный Путиловец» наблюдается недостаточное использование опыта других заводов, в частности ММЗ, вследствие чего — значительную затрату времени на изыскания. По заводу «Красное Сормово» проведение опытов нужно считать удовлетворительным, но общая подготовленность завода недостаточная. По тем задачам, которые ставятся перед промышленностью, ММЗ, казалось бы, меньше всего требовалось форсировать темп подготовки для изготовления тех систем, которые по специализации для него предназначены, и наоборот, зав[оды] «Большевик» и «Баррикады», которые предназначены главным образом для изготовления орудий большой дальности (морских) и новых конструкций, должны считать этот вопрос наиболее актуальным.</w:t>
      </w:r>
    </w:p>
    <w:p w14:paraId="4BEC1F25"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 настоящее время для подведения итогов всех имевших место неполадок, изучения причин их и определения методов изжития по настоянию МПУ при ГВПУ создана спецкомиссия с привлечением высоких специалистов как отечественных, так и иностранных, которая в ближайшее время должна наметить путь для каждого завода в отдельности, и на основе этих указаний заводы должны будут в течение 1929/30 и отчасти 1930/31 гг. провести ряд мероприятий, с тем чтобы к 1 октября 1931 г. быть готовыми к валовому изготовлению орудий из спецстали кат[егории] “А”, а также некоторых систем из стали кат[егории] “Б”.</w:t>
      </w:r>
    </w:p>
    <w:p w14:paraId="3C73ADC0"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3. Развитие мощностей, которое запроектировано по контрольным цифрам 1929/30 г., обеспечивает потребность в металле для производства орудий по плану «С</w:t>
      </w:r>
      <w:r w:rsidRPr="00507A31">
        <w:rPr>
          <w:color w:val="000000" w:themeColor="text1"/>
          <w:sz w:val="16"/>
          <w:szCs w:val="16"/>
        </w:rPr>
        <w:noBreakHyphen/>
        <w:t>30»²*, и если принять во внимание наличие полуфабрикатов кат[егории] “Б”, имеющихся на заводе, то эти мощности даже несколько превышают потребность. Однако необходимо обратить внимание на то обстоятельство, что полуфабрикаты кат[егории] “Б” изготовлены из углеродистой стали и применение их в первый период войны будет иметь место для обеспечения существующих сроков развертывания. В настоящее время перед промышленностью поставлен вопрос о необходимости проведения освежения указанных полуфабрикатов за счет текущих заказов НКВМора.</w:t>
      </w:r>
    </w:p>
    <w:p w14:paraId="3CDD7A63"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 отношении снабжения орудийных заводов качественным сырьем для получения высоких сортов стали вопрос обстоит не совсем благополучно: шихта на всех заводах не освежалась более 10 лет, что по научным данным оказывает некоторое влияние на мех[анические] качества, кроме того качество чугуна (в отношении содержания фосфора) с каждым годом ухудшается вследствие перехода на минеральное топливо, что заставляет вести переработку шихты на самих орудийных заводах (дуплекс-процесс).</w:t>
      </w:r>
    </w:p>
    <w:p w14:paraId="17AD076D"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 части обеспечения производства специальных сталей ферросплавами положение нельзя считать удовлетворительным. Производство феррованадия и молибдена внутри страны совершенно не налажено, а производство ферросилиция, вольфрама и хрома весьма ограничено. Строящийся завод ферросплавов в Челябинске, мощностью на 8 тыс. т ферросилиция, 1,5 тыс. т феррохрома и 500 ферровольфрама, может быть пущен в эксплуатацию только в январе 1931 г. создаваемый мобфонд ферросплавов по резервному импортному плану в 1929/30 г. с имеющимися наличными мобзапасами не может обеспечить повышенную орудийную мобпрограмму наряду с необходимостью обеспечить программу и по другим видам боевого снабжения (ружейного, танк[ового] и др.).</w:t>
      </w:r>
    </w:p>
    <w:p w14:paraId="6402A3CE"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Прилагаемый ориентировочный баланс ферросплавов на первый и второй годы войны³*, составленный на основе новых мобилизационных заданий промышленности и по мирной программе на основе ориентировочной наметки контрольных цифр 1930/31 г., показывает полное неблагополучие в обеспечении потребности промышленности ферросплавами на случай войны с 1 июля.</w:t>
      </w:r>
    </w:p>
    <w:p w14:paraId="5453136A"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 разрезе пятилетнего плана в связи с окончанием Днепростроя положение с обеспечением промышленности разрешается постройкой завода ферросплавов на 100 тыс. т. На ближайшие же два года (1930</w:t>
      </w:r>
      <w:r w:rsidRPr="00507A31">
        <w:rPr>
          <w:color w:val="000000" w:themeColor="text1"/>
          <w:sz w:val="16"/>
          <w:szCs w:val="16"/>
        </w:rPr>
        <w:noBreakHyphen/>
        <w:t xml:space="preserve">1932) выход из положения может быть срочное дублирование Челябинского завода с соответствующим форсированием </w:t>
      </w:r>
      <w:r w:rsidRPr="00507A31">
        <w:rPr>
          <w:color w:val="000000" w:themeColor="text1"/>
          <w:sz w:val="16"/>
          <w:szCs w:val="16"/>
        </w:rPr>
        <w:lastRenderedPageBreak/>
        <w:t>работ по разведке и разработке месторождений фольрамитов, молибденитов и срочное разрешение вопроса получения ванадия из хибинских апатитов, а также накопления мобилизационных запасов до размеров, обеспечивающих мобпрограмму лит[еры] «С</w:t>
      </w:r>
      <w:r w:rsidRPr="00507A31">
        <w:rPr>
          <w:color w:val="000000" w:themeColor="text1"/>
          <w:sz w:val="16"/>
          <w:szCs w:val="16"/>
        </w:rPr>
        <w:noBreakHyphen/>
        <w:t>30».</w:t>
      </w:r>
    </w:p>
    <w:p w14:paraId="121CB3D6"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Ввиду необеспеченности ферросплавами нельзя считать реальным переход орудийной программы полностью на повышенные сорта специальной стали уже по мобплану «С</w:t>
      </w:r>
      <w:r w:rsidRPr="00507A31">
        <w:rPr>
          <w:color w:val="000000" w:themeColor="text1"/>
          <w:sz w:val="16"/>
          <w:szCs w:val="16"/>
        </w:rPr>
        <w:noBreakHyphen/>
        <w:t>30». В связи с чем необходимо теперь же пересмотреть орудийную программу под углом зрения обеспечения высокосортными сталями те системы, к которым предъявляются как более повышенные тактические требования, оставляя производство других систем на малохромистой стали.</w:t>
      </w:r>
    </w:p>
    <w:p w14:paraId="722BC28D" w14:textId="77777777" w:rsidR="00065987" w:rsidRPr="00507A31" w:rsidRDefault="00065987" w:rsidP="00507A31">
      <w:pPr>
        <w:pStyle w:val="ae"/>
        <w:spacing w:before="0" w:after="0"/>
        <w:jc w:val="both"/>
        <w:rPr>
          <w:color w:val="000000" w:themeColor="text1"/>
          <w:sz w:val="16"/>
          <w:szCs w:val="16"/>
        </w:rPr>
      </w:pPr>
      <w:r w:rsidRPr="00507A31">
        <w:rPr>
          <w:rStyle w:val="af0"/>
          <w:i w:val="0"/>
          <w:color w:val="000000" w:themeColor="text1"/>
          <w:sz w:val="16"/>
          <w:szCs w:val="16"/>
        </w:rPr>
        <w:t>Член Президиума ВСНХ СССР, член РВС СССР и начальник МПУ Постников</w:t>
      </w:r>
    </w:p>
    <w:p w14:paraId="13D382B4" w14:textId="77777777" w:rsidR="00065987" w:rsidRPr="00507A31" w:rsidRDefault="00065987"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3449E106"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Подготовлен  к заседанию РВС СССР.</w:t>
      </w:r>
    </w:p>
    <w:p w14:paraId="114A6E69"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w:t>
      </w:r>
      <w:r w:rsidRPr="00507A31">
        <w:rPr>
          <w:rStyle w:val="af0"/>
          <w:i w:val="0"/>
          <w:color w:val="000000" w:themeColor="text1"/>
          <w:sz w:val="16"/>
          <w:szCs w:val="16"/>
        </w:rPr>
        <w:t>Мобилизационный план С</w:t>
      </w:r>
      <w:r w:rsidRPr="00507A31">
        <w:rPr>
          <w:rStyle w:val="af0"/>
          <w:i w:val="0"/>
          <w:color w:val="000000" w:themeColor="text1"/>
          <w:sz w:val="16"/>
          <w:szCs w:val="16"/>
        </w:rPr>
        <w:noBreakHyphen/>
        <w:t>30</w:t>
      </w:r>
      <w:r w:rsidRPr="00507A31">
        <w:rPr>
          <w:color w:val="000000" w:themeColor="text1"/>
          <w:sz w:val="16"/>
          <w:szCs w:val="16"/>
        </w:rPr>
        <w:t xml:space="preserve"> был разработан как план обеспечения промышленностью потребностей фронта в первый год войны. В основу мобилизационного задания для данного плана были положены указанные правительством в постановлении от 21 января 1930 г. цифры по основным предметам вооружения, а по номенклатурам военного снабжения, не указанным в постановлении, ВСНХ руководствовался заявкой 1928 г. и последующими дополнениями. План охватывал 572 предприятия, в число которых были включены заводы и фабрики, изготовляющие предметы военного снабжения, а также их поставщики по основным материалам и полуфабрикатам. План С</w:t>
      </w:r>
      <w:r w:rsidRPr="00507A31">
        <w:rPr>
          <w:color w:val="000000" w:themeColor="text1"/>
          <w:sz w:val="16"/>
          <w:szCs w:val="16"/>
        </w:rPr>
        <w:noBreakHyphen/>
        <w:t>30 содержал расчеты помесячного производства предметов военного снабжения и готового выстрела по полугодиям, расчеты материального снабжения военных производств, организацию связей между заводами, потребителями и поставщиками, планы обеспечения производства рабочей и технической силой и перевозки грузов. В докладе начальника Мобилизационно-планового управления ВСНХ И. Т. Смилги в РЗ СТО подчеркивалось, что «мобплан С</w:t>
      </w:r>
      <w:r w:rsidRPr="00507A31">
        <w:rPr>
          <w:color w:val="000000" w:themeColor="text1"/>
          <w:sz w:val="16"/>
          <w:szCs w:val="16"/>
        </w:rPr>
        <w:noBreakHyphen/>
        <w:t>30 есть определенный этап в оборонной подготовке промышленности: основное в том, что промышленность, наконец, располагает мобилизационным планом, хотя и недостаточно обеспеченным и весьма несовершенным. В случае мобилизации промышленность уже не будет вынуждена, как это констатировалось в январе, мобилизоваться без плана. Дальнейшая работа — не составление нового плана, а обеспечение и совершенствование имеющегося и перевод его в высшую ступень». (ГА РФ. Ф. 8418. Оп. 16. Д. 5. Л. 1</w:t>
      </w:r>
      <w:r w:rsidRPr="00507A31">
        <w:rPr>
          <w:color w:val="000000" w:themeColor="text1"/>
          <w:sz w:val="16"/>
          <w:szCs w:val="16"/>
        </w:rPr>
        <w:noBreakHyphen/>
        <w:t>13).</w:t>
      </w:r>
    </w:p>
    <w:p w14:paraId="6F7A73B4"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Приложение в деле не обнаружено.</w:t>
      </w:r>
    </w:p>
    <w:p w14:paraId="47B5BE1F" w14:textId="77777777" w:rsidR="00065987" w:rsidRPr="00507A31" w:rsidRDefault="00065987" w:rsidP="00507A31">
      <w:pPr>
        <w:pStyle w:val="ae"/>
        <w:spacing w:before="0" w:after="0"/>
        <w:jc w:val="both"/>
        <w:rPr>
          <w:color w:val="000000" w:themeColor="text1"/>
          <w:sz w:val="16"/>
          <w:szCs w:val="16"/>
        </w:rPr>
      </w:pPr>
      <w:r w:rsidRPr="00507A31">
        <w:rPr>
          <w:color w:val="000000" w:themeColor="text1"/>
          <w:sz w:val="16"/>
          <w:szCs w:val="16"/>
        </w:rPr>
        <w:t>РГАЭ. Ф. 2097. Оп. 1. Д. 993. Л. 235—231. Заверенная копия.</w:t>
      </w:r>
    </w:p>
    <w:p w14:paraId="224B7D4F" w14:textId="77777777" w:rsidR="00065987" w:rsidRPr="00507A31" w:rsidRDefault="00065987" w:rsidP="00507A31">
      <w:pPr>
        <w:jc w:val="both"/>
        <w:rPr>
          <w:color w:val="000000" w:themeColor="text1"/>
          <w:sz w:val="16"/>
          <w:szCs w:val="16"/>
        </w:rPr>
      </w:pPr>
      <w:r w:rsidRPr="00507A31">
        <w:rPr>
          <w:color w:val="000000" w:themeColor="text1"/>
          <w:sz w:val="16"/>
          <w:szCs w:val="16"/>
        </w:rPr>
        <w:t xml:space="preserve">Архив: РГАЭ. Ф. 2097. Оп. 1. Д. 993. Л. 235—231. Заверенная копия. </w:t>
      </w:r>
    </w:p>
    <w:p w14:paraId="45131591" w14:textId="77777777" w:rsidR="00065987" w:rsidRPr="00507A31" w:rsidRDefault="00065987"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442-446 (12498).</w:t>
      </w:r>
    </w:p>
    <w:p w14:paraId="082F3BAA" w14:textId="77777777" w:rsidR="00065987" w:rsidRPr="00507A31" w:rsidRDefault="00065987" w:rsidP="00507A31">
      <w:pPr>
        <w:jc w:val="both"/>
        <w:rPr>
          <w:color w:val="000000" w:themeColor="text1"/>
          <w:sz w:val="16"/>
          <w:szCs w:val="16"/>
        </w:rPr>
      </w:pPr>
    </w:p>
    <w:p w14:paraId="171090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марта 1930 состоялось постановление РВК об испытаниях тракторов “Коммунар:</w:t>
      </w:r>
    </w:p>
    <w:p w14:paraId="7171F0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Основные характеристики тракторов "Коммунаров" по данным испытаний, проведенных согласно постановлению РВС от 13 марта 1930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E371BA" w:rsidRPr="00507A31" w14:paraId="0EF15156" w14:textId="77777777">
        <w:tc>
          <w:tcPr>
            <w:tcW w:w="2802" w:type="dxa"/>
            <w:tcBorders>
              <w:top w:val="single" w:sz="12" w:space="0" w:color="auto"/>
            </w:tcBorders>
          </w:tcPr>
          <w:p w14:paraId="3B2617CE" w14:textId="77777777" w:rsidR="00537E5F" w:rsidRPr="00507A31" w:rsidRDefault="00537E5F" w:rsidP="00507A31">
            <w:pPr>
              <w:autoSpaceDE w:val="0"/>
              <w:autoSpaceDN w:val="0"/>
              <w:adjustRightInd w:val="0"/>
              <w:jc w:val="both"/>
              <w:rPr>
                <w:color w:val="000000" w:themeColor="text1"/>
                <w:sz w:val="16"/>
                <w:szCs w:val="16"/>
              </w:rPr>
            </w:pPr>
          </w:p>
        </w:tc>
        <w:tc>
          <w:tcPr>
            <w:tcW w:w="2802" w:type="dxa"/>
            <w:tcBorders>
              <w:top w:val="single" w:sz="12" w:space="0" w:color="auto"/>
            </w:tcBorders>
          </w:tcPr>
          <w:p w14:paraId="3F6C17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9ГУ</w:t>
            </w:r>
          </w:p>
        </w:tc>
        <w:tc>
          <w:tcPr>
            <w:tcW w:w="2802" w:type="dxa"/>
            <w:tcBorders>
              <w:top w:val="single" w:sz="12" w:space="0" w:color="auto"/>
            </w:tcBorders>
          </w:tcPr>
          <w:p w14:paraId="30DC9E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9ЕУ</w:t>
            </w:r>
          </w:p>
        </w:tc>
        <w:tc>
          <w:tcPr>
            <w:tcW w:w="2802" w:type="dxa"/>
            <w:tcBorders>
              <w:top w:val="single" w:sz="12" w:space="0" w:color="auto"/>
            </w:tcBorders>
          </w:tcPr>
          <w:p w14:paraId="1AB0E2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3-90</w:t>
            </w:r>
          </w:p>
        </w:tc>
      </w:tr>
      <w:tr w:rsidR="00E371BA" w:rsidRPr="00507A31" w14:paraId="201460E8" w14:textId="77777777">
        <w:tc>
          <w:tcPr>
            <w:tcW w:w="2802" w:type="dxa"/>
          </w:tcPr>
          <w:p w14:paraId="5ACA16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 трактора в походном положении, т</w:t>
            </w:r>
          </w:p>
        </w:tc>
        <w:tc>
          <w:tcPr>
            <w:tcW w:w="2802" w:type="dxa"/>
          </w:tcPr>
          <w:p w14:paraId="15D1DA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Около 9</w:t>
            </w:r>
          </w:p>
        </w:tc>
        <w:tc>
          <w:tcPr>
            <w:tcW w:w="2802" w:type="dxa"/>
          </w:tcPr>
          <w:p w14:paraId="2EC88C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Около 9</w:t>
            </w:r>
          </w:p>
        </w:tc>
        <w:tc>
          <w:tcPr>
            <w:tcW w:w="2802" w:type="dxa"/>
          </w:tcPr>
          <w:p w14:paraId="5ECE01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Около 8,7</w:t>
            </w:r>
          </w:p>
        </w:tc>
      </w:tr>
      <w:tr w:rsidR="00E371BA" w:rsidRPr="00507A31" w14:paraId="2C3CAD53" w14:textId="77777777">
        <w:tc>
          <w:tcPr>
            <w:tcW w:w="2802" w:type="dxa"/>
          </w:tcPr>
          <w:p w14:paraId="48D662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Мощность мотора нормальная при работе на бензине, л.с.</w:t>
            </w:r>
          </w:p>
        </w:tc>
        <w:tc>
          <w:tcPr>
            <w:tcW w:w="2802" w:type="dxa"/>
          </w:tcPr>
          <w:p w14:paraId="63980C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w:t>
            </w:r>
          </w:p>
        </w:tc>
        <w:tc>
          <w:tcPr>
            <w:tcW w:w="2802" w:type="dxa"/>
          </w:tcPr>
          <w:p w14:paraId="5B167C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w:t>
            </w:r>
          </w:p>
        </w:tc>
        <w:tc>
          <w:tcPr>
            <w:tcW w:w="2802" w:type="dxa"/>
          </w:tcPr>
          <w:p w14:paraId="08A490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w:t>
            </w:r>
          </w:p>
        </w:tc>
      </w:tr>
      <w:tr w:rsidR="00E371BA" w:rsidRPr="00507A31" w14:paraId="62EEC849" w14:textId="77777777">
        <w:tc>
          <w:tcPr>
            <w:tcW w:w="2802" w:type="dxa"/>
          </w:tcPr>
          <w:p w14:paraId="2ED216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Скорости, км/ч</w:t>
            </w:r>
          </w:p>
        </w:tc>
        <w:tc>
          <w:tcPr>
            <w:tcW w:w="2802" w:type="dxa"/>
          </w:tcPr>
          <w:p w14:paraId="4CC390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2,3 - 6,1-9,2</w:t>
            </w:r>
          </w:p>
        </w:tc>
        <w:tc>
          <w:tcPr>
            <w:tcW w:w="2802" w:type="dxa"/>
          </w:tcPr>
          <w:p w14:paraId="059A8A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2,9-7,5 - 11,3</w:t>
            </w:r>
          </w:p>
        </w:tc>
        <w:tc>
          <w:tcPr>
            <w:tcW w:w="2802" w:type="dxa"/>
          </w:tcPr>
          <w:p w14:paraId="14AD99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4.1 - 10,7 - 15,0</w:t>
            </w:r>
          </w:p>
        </w:tc>
      </w:tr>
      <w:tr w:rsidR="00E371BA" w:rsidRPr="00507A31" w14:paraId="5A193F92" w14:textId="77777777">
        <w:tc>
          <w:tcPr>
            <w:tcW w:w="2802" w:type="dxa"/>
          </w:tcPr>
          <w:p w14:paraId="7D868B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 прицепного груза, т</w:t>
            </w:r>
          </w:p>
        </w:tc>
        <w:tc>
          <w:tcPr>
            <w:tcW w:w="2802" w:type="dxa"/>
          </w:tcPr>
          <w:p w14:paraId="2D9B3A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10-12</w:t>
            </w:r>
          </w:p>
        </w:tc>
        <w:tc>
          <w:tcPr>
            <w:tcW w:w="2802" w:type="dxa"/>
          </w:tcPr>
          <w:p w14:paraId="370E00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9</w:t>
            </w:r>
          </w:p>
        </w:tc>
        <w:tc>
          <w:tcPr>
            <w:tcW w:w="2802" w:type="dxa"/>
          </w:tcPr>
          <w:p w14:paraId="2F408A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8,5-9</w:t>
            </w:r>
          </w:p>
        </w:tc>
      </w:tr>
      <w:tr w:rsidR="00E371BA" w:rsidRPr="00507A31" w14:paraId="679772E8" w14:textId="77777777">
        <w:tc>
          <w:tcPr>
            <w:tcW w:w="2802" w:type="dxa"/>
          </w:tcPr>
          <w:p w14:paraId="15A8BC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Средние скорости движения по дорогам с твердым покрытием, км/ч</w:t>
            </w:r>
          </w:p>
        </w:tc>
        <w:tc>
          <w:tcPr>
            <w:tcW w:w="2802" w:type="dxa"/>
          </w:tcPr>
          <w:p w14:paraId="0549BE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8-9</w:t>
            </w:r>
          </w:p>
        </w:tc>
        <w:tc>
          <w:tcPr>
            <w:tcW w:w="2802" w:type="dxa"/>
          </w:tcPr>
          <w:p w14:paraId="790C25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10-11</w:t>
            </w:r>
          </w:p>
        </w:tc>
        <w:tc>
          <w:tcPr>
            <w:tcW w:w="2802" w:type="dxa"/>
          </w:tcPr>
          <w:p w14:paraId="61FDFB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13-14</w:t>
            </w:r>
          </w:p>
        </w:tc>
      </w:tr>
      <w:tr w:rsidR="00E371BA" w:rsidRPr="00507A31" w14:paraId="2CBCC2FD" w14:textId="77777777">
        <w:tc>
          <w:tcPr>
            <w:tcW w:w="2802" w:type="dxa"/>
          </w:tcPr>
          <w:p w14:paraId="382013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Средние скорости по фунтовым дорогам, км/ч</w:t>
            </w:r>
          </w:p>
        </w:tc>
        <w:tc>
          <w:tcPr>
            <w:tcW w:w="2802" w:type="dxa"/>
          </w:tcPr>
          <w:p w14:paraId="4190AB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5-6</w:t>
            </w:r>
          </w:p>
        </w:tc>
        <w:tc>
          <w:tcPr>
            <w:tcW w:w="2802" w:type="dxa"/>
          </w:tcPr>
          <w:p w14:paraId="661671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6,5-7,5</w:t>
            </w:r>
          </w:p>
        </w:tc>
        <w:tc>
          <w:tcPr>
            <w:tcW w:w="2802" w:type="dxa"/>
          </w:tcPr>
          <w:p w14:paraId="061D4A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7-8</w:t>
            </w:r>
          </w:p>
        </w:tc>
      </w:tr>
      <w:tr w:rsidR="00E371BA" w:rsidRPr="00507A31" w14:paraId="5117B6A6" w14:textId="77777777">
        <w:tc>
          <w:tcPr>
            <w:tcW w:w="2802" w:type="dxa"/>
            <w:tcBorders>
              <w:bottom w:val="single" w:sz="12" w:space="0" w:color="auto"/>
            </w:tcBorders>
          </w:tcPr>
          <w:p w14:paraId="60912E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Средние скорости по плохим дорогам и бездорожью, км/ч</w:t>
            </w:r>
          </w:p>
        </w:tc>
        <w:tc>
          <w:tcPr>
            <w:tcW w:w="2802" w:type="dxa"/>
            <w:tcBorders>
              <w:bottom w:val="single" w:sz="12" w:space="0" w:color="auto"/>
            </w:tcBorders>
          </w:tcPr>
          <w:p w14:paraId="3CBBDA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3-4</w:t>
            </w:r>
          </w:p>
        </w:tc>
        <w:tc>
          <w:tcPr>
            <w:tcW w:w="2802" w:type="dxa"/>
            <w:tcBorders>
              <w:bottom w:val="single" w:sz="12" w:space="0" w:color="auto"/>
            </w:tcBorders>
          </w:tcPr>
          <w:p w14:paraId="0DB20E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4-4,5</w:t>
            </w:r>
          </w:p>
        </w:tc>
        <w:tc>
          <w:tcPr>
            <w:tcW w:w="2802" w:type="dxa"/>
            <w:tcBorders>
              <w:bottom w:val="single" w:sz="12" w:space="0" w:color="auto"/>
            </w:tcBorders>
          </w:tcPr>
          <w:p w14:paraId="02E2C7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w:t>
            </w:r>
          </w:p>
        </w:tc>
      </w:tr>
    </w:tbl>
    <w:p w14:paraId="15C6DA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(12009).</w:t>
      </w:r>
    </w:p>
    <w:p w14:paraId="08B8081C" w14:textId="77777777" w:rsidR="00537E5F" w:rsidRPr="00507A31" w:rsidRDefault="00537E5F" w:rsidP="00507A31">
      <w:pPr>
        <w:autoSpaceDE w:val="0"/>
        <w:autoSpaceDN w:val="0"/>
        <w:adjustRightInd w:val="0"/>
        <w:jc w:val="both"/>
        <w:rPr>
          <w:color w:val="000000" w:themeColor="text1"/>
          <w:sz w:val="16"/>
          <w:szCs w:val="16"/>
        </w:rPr>
      </w:pPr>
    </w:p>
    <w:p w14:paraId="171BDDD6" w14:textId="77777777" w:rsidR="00065987" w:rsidRPr="00507A31" w:rsidRDefault="00065987" w:rsidP="00507A31">
      <w:pPr>
        <w:jc w:val="both"/>
        <w:rPr>
          <w:color w:val="000000" w:themeColor="text1"/>
          <w:sz w:val="16"/>
          <w:szCs w:val="16"/>
        </w:rPr>
      </w:pPr>
      <w:r w:rsidRPr="00507A31">
        <w:rPr>
          <w:color w:val="000000" w:themeColor="text1"/>
          <w:sz w:val="16"/>
          <w:szCs w:val="16"/>
        </w:rPr>
        <w:t>13 марта 1930 г. — Служебная записка наркома по военным и морским делам СССР и председателя Реввоенсовета СССР К. Е. Ворошилова заместителю председателя ВСНХ СССР М. Л. Рухимовичу о необходимости форсирования работ по автостроению</w:t>
      </w:r>
    </w:p>
    <w:p w14:paraId="231A0F0B" w14:textId="77777777" w:rsidR="00065987" w:rsidRPr="00507A31" w:rsidRDefault="00065987"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39BFEA98"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Автотранспорт приобретает в настоящее время настолько важное значение для обороны страны, что форсирование автостроения является совершенно необходимым. Уже в постановлении «О заданиях промышленности по автомобилестроению» 13 декабря 1930 г.¹* РВСС доводил до сведения ВСНХ, что «выполнение пятилетнего плана по моторизации РККА может быть обеспечено только в том случае, если при развертывании автостроения будут учтены все требования, предъявляемые к автомашинам условиями их эксплуатации на наших вероятных театрах войны».</w:t>
      </w:r>
    </w:p>
    <w:p w14:paraId="12979BA5"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Между тем через три месяца после указанного постановления РВСС приходится констатировать, что ход работ по автостроению не может считаться удовлетворительным и вызывает опасения не только за количество, но и за качество, в особенности, в части соответствия автомашин тем требованиям, которые к ним предъявляет НКВМ. Основанием к таким опасениям являются следующие факты: а) </w:t>
      </w:r>
      <w:r w:rsidRPr="00507A31">
        <w:rPr>
          <w:rStyle w:val="af0"/>
          <w:i w:val="0"/>
          <w:color w:val="000000" w:themeColor="text1"/>
          <w:sz w:val="16"/>
          <w:szCs w:val="16"/>
        </w:rPr>
        <w:t>по заводам АМО и Ярославскому</w:t>
      </w:r>
      <w:r w:rsidRPr="00507A31">
        <w:rPr>
          <w:color w:val="000000" w:themeColor="text1"/>
          <w:sz w:val="16"/>
          <w:szCs w:val="16"/>
        </w:rPr>
        <w:t>. В основной тип автомобиля вносятся без согласования с НКВМ и НКПС изменения, ухудшающие его проходимость по грунтовым дорогам; нет чертежей машины, что срывает работы по проектированию на шасси специальных установок; ни одного экземпляра машины на испытание НКВМ до сих пор не поступало; б) </w:t>
      </w:r>
      <w:r w:rsidRPr="00507A31">
        <w:rPr>
          <w:rStyle w:val="af0"/>
          <w:i w:val="0"/>
          <w:color w:val="000000" w:themeColor="text1"/>
          <w:sz w:val="16"/>
          <w:szCs w:val="16"/>
        </w:rPr>
        <w:t>по Автострою.</w:t>
      </w:r>
      <w:r w:rsidRPr="00507A31">
        <w:rPr>
          <w:color w:val="000000" w:themeColor="text1"/>
          <w:sz w:val="16"/>
          <w:szCs w:val="16"/>
        </w:rPr>
        <w:t xml:space="preserve"> Программа завода даже на ближайшие месяцы не обеспечена полученными из Америки частями; тип машины окончательно не установлен, и чертежи машины до сего времени не даны; нет ясности в вопросе о производстве 3</w:t>
      </w:r>
      <w:r w:rsidRPr="00507A31">
        <w:rPr>
          <w:color w:val="000000" w:themeColor="text1"/>
          <w:sz w:val="16"/>
          <w:szCs w:val="16"/>
        </w:rPr>
        <w:noBreakHyphen/>
        <w:t>осных машин.</w:t>
      </w:r>
    </w:p>
    <w:p w14:paraId="5D3AB4EC"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Кроме того, необходимо отметить, что производственная программа и план строительства завода АМО до сих пор не уточнены и даже возбуждают сомнение в своевременном выполнении (обнаружена, например, потребность в дополнительных средствах). Что же касается Ярославского завода, то план реконструкции и развертывания завода не разработан. Совершенно особо следует отметить, что по заводу АМО не ведется никаких работ в отношении необходимых для РККА 3</w:t>
      </w:r>
      <w:r w:rsidRPr="00507A31">
        <w:rPr>
          <w:color w:val="000000" w:themeColor="text1"/>
          <w:sz w:val="16"/>
          <w:szCs w:val="16"/>
        </w:rPr>
        <w:noBreakHyphen/>
        <w:t>осных машин. Опытный экземпляр, заказанный в Америке, заказан без учета тех требований, которые должны к этим машинам предъявляться в условиях СССР. В соответствии с этим считаю совершенно необходимым обязать ВАТО немедленно передать НКВМ чертежи и опытный экземпляр типового автомобиля (2</w:t>
      </w:r>
      <w:r w:rsidRPr="00507A31">
        <w:rPr>
          <w:color w:val="000000" w:themeColor="text1"/>
          <w:sz w:val="16"/>
          <w:szCs w:val="16"/>
        </w:rPr>
        <w:noBreakHyphen/>
        <w:t>2,5 т), безотлагательно разработать план развертывания производства на Ярославском заводе и форсировать разрешение вопроса о производстве 3</w:t>
      </w:r>
      <w:r w:rsidRPr="00507A31">
        <w:rPr>
          <w:color w:val="000000" w:themeColor="text1"/>
          <w:sz w:val="16"/>
          <w:szCs w:val="16"/>
        </w:rPr>
        <w:noBreakHyphen/>
        <w:t>осных автомобилей.</w:t>
      </w:r>
    </w:p>
    <w:p w14:paraId="303BB37A"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Следует обратить также самое серьезное внимание на упорядочение взаимоотношений между ВАТО и Металлостроем, ведущих работу по Автострою, в целях обеспечения последнего строительными материалами, во избежание срыва производственного плана.</w:t>
      </w:r>
    </w:p>
    <w:p w14:paraId="7D611ED1"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Устранением указанных недочетов в работе в значительной мере подвинется вперед дело развертывания автостроения и, следовательно, дело реального обеспечении моторизации РККА.</w:t>
      </w:r>
    </w:p>
    <w:p w14:paraId="11E82D6B" w14:textId="77777777" w:rsidR="00065987" w:rsidRPr="00507A31" w:rsidRDefault="00065987"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С товарищеским приветом, </w:t>
      </w:r>
      <w:hyperlink r:id="rId44" w:history="1">
        <w:r w:rsidRPr="00507A31">
          <w:rPr>
            <w:rStyle w:val="af0"/>
            <w:i w:val="0"/>
            <w:color w:val="000000" w:themeColor="text1"/>
            <w:sz w:val="16"/>
            <w:szCs w:val="16"/>
          </w:rPr>
          <w:t>Ворошилов</w:t>
        </w:r>
      </w:hyperlink>
    </w:p>
    <w:p w14:paraId="13230E28" w14:textId="77777777" w:rsidR="00065987" w:rsidRPr="00507A31" w:rsidRDefault="00065987"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Примечание</w:t>
      </w:r>
      <w:r w:rsidRPr="00507A31">
        <w:rPr>
          <w:color w:val="000000" w:themeColor="text1"/>
          <w:sz w:val="16"/>
          <w:szCs w:val="16"/>
        </w:rPr>
        <w:t>:</w:t>
      </w:r>
    </w:p>
    <w:p w14:paraId="42E2D56B" w14:textId="77777777" w:rsidR="00065987" w:rsidRPr="00507A31" w:rsidRDefault="00065987" w:rsidP="00507A31">
      <w:pPr>
        <w:pStyle w:val="ae"/>
        <w:spacing w:before="0" w:after="0"/>
        <w:jc w:val="both"/>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Так в тексте, речь идет о 1929 г.</w:t>
      </w:r>
    </w:p>
    <w:p w14:paraId="13224F41" w14:textId="77777777" w:rsidR="00065987" w:rsidRPr="00507A31" w:rsidRDefault="00065987" w:rsidP="00507A31">
      <w:pPr>
        <w:pStyle w:val="ae"/>
        <w:spacing w:before="0" w:after="0"/>
        <w:jc w:val="both"/>
        <w:rPr>
          <w:color w:val="000000" w:themeColor="text1"/>
          <w:sz w:val="16"/>
          <w:szCs w:val="16"/>
        </w:rPr>
      </w:pPr>
      <w:r w:rsidRPr="00507A31">
        <w:rPr>
          <w:color w:val="000000" w:themeColor="text1"/>
          <w:sz w:val="16"/>
          <w:szCs w:val="16"/>
        </w:rPr>
        <w:t>РГВА. Ф. 4. Оп. 1. Д. 1016. Л. 37—37 об. Заверенная копия.</w:t>
      </w:r>
    </w:p>
    <w:p w14:paraId="26471AE0" w14:textId="77777777" w:rsidR="00065987" w:rsidRPr="00507A31" w:rsidRDefault="00065987" w:rsidP="00507A31">
      <w:pPr>
        <w:jc w:val="both"/>
        <w:rPr>
          <w:color w:val="000000" w:themeColor="text1"/>
          <w:sz w:val="16"/>
          <w:szCs w:val="16"/>
        </w:rPr>
      </w:pPr>
      <w:r w:rsidRPr="00507A31">
        <w:rPr>
          <w:color w:val="000000" w:themeColor="text1"/>
          <w:sz w:val="16"/>
          <w:szCs w:val="16"/>
        </w:rPr>
        <w:t xml:space="preserve">Архив: РГВА. Ф. 4. Оп. 1. Д. 1016. Л. 37—37 об. Заверенная копия. </w:t>
      </w:r>
    </w:p>
    <w:p w14:paraId="10DEC7F0" w14:textId="77777777" w:rsidR="00065987" w:rsidRPr="00507A31" w:rsidRDefault="00065987"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447-448 (12499).</w:t>
      </w:r>
    </w:p>
    <w:p w14:paraId="4DA8FD61" w14:textId="77777777" w:rsidR="00065987" w:rsidRPr="00507A31" w:rsidRDefault="00065987" w:rsidP="00507A31">
      <w:pPr>
        <w:jc w:val="both"/>
        <w:rPr>
          <w:color w:val="000000" w:themeColor="text1"/>
          <w:sz w:val="16"/>
          <w:szCs w:val="16"/>
        </w:rPr>
      </w:pPr>
    </w:p>
    <w:p w14:paraId="670D5F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13 марта 1930 г. для выяснения причин явления, проявившегося на п/л Декабрист - при первых заводских испытаниях подводных лодок типа &lt;Декабрист&gt; на Балтийском и Черном морях во время пробных погружений возникал большой крен, доходивший до 21°, ликвидировать который даже принятием аварийных мер, откачкой воды из различных емкостей, включая цистерну пресной воды и торпедные аппараты, не удавалось,  в НТКМ было созвано совещание, в работе которого принимали участие А. Н. Крылов, П. Ф. Папкович, Ю. А. Шиманский, А. Н. Щеглов, П. И. Сердюк (член Комиссии наблюдения при Балтийском заводе) и Б. М. Малинин. На совещании было высказано предположение, что причина крена подводных лодок кроется в системах вентиляции и продувания, которые допускали свободное переливание воды из цистерны одного борта в цистерны противоположного борта, снижая поперечную остойчивость лодки. В дальнейшем на основании расчетов и модельных испытаний было признано целесообразным и необходимым применить разобщенную систему вентиляции для такого количества бортовых цистерн, которое гарантировало бы положительную остойчивость подводной лодки. Аналогичной должна быть выполнена и система разобщенного продувания. Таким образом, впервые была высказана и реализована идея раздельной вентиляции и продувания цистерн главного балласта, правильность которой полностью подтвердилась в ходе дальнейших испытаний подводных лодок. Раздельная вентиляция обеспечивала не только заполнение и осушение цистерн без крена, но и плавание в море с открытыми кингстонами. Теоретическая разработка вопросов остойчивости подводных лодок при погружении и всплытии принадлежит С. А. Базилевскому. В 1930-1938 гг. он разработал теорию погружения и всплытия подводных лодок, проанализировав влияние на остойчивость подводной лодки процессов </w:t>
      </w:r>
      <w:r w:rsidRPr="00507A31">
        <w:rPr>
          <w:color w:val="000000" w:themeColor="text1"/>
          <w:sz w:val="16"/>
          <w:szCs w:val="16"/>
        </w:rPr>
        <w:lastRenderedPageBreak/>
        <w:t>погружения и всплытия при различных архитектурных формах корпуса и характеристиках заполнения цистерн. С. А. Базилевский вывел основные уравнения для определения возможных кренов при погружении и всплытии подводной лодки. Уместно сказать, что в ходе испытаний первых советских подводных лодок возникали и другие новые технические решения; испытания вскрывали отдельные конструктивные просчеты и недостатки строительства. Так, на испытаниях произошло самопроизвольное заполнение цистерны &lt;быстрого погружения&gt;, а также обнаружилось превышение фактической нагрузки над расчетной на 11,36 т. Причиной самопроизвольного заполнения цистерны &lt;быстрого погружения&gt; являлось то, что ее кингстон открывался внутрь цистерны. При первом же глубоководном погружении подводной лодки (состоялось 5 ноября 1930 г.) на глубине 80 м кингстон был отжат забортным давлением, лодка провалилась и коснулась грунта на глубине 96 м (по килю). Были созданы новые кингстоны, которые открывались наружу и в закрытом положении прижимались к седлам забортным давлением воды. Тарелки новых кингстонов имели резиновые уплотнения для лучшего обеспечения герметичности в закрытом положении. Причиной ошибки в весовой нагрузке подводной лодки послужили неточности в спецификациях на комплектующее оборудование. Для ликвидации перегрузки на подводных лодках ленинградской постройки пришлось установить в надстройке семь цилиндров плавучести, снять некоторое оборудование (подводный якорь, кормовой шпиль и др.), уменьшить запас топлива внутри прочного корпуса. На подводных лодках постройки Николаевского завода мероприятия по компенсации перегрузки проводились частично: установка цилиндров плавучести не потребовалась, поскольку плотность воды в Черном море больше, чем в Балтийском (11865).</w:t>
      </w:r>
    </w:p>
    <w:p w14:paraId="07068C18" w14:textId="5979D1EC" w:rsidR="00537E5F" w:rsidRPr="00507A31" w:rsidRDefault="00537E5F" w:rsidP="00507A31">
      <w:pPr>
        <w:autoSpaceDE w:val="0"/>
        <w:autoSpaceDN w:val="0"/>
        <w:adjustRightInd w:val="0"/>
        <w:jc w:val="both"/>
        <w:rPr>
          <w:color w:val="000000" w:themeColor="text1"/>
          <w:sz w:val="16"/>
          <w:szCs w:val="16"/>
        </w:rPr>
      </w:pPr>
    </w:p>
    <w:p w14:paraId="31771ECE" w14:textId="47974EEC" w:rsidR="007B4F60" w:rsidRPr="00507A31" w:rsidRDefault="007B4F60" w:rsidP="00507A31">
      <w:pPr>
        <w:autoSpaceDE w:val="0"/>
        <w:autoSpaceDN w:val="0"/>
        <w:adjustRightInd w:val="0"/>
        <w:jc w:val="both"/>
        <w:rPr>
          <w:i/>
          <w:iCs/>
          <w:color w:val="000000" w:themeColor="text1"/>
          <w:sz w:val="16"/>
          <w:szCs w:val="16"/>
        </w:rPr>
      </w:pPr>
      <w:r w:rsidRPr="00507A31">
        <w:rPr>
          <w:i/>
          <w:iCs/>
          <w:color w:val="000000" w:themeColor="text1"/>
          <w:sz w:val="16"/>
          <w:szCs w:val="16"/>
        </w:rPr>
        <w:t>Армия:</w:t>
      </w:r>
    </w:p>
    <w:p w14:paraId="1FDFF1B7" w14:textId="77777777" w:rsidR="007B4F60" w:rsidRPr="00507A31" w:rsidRDefault="007B4F60" w:rsidP="00507A31">
      <w:pPr>
        <w:autoSpaceDE w:val="0"/>
        <w:autoSpaceDN w:val="0"/>
        <w:adjustRightInd w:val="0"/>
        <w:jc w:val="both"/>
        <w:rPr>
          <w:i/>
          <w:iCs/>
          <w:color w:val="000000" w:themeColor="text1"/>
          <w:sz w:val="16"/>
          <w:szCs w:val="16"/>
        </w:rPr>
      </w:pPr>
    </w:p>
    <w:p w14:paraId="54623B96" w14:textId="77777777" w:rsidR="007B4F60" w:rsidRPr="00507A31" w:rsidRDefault="007B4F60" w:rsidP="00507A31">
      <w:pPr>
        <w:shd w:val="clear" w:color="auto" w:fill="FFFFFF"/>
        <w:jc w:val="both"/>
        <w:rPr>
          <w:color w:val="0070C0"/>
          <w:sz w:val="16"/>
          <w:szCs w:val="16"/>
        </w:rPr>
      </w:pPr>
      <w:r w:rsidRPr="00507A31">
        <w:rPr>
          <w:color w:val="0070C0"/>
          <w:sz w:val="16"/>
          <w:szCs w:val="16"/>
        </w:rPr>
        <w:t>13 марта 1930 года шесть самолетов ТБ-1 поднялись в воздух, однако из-за плохой погоды посадочную площадку (в районе станции Шимск под Новгородом) смогли отыскать только четыре самолета, которые приземлились с интервалом от первого до четвертого в 58 минут. Всего было высажено 45 человек, 4 пулемета и 600 кг разных грузов. Десантный отряд условно уничтожил железнодорожный мост через реку Шелонь, после чего самолетами был возвращен обратно в Гатчину.</w:t>
      </w:r>
    </w:p>
    <w:p w14:paraId="5794DA09" w14:textId="77777777" w:rsidR="007B4F60" w:rsidRPr="00507A31" w:rsidRDefault="007B4F60" w:rsidP="00507A31">
      <w:pPr>
        <w:shd w:val="clear" w:color="auto" w:fill="FFFFFF"/>
        <w:jc w:val="both"/>
        <w:rPr>
          <w:color w:val="0070C0"/>
          <w:sz w:val="16"/>
          <w:szCs w:val="16"/>
        </w:rPr>
      </w:pPr>
      <w:r w:rsidRPr="00507A31">
        <w:rPr>
          <w:color w:val="0070C0"/>
          <w:sz w:val="16"/>
          <w:szCs w:val="16"/>
        </w:rPr>
        <w:t>Это были были проведены тактические учения с экспериментальным десантированием войск, инициированные командующим войсками Ленинградского военного округа М. Н. Тухачевским, для чего ВВС округа выделил семь самолетов ТБ-1 из состава 55-й и 57-й эскадрилий 3-й авиационной бригады. В качестве десанта привлекались около семидесяти бойцов и командиров сухопутных частей округа (21399).</w:t>
      </w:r>
    </w:p>
    <w:p w14:paraId="047D69D5" w14:textId="77777777" w:rsidR="007B4F60" w:rsidRPr="00507A31" w:rsidRDefault="007B4F60" w:rsidP="00507A31">
      <w:pPr>
        <w:jc w:val="both"/>
        <w:rPr>
          <w:color w:val="0070C0"/>
          <w:sz w:val="16"/>
          <w:szCs w:val="16"/>
        </w:rPr>
      </w:pPr>
    </w:p>
    <w:p w14:paraId="21391CC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712EB7F" w14:textId="77777777" w:rsidR="00537E5F" w:rsidRPr="00507A31" w:rsidRDefault="00537E5F" w:rsidP="00507A31">
      <w:pPr>
        <w:autoSpaceDE w:val="0"/>
        <w:autoSpaceDN w:val="0"/>
        <w:adjustRightInd w:val="0"/>
        <w:jc w:val="both"/>
        <w:rPr>
          <w:iCs/>
          <w:color w:val="000000" w:themeColor="text1"/>
          <w:sz w:val="16"/>
          <w:szCs w:val="16"/>
        </w:rPr>
      </w:pPr>
    </w:p>
    <w:p w14:paraId="1BE126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марта 1930 Московская биржа труда выдала последнее направление на работу и закрылась (3481).</w:t>
      </w:r>
    </w:p>
    <w:p w14:paraId="279875C2" w14:textId="77777777" w:rsidR="00537E5F" w:rsidRPr="00507A31" w:rsidRDefault="00537E5F" w:rsidP="00507A31">
      <w:pPr>
        <w:autoSpaceDE w:val="0"/>
        <w:autoSpaceDN w:val="0"/>
        <w:adjustRightInd w:val="0"/>
        <w:jc w:val="both"/>
        <w:rPr>
          <w:color w:val="000000" w:themeColor="text1"/>
          <w:sz w:val="16"/>
          <w:szCs w:val="16"/>
        </w:rPr>
      </w:pPr>
    </w:p>
    <w:p w14:paraId="1EEA5D6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13 марта 1930 в связи с объявленной ликвидацией безработицы в СССР закрыта Московская биржа труда (4962).</w:t>
      </w:r>
    </w:p>
    <w:p w14:paraId="200F298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0B87DA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0B93B32" w14:textId="77777777" w:rsidR="00537E5F" w:rsidRPr="00507A31" w:rsidRDefault="00537E5F" w:rsidP="00507A31">
      <w:pPr>
        <w:autoSpaceDE w:val="0"/>
        <w:autoSpaceDN w:val="0"/>
        <w:adjustRightInd w:val="0"/>
        <w:jc w:val="both"/>
        <w:rPr>
          <w:iCs/>
          <w:color w:val="000000" w:themeColor="text1"/>
          <w:sz w:val="16"/>
          <w:szCs w:val="16"/>
        </w:rPr>
      </w:pPr>
    </w:p>
    <w:p w14:paraId="1D20CA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марта 1930 была открыта планета Плутон (2100).</w:t>
      </w:r>
    </w:p>
    <w:p w14:paraId="0E09484B" w14:textId="77777777" w:rsidR="00537E5F" w:rsidRPr="00507A31" w:rsidRDefault="00537E5F" w:rsidP="00507A31">
      <w:pPr>
        <w:autoSpaceDE w:val="0"/>
        <w:autoSpaceDN w:val="0"/>
        <w:adjustRightInd w:val="0"/>
        <w:jc w:val="both"/>
        <w:rPr>
          <w:color w:val="000000" w:themeColor="text1"/>
          <w:sz w:val="16"/>
          <w:szCs w:val="16"/>
        </w:rPr>
      </w:pPr>
    </w:p>
    <w:p w14:paraId="152730A0" w14:textId="77777777" w:rsidR="00065987"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B8139A0" w14:textId="77777777" w:rsidR="00065987" w:rsidRPr="00507A31" w:rsidRDefault="00065987" w:rsidP="00507A31">
      <w:pPr>
        <w:autoSpaceDE w:val="0"/>
        <w:autoSpaceDN w:val="0"/>
        <w:adjustRightInd w:val="0"/>
        <w:jc w:val="both"/>
        <w:rPr>
          <w:iCs/>
          <w:color w:val="000000" w:themeColor="text1"/>
          <w:sz w:val="16"/>
          <w:szCs w:val="16"/>
        </w:rPr>
      </w:pPr>
    </w:p>
    <w:p w14:paraId="478C7E40" w14:textId="77777777" w:rsidR="00065987" w:rsidRPr="00507A31" w:rsidRDefault="00065987" w:rsidP="00507A31">
      <w:pPr>
        <w:jc w:val="both"/>
        <w:rPr>
          <w:color w:val="000000" w:themeColor="text1"/>
          <w:sz w:val="16"/>
          <w:szCs w:val="16"/>
        </w:rPr>
      </w:pPr>
      <w:r w:rsidRPr="00507A31">
        <w:rPr>
          <w:color w:val="000000" w:themeColor="text1"/>
          <w:sz w:val="16"/>
          <w:szCs w:val="16"/>
        </w:rPr>
        <w:t>14 и 15 марта 1930 г. состоялись очередные заводские испытания танка Т-12 и его осмотр По их результатам комиссией ГКБ ОАТ к соответствующему акту были составлены следующие замечания: «Комиссия ГКВюро ОАТ считает, что впредь до постановки в корпус следующих механизмов:</w:t>
      </w:r>
    </w:p>
    <w:p w14:paraId="73D42FE5" w14:textId="77777777" w:rsidR="00065987" w:rsidRPr="00507A31" w:rsidRDefault="00065987" w:rsidP="00507A31">
      <w:pPr>
        <w:jc w:val="both"/>
        <w:rPr>
          <w:color w:val="000000" w:themeColor="text1"/>
          <w:sz w:val="16"/>
          <w:szCs w:val="16"/>
        </w:rPr>
      </w:pPr>
      <w:r w:rsidRPr="00507A31">
        <w:rPr>
          <w:color w:val="000000" w:themeColor="text1"/>
          <w:sz w:val="16"/>
          <w:szCs w:val="16"/>
        </w:rPr>
        <w:t>1 - новой коробки передач на роликовых подшипниках;</w:t>
      </w:r>
    </w:p>
    <w:p w14:paraId="2E3E4B72" w14:textId="77777777" w:rsidR="00065987" w:rsidRPr="00507A31" w:rsidRDefault="00065987" w:rsidP="00507A31">
      <w:pPr>
        <w:jc w:val="both"/>
        <w:rPr>
          <w:color w:val="000000" w:themeColor="text1"/>
          <w:sz w:val="16"/>
          <w:szCs w:val="16"/>
        </w:rPr>
      </w:pPr>
      <w:r w:rsidRPr="00507A31">
        <w:rPr>
          <w:color w:val="000000" w:themeColor="text1"/>
          <w:sz w:val="16"/>
          <w:szCs w:val="16"/>
        </w:rPr>
        <w:t>2 - нового вентилятора с улиткой на крыше;</w:t>
      </w:r>
    </w:p>
    <w:p w14:paraId="26E11395" w14:textId="77777777" w:rsidR="00065987" w:rsidRPr="00507A31" w:rsidRDefault="00065987" w:rsidP="00507A31">
      <w:pPr>
        <w:jc w:val="both"/>
        <w:rPr>
          <w:color w:val="000000" w:themeColor="text1"/>
          <w:sz w:val="16"/>
          <w:szCs w:val="16"/>
        </w:rPr>
      </w:pPr>
      <w:r w:rsidRPr="00507A31">
        <w:rPr>
          <w:color w:val="000000" w:themeColor="text1"/>
          <w:sz w:val="16"/>
          <w:szCs w:val="16"/>
        </w:rPr>
        <w:t>3 - новых проверенных тормозов,</w:t>
      </w:r>
    </w:p>
    <w:p w14:paraId="23B8F354" w14:textId="77777777" w:rsidR="00065987" w:rsidRPr="00507A31" w:rsidRDefault="00065987" w:rsidP="00507A31">
      <w:pPr>
        <w:jc w:val="both"/>
        <w:rPr>
          <w:color w:val="000000" w:themeColor="text1"/>
          <w:sz w:val="16"/>
          <w:szCs w:val="16"/>
        </w:rPr>
      </w:pPr>
      <w:r w:rsidRPr="00507A31">
        <w:rPr>
          <w:color w:val="000000" w:themeColor="text1"/>
          <w:sz w:val="16"/>
          <w:szCs w:val="16"/>
        </w:rPr>
        <w:t>дальнейшие испытания всей машины в целом являются бесполезными...» (12303).</w:t>
      </w:r>
    </w:p>
    <w:p w14:paraId="095B99D6" w14:textId="77777777" w:rsidR="00065987" w:rsidRPr="00507A31" w:rsidRDefault="00065987" w:rsidP="00507A31">
      <w:pPr>
        <w:jc w:val="both"/>
        <w:rPr>
          <w:color w:val="000000" w:themeColor="text1"/>
          <w:sz w:val="16"/>
          <w:szCs w:val="16"/>
        </w:rPr>
      </w:pPr>
    </w:p>
    <w:p w14:paraId="1A2962B0" w14:textId="77777777" w:rsidR="00065987" w:rsidRPr="00507A31" w:rsidRDefault="00065987" w:rsidP="00507A31">
      <w:pPr>
        <w:jc w:val="both"/>
        <w:rPr>
          <w:color w:val="000000" w:themeColor="text1"/>
          <w:sz w:val="16"/>
          <w:szCs w:val="16"/>
          <w:u w:color="002060"/>
        </w:rPr>
      </w:pPr>
      <w:r w:rsidRPr="00507A31">
        <w:rPr>
          <w:color w:val="000000" w:themeColor="text1"/>
          <w:sz w:val="16"/>
          <w:szCs w:val="16"/>
          <w:u w:color="002060"/>
        </w:rPr>
        <w:t>14 марта</w:t>
      </w:r>
      <w:r w:rsidRPr="00507A31">
        <w:rPr>
          <w:color w:val="000000" w:themeColor="text1"/>
          <w:sz w:val="16"/>
          <w:szCs w:val="16"/>
        </w:rPr>
        <w:t xml:space="preserve"> 1930 г</w:t>
      </w:r>
      <w:r w:rsidRPr="00507A31">
        <w:rPr>
          <w:color w:val="000000" w:themeColor="text1"/>
          <w:sz w:val="16"/>
          <w:szCs w:val="16"/>
          <w:u w:color="002060"/>
        </w:rPr>
        <w:t>. Постановление РЗ СТО о привлечении рабочих и общественных организаций к вопросам подготовки промышленности к обороне (ГА РФ. Ф. Р?8418. Оп. 4. Д. 53. Л. 1?1 об.) (12415).</w:t>
      </w:r>
    </w:p>
    <w:p w14:paraId="40BBB967" w14:textId="77777777" w:rsidR="00065987" w:rsidRPr="00507A31" w:rsidRDefault="00065987" w:rsidP="00507A31">
      <w:pPr>
        <w:jc w:val="both"/>
        <w:rPr>
          <w:color w:val="000000" w:themeColor="text1"/>
          <w:sz w:val="16"/>
          <w:szCs w:val="16"/>
          <w:u w:color="002060"/>
        </w:rPr>
      </w:pPr>
    </w:p>
    <w:p w14:paraId="7CC4787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84F259C" w14:textId="77777777" w:rsidR="00537E5F" w:rsidRPr="00507A31" w:rsidRDefault="00537E5F" w:rsidP="00507A31">
      <w:pPr>
        <w:autoSpaceDE w:val="0"/>
        <w:autoSpaceDN w:val="0"/>
        <w:adjustRightInd w:val="0"/>
        <w:jc w:val="both"/>
        <w:rPr>
          <w:iCs/>
          <w:color w:val="000000" w:themeColor="text1"/>
          <w:sz w:val="16"/>
          <w:szCs w:val="16"/>
        </w:rPr>
      </w:pPr>
    </w:p>
    <w:p w14:paraId="2F628F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марта 1930 вышло постановление ЦК ВКП(б) "О борьбе с искривлениями партлинии в колхозном строительстве" (226,406). Доля колхозных хозяйств упала с 55% в марте до 24% в апреле, но быстро выросла вновь до 52% в 1931 (3908,333).</w:t>
      </w:r>
    </w:p>
    <w:p w14:paraId="731C0325" w14:textId="77777777" w:rsidR="00537E5F" w:rsidRPr="00507A31" w:rsidRDefault="00537E5F" w:rsidP="00507A31">
      <w:pPr>
        <w:autoSpaceDE w:val="0"/>
        <w:autoSpaceDN w:val="0"/>
        <w:adjustRightInd w:val="0"/>
        <w:jc w:val="both"/>
        <w:rPr>
          <w:color w:val="000000" w:themeColor="text1"/>
          <w:sz w:val="16"/>
          <w:szCs w:val="16"/>
        </w:rPr>
      </w:pPr>
    </w:p>
    <w:p w14:paraId="14B1931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14 марта 1930 вышло Постановление ЦК ВКП(б) "О борьбе с искривлениями партлинии в колхозном движении". Доля коллективизированных крестьянских хозяйств падает с 55 процентов в марте до 24 процента в июле, однако в дальнейшем она будет неуклонно расти: в 1931 - 52 процента, в 1934 - 71 процент (4962).</w:t>
      </w:r>
    </w:p>
    <w:p w14:paraId="7B63809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348E80A" w14:textId="77777777" w:rsidR="00FA5B89" w:rsidRPr="00507A31" w:rsidRDefault="00FA5B89" w:rsidP="00507A31">
      <w:pPr>
        <w:jc w:val="both"/>
        <w:rPr>
          <w:color w:val="000000" w:themeColor="text1"/>
          <w:sz w:val="16"/>
          <w:szCs w:val="16"/>
        </w:rPr>
      </w:pPr>
      <w:r w:rsidRPr="00507A31">
        <w:rPr>
          <w:bCs/>
          <w:color w:val="000000" w:themeColor="text1"/>
          <w:sz w:val="16"/>
          <w:szCs w:val="16"/>
        </w:rPr>
        <w:t>14 марта</w:t>
      </w:r>
      <w:r w:rsidRPr="00507A31">
        <w:rPr>
          <w:color w:val="000000" w:themeColor="text1"/>
          <w:sz w:val="16"/>
          <w:szCs w:val="16"/>
        </w:rPr>
        <w:t xml:space="preserve"> в 1930 году ЦК ВКП(б) принял постановление "О борьбе с искривлениями партийной линии в колхозном движении".Решение задачи коллективизации осуществлялось за счет раскулачивания не только кулаков, но и середняков, всех, кто не хотел идти в колхоз (в некоторых районах раскулаченные составляли 10-15% населения, а коллективизация за несколько дней "вырастала" с 10 до 90 %). Насилие было основным методом объединения в колхозы. Крестьянство ответило массовым недовольством и открытыми выступлениями. Такая ситуация заставила ЦК ВКП(б) принять постановление "О борьбе с искривлениями партийной линии в колхозном движении". В нем осуждалось принуждение к вступлению в колхозы под угрозой раскулачивания. Но словесные маневры не изменили магистральную линию партийного поведения (15068).</w:t>
      </w:r>
    </w:p>
    <w:p w14:paraId="0EFA90B1" w14:textId="77777777" w:rsidR="00FA5B89" w:rsidRPr="00507A31" w:rsidRDefault="00FA5B89" w:rsidP="00507A31">
      <w:pPr>
        <w:jc w:val="both"/>
        <w:rPr>
          <w:color w:val="000000" w:themeColor="text1"/>
          <w:sz w:val="16"/>
          <w:szCs w:val="16"/>
        </w:rPr>
      </w:pPr>
    </w:p>
    <w:p w14:paraId="3D8D8D9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A7E025E" w14:textId="77777777" w:rsidR="00537E5F" w:rsidRPr="00507A31" w:rsidRDefault="00537E5F" w:rsidP="00507A31">
      <w:pPr>
        <w:autoSpaceDE w:val="0"/>
        <w:autoSpaceDN w:val="0"/>
        <w:adjustRightInd w:val="0"/>
        <w:jc w:val="both"/>
        <w:rPr>
          <w:iCs/>
          <w:color w:val="000000" w:themeColor="text1"/>
          <w:sz w:val="16"/>
          <w:szCs w:val="16"/>
        </w:rPr>
      </w:pPr>
    </w:p>
    <w:p w14:paraId="4F2DBD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15 марта по 10 апреля 1930 проводили испытания Савойи С-62бис, закупленной Я.И.Алкснисом в декабре 1929 (1085,105).</w:t>
      </w:r>
    </w:p>
    <w:p w14:paraId="28CD5ED4" w14:textId="77777777" w:rsidR="00537E5F" w:rsidRPr="00507A31" w:rsidRDefault="00537E5F" w:rsidP="00507A31">
      <w:pPr>
        <w:autoSpaceDE w:val="0"/>
        <w:autoSpaceDN w:val="0"/>
        <w:adjustRightInd w:val="0"/>
        <w:jc w:val="both"/>
        <w:rPr>
          <w:color w:val="000000" w:themeColor="text1"/>
          <w:sz w:val="16"/>
          <w:szCs w:val="16"/>
        </w:rPr>
      </w:pPr>
    </w:p>
    <w:p w14:paraId="69BBC2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марта 1930 состоялось техническое совещание руководителей групп отдела АГОС по вопросу нового пятилетнего плана по самолетостроению (1077,170).</w:t>
      </w:r>
    </w:p>
    <w:p w14:paraId="6333FA76" w14:textId="77777777" w:rsidR="00537E5F" w:rsidRPr="00507A31" w:rsidRDefault="00537E5F" w:rsidP="00507A31">
      <w:pPr>
        <w:autoSpaceDE w:val="0"/>
        <w:autoSpaceDN w:val="0"/>
        <w:adjustRightInd w:val="0"/>
        <w:jc w:val="both"/>
        <w:rPr>
          <w:color w:val="000000" w:themeColor="text1"/>
          <w:sz w:val="16"/>
          <w:szCs w:val="16"/>
        </w:rPr>
      </w:pPr>
    </w:p>
    <w:p w14:paraId="5C1C74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марта 1930 года нарком по военным и морским делам и председатель РВС Ворошилов писал письмо № 02650сс председателю СТО Рыкову</w:t>
      </w:r>
    </w:p>
    <w:p w14:paraId="4AB056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 исполнение постановления РЗ СТО (от 14 января 1930 года раздел II п. 5 и 10 марта 1930 года п. 2) при сем представляю на утверждение пятилетний план опытного строительства воздушного флота.</w:t>
      </w:r>
    </w:p>
    <w:p w14:paraId="69FF1A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Представляемый план предусматривает минимальное количество основных типов моторов и самолетов, предопределенных утвержденной РВС системой вооружения и строительства ВВС, причем количество типов и сроки конструирования, постройки и предъявления на госиспытания опытных образцов сокращены и установлены в соответствии с постановлением РЗ СТО от 10 марта 1930 года (п. 2) и на основе предложений Военно-морской инспекции НК РКИ, недавно закончившей обследование состояния конструкторских бюро и опытного строительства Авиаобъединения, ЦАГИ и НАМИ.</w:t>
      </w:r>
    </w:p>
    <w:p w14:paraId="7A9F7F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Исполнителями (Авиаобъединением, ЦАГИ, НАМИ и др.) план принят (согласован с ними) в отношении количества типов и предъявляемых к этим типам летно-тактических и технических требований.</w:t>
      </w:r>
    </w:p>
    <w:p w14:paraId="53DB6D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отношении же сроков окончания постройки опытных образцов и предъявления их на госиспытания ВСНХ, соглашение с основными исполнителями (Авиаобъединение и ЦАГИ) не достигнуто. Последние настаивают:</w:t>
      </w:r>
    </w:p>
    <w:p w14:paraId="240F05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Во-первых, на значительное удлинение (на 3-6-12 месяцев) по отдельным типам моторов и самолетов тех сроков конструирования и постройки, которые уже в прилагаемом при сем плане и</w:t>
      </w:r>
    </w:p>
    <w:p w14:paraId="6F4AE9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Во-вторых, на установление планом лишь сроков окончания постройки и начала заводских испытаний, а не сроков предъявления опытных образцов на государственные (типовые) испытания вполне законченными, как это предусматривает представляемый при сем пятилетний план опытного строительства воздушного флота.</w:t>
      </w:r>
    </w:p>
    <w:p w14:paraId="27E183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НКВМ не может согласиться с предложениями ВСНХ по следующим соображениям:</w:t>
      </w:r>
    </w:p>
    <w:p w14:paraId="1187389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 xml:space="preserve">Интересы обороны страны и отсталость техники нашего воздушного флота, особенно по мощным боевым моторам и основным типам самолетов боевой авиации настойчиво требуют перевооружения ВВС в наикратчайший срок на современную материальную часть, не уступающую по своим летно-тактическим и техническим </w:t>
      </w:r>
      <w:r w:rsidRPr="00507A31">
        <w:rPr>
          <w:color w:val="000000" w:themeColor="text1"/>
          <w:sz w:val="16"/>
          <w:szCs w:val="16"/>
        </w:rPr>
        <w:lastRenderedPageBreak/>
        <w:t>данным материальной части наших вероятных противников. Предусмотренные представляемым планом типы самолетов и моторов в случае их осуществления, в основном выведут наш воздушный флот на уровень современных достижений заграничной авиационной техники.</w:t>
      </w:r>
    </w:p>
    <w:p w14:paraId="0B9286F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Состояние конструкторских бюро и опытных заводов и мастерских ВСНХ, в случае их усиления в соответствии с последними решениями РЗ СТО (от 16 октября 1929 года, от 14 января и 10 марта 1930 года в части опытного строительства воздушного флота) и при известном напряжении их сил, вполне позволяет взять те темпы и сроки конструирования и окончания постройки опытных образцов, которые предлагаются НКВМ и НК РКИ.</w:t>
      </w:r>
    </w:p>
    <w:p w14:paraId="0F4FAB1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НКВМ заинтересован в сроках предъявления опытных образцов в законченном виде на государственные испытания, основное значение коих определить пригодность или непригодность данного типа мотора и самолета для внедрения в серийное производство ………………………… выявить недочеты конструкции и производства на предмет их устранения до окончания постройки опытного образца и до начала его государственных испытаний.</w:t>
      </w:r>
    </w:p>
    <w:p w14:paraId="7E6335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Приложение: пятилетний план опытного строительства ВВС (3625, 6-7).</w:t>
      </w:r>
    </w:p>
    <w:p w14:paraId="3EFBAC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 распорядительного заседания СТО</w:t>
      </w:r>
    </w:p>
    <w:p w14:paraId="580566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плане опытного строительства воздушного флота на 1929/30-1932/33 г.г.</w:t>
      </w:r>
    </w:p>
    <w:p w14:paraId="622861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Совет труда и обороны постановляет:</w:t>
      </w:r>
    </w:p>
    <w:p w14:paraId="4227C9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Утвердить нижеследующий план опытного строительства Воздушного Флота на 1929/30 - 32/33 гг.</w:t>
      </w:r>
    </w:p>
    <w:p w14:paraId="0B64CAF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53853B14" w14:textId="77777777">
        <w:tc>
          <w:tcPr>
            <w:tcW w:w="3345" w:type="dxa"/>
          </w:tcPr>
          <w:p w14:paraId="34CAC8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 моторов</w:t>
            </w:r>
          </w:p>
        </w:tc>
        <w:tc>
          <w:tcPr>
            <w:tcW w:w="1644" w:type="dxa"/>
          </w:tcPr>
          <w:p w14:paraId="626CA3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1929-30 г.г.</w:t>
            </w:r>
          </w:p>
        </w:tc>
        <w:tc>
          <w:tcPr>
            <w:tcW w:w="1644" w:type="dxa"/>
          </w:tcPr>
          <w:p w14:paraId="7CD6EA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1930-31 г.г.</w:t>
            </w:r>
          </w:p>
        </w:tc>
        <w:tc>
          <w:tcPr>
            <w:tcW w:w="1644" w:type="dxa"/>
          </w:tcPr>
          <w:p w14:paraId="5BFA26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1931-32 г.г.</w:t>
            </w:r>
          </w:p>
        </w:tc>
        <w:tc>
          <w:tcPr>
            <w:tcW w:w="1644" w:type="dxa"/>
          </w:tcPr>
          <w:p w14:paraId="2699F0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1932-33 г.г.</w:t>
            </w:r>
          </w:p>
        </w:tc>
        <w:tc>
          <w:tcPr>
            <w:tcW w:w="1644" w:type="dxa"/>
          </w:tcPr>
          <w:p w14:paraId="7ABA2E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w:t>
            </w:r>
          </w:p>
        </w:tc>
      </w:tr>
      <w:tr w:rsidR="00E371BA" w:rsidRPr="00507A31" w14:paraId="50ADF058" w14:textId="77777777">
        <w:tc>
          <w:tcPr>
            <w:tcW w:w="3345" w:type="dxa"/>
          </w:tcPr>
          <w:p w14:paraId="39385B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Большой мощности (свыше 500 НР)</w:t>
            </w:r>
          </w:p>
          <w:p w14:paraId="4218A4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водяного охлаждения</w:t>
            </w:r>
          </w:p>
          <w:p w14:paraId="465CD0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воздушного охлаждения</w:t>
            </w:r>
          </w:p>
        </w:tc>
        <w:tc>
          <w:tcPr>
            <w:tcW w:w="1644" w:type="dxa"/>
          </w:tcPr>
          <w:p w14:paraId="71C59070" w14:textId="77777777" w:rsidR="00537E5F" w:rsidRPr="00507A31" w:rsidRDefault="00537E5F" w:rsidP="00507A31">
            <w:pPr>
              <w:autoSpaceDE w:val="0"/>
              <w:autoSpaceDN w:val="0"/>
              <w:adjustRightInd w:val="0"/>
              <w:jc w:val="both"/>
              <w:rPr>
                <w:color w:val="000000" w:themeColor="text1"/>
                <w:sz w:val="16"/>
                <w:szCs w:val="16"/>
              </w:rPr>
            </w:pPr>
          </w:p>
          <w:p w14:paraId="434316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7FD3F7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1DB8A9B" w14:textId="77777777" w:rsidR="00537E5F" w:rsidRPr="00507A31" w:rsidRDefault="00537E5F" w:rsidP="00507A31">
            <w:pPr>
              <w:autoSpaceDE w:val="0"/>
              <w:autoSpaceDN w:val="0"/>
              <w:adjustRightInd w:val="0"/>
              <w:jc w:val="both"/>
              <w:rPr>
                <w:color w:val="000000" w:themeColor="text1"/>
                <w:sz w:val="16"/>
                <w:szCs w:val="16"/>
              </w:rPr>
            </w:pPr>
          </w:p>
          <w:p w14:paraId="5E611C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p w14:paraId="4E95CD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3F792E3" w14:textId="77777777" w:rsidR="00537E5F" w:rsidRPr="00507A31" w:rsidRDefault="00537E5F" w:rsidP="00507A31">
            <w:pPr>
              <w:autoSpaceDE w:val="0"/>
              <w:autoSpaceDN w:val="0"/>
              <w:adjustRightInd w:val="0"/>
              <w:jc w:val="both"/>
              <w:rPr>
                <w:color w:val="000000" w:themeColor="text1"/>
                <w:sz w:val="16"/>
                <w:szCs w:val="16"/>
              </w:rPr>
            </w:pPr>
          </w:p>
          <w:p w14:paraId="2BCAED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230DC0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1A6503E" w14:textId="77777777" w:rsidR="00537E5F" w:rsidRPr="00507A31" w:rsidRDefault="00537E5F" w:rsidP="00507A31">
            <w:pPr>
              <w:autoSpaceDE w:val="0"/>
              <w:autoSpaceDN w:val="0"/>
              <w:adjustRightInd w:val="0"/>
              <w:jc w:val="both"/>
              <w:rPr>
                <w:color w:val="000000" w:themeColor="text1"/>
                <w:sz w:val="16"/>
                <w:szCs w:val="16"/>
              </w:rPr>
            </w:pPr>
          </w:p>
          <w:p w14:paraId="446143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626FEA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A951E7A" w14:textId="77777777" w:rsidR="00537E5F" w:rsidRPr="00507A31" w:rsidRDefault="00537E5F" w:rsidP="00507A31">
            <w:pPr>
              <w:autoSpaceDE w:val="0"/>
              <w:autoSpaceDN w:val="0"/>
              <w:adjustRightInd w:val="0"/>
              <w:jc w:val="both"/>
              <w:rPr>
                <w:color w:val="000000" w:themeColor="text1"/>
                <w:sz w:val="16"/>
                <w:szCs w:val="16"/>
              </w:rPr>
            </w:pPr>
          </w:p>
          <w:p w14:paraId="45BF22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244B86C2" w14:textId="77777777">
        <w:tc>
          <w:tcPr>
            <w:tcW w:w="3345" w:type="dxa"/>
          </w:tcPr>
          <w:p w14:paraId="3BEA2E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Средней мощности (от 200 до 500 НР) воздушного охлаждения</w:t>
            </w:r>
          </w:p>
        </w:tc>
        <w:tc>
          <w:tcPr>
            <w:tcW w:w="1644" w:type="dxa"/>
          </w:tcPr>
          <w:p w14:paraId="2211FE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276BF5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3B506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2D41E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EA112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259FFAFB" w14:textId="77777777">
        <w:tc>
          <w:tcPr>
            <w:tcW w:w="3345" w:type="dxa"/>
          </w:tcPr>
          <w:p w14:paraId="007D97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Малой мощности (до 200 НР) воздушного охлаждения</w:t>
            </w:r>
          </w:p>
        </w:tc>
        <w:tc>
          <w:tcPr>
            <w:tcW w:w="1644" w:type="dxa"/>
          </w:tcPr>
          <w:p w14:paraId="6D314B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72F09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2849B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4531B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365DB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485DE6C4" w14:textId="77777777">
        <w:tc>
          <w:tcPr>
            <w:tcW w:w="3345" w:type="dxa"/>
          </w:tcPr>
          <w:p w14:paraId="056C37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Экспериментальные двигатели и агрегаты к ним</w:t>
            </w:r>
          </w:p>
        </w:tc>
        <w:tc>
          <w:tcPr>
            <w:tcW w:w="1644" w:type="dxa"/>
          </w:tcPr>
          <w:p w14:paraId="23AADA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644" w:type="dxa"/>
          </w:tcPr>
          <w:p w14:paraId="6C8701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1251EA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6B9D86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53C60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w:t>
            </w:r>
          </w:p>
        </w:tc>
      </w:tr>
      <w:tr w:rsidR="00E371BA" w:rsidRPr="00507A31" w14:paraId="1FB2082C" w14:textId="77777777">
        <w:tc>
          <w:tcPr>
            <w:tcW w:w="3345" w:type="dxa"/>
          </w:tcPr>
          <w:p w14:paraId="556AC2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опытных конструкций</w:t>
            </w:r>
          </w:p>
        </w:tc>
        <w:tc>
          <w:tcPr>
            <w:tcW w:w="1644" w:type="dxa"/>
          </w:tcPr>
          <w:p w14:paraId="7BA7EB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1644" w:type="dxa"/>
          </w:tcPr>
          <w:p w14:paraId="73F210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1644" w:type="dxa"/>
          </w:tcPr>
          <w:p w14:paraId="287459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129F8C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DE831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w:t>
            </w:r>
          </w:p>
        </w:tc>
      </w:tr>
    </w:tbl>
    <w:p w14:paraId="0BF04E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По самолетам</w:t>
      </w:r>
    </w:p>
    <w:p w14:paraId="1D00B8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248CBEA7" w14:textId="77777777">
        <w:tc>
          <w:tcPr>
            <w:tcW w:w="3345" w:type="dxa"/>
          </w:tcPr>
          <w:p w14:paraId="3FC065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Тяжелые бомбардировщики и штурмовики</w:t>
            </w:r>
          </w:p>
        </w:tc>
        <w:tc>
          <w:tcPr>
            <w:tcW w:w="1644" w:type="dxa"/>
          </w:tcPr>
          <w:p w14:paraId="52F186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16B280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58EE9A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4A8E6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EA0A9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3B936760" w14:textId="77777777">
        <w:tc>
          <w:tcPr>
            <w:tcW w:w="3345" w:type="dxa"/>
          </w:tcPr>
          <w:p w14:paraId="467ADC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Разведчики и легкие бомбардировщики</w:t>
            </w:r>
          </w:p>
        </w:tc>
        <w:tc>
          <w:tcPr>
            <w:tcW w:w="1644" w:type="dxa"/>
          </w:tcPr>
          <w:p w14:paraId="7279EB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A4A90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29A732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E3FFD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7EBC9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6F1FC352" w14:textId="77777777">
        <w:tc>
          <w:tcPr>
            <w:tcW w:w="3345" w:type="dxa"/>
          </w:tcPr>
          <w:p w14:paraId="20F195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Многоместные истребители</w:t>
            </w:r>
          </w:p>
        </w:tc>
        <w:tc>
          <w:tcPr>
            <w:tcW w:w="1644" w:type="dxa"/>
          </w:tcPr>
          <w:p w14:paraId="6EF8C8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594295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A6C68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5BECC7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5A2BC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13B54313" w14:textId="77777777">
        <w:tc>
          <w:tcPr>
            <w:tcW w:w="3345" w:type="dxa"/>
          </w:tcPr>
          <w:p w14:paraId="309514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Двухместные истребители</w:t>
            </w:r>
          </w:p>
        </w:tc>
        <w:tc>
          <w:tcPr>
            <w:tcW w:w="1644" w:type="dxa"/>
          </w:tcPr>
          <w:p w14:paraId="624817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2B004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359A59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D5CC7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B6819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1E0519B1" w14:textId="77777777">
        <w:tc>
          <w:tcPr>
            <w:tcW w:w="3345" w:type="dxa"/>
          </w:tcPr>
          <w:p w14:paraId="2BDAF9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Одноместные истребители</w:t>
            </w:r>
          </w:p>
        </w:tc>
        <w:tc>
          <w:tcPr>
            <w:tcW w:w="1644" w:type="dxa"/>
          </w:tcPr>
          <w:p w14:paraId="0A992C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313F79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B15EF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3999F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78E02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r>
      <w:tr w:rsidR="00E371BA" w:rsidRPr="00507A31" w14:paraId="199B83A1" w14:textId="77777777">
        <w:tc>
          <w:tcPr>
            <w:tcW w:w="3345" w:type="dxa"/>
          </w:tcPr>
          <w:p w14:paraId="44B76A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Вспомогательные, учебные и специального назначения</w:t>
            </w:r>
          </w:p>
        </w:tc>
        <w:tc>
          <w:tcPr>
            <w:tcW w:w="1644" w:type="dxa"/>
          </w:tcPr>
          <w:p w14:paraId="4B8EC9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FCED9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D6809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B4A02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15E4C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bl>
    <w:p w14:paraId="7E1571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2CDB50FC" w14:textId="77777777">
        <w:tc>
          <w:tcPr>
            <w:tcW w:w="3345" w:type="dxa"/>
          </w:tcPr>
          <w:p w14:paraId="17B817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Ближние разведчики</w:t>
            </w:r>
          </w:p>
        </w:tc>
        <w:tc>
          <w:tcPr>
            <w:tcW w:w="1644" w:type="dxa"/>
          </w:tcPr>
          <w:p w14:paraId="0C615A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0DCC6A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62B06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BAA30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B1342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123089B4" w14:textId="77777777">
        <w:tc>
          <w:tcPr>
            <w:tcW w:w="3345" w:type="dxa"/>
          </w:tcPr>
          <w:p w14:paraId="74BEAB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Дальние разведчики</w:t>
            </w:r>
          </w:p>
        </w:tc>
        <w:tc>
          <w:tcPr>
            <w:tcW w:w="1644" w:type="dxa"/>
          </w:tcPr>
          <w:p w14:paraId="51BE04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01B631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5A1F0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097F6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0EA93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53CF91C8" w14:textId="77777777">
        <w:tc>
          <w:tcPr>
            <w:tcW w:w="3345" w:type="dxa"/>
          </w:tcPr>
          <w:p w14:paraId="6B1F6B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Тяжелые бомбардировщики</w:t>
            </w:r>
          </w:p>
        </w:tc>
        <w:tc>
          <w:tcPr>
            <w:tcW w:w="1644" w:type="dxa"/>
          </w:tcPr>
          <w:p w14:paraId="2F774D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EF059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59764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BF2DB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EEC8C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26B35380" w14:textId="77777777">
        <w:tc>
          <w:tcPr>
            <w:tcW w:w="3345" w:type="dxa"/>
          </w:tcPr>
          <w:p w14:paraId="5D1892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Вспомогательные, учебные и специального назначения</w:t>
            </w:r>
          </w:p>
        </w:tc>
        <w:tc>
          <w:tcPr>
            <w:tcW w:w="1644" w:type="dxa"/>
          </w:tcPr>
          <w:p w14:paraId="12C59B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1E922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27D8C5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2198B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90CAF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7F266BB8" w14:textId="77777777">
        <w:tc>
          <w:tcPr>
            <w:tcW w:w="3345" w:type="dxa"/>
          </w:tcPr>
          <w:p w14:paraId="489719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w:t>
            </w:r>
          </w:p>
        </w:tc>
        <w:tc>
          <w:tcPr>
            <w:tcW w:w="1644" w:type="dxa"/>
          </w:tcPr>
          <w:p w14:paraId="67CCB3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c>
          <w:tcPr>
            <w:tcW w:w="1644" w:type="dxa"/>
          </w:tcPr>
          <w:p w14:paraId="330110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w:t>
            </w:r>
          </w:p>
        </w:tc>
        <w:tc>
          <w:tcPr>
            <w:tcW w:w="1644" w:type="dxa"/>
          </w:tcPr>
          <w:p w14:paraId="4ADCD6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644" w:type="dxa"/>
          </w:tcPr>
          <w:p w14:paraId="151E31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26030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w:t>
            </w:r>
          </w:p>
        </w:tc>
      </w:tr>
    </w:tbl>
    <w:p w14:paraId="7FFF65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III.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2147C45F" w14:textId="77777777">
        <w:tc>
          <w:tcPr>
            <w:tcW w:w="3345" w:type="dxa"/>
          </w:tcPr>
          <w:p w14:paraId="03E41D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Аэростаты наблюдения</w:t>
            </w:r>
          </w:p>
        </w:tc>
        <w:tc>
          <w:tcPr>
            <w:tcW w:w="1644" w:type="dxa"/>
          </w:tcPr>
          <w:p w14:paraId="615956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3B5C7D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648A2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B9299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213EB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r>
      <w:tr w:rsidR="00E371BA" w:rsidRPr="00507A31" w14:paraId="7457AF69" w14:textId="77777777">
        <w:tc>
          <w:tcPr>
            <w:tcW w:w="3345" w:type="dxa"/>
          </w:tcPr>
          <w:p w14:paraId="59453D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Аэростаты заграждения и пр.</w:t>
            </w:r>
          </w:p>
        </w:tc>
        <w:tc>
          <w:tcPr>
            <w:tcW w:w="1644" w:type="dxa"/>
          </w:tcPr>
          <w:p w14:paraId="504287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2350BF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BBC3B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F3A78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12D5D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36F516C4" w14:textId="77777777">
        <w:tc>
          <w:tcPr>
            <w:tcW w:w="3345" w:type="dxa"/>
          </w:tcPr>
          <w:p w14:paraId="62F13A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Газодобывательные аппараты</w:t>
            </w:r>
          </w:p>
        </w:tc>
        <w:tc>
          <w:tcPr>
            <w:tcW w:w="1644" w:type="dxa"/>
          </w:tcPr>
          <w:p w14:paraId="5B58FF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0469D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00B01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143A6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B4D7E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21A2C891" w14:textId="77777777">
        <w:tc>
          <w:tcPr>
            <w:tcW w:w="3345" w:type="dxa"/>
          </w:tcPr>
          <w:p w14:paraId="73772F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Автолебедки наблюдения</w:t>
            </w:r>
          </w:p>
        </w:tc>
        <w:tc>
          <w:tcPr>
            <w:tcW w:w="1644" w:type="dxa"/>
          </w:tcPr>
          <w:p w14:paraId="3E623F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A38B2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C2AF2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697DC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2AE155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73C62F04" w14:textId="77777777">
        <w:tc>
          <w:tcPr>
            <w:tcW w:w="3345" w:type="dxa"/>
          </w:tcPr>
          <w:p w14:paraId="7CF530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Автолебедки заграждения</w:t>
            </w:r>
          </w:p>
        </w:tc>
        <w:tc>
          <w:tcPr>
            <w:tcW w:w="1644" w:type="dxa"/>
          </w:tcPr>
          <w:p w14:paraId="65451A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272844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4EDDB8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AFF6C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3F11B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2A642922" w14:textId="77777777">
        <w:tc>
          <w:tcPr>
            <w:tcW w:w="3345" w:type="dxa"/>
          </w:tcPr>
          <w:p w14:paraId="1506AE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Разборный малый эллинг для аэростата наблюдения</w:t>
            </w:r>
          </w:p>
        </w:tc>
        <w:tc>
          <w:tcPr>
            <w:tcW w:w="1644" w:type="dxa"/>
          </w:tcPr>
          <w:p w14:paraId="3C6DD6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CDC23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44EF0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37741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11AC0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0933B8D1" w14:textId="77777777">
        <w:tc>
          <w:tcPr>
            <w:tcW w:w="3345" w:type="dxa"/>
          </w:tcPr>
          <w:p w14:paraId="5F8AC6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Дирижабли полужесткие до 10000 куб. м </w:t>
            </w:r>
          </w:p>
        </w:tc>
        <w:tc>
          <w:tcPr>
            <w:tcW w:w="1644" w:type="dxa"/>
          </w:tcPr>
          <w:p w14:paraId="69DEE1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68F60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56D49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CA2E4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02792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bl>
    <w:p w14:paraId="2045F0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IV. По вооружению (пулеметы, пушки и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75042677" w14:textId="77777777">
        <w:tc>
          <w:tcPr>
            <w:tcW w:w="3345" w:type="dxa"/>
          </w:tcPr>
          <w:p w14:paraId="3639D6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Пулеметы</w:t>
            </w:r>
          </w:p>
        </w:tc>
        <w:tc>
          <w:tcPr>
            <w:tcW w:w="1644" w:type="dxa"/>
          </w:tcPr>
          <w:p w14:paraId="63EEEE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603CC5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66AEE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F3FF2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353E8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r>
      <w:tr w:rsidR="00E371BA" w:rsidRPr="00507A31" w14:paraId="7F2BE562" w14:textId="77777777">
        <w:tc>
          <w:tcPr>
            <w:tcW w:w="3345" w:type="dxa"/>
          </w:tcPr>
          <w:p w14:paraId="3B44A8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Пушки</w:t>
            </w:r>
          </w:p>
        </w:tc>
        <w:tc>
          <w:tcPr>
            <w:tcW w:w="1644" w:type="dxa"/>
          </w:tcPr>
          <w:p w14:paraId="540222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70E9D2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553BDC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484EA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A2C43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36620B2A" w14:textId="77777777">
        <w:tc>
          <w:tcPr>
            <w:tcW w:w="3345" w:type="dxa"/>
          </w:tcPr>
          <w:p w14:paraId="520BD5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Осколочные бомбы (от 2-х до 25 кг)</w:t>
            </w:r>
          </w:p>
        </w:tc>
        <w:tc>
          <w:tcPr>
            <w:tcW w:w="1644" w:type="dxa"/>
          </w:tcPr>
          <w:p w14:paraId="2B0FC3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1644" w:type="dxa"/>
          </w:tcPr>
          <w:p w14:paraId="16DC42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AF5B5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F34FF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F3319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r>
      <w:tr w:rsidR="00E371BA" w:rsidRPr="00507A31" w14:paraId="33330AF8" w14:textId="77777777">
        <w:tc>
          <w:tcPr>
            <w:tcW w:w="3345" w:type="dxa"/>
          </w:tcPr>
          <w:p w14:paraId="6A530B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Фугасные бомбы (от 25 до 2000 кг)</w:t>
            </w:r>
          </w:p>
        </w:tc>
        <w:tc>
          <w:tcPr>
            <w:tcW w:w="1644" w:type="dxa"/>
          </w:tcPr>
          <w:p w14:paraId="0EDC8F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1644" w:type="dxa"/>
          </w:tcPr>
          <w:p w14:paraId="3E8B32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7D0AD4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381D8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76971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r>
      <w:tr w:rsidR="00E371BA" w:rsidRPr="00507A31" w14:paraId="5F9D70E9" w14:textId="77777777">
        <w:tc>
          <w:tcPr>
            <w:tcW w:w="3345" w:type="dxa"/>
          </w:tcPr>
          <w:p w14:paraId="4838A8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Бронебойные бомбы (от 250 до 1000 кг)</w:t>
            </w:r>
          </w:p>
        </w:tc>
        <w:tc>
          <w:tcPr>
            <w:tcW w:w="1644" w:type="dxa"/>
          </w:tcPr>
          <w:p w14:paraId="40930F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4D4DD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5540F6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84E7E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64A68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r>
      <w:tr w:rsidR="00E371BA" w:rsidRPr="00507A31" w14:paraId="63088988" w14:textId="77777777">
        <w:tc>
          <w:tcPr>
            <w:tcW w:w="3345" w:type="dxa"/>
          </w:tcPr>
          <w:p w14:paraId="360174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Бомбы специального назначения, зажигательные (от 12 до 50 кг)</w:t>
            </w:r>
          </w:p>
        </w:tc>
        <w:tc>
          <w:tcPr>
            <w:tcW w:w="1644" w:type="dxa"/>
          </w:tcPr>
          <w:p w14:paraId="70ECEA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4BDC9F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9E6F3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C0C40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D13FE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4BCD5CAC" w14:textId="77777777">
        <w:tc>
          <w:tcPr>
            <w:tcW w:w="3345" w:type="dxa"/>
          </w:tcPr>
          <w:p w14:paraId="59910E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Светящие бомбы (от 3 до 25 кг)</w:t>
            </w:r>
          </w:p>
        </w:tc>
        <w:tc>
          <w:tcPr>
            <w:tcW w:w="1644" w:type="dxa"/>
          </w:tcPr>
          <w:p w14:paraId="2CF6A9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0DC653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0C8DDC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953BF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CE4AC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r>
      <w:tr w:rsidR="00E371BA" w:rsidRPr="00507A31" w14:paraId="3CB3C49F" w14:textId="77777777">
        <w:tc>
          <w:tcPr>
            <w:tcW w:w="3345" w:type="dxa"/>
          </w:tcPr>
          <w:p w14:paraId="206908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Химические бомбы (от 10 до 100 кг)</w:t>
            </w:r>
          </w:p>
        </w:tc>
        <w:tc>
          <w:tcPr>
            <w:tcW w:w="1644" w:type="dxa"/>
          </w:tcPr>
          <w:p w14:paraId="787804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2F4E68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E1057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3E79B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740D1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r>
      <w:tr w:rsidR="00E371BA" w:rsidRPr="00507A31" w14:paraId="43808D43" w14:textId="77777777">
        <w:tc>
          <w:tcPr>
            <w:tcW w:w="3345" w:type="dxa"/>
          </w:tcPr>
          <w:p w14:paraId="578ADC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Гидростатические и дымовые бомбы (от 5 до 250 кг)</w:t>
            </w:r>
          </w:p>
        </w:tc>
        <w:tc>
          <w:tcPr>
            <w:tcW w:w="1644" w:type="dxa"/>
          </w:tcPr>
          <w:p w14:paraId="053FEB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002D14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5C6546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443ED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CEAB7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r>
      <w:tr w:rsidR="00E371BA" w:rsidRPr="00507A31" w14:paraId="74E05C83" w14:textId="77777777">
        <w:tc>
          <w:tcPr>
            <w:tcW w:w="3345" w:type="dxa"/>
          </w:tcPr>
          <w:p w14:paraId="35B80B1F" w14:textId="77777777" w:rsidR="00537E5F" w:rsidRPr="00507A31" w:rsidRDefault="00537E5F" w:rsidP="00507A31">
            <w:pPr>
              <w:autoSpaceDE w:val="0"/>
              <w:autoSpaceDN w:val="0"/>
              <w:adjustRightInd w:val="0"/>
              <w:jc w:val="both"/>
              <w:rPr>
                <w:color w:val="000000" w:themeColor="text1"/>
                <w:sz w:val="16"/>
                <w:szCs w:val="16"/>
              </w:rPr>
            </w:pPr>
          </w:p>
        </w:tc>
        <w:tc>
          <w:tcPr>
            <w:tcW w:w="1644" w:type="dxa"/>
          </w:tcPr>
          <w:p w14:paraId="708F7E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w:t>
            </w:r>
          </w:p>
        </w:tc>
        <w:tc>
          <w:tcPr>
            <w:tcW w:w="1644" w:type="dxa"/>
          </w:tcPr>
          <w:p w14:paraId="4BF6BC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w:t>
            </w:r>
          </w:p>
        </w:tc>
        <w:tc>
          <w:tcPr>
            <w:tcW w:w="1644" w:type="dxa"/>
          </w:tcPr>
          <w:p w14:paraId="53A43C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EB6E3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93BC4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47</w:t>
            </w:r>
          </w:p>
        </w:tc>
      </w:tr>
    </w:tbl>
    <w:p w14:paraId="5E49F9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V. По прицелам и приборам стрельбы и бомбометания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3F70ACD2" w14:textId="77777777">
        <w:tc>
          <w:tcPr>
            <w:tcW w:w="3345" w:type="dxa"/>
          </w:tcPr>
          <w:p w14:paraId="56FD99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Прицелы к пулеметам и пушкам для стрельбы с самолетов</w:t>
            </w:r>
          </w:p>
        </w:tc>
        <w:tc>
          <w:tcPr>
            <w:tcW w:w="1644" w:type="dxa"/>
          </w:tcPr>
          <w:p w14:paraId="59E945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65198C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1644" w:type="dxa"/>
          </w:tcPr>
          <w:p w14:paraId="202117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1644" w:type="dxa"/>
          </w:tcPr>
          <w:p w14:paraId="30989A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69676A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tc>
      </w:tr>
      <w:tr w:rsidR="00E371BA" w:rsidRPr="00507A31" w14:paraId="37E9C5FB" w14:textId="77777777">
        <w:tc>
          <w:tcPr>
            <w:tcW w:w="3345" w:type="dxa"/>
          </w:tcPr>
          <w:p w14:paraId="60A2D4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Прицелы и приборы для бомбометания</w:t>
            </w:r>
          </w:p>
        </w:tc>
        <w:tc>
          <w:tcPr>
            <w:tcW w:w="1644" w:type="dxa"/>
          </w:tcPr>
          <w:p w14:paraId="61B36F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1644" w:type="dxa"/>
          </w:tcPr>
          <w:p w14:paraId="3BBD42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66BD6A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0BB203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473E30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w:t>
            </w:r>
          </w:p>
        </w:tc>
      </w:tr>
    </w:tbl>
    <w:p w14:paraId="1E5CFB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VI. По фотооборудованию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694DED81" w14:textId="77777777">
        <w:tc>
          <w:tcPr>
            <w:tcW w:w="3345" w:type="dxa"/>
          </w:tcPr>
          <w:p w14:paraId="7037F4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Аэрофотоаппараты</w:t>
            </w:r>
          </w:p>
        </w:tc>
        <w:tc>
          <w:tcPr>
            <w:tcW w:w="1644" w:type="dxa"/>
          </w:tcPr>
          <w:p w14:paraId="2DB745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AEA52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3A7CDB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304DD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4CBC27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w:t>
            </w:r>
          </w:p>
        </w:tc>
      </w:tr>
      <w:tr w:rsidR="00E371BA" w:rsidRPr="00507A31" w14:paraId="22800254" w14:textId="77777777">
        <w:tc>
          <w:tcPr>
            <w:tcW w:w="3345" w:type="dxa"/>
          </w:tcPr>
          <w:p w14:paraId="6D9D58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Фотопулеметы</w:t>
            </w:r>
          </w:p>
        </w:tc>
        <w:tc>
          <w:tcPr>
            <w:tcW w:w="1644" w:type="dxa"/>
          </w:tcPr>
          <w:p w14:paraId="484FD9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A5727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C845E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D359B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C8B99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4D5F5254" w14:textId="77777777">
        <w:tc>
          <w:tcPr>
            <w:tcW w:w="3345" w:type="dxa"/>
          </w:tcPr>
          <w:p w14:paraId="23E626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Фотокинопулеметы</w:t>
            </w:r>
          </w:p>
        </w:tc>
        <w:tc>
          <w:tcPr>
            <w:tcW w:w="1644" w:type="dxa"/>
          </w:tcPr>
          <w:p w14:paraId="4F4FDE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60869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BC64B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1578B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6A119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67F8ACFC" w14:textId="77777777">
        <w:tc>
          <w:tcPr>
            <w:tcW w:w="3345" w:type="dxa"/>
          </w:tcPr>
          <w:p w14:paraId="5CE63B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Походная фотолаборатория</w:t>
            </w:r>
          </w:p>
        </w:tc>
        <w:tc>
          <w:tcPr>
            <w:tcW w:w="1644" w:type="dxa"/>
          </w:tcPr>
          <w:p w14:paraId="077C05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3BDF84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8D839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A2EA8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644" w:type="dxa"/>
          </w:tcPr>
          <w:p w14:paraId="1AFFF2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r>
      <w:tr w:rsidR="00E371BA" w:rsidRPr="00507A31" w14:paraId="548038C3" w14:textId="77777777">
        <w:tc>
          <w:tcPr>
            <w:tcW w:w="3345" w:type="dxa"/>
          </w:tcPr>
          <w:p w14:paraId="4A1126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Аэрофотообъективы</w:t>
            </w:r>
          </w:p>
        </w:tc>
        <w:tc>
          <w:tcPr>
            <w:tcW w:w="1644" w:type="dxa"/>
          </w:tcPr>
          <w:p w14:paraId="0F1005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4A570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09E5C7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F1923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126F57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4AE1635E" w14:textId="77777777">
        <w:tc>
          <w:tcPr>
            <w:tcW w:w="3345" w:type="dxa"/>
          </w:tcPr>
          <w:p w14:paraId="560E62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Аэрофотоприборы разных назначений</w:t>
            </w:r>
          </w:p>
        </w:tc>
        <w:tc>
          <w:tcPr>
            <w:tcW w:w="1644" w:type="dxa"/>
          </w:tcPr>
          <w:p w14:paraId="00F194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w:t>
            </w:r>
          </w:p>
        </w:tc>
        <w:tc>
          <w:tcPr>
            <w:tcW w:w="1644" w:type="dxa"/>
          </w:tcPr>
          <w:p w14:paraId="4ED956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tc>
        <w:tc>
          <w:tcPr>
            <w:tcW w:w="1644" w:type="dxa"/>
          </w:tcPr>
          <w:p w14:paraId="02EA5B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73CD1E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c>
          <w:tcPr>
            <w:tcW w:w="1644" w:type="dxa"/>
          </w:tcPr>
          <w:p w14:paraId="1F16DB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w:t>
            </w:r>
          </w:p>
        </w:tc>
      </w:tr>
    </w:tbl>
    <w:p w14:paraId="43ADF9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VII. По установкам под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437CF893" w14:textId="77777777">
        <w:tc>
          <w:tcPr>
            <w:tcW w:w="3345" w:type="dxa"/>
          </w:tcPr>
          <w:p w14:paraId="045A88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Бомбодержатели и торпедодержатели </w:t>
            </w:r>
          </w:p>
        </w:tc>
        <w:tc>
          <w:tcPr>
            <w:tcW w:w="1644" w:type="dxa"/>
          </w:tcPr>
          <w:p w14:paraId="204158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w:t>
            </w:r>
          </w:p>
        </w:tc>
        <w:tc>
          <w:tcPr>
            <w:tcW w:w="1644" w:type="dxa"/>
          </w:tcPr>
          <w:p w14:paraId="05FAA9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7C5286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0502B8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546F0E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w:t>
            </w:r>
          </w:p>
        </w:tc>
      </w:tr>
      <w:tr w:rsidR="00E371BA" w:rsidRPr="00507A31" w14:paraId="49E91445" w14:textId="77777777">
        <w:tc>
          <w:tcPr>
            <w:tcW w:w="3345" w:type="dxa"/>
          </w:tcPr>
          <w:p w14:paraId="2C5906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Сбрасыватели</w:t>
            </w:r>
          </w:p>
        </w:tc>
        <w:tc>
          <w:tcPr>
            <w:tcW w:w="1644" w:type="dxa"/>
          </w:tcPr>
          <w:p w14:paraId="6E52BA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1644" w:type="dxa"/>
          </w:tcPr>
          <w:p w14:paraId="76D0FD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644" w:type="dxa"/>
          </w:tcPr>
          <w:p w14:paraId="4A9B0D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954FE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0CB2FE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w:t>
            </w:r>
          </w:p>
        </w:tc>
      </w:tr>
      <w:tr w:rsidR="00E371BA" w:rsidRPr="00507A31" w14:paraId="48C24CBE" w14:textId="77777777">
        <w:tc>
          <w:tcPr>
            <w:tcW w:w="3345" w:type="dxa"/>
          </w:tcPr>
          <w:p w14:paraId="0DBB71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Вспомогательных устройств</w:t>
            </w:r>
          </w:p>
        </w:tc>
        <w:tc>
          <w:tcPr>
            <w:tcW w:w="1644" w:type="dxa"/>
          </w:tcPr>
          <w:p w14:paraId="6B051F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3E96D5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3B924B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7669AA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ED126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64E3F5BE" w14:textId="77777777">
        <w:tc>
          <w:tcPr>
            <w:tcW w:w="3345" w:type="dxa"/>
          </w:tcPr>
          <w:p w14:paraId="6106DF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Установки для пулеметов и пушек</w:t>
            </w:r>
          </w:p>
        </w:tc>
        <w:tc>
          <w:tcPr>
            <w:tcW w:w="1644" w:type="dxa"/>
          </w:tcPr>
          <w:p w14:paraId="5FB360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7F92A2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375EB3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472A16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644" w:type="dxa"/>
          </w:tcPr>
          <w:p w14:paraId="34BA29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w:t>
            </w:r>
          </w:p>
        </w:tc>
      </w:tr>
      <w:tr w:rsidR="00E371BA" w:rsidRPr="00507A31" w14:paraId="03DD4E91" w14:textId="77777777">
        <w:tc>
          <w:tcPr>
            <w:tcW w:w="3345" w:type="dxa"/>
          </w:tcPr>
          <w:p w14:paraId="185775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Турели</w:t>
            </w:r>
          </w:p>
        </w:tc>
        <w:tc>
          <w:tcPr>
            <w:tcW w:w="1644" w:type="dxa"/>
          </w:tcPr>
          <w:p w14:paraId="6E497C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143F1B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53FED2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71D91C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3128C3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4EDFA34C" w14:textId="77777777">
        <w:tc>
          <w:tcPr>
            <w:tcW w:w="3345" w:type="dxa"/>
          </w:tcPr>
          <w:p w14:paraId="5C1BC5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Вооружение и оборудование новых самолетов</w:t>
            </w:r>
          </w:p>
        </w:tc>
        <w:tc>
          <w:tcPr>
            <w:tcW w:w="1644" w:type="dxa"/>
          </w:tcPr>
          <w:p w14:paraId="307D3B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w:t>
            </w:r>
          </w:p>
        </w:tc>
        <w:tc>
          <w:tcPr>
            <w:tcW w:w="1644" w:type="dxa"/>
          </w:tcPr>
          <w:p w14:paraId="4F520A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w:t>
            </w:r>
          </w:p>
        </w:tc>
        <w:tc>
          <w:tcPr>
            <w:tcW w:w="1644" w:type="dxa"/>
          </w:tcPr>
          <w:p w14:paraId="195E1C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w:t>
            </w:r>
          </w:p>
        </w:tc>
        <w:tc>
          <w:tcPr>
            <w:tcW w:w="1644" w:type="dxa"/>
          </w:tcPr>
          <w:p w14:paraId="4A7CCE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w:t>
            </w:r>
          </w:p>
        </w:tc>
        <w:tc>
          <w:tcPr>
            <w:tcW w:w="1644" w:type="dxa"/>
          </w:tcPr>
          <w:p w14:paraId="3102AE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63</w:t>
            </w:r>
          </w:p>
        </w:tc>
      </w:tr>
      <w:tr w:rsidR="00E371BA" w:rsidRPr="00507A31" w14:paraId="5EC06915" w14:textId="77777777">
        <w:tc>
          <w:tcPr>
            <w:tcW w:w="3345" w:type="dxa"/>
          </w:tcPr>
          <w:p w14:paraId="74887C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Переоборудование самолетов (частичное)</w:t>
            </w:r>
          </w:p>
        </w:tc>
        <w:tc>
          <w:tcPr>
            <w:tcW w:w="1644" w:type="dxa"/>
          </w:tcPr>
          <w:p w14:paraId="332FE2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43</w:t>
            </w:r>
          </w:p>
        </w:tc>
        <w:tc>
          <w:tcPr>
            <w:tcW w:w="1644" w:type="dxa"/>
          </w:tcPr>
          <w:p w14:paraId="4F1909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tc>
        <w:tc>
          <w:tcPr>
            <w:tcW w:w="1644" w:type="dxa"/>
          </w:tcPr>
          <w:p w14:paraId="0E9610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w:t>
            </w:r>
          </w:p>
        </w:tc>
        <w:tc>
          <w:tcPr>
            <w:tcW w:w="1644" w:type="dxa"/>
          </w:tcPr>
          <w:p w14:paraId="2E158D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w:t>
            </w:r>
          </w:p>
        </w:tc>
        <w:tc>
          <w:tcPr>
            <w:tcW w:w="1644" w:type="dxa"/>
          </w:tcPr>
          <w:p w14:paraId="0BE802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120</w:t>
            </w:r>
          </w:p>
        </w:tc>
      </w:tr>
    </w:tbl>
    <w:p w14:paraId="168C39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VIII. По радио и электрооборудованию самолетов и аэродромов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6513C8E2" w14:textId="77777777">
        <w:tc>
          <w:tcPr>
            <w:tcW w:w="3345" w:type="dxa"/>
          </w:tcPr>
          <w:p w14:paraId="1C765D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Самолетные рации</w:t>
            </w:r>
          </w:p>
        </w:tc>
        <w:tc>
          <w:tcPr>
            <w:tcW w:w="1644" w:type="dxa"/>
          </w:tcPr>
          <w:p w14:paraId="03F587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1644" w:type="dxa"/>
          </w:tcPr>
          <w:p w14:paraId="7D49D9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1531B7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F4BB7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1644" w:type="dxa"/>
          </w:tcPr>
          <w:p w14:paraId="06CC42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w:t>
            </w:r>
          </w:p>
        </w:tc>
      </w:tr>
      <w:tr w:rsidR="00E371BA" w:rsidRPr="00507A31" w14:paraId="015B1537" w14:textId="77777777">
        <w:tc>
          <w:tcPr>
            <w:tcW w:w="3345" w:type="dxa"/>
          </w:tcPr>
          <w:p w14:paraId="430E6E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Аэродромные рации</w:t>
            </w:r>
          </w:p>
        </w:tc>
        <w:tc>
          <w:tcPr>
            <w:tcW w:w="1644" w:type="dxa"/>
          </w:tcPr>
          <w:p w14:paraId="1BB9B8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1644" w:type="dxa"/>
          </w:tcPr>
          <w:p w14:paraId="3EF14A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9C61B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01055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1D9F3F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tc>
      </w:tr>
      <w:tr w:rsidR="00E371BA" w:rsidRPr="00507A31" w14:paraId="7BEF676E" w14:textId="77777777">
        <w:tc>
          <w:tcPr>
            <w:tcW w:w="3345" w:type="dxa"/>
          </w:tcPr>
          <w:p w14:paraId="1E497D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Радиомаяк</w:t>
            </w:r>
          </w:p>
        </w:tc>
        <w:tc>
          <w:tcPr>
            <w:tcW w:w="1644" w:type="dxa"/>
          </w:tcPr>
          <w:p w14:paraId="044E49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A59AA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CEF22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2CF9D5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78E5F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5B0BE55D" w14:textId="77777777">
        <w:tc>
          <w:tcPr>
            <w:tcW w:w="3345" w:type="dxa"/>
          </w:tcPr>
          <w:p w14:paraId="2A5FE5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Стационарные походные прожекторные станции</w:t>
            </w:r>
          </w:p>
        </w:tc>
        <w:tc>
          <w:tcPr>
            <w:tcW w:w="1644" w:type="dxa"/>
          </w:tcPr>
          <w:p w14:paraId="3C004A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2307C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92C55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4DF19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DE6D1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3632279B" w14:textId="77777777">
        <w:tc>
          <w:tcPr>
            <w:tcW w:w="3345" w:type="dxa"/>
          </w:tcPr>
          <w:p w14:paraId="726B01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Маяки</w:t>
            </w:r>
          </w:p>
        </w:tc>
        <w:tc>
          <w:tcPr>
            <w:tcW w:w="1644" w:type="dxa"/>
          </w:tcPr>
          <w:p w14:paraId="0E28F1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3CFEC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AAD23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F35F2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23A619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5C9D3661" w14:textId="77777777">
        <w:tc>
          <w:tcPr>
            <w:tcW w:w="3345" w:type="dxa"/>
          </w:tcPr>
          <w:p w14:paraId="3D2631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Осветительное оборудование самолетное</w:t>
            </w:r>
          </w:p>
        </w:tc>
        <w:tc>
          <w:tcPr>
            <w:tcW w:w="1644" w:type="dxa"/>
          </w:tcPr>
          <w:p w14:paraId="7D3D9E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FF2A9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B6E31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2D7A83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5011F9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bl>
    <w:p w14:paraId="163C1E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IX. По аэронавигации и метеорологии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0B70ED99" w14:textId="77777777">
        <w:tc>
          <w:tcPr>
            <w:tcW w:w="3345" w:type="dxa"/>
          </w:tcPr>
          <w:p w14:paraId="1B747A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Пилотажные и аэронавигационные приборы</w:t>
            </w:r>
          </w:p>
        </w:tc>
        <w:tc>
          <w:tcPr>
            <w:tcW w:w="1644" w:type="dxa"/>
          </w:tcPr>
          <w:p w14:paraId="5E94F6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tc>
        <w:tc>
          <w:tcPr>
            <w:tcW w:w="1644" w:type="dxa"/>
          </w:tcPr>
          <w:p w14:paraId="13B8F1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1644" w:type="dxa"/>
          </w:tcPr>
          <w:p w14:paraId="390D62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c>
          <w:tcPr>
            <w:tcW w:w="1644" w:type="dxa"/>
          </w:tcPr>
          <w:p w14:paraId="517B23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w:t>
            </w:r>
          </w:p>
        </w:tc>
        <w:tc>
          <w:tcPr>
            <w:tcW w:w="1644" w:type="dxa"/>
          </w:tcPr>
          <w:p w14:paraId="7C0CA0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58</w:t>
            </w:r>
          </w:p>
        </w:tc>
      </w:tr>
      <w:tr w:rsidR="00E371BA" w:rsidRPr="00507A31" w14:paraId="1FD6D4A9" w14:textId="77777777">
        <w:tc>
          <w:tcPr>
            <w:tcW w:w="3345" w:type="dxa"/>
          </w:tcPr>
          <w:p w14:paraId="0657C9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Метеорологические приборы</w:t>
            </w:r>
          </w:p>
        </w:tc>
        <w:tc>
          <w:tcPr>
            <w:tcW w:w="1644" w:type="dxa"/>
          </w:tcPr>
          <w:p w14:paraId="70EB07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39366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48CF00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1644" w:type="dxa"/>
          </w:tcPr>
          <w:p w14:paraId="486478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515E0A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w:t>
            </w:r>
          </w:p>
        </w:tc>
      </w:tr>
    </w:tbl>
    <w:p w14:paraId="0FA91C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 По вспомогательному 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42D446CE" w14:textId="77777777">
        <w:tc>
          <w:tcPr>
            <w:tcW w:w="3345" w:type="dxa"/>
          </w:tcPr>
          <w:p w14:paraId="65BEFF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Специальные автомобили</w:t>
            </w:r>
          </w:p>
        </w:tc>
        <w:tc>
          <w:tcPr>
            <w:tcW w:w="1644" w:type="dxa"/>
          </w:tcPr>
          <w:p w14:paraId="6B6C2A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FB83A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99E21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5280BC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FDCC0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193B3B4F" w14:textId="77777777">
        <w:tc>
          <w:tcPr>
            <w:tcW w:w="3345" w:type="dxa"/>
          </w:tcPr>
          <w:p w14:paraId="64AD15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Аэросани</w:t>
            </w:r>
          </w:p>
        </w:tc>
        <w:tc>
          <w:tcPr>
            <w:tcW w:w="1644" w:type="dxa"/>
          </w:tcPr>
          <w:p w14:paraId="5F16AA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398AD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33475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5E9D4F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53F92C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5947C8FA" w14:textId="77777777">
        <w:tc>
          <w:tcPr>
            <w:tcW w:w="3345" w:type="dxa"/>
          </w:tcPr>
          <w:p w14:paraId="105F06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Стартеры</w:t>
            </w:r>
          </w:p>
        </w:tc>
        <w:tc>
          <w:tcPr>
            <w:tcW w:w="1644" w:type="dxa"/>
          </w:tcPr>
          <w:p w14:paraId="2886CE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569EA0DA" w14:textId="77777777" w:rsidR="00537E5F" w:rsidRPr="00507A31" w:rsidRDefault="00537E5F" w:rsidP="00507A31">
            <w:pPr>
              <w:autoSpaceDE w:val="0"/>
              <w:autoSpaceDN w:val="0"/>
              <w:adjustRightInd w:val="0"/>
              <w:jc w:val="both"/>
              <w:rPr>
                <w:color w:val="000000" w:themeColor="text1"/>
                <w:sz w:val="16"/>
                <w:szCs w:val="16"/>
              </w:rPr>
            </w:pPr>
          </w:p>
        </w:tc>
        <w:tc>
          <w:tcPr>
            <w:tcW w:w="1644" w:type="dxa"/>
          </w:tcPr>
          <w:p w14:paraId="1E8DB5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3D73BFC0" w14:textId="77777777" w:rsidR="00537E5F" w:rsidRPr="00507A31" w:rsidRDefault="00537E5F" w:rsidP="00507A31">
            <w:pPr>
              <w:autoSpaceDE w:val="0"/>
              <w:autoSpaceDN w:val="0"/>
              <w:adjustRightInd w:val="0"/>
              <w:jc w:val="both"/>
              <w:rPr>
                <w:color w:val="000000" w:themeColor="text1"/>
                <w:sz w:val="16"/>
                <w:szCs w:val="16"/>
              </w:rPr>
            </w:pPr>
          </w:p>
        </w:tc>
        <w:tc>
          <w:tcPr>
            <w:tcW w:w="1644" w:type="dxa"/>
          </w:tcPr>
          <w:p w14:paraId="1C8FF2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03050586" w14:textId="77777777">
        <w:tc>
          <w:tcPr>
            <w:tcW w:w="3345" w:type="dxa"/>
          </w:tcPr>
          <w:p w14:paraId="31F610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Специальные тележки отепл.</w:t>
            </w:r>
          </w:p>
        </w:tc>
        <w:tc>
          <w:tcPr>
            <w:tcW w:w="1644" w:type="dxa"/>
          </w:tcPr>
          <w:p w14:paraId="47E353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771817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1644" w:type="dxa"/>
          </w:tcPr>
          <w:p w14:paraId="7255BF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5E9BD7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B9A21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278F6D6F" w14:textId="77777777">
        <w:tc>
          <w:tcPr>
            <w:tcW w:w="3345" w:type="dxa"/>
          </w:tcPr>
          <w:p w14:paraId="72B192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Оборудование морских аэродромов:</w:t>
            </w:r>
          </w:p>
          <w:p w14:paraId="213F31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плавучие доки</w:t>
            </w:r>
          </w:p>
          <w:p w14:paraId="10558A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баржи для питания гидросамолетов</w:t>
            </w:r>
          </w:p>
          <w:p w14:paraId="3CB45E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катера</w:t>
            </w:r>
          </w:p>
        </w:tc>
        <w:tc>
          <w:tcPr>
            <w:tcW w:w="1644" w:type="dxa"/>
          </w:tcPr>
          <w:p w14:paraId="6E99C1FD" w14:textId="77777777" w:rsidR="00537E5F" w:rsidRPr="00507A31" w:rsidRDefault="00537E5F" w:rsidP="00507A31">
            <w:pPr>
              <w:autoSpaceDE w:val="0"/>
              <w:autoSpaceDN w:val="0"/>
              <w:adjustRightInd w:val="0"/>
              <w:jc w:val="both"/>
              <w:rPr>
                <w:color w:val="000000" w:themeColor="text1"/>
                <w:sz w:val="16"/>
                <w:szCs w:val="16"/>
              </w:rPr>
            </w:pPr>
          </w:p>
          <w:p w14:paraId="1BB40C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65480C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180C16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2B8A529" w14:textId="77777777" w:rsidR="00537E5F" w:rsidRPr="00507A31" w:rsidRDefault="00537E5F" w:rsidP="00507A31">
            <w:pPr>
              <w:autoSpaceDE w:val="0"/>
              <w:autoSpaceDN w:val="0"/>
              <w:adjustRightInd w:val="0"/>
              <w:jc w:val="both"/>
              <w:rPr>
                <w:color w:val="000000" w:themeColor="text1"/>
                <w:sz w:val="16"/>
                <w:szCs w:val="16"/>
              </w:rPr>
            </w:pPr>
          </w:p>
          <w:p w14:paraId="20A4D4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6E85DF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20D814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CA051A2" w14:textId="77777777" w:rsidR="00537E5F" w:rsidRPr="00507A31" w:rsidRDefault="00537E5F" w:rsidP="00507A31">
            <w:pPr>
              <w:autoSpaceDE w:val="0"/>
              <w:autoSpaceDN w:val="0"/>
              <w:adjustRightInd w:val="0"/>
              <w:jc w:val="both"/>
              <w:rPr>
                <w:color w:val="000000" w:themeColor="text1"/>
                <w:sz w:val="16"/>
                <w:szCs w:val="16"/>
              </w:rPr>
            </w:pPr>
          </w:p>
          <w:p w14:paraId="4D6865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3908F6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27E25A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1B90B2C" w14:textId="77777777" w:rsidR="00537E5F" w:rsidRPr="00507A31" w:rsidRDefault="00537E5F" w:rsidP="00507A31">
            <w:pPr>
              <w:autoSpaceDE w:val="0"/>
              <w:autoSpaceDN w:val="0"/>
              <w:adjustRightInd w:val="0"/>
              <w:jc w:val="both"/>
              <w:rPr>
                <w:color w:val="000000" w:themeColor="text1"/>
                <w:sz w:val="16"/>
                <w:szCs w:val="16"/>
              </w:rPr>
            </w:pPr>
          </w:p>
          <w:p w14:paraId="22EE6E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3000C5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28969B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4DBB038" w14:textId="77777777" w:rsidR="00537E5F" w:rsidRPr="00507A31" w:rsidRDefault="00537E5F" w:rsidP="00507A31">
            <w:pPr>
              <w:autoSpaceDE w:val="0"/>
              <w:autoSpaceDN w:val="0"/>
              <w:adjustRightInd w:val="0"/>
              <w:jc w:val="both"/>
              <w:rPr>
                <w:color w:val="000000" w:themeColor="text1"/>
                <w:sz w:val="16"/>
                <w:szCs w:val="16"/>
              </w:rPr>
            </w:pPr>
          </w:p>
          <w:p w14:paraId="6B042F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1A97B0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p w14:paraId="4866B7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6571F579" w14:textId="77777777">
        <w:tc>
          <w:tcPr>
            <w:tcW w:w="3345" w:type="dxa"/>
          </w:tcPr>
          <w:p w14:paraId="4465F4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Вспомогательное аэродромное имущество:</w:t>
            </w:r>
          </w:p>
          <w:p w14:paraId="166176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водомаслогрейки</w:t>
            </w:r>
          </w:p>
          <w:p w14:paraId="3404D4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спасательные пояса, спасательные лодки</w:t>
            </w:r>
          </w:p>
          <w:p w14:paraId="3859DD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подвижные краны</w:t>
            </w:r>
          </w:p>
        </w:tc>
        <w:tc>
          <w:tcPr>
            <w:tcW w:w="1644" w:type="dxa"/>
          </w:tcPr>
          <w:p w14:paraId="6A80AF1A" w14:textId="77777777" w:rsidR="00537E5F" w:rsidRPr="00507A31" w:rsidRDefault="00537E5F" w:rsidP="00507A31">
            <w:pPr>
              <w:autoSpaceDE w:val="0"/>
              <w:autoSpaceDN w:val="0"/>
              <w:adjustRightInd w:val="0"/>
              <w:jc w:val="both"/>
              <w:rPr>
                <w:color w:val="000000" w:themeColor="text1"/>
                <w:sz w:val="16"/>
                <w:szCs w:val="16"/>
              </w:rPr>
            </w:pPr>
          </w:p>
          <w:p w14:paraId="65CA71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2277F6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p w14:paraId="6F255D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77C23FD" w14:textId="77777777" w:rsidR="00537E5F" w:rsidRPr="00507A31" w:rsidRDefault="00537E5F" w:rsidP="00507A31">
            <w:pPr>
              <w:autoSpaceDE w:val="0"/>
              <w:autoSpaceDN w:val="0"/>
              <w:adjustRightInd w:val="0"/>
              <w:jc w:val="both"/>
              <w:rPr>
                <w:color w:val="000000" w:themeColor="text1"/>
                <w:sz w:val="16"/>
                <w:szCs w:val="16"/>
              </w:rPr>
            </w:pPr>
          </w:p>
          <w:p w14:paraId="407D5A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241820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4C9A4B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661CB60" w14:textId="77777777" w:rsidR="00537E5F" w:rsidRPr="00507A31" w:rsidRDefault="00537E5F" w:rsidP="00507A31">
            <w:pPr>
              <w:autoSpaceDE w:val="0"/>
              <w:autoSpaceDN w:val="0"/>
              <w:adjustRightInd w:val="0"/>
              <w:jc w:val="both"/>
              <w:rPr>
                <w:color w:val="000000" w:themeColor="text1"/>
                <w:sz w:val="16"/>
                <w:szCs w:val="16"/>
              </w:rPr>
            </w:pPr>
          </w:p>
          <w:p w14:paraId="00C410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7CCCC8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p w14:paraId="5731C3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2B262360" w14:textId="77777777" w:rsidR="00537E5F" w:rsidRPr="00507A31" w:rsidRDefault="00537E5F" w:rsidP="00507A31">
            <w:pPr>
              <w:autoSpaceDE w:val="0"/>
              <w:autoSpaceDN w:val="0"/>
              <w:adjustRightInd w:val="0"/>
              <w:jc w:val="both"/>
              <w:rPr>
                <w:color w:val="000000" w:themeColor="text1"/>
                <w:sz w:val="16"/>
                <w:szCs w:val="16"/>
              </w:rPr>
            </w:pPr>
          </w:p>
          <w:p w14:paraId="7127E8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231CB7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1FC808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57FA68A5" w14:textId="77777777" w:rsidR="00537E5F" w:rsidRPr="00507A31" w:rsidRDefault="00537E5F" w:rsidP="00507A31">
            <w:pPr>
              <w:autoSpaceDE w:val="0"/>
              <w:autoSpaceDN w:val="0"/>
              <w:adjustRightInd w:val="0"/>
              <w:jc w:val="both"/>
              <w:rPr>
                <w:color w:val="000000" w:themeColor="text1"/>
                <w:sz w:val="16"/>
                <w:szCs w:val="16"/>
              </w:rPr>
            </w:pPr>
          </w:p>
          <w:p w14:paraId="3C8D55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151564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p w14:paraId="70B186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7AA39359" w14:textId="77777777">
        <w:tc>
          <w:tcPr>
            <w:tcW w:w="3345" w:type="dxa"/>
          </w:tcPr>
          <w:p w14:paraId="5FE309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Автомастерская на автомобилях</w:t>
            </w:r>
          </w:p>
        </w:tc>
        <w:tc>
          <w:tcPr>
            <w:tcW w:w="1644" w:type="dxa"/>
          </w:tcPr>
          <w:p w14:paraId="2402D9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C4C71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BB6AF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A6ED6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91BCD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bl>
    <w:p w14:paraId="7058C09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Расходы по осуществлению плана опытного строительства ВВС, указанного в п. 1 настоящего постановления, отнести за счет ВСНХ Союза.</w:t>
      </w:r>
    </w:p>
    <w:p w14:paraId="17E1DD2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Обязать Президиум ВСНХ по соглашению с НКВМ:</w:t>
      </w:r>
    </w:p>
    <w:p w14:paraId="4EED78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обеспечить опытные учреждения и заведения ежегодно полностью необходимыми специальными ассигнованиями как на конструирование и постройку объектов, перечисленных в плане, так и на исследовательские и экспериментальные работы и покупку иностранных образцов предметов вооружения и снабжения воздушного флота для их испытания и изучения;</w:t>
      </w:r>
    </w:p>
    <w:p w14:paraId="0722AF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в целях ускорения и сокращения сроков внедрения новых типов моторов, самолетов и других предметов опытного строительства воздушного флота в серийное производство, обеспечить изготовление рабочих чертежей, чертежей инструмента и приспособлений и др. документов, а равно моделей – одновременно и параллельно с постройкой опытных образцов.</w:t>
      </w:r>
    </w:p>
    <w:p w14:paraId="58B2129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Все расходы на изготовление рабочих чертежей, инструмента и приспособлений и моделей, необходимых для подготовки серийного производства, отнести на средства промышленности с последующим включением их в калькуляцию серийной продукции данного типа (3625,8.</w:t>
      </w:r>
    </w:p>
    <w:p w14:paraId="427F1034"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03BDBF7A" w14:textId="77777777" w:rsidR="002E5987" w:rsidRPr="00507A31" w:rsidRDefault="002E5987" w:rsidP="00507A31">
      <w:pPr>
        <w:jc w:val="both"/>
        <w:rPr>
          <w:color w:val="0070C0"/>
          <w:sz w:val="16"/>
          <w:szCs w:val="16"/>
        </w:rPr>
      </w:pPr>
      <w:r w:rsidRPr="00507A31">
        <w:rPr>
          <w:color w:val="0070C0"/>
          <w:sz w:val="16"/>
          <w:szCs w:val="16"/>
        </w:rPr>
        <w:t>С 15 марта до 10 апреля 1930 проводились государственные испытания S.62 (РГВА. Ф. 33987. Оп. 3. Д. 340. Л. 13.). Руководил ими Р.Л. Бартини. С итальянской стороны присутствовал представитель фирмы «SIAI» Карутти (правильно – Гарутти), Пассалева же осуществлял полеты. Самолет показал хорошую управляемость и удовлетворительную устойчивость. Пассалева продемонстрировал «виражи с креном до 70º, боевые развороты, крутые спирали, скольжение с креном до 40º, пикирование с углом до 45º и потерю скорости, при которой самолет, парашютируя, переходит на нос и, вновь набрав скорость, возвращается в исходное положение». Среднюю скорость рассчитали равной 180 км/ч. Комиссия под председательством В.К. Лаврова отметила положительные качества самолета – горизонтальную скорость, скороподъемность, маневренность в воздухе, разбег, простоту в эксплуатации, грузоподъемность, большой радиус действия, однако обнаружила и несколько недостатков: тугое управление, неудовлетворительную продольную устойчивость, трудную маневренность в воде. Тем не менее, в заключении комиссия признавала, что «благодаря хорошим летным качествам, простоты в эксплуатации Савойя 62-бис является вполне современным гидросамолетом и после устранения недостатков, отмеченных в акте технического осмотра, может быть рекомендован на снабжение ВВС РККА как разведчик и легкий бомбардировщик».</w:t>
      </w:r>
    </w:p>
    <w:p w14:paraId="21674B2B" w14:textId="77777777" w:rsidR="002E5987" w:rsidRPr="00507A31" w:rsidRDefault="002E5987" w:rsidP="00507A31">
      <w:pPr>
        <w:jc w:val="both"/>
        <w:rPr>
          <w:color w:val="0070C0"/>
          <w:sz w:val="16"/>
          <w:szCs w:val="16"/>
        </w:rPr>
      </w:pPr>
      <w:r w:rsidRPr="00507A31">
        <w:rPr>
          <w:color w:val="0070C0"/>
          <w:sz w:val="16"/>
          <w:szCs w:val="16"/>
        </w:rPr>
        <w:t>Комиссия сравнивала S.62 (один мотор Asso мощностью 750-800 л.с.) и Dornier «Wal» (два мотора BMW мощностью по 500 л.с.) и пришла к выводу, что «при одинаковых бомбовой нагрузке, снаряжении и вооружении С62 имеет преимущество над ДВ». По итогам признавалось, что «С62бис не только не уступает, но и превосходит ДВ по своей боевой производительности. Она может выполнять боевые задачи ДВ, бомбардировочные и разведывательные, но в меньшее время. Вооружение обоих самолетов одинаково. За ДВ остаются два больших плюса: мореходность и надежность двух моторов». При том эта деревянная лодка была существенно дешевле цельнометаллического «Wal». Начальник ВВС Черного моря Лавров заключил, что следует «считать возможным дать заказ на серийную постройку самолетов» (21410).</w:t>
      </w:r>
    </w:p>
    <w:p w14:paraId="12BB6BAB" w14:textId="77777777" w:rsidR="002E5987" w:rsidRPr="00507A31" w:rsidRDefault="002E5987" w:rsidP="00507A31">
      <w:pPr>
        <w:jc w:val="both"/>
        <w:rPr>
          <w:color w:val="0070C0"/>
          <w:sz w:val="16"/>
          <w:szCs w:val="16"/>
        </w:rPr>
      </w:pPr>
    </w:p>
    <w:p w14:paraId="1F9D7854" w14:textId="77777777" w:rsidR="008E5A72" w:rsidRPr="00507A31" w:rsidRDefault="008E5A72" w:rsidP="00507A31">
      <w:pPr>
        <w:jc w:val="both"/>
        <w:rPr>
          <w:color w:val="000000" w:themeColor="text1"/>
          <w:sz w:val="16"/>
          <w:szCs w:val="16"/>
        </w:rPr>
      </w:pPr>
      <w:r w:rsidRPr="00507A31">
        <w:rPr>
          <w:color w:val="000000" w:themeColor="text1"/>
          <w:sz w:val="16"/>
          <w:szCs w:val="16"/>
        </w:rPr>
        <w:t>15 марта 1930 г. Протокол ПБ № 120 п.82: О выдаче разрешений самолетостроительному обществу Клемм на перелет через СССР в Индию и американскому летчику Мирсу на кругосветный полет из Нью-Йорка. (Ворошилов). Решено не возражать (15891).</w:t>
      </w:r>
    </w:p>
    <w:p w14:paraId="771DF565" w14:textId="77777777" w:rsidR="008E5A72" w:rsidRPr="00507A31" w:rsidRDefault="008E5A72" w:rsidP="00507A31">
      <w:pPr>
        <w:jc w:val="both"/>
        <w:rPr>
          <w:color w:val="000000" w:themeColor="text1"/>
          <w:sz w:val="16"/>
          <w:szCs w:val="16"/>
        </w:rPr>
      </w:pPr>
    </w:p>
    <w:p w14:paraId="5D963C5A" w14:textId="77777777" w:rsidR="008B07EF" w:rsidRPr="00507A31" w:rsidRDefault="008B07EF" w:rsidP="00507A31">
      <w:pPr>
        <w:jc w:val="both"/>
        <w:rPr>
          <w:color w:val="0070C0"/>
          <w:sz w:val="16"/>
          <w:szCs w:val="16"/>
        </w:rPr>
      </w:pPr>
      <w:r w:rsidRPr="00507A31">
        <w:rPr>
          <w:color w:val="0070C0"/>
          <w:sz w:val="16"/>
          <w:szCs w:val="16"/>
        </w:rPr>
        <w:t>15 марта 1930 г.</w:t>
      </w:r>
    </w:p>
    <w:p w14:paraId="6796283A" w14:textId="77777777" w:rsidR="008B07EF" w:rsidRPr="00507A31" w:rsidRDefault="008B07EF" w:rsidP="00507A31">
      <w:pPr>
        <w:jc w:val="both"/>
        <w:rPr>
          <w:color w:val="0070C0"/>
          <w:sz w:val="16"/>
          <w:szCs w:val="16"/>
        </w:rPr>
      </w:pPr>
      <w:r w:rsidRPr="00507A31">
        <w:rPr>
          <w:color w:val="0070C0"/>
          <w:sz w:val="16"/>
          <w:szCs w:val="16"/>
        </w:rPr>
        <w:t>Постановление Политбюро ЦК ВКП(б)</w:t>
      </w:r>
    </w:p>
    <w:p w14:paraId="0692299E" w14:textId="77777777" w:rsidR="008B07EF" w:rsidRPr="00507A31" w:rsidRDefault="008B07EF" w:rsidP="00507A31">
      <w:pPr>
        <w:jc w:val="both"/>
        <w:rPr>
          <w:color w:val="0070C0"/>
          <w:sz w:val="16"/>
          <w:szCs w:val="16"/>
        </w:rPr>
      </w:pPr>
      <w:r w:rsidRPr="00507A31">
        <w:rPr>
          <w:color w:val="0070C0"/>
          <w:sz w:val="16"/>
          <w:szCs w:val="16"/>
        </w:rPr>
        <w:t>«О выдаче разрешений самолетостроительному обществу «Клемм» на перелет через СССР в Индию и американскому летчику Мирсу</w:t>
      </w:r>
    </w:p>
    <w:p w14:paraId="30533F22" w14:textId="77777777" w:rsidR="008B07EF" w:rsidRPr="00507A31" w:rsidRDefault="008B07EF" w:rsidP="00507A31">
      <w:pPr>
        <w:jc w:val="both"/>
        <w:rPr>
          <w:color w:val="0070C0"/>
          <w:sz w:val="16"/>
          <w:szCs w:val="16"/>
        </w:rPr>
      </w:pPr>
      <w:r w:rsidRPr="00507A31">
        <w:rPr>
          <w:color w:val="0070C0"/>
          <w:sz w:val="16"/>
          <w:szCs w:val="16"/>
        </w:rPr>
        <w:t>на кругосветный полет из Нью-Йорка»</w:t>
      </w:r>
    </w:p>
    <w:p w14:paraId="04A9BFB1" w14:textId="77777777" w:rsidR="008B07EF" w:rsidRPr="00507A31" w:rsidRDefault="008B07EF" w:rsidP="00507A31">
      <w:pPr>
        <w:jc w:val="both"/>
        <w:rPr>
          <w:color w:val="0070C0"/>
          <w:sz w:val="16"/>
          <w:szCs w:val="16"/>
        </w:rPr>
      </w:pPr>
      <w:r w:rsidRPr="00507A31">
        <w:rPr>
          <w:color w:val="0070C0"/>
          <w:sz w:val="16"/>
          <w:szCs w:val="16"/>
        </w:rPr>
        <w:t>№ П120/43-с/опр.</w:t>
      </w:r>
    </w:p>
    <w:p w14:paraId="7F2B8F96" w14:textId="77777777" w:rsidR="008B07EF" w:rsidRPr="00507A31" w:rsidRDefault="008B07EF" w:rsidP="00507A31">
      <w:pPr>
        <w:jc w:val="both"/>
        <w:rPr>
          <w:color w:val="0070C0"/>
          <w:sz w:val="16"/>
          <w:szCs w:val="16"/>
        </w:rPr>
      </w:pPr>
      <w:r w:rsidRPr="00507A31">
        <w:rPr>
          <w:color w:val="0070C0"/>
          <w:sz w:val="16"/>
          <w:szCs w:val="16"/>
        </w:rPr>
        <w:t>15 марта 1930 г.</w:t>
      </w:r>
    </w:p>
    <w:p w14:paraId="453066BA" w14:textId="77777777" w:rsidR="008B07EF" w:rsidRPr="00507A31" w:rsidRDefault="008B07EF" w:rsidP="00507A31">
      <w:pPr>
        <w:jc w:val="both"/>
        <w:rPr>
          <w:color w:val="0070C0"/>
          <w:sz w:val="16"/>
          <w:szCs w:val="16"/>
        </w:rPr>
      </w:pPr>
      <w:r w:rsidRPr="00507A31">
        <w:rPr>
          <w:color w:val="0070C0"/>
          <w:sz w:val="16"/>
          <w:szCs w:val="16"/>
        </w:rPr>
        <w:t>Строго секретно</w:t>
      </w:r>
    </w:p>
    <w:p w14:paraId="6CE1C383" w14:textId="77777777" w:rsidR="008B07EF" w:rsidRPr="00507A31" w:rsidRDefault="008B07EF" w:rsidP="00507A31">
      <w:pPr>
        <w:jc w:val="both"/>
        <w:rPr>
          <w:color w:val="0070C0"/>
          <w:sz w:val="16"/>
          <w:szCs w:val="16"/>
        </w:rPr>
      </w:pPr>
      <w:r w:rsidRPr="00507A31">
        <w:rPr>
          <w:color w:val="0070C0"/>
          <w:sz w:val="16"/>
          <w:szCs w:val="16"/>
        </w:rPr>
        <w:t>82. Не возражать.</w:t>
      </w:r>
    </w:p>
    <w:p w14:paraId="2C165F8B" w14:textId="77777777" w:rsidR="008B07EF" w:rsidRPr="00507A31" w:rsidRDefault="008B07EF" w:rsidP="00507A31">
      <w:pPr>
        <w:jc w:val="both"/>
        <w:rPr>
          <w:color w:val="0070C0"/>
          <w:sz w:val="16"/>
          <w:szCs w:val="16"/>
        </w:rPr>
      </w:pPr>
      <w:r w:rsidRPr="00507A31">
        <w:rPr>
          <w:color w:val="0070C0"/>
          <w:sz w:val="16"/>
          <w:szCs w:val="16"/>
        </w:rPr>
        <w:t>Секретарь ЦК</w:t>
      </w:r>
    </w:p>
    <w:p w14:paraId="715C2126" w14:textId="77777777" w:rsidR="008B07EF" w:rsidRPr="00507A31" w:rsidRDefault="008B07EF" w:rsidP="00507A31">
      <w:pPr>
        <w:jc w:val="both"/>
        <w:rPr>
          <w:color w:val="0070C0"/>
          <w:sz w:val="16"/>
          <w:szCs w:val="16"/>
        </w:rPr>
      </w:pPr>
      <w:r w:rsidRPr="00507A31">
        <w:rPr>
          <w:color w:val="0070C0"/>
          <w:sz w:val="16"/>
          <w:szCs w:val="16"/>
        </w:rPr>
        <w:t>АП РФ. Ф. 3. On. 66. Д. 436. Л. 81. Копия.</w:t>
      </w:r>
    </w:p>
    <w:p w14:paraId="76709DD8" w14:textId="77777777" w:rsidR="008B07EF" w:rsidRPr="00507A31" w:rsidRDefault="008B07EF" w:rsidP="00507A31">
      <w:pPr>
        <w:jc w:val="both"/>
        <w:rPr>
          <w:color w:val="0070C0"/>
          <w:sz w:val="16"/>
          <w:szCs w:val="16"/>
        </w:rPr>
      </w:pPr>
      <w:r w:rsidRPr="00507A31">
        <w:rPr>
          <w:color w:val="0070C0"/>
          <w:sz w:val="16"/>
          <w:szCs w:val="16"/>
        </w:rPr>
        <w:t>1 Речь идет о немецкой фирме (создана в 1926 г. в Германии), которая выпускала легкий двухместный самолет «Клемм» (20598).</w:t>
      </w:r>
    </w:p>
    <w:p w14:paraId="59646F2A" w14:textId="77777777" w:rsidR="008B07EF" w:rsidRPr="00507A31" w:rsidRDefault="008B07EF" w:rsidP="00507A31">
      <w:pPr>
        <w:jc w:val="both"/>
        <w:rPr>
          <w:color w:val="0070C0"/>
          <w:sz w:val="16"/>
          <w:szCs w:val="16"/>
        </w:rPr>
      </w:pPr>
    </w:p>
    <w:p w14:paraId="535C1D73" w14:textId="77777777" w:rsidR="00065987"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FE2A510" w14:textId="77777777" w:rsidR="00065987" w:rsidRPr="00507A31" w:rsidRDefault="00065987" w:rsidP="00507A31">
      <w:pPr>
        <w:autoSpaceDE w:val="0"/>
        <w:autoSpaceDN w:val="0"/>
        <w:adjustRightInd w:val="0"/>
        <w:jc w:val="both"/>
        <w:rPr>
          <w:iCs/>
          <w:color w:val="000000" w:themeColor="text1"/>
          <w:sz w:val="16"/>
          <w:szCs w:val="16"/>
        </w:rPr>
      </w:pPr>
    </w:p>
    <w:p w14:paraId="04E319F4" w14:textId="77777777" w:rsidR="00065987" w:rsidRPr="00507A31" w:rsidRDefault="00065987" w:rsidP="00507A31">
      <w:pPr>
        <w:jc w:val="both"/>
        <w:rPr>
          <w:color w:val="000000" w:themeColor="text1"/>
          <w:sz w:val="16"/>
          <w:szCs w:val="16"/>
          <w:u w:color="002060"/>
        </w:rPr>
      </w:pPr>
      <w:r w:rsidRPr="00507A31">
        <w:rPr>
          <w:color w:val="000000" w:themeColor="text1"/>
          <w:sz w:val="16"/>
          <w:szCs w:val="16"/>
          <w:u w:color="002060"/>
        </w:rPr>
        <w:t>15 марта</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120. 3. О мобилизациях промышленности (ПБ от 15 января 1930 г., пр. № 113, п. 1) (Рухимович, Ворошилов, Постников). — ОП. 4. О мобфондах (ПБ от 5 марта 1930 г., пр. № 119, п. 21). (Ворошилов, Рыков, Рухимович). Постановили: подтвердить еще раз к точному выполнению решение Политбюро от 15 июля 1929 г. о категорическом воспрещении расходования мобфондов обороны для мирных целей. 37. О прекращениях массовых и групповых мобилизаций (Сталин). Опросом членов ПБ от 11 марта 1930 г. П. 73. Об Аванесове. (Политбюро... Т. 2. С. 27, 28, 29; РГАСПИ. Ф. 17. Оп. 162. Д. 8. Л. 111) (12416).</w:t>
      </w:r>
    </w:p>
    <w:p w14:paraId="17674F87" w14:textId="77777777" w:rsidR="00065987" w:rsidRPr="00507A31" w:rsidRDefault="00065987" w:rsidP="00507A31">
      <w:pPr>
        <w:jc w:val="both"/>
        <w:rPr>
          <w:color w:val="000000" w:themeColor="text1"/>
          <w:sz w:val="16"/>
          <w:szCs w:val="16"/>
          <w:u w:color="002060"/>
        </w:rPr>
      </w:pPr>
    </w:p>
    <w:p w14:paraId="6C2706F2" w14:textId="77777777" w:rsidR="004541E6" w:rsidRPr="00507A31" w:rsidRDefault="004541E6" w:rsidP="00507A31">
      <w:pPr>
        <w:jc w:val="both"/>
        <w:rPr>
          <w:color w:val="0070C0"/>
          <w:sz w:val="16"/>
          <w:szCs w:val="16"/>
        </w:rPr>
      </w:pPr>
      <w:r w:rsidRPr="00507A31">
        <w:rPr>
          <w:color w:val="0070C0"/>
          <w:sz w:val="16"/>
          <w:szCs w:val="16"/>
        </w:rPr>
        <w:t>15 марта 1930 состоялось заседание ПБ (Протокол № 120. Особый № 118)</w:t>
      </w:r>
    </w:p>
    <w:p w14:paraId="30426D2C" w14:textId="77777777" w:rsidR="004541E6" w:rsidRPr="00507A31" w:rsidRDefault="004541E6" w:rsidP="00507A31">
      <w:pPr>
        <w:jc w:val="both"/>
        <w:rPr>
          <w:color w:val="0070C0"/>
          <w:sz w:val="16"/>
          <w:szCs w:val="16"/>
        </w:rPr>
      </w:pPr>
      <w:r w:rsidRPr="00507A31">
        <w:rPr>
          <w:color w:val="0070C0"/>
          <w:sz w:val="16"/>
          <w:szCs w:val="16"/>
        </w:rPr>
        <w:t>3.- О мибилизациях промышленности</w:t>
      </w:r>
    </w:p>
    <w:p w14:paraId="7F63032D" w14:textId="77777777" w:rsidR="004541E6" w:rsidRPr="00507A31" w:rsidRDefault="004541E6" w:rsidP="00507A31">
      <w:pPr>
        <w:jc w:val="both"/>
        <w:rPr>
          <w:color w:val="0070C0"/>
          <w:sz w:val="16"/>
          <w:szCs w:val="16"/>
        </w:rPr>
      </w:pPr>
      <w:r w:rsidRPr="00507A31">
        <w:rPr>
          <w:color w:val="0070C0"/>
          <w:sz w:val="16"/>
          <w:szCs w:val="16"/>
        </w:rPr>
        <w:t>(ПБ от 15.1.30 г. , пр. № 113, п. 1).</w:t>
      </w:r>
    </w:p>
    <w:p w14:paraId="147DDF85" w14:textId="77777777" w:rsidR="004541E6" w:rsidRPr="00507A31" w:rsidRDefault="004541E6" w:rsidP="00507A31">
      <w:pPr>
        <w:jc w:val="both"/>
        <w:rPr>
          <w:color w:val="0070C0"/>
          <w:sz w:val="16"/>
          <w:szCs w:val="16"/>
        </w:rPr>
      </w:pPr>
      <w:r w:rsidRPr="00507A31">
        <w:rPr>
          <w:color w:val="0070C0"/>
          <w:sz w:val="16"/>
          <w:szCs w:val="16"/>
        </w:rPr>
        <w:t>(т.т. Рухимович, Ворошилов, Постников).</w:t>
      </w:r>
    </w:p>
    <w:p w14:paraId="3BF4A2B2" w14:textId="77777777" w:rsidR="004541E6" w:rsidRPr="00507A31" w:rsidRDefault="004541E6" w:rsidP="00507A31">
      <w:pPr>
        <w:jc w:val="both"/>
        <w:rPr>
          <w:color w:val="0070C0"/>
          <w:sz w:val="16"/>
          <w:szCs w:val="16"/>
        </w:rPr>
      </w:pPr>
      <w:r w:rsidRPr="00507A31">
        <w:rPr>
          <w:color w:val="0070C0"/>
          <w:sz w:val="16"/>
          <w:szCs w:val="16"/>
        </w:rPr>
        <w:t>а) Проведение опытной мобилизации промышленных предприятий отложить на сентябрь 1930 г.</w:t>
      </w:r>
    </w:p>
    <w:p w14:paraId="3312550A" w14:textId="77777777" w:rsidR="004541E6" w:rsidRPr="00507A31" w:rsidRDefault="004541E6" w:rsidP="00507A31">
      <w:pPr>
        <w:jc w:val="both"/>
        <w:rPr>
          <w:color w:val="0070C0"/>
          <w:sz w:val="16"/>
          <w:szCs w:val="16"/>
        </w:rPr>
      </w:pPr>
      <w:r w:rsidRPr="00507A31">
        <w:rPr>
          <w:color w:val="0070C0"/>
          <w:sz w:val="16"/>
          <w:szCs w:val="16"/>
        </w:rPr>
        <w:lastRenderedPageBreak/>
        <w:t>б) В остальном решение РЗ СТС о плане опытной мобилизации утвердить.</w:t>
      </w:r>
    </w:p>
    <w:p w14:paraId="61553A52" w14:textId="77777777" w:rsidR="004541E6" w:rsidRPr="00507A31" w:rsidRDefault="004541E6" w:rsidP="00507A31">
      <w:pPr>
        <w:jc w:val="both"/>
        <w:rPr>
          <w:color w:val="0070C0"/>
          <w:sz w:val="16"/>
          <w:szCs w:val="16"/>
        </w:rPr>
      </w:pPr>
      <w:r w:rsidRPr="00507A31">
        <w:rPr>
          <w:color w:val="0070C0"/>
          <w:sz w:val="16"/>
          <w:szCs w:val="16"/>
        </w:rPr>
        <w:t>Выписки посланы: т. Аппога.</w:t>
      </w:r>
    </w:p>
    <w:p w14:paraId="1DAB45E4" w14:textId="77777777" w:rsidR="004541E6" w:rsidRPr="00507A31" w:rsidRDefault="004541E6" w:rsidP="00507A31">
      <w:pPr>
        <w:jc w:val="both"/>
        <w:rPr>
          <w:color w:val="0070C0"/>
          <w:sz w:val="16"/>
          <w:szCs w:val="16"/>
        </w:rPr>
      </w:pPr>
      <w:r w:rsidRPr="00507A31">
        <w:rPr>
          <w:color w:val="0070C0"/>
          <w:sz w:val="16"/>
          <w:szCs w:val="16"/>
        </w:rPr>
        <w:t>4.-О мобфондах</w:t>
      </w:r>
    </w:p>
    <w:p w14:paraId="4EA4F719" w14:textId="77777777" w:rsidR="004541E6" w:rsidRPr="00507A31" w:rsidRDefault="004541E6" w:rsidP="00507A31">
      <w:pPr>
        <w:jc w:val="both"/>
        <w:rPr>
          <w:color w:val="0070C0"/>
          <w:sz w:val="16"/>
          <w:szCs w:val="16"/>
        </w:rPr>
      </w:pPr>
      <w:r w:rsidRPr="00507A31">
        <w:rPr>
          <w:color w:val="0070C0"/>
          <w:sz w:val="16"/>
          <w:szCs w:val="16"/>
        </w:rPr>
        <w:t>(ПБ от 5.Ш.З0 г. пр. № 119, п. 21).</w:t>
      </w:r>
    </w:p>
    <w:p w14:paraId="29A8478F" w14:textId="77777777" w:rsidR="004541E6" w:rsidRPr="00507A31" w:rsidRDefault="004541E6" w:rsidP="00507A31">
      <w:pPr>
        <w:jc w:val="both"/>
        <w:rPr>
          <w:color w:val="0070C0"/>
          <w:sz w:val="16"/>
          <w:szCs w:val="16"/>
        </w:rPr>
      </w:pPr>
      <w:r w:rsidRPr="00507A31">
        <w:rPr>
          <w:color w:val="0070C0"/>
          <w:sz w:val="16"/>
          <w:szCs w:val="16"/>
        </w:rPr>
        <w:t>(т.т. Ворошилов, Рыков, Рухимович).</w:t>
      </w:r>
    </w:p>
    <w:p w14:paraId="37CE0BBF" w14:textId="77777777" w:rsidR="004541E6" w:rsidRPr="00507A31" w:rsidRDefault="004541E6" w:rsidP="00507A31">
      <w:pPr>
        <w:jc w:val="both"/>
        <w:rPr>
          <w:color w:val="0070C0"/>
          <w:sz w:val="16"/>
          <w:szCs w:val="16"/>
        </w:rPr>
      </w:pPr>
      <w:r w:rsidRPr="00507A31">
        <w:rPr>
          <w:color w:val="0070C0"/>
          <w:sz w:val="16"/>
          <w:szCs w:val="16"/>
        </w:rPr>
        <w:t>Подтвердить еще раз к точному выполнению решение Полит-бюро от 15.УП.29 г. о категорическом воспрещении расходования мобфондов обороны для мирных целей.</w:t>
      </w:r>
    </w:p>
    <w:p w14:paraId="76A56D35" w14:textId="77777777" w:rsidR="004541E6" w:rsidRPr="00507A31" w:rsidRDefault="004541E6" w:rsidP="00507A31">
      <w:pPr>
        <w:jc w:val="both"/>
        <w:rPr>
          <w:color w:val="0070C0"/>
          <w:sz w:val="16"/>
          <w:szCs w:val="16"/>
        </w:rPr>
      </w:pPr>
      <w:r w:rsidRPr="00507A31">
        <w:rPr>
          <w:color w:val="0070C0"/>
          <w:sz w:val="16"/>
          <w:szCs w:val="16"/>
        </w:rPr>
        <w:t>Выписки посланы: т. Ворошилову, т. Аппога (23105).</w:t>
      </w:r>
    </w:p>
    <w:p w14:paraId="435B8DC1" w14:textId="77777777" w:rsidR="004541E6" w:rsidRPr="00507A31" w:rsidRDefault="004541E6" w:rsidP="00507A31">
      <w:pPr>
        <w:jc w:val="both"/>
        <w:rPr>
          <w:color w:val="0070C0"/>
          <w:sz w:val="16"/>
          <w:szCs w:val="16"/>
        </w:rPr>
      </w:pPr>
    </w:p>
    <w:p w14:paraId="7162B61F" w14:textId="77777777" w:rsidR="00065987" w:rsidRPr="00507A31" w:rsidRDefault="00065987" w:rsidP="00507A31">
      <w:pPr>
        <w:jc w:val="both"/>
        <w:rPr>
          <w:color w:val="000000" w:themeColor="text1"/>
          <w:sz w:val="16"/>
          <w:szCs w:val="16"/>
        </w:rPr>
      </w:pPr>
      <w:r w:rsidRPr="00507A31">
        <w:rPr>
          <w:rStyle w:val="a7"/>
          <w:b w:val="0"/>
          <w:color w:val="000000" w:themeColor="text1"/>
          <w:sz w:val="16"/>
          <w:szCs w:val="16"/>
        </w:rPr>
        <w:t xml:space="preserve">15 марта 1930 </w:t>
      </w:r>
      <w:r w:rsidRPr="00507A31">
        <w:rPr>
          <w:color w:val="000000" w:themeColor="text1"/>
          <w:sz w:val="16"/>
          <w:szCs w:val="16"/>
        </w:rPr>
        <w:t>Политбюро ЦК ВКП (б) признало неправильным решение ВСНХ о приступе к строительству Мариупольского металлургического завода без санкций СНК и Политбюро; приняло решение о создании комиссии для усиления разведки Курской магнитной аномалии (12265).</w:t>
      </w:r>
    </w:p>
    <w:p w14:paraId="72F1B96C" w14:textId="77777777" w:rsidR="00065987" w:rsidRPr="00507A31" w:rsidRDefault="00065987" w:rsidP="00507A31">
      <w:pPr>
        <w:jc w:val="both"/>
        <w:rPr>
          <w:color w:val="000000" w:themeColor="text1"/>
          <w:sz w:val="16"/>
          <w:szCs w:val="16"/>
        </w:rPr>
      </w:pPr>
      <w:r w:rsidRPr="00507A31">
        <w:rPr>
          <w:color w:val="000000" w:themeColor="text1"/>
          <w:sz w:val="16"/>
          <w:szCs w:val="16"/>
        </w:rPr>
        <w:t> </w:t>
      </w:r>
    </w:p>
    <w:p w14:paraId="3E634F4F" w14:textId="77777777" w:rsidR="00D4235A" w:rsidRPr="00507A31" w:rsidRDefault="00D4235A"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2E652E9" w14:textId="77777777" w:rsidR="00D4235A" w:rsidRPr="00507A31" w:rsidRDefault="00D4235A" w:rsidP="00507A31">
      <w:pPr>
        <w:autoSpaceDE w:val="0"/>
        <w:autoSpaceDN w:val="0"/>
        <w:adjustRightInd w:val="0"/>
        <w:jc w:val="both"/>
        <w:rPr>
          <w:iCs/>
          <w:color w:val="000000" w:themeColor="text1"/>
          <w:sz w:val="16"/>
          <w:szCs w:val="16"/>
        </w:rPr>
      </w:pPr>
    </w:p>
    <w:p w14:paraId="59075384" w14:textId="77777777" w:rsidR="00D4235A" w:rsidRPr="00507A31" w:rsidRDefault="00D4235A" w:rsidP="00507A31">
      <w:pPr>
        <w:jc w:val="both"/>
        <w:rPr>
          <w:color w:val="000000" w:themeColor="text1"/>
          <w:sz w:val="16"/>
          <w:szCs w:val="16"/>
        </w:rPr>
      </w:pPr>
      <w:r w:rsidRPr="00507A31">
        <w:rPr>
          <w:color w:val="000000" w:themeColor="text1"/>
          <w:sz w:val="16"/>
          <w:szCs w:val="16"/>
        </w:rPr>
        <w:t>15 марта 1930. В пивных введен запрет на выступление эстрадных артистов (18725).</w:t>
      </w:r>
    </w:p>
    <w:p w14:paraId="091BC281" w14:textId="18B5E4CE" w:rsidR="00D4235A" w:rsidRPr="00507A31" w:rsidRDefault="00D4235A" w:rsidP="00507A31">
      <w:pPr>
        <w:jc w:val="both"/>
        <w:rPr>
          <w:color w:val="000000" w:themeColor="text1"/>
          <w:sz w:val="16"/>
          <w:szCs w:val="16"/>
        </w:rPr>
      </w:pPr>
    </w:p>
    <w:p w14:paraId="151762F1" w14:textId="699137D6" w:rsidR="00AF05F0" w:rsidRPr="00507A31" w:rsidRDefault="00AF05F0" w:rsidP="00507A31">
      <w:pPr>
        <w:jc w:val="both"/>
        <w:rPr>
          <w:i/>
          <w:iCs/>
          <w:color w:val="000000" w:themeColor="text1"/>
          <w:sz w:val="16"/>
          <w:szCs w:val="16"/>
        </w:rPr>
      </w:pPr>
      <w:r w:rsidRPr="00507A31">
        <w:rPr>
          <w:i/>
          <w:iCs/>
          <w:color w:val="000000" w:themeColor="text1"/>
          <w:sz w:val="16"/>
          <w:szCs w:val="16"/>
        </w:rPr>
        <w:t>Армия:</w:t>
      </w:r>
    </w:p>
    <w:p w14:paraId="2F0C549C" w14:textId="77777777" w:rsidR="00AF05F0" w:rsidRPr="00507A31" w:rsidRDefault="00AF05F0" w:rsidP="00507A31">
      <w:pPr>
        <w:jc w:val="both"/>
        <w:rPr>
          <w:i/>
          <w:iCs/>
          <w:color w:val="000000" w:themeColor="text1"/>
          <w:sz w:val="16"/>
          <w:szCs w:val="16"/>
        </w:rPr>
      </w:pPr>
    </w:p>
    <w:p w14:paraId="2CC315DC" w14:textId="77777777" w:rsidR="00AF05F0" w:rsidRPr="00507A31" w:rsidRDefault="00AF05F0" w:rsidP="00507A31">
      <w:pPr>
        <w:shd w:val="clear" w:color="auto" w:fill="FFFFFF"/>
        <w:jc w:val="both"/>
        <w:rPr>
          <w:color w:val="0070C0"/>
          <w:sz w:val="16"/>
          <w:szCs w:val="16"/>
        </w:rPr>
      </w:pPr>
      <w:r w:rsidRPr="00507A31">
        <w:rPr>
          <w:color w:val="0070C0"/>
          <w:sz w:val="16"/>
          <w:szCs w:val="16"/>
        </w:rPr>
        <w:t>В середине марта 1930, по всей вероятности, выждав несколько дней после постановления 11 марта, Сталин распространить директиву об угрозе польского вторжения в военную сферу. (Быть может, руководители Политбюро опасались, что, пока не наступит спад массовых волнений, чрезвычайные военные меры могут спровоцировать Польшу?) Вскоре такие указания были даны, и 17 марта Ворошилов отдал распоряжение о принятии "без всякого шума, в порядке усиления текущей работы" "надлежащих мер для приведения в боеготовность войсковых частей и для поддержки этой боеготовности на должной высоте в течение всего лета 1930 г." (Письмо Наркомвоенмора и Председателя РВСС Ворошилова Начальник)' ПУР РККА Гамарнику, 17.03-1930. Гамарнику предписывалось постепенно перестроить всю политико-просветительскую работу во всех частях Красной Армии (в первую очередь в БВО, ЛВО и УВО), "чтобы в максимальной степени обеспечить боевую настороженность частей и проведение всех мероприятий, с которыми Вы ознакомитесь из отданных мною распоряжений" (Там же)) (22725).</w:t>
      </w:r>
    </w:p>
    <w:p w14:paraId="532A6DBD" w14:textId="0317EF5A" w:rsidR="00AF05F0" w:rsidRPr="00507A31" w:rsidRDefault="00AF05F0" w:rsidP="00507A31">
      <w:pPr>
        <w:jc w:val="both"/>
        <w:rPr>
          <w:color w:val="0070C0"/>
          <w:sz w:val="16"/>
          <w:szCs w:val="16"/>
        </w:rPr>
      </w:pPr>
    </w:p>
    <w:p w14:paraId="484604AB" w14:textId="128E9334" w:rsidR="00AF05F0" w:rsidRPr="00507A31" w:rsidRDefault="00AF05F0" w:rsidP="00507A31">
      <w:pPr>
        <w:jc w:val="both"/>
        <w:rPr>
          <w:i/>
          <w:iCs/>
          <w:color w:val="0070C0"/>
          <w:sz w:val="16"/>
          <w:szCs w:val="16"/>
        </w:rPr>
      </w:pPr>
      <w:r w:rsidRPr="00507A31">
        <w:rPr>
          <w:i/>
          <w:iCs/>
          <w:color w:val="0070C0"/>
          <w:sz w:val="16"/>
          <w:szCs w:val="16"/>
        </w:rPr>
        <w:t>Внешняя политика:</w:t>
      </w:r>
    </w:p>
    <w:p w14:paraId="1C78E33D" w14:textId="77777777" w:rsidR="00AF05F0" w:rsidRPr="00507A31" w:rsidRDefault="00AF05F0" w:rsidP="00507A31">
      <w:pPr>
        <w:jc w:val="both"/>
        <w:rPr>
          <w:i/>
          <w:iCs/>
          <w:color w:val="0070C0"/>
          <w:sz w:val="16"/>
          <w:szCs w:val="16"/>
        </w:rPr>
      </w:pPr>
    </w:p>
    <w:p w14:paraId="1DC0DD2E" w14:textId="77777777" w:rsidR="00AF05F0" w:rsidRPr="00507A31" w:rsidRDefault="00AF05F0" w:rsidP="00507A31">
      <w:pPr>
        <w:shd w:val="clear" w:color="auto" w:fill="FFFFFF"/>
        <w:jc w:val="both"/>
        <w:rPr>
          <w:color w:val="0070C0"/>
          <w:sz w:val="16"/>
          <w:szCs w:val="16"/>
        </w:rPr>
      </w:pPr>
      <w:r w:rsidRPr="00507A31">
        <w:rPr>
          <w:color w:val="0070C0"/>
          <w:sz w:val="16"/>
          <w:szCs w:val="16"/>
        </w:rPr>
        <w:t>В середине марта 1930 советское руководство приняло решение добиваться смягчения отношений с главным вероятным противником и даже "воспользоваться подходящим случаем для возобновления нашего предложения Польше о заключении гарантийного договора"( Письмо члена Коллегии НКИД Стомонякова полпреду СССР в Польше Антонову-Овсеенко, 17.03-1930 // АВП РФ. Ф. 0122. Оп. 14. П. 149 Д 2. Л. 27. При этом полпреда предостерегали: "Надо всемерно избегать высказывать впечатление о том, что мы встревожены ситуацией и поэтому заинтересованы в заключении пакта о ненападении" (Письмо Члена Коллегии НКИД Стомонякова полпреду СССР в Польше Антонову-Овсеенко, 27.03.1930 // Там же. Л. 30)). Взятый в эти тревожные недели курс на получение политических гарантий от войны с Полыней вскоре начал подвергаться ревизии под воздействием тактических соображений. Однако в среднесрочной перспективе он продолжался рассматриваться Сталиным как жизненно необходимый для СССР (См.: КЕН О. Москва и пакт о ненападении с Польшей (1930-1932 тт.). СПб., 2003 (часть 1).). Позже, в связи с польским предложением пакта о ненападении в августе 1931 г. Сталин указывал председательствовавшему в Политбюро Кагановичу: "Дело это очень важное, почти решающее (на ближайшие 2-3 года). Вопрос о мире..."( Письмо Сталина Кагановичу, Сочи, 30.08.[1931] // Сталин и Каганович: Переписка, 1931-1936 гг. / Сост. О. В. Хлевнюк и др. М., 2001. С. 71. Его анализ см.: КЕН О. Указ. соч. С. 46, 106). Указанный Сталиным срок (1933-1934 гг.), на который дело пакта о ненападении с Польшей остается "почти решающим" с точки зрения "интересов революции", вероятно, виделся Сталину неким рубежом, к которому СССР должен был подойти во всеоружии (22725).</w:t>
      </w:r>
    </w:p>
    <w:p w14:paraId="0AF1E84F" w14:textId="77777777" w:rsidR="00AF05F0" w:rsidRPr="00507A31" w:rsidRDefault="00AF05F0" w:rsidP="00507A31">
      <w:pPr>
        <w:jc w:val="both"/>
        <w:rPr>
          <w:color w:val="0070C0"/>
          <w:sz w:val="16"/>
          <w:szCs w:val="16"/>
        </w:rPr>
      </w:pPr>
    </w:p>
    <w:p w14:paraId="0901874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AAFCCBF" w14:textId="77777777" w:rsidR="00537E5F" w:rsidRPr="00507A31" w:rsidRDefault="00537E5F" w:rsidP="00507A31">
      <w:pPr>
        <w:autoSpaceDE w:val="0"/>
        <w:autoSpaceDN w:val="0"/>
        <w:adjustRightInd w:val="0"/>
        <w:jc w:val="both"/>
        <w:rPr>
          <w:iCs/>
          <w:color w:val="000000" w:themeColor="text1"/>
          <w:sz w:val="16"/>
          <w:szCs w:val="16"/>
        </w:rPr>
      </w:pPr>
    </w:p>
    <w:p w14:paraId="654E6A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марта 1930 НТК ВВС направило в ЦАГИ предложение о проектировании истребителя - двухместного цельнометаллического биплана с М-34, который получил обозначение АНТ-15. Делать не стали и потом по этому заданию появился ДИ-3 Д.П.Г. (346,55).</w:t>
      </w:r>
    </w:p>
    <w:p w14:paraId="0C6A6CAF" w14:textId="77777777" w:rsidR="00537E5F" w:rsidRPr="00507A31" w:rsidRDefault="00537E5F" w:rsidP="00507A31">
      <w:pPr>
        <w:autoSpaceDE w:val="0"/>
        <w:autoSpaceDN w:val="0"/>
        <w:adjustRightInd w:val="0"/>
        <w:jc w:val="both"/>
        <w:rPr>
          <w:color w:val="000000" w:themeColor="text1"/>
          <w:sz w:val="16"/>
          <w:szCs w:val="16"/>
        </w:rPr>
      </w:pPr>
    </w:p>
    <w:p w14:paraId="69D83F14" w14:textId="77777777" w:rsidR="00065987" w:rsidRPr="00507A31" w:rsidRDefault="00065987" w:rsidP="00507A31">
      <w:pPr>
        <w:jc w:val="both"/>
        <w:rPr>
          <w:color w:val="000000" w:themeColor="text1"/>
          <w:sz w:val="16"/>
          <w:szCs w:val="16"/>
        </w:rPr>
      </w:pPr>
      <w:r w:rsidRPr="00507A31">
        <w:rPr>
          <w:color w:val="000000" w:themeColor="text1"/>
          <w:sz w:val="16"/>
          <w:szCs w:val="16"/>
        </w:rPr>
        <w:t>16 марта 1930 г., т.к. возможность получения двигателя М-32 в нужный срок расценивалась как ма</w:t>
      </w:r>
      <w:r w:rsidRPr="00507A31">
        <w:rPr>
          <w:color w:val="000000" w:themeColor="text1"/>
          <w:sz w:val="16"/>
          <w:szCs w:val="16"/>
        </w:rPr>
        <w:softHyphen/>
        <w:t>ловероятная, Науч</w:t>
      </w:r>
      <w:r w:rsidRPr="00507A31">
        <w:rPr>
          <w:color w:val="000000" w:themeColor="text1"/>
          <w:sz w:val="16"/>
          <w:szCs w:val="16"/>
        </w:rPr>
        <w:softHyphen/>
        <w:t>ный комитет Управления ВВС выслал на за</w:t>
      </w:r>
      <w:r w:rsidRPr="00507A31">
        <w:rPr>
          <w:color w:val="000000" w:themeColor="text1"/>
          <w:sz w:val="16"/>
          <w:szCs w:val="16"/>
        </w:rPr>
        <w:softHyphen/>
        <w:t>вод №25 технические требования (очевид</w:t>
      </w:r>
      <w:r w:rsidRPr="00507A31">
        <w:rPr>
          <w:color w:val="000000" w:themeColor="text1"/>
          <w:sz w:val="16"/>
          <w:szCs w:val="16"/>
        </w:rPr>
        <w:softHyphen/>
        <w:t>но уточненные в который раз) под двигатель Кертисс «Конкверор». Согласно этим техни</w:t>
      </w:r>
      <w:r w:rsidRPr="00507A31">
        <w:rPr>
          <w:color w:val="000000" w:themeColor="text1"/>
          <w:sz w:val="16"/>
          <w:szCs w:val="16"/>
        </w:rPr>
        <w:softHyphen/>
        <w:t>ческим требованиям подготовили ориенти</w:t>
      </w:r>
      <w:r w:rsidRPr="00507A31">
        <w:rPr>
          <w:color w:val="000000" w:themeColor="text1"/>
          <w:sz w:val="16"/>
          <w:szCs w:val="16"/>
        </w:rPr>
        <w:softHyphen/>
        <w:t>ровочный аэродинамический расчет И-9 со следующими предполагаемыми характери</w:t>
      </w:r>
      <w:r w:rsidRPr="00507A31">
        <w:rPr>
          <w:color w:val="000000" w:themeColor="text1"/>
          <w:sz w:val="16"/>
          <w:szCs w:val="16"/>
        </w:rPr>
        <w:softHyphen/>
        <w:t>стиками:</w:t>
      </w:r>
    </w:p>
    <w:p w14:paraId="27F8C360" w14:textId="77777777" w:rsidR="00065987" w:rsidRPr="00507A31" w:rsidRDefault="00065987" w:rsidP="00507A31">
      <w:pPr>
        <w:tabs>
          <w:tab w:val="left" w:pos="2652"/>
        </w:tabs>
        <w:jc w:val="both"/>
        <w:rPr>
          <w:color w:val="000000" w:themeColor="text1"/>
          <w:sz w:val="16"/>
          <w:szCs w:val="16"/>
        </w:rPr>
      </w:pPr>
      <w:r w:rsidRPr="00507A31">
        <w:rPr>
          <w:color w:val="000000" w:themeColor="text1"/>
          <w:sz w:val="16"/>
          <w:szCs w:val="16"/>
        </w:rPr>
        <w:t>Скорость макс, у земли</w:t>
      </w:r>
      <w:r w:rsidRPr="00507A31">
        <w:rPr>
          <w:color w:val="000000" w:themeColor="text1"/>
          <w:sz w:val="16"/>
          <w:szCs w:val="16"/>
        </w:rPr>
        <w:tab/>
        <w:t>275,4 км/ч</w:t>
      </w:r>
    </w:p>
    <w:p w14:paraId="0D6BFCF0" w14:textId="77777777" w:rsidR="00065987" w:rsidRPr="00507A31" w:rsidRDefault="00065987" w:rsidP="00507A31">
      <w:pPr>
        <w:jc w:val="both"/>
        <w:rPr>
          <w:color w:val="000000" w:themeColor="text1"/>
          <w:sz w:val="16"/>
          <w:szCs w:val="16"/>
        </w:rPr>
      </w:pPr>
      <w:r w:rsidRPr="00507A31">
        <w:rPr>
          <w:color w:val="000000" w:themeColor="text1"/>
          <w:sz w:val="16"/>
          <w:szCs w:val="16"/>
        </w:rPr>
        <w:t>Скорость макс.</w:t>
      </w:r>
    </w:p>
    <w:p w14:paraId="02D34C79" w14:textId="77777777" w:rsidR="00065987" w:rsidRPr="00507A31" w:rsidRDefault="00065987" w:rsidP="00507A31">
      <w:pPr>
        <w:tabs>
          <w:tab w:val="left" w:pos="2637"/>
        </w:tabs>
        <w:jc w:val="both"/>
        <w:rPr>
          <w:color w:val="000000" w:themeColor="text1"/>
          <w:sz w:val="16"/>
          <w:szCs w:val="16"/>
        </w:rPr>
      </w:pPr>
      <w:r w:rsidRPr="00507A31">
        <w:rPr>
          <w:color w:val="000000" w:themeColor="text1"/>
          <w:sz w:val="16"/>
          <w:szCs w:val="16"/>
        </w:rPr>
        <w:t>на высоте 3000 м</w:t>
      </w:r>
      <w:r w:rsidRPr="00507A31">
        <w:rPr>
          <w:color w:val="000000" w:themeColor="text1"/>
          <w:sz w:val="16"/>
          <w:szCs w:val="16"/>
        </w:rPr>
        <w:tab/>
        <w:t>264,7 км/ч</w:t>
      </w:r>
    </w:p>
    <w:p w14:paraId="7F2963CB" w14:textId="77777777" w:rsidR="00065987" w:rsidRPr="00507A31" w:rsidRDefault="00065987" w:rsidP="00507A31">
      <w:pPr>
        <w:jc w:val="both"/>
        <w:rPr>
          <w:color w:val="000000" w:themeColor="text1"/>
          <w:sz w:val="16"/>
          <w:szCs w:val="16"/>
        </w:rPr>
      </w:pPr>
      <w:r w:rsidRPr="00507A31">
        <w:rPr>
          <w:color w:val="000000" w:themeColor="text1"/>
          <w:sz w:val="16"/>
          <w:szCs w:val="16"/>
        </w:rPr>
        <w:t>Скорость макс.</w:t>
      </w:r>
    </w:p>
    <w:p w14:paraId="71E65888" w14:textId="77777777" w:rsidR="00065987" w:rsidRPr="00507A31" w:rsidRDefault="00065987" w:rsidP="00507A31">
      <w:pPr>
        <w:tabs>
          <w:tab w:val="left" w:pos="2785"/>
        </w:tabs>
        <w:jc w:val="both"/>
        <w:rPr>
          <w:color w:val="000000" w:themeColor="text1"/>
          <w:sz w:val="16"/>
          <w:szCs w:val="16"/>
        </w:rPr>
      </w:pPr>
      <w:r w:rsidRPr="00507A31">
        <w:rPr>
          <w:color w:val="000000" w:themeColor="text1"/>
          <w:sz w:val="16"/>
          <w:szCs w:val="16"/>
        </w:rPr>
        <w:t>на высоте 5000 м</w:t>
      </w:r>
      <w:r w:rsidRPr="00507A31">
        <w:rPr>
          <w:color w:val="000000" w:themeColor="text1"/>
          <w:sz w:val="16"/>
          <w:szCs w:val="16"/>
        </w:rPr>
        <w:tab/>
        <w:t>261 км/ч</w:t>
      </w:r>
    </w:p>
    <w:p w14:paraId="2CDF5F01" w14:textId="77777777" w:rsidR="00065987" w:rsidRPr="00507A31" w:rsidRDefault="00065987" w:rsidP="00507A31">
      <w:pPr>
        <w:tabs>
          <w:tab w:val="left" w:pos="2893"/>
        </w:tabs>
        <w:jc w:val="both"/>
        <w:rPr>
          <w:color w:val="000000" w:themeColor="text1"/>
          <w:sz w:val="16"/>
          <w:szCs w:val="16"/>
        </w:rPr>
      </w:pPr>
      <w:r w:rsidRPr="00507A31">
        <w:rPr>
          <w:color w:val="000000" w:themeColor="text1"/>
          <w:sz w:val="16"/>
          <w:szCs w:val="16"/>
        </w:rPr>
        <w:t>Время набора высоты 3000 м 6,4 мин</w:t>
      </w:r>
    </w:p>
    <w:p w14:paraId="104C7E1C" w14:textId="77777777" w:rsidR="00065987" w:rsidRPr="00507A31" w:rsidRDefault="00065987" w:rsidP="00507A31">
      <w:pPr>
        <w:tabs>
          <w:tab w:val="left" w:pos="2893"/>
        </w:tabs>
        <w:jc w:val="both"/>
        <w:rPr>
          <w:color w:val="000000" w:themeColor="text1"/>
          <w:sz w:val="16"/>
          <w:szCs w:val="16"/>
        </w:rPr>
      </w:pPr>
      <w:r w:rsidRPr="00507A31">
        <w:rPr>
          <w:color w:val="000000" w:themeColor="text1"/>
          <w:sz w:val="16"/>
          <w:szCs w:val="16"/>
        </w:rPr>
        <w:t>Время набора высоты 5000 м 14,3 мин</w:t>
      </w:r>
    </w:p>
    <w:p w14:paraId="618EBC5B" w14:textId="77777777" w:rsidR="00065987" w:rsidRPr="00507A31" w:rsidRDefault="00065987" w:rsidP="00507A31">
      <w:pPr>
        <w:tabs>
          <w:tab w:val="left" w:pos="2893"/>
        </w:tabs>
        <w:jc w:val="both"/>
        <w:rPr>
          <w:color w:val="000000" w:themeColor="text1"/>
          <w:sz w:val="16"/>
          <w:szCs w:val="16"/>
        </w:rPr>
      </w:pPr>
      <w:r w:rsidRPr="00507A31">
        <w:rPr>
          <w:color w:val="000000" w:themeColor="text1"/>
          <w:sz w:val="16"/>
          <w:szCs w:val="16"/>
        </w:rPr>
        <w:t>Дальность полета</w:t>
      </w:r>
      <w:r w:rsidRPr="00507A31">
        <w:rPr>
          <w:color w:val="000000" w:themeColor="text1"/>
          <w:sz w:val="16"/>
          <w:szCs w:val="16"/>
        </w:rPr>
        <w:tab/>
        <w:t>1030 км</w:t>
      </w:r>
    </w:p>
    <w:p w14:paraId="3BDCD423" w14:textId="77777777" w:rsidR="00065987" w:rsidRPr="00507A31" w:rsidRDefault="00065987" w:rsidP="00507A31">
      <w:pPr>
        <w:tabs>
          <w:tab w:val="left" w:pos="2968"/>
        </w:tabs>
        <w:jc w:val="both"/>
        <w:rPr>
          <w:color w:val="000000" w:themeColor="text1"/>
          <w:sz w:val="16"/>
          <w:szCs w:val="16"/>
        </w:rPr>
      </w:pPr>
      <w:r w:rsidRPr="00507A31">
        <w:rPr>
          <w:color w:val="000000" w:themeColor="text1"/>
          <w:sz w:val="16"/>
          <w:szCs w:val="16"/>
        </w:rPr>
        <w:t>Практический потолок</w:t>
      </w:r>
      <w:r w:rsidRPr="00507A31">
        <w:rPr>
          <w:color w:val="000000" w:themeColor="text1"/>
          <w:sz w:val="16"/>
          <w:szCs w:val="16"/>
        </w:rPr>
        <w:tab/>
        <w:t>7580 м</w:t>
      </w:r>
    </w:p>
    <w:p w14:paraId="21C31DD4" w14:textId="77777777" w:rsidR="00065987" w:rsidRPr="00507A31" w:rsidRDefault="00065987" w:rsidP="00507A31">
      <w:pPr>
        <w:jc w:val="both"/>
        <w:rPr>
          <w:color w:val="000000" w:themeColor="text1"/>
          <w:sz w:val="16"/>
          <w:szCs w:val="16"/>
        </w:rPr>
      </w:pPr>
      <w:r w:rsidRPr="00507A31">
        <w:rPr>
          <w:color w:val="000000" w:themeColor="text1"/>
          <w:sz w:val="16"/>
          <w:szCs w:val="16"/>
        </w:rPr>
        <w:t>Документ был подписан: Директор заво</w:t>
      </w:r>
      <w:r w:rsidRPr="00507A31">
        <w:rPr>
          <w:color w:val="000000" w:themeColor="text1"/>
          <w:sz w:val="16"/>
          <w:szCs w:val="16"/>
        </w:rPr>
        <w:softHyphen/>
        <w:t>да №25 Горшков; Врид пом. дир. по техниче</w:t>
      </w:r>
      <w:r w:rsidRPr="00507A31">
        <w:rPr>
          <w:color w:val="000000" w:themeColor="text1"/>
          <w:sz w:val="16"/>
          <w:szCs w:val="16"/>
        </w:rPr>
        <w:softHyphen/>
        <w:t>ской части Зоншайн; Заведующий расчетной частью Яровицкий.</w:t>
      </w:r>
    </w:p>
    <w:p w14:paraId="555C230F" w14:textId="77777777" w:rsidR="00065987" w:rsidRPr="00507A31" w:rsidRDefault="00065987" w:rsidP="00507A31">
      <w:pPr>
        <w:pStyle w:val="4a"/>
        <w:shd w:val="clear" w:color="auto" w:fill="auto"/>
        <w:spacing w:before="0" w:line="240" w:lineRule="auto"/>
        <w:jc w:val="both"/>
        <w:rPr>
          <w:rFonts w:ascii="Times New Roman" w:hAnsi="Times New Roman"/>
          <w:color w:val="000000" w:themeColor="text1"/>
          <w:spacing w:val="0"/>
          <w:sz w:val="16"/>
          <w:szCs w:val="16"/>
        </w:rPr>
      </w:pPr>
      <w:r w:rsidRPr="00507A31">
        <w:rPr>
          <w:rFonts w:ascii="Times New Roman" w:hAnsi="Times New Roman"/>
          <w:color w:val="000000" w:themeColor="text1"/>
          <w:spacing w:val="0"/>
          <w:sz w:val="16"/>
          <w:szCs w:val="16"/>
        </w:rPr>
        <w:t>Истребитель И-9 (И-10)</w:t>
      </w:r>
    </w:p>
    <w:tbl>
      <w:tblPr>
        <w:tblW w:w="0" w:type="auto"/>
        <w:tblLayout w:type="fixed"/>
        <w:tblCellMar>
          <w:left w:w="10" w:type="dxa"/>
          <w:right w:w="10" w:type="dxa"/>
        </w:tblCellMar>
        <w:tblLook w:val="0000" w:firstRow="0" w:lastRow="0" w:firstColumn="0" w:lastColumn="0" w:noHBand="0" w:noVBand="0"/>
      </w:tblPr>
      <w:tblGrid>
        <w:gridCol w:w="3143"/>
        <w:gridCol w:w="1469"/>
        <w:gridCol w:w="1469"/>
        <w:gridCol w:w="1483"/>
      </w:tblGrid>
      <w:tr w:rsidR="00E371BA" w:rsidRPr="00507A31" w14:paraId="293AF4BE" w14:textId="77777777" w:rsidTr="005E17EC">
        <w:trPr>
          <w:trHeight w:val="252"/>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AB9D682" w14:textId="77777777" w:rsidR="00065987" w:rsidRPr="00507A31" w:rsidRDefault="00065987" w:rsidP="00507A31">
            <w:pPr>
              <w:jc w:val="both"/>
              <w:rPr>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6670DD2"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1 -й полутораплан</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A8A0DE6"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2-й биплан</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D441DE0"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3-й полутораплан</w:t>
            </w:r>
          </w:p>
        </w:tc>
      </w:tr>
      <w:tr w:rsidR="00E371BA" w:rsidRPr="00507A31" w14:paraId="43764445"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5CBD2BF"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Размах верхнего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760CC4C"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11,0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78A2A18"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A7DB42E"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11,0</w:t>
            </w:r>
          </w:p>
        </w:tc>
      </w:tr>
      <w:tr w:rsidR="00E371BA" w:rsidRPr="00507A31" w14:paraId="2651F0CF"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2B25D2C6"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Размах нижнего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513C93F"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31C757D"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9,0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5D42310"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7,0</w:t>
            </w:r>
          </w:p>
        </w:tc>
      </w:tr>
      <w:tr w:rsidR="00E371BA" w:rsidRPr="00507A31" w14:paraId="05B98EE9"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090006E"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Длина(м)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F6D3D87"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7,520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3CDE150C"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7,120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EDA3F42"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7,420</w:t>
            </w:r>
          </w:p>
        </w:tc>
      </w:tr>
      <w:tr w:rsidR="00E371BA" w:rsidRPr="00507A31" w14:paraId="43E7BBB9" w14:textId="77777777" w:rsidTr="005E17EC">
        <w:trPr>
          <w:trHeight w:val="238"/>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AAC4282"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Хорда верхнего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D804219"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1,75</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3C74C739"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1,65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70B9F36"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1,75</w:t>
            </w:r>
          </w:p>
        </w:tc>
      </w:tr>
      <w:tr w:rsidR="00E371BA" w:rsidRPr="00507A31" w14:paraId="2EAC2B1E"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2C1991A2"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Хорда нижнего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BF4BD21"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1,05</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7088D8E"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1,30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0E2B5017"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1,05</w:t>
            </w:r>
          </w:p>
        </w:tc>
      </w:tr>
      <w:tr w:rsidR="00E371BA" w:rsidRPr="00507A31" w14:paraId="44F8D793"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DFEF08C"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Площадь крыльев (м</w:t>
            </w:r>
            <w:r w:rsidRPr="00507A31">
              <w:rPr>
                <w:rFonts w:ascii="Times New Roman" w:hAnsi="Times New Roman" w:cs="Times New Roman"/>
                <w:b w:val="0"/>
                <w:color w:val="000000" w:themeColor="text1"/>
                <w:sz w:val="16"/>
                <w:szCs w:val="16"/>
                <w:vertAlign w:val="superscript"/>
              </w:rPr>
              <w:t>2</w:t>
            </w:r>
            <w:r w:rsidRPr="00507A31">
              <w:rPr>
                <w:rFonts w:ascii="Times New Roman" w:hAnsi="Times New Roman" w:cs="Times New Roman"/>
                <w:b w:val="0"/>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85EEBBF"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24,42</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C86E3C4"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25,67</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DDCA6D3"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24,10</w:t>
            </w:r>
          </w:p>
        </w:tc>
      </w:tr>
      <w:tr w:rsidR="00E371BA" w:rsidRPr="00507A31" w14:paraId="52CB8D8F"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9730409"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Вес пустого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C6E9ABE"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1211</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A33642E"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1219</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0972DF9"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1210</w:t>
            </w:r>
          </w:p>
        </w:tc>
      </w:tr>
      <w:tr w:rsidR="00E371BA" w:rsidRPr="00507A31" w14:paraId="4092208C"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66029A90"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Полетный вес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CF06A92"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1627</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E3517DC"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1635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5E1554C"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1626</w:t>
            </w:r>
          </w:p>
        </w:tc>
      </w:tr>
      <w:tr w:rsidR="00E371BA" w:rsidRPr="00507A31" w14:paraId="4357EADA"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0F76FD4"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 макс, на 5000 м (км/ч)</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F89F11A"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290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9F37187"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282</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B56FDEB"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289</w:t>
            </w:r>
          </w:p>
        </w:tc>
      </w:tr>
      <w:tr w:rsidR="00E371BA" w:rsidRPr="00507A31" w14:paraId="1E5EAD2E" w14:textId="77777777" w:rsidTr="005E17EC">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ED975CE"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5000 м (мин.)</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78913B0"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8,2</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0C51518"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8,2</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3C6D824"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8,42</w:t>
            </w:r>
          </w:p>
        </w:tc>
      </w:tr>
      <w:tr w:rsidR="00E371BA" w:rsidRPr="00507A31" w14:paraId="3D9D09DE" w14:textId="77777777" w:rsidTr="005E17EC">
        <w:trPr>
          <w:trHeight w:val="256"/>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126835C"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Практический потолок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D8A20C0"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8300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7172A0D"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7910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EB4EAB5" w14:textId="77777777" w:rsidR="00065987" w:rsidRPr="00507A31" w:rsidRDefault="00065987"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7950</w:t>
            </w:r>
          </w:p>
        </w:tc>
      </w:tr>
    </w:tbl>
    <w:p w14:paraId="4C905F37" w14:textId="77777777" w:rsidR="00065987" w:rsidRPr="00507A31" w:rsidRDefault="00065987" w:rsidP="00507A31">
      <w:pPr>
        <w:jc w:val="both"/>
        <w:rPr>
          <w:color w:val="000000" w:themeColor="text1"/>
          <w:sz w:val="16"/>
          <w:szCs w:val="16"/>
        </w:rPr>
      </w:pPr>
      <w:r w:rsidRPr="00507A31">
        <w:rPr>
          <w:color w:val="000000" w:themeColor="text1"/>
          <w:sz w:val="16"/>
          <w:szCs w:val="16"/>
        </w:rPr>
        <w:t>Судя по дальнейшим событиям, схема са</w:t>
      </w:r>
      <w:r w:rsidRPr="00507A31">
        <w:rPr>
          <w:color w:val="000000" w:themeColor="text1"/>
          <w:sz w:val="16"/>
          <w:szCs w:val="16"/>
        </w:rPr>
        <w:softHyphen/>
        <w:t>молета и возможная силовая установка про</w:t>
      </w:r>
      <w:r w:rsidRPr="00507A31">
        <w:rPr>
          <w:color w:val="000000" w:themeColor="text1"/>
          <w:sz w:val="16"/>
          <w:szCs w:val="16"/>
        </w:rPr>
        <w:softHyphen/>
        <w:t>должали оставаться неопределенными. 1 ию</w:t>
      </w:r>
      <w:r w:rsidRPr="00507A31">
        <w:rPr>
          <w:color w:val="000000" w:themeColor="text1"/>
          <w:sz w:val="16"/>
          <w:szCs w:val="16"/>
        </w:rPr>
        <w:softHyphen/>
        <w:t>ля 1930 г. состоялась макетная комиссия по истребителю И-9 с мотором М-19. Указыва</w:t>
      </w:r>
      <w:r w:rsidRPr="00507A31">
        <w:rPr>
          <w:color w:val="000000" w:themeColor="text1"/>
          <w:sz w:val="16"/>
          <w:szCs w:val="16"/>
        </w:rPr>
        <w:softHyphen/>
        <w:t>лось, что теперь И-9 представлен в виде би</w:t>
      </w:r>
      <w:r w:rsidRPr="00507A31">
        <w:rPr>
          <w:color w:val="000000" w:themeColor="text1"/>
          <w:sz w:val="16"/>
          <w:szCs w:val="16"/>
        </w:rPr>
        <w:softHyphen/>
        <w:t>плана, однако по-прежнему, как вероятный, указывался моноплан. Проектные работы продолжались до середины лета 1930 г. В этот период главным конструктором авиазаво</w:t>
      </w:r>
      <w:r w:rsidRPr="00507A31">
        <w:rPr>
          <w:color w:val="000000" w:themeColor="text1"/>
          <w:sz w:val="16"/>
          <w:szCs w:val="16"/>
        </w:rPr>
        <w:softHyphen/>
        <w:t>да №25 является Кочеригин, активное учас</w:t>
      </w:r>
      <w:r w:rsidRPr="00507A31">
        <w:rPr>
          <w:color w:val="000000" w:themeColor="text1"/>
          <w:sz w:val="16"/>
          <w:szCs w:val="16"/>
        </w:rPr>
        <w:softHyphen/>
        <w:t>тие в проектировании И-9 принимают Сутугин и Яценко. О назначении самолета гово</w:t>
      </w:r>
      <w:r w:rsidRPr="00507A31">
        <w:rPr>
          <w:color w:val="000000" w:themeColor="text1"/>
          <w:sz w:val="16"/>
          <w:szCs w:val="16"/>
        </w:rPr>
        <w:softHyphen/>
        <w:t>рилось: «Наступательный воздушный бой со всеми типами самолетов и воздухоплаватель</w:t>
      </w:r>
      <w:r w:rsidRPr="00507A31">
        <w:rPr>
          <w:color w:val="000000" w:themeColor="text1"/>
          <w:sz w:val="16"/>
          <w:szCs w:val="16"/>
        </w:rPr>
        <w:softHyphen/>
        <w:t>ных аппаратов, как на фронте, так и в собст</w:t>
      </w:r>
      <w:r w:rsidRPr="00507A31">
        <w:rPr>
          <w:color w:val="000000" w:themeColor="text1"/>
          <w:sz w:val="16"/>
          <w:szCs w:val="16"/>
        </w:rPr>
        <w:softHyphen/>
        <w:t>венном тылу ПВО. ...В исключительных слу</w:t>
      </w:r>
      <w:r w:rsidRPr="00507A31">
        <w:rPr>
          <w:color w:val="000000" w:themeColor="text1"/>
          <w:sz w:val="16"/>
          <w:szCs w:val="16"/>
        </w:rPr>
        <w:softHyphen/>
        <w:t>чаях - штурмовые действия по земным вой</w:t>
      </w:r>
      <w:r w:rsidRPr="00507A31">
        <w:rPr>
          <w:color w:val="000000" w:themeColor="text1"/>
          <w:sz w:val="16"/>
          <w:szCs w:val="16"/>
        </w:rPr>
        <w:softHyphen/>
        <w:t>скам и воздушная разведка».</w:t>
      </w:r>
    </w:p>
    <w:p w14:paraId="59A1AB74" w14:textId="77777777" w:rsidR="00065987" w:rsidRPr="00507A31" w:rsidRDefault="00065987" w:rsidP="00507A31">
      <w:pPr>
        <w:jc w:val="both"/>
        <w:rPr>
          <w:color w:val="000000" w:themeColor="text1"/>
          <w:sz w:val="16"/>
          <w:szCs w:val="16"/>
        </w:rPr>
      </w:pPr>
      <w:r w:rsidRPr="00507A31">
        <w:rPr>
          <w:color w:val="000000" w:themeColor="text1"/>
          <w:sz w:val="16"/>
          <w:szCs w:val="16"/>
        </w:rPr>
        <w:t>Очевидно, это были последние докумен</w:t>
      </w:r>
      <w:r w:rsidRPr="00507A31">
        <w:rPr>
          <w:color w:val="000000" w:themeColor="text1"/>
          <w:sz w:val="16"/>
          <w:szCs w:val="16"/>
        </w:rPr>
        <w:softHyphen/>
        <w:t>тальные упоминания об этом истребите</w:t>
      </w:r>
      <w:r w:rsidRPr="00507A31">
        <w:rPr>
          <w:color w:val="000000" w:themeColor="text1"/>
          <w:sz w:val="16"/>
          <w:szCs w:val="16"/>
        </w:rPr>
        <w:softHyphen/>
        <w:t>ле. Осенью 1930 г. проект И-9 исключили из плана опытного строительства (12295).</w:t>
      </w:r>
    </w:p>
    <w:p w14:paraId="2A3B5F41" w14:textId="77777777" w:rsidR="00065987" w:rsidRPr="00507A31" w:rsidRDefault="00065987" w:rsidP="00507A31">
      <w:pPr>
        <w:jc w:val="both"/>
        <w:rPr>
          <w:color w:val="000000" w:themeColor="text1"/>
          <w:sz w:val="16"/>
          <w:szCs w:val="16"/>
        </w:rPr>
      </w:pPr>
    </w:p>
    <w:p w14:paraId="42C1F97C" w14:textId="77777777" w:rsidR="00065987" w:rsidRPr="00507A31" w:rsidRDefault="00065987"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16/17 марта 1930 в Ленинграде прошел съезд работников аэрофотосъемки, подтвердившей, что нужна амфибия и притом двухмоторная по соображениям обзора и безопасности. Кроме амфибии требовался и аналогичный сухопутный, но на нем не настаивали (1076,916).</w:t>
      </w:r>
    </w:p>
    <w:p w14:paraId="268CDEB8" w14:textId="77777777" w:rsidR="00065987" w:rsidRPr="00507A31" w:rsidRDefault="00065987" w:rsidP="00507A31">
      <w:pPr>
        <w:autoSpaceDE w:val="0"/>
        <w:autoSpaceDN w:val="0"/>
        <w:adjustRightInd w:val="0"/>
        <w:jc w:val="both"/>
        <w:rPr>
          <w:color w:val="000000" w:themeColor="text1"/>
          <w:sz w:val="16"/>
          <w:szCs w:val="16"/>
        </w:rPr>
      </w:pPr>
    </w:p>
    <w:p w14:paraId="0548F6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10 по 21 марта 1930 АНТ-10 (Р-7) прошел гос. испытания. В зачетном полете Москва-Подольск-Москва показал крейсерскую скорость 185 км/ч и радиус 476 км. Оказался сложным в управлении (346,47).</w:t>
      </w:r>
    </w:p>
    <w:p w14:paraId="5B1486A6" w14:textId="77777777" w:rsidR="00537E5F" w:rsidRPr="00507A31" w:rsidRDefault="00537E5F" w:rsidP="00507A31">
      <w:pPr>
        <w:autoSpaceDE w:val="0"/>
        <w:autoSpaceDN w:val="0"/>
        <w:adjustRightInd w:val="0"/>
        <w:jc w:val="both"/>
        <w:rPr>
          <w:color w:val="000000" w:themeColor="text1"/>
          <w:sz w:val="16"/>
          <w:szCs w:val="16"/>
        </w:rPr>
      </w:pPr>
    </w:p>
    <w:p w14:paraId="3D7E690B" w14:textId="77777777" w:rsidR="00065987" w:rsidRPr="00507A31" w:rsidRDefault="00065987" w:rsidP="00507A31">
      <w:pPr>
        <w:jc w:val="both"/>
        <w:rPr>
          <w:color w:val="000000" w:themeColor="text1"/>
          <w:sz w:val="16"/>
          <w:szCs w:val="16"/>
        </w:rPr>
      </w:pPr>
      <w:r w:rsidRPr="00507A31">
        <w:rPr>
          <w:color w:val="000000" w:themeColor="text1"/>
          <w:sz w:val="16"/>
          <w:szCs w:val="16"/>
        </w:rPr>
        <w:t>16 марта 1930 г. Выписка из протокола заседания Президиума ВСНХ СССР о договоре технической помощи по производству парашютов с американской фирмой «Ирвинг», заключенном Барановым в Нью-Йорке 13 января 1930 г. (РГАЭ. Ф. 3429. Оп. 6. Д. 193. Л. 22) (12417).</w:t>
      </w:r>
    </w:p>
    <w:p w14:paraId="3590A390" w14:textId="77777777" w:rsidR="00065987" w:rsidRPr="00507A31" w:rsidRDefault="00065987" w:rsidP="00507A31">
      <w:pPr>
        <w:jc w:val="both"/>
        <w:rPr>
          <w:color w:val="000000" w:themeColor="text1"/>
          <w:sz w:val="16"/>
          <w:szCs w:val="16"/>
        </w:rPr>
      </w:pPr>
    </w:p>
    <w:p w14:paraId="08DF999E" w14:textId="77777777" w:rsidR="008E5A7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514EEC3" w14:textId="77777777" w:rsidR="008E5A72" w:rsidRPr="00507A31" w:rsidRDefault="008E5A72" w:rsidP="00507A31">
      <w:pPr>
        <w:autoSpaceDE w:val="0"/>
        <w:autoSpaceDN w:val="0"/>
        <w:adjustRightInd w:val="0"/>
        <w:jc w:val="both"/>
        <w:rPr>
          <w:iCs/>
          <w:color w:val="000000" w:themeColor="text1"/>
          <w:sz w:val="16"/>
          <w:szCs w:val="16"/>
        </w:rPr>
      </w:pPr>
    </w:p>
    <w:p w14:paraId="0F185056" w14:textId="77777777" w:rsidR="0049125D" w:rsidRPr="00507A31" w:rsidRDefault="0049125D" w:rsidP="00507A31">
      <w:pPr>
        <w:jc w:val="both"/>
        <w:rPr>
          <w:color w:val="000000" w:themeColor="text1"/>
          <w:sz w:val="16"/>
          <w:szCs w:val="16"/>
        </w:rPr>
      </w:pPr>
      <w:r w:rsidRPr="00507A31">
        <w:rPr>
          <w:color w:val="000000" w:themeColor="text1"/>
          <w:sz w:val="16"/>
          <w:szCs w:val="16"/>
        </w:rPr>
        <w:t>16 марта 1930 г. заведующий Остехбюро В.И. Бекаури направил председателю НТК МС РККА Н.И. Игнатьеву письмо, в котором указывалось:</w:t>
      </w:r>
    </w:p>
    <w:p w14:paraId="32CEAE23" w14:textId="77777777" w:rsidR="0049125D" w:rsidRPr="00507A31" w:rsidRDefault="0049125D" w:rsidP="00507A31">
      <w:pPr>
        <w:jc w:val="both"/>
        <w:rPr>
          <w:color w:val="000000" w:themeColor="text1"/>
          <w:sz w:val="16"/>
          <w:szCs w:val="16"/>
        </w:rPr>
      </w:pPr>
      <w:r w:rsidRPr="00507A31">
        <w:rPr>
          <w:color w:val="000000" w:themeColor="text1"/>
          <w:sz w:val="16"/>
          <w:szCs w:val="16"/>
        </w:rPr>
        <w:t>По инициативе заведующего Остехбюро разработана идея применения устаревших торпед в качестве мин заграждения. Торпеда, установленная на якоре аналогично минам, при захвате караванным охранителем корабля должна отделиться от минрепа своего якоря, дать ход и, описывая кривую в сторону корабля, взорвать его подобно торпеде, выпущенной из аппарата…&lt;...&gt; Подобная мина-торпеда будет обладать большим весом заряда, порядка до 250 кг, и от нее следует ожидать полного материального и большого морального эффекта благодаря ее внезапному  действию. Наряду с этим та же идея может быть осуществлена путем использования принципа ракеты, создание каковых уже намечалось ранее Остехбюро и разработка которых может быть предпринята в будущем (18667).</w:t>
      </w:r>
    </w:p>
    <w:p w14:paraId="3DFB45B6" w14:textId="77777777" w:rsidR="0049125D" w:rsidRPr="00507A31" w:rsidRDefault="0049125D" w:rsidP="00507A31">
      <w:pPr>
        <w:jc w:val="both"/>
        <w:rPr>
          <w:color w:val="000000" w:themeColor="text1"/>
          <w:sz w:val="16"/>
          <w:szCs w:val="16"/>
        </w:rPr>
      </w:pPr>
    </w:p>
    <w:p w14:paraId="6BAE3E84" w14:textId="77777777" w:rsidR="008E5A72" w:rsidRPr="00507A31" w:rsidRDefault="008E5A72" w:rsidP="00507A31">
      <w:pPr>
        <w:jc w:val="both"/>
        <w:rPr>
          <w:color w:val="000000" w:themeColor="text1"/>
          <w:sz w:val="16"/>
          <w:szCs w:val="16"/>
        </w:rPr>
      </w:pPr>
      <w:r w:rsidRPr="00507A31">
        <w:rPr>
          <w:color w:val="000000" w:themeColor="text1"/>
          <w:sz w:val="16"/>
          <w:szCs w:val="16"/>
        </w:rPr>
        <w:t>16 марта 1930 г. председатель Совторгфлота Зоф принял окон</w:t>
      </w:r>
      <w:r w:rsidRPr="00507A31">
        <w:rPr>
          <w:color w:val="000000" w:themeColor="text1"/>
          <w:sz w:val="16"/>
          <w:szCs w:val="16"/>
        </w:rPr>
        <w:softHyphen/>
        <w:t>чательное решение о передаче судоподъема и аварийно-спаса</w:t>
      </w:r>
      <w:r w:rsidRPr="00507A31">
        <w:rPr>
          <w:color w:val="000000" w:themeColor="text1"/>
          <w:sz w:val="16"/>
          <w:szCs w:val="16"/>
        </w:rPr>
        <w:softHyphen/>
        <w:t>тельного дела на Севере в ведение  ЭПРОНа . С введением в жизнь в 1930 г. этих решений  ЭПРОН  стал име</w:t>
      </w:r>
      <w:r w:rsidRPr="00507A31">
        <w:rPr>
          <w:color w:val="000000" w:themeColor="text1"/>
          <w:sz w:val="16"/>
          <w:szCs w:val="16"/>
        </w:rPr>
        <w:softHyphen/>
        <w:t>новаться просто «Экспедицией подводных работ» без прибавле</w:t>
      </w:r>
      <w:r w:rsidRPr="00507A31">
        <w:rPr>
          <w:color w:val="000000" w:themeColor="text1"/>
          <w:sz w:val="16"/>
          <w:szCs w:val="16"/>
        </w:rPr>
        <w:softHyphen/>
        <w:t>ния «на Черном и Азовском морях» (15509).</w:t>
      </w:r>
    </w:p>
    <w:p w14:paraId="16A14145" w14:textId="77777777" w:rsidR="008E5A72" w:rsidRPr="00507A31" w:rsidRDefault="008E5A72" w:rsidP="00507A31">
      <w:pPr>
        <w:jc w:val="both"/>
        <w:rPr>
          <w:color w:val="000000" w:themeColor="text1"/>
          <w:sz w:val="16"/>
          <w:szCs w:val="16"/>
        </w:rPr>
      </w:pPr>
    </w:p>
    <w:p w14:paraId="4351BC86" w14:textId="77777777" w:rsidR="008E5A7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1BA2CF5" w14:textId="77777777" w:rsidR="008E5A72" w:rsidRPr="00507A31" w:rsidRDefault="008E5A72" w:rsidP="00507A31">
      <w:pPr>
        <w:autoSpaceDE w:val="0"/>
        <w:autoSpaceDN w:val="0"/>
        <w:adjustRightInd w:val="0"/>
        <w:jc w:val="both"/>
        <w:rPr>
          <w:iCs/>
          <w:color w:val="000000" w:themeColor="text1"/>
          <w:sz w:val="16"/>
          <w:szCs w:val="16"/>
        </w:rPr>
      </w:pPr>
    </w:p>
    <w:p w14:paraId="4E5B8965" w14:textId="77777777" w:rsidR="008E5A72" w:rsidRPr="00507A31" w:rsidRDefault="008E5A72" w:rsidP="00507A31">
      <w:pPr>
        <w:jc w:val="both"/>
        <w:rPr>
          <w:color w:val="000000" w:themeColor="text1"/>
          <w:sz w:val="16"/>
          <w:szCs w:val="16"/>
        </w:rPr>
      </w:pPr>
      <w:r w:rsidRPr="00507A31">
        <w:rPr>
          <w:bCs/>
          <w:color w:val="000000" w:themeColor="text1"/>
          <w:sz w:val="16"/>
          <w:szCs w:val="16"/>
        </w:rPr>
        <w:t>16 марта</w:t>
      </w:r>
      <w:r w:rsidRPr="00507A31">
        <w:rPr>
          <w:color w:val="000000" w:themeColor="text1"/>
          <w:sz w:val="16"/>
          <w:szCs w:val="16"/>
        </w:rPr>
        <w:t xml:space="preserve"> в 1930 году в Москве состоялась премьера пьесы В.В.Маяковского «Баня» в постановке В.Э.Мейерхольда. Значительное влияние на развитие советского сценического искусства оказал Театр имени Всеволода Мейерхольда (Театр РСФСР Первый). Творческие принципы Театра, решительно ломавшего старые сценические каноны, были во многом близки драматургии Владимира Маяковского. Поэтому закономерным является то, что именно в этом театре были впервые поставлены его пьесы "Мистерия-буфф" (1921), "Клоп" (1929) и "Баня" (1930). Остросатирическая комедия «Баня» была написана в середине 1929 года, имеет жанровое определение "драма в шести действиях с цирком и фейерверком". Этот жанровый подзаголовок сам по себе вызывает комический эффект. Поэт использует для усиления сатирического эффекта фантастику, сарказм, фарсовые ситуации, речевые алогизмы, гиперболы. 23 сентября 1929 года Маяковский читал пьесу на заседании Художественно-политического совета Государственного театра имени Мейерхольда. Основной смысл и пафос драмы автор определил следующим образом: "...борьба с узостью, с делячеством, с бюрократизмом - за героизм, за темп, за социалистические перспективы". ..."Будущее примет всех, у кого найдется хотя бы одна черта, роднящая с коллективом коммуны, - радость работать, жажда жертвовать, неутомимость изобретать, выгода отдавать, гордость человечностью" - так устами одной из своих героинь в пьесе "Баня" характеризует свой идеал В.В.Маяковский. Наряду с образами Победоносикова, Оптимистенко, олицетворяющими бюрократическое равнодушие и косность, в пьесе выведены образы иного плана - изобретателя Чудакова, Велосипедкина и др. Пьеса была принята к постановке несколькими театрами. 16 марта 1930 года состоялось ее представление в Государственном театре Мейерхольда (постановка Мейерхольда, ассистент режиссера Маяковский, художественно-оформительская работа Вахтангова и Дейнеки, музыка Шебалина); в ролях: Победоносиков - Штраух, Оптимистенко - Зайчиков, Чудаков - Чикул, Фосфорическая женщина - Райх, Мезальянсова - Серебренникова, Моментальников - Плучек, Понт-Кич - Костомолоцкий, Поля - Суханова. Как и две предыдущие постановки, пьеса "Баня" вызвала резкие нападки критики и вскоре по политическим соображениям была запрещена и снята с репертуара. После многолетнего перерыва "Баня" вновь обрела сценическую жизнь: в апреле 1953 года - в Псковском театре драмы, 5 декабря того же года премьера пьесы состоялась в Московском театре Сатиры. В дальнейшем пьесу ставили и многие периферийные театры (15070).</w:t>
      </w:r>
    </w:p>
    <w:p w14:paraId="28B2D217" w14:textId="77777777" w:rsidR="008E5A72" w:rsidRPr="00507A31" w:rsidRDefault="008E5A72" w:rsidP="00507A31">
      <w:pPr>
        <w:jc w:val="both"/>
        <w:rPr>
          <w:color w:val="000000" w:themeColor="text1"/>
          <w:sz w:val="16"/>
          <w:szCs w:val="16"/>
        </w:rPr>
      </w:pPr>
    </w:p>
    <w:p w14:paraId="6F32937F" w14:textId="77777777" w:rsidR="008E5A7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251527F" w14:textId="77777777" w:rsidR="008E5A72" w:rsidRPr="00507A31" w:rsidRDefault="008E5A72" w:rsidP="00507A31">
      <w:pPr>
        <w:autoSpaceDE w:val="0"/>
        <w:autoSpaceDN w:val="0"/>
        <w:adjustRightInd w:val="0"/>
        <w:jc w:val="both"/>
        <w:rPr>
          <w:iCs/>
          <w:color w:val="000000" w:themeColor="text1"/>
          <w:sz w:val="16"/>
          <w:szCs w:val="16"/>
        </w:rPr>
      </w:pPr>
    </w:p>
    <w:p w14:paraId="04D68039" w14:textId="77777777" w:rsidR="008E5A72" w:rsidRPr="00507A31" w:rsidRDefault="008E5A72" w:rsidP="00507A31">
      <w:pPr>
        <w:jc w:val="both"/>
        <w:rPr>
          <w:color w:val="000000" w:themeColor="text1"/>
          <w:sz w:val="16"/>
          <w:szCs w:val="16"/>
        </w:rPr>
      </w:pPr>
      <w:r w:rsidRPr="00507A31">
        <w:rPr>
          <w:bCs/>
          <w:color w:val="000000" w:themeColor="text1"/>
          <w:sz w:val="16"/>
          <w:szCs w:val="16"/>
        </w:rPr>
        <w:t>16 марта</w:t>
      </w:r>
      <w:r w:rsidRPr="00507A31">
        <w:rPr>
          <w:color w:val="000000" w:themeColor="text1"/>
          <w:sz w:val="16"/>
          <w:szCs w:val="16"/>
        </w:rPr>
        <w:t xml:space="preserve"> в 1930 году катастрофа экземпляра польского легкого самолета </w:t>
      </w:r>
      <w:hyperlink r:id="rId45" w:tgtFrame="_blank" w:history="1">
        <w:r w:rsidRPr="00507A31">
          <w:rPr>
            <w:color w:val="000000" w:themeColor="text1"/>
            <w:sz w:val="16"/>
            <w:szCs w:val="16"/>
          </w:rPr>
          <w:t xml:space="preserve">«JD-2bis» «SP-ACF», </w:t>
        </w:r>
      </w:hyperlink>
      <w:r w:rsidRPr="00507A31">
        <w:rPr>
          <w:color w:val="000000" w:themeColor="text1"/>
          <w:sz w:val="16"/>
          <w:szCs w:val="16"/>
        </w:rPr>
        <w:t>построенного для академического аэроклуба в Варшаве, причем пилот Трзетравинский погиб, а самолет списали (15070).</w:t>
      </w:r>
    </w:p>
    <w:p w14:paraId="3401B306" w14:textId="77777777" w:rsidR="008E5A72" w:rsidRPr="00507A31" w:rsidRDefault="008E5A72" w:rsidP="00507A31">
      <w:pPr>
        <w:jc w:val="both"/>
        <w:rPr>
          <w:color w:val="000000" w:themeColor="text1"/>
          <w:sz w:val="16"/>
          <w:szCs w:val="16"/>
        </w:rPr>
      </w:pPr>
    </w:p>
    <w:p w14:paraId="403DAD02" w14:textId="77777777" w:rsidR="00065987"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9230D64" w14:textId="77777777" w:rsidR="00065987" w:rsidRPr="00507A31" w:rsidRDefault="00065987" w:rsidP="00507A31">
      <w:pPr>
        <w:autoSpaceDE w:val="0"/>
        <w:autoSpaceDN w:val="0"/>
        <w:adjustRightInd w:val="0"/>
        <w:jc w:val="both"/>
        <w:rPr>
          <w:iCs/>
          <w:color w:val="000000" w:themeColor="text1"/>
          <w:sz w:val="16"/>
          <w:szCs w:val="16"/>
        </w:rPr>
      </w:pPr>
    </w:p>
    <w:p w14:paraId="70C58772" w14:textId="77777777" w:rsidR="00065987" w:rsidRPr="00507A31" w:rsidRDefault="00065987" w:rsidP="00507A31">
      <w:pPr>
        <w:pStyle w:val="rtejustify"/>
        <w:spacing w:before="0" w:after="0"/>
        <w:rPr>
          <w:color w:val="000000" w:themeColor="text1"/>
          <w:sz w:val="16"/>
          <w:szCs w:val="16"/>
        </w:rPr>
      </w:pPr>
      <w:r w:rsidRPr="00507A31">
        <w:rPr>
          <w:rStyle w:val="af0"/>
          <w:i w:val="0"/>
          <w:color w:val="000000" w:themeColor="text1"/>
          <w:sz w:val="16"/>
          <w:szCs w:val="16"/>
        </w:rPr>
        <w:t>17 марта 1930 г. Протокол Реввоенсовета № 3.</w:t>
      </w:r>
      <w:r w:rsidRPr="00507A31">
        <w:rPr>
          <w:color w:val="000000" w:themeColor="text1"/>
          <w:sz w:val="16"/>
          <w:szCs w:val="16"/>
        </w:rPr>
        <w:t xml:space="preserve"> 8. О положении с выполнением промышленностью программы танкостроения. (Калиновский). 10. О вознаграждении изобретателей Дегтярева, Федорова, Шпагина и Киткина. (Уборевич). (РГВА. Ф. 4. Оп. 18. Д. 19. Л. 78) (12342).</w:t>
      </w:r>
    </w:p>
    <w:p w14:paraId="64EA239D" w14:textId="61FE2367" w:rsidR="00065987" w:rsidRPr="00507A31" w:rsidRDefault="00065987" w:rsidP="00507A31">
      <w:pPr>
        <w:pStyle w:val="rtejustify"/>
        <w:spacing w:before="0" w:after="0"/>
        <w:rPr>
          <w:color w:val="000000" w:themeColor="text1"/>
          <w:sz w:val="16"/>
          <w:szCs w:val="16"/>
        </w:rPr>
      </w:pPr>
    </w:p>
    <w:p w14:paraId="6DA10BA5" w14:textId="3AC78F83" w:rsidR="00D93EF8" w:rsidRPr="00507A31" w:rsidRDefault="00D93EF8" w:rsidP="00507A31">
      <w:pPr>
        <w:pStyle w:val="rtejustify"/>
        <w:spacing w:before="0" w:after="0"/>
        <w:rPr>
          <w:i/>
          <w:iCs/>
          <w:color w:val="000000" w:themeColor="text1"/>
          <w:sz w:val="16"/>
          <w:szCs w:val="16"/>
        </w:rPr>
      </w:pPr>
      <w:r w:rsidRPr="00507A31">
        <w:rPr>
          <w:i/>
          <w:iCs/>
          <w:color w:val="000000" w:themeColor="text1"/>
          <w:sz w:val="16"/>
          <w:szCs w:val="16"/>
        </w:rPr>
        <w:t>Армия:</w:t>
      </w:r>
    </w:p>
    <w:p w14:paraId="3B7B5A3A" w14:textId="77777777" w:rsidR="00D93EF8" w:rsidRPr="00507A31" w:rsidRDefault="00D93EF8" w:rsidP="00507A31">
      <w:pPr>
        <w:pStyle w:val="rtejustify"/>
        <w:spacing w:before="0" w:after="0"/>
        <w:rPr>
          <w:i/>
          <w:iCs/>
          <w:color w:val="000000" w:themeColor="text1"/>
          <w:sz w:val="16"/>
          <w:szCs w:val="16"/>
        </w:rPr>
      </w:pPr>
    </w:p>
    <w:p w14:paraId="51045A91" w14:textId="77777777" w:rsidR="00D93EF8" w:rsidRPr="00507A31" w:rsidRDefault="00D93EF8" w:rsidP="00507A31">
      <w:pPr>
        <w:shd w:val="clear" w:color="auto" w:fill="FFFFFF"/>
        <w:jc w:val="both"/>
        <w:rPr>
          <w:color w:val="0070C0"/>
          <w:sz w:val="16"/>
          <w:szCs w:val="16"/>
        </w:rPr>
      </w:pPr>
      <w:r w:rsidRPr="00507A31">
        <w:rPr>
          <w:color w:val="0070C0"/>
          <w:sz w:val="16"/>
          <w:szCs w:val="16"/>
        </w:rPr>
        <w:t>17 марта Ворошилов отдал распоряжение о принятии "без всякого шума, в порядке усиления текущей работы" "надлежащих мер для приведения в боеготовность войсковых частей и для поддержки этой боеготовности на должной высоте в течение всего лета 1930 г." (Письмо Наркомвоенмора и Председателя РВСС Ворошилова Начальник)' ПУР РККА Гамарнику, 17.03-1930. Гамарнику предписывалось постепенно перестроить всю политико-просветительскую работу во всех частях Красной Армии (в первую очередь в БВО, ЛВО и УВО), "чтобы в максимальной степени обеспечить боевую настороженность частей и проведение всех мероприятий, с которыми Вы ознакомитесь из отданных мною распоряжений" (Там же)) (22725).</w:t>
      </w:r>
    </w:p>
    <w:p w14:paraId="2F133FD9" w14:textId="77777777" w:rsidR="00D93EF8" w:rsidRPr="00507A31" w:rsidRDefault="00D93EF8" w:rsidP="00507A31">
      <w:pPr>
        <w:shd w:val="clear" w:color="auto" w:fill="FFFFFF"/>
        <w:jc w:val="both"/>
        <w:rPr>
          <w:color w:val="0070C0"/>
          <w:sz w:val="16"/>
          <w:szCs w:val="16"/>
        </w:rPr>
      </w:pPr>
    </w:p>
    <w:p w14:paraId="056519F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2A23A6E" w14:textId="77777777" w:rsidR="00537E5F" w:rsidRPr="00507A31" w:rsidRDefault="00537E5F" w:rsidP="00507A31">
      <w:pPr>
        <w:autoSpaceDE w:val="0"/>
        <w:autoSpaceDN w:val="0"/>
        <w:adjustRightInd w:val="0"/>
        <w:jc w:val="both"/>
        <w:rPr>
          <w:iCs/>
          <w:color w:val="000000" w:themeColor="text1"/>
          <w:sz w:val="16"/>
          <w:szCs w:val="16"/>
        </w:rPr>
      </w:pPr>
    </w:p>
    <w:p w14:paraId="74A840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марта 1930 ЦК ВКП(б) постановил командировать членов Политбюро на Украину, в Центрально-Черноземную область и на Северный Кавказ для оказания помощи местным работникам "в исправлении ошибок", укреплении колхозов м подготовке к весеннему севу - начало ежегодных "битв за урожай" под руководством Коммунистической партии (10687).</w:t>
      </w:r>
    </w:p>
    <w:p w14:paraId="75C678A6" w14:textId="77777777" w:rsidR="00537E5F" w:rsidRPr="00507A31" w:rsidRDefault="00537E5F" w:rsidP="00507A31">
      <w:pPr>
        <w:autoSpaceDE w:val="0"/>
        <w:autoSpaceDN w:val="0"/>
        <w:adjustRightInd w:val="0"/>
        <w:jc w:val="both"/>
        <w:rPr>
          <w:color w:val="000000" w:themeColor="text1"/>
          <w:sz w:val="16"/>
          <w:szCs w:val="16"/>
        </w:rPr>
      </w:pPr>
    </w:p>
    <w:p w14:paraId="5A0F7AE7" w14:textId="77777777" w:rsidR="009651EE" w:rsidRPr="00507A31" w:rsidRDefault="009651EE" w:rsidP="00507A31">
      <w:pPr>
        <w:autoSpaceDE w:val="0"/>
        <w:autoSpaceDN w:val="0"/>
        <w:adjustRightInd w:val="0"/>
        <w:jc w:val="both"/>
        <w:rPr>
          <w:color w:val="000000" w:themeColor="text1"/>
          <w:sz w:val="16"/>
          <w:szCs w:val="16"/>
        </w:rPr>
      </w:pPr>
      <w:r w:rsidRPr="00507A31">
        <w:rPr>
          <w:color w:val="000000" w:themeColor="text1"/>
          <w:sz w:val="16"/>
          <w:szCs w:val="16"/>
        </w:rPr>
        <w:t>17 марта 1930 г. была премьера пьесы «Баня» Маяковского. ровно через месяц - застрелился (17325).</w:t>
      </w:r>
    </w:p>
    <w:p w14:paraId="1EEAE0D6" w14:textId="77777777" w:rsidR="009651EE" w:rsidRPr="00507A31" w:rsidRDefault="009651EE" w:rsidP="00507A31">
      <w:pPr>
        <w:autoSpaceDE w:val="0"/>
        <w:autoSpaceDN w:val="0"/>
        <w:adjustRightInd w:val="0"/>
        <w:jc w:val="both"/>
        <w:rPr>
          <w:color w:val="000000" w:themeColor="text1"/>
          <w:sz w:val="16"/>
          <w:szCs w:val="16"/>
        </w:rPr>
      </w:pPr>
    </w:p>
    <w:p w14:paraId="33C0415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1969684" w14:textId="77777777" w:rsidR="00537E5F" w:rsidRPr="00507A31" w:rsidRDefault="00537E5F" w:rsidP="00507A31">
      <w:pPr>
        <w:autoSpaceDE w:val="0"/>
        <w:autoSpaceDN w:val="0"/>
        <w:adjustRightInd w:val="0"/>
        <w:jc w:val="both"/>
        <w:rPr>
          <w:iCs/>
          <w:color w:val="000000" w:themeColor="text1"/>
          <w:sz w:val="16"/>
          <w:szCs w:val="16"/>
        </w:rPr>
      </w:pPr>
    </w:p>
    <w:p w14:paraId="39193A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марта 1930 Аль Капоне был освобожден из тюрьмы из-за недостатка доказательств (2100).</w:t>
      </w:r>
    </w:p>
    <w:p w14:paraId="17F331BC" w14:textId="77777777" w:rsidR="00537E5F" w:rsidRPr="00507A31" w:rsidRDefault="00537E5F" w:rsidP="00507A31">
      <w:pPr>
        <w:autoSpaceDE w:val="0"/>
        <w:autoSpaceDN w:val="0"/>
        <w:adjustRightInd w:val="0"/>
        <w:jc w:val="both"/>
        <w:rPr>
          <w:color w:val="000000" w:themeColor="text1"/>
          <w:sz w:val="16"/>
          <w:szCs w:val="16"/>
        </w:rPr>
      </w:pPr>
    </w:p>
    <w:p w14:paraId="67C7B4C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17 марта 1930 в связи с недоказанностью преступлений на свободу выпущен глава американской мафии Аль Капоне (4962).</w:t>
      </w:r>
    </w:p>
    <w:p w14:paraId="736F8BC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951A4A3" w14:textId="77777777" w:rsidR="008E5A7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C25D129" w14:textId="77777777" w:rsidR="008E5A72" w:rsidRPr="00507A31" w:rsidRDefault="008E5A72" w:rsidP="00507A31">
      <w:pPr>
        <w:autoSpaceDE w:val="0"/>
        <w:autoSpaceDN w:val="0"/>
        <w:adjustRightInd w:val="0"/>
        <w:jc w:val="both"/>
        <w:rPr>
          <w:iCs/>
          <w:color w:val="000000" w:themeColor="text1"/>
          <w:sz w:val="16"/>
          <w:szCs w:val="16"/>
        </w:rPr>
      </w:pPr>
    </w:p>
    <w:p w14:paraId="01D60AD5" w14:textId="77777777" w:rsidR="003F6384" w:rsidRPr="00507A31" w:rsidRDefault="003F6384" w:rsidP="00507A31">
      <w:pPr>
        <w:jc w:val="both"/>
        <w:rPr>
          <w:color w:val="000000" w:themeColor="text1"/>
          <w:sz w:val="16"/>
          <w:szCs w:val="16"/>
        </w:rPr>
      </w:pPr>
      <w:r w:rsidRPr="00507A31">
        <w:rPr>
          <w:color w:val="000000" w:themeColor="text1"/>
          <w:sz w:val="16"/>
          <w:szCs w:val="16"/>
        </w:rPr>
        <w:t>18 марта 1930 года</w:t>
      </w:r>
    </w:p>
    <w:p w14:paraId="0B6A4774" w14:textId="77777777" w:rsidR="003F6384" w:rsidRPr="00507A31" w:rsidRDefault="003F6384" w:rsidP="00507A31">
      <w:pPr>
        <w:jc w:val="both"/>
        <w:rPr>
          <w:color w:val="000000" w:themeColor="text1"/>
          <w:sz w:val="16"/>
          <w:szCs w:val="16"/>
        </w:rPr>
      </w:pPr>
      <w:r w:rsidRPr="00507A31">
        <w:rPr>
          <w:color w:val="000000" w:themeColor="text1"/>
          <w:sz w:val="16"/>
          <w:szCs w:val="16"/>
        </w:rPr>
        <w:t>Утверждаю</w:t>
      </w:r>
    </w:p>
    <w:p w14:paraId="0743D7DB" w14:textId="77777777" w:rsidR="003F6384" w:rsidRPr="00507A31" w:rsidRDefault="003F6384" w:rsidP="00507A31">
      <w:pPr>
        <w:jc w:val="both"/>
        <w:rPr>
          <w:color w:val="000000" w:themeColor="text1"/>
          <w:sz w:val="16"/>
          <w:szCs w:val="16"/>
        </w:rPr>
      </w:pPr>
      <w:r w:rsidRPr="00507A31">
        <w:rPr>
          <w:color w:val="000000" w:themeColor="text1"/>
          <w:sz w:val="16"/>
          <w:szCs w:val="16"/>
        </w:rPr>
        <w:t>Начальник Артиллерийского Управления РККА Роговский</w:t>
      </w:r>
    </w:p>
    <w:p w14:paraId="50BCA532" w14:textId="77777777" w:rsidR="003F6384" w:rsidRPr="00507A31" w:rsidRDefault="003F6384" w:rsidP="00507A31">
      <w:pPr>
        <w:jc w:val="both"/>
        <w:rPr>
          <w:color w:val="000000" w:themeColor="text1"/>
          <w:sz w:val="16"/>
          <w:szCs w:val="16"/>
        </w:rPr>
      </w:pPr>
      <w:r w:rsidRPr="00507A31">
        <w:rPr>
          <w:color w:val="000000" w:themeColor="text1"/>
          <w:sz w:val="16"/>
          <w:szCs w:val="16"/>
        </w:rPr>
        <w:t>18 марта 1930 года</w:t>
      </w:r>
    </w:p>
    <w:p w14:paraId="701A4608" w14:textId="77777777" w:rsidR="003F6384" w:rsidRPr="00507A31" w:rsidRDefault="003F6384" w:rsidP="00507A31">
      <w:pPr>
        <w:jc w:val="both"/>
        <w:rPr>
          <w:color w:val="000000" w:themeColor="text1"/>
          <w:sz w:val="16"/>
          <w:szCs w:val="16"/>
        </w:rPr>
      </w:pPr>
      <w:r w:rsidRPr="00507A31">
        <w:rPr>
          <w:color w:val="000000" w:themeColor="text1"/>
          <w:sz w:val="16"/>
          <w:szCs w:val="16"/>
        </w:rPr>
        <w:t>Журнал Научно-Технического Комитета по VI секции от 21.03.1930 г., ? 45.</w:t>
      </w:r>
    </w:p>
    <w:p w14:paraId="3AFD962B" w14:textId="77777777" w:rsidR="003F6384" w:rsidRPr="00507A31" w:rsidRDefault="003F6384" w:rsidP="00507A31">
      <w:pPr>
        <w:jc w:val="both"/>
        <w:rPr>
          <w:color w:val="000000" w:themeColor="text1"/>
          <w:sz w:val="16"/>
          <w:szCs w:val="16"/>
        </w:rPr>
      </w:pPr>
      <w:r w:rsidRPr="00507A31">
        <w:rPr>
          <w:color w:val="000000" w:themeColor="text1"/>
          <w:sz w:val="16"/>
          <w:szCs w:val="16"/>
        </w:rPr>
        <w:t>Об усовершенствовании 3-лин. Револьвера 1895 г. (Системы Наган).</w:t>
      </w:r>
    </w:p>
    <w:p w14:paraId="2D76D3CD" w14:textId="77777777" w:rsidR="003F6384" w:rsidRPr="00507A31" w:rsidRDefault="003F6384" w:rsidP="00507A31">
      <w:pPr>
        <w:jc w:val="both"/>
        <w:rPr>
          <w:color w:val="000000" w:themeColor="text1"/>
          <w:sz w:val="16"/>
          <w:szCs w:val="16"/>
        </w:rPr>
      </w:pPr>
      <w:r w:rsidRPr="00507A31">
        <w:rPr>
          <w:color w:val="000000" w:themeColor="text1"/>
          <w:sz w:val="16"/>
          <w:szCs w:val="16"/>
        </w:rPr>
        <w:t>В связи с распространением стрелкового спорта по СССР, в различных общественных организациях и Штабом РККА был поднят вопрос о желательности изменения спуска револьвера (в сторону его ослабления) и изменении прицельных приспособлений на более совершенные.</w:t>
      </w:r>
    </w:p>
    <w:p w14:paraId="42A833B1" w14:textId="77777777" w:rsidR="003F6384" w:rsidRPr="00507A31" w:rsidRDefault="003F6384" w:rsidP="00507A31">
      <w:pPr>
        <w:jc w:val="both"/>
        <w:rPr>
          <w:color w:val="000000" w:themeColor="text1"/>
          <w:sz w:val="16"/>
          <w:szCs w:val="16"/>
        </w:rPr>
      </w:pPr>
      <w:r w:rsidRPr="00507A31">
        <w:rPr>
          <w:color w:val="000000" w:themeColor="text1"/>
          <w:sz w:val="16"/>
          <w:szCs w:val="16"/>
        </w:rPr>
        <w:lastRenderedPageBreak/>
        <w:t>Существующий довольно тугой спуск револьвера объясняется тем, что в 1921-1922 г. со стороны частей наблюдались неоднократные жалобы на имевшие место осечки. Принимая во внимание, что осечки при стрельбе из револьвера являются существенным недостатком и никоим образом не могут быть допускаемы, для устранения таковых, Секция предприняла шаги по созданию более чувствительных капсюлей револьверных патронов и разрешила Оружейному заводу довести силу боевой пружины от 11 до 12,5 фунтов. Благодаря этим мерам, осечки были совершенно изжиты. В настоящее время после значительного ряда опытов и испытаний (в М.П.С.Р. Динамо и в Секции) можно установить, что действительной причиной осечек было несовершенство капсюлей, каковой недостаток уже не имеет места, а потому вопрос об ослаблении спуска револьвера может быть теми или иными мерами осуществлён.</w:t>
      </w:r>
    </w:p>
    <w:p w14:paraId="49D3ED6F" w14:textId="77777777" w:rsidR="003F6384" w:rsidRPr="00507A31" w:rsidRDefault="003F6384" w:rsidP="00507A31">
      <w:pPr>
        <w:jc w:val="both"/>
        <w:rPr>
          <w:color w:val="000000" w:themeColor="text1"/>
          <w:sz w:val="16"/>
          <w:szCs w:val="16"/>
        </w:rPr>
      </w:pPr>
      <w:r w:rsidRPr="00507A31">
        <w:rPr>
          <w:color w:val="000000" w:themeColor="text1"/>
          <w:sz w:val="16"/>
          <w:szCs w:val="16"/>
        </w:rPr>
        <w:t>После ряда опытов, произведённых на Тульском Оружейном заводе членом НТК т. Смирнским, впредь до создания более совершенного спуска (короткий, требующий усилия в пределах 5-7 ф.) каковая задача настоящим даётся Конструкторскому Бюро Тульского завода, Секция считает необходимым: </w:t>
      </w:r>
    </w:p>
    <w:p w14:paraId="624896E3" w14:textId="77777777" w:rsidR="003F6384" w:rsidRPr="00507A31" w:rsidRDefault="003F6384" w:rsidP="00507A31">
      <w:pPr>
        <w:jc w:val="both"/>
        <w:rPr>
          <w:color w:val="000000" w:themeColor="text1"/>
          <w:sz w:val="16"/>
          <w:szCs w:val="16"/>
        </w:rPr>
      </w:pPr>
      <w:r w:rsidRPr="00507A31">
        <w:rPr>
          <w:color w:val="000000" w:themeColor="text1"/>
          <w:sz w:val="16"/>
          <w:szCs w:val="16"/>
        </w:rPr>
        <w:t>1) заказать ТОЗу в счёт валового заказа опытную партию револьверов для войскового испытания с усилием на спуске не более 10-ти фунтов.</w:t>
      </w:r>
    </w:p>
    <w:p w14:paraId="15D15AF5" w14:textId="77777777" w:rsidR="003F6384" w:rsidRPr="00507A31" w:rsidRDefault="003F6384" w:rsidP="00507A31">
      <w:pPr>
        <w:jc w:val="both"/>
        <w:rPr>
          <w:color w:val="000000" w:themeColor="text1"/>
          <w:sz w:val="16"/>
          <w:szCs w:val="16"/>
        </w:rPr>
      </w:pPr>
      <w:r w:rsidRPr="00507A31">
        <w:rPr>
          <w:color w:val="000000" w:themeColor="text1"/>
          <w:sz w:val="16"/>
          <w:szCs w:val="16"/>
        </w:rPr>
        <w:t>2) При пробе срыва курка для этой партии установить давление в 10 фунтов.</w:t>
      </w:r>
    </w:p>
    <w:p w14:paraId="1B9B3057" w14:textId="77777777" w:rsidR="003F6384" w:rsidRPr="00507A31" w:rsidRDefault="003F6384" w:rsidP="00507A31">
      <w:pPr>
        <w:jc w:val="both"/>
        <w:rPr>
          <w:color w:val="000000" w:themeColor="text1"/>
          <w:sz w:val="16"/>
          <w:szCs w:val="16"/>
        </w:rPr>
      </w:pPr>
      <w:r w:rsidRPr="00507A31">
        <w:rPr>
          <w:color w:val="000000" w:themeColor="text1"/>
          <w:sz w:val="16"/>
          <w:szCs w:val="16"/>
        </w:rPr>
        <w:t>3) Кроме того для получения более короткого спуска следует изменить чертёж спуска, уменьшив ступеньку зареза шептала на 1/3 против существующей величины.</w:t>
      </w:r>
    </w:p>
    <w:p w14:paraId="2B9A2A16" w14:textId="77777777" w:rsidR="003F6384" w:rsidRPr="00507A31" w:rsidRDefault="003F6384" w:rsidP="00507A31">
      <w:pPr>
        <w:jc w:val="both"/>
        <w:rPr>
          <w:color w:val="000000" w:themeColor="text1"/>
          <w:sz w:val="16"/>
          <w:szCs w:val="16"/>
        </w:rPr>
      </w:pPr>
      <w:r w:rsidRPr="00507A31">
        <w:rPr>
          <w:color w:val="000000" w:themeColor="text1"/>
          <w:sz w:val="16"/>
          <w:szCs w:val="16"/>
        </w:rPr>
        <w:t>4) Сила боевой пружины по прибору ? 6 должна быть установлена заводом практическим путём, исходя из указанных выше требований.</w:t>
      </w:r>
    </w:p>
    <w:p w14:paraId="544D5579" w14:textId="77777777" w:rsidR="003F6384" w:rsidRPr="00507A31" w:rsidRDefault="003F6384" w:rsidP="00507A31">
      <w:pPr>
        <w:jc w:val="both"/>
        <w:rPr>
          <w:color w:val="000000" w:themeColor="text1"/>
          <w:sz w:val="16"/>
          <w:szCs w:val="16"/>
        </w:rPr>
      </w:pPr>
      <w:r w:rsidRPr="00507A31">
        <w:rPr>
          <w:color w:val="000000" w:themeColor="text1"/>
          <w:sz w:val="16"/>
          <w:szCs w:val="16"/>
        </w:rPr>
        <w:t>В отношении прицельных приспособлений т. Смирнским на заводе были проделаны опыты с различными мушками и прорезями прицела, причём стрельба велась двумя стрелками на дистанцию 25 шагов по две серии каждым. Типы мушек брались: существующая, Бельгийская Нагана с толщиной гребня в 1,25 мм (0,05 дюйма) и прямоугольная с толщиной в 2 мм (0,08 дюйма). Прорези: существующая, полукруглая с диаметром с 2 мм и квадратная со стороной квадрата в 2 мм. Результаты были получены следующие: наилучшие результаты получены при Бельгийской мушке и полукруглой прорези.</w:t>
      </w:r>
    </w:p>
    <w:p w14:paraId="35D4E7BD" w14:textId="77777777" w:rsidR="003F6384" w:rsidRPr="00507A31" w:rsidRDefault="003F6384" w:rsidP="00507A31">
      <w:pPr>
        <w:jc w:val="both"/>
        <w:rPr>
          <w:color w:val="000000" w:themeColor="text1"/>
          <w:sz w:val="16"/>
          <w:szCs w:val="16"/>
        </w:rPr>
      </w:pPr>
      <w:r w:rsidRPr="00507A31">
        <w:rPr>
          <w:color w:val="000000" w:themeColor="text1"/>
          <w:sz w:val="16"/>
          <w:szCs w:val="16"/>
        </w:rPr>
        <w:t>При испытании оба стрелка заявили, что тонкий просвет между гранями прямоугольной мушки и квадратной стороной прорези, весьма утомляет глаз.</w:t>
      </w:r>
    </w:p>
    <w:p w14:paraId="43CAFCE6" w14:textId="77777777" w:rsidR="003F6384" w:rsidRPr="00507A31" w:rsidRDefault="003F6384" w:rsidP="00507A31">
      <w:pPr>
        <w:jc w:val="both"/>
        <w:rPr>
          <w:color w:val="000000" w:themeColor="text1"/>
          <w:sz w:val="16"/>
          <w:szCs w:val="16"/>
        </w:rPr>
      </w:pPr>
      <w:r w:rsidRPr="00507A31">
        <w:rPr>
          <w:color w:val="000000" w:themeColor="text1"/>
          <w:sz w:val="16"/>
          <w:szCs w:val="16"/>
        </w:rPr>
        <w:t>Кроме означенных испытаний на Оружейном заводе были проведены опыты на Испытательной станции Ч.С. Осоавиахима с целевым пистолетом Смитта и Вессона, где квадратная прорезь с толстой прямоугольной мушкой (толщина прорези и мушки - 2,5 мм) были заменены полукруглой прорезью в 2,5 мм и мушкой шириной в 1,25 мм, причём получилось, что во втором случае кучность боя значительно улучшилось.</w:t>
      </w:r>
    </w:p>
    <w:p w14:paraId="5D54E915" w14:textId="77777777" w:rsidR="003F6384" w:rsidRPr="00507A31" w:rsidRDefault="003F6384" w:rsidP="00507A31">
      <w:pPr>
        <w:jc w:val="both"/>
        <w:rPr>
          <w:color w:val="000000" w:themeColor="text1"/>
          <w:sz w:val="16"/>
          <w:szCs w:val="16"/>
        </w:rPr>
      </w:pPr>
      <w:r w:rsidRPr="00507A31">
        <w:rPr>
          <w:color w:val="000000" w:themeColor="text1"/>
          <w:sz w:val="16"/>
          <w:szCs w:val="16"/>
        </w:rPr>
        <w:t>ПОСТАНОВЛЕНИЕ VI СЕКЦИИ НАУЧНО-ТЕХНИЧЕСКОГО КОМИТЕТА АУ</w:t>
      </w:r>
    </w:p>
    <w:p w14:paraId="1D7EA931" w14:textId="77777777" w:rsidR="003F6384" w:rsidRPr="00507A31" w:rsidRDefault="003F6384" w:rsidP="00507A31">
      <w:pPr>
        <w:jc w:val="both"/>
        <w:rPr>
          <w:color w:val="000000" w:themeColor="text1"/>
          <w:sz w:val="16"/>
          <w:szCs w:val="16"/>
        </w:rPr>
      </w:pPr>
      <w:r w:rsidRPr="00507A31">
        <w:rPr>
          <w:color w:val="000000" w:themeColor="text1"/>
          <w:sz w:val="16"/>
          <w:szCs w:val="16"/>
        </w:rPr>
        <w:t>1. Заказ ТОЗу изготовить, в счёт валового заказа опытную партию револьверов, в 1000 шт., для испытания таковых в войсках, с изменениями, указанными в общей части журнала, причём прорезь прицела изготовить полукруглую с диаметром в 2,5 мм (0,10 дюйма), а мушку бельгийского образца с шириною площадки в 1,25 мм.</w:t>
      </w:r>
    </w:p>
    <w:p w14:paraId="1F2D791F" w14:textId="77777777" w:rsidR="003F6384" w:rsidRPr="00507A31" w:rsidRDefault="003F6384" w:rsidP="00507A31">
      <w:pPr>
        <w:jc w:val="both"/>
        <w:rPr>
          <w:color w:val="000000" w:themeColor="text1"/>
          <w:sz w:val="16"/>
          <w:szCs w:val="16"/>
        </w:rPr>
      </w:pPr>
      <w:r w:rsidRPr="00507A31">
        <w:rPr>
          <w:color w:val="000000" w:themeColor="text1"/>
          <w:sz w:val="16"/>
          <w:szCs w:val="16"/>
        </w:rPr>
        <w:t>2. Поручить Конструкторскому Бюро завода разработать способ ослабления спуска револьверов в пределах 5-7 фунтов (18669).</w:t>
      </w:r>
    </w:p>
    <w:p w14:paraId="2E8C5635" w14:textId="77777777" w:rsidR="003F6384" w:rsidRPr="00507A31" w:rsidRDefault="003F6384" w:rsidP="00507A31">
      <w:pPr>
        <w:jc w:val="both"/>
        <w:rPr>
          <w:color w:val="000000" w:themeColor="text1"/>
          <w:sz w:val="16"/>
          <w:szCs w:val="16"/>
        </w:rPr>
      </w:pPr>
    </w:p>
    <w:p w14:paraId="58D3EEB8" w14:textId="77777777" w:rsidR="008E5A72" w:rsidRPr="00507A31" w:rsidRDefault="008E5A72" w:rsidP="00507A31">
      <w:pPr>
        <w:shd w:val="clear" w:color="auto" w:fill="FFFFFF"/>
        <w:jc w:val="both"/>
        <w:rPr>
          <w:color w:val="000000" w:themeColor="text1"/>
          <w:sz w:val="16"/>
          <w:szCs w:val="16"/>
        </w:rPr>
      </w:pPr>
      <w:r w:rsidRPr="00507A31">
        <w:rPr>
          <w:bCs/>
          <w:iCs/>
          <w:color w:val="000000" w:themeColor="text1"/>
          <w:sz w:val="16"/>
          <w:szCs w:val="16"/>
        </w:rPr>
        <w:t>18 марта 1930 г.</w:t>
      </w:r>
      <w:r w:rsidRPr="00507A31">
        <w:rPr>
          <w:color w:val="000000" w:themeColor="text1"/>
          <w:sz w:val="16"/>
          <w:szCs w:val="16"/>
        </w:rPr>
        <w:t xml:space="preserve"> Письмо начальника вооружений РККА И.П.Уборевича, которым ВОХИМУ было поручено в короткий срок извлечь алкалоид капсаицин из кайенского перца (заодно найти способы получения из местных сортов перца), изучить свойства этого раздражающего ОВ и создать метод синтеза. Тем самым был дан старт активным работам по наступательному применению алкалоидов. В результате ударной работы ИХО выяснилось, что синтез ОВ слишком сложен и практически невозможен даже в опытном порядке. Что до свойств капсаицина, добытого из перца, то оказалось, что в качестве раздражающего ОВ он не имеет преимуществ при сравнении с адамситом и дифенилхлорарсином (в первую очередь — не имеет последействия). Однако заместитель начальника вооружения РККА на одном из отчетов начертал 8 августа того же года резолюцию «</w:t>
      </w:r>
      <w:r w:rsidRPr="00507A31">
        <w:rPr>
          <w:iCs/>
          <w:color w:val="000000" w:themeColor="text1"/>
          <w:sz w:val="16"/>
          <w:szCs w:val="16"/>
        </w:rPr>
        <w:t>Надо работы продолжить. ИХО следует выделить группу т.т., которым углубить изучение этого вопроса</w:t>
      </w:r>
      <w:r w:rsidRPr="00507A31">
        <w:rPr>
          <w:color w:val="000000" w:themeColor="text1"/>
          <w:sz w:val="16"/>
          <w:szCs w:val="16"/>
        </w:rPr>
        <w:t>». Работы были продолжены. Впрочем, цена была столь непомерной, что даже не обремененный заботами о государственной казне начальник ВОХИМУ Я.М.Фишман был вынужден писать в марте 1934 года очередному начальнику вооружений М.Н.Тухачевскому, что «</w:t>
      </w:r>
      <w:r w:rsidRPr="00507A31">
        <w:rPr>
          <w:iCs/>
          <w:color w:val="000000" w:themeColor="text1"/>
          <w:sz w:val="16"/>
          <w:szCs w:val="16"/>
        </w:rPr>
        <w:t>до разрешения сырьевой проблемы и обеспечения резкого снижения стоимости продукта базы для развертывания работ по использованию капсаицина у нас нет</w:t>
      </w:r>
      <w:r w:rsidRPr="00507A31">
        <w:rPr>
          <w:color w:val="000000" w:themeColor="text1"/>
          <w:sz w:val="16"/>
          <w:szCs w:val="16"/>
        </w:rPr>
        <w:t>» (17133).</w:t>
      </w:r>
    </w:p>
    <w:p w14:paraId="5579DCEA" w14:textId="5380991B" w:rsidR="008E5A72" w:rsidRPr="00507A31" w:rsidRDefault="008E5A72" w:rsidP="00507A31">
      <w:pPr>
        <w:shd w:val="clear" w:color="auto" w:fill="FFFFFF"/>
        <w:jc w:val="both"/>
        <w:rPr>
          <w:color w:val="000000" w:themeColor="text1"/>
          <w:sz w:val="16"/>
          <w:szCs w:val="16"/>
        </w:rPr>
      </w:pPr>
    </w:p>
    <w:p w14:paraId="077E7615" w14:textId="4BA53528" w:rsidR="00D93EF8" w:rsidRPr="00507A31" w:rsidRDefault="00D93EF8" w:rsidP="00507A31">
      <w:pPr>
        <w:shd w:val="clear" w:color="auto" w:fill="FFFFFF"/>
        <w:jc w:val="both"/>
        <w:rPr>
          <w:i/>
          <w:iCs/>
          <w:color w:val="000000" w:themeColor="text1"/>
          <w:sz w:val="16"/>
          <w:szCs w:val="16"/>
        </w:rPr>
      </w:pPr>
      <w:r w:rsidRPr="00507A31">
        <w:rPr>
          <w:i/>
          <w:iCs/>
          <w:color w:val="000000" w:themeColor="text1"/>
          <w:sz w:val="16"/>
          <w:szCs w:val="16"/>
        </w:rPr>
        <w:t>Армия:</w:t>
      </w:r>
    </w:p>
    <w:p w14:paraId="11C22BE2" w14:textId="77777777" w:rsidR="00D93EF8" w:rsidRPr="00507A31" w:rsidRDefault="00D93EF8" w:rsidP="00507A31">
      <w:pPr>
        <w:shd w:val="clear" w:color="auto" w:fill="FFFFFF"/>
        <w:jc w:val="both"/>
        <w:rPr>
          <w:i/>
          <w:iCs/>
          <w:color w:val="000000" w:themeColor="text1"/>
          <w:sz w:val="16"/>
          <w:szCs w:val="16"/>
        </w:rPr>
      </w:pPr>
    </w:p>
    <w:p w14:paraId="1FEA8411" w14:textId="77777777" w:rsidR="00D93EF8" w:rsidRPr="00507A31" w:rsidRDefault="00D93EF8" w:rsidP="00507A31">
      <w:pPr>
        <w:shd w:val="clear" w:color="auto" w:fill="FFFFFF"/>
        <w:jc w:val="both"/>
        <w:rPr>
          <w:color w:val="0070C0"/>
          <w:sz w:val="16"/>
          <w:szCs w:val="16"/>
        </w:rPr>
      </w:pPr>
      <w:r w:rsidRPr="00507A31">
        <w:rPr>
          <w:color w:val="0070C0"/>
          <w:sz w:val="16"/>
          <w:szCs w:val="16"/>
        </w:rPr>
        <w:t>18 марта 1930 Реввоенсовет с участием комвойсками западных округов и командующего Черноморским флотом на особом заседании рассмотрел вопрос "О мероприятиях по усилению обороны, связанных с наступлением весны 1930 г.". О принятых постановлениях документ умалчивает: "Решения особо секретные (хранятся в Секретариате Председателя РВСС)"( Протокол заседания РВС СССР, 18.03-1930 // РГВА. Ф. 4. On. 1. Д. 1413. Л. 1. Протокол не имеет номера; он хранился отдельно от протоколов РВС за 1930 г.). (По свидетельству Ворошилова, на закрытом заседании РВСС "обсуждение ответственнейшего для государства вопроса обороны при наличных ресурсах" Тухачевский "неожиданно для всех свел к необходимости заменить в критический момент еще недоработанный вариант № 8 совершенно никому не известным вариантом № 10"( Личное письмо Ворошилова Тухачевскому (проект), [январь (?)], 1931 (с пометой "не посылалось") // Там же. Л. 170). 23 марта Наркомат по военным и морским делам направил в западные военные округа директиву по укреплению обороноспособности пограничных районов (Точное содержание директивы установить не удалось. О ней упоминается в более позднем документе: Директива Заместителя Начальника Штаба РККА Левичева начальникам штабов БВО, УВО. МВО, ЛВО, ПриВО, ОКДВА и ККА, 7.07.1930 // РГАЭ. Ф. 4372. Оп. 91-Д 611. Л. 60.). Вероятно, как с перераспределением функций между Штабом и ГУ РККА (январь 1930 г.), так и с изменениями политической обстановки была связана разработка Штабом РККА "Схемы организации центрального военного аппарата в период военного времени", которая в апреле 1930 г. была утверждена наркомом (138. ЦВЕТКОВ И. Ф. Организационно-мобилизационные органы и организационные структуры Военно-Морского Флота России (1695-1945). СПб., 2000. С. 263. По оценке автора, "это существенно изменило систему органов стратегического управления, действовавшую с 1928 года, и их функции" (Там же).) (22725).</w:t>
      </w:r>
    </w:p>
    <w:p w14:paraId="02D94FD4" w14:textId="77777777" w:rsidR="00D93EF8" w:rsidRPr="00507A31" w:rsidRDefault="00D93EF8" w:rsidP="00507A31">
      <w:pPr>
        <w:jc w:val="both"/>
        <w:rPr>
          <w:color w:val="0070C0"/>
          <w:sz w:val="16"/>
          <w:szCs w:val="16"/>
        </w:rPr>
      </w:pPr>
    </w:p>
    <w:p w14:paraId="3F1CCF3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F45E1B2" w14:textId="77777777" w:rsidR="00537E5F" w:rsidRPr="00507A31" w:rsidRDefault="00537E5F" w:rsidP="00507A31">
      <w:pPr>
        <w:autoSpaceDE w:val="0"/>
        <w:autoSpaceDN w:val="0"/>
        <w:adjustRightInd w:val="0"/>
        <w:jc w:val="both"/>
        <w:rPr>
          <w:iCs/>
          <w:color w:val="000000" w:themeColor="text1"/>
          <w:sz w:val="16"/>
          <w:szCs w:val="16"/>
        </w:rPr>
      </w:pPr>
    </w:p>
    <w:p w14:paraId="46F04168" w14:textId="77777777" w:rsidR="007117D6" w:rsidRPr="00507A31" w:rsidRDefault="007117D6" w:rsidP="00507A31">
      <w:pPr>
        <w:jc w:val="both"/>
        <w:rPr>
          <w:color w:val="000000" w:themeColor="text1"/>
          <w:sz w:val="16"/>
          <w:szCs w:val="16"/>
        </w:rPr>
      </w:pPr>
      <w:r w:rsidRPr="00507A31">
        <w:rPr>
          <w:color w:val="000000" w:themeColor="text1"/>
          <w:sz w:val="16"/>
          <w:szCs w:val="16"/>
        </w:rPr>
        <w:t>18 марта 1930. Постановление СТО СССР о переходе на пятидневную рабочую неделю.</w:t>
      </w:r>
    </w:p>
    <w:p w14:paraId="0A0A0129" w14:textId="77777777" w:rsidR="007117D6" w:rsidRPr="00507A31" w:rsidRDefault="007117D6" w:rsidP="00507A31">
      <w:pPr>
        <w:jc w:val="both"/>
        <w:rPr>
          <w:color w:val="000000" w:themeColor="text1"/>
          <w:sz w:val="16"/>
          <w:szCs w:val="16"/>
        </w:rPr>
      </w:pPr>
      <w:r w:rsidRPr="00507A31">
        <w:rPr>
          <w:color w:val="000000" w:themeColor="text1"/>
          <w:sz w:val="16"/>
          <w:szCs w:val="16"/>
        </w:rPr>
        <w:t>Н. М. Любимов в книге воспоминаний "Неувядаемый цвет" пишет: "Учреждения и предприятия работали непрерывно, но у каждого рабочего и служащего был через каждые четыре дня свой "выходной день"... Переход с семидневки на пятидневку влетел государству в копеечку с коньком и всюду вызвал отчаянную неразбериху. Однажды в Художественном театре после первого действия не задернулась одна половина занавеса. Тот, кто ведал "выходными днями", напутал: дал "выходной день" машинисту сцены и никем его не заменил. Кутерьма пошла и в Домашних очагах: родители свободны, дети в "июле; муж на службе, жена свободна" (18725).</w:t>
      </w:r>
    </w:p>
    <w:p w14:paraId="3CDB3539" w14:textId="77777777" w:rsidR="007117D6" w:rsidRPr="00507A31" w:rsidRDefault="007117D6" w:rsidP="00507A31">
      <w:pPr>
        <w:jc w:val="both"/>
        <w:rPr>
          <w:color w:val="000000" w:themeColor="text1"/>
          <w:sz w:val="16"/>
          <w:szCs w:val="16"/>
        </w:rPr>
      </w:pPr>
    </w:p>
    <w:p w14:paraId="40958F71" w14:textId="77777777" w:rsidR="009651EE"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марта 1930 Алты-Булак (Андхойский р-н). В доме туркменов-эмигрантов М.Каримоглы и М.Чары-оглы состоялось совещание баев-эмигрантов Карабекаульского и Саятского районов Чарджуйского округа, на котором было решено организовать и направить на территорию Туркмеской ССР крупный басмаческий отряд во главе с курбаши С.Шайтаном для вывоза из СССР туркменских семей, и</w:t>
      </w:r>
      <w:r w:rsidR="009651EE" w:rsidRPr="00507A31">
        <w:rPr>
          <w:color w:val="000000" w:themeColor="text1"/>
          <w:sz w:val="16"/>
          <w:szCs w:val="16"/>
        </w:rPr>
        <w:t>мущества и угона скота (10687).</w:t>
      </w:r>
    </w:p>
    <w:p w14:paraId="44ACC3AF" w14:textId="77777777" w:rsidR="009651EE" w:rsidRPr="00507A31" w:rsidRDefault="009651EE" w:rsidP="00507A31">
      <w:pPr>
        <w:autoSpaceDE w:val="0"/>
        <w:autoSpaceDN w:val="0"/>
        <w:adjustRightInd w:val="0"/>
        <w:jc w:val="both"/>
        <w:rPr>
          <w:iCs/>
          <w:color w:val="000000" w:themeColor="text1"/>
          <w:sz w:val="16"/>
          <w:szCs w:val="16"/>
        </w:rPr>
      </w:pPr>
    </w:p>
    <w:p w14:paraId="32DBDE0D" w14:textId="77777777" w:rsidR="00065987"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7E26B85" w14:textId="77777777" w:rsidR="00065987" w:rsidRPr="00507A31" w:rsidRDefault="00065987" w:rsidP="00507A31">
      <w:pPr>
        <w:autoSpaceDE w:val="0"/>
        <w:autoSpaceDN w:val="0"/>
        <w:adjustRightInd w:val="0"/>
        <w:jc w:val="both"/>
        <w:rPr>
          <w:iCs/>
          <w:color w:val="000000" w:themeColor="text1"/>
          <w:sz w:val="16"/>
          <w:szCs w:val="16"/>
        </w:rPr>
      </w:pPr>
    </w:p>
    <w:p w14:paraId="04439C25" w14:textId="77777777" w:rsidR="00065987" w:rsidRPr="00507A31" w:rsidRDefault="00065987" w:rsidP="00507A31">
      <w:pPr>
        <w:jc w:val="both"/>
        <w:rPr>
          <w:color w:val="000000" w:themeColor="text1"/>
          <w:sz w:val="16"/>
          <w:szCs w:val="16"/>
        </w:rPr>
      </w:pPr>
      <w:r w:rsidRPr="00507A31">
        <w:rPr>
          <w:color w:val="000000" w:themeColor="text1"/>
          <w:sz w:val="16"/>
          <w:szCs w:val="16"/>
        </w:rPr>
        <w:t>19 марта 1930 г. — Из постановления правления Орудийно-арсенального треста о выполнении плана 1928/29 г. заводами треста</w:t>
      </w:r>
    </w:p>
    <w:p w14:paraId="30C9EE37" w14:textId="77777777" w:rsidR="00065987" w:rsidRPr="00507A31" w:rsidRDefault="00065987" w:rsidP="00507A31">
      <w:pPr>
        <w:jc w:val="both"/>
        <w:rPr>
          <w:color w:val="000000" w:themeColor="text1"/>
          <w:sz w:val="16"/>
          <w:szCs w:val="16"/>
        </w:rPr>
      </w:pPr>
      <w:r w:rsidRPr="00507A31">
        <w:rPr>
          <w:color w:val="000000" w:themeColor="text1"/>
          <w:sz w:val="16"/>
          <w:szCs w:val="16"/>
        </w:rPr>
        <w:t>Секретно.</w:t>
      </w:r>
    </w:p>
    <w:p w14:paraId="4DC4855A" w14:textId="77777777" w:rsidR="00065987" w:rsidRPr="00507A31" w:rsidRDefault="00065987" w:rsidP="00507A31">
      <w:pPr>
        <w:jc w:val="both"/>
        <w:rPr>
          <w:color w:val="000000" w:themeColor="text1"/>
          <w:sz w:val="16"/>
          <w:szCs w:val="16"/>
        </w:rPr>
      </w:pPr>
      <w:r w:rsidRPr="00507A31">
        <w:rPr>
          <w:color w:val="000000" w:themeColor="text1"/>
          <w:sz w:val="16"/>
          <w:szCs w:val="16"/>
        </w:rPr>
        <w:t>Констатировать следующие основные показатели, характеризующие деятельность заводов треста за 1928/29 г. и I квартал 1929/30 г.</w:t>
      </w:r>
    </w:p>
    <w:p w14:paraId="073CB194" w14:textId="77777777" w:rsidR="00065987" w:rsidRPr="00507A31" w:rsidRDefault="00065987" w:rsidP="00507A31">
      <w:pPr>
        <w:jc w:val="both"/>
        <w:rPr>
          <w:color w:val="000000" w:themeColor="text1"/>
          <w:sz w:val="16"/>
          <w:szCs w:val="16"/>
        </w:rPr>
      </w:pPr>
      <w:r w:rsidRPr="00507A31">
        <w:rPr>
          <w:color w:val="000000" w:themeColor="text1"/>
          <w:sz w:val="16"/>
          <w:szCs w:val="16"/>
        </w:rPr>
        <w:t>По производству</w:t>
      </w:r>
    </w:p>
    <w:p w14:paraId="3E75331D"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1. Выполнение программы в 1928/29 г. по всем заводам составило от портфеля заказов 84,5%, в том числе: ММЗ — 80,5; «Большевик» — 81,6; завод № 8 — 85,7; «Баррикады» — 64,2; завод № 7 — 87,5; завод № 13 — 79,6; ККЗ — 94; «Мастяжарт» — 85,5; [завод] № 19 — 90,3; ИЗОС — 89,2; Лензос — 99,7[%].</w:t>
      </w:r>
    </w:p>
    <w:p w14:paraId="3136A9CA"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Против же плана в договорных ценах выполнение составило 95,5%, в том числе: по военной — 90,6 и по мирной — 108[%]. Позаводно процент выполнения распадается таким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41"/>
        <w:gridCol w:w="2827"/>
        <w:gridCol w:w="2671"/>
        <w:gridCol w:w="1483"/>
      </w:tblGrid>
      <w:tr w:rsidR="00E371BA" w:rsidRPr="00507A31" w14:paraId="2951B65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91C8473" w14:textId="77777777" w:rsidR="00065987" w:rsidRPr="00507A31" w:rsidRDefault="00065987" w:rsidP="00507A31">
            <w:pPr>
              <w:jc w:val="both"/>
              <w:rPr>
                <w:color w:val="000000" w:themeColor="text1"/>
                <w:sz w:val="16"/>
                <w:szCs w:val="16"/>
              </w:rPr>
            </w:pPr>
            <w:r w:rsidRPr="00507A31">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1EFFD" w14:textId="77777777" w:rsidR="00065987" w:rsidRPr="00507A31" w:rsidRDefault="00065987" w:rsidP="00507A31">
            <w:pPr>
              <w:jc w:val="both"/>
              <w:rPr>
                <w:color w:val="000000" w:themeColor="text1"/>
                <w:sz w:val="16"/>
                <w:szCs w:val="16"/>
              </w:rPr>
            </w:pPr>
            <w:r w:rsidRPr="00507A31">
              <w:rPr>
                <w:color w:val="000000" w:themeColor="text1"/>
                <w:sz w:val="16"/>
                <w:szCs w:val="16"/>
              </w:rPr>
              <w:t>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0B04D" w14:textId="77777777" w:rsidR="00065987" w:rsidRPr="00507A31" w:rsidRDefault="00065987" w:rsidP="00507A31">
            <w:pPr>
              <w:jc w:val="both"/>
              <w:rPr>
                <w:color w:val="000000" w:themeColor="text1"/>
                <w:sz w:val="16"/>
                <w:szCs w:val="16"/>
              </w:rPr>
            </w:pPr>
            <w:r w:rsidRPr="00507A31">
              <w:rPr>
                <w:color w:val="000000" w:themeColor="text1"/>
                <w:sz w:val="16"/>
                <w:szCs w:val="16"/>
              </w:rPr>
              <w:t>По мирной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84952" w14:textId="77777777" w:rsidR="00065987" w:rsidRPr="00507A31" w:rsidRDefault="00065987" w:rsidP="00507A31">
            <w:pPr>
              <w:jc w:val="both"/>
              <w:rPr>
                <w:color w:val="000000" w:themeColor="text1"/>
                <w:sz w:val="16"/>
                <w:szCs w:val="16"/>
              </w:rPr>
            </w:pPr>
            <w:r w:rsidRPr="00507A31">
              <w:rPr>
                <w:color w:val="000000" w:themeColor="text1"/>
                <w:sz w:val="16"/>
                <w:szCs w:val="16"/>
              </w:rPr>
              <w:t>Итого</w:t>
            </w:r>
          </w:p>
        </w:tc>
      </w:tr>
      <w:tr w:rsidR="00E371BA" w:rsidRPr="00507A31" w14:paraId="555321EF"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ECD027E" w14:textId="77777777" w:rsidR="00065987" w:rsidRPr="00507A31" w:rsidRDefault="00065987" w:rsidP="00507A31">
            <w:pPr>
              <w:jc w:val="both"/>
              <w:rPr>
                <w:color w:val="000000" w:themeColor="text1"/>
                <w:sz w:val="16"/>
                <w:szCs w:val="16"/>
              </w:rPr>
            </w:pPr>
            <w:r w:rsidRPr="00507A31">
              <w:rPr>
                <w:color w:val="000000" w:themeColor="text1"/>
                <w:sz w:val="16"/>
                <w:szCs w:val="16"/>
              </w:rPr>
              <w:t>По ММЗ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58246" w14:textId="77777777" w:rsidR="00065987" w:rsidRPr="00507A31" w:rsidRDefault="00065987" w:rsidP="00507A31">
            <w:pPr>
              <w:jc w:val="both"/>
              <w:rPr>
                <w:color w:val="000000" w:themeColor="text1"/>
                <w:sz w:val="16"/>
                <w:szCs w:val="16"/>
              </w:rPr>
            </w:pPr>
            <w:r w:rsidRPr="00507A31">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3A3DA" w14:textId="77777777" w:rsidR="00065987" w:rsidRPr="00507A31" w:rsidRDefault="00065987" w:rsidP="00507A31">
            <w:pPr>
              <w:jc w:val="both"/>
              <w:rPr>
                <w:color w:val="000000" w:themeColor="text1"/>
                <w:sz w:val="16"/>
                <w:szCs w:val="16"/>
              </w:rPr>
            </w:pPr>
            <w:r w:rsidRPr="00507A31">
              <w:rPr>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1B5AA" w14:textId="77777777" w:rsidR="00065987" w:rsidRPr="00507A31" w:rsidRDefault="00065987" w:rsidP="00507A31">
            <w:pPr>
              <w:jc w:val="both"/>
              <w:rPr>
                <w:color w:val="000000" w:themeColor="text1"/>
                <w:sz w:val="16"/>
                <w:szCs w:val="16"/>
              </w:rPr>
            </w:pPr>
            <w:r w:rsidRPr="00507A31">
              <w:rPr>
                <w:color w:val="000000" w:themeColor="text1"/>
                <w:sz w:val="16"/>
                <w:szCs w:val="16"/>
              </w:rPr>
              <w:t>108</w:t>
            </w:r>
          </w:p>
        </w:tc>
      </w:tr>
      <w:tr w:rsidR="00E371BA" w:rsidRPr="00507A31" w14:paraId="151FBF5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149AC4E" w14:textId="77777777" w:rsidR="00065987" w:rsidRPr="00507A31" w:rsidRDefault="00065987" w:rsidP="00507A31">
            <w:pPr>
              <w:jc w:val="both"/>
              <w:rPr>
                <w:color w:val="000000" w:themeColor="text1"/>
                <w:sz w:val="16"/>
                <w:szCs w:val="16"/>
              </w:rPr>
            </w:pPr>
            <w:r w:rsidRPr="00507A31">
              <w:rPr>
                <w:color w:val="000000" w:themeColor="text1"/>
                <w:sz w:val="16"/>
                <w:szCs w:val="16"/>
              </w:rPr>
              <w:t>По «Большевику»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42E6A" w14:textId="77777777" w:rsidR="00065987" w:rsidRPr="00507A31" w:rsidRDefault="00065987" w:rsidP="00507A31">
            <w:pPr>
              <w:jc w:val="both"/>
              <w:rPr>
                <w:color w:val="000000" w:themeColor="text1"/>
                <w:sz w:val="16"/>
                <w:szCs w:val="16"/>
              </w:rPr>
            </w:pPr>
            <w:r w:rsidRPr="00507A31">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55892" w14:textId="77777777" w:rsidR="00065987" w:rsidRPr="00507A31" w:rsidRDefault="00065987" w:rsidP="00507A31">
            <w:pPr>
              <w:jc w:val="both"/>
              <w:rPr>
                <w:color w:val="000000" w:themeColor="text1"/>
                <w:sz w:val="16"/>
                <w:szCs w:val="16"/>
              </w:rPr>
            </w:pPr>
            <w:r w:rsidRPr="00507A31">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3BE7F" w14:textId="77777777" w:rsidR="00065987" w:rsidRPr="00507A31" w:rsidRDefault="00065987" w:rsidP="00507A31">
            <w:pPr>
              <w:jc w:val="both"/>
              <w:rPr>
                <w:color w:val="000000" w:themeColor="text1"/>
                <w:sz w:val="16"/>
                <w:szCs w:val="16"/>
              </w:rPr>
            </w:pPr>
            <w:r w:rsidRPr="00507A31">
              <w:rPr>
                <w:color w:val="000000" w:themeColor="text1"/>
                <w:sz w:val="16"/>
                <w:szCs w:val="16"/>
              </w:rPr>
              <w:t>99,7</w:t>
            </w:r>
          </w:p>
        </w:tc>
      </w:tr>
      <w:tr w:rsidR="00E371BA" w:rsidRPr="00507A31" w14:paraId="25F4F1E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DFD3995" w14:textId="77777777" w:rsidR="00065987" w:rsidRPr="00507A31" w:rsidRDefault="00065987" w:rsidP="00507A31">
            <w:pPr>
              <w:jc w:val="both"/>
              <w:rPr>
                <w:color w:val="000000" w:themeColor="text1"/>
                <w:sz w:val="16"/>
                <w:szCs w:val="16"/>
              </w:rPr>
            </w:pPr>
            <w:r w:rsidRPr="00507A31">
              <w:rPr>
                <w:color w:val="000000" w:themeColor="text1"/>
                <w:sz w:val="16"/>
                <w:szCs w:val="16"/>
              </w:rPr>
              <w:t>По заводу № 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7116C" w14:textId="77777777" w:rsidR="00065987" w:rsidRPr="00507A31" w:rsidRDefault="00065987" w:rsidP="00507A31">
            <w:pPr>
              <w:jc w:val="both"/>
              <w:rPr>
                <w:color w:val="000000" w:themeColor="text1"/>
                <w:sz w:val="16"/>
                <w:szCs w:val="16"/>
              </w:rPr>
            </w:pPr>
            <w:r w:rsidRPr="00507A31">
              <w:rPr>
                <w:color w:val="000000" w:themeColor="text1"/>
                <w:sz w:val="16"/>
                <w:szCs w:val="16"/>
              </w:rPr>
              <w:t>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445A9" w14:textId="77777777" w:rsidR="00065987" w:rsidRPr="00507A31" w:rsidRDefault="00065987" w:rsidP="00507A31">
            <w:pPr>
              <w:jc w:val="both"/>
              <w:rPr>
                <w:color w:val="000000" w:themeColor="text1"/>
                <w:sz w:val="16"/>
                <w:szCs w:val="16"/>
              </w:rPr>
            </w:pPr>
            <w:r w:rsidRPr="00507A31">
              <w:rPr>
                <w:color w:val="000000" w:themeColor="text1"/>
                <w:sz w:val="16"/>
                <w:szCs w:val="16"/>
              </w:rPr>
              <w:t>113,6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12DC1" w14:textId="77777777" w:rsidR="00065987" w:rsidRPr="00507A31" w:rsidRDefault="00065987" w:rsidP="00507A31">
            <w:pPr>
              <w:jc w:val="both"/>
              <w:rPr>
                <w:color w:val="000000" w:themeColor="text1"/>
                <w:sz w:val="16"/>
                <w:szCs w:val="16"/>
              </w:rPr>
            </w:pPr>
            <w:r w:rsidRPr="00507A31">
              <w:rPr>
                <w:color w:val="000000" w:themeColor="text1"/>
                <w:sz w:val="16"/>
                <w:szCs w:val="16"/>
              </w:rPr>
              <w:t>95,5</w:t>
            </w:r>
          </w:p>
        </w:tc>
      </w:tr>
      <w:tr w:rsidR="00E371BA" w:rsidRPr="00507A31" w14:paraId="09C9BA2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0F1B60A" w14:textId="77777777" w:rsidR="00065987" w:rsidRPr="00507A31" w:rsidRDefault="00065987" w:rsidP="00507A31">
            <w:pPr>
              <w:jc w:val="both"/>
              <w:rPr>
                <w:color w:val="000000" w:themeColor="text1"/>
                <w:sz w:val="16"/>
                <w:szCs w:val="16"/>
              </w:rPr>
            </w:pPr>
            <w:r w:rsidRPr="00507A31">
              <w:rPr>
                <w:color w:val="000000" w:themeColor="text1"/>
                <w:sz w:val="16"/>
                <w:szCs w:val="16"/>
              </w:rPr>
              <w:t>По «Баррикадам»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1662B" w14:textId="77777777" w:rsidR="00065987" w:rsidRPr="00507A31" w:rsidRDefault="00065987" w:rsidP="00507A31">
            <w:pPr>
              <w:jc w:val="both"/>
              <w:rPr>
                <w:color w:val="000000" w:themeColor="text1"/>
                <w:sz w:val="16"/>
                <w:szCs w:val="16"/>
              </w:rPr>
            </w:pPr>
            <w:r w:rsidRPr="00507A31">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92C81" w14:textId="77777777" w:rsidR="00065987" w:rsidRPr="00507A31" w:rsidRDefault="00065987" w:rsidP="00507A31">
            <w:pPr>
              <w:jc w:val="both"/>
              <w:rPr>
                <w:color w:val="000000" w:themeColor="text1"/>
                <w:sz w:val="16"/>
                <w:szCs w:val="16"/>
              </w:rPr>
            </w:pPr>
            <w:r w:rsidRPr="00507A31">
              <w:rPr>
                <w:color w:val="000000" w:themeColor="text1"/>
                <w:sz w:val="16"/>
                <w:szCs w:val="16"/>
              </w:rPr>
              <w:t>58,2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D2322" w14:textId="77777777" w:rsidR="00065987" w:rsidRPr="00507A31" w:rsidRDefault="00065987" w:rsidP="00507A31">
            <w:pPr>
              <w:jc w:val="both"/>
              <w:rPr>
                <w:color w:val="000000" w:themeColor="text1"/>
                <w:sz w:val="16"/>
                <w:szCs w:val="16"/>
              </w:rPr>
            </w:pPr>
            <w:r w:rsidRPr="00507A31">
              <w:rPr>
                <w:color w:val="000000" w:themeColor="text1"/>
                <w:sz w:val="16"/>
                <w:szCs w:val="16"/>
              </w:rPr>
              <w:t>59,5</w:t>
            </w:r>
          </w:p>
        </w:tc>
      </w:tr>
      <w:tr w:rsidR="00E371BA" w:rsidRPr="00507A31" w14:paraId="5FE863F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AF6313F" w14:textId="77777777" w:rsidR="00065987" w:rsidRPr="00507A31" w:rsidRDefault="00065987" w:rsidP="00507A31">
            <w:pPr>
              <w:jc w:val="both"/>
              <w:rPr>
                <w:color w:val="000000" w:themeColor="text1"/>
                <w:sz w:val="16"/>
                <w:szCs w:val="16"/>
              </w:rPr>
            </w:pPr>
            <w:r w:rsidRPr="00507A31">
              <w:rPr>
                <w:color w:val="000000" w:themeColor="text1"/>
                <w:sz w:val="16"/>
                <w:szCs w:val="16"/>
              </w:rPr>
              <w:t>По заводу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C0CA2" w14:textId="77777777" w:rsidR="00065987" w:rsidRPr="00507A31" w:rsidRDefault="00065987" w:rsidP="00507A31">
            <w:pPr>
              <w:jc w:val="both"/>
              <w:rPr>
                <w:color w:val="000000" w:themeColor="text1"/>
                <w:sz w:val="16"/>
                <w:szCs w:val="16"/>
              </w:rPr>
            </w:pPr>
            <w:r w:rsidRPr="00507A31">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D9F62" w14:textId="77777777" w:rsidR="00065987" w:rsidRPr="00507A31" w:rsidRDefault="00065987" w:rsidP="00507A31">
            <w:pPr>
              <w:jc w:val="both"/>
              <w:rPr>
                <w:color w:val="000000" w:themeColor="text1"/>
                <w:sz w:val="16"/>
                <w:szCs w:val="16"/>
              </w:rPr>
            </w:pPr>
            <w:r w:rsidRPr="00507A31">
              <w:rPr>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8483E" w14:textId="77777777" w:rsidR="00065987" w:rsidRPr="00507A31" w:rsidRDefault="00065987" w:rsidP="00507A31">
            <w:pPr>
              <w:jc w:val="both"/>
              <w:rPr>
                <w:color w:val="000000" w:themeColor="text1"/>
                <w:sz w:val="16"/>
                <w:szCs w:val="16"/>
              </w:rPr>
            </w:pPr>
            <w:r w:rsidRPr="00507A31">
              <w:rPr>
                <w:color w:val="000000" w:themeColor="text1"/>
                <w:sz w:val="16"/>
                <w:szCs w:val="16"/>
              </w:rPr>
              <w:t>107</w:t>
            </w:r>
          </w:p>
        </w:tc>
      </w:tr>
      <w:tr w:rsidR="00E371BA" w:rsidRPr="00507A31" w14:paraId="4357C92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14FD4DE" w14:textId="77777777" w:rsidR="00065987" w:rsidRPr="00507A31" w:rsidRDefault="00065987" w:rsidP="00507A31">
            <w:pPr>
              <w:jc w:val="both"/>
              <w:rPr>
                <w:color w:val="000000" w:themeColor="text1"/>
                <w:sz w:val="16"/>
                <w:szCs w:val="16"/>
              </w:rPr>
            </w:pPr>
            <w:r w:rsidRPr="00507A31">
              <w:rPr>
                <w:color w:val="000000" w:themeColor="text1"/>
                <w:sz w:val="16"/>
                <w:szCs w:val="16"/>
              </w:rPr>
              <w:t>По заводу №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63632" w14:textId="77777777" w:rsidR="00065987" w:rsidRPr="00507A31" w:rsidRDefault="00065987" w:rsidP="00507A31">
            <w:pPr>
              <w:jc w:val="both"/>
              <w:rPr>
                <w:color w:val="000000" w:themeColor="text1"/>
                <w:sz w:val="16"/>
                <w:szCs w:val="16"/>
              </w:rPr>
            </w:pPr>
            <w:r w:rsidRPr="00507A31">
              <w:rPr>
                <w:color w:val="000000" w:themeColor="text1"/>
                <w:sz w:val="16"/>
                <w:szCs w:val="16"/>
              </w:rPr>
              <w:t>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9E538" w14:textId="77777777" w:rsidR="00065987" w:rsidRPr="00507A31" w:rsidRDefault="00065987" w:rsidP="00507A31">
            <w:pPr>
              <w:jc w:val="both"/>
              <w:rPr>
                <w:color w:val="000000" w:themeColor="text1"/>
                <w:sz w:val="16"/>
                <w:szCs w:val="16"/>
              </w:rPr>
            </w:pPr>
            <w:r w:rsidRPr="00507A31">
              <w:rPr>
                <w:color w:val="000000" w:themeColor="text1"/>
                <w:sz w:val="16"/>
                <w:szCs w:val="16"/>
              </w:rPr>
              <w:t>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B7302" w14:textId="77777777" w:rsidR="00065987" w:rsidRPr="00507A31" w:rsidRDefault="00065987" w:rsidP="00507A31">
            <w:pPr>
              <w:jc w:val="both"/>
              <w:rPr>
                <w:color w:val="000000" w:themeColor="text1"/>
                <w:sz w:val="16"/>
                <w:szCs w:val="16"/>
              </w:rPr>
            </w:pPr>
            <w:r w:rsidRPr="00507A31">
              <w:rPr>
                <w:color w:val="000000" w:themeColor="text1"/>
                <w:sz w:val="16"/>
                <w:szCs w:val="16"/>
              </w:rPr>
              <w:t>68,3</w:t>
            </w:r>
          </w:p>
        </w:tc>
      </w:tr>
      <w:tr w:rsidR="00E371BA" w:rsidRPr="00507A31" w14:paraId="1FA45BB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9CCA434" w14:textId="77777777" w:rsidR="00065987" w:rsidRPr="00507A31" w:rsidRDefault="00065987" w:rsidP="00507A31">
            <w:pPr>
              <w:jc w:val="both"/>
              <w:rPr>
                <w:color w:val="000000" w:themeColor="text1"/>
                <w:sz w:val="16"/>
                <w:szCs w:val="16"/>
              </w:rPr>
            </w:pPr>
            <w:r w:rsidRPr="00507A31">
              <w:rPr>
                <w:color w:val="000000" w:themeColor="text1"/>
                <w:sz w:val="16"/>
                <w:szCs w:val="16"/>
              </w:rPr>
              <w:t>По 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19DC" w14:textId="77777777" w:rsidR="00065987" w:rsidRPr="00507A31" w:rsidRDefault="00065987" w:rsidP="00507A31">
            <w:pPr>
              <w:jc w:val="both"/>
              <w:rPr>
                <w:color w:val="000000" w:themeColor="text1"/>
                <w:sz w:val="16"/>
                <w:szCs w:val="16"/>
              </w:rPr>
            </w:pPr>
            <w:r w:rsidRPr="00507A31">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0E4E4" w14:textId="77777777" w:rsidR="00065987" w:rsidRPr="00507A31" w:rsidRDefault="00065987" w:rsidP="00507A31">
            <w:pPr>
              <w:jc w:val="both"/>
              <w:rPr>
                <w:color w:val="000000" w:themeColor="text1"/>
                <w:sz w:val="16"/>
                <w:szCs w:val="16"/>
              </w:rPr>
            </w:pPr>
            <w:r w:rsidRPr="00507A31">
              <w:rPr>
                <w:color w:val="000000" w:themeColor="text1"/>
                <w:sz w:val="16"/>
                <w:szCs w:val="16"/>
              </w:rPr>
              <w:t>101,5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9BBBE" w14:textId="77777777" w:rsidR="00065987" w:rsidRPr="00507A31" w:rsidRDefault="00065987" w:rsidP="00507A31">
            <w:pPr>
              <w:jc w:val="both"/>
              <w:rPr>
                <w:color w:val="000000" w:themeColor="text1"/>
                <w:sz w:val="16"/>
                <w:szCs w:val="16"/>
              </w:rPr>
            </w:pPr>
            <w:r w:rsidRPr="00507A31">
              <w:rPr>
                <w:color w:val="000000" w:themeColor="text1"/>
                <w:sz w:val="16"/>
                <w:szCs w:val="16"/>
              </w:rPr>
              <w:t>92,5</w:t>
            </w:r>
          </w:p>
        </w:tc>
      </w:tr>
      <w:tr w:rsidR="00E371BA" w:rsidRPr="00507A31" w14:paraId="185E391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F5F4056" w14:textId="77777777" w:rsidR="00065987" w:rsidRPr="00507A31" w:rsidRDefault="00065987" w:rsidP="00507A31">
            <w:pPr>
              <w:jc w:val="both"/>
              <w:rPr>
                <w:color w:val="000000" w:themeColor="text1"/>
                <w:sz w:val="16"/>
                <w:szCs w:val="16"/>
              </w:rPr>
            </w:pPr>
            <w:r w:rsidRPr="00507A31">
              <w:rPr>
                <w:color w:val="000000" w:themeColor="text1"/>
                <w:sz w:val="16"/>
                <w:szCs w:val="16"/>
              </w:rPr>
              <w:t>По «Мастяжарту»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420AD" w14:textId="77777777" w:rsidR="00065987" w:rsidRPr="00507A31" w:rsidRDefault="00065987" w:rsidP="00507A31">
            <w:pPr>
              <w:jc w:val="both"/>
              <w:rPr>
                <w:color w:val="000000" w:themeColor="text1"/>
                <w:sz w:val="16"/>
                <w:szCs w:val="16"/>
              </w:rPr>
            </w:pPr>
            <w:r w:rsidRPr="00507A31">
              <w:rPr>
                <w:color w:val="000000" w:themeColor="text1"/>
                <w:sz w:val="16"/>
                <w:szCs w:val="16"/>
              </w:rPr>
              <w:t>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64305" w14:textId="77777777" w:rsidR="00065987" w:rsidRPr="00507A31" w:rsidRDefault="00065987" w:rsidP="00507A31">
            <w:pPr>
              <w:jc w:val="both"/>
              <w:rPr>
                <w:color w:val="000000" w:themeColor="text1"/>
                <w:sz w:val="16"/>
                <w:szCs w:val="16"/>
              </w:rPr>
            </w:pPr>
            <w:r w:rsidRPr="00507A31">
              <w:rPr>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5FD2B" w14:textId="77777777" w:rsidR="00065987" w:rsidRPr="00507A31" w:rsidRDefault="00065987" w:rsidP="00507A31">
            <w:pPr>
              <w:jc w:val="both"/>
              <w:rPr>
                <w:color w:val="000000" w:themeColor="text1"/>
                <w:sz w:val="16"/>
                <w:szCs w:val="16"/>
              </w:rPr>
            </w:pPr>
            <w:r w:rsidRPr="00507A31">
              <w:rPr>
                <w:color w:val="000000" w:themeColor="text1"/>
                <w:sz w:val="16"/>
                <w:szCs w:val="16"/>
              </w:rPr>
              <w:t>94</w:t>
            </w:r>
          </w:p>
        </w:tc>
      </w:tr>
      <w:tr w:rsidR="00E371BA" w:rsidRPr="00507A31" w14:paraId="3057CC7D"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1C19C85" w14:textId="77777777" w:rsidR="00065987" w:rsidRPr="00507A31" w:rsidRDefault="00065987" w:rsidP="00507A31">
            <w:pPr>
              <w:jc w:val="both"/>
              <w:rPr>
                <w:color w:val="000000" w:themeColor="text1"/>
                <w:sz w:val="16"/>
                <w:szCs w:val="16"/>
              </w:rPr>
            </w:pPr>
            <w:r w:rsidRPr="00507A31">
              <w:rPr>
                <w:color w:val="000000" w:themeColor="text1"/>
                <w:sz w:val="16"/>
                <w:szCs w:val="16"/>
              </w:rPr>
              <w:t>По заводу № 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E80BF" w14:textId="77777777" w:rsidR="00065987" w:rsidRPr="00507A31" w:rsidRDefault="00065987" w:rsidP="00507A31">
            <w:pPr>
              <w:jc w:val="both"/>
              <w:rPr>
                <w:color w:val="000000" w:themeColor="text1"/>
                <w:sz w:val="16"/>
                <w:szCs w:val="16"/>
              </w:rPr>
            </w:pPr>
            <w:r w:rsidRPr="00507A31">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DDE8C" w14:textId="77777777" w:rsidR="00065987" w:rsidRPr="00507A31" w:rsidRDefault="00065987" w:rsidP="00507A31">
            <w:pPr>
              <w:jc w:val="both"/>
              <w:rPr>
                <w:color w:val="000000" w:themeColor="text1"/>
                <w:sz w:val="16"/>
                <w:szCs w:val="16"/>
              </w:rPr>
            </w:pPr>
            <w:r w:rsidRPr="00507A31">
              <w:rPr>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FA5C8" w14:textId="77777777" w:rsidR="00065987" w:rsidRPr="00507A31" w:rsidRDefault="00065987" w:rsidP="00507A31">
            <w:pPr>
              <w:jc w:val="both"/>
              <w:rPr>
                <w:color w:val="000000" w:themeColor="text1"/>
                <w:sz w:val="16"/>
                <w:szCs w:val="16"/>
              </w:rPr>
            </w:pPr>
            <w:r w:rsidRPr="00507A31">
              <w:rPr>
                <w:color w:val="000000" w:themeColor="text1"/>
                <w:sz w:val="16"/>
                <w:szCs w:val="16"/>
              </w:rPr>
              <w:t>97,5</w:t>
            </w:r>
          </w:p>
        </w:tc>
      </w:tr>
      <w:tr w:rsidR="00E371BA" w:rsidRPr="00507A31" w14:paraId="216E926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34CA14A" w14:textId="77777777" w:rsidR="00065987" w:rsidRPr="00507A31" w:rsidRDefault="00065987" w:rsidP="00507A31">
            <w:pPr>
              <w:jc w:val="both"/>
              <w:rPr>
                <w:color w:val="000000" w:themeColor="text1"/>
                <w:sz w:val="16"/>
                <w:szCs w:val="16"/>
              </w:rPr>
            </w:pPr>
            <w:r w:rsidRPr="00507A31">
              <w:rPr>
                <w:color w:val="000000" w:themeColor="text1"/>
                <w:sz w:val="16"/>
                <w:szCs w:val="16"/>
              </w:rPr>
              <w:t>ПоИЗОСу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47178" w14:textId="77777777" w:rsidR="00065987" w:rsidRPr="00507A31" w:rsidRDefault="00065987"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1DD69" w14:textId="77777777" w:rsidR="00065987" w:rsidRPr="00507A31" w:rsidRDefault="00065987" w:rsidP="00507A31">
            <w:pPr>
              <w:jc w:val="both"/>
              <w:rPr>
                <w:color w:val="000000" w:themeColor="text1"/>
                <w:sz w:val="16"/>
                <w:szCs w:val="16"/>
              </w:rPr>
            </w:pPr>
            <w:r w:rsidRPr="00507A31">
              <w:rPr>
                <w:color w:val="000000" w:themeColor="text1"/>
                <w:sz w:val="16"/>
                <w:szCs w:val="16"/>
              </w:rPr>
              <w:t>206,9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7F6AA" w14:textId="77777777" w:rsidR="00065987" w:rsidRPr="00507A31" w:rsidRDefault="00065987" w:rsidP="00507A31">
            <w:pPr>
              <w:jc w:val="both"/>
              <w:rPr>
                <w:color w:val="000000" w:themeColor="text1"/>
                <w:sz w:val="16"/>
                <w:szCs w:val="16"/>
              </w:rPr>
            </w:pPr>
            <w:r w:rsidRPr="00507A31">
              <w:rPr>
                <w:color w:val="000000" w:themeColor="text1"/>
                <w:sz w:val="16"/>
                <w:szCs w:val="16"/>
              </w:rPr>
              <w:t>206,9</w:t>
            </w:r>
          </w:p>
        </w:tc>
      </w:tr>
      <w:tr w:rsidR="00E371BA" w:rsidRPr="00507A31" w14:paraId="0414029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9F4420E" w14:textId="77777777" w:rsidR="00065987" w:rsidRPr="00507A31" w:rsidRDefault="00065987" w:rsidP="00507A31">
            <w:pPr>
              <w:jc w:val="both"/>
              <w:rPr>
                <w:color w:val="000000" w:themeColor="text1"/>
                <w:sz w:val="16"/>
                <w:szCs w:val="16"/>
              </w:rPr>
            </w:pPr>
            <w:r w:rsidRPr="00507A31">
              <w:rPr>
                <w:color w:val="000000" w:themeColor="text1"/>
                <w:sz w:val="16"/>
                <w:szCs w:val="16"/>
              </w:rPr>
              <w:lastRenderedPageBreak/>
              <w:t>ПоЛензосу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6E07D" w14:textId="77777777" w:rsidR="00065987" w:rsidRPr="00507A31" w:rsidRDefault="00065987" w:rsidP="00507A31">
            <w:pPr>
              <w:jc w:val="both"/>
              <w:rPr>
                <w:color w:val="000000" w:themeColor="text1"/>
                <w:sz w:val="16"/>
                <w:szCs w:val="16"/>
              </w:rPr>
            </w:pPr>
            <w:r w:rsidRPr="00507A31">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EE73D" w14:textId="77777777" w:rsidR="00065987" w:rsidRPr="00507A31" w:rsidRDefault="00065987" w:rsidP="00507A31">
            <w:pPr>
              <w:jc w:val="both"/>
              <w:rPr>
                <w:color w:val="000000" w:themeColor="text1"/>
                <w:sz w:val="16"/>
                <w:szCs w:val="16"/>
              </w:rPr>
            </w:pPr>
            <w:r w:rsidRPr="00507A31">
              <w:rPr>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9E21C" w14:textId="77777777" w:rsidR="00065987" w:rsidRPr="00507A31" w:rsidRDefault="00065987" w:rsidP="00507A31">
            <w:pPr>
              <w:jc w:val="both"/>
              <w:rPr>
                <w:color w:val="000000" w:themeColor="text1"/>
                <w:sz w:val="16"/>
                <w:szCs w:val="16"/>
              </w:rPr>
            </w:pPr>
            <w:r w:rsidRPr="00507A31">
              <w:rPr>
                <w:color w:val="000000" w:themeColor="text1"/>
                <w:sz w:val="16"/>
                <w:szCs w:val="16"/>
              </w:rPr>
              <w:t>82,5</w:t>
            </w:r>
          </w:p>
        </w:tc>
      </w:tr>
      <w:tr w:rsidR="00E371BA" w:rsidRPr="00507A31" w14:paraId="4405BB0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EB36FF0" w14:textId="77777777" w:rsidR="00065987" w:rsidRPr="00507A31" w:rsidRDefault="00065987" w:rsidP="00507A31">
            <w:pPr>
              <w:jc w:val="both"/>
              <w:rPr>
                <w:color w:val="000000" w:themeColor="text1"/>
                <w:sz w:val="16"/>
                <w:szCs w:val="16"/>
              </w:rPr>
            </w:pPr>
            <w:r w:rsidRPr="00507A31">
              <w:rPr>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9F5F3" w14:textId="77777777" w:rsidR="00065987" w:rsidRPr="00507A31" w:rsidRDefault="00065987" w:rsidP="00507A31">
            <w:pPr>
              <w:jc w:val="both"/>
              <w:rPr>
                <w:color w:val="000000" w:themeColor="text1"/>
                <w:sz w:val="16"/>
                <w:szCs w:val="16"/>
              </w:rPr>
            </w:pPr>
            <w:r w:rsidRPr="00507A31">
              <w:rPr>
                <w:color w:val="000000" w:themeColor="text1"/>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D21C1" w14:textId="77777777" w:rsidR="00065987" w:rsidRPr="00507A31" w:rsidRDefault="00065987" w:rsidP="00507A31">
            <w:pPr>
              <w:jc w:val="both"/>
              <w:rPr>
                <w:color w:val="000000" w:themeColor="text1"/>
                <w:sz w:val="16"/>
                <w:szCs w:val="16"/>
              </w:rPr>
            </w:pPr>
            <w:r w:rsidRPr="00507A31">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9E9C" w14:textId="77777777" w:rsidR="00065987" w:rsidRPr="00507A31" w:rsidRDefault="00065987" w:rsidP="00507A31">
            <w:pPr>
              <w:jc w:val="both"/>
              <w:rPr>
                <w:color w:val="000000" w:themeColor="text1"/>
                <w:sz w:val="16"/>
                <w:szCs w:val="16"/>
              </w:rPr>
            </w:pPr>
            <w:r w:rsidRPr="00507A31">
              <w:rPr>
                <w:color w:val="000000" w:themeColor="text1"/>
                <w:sz w:val="16"/>
                <w:szCs w:val="16"/>
              </w:rPr>
              <w:t>95,5</w:t>
            </w:r>
          </w:p>
        </w:tc>
      </w:tr>
    </w:tbl>
    <w:p w14:paraId="2AE5257B"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 итоге на 1 октября 1929 г. образовался недодел в сумме 11 645,1 тыс. руб., в том числе: по военной централизованной — 6015,7 тыс. руб., [по военной] местной — 128,4 тыс. руб., итого — 6144,1 тыс. руб.; по мирной централ[изованной] — 2211,8 [тыс. руб.], [по мирной] местной — 3289,2 [тыс. руб.], итого — 5601 [тыс. руб.]¹*.</w:t>
      </w:r>
    </w:p>
    <w:p w14:paraId="33DBB806"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Позаводно недодел в процентах распределяется: ММЗ — 19,5; «Большевик» — 18,4; завод № 8 — 14,3; «Баррикады» — 35,8; завод № 7 — 12,5; завод № 13 — 20,4; ККЗ — 6; «Мастяжарт» — 14,5; завод № 19 — 9,7; ИЗОС — 10,8; Лензос — 0,3.</w:t>
      </w:r>
    </w:p>
    <w:p w14:paraId="0F2F9DF1"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По выпуску валовой продукции (затратам по производству) выполнение программы составило 105,8%, что идет на счет перевыполнения плана по затратам на изделия по капработам на 102% и увеличения незавершенного производства на 18%.</w:t>
      </w:r>
    </w:p>
    <w:p w14:paraId="30CADF46"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2. По технико-производственной деятельности отметить следующие дефекты:</w:t>
      </w:r>
    </w:p>
    <w:p w14:paraId="71E44729"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а) неудовлетворительную проработку технологических процессов по всем заводам; б) слабое использование действующего оборудования; в) слабую постановку дела c подготовкой режущего и измерительного инструмента и приспособлений; г) полное отсутствие в представленных отчетах сведений об использовании станочного оборудования; д) отсутствие данных по техническому анализу причин брака; е) неудовлетворительное выполнение междузаводских заказов; ж) слабую организацию контрольно-испытательных отделов; з) недочеты и недостатки руководства треста, главным образом по линии организационно-технической помощи заводам; и) отсутствие организации со стороны треста обмена опытом между заводами, а также не проведение заводами предложений треста в этом направлении (ММЗ по Т</w:t>
      </w:r>
      <w:r w:rsidRPr="00507A31">
        <w:rPr>
          <w:color w:val="000000" w:themeColor="text1"/>
          <w:sz w:val="16"/>
          <w:szCs w:val="16"/>
        </w:rPr>
        <w:noBreakHyphen/>
        <w:t>18); к) неувязка работы между отделами треста, а особенности между коммерческим и техническим отделом.</w:t>
      </w:r>
    </w:p>
    <w:p w14:paraId="5D8ADBB7"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Вредительство, вскрытое в тресте и на его предприятиях за время своего существования, захватило своим влиянием все главнейшие участки работы треста и предприятий, парализуя и тормозя изнутри планомерное и целесообразное развитие их деятельности. Практиковавшиеся вредителями методы (вредительские) постепенно обволакивали аппараты треста и заводоуправлений, превратившись объективно в методы работы значительной части аппарата (независимо от субъективной непричастности к вредительству).</w:t>
      </w:r>
    </w:p>
    <w:p w14:paraId="331BE402"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Благодаря этому обстоятельству последствия вредительства остаются не ликвидированными до настоящего времени и сказываются отрицательно в практической работе заводов и треста. Поэтому важнейшей и первостепенной задачей является скорейшая и полная ликвидация последствий вредительства.</w:t>
      </w:r>
    </w:p>
    <w:p w14:paraId="5006E31D"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На основании изложенного работу заводов в части производства в 1928/29 г. следует в целом признать неудовлетворительной...²*</w:t>
      </w:r>
    </w:p>
    <w:p w14:paraId="3343A6D4" w14:textId="77777777" w:rsidR="009651EE" w:rsidRPr="00507A31" w:rsidRDefault="009651EE" w:rsidP="00507A31">
      <w:pPr>
        <w:pStyle w:val="rtejustify"/>
        <w:spacing w:before="0" w:after="0"/>
        <w:rPr>
          <w:color w:val="000000" w:themeColor="text1"/>
          <w:sz w:val="16"/>
          <w:szCs w:val="16"/>
        </w:rPr>
      </w:pPr>
      <w:r w:rsidRPr="00507A31">
        <w:rPr>
          <w:color w:val="000000" w:themeColor="text1"/>
          <w:sz w:val="16"/>
          <w:szCs w:val="16"/>
        </w:rPr>
        <w:t>По себестоимости</w:t>
      </w:r>
    </w:p>
    <w:p w14:paraId="4563DDF2"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4. Выполнение задания по снижению себестоимости в целом по заводам треста составило в 1928/30 г. 64,3% от задания, в том числе: по ММЗ — 47,8; по «Большевику» — 44,8; по заводу № 8 — 36; по «Баррикадам» — 86,5; по заводу № 7 — 73,5; завод № 13 — 0; по ККЗ — 100%; по «Мастяжарту» — 89,5%; по заводу № 19 — 34; по ИЗОСу — 65,4; по Лензосу — 48,8. Причем по орудийным системам выполнение заданий по снижению составило 55%, тракторному — 26 [%] и текстильному машиностроению 59%. Выполнение по ККЗ объясняется незначительным процентом, [данного] ему задания.</w:t>
      </w:r>
    </w:p>
    <w:p w14:paraId="234658F8"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Исходя из этого, деятельность заводов в части снижения себестоимости по орудийной группе и заводу № 13 признать неудовлетворительной, а по арсенальной и оптике — недостаточно удовлетворительной.</w:t>
      </w:r>
    </w:p>
    <w:p w14:paraId="5CCFE394"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Удельный вес накладных расходов в стоимости продукции, запроектированный промпланом в 50,8%, возрос по отчету до 69,7%, что составляет рост на 17,5% против намеченного промпланом.</w:t>
      </w:r>
    </w:p>
    <w:p w14:paraId="2E5A9B87"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Перерасход по общезаводским расходам составил 13,2%, причем перерасход по зависимым расходам выразился в 15,7%, по независимым — в 5,6%, что также следует признать неудовлетворительным.</w:t>
      </w:r>
    </w:p>
    <w:p w14:paraId="650D600F"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Брак возрос с 5,1 [%] к сумме затрат в 1927/28 г. до 5,52% — 1928/29 г., причем рост этого брака идет исключительно по военным изделиям и по всем заводам...</w:t>
      </w:r>
    </w:p>
    <w:p w14:paraId="4D2B0D5E" w14:textId="77777777" w:rsidR="00065987" w:rsidRPr="00507A31" w:rsidRDefault="00065987" w:rsidP="00507A31">
      <w:pPr>
        <w:jc w:val="both"/>
        <w:rPr>
          <w:color w:val="000000" w:themeColor="text1"/>
          <w:sz w:val="16"/>
          <w:szCs w:val="16"/>
        </w:rPr>
      </w:pPr>
      <w:r w:rsidRPr="00507A31">
        <w:rPr>
          <w:color w:val="000000" w:themeColor="text1"/>
          <w:sz w:val="16"/>
          <w:szCs w:val="16"/>
        </w:rPr>
        <w:t>По снабжению</w:t>
      </w:r>
    </w:p>
    <w:p w14:paraId="07ACBAE6" w14:textId="77777777" w:rsidR="00065987" w:rsidRPr="00507A31" w:rsidRDefault="00065987" w:rsidP="00507A31">
      <w:pPr>
        <w:jc w:val="both"/>
        <w:rPr>
          <w:color w:val="000000" w:themeColor="text1"/>
          <w:sz w:val="16"/>
          <w:szCs w:val="16"/>
        </w:rPr>
      </w:pPr>
      <w:r w:rsidRPr="00507A31">
        <w:rPr>
          <w:color w:val="000000" w:themeColor="text1"/>
          <w:sz w:val="16"/>
          <w:szCs w:val="16"/>
        </w:rPr>
        <w:t>5. План мобилизации внутренних ресурсов, утвержденный заводам на 1928/29 г. не выполнен по всем заводам, и в наличии на 1 октября 1929 г. имеются значительные избытки оборотных средств в иммобильном состоянии...</w:t>
      </w:r>
    </w:p>
    <w:p w14:paraId="088AC4AD" w14:textId="77777777" w:rsidR="00065987" w:rsidRPr="00507A31" w:rsidRDefault="00065987" w:rsidP="00507A31">
      <w:pPr>
        <w:jc w:val="both"/>
        <w:rPr>
          <w:color w:val="000000" w:themeColor="text1"/>
          <w:sz w:val="16"/>
          <w:szCs w:val="16"/>
        </w:rPr>
      </w:pPr>
      <w:r w:rsidRPr="00507A31">
        <w:rPr>
          <w:color w:val="000000" w:themeColor="text1"/>
          <w:sz w:val="16"/>
          <w:szCs w:val="16"/>
        </w:rPr>
        <w:t>По капработам</w:t>
      </w:r>
    </w:p>
    <w:p w14:paraId="4EA7E063" w14:textId="77777777" w:rsidR="00065987" w:rsidRPr="00507A31" w:rsidRDefault="00065987" w:rsidP="00507A31">
      <w:pPr>
        <w:jc w:val="both"/>
        <w:rPr>
          <w:color w:val="000000" w:themeColor="text1"/>
          <w:sz w:val="16"/>
          <w:szCs w:val="16"/>
        </w:rPr>
      </w:pPr>
      <w:r w:rsidRPr="00507A31">
        <w:rPr>
          <w:color w:val="000000" w:themeColor="text1"/>
          <w:sz w:val="16"/>
          <w:szCs w:val="16"/>
        </w:rPr>
        <w:t>6. Выполнение плана капитальных работ в 1928/29 г., исходя из заданного объема, составило 65%, в том числе: по ММЗ — 59; по «Большевику» — 85; по заводу № 8 — 87; по «Баррикадам» — 48; по заводу № 7 — 62,8; по заводу № 13 — 52; по ККЗ — 58; по [заводу] № 19 — 104; по ИЗОСу — 94; по «Мастяжарту» — 71 [%]. Причем по работам оборонного значения выполнение составило 57%, по мирным — 37%, по жилстроительству — 116% и по капремонту — 120%.</w:t>
      </w:r>
    </w:p>
    <w:p w14:paraId="19581101" w14:textId="77777777" w:rsidR="00065987" w:rsidRPr="00507A31" w:rsidRDefault="00065987" w:rsidP="00507A31">
      <w:pPr>
        <w:jc w:val="both"/>
        <w:rPr>
          <w:color w:val="000000" w:themeColor="text1"/>
          <w:sz w:val="16"/>
          <w:szCs w:val="16"/>
        </w:rPr>
      </w:pPr>
      <w:r w:rsidRPr="00507A31">
        <w:rPr>
          <w:color w:val="000000" w:themeColor="text1"/>
          <w:sz w:val="16"/>
          <w:szCs w:val="16"/>
        </w:rPr>
        <w:t>Недодел на 1 октября 1929 г. ориентировочно составляет в целом по тресту 15 712 тыс. руб. и имеется по всем заводам. Сумма недодела, несмотря на указания треста, заводами еще не уточнена.</w:t>
      </w:r>
    </w:p>
    <w:p w14:paraId="62912170" w14:textId="77777777" w:rsidR="00065987" w:rsidRPr="00507A31" w:rsidRDefault="00065987" w:rsidP="00507A31">
      <w:pPr>
        <w:jc w:val="both"/>
        <w:rPr>
          <w:color w:val="000000" w:themeColor="text1"/>
          <w:sz w:val="16"/>
          <w:szCs w:val="16"/>
        </w:rPr>
      </w:pPr>
      <w:r w:rsidRPr="00507A31">
        <w:rPr>
          <w:color w:val="000000" w:themeColor="text1"/>
          <w:sz w:val="16"/>
          <w:szCs w:val="16"/>
        </w:rPr>
        <w:t>Учитывая недовыполнение программы и, главным образом, оборонных работ, признать деятельность треста и заводов в этой части неудовлетворительной.</w:t>
      </w:r>
    </w:p>
    <w:p w14:paraId="74BCA9DD" w14:textId="77777777" w:rsidR="00065987" w:rsidRPr="00507A31" w:rsidRDefault="00065987" w:rsidP="00507A31">
      <w:pPr>
        <w:jc w:val="both"/>
        <w:rPr>
          <w:color w:val="000000" w:themeColor="text1"/>
          <w:sz w:val="16"/>
          <w:szCs w:val="16"/>
        </w:rPr>
      </w:pPr>
      <w:r w:rsidRPr="00507A31">
        <w:rPr>
          <w:color w:val="000000" w:themeColor="text1"/>
          <w:sz w:val="16"/>
          <w:szCs w:val="16"/>
        </w:rPr>
        <w:t>По рабочему вопросу</w:t>
      </w:r>
    </w:p>
    <w:p w14:paraId="04CD7DDF"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7. Использование рабочей силы за 1928/29 г. было недостаточно уплотненным, вследствие чего в наличии имелись излишние рабочие, главным образом на заводах ММЗ, «Большевик» и механическом заводе № 13. Также имелась значительная текучесть рабочей силы, особенно по заводам «Баррикады», ММЗ и «Большевик»...</w:t>
      </w:r>
    </w:p>
    <w:p w14:paraId="5A628DC8"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Рост валовой выработки на одного рабочего по тресту составил 15% (по себестоимости предыдущего года) и 100% плана, однако это выполнение идет за счет превышения плана в части незавершенного производства и изделий для капработ, а не товарной продукции. Совершенно неудовлетворительными в части выполнения плана по выработке надлежит считать заводы: «Баррикады» и Механический завод № 13, где в течение ряда лет неудовлетворительна работа в этой части (в заводе ММЗ)...</w:t>
      </w:r>
    </w:p>
    <w:p w14:paraId="11E60D39"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Рост зарплаты одного рабочего в целом по тресту в 1928/29 г. выражается в 8% при 6,5% утвержденных ГВПУ, т. е. план превышен на 1,5%, главным образом за счет заводов Механического № 7 (превышение в 7,5%), ККЗ (превышение в 20%) и «Мастяжарт» (превышение 10%)...</w:t>
      </w:r>
    </w:p>
    <w:p w14:paraId="4195F5D6"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Использование рабочего времени в целом по тресту улучшилось по сравнению с предыдущим годом, главным образом за счет сокращения потерь по уважительным [и] неуважительным причинам; особенно значительное сокращение имеется во II полугодии, что является результатом проводимого соцсоревнования.</w:t>
      </w:r>
    </w:p>
    <w:p w14:paraId="3104DA13"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Все же по некоторым заводам, в частности по ММЗ и ККЗ, абсолютная величина потерь по неуважительным причинам высока. Кроме того, обращает на себя внимание рост простоев против данных за 1927/28 г., в результате чего в целом по тресту недовыработка продукции составила 1277,7 тыс. руб., причем большая часть этих простоев падает на отсутствие работы. Достигнутые результаты во II полугодии предшествующего года и в I квартале отчетного года не получили дальнейшего развития, и в отношении простоев наблюдается даже некоторый рост (на заводе № 7 и «Большевике»).</w:t>
      </w:r>
    </w:p>
    <w:p w14:paraId="222EE1BF"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 результате недоиспользования рабочей силы в 1928/29 г. доля участия зарплаты в себестоимости валового выпуска составила 46% вместо 43%, запроектированных промпланом, и по фонду зарплаты с учетом перевыполнения программы по валовой продукции перерасходовано примерно 2 млн. руб., причем этот перерасход относится главным образом к заводам «Большевик», ККЗ и отчасти ММЗ.</w:t>
      </w:r>
    </w:p>
    <w:p w14:paraId="7B9723DD"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Отсутствие соответствующей организационной постановки работы ТНБ на всех заводах треста не обеспечивает плановости и четкости в работе заводских ОЭТ...³*</w:t>
      </w:r>
    </w:p>
    <w:p w14:paraId="7047E06D" w14:textId="77777777" w:rsidR="00065987" w:rsidRPr="00507A31" w:rsidRDefault="00065987"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10799B47"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*Так в тексте. По подсчетам составителей — 6501.</w:t>
      </w:r>
    </w:p>
    <w:p w14:paraId="2446B901"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Здесь и далее опущены результаты выполнения программы в I квартале 1929/30 г.</w:t>
      </w:r>
    </w:p>
    <w:p w14:paraId="48341668"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Опущены предлагаемые мероприятия для обеспечения полного выполнения программы 1929/30 г.</w:t>
      </w:r>
    </w:p>
    <w:p w14:paraId="114C72B8" w14:textId="77777777" w:rsidR="00065987" w:rsidRPr="00507A31" w:rsidRDefault="00065987"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Председатель правления </w:t>
      </w:r>
      <w:hyperlink r:id="rId46" w:history="1">
        <w:r w:rsidRPr="00507A31">
          <w:rPr>
            <w:rStyle w:val="af0"/>
            <w:i w:val="0"/>
            <w:color w:val="000000" w:themeColor="text1"/>
            <w:sz w:val="16"/>
            <w:szCs w:val="16"/>
          </w:rPr>
          <w:t>Ткалун</w:t>
        </w:r>
      </w:hyperlink>
    </w:p>
    <w:p w14:paraId="3CD9B5A4" w14:textId="77777777" w:rsidR="00065987" w:rsidRPr="00507A31" w:rsidRDefault="00065987" w:rsidP="00507A31">
      <w:pPr>
        <w:pStyle w:val="ae"/>
        <w:spacing w:before="0" w:after="0"/>
        <w:jc w:val="both"/>
        <w:rPr>
          <w:color w:val="000000" w:themeColor="text1"/>
          <w:sz w:val="16"/>
          <w:szCs w:val="16"/>
        </w:rPr>
      </w:pPr>
      <w:r w:rsidRPr="00507A31">
        <w:rPr>
          <w:rStyle w:val="af0"/>
          <w:i w:val="0"/>
          <w:color w:val="000000" w:themeColor="text1"/>
          <w:sz w:val="16"/>
          <w:szCs w:val="16"/>
        </w:rPr>
        <w:t>Член правления Клышко</w:t>
      </w:r>
    </w:p>
    <w:p w14:paraId="071A2248" w14:textId="77777777" w:rsidR="00065987" w:rsidRPr="00507A31" w:rsidRDefault="00065987" w:rsidP="00507A31">
      <w:pPr>
        <w:pStyle w:val="ae"/>
        <w:spacing w:before="0" w:after="0"/>
        <w:jc w:val="both"/>
        <w:rPr>
          <w:color w:val="000000" w:themeColor="text1"/>
          <w:sz w:val="16"/>
          <w:szCs w:val="16"/>
        </w:rPr>
      </w:pPr>
      <w:r w:rsidRPr="00507A31">
        <w:rPr>
          <w:color w:val="000000" w:themeColor="text1"/>
          <w:sz w:val="16"/>
          <w:szCs w:val="16"/>
        </w:rPr>
        <w:t>РГАЭ. Ф. 2097. Оп. 1. Д. 1011. Л. 1 — 11. Заверенная копия.</w:t>
      </w:r>
    </w:p>
    <w:p w14:paraId="10A1E57F" w14:textId="77777777" w:rsidR="00065987" w:rsidRPr="00507A31" w:rsidRDefault="00065987" w:rsidP="00507A31">
      <w:pPr>
        <w:jc w:val="both"/>
        <w:rPr>
          <w:color w:val="000000" w:themeColor="text1"/>
          <w:sz w:val="16"/>
          <w:szCs w:val="16"/>
        </w:rPr>
      </w:pPr>
      <w:r w:rsidRPr="00507A31">
        <w:rPr>
          <w:color w:val="000000" w:themeColor="text1"/>
          <w:sz w:val="16"/>
          <w:szCs w:val="16"/>
        </w:rPr>
        <w:t xml:space="preserve">Архив: РГАЭ. Ф. 2097. Оп. 1. Д. 1011. Л. 1 — 11. Заверенная копия. </w:t>
      </w:r>
    </w:p>
    <w:p w14:paraId="2DEDFB99" w14:textId="77777777" w:rsidR="00065987" w:rsidRPr="00507A31" w:rsidRDefault="00065987"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451-454 (12501).</w:t>
      </w:r>
    </w:p>
    <w:p w14:paraId="1DD9FAD8" w14:textId="77777777" w:rsidR="00065987" w:rsidRPr="00507A31" w:rsidRDefault="00065987" w:rsidP="00507A31">
      <w:pPr>
        <w:jc w:val="both"/>
        <w:rPr>
          <w:color w:val="000000" w:themeColor="text1"/>
          <w:sz w:val="16"/>
          <w:szCs w:val="16"/>
        </w:rPr>
      </w:pPr>
    </w:p>
    <w:p w14:paraId="4E78F747" w14:textId="77777777" w:rsidR="007117D6" w:rsidRPr="00507A31" w:rsidRDefault="007117D6" w:rsidP="00507A31">
      <w:pPr>
        <w:jc w:val="both"/>
        <w:rPr>
          <w:color w:val="000000" w:themeColor="text1"/>
          <w:sz w:val="16"/>
          <w:szCs w:val="16"/>
        </w:rPr>
      </w:pPr>
      <w:r w:rsidRPr="00507A31">
        <w:rPr>
          <w:color w:val="000000" w:themeColor="text1"/>
          <w:sz w:val="16"/>
          <w:szCs w:val="16"/>
        </w:rPr>
        <w:t>19 марта 1930 года по вопросу бронедрезин начальник технического управления УММ РККА Г. Бокис докладывал следующее: </w:t>
      </w:r>
    </w:p>
    <w:p w14:paraId="11B32B39" w14:textId="77777777" w:rsidR="007117D6" w:rsidRPr="00507A31" w:rsidRDefault="007117D6" w:rsidP="00507A31">
      <w:pPr>
        <w:jc w:val="both"/>
        <w:rPr>
          <w:color w:val="000000" w:themeColor="text1"/>
          <w:sz w:val="16"/>
          <w:szCs w:val="16"/>
        </w:rPr>
      </w:pPr>
      <w:r w:rsidRPr="00507A31">
        <w:rPr>
          <w:color w:val="000000" w:themeColor="text1"/>
          <w:sz w:val="16"/>
          <w:szCs w:val="16"/>
        </w:rPr>
        <w:t>«До сего времени не имеется стандартного образца бронедрезины. Имеющиеся в частях РККА машины разнообразны по конструкции и техническим требованиям не удовлетворяют (речь идет о дрезинах «Матваль». - Прим. автора). В срочном порядке необходимо сконструировать типовую пулеметную (легкую) и пушечную (тяжелую) бронедрезины для обеспечения заказов промышленности в 1930 году. Новые легкие бронедрезины, отвечая всем требованиям НКПС для обеспечения беспрепятственного движения по железной дороге должны в целях достижения наименьшей уязвимости быть малых размеров, имея конфигурацию брони (толщина 7-8 мм), дающую наименьшую возможность попадания по нормали, иметь скорость движения на горизонтальной площадке не менее 50 верст в час, с одинаковой скоростью двигаться передним и задним ходом, иметь полное наблюдение за путем и полем боя через прорези и перископы, иметь на вооружении 2 пулемета Максима на установках, допускающих З60 градусов горизонтального обстрела при наименьшем мертвом пространстве и стрельбу по воздушным целям. </w:t>
      </w:r>
    </w:p>
    <w:p w14:paraId="218DE7AD" w14:textId="77777777" w:rsidR="007117D6" w:rsidRPr="00507A31" w:rsidRDefault="007117D6" w:rsidP="00507A31">
      <w:pPr>
        <w:jc w:val="both"/>
        <w:rPr>
          <w:color w:val="000000" w:themeColor="text1"/>
          <w:sz w:val="16"/>
          <w:szCs w:val="16"/>
        </w:rPr>
      </w:pPr>
      <w:r w:rsidRPr="00507A31">
        <w:rPr>
          <w:color w:val="000000" w:themeColor="text1"/>
          <w:sz w:val="16"/>
          <w:szCs w:val="16"/>
        </w:rPr>
        <w:t>Для конструирования пушечной бронедрезины, на вооружении которой должны быть 2 пулемета и 76-мм орудие 1927 или 1913 года с уменьшенным откатом, могут быть использованы бронеавтомобили «Гарфорд», с вооружения автоброневых частей снятые, с изменением конфигурации брони. Против совершенно нового типа бронедрезины не возражаю». </w:t>
      </w:r>
    </w:p>
    <w:p w14:paraId="5BFD93A4" w14:textId="77777777" w:rsidR="007117D6" w:rsidRPr="00507A31" w:rsidRDefault="007117D6" w:rsidP="00507A31">
      <w:pPr>
        <w:jc w:val="both"/>
        <w:rPr>
          <w:color w:val="000000" w:themeColor="text1"/>
          <w:sz w:val="16"/>
          <w:szCs w:val="16"/>
        </w:rPr>
      </w:pPr>
      <w:r w:rsidRPr="00507A31">
        <w:rPr>
          <w:color w:val="000000" w:themeColor="text1"/>
          <w:sz w:val="16"/>
          <w:szCs w:val="16"/>
        </w:rPr>
        <w:lastRenderedPageBreak/>
        <w:t>Несмотря на вышеприведенный доклад, к разработке новых типов бронедрезин приступили только через полтора года, причем их проектированием занялся все тот же Николай Дыренков, активно двигавший свои изобретения военным (18626).</w:t>
      </w:r>
    </w:p>
    <w:p w14:paraId="2A15D278" w14:textId="77777777" w:rsidR="007117D6" w:rsidRPr="00507A31" w:rsidRDefault="007117D6" w:rsidP="00507A31">
      <w:pPr>
        <w:jc w:val="both"/>
        <w:rPr>
          <w:color w:val="000000" w:themeColor="text1"/>
          <w:sz w:val="16"/>
          <w:szCs w:val="16"/>
        </w:rPr>
      </w:pPr>
    </w:p>
    <w:p w14:paraId="223821E8" w14:textId="77777777" w:rsidR="00065987" w:rsidRPr="00507A31" w:rsidRDefault="00065987" w:rsidP="00507A31">
      <w:pPr>
        <w:jc w:val="both"/>
        <w:rPr>
          <w:color w:val="000000" w:themeColor="text1"/>
          <w:sz w:val="16"/>
          <w:szCs w:val="16"/>
          <w:u w:color="002060"/>
        </w:rPr>
      </w:pPr>
      <w:r w:rsidRPr="00507A31">
        <w:rPr>
          <w:color w:val="000000" w:themeColor="text1"/>
          <w:sz w:val="16"/>
          <w:szCs w:val="16"/>
          <w:u w:color="002060"/>
        </w:rPr>
        <w:t>19 марта</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базах судостроения и судоремонта для Военно-морских сил Черного моря (РГАЭ. Ф. 4372. Оп. 91. Д. 595. Л. 31?29. Заверенная копия; ГА РФ. Ф. Р?8418. Оп. 4. Д. 220. Л. 1?3. Заверенная копия) (12415).</w:t>
      </w:r>
    </w:p>
    <w:p w14:paraId="5E7992BA" w14:textId="77777777" w:rsidR="00065987" w:rsidRPr="00507A31" w:rsidRDefault="00065987" w:rsidP="00507A31">
      <w:pPr>
        <w:jc w:val="both"/>
        <w:rPr>
          <w:color w:val="000000" w:themeColor="text1"/>
          <w:sz w:val="16"/>
          <w:szCs w:val="16"/>
          <w:u w:color="002060"/>
        </w:rPr>
      </w:pPr>
    </w:p>
    <w:p w14:paraId="78FED46A" w14:textId="77777777" w:rsidR="00065987" w:rsidRPr="00507A31" w:rsidRDefault="00065987" w:rsidP="00507A31">
      <w:pPr>
        <w:jc w:val="both"/>
        <w:rPr>
          <w:color w:val="000000" w:themeColor="text1"/>
          <w:sz w:val="16"/>
          <w:szCs w:val="16"/>
        </w:rPr>
      </w:pPr>
      <w:r w:rsidRPr="00507A31">
        <w:rPr>
          <w:color w:val="000000" w:themeColor="text1"/>
          <w:sz w:val="16"/>
          <w:szCs w:val="16"/>
        </w:rPr>
        <w:t>19 марта 1930 г. — Постановление РЗ СТО СССР «О базах судостроения и судоремонта для Военно-морских сил Черного моря»</w:t>
      </w:r>
    </w:p>
    <w:p w14:paraId="6327E775" w14:textId="77777777" w:rsidR="00065987" w:rsidRPr="00507A31" w:rsidRDefault="00065987" w:rsidP="00507A31">
      <w:pPr>
        <w:jc w:val="both"/>
        <w:rPr>
          <w:color w:val="000000" w:themeColor="text1"/>
          <w:sz w:val="16"/>
          <w:szCs w:val="16"/>
        </w:rPr>
      </w:pPr>
      <w:r w:rsidRPr="00507A31">
        <w:rPr>
          <w:color w:val="000000" w:themeColor="text1"/>
          <w:sz w:val="16"/>
          <w:szCs w:val="16"/>
        </w:rPr>
        <w:t>Совершенно секретно.</w:t>
      </w:r>
    </w:p>
    <w:p w14:paraId="0CE76493" w14:textId="77777777" w:rsidR="00065987" w:rsidRPr="00507A31" w:rsidRDefault="00065987" w:rsidP="00507A31">
      <w:pPr>
        <w:jc w:val="both"/>
        <w:rPr>
          <w:color w:val="000000" w:themeColor="text1"/>
          <w:sz w:val="16"/>
          <w:szCs w:val="16"/>
        </w:rPr>
      </w:pPr>
      <w:r w:rsidRPr="00507A31">
        <w:rPr>
          <w:color w:val="000000" w:themeColor="text1"/>
          <w:sz w:val="16"/>
          <w:szCs w:val="16"/>
        </w:rPr>
        <w:t>Совет труда и обороны постановляет:</w:t>
      </w:r>
    </w:p>
    <w:p w14:paraId="240A128D" w14:textId="77777777" w:rsidR="00065987" w:rsidRPr="00507A31" w:rsidRDefault="00065987" w:rsidP="00507A31">
      <w:pPr>
        <w:jc w:val="both"/>
        <w:rPr>
          <w:color w:val="000000" w:themeColor="text1"/>
          <w:sz w:val="16"/>
          <w:szCs w:val="16"/>
        </w:rPr>
      </w:pPr>
      <w:r w:rsidRPr="00507A31">
        <w:rPr>
          <w:color w:val="000000" w:themeColor="text1"/>
          <w:sz w:val="16"/>
          <w:szCs w:val="16"/>
        </w:rPr>
        <w:t>А. В отношении судостроения</w:t>
      </w:r>
    </w:p>
    <w:p w14:paraId="31767913"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1. Констатировать, что основной судостроительной базой военно-морских сил Черного моря являются Николаевские государственные заводы им. Марти.</w:t>
      </w:r>
    </w:p>
    <w:p w14:paraId="290F9D2E"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На них должна производиться постройка: а) подводных кораблей всех типов и размеров; б) торпедоносных кораблей всех типов (сторсудов, торпедоносцев, эскадренных торпедоносцев); в) броненосных кораблей (начиная с типа легких крейсеров и более).</w:t>
      </w:r>
    </w:p>
    <w:p w14:paraId="570DA7EE"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2. Для выполнения поставленной § 1 задачи и достижения срокового и экономического эффекта НГЗ реконструируются и усиливаются в части: а) обеспечения военного судостроения стапелями для постройки больших торпедоносцев; б) турбиностроения с испытательной станцией для него и введения калибрового хозяйства и современного мерительного инструмента; в) производства специальных сплавов; г) введения электросварки, усиления пневматического оборудования завода, а также шоопирования, торкретирования и пескоструек; д) дооборудования котельного цеха для постройки современных котлов; е) постройки аккумуляторной зарядной станции для подводных лодок; ж) постройки сборочно-установочных цехов как для завода, так и контрагентов для обслуживания надводного и подводного судостроения.</w:t>
      </w:r>
    </w:p>
    <w:p w14:paraId="41F03478"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3. Сохранить ремонт турбин на НГЗ впредь до организации и проверки его на Севморзаводе.</w:t>
      </w:r>
    </w:p>
    <w:p w14:paraId="3719C5B9"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Обязать Гипромез при реконструкции НГЗ предусмотреть постройку турбин новейшего типа для военных кораблей как по планам мирного строительства, так и на военное время.</w:t>
      </w:r>
    </w:p>
    <w:p w14:paraId="72C313C9"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4. Постройку корпусов (коробки) для торпедоносцев по программе мирного времени в случае получения реальных доказательств возможности осуществления постройки в требующиеся сроки и требуемого качества признать возможным производить на Севморзаводе.</w:t>
      </w:r>
    </w:p>
    <w:p w14:paraId="40DAEE18"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5. Поручить Гипромезу параллельно с проектированием заводов Ленсудотреста увязать проектировочные работы с реконструкцией заводов Юга как по программе коммерческого, так и военного судостроения.</w:t>
      </w:r>
    </w:p>
    <w:p w14:paraId="29ECF419" w14:textId="77777777" w:rsidR="00065987" w:rsidRPr="00507A31" w:rsidRDefault="00065987" w:rsidP="00507A31">
      <w:pPr>
        <w:jc w:val="both"/>
        <w:rPr>
          <w:color w:val="000000" w:themeColor="text1"/>
          <w:sz w:val="16"/>
          <w:szCs w:val="16"/>
        </w:rPr>
      </w:pPr>
      <w:r w:rsidRPr="00507A31">
        <w:rPr>
          <w:color w:val="000000" w:themeColor="text1"/>
          <w:sz w:val="16"/>
          <w:szCs w:val="16"/>
        </w:rPr>
        <w:t>Б. В отношении судоремонта</w:t>
      </w:r>
    </w:p>
    <w:p w14:paraId="025D33B5" w14:textId="77777777" w:rsidR="00065987" w:rsidRPr="00507A31" w:rsidRDefault="00065987" w:rsidP="00507A31">
      <w:pPr>
        <w:jc w:val="both"/>
        <w:rPr>
          <w:color w:val="000000" w:themeColor="text1"/>
          <w:sz w:val="16"/>
          <w:szCs w:val="16"/>
        </w:rPr>
      </w:pPr>
      <w:r w:rsidRPr="00507A31">
        <w:rPr>
          <w:color w:val="000000" w:themeColor="text1"/>
          <w:sz w:val="16"/>
          <w:szCs w:val="16"/>
        </w:rPr>
        <w:t>1. Констатировать, что главной судоремонтной базой для морских сил Черного моря является Севастопольский морской завод Судотреста.</w:t>
      </w:r>
    </w:p>
    <w:p w14:paraId="4C956B50" w14:textId="77777777" w:rsidR="00065987" w:rsidRPr="00507A31" w:rsidRDefault="00065987" w:rsidP="00507A31">
      <w:pPr>
        <w:jc w:val="both"/>
        <w:rPr>
          <w:color w:val="000000" w:themeColor="text1"/>
          <w:sz w:val="16"/>
          <w:szCs w:val="16"/>
        </w:rPr>
      </w:pPr>
      <w:r w:rsidRPr="00507A31">
        <w:rPr>
          <w:color w:val="000000" w:themeColor="text1"/>
          <w:sz w:val="16"/>
          <w:szCs w:val="16"/>
        </w:rPr>
        <w:t>2. Для выполнения поставленной задачи произвести реконструкцию и усиление Севморзавода в части: а) постройки мастерской с испытательной станцией при ней по турборемонту, дизелеремонту и ремонту вспомогательных турбомеханизмов. При постройке мастерской использовать металлические конструкции бездействующего цеха Феодосийской пристрелочной станции. Констатировать, что год тому назад были отпущены специальные средства для организации турбинной мастерской на Севморзаводе; что несмотря на это к постройке мастерских еще не приступлено, — предложить ОГПУ в срочном порядке повести расследование для привлечения виновных к ответственности; б) дооборудования и модернизации доков, эллингов (для подъема эсминцев, подлодок и прочих военных судов вместо постановки их в сухие доки) и пневматического оборудования завода; в) оборудования причальных линий завода (около 200 п. м).</w:t>
      </w:r>
    </w:p>
    <w:p w14:paraId="1B42BDA0" w14:textId="77777777" w:rsidR="00065987" w:rsidRPr="00507A31" w:rsidRDefault="00065987" w:rsidP="00507A31">
      <w:pPr>
        <w:jc w:val="both"/>
        <w:rPr>
          <w:color w:val="000000" w:themeColor="text1"/>
          <w:sz w:val="16"/>
          <w:szCs w:val="16"/>
        </w:rPr>
      </w:pPr>
      <w:r w:rsidRPr="00507A31">
        <w:rPr>
          <w:color w:val="000000" w:themeColor="text1"/>
          <w:sz w:val="16"/>
          <w:szCs w:val="16"/>
        </w:rPr>
        <w:t>3. Обязать ВСНХ СССР: а) предусмотреть установку однотонной электропечи для стального литья и оборудование цеха медных и иных сплавов; б) предусмотреть постройку одного мощного буксира.</w:t>
      </w:r>
    </w:p>
    <w:p w14:paraId="6A715A45" w14:textId="77777777" w:rsidR="00065987" w:rsidRPr="00507A31" w:rsidRDefault="00065987" w:rsidP="00507A31">
      <w:pPr>
        <w:jc w:val="both"/>
        <w:rPr>
          <w:color w:val="000000" w:themeColor="text1"/>
          <w:sz w:val="16"/>
          <w:szCs w:val="16"/>
        </w:rPr>
      </w:pPr>
      <w:r w:rsidRPr="00507A31">
        <w:rPr>
          <w:color w:val="000000" w:themeColor="text1"/>
          <w:sz w:val="16"/>
          <w:szCs w:val="16"/>
        </w:rPr>
        <w:t>4. Признать целесообразным передать Севморзаводу два здания с примыкающей к ним территорией с тем, однако, условием, чтобы Судотрест построил новые или оборудовал имеемые помещения для складских нужд военного порта.</w:t>
      </w:r>
    </w:p>
    <w:p w14:paraId="19A0FD48" w14:textId="77777777" w:rsidR="00065987" w:rsidRPr="00507A31" w:rsidRDefault="00065987" w:rsidP="00507A31">
      <w:pPr>
        <w:jc w:val="both"/>
        <w:rPr>
          <w:color w:val="000000" w:themeColor="text1"/>
          <w:sz w:val="16"/>
          <w:szCs w:val="16"/>
        </w:rPr>
      </w:pPr>
      <w:r w:rsidRPr="00507A31">
        <w:rPr>
          <w:color w:val="000000" w:themeColor="text1"/>
          <w:sz w:val="16"/>
          <w:szCs w:val="16"/>
        </w:rPr>
        <w:t>5. В связи с принятым решением о постройке для Николаева секционного плавдока в 8</w:t>
      </w:r>
      <w:r w:rsidRPr="00507A31">
        <w:rPr>
          <w:color w:val="000000" w:themeColor="text1"/>
          <w:sz w:val="16"/>
          <w:szCs w:val="16"/>
        </w:rPr>
        <w:noBreakHyphen/>
        <w:t>10 тыс. т поручить Судотресту совместно с УВМС проработать вопрос о переводе 30</w:t>
      </w:r>
      <w:r w:rsidRPr="00507A31">
        <w:rPr>
          <w:color w:val="000000" w:themeColor="text1"/>
          <w:sz w:val="16"/>
          <w:szCs w:val="16"/>
        </w:rPr>
        <w:noBreakHyphen/>
        <w:t>тысячетонного плавучего дока из Николаева в Севастополь.</w:t>
      </w:r>
    </w:p>
    <w:p w14:paraId="5021826E" w14:textId="77777777" w:rsidR="00065987" w:rsidRPr="00507A31" w:rsidRDefault="00065987" w:rsidP="00507A31">
      <w:pPr>
        <w:jc w:val="both"/>
        <w:rPr>
          <w:color w:val="000000" w:themeColor="text1"/>
          <w:sz w:val="16"/>
          <w:szCs w:val="16"/>
        </w:rPr>
      </w:pPr>
      <w:r w:rsidRPr="00507A31">
        <w:rPr>
          <w:color w:val="000000" w:themeColor="text1"/>
          <w:sz w:val="16"/>
          <w:szCs w:val="16"/>
        </w:rPr>
        <w:t>6. Обязать УВМС РККА срочно представить ВСНХ СССР заявки на постройку вспомогательных судов для рейдовой, портовой и судовой службы (буксиры, баржи, катера) для морских сил Черного моря по программе мирного времени.</w:t>
      </w:r>
    </w:p>
    <w:p w14:paraId="3095968B" w14:textId="77777777" w:rsidR="00065987" w:rsidRPr="00507A31" w:rsidRDefault="00065987" w:rsidP="00507A31">
      <w:pPr>
        <w:jc w:val="both"/>
        <w:rPr>
          <w:color w:val="000000" w:themeColor="text1"/>
          <w:sz w:val="16"/>
          <w:szCs w:val="16"/>
        </w:rPr>
      </w:pPr>
      <w:r w:rsidRPr="00507A31">
        <w:rPr>
          <w:color w:val="000000" w:themeColor="text1"/>
          <w:sz w:val="16"/>
          <w:szCs w:val="16"/>
        </w:rPr>
        <w:t>7. Обязать Гипромез при проектировании обратить особое внимание на: а) полноту выполнения мобилизационных заданий обоими заводами; б) быстроту развертывания Севморзаводом мобпрограммы в связи с переходом завода в непосредственное подчинение морским силам Черного моря с момента объявления мобилизации.</w:t>
      </w:r>
    </w:p>
    <w:p w14:paraId="75BD3181" w14:textId="77777777" w:rsidR="00065987" w:rsidRPr="00507A31" w:rsidRDefault="00065987" w:rsidP="00507A31">
      <w:pPr>
        <w:jc w:val="both"/>
        <w:rPr>
          <w:color w:val="000000" w:themeColor="text1"/>
          <w:sz w:val="16"/>
          <w:szCs w:val="16"/>
        </w:rPr>
      </w:pPr>
      <w:r w:rsidRPr="00507A31">
        <w:rPr>
          <w:color w:val="000000" w:themeColor="text1"/>
          <w:sz w:val="16"/>
          <w:szCs w:val="16"/>
        </w:rPr>
        <w:t>В. В отношении сроков</w:t>
      </w:r>
    </w:p>
    <w:p w14:paraId="762107FD" w14:textId="77777777" w:rsidR="00065987" w:rsidRPr="00507A31" w:rsidRDefault="00065987" w:rsidP="00507A31">
      <w:pPr>
        <w:jc w:val="both"/>
        <w:rPr>
          <w:color w:val="000000" w:themeColor="text1"/>
          <w:sz w:val="16"/>
          <w:szCs w:val="16"/>
        </w:rPr>
      </w:pPr>
      <w:r w:rsidRPr="00507A31">
        <w:rPr>
          <w:color w:val="000000" w:themeColor="text1"/>
          <w:sz w:val="16"/>
          <w:szCs w:val="16"/>
        </w:rPr>
        <w:t>1. Установить нижеследующие сроки для постройки военных кораблей на НГЗ по мирному времени: 1) большой эсминец — не выше 2 лет; 2) подлодка около 1 тыс. т — не выше 1,5 лет; 3) подлодка около 550 т — не выше 1 года.</w:t>
      </w:r>
    </w:p>
    <w:p w14:paraId="6C3C64ED" w14:textId="77777777" w:rsidR="00065987" w:rsidRPr="00507A31" w:rsidRDefault="00065987" w:rsidP="00507A31">
      <w:pPr>
        <w:jc w:val="both"/>
        <w:rPr>
          <w:color w:val="000000" w:themeColor="text1"/>
          <w:sz w:val="16"/>
          <w:szCs w:val="16"/>
        </w:rPr>
      </w:pPr>
      <w:r w:rsidRPr="00507A31">
        <w:rPr>
          <w:color w:val="000000" w:themeColor="text1"/>
          <w:sz w:val="16"/>
          <w:szCs w:val="16"/>
        </w:rPr>
        <w:t>2. Максимальные сроки для капитального ремонта при условии стоимости капитального ремонта не выше 40% от современной стоимости корабля: 1) большой эсминец (2 тыс. т) — не выше 12 месяцев; 2) малый эсминец — не выше 8 месяцев; 3) сторсуда — не выше 6 месяцев; 4) подлодка до 1 тыс. т — не выше 8 месяцев; 5) подлодка до 550 т — не выше 6 месяцев; 6) подлодка типа АГ — не выше 4 месяцев. Считать, что указанные сроки действительны при условии уведомления завода о передаче корабля в ремонт не менее чем за три месяца с сообщением основного объема работ.</w:t>
      </w:r>
    </w:p>
    <w:p w14:paraId="63F8C737" w14:textId="77777777" w:rsidR="00065987" w:rsidRPr="00507A31" w:rsidRDefault="00065987" w:rsidP="00507A31">
      <w:pPr>
        <w:jc w:val="both"/>
        <w:rPr>
          <w:color w:val="000000" w:themeColor="text1"/>
          <w:sz w:val="16"/>
          <w:szCs w:val="16"/>
        </w:rPr>
      </w:pPr>
      <w:r w:rsidRPr="00507A31">
        <w:rPr>
          <w:color w:val="000000" w:themeColor="text1"/>
          <w:sz w:val="16"/>
          <w:szCs w:val="16"/>
        </w:rPr>
        <w:t>Обязать Гипромез при разработке проектов реконструкции и усиления НГЗ и Севморзавода исходить из этих сроков. При разработке проекта по НГЗ увязать его с заданиями контрагентам по вспомогательному машиностроению (маштресты) и электрооборудованию (ГЭТ, ЭТЗСТ) и по Севморзаводу необходимость максимальной независимости в условиях военного времени.</w:t>
      </w:r>
    </w:p>
    <w:p w14:paraId="59FF7134" w14:textId="77777777" w:rsidR="00065987" w:rsidRPr="00507A31" w:rsidRDefault="00065987" w:rsidP="00507A31">
      <w:pPr>
        <w:jc w:val="both"/>
        <w:rPr>
          <w:color w:val="000000" w:themeColor="text1"/>
          <w:sz w:val="16"/>
          <w:szCs w:val="16"/>
        </w:rPr>
      </w:pPr>
      <w:r w:rsidRPr="00507A31">
        <w:rPr>
          <w:color w:val="000000" w:themeColor="text1"/>
          <w:sz w:val="16"/>
          <w:szCs w:val="16"/>
        </w:rPr>
        <w:t>Г. В отношении программы коммерческого судостроения</w:t>
      </w:r>
    </w:p>
    <w:p w14:paraId="37A6CB22"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Программа коммерческого судостроения выполняется Судотрестом: а) на заводе быв. «Руссуд» (в Николаеве) целиком; б) на Никгосзаводах на основное их задание, но не в ущерб военному судостроению; в) на Севморзаводе лишь поскольку будут обеспечены задания военно-морских сил Черного моря.</w:t>
      </w:r>
    </w:p>
    <w:p w14:paraId="14CB98C4" w14:textId="77777777" w:rsidR="00065987" w:rsidRPr="00507A31" w:rsidRDefault="00065987" w:rsidP="00507A31">
      <w:pPr>
        <w:jc w:val="both"/>
        <w:rPr>
          <w:color w:val="000000" w:themeColor="text1"/>
          <w:sz w:val="16"/>
          <w:szCs w:val="16"/>
        </w:rPr>
      </w:pPr>
      <w:r w:rsidRPr="00507A31">
        <w:rPr>
          <w:color w:val="000000" w:themeColor="text1"/>
          <w:sz w:val="16"/>
          <w:szCs w:val="16"/>
        </w:rPr>
        <w:t>Д. В отношении срока переоборудования заводов</w:t>
      </w:r>
    </w:p>
    <w:p w14:paraId="61B060A2" w14:textId="77777777" w:rsidR="00065987" w:rsidRPr="00507A31" w:rsidRDefault="00065987" w:rsidP="00507A31">
      <w:pPr>
        <w:jc w:val="both"/>
        <w:rPr>
          <w:color w:val="000000" w:themeColor="text1"/>
          <w:sz w:val="16"/>
          <w:szCs w:val="16"/>
        </w:rPr>
      </w:pPr>
      <w:r w:rsidRPr="00507A31">
        <w:rPr>
          <w:color w:val="000000" w:themeColor="text1"/>
          <w:sz w:val="16"/>
          <w:szCs w:val="16"/>
        </w:rPr>
        <w:t>Переоборудование заводов Судотреста должно быть закончено в двухлетний срок.</w:t>
      </w:r>
    </w:p>
    <w:p w14:paraId="467800FD" w14:textId="77777777" w:rsidR="00065987" w:rsidRPr="00507A31" w:rsidRDefault="00065987" w:rsidP="00507A31">
      <w:pPr>
        <w:jc w:val="both"/>
        <w:rPr>
          <w:color w:val="000000" w:themeColor="text1"/>
          <w:sz w:val="16"/>
          <w:szCs w:val="16"/>
        </w:rPr>
      </w:pPr>
      <w:r w:rsidRPr="00507A31">
        <w:rPr>
          <w:color w:val="000000" w:themeColor="text1"/>
          <w:sz w:val="16"/>
          <w:szCs w:val="16"/>
        </w:rPr>
        <w:t>Е. В отношении отдельных недостатков и мероприятий</w:t>
      </w:r>
    </w:p>
    <w:p w14:paraId="04CAD776" w14:textId="77777777" w:rsidR="00065987" w:rsidRPr="00507A31" w:rsidRDefault="00065987" w:rsidP="00507A31">
      <w:pPr>
        <w:jc w:val="both"/>
        <w:rPr>
          <w:color w:val="000000" w:themeColor="text1"/>
          <w:sz w:val="16"/>
          <w:szCs w:val="16"/>
        </w:rPr>
      </w:pPr>
      <w:r w:rsidRPr="00507A31">
        <w:rPr>
          <w:color w:val="000000" w:themeColor="text1"/>
          <w:sz w:val="16"/>
          <w:szCs w:val="16"/>
        </w:rPr>
        <w:t>1. Обратить внимание ВСНХ СССР на частые случаи выпуска чертежей проектировочным бюро подводного плавания Балтийского завода для подводных лодок с ошибками и неясностями. ВСНХ СССР изжить указанный недостаток в двухмесячный срок.</w:t>
      </w:r>
    </w:p>
    <w:p w14:paraId="74B86C68" w14:textId="77777777" w:rsidR="00065987" w:rsidRPr="00507A31" w:rsidRDefault="00065987" w:rsidP="00507A31">
      <w:pPr>
        <w:jc w:val="both"/>
        <w:rPr>
          <w:color w:val="000000" w:themeColor="text1"/>
          <w:sz w:val="16"/>
          <w:szCs w:val="16"/>
        </w:rPr>
      </w:pPr>
      <w:r w:rsidRPr="00507A31">
        <w:rPr>
          <w:color w:val="000000" w:themeColor="text1"/>
          <w:sz w:val="16"/>
          <w:szCs w:val="16"/>
        </w:rPr>
        <w:t>2. Предложить ВСНХ СССР: а) образовать резерв материалов и изделий для ремонта военных судов на Севморзаводе; б) образовать неприкосновенный запас материалов и изделий для удовлетворения мобпотребностей морских сил Черного моря по заводам судостроительного треста.</w:t>
      </w:r>
    </w:p>
    <w:p w14:paraId="6223C7DE" w14:textId="77777777" w:rsidR="00065987" w:rsidRPr="00507A31" w:rsidRDefault="00065987" w:rsidP="00507A31">
      <w:pPr>
        <w:jc w:val="both"/>
        <w:rPr>
          <w:color w:val="000000" w:themeColor="text1"/>
          <w:sz w:val="16"/>
          <w:szCs w:val="16"/>
        </w:rPr>
      </w:pPr>
      <w:r w:rsidRPr="00507A31">
        <w:rPr>
          <w:color w:val="000000" w:themeColor="text1"/>
          <w:sz w:val="16"/>
          <w:szCs w:val="16"/>
        </w:rPr>
        <w:t>3. Отметить неоднократные случаи неправильной выдачи заказов под видом аварийных работ, в связи с чем нарушалась плановая производственная жизнь завода и расходовались непроизводительно излишние средства. Предложить УВМС РККА принять зависящие меры, чтобы командование Черного моря: а) пользовалось своим правом давать задания заводам Судотреста в качестве «аварийных» и «экстренных» лишь в случае серьезного повреждения материальной части корабля, сопровождающегося нарушением нормальной способности корабля управляться и действовать оружием на ходу; б) давало Севморзаводу окончательное задание на судоремонт и докование кораблей на следующий бюджетный год не позже 15 сентября каждого года. Выполнение доковой программы должно строго соответствовать согласованным с заводом срокам по годовому плану.</w:t>
      </w:r>
    </w:p>
    <w:p w14:paraId="11B773AE" w14:textId="77777777" w:rsidR="00065987" w:rsidRPr="00507A31" w:rsidRDefault="00065987" w:rsidP="00507A31">
      <w:pPr>
        <w:jc w:val="both"/>
        <w:rPr>
          <w:color w:val="000000" w:themeColor="text1"/>
          <w:sz w:val="16"/>
          <w:szCs w:val="16"/>
        </w:rPr>
      </w:pPr>
      <w:r w:rsidRPr="00507A31">
        <w:rPr>
          <w:color w:val="000000" w:themeColor="text1"/>
          <w:sz w:val="16"/>
          <w:szCs w:val="16"/>
        </w:rPr>
        <w:t>Предложить Судостроительному тресту и Севморзаводу реально и в первую очередь обеспечивать требования Черноморского командования по ремонту кораблей военного флота.</w:t>
      </w:r>
    </w:p>
    <w:p w14:paraId="45DDA07E" w14:textId="77777777" w:rsidR="00065987" w:rsidRPr="00507A31" w:rsidRDefault="00065987" w:rsidP="00507A31">
      <w:pPr>
        <w:jc w:val="both"/>
        <w:rPr>
          <w:color w:val="000000" w:themeColor="text1"/>
          <w:sz w:val="16"/>
          <w:szCs w:val="16"/>
        </w:rPr>
      </w:pPr>
      <w:r w:rsidRPr="00507A31">
        <w:rPr>
          <w:color w:val="000000" w:themeColor="text1"/>
          <w:sz w:val="16"/>
          <w:szCs w:val="16"/>
        </w:rPr>
        <w:t>Ж. В отношении Дальневосточного побережья</w:t>
      </w:r>
    </w:p>
    <w:p w14:paraId="6262EA26" w14:textId="77777777" w:rsidR="00065987" w:rsidRPr="00507A31" w:rsidRDefault="00065987" w:rsidP="00507A31">
      <w:pPr>
        <w:pStyle w:val="rtejustify"/>
        <w:spacing w:before="0" w:after="0"/>
        <w:rPr>
          <w:color w:val="000000" w:themeColor="text1"/>
          <w:sz w:val="16"/>
          <w:szCs w:val="16"/>
        </w:rPr>
      </w:pPr>
      <w:r w:rsidRPr="00507A31">
        <w:rPr>
          <w:color w:val="000000" w:themeColor="text1"/>
          <w:sz w:val="16"/>
          <w:szCs w:val="16"/>
        </w:rPr>
        <w:t>Ввиду намеченных значительных капитальных затрат на строительство Владивостокского порта и Дальзавода, а также крупных затрат по о. Сахалин поручить РВС разработать план мероприятий по защите Дальневосточного побережья от нападения с моря. План и сметные предположения представить на рассмотрение РЗ СТО не позже 1 июля 1930 г.</w:t>
      </w:r>
    </w:p>
    <w:p w14:paraId="07BD8E9F" w14:textId="77777777" w:rsidR="00065987" w:rsidRPr="00507A31" w:rsidRDefault="00065987"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Председатель Совета труда и обороны </w:t>
      </w:r>
      <w:hyperlink r:id="rId47" w:history="1">
        <w:r w:rsidRPr="00507A31">
          <w:rPr>
            <w:rStyle w:val="af0"/>
            <w:i w:val="0"/>
            <w:color w:val="000000" w:themeColor="text1"/>
            <w:sz w:val="16"/>
            <w:szCs w:val="16"/>
          </w:rPr>
          <w:t>А. И. Рыков</w:t>
        </w:r>
      </w:hyperlink>
    </w:p>
    <w:p w14:paraId="0E1522EF" w14:textId="77777777" w:rsidR="00065987" w:rsidRPr="00507A31" w:rsidRDefault="00065987"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Управделами СНК СССР и Совета труда и обороны </w:t>
      </w:r>
      <w:hyperlink r:id="rId48" w:history="1">
        <w:r w:rsidRPr="00507A31">
          <w:rPr>
            <w:rStyle w:val="af0"/>
            <w:i w:val="0"/>
            <w:color w:val="000000" w:themeColor="text1"/>
            <w:sz w:val="16"/>
            <w:szCs w:val="16"/>
          </w:rPr>
          <w:t>Н. Горбунов</w:t>
        </w:r>
      </w:hyperlink>
    </w:p>
    <w:p w14:paraId="5BE9F500" w14:textId="77777777" w:rsidR="00065987" w:rsidRPr="00507A31" w:rsidRDefault="00065987"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Секретарь Распорядительных заседаний СТО </w:t>
      </w:r>
      <w:hyperlink r:id="rId49" w:history="1">
        <w:r w:rsidRPr="00507A31">
          <w:rPr>
            <w:rStyle w:val="af0"/>
            <w:i w:val="0"/>
            <w:color w:val="000000" w:themeColor="text1"/>
            <w:sz w:val="16"/>
            <w:szCs w:val="16"/>
          </w:rPr>
          <w:t>Аппога</w:t>
        </w:r>
      </w:hyperlink>
    </w:p>
    <w:p w14:paraId="3968FA76" w14:textId="77777777" w:rsidR="00065987" w:rsidRPr="00507A31" w:rsidRDefault="00065987" w:rsidP="00507A31">
      <w:pPr>
        <w:pStyle w:val="ae"/>
        <w:spacing w:before="0" w:after="0"/>
        <w:jc w:val="both"/>
        <w:rPr>
          <w:color w:val="000000" w:themeColor="text1"/>
          <w:sz w:val="16"/>
          <w:szCs w:val="16"/>
        </w:rPr>
      </w:pPr>
      <w:r w:rsidRPr="00507A31">
        <w:rPr>
          <w:color w:val="000000" w:themeColor="text1"/>
          <w:sz w:val="16"/>
          <w:szCs w:val="16"/>
        </w:rPr>
        <w:t>РГАЭ. Ф. 4372. Оп. 91. Д. 595. Л. 31-29. Заверенная копия.</w:t>
      </w:r>
    </w:p>
    <w:p w14:paraId="0B5D4535" w14:textId="77777777" w:rsidR="00065987" w:rsidRPr="00507A31" w:rsidRDefault="00065987" w:rsidP="00507A31">
      <w:pPr>
        <w:pStyle w:val="ae"/>
        <w:spacing w:before="0" w:after="0"/>
        <w:jc w:val="both"/>
        <w:rPr>
          <w:color w:val="000000" w:themeColor="text1"/>
          <w:sz w:val="16"/>
          <w:szCs w:val="16"/>
        </w:rPr>
      </w:pPr>
      <w:r w:rsidRPr="00507A31">
        <w:rPr>
          <w:color w:val="000000" w:themeColor="text1"/>
          <w:sz w:val="16"/>
          <w:szCs w:val="16"/>
        </w:rPr>
        <w:t>ГАРФ. Ф. Р-8418. Оп. 4. Д. 220. Л. 1-3. Заверенная копия.</w:t>
      </w:r>
    </w:p>
    <w:p w14:paraId="1434A88C" w14:textId="77777777" w:rsidR="00065987" w:rsidRPr="00507A31" w:rsidRDefault="00065987" w:rsidP="00507A31">
      <w:pPr>
        <w:jc w:val="both"/>
        <w:rPr>
          <w:color w:val="000000" w:themeColor="text1"/>
          <w:sz w:val="16"/>
          <w:szCs w:val="16"/>
        </w:rPr>
      </w:pPr>
      <w:r w:rsidRPr="00507A31">
        <w:rPr>
          <w:color w:val="000000" w:themeColor="text1"/>
          <w:sz w:val="16"/>
          <w:szCs w:val="16"/>
        </w:rPr>
        <w:t xml:space="preserve">Архив: РГАЭ. Ф. 4372. Оп. 91. Д. 595. Л. 31-29. Заверенная копия. ГАРФ. Ф. Р-8418. Оп. 4. Д. 220. Л. 1-3. Заверенная копия. </w:t>
      </w:r>
    </w:p>
    <w:p w14:paraId="4332AF5E" w14:textId="77777777" w:rsidR="00065987" w:rsidRPr="00507A31" w:rsidRDefault="00065987"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448-450 (12500).</w:t>
      </w:r>
    </w:p>
    <w:p w14:paraId="0A7E7EF2" w14:textId="77777777" w:rsidR="00065987" w:rsidRPr="00507A31" w:rsidRDefault="00065987" w:rsidP="00507A31">
      <w:pPr>
        <w:jc w:val="both"/>
        <w:rPr>
          <w:color w:val="000000" w:themeColor="text1"/>
          <w:sz w:val="16"/>
          <w:szCs w:val="16"/>
        </w:rPr>
      </w:pPr>
    </w:p>
    <w:p w14:paraId="31D8BC9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Жизнь и внутренняя политика:</w:t>
      </w:r>
    </w:p>
    <w:p w14:paraId="62C6D86C" w14:textId="77777777" w:rsidR="00537E5F" w:rsidRPr="00507A31" w:rsidRDefault="00537E5F" w:rsidP="00507A31">
      <w:pPr>
        <w:autoSpaceDE w:val="0"/>
        <w:autoSpaceDN w:val="0"/>
        <w:adjustRightInd w:val="0"/>
        <w:jc w:val="both"/>
        <w:rPr>
          <w:iCs/>
          <w:color w:val="000000" w:themeColor="text1"/>
          <w:sz w:val="16"/>
          <w:szCs w:val="16"/>
        </w:rPr>
      </w:pPr>
    </w:p>
    <w:p w14:paraId="016987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марта 1930 было Письмо ЦК КП(б)У парторганизациям Украины с требованием "вести решительную борьбу против левацких искривлений, растерянности и хвостизма в колхозном строительстве" (10687).</w:t>
      </w:r>
    </w:p>
    <w:p w14:paraId="48839C53" w14:textId="77777777" w:rsidR="00537E5F" w:rsidRPr="00507A31" w:rsidRDefault="00537E5F" w:rsidP="00507A31">
      <w:pPr>
        <w:autoSpaceDE w:val="0"/>
        <w:autoSpaceDN w:val="0"/>
        <w:adjustRightInd w:val="0"/>
        <w:jc w:val="both"/>
        <w:rPr>
          <w:color w:val="000000" w:themeColor="text1"/>
          <w:sz w:val="16"/>
          <w:szCs w:val="16"/>
        </w:rPr>
      </w:pPr>
    </w:p>
    <w:p w14:paraId="7C10E847" w14:textId="77777777" w:rsidR="009651EE" w:rsidRPr="00507A31" w:rsidRDefault="009651EE" w:rsidP="00507A31">
      <w:pPr>
        <w:autoSpaceDE w:val="0"/>
        <w:autoSpaceDN w:val="0"/>
        <w:adjustRightInd w:val="0"/>
        <w:jc w:val="both"/>
        <w:rPr>
          <w:color w:val="000000" w:themeColor="text1"/>
          <w:sz w:val="16"/>
          <w:szCs w:val="16"/>
        </w:rPr>
      </w:pPr>
      <w:r w:rsidRPr="00507A31">
        <w:rPr>
          <w:color w:val="000000" w:themeColor="text1"/>
          <w:sz w:val="16"/>
          <w:szCs w:val="16"/>
        </w:rPr>
        <w:t xml:space="preserve">19 марта 1930 г., в среду, в Ленинградском ГАТОБ (бывший Мариинский – будущий </w:t>
      </w:r>
      <w:r w:rsidRPr="00507A31">
        <w:rPr>
          <w:bCs/>
          <w:iCs/>
          <w:color w:val="000000" w:themeColor="text1"/>
          <w:sz w:val="16"/>
          <w:szCs w:val="16"/>
        </w:rPr>
        <w:t>ЛГАТ им. Кирова</w:t>
      </w:r>
      <w:r w:rsidRPr="00507A31">
        <w:rPr>
          <w:color w:val="000000" w:themeColor="text1"/>
          <w:sz w:val="16"/>
          <w:szCs w:val="16"/>
        </w:rPr>
        <w:t xml:space="preserve">), прошел первый показ концертной сюиты «Золотой век» Дмитрия </w:t>
      </w:r>
      <w:r w:rsidRPr="00507A31">
        <w:rPr>
          <w:bCs/>
          <w:iCs/>
          <w:color w:val="000000" w:themeColor="text1"/>
          <w:sz w:val="16"/>
          <w:szCs w:val="16"/>
        </w:rPr>
        <w:t>Шостаковича</w:t>
      </w:r>
      <w:r w:rsidRPr="00507A31">
        <w:rPr>
          <w:color w:val="000000" w:themeColor="text1"/>
          <w:sz w:val="16"/>
          <w:szCs w:val="16"/>
        </w:rPr>
        <w:t xml:space="preserve"> от будущего одноименного балета в 3-х действиях и 5-ти картинах. Судьба балета была непростой – вскоре именно это талантливое творение Шостаковича обозвали обидным словом – «формализм»</w:t>
      </w:r>
      <w:r w:rsidR="00424CC4" w:rsidRPr="00507A31">
        <w:rPr>
          <w:color w:val="000000" w:themeColor="text1"/>
          <w:sz w:val="16"/>
          <w:szCs w:val="16"/>
        </w:rPr>
        <w:t xml:space="preserve"> (17325)</w:t>
      </w:r>
      <w:r w:rsidRPr="00507A31">
        <w:rPr>
          <w:color w:val="000000" w:themeColor="text1"/>
          <w:sz w:val="16"/>
          <w:szCs w:val="16"/>
        </w:rPr>
        <w:t>.</w:t>
      </w:r>
    </w:p>
    <w:p w14:paraId="2FABE614" w14:textId="77777777" w:rsidR="009651EE" w:rsidRPr="00507A31" w:rsidRDefault="009651EE" w:rsidP="00507A31">
      <w:pPr>
        <w:autoSpaceDE w:val="0"/>
        <w:autoSpaceDN w:val="0"/>
        <w:adjustRightInd w:val="0"/>
        <w:jc w:val="both"/>
        <w:rPr>
          <w:color w:val="000000" w:themeColor="text1"/>
          <w:sz w:val="16"/>
          <w:szCs w:val="16"/>
        </w:rPr>
      </w:pPr>
    </w:p>
    <w:p w14:paraId="70A6518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7926DBA" w14:textId="77777777" w:rsidR="00537E5F" w:rsidRPr="00507A31" w:rsidRDefault="00537E5F" w:rsidP="00507A31">
      <w:pPr>
        <w:autoSpaceDE w:val="0"/>
        <w:autoSpaceDN w:val="0"/>
        <w:adjustRightInd w:val="0"/>
        <w:jc w:val="both"/>
        <w:rPr>
          <w:iCs/>
          <w:color w:val="000000" w:themeColor="text1"/>
          <w:sz w:val="16"/>
          <w:szCs w:val="16"/>
        </w:rPr>
      </w:pPr>
    </w:p>
    <w:p w14:paraId="07884F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марта 1930 Папа Пий 11 провозгласил крестовый поход против СССР (3186).</w:t>
      </w:r>
    </w:p>
    <w:p w14:paraId="1366DC7A" w14:textId="77777777" w:rsidR="00537E5F" w:rsidRPr="00507A31" w:rsidRDefault="00537E5F" w:rsidP="00507A31">
      <w:pPr>
        <w:autoSpaceDE w:val="0"/>
        <w:autoSpaceDN w:val="0"/>
        <w:adjustRightInd w:val="0"/>
        <w:jc w:val="both"/>
        <w:rPr>
          <w:color w:val="000000" w:themeColor="text1"/>
          <w:sz w:val="16"/>
          <w:szCs w:val="16"/>
        </w:rPr>
      </w:pPr>
    </w:p>
    <w:p w14:paraId="6C24E24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19 марта 1930 папа римский Пий XI отслужил специальную мессу в поддержку русских церквей (4962).</w:t>
      </w:r>
    </w:p>
    <w:p w14:paraId="5E08985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AC98C24" w14:textId="77777777" w:rsidR="00885AF8" w:rsidRPr="00507A31" w:rsidRDefault="00885AF8"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19 марта 1930 г. волновой герой папа Пий XI отслужил мессу в поддержку католиков в СССР, фактически его действия носили не только антисоветский, но и антироссийский характер (17325).</w:t>
      </w:r>
    </w:p>
    <w:p w14:paraId="7111F394" w14:textId="77777777" w:rsidR="00885AF8" w:rsidRPr="00507A31" w:rsidRDefault="00885AF8" w:rsidP="00507A31">
      <w:pPr>
        <w:tabs>
          <w:tab w:val="left" w:pos="11199"/>
        </w:tabs>
        <w:autoSpaceDE w:val="0"/>
        <w:autoSpaceDN w:val="0"/>
        <w:adjustRightInd w:val="0"/>
        <w:jc w:val="both"/>
        <w:rPr>
          <w:color w:val="000000" w:themeColor="text1"/>
          <w:sz w:val="16"/>
          <w:szCs w:val="16"/>
        </w:rPr>
      </w:pPr>
    </w:p>
    <w:p w14:paraId="58BA5EF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0D905DE" w14:textId="77777777" w:rsidR="00537E5F" w:rsidRPr="00507A31" w:rsidRDefault="00537E5F" w:rsidP="00507A31">
      <w:pPr>
        <w:autoSpaceDE w:val="0"/>
        <w:autoSpaceDN w:val="0"/>
        <w:adjustRightInd w:val="0"/>
        <w:jc w:val="both"/>
        <w:rPr>
          <w:iCs/>
          <w:color w:val="000000" w:themeColor="text1"/>
          <w:sz w:val="16"/>
          <w:szCs w:val="16"/>
        </w:rPr>
      </w:pPr>
    </w:p>
    <w:p w14:paraId="20C2BF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марта 1930 ЦАГИ получил заключение по варианту плана, полученного ВАО 12 марта 1930 при письме НТК УВВС N 57сс (351).</w:t>
      </w:r>
    </w:p>
    <w:p w14:paraId="6A3D92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 марта 1930 было получено:</w:t>
      </w:r>
    </w:p>
    <w:p w14:paraId="57329A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Заключение по пятилетнему плану опытного строительства УВВС</w:t>
      </w:r>
    </w:p>
    <w:p w14:paraId="4B599B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Данное заключение касается пятилетнего плана опытного строи</w:t>
      </w:r>
      <w:r w:rsidRPr="00507A31">
        <w:rPr>
          <w:color w:val="000000" w:themeColor="text1"/>
          <w:sz w:val="16"/>
          <w:szCs w:val="16"/>
        </w:rPr>
        <w:softHyphen/>
        <w:t>тельства в том последнем его варианте, который получен всесоюзным Об'единением Авиационной Промышленности 12 марта при письме НТК УВВС ва № 57/ссНТК в качестве проекта постановления РЗ СТО.</w:t>
      </w:r>
    </w:p>
    <w:p w14:paraId="47B298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 этого проекта УВВС согласовывал с Авиаобъединением целый ряд вариантов пятилетнего плана, при чем каждый из последующих вариантов предъявлял к промышленности все более в более жесткие требования как в смысле качества, ток, главнымобразом, сроков.</w:t>
      </w:r>
    </w:p>
    <w:p w14:paraId="298758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Последний из вариантов согласовывался с Авиаоб"единением на заседаниях у т. Унлихта 6 февраля, по моторной части плана и т. Алксннса 10 февраля по самолетной части, при чем пред”дявленные Авиаоб"единению требования по срокам оказались настолько тяжелыми, что Авиаоб”единение в ГВПУ отказались признать эти сроки обязательными для пронышленаости в предложили принять сроки УВВС в качестве необходимых, которые промышленость должна осуществить во что бы то ни стало.</w:t>
      </w:r>
    </w:p>
    <w:p w14:paraId="486253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Тем не менее новый вариант плана еще белее укорачивает сроки. Ниже дается табличка сравнения "старых" сроков, принятых Авиаоб”единением с указанной выше оговоркой, и "новых", устававливаемых последним вариантом плана.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E371BA" w:rsidRPr="00507A31" w14:paraId="2CB53FA7" w14:textId="77777777">
        <w:tc>
          <w:tcPr>
            <w:tcW w:w="2394" w:type="dxa"/>
            <w:tcBorders>
              <w:top w:val="single" w:sz="12" w:space="0" w:color="auto"/>
            </w:tcBorders>
          </w:tcPr>
          <w:p w14:paraId="7F3576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w:t>
            </w:r>
          </w:p>
        </w:tc>
        <w:tc>
          <w:tcPr>
            <w:tcW w:w="2394" w:type="dxa"/>
            <w:tcBorders>
              <w:top w:val="single" w:sz="12" w:space="0" w:color="auto"/>
            </w:tcBorders>
          </w:tcPr>
          <w:p w14:paraId="410657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Старый срок</w:t>
            </w:r>
          </w:p>
        </w:tc>
        <w:tc>
          <w:tcPr>
            <w:tcW w:w="2394" w:type="dxa"/>
            <w:tcBorders>
              <w:top w:val="single" w:sz="12" w:space="0" w:color="auto"/>
            </w:tcBorders>
          </w:tcPr>
          <w:p w14:paraId="2B56E8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срок</w:t>
            </w:r>
          </w:p>
        </w:tc>
        <w:tc>
          <w:tcPr>
            <w:tcW w:w="2394" w:type="dxa"/>
            <w:tcBorders>
              <w:top w:val="single" w:sz="12" w:space="0" w:color="auto"/>
            </w:tcBorders>
          </w:tcPr>
          <w:p w14:paraId="4026D4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tc>
      </w:tr>
      <w:tr w:rsidR="00E371BA" w:rsidRPr="00507A31" w14:paraId="6176DFE9" w14:textId="77777777">
        <w:tc>
          <w:tcPr>
            <w:tcW w:w="2394" w:type="dxa"/>
          </w:tcPr>
          <w:p w14:paraId="4057AB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М-30</w:t>
            </w:r>
          </w:p>
        </w:tc>
        <w:tc>
          <w:tcPr>
            <w:tcW w:w="2394" w:type="dxa"/>
          </w:tcPr>
          <w:p w14:paraId="7E482E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УП-30</w:t>
            </w:r>
          </w:p>
        </w:tc>
        <w:tc>
          <w:tcPr>
            <w:tcW w:w="2394" w:type="dxa"/>
          </w:tcPr>
          <w:p w14:paraId="3220C5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2E4D2A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E371BA" w:rsidRPr="00507A31" w14:paraId="578B4C27" w14:textId="77777777">
        <w:tc>
          <w:tcPr>
            <w:tcW w:w="2394" w:type="dxa"/>
          </w:tcPr>
          <w:p w14:paraId="2878C9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М-31</w:t>
            </w:r>
          </w:p>
        </w:tc>
        <w:tc>
          <w:tcPr>
            <w:tcW w:w="2394" w:type="dxa"/>
          </w:tcPr>
          <w:p w14:paraId="3CDFED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2394" w:type="dxa"/>
          </w:tcPr>
          <w:p w14:paraId="75B421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1A8767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E371BA" w:rsidRPr="00507A31" w14:paraId="376BD84C" w14:textId="77777777">
        <w:tc>
          <w:tcPr>
            <w:tcW w:w="2394" w:type="dxa"/>
          </w:tcPr>
          <w:p w14:paraId="15F549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М-32</w:t>
            </w:r>
          </w:p>
        </w:tc>
        <w:tc>
          <w:tcPr>
            <w:tcW w:w="2394" w:type="dxa"/>
          </w:tcPr>
          <w:p w14:paraId="7E1A9B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1-32</w:t>
            </w:r>
          </w:p>
        </w:tc>
        <w:tc>
          <w:tcPr>
            <w:tcW w:w="2394" w:type="dxa"/>
          </w:tcPr>
          <w:p w14:paraId="5DD6B2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2394" w:type="dxa"/>
          </w:tcPr>
          <w:p w14:paraId="109176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М-19</w:t>
            </w:r>
          </w:p>
        </w:tc>
      </w:tr>
      <w:tr w:rsidR="00E371BA" w:rsidRPr="00507A31" w14:paraId="5EDC14B4" w14:textId="77777777">
        <w:tc>
          <w:tcPr>
            <w:tcW w:w="2394" w:type="dxa"/>
          </w:tcPr>
          <w:p w14:paraId="3F55BF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М-36</w:t>
            </w:r>
          </w:p>
        </w:tc>
        <w:tc>
          <w:tcPr>
            <w:tcW w:w="2394" w:type="dxa"/>
          </w:tcPr>
          <w:p w14:paraId="57947D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Х-30</w:t>
            </w:r>
          </w:p>
        </w:tc>
        <w:tc>
          <w:tcPr>
            <w:tcW w:w="2394" w:type="dxa"/>
          </w:tcPr>
          <w:p w14:paraId="76A4B0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272559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E371BA" w:rsidRPr="00507A31" w14:paraId="424F9172" w14:textId="77777777">
        <w:tc>
          <w:tcPr>
            <w:tcW w:w="2394" w:type="dxa"/>
          </w:tcPr>
          <w:p w14:paraId="3C131E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М-37</w:t>
            </w:r>
          </w:p>
        </w:tc>
        <w:tc>
          <w:tcPr>
            <w:tcW w:w="2394" w:type="dxa"/>
          </w:tcPr>
          <w:p w14:paraId="447498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1-32</w:t>
            </w:r>
          </w:p>
        </w:tc>
        <w:tc>
          <w:tcPr>
            <w:tcW w:w="2394" w:type="dxa"/>
          </w:tcPr>
          <w:p w14:paraId="4804FD40" w14:textId="77777777" w:rsidR="00537E5F" w:rsidRPr="00507A31" w:rsidRDefault="00537E5F" w:rsidP="00507A31">
            <w:pPr>
              <w:autoSpaceDE w:val="0"/>
              <w:autoSpaceDN w:val="0"/>
              <w:adjustRightInd w:val="0"/>
              <w:jc w:val="both"/>
              <w:rPr>
                <w:color w:val="000000" w:themeColor="text1"/>
                <w:sz w:val="16"/>
                <w:szCs w:val="16"/>
              </w:rPr>
            </w:pPr>
          </w:p>
        </w:tc>
        <w:tc>
          <w:tcPr>
            <w:tcW w:w="2394" w:type="dxa"/>
          </w:tcPr>
          <w:p w14:paraId="02744A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E371BA" w:rsidRPr="00507A31" w14:paraId="1D625E5D" w14:textId="77777777">
        <w:tc>
          <w:tcPr>
            <w:tcW w:w="2394" w:type="dxa"/>
          </w:tcPr>
          <w:p w14:paraId="018B93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М-38</w:t>
            </w:r>
          </w:p>
        </w:tc>
        <w:tc>
          <w:tcPr>
            <w:tcW w:w="2394" w:type="dxa"/>
          </w:tcPr>
          <w:p w14:paraId="6297A2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Х-32</w:t>
            </w:r>
          </w:p>
        </w:tc>
        <w:tc>
          <w:tcPr>
            <w:tcW w:w="2394" w:type="dxa"/>
          </w:tcPr>
          <w:p w14:paraId="6E313A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2394" w:type="dxa"/>
          </w:tcPr>
          <w:p w14:paraId="719FE0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2М-15</w:t>
            </w:r>
          </w:p>
        </w:tc>
      </w:tr>
      <w:tr w:rsidR="00E371BA" w:rsidRPr="00507A31" w14:paraId="7C178F28" w14:textId="77777777">
        <w:tc>
          <w:tcPr>
            <w:tcW w:w="2394" w:type="dxa"/>
          </w:tcPr>
          <w:p w14:paraId="61CAC5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М-33</w:t>
            </w:r>
          </w:p>
        </w:tc>
        <w:tc>
          <w:tcPr>
            <w:tcW w:w="2394" w:type="dxa"/>
          </w:tcPr>
          <w:p w14:paraId="3B1966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П-31</w:t>
            </w:r>
          </w:p>
        </w:tc>
        <w:tc>
          <w:tcPr>
            <w:tcW w:w="2394" w:type="dxa"/>
          </w:tcPr>
          <w:p w14:paraId="5885D6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217AB8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М-27</w:t>
            </w:r>
          </w:p>
        </w:tc>
      </w:tr>
      <w:tr w:rsidR="00E371BA" w:rsidRPr="00507A31" w14:paraId="3594DDE1" w14:textId="77777777">
        <w:tc>
          <w:tcPr>
            <w:tcW w:w="2394" w:type="dxa"/>
          </w:tcPr>
          <w:p w14:paraId="2EDBFC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w:t>
            </w:r>
          </w:p>
        </w:tc>
        <w:tc>
          <w:tcPr>
            <w:tcW w:w="2394" w:type="dxa"/>
          </w:tcPr>
          <w:p w14:paraId="486519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П-32</w:t>
            </w:r>
          </w:p>
        </w:tc>
        <w:tc>
          <w:tcPr>
            <w:tcW w:w="2394" w:type="dxa"/>
          </w:tcPr>
          <w:p w14:paraId="698264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4A44343D"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C30CF26" w14:textId="77777777">
        <w:tc>
          <w:tcPr>
            <w:tcW w:w="2394" w:type="dxa"/>
          </w:tcPr>
          <w:p w14:paraId="2B10D2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 НАМИ</w:t>
            </w:r>
          </w:p>
        </w:tc>
        <w:tc>
          <w:tcPr>
            <w:tcW w:w="2394" w:type="dxa"/>
          </w:tcPr>
          <w:p w14:paraId="3F733E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1У-32</w:t>
            </w:r>
          </w:p>
        </w:tc>
        <w:tc>
          <w:tcPr>
            <w:tcW w:w="2394" w:type="dxa"/>
          </w:tcPr>
          <w:p w14:paraId="43406A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2394" w:type="dxa"/>
          </w:tcPr>
          <w:p w14:paraId="19408B68"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D31DD7F" w14:textId="77777777">
        <w:tc>
          <w:tcPr>
            <w:tcW w:w="2394" w:type="dxa"/>
          </w:tcPr>
          <w:p w14:paraId="5787D1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М-39</w:t>
            </w:r>
          </w:p>
        </w:tc>
        <w:tc>
          <w:tcPr>
            <w:tcW w:w="2394" w:type="dxa"/>
          </w:tcPr>
          <w:p w14:paraId="108690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ХП-31</w:t>
            </w:r>
          </w:p>
        </w:tc>
        <w:tc>
          <w:tcPr>
            <w:tcW w:w="2394" w:type="dxa"/>
          </w:tcPr>
          <w:p w14:paraId="156787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3FC7C0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М-29</w:t>
            </w:r>
          </w:p>
        </w:tc>
      </w:tr>
      <w:tr w:rsidR="00E371BA" w:rsidRPr="00507A31" w14:paraId="29AC60C0" w14:textId="77777777">
        <w:tc>
          <w:tcPr>
            <w:tcW w:w="2394" w:type="dxa"/>
          </w:tcPr>
          <w:p w14:paraId="2D0B44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М-40</w:t>
            </w:r>
          </w:p>
        </w:tc>
        <w:tc>
          <w:tcPr>
            <w:tcW w:w="2394" w:type="dxa"/>
          </w:tcPr>
          <w:p w14:paraId="245F1D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ХП-32</w:t>
            </w:r>
          </w:p>
        </w:tc>
        <w:tc>
          <w:tcPr>
            <w:tcW w:w="2394" w:type="dxa"/>
          </w:tcPr>
          <w:p w14:paraId="7007DB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787132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М-29</w:t>
            </w:r>
          </w:p>
        </w:tc>
      </w:tr>
      <w:tr w:rsidR="00E371BA" w:rsidRPr="00507A31" w14:paraId="6ACB1D4F" w14:textId="77777777">
        <w:tc>
          <w:tcPr>
            <w:tcW w:w="2394" w:type="dxa"/>
          </w:tcPr>
          <w:p w14:paraId="55087B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М-28</w:t>
            </w:r>
          </w:p>
        </w:tc>
        <w:tc>
          <w:tcPr>
            <w:tcW w:w="2394" w:type="dxa"/>
          </w:tcPr>
          <w:p w14:paraId="41729C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ХП-31</w:t>
            </w:r>
          </w:p>
        </w:tc>
        <w:tc>
          <w:tcPr>
            <w:tcW w:w="2394" w:type="dxa"/>
          </w:tcPr>
          <w:p w14:paraId="64F50B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27C926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ФЭД</w:t>
            </w:r>
          </w:p>
        </w:tc>
      </w:tr>
      <w:tr w:rsidR="00E371BA" w:rsidRPr="00507A31" w14:paraId="39472F31" w14:textId="77777777">
        <w:tc>
          <w:tcPr>
            <w:tcW w:w="2394" w:type="dxa"/>
          </w:tcPr>
          <w:p w14:paraId="0D3055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М-35</w:t>
            </w:r>
          </w:p>
        </w:tc>
        <w:tc>
          <w:tcPr>
            <w:tcW w:w="2394" w:type="dxa"/>
          </w:tcPr>
          <w:p w14:paraId="123B25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ХП-32</w:t>
            </w:r>
          </w:p>
        </w:tc>
        <w:tc>
          <w:tcPr>
            <w:tcW w:w="2394" w:type="dxa"/>
          </w:tcPr>
          <w:p w14:paraId="021A29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1-У1-31</w:t>
            </w:r>
          </w:p>
        </w:tc>
        <w:tc>
          <w:tcPr>
            <w:tcW w:w="2394" w:type="dxa"/>
          </w:tcPr>
          <w:p w14:paraId="40C3F9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ФЭД</w:t>
            </w:r>
          </w:p>
        </w:tc>
      </w:tr>
      <w:tr w:rsidR="00E371BA" w:rsidRPr="00507A31" w14:paraId="153EFB4E" w14:textId="77777777">
        <w:tc>
          <w:tcPr>
            <w:tcW w:w="2394" w:type="dxa"/>
          </w:tcPr>
          <w:p w14:paraId="7AEA42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М-26</w:t>
            </w:r>
          </w:p>
        </w:tc>
        <w:tc>
          <w:tcPr>
            <w:tcW w:w="2394" w:type="dxa"/>
          </w:tcPr>
          <w:p w14:paraId="07F93D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УШ-30</w:t>
            </w:r>
          </w:p>
        </w:tc>
        <w:tc>
          <w:tcPr>
            <w:tcW w:w="2394" w:type="dxa"/>
          </w:tcPr>
          <w:p w14:paraId="7FB9DF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1-У1-31</w:t>
            </w:r>
          </w:p>
        </w:tc>
        <w:tc>
          <w:tcPr>
            <w:tcW w:w="2394" w:type="dxa"/>
          </w:tcPr>
          <w:p w14:paraId="18B93B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w:t>
            </w:r>
          </w:p>
        </w:tc>
      </w:tr>
      <w:tr w:rsidR="00E371BA" w:rsidRPr="00507A31" w14:paraId="69098A10" w14:textId="77777777">
        <w:tc>
          <w:tcPr>
            <w:tcW w:w="2394" w:type="dxa"/>
          </w:tcPr>
          <w:p w14:paraId="2C3BA1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М-45</w:t>
            </w:r>
          </w:p>
        </w:tc>
        <w:tc>
          <w:tcPr>
            <w:tcW w:w="2394" w:type="dxa"/>
          </w:tcPr>
          <w:p w14:paraId="06A10E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Х-31</w:t>
            </w:r>
          </w:p>
        </w:tc>
        <w:tc>
          <w:tcPr>
            <w:tcW w:w="2394" w:type="dxa"/>
          </w:tcPr>
          <w:p w14:paraId="6BB763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75697063"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1552D51" w14:textId="77777777">
        <w:tc>
          <w:tcPr>
            <w:tcW w:w="2394" w:type="dxa"/>
          </w:tcPr>
          <w:p w14:paraId="2E026A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w:t>
            </w:r>
          </w:p>
        </w:tc>
        <w:tc>
          <w:tcPr>
            <w:tcW w:w="2394" w:type="dxa"/>
          </w:tcPr>
          <w:p w14:paraId="2DC205D2" w14:textId="77777777" w:rsidR="00537E5F" w:rsidRPr="00507A31" w:rsidRDefault="00537E5F" w:rsidP="00507A31">
            <w:pPr>
              <w:autoSpaceDE w:val="0"/>
              <w:autoSpaceDN w:val="0"/>
              <w:adjustRightInd w:val="0"/>
              <w:jc w:val="both"/>
              <w:rPr>
                <w:color w:val="000000" w:themeColor="text1"/>
                <w:sz w:val="16"/>
                <w:szCs w:val="16"/>
              </w:rPr>
            </w:pPr>
          </w:p>
        </w:tc>
        <w:tc>
          <w:tcPr>
            <w:tcW w:w="2394" w:type="dxa"/>
          </w:tcPr>
          <w:p w14:paraId="076626E1" w14:textId="77777777" w:rsidR="00537E5F" w:rsidRPr="00507A31" w:rsidRDefault="00537E5F" w:rsidP="00507A31">
            <w:pPr>
              <w:autoSpaceDE w:val="0"/>
              <w:autoSpaceDN w:val="0"/>
              <w:adjustRightInd w:val="0"/>
              <w:jc w:val="both"/>
              <w:rPr>
                <w:color w:val="000000" w:themeColor="text1"/>
                <w:sz w:val="16"/>
                <w:szCs w:val="16"/>
              </w:rPr>
            </w:pPr>
          </w:p>
        </w:tc>
        <w:tc>
          <w:tcPr>
            <w:tcW w:w="2394" w:type="dxa"/>
          </w:tcPr>
          <w:p w14:paraId="74EE3431"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4EB95BA" w14:textId="77777777">
        <w:tc>
          <w:tcPr>
            <w:tcW w:w="2394" w:type="dxa"/>
          </w:tcPr>
          <w:p w14:paraId="6BB85D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w:t>
            </w:r>
          </w:p>
        </w:tc>
        <w:tc>
          <w:tcPr>
            <w:tcW w:w="2394" w:type="dxa"/>
          </w:tcPr>
          <w:p w14:paraId="1AE634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1.УШ-30</w:t>
            </w:r>
          </w:p>
        </w:tc>
        <w:tc>
          <w:tcPr>
            <w:tcW w:w="2394" w:type="dxa"/>
          </w:tcPr>
          <w:p w14:paraId="0C6711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2394" w:type="dxa"/>
          </w:tcPr>
          <w:p w14:paraId="691F682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C23D3FC" w14:textId="77777777">
        <w:tc>
          <w:tcPr>
            <w:tcW w:w="2394" w:type="dxa"/>
          </w:tcPr>
          <w:p w14:paraId="0CDC00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w:t>
            </w:r>
          </w:p>
        </w:tc>
        <w:tc>
          <w:tcPr>
            <w:tcW w:w="2394" w:type="dxa"/>
          </w:tcPr>
          <w:p w14:paraId="6F0DDD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1.ХП-30</w:t>
            </w:r>
          </w:p>
        </w:tc>
        <w:tc>
          <w:tcPr>
            <w:tcW w:w="2394" w:type="dxa"/>
          </w:tcPr>
          <w:p w14:paraId="020A18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1.ХП-30</w:t>
            </w:r>
          </w:p>
        </w:tc>
        <w:tc>
          <w:tcPr>
            <w:tcW w:w="2394" w:type="dxa"/>
          </w:tcPr>
          <w:p w14:paraId="5860FF0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6806643" w14:textId="77777777">
        <w:tc>
          <w:tcPr>
            <w:tcW w:w="2394" w:type="dxa"/>
          </w:tcPr>
          <w:p w14:paraId="258836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 деревянный</w:t>
            </w:r>
          </w:p>
        </w:tc>
        <w:tc>
          <w:tcPr>
            <w:tcW w:w="2394" w:type="dxa"/>
          </w:tcPr>
          <w:p w14:paraId="759AD3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2394" w:type="dxa"/>
          </w:tcPr>
          <w:p w14:paraId="4FBCFC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1.Ш-31</w:t>
            </w:r>
          </w:p>
        </w:tc>
        <w:tc>
          <w:tcPr>
            <w:tcW w:w="2394" w:type="dxa"/>
          </w:tcPr>
          <w:p w14:paraId="201E53C5"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45EA46C" w14:textId="77777777">
        <w:tc>
          <w:tcPr>
            <w:tcW w:w="2394" w:type="dxa"/>
          </w:tcPr>
          <w:p w14:paraId="46DFEC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 сварной</w:t>
            </w:r>
          </w:p>
        </w:tc>
        <w:tc>
          <w:tcPr>
            <w:tcW w:w="2394" w:type="dxa"/>
          </w:tcPr>
          <w:p w14:paraId="179169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1ХП-31</w:t>
            </w:r>
          </w:p>
        </w:tc>
        <w:tc>
          <w:tcPr>
            <w:tcW w:w="2394" w:type="dxa"/>
          </w:tcPr>
          <w:p w14:paraId="4086B4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0ACCF84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9E965C0" w14:textId="77777777">
        <w:tc>
          <w:tcPr>
            <w:tcW w:w="2394" w:type="dxa"/>
          </w:tcPr>
          <w:p w14:paraId="6DD6A6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И-10</w:t>
            </w:r>
          </w:p>
        </w:tc>
        <w:tc>
          <w:tcPr>
            <w:tcW w:w="2394" w:type="dxa"/>
          </w:tcPr>
          <w:p w14:paraId="5EB083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1.УП-32</w:t>
            </w:r>
          </w:p>
        </w:tc>
        <w:tc>
          <w:tcPr>
            <w:tcW w:w="2394" w:type="dxa"/>
          </w:tcPr>
          <w:p w14:paraId="34C1F4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неопределен</w:t>
            </w:r>
          </w:p>
        </w:tc>
        <w:tc>
          <w:tcPr>
            <w:tcW w:w="2394" w:type="dxa"/>
          </w:tcPr>
          <w:p w14:paraId="0FD2ED61"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2770B71" w14:textId="77777777">
        <w:tc>
          <w:tcPr>
            <w:tcW w:w="2394" w:type="dxa"/>
          </w:tcPr>
          <w:p w14:paraId="79F143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ДИ-2 (Д2)</w:t>
            </w:r>
          </w:p>
        </w:tc>
        <w:tc>
          <w:tcPr>
            <w:tcW w:w="2394" w:type="dxa"/>
          </w:tcPr>
          <w:p w14:paraId="37B679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1.У1-30</w:t>
            </w:r>
          </w:p>
        </w:tc>
        <w:tc>
          <w:tcPr>
            <w:tcW w:w="2394" w:type="dxa"/>
          </w:tcPr>
          <w:p w14:paraId="6E52EB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1.У-30</w:t>
            </w:r>
          </w:p>
        </w:tc>
        <w:tc>
          <w:tcPr>
            <w:tcW w:w="2394" w:type="dxa"/>
          </w:tcPr>
          <w:p w14:paraId="7E26D2E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6C59950" w14:textId="77777777">
        <w:tc>
          <w:tcPr>
            <w:tcW w:w="2394" w:type="dxa"/>
          </w:tcPr>
          <w:p w14:paraId="1BFEC8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деревянный</w:t>
            </w:r>
          </w:p>
        </w:tc>
        <w:tc>
          <w:tcPr>
            <w:tcW w:w="2394" w:type="dxa"/>
          </w:tcPr>
          <w:p w14:paraId="1852C6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1.У1-33</w:t>
            </w:r>
          </w:p>
        </w:tc>
        <w:tc>
          <w:tcPr>
            <w:tcW w:w="2394" w:type="dxa"/>
          </w:tcPr>
          <w:p w14:paraId="3AA87A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6C6E83DD"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C115845" w14:textId="77777777">
        <w:tc>
          <w:tcPr>
            <w:tcW w:w="2394" w:type="dxa"/>
          </w:tcPr>
          <w:p w14:paraId="45977E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сварной</w:t>
            </w:r>
          </w:p>
        </w:tc>
        <w:tc>
          <w:tcPr>
            <w:tcW w:w="2394" w:type="dxa"/>
          </w:tcPr>
          <w:p w14:paraId="5FE7AE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1УШ-33</w:t>
            </w:r>
          </w:p>
        </w:tc>
        <w:tc>
          <w:tcPr>
            <w:tcW w:w="2394" w:type="dxa"/>
          </w:tcPr>
          <w:p w14:paraId="560B0C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2394" w:type="dxa"/>
          </w:tcPr>
          <w:p w14:paraId="00F2C23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891B37F" w14:textId="77777777">
        <w:tc>
          <w:tcPr>
            <w:tcW w:w="2394" w:type="dxa"/>
          </w:tcPr>
          <w:p w14:paraId="40745A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w:t>
            </w:r>
          </w:p>
        </w:tc>
        <w:tc>
          <w:tcPr>
            <w:tcW w:w="2394" w:type="dxa"/>
          </w:tcPr>
          <w:p w14:paraId="4AB874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1.Х1-32</w:t>
            </w:r>
          </w:p>
        </w:tc>
        <w:tc>
          <w:tcPr>
            <w:tcW w:w="2394" w:type="dxa"/>
          </w:tcPr>
          <w:p w14:paraId="215135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2394" w:type="dxa"/>
          </w:tcPr>
          <w:p w14:paraId="436D70EB"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DC9A81F" w14:textId="77777777">
        <w:tc>
          <w:tcPr>
            <w:tcW w:w="2394" w:type="dxa"/>
          </w:tcPr>
          <w:p w14:paraId="689FFD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w:t>
            </w:r>
          </w:p>
        </w:tc>
        <w:tc>
          <w:tcPr>
            <w:tcW w:w="2394" w:type="dxa"/>
          </w:tcPr>
          <w:p w14:paraId="5CDE6C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2394" w:type="dxa"/>
          </w:tcPr>
          <w:p w14:paraId="5BECDC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1.У-30</w:t>
            </w:r>
          </w:p>
        </w:tc>
        <w:tc>
          <w:tcPr>
            <w:tcW w:w="2394" w:type="dxa"/>
          </w:tcPr>
          <w:p w14:paraId="28D5D14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72D2BDC" w14:textId="77777777">
        <w:tc>
          <w:tcPr>
            <w:tcW w:w="2394" w:type="dxa"/>
          </w:tcPr>
          <w:p w14:paraId="2C436A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деревянный</w:t>
            </w:r>
          </w:p>
        </w:tc>
        <w:tc>
          <w:tcPr>
            <w:tcW w:w="2394" w:type="dxa"/>
          </w:tcPr>
          <w:p w14:paraId="315013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1.1-32</w:t>
            </w:r>
          </w:p>
        </w:tc>
        <w:tc>
          <w:tcPr>
            <w:tcW w:w="2394" w:type="dxa"/>
          </w:tcPr>
          <w:p w14:paraId="681892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Pr>
          <w:p w14:paraId="11B4910C"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15E3956" w14:textId="77777777">
        <w:tc>
          <w:tcPr>
            <w:tcW w:w="2394" w:type="dxa"/>
          </w:tcPr>
          <w:p w14:paraId="7AF881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сварной</w:t>
            </w:r>
          </w:p>
        </w:tc>
        <w:tc>
          <w:tcPr>
            <w:tcW w:w="2394" w:type="dxa"/>
          </w:tcPr>
          <w:p w14:paraId="2A7D5E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1.1У-32</w:t>
            </w:r>
          </w:p>
        </w:tc>
        <w:tc>
          <w:tcPr>
            <w:tcW w:w="2394" w:type="dxa"/>
          </w:tcPr>
          <w:p w14:paraId="269839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2394" w:type="dxa"/>
          </w:tcPr>
          <w:p w14:paraId="38D5139D"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0974B56D" w14:textId="77777777">
        <w:tc>
          <w:tcPr>
            <w:tcW w:w="2394" w:type="dxa"/>
          </w:tcPr>
          <w:p w14:paraId="76CA87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Р-9</w:t>
            </w:r>
          </w:p>
        </w:tc>
        <w:tc>
          <w:tcPr>
            <w:tcW w:w="2394" w:type="dxa"/>
          </w:tcPr>
          <w:p w14:paraId="52AF1C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1.1Х-31</w:t>
            </w:r>
          </w:p>
        </w:tc>
        <w:tc>
          <w:tcPr>
            <w:tcW w:w="2394" w:type="dxa"/>
          </w:tcPr>
          <w:p w14:paraId="22F6DB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1.Х1-32</w:t>
            </w:r>
          </w:p>
        </w:tc>
        <w:tc>
          <w:tcPr>
            <w:tcW w:w="2394" w:type="dxa"/>
          </w:tcPr>
          <w:p w14:paraId="7357C6DB"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44F76D0" w14:textId="77777777">
        <w:tc>
          <w:tcPr>
            <w:tcW w:w="2394" w:type="dxa"/>
          </w:tcPr>
          <w:p w14:paraId="5D60BF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 (ТОМ)</w:t>
            </w:r>
          </w:p>
        </w:tc>
        <w:tc>
          <w:tcPr>
            <w:tcW w:w="2394" w:type="dxa"/>
          </w:tcPr>
          <w:p w14:paraId="639CDE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1.Х1-30</w:t>
            </w:r>
          </w:p>
        </w:tc>
        <w:tc>
          <w:tcPr>
            <w:tcW w:w="2394" w:type="dxa"/>
          </w:tcPr>
          <w:p w14:paraId="142180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1.Х1-30</w:t>
            </w:r>
          </w:p>
        </w:tc>
        <w:tc>
          <w:tcPr>
            <w:tcW w:w="2394" w:type="dxa"/>
          </w:tcPr>
          <w:p w14:paraId="6444892D"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281DC72" w14:textId="77777777">
        <w:tc>
          <w:tcPr>
            <w:tcW w:w="2394" w:type="dxa"/>
          </w:tcPr>
          <w:p w14:paraId="678DDF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 (МР5)</w:t>
            </w:r>
          </w:p>
        </w:tc>
        <w:tc>
          <w:tcPr>
            <w:tcW w:w="2394" w:type="dxa"/>
          </w:tcPr>
          <w:p w14:paraId="48D29E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1юУШ-30</w:t>
            </w:r>
          </w:p>
        </w:tc>
        <w:tc>
          <w:tcPr>
            <w:tcW w:w="2394" w:type="dxa"/>
          </w:tcPr>
          <w:p w14:paraId="530AB2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1.УП-30</w:t>
            </w:r>
          </w:p>
        </w:tc>
        <w:tc>
          <w:tcPr>
            <w:tcW w:w="2394" w:type="dxa"/>
          </w:tcPr>
          <w:p w14:paraId="5C7D6B15"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9BDFBA0" w14:textId="77777777">
        <w:tc>
          <w:tcPr>
            <w:tcW w:w="2394" w:type="dxa"/>
          </w:tcPr>
          <w:p w14:paraId="5AF2D6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w:t>
            </w:r>
          </w:p>
        </w:tc>
        <w:tc>
          <w:tcPr>
            <w:tcW w:w="2394" w:type="dxa"/>
          </w:tcPr>
          <w:p w14:paraId="3125A6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1.У-32</w:t>
            </w:r>
          </w:p>
        </w:tc>
        <w:tc>
          <w:tcPr>
            <w:tcW w:w="2394" w:type="dxa"/>
          </w:tcPr>
          <w:p w14:paraId="0C5FDE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1.Х1-30</w:t>
            </w:r>
          </w:p>
        </w:tc>
        <w:tc>
          <w:tcPr>
            <w:tcW w:w="2394" w:type="dxa"/>
          </w:tcPr>
          <w:p w14:paraId="54E67FB4"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52F78C8" w14:textId="77777777">
        <w:tc>
          <w:tcPr>
            <w:tcW w:w="2394" w:type="dxa"/>
          </w:tcPr>
          <w:p w14:paraId="786AFD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МДР-1 (РОМ)</w:t>
            </w:r>
          </w:p>
        </w:tc>
        <w:tc>
          <w:tcPr>
            <w:tcW w:w="2394" w:type="dxa"/>
          </w:tcPr>
          <w:p w14:paraId="3B9738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1.Х1-30</w:t>
            </w:r>
          </w:p>
        </w:tc>
        <w:tc>
          <w:tcPr>
            <w:tcW w:w="2394" w:type="dxa"/>
          </w:tcPr>
          <w:p w14:paraId="3358B1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1.Х-30</w:t>
            </w:r>
          </w:p>
        </w:tc>
        <w:tc>
          <w:tcPr>
            <w:tcW w:w="2394" w:type="dxa"/>
          </w:tcPr>
          <w:p w14:paraId="6C9B844D"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0470D6C6" w14:textId="77777777">
        <w:tc>
          <w:tcPr>
            <w:tcW w:w="2394" w:type="dxa"/>
          </w:tcPr>
          <w:p w14:paraId="29395F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w:t>
            </w:r>
          </w:p>
        </w:tc>
        <w:tc>
          <w:tcPr>
            <w:tcW w:w="2394" w:type="dxa"/>
          </w:tcPr>
          <w:p w14:paraId="190DEE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1.Х-31</w:t>
            </w:r>
          </w:p>
        </w:tc>
        <w:tc>
          <w:tcPr>
            <w:tcW w:w="2394" w:type="dxa"/>
          </w:tcPr>
          <w:p w14:paraId="4694B5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1.У-31</w:t>
            </w:r>
          </w:p>
        </w:tc>
        <w:tc>
          <w:tcPr>
            <w:tcW w:w="2394" w:type="dxa"/>
          </w:tcPr>
          <w:p w14:paraId="520E2A1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34BF037" w14:textId="77777777">
        <w:tc>
          <w:tcPr>
            <w:tcW w:w="2394" w:type="dxa"/>
          </w:tcPr>
          <w:p w14:paraId="77EC22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 (ПУ2)</w:t>
            </w:r>
          </w:p>
        </w:tc>
        <w:tc>
          <w:tcPr>
            <w:tcW w:w="2394" w:type="dxa"/>
          </w:tcPr>
          <w:p w14:paraId="38F187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1.У1-30</w:t>
            </w:r>
          </w:p>
        </w:tc>
        <w:tc>
          <w:tcPr>
            <w:tcW w:w="2394" w:type="dxa"/>
          </w:tcPr>
          <w:p w14:paraId="24F322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1.У1-30</w:t>
            </w:r>
          </w:p>
        </w:tc>
        <w:tc>
          <w:tcPr>
            <w:tcW w:w="2394" w:type="dxa"/>
          </w:tcPr>
          <w:p w14:paraId="1E76EC1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4ECA13C" w14:textId="77777777">
        <w:tc>
          <w:tcPr>
            <w:tcW w:w="2394" w:type="dxa"/>
          </w:tcPr>
          <w:p w14:paraId="234B61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w:t>
            </w:r>
          </w:p>
        </w:tc>
        <w:tc>
          <w:tcPr>
            <w:tcW w:w="2394" w:type="dxa"/>
          </w:tcPr>
          <w:p w14:paraId="1DDD89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1юУ1-31</w:t>
            </w:r>
          </w:p>
        </w:tc>
        <w:tc>
          <w:tcPr>
            <w:tcW w:w="2394" w:type="dxa"/>
          </w:tcPr>
          <w:p w14:paraId="56E233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1.У1-31</w:t>
            </w:r>
          </w:p>
        </w:tc>
        <w:tc>
          <w:tcPr>
            <w:tcW w:w="2394" w:type="dxa"/>
          </w:tcPr>
          <w:p w14:paraId="3EE5E771"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E1DBB53" w14:textId="77777777">
        <w:tc>
          <w:tcPr>
            <w:tcW w:w="2394" w:type="dxa"/>
            <w:tcBorders>
              <w:bottom w:val="single" w:sz="12" w:space="0" w:color="auto"/>
            </w:tcBorders>
          </w:tcPr>
          <w:p w14:paraId="54F243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w:t>
            </w:r>
          </w:p>
        </w:tc>
        <w:tc>
          <w:tcPr>
            <w:tcW w:w="2394" w:type="dxa"/>
            <w:tcBorders>
              <w:bottom w:val="single" w:sz="12" w:space="0" w:color="auto"/>
            </w:tcBorders>
          </w:tcPr>
          <w:p w14:paraId="6D1C20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94" w:type="dxa"/>
            <w:tcBorders>
              <w:bottom w:val="single" w:sz="12" w:space="0" w:color="auto"/>
            </w:tcBorders>
          </w:tcPr>
          <w:p w14:paraId="6B08DC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1.1-31</w:t>
            </w:r>
          </w:p>
        </w:tc>
        <w:tc>
          <w:tcPr>
            <w:tcW w:w="2394" w:type="dxa"/>
            <w:tcBorders>
              <w:bottom w:val="single" w:sz="12" w:space="0" w:color="auto"/>
            </w:tcBorders>
          </w:tcPr>
          <w:p w14:paraId="4E026D08" w14:textId="77777777" w:rsidR="00537E5F" w:rsidRPr="00507A31" w:rsidRDefault="00537E5F" w:rsidP="00507A31">
            <w:pPr>
              <w:autoSpaceDE w:val="0"/>
              <w:autoSpaceDN w:val="0"/>
              <w:adjustRightInd w:val="0"/>
              <w:jc w:val="both"/>
              <w:rPr>
                <w:color w:val="000000" w:themeColor="text1"/>
                <w:sz w:val="16"/>
                <w:szCs w:val="16"/>
              </w:rPr>
            </w:pPr>
          </w:p>
        </w:tc>
      </w:tr>
    </w:tbl>
    <w:p w14:paraId="65A83C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Новом варианте моторного плана обращает внимание отсут</w:t>
      </w:r>
      <w:r w:rsidRPr="00507A31">
        <w:rPr>
          <w:color w:val="000000" w:themeColor="text1"/>
          <w:sz w:val="16"/>
          <w:szCs w:val="16"/>
        </w:rPr>
        <w:softHyphen/>
        <w:t>ствие промежуточных типов моторов, из развития и усовершенствования которых, по мыслия Авиаеб"единения, должны были выдаваться моторы высокого класса. Этого развития в новом варианте плана нет; наоборот, новый вариант требует пред"яв</w:t>
      </w:r>
      <w:r w:rsidRPr="00507A31">
        <w:rPr>
          <w:color w:val="000000" w:themeColor="text1"/>
          <w:sz w:val="16"/>
          <w:szCs w:val="16"/>
        </w:rPr>
        <w:softHyphen/>
        <w:t>ления моторов высокого класса на 13-22 месяцев ранее срока, игнорируя необходимость предварительных работ как конструк</w:t>
      </w:r>
      <w:r w:rsidRPr="00507A31">
        <w:rPr>
          <w:color w:val="000000" w:themeColor="text1"/>
          <w:sz w:val="16"/>
          <w:szCs w:val="16"/>
        </w:rPr>
        <w:softHyphen/>
        <w:t>тивного, так и исследовательского порядка, предшествующих созданию таких моторов.</w:t>
      </w:r>
    </w:p>
    <w:p w14:paraId="0231D3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пояснительной записке к одному из первых вариантов пяти</w:t>
      </w:r>
      <w:r w:rsidRPr="00507A31">
        <w:rPr>
          <w:color w:val="000000" w:themeColor="text1"/>
          <w:sz w:val="16"/>
          <w:szCs w:val="16"/>
        </w:rPr>
        <w:softHyphen/>
        <w:t>летки опытного строительства УВВС указал, что наше опытное моторостроение отстало от заграницы на 4-5 дет, и что пяти</w:t>
      </w:r>
      <w:r w:rsidRPr="00507A31">
        <w:rPr>
          <w:color w:val="000000" w:themeColor="text1"/>
          <w:sz w:val="16"/>
          <w:szCs w:val="16"/>
        </w:rPr>
        <w:softHyphen/>
        <w:t>летка расчитана на ликвидацию этого отставания, тем не менее моторы плана УВВС, пред "явление которых определено на 1.1.31 года, не имеют равных себе заграницей по состоянию ее техники на январь 30 г., ни по весам, ни по мощности, ни во высотности. Наилучший английский мотор Рольс-Ройс "Н10" подходящие по мощности и габаритам мотору М-34, тяжелее М34 на 183 кг и высотность "Н-10" вероятно ниже высотности М34. Моторов же, хотя бы отчасти отвечающих данным М-32, М-38 и М-35 заграницей нет вовсе. Таким образом по плану мы если не перегнали, то во всяком случае догнали любую заграницу.</w:t>
      </w:r>
    </w:p>
    <w:p w14:paraId="4C85EA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Ааиаоб"единение, предполагая по прежним вариантам пятилет</w:t>
      </w:r>
      <w:r w:rsidRPr="00507A31">
        <w:rPr>
          <w:color w:val="000000" w:themeColor="text1"/>
          <w:sz w:val="16"/>
          <w:szCs w:val="16"/>
        </w:rPr>
        <w:softHyphen/>
        <w:t>ки выдержать веса и мощности моторов заданные планом УВВС, имел в виду:</w:t>
      </w:r>
    </w:p>
    <w:p w14:paraId="488AC2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Накопление конструкторского опита в работе по постеленнему развитию типов моторов</w:t>
      </w:r>
    </w:p>
    <w:p w14:paraId="0E6406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2. Пополнение штата КБ и обучение и освоение новых кадров</w:t>
      </w:r>
    </w:p>
    <w:p w14:paraId="2E690C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Проведение ряда исследовательских работ по наддуву моторов, исследования редукторов и проч.</w:t>
      </w:r>
    </w:p>
    <w:p w14:paraId="0F183D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Повышение механич. свойств специальных сталей</w:t>
      </w:r>
    </w:p>
    <w:p w14:paraId="2FF6DD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Улучшение качества легких сплавов применяемых в настоящее время</w:t>
      </w:r>
    </w:p>
    <w:p w14:paraId="2C9EFA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Применение новых легких и ультралегких сплавов.</w:t>
      </w:r>
    </w:p>
    <w:p w14:paraId="69EEF1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Ряд исследовательских работ металлургического характера, как например получение специальных сталей для клапанов, разработ</w:t>
      </w:r>
      <w:r w:rsidRPr="00507A31">
        <w:rPr>
          <w:color w:val="000000" w:themeColor="text1"/>
          <w:sz w:val="16"/>
          <w:szCs w:val="16"/>
        </w:rPr>
        <w:softHyphen/>
        <w:t>ка, методики штамповки картеров из дюраля и электрона и т.п. начат и ведется Авиаоб"единением и результаты этих работ также должны были лечь в основу конструирования я постройки но</w:t>
      </w:r>
      <w:r w:rsidRPr="00507A31">
        <w:rPr>
          <w:color w:val="000000" w:themeColor="text1"/>
          <w:sz w:val="16"/>
          <w:szCs w:val="16"/>
        </w:rPr>
        <w:softHyphen/>
        <w:t>вых опытных моторов. Новыми сроками УВВС эти возможности устранены, так как при требовании выпуска моторов невиданных еще в мире качеств через 9 месяцев результатами этих еще ве</w:t>
      </w:r>
      <w:r w:rsidRPr="00507A31">
        <w:rPr>
          <w:color w:val="000000" w:themeColor="text1"/>
          <w:sz w:val="16"/>
          <w:szCs w:val="16"/>
        </w:rPr>
        <w:softHyphen/>
        <w:t>дущихся и далеко не законченных работ воспользоваться будет нельзя.</w:t>
      </w:r>
    </w:p>
    <w:p w14:paraId="0EA8EF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Точно также в этот срок мы не можем расчитывать на получение должных качеств материалов, так как весовые качества опытных моторов в основной своей части базировались на материалах бу</w:t>
      </w:r>
      <w:r w:rsidRPr="00507A31">
        <w:rPr>
          <w:color w:val="000000" w:themeColor="text1"/>
          <w:sz w:val="16"/>
          <w:szCs w:val="16"/>
        </w:rPr>
        <w:softHyphen/>
        <w:t>дущего. А именно - в 33 году мы в результате опытных металлур</w:t>
      </w:r>
      <w:r w:rsidRPr="00507A31">
        <w:rPr>
          <w:color w:val="000000" w:themeColor="text1"/>
          <w:sz w:val="16"/>
          <w:szCs w:val="16"/>
        </w:rPr>
        <w:softHyphen/>
        <w:t>гических работ расчитывали иметь: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E371BA" w:rsidRPr="00507A31" w14:paraId="09DCBC25" w14:textId="77777777">
        <w:tc>
          <w:tcPr>
            <w:tcW w:w="3192" w:type="dxa"/>
            <w:tcBorders>
              <w:top w:val="single" w:sz="12" w:space="0" w:color="auto"/>
            </w:tcBorders>
            <w:shd w:val="clear" w:color="auto" w:fill="FFFFFF"/>
          </w:tcPr>
          <w:p w14:paraId="02025C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Коленчатые валы валы с сопрот. Разрыву</w:t>
            </w:r>
          </w:p>
        </w:tc>
        <w:tc>
          <w:tcPr>
            <w:tcW w:w="3192" w:type="dxa"/>
            <w:tcBorders>
              <w:top w:val="single" w:sz="12" w:space="0" w:color="auto"/>
            </w:tcBorders>
            <w:shd w:val="clear" w:color="auto" w:fill="FFFFFF"/>
          </w:tcPr>
          <w:p w14:paraId="2FA8A2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150</w:t>
            </w:r>
          </w:p>
        </w:tc>
        <w:tc>
          <w:tcPr>
            <w:tcW w:w="3192" w:type="dxa"/>
            <w:tcBorders>
              <w:top w:val="single" w:sz="12" w:space="0" w:color="auto"/>
            </w:tcBorders>
            <w:shd w:val="clear" w:color="auto" w:fill="FFFFFF"/>
          </w:tcPr>
          <w:p w14:paraId="736BCE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 сопрот. удару 10</w:t>
            </w:r>
          </w:p>
        </w:tc>
      </w:tr>
      <w:tr w:rsidR="00E371BA" w:rsidRPr="00507A31" w14:paraId="508FE8C0" w14:textId="77777777">
        <w:tc>
          <w:tcPr>
            <w:tcW w:w="3192" w:type="dxa"/>
            <w:shd w:val="clear" w:color="auto" w:fill="FFFFFF"/>
          </w:tcPr>
          <w:p w14:paraId="742A96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Шатуны </w:t>
            </w:r>
          </w:p>
        </w:tc>
        <w:tc>
          <w:tcPr>
            <w:tcW w:w="3192" w:type="dxa"/>
            <w:shd w:val="clear" w:color="auto" w:fill="FFFFFF"/>
          </w:tcPr>
          <w:p w14:paraId="20D517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135</w:t>
            </w:r>
          </w:p>
        </w:tc>
        <w:tc>
          <w:tcPr>
            <w:tcW w:w="3192" w:type="dxa"/>
            <w:shd w:val="clear" w:color="auto" w:fill="FFFFFF"/>
          </w:tcPr>
          <w:p w14:paraId="29EEFD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3CE749CF" w14:textId="77777777">
        <w:tc>
          <w:tcPr>
            <w:tcW w:w="3192" w:type="dxa"/>
            <w:shd w:val="clear" w:color="auto" w:fill="FFFFFF"/>
          </w:tcPr>
          <w:p w14:paraId="3BE0F9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Пальцы поршня</w:t>
            </w:r>
          </w:p>
        </w:tc>
        <w:tc>
          <w:tcPr>
            <w:tcW w:w="3192" w:type="dxa"/>
            <w:shd w:val="clear" w:color="auto" w:fill="FFFFFF"/>
          </w:tcPr>
          <w:p w14:paraId="40CD7E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c>
          <w:tcPr>
            <w:tcW w:w="3192" w:type="dxa"/>
            <w:shd w:val="clear" w:color="auto" w:fill="FFFFFF"/>
          </w:tcPr>
          <w:p w14:paraId="26844F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6DED897D" w14:textId="77777777">
        <w:tc>
          <w:tcPr>
            <w:tcW w:w="3192" w:type="dxa"/>
            <w:shd w:val="clear" w:color="auto" w:fill="FFFFFF"/>
          </w:tcPr>
          <w:p w14:paraId="10075B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Цилиндры / для последующ.азотизации/</w:t>
            </w:r>
          </w:p>
        </w:tc>
        <w:tc>
          <w:tcPr>
            <w:tcW w:w="3192" w:type="dxa"/>
            <w:shd w:val="clear" w:color="auto" w:fill="FFFFFF"/>
          </w:tcPr>
          <w:p w14:paraId="055973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w:t>
            </w:r>
          </w:p>
        </w:tc>
        <w:tc>
          <w:tcPr>
            <w:tcW w:w="3192" w:type="dxa"/>
            <w:shd w:val="clear" w:color="auto" w:fill="FFFFFF"/>
          </w:tcPr>
          <w:p w14:paraId="53B1FA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3EF49493" w14:textId="77777777">
        <w:tc>
          <w:tcPr>
            <w:tcW w:w="3192" w:type="dxa"/>
            <w:shd w:val="clear" w:color="auto" w:fill="FFFFFF"/>
          </w:tcPr>
          <w:p w14:paraId="4CC076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Клапанные пружины</w:t>
            </w:r>
          </w:p>
        </w:tc>
        <w:tc>
          <w:tcPr>
            <w:tcW w:w="3192" w:type="dxa"/>
            <w:shd w:val="clear" w:color="auto" w:fill="FFFFFF"/>
          </w:tcPr>
          <w:p w14:paraId="0E862A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c>
          <w:tcPr>
            <w:tcW w:w="3192" w:type="dxa"/>
            <w:shd w:val="clear" w:color="auto" w:fill="FFFFFF"/>
          </w:tcPr>
          <w:p w14:paraId="4C1E3C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058CB60E" w14:textId="77777777">
        <w:tc>
          <w:tcPr>
            <w:tcW w:w="3192" w:type="dxa"/>
            <w:shd w:val="clear" w:color="auto" w:fill="FFFFFF"/>
          </w:tcPr>
          <w:p w14:paraId="47F4B1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Клапана выпуска</w:t>
            </w:r>
          </w:p>
        </w:tc>
        <w:tc>
          <w:tcPr>
            <w:tcW w:w="3192" w:type="dxa"/>
            <w:shd w:val="clear" w:color="auto" w:fill="FFFFFF"/>
          </w:tcPr>
          <w:p w14:paraId="113D18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(при темп. 900 гр.)</w:t>
            </w:r>
          </w:p>
        </w:tc>
        <w:tc>
          <w:tcPr>
            <w:tcW w:w="3192" w:type="dxa"/>
            <w:shd w:val="clear" w:color="auto" w:fill="FFFFFF"/>
          </w:tcPr>
          <w:p w14:paraId="6FE6D5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6F08AB78" w14:textId="77777777">
        <w:tc>
          <w:tcPr>
            <w:tcW w:w="3192" w:type="dxa"/>
            <w:tcBorders>
              <w:bottom w:val="single" w:sz="12" w:space="0" w:color="auto"/>
            </w:tcBorders>
            <w:shd w:val="clear" w:color="auto" w:fill="FFFFFF"/>
          </w:tcPr>
          <w:p w14:paraId="0230EC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Шестерни</w:t>
            </w:r>
          </w:p>
        </w:tc>
        <w:tc>
          <w:tcPr>
            <w:tcW w:w="3192" w:type="dxa"/>
            <w:tcBorders>
              <w:bottom w:val="single" w:sz="12" w:space="0" w:color="auto"/>
            </w:tcBorders>
            <w:shd w:val="clear" w:color="auto" w:fill="FFFFFF"/>
          </w:tcPr>
          <w:p w14:paraId="29DCE5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180</w:t>
            </w:r>
          </w:p>
        </w:tc>
        <w:tc>
          <w:tcPr>
            <w:tcW w:w="3192" w:type="dxa"/>
            <w:tcBorders>
              <w:bottom w:val="single" w:sz="12" w:space="0" w:color="auto"/>
            </w:tcBorders>
            <w:shd w:val="clear" w:color="auto" w:fill="FFFFFF"/>
          </w:tcPr>
          <w:p w14:paraId="1A594D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r>
    </w:tbl>
    <w:p w14:paraId="3AA709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Таким образом план УВВС вынуждает нас при конструировании и постройке новых опытных моторов высокого класса всходить из того, что мы имеем на сегодняшний день, т.е.</w:t>
      </w:r>
    </w:p>
    <w:p w14:paraId="353513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Из того же существующего опыта.</w:t>
      </w:r>
    </w:p>
    <w:p w14:paraId="5027E1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При том же недостатке обученных кадров.</w:t>
      </w:r>
    </w:p>
    <w:p w14:paraId="24FE77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При отсутствии законченных исследований.</w:t>
      </w:r>
    </w:p>
    <w:p w14:paraId="514499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При той же существующей металлургии.базе.</w:t>
      </w:r>
    </w:p>
    <w:p w14:paraId="4FC674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Этим самым план УВВС в его моторной части обуславливает невозможность его выполнения.</w:t>
      </w:r>
    </w:p>
    <w:p w14:paraId="0B7609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План опытного самолетостроения мокет быть разбит на две части. Первая - окончание уже начатых и ведущихся работ по само</w:t>
      </w:r>
      <w:r w:rsidRPr="00507A31">
        <w:rPr>
          <w:color w:val="000000" w:themeColor="text1"/>
          <w:sz w:val="16"/>
          <w:szCs w:val="16"/>
        </w:rPr>
        <w:softHyphen/>
        <w:t>летам И6, И7, ДИ-2 /Д2/, ТБ2, МТБ-1 (ТОМ), МБР-1 (МР5бис), МДР-1 /РОМ=2бис/ и МУ3 /ПУ2/ и вторая - проектирование и постройка новых самолетов.</w:t>
      </w:r>
    </w:p>
    <w:p w14:paraId="4A4CD8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старым самолетам, находящимся в периоде окончания построй</w:t>
      </w:r>
      <w:r w:rsidRPr="00507A31">
        <w:rPr>
          <w:color w:val="000000" w:themeColor="text1"/>
          <w:sz w:val="16"/>
          <w:szCs w:val="16"/>
        </w:rPr>
        <w:softHyphen/>
        <w:t>ки, имеет место сокращение ранее обусловленных сроков до 1-2 месяцев. Само по себе, в абсолютных значениях, это сокращение конечно не велико, но если принять во внимание оставшуюся часть сроков выпуска этих самолетов, то сокращение срока по 1 месяц, напри мер по Д2, дает относительное сокращение на 50%, по И6 - на 25%, по ТБ2 - на 50% и т.д. Таким образом относительное сокращение сроков очень велико и не сможет быть реали</w:t>
      </w:r>
      <w:r w:rsidRPr="00507A31">
        <w:rPr>
          <w:color w:val="000000" w:themeColor="text1"/>
          <w:sz w:val="16"/>
          <w:szCs w:val="16"/>
        </w:rPr>
        <w:softHyphen/>
        <w:t>зовано заводами, в виду краткости времени оставшегося до выпуска самолетов.</w:t>
      </w:r>
    </w:p>
    <w:p w14:paraId="012420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Что касается сроков по вновь проектируемым самолетам, то таковые сокращены.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371BA" w:rsidRPr="00507A31" w14:paraId="08741BEE" w14:textId="77777777">
        <w:tc>
          <w:tcPr>
            <w:tcW w:w="4788" w:type="dxa"/>
            <w:tcBorders>
              <w:top w:val="single" w:sz="12" w:space="0" w:color="auto"/>
            </w:tcBorders>
            <w:shd w:val="clear" w:color="auto" w:fill="FFFFFF"/>
          </w:tcPr>
          <w:p w14:paraId="61EE9E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И9</w:t>
            </w:r>
          </w:p>
        </w:tc>
        <w:tc>
          <w:tcPr>
            <w:tcW w:w="4788" w:type="dxa"/>
            <w:tcBorders>
              <w:top w:val="single" w:sz="12" w:space="0" w:color="auto"/>
            </w:tcBorders>
            <w:shd w:val="clear" w:color="auto" w:fill="FFFFFF"/>
          </w:tcPr>
          <w:p w14:paraId="1A534B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7 месяцев</w:t>
            </w:r>
          </w:p>
        </w:tc>
      </w:tr>
      <w:tr w:rsidR="00E371BA" w:rsidRPr="00507A31" w14:paraId="7DBBC677" w14:textId="77777777">
        <w:tc>
          <w:tcPr>
            <w:tcW w:w="4788" w:type="dxa"/>
            <w:shd w:val="clear" w:color="auto" w:fill="FFFFFF"/>
          </w:tcPr>
          <w:p w14:paraId="69602E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w:t>
            </w:r>
          </w:p>
        </w:tc>
        <w:tc>
          <w:tcPr>
            <w:tcW w:w="4788" w:type="dxa"/>
            <w:shd w:val="clear" w:color="auto" w:fill="FFFFFF"/>
          </w:tcPr>
          <w:p w14:paraId="29F381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w:t>
            </w:r>
          </w:p>
        </w:tc>
      </w:tr>
      <w:tr w:rsidR="00E371BA" w:rsidRPr="00507A31" w14:paraId="61EE5A80" w14:textId="77777777">
        <w:tc>
          <w:tcPr>
            <w:tcW w:w="4788" w:type="dxa"/>
            <w:shd w:val="clear" w:color="auto" w:fill="FFFFFF"/>
          </w:tcPr>
          <w:p w14:paraId="27B9C1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w:t>
            </w:r>
          </w:p>
        </w:tc>
        <w:tc>
          <w:tcPr>
            <w:tcW w:w="4788" w:type="dxa"/>
            <w:shd w:val="clear" w:color="auto" w:fill="FFFFFF"/>
          </w:tcPr>
          <w:p w14:paraId="1C436E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w:t>
            </w:r>
          </w:p>
        </w:tc>
      </w:tr>
      <w:tr w:rsidR="00E371BA" w:rsidRPr="00507A31" w14:paraId="0F928CD9" w14:textId="77777777">
        <w:tc>
          <w:tcPr>
            <w:tcW w:w="4788" w:type="dxa"/>
            <w:shd w:val="clear" w:color="auto" w:fill="FFFFFF"/>
          </w:tcPr>
          <w:p w14:paraId="1012C3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w:t>
            </w:r>
          </w:p>
        </w:tc>
        <w:tc>
          <w:tcPr>
            <w:tcW w:w="4788" w:type="dxa"/>
            <w:shd w:val="clear" w:color="auto" w:fill="FFFFFF"/>
          </w:tcPr>
          <w:p w14:paraId="3AE21D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w:t>
            </w:r>
          </w:p>
        </w:tc>
      </w:tr>
      <w:tr w:rsidR="00E371BA" w:rsidRPr="00507A31" w14:paraId="3E683E22" w14:textId="77777777">
        <w:tc>
          <w:tcPr>
            <w:tcW w:w="4788" w:type="dxa"/>
            <w:shd w:val="clear" w:color="auto" w:fill="FFFFFF"/>
          </w:tcPr>
          <w:p w14:paraId="043210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w:t>
            </w:r>
          </w:p>
        </w:tc>
        <w:tc>
          <w:tcPr>
            <w:tcW w:w="4788" w:type="dxa"/>
            <w:shd w:val="clear" w:color="auto" w:fill="FFFFFF"/>
          </w:tcPr>
          <w:p w14:paraId="0F9E13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r>
      <w:tr w:rsidR="00E371BA" w:rsidRPr="00507A31" w14:paraId="448FE079" w14:textId="77777777">
        <w:tc>
          <w:tcPr>
            <w:tcW w:w="4788" w:type="dxa"/>
            <w:tcBorders>
              <w:bottom w:val="single" w:sz="12" w:space="0" w:color="auto"/>
            </w:tcBorders>
            <w:shd w:val="clear" w:color="auto" w:fill="FFFFFF"/>
          </w:tcPr>
          <w:p w14:paraId="40247D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w:t>
            </w:r>
          </w:p>
        </w:tc>
        <w:tc>
          <w:tcPr>
            <w:tcW w:w="4788" w:type="dxa"/>
            <w:tcBorders>
              <w:bottom w:val="single" w:sz="12" w:space="0" w:color="auto"/>
            </w:tcBorders>
            <w:shd w:val="clear" w:color="auto" w:fill="FFFFFF"/>
          </w:tcPr>
          <w:p w14:paraId="52F2B8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r>
    </w:tbl>
    <w:p w14:paraId="5EA36B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Увеличен срок по Р-9 на 14 месяцев и сняты сварной вариант И-9 и деревянный вариант ДИ-4 с заменой их лишними экземплярами по основной конструкции. Кроме того, по морскому отделу введена новая не стоявшая ранее в плаве Авиооб"единения машина МТБ-2 со сроком ва 1.1.31 г.</w:t>
      </w:r>
    </w:p>
    <w:p w14:paraId="3E52B8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Если принять во внимание крайнюю напряженность прежних сро</w:t>
      </w:r>
      <w:r w:rsidRPr="00507A31">
        <w:rPr>
          <w:color w:val="000000" w:themeColor="text1"/>
          <w:sz w:val="16"/>
          <w:szCs w:val="16"/>
        </w:rPr>
        <w:softHyphen/>
        <w:t>ков, то новые сроки с уверенностью можно назвать невыполни</w:t>
      </w:r>
      <w:r w:rsidRPr="00507A31">
        <w:rPr>
          <w:color w:val="000000" w:themeColor="text1"/>
          <w:sz w:val="16"/>
          <w:szCs w:val="16"/>
        </w:rPr>
        <w:softHyphen/>
        <w:t>мыми ни по производственным мощностям опытных ваводов и отде</w:t>
      </w:r>
      <w:r w:rsidRPr="00507A31">
        <w:rPr>
          <w:color w:val="000000" w:themeColor="text1"/>
          <w:sz w:val="16"/>
          <w:szCs w:val="16"/>
        </w:rPr>
        <w:softHyphen/>
        <w:t>лов, ни по мощности их Конструкт. Бюро, а короткий срок, остав</w:t>
      </w:r>
      <w:r w:rsidRPr="00507A31">
        <w:rPr>
          <w:color w:val="000000" w:themeColor="text1"/>
          <w:sz w:val="16"/>
          <w:szCs w:val="16"/>
        </w:rPr>
        <w:softHyphen/>
        <w:t>шийся для выполнения плана.затруднитольно укомплектовать шта</w:t>
      </w:r>
      <w:r w:rsidRPr="00507A31">
        <w:rPr>
          <w:color w:val="000000" w:themeColor="text1"/>
          <w:sz w:val="16"/>
          <w:szCs w:val="16"/>
        </w:rPr>
        <w:softHyphen/>
        <w:t>ты Консир. Бюро и невозможно обучить иосвоить новые кадры, не говоря уже о невозможноств в этот же срок у величить производ</w:t>
      </w:r>
      <w:r w:rsidRPr="00507A31">
        <w:rPr>
          <w:color w:val="000000" w:themeColor="text1"/>
          <w:sz w:val="16"/>
          <w:szCs w:val="16"/>
        </w:rPr>
        <w:softHyphen/>
        <w:t>ственные бавы опытных ваводов.</w:t>
      </w:r>
    </w:p>
    <w:p w14:paraId="067407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Особенно же выступает нереальность нового плана УВВС при ее сопоставлени и сроков выпуска опытных моторов в самолетов с этими моторами.</w:t>
      </w:r>
    </w:p>
    <w:p w14:paraId="2C55A0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Если даже допустить невозможное, что опытные мотора будут закончены и предъявлены в установленные планом УВВС сроки, то все-таки самолеты с этими моторами в срок выйти не могут. Например И-9 должен быть предъявлен на государственные испы</w:t>
      </w:r>
      <w:r w:rsidRPr="00507A31">
        <w:rPr>
          <w:color w:val="000000" w:themeColor="text1"/>
          <w:sz w:val="16"/>
          <w:szCs w:val="16"/>
        </w:rPr>
        <w:softHyphen/>
        <w:t>тания 1.3.31 г. с мотором М-33, мотор же М32 по плану выхо</w:t>
      </w:r>
      <w:r w:rsidRPr="00507A31">
        <w:rPr>
          <w:color w:val="000000" w:themeColor="text1"/>
          <w:sz w:val="16"/>
          <w:szCs w:val="16"/>
        </w:rPr>
        <w:softHyphen/>
        <w:t>дит на испытания 1.1.31 г. Между тем как для выпуска самолета на государственные испытания мотора необходим минимум 6-5 месяцев до этого срака.</w:t>
      </w:r>
    </w:p>
    <w:p w14:paraId="6BEDCA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 мотор М~34, выходящий на испытания по плану УВВС 1.1.31 г. должны быть к 1.5.-31 пред "явлены на испыгания мажшмны ТШ-1, Р-8 в 2 экз., МИ-2 и МДР-3, требующие 8 штук моторов М34, а самолет ДИ-3 в 2-х экз. должен быть пред"явлен с этими моторами даже 1.2.31 г., а ДИ-4 в 2 экз. к 1.10.31 г. Таким образом в 31 году потребуется 12 шт. М-34, из которых лишь 2 шт. нп ДИ4 могут быть заменены перестановкой с других ранее вышедших машин.</w:t>
      </w:r>
    </w:p>
    <w:p w14:paraId="1C8D54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самолоты под моторы М-36 план УВВС рекомендует на первое время ставить заграничные моторы подходящих качеств. Тоже можно было бы предложить и по веем указанным выше самолетам, но, как указывалось выше, заграницей, по крайней мере легально, не существует подходящих моторов.</w:t>
      </w:r>
    </w:p>
    <w:p w14:paraId="74F69E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Даже еслж считать, что мотор Рольс-Ройс "Н10* может на худой конец сойти за М-34, то тем ни менее возможность покупки этих моторов исключена - они не продаются аа пределы производящей их страны.</w:t>
      </w:r>
    </w:p>
    <w:p w14:paraId="343B02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осмовании изложенных соображений следует признать невыполнимость и нереальность нового варианта- плана УВВС и остано</w:t>
      </w:r>
      <w:r w:rsidRPr="00507A31">
        <w:rPr>
          <w:color w:val="000000" w:themeColor="text1"/>
          <w:sz w:val="16"/>
          <w:szCs w:val="16"/>
        </w:rPr>
        <w:softHyphen/>
        <w:t>виться на варианте условно согласованном с промышленностью на совещаниях 6 и 10 февраля (351).</w:t>
      </w:r>
    </w:p>
    <w:p w14:paraId="56D20E51" w14:textId="77777777" w:rsidR="00537E5F" w:rsidRPr="00507A31" w:rsidRDefault="00537E5F" w:rsidP="00507A31">
      <w:pPr>
        <w:autoSpaceDE w:val="0"/>
        <w:autoSpaceDN w:val="0"/>
        <w:adjustRightInd w:val="0"/>
        <w:jc w:val="both"/>
        <w:rPr>
          <w:color w:val="000000" w:themeColor="text1"/>
          <w:sz w:val="16"/>
          <w:szCs w:val="16"/>
        </w:rPr>
      </w:pPr>
    </w:p>
    <w:p w14:paraId="537C14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марта 1930 было создано Высшее аэромеханическое училище - потом МАИ (2668).</w:t>
      </w:r>
    </w:p>
    <w:p w14:paraId="5A3286EB" w14:textId="77777777" w:rsidR="00537E5F" w:rsidRPr="00507A31" w:rsidRDefault="00537E5F" w:rsidP="00507A31">
      <w:pPr>
        <w:autoSpaceDE w:val="0"/>
        <w:autoSpaceDN w:val="0"/>
        <w:adjustRightInd w:val="0"/>
        <w:jc w:val="both"/>
        <w:rPr>
          <w:color w:val="000000" w:themeColor="text1"/>
          <w:sz w:val="16"/>
          <w:szCs w:val="16"/>
        </w:rPr>
      </w:pPr>
    </w:p>
    <w:p w14:paraId="5F6EBD2F" w14:textId="77777777" w:rsidR="00E87BC6" w:rsidRPr="00507A31" w:rsidRDefault="00E87BC6" w:rsidP="00507A31">
      <w:pPr>
        <w:jc w:val="both"/>
        <w:rPr>
          <w:color w:val="000000" w:themeColor="text1"/>
          <w:sz w:val="16"/>
          <w:szCs w:val="16"/>
        </w:rPr>
      </w:pPr>
      <w:r w:rsidRPr="00507A31">
        <w:rPr>
          <w:color w:val="000000" w:themeColor="text1"/>
          <w:sz w:val="16"/>
          <w:szCs w:val="16"/>
        </w:rPr>
        <w:t>20 марта 1930. В помещениях мастерских абажурной фабрики на Ольховской улице открылось Высшее аэромеханическое училище (ВАМУ) с мотостроительным, самолетостроительным и дирижаблестроительным отделениями (29 августа того же года переименовано в Московский авиационный институт - МАИ). В 1933 году для него выпоены здания между Волоколамским и Ленинградским шоссе (18725).</w:t>
      </w:r>
    </w:p>
    <w:p w14:paraId="365CAFC8" w14:textId="77777777" w:rsidR="00E87BC6" w:rsidRPr="00507A31" w:rsidRDefault="00E87BC6" w:rsidP="00507A31">
      <w:pPr>
        <w:jc w:val="both"/>
        <w:rPr>
          <w:color w:val="000000" w:themeColor="text1"/>
          <w:sz w:val="16"/>
          <w:szCs w:val="16"/>
        </w:rPr>
      </w:pPr>
    </w:p>
    <w:p w14:paraId="1CD0613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12EB22F" w14:textId="77777777" w:rsidR="00537E5F" w:rsidRPr="00507A31" w:rsidRDefault="00537E5F" w:rsidP="00507A31">
      <w:pPr>
        <w:autoSpaceDE w:val="0"/>
        <w:autoSpaceDN w:val="0"/>
        <w:adjustRightInd w:val="0"/>
        <w:jc w:val="both"/>
        <w:rPr>
          <w:iCs/>
          <w:color w:val="000000" w:themeColor="text1"/>
          <w:sz w:val="16"/>
          <w:szCs w:val="16"/>
        </w:rPr>
      </w:pPr>
    </w:p>
    <w:p w14:paraId="77766C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марта 1930 Папа Римский Пий XI провозгласил "Крестовый поход" против СССР (10687).</w:t>
      </w:r>
    </w:p>
    <w:p w14:paraId="15399387" w14:textId="77777777" w:rsidR="00537E5F" w:rsidRPr="00507A31" w:rsidRDefault="00537E5F" w:rsidP="00507A31">
      <w:pPr>
        <w:autoSpaceDE w:val="0"/>
        <w:autoSpaceDN w:val="0"/>
        <w:adjustRightInd w:val="0"/>
        <w:jc w:val="both"/>
        <w:rPr>
          <w:color w:val="000000" w:themeColor="text1"/>
          <w:sz w:val="16"/>
          <w:szCs w:val="16"/>
        </w:rPr>
      </w:pPr>
    </w:p>
    <w:p w14:paraId="5CDD5BF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31DD5DE" w14:textId="77777777" w:rsidR="00537E5F" w:rsidRPr="00507A31" w:rsidRDefault="00537E5F" w:rsidP="00507A31">
      <w:pPr>
        <w:autoSpaceDE w:val="0"/>
        <w:autoSpaceDN w:val="0"/>
        <w:adjustRightInd w:val="0"/>
        <w:jc w:val="both"/>
        <w:rPr>
          <w:iCs/>
          <w:color w:val="000000" w:themeColor="text1"/>
          <w:sz w:val="16"/>
          <w:szCs w:val="16"/>
        </w:rPr>
      </w:pPr>
    </w:p>
    <w:p w14:paraId="1AA275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марта 1930 АНТ-10 прошел гос. испытания, которые начались 10 марта 1929 (346,47).</w:t>
      </w:r>
    </w:p>
    <w:p w14:paraId="6591C0A2" w14:textId="77777777" w:rsidR="00537E5F" w:rsidRPr="00507A31" w:rsidRDefault="00537E5F" w:rsidP="00507A31">
      <w:pPr>
        <w:autoSpaceDE w:val="0"/>
        <w:autoSpaceDN w:val="0"/>
        <w:adjustRightInd w:val="0"/>
        <w:jc w:val="both"/>
        <w:rPr>
          <w:color w:val="000000" w:themeColor="text1"/>
          <w:sz w:val="16"/>
          <w:szCs w:val="16"/>
        </w:rPr>
      </w:pPr>
    </w:p>
    <w:p w14:paraId="2397FD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марта 1930 был окончательно утвержден макет ТБ-3 (АНТ-6) (92,427).</w:t>
      </w:r>
    </w:p>
    <w:p w14:paraId="18D247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Строительство уже велось.</w:t>
      </w:r>
    </w:p>
    <w:p w14:paraId="55FDFF84" w14:textId="77777777" w:rsidR="00537E5F" w:rsidRPr="00507A31" w:rsidRDefault="00537E5F" w:rsidP="00507A31">
      <w:pPr>
        <w:autoSpaceDE w:val="0"/>
        <w:autoSpaceDN w:val="0"/>
        <w:adjustRightInd w:val="0"/>
        <w:jc w:val="both"/>
        <w:rPr>
          <w:color w:val="000000" w:themeColor="text1"/>
          <w:sz w:val="16"/>
          <w:szCs w:val="16"/>
        </w:rPr>
      </w:pPr>
    </w:p>
    <w:p w14:paraId="0C4053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марта 1930 прошла вторая комиссия, утвердившая макет в целом с рядом изменений по оборудованию. Во всех документах ВВС самолет уже проходил под обозначением ТБ-3. Примерно в это же время Туполев представил на рассмотрение НТК документацию по проекту АНТ-6 с «Конкверорами». Обещанные в проекте данные по многим позициям существенно превосходили заложенные в задании. Так, скорость на высоте 2000 м, по уверениям Туполева, составила бы 215,5-217,5 км/ч, время набора 3000 м не превысит 18 минут, а потолок будет на уровне 4850-5150 м. Единственный параметр задания, который конструкторы не брались удовлетворить - посадочная скорость, которая по расчетам оценивалась в 102-106 км/ч. Заключение НТК гласило: «Эскизный проект самолета ТБ-3 утвердить». Единственное, что вызвало резкое неудовольствие членов НТК - позднее представление документов: самолет-то уже собирают! Заключение дополнили пунктом: "Констатировать недопустимое опаздывание в представлении эскизного проекта со стороны ЦАГИ, вследствие чего внести какие-либо изменения в основные размеры и схему самолета, если бы таковые потребовались бы, НТК не имеет возможности, т.к. самолет уже в основном построен» (8887).</w:t>
      </w:r>
    </w:p>
    <w:p w14:paraId="1AD7F7AF" w14:textId="77777777" w:rsidR="00537E5F" w:rsidRPr="00507A31" w:rsidRDefault="00537E5F" w:rsidP="00507A31">
      <w:pPr>
        <w:autoSpaceDE w:val="0"/>
        <w:autoSpaceDN w:val="0"/>
        <w:adjustRightInd w:val="0"/>
        <w:jc w:val="both"/>
        <w:rPr>
          <w:color w:val="000000" w:themeColor="text1"/>
          <w:sz w:val="16"/>
          <w:szCs w:val="16"/>
        </w:rPr>
      </w:pPr>
    </w:p>
    <w:p w14:paraId="6A45BF8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0D083EB" w14:textId="77777777" w:rsidR="00537E5F" w:rsidRPr="00507A31" w:rsidRDefault="00537E5F" w:rsidP="00507A31">
      <w:pPr>
        <w:autoSpaceDE w:val="0"/>
        <w:autoSpaceDN w:val="0"/>
        <w:adjustRightInd w:val="0"/>
        <w:jc w:val="both"/>
        <w:rPr>
          <w:iCs/>
          <w:color w:val="000000" w:themeColor="text1"/>
          <w:sz w:val="16"/>
          <w:szCs w:val="16"/>
        </w:rPr>
      </w:pPr>
    </w:p>
    <w:p w14:paraId="2A618F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марта 1930 РВС СССР по докладу УММ констатировал катастрофическое положение в выполнении танковой программы по недоделу за 1928/29 г. и по программе 1929/30 г. (10977).</w:t>
      </w:r>
    </w:p>
    <w:p w14:paraId="7BD8BB51" w14:textId="77777777" w:rsidR="00537E5F" w:rsidRPr="00507A31" w:rsidRDefault="00537E5F" w:rsidP="00507A31">
      <w:pPr>
        <w:autoSpaceDE w:val="0"/>
        <w:autoSpaceDN w:val="0"/>
        <w:adjustRightInd w:val="0"/>
        <w:jc w:val="both"/>
        <w:rPr>
          <w:color w:val="000000" w:themeColor="text1"/>
          <w:sz w:val="16"/>
          <w:szCs w:val="16"/>
        </w:rPr>
      </w:pPr>
    </w:p>
    <w:p w14:paraId="5AD2DEFD" w14:textId="77777777" w:rsidR="00D93EF8" w:rsidRPr="00507A31" w:rsidRDefault="00D93EF8" w:rsidP="00507A31">
      <w:pPr>
        <w:pStyle w:val="article-renderblock"/>
        <w:shd w:val="clear" w:color="auto" w:fill="FFFFFF"/>
        <w:spacing w:before="0" w:beforeAutospacing="0" w:after="0" w:afterAutospacing="0"/>
        <w:jc w:val="both"/>
        <w:rPr>
          <w:color w:val="0070C0"/>
          <w:sz w:val="16"/>
          <w:szCs w:val="16"/>
        </w:rPr>
      </w:pPr>
      <w:r w:rsidRPr="00507A31">
        <w:rPr>
          <w:color w:val="0070C0"/>
          <w:sz w:val="16"/>
          <w:szCs w:val="16"/>
        </w:rPr>
        <w:t>21 марта 1930 года Калиновский, всё еще исполнявший за Халепского (тот был в зарубежной поездке) обязанности начальника УММ КА, утвердил заказ на 2 опытных образца Т-19. Предусматривалась возможность сцепки двух танков для преодоления широких траншей. Сроком изготовления машин, а также варианта башни со спаренной установкой пушки с пулеметом, указывался март 1931 года. Итого Т-19 разрабатывался уже 2 года (20842).</w:t>
      </w:r>
    </w:p>
    <w:p w14:paraId="66C175A9" w14:textId="77777777" w:rsidR="00D93EF8" w:rsidRPr="00507A31" w:rsidRDefault="00D93EF8" w:rsidP="00507A31">
      <w:pPr>
        <w:shd w:val="clear" w:color="auto" w:fill="FFFFFF"/>
        <w:jc w:val="both"/>
        <w:rPr>
          <w:color w:val="0070C0"/>
          <w:sz w:val="16"/>
          <w:szCs w:val="16"/>
        </w:rPr>
      </w:pPr>
    </w:p>
    <w:p w14:paraId="44970E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марта, 1-5 июля (комиссия т. Уборевич), 13 сентября 1930 РВС СССР обращал внимание ВСНХ на недопустимо медленный темп в осуществлении строительства среднего танка. Только благодаря энергичному вмешательству РВС и его органа УММ осуществлялось строительство специального цеха на ХПЗ (10977).</w:t>
      </w:r>
    </w:p>
    <w:p w14:paraId="721FE2C1" w14:textId="77777777" w:rsidR="00537E5F" w:rsidRPr="00507A31" w:rsidRDefault="00537E5F" w:rsidP="00507A31">
      <w:pPr>
        <w:autoSpaceDE w:val="0"/>
        <w:autoSpaceDN w:val="0"/>
        <w:adjustRightInd w:val="0"/>
        <w:jc w:val="both"/>
        <w:rPr>
          <w:color w:val="000000" w:themeColor="text1"/>
          <w:sz w:val="16"/>
          <w:szCs w:val="16"/>
        </w:rPr>
      </w:pPr>
    </w:p>
    <w:p w14:paraId="4C4AF1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марта 1930 г. РВС СССР по докладу УММ констатировал катастрофическое положение в выполнении танковой программы по недоделу за 1928/29 г. и по программе 1929/30 г. РВС СССР в своих постановлениях от 21 марта, 1-5 июля (комиссия т. Уборевич), 13 сентября обращал внимание ВСНХ на недопустимо медленный темп в осуществлении строительства среднего танка (11210).</w:t>
      </w:r>
    </w:p>
    <w:p w14:paraId="722D668D" w14:textId="77777777" w:rsidR="00537E5F" w:rsidRPr="00507A31" w:rsidRDefault="00537E5F" w:rsidP="00507A31">
      <w:pPr>
        <w:autoSpaceDE w:val="0"/>
        <w:autoSpaceDN w:val="0"/>
        <w:adjustRightInd w:val="0"/>
        <w:jc w:val="both"/>
        <w:rPr>
          <w:color w:val="000000" w:themeColor="text1"/>
          <w:sz w:val="16"/>
          <w:szCs w:val="16"/>
        </w:rPr>
      </w:pPr>
    </w:p>
    <w:p w14:paraId="52C42310" w14:textId="77777777" w:rsidR="002147A5" w:rsidRPr="00507A31" w:rsidRDefault="002147A5" w:rsidP="00507A31">
      <w:pPr>
        <w:pStyle w:val="rtejustify"/>
        <w:spacing w:before="0" w:after="0"/>
        <w:rPr>
          <w:color w:val="000000" w:themeColor="text1"/>
          <w:sz w:val="16"/>
          <w:szCs w:val="16"/>
        </w:rPr>
      </w:pPr>
      <w:r w:rsidRPr="00507A31">
        <w:rPr>
          <w:color w:val="000000" w:themeColor="text1"/>
          <w:sz w:val="16"/>
          <w:szCs w:val="16"/>
        </w:rPr>
        <w:t xml:space="preserve">21 марта 1930 г. в постановлении РВС СССР констатировалось, что на 1 октября 1929 г. </w:t>
      </w:r>
      <w:r w:rsidRPr="00507A31">
        <w:rPr>
          <w:rStyle w:val="af0"/>
          <w:i w:val="0"/>
          <w:color w:val="000000" w:themeColor="text1"/>
          <w:sz w:val="16"/>
          <w:szCs w:val="16"/>
        </w:rPr>
        <w:t>программа танкостроения</w:t>
      </w:r>
      <w:r w:rsidRPr="00507A31">
        <w:rPr>
          <w:color w:val="000000" w:themeColor="text1"/>
          <w:sz w:val="16"/>
          <w:szCs w:val="16"/>
        </w:rPr>
        <w:t xml:space="preserve"> 1928/29 г. была выполнена только на 20</w:t>
      </w:r>
      <w:r w:rsidRPr="00507A31">
        <w:rPr>
          <w:rStyle w:val="af0"/>
          <w:i w:val="0"/>
          <w:color w:val="000000" w:themeColor="text1"/>
          <w:sz w:val="16"/>
          <w:szCs w:val="16"/>
        </w:rPr>
        <w:t xml:space="preserve">%. </w:t>
      </w:r>
      <w:r w:rsidRPr="00507A31">
        <w:rPr>
          <w:color w:val="000000" w:themeColor="text1"/>
          <w:sz w:val="16"/>
          <w:szCs w:val="16"/>
        </w:rPr>
        <w:t>Только на 20 марта 1930 г. программа была выполнена на 65%, а по запасным частям не выполнена вовсе. Соответственно по исполнению плана 1929/30 г. положение сложилось еще более катастрофическое, т. к. к середине марта 1930 г. не было сдано ни одного танка. Тем не менее Реввоенсовет считал, что материально-технические возможности промышленности позволяли ей выполнить программы и предложил для этого ряд мер. (РГВА. Ф. 4. Оп. 18. Д. 19. Л. 87</w:t>
      </w:r>
      <w:r w:rsidRPr="00507A31">
        <w:rPr>
          <w:color w:val="000000" w:themeColor="text1"/>
          <w:sz w:val="16"/>
          <w:szCs w:val="16"/>
        </w:rPr>
        <w:noBreakHyphen/>
        <w:t>89) (12469).</w:t>
      </w:r>
    </w:p>
    <w:p w14:paraId="4981EFC2" w14:textId="77777777" w:rsidR="002147A5" w:rsidRPr="00507A31" w:rsidRDefault="002147A5" w:rsidP="00507A31">
      <w:pPr>
        <w:jc w:val="both"/>
        <w:rPr>
          <w:color w:val="000000" w:themeColor="text1"/>
          <w:sz w:val="16"/>
          <w:szCs w:val="16"/>
          <w:u w:color="002060"/>
        </w:rPr>
      </w:pPr>
    </w:p>
    <w:p w14:paraId="18D7C23E" w14:textId="77777777" w:rsidR="002147A5" w:rsidRPr="00507A31" w:rsidRDefault="002147A5" w:rsidP="00507A31">
      <w:pPr>
        <w:jc w:val="both"/>
        <w:rPr>
          <w:color w:val="000000" w:themeColor="text1"/>
          <w:sz w:val="16"/>
          <w:szCs w:val="16"/>
          <w:u w:color="002060"/>
        </w:rPr>
      </w:pPr>
      <w:r w:rsidRPr="00507A31">
        <w:rPr>
          <w:color w:val="000000" w:themeColor="text1"/>
          <w:sz w:val="16"/>
          <w:szCs w:val="16"/>
          <w:u w:color="002060"/>
        </w:rPr>
        <w:t>21 марта</w:t>
      </w:r>
      <w:r w:rsidRPr="00507A31">
        <w:rPr>
          <w:color w:val="000000" w:themeColor="text1"/>
          <w:sz w:val="16"/>
          <w:szCs w:val="16"/>
        </w:rPr>
        <w:t xml:space="preserve"> 1930 г</w:t>
      </w:r>
      <w:r w:rsidRPr="00507A31">
        <w:rPr>
          <w:color w:val="000000" w:themeColor="text1"/>
          <w:sz w:val="16"/>
          <w:szCs w:val="16"/>
          <w:u w:color="002060"/>
        </w:rPr>
        <w:t>. Постановление СТО СССР о судостроении на заводах Юга и Дальнего Востока (прот. № 15, п. 9 пр.) (ГА РФ. Ф. 5674. Оп. 1. Д. 41. Л. 57?60) (12415).</w:t>
      </w:r>
    </w:p>
    <w:p w14:paraId="2843730E" w14:textId="77777777" w:rsidR="002147A5" w:rsidRPr="00507A31" w:rsidRDefault="002147A5" w:rsidP="00507A31">
      <w:pPr>
        <w:jc w:val="both"/>
        <w:rPr>
          <w:color w:val="000000" w:themeColor="text1"/>
          <w:sz w:val="16"/>
          <w:szCs w:val="16"/>
          <w:u w:color="002060"/>
        </w:rPr>
      </w:pPr>
    </w:p>
    <w:p w14:paraId="61C2949A" w14:textId="77777777" w:rsidR="00D93EF8" w:rsidRPr="00507A31" w:rsidRDefault="00D93EF8"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0CBBA55" w14:textId="77777777" w:rsidR="00D93EF8" w:rsidRPr="00507A31" w:rsidRDefault="00D93EF8" w:rsidP="00507A31">
      <w:pPr>
        <w:autoSpaceDE w:val="0"/>
        <w:autoSpaceDN w:val="0"/>
        <w:adjustRightInd w:val="0"/>
        <w:jc w:val="both"/>
        <w:rPr>
          <w:iCs/>
          <w:color w:val="000000" w:themeColor="text1"/>
          <w:sz w:val="16"/>
          <w:szCs w:val="16"/>
        </w:rPr>
      </w:pPr>
    </w:p>
    <w:p w14:paraId="32E31338" w14:textId="77777777" w:rsidR="00D93EF8" w:rsidRPr="00507A31" w:rsidRDefault="00D93EF8" w:rsidP="00507A31">
      <w:pPr>
        <w:jc w:val="both"/>
        <w:rPr>
          <w:color w:val="0070C0"/>
          <w:sz w:val="16"/>
          <w:szCs w:val="16"/>
        </w:rPr>
      </w:pPr>
      <w:r w:rsidRPr="00507A31">
        <w:rPr>
          <w:color w:val="0070C0"/>
          <w:sz w:val="16"/>
          <w:szCs w:val="16"/>
        </w:rPr>
        <w:t>21 марта 1930 чилийская армия и военно-морской флот объединяют свою авиацию в чилийские ВВС (20805).</w:t>
      </w:r>
    </w:p>
    <w:p w14:paraId="4C6515E6" w14:textId="77777777" w:rsidR="00D93EF8" w:rsidRPr="00507A31" w:rsidRDefault="00D93EF8" w:rsidP="00507A31">
      <w:pPr>
        <w:jc w:val="both"/>
        <w:rPr>
          <w:color w:val="0070C0"/>
          <w:sz w:val="16"/>
          <w:szCs w:val="16"/>
        </w:rPr>
      </w:pPr>
    </w:p>
    <w:p w14:paraId="0B51FBF4" w14:textId="77777777" w:rsidR="00D93EF8" w:rsidRPr="00507A31" w:rsidRDefault="00D93EF8"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33B6806" w14:textId="77777777" w:rsidR="00D93EF8" w:rsidRPr="00507A31" w:rsidRDefault="00D93EF8" w:rsidP="00507A31">
      <w:pPr>
        <w:autoSpaceDE w:val="0"/>
        <w:autoSpaceDN w:val="0"/>
        <w:adjustRightInd w:val="0"/>
        <w:jc w:val="both"/>
        <w:rPr>
          <w:iCs/>
          <w:color w:val="000000" w:themeColor="text1"/>
          <w:sz w:val="16"/>
          <w:szCs w:val="16"/>
        </w:rPr>
      </w:pPr>
    </w:p>
    <w:p w14:paraId="4506AE80" w14:textId="77777777" w:rsidR="00D93EF8" w:rsidRPr="00507A31" w:rsidRDefault="00D93EF8" w:rsidP="00507A31">
      <w:pPr>
        <w:jc w:val="both"/>
        <w:rPr>
          <w:color w:val="0070C0"/>
          <w:sz w:val="16"/>
          <w:szCs w:val="16"/>
        </w:rPr>
      </w:pPr>
      <w:r w:rsidRPr="00507A31">
        <w:rPr>
          <w:color w:val="0070C0"/>
          <w:sz w:val="16"/>
          <w:szCs w:val="16"/>
        </w:rPr>
        <w:t>22 марта 1930 г. были утверждены ТТТ на тяжелый бронированный штурмовик ТШ-1 (Т.Ш.1) под два двигателя М-34 750 л.с., разработка которого была поруче</w:t>
      </w:r>
      <w:r w:rsidRPr="00507A31">
        <w:rPr>
          <w:color w:val="0070C0"/>
          <w:sz w:val="16"/>
          <w:szCs w:val="16"/>
        </w:rPr>
        <w:softHyphen/>
        <w:t>на ЦАГИ. В силу значительной загруженности конструктор</w:t>
      </w:r>
      <w:r w:rsidRPr="00507A31">
        <w:rPr>
          <w:color w:val="0070C0"/>
          <w:sz w:val="16"/>
          <w:szCs w:val="16"/>
        </w:rPr>
        <w:softHyphen/>
        <w:t>ский отдел ЦАГИ во главе с А.Н. Туполевым предлагал пе</w:t>
      </w:r>
      <w:r w:rsidRPr="00507A31">
        <w:rPr>
          <w:color w:val="0070C0"/>
          <w:sz w:val="16"/>
          <w:szCs w:val="16"/>
        </w:rPr>
        <w:softHyphen/>
        <w:t>ределать в ТШ-1 уже построенный разведчик Р-6. Долгие переговоры с заказчиком затянулись, и, в результате, тяже</w:t>
      </w:r>
      <w:r w:rsidRPr="00507A31">
        <w:rPr>
          <w:color w:val="0070C0"/>
          <w:sz w:val="16"/>
          <w:szCs w:val="16"/>
        </w:rPr>
        <w:softHyphen/>
        <w:t>лый двухмоторный штурмовик построен не был (20362).</w:t>
      </w:r>
    </w:p>
    <w:p w14:paraId="2C613786" w14:textId="77777777" w:rsidR="00D93EF8" w:rsidRPr="00507A31" w:rsidRDefault="00D93EF8" w:rsidP="00507A31">
      <w:pPr>
        <w:shd w:val="clear" w:color="auto" w:fill="FFFFFF"/>
        <w:jc w:val="both"/>
        <w:rPr>
          <w:color w:val="0070C0"/>
          <w:sz w:val="16"/>
          <w:szCs w:val="16"/>
        </w:rPr>
      </w:pPr>
    </w:p>
    <w:p w14:paraId="289BCD0C" w14:textId="77777777" w:rsidR="00D93EF8" w:rsidRPr="00507A31" w:rsidRDefault="00D93EF8" w:rsidP="00507A31">
      <w:pPr>
        <w:jc w:val="both"/>
        <w:rPr>
          <w:color w:val="0070C0"/>
          <w:sz w:val="16"/>
          <w:szCs w:val="16"/>
          <w:lang w:bidi="ru-RU"/>
        </w:rPr>
      </w:pPr>
      <w:r w:rsidRPr="00507A31">
        <w:rPr>
          <w:color w:val="0070C0"/>
          <w:sz w:val="16"/>
          <w:szCs w:val="16"/>
          <w:lang w:bidi="ru-RU"/>
        </w:rPr>
        <w:t>22 марта 1930 на очередном засе</w:t>
      </w:r>
      <w:r w:rsidRPr="00507A31">
        <w:rPr>
          <w:color w:val="0070C0"/>
          <w:sz w:val="16"/>
          <w:szCs w:val="16"/>
          <w:lang w:bidi="ru-RU"/>
        </w:rPr>
        <w:softHyphen/>
        <w:t>дании 1-й секции НТК УВВС ьыли утверждены Тактико-технические требования к тяжелому двухмоторному брониро</w:t>
      </w:r>
      <w:r w:rsidRPr="00507A31">
        <w:rPr>
          <w:color w:val="0070C0"/>
          <w:sz w:val="16"/>
          <w:szCs w:val="16"/>
          <w:lang w:bidi="ru-RU"/>
        </w:rPr>
        <w:softHyphen/>
        <w:t>ванному штурмовику ТШ-1. С учетом результатов обсуждения в 3-й и 4-й сек</w:t>
      </w:r>
      <w:r w:rsidRPr="00507A31">
        <w:rPr>
          <w:color w:val="0070C0"/>
          <w:sz w:val="16"/>
          <w:szCs w:val="16"/>
          <w:lang w:bidi="ru-RU"/>
        </w:rPr>
        <w:softHyphen/>
        <w:t>циях НТК с участием представителей штаба ВВС КА 26 марта и 3 апреля в ТТТ внести некоторые редакционные из</w:t>
      </w:r>
      <w:r w:rsidRPr="00507A31">
        <w:rPr>
          <w:color w:val="0070C0"/>
          <w:sz w:val="16"/>
          <w:szCs w:val="16"/>
          <w:lang w:bidi="ru-RU"/>
        </w:rPr>
        <w:softHyphen/>
        <w:t>менения, после чего материалы напра</w:t>
      </w:r>
      <w:r w:rsidRPr="00507A31">
        <w:rPr>
          <w:color w:val="0070C0"/>
          <w:sz w:val="16"/>
          <w:szCs w:val="16"/>
          <w:lang w:bidi="ru-RU"/>
        </w:rPr>
        <w:softHyphen/>
        <w:t>вили в ЦАГИ. К 30 мая, согласно предва</w:t>
      </w:r>
      <w:r w:rsidRPr="00507A31">
        <w:rPr>
          <w:color w:val="0070C0"/>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507A31">
        <w:rPr>
          <w:color w:val="0070C0"/>
          <w:sz w:val="16"/>
          <w:szCs w:val="16"/>
          <w:lang w:bidi="ru-RU"/>
        </w:rPr>
        <w:softHyphen/>
        <w:t>деления толщин брони, составов стрел</w:t>
      </w:r>
      <w:r w:rsidRPr="00507A31">
        <w:rPr>
          <w:color w:val="0070C0"/>
          <w:sz w:val="16"/>
          <w:szCs w:val="16"/>
          <w:lang w:bidi="ru-RU"/>
        </w:rPr>
        <w:softHyphen/>
        <w:t>ково-пушечного, бомбардировочного и химического вооружения. По заданию на ТШ-1 предполагалось использовать пер</w:t>
      </w:r>
      <w:r w:rsidRPr="00507A31">
        <w:rPr>
          <w:color w:val="0070C0"/>
          <w:sz w:val="16"/>
          <w:szCs w:val="16"/>
          <w:lang w:bidi="ru-RU"/>
        </w:rPr>
        <w:softHyphen/>
        <w:t>спективный отечественный мотор жид</w:t>
      </w:r>
      <w:r w:rsidRPr="00507A31">
        <w:rPr>
          <w:color w:val="0070C0"/>
          <w:sz w:val="16"/>
          <w:szCs w:val="16"/>
          <w:lang w:bidi="ru-RU"/>
        </w:rPr>
        <w:softHyphen/>
        <w:t>костного охлаждения М-34 (750/800 л.с.) конструкции А.А. Микулина, который планировалось выпускать массово.</w:t>
      </w:r>
    </w:p>
    <w:p w14:paraId="7C161621" w14:textId="77777777" w:rsidR="00D93EF8" w:rsidRPr="00507A31" w:rsidRDefault="00D93EF8" w:rsidP="00507A31">
      <w:pPr>
        <w:jc w:val="both"/>
        <w:rPr>
          <w:color w:val="0070C0"/>
          <w:sz w:val="16"/>
          <w:szCs w:val="16"/>
        </w:rPr>
      </w:pPr>
      <w:r w:rsidRPr="00507A31">
        <w:rPr>
          <w:color w:val="0070C0"/>
          <w:sz w:val="16"/>
          <w:szCs w:val="16"/>
          <w:lang w:bidi="ru-RU"/>
        </w:rPr>
        <w:t>По первоначальным требованиям во</w:t>
      </w:r>
      <w:r w:rsidRPr="00507A31">
        <w:rPr>
          <w:color w:val="0070C0"/>
          <w:sz w:val="16"/>
          <w:szCs w:val="16"/>
          <w:lang w:bidi="ru-RU"/>
        </w:rPr>
        <w:softHyphen/>
        <w:t>енные предполагали забронировать ме</w:t>
      </w:r>
      <w:r w:rsidRPr="00507A31">
        <w:rPr>
          <w:color w:val="0070C0"/>
          <w:sz w:val="16"/>
          <w:szCs w:val="16"/>
          <w:lang w:bidi="ru-RU"/>
        </w:rPr>
        <w:softHyphen/>
        <w:t>ста экипажа (два летчика, летнаб и стре</w:t>
      </w:r>
      <w:r w:rsidRPr="00507A31">
        <w:rPr>
          <w:color w:val="0070C0"/>
          <w:sz w:val="16"/>
          <w:szCs w:val="16"/>
          <w:lang w:bidi="ru-RU"/>
        </w:rPr>
        <w:softHyphen/>
        <w:t>лок-радист), моторы и бензобаки таким образом, «чтобы броня защищала от по</w:t>
      </w:r>
      <w:r w:rsidRPr="00507A31">
        <w:rPr>
          <w:color w:val="0070C0"/>
          <w:sz w:val="16"/>
          <w:szCs w:val="16"/>
          <w:lang w:bidi="ru-RU"/>
        </w:rPr>
        <w:softHyphen/>
        <w:t>ражений при стрельбе из пулеметов и винтовок бронепулями 7,62 мм на всех дистанциях».</w:t>
      </w:r>
    </w:p>
    <w:p w14:paraId="765BE8D8" w14:textId="77777777" w:rsidR="00D93EF8" w:rsidRPr="00507A31" w:rsidRDefault="00D93EF8" w:rsidP="00507A31">
      <w:pPr>
        <w:jc w:val="both"/>
        <w:rPr>
          <w:color w:val="0070C0"/>
          <w:sz w:val="16"/>
          <w:szCs w:val="16"/>
        </w:rPr>
      </w:pPr>
      <w:r w:rsidRPr="00507A31">
        <w:rPr>
          <w:color w:val="0070C0"/>
          <w:sz w:val="16"/>
          <w:szCs w:val="16"/>
          <w:lang w:bidi="ru-RU"/>
        </w:rPr>
        <w:t>В частности, «снизу фюзеляжа под ка</w:t>
      </w:r>
      <w:r w:rsidRPr="00507A31">
        <w:rPr>
          <w:color w:val="0070C0"/>
          <w:sz w:val="16"/>
          <w:szCs w:val="16"/>
          <w:lang w:bidi="ru-RU"/>
        </w:rPr>
        <w:softHyphen/>
        <w:t>ждой кабиной устанавливаются постоян</w:t>
      </w:r>
      <w:r w:rsidRPr="00507A31">
        <w:rPr>
          <w:color w:val="0070C0"/>
          <w:sz w:val="16"/>
          <w:szCs w:val="16"/>
          <w:lang w:bidi="ru-RU"/>
        </w:rPr>
        <w:softHyphen/>
        <w:t>ные броневые щиты толщиной 16 мм и площадью около 1 м2, по бокам кабин на фюзеляже устанавливаются съемные бро</w:t>
      </w:r>
      <w:r w:rsidRPr="00507A31">
        <w:rPr>
          <w:color w:val="0070C0"/>
          <w:sz w:val="16"/>
          <w:szCs w:val="16"/>
          <w:lang w:bidi="ru-RU"/>
        </w:rPr>
        <w:softHyphen/>
        <w:t>невые щиты толщиной 8 мм, каждый щит около 1 м2». Такой же щит устанавлива</w:t>
      </w:r>
      <w:r w:rsidRPr="00507A31">
        <w:rPr>
          <w:color w:val="0070C0"/>
          <w:sz w:val="16"/>
          <w:szCs w:val="16"/>
          <w:lang w:bidi="ru-RU"/>
        </w:rPr>
        <w:softHyphen/>
        <w:t>ется в носовой части самолета для предо</w:t>
      </w:r>
      <w:r w:rsidRPr="00507A31">
        <w:rPr>
          <w:color w:val="0070C0"/>
          <w:sz w:val="16"/>
          <w:szCs w:val="16"/>
          <w:lang w:bidi="ru-RU"/>
        </w:rPr>
        <w:softHyphen/>
        <w:t>хранения переднего стрелка от ружейно</w:t>
      </w:r>
      <w:r w:rsidRPr="00507A31">
        <w:rPr>
          <w:color w:val="0070C0"/>
          <w:sz w:val="16"/>
          <w:szCs w:val="16"/>
          <w:lang w:bidi="ru-RU"/>
        </w:rPr>
        <w:softHyphen/>
        <w:t>пулеметного огня и осколков зенитных снарядов спереди. Со стороны задней по</w:t>
      </w:r>
      <w:r w:rsidRPr="00507A31">
        <w:rPr>
          <w:color w:val="0070C0"/>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3F00A639" w14:textId="77777777" w:rsidR="00D93EF8" w:rsidRPr="00507A31" w:rsidRDefault="00D93EF8" w:rsidP="00507A31">
      <w:pPr>
        <w:jc w:val="both"/>
        <w:rPr>
          <w:color w:val="0070C0"/>
          <w:sz w:val="16"/>
          <w:szCs w:val="16"/>
        </w:rPr>
      </w:pPr>
      <w:r w:rsidRPr="00507A31">
        <w:rPr>
          <w:color w:val="0070C0"/>
          <w:sz w:val="16"/>
          <w:szCs w:val="16"/>
          <w:lang w:bidi="ru-RU"/>
        </w:rPr>
        <w:t>Моторы предлагалось защитить бро</w:t>
      </w:r>
      <w:r w:rsidRPr="00507A31">
        <w:rPr>
          <w:color w:val="0070C0"/>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16F5A703" w14:textId="77777777" w:rsidR="00D93EF8" w:rsidRPr="00507A31" w:rsidRDefault="00D93EF8" w:rsidP="00507A31">
      <w:pPr>
        <w:jc w:val="both"/>
        <w:rPr>
          <w:color w:val="0070C0"/>
          <w:sz w:val="16"/>
          <w:szCs w:val="16"/>
        </w:rPr>
      </w:pPr>
      <w:r w:rsidRPr="00507A31">
        <w:rPr>
          <w:color w:val="0070C0"/>
          <w:sz w:val="16"/>
          <w:szCs w:val="16"/>
          <w:lang w:bidi="ru-RU"/>
        </w:rPr>
        <w:t>Общий вес брони достигал 1000 кг. Считалось, что часть брони должна вклю</w:t>
      </w:r>
      <w:r w:rsidRPr="00507A31">
        <w:rPr>
          <w:color w:val="0070C0"/>
          <w:sz w:val="16"/>
          <w:szCs w:val="16"/>
          <w:lang w:bidi="ru-RU"/>
        </w:rPr>
        <w:softHyphen/>
        <w:t>чаться в силовую схему конструкции са</w:t>
      </w:r>
      <w:r w:rsidRPr="00507A31">
        <w:rPr>
          <w:color w:val="0070C0"/>
          <w:sz w:val="16"/>
          <w:szCs w:val="16"/>
          <w:lang w:bidi="ru-RU"/>
        </w:rPr>
        <w:softHyphen/>
        <w:t>молета - «идти в счет веса конструкции», а съемная часть брони - «идти в счет веса горючего».</w:t>
      </w:r>
    </w:p>
    <w:p w14:paraId="6914CA72" w14:textId="77777777" w:rsidR="00D93EF8" w:rsidRPr="00507A31" w:rsidRDefault="00D93EF8" w:rsidP="00507A31">
      <w:pPr>
        <w:jc w:val="both"/>
        <w:rPr>
          <w:color w:val="0070C0"/>
          <w:sz w:val="16"/>
          <w:szCs w:val="16"/>
        </w:rPr>
      </w:pPr>
      <w:r w:rsidRPr="00507A31">
        <w:rPr>
          <w:color w:val="0070C0"/>
          <w:sz w:val="16"/>
          <w:szCs w:val="16"/>
          <w:lang w:bidi="ru-RU"/>
        </w:rPr>
        <w:t>Повышение боевой живучести само</w:t>
      </w:r>
      <w:r w:rsidRPr="00507A31">
        <w:rPr>
          <w:color w:val="0070C0"/>
          <w:sz w:val="16"/>
          <w:szCs w:val="16"/>
          <w:lang w:bidi="ru-RU"/>
        </w:rPr>
        <w:softHyphen/>
        <w:t>лета, помимо бронирования, предпола</w:t>
      </w:r>
      <w:r w:rsidRPr="00507A31">
        <w:rPr>
          <w:color w:val="0070C0"/>
          <w:sz w:val="16"/>
          <w:szCs w:val="16"/>
          <w:lang w:bidi="ru-RU"/>
        </w:rPr>
        <w:softHyphen/>
        <w:t>галось обеспечить и за счет применения цельнометаллической конструкции, кото</w:t>
      </w:r>
      <w:r w:rsidRPr="00507A31">
        <w:rPr>
          <w:color w:val="0070C0"/>
          <w:sz w:val="16"/>
          <w:szCs w:val="16"/>
          <w:lang w:bidi="ru-RU"/>
        </w:rPr>
        <w:softHyphen/>
        <w:t>рая «должна стремиться к максимальному обеспечению сохранения свойств само</w:t>
      </w:r>
      <w:r w:rsidRPr="00507A31">
        <w:rPr>
          <w:color w:val="0070C0"/>
          <w:sz w:val="16"/>
          <w:szCs w:val="16"/>
          <w:lang w:bidi="ru-RU"/>
        </w:rPr>
        <w:softHyphen/>
        <w:t>лета после попадания в небронирован</w:t>
      </w:r>
      <w:r w:rsidRPr="00507A31">
        <w:rPr>
          <w:color w:val="0070C0"/>
          <w:sz w:val="16"/>
          <w:szCs w:val="16"/>
          <w:lang w:bidi="ru-RU"/>
        </w:rPr>
        <w:softHyphen/>
        <w:t>ные участки пуль простых, зажигательных и трассировочных». С этой же целью кон</w:t>
      </w:r>
      <w:r w:rsidRPr="00507A31">
        <w:rPr>
          <w:color w:val="0070C0"/>
          <w:sz w:val="16"/>
          <w:szCs w:val="16"/>
          <w:lang w:bidi="ru-RU"/>
        </w:rPr>
        <w:softHyphen/>
        <w:t>струкция крыла должна быть многолонже</w:t>
      </w:r>
      <w:r w:rsidRPr="00507A31">
        <w:rPr>
          <w:color w:val="0070C0"/>
          <w:sz w:val="16"/>
          <w:szCs w:val="16"/>
          <w:lang w:bidi="ru-RU"/>
        </w:rPr>
        <w:softHyphen/>
        <w:t>ронной, «проводки управления рулем вы</w:t>
      </w:r>
      <w:r w:rsidRPr="00507A31">
        <w:rPr>
          <w:color w:val="0070C0"/>
          <w:sz w:val="16"/>
          <w:szCs w:val="16"/>
          <w:lang w:bidi="ru-RU"/>
        </w:rPr>
        <w:softHyphen/>
        <w:t>соты и направления должны иметь двой</w:t>
      </w:r>
      <w:r w:rsidRPr="00507A31">
        <w:rPr>
          <w:color w:val="0070C0"/>
          <w:sz w:val="16"/>
          <w:szCs w:val="16"/>
          <w:lang w:bidi="ru-RU"/>
        </w:rPr>
        <w:softHyphen/>
        <w:t>ные магистрали, обеспечивающие управ</w:t>
      </w:r>
      <w:r w:rsidRPr="00507A31">
        <w:rPr>
          <w:color w:val="0070C0"/>
          <w:sz w:val="16"/>
          <w:szCs w:val="16"/>
          <w:lang w:bidi="ru-RU"/>
        </w:rPr>
        <w:softHyphen/>
        <w:t>ляемость самолета при перебитии одной из них», а «проводка управления элеро</w:t>
      </w:r>
      <w:r w:rsidRPr="00507A31">
        <w:rPr>
          <w:color w:val="0070C0"/>
          <w:sz w:val="16"/>
          <w:szCs w:val="16"/>
          <w:lang w:bidi="ru-RU"/>
        </w:rPr>
        <w:softHyphen/>
        <w:t>нами должна обеспечить отключение од</w:t>
      </w:r>
      <w:r w:rsidRPr="00507A31">
        <w:rPr>
          <w:color w:val="0070C0"/>
          <w:sz w:val="16"/>
          <w:szCs w:val="16"/>
          <w:lang w:bidi="ru-RU"/>
        </w:rPr>
        <w:softHyphen/>
        <w:t>ного из них при его поражении».</w:t>
      </w:r>
    </w:p>
    <w:p w14:paraId="5DA765A2" w14:textId="77777777" w:rsidR="00D93EF8" w:rsidRPr="00507A31" w:rsidRDefault="00D93EF8" w:rsidP="00507A31">
      <w:pPr>
        <w:jc w:val="both"/>
        <w:rPr>
          <w:color w:val="0070C0"/>
          <w:sz w:val="16"/>
          <w:szCs w:val="16"/>
        </w:rPr>
      </w:pPr>
      <w:r w:rsidRPr="00507A31">
        <w:rPr>
          <w:color w:val="0070C0"/>
          <w:sz w:val="16"/>
          <w:szCs w:val="16"/>
          <w:lang w:bidi="ru-RU"/>
        </w:rPr>
        <w:t>В обязательном порядке «кабины эки</w:t>
      </w:r>
      <w:r w:rsidRPr="00507A31">
        <w:rPr>
          <w:color w:val="0070C0"/>
          <w:sz w:val="16"/>
          <w:szCs w:val="16"/>
          <w:lang w:bidi="ru-RU"/>
        </w:rPr>
        <w:softHyphen/>
        <w:t>пажа должны быть отделены от бензоба</w:t>
      </w:r>
      <w:r w:rsidRPr="00507A31">
        <w:rPr>
          <w:color w:val="0070C0"/>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507A31">
        <w:rPr>
          <w:color w:val="0070C0"/>
          <w:sz w:val="16"/>
          <w:szCs w:val="16"/>
          <w:lang w:bidi="ru-RU"/>
        </w:rPr>
        <w:softHyphen/>
        <w:t>дый мотор предполагалось иметь не ме</w:t>
      </w:r>
      <w:r w:rsidRPr="00507A31">
        <w:rPr>
          <w:color w:val="0070C0"/>
          <w:sz w:val="16"/>
          <w:szCs w:val="16"/>
          <w:lang w:bidi="ru-RU"/>
        </w:rPr>
        <w:softHyphen/>
        <w:t>нее четырех таких баков).</w:t>
      </w:r>
    </w:p>
    <w:p w14:paraId="79F2D91B" w14:textId="77777777" w:rsidR="00D93EF8" w:rsidRPr="00507A31" w:rsidRDefault="00D93EF8" w:rsidP="00507A31">
      <w:pPr>
        <w:jc w:val="both"/>
        <w:rPr>
          <w:color w:val="0070C0"/>
          <w:sz w:val="16"/>
          <w:szCs w:val="16"/>
        </w:rPr>
      </w:pPr>
      <w:r w:rsidRPr="00507A31">
        <w:rPr>
          <w:color w:val="0070C0"/>
          <w:sz w:val="16"/>
          <w:szCs w:val="16"/>
          <w:lang w:bidi="ru-RU"/>
        </w:rPr>
        <w:t>Планировалось, что самолет будет иметь двойное управление («с левого и правого рабочих мест экипажа»), хоро</w:t>
      </w:r>
      <w:r w:rsidRPr="00507A31">
        <w:rPr>
          <w:color w:val="0070C0"/>
          <w:sz w:val="16"/>
          <w:szCs w:val="16"/>
          <w:lang w:bidi="ru-RU"/>
        </w:rPr>
        <w:softHyphen/>
        <w:t>ший обзор летчикам («как в бок, так впе</w:t>
      </w:r>
      <w:r w:rsidRPr="00507A31">
        <w:rPr>
          <w:color w:val="0070C0"/>
          <w:sz w:val="16"/>
          <w:szCs w:val="16"/>
          <w:lang w:bidi="ru-RU"/>
        </w:rPr>
        <w:softHyphen/>
        <w:t>ред и вниз»), тормозные колеса («с от</w:t>
      </w:r>
      <w:r w:rsidRPr="00507A31">
        <w:rPr>
          <w:color w:val="0070C0"/>
          <w:sz w:val="16"/>
          <w:szCs w:val="16"/>
          <w:lang w:bidi="ru-RU"/>
        </w:rPr>
        <w:softHyphen/>
        <w:t>дельной проводкой на каждое колесо и с механизмом, предохраняющим само</w:t>
      </w:r>
      <w:r w:rsidRPr="00507A31">
        <w:rPr>
          <w:color w:val="0070C0"/>
          <w:sz w:val="16"/>
          <w:szCs w:val="16"/>
          <w:lang w:bidi="ru-RU"/>
        </w:rPr>
        <w:softHyphen/>
        <w:t>лет от капотажа»), специальные глушители для бесшумного полета.</w:t>
      </w:r>
    </w:p>
    <w:p w14:paraId="747FD82B" w14:textId="77777777" w:rsidR="00D93EF8" w:rsidRPr="00507A31" w:rsidRDefault="00D93EF8" w:rsidP="00507A31">
      <w:pPr>
        <w:jc w:val="both"/>
        <w:rPr>
          <w:color w:val="0070C0"/>
          <w:sz w:val="16"/>
          <w:szCs w:val="16"/>
        </w:rPr>
      </w:pPr>
      <w:r w:rsidRPr="00507A31">
        <w:rPr>
          <w:color w:val="0070C0"/>
          <w:sz w:val="16"/>
          <w:szCs w:val="16"/>
          <w:lang w:bidi="ru-RU"/>
        </w:rPr>
        <w:t>Самолет должен был продолжать го</w:t>
      </w:r>
      <w:r w:rsidRPr="00507A31">
        <w:rPr>
          <w:color w:val="0070C0"/>
          <w:sz w:val="16"/>
          <w:szCs w:val="16"/>
          <w:lang w:bidi="ru-RU"/>
        </w:rPr>
        <w:softHyphen/>
        <w:t>ризонтальный полет при одном работаю</w:t>
      </w:r>
      <w:r w:rsidRPr="00507A31">
        <w:rPr>
          <w:color w:val="0070C0"/>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6794D118" w14:textId="77777777" w:rsidR="00D93EF8" w:rsidRPr="00507A31" w:rsidRDefault="00D93EF8" w:rsidP="00507A31">
      <w:pPr>
        <w:jc w:val="both"/>
        <w:rPr>
          <w:color w:val="0070C0"/>
          <w:sz w:val="16"/>
          <w:szCs w:val="16"/>
        </w:rPr>
      </w:pPr>
      <w:r w:rsidRPr="00507A31">
        <w:rPr>
          <w:color w:val="0070C0"/>
          <w:sz w:val="16"/>
          <w:szCs w:val="16"/>
          <w:lang w:bidi="ru-RU"/>
        </w:rPr>
        <w:t>Требовалось, чтобы самолет обладал продольной устойчивостью «на всех ре</w:t>
      </w:r>
      <w:r w:rsidRPr="00507A31">
        <w:rPr>
          <w:color w:val="0070C0"/>
          <w:sz w:val="16"/>
          <w:szCs w:val="16"/>
          <w:lang w:bidi="ru-RU"/>
        </w:rPr>
        <w:softHyphen/>
        <w:t>жимах от крутого планирования до по</w:t>
      </w:r>
      <w:r w:rsidRPr="00507A31">
        <w:rPr>
          <w:color w:val="0070C0"/>
          <w:sz w:val="16"/>
          <w:szCs w:val="16"/>
          <w:lang w:bidi="ru-RU"/>
        </w:rPr>
        <w:softHyphen/>
        <w:t>садочного угла для всех присущих ему вариантов нагрузки», а также попереч</w:t>
      </w:r>
      <w:r w:rsidRPr="00507A31">
        <w:rPr>
          <w:color w:val="0070C0"/>
          <w:sz w:val="16"/>
          <w:szCs w:val="16"/>
          <w:lang w:bidi="ru-RU"/>
        </w:rPr>
        <w:softHyphen/>
        <w:t>ной и путевой устойчивостью «на всех скоростях от посадочной до крутого планирования».</w:t>
      </w:r>
    </w:p>
    <w:p w14:paraId="53268013" w14:textId="77777777" w:rsidR="00D93EF8" w:rsidRPr="00507A31" w:rsidRDefault="00D93EF8" w:rsidP="00507A31">
      <w:pPr>
        <w:jc w:val="both"/>
        <w:rPr>
          <w:color w:val="0070C0"/>
          <w:sz w:val="16"/>
          <w:szCs w:val="16"/>
        </w:rPr>
      </w:pPr>
      <w:r w:rsidRPr="00507A31">
        <w:rPr>
          <w:color w:val="0070C0"/>
          <w:sz w:val="16"/>
          <w:szCs w:val="16"/>
          <w:lang w:bidi="ru-RU"/>
        </w:rPr>
        <w:t>При выполнении всех фигур пило</w:t>
      </w:r>
      <w:r w:rsidRPr="00507A31">
        <w:rPr>
          <w:color w:val="0070C0"/>
          <w:sz w:val="16"/>
          <w:szCs w:val="16"/>
          <w:lang w:bidi="ru-RU"/>
        </w:rPr>
        <w:softHyphen/>
        <w:t>тажа («присущих данному самолету») на высоте 1000 м нагрузка в канале управ</w:t>
      </w:r>
      <w:r w:rsidRPr="00507A31">
        <w:rPr>
          <w:color w:val="0070C0"/>
          <w:sz w:val="16"/>
          <w:szCs w:val="16"/>
          <w:lang w:bidi="ru-RU"/>
        </w:rPr>
        <w:softHyphen/>
        <w:t>ления рулем высоты ограничивалась 6 кг, элеронами - 4 кг (штурвальное управле</w:t>
      </w:r>
      <w:r w:rsidRPr="00507A31">
        <w:rPr>
          <w:color w:val="0070C0"/>
          <w:sz w:val="16"/>
          <w:szCs w:val="16"/>
          <w:lang w:bidi="ru-RU"/>
        </w:rPr>
        <w:softHyphen/>
        <w:t>ние), и рулем поворота (ножное управле</w:t>
      </w:r>
      <w:r w:rsidRPr="00507A31">
        <w:rPr>
          <w:color w:val="0070C0"/>
          <w:sz w:val="16"/>
          <w:szCs w:val="16"/>
          <w:lang w:bidi="ru-RU"/>
        </w:rPr>
        <w:softHyphen/>
        <w:t>ние) - 8 кг.</w:t>
      </w:r>
    </w:p>
    <w:p w14:paraId="070C4A7F" w14:textId="77777777" w:rsidR="00D93EF8" w:rsidRPr="00507A31" w:rsidRDefault="00D93EF8" w:rsidP="00507A31">
      <w:pPr>
        <w:jc w:val="both"/>
        <w:rPr>
          <w:color w:val="0070C0"/>
          <w:sz w:val="16"/>
          <w:szCs w:val="16"/>
        </w:rPr>
      </w:pPr>
      <w:r w:rsidRPr="00507A31">
        <w:rPr>
          <w:color w:val="0070C0"/>
          <w:sz w:val="16"/>
          <w:szCs w:val="16"/>
          <w:lang w:bidi="ru-RU"/>
        </w:rPr>
        <w:t>Посадочная скорость устанавливалась в пределах 90 км/ч. Пробег при использо</w:t>
      </w:r>
      <w:r w:rsidRPr="00507A31">
        <w:rPr>
          <w:color w:val="0070C0"/>
          <w:sz w:val="16"/>
          <w:szCs w:val="16"/>
          <w:lang w:bidi="ru-RU"/>
        </w:rPr>
        <w:softHyphen/>
        <w:t>вании тормозов не более 80 м, без тормо</w:t>
      </w:r>
      <w:r w:rsidRPr="00507A31">
        <w:rPr>
          <w:color w:val="0070C0"/>
          <w:sz w:val="16"/>
          <w:szCs w:val="16"/>
          <w:lang w:bidi="ru-RU"/>
        </w:rPr>
        <w:softHyphen/>
        <w:t>зов - 200 м. Разбег - не более 150 м. Раз</w:t>
      </w:r>
      <w:r w:rsidRPr="00507A31">
        <w:rPr>
          <w:color w:val="0070C0"/>
          <w:sz w:val="16"/>
          <w:szCs w:val="16"/>
          <w:lang w:bidi="ru-RU"/>
        </w:rPr>
        <w:softHyphen/>
        <w:t>бег и пробег должны быть устойчивыми без тенденции к резким разворотам.</w:t>
      </w:r>
    </w:p>
    <w:p w14:paraId="7D92ABB2" w14:textId="77777777" w:rsidR="00D93EF8" w:rsidRPr="00507A31" w:rsidRDefault="00D93EF8" w:rsidP="00507A31">
      <w:pPr>
        <w:jc w:val="both"/>
        <w:rPr>
          <w:color w:val="0070C0"/>
          <w:sz w:val="16"/>
          <w:szCs w:val="16"/>
        </w:rPr>
      </w:pPr>
      <w:r w:rsidRPr="00507A31">
        <w:rPr>
          <w:color w:val="0070C0"/>
          <w:sz w:val="16"/>
          <w:szCs w:val="16"/>
          <w:lang w:bidi="ru-RU"/>
        </w:rPr>
        <w:t>Стрелково-пушечное вооружение включало динамореактивную (безоткат</w:t>
      </w:r>
      <w:r w:rsidRPr="00507A31">
        <w:rPr>
          <w:color w:val="0070C0"/>
          <w:sz w:val="16"/>
          <w:szCs w:val="16"/>
          <w:lang w:bidi="ru-RU"/>
        </w:rPr>
        <w:softHyphen/>
        <w:t>ную) пушку калибра 76,2 мм конструк</w:t>
      </w:r>
      <w:r w:rsidRPr="00507A31">
        <w:rPr>
          <w:color w:val="0070C0"/>
          <w:sz w:val="16"/>
          <w:szCs w:val="16"/>
          <w:lang w:bidi="ru-RU"/>
        </w:rPr>
        <w:softHyphen/>
        <w:t>ции Л.В. Курчевского (боекомплект 20 па</w:t>
      </w:r>
      <w:r w:rsidRPr="00507A31">
        <w:rPr>
          <w:color w:val="0070C0"/>
          <w:sz w:val="16"/>
          <w:szCs w:val="16"/>
          <w:lang w:bidi="ru-RU"/>
        </w:rPr>
        <w:softHyphen/>
        <w:t>трон), четыре неподвижных пулемета ПВ-1 в крыле (1000 патрон), две под</w:t>
      </w:r>
      <w:r w:rsidRPr="00507A31">
        <w:rPr>
          <w:color w:val="0070C0"/>
          <w:sz w:val="16"/>
          <w:szCs w:val="16"/>
          <w:lang w:bidi="ru-RU"/>
        </w:rPr>
        <w:softHyphen/>
        <w:t>вижные спарки пулеметов ДА на турелях ТУР-10 и ТУР-8 в носовой кабине у лет- наба и задней стрелка-радиста (по 24 ма</w:t>
      </w:r>
      <w:r w:rsidRPr="00507A31">
        <w:rPr>
          <w:color w:val="0070C0"/>
          <w:sz w:val="16"/>
          <w:szCs w:val="16"/>
          <w:lang w:bidi="ru-RU"/>
        </w:rPr>
        <w:softHyphen/>
        <w:t>газина на 63 патрон каждый).</w:t>
      </w:r>
    </w:p>
    <w:p w14:paraId="7ED1C964" w14:textId="77777777" w:rsidR="00D93EF8" w:rsidRPr="00507A31" w:rsidRDefault="00D93EF8" w:rsidP="00507A31">
      <w:pPr>
        <w:jc w:val="both"/>
        <w:rPr>
          <w:color w:val="0070C0"/>
          <w:sz w:val="16"/>
          <w:szCs w:val="16"/>
        </w:rPr>
      </w:pPr>
      <w:r w:rsidRPr="00507A31">
        <w:rPr>
          <w:color w:val="0070C0"/>
          <w:sz w:val="16"/>
          <w:szCs w:val="16"/>
          <w:lang w:bidi="ru-RU"/>
        </w:rPr>
        <w:t>Бомбовая нагрузка достигала 1000</w:t>
      </w:r>
      <w:r w:rsidRPr="00507A31">
        <w:rPr>
          <w:color w:val="0070C0"/>
          <w:sz w:val="16"/>
          <w:szCs w:val="16"/>
          <w:lang w:bidi="ru-RU"/>
        </w:rPr>
        <w:softHyphen/>
        <w:t>1500 кг (как мелких, так и крупных ка</w:t>
      </w:r>
      <w:r w:rsidRPr="00507A31">
        <w:rPr>
          <w:color w:val="0070C0"/>
          <w:sz w:val="16"/>
          <w:szCs w:val="16"/>
          <w:lang w:bidi="ru-RU"/>
        </w:rPr>
        <w:softHyphen/>
        <w:t>либров - от 2 кг до 250 кг). Бомбы кали</w:t>
      </w:r>
      <w:r w:rsidRPr="00507A31">
        <w:rPr>
          <w:color w:val="0070C0"/>
          <w:sz w:val="16"/>
          <w:szCs w:val="16"/>
          <w:lang w:bidi="ru-RU"/>
        </w:rPr>
        <w:softHyphen/>
        <w:t>бров 2 и 10 кг загружались в специаль</w:t>
      </w:r>
      <w:r w:rsidRPr="00507A31">
        <w:rPr>
          <w:color w:val="0070C0"/>
          <w:sz w:val="16"/>
          <w:szCs w:val="16"/>
          <w:lang w:bidi="ru-RU"/>
        </w:rPr>
        <w:softHyphen/>
        <w:t>ные кассеты внутри фюзеляжа и в крыле, бомбы калибра 50 кг «желательно разме</w:t>
      </w:r>
      <w:r w:rsidRPr="00507A31">
        <w:rPr>
          <w:color w:val="0070C0"/>
          <w:sz w:val="16"/>
          <w:szCs w:val="16"/>
          <w:lang w:bidi="ru-RU"/>
        </w:rPr>
        <w:softHyphen/>
        <w:t>стить в кассетах», а бомбы калибра 100 и 250 кг подвешивались на внешних держа</w:t>
      </w:r>
      <w:r w:rsidRPr="00507A31">
        <w:rPr>
          <w:color w:val="0070C0"/>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507A31">
        <w:rPr>
          <w:color w:val="0070C0"/>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507A31">
        <w:rPr>
          <w:color w:val="0070C0"/>
          <w:sz w:val="16"/>
          <w:szCs w:val="16"/>
          <w:lang w:bidi="ru-RU"/>
        </w:rPr>
        <w:softHyphen/>
        <w:t>бров. Сброс бомб - одиночно и сериями.</w:t>
      </w:r>
    </w:p>
    <w:p w14:paraId="5127F9BD" w14:textId="77777777" w:rsidR="00D93EF8" w:rsidRPr="00507A31" w:rsidRDefault="00D93EF8" w:rsidP="00507A31">
      <w:pPr>
        <w:jc w:val="both"/>
        <w:rPr>
          <w:color w:val="0070C0"/>
          <w:sz w:val="16"/>
          <w:szCs w:val="16"/>
        </w:rPr>
      </w:pPr>
      <w:r w:rsidRPr="00507A31">
        <w:rPr>
          <w:color w:val="0070C0"/>
          <w:sz w:val="16"/>
          <w:szCs w:val="16"/>
          <w:lang w:bidi="ru-RU"/>
        </w:rPr>
        <w:t>Вместо бомб под крылом допускалась подвеска выливных, дымовых и зажига</w:t>
      </w:r>
      <w:r w:rsidRPr="00507A31">
        <w:rPr>
          <w:color w:val="0070C0"/>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05A49D9B" w14:textId="77777777" w:rsidR="00D93EF8" w:rsidRPr="00507A31" w:rsidRDefault="00D93EF8" w:rsidP="00507A31">
      <w:pPr>
        <w:jc w:val="both"/>
        <w:rPr>
          <w:color w:val="0070C0"/>
          <w:sz w:val="16"/>
          <w:szCs w:val="16"/>
        </w:rPr>
      </w:pPr>
      <w:r w:rsidRPr="00507A31">
        <w:rPr>
          <w:color w:val="0070C0"/>
          <w:sz w:val="16"/>
          <w:szCs w:val="16"/>
          <w:lang w:bidi="ru-RU"/>
        </w:rPr>
        <w:t>Динамореактивную пушку Кручевского предполагалось устанавливать под углом 13° вперед-вниз к оси само</w:t>
      </w:r>
      <w:r w:rsidRPr="00507A31">
        <w:rPr>
          <w:color w:val="0070C0"/>
          <w:sz w:val="16"/>
          <w:szCs w:val="16"/>
          <w:lang w:bidi="ru-RU"/>
        </w:rPr>
        <w:softHyphen/>
        <w:t>лета для стрельбы по наземным целям. Стрельба велась летчиком.</w:t>
      </w:r>
    </w:p>
    <w:p w14:paraId="173F03E6" w14:textId="77777777" w:rsidR="00D93EF8" w:rsidRPr="00507A31" w:rsidRDefault="00D93EF8" w:rsidP="00507A31">
      <w:pPr>
        <w:jc w:val="both"/>
        <w:rPr>
          <w:color w:val="0070C0"/>
          <w:sz w:val="16"/>
          <w:szCs w:val="16"/>
        </w:rPr>
      </w:pPr>
      <w:r w:rsidRPr="00507A31">
        <w:rPr>
          <w:color w:val="0070C0"/>
          <w:sz w:val="16"/>
          <w:szCs w:val="16"/>
          <w:lang w:bidi="ru-RU"/>
        </w:rPr>
        <w:t>Общий вес полезной нагрузки до</w:t>
      </w:r>
      <w:r w:rsidRPr="00507A31">
        <w:rPr>
          <w:color w:val="0070C0"/>
          <w:sz w:val="16"/>
          <w:szCs w:val="16"/>
          <w:lang w:bidi="ru-RU"/>
        </w:rPr>
        <w:softHyphen/>
        <w:t>стигал 3790 кг. Это было слишком много. По расчетам специалистов ЦАГИ полет</w:t>
      </w:r>
      <w:r w:rsidRPr="00507A31">
        <w:rPr>
          <w:color w:val="0070C0"/>
          <w:sz w:val="16"/>
          <w:szCs w:val="16"/>
          <w:lang w:bidi="ru-RU"/>
        </w:rPr>
        <w:softHyphen/>
        <w:t>ный вес самолета в этом случае составлял 7,5-8,0 тонн. При таком весе и соответст</w:t>
      </w:r>
      <w:r w:rsidRPr="00507A31">
        <w:rPr>
          <w:color w:val="0070C0"/>
          <w:sz w:val="16"/>
          <w:szCs w:val="16"/>
          <w:lang w:bidi="ru-RU"/>
        </w:rPr>
        <w:softHyphen/>
        <w:t>вующей размерности машины «ожидать хорошей маневренности и скорости не</w:t>
      </w:r>
      <w:r w:rsidRPr="00507A31">
        <w:rPr>
          <w:color w:val="0070C0"/>
          <w:sz w:val="16"/>
          <w:szCs w:val="16"/>
          <w:lang w:bidi="ru-RU"/>
        </w:rPr>
        <w:softHyphen/>
        <w:t>возможно, тем более что для удовлетво</w:t>
      </w:r>
      <w:r w:rsidRPr="00507A31">
        <w:rPr>
          <w:color w:val="0070C0"/>
          <w:sz w:val="16"/>
          <w:szCs w:val="16"/>
          <w:lang w:bidi="ru-RU"/>
        </w:rPr>
        <w:softHyphen/>
        <w:t>рения тех требований в смысле скорости потребовались бы два мотора по 1250</w:t>
      </w:r>
      <w:r w:rsidRPr="00507A31">
        <w:rPr>
          <w:color w:val="0070C0"/>
          <w:sz w:val="16"/>
          <w:szCs w:val="16"/>
          <w:lang w:bidi="ru-RU"/>
        </w:rPr>
        <w:softHyphen/>
        <w:t>1300 л.с., каковых в данное время ни у нас, ни заграницей не существует». Сле</w:t>
      </w:r>
      <w:r w:rsidRPr="00507A31">
        <w:rPr>
          <w:color w:val="0070C0"/>
          <w:sz w:val="16"/>
          <w:szCs w:val="16"/>
          <w:lang w:bidi="ru-RU"/>
        </w:rPr>
        <w:softHyphen/>
        <w:t>довало уменьшить вес общей нагрузки как минимум на 1500 кг.</w:t>
      </w:r>
    </w:p>
    <w:p w14:paraId="6785580F" w14:textId="77777777" w:rsidR="00D93EF8" w:rsidRPr="00507A31" w:rsidRDefault="00D93EF8" w:rsidP="00507A31">
      <w:pPr>
        <w:jc w:val="both"/>
        <w:rPr>
          <w:color w:val="0070C0"/>
          <w:sz w:val="16"/>
          <w:szCs w:val="16"/>
        </w:rPr>
      </w:pPr>
      <w:r w:rsidRPr="00507A31">
        <w:rPr>
          <w:color w:val="0070C0"/>
          <w:sz w:val="16"/>
          <w:szCs w:val="16"/>
          <w:lang w:bidi="ru-RU"/>
        </w:rPr>
        <w:lastRenderedPageBreak/>
        <w:t>Уточненные требования к самолету ТШ-1 предполагали два варианта брони</w:t>
      </w:r>
      <w:r w:rsidRPr="00507A31">
        <w:rPr>
          <w:color w:val="0070C0"/>
          <w:sz w:val="16"/>
          <w:szCs w:val="16"/>
          <w:lang w:bidi="ru-RU"/>
        </w:rPr>
        <w:softHyphen/>
        <w:t>рования. По первому варианту броней за</w:t>
      </w:r>
      <w:r w:rsidRPr="00507A31">
        <w:rPr>
          <w:color w:val="0070C0"/>
          <w:sz w:val="16"/>
          <w:szCs w:val="16"/>
          <w:lang w:bidi="ru-RU"/>
        </w:rPr>
        <w:softHyphen/>
        <w:t>щищались места размещения членов эки</w:t>
      </w:r>
      <w:r w:rsidRPr="00507A31">
        <w:rPr>
          <w:color w:val="0070C0"/>
          <w:sz w:val="16"/>
          <w:szCs w:val="16"/>
          <w:lang w:bidi="ru-RU"/>
        </w:rPr>
        <w:softHyphen/>
        <w:t>пажа и моторы (670 кг не работающей брони и 360 кг брони «в счет конструк</w:t>
      </w:r>
      <w:r w:rsidRPr="00507A31">
        <w:rPr>
          <w:color w:val="0070C0"/>
          <w:sz w:val="16"/>
          <w:szCs w:val="16"/>
          <w:lang w:bidi="ru-RU"/>
        </w:rPr>
        <w:softHyphen/>
        <w:t>ции самолета»), а по второму варианту - только места экипажа (420 кг брони и 150 кг «в счет конструкции»).</w:t>
      </w:r>
    </w:p>
    <w:p w14:paraId="0190188F" w14:textId="77777777" w:rsidR="00D93EF8" w:rsidRPr="00507A31" w:rsidRDefault="00D93EF8" w:rsidP="00507A31">
      <w:pPr>
        <w:jc w:val="both"/>
        <w:rPr>
          <w:color w:val="0070C0"/>
          <w:sz w:val="16"/>
          <w:szCs w:val="16"/>
        </w:rPr>
      </w:pPr>
      <w:r w:rsidRPr="00507A31">
        <w:rPr>
          <w:color w:val="0070C0"/>
          <w:sz w:val="16"/>
          <w:szCs w:val="16"/>
          <w:lang w:bidi="ru-RU"/>
        </w:rPr>
        <w:t>Второй вариант бронирования «пред</w:t>
      </w:r>
      <w:r w:rsidRPr="00507A31">
        <w:rPr>
          <w:color w:val="0070C0"/>
          <w:sz w:val="16"/>
          <w:szCs w:val="16"/>
          <w:lang w:bidi="ru-RU"/>
        </w:rPr>
        <w:softHyphen/>
        <w:t>усматривался на случай, если по расчетам ЦАГИ невозможно будет получить от са</w:t>
      </w:r>
      <w:r w:rsidRPr="00507A31">
        <w:rPr>
          <w:color w:val="0070C0"/>
          <w:sz w:val="16"/>
          <w:szCs w:val="16"/>
          <w:lang w:bidi="ru-RU"/>
        </w:rPr>
        <w:softHyphen/>
        <w:t>молета требуемые ЛТД при полезной на</w:t>
      </w:r>
      <w:r w:rsidRPr="00507A31">
        <w:rPr>
          <w:color w:val="0070C0"/>
          <w:sz w:val="16"/>
          <w:szCs w:val="16"/>
          <w:lang w:bidi="ru-RU"/>
        </w:rPr>
        <w:softHyphen/>
        <w:t>грузке самолета по первому варианту бронирования».</w:t>
      </w:r>
    </w:p>
    <w:p w14:paraId="100AE903" w14:textId="77777777" w:rsidR="00D93EF8" w:rsidRPr="00507A31" w:rsidRDefault="00D93EF8" w:rsidP="00507A31">
      <w:pPr>
        <w:jc w:val="both"/>
        <w:rPr>
          <w:color w:val="0070C0"/>
          <w:sz w:val="16"/>
          <w:szCs w:val="16"/>
        </w:rPr>
      </w:pPr>
      <w:r w:rsidRPr="00507A31">
        <w:rPr>
          <w:color w:val="0070C0"/>
          <w:sz w:val="16"/>
          <w:szCs w:val="16"/>
          <w:lang w:bidi="ru-RU"/>
        </w:rPr>
        <w:t>Вместо безоткатной пушки калибра 76,2 мм устанавливалась одна автомати</w:t>
      </w:r>
      <w:r w:rsidRPr="00507A31">
        <w:rPr>
          <w:color w:val="0070C0"/>
          <w:sz w:val="16"/>
          <w:szCs w:val="16"/>
          <w:lang w:bidi="ru-RU"/>
        </w:rPr>
        <w:softHyphen/>
        <w:t>ческая пушка калибра 20 мм (200 патрон) или 37 мм (40 патрон). Боекомплект па</w:t>
      </w:r>
      <w:r w:rsidRPr="00507A31">
        <w:rPr>
          <w:color w:val="0070C0"/>
          <w:sz w:val="16"/>
          <w:szCs w:val="16"/>
          <w:lang w:bidi="ru-RU"/>
        </w:rPr>
        <w:softHyphen/>
        <w:t>трон к пулеметам ДА на турелях у летнаба и стрелка-радиста сокращался до 16 ма</w:t>
      </w:r>
      <w:r w:rsidRPr="00507A31">
        <w:rPr>
          <w:color w:val="0070C0"/>
          <w:sz w:val="16"/>
          <w:szCs w:val="16"/>
          <w:lang w:bidi="ru-RU"/>
        </w:rPr>
        <w:softHyphen/>
        <w:t>газинов. Бомбовая нагрузка осталась прежней: 1000 кг - нормальный вариант загрузки, и 1500 кг - в перегрузку.</w:t>
      </w:r>
    </w:p>
    <w:p w14:paraId="0D99E160" w14:textId="77777777" w:rsidR="00D93EF8" w:rsidRPr="00507A31" w:rsidRDefault="00D93EF8" w:rsidP="00507A31">
      <w:pPr>
        <w:jc w:val="both"/>
        <w:rPr>
          <w:color w:val="0070C0"/>
          <w:sz w:val="16"/>
          <w:szCs w:val="16"/>
        </w:rPr>
      </w:pPr>
      <w:r w:rsidRPr="00507A31">
        <w:rPr>
          <w:color w:val="0070C0"/>
          <w:sz w:val="16"/>
          <w:szCs w:val="16"/>
          <w:lang w:bidi="ru-RU"/>
        </w:rPr>
        <w:t>От неподвижных крыльевых пулемет</w:t>
      </w:r>
      <w:r w:rsidRPr="00507A31">
        <w:rPr>
          <w:color w:val="0070C0"/>
          <w:sz w:val="16"/>
          <w:szCs w:val="16"/>
          <w:lang w:bidi="ru-RU"/>
        </w:rPr>
        <w:softHyphen/>
        <w:t>ных установок отказались в пользу двух подвесных пулеметных батарей по че</w:t>
      </w:r>
      <w:r w:rsidRPr="00507A31">
        <w:rPr>
          <w:color w:val="0070C0"/>
          <w:sz w:val="16"/>
          <w:szCs w:val="16"/>
          <w:lang w:bidi="ru-RU"/>
        </w:rPr>
        <w:softHyphen/>
        <w:t>тыре пулемета ПВ-1 на каждой (всего 2000 патрон в металлических лентах). Ба</w:t>
      </w:r>
      <w:r w:rsidRPr="00507A31">
        <w:rPr>
          <w:color w:val="0070C0"/>
          <w:sz w:val="16"/>
          <w:szCs w:val="16"/>
          <w:lang w:bidi="ru-RU"/>
        </w:rPr>
        <w:softHyphen/>
        <w:t>тареи подвешивались под фюзеляжем са</w:t>
      </w:r>
      <w:r w:rsidRPr="00507A31">
        <w:rPr>
          <w:color w:val="0070C0"/>
          <w:sz w:val="16"/>
          <w:szCs w:val="16"/>
          <w:lang w:bidi="ru-RU"/>
        </w:rPr>
        <w:softHyphen/>
        <w:t>молета в счет бомбовой нагрузки. Пуле</w:t>
      </w:r>
      <w:r w:rsidRPr="00507A31">
        <w:rPr>
          <w:color w:val="0070C0"/>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507A31">
        <w:rPr>
          <w:color w:val="0070C0"/>
          <w:sz w:val="16"/>
          <w:szCs w:val="16"/>
          <w:lang w:bidi="ru-RU"/>
        </w:rPr>
        <w:softHyphen/>
        <w:t>правлению полета. Предполагалось два варианта управления поворотом пулеме</w:t>
      </w:r>
      <w:r w:rsidRPr="00507A31">
        <w:rPr>
          <w:color w:val="0070C0"/>
          <w:sz w:val="16"/>
          <w:szCs w:val="16"/>
          <w:lang w:bidi="ru-RU"/>
        </w:rPr>
        <w:softHyphen/>
        <w:t>тов: на земле - путем установки необхо</w:t>
      </w:r>
      <w:r w:rsidRPr="00507A31">
        <w:rPr>
          <w:color w:val="0070C0"/>
          <w:sz w:val="16"/>
          <w:szCs w:val="16"/>
          <w:lang w:bidi="ru-RU"/>
        </w:rPr>
        <w:softHyphen/>
        <w:t>димых углов вручную непосредственно перед боевым вылетом, и в полете из ка</w:t>
      </w:r>
      <w:r w:rsidRPr="00507A31">
        <w:rPr>
          <w:color w:val="0070C0"/>
          <w:sz w:val="16"/>
          <w:szCs w:val="16"/>
          <w:lang w:bidi="ru-RU"/>
        </w:rPr>
        <w:softHyphen/>
        <w:t>бины летнаба - при помощи дистанцион</w:t>
      </w:r>
      <w:r w:rsidRPr="00507A31">
        <w:rPr>
          <w:color w:val="0070C0"/>
          <w:sz w:val="16"/>
          <w:szCs w:val="16"/>
          <w:lang w:bidi="ru-RU"/>
        </w:rPr>
        <w:softHyphen/>
        <w:t>ного механизма. Основным считалось ди</w:t>
      </w:r>
      <w:r w:rsidRPr="00507A31">
        <w:rPr>
          <w:color w:val="0070C0"/>
          <w:sz w:val="16"/>
          <w:szCs w:val="16"/>
          <w:lang w:bidi="ru-RU"/>
        </w:rPr>
        <w:softHyphen/>
        <w:t>станционное управление.</w:t>
      </w:r>
    </w:p>
    <w:p w14:paraId="6367D137" w14:textId="77777777" w:rsidR="00D93EF8" w:rsidRPr="00507A31" w:rsidRDefault="00D93EF8" w:rsidP="00507A31">
      <w:pPr>
        <w:jc w:val="both"/>
        <w:rPr>
          <w:color w:val="0070C0"/>
          <w:sz w:val="16"/>
          <w:szCs w:val="16"/>
          <w:lang w:bidi="ru-RU"/>
        </w:rPr>
      </w:pPr>
      <w:r w:rsidRPr="00507A31">
        <w:rPr>
          <w:color w:val="0070C0"/>
          <w:sz w:val="16"/>
          <w:szCs w:val="16"/>
          <w:lang w:bidi="ru-RU"/>
        </w:rPr>
        <w:t>С учетом всех изменений вес полез</w:t>
      </w:r>
      <w:r w:rsidRPr="00507A31">
        <w:rPr>
          <w:color w:val="0070C0"/>
          <w:sz w:val="16"/>
          <w:szCs w:val="16"/>
          <w:lang w:bidi="ru-RU"/>
        </w:rPr>
        <w:softHyphen/>
        <w:t>ной нагрузки в зависимости от вариантов бронирования и вооружения сократился до 2379 - 2619 кг (21062).</w:t>
      </w:r>
    </w:p>
    <w:p w14:paraId="20D2090E" w14:textId="77777777" w:rsidR="00D93EF8" w:rsidRPr="00507A31" w:rsidRDefault="00D93EF8" w:rsidP="00507A31">
      <w:pPr>
        <w:jc w:val="both"/>
        <w:rPr>
          <w:color w:val="0070C0"/>
          <w:sz w:val="16"/>
          <w:szCs w:val="16"/>
        </w:rPr>
      </w:pPr>
    </w:p>
    <w:p w14:paraId="1594CD2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890360E" w14:textId="77777777" w:rsidR="00537E5F" w:rsidRPr="00507A31" w:rsidRDefault="00537E5F" w:rsidP="00507A31">
      <w:pPr>
        <w:autoSpaceDE w:val="0"/>
        <w:autoSpaceDN w:val="0"/>
        <w:adjustRightInd w:val="0"/>
        <w:jc w:val="both"/>
        <w:rPr>
          <w:iCs/>
          <w:color w:val="000000" w:themeColor="text1"/>
          <w:sz w:val="16"/>
          <w:szCs w:val="16"/>
        </w:rPr>
      </w:pPr>
    </w:p>
    <w:p w14:paraId="1F7670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марта 1930 г. (или 11.05.1930 г., или 15.06.1930 г.) Лиговский опытный завод сероуглерода преобразован в 1-й Государственный завод пишущих машин), с 1932 г. - в ведении НКТП, в 1935 г. в ведении ВОТИ.</w:t>
      </w:r>
    </w:p>
    <w:p w14:paraId="1DC5FD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00144 от 29.06.1937 г. на завод «Ленпишмаш» из КБ-21 передано производство ДСМ.</w:t>
      </w:r>
    </w:p>
    <w:p w14:paraId="4FA535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1940 г. завод присоединен к заводу № 234 для производства запчастей для двигателя М-105, площадка завода стала площадкой № 3 завода № 234 НКОП. В 08.1941 г. завод эвакуирован в Уфу, площадка завода разрушена во время войны.</w:t>
      </w:r>
    </w:p>
    <w:p w14:paraId="0FFA90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(вероятно, № 5342) от 9.03.1944 г. и пр. № 305с/0350с от 3.05.1944 г. площадка № 3 бывшего завода № 234 передана в НКВМФ, где образован завод № 55.</w:t>
      </w:r>
    </w:p>
    <w:p w14:paraId="1A83B4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(1930 г.)- Н.Ф. Монахов, (1939-40 г.)- П.А. Иванов (11982).</w:t>
      </w:r>
    </w:p>
    <w:p w14:paraId="49AD01ED" w14:textId="77777777" w:rsidR="00537E5F" w:rsidRPr="00507A31" w:rsidRDefault="00537E5F" w:rsidP="00507A31">
      <w:pPr>
        <w:jc w:val="both"/>
        <w:rPr>
          <w:color w:val="000000" w:themeColor="text1"/>
          <w:sz w:val="16"/>
          <w:szCs w:val="16"/>
        </w:rPr>
      </w:pPr>
    </w:p>
    <w:p w14:paraId="0D2FBC83" w14:textId="77777777" w:rsidR="00F97B63" w:rsidRPr="00507A31" w:rsidRDefault="00F97B63" w:rsidP="00507A31">
      <w:pPr>
        <w:jc w:val="both"/>
        <w:rPr>
          <w:color w:val="000000" w:themeColor="text1"/>
          <w:sz w:val="16"/>
          <w:szCs w:val="16"/>
        </w:rPr>
      </w:pPr>
      <w:r w:rsidRPr="00507A31">
        <w:rPr>
          <w:color w:val="000000" w:themeColor="text1"/>
          <w:sz w:val="16"/>
          <w:szCs w:val="16"/>
        </w:rPr>
        <w:t>22 марта 1930 г. —Письмо заместителя председателя Реввоенсовета СССР С. С. Каменева председателю ВСНХ СССР В. В. Куйбышеву о состоянии военного судостроения на Николаевских государственных заводах</w:t>
      </w:r>
    </w:p>
    <w:p w14:paraId="7B5FB824" w14:textId="77777777" w:rsidR="00F97B63" w:rsidRPr="00507A31" w:rsidRDefault="00F97B63"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22283304"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РВС СССР продолжает серьезно озабочивать положение военного судостроения на Николаевских судостроительных заводах, так как пока никакого влияния правления «Союзверфи» в сторону улучшения деятельности Южной группы судостроительных заводов не заметно. Наоборот, по линии военного судостроения следует констатировать явное ухудшение, усугубляющееся острой проблемой кадров на Никгосзаводах.</w:t>
      </w:r>
    </w:p>
    <w:p w14:paraId="7B39F6B1"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 xml:space="preserve">1. На Никгосзаводах продолжаются непрерывные организационные неувязки и путаница взаимоотношений; брак изделий и «запарывание»; небрежность в работах, доходящая до повторных падений </w:t>
      </w:r>
      <w:r w:rsidRPr="00507A31">
        <w:rPr>
          <w:rStyle w:val="af0"/>
          <w:i w:val="0"/>
          <w:color w:val="000000" w:themeColor="text1"/>
          <w:sz w:val="16"/>
          <w:szCs w:val="16"/>
        </w:rPr>
        <w:t>с</w:t>
      </w:r>
      <w:r w:rsidRPr="00507A31">
        <w:rPr>
          <w:color w:val="000000" w:themeColor="text1"/>
          <w:sz w:val="16"/>
          <w:szCs w:val="16"/>
        </w:rPr>
        <w:t xml:space="preserve"> подъемных кранов деталей механизмов л/крейсера «Красный Кавказ»; упорное расходование заводоуправлением денег, отпущенных на оборудование, вызываемое военным судостроением (подлодки), не по прямому назначению; безразличное отношение к успеху военного судостроения со стороны головки заводоуправления; прежняя неналаженность снабжения; увлечение реорганизацией и реконструкцией заводов по признаку коммерческого судостроения в обход определенных интересов военного судостроения.</w:t>
      </w:r>
    </w:p>
    <w:p w14:paraId="79B9E71F"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Планомерность снабжения — слабая во всех отношениях (количество, качество, срок); до сего времени не проведено в жизнь накопление оборотных материалов для военного судоремонта и судостроения в виде маневренного резерва, почему крупные перебои в работах непрерывно происходят.</w:t>
      </w:r>
    </w:p>
    <w:p w14:paraId="6BE49628"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2. РВС МС Черного моря отмечает в своем постановлении от 2 марта 1930 г. следующее. «в) Реввоенсовет принимает к сведению сообщение начальника бюро подводного плавания Никгосзаводов т. Синицына, что “сейчас сроки достройки подлодок «Якобинец» и «Спартак» установить трудно и что вообще за сроки и обязательства по подлодкам в связи с настоящим положением и реорганизацией на НГЗ отвечать нельзя”».</w:t>
      </w:r>
    </w:p>
    <w:p w14:paraId="3B616D26"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Такое заявление ответственного сотрудника Никгосзаводов следует рассматривать как весьма тревожный симптом явной дезорганизации производства на Никгосзаводах, представляющих собою единственную судостроительную базу Морских сил Черного моря.</w:t>
      </w:r>
    </w:p>
    <w:p w14:paraId="23A524F2"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3. В порядке сношения между аппаратом УВМС РККА и ВСНХ СССР начиная с 23 января 1930 г. по 13 марта 1930 г. сделан ряд тревожных заявлений в адрес МПУ ВСНХ, «Союзверфи», директору Никгосзаводов (семь номеров документов). В письмах подчеркивалось по п/лодкам № 28 и 29: 1) бесплановость работ; 2) фиксировалось почти полное прекращение работ; 3) недостаток готовых изделий для № 29 и отмечалось категорически, что реальные возможности к усилению темпа работ у Никгосзаводов имеются. Ответа ни от «Союзверфи», ни от директора НГЗ не получено.</w:t>
      </w:r>
    </w:p>
    <w:p w14:paraId="11871F19"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В результате изложенного РВС СССР просит Вас:</w:t>
      </w:r>
    </w:p>
    <w:p w14:paraId="07C0CAFE"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1. Обратить особое внимание «Союзверфи», что военное судостроение на Южных судостроительных заводах находится в явно ненормальном положении и не имеет заботливого хозяина ни со стороны «Союзверфи», ни со стороны заводоуправления Никгосзаводов.</w:t>
      </w:r>
    </w:p>
    <w:p w14:paraId="0A381BA3"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2. Обратить внимание «Союзверфи», что сроки предъявления к официальным испытаниям подлодок в течение 1929/30 г., многократно согласованные с «Союзверфью» и заводоуправлениями, должны быть категорически выдержаны, а именно:</w:t>
      </w:r>
    </w:p>
    <w:p w14:paraId="2588F9E2"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по Ленинграду: 1) п/л «Декабрист» — к 15 мая 1930 г.; 2) п/л «Л</w:t>
      </w:r>
      <w:r w:rsidRPr="00507A31">
        <w:rPr>
          <w:color w:val="000000" w:themeColor="text1"/>
          <w:sz w:val="16"/>
          <w:szCs w:val="16"/>
        </w:rPr>
        <w:noBreakHyphen/>
        <w:t>55» — к 1 июня 1930 г.; 3) п/л «Народоволец» — к 15 августа 1930 г.; 4) п/л «Красногвардеец» — к 15 сентября 1930 г.;</w:t>
      </w:r>
    </w:p>
    <w:p w14:paraId="12E71963"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по Югу. Никгосзаводы: 1) «Революционер» — 1 июня 1930 г.; 2) «Спартак» — 1 августа 1930 г.; 3) «Якобинец» — 1 сентября 1930 г.; по Севморзаводу: «АГ</w:t>
      </w:r>
      <w:r w:rsidRPr="00507A31">
        <w:rPr>
          <w:color w:val="000000" w:themeColor="text1"/>
          <w:sz w:val="16"/>
          <w:szCs w:val="16"/>
        </w:rPr>
        <w:noBreakHyphen/>
        <w:t>21» — 15 марта 1930 г.</w:t>
      </w:r>
    </w:p>
    <w:p w14:paraId="46C5ACFA"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3. За указанные сроки возложить персональную ответственность:</w:t>
      </w:r>
    </w:p>
    <w:p w14:paraId="2889CDA3"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а) по правлению «Союзверфи» в лице председателя т. Воробьева;</w:t>
      </w:r>
    </w:p>
    <w:p w14:paraId="49A29F63"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б) по заводоуправлениям: Балтийского завода — т. Самцова; Никгосзаводов — т. Велигура (или лица его заменившего); Севморзавода — т. Легенченко.</w:t>
      </w:r>
    </w:p>
    <w:p w14:paraId="7EC96324"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rPr>
        <w:t>О последующем просьба уведомить.</w:t>
      </w:r>
    </w:p>
    <w:p w14:paraId="0EED558A" w14:textId="77777777" w:rsidR="00F97B63" w:rsidRPr="00507A31" w:rsidRDefault="00F97B63"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Зам. председателя РВС СССР </w:t>
      </w:r>
      <w:hyperlink r:id="rId50" w:history="1">
        <w:r w:rsidRPr="00507A31">
          <w:rPr>
            <w:rStyle w:val="af0"/>
            <w:i w:val="0"/>
            <w:color w:val="000000" w:themeColor="text1"/>
            <w:sz w:val="16"/>
            <w:szCs w:val="16"/>
          </w:rPr>
          <w:t>Каменев</w:t>
        </w:r>
      </w:hyperlink>
    </w:p>
    <w:p w14:paraId="41F7538B" w14:textId="77777777" w:rsidR="00F97B63" w:rsidRPr="00507A31" w:rsidRDefault="00F97B63"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Примечание</w:t>
      </w:r>
      <w:r w:rsidRPr="00507A31">
        <w:rPr>
          <w:color w:val="000000" w:themeColor="text1"/>
          <w:sz w:val="16"/>
          <w:szCs w:val="16"/>
        </w:rPr>
        <w:t>:</w:t>
      </w:r>
    </w:p>
    <w:p w14:paraId="484CCF1E" w14:textId="77777777" w:rsidR="00F97B63" w:rsidRPr="00507A31" w:rsidRDefault="00F97B63"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Копии направлены: зам. наркома РКИ СССР И. П. Павлуновскому и начальнику МПУ ВСНХ СССР А. М. Постникову.</w:t>
      </w:r>
    </w:p>
    <w:p w14:paraId="45B280A6" w14:textId="77777777" w:rsidR="00F97B63" w:rsidRPr="00507A31" w:rsidRDefault="00F97B63" w:rsidP="00507A31">
      <w:pPr>
        <w:pStyle w:val="ae"/>
        <w:spacing w:before="0" w:after="0"/>
        <w:jc w:val="both"/>
        <w:rPr>
          <w:color w:val="000000" w:themeColor="text1"/>
          <w:sz w:val="16"/>
          <w:szCs w:val="16"/>
        </w:rPr>
      </w:pPr>
      <w:r w:rsidRPr="00507A31">
        <w:rPr>
          <w:color w:val="000000" w:themeColor="text1"/>
          <w:sz w:val="16"/>
          <w:szCs w:val="16"/>
        </w:rPr>
        <w:t>РГАВМФ. Ф. р-360. Оп. 2. Д. 398. Л. 24—24 об. Копия.</w:t>
      </w:r>
    </w:p>
    <w:p w14:paraId="6BFE3678" w14:textId="77777777" w:rsidR="00F97B63" w:rsidRPr="00507A31" w:rsidRDefault="00F97B63" w:rsidP="00507A31">
      <w:pPr>
        <w:jc w:val="both"/>
        <w:rPr>
          <w:color w:val="000000" w:themeColor="text1"/>
          <w:sz w:val="16"/>
          <w:szCs w:val="16"/>
        </w:rPr>
      </w:pPr>
      <w:r w:rsidRPr="00507A31">
        <w:rPr>
          <w:color w:val="000000" w:themeColor="text1"/>
          <w:sz w:val="16"/>
          <w:szCs w:val="16"/>
        </w:rPr>
        <w:t xml:space="preserve">Архив: РГАВМФ. Ф. р-360. Оп. 2. Д. 398. Л. 24—24 об. Копия. </w:t>
      </w:r>
    </w:p>
    <w:p w14:paraId="127C9574" w14:textId="77777777" w:rsidR="00F97B63" w:rsidRPr="00507A31" w:rsidRDefault="00F97B63"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454-455 (12502).</w:t>
      </w:r>
    </w:p>
    <w:p w14:paraId="507E405B" w14:textId="77777777" w:rsidR="00F97B63" w:rsidRPr="00507A31" w:rsidRDefault="00F97B63" w:rsidP="00507A31">
      <w:pPr>
        <w:jc w:val="both"/>
        <w:rPr>
          <w:color w:val="000000" w:themeColor="text1"/>
          <w:sz w:val="16"/>
          <w:szCs w:val="16"/>
        </w:rPr>
      </w:pPr>
    </w:p>
    <w:p w14:paraId="537B4B84" w14:textId="77777777" w:rsidR="00D93EF8" w:rsidRPr="00507A31" w:rsidRDefault="00D93EF8"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C0CDF98" w14:textId="77777777" w:rsidR="00D93EF8" w:rsidRPr="00507A31" w:rsidRDefault="00D93EF8" w:rsidP="00507A31">
      <w:pPr>
        <w:autoSpaceDE w:val="0"/>
        <w:autoSpaceDN w:val="0"/>
        <w:adjustRightInd w:val="0"/>
        <w:jc w:val="both"/>
        <w:rPr>
          <w:iCs/>
          <w:color w:val="000000" w:themeColor="text1"/>
          <w:sz w:val="16"/>
          <w:szCs w:val="16"/>
        </w:rPr>
      </w:pPr>
    </w:p>
    <w:p w14:paraId="54EA9F7C" w14:textId="77777777" w:rsidR="00D93EF8" w:rsidRPr="00507A31" w:rsidRDefault="00D93EF8"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23 марта 1930 года самолет Р7 после гос. испытаний был сдан в ЦАГИ (6951).</w:t>
      </w:r>
    </w:p>
    <w:p w14:paraId="47F54D03" w14:textId="77777777" w:rsidR="00D93EF8" w:rsidRPr="00507A31" w:rsidRDefault="00D93EF8" w:rsidP="00507A31">
      <w:pPr>
        <w:tabs>
          <w:tab w:val="left" w:pos="11199"/>
        </w:tabs>
        <w:autoSpaceDE w:val="0"/>
        <w:autoSpaceDN w:val="0"/>
        <w:adjustRightInd w:val="0"/>
        <w:jc w:val="both"/>
        <w:rPr>
          <w:color w:val="000000" w:themeColor="text1"/>
          <w:sz w:val="16"/>
          <w:szCs w:val="16"/>
        </w:rPr>
      </w:pPr>
    </w:p>
    <w:p w14:paraId="1677CC4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CE3DAB8" w14:textId="77777777" w:rsidR="00537E5F" w:rsidRPr="00507A31" w:rsidRDefault="00537E5F" w:rsidP="00507A31">
      <w:pPr>
        <w:autoSpaceDE w:val="0"/>
        <w:autoSpaceDN w:val="0"/>
        <w:adjustRightInd w:val="0"/>
        <w:jc w:val="both"/>
        <w:rPr>
          <w:iCs/>
          <w:color w:val="000000" w:themeColor="text1"/>
          <w:sz w:val="16"/>
          <w:szCs w:val="16"/>
        </w:rPr>
      </w:pPr>
    </w:p>
    <w:p w14:paraId="1C4A77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марта 1930 прошли испытания телеуправляемого танка Т-18, оборудованного трехкомандной системой управления (вправо, влево, стоп) типа Мост-1. Двигался со скоростью 2.5-4 км/час и уверенно выполнял команды. До этого подобные эксперименты проводились в 1929-30 с Рено ФТ (4243,25).</w:t>
      </w:r>
    </w:p>
    <w:p w14:paraId="6FC5D5A8" w14:textId="77777777" w:rsidR="00537E5F" w:rsidRPr="00507A31" w:rsidRDefault="00537E5F" w:rsidP="00507A31">
      <w:pPr>
        <w:autoSpaceDE w:val="0"/>
        <w:autoSpaceDN w:val="0"/>
        <w:adjustRightInd w:val="0"/>
        <w:jc w:val="both"/>
        <w:rPr>
          <w:color w:val="000000" w:themeColor="text1"/>
          <w:sz w:val="16"/>
          <w:szCs w:val="16"/>
        </w:rPr>
      </w:pPr>
    </w:p>
    <w:p w14:paraId="13A2871E" w14:textId="77777777" w:rsidR="00113DE9" w:rsidRPr="00507A31" w:rsidRDefault="00113DE9" w:rsidP="00507A31">
      <w:pPr>
        <w:pStyle w:val="rtejustify"/>
        <w:spacing w:before="0" w:after="0"/>
        <w:rPr>
          <w:color w:val="000000" w:themeColor="text1"/>
          <w:sz w:val="16"/>
          <w:szCs w:val="16"/>
        </w:rPr>
      </w:pPr>
      <w:r w:rsidRPr="00507A31">
        <w:rPr>
          <w:rStyle w:val="af0"/>
          <w:i w:val="0"/>
          <w:color w:val="000000" w:themeColor="text1"/>
          <w:sz w:val="16"/>
          <w:szCs w:val="16"/>
        </w:rPr>
        <w:t>23 марта 1930. Протокол Реввоенсовета № 5.</w:t>
      </w:r>
      <w:r w:rsidRPr="00507A31">
        <w:rPr>
          <w:color w:val="000000" w:themeColor="text1"/>
          <w:sz w:val="16"/>
          <w:szCs w:val="16"/>
        </w:rPr>
        <w:t xml:space="preserve"> 3. О ходе работ по орудийным железным гильзам. (Ефимов). 4. О ходе работ по системе артвооружения в части работ по снарядам, трубкам и взрывателям. (Бондарь). 5. О ходе работ по системе артвооружения в части работ по взрывчатым веществам и порохам. (Роговский). 6. Об обеспечении принятой системы артиллерийского вооружения высокосортными сталями. (Постников). 13. О программе судостроения. (Муклевич). (РГВА. Ф. 4. Оп. 18. Д. 19. Л. 83</w:t>
      </w:r>
      <w:r w:rsidRPr="00507A31">
        <w:rPr>
          <w:color w:val="000000" w:themeColor="text1"/>
          <w:sz w:val="16"/>
          <w:szCs w:val="16"/>
        </w:rPr>
        <w:noBreakHyphen/>
        <w:t>85) (12342).</w:t>
      </w:r>
    </w:p>
    <w:p w14:paraId="5D2651C1" w14:textId="77777777" w:rsidR="00113DE9" w:rsidRPr="00507A31" w:rsidRDefault="00113DE9" w:rsidP="00507A31">
      <w:pPr>
        <w:pStyle w:val="rtejustify"/>
        <w:spacing w:before="0" w:after="0"/>
        <w:rPr>
          <w:color w:val="000000" w:themeColor="text1"/>
          <w:sz w:val="16"/>
          <w:szCs w:val="16"/>
        </w:rPr>
      </w:pPr>
    </w:p>
    <w:p w14:paraId="221B3A5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099B1F83" w14:textId="77777777" w:rsidR="00537E5F" w:rsidRPr="00507A31" w:rsidRDefault="00537E5F" w:rsidP="00507A31">
      <w:pPr>
        <w:autoSpaceDE w:val="0"/>
        <w:autoSpaceDN w:val="0"/>
        <w:adjustRightInd w:val="0"/>
        <w:jc w:val="both"/>
        <w:rPr>
          <w:iCs/>
          <w:color w:val="000000" w:themeColor="text1"/>
          <w:sz w:val="16"/>
          <w:szCs w:val="16"/>
        </w:rPr>
      </w:pPr>
    </w:p>
    <w:p w14:paraId="1F14A5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23 марта 1930 И.В.С. в ответ К.Е.В. с запиской “Направляю для ознакомления копию письма Тухачевского и справку Штаба по этому вопросу. Тухучевский хочет быть оригинальным и радикальным. Плохо, что в КА есть порода людей, которые этот радикализм принимают за чистую монету. Очень прошу прочесть оба документа и сказать свое мнение.” Ответил:</w:t>
      </w:r>
    </w:p>
    <w:p w14:paraId="7622DE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“Получил оба документа., и объяснительную записку т Тух-го и соображения Штаба. Ты знаешь, у очень уважаю Тух-го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т.е. нет учетареальных возможностей хозяйственного, финансового и культурного порядка. Этот план нарушает в корне всякую мыслимую и допустимую пропорцию между армией, как частью страны, и страной, как целям, с ее лимитами хозяйственного и культурного порядка. План сбивается на точку зрения чисто военнных людей, нередко забывающих о том, что армия является производням от хозяйственного и культурного состояния страны.</w:t>
      </w:r>
    </w:p>
    <w:p w14:paraId="32BC5D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Как мог возникнуть такой план в голове марксиста, прошедшего школу Гражданской войны?</w:t>
      </w:r>
    </w:p>
    <w:p w14:paraId="7F5930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Я думаю, что план т Тух-го является результатом модного увлечения левой фразой, результатом увлечения бумажным, канцелярским максимализмом. Поэтоту тот анализ заменен в нем игрой в цифири, а марксистская перспектива роста КА - фантастикой.</w:t>
      </w:r>
    </w:p>
    <w:p w14:paraId="1BB151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Осуществить такой план - значит наверняка загубить и хозяйство страны и армию. Это было бы хуже всякой контрреволюции.</w:t>
      </w:r>
    </w:p>
    <w:p w14:paraId="7C815A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Отрадно, что Штаб РККА, при всей опасности искушения, ясно отмежевываются от плана т тух-го.</w:t>
      </w:r>
    </w:p>
    <w:p w14:paraId="0982EE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Твои И.Сталин” (9089,126).</w:t>
      </w:r>
    </w:p>
    <w:p w14:paraId="7EF1AB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Сравнение предложений Тухачевского и Снитко, выдвинутых в 1930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44"/>
        <w:gridCol w:w="4678"/>
      </w:tblGrid>
      <w:tr w:rsidR="00E371BA" w:rsidRPr="00507A31" w14:paraId="7E5DFAB9" w14:textId="77777777">
        <w:tc>
          <w:tcPr>
            <w:tcW w:w="4644" w:type="dxa"/>
            <w:tcBorders>
              <w:top w:val="single" w:sz="12" w:space="0" w:color="auto"/>
            </w:tcBorders>
          </w:tcPr>
          <w:p w14:paraId="184F1E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Тухачевский, ЛВО</w:t>
            </w:r>
          </w:p>
        </w:tc>
        <w:tc>
          <w:tcPr>
            <w:tcW w:w="4678" w:type="dxa"/>
            <w:tcBorders>
              <w:top w:val="single" w:sz="12" w:space="0" w:color="auto"/>
            </w:tcBorders>
          </w:tcPr>
          <w:p w14:paraId="2E5142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Снитко, Сектор обороны Госплана</w:t>
            </w:r>
          </w:p>
        </w:tc>
      </w:tr>
      <w:tr w:rsidR="00E371BA" w:rsidRPr="00507A31" w14:paraId="7970CFFA" w14:textId="77777777">
        <w:tc>
          <w:tcPr>
            <w:tcW w:w="4644" w:type="dxa"/>
          </w:tcPr>
          <w:p w14:paraId="76688D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260 пехотных и кавалерийский</w:t>
            </w:r>
          </w:p>
        </w:tc>
        <w:tc>
          <w:tcPr>
            <w:tcW w:w="4678" w:type="dxa"/>
          </w:tcPr>
          <w:p w14:paraId="240F49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220 пеходных, 25 кавалерийских, 220 танковых батальонов</w:t>
            </w:r>
          </w:p>
        </w:tc>
      </w:tr>
      <w:tr w:rsidR="00E371BA" w:rsidRPr="00507A31" w14:paraId="32CD200D" w14:textId="77777777">
        <w:tc>
          <w:tcPr>
            <w:tcW w:w="4644" w:type="dxa"/>
          </w:tcPr>
          <w:p w14:paraId="77E7AC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 дивизий РВК</w:t>
            </w:r>
          </w:p>
        </w:tc>
        <w:tc>
          <w:tcPr>
            <w:tcW w:w="4678" w:type="dxa"/>
          </w:tcPr>
          <w:p w14:paraId="0DD155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артдивизиона ВК</w:t>
            </w:r>
          </w:p>
        </w:tc>
      </w:tr>
      <w:tr w:rsidR="00E371BA" w:rsidRPr="00507A31" w14:paraId="6E3FB4AD" w14:textId="77777777">
        <w:tc>
          <w:tcPr>
            <w:tcW w:w="4644" w:type="dxa"/>
          </w:tcPr>
          <w:p w14:paraId="025374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225 пулеметных батальона РВК</w:t>
            </w:r>
          </w:p>
        </w:tc>
        <w:tc>
          <w:tcPr>
            <w:tcW w:w="4678" w:type="dxa"/>
          </w:tcPr>
          <w:p w14:paraId="56A0B4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 пулеметных батальонов</w:t>
            </w:r>
          </w:p>
        </w:tc>
      </w:tr>
      <w:tr w:rsidR="00E371BA" w:rsidRPr="00507A31" w14:paraId="01CCDDDC" w14:textId="77777777">
        <w:tc>
          <w:tcPr>
            <w:tcW w:w="4644" w:type="dxa"/>
          </w:tcPr>
          <w:p w14:paraId="1D0336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40000 боевых самолетов в строю</w:t>
            </w:r>
          </w:p>
        </w:tc>
        <w:tc>
          <w:tcPr>
            <w:tcW w:w="4678" w:type="dxa"/>
          </w:tcPr>
          <w:p w14:paraId="1F46FF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30000 самолетов в строю</w:t>
            </w:r>
          </w:p>
        </w:tc>
      </w:tr>
      <w:tr w:rsidR="00E371BA" w:rsidRPr="00507A31" w14:paraId="2370022F" w14:textId="77777777">
        <w:tc>
          <w:tcPr>
            <w:tcW w:w="4644" w:type="dxa"/>
          </w:tcPr>
          <w:p w14:paraId="2B67F4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50000 танков в строю</w:t>
            </w:r>
          </w:p>
        </w:tc>
        <w:tc>
          <w:tcPr>
            <w:tcW w:w="4678" w:type="dxa"/>
          </w:tcPr>
          <w:p w14:paraId="4E11FE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22000 танков первой линии боя</w:t>
            </w:r>
          </w:p>
        </w:tc>
      </w:tr>
      <w:tr w:rsidR="00E371BA" w:rsidRPr="00507A31" w14:paraId="4B1FC7DF" w14:textId="77777777">
        <w:tc>
          <w:tcPr>
            <w:tcW w:w="4644" w:type="dxa"/>
            <w:tcBorders>
              <w:bottom w:val="single" w:sz="12" w:space="0" w:color="auto"/>
            </w:tcBorders>
          </w:tcPr>
          <w:p w14:paraId="1B1089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(9438)</w:t>
            </w:r>
          </w:p>
        </w:tc>
        <w:tc>
          <w:tcPr>
            <w:tcW w:w="4678" w:type="dxa"/>
            <w:tcBorders>
              <w:bottom w:val="single" w:sz="12" w:space="0" w:color="auto"/>
            </w:tcBorders>
          </w:tcPr>
          <w:p w14:paraId="64772D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(9439)</w:t>
            </w:r>
          </w:p>
        </w:tc>
      </w:tr>
    </w:tbl>
    <w:p w14:paraId="1D438C2F" w14:textId="77777777" w:rsidR="00537E5F" w:rsidRPr="00507A31" w:rsidRDefault="00537E5F" w:rsidP="00507A31">
      <w:pPr>
        <w:autoSpaceDE w:val="0"/>
        <w:autoSpaceDN w:val="0"/>
        <w:adjustRightInd w:val="0"/>
        <w:jc w:val="both"/>
        <w:rPr>
          <w:iCs/>
          <w:color w:val="000000" w:themeColor="text1"/>
          <w:sz w:val="16"/>
          <w:szCs w:val="16"/>
        </w:rPr>
      </w:pPr>
    </w:p>
    <w:p w14:paraId="43659634" w14:textId="77777777" w:rsidR="00113DE9" w:rsidRPr="00507A31" w:rsidRDefault="00113DE9" w:rsidP="00507A31">
      <w:pPr>
        <w:pStyle w:val="rtejustify"/>
        <w:spacing w:before="0" w:after="0"/>
        <w:rPr>
          <w:color w:val="000000" w:themeColor="text1"/>
          <w:sz w:val="16"/>
          <w:szCs w:val="16"/>
        </w:rPr>
      </w:pPr>
      <w:r w:rsidRPr="00507A31">
        <w:rPr>
          <w:color w:val="000000" w:themeColor="text1"/>
          <w:sz w:val="16"/>
          <w:szCs w:val="16"/>
        </w:rPr>
        <w:t>23 марта 1930 г. И. В. Сталин писал К. Е. Ворошилову: «Получил оба документа, и объяснительную записку т. Тухачевского и «соображения» Штаба. Ты знаешь, что я очень уважаю т. Тухачевского,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 е. нет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полным, с ее лимитами хозяйственного и культурного порядка. «План»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 Как мог возникнуть такой «план» в голове марксиста, прошедшего школу гражданской войны? Я думаю, что «план» т. 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 — фантастикой. «Осуществлять» такой «план» — значит наверняка загубить и хозяйство страны и армию. Это было бы хуже всякой контрреволюции. Отрадно, что Штаб РККА, при всей опасности искушения, ясно и определенно отмежевался от «плана» т. Тухачевского. Твой И. Сталин». (РГАСПИ. Ф. 558. Оп. 11. Д. 447. Л. 8) (12494).</w:t>
      </w:r>
    </w:p>
    <w:p w14:paraId="2B402C66" w14:textId="77777777" w:rsidR="00113DE9" w:rsidRPr="00507A31" w:rsidRDefault="00113DE9" w:rsidP="00507A31">
      <w:pPr>
        <w:pStyle w:val="rtejustify"/>
        <w:spacing w:before="0" w:after="0"/>
        <w:rPr>
          <w:color w:val="000000" w:themeColor="text1"/>
          <w:sz w:val="16"/>
          <w:szCs w:val="16"/>
        </w:rPr>
      </w:pPr>
    </w:p>
    <w:p w14:paraId="0D2EBFC4" w14:textId="77777777" w:rsidR="004D6FB2" w:rsidRPr="00507A31" w:rsidRDefault="004D6FB2" w:rsidP="00507A31">
      <w:pPr>
        <w:shd w:val="clear" w:color="auto" w:fill="FFFFFF"/>
        <w:jc w:val="both"/>
        <w:rPr>
          <w:color w:val="0070C0"/>
          <w:sz w:val="16"/>
          <w:szCs w:val="16"/>
        </w:rPr>
      </w:pPr>
      <w:r w:rsidRPr="00507A31">
        <w:rPr>
          <w:color w:val="0070C0"/>
          <w:sz w:val="16"/>
          <w:szCs w:val="16"/>
        </w:rPr>
        <w:t>23 марта 1930 Наркомат по военным и морским делам направил в западные военные округа директиву по укреплению обороноспособности пограничных районов (Точное содержание директивы установить не удалось. О ней упоминается в более позднем документе: Директива Заместителя Начальника Штаба РККА Левичева начальникам штабов БВО, УВО. МВО, ЛВО, ПриВО, ОКДВА и ККА, 7.07.1930 // РГАЭ. Ф. 4372. Оп. 91-Д 611. Л. 60.). Вероятно, как с перераспределением функций между Штабом и ГУ РККА (январь 1930 г.), так и с изменениями политической обстановки была связана разработка Штабом РККА "Схемы организации центрального военного аппарата в период военного времени", которая в апреле 1930 г. была утверждена наркомом (138. ЦВЕТКОВ И. Ф. Организационно-мобилизационные органы и организационные структуры Военно-Морского Флота России (1695-1945). СПб., 2000. С. 263. По оценке автора, "это существенно изменило систему органов стратегического управления, действовавшую с 1928 года, и их функции (Там же).) (22725).</w:t>
      </w:r>
    </w:p>
    <w:p w14:paraId="557F7E12" w14:textId="77777777" w:rsidR="004D6FB2" w:rsidRPr="00507A31" w:rsidRDefault="004D6FB2" w:rsidP="00507A31">
      <w:pPr>
        <w:jc w:val="both"/>
        <w:rPr>
          <w:color w:val="0070C0"/>
          <w:sz w:val="16"/>
          <w:szCs w:val="16"/>
        </w:rPr>
      </w:pPr>
    </w:p>
    <w:p w14:paraId="57F400E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6D43C98" w14:textId="77777777" w:rsidR="00537E5F" w:rsidRPr="00507A31" w:rsidRDefault="00537E5F" w:rsidP="00507A31">
      <w:pPr>
        <w:autoSpaceDE w:val="0"/>
        <w:autoSpaceDN w:val="0"/>
        <w:adjustRightInd w:val="0"/>
        <w:jc w:val="both"/>
        <w:rPr>
          <w:iCs/>
          <w:color w:val="000000" w:themeColor="text1"/>
          <w:sz w:val="16"/>
          <w:szCs w:val="16"/>
        </w:rPr>
      </w:pPr>
    </w:p>
    <w:p w14:paraId="57256B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марта 1930 в Ираке к власти пришло правительство Нури Саида (2443,405).</w:t>
      </w:r>
    </w:p>
    <w:p w14:paraId="51966CF7" w14:textId="77777777" w:rsidR="00537E5F" w:rsidRPr="00507A31" w:rsidRDefault="00537E5F" w:rsidP="00507A31">
      <w:pPr>
        <w:autoSpaceDE w:val="0"/>
        <w:autoSpaceDN w:val="0"/>
        <w:adjustRightInd w:val="0"/>
        <w:jc w:val="both"/>
        <w:rPr>
          <w:color w:val="000000" w:themeColor="text1"/>
          <w:sz w:val="16"/>
          <w:szCs w:val="16"/>
        </w:rPr>
      </w:pPr>
    </w:p>
    <w:p w14:paraId="12DF270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5EA306F" w14:textId="77777777" w:rsidR="00537E5F" w:rsidRPr="00507A31" w:rsidRDefault="00537E5F" w:rsidP="00507A31">
      <w:pPr>
        <w:autoSpaceDE w:val="0"/>
        <w:autoSpaceDN w:val="0"/>
        <w:adjustRightInd w:val="0"/>
        <w:jc w:val="both"/>
        <w:rPr>
          <w:iCs/>
          <w:color w:val="000000" w:themeColor="text1"/>
          <w:sz w:val="16"/>
          <w:szCs w:val="16"/>
        </w:rPr>
      </w:pPr>
    </w:p>
    <w:p w14:paraId="5450DE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марта 1930 г. УВВС предложилр продать "Добролету" от 9 до 22 (то есть, все, какие есть) Р-3М5. Но, несмотря на острую нужду в технике, гражданские летчики явно не рвались заполучить эти ненадежные самолеты с небольшой грузоподъемностью. Несколько разоруженных Р-ЗМ5 вошло в состав эскадрильи им. "Правды", развозившей матрицы центральных газет от Москвы до Новосибирска. За 1931 г. с этими машинами произошли три аварии, один самолет был разбит и списан. Военные были готовы пополнить парк ГВФ. Приказом начальника УВВС от 15 мая 1931 г. предусматривалась передача 14 Р-ЗМ5, из них семи - исправных. Однако это распоряжение вряд ли выполнили, поскольку на 1 августа того же года в ГВФ числятся всего четыре АНТ-3 - три в Сибирском управлении и один в отряде им. "Правды". В 1-м квартале 1932 г. разбились еще два П-3. К середине года во всем Гражданском воздушном флоте осталось лишь семь самолетов этого типа, три из них - в 3-й объединенной авиашколе. С начала 1933 г. упоминания об этих машинах в документах вообще исчезают (11985).</w:t>
      </w:r>
    </w:p>
    <w:p w14:paraId="3D812FF3" w14:textId="77777777" w:rsidR="00537E5F" w:rsidRPr="00507A31" w:rsidRDefault="00537E5F" w:rsidP="00507A31">
      <w:pPr>
        <w:autoSpaceDE w:val="0"/>
        <w:autoSpaceDN w:val="0"/>
        <w:adjustRightInd w:val="0"/>
        <w:jc w:val="both"/>
        <w:rPr>
          <w:color w:val="000000" w:themeColor="text1"/>
          <w:sz w:val="16"/>
          <w:szCs w:val="16"/>
        </w:rPr>
      </w:pPr>
    </w:p>
    <w:p w14:paraId="20195B51" w14:textId="77777777" w:rsidR="004337A6"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7D0E455" w14:textId="77777777" w:rsidR="004337A6" w:rsidRPr="00507A31" w:rsidRDefault="004337A6" w:rsidP="00507A31">
      <w:pPr>
        <w:autoSpaceDE w:val="0"/>
        <w:autoSpaceDN w:val="0"/>
        <w:adjustRightInd w:val="0"/>
        <w:jc w:val="both"/>
        <w:rPr>
          <w:iCs/>
          <w:color w:val="000000" w:themeColor="text1"/>
          <w:sz w:val="16"/>
          <w:szCs w:val="16"/>
        </w:rPr>
      </w:pPr>
    </w:p>
    <w:p w14:paraId="73D4434E" w14:textId="77777777" w:rsidR="004337A6" w:rsidRPr="00507A31" w:rsidRDefault="004337A6" w:rsidP="00507A31">
      <w:pPr>
        <w:jc w:val="both"/>
        <w:rPr>
          <w:color w:val="000000" w:themeColor="text1"/>
          <w:sz w:val="16"/>
          <w:szCs w:val="16"/>
          <w:u w:color="002060"/>
        </w:rPr>
      </w:pPr>
      <w:r w:rsidRPr="00507A31">
        <w:rPr>
          <w:color w:val="000000" w:themeColor="text1"/>
          <w:sz w:val="16"/>
          <w:szCs w:val="16"/>
          <w:u w:color="002060"/>
        </w:rPr>
        <w:t>Не позднее 25 марта</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постройке мощных самолетов (ГА РФ. Ф. Р-8418. Оп. 4. Д. 97. Л. 2?3) (12415).</w:t>
      </w:r>
    </w:p>
    <w:p w14:paraId="3126EA8B" w14:textId="77777777" w:rsidR="004337A6" w:rsidRPr="00507A31" w:rsidRDefault="004337A6" w:rsidP="00507A31">
      <w:pPr>
        <w:jc w:val="both"/>
        <w:rPr>
          <w:color w:val="000000" w:themeColor="text1"/>
          <w:sz w:val="16"/>
          <w:szCs w:val="16"/>
          <w:u w:color="002060"/>
        </w:rPr>
      </w:pPr>
    </w:p>
    <w:p w14:paraId="3D009CDB" w14:textId="77777777" w:rsidR="009B673E" w:rsidRPr="00507A31" w:rsidRDefault="009B673E" w:rsidP="00507A31">
      <w:pPr>
        <w:jc w:val="both"/>
        <w:rPr>
          <w:color w:val="000000" w:themeColor="text1"/>
          <w:sz w:val="16"/>
          <w:szCs w:val="16"/>
        </w:rPr>
      </w:pPr>
      <w:r w:rsidRPr="00507A31">
        <w:rPr>
          <w:color w:val="000000" w:themeColor="text1"/>
          <w:sz w:val="16"/>
          <w:szCs w:val="16"/>
        </w:rPr>
        <w:t>Не позднее 25 марта 1930 г. — Постановление РЗ СТО СССР «О постройке мощных самолетов»</w:t>
      </w:r>
    </w:p>
    <w:p w14:paraId="5B8E468A" w14:textId="77777777" w:rsidR="009B673E" w:rsidRPr="00507A31" w:rsidRDefault="009B673E"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7C34F2D2" w14:textId="77777777" w:rsidR="009B673E" w:rsidRPr="00507A31" w:rsidRDefault="009B673E" w:rsidP="00507A31">
      <w:pPr>
        <w:pStyle w:val="rtejustify"/>
        <w:spacing w:before="0" w:after="0"/>
        <w:rPr>
          <w:color w:val="000000" w:themeColor="text1"/>
          <w:sz w:val="16"/>
          <w:szCs w:val="16"/>
        </w:rPr>
      </w:pPr>
      <w:r w:rsidRPr="00507A31">
        <w:rPr>
          <w:color w:val="000000" w:themeColor="text1"/>
          <w:sz w:val="16"/>
          <w:szCs w:val="16"/>
        </w:rPr>
        <w:t>Совет труда и обороны постановляет:</w:t>
      </w:r>
    </w:p>
    <w:p w14:paraId="16546890" w14:textId="77777777" w:rsidR="009B673E" w:rsidRPr="00507A31" w:rsidRDefault="009B673E" w:rsidP="00507A31">
      <w:pPr>
        <w:pStyle w:val="rtejustify"/>
        <w:spacing w:before="0" w:after="0"/>
        <w:rPr>
          <w:color w:val="000000" w:themeColor="text1"/>
          <w:sz w:val="16"/>
          <w:szCs w:val="16"/>
        </w:rPr>
      </w:pPr>
      <w:r w:rsidRPr="00507A31">
        <w:rPr>
          <w:color w:val="000000" w:themeColor="text1"/>
          <w:sz w:val="16"/>
          <w:szCs w:val="16"/>
        </w:rPr>
        <w:t>1. Признать необходимым и своевременным приступить к срочной постройке мощных самолетов грузоподъемностью в 16 и 25 т боевого груза и топлива с тем, чтобы первый сухопутный самолет грузоподъемность в 16 т был закончен и сдан в эксплуатацию не позднее 1 мая 1932 г., а самолет грузоподъемностью в 25 т был начат постройкой с весны 1931 г.</w:t>
      </w:r>
    </w:p>
    <w:p w14:paraId="3F3C22F8" w14:textId="77777777" w:rsidR="009B673E" w:rsidRPr="00507A31" w:rsidRDefault="009B673E" w:rsidP="00507A31">
      <w:pPr>
        <w:pStyle w:val="rtejustify"/>
        <w:spacing w:before="0" w:after="0"/>
        <w:rPr>
          <w:color w:val="000000" w:themeColor="text1"/>
          <w:sz w:val="16"/>
          <w:szCs w:val="16"/>
        </w:rPr>
      </w:pPr>
      <w:r w:rsidRPr="00507A31">
        <w:rPr>
          <w:color w:val="000000" w:themeColor="text1"/>
          <w:sz w:val="16"/>
          <w:szCs w:val="16"/>
        </w:rPr>
        <w:t>2. Обязать ВСНХ СССР:</w:t>
      </w:r>
    </w:p>
    <w:p w14:paraId="011668F4" w14:textId="77777777" w:rsidR="009B673E" w:rsidRPr="00507A31" w:rsidRDefault="009B673E" w:rsidP="00507A31">
      <w:pPr>
        <w:pStyle w:val="rtejustify"/>
        <w:spacing w:before="0" w:after="0"/>
        <w:rPr>
          <w:color w:val="000000" w:themeColor="text1"/>
          <w:sz w:val="16"/>
          <w:szCs w:val="16"/>
        </w:rPr>
      </w:pPr>
      <w:r w:rsidRPr="00507A31">
        <w:rPr>
          <w:color w:val="000000" w:themeColor="text1"/>
          <w:sz w:val="16"/>
          <w:szCs w:val="16"/>
        </w:rPr>
        <w:t>а) к 25 марта с. г. представить на рассмотрение РЗ СТО календарный план работ по постройке самолета грузоподъемностью в 16 т;</w:t>
      </w:r>
    </w:p>
    <w:p w14:paraId="53C4F87C" w14:textId="77777777" w:rsidR="009B673E" w:rsidRPr="00507A31" w:rsidRDefault="009B673E" w:rsidP="00507A31">
      <w:pPr>
        <w:pStyle w:val="rtejustify"/>
        <w:spacing w:before="0" w:after="0"/>
        <w:rPr>
          <w:color w:val="000000" w:themeColor="text1"/>
          <w:sz w:val="16"/>
          <w:szCs w:val="16"/>
        </w:rPr>
      </w:pPr>
      <w:r w:rsidRPr="00507A31">
        <w:rPr>
          <w:color w:val="000000" w:themeColor="text1"/>
          <w:sz w:val="16"/>
          <w:szCs w:val="16"/>
        </w:rPr>
        <w:t>б) при проектировании и постройке самолета учитывать все требования НКВМ и Остехбюро;</w:t>
      </w:r>
    </w:p>
    <w:p w14:paraId="467D8E74" w14:textId="77777777" w:rsidR="009B673E" w:rsidRPr="00507A31" w:rsidRDefault="009B673E" w:rsidP="00507A31">
      <w:pPr>
        <w:pStyle w:val="rtejustify"/>
        <w:spacing w:before="0" w:after="0"/>
        <w:rPr>
          <w:color w:val="000000" w:themeColor="text1"/>
          <w:sz w:val="16"/>
          <w:szCs w:val="16"/>
        </w:rPr>
      </w:pPr>
      <w:r w:rsidRPr="00507A31">
        <w:rPr>
          <w:color w:val="000000" w:themeColor="text1"/>
          <w:sz w:val="16"/>
          <w:szCs w:val="16"/>
        </w:rPr>
        <w:t>в) немедленно разрешить вопрос о расширении ЦАГИ, исходя из необходимости обязательного осуществления им первого образца сухопутного самолета грузоподъемностью в 16 т в указанный срок, а также проработать вопрос о необходимом расширении ЦАГИ для выполнения постройки образца самолета грузоподъемностью в 25 т;</w:t>
      </w:r>
    </w:p>
    <w:p w14:paraId="59CEE28A" w14:textId="77777777" w:rsidR="009B673E" w:rsidRPr="00507A31" w:rsidRDefault="009B673E" w:rsidP="00507A31">
      <w:pPr>
        <w:pStyle w:val="rtejustify"/>
        <w:spacing w:before="0" w:after="0"/>
        <w:rPr>
          <w:color w:val="000000" w:themeColor="text1"/>
          <w:sz w:val="16"/>
          <w:szCs w:val="16"/>
        </w:rPr>
      </w:pPr>
      <w:r w:rsidRPr="00507A31">
        <w:rPr>
          <w:color w:val="000000" w:themeColor="text1"/>
          <w:sz w:val="16"/>
          <w:szCs w:val="16"/>
        </w:rPr>
        <w:t>г) закончить в ЦАГИ все необходимые подготовительные работы по постройке самолета грузоподъемностью в 16 т к осени 1930 г.;</w:t>
      </w:r>
    </w:p>
    <w:p w14:paraId="70D59F46" w14:textId="77777777" w:rsidR="009B673E" w:rsidRPr="00507A31" w:rsidRDefault="009B673E" w:rsidP="00507A31">
      <w:pPr>
        <w:pStyle w:val="rtejustify"/>
        <w:spacing w:before="0" w:after="0"/>
        <w:rPr>
          <w:color w:val="000000" w:themeColor="text1"/>
          <w:sz w:val="16"/>
          <w:szCs w:val="16"/>
        </w:rPr>
      </w:pPr>
      <w:r w:rsidRPr="00507A31">
        <w:rPr>
          <w:color w:val="000000" w:themeColor="text1"/>
          <w:sz w:val="16"/>
          <w:szCs w:val="16"/>
        </w:rPr>
        <w:t>д) совместно с НКВМ произвести изыскательные и научно-исследовательские работы по постройке самолета грузоподъемностью в 25 т;</w:t>
      </w:r>
    </w:p>
    <w:p w14:paraId="4E4C23C9" w14:textId="77777777" w:rsidR="009B673E" w:rsidRPr="00507A31" w:rsidRDefault="009B673E" w:rsidP="00507A31">
      <w:pPr>
        <w:pStyle w:val="rtejustify"/>
        <w:spacing w:before="0" w:after="0"/>
        <w:rPr>
          <w:color w:val="000000" w:themeColor="text1"/>
          <w:sz w:val="16"/>
          <w:szCs w:val="16"/>
        </w:rPr>
      </w:pPr>
      <w:r w:rsidRPr="00507A31">
        <w:rPr>
          <w:color w:val="000000" w:themeColor="text1"/>
          <w:sz w:val="16"/>
          <w:szCs w:val="16"/>
        </w:rPr>
        <w:t>е) выполнить эти задания, не нарушая темпа работ ЦАГИ по выполнению других заданий УВВС;</w:t>
      </w:r>
    </w:p>
    <w:p w14:paraId="5A05AA76" w14:textId="77777777" w:rsidR="009B673E" w:rsidRPr="00507A31" w:rsidRDefault="009B673E" w:rsidP="00507A31">
      <w:pPr>
        <w:pStyle w:val="rtejustify"/>
        <w:spacing w:before="0" w:after="0"/>
        <w:rPr>
          <w:color w:val="000000" w:themeColor="text1"/>
          <w:sz w:val="16"/>
          <w:szCs w:val="16"/>
        </w:rPr>
      </w:pPr>
      <w:r w:rsidRPr="00507A31">
        <w:rPr>
          <w:color w:val="000000" w:themeColor="text1"/>
          <w:sz w:val="16"/>
          <w:szCs w:val="16"/>
        </w:rPr>
        <w:t>ж) поручить НАМИ немедленно приступить к работам по постройке моторов для мощных самолетов с тем, чтобы серийное производство моторов грузоподъемностью в 16 т было организовано на наших заводах к концу 1931 г.</w:t>
      </w:r>
    </w:p>
    <w:p w14:paraId="266965E8" w14:textId="77777777" w:rsidR="009B673E" w:rsidRPr="00507A31" w:rsidRDefault="009B673E" w:rsidP="00507A31">
      <w:pPr>
        <w:pStyle w:val="rtejustify"/>
        <w:spacing w:before="0" w:after="0"/>
        <w:rPr>
          <w:color w:val="000000" w:themeColor="text1"/>
          <w:sz w:val="16"/>
          <w:szCs w:val="16"/>
        </w:rPr>
      </w:pPr>
      <w:r w:rsidRPr="00507A31">
        <w:rPr>
          <w:color w:val="000000" w:themeColor="text1"/>
          <w:sz w:val="16"/>
          <w:szCs w:val="16"/>
        </w:rPr>
        <w:t>3. Считать возможным произвести постройку первого мощного сухопутного самолета грузоподъемностью в 16 т с использованием иностранных моторов.</w:t>
      </w:r>
    </w:p>
    <w:p w14:paraId="3477447B" w14:textId="77777777" w:rsidR="009B673E" w:rsidRPr="00507A31" w:rsidRDefault="009B673E"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Председатель Совета труда и обороны </w:t>
      </w:r>
      <w:hyperlink r:id="rId51" w:history="1">
        <w:r w:rsidRPr="00507A31">
          <w:rPr>
            <w:rStyle w:val="af0"/>
            <w:i w:val="0"/>
            <w:color w:val="000000" w:themeColor="text1"/>
            <w:sz w:val="16"/>
            <w:szCs w:val="16"/>
          </w:rPr>
          <w:t>А. И. Рыков</w:t>
        </w:r>
      </w:hyperlink>
    </w:p>
    <w:p w14:paraId="5E8AFC4C" w14:textId="77777777" w:rsidR="009B673E" w:rsidRPr="00507A31" w:rsidRDefault="009B673E"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Управделами СНК СССР и Совета труда и обороны </w:t>
      </w:r>
      <w:hyperlink r:id="rId52" w:history="1">
        <w:r w:rsidRPr="00507A31">
          <w:rPr>
            <w:rStyle w:val="af0"/>
            <w:i w:val="0"/>
            <w:color w:val="000000" w:themeColor="text1"/>
            <w:sz w:val="16"/>
            <w:szCs w:val="16"/>
          </w:rPr>
          <w:t>Н. Горбунов</w:t>
        </w:r>
      </w:hyperlink>
    </w:p>
    <w:p w14:paraId="14FDD2BE" w14:textId="77777777" w:rsidR="009B673E" w:rsidRPr="00507A31" w:rsidRDefault="009B673E"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Секретарь Распорядительных заседаний СТО </w:t>
      </w:r>
      <w:hyperlink r:id="rId53" w:history="1">
        <w:r w:rsidRPr="00507A31">
          <w:rPr>
            <w:rStyle w:val="af0"/>
            <w:i w:val="0"/>
            <w:color w:val="000000" w:themeColor="text1"/>
            <w:sz w:val="16"/>
            <w:szCs w:val="16"/>
          </w:rPr>
          <w:t>Аппога</w:t>
        </w:r>
      </w:hyperlink>
    </w:p>
    <w:p w14:paraId="688A8269" w14:textId="77777777" w:rsidR="009B673E" w:rsidRPr="00507A31" w:rsidRDefault="009B673E"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Примечание</w:t>
      </w:r>
      <w:r w:rsidRPr="00507A31">
        <w:rPr>
          <w:color w:val="000000" w:themeColor="text1"/>
          <w:sz w:val="16"/>
          <w:szCs w:val="16"/>
        </w:rPr>
        <w:t>:</w:t>
      </w:r>
    </w:p>
    <w:p w14:paraId="24B9E99C" w14:textId="77777777" w:rsidR="009B673E" w:rsidRPr="00507A31" w:rsidRDefault="009B673E" w:rsidP="00507A31">
      <w:pPr>
        <w:pStyle w:val="ae"/>
        <w:spacing w:before="0" w:after="0"/>
        <w:jc w:val="both"/>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Датируется по содержанию.</w:t>
      </w:r>
    </w:p>
    <w:p w14:paraId="0B43DBFE" w14:textId="77777777" w:rsidR="009B673E" w:rsidRPr="00507A31" w:rsidRDefault="009B673E" w:rsidP="00507A31">
      <w:pPr>
        <w:pStyle w:val="ae"/>
        <w:spacing w:before="0" w:after="0"/>
        <w:jc w:val="both"/>
        <w:rPr>
          <w:color w:val="000000" w:themeColor="text1"/>
          <w:sz w:val="16"/>
          <w:szCs w:val="16"/>
        </w:rPr>
      </w:pPr>
      <w:r w:rsidRPr="00507A31">
        <w:rPr>
          <w:color w:val="000000" w:themeColor="text1"/>
          <w:sz w:val="16"/>
          <w:szCs w:val="16"/>
        </w:rPr>
        <w:t>ГА РФ. Ф. Р-8418. Оп. 4. Д. 97. Л. 2—3. Заверенная копия.</w:t>
      </w:r>
    </w:p>
    <w:p w14:paraId="455B5C57" w14:textId="77777777" w:rsidR="009B673E" w:rsidRPr="00507A31" w:rsidRDefault="009B673E" w:rsidP="00507A31">
      <w:pPr>
        <w:jc w:val="both"/>
        <w:rPr>
          <w:color w:val="000000" w:themeColor="text1"/>
          <w:sz w:val="16"/>
          <w:szCs w:val="16"/>
        </w:rPr>
      </w:pPr>
      <w:r w:rsidRPr="00507A31">
        <w:rPr>
          <w:color w:val="000000" w:themeColor="text1"/>
          <w:sz w:val="16"/>
          <w:szCs w:val="16"/>
        </w:rPr>
        <w:lastRenderedPageBreak/>
        <w:t xml:space="preserve">Архив: ГА РФ. Ф. Р-8418. Оп. 4. Д. 97. Л. 2—3. Заверенная копия. </w:t>
      </w:r>
    </w:p>
    <w:p w14:paraId="5CF250DE" w14:textId="77777777" w:rsidR="009B673E" w:rsidRPr="00507A31" w:rsidRDefault="009B673E"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455-456 (12503).</w:t>
      </w:r>
    </w:p>
    <w:p w14:paraId="571537A1" w14:textId="77777777" w:rsidR="009B673E" w:rsidRPr="00507A31" w:rsidRDefault="009B673E" w:rsidP="00507A31">
      <w:pPr>
        <w:jc w:val="both"/>
        <w:rPr>
          <w:color w:val="000000" w:themeColor="text1"/>
          <w:sz w:val="16"/>
          <w:szCs w:val="16"/>
        </w:rPr>
      </w:pPr>
    </w:p>
    <w:p w14:paraId="6403F34D" w14:textId="77777777" w:rsidR="004337A6" w:rsidRPr="00507A31" w:rsidRDefault="004337A6" w:rsidP="00507A31">
      <w:pPr>
        <w:jc w:val="both"/>
        <w:rPr>
          <w:color w:val="000000" w:themeColor="text1"/>
          <w:sz w:val="16"/>
          <w:szCs w:val="16"/>
        </w:rPr>
      </w:pPr>
      <w:r w:rsidRPr="00507A31">
        <w:rPr>
          <w:color w:val="000000" w:themeColor="text1"/>
          <w:sz w:val="16"/>
          <w:szCs w:val="16"/>
        </w:rPr>
        <w:t>25 марта 1930 г. — Доклад ВСНХ СССР в РЗ СТО СССР о привлечении иностранной технической помощи в военной промышленности</w:t>
      </w:r>
    </w:p>
    <w:p w14:paraId="0699CCAF" w14:textId="77777777" w:rsidR="004337A6" w:rsidRPr="00507A31" w:rsidRDefault="004337A6" w:rsidP="00507A31">
      <w:pPr>
        <w:jc w:val="both"/>
        <w:rPr>
          <w:color w:val="000000" w:themeColor="text1"/>
          <w:sz w:val="16"/>
          <w:szCs w:val="16"/>
        </w:rPr>
      </w:pPr>
      <w:r w:rsidRPr="00507A31">
        <w:rPr>
          <w:color w:val="000000" w:themeColor="text1"/>
          <w:sz w:val="16"/>
          <w:szCs w:val="16"/>
        </w:rPr>
        <w:t>Секретно.</w:t>
      </w:r>
    </w:p>
    <w:p w14:paraId="554E04C7" w14:textId="77777777" w:rsidR="004337A6" w:rsidRPr="00507A31" w:rsidRDefault="004337A6" w:rsidP="00507A31">
      <w:pPr>
        <w:jc w:val="both"/>
        <w:rPr>
          <w:color w:val="000000" w:themeColor="text1"/>
          <w:sz w:val="16"/>
          <w:szCs w:val="16"/>
        </w:rPr>
      </w:pPr>
      <w:r w:rsidRPr="00507A31">
        <w:rPr>
          <w:color w:val="000000" w:themeColor="text1"/>
          <w:sz w:val="16"/>
          <w:szCs w:val="16"/>
        </w:rPr>
        <w:t>…V. По Авиационному тресту</w:t>
      </w:r>
    </w:p>
    <w:p w14:paraId="2D1A30C4" w14:textId="77777777" w:rsidR="004337A6" w:rsidRPr="00507A31" w:rsidRDefault="004337A6" w:rsidP="00507A31">
      <w:pPr>
        <w:jc w:val="both"/>
        <w:rPr>
          <w:color w:val="000000" w:themeColor="text1"/>
          <w:sz w:val="16"/>
          <w:szCs w:val="16"/>
        </w:rPr>
      </w:pPr>
      <w:r w:rsidRPr="00507A31">
        <w:rPr>
          <w:color w:val="000000" w:themeColor="text1"/>
          <w:sz w:val="16"/>
          <w:szCs w:val="16"/>
        </w:rPr>
        <w:t>1. Командирование работников военной промышленности за границу</w:t>
      </w:r>
    </w:p>
    <w:p w14:paraId="60CDAD50" w14:textId="77777777" w:rsidR="004337A6" w:rsidRPr="00507A31" w:rsidRDefault="004337A6" w:rsidP="00507A31">
      <w:pPr>
        <w:jc w:val="both"/>
        <w:rPr>
          <w:color w:val="000000" w:themeColor="text1"/>
          <w:sz w:val="16"/>
          <w:szCs w:val="16"/>
        </w:rPr>
      </w:pPr>
      <w:r w:rsidRPr="00507A31">
        <w:rPr>
          <w:color w:val="000000" w:themeColor="text1"/>
          <w:sz w:val="16"/>
          <w:szCs w:val="16"/>
        </w:rPr>
        <w:t>В план командировок Авиатреста входит поездка 35 чел., из них: часть — по договорам техпомощи, часть — для изучения новых производств, не связанных с договорами о техпомощи, и часть — для подготовки новых договоров о техпомощи. До настоящего времени выехало 9 чел., оформляется поездка еще 30 чел., всего — 39 чел.¹*</w:t>
      </w:r>
    </w:p>
    <w:p w14:paraId="4D7EB54C" w14:textId="77777777" w:rsidR="004337A6" w:rsidRPr="00507A31" w:rsidRDefault="004337A6" w:rsidP="00507A31">
      <w:pPr>
        <w:jc w:val="both"/>
        <w:rPr>
          <w:color w:val="000000" w:themeColor="text1"/>
          <w:sz w:val="16"/>
          <w:szCs w:val="16"/>
        </w:rPr>
      </w:pPr>
      <w:r w:rsidRPr="00507A31">
        <w:rPr>
          <w:color w:val="000000" w:themeColor="text1"/>
          <w:sz w:val="16"/>
          <w:szCs w:val="16"/>
        </w:rPr>
        <w:t>2. Приглашение иностранных специалистов</w:t>
      </w:r>
    </w:p>
    <w:p w14:paraId="10FDF948" w14:textId="77777777" w:rsidR="004337A6" w:rsidRPr="00507A31" w:rsidRDefault="004337A6" w:rsidP="00507A31">
      <w:pPr>
        <w:jc w:val="both"/>
        <w:rPr>
          <w:color w:val="000000" w:themeColor="text1"/>
          <w:sz w:val="16"/>
          <w:szCs w:val="16"/>
        </w:rPr>
      </w:pPr>
      <w:r w:rsidRPr="00507A31">
        <w:rPr>
          <w:color w:val="000000" w:themeColor="text1"/>
          <w:sz w:val="16"/>
          <w:szCs w:val="16"/>
        </w:rPr>
        <w:t>Отдельные лица для работы в Союзе не приглашались. Имеющиеся лица являются посланными фирм по договорам о техпомощи.</w:t>
      </w:r>
    </w:p>
    <w:p w14:paraId="7A50FC5F" w14:textId="77777777" w:rsidR="004337A6" w:rsidRPr="00507A31" w:rsidRDefault="004337A6" w:rsidP="00507A31">
      <w:pPr>
        <w:jc w:val="both"/>
        <w:rPr>
          <w:color w:val="000000" w:themeColor="text1"/>
          <w:sz w:val="16"/>
          <w:szCs w:val="16"/>
        </w:rPr>
      </w:pPr>
      <w:r w:rsidRPr="00507A31">
        <w:rPr>
          <w:color w:val="000000" w:themeColor="text1"/>
          <w:sz w:val="16"/>
          <w:szCs w:val="16"/>
        </w:rPr>
        <w:t>3. Заключение договоров о техпомощи</w:t>
      </w:r>
    </w:p>
    <w:p w14:paraId="0FEEB1B7" w14:textId="77777777" w:rsidR="004337A6" w:rsidRPr="00507A31" w:rsidRDefault="004337A6" w:rsidP="00507A31">
      <w:pPr>
        <w:jc w:val="both"/>
        <w:rPr>
          <w:color w:val="000000" w:themeColor="text1"/>
          <w:sz w:val="16"/>
          <w:szCs w:val="16"/>
        </w:rPr>
      </w:pPr>
      <w:r w:rsidRPr="00507A31">
        <w:rPr>
          <w:color w:val="000000" w:themeColor="text1"/>
          <w:sz w:val="16"/>
          <w:szCs w:val="16"/>
        </w:rPr>
        <w:t>А. Договор с фирмой «БМВ»</w:t>
      </w:r>
    </w:p>
    <w:p w14:paraId="53246DDB"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Цель договора — покупка права постройки мотора БМВ</w:t>
      </w:r>
      <w:r w:rsidRPr="00507A31">
        <w:rPr>
          <w:color w:val="000000" w:themeColor="text1"/>
          <w:sz w:val="16"/>
          <w:szCs w:val="16"/>
        </w:rPr>
        <w:noBreakHyphen/>
        <w:t>VI — 600 л. с. и последующих модификаций этого мотора и консультация по постановке производства этих моторов в СССР.</w:t>
      </w:r>
    </w:p>
    <w:p w14:paraId="37974320"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Указанный тип мотора был выбран УВВС, и заключение договора по постановке его производства имело целью получить в короткое время современный тип мощного мотора с водяным охлаждением для обеспечения строящихся у нас по этот тип²* мотора самолетов: истребителей И</w:t>
      </w:r>
      <w:r w:rsidRPr="00507A31">
        <w:rPr>
          <w:color w:val="000000" w:themeColor="text1"/>
          <w:sz w:val="16"/>
          <w:szCs w:val="16"/>
        </w:rPr>
        <w:noBreakHyphen/>
        <w:t>3, разведчиков Р</w:t>
      </w:r>
      <w:r w:rsidRPr="00507A31">
        <w:rPr>
          <w:color w:val="000000" w:themeColor="text1"/>
          <w:sz w:val="16"/>
          <w:szCs w:val="16"/>
        </w:rPr>
        <w:noBreakHyphen/>
        <w:t>5 и бомбовозов ТБ</w:t>
      </w:r>
      <w:r w:rsidRPr="00507A31">
        <w:rPr>
          <w:color w:val="000000" w:themeColor="text1"/>
          <w:sz w:val="16"/>
          <w:szCs w:val="16"/>
        </w:rPr>
        <w:noBreakHyphen/>
        <w:t>1, а также разрабатывающихся конструкций морских самолетов. Этого требовало отсутствие у нас собственных конструкций моторов такой мощности, а также отсутствие опыта в постановке их производства.</w:t>
      </w:r>
    </w:p>
    <w:p w14:paraId="40F6F0ED"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Договор заключен в октябре 1927 г. сроком на 5 лет, т. е. до октября 1932 г. Стоимость всего договора — 250 тыс. долларов минимально (в зависимости от количества выпускаемых моторов). Уплачено по настоящее время фирме «БМВ» 100 тыс. долларов. Постановка производства моторов БМВ</w:t>
      </w:r>
      <w:r w:rsidRPr="00507A31">
        <w:rPr>
          <w:color w:val="000000" w:themeColor="text1"/>
          <w:sz w:val="16"/>
          <w:szCs w:val="16"/>
        </w:rPr>
        <w:noBreakHyphen/>
        <w:t>VI осуществляется на заводе Авиатреста № 26 и, кроме того, подготовляется и на заводе № 24.</w:t>
      </w:r>
    </w:p>
    <w:p w14:paraId="5C8586D1"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От фирмы получены все чертежи, спецификации и прочие материалы, необходимые для постановки производства, и вообще фирма свои обязательства выполняет удовлетворительно. Затруднения имелись в производстве коленчатых валов, которые фирма «БМВ» сама не изготовляет, получая их готовыми от фирмы Круппа. Завод № 26 эти затруднения испытывал до самого последнего времени. Теперь появилась возможность их разрешения путем получения помощи от завода Круппа по заключенному ВСНХ с последним договора на оказание техпомощи по производству изделий из черных металлов. На завод Круппа осенью 1929 г. был командирован заводом № 26 для изучения производства коленчатых валов инженер-металлург, который к настоящему времени окончил это изучение, представив по сему ряд докладов. Изготовление первых партий валов по методам Круппа еще на закончено, и результаты ожидаются лишь в феврале месяце.</w:t>
      </w:r>
    </w:p>
    <w:p w14:paraId="0991EE26"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Вопрос о производстве роликов для моторов БМВ</w:t>
      </w:r>
      <w:r w:rsidRPr="00507A31">
        <w:rPr>
          <w:color w:val="000000" w:themeColor="text1"/>
          <w:sz w:val="16"/>
          <w:szCs w:val="16"/>
        </w:rPr>
        <w:noBreakHyphen/>
        <w:t>VI, ввиду узкого характера этого производства, может быть разрешен в общем порядке постановкой у нас производства шарикоподшипников для нужд всей нашей промышленности в целом. Поставщиком этих изделий до настоящего времени являются заграничные фирмы, и главным образом SKF, имеющий концессию в СССР.</w:t>
      </w:r>
    </w:p>
    <w:p w14:paraId="3E69E2B3"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Для практического ознакомления с постановкой производства моторов на заводе «БМВ» Авиатрестом было командировано за границу на указанный завод за истекшие последние 2 года 8 чел. и приглашено в 1928/29 г. от фирмы в СССР 4 специалиста по монтажу, сварке, литью и механической обработке. В настоящем году намечено командирование на завод «БМВ», и частью уже выезжают, 10 чел., из них: 3 — рабочих и 7 — инженеров, хотя по договору предусмотрено право посылки ежегодно только 5 чел., по 3 месяца каждый. Окончательного ответа от фирмы о разрешении командирования указанного числа лиц не получено.</w:t>
      </w:r>
    </w:p>
    <w:p w14:paraId="7F2ABE05"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Надо считать, что в деле освоения производства заводом № 26, в общем, взято правильное направление, хотя по отдельным местам и замечаются некоторые пробелы. Как, например, необходимо указать на недостаточное изучение заводом производства цветного литья, где до последнего времени наблюдается значительный процент брака. Только в самое последнее время здесь наметилось некоторое улучшение.</w:t>
      </w:r>
    </w:p>
    <w:p w14:paraId="25C8D395"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В связи с указанными затруднениями, а также и рядом других внутризаводских неувязок планового характера и затруднений в укомплектовании завода рабочей и технической силой, намеченная за истекший год программа в 40 моторов БМВ</w:t>
      </w:r>
      <w:r w:rsidRPr="00507A31">
        <w:rPr>
          <w:color w:val="000000" w:themeColor="text1"/>
          <w:sz w:val="16"/>
          <w:szCs w:val="16"/>
        </w:rPr>
        <w:noBreakHyphen/>
        <w:t>VI выполнена не была. В августе месяце истекшего года был поставлен на станок первый мотор и в дальнейшем затем до конца 1928/29 производственного года еще 4 мотора с заграничными коленчатыми валами. Часть моторов имела также изготовленными на заводе № 26 из заграничных поковок и шатуны. Остальные части были изготовлены заводом № 26 из материалов нашего производства.</w:t>
      </w:r>
    </w:p>
    <w:p w14:paraId="2469C815"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Моторы прошли в достаточной мере удовлетворительно все положенные им испытания, включая сюда и длительное испытание на 100 часов. К настоящему времени УВВС приняты 12 моторов и в ближайшее время будет предъявлена еще новая серия в 10</w:t>
      </w:r>
      <w:r w:rsidRPr="00507A31">
        <w:rPr>
          <w:color w:val="000000" w:themeColor="text1"/>
          <w:sz w:val="16"/>
          <w:szCs w:val="16"/>
        </w:rPr>
        <w:noBreakHyphen/>
        <w:t>12 шт. Программа на текущий год установлена в 205 моторов.</w:t>
      </w:r>
    </w:p>
    <w:p w14:paraId="092D9603" w14:textId="77777777" w:rsidR="004337A6" w:rsidRPr="00507A31" w:rsidRDefault="004337A6" w:rsidP="00507A31">
      <w:pPr>
        <w:jc w:val="both"/>
        <w:rPr>
          <w:color w:val="000000" w:themeColor="text1"/>
          <w:sz w:val="16"/>
          <w:szCs w:val="16"/>
        </w:rPr>
      </w:pPr>
      <w:r w:rsidRPr="00507A31">
        <w:rPr>
          <w:color w:val="000000" w:themeColor="text1"/>
          <w:sz w:val="16"/>
          <w:szCs w:val="16"/>
        </w:rPr>
        <w:t>Б. Договор с фирмой «Гном и Рон»</w:t>
      </w:r>
    </w:p>
    <w:p w14:paraId="34E0B666"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Цель договора — покупка права постройки мотора Ю</w:t>
      </w:r>
      <w:r w:rsidRPr="00507A31">
        <w:rPr>
          <w:color w:val="000000" w:themeColor="text1"/>
          <w:sz w:val="16"/>
          <w:szCs w:val="16"/>
        </w:rPr>
        <w:noBreakHyphen/>
        <w:t>VI</w:t>
      </w:r>
      <w:r w:rsidRPr="00507A31">
        <w:rPr>
          <w:color w:val="000000" w:themeColor="text1"/>
          <w:sz w:val="16"/>
          <w:szCs w:val="16"/>
        </w:rPr>
        <w:noBreakHyphen/>
        <w:t>480 л. с., с последующим развитием этого типа мотора (за отдельную плату), и получение техпомощи на постановку производства этих моторов. Указанный тип мотора был выбран УВВС как современный тип боевого мощного мотора с воздушным охлаждением для постановки его на самолеты собственной конструкции. В настоящее время мотор ставится на самолеты истребительного типа И</w:t>
      </w:r>
      <w:r w:rsidRPr="00507A31">
        <w:rPr>
          <w:color w:val="000000" w:themeColor="text1"/>
          <w:sz w:val="16"/>
          <w:szCs w:val="16"/>
        </w:rPr>
        <w:noBreakHyphen/>
        <w:t>4. Необходимость приобретения лицензии на этот мотор диктовалась отсутствием такого типа моторов в нашем производстве и большим распространением их за границей.</w:t>
      </w:r>
    </w:p>
    <w:p w14:paraId="2BC24192"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Договор заключен 24 августа 1928 г. сроком на 5 лет, т. е. по 24 августа 1933 г. Стоимость всего договора определяется в 250 тыс. долларов. Дополнительным обязательством по этому договору является покупка Авиатрестом (для УВВС) на основе особого договора 250 моторов Ю</w:t>
      </w:r>
      <w:r w:rsidRPr="00507A31">
        <w:rPr>
          <w:color w:val="000000" w:themeColor="text1"/>
          <w:sz w:val="16"/>
          <w:szCs w:val="16"/>
        </w:rPr>
        <w:noBreakHyphen/>
        <w:t>VI по цене 6 тыс. долларов за мотор с прямой передачей и 6,9 тыс. — за мотор с редуктором. Уплачено по настоящее время фирме всего 150 тыс. долларов.</w:t>
      </w:r>
    </w:p>
    <w:p w14:paraId="565A41B3"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Постановка производства указанного мотора осуществляется Авиатрестом на заводе № 29 в Запорожье. От фирмы к настоящему времени получены все материалы, предусмотренные договором и необходимые для постановки производства. В настоящее время заводом заканчивается намеченный план развертывания производства в части изготовления рабочих чертежей, приспособлений и инструмента, и пущены в производство мелкие детали. На завод поступила первая партия закупленных за границей поковок, моделей и образцовых алюминиевых отливок. В соответствии с договором от фирмы поступают периодически дополнительные сведения о текущих изменениях мотора, производимых фирмой.</w:t>
      </w:r>
    </w:p>
    <w:p w14:paraId="5F974AB0"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Для приемки и ознакомления с материалами фирмы, а также ознакомления с производством, в истекшем 1928/29 г. Авиатрестом было командировано за границу на завод «Гном и Рон» 4 специалиста. В текущем году намечается для более детального изучения отдельных процессов производства командирование 8 чел., из коих: 5 — рабочих и 3 — инженера. Авиатрестом намечен в конце текущего года выпуск первой партии опытных моторов в количестве 5 шт.</w:t>
      </w:r>
    </w:p>
    <w:p w14:paraId="4A1939E6"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Необходимо отметить те затруднения, которые переживала сама фирма при сдаче УВВС по особому договору, упомянутому выше, первых партий указанных моторов и которые заключались, в главнейшем, в недостаточной мощности моторов (вместо 480 сил получалось 420), поломке коленчатых валов и выплавлении шатунного подшипника. Эти недостатки задержали сдачу моторов более чем на полгода и послужили причиной того, что фирма предоставила нам безвозмездное право на получение чертежей мотора последующего типа Ю</w:t>
      </w:r>
      <w:r w:rsidRPr="00507A31">
        <w:rPr>
          <w:color w:val="000000" w:themeColor="text1"/>
          <w:sz w:val="16"/>
          <w:szCs w:val="16"/>
        </w:rPr>
        <w:noBreakHyphen/>
        <w:t>VII. Впоследствии отмеченные затруднения фирмой, судя по удовлетворительному 50</w:t>
      </w:r>
      <w:r w:rsidRPr="00507A31">
        <w:rPr>
          <w:color w:val="000000" w:themeColor="text1"/>
          <w:sz w:val="16"/>
          <w:szCs w:val="16"/>
        </w:rPr>
        <w:noBreakHyphen/>
        <w:t>часовому испытанию за границей переделанного ею мотора, изжиты. Окончательных заключений по этому вопросу, однако, к нам еще не поступало. В связи с отмеченным возможны затруднения в этой части и на заводе № 29.</w:t>
      </w:r>
    </w:p>
    <w:p w14:paraId="44CEFEFA"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Отношение фирмы к выполнению своих основных обязательств по договору нельзя считать в полной мере удовлетворительным, так:</w:t>
      </w:r>
    </w:p>
    <w:p w14:paraId="54188F2A"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1) чертежи, полученные от фирмы, при детальном ознакомлении с ними, содержали в себе ряд неточностей и ошибок, потребовавших своего устранения путем соответствующей проработки чертежей на заводе № 29;</w:t>
      </w:r>
    </w:p>
    <w:p w14:paraId="4D393000"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2) заказанный через фирму за границей режущий и мерительный инструмент для производства мотора Ю</w:t>
      </w:r>
      <w:r w:rsidRPr="00507A31">
        <w:rPr>
          <w:color w:val="000000" w:themeColor="text1"/>
          <w:sz w:val="16"/>
          <w:szCs w:val="16"/>
        </w:rPr>
        <w:noBreakHyphen/>
        <w:t>VI оказался в некоторой части несоответствующим по своим размерам.</w:t>
      </w:r>
    </w:p>
    <w:p w14:paraId="25F33F80"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Кроме указанных выше фирм, с которым Авиатрест заключил договора о техпомощи, Авиатрестом и Президиумом ВСНХ СССР подписан договор с фирмой «Хейнкель» на техпомощь по постройке одноместного истребителя сварной конструкции из стальных труб. Договор направлен в Германию и, по имеющимся у нас сведениям, 19 марта был передан фирме на подпись. До сего времени ответа нет. Авиатрестом также была приглашена группа французских конструкторов во главе с гр[ажданином] Ришаром для конструирования морских самолетов. Группа уже работает больше года, и в настоящее время подготовляется к испытанию самолет-торпедоносец большой грузоподъемности. Кроме того, этой группой должен быть запроектирован ряд морских машин. Также приглашен конструктор Гох для конструирования самолетов.</w:t>
      </w:r>
    </w:p>
    <w:p w14:paraId="7FD7E09F"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Кроме всего указанного, все тресты составили списки тех вопросов, которые их в настоящее время интересуют и которые не всегда могут быть разрешены путем привлечения техпомощи. Получение этих сведений поручено соответствующим органам. До сего времени информация, получаемая таким путем, не всегда была полной и не могла быть использованной из-за своей поверхностности.</w:t>
      </w:r>
    </w:p>
    <w:p w14:paraId="17D12CC6"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Кроме указанного выше, коллегией ГВПУ приглашен из Америки специалист по организации производства, который находится в ведении начальника ГВПУ и работа которого в настоящее время распространяется лишь на часть оружейно-пулеметных заводов. По мере усвоения нашими заводами методов организации производства, проводимых этим специалистом, его работа будет распространяться и на другие заводы.</w:t>
      </w:r>
    </w:p>
    <w:p w14:paraId="4EAF68E4"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lastRenderedPageBreak/>
        <w:t>Нужно заметить, что практика использования иностранных специалистов как приглашенных индивидуально, так и присланных фирмами, не всегда проходит успешно, Очень часто огромнейшим фактором, препятствующим использованию специалиста, являются наши бытовые условия, резко отличные от тех, в которых привыкли проживать приглашенные для работы у нас специалисты, и в результате огромное количество времени уделяется разрешению вопросов их быта за счет времени, которое должно было бы быть потрачено на использование их как специалистов, причем разрешение ряда как будто бы мелких вопросов связано с нарушением существующих положений и заставляет эти положения нарушать.</w:t>
      </w:r>
    </w:p>
    <w:p w14:paraId="3A57DF2D" w14:textId="77777777" w:rsidR="004337A6" w:rsidRPr="00507A31" w:rsidRDefault="004337A6" w:rsidP="00507A31">
      <w:pPr>
        <w:pStyle w:val="ae"/>
        <w:spacing w:before="0" w:after="0"/>
        <w:jc w:val="both"/>
        <w:rPr>
          <w:color w:val="000000" w:themeColor="text1"/>
          <w:sz w:val="16"/>
          <w:szCs w:val="16"/>
        </w:rPr>
      </w:pPr>
      <w:r w:rsidRPr="00507A31">
        <w:rPr>
          <w:color w:val="000000" w:themeColor="text1"/>
          <w:sz w:val="16"/>
          <w:szCs w:val="16"/>
        </w:rPr>
        <w:t xml:space="preserve">За </w:t>
      </w:r>
      <w:r w:rsidRPr="00507A31">
        <w:rPr>
          <w:rStyle w:val="af0"/>
          <w:i w:val="0"/>
          <w:color w:val="000000" w:themeColor="text1"/>
          <w:sz w:val="16"/>
          <w:szCs w:val="16"/>
        </w:rPr>
        <w:t xml:space="preserve">председателя ВСНХ СССР </w:t>
      </w:r>
      <w:hyperlink r:id="rId54" w:history="1">
        <w:r w:rsidRPr="00507A31">
          <w:rPr>
            <w:rStyle w:val="af0"/>
            <w:i w:val="0"/>
            <w:color w:val="000000" w:themeColor="text1"/>
            <w:sz w:val="16"/>
            <w:szCs w:val="16"/>
          </w:rPr>
          <w:t>Рухимович</w:t>
        </w:r>
      </w:hyperlink>
    </w:p>
    <w:p w14:paraId="58198DD9" w14:textId="77777777" w:rsidR="004337A6" w:rsidRPr="00507A31" w:rsidRDefault="004337A6"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Член Президиума ВСНХ СССР и начальник объединения военной промышленности </w:t>
      </w:r>
      <w:hyperlink r:id="rId55" w:history="1">
        <w:r w:rsidRPr="00507A31">
          <w:rPr>
            <w:rStyle w:val="af0"/>
            <w:i w:val="0"/>
            <w:color w:val="000000" w:themeColor="text1"/>
            <w:sz w:val="16"/>
            <w:szCs w:val="16"/>
          </w:rPr>
          <w:t>Урываев</w:t>
        </w:r>
      </w:hyperlink>
    </w:p>
    <w:p w14:paraId="6763A921" w14:textId="77777777" w:rsidR="004337A6" w:rsidRPr="00507A31" w:rsidRDefault="004337A6" w:rsidP="00507A31">
      <w:pPr>
        <w:pStyle w:val="ae"/>
        <w:spacing w:before="0" w:after="0"/>
        <w:jc w:val="both"/>
        <w:rPr>
          <w:color w:val="000000" w:themeColor="text1"/>
          <w:sz w:val="16"/>
          <w:szCs w:val="16"/>
        </w:rPr>
      </w:pPr>
      <w:r w:rsidRPr="00507A31">
        <w:rPr>
          <w:rStyle w:val="af0"/>
          <w:i w:val="0"/>
          <w:color w:val="000000" w:themeColor="text1"/>
          <w:sz w:val="16"/>
          <w:szCs w:val="16"/>
        </w:rPr>
        <w:t>За ответственного секретаря Президиума ВСНХ СССР³*</w:t>
      </w:r>
    </w:p>
    <w:p w14:paraId="755C3505" w14:textId="77777777" w:rsidR="004337A6" w:rsidRPr="00507A31" w:rsidRDefault="004337A6"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Примечание</w:t>
      </w:r>
      <w:r w:rsidRPr="00507A31">
        <w:rPr>
          <w:color w:val="000000" w:themeColor="text1"/>
          <w:sz w:val="16"/>
          <w:szCs w:val="16"/>
        </w:rPr>
        <w:t>:</w:t>
      </w:r>
    </w:p>
    <w:p w14:paraId="6D6AFF71"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Ввиду того что по плану намечено командирование только 35 чел., возбуждено ходатайство о дополнительном командировании еще 4 чел. (</w:t>
      </w:r>
      <w:r w:rsidRPr="00507A31">
        <w:rPr>
          <w:rStyle w:val="af0"/>
          <w:i w:val="0"/>
          <w:color w:val="000000" w:themeColor="text1"/>
          <w:sz w:val="16"/>
          <w:szCs w:val="16"/>
        </w:rPr>
        <w:t>Прим. док</w:t>
      </w:r>
      <w:r w:rsidRPr="00507A31">
        <w:rPr>
          <w:color w:val="000000" w:themeColor="text1"/>
          <w:sz w:val="16"/>
          <w:szCs w:val="16"/>
        </w:rPr>
        <w:t>.).</w:t>
      </w:r>
    </w:p>
    <w:p w14:paraId="3CD6915B"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Так в тексте.</w:t>
      </w:r>
    </w:p>
    <w:p w14:paraId="0E931AEA"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Подпись неразборчива.</w:t>
      </w:r>
    </w:p>
    <w:p w14:paraId="3C7C4818" w14:textId="77777777" w:rsidR="004337A6" w:rsidRPr="00507A31" w:rsidRDefault="004337A6" w:rsidP="00507A31">
      <w:pPr>
        <w:pStyle w:val="ae"/>
        <w:spacing w:before="0" w:after="0"/>
        <w:jc w:val="both"/>
        <w:rPr>
          <w:color w:val="000000" w:themeColor="text1"/>
          <w:sz w:val="16"/>
          <w:szCs w:val="16"/>
        </w:rPr>
      </w:pPr>
      <w:r w:rsidRPr="00507A31">
        <w:rPr>
          <w:color w:val="000000" w:themeColor="text1"/>
          <w:sz w:val="16"/>
          <w:szCs w:val="16"/>
        </w:rPr>
        <w:t>ГА РФ, Ф, Р-8418, Оп, 4, Д, 84, Л, 4—10, Подлинник.</w:t>
      </w:r>
    </w:p>
    <w:p w14:paraId="06E68655" w14:textId="77777777" w:rsidR="004337A6" w:rsidRPr="00507A31" w:rsidRDefault="004337A6" w:rsidP="00507A31">
      <w:pPr>
        <w:jc w:val="both"/>
        <w:rPr>
          <w:color w:val="000000" w:themeColor="text1"/>
          <w:sz w:val="16"/>
          <w:szCs w:val="16"/>
        </w:rPr>
      </w:pPr>
      <w:r w:rsidRPr="00507A31">
        <w:rPr>
          <w:color w:val="000000" w:themeColor="text1"/>
          <w:sz w:val="16"/>
          <w:szCs w:val="16"/>
        </w:rPr>
        <w:t xml:space="preserve">Архив: ГА РФ, Ф, Р-8418, Оп, 4, Д, 84, Л, 4—10, Подлинник. </w:t>
      </w:r>
    </w:p>
    <w:p w14:paraId="54BC148A" w14:textId="77777777" w:rsidR="004337A6" w:rsidRPr="00507A31" w:rsidRDefault="004337A6"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456-466 (12504).</w:t>
      </w:r>
    </w:p>
    <w:p w14:paraId="4E6CCBAC" w14:textId="77777777" w:rsidR="004337A6" w:rsidRPr="00507A31" w:rsidRDefault="004337A6" w:rsidP="00507A31">
      <w:pPr>
        <w:jc w:val="both"/>
        <w:rPr>
          <w:color w:val="000000" w:themeColor="text1"/>
          <w:sz w:val="16"/>
          <w:szCs w:val="16"/>
        </w:rPr>
      </w:pPr>
    </w:p>
    <w:p w14:paraId="3ECE61A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E84E0D2" w14:textId="77777777" w:rsidR="00537E5F" w:rsidRPr="00507A31" w:rsidRDefault="00537E5F" w:rsidP="00507A31">
      <w:pPr>
        <w:autoSpaceDE w:val="0"/>
        <w:autoSpaceDN w:val="0"/>
        <w:adjustRightInd w:val="0"/>
        <w:jc w:val="both"/>
        <w:rPr>
          <w:iCs/>
          <w:color w:val="000000" w:themeColor="text1"/>
          <w:sz w:val="16"/>
          <w:szCs w:val="16"/>
        </w:rPr>
      </w:pPr>
    </w:p>
    <w:p w14:paraId="1AB17EA8" w14:textId="77777777" w:rsidR="004337A6" w:rsidRPr="00507A31" w:rsidRDefault="004337A6" w:rsidP="00507A31">
      <w:pPr>
        <w:jc w:val="both"/>
        <w:rPr>
          <w:color w:val="000000" w:themeColor="text1"/>
          <w:sz w:val="16"/>
          <w:szCs w:val="16"/>
        </w:rPr>
      </w:pPr>
      <w:r w:rsidRPr="00507A31">
        <w:rPr>
          <w:color w:val="000000" w:themeColor="text1"/>
          <w:sz w:val="16"/>
          <w:szCs w:val="16"/>
        </w:rPr>
        <w:t>25 марта 1930 г. — Доклад ВСНХ СССР в РЗ СТО СССР о привлечении иностранной технической помощи в военной промышленности</w:t>
      </w:r>
    </w:p>
    <w:p w14:paraId="2654A682" w14:textId="77777777" w:rsidR="004337A6" w:rsidRPr="00507A31" w:rsidRDefault="004337A6" w:rsidP="00507A31">
      <w:pPr>
        <w:jc w:val="both"/>
        <w:rPr>
          <w:color w:val="000000" w:themeColor="text1"/>
          <w:sz w:val="16"/>
          <w:szCs w:val="16"/>
        </w:rPr>
      </w:pPr>
      <w:r w:rsidRPr="00507A31">
        <w:rPr>
          <w:color w:val="000000" w:themeColor="text1"/>
          <w:sz w:val="16"/>
          <w:szCs w:val="16"/>
        </w:rPr>
        <w:t>Секретно.</w:t>
      </w:r>
    </w:p>
    <w:p w14:paraId="18849AE7" w14:textId="77777777" w:rsidR="004337A6" w:rsidRPr="00507A31" w:rsidRDefault="004337A6" w:rsidP="00507A31">
      <w:pPr>
        <w:jc w:val="both"/>
        <w:rPr>
          <w:color w:val="000000" w:themeColor="text1"/>
          <w:sz w:val="16"/>
          <w:szCs w:val="16"/>
        </w:rPr>
      </w:pPr>
      <w:r w:rsidRPr="00507A31">
        <w:rPr>
          <w:color w:val="000000" w:themeColor="text1"/>
          <w:sz w:val="16"/>
          <w:szCs w:val="16"/>
        </w:rPr>
        <w:t>Использование иностранной технической помощи в военной промышленности осуществляется по 4</w:t>
      </w:r>
      <w:r w:rsidRPr="00507A31">
        <w:rPr>
          <w:color w:val="000000" w:themeColor="text1"/>
          <w:sz w:val="16"/>
          <w:szCs w:val="16"/>
        </w:rPr>
        <w:noBreakHyphen/>
        <w:t>м направлениям. 1. Командирование работников военной промышленности за границу в целях ознакомления с применяемыми методами в той или иной интересующей нас отрасли. 2. Приглашение отдельных иностранных специалистов для работы в военной промышленности. 3. Заключение договоров о техпомощи с иностранными фирмами и отдельными лицами и 4. Использование наших технических бюро за границей.</w:t>
      </w:r>
    </w:p>
    <w:p w14:paraId="323742F2" w14:textId="77777777" w:rsidR="004337A6" w:rsidRPr="00507A31" w:rsidRDefault="004337A6" w:rsidP="00507A31">
      <w:pPr>
        <w:jc w:val="both"/>
        <w:rPr>
          <w:color w:val="000000" w:themeColor="text1"/>
          <w:sz w:val="16"/>
          <w:szCs w:val="16"/>
        </w:rPr>
      </w:pPr>
      <w:r w:rsidRPr="00507A31">
        <w:rPr>
          <w:color w:val="000000" w:themeColor="text1"/>
          <w:sz w:val="16"/>
          <w:szCs w:val="16"/>
        </w:rPr>
        <w:t>По отдельным трестам использование иностранной технической помощи по указанным видам таковой выражается следующим образом:</w:t>
      </w:r>
    </w:p>
    <w:p w14:paraId="0D100C25" w14:textId="77777777" w:rsidR="004337A6" w:rsidRPr="00507A31" w:rsidRDefault="004337A6" w:rsidP="00507A31">
      <w:pPr>
        <w:jc w:val="both"/>
        <w:rPr>
          <w:color w:val="000000" w:themeColor="text1"/>
          <w:sz w:val="16"/>
          <w:szCs w:val="16"/>
        </w:rPr>
      </w:pPr>
      <w:r w:rsidRPr="00507A31">
        <w:rPr>
          <w:color w:val="000000" w:themeColor="text1"/>
          <w:sz w:val="16"/>
          <w:szCs w:val="16"/>
        </w:rPr>
        <w:t>I. По Орудийно-арсенальному тресту</w:t>
      </w:r>
    </w:p>
    <w:p w14:paraId="3BAE8CD5" w14:textId="77777777" w:rsidR="004337A6" w:rsidRPr="00507A31" w:rsidRDefault="004337A6" w:rsidP="00507A31">
      <w:pPr>
        <w:jc w:val="both"/>
        <w:rPr>
          <w:color w:val="000000" w:themeColor="text1"/>
          <w:sz w:val="16"/>
          <w:szCs w:val="16"/>
        </w:rPr>
      </w:pPr>
      <w:r w:rsidRPr="00507A31">
        <w:rPr>
          <w:color w:val="000000" w:themeColor="text1"/>
          <w:sz w:val="16"/>
          <w:szCs w:val="16"/>
        </w:rPr>
        <w:t>1. Командирование работников военной промышленности за границу</w:t>
      </w:r>
    </w:p>
    <w:p w14:paraId="325D935B" w14:textId="77777777" w:rsidR="004337A6" w:rsidRPr="00507A31" w:rsidRDefault="004337A6" w:rsidP="00507A31">
      <w:pPr>
        <w:jc w:val="both"/>
        <w:rPr>
          <w:color w:val="000000" w:themeColor="text1"/>
          <w:sz w:val="16"/>
          <w:szCs w:val="16"/>
        </w:rPr>
      </w:pPr>
      <w:r w:rsidRPr="00507A31">
        <w:rPr>
          <w:color w:val="000000" w:themeColor="text1"/>
          <w:sz w:val="16"/>
          <w:szCs w:val="16"/>
        </w:rPr>
        <w:t>По плану заграничных командировок должно выехать 26 чел., из них 5 чел. — по договору с Круппом, в счет которого выехало уже 2 инженера. Основная трудность при поездках за границу заключается в размещении командированных по заводам ввиду секретности производства фирм, продукция которых интересует трест, и отсутствия деловой связи с указанными фирмами.</w:t>
      </w:r>
    </w:p>
    <w:p w14:paraId="4AEAEAF1" w14:textId="77777777" w:rsidR="004337A6" w:rsidRPr="00507A31" w:rsidRDefault="004337A6" w:rsidP="00507A31">
      <w:pPr>
        <w:jc w:val="both"/>
        <w:rPr>
          <w:color w:val="000000" w:themeColor="text1"/>
          <w:sz w:val="16"/>
          <w:szCs w:val="16"/>
        </w:rPr>
      </w:pPr>
      <w:r w:rsidRPr="00507A31">
        <w:rPr>
          <w:color w:val="000000" w:themeColor="text1"/>
          <w:sz w:val="16"/>
          <w:szCs w:val="16"/>
        </w:rPr>
        <w:t>2. Приглашение иностранных специалистов</w:t>
      </w:r>
    </w:p>
    <w:p w14:paraId="3143F412" w14:textId="77777777" w:rsidR="004337A6" w:rsidRPr="00507A31" w:rsidRDefault="004337A6" w:rsidP="00507A31">
      <w:pPr>
        <w:jc w:val="both"/>
        <w:rPr>
          <w:color w:val="000000" w:themeColor="text1"/>
          <w:sz w:val="16"/>
          <w:szCs w:val="16"/>
        </w:rPr>
      </w:pPr>
      <w:r w:rsidRPr="00507A31">
        <w:rPr>
          <w:color w:val="000000" w:themeColor="text1"/>
          <w:sz w:val="16"/>
          <w:szCs w:val="16"/>
        </w:rPr>
        <w:t>Орудийно-арсенальным трестом по плану этого года предполагалось пригласить 26 чел. До сего времени приехал 1 инженер — Полк Фрид, который занимается разработкой технологического процесса по танкам на заводе «Большевик». Технические силы не удалось привлечь по намеченному плану по следующим причинам: отсутствие в Германии предложений со стороны инженеров требуемых специальностей, а большинство тех, с которыми входили в переговоры, при детальном ознакомлении с ними или оказывались несоответствующими по квалификации, или не были пропущены соответствующими инстанциями.</w:t>
      </w:r>
    </w:p>
    <w:p w14:paraId="16F72C2F" w14:textId="77777777" w:rsidR="004337A6" w:rsidRPr="00507A31" w:rsidRDefault="004337A6" w:rsidP="00507A31">
      <w:pPr>
        <w:jc w:val="both"/>
        <w:rPr>
          <w:color w:val="000000" w:themeColor="text1"/>
          <w:sz w:val="16"/>
          <w:szCs w:val="16"/>
        </w:rPr>
      </w:pPr>
      <w:r w:rsidRPr="00507A31">
        <w:rPr>
          <w:color w:val="000000" w:themeColor="text1"/>
          <w:sz w:val="16"/>
          <w:szCs w:val="16"/>
        </w:rPr>
        <w:t>3. Заключение договоров о техпомощи</w:t>
      </w:r>
    </w:p>
    <w:p w14:paraId="2366D228" w14:textId="77777777" w:rsidR="004337A6" w:rsidRPr="00507A31" w:rsidRDefault="004337A6" w:rsidP="00507A31">
      <w:pPr>
        <w:jc w:val="both"/>
        <w:rPr>
          <w:color w:val="000000" w:themeColor="text1"/>
          <w:sz w:val="16"/>
          <w:szCs w:val="16"/>
        </w:rPr>
      </w:pPr>
      <w:r w:rsidRPr="00507A31">
        <w:rPr>
          <w:color w:val="000000" w:themeColor="text1"/>
          <w:sz w:val="16"/>
          <w:szCs w:val="16"/>
        </w:rPr>
        <w:t>Орудийно-арсенальным трестом используется общий договор Гомзы с фирмой «Крупп» на предмет изучения методики производства на заводах Круппа орудийных и других специальных сталей, с переносом этих производств на заводы Орудартреста.</w:t>
      </w:r>
    </w:p>
    <w:p w14:paraId="3A98FC28" w14:textId="77777777" w:rsidR="004337A6" w:rsidRPr="00507A31" w:rsidRDefault="004337A6" w:rsidP="00507A31">
      <w:pPr>
        <w:jc w:val="both"/>
        <w:rPr>
          <w:color w:val="000000" w:themeColor="text1"/>
          <w:sz w:val="16"/>
          <w:szCs w:val="16"/>
        </w:rPr>
      </w:pPr>
      <w:r w:rsidRPr="00507A31">
        <w:rPr>
          <w:color w:val="000000" w:themeColor="text1"/>
          <w:sz w:val="16"/>
          <w:szCs w:val="16"/>
        </w:rPr>
        <w:t>До настоящего времени завод «Большевик» Орудартреста был посещен экспертами Круппа для консультации по улучшению производства орудийной стали. В настоящее время ожидается вторая партия инженеров-экспертов, среди которых имеются инженеры, остающиеся работать в течение более или менее продолжительного времени на заводах «Большевик» и ММЗ для тех же целей (постановка производства специальной орудийной стали и термическая обработка). Ведутся переговоры с фирмой «Рейнметалл» на предмет приглашения конструкторской группы для проектирования и постройки образцовых артиллерийских систем.</w:t>
      </w:r>
    </w:p>
    <w:p w14:paraId="1A0E6A24" w14:textId="77777777" w:rsidR="004337A6" w:rsidRPr="00507A31" w:rsidRDefault="004337A6" w:rsidP="00507A31">
      <w:pPr>
        <w:jc w:val="both"/>
        <w:rPr>
          <w:color w:val="000000" w:themeColor="text1"/>
          <w:sz w:val="16"/>
          <w:szCs w:val="16"/>
        </w:rPr>
      </w:pPr>
      <w:r w:rsidRPr="00507A31">
        <w:rPr>
          <w:color w:val="000000" w:themeColor="text1"/>
          <w:sz w:val="16"/>
          <w:szCs w:val="16"/>
        </w:rPr>
        <w:t>Кроме технической помощи от указанных выше двух фирм. Орудийно-арсенальный трест заключил договор с конструктором Отто Шмитцем на разработку конструкции и полного комплекта рабочих чертежей артиллерийских систем: 1) 45</w:t>
      </w:r>
      <w:r w:rsidRPr="00507A31">
        <w:rPr>
          <w:color w:val="000000" w:themeColor="text1"/>
          <w:sz w:val="16"/>
          <w:szCs w:val="16"/>
        </w:rPr>
        <w:noBreakHyphen/>
        <w:t>мм мортиры; 2) 37</w:t>
      </w:r>
      <w:r w:rsidRPr="00507A31">
        <w:rPr>
          <w:color w:val="000000" w:themeColor="text1"/>
          <w:sz w:val="16"/>
          <w:szCs w:val="16"/>
        </w:rPr>
        <w:noBreakHyphen/>
        <w:t>мм спаренной зенитной пушки. Первая система закончена, вторая по договору должна была быть закончена в июле 1929 г., но проект перерабатывается и в настоящее время находится в стадии окончания.</w:t>
      </w:r>
    </w:p>
    <w:p w14:paraId="360AB83A" w14:textId="77777777" w:rsidR="004337A6" w:rsidRPr="00507A31" w:rsidRDefault="004337A6" w:rsidP="00507A31">
      <w:pPr>
        <w:jc w:val="both"/>
        <w:rPr>
          <w:color w:val="000000" w:themeColor="text1"/>
          <w:sz w:val="16"/>
          <w:szCs w:val="16"/>
        </w:rPr>
      </w:pPr>
      <w:r w:rsidRPr="00507A31">
        <w:rPr>
          <w:color w:val="000000" w:themeColor="text1"/>
          <w:sz w:val="16"/>
          <w:szCs w:val="16"/>
        </w:rPr>
        <w:t>Орудийно-арсенальным трестом также приглашен конструктор Фольмер для разработки конструкции и рабочих чертежей колесно-гусеничного танка. Срок окончания работ был установлен в июле-августе прошлого года, но представленный проект был признан неудовлетворительным и конструктору было поручено переработать последний. В настоящее время проект закончен и находится в стадии приемки.</w:t>
      </w:r>
    </w:p>
    <w:p w14:paraId="544A580B" w14:textId="77777777" w:rsidR="004337A6" w:rsidRPr="00507A31" w:rsidRDefault="004337A6" w:rsidP="00507A31">
      <w:pPr>
        <w:jc w:val="both"/>
        <w:rPr>
          <w:color w:val="000000" w:themeColor="text1"/>
          <w:sz w:val="16"/>
          <w:szCs w:val="16"/>
        </w:rPr>
      </w:pPr>
      <w:r w:rsidRPr="00507A31">
        <w:rPr>
          <w:color w:val="000000" w:themeColor="text1"/>
          <w:sz w:val="16"/>
          <w:szCs w:val="16"/>
        </w:rPr>
        <w:t>4. Использование техбюро за границей</w:t>
      </w:r>
    </w:p>
    <w:p w14:paraId="43208912" w14:textId="77777777" w:rsidR="004337A6" w:rsidRPr="00507A31" w:rsidRDefault="004337A6" w:rsidP="00507A31">
      <w:pPr>
        <w:jc w:val="both"/>
        <w:rPr>
          <w:color w:val="000000" w:themeColor="text1"/>
          <w:sz w:val="16"/>
          <w:szCs w:val="16"/>
        </w:rPr>
      </w:pPr>
      <w:r w:rsidRPr="00507A31">
        <w:rPr>
          <w:color w:val="000000" w:themeColor="text1"/>
          <w:sz w:val="16"/>
          <w:szCs w:val="16"/>
        </w:rPr>
        <w:t>Использование наших технических бюро за границей до настоящего времени не дало Орудийно-арсенальному тресту каких-либо результатов. Объясняется это маломощностью техбюро за границей и отсутствием в их составе специалистов, которые бы могли заниматься собиранием необходимого материала. Неоднократные попытки укомплектования этих бюро работниками из Союза упирались в отсутствие кадров, что является в одинаковой мере приложимым ко всем участкам работы, где требуются инженерно-технические силы, и в равной степени относится ко всем остальным трестам военной промышленности.</w:t>
      </w:r>
    </w:p>
    <w:p w14:paraId="523740AB" w14:textId="77777777" w:rsidR="004337A6" w:rsidRPr="00507A31" w:rsidRDefault="004337A6" w:rsidP="00507A31">
      <w:pPr>
        <w:jc w:val="both"/>
        <w:rPr>
          <w:color w:val="000000" w:themeColor="text1"/>
          <w:sz w:val="16"/>
          <w:szCs w:val="16"/>
        </w:rPr>
      </w:pPr>
      <w:r w:rsidRPr="00507A31">
        <w:rPr>
          <w:color w:val="000000" w:themeColor="text1"/>
          <w:sz w:val="16"/>
          <w:szCs w:val="16"/>
        </w:rPr>
        <w:t>II. По Оружейно-пулеметному тресту</w:t>
      </w:r>
    </w:p>
    <w:p w14:paraId="2CB8C4C0" w14:textId="77777777" w:rsidR="004337A6" w:rsidRPr="00507A31" w:rsidRDefault="004337A6" w:rsidP="00507A31">
      <w:pPr>
        <w:jc w:val="both"/>
        <w:rPr>
          <w:color w:val="000000" w:themeColor="text1"/>
          <w:sz w:val="16"/>
          <w:szCs w:val="16"/>
        </w:rPr>
      </w:pPr>
      <w:r w:rsidRPr="00507A31">
        <w:rPr>
          <w:color w:val="000000" w:themeColor="text1"/>
          <w:sz w:val="16"/>
          <w:szCs w:val="16"/>
        </w:rPr>
        <w:t>1. Командирования работников военной промышленности за границу</w:t>
      </w:r>
    </w:p>
    <w:p w14:paraId="4760D16A" w14:textId="77777777" w:rsidR="004337A6" w:rsidRPr="00507A31" w:rsidRDefault="004337A6" w:rsidP="00507A31">
      <w:pPr>
        <w:jc w:val="both"/>
        <w:rPr>
          <w:color w:val="000000" w:themeColor="text1"/>
          <w:sz w:val="16"/>
          <w:szCs w:val="16"/>
        </w:rPr>
      </w:pPr>
      <w:r w:rsidRPr="00507A31">
        <w:rPr>
          <w:color w:val="000000" w:themeColor="text1"/>
          <w:sz w:val="16"/>
          <w:szCs w:val="16"/>
        </w:rPr>
        <w:t>По плану заграничных командировок треста предполагалась поездка 12 чел. В настоящее время в Германии на заводах Круппа находятся 3 инженера. 2 — по изучению лабораторий и 1 — по прокатному делу. Оформляется поездка на заводы Круппа еще 3 инженеров. В плане командировок этого года также значится поездка 3 лиц с Ижевского завода по вопросам металлургии. Кроме того, в скором времени предполагается поездка председателя правления треста т. Невструева и 2 инженеров по освоению техпомощи фирм, изготовляющих охотничье оружие, всего — 12 чел.</w:t>
      </w:r>
    </w:p>
    <w:p w14:paraId="684EBD47" w14:textId="77777777" w:rsidR="004337A6" w:rsidRPr="00507A31" w:rsidRDefault="004337A6" w:rsidP="00507A31">
      <w:pPr>
        <w:jc w:val="both"/>
        <w:rPr>
          <w:color w:val="000000" w:themeColor="text1"/>
          <w:sz w:val="16"/>
          <w:szCs w:val="16"/>
        </w:rPr>
      </w:pPr>
      <w:r w:rsidRPr="00507A31">
        <w:rPr>
          <w:color w:val="000000" w:themeColor="text1"/>
          <w:sz w:val="16"/>
          <w:szCs w:val="16"/>
        </w:rPr>
        <w:t>2. Приглашение иностранных специалистов</w:t>
      </w:r>
    </w:p>
    <w:p w14:paraId="2FC02A9B"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Отдельных лиц (персонально) по Оружейно-пулеметному тресту приглашено не было.</w:t>
      </w:r>
    </w:p>
    <w:p w14:paraId="7A2F3FAA" w14:textId="77777777" w:rsidR="004337A6" w:rsidRPr="00507A31" w:rsidRDefault="004337A6" w:rsidP="00507A31">
      <w:pPr>
        <w:jc w:val="both"/>
        <w:rPr>
          <w:color w:val="000000" w:themeColor="text1"/>
          <w:sz w:val="16"/>
          <w:szCs w:val="16"/>
        </w:rPr>
      </w:pPr>
      <w:r w:rsidRPr="00507A31">
        <w:rPr>
          <w:color w:val="000000" w:themeColor="text1"/>
          <w:sz w:val="16"/>
          <w:szCs w:val="16"/>
        </w:rPr>
        <w:t>3. Заключение договоров о техпомощи</w:t>
      </w:r>
    </w:p>
    <w:p w14:paraId="01AA6847" w14:textId="77777777" w:rsidR="004337A6" w:rsidRPr="00507A31" w:rsidRDefault="004337A6" w:rsidP="00507A31">
      <w:pPr>
        <w:jc w:val="both"/>
        <w:rPr>
          <w:color w:val="000000" w:themeColor="text1"/>
          <w:sz w:val="16"/>
          <w:szCs w:val="16"/>
        </w:rPr>
      </w:pPr>
      <w:r w:rsidRPr="00507A31">
        <w:rPr>
          <w:color w:val="000000" w:themeColor="text1"/>
          <w:sz w:val="16"/>
          <w:szCs w:val="16"/>
        </w:rPr>
        <w:t>Оружейно-пулеметным так же, как и Орудийно-арсенальным трестом, используется общий договор с фирмой «Крупп» по вопросам металлургии. Уже было посещение экспертами Круппа Ижевского завода, причем от них получен ряд указаний, которые в настоящее время прорабатываются на предмет внедрения их в практику заводов. Кроме этого, к Круппу направлен проект прокатного цеха для Ижевского завода на консультацию, и в настоящее время ожидается приезд инженеров Круппа, часть которых будет работать на заводах РУЖа. Есть предположение, что одного из приехавших можно будет оставить для постоянной работы в должности главного металлурга на Ижевском заводе.</w:t>
      </w:r>
    </w:p>
    <w:p w14:paraId="016F27AA" w14:textId="77777777" w:rsidR="004337A6" w:rsidRPr="00507A31" w:rsidRDefault="004337A6" w:rsidP="00507A31">
      <w:pPr>
        <w:jc w:val="both"/>
        <w:rPr>
          <w:color w:val="000000" w:themeColor="text1"/>
          <w:sz w:val="16"/>
          <w:szCs w:val="16"/>
        </w:rPr>
      </w:pPr>
      <w:r w:rsidRPr="00507A31">
        <w:rPr>
          <w:color w:val="000000" w:themeColor="text1"/>
          <w:sz w:val="16"/>
          <w:szCs w:val="16"/>
        </w:rPr>
        <w:t>9 октября 1928 г. заключен договор с фирмой «Карл Вальтер» по нарезке стволов малокалиберной винтовки, со сроком действия на 3 года. Целью договора является техническое содействие фирмы по нарезке стволов малокалиберной винтовки и по опытному применению аналогичных методов для нарезки стволов 3</w:t>
      </w:r>
      <w:r w:rsidRPr="00507A31">
        <w:rPr>
          <w:color w:val="000000" w:themeColor="text1"/>
          <w:sz w:val="16"/>
          <w:szCs w:val="16"/>
        </w:rPr>
        <w:noBreakHyphen/>
        <w:t>линейной боевой винтовки и пулеметов. Договор выполняется на Первых оружейных заводах в Туле. Стоимость договора — 60 тыс. руб., которые полностью фирме уплачены.</w:t>
      </w:r>
    </w:p>
    <w:p w14:paraId="20515D42" w14:textId="77777777" w:rsidR="004337A6" w:rsidRPr="00507A31" w:rsidRDefault="004337A6" w:rsidP="00507A31">
      <w:pPr>
        <w:jc w:val="both"/>
        <w:rPr>
          <w:color w:val="000000" w:themeColor="text1"/>
          <w:sz w:val="16"/>
          <w:szCs w:val="16"/>
        </w:rPr>
      </w:pPr>
      <w:r w:rsidRPr="00507A31">
        <w:rPr>
          <w:color w:val="000000" w:themeColor="text1"/>
          <w:sz w:val="16"/>
          <w:szCs w:val="16"/>
        </w:rPr>
        <w:t>Производственные опыты нарезки малокалиберных винтовок дали вполне удовлетворительные результаты. Программа 1929/30 г. на 100 тыс. шт. будет выполнена этим способом, что даст значительную экономию (до 80 тыс. руб. на указанной программе) и устранит имеющийся недостаток высококвалифицированной рабочей силы (5</w:t>
      </w:r>
      <w:r w:rsidRPr="00507A31">
        <w:rPr>
          <w:color w:val="000000" w:themeColor="text1"/>
          <w:sz w:val="16"/>
          <w:szCs w:val="16"/>
        </w:rPr>
        <w:noBreakHyphen/>
        <w:t>7 разрядов), которая требовалась при прежнем способе нарезки. Опытная нарезка стволов 3</w:t>
      </w:r>
      <w:r w:rsidRPr="00507A31">
        <w:rPr>
          <w:color w:val="000000" w:themeColor="text1"/>
          <w:sz w:val="16"/>
          <w:szCs w:val="16"/>
        </w:rPr>
        <w:noBreakHyphen/>
        <w:t>линейных винтовок и пулеметов дала также хорошие результаты.</w:t>
      </w:r>
    </w:p>
    <w:p w14:paraId="6C7375CC" w14:textId="77777777" w:rsidR="004337A6" w:rsidRPr="00507A31" w:rsidRDefault="004337A6" w:rsidP="00507A31">
      <w:pPr>
        <w:jc w:val="both"/>
        <w:rPr>
          <w:color w:val="000000" w:themeColor="text1"/>
          <w:sz w:val="16"/>
          <w:szCs w:val="16"/>
        </w:rPr>
      </w:pPr>
      <w:r w:rsidRPr="00507A31">
        <w:rPr>
          <w:color w:val="000000" w:themeColor="text1"/>
          <w:sz w:val="16"/>
          <w:szCs w:val="16"/>
        </w:rPr>
        <w:t>Фирма выполняет своп обязательства удовлетворительно. От фирмы получен соответствующий нарезательный станок и необходимые руководства и указания по производству и инструменту. Кроме того, наши техники прошли обучение на заводе фирмы.</w:t>
      </w:r>
    </w:p>
    <w:p w14:paraId="247B1573" w14:textId="77777777" w:rsidR="004337A6" w:rsidRPr="00507A31" w:rsidRDefault="004337A6" w:rsidP="00507A31">
      <w:pPr>
        <w:jc w:val="both"/>
        <w:rPr>
          <w:color w:val="000000" w:themeColor="text1"/>
          <w:sz w:val="16"/>
          <w:szCs w:val="16"/>
        </w:rPr>
      </w:pPr>
      <w:r w:rsidRPr="00507A31">
        <w:rPr>
          <w:color w:val="000000" w:themeColor="text1"/>
          <w:sz w:val="16"/>
          <w:szCs w:val="16"/>
        </w:rPr>
        <w:t>В июне 1929 г. заключен договор с той же фирмой по применению состава «Ситаксид». Стоимость договора — 17,5 тыс. руб. Сущность его заключается в передаче Оружейно-пулеметному тресту фирмой права применения и секрета изготовления состава «Ситаксид» для воронения винтовочных, пулеметных и прочих частей оружия.</w:t>
      </w:r>
    </w:p>
    <w:p w14:paraId="20F2A217" w14:textId="77777777" w:rsidR="004337A6" w:rsidRPr="00507A31" w:rsidRDefault="004337A6" w:rsidP="00507A31">
      <w:pPr>
        <w:jc w:val="both"/>
        <w:rPr>
          <w:color w:val="000000" w:themeColor="text1"/>
          <w:sz w:val="16"/>
          <w:szCs w:val="16"/>
        </w:rPr>
      </w:pPr>
      <w:r w:rsidRPr="00507A31">
        <w:rPr>
          <w:color w:val="000000" w:themeColor="text1"/>
          <w:sz w:val="16"/>
          <w:szCs w:val="16"/>
        </w:rPr>
        <w:t>От фирмы получено 400 кг указанного состава, каковым произведены опыты по воронению. Эти опыты показали, что применение ситаксида для частей военного оружия не дает вполне удовлетворительных результатов в отношении химической стойкости. Поэтому в дальнейшем применение этого состава будет иметь место для воронения деталей оружия, идущего на гражданский рынок и для других видов гражданской продукции. Объем такой продукции по одному Оружейно-пулеметному тресту составляет до 25 млн. руб. в 1929/30 г. В дальнейшем предполагается употребление ситаксида распространить и на продукцию гражданских трестов. Применение состава «Ситаксид» для воронения указанной продукции в результате должно дать значительное ее удешевление.</w:t>
      </w:r>
    </w:p>
    <w:p w14:paraId="17410082" w14:textId="77777777" w:rsidR="004337A6" w:rsidRPr="00507A31" w:rsidRDefault="004337A6" w:rsidP="00507A31">
      <w:pPr>
        <w:jc w:val="both"/>
        <w:rPr>
          <w:color w:val="000000" w:themeColor="text1"/>
          <w:sz w:val="16"/>
          <w:szCs w:val="16"/>
        </w:rPr>
      </w:pPr>
      <w:r w:rsidRPr="00507A31">
        <w:rPr>
          <w:color w:val="000000" w:themeColor="text1"/>
          <w:sz w:val="16"/>
          <w:szCs w:val="16"/>
        </w:rPr>
        <w:t>4. Использование техбюро за границей</w:t>
      </w:r>
    </w:p>
    <w:p w14:paraId="33BD3EE3" w14:textId="77777777" w:rsidR="004337A6" w:rsidRPr="00507A31" w:rsidRDefault="004337A6" w:rsidP="00507A31">
      <w:pPr>
        <w:jc w:val="both"/>
        <w:rPr>
          <w:color w:val="000000" w:themeColor="text1"/>
          <w:sz w:val="16"/>
          <w:szCs w:val="16"/>
        </w:rPr>
      </w:pPr>
      <w:r w:rsidRPr="00507A31">
        <w:rPr>
          <w:color w:val="000000" w:themeColor="text1"/>
          <w:sz w:val="16"/>
          <w:szCs w:val="16"/>
        </w:rPr>
        <w:lastRenderedPageBreak/>
        <w:t>Использование техбюро Оружейно-пулеметным трестом также весьма ограничено по причинам, указанным в отношении Орудийно-арсенального треста, т. е. слабости наших бюро из-за невозможности укомплектования их соответствующим персоналом.</w:t>
      </w:r>
    </w:p>
    <w:p w14:paraId="7E226520" w14:textId="77777777" w:rsidR="004337A6" w:rsidRPr="00507A31" w:rsidRDefault="004337A6" w:rsidP="00507A31">
      <w:pPr>
        <w:jc w:val="both"/>
        <w:rPr>
          <w:color w:val="000000" w:themeColor="text1"/>
          <w:sz w:val="16"/>
          <w:szCs w:val="16"/>
        </w:rPr>
      </w:pPr>
      <w:r w:rsidRPr="00507A31">
        <w:rPr>
          <w:color w:val="000000" w:themeColor="text1"/>
          <w:sz w:val="16"/>
          <w:szCs w:val="16"/>
        </w:rPr>
        <w:t>III. По Патронно-трубочному тресту</w:t>
      </w:r>
    </w:p>
    <w:p w14:paraId="088E7497" w14:textId="77777777" w:rsidR="004337A6" w:rsidRPr="00507A31" w:rsidRDefault="004337A6" w:rsidP="00507A31">
      <w:pPr>
        <w:jc w:val="both"/>
        <w:rPr>
          <w:color w:val="000000" w:themeColor="text1"/>
          <w:sz w:val="16"/>
          <w:szCs w:val="16"/>
        </w:rPr>
      </w:pPr>
      <w:r w:rsidRPr="00507A31">
        <w:rPr>
          <w:color w:val="000000" w:themeColor="text1"/>
          <w:sz w:val="16"/>
          <w:szCs w:val="16"/>
        </w:rPr>
        <w:t>1. Командирование работников военной промышленности за границу</w:t>
      </w:r>
    </w:p>
    <w:p w14:paraId="5C1B70FD" w14:textId="77777777" w:rsidR="004337A6" w:rsidRPr="00507A31" w:rsidRDefault="004337A6" w:rsidP="00507A31">
      <w:pPr>
        <w:jc w:val="both"/>
        <w:rPr>
          <w:color w:val="000000" w:themeColor="text1"/>
          <w:sz w:val="16"/>
          <w:szCs w:val="16"/>
        </w:rPr>
      </w:pPr>
      <w:r w:rsidRPr="00507A31">
        <w:rPr>
          <w:color w:val="000000" w:themeColor="text1"/>
          <w:sz w:val="16"/>
          <w:szCs w:val="16"/>
        </w:rPr>
        <w:t>По плану командировок Патронно-трубочного треста предполагается отправка заграницу 23 чел., из них 10 — к фирме «Гирш», для освоения технической помощи по производству плакированного железа. В настоящее время из этих 10 чел. направлено 2 инженера, размещающие оборудования для завода по плакированному железу.</w:t>
      </w:r>
    </w:p>
    <w:p w14:paraId="23CA733A" w14:textId="77777777" w:rsidR="004337A6" w:rsidRPr="00507A31" w:rsidRDefault="004337A6" w:rsidP="00507A31">
      <w:pPr>
        <w:jc w:val="both"/>
        <w:rPr>
          <w:color w:val="000000" w:themeColor="text1"/>
          <w:sz w:val="16"/>
          <w:szCs w:val="16"/>
        </w:rPr>
      </w:pPr>
      <w:r w:rsidRPr="00507A31">
        <w:rPr>
          <w:color w:val="000000" w:themeColor="text1"/>
          <w:sz w:val="16"/>
          <w:szCs w:val="16"/>
        </w:rPr>
        <w:t>2. Приглашение иностранных специалистов</w:t>
      </w:r>
    </w:p>
    <w:p w14:paraId="28B33F54"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Приглашен 1 инженер для конструирования специальных патронных станков и в настоящее время работает на заводе № 60. Всего же тресту в этом году требуется 9 чел. иностранных специалистов по разным отраслям, как-то: инженеры-инструментальщики, по горячей обработке цветных металлов, по литью под давлением, горячей штамповке, конструктора патронных станков, инструктора по производству мелкокалиберных патронов, охотничьим гильзам и специалист по велосипедному делу. Весь этот перечень переслан в наше техническое бюро для подыскания соответствующих кандидатур. До настоящего времени, за исключением указанного выше конструктора, никого не пригласили.</w:t>
      </w:r>
    </w:p>
    <w:p w14:paraId="7F914963" w14:textId="77777777" w:rsidR="004337A6" w:rsidRPr="00507A31" w:rsidRDefault="004337A6" w:rsidP="00507A31">
      <w:pPr>
        <w:jc w:val="both"/>
        <w:rPr>
          <w:color w:val="000000" w:themeColor="text1"/>
          <w:sz w:val="16"/>
          <w:szCs w:val="16"/>
        </w:rPr>
      </w:pPr>
      <w:r w:rsidRPr="00507A31">
        <w:rPr>
          <w:color w:val="000000" w:themeColor="text1"/>
          <w:sz w:val="16"/>
          <w:szCs w:val="16"/>
        </w:rPr>
        <w:t>3. Заключение договоров о техпомощи</w:t>
      </w:r>
    </w:p>
    <w:p w14:paraId="03B94CEF" w14:textId="77777777" w:rsidR="004337A6" w:rsidRPr="00507A31" w:rsidRDefault="004337A6" w:rsidP="00507A31">
      <w:pPr>
        <w:jc w:val="both"/>
        <w:rPr>
          <w:color w:val="000000" w:themeColor="text1"/>
          <w:sz w:val="16"/>
          <w:szCs w:val="16"/>
        </w:rPr>
      </w:pPr>
      <w:r w:rsidRPr="00507A31">
        <w:rPr>
          <w:color w:val="000000" w:themeColor="text1"/>
          <w:sz w:val="16"/>
          <w:szCs w:val="16"/>
        </w:rPr>
        <w:t>Патронно-трубочным трестом заключен договор с фирмой «Гирш Купферверке» по проектированию завода для производства плакированного железа. Техпомощь выразилась в проработке всех технологических процессов для этого завода, консультации при выборе оборудования, обучении приемам работы наших работников на заводах фирмы, надзора за монтажом нашего завода и пуск его в ход. Стоимость всей техпомощи— 200 тыс. руб. Проекты предварительные и окончательные получены частично в июле 1929 г. и 20 ноября 1929 г. рассмотрены и приняты трестом и утверждены коллегией ГВПУ 23 декабря 1929 г.</w:t>
      </w:r>
    </w:p>
    <w:p w14:paraId="76C92AF0" w14:textId="77777777" w:rsidR="004337A6" w:rsidRPr="00507A31" w:rsidRDefault="004337A6" w:rsidP="00507A31">
      <w:pPr>
        <w:jc w:val="both"/>
        <w:rPr>
          <w:color w:val="000000" w:themeColor="text1"/>
          <w:sz w:val="16"/>
          <w:szCs w:val="16"/>
        </w:rPr>
      </w:pPr>
      <w:r w:rsidRPr="00507A31">
        <w:rPr>
          <w:color w:val="000000" w:themeColor="text1"/>
          <w:sz w:val="16"/>
          <w:szCs w:val="16"/>
        </w:rPr>
        <w:t>В настоящее время здание, в котором будет ставиться производство с привлечением иностранной технической помощи, строится. Оборудование для этого завода размещается в Германии, и уже направлены в Германию 2 инженера, которые участвовали в выборе оборудования и размещают заказы согласно проекту, при участии консультантов фирмы «Гирш».</w:t>
      </w:r>
    </w:p>
    <w:p w14:paraId="1E812948" w14:textId="77777777" w:rsidR="004337A6" w:rsidRPr="00507A31" w:rsidRDefault="004337A6" w:rsidP="00507A31">
      <w:pPr>
        <w:jc w:val="both"/>
        <w:rPr>
          <w:color w:val="000000" w:themeColor="text1"/>
          <w:sz w:val="16"/>
          <w:szCs w:val="16"/>
        </w:rPr>
      </w:pPr>
      <w:r w:rsidRPr="00507A31">
        <w:rPr>
          <w:color w:val="000000" w:themeColor="text1"/>
          <w:sz w:val="16"/>
          <w:szCs w:val="16"/>
        </w:rPr>
        <w:t>4. Использование техбюро за границей</w:t>
      </w:r>
    </w:p>
    <w:p w14:paraId="5C197ECE" w14:textId="77777777" w:rsidR="004337A6" w:rsidRPr="00507A31" w:rsidRDefault="004337A6" w:rsidP="00507A31">
      <w:pPr>
        <w:jc w:val="both"/>
        <w:rPr>
          <w:color w:val="000000" w:themeColor="text1"/>
          <w:sz w:val="16"/>
          <w:szCs w:val="16"/>
        </w:rPr>
      </w:pPr>
      <w:r w:rsidRPr="00507A31">
        <w:rPr>
          <w:color w:val="000000" w:themeColor="text1"/>
          <w:sz w:val="16"/>
          <w:szCs w:val="16"/>
        </w:rPr>
        <w:t>Наше техбюро за границей является связующим звеном между фирмой «Гирш» и Патрубтрестом, а также снабжает Патрубтрест технической литературой и отдельными литературными материалами по интересующим трест производствам.</w:t>
      </w:r>
    </w:p>
    <w:p w14:paraId="592281E5" w14:textId="77777777" w:rsidR="004337A6" w:rsidRPr="00507A31" w:rsidRDefault="004337A6" w:rsidP="00507A31">
      <w:pPr>
        <w:jc w:val="both"/>
        <w:rPr>
          <w:color w:val="000000" w:themeColor="text1"/>
          <w:sz w:val="16"/>
          <w:szCs w:val="16"/>
        </w:rPr>
      </w:pPr>
      <w:r w:rsidRPr="00507A31">
        <w:rPr>
          <w:color w:val="000000" w:themeColor="text1"/>
          <w:sz w:val="16"/>
          <w:szCs w:val="16"/>
        </w:rPr>
        <w:t>По Военно-химическому тресту</w:t>
      </w:r>
    </w:p>
    <w:p w14:paraId="1BDE1EF6" w14:textId="77777777" w:rsidR="004337A6" w:rsidRPr="00507A31" w:rsidRDefault="004337A6" w:rsidP="00507A31">
      <w:pPr>
        <w:jc w:val="both"/>
        <w:rPr>
          <w:color w:val="000000" w:themeColor="text1"/>
          <w:sz w:val="16"/>
          <w:szCs w:val="16"/>
        </w:rPr>
      </w:pPr>
      <w:r w:rsidRPr="00507A31">
        <w:rPr>
          <w:color w:val="000000" w:themeColor="text1"/>
          <w:sz w:val="16"/>
          <w:szCs w:val="16"/>
        </w:rPr>
        <w:t>1. Командирование работников военной промышленности за границу</w:t>
      </w:r>
    </w:p>
    <w:p w14:paraId="33568501" w14:textId="77777777" w:rsidR="004337A6" w:rsidRPr="00507A31" w:rsidRDefault="004337A6" w:rsidP="00507A31">
      <w:pPr>
        <w:jc w:val="both"/>
        <w:rPr>
          <w:color w:val="000000" w:themeColor="text1"/>
          <w:sz w:val="16"/>
          <w:szCs w:val="16"/>
        </w:rPr>
      </w:pPr>
      <w:r w:rsidRPr="00507A31">
        <w:rPr>
          <w:color w:val="000000" w:themeColor="text1"/>
          <w:sz w:val="16"/>
          <w:szCs w:val="16"/>
        </w:rPr>
        <w:t>По плану командировок Вохимтреста должно поехать 85 чел. Из них: для изучения производственных процессов в связи с договорами о техпомощи — 79 чел. и командировка комиссии правления треста — 6 чел.</w:t>
      </w:r>
    </w:p>
    <w:p w14:paraId="193955B3" w14:textId="77777777" w:rsidR="004337A6" w:rsidRPr="00507A31" w:rsidRDefault="004337A6" w:rsidP="00507A31">
      <w:pPr>
        <w:jc w:val="both"/>
        <w:rPr>
          <w:color w:val="000000" w:themeColor="text1"/>
          <w:sz w:val="16"/>
          <w:szCs w:val="16"/>
        </w:rPr>
      </w:pPr>
      <w:r w:rsidRPr="00507A31">
        <w:rPr>
          <w:color w:val="000000" w:themeColor="text1"/>
          <w:sz w:val="16"/>
          <w:szCs w:val="16"/>
        </w:rPr>
        <w:t>2. Приглашение иностранных специалистов</w:t>
      </w:r>
    </w:p>
    <w:p w14:paraId="479981CE" w14:textId="77777777" w:rsidR="004337A6" w:rsidRPr="00507A31" w:rsidRDefault="004337A6" w:rsidP="00507A31">
      <w:pPr>
        <w:jc w:val="both"/>
        <w:rPr>
          <w:color w:val="000000" w:themeColor="text1"/>
          <w:sz w:val="16"/>
          <w:szCs w:val="16"/>
        </w:rPr>
      </w:pPr>
      <w:r w:rsidRPr="00507A31">
        <w:rPr>
          <w:color w:val="000000" w:themeColor="text1"/>
          <w:sz w:val="16"/>
          <w:szCs w:val="16"/>
        </w:rPr>
        <w:t>Отдельных работников трест не пригласил, а имеющиеся здесь работники являются посланными фирм, с которыми заключены договора о технической помощи.</w:t>
      </w:r>
    </w:p>
    <w:p w14:paraId="67158424" w14:textId="77777777" w:rsidR="004337A6" w:rsidRPr="00507A31" w:rsidRDefault="004337A6" w:rsidP="00507A31">
      <w:pPr>
        <w:jc w:val="both"/>
        <w:rPr>
          <w:color w:val="000000" w:themeColor="text1"/>
          <w:sz w:val="16"/>
          <w:szCs w:val="16"/>
        </w:rPr>
      </w:pPr>
      <w:r w:rsidRPr="00507A31">
        <w:rPr>
          <w:color w:val="000000" w:themeColor="text1"/>
          <w:sz w:val="16"/>
          <w:szCs w:val="16"/>
        </w:rPr>
        <w:t>3. Заключение договоров о техпомощи</w:t>
      </w:r>
    </w:p>
    <w:p w14:paraId="3F7B3DC8" w14:textId="77777777" w:rsidR="004337A6" w:rsidRPr="00507A31" w:rsidRDefault="004337A6" w:rsidP="00507A31">
      <w:pPr>
        <w:jc w:val="both"/>
        <w:rPr>
          <w:color w:val="000000" w:themeColor="text1"/>
          <w:sz w:val="16"/>
          <w:szCs w:val="16"/>
        </w:rPr>
      </w:pPr>
      <w:r w:rsidRPr="00507A31">
        <w:rPr>
          <w:color w:val="000000" w:themeColor="text1"/>
          <w:sz w:val="16"/>
          <w:szCs w:val="16"/>
        </w:rPr>
        <w:t>А. Договор с фирмой «Брежа»</w:t>
      </w:r>
    </w:p>
    <w:p w14:paraId="75FE004A"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Договор с фирмой «Брежа» Военно-химическим трестом заключен в 1927 г., 23 июля, на поставку оборудования и установку аппарата для улавливания растворителей, которые при существовавшем способе производства порохов терялись безвозвратно (состав растворителей — спирт и эфир), мощностью на 1,5 т в сутки. Установка смонтирована и пущена в декабре 1928 г. и в течение первых месяцев эксплуатации, естественно, не могла дать полного эффекта. Годовое испытание установки показало ее достаточную эффективность и дало прибыли за истекший год 35 тыс. руб. Достигнутые к настоящему моменту показатели гарантируют амортизацию всей установки в течение следующего года.</w:t>
      </w:r>
    </w:p>
    <w:p w14:paraId="2C5E0089"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Полная стоимость установки исчисляется в 530 тыс. руб., из коих 250 тыс. руб. уплачены за патент фирме, стоимость оборудования — 90 тыс. руб., расход по монтажу — 90 тыс. руб. и строительные работы 100 тыс. руб. По условиям договора до настоящего времени фирме «Брежа» за патент уплачено 125 тыс. руб., а остальные будут уплачены в следующие годы.</w:t>
      </w:r>
    </w:p>
    <w:p w14:paraId="2D473FBE"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На основе опыта работы установки в настоящее время Вохимтрестом разработан проект укрупненных установок, которые будут использованы Вохимтрестом при производстве порохов и нитрошелка. Договор с «Брежа» не предусматривал со стороны последнего технического содействия, почему работники Вохимтреста не посылались за границу для изучения работы этих установок. Со стороны фирмы работал на установке один монтер в качестве наблюдателя за правильностью эксплуатации. В истекшем году руководство работой установки находилось в руках заводской администрации.</w:t>
      </w:r>
    </w:p>
    <w:p w14:paraId="216529CD" w14:textId="77777777" w:rsidR="004337A6" w:rsidRPr="00507A31" w:rsidRDefault="004337A6" w:rsidP="00507A31">
      <w:pPr>
        <w:jc w:val="both"/>
        <w:rPr>
          <w:color w:val="000000" w:themeColor="text1"/>
          <w:sz w:val="16"/>
          <w:szCs w:val="16"/>
        </w:rPr>
      </w:pPr>
      <w:r w:rsidRPr="00507A31">
        <w:rPr>
          <w:color w:val="000000" w:themeColor="text1"/>
          <w:sz w:val="16"/>
          <w:szCs w:val="16"/>
        </w:rPr>
        <w:t>Б. Договор с фирмой «Люмьер» (фотокинопленка)</w:t>
      </w:r>
    </w:p>
    <w:p w14:paraId="410165C7"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Договор с фирмой «Люмьер» на установку производства фотокинопленки в общей сумме до 50 млн. м заключен 8 сентября 1928 г. Заключение договора преследовало цель насаждения мирных производств на заводах Вохимтреста, ассимилирующих военные производства, в данном случае — пироксилиново-пороховое.</w:t>
      </w:r>
    </w:p>
    <w:p w14:paraId="6DAA67FE"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Стоимость договора с включением технической помощи — 450 тыс. долларов; по настоящее время фирме выплачено 180 тыс. долларов. Объем договора — передача патента и секретов, которыми обладает фирма в настоящее время, и тех, которыми она будет располагать в течение 10 лет вперед. Кроме того, фирма обязана представить эскизный проект установки со всеми расчетами аппаратуры, смонтировать всю установку и руководить производством в течение 6 месяцев после пуска ее в ход. Дополнительно и бесплатно к договору установлено соглашение о возможности командирования работников Вохимтреста на завод Люмьера для изучения производства в числе 10 чел. сверх З чел., предусмотренных договором, в течение всех 10 лет действия договора.</w:t>
      </w:r>
    </w:p>
    <w:p w14:paraId="3D648046"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К настоящему времени строительство главного корпуса установки фотокинопленки закончено, размещаются заказы оборудования на внешнем рынке, к монтажу будет приступлено в июле текущего года и окончание монтажа предусмотрено договором к июлю 1931 г. и на полную мощность — к июлю 1932 г. (постановлением СТО пуск завода на полную мощность предусмотрен в 1932/33 г.).</w:t>
      </w:r>
    </w:p>
    <w:p w14:paraId="5399C0CA"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Фирмой «Люмьер» до настоящего времени передан Вохимтресту эскизный проект и необходимые чертежи, а также вся рецептура для производства фотокиноиленки. На основе полученных рецептов Вохимтрестом изготовлены образцы на опытной установке, признанные удовлетворительными по их фотосвойствам. В прохождении эскизного проекта имелась 3</w:t>
      </w:r>
      <w:r w:rsidRPr="00507A31">
        <w:rPr>
          <w:color w:val="000000" w:themeColor="text1"/>
          <w:sz w:val="16"/>
          <w:szCs w:val="16"/>
        </w:rPr>
        <w:noBreakHyphen/>
        <w:t>месячная задержка против срока, предусмотренного договором, вызванная объективными обстоятельствами, связанными с затруднениями прохождения этого вопроса в силу новизны этого дела. Сверх договора фирма командировала своего инженера для разработки строительного проекта в Союз и так же сверх договора командировала другого инженера для пуска и налаживания работы этой установки, которыми она не обязывалась заключенным договором. Со стороны Вохимтреста командированы и работают на заводах фирмы 3 инженера. Представители фирмы «Люмьер» участвуют в работе торгпредства по размещению заказов оборудования.</w:t>
      </w:r>
    </w:p>
    <w:p w14:paraId="4C85EA89"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Затруднением при реализации этого договора в размещении оборудования за границей оказалось следующее обстоятельство: сверх договора фирма согласилась бесплатно разместить и гарантировать наши заказы за границей, касающиеся фото-киноустановки, но в момент реализации этого соглашения банковский совет фирмы «Люмьер» отказался дать эти гарантии, вследствие чего получилась задержка с размещением заказов оборудования. В то же время дирекция фирмы «Люмьер» заверила представителей Вохимтреста, что с ее стороны будут приняты все меры к тому, чтобы изменить это решение банковского совета в желательном для СССР направлении.</w:t>
      </w:r>
    </w:p>
    <w:p w14:paraId="48836BDA"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При строительстве завода фотокинопленки со стороны завода Вохимтреста, производящего строительство, были допущены ошибки, повлекшие за собой некоторую задержку в строительстве и вызвавшие некоторые добавочные расходы в сумме около 250 тыс. руб. (при начале строительства не было учтено высокое стояние грунтовых вод).</w:t>
      </w:r>
    </w:p>
    <w:p w14:paraId="74CD5B1D"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Вохимтрест на основе заключенного договора предполагает проектирование и постройку второго завода кинопленки мощностью на 100</w:t>
      </w:r>
      <w:r w:rsidRPr="00507A31">
        <w:rPr>
          <w:color w:val="000000" w:themeColor="text1"/>
          <w:sz w:val="16"/>
          <w:szCs w:val="16"/>
        </w:rPr>
        <w:noBreakHyphen/>
        <w:t>150 млн. м.</w:t>
      </w:r>
    </w:p>
    <w:p w14:paraId="052D6E56" w14:textId="77777777" w:rsidR="004337A6" w:rsidRPr="00507A31" w:rsidRDefault="004337A6" w:rsidP="00507A31">
      <w:pPr>
        <w:jc w:val="both"/>
        <w:rPr>
          <w:color w:val="000000" w:themeColor="text1"/>
          <w:sz w:val="16"/>
          <w:szCs w:val="16"/>
        </w:rPr>
      </w:pPr>
      <w:r w:rsidRPr="00507A31">
        <w:rPr>
          <w:color w:val="000000" w:themeColor="text1"/>
          <w:sz w:val="16"/>
          <w:szCs w:val="16"/>
        </w:rPr>
        <w:t>В. Договор с фирмой «Петролифер» (активир[ованный] уголь)</w:t>
      </w:r>
    </w:p>
    <w:p w14:paraId="3AEE8407"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Договор на производство активированного угля определенных качеств, производства которого не было в пределах Союза, заключен 8 ноября 1928 г. Цена договора — 80 тыс. долларов, из коих фирме уже уплачено 28 тыс. долларов.</w:t>
      </w:r>
    </w:p>
    <w:p w14:paraId="6B4BCF84"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Объем договора предусматривает разработку эскизного проекта мощностью в 900 т активированного угля, с возможностью доведения этой мощности до 1,8 тыс. т в год, передачу всех секретов и методов производства фирмы как находящихся в распоряжении фирмы, так и имеющих быть ею приобретенными в течение 5 лет, причем фирма оговорила обязательство и со стороны Вохимтреста передать ей те усовершенствования и достижения, которые будет иметь Вохимтрест на ее установке. Договором предусмотрена посылка работников Вохимтреста на заводы «Петролифер» в количестве 3 чел. в год, сроком на 5 лет (срок действия договора). Договором предусмотрена также посылка работников фирмы «Петролифер» для производства монтажа (в числе 5 чел.) и для эксплуатации (в количестве 2 чел.) в любое время по вызову Вохимтреста за особую плату.</w:t>
      </w:r>
    </w:p>
    <w:p w14:paraId="5664E606"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К настоящему моменту фирмой переданы Вохимтресту патенты и методы производства и представлен эскизный проект, на основе которого закончены основные строительные работы. Оборудование размещается на внешнем рынке, причем имеется значительная просрочка в размещении заказов на внешнем рынке по причинам, от фирмы и Вохимтреста не зависящим. В настоящее время в размещении заказов участвует специальный представитель фирмы «Петролифер», командированный в распоряжение Парижского торгпредства.</w:t>
      </w:r>
    </w:p>
    <w:p w14:paraId="77D963BF"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lastRenderedPageBreak/>
        <w:t>По исполнению договора имела место задержка (на 5 месяцев) в силу того, что первоначально представленный проект оказался недостаточно проработанным в части строительной и размещения.</w:t>
      </w:r>
    </w:p>
    <w:p w14:paraId="69D481FB"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Производственные испытания образцов продукции «Петролифера» для углей средних по качеству марок дают показания, по заключению ИХО Вохиму, заметно повышающие качества активированных углей, имеющихся сейчас в распоряжении Союза.</w:t>
      </w:r>
    </w:p>
    <w:p w14:paraId="188B7418"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Договором предусмотрено производство на той же аппаратуре в мирное время углей для удовлетворения надобностей промышленности (обеспечивающих углей). На основе полученных сведений и патентов фирмы «Петролифер» Вохимтрестом запроектирована установка и будет осуществлена силами советских инженеров на другом заводе Вохимтреста.</w:t>
      </w:r>
    </w:p>
    <w:p w14:paraId="38F18480"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Во исполнение договора Вохимтрест командировал 2 работников на завод «Петролифера», которые возвратились в последние дни из-за границы. Предстоит посылка следующей смены работников Вохимтреста.</w:t>
      </w:r>
    </w:p>
    <w:p w14:paraId="2474FCCA"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Установка активированного угля мощностью на 900 т, если не будет дальнейших задержек в размещении заказов на заграничное оборудование, должна быть готова к 1 января 1931 г., и дополнительный блок печей для создания мощности 1,8 тыс. т должен быть готов к 1 апреля 1931 г.</w:t>
      </w:r>
    </w:p>
    <w:p w14:paraId="3712A681" w14:textId="77777777" w:rsidR="004337A6" w:rsidRPr="00507A31" w:rsidRDefault="004337A6" w:rsidP="00507A31">
      <w:pPr>
        <w:jc w:val="both"/>
        <w:rPr>
          <w:color w:val="000000" w:themeColor="text1"/>
          <w:sz w:val="16"/>
          <w:szCs w:val="16"/>
        </w:rPr>
      </w:pPr>
      <w:r w:rsidRPr="00507A31">
        <w:rPr>
          <w:color w:val="000000" w:themeColor="text1"/>
          <w:sz w:val="16"/>
          <w:szCs w:val="16"/>
        </w:rPr>
        <w:t>Г. Договор с фирмой «Стик Обур» (нитрошелк)</w:t>
      </w:r>
    </w:p>
    <w:p w14:paraId="618A6386"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Договор на установку производства нитрошелка мощностью 1 тыс. т в год заключен 15 апреля 1929 г. Целью установки нитрошелкового производства является ассимиляция нитроксилиново-порохового производства с мирными производствами.</w:t>
      </w:r>
    </w:p>
    <w:p w14:paraId="15190285"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Объем договора предусматривает разработку полного проекта, монтаж установки, руководство производством после пуска его в течение 6 месяцев, передачу всех производственных секретов, методов и рецептов и обучение наших инженеров и рабочих. Срок действия договора — 10 лет. Стоимость договора — 350 тыс. долларов, из коих фирме уплачено 87,5 тыс. долларов.</w:t>
      </w:r>
    </w:p>
    <w:p w14:paraId="7B825EF0"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К настоящему времени получены от фирмы чертежи эскизного проекта, методы, рецепты и секреты производства. На основе полученных рецептов на опытной установке Вохимтреста уже получены образцы нитрошелка, по качеству еще недостаточно удовлетворительные, но и в настоящем их виде пригодные к употреблению.</w:t>
      </w:r>
    </w:p>
    <w:p w14:paraId="538106FC"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Во исполнение договора Вохимтрестом командирована группа рабочих и инженеров на завод фирмы в числе 2 инженеров и 9 рабочих. 16 января с. г. первая группа рабочих в 6 чел. после обучения возвратилась в Союз, и в настоящее время Вохимтрестом направляется за границу вторая группа рабочих и инженеров. Сверх договора фирма предлагает высылать им любое количество инженеров и рабочих для обучения их на заводах.</w:t>
      </w:r>
    </w:p>
    <w:p w14:paraId="17F5DDAC"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Полученный от фирмы эскизный проект нитрошелковой установки Вохимтрестом не принят как требующий коренной переработки и дополнений. В настоящее время поступают дополнительные материалы от фирмы, и экспертиза поступивших материалов будет иметь место в течение конца января текущего года.</w:t>
      </w:r>
    </w:p>
    <w:p w14:paraId="4E45C715"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В связи с изменением задания, предусмотренного договором, последовавшим по инициативе Вохимтреста (увеличение мощности с 1 тыс  т до 1,6 тыс. т), а также дополнительной проработки силами Вохимтреста специального проекта ассимиляции с пороховым производством и в связи с забракованием представленного проекта на 1,6 тыс. т в части нитрошелкового производства, происходит задержка в реализации строительства, к настоящему времени выражающаяся в 6 с лишним месяцев. Отсутствие утвержденного к настоящему времени проекта задерживает и строительство, и размещение внутренних и внешних заказов на оборудование. Чертежи оборудования и спецификации для него рассмотрены и признаны удовлетворительными. При условии начала строительства в сезоне текущего года оно может быть закончено, и завод может быть пущен в 1931 календарном году.</w:t>
      </w:r>
    </w:p>
    <w:p w14:paraId="65F341ED" w14:textId="77777777" w:rsidR="004337A6" w:rsidRPr="00507A31" w:rsidRDefault="004337A6" w:rsidP="00507A31">
      <w:pPr>
        <w:jc w:val="both"/>
        <w:rPr>
          <w:color w:val="000000" w:themeColor="text1"/>
          <w:sz w:val="16"/>
          <w:szCs w:val="16"/>
        </w:rPr>
      </w:pPr>
      <w:r w:rsidRPr="00507A31">
        <w:rPr>
          <w:color w:val="000000" w:themeColor="text1"/>
          <w:sz w:val="16"/>
          <w:szCs w:val="16"/>
        </w:rPr>
        <w:t>4. Использование техбюро за границей</w:t>
      </w:r>
    </w:p>
    <w:p w14:paraId="4034FE02" w14:textId="77777777" w:rsidR="004337A6" w:rsidRPr="00507A31" w:rsidRDefault="004337A6" w:rsidP="00507A31">
      <w:pPr>
        <w:jc w:val="both"/>
        <w:rPr>
          <w:color w:val="000000" w:themeColor="text1"/>
          <w:sz w:val="16"/>
          <w:szCs w:val="16"/>
        </w:rPr>
      </w:pPr>
      <w:r w:rsidRPr="00507A31">
        <w:rPr>
          <w:color w:val="000000" w:themeColor="text1"/>
          <w:sz w:val="16"/>
          <w:szCs w:val="16"/>
        </w:rPr>
        <w:t>Техбюро не используется по вышеуказанным причинам.</w:t>
      </w:r>
    </w:p>
    <w:p w14:paraId="4C01758E" w14:textId="77777777" w:rsidR="004337A6" w:rsidRPr="00507A31" w:rsidRDefault="004337A6" w:rsidP="00507A31">
      <w:pPr>
        <w:jc w:val="both"/>
        <w:rPr>
          <w:color w:val="000000" w:themeColor="text1"/>
          <w:sz w:val="16"/>
          <w:szCs w:val="16"/>
        </w:rPr>
      </w:pPr>
      <w:r w:rsidRPr="00507A31">
        <w:rPr>
          <w:color w:val="000000" w:themeColor="text1"/>
          <w:sz w:val="16"/>
          <w:szCs w:val="16"/>
        </w:rPr>
        <w:t>V. По Авиационному тресту</w:t>
      </w:r>
    </w:p>
    <w:p w14:paraId="6F07B8D3" w14:textId="77777777" w:rsidR="004337A6" w:rsidRPr="00507A31" w:rsidRDefault="004337A6" w:rsidP="00507A31">
      <w:pPr>
        <w:jc w:val="both"/>
        <w:rPr>
          <w:color w:val="000000" w:themeColor="text1"/>
          <w:sz w:val="16"/>
          <w:szCs w:val="16"/>
        </w:rPr>
      </w:pPr>
      <w:r w:rsidRPr="00507A31">
        <w:rPr>
          <w:color w:val="000000" w:themeColor="text1"/>
          <w:sz w:val="16"/>
          <w:szCs w:val="16"/>
        </w:rPr>
        <w:t>1. Командирование работников военной промышленности за границу</w:t>
      </w:r>
    </w:p>
    <w:p w14:paraId="164A7A9B" w14:textId="77777777" w:rsidR="004337A6" w:rsidRPr="00507A31" w:rsidRDefault="004337A6" w:rsidP="00507A31">
      <w:pPr>
        <w:jc w:val="both"/>
        <w:rPr>
          <w:color w:val="000000" w:themeColor="text1"/>
          <w:sz w:val="16"/>
          <w:szCs w:val="16"/>
        </w:rPr>
      </w:pPr>
      <w:r w:rsidRPr="00507A31">
        <w:rPr>
          <w:color w:val="000000" w:themeColor="text1"/>
          <w:sz w:val="16"/>
          <w:szCs w:val="16"/>
        </w:rPr>
        <w:t>В план командировок Авиатреста входит поездка 35 чел., из них: часть — по договорам техпомощи, часть — для изучения новых производств, не связанных с договорами о техпомощи, и часть — для подготовки новых договоров о техпомощи. До настоящего времени выехало 9 чел., оформляется поездка еще 30 чел., всего — 39 чел.¹*</w:t>
      </w:r>
    </w:p>
    <w:p w14:paraId="424E3AD7" w14:textId="77777777" w:rsidR="004337A6" w:rsidRPr="00507A31" w:rsidRDefault="004337A6" w:rsidP="00507A31">
      <w:pPr>
        <w:jc w:val="both"/>
        <w:rPr>
          <w:color w:val="000000" w:themeColor="text1"/>
          <w:sz w:val="16"/>
          <w:szCs w:val="16"/>
        </w:rPr>
      </w:pPr>
      <w:r w:rsidRPr="00507A31">
        <w:rPr>
          <w:color w:val="000000" w:themeColor="text1"/>
          <w:sz w:val="16"/>
          <w:szCs w:val="16"/>
        </w:rPr>
        <w:t>2. Приглашение иностранных специалистов</w:t>
      </w:r>
    </w:p>
    <w:p w14:paraId="4E341C3A" w14:textId="77777777" w:rsidR="004337A6" w:rsidRPr="00507A31" w:rsidRDefault="004337A6" w:rsidP="00507A31">
      <w:pPr>
        <w:jc w:val="both"/>
        <w:rPr>
          <w:color w:val="000000" w:themeColor="text1"/>
          <w:sz w:val="16"/>
          <w:szCs w:val="16"/>
        </w:rPr>
      </w:pPr>
      <w:r w:rsidRPr="00507A31">
        <w:rPr>
          <w:color w:val="000000" w:themeColor="text1"/>
          <w:sz w:val="16"/>
          <w:szCs w:val="16"/>
        </w:rPr>
        <w:t>Отдельные лица для работы в Союзе не приглашались. Имеющиеся лица являются посланными фирм по договорам о техпомощи.</w:t>
      </w:r>
    </w:p>
    <w:p w14:paraId="402BB9E8" w14:textId="77777777" w:rsidR="004337A6" w:rsidRPr="00507A31" w:rsidRDefault="004337A6" w:rsidP="00507A31">
      <w:pPr>
        <w:jc w:val="both"/>
        <w:rPr>
          <w:color w:val="000000" w:themeColor="text1"/>
          <w:sz w:val="16"/>
          <w:szCs w:val="16"/>
        </w:rPr>
      </w:pPr>
      <w:r w:rsidRPr="00507A31">
        <w:rPr>
          <w:color w:val="000000" w:themeColor="text1"/>
          <w:sz w:val="16"/>
          <w:szCs w:val="16"/>
        </w:rPr>
        <w:t>3. Заключение договоров о техпомощи</w:t>
      </w:r>
    </w:p>
    <w:p w14:paraId="6887D524" w14:textId="77777777" w:rsidR="004337A6" w:rsidRPr="00507A31" w:rsidRDefault="004337A6" w:rsidP="00507A31">
      <w:pPr>
        <w:jc w:val="both"/>
        <w:rPr>
          <w:color w:val="000000" w:themeColor="text1"/>
          <w:sz w:val="16"/>
          <w:szCs w:val="16"/>
        </w:rPr>
      </w:pPr>
      <w:r w:rsidRPr="00507A31">
        <w:rPr>
          <w:color w:val="000000" w:themeColor="text1"/>
          <w:sz w:val="16"/>
          <w:szCs w:val="16"/>
        </w:rPr>
        <w:t>А. Договор с фирмой «БМВ»</w:t>
      </w:r>
    </w:p>
    <w:p w14:paraId="3E08BA71" w14:textId="77777777" w:rsidR="004337A6" w:rsidRPr="00507A31" w:rsidRDefault="004337A6" w:rsidP="00507A31">
      <w:pPr>
        <w:jc w:val="both"/>
        <w:rPr>
          <w:color w:val="000000" w:themeColor="text1"/>
          <w:sz w:val="16"/>
          <w:szCs w:val="16"/>
        </w:rPr>
      </w:pPr>
      <w:r w:rsidRPr="00507A31">
        <w:rPr>
          <w:color w:val="000000" w:themeColor="text1"/>
          <w:sz w:val="16"/>
          <w:szCs w:val="16"/>
        </w:rPr>
        <w:t>Цель договора — покупка права постройки мотора БМВ</w:t>
      </w:r>
      <w:r w:rsidRPr="00507A31">
        <w:rPr>
          <w:color w:val="000000" w:themeColor="text1"/>
          <w:sz w:val="16"/>
          <w:szCs w:val="16"/>
        </w:rPr>
        <w:noBreakHyphen/>
        <w:t>VI — 600 л. с. и последующих модификаций этого мотора и консультация по постановке производства этих моторов в СССР.</w:t>
      </w:r>
    </w:p>
    <w:p w14:paraId="6FE55E42" w14:textId="77777777" w:rsidR="004337A6" w:rsidRPr="00507A31" w:rsidRDefault="004337A6" w:rsidP="00507A31">
      <w:pPr>
        <w:jc w:val="both"/>
        <w:rPr>
          <w:color w:val="000000" w:themeColor="text1"/>
          <w:sz w:val="16"/>
          <w:szCs w:val="16"/>
        </w:rPr>
      </w:pPr>
      <w:r w:rsidRPr="00507A31">
        <w:rPr>
          <w:color w:val="000000" w:themeColor="text1"/>
          <w:sz w:val="16"/>
          <w:szCs w:val="16"/>
        </w:rPr>
        <w:t>Указанный тип мотора был выбран УВВС, и заключение договора по постановке его производства имело целью получить в короткое время современный тип мощного мотора с водяным охлаждением для обеспечения строящихся у нас по этот тип²* мотора самолетов: истребителей И</w:t>
      </w:r>
      <w:r w:rsidRPr="00507A31">
        <w:rPr>
          <w:color w:val="000000" w:themeColor="text1"/>
          <w:sz w:val="16"/>
          <w:szCs w:val="16"/>
        </w:rPr>
        <w:noBreakHyphen/>
        <w:t>3, разведчиков Р</w:t>
      </w:r>
      <w:r w:rsidRPr="00507A31">
        <w:rPr>
          <w:color w:val="000000" w:themeColor="text1"/>
          <w:sz w:val="16"/>
          <w:szCs w:val="16"/>
        </w:rPr>
        <w:noBreakHyphen/>
        <w:t>5 и бомбовозов ТБ</w:t>
      </w:r>
      <w:r w:rsidRPr="00507A31">
        <w:rPr>
          <w:color w:val="000000" w:themeColor="text1"/>
          <w:sz w:val="16"/>
          <w:szCs w:val="16"/>
        </w:rPr>
        <w:noBreakHyphen/>
        <w:t>1, а также разрабатывающихся конструкций морских самолетов. Этого требовало отсутствие у нас собственных конструкций моторов такой мощности, а также отсутствие опыта в постановке их производства.</w:t>
      </w:r>
    </w:p>
    <w:p w14:paraId="4D5E08AE" w14:textId="77777777" w:rsidR="004337A6" w:rsidRPr="00507A31" w:rsidRDefault="004337A6" w:rsidP="00507A31">
      <w:pPr>
        <w:jc w:val="both"/>
        <w:rPr>
          <w:color w:val="000000" w:themeColor="text1"/>
          <w:sz w:val="16"/>
          <w:szCs w:val="16"/>
        </w:rPr>
      </w:pPr>
      <w:r w:rsidRPr="00507A31">
        <w:rPr>
          <w:color w:val="000000" w:themeColor="text1"/>
          <w:sz w:val="16"/>
          <w:szCs w:val="16"/>
        </w:rPr>
        <w:t>Договор заключен в октябре 1927 г. сроком на 5 лет, т. е. до октября 1932 г. Стоимость всего договора — 250 тыс. долларов минимально (в зависимости от количества выпускаемых моторов). Уплачено по настоящее время фирме «БМВ» 100 тыс. долларов. Постановка производства моторов БМВ</w:t>
      </w:r>
      <w:r w:rsidRPr="00507A31">
        <w:rPr>
          <w:color w:val="000000" w:themeColor="text1"/>
          <w:sz w:val="16"/>
          <w:szCs w:val="16"/>
        </w:rPr>
        <w:noBreakHyphen/>
        <w:t>VI осуществляется на заводе Авиатреста № 26 и, кроме того, подготовляется и на заводе № 24.</w:t>
      </w:r>
    </w:p>
    <w:p w14:paraId="2B7FDB0C" w14:textId="77777777" w:rsidR="004337A6" w:rsidRPr="00507A31" w:rsidRDefault="004337A6" w:rsidP="00507A31">
      <w:pPr>
        <w:jc w:val="both"/>
        <w:rPr>
          <w:color w:val="000000" w:themeColor="text1"/>
          <w:sz w:val="16"/>
          <w:szCs w:val="16"/>
        </w:rPr>
      </w:pPr>
      <w:r w:rsidRPr="00507A31">
        <w:rPr>
          <w:color w:val="000000" w:themeColor="text1"/>
          <w:sz w:val="16"/>
          <w:szCs w:val="16"/>
        </w:rPr>
        <w:t>От фирмы получены все чертежи, спецификации и прочие материалы, необходимые для постановки производства, и вообще фирма свои обязательства выполняет удовлетворительно. Затруднения имелись в производстве коленчатых валов, которые фирма «БМВ» сама не изготовляет, получая их готовыми от фирмы Круппа. Завод № 26 эти затруднения испытывал до самого последнего времени. Теперь появилась возможность их разрешения путем получения помощи от завода Круппа по заключенному ВСНХ с последним договора на оказание техпомощи по производству изделий из черных металлов. На завод Круппа осенью 1929 г. был командирован заводом № 26 для изучения производства коленчатых валов инженер-металлург, который к настоящему времени окончил это изучение, представив по сему ряд докладов. Изготовление первых партий валов по методам Круппа еще на закончено, и результаты ожидаются лишь в феврале месяце.</w:t>
      </w:r>
    </w:p>
    <w:p w14:paraId="63031B0C" w14:textId="77777777" w:rsidR="004337A6" w:rsidRPr="00507A31" w:rsidRDefault="004337A6" w:rsidP="00507A31">
      <w:pPr>
        <w:jc w:val="both"/>
        <w:rPr>
          <w:color w:val="000000" w:themeColor="text1"/>
          <w:sz w:val="16"/>
          <w:szCs w:val="16"/>
        </w:rPr>
      </w:pPr>
      <w:r w:rsidRPr="00507A31">
        <w:rPr>
          <w:color w:val="000000" w:themeColor="text1"/>
          <w:sz w:val="16"/>
          <w:szCs w:val="16"/>
        </w:rPr>
        <w:t>Вопрос о производстве роликов для моторов БМВ</w:t>
      </w:r>
      <w:r w:rsidRPr="00507A31">
        <w:rPr>
          <w:color w:val="000000" w:themeColor="text1"/>
          <w:sz w:val="16"/>
          <w:szCs w:val="16"/>
        </w:rPr>
        <w:noBreakHyphen/>
        <w:t>VI, ввиду узкого характера этого производства, может быть разрешен в общем порядке постановкой у нас производства шарикоподшипников для нужд всей нашей промышленности в целом. Поставщиком этих изделий до настоящего времени являются заграничные фирмы, и главным образом SKF, имеющий концессию в СССР.</w:t>
      </w:r>
    </w:p>
    <w:p w14:paraId="09318456" w14:textId="77777777" w:rsidR="004337A6" w:rsidRPr="00507A31" w:rsidRDefault="004337A6" w:rsidP="00507A31">
      <w:pPr>
        <w:jc w:val="both"/>
        <w:rPr>
          <w:color w:val="000000" w:themeColor="text1"/>
          <w:sz w:val="16"/>
          <w:szCs w:val="16"/>
        </w:rPr>
      </w:pPr>
      <w:r w:rsidRPr="00507A31">
        <w:rPr>
          <w:color w:val="000000" w:themeColor="text1"/>
          <w:sz w:val="16"/>
          <w:szCs w:val="16"/>
        </w:rPr>
        <w:t>Для практического ознакомления с постановкой производства моторов на заводе «БМВ» Авиатрестом было командировано за границу на указанный завод за истекшие последние 2 года 8 чел. и приглашено в 1928/29 г. от фирмы в СССР 4 специалиста по монтажу, сварке, литью и механической обработке. В настоящем году намечено командирование на завод «БМВ», и частью уже выезжают, 10 чел., из них: 3 — рабочих и 7 — инженеров, хотя по договору предусмотрено право посылки ежегодно только 5 чел., по 3 месяца каждый. Окончательного ответа от фирмы о разрешении командирования указанного числа лиц не получено.</w:t>
      </w:r>
    </w:p>
    <w:p w14:paraId="4BAE9D13" w14:textId="77777777" w:rsidR="004337A6" w:rsidRPr="00507A31" w:rsidRDefault="004337A6" w:rsidP="00507A31">
      <w:pPr>
        <w:jc w:val="both"/>
        <w:rPr>
          <w:color w:val="000000" w:themeColor="text1"/>
          <w:sz w:val="16"/>
          <w:szCs w:val="16"/>
        </w:rPr>
      </w:pPr>
      <w:r w:rsidRPr="00507A31">
        <w:rPr>
          <w:color w:val="000000" w:themeColor="text1"/>
          <w:sz w:val="16"/>
          <w:szCs w:val="16"/>
        </w:rPr>
        <w:t>Надо считать, что в деле освоения производства заводом № 26, в общем, взято правильное направление, хотя по отдельным местам и замечаются некоторые пробелы. Как, например, необходимо указать на недостаточное изучение заводом производства цветного литья, где до последнего времени наблюдается значительный процент брака. Только в самое последнее время здесь наметилось некоторое улучшение.</w:t>
      </w:r>
    </w:p>
    <w:p w14:paraId="04CCC6D6" w14:textId="77777777" w:rsidR="004337A6" w:rsidRPr="00507A31" w:rsidRDefault="004337A6" w:rsidP="00507A31">
      <w:pPr>
        <w:jc w:val="both"/>
        <w:rPr>
          <w:color w:val="000000" w:themeColor="text1"/>
          <w:sz w:val="16"/>
          <w:szCs w:val="16"/>
        </w:rPr>
      </w:pPr>
      <w:r w:rsidRPr="00507A31">
        <w:rPr>
          <w:color w:val="000000" w:themeColor="text1"/>
          <w:sz w:val="16"/>
          <w:szCs w:val="16"/>
        </w:rPr>
        <w:t>В связи с указанными затруднениями, а также и рядом других внутризаводских неувязок планового характера и затруднений в укомплектовании завода рабочей и технической силой, намеченная за истекший год программа в 40 моторов БМВ</w:t>
      </w:r>
      <w:r w:rsidRPr="00507A31">
        <w:rPr>
          <w:color w:val="000000" w:themeColor="text1"/>
          <w:sz w:val="16"/>
          <w:szCs w:val="16"/>
        </w:rPr>
        <w:noBreakHyphen/>
        <w:t>VI выполнена не была. В августе месяце истекшего года был поставлен на станок первый мотор и в дальнейшем затем до конца 1928/29 производственного года еще 4 мотора с заграничными коленчатыми валами. Часть моторов имела также изготовленными на заводе № 26 из заграничных поковок и шатуны. Остальные части были изготовлены заводом № 26 из материалов нашего производства.</w:t>
      </w:r>
    </w:p>
    <w:p w14:paraId="3EF4A68E" w14:textId="77777777" w:rsidR="004337A6" w:rsidRPr="00507A31" w:rsidRDefault="004337A6" w:rsidP="00507A31">
      <w:pPr>
        <w:jc w:val="both"/>
        <w:rPr>
          <w:color w:val="000000" w:themeColor="text1"/>
          <w:sz w:val="16"/>
          <w:szCs w:val="16"/>
        </w:rPr>
      </w:pPr>
      <w:r w:rsidRPr="00507A31">
        <w:rPr>
          <w:color w:val="000000" w:themeColor="text1"/>
          <w:sz w:val="16"/>
          <w:szCs w:val="16"/>
        </w:rPr>
        <w:t>Моторы прошли в достаточной мере удовлетворительно все положенные им испытания, включая сюда и длительное испытание на 100 часов. К настоящему времени УВВС приняты 12 моторов и в ближайшее время будет предъявлена еще новая серия в 10</w:t>
      </w:r>
      <w:r w:rsidRPr="00507A31">
        <w:rPr>
          <w:color w:val="000000" w:themeColor="text1"/>
          <w:sz w:val="16"/>
          <w:szCs w:val="16"/>
        </w:rPr>
        <w:noBreakHyphen/>
        <w:t>12 шт. Программа на текущий год установлена в 205 моторов.</w:t>
      </w:r>
    </w:p>
    <w:p w14:paraId="4AA672DF" w14:textId="77777777" w:rsidR="004337A6" w:rsidRPr="00507A31" w:rsidRDefault="004337A6" w:rsidP="00507A31">
      <w:pPr>
        <w:jc w:val="both"/>
        <w:rPr>
          <w:color w:val="000000" w:themeColor="text1"/>
          <w:sz w:val="16"/>
          <w:szCs w:val="16"/>
        </w:rPr>
      </w:pPr>
      <w:r w:rsidRPr="00507A31">
        <w:rPr>
          <w:color w:val="000000" w:themeColor="text1"/>
          <w:sz w:val="16"/>
          <w:szCs w:val="16"/>
        </w:rPr>
        <w:t>Б. Договор с фирмой «Гном и Рон»</w:t>
      </w:r>
    </w:p>
    <w:p w14:paraId="6E91B451"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Цель договора — покупка права постройки мотора Ю</w:t>
      </w:r>
      <w:r w:rsidRPr="00507A31">
        <w:rPr>
          <w:color w:val="000000" w:themeColor="text1"/>
          <w:sz w:val="16"/>
          <w:szCs w:val="16"/>
        </w:rPr>
        <w:noBreakHyphen/>
        <w:t>VI</w:t>
      </w:r>
      <w:r w:rsidRPr="00507A31">
        <w:rPr>
          <w:color w:val="000000" w:themeColor="text1"/>
          <w:sz w:val="16"/>
          <w:szCs w:val="16"/>
        </w:rPr>
        <w:noBreakHyphen/>
        <w:t>480 л. с., с последующим развитием этого типа мотора (за отдельную плату), и получение техпомощи на постановку производства этих моторов. Указанный тип мотора был выбран УВВС как современный тип боевого мощного мотора с воздушным охлаждением для постановки его на самолеты собственной конструкции. В настоящее время мотор ставится на самолеты истребительного типа И</w:t>
      </w:r>
      <w:r w:rsidRPr="00507A31">
        <w:rPr>
          <w:color w:val="000000" w:themeColor="text1"/>
          <w:sz w:val="16"/>
          <w:szCs w:val="16"/>
        </w:rPr>
        <w:noBreakHyphen/>
        <w:t>4. Необходимость приобретения лицензии на этот мотор диктовалась отсутствием такого типа моторов в нашем производстве и большим распространением их за границей.</w:t>
      </w:r>
    </w:p>
    <w:p w14:paraId="66BF896D"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Договор заключен 24 августа 1928 г. сроком на 5 лет, т. е. по 24 августа 1933 г. Стоимость всего договора определяется в 250 тыс. долларов. Дополнительным обязательством по этому договору является покупка Авиатрестом (для УВВС) на основе особого договора 250 моторов Ю</w:t>
      </w:r>
      <w:r w:rsidRPr="00507A31">
        <w:rPr>
          <w:color w:val="000000" w:themeColor="text1"/>
          <w:sz w:val="16"/>
          <w:szCs w:val="16"/>
        </w:rPr>
        <w:noBreakHyphen/>
        <w:t>VI по цене 6 тыс. долларов за мотор с прямой передачей и 6,9 тыс. — за мотор с редуктором. Уплачено по настоящее время фирме всего 150 тыс. долларов.</w:t>
      </w:r>
    </w:p>
    <w:p w14:paraId="5D07FA21"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Постановка производства указанного мотора осуществляется Авиатрестом на заводе № 29 в Запорожье. От фирмы к настоящему времени получены все материалы, предусмотренные договором и необходимые для постановки производства. В настоящее время заводом заканчивается намеченный план развертывания производства в части изготовления рабочих чертежей, приспособлений и инструмента, и пущены в производство мелкие детали. На завод поступила первая партия закупленных за границей поковок, моделей и образцовых алюминиевых отливок. В соответствии с договором от фирмы поступают периодически дополнительные сведения о текущих изменениях мотора, производимых фирмой.</w:t>
      </w:r>
    </w:p>
    <w:p w14:paraId="1613B489"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lastRenderedPageBreak/>
        <w:t>Для приемки и ознакомления с материалами фирмы, а также ознакомления с производством, в истекшем 1928/29 г. Авиатрестом было командировано за границу на завод «Гном и Рон» 4 специалиста. В текущем году намечается для более детального изучения отдельных процессов производства командирование 8 чел., из коих: 5 — рабочих и 3 — инженера. Авиатрестом намечен в конце текущего года выпуск первой партии опытных моторов в количестве 5 шт.</w:t>
      </w:r>
    </w:p>
    <w:p w14:paraId="0D019881"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Необходимо отметить те затруднения, которые переживала сама фирма при сдаче УВВС по особому договору, упомянутому выше, первых партий указанных моторов и которые заключались, в главнейшем, в недостаточной мощности моторов (вместо 480 сил получалось 420), поломке коленчатых валов и выплавлении шатунного подшипника. Эти недостатки задержали сдачу моторов более чем на полгода и послужили причиной того, что фирма предоставила нам безвозмездное право на получение чертежей мотора последующего типа Ю</w:t>
      </w:r>
      <w:r w:rsidRPr="00507A31">
        <w:rPr>
          <w:color w:val="000000" w:themeColor="text1"/>
          <w:sz w:val="16"/>
          <w:szCs w:val="16"/>
        </w:rPr>
        <w:noBreakHyphen/>
        <w:t>VII. Впоследствии отмеченные затруднения фирмой, судя по удовлетворительному 50</w:t>
      </w:r>
      <w:r w:rsidRPr="00507A31">
        <w:rPr>
          <w:color w:val="000000" w:themeColor="text1"/>
          <w:sz w:val="16"/>
          <w:szCs w:val="16"/>
        </w:rPr>
        <w:noBreakHyphen/>
        <w:t>часовому испытанию за границей переделанного ею мотора, изжиты. Окончательных заключений по этому вопросу, однако, к нам еще не поступало. В связи с отмеченным возможны затруднения в этой части и на заводе № 29.</w:t>
      </w:r>
    </w:p>
    <w:p w14:paraId="11445133"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Отношение фирмы к выполнению своих основных обязательств по договору нельзя считать в полной мере удовлетворительным, так:</w:t>
      </w:r>
    </w:p>
    <w:p w14:paraId="04EBDE2F"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1) чертежи, полученные от фирмы, при детальном ознакомлении с ними, содержали в себе ряд неточностей и ошибок, потребовавших своего устранения путем соответствующей проработки чертежей на заводе № 29;</w:t>
      </w:r>
    </w:p>
    <w:p w14:paraId="67B75D94"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2) заказанный через фирму за границей режущий и мерительный инструмент для производства мотора Ю</w:t>
      </w:r>
      <w:r w:rsidRPr="00507A31">
        <w:rPr>
          <w:color w:val="000000" w:themeColor="text1"/>
          <w:sz w:val="16"/>
          <w:szCs w:val="16"/>
        </w:rPr>
        <w:noBreakHyphen/>
        <w:t>VI оказался в некоторой части несоответствующим по своим размерам.</w:t>
      </w:r>
    </w:p>
    <w:p w14:paraId="008DF2ED"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Кроме указанных выше фирм, с которым Авиатрест заключил договора о техпомощи, Авиатрестом и Президиумом ВСНХ СССР подписан договор с фирмой «Хейнкель» на техпомощь по постройке одноместного истребителя сварной конструкции из стальных труб. Договор направлен в Германию и, по имеющимся у нас сведениям, 19 марта был передан фирме на подпись. До сего времени ответа нет. Авиатрестом также была приглашена группа французских конструкторов во главе с гр[ажданином] Ришаром для конструирования морских самолетов. Группа уже работает больше года, и в настоящее время подготовляется к испытанию самолет-торпедоносец большой грузоподъемности. Кроме того, этой группой должен быть запроектирован ряд морских машин. Также приглашен конструктор Гох для конструирования самолетов.</w:t>
      </w:r>
    </w:p>
    <w:p w14:paraId="60AD20BF"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Кроме всего указанного, все тресты составили списки тех вопросов, которые их в настоящее время интересуют и которые не всегда могут быть разрешены путем привлечения техпомощи. Получение этих сведений поручено соответствующим органам. До сего времени информация, получаемая таким путем, не всегда была полной и не могла быть использованной из-за своей поверхностности.</w:t>
      </w:r>
    </w:p>
    <w:p w14:paraId="6CCE377F"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Кроме указанного выше, коллегией ГВПУ приглашен из Америки специалист по организации производства, который находится в ведении начальника ГВПУ и работа которого в настоящее время распространяется лишь на часть оружейно-пулеметных заводов. По мере усвоения нашими заводами методов организации производства, проводимых этим специалистом, его работа будет распространяться и на другие заводы.</w:t>
      </w:r>
    </w:p>
    <w:p w14:paraId="3E33EEF5"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rPr>
        <w:t>Нужно заметить, что практика использования иностранных специалистов как приглашенных индивидуально, так и присланных фирмами, не всегда проходит успешно, Очень часто огромнейшим фактором, препятствующим использованию специалиста, являются наши бытовые условия, резко отличные от тех, в которых привыкли проживать приглашенные для работы у нас специалисты, и в результате огромное количество времени уделяется разрешению вопросов их быта за счет времени, которое должно было бы быть потрачено на использование их как специалистов, причем разрешение ряда как будто бы мелких вопросов связано с нарушением существующих положений и заставляет эти положения нарушать.</w:t>
      </w:r>
    </w:p>
    <w:p w14:paraId="69631587" w14:textId="77777777" w:rsidR="004337A6" w:rsidRPr="00507A31" w:rsidRDefault="004337A6" w:rsidP="00507A31">
      <w:pPr>
        <w:pStyle w:val="ae"/>
        <w:spacing w:before="0" w:after="0"/>
        <w:jc w:val="both"/>
        <w:rPr>
          <w:color w:val="000000" w:themeColor="text1"/>
          <w:sz w:val="16"/>
          <w:szCs w:val="16"/>
        </w:rPr>
      </w:pPr>
      <w:r w:rsidRPr="00507A31">
        <w:rPr>
          <w:color w:val="000000" w:themeColor="text1"/>
          <w:sz w:val="16"/>
          <w:szCs w:val="16"/>
        </w:rPr>
        <w:t xml:space="preserve">За </w:t>
      </w:r>
      <w:r w:rsidRPr="00507A31">
        <w:rPr>
          <w:rStyle w:val="af0"/>
          <w:i w:val="0"/>
          <w:color w:val="000000" w:themeColor="text1"/>
          <w:sz w:val="16"/>
          <w:szCs w:val="16"/>
        </w:rPr>
        <w:t xml:space="preserve">председателя ВСНХ СССР </w:t>
      </w:r>
      <w:hyperlink r:id="rId56" w:history="1">
        <w:r w:rsidRPr="00507A31">
          <w:rPr>
            <w:rStyle w:val="af0"/>
            <w:i w:val="0"/>
            <w:color w:val="000000" w:themeColor="text1"/>
            <w:sz w:val="16"/>
            <w:szCs w:val="16"/>
          </w:rPr>
          <w:t>Рухимович</w:t>
        </w:r>
      </w:hyperlink>
    </w:p>
    <w:p w14:paraId="193DC4CC" w14:textId="77777777" w:rsidR="004337A6" w:rsidRPr="00507A31" w:rsidRDefault="004337A6"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Член Президиума ВСНХ СССР и начальник объединения военной промышленности </w:t>
      </w:r>
      <w:hyperlink r:id="rId57" w:history="1">
        <w:r w:rsidRPr="00507A31">
          <w:rPr>
            <w:rStyle w:val="af0"/>
            <w:i w:val="0"/>
            <w:color w:val="000000" w:themeColor="text1"/>
            <w:sz w:val="16"/>
            <w:szCs w:val="16"/>
          </w:rPr>
          <w:t>Урываев</w:t>
        </w:r>
      </w:hyperlink>
    </w:p>
    <w:p w14:paraId="71B37709" w14:textId="77777777" w:rsidR="004337A6" w:rsidRPr="00507A31" w:rsidRDefault="004337A6" w:rsidP="00507A31">
      <w:pPr>
        <w:pStyle w:val="ae"/>
        <w:spacing w:before="0" w:after="0"/>
        <w:jc w:val="both"/>
        <w:rPr>
          <w:color w:val="000000" w:themeColor="text1"/>
          <w:sz w:val="16"/>
          <w:szCs w:val="16"/>
        </w:rPr>
      </w:pPr>
      <w:r w:rsidRPr="00507A31">
        <w:rPr>
          <w:rStyle w:val="af0"/>
          <w:i w:val="0"/>
          <w:color w:val="000000" w:themeColor="text1"/>
          <w:sz w:val="16"/>
          <w:szCs w:val="16"/>
        </w:rPr>
        <w:t>За ответственного секретаря Президиума ВСНХ СССР³*</w:t>
      </w:r>
    </w:p>
    <w:p w14:paraId="0CEA8591" w14:textId="77777777" w:rsidR="004337A6" w:rsidRPr="00507A31" w:rsidRDefault="004337A6"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Примечание</w:t>
      </w:r>
      <w:r w:rsidRPr="00507A31">
        <w:rPr>
          <w:color w:val="000000" w:themeColor="text1"/>
          <w:sz w:val="16"/>
          <w:szCs w:val="16"/>
        </w:rPr>
        <w:t>:</w:t>
      </w:r>
    </w:p>
    <w:p w14:paraId="1C12B15E"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Ввиду того что по плану намечено командирование только 35 чел., возбуждено ходатайство о дополнительном командировании еще 4 чел. (</w:t>
      </w:r>
      <w:r w:rsidRPr="00507A31">
        <w:rPr>
          <w:rStyle w:val="af0"/>
          <w:i w:val="0"/>
          <w:color w:val="000000" w:themeColor="text1"/>
          <w:sz w:val="16"/>
          <w:szCs w:val="16"/>
        </w:rPr>
        <w:t>Прим. док</w:t>
      </w:r>
      <w:r w:rsidRPr="00507A31">
        <w:rPr>
          <w:color w:val="000000" w:themeColor="text1"/>
          <w:sz w:val="16"/>
          <w:szCs w:val="16"/>
        </w:rPr>
        <w:t>.).</w:t>
      </w:r>
    </w:p>
    <w:p w14:paraId="142B24A4"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Так в тексте.</w:t>
      </w:r>
    </w:p>
    <w:p w14:paraId="5629519D" w14:textId="77777777" w:rsidR="004337A6" w:rsidRPr="00507A31" w:rsidRDefault="004337A6"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Подпись неразборчива.</w:t>
      </w:r>
    </w:p>
    <w:p w14:paraId="0A2CCA0E" w14:textId="77777777" w:rsidR="004337A6" w:rsidRPr="00507A31" w:rsidRDefault="004337A6" w:rsidP="00507A31">
      <w:pPr>
        <w:pStyle w:val="ae"/>
        <w:spacing w:before="0" w:after="0"/>
        <w:jc w:val="both"/>
        <w:rPr>
          <w:color w:val="000000" w:themeColor="text1"/>
          <w:sz w:val="16"/>
          <w:szCs w:val="16"/>
        </w:rPr>
      </w:pPr>
      <w:r w:rsidRPr="00507A31">
        <w:rPr>
          <w:color w:val="000000" w:themeColor="text1"/>
          <w:sz w:val="16"/>
          <w:szCs w:val="16"/>
        </w:rPr>
        <w:t>ГА РФ, Ф, Р-8418, Оп, 4, Д, 84, Л, 4—10, Подлинник.</w:t>
      </w:r>
    </w:p>
    <w:p w14:paraId="735042A4" w14:textId="77777777" w:rsidR="004337A6" w:rsidRPr="00507A31" w:rsidRDefault="004337A6" w:rsidP="00507A31">
      <w:pPr>
        <w:jc w:val="both"/>
        <w:rPr>
          <w:color w:val="000000" w:themeColor="text1"/>
          <w:sz w:val="16"/>
          <w:szCs w:val="16"/>
        </w:rPr>
      </w:pPr>
      <w:r w:rsidRPr="00507A31">
        <w:rPr>
          <w:color w:val="000000" w:themeColor="text1"/>
          <w:sz w:val="16"/>
          <w:szCs w:val="16"/>
        </w:rPr>
        <w:t xml:space="preserve">Архив: ГА РФ, Ф, Р-8418, Оп, 4, Д, 84, Л, 4—10, Подлинник. </w:t>
      </w:r>
    </w:p>
    <w:p w14:paraId="69197953" w14:textId="77777777" w:rsidR="004337A6" w:rsidRPr="00507A31" w:rsidRDefault="004337A6"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456-466 (12504).</w:t>
      </w:r>
    </w:p>
    <w:p w14:paraId="115046C9" w14:textId="77777777" w:rsidR="004337A6" w:rsidRPr="00507A31" w:rsidRDefault="004337A6" w:rsidP="00507A31">
      <w:pPr>
        <w:jc w:val="both"/>
        <w:rPr>
          <w:color w:val="000000" w:themeColor="text1"/>
          <w:sz w:val="16"/>
          <w:szCs w:val="16"/>
        </w:rPr>
      </w:pPr>
    </w:p>
    <w:p w14:paraId="4FB85A7F" w14:textId="77777777" w:rsidR="004337A6" w:rsidRPr="00507A31" w:rsidRDefault="004337A6" w:rsidP="00507A31">
      <w:pPr>
        <w:jc w:val="both"/>
        <w:rPr>
          <w:color w:val="000000" w:themeColor="text1"/>
          <w:sz w:val="16"/>
          <w:szCs w:val="16"/>
          <w:u w:color="002060"/>
        </w:rPr>
      </w:pPr>
      <w:r w:rsidRPr="00507A31">
        <w:rPr>
          <w:color w:val="000000" w:themeColor="text1"/>
          <w:sz w:val="16"/>
          <w:szCs w:val="16"/>
          <w:u w:color="002060"/>
        </w:rPr>
        <w:t>25 марта</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121. 1. Сообщение РЗ СТО (ПБ от 15 января 1930 г., пр. № 113, п. 1) [о мобподготовке промышленности]. 29. О морском судостроении (Рыков). Решения ПБ от 20 марта 1930 г. 44. Вопросы Ворошилова (Ворошилов) [о создании комиссий по вопросам обороны страны и пересмотру личного состава авиации]. — ОП. Опросом членов ПБ от 18 марта 1930 г. 60. О прекращении массовых и групповых мобилизаций (ПБ от 15 марта 1930 г., пр. № 120, п. 37). (Политбюро... Т. 2. С. 30, 31, 32) (12416).</w:t>
      </w:r>
    </w:p>
    <w:p w14:paraId="6E748CEE" w14:textId="77777777" w:rsidR="004337A6" w:rsidRPr="00507A31" w:rsidRDefault="004337A6" w:rsidP="00507A31">
      <w:pPr>
        <w:jc w:val="both"/>
        <w:rPr>
          <w:color w:val="000000" w:themeColor="text1"/>
          <w:sz w:val="16"/>
          <w:szCs w:val="16"/>
          <w:u w:color="002060"/>
        </w:rPr>
      </w:pPr>
    </w:p>
    <w:p w14:paraId="084F7BA7" w14:textId="77777777" w:rsidR="00E87BC6" w:rsidRPr="00507A31" w:rsidRDefault="00E87BC6" w:rsidP="00507A31">
      <w:pPr>
        <w:jc w:val="both"/>
        <w:rPr>
          <w:color w:val="000000" w:themeColor="text1"/>
          <w:sz w:val="16"/>
          <w:szCs w:val="16"/>
        </w:rPr>
      </w:pPr>
      <w:r w:rsidRPr="00507A31">
        <w:rPr>
          <w:color w:val="000000" w:themeColor="text1"/>
          <w:sz w:val="16"/>
          <w:szCs w:val="16"/>
        </w:rPr>
        <w:t>25 марта 1930</w:t>
      </w:r>
    </w:p>
    <w:p w14:paraId="6C476C70" w14:textId="77777777" w:rsidR="00E87BC6" w:rsidRPr="00507A31" w:rsidRDefault="00E87BC6" w:rsidP="00507A31">
      <w:pPr>
        <w:jc w:val="both"/>
        <w:rPr>
          <w:color w:val="000000" w:themeColor="text1"/>
          <w:sz w:val="16"/>
          <w:szCs w:val="16"/>
        </w:rPr>
      </w:pPr>
      <w:r w:rsidRPr="00507A31">
        <w:rPr>
          <w:color w:val="000000" w:themeColor="text1"/>
          <w:sz w:val="16"/>
          <w:szCs w:val="16"/>
        </w:rPr>
        <w:t>п. 3: О мобилизациях промышленности</w:t>
      </w:r>
    </w:p>
    <w:p w14:paraId="0B17FC6D" w14:textId="77777777" w:rsidR="00E87BC6" w:rsidRPr="00507A31" w:rsidRDefault="00E87BC6" w:rsidP="00507A31">
      <w:pPr>
        <w:jc w:val="both"/>
        <w:rPr>
          <w:color w:val="000000" w:themeColor="text1"/>
          <w:sz w:val="16"/>
          <w:szCs w:val="16"/>
        </w:rPr>
      </w:pPr>
      <w:r w:rsidRPr="00507A31">
        <w:rPr>
          <w:color w:val="000000" w:themeColor="text1"/>
          <w:sz w:val="16"/>
          <w:szCs w:val="16"/>
        </w:rPr>
        <w:t>(ПБ от 15.I.30 г., пр. № 113, п. 1).</w:t>
      </w:r>
    </w:p>
    <w:p w14:paraId="323B9F44" w14:textId="77777777" w:rsidR="00E87BC6" w:rsidRPr="00507A31" w:rsidRDefault="00E87BC6" w:rsidP="00507A31">
      <w:pPr>
        <w:jc w:val="both"/>
        <w:rPr>
          <w:color w:val="000000" w:themeColor="text1"/>
          <w:sz w:val="16"/>
          <w:szCs w:val="16"/>
        </w:rPr>
      </w:pPr>
      <w:r w:rsidRPr="00507A31">
        <w:rPr>
          <w:color w:val="000000" w:themeColor="text1"/>
          <w:sz w:val="16"/>
          <w:szCs w:val="16"/>
        </w:rPr>
        <w:t>(Рухимович, Ворошилов, Постников).</w:t>
      </w:r>
    </w:p>
    <w:p w14:paraId="3459B9FD" w14:textId="77777777" w:rsidR="00E87BC6" w:rsidRPr="00507A31" w:rsidRDefault="00E87BC6" w:rsidP="00507A31">
      <w:pPr>
        <w:jc w:val="both"/>
        <w:rPr>
          <w:color w:val="000000" w:themeColor="text1"/>
          <w:sz w:val="16"/>
          <w:szCs w:val="16"/>
        </w:rPr>
      </w:pPr>
      <w:r w:rsidRPr="00507A31">
        <w:rPr>
          <w:color w:val="000000" w:themeColor="text1"/>
          <w:sz w:val="16"/>
          <w:szCs w:val="16"/>
        </w:rPr>
        <w:t>Решение — особая папка.</w:t>
      </w:r>
    </w:p>
    <w:p w14:paraId="7140E0EB" w14:textId="77777777" w:rsidR="00E87BC6" w:rsidRPr="00507A31" w:rsidRDefault="00E87BC6" w:rsidP="00507A31">
      <w:pPr>
        <w:jc w:val="both"/>
        <w:rPr>
          <w:color w:val="000000" w:themeColor="text1"/>
          <w:sz w:val="16"/>
          <w:szCs w:val="16"/>
        </w:rPr>
      </w:pPr>
      <w:r w:rsidRPr="00507A31">
        <w:rPr>
          <w:color w:val="000000" w:themeColor="text1"/>
          <w:sz w:val="16"/>
          <w:szCs w:val="16"/>
        </w:rPr>
        <w:t>а) Проведение опытной мобилизации промышленных предприятий отложить на сентябрь 1930 г.</w:t>
      </w:r>
    </w:p>
    <w:p w14:paraId="6101988C" w14:textId="77777777" w:rsidR="00E87BC6" w:rsidRPr="00507A31" w:rsidRDefault="00E87BC6" w:rsidP="00507A31">
      <w:pPr>
        <w:jc w:val="both"/>
        <w:rPr>
          <w:color w:val="000000" w:themeColor="text1"/>
          <w:sz w:val="16"/>
          <w:szCs w:val="16"/>
        </w:rPr>
      </w:pPr>
      <w:r w:rsidRPr="00507A31">
        <w:rPr>
          <w:color w:val="000000" w:themeColor="text1"/>
          <w:sz w:val="16"/>
          <w:szCs w:val="16"/>
        </w:rPr>
        <w:t>б) В остальном решение РЗ СТО о плане опытной мобилизации утвердить.</w:t>
      </w:r>
    </w:p>
    <w:p w14:paraId="15461265" w14:textId="77777777" w:rsidR="00E87BC6" w:rsidRPr="00507A31" w:rsidRDefault="00E87BC6" w:rsidP="00507A31">
      <w:pPr>
        <w:jc w:val="both"/>
        <w:rPr>
          <w:color w:val="000000" w:themeColor="text1"/>
          <w:sz w:val="16"/>
          <w:szCs w:val="16"/>
        </w:rPr>
      </w:pPr>
      <w:r w:rsidRPr="00507A31">
        <w:rPr>
          <w:color w:val="000000" w:themeColor="text1"/>
          <w:sz w:val="16"/>
          <w:szCs w:val="16"/>
        </w:rPr>
        <w:t>Выписки посланы:</w:t>
      </w:r>
    </w:p>
    <w:p w14:paraId="3C3C76DF" w14:textId="77777777" w:rsidR="00E87BC6" w:rsidRPr="00507A31" w:rsidRDefault="00E87BC6" w:rsidP="00507A31">
      <w:pPr>
        <w:jc w:val="both"/>
        <w:rPr>
          <w:color w:val="000000" w:themeColor="text1"/>
          <w:sz w:val="16"/>
          <w:szCs w:val="16"/>
        </w:rPr>
      </w:pPr>
      <w:r w:rsidRPr="00507A31">
        <w:rPr>
          <w:color w:val="000000" w:themeColor="text1"/>
          <w:sz w:val="16"/>
          <w:szCs w:val="16"/>
        </w:rPr>
        <w:t>Аппога, Ворошилову (18327).</w:t>
      </w:r>
    </w:p>
    <w:p w14:paraId="76A91C1B" w14:textId="77777777" w:rsidR="00E87BC6" w:rsidRPr="00507A31" w:rsidRDefault="00E87BC6" w:rsidP="00507A31">
      <w:pPr>
        <w:jc w:val="both"/>
        <w:rPr>
          <w:color w:val="000000" w:themeColor="text1"/>
          <w:sz w:val="16"/>
          <w:szCs w:val="16"/>
        </w:rPr>
      </w:pPr>
    </w:p>
    <w:p w14:paraId="50A82281" w14:textId="77777777" w:rsidR="00F659C8" w:rsidRPr="00507A31" w:rsidRDefault="00F659C8" w:rsidP="00507A31">
      <w:pPr>
        <w:jc w:val="both"/>
        <w:rPr>
          <w:color w:val="000000" w:themeColor="text1"/>
          <w:sz w:val="16"/>
          <w:szCs w:val="16"/>
        </w:rPr>
      </w:pPr>
      <w:r w:rsidRPr="00507A31">
        <w:rPr>
          <w:bCs/>
          <w:color w:val="000000" w:themeColor="text1"/>
          <w:sz w:val="16"/>
          <w:szCs w:val="16"/>
        </w:rPr>
        <w:t>25 марта</w:t>
      </w:r>
      <w:r w:rsidRPr="00507A31">
        <w:rPr>
          <w:color w:val="000000" w:themeColor="text1"/>
          <w:sz w:val="16"/>
          <w:szCs w:val="16"/>
        </w:rPr>
        <w:t xml:space="preserve"> в 1930 году по приказу начальника вооружений РККА начались 9-дневные испытания 13 пулеметов. Цель - выявить живучесть пулемета и отдельных его деталей для изменения норм запасных частей, сравнения живучести пулеметов различных лет изготовления (15079).</w:t>
      </w:r>
    </w:p>
    <w:p w14:paraId="5D40A1E0" w14:textId="77777777" w:rsidR="00F659C8" w:rsidRPr="00507A31" w:rsidRDefault="00F659C8" w:rsidP="00507A31">
      <w:pPr>
        <w:jc w:val="both"/>
        <w:rPr>
          <w:color w:val="000000" w:themeColor="text1"/>
          <w:sz w:val="16"/>
          <w:szCs w:val="16"/>
        </w:rPr>
      </w:pPr>
    </w:p>
    <w:p w14:paraId="138F079D" w14:textId="77777777" w:rsidR="004337A6" w:rsidRPr="00507A31" w:rsidRDefault="004337A6" w:rsidP="00507A31">
      <w:pPr>
        <w:jc w:val="both"/>
        <w:rPr>
          <w:color w:val="000000" w:themeColor="text1"/>
          <w:sz w:val="16"/>
          <w:szCs w:val="16"/>
        </w:rPr>
      </w:pPr>
      <w:r w:rsidRPr="00507A31">
        <w:rPr>
          <w:color w:val="000000" w:themeColor="text1"/>
          <w:sz w:val="16"/>
          <w:szCs w:val="16"/>
        </w:rPr>
        <w:t>25 марта 1930 г. Протокол совещания председателя ВСНХ СССР с его заместителями. 1. О невыполнении постановления РЗ СТО от 11 марта 1930 г. о мобилизации инженерно-технического персонала для Березниковского и Чернореченского строительств (РГАЭ. Ф. 3429. Оп. 6. Д. 198. Л. 69) (12417).</w:t>
      </w:r>
    </w:p>
    <w:p w14:paraId="7123C176" w14:textId="77777777" w:rsidR="004337A6" w:rsidRPr="00507A31" w:rsidRDefault="004337A6" w:rsidP="00507A31">
      <w:pPr>
        <w:jc w:val="both"/>
        <w:rPr>
          <w:color w:val="000000" w:themeColor="text1"/>
          <w:sz w:val="16"/>
          <w:szCs w:val="16"/>
        </w:rPr>
      </w:pPr>
    </w:p>
    <w:p w14:paraId="03C1CB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марта 1930 года Реввоенсоветом был принят эскизный проект речной канонерской лодки, раз</w:t>
      </w:r>
      <w:r w:rsidRPr="00507A31">
        <w:rPr>
          <w:color w:val="000000" w:themeColor="text1"/>
          <w:sz w:val="16"/>
          <w:szCs w:val="16"/>
        </w:rPr>
        <w:softHyphen/>
        <w:t>работанный в 1930 г. в НТК (3898).</w:t>
      </w:r>
    </w:p>
    <w:p w14:paraId="3C9F01A2" w14:textId="7906F895" w:rsidR="00537E5F" w:rsidRPr="00507A31" w:rsidRDefault="00537E5F" w:rsidP="00507A31">
      <w:pPr>
        <w:autoSpaceDE w:val="0"/>
        <w:autoSpaceDN w:val="0"/>
        <w:adjustRightInd w:val="0"/>
        <w:jc w:val="both"/>
        <w:rPr>
          <w:color w:val="000000" w:themeColor="text1"/>
          <w:sz w:val="16"/>
          <w:szCs w:val="16"/>
        </w:rPr>
      </w:pPr>
    </w:p>
    <w:p w14:paraId="1B7B7181" w14:textId="5FA88DEE" w:rsidR="004D6FB2" w:rsidRPr="00507A31" w:rsidRDefault="004D6FB2" w:rsidP="00507A31">
      <w:pPr>
        <w:autoSpaceDE w:val="0"/>
        <w:autoSpaceDN w:val="0"/>
        <w:adjustRightInd w:val="0"/>
        <w:jc w:val="both"/>
        <w:rPr>
          <w:i/>
          <w:iCs/>
          <w:color w:val="000000" w:themeColor="text1"/>
          <w:sz w:val="16"/>
          <w:szCs w:val="16"/>
        </w:rPr>
      </w:pPr>
      <w:r w:rsidRPr="00507A31">
        <w:rPr>
          <w:i/>
          <w:iCs/>
          <w:color w:val="000000" w:themeColor="text1"/>
          <w:sz w:val="16"/>
          <w:szCs w:val="16"/>
        </w:rPr>
        <w:t>Армия:</w:t>
      </w:r>
    </w:p>
    <w:p w14:paraId="3E1CE711" w14:textId="77777777" w:rsidR="004D6FB2" w:rsidRPr="00507A31" w:rsidRDefault="004D6FB2" w:rsidP="00507A31">
      <w:pPr>
        <w:autoSpaceDE w:val="0"/>
        <w:autoSpaceDN w:val="0"/>
        <w:adjustRightInd w:val="0"/>
        <w:jc w:val="both"/>
        <w:rPr>
          <w:i/>
          <w:iCs/>
          <w:color w:val="000000" w:themeColor="text1"/>
          <w:sz w:val="16"/>
          <w:szCs w:val="16"/>
        </w:rPr>
      </w:pPr>
    </w:p>
    <w:p w14:paraId="456E9839" w14:textId="77777777" w:rsidR="004D6FB2" w:rsidRPr="00507A31" w:rsidRDefault="004D6FB2" w:rsidP="00507A31">
      <w:pPr>
        <w:shd w:val="clear" w:color="auto" w:fill="FFFFFF"/>
        <w:jc w:val="both"/>
        <w:rPr>
          <w:color w:val="0070C0"/>
          <w:sz w:val="16"/>
          <w:szCs w:val="16"/>
        </w:rPr>
      </w:pPr>
      <w:r w:rsidRPr="00507A31">
        <w:rPr>
          <w:color w:val="0070C0"/>
          <w:sz w:val="16"/>
          <w:szCs w:val="16"/>
        </w:rPr>
        <w:t>25 марта 1930 вслед за Совнаркомом и по его представлению Президиум ЦИК СССР утвердил порядок установления территории театра военных действий (ТВД). Постановление ЦИК и СНК СССР содержало перечень территорий, на которых вводился режим ТВД в соответствии с различными сценариями нападения на Союз. Наиболее вероятными признавались следующие варианты:</w:t>
      </w:r>
    </w:p>
    <w:p w14:paraId="3ED29042" w14:textId="77777777" w:rsidR="004D6FB2" w:rsidRPr="00507A31" w:rsidRDefault="004D6FB2" w:rsidP="00507A31">
      <w:pPr>
        <w:shd w:val="clear" w:color="auto" w:fill="FFFFFF"/>
        <w:jc w:val="both"/>
        <w:rPr>
          <w:color w:val="0070C0"/>
          <w:sz w:val="16"/>
          <w:szCs w:val="16"/>
        </w:rPr>
      </w:pPr>
      <w:r w:rsidRPr="00507A31">
        <w:rPr>
          <w:color w:val="0070C0"/>
          <w:sz w:val="16"/>
          <w:szCs w:val="16"/>
        </w:rPr>
        <w:t>1) "Выступление всех западных соседей Союза ССР" (ТВД включает территории РСФСР - Архангельский и Няндомский округа Северного края, Карельскую и Крымскую АССР, Ленинградскую и Западную области, всю территорию УССР и БССР).</w:t>
      </w:r>
    </w:p>
    <w:p w14:paraId="2EF50DBE" w14:textId="77777777" w:rsidR="004D6FB2" w:rsidRPr="00507A31" w:rsidRDefault="004D6FB2" w:rsidP="00507A31">
      <w:pPr>
        <w:shd w:val="clear" w:color="auto" w:fill="FFFFFF"/>
        <w:jc w:val="both"/>
        <w:rPr>
          <w:color w:val="0070C0"/>
          <w:sz w:val="16"/>
          <w:szCs w:val="16"/>
        </w:rPr>
      </w:pPr>
      <w:r w:rsidRPr="00507A31">
        <w:rPr>
          <w:color w:val="0070C0"/>
          <w:sz w:val="16"/>
          <w:szCs w:val="16"/>
        </w:rPr>
        <w:t>2) Нападение со стороны Польши и Румынии при нейтралитете Финляндии, Эстонии и Латвии (по сравнению с первым вариантом из ТВД исключались Карелия, округа Северного края и Мурманский округ Ленинградской области).</w:t>
      </w:r>
    </w:p>
    <w:p w14:paraId="0A1CFCBB" w14:textId="77777777" w:rsidR="004D6FB2" w:rsidRPr="00507A31" w:rsidRDefault="004D6FB2" w:rsidP="00507A31">
      <w:pPr>
        <w:shd w:val="clear" w:color="auto" w:fill="FFFFFF"/>
        <w:jc w:val="both"/>
        <w:rPr>
          <w:color w:val="0070C0"/>
          <w:sz w:val="16"/>
          <w:szCs w:val="16"/>
        </w:rPr>
      </w:pPr>
      <w:r w:rsidRPr="00507A31">
        <w:rPr>
          <w:color w:val="0070C0"/>
          <w:sz w:val="16"/>
          <w:szCs w:val="16"/>
        </w:rPr>
        <w:t>Предполагалось, что нападение со стороны западных соседей СССР может быть также поддержано появлением в Черном море флота Антанты и высадкой десанта на Черноморском побережье (Постановление ЦИК и СНК СССР "О порядке установления территории театра военных действий", 25.03-1930 (третий экземпляр постановления, заверенный подписью секретаря ЦИК А. С. Енукидзе и печатью ЦИК СССР) // РГВА. Ф. 4. On. 1. Д 911. Л. 18. Последние три из шести названных в нем вариантов определяли ТВД при "войне на Кавказе", "войне в Средней Азии" и "войне на Дальнем Востоке". Постановление определяло также порядок введения режима ТВД и оповещения об особых постановлениях союзных ЦИК и СНК после начала войны (То же. Л. 18 об.)) (22725).</w:t>
      </w:r>
    </w:p>
    <w:p w14:paraId="15184915" w14:textId="77777777" w:rsidR="004D6FB2" w:rsidRPr="00507A31" w:rsidRDefault="004D6FB2" w:rsidP="00507A31">
      <w:pPr>
        <w:jc w:val="both"/>
        <w:rPr>
          <w:color w:val="0070C0"/>
          <w:sz w:val="16"/>
          <w:szCs w:val="16"/>
        </w:rPr>
      </w:pPr>
    </w:p>
    <w:p w14:paraId="3B0E843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6F2D5B9" w14:textId="77777777" w:rsidR="00537E5F" w:rsidRPr="00507A31" w:rsidRDefault="00537E5F" w:rsidP="00507A31">
      <w:pPr>
        <w:autoSpaceDE w:val="0"/>
        <w:autoSpaceDN w:val="0"/>
        <w:adjustRightInd w:val="0"/>
        <w:jc w:val="both"/>
        <w:rPr>
          <w:iCs/>
          <w:color w:val="000000" w:themeColor="text1"/>
          <w:sz w:val="16"/>
          <w:szCs w:val="16"/>
        </w:rPr>
      </w:pPr>
    </w:p>
    <w:p w14:paraId="1CFDE6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25 марта 1930 Центрально-Черноземная область. В с.Липовка Лосевского района Россошанского округа было собрано общее собрание. На повестке дня стоял вопрос об отводе земли крестьянам, не вошедшим в колхоз, и о выдаче им семян. Председатель сельсовета доложил, что не вошедшим в колхоз гражданам земля отводится за колхозом. Относительно семян было сказано, что, обеспечив полностью из общественного фонда колхоз, во вторую очередь предоставить их бедноте, а "что </w:t>
      </w:r>
      <w:r w:rsidRPr="00507A31">
        <w:rPr>
          <w:color w:val="000000" w:themeColor="text1"/>
          <w:sz w:val="16"/>
          <w:szCs w:val="16"/>
        </w:rPr>
        <w:lastRenderedPageBreak/>
        <w:t>останется "- середняку. Один их присутствовавших на собрании возмутился таким порядком и заявил: "Если есть только право, то Советская власть сошла с ума, а секретаря Липовской ячейки нужно лишать избирательных прав". Поднялся шум - собрание было сорвано (10687).</w:t>
      </w:r>
    </w:p>
    <w:p w14:paraId="537A39B2" w14:textId="77777777" w:rsidR="00537E5F" w:rsidRPr="00507A31" w:rsidRDefault="00537E5F" w:rsidP="00507A31">
      <w:pPr>
        <w:autoSpaceDE w:val="0"/>
        <w:autoSpaceDN w:val="0"/>
        <w:adjustRightInd w:val="0"/>
        <w:jc w:val="both"/>
        <w:rPr>
          <w:color w:val="000000" w:themeColor="text1"/>
          <w:sz w:val="16"/>
          <w:szCs w:val="16"/>
        </w:rPr>
      </w:pPr>
    </w:p>
    <w:p w14:paraId="1304544F" w14:textId="77777777" w:rsidR="00DE4010"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8230ABB" w14:textId="77777777" w:rsidR="00DE4010" w:rsidRPr="00507A31" w:rsidRDefault="00DE4010" w:rsidP="00507A31">
      <w:pPr>
        <w:autoSpaceDE w:val="0"/>
        <w:autoSpaceDN w:val="0"/>
        <w:adjustRightInd w:val="0"/>
        <w:jc w:val="both"/>
        <w:rPr>
          <w:iCs/>
          <w:color w:val="000000" w:themeColor="text1"/>
          <w:sz w:val="16"/>
          <w:szCs w:val="16"/>
        </w:rPr>
      </w:pPr>
    </w:p>
    <w:p w14:paraId="635F6BF7" w14:textId="77777777" w:rsidR="00DE4010" w:rsidRPr="00507A31" w:rsidRDefault="00DE4010" w:rsidP="00507A31">
      <w:pPr>
        <w:jc w:val="both"/>
        <w:rPr>
          <w:color w:val="000000" w:themeColor="text1"/>
          <w:sz w:val="16"/>
          <w:szCs w:val="16"/>
        </w:rPr>
      </w:pPr>
      <w:r w:rsidRPr="00507A31">
        <w:rPr>
          <w:bCs/>
          <w:color w:val="000000" w:themeColor="text1"/>
          <w:sz w:val="16"/>
          <w:szCs w:val="16"/>
        </w:rPr>
        <w:t>25 марта</w:t>
      </w:r>
      <w:r w:rsidRPr="00507A31">
        <w:rPr>
          <w:color w:val="000000" w:themeColor="text1"/>
          <w:sz w:val="16"/>
          <w:szCs w:val="16"/>
        </w:rPr>
        <w:t xml:space="preserve"> в 1930 году впервые взлетел гоночный самолет «Bernard» «HV-120». Главным отличием самолета был очень мощный по тем временам двигатель – «Hispano-Suiza» 18R (1680 л.с.). Всего было построено два экземпляра самолета. Один из них разбился в 1931 году, унеся с собой жизнь пилота (15079).</w:t>
      </w:r>
    </w:p>
    <w:p w14:paraId="5EBDE03C" w14:textId="77777777" w:rsidR="00DE4010" w:rsidRPr="00507A31" w:rsidRDefault="00DE4010" w:rsidP="00507A31">
      <w:pPr>
        <w:jc w:val="both"/>
        <w:rPr>
          <w:color w:val="000000" w:themeColor="text1"/>
          <w:sz w:val="16"/>
          <w:szCs w:val="16"/>
        </w:rPr>
      </w:pPr>
    </w:p>
    <w:p w14:paraId="3C922C2B" w14:textId="77777777" w:rsidR="002411C7" w:rsidRPr="00507A31" w:rsidRDefault="002411C7" w:rsidP="00507A31">
      <w:pPr>
        <w:jc w:val="both"/>
        <w:rPr>
          <w:color w:val="0070C0"/>
          <w:sz w:val="16"/>
          <w:szCs w:val="16"/>
        </w:rPr>
      </w:pPr>
      <w:r w:rsidRPr="00507A31">
        <w:rPr>
          <w:color w:val="0070C0"/>
          <w:sz w:val="16"/>
          <w:szCs w:val="16"/>
        </w:rPr>
        <w:t>25 марта 1930 - Впервые взлетел гоночный самолет Bernard HV-120 под управлением Антуана Пайяра, построенного для участия в гонке Кубка Шнайдера. Главным отличием самолета был очень мощный по тем временам двигатель - Hispano-Suiza 18R (1680 л.с.). Всего было построено два экземпляра самолета. Один из них разбился в 1931 году, унеся с собой жизнь пилота (22557).</w:t>
      </w:r>
    </w:p>
    <w:p w14:paraId="7DAB2A02" w14:textId="77777777" w:rsidR="002411C7" w:rsidRPr="00507A31" w:rsidRDefault="002411C7" w:rsidP="00507A31">
      <w:pPr>
        <w:autoSpaceDE w:val="0"/>
        <w:autoSpaceDN w:val="0"/>
        <w:adjustRightInd w:val="0"/>
        <w:jc w:val="both"/>
        <w:rPr>
          <w:i/>
          <w:iCs/>
          <w:color w:val="000000" w:themeColor="text1"/>
          <w:sz w:val="16"/>
          <w:szCs w:val="16"/>
        </w:rPr>
      </w:pPr>
    </w:p>
    <w:p w14:paraId="35504127" w14:textId="719BB63D"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2E04976" w14:textId="77777777" w:rsidR="00537E5F" w:rsidRPr="00507A31" w:rsidRDefault="00537E5F" w:rsidP="00507A31">
      <w:pPr>
        <w:autoSpaceDE w:val="0"/>
        <w:autoSpaceDN w:val="0"/>
        <w:adjustRightInd w:val="0"/>
        <w:jc w:val="both"/>
        <w:rPr>
          <w:iCs/>
          <w:color w:val="000000" w:themeColor="text1"/>
          <w:sz w:val="16"/>
          <w:szCs w:val="16"/>
        </w:rPr>
      </w:pPr>
    </w:p>
    <w:p w14:paraId="516F1AF8" w14:textId="77777777" w:rsidR="008166B1" w:rsidRPr="00507A31" w:rsidRDefault="008166B1" w:rsidP="00507A31">
      <w:pPr>
        <w:jc w:val="both"/>
        <w:rPr>
          <w:color w:val="000000" w:themeColor="text1"/>
          <w:sz w:val="16"/>
          <w:szCs w:val="16"/>
        </w:rPr>
      </w:pPr>
      <w:r w:rsidRPr="00507A31">
        <w:rPr>
          <w:color w:val="000000" w:themeColor="text1"/>
          <w:sz w:val="16"/>
          <w:szCs w:val="16"/>
        </w:rPr>
        <w:t>26 мар</w:t>
      </w:r>
      <w:r w:rsidRPr="00507A31">
        <w:rPr>
          <w:color w:val="000000" w:themeColor="text1"/>
          <w:sz w:val="16"/>
          <w:szCs w:val="16"/>
        </w:rPr>
        <w:softHyphen/>
        <w:t>та 1930 года Дого</w:t>
      </w:r>
      <w:r w:rsidRPr="00507A31">
        <w:rPr>
          <w:color w:val="000000" w:themeColor="text1"/>
          <w:sz w:val="16"/>
          <w:szCs w:val="16"/>
        </w:rPr>
        <w:softHyphen/>
        <w:t>вор с фирмой Эрнста Хейнкеля и Государст</w:t>
      </w:r>
      <w:r w:rsidRPr="00507A31">
        <w:rPr>
          <w:color w:val="000000" w:themeColor="text1"/>
          <w:sz w:val="16"/>
          <w:szCs w:val="16"/>
        </w:rPr>
        <w:softHyphen/>
        <w:t>венным трестом авиапромышленности СССР (Авиатрестом) был заключен за №599. 27 марта 1930 года он был завизирован в Полномочном Представительстве СССР в Германии. Советская сторона за 150 тысяч марок получала право на строительство НО-37 сроком на три года. При этом подразумевалась техническая по</w:t>
      </w:r>
      <w:r w:rsidRPr="00507A31">
        <w:rPr>
          <w:color w:val="000000" w:themeColor="text1"/>
          <w:sz w:val="16"/>
          <w:szCs w:val="16"/>
        </w:rPr>
        <w:softHyphen/>
        <w:t>мощь при освоении в производстве, в само</w:t>
      </w:r>
      <w:r w:rsidRPr="00507A31">
        <w:rPr>
          <w:color w:val="000000" w:themeColor="text1"/>
          <w:sz w:val="16"/>
          <w:szCs w:val="16"/>
        </w:rPr>
        <w:softHyphen/>
        <w:t>лет вносились также все положительные из</w:t>
      </w:r>
      <w:r w:rsidRPr="00507A31">
        <w:rPr>
          <w:color w:val="000000" w:themeColor="text1"/>
          <w:sz w:val="16"/>
          <w:szCs w:val="16"/>
        </w:rPr>
        <w:softHyphen/>
        <w:t>менения, реализованные на самолете НО-43.</w:t>
      </w:r>
    </w:p>
    <w:p w14:paraId="2E6A7389" w14:textId="77777777" w:rsidR="008166B1" w:rsidRPr="00507A31" w:rsidRDefault="008166B1" w:rsidP="00507A31">
      <w:pPr>
        <w:jc w:val="both"/>
        <w:rPr>
          <w:color w:val="000000" w:themeColor="text1"/>
          <w:sz w:val="16"/>
          <w:szCs w:val="16"/>
        </w:rPr>
      </w:pPr>
      <w:r w:rsidRPr="00507A31">
        <w:rPr>
          <w:color w:val="000000" w:themeColor="text1"/>
          <w:sz w:val="16"/>
          <w:szCs w:val="16"/>
        </w:rPr>
        <w:t>Существует версия, что НЭ-37 строили на заводе сельхозоборудования в Саратове. Якобы в разобранном виде самолеты пакова</w:t>
      </w:r>
      <w:r w:rsidRPr="00507A31">
        <w:rPr>
          <w:color w:val="000000" w:themeColor="text1"/>
          <w:sz w:val="16"/>
          <w:szCs w:val="16"/>
        </w:rPr>
        <w:softHyphen/>
        <w:t>лись в ящики и под видом комбайнов в об</w:t>
      </w:r>
      <w:r w:rsidRPr="00507A31">
        <w:rPr>
          <w:color w:val="000000" w:themeColor="text1"/>
          <w:sz w:val="16"/>
          <w:szCs w:val="16"/>
        </w:rPr>
        <w:softHyphen/>
        <w:t>ход контролеров Лиги Наций отправлялись в Германию. Документальных подтвержде</w:t>
      </w:r>
      <w:r w:rsidRPr="00507A31">
        <w:rPr>
          <w:color w:val="000000" w:themeColor="text1"/>
          <w:sz w:val="16"/>
          <w:szCs w:val="16"/>
        </w:rPr>
        <w:softHyphen/>
        <w:t>ний этому не обнаружено, однако есть одно загадочное совпадение, вносящее дополни</w:t>
      </w:r>
      <w:r w:rsidRPr="00507A31">
        <w:rPr>
          <w:color w:val="000000" w:themeColor="text1"/>
          <w:sz w:val="16"/>
          <w:szCs w:val="16"/>
        </w:rPr>
        <w:softHyphen/>
        <w:t>тельную интригу в указанную историю. Из</w:t>
      </w:r>
      <w:r w:rsidRPr="00507A31">
        <w:rPr>
          <w:color w:val="000000" w:themeColor="text1"/>
          <w:sz w:val="16"/>
          <w:szCs w:val="16"/>
        </w:rPr>
        <w:softHyphen/>
        <w:t>вестно, что второй НО-37 №292, построен</w:t>
      </w:r>
      <w:r w:rsidRPr="00507A31">
        <w:rPr>
          <w:color w:val="000000" w:themeColor="text1"/>
          <w:sz w:val="16"/>
          <w:szCs w:val="16"/>
        </w:rPr>
        <w:softHyphen/>
        <w:t>ный в Германии, после проведения испыта</w:t>
      </w:r>
      <w:r w:rsidRPr="00507A31">
        <w:rPr>
          <w:color w:val="000000" w:themeColor="text1"/>
          <w:sz w:val="16"/>
          <w:szCs w:val="16"/>
        </w:rPr>
        <w:softHyphen/>
        <w:t>ний направили для эксплуатации в войско</w:t>
      </w:r>
      <w:r w:rsidRPr="00507A31">
        <w:rPr>
          <w:color w:val="000000" w:themeColor="text1"/>
          <w:sz w:val="16"/>
          <w:szCs w:val="16"/>
        </w:rPr>
        <w:softHyphen/>
        <w:t>вую часть. Случай, нужно отметить, доволь</w:t>
      </w:r>
      <w:r w:rsidRPr="00507A31">
        <w:rPr>
          <w:color w:val="000000" w:themeColor="text1"/>
          <w:sz w:val="16"/>
          <w:szCs w:val="16"/>
        </w:rPr>
        <w:softHyphen/>
        <w:t>но нетипичный для той поры. Возможно, са</w:t>
      </w:r>
      <w:r w:rsidRPr="00507A31">
        <w:rPr>
          <w:color w:val="000000" w:themeColor="text1"/>
          <w:sz w:val="16"/>
          <w:szCs w:val="16"/>
        </w:rPr>
        <w:softHyphen/>
        <w:t>молет на самом деле направили в качестве эталонного образца для последующего вос</w:t>
      </w:r>
      <w:r w:rsidRPr="00507A31">
        <w:rPr>
          <w:color w:val="000000" w:themeColor="text1"/>
          <w:sz w:val="16"/>
          <w:szCs w:val="16"/>
        </w:rPr>
        <w:softHyphen/>
        <w:t>производства на саратовском заводе. Так оно или нет, однако в скором времени завод ком</w:t>
      </w:r>
      <w:r w:rsidRPr="00507A31">
        <w:rPr>
          <w:color w:val="000000" w:themeColor="text1"/>
          <w:sz w:val="16"/>
          <w:szCs w:val="16"/>
        </w:rPr>
        <w:softHyphen/>
        <w:t>байнов в Саратове превратился в авиацион</w:t>
      </w:r>
      <w:r w:rsidRPr="00507A31">
        <w:rPr>
          <w:color w:val="000000" w:themeColor="text1"/>
          <w:sz w:val="16"/>
          <w:szCs w:val="16"/>
        </w:rPr>
        <w:softHyphen/>
        <w:t>ный завод №292 (12295).</w:t>
      </w:r>
    </w:p>
    <w:p w14:paraId="44DF27A2" w14:textId="77777777" w:rsidR="008166B1" w:rsidRPr="00507A31" w:rsidRDefault="008166B1" w:rsidP="00507A31">
      <w:pPr>
        <w:jc w:val="both"/>
        <w:rPr>
          <w:color w:val="000000" w:themeColor="text1"/>
          <w:sz w:val="16"/>
          <w:szCs w:val="16"/>
        </w:rPr>
      </w:pPr>
    </w:p>
    <w:p w14:paraId="40005C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марта 1930 состоялось совещание НТК по уточнению ТТ к самолетам пятилетнего плана и общих тех, требований к самолетам, которое состоялось и коснулось нагрузки И-9, ДИ-3, ДИ-4, МБР-2, МДР-3 (351).</w:t>
      </w:r>
    </w:p>
    <w:p w14:paraId="68D73A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Уточнили и "Общие технические требования к самолетам пятилетнего плана: И-9, ДИ-3, ДИ-4, МБР-2, МДР-2 и общих технических требований самолетам. Присутствовал П.С.Дубенский, С.А.Кочеригин от 25 завода, ОПОЗ и от ЦАГИ (351).</w:t>
      </w:r>
    </w:p>
    <w:p w14:paraId="23F6D403" w14:textId="77777777" w:rsidR="00537E5F" w:rsidRPr="00507A31" w:rsidRDefault="00537E5F" w:rsidP="00507A31">
      <w:pPr>
        <w:autoSpaceDE w:val="0"/>
        <w:autoSpaceDN w:val="0"/>
        <w:adjustRightInd w:val="0"/>
        <w:jc w:val="both"/>
        <w:rPr>
          <w:color w:val="000000" w:themeColor="text1"/>
          <w:sz w:val="16"/>
          <w:szCs w:val="16"/>
        </w:rPr>
      </w:pPr>
    </w:p>
    <w:p w14:paraId="5846B1B4" w14:textId="77777777" w:rsidR="00C82885" w:rsidRPr="00507A31" w:rsidRDefault="00C82885" w:rsidP="00507A31">
      <w:pPr>
        <w:jc w:val="both"/>
        <w:rPr>
          <w:color w:val="0070C0"/>
          <w:sz w:val="16"/>
          <w:szCs w:val="16"/>
          <w:lang w:bidi="ru-RU"/>
        </w:rPr>
      </w:pPr>
      <w:r w:rsidRPr="00507A31">
        <w:rPr>
          <w:color w:val="0070C0"/>
          <w:sz w:val="16"/>
          <w:szCs w:val="16"/>
          <w:lang w:bidi="ru-RU"/>
        </w:rPr>
        <w:t>26 марта и 3 апреля 1930 с учетом результатов обсуждения в 3-й и 4-й сек</w:t>
      </w:r>
      <w:r w:rsidRPr="00507A31">
        <w:rPr>
          <w:color w:val="0070C0"/>
          <w:sz w:val="16"/>
          <w:szCs w:val="16"/>
          <w:lang w:bidi="ru-RU"/>
        </w:rPr>
        <w:softHyphen/>
        <w:t>циях НТК с участием представителей штаба ВВС КА в ТТТ на тяжелый штурмовик внести некоторые редакционные из</w:t>
      </w:r>
      <w:r w:rsidRPr="00507A31">
        <w:rPr>
          <w:color w:val="0070C0"/>
          <w:sz w:val="16"/>
          <w:szCs w:val="16"/>
          <w:lang w:bidi="ru-RU"/>
        </w:rPr>
        <w:softHyphen/>
        <w:t>менения, после чего материалы напра</w:t>
      </w:r>
      <w:r w:rsidRPr="00507A31">
        <w:rPr>
          <w:color w:val="0070C0"/>
          <w:sz w:val="16"/>
          <w:szCs w:val="16"/>
          <w:lang w:bidi="ru-RU"/>
        </w:rPr>
        <w:softHyphen/>
        <w:t>вили в ЦАГИ. К 30 мая, согласно предва</w:t>
      </w:r>
      <w:r w:rsidRPr="00507A31">
        <w:rPr>
          <w:color w:val="0070C0"/>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507A31">
        <w:rPr>
          <w:color w:val="0070C0"/>
          <w:sz w:val="16"/>
          <w:szCs w:val="16"/>
          <w:lang w:bidi="ru-RU"/>
        </w:rPr>
        <w:softHyphen/>
        <w:t>деления толщин брони, составов стрел</w:t>
      </w:r>
      <w:r w:rsidRPr="00507A31">
        <w:rPr>
          <w:color w:val="0070C0"/>
          <w:sz w:val="16"/>
          <w:szCs w:val="16"/>
          <w:lang w:bidi="ru-RU"/>
        </w:rPr>
        <w:softHyphen/>
        <w:t>ково-пушечного, бомбардировочного и химического вооружения. По заданию на ТШ-1 предполагалось использовать пер</w:t>
      </w:r>
      <w:r w:rsidRPr="00507A31">
        <w:rPr>
          <w:color w:val="0070C0"/>
          <w:sz w:val="16"/>
          <w:szCs w:val="16"/>
          <w:lang w:bidi="ru-RU"/>
        </w:rPr>
        <w:softHyphen/>
        <w:t>спективный отечественный мотор жид</w:t>
      </w:r>
      <w:r w:rsidRPr="00507A31">
        <w:rPr>
          <w:color w:val="0070C0"/>
          <w:sz w:val="16"/>
          <w:szCs w:val="16"/>
          <w:lang w:bidi="ru-RU"/>
        </w:rPr>
        <w:softHyphen/>
        <w:t>костного охлаждения М-34 (750/800 л.с.) конструкции А.А. Микулина, который планировалось выпускать массово.</w:t>
      </w:r>
    </w:p>
    <w:p w14:paraId="2B1C2A6C" w14:textId="77777777" w:rsidR="00C82885" w:rsidRPr="00507A31" w:rsidRDefault="00C82885" w:rsidP="00507A31">
      <w:pPr>
        <w:jc w:val="both"/>
        <w:rPr>
          <w:color w:val="0070C0"/>
          <w:sz w:val="16"/>
          <w:szCs w:val="16"/>
        </w:rPr>
      </w:pPr>
      <w:r w:rsidRPr="00507A31">
        <w:rPr>
          <w:color w:val="0070C0"/>
          <w:sz w:val="16"/>
          <w:szCs w:val="16"/>
          <w:lang w:bidi="ru-RU"/>
        </w:rPr>
        <w:t>По первоначальным требованиям во</w:t>
      </w:r>
      <w:r w:rsidRPr="00507A31">
        <w:rPr>
          <w:color w:val="0070C0"/>
          <w:sz w:val="16"/>
          <w:szCs w:val="16"/>
          <w:lang w:bidi="ru-RU"/>
        </w:rPr>
        <w:softHyphen/>
        <w:t>енные предполагали забронировать ме</w:t>
      </w:r>
      <w:r w:rsidRPr="00507A31">
        <w:rPr>
          <w:color w:val="0070C0"/>
          <w:sz w:val="16"/>
          <w:szCs w:val="16"/>
          <w:lang w:bidi="ru-RU"/>
        </w:rPr>
        <w:softHyphen/>
        <w:t>ста экипажа (два летчика, летнаб и стре</w:t>
      </w:r>
      <w:r w:rsidRPr="00507A31">
        <w:rPr>
          <w:color w:val="0070C0"/>
          <w:sz w:val="16"/>
          <w:szCs w:val="16"/>
          <w:lang w:bidi="ru-RU"/>
        </w:rPr>
        <w:softHyphen/>
        <w:t>лок-радист), моторы и бензобаки таким образом, «чтобы броня защищала от по</w:t>
      </w:r>
      <w:r w:rsidRPr="00507A31">
        <w:rPr>
          <w:color w:val="0070C0"/>
          <w:sz w:val="16"/>
          <w:szCs w:val="16"/>
          <w:lang w:bidi="ru-RU"/>
        </w:rPr>
        <w:softHyphen/>
        <w:t>ражений при стрельбе из пулеметов и винтовок бронепулями 7,62 мм на всех дистанциях».</w:t>
      </w:r>
    </w:p>
    <w:p w14:paraId="72943784" w14:textId="77777777" w:rsidR="00C82885" w:rsidRPr="00507A31" w:rsidRDefault="00C82885" w:rsidP="00507A31">
      <w:pPr>
        <w:jc w:val="both"/>
        <w:rPr>
          <w:color w:val="0070C0"/>
          <w:sz w:val="16"/>
          <w:szCs w:val="16"/>
        </w:rPr>
      </w:pPr>
      <w:r w:rsidRPr="00507A31">
        <w:rPr>
          <w:color w:val="0070C0"/>
          <w:sz w:val="16"/>
          <w:szCs w:val="16"/>
          <w:lang w:bidi="ru-RU"/>
        </w:rPr>
        <w:t>В частности, «снизу фюзеляжа под ка</w:t>
      </w:r>
      <w:r w:rsidRPr="00507A31">
        <w:rPr>
          <w:color w:val="0070C0"/>
          <w:sz w:val="16"/>
          <w:szCs w:val="16"/>
          <w:lang w:bidi="ru-RU"/>
        </w:rPr>
        <w:softHyphen/>
        <w:t>ждой кабиной устанавливаются постоян</w:t>
      </w:r>
      <w:r w:rsidRPr="00507A31">
        <w:rPr>
          <w:color w:val="0070C0"/>
          <w:sz w:val="16"/>
          <w:szCs w:val="16"/>
          <w:lang w:bidi="ru-RU"/>
        </w:rPr>
        <w:softHyphen/>
        <w:t>ные броневые щиты толщиной 16 мм и площадью около 1 м2, по бокам кабин на фюзеляже устанавливаются съемные бро</w:t>
      </w:r>
      <w:r w:rsidRPr="00507A31">
        <w:rPr>
          <w:color w:val="0070C0"/>
          <w:sz w:val="16"/>
          <w:szCs w:val="16"/>
          <w:lang w:bidi="ru-RU"/>
        </w:rPr>
        <w:softHyphen/>
        <w:t>невые щиты толщиной 8 мм, каждый щит около 1 м2». Такой же щит устанавлива</w:t>
      </w:r>
      <w:r w:rsidRPr="00507A31">
        <w:rPr>
          <w:color w:val="0070C0"/>
          <w:sz w:val="16"/>
          <w:szCs w:val="16"/>
          <w:lang w:bidi="ru-RU"/>
        </w:rPr>
        <w:softHyphen/>
        <w:t>ется в носовой части самолета для предо</w:t>
      </w:r>
      <w:r w:rsidRPr="00507A31">
        <w:rPr>
          <w:color w:val="0070C0"/>
          <w:sz w:val="16"/>
          <w:szCs w:val="16"/>
          <w:lang w:bidi="ru-RU"/>
        </w:rPr>
        <w:softHyphen/>
        <w:t>хранения переднего стрелка от ружейно</w:t>
      </w:r>
      <w:r w:rsidRPr="00507A31">
        <w:rPr>
          <w:color w:val="0070C0"/>
          <w:sz w:val="16"/>
          <w:szCs w:val="16"/>
          <w:lang w:bidi="ru-RU"/>
        </w:rPr>
        <w:softHyphen/>
        <w:t>пулеметного огня и осколков зенитных снарядов спереди. Со стороны задней по</w:t>
      </w:r>
      <w:r w:rsidRPr="00507A31">
        <w:rPr>
          <w:color w:val="0070C0"/>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3B22AB54" w14:textId="77777777" w:rsidR="00C82885" w:rsidRPr="00507A31" w:rsidRDefault="00C82885" w:rsidP="00507A31">
      <w:pPr>
        <w:jc w:val="both"/>
        <w:rPr>
          <w:color w:val="0070C0"/>
          <w:sz w:val="16"/>
          <w:szCs w:val="16"/>
        </w:rPr>
      </w:pPr>
      <w:r w:rsidRPr="00507A31">
        <w:rPr>
          <w:color w:val="0070C0"/>
          <w:sz w:val="16"/>
          <w:szCs w:val="16"/>
          <w:lang w:bidi="ru-RU"/>
        </w:rPr>
        <w:t>Моторы предлагалось защитить бро</w:t>
      </w:r>
      <w:r w:rsidRPr="00507A31">
        <w:rPr>
          <w:color w:val="0070C0"/>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3C139067" w14:textId="77777777" w:rsidR="00C82885" w:rsidRPr="00507A31" w:rsidRDefault="00C82885" w:rsidP="00507A31">
      <w:pPr>
        <w:jc w:val="both"/>
        <w:rPr>
          <w:color w:val="0070C0"/>
          <w:sz w:val="16"/>
          <w:szCs w:val="16"/>
        </w:rPr>
      </w:pPr>
      <w:r w:rsidRPr="00507A31">
        <w:rPr>
          <w:color w:val="0070C0"/>
          <w:sz w:val="16"/>
          <w:szCs w:val="16"/>
          <w:lang w:bidi="ru-RU"/>
        </w:rPr>
        <w:t>Общий вес брони достигал 1000 кг. Считалось, что часть брони должна вклю</w:t>
      </w:r>
      <w:r w:rsidRPr="00507A31">
        <w:rPr>
          <w:color w:val="0070C0"/>
          <w:sz w:val="16"/>
          <w:szCs w:val="16"/>
          <w:lang w:bidi="ru-RU"/>
        </w:rPr>
        <w:softHyphen/>
        <w:t>чаться в силовую схему конструкции са</w:t>
      </w:r>
      <w:r w:rsidRPr="00507A31">
        <w:rPr>
          <w:color w:val="0070C0"/>
          <w:sz w:val="16"/>
          <w:szCs w:val="16"/>
          <w:lang w:bidi="ru-RU"/>
        </w:rPr>
        <w:softHyphen/>
        <w:t>молета - «идти в счет веса конструкции», а съемная часть брони - «идти в счет веса горючего».</w:t>
      </w:r>
    </w:p>
    <w:p w14:paraId="5597A5EB" w14:textId="77777777" w:rsidR="00C82885" w:rsidRPr="00507A31" w:rsidRDefault="00C82885" w:rsidP="00507A31">
      <w:pPr>
        <w:jc w:val="both"/>
        <w:rPr>
          <w:color w:val="0070C0"/>
          <w:sz w:val="16"/>
          <w:szCs w:val="16"/>
        </w:rPr>
      </w:pPr>
      <w:r w:rsidRPr="00507A31">
        <w:rPr>
          <w:color w:val="0070C0"/>
          <w:sz w:val="16"/>
          <w:szCs w:val="16"/>
          <w:lang w:bidi="ru-RU"/>
        </w:rPr>
        <w:t>Повышение боевой живучести само</w:t>
      </w:r>
      <w:r w:rsidRPr="00507A31">
        <w:rPr>
          <w:color w:val="0070C0"/>
          <w:sz w:val="16"/>
          <w:szCs w:val="16"/>
          <w:lang w:bidi="ru-RU"/>
        </w:rPr>
        <w:softHyphen/>
        <w:t>лета, помимо бронирования, предпола</w:t>
      </w:r>
      <w:r w:rsidRPr="00507A31">
        <w:rPr>
          <w:color w:val="0070C0"/>
          <w:sz w:val="16"/>
          <w:szCs w:val="16"/>
          <w:lang w:bidi="ru-RU"/>
        </w:rPr>
        <w:softHyphen/>
        <w:t>галось обеспечить и за счет применения цельнометаллической конструкции, кото</w:t>
      </w:r>
      <w:r w:rsidRPr="00507A31">
        <w:rPr>
          <w:color w:val="0070C0"/>
          <w:sz w:val="16"/>
          <w:szCs w:val="16"/>
          <w:lang w:bidi="ru-RU"/>
        </w:rPr>
        <w:softHyphen/>
        <w:t>рая «должна стремиться к максимальному обеспечению сохранения свойств само</w:t>
      </w:r>
      <w:r w:rsidRPr="00507A31">
        <w:rPr>
          <w:color w:val="0070C0"/>
          <w:sz w:val="16"/>
          <w:szCs w:val="16"/>
          <w:lang w:bidi="ru-RU"/>
        </w:rPr>
        <w:softHyphen/>
        <w:t>лета после попадания в небронирован</w:t>
      </w:r>
      <w:r w:rsidRPr="00507A31">
        <w:rPr>
          <w:color w:val="0070C0"/>
          <w:sz w:val="16"/>
          <w:szCs w:val="16"/>
          <w:lang w:bidi="ru-RU"/>
        </w:rPr>
        <w:softHyphen/>
        <w:t>ные участки пуль простых, зажигательных и трассировочных». С этой же целью кон</w:t>
      </w:r>
      <w:r w:rsidRPr="00507A31">
        <w:rPr>
          <w:color w:val="0070C0"/>
          <w:sz w:val="16"/>
          <w:szCs w:val="16"/>
          <w:lang w:bidi="ru-RU"/>
        </w:rPr>
        <w:softHyphen/>
        <w:t>струкция крыла должна быть многолонже</w:t>
      </w:r>
      <w:r w:rsidRPr="00507A31">
        <w:rPr>
          <w:color w:val="0070C0"/>
          <w:sz w:val="16"/>
          <w:szCs w:val="16"/>
          <w:lang w:bidi="ru-RU"/>
        </w:rPr>
        <w:softHyphen/>
        <w:t>ронной, «проводки управления рулем вы</w:t>
      </w:r>
      <w:r w:rsidRPr="00507A31">
        <w:rPr>
          <w:color w:val="0070C0"/>
          <w:sz w:val="16"/>
          <w:szCs w:val="16"/>
          <w:lang w:bidi="ru-RU"/>
        </w:rPr>
        <w:softHyphen/>
        <w:t>соты и направления должны иметь двой</w:t>
      </w:r>
      <w:r w:rsidRPr="00507A31">
        <w:rPr>
          <w:color w:val="0070C0"/>
          <w:sz w:val="16"/>
          <w:szCs w:val="16"/>
          <w:lang w:bidi="ru-RU"/>
        </w:rPr>
        <w:softHyphen/>
        <w:t>ные магистрали, обеспечивающие управ</w:t>
      </w:r>
      <w:r w:rsidRPr="00507A31">
        <w:rPr>
          <w:color w:val="0070C0"/>
          <w:sz w:val="16"/>
          <w:szCs w:val="16"/>
          <w:lang w:bidi="ru-RU"/>
        </w:rPr>
        <w:softHyphen/>
        <w:t>ляемость самолета при перебитии одной из них», а «проводка управления элеро</w:t>
      </w:r>
      <w:r w:rsidRPr="00507A31">
        <w:rPr>
          <w:color w:val="0070C0"/>
          <w:sz w:val="16"/>
          <w:szCs w:val="16"/>
          <w:lang w:bidi="ru-RU"/>
        </w:rPr>
        <w:softHyphen/>
        <w:t>нами должна обеспечить отключение од</w:t>
      </w:r>
      <w:r w:rsidRPr="00507A31">
        <w:rPr>
          <w:color w:val="0070C0"/>
          <w:sz w:val="16"/>
          <w:szCs w:val="16"/>
          <w:lang w:bidi="ru-RU"/>
        </w:rPr>
        <w:softHyphen/>
        <w:t>ного из них при его поражении».</w:t>
      </w:r>
    </w:p>
    <w:p w14:paraId="35C514CB" w14:textId="77777777" w:rsidR="00C82885" w:rsidRPr="00507A31" w:rsidRDefault="00C82885" w:rsidP="00507A31">
      <w:pPr>
        <w:jc w:val="both"/>
        <w:rPr>
          <w:color w:val="0070C0"/>
          <w:sz w:val="16"/>
          <w:szCs w:val="16"/>
        </w:rPr>
      </w:pPr>
      <w:r w:rsidRPr="00507A31">
        <w:rPr>
          <w:color w:val="0070C0"/>
          <w:sz w:val="16"/>
          <w:szCs w:val="16"/>
          <w:lang w:bidi="ru-RU"/>
        </w:rPr>
        <w:t>В обязательном порядке «кабины эки</w:t>
      </w:r>
      <w:r w:rsidRPr="00507A31">
        <w:rPr>
          <w:color w:val="0070C0"/>
          <w:sz w:val="16"/>
          <w:szCs w:val="16"/>
          <w:lang w:bidi="ru-RU"/>
        </w:rPr>
        <w:softHyphen/>
        <w:t>пажа должны быть отделены от бензоба</w:t>
      </w:r>
      <w:r w:rsidRPr="00507A31">
        <w:rPr>
          <w:color w:val="0070C0"/>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507A31">
        <w:rPr>
          <w:color w:val="0070C0"/>
          <w:sz w:val="16"/>
          <w:szCs w:val="16"/>
          <w:lang w:bidi="ru-RU"/>
        </w:rPr>
        <w:softHyphen/>
        <w:t>дый мотор предполагалось иметь не ме</w:t>
      </w:r>
      <w:r w:rsidRPr="00507A31">
        <w:rPr>
          <w:color w:val="0070C0"/>
          <w:sz w:val="16"/>
          <w:szCs w:val="16"/>
          <w:lang w:bidi="ru-RU"/>
        </w:rPr>
        <w:softHyphen/>
        <w:t>нее четырех таких баков).</w:t>
      </w:r>
    </w:p>
    <w:p w14:paraId="64BB8337" w14:textId="77777777" w:rsidR="00C82885" w:rsidRPr="00507A31" w:rsidRDefault="00C82885" w:rsidP="00507A31">
      <w:pPr>
        <w:jc w:val="both"/>
        <w:rPr>
          <w:color w:val="0070C0"/>
          <w:sz w:val="16"/>
          <w:szCs w:val="16"/>
        </w:rPr>
      </w:pPr>
      <w:r w:rsidRPr="00507A31">
        <w:rPr>
          <w:color w:val="0070C0"/>
          <w:sz w:val="16"/>
          <w:szCs w:val="16"/>
          <w:lang w:bidi="ru-RU"/>
        </w:rPr>
        <w:t>Планировалось, что самолет будет иметь двойное управление («с левого и правого рабочих мест экипажа»), хоро</w:t>
      </w:r>
      <w:r w:rsidRPr="00507A31">
        <w:rPr>
          <w:color w:val="0070C0"/>
          <w:sz w:val="16"/>
          <w:szCs w:val="16"/>
          <w:lang w:bidi="ru-RU"/>
        </w:rPr>
        <w:softHyphen/>
        <w:t>ший обзор летчикам («как в бок, так впе</w:t>
      </w:r>
      <w:r w:rsidRPr="00507A31">
        <w:rPr>
          <w:color w:val="0070C0"/>
          <w:sz w:val="16"/>
          <w:szCs w:val="16"/>
          <w:lang w:bidi="ru-RU"/>
        </w:rPr>
        <w:softHyphen/>
        <w:t>ред и вниз»), тормозные колеса («с от</w:t>
      </w:r>
      <w:r w:rsidRPr="00507A31">
        <w:rPr>
          <w:color w:val="0070C0"/>
          <w:sz w:val="16"/>
          <w:szCs w:val="16"/>
          <w:lang w:bidi="ru-RU"/>
        </w:rPr>
        <w:softHyphen/>
        <w:t>дельной проводкой на каждое колесо и с механизмом, предохраняющим само</w:t>
      </w:r>
      <w:r w:rsidRPr="00507A31">
        <w:rPr>
          <w:color w:val="0070C0"/>
          <w:sz w:val="16"/>
          <w:szCs w:val="16"/>
          <w:lang w:bidi="ru-RU"/>
        </w:rPr>
        <w:softHyphen/>
        <w:t>лет от капотажа»), специальные глушители для бесшумного полета.</w:t>
      </w:r>
    </w:p>
    <w:p w14:paraId="08A5BC29" w14:textId="77777777" w:rsidR="00C82885" w:rsidRPr="00507A31" w:rsidRDefault="00C82885" w:rsidP="00507A31">
      <w:pPr>
        <w:jc w:val="both"/>
        <w:rPr>
          <w:color w:val="0070C0"/>
          <w:sz w:val="16"/>
          <w:szCs w:val="16"/>
        </w:rPr>
      </w:pPr>
      <w:r w:rsidRPr="00507A31">
        <w:rPr>
          <w:color w:val="0070C0"/>
          <w:sz w:val="16"/>
          <w:szCs w:val="16"/>
          <w:lang w:bidi="ru-RU"/>
        </w:rPr>
        <w:t>Самолет должен был продолжать го</w:t>
      </w:r>
      <w:r w:rsidRPr="00507A31">
        <w:rPr>
          <w:color w:val="0070C0"/>
          <w:sz w:val="16"/>
          <w:szCs w:val="16"/>
          <w:lang w:bidi="ru-RU"/>
        </w:rPr>
        <w:softHyphen/>
        <w:t>ризонтальный полет при одном работаю</w:t>
      </w:r>
      <w:r w:rsidRPr="00507A31">
        <w:rPr>
          <w:color w:val="0070C0"/>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593028F1" w14:textId="77777777" w:rsidR="00C82885" w:rsidRPr="00507A31" w:rsidRDefault="00C82885" w:rsidP="00507A31">
      <w:pPr>
        <w:jc w:val="both"/>
        <w:rPr>
          <w:color w:val="0070C0"/>
          <w:sz w:val="16"/>
          <w:szCs w:val="16"/>
        </w:rPr>
      </w:pPr>
      <w:r w:rsidRPr="00507A31">
        <w:rPr>
          <w:color w:val="0070C0"/>
          <w:sz w:val="16"/>
          <w:szCs w:val="16"/>
          <w:lang w:bidi="ru-RU"/>
        </w:rPr>
        <w:t>Требовалось, чтобы самолет обладал продольной устойчивостью «на всех ре</w:t>
      </w:r>
      <w:r w:rsidRPr="00507A31">
        <w:rPr>
          <w:color w:val="0070C0"/>
          <w:sz w:val="16"/>
          <w:szCs w:val="16"/>
          <w:lang w:bidi="ru-RU"/>
        </w:rPr>
        <w:softHyphen/>
        <w:t>жимах от крутого планирования до по</w:t>
      </w:r>
      <w:r w:rsidRPr="00507A31">
        <w:rPr>
          <w:color w:val="0070C0"/>
          <w:sz w:val="16"/>
          <w:szCs w:val="16"/>
          <w:lang w:bidi="ru-RU"/>
        </w:rPr>
        <w:softHyphen/>
        <w:t>садочного угла для всех присущих ему вариантов нагрузки», а также попереч</w:t>
      </w:r>
      <w:r w:rsidRPr="00507A31">
        <w:rPr>
          <w:color w:val="0070C0"/>
          <w:sz w:val="16"/>
          <w:szCs w:val="16"/>
          <w:lang w:bidi="ru-RU"/>
        </w:rPr>
        <w:softHyphen/>
        <w:t>ной и путевой устойчивостью «на всех скоростях от посадочной до крутого планирования».</w:t>
      </w:r>
    </w:p>
    <w:p w14:paraId="279F7A4C" w14:textId="77777777" w:rsidR="00C82885" w:rsidRPr="00507A31" w:rsidRDefault="00C82885" w:rsidP="00507A31">
      <w:pPr>
        <w:jc w:val="both"/>
        <w:rPr>
          <w:color w:val="0070C0"/>
          <w:sz w:val="16"/>
          <w:szCs w:val="16"/>
        </w:rPr>
      </w:pPr>
      <w:r w:rsidRPr="00507A31">
        <w:rPr>
          <w:color w:val="0070C0"/>
          <w:sz w:val="16"/>
          <w:szCs w:val="16"/>
          <w:lang w:bidi="ru-RU"/>
        </w:rPr>
        <w:t>При выполнении всех фигур пило</w:t>
      </w:r>
      <w:r w:rsidRPr="00507A31">
        <w:rPr>
          <w:color w:val="0070C0"/>
          <w:sz w:val="16"/>
          <w:szCs w:val="16"/>
          <w:lang w:bidi="ru-RU"/>
        </w:rPr>
        <w:softHyphen/>
        <w:t>тажа («присущих данному самолету») на высоте 1000 м нагрузка в канале управ</w:t>
      </w:r>
      <w:r w:rsidRPr="00507A31">
        <w:rPr>
          <w:color w:val="0070C0"/>
          <w:sz w:val="16"/>
          <w:szCs w:val="16"/>
          <w:lang w:bidi="ru-RU"/>
        </w:rPr>
        <w:softHyphen/>
        <w:t>ления рулем высоты ограничивалась 6 кг, элеронами - 4 кг (штурвальное управле</w:t>
      </w:r>
      <w:r w:rsidRPr="00507A31">
        <w:rPr>
          <w:color w:val="0070C0"/>
          <w:sz w:val="16"/>
          <w:szCs w:val="16"/>
          <w:lang w:bidi="ru-RU"/>
        </w:rPr>
        <w:softHyphen/>
        <w:t>ние), и рулем поворота (ножное управле</w:t>
      </w:r>
      <w:r w:rsidRPr="00507A31">
        <w:rPr>
          <w:color w:val="0070C0"/>
          <w:sz w:val="16"/>
          <w:szCs w:val="16"/>
          <w:lang w:bidi="ru-RU"/>
        </w:rPr>
        <w:softHyphen/>
        <w:t>ние) - 8 кг.</w:t>
      </w:r>
    </w:p>
    <w:p w14:paraId="2C2379CC" w14:textId="77777777" w:rsidR="00C82885" w:rsidRPr="00507A31" w:rsidRDefault="00C82885" w:rsidP="00507A31">
      <w:pPr>
        <w:jc w:val="both"/>
        <w:rPr>
          <w:color w:val="0070C0"/>
          <w:sz w:val="16"/>
          <w:szCs w:val="16"/>
        </w:rPr>
      </w:pPr>
      <w:r w:rsidRPr="00507A31">
        <w:rPr>
          <w:color w:val="0070C0"/>
          <w:sz w:val="16"/>
          <w:szCs w:val="16"/>
          <w:lang w:bidi="ru-RU"/>
        </w:rPr>
        <w:t>Посадочная скорость устанавливалась в пределах 90 км/ч. Пробег при использо</w:t>
      </w:r>
      <w:r w:rsidRPr="00507A31">
        <w:rPr>
          <w:color w:val="0070C0"/>
          <w:sz w:val="16"/>
          <w:szCs w:val="16"/>
          <w:lang w:bidi="ru-RU"/>
        </w:rPr>
        <w:softHyphen/>
        <w:t>вании тормозов не более 80 м, без тормо</w:t>
      </w:r>
      <w:r w:rsidRPr="00507A31">
        <w:rPr>
          <w:color w:val="0070C0"/>
          <w:sz w:val="16"/>
          <w:szCs w:val="16"/>
          <w:lang w:bidi="ru-RU"/>
        </w:rPr>
        <w:softHyphen/>
        <w:t>зов - 200 м. Разбег - не более 150 м. Раз</w:t>
      </w:r>
      <w:r w:rsidRPr="00507A31">
        <w:rPr>
          <w:color w:val="0070C0"/>
          <w:sz w:val="16"/>
          <w:szCs w:val="16"/>
          <w:lang w:bidi="ru-RU"/>
        </w:rPr>
        <w:softHyphen/>
        <w:t>бег и пробег должны быть устойчивыми без тенденции к резким разворотам.</w:t>
      </w:r>
    </w:p>
    <w:p w14:paraId="680445D2" w14:textId="77777777" w:rsidR="00C82885" w:rsidRPr="00507A31" w:rsidRDefault="00C82885" w:rsidP="00507A31">
      <w:pPr>
        <w:jc w:val="both"/>
        <w:rPr>
          <w:color w:val="0070C0"/>
          <w:sz w:val="16"/>
          <w:szCs w:val="16"/>
        </w:rPr>
      </w:pPr>
      <w:r w:rsidRPr="00507A31">
        <w:rPr>
          <w:color w:val="0070C0"/>
          <w:sz w:val="16"/>
          <w:szCs w:val="16"/>
          <w:lang w:bidi="ru-RU"/>
        </w:rPr>
        <w:t>Стрелково-пушечное вооружение включало динамореактивную (безоткат</w:t>
      </w:r>
      <w:r w:rsidRPr="00507A31">
        <w:rPr>
          <w:color w:val="0070C0"/>
          <w:sz w:val="16"/>
          <w:szCs w:val="16"/>
          <w:lang w:bidi="ru-RU"/>
        </w:rPr>
        <w:softHyphen/>
        <w:t>ную) пушку калибра 76,2 мм конструк</w:t>
      </w:r>
      <w:r w:rsidRPr="00507A31">
        <w:rPr>
          <w:color w:val="0070C0"/>
          <w:sz w:val="16"/>
          <w:szCs w:val="16"/>
          <w:lang w:bidi="ru-RU"/>
        </w:rPr>
        <w:softHyphen/>
        <w:t>ции Л.В. Курчевского (боекомплект 20 па</w:t>
      </w:r>
      <w:r w:rsidRPr="00507A31">
        <w:rPr>
          <w:color w:val="0070C0"/>
          <w:sz w:val="16"/>
          <w:szCs w:val="16"/>
          <w:lang w:bidi="ru-RU"/>
        </w:rPr>
        <w:softHyphen/>
        <w:t>трон), четыре неподвижных пулемета ПВ-1 в крыле (1000 патрон), две под</w:t>
      </w:r>
      <w:r w:rsidRPr="00507A31">
        <w:rPr>
          <w:color w:val="0070C0"/>
          <w:sz w:val="16"/>
          <w:szCs w:val="16"/>
          <w:lang w:bidi="ru-RU"/>
        </w:rPr>
        <w:softHyphen/>
        <w:t>вижные спарки пулеметов ДА на турелях ТУР-10 и ТУР-8 в носовой кабине у лет- наба и задней стрелка-радиста (по 24 ма</w:t>
      </w:r>
      <w:r w:rsidRPr="00507A31">
        <w:rPr>
          <w:color w:val="0070C0"/>
          <w:sz w:val="16"/>
          <w:szCs w:val="16"/>
          <w:lang w:bidi="ru-RU"/>
        </w:rPr>
        <w:softHyphen/>
        <w:t>газина на 63 патрон каждый).</w:t>
      </w:r>
    </w:p>
    <w:p w14:paraId="06F78AC5" w14:textId="77777777" w:rsidR="00C82885" w:rsidRPr="00507A31" w:rsidRDefault="00C82885" w:rsidP="00507A31">
      <w:pPr>
        <w:jc w:val="both"/>
        <w:rPr>
          <w:color w:val="0070C0"/>
          <w:sz w:val="16"/>
          <w:szCs w:val="16"/>
        </w:rPr>
      </w:pPr>
      <w:r w:rsidRPr="00507A31">
        <w:rPr>
          <w:color w:val="0070C0"/>
          <w:sz w:val="16"/>
          <w:szCs w:val="16"/>
          <w:lang w:bidi="ru-RU"/>
        </w:rPr>
        <w:t>Бомбовая нагрузка достигала 1000</w:t>
      </w:r>
      <w:r w:rsidRPr="00507A31">
        <w:rPr>
          <w:color w:val="0070C0"/>
          <w:sz w:val="16"/>
          <w:szCs w:val="16"/>
          <w:lang w:bidi="ru-RU"/>
        </w:rPr>
        <w:softHyphen/>
        <w:t>1500 кг (как мелких, так и крупных ка</w:t>
      </w:r>
      <w:r w:rsidRPr="00507A31">
        <w:rPr>
          <w:color w:val="0070C0"/>
          <w:sz w:val="16"/>
          <w:szCs w:val="16"/>
          <w:lang w:bidi="ru-RU"/>
        </w:rPr>
        <w:softHyphen/>
        <w:t>либров - от 2 кг до 250 кг). Бомбы кали</w:t>
      </w:r>
      <w:r w:rsidRPr="00507A31">
        <w:rPr>
          <w:color w:val="0070C0"/>
          <w:sz w:val="16"/>
          <w:szCs w:val="16"/>
          <w:lang w:bidi="ru-RU"/>
        </w:rPr>
        <w:softHyphen/>
        <w:t>бров 2 и 10 кг загружались в специаль</w:t>
      </w:r>
      <w:r w:rsidRPr="00507A31">
        <w:rPr>
          <w:color w:val="0070C0"/>
          <w:sz w:val="16"/>
          <w:szCs w:val="16"/>
          <w:lang w:bidi="ru-RU"/>
        </w:rPr>
        <w:softHyphen/>
        <w:t>ные кассеты внутри фюзеляжа и в крыле, бомбы калибра 50 кг «желательно разме</w:t>
      </w:r>
      <w:r w:rsidRPr="00507A31">
        <w:rPr>
          <w:color w:val="0070C0"/>
          <w:sz w:val="16"/>
          <w:szCs w:val="16"/>
          <w:lang w:bidi="ru-RU"/>
        </w:rPr>
        <w:softHyphen/>
        <w:t>стить в кассетах», а бомбы калибра 100 и 250 кг подвешивались на внешних держа</w:t>
      </w:r>
      <w:r w:rsidRPr="00507A31">
        <w:rPr>
          <w:color w:val="0070C0"/>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507A31">
        <w:rPr>
          <w:color w:val="0070C0"/>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507A31">
        <w:rPr>
          <w:color w:val="0070C0"/>
          <w:sz w:val="16"/>
          <w:szCs w:val="16"/>
          <w:lang w:bidi="ru-RU"/>
        </w:rPr>
        <w:softHyphen/>
        <w:t>бров. Сброс бомб - одиночно и сериями.</w:t>
      </w:r>
    </w:p>
    <w:p w14:paraId="6193563F" w14:textId="77777777" w:rsidR="00C82885" w:rsidRPr="00507A31" w:rsidRDefault="00C82885" w:rsidP="00507A31">
      <w:pPr>
        <w:jc w:val="both"/>
        <w:rPr>
          <w:color w:val="0070C0"/>
          <w:sz w:val="16"/>
          <w:szCs w:val="16"/>
        </w:rPr>
      </w:pPr>
      <w:r w:rsidRPr="00507A31">
        <w:rPr>
          <w:color w:val="0070C0"/>
          <w:sz w:val="16"/>
          <w:szCs w:val="16"/>
          <w:lang w:bidi="ru-RU"/>
        </w:rPr>
        <w:t>Вместо бомб под крылом допускалась подвеска выливных, дымовых и зажига</w:t>
      </w:r>
      <w:r w:rsidRPr="00507A31">
        <w:rPr>
          <w:color w:val="0070C0"/>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6C608EF1" w14:textId="77777777" w:rsidR="00C82885" w:rsidRPr="00507A31" w:rsidRDefault="00C82885" w:rsidP="00507A31">
      <w:pPr>
        <w:jc w:val="both"/>
        <w:rPr>
          <w:color w:val="0070C0"/>
          <w:sz w:val="16"/>
          <w:szCs w:val="16"/>
        </w:rPr>
      </w:pPr>
      <w:r w:rsidRPr="00507A31">
        <w:rPr>
          <w:color w:val="0070C0"/>
          <w:sz w:val="16"/>
          <w:szCs w:val="16"/>
          <w:lang w:bidi="ru-RU"/>
        </w:rPr>
        <w:t>Динамореактивную пушку Кручевского предполагалось устанавливать под углом 13° вперед-вниз к оси само</w:t>
      </w:r>
      <w:r w:rsidRPr="00507A31">
        <w:rPr>
          <w:color w:val="0070C0"/>
          <w:sz w:val="16"/>
          <w:szCs w:val="16"/>
          <w:lang w:bidi="ru-RU"/>
        </w:rPr>
        <w:softHyphen/>
        <w:t>лета для стрельбы по наземным целям. Стрельба велась летчиком.</w:t>
      </w:r>
    </w:p>
    <w:p w14:paraId="4F58AE82" w14:textId="77777777" w:rsidR="00C82885" w:rsidRPr="00507A31" w:rsidRDefault="00C82885" w:rsidP="00507A31">
      <w:pPr>
        <w:jc w:val="both"/>
        <w:rPr>
          <w:color w:val="0070C0"/>
          <w:sz w:val="16"/>
          <w:szCs w:val="16"/>
        </w:rPr>
      </w:pPr>
      <w:r w:rsidRPr="00507A31">
        <w:rPr>
          <w:color w:val="0070C0"/>
          <w:sz w:val="16"/>
          <w:szCs w:val="16"/>
          <w:lang w:bidi="ru-RU"/>
        </w:rPr>
        <w:t>Общий вес полезной нагрузки до</w:t>
      </w:r>
      <w:r w:rsidRPr="00507A31">
        <w:rPr>
          <w:color w:val="0070C0"/>
          <w:sz w:val="16"/>
          <w:szCs w:val="16"/>
          <w:lang w:bidi="ru-RU"/>
        </w:rPr>
        <w:softHyphen/>
        <w:t>стигал 3790 кг. Это было слишком много. По расчетам специалистов ЦАГИ полет</w:t>
      </w:r>
      <w:r w:rsidRPr="00507A31">
        <w:rPr>
          <w:color w:val="0070C0"/>
          <w:sz w:val="16"/>
          <w:szCs w:val="16"/>
          <w:lang w:bidi="ru-RU"/>
        </w:rPr>
        <w:softHyphen/>
        <w:t>ный вес самолета в этом случае составлял 7,5-8,0 тонн. При таком весе и соответст</w:t>
      </w:r>
      <w:r w:rsidRPr="00507A31">
        <w:rPr>
          <w:color w:val="0070C0"/>
          <w:sz w:val="16"/>
          <w:szCs w:val="16"/>
          <w:lang w:bidi="ru-RU"/>
        </w:rPr>
        <w:softHyphen/>
        <w:t>вующей размерности машины «ожидать хорошей маневренности и скорости не</w:t>
      </w:r>
      <w:r w:rsidRPr="00507A31">
        <w:rPr>
          <w:color w:val="0070C0"/>
          <w:sz w:val="16"/>
          <w:szCs w:val="16"/>
          <w:lang w:bidi="ru-RU"/>
        </w:rPr>
        <w:softHyphen/>
        <w:t>возможно, тем более что для удовлетво</w:t>
      </w:r>
      <w:r w:rsidRPr="00507A31">
        <w:rPr>
          <w:color w:val="0070C0"/>
          <w:sz w:val="16"/>
          <w:szCs w:val="16"/>
          <w:lang w:bidi="ru-RU"/>
        </w:rPr>
        <w:softHyphen/>
        <w:t>рения тех требований в смысле скорости потребовались бы два мотора по 1250</w:t>
      </w:r>
      <w:r w:rsidRPr="00507A31">
        <w:rPr>
          <w:color w:val="0070C0"/>
          <w:sz w:val="16"/>
          <w:szCs w:val="16"/>
          <w:lang w:bidi="ru-RU"/>
        </w:rPr>
        <w:softHyphen/>
        <w:t>1300 л.с., каковых в данное время ни у нас, ни заграницей не существует». Сле</w:t>
      </w:r>
      <w:r w:rsidRPr="00507A31">
        <w:rPr>
          <w:color w:val="0070C0"/>
          <w:sz w:val="16"/>
          <w:szCs w:val="16"/>
          <w:lang w:bidi="ru-RU"/>
        </w:rPr>
        <w:softHyphen/>
        <w:t>довало уменьшить вес общей нагрузки как минимум на 1500 кг.</w:t>
      </w:r>
    </w:p>
    <w:p w14:paraId="182B8DEA" w14:textId="77777777" w:rsidR="00C82885" w:rsidRPr="00507A31" w:rsidRDefault="00C82885" w:rsidP="00507A31">
      <w:pPr>
        <w:jc w:val="both"/>
        <w:rPr>
          <w:color w:val="0070C0"/>
          <w:sz w:val="16"/>
          <w:szCs w:val="16"/>
        </w:rPr>
      </w:pPr>
      <w:r w:rsidRPr="00507A31">
        <w:rPr>
          <w:color w:val="0070C0"/>
          <w:sz w:val="16"/>
          <w:szCs w:val="16"/>
          <w:lang w:bidi="ru-RU"/>
        </w:rPr>
        <w:t>Уточненные требования к самолету ТШ-1 предполагали два варианта брони</w:t>
      </w:r>
      <w:r w:rsidRPr="00507A31">
        <w:rPr>
          <w:color w:val="0070C0"/>
          <w:sz w:val="16"/>
          <w:szCs w:val="16"/>
          <w:lang w:bidi="ru-RU"/>
        </w:rPr>
        <w:softHyphen/>
        <w:t>рования. По первому варианту броней за</w:t>
      </w:r>
      <w:r w:rsidRPr="00507A31">
        <w:rPr>
          <w:color w:val="0070C0"/>
          <w:sz w:val="16"/>
          <w:szCs w:val="16"/>
          <w:lang w:bidi="ru-RU"/>
        </w:rPr>
        <w:softHyphen/>
        <w:t>щищались места размещения членов эки</w:t>
      </w:r>
      <w:r w:rsidRPr="00507A31">
        <w:rPr>
          <w:color w:val="0070C0"/>
          <w:sz w:val="16"/>
          <w:szCs w:val="16"/>
          <w:lang w:bidi="ru-RU"/>
        </w:rPr>
        <w:softHyphen/>
        <w:t>пажа и моторы (670 кг не работающей брони и 360 кг брони «в счет конструк</w:t>
      </w:r>
      <w:r w:rsidRPr="00507A31">
        <w:rPr>
          <w:color w:val="0070C0"/>
          <w:sz w:val="16"/>
          <w:szCs w:val="16"/>
          <w:lang w:bidi="ru-RU"/>
        </w:rPr>
        <w:softHyphen/>
        <w:t>ции самолета»), а по второму варианту - только места экипажа (420 кг брони и 150 кг «в счет конструкции»).</w:t>
      </w:r>
    </w:p>
    <w:p w14:paraId="59F017EF" w14:textId="77777777" w:rsidR="00C82885" w:rsidRPr="00507A31" w:rsidRDefault="00C82885" w:rsidP="00507A31">
      <w:pPr>
        <w:jc w:val="both"/>
        <w:rPr>
          <w:color w:val="0070C0"/>
          <w:sz w:val="16"/>
          <w:szCs w:val="16"/>
        </w:rPr>
      </w:pPr>
      <w:r w:rsidRPr="00507A31">
        <w:rPr>
          <w:color w:val="0070C0"/>
          <w:sz w:val="16"/>
          <w:szCs w:val="16"/>
          <w:lang w:bidi="ru-RU"/>
        </w:rPr>
        <w:t>Второй вариант бронирования «пред</w:t>
      </w:r>
      <w:r w:rsidRPr="00507A31">
        <w:rPr>
          <w:color w:val="0070C0"/>
          <w:sz w:val="16"/>
          <w:szCs w:val="16"/>
          <w:lang w:bidi="ru-RU"/>
        </w:rPr>
        <w:softHyphen/>
        <w:t>усматривался на случай, если по расчетам ЦАГИ невозможно будет получить от са</w:t>
      </w:r>
      <w:r w:rsidRPr="00507A31">
        <w:rPr>
          <w:color w:val="0070C0"/>
          <w:sz w:val="16"/>
          <w:szCs w:val="16"/>
          <w:lang w:bidi="ru-RU"/>
        </w:rPr>
        <w:softHyphen/>
        <w:t>молета требуемые ЛТД при полезной на</w:t>
      </w:r>
      <w:r w:rsidRPr="00507A31">
        <w:rPr>
          <w:color w:val="0070C0"/>
          <w:sz w:val="16"/>
          <w:szCs w:val="16"/>
          <w:lang w:bidi="ru-RU"/>
        </w:rPr>
        <w:softHyphen/>
        <w:t>грузке самолета по первому варианту бронирования».</w:t>
      </w:r>
    </w:p>
    <w:p w14:paraId="6AD30210" w14:textId="77777777" w:rsidR="00C82885" w:rsidRPr="00507A31" w:rsidRDefault="00C82885" w:rsidP="00507A31">
      <w:pPr>
        <w:jc w:val="both"/>
        <w:rPr>
          <w:color w:val="0070C0"/>
          <w:sz w:val="16"/>
          <w:szCs w:val="16"/>
        </w:rPr>
      </w:pPr>
      <w:r w:rsidRPr="00507A31">
        <w:rPr>
          <w:color w:val="0070C0"/>
          <w:sz w:val="16"/>
          <w:szCs w:val="16"/>
          <w:lang w:bidi="ru-RU"/>
        </w:rPr>
        <w:lastRenderedPageBreak/>
        <w:t>Вместо безоткатной пушки калибра 76,2 мм устанавливалась одна автомати</w:t>
      </w:r>
      <w:r w:rsidRPr="00507A31">
        <w:rPr>
          <w:color w:val="0070C0"/>
          <w:sz w:val="16"/>
          <w:szCs w:val="16"/>
          <w:lang w:bidi="ru-RU"/>
        </w:rPr>
        <w:softHyphen/>
        <w:t>ческая пушка калибра 20 мм (200 патрон) или 37 мм (40 патрон). Боекомплект па</w:t>
      </w:r>
      <w:r w:rsidRPr="00507A31">
        <w:rPr>
          <w:color w:val="0070C0"/>
          <w:sz w:val="16"/>
          <w:szCs w:val="16"/>
          <w:lang w:bidi="ru-RU"/>
        </w:rPr>
        <w:softHyphen/>
        <w:t>трон к пулеметам ДА на турелях у летнаба и стрелка-радиста сокращался до 16 ма</w:t>
      </w:r>
      <w:r w:rsidRPr="00507A31">
        <w:rPr>
          <w:color w:val="0070C0"/>
          <w:sz w:val="16"/>
          <w:szCs w:val="16"/>
          <w:lang w:bidi="ru-RU"/>
        </w:rPr>
        <w:softHyphen/>
        <w:t>газинов. Бомбовая нагрузка осталась прежней: 1000 кг - нормальный вариант загрузки, и 1500 кг - в перегрузку.</w:t>
      </w:r>
    </w:p>
    <w:p w14:paraId="3C0322A3" w14:textId="77777777" w:rsidR="00C82885" w:rsidRPr="00507A31" w:rsidRDefault="00C82885" w:rsidP="00507A31">
      <w:pPr>
        <w:jc w:val="both"/>
        <w:rPr>
          <w:color w:val="0070C0"/>
          <w:sz w:val="16"/>
          <w:szCs w:val="16"/>
        </w:rPr>
      </w:pPr>
      <w:r w:rsidRPr="00507A31">
        <w:rPr>
          <w:color w:val="0070C0"/>
          <w:sz w:val="16"/>
          <w:szCs w:val="16"/>
          <w:lang w:bidi="ru-RU"/>
        </w:rPr>
        <w:t>От неподвижных крыльевых пулемет</w:t>
      </w:r>
      <w:r w:rsidRPr="00507A31">
        <w:rPr>
          <w:color w:val="0070C0"/>
          <w:sz w:val="16"/>
          <w:szCs w:val="16"/>
          <w:lang w:bidi="ru-RU"/>
        </w:rPr>
        <w:softHyphen/>
        <w:t>ных установок отказались в пользу двух подвесных пулеметных батарей по че</w:t>
      </w:r>
      <w:r w:rsidRPr="00507A31">
        <w:rPr>
          <w:color w:val="0070C0"/>
          <w:sz w:val="16"/>
          <w:szCs w:val="16"/>
          <w:lang w:bidi="ru-RU"/>
        </w:rPr>
        <w:softHyphen/>
        <w:t>тыре пулемета ПВ-1 на каждой (всего 2000 патрон в металлических лентах). Ба</w:t>
      </w:r>
      <w:r w:rsidRPr="00507A31">
        <w:rPr>
          <w:color w:val="0070C0"/>
          <w:sz w:val="16"/>
          <w:szCs w:val="16"/>
          <w:lang w:bidi="ru-RU"/>
        </w:rPr>
        <w:softHyphen/>
        <w:t>тареи подвешивались под фюзеляжем са</w:t>
      </w:r>
      <w:r w:rsidRPr="00507A31">
        <w:rPr>
          <w:color w:val="0070C0"/>
          <w:sz w:val="16"/>
          <w:szCs w:val="16"/>
          <w:lang w:bidi="ru-RU"/>
        </w:rPr>
        <w:softHyphen/>
        <w:t>молета в счет бомбовой нагрузки. Пуле</w:t>
      </w:r>
      <w:r w:rsidRPr="00507A31">
        <w:rPr>
          <w:color w:val="0070C0"/>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507A31">
        <w:rPr>
          <w:color w:val="0070C0"/>
          <w:sz w:val="16"/>
          <w:szCs w:val="16"/>
          <w:lang w:bidi="ru-RU"/>
        </w:rPr>
        <w:softHyphen/>
        <w:t>правлению полета. Предполагалось два варианта управления поворотом пулеме</w:t>
      </w:r>
      <w:r w:rsidRPr="00507A31">
        <w:rPr>
          <w:color w:val="0070C0"/>
          <w:sz w:val="16"/>
          <w:szCs w:val="16"/>
          <w:lang w:bidi="ru-RU"/>
        </w:rPr>
        <w:softHyphen/>
        <w:t>тов: на земле - путем установки необхо</w:t>
      </w:r>
      <w:r w:rsidRPr="00507A31">
        <w:rPr>
          <w:color w:val="0070C0"/>
          <w:sz w:val="16"/>
          <w:szCs w:val="16"/>
          <w:lang w:bidi="ru-RU"/>
        </w:rPr>
        <w:softHyphen/>
        <w:t>димых углов вручную непосредственно перед боевым вылетом, и в полете из ка</w:t>
      </w:r>
      <w:r w:rsidRPr="00507A31">
        <w:rPr>
          <w:color w:val="0070C0"/>
          <w:sz w:val="16"/>
          <w:szCs w:val="16"/>
          <w:lang w:bidi="ru-RU"/>
        </w:rPr>
        <w:softHyphen/>
        <w:t>бины летнаба - при помощи дистанцион</w:t>
      </w:r>
      <w:r w:rsidRPr="00507A31">
        <w:rPr>
          <w:color w:val="0070C0"/>
          <w:sz w:val="16"/>
          <w:szCs w:val="16"/>
          <w:lang w:bidi="ru-RU"/>
        </w:rPr>
        <w:softHyphen/>
        <w:t>ного механизма. Основным считалось ди</w:t>
      </w:r>
      <w:r w:rsidRPr="00507A31">
        <w:rPr>
          <w:color w:val="0070C0"/>
          <w:sz w:val="16"/>
          <w:szCs w:val="16"/>
          <w:lang w:bidi="ru-RU"/>
        </w:rPr>
        <w:softHyphen/>
        <w:t>станционное управление.</w:t>
      </w:r>
    </w:p>
    <w:p w14:paraId="5F54A6BF" w14:textId="77777777" w:rsidR="00C82885" w:rsidRPr="00507A31" w:rsidRDefault="00C82885" w:rsidP="00507A31">
      <w:pPr>
        <w:jc w:val="both"/>
        <w:rPr>
          <w:color w:val="0070C0"/>
          <w:sz w:val="16"/>
          <w:szCs w:val="16"/>
          <w:lang w:bidi="ru-RU"/>
        </w:rPr>
      </w:pPr>
      <w:r w:rsidRPr="00507A31">
        <w:rPr>
          <w:color w:val="0070C0"/>
          <w:sz w:val="16"/>
          <w:szCs w:val="16"/>
          <w:lang w:bidi="ru-RU"/>
        </w:rPr>
        <w:t>С учетом всех изменений вес полез</w:t>
      </w:r>
      <w:r w:rsidRPr="00507A31">
        <w:rPr>
          <w:color w:val="0070C0"/>
          <w:sz w:val="16"/>
          <w:szCs w:val="16"/>
          <w:lang w:bidi="ru-RU"/>
        </w:rPr>
        <w:softHyphen/>
        <w:t>ной нагрузки в зависимости от вариантов бронирования и вооружения сократился до 2379 - 2619 кг (21062).</w:t>
      </w:r>
    </w:p>
    <w:p w14:paraId="4D8DDDEE" w14:textId="77777777" w:rsidR="00C82885" w:rsidRPr="00507A31" w:rsidRDefault="00C82885" w:rsidP="00507A31">
      <w:pPr>
        <w:jc w:val="both"/>
        <w:rPr>
          <w:color w:val="0070C0"/>
          <w:sz w:val="16"/>
          <w:szCs w:val="16"/>
        </w:rPr>
      </w:pPr>
    </w:p>
    <w:p w14:paraId="4F304A4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A9DB7A5" w14:textId="77777777" w:rsidR="00537E5F" w:rsidRPr="00507A31" w:rsidRDefault="00537E5F" w:rsidP="00507A31">
      <w:pPr>
        <w:autoSpaceDE w:val="0"/>
        <w:autoSpaceDN w:val="0"/>
        <w:adjustRightInd w:val="0"/>
        <w:jc w:val="both"/>
        <w:rPr>
          <w:iCs/>
          <w:color w:val="000000" w:themeColor="text1"/>
          <w:sz w:val="16"/>
          <w:szCs w:val="16"/>
        </w:rPr>
      </w:pPr>
    </w:p>
    <w:p w14:paraId="5F9AFD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26 марта по 2 апреля 1930 Бокис вновь в Ленинграде на заводе «Большевик».</w:t>
      </w:r>
    </w:p>
    <w:p w14:paraId="57FADE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по 20 мая 1930 года опять едет из Москвы в Ленинград.</w:t>
      </w:r>
    </w:p>
    <w:p w14:paraId="4E2B43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6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6CBC66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2BB81BF" w14:textId="77777777" w:rsidR="009B673E" w:rsidRPr="00507A31" w:rsidRDefault="009B673E" w:rsidP="00507A31">
      <w:pPr>
        <w:jc w:val="both"/>
        <w:rPr>
          <w:color w:val="000000" w:themeColor="text1"/>
          <w:sz w:val="16"/>
          <w:szCs w:val="16"/>
          <w:u w:color="002060"/>
        </w:rPr>
      </w:pPr>
      <w:r w:rsidRPr="00507A31">
        <w:rPr>
          <w:color w:val="000000" w:themeColor="text1"/>
          <w:sz w:val="16"/>
          <w:szCs w:val="16"/>
          <w:u w:color="002060"/>
        </w:rPr>
        <w:t>26 марта</w:t>
      </w:r>
      <w:r w:rsidRPr="00507A31">
        <w:rPr>
          <w:color w:val="000000" w:themeColor="text1"/>
          <w:sz w:val="16"/>
          <w:szCs w:val="16"/>
        </w:rPr>
        <w:t xml:space="preserve"> 1930 г</w:t>
      </w:r>
      <w:r w:rsidRPr="00507A31">
        <w:rPr>
          <w:color w:val="000000" w:themeColor="text1"/>
          <w:sz w:val="16"/>
          <w:szCs w:val="16"/>
          <w:u w:color="002060"/>
        </w:rPr>
        <w:t>. Постановление ЦИК и СНК СССР о временном откомандировании инженеров из гражданской промышленности и государственных учреждений на предприятия военной промышленности (ГА РФ. Ф. Р?8418. Оп. 4. Д. 78. Л. 10) (12415).</w:t>
      </w:r>
    </w:p>
    <w:p w14:paraId="3E6D24C6" w14:textId="77777777" w:rsidR="009B673E" w:rsidRPr="00507A31" w:rsidRDefault="009B673E" w:rsidP="00507A31">
      <w:pPr>
        <w:jc w:val="both"/>
        <w:rPr>
          <w:color w:val="000000" w:themeColor="text1"/>
          <w:sz w:val="16"/>
          <w:szCs w:val="16"/>
          <w:u w:color="002060"/>
        </w:rPr>
      </w:pPr>
    </w:p>
    <w:p w14:paraId="7C289618" w14:textId="77777777" w:rsidR="009B673E" w:rsidRPr="00507A31" w:rsidRDefault="009B673E" w:rsidP="00507A31">
      <w:pPr>
        <w:jc w:val="both"/>
        <w:rPr>
          <w:color w:val="000000" w:themeColor="text1"/>
          <w:sz w:val="16"/>
          <w:szCs w:val="16"/>
        </w:rPr>
      </w:pPr>
      <w:r w:rsidRPr="00507A31">
        <w:rPr>
          <w:color w:val="000000" w:themeColor="text1"/>
          <w:sz w:val="16"/>
          <w:szCs w:val="16"/>
        </w:rPr>
        <w:t>26 марта 1930 г. Выписка из протокола заседания Президиума ВСНХ СССР о структуре Военно-промышленного управления (РГАЭ. Ф. 2097. Оп. 1. Д. 1029. Л. 5) (12417).</w:t>
      </w:r>
    </w:p>
    <w:p w14:paraId="3C131293" w14:textId="77777777" w:rsidR="009B673E" w:rsidRPr="00507A31" w:rsidRDefault="009B673E" w:rsidP="00507A31">
      <w:pPr>
        <w:jc w:val="both"/>
        <w:rPr>
          <w:color w:val="000000" w:themeColor="text1"/>
          <w:sz w:val="16"/>
          <w:szCs w:val="16"/>
        </w:rPr>
      </w:pPr>
    </w:p>
    <w:p w14:paraId="42BC74F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2E0AA62" w14:textId="77777777" w:rsidR="00537E5F" w:rsidRPr="00507A31" w:rsidRDefault="00537E5F" w:rsidP="00507A31">
      <w:pPr>
        <w:autoSpaceDE w:val="0"/>
        <w:autoSpaceDN w:val="0"/>
        <w:adjustRightInd w:val="0"/>
        <w:jc w:val="both"/>
        <w:rPr>
          <w:iCs/>
          <w:color w:val="000000" w:themeColor="text1"/>
          <w:sz w:val="16"/>
          <w:szCs w:val="16"/>
        </w:rPr>
      </w:pPr>
    </w:p>
    <w:p w14:paraId="0FF54C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марта 1930 на базе аэромеханического факультета МВТУ, созданного в январе 1930 приказом ВСНХ, было организовано ВАМУ (высшее аэромеханическое училище), которое 29 августа 1930 было преобразовано в МАИ (61,62).</w:t>
      </w:r>
    </w:p>
    <w:p w14:paraId="507E7E2C" w14:textId="77777777" w:rsidR="00537E5F" w:rsidRPr="00507A31" w:rsidRDefault="00537E5F" w:rsidP="00507A31">
      <w:pPr>
        <w:autoSpaceDE w:val="0"/>
        <w:autoSpaceDN w:val="0"/>
        <w:adjustRightInd w:val="0"/>
        <w:jc w:val="both"/>
        <w:rPr>
          <w:color w:val="000000" w:themeColor="text1"/>
          <w:sz w:val="16"/>
          <w:szCs w:val="16"/>
        </w:rPr>
      </w:pPr>
    </w:p>
    <w:p w14:paraId="1FBB2C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марта 1930 между фирмой Хейнкель и Авиатрестом был заключен договор на покупку лицензии истребителя Хейнкель ХД-37 с правом постройки в течение 3-х лет. Заплатили 150 тыс. марок и получили также техпомощь. Встретили трудности с выбором завода, т.к. на 39 делали И-5, а 22 был цельнометаллическим. 21 был не достроен. Решили на завод 1 Дукс для замены И-3 Н.Н.П. (3202,3).</w:t>
      </w:r>
    </w:p>
    <w:p w14:paraId="6A9EBF3D" w14:textId="77777777" w:rsidR="00537E5F" w:rsidRPr="00507A31" w:rsidRDefault="00537E5F" w:rsidP="00507A31">
      <w:pPr>
        <w:autoSpaceDE w:val="0"/>
        <w:autoSpaceDN w:val="0"/>
        <w:adjustRightInd w:val="0"/>
        <w:jc w:val="both"/>
        <w:rPr>
          <w:color w:val="000000" w:themeColor="text1"/>
          <w:sz w:val="16"/>
          <w:szCs w:val="16"/>
        </w:rPr>
      </w:pPr>
    </w:p>
    <w:p w14:paraId="671B7561" w14:textId="77777777" w:rsidR="00DE4010" w:rsidRPr="00507A31" w:rsidRDefault="00DE4010" w:rsidP="00507A31">
      <w:pPr>
        <w:jc w:val="both"/>
        <w:rPr>
          <w:color w:val="000000" w:themeColor="text1"/>
          <w:sz w:val="16"/>
          <w:szCs w:val="16"/>
        </w:rPr>
      </w:pPr>
      <w:r w:rsidRPr="00507A31">
        <w:rPr>
          <w:bCs/>
          <w:color w:val="000000" w:themeColor="text1"/>
          <w:sz w:val="16"/>
          <w:szCs w:val="16"/>
        </w:rPr>
        <w:t>27 марта</w:t>
      </w:r>
      <w:r w:rsidRPr="00507A31">
        <w:rPr>
          <w:color w:val="000000" w:themeColor="text1"/>
          <w:sz w:val="16"/>
          <w:szCs w:val="16"/>
        </w:rPr>
        <w:t xml:space="preserve"> в 1930 году заключен Договор между фирмой Эрнста Хейнкеля и Гоcyдарственным Трестом авиапромышленности СССР (Авиатрестом). Советская сторона получила право на серийную постройку самолета </w:t>
      </w:r>
      <w:hyperlink r:id="rId58" w:tgtFrame="_blank" w:history="1">
        <w:r w:rsidRPr="00507A31">
          <w:rPr>
            <w:color w:val="000000" w:themeColor="text1"/>
            <w:sz w:val="16"/>
            <w:szCs w:val="16"/>
          </w:rPr>
          <w:t xml:space="preserve">«HD-37C» </w:t>
        </w:r>
      </w:hyperlink>
      <w:r w:rsidRPr="00507A31">
        <w:rPr>
          <w:color w:val="000000" w:themeColor="text1"/>
          <w:sz w:val="16"/>
          <w:szCs w:val="16"/>
        </w:rPr>
        <w:t>сроком на три года. При этом подразумевалась техническая помощь при освоении в производстве, в самолет вносились также все положительные изменения, реализованные на самолете «HD-43». Фирма Хейнкеля в результате сделки обогащалась суммой в 150 тысяч марок (15081).</w:t>
      </w:r>
    </w:p>
    <w:p w14:paraId="2372EB7F" w14:textId="77777777" w:rsidR="00DE4010" w:rsidRPr="00507A31" w:rsidRDefault="00DE4010" w:rsidP="00507A31">
      <w:pPr>
        <w:jc w:val="both"/>
        <w:rPr>
          <w:color w:val="000000" w:themeColor="text1"/>
          <w:sz w:val="16"/>
          <w:szCs w:val="16"/>
        </w:rPr>
      </w:pPr>
    </w:p>
    <w:p w14:paraId="0AC1382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19357C1" w14:textId="77777777" w:rsidR="00537E5F" w:rsidRPr="00507A31" w:rsidRDefault="00537E5F" w:rsidP="00507A31">
      <w:pPr>
        <w:autoSpaceDE w:val="0"/>
        <w:autoSpaceDN w:val="0"/>
        <w:adjustRightInd w:val="0"/>
        <w:jc w:val="both"/>
        <w:rPr>
          <w:iCs/>
          <w:color w:val="000000" w:themeColor="text1"/>
          <w:sz w:val="16"/>
          <w:szCs w:val="16"/>
        </w:rPr>
      </w:pPr>
    </w:p>
    <w:p w14:paraId="7C9A54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марта 1930 года не дожидаясь результатов испытаний в Управлении механизации и моторизации РККА состоялась совещание по вопросам принятия маневренного танка Т-24 на вооружение РККА, и производства пятнадцати танков установочной партии. ГХПЗ выполнил заказ военных и изготовил три танка в июле, пять в августе и семь в сентябре 1930 года. Дальнейшая программа выпуска танков предусматривала наращивание темпов выпуска с семи танков в октябре 1930 года до двадцати пяти танков в сентябре 1931 года (10710).</w:t>
      </w:r>
    </w:p>
    <w:p w14:paraId="4797D88E" w14:textId="77777777" w:rsidR="00537E5F" w:rsidRPr="00507A31" w:rsidRDefault="00537E5F" w:rsidP="00507A31">
      <w:pPr>
        <w:autoSpaceDE w:val="0"/>
        <w:autoSpaceDN w:val="0"/>
        <w:adjustRightInd w:val="0"/>
        <w:jc w:val="both"/>
        <w:rPr>
          <w:color w:val="000000" w:themeColor="text1"/>
          <w:sz w:val="16"/>
          <w:szCs w:val="16"/>
        </w:rPr>
      </w:pPr>
    </w:p>
    <w:p w14:paraId="275BAB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марта 1930 Зав. Секретным п/отделом ГВПУ Курочкин писал письмо № 4446с В секретную часть Орудтреста</w:t>
      </w:r>
    </w:p>
    <w:p w14:paraId="02CB9D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ОружПултреста</w:t>
      </w:r>
    </w:p>
    <w:p w14:paraId="585BC2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Патр.Трубтреста</w:t>
      </w:r>
    </w:p>
    <w:p w14:paraId="533693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свяаи с работой Комиссий г.УНШЛИХТА по вопросу о секретности сведений в военной промышленности и выработки нового перечня секретных вопросов, предлагается в самом сроч</w:t>
      </w:r>
      <w:r w:rsidRPr="00507A31">
        <w:rPr>
          <w:color w:val="000000" w:themeColor="text1"/>
          <w:sz w:val="16"/>
          <w:szCs w:val="16"/>
        </w:rPr>
        <w:softHyphen/>
        <w:t>ном порядке дать задание подведомственным Вам заводам о том, чтобы они состовили перечень секретных сведении по заводу, применительно к своему производству, а также указали бы по каким секретным вопросам завод ведет переписку с довольствующими управлениями Штаба РККА.</w:t>
      </w:r>
    </w:p>
    <w:p w14:paraId="6FC16B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всем вопросам дать краткую характеристику их.</w:t>
      </w:r>
    </w:p>
    <w:p w14:paraId="6A3C3C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получении сведений, незамедлительно перечни переслать в ГВПУ (8826,41).</w:t>
      </w:r>
    </w:p>
    <w:p w14:paraId="23F3B5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785920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3A3F59A1" w14:textId="77777777" w:rsidR="00537E5F" w:rsidRPr="00507A31" w:rsidRDefault="00537E5F" w:rsidP="00507A31">
      <w:pPr>
        <w:autoSpaceDE w:val="0"/>
        <w:autoSpaceDN w:val="0"/>
        <w:adjustRightInd w:val="0"/>
        <w:jc w:val="both"/>
        <w:rPr>
          <w:iCs/>
          <w:color w:val="000000" w:themeColor="text1"/>
          <w:sz w:val="16"/>
          <w:szCs w:val="16"/>
        </w:rPr>
      </w:pPr>
    </w:p>
    <w:p w14:paraId="2B5E35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марта 1930 г. в период экономического кризиса после отставки правительства «большой коалиции» во главе с X. Мюллером (СДПГ, Центр, ННП, ДП), правительство Х. Брюнинга (Центр, ДП) взяло курс на свертывание отношений с СССР. Сначала это нашло свое отражение в политической сфере. Подписав 24 июня 1931 г. в Москве протокол о продлении Берлинского договора, правительство Брюнинга так и не ратифицировало его (11784).</w:t>
      </w:r>
    </w:p>
    <w:p w14:paraId="583667CE" w14:textId="77777777" w:rsidR="00537E5F" w:rsidRPr="00507A31" w:rsidRDefault="00537E5F" w:rsidP="00507A31">
      <w:pPr>
        <w:autoSpaceDE w:val="0"/>
        <w:autoSpaceDN w:val="0"/>
        <w:adjustRightInd w:val="0"/>
        <w:jc w:val="both"/>
        <w:rPr>
          <w:color w:val="000000" w:themeColor="text1"/>
          <w:sz w:val="16"/>
          <w:szCs w:val="16"/>
        </w:rPr>
      </w:pPr>
    </w:p>
    <w:p w14:paraId="3A39258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D625249" w14:textId="77777777" w:rsidR="00537E5F" w:rsidRPr="00507A31" w:rsidRDefault="00537E5F" w:rsidP="00507A31">
      <w:pPr>
        <w:autoSpaceDE w:val="0"/>
        <w:autoSpaceDN w:val="0"/>
        <w:adjustRightInd w:val="0"/>
        <w:jc w:val="both"/>
        <w:rPr>
          <w:iCs/>
          <w:color w:val="000000" w:themeColor="text1"/>
          <w:sz w:val="16"/>
          <w:szCs w:val="16"/>
        </w:rPr>
      </w:pPr>
    </w:p>
    <w:p w14:paraId="7FFB9F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марта 1930 социал-демократы выступили против снижения пособий по безработице и правительство Г.Мюллера ушло в отставку (3907,161).</w:t>
      </w:r>
    </w:p>
    <w:p w14:paraId="7334EB0C" w14:textId="77777777" w:rsidR="00537E5F" w:rsidRPr="00507A31" w:rsidRDefault="00537E5F" w:rsidP="00507A31">
      <w:pPr>
        <w:autoSpaceDE w:val="0"/>
        <w:autoSpaceDN w:val="0"/>
        <w:adjustRightInd w:val="0"/>
        <w:jc w:val="both"/>
        <w:rPr>
          <w:color w:val="000000" w:themeColor="text1"/>
          <w:sz w:val="16"/>
          <w:szCs w:val="16"/>
        </w:rPr>
      </w:pPr>
    </w:p>
    <w:p w14:paraId="502A123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90A70C5" w14:textId="77777777" w:rsidR="00537E5F" w:rsidRPr="00507A31" w:rsidRDefault="00537E5F" w:rsidP="00507A31">
      <w:pPr>
        <w:autoSpaceDE w:val="0"/>
        <w:autoSpaceDN w:val="0"/>
        <w:adjustRightInd w:val="0"/>
        <w:jc w:val="both"/>
        <w:rPr>
          <w:iCs/>
          <w:color w:val="000000" w:themeColor="text1"/>
          <w:sz w:val="16"/>
          <w:szCs w:val="16"/>
        </w:rPr>
      </w:pPr>
    </w:p>
    <w:p w14:paraId="209521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марта 1930 макет И-5 был представлен спецкомиссии. Она утвердила и дала 2 месяца на постройку, а НКВД сократил этот срок до месяца (88,119).</w:t>
      </w:r>
    </w:p>
    <w:p w14:paraId="143D1A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Пожалуй, в спецкомиссии должен был быть и С.В.И.</w:t>
      </w:r>
    </w:p>
    <w:p w14:paraId="0738C4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Распределение работ по И-5:</w:t>
      </w:r>
    </w:p>
    <w:p w14:paraId="27E08A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Н.Н.П. - плазовые разбивки и фотокамера - потом АФА-1 не вписалась, так как чуть-чуть ошибся;</w:t>
      </w:r>
    </w:p>
    <w:p w14:paraId="6C26D8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И.М.Косткин - плазовая разбивка коробки крыльев и статиспытания;</w:t>
      </w:r>
    </w:p>
    <w:p w14:paraId="2939A0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А.В.Надашкевич - синхронизатор;</w:t>
      </w:r>
    </w:p>
    <w:p w14:paraId="22C9EF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А.А.Попов - сварка (79,122).</w:t>
      </w:r>
    </w:p>
    <w:p w14:paraId="37EEE6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Конструкторам ЦКБ-39 не давали доступа к трубам (191,19).</w:t>
      </w:r>
    </w:p>
    <w:p w14:paraId="631F8B30" w14:textId="77777777" w:rsidR="00537E5F" w:rsidRPr="00507A31" w:rsidRDefault="00537E5F" w:rsidP="00507A31">
      <w:pPr>
        <w:autoSpaceDE w:val="0"/>
        <w:autoSpaceDN w:val="0"/>
        <w:adjustRightInd w:val="0"/>
        <w:jc w:val="both"/>
        <w:rPr>
          <w:color w:val="000000" w:themeColor="text1"/>
          <w:sz w:val="16"/>
          <w:szCs w:val="16"/>
        </w:rPr>
      </w:pPr>
    </w:p>
    <w:p w14:paraId="4C2B9B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 марта 1930 г. после разработки проекта самолета И-5 был утвержден его макет. На постройку первоначально отводили два месяца, но затем этот срок сократили вдвое. Виктор Львович Корвин вспоминал: «Однажды вечером приехало большое начальство: Горьянов и Гай. За ним Змуда с одним солдатом внесли в жилое помещение корзины и ящики. На столе появи</w:t>
      </w:r>
      <w:r w:rsidRPr="00507A31">
        <w:rPr>
          <w:color w:val="000000" w:themeColor="text1"/>
          <w:sz w:val="16"/>
          <w:szCs w:val="16"/>
        </w:rPr>
        <w:softHyphen/>
        <w:t>лись в большом количестве закуски и вино. Был органи</w:t>
      </w:r>
      <w:r w:rsidRPr="00507A31">
        <w:rPr>
          <w:color w:val="000000" w:themeColor="text1"/>
          <w:sz w:val="16"/>
          <w:szCs w:val="16"/>
        </w:rPr>
        <w:softHyphen/>
        <w:t>зован банкет. Всех членов ОКБ пригласили за стол. Все насторожились - никто не мог понять, какую цель пре</w:t>
      </w:r>
      <w:r w:rsidRPr="00507A31">
        <w:rPr>
          <w:color w:val="000000" w:themeColor="text1"/>
          <w:sz w:val="16"/>
          <w:szCs w:val="16"/>
        </w:rPr>
        <w:softHyphen/>
        <w:t>следовал такой банкет. Слово взял Гай. Он похвалил за успешную работу всех присутствующих и добавил, что в связи с требова</w:t>
      </w:r>
      <w:r w:rsidRPr="00507A31">
        <w:rPr>
          <w:color w:val="000000" w:themeColor="text1"/>
          <w:sz w:val="16"/>
          <w:szCs w:val="16"/>
        </w:rPr>
        <w:softHyphen/>
        <w:t>ниями командования срок окончания постройки само</w:t>
      </w:r>
      <w:r w:rsidRPr="00507A31">
        <w:rPr>
          <w:color w:val="000000" w:themeColor="text1"/>
          <w:sz w:val="16"/>
          <w:szCs w:val="16"/>
        </w:rPr>
        <w:softHyphen/>
        <w:t>лета-истребителя вместо 1-го июня перенесен на 1-е мая, а 26 марта должен быть предъявлен макет. ОКБ ничего не осталось, как заверить начальство, что новый срок будет выдержан» (10667).</w:t>
      </w:r>
    </w:p>
    <w:p w14:paraId="3FEB5A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2F69B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марта 1930 г. состоялась Комиссия по рассмотрению полноразмер</w:t>
      </w:r>
      <w:r w:rsidRPr="00507A31">
        <w:rPr>
          <w:color w:val="000000" w:themeColor="text1"/>
          <w:sz w:val="16"/>
          <w:szCs w:val="16"/>
        </w:rPr>
        <w:softHyphen/>
        <w:t>ного макета самолета ВТ-11, на котором увязывались элементы оборудования и вооружения, со</w:t>
      </w:r>
      <w:r w:rsidRPr="00507A31">
        <w:rPr>
          <w:color w:val="000000" w:themeColor="text1"/>
          <w:sz w:val="16"/>
          <w:szCs w:val="16"/>
        </w:rPr>
        <w:softHyphen/>
        <w:t>стоялась А через месяц, 27 апреля 1930 г. опытный истребитель впервые выкатили в заводской двор. Он был серебри</w:t>
      </w:r>
      <w:r w:rsidRPr="00507A31">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переплета</w:t>
      </w:r>
      <w:r w:rsidRPr="00507A31">
        <w:rPr>
          <w:color w:val="000000" w:themeColor="text1"/>
          <w:sz w:val="16"/>
          <w:szCs w:val="16"/>
        </w:rPr>
        <w:softHyphen/>
        <w:t>лись буквы «ВТ», а в нижних лучах звезды значилась цифра «11» (11974).</w:t>
      </w:r>
    </w:p>
    <w:p w14:paraId="09A5E49D" w14:textId="77777777" w:rsidR="00537E5F" w:rsidRPr="00507A31" w:rsidRDefault="00537E5F" w:rsidP="00507A31">
      <w:pPr>
        <w:autoSpaceDE w:val="0"/>
        <w:autoSpaceDN w:val="0"/>
        <w:adjustRightInd w:val="0"/>
        <w:jc w:val="both"/>
        <w:rPr>
          <w:color w:val="000000" w:themeColor="text1"/>
          <w:sz w:val="16"/>
          <w:szCs w:val="16"/>
        </w:rPr>
      </w:pPr>
    </w:p>
    <w:p w14:paraId="3C400D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марта 1930 г. утвердили полноразмерный макет самолёта, а уже 29 мая, немного опередив плановые сроки, лётчик Б.Л. Бухгольц поднял в небо первый опытный образец истребителя, несший обозначение "ВТ-11" ("ВТ" означало "внутренняя тюрьма"). На этой машине стоял мотор "Юпитер" VII мощностью 490 л.е., закрытый капотом сложной формы. Капот имел каплевидные выступы, прикрывавшие цилиндры двигателя. Втулку воздушного винта закрывал большой кок, продолжавший линии капота. Вооружение из двух пулемётов имитировалось макетами. Стрелковый прицел отсутствовал.</w:t>
      </w:r>
    </w:p>
    <w:p w14:paraId="0059EA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М-15 по габаритам и весу был близок к "Юпитеру", что позволило достаточно просто "вписать" его на соответствующее место. В результате появились два варианта проекта И-5, отличавшиеся типом мотора.</w:t>
      </w:r>
    </w:p>
    <w:p w14:paraId="148D1B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И-5, как и большинство истребителей того времени, представлял собой полутораплан, то есть биплан, у которого размах верхнего крыла был существенно больше, чем у нижнего. Конструкция машины сочетала деревянные и металлические узлы. Консоли крыла выполнялись из дерева, центроплан и фюзеляж - из металла. Самолёт имел традиционную для того времени компоновку, открытую кабину лётчика и неубирающееся шасси с костылём под хвостом. Зимой колёса заменялись лыжами, на костыль тоже надевали маленький "лыжо- нок". Обшивка машины в основном была полотняной.</w:t>
      </w:r>
    </w:p>
    <w:p w14:paraId="047569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 И-5, согласно заданию, складывалось из двух 7,62-мм пулеметов ПВ-1 с синхронизатором Пул-9. ПВ-1 являлся переделкой станкового "Максима" для применения в авиации, осуществлённой А.В. Надашкевичем. Пулемёт перевели с водяного на воздушное охлаждение и облегчили на 5,8 кг. Оригинальная конструкция пружинного буфера позволила увеличить его скорострельность с 600 выстр./мин до 750, что было существенно выше, чем у английского авиационного пулемёта "Виккерс" обр. 1924 г., состоявшего тогда на вооружении ВВС РККА. Пулемёты размещались по бортам фюзеляжа ниже уровня его оси. Их стволы выходили в длинные прорези, тянувшиеся к носу машины. Замки пулемётов немного выступали за очертания фюзеляжа, и их закрывали панели с выштамповками. В боезапас каждого пулемёта входило 600 патронов.</w:t>
      </w:r>
    </w:p>
    <w:p w14:paraId="276DA9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действий по наземным целям предусматривалось бомбардировочное вооружение. Предполагалось, что две бомбы по 10 кг будут находиться в небольшом отсеке под сиденьем пилота. Отсек закрывался подпружиненными створками, расходившимися под весом бомб.</w:t>
      </w:r>
    </w:p>
    <w:p w14:paraId="351DE7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над новым истребителем шла невиданными темпами. Они, возможно, объяснялись имевшимся заделом подходящих конструкторских решений (11997).</w:t>
      </w:r>
    </w:p>
    <w:p w14:paraId="574771E4" w14:textId="77777777" w:rsidR="00537E5F" w:rsidRPr="00507A31" w:rsidRDefault="00537E5F" w:rsidP="00507A31">
      <w:pPr>
        <w:autoSpaceDE w:val="0"/>
        <w:autoSpaceDN w:val="0"/>
        <w:adjustRightInd w:val="0"/>
        <w:jc w:val="both"/>
        <w:rPr>
          <w:color w:val="000000" w:themeColor="text1"/>
          <w:sz w:val="16"/>
          <w:szCs w:val="16"/>
        </w:rPr>
      </w:pPr>
    </w:p>
    <w:p w14:paraId="6AE927D8" w14:textId="77777777" w:rsidR="008166B1" w:rsidRPr="00507A31" w:rsidRDefault="008166B1" w:rsidP="00507A31">
      <w:pPr>
        <w:jc w:val="both"/>
        <w:rPr>
          <w:color w:val="000000" w:themeColor="text1"/>
          <w:sz w:val="16"/>
          <w:szCs w:val="16"/>
        </w:rPr>
      </w:pPr>
      <w:r w:rsidRPr="00507A31">
        <w:rPr>
          <w:color w:val="000000" w:themeColor="text1"/>
          <w:sz w:val="16"/>
          <w:szCs w:val="16"/>
        </w:rPr>
        <w:t>28 марта 1930 г. состоялась Комиссия по рассмотрению полноразмер</w:t>
      </w:r>
      <w:r w:rsidRPr="00507A31">
        <w:rPr>
          <w:color w:val="000000" w:themeColor="text1"/>
          <w:sz w:val="16"/>
          <w:szCs w:val="16"/>
        </w:rPr>
        <w:softHyphen/>
        <w:t>ного макета самолета, на котором увязыва</w:t>
      </w:r>
      <w:r w:rsidRPr="00507A31">
        <w:rPr>
          <w:color w:val="000000" w:themeColor="text1"/>
          <w:sz w:val="16"/>
          <w:szCs w:val="16"/>
        </w:rPr>
        <w:softHyphen/>
        <w:t>лись элементы оборудования и вооружения И-5. А через месяц, 27 апреля 1930 г. опытный истребитель впервые выкатили в заводской двор. Он был серебри</w:t>
      </w:r>
      <w:r w:rsidRPr="00507A31">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w:t>
      </w:r>
      <w:r w:rsidRPr="00507A31">
        <w:rPr>
          <w:color w:val="000000" w:themeColor="text1"/>
          <w:sz w:val="16"/>
          <w:szCs w:val="16"/>
        </w:rPr>
        <w:softHyphen/>
        <w:t>тались буквы «ВТ», а в нижних лучах звезды значилась цифра 11.</w:t>
      </w:r>
    </w:p>
    <w:p w14:paraId="0DAA7884" w14:textId="77777777" w:rsidR="008166B1" w:rsidRPr="00507A31" w:rsidRDefault="008166B1" w:rsidP="00507A31">
      <w:pPr>
        <w:jc w:val="both"/>
        <w:rPr>
          <w:color w:val="000000" w:themeColor="text1"/>
          <w:sz w:val="16"/>
          <w:szCs w:val="16"/>
        </w:rPr>
      </w:pPr>
      <w:r w:rsidRPr="00507A31">
        <w:rPr>
          <w:color w:val="000000" w:themeColor="text1"/>
          <w:sz w:val="16"/>
          <w:szCs w:val="16"/>
        </w:rPr>
        <w:t>29 апреля 1930 г. летчик-испытатель Бе</w:t>
      </w:r>
      <w:r w:rsidRPr="00507A31">
        <w:rPr>
          <w:color w:val="000000" w:themeColor="text1"/>
          <w:sz w:val="16"/>
          <w:szCs w:val="16"/>
        </w:rPr>
        <w:softHyphen/>
        <w:t>недикт Бухгольц совершил на ВТ-11 первый полет. Детные характеристики самолета бы</w:t>
      </w:r>
      <w:r w:rsidRPr="00507A31">
        <w:rPr>
          <w:color w:val="000000" w:themeColor="text1"/>
          <w:sz w:val="16"/>
          <w:szCs w:val="16"/>
        </w:rPr>
        <w:softHyphen/>
        <w:t>ли обнадеживающими, поэтому еше до за</w:t>
      </w:r>
      <w:r w:rsidRPr="00507A31">
        <w:rPr>
          <w:color w:val="000000" w:themeColor="text1"/>
          <w:sz w:val="16"/>
          <w:szCs w:val="16"/>
        </w:rPr>
        <w:softHyphen/>
        <w:t>вершения государственных испытаний под обозначением И-5 его решили запустить в серийное производство. Успешный дебют «тюремного» истребителя привел к облегче</w:t>
      </w:r>
      <w:r w:rsidRPr="00507A31">
        <w:rPr>
          <w:color w:val="000000" w:themeColor="text1"/>
          <w:sz w:val="16"/>
          <w:szCs w:val="16"/>
        </w:rPr>
        <w:softHyphen/>
        <w:t>нию режима конструкторов-заключенных, а через год, начиная с весны 1931 года, их по</w:t>
      </w:r>
      <w:r w:rsidRPr="00507A31">
        <w:rPr>
          <w:color w:val="000000" w:themeColor="text1"/>
          <w:sz w:val="16"/>
          <w:szCs w:val="16"/>
        </w:rPr>
        <w:softHyphen/>
        <w:t>степенно освободили из-под стражи.</w:t>
      </w:r>
    </w:p>
    <w:p w14:paraId="5FDE1AEC" w14:textId="77777777" w:rsidR="008166B1" w:rsidRPr="00507A31" w:rsidRDefault="008166B1" w:rsidP="00507A31">
      <w:pPr>
        <w:jc w:val="both"/>
        <w:rPr>
          <w:color w:val="000000" w:themeColor="text1"/>
          <w:sz w:val="16"/>
          <w:szCs w:val="16"/>
        </w:rPr>
      </w:pPr>
      <w:r w:rsidRPr="00507A31">
        <w:rPr>
          <w:color w:val="000000" w:themeColor="text1"/>
          <w:sz w:val="16"/>
          <w:szCs w:val="16"/>
        </w:rPr>
        <w:t>Однако прежде чем новый истребитель по</w:t>
      </w:r>
      <w:r w:rsidRPr="00507A31">
        <w:rPr>
          <w:color w:val="000000" w:themeColor="text1"/>
          <w:sz w:val="16"/>
          <w:szCs w:val="16"/>
        </w:rPr>
        <w:softHyphen/>
        <w:t>шел в массовую серию, на авиазаводе №39 были построены и испытаны еще два опыт</w:t>
      </w:r>
      <w:r w:rsidRPr="00507A31">
        <w:rPr>
          <w:color w:val="000000" w:themeColor="text1"/>
          <w:sz w:val="16"/>
          <w:szCs w:val="16"/>
        </w:rPr>
        <w:softHyphen/>
        <w:t>ных экземпляра.</w:t>
      </w:r>
    </w:p>
    <w:p w14:paraId="66BBA7B3" w14:textId="77777777" w:rsidR="008166B1" w:rsidRPr="00507A31" w:rsidRDefault="008166B1" w:rsidP="00507A31">
      <w:pPr>
        <w:jc w:val="both"/>
        <w:rPr>
          <w:color w:val="000000" w:themeColor="text1"/>
          <w:sz w:val="16"/>
          <w:szCs w:val="16"/>
        </w:rPr>
      </w:pPr>
      <w:r w:rsidRPr="00507A31">
        <w:rPr>
          <w:color w:val="000000" w:themeColor="text1"/>
          <w:sz w:val="16"/>
          <w:szCs w:val="16"/>
        </w:rPr>
        <w:t>Один из них, который называли головным серийным образцом, стал более известен как И-5 «Клим Ворошилов». В основном он повторял ВТ-11, был оснащен таким же «Юпитер»У1, заключенным в оригинальный «фигурный» капоте индивидуальными обте</w:t>
      </w:r>
      <w:r w:rsidRPr="00507A31">
        <w:rPr>
          <w:color w:val="000000" w:themeColor="text1"/>
          <w:sz w:val="16"/>
          <w:szCs w:val="16"/>
        </w:rPr>
        <w:softHyphen/>
        <w:t>кателями головок цилиндров. Его испытания в НИИ ВВС велись в период 13 июля - 13 ав</w:t>
      </w:r>
      <w:r w:rsidRPr="00507A31">
        <w:rPr>
          <w:color w:val="000000" w:themeColor="text1"/>
          <w:sz w:val="16"/>
          <w:szCs w:val="16"/>
        </w:rPr>
        <w:softHyphen/>
        <w:t>густа 1930 г. В отчете по испытаниям, утвер</w:t>
      </w:r>
      <w:r w:rsidRPr="00507A31">
        <w:rPr>
          <w:color w:val="000000" w:themeColor="text1"/>
          <w:sz w:val="16"/>
          <w:szCs w:val="16"/>
        </w:rPr>
        <w:softHyphen/>
        <w:t>жденным начальником 2-й (истребительной) бригады НИИ ВВС И.Ф. Петровым отмеча</w:t>
      </w:r>
      <w:r w:rsidRPr="00507A31">
        <w:rPr>
          <w:color w:val="000000" w:themeColor="text1"/>
          <w:sz w:val="16"/>
          <w:szCs w:val="16"/>
        </w:rPr>
        <w:softHyphen/>
        <w:t>лось, что самолет послушен в управлении на всем диапазоне скоростей, отсутствует инер</w:t>
      </w:r>
      <w:r w:rsidRPr="00507A31">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507A31">
        <w:rPr>
          <w:color w:val="000000" w:themeColor="text1"/>
          <w:sz w:val="16"/>
          <w:szCs w:val="16"/>
        </w:rPr>
        <w:softHyphen/>
        <w:t>тельное преимущество по сравнению с фран</w:t>
      </w:r>
      <w:r w:rsidRPr="00507A31">
        <w:rPr>
          <w:color w:val="000000" w:themeColor="text1"/>
          <w:sz w:val="16"/>
          <w:szCs w:val="16"/>
        </w:rPr>
        <w:softHyphen/>
        <w:t>цузским истребителем Спад-51 (5РА0 51С1). Дополнительно, в отношении И-5 указыва</w:t>
      </w:r>
      <w:r w:rsidRPr="00507A31">
        <w:rPr>
          <w:color w:val="000000" w:themeColor="text1"/>
          <w:sz w:val="16"/>
          <w:szCs w:val="16"/>
        </w:rPr>
        <w:softHyphen/>
        <w:t>лось, что он не требует больших аэродромов и не сложен в производстве (12295).</w:t>
      </w:r>
    </w:p>
    <w:p w14:paraId="481D614F" w14:textId="77777777" w:rsidR="008166B1" w:rsidRPr="00507A31" w:rsidRDefault="008166B1" w:rsidP="00507A31">
      <w:pPr>
        <w:jc w:val="both"/>
        <w:rPr>
          <w:color w:val="000000" w:themeColor="text1"/>
          <w:sz w:val="16"/>
          <w:szCs w:val="16"/>
        </w:rPr>
      </w:pPr>
    </w:p>
    <w:p w14:paraId="2A2AE107" w14:textId="77777777" w:rsidR="008166B1" w:rsidRPr="00507A31" w:rsidRDefault="008166B1" w:rsidP="00507A31">
      <w:pPr>
        <w:jc w:val="both"/>
        <w:rPr>
          <w:color w:val="000000" w:themeColor="text1"/>
          <w:sz w:val="16"/>
          <w:szCs w:val="16"/>
        </w:rPr>
      </w:pPr>
      <w:r w:rsidRPr="00507A31">
        <w:rPr>
          <w:color w:val="000000" w:themeColor="text1"/>
          <w:sz w:val="16"/>
          <w:szCs w:val="16"/>
        </w:rPr>
        <w:t>28 марта 1930 г. состоялась Комиссия по рассмотрению полно</w:t>
      </w:r>
      <w:r w:rsidRPr="00507A31">
        <w:rPr>
          <w:color w:val="000000" w:themeColor="text1"/>
          <w:sz w:val="16"/>
          <w:szCs w:val="16"/>
        </w:rPr>
        <w:softHyphen/>
        <w:t>размерного макета самолета, на котором увязывались элементы оборудования и вооружения. А через месяц, 27 апреля 1930 г. опытный ис</w:t>
      </w:r>
      <w:r w:rsidRPr="00507A31">
        <w:rPr>
          <w:color w:val="000000" w:themeColor="text1"/>
          <w:sz w:val="16"/>
          <w:szCs w:val="16"/>
        </w:rPr>
        <w:softHyphen/>
        <w:t>требитель впервые выкатили в заводской двор. Он был серебристого цвета, с крас</w:t>
      </w:r>
      <w:r w:rsidRPr="00507A31">
        <w:rPr>
          <w:color w:val="000000" w:themeColor="text1"/>
          <w:sz w:val="16"/>
          <w:szCs w:val="16"/>
        </w:rPr>
        <w:softHyphen/>
        <w:t>ной отделкой фюзеляжа и капотирования двигателя. На вертикальном оперении была нарисована стилизованная красная звезда, в центре круга которой переплетались бук</w:t>
      </w:r>
      <w:r w:rsidRPr="00507A31">
        <w:rPr>
          <w:color w:val="000000" w:themeColor="text1"/>
          <w:sz w:val="16"/>
          <w:szCs w:val="16"/>
        </w:rPr>
        <w:softHyphen/>
        <w:t>вы «ВТ», а в нижних лучах звезды значилась цифра «11».</w:t>
      </w:r>
    </w:p>
    <w:p w14:paraId="4A078E67" w14:textId="77777777" w:rsidR="008166B1" w:rsidRPr="00507A31" w:rsidRDefault="008166B1" w:rsidP="00507A31">
      <w:pPr>
        <w:jc w:val="both"/>
        <w:rPr>
          <w:color w:val="000000" w:themeColor="text1"/>
          <w:sz w:val="16"/>
          <w:szCs w:val="16"/>
        </w:rPr>
      </w:pPr>
      <w:r w:rsidRPr="00507A31">
        <w:rPr>
          <w:color w:val="000000" w:themeColor="text1"/>
          <w:sz w:val="16"/>
          <w:szCs w:val="16"/>
        </w:rPr>
        <w:t>29 апреля 1930 г. летчик-испытатель Бенедикт Бухгольц совершил на ВТ-11 первый полет. Летные характеристики са</w:t>
      </w:r>
      <w:r w:rsidRPr="00507A31">
        <w:rPr>
          <w:color w:val="000000" w:themeColor="text1"/>
          <w:sz w:val="16"/>
          <w:szCs w:val="16"/>
        </w:rPr>
        <w:softHyphen/>
        <w:t>молета были обнадеживающими, поэтому в сентябре 1930 г., еще до завершения государственных испытаний, под обозна чением И-5 его запустили в серийное про</w:t>
      </w:r>
      <w:r w:rsidRPr="00507A31">
        <w:rPr>
          <w:color w:val="000000" w:themeColor="text1"/>
          <w:sz w:val="16"/>
          <w:szCs w:val="16"/>
        </w:rPr>
        <w:softHyphen/>
        <w:t>изводство.</w:t>
      </w:r>
    </w:p>
    <w:p w14:paraId="1EEEDC7D" w14:textId="77777777" w:rsidR="008166B1" w:rsidRPr="00507A31" w:rsidRDefault="008166B1" w:rsidP="00507A31">
      <w:pPr>
        <w:jc w:val="both"/>
        <w:rPr>
          <w:color w:val="000000" w:themeColor="text1"/>
          <w:sz w:val="16"/>
          <w:szCs w:val="16"/>
        </w:rPr>
      </w:pPr>
      <w:r w:rsidRPr="00507A31">
        <w:rPr>
          <w:color w:val="000000" w:themeColor="text1"/>
          <w:sz w:val="16"/>
          <w:szCs w:val="16"/>
        </w:rPr>
        <w:t>Однако прежде чем новый истребитель пошел в массовую серию, были построены и испытаны еще два опытных экземпляра.</w:t>
      </w:r>
    </w:p>
    <w:p w14:paraId="4C8D5D6F" w14:textId="77777777" w:rsidR="008166B1" w:rsidRPr="00507A31" w:rsidRDefault="008166B1" w:rsidP="00507A31">
      <w:pPr>
        <w:jc w:val="both"/>
        <w:rPr>
          <w:color w:val="000000" w:themeColor="text1"/>
          <w:sz w:val="16"/>
          <w:szCs w:val="16"/>
        </w:rPr>
      </w:pPr>
      <w:r w:rsidRPr="00507A31">
        <w:rPr>
          <w:color w:val="000000" w:themeColor="text1"/>
          <w:sz w:val="16"/>
          <w:szCs w:val="16"/>
        </w:rPr>
        <w:t>Один из них, который построили назаводе №39, именовался какИ-5 «Клим Ворошилов». Самолет оснастили двигателем «Юпитер» VI с индивидуальными обтекателями головок цилиндров двигателя. Его испытания в НИИ ВВС велись в период 13 июля по 13 августа 1930 г. В отчете по испытаниям, утвержден</w:t>
      </w:r>
      <w:r w:rsidRPr="00507A31">
        <w:rPr>
          <w:color w:val="000000" w:themeColor="text1"/>
          <w:sz w:val="16"/>
          <w:szCs w:val="16"/>
        </w:rPr>
        <w:softHyphen/>
        <w:t>ным начальником 2-й (истребительной) бри</w:t>
      </w:r>
      <w:r w:rsidRPr="00507A31">
        <w:rPr>
          <w:color w:val="000000" w:themeColor="text1"/>
          <w:sz w:val="16"/>
          <w:szCs w:val="16"/>
        </w:rPr>
        <w:softHyphen/>
        <w:t>гады НИИ И.Ф. Петровым отмечалось, что самолет послушен в управлении на всем диа</w:t>
      </w:r>
      <w:r w:rsidRPr="00507A31">
        <w:rPr>
          <w:color w:val="000000" w:themeColor="text1"/>
          <w:sz w:val="16"/>
          <w:szCs w:val="16"/>
        </w:rPr>
        <w:softHyphen/>
        <w:t>пазоне скоростей, отсутствует инертность, устойчиво держится в воздухе во всех поло</w:t>
      </w:r>
      <w:r w:rsidRPr="00507A31">
        <w:rPr>
          <w:color w:val="000000" w:themeColor="text1"/>
          <w:sz w:val="16"/>
          <w:szCs w:val="16"/>
        </w:rPr>
        <w:softHyphen/>
        <w:t>жениях. Проведенные воздушные бои пока</w:t>
      </w:r>
      <w:r w:rsidRPr="00507A31">
        <w:rPr>
          <w:color w:val="000000" w:themeColor="text1"/>
          <w:sz w:val="16"/>
          <w:szCs w:val="16"/>
        </w:rPr>
        <w:softHyphen/>
        <w:t>зали значительное его преимущество перед истребителями И-3 и И-4. Дополнительно указывалось, что он не требует больших аэро</w:t>
      </w:r>
      <w:r w:rsidRPr="00507A31">
        <w:rPr>
          <w:color w:val="000000" w:themeColor="text1"/>
          <w:sz w:val="16"/>
          <w:szCs w:val="16"/>
        </w:rPr>
        <w:softHyphen/>
        <w:t>дромов и не сложен в производстве. Именно этот экземпляр стал эталоном для первых се</w:t>
      </w:r>
      <w:r w:rsidRPr="00507A31">
        <w:rPr>
          <w:color w:val="000000" w:themeColor="text1"/>
          <w:sz w:val="16"/>
          <w:szCs w:val="16"/>
        </w:rPr>
        <w:softHyphen/>
        <w:t>рий И-5, выпускаемых на московских заводах №1 и №39 начиная с 1930 г. (12610).</w:t>
      </w:r>
    </w:p>
    <w:p w14:paraId="664643BD" w14:textId="77777777" w:rsidR="008166B1" w:rsidRPr="00507A31" w:rsidRDefault="008166B1" w:rsidP="00507A31">
      <w:pPr>
        <w:jc w:val="both"/>
        <w:rPr>
          <w:color w:val="000000" w:themeColor="text1"/>
          <w:sz w:val="16"/>
          <w:szCs w:val="16"/>
        </w:rPr>
      </w:pPr>
    </w:p>
    <w:p w14:paraId="30A19063" w14:textId="77777777" w:rsidR="00DE4010" w:rsidRPr="00507A31" w:rsidRDefault="00DE4010" w:rsidP="00507A31">
      <w:pPr>
        <w:jc w:val="both"/>
        <w:rPr>
          <w:color w:val="000000" w:themeColor="text1"/>
          <w:sz w:val="16"/>
          <w:szCs w:val="16"/>
        </w:rPr>
      </w:pPr>
      <w:r w:rsidRPr="00507A31">
        <w:rPr>
          <w:color w:val="000000" w:themeColor="text1"/>
          <w:sz w:val="16"/>
          <w:szCs w:val="16"/>
        </w:rPr>
        <w:t>28 марта 1930 года группа военных инженеров, откомандированная на завод «Мастяжарт» в счет «тысячи» с целью «организации арсенала по бомбовому вооружению» 12 марта 1930 года в соответствии с приказом РВС РККА № 7 по согласованию с ВСНХ СССР в количестве 7 человек в составе: В. И. Сассапарель, А. Ф. Турахин, Н. Л. Соловьев, М. Н. Трусов, В. В. Фролов, Н. М. Лапшин и И. В. Захаров приступили к работе (15794).</w:t>
      </w:r>
    </w:p>
    <w:p w14:paraId="412D00EE" w14:textId="77777777" w:rsidR="00DE4010" w:rsidRPr="00507A31" w:rsidRDefault="00DE4010" w:rsidP="00507A31">
      <w:pPr>
        <w:jc w:val="both"/>
        <w:rPr>
          <w:color w:val="000000" w:themeColor="text1"/>
          <w:sz w:val="16"/>
          <w:szCs w:val="16"/>
        </w:rPr>
      </w:pPr>
    </w:p>
    <w:p w14:paraId="768971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марта 1930 был подписан правительственный приказ о строительстве в Иркутске авиазавода (9870).</w:t>
      </w:r>
    </w:p>
    <w:p w14:paraId="11D6AFFB" w14:textId="77777777" w:rsidR="00537E5F" w:rsidRPr="00507A31" w:rsidRDefault="00537E5F" w:rsidP="00507A31">
      <w:pPr>
        <w:autoSpaceDE w:val="0"/>
        <w:autoSpaceDN w:val="0"/>
        <w:adjustRightInd w:val="0"/>
        <w:jc w:val="both"/>
        <w:rPr>
          <w:color w:val="000000" w:themeColor="text1"/>
          <w:sz w:val="16"/>
          <w:szCs w:val="16"/>
        </w:rPr>
      </w:pPr>
    </w:p>
    <w:p w14:paraId="7429DDA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529A66B" w14:textId="77777777" w:rsidR="00537E5F" w:rsidRPr="00507A31" w:rsidRDefault="00537E5F" w:rsidP="00507A31">
      <w:pPr>
        <w:autoSpaceDE w:val="0"/>
        <w:autoSpaceDN w:val="0"/>
        <w:adjustRightInd w:val="0"/>
        <w:jc w:val="both"/>
        <w:rPr>
          <w:iCs/>
          <w:color w:val="000000" w:themeColor="text1"/>
          <w:sz w:val="16"/>
          <w:szCs w:val="16"/>
        </w:rPr>
      </w:pPr>
    </w:p>
    <w:p w14:paraId="29E1FA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марта 1928 Письмо писателя М.Булгакова в СНК СССР: "Я обращаюсь к гуманности Советской власти, и прошу меня, писателя, который не может быть полезен у себя в Отечестве, великодушно отпустить на свободу..." (10687).</w:t>
      </w:r>
    </w:p>
    <w:p w14:paraId="5D52656B" w14:textId="77777777" w:rsidR="00537E5F" w:rsidRPr="00507A31" w:rsidRDefault="00537E5F" w:rsidP="00507A31">
      <w:pPr>
        <w:autoSpaceDE w:val="0"/>
        <w:autoSpaceDN w:val="0"/>
        <w:adjustRightInd w:val="0"/>
        <w:jc w:val="both"/>
        <w:rPr>
          <w:color w:val="000000" w:themeColor="text1"/>
          <w:sz w:val="16"/>
          <w:szCs w:val="16"/>
        </w:rPr>
      </w:pPr>
    </w:p>
    <w:p w14:paraId="3D09B0EF" w14:textId="77777777" w:rsidR="007507C4" w:rsidRPr="00507A31" w:rsidRDefault="007507C4" w:rsidP="00507A31">
      <w:pPr>
        <w:jc w:val="both"/>
        <w:rPr>
          <w:color w:val="000000" w:themeColor="text1"/>
          <w:sz w:val="16"/>
          <w:szCs w:val="16"/>
        </w:rPr>
      </w:pPr>
      <w:r w:rsidRPr="00507A31">
        <w:rPr>
          <w:bCs/>
          <w:color w:val="000000" w:themeColor="text1"/>
          <w:sz w:val="16"/>
          <w:szCs w:val="16"/>
        </w:rPr>
        <w:t>28 марта</w:t>
      </w:r>
      <w:r w:rsidRPr="00507A31">
        <w:rPr>
          <w:color w:val="000000" w:themeColor="text1"/>
          <w:sz w:val="16"/>
          <w:szCs w:val="16"/>
        </w:rPr>
        <w:t xml:space="preserve"> в 1930 году Михаил Булгаков пишет Правительству СССР: «...Я обращаюсь к гуманности советской власти и прошу меня, писателя, который не может быть полезен у себя, в отечестве, великодушно отпустить на свободу...» 18 апреля Булгакову позвонил И.В.Сталин и сказал: "А может быть, правда - вас пустить за границу? Что - мы вам очень надоели? " Никакого ответа Булгаков не получил и 5 мая снова написал короткое письмо, уже "Многоуважаемому Иосифу Виссарионовичу". Оно заканчивалось душераздирающей фразой: "Средств к спасению у меня не имеется" (15082).</w:t>
      </w:r>
    </w:p>
    <w:p w14:paraId="37D58C5A" w14:textId="77777777" w:rsidR="007507C4" w:rsidRPr="00507A31" w:rsidRDefault="007507C4" w:rsidP="00507A31">
      <w:pPr>
        <w:jc w:val="both"/>
        <w:rPr>
          <w:color w:val="000000" w:themeColor="text1"/>
          <w:sz w:val="16"/>
          <w:szCs w:val="16"/>
        </w:rPr>
      </w:pPr>
    </w:p>
    <w:p w14:paraId="1676362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0077D3C" w14:textId="77777777" w:rsidR="00537E5F" w:rsidRPr="00507A31" w:rsidRDefault="00537E5F" w:rsidP="00507A31">
      <w:pPr>
        <w:autoSpaceDE w:val="0"/>
        <w:autoSpaceDN w:val="0"/>
        <w:adjustRightInd w:val="0"/>
        <w:jc w:val="both"/>
        <w:rPr>
          <w:iCs/>
          <w:color w:val="000000" w:themeColor="text1"/>
          <w:sz w:val="16"/>
          <w:szCs w:val="16"/>
        </w:rPr>
      </w:pPr>
    </w:p>
    <w:p w14:paraId="66A44584" w14:textId="77777777" w:rsidR="005F3B06" w:rsidRPr="00507A31" w:rsidRDefault="005F3B06" w:rsidP="00507A31">
      <w:pPr>
        <w:jc w:val="both"/>
        <w:rPr>
          <w:color w:val="0070C0"/>
          <w:sz w:val="16"/>
          <w:szCs w:val="16"/>
        </w:rPr>
      </w:pPr>
      <w:r w:rsidRPr="00507A31">
        <w:rPr>
          <w:color w:val="0070C0"/>
          <w:sz w:val="16"/>
          <w:szCs w:val="16"/>
        </w:rPr>
        <w:t>28 март 1930 The Imperial Эфиопские ВВС выполняют свою первую миссию, когда три биплана разбрасывают агитационные листовки над армией мятежника Гугса Уол, в то время, как он продвигается по Эфиопии в Бэгемдыр провинции. Листовки побуждают некоторых членов его армии дезертировать (20805).</w:t>
      </w:r>
    </w:p>
    <w:p w14:paraId="470BCBAB" w14:textId="77777777" w:rsidR="005F3B06" w:rsidRPr="00507A31" w:rsidRDefault="005F3B06" w:rsidP="00507A31">
      <w:pPr>
        <w:jc w:val="both"/>
        <w:rPr>
          <w:color w:val="0070C0"/>
          <w:sz w:val="16"/>
          <w:szCs w:val="16"/>
        </w:rPr>
      </w:pPr>
    </w:p>
    <w:p w14:paraId="4A5C3A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марта 1930 Константинополь и Ангора сменили имена на Стамбул и Анкара (2100).</w:t>
      </w:r>
    </w:p>
    <w:p w14:paraId="4F314A02" w14:textId="77777777" w:rsidR="00537E5F" w:rsidRPr="00507A31" w:rsidRDefault="00537E5F" w:rsidP="00507A31">
      <w:pPr>
        <w:autoSpaceDE w:val="0"/>
        <w:autoSpaceDN w:val="0"/>
        <w:adjustRightInd w:val="0"/>
        <w:jc w:val="both"/>
        <w:rPr>
          <w:color w:val="000000" w:themeColor="text1"/>
          <w:sz w:val="16"/>
          <w:szCs w:val="16"/>
        </w:rPr>
      </w:pPr>
    </w:p>
    <w:p w14:paraId="30F11142" w14:textId="77777777" w:rsidR="007507C4" w:rsidRPr="00507A31" w:rsidRDefault="007507C4" w:rsidP="00507A31">
      <w:pPr>
        <w:jc w:val="both"/>
        <w:rPr>
          <w:color w:val="000000" w:themeColor="text1"/>
          <w:sz w:val="16"/>
          <w:szCs w:val="16"/>
        </w:rPr>
      </w:pPr>
      <w:r w:rsidRPr="00507A31">
        <w:rPr>
          <w:bCs/>
          <w:color w:val="000000" w:themeColor="text1"/>
          <w:sz w:val="16"/>
          <w:szCs w:val="16"/>
        </w:rPr>
        <w:t>28 марта</w:t>
      </w:r>
      <w:r w:rsidRPr="00507A31">
        <w:rPr>
          <w:color w:val="000000" w:themeColor="text1"/>
          <w:sz w:val="16"/>
          <w:szCs w:val="16"/>
        </w:rPr>
        <w:t xml:space="preserve"> в 1930 году города Ангора и Константинополь в Турции стали называться Анкара и Стамбул соответственно (15082).</w:t>
      </w:r>
    </w:p>
    <w:p w14:paraId="2B2FE559" w14:textId="77777777" w:rsidR="007507C4" w:rsidRPr="00507A31" w:rsidRDefault="007507C4" w:rsidP="00507A31">
      <w:pPr>
        <w:jc w:val="both"/>
        <w:rPr>
          <w:color w:val="000000" w:themeColor="text1"/>
          <w:sz w:val="16"/>
          <w:szCs w:val="16"/>
        </w:rPr>
      </w:pPr>
    </w:p>
    <w:p w14:paraId="677E4F0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3AB05F3" w14:textId="77777777" w:rsidR="00537E5F" w:rsidRPr="00507A31" w:rsidRDefault="00537E5F" w:rsidP="00507A31">
      <w:pPr>
        <w:autoSpaceDE w:val="0"/>
        <w:autoSpaceDN w:val="0"/>
        <w:adjustRightInd w:val="0"/>
        <w:jc w:val="both"/>
        <w:rPr>
          <w:iCs/>
          <w:color w:val="000000" w:themeColor="text1"/>
          <w:sz w:val="16"/>
          <w:szCs w:val="16"/>
        </w:rPr>
      </w:pPr>
    </w:p>
    <w:p w14:paraId="03103A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марта 1930, за один день, были оборудованы опытные мастерские с полным штатом рабочих при одном мастере. От ЦКБ за это производство отвечал В.Л.Корвин (10667).</w:t>
      </w:r>
    </w:p>
    <w:p w14:paraId="20AFB078" w14:textId="77777777" w:rsidR="00537E5F" w:rsidRPr="00507A31" w:rsidRDefault="00537E5F" w:rsidP="00507A31">
      <w:pPr>
        <w:autoSpaceDE w:val="0"/>
        <w:autoSpaceDN w:val="0"/>
        <w:adjustRightInd w:val="0"/>
        <w:jc w:val="both"/>
        <w:rPr>
          <w:color w:val="000000" w:themeColor="text1"/>
          <w:sz w:val="16"/>
          <w:szCs w:val="16"/>
        </w:rPr>
      </w:pPr>
    </w:p>
    <w:p w14:paraId="0F11A03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23B7C46" w14:textId="77777777" w:rsidR="00537E5F" w:rsidRPr="00507A31" w:rsidRDefault="00537E5F" w:rsidP="00507A31">
      <w:pPr>
        <w:autoSpaceDE w:val="0"/>
        <w:autoSpaceDN w:val="0"/>
        <w:adjustRightInd w:val="0"/>
        <w:jc w:val="both"/>
        <w:rPr>
          <w:iCs/>
          <w:color w:val="000000" w:themeColor="text1"/>
          <w:sz w:val="16"/>
          <w:szCs w:val="16"/>
        </w:rPr>
      </w:pPr>
    </w:p>
    <w:p w14:paraId="2F1B68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марта 1929 Воронеж. Первый секретарь Центрально-Черноземного обкома ВКП(б) И. Варейкис в своем сообщении в ЦК ВКП(б) заявил о существование в деревне "единого антиколхозного фронта": "В тех случаях, когда происходят выступления против колхозов, мы имеем единый фронт". Более того, И.Варейкис отметил, что подобного единства деревни не было в предшествующие годы (10687).</w:t>
      </w:r>
    </w:p>
    <w:p w14:paraId="498B166D" w14:textId="77777777" w:rsidR="00537E5F" w:rsidRPr="00507A31" w:rsidRDefault="00537E5F" w:rsidP="00507A31">
      <w:pPr>
        <w:autoSpaceDE w:val="0"/>
        <w:autoSpaceDN w:val="0"/>
        <w:adjustRightInd w:val="0"/>
        <w:jc w:val="both"/>
        <w:rPr>
          <w:color w:val="000000" w:themeColor="text1"/>
          <w:sz w:val="16"/>
          <w:szCs w:val="16"/>
        </w:rPr>
      </w:pPr>
    </w:p>
    <w:p w14:paraId="77E8372D" w14:textId="77777777" w:rsidR="007507C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299A28D" w14:textId="77777777" w:rsidR="007507C4" w:rsidRPr="00507A31" w:rsidRDefault="007507C4" w:rsidP="00507A31">
      <w:pPr>
        <w:autoSpaceDE w:val="0"/>
        <w:autoSpaceDN w:val="0"/>
        <w:adjustRightInd w:val="0"/>
        <w:jc w:val="both"/>
        <w:rPr>
          <w:iCs/>
          <w:color w:val="000000" w:themeColor="text1"/>
          <w:sz w:val="16"/>
          <w:szCs w:val="16"/>
        </w:rPr>
      </w:pPr>
    </w:p>
    <w:p w14:paraId="7AFDAF98" w14:textId="77777777" w:rsidR="007507C4" w:rsidRPr="00507A31" w:rsidRDefault="007507C4" w:rsidP="00507A31">
      <w:pPr>
        <w:jc w:val="both"/>
        <w:rPr>
          <w:color w:val="000000" w:themeColor="text1"/>
          <w:sz w:val="16"/>
          <w:szCs w:val="16"/>
        </w:rPr>
      </w:pPr>
      <w:r w:rsidRPr="00507A31">
        <w:rPr>
          <w:bCs/>
          <w:color w:val="000000" w:themeColor="text1"/>
          <w:sz w:val="16"/>
          <w:szCs w:val="16"/>
        </w:rPr>
        <w:t>29 марта</w:t>
      </w:r>
      <w:r w:rsidRPr="00507A31">
        <w:rPr>
          <w:color w:val="000000" w:themeColor="text1"/>
          <w:sz w:val="16"/>
          <w:szCs w:val="16"/>
        </w:rPr>
        <w:t xml:space="preserve"> в 1930 году состоялся первый полет немецкой многоцелевой лодки </w:t>
      </w:r>
      <w:hyperlink r:id="rId59" w:tgtFrame="_blank" w:history="1">
        <w:r w:rsidRPr="00507A31">
          <w:rPr>
            <w:color w:val="000000" w:themeColor="text1"/>
            <w:sz w:val="16"/>
            <w:szCs w:val="16"/>
          </w:rPr>
          <w:t xml:space="preserve">«Do.S». </w:t>
        </w:r>
      </w:hyperlink>
      <w:r w:rsidRPr="00507A31">
        <w:rPr>
          <w:color w:val="000000" w:themeColor="text1"/>
          <w:sz w:val="16"/>
          <w:szCs w:val="16"/>
        </w:rPr>
        <w:t>В декабре этого же года летающая лодка была показана на Парижском авиасалоне. Даже такая реклама не помогла Дорнье получить коммерческий заказ в течении двух лет на новую лодку и единственный экземпляр (D-1967) был передан в 1933 году в «Verkehrsfliegerschule». 1935 году в результате аварии на Балтийском море «Do.S» была потеряна (15083).</w:t>
      </w:r>
    </w:p>
    <w:p w14:paraId="71465925" w14:textId="77777777" w:rsidR="007507C4" w:rsidRPr="00507A31" w:rsidRDefault="007507C4" w:rsidP="00507A31">
      <w:pPr>
        <w:jc w:val="both"/>
        <w:rPr>
          <w:color w:val="000000" w:themeColor="text1"/>
          <w:sz w:val="16"/>
          <w:szCs w:val="16"/>
        </w:rPr>
      </w:pPr>
    </w:p>
    <w:p w14:paraId="32D6D54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6BFFF58" w14:textId="77777777" w:rsidR="00537E5F" w:rsidRPr="00507A31" w:rsidRDefault="00537E5F" w:rsidP="00507A31">
      <w:pPr>
        <w:autoSpaceDE w:val="0"/>
        <w:autoSpaceDN w:val="0"/>
        <w:adjustRightInd w:val="0"/>
        <w:jc w:val="both"/>
        <w:rPr>
          <w:iCs/>
          <w:color w:val="000000" w:themeColor="text1"/>
          <w:sz w:val="16"/>
          <w:szCs w:val="16"/>
        </w:rPr>
      </w:pPr>
    </w:p>
    <w:p w14:paraId="3EB3BF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марта 1930 закончились гос. испытания АНТ-7 (Р-6) с БМВ-6 NN 16580 и 16583, которые проходили с 11 марта. Машину отправили на доработку в ЦАГИ. Испытания решили продолжить и сделали это с 24 июля по 31 сентября 1930 (1017,203).</w:t>
      </w:r>
    </w:p>
    <w:p w14:paraId="10D6520C" w14:textId="77777777" w:rsidR="00537E5F" w:rsidRPr="00507A31" w:rsidRDefault="00537E5F" w:rsidP="00507A31">
      <w:pPr>
        <w:autoSpaceDE w:val="0"/>
        <w:autoSpaceDN w:val="0"/>
        <w:adjustRightInd w:val="0"/>
        <w:jc w:val="both"/>
        <w:rPr>
          <w:color w:val="000000" w:themeColor="text1"/>
          <w:sz w:val="16"/>
          <w:szCs w:val="16"/>
        </w:rPr>
      </w:pPr>
    </w:p>
    <w:p w14:paraId="091648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марта 1930 закончились гос. испытания самолета Р6-2БМВVIс двумя моторами БМВVI 500/730 NN 16580 и 16583, которые проходили с 11 марта 1930.</w:t>
      </w:r>
    </w:p>
    <w:p w14:paraId="36DF0B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Инженер 2 отдела НИИ Вахмистров сообщил нижеследующие результаты испытаний самолета Р6-2БМВVI:</w:t>
      </w:r>
    </w:p>
    <w:p w14:paraId="25BAD4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продолжались 20 дней.</w:t>
      </w:r>
    </w:p>
    <w:p w14:paraId="0B6B48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в воздухе 10 дней - 20 полетов, 18 час. 56 мин.</w:t>
      </w:r>
    </w:p>
    <w:p w14:paraId="2DCA05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Назначение самолета:</w:t>
      </w:r>
    </w:p>
    <w:p w14:paraId="3A47FB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Ведение воздушного боя против бомбардировочной авиации в дневное и ночное время, как у себя в тылу, так и на территории противника.</w:t>
      </w:r>
    </w:p>
    <w:p w14:paraId="76785A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Для производства армейской разведки.</w:t>
      </w:r>
    </w:p>
    <w:p w14:paraId="024416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 состоит согласно ТУ из 3-х человек для варианта "а" и 4-х человек для варианта "б".</w:t>
      </w:r>
    </w:p>
    <w:p w14:paraId="0922E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1B848C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не удовлетворяет предъявленным к нему техническим требованиям по вертикальным и горизонтальным скоростям.</w:t>
      </w:r>
    </w:p>
    <w:p w14:paraId="46FDE9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 самолета не доработано вооружение и отсутствуют фото и электро установки.</w:t>
      </w:r>
    </w:p>
    <w:p w14:paraId="15EE82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имеет ряд конструктивных и эксплуатационных недостатков.</w:t>
      </w:r>
    </w:p>
    <w:p w14:paraId="7A0390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Р-6 в данном его виде не может быть рекомендован как образец для серийной постройки.</w:t>
      </w:r>
    </w:p>
    <w:p w14:paraId="75BAD9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Считать, что до получения результатов вторичного испытания дать окончательное заключение по оценке самолета и о возможности его постройки в серии - нельзя (3273).</w:t>
      </w:r>
    </w:p>
    <w:p w14:paraId="1C26CCAE" w14:textId="77777777" w:rsidR="00537E5F" w:rsidRPr="00507A31" w:rsidRDefault="00537E5F" w:rsidP="00507A31">
      <w:pPr>
        <w:autoSpaceDE w:val="0"/>
        <w:autoSpaceDN w:val="0"/>
        <w:adjustRightInd w:val="0"/>
        <w:jc w:val="both"/>
        <w:rPr>
          <w:color w:val="000000" w:themeColor="text1"/>
          <w:sz w:val="16"/>
          <w:szCs w:val="16"/>
        </w:rPr>
      </w:pPr>
    </w:p>
    <w:p w14:paraId="1786DE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марта 1930 закончились госиспытания Р-6, которые шли с 11 марта. Эти испытания прошли не очень удачно. Общая оценка оказалась неутешительной. В выводах отчета НИИ ВВС четко сказано, что самолет не удовлетворяет техническим условиям. Взлетный вес оказался больше заданного на 355 кг. Скорость у земли была меньше требуемой на 14 км/ч, на высоте 3000 м - на 42 км/ч. Потолок "недобрали" на 1560 м. На высоту 5000 м Р-6 забирался за 30 мин вместо 15,3 по заданию. Нормальный радиус действия самолета, который должен был стать и дальним разведчиком, оказался всего 268 км/ч, в то время как у более легкого и дешевого одномоторного биплана Р-5 - 398 км!</w:t>
      </w:r>
    </w:p>
    <w:p w14:paraId="2C1DD2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выводах отчета записано: "Преимущество перед ТБ-1 минимально". А ведь за счет уменьшения габаритов и веса, фактического отказа от полноценной бомбовой нагрузки, как раз и собирались получить прирост летных данных по сравнению с бомбардировщиком. Кроме того, выявились вибрации хвостового оперения, фюзеляжа и моторов. В одном из полетов сорвало переднюю кромку крыла (она была задвижной, без фиксации). Протекали бензокраны, слишком жесткой была амортизация шасси. Обзор у летна- ба (штурмана-стрелка), сидевшего в передней кабине, сочли недостаточным. Он мог смотреть, только высовываясь вверх из проема турели. Всего специалисты НИИ ВВС отметили 73 дефекта.</w:t>
      </w:r>
    </w:p>
    <w:p w14:paraId="0F1AF6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Конечно, нашли и кое-что положительное. В отчете указано, что самолет "прост и не утомителен в пилотировании", отметили "хорошую устойчивость и управляемость", по достоинству оценили небольшой (100 - 120 м) разбег и огневую мощь Р-6.</w:t>
      </w:r>
    </w:p>
    <w:p w14:paraId="1878DE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еше раз вернули в ЦАГИ, где его подвергли значительной доработке. Переделки заняли около четырех месяцев. Причиной вибраций задней части и оперения сочли завихрения потоков воздуха, сбегающего по крылу. В борьбе с этим заднюю кромку крыла у фюзеляжа приподняли, оставив у концов в прежнем положении. Существенные изменения внесли и в мотоустановку. На двигатели надели новые капоты. Под моторы перенесли водяные радиаторы, установив их в наклонном положении. Ранее они стояли под плоскостями между фюзеляжем и мотогондолами, и могли в полете для уменьшения сопротивления втягиваться в крыло. Изменением положения радиатора собирались и регулировать охлаждение. Теперь это сочли ненужным усложнением. Радиаторы сделали неподвижными, а наклон должен был уменьшить лобовое сопротивление до приемлемых пределов. На выхлопных патрубках моторов появились новые плоские глушители, выхлоп из которых был направлен вверх.</w:t>
      </w:r>
    </w:p>
    <w:p w14:paraId="6FFC71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Переднюю кромку крыла прихватили проволокой. У летнаба сделали спереди подслеповатое целлулоидное окошко. Заменили носовую пулеметную турель, теперь обе они, передняя и задняя, были одного типа - Тур-5. Задняя перекатывалась с борта на борт, увеличивая поле обстрела. Кресло пилота приподняли, чтобы улучшить обзор. Перед пилотской кабиной из-за этого пришлось сделать небольшой гаргрот-обтекатель. Ввели козырек перед задней турелью, увеличили вырез выпускной нижней башни и изменили в ней крепление пулемета. Колеса заменили на большие по размеру, метрового диаметра. Но после всех переделок машина не только не потяжелела, но конструкторам удалось даже "сбросить" около 80 кг (12036).</w:t>
      </w:r>
    </w:p>
    <w:p w14:paraId="428F7ACF" w14:textId="77777777" w:rsidR="00537E5F" w:rsidRPr="00507A31" w:rsidRDefault="00537E5F" w:rsidP="00507A31">
      <w:pPr>
        <w:autoSpaceDE w:val="0"/>
        <w:autoSpaceDN w:val="0"/>
        <w:adjustRightInd w:val="0"/>
        <w:jc w:val="both"/>
        <w:rPr>
          <w:color w:val="000000" w:themeColor="text1"/>
          <w:sz w:val="16"/>
          <w:szCs w:val="16"/>
        </w:rPr>
      </w:pPr>
    </w:p>
    <w:p w14:paraId="156723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марта 1930 приказом ВСНХ N 943 в составе предприятий Авиатреста было организовано "Всесоюзное авиационно-промышленное объединение" (ВАО) (1647,4).</w:t>
      </w:r>
    </w:p>
    <w:p w14:paraId="30CBB596" w14:textId="77777777" w:rsidR="00537E5F" w:rsidRPr="00507A31" w:rsidRDefault="00537E5F" w:rsidP="00507A31">
      <w:pPr>
        <w:autoSpaceDE w:val="0"/>
        <w:autoSpaceDN w:val="0"/>
        <w:adjustRightInd w:val="0"/>
        <w:jc w:val="both"/>
        <w:rPr>
          <w:color w:val="000000" w:themeColor="text1"/>
          <w:sz w:val="16"/>
          <w:szCs w:val="16"/>
        </w:rPr>
      </w:pPr>
    </w:p>
    <w:p w14:paraId="1201FB6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1169C4B" w14:textId="77777777" w:rsidR="00537E5F" w:rsidRPr="00507A31" w:rsidRDefault="00537E5F" w:rsidP="00507A31">
      <w:pPr>
        <w:autoSpaceDE w:val="0"/>
        <w:autoSpaceDN w:val="0"/>
        <w:adjustRightInd w:val="0"/>
        <w:jc w:val="both"/>
        <w:rPr>
          <w:iCs/>
          <w:color w:val="000000" w:themeColor="text1"/>
          <w:sz w:val="16"/>
          <w:szCs w:val="16"/>
        </w:rPr>
      </w:pPr>
    </w:p>
    <w:p w14:paraId="0B76EF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марта 1930 было направлено письмо № 4511 Члену Правления ОАТ т. Клышко:</w:t>
      </w:r>
    </w:p>
    <w:p w14:paraId="6CCCA8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ответ на Ваш запрос о допуске на заводы Объединения в/п следующих иностранных специалистов Дрейвиц, Резген, Люкке, Варгхорн, Гофман, Ляйдерайтер и Тише сообщаем, что ввиду того, что согласно заключенного уже с ними договора с фирмой Крупп, ОГПУ (тов. Коновалов) против их допуска на заводы Объединения не возражает (8826,46).</w:t>
      </w:r>
    </w:p>
    <w:p w14:paraId="025CB64B" w14:textId="77777777" w:rsidR="00537E5F" w:rsidRPr="00507A31" w:rsidRDefault="00537E5F" w:rsidP="00507A31">
      <w:pPr>
        <w:autoSpaceDE w:val="0"/>
        <w:autoSpaceDN w:val="0"/>
        <w:adjustRightInd w:val="0"/>
        <w:jc w:val="both"/>
        <w:rPr>
          <w:color w:val="000000" w:themeColor="text1"/>
          <w:sz w:val="16"/>
          <w:szCs w:val="16"/>
        </w:rPr>
      </w:pPr>
    </w:p>
    <w:p w14:paraId="39CA1D1C" w14:textId="77777777" w:rsidR="00E87BC6" w:rsidRPr="00507A31" w:rsidRDefault="00E87BC6" w:rsidP="00507A31">
      <w:pPr>
        <w:jc w:val="both"/>
        <w:rPr>
          <w:color w:val="000000" w:themeColor="text1"/>
          <w:sz w:val="16"/>
          <w:szCs w:val="16"/>
        </w:rPr>
      </w:pPr>
      <w:r w:rsidRPr="00507A31">
        <w:rPr>
          <w:color w:val="000000" w:themeColor="text1"/>
          <w:sz w:val="16"/>
          <w:szCs w:val="16"/>
          <w:shd w:val="clear" w:color="auto" w:fill="FFFFFF"/>
        </w:rPr>
        <w:t>30 марта 1930 состоялось совещание представителей металлургических заводов города Ленинград, на котором обсуждался приезд крупповских специалистов в Ленинград. Было решено, что в связи с инспекцией Наркомата вооружений, проводимой на «Большевике», первые две недели немцы будут работать на «Красном Путиловце».</w:t>
      </w:r>
    </w:p>
    <w:p w14:paraId="19CB880E" w14:textId="77777777" w:rsidR="00E87BC6" w:rsidRPr="00507A31" w:rsidRDefault="00E87BC6" w:rsidP="00507A31">
      <w:pPr>
        <w:jc w:val="both"/>
        <w:rPr>
          <w:color w:val="000000" w:themeColor="text1"/>
          <w:sz w:val="16"/>
          <w:szCs w:val="16"/>
          <w:shd w:val="clear" w:color="auto" w:fill="FFFFFF"/>
        </w:rPr>
      </w:pPr>
      <w:r w:rsidRPr="00507A31">
        <w:rPr>
          <w:color w:val="000000" w:themeColor="text1"/>
          <w:sz w:val="16"/>
          <w:szCs w:val="16"/>
          <w:shd w:val="clear" w:color="auto" w:fill="FFFFFF"/>
        </w:rPr>
        <w:t>В итоге крупповцы приступили к работе на «Большевике» только в середине апреля (18976).</w:t>
      </w:r>
    </w:p>
    <w:p w14:paraId="302F3324" w14:textId="77777777" w:rsidR="00E87BC6" w:rsidRPr="00507A31" w:rsidRDefault="00E87BC6" w:rsidP="00507A31">
      <w:pPr>
        <w:jc w:val="both"/>
        <w:rPr>
          <w:color w:val="000000" w:themeColor="text1"/>
          <w:sz w:val="16"/>
          <w:szCs w:val="16"/>
          <w:shd w:val="clear" w:color="auto" w:fill="FFFFFF"/>
        </w:rPr>
      </w:pPr>
    </w:p>
    <w:p w14:paraId="1DC9AC7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CE94603" w14:textId="77777777" w:rsidR="00537E5F" w:rsidRPr="00507A31" w:rsidRDefault="00537E5F" w:rsidP="00507A31">
      <w:pPr>
        <w:autoSpaceDE w:val="0"/>
        <w:autoSpaceDN w:val="0"/>
        <w:adjustRightInd w:val="0"/>
        <w:jc w:val="both"/>
        <w:rPr>
          <w:iCs/>
          <w:color w:val="000000" w:themeColor="text1"/>
          <w:sz w:val="16"/>
          <w:szCs w:val="16"/>
        </w:rPr>
      </w:pPr>
    </w:p>
    <w:p w14:paraId="7C2FCE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марта 1930 на вооружении ВВС имелось 1200 пулеметов ДА (3996, 70).</w:t>
      </w:r>
    </w:p>
    <w:p w14:paraId="51142C40" w14:textId="77777777" w:rsidR="00537E5F" w:rsidRPr="00507A31" w:rsidRDefault="00537E5F" w:rsidP="00507A31">
      <w:pPr>
        <w:autoSpaceDE w:val="0"/>
        <w:autoSpaceDN w:val="0"/>
        <w:adjustRightInd w:val="0"/>
        <w:jc w:val="both"/>
        <w:rPr>
          <w:color w:val="000000" w:themeColor="text1"/>
          <w:sz w:val="16"/>
          <w:szCs w:val="16"/>
        </w:rPr>
      </w:pPr>
    </w:p>
    <w:p w14:paraId="0DF2671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769E760" w14:textId="77777777" w:rsidR="00537E5F" w:rsidRPr="00507A31" w:rsidRDefault="00537E5F" w:rsidP="00507A31">
      <w:pPr>
        <w:autoSpaceDE w:val="0"/>
        <w:autoSpaceDN w:val="0"/>
        <w:adjustRightInd w:val="0"/>
        <w:jc w:val="both"/>
        <w:rPr>
          <w:iCs/>
          <w:color w:val="000000" w:themeColor="text1"/>
          <w:sz w:val="16"/>
          <w:szCs w:val="16"/>
        </w:rPr>
      </w:pPr>
    </w:p>
    <w:p w14:paraId="24DE17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марта 1930 Центрально-Черноземная область. Лосевским райкомом в с.Липовка был послан вооруженный отряд в количестве 30 человек. Но не дошел он еще до села, как там ударили в набат. Собралась толпа, которая при входе отряда в село бросилась на него, швыряя камни и делая отдельные выстрелы. Не вступая в бой, отряд отошел на с.Мечетка (10687).</w:t>
      </w:r>
    </w:p>
    <w:p w14:paraId="773F44D3" w14:textId="77777777" w:rsidR="00537E5F" w:rsidRPr="00507A31" w:rsidRDefault="00537E5F" w:rsidP="00507A31">
      <w:pPr>
        <w:autoSpaceDE w:val="0"/>
        <w:autoSpaceDN w:val="0"/>
        <w:adjustRightInd w:val="0"/>
        <w:jc w:val="both"/>
        <w:rPr>
          <w:color w:val="000000" w:themeColor="text1"/>
          <w:sz w:val="16"/>
          <w:szCs w:val="16"/>
        </w:rPr>
      </w:pPr>
    </w:p>
    <w:p w14:paraId="514051F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B94EEDC" w14:textId="77777777" w:rsidR="00537E5F" w:rsidRPr="00507A31" w:rsidRDefault="00537E5F" w:rsidP="00507A31">
      <w:pPr>
        <w:autoSpaceDE w:val="0"/>
        <w:autoSpaceDN w:val="0"/>
        <w:adjustRightInd w:val="0"/>
        <w:jc w:val="both"/>
        <w:rPr>
          <w:iCs/>
          <w:color w:val="000000" w:themeColor="text1"/>
          <w:sz w:val="16"/>
          <w:szCs w:val="16"/>
        </w:rPr>
      </w:pPr>
    </w:p>
    <w:p w14:paraId="301653E1" w14:textId="77777777" w:rsidR="005F3B06" w:rsidRPr="00507A31" w:rsidRDefault="005F3B06" w:rsidP="00507A31">
      <w:pPr>
        <w:jc w:val="both"/>
        <w:rPr>
          <w:color w:val="0070C0"/>
          <w:sz w:val="16"/>
          <w:szCs w:val="16"/>
        </w:rPr>
      </w:pPr>
      <w:r w:rsidRPr="00507A31">
        <w:rPr>
          <w:color w:val="0070C0"/>
          <w:sz w:val="16"/>
          <w:szCs w:val="16"/>
        </w:rPr>
        <w:t>30 марта 1930 биплан Waco ASO буксирует планер Texaco Орленок, пилотируемый Франком Ястребов, вылетая из Сан - Диего, штат Калифорния, чтобы сделать многодневный полет через континентальные Соединенные Штаты в Нью – Йорке (20805).</w:t>
      </w:r>
    </w:p>
    <w:p w14:paraId="639CA159" w14:textId="77777777" w:rsidR="005F3B06" w:rsidRPr="00507A31" w:rsidRDefault="005F3B06" w:rsidP="00507A31">
      <w:pPr>
        <w:jc w:val="both"/>
        <w:rPr>
          <w:color w:val="0070C0"/>
          <w:sz w:val="16"/>
          <w:szCs w:val="16"/>
        </w:rPr>
      </w:pPr>
    </w:p>
    <w:p w14:paraId="0B9C33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30 марта 1930 по 30 мая 1932 в Германии было правое правительство Г.Брюнинга (2443,405).</w:t>
      </w:r>
    </w:p>
    <w:p w14:paraId="025D9957" w14:textId="77777777" w:rsidR="00537E5F" w:rsidRPr="00507A31" w:rsidRDefault="00537E5F" w:rsidP="00507A31">
      <w:pPr>
        <w:autoSpaceDE w:val="0"/>
        <w:autoSpaceDN w:val="0"/>
        <w:adjustRightInd w:val="0"/>
        <w:jc w:val="both"/>
        <w:rPr>
          <w:color w:val="000000" w:themeColor="text1"/>
          <w:sz w:val="16"/>
          <w:szCs w:val="16"/>
        </w:rPr>
      </w:pPr>
    </w:p>
    <w:p w14:paraId="5BD0484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071323E" w14:textId="77777777" w:rsidR="00537E5F" w:rsidRPr="00507A31" w:rsidRDefault="00537E5F" w:rsidP="00507A31">
      <w:pPr>
        <w:autoSpaceDE w:val="0"/>
        <w:autoSpaceDN w:val="0"/>
        <w:adjustRightInd w:val="0"/>
        <w:jc w:val="both"/>
        <w:rPr>
          <w:iCs/>
          <w:color w:val="000000" w:themeColor="text1"/>
          <w:sz w:val="16"/>
          <w:szCs w:val="16"/>
        </w:rPr>
      </w:pPr>
    </w:p>
    <w:p w14:paraId="71A167A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31 марта 1930 года закончились технические и эксплуатационные испытания самолета ТБ-1 № 602 в 51-й эскадрильи (Воронеж), которые проходили с 20 ноября 1929 года. Совершил 78 полетов продолжительностью 20 часов 07 минут. Общий налет самолета до начала войсковых испытательных полетов: 118 полетов продолжительностью 51 час 45 минут (6842).</w:t>
      </w:r>
    </w:p>
    <w:p w14:paraId="5813ABB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5B08BF1" w14:textId="77777777" w:rsidR="0046087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0F54FF3" w14:textId="77777777" w:rsidR="00460879" w:rsidRPr="00507A31" w:rsidRDefault="00460879" w:rsidP="00507A31">
      <w:pPr>
        <w:autoSpaceDE w:val="0"/>
        <w:autoSpaceDN w:val="0"/>
        <w:adjustRightInd w:val="0"/>
        <w:jc w:val="both"/>
        <w:rPr>
          <w:iCs/>
          <w:color w:val="000000" w:themeColor="text1"/>
          <w:sz w:val="16"/>
          <w:szCs w:val="16"/>
        </w:rPr>
      </w:pPr>
    </w:p>
    <w:p w14:paraId="3E090E58" w14:textId="77777777" w:rsidR="00460879" w:rsidRPr="00507A31" w:rsidRDefault="00460879" w:rsidP="00507A31">
      <w:pPr>
        <w:jc w:val="both"/>
        <w:rPr>
          <w:color w:val="000000" w:themeColor="text1"/>
          <w:sz w:val="16"/>
          <w:szCs w:val="16"/>
          <w:u w:color="002060"/>
        </w:rPr>
      </w:pPr>
      <w:r w:rsidRPr="00507A31">
        <w:rPr>
          <w:color w:val="000000" w:themeColor="text1"/>
          <w:sz w:val="16"/>
          <w:szCs w:val="16"/>
          <w:u w:color="002060"/>
        </w:rPr>
        <w:t>31 марта</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привлечении рабочих и общественных организаций к вопросам подготовки промышленности к обороне (12415).</w:t>
      </w:r>
    </w:p>
    <w:p w14:paraId="7C78237A" w14:textId="77777777" w:rsidR="00460879" w:rsidRPr="00507A31" w:rsidRDefault="00460879" w:rsidP="00507A31">
      <w:pPr>
        <w:jc w:val="both"/>
        <w:rPr>
          <w:color w:val="000000" w:themeColor="text1"/>
          <w:sz w:val="16"/>
          <w:szCs w:val="16"/>
          <w:u w:color="002060"/>
        </w:rPr>
      </w:pPr>
      <w:r w:rsidRPr="00507A31">
        <w:rPr>
          <w:color w:val="000000" w:themeColor="text1"/>
          <w:sz w:val="16"/>
          <w:szCs w:val="16"/>
          <w:u w:color="002060"/>
        </w:rPr>
        <w:t>Постановление СТО СССР о речном судостроении (прот. № 17, п. 10 пр.) (ГА РФ. Ф. 5674. Оп. 1. Д. 41. Л. 105?108) (12415).</w:t>
      </w:r>
    </w:p>
    <w:p w14:paraId="27F5F389" w14:textId="77777777" w:rsidR="00460879" w:rsidRPr="00507A31" w:rsidRDefault="00460879" w:rsidP="00507A31">
      <w:pPr>
        <w:jc w:val="both"/>
        <w:rPr>
          <w:color w:val="000000" w:themeColor="text1"/>
          <w:sz w:val="16"/>
          <w:szCs w:val="16"/>
          <w:u w:color="002060"/>
        </w:rPr>
      </w:pPr>
    </w:p>
    <w:p w14:paraId="664D742C" w14:textId="77777777" w:rsidR="005F3B06" w:rsidRPr="00507A31" w:rsidRDefault="005F3B06" w:rsidP="00507A31">
      <w:pPr>
        <w:shd w:val="clear" w:color="auto" w:fill="FFFFFF"/>
        <w:jc w:val="both"/>
        <w:rPr>
          <w:color w:val="0070C0"/>
          <w:sz w:val="16"/>
          <w:szCs w:val="16"/>
        </w:rPr>
      </w:pPr>
      <w:bookmarkStart w:id="32" w:name="_Hlk83566709"/>
      <w:r w:rsidRPr="00507A31">
        <w:rPr>
          <w:color w:val="0070C0"/>
          <w:sz w:val="16"/>
          <w:szCs w:val="16"/>
        </w:rPr>
        <w:t>31 марта 1930 г. состоялось заседание РЗ СТО</w:t>
      </w:r>
    </w:p>
    <w:p w14:paraId="446EB9A4" w14:textId="77777777" w:rsidR="005F3B06" w:rsidRPr="00507A31" w:rsidRDefault="005F3B06" w:rsidP="00507A31">
      <w:pPr>
        <w:shd w:val="clear" w:color="auto" w:fill="FFFFFF"/>
        <w:jc w:val="both"/>
        <w:rPr>
          <w:color w:val="0070C0"/>
          <w:sz w:val="16"/>
          <w:szCs w:val="16"/>
        </w:rPr>
      </w:pPr>
      <w:r w:rsidRPr="00507A31">
        <w:rPr>
          <w:color w:val="0070C0"/>
          <w:sz w:val="16"/>
          <w:szCs w:val="16"/>
        </w:rPr>
        <w:t>Протокол № 48 от 31 марта 1930 г.:</w:t>
      </w:r>
    </w:p>
    <w:p w14:paraId="66D49381" w14:textId="77777777" w:rsidR="005F3B06" w:rsidRPr="00507A31" w:rsidRDefault="005F3B06" w:rsidP="00507A31">
      <w:pPr>
        <w:shd w:val="clear" w:color="auto" w:fill="FFFFFF"/>
        <w:jc w:val="both"/>
        <w:rPr>
          <w:color w:val="0070C0"/>
          <w:sz w:val="16"/>
          <w:szCs w:val="16"/>
        </w:rPr>
      </w:pPr>
      <w:r w:rsidRPr="00507A31">
        <w:rPr>
          <w:color w:val="0070C0"/>
          <w:sz w:val="16"/>
          <w:szCs w:val="16"/>
        </w:rPr>
        <w:t>…О привлечении рабочих и общественных организаций к вопросам подготовки промышленности к обороне (постановление P3 СТО от 14.3.1930 г. к протоколу P3 СТ~~ № 48 от 31.3.1930 г. по п. 14).</w:t>
      </w:r>
    </w:p>
    <w:p w14:paraId="042BAE48" w14:textId="77777777" w:rsidR="005F3B06" w:rsidRPr="00507A31" w:rsidRDefault="005F3B06" w:rsidP="00507A31">
      <w:pPr>
        <w:shd w:val="clear" w:color="auto" w:fill="FFFFFF"/>
        <w:jc w:val="both"/>
        <w:rPr>
          <w:color w:val="0070C0"/>
          <w:sz w:val="16"/>
          <w:szCs w:val="16"/>
        </w:rPr>
      </w:pPr>
      <w:r w:rsidRPr="00507A31">
        <w:rPr>
          <w:color w:val="0070C0"/>
          <w:sz w:val="16"/>
          <w:szCs w:val="16"/>
        </w:rPr>
        <w:t>…Об отпуске 1.000.000 руб. для строительства мастерских Центрального аэрогидродинамического института (постановление P3 СТО от 19.3.1930 г. к протоколу P3 СТО № 48 от 31.3.1930 г. по п. 17) (21566).</w:t>
      </w:r>
    </w:p>
    <w:p w14:paraId="1AC9C1A5" w14:textId="77777777" w:rsidR="005F3B06" w:rsidRPr="00507A31" w:rsidRDefault="005F3B06" w:rsidP="00507A31">
      <w:pPr>
        <w:jc w:val="both"/>
        <w:rPr>
          <w:color w:val="0070C0"/>
          <w:sz w:val="16"/>
          <w:szCs w:val="16"/>
        </w:rPr>
      </w:pPr>
    </w:p>
    <w:bookmarkEnd w:id="32"/>
    <w:p w14:paraId="218C9E1F" w14:textId="77777777" w:rsidR="00460879" w:rsidRPr="00507A31" w:rsidRDefault="00460879" w:rsidP="00507A31">
      <w:pPr>
        <w:jc w:val="both"/>
        <w:rPr>
          <w:color w:val="000000" w:themeColor="text1"/>
          <w:sz w:val="16"/>
          <w:szCs w:val="16"/>
        </w:rPr>
      </w:pPr>
      <w:r w:rsidRPr="00507A31">
        <w:rPr>
          <w:color w:val="000000" w:themeColor="text1"/>
          <w:sz w:val="16"/>
          <w:szCs w:val="16"/>
        </w:rPr>
        <w:t>31 марта 1930 г. — Выписка из протокола № 48 РЗ СТО СССР «О реорганизации военной промышленности»</w:t>
      </w:r>
    </w:p>
    <w:p w14:paraId="2A9ACC73" w14:textId="77777777" w:rsidR="00460879" w:rsidRPr="00507A31" w:rsidRDefault="00460879"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0FA232AB"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1. Во изменение постановления РЗ СТО от 30 января с. г. (протокол № 44, п. 1, § 3)¹* признать необходимым Главное военно-промышленное управление расформировать и из трех существующих трестов военной промышленности организовать следующие два объединения, с подчинением их непосредственно Президиуму ВСНХ СССР и Мобилизационно-плановому управлению:</w:t>
      </w:r>
    </w:p>
    <w:p w14:paraId="5C7E8A42"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а) объединение Патронно-трубочного и взрывательного производств, включающее предприятия Патронно-трубочного треста;</w:t>
      </w:r>
    </w:p>
    <w:p w14:paraId="7D8AF265"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б) объединение Орудийно-оружейно-пулеметное, с включением в его состав предприятий Орудийно-арсенального и Оружейно-пулеметного трестов.</w:t>
      </w:r>
    </w:p>
    <w:p w14:paraId="56820686"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2. Обязать Президиум ВСНХ СССР реорганизацию закончить в 10</w:t>
      </w:r>
      <w:r w:rsidRPr="00507A31">
        <w:rPr>
          <w:color w:val="000000" w:themeColor="text1"/>
          <w:sz w:val="16"/>
          <w:szCs w:val="16"/>
        </w:rPr>
        <w:noBreakHyphen/>
        <w:t>дневный срок.</w:t>
      </w:r>
    </w:p>
    <w:p w14:paraId="55412A01"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3. Поручить т. </w:t>
      </w:r>
      <w:hyperlink r:id="rId60" w:history="1">
        <w:r w:rsidRPr="00507A31">
          <w:rPr>
            <w:color w:val="000000" w:themeColor="text1"/>
            <w:sz w:val="16"/>
            <w:szCs w:val="16"/>
          </w:rPr>
          <w:t>Куйбышеву</w:t>
        </w:r>
      </w:hyperlink>
      <w:r w:rsidRPr="00507A31">
        <w:rPr>
          <w:color w:val="000000" w:themeColor="text1"/>
          <w:sz w:val="16"/>
          <w:szCs w:val="16"/>
        </w:rPr>
        <w:t xml:space="preserve"> в тот же срок доложить РЗ СТО о порядке руководства Президиумом ВСНХ СССР вновь создаваемых объединений, указав, на кого персонально будет возложена ответственность за это руководство.</w:t>
      </w:r>
    </w:p>
    <w:p w14:paraId="3FF554B6" w14:textId="77777777" w:rsidR="00460879" w:rsidRPr="00507A31" w:rsidRDefault="00460879"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Секретарь РЗ СТО </w:t>
      </w:r>
      <w:hyperlink r:id="rId61" w:history="1">
        <w:r w:rsidRPr="00507A31">
          <w:rPr>
            <w:rStyle w:val="af0"/>
            <w:i w:val="0"/>
            <w:color w:val="000000" w:themeColor="text1"/>
            <w:sz w:val="16"/>
            <w:szCs w:val="16"/>
          </w:rPr>
          <w:t>Аппога</w:t>
        </w:r>
      </w:hyperlink>
    </w:p>
    <w:p w14:paraId="41BF969F" w14:textId="77777777" w:rsidR="00460879" w:rsidRPr="00507A31" w:rsidRDefault="00460879"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Примечание</w:t>
      </w:r>
      <w:r w:rsidRPr="00507A31">
        <w:rPr>
          <w:color w:val="000000" w:themeColor="text1"/>
          <w:sz w:val="16"/>
          <w:szCs w:val="16"/>
        </w:rPr>
        <w:t>:</w:t>
      </w:r>
    </w:p>
    <w:p w14:paraId="6E0216B1"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См. документ от 30 января 1930 г. — Постановление РЗ СТО СССР «О реорганизации военной промышленности»</w:t>
      </w:r>
    </w:p>
    <w:p w14:paraId="612D88B3" w14:textId="77777777" w:rsidR="00460879" w:rsidRPr="00507A31" w:rsidRDefault="00460879" w:rsidP="00507A31">
      <w:pPr>
        <w:pStyle w:val="ae"/>
        <w:spacing w:before="0" w:after="0"/>
        <w:jc w:val="both"/>
        <w:rPr>
          <w:color w:val="000000" w:themeColor="text1"/>
          <w:sz w:val="16"/>
          <w:szCs w:val="16"/>
        </w:rPr>
      </w:pPr>
      <w:r w:rsidRPr="00507A31">
        <w:rPr>
          <w:color w:val="000000" w:themeColor="text1"/>
          <w:sz w:val="16"/>
          <w:szCs w:val="16"/>
        </w:rPr>
        <w:t>РГАЭ. Ф. 4372. Оп. 91. Д. 595. Л. 18. Подлинник.</w:t>
      </w:r>
    </w:p>
    <w:p w14:paraId="2AE2135F" w14:textId="77777777" w:rsidR="00460879" w:rsidRPr="00507A31" w:rsidRDefault="00460879" w:rsidP="00507A31">
      <w:pPr>
        <w:jc w:val="both"/>
        <w:rPr>
          <w:color w:val="000000" w:themeColor="text1"/>
          <w:sz w:val="16"/>
          <w:szCs w:val="16"/>
        </w:rPr>
      </w:pPr>
      <w:r w:rsidRPr="00507A31">
        <w:rPr>
          <w:color w:val="000000" w:themeColor="text1"/>
          <w:sz w:val="16"/>
          <w:szCs w:val="16"/>
        </w:rPr>
        <w:t xml:space="preserve">Архив: РГАЭ. Ф. 4372. Оп. 91. Д. 595. Л. 18. Подлинник. </w:t>
      </w:r>
    </w:p>
    <w:p w14:paraId="3E0DDCE8" w14:textId="77777777" w:rsidR="00460879" w:rsidRPr="00507A31" w:rsidRDefault="00460879"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467 (12505).</w:t>
      </w:r>
    </w:p>
    <w:p w14:paraId="34E08F5E" w14:textId="77777777" w:rsidR="00460879" w:rsidRPr="00507A31" w:rsidRDefault="00460879" w:rsidP="00507A31">
      <w:pPr>
        <w:jc w:val="both"/>
        <w:rPr>
          <w:color w:val="000000" w:themeColor="text1"/>
          <w:sz w:val="16"/>
          <w:szCs w:val="16"/>
        </w:rPr>
      </w:pPr>
    </w:p>
    <w:p w14:paraId="25E8CFE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F7BD68F" w14:textId="77777777" w:rsidR="00537E5F" w:rsidRPr="00507A31" w:rsidRDefault="00537E5F" w:rsidP="00507A31">
      <w:pPr>
        <w:autoSpaceDE w:val="0"/>
        <w:autoSpaceDN w:val="0"/>
        <w:adjustRightInd w:val="0"/>
        <w:jc w:val="both"/>
        <w:rPr>
          <w:iCs/>
          <w:color w:val="000000" w:themeColor="text1"/>
          <w:sz w:val="16"/>
          <w:szCs w:val="16"/>
        </w:rPr>
      </w:pPr>
    </w:p>
    <w:p w14:paraId="7CE31465" w14:textId="77777777" w:rsidR="007507C4" w:rsidRPr="00507A31" w:rsidRDefault="007507C4" w:rsidP="00507A31">
      <w:pPr>
        <w:jc w:val="both"/>
        <w:rPr>
          <w:color w:val="000000" w:themeColor="text1"/>
          <w:sz w:val="16"/>
          <w:szCs w:val="16"/>
        </w:rPr>
      </w:pPr>
      <w:r w:rsidRPr="00507A31">
        <w:rPr>
          <w:bCs/>
          <w:color w:val="000000" w:themeColor="text1"/>
          <w:sz w:val="16"/>
          <w:szCs w:val="16"/>
        </w:rPr>
        <w:t>31 марта</w:t>
      </w:r>
      <w:r w:rsidRPr="00507A31">
        <w:rPr>
          <w:color w:val="000000" w:themeColor="text1"/>
          <w:sz w:val="16"/>
          <w:szCs w:val="16"/>
        </w:rPr>
        <w:t xml:space="preserve"> в 1930 году полетел первый тяжелый бомбардировщик </w:t>
      </w:r>
      <w:hyperlink r:id="rId62" w:tgtFrame="_blank" w:history="1">
        <w:r w:rsidRPr="00507A31">
          <w:rPr>
            <w:color w:val="000000" w:themeColor="text1"/>
            <w:sz w:val="16"/>
            <w:szCs w:val="16"/>
          </w:rPr>
          <w:t xml:space="preserve">«Dornier» «Do.Р» («СН-302»), </w:t>
        </w:r>
      </w:hyperlink>
      <w:r w:rsidRPr="00507A31">
        <w:rPr>
          <w:color w:val="000000" w:themeColor="text1"/>
          <w:sz w:val="16"/>
          <w:szCs w:val="16"/>
        </w:rPr>
        <w:t>12-тонный верхнеплан с четыремя 500-сильными моторами "Бристоль-Юпитер" тандемом под крылом (15085).</w:t>
      </w:r>
    </w:p>
    <w:p w14:paraId="2E926EFD" w14:textId="77777777" w:rsidR="007507C4" w:rsidRPr="00507A31" w:rsidRDefault="007507C4" w:rsidP="00507A31">
      <w:pPr>
        <w:jc w:val="both"/>
        <w:rPr>
          <w:color w:val="000000" w:themeColor="text1"/>
          <w:sz w:val="16"/>
          <w:szCs w:val="16"/>
        </w:rPr>
      </w:pPr>
    </w:p>
    <w:p w14:paraId="5B8CF364" w14:textId="77777777" w:rsidR="005F3B06" w:rsidRPr="00507A31" w:rsidRDefault="005F3B06" w:rsidP="00507A31">
      <w:pPr>
        <w:jc w:val="both"/>
        <w:rPr>
          <w:color w:val="0070C0"/>
          <w:sz w:val="16"/>
          <w:szCs w:val="16"/>
        </w:rPr>
      </w:pPr>
      <w:r w:rsidRPr="00507A31">
        <w:rPr>
          <w:color w:val="0070C0"/>
          <w:sz w:val="16"/>
          <w:szCs w:val="16"/>
        </w:rPr>
        <w:t>31 марта 1930 - Полетел первый тяжелый бомбардировщик Do.Р (СН-302), 12-тонный верхнеплан с четыремя 500-сильными моторами "Бристоль-Юпитер" тандемом над крылом (22551).</w:t>
      </w:r>
    </w:p>
    <w:p w14:paraId="496239B7" w14:textId="77777777" w:rsidR="005F3B06" w:rsidRPr="00507A31" w:rsidRDefault="005F3B06" w:rsidP="00507A31">
      <w:pPr>
        <w:jc w:val="both"/>
        <w:rPr>
          <w:color w:val="0070C0"/>
          <w:sz w:val="16"/>
          <w:szCs w:val="16"/>
        </w:rPr>
      </w:pPr>
      <w:r w:rsidRPr="00507A31">
        <w:rPr>
          <w:color w:val="0070C0"/>
          <w:sz w:val="16"/>
          <w:szCs w:val="16"/>
          <w:lang w:bidi="ru-RU"/>
        </w:rPr>
        <w:t>Самолет в военном вари</w:t>
      </w:r>
      <w:r w:rsidRPr="00507A31">
        <w:rPr>
          <w:color w:val="0070C0"/>
          <w:sz w:val="16"/>
          <w:szCs w:val="16"/>
          <w:lang w:bidi="ru-RU"/>
        </w:rPr>
        <w:softHyphen/>
        <w:t>анте был построен «Дорнье метал</w:t>
      </w:r>
      <w:r w:rsidRPr="00507A31">
        <w:rPr>
          <w:color w:val="0070C0"/>
          <w:sz w:val="16"/>
          <w:szCs w:val="16"/>
          <w:lang w:bidi="ru-RU"/>
        </w:rPr>
        <w:softHyphen/>
        <w:t>лбаутен» в Альтерхайне. Самолет планировали ввезти в Германию, и чтобы сбить с толку бди</w:t>
      </w:r>
      <w:r w:rsidRPr="00507A31">
        <w:rPr>
          <w:color w:val="0070C0"/>
          <w:sz w:val="16"/>
          <w:szCs w:val="16"/>
          <w:lang w:bidi="ru-RU"/>
        </w:rPr>
        <w:softHyphen/>
        <w:t xml:space="preserve">тельных инспекторов, ему присвоили «фальшивый» индекс </w:t>
      </w:r>
      <w:r w:rsidRPr="00507A31">
        <w:rPr>
          <w:color w:val="0070C0"/>
          <w:sz w:val="16"/>
          <w:szCs w:val="16"/>
          <w:lang w:val="en-US" w:bidi="en-US"/>
        </w:rPr>
        <w:t>Do</w:t>
      </w:r>
      <w:r w:rsidRPr="00507A31">
        <w:rPr>
          <w:color w:val="0070C0"/>
          <w:sz w:val="16"/>
          <w:szCs w:val="16"/>
          <w:lang w:bidi="en-US"/>
        </w:rPr>
        <w:t>-</w:t>
      </w:r>
      <w:r w:rsidRPr="00507A31">
        <w:rPr>
          <w:color w:val="0070C0"/>
          <w:sz w:val="16"/>
          <w:szCs w:val="16"/>
          <w:lang w:val="en-US" w:bidi="en-US"/>
        </w:rPr>
        <w:t>P</w:t>
      </w:r>
      <w:r w:rsidRPr="00507A31">
        <w:rPr>
          <w:color w:val="0070C0"/>
          <w:sz w:val="16"/>
          <w:szCs w:val="16"/>
          <w:lang w:bidi="en-US"/>
        </w:rPr>
        <w:t xml:space="preserve">. </w:t>
      </w:r>
      <w:r w:rsidRPr="00507A31">
        <w:rPr>
          <w:color w:val="0070C0"/>
          <w:sz w:val="16"/>
          <w:szCs w:val="16"/>
          <w:lang w:bidi="ru-RU"/>
        </w:rPr>
        <w:t xml:space="preserve">такой же, как у пассажирского гидросамолета «Суперваль» </w:t>
      </w:r>
      <w:r w:rsidRPr="00507A31">
        <w:rPr>
          <w:color w:val="0070C0"/>
          <w:sz w:val="16"/>
          <w:szCs w:val="16"/>
          <w:lang w:bidi="en-US"/>
        </w:rPr>
        <w:t>(</w:t>
      </w:r>
      <w:r w:rsidRPr="00507A31">
        <w:rPr>
          <w:color w:val="0070C0"/>
          <w:sz w:val="16"/>
          <w:szCs w:val="16"/>
          <w:lang w:val="en-US" w:bidi="en-US"/>
        </w:rPr>
        <w:t>Superval</w:t>
      </w:r>
      <w:r w:rsidRPr="00507A31">
        <w:rPr>
          <w:color w:val="0070C0"/>
          <w:sz w:val="16"/>
          <w:szCs w:val="16"/>
          <w:lang w:bidi="en-US"/>
        </w:rPr>
        <w:t xml:space="preserve">) </w:t>
      </w:r>
      <w:r w:rsidRPr="00507A31">
        <w:rPr>
          <w:color w:val="0070C0"/>
          <w:sz w:val="16"/>
          <w:szCs w:val="16"/>
          <w:lang w:bidi="ru-RU"/>
        </w:rPr>
        <w:t xml:space="preserve">той же фирмы. Летом того же года был готов и второй экземпляр. Ему присвоили гражданский регистрационный номер </w:t>
      </w:r>
      <w:r w:rsidRPr="00507A31">
        <w:rPr>
          <w:color w:val="0070C0"/>
          <w:sz w:val="16"/>
          <w:szCs w:val="16"/>
          <w:lang w:val="en-US" w:bidi="en-US"/>
        </w:rPr>
        <w:t>D</w:t>
      </w:r>
      <w:r w:rsidRPr="00507A31">
        <w:rPr>
          <w:color w:val="0070C0"/>
          <w:sz w:val="16"/>
          <w:szCs w:val="16"/>
          <w:lang w:bidi="en-US"/>
        </w:rPr>
        <w:t>-</w:t>
      </w:r>
      <w:r w:rsidRPr="00507A31">
        <w:rPr>
          <w:color w:val="0070C0"/>
          <w:sz w:val="16"/>
          <w:szCs w:val="16"/>
          <w:lang w:val="en-US" w:bidi="en-US"/>
        </w:rPr>
        <w:t>I</w:t>
      </w:r>
      <w:r w:rsidRPr="00507A31">
        <w:rPr>
          <w:color w:val="0070C0"/>
          <w:sz w:val="16"/>
          <w:szCs w:val="16"/>
          <w:lang w:bidi="en-US"/>
        </w:rPr>
        <w:t xml:space="preserve">982. </w:t>
      </w:r>
      <w:r w:rsidRPr="00507A31">
        <w:rPr>
          <w:color w:val="0070C0"/>
          <w:sz w:val="16"/>
          <w:szCs w:val="16"/>
          <w:lang w:bidi="ru-RU"/>
        </w:rPr>
        <w:t>зашили дюралевыми листами вырезы в фюзеля</w:t>
      </w:r>
      <w:r w:rsidRPr="00507A31">
        <w:rPr>
          <w:color w:val="0070C0"/>
          <w:sz w:val="16"/>
          <w:szCs w:val="16"/>
          <w:lang w:bidi="ru-RU"/>
        </w:rPr>
        <w:softHyphen/>
        <w:t>же под пулеметные гнезда, демонтиро</w:t>
      </w:r>
      <w:r w:rsidRPr="00507A31">
        <w:rPr>
          <w:color w:val="0070C0"/>
          <w:sz w:val="16"/>
          <w:szCs w:val="16"/>
          <w:lang w:bidi="ru-RU"/>
        </w:rPr>
        <w:softHyphen/>
        <w:t xml:space="preserve">вали бомбардировочное вооружение, и в таком виде успешно протащили через швейцарскую таможню. Демонстрация </w:t>
      </w:r>
      <w:r w:rsidRPr="00507A31">
        <w:rPr>
          <w:color w:val="0070C0"/>
          <w:sz w:val="16"/>
          <w:szCs w:val="16"/>
          <w:lang w:val="en-US" w:bidi="en-US"/>
        </w:rPr>
        <w:t>Do</w:t>
      </w:r>
      <w:r w:rsidRPr="00507A31">
        <w:rPr>
          <w:color w:val="0070C0"/>
          <w:sz w:val="16"/>
          <w:szCs w:val="16"/>
          <w:lang w:bidi="en-US"/>
        </w:rPr>
        <w:t>-</w:t>
      </w:r>
      <w:r w:rsidRPr="00507A31">
        <w:rPr>
          <w:color w:val="0070C0"/>
          <w:sz w:val="16"/>
          <w:szCs w:val="16"/>
          <w:lang w:val="en-US" w:bidi="en-US"/>
        </w:rPr>
        <w:t>P</w:t>
      </w:r>
      <w:r w:rsidRPr="00507A31">
        <w:rPr>
          <w:color w:val="0070C0"/>
          <w:sz w:val="16"/>
          <w:szCs w:val="16"/>
          <w:lang w:bidi="en-US"/>
        </w:rPr>
        <w:t xml:space="preserve"> </w:t>
      </w:r>
      <w:r w:rsidRPr="00507A31">
        <w:rPr>
          <w:color w:val="0070C0"/>
          <w:sz w:val="16"/>
          <w:szCs w:val="16"/>
          <w:lang w:bidi="ru-RU"/>
        </w:rPr>
        <w:t>в «фатерланде» имела большой ус</w:t>
      </w:r>
      <w:r w:rsidRPr="00507A31">
        <w:rPr>
          <w:color w:val="0070C0"/>
          <w:sz w:val="16"/>
          <w:szCs w:val="16"/>
          <w:lang w:bidi="ru-RU"/>
        </w:rPr>
        <w:softHyphen/>
        <w:t>пех, а Дорнье уже построил новый тяже</w:t>
      </w:r>
      <w:r w:rsidRPr="00507A31">
        <w:rPr>
          <w:color w:val="0070C0"/>
          <w:sz w:val="16"/>
          <w:szCs w:val="16"/>
          <w:lang w:bidi="ru-RU"/>
        </w:rPr>
        <w:softHyphen/>
        <w:t xml:space="preserve">лый бомбардировщик </w:t>
      </w:r>
      <w:r w:rsidRPr="00507A31">
        <w:rPr>
          <w:color w:val="0070C0"/>
          <w:sz w:val="16"/>
          <w:szCs w:val="16"/>
          <w:lang w:val="en-US" w:bidi="en-US"/>
        </w:rPr>
        <w:t>Do</w:t>
      </w:r>
      <w:r w:rsidRPr="00507A31">
        <w:rPr>
          <w:color w:val="0070C0"/>
          <w:sz w:val="16"/>
          <w:szCs w:val="16"/>
          <w:lang w:bidi="en-US"/>
        </w:rPr>
        <w:t>-</w:t>
      </w:r>
      <w:r w:rsidRPr="00507A31">
        <w:rPr>
          <w:color w:val="0070C0"/>
          <w:sz w:val="16"/>
          <w:szCs w:val="16"/>
          <w:lang w:val="en-US" w:bidi="en-US"/>
        </w:rPr>
        <w:t>Y</w:t>
      </w:r>
      <w:r w:rsidRPr="00507A31">
        <w:rPr>
          <w:color w:val="0070C0"/>
          <w:sz w:val="16"/>
          <w:szCs w:val="16"/>
          <w:lang w:bidi="en-US"/>
        </w:rPr>
        <w:t xml:space="preserve">. </w:t>
      </w:r>
      <w:r w:rsidRPr="00507A31">
        <w:rPr>
          <w:color w:val="0070C0"/>
          <w:sz w:val="16"/>
          <w:szCs w:val="16"/>
          <w:lang w:bidi="ru-RU"/>
        </w:rPr>
        <w:t xml:space="preserve">Его главное отличие от </w:t>
      </w:r>
      <w:r w:rsidRPr="00507A31">
        <w:rPr>
          <w:color w:val="0070C0"/>
          <w:sz w:val="16"/>
          <w:szCs w:val="16"/>
          <w:lang w:val="en-US" w:bidi="en-US"/>
        </w:rPr>
        <w:t>Do</w:t>
      </w:r>
      <w:r w:rsidRPr="00507A31">
        <w:rPr>
          <w:color w:val="0070C0"/>
          <w:sz w:val="16"/>
          <w:szCs w:val="16"/>
          <w:lang w:bidi="en-US"/>
        </w:rPr>
        <w:t>-</w:t>
      </w:r>
      <w:r w:rsidRPr="00507A31">
        <w:rPr>
          <w:color w:val="0070C0"/>
          <w:sz w:val="16"/>
          <w:szCs w:val="16"/>
          <w:lang w:val="en-US" w:bidi="en-US"/>
        </w:rPr>
        <w:t>P</w:t>
      </w:r>
      <w:r w:rsidRPr="00507A31">
        <w:rPr>
          <w:color w:val="0070C0"/>
          <w:sz w:val="16"/>
          <w:szCs w:val="16"/>
          <w:lang w:bidi="en-US"/>
        </w:rPr>
        <w:t xml:space="preserve"> </w:t>
      </w:r>
      <w:r w:rsidRPr="00507A31">
        <w:rPr>
          <w:color w:val="0070C0"/>
          <w:sz w:val="16"/>
          <w:szCs w:val="16"/>
          <w:lang w:bidi="ru-RU"/>
        </w:rPr>
        <w:t>заключалось в том, что вместо четырех «Юпитеров» поставили три — два на крыле, а третий на пило</w:t>
      </w:r>
      <w:r w:rsidRPr="00507A31">
        <w:rPr>
          <w:color w:val="0070C0"/>
          <w:sz w:val="16"/>
          <w:szCs w:val="16"/>
          <w:lang w:bidi="ru-RU"/>
        </w:rPr>
        <w:softHyphen/>
        <w:t>не над фюзеляжем. Агрегаты для двух самолетов были изготовлены в Швей</w:t>
      </w:r>
      <w:r w:rsidRPr="00507A31">
        <w:rPr>
          <w:color w:val="0070C0"/>
          <w:sz w:val="16"/>
          <w:szCs w:val="16"/>
          <w:lang w:bidi="ru-RU"/>
        </w:rPr>
        <w:softHyphen/>
        <w:t>царии, а затем ввезены в Германию, где самолеты были собраны и облетаны (22800).</w:t>
      </w:r>
    </w:p>
    <w:p w14:paraId="584CFB05" w14:textId="77777777" w:rsidR="005F3B06" w:rsidRPr="00507A31" w:rsidRDefault="005F3B06" w:rsidP="00507A31">
      <w:pPr>
        <w:jc w:val="both"/>
        <w:rPr>
          <w:color w:val="0070C0"/>
          <w:sz w:val="16"/>
          <w:szCs w:val="16"/>
        </w:rPr>
      </w:pPr>
    </w:p>
    <w:p w14:paraId="2753CC4B" w14:textId="77777777" w:rsidR="005F3B06" w:rsidRPr="00507A31" w:rsidRDefault="005F3B06" w:rsidP="00507A31">
      <w:pPr>
        <w:jc w:val="both"/>
        <w:rPr>
          <w:color w:val="0070C0"/>
          <w:sz w:val="16"/>
          <w:szCs w:val="16"/>
        </w:rPr>
      </w:pPr>
      <w:r w:rsidRPr="00507A31">
        <w:rPr>
          <w:color w:val="0070C0"/>
          <w:sz w:val="16"/>
          <w:szCs w:val="16"/>
        </w:rPr>
        <w:t>31 марта 1930 три биплана Имперских ВВС Эфиопии снова появляются над армией Гугса Велле и бомбят ее в начале битвы при Анчеме в первой боевой миссии в истории ВВС. Бомбардировка оказывается решающей, так как она побуждает много членов армии Гугсы Велле дезертировать, что в ходе наземного боя приводит к поражению и смерти Гугсы Велле (20805).</w:t>
      </w:r>
    </w:p>
    <w:p w14:paraId="54D132A2" w14:textId="77777777" w:rsidR="005F3B06" w:rsidRPr="00507A31" w:rsidRDefault="005F3B06" w:rsidP="00507A31">
      <w:pPr>
        <w:jc w:val="both"/>
        <w:rPr>
          <w:color w:val="0070C0"/>
          <w:sz w:val="16"/>
          <w:szCs w:val="16"/>
        </w:rPr>
      </w:pPr>
    </w:p>
    <w:p w14:paraId="42B8A2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марта 1930 в Эфиопии началось восстание, во главе которого стоял брат императрицы (3907,161).</w:t>
      </w:r>
    </w:p>
    <w:p w14:paraId="4050F3BD" w14:textId="77777777" w:rsidR="00537E5F" w:rsidRPr="00507A31" w:rsidRDefault="00537E5F" w:rsidP="00507A31">
      <w:pPr>
        <w:autoSpaceDE w:val="0"/>
        <w:autoSpaceDN w:val="0"/>
        <w:adjustRightInd w:val="0"/>
        <w:jc w:val="both"/>
        <w:rPr>
          <w:color w:val="000000" w:themeColor="text1"/>
          <w:sz w:val="16"/>
          <w:szCs w:val="16"/>
        </w:rPr>
      </w:pPr>
    </w:p>
    <w:p w14:paraId="7CA365D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3879EB6" w14:textId="77777777" w:rsidR="00537E5F" w:rsidRPr="00507A31" w:rsidRDefault="00537E5F" w:rsidP="00507A31">
      <w:pPr>
        <w:autoSpaceDE w:val="0"/>
        <w:autoSpaceDN w:val="0"/>
        <w:adjustRightInd w:val="0"/>
        <w:jc w:val="both"/>
        <w:rPr>
          <w:iCs/>
          <w:color w:val="000000" w:themeColor="text1"/>
          <w:sz w:val="16"/>
          <w:szCs w:val="16"/>
        </w:rPr>
      </w:pPr>
    </w:p>
    <w:p w14:paraId="6F408EE6" w14:textId="77777777" w:rsidR="00CD04F0" w:rsidRPr="00507A31" w:rsidRDefault="00CD04F0" w:rsidP="00507A31">
      <w:pPr>
        <w:pStyle w:val="ae"/>
        <w:shd w:val="clear" w:color="auto" w:fill="FFFFFF"/>
        <w:spacing w:before="0" w:after="0"/>
        <w:jc w:val="both"/>
        <w:rPr>
          <w:color w:val="0070C0"/>
          <w:sz w:val="16"/>
          <w:szCs w:val="16"/>
        </w:rPr>
      </w:pPr>
      <w:r w:rsidRPr="00507A31">
        <w:rPr>
          <w:color w:val="0070C0"/>
          <w:sz w:val="16"/>
          <w:szCs w:val="16"/>
        </w:rPr>
        <w:t>В конце марта 1930 года администрация предприятия Механического завода № 7 (бывший «Арсенал») обратилась с официальным письмом в ЦК ВКП(б), РВС СССР, Ленинградский и Киевский обкомы партии, в органы ОГПУ. В депеше содержалась настоятельная просьба срочно вернуть на завод в качестве помощника директора по технической части инженера Романова Николая Георгиевича, до июля 1922 года трудившегося на петроградском заводе «Арсенал», а в момент обращения проживающего в Киеве (20981).</w:t>
      </w:r>
    </w:p>
    <w:p w14:paraId="1AB705F8" w14:textId="77777777" w:rsidR="00CD04F0" w:rsidRPr="00507A31" w:rsidRDefault="00CD04F0" w:rsidP="00507A31">
      <w:pPr>
        <w:pStyle w:val="ae"/>
        <w:shd w:val="clear" w:color="auto" w:fill="FFFFFF"/>
        <w:spacing w:before="0" w:after="0"/>
        <w:jc w:val="both"/>
        <w:rPr>
          <w:color w:val="0070C0"/>
          <w:sz w:val="16"/>
          <w:szCs w:val="16"/>
        </w:rPr>
      </w:pPr>
    </w:p>
    <w:p w14:paraId="24E074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конце марта 1930 года были арестованы профессор Н. Р. Брилинг, инженеры — дизелисты А.С.Куприянов, А.О.Фирсов, В.Э.Клодт, К.И. Цереквицкий, в октябре 1930 года инженер — теплотехник Н.В.Цейц, а в конце этого же года инженер-электрик Н. А. Астров и другие (11504).</w:t>
      </w:r>
    </w:p>
    <w:p w14:paraId="51D978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EE4FD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конце марта 1930 года И.М.Великанов добился аудиенции у К.Е.Ворошилова и изложил ему свое видение расширения работ "по изучению методов ведения бактериологической войны", а заодно и решения своих личных дел. Однако в первой половине апреля высшее руководство Красной Армии после тщательного обсуждения проблемы решило не класть все яйца в одну корзину и задачи ВОХИМУ и ВСУ четко разграничить. В отношении работ по биологическому оружию было решено поступить так же, как и в случае химического оружия - поиск средств биологического нападения оставить за химиками (ВОХИМУ), а создание средств защиты от биологического оружия возложить на медиков (ВСУ). Тем не менее даже после столь четкого решения 17 апреля 1930 года "наверх" была подана докладная записка трех лиц, подписавшихся бактериологами-членами ВКП(б) (это были Н.Л.Блюменталь, И.М.Великанов и Л.Г.Рапопорт),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51CC51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660B3A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6D836E6" w14:textId="77777777" w:rsidR="00537E5F" w:rsidRPr="00507A31" w:rsidRDefault="00537E5F" w:rsidP="00507A31">
      <w:pPr>
        <w:autoSpaceDE w:val="0"/>
        <w:autoSpaceDN w:val="0"/>
        <w:adjustRightInd w:val="0"/>
        <w:jc w:val="both"/>
        <w:rPr>
          <w:iCs/>
          <w:color w:val="000000" w:themeColor="text1"/>
          <w:sz w:val="16"/>
          <w:szCs w:val="16"/>
        </w:rPr>
      </w:pPr>
    </w:p>
    <w:p w14:paraId="0FBF08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конце марта 1930: </w:t>
      </w:r>
    </w:p>
    <w:p w14:paraId="2EBE5B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Об Украине и Белоруссии </w:t>
      </w:r>
    </w:p>
    <w:p w14:paraId="57CEE3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имеющимся данным есть основание предположить, что в случае серьезных кулацко-крестьянских выступлений в правобережной Украине и Белоруссии, особенно в связи с предстоящим выселением из приграничных районов польско-кулацких контрреволюционных и шпионских элементов, польское правительство может пойти на вмешательство. Во избежание всего этого ЦК считает нужным дать ЦК КП(б)У и ЦК Белоруссии, а также соответствующим органам ОГПУ следующие директивы: </w:t>
      </w:r>
    </w:p>
    <w:p w14:paraId="36EFB5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Директиву ЦК от 10 марта о борьбе с искривлениями партийной линии в деревне проводить со всей решительностью, особенно в приграничных округах Украины и Белоруссии; </w:t>
      </w:r>
    </w:p>
    <w:p w14:paraId="2503BD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2. Сосредоточить внимание как в смысле политической работы, так и в смысле военно-чекистской подготовки на том, чтобы не были допущены какие бы то ни было выступления антисоветского характера в приграничных округах Украины и Белоруссии; </w:t>
      </w:r>
    </w:p>
    <w:p w14:paraId="1B9817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Перебросить в приграничные округа в недельный срок достаточное количество опытных партийных работников за счет других округов на помощь местным организациям; </w:t>
      </w:r>
    </w:p>
    <w:p w14:paraId="34D92D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Усилить в приграничных округах количественно и качественно в недельный срок оперативный состав и маневровые войсковые группы ОГПУ за счет других резервов ОГПУ; </w:t>
      </w:r>
    </w:p>
    <w:p w14:paraId="0AAC4B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Операцию ареста и выселения кулацко-польских контрреволюционных элементов подготовить со всей тщательностью и провести в максимально короткий срок... </w:t>
      </w:r>
    </w:p>
    <w:p w14:paraId="0EE0F2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8. С текстом этой директивы, как особо секретной, ознакомить только членов Политбюро ЦК КП(б)У и Бюро ЦК Белоруссии и полпредов ОГПУ Балицкого и Раппопорта. </w:t>
      </w:r>
    </w:p>
    <w:p w14:paraId="66C829AE"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Из протокола заседания Политбюро N 120, особая папка, 1930 г. (11652).</w:t>
      </w:r>
    </w:p>
    <w:p w14:paraId="27F3DE57" w14:textId="77777777" w:rsidR="00537E5F" w:rsidRPr="00507A31" w:rsidRDefault="00537E5F" w:rsidP="00507A31">
      <w:pPr>
        <w:autoSpaceDE w:val="0"/>
        <w:autoSpaceDN w:val="0"/>
        <w:adjustRightInd w:val="0"/>
        <w:jc w:val="both"/>
        <w:rPr>
          <w:color w:val="000000" w:themeColor="text1"/>
          <w:sz w:val="16"/>
          <w:szCs w:val="16"/>
        </w:rPr>
      </w:pPr>
    </w:p>
    <w:p w14:paraId="51A579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марта 1930:</w:t>
      </w:r>
    </w:p>
    <w:p w14:paraId="5426E8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 Государственном Хранилище </w:t>
      </w:r>
    </w:p>
    <w:p w14:paraId="73A4DF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Для дальнейшего улучшения хранения государственного запаса драгоценных металлов и других ценностей утвердить следующие мероприятия, предлагаемые НКВД СССР: </w:t>
      </w:r>
    </w:p>
    <w:p w14:paraId="170FFE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Расширить и переоборудовать кладовую N 2 Хранилища в Кремле за счет смежного подвального помещения, увеличив площадь кладовой на 400 кв. метров, ассигновав на эту работу 150 000 рублей. Расширение и переоборудование кладовой N 2 закончить к 1-ому сентября 1940 года. Организовать новое Хранилище драгоценных металлов и ценностей в строящемся в 1939-40 гг. новом административном корпусе НКВД СССР, выделив для этого подвальное помещение площадью 1500 кв. метров. По окончании строительства в новое Хранилище перевести ценности из кладовых дома N 3 по Настасьинскому пер. Хранилище же по Настасьинскому переулку приспособить для приемки, разборки и сортировки ценных посылок. </w:t>
      </w:r>
    </w:p>
    <w:p w14:paraId="5BAFD3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 расширении Хранилища в Кремле и постройке нового Хранилища: </w:t>
      </w:r>
    </w:p>
    <w:p w14:paraId="035C14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 установить охранную сигнализацию (против подкопов и взломов); </w:t>
      </w:r>
    </w:p>
    <w:p w14:paraId="7E939C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 механизировать подачу ценностей с применением транспортеров, автокар (так.— "Власть") и грузовых электроподъемников; </w:t>
      </w:r>
    </w:p>
    <w:p w14:paraId="7FF15D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организовать пробирную лабораторию для проверки проб поступающих ценностей, для чего ассигновать 75 000 рублей... </w:t>
      </w:r>
    </w:p>
    <w:p w14:paraId="69A272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Реализовать имеющиеся в Государственном Хранилище золотые, платиновые и серебряные часы, хранение которых в течение продолжительного времени приводит к порче механизмов. </w:t>
      </w:r>
    </w:p>
    <w:p w14:paraId="180A11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7. Для повышения квалификации работников Государственного Хранилища и контролеров 5-ого Спецотдела НКВД СССР организовать кратковременные курсы по изучению специальных предметов по драгоценным металлам и драгоценным камням... </w:t>
      </w:r>
    </w:p>
    <w:p w14:paraId="55410E49"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Из протокола заседания Политбюро N 14, особая папка, 1940 г.</w:t>
      </w:r>
      <w:r w:rsidRPr="00507A31">
        <w:rPr>
          <w:color w:val="000000" w:themeColor="text1"/>
          <w:sz w:val="16"/>
          <w:szCs w:val="16"/>
        </w:rPr>
        <w:t xml:space="preserve"> (11652).</w:t>
      </w:r>
    </w:p>
    <w:p w14:paraId="3BCDEFCB" w14:textId="77777777" w:rsidR="00537E5F" w:rsidRPr="00507A31" w:rsidRDefault="00537E5F" w:rsidP="00507A31">
      <w:pPr>
        <w:autoSpaceDE w:val="0"/>
        <w:autoSpaceDN w:val="0"/>
        <w:adjustRightInd w:val="0"/>
        <w:jc w:val="both"/>
        <w:rPr>
          <w:color w:val="000000" w:themeColor="text1"/>
          <w:sz w:val="16"/>
          <w:szCs w:val="16"/>
        </w:rPr>
      </w:pPr>
    </w:p>
    <w:p w14:paraId="6675207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66AD696" w14:textId="77777777" w:rsidR="00537E5F" w:rsidRPr="00507A31" w:rsidRDefault="00537E5F" w:rsidP="00507A31">
      <w:pPr>
        <w:autoSpaceDE w:val="0"/>
        <w:autoSpaceDN w:val="0"/>
        <w:adjustRightInd w:val="0"/>
        <w:jc w:val="both"/>
        <w:rPr>
          <w:iCs/>
          <w:color w:val="000000" w:themeColor="text1"/>
          <w:sz w:val="16"/>
          <w:szCs w:val="16"/>
        </w:rPr>
      </w:pPr>
    </w:p>
    <w:p w14:paraId="3BB707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закончились заводские испытания Р-7 (АНТ-10) с бензобаком, повторяющим форму крыла, которые шли с 30 января 1930. Был возвращен для устранения недостатков. Закончили вновь - осенью (80,187). Не стали производить из-за выхода Р-5 (92,346) (71.135).</w:t>
      </w:r>
    </w:p>
    <w:p w14:paraId="779ACBD1" w14:textId="77777777" w:rsidR="00537E5F" w:rsidRPr="00507A31" w:rsidRDefault="00537E5F" w:rsidP="00507A31">
      <w:pPr>
        <w:autoSpaceDE w:val="0"/>
        <w:autoSpaceDN w:val="0"/>
        <w:adjustRightInd w:val="0"/>
        <w:jc w:val="both"/>
        <w:rPr>
          <w:color w:val="000000" w:themeColor="text1"/>
          <w:sz w:val="16"/>
          <w:szCs w:val="16"/>
        </w:rPr>
      </w:pPr>
    </w:p>
    <w:p w14:paraId="088A10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УВВС передало ЦАГИ заказ на проектирование и изготовление ТБ-4 (АНТ-16) на 7-10 т и одновременно начали исследования по ТБ-6 (АНТ-26) на 25 т (80,315), а по другим данным - и АНТ-20 (70,203). По другим данным - утвердило требования под новый бомбардировщик с М-35 суммарной мощностью 5000 нр и нагрузкой 18 т, в т.ч. боевую -10 т при дальности 2000 км и скорости 200 км/час (7388, 7).</w:t>
      </w:r>
    </w:p>
    <w:p w14:paraId="33B7510D" w14:textId="77777777" w:rsidR="00537E5F" w:rsidRPr="00507A31" w:rsidRDefault="00537E5F" w:rsidP="00507A31">
      <w:pPr>
        <w:autoSpaceDE w:val="0"/>
        <w:autoSpaceDN w:val="0"/>
        <w:adjustRightInd w:val="0"/>
        <w:jc w:val="both"/>
        <w:rPr>
          <w:color w:val="000000" w:themeColor="text1"/>
          <w:sz w:val="16"/>
          <w:szCs w:val="16"/>
        </w:rPr>
      </w:pPr>
    </w:p>
    <w:p w14:paraId="1AAD1F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НТК разработал ТТТ, которые предъявил ЦАГИ в марте 1930 на новый ТБ с 4хМ-35 суммарной мощностью 5000 нр и массой полезной нагрузки 8820 кг, а сбрасываемого груза - 8000-10000 кг - АНТ-16 (ТБ-4). Это был результат состоявшегося в октябре 1929 обмена мнениями между НТК УВВС и ЦАГИ о возможности постройки тяжелых бомбардировщиков грузоподъемностью 10-25 т (2072,64).</w:t>
      </w:r>
    </w:p>
    <w:p w14:paraId="7E8F68A2" w14:textId="77777777" w:rsidR="00537E5F" w:rsidRPr="00507A31" w:rsidRDefault="00537E5F" w:rsidP="00507A31">
      <w:pPr>
        <w:autoSpaceDE w:val="0"/>
        <w:autoSpaceDN w:val="0"/>
        <w:adjustRightInd w:val="0"/>
        <w:jc w:val="both"/>
        <w:rPr>
          <w:color w:val="000000" w:themeColor="text1"/>
          <w:sz w:val="16"/>
          <w:szCs w:val="16"/>
        </w:rPr>
      </w:pPr>
    </w:p>
    <w:p w14:paraId="5EAE0B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марта ЦАГИ уже проектирует АНТ-16 (ТБ-4) и АНТ-20 МГ (70,203).</w:t>
      </w:r>
    </w:p>
    <w:p w14:paraId="55FD43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Заторопились - видно ЦКБ-39 все же действовало на нервы.</w:t>
      </w:r>
    </w:p>
    <w:p w14:paraId="70204401" w14:textId="77777777" w:rsidR="00537E5F" w:rsidRPr="00507A31" w:rsidRDefault="00537E5F" w:rsidP="00507A31">
      <w:pPr>
        <w:autoSpaceDE w:val="0"/>
        <w:autoSpaceDN w:val="0"/>
        <w:adjustRightInd w:val="0"/>
        <w:jc w:val="both"/>
        <w:rPr>
          <w:color w:val="000000" w:themeColor="text1"/>
          <w:sz w:val="16"/>
          <w:szCs w:val="16"/>
        </w:rPr>
      </w:pPr>
    </w:p>
    <w:p w14:paraId="20DDBD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г. военные подготовили первый вариант технических требований к самолету ТБ-4. В апреле того же года бомбардировщик вошел в план опытных работ, утвержденный Советом труда и обороны (СТО). Месяцем позже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 но опять с поправкой на другой масштаб (12024).</w:t>
      </w:r>
    </w:p>
    <w:p w14:paraId="75B5B0DB" w14:textId="77777777" w:rsidR="00537E5F" w:rsidRPr="00507A31" w:rsidRDefault="00537E5F" w:rsidP="00507A31">
      <w:pPr>
        <w:autoSpaceDE w:val="0"/>
        <w:autoSpaceDN w:val="0"/>
        <w:adjustRightInd w:val="0"/>
        <w:jc w:val="both"/>
        <w:rPr>
          <w:color w:val="000000" w:themeColor="text1"/>
          <w:sz w:val="16"/>
          <w:szCs w:val="16"/>
        </w:rPr>
      </w:pPr>
    </w:p>
    <w:p w14:paraId="564EC4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г. появился первый вариант технических требований к ТБ-4. В апреле того же года бомбардировщик вошел в план опытных работ, утвержденный Советом труда и обороны (СТО). Месяцем позже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 но с поправкой на совсем другой масштаб. В отчете ЦАГИ за 1929/30 финансовый год было записано: "АНТ-6 является переходным этапом к следующему еще более мощному и значительно большему по величине самолету". Вот им и являлся ТБ-4 (12036).</w:t>
      </w:r>
    </w:p>
    <w:p w14:paraId="26CB033F" w14:textId="77777777" w:rsidR="00537E5F" w:rsidRPr="00507A31" w:rsidRDefault="00537E5F" w:rsidP="00507A31">
      <w:pPr>
        <w:autoSpaceDE w:val="0"/>
        <w:autoSpaceDN w:val="0"/>
        <w:adjustRightInd w:val="0"/>
        <w:jc w:val="both"/>
        <w:rPr>
          <w:color w:val="000000" w:themeColor="text1"/>
          <w:sz w:val="16"/>
          <w:szCs w:val="16"/>
        </w:rPr>
      </w:pPr>
    </w:p>
    <w:p w14:paraId="4CBE5532" w14:textId="77777777" w:rsidR="0016043C" w:rsidRPr="00507A31" w:rsidRDefault="0016043C" w:rsidP="00507A31">
      <w:pPr>
        <w:jc w:val="both"/>
        <w:rPr>
          <w:color w:val="0070C0"/>
          <w:sz w:val="16"/>
          <w:szCs w:val="16"/>
        </w:rPr>
      </w:pPr>
      <w:r w:rsidRPr="00507A31">
        <w:rPr>
          <w:color w:val="0070C0"/>
          <w:sz w:val="16"/>
          <w:szCs w:val="16"/>
        </w:rPr>
        <w:t>В марте 1930 г. ЦАГИ получил от ВВС технические условия на создание тяжело</w:t>
      </w:r>
      <w:r w:rsidRPr="00507A31">
        <w:rPr>
          <w:color w:val="0070C0"/>
          <w:sz w:val="16"/>
          <w:szCs w:val="16"/>
        </w:rPr>
        <w:softHyphen/>
        <w:t>го бомбардировщика ТБ-4 (АНТ-16). Ма</w:t>
      </w:r>
      <w:r w:rsidRPr="00507A31">
        <w:rPr>
          <w:color w:val="0070C0"/>
          <w:sz w:val="16"/>
          <w:szCs w:val="16"/>
        </w:rPr>
        <w:softHyphen/>
        <w:t>шина проектировалась под четыре двига</w:t>
      </w:r>
      <w:r w:rsidRPr="00507A31">
        <w:rPr>
          <w:color w:val="0070C0"/>
          <w:sz w:val="16"/>
          <w:szCs w:val="16"/>
        </w:rPr>
        <w:softHyphen/>
        <w:t>теля АМ-35 и была дальнейшим развити</w:t>
      </w:r>
      <w:r w:rsidRPr="00507A31">
        <w:rPr>
          <w:color w:val="0070C0"/>
          <w:sz w:val="16"/>
          <w:szCs w:val="16"/>
        </w:rPr>
        <w:softHyphen/>
        <w:t>ем пошедшего в крупносерийное произ</w:t>
      </w:r>
      <w:r w:rsidRPr="00507A31">
        <w:rPr>
          <w:color w:val="0070C0"/>
          <w:sz w:val="16"/>
          <w:szCs w:val="16"/>
        </w:rPr>
        <w:softHyphen/>
        <w:t>водство самолета ТБ-3 (АНТ-6). На ТБ-4 удалось реализовать ряд технических но</w:t>
      </w:r>
      <w:r w:rsidRPr="00507A31">
        <w:rPr>
          <w:color w:val="0070C0"/>
          <w:sz w:val="16"/>
          <w:szCs w:val="16"/>
        </w:rPr>
        <w:softHyphen/>
        <w:t>винок: громадные, самые большие в ми</w:t>
      </w:r>
      <w:r w:rsidRPr="00507A31">
        <w:rPr>
          <w:color w:val="0070C0"/>
          <w:sz w:val="16"/>
          <w:szCs w:val="16"/>
        </w:rPr>
        <w:softHyphen/>
        <w:t>ре. бомбоотсеки при сохранении необхо</w:t>
      </w:r>
      <w:r w:rsidRPr="00507A31">
        <w:rPr>
          <w:color w:val="0070C0"/>
          <w:sz w:val="16"/>
          <w:szCs w:val="16"/>
        </w:rPr>
        <w:softHyphen/>
        <w:t>димой жесткости фюзеляжа, жесткост- ные характеристики крыла обеспечива</w:t>
      </w:r>
      <w:r w:rsidRPr="00507A31">
        <w:rPr>
          <w:color w:val="0070C0"/>
          <w:sz w:val="16"/>
          <w:szCs w:val="16"/>
        </w:rPr>
        <w:softHyphen/>
        <w:t>лись тремя лонжеронами - вместо четы</w:t>
      </w:r>
      <w:r w:rsidRPr="00507A31">
        <w:rPr>
          <w:color w:val="0070C0"/>
          <w:sz w:val="16"/>
          <w:szCs w:val="16"/>
        </w:rPr>
        <w:softHyphen/>
        <w:t>рех, стоявших на ТБ-3. Впервые в миро</w:t>
      </w:r>
      <w:r w:rsidRPr="00507A31">
        <w:rPr>
          <w:color w:val="0070C0"/>
          <w:sz w:val="16"/>
          <w:szCs w:val="16"/>
        </w:rPr>
        <w:softHyphen/>
        <w:t>вой авиации было применено автоном</w:t>
      </w:r>
      <w:r w:rsidRPr="00507A31">
        <w:rPr>
          <w:color w:val="0070C0"/>
          <w:sz w:val="16"/>
          <w:szCs w:val="16"/>
        </w:rPr>
        <w:softHyphen/>
        <w:t>ное питание бортового оборудования от централизованной электросети. Сеть ра</w:t>
      </w:r>
      <w:r w:rsidRPr="00507A31">
        <w:rPr>
          <w:color w:val="0070C0"/>
          <w:sz w:val="16"/>
          <w:szCs w:val="16"/>
        </w:rPr>
        <w:softHyphen/>
        <w:t>ботала от генератора, приводимого в дви</w:t>
      </w:r>
      <w:r w:rsidRPr="00507A31">
        <w:rPr>
          <w:color w:val="0070C0"/>
          <w:sz w:val="16"/>
          <w:szCs w:val="16"/>
        </w:rPr>
        <w:softHyphen/>
        <w:t>жение автономным бензиновым двигате</w:t>
      </w:r>
      <w:r w:rsidRPr="00507A31">
        <w:rPr>
          <w:color w:val="0070C0"/>
          <w:sz w:val="16"/>
          <w:szCs w:val="16"/>
        </w:rPr>
        <w:softHyphen/>
        <w:t>лем. К сожалению, как это частенько бы</w:t>
      </w:r>
      <w:r w:rsidRPr="00507A31">
        <w:rPr>
          <w:color w:val="0070C0"/>
          <w:sz w:val="16"/>
          <w:szCs w:val="16"/>
        </w:rPr>
        <w:softHyphen/>
        <w:t>вало, к оговоренному сроку двигатели не поступили. КБ пришлось срочно провес</w:t>
      </w:r>
      <w:r w:rsidRPr="00507A31">
        <w:rPr>
          <w:color w:val="0070C0"/>
          <w:sz w:val="16"/>
          <w:szCs w:val="16"/>
        </w:rPr>
        <w:softHyphen/>
        <w:t>ти перекомпоновку силовой установки с двигателей М-35 на двигатели М-34. Они были меньшей мощности, чем М-35, по</w:t>
      </w:r>
      <w:r w:rsidRPr="00507A31">
        <w:rPr>
          <w:color w:val="0070C0"/>
          <w:sz w:val="16"/>
          <w:szCs w:val="16"/>
        </w:rPr>
        <w:softHyphen/>
        <w:t>этому пришлось ставить шесть вместо че</w:t>
      </w:r>
      <w:r w:rsidRPr="00507A31">
        <w:rPr>
          <w:color w:val="0070C0"/>
          <w:sz w:val="16"/>
          <w:szCs w:val="16"/>
        </w:rPr>
        <w:softHyphen/>
        <w:t>тырех. Два дополнительных двигателя поставили в тандемной установке над фюзеляжем. Это решение рассматрива</w:t>
      </w:r>
      <w:r w:rsidRPr="00507A31">
        <w:rPr>
          <w:color w:val="0070C0"/>
          <w:sz w:val="16"/>
          <w:szCs w:val="16"/>
        </w:rPr>
        <w:softHyphen/>
        <w:t>лось как временное — до отработки дви</w:t>
      </w:r>
      <w:r w:rsidRPr="00507A31">
        <w:rPr>
          <w:color w:val="0070C0"/>
          <w:sz w:val="16"/>
          <w:szCs w:val="16"/>
        </w:rPr>
        <w:softHyphen/>
        <w:t>гателей М-35.</w:t>
      </w:r>
    </w:p>
    <w:p w14:paraId="3CD74538" w14:textId="77777777" w:rsidR="0016043C" w:rsidRPr="00507A31" w:rsidRDefault="0016043C" w:rsidP="00507A31">
      <w:pPr>
        <w:pStyle w:val="ae"/>
        <w:shd w:val="clear" w:color="auto" w:fill="FFFFFF"/>
        <w:spacing w:before="0" w:after="0"/>
        <w:jc w:val="both"/>
        <w:rPr>
          <w:color w:val="0070C0"/>
          <w:sz w:val="16"/>
          <w:szCs w:val="16"/>
        </w:rPr>
      </w:pPr>
      <w:r w:rsidRPr="00507A31">
        <w:rPr>
          <w:color w:val="0070C0"/>
          <w:sz w:val="16"/>
          <w:szCs w:val="16"/>
          <w:lang w:bidi="ru-RU"/>
        </w:rPr>
        <w:t>Кроме того, в 1931 г. ЦАГИ получил от ВВС еще одно задание. В нем предла</w:t>
      </w:r>
      <w:r w:rsidRPr="00507A31">
        <w:rPr>
          <w:color w:val="0070C0"/>
          <w:sz w:val="16"/>
          <w:szCs w:val="16"/>
          <w:lang w:bidi="ru-RU"/>
        </w:rPr>
        <w:softHyphen/>
        <w:t>галось на базе бомбардировщика ТБ-4 спроектировать пассажирский самолет с четырьмя двигагелями М-35, снабжен</w:t>
      </w:r>
      <w:r w:rsidRPr="00507A31">
        <w:rPr>
          <w:color w:val="0070C0"/>
          <w:sz w:val="16"/>
          <w:szCs w:val="16"/>
          <w:lang w:bidi="ru-RU"/>
        </w:rPr>
        <w:softHyphen/>
        <w:t>ными редукторами. При этом предлага</w:t>
      </w:r>
      <w:r w:rsidRPr="00507A31">
        <w:rPr>
          <w:color w:val="0070C0"/>
          <w:sz w:val="16"/>
          <w:szCs w:val="16"/>
          <w:lang w:bidi="ru-RU"/>
        </w:rPr>
        <w:softHyphen/>
        <w:t>лось увеличить размах крыла на 2 м, а длину фюзеляжа — на 1 м. Новая машина требовала полной перекомпоновки фю</w:t>
      </w:r>
      <w:r w:rsidRPr="00507A31">
        <w:rPr>
          <w:color w:val="0070C0"/>
          <w:sz w:val="16"/>
          <w:szCs w:val="16"/>
          <w:lang w:bidi="ru-RU"/>
        </w:rPr>
        <w:softHyphen/>
        <w:t>зеляжа. Вместо бомбоотсеков и держате</w:t>
      </w:r>
      <w:r w:rsidRPr="00507A31">
        <w:rPr>
          <w:color w:val="0070C0"/>
          <w:sz w:val="16"/>
          <w:szCs w:val="16"/>
          <w:lang w:bidi="ru-RU"/>
        </w:rPr>
        <w:softHyphen/>
        <w:t>лей для бомб должен был появиться пас</w:t>
      </w:r>
      <w:r w:rsidRPr="00507A31">
        <w:rPr>
          <w:color w:val="0070C0"/>
          <w:sz w:val="16"/>
          <w:szCs w:val="16"/>
          <w:lang w:bidi="ru-RU"/>
        </w:rPr>
        <w:softHyphen/>
        <w:t>сажирский салон с удобными креслами. Эскизный проект этого самолета был проработан и передан в УВВС. Машина шла под заводским обозначением АНТ-20. Надо сказать, что эскизный проект пас</w:t>
      </w:r>
      <w:r w:rsidRPr="00507A31">
        <w:rPr>
          <w:color w:val="0070C0"/>
          <w:sz w:val="16"/>
          <w:szCs w:val="16"/>
          <w:lang w:bidi="ru-RU"/>
        </w:rPr>
        <w:softHyphen/>
        <w:t>сажирского варианта был рассмотрен и одобрен начальником ВО ГВФ. Но во</w:t>
      </w:r>
      <w:r w:rsidRPr="00507A31">
        <w:rPr>
          <w:color w:val="0070C0"/>
          <w:sz w:val="16"/>
          <w:szCs w:val="16"/>
          <w:lang w:bidi="ru-RU"/>
        </w:rPr>
        <w:softHyphen/>
        <w:t xml:space="preserve">енные своего заключения не давали </w:t>
      </w:r>
      <w:r w:rsidRPr="00507A31">
        <w:rPr>
          <w:color w:val="0070C0"/>
          <w:sz w:val="16"/>
          <w:szCs w:val="16"/>
        </w:rPr>
        <w:t>(21240).</w:t>
      </w:r>
    </w:p>
    <w:p w14:paraId="298737F5" w14:textId="77777777" w:rsidR="0016043C" w:rsidRPr="00507A31" w:rsidRDefault="0016043C" w:rsidP="00507A31">
      <w:pPr>
        <w:pStyle w:val="ae"/>
        <w:shd w:val="clear" w:color="auto" w:fill="FFFFFF"/>
        <w:spacing w:before="0" w:after="0"/>
        <w:jc w:val="both"/>
        <w:rPr>
          <w:color w:val="0070C0"/>
          <w:sz w:val="16"/>
          <w:szCs w:val="16"/>
        </w:rPr>
      </w:pPr>
    </w:p>
    <w:p w14:paraId="34895362" w14:textId="77777777" w:rsidR="009E6005" w:rsidRPr="00507A31" w:rsidRDefault="009E6005" w:rsidP="00507A31">
      <w:pPr>
        <w:jc w:val="both"/>
        <w:rPr>
          <w:color w:val="0070C0"/>
          <w:sz w:val="16"/>
          <w:szCs w:val="16"/>
        </w:rPr>
      </w:pPr>
      <w:r w:rsidRPr="00507A31">
        <w:rPr>
          <w:color w:val="0070C0"/>
          <w:sz w:val="16"/>
          <w:szCs w:val="16"/>
        </w:rPr>
        <w:t>В марте 1930 г. был под</w:t>
      </w:r>
      <w:r w:rsidRPr="00507A31">
        <w:rPr>
          <w:color w:val="0070C0"/>
          <w:sz w:val="16"/>
          <w:szCs w:val="16"/>
        </w:rPr>
        <w:softHyphen/>
        <w:t>готовлен проект легкого штурмовика ЛШ с двигателем М-17 (BMW-VI), став</w:t>
      </w:r>
      <w:r w:rsidRPr="00507A31">
        <w:rPr>
          <w:color w:val="0070C0"/>
          <w:sz w:val="16"/>
          <w:szCs w:val="16"/>
        </w:rPr>
        <w:softHyphen/>
        <w:t>шего первым в серии бронированных машин ЦКБ. Он представлял собой биплан смешанной конструкции, крылья металлические, возмож</w:t>
      </w:r>
      <w:r w:rsidRPr="00507A31">
        <w:rPr>
          <w:color w:val="0070C0"/>
          <w:sz w:val="16"/>
          <w:szCs w:val="16"/>
        </w:rPr>
        <w:softHyphen/>
        <w:t>но даже стальные. Воздушный винт стальной - т.н. винт Ри</w:t>
      </w:r>
      <w:r w:rsidRPr="00507A31">
        <w:rPr>
          <w:color w:val="0070C0"/>
          <w:sz w:val="16"/>
          <w:szCs w:val="16"/>
        </w:rPr>
        <w:softHyphen/>
        <w:t>да, выполненный из изогнутого листа (у нас таких винтов не было, однако производство их надеялись освоить). Ко</w:t>
      </w:r>
      <w:r w:rsidRPr="00507A31">
        <w:rPr>
          <w:color w:val="0070C0"/>
          <w:sz w:val="16"/>
          <w:szCs w:val="16"/>
        </w:rPr>
        <w:softHyphen/>
        <w:t>леса предлагалось выполнить из губчатой резины. Кроме того, уже существовало понимание, что высокий вес бро</w:t>
      </w:r>
      <w:r w:rsidRPr="00507A31">
        <w:rPr>
          <w:color w:val="0070C0"/>
          <w:sz w:val="16"/>
          <w:szCs w:val="16"/>
        </w:rPr>
        <w:softHyphen/>
        <w:t>ни значительно снизит маневренные характеристики штур</w:t>
      </w:r>
      <w:r w:rsidRPr="00507A31">
        <w:rPr>
          <w:color w:val="0070C0"/>
          <w:sz w:val="16"/>
          <w:szCs w:val="16"/>
        </w:rPr>
        <w:softHyphen/>
        <w:t>овика, поэтому изыскивались возможности снижения этого веса, в частности предлагалось использовать дви</w:t>
      </w:r>
      <w:r w:rsidRPr="00507A31">
        <w:rPr>
          <w:color w:val="0070C0"/>
          <w:sz w:val="16"/>
          <w:szCs w:val="16"/>
        </w:rPr>
        <w:softHyphen/>
        <w:t>гатель BMW-VI с алюминиевым картером. Понятно, что это был крошечный выигрыш, поэтому и броня предлагалась в весьма ограниченном масштабе.</w:t>
      </w:r>
    </w:p>
    <w:p w14:paraId="1350AF05" w14:textId="77777777" w:rsidR="009E6005" w:rsidRPr="00507A31" w:rsidRDefault="009E6005" w:rsidP="00507A31">
      <w:pPr>
        <w:jc w:val="both"/>
        <w:rPr>
          <w:color w:val="0070C0"/>
          <w:sz w:val="16"/>
          <w:szCs w:val="16"/>
        </w:rPr>
      </w:pPr>
      <w:r w:rsidRPr="00507A31">
        <w:rPr>
          <w:color w:val="0070C0"/>
          <w:sz w:val="16"/>
          <w:szCs w:val="16"/>
        </w:rPr>
        <w:t>Судя по приведенному краткому перечислению особен</w:t>
      </w:r>
      <w:r w:rsidRPr="00507A31">
        <w:rPr>
          <w:color w:val="0070C0"/>
          <w:sz w:val="16"/>
          <w:szCs w:val="16"/>
        </w:rPr>
        <w:softHyphen/>
        <w:t>ностей самолета, в начальный период его создания мно</w:t>
      </w:r>
      <w:r w:rsidRPr="00507A31">
        <w:rPr>
          <w:color w:val="0070C0"/>
          <w:sz w:val="16"/>
          <w:szCs w:val="16"/>
        </w:rPr>
        <w:softHyphen/>
        <w:t>гие технические решения не были вполне определены. О последующем использовании стального винта, колес из губчатой резины или скорострельной 37-мм пушки сведе</w:t>
      </w:r>
      <w:r w:rsidRPr="00507A31">
        <w:rPr>
          <w:color w:val="0070C0"/>
          <w:sz w:val="16"/>
          <w:szCs w:val="16"/>
        </w:rPr>
        <w:softHyphen/>
        <w:t>ний обнаружить не удалось.</w:t>
      </w:r>
    </w:p>
    <w:p w14:paraId="1957132F" w14:textId="77777777" w:rsidR="009E6005" w:rsidRPr="00507A31" w:rsidRDefault="009E6005" w:rsidP="00507A31">
      <w:pPr>
        <w:jc w:val="both"/>
        <w:rPr>
          <w:color w:val="0070C0"/>
          <w:sz w:val="16"/>
          <w:szCs w:val="16"/>
        </w:rPr>
      </w:pPr>
      <w:r w:rsidRPr="00507A31">
        <w:rPr>
          <w:color w:val="0070C0"/>
          <w:sz w:val="16"/>
          <w:szCs w:val="16"/>
        </w:rPr>
        <w:t>Конструктивная отработка чертежей и докумен</w:t>
      </w:r>
      <w:r w:rsidRPr="00507A31">
        <w:rPr>
          <w:color w:val="0070C0"/>
          <w:sz w:val="16"/>
          <w:szCs w:val="16"/>
        </w:rPr>
        <w:softHyphen/>
        <w:t>тации велась в бригаде №5, которую возглавлял С.А. Кочеригин. В уточненных технических требованиях самолет назывался «тяжелый штурмовик ТШ-2 М-17», предназна</w:t>
      </w:r>
      <w:r w:rsidRPr="00507A31">
        <w:rPr>
          <w:color w:val="0070C0"/>
          <w:sz w:val="16"/>
          <w:szCs w:val="16"/>
        </w:rPr>
        <w:softHyphen/>
        <w:t>чался для поражения наземных целей с высоты полета 10</w:t>
      </w:r>
      <w:r w:rsidRPr="00507A31">
        <w:rPr>
          <w:color w:val="0070C0"/>
          <w:sz w:val="16"/>
          <w:szCs w:val="16"/>
        </w:rPr>
        <w:softHyphen/>
        <w:t>12 м. Броня весом 515-525 кг (расчетное значение) пред</w:t>
      </w:r>
      <w:r w:rsidRPr="00507A31">
        <w:rPr>
          <w:color w:val="0070C0"/>
          <w:sz w:val="16"/>
          <w:szCs w:val="16"/>
        </w:rPr>
        <w:softHyphen/>
        <w:t>назначалась для защиты двигателя, топливных баков, эки</w:t>
      </w:r>
      <w:r w:rsidRPr="00507A31">
        <w:rPr>
          <w:color w:val="0070C0"/>
          <w:sz w:val="16"/>
          <w:szCs w:val="16"/>
        </w:rPr>
        <w:softHyphen/>
        <w:t>пажа и управления. Толщина брони выбиралась из расчета попадания пуль под углом 15-20° (20362).</w:t>
      </w:r>
    </w:p>
    <w:p w14:paraId="3C87A6AD" w14:textId="77777777" w:rsidR="009E6005" w:rsidRPr="00507A31" w:rsidRDefault="009E6005" w:rsidP="00507A31">
      <w:pPr>
        <w:shd w:val="clear" w:color="auto" w:fill="FFFFFF"/>
        <w:jc w:val="both"/>
        <w:rPr>
          <w:color w:val="0070C0"/>
          <w:sz w:val="16"/>
          <w:szCs w:val="16"/>
        </w:rPr>
      </w:pPr>
    </w:p>
    <w:p w14:paraId="55484C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ЦАГИ и ГВФ подписали соглашение о разработке в течение трех месяцев эскизного проекта и ТТ на пассажирский самолет для эксплуатации на трассе Москва - Владивосток. Стал АНТ-14 (346,52).</w:t>
      </w:r>
    </w:p>
    <w:p w14:paraId="51A6B319" w14:textId="77777777" w:rsidR="00537E5F" w:rsidRPr="00507A31" w:rsidRDefault="00537E5F" w:rsidP="00507A31">
      <w:pPr>
        <w:autoSpaceDE w:val="0"/>
        <w:autoSpaceDN w:val="0"/>
        <w:adjustRightInd w:val="0"/>
        <w:jc w:val="both"/>
        <w:rPr>
          <w:color w:val="000000" w:themeColor="text1"/>
          <w:sz w:val="16"/>
          <w:szCs w:val="16"/>
        </w:rPr>
      </w:pPr>
    </w:p>
    <w:p w14:paraId="0331B7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марте 1930 появились первые эскизы АНТ-14 (1054,133).</w:t>
      </w:r>
    </w:p>
    <w:p w14:paraId="25492A72" w14:textId="77777777" w:rsidR="00537E5F" w:rsidRPr="00507A31" w:rsidRDefault="00537E5F" w:rsidP="00507A31">
      <w:pPr>
        <w:autoSpaceDE w:val="0"/>
        <w:autoSpaceDN w:val="0"/>
        <w:adjustRightInd w:val="0"/>
        <w:jc w:val="both"/>
        <w:rPr>
          <w:color w:val="000000" w:themeColor="text1"/>
          <w:sz w:val="16"/>
          <w:szCs w:val="16"/>
        </w:rPr>
      </w:pPr>
    </w:p>
    <w:p w14:paraId="02EE29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усилили конструкцию планера И-4 (1060,52).</w:t>
      </w:r>
    </w:p>
    <w:p w14:paraId="05B6A0DF" w14:textId="77777777" w:rsidR="00537E5F" w:rsidRPr="00507A31" w:rsidRDefault="00537E5F" w:rsidP="00507A31">
      <w:pPr>
        <w:autoSpaceDE w:val="0"/>
        <w:autoSpaceDN w:val="0"/>
        <w:adjustRightInd w:val="0"/>
        <w:jc w:val="both"/>
        <w:rPr>
          <w:color w:val="000000" w:themeColor="text1"/>
          <w:sz w:val="16"/>
          <w:szCs w:val="16"/>
        </w:rPr>
      </w:pPr>
    </w:p>
    <w:p w14:paraId="4A463FB0" w14:textId="77777777" w:rsidR="008C653D" w:rsidRPr="00507A31" w:rsidRDefault="008C653D"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В марте 1930 г. конструкцию планера И-4 несколько усилили: заменили дюралюминиевые болты стальными, ввели ряд дополнительных накладок в каркасе. В мае того же года обтекатели, закрывающие спицы колес, сделали толще почти в два раза - с 0,45 до 0,8 мм.</w:t>
      </w:r>
    </w:p>
    <w:p w14:paraId="04062803" w14:textId="77777777" w:rsidR="008C653D" w:rsidRPr="00507A31" w:rsidRDefault="008C653D"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Машины выпуска 1930 г. комплектовались деревянными лыжами производства московского завода № 28. Их отправляли в воинские части и для истребителей, сданных ранее. Впервые такие лыжи испытали на одном из самолетов первой серии, проходившем эксплуатационные испытания в ВВС Московского военного округа; летал на нем сам начальник ВВС МВО И.У. Павлов (19100).</w:t>
      </w:r>
    </w:p>
    <w:p w14:paraId="7B39A08D" w14:textId="77777777" w:rsidR="008C653D" w:rsidRPr="00507A31" w:rsidRDefault="008C653D" w:rsidP="00507A31">
      <w:pPr>
        <w:pStyle w:val="a8"/>
        <w:jc w:val="both"/>
        <w:rPr>
          <w:rFonts w:ascii="Times New Roman" w:hAnsi="Times New Roman" w:cs="Times New Roman"/>
          <w:color w:val="000000" w:themeColor="text1"/>
        </w:rPr>
      </w:pPr>
    </w:p>
    <w:p w14:paraId="6CD13A87" w14:textId="77777777" w:rsidR="00460879" w:rsidRPr="00507A31" w:rsidRDefault="00460879" w:rsidP="00507A31">
      <w:pPr>
        <w:jc w:val="both"/>
        <w:rPr>
          <w:color w:val="000000" w:themeColor="text1"/>
          <w:sz w:val="16"/>
          <w:szCs w:val="16"/>
        </w:rPr>
      </w:pPr>
      <w:r w:rsidRPr="00507A31">
        <w:rPr>
          <w:color w:val="000000" w:themeColor="text1"/>
          <w:sz w:val="16"/>
          <w:szCs w:val="16"/>
        </w:rPr>
        <w:t>До марта 1930 г. в ЦАГИ не могли полу</w:t>
      </w:r>
      <w:r w:rsidRPr="00507A31">
        <w:rPr>
          <w:color w:val="000000" w:themeColor="text1"/>
          <w:sz w:val="16"/>
          <w:szCs w:val="16"/>
        </w:rPr>
        <w:softHyphen/>
        <w:t>чить американский Кертисс «Конкверор» (Сощшегог), причем заказывали высотный его вариант, оснащенный турбокомпрессо</w:t>
      </w:r>
      <w:r w:rsidRPr="00507A31">
        <w:rPr>
          <w:color w:val="000000" w:themeColor="text1"/>
          <w:sz w:val="16"/>
          <w:szCs w:val="16"/>
        </w:rPr>
        <w:softHyphen/>
        <w:t>ром (в документах его называли импелле</w:t>
      </w:r>
      <w:r w:rsidRPr="00507A31">
        <w:rPr>
          <w:color w:val="000000" w:themeColor="text1"/>
          <w:sz w:val="16"/>
          <w:szCs w:val="16"/>
        </w:rPr>
        <w:softHyphen/>
        <w:t>ром). Нужно отметить, что для задуманного самолета указанный двигатель подходил на</w:t>
      </w:r>
      <w:r w:rsidRPr="00507A31">
        <w:rPr>
          <w:color w:val="000000" w:themeColor="text1"/>
          <w:sz w:val="16"/>
          <w:szCs w:val="16"/>
        </w:rPr>
        <w:softHyphen/>
        <w:t>иболее оптимально. Ибо по сравнению с дру</w:t>
      </w:r>
      <w:r w:rsidRPr="00507A31">
        <w:rPr>
          <w:color w:val="000000" w:themeColor="text1"/>
          <w:sz w:val="16"/>
          <w:szCs w:val="16"/>
        </w:rPr>
        <w:softHyphen/>
        <w:t>гими однотипными двигателями «Соп§иегог» V-1570 в базовой комплектации весил все</w:t>
      </w:r>
      <w:r w:rsidRPr="00507A31">
        <w:rPr>
          <w:color w:val="000000" w:themeColor="text1"/>
          <w:sz w:val="16"/>
          <w:szCs w:val="16"/>
        </w:rPr>
        <w:softHyphen/>
        <w:t>го 345 кг. Габариты также были не самыми большими: длина — 1600 мм, ширина - 670 мм, высота — 930 мм. Для сравнения: немец</w:t>
      </w:r>
      <w:r w:rsidRPr="00507A31">
        <w:rPr>
          <w:color w:val="000000" w:themeColor="text1"/>
          <w:sz w:val="16"/>
          <w:szCs w:val="16"/>
        </w:rPr>
        <w:softHyphen/>
        <w:t>кий ВМ\У-У1 имел длину 1970 мм, ширину — 844 мм, высоту - 1057 мм. Сухой вес ВМ\У- VI составлял 510-545 кг.</w:t>
      </w:r>
    </w:p>
    <w:p w14:paraId="31BF503E" w14:textId="77777777" w:rsidR="00460879" w:rsidRPr="00507A31" w:rsidRDefault="00460879" w:rsidP="00507A31">
      <w:pPr>
        <w:jc w:val="both"/>
        <w:rPr>
          <w:color w:val="000000" w:themeColor="text1"/>
          <w:sz w:val="16"/>
          <w:szCs w:val="16"/>
        </w:rPr>
      </w:pPr>
      <w:r w:rsidRPr="00507A31">
        <w:rPr>
          <w:color w:val="000000" w:themeColor="text1"/>
          <w:sz w:val="16"/>
          <w:szCs w:val="16"/>
        </w:rPr>
        <w:t>Весной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507A31">
        <w:rPr>
          <w:color w:val="000000" w:themeColor="text1"/>
          <w:sz w:val="16"/>
          <w:szCs w:val="16"/>
        </w:rPr>
        <w:softHyphen/>
        <w:t>тому окончательный вариант эскизного про</w:t>
      </w:r>
      <w:r w:rsidRPr="00507A31">
        <w:rPr>
          <w:color w:val="000000" w:themeColor="text1"/>
          <w:sz w:val="16"/>
          <w:szCs w:val="16"/>
        </w:rPr>
        <w:softHyphen/>
        <w:t>екта И-8 готовился под невысотный вариант «Конкверора» (12295).</w:t>
      </w:r>
    </w:p>
    <w:p w14:paraId="13763677" w14:textId="77777777" w:rsidR="00460879" w:rsidRPr="00507A31" w:rsidRDefault="00460879" w:rsidP="00507A31">
      <w:pPr>
        <w:jc w:val="both"/>
        <w:rPr>
          <w:color w:val="000000" w:themeColor="text1"/>
          <w:sz w:val="16"/>
          <w:szCs w:val="16"/>
        </w:rPr>
      </w:pPr>
    </w:p>
    <w:p w14:paraId="391421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г. Горощенко и Гребнев подписали от</w:t>
      </w:r>
      <w:r w:rsidRPr="00507A31">
        <w:rPr>
          <w:color w:val="000000" w:themeColor="text1"/>
          <w:sz w:val="16"/>
          <w:szCs w:val="16"/>
        </w:rPr>
        <w:softHyphen/>
        <w:t>зыв НТК ВВС по эскизному проекту истребителя И-7. Из представленных вариантов наилучшим признали ва</w:t>
      </w:r>
      <w:r w:rsidRPr="00507A31">
        <w:rPr>
          <w:color w:val="000000" w:themeColor="text1"/>
          <w:sz w:val="16"/>
          <w:szCs w:val="16"/>
        </w:rPr>
        <w:softHyphen/>
        <w:t>риант биплана (№ 3), который приняли за основной.(10667).</w:t>
      </w:r>
    </w:p>
    <w:p w14:paraId="5462E7D5" w14:textId="77777777" w:rsidR="00537E5F" w:rsidRPr="00507A31" w:rsidRDefault="00537E5F" w:rsidP="00507A31">
      <w:pPr>
        <w:autoSpaceDE w:val="0"/>
        <w:autoSpaceDN w:val="0"/>
        <w:adjustRightInd w:val="0"/>
        <w:jc w:val="both"/>
        <w:rPr>
          <w:color w:val="000000" w:themeColor="text1"/>
          <w:sz w:val="16"/>
          <w:szCs w:val="16"/>
        </w:rPr>
      </w:pPr>
    </w:p>
    <w:p w14:paraId="7164AF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марта 1930 г. началась разработка технического проекта И-7. Было принято решение строить первый экземп</w:t>
      </w:r>
      <w:r w:rsidRPr="00507A31">
        <w:rPr>
          <w:color w:val="000000" w:themeColor="text1"/>
          <w:sz w:val="16"/>
          <w:szCs w:val="16"/>
        </w:rPr>
        <w:softHyphen/>
        <w:t>ляр с деревянным фюзеляжем, второй - с металличес</w:t>
      </w:r>
      <w:r w:rsidRPr="00507A31">
        <w:rPr>
          <w:color w:val="000000" w:themeColor="text1"/>
          <w:sz w:val="16"/>
          <w:szCs w:val="16"/>
        </w:rPr>
        <w:softHyphen/>
        <w:t>ким, для них заказать мотор с электронным картером, который легче исходного на 40 кг (10667).</w:t>
      </w:r>
    </w:p>
    <w:p w14:paraId="3E9E07F5" w14:textId="77777777" w:rsidR="00537E5F" w:rsidRPr="00507A31" w:rsidRDefault="00537E5F" w:rsidP="00507A31">
      <w:pPr>
        <w:autoSpaceDE w:val="0"/>
        <w:autoSpaceDN w:val="0"/>
        <w:adjustRightInd w:val="0"/>
        <w:jc w:val="both"/>
        <w:rPr>
          <w:color w:val="000000" w:themeColor="text1"/>
          <w:sz w:val="16"/>
          <w:szCs w:val="16"/>
        </w:rPr>
      </w:pPr>
    </w:p>
    <w:p w14:paraId="4FA40C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марта 1930 г. партию М-11 установили на самолеты У-2 и приступи</w:t>
      </w:r>
      <w:r w:rsidRPr="00507A31">
        <w:rPr>
          <w:color w:val="000000" w:themeColor="text1"/>
          <w:sz w:val="16"/>
          <w:szCs w:val="16"/>
        </w:rPr>
        <w:softHyphen/>
        <w:t>ли к войсковым испытаниям. Они проходили в школе летчиков в Борисоглебске. Далее выпуск М-11 постоянно нарастал. В 1930 г. собрали 103 штуки, в 1931 г. — 326, в 1932 г. — 883. Двигатель постоянно совершенствовался. В апреле 1931 г. стали устанавливать коленвал на подшипники скольже</w:t>
      </w:r>
      <w:r w:rsidRPr="00507A31">
        <w:rPr>
          <w:color w:val="000000" w:themeColor="text1"/>
          <w:sz w:val="16"/>
          <w:szCs w:val="16"/>
        </w:rPr>
        <w:softHyphen/>
        <w:t>ния, что избавило от необходимости закупать качественные шарикопод</w:t>
      </w:r>
      <w:r w:rsidRPr="00507A31">
        <w:rPr>
          <w:color w:val="000000" w:themeColor="text1"/>
          <w:sz w:val="16"/>
          <w:szCs w:val="16"/>
        </w:rPr>
        <w:softHyphen/>
        <w:t>шипники за границей. Уже в 1931 г. конструкторы завода № 29 наметили создание целого семейства двигателей на базе М-11. В него должен был войти М-50 (3-цилиндровый), М-51 (5-цилиндровый, модернизированный М-11), М-48 (7-цилиндровый) и М-49 (9-цилиндровый). Проектирование вел Опытно-конструкторский отдел завода под руководством А.С. Назаро</w:t>
      </w:r>
      <w:r w:rsidRPr="00507A31">
        <w:rPr>
          <w:color w:val="000000" w:themeColor="text1"/>
          <w:sz w:val="16"/>
          <w:szCs w:val="16"/>
        </w:rPr>
        <w:softHyphen/>
        <w:t>ва. Фактически работу по двигателям малой мощности вела группа М.А. Коссова. Она начала с М-51. Он имел иной механизм газораспределения и был форсирован по оборотам по отношению к М-11. Опытный образец из</w:t>
      </w:r>
      <w:r w:rsidRPr="00507A31">
        <w:rPr>
          <w:color w:val="000000" w:themeColor="text1"/>
          <w:sz w:val="16"/>
          <w:szCs w:val="16"/>
        </w:rPr>
        <w:softHyphen/>
        <w:t>готовили в феврале 1932 г. и с марта начали его обкатку, а затем ис</w:t>
      </w:r>
      <w:r w:rsidRPr="00507A31">
        <w:rPr>
          <w:color w:val="000000" w:themeColor="text1"/>
          <w:sz w:val="16"/>
          <w:szCs w:val="16"/>
        </w:rPr>
        <w:softHyphen/>
        <w:t>пытания. В мае — июне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 (11852).</w:t>
      </w:r>
    </w:p>
    <w:p w14:paraId="638299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4487F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В.П.Чкалов, работающий в Осоавиахиме, написал рапорт П.И.Б. За него ходатайствовали М.М.Громов и А.Б.Юмашев и его зачислили ли НИИ ВВС (1101,69).</w:t>
      </w:r>
    </w:p>
    <w:p w14:paraId="0C5A9D75" w14:textId="77777777" w:rsidR="00537E5F" w:rsidRPr="00507A31" w:rsidRDefault="00537E5F" w:rsidP="00507A31">
      <w:pPr>
        <w:autoSpaceDE w:val="0"/>
        <w:autoSpaceDN w:val="0"/>
        <w:adjustRightInd w:val="0"/>
        <w:jc w:val="both"/>
        <w:rPr>
          <w:color w:val="000000" w:themeColor="text1"/>
          <w:sz w:val="16"/>
          <w:szCs w:val="16"/>
        </w:rPr>
      </w:pPr>
    </w:p>
    <w:p w14:paraId="0B5752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марта 1930 в СССР отсутствовал гидроканал для исследований гидродинамических характеристик гидросамолетов. Опытовый бассейн в Ленинграде не обеспечивал скорость свыше 4 м/сек, а требовалось 30 (4269,18).</w:t>
      </w:r>
    </w:p>
    <w:p w14:paraId="300F0B10" w14:textId="77777777" w:rsidR="00537E5F" w:rsidRPr="00507A31" w:rsidRDefault="00537E5F" w:rsidP="00507A31">
      <w:pPr>
        <w:autoSpaceDE w:val="0"/>
        <w:autoSpaceDN w:val="0"/>
        <w:adjustRightInd w:val="0"/>
        <w:jc w:val="both"/>
        <w:rPr>
          <w:color w:val="000000" w:themeColor="text1"/>
          <w:sz w:val="16"/>
          <w:szCs w:val="16"/>
        </w:rPr>
      </w:pPr>
    </w:p>
    <w:p w14:paraId="4C2820D4" w14:textId="77777777" w:rsidR="00460879" w:rsidRPr="00507A31" w:rsidRDefault="00460879" w:rsidP="00507A31">
      <w:pPr>
        <w:jc w:val="both"/>
        <w:rPr>
          <w:color w:val="000000" w:themeColor="text1"/>
          <w:sz w:val="16"/>
          <w:szCs w:val="16"/>
        </w:rPr>
      </w:pPr>
      <w:r w:rsidRPr="00507A31">
        <w:rPr>
          <w:color w:val="000000" w:themeColor="text1"/>
          <w:sz w:val="16"/>
          <w:szCs w:val="16"/>
        </w:rPr>
        <w:t>В марте 1930 г. советская авиапромышленность подверглась очередным организационным мероприятиям — в составе Авиатреста образовали Всесоюзное авиационное объединение (ВАО). В апреле в связи с утверждением Устава ВАО Авиатрест был расформирован (12230).</w:t>
      </w:r>
    </w:p>
    <w:p w14:paraId="3A8051D0" w14:textId="77777777" w:rsidR="00460879" w:rsidRPr="00507A31" w:rsidRDefault="00460879" w:rsidP="00507A31">
      <w:pPr>
        <w:jc w:val="both"/>
        <w:rPr>
          <w:color w:val="000000" w:themeColor="text1"/>
          <w:sz w:val="16"/>
          <w:szCs w:val="16"/>
        </w:rPr>
      </w:pPr>
    </w:p>
    <w:p w14:paraId="67CF68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марта 1930 появилось Всесоюзное авиационное объединение (ВАО) Авиатреста Главного управления металлопромышленности ВСНХ (173,238), которое стало единственным органом, руководившим предприятиями авиационной промышленности (599). Организационно ВАО было подчинено Главному управлению металлопромышленности ВСНХ СССР (275).</w:t>
      </w:r>
    </w:p>
    <w:p w14:paraId="1AE93C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это произошло 15 апреля.</w:t>
      </w:r>
    </w:p>
    <w:p w14:paraId="00B5D12E" w14:textId="77777777" w:rsidR="00537E5F" w:rsidRPr="00507A31" w:rsidRDefault="00537E5F" w:rsidP="00507A31">
      <w:pPr>
        <w:autoSpaceDE w:val="0"/>
        <w:autoSpaceDN w:val="0"/>
        <w:adjustRightInd w:val="0"/>
        <w:jc w:val="both"/>
        <w:rPr>
          <w:color w:val="000000" w:themeColor="text1"/>
          <w:sz w:val="16"/>
          <w:szCs w:val="16"/>
        </w:rPr>
      </w:pPr>
    </w:p>
    <w:p w14:paraId="5A2694D8" w14:textId="77777777" w:rsidR="00185E26" w:rsidRPr="00507A31" w:rsidRDefault="00185E26" w:rsidP="00507A31">
      <w:pPr>
        <w:jc w:val="both"/>
        <w:rPr>
          <w:color w:val="000000" w:themeColor="text1"/>
          <w:sz w:val="16"/>
          <w:szCs w:val="16"/>
        </w:rPr>
      </w:pPr>
      <w:r w:rsidRPr="00507A31">
        <w:rPr>
          <w:color w:val="000000" w:themeColor="text1"/>
          <w:sz w:val="16"/>
          <w:szCs w:val="16"/>
        </w:rPr>
        <w:t>В марте 1930 г. в соответствии с политикой отказа от НЭПа «Авиатрест» был преобразован во Всесоюзное объединение авиационной промышленности (ВАО). В декабре следующего года произошла более существенная реорганизация: новым руководящим органом стал ГУАП — Главное управление авиационной промышленности. В 1932 г. он был переведен из состава ВСНХ в Наркомат тяжелой промышленности, а в конце 1936 г. преобразован в Первое Главное управление Наркомата оборонной промышленности. От времен выборного руководства, рыночных цен и хозрасчета остались лишь воспоминания. Страна на многие десятилетия перешла к милитаризованной планово-распределительной экономике с директивными методами руководства (18303).</w:t>
      </w:r>
    </w:p>
    <w:p w14:paraId="15291916" w14:textId="77777777" w:rsidR="00185E26" w:rsidRPr="00507A31" w:rsidRDefault="00185E26" w:rsidP="00507A31">
      <w:pPr>
        <w:jc w:val="both"/>
        <w:rPr>
          <w:color w:val="000000" w:themeColor="text1"/>
          <w:sz w:val="16"/>
          <w:szCs w:val="16"/>
        </w:rPr>
      </w:pPr>
    </w:p>
    <w:p w14:paraId="64B40E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года завод № 1 выделил один ангар для опытного самолетостроения и одновременно было организовано ОКБ. В сентябре 1930 года в завод № 39 вливают завод № 25, МОС завода № 22 и МОС завода № 28, причем объединенному КБ присваивается название ЦКБ Авиатреста.</w:t>
      </w:r>
    </w:p>
    <w:p w14:paraId="6A909C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1931 года совместное существование ЦКБ и опытного производства прекратилось – приказом по ВАО ЦКБ было переброшено в ЦАГИ.</w:t>
      </w:r>
    </w:p>
    <w:p w14:paraId="48C278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1931 года заводу было предложено перестроиться на производство серий больших самолетов ТБ-3.</w:t>
      </w:r>
    </w:p>
    <w:p w14:paraId="678D10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Весь 1932 год завод развивал серийное производство самолетов ТБ3, но в феврале 1933 года новым указанием ГУАПа заводу было предприсано вновь вернуться к опытному самолетостроению и организовать одновременно производство малых серий.</w:t>
      </w:r>
    </w:p>
    <w:p w14:paraId="29CEA1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771D13F4" w14:textId="77777777" w:rsidR="00537E5F" w:rsidRPr="00507A31" w:rsidRDefault="00537E5F" w:rsidP="00507A31">
      <w:pPr>
        <w:autoSpaceDE w:val="0"/>
        <w:autoSpaceDN w:val="0"/>
        <w:adjustRightInd w:val="0"/>
        <w:jc w:val="both"/>
        <w:rPr>
          <w:color w:val="000000" w:themeColor="text1"/>
          <w:sz w:val="16"/>
          <w:szCs w:val="16"/>
        </w:rPr>
      </w:pPr>
    </w:p>
    <w:p w14:paraId="31937AFE" w14:textId="77777777" w:rsidR="00460879" w:rsidRPr="00507A31" w:rsidRDefault="00460879" w:rsidP="00507A31">
      <w:pPr>
        <w:jc w:val="both"/>
        <w:rPr>
          <w:color w:val="000000" w:themeColor="text1"/>
          <w:sz w:val="16"/>
          <w:szCs w:val="16"/>
        </w:rPr>
      </w:pPr>
      <w:r w:rsidRPr="00507A31">
        <w:rPr>
          <w:color w:val="000000" w:themeColor="text1"/>
          <w:sz w:val="16"/>
          <w:szCs w:val="16"/>
        </w:rPr>
        <w:t>В марте 1930 г. в докладе авиазавода №22 по вопросу окраски указывалось, что опы</w:t>
      </w:r>
      <w:r w:rsidRPr="00507A31">
        <w:rPr>
          <w:color w:val="000000" w:themeColor="text1"/>
          <w:sz w:val="16"/>
          <w:szCs w:val="16"/>
        </w:rPr>
        <w:softHyphen/>
        <w:t>ты с окраской ведутся полтора года, реализо</w:t>
      </w:r>
      <w:r w:rsidRPr="00507A31">
        <w:rPr>
          <w:color w:val="000000" w:themeColor="text1"/>
          <w:sz w:val="16"/>
          <w:szCs w:val="16"/>
        </w:rPr>
        <w:softHyphen/>
        <w:t>ван ряд предложений, но положительных ре</w:t>
      </w:r>
      <w:r w:rsidRPr="00507A31">
        <w:rPr>
          <w:color w:val="000000" w:themeColor="text1"/>
          <w:sz w:val="16"/>
          <w:szCs w:val="16"/>
        </w:rPr>
        <w:softHyphen/>
        <w:t>зультатов по-прежнему нет. В инструкции по эксплуатации И-4, выпушенной в 1930 г., во</w:t>
      </w:r>
      <w:r w:rsidRPr="00507A31">
        <w:rPr>
          <w:color w:val="000000" w:themeColor="text1"/>
          <w:sz w:val="16"/>
          <w:szCs w:val="16"/>
        </w:rPr>
        <w:softHyphen/>
        <w:t>просы окрашивания истребителя были выде</w:t>
      </w:r>
      <w:r w:rsidRPr="00507A31">
        <w:rPr>
          <w:color w:val="000000" w:themeColor="text1"/>
          <w:sz w:val="16"/>
          <w:szCs w:val="16"/>
        </w:rPr>
        <w:softHyphen/>
        <w:t>лены особо. В связи с убедительностью и ин</w:t>
      </w:r>
      <w:r w:rsidRPr="00507A31">
        <w:rPr>
          <w:color w:val="000000" w:themeColor="text1"/>
          <w:sz w:val="16"/>
          <w:szCs w:val="16"/>
        </w:rPr>
        <w:softHyphen/>
        <w:t>формативностью документа, приведем зна</w:t>
      </w:r>
      <w:r w:rsidRPr="00507A31">
        <w:rPr>
          <w:color w:val="000000" w:themeColor="text1"/>
          <w:sz w:val="16"/>
          <w:szCs w:val="16"/>
        </w:rPr>
        <w:softHyphen/>
        <w:t>чительный его фрагмент, посвященный ука</w:t>
      </w:r>
      <w:r w:rsidRPr="00507A31">
        <w:rPr>
          <w:color w:val="000000" w:themeColor="text1"/>
          <w:sz w:val="16"/>
          <w:szCs w:val="16"/>
        </w:rPr>
        <w:softHyphen/>
        <w:t>занной проблеме:</w:t>
      </w:r>
    </w:p>
    <w:p w14:paraId="01E225CA" w14:textId="77777777" w:rsidR="00460879" w:rsidRPr="00507A31" w:rsidRDefault="00460879" w:rsidP="00507A31">
      <w:pPr>
        <w:jc w:val="both"/>
        <w:rPr>
          <w:color w:val="000000" w:themeColor="text1"/>
          <w:sz w:val="16"/>
          <w:szCs w:val="16"/>
        </w:rPr>
      </w:pPr>
      <w:r w:rsidRPr="00507A31">
        <w:rPr>
          <w:color w:val="000000" w:themeColor="text1"/>
          <w:sz w:val="16"/>
          <w:szCs w:val="16"/>
        </w:rPr>
        <w:t>«Вопрос с заводской окраской самолетов И-4 следует до сих пор считать разрешенным неудовлетворительно. К основным причи</w:t>
      </w:r>
      <w:r w:rsidRPr="00507A31">
        <w:rPr>
          <w:color w:val="000000" w:themeColor="text1"/>
          <w:sz w:val="16"/>
          <w:szCs w:val="16"/>
        </w:rPr>
        <w:softHyphen/>
        <w:t>нам этого относятся:</w:t>
      </w:r>
    </w:p>
    <w:p w14:paraId="5BD05CBF" w14:textId="77777777" w:rsidR="00460879" w:rsidRPr="00507A31" w:rsidRDefault="00460879" w:rsidP="00507A31">
      <w:pPr>
        <w:tabs>
          <w:tab w:val="left" w:pos="484"/>
        </w:tabs>
        <w:jc w:val="both"/>
        <w:rPr>
          <w:color w:val="000000" w:themeColor="text1"/>
          <w:sz w:val="16"/>
          <w:szCs w:val="16"/>
        </w:rPr>
      </w:pPr>
      <w:r w:rsidRPr="00507A31">
        <w:rPr>
          <w:color w:val="000000" w:themeColor="text1"/>
          <w:sz w:val="16"/>
          <w:szCs w:val="16"/>
        </w:rPr>
        <w:t>1)</w:t>
      </w:r>
      <w:r w:rsidRPr="00507A31">
        <w:rPr>
          <w:color w:val="000000" w:themeColor="text1"/>
          <w:sz w:val="16"/>
          <w:szCs w:val="16"/>
        </w:rPr>
        <w:tab/>
        <w:t>Недостаточно тщательная подготовка кольчугалюминия к окраске (плохая смыв</w:t>
      </w:r>
      <w:r w:rsidRPr="00507A31">
        <w:rPr>
          <w:color w:val="000000" w:themeColor="text1"/>
          <w:sz w:val="16"/>
          <w:szCs w:val="16"/>
        </w:rPr>
        <w:softHyphen/>
        <w:t>ка пыли, грязи и особенно жировых пятен и осадков после термической обработки дета</w:t>
      </w:r>
      <w:r w:rsidRPr="00507A31">
        <w:rPr>
          <w:color w:val="000000" w:themeColor="text1"/>
          <w:sz w:val="16"/>
          <w:szCs w:val="16"/>
        </w:rPr>
        <w:softHyphen/>
        <w:t>лей в селитровой ванне).</w:t>
      </w:r>
    </w:p>
    <w:p w14:paraId="6382E53A" w14:textId="77777777" w:rsidR="00460879" w:rsidRPr="00507A31" w:rsidRDefault="00460879" w:rsidP="00507A31">
      <w:pPr>
        <w:tabs>
          <w:tab w:val="left" w:pos="430"/>
        </w:tabs>
        <w:jc w:val="both"/>
        <w:rPr>
          <w:color w:val="000000" w:themeColor="text1"/>
          <w:sz w:val="16"/>
          <w:szCs w:val="16"/>
        </w:rPr>
      </w:pPr>
      <w:r w:rsidRPr="00507A31">
        <w:rPr>
          <w:color w:val="000000" w:themeColor="text1"/>
          <w:sz w:val="16"/>
          <w:szCs w:val="16"/>
        </w:rPr>
        <w:t>2)</w:t>
      </w:r>
      <w:r w:rsidRPr="00507A31">
        <w:rPr>
          <w:color w:val="000000" w:themeColor="text1"/>
          <w:sz w:val="16"/>
          <w:szCs w:val="16"/>
        </w:rPr>
        <w:tab/>
        <w:t>Производство операций по окраске са</w:t>
      </w:r>
      <w:r w:rsidRPr="00507A31">
        <w:rPr>
          <w:color w:val="000000" w:themeColor="text1"/>
          <w:sz w:val="16"/>
          <w:szCs w:val="16"/>
        </w:rPr>
        <w:softHyphen/>
        <w:t>молета в холодном и сыром помещении (тем</w:t>
      </w:r>
      <w:r w:rsidRPr="00507A31">
        <w:rPr>
          <w:color w:val="000000" w:themeColor="text1"/>
          <w:sz w:val="16"/>
          <w:szCs w:val="16"/>
        </w:rPr>
        <w:softHyphen/>
        <w:t>пература должна быть +20°С при влажности 40-50%).</w:t>
      </w:r>
    </w:p>
    <w:p w14:paraId="2FA0CABF" w14:textId="77777777" w:rsidR="00460879" w:rsidRPr="00507A31" w:rsidRDefault="00460879" w:rsidP="00507A31">
      <w:pPr>
        <w:tabs>
          <w:tab w:val="left" w:pos="448"/>
        </w:tabs>
        <w:jc w:val="both"/>
        <w:rPr>
          <w:color w:val="000000" w:themeColor="text1"/>
          <w:sz w:val="16"/>
          <w:szCs w:val="16"/>
        </w:rPr>
      </w:pPr>
      <w:r w:rsidRPr="00507A31">
        <w:rPr>
          <w:color w:val="000000" w:themeColor="text1"/>
          <w:sz w:val="16"/>
          <w:szCs w:val="16"/>
        </w:rPr>
        <w:t>3)</w:t>
      </w:r>
      <w:r w:rsidRPr="00507A31">
        <w:rPr>
          <w:color w:val="000000" w:themeColor="text1"/>
          <w:sz w:val="16"/>
          <w:szCs w:val="16"/>
        </w:rPr>
        <w:tab/>
        <w:t>Применение пульверизационного спо</w:t>
      </w:r>
      <w:r w:rsidRPr="00507A31">
        <w:rPr>
          <w:color w:val="000000" w:themeColor="text1"/>
          <w:sz w:val="16"/>
          <w:szCs w:val="16"/>
        </w:rPr>
        <w:softHyphen/>
        <w:t>соба при несовершенном оборудовании (от</w:t>
      </w:r>
      <w:r w:rsidRPr="00507A31">
        <w:rPr>
          <w:color w:val="000000" w:themeColor="text1"/>
          <w:sz w:val="16"/>
          <w:szCs w:val="16"/>
        </w:rPr>
        <w:softHyphen/>
        <w:t>сутствие специальных водо, масло и пылеу</w:t>
      </w:r>
      <w:r w:rsidRPr="00507A31">
        <w:rPr>
          <w:color w:val="000000" w:themeColor="text1"/>
          <w:sz w:val="16"/>
          <w:szCs w:val="16"/>
        </w:rPr>
        <w:softHyphen/>
        <w:t>лавливателей в магистралях воздухопрово</w:t>
      </w:r>
      <w:r w:rsidRPr="00507A31">
        <w:rPr>
          <w:color w:val="000000" w:themeColor="text1"/>
          <w:sz w:val="16"/>
          <w:szCs w:val="16"/>
        </w:rPr>
        <w:softHyphen/>
        <w:t>да, что загрязняет краску и допускает попа</w:t>
      </w:r>
      <w:r w:rsidRPr="00507A31">
        <w:rPr>
          <w:color w:val="000000" w:themeColor="text1"/>
          <w:sz w:val="16"/>
          <w:szCs w:val="16"/>
        </w:rPr>
        <w:softHyphen/>
        <w:t>дание в нее воды, чем ухудшается стойкость покрытия).</w:t>
      </w:r>
    </w:p>
    <w:p w14:paraId="468ED1B6" w14:textId="77777777" w:rsidR="00460879" w:rsidRPr="00507A31" w:rsidRDefault="00460879" w:rsidP="00507A31">
      <w:pPr>
        <w:tabs>
          <w:tab w:val="left" w:pos="452"/>
        </w:tabs>
        <w:jc w:val="both"/>
        <w:rPr>
          <w:color w:val="000000" w:themeColor="text1"/>
          <w:sz w:val="16"/>
          <w:szCs w:val="16"/>
        </w:rPr>
      </w:pPr>
      <w:r w:rsidRPr="00507A31">
        <w:rPr>
          <w:color w:val="000000" w:themeColor="text1"/>
          <w:sz w:val="16"/>
          <w:szCs w:val="16"/>
        </w:rPr>
        <w:t>4)</w:t>
      </w:r>
      <w:r w:rsidRPr="00507A31">
        <w:rPr>
          <w:color w:val="000000" w:themeColor="text1"/>
          <w:sz w:val="16"/>
          <w:szCs w:val="16"/>
        </w:rPr>
        <w:tab/>
        <w:t>Неудовлетворительность ассортимента красок и особенно предохранительного лака, изготовляемых заводом №36.</w:t>
      </w:r>
    </w:p>
    <w:p w14:paraId="7010022A" w14:textId="77777777" w:rsidR="00460879" w:rsidRPr="00507A31" w:rsidRDefault="00460879" w:rsidP="00507A31">
      <w:pPr>
        <w:jc w:val="both"/>
        <w:rPr>
          <w:color w:val="000000" w:themeColor="text1"/>
          <w:sz w:val="16"/>
          <w:szCs w:val="16"/>
        </w:rPr>
      </w:pPr>
      <w:r w:rsidRPr="00507A31">
        <w:rPr>
          <w:color w:val="000000" w:themeColor="text1"/>
          <w:sz w:val="16"/>
          <w:szCs w:val="16"/>
        </w:rPr>
        <w:t>В связи с изложенным нынешняя окраска и лакировка самолетов не являются доста</w:t>
      </w:r>
      <w:r w:rsidRPr="00507A31">
        <w:rPr>
          <w:color w:val="000000" w:themeColor="text1"/>
          <w:sz w:val="16"/>
          <w:szCs w:val="16"/>
        </w:rPr>
        <w:softHyphen/>
        <w:t>точно надежным консервирующим средст</w:t>
      </w:r>
      <w:r w:rsidRPr="00507A31">
        <w:rPr>
          <w:color w:val="000000" w:themeColor="text1"/>
          <w:sz w:val="16"/>
          <w:szCs w:val="16"/>
        </w:rPr>
        <w:softHyphen/>
        <w:t>вом кольчугалюминия от атмосферных вли</w:t>
      </w:r>
      <w:r w:rsidRPr="00507A31">
        <w:rPr>
          <w:color w:val="000000" w:themeColor="text1"/>
          <w:sz w:val="16"/>
          <w:szCs w:val="16"/>
        </w:rPr>
        <w:softHyphen/>
        <w:t>яний, и сильно затрудняет уход за самолетом.</w:t>
      </w:r>
    </w:p>
    <w:p w14:paraId="312FF74D" w14:textId="77777777" w:rsidR="00460879" w:rsidRPr="00507A31" w:rsidRDefault="00460879" w:rsidP="00507A31">
      <w:pPr>
        <w:jc w:val="both"/>
        <w:rPr>
          <w:color w:val="000000" w:themeColor="text1"/>
          <w:sz w:val="16"/>
          <w:szCs w:val="16"/>
        </w:rPr>
      </w:pPr>
      <w:r w:rsidRPr="00507A31">
        <w:rPr>
          <w:color w:val="000000" w:themeColor="text1"/>
          <w:sz w:val="16"/>
          <w:szCs w:val="16"/>
        </w:rPr>
        <w:t>Обычно при окраске самолетов дюрале</w:t>
      </w:r>
      <w:r w:rsidRPr="00507A31">
        <w:rPr>
          <w:color w:val="000000" w:themeColor="text1"/>
          <w:sz w:val="16"/>
          <w:szCs w:val="16"/>
        </w:rPr>
        <w:softHyphen/>
        <w:t>вой конструкции (например, окраска само</w:t>
      </w:r>
      <w:r w:rsidRPr="00507A31">
        <w:rPr>
          <w:color w:val="000000" w:themeColor="text1"/>
          <w:sz w:val="16"/>
          <w:szCs w:val="16"/>
        </w:rPr>
        <w:softHyphen/>
        <w:t>летов Юнкерса) с самолетов легко удалить не только пыль, но и масляные пятна. Пыль снимается мягкими волосяными щетками или чистой сухой ветошью, а масляные пят</w:t>
      </w:r>
      <w:r w:rsidRPr="00507A31">
        <w:rPr>
          <w:color w:val="000000" w:themeColor="text1"/>
          <w:sz w:val="16"/>
          <w:szCs w:val="16"/>
        </w:rPr>
        <w:softHyphen/>
        <w:t>на смываются чистой тряпкой, выжатой в те</w:t>
      </w:r>
      <w:r w:rsidRPr="00507A31">
        <w:rPr>
          <w:color w:val="000000" w:themeColor="text1"/>
          <w:sz w:val="16"/>
          <w:szCs w:val="16"/>
        </w:rPr>
        <w:softHyphen/>
        <w:t>плой воде, причем допускается предвари</w:t>
      </w:r>
      <w:r w:rsidRPr="00507A31">
        <w:rPr>
          <w:color w:val="000000" w:themeColor="text1"/>
          <w:sz w:val="16"/>
          <w:szCs w:val="16"/>
        </w:rPr>
        <w:softHyphen/>
        <w:t>тельное намыливание пятен бельевым мылом. Эту операцию предпочтительно произ</w:t>
      </w:r>
      <w:r w:rsidRPr="00507A31">
        <w:rPr>
          <w:color w:val="000000" w:themeColor="text1"/>
          <w:sz w:val="16"/>
          <w:szCs w:val="16"/>
        </w:rPr>
        <w:softHyphen/>
        <w:t>водить сейчас же после окончания полетов, пока масляные брызги и пятна не затверде</w:t>
      </w:r>
      <w:r w:rsidRPr="00507A31">
        <w:rPr>
          <w:color w:val="000000" w:themeColor="text1"/>
          <w:sz w:val="16"/>
          <w:szCs w:val="16"/>
        </w:rPr>
        <w:softHyphen/>
        <w:t>ли и, конечно, только в теплый период года. Зимой указанное мытье допускается только в отапливаемом помещении.</w:t>
      </w:r>
    </w:p>
    <w:p w14:paraId="182F0A22" w14:textId="77777777" w:rsidR="00460879" w:rsidRPr="00507A31" w:rsidRDefault="00460879" w:rsidP="00507A31">
      <w:pPr>
        <w:jc w:val="both"/>
        <w:rPr>
          <w:color w:val="000000" w:themeColor="text1"/>
          <w:sz w:val="16"/>
          <w:szCs w:val="16"/>
        </w:rPr>
      </w:pPr>
      <w:r w:rsidRPr="00507A31">
        <w:rPr>
          <w:color w:val="000000" w:themeColor="text1"/>
          <w:sz w:val="16"/>
          <w:szCs w:val="16"/>
        </w:rPr>
        <w:t>Применение зеленого мыла, соды, керо</w:t>
      </w:r>
      <w:r w:rsidRPr="00507A31">
        <w:rPr>
          <w:color w:val="000000" w:themeColor="text1"/>
          <w:sz w:val="16"/>
          <w:szCs w:val="16"/>
        </w:rPr>
        <w:softHyphen/>
        <w:t>сина воспрещается. Спирт является хоро</w:t>
      </w:r>
      <w:r w:rsidRPr="00507A31">
        <w:rPr>
          <w:color w:val="000000" w:themeColor="text1"/>
          <w:sz w:val="16"/>
          <w:szCs w:val="16"/>
        </w:rPr>
        <w:softHyphen/>
        <w:t>шим растворителем в отдельных случаях, когда с мылом пятна не сходят, применение спирта можно рекомендовать, но с учетом, что прочность краски при этом тоже пони</w:t>
      </w:r>
      <w:r w:rsidRPr="00507A31">
        <w:rPr>
          <w:color w:val="000000" w:themeColor="text1"/>
          <w:sz w:val="16"/>
          <w:szCs w:val="16"/>
        </w:rPr>
        <w:softHyphen/>
        <w:t>жается. Прибавлять к воде спирт нецелесо</w:t>
      </w:r>
      <w:r w:rsidRPr="00507A31">
        <w:rPr>
          <w:color w:val="000000" w:themeColor="text1"/>
          <w:sz w:val="16"/>
          <w:szCs w:val="16"/>
        </w:rPr>
        <w:softHyphen/>
        <w:t>образно, так как разбавленный спирт теря</w:t>
      </w:r>
      <w:r w:rsidRPr="00507A31">
        <w:rPr>
          <w:color w:val="000000" w:themeColor="text1"/>
          <w:sz w:val="16"/>
          <w:szCs w:val="16"/>
        </w:rPr>
        <w:softHyphen/>
        <w:t>ет свои свойства как растворитель масляных пятен, вода же не уменьшает свою жесткость.</w:t>
      </w:r>
    </w:p>
    <w:p w14:paraId="5FA486ED" w14:textId="77777777" w:rsidR="00460879" w:rsidRPr="00507A31" w:rsidRDefault="00460879" w:rsidP="00507A31">
      <w:pPr>
        <w:jc w:val="both"/>
        <w:rPr>
          <w:color w:val="000000" w:themeColor="text1"/>
          <w:sz w:val="16"/>
          <w:szCs w:val="16"/>
        </w:rPr>
      </w:pPr>
      <w:r w:rsidRPr="00507A31">
        <w:rPr>
          <w:color w:val="000000" w:themeColor="text1"/>
          <w:sz w:val="16"/>
          <w:szCs w:val="16"/>
        </w:rPr>
        <w:t>Бензин совершенно не растворяет масла (касторки) как и керосин, кроме того, быстро испаряясь, он портит верхнюю пленку краски, а затем, впиваясь в красочный слой, лишь за</w:t>
      </w:r>
      <w:r w:rsidRPr="00507A31">
        <w:rPr>
          <w:color w:val="000000" w:themeColor="text1"/>
          <w:sz w:val="16"/>
          <w:szCs w:val="16"/>
        </w:rPr>
        <w:softHyphen/>
        <w:t>крепляет масляные и грязевые пятна. Кроме того, керосин оставляет жировой слой, кото</w:t>
      </w:r>
      <w:r w:rsidRPr="00507A31">
        <w:rPr>
          <w:color w:val="000000" w:themeColor="text1"/>
          <w:sz w:val="16"/>
          <w:szCs w:val="16"/>
        </w:rPr>
        <w:softHyphen/>
        <w:t>рый способствует осаждению пыли.</w:t>
      </w:r>
    </w:p>
    <w:p w14:paraId="45D9245D" w14:textId="77777777" w:rsidR="00460879" w:rsidRPr="00507A31" w:rsidRDefault="00460879" w:rsidP="00507A31">
      <w:pPr>
        <w:jc w:val="both"/>
        <w:rPr>
          <w:color w:val="000000" w:themeColor="text1"/>
          <w:sz w:val="16"/>
          <w:szCs w:val="16"/>
        </w:rPr>
      </w:pPr>
      <w:r w:rsidRPr="00507A31">
        <w:rPr>
          <w:color w:val="000000" w:themeColor="text1"/>
          <w:sz w:val="16"/>
          <w:szCs w:val="16"/>
        </w:rPr>
        <w:lastRenderedPageBreak/>
        <w:t>В отношении самолетов И-4 Ю-6 по при</w:t>
      </w:r>
      <w:r w:rsidRPr="00507A31">
        <w:rPr>
          <w:color w:val="000000" w:themeColor="text1"/>
          <w:sz w:val="16"/>
          <w:szCs w:val="16"/>
        </w:rPr>
        <w:softHyphen/>
        <w:t>чине недоброкачественности заводской окраски и лакировки впредь до осуществле</w:t>
      </w:r>
      <w:r w:rsidRPr="00507A31">
        <w:rPr>
          <w:color w:val="000000" w:themeColor="text1"/>
          <w:sz w:val="16"/>
          <w:szCs w:val="16"/>
        </w:rPr>
        <w:softHyphen/>
        <w:t>ния полной перекраски самолетов новыми способами приходится ограничиваться тща</w:t>
      </w:r>
      <w:r w:rsidRPr="00507A31">
        <w:rPr>
          <w:color w:val="000000" w:themeColor="text1"/>
          <w:sz w:val="16"/>
          <w:szCs w:val="16"/>
        </w:rPr>
        <w:softHyphen/>
        <w:t>тельным удалением пыли мягкими волося</w:t>
      </w:r>
      <w:r w:rsidRPr="00507A31">
        <w:rPr>
          <w:color w:val="000000" w:themeColor="text1"/>
          <w:sz w:val="16"/>
          <w:szCs w:val="16"/>
        </w:rPr>
        <w:softHyphen/>
        <w:t>ными щетками, а масляные пятна смывать выжатыми тряпками с тем, чтобы при за</w:t>
      </w:r>
      <w:r w:rsidRPr="00507A31">
        <w:rPr>
          <w:color w:val="000000" w:themeColor="text1"/>
          <w:sz w:val="16"/>
          <w:szCs w:val="16"/>
        </w:rPr>
        <w:softHyphen/>
        <w:t>метном износе краски удалять ее вовсе и пе</w:t>
      </w:r>
      <w:r w:rsidRPr="00507A31">
        <w:rPr>
          <w:color w:val="000000" w:themeColor="text1"/>
          <w:sz w:val="16"/>
          <w:szCs w:val="16"/>
        </w:rPr>
        <w:softHyphen/>
        <w:t>рекрашивать это место заново. При невоз</w:t>
      </w:r>
      <w:r w:rsidRPr="00507A31">
        <w:rPr>
          <w:color w:val="000000" w:themeColor="text1"/>
          <w:sz w:val="16"/>
          <w:szCs w:val="16"/>
        </w:rPr>
        <w:softHyphen/>
        <w:t>можности перекраски и временного покры</w:t>
      </w:r>
      <w:r w:rsidRPr="00507A31">
        <w:rPr>
          <w:color w:val="000000" w:themeColor="text1"/>
          <w:sz w:val="16"/>
          <w:szCs w:val="16"/>
        </w:rPr>
        <w:softHyphen/>
        <w:t>тия предохранительным лаком, как времен</w:t>
      </w:r>
      <w:r w:rsidRPr="00507A31">
        <w:rPr>
          <w:color w:val="000000" w:themeColor="text1"/>
          <w:sz w:val="16"/>
          <w:szCs w:val="16"/>
        </w:rPr>
        <w:softHyphen/>
        <w:t>ная мера, на срок до 1 месяца, можно ограни</w:t>
      </w:r>
      <w:r w:rsidRPr="00507A31">
        <w:rPr>
          <w:color w:val="000000" w:themeColor="text1"/>
          <w:sz w:val="16"/>
          <w:szCs w:val="16"/>
        </w:rPr>
        <w:softHyphen/>
        <w:t>читься смывкой негодной краски (лака). Да</w:t>
      </w:r>
      <w:r w:rsidRPr="00507A31">
        <w:rPr>
          <w:color w:val="000000" w:themeColor="text1"/>
          <w:sz w:val="16"/>
          <w:szCs w:val="16"/>
        </w:rPr>
        <w:softHyphen/>
        <w:t>лее обнаженный кольчугалюминий тщатель</w:t>
      </w:r>
      <w:r w:rsidRPr="00507A31">
        <w:rPr>
          <w:color w:val="000000" w:themeColor="text1"/>
          <w:sz w:val="16"/>
          <w:szCs w:val="16"/>
        </w:rPr>
        <w:softHyphen/>
        <w:t>но промыть тряпкой, смоченной в бензине, и затем вытереть насухо чистыми тряпками, после чего по чистому кольчугалюминию втереть тонкий, но сплошной слой чистого вазелина, разбавленного бензином в следую</w:t>
      </w:r>
      <w:r w:rsidRPr="00507A31">
        <w:rPr>
          <w:color w:val="000000" w:themeColor="text1"/>
          <w:sz w:val="16"/>
          <w:szCs w:val="16"/>
        </w:rPr>
        <w:softHyphen/>
        <w:t>щей пропорции: вазелина 5%, бензина 95%.</w:t>
      </w:r>
    </w:p>
    <w:p w14:paraId="3654DDB3" w14:textId="77777777" w:rsidR="00460879" w:rsidRPr="00507A31" w:rsidRDefault="00460879" w:rsidP="00507A31">
      <w:pPr>
        <w:jc w:val="both"/>
        <w:rPr>
          <w:color w:val="000000" w:themeColor="text1"/>
          <w:sz w:val="16"/>
          <w:szCs w:val="16"/>
        </w:rPr>
      </w:pPr>
      <w:r w:rsidRPr="00507A31">
        <w:rPr>
          <w:color w:val="000000" w:themeColor="text1"/>
          <w:sz w:val="16"/>
          <w:szCs w:val="16"/>
        </w:rPr>
        <w:t>После окончания полетов, если эти места будут забрызганы маслом, указанную опера</w:t>
      </w:r>
      <w:r w:rsidRPr="00507A31">
        <w:rPr>
          <w:color w:val="000000" w:themeColor="text1"/>
          <w:sz w:val="16"/>
          <w:szCs w:val="16"/>
        </w:rPr>
        <w:softHyphen/>
        <w:t>цию надо повторить заново, а при перерывах в полетах это же необходимо осуществлять не реже, чем раз в 3-5 дней.</w:t>
      </w:r>
    </w:p>
    <w:p w14:paraId="70C9F4AA" w14:textId="77777777" w:rsidR="00460879" w:rsidRPr="00507A31" w:rsidRDefault="00460879" w:rsidP="00507A31">
      <w:pPr>
        <w:jc w:val="both"/>
        <w:rPr>
          <w:color w:val="000000" w:themeColor="text1"/>
          <w:sz w:val="16"/>
          <w:szCs w:val="16"/>
        </w:rPr>
      </w:pPr>
      <w:r w:rsidRPr="00507A31">
        <w:rPr>
          <w:color w:val="000000" w:themeColor="text1"/>
          <w:sz w:val="16"/>
          <w:szCs w:val="16"/>
        </w:rPr>
        <w:t>При отсутствии стандартных красок и лака разрешается перекрашивать и частично под</w:t>
      </w:r>
      <w:r w:rsidRPr="00507A31">
        <w:rPr>
          <w:color w:val="000000" w:themeColor="text1"/>
          <w:sz w:val="16"/>
          <w:szCs w:val="16"/>
        </w:rPr>
        <w:softHyphen/>
        <w:t>крашивать самолеты следующими красками и лаками:</w:t>
      </w:r>
    </w:p>
    <w:p w14:paraId="0EBC1965" w14:textId="77777777" w:rsidR="00460879" w:rsidRPr="00507A31" w:rsidRDefault="00460879" w:rsidP="00507A31">
      <w:pPr>
        <w:tabs>
          <w:tab w:val="left" w:pos="258"/>
        </w:tabs>
        <w:jc w:val="both"/>
        <w:rPr>
          <w:color w:val="000000" w:themeColor="text1"/>
          <w:sz w:val="16"/>
          <w:szCs w:val="16"/>
        </w:rPr>
      </w:pPr>
      <w:r w:rsidRPr="00507A31">
        <w:rPr>
          <w:color w:val="000000" w:themeColor="text1"/>
          <w:sz w:val="16"/>
          <w:szCs w:val="16"/>
        </w:rPr>
        <w:t>1.</w:t>
      </w:r>
      <w:r w:rsidRPr="00507A31">
        <w:rPr>
          <w:color w:val="000000" w:themeColor="text1"/>
          <w:sz w:val="16"/>
          <w:szCs w:val="16"/>
        </w:rPr>
        <w:tab/>
        <w:t>Олифа льняная №8 - 33%</w:t>
      </w:r>
    </w:p>
    <w:p w14:paraId="6126E013" w14:textId="77777777" w:rsidR="00460879" w:rsidRPr="00507A31" w:rsidRDefault="00460879" w:rsidP="00507A31">
      <w:pPr>
        <w:tabs>
          <w:tab w:val="left" w:pos="291"/>
        </w:tabs>
        <w:jc w:val="both"/>
        <w:rPr>
          <w:color w:val="000000" w:themeColor="text1"/>
          <w:sz w:val="16"/>
          <w:szCs w:val="16"/>
        </w:rPr>
      </w:pPr>
      <w:r w:rsidRPr="00507A31">
        <w:rPr>
          <w:color w:val="000000" w:themeColor="text1"/>
          <w:sz w:val="16"/>
          <w:szCs w:val="16"/>
        </w:rPr>
        <w:t>2.</w:t>
      </w:r>
      <w:r w:rsidRPr="00507A31">
        <w:rPr>
          <w:color w:val="000000" w:themeColor="text1"/>
          <w:sz w:val="16"/>
          <w:szCs w:val="16"/>
        </w:rPr>
        <w:tab/>
        <w:t>Цинковые белила «ООО» на голубую</w:t>
      </w:r>
    </w:p>
    <w:p w14:paraId="2B6F356F" w14:textId="77777777" w:rsidR="00460879" w:rsidRPr="00507A31" w:rsidRDefault="00460879" w:rsidP="00507A31">
      <w:pPr>
        <w:jc w:val="both"/>
        <w:rPr>
          <w:color w:val="000000" w:themeColor="text1"/>
          <w:sz w:val="16"/>
          <w:szCs w:val="16"/>
        </w:rPr>
      </w:pPr>
      <w:r w:rsidRPr="00507A31">
        <w:rPr>
          <w:color w:val="000000" w:themeColor="text1"/>
          <w:sz w:val="16"/>
          <w:szCs w:val="16"/>
        </w:rPr>
        <w:t>краску — 33%</w:t>
      </w:r>
    </w:p>
    <w:p w14:paraId="6461B8D1" w14:textId="77777777" w:rsidR="00460879" w:rsidRPr="00507A31" w:rsidRDefault="00460879" w:rsidP="00507A31">
      <w:pPr>
        <w:jc w:val="both"/>
        <w:rPr>
          <w:color w:val="000000" w:themeColor="text1"/>
          <w:sz w:val="16"/>
          <w:szCs w:val="16"/>
        </w:rPr>
      </w:pPr>
      <w:r w:rsidRPr="00507A31">
        <w:rPr>
          <w:color w:val="000000" w:themeColor="text1"/>
          <w:sz w:val="16"/>
          <w:szCs w:val="16"/>
        </w:rPr>
        <w:t>на защитную краску — 25%</w:t>
      </w:r>
    </w:p>
    <w:p w14:paraId="13FC0D6F" w14:textId="77777777" w:rsidR="00460879" w:rsidRPr="00507A31" w:rsidRDefault="00460879" w:rsidP="00507A31">
      <w:pPr>
        <w:tabs>
          <w:tab w:val="left" w:pos="291"/>
        </w:tabs>
        <w:jc w:val="both"/>
        <w:rPr>
          <w:color w:val="000000" w:themeColor="text1"/>
          <w:sz w:val="16"/>
          <w:szCs w:val="16"/>
        </w:rPr>
      </w:pPr>
      <w:r w:rsidRPr="00507A31">
        <w:rPr>
          <w:color w:val="000000" w:themeColor="text1"/>
          <w:sz w:val="16"/>
          <w:szCs w:val="16"/>
        </w:rPr>
        <w:t>3.</w:t>
      </w:r>
      <w:r w:rsidRPr="00507A31">
        <w:rPr>
          <w:color w:val="000000" w:themeColor="text1"/>
          <w:sz w:val="16"/>
          <w:szCs w:val="16"/>
        </w:rPr>
        <w:tab/>
        <w:t>Масляный лак № 17 и №25 на голубую</w:t>
      </w:r>
    </w:p>
    <w:p w14:paraId="479C1731" w14:textId="77777777" w:rsidR="00460879" w:rsidRPr="00507A31" w:rsidRDefault="00460879" w:rsidP="00507A31">
      <w:pPr>
        <w:jc w:val="both"/>
        <w:rPr>
          <w:color w:val="000000" w:themeColor="text1"/>
          <w:sz w:val="16"/>
          <w:szCs w:val="16"/>
        </w:rPr>
      </w:pPr>
      <w:r w:rsidRPr="00507A31">
        <w:rPr>
          <w:color w:val="000000" w:themeColor="text1"/>
          <w:sz w:val="16"/>
          <w:szCs w:val="16"/>
        </w:rPr>
        <w:t>краску — 38%</w:t>
      </w:r>
    </w:p>
    <w:p w14:paraId="4A3291A9" w14:textId="77777777" w:rsidR="00460879" w:rsidRPr="00507A31" w:rsidRDefault="00460879" w:rsidP="00507A31">
      <w:pPr>
        <w:jc w:val="both"/>
        <w:rPr>
          <w:color w:val="000000" w:themeColor="text1"/>
          <w:sz w:val="16"/>
          <w:szCs w:val="16"/>
        </w:rPr>
      </w:pPr>
      <w:r w:rsidRPr="00507A31">
        <w:rPr>
          <w:color w:val="000000" w:themeColor="text1"/>
          <w:sz w:val="16"/>
          <w:szCs w:val="16"/>
        </w:rPr>
        <w:t>на защитную краску - 50%</w:t>
      </w:r>
    </w:p>
    <w:p w14:paraId="110AD897" w14:textId="77777777" w:rsidR="00460879" w:rsidRPr="00507A31" w:rsidRDefault="00460879" w:rsidP="00507A31">
      <w:pPr>
        <w:tabs>
          <w:tab w:val="left" w:pos="302"/>
        </w:tabs>
        <w:jc w:val="both"/>
        <w:rPr>
          <w:color w:val="000000" w:themeColor="text1"/>
          <w:sz w:val="16"/>
          <w:szCs w:val="16"/>
        </w:rPr>
      </w:pPr>
      <w:r w:rsidRPr="00507A31">
        <w:rPr>
          <w:color w:val="000000" w:themeColor="text1"/>
          <w:sz w:val="16"/>
          <w:szCs w:val="16"/>
        </w:rPr>
        <w:t>4.</w:t>
      </w:r>
      <w:r w:rsidRPr="00507A31">
        <w:rPr>
          <w:color w:val="000000" w:themeColor="text1"/>
          <w:sz w:val="16"/>
          <w:szCs w:val="16"/>
        </w:rPr>
        <w:tab/>
        <w:t>Крон английский из расчета 200 г.</w:t>
      </w:r>
    </w:p>
    <w:p w14:paraId="6823C450" w14:textId="77777777" w:rsidR="00460879" w:rsidRPr="00507A31" w:rsidRDefault="00460879" w:rsidP="00507A31">
      <w:pPr>
        <w:jc w:val="both"/>
        <w:rPr>
          <w:color w:val="000000" w:themeColor="text1"/>
          <w:sz w:val="16"/>
          <w:szCs w:val="16"/>
        </w:rPr>
      </w:pPr>
      <w:r w:rsidRPr="00507A31">
        <w:rPr>
          <w:color w:val="000000" w:themeColor="text1"/>
          <w:sz w:val="16"/>
          <w:szCs w:val="16"/>
        </w:rPr>
        <w:t>на 1 кг.</w:t>
      </w:r>
    </w:p>
    <w:p w14:paraId="3F2F1864" w14:textId="77777777" w:rsidR="00460879" w:rsidRPr="00507A31" w:rsidRDefault="00460879" w:rsidP="00507A31">
      <w:pPr>
        <w:tabs>
          <w:tab w:val="left" w:pos="294"/>
        </w:tabs>
        <w:jc w:val="both"/>
        <w:rPr>
          <w:color w:val="000000" w:themeColor="text1"/>
          <w:sz w:val="16"/>
          <w:szCs w:val="16"/>
        </w:rPr>
      </w:pPr>
      <w:r w:rsidRPr="00507A31">
        <w:rPr>
          <w:color w:val="000000" w:themeColor="text1"/>
          <w:sz w:val="16"/>
          <w:szCs w:val="16"/>
        </w:rPr>
        <w:t>5.</w:t>
      </w:r>
      <w:r w:rsidRPr="00507A31">
        <w:rPr>
          <w:color w:val="000000" w:themeColor="text1"/>
          <w:sz w:val="16"/>
          <w:szCs w:val="16"/>
        </w:rPr>
        <w:tab/>
        <w:t>Милор 50 г. на 1 кг.</w:t>
      </w:r>
    </w:p>
    <w:p w14:paraId="0CC77A51" w14:textId="77777777" w:rsidR="00460879" w:rsidRPr="00507A31" w:rsidRDefault="00460879" w:rsidP="00507A31">
      <w:pPr>
        <w:tabs>
          <w:tab w:val="left" w:pos="284"/>
        </w:tabs>
        <w:jc w:val="both"/>
        <w:rPr>
          <w:color w:val="000000" w:themeColor="text1"/>
          <w:sz w:val="16"/>
          <w:szCs w:val="16"/>
        </w:rPr>
      </w:pPr>
      <w:r w:rsidRPr="00507A31">
        <w:rPr>
          <w:color w:val="000000" w:themeColor="text1"/>
          <w:sz w:val="16"/>
          <w:szCs w:val="16"/>
        </w:rPr>
        <w:t>6.</w:t>
      </w:r>
      <w:r w:rsidRPr="00507A31">
        <w:rPr>
          <w:color w:val="000000" w:themeColor="text1"/>
          <w:sz w:val="16"/>
          <w:szCs w:val="16"/>
        </w:rPr>
        <w:tab/>
        <w:t>Сажи или слоновой кости 50 г. на 1 кг.</w:t>
      </w:r>
    </w:p>
    <w:p w14:paraId="5BAC1B90" w14:textId="77777777" w:rsidR="00460879" w:rsidRPr="00507A31" w:rsidRDefault="00460879" w:rsidP="00507A31">
      <w:pPr>
        <w:tabs>
          <w:tab w:val="left" w:pos="291"/>
        </w:tabs>
        <w:jc w:val="both"/>
        <w:rPr>
          <w:color w:val="000000" w:themeColor="text1"/>
          <w:sz w:val="16"/>
          <w:szCs w:val="16"/>
        </w:rPr>
      </w:pPr>
      <w:r w:rsidRPr="00507A31">
        <w:rPr>
          <w:color w:val="000000" w:themeColor="text1"/>
          <w:sz w:val="16"/>
          <w:szCs w:val="16"/>
        </w:rPr>
        <w:t>7.</w:t>
      </w:r>
      <w:r w:rsidRPr="00507A31">
        <w:rPr>
          <w:color w:val="000000" w:themeColor="text1"/>
          <w:sz w:val="16"/>
          <w:szCs w:val="16"/>
        </w:rPr>
        <w:tab/>
        <w:t>Киноварь 50 г. на 1 кг.</w:t>
      </w:r>
    </w:p>
    <w:p w14:paraId="74AA4E9B" w14:textId="77777777" w:rsidR="00460879" w:rsidRPr="00507A31" w:rsidRDefault="00460879" w:rsidP="00507A31">
      <w:pPr>
        <w:tabs>
          <w:tab w:val="left" w:pos="276"/>
        </w:tabs>
        <w:jc w:val="both"/>
        <w:rPr>
          <w:color w:val="000000" w:themeColor="text1"/>
          <w:sz w:val="16"/>
          <w:szCs w:val="16"/>
        </w:rPr>
      </w:pPr>
      <w:r w:rsidRPr="00507A31">
        <w:rPr>
          <w:color w:val="000000" w:themeColor="text1"/>
          <w:sz w:val="16"/>
          <w:szCs w:val="16"/>
        </w:rPr>
        <w:t>8.</w:t>
      </w:r>
      <w:r w:rsidRPr="00507A31">
        <w:rPr>
          <w:color w:val="000000" w:themeColor="text1"/>
          <w:sz w:val="16"/>
          <w:szCs w:val="16"/>
        </w:rPr>
        <w:tab/>
        <w:t>Сиккатив №99 25 г. на 1 кг.</w:t>
      </w:r>
    </w:p>
    <w:p w14:paraId="449694B5" w14:textId="77777777" w:rsidR="00460879" w:rsidRPr="00507A31" w:rsidRDefault="00460879" w:rsidP="00507A31">
      <w:pPr>
        <w:jc w:val="both"/>
        <w:rPr>
          <w:color w:val="000000" w:themeColor="text1"/>
          <w:sz w:val="16"/>
          <w:szCs w:val="16"/>
        </w:rPr>
      </w:pPr>
      <w:r w:rsidRPr="00507A31">
        <w:rPr>
          <w:color w:val="000000" w:themeColor="text1"/>
          <w:sz w:val="16"/>
          <w:szCs w:val="16"/>
        </w:rPr>
        <w:t>Кроме того, для разжижения красок, выпу</w:t>
      </w:r>
      <w:r w:rsidRPr="00507A31">
        <w:rPr>
          <w:color w:val="000000" w:themeColor="text1"/>
          <w:sz w:val="16"/>
          <w:szCs w:val="16"/>
        </w:rPr>
        <w:softHyphen/>
        <w:t>скаемых заводом №36 в виде пасты средней густоты, можно воспользоваться смесью двух частей льняной олифы, 3-х частей светлого скипидара и 0,5 частей сиккатива.</w:t>
      </w:r>
    </w:p>
    <w:p w14:paraId="5FD3BC18" w14:textId="77777777" w:rsidR="00460879" w:rsidRPr="00507A31" w:rsidRDefault="00460879" w:rsidP="00507A31">
      <w:pPr>
        <w:jc w:val="both"/>
        <w:rPr>
          <w:color w:val="000000" w:themeColor="text1"/>
          <w:sz w:val="16"/>
          <w:szCs w:val="16"/>
        </w:rPr>
      </w:pPr>
      <w:r w:rsidRPr="00507A31">
        <w:rPr>
          <w:color w:val="000000" w:themeColor="text1"/>
          <w:sz w:val="16"/>
          <w:szCs w:val="16"/>
        </w:rPr>
        <w:t>При разжижении краски необходимо ее размешивать до получения полной цвето</w:t>
      </w:r>
      <w:r w:rsidRPr="00507A31">
        <w:rPr>
          <w:color w:val="000000" w:themeColor="text1"/>
          <w:sz w:val="16"/>
          <w:szCs w:val="16"/>
        </w:rPr>
        <w:softHyphen/>
        <w:t>вой однородности. В остальном следует ру</w:t>
      </w:r>
      <w:r w:rsidRPr="00507A31">
        <w:rPr>
          <w:color w:val="000000" w:themeColor="text1"/>
          <w:sz w:val="16"/>
          <w:szCs w:val="16"/>
        </w:rPr>
        <w:softHyphen/>
        <w:t>ководствоваться циркуляром ТЭИ №!02/с. от 14.3.30 г.</w:t>
      </w:r>
    </w:p>
    <w:p w14:paraId="58E3C47A" w14:textId="77777777" w:rsidR="00460879" w:rsidRPr="00507A31" w:rsidRDefault="00460879" w:rsidP="00507A31">
      <w:pPr>
        <w:jc w:val="both"/>
        <w:rPr>
          <w:color w:val="000000" w:themeColor="text1"/>
          <w:sz w:val="16"/>
          <w:szCs w:val="16"/>
        </w:rPr>
      </w:pPr>
      <w:r w:rsidRPr="00507A31">
        <w:rPr>
          <w:color w:val="000000" w:themeColor="text1"/>
          <w:sz w:val="16"/>
          <w:szCs w:val="16"/>
        </w:rPr>
        <w:t>В случае обнаружения признаков появле</w:t>
      </w:r>
      <w:r w:rsidRPr="00507A31">
        <w:rPr>
          <w:color w:val="000000" w:themeColor="text1"/>
          <w:sz w:val="16"/>
          <w:szCs w:val="16"/>
        </w:rPr>
        <w:softHyphen/>
        <w:t>ния коррозии (обычно в виде белой порош</w:t>
      </w:r>
      <w:r w:rsidRPr="00507A31">
        <w:rPr>
          <w:color w:val="000000" w:themeColor="text1"/>
          <w:sz w:val="16"/>
          <w:szCs w:val="16"/>
        </w:rPr>
        <w:softHyphen/>
        <w:t>кообразной наружной высыпки или разной формы почернений и пятен) младший авиа</w:t>
      </w:r>
      <w:r w:rsidRPr="00507A31">
        <w:rPr>
          <w:color w:val="000000" w:themeColor="text1"/>
          <w:sz w:val="16"/>
          <w:szCs w:val="16"/>
        </w:rPr>
        <w:softHyphen/>
        <w:t>техник обязан немедленно доложить летчику и старшему авиатехнику с тем, чтобы в тот же день получить конкретные указания о спосо</w:t>
      </w:r>
      <w:r w:rsidRPr="00507A31">
        <w:rPr>
          <w:color w:val="000000" w:themeColor="text1"/>
          <w:sz w:val="16"/>
          <w:szCs w:val="16"/>
        </w:rPr>
        <w:softHyphen/>
        <w:t>бе предохранения самолетов от коррозийно</w:t>
      </w:r>
      <w:r w:rsidRPr="00507A31">
        <w:rPr>
          <w:color w:val="000000" w:themeColor="text1"/>
          <w:sz w:val="16"/>
          <w:szCs w:val="16"/>
        </w:rPr>
        <w:softHyphen/>
        <w:t>го разрушения.</w:t>
      </w:r>
    </w:p>
    <w:p w14:paraId="34F55B68" w14:textId="77777777" w:rsidR="00460879" w:rsidRPr="00507A31" w:rsidRDefault="00460879" w:rsidP="00507A31">
      <w:pPr>
        <w:jc w:val="both"/>
        <w:rPr>
          <w:color w:val="000000" w:themeColor="text1"/>
          <w:sz w:val="16"/>
          <w:szCs w:val="16"/>
        </w:rPr>
      </w:pPr>
      <w:r w:rsidRPr="00507A31">
        <w:rPr>
          <w:color w:val="000000" w:themeColor="text1"/>
          <w:sz w:val="16"/>
          <w:szCs w:val="16"/>
        </w:rPr>
        <w:t>Наиболее простой способ состоит в следу</w:t>
      </w:r>
      <w:r w:rsidRPr="00507A31">
        <w:rPr>
          <w:color w:val="000000" w:themeColor="text1"/>
          <w:sz w:val="16"/>
          <w:szCs w:val="16"/>
        </w:rPr>
        <w:softHyphen/>
        <w:t>ющем:</w:t>
      </w:r>
    </w:p>
    <w:p w14:paraId="43C06B83" w14:textId="77777777" w:rsidR="00460879" w:rsidRPr="00507A31" w:rsidRDefault="00460879" w:rsidP="00507A31">
      <w:pPr>
        <w:jc w:val="both"/>
        <w:rPr>
          <w:color w:val="000000" w:themeColor="text1"/>
          <w:sz w:val="16"/>
          <w:szCs w:val="16"/>
        </w:rPr>
      </w:pPr>
      <w:r w:rsidRPr="00507A31">
        <w:rPr>
          <w:color w:val="000000" w:themeColor="text1"/>
          <w:sz w:val="16"/>
          <w:szCs w:val="16"/>
        </w:rPr>
        <w:t>Окраска или лак в месте обнаружения при</w:t>
      </w:r>
      <w:r w:rsidRPr="00507A31">
        <w:rPr>
          <w:color w:val="000000" w:themeColor="text1"/>
          <w:sz w:val="16"/>
          <w:szCs w:val="16"/>
        </w:rPr>
        <w:softHyphen/>
        <w:t>знаков коррозии удаляется волосяными щет</w:t>
      </w:r>
      <w:r w:rsidRPr="00507A31">
        <w:rPr>
          <w:color w:val="000000" w:themeColor="text1"/>
          <w:sz w:val="16"/>
          <w:szCs w:val="16"/>
        </w:rPr>
        <w:softHyphen/>
        <w:t>ками, смоченными в бензине или бензоле. В целях предотвращения протекания бензи</w:t>
      </w:r>
      <w:r w:rsidRPr="00507A31">
        <w:rPr>
          <w:color w:val="000000" w:themeColor="text1"/>
          <w:sz w:val="16"/>
          <w:szCs w:val="16"/>
        </w:rPr>
        <w:softHyphen/>
        <w:t>на во внутренние детали хорошо воспользо</w:t>
      </w:r>
      <w:r w:rsidRPr="00507A31">
        <w:rPr>
          <w:color w:val="000000" w:themeColor="text1"/>
          <w:sz w:val="16"/>
          <w:szCs w:val="16"/>
        </w:rPr>
        <w:softHyphen/>
        <w:t>ваться древесными опилками, смоченными в бензине. Если бензин оказывается недоста</w:t>
      </w:r>
      <w:r w:rsidRPr="00507A31">
        <w:rPr>
          <w:color w:val="000000" w:themeColor="text1"/>
          <w:sz w:val="16"/>
          <w:szCs w:val="16"/>
        </w:rPr>
        <w:softHyphen/>
        <w:t>точным средством для смывки окраски и ла</w:t>
      </w:r>
      <w:r w:rsidRPr="00507A31">
        <w:rPr>
          <w:color w:val="000000" w:themeColor="text1"/>
          <w:sz w:val="16"/>
          <w:szCs w:val="16"/>
        </w:rPr>
        <w:softHyphen/>
        <w:t>ка, то следует воспользоваться специальной смывкой «Дюраль» или смесью скипидара 50% и древесного спирта 50%.</w:t>
      </w:r>
    </w:p>
    <w:p w14:paraId="47E96C69" w14:textId="77777777" w:rsidR="00460879" w:rsidRPr="00507A31" w:rsidRDefault="00460879" w:rsidP="00507A31">
      <w:pPr>
        <w:jc w:val="both"/>
        <w:rPr>
          <w:color w:val="000000" w:themeColor="text1"/>
          <w:sz w:val="16"/>
          <w:szCs w:val="16"/>
        </w:rPr>
      </w:pPr>
      <w:r w:rsidRPr="00507A31">
        <w:rPr>
          <w:color w:val="000000" w:themeColor="text1"/>
          <w:sz w:val="16"/>
          <w:szCs w:val="16"/>
        </w:rPr>
        <w:t>Место, удаленное от краски (лака), зачи</w:t>
      </w:r>
      <w:r w:rsidRPr="00507A31">
        <w:rPr>
          <w:color w:val="000000" w:themeColor="text1"/>
          <w:sz w:val="16"/>
          <w:szCs w:val="16"/>
        </w:rPr>
        <w:softHyphen/>
        <w:t>щается бархатной шкуркой (наждачная бу</w:t>
      </w:r>
      <w:r w:rsidRPr="00507A31">
        <w:rPr>
          <w:color w:val="000000" w:themeColor="text1"/>
          <w:sz w:val="16"/>
          <w:szCs w:val="16"/>
        </w:rPr>
        <w:softHyphen/>
        <w:t>мага №0) и пемзой с тем, чтобы поверхность стала блестяще чистой, после чего ее тща</w:t>
      </w:r>
      <w:r w:rsidRPr="00507A31">
        <w:rPr>
          <w:color w:val="000000" w:themeColor="text1"/>
          <w:sz w:val="16"/>
          <w:szCs w:val="16"/>
        </w:rPr>
        <w:softHyphen/>
        <w:t>тельно промывают бензином.</w:t>
      </w:r>
    </w:p>
    <w:p w14:paraId="60F0E098" w14:textId="77777777" w:rsidR="00460879" w:rsidRPr="00507A31" w:rsidRDefault="00460879" w:rsidP="00507A31">
      <w:pPr>
        <w:jc w:val="both"/>
        <w:rPr>
          <w:color w:val="000000" w:themeColor="text1"/>
          <w:sz w:val="16"/>
          <w:szCs w:val="16"/>
        </w:rPr>
      </w:pPr>
      <w:r w:rsidRPr="00507A31">
        <w:rPr>
          <w:color w:val="000000" w:themeColor="text1"/>
          <w:sz w:val="16"/>
          <w:szCs w:val="16"/>
        </w:rPr>
        <w:t>Если при осмотре дефектного места с по</w:t>
      </w:r>
      <w:r w:rsidRPr="00507A31">
        <w:rPr>
          <w:color w:val="000000" w:themeColor="text1"/>
          <w:sz w:val="16"/>
          <w:szCs w:val="16"/>
        </w:rPr>
        <w:softHyphen/>
        <w:t>мощью увеличительного стекла не окажется никаких следов коррозии, то его вновь и сей</w:t>
      </w:r>
      <w:r w:rsidRPr="00507A31">
        <w:rPr>
          <w:color w:val="000000" w:themeColor="text1"/>
          <w:sz w:val="16"/>
          <w:szCs w:val="16"/>
        </w:rPr>
        <w:softHyphen/>
        <w:t>час же следует окрасить. В зимнее время, при невозможности воспользоваться теплым по</w:t>
      </w:r>
      <w:r w:rsidRPr="00507A31">
        <w:rPr>
          <w:color w:val="000000" w:themeColor="text1"/>
          <w:sz w:val="16"/>
          <w:szCs w:val="16"/>
        </w:rPr>
        <w:softHyphen/>
        <w:t>мещением, достаточно покрыть прозрачным масляным лаком №17 или №24, облегчаю</w:t>
      </w:r>
      <w:r w:rsidRPr="00507A31">
        <w:rPr>
          <w:color w:val="000000" w:themeColor="text1"/>
          <w:sz w:val="16"/>
          <w:szCs w:val="16"/>
        </w:rPr>
        <w:softHyphen/>
        <w:t>щим повседневный дальнейший контроль и являющимся для внутренних деталей наде</w:t>
      </w:r>
      <w:r w:rsidRPr="00507A31">
        <w:rPr>
          <w:color w:val="000000" w:themeColor="text1"/>
          <w:sz w:val="16"/>
          <w:szCs w:val="16"/>
        </w:rPr>
        <w:softHyphen/>
        <w:t>жным консервирующим средством; для на</w:t>
      </w:r>
      <w:r w:rsidRPr="00507A31">
        <w:rPr>
          <w:color w:val="000000" w:themeColor="text1"/>
          <w:sz w:val="16"/>
          <w:szCs w:val="16"/>
        </w:rPr>
        <w:softHyphen/>
        <w:t>ружного покрытия его необходимо периоди</w:t>
      </w:r>
      <w:r w:rsidRPr="00507A31">
        <w:rPr>
          <w:color w:val="000000" w:themeColor="text1"/>
          <w:sz w:val="16"/>
          <w:szCs w:val="16"/>
        </w:rPr>
        <w:softHyphen/>
        <w:t>чески освежать» (12295).</w:t>
      </w:r>
    </w:p>
    <w:p w14:paraId="13E50901" w14:textId="77777777" w:rsidR="00460879" w:rsidRPr="00507A31" w:rsidRDefault="00460879" w:rsidP="00507A31">
      <w:pPr>
        <w:jc w:val="both"/>
        <w:rPr>
          <w:color w:val="000000" w:themeColor="text1"/>
          <w:sz w:val="16"/>
          <w:szCs w:val="16"/>
        </w:rPr>
      </w:pPr>
    </w:p>
    <w:p w14:paraId="54972069" w14:textId="77777777" w:rsidR="007507C4" w:rsidRPr="00507A31" w:rsidRDefault="007507C4" w:rsidP="00507A31">
      <w:pPr>
        <w:pStyle w:val="rteindent11"/>
        <w:shd w:val="clear" w:color="auto" w:fill="FFFFFF"/>
        <w:spacing w:before="0" w:beforeAutospacing="0" w:after="0"/>
        <w:ind w:left="0" w:firstLine="0"/>
        <w:rPr>
          <w:rStyle w:val="a7"/>
          <w:rFonts w:eastAsiaTheme="majorEastAsia"/>
          <w:b w:val="0"/>
          <w:color w:val="000000" w:themeColor="text1"/>
          <w:sz w:val="16"/>
          <w:szCs w:val="16"/>
        </w:rPr>
      </w:pPr>
      <w:r w:rsidRPr="00507A31">
        <w:rPr>
          <w:rStyle w:val="a7"/>
          <w:rFonts w:eastAsiaTheme="majorEastAsia"/>
          <w:b w:val="0"/>
          <w:color w:val="000000" w:themeColor="text1"/>
          <w:sz w:val="16"/>
          <w:szCs w:val="16"/>
        </w:rPr>
        <w:t>С марта 1930 года проектировал свой истребитель и Р.Л. Бартини, переведенный в ЦКБ с группой морского самолетостроения. Роберто Людовигович предполагал создать одноместный экспериментальный истребитель-моноплан ЭИ с убираемым одноколесным шасси, который мог развивать максимальную скорость 450 км/ч и набирать высоту 5000 метров за 3,5 минуты. Для отработки механизма уборки шасси и проверки общей идеи своего самолета Бартини предложил использовать один из построенных истребителей И-1, работы по которым были прекращены в связи с арестом их конструктора Н.Н. Поликарпова. Самолет был доставлен на завод № 39, на этом все и закончилось. За докладную записку, направленную Бартини в ЦК ВКП(б), в которой он объяснял бессмысленность «коллективизации» в конструировании самолетов, его группу распустили, а самого Бартини уволили (15223).</w:t>
      </w:r>
    </w:p>
    <w:p w14:paraId="44C34D10" w14:textId="77777777" w:rsidR="007507C4" w:rsidRPr="00507A31" w:rsidRDefault="007507C4" w:rsidP="00507A31">
      <w:pPr>
        <w:pStyle w:val="rteindent11"/>
        <w:shd w:val="clear" w:color="auto" w:fill="FFFFFF"/>
        <w:spacing w:before="0" w:beforeAutospacing="0" w:after="0"/>
        <w:ind w:left="0" w:firstLine="0"/>
        <w:rPr>
          <w:rStyle w:val="a7"/>
          <w:rFonts w:eastAsiaTheme="majorEastAsia"/>
          <w:b w:val="0"/>
          <w:color w:val="000000" w:themeColor="text1"/>
          <w:sz w:val="16"/>
          <w:szCs w:val="16"/>
        </w:rPr>
      </w:pPr>
    </w:p>
    <w:p w14:paraId="13702E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г. на заводе № 67 НКТП был образован научно-исследовательский отдел - НИО завода № 67, до 1938 г. остававшийся в СССР ведущей научно-исследовательской и проектно-конструкторской организацией по разработке авиационного бомбового вооружения. Начальником НИО был инженер Флейшман, главным конструктором - Н.Л.Соловьев, главным химиком - В.А.Преображенский, а главным технологом - Н.П.Васильев. Здесь уже трудились такие прославившиеся впоследствии специалисты, как В.И.Сассапарель, М.Н.Трусов, Г.А.Талдыкин, Б.В.Кудрявцев, С.П.Кунцевич, А.И.Зверев, В.М.Виноградов и др (7453).</w:t>
      </w:r>
    </w:p>
    <w:p w14:paraId="51B062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изготовления и испытания опытных образцов авиабомб в НИО завода № 67 создали опытный механический цех, возглавляемый К.Ф.Носовым, испытательную станцию со снаряжательными мастерскими, где начальником был А.И.Таранов, и летную станцию во главе с А.Ф.Турахиным. Завод № 67 НКТП, где начальником в то время был Крынкин, полностью перепрофилировали на производство корпусов авиабомб. Это предприятие оказывало всемерную помощь опытному производству своего НИО (7453).</w:t>
      </w:r>
    </w:p>
    <w:p w14:paraId="76AEA7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Несмотря на то, что тогда в СССР еще не существовало теории проектирования авиабомб, конструкторы НИО завода № 67 в 1931-1932 гг. разработали и сдали на вооружение фугасные авиабомбы калибрами 50, 100, 250, 500 и 1000 кг. Еще два года спустя на вооружение ВВС РККА поступила и фугасная авиабомба калибром 2000 кг, разработанная там же. В дальнейшем обострение международной обстановки и перевооружение бомбардировочной авиации СССР новыми машинами потребовали резко увеличить объем тематики НИР и ОКР в области авиационного бомбового вооружения (7453).</w:t>
      </w:r>
    </w:p>
    <w:p w14:paraId="256EE316" w14:textId="77777777" w:rsidR="00537E5F" w:rsidRPr="00507A31" w:rsidRDefault="00537E5F" w:rsidP="00507A31">
      <w:pPr>
        <w:autoSpaceDE w:val="0"/>
        <w:autoSpaceDN w:val="0"/>
        <w:adjustRightInd w:val="0"/>
        <w:jc w:val="both"/>
        <w:rPr>
          <w:color w:val="000000" w:themeColor="text1"/>
          <w:sz w:val="16"/>
          <w:szCs w:val="16"/>
        </w:rPr>
      </w:pPr>
    </w:p>
    <w:p w14:paraId="2A0A7E9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FA61D4C" w14:textId="77777777" w:rsidR="00537E5F" w:rsidRPr="00507A31" w:rsidRDefault="00537E5F" w:rsidP="00507A31">
      <w:pPr>
        <w:autoSpaceDE w:val="0"/>
        <w:autoSpaceDN w:val="0"/>
        <w:adjustRightInd w:val="0"/>
        <w:jc w:val="both"/>
        <w:rPr>
          <w:iCs/>
          <w:color w:val="000000" w:themeColor="text1"/>
          <w:sz w:val="16"/>
          <w:szCs w:val="16"/>
        </w:rPr>
      </w:pPr>
    </w:p>
    <w:p w14:paraId="52BED549" w14:textId="77777777" w:rsidR="00D11EB7" w:rsidRPr="00507A31" w:rsidRDefault="00D11EB7" w:rsidP="00507A31">
      <w:pPr>
        <w:pStyle w:val="ae"/>
        <w:spacing w:before="0" w:after="0"/>
        <w:jc w:val="both"/>
        <w:rPr>
          <w:color w:val="000000" w:themeColor="text1"/>
          <w:sz w:val="16"/>
          <w:szCs w:val="16"/>
        </w:rPr>
      </w:pPr>
      <w:r w:rsidRPr="00507A31">
        <w:rPr>
          <w:color w:val="000000" w:themeColor="text1"/>
          <w:sz w:val="16"/>
          <w:szCs w:val="16"/>
        </w:rPr>
        <w:t>По итогам мартовского, 1930 года, конкурса Реввоенсоветом рассматривалось решение о промышленном производстве опытной партии винтовок Дегтярёва, «для ускорения внедрения в войска индивидуального автоматического оружия». 28 декабря научно-техническим комитетом Артуправления дегтярёвскому детищу было пожаловано официальное наименование «7,62-мм самозарядная винтовка обр. 1930 года». Но уже в следующем, 1931-м,  на звание абсолютного лидера стала претендовать новая система ковровца С.Г. Симонова, полностью автоматическая…(17344).</w:t>
      </w:r>
    </w:p>
    <w:p w14:paraId="7E0921EA" w14:textId="77777777" w:rsidR="00D11EB7" w:rsidRPr="00507A31" w:rsidRDefault="00D11EB7" w:rsidP="00507A31">
      <w:pPr>
        <w:pStyle w:val="ae"/>
        <w:spacing w:before="0" w:after="0"/>
        <w:jc w:val="both"/>
        <w:rPr>
          <w:color w:val="000000" w:themeColor="text1"/>
          <w:sz w:val="16"/>
          <w:szCs w:val="16"/>
        </w:rPr>
      </w:pPr>
    </w:p>
    <w:p w14:paraId="3F670A64" w14:textId="77777777" w:rsidR="005E0B98" w:rsidRPr="00507A31" w:rsidRDefault="005E0B98" w:rsidP="00507A31">
      <w:pPr>
        <w:pStyle w:val="ae"/>
        <w:spacing w:before="0" w:after="0"/>
        <w:jc w:val="both"/>
        <w:rPr>
          <w:color w:val="000000" w:themeColor="text1"/>
          <w:sz w:val="16"/>
          <w:szCs w:val="16"/>
        </w:rPr>
      </w:pPr>
      <w:r w:rsidRPr="00507A31">
        <w:rPr>
          <w:color w:val="000000" w:themeColor="text1"/>
          <w:sz w:val="16"/>
          <w:szCs w:val="16"/>
        </w:rPr>
        <w:t>В марте 1930 года институт Гипромез (Государственный институт по проектированию металлических заводов ВСНХ СССР) заключил с американской проектно-строительной фирмой «Мак-Ки» (</w:t>
      </w:r>
      <w:hyperlink r:id="rId63" w:tooltip="Английский язык" w:history="1">
        <w:r w:rsidRPr="00507A31">
          <w:rPr>
            <w:rStyle w:val="a5"/>
            <w:rFonts w:eastAsiaTheme="majorEastAsia"/>
            <w:color w:val="000000" w:themeColor="text1"/>
            <w:sz w:val="16"/>
            <w:szCs w:val="16"/>
            <w:u w:val="none"/>
          </w:rPr>
          <w:t>англ.</w:t>
        </w:r>
      </w:hyperlink>
      <w:r w:rsidRPr="00507A31">
        <w:rPr>
          <w:color w:val="000000" w:themeColor="text1"/>
          <w:sz w:val="16"/>
          <w:szCs w:val="16"/>
        </w:rPr>
        <w:t> </w:t>
      </w:r>
      <w:r w:rsidRPr="00507A31">
        <w:rPr>
          <w:iCs/>
          <w:color w:val="000000" w:themeColor="text1"/>
          <w:sz w:val="16"/>
          <w:szCs w:val="16"/>
        </w:rPr>
        <w:t>ArthurMcKeeCompany</w:t>
      </w:r>
      <w:r w:rsidRPr="00507A31">
        <w:rPr>
          <w:color w:val="000000" w:themeColor="text1"/>
          <w:sz w:val="16"/>
          <w:szCs w:val="16"/>
        </w:rPr>
        <w:t xml:space="preserve">) из </w:t>
      </w:r>
      <w:hyperlink r:id="rId64" w:tooltip="Кливленд" w:history="1">
        <w:r w:rsidRPr="00507A31">
          <w:rPr>
            <w:rStyle w:val="a5"/>
            <w:rFonts w:eastAsiaTheme="majorEastAsia"/>
            <w:color w:val="000000" w:themeColor="text1"/>
            <w:sz w:val="16"/>
            <w:szCs w:val="16"/>
            <w:u w:val="none"/>
          </w:rPr>
          <w:t>Кливленда</w:t>
        </w:r>
      </w:hyperlink>
      <w:r w:rsidRPr="00507A31">
        <w:rPr>
          <w:color w:val="000000" w:themeColor="text1"/>
          <w:sz w:val="16"/>
          <w:szCs w:val="16"/>
        </w:rPr>
        <w:t xml:space="preserve"> договор на проектирование и общее руководство строительством Магнитогорского металлургического комбината. Первая группа специалистов фирмы во главе с помощником директора фирмы Струвеном и главным инженером Мурреем прибыла в СССР в мае 1930 года. Специалисты «Мак-Ки» разработали генеральный план комбината, который был увеличенным вариантом аналогичного завода </w:t>
      </w:r>
      <w:hyperlink r:id="rId65" w:tooltip="en:U.S. Steel" w:history="1">
        <w:r w:rsidRPr="00507A31">
          <w:rPr>
            <w:rStyle w:val="a5"/>
            <w:rFonts w:eastAsiaTheme="majorEastAsia"/>
            <w:color w:val="000000" w:themeColor="text1"/>
            <w:sz w:val="16"/>
            <w:szCs w:val="16"/>
            <w:u w:val="none"/>
          </w:rPr>
          <w:t>U.S. Steel</w:t>
        </w:r>
      </w:hyperlink>
      <w:r w:rsidRPr="00507A31">
        <w:rPr>
          <w:color w:val="000000" w:themeColor="text1"/>
          <w:sz w:val="16"/>
          <w:szCs w:val="16"/>
        </w:rPr>
        <w:t xml:space="preserve"> в городе </w:t>
      </w:r>
      <w:hyperlink r:id="rId66" w:tooltip="Гэри (Индиана)" w:history="1">
        <w:r w:rsidRPr="00507A31">
          <w:rPr>
            <w:rStyle w:val="a5"/>
            <w:rFonts w:eastAsiaTheme="majorEastAsia"/>
            <w:color w:val="000000" w:themeColor="text1"/>
            <w:sz w:val="16"/>
            <w:szCs w:val="16"/>
            <w:u w:val="none"/>
          </w:rPr>
          <w:t>Гэри</w:t>
        </w:r>
      </w:hyperlink>
      <w:r w:rsidRPr="00507A31">
        <w:rPr>
          <w:color w:val="000000" w:themeColor="text1"/>
          <w:sz w:val="16"/>
          <w:szCs w:val="16"/>
        </w:rPr>
        <w:t xml:space="preserve"> (штат Индиана). Вместе с тем фирма не смогла в обозначенный в договоре срок разработать все необходимые чертежи, и постановлениями </w:t>
      </w:r>
      <w:hyperlink r:id="rId67" w:tooltip="ВСНХ СССР" w:history="1">
        <w:r w:rsidRPr="00507A31">
          <w:rPr>
            <w:rStyle w:val="a5"/>
            <w:rFonts w:eastAsiaTheme="majorEastAsia"/>
            <w:color w:val="000000" w:themeColor="text1"/>
            <w:sz w:val="16"/>
            <w:szCs w:val="16"/>
            <w:u w:val="none"/>
          </w:rPr>
          <w:t>ВСНХ СССР</w:t>
        </w:r>
      </w:hyperlink>
      <w:r w:rsidRPr="00507A31">
        <w:rPr>
          <w:color w:val="000000" w:themeColor="text1"/>
          <w:sz w:val="16"/>
          <w:szCs w:val="16"/>
        </w:rPr>
        <w:t xml:space="preserve"> от 24 декабря 1930 года и ЦК ВКП(б) от 25 января 1931 года проектирование было передано советским проектным организациям</w:t>
      </w:r>
      <w:hyperlink r:id="rId68" w:anchor="cite_note-3" w:history="1">
        <w:r w:rsidRPr="00507A31">
          <w:rPr>
            <w:rStyle w:val="a5"/>
            <w:rFonts w:eastAsiaTheme="majorEastAsia"/>
            <w:color w:val="000000" w:themeColor="text1"/>
            <w:sz w:val="16"/>
            <w:szCs w:val="16"/>
            <w:u w:val="none"/>
            <w:vertAlign w:val="superscript"/>
          </w:rPr>
          <w:t>[3]</w:t>
        </w:r>
      </w:hyperlink>
      <w:hyperlink r:id="rId69" w:anchor="cite_note-.D0.A8.D0.BF.D0.BE.D1.82.D0.BE.D0.B2-4" w:history="1">
        <w:r w:rsidRPr="00507A31">
          <w:rPr>
            <w:rStyle w:val="a5"/>
            <w:rFonts w:eastAsiaTheme="majorEastAsia"/>
            <w:color w:val="000000" w:themeColor="text1"/>
            <w:sz w:val="16"/>
            <w:szCs w:val="16"/>
            <w:u w:val="none"/>
            <w:vertAlign w:val="superscript"/>
          </w:rPr>
          <w:t>[4]</w:t>
        </w:r>
      </w:hyperlink>
      <w:hyperlink r:id="rId70" w:anchor="cite_note-.D1.8D.D0.BA.D1.81.D0.BF_2009-5" w:history="1">
        <w:r w:rsidRPr="00507A31">
          <w:rPr>
            <w:rStyle w:val="a5"/>
            <w:rFonts w:eastAsiaTheme="majorEastAsia"/>
            <w:color w:val="000000" w:themeColor="text1"/>
            <w:sz w:val="16"/>
            <w:szCs w:val="16"/>
            <w:u w:val="none"/>
            <w:vertAlign w:val="superscript"/>
          </w:rPr>
          <w:t>[5]</w:t>
        </w:r>
      </w:hyperlink>
      <w:r w:rsidRPr="00507A31">
        <w:rPr>
          <w:color w:val="000000" w:themeColor="text1"/>
          <w:sz w:val="16"/>
          <w:szCs w:val="16"/>
        </w:rPr>
        <w:t xml:space="preserve">. С другой стороны, по информации на сайте ММК, проектирование нового металлургического комбината началось в мае </w:t>
      </w:r>
      <w:hyperlink r:id="rId71" w:tooltip="1925 год" w:history="1">
        <w:r w:rsidRPr="00507A31">
          <w:rPr>
            <w:rStyle w:val="a5"/>
            <w:rFonts w:eastAsiaTheme="majorEastAsia"/>
            <w:color w:val="000000" w:themeColor="text1"/>
            <w:sz w:val="16"/>
            <w:szCs w:val="16"/>
            <w:u w:val="none"/>
          </w:rPr>
          <w:t>1925 года</w:t>
        </w:r>
      </w:hyperlink>
      <w:r w:rsidRPr="00507A31">
        <w:rPr>
          <w:color w:val="000000" w:themeColor="text1"/>
          <w:sz w:val="16"/>
          <w:szCs w:val="16"/>
        </w:rPr>
        <w:t xml:space="preserve">, в декабре </w:t>
      </w:r>
      <w:hyperlink r:id="rId72" w:tooltip="1928 год" w:history="1">
        <w:r w:rsidRPr="00507A31">
          <w:rPr>
            <w:rStyle w:val="a5"/>
            <w:rFonts w:eastAsiaTheme="majorEastAsia"/>
            <w:color w:val="000000" w:themeColor="text1"/>
            <w:sz w:val="16"/>
            <w:szCs w:val="16"/>
            <w:u w:val="none"/>
          </w:rPr>
          <w:t>1928 года</w:t>
        </w:r>
      </w:hyperlink>
      <w:r w:rsidRPr="00507A31">
        <w:rPr>
          <w:color w:val="000000" w:themeColor="text1"/>
          <w:sz w:val="16"/>
          <w:szCs w:val="16"/>
        </w:rPr>
        <w:t xml:space="preserve"> проект, разработанный институтом </w:t>
      </w:r>
      <w:hyperlink r:id="rId73" w:tooltip="УралГипромез (страница отсутствует)" w:history="1">
        <w:r w:rsidRPr="00507A31">
          <w:rPr>
            <w:rStyle w:val="a5"/>
            <w:rFonts w:eastAsiaTheme="majorEastAsia"/>
            <w:color w:val="000000" w:themeColor="text1"/>
            <w:sz w:val="16"/>
            <w:szCs w:val="16"/>
            <w:u w:val="none"/>
          </w:rPr>
          <w:t>УралГипромез</w:t>
        </w:r>
      </w:hyperlink>
      <w:r w:rsidRPr="00507A31">
        <w:rPr>
          <w:color w:val="000000" w:themeColor="text1"/>
          <w:sz w:val="16"/>
          <w:szCs w:val="16"/>
        </w:rPr>
        <w:t xml:space="preserve">, был официально утвержден, и в марте </w:t>
      </w:r>
      <w:hyperlink r:id="rId74" w:tooltip="1929 год" w:history="1">
        <w:r w:rsidRPr="00507A31">
          <w:rPr>
            <w:rStyle w:val="a5"/>
            <w:rFonts w:eastAsiaTheme="majorEastAsia"/>
            <w:color w:val="000000" w:themeColor="text1"/>
            <w:sz w:val="16"/>
            <w:szCs w:val="16"/>
            <w:u w:val="none"/>
          </w:rPr>
          <w:t>1929 года</w:t>
        </w:r>
      </w:hyperlink>
      <w:r w:rsidRPr="00507A31">
        <w:rPr>
          <w:color w:val="000000" w:themeColor="text1"/>
          <w:sz w:val="16"/>
          <w:szCs w:val="16"/>
        </w:rPr>
        <w:t xml:space="preserve"> на строительную площадку прибыли первые строители (17219).</w:t>
      </w:r>
    </w:p>
    <w:p w14:paraId="6F0665E2" w14:textId="77777777" w:rsidR="005E0B98" w:rsidRPr="00507A31" w:rsidRDefault="005E0B98" w:rsidP="00507A31">
      <w:pPr>
        <w:jc w:val="both"/>
        <w:rPr>
          <w:color w:val="000000" w:themeColor="text1"/>
          <w:sz w:val="16"/>
          <w:szCs w:val="16"/>
        </w:rPr>
      </w:pPr>
    </w:p>
    <w:p w14:paraId="29DF8203" w14:textId="77777777" w:rsidR="008B17DC" w:rsidRPr="00507A31" w:rsidRDefault="008B17DC" w:rsidP="00507A31">
      <w:pPr>
        <w:jc w:val="both"/>
        <w:rPr>
          <w:color w:val="0070C0"/>
          <w:sz w:val="16"/>
          <w:szCs w:val="16"/>
          <w:shd w:val="clear" w:color="auto" w:fill="FFFFFF"/>
        </w:rPr>
      </w:pPr>
      <w:r w:rsidRPr="00507A31">
        <w:rPr>
          <w:color w:val="0070C0"/>
          <w:sz w:val="16"/>
          <w:szCs w:val="16"/>
          <w:shd w:val="clear" w:color="auto" w:fill="FFFFFF"/>
        </w:rPr>
        <w:t>В марте 1930 Ижорский завод уведомили о грядущем снижении толщины брони Т-12, а в апреле 1930 года появился переработанный проект Т-12, который получил индекс Т-24. В целом это был тот же Т-12, но боевая масса оценивалась уже в 18,5 тонн. При мощности мотора в 250 л.с. максимальная скорость составляла 22 км/ч. После долгих доводок по машине ее, наконец, 5 ноября 1930 года было принято решение о запуске машины в серию. Сегодня как раз исполнилось 90 лет с этой даты (20203).</w:t>
      </w:r>
    </w:p>
    <w:p w14:paraId="7E8B697B" w14:textId="77777777" w:rsidR="008B17DC" w:rsidRPr="00507A31" w:rsidRDefault="008B17DC" w:rsidP="00507A31">
      <w:pPr>
        <w:jc w:val="both"/>
        <w:rPr>
          <w:color w:val="0070C0"/>
          <w:sz w:val="16"/>
          <w:szCs w:val="16"/>
          <w:shd w:val="clear" w:color="auto" w:fill="FFFFFF"/>
        </w:rPr>
      </w:pPr>
    </w:p>
    <w:p w14:paraId="637F7A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И.Халепский - начальник Управления моторизации и механизации РККА вновь прибыл в США, но увидев шасси М.1930 Кристи отказался от идеи покупки ЛТ фирмы Cunningham. В апреле 1930 Кристи получил одобрение пом. нач. штаба на продажу двух шасси Amtorg (1126,14).</w:t>
      </w:r>
    </w:p>
    <w:p w14:paraId="2C98B877" w14:textId="77777777" w:rsidR="00537E5F" w:rsidRPr="00507A31" w:rsidRDefault="00537E5F" w:rsidP="00507A31">
      <w:pPr>
        <w:autoSpaceDE w:val="0"/>
        <w:autoSpaceDN w:val="0"/>
        <w:adjustRightInd w:val="0"/>
        <w:jc w:val="both"/>
        <w:rPr>
          <w:color w:val="000000" w:themeColor="text1"/>
          <w:sz w:val="16"/>
          <w:szCs w:val="16"/>
        </w:rPr>
      </w:pPr>
    </w:p>
    <w:p w14:paraId="79E97A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марте 1930 года Советский Союз приобрел два образца легкого танка «Виккерс-6 т» и лицензию на его производство, после чего комиссия заключила контракт на поставку 15 машин МК-П и нескольких танкеток «Карден-Лойд» MK-VT, отказавшись от приобретения комплекта технической документации и описания технологии производства машин. После этого руководитель группы вернулся домой, а И. Н. Тоскин отправился в США (Шмелев И. П. История танка (1916-1996). — М., 1996, с. 14, 26-27.).</w:t>
      </w:r>
    </w:p>
    <w:p w14:paraId="0D1544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Там ему предстояло выполнить личное задание самого И. В. Сталина — добыть образец танка Дж. Кристи. Официально модели этого конструктора были запрещены к экспорту из США. Даже традиционному партнеру — Великобритании — пришлось приложить немало усилий, чтобы нелегально вывезти экземпляр этого танка. А что тогда говорить о Советском Союзе? А ведь отечественная разведка смогла вывезти две машины, правда без башен и вооружения. По таможенным документам они проходили как образцы сельскохозяйственной техники.</w:t>
      </w:r>
    </w:p>
    <w:p w14:paraId="03F3A4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Почему же СССР интересовали работы этого конструктора? Дж. Кристи в течение десяти лет занимался созданием этой оригинальной машины. Одно из ее отличительных качеств — высокая, до 100 км/час, скорость. У моделей других разработчиков этот показатель редко был выше 60. Но, главное, Кристи решил проблему двойного движителя. Он оснастил свой танк 4 парами катков большого диаметра, которые были одновременно опорными и поддерживающими. Гусеницы при движении по дороге снимались и укладывались на подгусеничные полки. Крутящийся момент с заднего ведущего колеса передавался наружной цепной передачей (уязвимое место) на заднюю пару опорных катков, которые служили ведущими колесами, как у автомобиля. Передняя пара катков, тоже как у автомобиля, была управляемой. С ее помощью танк поворачивался. Трое танкистов, без посторонней помощи, могли за полчаса снять и надеть гусеницу. Скорость танка «Кристи ТЗ» на гусеницах составляла 44 км/час, а на колесах 75 км/час.</w:t>
      </w:r>
    </w:p>
    <w:p w14:paraId="34EC1D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что ожидало купленные модели в СССР? Их досконально изучили отечественные специалисты, нашли множество недостатков и подготовили всю необходимую для серийного производства техническую документацию.</w:t>
      </w:r>
    </w:p>
    <w:p w14:paraId="612F6C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доработки двухбашенный британский «Виккерс-6т» трансформировался в отечественный Т-26. За год подготовили всю необходимую документацию для его серийного производства. 13 декабря 1931 года легкий танк Т-26 был принят на вооружение. Всего Красная Армия получила 11 тысяч машин 23 модификаций, включая огнеметные (тогда их называли химическими) и саперные (мостовые).</w:t>
      </w:r>
    </w:p>
    <w:p w14:paraId="735E69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Танкетку «Карден-Лойд» основательно переделали в организованном в Ленинграде (при заводе «Большевик») опытно-конструкторском машиностроительном отделе (ОКМО), который возглавил Н. В. Барыков, а конструкторы прибыли туда из московского танкового бюро. После этого танкетка Т-27 была поставлена на серийное производство. Основные отличия отечественной модели: усиленная бронезащита, крыша и открытые бронеколпаки над местами водителя и стрелка. Машину оснастили мотором, коробкой передач и дифференциалом советского автомобиля ГАЗ-АА.</w:t>
      </w:r>
    </w:p>
    <w:p w14:paraId="07FAD6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Усовершенствованный танк «Кристи ТЗ» под обозначением БТ-2 начали выпускать на Харьковском паровозостроительном заводе. Решение об этом было принято 23 мая 1931 года. Советская модель мало отличалась от прототипа. Вместо цепной передачи на ведущие колеса при движении отечественные специалисты использовшш шестеренчатую передачу (гитару). За ним последовали БТ-5, БТ-7 и БТ-7 М.</w:t>
      </w:r>
    </w:p>
    <w:p w14:paraId="3D129E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30-е годы Т.-26 и БТ были основными и самыми многочисленными в РККА. Их выпуск прекратился незадолго до начала Великой Отечественной войны, когда им на смену пришли Т-34 и KB (Шмелев И. П. История танка (1916-1996). — М., 1996, с. 14, 26-27.) (11765).</w:t>
      </w:r>
    </w:p>
    <w:p w14:paraId="0E596A22" w14:textId="77777777" w:rsidR="00537E5F" w:rsidRPr="00507A31" w:rsidRDefault="00537E5F" w:rsidP="00507A31">
      <w:pPr>
        <w:autoSpaceDE w:val="0"/>
        <w:autoSpaceDN w:val="0"/>
        <w:adjustRightInd w:val="0"/>
        <w:jc w:val="both"/>
        <w:rPr>
          <w:color w:val="000000" w:themeColor="text1"/>
          <w:sz w:val="16"/>
          <w:szCs w:val="16"/>
        </w:rPr>
      </w:pPr>
    </w:p>
    <w:p w14:paraId="174944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года в Советский Союз прибыла из Германии группа инженеров во главе с Эдвардом Гроте (Edward Grote). На ленинградском заводе "Большевик" из них сформировали конструкторское бюро АВО-5, в состав которого и вошла эта группа. Помимо немецких, в группу вошли и молодые советские инженеры (3862).</w:t>
      </w:r>
    </w:p>
    <w:p w14:paraId="70E29F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Немецкий инженер Пауль Гроте работал по контракту в Ленинграде. Он возглавлял группу конструкторов на заводе «Большевик» в конце 20-х — начале 30-х годов. Гроте и его группа работали над решением проблемы управления танком с помощью пневмосервоприводов, разрабатывали модернизированный двигатель для танка МС-1. Они разработали не менее 2-х образцов такого двигателя [ЦГАСА, ф. 31811, oп. 1, д. 338, л. 11]. Венцом творческой деятельности этой группы стал проект боевой машины, вошедшей в историю под названием «танка Гроте». Вместе с Гроте в создании этой машины участвовали конструкторы Хуфшмит и Фельдгаузен. Руководил сборкой опытного образца Карл Оттерсбах. Удлиненный бронекорпус, смещенная к корме башня, высокий гусеничный обвод с экранизированной ходовой частью и мощное вооружение выделяли средний танк Гроте, получивший марку ТГ, среди других боевых машин этого класса. Корпус имел вытянутую вперед скошенную носовую часть с наклонными листами, что уже само по себе отличало эту машину от других танков советского и зарубежного производства. Башня сферической формы, также весьма необычная для того времени, опиралась на высокую подбашенную коробку. На крыше башни располагалась смотровая башенка, в которой использовался стробоскопический эффект. Необычно было размещено и вооружение: 76,2-мм орудие устанавливалось в амбразуре подбашенной коробки и имело ограниченный угол обстрела. Вторая, 37-мм, пушка монтировалась в башне, вращавшейся на 360°. Вертикальный угол наведения пушки позволял ей вести огонь и по воздушным целям. Оригинальным был и гусеничный двигатель танка; цепь не имела пальцев, а треки соединялись торцами с плоскими цепями Галле, которые, в свою очередь, входили в зацепление с ведущими колесами. Для облегчения управления двадцатипятитонной машиной были применены пневмоприводы. Недостатками танка были: ограниченные углы обстрела пушки главного калибра и малая надежность пневмоприводов (см. [</w:t>
      </w:r>
      <w:r w:rsidRPr="00507A31">
        <w:rPr>
          <w:iCs/>
          <w:color w:val="000000" w:themeColor="text1"/>
          <w:sz w:val="16"/>
          <w:szCs w:val="16"/>
        </w:rPr>
        <w:t xml:space="preserve">Вараксин Ю. Н., Бах И. В., Выгодский С. Ю. </w:t>
      </w:r>
      <w:r w:rsidRPr="00507A31">
        <w:rPr>
          <w:color w:val="000000" w:themeColor="text1"/>
          <w:sz w:val="16"/>
          <w:szCs w:val="16"/>
        </w:rPr>
        <w:t xml:space="preserve">Бронетанковая техника СССР. М., 1981]). За разработкой танка Гроте внимательно следили на самом высоком уровне. В танковой программе 1930 г. Политбюро ВКП (б) постановило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год. Для освоения производства изготовить в 1931 году первую серию в количестве 50—75 танков ТГ». В связи с боевым назначением танка Гроте ВСНХ предписывалось подготовить производственные возможности к весне 1932 г. для изготовления 2000 танков этого типа. В соответствии с этим постановлением производственной базой был утвержден ГХПЗ, который поэтому снимал с производства Т-24 и начинал усиленную подготовку по работе над танком ТГ [ЦГАСА, ф. 31811, оп. I, д. 140, л. 32]. Однако все эти начинания остались на бумаге. Вместо предусмотренных 2000 был выпущен всего один опытный образец. Еще одной формой сотрудничества было ознакомление советских специалистов с немецкими разработками в данной области, включая техническую документацию и чертежи опытных образцов. Так, </w:t>
      </w:r>
    </w:p>
    <w:p w14:paraId="41028973" w14:textId="77777777" w:rsidR="00537E5F" w:rsidRPr="00507A31" w:rsidRDefault="00537E5F" w:rsidP="00507A31">
      <w:pPr>
        <w:autoSpaceDE w:val="0"/>
        <w:autoSpaceDN w:val="0"/>
        <w:adjustRightInd w:val="0"/>
        <w:jc w:val="both"/>
        <w:rPr>
          <w:color w:val="000000" w:themeColor="text1"/>
          <w:sz w:val="16"/>
          <w:szCs w:val="16"/>
        </w:rPr>
      </w:pPr>
    </w:p>
    <w:p w14:paraId="0A9B105F" w14:textId="58596813" w:rsidR="000F6E03" w:rsidRPr="00507A31" w:rsidRDefault="000F6E03" w:rsidP="00507A31">
      <w:pPr>
        <w:jc w:val="both"/>
        <w:rPr>
          <w:color w:val="000000" w:themeColor="text1"/>
          <w:sz w:val="16"/>
          <w:szCs w:val="16"/>
        </w:rPr>
      </w:pPr>
      <w:r w:rsidRPr="00507A31">
        <w:rPr>
          <w:color w:val="000000" w:themeColor="text1"/>
          <w:sz w:val="16"/>
          <w:szCs w:val="16"/>
        </w:rPr>
        <w:t>В марте 1930 г. Штаб РККА составил справку-заключение по соображениям Тухачевского, опираясь на расчеты составляемых новых мобилизационных заявок МВ-10 и МВ-12. В справке ука</w:t>
      </w:r>
      <w:r w:rsidRPr="00507A31">
        <w:rPr>
          <w:color w:val="000000" w:themeColor="text1"/>
          <w:sz w:val="16"/>
          <w:szCs w:val="16"/>
        </w:rPr>
        <w:softHyphen/>
        <w:t>зывалось, что вариант Тухачевского (при примерном расчете на 245 стрелковых дивизий и 10,5 млн чел. мобилизованных) пред</w:t>
      </w:r>
      <w:r w:rsidRPr="00507A31">
        <w:rPr>
          <w:color w:val="000000" w:themeColor="text1"/>
          <w:sz w:val="16"/>
          <w:szCs w:val="16"/>
        </w:rPr>
        <w:softHyphen/>
        <w:t>полагает значительное увеличение программы вооружений. На</w:t>
      </w:r>
      <w:r w:rsidRPr="00507A31">
        <w:rPr>
          <w:color w:val="000000" w:themeColor="text1"/>
          <w:sz w:val="16"/>
          <w:szCs w:val="16"/>
        </w:rPr>
        <w:softHyphen/>
        <w:t>пример, только для реализации плана производства пулеметов Дегтярева надо будет построить 7 новых военных заводов.</w:t>
      </w:r>
    </w:p>
    <w:p w14:paraId="79CFBF63" w14:textId="77777777" w:rsidR="000F6E03" w:rsidRPr="00507A31" w:rsidRDefault="000F6E03" w:rsidP="00507A31">
      <w:pPr>
        <w:jc w:val="both"/>
        <w:rPr>
          <w:color w:val="000000" w:themeColor="text1"/>
          <w:sz w:val="16"/>
          <w:szCs w:val="16"/>
        </w:rPr>
      </w:pPr>
      <w:r w:rsidRPr="00507A31">
        <w:rPr>
          <w:color w:val="000000" w:themeColor="text1"/>
          <w:sz w:val="16"/>
          <w:szCs w:val="16"/>
        </w:rPr>
        <w:t>Если следовать Тухачевскому, отчуждение от гражданской промышленности для нужд военведа составило бы: по стали - 68%, по цветным металлам - 100% плюс весь импорт. Если по плану МВ-12 Штаба РККА авиационного бензина будет необхо</w:t>
      </w:r>
      <w:r w:rsidRPr="00507A31">
        <w:rPr>
          <w:color w:val="000000" w:themeColor="text1"/>
          <w:sz w:val="16"/>
          <w:szCs w:val="16"/>
        </w:rPr>
        <w:softHyphen/>
        <w:t>димо 512 тыс. т, то по варианту Тухачевского - 7,2 млн т. При расчете 40% бензина от добываемой нефти, отчуждение для во</w:t>
      </w:r>
      <w:r w:rsidRPr="00507A31">
        <w:rPr>
          <w:color w:val="000000" w:themeColor="text1"/>
          <w:sz w:val="16"/>
          <w:szCs w:val="16"/>
        </w:rPr>
        <w:softHyphen/>
        <w:t>енной промышленности составит 100%. По танкам (из расчета 2 трактора равны одному танку) производство придется увели</w:t>
      </w:r>
      <w:r w:rsidRPr="00507A31">
        <w:rPr>
          <w:color w:val="000000" w:themeColor="text1"/>
          <w:sz w:val="16"/>
          <w:szCs w:val="16"/>
        </w:rPr>
        <w:softHyphen/>
        <w:t>чить в 24 раза.</w:t>
      </w:r>
    </w:p>
    <w:p w14:paraId="31EE1F9E" w14:textId="77777777" w:rsidR="000F6E03" w:rsidRPr="00507A31" w:rsidRDefault="000F6E03" w:rsidP="00507A31">
      <w:pPr>
        <w:jc w:val="both"/>
        <w:rPr>
          <w:color w:val="000000" w:themeColor="text1"/>
          <w:sz w:val="16"/>
          <w:szCs w:val="16"/>
        </w:rPr>
      </w:pPr>
      <w:r w:rsidRPr="00507A31">
        <w:rPr>
          <w:color w:val="000000" w:themeColor="text1"/>
          <w:sz w:val="16"/>
          <w:szCs w:val="16"/>
        </w:rPr>
        <w:t>Осуществление планов Тухачевского, говорилось в справке, парализовало бы всю экономическую жизнь СССР. Кроме того, подчеркивалось в справке, в стране почти нет алюминия, цельно</w:t>
      </w:r>
      <w:r w:rsidRPr="00507A31">
        <w:rPr>
          <w:color w:val="000000" w:themeColor="text1"/>
          <w:sz w:val="16"/>
          <w:szCs w:val="16"/>
        </w:rPr>
        <w:softHyphen/>
        <w:t>металлического трубного производства, отсутствуют магнето, шарикоподшипники и т.д.</w:t>
      </w:r>
    </w:p>
    <w:p w14:paraId="173FC48C" w14:textId="77777777" w:rsidR="000F6E03" w:rsidRPr="00507A31" w:rsidRDefault="000F6E03" w:rsidP="00507A31">
      <w:pPr>
        <w:jc w:val="both"/>
        <w:rPr>
          <w:color w:val="000000" w:themeColor="text1"/>
          <w:sz w:val="16"/>
          <w:szCs w:val="16"/>
        </w:rPr>
      </w:pPr>
      <w:r w:rsidRPr="00507A31">
        <w:rPr>
          <w:color w:val="000000" w:themeColor="text1"/>
          <w:sz w:val="16"/>
          <w:szCs w:val="16"/>
        </w:rPr>
        <w:t>Касаясь финансового обеспечения планов Тухачевского, Штаб писал, что только на накопление вооружений потребуется 58 млрд руб., а бюджет военведа выразится (при условии 20% снижения цен на военную продукцию) в 63 млрд руб., в то время как по оптимальному варианту Госплана весь госбюджет на три оставшиеся года пятилетки исчисляется в 37 млрд руб., т.е. не удовлетворит заявку одного военведа. По варианту же М-12 заявка Штаба на год войны составляет 11 млрд руб.</w:t>
      </w:r>
    </w:p>
    <w:p w14:paraId="0463E1AA" w14:textId="77777777" w:rsidR="000F6E03" w:rsidRPr="00507A31" w:rsidRDefault="000F6E03" w:rsidP="00507A31">
      <w:pPr>
        <w:jc w:val="both"/>
        <w:rPr>
          <w:color w:val="000000" w:themeColor="text1"/>
          <w:sz w:val="16"/>
          <w:szCs w:val="16"/>
        </w:rPr>
      </w:pPr>
      <w:r w:rsidRPr="00507A31">
        <w:rPr>
          <w:color w:val="000000" w:themeColor="text1"/>
          <w:sz w:val="16"/>
          <w:szCs w:val="16"/>
        </w:rPr>
        <w:t>Таким образом, предложения Тухачевского выглядели поис</w:t>
      </w:r>
      <w:r w:rsidRPr="00507A31">
        <w:rPr>
          <w:color w:val="000000" w:themeColor="text1"/>
          <w:sz w:val="16"/>
          <w:szCs w:val="16"/>
        </w:rPr>
        <w:softHyphen/>
        <w:t>тине фантастическими, однако Штаб сделал весьма компромисс[176]ный вывод о том, что идея ассимиляции гражданской промыш</w:t>
      </w:r>
      <w:r w:rsidRPr="00507A31">
        <w:rPr>
          <w:color w:val="000000" w:themeColor="text1"/>
          <w:sz w:val="16"/>
          <w:szCs w:val="16"/>
        </w:rPr>
        <w:softHyphen/>
        <w:t>ленности с военной, выдвинутая Тухачевским, в основном пра</w:t>
      </w:r>
      <w:r w:rsidRPr="00507A31">
        <w:rPr>
          <w:color w:val="000000" w:themeColor="text1"/>
          <w:sz w:val="16"/>
          <w:szCs w:val="16"/>
        </w:rPr>
        <w:softHyphen/>
        <w:t>вильная, что в главных предпосылках: увеличения армии военно</w:t>
      </w:r>
      <w:r w:rsidRPr="00507A31">
        <w:rPr>
          <w:color w:val="000000" w:themeColor="text1"/>
          <w:sz w:val="16"/>
          <w:szCs w:val="16"/>
        </w:rPr>
        <w:softHyphen/>
        <w:t>го времени, развития авиации и танковых средств, Тухачевский стоит на верных позициях, что его предложения будут учтены при проработке второй половины пятилетнего плана</w:t>
      </w:r>
      <w:bookmarkStart w:id="33" w:name="_ednref43"/>
      <w:r w:rsidRPr="00507A31">
        <w:rPr>
          <w:color w:val="000000" w:themeColor="text1"/>
          <w:sz w:val="16"/>
          <w:szCs w:val="16"/>
        </w:rPr>
        <w:t xml:space="preserve"> (18393)</w:t>
      </w:r>
      <w:bookmarkEnd w:id="33"/>
      <w:r w:rsidRPr="00507A31">
        <w:rPr>
          <w:color w:val="000000" w:themeColor="text1"/>
          <w:sz w:val="16"/>
          <w:szCs w:val="16"/>
        </w:rPr>
        <w:t>.</w:t>
      </w:r>
    </w:p>
    <w:p w14:paraId="06D4F015" w14:textId="77777777" w:rsidR="000F6E03" w:rsidRPr="00507A31" w:rsidRDefault="000F6E03" w:rsidP="00507A31">
      <w:pPr>
        <w:jc w:val="both"/>
        <w:rPr>
          <w:color w:val="000000" w:themeColor="text1"/>
          <w:sz w:val="16"/>
          <w:szCs w:val="16"/>
        </w:rPr>
      </w:pPr>
    </w:p>
    <w:p w14:paraId="320B0762" w14:textId="77777777" w:rsidR="000F6E03" w:rsidRPr="00507A31" w:rsidRDefault="000F6E03" w:rsidP="00507A31">
      <w:pPr>
        <w:jc w:val="both"/>
        <w:rPr>
          <w:color w:val="000000" w:themeColor="text1"/>
          <w:sz w:val="16"/>
          <w:szCs w:val="16"/>
        </w:rPr>
      </w:pPr>
      <w:r w:rsidRPr="00507A31">
        <w:rPr>
          <w:color w:val="000000" w:themeColor="text1"/>
          <w:sz w:val="16"/>
          <w:szCs w:val="16"/>
        </w:rPr>
        <w:t>В марте 1930 г. состоялась передача документации Т-19 заводу «Большевик». Танк Т-19 должен был стать ударным средством мобильных подразделений армии. От него требовалось на максимальной скорости преодолеть окопы, разрушить проволочные заграждения противника, огнем подавить боевые машины сходной массы. Броня должна защитить членов экипажа от винтовочных и пулеметных пуль на всех дистанциях и от 37-мм снарядов на дальности 1000 м. В 1930 г. завод изготовил опытный образец. Танк был тяжелее Т-18, весил 9,0 т. Мощность двигателя увеличена до 60 л.с. Численность экипажа — 3 человека. Механизмы усложнились. Но ни какими преимуществами при боевом использовании перед Т-18 он не обладал. После доработки ему присвоили индекс Т-20, но в серию он не пошел. В 1930 г. КБ завода «Большевик» был выполнен проект колесно-гусеничной танкетки. Проектировал ее инженер-конструктор В. Симский, общее руководство осуществлял С. Гинзбург. Она предназначалась для разведки и сопровождения пехоты в наступлении. Экипаж машины — два человека, вооружение — 7,62-мм пулемет ДТ.</w:t>
      </w:r>
    </w:p>
    <w:p w14:paraId="6C270574" w14:textId="77777777" w:rsidR="000F6E03" w:rsidRPr="00507A31" w:rsidRDefault="000F6E03" w:rsidP="00507A31">
      <w:pPr>
        <w:jc w:val="both"/>
        <w:rPr>
          <w:color w:val="000000" w:themeColor="text1"/>
          <w:sz w:val="16"/>
          <w:szCs w:val="16"/>
        </w:rPr>
      </w:pPr>
      <w:r w:rsidRPr="00507A31">
        <w:rPr>
          <w:color w:val="000000" w:themeColor="text1"/>
          <w:sz w:val="16"/>
          <w:szCs w:val="16"/>
        </w:rPr>
        <w:t xml:space="preserve">Первый опытный образец танкетки был изготовлен на «Большевике» в 1930 г. По результатам испытаний были проведены доработки, после чего было принято решение о серийном изготовлении машины под индексом Т-27 (18975). </w:t>
      </w:r>
    </w:p>
    <w:p w14:paraId="30091E97" w14:textId="77777777" w:rsidR="000F6E03" w:rsidRPr="00507A31" w:rsidRDefault="000F6E03" w:rsidP="00507A31">
      <w:pPr>
        <w:jc w:val="both"/>
        <w:rPr>
          <w:color w:val="000000" w:themeColor="text1"/>
          <w:sz w:val="16"/>
          <w:szCs w:val="16"/>
        </w:rPr>
      </w:pPr>
    </w:p>
    <w:p w14:paraId="68E74C9D" w14:textId="77777777" w:rsidR="000F6E03" w:rsidRPr="00507A31" w:rsidRDefault="000F6E03" w:rsidP="00507A31">
      <w:pPr>
        <w:jc w:val="both"/>
        <w:rPr>
          <w:color w:val="000000" w:themeColor="text1"/>
          <w:sz w:val="16"/>
          <w:szCs w:val="16"/>
        </w:rPr>
      </w:pPr>
      <w:r w:rsidRPr="00507A31">
        <w:rPr>
          <w:color w:val="000000" w:themeColor="text1"/>
          <w:sz w:val="16"/>
          <w:szCs w:val="16"/>
        </w:rPr>
        <w:t>В марте 1930 г. в Советский Союз прибыла группа инженеров из Германии во главе с Эдвардом Гроте, которому поручили возглавить разработку новых перспективных танков для вооружения РККА. Контроль за деятельностью этой группы осуществлял технический отдел ОГПУ (18975).</w:t>
      </w:r>
    </w:p>
    <w:p w14:paraId="0C730100" w14:textId="77777777" w:rsidR="000F6E03" w:rsidRPr="00507A31" w:rsidRDefault="000F6E03" w:rsidP="00507A31">
      <w:pPr>
        <w:jc w:val="both"/>
        <w:rPr>
          <w:color w:val="000000" w:themeColor="text1"/>
          <w:sz w:val="16"/>
          <w:szCs w:val="16"/>
        </w:rPr>
      </w:pPr>
    </w:p>
    <w:p w14:paraId="32FA07EF" w14:textId="77777777" w:rsidR="000F6E03" w:rsidRPr="00507A31" w:rsidRDefault="000F6E03" w:rsidP="00507A31">
      <w:pPr>
        <w:jc w:val="both"/>
        <w:rPr>
          <w:color w:val="000000" w:themeColor="text1"/>
          <w:sz w:val="16"/>
          <w:szCs w:val="16"/>
        </w:rPr>
      </w:pPr>
      <w:r w:rsidRPr="00507A31">
        <w:rPr>
          <w:color w:val="000000" w:themeColor="text1"/>
          <w:sz w:val="16"/>
          <w:szCs w:val="16"/>
        </w:rPr>
        <w:lastRenderedPageBreak/>
        <w:t>В марте 1930</w:t>
      </w:r>
    </w:p>
    <w:p w14:paraId="3D0F38BC" w14:textId="77777777" w:rsidR="000F6E03" w:rsidRPr="00507A31" w:rsidRDefault="000F6E03" w:rsidP="00507A31">
      <w:pPr>
        <w:jc w:val="both"/>
        <w:rPr>
          <w:color w:val="000000" w:themeColor="text1"/>
          <w:sz w:val="16"/>
          <w:szCs w:val="16"/>
        </w:rPr>
      </w:pPr>
      <w:r w:rsidRPr="00507A31">
        <w:rPr>
          <w:color w:val="000000" w:themeColor="text1"/>
          <w:sz w:val="16"/>
          <w:szCs w:val="16"/>
        </w:rPr>
        <w:t>Инструкция военпредам в промышленности о донесениях по поводу недочетов в выполнении промышленностью военных заказов, март 1930 г. (18627).</w:t>
      </w:r>
    </w:p>
    <w:p w14:paraId="0C006721" w14:textId="77777777" w:rsidR="000F6E03" w:rsidRPr="00507A31" w:rsidRDefault="000F6E03" w:rsidP="00507A31">
      <w:pPr>
        <w:jc w:val="both"/>
        <w:rPr>
          <w:color w:val="000000" w:themeColor="text1"/>
          <w:sz w:val="16"/>
          <w:szCs w:val="16"/>
        </w:rPr>
      </w:pPr>
    </w:p>
    <w:p w14:paraId="068126DF" w14:textId="77777777" w:rsidR="000F6E03" w:rsidRPr="00507A31" w:rsidRDefault="000F6E03" w:rsidP="00507A31">
      <w:pPr>
        <w:jc w:val="both"/>
        <w:rPr>
          <w:color w:val="000000" w:themeColor="text1"/>
          <w:sz w:val="16"/>
          <w:szCs w:val="16"/>
        </w:rPr>
      </w:pPr>
      <w:r w:rsidRPr="00507A31">
        <w:rPr>
          <w:color w:val="000000" w:themeColor="text1"/>
          <w:sz w:val="16"/>
          <w:szCs w:val="16"/>
        </w:rPr>
        <w:t>В марте 1930 г. создается III отдел Специальное управление (СУ) ВЭО, на который была возложена задача организации лабораторных работ специального назначения.</w:t>
      </w:r>
    </w:p>
    <w:p w14:paraId="23BCF03C" w14:textId="77777777" w:rsidR="000F6E03" w:rsidRPr="00507A31" w:rsidRDefault="000F6E03" w:rsidP="00507A31">
      <w:pPr>
        <w:jc w:val="both"/>
        <w:rPr>
          <w:color w:val="000000" w:themeColor="text1"/>
          <w:sz w:val="16"/>
          <w:szCs w:val="16"/>
        </w:rPr>
      </w:pPr>
      <w:r w:rsidRPr="00507A31">
        <w:rPr>
          <w:color w:val="000000" w:themeColor="text1"/>
          <w:sz w:val="16"/>
          <w:szCs w:val="16"/>
        </w:rPr>
        <w:t>Ввиду новизны большинства решаемых электрослаботочными предприятиями ВЭО технических проблем большое значение имело создание условий для проведения НИОКР. Работа эта велась и в ЭТЗСТ, а с 1929 г. она приобрела целенаправленный характер (18297).</w:t>
      </w:r>
    </w:p>
    <w:p w14:paraId="2259029E" w14:textId="77777777" w:rsidR="000F6E03" w:rsidRPr="00507A31" w:rsidRDefault="000F6E03" w:rsidP="00507A31">
      <w:pPr>
        <w:jc w:val="both"/>
        <w:rPr>
          <w:color w:val="000000" w:themeColor="text1"/>
          <w:sz w:val="16"/>
          <w:szCs w:val="16"/>
        </w:rPr>
      </w:pPr>
    </w:p>
    <w:p w14:paraId="4BC6328D" w14:textId="77777777" w:rsidR="000F6E03" w:rsidRPr="00507A31" w:rsidRDefault="000F6E03" w:rsidP="00507A31">
      <w:pPr>
        <w:jc w:val="both"/>
        <w:rPr>
          <w:color w:val="000000" w:themeColor="text1"/>
          <w:sz w:val="16"/>
          <w:szCs w:val="16"/>
        </w:rPr>
      </w:pPr>
      <w:r w:rsidRPr="00507A31">
        <w:rPr>
          <w:color w:val="000000" w:themeColor="text1"/>
          <w:sz w:val="16"/>
          <w:szCs w:val="16"/>
        </w:rPr>
        <w:t>В марте 1930 г. для оказания технической помощи в СССР были приглашены иностранные специалисты, в числе которых был талантливый и плодовитый немецкий инженер Э. Гротте. С апреля 1930 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 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0D8E2C2F" w14:textId="77777777" w:rsidR="000F6E03" w:rsidRPr="00507A31" w:rsidRDefault="000F6E03" w:rsidP="00507A31">
      <w:pPr>
        <w:jc w:val="both"/>
        <w:rPr>
          <w:color w:val="000000" w:themeColor="text1"/>
          <w:sz w:val="16"/>
          <w:szCs w:val="16"/>
        </w:rPr>
      </w:pPr>
      <w:r w:rsidRPr="00507A31">
        <w:rPr>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2241BC33" w14:textId="77777777" w:rsidR="000F6E03" w:rsidRPr="00507A31" w:rsidRDefault="000F6E03" w:rsidP="00507A31">
      <w:pPr>
        <w:jc w:val="both"/>
        <w:rPr>
          <w:color w:val="000000" w:themeColor="text1"/>
          <w:sz w:val="16"/>
          <w:szCs w:val="16"/>
        </w:rPr>
      </w:pPr>
    </w:p>
    <w:p w14:paraId="4EDDC20C" w14:textId="77777777" w:rsidR="007507C4" w:rsidRPr="00507A31" w:rsidRDefault="007507C4" w:rsidP="00507A31">
      <w:pPr>
        <w:jc w:val="both"/>
        <w:rPr>
          <w:color w:val="000000" w:themeColor="text1"/>
          <w:sz w:val="16"/>
          <w:szCs w:val="16"/>
        </w:rPr>
      </w:pPr>
      <w:r w:rsidRPr="00507A31">
        <w:rPr>
          <w:color w:val="000000" w:themeColor="text1"/>
          <w:sz w:val="16"/>
          <w:szCs w:val="16"/>
        </w:rPr>
        <w:t>В марте 1930 г. в Советский Союз прибыла группа инженеров из Германии во главе с Эдвардом Гроте, которому поручили возглавить разработку новых перспективных танков для вооружения РККА. Контроль за деятельностью этой группы осуществлял технический отдел ОГПУ (15132).</w:t>
      </w:r>
    </w:p>
    <w:p w14:paraId="2C6A382D" w14:textId="77777777" w:rsidR="007507C4" w:rsidRPr="00507A31" w:rsidRDefault="007507C4" w:rsidP="00507A31">
      <w:pPr>
        <w:jc w:val="both"/>
        <w:rPr>
          <w:color w:val="000000" w:themeColor="text1"/>
          <w:sz w:val="16"/>
          <w:szCs w:val="16"/>
        </w:rPr>
      </w:pPr>
    </w:p>
    <w:p w14:paraId="01F9EC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марте 1930 г. «Бюро Гротто», как его назвал И. Халепский, прибыло в СССР в полном составе и сразу подключилось к работам над новым маневренно-позиционным танком, который должен был пойти на замену Т-12/Т-24 (10733,243).</w:t>
      </w:r>
    </w:p>
    <w:p w14:paraId="6BFED8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AD4F5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г. в Москве в военном ведомстве состоялось совещание по ВТР. По итогам обсуждения вопросов технической разведки было принято решение о выделении IV Управлению дополнительного кредита на эти задачи. Получили кредиты и некоторые другие управления Штаба РККА. "В случаях, когда представляется возможность купить интересующие нас готовые образцы, полный комплект рабочих чертежей, важных рецептов и т.д., заинтересованные учреждения отпускают IV Управлению необходимую для этой цели сумму сверх вышеуказанного кредита" (7559).</w:t>
      </w:r>
    </w:p>
    <w:p w14:paraId="46DA6A7E" w14:textId="77777777" w:rsidR="00537E5F" w:rsidRPr="00507A31" w:rsidRDefault="00537E5F" w:rsidP="00507A31">
      <w:pPr>
        <w:autoSpaceDE w:val="0"/>
        <w:autoSpaceDN w:val="0"/>
        <w:adjustRightInd w:val="0"/>
        <w:jc w:val="both"/>
        <w:rPr>
          <w:color w:val="000000" w:themeColor="text1"/>
          <w:sz w:val="16"/>
          <w:szCs w:val="16"/>
        </w:rPr>
      </w:pPr>
    </w:p>
    <w:p w14:paraId="443432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г. был создан Государственный экспериментальный институт стекла (ГЭИС). Институт переименовывался: 1943 г. - во Всесоюзный научно-исследовательский институт стекла (ВНИИС), 1957 г. - в Государственный научно-исследовательский институт стекла (ГИС). 29 апреля 1980 г. институт награжден орденом Трудового Красного Знамени (12102).</w:t>
      </w:r>
    </w:p>
    <w:p w14:paraId="218034FB" w14:textId="77777777" w:rsidR="005E0B98" w:rsidRPr="00507A31" w:rsidRDefault="005E0B98" w:rsidP="00507A31">
      <w:pPr>
        <w:autoSpaceDE w:val="0"/>
        <w:autoSpaceDN w:val="0"/>
        <w:adjustRightInd w:val="0"/>
        <w:jc w:val="both"/>
        <w:rPr>
          <w:color w:val="000000" w:themeColor="text1"/>
          <w:sz w:val="16"/>
          <w:szCs w:val="16"/>
        </w:rPr>
      </w:pPr>
    </w:p>
    <w:p w14:paraId="4E7D34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представителями в Детройте, США, было образовано проектное бюро «Chelyabinsk Tractor Plant». Бюро располагалось на 14-м (фактически 13-м) этаже 36-этажного здания – невиданная тогда для жителей СССР высота. Да к тому же непривычная автоматика: например, пока не спустишь воду в уборной, дверь не откроется. Говорят (а может быть, это легенда?), что один из советских инженеров долго не мог из такого помещения выйти, пришлось звать на помощь…В состав бюро вошли 12 американских и 40 советских специалистов, среди них будущие руководители цехов и отделов ЧТЗ Элиазар Ильич Гуревич, Александр Юльянович Божко, Сергей Михайлович Лещенко, Анатолий Алексеевич Порозов, Григор Одобашьян, Роберт Эмильевич Дитман, Иван Иванович Кириллов, Александра Николаевна Ленкова, Константин Станиславович Митревич, Александр Галанов, Борис Сергеевич Федоров, Борис Викторович Конвиссаров. Группу американских инженеров возглавлял Уоррен Нобл, видную роль в ней играл специалист фирмы «Катерпиллер» Эдвард Терри, впоследствии несколько лет проработавший непосредственно в Челябинске главным инженером Опытного завода ЧТЗ. Командировка в США началась 4 апреля 1930 г. В процессе работы над проектом ЧТЗ Э.И. Гуревич, вместе с другими ленинградскими и московскими инженерами, побывал не только в США, но и в Англии, Германии, Бельгии, Франции. Такой маршрут объяснялся не только производственной необходимостью, но и тем, что авиационного сообщения через Атлантику тогда, естественно, не было, 7 или 8 суток плыли из Шербура на океанском корабле «Маджестик» французской компании и прибыли в Нью-Йорк 23 апреля 1930 г. В задачу бюро входила доработка эскизного проекта ЧТЗ, представленного Гипромезом, с учетом американского опыта организации крупных предприятий и новейших достижений зарубежной науки и техники в области тракторостроения. Генеральный проект завода был завершен и передан в Челябинск 1 июня 1930 г. План разбивки цехов оказался настолько точен, что произведенная затем закладка фундаментов не потребовала никаких изменений [16]. В Ленинград советские инженеры вернулись только 26 сентября 1931 г. (11811).</w:t>
      </w:r>
    </w:p>
    <w:p w14:paraId="34516975" w14:textId="77777777" w:rsidR="00537E5F" w:rsidRPr="00507A31" w:rsidRDefault="00537E5F" w:rsidP="00507A31">
      <w:pPr>
        <w:autoSpaceDE w:val="0"/>
        <w:autoSpaceDN w:val="0"/>
        <w:adjustRightInd w:val="0"/>
        <w:jc w:val="both"/>
        <w:rPr>
          <w:color w:val="000000" w:themeColor="text1"/>
          <w:sz w:val="16"/>
          <w:szCs w:val="16"/>
        </w:rPr>
      </w:pPr>
    </w:p>
    <w:p w14:paraId="32476CE5" w14:textId="77777777" w:rsidR="007507C4" w:rsidRPr="00507A31" w:rsidRDefault="007507C4" w:rsidP="00507A31">
      <w:pPr>
        <w:pStyle w:val="rtejustify"/>
        <w:spacing w:before="0" w:after="0"/>
        <w:rPr>
          <w:color w:val="000000" w:themeColor="text1"/>
          <w:sz w:val="16"/>
          <w:szCs w:val="16"/>
        </w:rPr>
      </w:pPr>
      <w:r w:rsidRPr="00507A31">
        <w:rPr>
          <w:color w:val="000000" w:themeColor="text1"/>
          <w:sz w:val="16"/>
          <w:szCs w:val="16"/>
        </w:rPr>
        <w:t xml:space="preserve">В марте-апреле 1930 года на заводе им. А. Марти заложили однотипные «Гарибальдиец», «Чартист» и </w:t>
      </w:r>
      <w:r w:rsidRPr="00507A31">
        <w:rPr>
          <w:rStyle w:val="af0"/>
          <w:bCs/>
          <w:i w:val="0"/>
          <w:color w:val="000000" w:themeColor="text1"/>
          <w:sz w:val="16"/>
          <w:szCs w:val="16"/>
        </w:rPr>
        <w:t>«Карбонарий»</w:t>
      </w:r>
      <w:r w:rsidRPr="00507A31">
        <w:rPr>
          <w:color w:val="000000" w:themeColor="text1"/>
          <w:sz w:val="16"/>
          <w:szCs w:val="16"/>
        </w:rPr>
        <w:t>) (15280).</w:t>
      </w:r>
    </w:p>
    <w:p w14:paraId="79295A4A" w14:textId="77777777" w:rsidR="007507C4" w:rsidRPr="00507A31" w:rsidRDefault="007507C4" w:rsidP="00507A31">
      <w:pPr>
        <w:pStyle w:val="rtejustify"/>
        <w:spacing w:before="0" w:after="0"/>
        <w:rPr>
          <w:color w:val="000000" w:themeColor="text1"/>
          <w:sz w:val="16"/>
          <w:szCs w:val="16"/>
        </w:rPr>
      </w:pPr>
    </w:p>
    <w:p w14:paraId="4279C5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г. Золотов добровольно передал свою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1933г. стала Отделением Судостроительной верфи Морпогранохраны ОГПУ, а с 1939г. - цехом № 6 завода № 5.</w:t>
      </w:r>
    </w:p>
    <w:p w14:paraId="549D08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27653C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1933г.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71C69F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1941 г. построено 46 катеров КМ-2 и КМ-4, в 1941 г. - 20, в 1943г. - 53, в 1944г. - 63. Всего в период войны построено 192 катера КМ.</w:t>
      </w:r>
    </w:p>
    <w:p w14:paraId="6BE1C9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войны в цехе № 6 строились различные шлюпки и ялы.</w:t>
      </w:r>
    </w:p>
    <w:p w14:paraId="4FF4FD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1956г. цех № 6 передан ЦКБ-5 в качестве филиала (далее - ЦКБ «Редан»).</w:t>
      </w:r>
    </w:p>
    <w:p w14:paraId="04B844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Площадь территории (1930 г.)- 0,5 га.</w:t>
      </w:r>
    </w:p>
    <w:p w14:paraId="2C1D96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(1917г.)- 155 чел., (1930 г.)- около 10 рабочих, (01.1931 г.)- 55 чел.</w:t>
      </w:r>
    </w:p>
    <w:p w14:paraId="062B04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(03.1930-33г.)- Д.Л. Блинов.</w:t>
      </w:r>
    </w:p>
    <w:p w14:paraId="3B5E5A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2DBA26F1" w14:textId="77777777" w:rsidR="00537E5F" w:rsidRPr="00507A31" w:rsidRDefault="00537E5F" w:rsidP="00507A31">
      <w:pPr>
        <w:autoSpaceDE w:val="0"/>
        <w:autoSpaceDN w:val="0"/>
        <w:adjustRightInd w:val="0"/>
        <w:jc w:val="both"/>
        <w:rPr>
          <w:color w:val="000000" w:themeColor="text1"/>
          <w:sz w:val="16"/>
          <w:szCs w:val="16"/>
        </w:rPr>
      </w:pPr>
    </w:p>
    <w:p w14:paraId="5974BA8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E2491C0" w14:textId="77777777" w:rsidR="00537E5F" w:rsidRPr="00507A31" w:rsidRDefault="00537E5F" w:rsidP="00507A31">
      <w:pPr>
        <w:autoSpaceDE w:val="0"/>
        <w:autoSpaceDN w:val="0"/>
        <w:adjustRightInd w:val="0"/>
        <w:jc w:val="both"/>
        <w:rPr>
          <w:iCs/>
          <w:color w:val="000000" w:themeColor="text1"/>
          <w:sz w:val="16"/>
          <w:szCs w:val="16"/>
        </w:rPr>
      </w:pPr>
    </w:p>
    <w:p w14:paraId="0BF862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г. в районе Чарджуя и Ташауза, где орудовали банды Шалтай-батыра и Рустам-бека Р-ЗЛД получили боевое крещение. Там действовали четыре самолета 35-го ао. На новые разведчики перевооружили не только 35-й и 40-й отряды. Получив дополнительные машины, в САВО сформировали 37-ю эскадрилью. Она должна была иметь полный штат из 31 машины. Это делало ее самой мощной боевой единицей в округе. 1-й отряд 37-й аэ в апреле 1930 г. привлекли к операциям против банды Кур-Артыка в окрестностях Джиликуля (11985).</w:t>
      </w:r>
    </w:p>
    <w:p w14:paraId="52DDC927" w14:textId="77777777" w:rsidR="00537E5F" w:rsidRPr="00507A31" w:rsidRDefault="00537E5F" w:rsidP="00507A31">
      <w:pPr>
        <w:autoSpaceDE w:val="0"/>
        <w:autoSpaceDN w:val="0"/>
        <w:adjustRightInd w:val="0"/>
        <w:jc w:val="both"/>
        <w:rPr>
          <w:color w:val="000000" w:themeColor="text1"/>
          <w:sz w:val="16"/>
          <w:szCs w:val="16"/>
        </w:rPr>
      </w:pPr>
    </w:p>
    <w:p w14:paraId="217AB4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Н.М.Снитко, Нач. Военной секции Сектора обороны Госплана составил записку и характере бдущей войны и о требованиях, предъявляемых ею к экономике. Наступательные, экспансионистские мотивы. Три формы вооруженного конфликта: организованное империалистами нападение на СССР, межимпериалистическая война, где СССР был в союзе с одной стороной или конфликтовал с обеими и нападение со стороны СССР “вооруженное наступление на капитализм, чтобы развязать мировую революцию. По первому варианту опасались 195 дивизий, 4.5 млн. солдат с 60000 пулеметов, артиллерией (9000 легких и 1500 тяжелых), танками и самолетами. КА для победы требовалось 25000-30000 самолетов (50% штурмовики и лб), а всего на первый год требовалось 45000 штурмовиков. На момент мобилизации - 15000 легких и 7000 танков, а для второго года надо было произвести 45000 и 18000 танков (9089,119)</w:t>
      </w:r>
    </w:p>
    <w:p w14:paraId="7B783D25" w14:textId="77777777" w:rsidR="00537E5F" w:rsidRPr="00507A31" w:rsidRDefault="00537E5F" w:rsidP="00507A31">
      <w:pPr>
        <w:autoSpaceDE w:val="0"/>
        <w:autoSpaceDN w:val="0"/>
        <w:adjustRightInd w:val="0"/>
        <w:jc w:val="both"/>
        <w:rPr>
          <w:iCs/>
          <w:color w:val="000000" w:themeColor="text1"/>
          <w:sz w:val="16"/>
          <w:szCs w:val="16"/>
        </w:rPr>
      </w:pPr>
    </w:p>
    <w:p w14:paraId="3F431A2A" w14:textId="77777777" w:rsidR="00275D63" w:rsidRPr="00507A31" w:rsidRDefault="00275D63" w:rsidP="00507A31">
      <w:pPr>
        <w:jc w:val="both"/>
        <w:rPr>
          <w:color w:val="0070C0"/>
          <w:sz w:val="16"/>
          <w:szCs w:val="16"/>
        </w:rPr>
      </w:pPr>
      <w:r w:rsidRPr="00507A31">
        <w:rPr>
          <w:color w:val="0070C0"/>
          <w:sz w:val="16"/>
          <w:szCs w:val="16"/>
        </w:rPr>
        <w:lastRenderedPageBreak/>
        <w:t>В марте 1930 г. Снитко составил записку о характере будущей войны и о требованиях, предъявляемых ею к экономике . Никаких данных о том, как было дано поручение составить для Госплана этот доклад, а также о том, к кому он в результате поступил, найти не удалось. Тем не менее, резонно предположить, что это было частью обычной работы, выполнявшейся Военной секцией Сектора обороны Госплана. Можно также попытаться высказать определенные предположения о тех исходных позициях, от которых отправлялся Снитко, составляя свой сценарий войны: Согласовывал ли он их с планами, разрабатывавшимися начальником Оперативного управления Штаба Триандафилловым? Намеревался ли Снитко всего лишь подсчитать, чего будет стоить максимально наступательный сценарий войны в финансовом и экономическом отношении. Как бы то ни было, очевидно, что общая концепция, представленная в труде Тухачевского «Будущая война», в 1928 г. получила развитие на более конкретном и специфическом материале сценария войны в Европе. Для сравнения: никого ведь не удивляет, что свой план превентивного удара Жуков разработал в мае 1941 г. по распоряжению сверху. Аналогичным образом, резонно допустить, что экономический план Снитко появился по заказу и был призван стать подразделом стратегического военного плана (9089).</w:t>
      </w:r>
    </w:p>
    <w:p w14:paraId="0C4FA2F0" w14:textId="77777777" w:rsidR="00275D63" w:rsidRPr="00507A31" w:rsidRDefault="00275D63" w:rsidP="00507A31">
      <w:pPr>
        <w:jc w:val="both"/>
        <w:rPr>
          <w:color w:val="0070C0"/>
          <w:sz w:val="16"/>
          <w:szCs w:val="16"/>
        </w:rPr>
      </w:pPr>
      <w:r w:rsidRPr="00507A31">
        <w:rPr>
          <w:color w:val="0070C0"/>
          <w:sz w:val="16"/>
          <w:szCs w:val="16"/>
        </w:rPr>
        <w:t>Сравнение предложений Тухачевского и Снитко, выдвинутых в 1930 г.</w:t>
      </w:r>
    </w:p>
    <w:tbl>
      <w:tblPr>
        <w:tblW w:w="10456" w:type="dxa"/>
        <w:tblLook w:val="04A0" w:firstRow="1" w:lastRow="0" w:firstColumn="1" w:lastColumn="0" w:noHBand="0" w:noVBand="1"/>
      </w:tblPr>
      <w:tblGrid>
        <w:gridCol w:w="5228"/>
        <w:gridCol w:w="5228"/>
      </w:tblGrid>
      <w:tr w:rsidR="00275D63" w:rsidRPr="00507A31" w14:paraId="007B3721" w14:textId="77777777" w:rsidTr="00027DFA">
        <w:tc>
          <w:tcPr>
            <w:tcW w:w="5228" w:type="dxa"/>
          </w:tcPr>
          <w:p w14:paraId="662A9752" w14:textId="77777777" w:rsidR="00275D63" w:rsidRPr="00507A31" w:rsidRDefault="00275D63" w:rsidP="00507A31">
            <w:pPr>
              <w:jc w:val="both"/>
              <w:rPr>
                <w:color w:val="0070C0"/>
                <w:sz w:val="16"/>
                <w:szCs w:val="16"/>
              </w:rPr>
            </w:pPr>
            <w:r w:rsidRPr="00507A31">
              <w:rPr>
                <w:color w:val="0070C0"/>
                <w:sz w:val="16"/>
                <w:szCs w:val="16"/>
              </w:rPr>
              <w:t>Тухачевский. Ленингр. Воен. Округ</w:t>
            </w:r>
          </w:p>
        </w:tc>
        <w:tc>
          <w:tcPr>
            <w:tcW w:w="5228" w:type="dxa"/>
          </w:tcPr>
          <w:p w14:paraId="0AFBFF3B" w14:textId="77777777" w:rsidR="00275D63" w:rsidRPr="00507A31" w:rsidRDefault="00275D63" w:rsidP="00507A31">
            <w:pPr>
              <w:jc w:val="both"/>
              <w:rPr>
                <w:color w:val="0070C0"/>
                <w:sz w:val="16"/>
                <w:szCs w:val="16"/>
              </w:rPr>
            </w:pPr>
            <w:r w:rsidRPr="00507A31">
              <w:rPr>
                <w:color w:val="0070C0"/>
                <w:sz w:val="16"/>
                <w:szCs w:val="16"/>
              </w:rPr>
              <w:t>Снитко. Сектор обороны Госплана</w:t>
            </w:r>
          </w:p>
        </w:tc>
      </w:tr>
      <w:tr w:rsidR="00275D63" w:rsidRPr="00507A31" w14:paraId="6D28BD97" w14:textId="77777777" w:rsidTr="00027DFA">
        <w:tc>
          <w:tcPr>
            <w:tcW w:w="5228" w:type="dxa"/>
          </w:tcPr>
          <w:p w14:paraId="11FEA56A" w14:textId="77777777" w:rsidR="00275D63" w:rsidRPr="00507A31" w:rsidRDefault="00275D63" w:rsidP="00507A31">
            <w:pPr>
              <w:jc w:val="both"/>
              <w:rPr>
                <w:color w:val="0070C0"/>
                <w:sz w:val="16"/>
                <w:szCs w:val="16"/>
              </w:rPr>
            </w:pPr>
            <w:r w:rsidRPr="00507A31">
              <w:rPr>
                <w:color w:val="0070C0"/>
                <w:sz w:val="16"/>
                <w:szCs w:val="16"/>
              </w:rPr>
              <w:t>260 пехотных и кавалерийских дивизий</w:t>
            </w:r>
          </w:p>
        </w:tc>
        <w:tc>
          <w:tcPr>
            <w:tcW w:w="5228" w:type="dxa"/>
          </w:tcPr>
          <w:p w14:paraId="711C7E5E" w14:textId="77777777" w:rsidR="00275D63" w:rsidRPr="00507A31" w:rsidRDefault="00275D63" w:rsidP="00507A31">
            <w:pPr>
              <w:jc w:val="both"/>
              <w:rPr>
                <w:color w:val="0070C0"/>
                <w:sz w:val="16"/>
                <w:szCs w:val="16"/>
              </w:rPr>
            </w:pPr>
            <w:r w:rsidRPr="00507A31">
              <w:rPr>
                <w:color w:val="0070C0"/>
                <w:sz w:val="16"/>
                <w:szCs w:val="16"/>
              </w:rPr>
              <w:t>220 пехотных и 25 кавалерийских дивизий, 220 танковых батальонов</w:t>
            </w:r>
          </w:p>
        </w:tc>
      </w:tr>
      <w:tr w:rsidR="00275D63" w:rsidRPr="00507A31" w14:paraId="55DBBCD4" w14:textId="77777777" w:rsidTr="00027DFA">
        <w:tc>
          <w:tcPr>
            <w:tcW w:w="5228" w:type="dxa"/>
          </w:tcPr>
          <w:p w14:paraId="4EFE3F91" w14:textId="77777777" w:rsidR="00275D63" w:rsidRPr="00507A31" w:rsidRDefault="00275D63" w:rsidP="00507A31">
            <w:pPr>
              <w:jc w:val="both"/>
              <w:rPr>
                <w:color w:val="0070C0"/>
                <w:sz w:val="16"/>
                <w:szCs w:val="16"/>
              </w:rPr>
            </w:pPr>
            <w:r w:rsidRPr="00507A31">
              <w:rPr>
                <w:color w:val="0070C0"/>
                <w:sz w:val="16"/>
                <w:szCs w:val="16"/>
              </w:rPr>
              <w:t>50 дивизий Резерва Верховного командования</w:t>
            </w:r>
          </w:p>
        </w:tc>
        <w:tc>
          <w:tcPr>
            <w:tcW w:w="5228" w:type="dxa"/>
          </w:tcPr>
          <w:p w14:paraId="0AD9854E" w14:textId="77777777" w:rsidR="00275D63" w:rsidRPr="00507A31" w:rsidRDefault="00275D63" w:rsidP="00507A31">
            <w:pPr>
              <w:jc w:val="both"/>
              <w:rPr>
                <w:color w:val="0070C0"/>
                <w:sz w:val="16"/>
                <w:szCs w:val="16"/>
              </w:rPr>
            </w:pPr>
            <w:r w:rsidRPr="00507A31">
              <w:rPr>
                <w:color w:val="0070C0"/>
                <w:sz w:val="16"/>
                <w:szCs w:val="16"/>
              </w:rPr>
              <w:t>3 артиллерийских дивизиона в распоряжении Верховного командования</w:t>
            </w:r>
          </w:p>
        </w:tc>
      </w:tr>
      <w:tr w:rsidR="00275D63" w:rsidRPr="00507A31" w14:paraId="510FC95C" w14:textId="77777777" w:rsidTr="00027DFA">
        <w:tc>
          <w:tcPr>
            <w:tcW w:w="5228" w:type="dxa"/>
          </w:tcPr>
          <w:p w14:paraId="69E7F365" w14:textId="77777777" w:rsidR="00275D63" w:rsidRPr="00507A31" w:rsidRDefault="00275D63" w:rsidP="00507A31">
            <w:pPr>
              <w:jc w:val="both"/>
              <w:rPr>
                <w:color w:val="0070C0"/>
                <w:sz w:val="16"/>
                <w:szCs w:val="16"/>
              </w:rPr>
            </w:pPr>
            <w:r w:rsidRPr="00507A31">
              <w:rPr>
                <w:color w:val="0070C0"/>
                <w:sz w:val="16"/>
                <w:szCs w:val="16"/>
              </w:rPr>
              <w:t>225 пулеметных батальонов в Резерве Верховного командования</w:t>
            </w:r>
          </w:p>
        </w:tc>
        <w:tc>
          <w:tcPr>
            <w:tcW w:w="5228" w:type="dxa"/>
          </w:tcPr>
          <w:p w14:paraId="0271567E" w14:textId="77777777" w:rsidR="00275D63" w:rsidRPr="00507A31" w:rsidRDefault="00275D63" w:rsidP="00507A31">
            <w:pPr>
              <w:jc w:val="both"/>
              <w:rPr>
                <w:color w:val="0070C0"/>
                <w:sz w:val="16"/>
                <w:szCs w:val="16"/>
              </w:rPr>
            </w:pPr>
            <w:r w:rsidRPr="00507A31">
              <w:rPr>
                <w:color w:val="0070C0"/>
                <w:sz w:val="16"/>
                <w:szCs w:val="16"/>
              </w:rPr>
              <w:t>60 пулеметных батальонов</w:t>
            </w:r>
          </w:p>
        </w:tc>
      </w:tr>
      <w:tr w:rsidR="00275D63" w:rsidRPr="00507A31" w14:paraId="365F7962" w14:textId="77777777" w:rsidTr="00027DFA">
        <w:tc>
          <w:tcPr>
            <w:tcW w:w="5228" w:type="dxa"/>
          </w:tcPr>
          <w:p w14:paraId="65ACA0FE" w14:textId="77777777" w:rsidR="00275D63" w:rsidRPr="00507A31" w:rsidRDefault="00275D63" w:rsidP="00507A31">
            <w:pPr>
              <w:jc w:val="both"/>
              <w:rPr>
                <w:color w:val="0070C0"/>
                <w:sz w:val="16"/>
                <w:szCs w:val="16"/>
              </w:rPr>
            </w:pPr>
            <w:r w:rsidRPr="00507A31">
              <w:rPr>
                <w:color w:val="0070C0"/>
                <w:sz w:val="16"/>
                <w:szCs w:val="16"/>
              </w:rPr>
              <w:t>40000 боевых самолетов в строю</w:t>
            </w:r>
          </w:p>
        </w:tc>
        <w:tc>
          <w:tcPr>
            <w:tcW w:w="5228" w:type="dxa"/>
          </w:tcPr>
          <w:p w14:paraId="2AA92790" w14:textId="77777777" w:rsidR="00275D63" w:rsidRPr="00507A31" w:rsidRDefault="00275D63" w:rsidP="00507A31">
            <w:pPr>
              <w:jc w:val="both"/>
              <w:rPr>
                <w:color w:val="0070C0"/>
                <w:sz w:val="16"/>
                <w:szCs w:val="16"/>
              </w:rPr>
            </w:pPr>
            <w:r w:rsidRPr="00507A31">
              <w:rPr>
                <w:color w:val="0070C0"/>
                <w:sz w:val="16"/>
                <w:szCs w:val="16"/>
              </w:rPr>
              <w:t>30000 самолетов в строю</w:t>
            </w:r>
          </w:p>
        </w:tc>
      </w:tr>
      <w:tr w:rsidR="00275D63" w:rsidRPr="00507A31" w14:paraId="2E71DB64" w14:textId="77777777" w:rsidTr="00027DFA">
        <w:tc>
          <w:tcPr>
            <w:tcW w:w="5228" w:type="dxa"/>
          </w:tcPr>
          <w:p w14:paraId="07C075AD" w14:textId="77777777" w:rsidR="00275D63" w:rsidRPr="00507A31" w:rsidRDefault="00275D63" w:rsidP="00507A31">
            <w:pPr>
              <w:jc w:val="both"/>
              <w:rPr>
                <w:color w:val="0070C0"/>
                <w:sz w:val="16"/>
                <w:szCs w:val="16"/>
              </w:rPr>
            </w:pPr>
            <w:r w:rsidRPr="00507A31">
              <w:rPr>
                <w:color w:val="0070C0"/>
                <w:sz w:val="16"/>
                <w:szCs w:val="16"/>
              </w:rPr>
              <w:t>50000 боевых танков в строю</w:t>
            </w:r>
          </w:p>
        </w:tc>
        <w:tc>
          <w:tcPr>
            <w:tcW w:w="5228" w:type="dxa"/>
          </w:tcPr>
          <w:p w14:paraId="7D6F35DA" w14:textId="77777777" w:rsidR="00275D63" w:rsidRPr="00507A31" w:rsidRDefault="00275D63" w:rsidP="00507A31">
            <w:pPr>
              <w:jc w:val="both"/>
              <w:rPr>
                <w:color w:val="0070C0"/>
                <w:sz w:val="16"/>
                <w:szCs w:val="16"/>
              </w:rPr>
            </w:pPr>
            <w:r w:rsidRPr="00507A31">
              <w:rPr>
                <w:color w:val="0070C0"/>
                <w:sz w:val="16"/>
                <w:szCs w:val="16"/>
              </w:rPr>
              <w:t>22000 танков первой линии боя</w:t>
            </w:r>
          </w:p>
        </w:tc>
      </w:tr>
    </w:tbl>
    <w:p w14:paraId="60FA5415" w14:textId="77777777" w:rsidR="00275D63" w:rsidRPr="00507A31" w:rsidRDefault="00275D63" w:rsidP="00507A31">
      <w:pPr>
        <w:jc w:val="both"/>
        <w:rPr>
          <w:color w:val="0070C0"/>
          <w:sz w:val="16"/>
          <w:szCs w:val="16"/>
        </w:rPr>
      </w:pPr>
      <w:r w:rsidRPr="00507A31">
        <w:rPr>
          <w:color w:val="0070C0"/>
          <w:sz w:val="16"/>
          <w:szCs w:val="16"/>
        </w:rPr>
        <w:t>Источники:Для расчетов Тухачевского — РГВА. Ф.7. Оп.10. Д.1047. Л.7об. Для расчетов Снитко — РГАЭ. Ф.4372. Оп.91. Д.1271. Л.7–6об (9089).</w:t>
      </w:r>
    </w:p>
    <w:p w14:paraId="7E7891C7" w14:textId="77777777" w:rsidR="00275D63" w:rsidRPr="00507A31" w:rsidRDefault="00275D63" w:rsidP="00507A31">
      <w:pPr>
        <w:jc w:val="both"/>
        <w:rPr>
          <w:color w:val="0070C0"/>
          <w:sz w:val="16"/>
          <w:szCs w:val="16"/>
        </w:rPr>
      </w:pPr>
    </w:p>
    <w:p w14:paraId="4ECEB89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B8D48C2" w14:textId="77777777" w:rsidR="00537E5F" w:rsidRPr="00507A31" w:rsidRDefault="00537E5F" w:rsidP="00507A31">
      <w:pPr>
        <w:autoSpaceDE w:val="0"/>
        <w:autoSpaceDN w:val="0"/>
        <w:adjustRightInd w:val="0"/>
        <w:jc w:val="both"/>
        <w:rPr>
          <w:iCs/>
          <w:color w:val="000000" w:themeColor="text1"/>
          <w:sz w:val="16"/>
          <w:szCs w:val="16"/>
        </w:rPr>
      </w:pPr>
    </w:p>
    <w:p w14:paraId="262D1F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 1930 г. был заключен договор Саудовской Аравии о торговле и урегулировании пограничных конфликтов с Кувейтом, в 1931 г. договор "о дружбе и добрососедских отношениях" с Ираком, в 1933 г. - с Трансиорданией, в 1936 г. - с Египтом. И, наконец, в том же 1936 г. был подписан уже упоминавшийся договор "Об арабском братстве и союзе" с Ираком (3871).</w:t>
      </w:r>
    </w:p>
    <w:p w14:paraId="2C2345B9" w14:textId="77777777" w:rsidR="00537E5F" w:rsidRPr="00507A31" w:rsidRDefault="00537E5F" w:rsidP="00507A31">
      <w:pPr>
        <w:autoSpaceDE w:val="0"/>
        <w:autoSpaceDN w:val="0"/>
        <w:adjustRightInd w:val="0"/>
        <w:jc w:val="both"/>
        <w:rPr>
          <w:color w:val="000000" w:themeColor="text1"/>
          <w:sz w:val="16"/>
          <w:szCs w:val="16"/>
        </w:rPr>
      </w:pPr>
    </w:p>
    <w:p w14:paraId="603682B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6410B95" w14:textId="77777777" w:rsidR="00537E5F" w:rsidRPr="00507A31" w:rsidRDefault="00537E5F" w:rsidP="00507A31">
      <w:pPr>
        <w:autoSpaceDE w:val="0"/>
        <w:autoSpaceDN w:val="0"/>
        <w:adjustRightInd w:val="0"/>
        <w:jc w:val="both"/>
        <w:rPr>
          <w:iCs/>
          <w:color w:val="000000" w:themeColor="text1"/>
          <w:sz w:val="16"/>
          <w:szCs w:val="16"/>
        </w:rPr>
      </w:pPr>
    </w:p>
    <w:p w14:paraId="286624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марте-апреле 1930 в Севастополе испытывали итальянские лл S.62bis и 1 секция НТК УВВС установила, что гидросамолет удовлетворяет ТТТ (2446,41).</w:t>
      </w:r>
    </w:p>
    <w:p w14:paraId="71A4659A" w14:textId="77777777" w:rsidR="00537E5F" w:rsidRPr="00507A31" w:rsidRDefault="00537E5F" w:rsidP="00507A31">
      <w:pPr>
        <w:autoSpaceDE w:val="0"/>
        <w:autoSpaceDN w:val="0"/>
        <w:adjustRightInd w:val="0"/>
        <w:jc w:val="both"/>
        <w:rPr>
          <w:color w:val="000000" w:themeColor="text1"/>
          <w:sz w:val="16"/>
          <w:szCs w:val="16"/>
        </w:rPr>
      </w:pPr>
    </w:p>
    <w:p w14:paraId="4ADAB1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марте — апреле 1930 г. удалось провести достаточно длительные заводские испытания М-23 Мотор собрали с цилиндрами от М-12, хотя первоначально для него спроектировали несколь</w:t>
      </w:r>
      <w:r w:rsidRPr="00507A31">
        <w:rPr>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507A31">
        <w:rPr>
          <w:color w:val="000000" w:themeColor="text1"/>
          <w:sz w:val="16"/>
          <w:szCs w:val="16"/>
        </w:rPr>
        <w:softHyphen/>
        <w:t>ные испытания, которые М-23, наконец, прошел. Его установили на само</w:t>
      </w:r>
      <w:r w:rsidRPr="00507A31">
        <w:rPr>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42D056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4DA288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3-цшиндровый, звездообразный, четырехтактный, воздушного охлаж</w:t>
      </w:r>
      <w:r w:rsidRPr="00507A31">
        <w:rPr>
          <w:color w:val="000000" w:themeColor="text1"/>
          <w:sz w:val="16"/>
          <w:szCs w:val="16"/>
        </w:rPr>
        <w:softHyphen/>
        <w:t>дения;</w:t>
      </w:r>
    </w:p>
    <w:p w14:paraId="6F5893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65/74 л.с.;</w:t>
      </w:r>
    </w:p>
    <w:p w14:paraId="341B3C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125/140 мм;</w:t>
      </w:r>
    </w:p>
    <w:p w14:paraId="13E6CD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5,16 л;</w:t>
      </w:r>
    </w:p>
    <w:p w14:paraId="186EC5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5,1;</w:t>
      </w:r>
    </w:p>
    <w:p w14:paraId="6CA893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1A244A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вес 109,9 кг (с цилиндрами от М-12).</w:t>
      </w:r>
    </w:p>
    <w:p w14:paraId="7D5449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25A1AF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6859B7" w14:textId="77777777" w:rsidR="00275D63" w:rsidRPr="00507A31" w:rsidRDefault="00275D63"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146A48A" w14:textId="77777777" w:rsidR="00275D63" w:rsidRPr="00507A31" w:rsidRDefault="00275D63" w:rsidP="00507A31">
      <w:pPr>
        <w:autoSpaceDE w:val="0"/>
        <w:autoSpaceDN w:val="0"/>
        <w:adjustRightInd w:val="0"/>
        <w:jc w:val="both"/>
        <w:rPr>
          <w:iCs/>
          <w:color w:val="000000" w:themeColor="text1"/>
          <w:sz w:val="16"/>
          <w:szCs w:val="16"/>
        </w:rPr>
      </w:pPr>
    </w:p>
    <w:p w14:paraId="3CE87053" w14:textId="77777777" w:rsidR="00275D63" w:rsidRPr="00507A31" w:rsidRDefault="00275D63" w:rsidP="00507A31">
      <w:pPr>
        <w:jc w:val="both"/>
        <w:rPr>
          <w:color w:val="0070C0"/>
          <w:sz w:val="16"/>
          <w:szCs w:val="16"/>
        </w:rPr>
      </w:pPr>
      <w:r w:rsidRPr="00507A31">
        <w:rPr>
          <w:color w:val="0070C0"/>
          <w:sz w:val="16"/>
          <w:szCs w:val="16"/>
        </w:rPr>
        <w:t>В марте-апреле 1930 в НАМИ поступила импорт</w:t>
      </w:r>
      <w:r w:rsidRPr="00507A31">
        <w:rPr>
          <w:color w:val="0070C0"/>
          <w:sz w:val="16"/>
          <w:szCs w:val="16"/>
        </w:rPr>
        <w:softHyphen/>
        <w:t>ная специальная техника: военный быстроходный колесный тягач Маффей (Германия) мощностью 60 л.с. с добавочным приспособлением для гусенич</w:t>
      </w:r>
      <w:r w:rsidRPr="00507A31">
        <w:rPr>
          <w:color w:val="0070C0"/>
          <w:sz w:val="16"/>
          <w:szCs w:val="16"/>
        </w:rPr>
        <w:softHyphen/>
        <w:t>ного хода и прицепом, военный 4-колесный тягач на пневматиках Шенар-Валькер (Франция) с лебедкой, военный 6-колесный тягач Шенар-Валькер на пнев</w:t>
      </w:r>
      <w:r w:rsidRPr="00507A31">
        <w:rPr>
          <w:color w:val="0070C0"/>
          <w:sz w:val="16"/>
          <w:szCs w:val="16"/>
        </w:rPr>
        <w:softHyphen/>
        <w:t>матиках с приспособлением для гусеничного хода, гражданское трехосное шасси Даймонд (США) моде</w:t>
      </w:r>
      <w:r w:rsidRPr="00507A31">
        <w:rPr>
          <w:color w:val="0070C0"/>
          <w:sz w:val="16"/>
          <w:szCs w:val="16"/>
        </w:rPr>
        <w:softHyphen/>
        <w:t>ли 1600 с двигателем Геркулес, двухосное шасси с кабиной Аутокар грузоподъемностью 3,5 т, трехос</w:t>
      </w:r>
      <w:r w:rsidRPr="00507A31">
        <w:rPr>
          <w:color w:val="0070C0"/>
          <w:sz w:val="16"/>
          <w:szCs w:val="16"/>
        </w:rPr>
        <w:softHyphen/>
        <w:t>ное шасси Татра (Чехословакия) грузоподъемнос</w:t>
      </w:r>
      <w:r w:rsidRPr="00507A31">
        <w:rPr>
          <w:color w:val="0070C0"/>
          <w:sz w:val="16"/>
          <w:szCs w:val="16"/>
        </w:rPr>
        <w:softHyphen/>
        <w:t>тью 1,5 т, 2 различных трехосных шасси Мореданд, мост к трехоске Аутокар (22518).</w:t>
      </w:r>
    </w:p>
    <w:p w14:paraId="3C29E40A" w14:textId="77777777" w:rsidR="00275D63" w:rsidRPr="00507A31" w:rsidRDefault="00275D63" w:rsidP="00507A31">
      <w:pPr>
        <w:jc w:val="both"/>
        <w:rPr>
          <w:color w:val="0070C0"/>
          <w:sz w:val="16"/>
          <w:szCs w:val="16"/>
        </w:rPr>
      </w:pPr>
    </w:p>
    <w:p w14:paraId="46E008E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BC3646F" w14:textId="77777777" w:rsidR="00537E5F" w:rsidRPr="00507A31" w:rsidRDefault="00537E5F" w:rsidP="00507A31">
      <w:pPr>
        <w:autoSpaceDE w:val="0"/>
        <w:autoSpaceDN w:val="0"/>
        <w:adjustRightInd w:val="0"/>
        <w:jc w:val="both"/>
        <w:rPr>
          <w:iCs/>
          <w:color w:val="000000" w:themeColor="text1"/>
          <w:sz w:val="16"/>
          <w:szCs w:val="16"/>
        </w:rPr>
      </w:pPr>
    </w:p>
    <w:p w14:paraId="31F0C5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весны 1930 г. первые ТБ-1 перегнали в Воронеж На торжественное вручение самолетов прибыл председатель ВЦИК М.И. Калинин, который произнес речь перед собравшимися. Летчики с энтузиазмом отнеслись к новой технике. Туполевский самолет несколько уступал ЮГ-1 по скорости, но превосходил по потолку, скороподъемности, а также по весу и ассортименту нагрузки. Кроме того, он с самого начала проектировался как боевая машина, а не являлся переделкой пассажирской, как "юнкере". Его двухмоторная схема давала определенные преимущества в отношении обзора и обстрела, облегчала прицеливание при бомбометании. Штурман-бомбардир сидел в носовой части фюзеляжа, через окна наблюдая за землей. Машина имела довольно мощное вооружение из шести пулеметов, но обстрел не был сферическим - "мертвые зоны" располагались за хвостом и под фюзеляжем. ТБ-1 были довольно быстро освоены личным составом (12036).</w:t>
      </w:r>
    </w:p>
    <w:p w14:paraId="7CCAFFCF" w14:textId="77777777" w:rsidR="00537E5F" w:rsidRPr="00507A31" w:rsidRDefault="00537E5F" w:rsidP="00507A31">
      <w:pPr>
        <w:autoSpaceDE w:val="0"/>
        <w:autoSpaceDN w:val="0"/>
        <w:adjustRightInd w:val="0"/>
        <w:jc w:val="both"/>
        <w:rPr>
          <w:color w:val="000000" w:themeColor="text1"/>
          <w:sz w:val="16"/>
          <w:szCs w:val="16"/>
        </w:rPr>
      </w:pPr>
    </w:p>
    <w:p w14:paraId="12C49BD1" w14:textId="77777777" w:rsidR="00AA2FE0" w:rsidRPr="00507A31" w:rsidRDefault="00AA2FE0"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B9A5EE5" w14:textId="77777777" w:rsidR="00AA2FE0" w:rsidRPr="00507A31" w:rsidRDefault="00AA2FE0" w:rsidP="00507A31">
      <w:pPr>
        <w:autoSpaceDE w:val="0"/>
        <w:autoSpaceDN w:val="0"/>
        <w:adjustRightInd w:val="0"/>
        <w:jc w:val="both"/>
        <w:rPr>
          <w:iCs/>
          <w:color w:val="000000" w:themeColor="text1"/>
          <w:sz w:val="16"/>
          <w:szCs w:val="16"/>
        </w:rPr>
      </w:pPr>
    </w:p>
    <w:p w14:paraId="0C3732FD" w14:textId="77777777" w:rsidR="00AA2FE0" w:rsidRPr="00507A31" w:rsidRDefault="00AA2FE0" w:rsidP="00507A31">
      <w:pPr>
        <w:jc w:val="both"/>
        <w:rPr>
          <w:color w:val="000000" w:themeColor="text1"/>
          <w:sz w:val="16"/>
          <w:szCs w:val="16"/>
          <w:shd w:val="clear" w:color="auto" w:fill="FFFFFF"/>
        </w:rPr>
      </w:pPr>
      <w:r w:rsidRPr="00507A31">
        <w:rPr>
          <w:color w:val="000000" w:themeColor="text1"/>
          <w:sz w:val="16"/>
          <w:szCs w:val="16"/>
          <w:shd w:val="clear" w:color="auto" w:fill="FFFFFF"/>
        </w:rPr>
        <w:t>К началу апреля 1930 Т-12 начал совершать пробежки по заводскому двору.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Из найденных в РГВА отчетов по испытаниям Т-12 самый ранний датируется 2 апреля 1930 года.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3CABC570" w14:textId="77777777" w:rsidR="00AA2FE0" w:rsidRPr="00507A31" w:rsidRDefault="00AA2FE0" w:rsidP="00507A31">
      <w:pPr>
        <w:jc w:val="both"/>
        <w:rPr>
          <w:color w:val="000000" w:themeColor="text1"/>
          <w:sz w:val="16"/>
          <w:szCs w:val="16"/>
          <w:shd w:val="clear" w:color="auto" w:fill="FFFFFF"/>
        </w:rPr>
      </w:pPr>
    </w:p>
    <w:p w14:paraId="24C2360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99E6F72" w14:textId="77777777" w:rsidR="00537E5F" w:rsidRPr="00507A31" w:rsidRDefault="00537E5F" w:rsidP="00507A31">
      <w:pPr>
        <w:autoSpaceDE w:val="0"/>
        <w:autoSpaceDN w:val="0"/>
        <w:adjustRightInd w:val="0"/>
        <w:jc w:val="both"/>
        <w:rPr>
          <w:iCs/>
          <w:color w:val="000000" w:themeColor="text1"/>
          <w:sz w:val="16"/>
          <w:szCs w:val="16"/>
        </w:rPr>
      </w:pPr>
    </w:p>
    <w:p w14:paraId="5E2653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 г. вышло постановление НТК о проведении в НИИ УВВС серийных испытаний самолета П-2 N 2284 с мотором М-6 постройки завода N 23 (3278).</w:t>
      </w:r>
    </w:p>
    <w:p w14:paraId="7F550BED" w14:textId="77777777" w:rsidR="00537E5F" w:rsidRPr="00507A31" w:rsidRDefault="00537E5F" w:rsidP="00507A31">
      <w:pPr>
        <w:autoSpaceDE w:val="0"/>
        <w:autoSpaceDN w:val="0"/>
        <w:adjustRightInd w:val="0"/>
        <w:jc w:val="both"/>
        <w:rPr>
          <w:color w:val="000000" w:themeColor="text1"/>
          <w:sz w:val="16"/>
          <w:szCs w:val="16"/>
        </w:rPr>
      </w:pPr>
    </w:p>
    <w:p w14:paraId="7CB774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апреля 1930 г. после демонстрации возможностей И-5 с 2М-15 на Центральном аэродроме нарком К.Е. Ворошилов со</w:t>
      </w:r>
      <w:r w:rsidRPr="00507A31">
        <w:rPr>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507A31">
        <w:rPr>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507A31">
        <w:rPr>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507A31">
        <w:rPr>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507A31">
        <w:rPr>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4ED6C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437785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9-цилиндровый, звездообразный, четырехтактный, воздушного охлаж</w:t>
      </w:r>
      <w:r w:rsidRPr="00507A31">
        <w:rPr>
          <w:color w:val="000000" w:themeColor="text1"/>
          <w:sz w:val="16"/>
          <w:szCs w:val="16"/>
        </w:rPr>
        <w:softHyphen/>
        <w:t>дения;</w:t>
      </w:r>
    </w:p>
    <w:p w14:paraId="5B4D3A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450/660 л.с.;</w:t>
      </w:r>
    </w:p>
    <w:p w14:paraId="3CD61D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150/170 мм;</w:t>
      </w:r>
    </w:p>
    <w:p w14:paraId="7D3851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27,02 л;</w:t>
      </w:r>
    </w:p>
    <w:p w14:paraId="749AE2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5,4 (фактически 5,5-5,7);</w:t>
      </w:r>
    </w:p>
    <w:p w14:paraId="74FAD9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566FB6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и вес в зависимости от модификации и серии;</w:t>
      </w:r>
    </w:p>
    <w:p w14:paraId="16CBFB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имел ПЦН и синхронизатор. Известны варианты:</w:t>
      </w:r>
    </w:p>
    <w:p w14:paraId="2A7D27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М-15, первоначальный вариант. Изготовлен в двух опытных экзем</w:t>
      </w:r>
      <w:r w:rsidRPr="00507A31">
        <w:rPr>
          <w:color w:val="000000" w:themeColor="text1"/>
          <w:sz w:val="16"/>
          <w:szCs w:val="16"/>
        </w:rPr>
        <w:softHyphen/>
        <w:t>плярах. Мощность по проекту 500/600 л.с., вес 420 кг.</w:t>
      </w:r>
    </w:p>
    <w:p w14:paraId="1E71D7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2М-15, второй вариант конструкции с усиленными головками цилин</w:t>
      </w:r>
      <w:r w:rsidRPr="00507A31">
        <w:rPr>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507A31">
        <w:rPr>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10526A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 устанавливался на самолетах К-5, И-5 (опытные образцы), пред</w:t>
      </w:r>
      <w:r w:rsidRPr="00507A31">
        <w:rPr>
          <w:color w:val="000000" w:themeColor="text1"/>
          <w:sz w:val="16"/>
          <w:szCs w:val="16"/>
        </w:rPr>
        <w:softHyphen/>
        <w:t>лагался для установки на И-4 (11852).</w:t>
      </w:r>
    </w:p>
    <w:p w14:paraId="44BD43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466A068" w14:textId="77777777" w:rsidR="00D80E5B" w:rsidRPr="00507A31" w:rsidRDefault="00D80E5B" w:rsidP="00507A31">
      <w:pPr>
        <w:jc w:val="both"/>
        <w:rPr>
          <w:color w:val="0070C0"/>
          <w:sz w:val="16"/>
          <w:szCs w:val="16"/>
        </w:rPr>
      </w:pPr>
      <w:r w:rsidRPr="00507A31">
        <w:rPr>
          <w:color w:val="0070C0"/>
          <w:sz w:val="16"/>
          <w:szCs w:val="16"/>
        </w:rPr>
        <w:t>1 апреля 1930 г. второй опытный образец S.62bis, построенный в Сесто Календе, поступил в экспериментальный центр в Винья-ди-Валле, где провели свой тур испытаний. Из-за того, что более мощный мотор расходовал больше бензина, дальность полета по сравнению с S.59bis и S.62 уменьшилась (РГВА. Ф. 33987. Оп. 3. Д. 340 Отчет об испытании итальянского самолета С. 62-бис; Схемы и краткое описание самолета 15.03.1930 - 29.04.1932.) (21410).</w:t>
      </w:r>
    </w:p>
    <w:p w14:paraId="10248A87" w14:textId="77777777" w:rsidR="00D80E5B" w:rsidRPr="00507A31" w:rsidRDefault="00D80E5B" w:rsidP="00507A31">
      <w:pPr>
        <w:jc w:val="both"/>
        <w:rPr>
          <w:color w:val="0070C0"/>
          <w:sz w:val="16"/>
          <w:szCs w:val="16"/>
        </w:rPr>
      </w:pPr>
    </w:p>
    <w:p w14:paraId="2BCEDB9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9CA4921" w14:textId="77777777" w:rsidR="00537E5F" w:rsidRPr="00507A31" w:rsidRDefault="00537E5F" w:rsidP="00507A31">
      <w:pPr>
        <w:autoSpaceDE w:val="0"/>
        <w:autoSpaceDN w:val="0"/>
        <w:adjustRightInd w:val="0"/>
        <w:jc w:val="both"/>
        <w:rPr>
          <w:iCs/>
          <w:color w:val="000000" w:themeColor="text1"/>
          <w:sz w:val="16"/>
          <w:szCs w:val="16"/>
        </w:rPr>
      </w:pPr>
    </w:p>
    <w:p w14:paraId="20644F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1 апреля 1930 г. завод Красный Путиловец сдал на испытания стрельбой 20 152-мм пушек обр. 1910 г. из 23 заказанных, причем последняя, 20-я, пушка была модернизирована в обр. 1910/1930 г. Таким образом, с 1914 года по 1930 год Путиловский завод изготовил 85 152-мм пушек обр. 1910 г (3861).</w:t>
      </w:r>
    </w:p>
    <w:p w14:paraId="435288A1" w14:textId="77777777" w:rsidR="00537E5F" w:rsidRPr="00507A31" w:rsidRDefault="00537E5F" w:rsidP="00507A31">
      <w:pPr>
        <w:autoSpaceDE w:val="0"/>
        <w:autoSpaceDN w:val="0"/>
        <w:adjustRightInd w:val="0"/>
        <w:jc w:val="both"/>
        <w:rPr>
          <w:color w:val="000000" w:themeColor="text1"/>
          <w:sz w:val="16"/>
          <w:szCs w:val="16"/>
        </w:rPr>
      </w:pPr>
    </w:p>
    <w:p w14:paraId="505052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1 апреля 1930 года заводом "Красный Путиловец" была изготовлена первая модернизированная 152-мм пушка. Она же была 20-й системой, изготовленной по договору от 26.04.1928 г. на 23 пушки обр. 1910 г. Модернизация 152-мм пушки обр. 1910 г. была проведена по проекту КБ Артиллерийского комитета ГАУ с целью увеличения дальности стрельбы до 18 км. При этом предусматривалось:</w:t>
      </w:r>
    </w:p>
    <w:p w14:paraId="348BBC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удлинение ствола на 1 калибр;</w:t>
      </w:r>
    </w:p>
    <w:p w14:paraId="6FD2F9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расточка каморы под дальнейший снаряд;</w:t>
      </w:r>
    </w:p>
    <w:p w14:paraId="0BB08D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применение дульного тормоза;</w:t>
      </w:r>
    </w:p>
    <w:p w14:paraId="0F37EA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для уравновешивания качающейся части перенос цапф вперед.</w:t>
      </w:r>
    </w:p>
    <w:p w14:paraId="6F33F8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этой (20-й) пушки показали, что удлинение ствола на 1 калибр дало увеличение дальности на 200 м. Поэтому ствол на последующих орудиях был оставлен прежней длины (3861).</w:t>
      </w:r>
    </w:p>
    <w:p w14:paraId="37DD6CAD" w14:textId="77777777" w:rsidR="00537E5F" w:rsidRPr="00507A31" w:rsidRDefault="00537E5F" w:rsidP="00507A31">
      <w:pPr>
        <w:autoSpaceDE w:val="0"/>
        <w:autoSpaceDN w:val="0"/>
        <w:adjustRightInd w:val="0"/>
        <w:jc w:val="both"/>
        <w:rPr>
          <w:color w:val="000000" w:themeColor="text1"/>
          <w:sz w:val="16"/>
          <w:szCs w:val="16"/>
        </w:rPr>
      </w:pPr>
    </w:p>
    <w:p w14:paraId="449F0157" w14:textId="77777777" w:rsidR="00F42E0E" w:rsidRPr="00507A31" w:rsidRDefault="00F42E0E" w:rsidP="00507A31">
      <w:pPr>
        <w:jc w:val="both"/>
        <w:rPr>
          <w:color w:val="000000" w:themeColor="text1"/>
          <w:sz w:val="16"/>
          <w:szCs w:val="16"/>
          <w:u w:color="002060"/>
        </w:rPr>
      </w:pPr>
      <w:r w:rsidRPr="00507A31">
        <w:rPr>
          <w:color w:val="000000" w:themeColor="text1"/>
          <w:sz w:val="16"/>
          <w:szCs w:val="16"/>
          <w:u w:color="002060"/>
        </w:rPr>
        <w:t>Не позднее 1 апреля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проведении опытной мобилизации в промышленности СССР в 1930 г. (РГАЭ. Ф. 2097. Оп. 1. Д. 988. Л. 187?188) (12415).</w:t>
      </w:r>
    </w:p>
    <w:p w14:paraId="23032DF0" w14:textId="77777777" w:rsidR="00F42E0E" w:rsidRPr="00507A31" w:rsidRDefault="00F42E0E" w:rsidP="00507A31">
      <w:pPr>
        <w:jc w:val="both"/>
        <w:rPr>
          <w:color w:val="000000" w:themeColor="text1"/>
          <w:sz w:val="16"/>
          <w:szCs w:val="16"/>
          <w:u w:color="002060"/>
        </w:rPr>
      </w:pPr>
    </w:p>
    <w:p w14:paraId="4C0627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 Зав. СШО Президиума ВСНХ Высоцкий писал письмо № 4929/р в ВСНХ Союзных республик и всем объединениям:</w:t>
      </w:r>
    </w:p>
    <w:p w14:paraId="231425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циркулярном письме ВСНХ СССР от 9 марта 1930 г. за № 4198/с “о дополнении списка хозорганов, обслуживаемых фельдкорпусом при ОГПУ и их адресов, следует внести поправки в адрес Шлиссельбургского завода, выкинув из него слово “пороховой” и в дальнейшем направляемую заводу корреспонденцию адресовать: “Шлиссельбкргский завод им. Морозова” (8826,47).</w:t>
      </w:r>
    </w:p>
    <w:p w14:paraId="56EB2B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6F9FD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 г. Уральский научно-исследовательский институт по обогащению и механической обработке полезных ископаемых "Уралмеханобр"становится Уральским филиалом Всесоюзного научно-исследовательского и проектного института механической обработки полезных ископаемых "Механобр". В 1941 г. головной институт эвакуирован из г. Ленинграда в г. Свердловск и на время войны (1941 - 1945) на базе института и филиала создан Объединенный научно-исследовательский институт механической обработки полезных ископаемых "Механобр". На основании приказа Наркомата цветной металлургии СССР от 19 апреля 1945 г. возобновили свою деятельность в г. Ленинграде - институт Механобр, а в г. Свердловске - его Уральский филиал. Приказом Министерства цветной металлургии СССР от 5 января 1952 г. на базе филиала был создан Уралмеханобр (12102).</w:t>
      </w:r>
    </w:p>
    <w:p w14:paraId="0F83C8A8" w14:textId="77777777" w:rsidR="00537E5F" w:rsidRPr="00507A31" w:rsidRDefault="00537E5F" w:rsidP="00507A31">
      <w:pPr>
        <w:jc w:val="both"/>
        <w:rPr>
          <w:color w:val="000000" w:themeColor="text1"/>
          <w:sz w:val="16"/>
          <w:szCs w:val="16"/>
        </w:rPr>
      </w:pPr>
    </w:p>
    <w:p w14:paraId="4DB58D3A" w14:textId="77777777" w:rsidR="00460879" w:rsidRPr="00507A31" w:rsidRDefault="00460879" w:rsidP="00507A31">
      <w:pPr>
        <w:jc w:val="both"/>
        <w:rPr>
          <w:color w:val="000000" w:themeColor="text1"/>
          <w:sz w:val="16"/>
          <w:szCs w:val="16"/>
        </w:rPr>
      </w:pPr>
      <w:r w:rsidRPr="00507A31">
        <w:rPr>
          <w:color w:val="000000" w:themeColor="text1"/>
          <w:sz w:val="16"/>
          <w:szCs w:val="16"/>
        </w:rPr>
        <w:t>1 апреля 1930 г. — Справка Наркомата по военным и морским делам СССР о выполнении промышленностью заказов наркомата за 1928/29 г.</w:t>
      </w:r>
    </w:p>
    <w:p w14:paraId="48F7CCC0" w14:textId="77777777" w:rsidR="00460879" w:rsidRPr="00507A31" w:rsidRDefault="00460879" w:rsidP="00507A31">
      <w:pPr>
        <w:jc w:val="both"/>
        <w:rPr>
          <w:color w:val="000000" w:themeColor="text1"/>
          <w:sz w:val="16"/>
          <w:szCs w:val="16"/>
        </w:rPr>
      </w:pPr>
      <w:r w:rsidRPr="00507A31">
        <w:rPr>
          <w:color w:val="000000" w:themeColor="text1"/>
          <w:sz w:val="16"/>
          <w:szCs w:val="16"/>
        </w:rPr>
        <w:t>Реквизиты</w:t>
      </w:r>
    </w:p>
    <w:p w14:paraId="6576C40E" w14:textId="77777777" w:rsidR="00460879" w:rsidRPr="00507A31" w:rsidRDefault="00460879"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184C32EB"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Фактический недодел за 1928/29 г. по всем заказам НКВМ выразился в абсолютной сумме 38 131 859 руб., что составляет 11% от подлежащего поставке за этот год. Сравнение в отношении недоделов данных 1928/29 г. с предшествующим 1927/28 г. (см. ведомость № 1 в приложении¹*) свидетельствует об ухудшении выполнения поставок в 1928/29 г. Наблюдается значительный рост недоделов как в абсолютных, так и в относительных цифрах.</w:t>
      </w:r>
    </w:p>
    <w:p w14:paraId="3E4A0F14"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Средний процент недодела по заказам НКВМ военной промышленности составляет 11,2%, а по заказам гражданской промышленности 10,8%. Но если из сравнения этих только цифр сделать вывод, что гражданская промышленность справляется с заказами НКВМ почти так же или даже несколько лучше, чем военная, то этот вывод будет не совсем правильным.</w:t>
      </w:r>
    </w:p>
    <w:p w14:paraId="3A314476"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По заказам ВТУ и ВСУ военной промышленности имеются большие недоделы (29% и 70,5%), значительно превышающие недоделы по гражданской промышленности, но в данном случае это не показательно ввиду незначительности заказов ВТУ и ВСУ военной промышленности сравнительно с гражданской. Но если взять заказы НКВМ гражданской промышленности по предметам вооружения, то получаем следующую картину недоделов: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94"/>
        <w:gridCol w:w="4614"/>
        <w:gridCol w:w="4614"/>
      </w:tblGrid>
      <w:tr w:rsidR="00E371BA" w:rsidRPr="00507A31" w14:paraId="2A71DB72"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1C46AD" w14:textId="77777777" w:rsidR="00460879" w:rsidRPr="00507A31" w:rsidRDefault="00460879" w:rsidP="00507A31">
            <w:pPr>
              <w:jc w:val="both"/>
              <w:rPr>
                <w:color w:val="000000" w:themeColor="text1"/>
                <w:sz w:val="16"/>
                <w:szCs w:val="16"/>
              </w:rPr>
            </w:pPr>
            <w:r w:rsidRPr="00507A31">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D00C3A" w14:textId="77777777" w:rsidR="00460879" w:rsidRPr="00507A31" w:rsidRDefault="00460879" w:rsidP="00507A31">
            <w:pPr>
              <w:jc w:val="both"/>
              <w:rPr>
                <w:color w:val="000000" w:themeColor="text1"/>
                <w:sz w:val="16"/>
                <w:szCs w:val="16"/>
              </w:rPr>
            </w:pPr>
            <w:r w:rsidRPr="00507A31">
              <w:rPr>
                <w:color w:val="000000" w:themeColor="text1"/>
                <w:sz w:val="16"/>
                <w:szCs w:val="16"/>
              </w:rPr>
              <w:t>Процент недодела</w:t>
            </w:r>
          </w:p>
        </w:tc>
      </w:tr>
      <w:tr w:rsidR="00E371BA" w:rsidRPr="00507A31" w14:paraId="703BCD1B"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6CFC7E1A" w14:textId="77777777" w:rsidR="00460879" w:rsidRPr="00507A31" w:rsidRDefault="00460879" w:rsidP="00507A31">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E958C" w14:textId="77777777" w:rsidR="00460879" w:rsidRPr="00507A31" w:rsidRDefault="00460879" w:rsidP="00507A31">
            <w:pPr>
              <w:jc w:val="both"/>
              <w:rPr>
                <w:color w:val="000000" w:themeColor="text1"/>
                <w:sz w:val="16"/>
                <w:szCs w:val="16"/>
              </w:rPr>
            </w:pPr>
            <w:r w:rsidRPr="00507A31">
              <w:rPr>
                <w:color w:val="000000" w:themeColor="text1"/>
                <w:sz w:val="16"/>
                <w:szCs w:val="16"/>
              </w:rPr>
              <w:t>Военная</w:t>
            </w:r>
          </w:p>
          <w:p w14:paraId="6C3BD720" w14:textId="77777777" w:rsidR="00460879" w:rsidRPr="00507A31" w:rsidRDefault="00460879" w:rsidP="00507A31">
            <w:pPr>
              <w:jc w:val="both"/>
              <w:rPr>
                <w:color w:val="000000" w:themeColor="text1"/>
                <w:sz w:val="16"/>
                <w:szCs w:val="16"/>
              </w:rPr>
            </w:pPr>
            <w:r w:rsidRPr="00507A31">
              <w:rPr>
                <w:color w:val="000000" w:themeColor="text1"/>
                <w:sz w:val="16"/>
                <w:szCs w:val="16"/>
              </w:rPr>
              <w:t>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8DA77" w14:textId="77777777" w:rsidR="00460879" w:rsidRPr="00507A31" w:rsidRDefault="00460879" w:rsidP="00507A31">
            <w:pPr>
              <w:jc w:val="both"/>
              <w:rPr>
                <w:color w:val="000000" w:themeColor="text1"/>
                <w:sz w:val="16"/>
                <w:szCs w:val="16"/>
              </w:rPr>
            </w:pPr>
            <w:r w:rsidRPr="00507A31">
              <w:rPr>
                <w:color w:val="000000" w:themeColor="text1"/>
                <w:sz w:val="16"/>
                <w:szCs w:val="16"/>
              </w:rPr>
              <w:t>Гражданская</w:t>
            </w:r>
          </w:p>
          <w:p w14:paraId="24A1DA2E" w14:textId="77777777" w:rsidR="00460879" w:rsidRPr="00507A31" w:rsidRDefault="00460879" w:rsidP="00507A31">
            <w:pPr>
              <w:jc w:val="both"/>
              <w:rPr>
                <w:color w:val="000000" w:themeColor="text1"/>
                <w:sz w:val="16"/>
                <w:szCs w:val="16"/>
              </w:rPr>
            </w:pPr>
            <w:r w:rsidRPr="00507A31">
              <w:rPr>
                <w:color w:val="000000" w:themeColor="text1"/>
                <w:sz w:val="16"/>
                <w:szCs w:val="16"/>
              </w:rPr>
              <w:t>промышленность</w:t>
            </w:r>
          </w:p>
        </w:tc>
      </w:tr>
      <w:tr w:rsidR="00E371BA" w:rsidRPr="00507A31" w14:paraId="1E44E92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1388011" w14:textId="77777777" w:rsidR="00460879" w:rsidRPr="00507A31" w:rsidRDefault="00460879" w:rsidP="00507A31">
            <w:pPr>
              <w:jc w:val="both"/>
              <w:rPr>
                <w:color w:val="000000" w:themeColor="text1"/>
                <w:sz w:val="16"/>
                <w:szCs w:val="16"/>
              </w:rPr>
            </w:pPr>
            <w:r w:rsidRPr="00507A31">
              <w:rPr>
                <w:color w:val="000000" w:themeColor="text1"/>
                <w:sz w:val="16"/>
                <w:szCs w:val="16"/>
              </w:rPr>
              <w:t>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5DE60" w14:textId="77777777" w:rsidR="00460879" w:rsidRPr="00507A31" w:rsidRDefault="00460879" w:rsidP="00507A31">
            <w:pPr>
              <w:jc w:val="both"/>
              <w:rPr>
                <w:color w:val="000000" w:themeColor="text1"/>
                <w:sz w:val="16"/>
                <w:szCs w:val="16"/>
              </w:rPr>
            </w:pPr>
            <w:r w:rsidRPr="00507A31">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0C651" w14:textId="77777777" w:rsidR="00460879" w:rsidRPr="00507A31" w:rsidRDefault="00460879" w:rsidP="00507A31">
            <w:pPr>
              <w:jc w:val="both"/>
              <w:rPr>
                <w:color w:val="000000" w:themeColor="text1"/>
                <w:sz w:val="16"/>
                <w:szCs w:val="16"/>
              </w:rPr>
            </w:pPr>
            <w:r w:rsidRPr="00507A31">
              <w:rPr>
                <w:color w:val="000000" w:themeColor="text1"/>
                <w:sz w:val="16"/>
                <w:szCs w:val="16"/>
              </w:rPr>
              <w:t>34,6</w:t>
            </w:r>
          </w:p>
        </w:tc>
      </w:tr>
      <w:tr w:rsidR="00E371BA" w:rsidRPr="00507A31" w14:paraId="42292EE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4B1E4FF" w14:textId="77777777" w:rsidR="00460879" w:rsidRPr="00507A31" w:rsidRDefault="00460879" w:rsidP="00507A31">
            <w:pPr>
              <w:jc w:val="both"/>
              <w:rPr>
                <w:color w:val="000000" w:themeColor="text1"/>
                <w:sz w:val="16"/>
                <w:szCs w:val="16"/>
              </w:rPr>
            </w:pPr>
            <w:r w:rsidRPr="00507A31">
              <w:rPr>
                <w:color w:val="000000" w:themeColor="text1"/>
                <w:sz w:val="16"/>
                <w:szCs w:val="16"/>
              </w:rPr>
              <w:t>Вохиму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AE453" w14:textId="77777777" w:rsidR="00460879" w:rsidRPr="00507A31" w:rsidRDefault="00460879" w:rsidP="00507A31">
            <w:pPr>
              <w:jc w:val="both"/>
              <w:rPr>
                <w:color w:val="000000" w:themeColor="text1"/>
                <w:sz w:val="16"/>
                <w:szCs w:val="16"/>
              </w:rPr>
            </w:pPr>
            <w:r w:rsidRPr="00507A31">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62E41" w14:textId="77777777" w:rsidR="00460879" w:rsidRPr="00507A31" w:rsidRDefault="00460879" w:rsidP="00507A31">
            <w:pPr>
              <w:jc w:val="both"/>
              <w:rPr>
                <w:color w:val="000000" w:themeColor="text1"/>
                <w:sz w:val="16"/>
                <w:szCs w:val="16"/>
              </w:rPr>
            </w:pPr>
            <w:r w:rsidRPr="00507A31">
              <w:rPr>
                <w:color w:val="000000" w:themeColor="text1"/>
                <w:sz w:val="16"/>
                <w:szCs w:val="16"/>
              </w:rPr>
              <w:t>10,6</w:t>
            </w:r>
          </w:p>
        </w:tc>
      </w:tr>
      <w:tr w:rsidR="00E371BA" w:rsidRPr="00507A31" w14:paraId="38CFF44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0F86194" w14:textId="77777777" w:rsidR="00460879" w:rsidRPr="00507A31" w:rsidRDefault="00460879" w:rsidP="00507A31">
            <w:pPr>
              <w:jc w:val="both"/>
              <w:rPr>
                <w:color w:val="000000" w:themeColor="text1"/>
                <w:sz w:val="16"/>
                <w:szCs w:val="16"/>
              </w:rPr>
            </w:pPr>
            <w:r w:rsidRPr="00507A31">
              <w:rPr>
                <w:color w:val="000000" w:themeColor="text1"/>
                <w:sz w:val="16"/>
                <w:szCs w:val="16"/>
              </w:rPr>
              <w:lastRenderedPageBreak/>
              <w:t>УВМС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45491" w14:textId="77777777" w:rsidR="00460879" w:rsidRPr="00507A31" w:rsidRDefault="00460879" w:rsidP="00507A31">
            <w:pPr>
              <w:jc w:val="both"/>
              <w:rPr>
                <w:color w:val="000000" w:themeColor="text1"/>
                <w:sz w:val="16"/>
                <w:szCs w:val="16"/>
              </w:rPr>
            </w:pPr>
            <w:r w:rsidRPr="00507A31">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D046E" w14:textId="77777777" w:rsidR="00460879" w:rsidRPr="00507A31" w:rsidRDefault="00460879" w:rsidP="00507A31">
            <w:pPr>
              <w:jc w:val="both"/>
              <w:rPr>
                <w:color w:val="000000" w:themeColor="text1"/>
                <w:sz w:val="16"/>
                <w:szCs w:val="16"/>
              </w:rPr>
            </w:pPr>
            <w:r w:rsidRPr="00507A31">
              <w:rPr>
                <w:color w:val="000000" w:themeColor="text1"/>
                <w:sz w:val="16"/>
                <w:szCs w:val="16"/>
              </w:rPr>
              <w:t>16,4</w:t>
            </w:r>
          </w:p>
        </w:tc>
      </w:tr>
    </w:tbl>
    <w:p w14:paraId="1CDB65F8"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Отсюда следует, что те военные заказы мирного времени, которые имеют наибольшее значение для обеспечения боеспособности РККА, выполняются гражданской промышленностью неудовлетворительно, что ставит под сомнение ее готовность к выполнению заказов НКВМ в военное время.</w:t>
      </w:r>
    </w:p>
    <w:p w14:paraId="27E39F94"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Вина за недоделы должна быть возложена, главным образом, на промышленность: по вине исполнителей заказов имеем недоделы на 57,9%; по вине вообще промышленности — 5,6%; по обоюдной вине промышл[енности] и НКВМ — 33,2%, из коих примерно половину следует отнести также к промышленности, т. е. 16%; итого по вине промышленности — 79,5%. Остальные 20,5% относятся к объективным условиям и вине НКВМ.</w:t>
      </w:r>
    </w:p>
    <w:p w14:paraId="626DCB5A"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Обращают внимание недоделы по следующим предметам вооружения: пулеметы Дегтярева (РУЖ) (пехот[ные], авиац[ионные] и танк[овые]) — 23%, взрыватели (Патрубтрест) 8Г</w:t>
      </w:r>
      <w:r w:rsidRPr="00507A31">
        <w:rPr>
          <w:color w:val="000000" w:themeColor="text1"/>
          <w:sz w:val="16"/>
          <w:szCs w:val="16"/>
        </w:rPr>
        <w:noBreakHyphen/>
        <w:t>12, 5ДТ</w:t>
      </w:r>
      <w:r w:rsidRPr="00507A31">
        <w:rPr>
          <w:color w:val="000000" w:themeColor="text1"/>
          <w:sz w:val="16"/>
          <w:szCs w:val="16"/>
        </w:rPr>
        <w:noBreakHyphen/>
        <w:t>2, 11ДТ и АДП в 100%, 107</w:t>
      </w:r>
      <w:r w:rsidRPr="00507A31">
        <w:rPr>
          <w:color w:val="000000" w:themeColor="text1"/>
          <w:sz w:val="16"/>
          <w:szCs w:val="16"/>
        </w:rPr>
        <w:noBreakHyphen/>
        <w:t>мм пушки (завод ММЗ) — 33%, лафеты Дурляхова к 37</w:t>
      </w:r>
      <w:r w:rsidRPr="00507A31">
        <w:rPr>
          <w:color w:val="000000" w:themeColor="text1"/>
          <w:sz w:val="16"/>
          <w:szCs w:val="16"/>
        </w:rPr>
        <w:noBreakHyphen/>
        <w:t>мм пушке (Мастяржарт) — 100%, снарядные прицепки 13/4 и 3</w:t>
      </w:r>
      <w:r w:rsidRPr="00507A31">
        <w:rPr>
          <w:color w:val="000000" w:themeColor="text1"/>
          <w:sz w:val="16"/>
          <w:szCs w:val="16"/>
        </w:rPr>
        <w:noBreakHyphen/>
        <w:t>тонные (завод «Большевик») — 70%, 76</w:t>
      </w:r>
      <w:r w:rsidRPr="00507A31">
        <w:rPr>
          <w:color w:val="000000" w:themeColor="text1"/>
          <w:sz w:val="16"/>
          <w:szCs w:val="16"/>
        </w:rPr>
        <w:noBreakHyphen/>
        <w:t>мм полковая пушка (Ленмаштрест) — 81%, передки к 76</w:t>
      </w:r>
      <w:r w:rsidRPr="00507A31">
        <w:rPr>
          <w:color w:val="000000" w:themeColor="text1"/>
          <w:sz w:val="16"/>
          <w:szCs w:val="16"/>
        </w:rPr>
        <w:noBreakHyphen/>
        <w:t>мм полковым пушкам (ОАТ) — 90%. Большой процент недоделов также по ремонту предметов вооружений и оптических приборов.</w:t>
      </w:r>
    </w:p>
    <w:p w14:paraId="291F2CB0"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Данные о качестве продукции по отдельным видам имущества рисуются в следующем виде:</w:t>
      </w:r>
    </w:p>
    <w:p w14:paraId="2C02327B"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а) из предъявленных к сдаче 19,8% пулеметов Максима, 7,8% пулеметов и 12,6% пулеметов ПВ</w:t>
      </w:r>
      <w:r w:rsidRPr="00507A31">
        <w:rPr>
          <w:color w:val="000000" w:themeColor="text1"/>
          <w:sz w:val="16"/>
          <w:szCs w:val="16"/>
        </w:rPr>
        <w:noBreakHyphen/>
        <w:t>1 были возвращены военным приемщиком для исправления;</w:t>
      </w:r>
    </w:p>
    <w:p w14:paraId="6B576AA7"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б) по легким пулеметам было принято только 87% из предъявленных к сдаче, и такое же положение по всем предметам, предъявляемым к сдаче промышленностью.</w:t>
      </w:r>
    </w:p>
    <w:p w14:paraId="13A37DEF" w14:textId="77777777" w:rsidR="00460879" w:rsidRPr="00507A31" w:rsidRDefault="00460879" w:rsidP="00507A31">
      <w:pPr>
        <w:pStyle w:val="rtejustify"/>
        <w:spacing w:before="0" w:after="0"/>
        <w:rPr>
          <w:color w:val="000000" w:themeColor="text1"/>
          <w:sz w:val="16"/>
          <w:szCs w:val="16"/>
        </w:rPr>
      </w:pPr>
      <w:r w:rsidRPr="00507A31">
        <w:rPr>
          <w:color w:val="000000" w:themeColor="text1"/>
          <w:sz w:val="16"/>
          <w:szCs w:val="16"/>
        </w:rPr>
        <w:t>Кроме того, по ряду предметов, валовое производство которых установлено, имеет налицо и повышение цен (см. ведомость № 2 в приложении²*).</w:t>
      </w:r>
    </w:p>
    <w:p w14:paraId="0222F7A5" w14:textId="77777777" w:rsidR="00460879" w:rsidRPr="00507A31" w:rsidRDefault="00460879" w:rsidP="00507A31">
      <w:pPr>
        <w:pStyle w:val="ae"/>
        <w:spacing w:before="0" w:after="0"/>
        <w:jc w:val="both"/>
        <w:rPr>
          <w:color w:val="000000" w:themeColor="text1"/>
          <w:sz w:val="16"/>
          <w:szCs w:val="16"/>
        </w:rPr>
      </w:pPr>
      <w:r w:rsidRPr="00507A31">
        <w:rPr>
          <w:rStyle w:val="af0"/>
          <w:i w:val="0"/>
          <w:color w:val="000000" w:themeColor="text1"/>
          <w:sz w:val="16"/>
          <w:szCs w:val="16"/>
        </w:rPr>
        <w:t>Управляющий делами НКВМ и РВС СССР Литуновский</w:t>
      </w:r>
    </w:p>
    <w:p w14:paraId="128322CD" w14:textId="77777777" w:rsidR="00460879" w:rsidRPr="00507A31" w:rsidRDefault="00460879"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4BDACC3F" w14:textId="77777777" w:rsidR="00460879" w:rsidRPr="00507A31" w:rsidRDefault="00460879" w:rsidP="00507A31">
      <w:pPr>
        <w:pStyle w:val="ae"/>
        <w:spacing w:before="0" w:after="0"/>
        <w:jc w:val="both"/>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Не публикуется, см. там же, л. 68</w:t>
      </w:r>
      <w:r w:rsidRPr="00507A31">
        <w:rPr>
          <w:color w:val="000000" w:themeColor="text1"/>
          <w:sz w:val="16"/>
          <w:szCs w:val="16"/>
        </w:rPr>
        <w:noBreakHyphen/>
        <w:t>68 об.).</w:t>
      </w:r>
    </w:p>
    <w:p w14:paraId="23DA5917" w14:textId="77777777" w:rsidR="00460879" w:rsidRPr="00507A31" w:rsidRDefault="00460879" w:rsidP="00507A31">
      <w:pPr>
        <w:pStyle w:val="ae"/>
        <w:spacing w:before="0" w:after="0"/>
        <w:jc w:val="both"/>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Не публикуется, см. там же, л. 69</w:t>
      </w:r>
      <w:r w:rsidRPr="00507A31">
        <w:rPr>
          <w:color w:val="000000" w:themeColor="text1"/>
          <w:sz w:val="16"/>
          <w:szCs w:val="16"/>
        </w:rPr>
        <w:noBreakHyphen/>
        <w:t>69 об.).</w:t>
      </w:r>
    </w:p>
    <w:p w14:paraId="0A9896C8" w14:textId="77777777" w:rsidR="00460879" w:rsidRPr="00507A31" w:rsidRDefault="00460879" w:rsidP="00507A31">
      <w:pPr>
        <w:pStyle w:val="ae"/>
        <w:spacing w:before="0" w:after="0"/>
        <w:jc w:val="both"/>
        <w:rPr>
          <w:color w:val="000000" w:themeColor="text1"/>
          <w:sz w:val="16"/>
          <w:szCs w:val="16"/>
        </w:rPr>
      </w:pPr>
      <w:r w:rsidRPr="00507A31">
        <w:rPr>
          <w:color w:val="000000" w:themeColor="text1"/>
          <w:sz w:val="16"/>
          <w:szCs w:val="16"/>
        </w:rPr>
        <w:t>РГАЭ. Ф. 2097. Оп. 1. Д. 867. Л. 67—67 об. Заверенная копия.</w:t>
      </w:r>
    </w:p>
    <w:p w14:paraId="1ADD3ED1" w14:textId="77777777" w:rsidR="00460879" w:rsidRPr="00507A31" w:rsidRDefault="00460879" w:rsidP="00507A31">
      <w:pPr>
        <w:jc w:val="both"/>
        <w:rPr>
          <w:color w:val="000000" w:themeColor="text1"/>
          <w:sz w:val="16"/>
          <w:szCs w:val="16"/>
        </w:rPr>
      </w:pPr>
      <w:r w:rsidRPr="00507A31">
        <w:rPr>
          <w:color w:val="000000" w:themeColor="text1"/>
          <w:sz w:val="16"/>
          <w:szCs w:val="16"/>
        </w:rPr>
        <w:t xml:space="preserve">Архив: РГАЭ. Ф. 2097. Оп. 1. Д. 867. Л. 67—67 об. Заверенная копия. </w:t>
      </w:r>
    </w:p>
    <w:p w14:paraId="34BF8855" w14:textId="77777777" w:rsidR="00460879" w:rsidRPr="00507A31" w:rsidRDefault="00460879"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467-468 (12506).</w:t>
      </w:r>
    </w:p>
    <w:p w14:paraId="32DDE565" w14:textId="77777777" w:rsidR="00460879" w:rsidRPr="00507A31" w:rsidRDefault="00460879" w:rsidP="00507A31">
      <w:pPr>
        <w:jc w:val="both"/>
        <w:rPr>
          <w:color w:val="000000" w:themeColor="text1"/>
          <w:sz w:val="16"/>
          <w:szCs w:val="16"/>
        </w:rPr>
      </w:pPr>
    </w:p>
    <w:p w14:paraId="05B6163B" w14:textId="77777777" w:rsidR="00CA377B" w:rsidRPr="00507A31" w:rsidRDefault="00CA377B" w:rsidP="00507A31">
      <w:pPr>
        <w:jc w:val="both"/>
        <w:rPr>
          <w:color w:val="000000" w:themeColor="text1"/>
          <w:sz w:val="16"/>
          <w:szCs w:val="16"/>
        </w:rPr>
      </w:pPr>
      <w:r w:rsidRPr="00507A31">
        <w:rPr>
          <w:color w:val="000000" w:themeColor="text1"/>
          <w:sz w:val="16"/>
          <w:szCs w:val="16"/>
        </w:rPr>
        <w:t>1 апреля 1930 года директивой штаба РКА №020577/сс/149 была создана 3-я секция научно-технического комитета (НТК) Управления механизации и моторизации (УММ) РККА, которая занималась разработки новой материальной части для бронепоездов. На основании этого документа первоочередной задачей являлась модернизация бронепоездов, построенных в период Гражданской войны с целью повышения их боевых и технических характеристик. Эти работы предполагалось провести силами мастерских военного склада №60. В качестве образца для модернизации выбрали матчасть, изготовленную на Сормовском заводе еще в 1920 году – бронепровоз Ов №3707 и бронеплощадки №356 и 357, работы по модернизации которых начались еще в декабре 1929 года. Первоочередной задачей, помимо ремонта брони и вооружения, являлась разработка схемы электрооборудования и связи для облегчения управления составом в бою. Для этого в командирской рубке на бронепаровозе установили телефонный аппарат для связи командира бронепоезда с бронеплощадками. Телефон дублировался световой сигнализацией (цветные лампочки), с помощью которых на бронеплощадки передавались различные команды, а также рупорной связью. Командиры площадок также имели в своем распоряжении пульты световой и рупорной сигнализации для передачи команд командирам орудий и одному пулеметному расчету. Весь состав оборудовался электрическим освещением с питанием от паровой машины с генератором, установленным у сиденья машиниста. Машина приводилась в движение паром от котла паровоза, а динамо обеспечивало постоянный ток напряжением 110 вольт (15218).</w:t>
      </w:r>
    </w:p>
    <w:p w14:paraId="357F944D" w14:textId="77777777" w:rsidR="00CA377B" w:rsidRPr="00507A31" w:rsidRDefault="00CA377B" w:rsidP="00507A31">
      <w:pPr>
        <w:jc w:val="both"/>
        <w:rPr>
          <w:color w:val="000000" w:themeColor="text1"/>
          <w:sz w:val="16"/>
          <w:szCs w:val="16"/>
        </w:rPr>
      </w:pPr>
    </w:p>
    <w:p w14:paraId="7A6910A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BB0F033" w14:textId="77777777" w:rsidR="00537E5F" w:rsidRPr="00507A31" w:rsidRDefault="00537E5F" w:rsidP="00507A31">
      <w:pPr>
        <w:autoSpaceDE w:val="0"/>
        <w:autoSpaceDN w:val="0"/>
        <w:adjustRightInd w:val="0"/>
        <w:jc w:val="both"/>
        <w:rPr>
          <w:iCs/>
          <w:color w:val="000000" w:themeColor="text1"/>
          <w:sz w:val="16"/>
          <w:szCs w:val="16"/>
        </w:rPr>
      </w:pPr>
    </w:p>
    <w:p w14:paraId="3DFB8F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 Центрально-Черноземная область. Для усмирения с.Липовка был послан новый отряд из 130 солдат и милиционеров. Наступление проводилось с двух сторон - с юга и запада. Западная часть отряда на расстоянии более версты от Липовки была обнаружена повстанческой заставой, которая сделала сигнальный выстрел. Сразу же после этого в селе ударили в набат, быстро собралась толпа и приняла боевой организационный порядок. В полуверсте от села советский отряд был встречен оружейным огнем со стороны повстанцев, которые залегли в ригах, сараях и т.д. Отряд вынужден был отступить. Тогда повстанцы с криками "ура"атаковали правительственные войска. Последние открыли огонь и в боевом порядке перешли в наступление. Бой длился 1 час 5 минут. Повстанцы держались стойко, но силы были слишком неравны. Было убито 27 человек восставших, много ранено, восстание подавлено (10687).</w:t>
      </w:r>
    </w:p>
    <w:p w14:paraId="76AB93E0" w14:textId="77777777" w:rsidR="00537E5F" w:rsidRPr="00507A31" w:rsidRDefault="00537E5F" w:rsidP="00507A31">
      <w:pPr>
        <w:autoSpaceDE w:val="0"/>
        <w:autoSpaceDN w:val="0"/>
        <w:adjustRightInd w:val="0"/>
        <w:jc w:val="both"/>
        <w:rPr>
          <w:color w:val="000000" w:themeColor="text1"/>
          <w:sz w:val="16"/>
          <w:szCs w:val="16"/>
        </w:rPr>
      </w:pPr>
    </w:p>
    <w:p w14:paraId="2F54F462" w14:textId="77777777" w:rsidR="00CA377B"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9301EC1" w14:textId="77777777" w:rsidR="00CA377B" w:rsidRPr="00507A31" w:rsidRDefault="00CA377B" w:rsidP="00507A31">
      <w:pPr>
        <w:autoSpaceDE w:val="0"/>
        <w:autoSpaceDN w:val="0"/>
        <w:adjustRightInd w:val="0"/>
        <w:jc w:val="both"/>
        <w:rPr>
          <w:iCs/>
          <w:color w:val="000000" w:themeColor="text1"/>
          <w:sz w:val="16"/>
          <w:szCs w:val="16"/>
        </w:rPr>
      </w:pPr>
    </w:p>
    <w:p w14:paraId="7618B311" w14:textId="77777777" w:rsidR="00CA377B" w:rsidRPr="00507A31" w:rsidRDefault="00CA377B" w:rsidP="00507A31">
      <w:pPr>
        <w:jc w:val="both"/>
        <w:rPr>
          <w:color w:val="000000" w:themeColor="text1"/>
          <w:sz w:val="16"/>
          <w:szCs w:val="16"/>
        </w:rPr>
      </w:pPr>
      <w:r w:rsidRPr="00507A31">
        <w:rPr>
          <w:color w:val="000000" w:themeColor="text1"/>
          <w:sz w:val="16"/>
          <w:szCs w:val="16"/>
        </w:rPr>
        <w:t>1 апреля в 1930 году первый вариант самолета «Heinkel» «He.57» «Heron» приступил к испытаниям, однако так и не смог оторваться от воды. Лишь в декабре этого же года был изготовлен второй, полностью переработанный вариант лодки, сумевшей взлететь. В мае 1931 года самолет прошел регистрацию и получил номер D-2067. Несмотря на все усилия Эрнста Хенкеля «He.57» не вызвал интереса у покупателей. Единственный экземпляр лодки был продан за 12600 марок для «Deutsche Verkehrsfliegerschule». После аварийной посадки 30 июля 1937 года, его сдали на лом. «Heinkel» «He.57» «Heron» был малопримечательным летательным аппаратом, но именно он ознаменовал две важные вехи в разработках Хенкеля – «He.57» стал его последней летающей лодкой и первым цельнометаллическим самолетом (15086).</w:t>
      </w:r>
    </w:p>
    <w:p w14:paraId="2C9A9507" w14:textId="77777777" w:rsidR="00CA377B" w:rsidRPr="00507A31" w:rsidRDefault="00CA377B" w:rsidP="00507A31">
      <w:pPr>
        <w:jc w:val="both"/>
        <w:rPr>
          <w:color w:val="000000" w:themeColor="text1"/>
          <w:sz w:val="16"/>
          <w:szCs w:val="16"/>
        </w:rPr>
      </w:pPr>
    </w:p>
    <w:p w14:paraId="6A95E990" w14:textId="77777777" w:rsidR="00D80E5B" w:rsidRPr="00507A31" w:rsidRDefault="00D80E5B" w:rsidP="00507A31">
      <w:pPr>
        <w:jc w:val="both"/>
        <w:rPr>
          <w:color w:val="0070C0"/>
          <w:sz w:val="16"/>
          <w:szCs w:val="16"/>
        </w:rPr>
      </w:pPr>
      <w:r w:rsidRPr="00507A31">
        <w:rPr>
          <w:color w:val="0070C0"/>
          <w:sz w:val="16"/>
          <w:szCs w:val="16"/>
        </w:rPr>
        <w:t>1 апреля 1930 Физелер основывает авиастроительной компании под названием Fieseler Flugzeugbau Касселя (20805).</w:t>
      </w:r>
    </w:p>
    <w:p w14:paraId="142E346C" w14:textId="77777777" w:rsidR="00D80E5B" w:rsidRPr="00507A31" w:rsidRDefault="00D80E5B" w:rsidP="00507A31">
      <w:pPr>
        <w:jc w:val="both"/>
        <w:rPr>
          <w:color w:val="0070C0"/>
          <w:sz w:val="16"/>
          <w:szCs w:val="16"/>
        </w:rPr>
      </w:pPr>
    </w:p>
    <w:p w14:paraId="4153FF2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E6FDA80" w14:textId="77777777" w:rsidR="00537E5F" w:rsidRPr="00507A31" w:rsidRDefault="00537E5F" w:rsidP="00507A31">
      <w:pPr>
        <w:autoSpaceDE w:val="0"/>
        <w:autoSpaceDN w:val="0"/>
        <w:adjustRightInd w:val="0"/>
        <w:jc w:val="both"/>
        <w:rPr>
          <w:iCs/>
          <w:color w:val="000000" w:themeColor="text1"/>
          <w:sz w:val="16"/>
          <w:szCs w:val="16"/>
        </w:rPr>
      </w:pPr>
    </w:p>
    <w:p w14:paraId="341E32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апреля 1930 был датирован первый отчет по испытаниям Т-12 и в нем указано, что танк прошел 2 км по мягкому грунту и остановился из-за поломки трансмиссии (4243,21).</w:t>
      </w:r>
    </w:p>
    <w:p w14:paraId="05917A37" w14:textId="77777777" w:rsidR="00537E5F" w:rsidRPr="00507A31" w:rsidRDefault="00537E5F" w:rsidP="00507A31">
      <w:pPr>
        <w:autoSpaceDE w:val="0"/>
        <w:autoSpaceDN w:val="0"/>
        <w:adjustRightInd w:val="0"/>
        <w:jc w:val="both"/>
        <w:rPr>
          <w:color w:val="000000" w:themeColor="text1"/>
          <w:sz w:val="16"/>
          <w:szCs w:val="16"/>
        </w:rPr>
      </w:pPr>
    </w:p>
    <w:p w14:paraId="390A391E" w14:textId="77777777" w:rsidR="00844303" w:rsidRPr="00507A31" w:rsidRDefault="00844303" w:rsidP="00507A31">
      <w:pPr>
        <w:jc w:val="both"/>
        <w:rPr>
          <w:color w:val="000000" w:themeColor="text1"/>
          <w:sz w:val="16"/>
          <w:szCs w:val="16"/>
          <w:shd w:val="clear" w:color="auto" w:fill="FFFFFF"/>
        </w:rPr>
      </w:pPr>
      <w:r w:rsidRPr="00507A31">
        <w:rPr>
          <w:color w:val="000000" w:themeColor="text1"/>
          <w:sz w:val="16"/>
          <w:szCs w:val="16"/>
          <w:shd w:val="clear" w:color="auto" w:fill="FFFFFF"/>
        </w:rPr>
        <w:t>2 апреля 1930 года датируется самый ранний из найденных в РГВА отчетов по испытаниям Т-12.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583E0306" w14:textId="77777777" w:rsidR="00844303" w:rsidRPr="00507A31" w:rsidRDefault="00844303" w:rsidP="00507A31">
      <w:pPr>
        <w:jc w:val="both"/>
        <w:rPr>
          <w:color w:val="000000" w:themeColor="text1"/>
          <w:sz w:val="16"/>
          <w:szCs w:val="16"/>
          <w:shd w:val="clear" w:color="auto" w:fill="FFFFFF"/>
        </w:rPr>
      </w:pPr>
    </w:p>
    <w:p w14:paraId="5E06CF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апреля 1930 г. датируется са</w:t>
      </w:r>
      <w:r w:rsidRPr="00507A31">
        <w:rPr>
          <w:color w:val="000000" w:themeColor="text1"/>
          <w:sz w:val="16"/>
          <w:szCs w:val="16"/>
        </w:rPr>
        <w:softHyphen/>
        <w:t>мый ранний из найденных в РГВА отчетов по испытаниям Т-12. В отчете указано, что танк прошел своим ходом 2 км по мягкому грунту, поеле чего остановился по причине поломки в трансмиссии. Время работы двигателя составило 33 минуты, время чис</w:t>
      </w:r>
      <w:r w:rsidRPr="00507A31">
        <w:rPr>
          <w:color w:val="000000" w:themeColor="text1"/>
          <w:sz w:val="16"/>
          <w:szCs w:val="16"/>
        </w:rPr>
        <w:softHyphen/>
        <w:t>того движения - 21 минута. Далее в документах прослежи</w:t>
      </w:r>
      <w:r w:rsidRPr="00507A31">
        <w:rPr>
          <w:color w:val="000000" w:themeColor="text1"/>
          <w:sz w:val="16"/>
          <w:szCs w:val="16"/>
        </w:rPr>
        <w:softHyphen/>
        <w:t>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w:t>
      </w:r>
      <w:r w:rsidRPr="00507A31">
        <w:rPr>
          <w:color w:val="000000" w:themeColor="text1"/>
          <w:sz w:val="16"/>
          <w:szCs w:val="16"/>
        </w:rPr>
        <w:softHyphen/>
        <w:t>дач, кипит вода в радиаторе и отказывает в работе 2-я ско</w:t>
      </w:r>
      <w:r w:rsidRPr="00507A31">
        <w:rPr>
          <w:color w:val="000000" w:themeColor="text1"/>
          <w:sz w:val="16"/>
          <w:szCs w:val="16"/>
        </w:rPr>
        <w:softHyphen/>
        <w:t>рость (для предотвращения чего на коробке был поставлен дополнительный стопор). Кроме того, столкнулись с не</w:t>
      </w:r>
      <w:r w:rsidRPr="00507A31">
        <w:rPr>
          <w:color w:val="000000" w:themeColor="text1"/>
          <w:sz w:val="16"/>
          <w:szCs w:val="16"/>
        </w:rPr>
        <w:softHyphen/>
        <w:t>приятным явлением соскакивания правой гусеницы при поворотах на мягком грунте (10733,87).</w:t>
      </w:r>
    </w:p>
    <w:p w14:paraId="465FB8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1455B4B" w14:textId="77777777" w:rsidR="00F42E0E" w:rsidRPr="00507A31" w:rsidRDefault="00F42E0E" w:rsidP="00507A31">
      <w:pPr>
        <w:jc w:val="both"/>
        <w:rPr>
          <w:color w:val="000000" w:themeColor="text1"/>
          <w:sz w:val="16"/>
          <w:szCs w:val="16"/>
        </w:rPr>
      </w:pPr>
      <w:r w:rsidRPr="00507A31">
        <w:rPr>
          <w:color w:val="000000" w:themeColor="text1"/>
          <w:sz w:val="16"/>
          <w:szCs w:val="16"/>
        </w:rPr>
        <w:t xml:space="preserve">2 апреля 1930 г. состоялись дальнейшие заводские испытания доработанной машины Т-12: «Танк, пройдя своим ходом 2 км по мягкому грунту, остановился по причине поломки в трансмиссии». Завод в очередной раз приступил к устранению недостатков. В мае того же года на ХПЗ им. Коминтерна был отправлен сотрудник МПУ Машинообъединения инженер Медведников, который докладывал руководству Управления: «...Конструктивные изменения, внесенные ОАТ в машину, почти все произведены, осмотрены ипроверены дифференциал и коробка скоростей, поставлены сервоаппараты, новый вентилятор.Машина уже ходила на заводские испытания. Вентилятор охлаждает удовлетворительно. Тормоза работают, но поворачиваемость машины стала хуже, что т. Наконечный просил особо отметить. </w:t>
      </w:r>
      <w:r w:rsidRPr="00507A31">
        <w:rPr>
          <w:color w:val="000000" w:themeColor="text1"/>
          <w:sz w:val="16"/>
          <w:szCs w:val="16"/>
        </w:rPr>
        <w:lastRenderedPageBreak/>
        <w:t>Причину ухудшения поворачиваемо-сти завод себе еще не уяснил. Новая гусеница еще не поставлена, сама гусеничная лента заканчивается изготовлением. Задержалось в цеху изготовление роликов и ролики еще не отправлены в Ленинград для заливки резиной. По словам т. Махонина 17-18 мая он предполагает выехать с машиной на заводское испытание и к20 мая назначить сдаточное испытание с вызовом комиссии заказчика.</w:t>
      </w:r>
    </w:p>
    <w:p w14:paraId="3CCC433C" w14:textId="77777777" w:rsidR="00F42E0E" w:rsidRPr="00507A31" w:rsidRDefault="00F42E0E" w:rsidP="00507A31">
      <w:pPr>
        <w:jc w:val="both"/>
        <w:rPr>
          <w:color w:val="000000" w:themeColor="text1"/>
          <w:sz w:val="16"/>
          <w:szCs w:val="16"/>
        </w:rPr>
      </w:pPr>
      <w:r w:rsidRPr="00507A31">
        <w:rPr>
          <w:color w:val="000000" w:themeColor="text1"/>
          <w:sz w:val="16"/>
          <w:szCs w:val="16"/>
        </w:rPr>
        <w:t>План производства первой партии танков в количестве 15 шт. составлен, и сроки выпуска были намечены на октябрь, ноябрь и декабрь 1930 г.Вследствие изменения в производственной программе завода первоначальный план подвергся некоторому изменению и сроки выпуска были отдалены до выпуска последних машин в феврале 1931 г.Получаемые от ОАТ чертежи переделок имеют в большинстве характер компоновочный и детальные рабочие чертежи должны быть разработаны заводским конструкторским бюро. В настоящее время это бюро состоит из пяти человек и не в стсотянии выполнить всю эту работу, каковая падает на него в связи с изменением конструкции машины. Нужно пополнить минимум 15 человек, из которых 5-6 человек должны быть опытными в этой части конструкторами.По заявлению завода, внутренними силами завода усилить конструкторское бюро не представляется возможным и завод просит Машинообъединение об оказании ему срочного содействия по усилению конструкторского бюро извне...Беря за основу, что готовность чертежей корпуса будет в июне месяце, мы имеем первый корпус в ноябре месяце, срок который сразу устанавливает, что начало выпуска машин не может быть ранее января 1931 г.».Испытания танка продолжились 28 апреля, а также 5 и 9 мая 1930 г. К моменту их проведения на Т-12 были установлены:</w:t>
      </w:r>
    </w:p>
    <w:p w14:paraId="033C195C" w14:textId="77777777" w:rsidR="00F42E0E" w:rsidRPr="00507A31" w:rsidRDefault="00F42E0E" w:rsidP="00507A31">
      <w:pPr>
        <w:jc w:val="both"/>
        <w:rPr>
          <w:color w:val="000000" w:themeColor="text1"/>
          <w:sz w:val="16"/>
          <w:szCs w:val="16"/>
        </w:rPr>
      </w:pPr>
      <w:r w:rsidRPr="00507A31">
        <w:rPr>
          <w:color w:val="000000" w:themeColor="text1"/>
          <w:sz w:val="16"/>
          <w:szCs w:val="16"/>
        </w:rPr>
        <w:t>- более мощный вентилятор, осуществлявший забор охлаждающего воздуха в кормовой части корпуса, проход его через радиатор системы охлаждения и выброс из моторного отделения у правого борта;</w:t>
      </w:r>
    </w:p>
    <w:p w14:paraId="33A5999E" w14:textId="77777777" w:rsidR="00F42E0E" w:rsidRPr="00507A31" w:rsidRDefault="00F42E0E" w:rsidP="00507A31">
      <w:pPr>
        <w:jc w:val="both"/>
        <w:rPr>
          <w:color w:val="000000" w:themeColor="text1"/>
          <w:sz w:val="16"/>
          <w:szCs w:val="16"/>
        </w:rPr>
      </w:pPr>
      <w:r w:rsidRPr="00507A31">
        <w:rPr>
          <w:color w:val="000000" w:themeColor="text1"/>
          <w:sz w:val="16"/>
          <w:szCs w:val="16"/>
        </w:rPr>
        <w:t>- новая коробка передач с роликовыми подшипниками для центрального вала вместо скользящих втулок и с ребристой алюминиевой крышкой картера;</w:t>
      </w:r>
    </w:p>
    <w:p w14:paraId="730308E8" w14:textId="77777777" w:rsidR="00F42E0E" w:rsidRPr="00507A31" w:rsidRDefault="00F42E0E" w:rsidP="00507A31">
      <w:pPr>
        <w:jc w:val="both"/>
        <w:rPr>
          <w:color w:val="000000" w:themeColor="text1"/>
          <w:sz w:val="16"/>
          <w:szCs w:val="16"/>
        </w:rPr>
      </w:pPr>
      <w:r w:rsidRPr="00507A31">
        <w:rPr>
          <w:color w:val="000000" w:themeColor="text1"/>
          <w:sz w:val="16"/>
          <w:szCs w:val="16"/>
        </w:rPr>
        <w:t>- новая система привода управления тормозами и двумя сервоаппаратами и двумя рычагами управления (как для торможения, так и для поворота) вместо ножной педали и рулевой колонки;</w:t>
      </w:r>
    </w:p>
    <w:p w14:paraId="56799A33" w14:textId="77777777" w:rsidR="00F42E0E" w:rsidRPr="00507A31" w:rsidRDefault="00F42E0E" w:rsidP="00507A31">
      <w:pPr>
        <w:jc w:val="both"/>
        <w:rPr>
          <w:color w:val="000000" w:themeColor="text1"/>
          <w:sz w:val="16"/>
          <w:szCs w:val="16"/>
        </w:rPr>
      </w:pPr>
      <w:r w:rsidRPr="00507A31">
        <w:rPr>
          <w:color w:val="000000" w:themeColor="text1"/>
          <w:sz w:val="16"/>
          <w:szCs w:val="16"/>
        </w:rPr>
        <w:t>- упорядоченная система смазки и водоотводящих труб;</w:t>
      </w:r>
    </w:p>
    <w:p w14:paraId="121D825A" w14:textId="77777777" w:rsidR="00F42E0E" w:rsidRPr="00507A31" w:rsidRDefault="00F42E0E" w:rsidP="00507A31">
      <w:pPr>
        <w:jc w:val="both"/>
        <w:rPr>
          <w:color w:val="000000" w:themeColor="text1"/>
          <w:sz w:val="16"/>
          <w:szCs w:val="16"/>
        </w:rPr>
      </w:pPr>
      <w:r w:rsidRPr="00507A31">
        <w:rPr>
          <w:color w:val="000000" w:themeColor="text1"/>
          <w:sz w:val="16"/>
          <w:szCs w:val="16"/>
        </w:rPr>
        <w:t>- усовершенствованные тормоза;</w:t>
      </w:r>
    </w:p>
    <w:p w14:paraId="111E78C9" w14:textId="77777777" w:rsidR="00F42E0E" w:rsidRPr="00507A31" w:rsidRDefault="00F42E0E" w:rsidP="00507A31">
      <w:pPr>
        <w:jc w:val="both"/>
        <w:rPr>
          <w:color w:val="000000" w:themeColor="text1"/>
          <w:sz w:val="16"/>
          <w:szCs w:val="16"/>
        </w:rPr>
      </w:pPr>
      <w:r w:rsidRPr="00507A31">
        <w:rPr>
          <w:color w:val="000000" w:themeColor="text1"/>
          <w:sz w:val="16"/>
          <w:szCs w:val="16"/>
        </w:rPr>
        <w:t>- бортовые редуктора с новой, более жесткой крышкой (12303).</w:t>
      </w:r>
    </w:p>
    <w:p w14:paraId="590C7270" w14:textId="77777777" w:rsidR="00F42E0E" w:rsidRPr="00507A31" w:rsidRDefault="00F42E0E" w:rsidP="00507A31">
      <w:pPr>
        <w:jc w:val="both"/>
        <w:rPr>
          <w:color w:val="000000" w:themeColor="text1"/>
          <w:sz w:val="16"/>
          <w:szCs w:val="16"/>
        </w:rPr>
      </w:pPr>
    </w:p>
    <w:p w14:paraId="4D8F0E19" w14:textId="77777777" w:rsidR="00F42E0E" w:rsidRPr="00507A31" w:rsidRDefault="00F42E0E" w:rsidP="00507A31">
      <w:pPr>
        <w:jc w:val="both"/>
        <w:rPr>
          <w:color w:val="000000" w:themeColor="text1"/>
          <w:sz w:val="16"/>
          <w:szCs w:val="16"/>
        </w:rPr>
      </w:pPr>
      <w:r w:rsidRPr="00507A31">
        <w:rPr>
          <w:rStyle w:val="a7"/>
          <w:b w:val="0"/>
          <w:color w:val="000000" w:themeColor="text1"/>
          <w:sz w:val="16"/>
          <w:szCs w:val="16"/>
        </w:rPr>
        <w:t xml:space="preserve">2 апреля 1930 </w:t>
      </w:r>
      <w:r w:rsidRPr="00507A31">
        <w:rPr>
          <w:color w:val="000000" w:themeColor="text1"/>
          <w:sz w:val="16"/>
          <w:szCs w:val="16"/>
        </w:rPr>
        <w:t>СНК принял постановления: «О регулировании рынка черных металлов», «О дополнительном капитальном строительстве в промышленности на 1929/30 г.» (12265).</w:t>
      </w:r>
    </w:p>
    <w:p w14:paraId="041CC601" w14:textId="77777777" w:rsidR="00F42E0E" w:rsidRPr="00507A31" w:rsidRDefault="00F42E0E" w:rsidP="00507A31">
      <w:pPr>
        <w:jc w:val="both"/>
        <w:rPr>
          <w:color w:val="000000" w:themeColor="text1"/>
          <w:sz w:val="16"/>
          <w:szCs w:val="16"/>
        </w:rPr>
      </w:pPr>
      <w:r w:rsidRPr="00507A31">
        <w:rPr>
          <w:color w:val="000000" w:themeColor="text1"/>
          <w:sz w:val="16"/>
          <w:szCs w:val="16"/>
        </w:rPr>
        <w:t> </w:t>
      </w:r>
    </w:p>
    <w:p w14:paraId="5EE4BD9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8498680" w14:textId="77777777" w:rsidR="00537E5F" w:rsidRPr="00507A31" w:rsidRDefault="00537E5F" w:rsidP="00507A31">
      <w:pPr>
        <w:autoSpaceDE w:val="0"/>
        <w:autoSpaceDN w:val="0"/>
        <w:adjustRightInd w:val="0"/>
        <w:jc w:val="both"/>
        <w:rPr>
          <w:iCs/>
          <w:color w:val="000000" w:themeColor="text1"/>
          <w:sz w:val="16"/>
          <w:szCs w:val="16"/>
        </w:rPr>
      </w:pPr>
    </w:p>
    <w:p w14:paraId="07B984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апреля 1930 вышло постановление ЦК ВКП(б) о льготах для колхозов - освободили от налогов скот, дали беспроцентную семенную ссуду (226,406).</w:t>
      </w:r>
    </w:p>
    <w:p w14:paraId="73232F04" w14:textId="77777777" w:rsidR="00537E5F" w:rsidRPr="00507A31" w:rsidRDefault="00537E5F" w:rsidP="00507A31">
      <w:pPr>
        <w:autoSpaceDE w:val="0"/>
        <w:autoSpaceDN w:val="0"/>
        <w:adjustRightInd w:val="0"/>
        <w:jc w:val="both"/>
        <w:rPr>
          <w:color w:val="000000" w:themeColor="text1"/>
          <w:sz w:val="16"/>
          <w:szCs w:val="16"/>
        </w:rPr>
      </w:pPr>
    </w:p>
    <w:p w14:paraId="27CFB4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апреля 1930 года в секретном письме ЦК признавалось, что если бы процесс насильственной коллективизации (именовавшийся "искривлением партлинии") не был приостановлен, "добрая половина наших "низовых" работников была бы перебита крестьянами" в широкой волне повстанческих выступлений. В нем прямо говорилось об угрожающем положении, возникшем в связи с массовым повстанческим движением крестьянства, для борьбы с которым пришлось использовать части Красной Армии (9492).</w:t>
      </w:r>
    </w:p>
    <w:p w14:paraId="66530D03" w14:textId="77777777" w:rsidR="00537E5F" w:rsidRPr="00507A31" w:rsidRDefault="00537E5F" w:rsidP="00507A31">
      <w:pPr>
        <w:autoSpaceDE w:val="0"/>
        <w:autoSpaceDN w:val="0"/>
        <w:adjustRightInd w:val="0"/>
        <w:jc w:val="both"/>
        <w:rPr>
          <w:color w:val="000000" w:themeColor="text1"/>
          <w:sz w:val="16"/>
          <w:szCs w:val="16"/>
        </w:rPr>
      </w:pPr>
    </w:p>
    <w:p w14:paraId="1B2726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апреля 1930 вышло Постановление ЦК ВКП(б) "О льготах для колхозов", согласно которому на 2 года отменено взимание налога на колхозный скот и сокращена общая сумма с/х-налога на 1930/1931 гг. Закpытое письмо ЦК ВКП(б) всем партийным организациям о снижении темпов коллективизации, поскольку ситуация гpозила вылиться в "шиpокую волну повстанческих кpестьянских выступлений", и "добpая половина наших "низовых" pаботников была бы пеpебита кpестьянами, был бы соpван сев, было бы подоpвано колхозное стpоительство и было бы поставлено под угpозу наше внутpеннее и внешнее положение". В директиве указано, что "политика укрепления союза с середняком при опоре на бедноту и беспощадной борьбы с кулачеством стала подменяться насквозь враждебной ленинизму политикой командования в отношении середняка". В закрытом письме ЦК признавались повстанческое движение на Украине, Северном Кавказе и в Казахстане, массовые выступления крестьян в ЦЧО, Московской области, Сибири, Закавказье и Средней Азии, "перерастающие в антисоветское движение" (10687).</w:t>
      </w:r>
    </w:p>
    <w:p w14:paraId="4809345C" w14:textId="77777777" w:rsidR="00537E5F" w:rsidRPr="00507A31" w:rsidRDefault="00537E5F" w:rsidP="00507A31">
      <w:pPr>
        <w:autoSpaceDE w:val="0"/>
        <w:autoSpaceDN w:val="0"/>
        <w:adjustRightInd w:val="0"/>
        <w:jc w:val="both"/>
        <w:rPr>
          <w:color w:val="000000" w:themeColor="text1"/>
          <w:sz w:val="16"/>
          <w:szCs w:val="16"/>
        </w:rPr>
      </w:pPr>
    </w:p>
    <w:p w14:paraId="242A80B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D99D244" w14:textId="77777777" w:rsidR="00537E5F" w:rsidRPr="00507A31" w:rsidRDefault="00537E5F" w:rsidP="00507A31">
      <w:pPr>
        <w:autoSpaceDE w:val="0"/>
        <w:autoSpaceDN w:val="0"/>
        <w:adjustRightInd w:val="0"/>
        <w:jc w:val="both"/>
        <w:rPr>
          <w:iCs/>
          <w:color w:val="000000" w:themeColor="text1"/>
          <w:sz w:val="16"/>
          <w:szCs w:val="16"/>
        </w:rPr>
      </w:pPr>
    </w:p>
    <w:p w14:paraId="61243AFD" w14:textId="77777777" w:rsidR="00CA377B" w:rsidRPr="00507A31" w:rsidRDefault="00CA377B" w:rsidP="00507A31">
      <w:pPr>
        <w:jc w:val="both"/>
        <w:rPr>
          <w:color w:val="000000" w:themeColor="text1"/>
          <w:sz w:val="16"/>
          <w:szCs w:val="16"/>
        </w:rPr>
      </w:pPr>
      <w:r w:rsidRPr="00507A31">
        <w:rPr>
          <w:color w:val="000000" w:themeColor="text1"/>
          <w:sz w:val="16"/>
          <w:szCs w:val="16"/>
        </w:rPr>
        <w:t>2 апреля в 1930 году разбился в результате неполадок в конструкции прототип «Latecoere» «Late 34.0» французской транспортной летающей лодки «Latecoere» «Late 32». «Late 34.0» был трехмоторной модификацией 1930 года. Единственный экземпляр имел три двигателя «Hispano-Suiza» «12Jb» мощностью 400 л.с., два из которых вращали тянущие, а третий - толкающий винт (15087).</w:t>
      </w:r>
    </w:p>
    <w:p w14:paraId="45F7F645" w14:textId="77777777" w:rsidR="00CA377B" w:rsidRPr="00507A31" w:rsidRDefault="00CA377B" w:rsidP="00507A31">
      <w:pPr>
        <w:jc w:val="both"/>
        <w:rPr>
          <w:color w:val="000000" w:themeColor="text1"/>
          <w:sz w:val="16"/>
          <w:szCs w:val="16"/>
        </w:rPr>
      </w:pPr>
    </w:p>
    <w:p w14:paraId="5A87C0BE" w14:textId="77777777" w:rsidR="00D80E5B" w:rsidRPr="00507A31" w:rsidRDefault="00D80E5B" w:rsidP="00507A31">
      <w:pPr>
        <w:jc w:val="both"/>
        <w:rPr>
          <w:color w:val="0070C0"/>
          <w:sz w:val="16"/>
          <w:szCs w:val="16"/>
        </w:rPr>
      </w:pPr>
      <w:r w:rsidRPr="00507A31">
        <w:rPr>
          <w:color w:val="0070C0"/>
          <w:sz w:val="16"/>
          <w:szCs w:val="16"/>
        </w:rPr>
        <w:t>2 апреля 1930 первый корейский летчик, Ан Чан Нам, погиб в результате крушения своего самолета, когда он возвращался в аэропорт Шаньсиской авиационной академии в Тайюане, провинция Шаньси, Китай, в плохую погоду (20805).</w:t>
      </w:r>
    </w:p>
    <w:p w14:paraId="24FA285E" w14:textId="77777777" w:rsidR="00D80E5B" w:rsidRPr="00507A31" w:rsidRDefault="00D80E5B" w:rsidP="00507A31">
      <w:pPr>
        <w:jc w:val="both"/>
        <w:rPr>
          <w:color w:val="0070C0"/>
          <w:sz w:val="16"/>
          <w:szCs w:val="16"/>
        </w:rPr>
      </w:pPr>
    </w:p>
    <w:p w14:paraId="2BEB74D8" w14:textId="77777777" w:rsidR="00D80E5B" w:rsidRPr="00507A31" w:rsidRDefault="00D80E5B" w:rsidP="00507A31">
      <w:pPr>
        <w:jc w:val="both"/>
        <w:rPr>
          <w:color w:val="0070C0"/>
          <w:sz w:val="16"/>
          <w:szCs w:val="16"/>
        </w:rPr>
      </w:pPr>
      <w:r w:rsidRPr="00507A31">
        <w:rPr>
          <w:color w:val="0070C0"/>
          <w:sz w:val="16"/>
          <w:szCs w:val="16"/>
        </w:rPr>
        <w:t>2 апреля 1930 прототип Latecoere 340 Trimotor Зонтик - гидросамолета (регистрация F-АКДИ) распадается в воздухе и падает во время демонстрирации для чиновников французского военно - морского флота, убив обоих на борту. Других экземпляров самолетов не строится (20805).</w:t>
      </w:r>
    </w:p>
    <w:p w14:paraId="02EE3C05" w14:textId="77777777" w:rsidR="00D80E5B" w:rsidRPr="00507A31" w:rsidRDefault="00D80E5B" w:rsidP="00507A31">
      <w:pPr>
        <w:jc w:val="both"/>
        <w:rPr>
          <w:color w:val="0070C0"/>
          <w:sz w:val="16"/>
          <w:szCs w:val="16"/>
        </w:rPr>
      </w:pPr>
    </w:p>
    <w:p w14:paraId="54AF80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(3 - 3907,161) апреля 1930 Тафари Маконнен стал императором Эфиопии под именем Селасие 1 (3186).</w:t>
      </w:r>
    </w:p>
    <w:p w14:paraId="6BD9A52B" w14:textId="77777777" w:rsidR="00537E5F" w:rsidRPr="00507A31" w:rsidRDefault="00537E5F" w:rsidP="00507A31">
      <w:pPr>
        <w:autoSpaceDE w:val="0"/>
        <w:autoSpaceDN w:val="0"/>
        <w:adjustRightInd w:val="0"/>
        <w:jc w:val="both"/>
        <w:rPr>
          <w:color w:val="000000" w:themeColor="text1"/>
          <w:sz w:val="16"/>
          <w:szCs w:val="16"/>
        </w:rPr>
      </w:pPr>
    </w:p>
    <w:p w14:paraId="17A2605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B572EBE" w14:textId="77777777" w:rsidR="00537E5F" w:rsidRPr="00507A31" w:rsidRDefault="00537E5F" w:rsidP="00507A31">
      <w:pPr>
        <w:autoSpaceDE w:val="0"/>
        <w:autoSpaceDN w:val="0"/>
        <w:adjustRightInd w:val="0"/>
        <w:jc w:val="both"/>
        <w:rPr>
          <w:iCs/>
          <w:color w:val="000000" w:themeColor="text1"/>
          <w:sz w:val="16"/>
          <w:szCs w:val="16"/>
        </w:rPr>
      </w:pPr>
    </w:p>
    <w:p w14:paraId="6AA904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апреля 1930 состоялось совещание НТК УВВС по уточнению ТТ к самолетам пятилетнего плана в части нагрузки ТБ-4, Р-8, ДИ-4, МИ-3, ТШ-1, МТБ-2. Присутствовали Ришар и С.А.Л. от МОС. С.В.И. от НТК еще не было как и Н.М.Харламова, а председателем был П.С.Дубенский. По ТШ-1 в разделе "Полезная нагрузка и ее размещение" исключили по 2 варианту п. 6 о броне перенесли в раздел полезной нагрузки, указав, что она входит в вес конструкции (351).</w:t>
      </w:r>
    </w:p>
    <w:p w14:paraId="712D7ECF" w14:textId="77777777" w:rsidR="00537E5F" w:rsidRPr="00507A31" w:rsidRDefault="00537E5F" w:rsidP="00507A31">
      <w:pPr>
        <w:autoSpaceDE w:val="0"/>
        <w:autoSpaceDN w:val="0"/>
        <w:adjustRightInd w:val="0"/>
        <w:jc w:val="both"/>
        <w:rPr>
          <w:color w:val="000000" w:themeColor="text1"/>
          <w:sz w:val="16"/>
          <w:szCs w:val="16"/>
        </w:rPr>
      </w:pPr>
    </w:p>
    <w:p w14:paraId="7966BF2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5C1752B" w14:textId="77777777" w:rsidR="00537E5F" w:rsidRPr="00507A31" w:rsidRDefault="00537E5F" w:rsidP="00507A31">
      <w:pPr>
        <w:autoSpaceDE w:val="0"/>
        <w:autoSpaceDN w:val="0"/>
        <w:adjustRightInd w:val="0"/>
        <w:jc w:val="both"/>
        <w:rPr>
          <w:iCs/>
          <w:color w:val="000000" w:themeColor="text1"/>
          <w:sz w:val="16"/>
          <w:szCs w:val="16"/>
        </w:rPr>
      </w:pPr>
    </w:p>
    <w:p w14:paraId="19B8DF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апреля 1930 г. на «Большевик» с новой комиссией пожаловал началь</w:t>
      </w:r>
      <w:r w:rsidRPr="00507A31">
        <w:rPr>
          <w:color w:val="000000" w:themeColor="text1"/>
          <w:sz w:val="16"/>
          <w:szCs w:val="16"/>
        </w:rPr>
        <w:softHyphen/>
        <w:t>ник штаба ВВС С.А. Меженинов. С 1923 г. прошло семь лет, а опытный двигатель так и не воплотили в металл. В духе времени следовало найти виновного. Виновником объявили Киреева. Ему приклеили ярлык «вреди</w:t>
      </w:r>
      <w:r w:rsidRPr="00507A31">
        <w:rPr>
          <w:color w:val="000000" w:themeColor="text1"/>
          <w:sz w:val="16"/>
          <w:szCs w:val="16"/>
        </w:rPr>
        <w:softHyphen/>
        <w:t>теля». Комиссия предложила работу закрыть, Киреева арестовать. Так и произошло. Уже с 5 апреля все работы остановили. Когда конструктор уже сидел в тюрьме, 29 июня, распоряжением на</w:t>
      </w:r>
      <w:r w:rsidRPr="00507A31">
        <w:rPr>
          <w:color w:val="000000" w:themeColor="text1"/>
          <w:sz w:val="16"/>
          <w:szCs w:val="16"/>
        </w:rPr>
        <w:softHyphen/>
        <w:t>чальника объединения МК-14 изъяли из плана завода. Детали мотора упаковали и отправили в Москву, в НАМ. Дальнейшая судьба их неизвестна, так же как судьба самого Киреева.</w:t>
      </w:r>
    </w:p>
    <w:p w14:paraId="64687B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1756F7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12-цилиндровый, рядный У-образный, четырехтактный, водяного</w:t>
      </w:r>
    </w:p>
    <w:p w14:paraId="7E5E07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охлаждения, редукторный;</w:t>
      </w:r>
    </w:p>
    <w:p w14:paraId="785A63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 ПЦН (в окончательном варианте);</w:t>
      </w:r>
    </w:p>
    <w:p w14:paraId="3EAFA5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132/180 мм (позднее 166,5/230 мм);</w:t>
      </w:r>
    </w:p>
    <w:p w14:paraId="73734A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5,7 (альтернативно 6,2);</w:t>
      </w:r>
    </w:p>
    <w:p w14:paraId="28F5E9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исходно 600 л.с. (позднее 800 л.с. и 950 л.с.) (11852).</w:t>
      </w:r>
    </w:p>
    <w:p w14:paraId="7D08CD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5CDA9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апреля 1930 состоялось:</w:t>
      </w:r>
    </w:p>
    <w:p w14:paraId="4DF5A2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 Р О Т О К О Л</w:t>
      </w:r>
    </w:p>
    <w:p w14:paraId="636B0F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Совещания при Мобуправлении Всехимпрома.</w:t>
      </w:r>
    </w:p>
    <w:p w14:paraId="1D4599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Охраны НКПС</w:t>
      </w:r>
      <w:r w:rsidRPr="00507A31">
        <w:rPr>
          <w:color w:val="000000" w:themeColor="text1"/>
          <w:sz w:val="16"/>
          <w:szCs w:val="16"/>
        </w:rPr>
        <w:tab/>
        <w:t>тов. ПОПОВ</w:t>
      </w:r>
    </w:p>
    <w:p w14:paraId="121C81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Вохимтрест</w:t>
      </w:r>
      <w:r w:rsidRPr="00507A31">
        <w:rPr>
          <w:color w:val="000000" w:themeColor="text1"/>
          <w:sz w:val="16"/>
          <w:szCs w:val="16"/>
        </w:rPr>
        <w:tab/>
        <w:t>СЕРЕБРЯКОВ</w:t>
      </w:r>
    </w:p>
    <w:p w14:paraId="6A9A68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Х.О. ЦУЖКЛ</w:t>
      </w:r>
      <w:r w:rsidRPr="00507A31">
        <w:rPr>
          <w:color w:val="000000" w:themeColor="text1"/>
          <w:sz w:val="16"/>
          <w:szCs w:val="16"/>
        </w:rPr>
        <w:tab/>
        <w:t>ТРОИЦКИЙ</w:t>
      </w:r>
    </w:p>
    <w:p w14:paraId="40A13F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Штаба РККА 3 управление</w:t>
      </w:r>
      <w:r w:rsidRPr="00507A31">
        <w:rPr>
          <w:color w:val="000000" w:themeColor="text1"/>
          <w:sz w:val="16"/>
          <w:szCs w:val="16"/>
        </w:rPr>
        <w:tab/>
        <w:t>ДЕМИН</w:t>
      </w:r>
    </w:p>
    <w:p w14:paraId="050160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Комитета по Химизации</w:t>
      </w:r>
      <w:r w:rsidRPr="00507A31">
        <w:rPr>
          <w:color w:val="000000" w:themeColor="text1"/>
          <w:sz w:val="16"/>
          <w:szCs w:val="16"/>
        </w:rPr>
        <w:tab/>
        <w:t>ПОРОХИН</w:t>
      </w:r>
    </w:p>
    <w:p w14:paraId="20F19F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 Экс. Фин. Ком. ГВПУ</w:t>
      </w:r>
      <w:r w:rsidRPr="00507A31">
        <w:rPr>
          <w:color w:val="000000" w:themeColor="text1"/>
          <w:sz w:val="16"/>
          <w:szCs w:val="16"/>
        </w:rPr>
        <w:tab/>
        <w:t>СУДАРИКОВ</w:t>
      </w:r>
    </w:p>
    <w:p w14:paraId="707BEF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Всехимпрома</w:t>
      </w:r>
      <w:r w:rsidRPr="00507A31">
        <w:rPr>
          <w:color w:val="000000" w:themeColor="text1"/>
          <w:sz w:val="16"/>
          <w:szCs w:val="16"/>
        </w:rPr>
        <w:tab/>
        <w:t>БОСТАНЖОГЛО</w:t>
      </w:r>
    </w:p>
    <w:p w14:paraId="5DAC7C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Всехимпрома</w:t>
      </w:r>
      <w:r w:rsidRPr="00507A31">
        <w:rPr>
          <w:color w:val="000000" w:themeColor="text1"/>
          <w:sz w:val="16"/>
          <w:szCs w:val="16"/>
        </w:rPr>
        <w:tab/>
        <w:t>АБАЛО</w:t>
      </w:r>
    </w:p>
    <w:p w14:paraId="3D33BD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Представитель Т.О. ОГПУ не явился</w:t>
      </w:r>
    </w:p>
    <w:p w14:paraId="050886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Представитель Лабораторий НКПС не явился</w:t>
      </w:r>
    </w:p>
    <w:p w14:paraId="332D2D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БОСТАНЖОГЛО</w:t>
      </w:r>
    </w:p>
    <w:p w14:paraId="673D4D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СЛУШАЛИ:</w:t>
      </w:r>
    </w:p>
    <w:p w14:paraId="35D93F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Предложение Секретно-Шифр. Отдела Президиума ВСНХ СССР об измене</w:t>
      </w:r>
      <w:r w:rsidRPr="00507A31">
        <w:rPr>
          <w:color w:val="000000" w:themeColor="text1"/>
          <w:sz w:val="16"/>
          <w:szCs w:val="16"/>
        </w:rPr>
        <w:softHyphen/>
        <w:t>нии наименований в телеграммах отправляемых получателями взрывгруаов.</w:t>
      </w:r>
    </w:p>
    <w:p w14:paraId="6A56F2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прениях по данному вопросу выступали все представители, причем мнения сводились к следующему:</w:t>
      </w:r>
    </w:p>
    <w:p w14:paraId="24A331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Представитель Комитета по Химизации т. ПОРОХИН полагает, что в Телеграммах, посылаемых получателям для взрывгрузов необходимо указывать номер зааказа ивместе с тем шифрованное слово, обозначающее взрывгруз или отр. Вещество. Считая, что авторитетное мнение "ТО ОГПУ должно иметь в данном вопросе решающее значение, отметить,что неявка представителя на вторичное, заседание затрудняет окончательное решение вопроса и просить Всехим-трест командировать своего представителя в ТО ОГПУ для выяснения точки зрения последнего.</w:t>
      </w:r>
    </w:p>
    <w:p w14:paraId="23B5DE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Представитель охраны НКПС т. ПОПОВ и ЦУЖЕЛ'а т.ТРОИЦКИЙ присоединя</w:t>
      </w:r>
      <w:r w:rsidRPr="00507A31">
        <w:rPr>
          <w:color w:val="000000" w:themeColor="text1"/>
          <w:sz w:val="16"/>
          <w:szCs w:val="16"/>
        </w:rPr>
        <w:softHyphen/>
        <w:t>ются к мнению т. Порохина.</w:t>
      </w:r>
    </w:p>
    <w:p w14:paraId="1315F8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Представитель ВХТ'а т. СЕРЕБРЯКОВ не может дать окончательного заключения, не зная основных мотивов ТО ОГПУ, причем отмечает, что документы, сопровождающие груз (накладная и квитанция) имеют полное наименование груза и идут несекретным порядком.</w:t>
      </w:r>
    </w:p>
    <w:p w14:paraId="4CDF2F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Представитель от Штаба РККА 3 упр.т. ДЕМИН воздерживается от дачи окончательного заключения, не зная основных мотивов ТО ОПТУ.</w:t>
      </w:r>
    </w:p>
    <w:p w14:paraId="292DB7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Представитель Всехимпрома т. АБАЛОВ и т.СУДАРИКОВ, принимая во вни</w:t>
      </w:r>
      <w:r w:rsidRPr="00507A31">
        <w:rPr>
          <w:color w:val="000000" w:themeColor="text1"/>
          <w:sz w:val="16"/>
          <w:szCs w:val="16"/>
        </w:rPr>
        <w:softHyphen/>
        <w:t>мание, что шифровка телеграмм для уведомления грузогполучателей при условии, что груз и вся переписка, иду несекретным порядком, и кроме того, факт, что при шифровке телеграмм само следование груза в пути и получение его на местах этим не засекречивается, считают, что кроме за</w:t>
      </w:r>
      <w:r w:rsidRPr="00507A31">
        <w:rPr>
          <w:color w:val="000000" w:themeColor="text1"/>
          <w:sz w:val="16"/>
          <w:szCs w:val="16"/>
        </w:rPr>
        <w:softHyphen/>
        <w:t>труднений, эта мера промышленности ничего реального не даёт.</w:t>
      </w:r>
    </w:p>
    <w:p w14:paraId="59E116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совещания т. БОСТАНЖОГЛО приооединяетоя к мнению т.т. Абалова и Сударикова.</w:t>
      </w:r>
    </w:p>
    <w:p w14:paraId="2B3475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ПОСТАНОВИЛИ:</w:t>
      </w:r>
    </w:p>
    <w:p w14:paraId="167ACD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Считая; что мнение ТО ОГПУ ддолжно в данном вопросе иметь решаю</w:t>
      </w:r>
      <w:r w:rsidRPr="00507A31">
        <w:rPr>
          <w:color w:val="000000" w:themeColor="text1"/>
          <w:sz w:val="16"/>
          <w:szCs w:val="16"/>
        </w:rPr>
        <w:softHyphen/>
        <w:t>щее значение, просить Всехимпром командировать представителя в ТО ОГПУ лля выяснения данного вопроса (8826,54).</w:t>
      </w:r>
    </w:p>
    <w:p w14:paraId="00365B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060835B"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 xml:space="preserve">3 апреля 1930 г. в соответствии с пост. РВС по инициативе В.И. Рдултовского образовано специальное Центральное КБ по взрывателям и трубкам (ЦКБ ВСНХ, НКТП, ГС ЦКБ № 22 НКОП, НКБ, Государственный НИИ-22 МСХМ, </w:t>
      </w:r>
      <w:r w:rsidRPr="00507A31">
        <w:rPr>
          <w:color w:val="000000" w:themeColor="text1"/>
          <w:sz w:val="16"/>
          <w:szCs w:val="16"/>
          <w:lang w:val="en-US"/>
        </w:rPr>
        <w:t>MOM</w:t>
      </w:r>
      <w:r w:rsidRPr="00507A31">
        <w:rPr>
          <w:color w:val="000000" w:themeColor="text1"/>
          <w:sz w:val="16"/>
          <w:szCs w:val="16"/>
        </w:rPr>
        <w:t>, ГКОТ, МОП, НИИ «Поиск», ГУП, ФГУП «НИИ «Поиск» Росбоеприпаса, ФАП /188662 пос. Мурино Всеволожского р-на Ленинградской обл. ул. Лесная, 3 тел. (812) 595-71-68/ /Представительство: 195009 г. Санкт-Петербург ул. Михайлова, 17 тел. 595-71-81) путем объединения КБ завода № 4 и КБ Ленинградского завода «Прогресс». По пр. № Обсс от 30.12.1936г. ЦКБ ГУБ переименовано в ЦКБ-22. По пр. № 0180 от 15.08.1937г. КБ передано из 4ГУ в новое ИГУ.</w:t>
      </w:r>
      <w:r w:rsidRPr="00507A31">
        <w:rPr>
          <w:color w:val="000000" w:themeColor="text1"/>
          <w:sz w:val="16"/>
          <w:szCs w:val="16"/>
          <w:vertAlign w:val="superscript"/>
        </w:rPr>
        <w:t>139</w:t>
      </w:r>
      <w:r w:rsidRPr="00507A31">
        <w:rPr>
          <w:color w:val="000000" w:themeColor="text1"/>
          <w:sz w:val="16"/>
          <w:szCs w:val="16"/>
        </w:rPr>
        <w:t>Пр. № 297 от 19.08.1937г. утвержден Устав ГС ЦКБ-22, пр. № 99 от 13.03.1938г. утвержден новый Устав. В 02.1939г. ЦКБ № 22 14ГУ НКОП передано в ведение 14ГУ НКБ, в 06.1939г. находилось в ведении 6ГУ НКБ.</w:t>
      </w:r>
      <w:r w:rsidRPr="00507A31">
        <w:rPr>
          <w:color w:val="000000" w:themeColor="text1"/>
          <w:sz w:val="16"/>
          <w:szCs w:val="16"/>
          <w:vertAlign w:val="superscript"/>
        </w:rPr>
        <w:t>132</w:t>
      </w:r>
    </w:p>
    <w:p w14:paraId="519C15B2"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Начато создание взрывателей для всех видов боеприпасов, по 1940 г. создана система отечественных взрывателей предохранительного типа.</w:t>
      </w:r>
    </w:p>
    <w:p w14:paraId="6BF93B82"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В связи с расширением круга работ на базе подразделений ЦКБ-22 образовано СКБ по механическим взрывателям (1931 г.) и ГСИ-44 по электрическим взрывателям (1930-е г.). В 09.1937г. в состав КБ-22 передано оборудование, штаты и тематика ликвидированного КБ-30 НКОП. По пр. № 0277 от 21.12.1937г. «в связи со средоточением снарядного производства в ведении 13ГУ» лаборатория № 5 по центробежной отливке снарядов и штамповке чугуна передана в НИИ-24.</w:t>
      </w:r>
    </w:p>
    <w:p w14:paraId="536CCF01"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В составе ЦКБ-22 (1939г.): 5 лабораторий (в т.ч. лаборатория ручных и винтовочных гранат); 6 цехов; имелось 496 единиц оборудования, в т.ч. 341 металлорежущий станок. Площадка ЦКБ граничила с заводами № 7 и «Прогресс».</w:t>
      </w:r>
    </w:p>
    <w:p w14:paraId="104E3F0B"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пост.ениями ЦК ВКП (б) № П-34-174 от 2.07.1941 г. и Совета по эвакуации № СЭ-12сс от 3.07.1941 г. ЦКБ-22 эвакуировано в Пензу на площадку завода № 50, а в Ленинграде образован филиал, выпускал запалы к гранате Ф-1, противопехотные мины ППМС. В 1941 г. часть эвакуированного коллектива перевели в г. Москву, где образован Московский филиал (существовал в 1942-44г., разработан взрыватель МГ-8 для авиационных снарядов).</w:t>
      </w:r>
    </w:p>
    <w:p w14:paraId="24D54F22"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В 12.1942-09.1944г. - в ведении 2ГУ НКБ.</w:t>
      </w:r>
    </w:p>
    <w:p w14:paraId="26497F6E"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До 1945г. ЦКБ-22 было единственной в СССР специализированной проектно-конструкторской организацией по разработке трубок, взрывателей и систем воспламенения боеприпасов. Было создано и внедрено в серию более 60 взрывателей.</w:t>
      </w:r>
    </w:p>
    <w:p w14:paraId="6CAA5BA7"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7787 от 11.03.1945г. электроакустический взрыватель «Краб» для морских якорных мин пнв и внедрен в серийное производство.</w:t>
      </w:r>
    </w:p>
    <w:p w14:paraId="5E8AF473"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После войны ЦКБ-22 преобразовано в НИИ-22 (22.04.1945г. вышло постановление ГКО № 8244 об организации Государственного НИИ НКБ по созданию трубок, взрывателей и средств воспламенения к боеприпасам), затем - НИИ «Поиск».</w:t>
      </w:r>
    </w:p>
    <w:p w14:paraId="13D0D771"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В 1950-е-60-е г. создано новое поколение электромеханических взрывательных устройств, взрывателей для УР, артснарядов, авиабомб. На базе прецизионных акселерометров впервые в мире была создана система коррекции дальности для РСЗО.</w:t>
      </w:r>
    </w:p>
    <w:p w14:paraId="4DE5C099"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Участвовало в создании ЗРК «Стрела-ЮСВ» (1969-76г.).</w:t>
      </w:r>
      <w:r w:rsidRPr="00507A31">
        <w:rPr>
          <w:color w:val="000000" w:themeColor="text1"/>
          <w:sz w:val="16"/>
          <w:szCs w:val="16"/>
          <w:vertAlign w:val="superscript"/>
        </w:rPr>
        <w:t>57</w:t>
      </w:r>
    </w:p>
    <w:p w14:paraId="021A906B"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В 1960-е-80-е г. построен бассейн для воспроизведения процессов удара торпеды о преграду и отработки датчиков цели.</w:t>
      </w:r>
    </w:p>
    <w:p w14:paraId="5022FC63"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Проводились работы по космической тематике: создан механизм разблокировки колес для «Лунохода», механизмы старта для РН «Союз» и «Протон».</w:t>
      </w:r>
    </w:p>
    <w:p w14:paraId="69393F8D"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С 1995г. начата разработка взрывателей для морских мин.</w:t>
      </w:r>
    </w:p>
    <w:p w14:paraId="5447F00B"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По Указу Президента РФ № 1009 от 4.08.2004г. вошло в число стратегических оборонных предприятий. В 2007г. - в ведении Управления промышленности боеприпасов и спецхимиии ФАП.</w:t>
      </w:r>
    </w:p>
    <w:p w14:paraId="66D0BE72"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Ведущий институт России (2006г.) по разработке, производству и испытаниям взрывателей для боеприпасов.</w:t>
      </w:r>
    </w:p>
    <w:p w14:paraId="7126FD31"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Работы (2000 г.): создание систем предохранения взрывателей от подводных взрывов и при пожаре; увеличение дальности действия неконтактных датчиков цели. (2006г.): разработка и производство взрывателей для РСЗО, артиллерийских снарядов и минометных мин, авиационных бомб и ракет, минно-торпедных и противодиверсионных боеприпасов, комплексов ПВО, ОТРК, высокоточного оружия; разработка оборудования для рентгеноскопического контроля состояния взрывателей в снаряженных боеприпасах (тема «Двина»); создание комплекса оборудования для проведения на флотских арсеналах выборочного испытания взрывателей (тема «Контроль»).</w:t>
      </w:r>
    </w:p>
    <w:p w14:paraId="7FCC4293"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К 2005г. создано свыше 330 взрывателей, 20 изделий промышленно-гражданского назначения.</w:t>
      </w:r>
    </w:p>
    <w:p w14:paraId="5A22F251"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(06.1939г.)- 1040 чел., (12.1941 г.)- 646 чел.</w:t>
      </w:r>
    </w:p>
    <w:p w14:paraId="09B70371"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Начальник (1930 г.-)- Н.Н. Кондратьев, (-06.1937-41 г.)- г-м Д.Н. Вишневский (пневматический взрыватель), (ВОВ)- г-м А.Я. Карпов, (ВОВ)- В.М. Ларионов. Директор (1960-е)- Н.А. Еньков, (1980-е)- Б.Б. Тимофеев. Гендиректор (1990-е-2004г.-)- Л.С. Егоренков, (-2006-07г.-)- Н.А. Платонов.</w:t>
      </w:r>
    </w:p>
    <w:p w14:paraId="4D0BBCBF"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Зам. гендиректора по научной работе и маркетингу (-2000-03г.-)- Н.А. Платонов.</w:t>
      </w:r>
    </w:p>
    <w:p w14:paraId="5654DC27"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(1944г.)- И.А. Ларионов (ПТАБ-2,5-1,5, АД-1).</w:t>
      </w:r>
    </w:p>
    <w:p w14:paraId="108EAC2C"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конструкторы: направления (2000 г.)- Л. Левицкий, (2000 г.)- Л. Шахмейстер.</w:t>
      </w:r>
    </w:p>
    <w:p w14:paraId="4C6FCBF5"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лабораторий: № 5 (-12.1937г.)- Грушин; (1930-е)- В.И. Рдултовский, (2000 г.)- В. Киселев.</w:t>
      </w:r>
    </w:p>
    <w:p w14:paraId="77F043C7"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Начальник филиала: Ленинградского (ВОВ)- П.П. Архипов; Московского (1942-44г.)- Г.А. Окунь.</w:t>
      </w:r>
      <w:r w:rsidRPr="00507A31">
        <w:rPr>
          <w:color w:val="000000" w:themeColor="text1"/>
          <w:sz w:val="16"/>
          <w:szCs w:val="16"/>
          <w:vertAlign w:val="superscript"/>
        </w:rPr>
        <w:t>101</w:t>
      </w:r>
    </w:p>
    <w:p w14:paraId="576517F6" w14:textId="77777777" w:rsidR="00CA377B" w:rsidRPr="00507A31" w:rsidRDefault="00CA377B" w:rsidP="00507A31">
      <w:pPr>
        <w:autoSpaceDE w:val="0"/>
        <w:autoSpaceDN w:val="0"/>
        <w:adjustRightInd w:val="0"/>
        <w:jc w:val="both"/>
        <w:rPr>
          <w:color w:val="000000" w:themeColor="text1"/>
          <w:sz w:val="16"/>
          <w:szCs w:val="16"/>
        </w:rPr>
      </w:pPr>
      <w:r w:rsidRPr="00507A31">
        <w:rPr>
          <w:color w:val="000000" w:themeColor="text1"/>
          <w:sz w:val="16"/>
          <w:szCs w:val="16"/>
        </w:rPr>
        <w:t>Создано: взрыватели: механические контактные: для артиллерийских снарядов: 20-мм МГ-3, МГ-201 (1936), К-6 (1938); КТМ-1 (1941-45), РГМ, РГМ-2М, В-429 на базе РГМ, В-387 и В-418 для 305-мм морских (1950-е), В-491, МГЗ-57, ВГ-67, ВГ-76; электронные дистанционно-контактные для танковых снарядов ЗВМ17, ЗВМ18, САУ-ДВ, -</w:t>
      </w:r>
      <w:r w:rsidRPr="00507A31">
        <w:rPr>
          <w:color w:val="000000" w:themeColor="text1"/>
          <w:sz w:val="16"/>
          <w:szCs w:val="16"/>
          <w:lang w:val="en-US"/>
        </w:rPr>
        <w:t>KB</w:t>
      </w:r>
      <w:r w:rsidRPr="00507A31">
        <w:rPr>
          <w:color w:val="000000" w:themeColor="text1"/>
          <w:sz w:val="16"/>
          <w:szCs w:val="16"/>
        </w:rPr>
        <w:t>, -МФВ, АК-100, АК-130 (1990-е); для мин ГВМЗ-7 и МП-82 (1941-45), аэростатный ВАЗ-2, АВ-1, АПУВ-1, для кумулятивных снарядов В-229, для осколочных авиабомб АВШ-2 (пнв в 1941 г.), для ПТАБ АД-А и АД-1 (ВОВ), Т-5, Д-1; пневматический (ВОВ); для Фау-1 АВ-508 (совместно с ОКБ завода № 571); для РСЗО: ГВМЗ, В-14, В-24 (В-361) для М-24, В-25, ВД-20, электронные 9Э260 для «Прима» (1990-е), 301В и 328В для «Град IV», 9Б172 и 9Б174 для «Смерч», «Ураган» (1990-е); для НУРС 9Э29, ПИМ для УРВВ И-99А; для А-350, «Стрела», Х-25, РБУ-6000 (1960-е), для ЗРК С-300, «Бук», «Игла», КР «Гранит» (1970-е-80-е); для торпед: И-ЮЗА, И-152, И-171В, И-175Г, И-239, И-346, И-394, КАВТ-55; для глубинных бомб: 22В, УДВ-25, 28ВТ, ШВ, И-280; МРВУ, УДВ-60; для морских реактивных гранат: 159ВЗ, 215ВЗ, И-345; запальное устройство для морских мин МЗУ И-297; бомба ПТАБ-2,5-1,5 (ВОВ); система коррекции дальности для РСЗО «Смерч» (1970-е); акселерометр 143Б1; датчики цели для взрывателей: контактные Б-105, Б-13А, неконтактные И-289, И-368; механизмы старта И-234, ИК-312 для РН «Союз» и «Протон»; взрывные пьезогенераторы; датчик гидравлического давления ЖР-2 (2006); системы охранной сигнализации: «Сирена», «Сирена-5», «Орбита» (2006) (11982).</w:t>
      </w:r>
    </w:p>
    <w:p w14:paraId="5C551D25" w14:textId="77777777" w:rsidR="00CA377B" w:rsidRPr="00507A31" w:rsidRDefault="00CA377B" w:rsidP="00507A31">
      <w:pPr>
        <w:autoSpaceDE w:val="0"/>
        <w:autoSpaceDN w:val="0"/>
        <w:adjustRightInd w:val="0"/>
        <w:jc w:val="both"/>
        <w:rPr>
          <w:color w:val="000000" w:themeColor="text1"/>
          <w:sz w:val="16"/>
          <w:szCs w:val="16"/>
        </w:rPr>
      </w:pPr>
    </w:p>
    <w:p w14:paraId="484BFA0B" w14:textId="77777777" w:rsidR="00CA377B" w:rsidRPr="00507A31" w:rsidRDefault="00CA377B" w:rsidP="00507A31">
      <w:pPr>
        <w:pStyle w:val="rtejustify"/>
        <w:spacing w:before="0" w:after="0"/>
        <w:rPr>
          <w:color w:val="000000" w:themeColor="text1"/>
          <w:sz w:val="16"/>
          <w:szCs w:val="16"/>
        </w:rPr>
      </w:pPr>
      <w:r w:rsidRPr="00507A31">
        <w:rPr>
          <w:color w:val="000000" w:themeColor="text1"/>
          <w:sz w:val="16"/>
          <w:szCs w:val="16"/>
        </w:rPr>
        <w:t>3 апреля 1930 г. Постановлением РВС СССР и от 23 августа 1931 г. на Управление связи было возложено заново разработать 77 образцов вооружения связи. В установленные РВСС сроки выполнено 67 образцов (см. перечень № 1)²*, из них: а) по радио — 22 образца³*; б) по телеграфии — 9 образцов; в) по телефонии — 9 образцов; г) по моторизации и механизации — 7 образцов; д) по ПВО — 1 образец; е) по оптическим и прочим средствам связи — 19 образцов. Итого — 67 образцов.</w:t>
      </w:r>
    </w:p>
    <w:p w14:paraId="25C45D87" w14:textId="77777777" w:rsidR="00CA377B" w:rsidRPr="00507A31" w:rsidRDefault="00CA377B" w:rsidP="00507A31">
      <w:pPr>
        <w:autoSpaceDE w:val="0"/>
        <w:autoSpaceDN w:val="0"/>
        <w:adjustRightInd w:val="0"/>
        <w:jc w:val="both"/>
        <w:rPr>
          <w:iCs/>
          <w:color w:val="000000" w:themeColor="text1"/>
          <w:sz w:val="16"/>
          <w:szCs w:val="16"/>
        </w:rPr>
      </w:pPr>
    </w:p>
    <w:p w14:paraId="1A95D453" w14:textId="77777777" w:rsidR="00C408BD" w:rsidRPr="00507A31" w:rsidRDefault="00C408BD" w:rsidP="00507A31">
      <w:pPr>
        <w:autoSpaceDE w:val="0"/>
        <w:autoSpaceDN w:val="0"/>
        <w:adjustRightInd w:val="0"/>
        <w:jc w:val="both"/>
        <w:rPr>
          <w:iCs/>
          <w:color w:val="000000" w:themeColor="text1"/>
          <w:sz w:val="16"/>
          <w:szCs w:val="16"/>
        </w:rPr>
      </w:pPr>
      <w:bookmarkStart w:id="34" w:name="_Hlk91745835"/>
      <w:r w:rsidRPr="00507A31">
        <w:rPr>
          <w:i/>
          <w:iCs/>
          <w:color w:val="000000" w:themeColor="text1"/>
          <w:sz w:val="16"/>
          <w:szCs w:val="16"/>
        </w:rPr>
        <w:lastRenderedPageBreak/>
        <w:t>Армия:</w:t>
      </w:r>
    </w:p>
    <w:p w14:paraId="00FF3BF0" w14:textId="77777777" w:rsidR="00C408BD" w:rsidRPr="00507A31" w:rsidRDefault="00C408BD" w:rsidP="00507A31">
      <w:pPr>
        <w:autoSpaceDE w:val="0"/>
        <w:autoSpaceDN w:val="0"/>
        <w:adjustRightInd w:val="0"/>
        <w:jc w:val="both"/>
        <w:rPr>
          <w:iCs/>
          <w:color w:val="000000" w:themeColor="text1"/>
          <w:sz w:val="16"/>
          <w:szCs w:val="16"/>
        </w:rPr>
      </w:pPr>
    </w:p>
    <w:p w14:paraId="691F8E51" w14:textId="77777777" w:rsidR="00C408BD" w:rsidRPr="00507A31" w:rsidRDefault="00C408BD" w:rsidP="00507A31">
      <w:pPr>
        <w:shd w:val="clear" w:color="auto" w:fill="FFFFFF"/>
        <w:jc w:val="both"/>
        <w:rPr>
          <w:color w:val="0070C0"/>
          <w:sz w:val="16"/>
          <w:szCs w:val="16"/>
        </w:rPr>
      </w:pPr>
      <w:r w:rsidRPr="00507A31">
        <w:rPr>
          <w:color w:val="0070C0"/>
          <w:sz w:val="16"/>
          <w:szCs w:val="16"/>
        </w:rPr>
        <w:t>3 апреля 1930 г. начальник Штаба направил в Революционный военный совет СССР детальный аналитический доклад "Проект организации РККА по варианту № 12". Формально доклад Штаба был нацелен на точное исполнение прежней директивы - не уступать по численности вероятным противникам и превосходить их по трем решающим видам вооружения на главнейшем театре войны (Цитируя постановление "О состоянии обороны СССР", авторы доклада отредактировали (никак не оговаривая этого) требование "по технике быть сильнее противника по двум или трем решающим видам борьбы", выбросив слова "двум или" (Доклад Начальника Штаба РККА Шапошникова в РВС (X :СР, 3-04.1930 // Там же. Л. 4). "То же. Л. 4-5). Таковым признавался "западный театр", на котором "на ближайший трехлетний отрезок" надлежало "считаться с блоком Польши. Румынии, Финляндии, Эстонии и Латвии, поддерживаемым в первую очередь Францией". Боевой состав отмобилизованной армии блока западных соседей на 1933 г. исчислялся в 2438 тыс. человек, 8700 орудий (без батальонных и зенитных), 2240 самолетов, 1000 танков и 540 бронемашин. Тем самым Штаб заявлял высокие темпы перевооружения и накопления материальной части западных соседей: увеличение в течение трехлетия (1930-1933 гг.) числа орудий па 10%, самолетов на 98%, танков на 148%. Признавалось, что "западный блок" может обеспечить свои военные нужды за счет собственной промышленности лишь на 40%, однако соответствующие возможности Франции "и других империалистических держав" молчаливо предполагались неограниченными. Действительно, по данным IV Управления Штаба РККА, к 1933 г. штаты вооруженных сил этих пяти государств возросли с 1930 г. по орудиям среднего и тяжелого калибра на 22%, по самолетам на 126%, по танкам па 238%. Рост личного состава армий вероятных противников в прогнозе Штаба РККА, однако, был сильно завышен: по данным 1933 г., вся их общая штатная численность оказалась равной 2338 тыс. человек (т. е. меньшей, чем предполагавшийся ранее боевой состав) (Рассчитано по: Справка IV Управления Штаба РККА "Сведения о состоянии вооруженных сил сопредельных с СССР стран на 1933 г. (военное время)", май 1933 г. // РГВА. Ф. 40442. Оп. 2. Д 61. Л. 19) (22725).</w:t>
      </w:r>
    </w:p>
    <w:bookmarkEnd w:id="34"/>
    <w:p w14:paraId="7AA3A7DE" w14:textId="77777777" w:rsidR="00C408BD" w:rsidRPr="00507A31" w:rsidRDefault="00C408BD" w:rsidP="00507A31">
      <w:pPr>
        <w:jc w:val="both"/>
        <w:rPr>
          <w:color w:val="0070C0"/>
          <w:sz w:val="16"/>
          <w:szCs w:val="16"/>
        </w:rPr>
      </w:pPr>
    </w:p>
    <w:p w14:paraId="7944BC3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CF652D7" w14:textId="77777777" w:rsidR="00537E5F" w:rsidRPr="00507A31" w:rsidRDefault="00537E5F" w:rsidP="00507A31">
      <w:pPr>
        <w:autoSpaceDE w:val="0"/>
        <w:autoSpaceDN w:val="0"/>
        <w:adjustRightInd w:val="0"/>
        <w:jc w:val="both"/>
        <w:rPr>
          <w:iCs/>
          <w:color w:val="000000" w:themeColor="text1"/>
          <w:sz w:val="16"/>
          <w:szCs w:val="16"/>
        </w:rPr>
      </w:pPr>
    </w:p>
    <w:p w14:paraId="70D4E4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апреля 1930 регент Эфиопии Тафари Макконнена был провозглашен императором Хайле Селасие 1 (2443,405), но коронация состоялась 2 ноября 1930 (3907,161).</w:t>
      </w:r>
    </w:p>
    <w:p w14:paraId="324E55D8" w14:textId="77777777" w:rsidR="00537E5F" w:rsidRPr="00507A31" w:rsidRDefault="00537E5F" w:rsidP="00507A31">
      <w:pPr>
        <w:autoSpaceDE w:val="0"/>
        <w:autoSpaceDN w:val="0"/>
        <w:adjustRightInd w:val="0"/>
        <w:jc w:val="both"/>
        <w:rPr>
          <w:color w:val="000000" w:themeColor="text1"/>
          <w:sz w:val="16"/>
          <w:szCs w:val="16"/>
        </w:rPr>
      </w:pPr>
    </w:p>
    <w:p w14:paraId="02400F6C" w14:textId="77777777" w:rsidR="00844303" w:rsidRPr="00507A31" w:rsidRDefault="00844303"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E9C4E71" w14:textId="77777777" w:rsidR="00844303" w:rsidRPr="00507A31" w:rsidRDefault="00844303" w:rsidP="00507A31">
      <w:pPr>
        <w:autoSpaceDE w:val="0"/>
        <w:autoSpaceDN w:val="0"/>
        <w:adjustRightInd w:val="0"/>
        <w:jc w:val="both"/>
        <w:rPr>
          <w:iCs/>
          <w:color w:val="000000" w:themeColor="text1"/>
          <w:sz w:val="16"/>
          <w:szCs w:val="16"/>
        </w:rPr>
      </w:pPr>
    </w:p>
    <w:p w14:paraId="7D7A2555" w14:textId="77777777" w:rsidR="00844303" w:rsidRPr="00507A31" w:rsidRDefault="00844303" w:rsidP="00507A31">
      <w:pPr>
        <w:jc w:val="both"/>
        <w:rPr>
          <w:color w:val="000000" w:themeColor="text1"/>
          <w:sz w:val="16"/>
          <w:szCs w:val="16"/>
        </w:rPr>
      </w:pPr>
      <w:r w:rsidRPr="00507A31">
        <w:rPr>
          <w:color w:val="000000" w:themeColor="text1"/>
          <w:sz w:val="16"/>
          <w:szCs w:val="16"/>
        </w:rPr>
        <w:t>4 апреля 1930 г. циркуляром ГУ РККА за № УН 2/48/531 было утверждено расширение ВВА им. проф. Н.Е. Жуковского (19566).</w:t>
      </w:r>
    </w:p>
    <w:p w14:paraId="51F72E61" w14:textId="77777777" w:rsidR="00844303" w:rsidRPr="00507A31" w:rsidRDefault="00844303" w:rsidP="00507A31">
      <w:pPr>
        <w:jc w:val="both"/>
        <w:rPr>
          <w:color w:val="000000" w:themeColor="text1"/>
          <w:sz w:val="16"/>
          <w:szCs w:val="16"/>
        </w:rPr>
      </w:pPr>
    </w:p>
    <w:p w14:paraId="7B943329" w14:textId="77777777" w:rsidR="00C408BD" w:rsidRPr="00507A31" w:rsidRDefault="00C408BD"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F7B9F81" w14:textId="77777777" w:rsidR="00C408BD" w:rsidRPr="00507A31" w:rsidRDefault="00C408BD" w:rsidP="00507A31">
      <w:pPr>
        <w:autoSpaceDE w:val="0"/>
        <w:autoSpaceDN w:val="0"/>
        <w:adjustRightInd w:val="0"/>
        <w:jc w:val="both"/>
        <w:rPr>
          <w:iCs/>
          <w:color w:val="000000" w:themeColor="text1"/>
          <w:sz w:val="16"/>
          <w:szCs w:val="16"/>
        </w:rPr>
      </w:pPr>
    </w:p>
    <w:p w14:paraId="659ABC28" w14:textId="77777777" w:rsidR="00C408BD" w:rsidRPr="00507A31" w:rsidRDefault="00C408BD" w:rsidP="00507A31">
      <w:pPr>
        <w:jc w:val="both"/>
        <w:rPr>
          <w:color w:val="0070C0"/>
          <w:sz w:val="16"/>
          <w:szCs w:val="16"/>
        </w:rPr>
      </w:pPr>
      <w:r w:rsidRPr="00507A31">
        <w:rPr>
          <w:color w:val="0070C0"/>
          <w:sz w:val="16"/>
          <w:szCs w:val="16"/>
        </w:rPr>
        <w:t>4 апреля 1930 г. было организовано Американское межпланетное общество, а в октябре 1933 г. в Ливерпуле создано Британское межпланетное общество (22685).</w:t>
      </w:r>
    </w:p>
    <w:p w14:paraId="7C313959" w14:textId="77777777" w:rsidR="00C408BD" w:rsidRPr="00507A31" w:rsidRDefault="00C408BD" w:rsidP="00507A31">
      <w:pPr>
        <w:jc w:val="both"/>
        <w:rPr>
          <w:color w:val="0070C0"/>
          <w:sz w:val="16"/>
          <w:szCs w:val="16"/>
        </w:rPr>
      </w:pPr>
    </w:p>
    <w:p w14:paraId="12BB2CD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1B4C3CC" w14:textId="77777777" w:rsidR="00537E5F" w:rsidRPr="00507A31" w:rsidRDefault="00537E5F" w:rsidP="00507A31">
      <w:pPr>
        <w:autoSpaceDE w:val="0"/>
        <w:autoSpaceDN w:val="0"/>
        <w:adjustRightInd w:val="0"/>
        <w:jc w:val="both"/>
        <w:rPr>
          <w:iCs/>
          <w:color w:val="000000" w:themeColor="text1"/>
          <w:sz w:val="16"/>
          <w:szCs w:val="16"/>
        </w:rPr>
      </w:pPr>
    </w:p>
    <w:p w14:paraId="7EC834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апреля 1930 было совещание представителей ЦАГИ и завода п/я 747 о сроках изготовления рабочих чертежей АНТ-6 (ТБ-3) (1077,121), а П.О.С. просил в ближайшее время назначить макетную комиссию по И-8 (АНТ-13) (1102).</w:t>
      </w:r>
    </w:p>
    <w:p w14:paraId="619B0E85" w14:textId="77777777" w:rsidR="00537E5F" w:rsidRPr="00507A31" w:rsidRDefault="00537E5F" w:rsidP="00507A31">
      <w:pPr>
        <w:autoSpaceDE w:val="0"/>
        <w:autoSpaceDN w:val="0"/>
        <w:adjustRightInd w:val="0"/>
        <w:jc w:val="both"/>
        <w:rPr>
          <w:color w:val="000000" w:themeColor="text1"/>
          <w:sz w:val="16"/>
          <w:szCs w:val="16"/>
        </w:rPr>
      </w:pPr>
    </w:p>
    <w:p w14:paraId="1488ED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апреля НТК УВВС направил в ЦАГИ служебную записку N 1109с и приложил Протокол Совещания при НТК УВВС по уточнению технических требований к самолетам 5-ти летнего плана: И-9, ДИ-3, ДИ-4, МБР-2, МДР-2 и общих технических требований самолетов от 26 марта 1930. Поступила в ЦАГИ 8 апреля 1930 и получила N 512с (351).</w:t>
      </w:r>
    </w:p>
    <w:p w14:paraId="6409DBD2" w14:textId="77777777" w:rsidR="00537E5F" w:rsidRPr="00507A31" w:rsidRDefault="00537E5F" w:rsidP="00507A31">
      <w:pPr>
        <w:autoSpaceDE w:val="0"/>
        <w:autoSpaceDN w:val="0"/>
        <w:adjustRightInd w:val="0"/>
        <w:jc w:val="both"/>
        <w:rPr>
          <w:color w:val="000000" w:themeColor="text1"/>
          <w:sz w:val="16"/>
          <w:szCs w:val="16"/>
        </w:rPr>
      </w:pPr>
    </w:p>
    <w:p w14:paraId="6942E3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5 апреля 1930 все работы по мотору Киреева остановили. Когда конструктор уже сидел в тюрьме, 29 июня, распоряжением на</w:t>
      </w:r>
      <w:r w:rsidRPr="00507A31">
        <w:rPr>
          <w:color w:val="000000" w:themeColor="text1"/>
          <w:sz w:val="16"/>
          <w:szCs w:val="16"/>
        </w:rPr>
        <w:softHyphen/>
        <w:t>чальника объединения МК-14 изъяли из плана завода. Детали мотора упаковали и отправили в Москву, в НАМ. Дальнейшая судьба их неизвестна, так же как судьба самого Киреева.</w:t>
      </w:r>
    </w:p>
    <w:p w14:paraId="4630BB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569F64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12-цилиндровый, рядный У-образный, четырехтактный, водяного</w:t>
      </w:r>
    </w:p>
    <w:p w14:paraId="3BE450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охлаждения, редукторный;</w:t>
      </w:r>
    </w:p>
    <w:p w14:paraId="410259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 ПЦН (в окончательном варианте);</w:t>
      </w:r>
    </w:p>
    <w:p w14:paraId="12368B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132/180 мм (позднее 166,5/230 мм);</w:t>
      </w:r>
    </w:p>
    <w:p w14:paraId="517F5A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5,7 (альтернативно 6,2);</w:t>
      </w:r>
    </w:p>
    <w:p w14:paraId="1DB97F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исходно 600 л.с. (позднее 800 л.с. и 950 л.с.) (11852).</w:t>
      </w:r>
    </w:p>
    <w:p w14:paraId="70514E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A3D33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5 апреля 1930 г. В НИИ ВВС завершили эскизный проект системы дозаправки в воздухе для Р-1. С 4 июня в мастерских НИИ началось изготовление оборудования. К 7 июля все было готово, но пришлось ждать прибытия двух серийных Р-1 для переделки.</w:t>
      </w:r>
    </w:p>
    <w:p w14:paraId="18FB2A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бензосистемы.</w:t>
      </w:r>
    </w:p>
    <w:p w14:paraId="769E52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w:t>
      </w:r>
    </w:p>
    <w:p w14:paraId="32C648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Полученный опыт группа Запанованного использовала позже при разработке систем дозаправки других самолетов (11923).</w:t>
      </w:r>
    </w:p>
    <w:p w14:paraId="7BCCBC8B" w14:textId="77777777" w:rsidR="00537E5F" w:rsidRPr="00507A31" w:rsidRDefault="00537E5F" w:rsidP="00507A31">
      <w:pPr>
        <w:autoSpaceDE w:val="0"/>
        <w:autoSpaceDN w:val="0"/>
        <w:adjustRightInd w:val="0"/>
        <w:jc w:val="both"/>
        <w:rPr>
          <w:color w:val="000000" w:themeColor="text1"/>
          <w:sz w:val="16"/>
          <w:szCs w:val="16"/>
        </w:rPr>
      </w:pPr>
    </w:p>
    <w:p w14:paraId="786A0F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апреля 1930 г. был готов эскизный проект устройств для дозаправки в воздухе применительно к самолету Р-1. Его одобрили и с 4 июня в мастерских начали делать необходимые детали, узлы и агрегаты. На самолете-заправщике ("бензи- 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самолетами: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самотеком. На Р-1, в который собирались переливать горючее, кроме розетки монтировалась приемная горловина. Поскольку все рассматривалось только как эксперимент, на обоих самолетах использовались баки емкостью по 32 л, не подсоединенные к топливной системе.</w:t>
      </w:r>
    </w:p>
    <w:p w14:paraId="17E302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31 июля 1930 г. все изготовили,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7AE267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5AA0AC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60FF68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416393D4" w14:textId="77777777" w:rsidR="00537E5F" w:rsidRPr="00507A31" w:rsidRDefault="00537E5F" w:rsidP="00507A31">
      <w:pPr>
        <w:autoSpaceDE w:val="0"/>
        <w:autoSpaceDN w:val="0"/>
        <w:adjustRightInd w:val="0"/>
        <w:jc w:val="both"/>
        <w:rPr>
          <w:color w:val="000000" w:themeColor="text1"/>
          <w:sz w:val="16"/>
          <w:szCs w:val="16"/>
        </w:rPr>
      </w:pPr>
    </w:p>
    <w:p w14:paraId="242AF752" w14:textId="77777777" w:rsidR="00E23C77" w:rsidRPr="00507A31" w:rsidRDefault="00E23C77" w:rsidP="00507A31">
      <w:pPr>
        <w:jc w:val="both"/>
        <w:rPr>
          <w:color w:val="000000" w:themeColor="text1"/>
          <w:sz w:val="16"/>
          <w:szCs w:val="16"/>
        </w:rPr>
      </w:pPr>
      <w:r w:rsidRPr="00507A31">
        <w:rPr>
          <w:color w:val="000000" w:themeColor="text1"/>
          <w:sz w:val="16"/>
          <w:szCs w:val="16"/>
        </w:rPr>
        <w:t>5 апреля 1930 г. был готов эскизный проект отечественной системы дозаправки в воздухе. Его одобрили, и с 4 июня в мастерских начали делать необходимые детали, узлы и агрегаты. На самолёте-заправщике („бензиновозе“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самолётами: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самотёком. На Р-1, в который собирались переливать горючее, кроме розетки монтировалась приёмная горловина. Поскольку всё рассматривалось только как эксперимент, на обоих самолётах использовались баки ёмкостью по 32 л, не подсоединённые к топливной системе.</w:t>
      </w:r>
    </w:p>
    <w:p w14:paraId="1F5ECD52" w14:textId="77777777" w:rsidR="00E23C77" w:rsidRPr="00507A31" w:rsidRDefault="00E23C77" w:rsidP="00507A31">
      <w:pPr>
        <w:jc w:val="both"/>
        <w:rPr>
          <w:color w:val="000000" w:themeColor="text1"/>
          <w:sz w:val="16"/>
          <w:szCs w:val="16"/>
        </w:rPr>
      </w:pPr>
      <w:r w:rsidRPr="00507A31">
        <w:rPr>
          <w:color w:val="000000" w:themeColor="text1"/>
          <w:sz w:val="16"/>
          <w:szCs w:val="16"/>
        </w:rPr>
        <w:t>К 31 июля 1930 г. оборудование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12F7960A" w14:textId="77777777" w:rsidR="00E23C77" w:rsidRPr="00507A31" w:rsidRDefault="00E23C77" w:rsidP="00507A31">
      <w:pPr>
        <w:jc w:val="both"/>
        <w:rPr>
          <w:color w:val="000000" w:themeColor="text1"/>
          <w:sz w:val="16"/>
          <w:szCs w:val="16"/>
        </w:rPr>
      </w:pPr>
      <w:r w:rsidRPr="00507A31">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3F43A98B" w14:textId="77777777" w:rsidR="00E23C77" w:rsidRPr="00507A31" w:rsidRDefault="00E23C77" w:rsidP="00507A31">
      <w:pPr>
        <w:jc w:val="both"/>
        <w:rPr>
          <w:color w:val="000000" w:themeColor="text1"/>
          <w:sz w:val="16"/>
          <w:szCs w:val="16"/>
        </w:rPr>
      </w:pPr>
      <w:r w:rsidRPr="00507A31">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75" w:history="1">
        <w:r w:rsidRPr="00507A31">
          <w:rPr>
            <w:color w:val="000000" w:themeColor="text1"/>
            <w:sz w:val="16"/>
            <w:szCs w:val="16"/>
          </w:rPr>
          <w:t>[55]</w:t>
        </w:r>
      </w:hyperlink>
      <w:r w:rsidRPr="00507A31">
        <w:rPr>
          <w:color w:val="000000" w:themeColor="text1"/>
          <w:sz w:val="16"/>
          <w:szCs w:val="16"/>
        </w:rPr>
        <w:t xml:space="preserve"> .</w:t>
      </w:r>
    </w:p>
    <w:p w14:paraId="21CBFDE8" w14:textId="77777777" w:rsidR="00E23C77" w:rsidRPr="00507A31" w:rsidRDefault="00E23C77" w:rsidP="00507A31">
      <w:pPr>
        <w:jc w:val="both"/>
        <w:rPr>
          <w:color w:val="000000" w:themeColor="text1"/>
          <w:sz w:val="16"/>
          <w:szCs w:val="16"/>
        </w:rPr>
      </w:pPr>
      <w:r w:rsidRPr="00507A31">
        <w:rPr>
          <w:color w:val="000000" w:themeColor="text1"/>
          <w:sz w:val="16"/>
          <w:szCs w:val="16"/>
        </w:rPr>
        <w:t>Эти эксперименты были не больше, чем повторением американских опытов 1923 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29D880E7" w14:textId="77777777" w:rsidR="00E23C77" w:rsidRPr="00507A31" w:rsidRDefault="00E23C77" w:rsidP="00507A31">
      <w:pPr>
        <w:jc w:val="both"/>
        <w:rPr>
          <w:color w:val="000000" w:themeColor="text1"/>
          <w:sz w:val="16"/>
          <w:szCs w:val="16"/>
        </w:rPr>
      </w:pPr>
    </w:p>
    <w:p w14:paraId="71D5ECA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6E5324A" w14:textId="77777777" w:rsidR="00537E5F" w:rsidRPr="00507A31" w:rsidRDefault="00537E5F" w:rsidP="00507A31">
      <w:pPr>
        <w:autoSpaceDE w:val="0"/>
        <w:autoSpaceDN w:val="0"/>
        <w:adjustRightInd w:val="0"/>
        <w:jc w:val="both"/>
        <w:rPr>
          <w:iCs/>
          <w:color w:val="000000" w:themeColor="text1"/>
          <w:sz w:val="16"/>
          <w:szCs w:val="16"/>
        </w:rPr>
      </w:pPr>
    </w:p>
    <w:p w14:paraId="11C716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апреля 1930 г. начальник Техотдела экономического управления (ТО ЭКУ) ОГПУ тов. Уюк лично выдал Эдварду Гроте совер</w:t>
      </w:r>
      <w:r w:rsidRPr="00507A31">
        <w:rPr>
          <w:color w:val="000000" w:themeColor="text1"/>
          <w:sz w:val="16"/>
          <w:szCs w:val="16"/>
        </w:rPr>
        <w:softHyphen/>
        <w:t>шенно секретное задание на «проэктирование позиционного танка с компановкой по типу Т- 1-12 или французского танка прорыва» со следующими характеристиками:</w:t>
      </w:r>
    </w:p>
    <w:p w14:paraId="1DB804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погрузочный вес 18-20 (не свыше 30) т;</w:t>
      </w:r>
    </w:p>
    <w:p w14:paraId="3782F3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макс скорость 32-40 клм/час;</w:t>
      </w:r>
    </w:p>
    <w:p w14:paraId="35BABD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вооружение 1 76,2мм пушка с баллистикой обр. 1902 г.; 1 37 -мм танковая пушка нового типа; 5 пулеметов, из коих 2 тяжелых;</w:t>
      </w:r>
    </w:p>
    <w:p w14:paraId="581272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толщина брони не хуже 20 мм;»</w:t>
      </w:r>
    </w:p>
    <w:p w14:paraId="56AEEB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проектирования и постройки опытной машины бы</w:t>
      </w:r>
      <w:r w:rsidRPr="00507A31">
        <w:rPr>
          <w:color w:val="000000" w:themeColor="text1"/>
          <w:sz w:val="16"/>
          <w:szCs w:val="16"/>
        </w:rPr>
        <w:softHyphen/>
        <w:t>ло сформировано КБ АВО-5 на заводе «Большевик». В это КБ помимо немецких специалистов вошли также молодые советские инженеры (Барыков, Воробьев, Троянов и др.), ставшие впоследствии известными разработчиками броне</w:t>
      </w:r>
      <w:r w:rsidRPr="00507A31">
        <w:rPr>
          <w:color w:val="000000" w:themeColor="text1"/>
          <w:sz w:val="16"/>
          <w:szCs w:val="16"/>
        </w:rPr>
        <w:softHyphen/>
        <w:t>танковой техники. Техническую экспертизу проекта осущес</w:t>
      </w:r>
      <w:r w:rsidRPr="00507A31">
        <w:rPr>
          <w:color w:val="000000" w:themeColor="text1"/>
          <w:sz w:val="16"/>
          <w:szCs w:val="16"/>
        </w:rPr>
        <w:softHyphen/>
        <w:t>твляли ведущий конструктор секции гусеничных машин ОАТ профессор В. Заславский и начальник испытательного отдела ОАТ С. Гинзбург (10733,243).</w:t>
      </w:r>
    </w:p>
    <w:p w14:paraId="0F8DEB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296A1E3" w14:textId="77777777" w:rsidR="00F42E0E" w:rsidRPr="00507A31" w:rsidRDefault="00F42E0E" w:rsidP="00507A31">
      <w:pPr>
        <w:jc w:val="both"/>
        <w:rPr>
          <w:color w:val="000000" w:themeColor="text1"/>
          <w:sz w:val="16"/>
          <w:szCs w:val="16"/>
          <w:u w:color="002060"/>
        </w:rPr>
      </w:pPr>
      <w:r w:rsidRPr="00507A31">
        <w:rPr>
          <w:color w:val="000000" w:themeColor="text1"/>
          <w:sz w:val="16"/>
          <w:szCs w:val="16"/>
          <w:u w:color="002060"/>
        </w:rPr>
        <w:t>5 апреля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122. 31. О реорганизации военной промышленности (Куйбышев). Решения ПБ от 30 марта 1930 г. 37. Доклад о металлопромышленности (ПБ от 14 марта 1930 г., пр. № 120, п. 75). 42. Сообщение РЗ СТО (ПБ от 15 января 1930 г., пр. № 113, п. 1) (Рыков) [о мобподготовке промышленности]. 53. Вопрос Ворошилова [о дополнительном ассигновании НКВМору]. — ОП. (Политбюро... Т. 2. С. 34, 35) (12416).</w:t>
      </w:r>
    </w:p>
    <w:p w14:paraId="77CD6617" w14:textId="77777777" w:rsidR="00F42E0E" w:rsidRPr="00507A31" w:rsidRDefault="00F42E0E" w:rsidP="00507A31">
      <w:pPr>
        <w:jc w:val="both"/>
        <w:rPr>
          <w:color w:val="000000" w:themeColor="text1"/>
          <w:sz w:val="16"/>
          <w:szCs w:val="16"/>
          <w:u w:color="002060"/>
        </w:rPr>
      </w:pPr>
    </w:p>
    <w:p w14:paraId="1DD27E63" w14:textId="77777777" w:rsidR="00844303" w:rsidRPr="00507A31" w:rsidRDefault="00844303" w:rsidP="00507A31">
      <w:pPr>
        <w:jc w:val="both"/>
        <w:rPr>
          <w:color w:val="000000" w:themeColor="text1"/>
          <w:sz w:val="16"/>
          <w:szCs w:val="16"/>
        </w:rPr>
      </w:pPr>
      <w:r w:rsidRPr="00507A31">
        <w:rPr>
          <w:color w:val="000000" w:themeColor="text1"/>
          <w:sz w:val="16"/>
          <w:szCs w:val="16"/>
        </w:rPr>
        <w:t>5 апреля 1930</w:t>
      </w:r>
    </w:p>
    <w:p w14:paraId="2F476386" w14:textId="77777777" w:rsidR="00844303" w:rsidRPr="00507A31" w:rsidRDefault="00844303" w:rsidP="00507A31">
      <w:pPr>
        <w:jc w:val="both"/>
        <w:rPr>
          <w:color w:val="000000" w:themeColor="text1"/>
          <w:sz w:val="16"/>
          <w:szCs w:val="16"/>
        </w:rPr>
      </w:pPr>
      <w:r w:rsidRPr="00507A31">
        <w:rPr>
          <w:color w:val="000000" w:themeColor="text1"/>
          <w:sz w:val="16"/>
          <w:szCs w:val="16"/>
        </w:rPr>
        <w:t>п. 31: О реорганизации военной промышленности</w:t>
      </w:r>
    </w:p>
    <w:p w14:paraId="60C1D110" w14:textId="77777777" w:rsidR="00844303" w:rsidRPr="00507A31" w:rsidRDefault="00844303" w:rsidP="00507A31">
      <w:pPr>
        <w:jc w:val="both"/>
        <w:rPr>
          <w:color w:val="000000" w:themeColor="text1"/>
          <w:sz w:val="16"/>
          <w:szCs w:val="16"/>
        </w:rPr>
      </w:pPr>
      <w:r w:rsidRPr="00507A31">
        <w:rPr>
          <w:color w:val="000000" w:themeColor="text1"/>
          <w:sz w:val="16"/>
          <w:szCs w:val="16"/>
        </w:rPr>
        <w:t>(Куйбышев).</w:t>
      </w:r>
    </w:p>
    <w:p w14:paraId="067E344C" w14:textId="77777777" w:rsidR="00844303" w:rsidRPr="00507A31" w:rsidRDefault="00844303" w:rsidP="00507A31">
      <w:pPr>
        <w:jc w:val="both"/>
        <w:rPr>
          <w:color w:val="000000" w:themeColor="text1"/>
          <w:sz w:val="16"/>
          <w:szCs w:val="16"/>
        </w:rPr>
      </w:pPr>
      <w:r w:rsidRPr="00507A31">
        <w:rPr>
          <w:color w:val="000000" w:themeColor="text1"/>
          <w:sz w:val="16"/>
          <w:szCs w:val="16"/>
        </w:rPr>
        <w:t>а) Утвердить решение РЗ СТО:</w:t>
      </w:r>
    </w:p>
    <w:p w14:paraId="32A90726" w14:textId="77777777" w:rsidR="00844303" w:rsidRPr="00507A31" w:rsidRDefault="00844303" w:rsidP="00507A31">
      <w:pPr>
        <w:jc w:val="both"/>
        <w:rPr>
          <w:color w:val="000000" w:themeColor="text1"/>
          <w:sz w:val="16"/>
          <w:szCs w:val="16"/>
        </w:rPr>
      </w:pPr>
      <w:r w:rsidRPr="00507A31">
        <w:rPr>
          <w:color w:val="000000" w:themeColor="text1"/>
          <w:sz w:val="16"/>
          <w:szCs w:val="16"/>
        </w:rPr>
        <w:t>1) Во изменение постановления РЗ СТО от 30.I.1930 г. (пр. № 44, п. 1, § 3) признать необходимым Главное Военно-Промышленное Управление расформировать и из трех существующих трестов военной промышленности организовать следующие два соединения, с подчинением их непосредственно президиуму ВСНХ СССР и мобилизационно-плановому управлению:</w:t>
      </w:r>
    </w:p>
    <w:p w14:paraId="198417D8" w14:textId="77777777" w:rsidR="00844303" w:rsidRPr="00507A31" w:rsidRDefault="00844303" w:rsidP="00507A31">
      <w:pPr>
        <w:jc w:val="both"/>
        <w:rPr>
          <w:color w:val="000000" w:themeColor="text1"/>
          <w:sz w:val="16"/>
          <w:szCs w:val="16"/>
        </w:rPr>
      </w:pPr>
      <w:r w:rsidRPr="00507A31">
        <w:rPr>
          <w:color w:val="000000" w:themeColor="text1"/>
          <w:sz w:val="16"/>
          <w:szCs w:val="16"/>
        </w:rPr>
        <w:t>а) объединение патронно-трубочного и взрывательного производств, включающее предприятия патронно-трубочного треста:</w:t>
      </w:r>
    </w:p>
    <w:p w14:paraId="7B93878A" w14:textId="77777777" w:rsidR="00844303" w:rsidRPr="00507A31" w:rsidRDefault="00844303" w:rsidP="00507A31">
      <w:pPr>
        <w:jc w:val="both"/>
        <w:rPr>
          <w:color w:val="000000" w:themeColor="text1"/>
          <w:sz w:val="16"/>
          <w:szCs w:val="16"/>
        </w:rPr>
      </w:pPr>
      <w:r w:rsidRPr="00507A31">
        <w:rPr>
          <w:color w:val="000000" w:themeColor="text1"/>
          <w:sz w:val="16"/>
          <w:szCs w:val="16"/>
        </w:rPr>
        <w:t>б) объединение орудийно-оружейно-пулеметное со включением в его состав предприятий орудийно-арсенального и оружейно-пулеметного трестов.</w:t>
      </w:r>
    </w:p>
    <w:p w14:paraId="65C3C3AC" w14:textId="77777777" w:rsidR="00844303" w:rsidRPr="00507A31" w:rsidRDefault="00844303" w:rsidP="00507A31">
      <w:pPr>
        <w:jc w:val="both"/>
        <w:rPr>
          <w:color w:val="000000" w:themeColor="text1"/>
          <w:sz w:val="16"/>
          <w:szCs w:val="16"/>
        </w:rPr>
      </w:pPr>
      <w:r w:rsidRPr="00507A31">
        <w:rPr>
          <w:color w:val="000000" w:themeColor="text1"/>
          <w:sz w:val="16"/>
          <w:szCs w:val="16"/>
        </w:rPr>
        <w:t>2) Обязать президиум ВСНХ СССР реорганизацию закончить в 10</w:t>
      </w:r>
      <w:r w:rsidRPr="00507A31">
        <w:rPr>
          <w:color w:val="000000" w:themeColor="text1"/>
          <w:sz w:val="16"/>
          <w:szCs w:val="16"/>
        </w:rPr>
        <w:noBreakHyphen/>
        <w:t>ти дневный срок.</w:t>
      </w:r>
    </w:p>
    <w:p w14:paraId="22369825" w14:textId="77777777" w:rsidR="00844303" w:rsidRPr="00507A31" w:rsidRDefault="00844303" w:rsidP="00507A31">
      <w:pPr>
        <w:jc w:val="both"/>
        <w:rPr>
          <w:color w:val="000000" w:themeColor="text1"/>
          <w:sz w:val="16"/>
          <w:szCs w:val="16"/>
        </w:rPr>
      </w:pPr>
      <w:r w:rsidRPr="00507A31">
        <w:rPr>
          <w:color w:val="000000" w:themeColor="text1"/>
          <w:sz w:val="16"/>
          <w:szCs w:val="16"/>
        </w:rPr>
        <w:t>б) Назначить т. Венецкого председателем объединения патронно-трубочного и взрывчатого производств и т. Урываева председателем орудийно-оружейно-пулеметного объединения. Заместителем т. Урываева назначить т. Будняка (18328).</w:t>
      </w:r>
    </w:p>
    <w:p w14:paraId="2377842E" w14:textId="77777777" w:rsidR="00844303" w:rsidRPr="00507A31" w:rsidRDefault="00844303" w:rsidP="00507A31">
      <w:pPr>
        <w:jc w:val="both"/>
        <w:rPr>
          <w:color w:val="000000" w:themeColor="text1"/>
          <w:sz w:val="16"/>
          <w:szCs w:val="16"/>
        </w:rPr>
      </w:pPr>
    </w:p>
    <w:p w14:paraId="3B16B027" w14:textId="77777777" w:rsidR="00F42E0E" w:rsidRPr="00507A31" w:rsidRDefault="00F42E0E" w:rsidP="00507A31">
      <w:pPr>
        <w:jc w:val="both"/>
        <w:rPr>
          <w:color w:val="000000" w:themeColor="text1"/>
          <w:sz w:val="16"/>
          <w:szCs w:val="16"/>
        </w:rPr>
      </w:pPr>
      <w:r w:rsidRPr="00507A31">
        <w:rPr>
          <w:rStyle w:val="a7"/>
          <w:b w:val="0"/>
          <w:color w:val="000000" w:themeColor="text1"/>
          <w:sz w:val="16"/>
          <w:szCs w:val="16"/>
        </w:rPr>
        <w:t xml:space="preserve">5 апреля 1930 </w:t>
      </w:r>
      <w:r w:rsidRPr="00507A31">
        <w:rPr>
          <w:color w:val="000000" w:themeColor="text1"/>
          <w:sz w:val="16"/>
          <w:szCs w:val="16"/>
        </w:rPr>
        <w:t>Политбюро ЦК ВКП (б) одобрило проект постановления СНК об ассигновании 83 млн. руб. на дополнительные капитальные работы по черной металлургии; поставило перед СТО вопрос о срочном приступе к строительству Харьковского тракторного завода; указало ВСНХ на необходимость увеличить план привлечения иностранных специалистов в промышленность; утвердило проект постановления ЦК ВКП(б) «О работе металлопромышленности» (12265).</w:t>
      </w:r>
    </w:p>
    <w:p w14:paraId="7070A108" w14:textId="77777777" w:rsidR="00F42E0E" w:rsidRPr="00507A31" w:rsidRDefault="00F42E0E" w:rsidP="00507A31">
      <w:pPr>
        <w:jc w:val="both"/>
        <w:rPr>
          <w:color w:val="000000" w:themeColor="text1"/>
          <w:sz w:val="16"/>
          <w:szCs w:val="16"/>
        </w:rPr>
      </w:pPr>
      <w:r w:rsidRPr="00507A31">
        <w:rPr>
          <w:color w:val="000000" w:themeColor="text1"/>
          <w:sz w:val="16"/>
          <w:szCs w:val="16"/>
        </w:rPr>
        <w:t> </w:t>
      </w:r>
    </w:p>
    <w:p w14:paraId="2BDE9A1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5C9D9F1" w14:textId="77777777" w:rsidR="00537E5F" w:rsidRPr="00507A31" w:rsidRDefault="00537E5F" w:rsidP="00507A31">
      <w:pPr>
        <w:autoSpaceDE w:val="0"/>
        <w:autoSpaceDN w:val="0"/>
        <w:adjustRightInd w:val="0"/>
        <w:jc w:val="both"/>
        <w:rPr>
          <w:iCs/>
          <w:color w:val="000000" w:themeColor="text1"/>
          <w:sz w:val="16"/>
          <w:szCs w:val="16"/>
        </w:rPr>
      </w:pPr>
    </w:p>
    <w:p w14:paraId="7BBAC2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апреля 1930 вышло Постановление ВУЦИК и СНК УССР "О воспрещении аренды земли и применения наемного труда в индивидуальных крестьянских хозяйствах в районах сплошной коллективизации" (10687).</w:t>
      </w:r>
    </w:p>
    <w:p w14:paraId="46D2DA6D" w14:textId="77777777" w:rsidR="00537E5F" w:rsidRPr="00507A31" w:rsidRDefault="00537E5F" w:rsidP="00507A31">
      <w:pPr>
        <w:autoSpaceDE w:val="0"/>
        <w:autoSpaceDN w:val="0"/>
        <w:adjustRightInd w:val="0"/>
        <w:jc w:val="both"/>
        <w:rPr>
          <w:color w:val="000000" w:themeColor="text1"/>
          <w:sz w:val="16"/>
          <w:szCs w:val="16"/>
        </w:rPr>
      </w:pPr>
    </w:p>
    <w:p w14:paraId="2212535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4146FAC" w14:textId="77777777" w:rsidR="00537E5F" w:rsidRPr="00507A31" w:rsidRDefault="00537E5F" w:rsidP="00507A31">
      <w:pPr>
        <w:autoSpaceDE w:val="0"/>
        <w:autoSpaceDN w:val="0"/>
        <w:adjustRightInd w:val="0"/>
        <w:jc w:val="both"/>
        <w:rPr>
          <w:iCs/>
          <w:color w:val="000000" w:themeColor="text1"/>
          <w:sz w:val="16"/>
          <w:szCs w:val="16"/>
        </w:rPr>
      </w:pPr>
    </w:p>
    <w:p w14:paraId="0F0CFA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апреля 1930 М.Ганди намеренно нарушил британский закон и стал производить соль в Индии (2100).</w:t>
      </w:r>
    </w:p>
    <w:p w14:paraId="7FEDBCAA" w14:textId="77777777" w:rsidR="00537E5F" w:rsidRPr="00507A31" w:rsidRDefault="00537E5F" w:rsidP="00507A31">
      <w:pPr>
        <w:autoSpaceDE w:val="0"/>
        <w:autoSpaceDN w:val="0"/>
        <w:adjustRightInd w:val="0"/>
        <w:jc w:val="both"/>
        <w:rPr>
          <w:color w:val="000000" w:themeColor="text1"/>
          <w:sz w:val="16"/>
          <w:szCs w:val="16"/>
        </w:rPr>
      </w:pPr>
    </w:p>
    <w:p w14:paraId="5E6BC1C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6F5475B" w14:textId="77777777" w:rsidR="00537E5F" w:rsidRPr="00507A31" w:rsidRDefault="00537E5F" w:rsidP="00507A31">
      <w:pPr>
        <w:autoSpaceDE w:val="0"/>
        <w:autoSpaceDN w:val="0"/>
        <w:adjustRightInd w:val="0"/>
        <w:jc w:val="both"/>
        <w:rPr>
          <w:iCs/>
          <w:color w:val="000000" w:themeColor="text1"/>
          <w:sz w:val="16"/>
          <w:szCs w:val="16"/>
        </w:rPr>
      </w:pPr>
    </w:p>
    <w:p w14:paraId="6ABF4F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6/8 апреля 1930 Нач. штаба РКА Б.М.Шапошников за N 020559сс/224 писал Нач. ВВС Я.И.Алкснису свои изменения к ТТТ самолетов, намечаемых к постройке для осуществления системы вооружения ВВС РККА. Речь шла об автоматических пушках на истребителях и о том, что "2. На тяжелом штурмовике не предусмотрен вариант установки автоматической пушки 20-37 мм, каковая в смысле бронебойности, вследствие большой начальной скорости снаряда, имеет несомненное преимущества перед 76 мм пушкой ДРП. Автоматическая пушка приобретает еще большее значение при атаке автобронетанковых средств с увеличенной подвижностью. Я.И.Алкснис наложил 10 апреля резолюцию "Тов. Дубенскому. К руководству (351).</w:t>
      </w:r>
    </w:p>
    <w:p w14:paraId="484727F1" w14:textId="77777777" w:rsidR="00537E5F" w:rsidRPr="00507A31" w:rsidRDefault="00537E5F" w:rsidP="00507A31">
      <w:pPr>
        <w:autoSpaceDE w:val="0"/>
        <w:autoSpaceDN w:val="0"/>
        <w:adjustRightInd w:val="0"/>
        <w:jc w:val="both"/>
        <w:rPr>
          <w:color w:val="000000" w:themeColor="text1"/>
          <w:sz w:val="16"/>
          <w:szCs w:val="16"/>
        </w:rPr>
      </w:pPr>
    </w:p>
    <w:p w14:paraId="6CD41A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Эскизный проект И-8 (АНТ-13) утвердили 6 апреля 1930 (92,412).</w:t>
      </w:r>
    </w:p>
    <w:p w14:paraId="1FF9165C" w14:textId="77777777" w:rsidR="00537E5F" w:rsidRPr="00507A31" w:rsidRDefault="00537E5F" w:rsidP="00507A31">
      <w:pPr>
        <w:autoSpaceDE w:val="0"/>
        <w:autoSpaceDN w:val="0"/>
        <w:adjustRightInd w:val="0"/>
        <w:jc w:val="both"/>
        <w:rPr>
          <w:color w:val="000000" w:themeColor="text1"/>
          <w:sz w:val="16"/>
          <w:szCs w:val="16"/>
        </w:rPr>
      </w:pPr>
    </w:p>
    <w:p w14:paraId="31DB779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B8820EB" w14:textId="77777777" w:rsidR="00537E5F" w:rsidRPr="00507A31" w:rsidRDefault="00537E5F" w:rsidP="00507A31">
      <w:pPr>
        <w:autoSpaceDE w:val="0"/>
        <w:autoSpaceDN w:val="0"/>
        <w:adjustRightInd w:val="0"/>
        <w:jc w:val="both"/>
        <w:rPr>
          <w:iCs/>
          <w:color w:val="000000" w:themeColor="text1"/>
          <w:sz w:val="16"/>
          <w:szCs w:val="16"/>
        </w:rPr>
      </w:pPr>
    </w:p>
    <w:p w14:paraId="4063A64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 апреля 1930 экспедиция ВОХИМУ закончила опытные работы по заражению и дегазации средств ж/д транспорта на ст. Шуерецкая (Карелия) которые проходили с 1 марта 1930. Среди прочего объектом химического нападения выступал состав с людьми и животными (лошади, овцы), который проследовал через облако ОВю Проверялась герметичность вагонов. С людьми на хлор, с животными - на иприт. От людей требовалось сидеть без противогазов до момента, когда терпеть невозможно (6264).</w:t>
      </w:r>
    </w:p>
    <w:p w14:paraId="49EE892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F112A3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08E240D" w14:textId="77777777" w:rsidR="00537E5F" w:rsidRPr="00507A31" w:rsidRDefault="00537E5F" w:rsidP="00507A31">
      <w:pPr>
        <w:autoSpaceDE w:val="0"/>
        <w:autoSpaceDN w:val="0"/>
        <w:adjustRightInd w:val="0"/>
        <w:jc w:val="both"/>
        <w:rPr>
          <w:iCs/>
          <w:color w:val="000000" w:themeColor="text1"/>
          <w:sz w:val="16"/>
          <w:szCs w:val="16"/>
        </w:rPr>
      </w:pPr>
    </w:p>
    <w:p w14:paraId="5809E1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апреля 1930 учредили ордена ОЛ и ОКЗвезды (3263,166).</w:t>
      </w:r>
    </w:p>
    <w:p w14:paraId="0E2C83A9" w14:textId="77777777" w:rsidR="00537E5F" w:rsidRPr="00507A31" w:rsidRDefault="00537E5F" w:rsidP="00507A31">
      <w:pPr>
        <w:autoSpaceDE w:val="0"/>
        <w:autoSpaceDN w:val="0"/>
        <w:adjustRightInd w:val="0"/>
        <w:jc w:val="both"/>
        <w:rPr>
          <w:color w:val="000000" w:themeColor="text1"/>
          <w:sz w:val="16"/>
          <w:szCs w:val="16"/>
        </w:rPr>
      </w:pPr>
    </w:p>
    <w:p w14:paraId="3D57BEA1" w14:textId="77777777" w:rsidR="00C408BD" w:rsidRPr="00507A31" w:rsidRDefault="00C408BD"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За рубежом:</w:t>
      </w:r>
    </w:p>
    <w:p w14:paraId="6A38F623" w14:textId="77777777" w:rsidR="00C408BD" w:rsidRPr="00507A31" w:rsidRDefault="00C408BD" w:rsidP="00507A31">
      <w:pPr>
        <w:autoSpaceDE w:val="0"/>
        <w:autoSpaceDN w:val="0"/>
        <w:adjustRightInd w:val="0"/>
        <w:jc w:val="both"/>
        <w:rPr>
          <w:iCs/>
          <w:color w:val="000000" w:themeColor="text1"/>
          <w:sz w:val="16"/>
          <w:szCs w:val="16"/>
        </w:rPr>
      </w:pPr>
    </w:p>
    <w:p w14:paraId="6986E147" w14:textId="77777777" w:rsidR="00C408BD" w:rsidRPr="00507A31" w:rsidRDefault="00C408BD" w:rsidP="00507A31">
      <w:pPr>
        <w:jc w:val="both"/>
        <w:rPr>
          <w:color w:val="0070C0"/>
          <w:sz w:val="16"/>
          <w:szCs w:val="16"/>
        </w:rPr>
      </w:pPr>
      <w:r w:rsidRPr="00507A31">
        <w:rPr>
          <w:color w:val="0070C0"/>
          <w:sz w:val="16"/>
          <w:szCs w:val="16"/>
        </w:rPr>
        <w:t>6 апреля 1930 в полете на Райт XF3W-1 Apache лейтенант Аполлон Соучки устанавливают мировой рекорд высоты, поднявшись на 43,166 футов (12,157 м) (20805).</w:t>
      </w:r>
    </w:p>
    <w:p w14:paraId="767D4A97" w14:textId="77777777" w:rsidR="00C408BD" w:rsidRPr="00507A31" w:rsidRDefault="00C408BD" w:rsidP="00507A31">
      <w:pPr>
        <w:jc w:val="both"/>
        <w:rPr>
          <w:color w:val="0070C0"/>
          <w:sz w:val="16"/>
          <w:szCs w:val="16"/>
        </w:rPr>
      </w:pPr>
    </w:p>
    <w:p w14:paraId="3FA36EFA" w14:textId="77777777" w:rsidR="00C408BD" w:rsidRPr="00507A31" w:rsidRDefault="00C408BD" w:rsidP="00507A31">
      <w:pPr>
        <w:jc w:val="both"/>
        <w:rPr>
          <w:color w:val="0070C0"/>
          <w:sz w:val="16"/>
          <w:szCs w:val="16"/>
        </w:rPr>
      </w:pPr>
      <w:r w:rsidRPr="00507A31">
        <w:rPr>
          <w:color w:val="0070C0"/>
          <w:sz w:val="16"/>
          <w:szCs w:val="16"/>
        </w:rPr>
        <w:t>6 апреля 1930 буксируемый бипланом Waco ASO, планер Texaco Eaglet , пилотируемый Фрэнком Хоуксом , прибывает в Нью-Йорк после восьмидневного путешествия из Сан-Диего, Калифорния, в течение которого он провел в воздухе 44 часа 10 минут. Полет демонстрирует возможность буксировки планеров на большие расстояния (20805).</w:t>
      </w:r>
    </w:p>
    <w:p w14:paraId="7BE54ADA" w14:textId="77777777" w:rsidR="00C408BD" w:rsidRPr="00507A31" w:rsidRDefault="00C408BD" w:rsidP="00507A31">
      <w:pPr>
        <w:jc w:val="both"/>
        <w:rPr>
          <w:color w:val="0070C0"/>
          <w:sz w:val="16"/>
          <w:szCs w:val="16"/>
        </w:rPr>
      </w:pPr>
    </w:p>
    <w:p w14:paraId="5CC39FF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7DCC210" w14:textId="77777777" w:rsidR="00537E5F" w:rsidRPr="00507A31" w:rsidRDefault="00537E5F" w:rsidP="00507A31">
      <w:pPr>
        <w:autoSpaceDE w:val="0"/>
        <w:autoSpaceDN w:val="0"/>
        <w:adjustRightInd w:val="0"/>
        <w:jc w:val="both"/>
        <w:rPr>
          <w:iCs/>
          <w:color w:val="000000" w:themeColor="text1"/>
          <w:sz w:val="16"/>
          <w:szCs w:val="16"/>
        </w:rPr>
      </w:pPr>
    </w:p>
    <w:p w14:paraId="4B0DB8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апреля 1930 начались пробежки по заводскому двору Т-12, собранного еще 15 октября 1929 (4243,21).</w:t>
      </w:r>
    </w:p>
    <w:p w14:paraId="687B4EA2" w14:textId="77777777" w:rsidR="00537E5F" w:rsidRPr="00507A31" w:rsidRDefault="00537E5F" w:rsidP="00507A31">
      <w:pPr>
        <w:autoSpaceDE w:val="0"/>
        <w:autoSpaceDN w:val="0"/>
        <w:adjustRightInd w:val="0"/>
        <w:jc w:val="both"/>
        <w:rPr>
          <w:color w:val="000000" w:themeColor="text1"/>
          <w:sz w:val="16"/>
          <w:szCs w:val="16"/>
        </w:rPr>
      </w:pPr>
    </w:p>
    <w:p w14:paraId="5D8479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начале апреля 1930 начались заводские испытания Т-12 (10733,86).</w:t>
      </w:r>
    </w:p>
    <w:p w14:paraId="3E2631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63D41AA" w14:textId="77777777" w:rsidR="00C408BD" w:rsidRPr="00507A31" w:rsidRDefault="00C408BD" w:rsidP="00507A31">
      <w:pPr>
        <w:shd w:val="clear" w:color="auto" w:fill="FFFFFF"/>
        <w:jc w:val="both"/>
        <w:rPr>
          <w:color w:val="0070C0"/>
          <w:sz w:val="16"/>
          <w:szCs w:val="16"/>
        </w:rPr>
      </w:pPr>
      <w:r w:rsidRPr="00507A31">
        <w:rPr>
          <w:color w:val="0070C0"/>
          <w:sz w:val="16"/>
          <w:szCs w:val="16"/>
          <w:shd w:val="clear" w:color="auto" w:fill="FFFFFF"/>
        </w:rPr>
        <w:t>В начале апреля 1930, к моменту, когда комиссия Халепского прибыла в США, у Кристи уже были клиенты. Причем это были поляки, на тот момент Польша являлась наиболее вероятным противником СССР. И если с Vickers Mk.E первым клиентом стала советская сторона, то в случае с Кристи первыми оказались поляки. Для Польши строился танк M1927, но дело не продвинулось дальше макета. Снова переговоры возобновились в 1929 году, когда в США приехал Мариан Русинский, представлявший интересы Военного института инженерных исследований (WIBI). Он-то первым и узнал, что Кристи работает над полноценным танком, который базировался на конструкции Christie M1928 (так именовали M1940 американские военные). Естественно, данная информация оказалась крайне интересной (20339).</w:t>
      </w:r>
    </w:p>
    <w:p w14:paraId="570CF517" w14:textId="77777777" w:rsidR="00C408BD" w:rsidRPr="00507A31" w:rsidRDefault="00C408BD" w:rsidP="00507A31">
      <w:pPr>
        <w:shd w:val="clear" w:color="auto" w:fill="FFFFFF"/>
        <w:jc w:val="both"/>
        <w:rPr>
          <w:color w:val="0070C0"/>
          <w:sz w:val="16"/>
          <w:szCs w:val="16"/>
        </w:rPr>
      </w:pPr>
    </w:p>
    <w:p w14:paraId="5A52A75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FEADB8C" w14:textId="77777777" w:rsidR="00537E5F" w:rsidRPr="00507A31" w:rsidRDefault="00537E5F" w:rsidP="00507A31">
      <w:pPr>
        <w:autoSpaceDE w:val="0"/>
        <w:autoSpaceDN w:val="0"/>
        <w:adjustRightInd w:val="0"/>
        <w:jc w:val="both"/>
        <w:rPr>
          <w:iCs/>
          <w:color w:val="000000" w:themeColor="text1"/>
          <w:sz w:val="16"/>
          <w:szCs w:val="16"/>
        </w:rPr>
      </w:pPr>
    </w:p>
    <w:p w14:paraId="5FF558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апреля 1930 Алкснис разрешил принять первые семь Р-5 без электрооборудования. Часть изменений, отработанных на опытных машинах, просто проигнорировали. Не было храповиков на винтах, козырьков кабин летнабов, обтекатели колес остались полотняные. Усиление крыла под бомбодержатели не производилось (11936).</w:t>
      </w:r>
    </w:p>
    <w:p w14:paraId="623E2FDF" w14:textId="77777777" w:rsidR="00537E5F" w:rsidRPr="00507A31" w:rsidRDefault="00537E5F" w:rsidP="00507A31">
      <w:pPr>
        <w:autoSpaceDE w:val="0"/>
        <w:autoSpaceDN w:val="0"/>
        <w:adjustRightInd w:val="0"/>
        <w:jc w:val="both"/>
        <w:rPr>
          <w:color w:val="000000" w:themeColor="text1"/>
          <w:sz w:val="16"/>
          <w:szCs w:val="16"/>
        </w:rPr>
      </w:pPr>
    </w:p>
    <w:p w14:paraId="06BF747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9E42676" w14:textId="77777777" w:rsidR="00537E5F" w:rsidRPr="00507A31" w:rsidRDefault="00537E5F" w:rsidP="00507A31">
      <w:pPr>
        <w:autoSpaceDE w:val="0"/>
        <w:autoSpaceDN w:val="0"/>
        <w:adjustRightInd w:val="0"/>
        <w:jc w:val="both"/>
        <w:rPr>
          <w:iCs/>
          <w:color w:val="000000" w:themeColor="text1"/>
          <w:sz w:val="16"/>
          <w:szCs w:val="16"/>
        </w:rPr>
      </w:pPr>
    </w:p>
    <w:p w14:paraId="12CAD3E6" w14:textId="77777777" w:rsidR="00235B14" w:rsidRPr="00507A31" w:rsidRDefault="00235B14" w:rsidP="00507A31">
      <w:pPr>
        <w:pStyle w:val="ae"/>
        <w:shd w:val="clear" w:color="auto" w:fill="FFFFFF"/>
        <w:spacing w:before="0" w:after="0"/>
        <w:jc w:val="both"/>
        <w:rPr>
          <w:color w:val="0070C0"/>
          <w:sz w:val="16"/>
          <w:szCs w:val="16"/>
        </w:rPr>
      </w:pPr>
      <w:r w:rsidRPr="00507A31">
        <w:rPr>
          <w:color w:val="0070C0"/>
          <w:sz w:val="16"/>
          <w:szCs w:val="16"/>
        </w:rPr>
        <w:t>7 апреля 1930 года постоянные обращения глав оборонных заводов, научных и конструкторских коллективов вынудили Народный комиссариат труда СССР на основании решения ЦИК и СНК СССР и по согласованию с ВСНХ и ВЦСПС издать постановление № 11/8 «О временном откомандировании инженеров из гражданской промышленности и государственных учреждений на предприятия военной промышленности». В оборонную сферу переводились высококвалифицированные специалисты по спискам, утвержденным Наркомтрудом. Причем вопрос ставился очень жестко: предприятию или учреждению надлежало отправить указанных в перечне сотрудников не позднее трех дней с момента получения списка. Неявка специалиста в течение пяти дней со времени поступления соответствующего распоряжения рассматривалась как уклонение от выполнения работ в оборонной промышленности со всеми вытекающими отсюда последствиями.</w:t>
      </w:r>
    </w:p>
    <w:p w14:paraId="0A2FD40F" w14:textId="77777777" w:rsidR="00235B14" w:rsidRPr="00507A31" w:rsidRDefault="00235B14" w:rsidP="00507A31">
      <w:pPr>
        <w:pStyle w:val="ae"/>
        <w:shd w:val="clear" w:color="auto" w:fill="FFFFFF"/>
        <w:spacing w:before="0" w:after="0"/>
        <w:jc w:val="both"/>
        <w:rPr>
          <w:color w:val="0070C0"/>
          <w:sz w:val="16"/>
          <w:szCs w:val="16"/>
        </w:rPr>
      </w:pPr>
      <w:r w:rsidRPr="00507A31">
        <w:rPr>
          <w:color w:val="0070C0"/>
          <w:sz w:val="16"/>
          <w:szCs w:val="16"/>
        </w:rPr>
        <w:t>В соответствии с утвержденными списками откомандированию на военные предприятия Ленинграда подлежали 110 человек (20981).</w:t>
      </w:r>
    </w:p>
    <w:p w14:paraId="67E6EB16" w14:textId="77777777" w:rsidR="00235B14" w:rsidRPr="00507A31" w:rsidRDefault="00235B14" w:rsidP="00507A31">
      <w:pPr>
        <w:pStyle w:val="ae"/>
        <w:shd w:val="clear" w:color="auto" w:fill="FFFFFF"/>
        <w:spacing w:before="0" w:after="0"/>
        <w:jc w:val="both"/>
        <w:rPr>
          <w:color w:val="0070C0"/>
          <w:sz w:val="16"/>
          <w:szCs w:val="16"/>
        </w:rPr>
      </w:pPr>
    </w:p>
    <w:p w14:paraId="20D58835" w14:textId="77777777" w:rsidR="00235B14" w:rsidRPr="00507A31" w:rsidRDefault="00235B14" w:rsidP="00507A31">
      <w:pPr>
        <w:shd w:val="clear" w:color="auto" w:fill="FFFFFF"/>
        <w:jc w:val="both"/>
        <w:rPr>
          <w:color w:val="0070C0"/>
          <w:sz w:val="16"/>
          <w:szCs w:val="16"/>
        </w:rPr>
      </w:pPr>
      <w:r w:rsidRPr="00507A31">
        <w:rPr>
          <w:color w:val="0070C0"/>
          <w:sz w:val="16"/>
          <w:szCs w:val="16"/>
          <w:shd w:val="clear" w:color="auto" w:fill="FFFFFF"/>
        </w:rPr>
        <w:t>7 апреля 1930 года в Амторге (Amtorg Trading Corporation, через нее проводились сделки с американской стороной) состоялась первая встреча Кристи с Халепским. Американский конструктор привычно пытался решить свои финансовые проблемы за счет нового заказчика. Привычным было и то, что Кристи заявил о наличии других контрактов, включая Японию (на само деле с японцами дело было раньше, и закончилось ничем). В общей сложности сделка оценивалась в 200 тысяч долларов, включая права на патенты, два образца танка итд. Но советская сторона была отнюдь не простаками, там уже были в курсе того, чего Кристи предлагал вместе с новыми разработками. Последовало несколько раундов переговоров (20339).</w:t>
      </w:r>
    </w:p>
    <w:p w14:paraId="3AD70B3B" w14:textId="77777777" w:rsidR="00235B14" w:rsidRPr="00507A31" w:rsidRDefault="00235B14" w:rsidP="00507A31">
      <w:pPr>
        <w:shd w:val="clear" w:color="auto" w:fill="FFFFFF"/>
        <w:jc w:val="both"/>
        <w:rPr>
          <w:color w:val="0070C0"/>
          <w:sz w:val="16"/>
          <w:szCs w:val="16"/>
        </w:rPr>
      </w:pPr>
    </w:p>
    <w:p w14:paraId="40A47B46" w14:textId="77777777" w:rsidR="00844303" w:rsidRPr="00507A31" w:rsidRDefault="00844303" w:rsidP="00507A31">
      <w:pPr>
        <w:jc w:val="both"/>
        <w:rPr>
          <w:bCs/>
          <w:iCs/>
          <w:color w:val="000000" w:themeColor="text1"/>
          <w:sz w:val="16"/>
          <w:szCs w:val="16"/>
        </w:rPr>
      </w:pPr>
      <w:r w:rsidRPr="00507A31">
        <w:rPr>
          <w:bCs/>
          <w:iCs/>
          <w:color w:val="000000" w:themeColor="text1"/>
          <w:sz w:val="16"/>
          <w:szCs w:val="16"/>
        </w:rPr>
        <w:t>7 апреля 1930</w:t>
      </w:r>
    </w:p>
    <w:p w14:paraId="0119F065" w14:textId="77777777" w:rsidR="00844303" w:rsidRPr="00507A31" w:rsidRDefault="00844303" w:rsidP="00507A31">
      <w:pPr>
        <w:jc w:val="both"/>
        <w:rPr>
          <w:color w:val="000000" w:themeColor="text1"/>
          <w:sz w:val="16"/>
          <w:szCs w:val="16"/>
        </w:rPr>
      </w:pPr>
      <w:r w:rsidRPr="00507A31">
        <w:rPr>
          <w:bCs/>
          <w:iCs/>
          <w:color w:val="000000" w:themeColor="text1"/>
          <w:sz w:val="16"/>
          <w:szCs w:val="16"/>
        </w:rPr>
        <w:t>РГВА Фонд 31811 Опись 1 Дело 38 лист 304</w:t>
      </w:r>
    </w:p>
    <w:p w14:paraId="5B27FC80" w14:textId="77777777" w:rsidR="00844303" w:rsidRPr="00507A31" w:rsidRDefault="00844303" w:rsidP="00507A31">
      <w:pPr>
        <w:jc w:val="both"/>
        <w:rPr>
          <w:color w:val="000000" w:themeColor="text1"/>
          <w:sz w:val="16"/>
          <w:szCs w:val="16"/>
        </w:rPr>
      </w:pPr>
      <w:r w:rsidRPr="00507A31">
        <w:rPr>
          <w:iCs/>
          <w:color w:val="000000" w:themeColor="text1"/>
          <w:sz w:val="16"/>
          <w:szCs w:val="16"/>
        </w:rPr>
        <w:t>[Рукописный документ]</w:t>
      </w:r>
      <w:r w:rsidRPr="00507A31">
        <w:rPr>
          <w:color w:val="000000" w:themeColor="text1"/>
          <w:sz w:val="16"/>
          <w:szCs w:val="16"/>
        </w:rPr>
        <w:t xml:space="preserve"> </w:t>
      </w:r>
    </w:p>
    <w:p w14:paraId="280EA1FB" w14:textId="77777777" w:rsidR="00844303" w:rsidRPr="00507A31" w:rsidRDefault="00844303" w:rsidP="00507A31">
      <w:pPr>
        <w:jc w:val="both"/>
        <w:rPr>
          <w:color w:val="000000" w:themeColor="text1"/>
          <w:sz w:val="16"/>
          <w:szCs w:val="16"/>
        </w:rPr>
      </w:pPr>
      <w:r w:rsidRPr="00507A31">
        <w:rPr>
          <w:color w:val="000000" w:themeColor="text1"/>
          <w:sz w:val="16"/>
          <w:szCs w:val="16"/>
        </w:rPr>
        <w:t>7-IV-30 г.</w:t>
      </w:r>
    </w:p>
    <w:p w14:paraId="5468D334" w14:textId="77777777" w:rsidR="00844303" w:rsidRPr="00507A31" w:rsidRDefault="00844303" w:rsidP="00507A31">
      <w:pPr>
        <w:jc w:val="both"/>
        <w:rPr>
          <w:color w:val="000000" w:themeColor="text1"/>
          <w:sz w:val="16"/>
          <w:szCs w:val="16"/>
        </w:rPr>
      </w:pPr>
      <w:r w:rsidRPr="00507A31">
        <w:rPr>
          <w:color w:val="000000" w:themeColor="text1"/>
          <w:sz w:val="16"/>
          <w:szCs w:val="16"/>
          <w:u w:val="single"/>
        </w:rPr>
        <w:t>Содержание разговора т. Халепского, Гобар и М-р. Кристи</w:t>
      </w:r>
    </w:p>
    <w:p w14:paraId="547B547F"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1) Кристи делает только один тип танка и просит оговорить в письме "интересуемся типом, который Вы делаете для Армии С.Ш.С.А. и для заграницы". </w:t>
      </w:r>
    </w:p>
    <w:p w14:paraId="1A65677A"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2) На ходу сейчас танков нет. Старый разобран. Новый в работе. Новый является старым с рядом усовершенствований. </w:t>
      </w:r>
    </w:p>
    <w:p w14:paraId="3F3F76E8"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3) За 200.000 он продает техническую информацию и права на постройку на 3 типа танков: 1) Основной тип 2) Амфибия 3) с 6" орудийной установкой (шасси) – последние два по-видимому устаревшие (Амфибии 6 лет). Новый танк не плавает. </w:t>
      </w:r>
    </w:p>
    <w:p w14:paraId="00C175FB"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4) Для покупки прав на танк необходимо получить разрешение от Army Dep. (г. Самурая или Военного секретаря). Разрешение получит сам Кристи если будет послано нами письмо с официальным запросом. </w:t>
      </w:r>
    </w:p>
    <w:p w14:paraId="18D7CD8A"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5) По словам Кристи им уже проданы права на танк Японии и Польше – последней только что. </w:t>
      </w:r>
    </w:p>
    <w:p w14:paraId="29F4F92F"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6) В четверг – 10-го – IV-30 Кристи едет в Вашингтон. </w:t>
      </w:r>
    </w:p>
    <w:p w14:paraId="36083B15"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7) Компания Кристи состоит: сам Кристи – фактический глава, жена Кристи – на ее имя все акции предприятия, Тиффани – официальный глава компании. </w:t>
      </w:r>
    </w:p>
    <w:p w14:paraId="74CF5CE5"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Переговоры велись 7-IV-30 в Амторге т. Халепским, т. Гобар с М-р. Кристи. </w:t>
      </w:r>
    </w:p>
    <w:p w14:paraId="522BB1A1" w14:textId="77777777" w:rsidR="00844303" w:rsidRPr="00507A31" w:rsidRDefault="00844303" w:rsidP="00507A31">
      <w:pPr>
        <w:jc w:val="both"/>
        <w:rPr>
          <w:color w:val="000000" w:themeColor="text1"/>
          <w:sz w:val="16"/>
          <w:szCs w:val="16"/>
        </w:rPr>
      </w:pPr>
      <w:r w:rsidRPr="00507A31">
        <w:rPr>
          <w:iCs/>
          <w:color w:val="000000" w:themeColor="text1"/>
          <w:sz w:val="16"/>
          <w:szCs w:val="16"/>
        </w:rPr>
        <w:t>На обороте пометы на английском языке и перевод:</w:t>
      </w:r>
      <w:r w:rsidRPr="00507A31">
        <w:rPr>
          <w:color w:val="000000" w:themeColor="text1"/>
          <w:sz w:val="16"/>
          <w:szCs w:val="16"/>
        </w:rPr>
        <w:t xml:space="preserve"> </w:t>
      </w:r>
    </w:p>
    <w:p w14:paraId="714A51D1"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«Срок 4 месяца </w:t>
      </w:r>
    </w:p>
    <w:p w14:paraId="4B31A115"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Цена каждой машины – $ 30.000 </w:t>
      </w:r>
    </w:p>
    <w:p w14:paraId="49FD7AAB"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с выдачей заказа – $ 15.000 </w:t>
      </w:r>
    </w:p>
    <w:p w14:paraId="1C57DC5F"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после опытов – $ 15.000 </w:t>
      </w:r>
    </w:p>
    <w:p w14:paraId="71ADF1B7"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Две недели </w:t>
      </w:r>
    </w:p>
    <w:p w14:paraId="391EE514"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60 дней на опыты. </w:t>
      </w:r>
    </w:p>
    <w:p w14:paraId="714703CF"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Права на танк. </w:t>
      </w:r>
    </w:p>
    <w:p w14:paraId="4C6A0A58"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Все – $ 200.000 </w:t>
      </w:r>
    </w:p>
    <w:p w14:paraId="1B1BAC69" w14:textId="77777777" w:rsidR="00844303" w:rsidRPr="00507A31" w:rsidRDefault="00844303" w:rsidP="00507A31">
      <w:pPr>
        <w:jc w:val="both"/>
        <w:rPr>
          <w:color w:val="000000" w:themeColor="text1"/>
          <w:sz w:val="16"/>
          <w:szCs w:val="16"/>
        </w:rPr>
      </w:pPr>
      <w:r w:rsidRPr="00507A31">
        <w:rPr>
          <w:color w:val="000000" w:themeColor="text1"/>
          <w:sz w:val="16"/>
          <w:szCs w:val="16"/>
        </w:rPr>
        <w:t xml:space="preserve">Наличными – $ 50.000 </w:t>
      </w:r>
    </w:p>
    <w:p w14:paraId="0FB1F4D7" w14:textId="77777777" w:rsidR="00844303" w:rsidRPr="00507A31" w:rsidRDefault="00844303" w:rsidP="00507A31">
      <w:pPr>
        <w:jc w:val="both"/>
        <w:rPr>
          <w:color w:val="000000" w:themeColor="text1"/>
          <w:sz w:val="16"/>
          <w:szCs w:val="16"/>
        </w:rPr>
      </w:pPr>
      <w:r w:rsidRPr="00507A31">
        <w:rPr>
          <w:color w:val="000000" w:themeColor="text1"/>
          <w:sz w:val="16"/>
          <w:szCs w:val="16"/>
        </w:rPr>
        <w:t>Остальные в рассрочку» (19744).</w:t>
      </w:r>
    </w:p>
    <w:p w14:paraId="390A9487" w14:textId="77777777" w:rsidR="00844303" w:rsidRPr="00507A31" w:rsidRDefault="00844303" w:rsidP="00507A31">
      <w:pPr>
        <w:jc w:val="both"/>
        <w:rPr>
          <w:color w:val="000000" w:themeColor="text1"/>
          <w:sz w:val="16"/>
          <w:szCs w:val="16"/>
        </w:rPr>
      </w:pPr>
    </w:p>
    <w:p w14:paraId="65F0D0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7 апреля по 3 мая 1930 военно-промышленные тресты и их Главк (ГУВП) были упразднены. Из кадровых заводов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Другие заводы, способные производить военные изделия, судостроительные, оптико-механические, взрывчатых веществ перешли или остались в составе гражданских трестов и управлений (1566,39).</w:t>
      </w:r>
    </w:p>
    <w:p w14:paraId="627296A5" w14:textId="77777777" w:rsidR="00537E5F" w:rsidRPr="00507A31" w:rsidRDefault="00537E5F" w:rsidP="00507A31">
      <w:pPr>
        <w:autoSpaceDE w:val="0"/>
        <w:autoSpaceDN w:val="0"/>
        <w:adjustRightInd w:val="0"/>
        <w:jc w:val="both"/>
        <w:rPr>
          <w:color w:val="000000" w:themeColor="text1"/>
          <w:sz w:val="16"/>
          <w:szCs w:val="16"/>
        </w:rPr>
      </w:pPr>
    </w:p>
    <w:p w14:paraId="610A1EE4" w14:textId="77777777" w:rsidR="00844303" w:rsidRPr="00507A31" w:rsidRDefault="00844303" w:rsidP="00507A31">
      <w:pPr>
        <w:jc w:val="both"/>
        <w:rPr>
          <w:color w:val="000000" w:themeColor="text1"/>
          <w:sz w:val="16"/>
          <w:szCs w:val="16"/>
        </w:rPr>
      </w:pPr>
      <w:r w:rsidRPr="00507A31">
        <w:rPr>
          <w:color w:val="000000" w:themeColor="text1"/>
          <w:sz w:val="16"/>
          <w:szCs w:val="16"/>
        </w:rPr>
        <w:t>В период 7 апреля - 3 мая 1930 г. военно-промышленные тресты и их Главк (ГУВП) были упразднены. Из "кадровых" заводов 1-й группы военных изделий были сформированы: Всесоюзное объединение орудийно-оружейно-пулеметных производств (Оружобъединение), Всесоюзное объединение патронно-трубочного и взрывательного производств (Патрубвзрыв). Другие заводы, способные производить военные изделия, например, судостроительные, оптико-механические, взрывчатых и отравляющих веществ перешли или остались в составе гражданских трестов и управлений (18389).</w:t>
      </w:r>
    </w:p>
    <w:p w14:paraId="5C5000B2" w14:textId="77777777" w:rsidR="00844303" w:rsidRPr="00507A31" w:rsidRDefault="00844303" w:rsidP="00507A31">
      <w:pPr>
        <w:jc w:val="both"/>
        <w:rPr>
          <w:color w:val="000000" w:themeColor="text1"/>
          <w:sz w:val="16"/>
          <w:szCs w:val="16"/>
        </w:rPr>
      </w:pPr>
    </w:p>
    <w:p w14:paraId="04378D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апреля 1930 приказами ВСНХ NN 1166 и 1167 ГВПУ было реорганизовано в два производственных объединения: Всесоюзное объединение орудийно-оружейно-пулеметных производств (Оружобъединение); Всесоюзное объединение патронно-трубочного и взрывательного производства (Патрубвзрыв) (4302).</w:t>
      </w:r>
    </w:p>
    <w:p w14:paraId="6246A7FD" w14:textId="77777777" w:rsidR="00537E5F" w:rsidRPr="00507A31" w:rsidRDefault="00537E5F" w:rsidP="00507A31">
      <w:pPr>
        <w:autoSpaceDE w:val="0"/>
        <w:autoSpaceDN w:val="0"/>
        <w:adjustRightInd w:val="0"/>
        <w:jc w:val="both"/>
        <w:rPr>
          <w:color w:val="000000" w:themeColor="text1"/>
          <w:sz w:val="16"/>
          <w:szCs w:val="16"/>
        </w:rPr>
      </w:pPr>
    </w:p>
    <w:p w14:paraId="4BA784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апреля 1930 г. по приказам ВСНХ № 1166 и № 1167 на базе ГУВП и трестов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По приказу № 1324 от 3.05.1930 г. ГУВП и тресты были упразднены. Другие заводы перешли или остались в составе гражданских трестов и управлений (11982).</w:t>
      </w:r>
    </w:p>
    <w:p w14:paraId="749507C9" w14:textId="77777777" w:rsidR="00537E5F" w:rsidRPr="00507A31" w:rsidRDefault="00537E5F" w:rsidP="00507A31">
      <w:pPr>
        <w:autoSpaceDE w:val="0"/>
        <w:autoSpaceDN w:val="0"/>
        <w:adjustRightInd w:val="0"/>
        <w:jc w:val="both"/>
        <w:rPr>
          <w:color w:val="000000" w:themeColor="text1"/>
          <w:sz w:val="16"/>
          <w:szCs w:val="16"/>
        </w:rPr>
      </w:pPr>
    </w:p>
    <w:p w14:paraId="14589FCF" w14:textId="77777777" w:rsidR="00B12D57" w:rsidRPr="00507A31" w:rsidRDefault="00B12D57" w:rsidP="00507A31">
      <w:pPr>
        <w:shd w:val="clear" w:color="auto" w:fill="FFFFFF"/>
        <w:jc w:val="both"/>
        <w:rPr>
          <w:color w:val="000000" w:themeColor="text1"/>
          <w:sz w:val="16"/>
          <w:szCs w:val="16"/>
        </w:rPr>
      </w:pPr>
      <w:r w:rsidRPr="00507A31">
        <w:rPr>
          <w:color w:val="000000" w:themeColor="text1"/>
          <w:sz w:val="16"/>
          <w:szCs w:val="16"/>
        </w:rPr>
        <w:lastRenderedPageBreak/>
        <w:t xml:space="preserve">7 апреля </w:t>
      </w:r>
      <w:bookmarkStart w:id="35" w:name="YANDEX_62"/>
      <w:bookmarkEnd w:id="35"/>
      <w:r w:rsidRPr="00507A31">
        <w:rPr>
          <w:rStyle w:val="highlight"/>
          <w:color w:val="000000" w:themeColor="text1"/>
          <w:sz w:val="16"/>
          <w:szCs w:val="16"/>
        </w:rPr>
        <w:t> 1930 </w:t>
      </w:r>
      <w:r w:rsidRPr="00507A31">
        <w:rPr>
          <w:color w:val="000000" w:themeColor="text1"/>
          <w:sz w:val="16"/>
          <w:szCs w:val="16"/>
        </w:rPr>
        <w:t xml:space="preserve"> года постоянные обращения глав </w:t>
      </w:r>
      <w:bookmarkStart w:id="36" w:name="YANDEX_60"/>
      <w:bookmarkEnd w:id="36"/>
      <w:r w:rsidRPr="00507A31">
        <w:rPr>
          <w:rStyle w:val="highlight"/>
          <w:color w:val="000000" w:themeColor="text1"/>
          <w:sz w:val="16"/>
          <w:szCs w:val="16"/>
        </w:rPr>
        <w:t> оборонных </w:t>
      </w:r>
      <w:bookmarkStart w:id="37" w:name="YANDEX_61"/>
      <w:bookmarkEnd w:id="37"/>
      <w:r w:rsidRPr="00507A31">
        <w:rPr>
          <w:rStyle w:val="highlight"/>
          <w:color w:val="000000" w:themeColor="text1"/>
          <w:sz w:val="16"/>
          <w:szCs w:val="16"/>
        </w:rPr>
        <w:t> заводов </w:t>
      </w:r>
      <w:r w:rsidRPr="00507A31">
        <w:rPr>
          <w:color w:val="000000" w:themeColor="text1"/>
          <w:sz w:val="16"/>
          <w:szCs w:val="16"/>
        </w:rPr>
        <w:t xml:space="preserve">, научных и конструкторских коллективов вынудили Народный комиссариат труда СССР на основании решения ЦИК и СНК СССР и по согласованию с ВСНХ и ВЦСПС вынудило издать постановление № 11/8 «О временном откомандировании инженеров из гражданской промышленности и государственных учреждений на предприятия военной промышленности». В </w:t>
      </w:r>
      <w:bookmarkStart w:id="38" w:name="YANDEX_63"/>
      <w:bookmarkEnd w:id="38"/>
      <w:r w:rsidRPr="00507A31">
        <w:rPr>
          <w:rStyle w:val="highlight"/>
          <w:color w:val="000000" w:themeColor="text1"/>
          <w:sz w:val="16"/>
          <w:szCs w:val="16"/>
        </w:rPr>
        <w:t> оборонную </w:t>
      </w:r>
      <w:r w:rsidRPr="00507A31">
        <w:rPr>
          <w:color w:val="000000" w:themeColor="text1"/>
          <w:sz w:val="16"/>
          <w:szCs w:val="16"/>
        </w:rPr>
        <w:t xml:space="preserve"> сферу переводились высококвалифицированные специалисты по спискам, утвержденным Наркомтрудом. Причем вопрос ставился очень жестко: предприятию или учреждению надлежало отправить указанных в перечне сотрудников не позднее трех дней с момента получения списка. Неявка специалиста в течение пяти дней со времени поступления соответствующего распоряжения рассматривалась как уклонение от выполнения работ в </w:t>
      </w:r>
      <w:bookmarkStart w:id="39" w:name="YANDEX_64"/>
      <w:bookmarkEnd w:id="39"/>
      <w:r w:rsidRPr="00507A31">
        <w:rPr>
          <w:rStyle w:val="highlight"/>
          <w:color w:val="000000" w:themeColor="text1"/>
          <w:sz w:val="16"/>
          <w:szCs w:val="16"/>
        </w:rPr>
        <w:t> оборонной </w:t>
      </w:r>
      <w:r w:rsidRPr="00507A31">
        <w:rPr>
          <w:color w:val="000000" w:themeColor="text1"/>
          <w:sz w:val="16"/>
          <w:szCs w:val="16"/>
        </w:rPr>
        <w:t xml:space="preserve"> промышленности со всеми вытекающими отсюда последствиями (17235).</w:t>
      </w:r>
    </w:p>
    <w:p w14:paraId="26F7905B" w14:textId="77777777" w:rsidR="00B12D57" w:rsidRPr="00507A31" w:rsidRDefault="00B12D57" w:rsidP="00507A31">
      <w:pPr>
        <w:autoSpaceDE w:val="0"/>
        <w:autoSpaceDN w:val="0"/>
        <w:adjustRightInd w:val="0"/>
        <w:jc w:val="both"/>
        <w:rPr>
          <w:color w:val="000000" w:themeColor="text1"/>
          <w:sz w:val="16"/>
          <w:szCs w:val="16"/>
        </w:rPr>
      </w:pPr>
    </w:p>
    <w:p w14:paraId="0269C9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апреля 1930 Нач. Артуправления НКВМД и Начю отдела писали письмо № 5290/1Д124 НАЧАЛЬНИКУ ГЛАВНОГО УПРАВЛЕНИЯ ВОЕННОЙ ПРОМЫШЛЕННОСТИ ВСНХ СССР.</w:t>
      </w:r>
    </w:p>
    <w:p w14:paraId="2F708A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Прошу Вашего распоряжения о срочной высылке полной дислокации заводов Военной Про</w:t>
      </w:r>
      <w:r w:rsidRPr="00507A31">
        <w:rPr>
          <w:color w:val="000000" w:themeColor="text1"/>
          <w:sz w:val="16"/>
          <w:szCs w:val="16"/>
        </w:rPr>
        <w:softHyphen/>
        <w:t>мышленности ВСНХ СССР, с указанием условных поч</w:t>
      </w:r>
      <w:r w:rsidRPr="00507A31">
        <w:rPr>
          <w:color w:val="000000" w:themeColor="text1"/>
          <w:sz w:val="16"/>
          <w:szCs w:val="16"/>
        </w:rPr>
        <w:softHyphen/>
        <w:t>товых, телеграфных и для адресования грузов адре</w:t>
      </w:r>
      <w:r w:rsidRPr="00507A31">
        <w:rPr>
          <w:color w:val="000000" w:themeColor="text1"/>
          <w:sz w:val="16"/>
          <w:szCs w:val="16"/>
        </w:rPr>
        <w:softHyphen/>
        <w:t>сов, так как полученная АУ еще в 1927 году дисло</w:t>
      </w:r>
      <w:r w:rsidRPr="00507A31">
        <w:rPr>
          <w:color w:val="000000" w:themeColor="text1"/>
          <w:sz w:val="16"/>
          <w:szCs w:val="16"/>
        </w:rPr>
        <w:softHyphen/>
        <w:t>кация заводов.за истекшее зремя, претерпела мно</w:t>
      </w:r>
      <w:r w:rsidRPr="00507A31">
        <w:rPr>
          <w:color w:val="000000" w:themeColor="text1"/>
          <w:sz w:val="16"/>
          <w:szCs w:val="16"/>
        </w:rPr>
        <w:softHyphen/>
        <w:t>го изменений (8826,48).</w:t>
      </w:r>
    </w:p>
    <w:p w14:paraId="0B7F45F3" w14:textId="77777777" w:rsidR="00537E5F" w:rsidRPr="00507A31" w:rsidRDefault="00537E5F" w:rsidP="00507A31">
      <w:pPr>
        <w:autoSpaceDE w:val="0"/>
        <w:autoSpaceDN w:val="0"/>
        <w:adjustRightInd w:val="0"/>
        <w:jc w:val="both"/>
        <w:rPr>
          <w:color w:val="000000" w:themeColor="text1"/>
          <w:sz w:val="16"/>
          <w:szCs w:val="16"/>
        </w:rPr>
      </w:pPr>
    </w:p>
    <w:p w14:paraId="2CAB2A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апреля 1930 года Народный комиссариат труда СССР на основании решения ЦИК и СНК СССР по согласованию с ВСНХ и ВЦСПС издал постановление "О временном откомандировании инженеров из гражданской промышленности и государственных учреждений на предприятия военной промышленности". В соответствии с этим документом были утверждены списки высококвалифицированных специалистов, утвержденные Наркоматом труда. При этом вопрос ставился очень жестко: предприятия и учреждения обязаны были откомандировать кандидатов не позднее трех дней с момента получения списков. Неявка указанных лиц в течение пяти дней со времени откомандирования рассматривалась как уклонение от выполнения работ в оборонной промышленности со всеми вытекающими отсюда последствиями. В соответствии с этими документами откомандированию в Ленинград подлежали 110 специалистов . Кампания по борьбе с вредительством на военных предприятиях привела к тому, что к началу весны 1930 года в военной промышленности страны оставались 1897 инженеров и 4329 техников при их потребности более 10 и 16,5 тыс. соответственно (11025).</w:t>
      </w:r>
    </w:p>
    <w:p w14:paraId="3D951AA4" w14:textId="77777777" w:rsidR="00537E5F" w:rsidRPr="00507A31" w:rsidRDefault="00537E5F" w:rsidP="00507A31">
      <w:pPr>
        <w:autoSpaceDE w:val="0"/>
        <w:autoSpaceDN w:val="0"/>
        <w:adjustRightInd w:val="0"/>
        <w:jc w:val="both"/>
        <w:rPr>
          <w:color w:val="000000" w:themeColor="text1"/>
          <w:sz w:val="16"/>
          <w:szCs w:val="16"/>
        </w:rPr>
      </w:pPr>
    </w:p>
    <w:p w14:paraId="1C2BD33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852529F" w14:textId="77777777" w:rsidR="00537E5F" w:rsidRPr="00507A31" w:rsidRDefault="00537E5F" w:rsidP="00507A31">
      <w:pPr>
        <w:autoSpaceDE w:val="0"/>
        <w:autoSpaceDN w:val="0"/>
        <w:adjustRightInd w:val="0"/>
        <w:jc w:val="both"/>
        <w:rPr>
          <w:iCs/>
          <w:color w:val="000000" w:themeColor="text1"/>
          <w:sz w:val="16"/>
          <w:szCs w:val="16"/>
        </w:rPr>
      </w:pPr>
    </w:p>
    <w:p w14:paraId="69388A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апреля 1930 года председатель СНК СССР А. И. Рыков подписал «Положение об исправительно-трудовых лагерях», согласно которому «лагеря находятся в ведении ОГПУ, которое осуществляет общее руководство их деятельностью» (7560).</w:t>
      </w:r>
    </w:p>
    <w:p w14:paraId="392E1FA4" w14:textId="77777777" w:rsidR="00537E5F" w:rsidRPr="00507A31" w:rsidRDefault="00537E5F" w:rsidP="00507A31">
      <w:pPr>
        <w:autoSpaceDE w:val="0"/>
        <w:autoSpaceDN w:val="0"/>
        <w:adjustRightInd w:val="0"/>
        <w:jc w:val="both"/>
        <w:rPr>
          <w:color w:val="000000" w:themeColor="text1"/>
          <w:sz w:val="16"/>
          <w:szCs w:val="16"/>
        </w:rPr>
      </w:pPr>
    </w:p>
    <w:p w14:paraId="3980A0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апреля 1930 года СНК СССР было принято Положением об исправительно-трудовых лагерях, в котором был создан ГУЛАГ, основной задачей которого стало хозяйственное освоение окраинных районов нашей страны (9043).</w:t>
      </w:r>
    </w:p>
    <w:p w14:paraId="16A9C551" w14:textId="77777777" w:rsidR="00537E5F" w:rsidRPr="00507A31" w:rsidRDefault="00537E5F" w:rsidP="00507A31">
      <w:pPr>
        <w:autoSpaceDE w:val="0"/>
        <w:autoSpaceDN w:val="0"/>
        <w:adjustRightInd w:val="0"/>
        <w:jc w:val="both"/>
        <w:rPr>
          <w:color w:val="000000" w:themeColor="text1"/>
          <w:sz w:val="16"/>
          <w:szCs w:val="16"/>
        </w:rPr>
      </w:pPr>
    </w:p>
    <w:p w14:paraId="0A0370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апреля 1930 года Постановление СНК СССР введено «Положение об исправительно-трудовых лагерях» (8983).</w:t>
      </w:r>
    </w:p>
    <w:p w14:paraId="41006BB8" w14:textId="77777777" w:rsidR="00537E5F" w:rsidRPr="00507A31" w:rsidRDefault="00537E5F" w:rsidP="00507A31">
      <w:pPr>
        <w:autoSpaceDE w:val="0"/>
        <w:autoSpaceDN w:val="0"/>
        <w:adjustRightInd w:val="0"/>
        <w:jc w:val="both"/>
        <w:rPr>
          <w:color w:val="000000" w:themeColor="text1"/>
          <w:sz w:val="16"/>
          <w:szCs w:val="16"/>
        </w:rPr>
      </w:pPr>
    </w:p>
    <w:p w14:paraId="48313D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апреля 1930 вышел указ о расширении системы трудовых лагерей, переданных в подчинение ГУЛАГу в составе ОГПУ (1348,119).</w:t>
      </w:r>
    </w:p>
    <w:p w14:paraId="2417C26F" w14:textId="77777777" w:rsidR="00537E5F" w:rsidRPr="00507A31" w:rsidRDefault="00537E5F" w:rsidP="00507A31">
      <w:pPr>
        <w:autoSpaceDE w:val="0"/>
        <w:autoSpaceDN w:val="0"/>
        <w:adjustRightInd w:val="0"/>
        <w:jc w:val="both"/>
        <w:rPr>
          <w:color w:val="000000" w:themeColor="text1"/>
          <w:sz w:val="16"/>
          <w:szCs w:val="16"/>
        </w:rPr>
      </w:pPr>
    </w:p>
    <w:p w14:paraId="3E8AD2B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 апреля 1930 вышел Указ о расширении системы трудовых лагерей. Сосредоточенные до 1928 в основном вокруг побережья Белого моря, они находятся теперь в ведении ГУЛАГа (Главного управления лагерей), подчиняющегося ОГПУ (4962).</w:t>
      </w:r>
    </w:p>
    <w:p w14:paraId="6EC2D81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3E92F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апреля 1930 СНК утвердил "Положение об исправительно-трудовых лагерях", в которые должны направляться осужденные на срок 3 лет и выше, а также все осужденные Коллегией ОГПУ. (Создан ГУЛАГ) (10687).</w:t>
      </w:r>
    </w:p>
    <w:p w14:paraId="63D2AA83" w14:textId="77777777" w:rsidR="00537E5F" w:rsidRPr="00507A31" w:rsidRDefault="00537E5F" w:rsidP="00507A31">
      <w:pPr>
        <w:autoSpaceDE w:val="0"/>
        <w:autoSpaceDN w:val="0"/>
        <w:adjustRightInd w:val="0"/>
        <w:jc w:val="both"/>
        <w:rPr>
          <w:color w:val="000000" w:themeColor="text1"/>
          <w:sz w:val="16"/>
          <w:szCs w:val="16"/>
        </w:rPr>
      </w:pPr>
    </w:p>
    <w:p w14:paraId="23E43F74" w14:textId="77777777" w:rsidR="00844303" w:rsidRPr="00507A31" w:rsidRDefault="00844303"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6631325" w14:textId="77777777" w:rsidR="00844303" w:rsidRPr="00507A31" w:rsidRDefault="00844303" w:rsidP="00507A31">
      <w:pPr>
        <w:autoSpaceDE w:val="0"/>
        <w:autoSpaceDN w:val="0"/>
        <w:adjustRightInd w:val="0"/>
        <w:jc w:val="both"/>
        <w:rPr>
          <w:iCs/>
          <w:color w:val="000000" w:themeColor="text1"/>
          <w:sz w:val="16"/>
          <w:szCs w:val="16"/>
        </w:rPr>
      </w:pPr>
    </w:p>
    <w:p w14:paraId="21E2294B" w14:textId="77777777" w:rsidR="00844303" w:rsidRPr="00507A31" w:rsidRDefault="00844303" w:rsidP="00507A31">
      <w:pPr>
        <w:pStyle w:val="rtejustify"/>
        <w:shd w:val="clear" w:color="auto" w:fill="FFFFFF"/>
        <w:spacing w:before="0" w:after="0"/>
        <w:rPr>
          <w:color w:val="000000" w:themeColor="text1"/>
          <w:sz w:val="16"/>
          <w:szCs w:val="16"/>
        </w:rPr>
      </w:pPr>
      <w:r w:rsidRPr="00507A31">
        <w:rPr>
          <w:color w:val="000000" w:themeColor="text1"/>
          <w:sz w:val="16"/>
          <w:szCs w:val="16"/>
        </w:rPr>
        <w:t>В начале апреля 1930 эскизный проект (ЭП) самолета И-8 поступил в НТК УВВС. Рассмотрев ЭП, специалисты НТК пришли к заключению, что:</w:t>
      </w:r>
    </w:p>
    <w:p w14:paraId="7C56D438" w14:textId="77777777" w:rsidR="00844303" w:rsidRPr="00507A31" w:rsidRDefault="00844303"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 Проект поступил в секцию настолько поздно, что внести в него какие-либо существенные коррективы, или высказать пожелания изменения тех или иных деталей самолета, почти не представляется возможным и тем более с уверенностью, что они будут приняты во внимание конструкторами самолета. Проект представлен в момент, когда самолет на 50 % уже выполнен. … Требования, предъявленные к самолету И-8, не удовлетворены в основных своих частях. Степень расхождения полученных проектом цифр с таковыми, определенными ЛТД, можно видеть из приведенной ниже таблицы.</w:t>
      </w:r>
    </w:p>
    <w:p w14:paraId="2A186E78" w14:textId="77777777" w:rsidR="00844303" w:rsidRPr="00507A31" w:rsidRDefault="00844303" w:rsidP="00507A31">
      <w:pPr>
        <w:pStyle w:val="rtejustify"/>
        <w:shd w:val="clear" w:color="auto" w:fill="FFFFFF"/>
        <w:spacing w:before="0" w:after="0"/>
        <w:rPr>
          <w:rStyle w:val="af0"/>
          <w:i w:val="0"/>
          <w:color w:val="000000" w:themeColor="text1"/>
          <w:sz w:val="16"/>
          <w:szCs w:val="16"/>
          <w:bdr w:val="none" w:sz="0" w:space="0" w:color="auto" w:frame="1"/>
        </w:rPr>
      </w:pPr>
      <w:r w:rsidRPr="00507A31">
        <w:rPr>
          <w:rStyle w:val="af0"/>
          <w:i w:val="0"/>
          <w:color w:val="000000" w:themeColor="text1"/>
          <w:sz w:val="16"/>
          <w:szCs w:val="16"/>
          <w:bdr w:val="none" w:sz="0" w:space="0" w:color="auto" w:frame="1"/>
        </w:rPr>
        <w:t>… Приведенная таблица показывает, что в лице истребителя – «Жокея-перехватчика» мы получаем самый обычный современный самолет-истребитель, у которого даже каких-либо признаков «Жокея» найти невозможно. Требованиям Штаба РККА самолет в равной мере не удовлетворяет. …» (19171).</w:t>
      </w:r>
    </w:p>
    <w:p w14:paraId="0652AA78" w14:textId="77777777" w:rsidR="00844303" w:rsidRPr="00507A31" w:rsidRDefault="00844303" w:rsidP="00507A31">
      <w:pPr>
        <w:pStyle w:val="rtejustify"/>
        <w:shd w:val="clear" w:color="auto" w:fill="FFFFFF"/>
        <w:spacing w:before="0" w:after="0"/>
        <w:rPr>
          <w:color w:val="000000" w:themeColor="text1"/>
          <w:sz w:val="16"/>
          <w:szCs w:val="16"/>
        </w:rPr>
      </w:pPr>
    </w:p>
    <w:p w14:paraId="2C626BE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6D23A22" w14:textId="77777777" w:rsidR="00537E5F" w:rsidRPr="00507A31" w:rsidRDefault="00537E5F" w:rsidP="00507A31">
      <w:pPr>
        <w:autoSpaceDE w:val="0"/>
        <w:autoSpaceDN w:val="0"/>
        <w:adjustRightInd w:val="0"/>
        <w:jc w:val="both"/>
        <w:rPr>
          <w:iCs/>
          <w:color w:val="000000" w:themeColor="text1"/>
          <w:sz w:val="16"/>
          <w:szCs w:val="16"/>
        </w:rPr>
      </w:pPr>
    </w:p>
    <w:p w14:paraId="5A0D138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 апреля 1930 г. было начато серийное производство двигателя АМ-34 (6395).</w:t>
      </w:r>
    </w:p>
    <w:p w14:paraId="42B3E2F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A16CFF0" w14:textId="77777777" w:rsidR="00CA377B" w:rsidRPr="00507A31" w:rsidRDefault="00CA377B" w:rsidP="00507A31">
      <w:pPr>
        <w:jc w:val="both"/>
        <w:rPr>
          <w:color w:val="000000" w:themeColor="text1"/>
          <w:sz w:val="16"/>
          <w:szCs w:val="16"/>
        </w:rPr>
      </w:pPr>
      <w:r w:rsidRPr="00507A31">
        <w:rPr>
          <w:bCs/>
          <w:color w:val="000000" w:themeColor="text1"/>
          <w:sz w:val="16"/>
          <w:szCs w:val="16"/>
        </w:rPr>
        <w:t>8 апреля</w:t>
      </w:r>
      <w:r w:rsidRPr="00507A31">
        <w:rPr>
          <w:color w:val="000000" w:themeColor="text1"/>
          <w:sz w:val="16"/>
          <w:szCs w:val="16"/>
        </w:rPr>
        <w:t xml:space="preserve"> в 1930 году начато серийное производство двигателя «АМ-34». Конструктор-А.А.Микулин. Мотор водяного охлаждения, 12-цилиндровый, V-образный, блочной схемы с углом развала цилиндров 60 градусов, невысотный, с номинальной мощностью 760 л.с. Топливо-смесь бензола с бензином. Устанавливался и испытывался на самолетах «ТБ-3», «Р-5» и «АНТ-25» («РД»), «АМ-34Н» («М-34РА», «М-34РБ»), «МБР-2», «МП-1БИС», «ТБ-4», «ДБ-А», «ТБ-7» (15093).</w:t>
      </w:r>
    </w:p>
    <w:p w14:paraId="2833D220" w14:textId="77777777" w:rsidR="00CA377B" w:rsidRPr="00507A31" w:rsidRDefault="00CA377B" w:rsidP="00507A31">
      <w:pPr>
        <w:jc w:val="both"/>
        <w:rPr>
          <w:color w:val="000000" w:themeColor="text1"/>
          <w:sz w:val="16"/>
          <w:szCs w:val="16"/>
        </w:rPr>
      </w:pPr>
    </w:p>
    <w:p w14:paraId="6710E85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EAE6631" w14:textId="77777777" w:rsidR="00537E5F" w:rsidRPr="00507A31" w:rsidRDefault="00537E5F" w:rsidP="00507A31">
      <w:pPr>
        <w:autoSpaceDE w:val="0"/>
        <w:autoSpaceDN w:val="0"/>
        <w:adjustRightInd w:val="0"/>
        <w:jc w:val="both"/>
        <w:rPr>
          <w:iCs/>
          <w:color w:val="000000" w:themeColor="text1"/>
          <w:sz w:val="16"/>
          <w:szCs w:val="16"/>
        </w:rPr>
      </w:pPr>
    </w:p>
    <w:p w14:paraId="539320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апреля 1930 г. УММ открыло опытный заказ на"проектирование тяжелого гусеничного трактора-грузовика. Данный трактор рассматривался уже как специальный военный, т.е. армейский, тягач.</w:t>
      </w:r>
    </w:p>
    <w:p w14:paraId="4E5A1D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Согласно техническому заданию, трактор предусматривалось эксплуатировать на всех видах дорог и бездорожье в диапазоне температур от -30 до +40°С. Масса трактора с водителем должна была составлять 10,5-11 т, а снаряженная масса - 14-14,5 т. Предполагалось, что трактор мог обеспечивать буксировку поезда весом 30000 кг на подъем в 2% со скоростью 15 км/ч. "желательно 5 скоростей", но это условие не являлось обязательным. Грузу массой 3,5 т отводилось место на платформе размером 3500x2000 мм.</w:t>
      </w:r>
    </w:p>
    <w:p w14:paraId="7230C3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Предполагалась унификация со средним трактором по цилиндропоршневой группе двигателей, исходя из того, что средний трактор должен был оснащаться четырехцилин- дэовым двигателем мощностью 100 л.с., а тяжелый - шестицилиндровым, в 150 л.с. Обязательным являлось введение амортизации гусеничного хода (12008).</w:t>
      </w:r>
    </w:p>
    <w:p w14:paraId="53D4360F" w14:textId="77777777" w:rsidR="00537E5F" w:rsidRPr="00507A31" w:rsidRDefault="00537E5F" w:rsidP="00507A31">
      <w:pPr>
        <w:autoSpaceDE w:val="0"/>
        <w:autoSpaceDN w:val="0"/>
        <w:adjustRightInd w:val="0"/>
        <w:jc w:val="both"/>
        <w:rPr>
          <w:color w:val="000000" w:themeColor="text1"/>
          <w:sz w:val="16"/>
          <w:szCs w:val="16"/>
        </w:rPr>
      </w:pPr>
    </w:p>
    <w:p w14:paraId="0F2ACC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апреля 1930 Зав. Секретным п/отделом ГВПУ Курочкин писал письмо № 4716с в Артиллерийское управление РККА (1-й отдел) на № 5290с/1Д от 4 апреля с..г.</w:t>
      </w:r>
    </w:p>
    <w:p w14:paraId="77EB3F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Высылая вам полнув дислокацию заводов военной промышленности, сообщаю, что дислокация заводов воен</w:t>
      </w:r>
      <w:r w:rsidRPr="00507A31">
        <w:rPr>
          <w:color w:val="000000" w:themeColor="text1"/>
          <w:sz w:val="16"/>
          <w:szCs w:val="16"/>
        </w:rPr>
        <w:softHyphen/>
        <w:t>ной промышленности является сов.секретвой, а потому. Вам надлежи принять все меры к надлежащей охране указанных сведений.</w:t>
      </w:r>
    </w:p>
    <w:p w14:paraId="16E9E9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получении настоящей дислокации прошу старую дислокацио возвратит ь в ГВПУ ВСНХ СССР (8826,49).</w:t>
      </w:r>
    </w:p>
    <w:p w14:paraId="26AA58E6" w14:textId="77777777" w:rsidR="00537E5F" w:rsidRPr="00507A31" w:rsidRDefault="00537E5F" w:rsidP="00507A31">
      <w:pPr>
        <w:autoSpaceDE w:val="0"/>
        <w:autoSpaceDN w:val="0"/>
        <w:adjustRightInd w:val="0"/>
        <w:jc w:val="both"/>
        <w:rPr>
          <w:color w:val="000000" w:themeColor="text1"/>
          <w:sz w:val="16"/>
          <w:szCs w:val="16"/>
        </w:rPr>
      </w:pPr>
    </w:p>
    <w:p w14:paraId="7021274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2ED9435" w14:textId="77777777" w:rsidR="00537E5F" w:rsidRPr="00507A31" w:rsidRDefault="00537E5F" w:rsidP="00507A31">
      <w:pPr>
        <w:autoSpaceDE w:val="0"/>
        <w:autoSpaceDN w:val="0"/>
        <w:adjustRightInd w:val="0"/>
        <w:jc w:val="both"/>
        <w:rPr>
          <w:iCs/>
          <w:color w:val="000000" w:themeColor="text1"/>
          <w:sz w:val="16"/>
          <w:szCs w:val="16"/>
        </w:rPr>
      </w:pPr>
    </w:p>
    <w:p w14:paraId="2F5B8A0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 апреля 1930 вышел на экраны кинофильм А. Довженко «Земля» (4962).</w:t>
      </w:r>
    </w:p>
    <w:p w14:paraId="65C9E62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D907E28" w14:textId="77777777" w:rsidR="00CA377B"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B447947" w14:textId="77777777" w:rsidR="00CA377B" w:rsidRPr="00507A31" w:rsidRDefault="00CA377B" w:rsidP="00507A31">
      <w:pPr>
        <w:autoSpaceDE w:val="0"/>
        <w:autoSpaceDN w:val="0"/>
        <w:adjustRightInd w:val="0"/>
        <w:jc w:val="both"/>
        <w:rPr>
          <w:iCs/>
          <w:color w:val="000000" w:themeColor="text1"/>
          <w:sz w:val="16"/>
          <w:szCs w:val="16"/>
        </w:rPr>
      </w:pPr>
    </w:p>
    <w:p w14:paraId="0CED9434" w14:textId="77777777" w:rsidR="00CA377B" w:rsidRPr="00507A31" w:rsidRDefault="00CA377B" w:rsidP="00507A31">
      <w:pPr>
        <w:jc w:val="both"/>
        <w:rPr>
          <w:color w:val="000000" w:themeColor="text1"/>
          <w:sz w:val="16"/>
          <w:szCs w:val="16"/>
        </w:rPr>
      </w:pPr>
      <w:r w:rsidRPr="00507A31">
        <w:rPr>
          <w:bCs/>
          <w:color w:val="000000" w:themeColor="text1"/>
          <w:sz w:val="16"/>
          <w:szCs w:val="16"/>
        </w:rPr>
        <w:t>8 апреля</w:t>
      </w:r>
      <w:r w:rsidRPr="00507A31">
        <w:rPr>
          <w:color w:val="000000" w:themeColor="text1"/>
          <w:sz w:val="16"/>
          <w:szCs w:val="16"/>
        </w:rPr>
        <w:t xml:space="preserve"> в 1930 году был облетан первый прототип польского УТС </w:t>
      </w:r>
      <w:hyperlink r:id="rId76" w:tgtFrame="_blank" w:history="1">
        <w:r w:rsidRPr="00507A31">
          <w:rPr>
            <w:color w:val="000000" w:themeColor="text1"/>
            <w:sz w:val="16"/>
            <w:szCs w:val="16"/>
          </w:rPr>
          <w:t xml:space="preserve">«Bartel» «BM-6». </w:t>
        </w:r>
      </w:hyperlink>
      <w:r w:rsidRPr="00507A31">
        <w:rPr>
          <w:color w:val="000000" w:themeColor="text1"/>
          <w:sz w:val="16"/>
          <w:szCs w:val="16"/>
        </w:rPr>
        <w:t>На самолет был поставлен двигатель «HS-180», который являлся модификацией «HS-220», стоявшем на «SPAD-XIII». Вооружение составлял пулемет «Vickers wz». 18 калибра 7,7 мм. Уже второй прототип был модифицирован согласно требованиям военных (15093).</w:t>
      </w:r>
    </w:p>
    <w:p w14:paraId="115B48AA" w14:textId="77777777" w:rsidR="00CA377B" w:rsidRPr="00507A31" w:rsidRDefault="00CA377B" w:rsidP="00507A31">
      <w:pPr>
        <w:jc w:val="both"/>
        <w:rPr>
          <w:color w:val="000000" w:themeColor="text1"/>
          <w:sz w:val="16"/>
          <w:szCs w:val="16"/>
        </w:rPr>
      </w:pPr>
    </w:p>
    <w:p w14:paraId="4D47F2F4" w14:textId="77777777" w:rsidR="00235B14" w:rsidRPr="00507A31" w:rsidRDefault="00235B14" w:rsidP="00507A31">
      <w:pPr>
        <w:jc w:val="both"/>
        <w:rPr>
          <w:color w:val="0070C0"/>
          <w:sz w:val="16"/>
          <w:szCs w:val="16"/>
        </w:rPr>
      </w:pPr>
      <w:r w:rsidRPr="00507A31">
        <w:rPr>
          <w:color w:val="0070C0"/>
          <w:sz w:val="16"/>
          <w:szCs w:val="16"/>
        </w:rPr>
        <w:lastRenderedPageBreak/>
        <w:t>8 апреля 1930 - Облетан первый прототип польского УТС Bartel BM-6. На самолет был поставлен двигатель HS-180, который являлся модификацией HS-220, стоявшем на SPAD-XIII. Вооружение составлял пулемет Vickers wz. 18 калибра 7,7 мм. Уже второй прототип был модифицирован согласно требованиям военных (22541). </w:t>
      </w:r>
    </w:p>
    <w:p w14:paraId="5C40590D" w14:textId="77777777" w:rsidR="00235B14" w:rsidRPr="00507A31" w:rsidRDefault="00235B14" w:rsidP="00507A31">
      <w:pPr>
        <w:shd w:val="clear" w:color="auto" w:fill="FFFFFF"/>
        <w:jc w:val="both"/>
        <w:rPr>
          <w:color w:val="0070C0"/>
          <w:sz w:val="16"/>
          <w:szCs w:val="16"/>
        </w:rPr>
      </w:pPr>
    </w:p>
    <w:p w14:paraId="75FF56F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FB7CD7E" w14:textId="77777777" w:rsidR="00537E5F" w:rsidRPr="00507A31" w:rsidRDefault="00537E5F" w:rsidP="00507A31">
      <w:pPr>
        <w:autoSpaceDE w:val="0"/>
        <w:autoSpaceDN w:val="0"/>
        <w:adjustRightInd w:val="0"/>
        <w:jc w:val="both"/>
        <w:rPr>
          <w:iCs/>
          <w:color w:val="000000" w:themeColor="text1"/>
          <w:sz w:val="16"/>
          <w:szCs w:val="16"/>
        </w:rPr>
      </w:pPr>
    </w:p>
    <w:p w14:paraId="2953488C" w14:textId="77777777" w:rsidR="0004301F" w:rsidRPr="00507A31" w:rsidRDefault="0004301F" w:rsidP="00507A31">
      <w:pPr>
        <w:jc w:val="both"/>
        <w:rPr>
          <w:bCs/>
          <w:iCs/>
          <w:color w:val="000000" w:themeColor="text1"/>
          <w:sz w:val="16"/>
          <w:szCs w:val="16"/>
        </w:rPr>
      </w:pPr>
      <w:r w:rsidRPr="00507A31">
        <w:rPr>
          <w:bCs/>
          <w:iCs/>
          <w:color w:val="000000" w:themeColor="text1"/>
          <w:sz w:val="16"/>
          <w:szCs w:val="16"/>
        </w:rPr>
        <w:t>9 апреля 1930</w:t>
      </w:r>
    </w:p>
    <w:p w14:paraId="7B12DA4E" w14:textId="77777777" w:rsidR="0004301F" w:rsidRPr="00507A31" w:rsidRDefault="0004301F" w:rsidP="00507A31">
      <w:pPr>
        <w:jc w:val="both"/>
        <w:rPr>
          <w:color w:val="000000" w:themeColor="text1"/>
          <w:sz w:val="16"/>
          <w:szCs w:val="16"/>
        </w:rPr>
      </w:pPr>
      <w:r w:rsidRPr="00507A31">
        <w:rPr>
          <w:bCs/>
          <w:iCs/>
          <w:color w:val="000000" w:themeColor="text1"/>
          <w:sz w:val="16"/>
          <w:szCs w:val="16"/>
        </w:rPr>
        <w:t>РГВА Фонд 31811 Опись 1 Дело 38 лист 306 – 307</w:t>
      </w:r>
      <w:r w:rsidRPr="00507A31">
        <w:rPr>
          <w:color w:val="000000" w:themeColor="text1"/>
          <w:sz w:val="16"/>
          <w:szCs w:val="16"/>
        </w:rPr>
        <w:t xml:space="preserve"> </w:t>
      </w:r>
    </w:p>
    <w:p w14:paraId="1D4DCC10"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9/IV-30 г. </w:t>
      </w:r>
    </w:p>
    <w:p w14:paraId="4C9A40AD"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New-York </w:t>
      </w:r>
    </w:p>
    <w:p w14:paraId="54B015E5" w14:textId="77777777" w:rsidR="0004301F" w:rsidRPr="00507A31" w:rsidRDefault="0004301F" w:rsidP="00507A31">
      <w:pPr>
        <w:jc w:val="both"/>
        <w:rPr>
          <w:color w:val="000000" w:themeColor="text1"/>
          <w:sz w:val="16"/>
          <w:szCs w:val="16"/>
        </w:rPr>
      </w:pPr>
      <w:r w:rsidRPr="00507A31">
        <w:rPr>
          <w:color w:val="000000" w:themeColor="text1"/>
          <w:sz w:val="16"/>
          <w:szCs w:val="16"/>
        </w:rPr>
        <w:t>Переговоры т. Халепского, Гобар с М-р. Кристи</w:t>
      </w:r>
    </w:p>
    <w:p w14:paraId="0244E55C" w14:textId="77777777" w:rsidR="0004301F" w:rsidRPr="00507A31" w:rsidRDefault="0004301F" w:rsidP="00507A31">
      <w:pPr>
        <w:jc w:val="both"/>
        <w:rPr>
          <w:color w:val="000000" w:themeColor="text1"/>
          <w:sz w:val="16"/>
          <w:szCs w:val="16"/>
        </w:rPr>
      </w:pPr>
      <w:r w:rsidRPr="00507A31">
        <w:rPr>
          <w:color w:val="000000" w:themeColor="text1"/>
          <w:sz w:val="16"/>
          <w:szCs w:val="16"/>
        </w:rPr>
        <w:t>I.</w:t>
      </w:r>
    </w:p>
    <w:p w14:paraId="281FB4DE"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М-р. Кристи приехал со своим директором и заявил нам, что 8/IV его дирекция заседала и приняла принципиальное решение ""Кристи Ко" согласна построить и продать нам два образцовых танка его конструкции и дать техническую помощь на постройку танков у нас". </w:t>
      </w:r>
    </w:p>
    <w:p w14:paraId="636A7633"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Одновременно правление Кристи Ко постановили, что они согласны вступить с нами в переговоры об условиях коммерческого соглашения, и что для этого не требуется никакого разрешения Вашингтона. </w:t>
      </w:r>
    </w:p>
    <w:p w14:paraId="0645734C" w14:textId="77777777" w:rsidR="0004301F" w:rsidRPr="00507A31" w:rsidRDefault="0004301F" w:rsidP="00507A31">
      <w:pPr>
        <w:jc w:val="both"/>
        <w:rPr>
          <w:color w:val="000000" w:themeColor="text1"/>
          <w:sz w:val="16"/>
          <w:szCs w:val="16"/>
        </w:rPr>
      </w:pPr>
      <w:r w:rsidRPr="00507A31">
        <w:rPr>
          <w:color w:val="000000" w:themeColor="text1"/>
          <w:sz w:val="16"/>
          <w:szCs w:val="16"/>
        </w:rPr>
        <w:t>II.</w:t>
      </w:r>
    </w:p>
    <w:p w14:paraId="3164EC3F"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С нашей стороны было заявлено, что в связи с новым заявлением самого М-р. Кристи – мы понимаем, что его требование официального нашего письменного запроса о покупке его танка отпадает. На что Кристи заявил положительно – что теперь этого не нужно. </w:t>
      </w:r>
    </w:p>
    <w:p w14:paraId="07C80B3A" w14:textId="77777777" w:rsidR="0004301F" w:rsidRPr="00507A31" w:rsidRDefault="0004301F" w:rsidP="00507A31">
      <w:pPr>
        <w:jc w:val="both"/>
        <w:rPr>
          <w:color w:val="000000" w:themeColor="text1"/>
          <w:sz w:val="16"/>
          <w:szCs w:val="16"/>
        </w:rPr>
      </w:pPr>
      <w:r w:rsidRPr="00507A31">
        <w:rPr>
          <w:color w:val="000000" w:themeColor="text1"/>
          <w:sz w:val="16"/>
          <w:szCs w:val="16"/>
        </w:rPr>
        <w:t>III.</w:t>
      </w:r>
    </w:p>
    <w:p w14:paraId="2063577C"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В связи с заявлением М-р. Кристи о принципиальном решении продать нам танк – нами было предложено 10/IV дать нам официальные предложения об условиях коммерческого соглашения, цены и технические спецификации. Кроме того показать танк. </w:t>
      </w:r>
    </w:p>
    <w:p w14:paraId="1E1FF85B" w14:textId="77777777" w:rsidR="0004301F" w:rsidRPr="00507A31" w:rsidRDefault="0004301F" w:rsidP="00507A31">
      <w:pPr>
        <w:jc w:val="both"/>
        <w:rPr>
          <w:color w:val="000000" w:themeColor="text1"/>
          <w:sz w:val="16"/>
          <w:szCs w:val="16"/>
        </w:rPr>
      </w:pPr>
      <w:r w:rsidRPr="00507A31">
        <w:rPr>
          <w:color w:val="000000" w:themeColor="text1"/>
          <w:sz w:val="16"/>
          <w:szCs w:val="16"/>
        </w:rPr>
        <w:t>IV.</w:t>
      </w:r>
    </w:p>
    <w:p w14:paraId="4B877966" w14:textId="77777777" w:rsidR="0004301F" w:rsidRPr="00507A31" w:rsidRDefault="0004301F" w:rsidP="00507A31">
      <w:pPr>
        <w:jc w:val="both"/>
        <w:rPr>
          <w:color w:val="000000" w:themeColor="text1"/>
          <w:sz w:val="16"/>
          <w:szCs w:val="16"/>
        </w:rPr>
      </w:pPr>
      <w:r w:rsidRPr="00507A31">
        <w:rPr>
          <w:color w:val="000000" w:themeColor="text1"/>
          <w:sz w:val="16"/>
          <w:szCs w:val="16"/>
        </w:rPr>
        <w:t>На наше требование Кристи дал согласие и просил приехать к нему на завод 10/IV в 12 ч. дня. На этом были окончены переговоры (19745).</w:t>
      </w:r>
    </w:p>
    <w:p w14:paraId="27491CB1" w14:textId="77777777" w:rsidR="0004301F" w:rsidRPr="00507A31" w:rsidRDefault="0004301F" w:rsidP="00507A31">
      <w:pPr>
        <w:jc w:val="both"/>
        <w:rPr>
          <w:color w:val="000000" w:themeColor="text1"/>
          <w:sz w:val="16"/>
          <w:szCs w:val="16"/>
        </w:rPr>
      </w:pPr>
    </w:p>
    <w:p w14:paraId="3ADE75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9 апреля 1930 г. завод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507A31">
        <w:rPr>
          <w:color w:val="000000" w:themeColor="text1"/>
          <w:sz w:val="16"/>
          <w:szCs w:val="16"/>
          <w:lang w:val="en-US"/>
        </w:rPr>
        <w:t>JIM</w:t>
      </w:r>
      <w:r w:rsidRPr="00507A31">
        <w:rPr>
          <w:color w:val="000000" w:themeColor="text1"/>
          <w:sz w:val="16"/>
          <w:szCs w:val="16"/>
        </w:rPr>
        <w:t xml:space="preserve">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 Государственный завод ВТУЗ им. Сталина объединения «Котлотурбина», с 1933 г. - </w:t>
      </w:r>
      <w:r w:rsidRPr="00507A31">
        <w:rPr>
          <w:color w:val="000000" w:themeColor="text1"/>
          <w:sz w:val="16"/>
          <w:szCs w:val="16"/>
          <w:lang w:val="en-US"/>
        </w:rPr>
        <w:t>JIM</w:t>
      </w:r>
      <w:r w:rsidRPr="00507A31">
        <w:rPr>
          <w:color w:val="000000" w:themeColor="text1"/>
          <w:sz w:val="16"/>
          <w:szCs w:val="16"/>
        </w:rPr>
        <w:t>3 ВТУЗ им. Сталина, с 31.08.1933 г. - в ведении Главэнергопрома НКТП. В 08.1937 г. передан в ведение Главэнергопрома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0351D9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7618A8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НКТП № 12сс от 1937 г. завод к 1.03.1937 г. должен был сдать 72 судовых турбо-питательных насоса (не сдано).</w:t>
      </w:r>
    </w:p>
    <w:p w14:paraId="2AF3CB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65CA11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13FBEF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432B05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 войной введен в строй новый башенный цех площадью 54 тыс. м</w:t>
      </w:r>
      <w:r w:rsidRPr="00507A31">
        <w:rPr>
          <w:color w:val="000000" w:themeColor="text1"/>
          <w:sz w:val="16"/>
          <w:szCs w:val="16"/>
          <w:vertAlign w:val="superscript"/>
        </w:rPr>
        <w:t>2</w:t>
      </w:r>
      <w:r w:rsidRPr="00507A31">
        <w:rPr>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6486A4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1C6B5C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08.1941 г. велось дополнительное бронирование танков </w:t>
      </w:r>
      <w:r w:rsidRPr="00507A31">
        <w:rPr>
          <w:color w:val="000000" w:themeColor="text1"/>
          <w:sz w:val="16"/>
          <w:szCs w:val="16"/>
          <w:lang w:val="en-US"/>
        </w:rPr>
        <w:t>KB</w:t>
      </w:r>
      <w:r w:rsidRPr="00507A31">
        <w:rPr>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5DBCF3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34D3BA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507A31">
        <w:rPr>
          <w:color w:val="000000" w:themeColor="text1"/>
          <w:sz w:val="16"/>
          <w:szCs w:val="16"/>
          <w:vertAlign w:val="superscript"/>
        </w:rPr>
        <w:t>142</w:t>
      </w:r>
    </w:p>
    <w:p w14:paraId="399A03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648327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507A31">
        <w:rPr>
          <w:color w:val="000000" w:themeColor="text1"/>
          <w:sz w:val="16"/>
          <w:szCs w:val="16"/>
          <w:vertAlign w:val="superscript"/>
        </w:rPr>
        <w:t>77</w:t>
      </w:r>
    </w:p>
    <w:p w14:paraId="16A143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439795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1970 г. спроектирована гидротурбина для Саянской ГЭС мощностью 815 МВт.</w:t>
      </w:r>
    </w:p>
    <w:p w14:paraId="29571E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25.11.1992 г. завод акционирован и преобразован в АООТ, затем - ОАО ЛМЗ.</w:t>
      </w:r>
      <w:r w:rsidRPr="00507A31">
        <w:rPr>
          <w:color w:val="000000" w:themeColor="text1"/>
          <w:sz w:val="16"/>
          <w:szCs w:val="16"/>
          <w:vertAlign w:val="superscript"/>
        </w:rPr>
        <w:t>131</w:t>
      </w:r>
    </w:p>
    <w:p w14:paraId="0E2B24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283017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(2000-е  г.): газотурбинные установки; паровые турбины для ТЭЦ, АЭС.</w:t>
      </w:r>
    </w:p>
    <w:p w14:paraId="57F23A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ЛМЗ являлся филиалом концерна «Силовые машины» (2002 г.).</w:t>
      </w:r>
    </w:p>
    <w:p w14:paraId="02ABB7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(1996 г.)- 9970 чел., (1998 г.)- около 5 тыс. чел.</w:t>
      </w:r>
    </w:p>
    <w:p w14:paraId="109D7C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(12.1937 г.)- Тылочкин, (-09-11.1938 г.-)- Н. Г. Никитин, (02.1942 г.)- Седов.</w:t>
      </w:r>
      <w:r w:rsidRPr="00507A31">
        <w:rPr>
          <w:color w:val="000000" w:themeColor="text1"/>
          <w:sz w:val="16"/>
          <w:szCs w:val="16"/>
          <w:vertAlign w:val="superscript"/>
        </w:rPr>
        <w:t>65</w:t>
      </w:r>
      <w:r w:rsidRPr="00507A31">
        <w:rPr>
          <w:color w:val="000000" w:themeColor="text1"/>
          <w:sz w:val="16"/>
          <w:szCs w:val="16"/>
        </w:rPr>
        <w:t xml:space="preserve"> Гендиректор (-1998-99 г.- )- В. Чернышев, (-2003-02.2004 г.)- В. Шевченко, (02.2004 г.-)- И. Сорочан.</w:t>
      </w:r>
    </w:p>
    <w:p w14:paraId="04B768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1-й зам. Гендиректора (-1990 г.)- В.К. Глухих. Зам. гендиректора (-02.2004 г.)- И. Сорочан.</w:t>
      </w:r>
      <w:r w:rsidRPr="00507A31">
        <w:rPr>
          <w:color w:val="000000" w:themeColor="text1"/>
          <w:sz w:val="16"/>
          <w:szCs w:val="16"/>
          <w:vertAlign w:val="superscript"/>
        </w:rPr>
        <w:t>1ш</w:t>
      </w:r>
      <w:r w:rsidRPr="00507A31">
        <w:rPr>
          <w:color w:val="000000" w:themeColor="text1"/>
          <w:sz w:val="16"/>
          <w:szCs w:val="16"/>
        </w:rPr>
        <w:t>*</w:t>
      </w:r>
      <w:r w:rsidRPr="00507A31">
        <w:rPr>
          <w:color w:val="000000" w:themeColor="text1"/>
          <w:sz w:val="16"/>
          <w:szCs w:val="16"/>
          <w:vertAlign w:val="superscript"/>
        </w:rPr>
        <w:t>йпмоГ8</w:t>
      </w:r>
    </w:p>
    <w:p w14:paraId="0B2B1A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Технический директор (04.1937 г.)-проф. М.И. Гринбер г.</w:t>
      </w:r>
    </w:p>
    <w:p w14:paraId="0F9B66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(11.1938 г.)- Н. Г. Шанцев, (-1990 г.)- В.К. Глухих.</w:t>
      </w:r>
      <w:r w:rsidRPr="00507A31">
        <w:rPr>
          <w:color w:val="000000" w:themeColor="text1"/>
          <w:sz w:val="16"/>
          <w:szCs w:val="16"/>
          <w:vertAlign w:val="superscript"/>
        </w:rPr>
        <w:t>49</w:t>
      </w:r>
    </w:p>
    <w:p w14:paraId="57C417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Помощник гл. инженера (-1912-14 г.-)- В. Смыслов.</w:t>
      </w:r>
    </w:p>
    <w:p w14:paraId="18CD00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технолог (1938 г.)- Захаров.</w:t>
      </w:r>
    </w:p>
    <w:p w14:paraId="0BA167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цехов: котельного (1912 г.)- Ф.К. Тихонов; (1946 г.)- В.А. Носанов.</w:t>
      </w:r>
    </w:p>
    <w:p w14:paraId="4A0CF0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6D668A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строитель (1913 г.-)- В.Н. Корнилович.</w:t>
      </w:r>
    </w:p>
    <w:p w14:paraId="11E87508"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w:t>
      </w:r>
      <w:r w:rsidRPr="00507A31">
        <w:rPr>
          <w:color w:val="000000" w:themeColor="text1"/>
          <w:sz w:val="16"/>
          <w:szCs w:val="16"/>
        </w:rPr>
        <w:t xml:space="preserve"> ПЛ С.К. Джевецкого «Почтовый» (1906-), эсминец типа «Орфей» (1917)- 8, тральщик типа «Ударник» (1917-, не достроены)- 8;</w:t>
      </w:r>
      <w:r w:rsidRPr="00507A31">
        <w:rPr>
          <w:iCs/>
          <w:color w:val="000000" w:themeColor="text1"/>
          <w:sz w:val="16"/>
          <w:szCs w:val="16"/>
        </w:rPr>
        <w:t xml:space="preserve"> артиллерийские башни:</w:t>
      </w:r>
      <w:r w:rsidRPr="00507A31">
        <w:rPr>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507A31">
        <w:rPr>
          <w:iCs/>
          <w:color w:val="000000" w:themeColor="text1"/>
          <w:sz w:val="16"/>
          <w:szCs w:val="16"/>
        </w:rPr>
        <w:t xml:space="preserve"> турбины:</w:t>
      </w:r>
      <w:r w:rsidRPr="00507A31">
        <w:rPr>
          <w:color w:val="000000" w:themeColor="text1"/>
          <w:sz w:val="16"/>
          <w:szCs w:val="16"/>
        </w:rPr>
        <w:t xml:space="preserve"> судовые Кертис-АЭГ-Вулкан для эсминцев (1913); для Индийской АЭС; судовые котлы Вулкан-Ярроу для эсминцев </w:t>
      </w:r>
      <w:r w:rsidRPr="00507A31">
        <w:rPr>
          <w:color w:val="000000" w:themeColor="text1"/>
          <w:sz w:val="16"/>
          <w:szCs w:val="16"/>
        </w:rPr>
        <w:lastRenderedPageBreak/>
        <w:t>(1913);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DDE6630" w14:textId="77777777" w:rsidR="00537E5F" w:rsidRPr="00507A31" w:rsidRDefault="00537E5F" w:rsidP="00507A31">
      <w:pPr>
        <w:jc w:val="both"/>
        <w:rPr>
          <w:color w:val="000000" w:themeColor="text1"/>
          <w:sz w:val="16"/>
          <w:szCs w:val="16"/>
        </w:rPr>
      </w:pPr>
      <w:r w:rsidRPr="00507A31">
        <w:rPr>
          <w:color w:val="000000" w:themeColor="text1"/>
          <w:sz w:val="16"/>
          <w:szCs w:val="16"/>
        </w:rPr>
        <w:t>КБ-1 ЛМЗ</w:t>
      </w:r>
    </w:p>
    <w:p w14:paraId="7802EE57" w14:textId="77777777" w:rsidR="00537E5F" w:rsidRPr="00507A31" w:rsidRDefault="00537E5F" w:rsidP="00507A31">
      <w:pPr>
        <w:jc w:val="both"/>
        <w:rPr>
          <w:color w:val="000000" w:themeColor="text1"/>
          <w:sz w:val="16"/>
          <w:szCs w:val="16"/>
        </w:rPr>
      </w:pPr>
      <w:r w:rsidRPr="00507A31">
        <w:rPr>
          <w:color w:val="000000" w:themeColor="text1"/>
          <w:sz w:val="16"/>
          <w:szCs w:val="16"/>
        </w:rPr>
        <w:t>До ВОВ - разработка корабельных артиллерийских башен.61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237E7492" w14:textId="77777777" w:rsidR="00537E5F" w:rsidRPr="00507A31" w:rsidRDefault="00537E5F" w:rsidP="00507A31">
      <w:pPr>
        <w:jc w:val="both"/>
        <w:rPr>
          <w:color w:val="000000" w:themeColor="text1"/>
          <w:sz w:val="16"/>
          <w:szCs w:val="16"/>
        </w:rPr>
      </w:pPr>
      <w:r w:rsidRPr="00507A31">
        <w:rPr>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454ACD58" w14:textId="77777777" w:rsidR="00537E5F" w:rsidRPr="00507A31" w:rsidRDefault="00537E5F" w:rsidP="00507A31">
      <w:pPr>
        <w:jc w:val="both"/>
        <w:rPr>
          <w:color w:val="000000" w:themeColor="text1"/>
          <w:sz w:val="16"/>
          <w:szCs w:val="16"/>
        </w:rPr>
      </w:pPr>
      <w:r w:rsidRPr="00507A31">
        <w:rPr>
          <w:color w:val="000000" w:themeColor="text1"/>
          <w:sz w:val="16"/>
          <w:szCs w:val="16"/>
        </w:rPr>
        <w:t>Заведующий (1920-е)- Р.Н. Вульф. Начальник (-1941 г.)- Т.Д. Вылкост.</w:t>
      </w:r>
    </w:p>
    <w:p w14:paraId="61B48DAC" w14:textId="77777777" w:rsidR="00537E5F" w:rsidRPr="00507A31" w:rsidRDefault="00537E5F" w:rsidP="00507A31">
      <w:pPr>
        <w:jc w:val="both"/>
        <w:rPr>
          <w:color w:val="000000" w:themeColor="text1"/>
          <w:sz w:val="16"/>
          <w:szCs w:val="16"/>
        </w:rPr>
      </w:pPr>
      <w:r w:rsidRPr="00507A31">
        <w:rPr>
          <w:color w:val="000000" w:themeColor="text1"/>
          <w:sz w:val="16"/>
          <w:szCs w:val="16"/>
        </w:rPr>
        <w:t>ОАО «Силовые машины»</w:t>
      </w:r>
    </w:p>
    <w:p w14:paraId="66ABDE1E" w14:textId="77777777" w:rsidR="00537E5F" w:rsidRPr="00507A31" w:rsidRDefault="00537E5F" w:rsidP="00507A31">
      <w:pPr>
        <w:jc w:val="both"/>
        <w:rPr>
          <w:color w:val="000000" w:themeColor="text1"/>
          <w:sz w:val="16"/>
          <w:szCs w:val="16"/>
        </w:rPr>
      </w:pPr>
      <w:r w:rsidRPr="00507A31">
        <w:rPr>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6A750E8C" w14:textId="77777777" w:rsidR="00537E5F" w:rsidRPr="00507A31" w:rsidRDefault="00537E5F" w:rsidP="00507A31">
      <w:pPr>
        <w:jc w:val="both"/>
        <w:rPr>
          <w:color w:val="000000" w:themeColor="text1"/>
          <w:sz w:val="16"/>
          <w:szCs w:val="16"/>
        </w:rPr>
      </w:pPr>
      <w:r w:rsidRPr="00507A31">
        <w:rPr>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27BBEF0C" w14:textId="77777777" w:rsidR="00537E5F" w:rsidRPr="00507A31" w:rsidRDefault="00537E5F" w:rsidP="00507A31">
      <w:pPr>
        <w:jc w:val="both"/>
        <w:rPr>
          <w:color w:val="000000" w:themeColor="text1"/>
          <w:sz w:val="16"/>
          <w:szCs w:val="16"/>
        </w:rPr>
      </w:pPr>
      <w:r w:rsidRPr="00507A31">
        <w:rPr>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6FCE5F32" w14:textId="77777777" w:rsidR="00537E5F" w:rsidRPr="00507A31" w:rsidRDefault="00537E5F" w:rsidP="00507A31">
      <w:pPr>
        <w:jc w:val="both"/>
        <w:rPr>
          <w:color w:val="000000" w:themeColor="text1"/>
          <w:sz w:val="16"/>
          <w:szCs w:val="16"/>
        </w:rPr>
      </w:pPr>
      <w:r w:rsidRPr="00507A31">
        <w:rPr>
          <w:color w:val="000000" w:themeColor="text1"/>
          <w:sz w:val="16"/>
          <w:szCs w:val="16"/>
        </w:rPr>
        <w:t>Начальники управлений: информационных технологий (2007 г.)- А.Л. Банкевич.</w:t>
      </w:r>
    </w:p>
    <w:p w14:paraId="5B26F813" w14:textId="77777777" w:rsidR="00537E5F" w:rsidRPr="00507A31" w:rsidRDefault="00537E5F" w:rsidP="00507A31">
      <w:pPr>
        <w:jc w:val="both"/>
        <w:rPr>
          <w:color w:val="000000" w:themeColor="text1"/>
          <w:sz w:val="16"/>
          <w:szCs w:val="16"/>
        </w:rPr>
      </w:pPr>
      <w:r w:rsidRPr="00507A31">
        <w:rPr>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0107D4F0" w14:textId="77777777" w:rsidR="00537E5F" w:rsidRPr="00507A31" w:rsidRDefault="00537E5F" w:rsidP="00507A31">
      <w:pPr>
        <w:jc w:val="both"/>
        <w:rPr>
          <w:color w:val="000000" w:themeColor="text1"/>
          <w:sz w:val="16"/>
          <w:szCs w:val="16"/>
        </w:rPr>
      </w:pPr>
      <w:r w:rsidRPr="00507A31">
        <w:rPr>
          <w:color w:val="000000" w:themeColor="text1"/>
          <w:sz w:val="16"/>
          <w:szCs w:val="16"/>
        </w:rPr>
        <w:t>Глухоозерский механический завод основан в 1914 г.</w:t>
      </w:r>
    </w:p>
    <w:p w14:paraId="24809B1C" w14:textId="77777777" w:rsidR="00537E5F" w:rsidRPr="00507A31" w:rsidRDefault="00537E5F" w:rsidP="00507A31">
      <w:pPr>
        <w:jc w:val="both"/>
        <w:rPr>
          <w:color w:val="000000" w:themeColor="text1"/>
          <w:sz w:val="16"/>
          <w:szCs w:val="16"/>
        </w:rPr>
      </w:pPr>
      <w:r w:rsidRPr="00507A31">
        <w:rPr>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74CB432F" w14:textId="77777777" w:rsidR="00537E5F" w:rsidRPr="00507A31" w:rsidRDefault="00537E5F" w:rsidP="00507A31">
      <w:pPr>
        <w:jc w:val="both"/>
        <w:rPr>
          <w:color w:val="000000" w:themeColor="text1"/>
          <w:sz w:val="16"/>
          <w:szCs w:val="16"/>
        </w:rPr>
      </w:pPr>
      <w:r w:rsidRPr="00507A31">
        <w:rPr>
          <w:color w:val="000000" w:themeColor="text1"/>
          <w:sz w:val="16"/>
          <w:szCs w:val="16"/>
        </w:rPr>
        <w:t>18.12.1992 г. завод преобразован в АООТ, затем - ОАО «ЗТЛ».131</w:t>
      </w:r>
    </w:p>
    <w:p w14:paraId="34DD4864" w14:textId="77777777" w:rsidR="00537E5F" w:rsidRPr="00507A31" w:rsidRDefault="00537E5F" w:rsidP="00507A31">
      <w:pPr>
        <w:jc w:val="both"/>
        <w:rPr>
          <w:color w:val="000000" w:themeColor="text1"/>
          <w:sz w:val="16"/>
          <w:szCs w:val="16"/>
        </w:rPr>
      </w:pPr>
      <w:r w:rsidRPr="00507A31">
        <w:rPr>
          <w:color w:val="000000" w:themeColor="text1"/>
          <w:sz w:val="16"/>
          <w:szCs w:val="16"/>
        </w:rPr>
        <w:t>Гендиректор (-2003-04 г.-)- А.П. Балашов. Директор филиала (2005 г.)- А.П. Балашов (11982).</w:t>
      </w:r>
    </w:p>
    <w:p w14:paraId="282EEC30" w14:textId="77777777" w:rsidR="00537E5F" w:rsidRPr="00507A31" w:rsidRDefault="00537E5F" w:rsidP="00507A31">
      <w:pPr>
        <w:jc w:val="both"/>
        <w:rPr>
          <w:color w:val="000000" w:themeColor="text1"/>
          <w:sz w:val="16"/>
          <w:szCs w:val="16"/>
        </w:rPr>
      </w:pPr>
    </w:p>
    <w:p w14:paraId="2B27A85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B7195E1" w14:textId="77777777" w:rsidR="00537E5F" w:rsidRPr="00507A31" w:rsidRDefault="00537E5F" w:rsidP="00507A31">
      <w:pPr>
        <w:autoSpaceDE w:val="0"/>
        <w:autoSpaceDN w:val="0"/>
        <w:adjustRightInd w:val="0"/>
        <w:jc w:val="both"/>
        <w:rPr>
          <w:iCs/>
          <w:color w:val="000000" w:themeColor="text1"/>
          <w:sz w:val="16"/>
          <w:szCs w:val="16"/>
        </w:rPr>
      </w:pPr>
    </w:p>
    <w:p w14:paraId="69EF5009" w14:textId="77777777" w:rsidR="00235B14" w:rsidRPr="00507A31" w:rsidRDefault="00235B14" w:rsidP="00507A31">
      <w:pPr>
        <w:jc w:val="both"/>
        <w:rPr>
          <w:color w:val="0070C0"/>
          <w:sz w:val="16"/>
          <w:szCs w:val="16"/>
        </w:rPr>
      </w:pPr>
      <w:r w:rsidRPr="00507A31">
        <w:rPr>
          <w:color w:val="0070C0"/>
          <w:sz w:val="16"/>
          <w:szCs w:val="16"/>
        </w:rPr>
        <w:t>9 апреля 1930 летающая на De Havilland DH.60 Moth Мисс Индия Мохан Сингх становится первой индийской женщиной в одиночку пролелевшей из Англии в Британскую Индию за один месяц и один день после вылета из аэропорта Кройдон (20805).</w:t>
      </w:r>
    </w:p>
    <w:p w14:paraId="1CDE6B93" w14:textId="77777777" w:rsidR="00235B14" w:rsidRPr="00507A31" w:rsidRDefault="00235B14" w:rsidP="00507A31">
      <w:pPr>
        <w:jc w:val="both"/>
        <w:rPr>
          <w:color w:val="0070C0"/>
          <w:sz w:val="16"/>
          <w:szCs w:val="16"/>
        </w:rPr>
      </w:pPr>
    </w:p>
    <w:p w14:paraId="3F8F99C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9 апреля 1930 в Нью-Йорке состоялся первый в мире сеанс связи по видеотелефону с приемом изображения с обеих сторон (4962).</w:t>
      </w:r>
    </w:p>
    <w:p w14:paraId="030B344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FE01D44" w14:textId="77777777" w:rsidR="00CA377B" w:rsidRPr="00507A31" w:rsidRDefault="00CA377B" w:rsidP="00507A31">
      <w:pPr>
        <w:jc w:val="both"/>
        <w:rPr>
          <w:color w:val="000000" w:themeColor="text1"/>
          <w:sz w:val="16"/>
          <w:szCs w:val="16"/>
        </w:rPr>
      </w:pPr>
      <w:r w:rsidRPr="00507A31">
        <w:rPr>
          <w:color w:val="000000" w:themeColor="text1"/>
          <w:sz w:val="16"/>
          <w:szCs w:val="16"/>
        </w:rPr>
        <w:t>9 апреля в 1930 году в Нью-Йорке впервые продемонстрирован публике видеотелефон (видеофон). Связь, установленная между компаниями «Bell Laboratories и AT&amp;T», позволила собеседникам не только слышать, но и видеть друг друга (15094).</w:t>
      </w:r>
    </w:p>
    <w:p w14:paraId="33CFA561" w14:textId="77777777" w:rsidR="00CA377B" w:rsidRPr="00507A31" w:rsidRDefault="00CA377B" w:rsidP="00507A31">
      <w:pPr>
        <w:jc w:val="both"/>
        <w:rPr>
          <w:color w:val="000000" w:themeColor="text1"/>
          <w:sz w:val="16"/>
          <w:szCs w:val="16"/>
        </w:rPr>
      </w:pPr>
    </w:p>
    <w:p w14:paraId="4008456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85AEE4A" w14:textId="77777777" w:rsidR="00537E5F" w:rsidRPr="00507A31" w:rsidRDefault="00537E5F" w:rsidP="00507A31">
      <w:pPr>
        <w:autoSpaceDE w:val="0"/>
        <w:autoSpaceDN w:val="0"/>
        <w:adjustRightInd w:val="0"/>
        <w:jc w:val="both"/>
        <w:rPr>
          <w:iCs/>
          <w:color w:val="000000" w:themeColor="text1"/>
          <w:sz w:val="16"/>
          <w:szCs w:val="16"/>
        </w:rPr>
      </w:pPr>
    </w:p>
    <w:p w14:paraId="737442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апреля 1930 закончились испытания Савойи С-62бис, закупленной Я.И.Алкснисом в декабре 1929, начатые 15 марта 1930. Результаты оказались хорошими и решили купить партию и лицензию на производство. Всего купили 54 и в процессе производства совершенствовали (1085,105).</w:t>
      </w:r>
    </w:p>
    <w:p w14:paraId="4E1518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Доклад инж. Бартини.</w:t>
      </w:r>
    </w:p>
    <w:p w14:paraId="1A501A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самолет С62бис является наиболее интересной и соответствует нашим требованиям машиной из существующих сейчас в Европе самолетов (3271).</w:t>
      </w:r>
    </w:p>
    <w:p w14:paraId="0E1D41DC" w14:textId="77777777" w:rsidR="00537E5F" w:rsidRPr="00507A31" w:rsidRDefault="00537E5F" w:rsidP="00507A31">
      <w:pPr>
        <w:autoSpaceDE w:val="0"/>
        <w:autoSpaceDN w:val="0"/>
        <w:adjustRightInd w:val="0"/>
        <w:jc w:val="both"/>
        <w:rPr>
          <w:color w:val="000000" w:themeColor="text1"/>
          <w:sz w:val="16"/>
          <w:szCs w:val="16"/>
        </w:rPr>
      </w:pPr>
    </w:p>
    <w:p w14:paraId="13745F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марте-апреле 1930 на стрельбище Ковровского завода в целях широкой проверки изменений, внесенных в конструкцию в ходе разворачивания серии, состоялось испытание 13 пулеметов В.А.Дегтярева - пехотного, авиационного, танкового (1857,59).</w:t>
      </w:r>
    </w:p>
    <w:p w14:paraId="7290DA1E" w14:textId="77777777" w:rsidR="00537E5F" w:rsidRPr="00507A31" w:rsidRDefault="00537E5F" w:rsidP="00507A31">
      <w:pPr>
        <w:autoSpaceDE w:val="0"/>
        <w:autoSpaceDN w:val="0"/>
        <w:adjustRightInd w:val="0"/>
        <w:jc w:val="both"/>
        <w:rPr>
          <w:color w:val="000000" w:themeColor="text1"/>
          <w:sz w:val="16"/>
          <w:szCs w:val="16"/>
        </w:rPr>
      </w:pPr>
    </w:p>
    <w:p w14:paraId="3A0C94A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FAEB557" w14:textId="77777777" w:rsidR="00537E5F" w:rsidRPr="00507A31" w:rsidRDefault="00537E5F" w:rsidP="00507A31">
      <w:pPr>
        <w:autoSpaceDE w:val="0"/>
        <w:autoSpaceDN w:val="0"/>
        <w:adjustRightInd w:val="0"/>
        <w:jc w:val="both"/>
        <w:rPr>
          <w:iCs/>
          <w:color w:val="000000" w:themeColor="text1"/>
          <w:sz w:val="16"/>
          <w:szCs w:val="16"/>
        </w:rPr>
      </w:pPr>
    </w:p>
    <w:p w14:paraId="3C6F7D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апреля 1930 на совещании у нач. вооружений РККА И.П.Уборевича состоялось обсуждение результатов испытаний</w:t>
      </w:r>
      <w:r w:rsidR="0004301F" w:rsidRPr="00507A31">
        <w:rPr>
          <w:color w:val="000000" w:themeColor="text1"/>
          <w:sz w:val="16"/>
          <w:szCs w:val="16"/>
        </w:rPr>
        <w:t xml:space="preserve"> пулеметов</w:t>
      </w:r>
      <w:r w:rsidRPr="00507A31">
        <w:rPr>
          <w:color w:val="000000" w:themeColor="text1"/>
          <w:sz w:val="16"/>
          <w:szCs w:val="16"/>
        </w:rPr>
        <w:t>. Отметили, что у авиационных и танковых пулеметов не достигнута взаимозаменяемость деталей (1857,59).</w:t>
      </w:r>
    </w:p>
    <w:p w14:paraId="1C365DF3" w14:textId="77777777" w:rsidR="00537E5F" w:rsidRPr="00507A31" w:rsidRDefault="00537E5F" w:rsidP="00507A31">
      <w:pPr>
        <w:autoSpaceDE w:val="0"/>
        <w:autoSpaceDN w:val="0"/>
        <w:adjustRightInd w:val="0"/>
        <w:jc w:val="both"/>
        <w:rPr>
          <w:color w:val="000000" w:themeColor="text1"/>
          <w:sz w:val="16"/>
          <w:szCs w:val="16"/>
        </w:rPr>
      </w:pPr>
    </w:p>
    <w:p w14:paraId="6CBEFAE8" w14:textId="77777777" w:rsidR="0004301F" w:rsidRPr="00507A31" w:rsidRDefault="0004301F" w:rsidP="00507A31">
      <w:pPr>
        <w:jc w:val="both"/>
        <w:rPr>
          <w:color w:val="000000" w:themeColor="text1"/>
          <w:sz w:val="16"/>
          <w:szCs w:val="16"/>
        </w:rPr>
      </w:pPr>
      <w:r w:rsidRPr="00507A31">
        <w:rPr>
          <w:color w:val="000000" w:themeColor="text1"/>
          <w:sz w:val="16"/>
          <w:szCs w:val="16"/>
        </w:rPr>
        <w:t>10 апреля 1930</w:t>
      </w:r>
    </w:p>
    <w:p w14:paraId="75AC88FE" w14:textId="77777777" w:rsidR="0004301F" w:rsidRPr="00507A31" w:rsidRDefault="0004301F" w:rsidP="00507A31">
      <w:pPr>
        <w:jc w:val="both"/>
        <w:rPr>
          <w:color w:val="000000" w:themeColor="text1"/>
          <w:sz w:val="16"/>
          <w:szCs w:val="16"/>
        </w:rPr>
      </w:pPr>
      <w:r w:rsidRPr="00507A31">
        <w:rPr>
          <w:bCs/>
          <w:iCs/>
          <w:color w:val="000000" w:themeColor="text1"/>
          <w:sz w:val="16"/>
          <w:szCs w:val="16"/>
        </w:rPr>
        <w:t>РГВА Фонд 31811 Опись 1 Дело 38 лист 309</w:t>
      </w:r>
    </w:p>
    <w:p w14:paraId="77107C12" w14:textId="77777777" w:rsidR="0004301F" w:rsidRPr="00507A31" w:rsidRDefault="0004301F" w:rsidP="00507A31">
      <w:pPr>
        <w:jc w:val="both"/>
        <w:rPr>
          <w:iCs/>
          <w:color w:val="000000" w:themeColor="text1"/>
          <w:sz w:val="16"/>
          <w:szCs w:val="16"/>
        </w:rPr>
      </w:pPr>
      <w:r w:rsidRPr="00507A31">
        <w:rPr>
          <w:iCs/>
          <w:color w:val="000000" w:themeColor="text1"/>
          <w:sz w:val="16"/>
          <w:szCs w:val="16"/>
        </w:rPr>
        <w:t>[Перевод с английского языка предложения Кристи о продаже двух танков,</w:t>
      </w:r>
    </w:p>
    <w:p w14:paraId="4E74ABDC" w14:textId="77777777" w:rsidR="0004301F" w:rsidRPr="00507A31" w:rsidRDefault="0004301F" w:rsidP="00507A31">
      <w:pPr>
        <w:jc w:val="both"/>
        <w:rPr>
          <w:color w:val="000000" w:themeColor="text1"/>
          <w:sz w:val="16"/>
          <w:szCs w:val="16"/>
        </w:rPr>
      </w:pPr>
      <w:r w:rsidRPr="00507A31">
        <w:rPr>
          <w:iCs/>
          <w:color w:val="000000" w:themeColor="text1"/>
          <w:sz w:val="16"/>
          <w:szCs w:val="16"/>
        </w:rPr>
        <w:t>полученного И.А. Халепским на заводе Кристи 10 апреля 1930 г.]</w:t>
      </w:r>
      <w:r w:rsidRPr="00507A31">
        <w:rPr>
          <w:color w:val="000000" w:themeColor="text1"/>
          <w:sz w:val="16"/>
          <w:szCs w:val="16"/>
        </w:rPr>
        <w:t xml:space="preserve"> </w:t>
      </w:r>
    </w:p>
    <w:p w14:paraId="6CF1F15C"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Амторг Трейдинг Корпорейшен </w:t>
      </w:r>
    </w:p>
    <w:p w14:paraId="18C5397B"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М-ру Халепскому. </w:t>
      </w:r>
    </w:p>
    <w:p w14:paraId="613ADC41"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Подтверждая наш сегодняшний разговор, мы предлагаем Вам два наших колесно-гусеничных шасси, соответствующие виденным вами чертежам вместе с броней и башней по цене $ 30.000 каждое. </w:t>
      </w:r>
    </w:p>
    <w:p w14:paraId="2A2088C6"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Срок поставки от 3-х до 4-х месяцев. </w:t>
      </w:r>
    </w:p>
    <w:p w14:paraId="3D2BE1A1"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Шасси подлежат испытанию где-нибудь в С.Ш.С.А. вблизи наших предприятий. Вопрос о месте испытаний может быть решен в дальнейшем. </w:t>
      </w:r>
    </w:p>
    <w:p w14:paraId="577BC530"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50 % общей цены подлежат уплате при заказе. Остальное после испытаний и сдачи Вам. Сдача согласно спецификации и чертежей, после чего мы заключаем договор с Вами о продаже прав на производство на 17 лет. Цена за право производства на территории С.С.С.Р. $ 100.000. </w:t>
      </w:r>
    </w:p>
    <w:p w14:paraId="4248AB43" w14:textId="77777777" w:rsidR="0004301F" w:rsidRPr="00507A31" w:rsidRDefault="0004301F" w:rsidP="00507A31">
      <w:pPr>
        <w:jc w:val="both"/>
        <w:rPr>
          <w:color w:val="000000" w:themeColor="text1"/>
          <w:sz w:val="16"/>
          <w:szCs w:val="16"/>
        </w:rPr>
      </w:pPr>
      <w:r w:rsidRPr="00507A31">
        <w:rPr>
          <w:color w:val="000000" w:themeColor="text1"/>
          <w:sz w:val="16"/>
          <w:szCs w:val="16"/>
        </w:rPr>
        <w:t xml:space="preserve">50 % должны быть уплочены при сдаче 2-х шасси, а остальные 50 % в два срока. О времени последующих платежей будет договорено в дальнейшем. </w:t>
      </w:r>
    </w:p>
    <w:p w14:paraId="78DF0799" w14:textId="77777777" w:rsidR="0004301F" w:rsidRPr="00507A31" w:rsidRDefault="0004301F" w:rsidP="00507A31">
      <w:pPr>
        <w:jc w:val="both"/>
        <w:rPr>
          <w:color w:val="000000" w:themeColor="text1"/>
          <w:sz w:val="16"/>
          <w:szCs w:val="16"/>
        </w:rPr>
      </w:pPr>
      <w:r w:rsidRPr="00507A31">
        <w:rPr>
          <w:color w:val="000000" w:themeColor="text1"/>
          <w:sz w:val="16"/>
          <w:szCs w:val="16"/>
        </w:rPr>
        <w:t>Одновременно с производственными правами мы передаем Вам полные детальные производственные чертежи, а также обязуемся передавать материалы о всех улучшениях (усовершенствованиях) в конструкции в течение 10 лет. Ознакомление с нашими чертежами будет производиться каждые шесть месяцев в течение этого периода (19746).</w:t>
      </w:r>
    </w:p>
    <w:p w14:paraId="1F3365C1" w14:textId="77777777" w:rsidR="0004301F" w:rsidRPr="00507A31" w:rsidRDefault="0004301F" w:rsidP="00507A31">
      <w:pPr>
        <w:jc w:val="both"/>
        <w:rPr>
          <w:color w:val="000000" w:themeColor="text1"/>
          <w:sz w:val="16"/>
          <w:szCs w:val="16"/>
        </w:rPr>
      </w:pPr>
    </w:p>
    <w:p w14:paraId="11D369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апреля 1930 был произведен первый искусственный каучук (2100).</w:t>
      </w:r>
    </w:p>
    <w:p w14:paraId="76879754" w14:textId="77777777" w:rsidR="00537E5F" w:rsidRPr="00507A31" w:rsidRDefault="00537E5F" w:rsidP="00507A31">
      <w:pPr>
        <w:autoSpaceDE w:val="0"/>
        <w:autoSpaceDN w:val="0"/>
        <w:adjustRightInd w:val="0"/>
        <w:jc w:val="both"/>
        <w:rPr>
          <w:color w:val="000000" w:themeColor="text1"/>
          <w:sz w:val="16"/>
          <w:szCs w:val="16"/>
        </w:rPr>
      </w:pPr>
    </w:p>
    <w:p w14:paraId="4AC575E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4496A5A" w14:textId="77777777" w:rsidR="00537E5F" w:rsidRPr="00507A31" w:rsidRDefault="00537E5F" w:rsidP="00507A31">
      <w:pPr>
        <w:autoSpaceDE w:val="0"/>
        <w:autoSpaceDN w:val="0"/>
        <w:adjustRightInd w:val="0"/>
        <w:jc w:val="both"/>
        <w:rPr>
          <w:iCs/>
          <w:color w:val="000000" w:themeColor="text1"/>
          <w:sz w:val="16"/>
          <w:szCs w:val="16"/>
        </w:rPr>
      </w:pPr>
    </w:p>
    <w:p w14:paraId="21EE26B0" w14:textId="77777777" w:rsidR="009D659E" w:rsidRPr="00507A31" w:rsidRDefault="009D659E" w:rsidP="00507A31">
      <w:pPr>
        <w:jc w:val="both"/>
        <w:rPr>
          <w:color w:val="0070C0"/>
          <w:sz w:val="16"/>
          <w:szCs w:val="16"/>
        </w:rPr>
      </w:pPr>
      <w:r w:rsidRPr="00507A31">
        <w:rPr>
          <w:color w:val="0070C0"/>
          <w:sz w:val="16"/>
          <w:szCs w:val="16"/>
        </w:rPr>
        <w:t>10 апреля 1930, пилотируя Junkers G 38 D-2000, Вильгельм Циммерманн устанавливает четыре новых мировых рекорда для самолета, несущего полезную нагрузку 5000 кг (11000 фунтов), со средней скоростью 184,5 км / ч (114,6 миль / ч) на расстояние 100 км. (62 мили) и рекордные 172,9 км / ч (107,4 миль / ч) на расстоянии 500 километров (310 миль), установив рекорд расстояния в 501,6 км (311,7 миль) и рекорд выносливости в 3 часа 2 минуты (20805).</w:t>
      </w:r>
    </w:p>
    <w:p w14:paraId="484F000F" w14:textId="77777777" w:rsidR="009D659E" w:rsidRPr="00507A31" w:rsidRDefault="009D659E" w:rsidP="00507A31">
      <w:pPr>
        <w:jc w:val="both"/>
        <w:rPr>
          <w:color w:val="0070C0"/>
          <w:sz w:val="16"/>
          <w:szCs w:val="16"/>
        </w:rPr>
      </w:pPr>
    </w:p>
    <w:p w14:paraId="19C21C4A" w14:textId="77777777" w:rsidR="009D659E" w:rsidRPr="00507A31" w:rsidRDefault="009D659E" w:rsidP="00507A31">
      <w:pPr>
        <w:jc w:val="both"/>
        <w:rPr>
          <w:color w:val="0070C0"/>
          <w:sz w:val="16"/>
          <w:szCs w:val="16"/>
        </w:rPr>
      </w:pPr>
      <w:r w:rsidRPr="00507A31">
        <w:rPr>
          <w:color w:val="0070C0"/>
          <w:sz w:val="16"/>
          <w:szCs w:val="16"/>
        </w:rPr>
        <w:t>10–20 апреля 1930 английский авиатор и орнитолог Мэри Рассел, герцогиня Бедфорд, и ее личный пилот К. Д. Барнард совершают рекордный полет на Fokker F.VII Spider (G-EBTS) на расстояние 9000 миль (14 493 км) от Лимпна. Летели из аэропорта в Лимпне, Англия, в Кейптаун, Южная Африка, за 100 часов налета за 10 дней (20805).</w:t>
      </w:r>
    </w:p>
    <w:p w14:paraId="46C3F862" w14:textId="77777777" w:rsidR="009D659E" w:rsidRPr="00507A31" w:rsidRDefault="009D659E" w:rsidP="00507A31">
      <w:pPr>
        <w:jc w:val="both"/>
        <w:rPr>
          <w:color w:val="0070C0"/>
          <w:sz w:val="16"/>
          <w:szCs w:val="16"/>
        </w:rPr>
      </w:pPr>
    </w:p>
    <w:p w14:paraId="671C959A" w14:textId="77777777" w:rsidR="009D659E" w:rsidRPr="00507A31" w:rsidRDefault="009D659E" w:rsidP="00507A31">
      <w:pPr>
        <w:jc w:val="both"/>
        <w:rPr>
          <w:color w:val="0070C0"/>
          <w:sz w:val="16"/>
          <w:szCs w:val="16"/>
        </w:rPr>
      </w:pPr>
      <w:r w:rsidRPr="00507A31">
        <w:rPr>
          <w:color w:val="0070C0"/>
          <w:sz w:val="16"/>
          <w:szCs w:val="16"/>
        </w:rPr>
        <w:lastRenderedPageBreak/>
        <w:t>10 апреля 1930 - (по 19 апреля) Английская авиатрисса и орнитолог Мэри Рассел, герцогиня Бедфордская, и ее личный пилот К. Д. Барнард совершают рекордный полет на Fokker F.VII Spider (G-EBTS) протяженностью 9000 миль (14 493 км) из Лондона в Кейптаун, Южная Африка. 100 летных часов в течение 10 дней (22539).</w:t>
      </w:r>
    </w:p>
    <w:p w14:paraId="4EA41228" w14:textId="77777777" w:rsidR="009D659E" w:rsidRPr="00507A31" w:rsidRDefault="009D659E" w:rsidP="00507A31">
      <w:pPr>
        <w:jc w:val="both"/>
        <w:rPr>
          <w:color w:val="0070C0"/>
          <w:sz w:val="16"/>
          <w:szCs w:val="16"/>
        </w:rPr>
      </w:pPr>
    </w:p>
    <w:p w14:paraId="5F81B81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 апреля 1930 США, Англия и Япония подписали договор об ограничении тоннажа военных кораблей (4962).</w:t>
      </w:r>
    </w:p>
    <w:p w14:paraId="0E80297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5C29AC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5B8D67A" w14:textId="77777777" w:rsidR="00537E5F" w:rsidRPr="00507A31" w:rsidRDefault="00537E5F" w:rsidP="00507A31">
      <w:pPr>
        <w:autoSpaceDE w:val="0"/>
        <w:autoSpaceDN w:val="0"/>
        <w:adjustRightInd w:val="0"/>
        <w:jc w:val="both"/>
        <w:rPr>
          <w:iCs/>
          <w:color w:val="000000" w:themeColor="text1"/>
          <w:sz w:val="16"/>
          <w:szCs w:val="16"/>
        </w:rPr>
      </w:pPr>
    </w:p>
    <w:p w14:paraId="4F08EE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апреля 1930 г. на заседании 1-й секции НТК ВВС (Журнал N 10) под Председательством С.В.И. заслушали О результатах гос. испытаний гидросамолета S-62бис, произведенных в г. Севастополе в период 15.03-10.04.1903 г.</w:t>
      </w:r>
    </w:p>
    <w:p w14:paraId="24BCDD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Доклад инж. Бартини.</w:t>
      </w:r>
    </w:p>
    <w:p w14:paraId="7C8A3A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самолет С62бис является наиболее интересной и соответствует нашим требованиям машиной из существующих сейчас в Европе самолетов.</w:t>
      </w:r>
    </w:p>
    <w:p w14:paraId="5DF28F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результатах эксплоатационно-технических испытаний самолета S-62бис с мотором АССО-750 НР.</w:t>
      </w:r>
    </w:p>
    <w:p w14:paraId="3D807C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Постановлено:</w:t>
      </w:r>
    </w:p>
    <w:p w14:paraId="05391C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(См. журнал 1 секции от 27 мая 1930 г. за N 15с).</w:t>
      </w:r>
    </w:p>
    <w:p w14:paraId="7B008A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Считать возможным дать заказ на серийную постройку самолетов S-62 бис с мотором Ассо-750 НР, устранив в серии все дефекты, отмеченные в акте...</w:t>
      </w:r>
    </w:p>
    <w:p w14:paraId="5EBDC0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результатах эксплоатационно-технических испытаний самолета S-62бис с мотором АССО-750 НР.</w:t>
      </w:r>
    </w:p>
    <w:p w14:paraId="308692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Постановлено:</w:t>
      </w:r>
    </w:p>
    <w:p w14:paraId="35A1AF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(См. журнал 1 секции от 27 мая 1930 г. за N 15с).</w:t>
      </w:r>
    </w:p>
    <w:p w14:paraId="16DC1FBD" w14:textId="77777777" w:rsidR="00537E5F" w:rsidRPr="00507A31" w:rsidRDefault="00537E5F" w:rsidP="00507A31">
      <w:pPr>
        <w:autoSpaceDE w:val="0"/>
        <w:autoSpaceDN w:val="0"/>
        <w:adjustRightInd w:val="0"/>
        <w:jc w:val="both"/>
        <w:rPr>
          <w:color w:val="000000" w:themeColor="text1"/>
          <w:sz w:val="16"/>
          <w:szCs w:val="16"/>
        </w:rPr>
      </w:pPr>
    </w:p>
    <w:p w14:paraId="15BA64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своим летно-тактическим данным самолет S-62 бис не удовлетворяет требованиям штаба РККА, предъявленным к морскому ближнему разведчику в отношении горизонтальной скорости на 3000 м (вместо 200 км/час имеет 194 км/час), практического потолка (вместо 5000 м имеет 4600м) и мореходности, так как испытания показали, что высота волны в 0,5 м при ветре 3-4 м/сек. является предельной нормальной эксплуатации самолета.</w:t>
      </w:r>
    </w:p>
    <w:p w14:paraId="2AADC6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устранения дефектов самолет S-62бис с мотором Ассо-750 НР может быть рекомендован на снабжение ВВС в качестве морского ближнего разведчика (3271).</w:t>
      </w:r>
    </w:p>
    <w:p w14:paraId="6798CA72" w14:textId="77777777" w:rsidR="00537E5F" w:rsidRPr="00507A31" w:rsidRDefault="00537E5F" w:rsidP="00507A31">
      <w:pPr>
        <w:autoSpaceDE w:val="0"/>
        <w:autoSpaceDN w:val="0"/>
        <w:adjustRightInd w:val="0"/>
        <w:jc w:val="both"/>
        <w:rPr>
          <w:color w:val="000000" w:themeColor="text1"/>
          <w:sz w:val="16"/>
          <w:szCs w:val="16"/>
        </w:rPr>
      </w:pPr>
    </w:p>
    <w:p w14:paraId="6E81CA42" w14:textId="77777777" w:rsidR="00317D71" w:rsidRPr="00507A31" w:rsidRDefault="00317D71" w:rsidP="00507A31">
      <w:pPr>
        <w:jc w:val="both"/>
        <w:rPr>
          <w:color w:val="0070C0"/>
          <w:sz w:val="16"/>
          <w:szCs w:val="16"/>
        </w:rPr>
      </w:pPr>
      <w:r w:rsidRPr="00507A31">
        <w:rPr>
          <w:color w:val="0070C0"/>
          <w:sz w:val="16"/>
          <w:szCs w:val="16"/>
        </w:rPr>
        <w:t>11 апреля 1930 г. в 1-ой (самолетной) секции НТК под председательством С.В. Ильюшина была дана положительная оценка Савойя 62-бис (РГВА. Ф. 29. Оп. 76. Д. 927. Отчеты опытных головных серийных и летных испытаний самолета С-62 и переписке с УСС ВВС о поставке самолетов из Италии.), за исключением потолка 4.600 м вместо 5500 м. Одобрение комиссии вызвал и тот факт, что при дальности полета 10 часов в радиусе действия этого самолета находились все черноморские страны (Румыния, Болгария, Турция и Босфор) (21410).</w:t>
      </w:r>
    </w:p>
    <w:p w14:paraId="0439492E" w14:textId="77777777" w:rsidR="00317D71" w:rsidRPr="00507A31" w:rsidRDefault="00317D71" w:rsidP="00507A31">
      <w:pPr>
        <w:jc w:val="both"/>
        <w:rPr>
          <w:color w:val="0070C0"/>
          <w:sz w:val="16"/>
          <w:szCs w:val="16"/>
        </w:rPr>
      </w:pPr>
    </w:p>
    <w:p w14:paraId="24B91F49" w14:textId="77777777" w:rsidR="00317D71" w:rsidRPr="00507A31" w:rsidRDefault="00317D71" w:rsidP="00507A31">
      <w:pPr>
        <w:jc w:val="both"/>
        <w:rPr>
          <w:color w:val="0070C0"/>
          <w:sz w:val="16"/>
          <w:szCs w:val="16"/>
        </w:rPr>
      </w:pPr>
      <w:r w:rsidRPr="00507A31">
        <w:rPr>
          <w:color w:val="0070C0"/>
          <w:sz w:val="16"/>
          <w:szCs w:val="16"/>
        </w:rPr>
        <w:t>11 апреля 1930 г. в Доме учёных в Москве в прениях по докладу Б.Н. Воробьёва «Транссибирский воздушный путь на дирижа</w:t>
      </w:r>
      <w:r w:rsidRPr="00507A31">
        <w:rPr>
          <w:color w:val="0070C0"/>
          <w:sz w:val="16"/>
          <w:szCs w:val="16"/>
        </w:rPr>
        <w:softHyphen/>
        <w:t>блях», организованному Обществом изучения Урала, Сибири и Дальнего Востока, инженер Г.В. Та- рапкин изложил результаты изысканий Главной инспекции ГВФ в районе, ограниченном Енисеем, Колымой и Сибирской железнодорожной ма</w:t>
      </w:r>
      <w:r w:rsidRPr="00507A31">
        <w:rPr>
          <w:color w:val="0070C0"/>
          <w:sz w:val="16"/>
          <w:szCs w:val="16"/>
        </w:rPr>
        <w:softHyphen/>
        <w:t>гистралью. Собранные материалы выявили на</w:t>
      </w:r>
      <w:r w:rsidRPr="00507A31">
        <w:rPr>
          <w:color w:val="0070C0"/>
          <w:sz w:val="16"/>
          <w:szCs w:val="16"/>
        </w:rPr>
        <w:softHyphen/>
        <w:t>правления главных грузопотоков: вдоль Енисея, из района Иркутска на Якутск и с низовьев Лены к Якутску. Предлагалось создать дирижабель</w:t>
      </w:r>
      <w:r w:rsidRPr="00507A31">
        <w:rPr>
          <w:color w:val="0070C0"/>
          <w:sz w:val="16"/>
          <w:szCs w:val="16"/>
        </w:rPr>
        <w:softHyphen/>
        <w:t>ную базу на Сибирской железнодорожной ма</w:t>
      </w:r>
      <w:r w:rsidRPr="00507A31">
        <w:rPr>
          <w:color w:val="0070C0"/>
          <w:sz w:val="16"/>
          <w:szCs w:val="16"/>
        </w:rPr>
        <w:softHyphen/>
        <w:t>гистрали в Иркутске и отсюда организовать ди</w:t>
      </w:r>
      <w:r w:rsidRPr="00507A31">
        <w:rPr>
          <w:color w:val="0070C0"/>
          <w:sz w:val="16"/>
          <w:szCs w:val="16"/>
        </w:rPr>
        <w:softHyphen/>
        <w:t>рижабельную линию на Якутск, Булун, Нижне- колымск и далее по Колыме до Верхнеколымска с возвращением через Яну в Иркутск. Другое направление — по Енисею до Гольчихи, затем на Булун, Якутск и обратно, к центральной базе. Швартовые точки намечались в Якутске, Нижне- колымске. Булуне и Туруханске (20120).</w:t>
      </w:r>
    </w:p>
    <w:p w14:paraId="6CF2087C" w14:textId="77777777" w:rsidR="00317D71" w:rsidRPr="00507A31" w:rsidRDefault="00317D71" w:rsidP="00507A31">
      <w:pPr>
        <w:jc w:val="both"/>
        <w:rPr>
          <w:color w:val="0070C0"/>
          <w:sz w:val="16"/>
          <w:szCs w:val="16"/>
        </w:rPr>
      </w:pPr>
    </w:p>
    <w:p w14:paraId="6B9B5B4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20A2AF5" w14:textId="77777777" w:rsidR="00537E5F" w:rsidRPr="00507A31" w:rsidRDefault="00537E5F" w:rsidP="00507A31">
      <w:pPr>
        <w:autoSpaceDE w:val="0"/>
        <w:autoSpaceDN w:val="0"/>
        <w:adjustRightInd w:val="0"/>
        <w:jc w:val="both"/>
        <w:rPr>
          <w:iCs/>
          <w:color w:val="000000" w:themeColor="text1"/>
          <w:sz w:val="16"/>
          <w:szCs w:val="16"/>
        </w:rPr>
      </w:pPr>
    </w:p>
    <w:p w14:paraId="1B1EC3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апреля 1930 г. появился ДОКЛАД НАЧАЛЬНИКУ ВООРУЖЕНИИ РККА О ЗАКАЗЕ ВООРУЖЕНИЯ ДЛЯ СТРОЯЩИХСЯ ТАНКОВ</w:t>
      </w:r>
    </w:p>
    <w:p w14:paraId="063595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50A387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Управление по механизации и моторизации РККА просит для вооружения строящихся танков и бронемашин заказать промышленности следующее вооружение и средства связи:</w:t>
      </w:r>
    </w:p>
    <w:p w14:paraId="2C86EF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Вооружение</w:t>
      </w:r>
    </w:p>
    <w:p w14:paraId="4FA45C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Пушек 37 мм для Т-18 -735</w:t>
      </w:r>
    </w:p>
    <w:p w14:paraId="6F756A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Пушек 37 мм для бронемашин -275</w:t>
      </w:r>
    </w:p>
    <w:p w14:paraId="0680FF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Пушек 45 мм для Т-12 -400</w:t>
      </w:r>
    </w:p>
    <w:p w14:paraId="1DCBA1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Пулеметов с шаровой установкой Дегтярева</w:t>
      </w:r>
    </w:p>
    <w:p w14:paraId="27F3C8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Пулеметов для Т-18 -1470</w:t>
      </w:r>
    </w:p>
    <w:p w14:paraId="4E53CF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Пулеметов для бронемашин - - 375</w:t>
      </w:r>
    </w:p>
    <w:p w14:paraId="003ECC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Пулеметов для танкеток - 325</w:t>
      </w:r>
    </w:p>
    <w:p w14:paraId="043299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Пулеметов для Т-12 - 2400</w:t>
      </w:r>
    </w:p>
    <w:p w14:paraId="2448BF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Радиостанций</w:t>
      </w:r>
    </w:p>
    <w:p w14:paraId="15E440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Радиостанций для Т-18 -310</w:t>
      </w:r>
    </w:p>
    <w:p w14:paraId="7083A8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Радиостанций для Т-12 - 99</w:t>
      </w:r>
    </w:p>
    <w:p w14:paraId="05D57C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Радиостанций для танкеток - 85</w:t>
      </w:r>
    </w:p>
    <w:p w14:paraId="6A2183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ТУ УММ РККА Бокис</w:t>
      </w:r>
    </w:p>
    <w:p w14:paraId="22CF62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моботдела Давыдов</w:t>
      </w:r>
    </w:p>
    <w:p w14:paraId="08F950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РГВА.Ф. 31811. Оп. 1. Д. 30. л. 58. Копия (11210).</w:t>
      </w:r>
    </w:p>
    <w:p w14:paraId="5F858BCA" w14:textId="77777777" w:rsidR="00537E5F" w:rsidRPr="00507A31" w:rsidRDefault="00537E5F" w:rsidP="00507A31">
      <w:pPr>
        <w:autoSpaceDE w:val="0"/>
        <w:autoSpaceDN w:val="0"/>
        <w:adjustRightInd w:val="0"/>
        <w:jc w:val="both"/>
        <w:rPr>
          <w:color w:val="000000" w:themeColor="text1"/>
          <w:sz w:val="16"/>
          <w:szCs w:val="16"/>
        </w:rPr>
      </w:pPr>
    </w:p>
    <w:p w14:paraId="21509C20" w14:textId="77777777" w:rsidR="00497056" w:rsidRPr="00507A31" w:rsidRDefault="00497056" w:rsidP="00507A31">
      <w:pPr>
        <w:jc w:val="both"/>
        <w:rPr>
          <w:color w:val="000000" w:themeColor="text1"/>
          <w:sz w:val="16"/>
          <w:szCs w:val="16"/>
        </w:rPr>
      </w:pPr>
      <w:r w:rsidRPr="00507A31">
        <w:rPr>
          <w:color w:val="000000" w:themeColor="text1"/>
          <w:sz w:val="16"/>
          <w:szCs w:val="16"/>
        </w:rPr>
        <w:t>11 апреля 1930 года артель «Красный инструментальщик», созданная в 1926 как кооператив,  национализируется. 12 апреля на её базе создаётся завод «Красный инструментальщик», который передаётся во вновь созданный «Всесоюзный инструментальный трест». Эта дата считается официальным «днём рождения» завода.</w:t>
      </w:r>
    </w:p>
    <w:p w14:paraId="2C824600" w14:textId="77777777" w:rsidR="00497056" w:rsidRPr="00507A31" w:rsidRDefault="00497056" w:rsidP="00507A31">
      <w:pPr>
        <w:jc w:val="both"/>
        <w:rPr>
          <w:color w:val="000000" w:themeColor="text1"/>
          <w:sz w:val="16"/>
          <w:szCs w:val="16"/>
        </w:rPr>
      </w:pPr>
      <w:r w:rsidRPr="00507A31">
        <w:rPr>
          <w:color w:val="000000" w:themeColor="text1"/>
          <w:sz w:val="16"/>
          <w:szCs w:val="16"/>
        </w:rPr>
        <w:t> Директором   завода  назначается Иван Иванович Иванов. Оснащение нового инструментального завода обновлено современным оборудованием. Нанимается высококвалифицированный персонал. К этому времени производственная база насчитывает 135 единиц оборудования и около 500 сотрудников. Производство шпульных колпачков доведено до 500 тысяч в год.</w:t>
      </w:r>
    </w:p>
    <w:p w14:paraId="1CC447B1" w14:textId="77777777" w:rsidR="00497056" w:rsidRPr="00507A31" w:rsidRDefault="00497056" w:rsidP="00507A31">
      <w:pPr>
        <w:jc w:val="both"/>
        <w:rPr>
          <w:color w:val="000000" w:themeColor="text1"/>
          <w:sz w:val="16"/>
          <w:szCs w:val="16"/>
        </w:rPr>
      </w:pPr>
      <w:r w:rsidRPr="00507A31">
        <w:rPr>
          <w:color w:val="000000" w:themeColor="text1"/>
          <w:sz w:val="16"/>
          <w:szCs w:val="16"/>
        </w:rPr>
        <w:t>В 1931 году новым  директором   завода  становится Пётр Григорьевич Говард. Завод полностью перешёл на выпуск измерительного инструмента. Было освоено производство микрометров, штангенрейсмасов, транспортирных угломеров, глубиномеров и концевых мер длины. Последние стали успешно вытеснять импортные, покупаемые в Швеции и Германии.</w:t>
      </w:r>
    </w:p>
    <w:p w14:paraId="30FF150A" w14:textId="77777777" w:rsidR="00497056" w:rsidRPr="00507A31" w:rsidRDefault="00497056" w:rsidP="00507A31">
      <w:pPr>
        <w:jc w:val="both"/>
        <w:rPr>
          <w:color w:val="000000" w:themeColor="text1"/>
          <w:sz w:val="16"/>
          <w:szCs w:val="16"/>
        </w:rPr>
      </w:pPr>
      <w:r w:rsidRPr="00507A31">
        <w:rPr>
          <w:color w:val="000000" w:themeColor="text1"/>
          <w:sz w:val="16"/>
          <w:szCs w:val="16"/>
        </w:rPr>
        <w:t>Возрастали объёмы выпуска инструментов. В 1932 году их валовое производство на заводе составляло 9,1 млн рублей. В 1933 году — уже 13 млн. Поскольку ранее эти товары покупались только за границей, экономия валюты за счёт завода в 1932 году составила 1,4 млн золотых германских марок, в 1933 году — 2,2 млн.</w:t>
      </w:r>
    </w:p>
    <w:p w14:paraId="44D6DBE7" w14:textId="77777777" w:rsidR="00497056" w:rsidRPr="00507A31" w:rsidRDefault="00497056" w:rsidP="00507A31">
      <w:pPr>
        <w:jc w:val="both"/>
        <w:rPr>
          <w:color w:val="000000" w:themeColor="text1"/>
          <w:sz w:val="16"/>
          <w:szCs w:val="16"/>
        </w:rPr>
      </w:pPr>
      <w:r w:rsidRPr="00507A31">
        <w:rPr>
          <w:color w:val="000000" w:themeColor="text1"/>
          <w:sz w:val="16"/>
          <w:szCs w:val="16"/>
        </w:rPr>
        <w:t>Завод переезжает в здание бывшей пробочной фабрики. 10 цехов завода постепенно переходят на замкнутый цикл производства. Внедряется система планово-предупредительного ремонта. Каждый станок и единица оборудования закрепляются за конкретным работником, что помогло сократить стоимость и длительность ремонта. Коллектив работает под девизом «Ни одной копейки золотом на импорт измерительного инструмента!» На конкурсе, проведённом Всесоюзным инструментальным объединением, технический план завода «Крин» признан лучшим и получил первую премию.</w:t>
      </w:r>
    </w:p>
    <w:p w14:paraId="01BEFA66" w14:textId="77777777" w:rsidR="00497056" w:rsidRPr="00507A31" w:rsidRDefault="00497056" w:rsidP="00507A31">
      <w:pPr>
        <w:jc w:val="both"/>
        <w:rPr>
          <w:color w:val="000000" w:themeColor="text1"/>
          <w:sz w:val="16"/>
          <w:szCs w:val="16"/>
        </w:rPr>
      </w:pPr>
      <w:r w:rsidRPr="00507A31">
        <w:rPr>
          <w:color w:val="000000" w:themeColor="text1"/>
          <w:sz w:val="16"/>
          <w:szCs w:val="16"/>
        </w:rPr>
        <w:t>В  1938  году  директором   завода  становится Семён Иванович Калинин, брат «всесоюзного старосты» Михаила Ивановича Калинина. Особое внимание он уделяет совершенствованию профессиональных и технических кадров. В 1939 году на заводе насчитывалось более 200 изобретателей и рационализаторов, которые внедрили за год 3,5 тысячи рационализаторских предложений. Приобретает массовый характер Стахановское движение. К 1940 году уже 60 % сотрудников завода стали «стахановцами».</w:t>
      </w:r>
    </w:p>
    <w:p w14:paraId="1698C77D" w14:textId="77777777" w:rsidR="00497056" w:rsidRPr="00507A31" w:rsidRDefault="00497056" w:rsidP="00507A31">
      <w:pPr>
        <w:jc w:val="both"/>
        <w:rPr>
          <w:color w:val="000000" w:themeColor="text1"/>
          <w:sz w:val="16"/>
          <w:szCs w:val="16"/>
        </w:rPr>
      </w:pPr>
      <w:r w:rsidRPr="00507A31">
        <w:rPr>
          <w:color w:val="000000" w:themeColor="text1"/>
          <w:sz w:val="16"/>
          <w:szCs w:val="16"/>
        </w:rPr>
        <w:t>Постоянно совершенствуется продукция завода. За  1938 —1939 года был освоен 21 типоразмер новых измерительных инструментов. На заводе впервые в стране была применена технология армирования рабочих поверхностей инструментов. Это позволило увеличить срок их службы в 2—3 раза.</w:t>
      </w:r>
    </w:p>
    <w:p w14:paraId="7E29D53C" w14:textId="77777777" w:rsidR="00497056" w:rsidRPr="00507A31" w:rsidRDefault="00497056" w:rsidP="00507A31">
      <w:pPr>
        <w:jc w:val="both"/>
        <w:rPr>
          <w:color w:val="000000" w:themeColor="text1"/>
          <w:sz w:val="16"/>
          <w:szCs w:val="16"/>
        </w:rPr>
      </w:pPr>
      <w:r w:rsidRPr="00507A31">
        <w:rPr>
          <w:color w:val="000000" w:themeColor="text1"/>
          <w:sz w:val="16"/>
          <w:szCs w:val="16"/>
        </w:rPr>
        <w:t>В 1940 году коллектив завода выступил с обращением ко всем рабочим и служащим инструментальных заводов страны. В нём он призывал другие предприятия последовать примеру «Крина» и ликвидировать второй сорт продукции, давая стране только высококачественный инструмент. Обращение поддержали коллективы заводов «Калибр», «Фрезер» и др. «Красный инструментальщик» становится ведущим предприятием отрасли.</w:t>
      </w:r>
    </w:p>
    <w:p w14:paraId="25E652F0" w14:textId="77777777" w:rsidR="00497056" w:rsidRPr="00507A31" w:rsidRDefault="00497056" w:rsidP="00507A31">
      <w:pPr>
        <w:jc w:val="both"/>
        <w:rPr>
          <w:color w:val="000000" w:themeColor="text1"/>
          <w:sz w:val="16"/>
          <w:szCs w:val="16"/>
        </w:rPr>
      </w:pPr>
      <w:r w:rsidRPr="00507A31">
        <w:rPr>
          <w:color w:val="000000" w:themeColor="text1"/>
          <w:sz w:val="16"/>
          <w:szCs w:val="16"/>
        </w:rPr>
        <w:t>В июне 1941 года начинается Великая Отечественная война. С первых же дней войны на фронт ушло 174 заводчанина. «Крин» получил особый заказ, выполнение которого требовалось строго по графику. Стала очевидна угроза Ленинграду, и Государственный Комитет Обороны принимает решение эвакуировать стратегически важные предприятия из города.</w:t>
      </w:r>
    </w:p>
    <w:p w14:paraId="100889A5" w14:textId="77777777" w:rsidR="00497056" w:rsidRPr="00507A31" w:rsidRDefault="00497056" w:rsidP="00507A31">
      <w:pPr>
        <w:jc w:val="both"/>
        <w:rPr>
          <w:color w:val="000000" w:themeColor="text1"/>
          <w:sz w:val="16"/>
          <w:szCs w:val="16"/>
        </w:rPr>
      </w:pPr>
      <w:r w:rsidRPr="00507A31">
        <w:rPr>
          <w:color w:val="000000" w:themeColor="text1"/>
          <w:sz w:val="16"/>
          <w:szCs w:val="16"/>
        </w:rPr>
        <w:lastRenderedPageBreak/>
        <w:t>«Красному инструментальщику» было предписано вывезти оборудование и всё необходимое для производства в Киров. Первый эшелон был отправлен 19 июля 1941 года. Второй — в конце июля, и третий — в середине августа. Было вывезено 330 станков из 430, оборудование сопровождали 259 криновцев (15 % всего кадрового состава). Так же были привезены штампы, приспособления, оптико-механические приборы, незавершённые детали, техническая документация. Общее руководство эвакуацией осуществлял Алексей Исаакович Гречухин.</w:t>
      </w:r>
    </w:p>
    <w:p w14:paraId="32954B38" w14:textId="77777777" w:rsidR="00497056" w:rsidRPr="00507A31" w:rsidRDefault="00497056" w:rsidP="00507A31">
      <w:pPr>
        <w:jc w:val="both"/>
        <w:rPr>
          <w:color w:val="000000" w:themeColor="text1"/>
          <w:sz w:val="16"/>
          <w:szCs w:val="16"/>
        </w:rPr>
      </w:pPr>
      <w:r w:rsidRPr="00507A31">
        <w:rPr>
          <w:color w:val="000000" w:themeColor="text1"/>
          <w:sz w:val="16"/>
          <w:szCs w:val="16"/>
        </w:rPr>
        <w:t>Для размещения «Крина» были выделены производственные мощности ликёроводочного завода. Его тяжелое оборудование в короткие сроки демонтировали и убрали. В общей сложности получилось освободить под производство 6711 м² (35 % от того, что было в Ленинграде). Площади бывшего ликёроводочного завода не были предназначены для станочного парка. Изначально здесь были построены винные склады ещё до революции, из-за этого приходилось решать много технических задач при размещении.</w:t>
      </w:r>
    </w:p>
    <w:p w14:paraId="247379BD" w14:textId="77777777" w:rsidR="00497056" w:rsidRPr="00507A31" w:rsidRDefault="00497056" w:rsidP="00507A31">
      <w:pPr>
        <w:jc w:val="both"/>
        <w:rPr>
          <w:color w:val="000000" w:themeColor="text1"/>
          <w:sz w:val="16"/>
          <w:szCs w:val="16"/>
        </w:rPr>
      </w:pPr>
      <w:r w:rsidRPr="00507A31">
        <w:rPr>
          <w:color w:val="000000" w:themeColor="text1"/>
          <w:sz w:val="16"/>
          <w:szCs w:val="16"/>
        </w:rPr>
        <w:t>С сентября завод начал давать первую продукцию после эвакуации (17457).</w:t>
      </w:r>
    </w:p>
    <w:p w14:paraId="7D120BB1" w14:textId="77777777" w:rsidR="00497056" w:rsidRPr="00507A31" w:rsidRDefault="00497056" w:rsidP="00507A31">
      <w:pPr>
        <w:autoSpaceDE w:val="0"/>
        <w:autoSpaceDN w:val="0"/>
        <w:adjustRightInd w:val="0"/>
        <w:jc w:val="both"/>
        <w:rPr>
          <w:color w:val="000000" w:themeColor="text1"/>
          <w:sz w:val="16"/>
          <w:szCs w:val="16"/>
        </w:rPr>
      </w:pPr>
    </w:p>
    <w:p w14:paraId="54D1DF42" w14:textId="77777777" w:rsidR="0078231D" w:rsidRPr="00507A31" w:rsidRDefault="0078231D"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26ED98C" w14:textId="77777777" w:rsidR="0078231D" w:rsidRPr="00507A31" w:rsidRDefault="0078231D" w:rsidP="00507A31">
      <w:pPr>
        <w:autoSpaceDE w:val="0"/>
        <w:autoSpaceDN w:val="0"/>
        <w:adjustRightInd w:val="0"/>
        <w:jc w:val="both"/>
        <w:rPr>
          <w:iCs/>
          <w:color w:val="000000" w:themeColor="text1"/>
          <w:sz w:val="16"/>
          <w:szCs w:val="16"/>
        </w:rPr>
      </w:pPr>
    </w:p>
    <w:p w14:paraId="0F18A0FC" w14:textId="77777777" w:rsidR="0078231D" w:rsidRPr="00507A31" w:rsidRDefault="0078231D" w:rsidP="00507A31">
      <w:pPr>
        <w:jc w:val="both"/>
        <w:rPr>
          <w:color w:val="0070C0"/>
          <w:sz w:val="16"/>
          <w:szCs w:val="16"/>
          <w:lang w:bidi="ru-RU"/>
        </w:rPr>
      </w:pPr>
      <w:r w:rsidRPr="00507A31">
        <w:rPr>
          <w:color w:val="0070C0"/>
          <w:sz w:val="16"/>
          <w:szCs w:val="16"/>
          <w:lang w:bidi="ru-RU"/>
        </w:rPr>
        <w:t>13 апреля 1930 г. Авиатрест был упразднен, и вместо него со</w:t>
      </w:r>
      <w:r w:rsidRPr="00507A31">
        <w:rPr>
          <w:color w:val="0070C0"/>
          <w:sz w:val="16"/>
          <w:szCs w:val="16"/>
          <w:lang w:bidi="ru-RU"/>
        </w:rPr>
        <w:softHyphen/>
        <w:t>здано ВАО (Всесоюзное авиационное объединение), под</w:t>
      </w:r>
      <w:r w:rsidRPr="00507A31">
        <w:rPr>
          <w:color w:val="0070C0"/>
          <w:sz w:val="16"/>
          <w:szCs w:val="16"/>
          <w:lang w:bidi="ru-RU"/>
        </w:rPr>
        <w:softHyphen/>
        <w:t>чиненное Главному управлению металлопромышленности ВСНХ СССР (20325).</w:t>
      </w:r>
    </w:p>
    <w:p w14:paraId="3EE4900E" w14:textId="77777777" w:rsidR="0078231D" w:rsidRPr="00507A31" w:rsidRDefault="0078231D" w:rsidP="00507A31">
      <w:pPr>
        <w:jc w:val="both"/>
        <w:rPr>
          <w:color w:val="0070C0"/>
          <w:sz w:val="16"/>
          <w:szCs w:val="16"/>
        </w:rPr>
      </w:pPr>
    </w:p>
    <w:p w14:paraId="385782CE" w14:textId="77777777" w:rsidR="0033008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041FC45" w14:textId="77777777" w:rsidR="00330082" w:rsidRPr="00507A31" w:rsidRDefault="00330082" w:rsidP="00507A31">
      <w:pPr>
        <w:autoSpaceDE w:val="0"/>
        <w:autoSpaceDN w:val="0"/>
        <w:adjustRightInd w:val="0"/>
        <w:jc w:val="both"/>
        <w:rPr>
          <w:iCs/>
          <w:color w:val="000000" w:themeColor="text1"/>
          <w:sz w:val="16"/>
          <w:szCs w:val="16"/>
        </w:rPr>
      </w:pPr>
    </w:p>
    <w:p w14:paraId="4E7797F7" w14:textId="77777777" w:rsidR="00330082" w:rsidRPr="00507A31" w:rsidRDefault="00330082" w:rsidP="00507A31">
      <w:pPr>
        <w:jc w:val="both"/>
        <w:rPr>
          <w:color w:val="000000" w:themeColor="text1"/>
          <w:sz w:val="16"/>
          <w:szCs w:val="16"/>
        </w:rPr>
      </w:pPr>
      <w:r w:rsidRPr="00507A31">
        <w:rPr>
          <w:color w:val="000000" w:themeColor="text1"/>
          <w:sz w:val="16"/>
          <w:szCs w:val="16"/>
        </w:rPr>
        <w:t>13 апреля 1930 года Сталинское письмо было оглашено Ворошиловым на заседании РВС СССР:</w:t>
      </w:r>
    </w:p>
    <w:p w14:paraId="5D0DC1B6" w14:textId="77777777" w:rsidR="00330082" w:rsidRPr="00507A31" w:rsidRDefault="00330082" w:rsidP="00507A31">
      <w:pPr>
        <w:jc w:val="both"/>
        <w:rPr>
          <w:color w:val="000000" w:themeColor="text1"/>
          <w:sz w:val="16"/>
          <w:szCs w:val="16"/>
        </w:rPr>
      </w:pPr>
      <w:r w:rsidRPr="00507A31">
        <w:rPr>
          <w:color w:val="000000" w:themeColor="text1"/>
          <w:sz w:val="16"/>
          <w:szCs w:val="16"/>
        </w:rPr>
        <w:t xml:space="preserve">23 марта 1930 года было письмо И.В.С. К.Е. Ворошилову </w:t>
      </w:r>
    </w:p>
    <w:p w14:paraId="73CD3AEE" w14:textId="77777777" w:rsidR="00330082" w:rsidRPr="00507A31" w:rsidRDefault="00330082" w:rsidP="00507A31">
      <w:pPr>
        <w:autoSpaceDE w:val="0"/>
        <w:autoSpaceDN w:val="0"/>
        <w:adjustRightInd w:val="0"/>
        <w:jc w:val="both"/>
        <w:rPr>
          <w:color w:val="000000" w:themeColor="text1"/>
          <w:sz w:val="16"/>
          <w:szCs w:val="16"/>
        </w:rPr>
      </w:pPr>
      <w:r w:rsidRPr="00507A31">
        <w:rPr>
          <w:color w:val="000000" w:themeColor="text1"/>
          <w:sz w:val="16"/>
          <w:szCs w:val="16"/>
        </w:rPr>
        <w:t>Сов. секретно.</w:t>
      </w:r>
    </w:p>
    <w:p w14:paraId="235AB82B" w14:textId="77777777" w:rsidR="00330082" w:rsidRPr="00507A31" w:rsidRDefault="00330082" w:rsidP="00507A31">
      <w:pPr>
        <w:autoSpaceDE w:val="0"/>
        <w:autoSpaceDN w:val="0"/>
        <w:adjustRightInd w:val="0"/>
        <w:jc w:val="both"/>
        <w:rPr>
          <w:color w:val="000000" w:themeColor="text1"/>
          <w:sz w:val="16"/>
          <w:szCs w:val="16"/>
        </w:rPr>
      </w:pPr>
      <w:r w:rsidRPr="00507A31">
        <w:rPr>
          <w:color w:val="000000" w:themeColor="text1"/>
          <w:sz w:val="16"/>
          <w:szCs w:val="16"/>
        </w:rPr>
        <w:t>Тов. Ворошилову.</w:t>
      </w:r>
    </w:p>
    <w:p w14:paraId="6A581F43" w14:textId="77777777" w:rsidR="00330082" w:rsidRPr="00507A31" w:rsidRDefault="00330082"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Получил оба документа, и объяснительную записку т. Тухачевского, и “соображения” Штаба. Ты знаешь, что я очень уважаю т. Тухачевского, как необычайно способного товарища. Но я не ожидал, что </w:t>
      </w:r>
      <w:r w:rsidRPr="00507A31">
        <w:rPr>
          <w:iCs/>
          <w:color w:val="000000" w:themeColor="text1"/>
          <w:sz w:val="16"/>
          <w:szCs w:val="16"/>
        </w:rPr>
        <w:t>марксист</w:t>
      </w:r>
      <w:r w:rsidRPr="00507A31">
        <w:rPr>
          <w:color w:val="000000" w:themeColor="text1"/>
          <w:sz w:val="16"/>
          <w:szCs w:val="16"/>
        </w:rPr>
        <w:t xml:space="preserve">, который не должен отрываться от почвы, может отстаивать такой, оторванный от почвы </w:t>
      </w:r>
      <w:r w:rsidRPr="00507A31">
        <w:rPr>
          <w:iCs/>
          <w:color w:val="000000" w:themeColor="text1"/>
          <w:sz w:val="16"/>
          <w:szCs w:val="16"/>
        </w:rPr>
        <w:t>фантастический</w:t>
      </w:r>
      <w:r w:rsidRPr="00507A31">
        <w:rPr>
          <w:color w:val="000000" w:themeColor="text1"/>
          <w:sz w:val="16"/>
          <w:szCs w:val="16"/>
        </w:rPr>
        <w:t xml:space="preserve"> “план”. В его “плане” нет главного, т. е. нет учета </w:t>
      </w:r>
      <w:r w:rsidRPr="00507A31">
        <w:rPr>
          <w:iCs/>
          <w:color w:val="000000" w:themeColor="text1"/>
          <w:sz w:val="16"/>
          <w:szCs w:val="16"/>
        </w:rPr>
        <w:t>реальных</w:t>
      </w:r>
      <w:r w:rsidRPr="00507A31">
        <w:rPr>
          <w:color w:val="000000" w:themeColor="text1"/>
          <w:sz w:val="16"/>
          <w:szCs w:val="16"/>
        </w:rPr>
        <w:t xml:space="preserve"> возможностей </w:t>
      </w:r>
      <w:r w:rsidRPr="00507A31">
        <w:rPr>
          <w:iCs/>
          <w:color w:val="000000" w:themeColor="text1"/>
          <w:sz w:val="16"/>
          <w:szCs w:val="16"/>
        </w:rPr>
        <w:t>хозяйственного, финансового, культурного</w:t>
      </w:r>
      <w:r w:rsidRPr="00507A31">
        <w:rPr>
          <w:color w:val="000000" w:themeColor="text1"/>
          <w:sz w:val="16"/>
          <w:szCs w:val="16"/>
        </w:rPr>
        <w:t xml:space="preserve"> порядка. Этот “план” нарушает в корне всякую мыслимую и допустимую пропорцию между армией, как частью страны, и страной, как целым, с ее лимитами хозяйственного и культурного порядка. “План”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w:t>
      </w:r>
    </w:p>
    <w:p w14:paraId="51B43EC8" w14:textId="77777777" w:rsidR="00330082" w:rsidRPr="00507A31" w:rsidRDefault="00330082" w:rsidP="00507A31">
      <w:pPr>
        <w:autoSpaceDE w:val="0"/>
        <w:autoSpaceDN w:val="0"/>
        <w:adjustRightInd w:val="0"/>
        <w:jc w:val="both"/>
        <w:rPr>
          <w:color w:val="000000" w:themeColor="text1"/>
          <w:sz w:val="16"/>
          <w:szCs w:val="16"/>
        </w:rPr>
      </w:pPr>
      <w:r w:rsidRPr="00507A31">
        <w:rPr>
          <w:color w:val="000000" w:themeColor="text1"/>
          <w:sz w:val="16"/>
          <w:szCs w:val="16"/>
        </w:rPr>
        <w:t>Как мог возникнуть такой “план” в голове марксиста, прошедшего школу гражданской войны?</w:t>
      </w:r>
    </w:p>
    <w:p w14:paraId="0AD958A6" w14:textId="77777777" w:rsidR="00330082" w:rsidRPr="00507A31" w:rsidRDefault="00330082" w:rsidP="00507A31">
      <w:pPr>
        <w:autoSpaceDE w:val="0"/>
        <w:autoSpaceDN w:val="0"/>
        <w:adjustRightInd w:val="0"/>
        <w:jc w:val="both"/>
        <w:rPr>
          <w:color w:val="000000" w:themeColor="text1"/>
          <w:sz w:val="16"/>
          <w:szCs w:val="16"/>
        </w:rPr>
      </w:pPr>
      <w:r w:rsidRPr="00507A31">
        <w:rPr>
          <w:color w:val="000000" w:themeColor="text1"/>
          <w:sz w:val="16"/>
          <w:szCs w:val="16"/>
        </w:rPr>
        <w:t>Я думаю, что “план” 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 — фантастикой.</w:t>
      </w:r>
    </w:p>
    <w:p w14:paraId="4F2A918D" w14:textId="77777777" w:rsidR="00330082" w:rsidRPr="00507A31" w:rsidRDefault="00330082" w:rsidP="00507A31">
      <w:pPr>
        <w:autoSpaceDE w:val="0"/>
        <w:autoSpaceDN w:val="0"/>
        <w:adjustRightInd w:val="0"/>
        <w:jc w:val="both"/>
        <w:rPr>
          <w:color w:val="000000" w:themeColor="text1"/>
          <w:sz w:val="16"/>
          <w:szCs w:val="16"/>
        </w:rPr>
      </w:pPr>
      <w:r w:rsidRPr="00507A31">
        <w:rPr>
          <w:color w:val="000000" w:themeColor="text1"/>
          <w:sz w:val="16"/>
          <w:szCs w:val="16"/>
        </w:rPr>
        <w:t>“Осуществить” такой “план” — значит наверняка загубить и хозяйство страны и армию. Это было бы хуже всякой контрреволюции.</w:t>
      </w:r>
    </w:p>
    <w:p w14:paraId="2F1E9F5F" w14:textId="77777777" w:rsidR="00330082" w:rsidRPr="00507A31" w:rsidRDefault="00330082" w:rsidP="00507A31">
      <w:pPr>
        <w:autoSpaceDE w:val="0"/>
        <w:autoSpaceDN w:val="0"/>
        <w:adjustRightInd w:val="0"/>
        <w:jc w:val="both"/>
        <w:rPr>
          <w:color w:val="000000" w:themeColor="text1"/>
          <w:sz w:val="16"/>
          <w:szCs w:val="16"/>
        </w:rPr>
      </w:pPr>
      <w:r w:rsidRPr="00507A31">
        <w:rPr>
          <w:color w:val="000000" w:themeColor="text1"/>
          <w:sz w:val="16"/>
          <w:szCs w:val="16"/>
        </w:rPr>
        <w:t>Отрадно, что Штаб РККА, при всей опасности искушения, ясно и определенно отмежевался от “плана” т. Тухачевского.</w:t>
      </w:r>
    </w:p>
    <w:p w14:paraId="44D4CE7C" w14:textId="77777777" w:rsidR="00330082" w:rsidRPr="00507A31" w:rsidRDefault="00330082" w:rsidP="00507A31">
      <w:pPr>
        <w:autoSpaceDE w:val="0"/>
        <w:autoSpaceDN w:val="0"/>
        <w:adjustRightInd w:val="0"/>
        <w:jc w:val="both"/>
        <w:rPr>
          <w:color w:val="000000" w:themeColor="text1"/>
          <w:sz w:val="16"/>
          <w:szCs w:val="16"/>
        </w:rPr>
      </w:pPr>
      <w:r w:rsidRPr="00507A31">
        <w:rPr>
          <w:color w:val="000000" w:themeColor="text1"/>
          <w:sz w:val="16"/>
          <w:szCs w:val="16"/>
        </w:rPr>
        <w:t>23 марта 1930 г.</w:t>
      </w:r>
    </w:p>
    <w:p w14:paraId="3302561F" w14:textId="77777777" w:rsidR="00330082" w:rsidRPr="00507A31" w:rsidRDefault="00330082" w:rsidP="00507A31">
      <w:pPr>
        <w:autoSpaceDE w:val="0"/>
        <w:autoSpaceDN w:val="0"/>
        <w:adjustRightInd w:val="0"/>
        <w:jc w:val="both"/>
        <w:rPr>
          <w:color w:val="000000" w:themeColor="text1"/>
          <w:sz w:val="16"/>
          <w:szCs w:val="16"/>
        </w:rPr>
      </w:pPr>
      <w:r w:rsidRPr="00507A31">
        <w:rPr>
          <w:color w:val="000000" w:themeColor="text1"/>
          <w:sz w:val="16"/>
          <w:szCs w:val="16"/>
        </w:rPr>
        <w:t xml:space="preserve">Твой </w:t>
      </w:r>
      <w:r w:rsidRPr="00507A31">
        <w:rPr>
          <w:iCs/>
          <w:color w:val="000000" w:themeColor="text1"/>
          <w:sz w:val="16"/>
          <w:szCs w:val="16"/>
        </w:rPr>
        <w:t>И. Сталин</w:t>
      </w:r>
      <w:r w:rsidRPr="00507A31">
        <w:rPr>
          <w:color w:val="000000" w:themeColor="text1"/>
          <w:sz w:val="16"/>
          <w:szCs w:val="16"/>
        </w:rPr>
        <w:t>.</w:t>
      </w:r>
    </w:p>
    <w:p w14:paraId="7BAEAC63" w14:textId="77777777" w:rsidR="00330082" w:rsidRPr="00507A31" w:rsidRDefault="00330082" w:rsidP="00507A31">
      <w:pPr>
        <w:autoSpaceDE w:val="0"/>
        <w:autoSpaceDN w:val="0"/>
        <w:adjustRightInd w:val="0"/>
        <w:jc w:val="both"/>
        <w:rPr>
          <w:color w:val="000000" w:themeColor="text1"/>
          <w:sz w:val="16"/>
          <w:szCs w:val="16"/>
        </w:rPr>
      </w:pPr>
      <w:r w:rsidRPr="00507A31">
        <w:rPr>
          <w:iCs/>
          <w:color w:val="000000" w:themeColor="text1"/>
          <w:sz w:val="16"/>
          <w:szCs w:val="16"/>
        </w:rPr>
        <w:t>Исторический архив. 1998. № 5–6. С. 150–151.</w:t>
      </w:r>
    </w:p>
    <w:p w14:paraId="77185CF4" w14:textId="77777777" w:rsidR="00330082" w:rsidRPr="00507A31" w:rsidRDefault="00330082" w:rsidP="00507A31">
      <w:pPr>
        <w:autoSpaceDE w:val="0"/>
        <w:autoSpaceDN w:val="0"/>
        <w:adjustRightInd w:val="0"/>
        <w:jc w:val="both"/>
        <w:rPr>
          <w:color w:val="000000" w:themeColor="text1"/>
          <w:sz w:val="16"/>
          <w:szCs w:val="16"/>
        </w:rPr>
      </w:pPr>
      <w:r w:rsidRPr="00507A31">
        <w:rPr>
          <w:iCs/>
          <w:color w:val="000000" w:themeColor="text1"/>
          <w:sz w:val="16"/>
          <w:szCs w:val="16"/>
        </w:rPr>
        <w:t>РГАСПИ. Ф. 74. Оп. 2. Д. 38. Л. 58.</w:t>
      </w:r>
    </w:p>
    <w:p w14:paraId="7CB2FABE" w14:textId="77777777" w:rsidR="00330082" w:rsidRPr="00507A31" w:rsidRDefault="00330082"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p w14:paraId="794A3FD5" w14:textId="77777777" w:rsidR="00330082" w:rsidRPr="00507A31" w:rsidRDefault="00330082" w:rsidP="00507A31">
      <w:pPr>
        <w:autoSpaceDE w:val="0"/>
        <w:autoSpaceDN w:val="0"/>
        <w:adjustRightInd w:val="0"/>
        <w:jc w:val="both"/>
        <w:rPr>
          <w:color w:val="000000" w:themeColor="text1"/>
          <w:sz w:val="16"/>
          <w:szCs w:val="16"/>
        </w:rPr>
      </w:pPr>
      <w:r w:rsidRPr="00507A31">
        <w:rPr>
          <w:color w:val="000000" w:themeColor="text1"/>
          <w:sz w:val="16"/>
          <w:szCs w:val="16"/>
        </w:rPr>
        <w:t>11 января 1930 года командующий войсками Ленинградского военного округа М.Н. Тухачевский обратился к наркому по военным и морским делам и начальнику вооружений РККА с запиской, в соответствии с которой в Красной Армии мирного времени предлагалось иметь 260 стрелковых и кавалерийских дивизий, 50 дивизий артиллерийского РГК, не считая тяжелой и минометов, 225 пулеметных батальонов, 40000 самолетов и 50000 танков. По приказанию К.Е. Ворошилова проект Тухачевского был рассмотрен Штабом РККА. В заключении, подготовленном Б.М. Шапошниковым, говорилось, что “экономический рост нашего Союза и наличие отработанного запаса не дают пока, по моему мнению, возможностей реализовать запроектированную армию в 245 стрелковых дивизий” (11867).</w:t>
      </w:r>
    </w:p>
    <w:p w14:paraId="307FD57A" w14:textId="77777777" w:rsidR="00330082" w:rsidRPr="00507A31" w:rsidRDefault="00330082" w:rsidP="00507A31">
      <w:pPr>
        <w:autoSpaceDE w:val="0"/>
        <w:autoSpaceDN w:val="0"/>
        <w:adjustRightInd w:val="0"/>
        <w:jc w:val="both"/>
        <w:rPr>
          <w:color w:val="000000" w:themeColor="text1"/>
          <w:sz w:val="16"/>
          <w:szCs w:val="16"/>
        </w:rPr>
      </w:pPr>
    </w:p>
    <w:p w14:paraId="332D6FFB" w14:textId="77777777" w:rsidR="00330082" w:rsidRPr="00507A31" w:rsidRDefault="00330082" w:rsidP="00507A31">
      <w:pPr>
        <w:jc w:val="both"/>
        <w:rPr>
          <w:color w:val="000000" w:themeColor="text1"/>
          <w:sz w:val="16"/>
          <w:szCs w:val="16"/>
        </w:rPr>
      </w:pPr>
      <w:r w:rsidRPr="00507A31">
        <w:rPr>
          <w:color w:val="000000" w:themeColor="text1"/>
          <w:sz w:val="16"/>
          <w:szCs w:val="16"/>
        </w:rPr>
        <w:t>13 апреля 1930 г. письмо Сталина по поводу предложений Тухачевского было оглашено на расширенном Пленуме РВС СССР</w:t>
      </w:r>
    </w:p>
    <w:p w14:paraId="712DAEAC" w14:textId="77777777" w:rsidR="00330082" w:rsidRPr="00507A31" w:rsidRDefault="00330082" w:rsidP="00507A31">
      <w:pPr>
        <w:jc w:val="both"/>
        <w:rPr>
          <w:color w:val="000000" w:themeColor="text1"/>
          <w:sz w:val="16"/>
          <w:szCs w:val="16"/>
        </w:rPr>
      </w:pPr>
      <w:r w:rsidRPr="00507A31">
        <w:rPr>
          <w:color w:val="000000" w:themeColor="text1"/>
          <w:sz w:val="16"/>
          <w:szCs w:val="16"/>
        </w:rPr>
        <w:t>«Совершенно секретно. Тов. Ворошилову. Получил оба документа, и объяснительную записку Тух-го, и “соображения” Штаба. Ты знаешь, что я очень уважаю т. Тух-го,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т.е.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целым, с ее лимитами хозяйственного и культурного порядка…</w:t>
      </w:r>
    </w:p>
    <w:p w14:paraId="0092E90F" w14:textId="77777777" w:rsidR="00330082" w:rsidRPr="00507A31" w:rsidRDefault="00330082" w:rsidP="00507A31">
      <w:pPr>
        <w:jc w:val="both"/>
        <w:rPr>
          <w:color w:val="000000" w:themeColor="text1"/>
          <w:sz w:val="16"/>
          <w:szCs w:val="16"/>
        </w:rPr>
      </w:pPr>
      <w:r w:rsidRPr="00507A31">
        <w:rPr>
          <w:color w:val="000000" w:themeColor="text1"/>
          <w:sz w:val="16"/>
          <w:szCs w:val="16"/>
        </w:rPr>
        <w:t>Как мог возникнуть такой план в голове марксиста, прошедшего школу гражданской войны?</w:t>
      </w:r>
    </w:p>
    <w:p w14:paraId="1F039F92" w14:textId="77777777" w:rsidR="00330082" w:rsidRPr="00507A31" w:rsidRDefault="00330082" w:rsidP="00507A31">
      <w:pPr>
        <w:jc w:val="both"/>
        <w:rPr>
          <w:color w:val="000000" w:themeColor="text1"/>
          <w:sz w:val="16"/>
          <w:szCs w:val="16"/>
        </w:rPr>
      </w:pPr>
      <w:r w:rsidRPr="00507A31">
        <w:rPr>
          <w:color w:val="000000" w:themeColor="text1"/>
          <w:sz w:val="16"/>
          <w:szCs w:val="16"/>
        </w:rPr>
        <w:t>Я думаю, что “план” т. Тух-го является результатом модного увлечения “левой” фразой, результатом увлечения бумажным, канцелярским максимализмом.</w:t>
      </w:r>
    </w:p>
    <w:p w14:paraId="690D6394" w14:textId="77777777" w:rsidR="00330082" w:rsidRPr="00507A31" w:rsidRDefault="00330082" w:rsidP="00507A31">
      <w:pPr>
        <w:jc w:val="both"/>
        <w:rPr>
          <w:color w:val="000000" w:themeColor="text1"/>
          <w:sz w:val="16"/>
          <w:szCs w:val="16"/>
        </w:rPr>
      </w:pPr>
      <w:r w:rsidRPr="00507A31">
        <w:rPr>
          <w:color w:val="000000" w:themeColor="text1"/>
          <w:sz w:val="16"/>
          <w:szCs w:val="16"/>
        </w:rPr>
        <w:t>“Осуществить” такой “план” — значит, наверняка загубить и хозяйство страны, и армию: это было бы хуже всякой контрреволюции.</w:t>
      </w:r>
    </w:p>
    <w:p w14:paraId="41B20B4E" w14:textId="77777777" w:rsidR="00330082" w:rsidRPr="00507A31" w:rsidRDefault="00330082" w:rsidP="00507A31">
      <w:pPr>
        <w:jc w:val="both"/>
        <w:rPr>
          <w:color w:val="000000" w:themeColor="text1"/>
          <w:sz w:val="16"/>
          <w:szCs w:val="16"/>
        </w:rPr>
      </w:pPr>
      <w:r w:rsidRPr="00507A31">
        <w:rPr>
          <w:color w:val="000000" w:themeColor="text1"/>
          <w:sz w:val="16"/>
          <w:szCs w:val="16"/>
        </w:rPr>
        <w:t>Отрадно, что Штаб РККА, при всей опасности искушения, ясно и определенно отмежевался от “плана” т. Тух-го.</w:t>
      </w:r>
    </w:p>
    <w:p w14:paraId="66688C18" w14:textId="77777777" w:rsidR="00330082" w:rsidRPr="00507A31" w:rsidRDefault="00330082" w:rsidP="00507A31">
      <w:pPr>
        <w:jc w:val="both"/>
        <w:rPr>
          <w:color w:val="000000" w:themeColor="text1"/>
          <w:sz w:val="16"/>
          <w:szCs w:val="16"/>
        </w:rPr>
      </w:pPr>
      <w:r w:rsidRPr="00507A31">
        <w:rPr>
          <w:color w:val="000000" w:themeColor="text1"/>
          <w:sz w:val="16"/>
          <w:szCs w:val="16"/>
        </w:rPr>
        <w:t>23.3.30.</w:t>
      </w:r>
    </w:p>
    <w:p w14:paraId="53D36FFA" w14:textId="77777777" w:rsidR="00330082" w:rsidRPr="00507A31" w:rsidRDefault="00330082" w:rsidP="00507A31">
      <w:pPr>
        <w:jc w:val="both"/>
        <w:rPr>
          <w:color w:val="000000" w:themeColor="text1"/>
          <w:sz w:val="16"/>
          <w:szCs w:val="16"/>
        </w:rPr>
      </w:pPr>
      <w:r w:rsidRPr="00507A31">
        <w:rPr>
          <w:color w:val="000000" w:themeColor="text1"/>
          <w:sz w:val="16"/>
          <w:szCs w:val="16"/>
        </w:rPr>
        <w:t>Твой И. Сталин».</w:t>
      </w:r>
    </w:p>
    <w:p w14:paraId="717B9BF0" w14:textId="77777777" w:rsidR="00330082" w:rsidRPr="00507A31" w:rsidRDefault="00330082" w:rsidP="00507A31">
      <w:pPr>
        <w:jc w:val="both"/>
        <w:rPr>
          <w:color w:val="000000" w:themeColor="text1"/>
          <w:sz w:val="16"/>
          <w:szCs w:val="16"/>
        </w:rPr>
      </w:pPr>
    </w:p>
    <w:p w14:paraId="2E1A496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417E36E7" w14:textId="77777777" w:rsidR="00537E5F" w:rsidRPr="00507A31" w:rsidRDefault="00537E5F" w:rsidP="00507A31">
      <w:pPr>
        <w:autoSpaceDE w:val="0"/>
        <w:autoSpaceDN w:val="0"/>
        <w:adjustRightInd w:val="0"/>
        <w:jc w:val="both"/>
        <w:rPr>
          <w:iCs/>
          <w:color w:val="000000" w:themeColor="text1"/>
          <w:sz w:val="16"/>
          <w:szCs w:val="16"/>
        </w:rPr>
      </w:pPr>
    </w:p>
    <w:p w14:paraId="220D10E4" w14:textId="77777777" w:rsidR="00F42E0E" w:rsidRPr="00507A31" w:rsidRDefault="00F42E0E" w:rsidP="00507A31">
      <w:pPr>
        <w:pStyle w:val="rtejustify"/>
        <w:spacing w:before="0" w:after="0"/>
        <w:rPr>
          <w:color w:val="000000" w:themeColor="text1"/>
          <w:sz w:val="16"/>
          <w:szCs w:val="16"/>
        </w:rPr>
      </w:pPr>
      <w:r w:rsidRPr="00507A31">
        <w:rPr>
          <w:rStyle w:val="af0"/>
          <w:i w:val="0"/>
          <w:color w:val="000000" w:themeColor="text1"/>
          <w:sz w:val="16"/>
          <w:szCs w:val="16"/>
        </w:rPr>
        <w:t>13 апреля 1930 г. Протокол Реввоенсовета № 7.</w:t>
      </w:r>
      <w:r w:rsidRPr="00507A31">
        <w:rPr>
          <w:color w:val="000000" w:themeColor="text1"/>
          <w:sz w:val="16"/>
          <w:szCs w:val="16"/>
        </w:rPr>
        <w:t xml:space="preserve"> 2. Уточненный пятилетний план строительства вооруженных сил РККА. (Шапошников,). (РГВА. Ф. 4. Оп. 18. Д. 19. Л. 115</w:t>
      </w:r>
      <w:r w:rsidRPr="00507A31">
        <w:rPr>
          <w:color w:val="000000" w:themeColor="text1"/>
          <w:sz w:val="16"/>
          <w:szCs w:val="16"/>
        </w:rPr>
        <w:noBreakHyphen/>
        <w:t>116) (12342).</w:t>
      </w:r>
    </w:p>
    <w:p w14:paraId="6A4DAD8D" w14:textId="77777777" w:rsidR="00F42E0E" w:rsidRPr="00507A31" w:rsidRDefault="00F42E0E" w:rsidP="00507A31">
      <w:pPr>
        <w:pStyle w:val="rtejustify"/>
        <w:spacing w:before="0" w:after="0"/>
        <w:rPr>
          <w:color w:val="000000" w:themeColor="text1"/>
          <w:sz w:val="16"/>
          <w:szCs w:val="16"/>
        </w:rPr>
      </w:pPr>
    </w:p>
    <w:p w14:paraId="4107F94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9F3DB35" w14:textId="77777777" w:rsidR="00537E5F" w:rsidRPr="00507A31" w:rsidRDefault="00537E5F" w:rsidP="00507A31">
      <w:pPr>
        <w:autoSpaceDE w:val="0"/>
        <w:autoSpaceDN w:val="0"/>
        <w:adjustRightInd w:val="0"/>
        <w:jc w:val="both"/>
        <w:rPr>
          <w:iCs/>
          <w:color w:val="000000" w:themeColor="text1"/>
          <w:sz w:val="16"/>
          <w:szCs w:val="16"/>
        </w:rPr>
      </w:pPr>
    </w:p>
    <w:p w14:paraId="4B2D71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апреля 1930 закончили самолет Р-5 № 4141, отстав от срока на две недели. На следующий день представили военной приемке машину № 4142, которая ее забраковала. Самолет № 4141 отправили в НИИ ВВС для проведения Госиспытаний. Его укомплектовали тщательнее, чем остальные Р-5 1-й серии, установив электрооборудование, радиостанцию ВОЗ III (14С), все приборы. На турели смонтировали новые пулеметы ДА, а вот ящики оставили под диски "Льюиса". Погода становилась все теплее, и летчики НИИ ВВС все чаще сталкивались с перегревом воды - даже при полностью выпущенном радиаторе она слишком быстро испарялась. Пришлось вернуться к шестигранным трубкам.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увеличения веса (11936).</w:t>
      </w:r>
    </w:p>
    <w:p w14:paraId="295894B0" w14:textId="77777777" w:rsidR="00537E5F" w:rsidRPr="00507A31" w:rsidRDefault="00537E5F" w:rsidP="00507A31">
      <w:pPr>
        <w:autoSpaceDE w:val="0"/>
        <w:autoSpaceDN w:val="0"/>
        <w:adjustRightInd w:val="0"/>
        <w:jc w:val="both"/>
        <w:rPr>
          <w:color w:val="000000" w:themeColor="text1"/>
          <w:sz w:val="16"/>
          <w:szCs w:val="16"/>
        </w:rPr>
      </w:pPr>
    </w:p>
    <w:p w14:paraId="464CFE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апреля 1930 (отстав от срока на две недели) на заводе № 1 первым закончили самолет Р-5 № 4141. На следующий день № 4142 представили военной приемке, которая его забраковала. Машину № 4141. объявленную головной, отправили в НИИ ВВС для проведения государственных испытаний. Этот самолет укомплектовали более тщательно, чем остальные машины серии. На нем стояли электрооборудование, аккумулятор, радиостанция ВОЗ III (14С), все приборы. Интересно, что на задней турели смонтировали новые пулеметы ДА, а вот ящики сделали под диски "Дыоиса" - другого размера.</w:t>
      </w:r>
    </w:p>
    <w:p w14:paraId="12BEEC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ВНИИ ВВС летали на Р-5 днем и ночью, с бомбами и без них. По мере потепления погоды летчики все чаще сталкивались с перегревом воды. Даже при полностью выпущенном радиаторе она слишком быстро испарялась. Пришлось вернуться к конструкции с шестигранными трубками.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роста веса (12034).</w:t>
      </w:r>
    </w:p>
    <w:p w14:paraId="417CCA93" w14:textId="77777777" w:rsidR="00537E5F" w:rsidRPr="00507A31" w:rsidRDefault="00537E5F" w:rsidP="00507A31">
      <w:pPr>
        <w:autoSpaceDE w:val="0"/>
        <w:autoSpaceDN w:val="0"/>
        <w:adjustRightInd w:val="0"/>
        <w:jc w:val="both"/>
        <w:rPr>
          <w:color w:val="000000" w:themeColor="text1"/>
          <w:sz w:val="16"/>
          <w:szCs w:val="16"/>
        </w:rPr>
      </w:pPr>
    </w:p>
    <w:p w14:paraId="0B7C9F57" w14:textId="77777777" w:rsidR="001E1353" w:rsidRPr="00507A31" w:rsidRDefault="001E1353" w:rsidP="00507A31">
      <w:pPr>
        <w:jc w:val="both"/>
        <w:rPr>
          <w:color w:val="0070C0"/>
          <w:sz w:val="16"/>
          <w:szCs w:val="16"/>
        </w:rPr>
      </w:pPr>
      <w:r w:rsidRPr="00507A31">
        <w:rPr>
          <w:color w:val="0070C0"/>
          <w:sz w:val="16"/>
          <w:szCs w:val="16"/>
        </w:rPr>
        <w:t>14 апреля 1930 года на первой парашютной фабрике изготовлены первые опытные образцы советского спасательного парашюта НИИ-1. К концу 1931 г. на фабрике изготовлено более 5 тыс. парашютов, в т. ч. 70 специальных десантных ПД-1. В 1932 г. изготовлено 12 035 комплектов, что позволило стране прекратить импорт парашютов (21167).</w:t>
      </w:r>
    </w:p>
    <w:p w14:paraId="46F985ED" w14:textId="77777777" w:rsidR="001E1353" w:rsidRPr="00507A31" w:rsidRDefault="001E1353" w:rsidP="00507A31">
      <w:pPr>
        <w:jc w:val="both"/>
        <w:rPr>
          <w:color w:val="0070C0"/>
          <w:sz w:val="16"/>
          <w:szCs w:val="16"/>
        </w:rPr>
      </w:pPr>
    </w:p>
    <w:p w14:paraId="6B74398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4CEC401" w14:textId="77777777" w:rsidR="00537E5F" w:rsidRPr="00507A31" w:rsidRDefault="00537E5F" w:rsidP="00507A31">
      <w:pPr>
        <w:autoSpaceDE w:val="0"/>
        <w:autoSpaceDN w:val="0"/>
        <w:adjustRightInd w:val="0"/>
        <w:jc w:val="both"/>
        <w:rPr>
          <w:iCs/>
          <w:color w:val="000000" w:themeColor="text1"/>
          <w:sz w:val="16"/>
          <w:szCs w:val="16"/>
        </w:rPr>
      </w:pPr>
    </w:p>
    <w:p w14:paraId="6B4258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апреля 1930 застрелился В.В.Маяковский (1348,269).</w:t>
      </w:r>
    </w:p>
    <w:p w14:paraId="6B544173" w14:textId="77777777" w:rsidR="00537E5F" w:rsidRPr="00507A31" w:rsidRDefault="00537E5F" w:rsidP="00507A31">
      <w:pPr>
        <w:autoSpaceDE w:val="0"/>
        <w:autoSpaceDN w:val="0"/>
        <w:adjustRightInd w:val="0"/>
        <w:jc w:val="both"/>
        <w:rPr>
          <w:color w:val="000000" w:themeColor="text1"/>
          <w:sz w:val="16"/>
          <w:szCs w:val="16"/>
        </w:rPr>
      </w:pPr>
    </w:p>
    <w:p w14:paraId="1A5FC88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14 апреля 1930 после отказа в получении зарубежной визы в Москве застрелился русский поэт Владимир Маяковский (есть версия, что он был убит) (4962).</w:t>
      </w:r>
    </w:p>
    <w:p w14:paraId="679B836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40C18DF" w14:textId="77777777" w:rsidR="00727692" w:rsidRPr="00507A31" w:rsidRDefault="00727692" w:rsidP="00507A31">
      <w:pPr>
        <w:jc w:val="both"/>
        <w:rPr>
          <w:color w:val="000000" w:themeColor="text1"/>
          <w:sz w:val="16"/>
          <w:szCs w:val="16"/>
        </w:rPr>
      </w:pPr>
      <w:r w:rsidRPr="00507A31">
        <w:rPr>
          <w:color w:val="000000" w:themeColor="text1"/>
          <w:sz w:val="16"/>
          <w:szCs w:val="16"/>
        </w:rPr>
        <w:t>14 апреля в 1930 году в пасхальное воскресенье, застрелился Владимир Владимирович Маяковский, который в феврале вступил в Ассоциацию пролетарских писателей. Владимир Владимирович, как никто другой, умел выражаться красивыми рубленными фразами становившимися афоризмами. Достаточно вспомнить: «Моя милиция меня бережет». А про смерть его очень красиво сказала Марина Цветаева: "Двенадцать лет подряд человек Маяковский убивал в себе Маяковского поэта, на тринадцатый - поэт встал и человека убил". В предсмертной записке Маяковского сказано: "Любовная лодка разбилась о быт". Говорили, что он заразился сифилисом (15099).</w:t>
      </w:r>
    </w:p>
    <w:p w14:paraId="6F230DC8" w14:textId="77777777" w:rsidR="00727692" w:rsidRPr="00507A31" w:rsidRDefault="00727692" w:rsidP="00507A31">
      <w:pPr>
        <w:jc w:val="both"/>
        <w:rPr>
          <w:color w:val="000000" w:themeColor="text1"/>
          <w:sz w:val="16"/>
          <w:szCs w:val="16"/>
        </w:rPr>
      </w:pPr>
    </w:p>
    <w:p w14:paraId="2ED4ABA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FC98154" w14:textId="77777777" w:rsidR="00537E5F" w:rsidRPr="00507A31" w:rsidRDefault="00537E5F" w:rsidP="00507A31">
      <w:pPr>
        <w:autoSpaceDE w:val="0"/>
        <w:autoSpaceDN w:val="0"/>
        <w:adjustRightInd w:val="0"/>
        <w:jc w:val="both"/>
        <w:rPr>
          <w:iCs/>
          <w:color w:val="000000" w:themeColor="text1"/>
          <w:sz w:val="16"/>
          <w:szCs w:val="16"/>
        </w:rPr>
      </w:pPr>
    </w:p>
    <w:p w14:paraId="607349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апреля 1930 г. Авиатрест, который в 1927 г. подчинили Военно-промышленному управлению ВСНХ, вообще упразднили, создав вместо него Всесоюзное авиа</w:t>
      </w:r>
      <w:r w:rsidRPr="00507A31">
        <w:rPr>
          <w:color w:val="000000" w:themeColor="text1"/>
          <w:sz w:val="16"/>
          <w:szCs w:val="16"/>
        </w:rPr>
        <w:softHyphen/>
        <w:t>ционное объединение (ВАО). Во главе ВАО встал уже упоминавшийся Урыва</w:t>
      </w:r>
      <w:r w:rsidRPr="00507A31">
        <w:rPr>
          <w:color w:val="000000" w:themeColor="text1"/>
          <w:sz w:val="16"/>
          <w:szCs w:val="16"/>
        </w:rPr>
        <w:softHyphen/>
        <w:t>ев, позднее его сменил П.И. Баранов. Объединением первое время руководило Главное управление металлопромышленности ВСНХ. Но уже 28 июля 1930 г. появилось постановление о передаче ВАО в ведение Наркомата по военным и морским делам (НКВМ). Хотя военные являлись основным заказчиком ВАО, ничего хорошего из подчинения авиазаводов НКВМ не вышло. 7 февраля 1931 г. объединение вернули в систему ВСНХ (11852).</w:t>
      </w:r>
    </w:p>
    <w:p w14:paraId="41DE94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2E333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 Авиатрест был упразднен и на его месте было создано Всесоюзное авиационное объединение (ВАО), также подчиненное ГУ металлопромышленности ВСНХ (80,414).</w:t>
      </w:r>
    </w:p>
    <w:p w14:paraId="31427C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это произошло еще в марте 1930</w:t>
      </w:r>
    </w:p>
    <w:p w14:paraId="5EACD9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третьим данным - 16 апреля 1930 (228,80).</w:t>
      </w:r>
    </w:p>
    <w:p w14:paraId="283097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Есть данные, что 15 апреля 1930 на основании приказа ВСНХ N 1225 ввиду утверждения устава ВАО было расформировано временное правление Авиатреста (1647,4).</w:t>
      </w:r>
    </w:p>
    <w:p w14:paraId="6B3DBE90" w14:textId="77777777" w:rsidR="00537E5F" w:rsidRPr="00507A31" w:rsidRDefault="00537E5F" w:rsidP="00507A31">
      <w:pPr>
        <w:autoSpaceDE w:val="0"/>
        <w:autoSpaceDN w:val="0"/>
        <w:adjustRightInd w:val="0"/>
        <w:jc w:val="both"/>
        <w:rPr>
          <w:color w:val="000000" w:themeColor="text1"/>
          <w:sz w:val="16"/>
          <w:szCs w:val="16"/>
        </w:rPr>
      </w:pPr>
    </w:p>
    <w:p w14:paraId="3AC481A4" w14:textId="77777777" w:rsidR="0004301F" w:rsidRPr="00507A31" w:rsidRDefault="0004301F" w:rsidP="00507A31">
      <w:pPr>
        <w:jc w:val="both"/>
        <w:rPr>
          <w:color w:val="000000" w:themeColor="text1"/>
          <w:sz w:val="16"/>
          <w:szCs w:val="16"/>
        </w:rPr>
      </w:pPr>
      <w:r w:rsidRPr="00507A31">
        <w:rPr>
          <w:color w:val="000000" w:themeColor="text1"/>
          <w:sz w:val="16"/>
          <w:szCs w:val="16"/>
        </w:rPr>
        <w:t>15 апреля 1930 г. на месте упраздненного Авиатреста образовалось ВАО. 28 июля того же года ВАО из ВСНХ было передано в ведомство Наркомвоенмора. П.И. Баранов стал курировать авиапромышленность (ВАО) и продолжал руководить ВВС РККА. На самом деле военно-авиационные дела почти полностью взял на себя энергичный и самостоятельный Я.И. Алкснис, который в ноябре 1929 г. стал военным летчиком, что, безусловно, подняло его авторитет среди авиаторов220 (приложение «Ц»). Однако проведенная реорганизация не увеличила эффективность работы ВАО, и поэтому 7 февраля 1931 г. ВАО было возвращено в ВСНХ, а 28 декабря 1931 г. вместо него было образовано Главное управление авиационной промышленности (Глававиапром или ГУАП). Освободившийся окончательно от всех дел в ВВС П.И. Баранов 28 июня 1931 г. был назначен Начальником ВАО (с декабря – ГУАП). Он сумел организовать подъем авиационной промышленности на более высокий уровень, которая в основном справилась с заданиями первой пятилетки, дав ВВС РККА новые самолеты в запланированном количестве (19566).</w:t>
      </w:r>
    </w:p>
    <w:p w14:paraId="1FAE36A3" w14:textId="77777777" w:rsidR="0004301F" w:rsidRPr="00507A31" w:rsidRDefault="0004301F" w:rsidP="00507A31">
      <w:pPr>
        <w:jc w:val="both"/>
        <w:rPr>
          <w:color w:val="000000" w:themeColor="text1"/>
          <w:sz w:val="16"/>
          <w:szCs w:val="16"/>
        </w:rPr>
      </w:pPr>
    </w:p>
    <w:p w14:paraId="7972DE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 года начальник ВАО Михайлов писал письмо № 1с/6346 в секретариат СТО</w:t>
      </w:r>
    </w:p>
    <w:p w14:paraId="46D5C6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Препровождаю при сем докладную записку о пятилетнем плане опытного строительства авиапромышленности.</w:t>
      </w:r>
    </w:p>
    <w:p w14:paraId="123692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Приложение: упомянутое (3625,24).</w:t>
      </w:r>
    </w:p>
    <w:p w14:paraId="5294E3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Докладная записка о пятилетнем плане опытного строительства по авиационной промышленности</w:t>
      </w:r>
    </w:p>
    <w:p w14:paraId="34E8D8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Всесоюзное авиационное объединение информировано о представлении РВС на утверждение СТО пятилетнего плана опытного строительства воздушного флота с указанием о согласованности с промышленностью летно-тактических и технических требований плана и отсутствии согласования по срокам окончания постройки опытных образцов и предъявлению их на государственные испытания..</w:t>
      </w:r>
    </w:p>
    <w:p w14:paraId="63CC64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данному вопросу Всесоюзное авиационное объединение считает необходимым представить на усмотрение СТО следующие соображения:</w:t>
      </w:r>
    </w:p>
    <w:p w14:paraId="3329D0D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 плану опытного моторостроения.</w:t>
      </w:r>
    </w:p>
    <w:p w14:paraId="663E21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опытного моторостроения НКВМ был согласован представителями с ВСНХ и РВС на совещании 6 февраля 1930 года как в части основных технических данных опытных образцов, так и в части сроков, которые ВСНХ принял в качестве необходимых и подлежащих выполнению во что бы то ни стало.</w:t>
      </w:r>
    </w:p>
    <w:p w14:paraId="78AB15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Несмотря на это обстоятельство, РВС вошел в СТО с ходатайством об утверждении нового пятилетнего плана, сроки которого передвинуто настолько, что фактически сводят выполнение плана в девять месяцев. Этот план ВАО не может считать согласованным даже и в части основных технических данных, так как эти данные находятся в прямой зависимости от сроков выполнения плана.</w:t>
      </w:r>
    </w:p>
    <w:p w14:paraId="566745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Следующая табличка дает сравнение прежнего согласованного с промышленностью плана и плана, выдвигаемого РВС: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622"/>
        <w:gridCol w:w="1497"/>
        <w:gridCol w:w="6522"/>
      </w:tblGrid>
      <w:tr w:rsidR="00E371BA" w:rsidRPr="00507A31" w14:paraId="21DF3895" w14:textId="77777777">
        <w:tc>
          <w:tcPr>
            <w:tcW w:w="1951" w:type="dxa"/>
          </w:tcPr>
          <w:p w14:paraId="52CFE001" w14:textId="77777777" w:rsidR="00537E5F" w:rsidRPr="00507A31" w:rsidRDefault="00537E5F" w:rsidP="00507A31">
            <w:pPr>
              <w:autoSpaceDE w:val="0"/>
              <w:autoSpaceDN w:val="0"/>
              <w:adjustRightInd w:val="0"/>
              <w:jc w:val="both"/>
              <w:rPr>
                <w:color w:val="000000" w:themeColor="text1"/>
                <w:sz w:val="16"/>
                <w:szCs w:val="16"/>
              </w:rPr>
            </w:pPr>
          </w:p>
        </w:tc>
        <w:tc>
          <w:tcPr>
            <w:tcW w:w="1622" w:type="dxa"/>
          </w:tcPr>
          <w:p w14:paraId="0BD164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Старый согласованный срок</w:t>
            </w:r>
          </w:p>
        </w:tc>
        <w:tc>
          <w:tcPr>
            <w:tcW w:w="1497" w:type="dxa"/>
          </w:tcPr>
          <w:p w14:paraId="7B0E14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срок РВС</w:t>
            </w:r>
          </w:p>
        </w:tc>
        <w:tc>
          <w:tcPr>
            <w:tcW w:w="6522" w:type="dxa"/>
          </w:tcPr>
          <w:p w14:paraId="6645E1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tc>
      </w:tr>
      <w:tr w:rsidR="00E371BA" w:rsidRPr="00507A31" w14:paraId="60BFBE6A" w14:textId="77777777">
        <w:tc>
          <w:tcPr>
            <w:tcW w:w="1951" w:type="dxa"/>
          </w:tcPr>
          <w:p w14:paraId="0B8A67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w:t>
            </w:r>
          </w:p>
          <w:p w14:paraId="57C1A0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М-30</w:t>
            </w:r>
          </w:p>
          <w:p w14:paraId="3A3BF6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М-31</w:t>
            </w:r>
          </w:p>
          <w:p w14:paraId="2969F8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М-32</w:t>
            </w:r>
          </w:p>
        </w:tc>
        <w:tc>
          <w:tcPr>
            <w:tcW w:w="1622" w:type="dxa"/>
          </w:tcPr>
          <w:p w14:paraId="61611B33" w14:textId="77777777" w:rsidR="00537E5F" w:rsidRPr="00507A31" w:rsidRDefault="00537E5F" w:rsidP="00507A31">
            <w:pPr>
              <w:autoSpaceDE w:val="0"/>
              <w:autoSpaceDN w:val="0"/>
              <w:adjustRightInd w:val="0"/>
              <w:jc w:val="both"/>
              <w:rPr>
                <w:color w:val="000000" w:themeColor="text1"/>
                <w:sz w:val="16"/>
                <w:szCs w:val="16"/>
              </w:rPr>
            </w:pPr>
          </w:p>
          <w:p w14:paraId="655D4E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1930</w:t>
            </w:r>
          </w:p>
          <w:p w14:paraId="478A9F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Апрель 1931</w:t>
            </w:r>
          </w:p>
          <w:p w14:paraId="2C16D4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Январь 1932</w:t>
            </w:r>
          </w:p>
        </w:tc>
        <w:tc>
          <w:tcPr>
            <w:tcW w:w="1497" w:type="dxa"/>
          </w:tcPr>
          <w:p w14:paraId="02E65078" w14:textId="77777777" w:rsidR="00537E5F" w:rsidRPr="00507A31" w:rsidRDefault="00537E5F" w:rsidP="00507A31">
            <w:pPr>
              <w:autoSpaceDE w:val="0"/>
              <w:autoSpaceDN w:val="0"/>
              <w:adjustRightInd w:val="0"/>
              <w:jc w:val="both"/>
              <w:rPr>
                <w:color w:val="000000" w:themeColor="text1"/>
                <w:sz w:val="16"/>
                <w:szCs w:val="16"/>
              </w:rPr>
            </w:pPr>
          </w:p>
          <w:p w14:paraId="58A9B4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p w14:paraId="01703A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p w14:paraId="49718E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6522" w:type="dxa"/>
          </w:tcPr>
          <w:p w14:paraId="2486C1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М-32 мыслился как постепенное развитие одного типа М30. Мотор М31 – переходное развитие от М30 к М32.</w:t>
            </w:r>
          </w:p>
        </w:tc>
      </w:tr>
      <w:tr w:rsidR="00E371BA" w:rsidRPr="00507A31" w14:paraId="2EDF3F37" w14:textId="77777777">
        <w:tc>
          <w:tcPr>
            <w:tcW w:w="1951" w:type="dxa"/>
          </w:tcPr>
          <w:p w14:paraId="36F8E2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w:t>
            </w:r>
          </w:p>
          <w:p w14:paraId="05214A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М-36</w:t>
            </w:r>
          </w:p>
          <w:p w14:paraId="6920F4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М-37</w:t>
            </w:r>
          </w:p>
          <w:p w14:paraId="304D37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М-38</w:t>
            </w:r>
          </w:p>
        </w:tc>
        <w:tc>
          <w:tcPr>
            <w:tcW w:w="1622" w:type="dxa"/>
          </w:tcPr>
          <w:p w14:paraId="1D490F23" w14:textId="77777777" w:rsidR="00537E5F" w:rsidRPr="00507A31" w:rsidRDefault="00537E5F" w:rsidP="00507A31">
            <w:pPr>
              <w:autoSpaceDE w:val="0"/>
              <w:autoSpaceDN w:val="0"/>
              <w:adjustRightInd w:val="0"/>
              <w:jc w:val="both"/>
              <w:rPr>
                <w:color w:val="000000" w:themeColor="text1"/>
                <w:sz w:val="16"/>
                <w:szCs w:val="16"/>
              </w:rPr>
            </w:pPr>
          </w:p>
          <w:p w14:paraId="16D667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Октябрь 1930</w:t>
            </w:r>
          </w:p>
          <w:p w14:paraId="3A5C55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Январь 1932</w:t>
            </w:r>
          </w:p>
          <w:p w14:paraId="035511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Октябрь 1932</w:t>
            </w:r>
          </w:p>
        </w:tc>
        <w:tc>
          <w:tcPr>
            <w:tcW w:w="1497" w:type="dxa"/>
          </w:tcPr>
          <w:p w14:paraId="7189C4DB" w14:textId="77777777" w:rsidR="00537E5F" w:rsidRPr="00507A31" w:rsidRDefault="00537E5F" w:rsidP="00507A31">
            <w:pPr>
              <w:autoSpaceDE w:val="0"/>
              <w:autoSpaceDN w:val="0"/>
              <w:adjustRightInd w:val="0"/>
              <w:jc w:val="both"/>
              <w:rPr>
                <w:color w:val="000000" w:themeColor="text1"/>
                <w:sz w:val="16"/>
                <w:szCs w:val="16"/>
              </w:rPr>
            </w:pPr>
          </w:p>
          <w:p w14:paraId="4D51EB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p w14:paraId="5AD71F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p w14:paraId="09CD37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6522" w:type="dxa"/>
          </w:tcPr>
          <w:p w14:paraId="20E5E7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М-38 мыслился как постепенное развитие одного типа М36. Мотор М37 – переходное развитие от М36 к М38.</w:t>
            </w:r>
          </w:p>
        </w:tc>
      </w:tr>
      <w:tr w:rsidR="00E371BA" w:rsidRPr="00507A31" w14:paraId="00C32087" w14:textId="77777777">
        <w:tc>
          <w:tcPr>
            <w:tcW w:w="1951" w:type="dxa"/>
          </w:tcPr>
          <w:p w14:paraId="4588DC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w:t>
            </w:r>
          </w:p>
          <w:p w14:paraId="2E930F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М-33</w:t>
            </w:r>
          </w:p>
          <w:p w14:paraId="5AC3E5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w:t>
            </w:r>
          </w:p>
        </w:tc>
        <w:tc>
          <w:tcPr>
            <w:tcW w:w="1622" w:type="dxa"/>
          </w:tcPr>
          <w:p w14:paraId="283F8101" w14:textId="77777777" w:rsidR="00537E5F" w:rsidRPr="00507A31" w:rsidRDefault="00537E5F" w:rsidP="00507A31">
            <w:pPr>
              <w:autoSpaceDE w:val="0"/>
              <w:autoSpaceDN w:val="0"/>
              <w:adjustRightInd w:val="0"/>
              <w:jc w:val="both"/>
              <w:rPr>
                <w:color w:val="000000" w:themeColor="text1"/>
                <w:sz w:val="16"/>
                <w:szCs w:val="16"/>
              </w:rPr>
            </w:pPr>
          </w:p>
          <w:p w14:paraId="2744BD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Февраль 1931</w:t>
            </w:r>
          </w:p>
          <w:p w14:paraId="131E5C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Февраль 1932</w:t>
            </w:r>
          </w:p>
        </w:tc>
        <w:tc>
          <w:tcPr>
            <w:tcW w:w="1497" w:type="dxa"/>
          </w:tcPr>
          <w:p w14:paraId="0ED56948" w14:textId="77777777" w:rsidR="00537E5F" w:rsidRPr="00507A31" w:rsidRDefault="00537E5F" w:rsidP="00507A31">
            <w:pPr>
              <w:autoSpaceDE w:val="0"/>
              <w:autoSpaceDN w:val="0"/>
              <w:adjustRightInd w:val="0"/>
              <w:jc w:val="both"/>
              <w:rPr>
                <w:color w:val="000000" w:themeColor="text1"/>
                <w:sz w:val="16"/>
                <w:szCs w:val="16"/>
              </w:rPr>
            </w:pPr>
          </w:p>
          <w:p w14:paraId="2C34B7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p w14:paraId="7D666E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6522" w:type="dxa"/>
          </w:tcPr>
          <w:p w14:paraId="5DBB98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М-34 мыслился как постепенное развитие М-33, прототипом которого является мотор W-18, трехрядной конфигурации.</w:t>
            </w:r>
          </w:p>
        </w:tc>
      </w:tr>
      <w:tr w:rsidR="00E371BA" w:rsidRPr="00507A31" w14:paraId="608FDFFB" w14:textId="77777777">
        <w:tc>
          <w:tcPr>
            <w:tcW w:w="1951" w:type="dxa"/>
          </w:tcPr>
          <w:p w14:paraId="58C39D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М-34 НАМИ</w:t>
            </w:r>
          </w:p>
        </w:tc>
        <w:tc>
          <w:tcPr>
            <w:tcW w:w="1622" w:type="dxa"/>
          </w:tcPr>
          <w:p w14:paraId="637B5C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Апрель 1932</w:t>
            </w:r>
          </w:p>
        </w:tc>
        <w:tc>
          <w:tcPr>
            <w:tcW w:w="1497" w:type="dxa"/>
          </w:tcPr>
          <w:p w14:paraId="0E8F00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6522" w:type="dxa"/>
          </w:tcPr>
          <w:p w14:paraId="1F0010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Проектируется НАМИ ….. ВАО.</w:t>
            </w:r>
          </w:p>
        </w:tc>
      </w:tr>
      <w:tr w:rsidR="00E371BA" w:rsidRPr="00507A31" w14:paraId="0C631F74" w14:textId="77777777">
        <w:tc>
          <w:tcPr>
            <w:tcW w:w="1951" w:type="dxa"/>
          </w:tcPr>
          <w:p w14:paraId="0A9083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w:t>
            </w:r>
          </w:p>
          <w:p w14:paraId="651319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М-39</w:t>
            </w:r>
          </w:p>
          <w:p w14:paraId="28C351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М-40</w:t>
            </w:r>
          </w:p>
        </w:tc>
        <w:tc>
          <w:tcPr>
            <w:tcW w:w="1622" w:type="dxa"/>
          </w:tcPr>
          <w:p w14:paraId="68221777" w14:textId="77777777" w:rsidR="00537E5F" w:rsidRPr="00507A31" w:rsidRDefault="00537E5F" w:rsidP="00507A31">
            <w:pPr>
              <w:autoSpaceDE w:val="0"/>
              <w:autoSpaceDN w:val="0"/>
              <w:adjustRightInd w:val="0"/>
              <w:jc w:val="both"/>
              <w:rPr>
                <w:color w:val="000000" w:themeColor="text1"/>
                <w:sz w:val="16"/>
                <w:szCs w:val="16"/>
              </w:rPr>
            </w:pPr>
          </w:p>
          <w:p w14:paraId="7EEB2F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Декабрь 1931</w:t>
            </w:r>
          </w:p>
          <w:p w14:paraId="1F8885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Декабрь 1932</w:t>
            </w:r>
          </w:p>
        </w:tc>
        <w:tc>
          <w:tcPr>
            <w:tcW w:w="1497" w:type="dxa"/>
          </w:tcPr>
          <w:p w14:paraId="537D2686" w14:textId="77777777" w:rsidR="00537E5F" w:rsidRPr="00507A31" w:rsidRDefault="00537E5F" w:rsidP="00507A31">
            <w:pPr>
              <w:autoSpaceDE w:val="0"/>
              <w:autoSpaceDN w:val="0"/>
              <w:adjustRightInd w:val="0"/>
              <w:jc w:val="both"/>
              <w:rPr>
                <w:color w:val="000000" w:themeColor="text1"/>
                <w:sz w:val="16"/>
                <w:szCs w:val="16"/>
              </w:rPr>
            </w:pPr>
          </w:p>
          <w:p w14:paraId="033BB3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p w14:paraId="244EFC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6522" w:type="dxa"/>
          </w:tcPr>
          <w:p w14:paraId="05363A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сдвоенной звезды.</w:t>
            </w:r>
          </w:p>
        </w:tc>
      </w:tr>
      <w:tr w:rsidR="00E371BA" w:rsidRPr="00507A31" w14:paraId="56F370A0" w14:textId="77777777">
        <w:tc>
          <w:tcPr>
            <w:tcW w:w="1951" w:type="dxa"/>
          </w:tcPr>
          <w:p w14:paraId="51BA5A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w:t>
            </w:r>
          </w:p>
          <w:p w14:paraId="7536F3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М-28</w:t>
            </w:r>
          </w:p>
          <w:p w14:paraId="58265B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М-35</w:t>
            </w:r>
          </w:p>
        </w:tc>
        <w:tc>
          <w:tcPr>
            <w:tcW w:w="1622" w:type="dxa"/>
          </w:tcPr>
          <w:p w14:paraId="529F2C70" w14:textId="77777777" w:rsidR="00537E5F" w:rsidRPr="00507A31" w:rsidRDefault="00537E5F" w:rsidP="00507A31">
            <w:pPr>
              <w:autoSpaceDE w:val="0"/>
              <w:autoSpaceDN w:val="0"/>
              <w:adjustRightInd w:val="0"/>
              <w:jc w:val="both"/>
              <w:rPr>
                <w:color w:val="000000" w:themeColor="text1"/>
                <w:sz w:val="16"/>
                <w:szCs w:val="16"/>
              </w:rPr>
            </w:pPr>
          </w:p>
          <w:p w14:paraId="3F78A7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1931</w:t>
            </w:r>
          </w:p>
          <w:p w14:paraId="12CDC2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1932</w:t>
            </w:r>
          </w:p>
        </w:tc>
        <w:tc>
          <w:tcPr>
            <w:tcW w:w="1497" w:type="dxa"/>
          </w:tcPr>
          <w:p w14:paraId="7AAD6433" w14:textId="77777777" w:rsidR="00537E5F" w:rsidRPr="00507A31" w:rsidRDefault="00537E5F" w:rsidP="00507A31">
            <w:pPr>
              <w:autoSpaceDE w:val="0"/>
              <w:autoSpaceDN w:val="0"/>
              <w:adjustRightInd w:val="0"/>
              <w:jc w:val="both"/>
              <w:rPr>
                <w:color w:val="000000" w:themeColor="text1"/>
                <w:sz w:val="16"/>
                <w:szCs w:val="16"/>
              </w:rPr>
            </w:pPr>
          </w:p>
          <w:p w14:paraId="68E9F5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p w14:paraId="727F35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6522" w:type="dxa"/>
          </w:tcPr>
          <w:p w14:paraId="152567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"ФЭД".</w:t>
            </w:r>
          </w:p>
        </w:tc>
      </w:tr>
      <w:tr w:rsidR="00E371BA" w:rsidRPr="00507A31" w14:paraId="38381A70" w14:textId="77777777">
        <w:tc>
          <w:tcPr>
            <w:tcW w:w="1951" w:type="dxa"/>
          </w:tcPr>
          <w:p w14:paraId="543497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w:t>
            </w:r>
          </w:p>
          <w:p w14:paraId="00946B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М-26</w:t>
            </w:r>
          </w:p>
          <w:p w14:paraId="58E9FE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М-45</w:t>
            </w:r>
          </w:p>
        </w:tc>
        <w:tc>
          <w:tcPr>
            <w:tcW w:w="1622" w:type="dxa"/>
          </w:tcPr>
          <w:p w14:paraId="23E5AB22" w14:textId="77777777" w:rsidR="00537E5F" w:rsidRPr="00507A31" w:rsidRDefault="00537E5F" w:rsidP="00507A31">
            <w:pPr>
              <w:autoSpaceDE w:val="0"/>
              <w:autoSpaceDN w:val="0"/>
              <w:adjustRightInd w:val="0"/>
              <w:jc w:val="both"/>
              <w:rPr>
                <w:color w:val="000000" w:themeColor="text1"/>
                <w:sz w:val="16"/>
                <w:szCs w:val="16"/>
              </w:rPr>
            </w:pPr>
          </w:p>
          <w:p w14:paraId="3CE2FE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Август 1930</w:t>
            </w:r>
          </w:p>
          <w:p w14:paraId="6B59F6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Октябрь 1931</w:t>
            </w:r>
          </w:p>
        </w:tc>
        <w:tc>
          <w:tcPr>
            <w:tcW w:w="1497" w:type="dxa"/>
          </w:tcPr>
          <w:p w14:paraId="75404C06" w14:textId="77777777" w:rsidR="00537E5F" w:rsidRPr="00507A31" w:rsidRDefault="00537E5F" w:rsidP="00507A31">
            <w:pPr>
              <w:autoSpaceDE w:val="0"/>
              <w:autoSpaceDN w:val="0"/>
              <w:adjustRightInd w:val="0"/>
              <w:jc w:val="both"/>
              <w:rPr>
                <w:color w:val="000000" w:themeColor="text1"/>
                <w:sz w:val="16"/>
                <w:szCs w:val="16"/>
              </w:rPr>
            </w:pPr>
          </w:p>
          <w:p w14:paraId="3EB168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p w14:paraId="36F5A8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6522" w:type="dxa"/>
          </w:tcPr>
          <w:p w14:paraId="09525F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w:t>
            </w:r>
          </w:p>
        </w:tc>
      </w:tr>
    </w:tbl>
    <w:p w14:paraId="5B5B0B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новом варианте плана РВС особенно тяжелым для ВАО обстоятельством является отсутствие промежуточных типов моторов, на развитии и усовершенствовании которых, по мысли ВАО, должны были создаваться моторы высокого класса ………………………… Всесоюзное авиационное объединение, предполагая по прежнему варианту согласованного плана выдержать мощности и веса моторов и принимая в этом смысле требования РВС, имело в виду:</w:t>
      </w:r>
    </w:p>
    <w:p w14:paraId="4EDEFFD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Накопление конструкторского опыта в работе по постепенному развитию типов моторов.</w:t>
      </w:r>
    </w:p>
    <w:p w14:paraId="5C09F0A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Пополнение штата конструкторского бюро и обучение и освоение новых кадров.</w:t>
      </w:r>
    </w:p>
    <w:p w14:paraId="0462728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Проведение ряда исследовательских работ по наддуву моторов для повышения их высотности, по изучению редукторов для уменьшения числа оборотов винта, по постановке производства опытных металлических винтов и пр.</w:t>
      </w:r>
    </w:p>
    <w:p w14:paraId="4FCFF3B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Повышение механических свойств специальных сталей и улучшение методики их обработки, а также улучшение качеств легких и ультра легких сплавов – как результат ведущихся в этих направлениях исследовательских работ.</w:t>
      </w:r>
    </w:p>
    <w:p w14:paraId="77C685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Новым планом РВС эти возможности исключены, так как при требовании выпуска моторов через девять месяцев, ВАО вынуждено начать их постройку и проектирование немедленно же, без возможности использования результатов ведущихся и далеко еще не законченных исследовательских работ.</w:t>
      </w:r>
    </w:p>
    <w:p w14:paraId="160CE7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Именно в этом смысле технические качества опытных моторов находятся в прямой зависимости от сроков, так как в данное время ВАО не располагает ни достаточным опытом, ни необходимыми кадрами, ни нужными исходными материалами и методами их обработки для постройки опытных моторов требующегося РВС высокого класса. Более того, ВАО не знает ни одного заграничного мотора, боевые качества которого хотя отчасти бы отвечали техническим требованиям РВС. Как пример может служить подходящий по габаритам и мощности к мотору М34 первоклассный английский мотор "Рольс-Ройс R-10", возможность покупки которого для нас, кстати, исключена. Этот мотор на 183 кг тяжелее М34 и не отвечает требованиям РВС по высотности.</w:t>
      </w:r>
    </w:p>
    <w:p w14:paraId="08147D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С получением плана РВС, ВАО, имея в виду интересы обороны страны еще раз пересмотрело свои возможности и перспективы в области опытного моторостроения. Этот пересмотр был сделан на основе оптимальнейших предположений, без какого бы то ни было учета риска срыва этих предположений. В результате такого пересмотра и на основе постройки опытного образца по законченным чертежам в срок шесть месяцев, ВАО считает возможным при наличии риска срыва, принять на себя обязательство спроектировать и построить опытные моторы плана РВС в следующие сроки:</w:t>
      </w:r>
    </w:p>
    <w:p w14:paraId="151E8E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М-32 – к 1 января 1931 года с ориентировочным сроком предъявления на госиспытание в мае 193… и с пониженными против плана РВС техническими данными: мощность на высоте 3500 м – 600 сил при весе в 430-450 кг.</w:t>
      </w:r>
    </w:p>
    <w:p w14:paraId="50600E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М-38 – к 1 января 1931 года с ориентировочным сроком предъявления на госиспытание в мае 1931 года и с пониженными против плана РВС техническими данными: мощность на высоте 3500 м – 600 сил при весе в 430-440 кг.</w:t>
      </w:r>
    </w:p>
    <w:p w14:paraId="102B2D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 – к 1 января 1931 года построить по чертежам НАМИ без гарантии технических данных мотора, гарантируя лишь качество материалов и работы.</w:t>
      </w:r>
    </w:p>
    <w:p w14:paraId="637CF5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М-35 – к 1 января 1931 года с ориентировочным сроком предъявления на госиспытание в мае 1931 года и с пониженными против плана РВС техническими данными, даваемыми мотором "ФЭД".</w:t>
      </w:r>
    </w:p>
    <w:p w14:paraId="4BEC51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М-26 – к 1 июля 1931 года с предъявлением в этот же срок на госиспытания и с техническими данными соответствующими плану РВС.</w:t>
      </w:r>
    </w:p>
    <w:p w14:paraId="44123A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Помимо этого, ВАО будет продолжать начатые и ведущиеся работы по усовершенствованию и развитию типа трехрядного W-образного мотора, а также моторов М30, М36, М39.</w:t>
      </w:r>
    </w:p>
    <w:p w14:paraId="0A4F37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По опытному самолетостроению.</w:t>
      </w:r>
    </w:p>
    <w:p w14:paraId="1C02B1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Аналогично с планом оыптного моторостроения, пятилетний план опытного самолетостроения был согласован с представителями ВСНХ и РВС на совещании 10 февраля 1930 года как в части летно-тактических данных опытных образцов, так и в части сроков, которые ВСНХ принял в качестве необходмых и подлежащих выполнению во что бы то ни стало.</w:t>
      </w:r>
    </w:p>
    <w:p w14:paraId="2E6DA8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план РВС сдвигает эти согласованные сроки и фактически за ничтожными исключениями сводит этот план к однолетнему. Поскольку план опытного самолетостроения должен быть тесно связан с планом опытного моторостроения, технические данные опытных самолетов целиком зависят от данных опытных моторов и наравне с ними должны быть снижены в зависимости от сроков ………………..</w:t>
      </w:r>
    </w:p>
    <w:p w14:paraId="3FF55B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Следующая табличка дает сравнение прежнего согласованного с промышленностью плана и плана, выдвигаемого РВС: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E371BA" w:rsidRPr="00507A31" w14:paraId="471687B4" w14:textId="77777777">
        <w:tc>
          <w:tcPr>
            <w:tcW w:w="3864" w:type="dxa"/>
          </w:tcPr>
          <w:p w14:paraId="42D504F7" w14:textId="77777777" w:rsidR="00537E5F" w:rsidRPr="00507A31" w:rsidRDefault="00537E5F" w:rsidP="00507A31">
            <w:pPr>
              <w:autoSpaceDE w:val="0"/>
              <w:autoSpaceDN w:val="0"/>
              <w:adjustRightInd w:val="0"/>
              <w:jc w:val="both"/>
              <w:rPr>
                <w:color w:val="000000" w:themeColor="text1"/>
                <w:sz w:val="16"/>
                <w:szCs w:val="16"/>
              </w:rPr>
            </w:pPr>
          </w:p>
        </w:tc>
        <w:tc>
          <w:tcPr>
            <w:tcW w:w="3864" w:type="dxa"/>
          </w:tcPr>
          <w:p w14:paraId="012C5E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Старый согласованный срко</w:t>
            </w:r>
          </w:p>
        </w:tc>
        <w:tc>
          <w:tcPr>
            <w:tcW w:w="3864" w:type="dxa"/>
          </w:tcPr>
          <w:p w14:paraId="1E3089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срок РВС</w:t>
            </w:r>
          </w:p>
        </w:tc>
      </w:tr>
    </w:tbl>
    <w:p w14:paraId="4660D1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 заканчивающиеся постройкой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E371BA" w:rsidRPr="00507A31" w14:paraId="71121631" w14:textId="77777777">
        <w:tc>
          <w:tcPr>
            <w:tcW w:w="3864" w:type="dxa"/>
          </w:tcPr>
          <w:p w14:paraId="0B5E94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 истребитель с мотором ЮП7</w:t>
            </w:r>
          </w:p>
        </w:tc>
        <w:tc>
          <w:tcPr>
            <w:tcW w:w="3864" w:type="dxa"/>
          </w:tcPr>
          <w:p w14:paraId="4672B3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3864" w:type="dxa"/>
          </w:tcPr>
          <w:p w14:paraId="39579C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r>
      <w:tr w:rsidR="00E371BA" w:rsidRPr="00507A31" w14:paraId="0AF1BD51" w14:textId="77777777">
        <w:tc>
          <w:tcPr>
            <w:tcW w:w="3864" w:type="dxa"/>
          </w:tcPr>
          <w:p w14:paraId="5DEA58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 истребитель с мотором БМВ6</w:t>
            </w:r>
          </w:p>
        </w:tc>
        <w:tc>
          <w:tcPr>
            <w:tcW w:w="3864" w:type="dxa"/>
          </w:tcPr>
          <w:p w14:paraId="026251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3864" w:type="dxa"/>
          </w:tcPr>
          <w:p w14:paraId="10CFB2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r>
      <w:tr w:rsidR="00E371BA" w:rsidRPr="00507A31" w14:paraId="624A50C9" w14:textId="77777777">
        <w:tc>
          <w:tcPr>
            <w:tcW w:w="3864" w:type="dxa"/>
          </w:tcPr>
          <w:p w14:paraId="76F873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ДИ-2 двухместный истребитель с мотором БМВ6</w:t>
            </w:r>
          </w:p>
        </w:tc>
        <w:tc>
          <w:tcPr>
            <w:tcW w:w="3864" w:type="dxa"/>
          </w:tcPr>
          <w:p w14:paraId="346CA8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3864" w:type="dxa"/>
          </w:tcPr>
          <w:p w14:paraId="478206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r>
      <w:tr w:rsidR="00E371BA" w:rsidRPr="00507A31" w14:paraId="0CCDFF17" w14:textId="77777777">
        <w:tc>
          <w:tcPr>
            <w:tcW w:w="3864" w:type="dxa"/>
          </w:tcPr>
          <w:p w14:paraId="580A29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 бомбардировщик с 2 моторами БМВ6</w:t>
            </w:r>
          </w:p>
        </w:tc>
        <w:tc>
          <w:tcPr>
            <w:tcW w:w="3864" w:type="dxa"/>
          </w:tcPr>
          <w:p w14:paraId="18D6B9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3864" w:type="dxa"/>
          </w:tcPr>
          <w:p w14:paraId="00A9CA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r>
      <w:tr w:rsidR="00E371BA" w:rsidRPr="00507A31" w14:paraId="090A4EAC" w14:textId="77777777">
        <w:tc>
          <w:tcPr>
            <w:tcW w:w="3864" w:type="dxa"/>
          </w:tcPr>
          <w:p w14:paraId="55BFCE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 (МТБ1) морской торпедоносец с 2 моторами БМВ6</w:t>
            </w:r>
          </w:p>
        </w:tc>
        <w:tc>
          <w:tcPr>
            <w:tcW w:w="3864" w:type="dxa"/>
          </w:tcPr>
          <w:p w14:paraId="3A7425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3864" w:type="dxa"/>
          </w:tcPr>
          <w:p w14:paraId="14E0A4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r>
      <w:tr w:rsidR="00E371BA" w:rsidRPr="00507A31" w14:paraId="4CEBBBB3" w14:textId="77777777">
        <w:tc>
          <w:tcPr>
            <w:tcW w:w="3864" w:type="dxa"/>
          </w:tcPr>
          <w:p w14:paraId="6B78D6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МР5 (МБР-1) морской ближний разведчик с мотором БМВ6</w:t>
            </w:r>
          </w:p>
        </w:tc>
        <w:tc>
          <w:tcPr>
            <w:tcW w:w="3864" w:type="dxa"/>
          </w:tcPr>
          <w:p w14:paraId="15B7B7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3864" w:type="dxa"/>
          </w:tcPr>
          <w:p w14:paraId="4409F4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r>
      <w:tr w:rsidR="00E371BA" w:rsidRPr="00507A31" w14:paraId="5C622043" w14:textId="77777777">
        <w:tc>
          <w:tcPr>
            <w:tcW w:w="3864" w:type="dxa"/>
          </w:tcPr>
          <w:p w14:paraId="0A8C9F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РОМ (МДР1) морской дальний разведчик с 2 моторами БМВ6</w:t>
            </w:r>
          </w:p>
        </w:tc>
        <w:tc>
          <w:tcPr>
            <w:tcW w:w="3864" w:type="dxa"/>
          </w:tcPr>
          <w:p w14:paraId="4FC89F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3864" w:type="dxa"/>
          </w:tcPr>
          <w:p w14:paraId="5E96DB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r>
      <w:tr w:rsidR="00E371BA" w:rsidRPr="00507A31" w14:paraId="15638B15" w14:textId="77777777">
        <w:tc>
          <w:tcPr>
            <w:tcW w:w="3864" w:type="dxa"/>
          </w:tcPr>
          <w:p w14:paraId="3B7C93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 поплавковый учебный с мотором М11</w:t>
            </w:r>
          </w:p>
        </w:tc>
        <w:tc>
          <w:tcPr>
            <w:tcW w:w="3864" w:type="dxa"/>
          </w:tcPr>
          <w:p w14:paraId="35434F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3864" w:type="dxa"/>
          </w:tcPr>
          <w:p w14:paraId="724328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r>
    </w:tbl>
    <w:p w14:paraId="26DB65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E371BA" w:rsidRPr="00507A31" w14:paraId="7654E5A2" w14:textId="77777777">
        <w:tc>
          <w:tcPr>
            <w:tcW w:w="3864" w:type="dxa"/>
          </w:tcPr>
          <w:p w14:paraId="49E0BD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 истребитель с мотором М32</w:t>
            </w:r>
          </w:p>
        </w:tc>
        <w:tc>
          <w:tcPr>
            <w:tcW w:w="3864" w:type="dxa"/>
          </w:tcPr>
          <w:p w14:paraId="4DD9C4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c>
          <w:tcPr>
            <w:tcW w:w="3864" w:type="dxa"/>
          </w:tcPr>
          <w:p w14:paraId="3665B1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1931</w:t>
            </w:r>
          </w:p>
        </w:tc>
      </w:tr>
      <w:tr w:rsidR="00E371BA" w:rsidRPr="00507A31" w14:paraId="3608F423" w14:textId="77777777">
        <w:tc>
          <w:tcPr>
            <w:tcW w:w="3864" w:type="dxa"/>
          </w:tcPr>
          <w:p w14:paraId="31FA70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И-10 истребитель с мотором М38</w:t>
            </w:r>
          </w:p>
        </w:tc>
        <w:tc>
          <w:tcPr>
            <w:tcW w:w="3864" w:type="dxa"/>
          </w:tcPr>
          <w:p w14:paraId="6FC5AF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1932</w:t>
            </w:r>
          </w:p>
        </w:tc>
        <w:tc>
          <w:tcPr>
            <w:tcW w:w="3864" w:type="dxa"/>
          </w:tcPr>
          <w:p w14:paraId="0DE8C6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определен</w:t>
            </w:r>
          </w:p>
        </w:tc>
      </w:tr>
      <w:tr w:rsidR="00E371BA" w:rsidRPr="00507A31" w14:paraId="16030210" w14:textId="77777777">
        <w:tc>
          <w:tcPr>
            <w:tcW w:w="3864" w:type="dxa"/>
          </w:tcPr>
          <w:p w14:paraId="108AB9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двухместный истребитель с мотором М34</w:t>
            </w:r>
          </w:p>
        </w:tc>
        <w:tc>
          <w:tcPr>
            <w:tcW w:w="3864" w:type="dxa"/>
          </w:tcPr>
          <w:p w14:paraId="34FA8A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1933</w:t>
            </w:r>
          </w:p>
        </w:tc>
        <w:tc>
          <w:tcPr>
            <w:tcW w:w="3864" w:type="dxa"/>
          </w:tcPr>
          <w:p w14:paraId="0AA278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r>
      <w:tr w:rsidR="00E371BA" w:rsidRPr="00507A31" w14:paraId="04FEC536" w14:textId="77777777">
        <w:tc>
          <w:tcPr>
            <w:tcW w:w="3864" w:type="dxa"/>
          </w:tcPr>
          <w:p w14:paraId="0C72E2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 многоместный истребитель с двумя моторами М34</w:t>
            </w:r>
          </w:p>
        </w:tc>
        <w:tc>
          <w:tcPr>
            <w:tcW w:w="3864" w:type="dxa"/>
          </w:tcPr>
          <w:p w14:paraId="2E6815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1932</w:t>
            </w:r>
          </w:p>
        </w:tc>
        <w:tc>
          <w:tcPr>
            <w:tcW w:w="3864" w:type="dxa"/>
          </w:tcPr>
          <w:p w14:paraId="6A060B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r>
      <w:tr w:rsidR="00E371BA" w:rsidRPr="00507A31" w14:paraId="52FD77DE" w14:textId="77777777">
        <w:tc>
          <w:tcPr>
            <w:tcW w:w="3864" w:type="dxa"/>
          </w:tcPr>
          <w:p w14:paraId="3CE05C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разведчик армейский с мотором М34</w:t>
            </w:r>
          </w:p>
        </w:tc>
        <w:tc>
          <w:tcPr>
            <w:tcW w:w="3864" w:type="dxa"/>
          </w:tcPr>
          <w:p w14:paraId="0636F6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1932</w:t>
            </w:r>
          </w:p>
        </w:tc>
        <w:tc>
          <w:tcPr>
            <w:tcW w:w="3864" w:type="dxa"/>
          </w:tcPr>
          <w:p w14:paraId="059C29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r>
      <w:tr w:rsidR="00E371BA" w:rsidRPr="00507A31" w14:paraId="2DB37674" w14:textId="77777777">
        <w:tc>
          <w:tcPr>
            <w:tcW w:w="3864" w:type="dxa"/>
          </w:tcPr>
          <w:p w14:paraId="60EC4E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Р-9 разведчик войсковой с двумя моторами М26</w:t>
            </w:r>
          </w:p>
        </w:tc>
        <w:tc>
          <w:tcPr>
            <w:tcW w:w="3864" w:type="dxa"/>
          </w:tcPr>
          <w:p w14:paraId="649C94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1931</w:t>
            </w:r>
          </w:p>
        </w:tc>
        <w:tc>
          <w:tcPr>
            <w:tcW w:w="3864" w:type="dxa"/>
          </w:tcPr>
          <w:p w14:paraId="65F2C6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1932</w:t>
            </w:r>
          </w:p>
        </w:tc>
      </w:tr>
      <w:tr w:rsidR="00E371BA" w:rsidRPr="00507A31" w14:paraId="28CED981" w14:textId="77777777">
        <w:tc>
          <w:tcPr>
            <w:tcW w:w="3864" w:type="dxa"/>
          </w:tcPr>
          <w:p w14:paraId="58D409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 морской ближний разведчик с мотором М34</w:t>
            </w:r>
          </w:p>
        </w:tc>
        <w:tc>
          <w:tcPr>
            <w:tcW w:w="3864" w:type="dxa"/>
          </w:tcPr>
          <w:p w14:paraId="5985BF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1932</w:t>
            </w:r>
          </w:p>
        </w:tc>
        <w:tc>
          <w:tcPr>
            <w:tcW w:w="3864" w:type="dxa"/>
          </w:tcPr>
          <w:p w14:paraId="7B207F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r>
      <w:tr w:rsidR="00E371BA" w:rsidRPr="00507A31" w14:paraId="2ADD7FE3" w14:textId="77777777">
        <w:tc>
          <w:tcPr>
            <w:tcW w:w="3864" w:type="dxa"/>
          </w:tcPr>
          <w:p w14:paraId="227AF2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 морской дальний разведчик с 2 моторами М34</w:t>
            </w:r>
          </w:p>
        </w:tc>
        <w:tc>
          <w:tcPr>
            <w:tcW w:w="3864" w:type="dxa"/>
          </w:tcPr>
          <w:p w14:paraId="61BA7F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c>
          <w:tcPr>
            <w:tcW w:w="3864" w:type="dxa"/>
          </w:tcPr>
          <w:p w14:paraId="4ABC0A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r>
      <w:tr w:rsidR="00E371BA" w:rsidRPr="00507A31" w14:paraId="783604B3" w14:textId="77777777">
        <w:tc>
          <w:tcPr>
            <w:tcW w:w="3864" w:type="dxa"/>
          </w:tcPr>
          <w:p w14:paraId="0E7FF0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 морской торпедоносный бомбардировщик с 4 моторами М35</w:t>
            </w:r>
          </w:p>
        </w:tc>
        <w:tc>
          <w:tcPr>
            <w:tcW w:w="3864" w:type="dxa"/>
          </w:tcPr>
          <w:p w14:paraId="5D3AFB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1932</w:t>
            </w:r>
          </w:p>
        </w:tc>
        <w:tc>
          <w:tcPr>
            <w:tcW w:w="3864" w:type="dxa"/>
          </w:tcPr>
          <w:p w14:paraId="3AE181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r>
      <w:tr w:rsidR="00E371BA" w:rsidRPr="00507A31" w14:paraId="706675EB" w14:textId="77777777">
        <w:tc>
          <w:tcPr>
            <w:tcW w:w="3864" w:type="dxa"/>
          </w:tcPr>
          <w:p w14:paraId="4B5F4E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 лодочный учебный с мотором М11</w:t>
            </w:r>
          </w:p>
        </w:tc>
        <w:tc>
          <w:tcPr>
            <w:tcW w:w="3864" w:type="dxa"/>
          </w:tcPr>
          <w:p w14:paraId="225BE7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3864" w:type="dxa"/>
          </w:tcPr>
          <w:p w14:paraId="3AC346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r>
    </w:tbl>
    <w:p w14:paraId="25C6A3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сокращение в абсолютных значениях невелико, но если принять во внимание оставшуюся часть сроков выпуска этих самолетов, то сокращение по самолету ДИ-2 определяется на 50%, по И6 на 25%, по ТБ2 – на 50% и т.д.</w:t>
      </w:r>
    </w:p>
    <w:p w14:paraId="508D34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Таким образом, относительное сокращение сроков очень велико и не сможет быть реализовано заводами, ввиду краткости времени оставшегося до выпуска самолетов.</w:t>
      </w:r>
    </w:p>
    <w:p w14:paraId="54293F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того, сроки плана РВС определяют необходимость производства заводских испытаний опытных самолетов и их окончательную доводку в фактически нелетное время, благодаря сезонной распутице. Это лишает возможности ВАО должным образом испытать опытные образцы и произвести в них необходимые и выявляющиеся в процессе испытаний переделки.</w:t>
      </w:r>
    </w:p>
    <w:p w14:paraId="4D7086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Что же касается сроков по вновь проектируемым самолетам, то таковые сдвинуты планом РВС:</w:t>
      </w:r>
    </w:p>
    <w:p w14:paraId="70ECC9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И-9 на 7 месяцев</w:t>
      </w:r>
    </w:p>
    <w:p w14:paraId="46F0E9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ДИ-4 на 22 месяца</w:t>
      </w:r>
    </w:p>
    <w:p w14:paraId="234714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МИ-2 на 18 месяцев</w:t>
      </w:r>
    </w:p>
    <w:p w14:paraId="78DECC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Р-8 на 11 месяцев</w:t>
      </w:r>
    </w:p>
    <w:p w14:paraId="165770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МБР-2 на 6 месяцев</w:t>
      </w:r>
    </w:p>
    <w:p w14:paraId="337E65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МДР-3 на 5 месяцев</w:t>
      </w:r>
    </w:p>
    <w:p w14:paraId="131BA2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МТБ-2 на 22 месяца</w:t>
      </w:r>
    </w:p>
    <w:p w14:paraId="263CCC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короткий срок, оставшийся для выполнения плана, затруднительно укомплектовать крайне недостаточные штаты конструкторских бюро и невозможно обучать и освоить новые кадры, а также расширить производственные базы опытных отделов и заводов ВАО. ………………………. По условиям постройки опытных самолетов конструкторские бюро должны иметь полные габариты и данные моторов к началу проектирования, макеты моторов – к началу постройки и настоящие моторы в полной летной готовности – за четыре месяца до конца постройки или за шесть месяцев до предъявления опытного самолета на госиспытания.</w:t>
      </w:r>
    </w:p>
    <w:p w14:paraId="057086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 тщательно продумало эти сроки и сократило их до пределов, полагая даже возможным постановку на самолет опытного мотора без прохождения последним длительных ………..</w:t>
      </w:r>
    </w:p>
    <w:p w14:paraId="48E88F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Даже при этом расчете, ВАО не сможет выпустить например, самолет И-9 с мотором М32 ранее 1 июня 1931 года, хотя при взятых темпах опытного самолетостроения ВАО имеет возможность выпустить самолет И-9 с иным мотором даже к 1 марта 1931 года, т.е. в срок плана РВС.</w:t>
      </w:r>
    </w:p>
    <w:p w14:paraId="1CDB94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 мотор М-34, выходящий по плану РВС 1 января 1931 года должны быть предъявлены на испытания к 1 мая 1931 года самолеты ТШ-1, Р- …. В 2-х экземплярах, МИ2 и МДР-3, требующие 8 штук моторов М34. Самолет же ДИ-3 в 2-х экземплярах должен быть предъявлен с этими моторами даже 1 февраля 1931 года, а ДИ4 – 1 октября 1931 года.</w:t>
      </w:r>
    </w:p>
    <w:p w14:paraId="2EE240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Таким образом, в 1931 году и именно в январе, потребуется 12 штук моторов М34, из которых лишь две штуки на ДИ-4 могут быть заменены перестановкой с других, ранее вышедших машин.</w:t>
      </w:r>
    </w:p>
    <w:p w14:paraId="38CD8D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Особенно нереальным представляется срок РВС по самолету МТБ2 с моторами общей мощностью в 4000-5000 сил и весом в полете 38-40 тонн.</w:t>
      </w:r>
    </w:p>
    <w:p w14:paraId="40C113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проектирование, постройку и испытания этого самолета планом РВС предоставлено всего 9 месяцев в то время как грандиозность задания заставила первоначально намечаемого строителя этого самолета – ЦАГИ, отказаться от его постройки в 31 месяц.</w:t>
      </w:r>
    </w:p>
    <w:p w14:paraId="4A0373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Исходя из оптимальнейших возможностей и увязывая сроки выпуска самолетов с таковыми же сроками по моторам, Всесоюзное авиационное объединение, при наличии риска срыва, тем не менее считает возможным принять на себя обязательство спроектировать, построить и предъявить на госиспытания опытные самолеты плана РВС в следующие сроки:</w:t>
      </w:r>
    </w:p>
    <w:p w14:paraId="0168F5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 с мотором М32 – к 1 июня 1931 года, т.е. с запозданием на 3 месяца</w:t>
      </w:r>
    </w:p>
    <w:p w14:paraId="32AC8E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с мотором М34 – к 1 июля 1931 года, т.е. с запозданием на 2 месяца</w:t>
      </w:r>
    </w:p>
    <w:p w14:paraId="20DDEA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ДИ-4 с мотором М34 – к 1 октября 1931 года – в срок РВС</w:t>
      </w:r>
    </w:p>
    <w:p w14:paraId="7C7D64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 с двумя моторами М34 – к 1 августа 1931 года, т.е. с запозданием в 4 месяца</w:t>
      </w:r>
    </w:p>
    <w:p w14:paraId="717DE4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Р-9 с двумя моторами М26 – к 1 ноября 1932 года – в срок РВС</w:t>
      </w:r>
    </w:p>
    <w:p w14:paraId="05B13B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И-10 с мотором М38 - к 1 августа 1931 года</w:t>
      </w:r>
    </w:p>
    <w:p w14:paraId="7B3E10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 с мотором М34 – к 1 июля 1931 года</w:t>
      </w:r>
    </w:p>
    <w:p w14:paraId="171D62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МДР-3с с двумя моторами М34 или с 4-мя моторами ЮПИТЕР-7 – к 1 октября 1931 года, т.е. в ранее согласованный срок</w:t>
      </w:r>
    </w:p>
    <w:p w14:paraId="5D49ED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 с мотором М-11 - к 1 июня 1931 года, т.е. в срок РВС</w:t>
      </w:r>
    </w:p>
    <w:p w14:paraId="783A16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 с 4-мя моторами М-35 – к 1 октября 1931 года, т.е. в ранее согласованные с ЦАГИ сроки</w:t>
      </w:r>
    </w:p>
    <w:p w14:paraId="678233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самолетам находящимся в стадии окончания постройки, т.е. по самолетам И6, И7, ДИ2, ТБ2, МБР1, МДР-1, МТБ-1 и МУ2, ВАО может установить лишь ранее согласованные с РВС сроки (3625, 25-29).</w:t>
      </w:r>
    </w:p>
    <w:p w14:paraId="08F594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Финансовое выражение этого плана на 1930/31 год дано в приложении</w:t>
      </w:r>
    </w:p>
    <w:p w14:paraId="504A8E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ВАО Михайлов</w:t>
      </w:r>
    </w:p>
    <w:p w14:paraId="574029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Приложение</w:t>
      </w:r>
    </w:p>
    <w:p w14:paraId="539293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1930/31 г.</w:t>
      </w:r>
    </w:p>
    <w:p w14:paraId="391F06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w:t>
      </w:r>
    </w:p>
    <w:p w14:paraId="763DB5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Окончание И-7 – 50 000</w:t>
      </w:r>
    </w:p>
    <w:p w14:paraId="385AB4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и постройка Р-8 2 экз. - 550000 руб.</w:t>
      </w:r>
    </w:p>
    <w:p w14:paraId="0AD2AD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и постройка И-9 2 экз. - 460000</w:t>
      </w:r>
    </w:p>
    <w:p w14:paraId="4F6891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и постройка И-10 2 экз. - 460000</w:t>
      </w:r>
    </w:p>
    <w:p w14:paraId="7990B1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и постройка МИ-2 1 экз. - 420000</w:t>
      </w:r>
    </w:p>
    <w:p w14:paraId="3EF674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и постройка ДИИ 2 экз. - 400000</w:t>
      </w:r>
    </w:p>
    <w:p w14:paraId="0FD7E6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и постройка МБР-2 2 экз. - 600000</w:t>
      </w:r>
    </w:p>
    <w:p w14:paraId="68C09E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и постройка МДР-3 1 экз. - 1000000</w:t>
      </w:r>
    </w:p>
    <w:p w14:paraId="407B42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и постройка МТБ-2 1 шт. – 2000000</w:t>
      </w:r>
    </w:p>
    <w:p w14:paraId="53A16F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 – 5940000, из них валюты 50000</w:t>
      </w:r>
    </w:p>
    <w:p w14:paraId="7330CA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Покупка образцов – 200000</w:t>
      </w:r>
    </w:p>
    <w:p w14:paraId="31E50D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Заграничные командировки – 15000</w:t>
      </w:r>
    </w:p>
    <w:p w14:paraId="3B44FF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Исследовательские работы, а также работы по винтам и лыжам – 400000, из них валюты 35000</w:t>
      </w:r>
    </w:p>
    <w:p w14:paraId="611B52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Опытное вооружение – 300000</w:t>
      </w:r>
    </w:p>
    <w:p w14:paraId="70345C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Оплата техпомощи путем приглашения конструкторов:</w:t>
      </w:r>
    </w:p>
    <w:p w14:paraId="23C518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Рорбаха – 150000</w:t>
      </w:r>
    </w:p>
    <w:p w14:paraId="5B484C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Хейнкеля – 100000</w:t>
      </w:r>
    </w:p>
    <w:p w14:paraId="7FB31C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по самолетам без капитального строительства и без подготовки кадров – 7105000, из них валюты – 550000</w:t>
      </w:r>
    </w:p>
    <w:p w14:paraId="15622A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w:t>
      </w:r>
    </w:p>
    <w:p w14:paraId="720507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М31 и развитие его до М32 – 440000</w:t>
      </w:r>
    </w:p>
    <w:p w14:paraId="460370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М33 и развитие его до М34 – 520000</w:t>
      </w:r>
    </w:p>
    <w:p w14:paraId="0CFB03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М28 и развитие его до М35 – 570000</w:t>
      </w:r>
    </w:p>
    <w:p w14:paraId="14C1D2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М37 и развитие его до М38 – 550000</w:t>
      </w:r>
    </w:p>
    <w:p w14:paraId="6AC242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М39 и начало развития М40 – 320000</w:t>
      </w:r>
    </w:p>
    <w:p w14:paraId="397710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Модификация и улучшение М17 и М22 – 200000</w:t>
      </w:r>
    </w:p>
    <w:p w14:paraId="27CCF1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Легкие моторы гражданского типа – 200000</w:t>
      </w:r>
    </w:p>
    <w:p w14:paraId="7C50F1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 – 2920000, из них валютой 50000</w:t>
      </w:r>
    </w:p>
    <w:p w14:paraId="486005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Покупка образцов моторов – 200000</w:t>
      </w:r>
    </w:p>
    <w:p w14:paraId="26AF6A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Исследования по моторам и металлургические – 500000, из них валютой 50000</w:t>
      </w:r>
    </w:p>
    <w:p w14:paraId="3286CD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Заграничные командировки – 20000</w:t>
      </w:r>
    </w:p>
    <w:p w14:paraId="7896CC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Техпомощь в виде приглашения конструкторов от Райта и Пратт-Витней – 150000</w:t>
      </w:r>
    </w:p>
    <w:p w14:paraId="4C2E18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по моторам без капитального строительства и без подготовки кадров – 3790000, из них валютой 470000</w:t>
      </w:r>
    </w:p>
    <w:p w14:paraId="1F8096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по опытному строительству без капитального строительства и без подготовки кадров – 10895000, из них валютой 1020000 (3625, 31-32)</w:t>
      </w:r>
    </w:p>
    <w:p w14:paraId="2324D1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ВАО Михайлов</w:t>
      </w:r>
    </w:p>
    <w:p w14:paraId="568B64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 П.И.Б. написал письмо К.Е.В. о том, что на последнем заседании РВС командующие требовали увеличения ВВС, так передышка закончилась и страна на пороге войны. В АП наиболее слабое место - мотор. АП - прикрывает и замазывает, не вскрывает недостатки. Руководители АП создают иллюзии. Поэтому предлагается закупить 1000-1500 БМВ, Юпитер, Кертисс-Конкверрер + лицензию на КК.</w:t>
      </w:r>
    </w:p>
    <w:p w14:paraId="3CA53A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Сменить Правление Авиаобъединения, поставив во главе АП энергичных людей, способных не только формально осуществлять заграничную техническую помощь на наших заводах, но действительно таковую использовать, привлекая для осуществления техпомощи заграничных специалистов"</w:t>
      </w:r>
    </w:p>
    <w:p w14:paraId="29C99E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К.Е.В. нанес резолюцию "Сколько будут стоить предлагаемые к закупке моторы. Кем заменить нынешнее руководство Авиатреста. Какими мерами можно осуществить действительное использование заграничной техпомощи. Вот вопросы, которые записка ставит, а ответ не дает" 18.04.1930 (1028,87).</w:t>
      </w:r>
    </w:p>
    <w:p w14:paraId="36DDD3AC" w14:textId="77777777" w:rsidR="00537E5F" w:rsidRPr="00507A31" w:rsidRDefault="00537E5F" w:rsidP="00507A31">
      <w:pPr>
        <w:autoSpaceDE w:val="0"/>
        <w:autoSpaceDN w:val="0"/>
        <w:adjustRightInd w:val="0"/>
        <w:jc w:val="both"/>
        <w:rPr>
          <w:color w:val="000000" w:themeColor="text1"/>
          <w:sz w:val="16"/>
          <w:szCs w:val="16"/>
        </w:rPr>
      </w:pPr>
    </w:p>
    <w:p w14:paraId="770E45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 года Баранов писал письмо Ворошилову</w:t>
      </w:r>
    </w:p>
    <w:p w14:paraId="799F4F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Многоуважаемый Клемент Ефремович,</w:t>
      </w:r>
    </w:p>
    <w:p w14:paraId="6FAC62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последнем заседании РВС всеми командующими единодушно был выдвинут вопрос о значительном увеличении Воздушного Флота. Это несомненно находится в связи с предположениями, что период передышки закончен и мы накануне войны. Опыт же строительства Воздушного Флота, успехи в его боевой подготовке, в создании кадров личного состава убедили командующих, что именно на этом участке мы можем быстрее всего достигнуть наиболее эффектных результатов в смысле действительного усиления боеспособности Красной Армии. Это также привело некоторых ответственных работников Красной Армии к выводу, что мы должны добиться значительного усиления Воздушного Флота путем закупок авиаимущества за границей. Не вполне разделяя точки зрения, изложенной в записке П.П. Лебедева, в выступлениях на заседании РВС Якира, Тухачевского, зная огромнейшие трудности и недостатки связанные и с боевой учебой и с подготовкой личного состава и особенно командирского, я тем не менее считаю, что мы можем и должны принять ряд мер, направленных к увеличению Воздушного Флота и обеспечению его боеспособности.</w:t>
      </w:r>
    </w:p>
    <w:p w14:paraId="4338D4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Состояние авиапромышленности Вам достаточно хорошо известно. Наиболее слабым пунктом является мотор. Собственные конструкторские силы оказались неспособными разрешить даже элементарных задач в этой области (учебный мотор). Техпомощь приобретенная за границей (БМВ VI, Юпитер) реализуется преступно медленно. Позиция в этом вопросе авиапромышленности сводится к прикрыванию, замазыванию, а не вскрытию действительных недостатков. Самое ужасное заключается в том, что руководители авиапромышленности не понимают и не хотят понять действительных причин неудач в моторостроении. Не понимая действительных причин катастрофического состояния моторостроения, руководители авиапромышленности продолжают безответственную болтовню о полной способности и готовности наших конструкторов и производственников дать нужные типы моторов для нашей авиации самостоятельно и в короткие сроки, создавая тем самым опасные иллюзии абсолютно не отвечающие действительности.</w:t>
      </w:r>
    </w:p>
    <w:p w14:paraId="7642A9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Как я указал выше, не разделяя взгляда на целесообразность обеспечения Воздушного Флота преимущественно заграничными закупками, тем не менее в силу создавшегося положения предлагаю:</w:t>
      </w:r>
    </w:p>
    <w:p w14:paraId="7677864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Закупить до осени 1931 года – 1000-1500 мощных моторов БМВ, Юпитер и Кертис-Конкверер.</w:t>
      </w:r>
    </w:p>
    <w:p w14:paraId="6267A6D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Осуществить предлагаемые мною мероприятия по приобретению техпомощи в Америке и в частности купить лицензию и техпомощь на мотор Кертис-Конкверер. При таком условии все закупленные за границей моторы были бы обеспечены и техпомощью, что оправдало бы себя полностью даже в случае продления передышки.</w:t>
      </w:r>
    </w:p>
    <w:p w14:paraId="3D7762F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Сменить Правление Авиаобъединения, поставив во главе авиапромышленности энергичных людей, способных не только формально осуществить заграничную техпомощь на наших заводах, но действительно таковую использовать, привлекая для осуществления техпомощи заграничных специалистов.</w:t>
      </w:r>
    </w:p>
    <w:p w14:paraId="281D4D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Нарком и председатель РВСС Ворошилов наложил следующую резолюцию: "Сколько будут стоить предполагаемые к закупке моторы; кем заменить нынешнее руководство Авиатреста; какими мерами можно осуществить действительное использование заграничной техпомощи? Вот вопросы, которые записка ставит, а ответов не дает. Ворошилов 18 апреля 1930 года" (7414, 13).</w:t>
      </w:r>
    </w:p>
    <w:p w14:paraId="07271D02" w14:textId="77777777" w:rsidR="00537E5F" w:rsidRPr="00507A31" w:rsidRDefault="00537E5F" w:rsidP="00507A31">
      <w:pPr>
        <w:autoSpaceDE w:val="0"/>
        <w:autoSpaceDN w:val="0"/>
        <w:adjustRightInd w:val="0"/>
        <w:jc w:val="both"/>
        <w:rPr>
          <w:color w:val="000000" w:themeColor="text1"/>
          <w:sz w:val="16"/>
          <w:szCs w:val="16"/>
        </w:rPr>
      </w:pPr>
    </w:p>
    <w:p w14:paraId="02907E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15 апреля 1930 года начальник ВАО Михайлов писал письмо № 25/6345 в секретариат СТО</w:t>
      </w:r>
    </w:p>
    <w:p w14:paraId="7C5CD3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 исполнение распределительных заседаний СТО от 16 октября 1929 года и 14 января 1929 года представляю основной доклад о ходе исполнений постановлений РЗ СТО.</w:t>
      </w:r>
    </w:p>
    <w:p w14:paraId="102C2B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Приложение: упомянутое (3545).</w:t>
      </w:r>
    </w:p>
    <w:p w14:paraId="099D14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Доклад о ходе выполнения пятилетнего плана развития авиапромышленности</w:t>
      </w:r>
    </w:p>
    <w:p w14:paraId="6A28A6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началу пятилетки (к 1 октября 1928 года) в состав бывш. Авиатреста входило 10 производственных заводов, не считая переданного в 1928/29 году ГЭТу завода "Радио".</w:t>
      </w:r>
    </w:p>
    <w:p w14:paraId="34763C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специализации заводы распределялись следующим образом:</w:t>
      </w:r>
    </w:p>
    <w:p w14:paraId="36FAD7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самолетостроительные – 4 завода №№ 1, 22, 23 и 31</w:t>
      </w:r>
    </w:p>
    <w:p w14:paraId="5022B4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моторостроительные – 3 завода №№ 24, 26 и 29</w:t>
      </w:r>
    </w:p>
    <w:p w14:paraId="5E60A7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винтолыжные и деревообделочные – 2 завода №№ 28 и 41</w:t>
      </w:r>
    </w:p>
    <w:p w14:paraId="3D035C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аэролаковый – 1 завод № 36</w:t>
      </w:r>
    </w:p>
    <w:p w14:paraId="4502A5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Мобилизационная техническая мощность этих заводов по состоянию на 1 октября 1928 года была:</w:t>
      </w:r>
    </w:p>
    <w:p w14:paraId="1198D6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самолетные заводы:</w:t>
      </w:r>
    </w:p>
    <w:p w14:paraId="2F69AB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 – 720 самолетов</w:t>
      </w:r>
    </w:p>
    <w:p w14:paraId="03D758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22 – 300 самолетов</w:t>
      </w:r>
    </w:p>
    <w:p w14:paraId="77605B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23 – 336 самолетов</w:t>
      </w:r>
    </w:p>
    <w:p w14:paraId="46B159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31 – 624 самолета</w:t>
      </w:r>
    </w:p>
    <w:p w14:paraId="1CCAD9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 1980 самолетов</w:t>
      </w:r>
    </w:p>
    <w:p w14:paraId="2D1478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моторостроительные заводы:</w:t>
      </w:r>
    </w:p>
    <w:p w14:paraId="055B08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24 – 1532 мотора</w:t>
      </w:r>
    </w:p>
    <w:p w14:paraId="106468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26 – 69 моторов</w:t>
      </w:r>
    </w:p>
    <w:p w14:paraId="770FE7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29 – 388 моторов</w:t>
      </w:r>
    </w:p>
    <w:p w14:paraId="384027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 1989 моторов</w:t>
      </w:r>
    </w:p>
    <w:p w14:paraId="1037C4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Необходимо отметить, что стоявшие на вооружении к 1 октября 1928 года типы изделий являлись в большей своей чпсти устаревшими, причем полностью отсутствовали мощные моторы и тяжелые самолеты.</w:t>
      </w:r>
    </w:p>
    <w:p w14:paraId="467821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Постановлением РЗ СТО от 16 октября было предложено ВСНХ увеличить мощность авиапромышленности для удовлетворения минимальных потребностей РККА до 7098 самолетов и 9460 моторов к концу последнего года пятилетки, т.е. к 1 октября 1932 года.</w:t>
      </w:r>
    </w:p>
    <w:p w14:paraId="09B0E9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достижения этой мощности было постановлено построить 2 новых самолетных завода, 1 новый моторный завод и один завод вооружения и подсобного моторостроения; кроме этого в целях объединения всей авиапромышленности в одной организации, переданы с 1 октября 1929 года в бывш. Авиатрест Харьковский самолетный завод бывш. Укрвоздухпути и 6 ремонтных заводов бывш. Промвоздуха.</w:t>
      </w:r>
    </w:p>
    <w:p w14:paraId="62E788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Указанное выше увеличение мощности заводов должно было идти следующими темпами:</w:t>
      </w:r>
    </w:p>
    <w:p w14:paraId="67611F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Самолетостроительные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1843"/>
        <w:gridCol w:w="1843"/>
        <w:gridCol w:w="2126"/>
      </w:tblGrid>
      <w:tr w:rsidR="00E371BA" w:rsidRPr="00507A31" w14:paraId="68395D6E" w14:textId="77777777">
        <w:trPr>
          <w:cantSplit/>
        </w:trPr>
        <w:tc>
          <w:tcPr>
            <w:tcW w:w="1809" w:type="dxa"/>
          </w:tcPr>
          <w:p w14:paraId="140693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Заводы</w:t>
            </w:r>
          </w:p>
        </w:tc>
        <w:tc>
          <w:tcPr>
            <w:tcW w:w="1843" w:type="dxa"/>
          </w:tcPr>
          <w:p w14:paraId="5B42D7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1929/30 год</w:t>
            </w:r>
          </w:p>
        </w:tc>
        <w:tc>
          <w:tcPr>
            <w:tcW w:w="1843" w:type="dxa"/>
          </w:tcPr>
          <w:p w14:paraId="2E4486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1930/31 год</w:t>
            </w:r>
          </w:p>
        </w:tc>
        <w:tc>
          <w:tcPr>
            <w:tcW w:w="1843" w:type="dxa"/>
          </w:tcPr>
          <w:p w14:paraId="15E2F1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1931/32 год</w:t>
            </w:r>
          </w:p>
        </w:tc>
        <w:tc>
          <w:tcPr>
            <w:tcW w:w="2126" w:type="dxa"/>
          </w:tcPr>
          <w:p w14:paraId="3E51EE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1932/33 год</w:t>
            </w:r>
          </w:p>
        </w:tc>
      </w:tr>
      <w:tr w:rsidR="00E371BA" w:rsidRPr="00507A31" w14:paraId="0EABBA8C" w14:textId="77777777">
        <w:trPr>
          <w:cantSplit/>
        </w:trPr>
        <w:tc>
          <w:tcPr>
            <w:tcW w:w="1809" w:type="dxa"/>
          </w:tcPr>
          <w:p w14:paraId="7BC226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w:t>
            </w:r>
          </w:p>
        </w:tc>
        <w:tc>
          <w:tcPr>
            <w:tcW w:w="1843" w:type="dxa"/>
          </w:tcPr>
          <w:p w14:paraId="6246C3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910</w:t>
            </w:r>
          </w:p>
        </w:tc>
        <w:tc>
          <w:tcPr>
            <w:tcW w:w="1843" w:type="dxa"/>
          </w:tcPr>
          <w:p w14:paraId="4FB6DB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1610</w:t>
            </w:r>
          </w:p>
        </w:tc>
        <w:tc>
          <w:tcPr>
            <w:tcW w:w="1843" w:type="dxa"/>
          </w:tcPr>
          <w:p w14:paraId="351D81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2047</w:t>
            </w:r>
          </w:p>
        </w:tc>
        <w:tc>
          <w:tcPr>
            <w:tcW w:w="2126" w:type="dxa"/>
          </w:tcPr>
          <w:p w14:paraId="480F51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2300</w:t>
            </w:r>
          </w:p>
        </w:tc>
      </w:tr>
      <w:tr w:rsidR="00E371BA" w:rsidRPr="00507A31" w14:paraId="0F4E6FE8" w14:textId="77777777">
        <w:trPr>
          <w:cantSplit/>
        </w:trPr>
        <w:tc>
          <w:tcPr>
            <w:tcW w:w="1809" w:type="dxa"/>
          </w:tcPr>
          <w:p w14:paraId="6D2041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22</w:t>
            </w:r>
          </w:p>
        </w:tc>
        <w:tc>
          <w:tcPr>
            <w:tcW w:w="1843" w:type="dxa"/>
          </w:tcPr>
          <w:p w14:paraId="097373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329</w:t>
            </w:r>
          </w:p>
        </w:tc>
        <w:tc>
          <w:tcPr>
            <w:tcW w:w="1843" w:type="dxa"/>
          </w:tcPr>
          <w:p w14:paraId="2D1D85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w:t>
            </w:r>
          </w:p>
        </w:tc>
        <w:tc>
          <w:tcPr>
            <w:tcW w:w="1843" w:type="dxa"/>
          </w:tcPr>
          <w:p w14:paraId="608D2F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650</w:t>
            </w:r>
          </w:p>
        </w:tc>
        <w:tc>
          <w:tcPr>
            <w:tcW w:w="2126" w:type="dxa"/>
          </w:tcPr>
          <w:p w14:paraId="23625B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709</w:t>
            </w:r>
          </w:p>
        </w:tc>
      </w:tr>
      <w:tr w:rsidR="00E371BA" w:rsidRPr="00507A31" w14:paraId="47CB8A8A" w14:textId="77777777">
        <w:trPr>
          <w:cantSplit/>
        </w:trPr>
        <w:tc>
          <w:tcPr>
            <w:tcW w:w="1809" w:type="dxa"/>
          </w:tcPr>
          <w:p w14:paraId="4F27E1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23</w:t>
            </w:r>
          </w:p>
        </w:tc>
        <w:tc>
          <w:tcPr>
            <w:tcW w:w="1843" w:type="dxa"/>
          </w:tcPr>
          <w:p w14:paraId="47F89F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437</w:t>
            </w:r>
          </w:p>
        </w:tc>
        <w:tc>
          <w:tcPr>
            <w:tcW w:w="1843" w:type="dxa"/>
          </w:tcPr>
          <w:p w14:paraId="280610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573</w:t>
            </w:r>
          </w:p>
        </w:tc>
        <w:tc>
          <w:tcPr>
            <w:tcW w:w="1843" w:type="dxa"/>
          </w:tcPr>
          <w:p w14:paraId="0BAFBE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574</w:t>
            </w:r>
          </w:p>
        </w:tc>
        <w:tc>
          <w:tcPr>
            <w:tcW w:w="2126" w:type="dxa"/>
          </w:tcPr>
          <w:p w14:paraId="702147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586</w:t>
            </w:r>
          </w:p>
        </w:tc>
      </w:tr>
      <w:tr w:rsidR="00E371BA" w:rsidRPr="00507A31" w14:paraId="12F23876" w14:textId="77777777">
        <w:trPr>
          <w:cantSplit/>
        </w:trPr>
        <w:tc>
          <w:tcPr>
            <w:tcW w:w="1809" w:type="dxa"/>
          </w:tcPr>
          <w:p w14:paraId="668EA3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31</w:t>
            </w:r>
          </w:p>
        </w:tc>
        <w:tc>
          <w:tcPr>
            <w:tcW w:w="1843" w:type="dxa"/>
          </w:tcPr>
          <w:p w14:paraId="092A11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710</w:t>
            </w:r>
          </w:p>
        </w:tc>
        <w:tc>
          <w:tcPr>
            <w:tcW w:w="1843" w:type="dxa"/>
          </w:tcPr>
          <w:p w14:paraId="2E0117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246</w:t>
            </w:r>
          </w:p>
        </w:tc>
        <w:tc>
          <w:tcPr>
            <w:tcW w:w="1843" w:type="dxa"/>
          </w:tcPr>
          <w:p w14:paraId="7AF1C4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356</w:t>
            </w:r>
          </w:p>
        </w:tc>
        <w:tc>
          <w:tcPr>
            <w:tcW w:w="2126" w:type="dxa"/>
          </w:tcPr>
          <w:p w14:paraId="280996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550</w:t>
            </w:r>
          </w:p>
        </w:tc>
      </w:tr>
      <w:tr w:rsidR="00E371BA" w:rsidRPr="00507A31" w14:paraId="572D1AEF" w14:textId="77777777">
        <w:trPr>
          <w:cantSplit/>
        </w:trPr>
        <w:tc>
          <w:tcPr>
            <w:tcW w:w="1809" w:type="dxa"/>
          </w:tcPr>
          <w:p w14:paraId="716CC4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ХАЗ</w:t>
            </w:r>
          </w:p>
        </w:tc>
        <w:tc>
          <w:tcPr>
            <w:tcW w:w="1843" w:type="dxa"/>
          </w:tcPr>
          <w:p w14:paraId="74B9A2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87</w:t>
            </w:r>
          </w:p>
        </w:tc>
        <w:tc>
          <w:tcPr>
            <w:tcW w:w="1843" w:type="dxa"/>
          </w:tcPr>
          <w:p w14:paraId="108FAB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124</w:t>
            </w:r>
          </w:p>
        </w:tc>
        <w:tc>
          <w:tcPr>
            <w:tcW w:w="1843" w:type="dxa"/>
          </w:tcPr>
          <w:p w14:paraId="72AACA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192</w:t>
            </w:r>
          </w:p>
        </w:tc>
        <w:tc>
          <w:tcPr>
            <w:tcW w:w="2126" w:type="dxa"/>
          </w:tcPr>
          <w:p w14:paraId="1D2CB5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232</w:t>
            </w:r>
          </w:p>
        </w:tc>
      </w:tr>
      <w:tr w:rsidR="00E371BA" w:rsidRPr="00507A31" w14:paraId="03ED6E61" w14:textId="77777777">
        <w:trPr>
          <w:cantSplit/>
        </w:trPr>
        <w:tc>
          <w:tcPr>
            <w:tcW w:w="1809" w:type="dxa"/>
          </w:tcPr>
          <w:p w14:paraId="786F37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А</w:t>
            </w:r>
          </w:p>
        </w:tc>
        <w:tc>
          <w:tcPr>
            <w:tcW w:w="1843" w:type="dxa"/>
          </w:tcPr>
          <w:p w14:paraId="5DA7E9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843" w:type="dxa"/>
          </w:tcPr>
          <w:p w14:paraId="0DB667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843" w:type="dxa"/>
          </w:tcPr>
          <w:p w14:paraId="29B1B2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860</w:t>
            </w:r>
          </w:p>
        </w:tc>
        <w:tc>
          <w:tcPr>
            <w:tcW w:w="2126" w:type="dxa"/>
          </w:tcPr>
          <w:p w14:paraId="21242D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2142</w:t>
            </w:r>
          </w:p>
        </w:tc>
      </w:tr>
      <w:tr w:rsidR="00E371BA" w:rsidRPr="00507A31" w14:paraId="3876AFEB" w14:textId="77777777">
        <w:trPr>
          <w:cantSplit/>
        </w:trPr>
        <w:tc>
          <w:tcPr>
            <w:tcW w:w="1809" w:type="dxa"/>
          </w:tcPr>
          <w:p w14:paraId="46B043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Б</w:t>
            </w:r>
          </w:p>
        </w:tc>
        <w:tc>
          <w:tcPr>
            <w:tcW w:w="1843" w:type="dxa"/>
          </w:tcPr>
          <w:p w14:paraId="73090B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843" w:type="dxa"/>
          </w:tcPr>
          <w:p w14:paraId="3D1CA5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843" w:type="dxa"/>
          </w:tcPr>
          <w:p w14:paraId="0F0E7D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196</w:t>
            </w:r>
          </w:p>
        </w:tc>
        <w:tc>
          <w:tcPr>
            <w:tcW w:w="2126" w:type="dxa"/>
          </w:tcPr>
          <w:p w14:paraId="39EF9D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579</w:t>
            </w:r>
          </w:p>
        </w:tc>
      </w:tr>
      <w:tr w:rsidR="00E371BA" w:rsidRPr="00507A31" w14:paraId="21D2F1C4" w14:textId="77777777">
        <w:trPr>
          <w:cantSplit/>
        </w:trPr>
        <w:tc>
          <w:tcPr>
            <w:tcW w:w="1809" w:type="dxa"/>
          </w:tcPr>
          <w:p w14:paraId="3C479D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843" w:type="dxa"/>
          </w:tcPr>
          <w:p w14:paraId="2284E8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2473</w:t>
            </w:r>
          </w:p>
        </w:tc>
        <w:tc>
          <w:tcPr>
            <w:tcW w:w="1843" w:type="dxa"/>
          </w:tcPr>
          <w:p w14:paraId="5FC604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3003</w:t>
            </w:r>
          </w:p>
        </w:tc>
        <w:tc>
          <w:tcPr>
            <w:tcW w:w="1843" w:type="dxa"/>
          </w:tcPr>
          <w:p w14:paraId="4AA19F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4875</w:t>
            </w:r>
          </w:p>
        </w:tc>
        <w:tc>
          <w:tcPr>
            <w:tcW w:w="2126" w:type="dxa"/>
          </w:tcPr>
          <w:p w14:paraId="357D45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7098</w:t>
            </w:r>
          </w:p>
        </w:tc>
      </w:tr>
    </w:tbl>
    <w:p w14:paraId="3491A4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Моторостроительные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1843"/>
        <w:gridCol w:w="1843"/>
        <w:gridCol w:w="2126"/>
      </w:tblGrid>
      <w:tr w:rsidR="00E371BA" w:rsidRPr="00507A31" w14:paraId="739D4AA9" w14:textId="77777777">
        <w:trPr>
          <w:cantSplit/>
        </w:trPr>
        <w:tc>
          <w:tcPr>
            <w:tcW w:w="1809" w:type="dxa"/>
          </w:tcPr>
          <w:p w14:paraId="52683F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Заводы</w:t>
            </w:r>
          </w:p>
        </w:tc>
        <w:tc>
          <w:tcPr>
            <w:tcW w:w="1843" w:type="dxa"/>
          </w:tcPr>
          <w:p w14:paraId="044E19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1929/30 год</w:t>
            </w:r>
          </w:p>
        </w:tc>
        <w:tc>
          <w:tcPr>
            <w:tcW w:w="1843" w:type="dxa"/>
          </w:tcPr>
          <w:p w14:paraId="432847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1930/31 год</w:t>
            </w:r>
          </w:p>
        </w:tc>
        <w:tc>
          <w:tcPr>
            <w:tcW w:w="1843" w:type="dxa"/>
          </w:tcPr>
          <w:p w14:paraId="7B4F0B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1931/32 год</w:t>
            </w:r>
          </w:p>
        </w:tc>
        <w:tc>
          <w:tcPr>
            <w:tcW w:w="2126" w:type="dxa"/>
          </w:tcPr>
          <w:p w14:paraId="227813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1932/33 год</w:t>
            </w:r>
          </w:p>
        </w:tc>
      </w:tr>
      <w:tr w:rsidR="00E371BA" w:rsidRPr="00507A31" w14:paraId="330160D1" w14:textId="77777777">
        <w:trPr>
          <w:cantSplit/>
        </w:trPr>
        <w:tc>
          <w:tcPr>
            <w:tcW w:w="1809" w:type="dxa"/>
          </w:tcPr>
          <w:p w14:paraId="74461A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24</w:t>
            </w:r>
          </w:p>
        </w:tc>
        <w:tc>
          <w:tcPr>
            <w:tcW w:w="1843" w:type="dxa"/>
          </w:tcPr>
          <w:p w14:paraId="406F8F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1915</w:t>
            </w:r>
          </w:p>
        </w:tc>
        <w:tc>
          <w:tcPr>
            <w:tcW w:w="1843" w:type="dxa"/>
          </w:tcPr>
          <w:p w14:paraId="12D570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2080</w:t>
            </w:r>
          </w:p>
        </w:tc>
        <w:tc>
          <w:tcPr>
            <w:tcW w:w="1843" w:type="dxa"/>
          </w:tcPr>
          <w:p w14:paraId="2153F5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1850</w:t>
            </w:r>
          </w:p>
        </w:tc>
        <w:tc>
          <w:tcPr>
            <w:tcW w:w="2126" w:type="dxa"/>
          </w:tcPr>
          <w:p w14:paraId="2D0BA6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2385</w:t>
            </w:r>
          </w:p>
        </w:tc>
      </w:tr>
      <w:tr w:rsidR="00E371BA" w:rsidRPr="00507A31" w14:paraId="50521BC5" w14:textId="77777777">
        <w:trPr>
          <w:cantSplit/>
        </w:trPr>
        <w:tc>
          <w:tcPr>
            <w:tcW w:w="1809" w:type="dxa"/>
          </w:tcPr>
          <w:p w14:paraId="56EBF3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26</w:t>
            </w:r>
          </w:p>
        </w:tc>
        <w:tc>
          <w:tcPr>
            <w:tcW w:w="1843" w:type="dxa"/>
          </w:tcPr>
          <w:p w14:paraId="34E8D9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w:t>
            </w:r>
          </w:p>
        </w:tc>
        <w:tc>
          <w:tcPr>
            <w:tcW w:w="1843" w:type="dxa"/>
          </w:tcPr>
          <w:p w14:paraId="63F779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875</w:t>
            </w:r>
          </w:p>
        </w:tc>
        <w:tc>
          <w:tcPr>
            <w:tcW w:w="1843" w:type="dxa"/>
          </w:tcPr>
          <w:p w14:paraId="27F114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2300</w:t>
            </w:r>
          </w:p>
        </w:tc>
        <w:tc>
          <w:tcPr>
            <w:tcW w:w="2126" w:type="dxa"/>
          </w:tcPr>
          <w:p w14:paraId="66B532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3350</w:t>
            </w:r>
          </w:p>
        </w:tc>
      </w:tr>
      <w:tr w:rsidR="00E371BA" w:rsidRPr="00507A31" w14:paraId="1197E7E3" w14:textId="77777777">
        <w:trPr>
          <w:cantSplit/>
        </w:trPr>
        <w:tc>
          <w:tcPr>
            <w:tcW w:w="1809" w:type="dxa"/>
          </w:tcPr>
          <w:p w14:paraId="79003C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29</w:t>
            </w:r>
          </w:p>
        </w:tc>
        <w:tc>
          <w:tcPr>
            <w:tcW w:w="1843" w:type="dxa"/>
          </w:tcPr>
          <w:p w14:paraId="1917C5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360</w:t>
            </w:r>
          </w:p>
        </w:tc>
        <w:tc>
          <w:tcPr>
            <w:tcW w:w="1843" w:type="dxa"/>
          </w:tcPr>
          <w:p w14:paraId="3FFCB4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w:t>
            </w:r>
          </w:p>
        </w:tc>
        <w:tc>
          <w:tcPr>
            <w:tcW w:w="1843" w:type="dxa"/>
          </w:tcPr>
          <w:p w14:paraId="5C99A9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1210</w:t>
            </w:r>
          </w:p>
        </w:tc>
        <w:tc>
          <w:tcPr>
            <w:tcW w:w="2126" w:type="dxa"/>
          </w:tcPr>
          <w:p w14:paraId="0E0284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1725</w:t>
            </w:r>
          </w:p>
        </w:tc>
      </w:tr>
      <w:tr w:rsidR="00E371BA" w:rsidRPr="00507A31" w14:paraId="2A585565" w14:textId="77777777">
        <w:trPr>
          <w:cantSplit/>
        </w:trPr>
        <w:tc>
          <w:tcPr>
            <w:tcW w:w="1809" w:type="dxa"/>
          </w:tcPr>
          <w:p w14:paraId="0BA7AD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w:t>
            </w:r>
          </w:p>
        </w:tc>
        <w:tc>
          <w:tcPr>
            <w:tcW w:w="1843" w:type="dxa"/>
          </w:tcPr>
          <w:p w14:paraId="3AA9B7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843" w:type="dxa"/>
          </w:tcPr>
          <w:p w14:paraId="1BF6AA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843" w:type="dxa"/>
          </w:tcPr>
          <w:p w14:paraId="60ED4D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2126" w:type="dxa"/>
          </w:tcPr>
          <w:p w14:paraId="0AD1B6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2000</w:t>
            </w:r>
          </w:p>
        </w:tc>
      </w:tr>
      <w:tr w:rsidR="00E371BA" w:rsidRPr="00507A31" w14:paraId="3B2EB018" w14:textId="77777777">
        <w:trPr>
          <w:cantSplit/>
        </w:trPr>
        <w:tc>
          <w:tcPr>
            <w:tcW w:w="1809" w:type="dxa"/>
          </w:tcPr>
          <w:p w14:paraId="19D0D6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843" w:type="dxa"/>
          </w:tcPr>
          <w:p w14:paraId="7BCCC7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2775</w:t>
            </w:r>
          </w:p>
        </w:tc>
        <w:tc>
          <w:tcPr>
            <w:tcW w:w="1843" w:type="dxa"/>
          </w:tcPr>
          <w:p w14:paraId="7A16AA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3655</w:t>
            </w:r>
          </w:p>
        </w:tc>
        <w:tc>
          <w:tcPr>
            <w:tcW w:w="1843" w:type="dxa"/>
          </w:tcPr>
          <w:p w14:paraId="52979D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5660</w:t>
            </w:r>
          </w:p>
        </w:tc>
        <w:tc>
          <w:tcPr>
            <w:tcW w:w="2126" w:type="dxa"/>
          </w:tcPr>
          <w:p w14:paraId="1D720B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9460</w:t>
            </w:r>
          </w:p>
        </w:tc>
      </w:tr>
    </w:tbl>
    <w:p w14:paraId="092656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Типы и конструкции самолетов и моторов в пределах указанных выше цифр, должны устанавливаться НКВМ по соглашению с ВСНХ. Таким образом, для достижения мощностей заводов, согласно постановления СТО, строительство и оборудование заводов, как по расширению существующих, так и по постройке новых должно идти таким образом, чтобы существующие заводы были почти полностью закончены в 1930/31 году, а новые в том же году были доведены до производственного состояния, обеспечивающего выполнение мобилизационной программы в 1931/32 году.</w:t>
      </w:r>
    </w:p>
    <w:p w14:paraId="1ED9AE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1FF727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этих трех договоров во исполнение постановления СТО от 14 января 1930 года, ВАО заключен в марте 1930 года договор с фирмой Хейнкель на постройку истребителей НД37 смешанной сварной конструкции.</w:t>
      </w:r>
    </w:p>
    <w:p w14:paraId="67B060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Аналогичное постановление РЗ СТО о приобретении техпомощи по постройке морских самолетов не могло быть выполнено в виду отсутствия со стороны ВВС выбора объекта такового.</w:t>
      </w:r>
    </w:p>
    <w:p w14:paraId="746D62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Попытки заключить договора с фирмами Кертисс, Дорнье, Зенит, Савойя и др. до сих пор реальных результатов еще не дали.</w:t>
      </w:r>
    </w:p>
    <w:p w14:paraId="235AEC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Необходимо отметить, что кроме перечисленных выше, Авиаобъединением был заключен договор с фирмой "Сцантия" на производство магнето; договор этот передан для реализации ВЭО.</w:t>
      </w:r>
    </w:p>
    <w:p w14:paraId="72233F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Ход программы в 1929-30 году.</w:t>
      </w:r>
    </w:p>
    <w:p w14:paraId="4D53AA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первое полугодие по предварительным данным выполнение производственной программы характеризуется следующими данными: в количественном выражении (см. приложение № 3) самолетов выпущено 405 штук, что составляет 91,8% от полугодовой и …. % от годовой, моторов выпущено 619 штук, что составляет 93,7% от полугодовой и 41,1% от годовой.</w:t>
      </w:r>
    </w:p>
    <w:p w14:paraId="1DB894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товарной продукции в целом по объединению выпущено на 25208000 рублей, что составляет от полугодовой 87% и от годовой – 34%.</w:t>
      </w:r>
    </w:p>
    <w:p w14:paraId="4D23E9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Основными причинами невыполнения программ за первое полугодие являются следующие:</w:t>
      </w:r>
    </w:p>
    <w:p w14:paraId="75B359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Самолетостроительные заводы.</w:t>
      </w:r>
    </w:p>
    <w:p w14:paraId="7C75AF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w:t>
      </w:r>
    </w:p>
    <w:p w14:paraId="49D2C5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Самолеты И3-М17. Предъявление самолетов И3 как перешедших с программы 1928/29 года в программу 1929/30 года, так и новых, должно производиться после тех переделок, которые были фиксированы протоколом заседания у начальника ВВС (от 16 октября 1929 года). Утверждение НТК УВВС этих переделок на образцовом самолете последовало только 19 декабря 1929 года.</w:t>
      </w:r>
    </w:p>
    <w:p w14:paraId="35F5B0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Такое позднее утверждение образцового самолета отразилось на выполнении первого квартала и этот недодел завод в течение второго квартала не успел выровнять. Большое затруднение в выполнении программы вызвала и поздняя подача УВВС импортных моторов (БМВ-VI), причем часть из них была в некондиционном виде, заключающемся в затруднительном проворачивании коленчатого вала.</w:t>
      </w:r>
    </w:p>
    <w:p w14:paraId="2D736D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Вследствие этого пришлось установленные уже моторы на самолеты снимать, что, конечно, также тормозило выполнение программы.</w:t>
      </w:r>
    </w:p>
    <w:p w14:paraId="404772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Самолеты Р5-М17. Опоздание в предъявлении самолетов объясняется исключительно поздним разрешением вопроса о конструкции шасси и дополнительным требованием УВВС о внесении переделок вопреки протокола от 28 января 1930 года заседания у зам. начальника ВВС. Новые требования УВВС об установке на этом самолете электроосвещения, не предусмотренного договором, также имели свое отражение на выполнении программы.</w:t>
      </w:r>
    </w:p>
    <w:p w14:paraId="1001EC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23.</w:t>
      </w:r>
    </w:p>
    <w:p w14:paraId="34E098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Самолеты У1-М2. Невыполнение программы по этому самолету пало на машины для Осоавиахима, что объясняется тем, что заказ Осоавиахима на 30 машин задержан был своим оформлением и вследствие этого завод с опозданием против плана пустил этот заказ в производство.</w:t>
      </w:r>
    </w:p>
    <w:p w14:paraId="274000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ближайшие месяцы это недовыполнение будет покрыто.</w:t>
      </w:r>
    </w:p>
    <w:p w14:paraId="5D523F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б) Самолеты У2-М11. Опоздание в выполнении программы по У2 объясняется исключительно задержкой в подаче моторов М-11 с завода № 29 по причинам указанным ниже. Фактически же У2 в части самолетных работ заводом выполнены и по получении моторов будет быстро восстановлен образовавшийся недодел.</w:t>
      </w:r>
    </w:p>
    <w:p w14:paraId="374A4E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Харьковский завод.</w:t>
      </w:r>
    </w:p>
    <w:p w14:paraId="38BD46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Невыполнение программы главным образом объясняется слабым составом техперсонала и отсутствием должной производственной организации, могущей быстро справиться с затруднениями, которые встречаются при внедрении в производство новых машин.</w:t>
      </w:r>
    </w:p>
    <w:p w14:paraId="5039AE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31.</w:t>
      </w:r>
    </w:p>
    <w:p w14:paraId="4FEBE8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 Р1-М5. Вследствие форсирования программы в 1928/29 году завод вышел на 1 октября 1929 года с заделом, не обеспечивающим нормальное выполнение программы в 1929/30 году, благодаря чему завод в I квартале имел значительный недодел, который покрыт во II квартале и в III квартале будет ликвидирован окончательно.</w:t>
      </w:r>
    </w:p>
    <w:p w14:paraId="283B4E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26.</w:t>
      </w:r>
    </w:p>
    <w:p w14:paraId="063A9D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Невыполнение программы по моторам М17 необходимо отнести исключительно к трудностям постановки производства нового мотора, и, в частности, к особенностям мотора БМВ в части производства шатунного механизма. Завод же № 26, как начавший в 1928/29 году производство с нуля, не имеет должного кадра квалифицированной рабсилы и техперсонала, который бы мог успешно разрешить производственные вопросы, возникающие в повседневной жизни завода. В данное время на заводе имеется собранных 40 моторов, кроме этого 20 моторов в сборке.</w:t>
      </w:r>
    </w:p>
    <w:p w14:paraId="11B935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29.</w:t>
      </w:r>
    </w:p>
    <w:p w14:paraId="094769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Невыполнение программы по моторам М11 объясняется исключительно неполучением импортных полуфабрикатов из-за границы. Сначала была задержка в шарикоподшипниках, а в данное время в карбюраторах и магнето. Изготовлено же деталей и укомплектовано 65 моторов.</w:t>
      </w:r>
    </w:p>
    <w:p w14:paraId="13B32E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ремонтным заводам. Задержка выполнением программы происходит исключительно вследствие отсутствия запасных частей, которые ВАО не успело заготовить, так как ремонтные заводы перешли в объединение только с 1 октября 1929 года и до перехода снабжались запчастями от УВВС.</w:t>
      </w:r>
    </w:p>
    <w:p w14:paraId="5C06DC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Перспективы выполнения плана в 1929/30 году.</w:t>
      </w:r>
    </w:p>
    <w:p w14:paraId="0E3BCE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Самолетостроительные заводы.</w:t>
      </w:r>
    </w:p>
    <w:p w14:paraId="277F22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Производственная мощность заводов дает полную возможность выполнить заданную программы по самолетам в 1360 машин. С конструктивной стороны машин, затруднения в выполнении программы можно ожидать только по самолетам АНТ-9 и У2М11, так как на первом самолете должна быть переконструирована подмоторная рама, вследствие изменений в габаритах импортного мотора Райт; на втором -–У2М11 также в данное время переконструируется подмоторная рама вследствие изменения конструкции карбюраторной установки, влекущей за собой изменение габаритов мотора.</w:t>
      </w:r>
    </w:p>
    <w:p w14:paraId="5355F4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Главные же щатруднения в выполнении программы может вызвать несвоевременная подача УВВС импортных моторов (БМВVI) (ЮП-VI и Райт), что отразится на программе по И3, ТБ1, И4, АНТ-9. Также возможны затруднения по У2М11 вследствие задержки в подаче моторов М11.</w:t>
      </w:r>
    </w:p>
    <w:p w14:paraId="238BB4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Затруднения возможны и в получении импортных полуфабрикатов (шарикоподшипники, трубы и т.п.).</w:t>
      </w:r>
    </w:p>
    <w:p w14:paraId="4194A4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Моторостроительные заводы.</w:t>
      </w:r>
    </w:p>
    <w:p w14:paraId="7E773D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Затруднения в выполнении программы имеются по моторам М17 по заводу № 26.</w:t>
      </w:r>
    </w:p>
    <w:p w14:paraId="3F89EA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Для выполнения программных заданий завод имеет вполне достаточную производственную мощность как по оборудованию, так и по площадям, но нельзя </w:t>
      </w:r>
    </w:p>
    <w:p w14:paraId="28F586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этого сказать с такой же уверенностью в части наладки производства и освоения мотора в производственном отношении. В данное время завод имеет 40 моторов собранных и 20 моторов в сборке, а также и значительный задел по деталям – на 50-60 моторов.</w:t>
      </w:r>
    </w:p>
    <w:p w14:paraId="6E28E1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начавший в недалеком прошлом производство от нуля, болел, а также и переживает в данное время те затруднения, какие имеют место при внедрении сложного производства мощных авиамоторов. Но необходимо отметить, что целый ряд так называемых "детских болезней производства" заводом изживается и постепенно создается та техническая культура производства, которая необходима для решения сложных производственных задач, какие ставит перед заводом производство авиамоторов М17.</w:t>
      </w:r>
    </w:p>
    <w:p w14:paraId="315C3F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Что касается изготовления коленчатых валов для М17, то положение с производством их на данное время таково – в производстве в разной стадии обработки находится до 40 валов, цементацию прошли 20 валов, из них 6 прошли окончательную калку. Задержка происходит вследствие отсутствия печей для цементации. В настоящее время цементация коленчатых валов производится в печи для цилндров, где помещается только один вал. К 7-8 апреля заводом будет пущена в работу новая печь для одновременной цементации 5 коленчатых валов; кроме этой печи запроектировано еще 3 печи. При обработке коленчатых валов ощущается нужда в станке Гарднера, который перебрасывается в данное время с Ижевского завода. Срочная переброска этого станка дает возможность на 1 мая выпустить 7 коленчатых валов и дальнейший выпуск ориентировочно намечается в следующих количествах:</w:t>
      </w:r>
    </w:p>
    <w:p w14:paraId="3AEBC1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 7 валов</w:t>
      </w:r>
    </w:p>
    <w:p w14:paraId="017299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 10 валов</w:t>
      </w:r>
    </w:p>
    <w:p w14:paraId="247ECE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 13 валов</w:t>
      </w:r>
    </w:p>
    <w:p w14:paraId="2FC3FA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 25 валов</w:t>
      </w:r>
    </w:p>
    <w:p w14:paraId="0C6D36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 30 валов</w:t>
      </w:r>
    </w:p>
    <w:p w14:paraId="54BFB8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 35 валов</w:t>
      </w:r>
    </w:p>
    <w:p w14:paraId="5A2250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 – 120 валов</w:t>
      </w:r>
    </w:p>
    <w:p w14:paraId="718692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данное время все затруднения в быстром развитии производства упираются в качество рабочей силы и в количественный и качественный недостаток технического персонала.</w:t>
      </w:r>
    </w:p>
    <w:p w14:paraId="52B97C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Неблагоприятное разрешение этой проблемы в должные сроки вызывает тревогу как у завода, так и Авиаобъединения, ибо большинство из имеющегося рабочего кадра не имеют должной квалификации и вынуждено параллельно с изготовлением деталей приобретать те профессиональные навыки, которые требуются для быстрого и технически правильного изготовления деталей моторов.</w:t>
      </w:r>
    </w:p>
    <w:p w14:paraId="30DC2C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Дальнейшее выполнение программы настоятельно диктует срочную переброску высококвалифицированных рабочих до 50 человек и 15 инженеров разных специальностей, что провести в жизнь крайне затруднительно.</w:t>
      </w:r>
    </w:p>
    <w:p w14:paraId="099860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Согласно постановления Правительства на заводе № 24, кроме изготовления моторов М5 и М2, ставится в данное время производство и мощных моторов М17.</w:t>
      </w:r>
    </w:p>
    <w:p w14:paraId="35AA47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Чертежи, литье и штампованные детали завода № 24 получает на всю программу 1929/30 года с завода № 26, а коленчатыми валами пользуются импортными.</w:t>
      </w:r>
    </w:p>
    <w:p w14:paraId="607AD7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Темпы подготовки к производству и проработки всех мероприятий к быстрому внедрению в производство мотора М17 дают уверенность Авиаобъединению, что завод № 24 должен справиться с выполнением возложенной на него задачи по выпуску к 1 октября 1930 года – 80 моторов М17 (3545, 79-92).</w:t>
      </w:r>
    </w:p>
    <w:p w14:paraId="639918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Сводная таблица № 4 самолетов плана 1928/29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2551"/>
        <w:gridCol w:w="3544"/>
        <w:gridCol w:w="2977"/>
      </w:tblGrid>
      <w:tr w:rsidR="00E371BA" w:rsidRPr="00507A31" w14:paraId="26F34EAC" w14:textId="77777777">
        <w:trPr>
          <w:cantSplit/>
        </w:trPr>
        <w:tc>
          <w:tcPr>
            <w:tcW w:w="1526" w:type="dxa"/>
          </w:tcPr>
          <w:p w14:paraId="0344BC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Марка самолета</w:t>
            </w:r>
          </w:p>
        </w:tc>
        <w:tc>
          <w:tcPr>
            <w:tcW w:w="2551" w:type="dxa"/>
          </w:tcPr>
          <w:p w14:paraId="7F1089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 и назначение</w:t>
            </w:r>
          </w:p>
        </w:tc>
        <w:tc>
          <w:tcPr>
            <w:tcW w:w="3544" w:type="dxa"/>
          </w:tcPr>
          <w:p w14:paraId="3885E5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Состояние работ на 1 октября 1929 года и на 1 апреля 1930 года</w:t>
            </w:r>
          </w:p>
        </w:tc>
        <w:tc>
          <w:tcPr>
            <w:tcW w:w="2977" w:type="dxa"/>
          </w:tcPr>
          <w:p w14:paraId="03B738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госиспытания</w:t>
            </w:r>
          </w:p>
        </w:tc>
      </w:tr>
      <w:tr w:rsidR="00E371BA" w:rsidRPr="00507A31" w14:paraId="64FF2276" w14:textId="77777777">
        <w:trPr>
          <w:cantSplit/>
        </w:trPr>
        <w:tc>
          <w:tcPr>
            <w:tcW w:w="1526" w:type="dxa"/>
          </w:tcPr>
          <w:p w14:paraId="5F1DF0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П6-М11</w:t>
            </w:r>
          </w:p>
        </w:tc>
        <w:tc>
          <w:tcPr>
            <w:tcW w:w="2551" w:type="dxa"/>
          </w:tcPr>
          <w:p w14:paraId="1A8E2A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Армейский разведчик деревянной конструкции под мотор М17</w:t>
            </w:r>
          </w:p>
        </w:tc>
        <w:tc>
          <w:tcPr>
            <w:tcW w:w="3544" w:type="dxa"/>
          </w:tcPr>
          <w:p w14:paraId="5B087C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закончены и самолет в двух экземплярах был предъявлен на госиспытания, после чего по требованию УВВС был произведен ряд переделок и усовершенствований, вызвавших в 1929/30 году постройку еще двух дополнительных экземпляров, прошедших госиспытания.</w:t>
            </w:r>
          </w:p>
        </w:tc>
        <w:tc>
          <w:tcPr>
            <w:tcW w:w="2977" w:type="dxa"/>
          </w:tcPr>
          <w:p w14:paraId="6F9292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Передан как образец для серийной постройки.</w:t>
            </w:r>
          </w:p>
        </w:tc>
      </w:tr>
      <w:tr w:rsidR="00E371BA" w:rsidRPr="00507A31" w14:paraId="7B53A2A2" w14:textId="77777777">
        <w:trPr>
          <w:cantSplit/>
        </w:trPr>
        <w:tc>
          <w:tcPr>
            <w:tcW w:w="1526" w:type="dxa"/>
          </w:tcPr>
          <w:p w14:paraId="2AD9FF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И3-М17</w:t>
            </w:r>
          </w:p>
        </w:tc>
        <w:tc>
          <w:tcPr>
            <w:tcW w:w="2551" w:type="dxa"/>
          </w:tcPr>
          <w:p w14:paraId="083659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Улучшение одноместного истребителя деревянной конструкции И3 под мотор М17.</w:t>
            </w:r>
          </w:p>
        </w:tc>
        <w:tc>
          <w:tcPr>
            <w:tcW w:w="3544" w:type="dxa"/>
          </w:tcPr>
          <w:p w14:paraId="280AAB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закончены. При госиспытаниях в 1928/29 году самолет потерпел случайную аварию и работа перешла на 1929/30 год, в каковом и закончена окончательно. Вторичные госиспытания закончены.</w:t>
            </w:r>
          </w:p>
        </w:tc>
        <w:tc>
          <w:tcPr>
            <w:tcW w:w="2977" w:type="dxa"/>
          </w:tcPr>
          <w:p w14:paraId="3C649F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Улучшения вводятся в серийные машины.</w:t>
            </w:r>
          </w:p>
        </w:tc>
      </w:tr>
      <w:tr w:rsidR="00E371BA" w:rsidRPr="00507A31" w14:paraId="6B64C7A9" w14:textId="77777777">
        <w:trPr>
          <w:cantSplit/>
        </w:trPr>
        <w:tc>
          <w:tcPr>
            <w:tcW w:w="1526" w:type="dxa"/>
          </w:tcPr>
          <w:p w14:paraId="52932A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ДИ2-М17</w:t>
            </w:r>
          </w:p>
        </w:tc>
        <w:tc>
          <w:tcPr>
            <w:tcW w:w="2551" w:type="dxa"/>
          </w:tcPr>
          <w:p w14:paraId="72C977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Двухместный истребитель деревянной конструкции под мотор М17.</w:t>
            </w:r>
          </w:p>
        </w:tc>
        <w:tc>
          <w:tcPr>
            <w:tcW w:w="3544" w:type="dxa"/>
          </w:tcPr>
          <w:p w14:paraId="360D77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закончен постройкой в 1928/29 году с исключительно хорошими летными данными. Не удовлетворяет УВВС вследствие запаздывания выхода из штопора. В 1929/30 году производится изучение штопора этой машины и вводятся нужные переделки. Новая марка машины ДИ-2.</w:t>
            </w:r>
          </w:p>
        </w:tc>
        <w:tc>
          <w:tcPr>
            <w:tcW w:w="2977" w:type="dxa"/>
          </w:tcPr>
          <w:p w14:paraId="3DA12D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Июнь 1930 года.</w:t>
            </w:r>
          </w:p>
        </w:tc>
      </w:tr>
      <w:tr w:rsidR="00E371BA" w:rsidRPr="00507A31" w14:paraId="147AA319" w14:textId="77777777">
        <w:trPr>
          <w:cantSplit/>
        </w:trPr>
        <w:tc>
          <w:tcPr>
            <w:tcW w:w="1526" w:type="dxa"/>
          </w:tcPr>
          <w:p w14:paraId="144C7E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У2-М11</w:t>
            </w:r>
          </w:p>
        </w:tc>
        <w:tc>
          <w:tcPr>
            <w:tcW w:w="2551" w:type="dxa"/>
          </w:tcPr>
          <w:p w14:paraId="55B01B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Доводка учебной сухопутной машины с мотором М11.</w:t>
            </w:r>
          </w:p>
        </w:tc>
        <w:tc>
          <w:tcPr>
            <w:tcW w:w="3544" w:type="dxa"/>
          </w:tcPr>
          <w:p w14:paraId="602B5A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закончены в 1928/29 году.</w:t>
            </w:r>
          </w:p>
        </w:tc>
        <w:tc>
          <w:tcPr>
            <w:tcW w:w="2977" w:type="dxa"/>
          </w:tcPr>
          <w:p w14:paraId="7A2910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Передан в серийное производство.</w:t>
            </w:r>
          </w:p>
        </w:tc>
      </w:tr>
      <w:tr w:rsidR="00E371BA" w:rsidRPr="00507A31" w14:paraId="7351214B" w14:textId="77777777">
        <w:trPr>
          <w:cantSplit/>
        </w:trPr>
        <w:tc>
          <w:tcPr>
            <w:tcW w:w="1526" w:type="dxa"/>
          </w:tcPr>
          <w:p w14:paraId="3FCFB1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МУ2-М11 (МУ2)</w:t>
            </w:r>
          </w:p>
        </w:tc>
        <w:tc>
          <w:tcPr>
            <w:tcW w:w="2551" w:type="dxa"/>
          </w:tcPr>
          <w:p w14:paraId="1DDF16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Постановка на поплавки учебной машины У2.</w:t>
            </w:r>
          </w:p>
        </w:tc>
        <w:tc>
          <w:tcPr>
            <w:tcW w:w="3544" w:type="dxa"/>
          </w:tcPr>
          <w:p w14:paraId="1274ED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начата в конце 1928/29 года и перешла на 1929/30 год. Новая марка машины МУ2.</w:t>
            </w:r>
          </w:p>
        </w:tc>
        <w:tc>
          <w:tcPr>
            <w:tcW w:w="2977" w:type="dxa"/>
          </w:tcPr>
          <w:p w14:paraId="2AC219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Июнь 1930 года.</w:t>
            </w:r>
          </w:p>
        </w:tc>
      </w:tr>
      <w:tr w:rsidR="00E371BA" w:rsidRPr="00507A31" w14:paraId="15E8EB41" w14:textId="77777777">
        <w:trPr>
          <w:cantSplit/>
        </w:trPr>
        <w:tc>
          <w:tcPr>
            <w:tcW w:w="1526" w:type="dxa"/>
          </w:tcPr>
          <w:p w14:paraId="0A772C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П2-М6</w:t>
            </w:r>
          </w:p>
        </w:tc>
        <w:tc>
          <w:tcPr>
            <w:tcW w:w="2551" w:type="dxa"/>
          </w:tcPr>
          <w:p w14:paraId="18EAD8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Усовершенствование переходного тренировочного самолета М2 с мотором М6.</w:t>
            </w:r>
          </w:p>
        </w:tc>
        <w:tc>
          <w:tcPr>
            <w:tcW w:w="3544" w:type="dxa"/>
          </w:tcPr>
          <w:p w14:paraId="046EEA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начата в конце 1928/29 года и перешла на 1929/30 год, в котором и закончена. При госиспытаниях в марте 1930 года самолет потерпел аварию, в оценке причин которой мнение ВА расходится с мнением УВВС. Усовершенствование касалось проблемы выхода из штопора. Машина признана УВВС благополучной по штопору только при определенных центровках, несоот. осевой нагрузке.</w:t>
            </w:r>
          </w:p>
        </w:tc>
        <w:tc>
          <w:tcPr>
            <w:tcW w:w="2977" w:type="dxa"/>
          </w:tcPr>
          <w:p w14:paraId="2E29D5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Улучшения вводятся в серийные машины.</w:t>
            </w:r>
          </w:p>
        </w:tc>
      </w:tr>
      <w:tr w:rsidR="00E371BA" w:rsidRPr="00507A31" w14:paraId="40AEFC92" w14:textId="77777777">
        <w:trPr>
          <w:cantSplit/>
        </w:trPr>
        <w:tc>
          <w:tcPr>
            <w:tcW w:w="1526" w:type="dxa"/>
          </w:tcPr>
          <w:p w14:paraId="2395CE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ТБ2-2М17</w:t>
            </w:r>
          </w:p>
        </w:tc>
        <w:tc>
          <w:tcPr>
            <w:tcW w:w="2551" w:type="dxa"/>
          </w:tcPr>
          <w:p w14:paraId="452ED6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Бомбардировщик деревянной конструкции с двумя моторами М17.</w:t>
            </w:r>
          </w:p>
        </w:tc>
        <w:tc>
          <w:tcPr>
            <w:tcW w:w="3544" w:type="dxa"/>
          </w:tcPr>
          <w:p w14:paraId="30D84B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Окончание постройки перешло на 1929/30 год и в настоящее время машина заканчивается сборкой на аэродроме.</w:t>
            </w:r>
          </w:p>
        </w:tc>
        <w:tc>
          <w:tcPr>
            <w:tcW w:w="2977" w:type="dxa"/>
          </w:tcPr>
          <w:p w14:paraId="74DC40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1930 года.</w:t>
            </w:r>
          </w:p>
        </w:tc>
      </w:tr>
      <w:tr w:rsidR="00E371BA" w:rsidRPr="00507A31" w14:paraId="6BF3A7AB" w14:textId="77777777">
        <w:trPr>
          <w:cantSplit/>
        </w:trPr>
        <w:tc>
          <w:tcPr>
            <w:tcW w:w="1526" w:type="dxa"/>
          </w:tcPr>
          <w:p w14:paraId="141C4F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И6-ЮП7</w:t>
            </w:r>
          </w:p>
        </w:tc>
        <w:tc>
          <w:tcPr>
            <w:tcW w:w="2551" w:type="dxa"/>
          </w:tcPr>
          <w:p w14:paraId="1D30E7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Одноместный истребитель деревянной конструкции на мотор ЮП-7.</w:t>
            </w:r>
          </w:p>
        </w:tc>
        <w:tc>
          <w:tcPr>
            <w:tcW w:w="3544" w:type="dxa"/>
          </w:tcPr>
          <w:p w14:paraId="783CF3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1928/29 году велось проектирование и постройка двух экземпляров. Из-за отсутствия моторов работа перешла на 1929/30 год, в котором, кроме того, начата постройка еще двух дополнительных экземпляров с измененной конструкцией фюзеляжа и оперения.</w:t>
            </w:r>
          </w:p>
        </w:tc>
        <w:tc>
          <w:tcPr>
            <w:tcW w:w="2977" w:type="dxa"/>
          </w:tcPr>
          <w:p w14:paraId="5552FE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Август 1930 года.</w:t>
            </w:r>
          </w:p>
        </w:tc>
      </w:tr>
      <w:tr w:rsidR="00E371BA" w:rsidRPr="00507A31" w14:paraId="5B574BC1" w14:textId="77777777">
        <w:trPr>
          <w:cantSplit/>
        </w:trPr>
        <w:tc>
          <w:tcPr>
            <w:tcW w:w="1526" w:type="dxa"/>
          </w:tcPr>
          <w:p w14:paraId="7D742C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И7-М17</w:t>
            </w:r>
          </w:p>
        </w:tc>
        <w:tc>
          <w:tcPr>
            <w:tcW w:w="2551" w:type="dxa"/>
          </w:tcPr>
          <w:p w14:paraId="6CCBD6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Одноместный истребитель под мотор М17 в двух вариантах – деревянной и смешанной сварной конструкции. Модификация типа И3.</w:t>
            </w:r>
          </w:p>
        </w:tc>
        <w:tc>
          <w:tcPr>
            <w:tcW w:w="3544" w:type="dxa"/>
          </w:tcPr>
          <w:p w14:paraId="63003B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1928/29 году велась лишь разработка эскизного проекта, перешедшая на 1929/30 год. В настоящее время ведется конструктивная разработка и начинается постройка.</w:t>
            </w:r>
          </w:p>
        </w:tc>
        <w:tc>
          <w:tcPr>
            <w:tcW w:w="2977" w:type="dxa"/>
          </w:tcPr>
          <w:p w14:paraId="1AF59B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Декабрь 1930 года.</w:t>
            </w:r>
          </w:p>
        </w:tc>
      </w:tr>
      <w:tr w:rsidR="00E371BA" w:rsidRPr="00507A31" w14:paraId="40478AC8" w14:textId="77777777">
        <w:trPr>
          <w:cantSplit/>
        </w:trPr>
        <w:tc>
          <w:tcPr>
            <w:tcW w:w="1526" w:type="dxa"/>
          </w:tcPr>
          <w:p w14:paraId="3F0211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РОМ-1</w:t>
            </w:r>
          </w:p>
        </w:tc>
        <w:tc>
          <w:tcPr>
            <w:tcW w:w="2551" w:type="dxa"/>
          </w:tcPr>
          <w:p w14:paraId="4D6D80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дальний разведчик под два мотора Лоррен-Дитрих.</w:t>
            </w:r>
          </w:p>
        </w:tc>
        <w:tc>
          <w:tcPr>
            <w:tcW w:w="3544" w:type="dxa"/>
          </w:tcPr>
          <w:p w14:paraId="7CE0E5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1928/29 году велось окончание постройки. Работа закончена и сдана УВВС. Машина экспериментального характера и серийная ее постройка признана нецелесообразной.</w:t>
            </w:r>
          </w:p>
        </w:tc>
        <w:tc>
          <w:tcPr>
            <w:tcW w:w="2977" w:type="dxa"/>
          </w:tcPr>
          <w:p w14:paraId="5ADF36D6"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749EE73" w14:textId="77777777">
        <w:trPr>
          <w:cantSplit/>
        </w:trPr>
        <w:tc>
          <w:tcPr>
            <w:tcW w:w="1526" w:type="dxa"/>
          </w:tcPr>
          <w:p w14:paraId="13A3E8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РОМ2 (МДР-1)</w:t>
            </w:r>
          </w:p>
        </w:tc>
        <w:tc>
          <w:tcPr>
            <w:tcW w:w="2551" w:type="dxa"/>
          </w:tcPr>
          <w:p w14:paraId="122432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дальний разведчик под два мотора М17.</w:t>
            </w:r>
          </w:p>
        </w:tc>
        <w:tc>
          <w:tcPr>
            <w:tcW w:w="3544" w:type="dxa"/>
          </w:tcPr>
          <w:p w14:paraId="11A356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была закончена и в октябре 1929 года самолет был предъявлен на госиспытание, выявившее хорошие мореходные качества машины и неудовлетворительность летных данных. В текущем году начаты крупные переделки с изменением схемы самолета на монопланную. Новая марка машины МДР-7.</w:t>
            </w:r>
          </w:p>
        </w:tc>
        <w:tc>
          <w:tcPr>
            <w:tcW w:w="2977" w:type="dxa"/>
          </w:tcPr>
          <w:p w14:paraId="42440A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Ноябрь 1930 года.</w:t>
            </w:r>
          </w:p>
        </w:tc>
      </w:tr>
      <w:tr w:rsidR="00E371BA" w:rsidRPr="00507A31" w14:paraId="4840B80C" w14:textId="77777777">
        <w:trPr>
          <w:cantSplit/>
        </w:trPr>
        <w:tc>
          <w:tcPr>
            <w:tcW w:w="1526" w:type="dxa"/>
          </w:tcPr>
          <w:p w14:paraId="7A4D8A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МР-5 (МБР-1)</w:t>
            </w:r>
          </w:p>
        </w:tc>
        <w:tc>
          <w:tcPr>
            <w:tcW w:w="2551" w:type="dxa"/>
          </w:tcPr>
          <w:p w14:paraId="0BBE40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ближний разведчик под мотор М17.</w:t>
            </w:r>
          </w:p>
        </w:tc>
        <w:tc>
          <w:tcPr>
            <w:tcW w:w="3544" w:type="dxa"/>
          </w:tcPr>
          <w:p w14:paraId="1CB95F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была закончена и в октябре 1929 года самолет был предъявлен на госиспытания, выявившие удовлетворительные летные и плохие мореходные качества машины. В текущем году начать постройку улучшенной лодки в двух вариантах. Новая марка машины МБР-1.</w:t>
            </w:r>
          </w:p>
        </w:tc>
        <w:tc>
          <w:tcPr>
            <w:tcW w:w="2977" w:type="dxa"/>
          </w:tcPr>
          <w:p w14:paraId="0EA0C2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Август 1930 года.</w:t>
            </w:r>
          </w:p>
        </w:tc>
      </w:tr>
      <w:tr w:rsidR="00E371BA" w:rsidRPr="00507A31" w14:paraId="3DFD5A28" w14:textId="77777777">
        <w:trPr>
          <w:cantSplit/>
        </w:trPr>
        <w:tc>
          <w:tcPr>
            <w:tcW w:w="1526" w:type="dxa"/>
          </w:tcPr>
          <w:p w14:paraId="75E189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МУ2-М11</w:t>
            </w:r>
          </w:p>
        </w:tc>
        <w:tc>
          <w:tcPr>
            <w:tcW w:w="2551" w:type="dxa"/>
          </w:tcPr>
          <w:p w14:paraId="687687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лодочный учебный самолет под мотор М11.</w:t>
            </w:r>
          </w:p>
        </w:tc>
        <w:tc>
          <w:tcPr>
            <w:tcW w:w="3544" w:type="dxa"/>
          </w:tcPr>
          <w:p w14:paraId="26483A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1928/29 году велось окончание постройки машины, предъявленной в октябре 1929 года на госиспытания. Машина как тип забракована.</w:t>
            </w:r>
          </w:p>
        </w:tc>
        <w:tc>
          <w:tcPr>
            <w:tcW w:w="2977" w:type="dxa"/>
          </w:tcPr>
          <w:p w14:paraId="3C059A4D"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6744F24" w14:textId="77777777">
        <w:trPr>
          <w:cantSplit/>
        </w:trPr>
        <w:tc>
          <w:tcPr>
            <w:tcW w:w="1526" w:type="dxa"/>
          </w:tcPr>
          <w:p w14:paraId="3B7896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ТОМ-2 (МТБ-1)</w:t>
            </w:r>
          </w:p>
        </w:tc>
        <w:tc>
          <w:tcPr>
            <w:tcW w:w="2551" w:type="dxa"/>
          </w:tcPr>
          <w:p w14:paraId="1C3B7A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торпедоносец бомбардировщик под два мотора М17.</w:t>
            </w:r>
          </w:p>
        </w:tc>
        <w:tc>
          <w:tcPr>
            <w:tcW w:w="3544" w:type="dxa"/>
          </w:tcPr>
          <w:p w14:paraId="30E494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1928/29 году велась конструктивная разработка машины. Постройка перешла на текущий год. Новая марка –МТБ-1.</w:t>
            </w:r>
          </w:p>
        </w:tc>
        <w:tc>
          <w:tcPr>
            <w:tcW w:w="2977" w:type="dxa"/>
          </w:tcPr>
          <w:p w14:paraId="4C1ED8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Ноябрь 1930 года.</w:t>
            </w:r>
          </w:p>
        </w:tc>
      </w:tr>
      <w:tr w:rsidR="00E371BA" w:rsidRPr="00507A31" w14:paraId="47221781" w14:textId="77777777">
        <w:trPr>
          <w:cantSplit/>
        </w:trPr>
        <w:tc>
          <w:tcPr>
            <w:tcW w:w="1526" w:type="dxa"/>
          </w:tcPr>
          <w:p w14:paraId="470CF2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МР-6</w:t>
            </w:r>
          </w:p>
        </w:tc>
        <w:tc>
          <w:tcPr>
            <w:tcW w:w="2551" w:type="dxa"/>
          </w:tcPr>
          <w:p w14:paraId="56C095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ближний разведчик под мотор М17 металлической монопланной конструкции.</w:t>
            </w:r>
          </w:p>
        </w:tc>
        <w:tc>
          <w:tcPr>
            <w:tcW w:w="3544" w:type="dxa"/>
          </w:tcPr>
          <w:p w14:paraId="35214C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1928\29 году велась конструктивная разработка машины. В результате коренных изменений пятилетнего плана опытного строительства работы по МР6 прекращены.</w:t>
            </w:r>
          </w:p>
        </w:tc>
        <w:tc>
          <w:tcPr>
            <w:tcW w:w="2977" w:type="dxa"/>
          </w:tcPr>
          <w:p w14:paraId="59810ED0" w14:textId="77777777" w:rsidR="00537E5F" w:rsidRPr="00507A31" w:rsidRDefault="00537E5F" w:rsidP="00507A31">
            <w:pPr>
              <w:autoSpaceDE w:val="0"/>
              <w:autoSpaceDN w:val="0"/>
              <w:adjustRightInd w:val="0"/>
              <w:jc w:val="both"/>
              <w:rPr>
                <w:color w:val="000000" w:themeColor="text1"/>
                <w:sz w:val="16"/>
                <w:szCs w:val="16"/>
              </w:rPr>
            </w:pPr>
          </w:p>
        </w:tc>
      </w:tr>
    </w:tbl>
    <w:p w14:paraId="01EC96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(3545, 120-122).</w:t>
      </w:r>
    </w:p>
    <w:p w14:paraId="6C6299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Сравнительная таблица № 5 выполнения пятилетнего плана опытного строительства</w:t>
      </w:r>
    </w:p>
    <w:p w14:paraId="1DA4F2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 Опытные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5"/>
        <w:gridCol w:w="851"/>
        <w:gridCol w:w="850"/>
        <w:gridCol w:w="851"/>
        <w:gridCol w:w="1134"/>
        <w:gridCol w:w="1134"/>
        <w:gridCol w:w="1559"/>
        <w:gridCol w:w="851"/>
        <w:gridCol w:w="850"/>
        <w:gridCol w:w="992"/>
        <w:gridCol w:w="1134"/>
      </w:tblGrid>
      <w:tr w:rsidR="00E371BA" w:rsidRPr="00507A31" w14:paraId="6E54687C" w14:textId="77777777">
        <w:trPr>
          <w:cantSplit/>
          <w:trHeight w:val="94"/>
        </w:trPr>
        <w:tc>
          <w:tcPr>
            <w:tcW w:w="675" w:type="dxa"/>
          </w:tcPr>
          <w:p w14:paraId="5BE776AD" w14:textId="77777777" w:rsidR="00537E5F" w:rsidRPr="00507A31" w:rsidRDefault="00537E5F" w:rsidP="00507A31">
            <w:pPr>
              <w:autoSpaceDE w:val="0"/>
              <w:autoSpaceDN w:val="0"/>
              <w:adjustRightInd w:val="0"/>
              <w:jc w:val="both"/>
              <w:rPr>
                <w:color w:val="000000" w:themeColor="text1"/>
                <w:sz w:val="16"/>
                <w:szCs w:val="16"/>
              </w:rPr>
            </w:pPr>
          </w:p>
        </w:tc>
        <w:tc>
          <w:tcPr>
            <w:tcW w:w="2552" w:type="dxa"/>
            <w:gridSpan w:val="3"/>
          </w:tcPr>
          <w:p w14:paraId="59C0B8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Характеристика</w:t>
            </w:r>
          </w:p>
        </w:tc>
        <w:tc>
          <w:tcPr>
            <w:tcW w:w="1134" w:type="dxa"/>
          </w:tcPr>
          <w:p w14:paraId="516EC3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Согласованный с ВАО срок</w:t>
            </w:r>
          </w:p>
        </w:tc>
        <w:tc>
          <w:tcPr>
            <w:tcW w:w="1134" w:type="dxa"/>
          </w:tcPr>
          <w:p w14:paraId="215294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срок РВС</w:t>
            </w:r>
          </w:p>
        </w:tc>
        <w:tc>
          <w:tcPr>
            <w:tcW w:w="1559" w:type="dxa"/>
          </w:tcPr>
          <w:p w14:paraId="781058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tc>
        <w:tc>
          <w:tcPr>
            <w:tcW w:w="3827" w:type="dxa"/>
            <w:gridSpan w:val="4"/>
          </w:tcPr>
          <w:p w14:paraId="261AD4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Крайние возможности ВАО</w:t>
            </w:r>
          </w:p>
        </w:tc>
      </w:tr>
      <w:tr w:rsidR="00E371BA" w:rsidRPr="00507A31" w14:paraId="75DD36B0" w14:textId="77777777">
        <w:trPr>
          <w:cantSplit/>
          <w:trHeight w:val="188"/>
        </w:trPr>
        <w:tc>
          <w:tcPr>
            <w:tcW w:w="675" w:type="dxa"/>
          </w:tcPr>
          <w:p w14:paraId="373945CC"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2B377A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Мощн. у земли</w:t>
            </w:r>
          </w:p>
        </w:tc>
        <w:tc>
          <w:tcPr>
            <w:tcW w:w="850" w:type="dxa"/>
          </w:tcPr>
          <w:p w14:paraId="0A654C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Мощн. на высоте</w:t>
            </w:r>
          </w:p>
        </w:tc>
        <w:tc>
          <w:tcPr>
            <w:tcW w:w="851" w:type="dxa"/>
          </w:tcPr>
          <w:p w14:paraId="6B24D2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w:t>
            </w:r>
          </w:p>
        </w:tc>
        <w:tc>
          <w:tcPr>
            <w:tcW w:w="1134" w:type="dxa"/>
          </w:tcPr>
          <w:p w14:paraId="7E9F7DDB" w14:textId="77777777" w:rsidR="00537E5F" w:rsidRPr="00507A31" w:rsidRDefault="00537E5F" w:rsidP="00507A31">
            <w:pPr>
              <w:autoSpaceDE w:val="0"/>
              <w:autoSpaceDN w:val="0"/>
              <w:adjustRightInd w:val="0"/>
              <w:jc w:val="both"/>
              <w:rPr>
                <w:color w:val="000000" w:themeColor="text1"/>
                <w:sz w:val="16"/>
                <w:szCs w:val="16"/>
              </w:rPr>
            </w:pPr>
          </w:p>
        </w:tc>
        <w:tc>
          <w:tcPr>
            <w:tcW w:w="1134" w:type="dxa"/>
          </w:tcPr>
          <w:p w14:paraId="47AC2A47" w14:textId="77777777" w:rsidR="00537E5F" w:rsidRPr="00507A31" w:rsidRDefault="00537E5F" w:rsidP="00507A31">
            <w:pPr>
              <w:autoSpaceDE w:val="0"/>
              <w:autoSpaceDN w:val="0"/>
              <w:adjustRightInd w:val="0"/>
              <w:jc w:val="both"/>
              <w:rPr>
                <w:color w:val="000000" w:themeColor="text1"/>
                <w:sz w:val="16"/>
                <w:szCs w:val="16"/>
              </w:rPr>
            </w:pPr>
          </w:p>
        </w:tc>
        <w:tc>
          <w:tcPr>
            <w:tcW w:w="1559" w:type="dxa"/>
          </w:tcPr>
          <w:p w14:paraId="32DEB90A" w14:textId="77777777" w:rsidR="00537E5F" w:rsidRPr="00507A31" w:rsidRDefault="00537E5F" w:rsidP="00507A31">
            <w:pPr>
              <w:autoSpaceDE w:val="0"/>
              <w:autoSpaceDN w:val="0"/>
              <w:adjustRightInd w:val="0"/>
              <w:jc w:val="both"/>
              <w:rPr>
                <w:color w:val="000000" w:themeColor="text1"/>
                <w:sz w:val="16"/>
                <w:szCs w:val="16"/>
              </w:rPr>
            </w:pPr>
          </w:p>
        </w:tc>
        <w:tc>
          <w:tcPr>
            <w:tcW w:w="3827" w:type="dxa"/>
            <w:gridSpan w:val="4"/>
          </w:tcPr>
          <w:p w14:paraId="256D86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Характеристика</w:t>
            </w:r>
          </w:p>
        </w:tc>
      </w:tr>
      <w:tr w:rsidR="00E371BA" w:rsidRPr="00507A31" w14:paraId="6C6EF725" w14:textId="77777777">
        <w:trPr>
          <w:cantSplit/>
          <w:trHeight w:val="188"/>
        </w:trPr>
        <w:tc>
          <w:tcPr>
            <w:tcW w:w="675" w:type="dxa"/>
          </w:tcPr>
          <w:p w14:paraId="4287F7EC"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753EE77B"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09435638"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774F519F" w14:textId="77777777" w:rsidR="00537E5F" w:rsidRPr="00507A31" w:rsidRDefault="00537E5F" w:rsidP="00507A31">
            <w:pPr>
              <w:autoSpaceDE w:val="0"/>
              <w:autoSpaceDN w:val="0"/>
              <w:adjustRightInd w:val="0"/>
              <w:jc w:val="both"/>
              <w:rPr>
                <w:color w:val="000000" w:themeColor="text1"/>
                <w:sz w:val="16"/>
                <w:szCs w:val="16"/>
              </w:rPr>
            </w:pPr>
          </w:p>
        </w:tc>
        <w:tc>
          <w:tcPr>
            <w:tcW w:w="1134" w:type="dxa"/>
          </w:tcPr>
          <w:p w14:paraId="38FB3234" w14:textId="77777777" w:rsidR="00537E5F" w:rsidRPr="00507A31" w:rsidRDefault="00537E5F" w:rsidP="00507A31">
            <w:pPr>
              <w:autoSpaceDE w:val="0"/>
              <w:autoSpaceDN w:val="0"/>
              <w:adjustRightInd w:val="0"/>
              <w:jc w:val="both"/>
              <w:rPr>
                <w:color w:val="000000" w:themeColor="text1"/>
                <w:sz w:val="16"/>
                <w:szCs w:val="16"/>
              </w:rPr>
            </w:pPr>
          </w:p>
        </w:tc>
        <w:tc>
          <w:tcPr>
            <w:tcW w:w="1134" w:type="dxa"/>
          </w:tcPr>
          <w:p w14:paraId="17C1CF08" w14:textId="77777777" w:rsidR="00537E5F" w:rsidRPr="00507A31" w:rsidRDefault="00537E5F" w:rsidP="00507A31">
            <w:pPr>
              <w:autoSpaceDE w:val="0"/>
              <w:autoSpaceDN w:val="0"/>
              <w:adjustRightInd w:val="0"/>
              <w:jc w:val="both"/>
              <w:rPr>
                <w:color w:val="000000" w:themeColor="text1"/>
                <w:sz w:val="16"/>
                <w:szCs w:val="16"/>
              </w:rPr>
            </w:pPr>
          </w:p>
        </w:tc>
        <w:tc>
          <w:tcPr>
            <w:tcW w:w="1559" w:type="dxa"/>
          </w:tcPr>
          <w:p w14:paraId="01302D18"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303E94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Номин. мощн. на земле</w:t>
            </w:r>
          </w:p>
        </w:tc>
        <w:tc>
          <w:tcPr>
            <w:tcW w:w="850" w:type="dxa"/>
          </w:tcPr>
          <w:p w14:paraId="6BCA9E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Мощн. на высоте</w:t>
            </w:r>
          </w:p>
        </w:tc>
        <w:tc>
          <w:tcPr>
            <w:tcW w:w="992" w:type="dxa"/>
          </w:tcPr>
          <w:p w14:paraId="571EBB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w:t>
            </w:r>
          </w:p>
        </w:tc>
        <w:tc>
          <w:tcPr>
            <w:tcW w:w="1134" w:type="dxa"/>
          </w:tcPr>
          <w:p w14:paraId="5105F4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w:t>
            </w:r>
          </w:p>
        </w:tc>
      </w:tr>
      <w:tr w:rsidR="00E371BA" w:rsidRPr="00507A31" w14:paraId="0265C37B" w14:textId="77777777">
        <w:trPr>
          <w:cantSplit/>
          <w:trHeight w:val="188"/>
        </w:trPr>
        <w:tc>
          <w:tcPr>
            <w:tcW w:w="675" w:type="dxa"/>
          </w:tcPr>
          <w:p w14:paraId="780C41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М-30</w:t>
            </w:r>
          </w:p>
          <w:p w14:paraId="0935C2BF"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E7CC1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550</w:t>
            </w:r>
          </w:p>
        </w:tc>
        <w:tc>
          <w:tcPr>
            <w:tcW w:w="850" w:type="dxa"/>
          </w:tcPr>
          <w:p w14:paraId="4305E0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550/3000</w:t>
            </w:r>
          </w:p>
        </w:tc>
        <w:tc>
          <w:tcPr>
            <w:tcW w:w="851" w:type="dxa"/>
          </w:tcPr>
          <w:p w14:paraId="537E34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460</w:t>
            </w:r>
          </w:p>
        </w:tc>
        <w:tc>
          <w:tcPr>
            <w:tcW w:w="1134" w:type="dxa"/>
          </w:tcPr>
          <w:p w14:paraId="2BB763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1930</w:t>
            </w:r>
          </w:p>
        </w:tc>
        <w:tc>
          <w:tcPr>
            <w:tcW w:w="1134" w:type="dxa"/>
          </w:tcPr>
          <w:p w14:paraId="357F8D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1559" w:type="dxa"/>
          </w:tcPr>
          <w:p w14:paraId="79709E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три мотора являются развитием одного типа мотора водяного охлаждения для истребителей.</w:t>
            </w:r>
          </w:p>
        </w:tc>
        <w:tc>
          <w:tcPr>
            <w:tcW w:w="851" w:type="dxa"/>
          </w:tcPr>
          <w:p w14:paraId="7079016C"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6D3874C2"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29E41F4E" w14:textId="77777777" w:rsidR="00537E5F" w:rsidRPr="00507A31" w:rsidRDefault="00537E5F" w:rsidP="00507A31">
            <w:pPr>
              <w:autoSpaceDE w:val="0"/>
              <w:autoSpaceDN w:val="0"/>
              <w:adjustRightInd w:val="0"/>
              <w:jc w:val="both"/>
              <w:rPr>
                <w:color w:val="000000" w:themeColor="text1"/>
                <w:sz w:val="16"/>
                <w:szCs w:val="16"/>
              </w:rPr>
            </w:pPr>
          </w:p>
        </w:tc>
        <w:tc>
          <w:tcPr>
            <w:tcW w:w="1134" w:type="dxa"/>
          </w:tcPr>
          <w:p w14:paraId="2F91AB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 продолжает начатые работы</w:t>
            </w:r>
          </w:p>
        </w:tc>
      </w:tr>
      <w:tr w:rsidR="00E371BA" w:rsidRPr="00507A31" w14:paraId="648561B9" w14:textId="77777777">
        <w:trPr>
          <w:cantSplit/>
          <w:trHeight w:val="188"/>
        </w:trPr>
        <w:tc>
          <w:tcPr>
            <w:tcW w:w="675" w:type="dxa"/>
          </w:tcPr>
          <w:p w14:paraId="1508E7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М-31</w:t>
            </w:r>
          </w:p>
        </w:tc>
        <w:tc>
          <w:tcPr>
            <w:tcW w:w="851" w:type="dxa"/>
          </w:tcPr>
          <w:p w14:paraId="11AAC9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550</w:t>
            </w:r>
          </w:p>
        </w:tc>
        <w:tc>
          <w:tcPr>
            <w:tcW w:w="850" w:type="dxa"/>
          </w:tcPr>
          <w:p w14:paraId="600DBF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550/3000</w:t>
            </w:r>
          </w:p>
        </w:tc>
        <w:tc>
          <w:tcPr>
            <w:tcW w:w="851" w:type="dxa"/>
          </w:tcPr>
          <w:p w14:paraId="0A7E4A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430</w:t>
            </w:r>
          </w:p>
        </w:tc>
        <w:tc>
          <w:tcPr>
            <w:tcW w:w="1134" w:type="dxa"/>
          </w:tcPr>
          <w:p w14:paraId="29F358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Апрель 1931</w:t>
            </w:r>
          </w:p>
        </w:tc>
        <w:tc>
          <w:tcPr>
            <w:tcW w:w="1134" w:type="dxa"/>
          </w:tcPr>
          <w:p w14:paraId="778DC2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1559" w:type="dxa"/>
          </w:tcPr>
          <w:p w14:paraId="145C4F64"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345E71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0" w:type="dxa"/>
          </w:tcPr>
          <w:p w14:paraId="262931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1563A1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34" w:type="dxa"/>
          </w:tcPr>
          <w:p w14:paraId="2A3C40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0E6D89E5" w14:textId="77777777">
        <w:trPr>
          <w:cantSplit/>
          <w:trHeight w:val="188"/>
        </w:trPr>
        <w:tc>
          <w:tcPr>
            <w:tcW w:w="675" w:type="dxa"/>
          </w:tcPr>
          <w:p w14:paraId="6C02E3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М-32</w:t>
            </w:r>
          </w:p>
        </w:tc>
        <w:tc>
          <w:tcPr>
            <w:tcW w:w="851" w:type="dxa"/>
          </w:tcPr>
          <w:p w14:paraId="45E82C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w:t>
            </w:r>
          </w:p>
        </w:tc>
        <w:tc>
          <w:tcPr>
            <w:tcW w:w="850" w:type="dxa"/>
          </w:tcPr>
          <w:p w14:paraId="76ED8B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600/5000</w:t>
            </w:r>
          </w:p>
        </w:tc>
        <w:tc>
          <w:tcPr>
            <w:tcW w:w="851" w:type="dxa"/>
          </w:tcPr>
          <w:p w14:paraId="1211F1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w:t>
            </w:r>
          </w:p>
        </w:tc>
        <w:tc>
          <w:tcPr>
            <w:tcW w:w="1134" w:type="dxa"/>
          </w:tcPr>
          <w:p w14:paraId="5558A8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Январь 1932</w:t>
            </w:r>
          </w:p>
        </w:tc>
        <w:tc>
          <w:tcPr>
            <w:tcW w:w="1134" w:type="dxa"/>
          </w:tcPr>
          <w:p w14:paraId="45426C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1559" w:type="dxa"/>
          </w:tcPr>
          <w:p w14:paraId="20515969"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BDFDC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w:t>
            </w:r>
          </w:p>
        </w:tc>
        <w:tc>
          <w:tcPr>
            <w:tcW w:w="850" w:type="dxa"/>
          </w:tcPr>
          <w:p w14:paraId="060A90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 3500</w:t>
            </w:r>
          </w:p>
        </w:tc>
        <w:tc>
          <w:tcPr>
            <w:tcW w:w="992" w:type="dxa"/>
          </w:tcPr>
          <w:p w14:paraId="5E67C8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430-450</w:t>
            </w:r>
          </w:p>
        </w:tc>
        <w:tc>
          <w:tcPr>
            <w:tcW w:w="1134" w:type="dxa"/>
          </w:tcPr>
          <w:p w14:paraId="4E863A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Май 1931</w:t>
            </w:r>
          </w:p>
        </w:tc>
      </w:tr>
      <w:tr w:rsidR="00E371BA" w:rsidRPr="00507A31" w14:paraId="2F3CE827" w14:textId="77777777">
        <w:trPr>
          <w:cantSplit/>
          <w:trHeight w:val="188"/>
        </w:trPr>
        <w:tc>
          <w:tcPr>
            <w:tcW w:w="675" w:type="dxa"/>
          </w:tcPr>
          <w:p w14:paraId="1B4FDE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М36</w:t>
            </w:r>
          </w:p>
          <w:p w14:paraId="6209337C"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16090F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w:t>
            </w:r>
          </w:p>
        </w:tc>
        <w:tc>
          <w:tcPr>
            <w:tcW w:w="850" w:type="dxa"/>
          </w:tcPr>
          <w:p w14:paraId="749C4B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500/2500</w:t>
            </w:r>
          </w:p>
        </w:tc>
        <w:tc>
          <w:tcPr>
            <w:tcW w:w="851" w:type="dxa"/>
          </w:tcPr>
          <w:p w14:paraId="2B016C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w:t>
            </w:r>
          </w:p>
        </w:tc>
        <w:tc>
          <w:tcPr>
            <w:tcW w:w="1134" w:type="dxa"/>
          </w:tcPr>
          <w:p w14:paraId="709A95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Октябрь 1930</w:t>
            </w:r>
          </w:p>
        </w:tc>
        <w:tc>
          <w:tcPr>
            <w:tcW w:w="1134" w:type="dxa"/>
          </w:tcPr>
          <w:p w14:paraId="757094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1559" w:type="dxa"/>
          </w:tcPr>
          <w:p w14:paraId="7AEEE5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три мотора являются развитием одного типа мотора с воздушн. охлаждением для истребителей.</w:t>
            </w:r>
          </w:p>
        </w:tc>
        <w:tc>
          <w:tcPr>
            <w:tcW w:w="851" w:type="dxa"/>
          </w:tcPr>
          <w:p w14:paraId="39EAAF97"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7B5F16AF"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09F627D2" w14:textId="77777777" w:rsidR="00537E5F" w:rsidRPr="00507A31" w:rsidRDefault="00537E5F" w:rsidP="00507A31">
            <w:pPr>
              <w:autoSpaceDE w:val="0"/>
              <w:autoSpaceDN w:val="0"/>
              <w:adjustRightInd w:val="0"/>
              <w:jc w:val="both"/>
              <w:rPr>
                <w:color w:val="000000" w:themeColor="text1"/>
                <w:sz w:val="16"/>
                <w:szCs w:val="16"/>
              </w:rPr>
            </w:pPr>
          </w:p>
        </w:tc>
        <w:tc>
          <w:tcPr>
            <w:tcW w:w="1134" w:type="dxa"/>
          </w:tcPr>
          <w:p w14:paraId="43625A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 продолжает начатые работы</w:t>
            </w:r>
          </w:p>
        </w:tc>
      </w:tr>
      <w:tr w:rsidR="00E371BA" w:rsidRPr="00507A31" w14:paraId="6683488E" w14:textId="77777777">
        <w:trPr>
          <w:cantSplit/>
          <w:trHeight w:val="188"/>
        </w:trPr>
        <w:tc>
          <w:tcPr>
            <w:tcW w:w="675" w:type="dxa"/>
          </w:tcPr>
          <w:p w14:paraId="4EA2E3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М37</w:t>
            </w:r>
          </w:p>
        </w:tc>
        <w:tc>
          <w:tcPr>
            <w:tcW w:w="851" w:type="dxa"/>
          </w:tcPr>
          <w:p w14:paraId="59EE57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550</w:t>
            </w:r>
          </w:p>
        </w:tc>
        <w:tc>
          <w:tcPr>
            <w:tcW w:w="850" w:type="dxa"/>
          </w:tcPr>
          <w:p w14:paraId="27B1BF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550/4000</w:t>
            </w:r>
          </w:p>
        </w:tc>
        <w:tc>
          <w:tcPr>
            <w:tcW w:w="851" w:type="dxa"/>
          </w:tcPr>
          <w:p w14:paraId="691BCF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380</w:t>
            </w:r>
          </w:p>
        </w:tc>
        <w:tc>
          <w:tcPr>
            <w:tcW w:w="1134" w:type="dxa"/>
          </w:tcPr>
          <w:p w14:paraId="6AF7C9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Январь 1932</w:t>
            </w:r>
          </w:p>
        </w:tc>
        <w:tc>
          <w:tcPr>
            <w:tcW w:w="1134" w:type="dxa"/>
          </w:tcPr>
          <w:p w14:paraId="3EF6E7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1559" w:type="dxa"/>
          </w:tcPr>
          <w:p w14:paraId="211B632E"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32B89B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0" w:type="dxa"/>
          </w:tcPr>
          <w:p w14:paraId="6F2301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2CFF2E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34" w:type="dxa"/>
          </w:tcPr>
          <w:p w14:paraId="549B57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22B1F7E3" w14:textId="77777777">
        <w:trPr>
          <w:cantSplit/>
          <w:trHeight w:val="188"/>
        </w:trPr>
        <w:tc>
          <w:tcPr>
            <w:tcW w:w="675" w:type="dxa"/>
          </w:tcPr>
          <w:p w14:paraId="558352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М38</w:t>
            </w:r>
          </w:p>
        </w:tc>
        <w:tc>
          <w:tcPr>
            <w:tcW w:w="851" w:type="dxa"/>
          </w:tcPr>
          <w:p w14:paraId="2A035C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w:t>
            </w:r>
          </w:p>
        </w:tc>
        <w:tc>
          <w:tcPr>
            <w:tcW w:w="850" w:type="dxa"/>
          </w:tcPr>
          <w:p w14:paraId="5E0023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600/5000</w:t>
            </w:r>
          </w:p>
        </w:tc>
        <w:tc>
          <w:tcPr>
            <w:tcW w:w="851" w:type="dxa"/>
          </w:tcPr>
          <w:p w14:paraId="46500B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380</w:t>
            </w:r>
          </w:p>
        </w:tc>
        <w:tc>
          <w:tcPr>
            <w:tcW w:w="1134" w:type="dxa"/>
          </w:tcPr>
          <w:p w14:paraId="07D4BE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Октябрь 1932</w:t>
            </w:r>
          </w:p>
        </w:tc>
        <w:tc>
          <w:tcPr>
            <w:tcW w:w="1134" w:type="dxa"/>
          </w:tcPr>
          <w:p w14:paraId="07A4DD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1559" w:type="dxa"/>
          </w:tcPr>
          <w:p w14:paraId="5AD256BC"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52563E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w:t>
            </w:r>
          </w:p>
        </w:tc>
        <w:tc>
          <w:tcPr>
            <w:tcW w:w="850" w:type="dxa"/>
          </w:tcPr>
          <w:p w14:paraId="51BA6D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 3500</w:t>
            </w:r>
          </w:p>
        </w:tc>
        <w:tc>
          <w:tcPr>
            <w:tcW w:w="992" w:type="dxa"/>
          </w:tcPr>
          <w:p w14:paraId="780058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430-440</w:t>
            </w:r>
          </w:p>
        </w:tc>
        <w:tc>
          <w:tcPr>
            <w:tcW w:w="1134" w:type="dxa"/>
          </w:tcPr>
          <w:p w14:paraId="405F4A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Май 1931</w:t>
            </w:r>
          </w:p>
        </w:tc>
      </w:tr>
      <w:tr w:rsidR="00E371BA" w:rsidRPr="00507A31" w14:paraId="3F7A5537" w14:textId="77777777">
        <w:trPr>
          <w:cantSplit/>
          <w:trHeight w:val="188"/>
        </w:trPr>
        <w:tc>
          <w:tcPr>
            <w:tcW w:w="675" w:type="dxa"/>
          </w:tcPr>
          <w:p w14:paraId="207F94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М33</w:t>
            </w:r>
          </w:p>
        </w:tc>
        <w:tc>
          <w:tcPr>
            <w:tcW w:w="851" w:type="dxa"/>
          </w:tcPr>
          <w:p w14:paraId="5979BE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w:t>
            </w:r>
          </w:p>
        </w:tc>
        <w:tc>
          <w:tcPr>
            <w:tcW w:w="850" w:type="dxa"/>
          </w:tcPr>
          <w:p w14:paraId="2E9D45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700/2700</w:t>
            </w:r>
          </w:p>
        </w:tc>
        <w:tc>
          <w:tcPr>
            <w:tcW w:w="851" w:type="dxa"/>
          </w:tcPr>
          <w:p w14:paraId="628B0D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560</w:t>
            </w:r>
          </w:p>
        </w:tc>
        <w:tc>
          <w:tcPr>
            <w:tcW w:w="1134" w:type="dxa"/>
          </w:tcPr>
          <w:p w14:paraId="0B9B87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Февраль 1931</w:t>
            </w:r>
          </w:p>
        </w:tc>
        <w:tc>
          <w:tcPr>
            <w:tcW w:w="1134" w:type="dxa"/>
          </w:tcPr>
          <w:p w14:paraId="68B838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1559" w:type="dxa"/>
          </w:tcPr>
          <w:p w14:paraId="7E6C97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W-образного мотора.</w:t>
            </w:r>
          </w:p>
        </w:tc>
        <w:tc>
          <w:tcPr>
            <w:tcW w:w="851" w:type="dxa"/>
          </w:tcPr>
          <w:p w14:paraId="26FA9E7F"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779F3CE2"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32EFA6A2" w14:textId="77777777" w:rsidR="00537E5F" w:rsidRPr="00507A31" w:rsidRDefault="00537E5F" w:rsidP="00507A31">
            <w:pPr>
              <w:autoSpaceDE w:val="0"/>
              <w:autoSpaceDN w:val="0"/>
              <w:adjustRightInd w:val="0"/>
              <w:jc w:val="both"/>
              <w:rPr>
                <w:color w:val="000000" w:themeColor="text1"/>
                <w:sz w:val="16"/>
                <w:szCs w:val="16"/>
              </w:rPr>
            </w:pPr>
          </w:p>
        </w:tc>
        <w:tc>
          <w:tcPr>
            <w:tcW w:w="1134" w:type="dxa"/>
          </w:tcPr>
          <w:p w14:paraId="2ED86A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 продолжает начатые работы</w:t>
            </w:r>
          </w:p>
        </w:tc>
      </w:tr>
      <w:tr w:rsidR="00E371BA" w:rsidRPr="00507A31" w14:paraId="57576269" w14:textId="77777777">
        <w:trPr>
          <w:cantSplit/>
          <w:trHeight w:val="188"/>
        </w:trPr>
        <w:tc>
          <w:tcPr>
            <w:tcW w:w="675" w:type="dxa"/>
          </w:tcPr>
          <w:p w14:paraId="5323F8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w:t>
            </w:r>
          </w:p>
        </w:tc>
        <w:tc>
          <w:tcPr>
            <w:tcW w:w="851" w:type="dxa"/>
          </w:tcPr>
          <w:p w14:paraId="261321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w:t>
            </w:r>
          </w:p>
        </w:tc>
        <w:tc>
          <w:tcPr>
            <w:tcW w:w="850" w:type="dxa"/>
          </w:tcPr>
          <w:p w14:paraId="4700C7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750/5000</w:t>
            </w:r>
          </w:p>
        </w:tc>
        <w:tc>
          <w:tcPr>
            <w:tcW w:w="851" w:type="dxa"/>
          </w:tcPr>
          <w:p w14:paraId="03F3C8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550</w:t>
            </w:r>
          </w:p>
        </w:tc>
        <w:tc>
          <w:tcPr>
            <w:tcW w:w="1134" w:type="dxa"/>
          </w:tcPr>
          <w:p w14:paraId="3A509E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Февраль 1932</w:t>
            </w:r>
          </w:p>
        </w:tc>
        <w:tc>
          <w:tcPr>
            <w:tcW w:w="1134" w:type="dxa"/>
          </w:tcPr>
          <w:p w14:paraId="41EC0D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1559" w:type="dxa"/>
          </w:tcPr>
          <w:p w14:paraId="17C47511"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6CBBE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0" w:type="dxa"/>
          </w:tcPr>
          <w:p w14:paraId="31573C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7AA91C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34" w:type="dxa"/>
          </w:tcPr>
          <w:p w14:paraId="44AA60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27796EEC" w14:textId="77777777">
        <w:trPr>
          <w:cantSplit/>
          <w:trHeight w:val="188"/>
        </w:trPr>
        <w:tc>
          <w:tcPr>
            <w:tcW w:w="675" w:type="dxa"/>
          </w:tcPr>
          <w:p w14:paraId="4E673F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 НАМИ</w:t>
            </w:r>
          </w:p>
        </w:tc>
        <w:tc>
          <w:tcPr>
            <w:tcW w:w="851" w:type="dxa"/>
          </w:tcPr>
          <w:p w14:paraId="69F02D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w:t>
            </w:r>
          </w:p>
        </w:tc>
        <w:tc>
          <w:tcPr>
            <w:tcW w:w="850" w:type="dxa"/>
          </w:tcPr>
          <w:p w14:paraId="3E203D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750/5000</w:t>
            </w:r>
          </w:p>
        </w:tc>
        <w:tc>
          <w:tcPr>
            <w:tcW w:w="851" w:type="dxa"/>
          </w:tcPr>
          <w:p w14:paraId="75E5A4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480</w:t>
            </w:r>
          </w:p>
        </w:tc>
        <w:tc>
          <w:tcPr>
            <w:tcW w:w="1134" w:type="dxa"/>
          </w:tcPr>
          <w:p w14:paraId="05EBA7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Апрель 1932</w:t>
            </w:r>
          </w:p>
        </w:tc>
        <w:tc>
          <w:tcPr>
            <w:tcW w:w="1134" w:type="dxa"/>
          </w:tcPr>
          <w:p w14:paraId="3C7F7F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1559" w:type="dxa"/>
          </w:tcPr>
          <w:p w14:paraId="024996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Конструк. НАМИ V-образного мотора</w:t>
            </w:r>
          </w:p>
        </w:tc>
        <w:tc>
          <w:tcPr>
            <w:tcW w:w="851" w:type="dxa"/>
          </w:tcPr>
          <w:p w14:paraId="5C30D43F"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584B6B46"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605F4CF8" w14:textId="77777777" w:rsidR="00537E5F" w:rsidRPr="00507A31" w:rsidRDefault="00537E5F" w:rsidP="00507A31">
            <w:pPr>
              <w:autoSpaceDE w:val="0"/>
              <w:autoSpaceDN w:val="0"/>
              <w:adjustRightInd w:val="0"/>
              <w:jc w:val="both"/>
              <w:rPr>
                <w:color w:val="000000" w:themeColor="text1"/>
                <w:sz w:val="16"/>
                <w:szCs w:val="16"/>
              </w:rPr>
            </w:pPr>
          </w:p>
        </w:tc>
        <w:tc>
          <w:tcPr>
            <w:tcW w:w="1134" w:type="dxa"/>
          </w:tcPr>
          <w:p w14:paraId="4318BF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 выполняет по чертеж. НАМИ к январю 1931</w:t>
            </w:r>
          </w:p>
        </w:tc>
      </w:tr>
      <w:tr w:rsidR="00E371BA" w:rsidRPr="00507A31" w14:paraId="0A89AB15" w14:textId="77777777">
        <w:trPr>
          <w:cantSplit/>
          <w:trHeight w:val="188"/>
        </w:trPr>
        <w:tc>
          <w:tcPr>
            <w:tcW w:w="675" w:type="dxa"/>
          </w:tcPr>
          <w:p w14:paraId="78A120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w:t>
            </w:r>
          </w:p>
        </w:tc>
        <w:tc>
          <w:tcPr>
            <w:tcW w:w="851" w:type="dxa"/>
          </w:tcPr>
          <w:p w14:paraId="586448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w:t>
            </w:r>
          </w:p>
        </w:tc>
        <w:tc>
          <w:tcPr>
            <w:tcW w:w="850" w:type="dxa"/>
          </w:tcPr>
          <w:p w14:paraId="1A4B0F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700/2700</w:t>
            </w:r>
          </w:p>
        </w:tc>
        <w:tc>
          <w:tcPr>
            <w:tcW w:w="851" w:type="dxa"/>
          </w:tcPr>
          <w:p w14:paraId="4CA593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w:t>
            </w:r>
          </w:p>
        </w:tc>
        <w:tc>
          <w:tcPr>
            <w:tcW w:w="1134" w:type="dxa"/>
          </w:tcPr>
          <w:p w14:paraId="07196B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Декабрь 1931</w:t>
            </w:r>
          </w:p>
        </w:tc>
        <w:tc>
          <w:tcPr>
            <w:tcW w:w="1134" w:type="dxa"/>
          </w:tcPr>
          <w:p w14:paraId="753FBA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1559" w:type="dxa"/>
          </w:tcPr>
          <w:p w14:paraId="28F47F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типа сдвоенного мотора воздушного охлаждения.</w:t>
            </w:r>
          </w:p>
        </w:tc>
        <w:tc>
          <w:tcPr>
            <w:tcW w:w="851" w:type="dxa"/>
          </w:tcPr>
          <w:p w14:paraId="46BEEAE3"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2545D9A3" w14:textId="77777777" w:rsidR="00537E5F" w:rsidRPr="00507A31" w:rsidRDefault="00537E5F" w:rsidP="00507A31">
            <w:pPr>
              <w:autoSpaceDE w:val="0"/>
              <w:autoSpaceDN w:val="0"/>
              <w:adjustRightInd w:val="0"/>
              <w:jc w:val="both"/>
              <w:rPr>
                <w:color w:val="000000" w:themeColor="text1"/>
                <w:sz w:val="16"/>
                <w:szCs w:val="16"/>
              </w:rPr>
            </w:pPr>
          </w:p>
        </w:tc>
        <w:tc>
          <w:tcPr>
            <w:tcW w:w="992" w:type="dxa"/>
          </w:tcPr>
          <w:p w14:paraId="03BB0D86" w14:textId="77777777" w:rsidR="00537E5F" w:rsidRPr="00507A31" w:rsidRDefault="00537E5F" w:rsidP="00507A31">
            <w:pPr>
              <w:autoSpaceDE w:val="0"/>
              <w:autoSpaceDN w:val="0"/>
              <w:adjustRightInd w:val="0"/>
              <w:jc w:val="both"/>
              <w:rPr>
                <w:color w:val="000000" w:themeColor="text1"/>
                <w:sz w:val="16"/>
                <w:szCs w:val="16"/>
              </w:rPr>
            </w:pPr>
          </w:p>
        </w:tc>
        <w:tc>
          <w:tcPr>
            <w:tcW w:w="1134" w:type="dxa"/>
          </w:tcPr>
          <w:p w14:paraId="3A026F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 продолжает начатые работы</w:t>
            </w:r>
          </w:p>
        </w:tc>
      </w:tr>
      <w:tr w:rsidR="00E371BA" w:rsidRPr="00507A31" w14:paraId="5FFFA1E4" w14:textId="77777777">
        <w:trPr>
          <w:cantSplit/>
          <w:trHeight w:val="188"/>
        </w:trPr>
        <w:tc>
          <w:tcPr>
            <w:tcW w:w="675" w:type="dxa"/>
          </w:tcPr>
          <w:p w14:paraId="5E74F0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1" w:type="dxa"/>
          </w:tcPr>
          <w:p w14:paraId="473CA2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w:t>
            </w:r>
          </w:p>
        </w:tc>
        <w:tc>
          <w:tcPr>
            <w:tcW w:w="850" w:type="dxa"/>
          </w:tcPr>
          <w:p w14:paraId="7C3482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750/5000</w:t>
            </w:r>
          </w:p>
        </w:tc>
        <w:tc>
          <w:tcPr>
            <w:tcW w:w="851" w:type="dxa"/>
          </w:tcPr>
          <w:p w14:paraId="057087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470</w:t>
            </w:r>
          </w:p>
        </w:tc>
        <w:tc>
          <w:tcPr>
            <w:tcW w:w="1134" w:type="dxa"/>
          </w:tcPr>
          <w:p w14:paraId="4910C1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Декабрь 1932</w:t>
            </w:r>
          </w:p>
        </w:tc>
        <w:tc>
          <w:tcPr>
            <w:tcW w:w="1134" w:type="dxa"/>
          </w:tcPr>
          <w:p w14:paraId="22DDF4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1559" w:type="dxa"/>
          </w:tcPr>
          <w:p w14:paraId="37F2CD2C"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78B5F3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0" w:type="dxa"/>
          </w:tcPr>
          <w:p w14:paraId="774EC3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23A318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34" w:type="dxa"/>
          </w:tcPr>
          <w:p w14:paraId="42FC31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1A3F8AF5" w14:textId="77777777">
        <w:trPr>
          <w:cantSplit/>
          <w:trHeight w:val="188"/>
        </w:trPr>
        <w:tc>
          <w:tcPr>
            <w:tcW w:w="675" w:type="dxa"/>
          </w:tcPr>
          <w:p w14:paraId="6CF29C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p w14:paraId="326A607F" w14:textId="77777777" w:rsidR="00537E5F" w:rsidRPr="00507A31" w:rsidRDefault="00537E5F" w:rsidP="00507A31">
            <w:pPr>
              <w:autoSpaceDE w:val="0"/>
              <w:autoSpaceDN w:val="0"/>
              <w:adjustRightInd w:val="0"/>
              <w:jc w:val="both"/>
              <w:rPr>
                <w:color w:val="000000" w:themeColor="text1"/>
                <w:sz w:val="16"/>
                <w:szCs w:val="16"/>
              </w:rPr>
            </w:pPr>
          </w:p>
          <w:p w14:paraId="3604AFFE"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CE084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w:t>
            </w:r>
          </w:p>
        </w:tc>
        <w:tc>
          <w:tcPr>
            <w:tcW w:w="850" w:type="dxa"/>
          </w:tcPr>
          <w:p w14:paraId="7C4926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1000/2500</w:t>
            </w:r>
          </w:p>
        </w:tc>
        <w:tc>
          <w:tcPr>
            <w:tcW w:w="851" w:type="dxa"/>
          </w:tcPr>
          <w:p w14:paraId="1D5324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630</w:t>
            </w:r>
          </w:p>
        </w:tc>
        <w:tc>
          <w:tcPr>
            <w:tcW w:w="1134" w:type="dxa"/>
          </w:tcPr>
          <w:p w14:paraId="19BB39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1931</w:t>
            </w:r>
          </w:p>
        </w:tc>
        <w:tc>
          <w:tcPr>
            <w:tcW w:w="1134" w:type="dxa"/>
          </w:tcPr>
          <w:p w14:paraId="3E8DB1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w:t>
            </w:r>
          </w:p>
        </w:tc>
        <w:tc>
          <w:tcPr>
            <w:tcW w:w="1559" w:type="dxa"/>
          </w:tcPr>
          <w:p w14:paraId="5CE5AE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Х-образного мотора. Новые требования РВС определены V-образной конфигурацией и высотой до 5000 м.</w:t>
            </w:r>
          </w:p>
        </w:tc>
        <w:tc>
          <w:tcPr>
            <w:tcW w:w="851" w:type="dxa"/>
          </w:tcPr>
          <w:p w14:paraId="726B46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0" w:type="dxa"/>
          </w:tcPr>
          <w:p w14:paraId="188D5D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0246CC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34" w:type="dxa"/>
          </w:tcPr>
          <w:p w14:paraId="712B03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18A69FB0" w14:textId="77777777">
        <w:trPr>
          <w:cantSplit/>
          <w:trHeight w:val="188"/>
        </w:trPr>
        <w:tc>
          <w:tcPr>
            <w:tcW w:w="675" w:type="dxa"/>
          </w:tcPr>
          <w:p w14:paraId="12C28B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851" w:type="dxa"/>
          </w:tcPr>
          <w:p w14:paraId="4C6BDE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1250</w:t>
            </w:r>
          </w:p>
        </w:tc>
        <w:tc>
          <w:tcPr>
            <w:tcW w:w="850" w:type="dxa"/>
          </w:tcPr>
          <w:p w14:paraId="6136DD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1250/3500</w:t>
            </w:r>
          </w:p>
        </w:tc>
        <w:tc>
          <w:tcPr>
            <w:tcW w:w="851" w:type="dxa"/>
          </w:tcPr>
          <w:p w14:paraId="10EEAF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w:t>
            </w:r>
          </w:p>
        </w:tc>
        <w:tc>
          <w:tcPr>
            <w:tcW w:w="1134" w:type="dxa"/>
          </w:tcPr>
          <w:p w14:paraId="2FC2B4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1932</w:t>
            </w:r>
          </w:p>
        </w:tc>
        <w:tc>
          <w:tcPr>
            <w:tcW w:w="1134" w:type="dxa"/>
          </w:tcPr>
          <w:p w14:paraId="5BA4AE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1559" w:type="dxa"/>
          </w:tcPr>
          <w:p w14:paraId="57BB2E18"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42E433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w:t>
            </w:r>
          </w:p>
        </w:tc>
        <w:tc>
          <w:tcPr>
            <w:tcW w:w="850" w:type="dxa"/>
          </w:tcPr>
          <w:p w14:paraId="479B54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1250/ 5000</w:t>
            </w:r>
          </w:p>
        </w:tc>
        <w:tc>
          <w:tcPr>
            <w:tcW w:w="992" w:type="dxa"/>
          </w:tcPr>
          <w:p w14:paraId="2D09C6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w:t>
            </w:r>
          </w:p>
        </w:tc>
        <w:tc>
          <w:tcPr>
            <w:tcW w:w="1134" w:type="dxa"/>
          </w:tcPr>
          <w:p w14:paraId="6B00CC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Май 1931</w:t>
            </w:r>
          </w:p>
        </w:tc>
      </w:tr>
      <w:tr w:rsidR="00E371BA" w:rsidRPr="00507A31" w14:paraId="3CE354EF" w14:textId="77777777">
        <w:trPr>
          <w:cantSplit/>
          <w:trHeight w:val="188"/>
        </w:trPr>
        <w:tc>
          <w:tcPr>
            <w:tcW w:w="675" w:type="dxa"/>
          </w:tcPr>
          <w:p w14:paraId="4B48F0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М26</w:t>
            </w:r>
          </w:p>
        </w:tc>
        <w:tc>
          <w:tcPr>
            <w:tcW w:w="851" w:type="dxa"/>
          </w:tcPr>
          <w:p w14:paraId="484A44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850" w:type="dxa"/>
          </w:tcPr>
          <w:p w14:paraId="6438C1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1" w:type="dxa"/>
          </w:tcPr>
          <w:p w14:paraId="706883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1134" w:type="dxa"/>
          </w:tcPr>
          <w:p w14:paraId="747823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Август 1930</w:t>
            </w:r>
          </w:p>
        </w:tc>
        <w:tc>
          <w:tcPr>
            <w:tcW w:w="1134" w:type="dxa"/>
          </w:tcPr>
          <w:p w14:paraId="3FE84C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p w14:paraId="4DC32EE9" w14:textId="77777777" w:rsidR="00537E5F" w:rsidRPr="00507A31" w:rsidRDefault="00537E5F" w:rsidP="00507A31">
            <w:pPr>
              <w:autoSpaceDE w:val="0"/>
              <w:autoSpaceDN w:val="0"/>
              <w:adjustRightInd w:val="0"/>
              <w:jc w:val="both"/>
              <w:rPr>
                <w:color w:val="000000" w:themeColor="text1"/>
                <w:sz w:val="16"/>
                <w:szCs w:val="16"/>
              </w:rPr>
            </w:pPr>
          </w:p>
        </w:tc>
        <w:tc>
          <w:tcPr>
            <w:tcW w:w="1559" w:type="dxa"/>
          </w:tcPr>
          <w:p w14:paraId="53EB88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Развитие одного типа мотора воздушного охлаждения.</w:t>
            </w:r>
          </w:p>
        </w:tc>
        <w:tc>
          <w:tcPr>
            <w:tcW w:w="851" w:type="dxa"/>
          </w:tcPr>
          <w:p w14:paraId="0DEBC0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850" w:type="dxa"/>
          </w:tcPr>
          <w:p w14:paraId="283245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2B9B56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1134" w:type="dxa"/>
          </w:tcPr>
          <w:p w14:paraId="015BE1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1930</w:t>
            </w:r>
          </w:p>
        </w:tc>
      </w:tr>
      <w:tr w:rsidR="00E371BA" w:rsidRPr="00507A31" w14:paraId="4283BED0" w14:textId="77777777">
        <w:trPr>
          <w:cantSplit/>
          <w:trHeight w:val="188"/>
        </w:trPr>
        <w:tc>
          <w:tcPr>
            <w:tcW w:w="675" w:type="dxa"/>
          </w:tcPr>
          <w:p w14:paraId="783E1B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М45</w:t>
            </w:r>
          </w:p>
        </w:tc>
        <w:tc>
          <w:tcPr>
            <w:tcW w:w="851" w:type="dxa"/>
          </w:tcPr>
          <w:p w14:paraId="01BF8D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850" w:type="dxa"/>
          </w:tcPr>
          <w:p w14:paraId="2C9EAC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1" w:type="dxa"/>
          </w:tcPr>
          <w:p w14:paraId="5E399B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280</w:t>
            </w:r>
          </w:p>
        </w:tc>
        <w:tc>
          <w:tcPr>
            <w:tcW w:w="1134" w:type="dxa"/>
          </w:tcPr>
          <w:p w14:paraId="6307A9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Октябрь 1931</w:t>
            </w:r>
          </w:p>
        </w:tc>
        <w:tc>
          <w:tcPr>
            <w:tcW w:w="1134" w:type="dxa"/>
          </w:tcPr>
          <w:p w14:paraId="380D96A0" w14:textId="77777777" w:rsidR="00537E5F" w:rsidRPr="00507A31" w:rsidRDefault="00537E5F" w:rsidP="00507A31">
            <w:pPr>
              <w:autoSpaceDE w:val="0"/>
              <w:autoSpaceDN w:val="0"/>
              <w:adjustRightInd w:val="0"/>
              <w:jc w:val="both"/>
              <w:rPr>
                <w:color w:val="000000" w:themeColor="text1"/>
                <w:sz w:val="16"/>
                <w:szCs w:val="16"/>
              </w:rPr>
            </w:pPr>
          </w:p>
          <w:p w14:paraId="7C584932" w14:textId="77777777" w:rsidR="00537E5F" w:rsidRPr="00507A31" w:rsidRDefault="00537E5F" w:rsidP="00507A31">
            <w:pPr>
              <w:autoSpaceDE w:val="0"/>
              <w:autoSpaceDN w:val="0"/>
              <w:adjustRightInd w:val="0"/>
              <w:jc w:val="both"/>
              <w:rPr>
                <w:color w:val="000000" w:themeColor="text1"/>
                <w:sz w:val="16"/>
                <w:szCs w:val="16"/>
              </w:rPr>
            </w:pPr>
          </w:p>
        </w:tc>
        <w:tc>
          <w:tcPr>
            <w:tcW w:w="1559" w:type="dxa"/>
          </w:tcPr>
          <w:p w14:paraId="61FCF188"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3FCADD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0" w:type="dxa"/>
          </w:tcPr>
          <w:p w14:paraId="64A705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92" w:type="dxa"/>
          </w:tcPr>
          <w:p w14:paraId="768D96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34" w:type="dxa"/>
          </w:tcPr>
          <w:p w14:paraId="30C2F6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bl>
    <w:p w14:paraId="533C1A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(3545).</w:t>
      </w:r>
    </w:p>
    <w:p w14:paraId="43CA46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985"/>
        <w:gridCol w:w="2126"/>
        <w:gridCol w:w="2693"/>
      </w:tblGrid>
      <w:tr w:rsidR="00E371BA" w:rsidRPr="00507A31" w14:paraId="4111518E" w14:textId="77777777">
        <w:trPr>
          <w:cantSplit/>
        </w:trPr>
        <w:tc>
          <w:tcPr>
            <w:tcW w:w="1951" w:type="dxa"/>
          </w:tcPr>
          <w:p w14:paraId="41F9DB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w:t>
            </w:r>
          </w:p>
        </w:tc>
        <w:tc>
          <w:tcPr>
            <w:tcW w:w="2126" w:type="dxa"/>
          </w:tcPr>
          <w:p w14:paraId="297944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Старые согласованные сроки</w:t>
            </w:r>
          </w:p>
        </w:tc>
        <w:tc>
          <w:tcPr>
            <w:tcW w:w="1985" w:type="dxa"/>
          </w:tcPr>
          <w:p w14:paraId="2C5779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Новые сроки РВС</w:t>
            </w:r>
          </w:p>
        </w:tc>
        <w:tc>
          <w:tcPr>
            <w:tcW w:w="2126" w:type="dxa"/>
          </w:tcPr>
          <w:p w14:paraId="32D229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tc>
        <w:tc>
          <w:tcPr>
            <w:tcW w:w="2693" w:type="dxa"/>
          </w:tcPr>
          <w:p w14:paraId="439834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Крайние возможности ВАО по срокам</w:t>
            </w:r>
          </w:p>
        </w:tc>
      </w:tr>
    </w:tbl>
    <w:p w14:paraId="507279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 заканчивающиеся постройкой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985"/>
        <w:gridCol w:w="2126"/>
        <w:gridCol w:w="2693"/>
      </w:tblGrid>
      <w:tr w:rsidR="00E371BA" w:rsidRPr="00507A31" w14:paraId="343B96B9" w14:textId="77777777">
        <w:trPr>
          <w:cantSplit/>
        </w:trPr>
        <w:tc>
          <w:tcPr>
            <w:tcW w:w="1951" w:type="dxa"/>
          </w:tcPr>
          <w:p w14:paraId="52BE00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И6-ЮП7</w:t>
            </w:r>
          </w:p>
        </w:tc>
        <w:tc>
          <w:tcPr>
            <w:tcW w:w="2126" w:type="dxa"/>
          </w:tcPr>
          <w:p w14:paraId="5E28ED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1985" w:type="dxa"/>
          </w:tcPr>
          <w:p w14:paraId="6324A4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2126" w:type="dxa"/>
          </w:tcPr>
          <w:p w14:paraId="0FC2C4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Истребитель с мотором ЮП7 деревянный</w:t>
            </w:r>
          </w:p>
        </w:tc>
        <w:tc>
          <w:tcPr>
            <w:tcW w:w="2693" w:type="dxa"/>
          </w:tcPr>
          <w:p w14:paraId="3E0A82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r>
      <w:tr w:rsidR="00E371BA" w:rsidRPr="00507A31" w14:paraId="05EEE168" w14:textId="77777777">
        <w:trPr>
          <w:cantSplit/>
        </w:trPr>
        <w:tc>
          <w:tcPr>
            <w:tcW w:w="1951" w:type="dxa"/>
          </w:tcPr>
          <w:p w14:paraId="6D1217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И7-М17</w:t>
            </w:r>
          </w:p>
        </w:tc>
        <w:tc>
          <w:tcPr>
            <w:tcW w:w="2126" w:type="dxa"/>
          </w:tcPr>
          <w:p w14:paraId="6A1640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1985" w:type="dxa"/>
          </w:tcPr>
          <w:p w14:paraId="72A88A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2126" w:type="dxa"/>
          </w:tcPr>
          <w:p w14:paraId="46CD01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Истребитель с мотором М17 деревянной и смешанной конструкции</w:t>
            </w:r>
          </w:p>
        </w:tc>
        <w:tc>
          <w:tcPr>
            <w:tcW w:w="2693" w:type="dxa"/>
          </w:tcPr>
          <w:p w14:paraId="41C38C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r>
      <w:tr w:rsidR="00E371BA" w:rsidRPr="00507A31" w14:paraId="722D0F88" w14:textId="77777777">
        <w:trPr>
          <w:cantSplit/>
        </w:trPr>
        <w:tc>
          <w:tcPr>
            <w:tcW w:w="1951" w:type="dxa"/>
          </w:tcPr>
          <w:p w14:paraId="384A01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ДИ2-М17</w:t>
            </w:r>
          </w:p>
        </w:tc>
        <w:tc>
          <w:tcPr>
            <w:tcW w:w="2126" w:type="dxa"/>
          </w:tcPr>
          <w:p w14:paraId="0A382B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1985" w:type="dxa"/>
          </w:tcPr>
          <w:p w14:paraId="27DC33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2126" w:type="dxa"/>
          </w:tcPr>
          <w:p w14:paraId="459EBF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Двухместный истребитель с мотором М17</w:t>
            </w:r>
          </w:p>
        </w:tc>
        <w:tc>
          <w:tcPr>
            <w:tcW w:w="2693" w:type="dxa"/>
          </w:tcPr>
          <w:p w14:paraId="76172D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r>
      <w:tr w:rsidR="00E371BA" w:rsidRPr="00507A31" w14:paraId="244FF7D0" w14:textId="77777777">
        <w:trPr>
          <w:cantSplit/>
        </w:trPr>
        <w:tc>
          <w:tcPr>
            <w:tcW w:w="1951" w:type="dxa"/>
          </w:tcPr>
          <w:p w14:paraId="45B9BB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ТБ2-2М17</w:t>
            </w:r>
          </w:p>
        </w:tc>
        <w:tc>
          <w:tcPr>
            <w:tcW w:w="2126" w:type="dxa"/>
          </w:tcPr>
          <w:p w14:paraId="0163E1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1985" w:type="dxa"/>
          </w:tcPr>
          <w:p w14:paraId="6FC933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2126" w:type="dxa"/>
          </w:tcPr>
          <w:p w14:paraId="14CAA9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Бомбардировщик с двумя моторами М-17</w:t>
            </w:r>
          </w:p>
        </w:tc>
        <w:tc>
          <w:tcPr>
            <w:tcW w:w="2693" w:type="dxa"/>
          </w:tcPr>
          <w:p w14:paraId="3DCAB3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r>
      <w:tr w:rsidR="00E371BA" w:rsidRPr="00507A31" w14:paraId="67A4F8A6" w14:textId="77777777">
        <w:trPr>
          <w:cantSplit/>
        </w:trPr>
        <w:tc>
          <w:tcPr>
            <w:tcW w:w="1951" w:type="dxa"/>
          </w:tcPr>
          <w:p w14:paraId="2AE2B8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МТБ-6 (ТОМ)</w:t>
            </w:r>
          </w:p>
        </w:tc>
        <w:tc>
          <w:tcPr>
            <w:tcW w:w="2126" w:type="dxa"/>
          </w:tcPr>
          <w:p w14:paraId="56BFCF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985" w:type="dxa"/>
          </w:tcPr>
          <w:p w14:paraId="178128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2126" w:type="dxa"/>
          </w:tcPr>
          <w:p w14:paraId="5105FF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торпедоносец с 2 моторами М17.</w:t>
            </w:r>
          </w:p>
        </w:tc>
        <w:tc>
          <w:tcPr>
            <w:tcW w:w="2693" w:type="dxa"/>
          </w:tcPr>
          <w:p w14:paraId="6E2049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r>
      <w:tr w:rsidR="00E371BA" w:rsidRPr="00507A31" w14:paraId="44EB6657" w14:textId="77777777">
        <w:trPr>
          <w:cantSplit/>
        </w:trPr>
        <w:tc>
          <w:tcPr>
            <w:tcW w:w="1951" w:type="dxa"/>
          </w:tcPr>
          <w:p w14:paraId="3EE3F1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 (МР5)</w:t>
            </w:r>
          </w:p>
        </w:tc>
        <w:tc>
          <w:tcPr>
            <w:tcW w:w="2126" w:type="dxa"/>
          </w:tcPr>
          <w:p w14:paraId="49AD71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1985" w:type="dxa"/>
          </w:tcPr>
          <w:p w14:paraId="1DE0EF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2126" w:type="dxa"/>
          </w:tcPr>
          <w:p w14:paraId="594E92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ближний разведчик с мотором М17.</w:t>
            </w:r>
          </w:p>
        </w:tc>
        <w:tc>
          <w:tcPr>
            <w:tcW w:w="2693" w:type="dxa"/>
          </w:tcPr>
          <w:p w14:paraId="365DBB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r>
      <w:tr w:rsidR="00E371BA" w:rsidRPr="00507A31" w14:paraId="05A4C5B0" w14:textId="77777777">
        <w:trPr>
          <w:cantSplit/>
        </w:trPr>
        <w:tc>
          <w:tcPr>
            <w:tcW w:w="1951" w:type="dxa"/>
          </w:tcPr>
          <w:p w14:paraId="15C1DE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МДР-1 (РОМ)</w:t>
            </w:r>
          </w:p>
        </w:tc>
        <w:tc>
          <w:tcPr>
            <w:tcW w:w="2126" w:type="dxa"/>
          </w:tcPr>
          <w:p w14:paraId="4972D5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985" w:type="dxa"/>
          </w:tcPr>
          <w:p w14:paraId="557391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2126" w:type="dxa"/>
          </w:tcPr>
          <w:p w14:paraId="4DA52E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дальний разведчик с 2 моторами М17</w:t>
            </w:r>
          </w:p>
        </w:tc>
        <w:tc>
          <w:tcPr>
            <w:tcW w:w="2693" w:type="dxa"/>
          </w:tcPr>
          <w:p w14:paraId="54F63D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r>
      <w:tr w:rsidR="00E371BA" w:rsidRPr="00507A31" w14:paraId="204E9AF9" w14:textId="77777777">
        <w:trPr>
          <w:cantSplit/>
        </w:trPr>
        <w:tc>
          <w:tcPr>
            <w:tcW w:w="1951" w:type="dxa"/>
          </w:tcPr>
          <w:p w14:paraId="1D4094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 (ПУ2)</w:t>
            </w:r>
          </w:p>
        </w:tc>
        <w:tc>
          <w:tcPr>
            <w:tcW w:w="2126" w:type="dxa"/>
          </w:tcPr>
          <w:p w14:paraId="518EE3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1985" w:type="dxa"/>
          </w:tcPr>
          <w:p w14:paraId="71BE35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2126" w:type="dxa"/>
          </w:tcPr>
          <w:p w14:paraId="290ED6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Поплавковый учебный с мотором М11</w:t>
            </w:r>
          </w:p>
        </w:tc>
        <w:tc>
          <w:tcPr>
            <w:tcW w:w="2693" w:type="dxa"/>
          </w:tcPr>
          <w:p w14:paraId="394ED5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r>
    </w:tbl>
    <w:p w14:paraId="029C15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985"/>
        <w:gridCol w:w="2126"/>
        <w:gridCol w:w="2693"/>
      </w:tblGrid>
      <w:tr w:rsidR="00E371BA" w:rsidRPr="00507A31" w14:paraId="23172CA3" w14:textId="77777777">
        <w:trPr>
          <w:cantSplit/>
        </w:trPr>
        <w:tc>
          <w:tcPr>
            <w:tcW w:w="1951" w:type="dxa"/>
          </w:tcPr>
          <w:p w14:paraId="38FF2C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И9-М32</w:t>
            </w:r>
          </w:p>
        </w:tc>
        <w:tc>
          <w:tcPr>
            <w:tcW w:w="2126" w:type="dxa"/>
          </w:tcPr>
          <w:p w14:paraId="30574D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c>
          <w:tcPr>
            <w:tcW w:w="1985" w:type="dxa"/>
          </w:tcPr>
          <w:p w14:paraId="20564E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1931</w:t>
            </w:r>
          </w:p>
        </w:tc>
        <w:tc>
          <w:tcPr>
            <w:tcW w:w="2126" w:type="dxa"/>
          </w:tcPr>
          <w:p w14:paraId="2A141B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Истребитель деревянный с мотором М32</w:t>
            </w:r>
          </w:p>
        </w:tc>
        <w:tc>
          <w:tcPr>
            <w:tcW w:w="2693" w:type="dxa"/>
          </w:tcPr>
          <w:p w14:paraId="606879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r>
      <w:tr w:rsidR="00E371BA" w:rsidRPr="00507A31" w14:paraId="067D4D77" w14:textId="77777777">
        <w:trPr>
          <w:cantSplit/>
        </w:trPr>
        <w:tc>
          <w:tcPr>
            <w:tcW w:w="1951" w:type="dxa"/>
          </w:tcPr>
          <w:p w14:paraId="4B1822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И10-М38</w:t>
            </w:r>
          </w:p>
        </w:tc>
        <w:tc>
          <w:tcPr>
            <w:tcW w:w="2126" w:type="dxa"/>
          </w:tcPr>
          <w:p w14:paraId="77F1B9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1932</w:t>
            </w:r>
          </w:p>
        </w:tc>
        <w:tc>
          <w:tcPr>
            <w:tcW w:w="1985" w:type="dxa"/>
          </w:tcPr>
          <w:p w14:paraId="0F7504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Неопр.</w:t>
            </w:r>
          </w:p>
        </w:tc>
        <w:tc>
          <w:tcPr>
            <w:tcW w:w="2126" w:type="dxa"/>
          </w:tcPr>
          <w:p w14:paraId="173382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Истребитель с мотором М38.</w:t>
            </w:r>
          </w:p>
        </w:tc>
        <w:tc>
          <w:tcPr>
            <w:tcW w:w="2693" w:type="dxa"/>
          </w:tcPr>
          <w:p w14:paraId="2E3370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1931</w:t>
            </w:r>
          </w:p>
        </w:tc>
      </w:tr>
      <w:tr w:rsidR="00E371BA" w:rsidRPr="00507A31" w14:paraId="7F3E3879" w14:textId="77777777">
        <w:trPr>
          <w:cantSplit/>
        </w:trPr>
        <w:tc>
          <w:tcPr>
            <w:tcW w:w="1951" w:type="dxa"/>
          </w:tcPr>
          <w:p w14:paraId="101181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w:t>
            </w:r>
          </w:p>
        </w:tc>
        <w:tc>
          <w:tcPr>
            <w:tcW w:w="2126" w:type="dxa"/>
          </w:tcPr>
          <w:p w14:paraId="0AACAE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1933</w:t>
            </w:r>
          </w:p>
        </w:tc>
        <w:tc>
          <w:tcPr>
            <w:tcW w:w="1985" w:type="dxa"/>
          </w:tcPr>
          <w:p w14:paraId="1DA76E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c>
          <w:tcPr>
            <w:tcW w:w="2126" w:type="dxa"/>
          </w:tcPr>
          <w:p w14:paraId="3B557C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Двухместный истребитель с мотором М34.</w:t>
            </w:r>
          </w:p>
        </w:tc>
        <w:tc>
          <w:tcPr>
            <w:tcW w:w="2693" w:type="dxa"/>
          </w:tcPr>
          <w:p w14:paraId="598FDD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r>
      <w:tr w:rsidR="00E371BA" w:rsidRPr="00507A31" w14:paraId="3E80F191" w14:textId="77777777">
        <w:trPr>
          <w:cantSplit/>
        </w:trPr>
        <w:tc>
          <w:tcPr>
            <w:tcW w:w="1951" w:type="dxa"/>
          </w:tcPr>
          <w:p w14:paraId="110983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w:t>
            </w:r>
          </w:p>
        </w:tc>
        <w:tc>
          <w:tcPr>
            <w:tcW w:w="2126" w:type="dxa"/>
          </w:tcPr>
          <w:p w14:paraId="34F659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1932</w:t>
            </w:r>
          </w:p>
        </w:tc>
        <w:tc>
          <w:tcPr>
            <w:tcW w:w="1985" w:type="dxa"/>
          </w:tcPr>
          <w:p w14:paraId="69CDB4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2126" w:type="dxa"/>
          </w:tcPr>
          <w:p w14:paraId="139DC2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Многоместный истребитель с двумя моторами М34.</w:t>
            </w:r>
          </w:p>
        </w:tc>
        <w:tc>
          <w:tcPr>
            <w:tcW w:w="2693" w:type="dxa"/>
          </w:tcPr>
          <w:p w14:paraId="263446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1931</w:t>
            </w:r>
          </w:p>
        </w:tc>
      </w:tr>
      <w:tr w:rsidR="00E371BA" w:rsidRPr="00507A31" w14:paraId="557B8552" w14:textId="77777777">
        <w:trPr>
          <w:cantSplit/>
        </w:trPr>
        <w:tc>
          <w:tcPr>
            <w:tcW w:w="1951" w:type="dxa"/>
          </w:tcPr>
          <w:p w14:paraId="73C01E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Р8-М34</w:t>
            </w:r>
          </w:p>
        </w:tc>
        <w:tc>
          <w:tcPr>
            <w:tcW w:w="2126" w:type="dxa"/>
          </w:tcPr>
          <w:p w14:paraId="2C5CBB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1932</w:t>
            </w:r>
          </w:p>
        </w:tc>
        <w:tc>
          <w:tcPr>
            <w:tcW w:w="1985" w:type="dxa"/>
          </w:tcPr>
          <w:p w14:paraId="7CA25C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2126" w:type="dxa"/>
          </w:tcPr>
          <w:p w14:paraId="7BB30A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Разведчик армейский с мотором М34.</w:t>
            </w:r>
          </w:p>
        </w:tc>
        <w:tc>
          <w:tcPr>
            <w:tcW w:w="2693" w:type="dxa"/>
          </w:tcPr>
          <w:p w14:paraId="1EAFB3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1931</w:t>
            </w:r>
          </w:p>
        </w:tc>
      </w:tr>
      <w:tr w:rsidR="00E371BA" w:rsidRPr="00507A31" w14:paraId="232CCE41" w14:textId="77777777">
        <w:trPr>
          <w:cantSplit/>
        </w:trPr>
        <w:tc>
          <w:tcPr>
            <w:tcW w:w="1951" w:type="dxa"/>
          </w:tcPr>
          <w:p w14:paraId="7EB67F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Р9-2М26</w:t>
            </w:r>
          </w:p>
        </w:tc>
        <w:tc>
          <w:tcPr>
            <w:tcW w:w="2126" w:type="dxa"/>
          </w:tcPr>
          <w:p w14:paraId="3A34A4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1931</w:t>
            </w:r>
          </w:p>
        </w:tc>
        <w:tc>
          <w:tcPr>
            <w:tcW w:w="1985" w:type="dxa"/>
          </w:tcPr>
          <w:p w14:paraId="108B7B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1932</w:t>
            </w:r>
          </w:p>
        </w:tc>
        <w:tc>
          <w:tcPr>
            <w:tcW w:w="2126" w:type="dxa"/>
          </w:tcPr>
          <w:p w14:paraId="5200B6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Разведчик войсковой с двумя моторами М26 по 300 НР.</w:t>
            </w:r>
          </w:p>
        </w:tc>
        <w:tc>
          <w:tcPr>
            <w:tcW w:w="2693" w:type="dxa"/>
          </w:tcPr>
          <w:p w14:paraId="0071A7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1932</w:t>
            </w:r>
          </w:p>
        </w:tc>
      </w:tr>
      <w:tr w:rsidR="00E371BA" w:rsidRPr="00507A31" w14:paraId="3AC2F867" w14:textId="77777777">
        <w:trPr>
          <w:cantSplit/>
        </w:trPr>
        <w:tc>
          <w:tcPr>
            <w:tcW w:w="1951" w:type="dxa"/>
          </w:tcPr>
          <w:p w14:paraId="08F168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w:t>
            </w:r>
          </w:p>
        </w:tc>
        <w:tc>
          <w:tcPr>
            <w:tcW w:w="2126" w:type="dxa"/>
          </w:tcPr>
          <w:p w14:paraId="304EA0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1932</w:t>
            </w:r>
          </w:p>
        </w:tc>
        <w:tc>
          <w:tcPr>
            <w:tcW w:w="1985" w:type="dxa"/>
          </w:tcPr>
          <w:p w14:paraId="5369B7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2126" w:type="dxa"/>
          </w:tcPr>
          <w:p w14:paraId="19C010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базовый разведчик с мотором М34.</w:t>
            </w:r>
          </w:p>
        </w:tc>
        <w:tc>
          <w:tcPr>
            <w:tcW w:w="2693" w:type="dxa"/>
          </w:tcPr>
          <w:p w14:paraId="784644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1931</w:t>
            </w:r>
          </w:p>
        </w:tc>
      </w:tr>
      <w:tr w:rsidR="00E371BA" w:rsidRPr="00507A31" w14:paraId="57CF1A55" w14:textId="77777777">
        <w:trPr>
          <w:cantSplit/>
        </w:trPr>
        <w:tc>
          <w:tcPr>
            <w:tcW w:w="1951" w:type="dxa"/>
          </w:tcPr>
          <w:p w14:paraId="64C058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МДР-3</w:t>
            </w:r>
          </w:p>
        </w:tc>
        <w:tc>
          <w:tcPr>
            <w:tcW w:w="2126" w:type="dxa"/>
          </w:tcPr>
          <w:p w14:paraId="420702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c>
          <w:tcPr>
            <w:tcW w:w="1985" w:type="dxa"/>
          </w:tcPr>
          <w:p w14:paraId="21EB00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2126" w:type="dxa"/>
          </w:tcPr>
          <w:p w14:paraId="4F8B19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дальний разведчик с двумя моторами М34.</w:t>
            </w:r>
          </w:p>
        </w:tc>
        <w:tc>
          <w:tcPr>
            <w:tcW w:w="2693" w:type="dxa"/>
          </w:tcPr>
          <w:p w14:paraId="26604F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r>
      <w:tr w:rsidR="00E371BA" w:rsidRPr="00507A31" w14:paraId="22BDD395" w14:textId="77777777">
        <w:trPr>
          <w:cantSplit/>
        </w:trPr>
        <w:tc>
          <w:tcPr>
            <w:tcW w:w="1951" w:type="dxa"/>
          </w:tcPr>
          <w:p w14:paraId="3F3215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w:t>
            </w:r>
          </w:p>
        </w:tc>
        <w:tc>
          <w:tcPr>
            <w:tcW w:w="2126" w:type="dxa"/>
          </w:tcPr>
          <w:p w14:paraId="7F6277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c>
          <w:tcPr>
            <w:tcW w:w="1985" w:type="dxa"/>
          </w:tcPr>
          <w:p w14:paraId="7F7DE7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2126" w:type="dxa"/>
          </w:tcPr>
          <w:p w14:paraId="1C1B28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Морской торпедобомбардировщик с 4 моторами М35 мощностью в 5000 НР.</w:t>
            </w:r>
          </w:p>
        </w:tc>
        <w:tc>
          <w:tcPr>
            <w:tcW w:w="2693" w:type="dxa"/>
          </w:tcPr>
          <w:p w14:paraId="58FDFC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1932</w:t>
            </w:r>
          </w:p>
        </w:tc>
      </w:tr>
      <w:tr w:rsidR="00E371BA" w:rsidRPr="00507A31" w14:paraId="32D90B55" w14:textId="77777777">
        <w:trPr>
          <w:cantSplit/>
        </w:trPr>
        <w:tc>
          <w:tcPr>
            <w:tcW w:w="1951" w:type="dxa"/>
          </w:tcPr>
          <w:p w14:paraId="676AB5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w:t>
            </w:r>
          </w:p>
        </w:tc>
        <w:tc>
          <w:tcPr>
            <w:tcW w:w="2126" w:type="dxa"/>
          </w:tcPr>
          <w:p w14:paraId="03D2F5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1985" w:type="dxa"/>
          </w:tcPr>
          <w:p w14:paraId="4F199C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2126" w:type="dxa"/>
          </w:tcPr>
          <w:p w14:paraId="24A370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Лодочный учебный с мотором М11.</w:t>
            </w:r>
          </w:p>
        </w:tc>
        <w:tc>
          <w:tcPr>
            <w:tcW w:w="2693" w:type="dxa"/>
          </w:tcPr>
          <w:p w14:paraId="2D1FAA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r>
    </w:tbl>
    <w:p w14:paraId="4B9494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(3545, 123-125).</w:t>
      </w:r>
    </w:p>
    <w:p w14:paraId="1E1287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Приложенгие № 6</w:t>
      </w:r>
    </w:p>
    <w:p w14:paraId="47E854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Обзор импорта за последние 3 года (1926-1929 г.г. (по материалам для производства)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850"/>
        <w:gridCol w:w="851"/>
        <w:gridCol w:w="850"/>
        <w:gridCol w:w="851"/>
        <w:gridCol w:w="992"/>
        <w:gridCol w:w="850"/>
        <w:gridCol w:w="3168"/>
      </w:tblGrid>
      <w:tr w:rsidR="00E371BA" w:rsidRPr="00507A31" w14:paraId="0A596EBC" w14:textId="77777777">
        <w:tc>
          <w:tcPr>
            <w:tcW w:w="2802" w:type="dxa"/>
            <w:tcBorders>
              <w:top w:val="single" w:sz="12" w:space="0" w:color="auto"/>
            </w:tcBorders>
          </w:tcPr>
          <w:p w14:paraId="36EEE4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w:t>
            </w:r>
          </w:p>
        </w:tc>
        <w:tc>
          <w:tcPr>
            <w:tcW w:w="2551" w:type="dxa"/>
            <w:gridSpan w:val="3"/>
            <w:tcBorders>
              <w:top w:val="single" w:sz="12" w:space="0" w:color="auto"/>
            </w:tcBorders>
          </w:tcPr>
          <w:p w14:paraId="05D21C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Сумма импорта в абсолютных цифрах в рублях</w:t>
            </w:r>
          </w:p>
        </w:tc>
        <w:tc>
          <w:tcPr>
            <w:tcW w:w="2693" w:type="dxa"/>
            <w:gridSpan w:val="3"/>
            <w:tcBorders>
              <w:top w:val="single" w:sz="12" w:space="0" w:color="auto"/>
            </w:tcBorders>
          </w:tcPr>
          <w:p w14:paraId="688981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Сумма импорта по группам в % отношеннии к годовой сумме</w:t>
            </w:r>
          </w:p>
        </w:tc>
        <w:tc>
          <w:tcPr>
            <w:tcW w:w="3168" w:type="dxa"/>
            <w:tcBorders>
              <w:top w:val="single" w:sz="12" w:space="0" w:color="auto"/>
            </w:tcBorders>
          </w:tcPr>
          <w:p w14:paraId="7E4724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tc>
      </w:tr>
      <w:tr w:rsidR="00E371BA" w:rsidRPr="00507A31" w14:paraId="4C3EA481" w14:textId="77777777">
        <w:tc>
          <w:tcPr>
            <w:tcW w:w="2802" w:type="dxa"/>
          </w:tcPr>
          <w:p w14:paraId="23F9D061"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41BBE7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26/27</w:t>
            </w:r>
          </w:p>
        </w:tc>
        <w:tc>
          <w:tcPr>
            <w:tcW w:w="851" w:type="dxa"/>
          </w:tcPr>
          <w:p w14:paraId="60BCCB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27/28</w:t>
            </w:r>
          </w:p>
        </w:tc>
        <w:tc>
          <w:tcPr>
            <w:tcW w:w="850" w:type="dxa"/>
          </w:tcPr>
          <w:p w14:paraId="45CC89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28/29</w:t>
            </w:r>
          </w:p>
        </w:tc>
        <w:tc>
          <w:tcPr>
            <w:tcW w:w="851" w:type="dxa"/>
          </w:tcPr>
          <w:p w14:paraId="52D1EC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26/27</w:t>
            </w:r>
          </w:p>
        </w:tc>
        <w:tc>
          <w:tcPr>
            <w:tcW w:w="992" w:type="dxa"/>
          </w:tcPr>
          <w:p w14:paraId="5A7574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27/28</w:t>
            </w:r>
          </w:p>
        </w:tc>
        <w:tc>
          <w:tcPr>
            <w:tcW w:w="850" w:type="dxa"/>
          </w:tcPr>
          <w:p w14:paraId="66F1BD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28/29</w:t>
            </w:r>
          </w:p>
        </w:tc>
        <w:tc>
          <w:tcPr>
            <w:tcW w:w="3168" w:type="dxa"/>
          </w:tcPr>
          <w:p w14:paraId="62FE2E2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41F25C9" w14:textId="77777777">
        <w:tc>
          <w:tcPr>
            <w:tcW w:w="2802" w:type="dxa"/>
          </w:tcPr>
          <w:p w14:paraId="1A39C4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Цветные металлы и изделия из них</w:t>
            </w:r>
          </w:p>
        </w:tc>
        <w:tc>
          <w:tcPr>
            <w:tcW w:w="850" w:type="dxa"/>
          </w:tcPr>
          <w:p w14:paraId="3525E2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831700</w:t>
            </w:r>
          </w:p>
        </w:tc>
        <w:tc>
          <w:tcPr>
            <w:tcW w:w="851" w:type="dxa"/>
          </w:tcPr>
          <w:p w14:paraId="09732C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654161</w:t>
            </w:r>
          </w:p>
        </w:tc>
        <w:tc>
          <w:tcPr>
            <w:tcW w:w="850" w:type="dxa"/>
          </w:tcPr>
          <w:p w14:paraId="22709C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1125234</w:t>
            </w:r>
          </w:p>
        </w:tc>
        <w:tc>
          <w:tcPr>
            <w:tcW w:w="851" w:type="dxa"/>
          </w:tcPr>
          <w:p w14:paraId="5542AB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37,4</w:t>
            </w:r>
          </w:p>
        </w:tc>
        <w:tc>
          <w:tcPr>
            <w:tcW w:w="992" w:type="dxa"/>
          </w:tcPr>
          <w:p w14:paraId="79C05C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40,4</w:t>
            </w:r>
          </w:p>
        </w:tc>
        <w:tc>
          <w:tcPr>
            <w:tcW w:w="850" w:type="dxa"/>
          </w:tcPr>
          <w:p w14:paraId="63B78E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68,2</w:t>
            </w:r>
          </w:p>
        </w:tc>
        <w:tc>
          <w:tcPr>
            <w:tcW w:w="3168" w:type="dxa"/>
          </w:tcPr>
          <w:p w14:paraId="13EC87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Постоянный абсолютный и относительный рост</w:t>
            </w:r>
          </w:p>
        </w:tc>
      </w:tr>
      <w:tr w:rsidR="00E371BA" w:rsidRPr="00507A31" w14:paraId="2ADD7DFF" w14:textId="77777777">
        <w:tc>
          <w:tcPr>
            <w:tcW w:w="2802" w:type="dxa"/>
          </w:tcPr>
          <w:p w14:paraId="69F973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Черные металлы и изделия из них</w:t>
            </w:r>
          </w:p>
        </w:tc>
        <w:tc>
          <w:tcPr>
            <w:tcW w:w="850" w:type="dxa"/>
          </w:tcPr>
          <w:p w14:paraId="21D49D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203635</w:t>
            </w:r>
          </w:p>
        </w:tc>
        <w:tc>
          <w:tcPr>
            <w:tcW w:w="851" w:type="dxa"/>
          </w:tcPr>
          <w:p w14:paraId="74B8BC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252603</w:t>
            </w:r>
          </w:p>
        </w:tc>
        <w:tc>
          <w:tcPr>
            <w:tcW w:w="850" w:type="dxa"/>
          </w:tcPr>
          <w:p w14:paraId="6E1B51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109635</w:t>
            </w:r>
          </w:p>
        </w:tc>
        <w:tc>
          <w:tcPr>
            <w:tcW w:w="851" w:type="dxa"/>
          </w:tcPr>
          <w:p w14:paraId="2904ED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9,1</w:t>
            </w:r>
          </w:p>
        </w:tc>
        <w:tc>
          <w:tcPr>
            <w:tcW w:w="992" w:type="dxa"/>
          </w:tcPr>
          <w:p w14:paraId="3D1A36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w:t>
            </w:r>
          </w:p>
        </w:tc>
        <w:tc>
          <w:tcPr>
            <w:tcW w:w="850" w:type="dxa"/>
          </w:tcPr>
          <w:p w14:paraId="31B63F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6,5</w:t>
            </w:r>
          </w:p>
        </w:tc>
        <w:tc>
          <w:tcPr>
            <w:tcW w:w="3168" w:type="dxa"/>
          </w:tcPr>
          <w:p w14:paraId="37AE0A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Высокий процент в 27/28 объясняется заготовкой осевых труб. Во всем прочем - постепенное снижение</w:t>
            </w:r>
          </w:p>
        </w:tc>
      </w:tr>
      <w:tr w:rsidR="00E371BA" w:rsidRPr="00507A31" w14:paraId="46B04610" w14:textId="77777777">
        <w:tc>
          <w:tcPr>
            <w:tcW w:w="2802" w:type="dxa"/>
          </w:tcPr>
          <w:p w14:paraId="0E377A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Химпродукты</w:t>
            </w:r>
          </w:p>
        </w:tc>
        <w:tc>
          <w:tcPr>
            <w:tcW w:w="850" w:type="dxa"/>
          </w:tcPr>
          <w:p w14:paraId="01758C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29000</w:t>
            </w:r>
          </w:p>
        </w:tc>
        <w:tc>
          <w:tcPr>
            <w:tcW w:w="851" w:type="dxa"/>
          </w:tcPr>
          <w:p w14:paraId="159845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70707</w:t>
            </w:r>
          </w:p>
        </w:tc>
        <w:tc>
          <w:tcPr>
            <w:tcW w:w="850" w:type="dxa"/>
          </w:tcPr>
          <w:p w14:paraId="0DAE2F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11598</w:t>
            </w:r>
          </w:p>
        </w:tc>
        <w:tc>
          <w:tcPr>
            <w:tcW w:w="851" w:type="dxa"/>
          </w:tcPr>
          <w:p w14:paraId="6E4F70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w:t>
            </w:r>
          </w:p>
        </w:tc>
        <w:tc>
          <w:tcPr>
            <w:tcW w:w="992" w:type="dxa"/>
          </w:tcPr>
          <w:p w14:paraId="788F79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4,2</w:t>
            </w:r>
          </w:p>
        </w:tc>
        <w:tc>
          <w:tcPr>
            <w:tcW w:w="850" w:type="dxa"/>
          </w:tcPr>
          <w:p w14:paraId="332A86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0,7</w:t>
            </w:r>
          </w:p>
        </w:tc>
        <w:tc>
          <w:tcPr>
            <w:tcW w:w="3168" w:type="dxa"/>
          </w:tcPr>
          <w:p w14:paraId="0176D4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Высокий процент в 27/28 объясняется заготовкой экзотических смол. Во всем остальном - постепенное снижение</w:t>
            </w:r>
          </w:p>
        </w:tc>
      </w:tr>
      <w:tr w:rsidR="00E371BA" w:rsidRPr="00507A31" w14:paraId="14F17158" w14:textId="77777777">
        <w:tc>
          <w:tcPr>
            <w:tcW w:w="2802" w:type="dxa"/>
          </w:tcPr>
          <w:p w14:paraId="737CBE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Специальные сорта проволоки и изделия из нее</w:t>
            </w:r>
          </w:p>
        </w:tc>
        <w:tc>
          <w:tcPr>
            <w:tcW w:w="850" w:type="dxa"/>
          </w:tcPr>
          <w:p w14:paraId="13B3DF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9050</w:t>
            </w:r>
          </w:p>
        </w:tc>
        <w:tc>
          <w:tcPr>
            <w:tcW w:w="851" w:type="dxa"/>
          </w:tcPr>
          <w:p w14:paraId="76811F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18133</w:t>
            </w:r>
          </w:p>
        </w:tc>
        <w:tc>
          <w:tcPr>
            <w:tcW w:w="850" w:type="dxa"/>
          </w:tcPr>
          <w:p w14:paraId="52944F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1" w:type="dxa"/>
          </w:tcPr>
          <w:p w14:paraId="1EC01C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0,4</w:t>
            </w:r>
          </w:p>
        </w:tc>
        <w:tc>
          <w:tcPr>
            <w:tcW w:w="992" w:type="dxa"/>
          </w:tcPr>
          <w:p w14:paraId="4B1E80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850" w:type="dxa"/>
          </w:tcPr>
          <w:p w14:paraId="6C3E25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3168" w:type="dxa"/>
          </w:tcPr>
          <w:p w14:paraId="27236B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номенклатуре остантся только гибкие валики и рояльная проволока</w:t>
            </w:r>
          </w:p>
        </w:tc>
      </w:tr>
      <w:tr w:rsidR="00E371BA" w:rsidRPr="00507A31" w14:paraId="5E7F0205" w14:textId="77777777">
        <w:tc>
          <w:tcPr>
            <w:tcW w:w="2802" w:type="dxa"/>
          </w:tcPr>
          <w:p w14:paraId="0D9600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Дерево</w:t>
            </w:r>
          </w:p>
        </w:tc>
        <w:tc>
          <w:tcPr>
            <w:tcW w:w="850" w:type="dxa"/>
          </w:tcPr>
          <w:p w14:paraId="4EA01B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30000</w:t>
            </w:r>
          </w:p>
        </w:tc>
        <w:tc>
          <w:tcPr>
            <w:tcW w:w="851" w:type="dxa"/>
          </w:tcPr>
          <w:p w14:paraId="6F436E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22315</w:t>
            </w:r>
          </w:p>
        </w:tc>
        <w:tc>
          <w:tcPr>
            <w:tcW w:w="850" w:type="dxa"/>
          </w:tcPr>
          <w:p w14:paraId="090159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1" w:type="dxa"/>
          </w:tcPr>
          <w:p w14:paraId="13D05A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w:t>
            </w:r>
          </w:p>
        </w:tc>
        <w:tc>
          <w:tcPr>
            <w:tcW w:w="992" w:type="dxa"/>
          </w:tcPr>
          <w:p w14:paraId="3B2057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w:t>
            </w:r>
          </w:p>
        </w:tc>
        <w:tc>
          <w:tcPr>
            <w:tcW w:w="850" w:type="dxa"/>
          </w:tcPr>
          <w:p w14:paraId="62C1EE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3168" w:type="dxa"/>
          </w:tcPr>
          <w:p w14:paraId="44E69F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Исключен из импорта за счет внутреннего карагача</w:t>
            </w:r>
          </w:p>
        </w:tc>
      </w:tr>
      <w:tr w:rsidR="00E371BA" w:rsidRPr="00507A31" w14:paraId="03735854" w14:textId="77777777">
        <w:tc>
          <w:tcPr>
            <w:tcW w:w="2802" w:type="dxa"/>
          </w:tcPr>
          <w:p w14:paraId="497D69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Инструмент и производственные алмазы</w:t>
            </w:r>
          </w:p>
        </w:tc>
        <w:tc>
          <w:tcPr>
            <w:tcW w:w="850" w:type="dxa"/>
          </w:tcPr>
          <w:p w14:paraId="6B43A0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215000</w:t>
            </w:r>
          </w:p>
        </w:tc>
        <w:tc>
          <w:tcPr>
            <w:tcW w:w="851" w:type="dxa"/>
          </w:tcPr>
          <w:p w14:paraId="1C60A1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24870</w:t>
            </w:r>
          </w:p>
        </w:tc>
        <w:tc>
          <w:tcPr>
            <w:tcW w:w="850" w:type="dxa"/>
          </w:tcPr>
          <w:p w14:paraId="423248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57250</w:t>
            </w:r>
          </w:p>
        </w:tc>
        <w:tc>
          <w:tcPr>
            <w:tcW w:w="851" w:type="dxa"/>
          </w:tcPr>
          <w:p w14:paraId="1E2303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9,7</w:t>
            </w:r>
          </w:p>
        </w:tc>
        <w:tc>
          <w:tcPr>
            <w:tcW w:w="992" w:type="dxa"/>
          </w:tcPr>
          <w:p w14:paraId="403FD5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c>
          <w:tcPr>
            <w:tcW w:w="850" w:type="dxa"/>
          </w:tcPr>
          <w:p w14:paraId="6BE720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w:t>
            </w:r>
          </w:p>
        </w:tc>
        <w:tc>
          <w:tcPr>
            <w:tcW w:w="3168" w:type="dxa"/>
          </w:tcPr>
          <w:p w14:paraId="1CDA72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26/27 произведена значительная заготовка, чем объясняется невысокий процент в 27/28</w:t>
            </w:r>
          </w:p>
        </w:tc>
      </w:tr>
      <w:tr w:rsidR="00E371BA" w:rsidRPr="00507A31" w14:paraId="03F09FB3" w14:textId="77777777">
        <w:tc>
          <w:tcPr>
            <w:tcW w:w="2802" w:type="dxa"/>
          </w:tcPr>
          <w:p w14:paraId="7B103B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Приборы зажигания</w:t>
            </w:r>
          </w:p>
        </w:tc>
        <w:tc>
          <w:tcPr>
            <w:tcW w:w="850" w:type="dxa"/>
          </w:tcPr>
          <w:p w14:paraId="38D7A9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482930</w:t>
            </w:r>
          </w:p>
        </w:tc>
        <w:tc>
          <w:tcPr>
            <w:tcW w:w="851" w:type="dxa"/>
          </w:tcPr>
          <w:p w14:paraId="448B62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318053</w:t>
            </w:r>
          </w:p>
        </w:tc>
        <w:tc>
          <w:tcPr>
            <w:tcW w:w="850" w:type="dxa"/>
          </w:tcPr>
          <w:p w14:paraId="324475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218180</w:t>
            </w:r>
          </w:p>
        </w:tc>
        <w:tc>
          <w:tcPr>
            <w:tcW w:w="851" w:type="dxa"/>
          </w:tcPr>
          <w:p w14:paraId="0749A6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21,7</w:t>
            </w:r>
          </w:p>
        </w:tc>
        <w:tc>
          <w:tcPr>
            <w:tcW w:w="992" w:type="dxa"/>
          </w:tcPr>
          <w:p w14:paraId="2F74B9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w:t>
            </w:r>
          </w:p>
        </w:tc>
        <w:tc>
          <w:tcPr>
            <w:tcW w:w="850" w:type="dxa"/>
          </w:tcPr>
          <w:p w14:paraId="2C0DE4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13,2</w:t>
            </w:r>
          </w:p>
        </w:tc>
        <w:tc>
          <w:tcPr>
            <w:tcW w:w="3168" w:type="dxa"/>
          </w:tcPr>
          <w:p w14:paraId="2C1385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Сокращение идет за счет сокращения импорта свечей со слюдяной изоляцией</w:t>
            </w:r>
          </w:p>
        </w:tc>
      </w:tr>
      <w:tr w:rsidR="00E371BA" w:rsidRPr="00507A31" w14:paraId="2BE4E135" w14:textId="77777777">
        <w:tc>
          <w:tcPr>
            <w:tcW w:w="2802" w:type="dxa"/>
          </w:tcPr>
          <w:p w14:paraId="412B58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Аэронавигационные и пилотажные приборы</w:t>
            </w:r>
          </w:p>
        </w:tc>
        <w:tc>
          <w:tcPr>
            <w:tcW w:w="850" w:type="dxa"/>
          </w:tcPr>
          <w:p w14:paraId="36E032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348250</w:t>
            </w:r>
          </w:p>
        </w:tc>
        <w:tc>
          <w:tcPr>
            <w:tcW w:w="851" w:type="dxa"/>
          </w:tcPr>
          <w:p w14:paraId="51F728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82027</w:t>
            </w:r>
          </w:p>
        </w:tc>
        <w:tc>
          <w:tcPr>
            <w:tcW w:w="850" w:type="dxa"/>
          </w:tcPr>
          <w:p w14:paraId="11E68A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24000</w:t>
            </w:r>
          </w:p>
        </w:tc>
        <w:tc>
          <w:tcPr>
            <w:tcW w:w="851" w:type="dxa"/>
          </w:tcPr>
          <w:p w14:paraId="546244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16,5</w:t>
            </w:r>
          </w:p>
        </w:tc>
        <w:tc>
          <w:tcPr>
            <w:tcW w:w="992" w:type="dxa"/>
          </w:tcPr>
          <w:p w14:paraId="58FCB4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850" w:type="dxa"/>
          </w:tcPr>
          <w:p w14:paraId="719963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c>
          <w:tcPr>
            <w:tcW w:w="3168" w:type="dxa"/>
          </w:tcPr>
          <w:p w14:paraId="249CBB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Импорт оастался только часов и комбинированных приборов для бомбовозов</w:t>
            </w:r>
          </w:p>
        </w:tc>
      </w:tr>
      <w:tr w:rsidR="00E371BA" w:rsidRPr="00507A31" w14:paraId="3D7ED341" w14:textId="77777777">
        <w:tc>
          <w:tcPr>
            <w:tcW w:w="2802" w:type="dxa"/>
          </w:tcPr>
          <w:p w14:paraId="06A071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Аэропланы готовые, запчасти и моторы</w:t>
            </w:r>
          </w:p>
        </w:tc>
        <w:tc>
          <w:tcPr>
            <w:tcW w:w="850" w:type="dxa"/>
          </w:tcPr>
          <w:p w14:paraId="542519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57600</w:t>
            </w:r>
          </w:p>
        </w:tc>
        <w:tc>
          <w:tcPr>
            <w:tcW w:w="851" w:type="dxa"/>
          </w:tcPr>
          <w:p w14:paraId="2E5CF7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64701</w:t>
            </w:r>
          </w:p>
        </w:tc>
        <w:tc>
          <w:tcPr>
            <w:tcW w:w="850" w:type="dxa"/>
          </w:tcPr>
          <w:p w14:paraId="3F7F16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25500</w:t>
            </w:r>
          </w:p>
        </w:tc>
        <w:tc>
          <w:tcPr>
            <w:tcW w:w="851" w:type="dxa"/>
          </w:tcPr>
          <w:p w14:paraId="09847A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w:t>
            </w:r>
          </w:p>
        </w:tc>
        <w:tc>
          <w:tcPr>
            <w:tcW w:w="992" w:type="dxa"/>
          </w:tcPr>
          <w:p w14:paraId="3A65DC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850" w:type="dxa"/>
          </w:tcPr>
          <w:p w14:paraId="70D2E3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w:t>
            </w:r>
          </w:p>
        </w:tc>
        <w:tc>
          <w:tcPr>
            <w:tcW w:w="3168" w:type="dxa"/>
          </w:tcPr>
          <w:p w14:paraId="656DB9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Ввозятся детали: колеса, радиаторы и т.п. для несерийного пр-ва и первых серий до установления пр-ва в СССР</w:t>
            </w:r>
          </w:p>
        </w:tc>
      </w:tr>
      <w:tr w:rsidR="00E371BA" w:rsidRPr="00507A31" w14:paraId="25A06ACF" w14:textId="77777777">
        <w:tc>
          <w:tcPr>
            <w:tcW w:w="2802" w:type="dxa"/>
          </w:tcPr>
          <w:p w14:paraId="457B4B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Прочие предметы технического снабжения</w:t>
            </w:r>
          </w:p>
        </w:tc>
        <w:tc>
          <w:tcPr>
            <w:tcW w:w="850" w:type="dxa"/>
          </w:tcPr>
          <w:p w14:paraId="260343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19571</w:t>
            </w:r>
          </w:p>
        </w:tc>
        <w:tc>
          <w:tcPr>
            <w:tcW w:w="851" w:type="dxa"/>
          </w:tcPr>
          <w:p w14:paraId="6648F5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112816</w:t>
            </w:r>
          </w:p>
        </w:tc>
        <w:tc>
          <w:tcPr>
            <w:tcW w:w="850" w:type="dxa"/>
          </w:tcPr>
          <w:p w14:paraId="17F5A6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78603</w:t>
            </w:r>
          </w:p>
        </w:tc>
        <w:tc>
          <w:tcPr>
            <w:tcW w:w="851" w:type="dxa"/>
          </w:tcPr>
          <w:p w14:paraId="4602D3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0,9</w:t>
            </w:r>
          </w:p>
        </w:tc>
        <w:tc>
          <w:tcPr>
            <w:tcW w:w="992" w:type="dxa"/>
          </w:tcPr>
          <w:p w14:paraId="7578A7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850" w:type="dxa"/>
          </w:tcPr>
          <w:p w14:paraId="30BABB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w:t>
            </w:r>
          </w:p>
        </w:tc>
        <w:tc>
          <w:tcPr>
            <w:tcW w:w="3168" w:type="dxa"/>
          </w:tcPr>
          <w:p w14:paraId="06CA9AC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F43999E" w14:textId="77777777">
        <w:tc>
          <w:tcPr>
            <w:tcW w:w="2802" w:type="dxa"/>
            <w:tcBorders>
              <w:bottom w:val="single" w:sz="12" w:space="0" w:color="auto"/>
            </w:tcBorders>
          </w:tcPr>
          <w:p w14:paraId="162E48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w:t>
            </w:r>
          </w:p>
        </w:tc>
        <w:tc>
          <w:tcPr>
            <w:tcW w:w="850" w:type="dxa"/>
            <w:tcBorders>
              <w:bottom w:val="single" w:sz="12" w:space="0" w:color="auto"/>
            </w:tcBorders>
          </w:tcPr>
          <w:p w14:paraId="08A478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2225756</w:t>
            </w:r>
          </w:p>
        </w:tc>
        <w:tc>
          <w:tcPr>
            <w:tcW w:w="851" w:type="dxa"/>
            <w:tcBorders>
              <w:bottom w:val="single" w:sz="12" w:space="0" w:color="auto"/>
            </w:tcBorders>
          </w:tcPr>
          <w:p w14:paraId="28AE47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1629757</w:t>
            </w:r>
          </w:p>
        </w:tc>
        <w:tc>
          <w:tcPr>
            <w:tcW w:w="850" w:type="dxa"/>
            <w:tcBorders>
              <w:bottom w:val="single" w:sz="12" w:space="0" w:color="auto"/>
            </w:tcBorders>
          </w:tcPr>
          <w:p w14:paraId="40F4CE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1650000</w:t>
            </w:r>
          </w:p>
        </w:tc>
        <w:tc>
          <w:tcPr>
            <w:tcW w:w="851" w:type="dxa"/>
            <w:tcBorders>
              <w:bottom w:val="single" w:sz="12" w:space="0" w:color="auto"/>
            </w:tcBorders>
          </w:tcPr>
          <w:p w14:paraId="0AAA4B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992" w:type="dxa"/>
            <w:tcBorders>
              <w:bottom w:val="single" w:sz="12" w:space="0" w:color="auto"/>
            </w:tcBorders>
          </w:tcPr>
          <w:p w14:paraId="4221EF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850" w:type="dxa"/>
            <w:tcBorders>
              <w:bottom w:val="single" w:sz="12" w:space="0" w:color="auto"/>
            </w:tcBorders>
          </w:tcPr>
          <w:p w14:paraId="2AF7EF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3168" w:type="dxa"/>
            <w:tcBorders>
              <w:bottom w:val="single" w:sz="12" w:space="0" w:color="auto"/>
            </w:tcBorders>
          </w:tcPr>
          <w:p w14:paraId="04BA044C" w14:textId="77777777" w:rsidR="00537E5F" w:rsidRPr="00507A31" w:rsidRDefault="00537E5F" w:rsidP="00507A31">
            <w:pPr>
              <w:autoSpaceDE w:val="0"/>
              <w:autoSpaceDN w:val="0"/>
              <w:adjustRightInd w:val="0"/>
              <w:jc w:val="both"/>
              <w:rPr>
                <w:color w:val="000000" w:themeColor="text1"/>
                <w:sz w:val="16"/>
                <w:szCs w:val="16"/>
              </w:rPr>
            </w:pPr>
          </w:p>
        </w:tc>
      </w:tr>
    </w:tbl>
    <w:p w14:paraId="0F6943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(3770).</w:t>
      </w:r>
    </w:p>
    <w:p w14:paraId="54523DEF" w14:textId="77777777" w:rsidR="00537E5F" w:rsidRPr="00507A31" w:rsidRDefault="00537E5F" w:rsidP="00507A31">
      <w:pPr>
        <w:autoSpaceDE w:val="0"/>
        <w:autoSpaceDN w:val="0"/>
        <w:adjustRightInd w:val="0"/>
        <w:jc w:val="both"/>
        <w:rPr>
          <w:color w:val="000000" w:themeColor="text1"/>
          <w:sz w:val="16"/>
          <w:szCs w:val="16"/>
        </w:rPr>
      </w:pPr>
    </w:p>
    <w:p w14:paraId="721EEA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 (отстав от срока на две недели) на заводе № 1 первый законченный 14 апреля самолет Р-5 № 4141 представили военной приемке, которая его забраковала. Машину № 4141. объявленную головной, отправили в НИИ ВВС для проведения государственных испытаний. Этот самолет укомплектовали более тщательно, чем остальные машины серии. На нем стояли электрооборудование, аккумулятор, радиостанция ВОЗ III (14С), все приборы. Интересно, что на задней турели смонтировали новые пулеметы ДА, а вот ящики сделали под диски "Льюиса" - другого размера.</w:t>
      </w:r>
    </w:p>
    <w:p w14:paraId="2711EB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ВНИИ ВВС летали на Р-5 днем и ночью, с бомбами и без них. По мере потепления погоды летчики все чаще сталкивались с перегревом воды. Даже при полностью выпущенном радиаторе она слишком быстро испарялась. Пришлось вернуться к конструкции с шестигранными трубками.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роста веса (12034).</w:t>
      </w:r>
    </w:p>
    <w:p w14:paraId="757A944B" w14:textId="77777777" w:rsidR="00537E5F" w:rsidRPr="00507A31" w:rsidRDefault="00537E5F" w:rsidP="00507A31">
      <w:pPr>
        <w:autoSpaceDE w:val="0"/>
        <w:autoSpaceDN w:val="0"/>
        <w:adjustRightInd w:val="0"/>
        <w:jc w:val="both"/>
        <w:rPr>
          <w:color w:val="000000" w:themeColor="text1"/>
          <w:sz w:val="16"/>
          <w:szCs w:val="16"/>
        </w:rPr>
      </w:pPr>
    </w:p>
    <w:p w14:paraId="7A97FB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 начал работать завод по производству отечественных парашютов во главе с д и ГК М.А.Савицким (1101,57).</w:t>
      </w:r>
    </w:p>
    <w:p w14:paraId="338DD52F" w14:textId="77777777" w:rsidR="00537E5F" w:rsidRPr="00507A31" w:rsidRDefault="00537E5F" w:rsidP="00507A31">
      <w:pPr>
        <w:autoSpaceDE w:val="0"/>
        <w:autoSpaceDN w:val="0"/>
        <w:adjustRightInd w:val="0"/>
        <w:jc w:val="both"/>
        <w:rPr>
          <w:color w:val="000000" w:themeColor="text1"/>
          <w:sz w:val="16"/>
          <w:szCs w:val="16"/>
        </w:rPr>
      </w:pPr>
    </w:p>
    <w:p w14:paraId="633842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 г. начальник вооружений РККА журналом N 6 сов. секретно 1930 г. НТК УВВС утвердил техтребования на 10 кг осколочные и осколочно-химические и 25 кг осколочные авиабомбы (3326)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E371BA" w:rsidRPr="00507A31" w14:paraId="36745F71" w14:textId="77777777">
        <w:tc>
          <w:tcPr>
            <w:tcW w:w="3757" w:type="dxa"/>
          </w:tcPr>
          <w:p w14:paraId="0054F9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Калибр бомб</w:t>
            </w:r>
          </w:p>
        </w:tc>
        <w:tc>
          <w:tcPr>
            <w:tcW w:w="6841" w:type="dxa"/>
          </w:tcPr>
          <w:p w14:paraId="570358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Требования к данному калибру</w:t>
            </w:r>
          </w:p>
        </w:tc>
      </w:tr>
      <w:tr w:rsidR="00E371BA" w:rsidRPr="00507A31" w14:paraId="009D5FB2" w14:textId="77777777">
        <w:tc>
          <w:tcPr>
            <w:tcW w:w="3757" w:type="dxa"/>
          </w:tcPr>
          <w:p w14:paraId="297E35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2-х кг</w:t>
            </w:r>
          </w:p>
        </w:tc>
        <w:tc>
          <w:tcPr>
            <w:tcW w:w="6841" w:type="dxa"/>
          </w:tcPr>
          <w:p w14:paraId="69D3E2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Предназначается для поражения живой силы в расчлененных</w:t>
            </w:r>
          </w:p>
        </w:tc>
      </w:tr>
      <w:tr w:rsidR="00E371BA" w:rsidRPr="00507A31" w14:paraId="28254AA7" w14:textId="77777777">
        <w:tc>
          <w:tcPr>
            <w:tcW w:w="3757" w:type="dxa"/>
          </w:tcPr>
          <w:p w14:paraId="306CDA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осколочн. бомба</w:t>
            </w:r>
          </w:p>
        </w:tc>
        <w:tc>
          <w:tcPr>
            <w:tcW w:w="6841" w:type="dxa"/>
          </w:tcPr>
          <w:p w14:paraId="5AFC9D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поверхн. Бомба должна безотказно действовать с высоты</w:t>
            </w:r>
          </w:p>
        </w:tc>
      </w:tr>
      <w:tr w:rsidR="00E371BA" w:rsidRPr="00507A31" w14:paraId="0B0675A6" w14:textId="77777777">
        <w:tc>
          <w:tcPr>
            <w:tcW w:w="3757" w:type="dxa"/>
          </w:tcPr>
          <w:p w14:paraId="39ADBF49" w14:textId="77777777" w:rsidR="00537E5F" w:rsidRPr="00507A31" w:rsidRDefault="00537E5F" w:rsidP="00507A31">
            <w:pPr>
              <w:autoSpaceDE w:val="0"/>
              <w:autoSpaceDN w:val="0"/>
              <w:adjustRightInd w:val="0"/>
              <w:jc w:val="both"/>
              <w:rPr>
                <w:color w:val="000000" w:themeColor="text1"/>
                <w:sz w:val="16"/>
                <w:szCs w:val="16"/>
              </w:rPr>
            </w:pPr>
          </w:p>
        </w:tc>
        <w:tc>
          <w:tcPr>
            <w:tcW w:w="6841" w:type="dxa"/>
          </w:tcPr>
          <w:p w14:paraId="59902C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 м. Взрыватель головной мгновенного действия. Радиус</w:t>
            </w:r>
          </w:p>
        </w:tc>
      </w:tr>
      <w:tr w:rsidR="00E371BA" w:rsidRPr="00507A31" w14:paraId="6B3F4260" w14:textId="77777777">
        <w:tc>
          <w:tcPr>
            <w:tcW w:w="3757" w:type="dxa"/>
          </w:tcPr>
          <w:p w14:paraId="11DC1F6C" w14:textId="77777777" w:rsidR="00537E5F" w:rsidRPr="00507A31" w:rsidRDefault="00537E5F" w:rsidP="00507A31">
            <w:pPr>
              <w:autoSpaceDE w:val="0"/>
              <w:autoSpaceDN w:val="0"/>
              <w:adjustRightInd w:val="0"/>
              <w:jc w:val="both"/>
              <w:rPr>
                <w:color w:val="000000" w:themeColor="text1"/>
                <w:sz w:val="16"/>
                <w:szCs w:val="16"/>
              </w:rPr>
            </w:pPr>
          </w:p>
        </w:tc>
        <w:tc>
          <w:tcPr>
            <w:tcW w:w="6841" w:type="dxa"/>
          </w:tcPr>
          <w:p w14:paraId="44AE3B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действия убойных осколков не менее 30 м. Количество</w:t>
            </w:r>
          </w:p>
        </w:tc>
      </w:tr>
      <w:tr w:rsidR="00E371BA" w:rsidRPr="00507A31" w14:paraId="160CEEB2" w14:textId="77777777">
        <w:tc>
          <w:tcPr>
            <w:tcW w:w="3757" w:type="dxa"/>
          </w:tcPr>
          <w:p w14:paraId="74E2604C" w14:textId="77777777" w:rsidR="00537E5F" w:rsidRPr="00507A31" w:rsidRDefault="00537E5F" w:rsidP="00507A31">
            <w:pPr>
              <w:autoSpaceDE w:val="0"/>
              <w:autoSpaceDN w:val="0"/>
              <w:adjustRightInd w:val="0"/>
              <w:jc w:val="both"/>
              <w:rPr>
                <w:color w:val="000000" w:themeColor="text1"/>
                <w:sz w:val="16"/>
                <w:szCs w:val="16"/>
              </w:rPr>
            </w:pPr>
          </w:p>
        </w:tc>
        <w:tc>
          <w:tcPr>
            <w:tcW w:w="6841" w:type="dxa"/>
          </w:tcPr>
          <w:p w14:paraId="2B9534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убойных осколков не менее 80% от всего металла.</w:t>
            </w:r>
          </w:p>
        </w:tc>
      </w:tr>
      <w:tr w:rsidR="00E371BA" w:rsidRPr="00507A31" w14:paraId="609A0C70" w14:textId="77777777">
        <w:tc>
          <w:tcPr>
            <w:tcW w:w="3757" w:type="dxa"/>
          </w:tcPr>
          <w:p w14:paraId="092DD95E" w14:textId="77777777" w:rsidR="00537E5F" w:rsidRPr="00507A31" w:rsidRDefault="00537E5F" w:rsidP="00507A31">
            <w:pPr>
              <w:autoSpaceDE w:val="0"/>
              <w:autoSpaceDN w:val="0"/>
              <w:adjustRightInd w:val="0"/>
              <w:jc w:val="both"/>
              <w:rPr>
                <w:color w:val="000000" w:themeColor="text1"/>
                <w:sz w:val="16"/>
                <w:szCs w:val="16"/>
              </w:rPr>
            </w:pPr>
          </w:p>
        </w:tc>
        <w:tc>
          <w:tcPr>
            <w:tcW w:w="6841" w:type="dxa"/>
          </w:tcPr>
          <w:p w14:paraId="3EF88F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Характеристическое время падения 21 сек. Материал сталистый</w:t>
            </w:r>
          </w:p>
        </w:tc>
      </w:tr>
      <w:tr w:rsidR="00E371BA" w:rsidRPr="00507A31" w14:paraId="5FB2E14F" w14:textId="77777777">
        <w:tc>
          <w:tcPr>
            <w:tcW w:w="3757" w:type="dxa"/>
          </w:tcPr>
          <w:p w14:paraId="10DC0307" w14:textId="77777777" w:rsidR="00537E5F" w:rsidRPr="00507A31" w:rsidRDefault="00537E5F" w:rsidP="00507A31">
            <w:pPr>
              <w:autoSpaceDE w:val="0"/>
              <w:autoSpaceDN w:val="0"/>
              <w:adjustRightInd w:val="0"/>
              <w:jc w:val="both"/>
              <w:rPr>
                <w:color w:val="000000" w:themeColor="text1"/>
                <w:sz w:val="16"/>
                <w:szCs w:val="16"/>
              </w:rPr>
            </w:pPr>
          </w:p>
        </w:tc>
        <w:tc>
          <w:tcPr>
            <w:tcW w:w="6841" w:type="dxa"/>
          </w:tcPr>
          <w:p w14:paraId="636CCA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чугун.</w:t>
            </w:r>
          </w:p>
        </w:tc>
      </w:tr>
      <w:tr w:rsidR="00E371BA" w:rsidRPr="00507A31" w14:paraId="46AB6A72" w14:textId="77777777">
        <w:tc>
          <w:tcPr>
            <w:tcW w:w="3757" w:type="dxa"/>
          </w:tcPr>
          <w:p w14:paraId="6C7A78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кг</w:t>
            </w:r>
          </w:p>
        </w:tc>
        <w:tc>
          <w:tcPr>
            <w:tcW w:w="6841" w:type="dxa"/>
          </w:tcPr>
          <w:p w14:paraId="3169E6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Назначение бомбы - поражение живой силы осколками и создавать</w:t>
            </w:r>
          </w:p>
        </w:tc>
      </w:tr>
      <w:tr w:rsidR="00E371BA" w:rsidRPr="00507A31" w14:paraId="3628EB66" w14:textId="77777777">
        <w:tc>
          <w:tcPr>
            <w:tcW w:w="3757" w:type="dxa"/>
          </w:tcPr>
          <w:p w14:paraId="391F7C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осколочн. химич.</w:t>
            </w:r>
          </w:p>
        </w:tc>
        <w:tc>
          <w:tcPr>
            <w:tcW w:w="6841" w:type="dxa"/>
          </w:tcPr>
          <w:p w14:paraId="07FAA8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невозможные условия пребывания без противогаза. Бомба ударного</w:t>
            </w:r>
          </w:p>
        </w:tc>
      </w:tr>
      <w:tr w:rsidR="00E371BA" w:rsidRPr="00507A31" w14:paraId="0623010F" w14:textId="77777777">
        <w:tc>
          <w:tcPr>
            <w:tcW w:w="3757" w:type="dxa"/>
          </w:tcPr>
          <w:p w14:paraId="5ADB88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бомба</w:t>
            </w:r>
          </w:p>
        </w:tc>
        <w:tc>
          <w:tcPr>
            <w:tcW w:w="6841" w:type="dxa"/>
          </w:tcPr>
          <w:p w14:paraId="330FF4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действия с мгновенным взрывателем. Радиус убойного действия осколков</w:t>
            </w:r>
          </w:p>
        </w:tc>
      </w:tr>
      <w:tr w:rsidR="00E371BA" w:rsidRPr="00507A31" w14:paraId="7FC461C6" w14:textId="77777777">
        <w:tc>
          <w:tcPr>
            <w:tcW w:w="3757" w:type="dxa"/>
          </w:tcPr>
          <w:p w14:paraId="07EC3EEC" w14:textId="77777777" w:rsidR="00537E5F" w:rsidRPr="00507A31" w:rsidRDefault="00537E5F" w:rsidP="00507A31">
            <w:pPr>
              <w:autoSpaceDE w:val="0"/>
              <w:autoSpaceDN w:val="0"/>
              <w:adjustRightInd w:val="0"/>
              <w:jc w:val="both"/>
              <w:rPr>
                <w:color w:val="000000" w:themeColor="text1"/>
                <w:sz w:val="16"/>
                <w:szCs w:val="16"/>
              </w:rPr>
            </w:pPr>
          </w:p>
        </w:tc>
        <w:tc>
          <w:tcPr>
            <w:tcW w:w="6841" w:type="dxa"/>
          </w:tcPr>
          <w:p w14:paraId="0D3686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75-100 м. Время падения 21 сек.</w:t>
            </w:r>
          </w:p>
        </w:tc>
      </w:tr>
      <w:tr w:rsidR="00E371BA" w:rsidRPr="00507A31" w14:paraId="0B3F8B87" w14:textId="77777777">
        <w:tc>
          <w:tcPr>
            <w:tcW w:w="3757" w:type="dxa"/>
          </w:tcPr>
          <w:p w14:paraId="2BE7D5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кг</w:t>
            </w:r>
          </w:p>
        </w:tc>
        <w:tc>
          <w:tcPr>
            <w:tcW w:w="6841" w:type="dxa"/>
          </w:tcPr>
          <w:p w14:paraId="77EAF1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Характеристическое время падения 21 сек. Убойных осколков не менее 50%</w:t>
            </w:r>
          </w:p>
        </w:tc>
      </w:tr>
      <w:tr w:rsidR="00E371BA" w:rsidRPr="00507A31" w14:paraId="35BF13BD" w14:textId="77777777">
        <w:tc>
          <w:tcPr>
            <w:tcW w:w="3757" w:type="dxa"/>
          </w:tcPr>
          <w:p w14:paraId="1FD86D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осколочн. бомба</w:t>
            </w:r>
          </w:p>
        </w:tc>
        <w:tc>
          <w:tcPr>
            <w:tcW w:w="6841" w:type="dxa"/>
          </w:tcPr>
          <w:p w14:paraId="4CE2D9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 веса бомбы. Взрыватель головной мгновенного действия или АГП.</w:t>
            </w:r>
          </w:p>
        </w:tc>
      </w:tr>
      <w:tr w:rsidR="00E371BA" w:rsidRPr="00507A31" w14:paraId="5CF3F995" w14:textId="77777777">
        <w:tc>
          <w:tcPr>
            <w:tcW w:w="3757" w:type="dxa"/>
          </w:tcPr>
          <w:p w14:paraId="7E650662" w14:textId="77777777" w:rsidR="00537E5F" w:rsidRPr="00507A31" w:rsidRDefault="00537E5F" w:rsidP="00507A31">
            <w:pPr>
              <w:autoSpaceDE w:val="0"/>
              <w:autoSpaceDN w:val="0"/>
              <w:adjustRightInd w:val="0"/>
              <w:jc w:val="both"/>
              <w:rPr>
                <w:color w:val="000000" w:themeColor="text1"/>
                <w:sz w:val="16"/>
                <w:szCs w:val="16"/>
              </w:rPr>
            </w:pPr>
          </w:p>
        </w:tc>
        <w:tc>
          <w:tcPr>
            <w:tcW w:w="6841" w:type="dxa"/>
          </w:tcPr>
          <w:p w14:paraId="04B2DD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Предназначается для действия по живым целям и по объектам чувствительным</w:t>
            </w:r>
          </w:p>
        </w:tc>
      </w:tr>
      <w:tr w:rsidR="00E371BA" w:rsidRPr="00507A31" w14:paraId="61A59614" w14:textId="77777777">
        <w:tc>
          <w:tcPr>
            <w:tcW w:w="3757" w:type="dxa"/>
          </w:tcPr>
          <w:p w14:paraId="16BAA97D" w14:textId="77777777" w:rsidR="00537E5F" w:rsidRPr="00507A31" w:rsidRDefault="00537E5F" w:rsidP="00507A31">
            <w:pPr>
              <w:autoSpaceDE w:val="0"/>
              <w:autoSpaceDN w:val="0"/>
              <w:adjustRightInd w:val="0"/>
              <w:jc w:val="both"/>
              <w:rPr>
                <w:color w:val="000000" w:themeColor="text1"/>
                <w:sz w:val="16"/>
                <w:szCs w:val="16"/>
              </w:rPr>
            </w:pPr>
          </w:p>
        </w:tc>
        <w:tc>
          <w:tcPr>
            <w:tcW w:w="6841" w:type="dxa"/>
          </w:tcPr>
          <w:p w14:paraId="1204EA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осколочному действию (самолеты, танки, мат. часть артиллерии</w:t>
            </w:r>
          </w:p>
        </w:tc>
      </w:tr>
    </w:tbl>
    <w:p w14:paraId="287B6C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(3326).</w:t>
      </w:r>
    </w:p>
    <w:p w14:paraId="21EE5445" w14:textId="77777777" w:rsidR="00537E5F" w:rsidRPr="00507A31" w:rsidRDefault="00537E5F" w:rsidP="00507A31">
      <w:pPr>
        <w:autoSpaceDE w:val="0"/>
        <w:autoSpaceDN w:val="0"/>
        <w:adjustRightInd w:val="0"/>
        <w:jc w:val="both"/>
        <w:rPr>
          <w:color w:val="000000" w:themeColor="text1"/>
          <w:sz w:val="16"/>
          <w:szCs w:val="16"/>
        </w:rPr>
      </w:pPr>
    </w:p>
    <w:p w14:paraId="4F23B17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75BBFE7" w14:textId="77777777" w:rsidR="00537E5F" w:rsidRPr="00507A31" w:rsidRDefault="00537E5F" w:rsidP="00507A31">
      <w:pPr>
        <w:autoSpaceDE w:val="0"/>
        <w:autoSpaceDN w:val="0"/>
        <w:adjustRightInd w:val="0"/>
        <w:jc w:val="both"/>
        <w:rPr>
          <w:iCs/>
          <w:color w:val="000000" w:themeColor="text1"/>
          <w:sz w:val="16"/>
          <w:szCs w:val="16"/>
        </w:rPr>
      </w:pPr>
    </w:p>
    <w:p w14:paraId="05DDD8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15-22 апреля 1930 прошло рассмотрение 4-х эскизных проектов танка, который представил Э.Гротте. Техническую экспертизу проводили вед. Конструктор секции гусеничных машин ОАТ проф. В.заславский и вед. Конструктор з-да Большевик С.Гинзбург. Выбрали второй вариант. Показали макет в масштабе 1:10 (4658, 20).</w:t>
      </w:r>
    </w:p>
    <w:p w14:paraId="2AB69ACE" w14:textId="77777777" w:rsidR="00537E5F" w:rsidRPr="00507A31" w:rsidRDefault="00537E5F" w:rsidP="00507A31">
      <w:pPr>
        <w:autoSpaceDE w:val="0"/>
        <w:autoSpaceDN w:val="0"/>
        <w:adjustRightInd w:val="0"/>
        <w:jc w:val="both"/>
        <w:rPr>
          <w:color w:val="000000" w:themeColor="text1"/>
          <w:sz w:val="16"/>
          <w:szCs w:val="16"/>
        </w:rPr>
      </w:pPr>
    </w:p>
    <w:p w14:paraId="3A5DA5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15-22 апреля 1930 проходило рассмотрение эскизных проектов нового танка (Э. Гроте представил не менее 4 проектов двад</w:t>
      </w:r>
      <w:r w:rsidRPr="00507A31">
        <w:rPr>
          <w:color w:val="000000" w:themeColor="text1"/>
          <w:sz w:val="16"/>
          <w:szCs w:val="16"/>
        </w:rPr>
        <w:softHyphen/>
        <w:t>цатитонного танка - торопились принять проект к дню рождения В.И. Ленина) и в результате шестидневных дебатов остановились на втором варианте с некоторыми изменениями. Тогда же макетная группа пока</w:t>
      </w:r>
      <w:r w:rsidRPr="00507A31">
        <w:rPr>
          <w:color w:val="000000" w:themeColor="text1"/>
          <w:sz w:val="16"/>
          <w:szCs w:val="16"/>
        </w:rPr>
        <w:softHyphen/>
        <w:t>зала деревянную модель нового танка в масштабе 1:10 (10733,244).</w:t>
      </w:r>
    </w:p>
    <w:p w14:paraId="3594CA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819ABCC" w14:textId="77777777" w:rsidR="00F42E0E" w:rsidRPr="00507A31" w:rsidRDefault="00F42E0E" w:rsidP="00507A31">
      <w:pPr>
        <w:jc w:val="both"/>
        <w:rPr>
          <w:color w:val="000000" w:themeColor="text1"/>
          <w:sz w:val="16"/>
          <w:szCs w:val="16"/>
          <w:u w:color="002060"/>
        </w:rPr>
      </w:pPr>
      <w:r w:rsidRPr="00507A31">
        <w:rPr>
          <w:color w:val="000000" w:themeColor="text1"/>
          <w:sz w:val="16"/>
          <w:szCs w:val="16"/>
          <w:u w:color="002060"/>
        </w:rPr>
        <w:t>15 апреля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123. 30. О приобретении танка «Кристи» (Ворошилов). — ОП. Решения ПБ от 10 апреля 1930 г. 41. Проект резолюции по докладу о металлопромышленности (ПБ от 5 апреля 1930 г., пр. № 122, п. 17) (Куйбышев). Опросом членов ПБ от 7 апреля 1930 г. 64. Предложение Бекаури (Горбунов). (Политбюро... Т. 2. С. 36, 37, 38) (12416).</w:t>
      </w:r>
    </w:p>
    <w:p w14:paraId="7BE089F9" w14:textId="77777777" w:rsidR="00F42E0E" w:rsidRPr="00507A31" w:rsidRDefault="00F42E0E" w:rsidP="00507A31">
      <w:pPr>
        <w:jc w:val="both"/>
        <w:rPr>
          <w:color w:val="000000" w:themeColor="text1"/>
          <w:sz w:val="16"/>
          <w:szCs w:val="16"/>
          <w:u w:color="002060"/>
        </w:rPr>
      </w:pPr>
    </w:p>
    <w:p w14:paraId="7019FFA1" w14:textId="77777777" w:rsidR="00727692" w:rsidRPr="00507A31" w:rsidRDefault="00727692" w:rsidP="00507A31">
      <w:pPr>
        <w:jc w:val="both"/>
        <w:rPr>
          <w:color w:val="000000" w:themeColor="text1"/>
          <w:sz w:val="16"/>
          <w:szCs w:val="16"/>
        </w:rPr>
      </w:pPr>
      <w:r w:rsidRPr="00507A31">
        <w:rPr>
          <w:color w:val="000000" w:themeColor="text1"/>
          <w:sz w:val="16"/>
          <w:szCs w:val="16"/>
        </w:rPr>
        <w:t>15 апреля 1930 г. Протокол ПБ № 123 п.30: О приобретении танка "Кристи" (Ворошилов) - ОП. Решено: 1) Разрешить НКВМ приобрести 2 танка "Кристи"; НКТоргу изыскать для этой цели средства за счет утвержденных уже общих импортных статей. 2) Считать целесообразным заключение договора на техпомощь по танкам "Кристи"; предложено НКВМ, доложить о результатах переговоров по этому вопросу дополнительно (15968).</w:t>
      </w:r>
    </w:p>
    <w:p w14:paraId="3070AC2A" w14:textId="77777777" w:rsidR="00727692" w:rsidRPr="00507A31" w:rsidRDefault="00727692" w:rsidP="00507A31">
      <w:pPr>
        <w:jc w:val="both"/>
        <w:rPr>
          <w:color w:val="000000" w:themeColor="text1"/>
          <w:sz w:val="16"/>
          <w:szCs w:val="16"/>
        </w:rPr>
      </w:pPr>
    </w:p>
    <w:p w14:paraId="0ABDCC26" w14:textId="77777777" w:rsidR="004C18C9" w:rsidRPr="00507A31" w:rsidRDefault="004C18C9" w:rsidP="00507A31">
      <w:pPr>
        <w:jc w:val="both"/>
        <w:rPr>
          <w:color w:val="0070C0"/>
          <w:sz w:val="16"/>
          <w:szCs w:val="16"/>
        </w:rPr>
      </w:pPr>
      <w:bookmarkStart w:id="40" w:name="_Hlk56763351"/>
      <w:r w:rsidRPr="00507A31">
        <w:rPr>
          <w:color w:val="0070C0"/>
          <w:sz w:val="16"/>
          <w:szCs w:val="16"/>
        </w:rPr>
        <w:t>15 апреля 1930 состоялось заседание ПБ (Протокол № 123. Особый № 121)</w:t>
      </w:r>
    </w:p>
    <w:p w14:paraId="2E4D737F" w14:textId="77777777" w:rsidR="004C18C9" w:rsidRPr="00507A31" w:rsidRDefault="004C18C9" w:rsidP="00507A31">
      <w:pPr>
        <w:jc w:val="both"/>
        <w:rPr>
          <w:color w:val="0070C0"/>
          <w:sz w:val="16"/>
          <w:szCs w:val="16"/>
        </w:rPr>
      </w:pPr>
      <w:r w:rsidRPr="00507A31">
        <w:rPr>
          <w:color w:val="0070C0"/>
          <w:sz w:val="16"/>
          <w:szCs w:val="16"/>
        </w:rPr>
        <w:t>30. - о приобретении танка "Кристи".</w:t>
      </w:r>
    </w:p>
    <w:p w14:paraId="6C54909F" w14:textId="77777777" w:rsidR="004C18C9" w:rsidRPr="00507A31" w:rsidRDefault="004C18C9" w:rsidP="00507A31">
      <w:pPr>
        <w:jc w:val="both"/>
        <w:rPr>
          <w:color w:val="0070C0"/>
          <w:sz w:val="16"/>
          <w:szCs w:val="16"/>
        </w:rPr>
      </w:pPr>
      <w:r w:rsidRPr="00507A31">
        <w:rPr>
          <w:color w:val="0070C0"/>
          <w:sz w:val="16"/>
          <w:szCs w:val="16"/>
        </w:rPr>
        <w:t>(т. Ворошилов).</w:t>
      </w:r>
    </w:p>
    <w:p w14:paraId="033D1A87" w14:textId="77777777" w:rsidR="004C18C9" w:rsidRPr="00507A31" w:rsidRDefault="004C18C9" w:rsidP="00507A31">
      <w:pPr>
        <w:jc w:val="both"/>
        <w:rPr>
          <w:color w:val="0070C0"/>
          <w:sz w:val="16"/>
          <w:szCs w:val="16"/>
        </w:rPr>
      </w:pPr>
      <w:r w:rsidRPr="00507A31">
        <w:rPr>
          <w:color w:val="0070C0"/>
          <w:sz w:val="16"/>
          <w:szCs w:val="16"/>
        </w:rPr>
        <w:t>Разрешить НКВМ приобретение танка за счет уже утвержден</w:t>
      </w:r>
      <w:r w:rsidRPr="00507A31">
        <w:rPr>
          <w:color w:val="0070C0"/>
          <w:sz w:val="16"/>
          <w:szCs w:val="16"/>
        </w:rPr>
        <w:softHyphen/>
        <w:t>ных импортных статей.</w:t>
      </w:r>
    </w:p>
    <w:p w14:paraId="5A2F5CC5" w14:textId="77777777" w:rsidR="004C18C9" w:rsidRPr="00507A31" w:rsidRDefault="004C18C9" w:rsidP="00507A31">
      <w:pPr>
        <w:jc w:val="both"/>
        <w:rPr>
          <w:color w:val="0070C0"/>
          <w:sz w:val="16"/>
          <w:szCs w:val="16"/>
        </w:rPr>
      </w:pPr>
      <w:r w:rsidRPr="00507A31">
        <w:rPr>
          <w:color w:val="0070C0"/>
          <w:sz w:val="16"/>
          <w:szCs w:val="16"/>
        </w:rPr>
        <w:t>Выписка послана: т. Ворошилову (23106).</w:t>
      </w:r>
    </w:p>
    <w:p w14:paraId="6606E674" w14:textId="77777777" w:rsidR="004C18C9" w:rsidRPr="00507A31" w:rsidRDefault="004C18C9" w:rsidP="00507A31">
      <w:pPr>
        <w:jc w:val="both"/>
        <w:rPr>
          <w:color w:val="0070C0"/>
          <w:sz w:val="16"/>
          <w:szCs w:val="16"/>
        </w:rPr>
      </w:pPr>
    </w:p>
    <w:bookmarkEnd w:id="40"/>
    <w:p w14:paraId="6D8997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апреля 1930 г. вышел ДОКЛАД УММ НАЧАЛЬНИКУ ШТАБА РККА О ЖЕЛЕЗНОДОРОЖНОЙ АРТИЛЛЕРИИ</w:t>
      </w:r>
    </w:p>
    <w:p w14:paraId="528BDE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5AD260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УММ РККА считает, что для железнодорожной артиллерии бронепаровозы не нужны по сле</w:t>
      </w:r>
      <w:r w:rsidRPr="00507A31">
        <w:rPr>
          <w:color w:val="000000" w:themeColor="text1"/>
          <w:sz w:val="16"/>
          <w:szCs w:val="16"/>
        </w:rPr>
        <w:softHyphen/>
        <w:t>дующим соображениям:</w:t>
      </w:r>
    </w:p>
    <w:p w14:paraId="53C46F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Железнодорожная артиллерия будет действовать, как правило, вне сферы ружейно-пулемет-ного огня противника.</w:t>
      </w:r>
    </w:p>
    <w:p w14:paraId="31F7E2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Для личного состава железнодорожной артиллерии не имеется бронированных укрытых по</w:t>
      </w:r>
      <w:r w:rsidRPr="00507A31">
        <w:rPr>
          <w:color w:val="000000" w:themeColor="text1"/>
          <w:sz w:val="16"/>
          <w:szCs w:val="16"/>
        </w:rPr>
        <w:softHyphen/>
        <w:t>мещений. При орудиях имеются только закрытия - щиты, которые прикрывают прислугу орудий от ружейно-пулеметного огня спереди, а с флангов, тыла и сверху личный состав открыт.</w:t>
      </w:r>
    </w:p>
    <w:p w14:paraId="0DBD86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Таким образом бронепаровоз не обеспечивает защиту личного состава железнодорожных бата</w:t>
      </w:r>
      <w:r w:rsidRPr="00507A31">
        <w:rPr>
          <w:color w:val="000000" w:themeColor="text1"/>
          <w:sz w:val="16"/>
          <w:szCs w:val="16"/>
        </w:rPr>
        <w:softHyphen/>
        <w:t>рей ни от пуль огня, ни от обстрела артиллерии.</w:t>
      </w:r>
    </w:p>
    <w:p w14:paraId="3AEE80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Железнодорожную батарею может вполне во всех случаях обслужить простой паровоз.</w:t>
      </w:r>
    </w:p>
    <w:p w14:paraId="6AB9FF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Иметь дорогостоящий бронепаровоз только для исключительных случаев - нецелесообразно, а главное слишком дорого.</w:t>
      </w:r>
    </w:p>
    <w:p w14:paraId="7C7E12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Поэтому УММ РККА считает необходимым отказаться от бронепаровозов для железнодорож</w:t>
      </w:r>
      <w:r w:rsidRPr="00507A31">
        <w:rPr>
          <w:color w:val="000000" w:themeColor="text1"/>
          <w:sz w:val="16"/>
          <w:szCs w:val="16"/>
        </w:rPr>
        <w:softHyphen/>
        <w:t>ной артиллерии.</w:t>
      </w:r>
    </w:p>
    <w:p w14:paraId="0B9D31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 В вопросе о бронедрезинах Штаб РККА предлагает дать заказы на бронедрезины, чтобы они начали поступать на снабжение к осени будущего 1931 г.</w:t>
      </w:r>
    </w:p>
    <w:p w14:paraId="28934A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УММ РККА просит Штаб РККА при очередном пересмотре штатов бронепоездов включить в со</w:t>
      </w:r>
      <w:r w:rsidRPr="00507A31">
        <w:rPr>
          <w:color w:val="000000" w:themeColor="text1"/>
          <w:sz w:val="16"/>
          <w:szCs w:val="16"/>
        </w:rPr>
        <w:softHyphen/>
        <w:t>став каждого бронепоезда одну батарею бронедрезин.</w:t>
      </w:r>
    </w:p>
    <w:p w14:paraId="3596E0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Сейчас УММ просит от Штаба указаний:</w:t>
      </w:r>
    </w:p>
    <w:p w14:paraId="784222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Будут ли отпущены средства на выполнение заказов.</w:t>
      </w:r>
    </w:p>
    <w:p w14:paraId="1C2E90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Какое количество бронедрезин заказывать, имея ввиду новые формирования, а также снаб</w:t>
      </w:r>
      <w:r w:rsidRPr="00507A31">
        <w:rPr>
          <w:color w:val="000000" w:themeColor="text1"/>
          <w:sz w:val="16"/>
          <w:szCs w:val="16"/>
        </w:rPr>
        <w:softHyphen/>
        <w:t>жение бронедрезинами бронепоездов по мирному времени и в. 8 и 10.</w:t>
      </w:r>
    </w:p>
    <w:p w14:paraId="4173EC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ТУ УММ РККА Бокис 1</w:t>
      </w:r>
    </w:p>
    <w:p w14:paraId="17484A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30. Л. 38. Подлинник (11210).</w:t>
      </w:r>
    </w:p>
    <w:p w14:paraId="4B6699CE" w14:textId="77777777" w:rsidR="00537E5F" w:rsidRPr="00507A31" w:rsidRDefault="00537E5F" w:rsidP="00507A31">
      <w:pPr>
        <w:autoSpaceDE w:val="0"/>
        <w:autoSpaceDN w:val="0"/>
        <w:adjustRightInd w:val="0"/>
        <w:jc w:val="both"/>
        <w:rPr>
          <w:color w:val="000000" w:themeColor="text1"/>
          <w:sz w:val="16"/>
          <w:szCs w:val="16"/>
        </w:rPr>
      </w:pPr>
    </w:p>
    <w:p w14:paraId="3A27597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29F0338" w14:textId="77777777" w:rsidR="00537E5F" w:rsidRPr="00507A31" w:rsidRDefault="00537E5F" w:rsidP="00507A31">
      <w:pPr>
        <w:autoSpaceDE w:val="0"/>
        <w:autoSpaceDN w:val="0"/>
        <w:adjustRightInd w:val="0"/>
        <w:jc w:val="both"/>
        <w:rPr>
          <w:iCs/>
          <w:color w:val="000000" w:themeColor="text1"/>
          <w:sz w:val="16"/>
          <w:szCs w:val="16"/>
        </w:rPr>
      </w:pPr>
    </w:p>
    <w:p w14:paraId="794B33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 постановлением РВС было признано в Штабе РККА создать Управление ПВО и создали 1 мая 1930 (3398,148).</w:t>
      </w:r>
    </w:p>
    <w:p w14:paraId="550517D0" w14:textId="77777777" w:rsidR="00537E5F" w:rsidRPr="00507A31" w:rsidRDefault="00537E5F" w:rsidP="00507A31">
      <w:pPr>
        <w:autoSpaceDE w:val="0"/>
        <w:autoSpaceDN w:val="0"/>
        <w:adjustRightInd w:val="0"/>
        <w:jc w:val="both"/>
        <w:rPr>
          <w:color w:val="000000" w:themeColor="text1"/>
          <w:sz w:val="16"/>
          <w:szCs w:val="16"/>
        </w:rPr>
      </w:pPr>
    </w:p>
    <w:p w14:paraId="3F6F68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апреля 1930 года Реввоенсовет СССР Постановлением обязал Штаб РККА разработать Генеральный план противовоздушной обороны страны. В штабе было создано 6-е Управление, которое приступило к разработке проекта плана. Начальником 6-го управления и начальником службы противовоздушной обороны РККА назначен Иосиф Блажевич. В октябре 1930 года начальником 6-го управления Штаба РККА назначен Дмитрий Кучинский (10109).</w:t>
      </w:r>
    </w:p>
    <w:p w14:paraId="3019D259" w14:textId="77777777" w:rsidR="00537E5F" w:rsidRPr="00507A31" w:rsidRDefault="00537E5F" w:rsidP="00507A31">
      <w:pPr>
        <w:autoSpaceDE w:val="0"/>
        <w:autoSpaceDN w:val="0"/>
        <w:adjustRightInd w:val="0"/>
        <w:jc w:val="both"/>
        <w:rPr>
          <w:color w:val="000000" w:themeColor="text1"/>
          <w:sz w:val="16"/>
          <w:szCs w:val="16"/>
        </w:rPr>
      </w:pPr>
    </w:p>
    <w:p w14:paraId="69A7704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78B4CBA" w14:textId="77777777" w:rsidR="00537E5F" w:rsidRPr="00507A31" w:rsidRDefault="00537E5F" w:rsidP="00507A31">
      <w:pPr>
        <w:autoSpaceDE w:val="0"/>
        <w:autoSpaceDN w:val="0"/>
        <w:adjustRightInd w:val="0"/>
        <w:jc w:val="both"/>
        <w:rPr>
          <w:iCs/>
          <w:color w:val="000000" w:themeColor="text1"/>
          <w:sz w:val="16"/>
          <w:szCs w:val="16"/>
        </w:rPr>
      </w:pPr>
    </w:p>
    <w:p w14:paraId="160B5B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середине апреля 1930 была подготовлена Справка К пр. РЗ СТО № 49</w:t>
      </w:r>
    </w:p>
    <w:p w14:paraId="4CCFA3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вопросу: о пятилетнем плане опытного строительства воздушного флота</w:t>
      </w:r>
    </w:p>
    <w:p w14:paraId="54C7B3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Постановлением Р3 СТО от 14 января 1930 года НКВМ и ВСНХ было поручено разработать и представить на утверждение Р3 СТО конкретную программу развития опытного строительства на 1930-31/1932-33 г.г. по моторам, самолетам, вооружению, оборудованию и всем другим предметам специального снабжения воздушного флота (военного и гражданского), с установлением по годам размеров средств, потребных на развертывание опытных и научно-исследовательских учреждений и на покупку за границей опытных образцов самолетов, моторов и других предметов воздушного флота.</w:t>
      </w:r>
    </w:p>
    <w:p w14:paraId="0C4DE0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 исполнение указанного постановления, НКВМ представляет на утверждение Р3 СТО план опытного строительства военного воздушного флота на 1930-31/1932-33 г.г. (см. прилагаемый проект постановления), согласованный, в отношении количества, типов и технических условий в Авиаобъединением, ЦАГИ и НАМИ. В отношении же сроков окончания постройки и сдачи самолетов и моторов на госиспытание соглашения достигнуто не было.</w:t>
      </w:r>
    </w:p>
    <w:p w14:paraId="229AA2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Всесоюзное авиационное объединение докладывает:</w:t>
      </w:r>
    </w:p>
    <w:p w14:paraId="214B9D2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 плану моторостроения.</w:t>
      </w:r>
    </w:p>
    <w:p w14:paraId="6CD93C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свое время план опытного моторостроения НКВМ был согласован как в части основных технических данных опытных образцов, так и в части сроков с ВСНХ.</w:t>
      </w:r>
    </w:p>
    <w:p w14:paraId="64FDAD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Несмотря на это НКВМ вошел в СТО с ходатайством об утверждении нового плана, сроки которого передвинуты настолько, что фактически сводят выполнение плана в девять месяцев. Этот план ВАО не может считать согласованным даже и в части основных технических данных, так эти данные находятся в прямой зависимости от сроков …………………….</w:t>
      </w:r>
    </w:p>
    <w:p w14:paraId="72F246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По плану самолетостроения.</w:t>
      </w:r>
    </w:p>
    <w:p w14:paraId="537CD1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опытного самолетостроения точно также НКВМ был согласован с ВСНХ как в части летно-тактических данных опытных образцов, так и в части сроков, которые ВСНХ принял в качестве необходимых и подлежащих выполнению.</w:t>
      </w:r>
    </w:p>
    <w:p w14:paraId="7680B8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план НКВМ сокращает согласованные сроки и фактически, за ничтожными исключениями, сводит пятилетний план к однолетнему. Поскольку план опытного самолетостроения должен быть тесно связан с планом опытного моторостроения, технические данные опытных самолетов целиком зависят от данных опытных моторов и наравне с ними должны быть снижены в зависимости от сроков.</w:t>
      </w:r>
    </w:p>
    <w:p w14:paraId="432D97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Исходя из оптимальнейших возможностей и увязывая сроки выпуска самолетов с таковыми же сроками по моторам, Всесоюзное авиационное объединение считает возможным принять на себя обязательство спроектировать, построить и предъявить на госиспытания опытные самолеты в следующие сроки:</w:t>
      </w:r>
    </w:p>
    <w:p w14:paraId="472B79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 с мотором М32 – к 1 июня 1931 года, т.е. с запозданием на 3 месяца</w:t>
      </w:r>
    </w:p>
    <w:p w14:paraId="69E5F7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 с мотором М34 – к 1 июля 1931 года, т.е. с запозданием на 2 месяца</w:t>
      </w:r>
    </w:p>
    <w:p w14:paraId="364ECD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с мотором М34 – к 1 октября 1931 года</w:t>
      </w:r>
    </w:p>
    <w:p w14:paraId="0828BC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 с двумя моторами М34 – к 1 августа 1931 года, т.е. с запозданием в 4 месяца</w:t>
      </w:r>
    </w:p>
    <w:p w14:paraId="1DC60D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Р-9 с двумя моторами М26 – к 1 ноября 1932 года</w:t>
      </w:r>
    </w:p>
    <w:p w14:paraId="521182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И-10 с мотором М38 - к 1 августа 1931 года</w:t>
      </w:r>
    </w:p>
    <w:p w14:paraId="04D22C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 с мотором М34 – к 1 июля 1931 года</w:t>
      </w:r>
    </w:p>
    <w:p w14:paraId="0E0BF7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МДР-3с с двумя моторами М34 или с 4-мя моторами ЮПИТЕР-7 – к 1 октября 1931 года</w:t>
      </w:r>
    </w:p>
    <w:p w14:paraId="7C3502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 с мотором М-11 - к 1 июня 1931 года</w:t>
      </w:r>
    </w:p>
    <w:p w14:paraId="189D34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 с 4-мя моторами М-35 – к 1 октября 1932</w:t>
      </w:r>
    </w:p>
    <w:p w14:paraId="61F887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самолетам находящимся в стадии окончания постройки, т.е. по самолетам И6, И7, ДИ2, ТБ2, МБР1, МДР-1, МТБ-1 и МУ2, ВАО может установить лишь ранее согласованные с НКВМ сроки (3625, 31-32).</w:t>
      </w:r>
    </w:p>
    <w:p w14:paraId="167B23B1" w14:textId="77777777" w:rsidR="00537E5F" w:rsidRPr="00507A31" w:rsidRDefault="00537E5F" w:rsidP="00507A31">
      <w:pPr>
        <w:autoSpaceDE w:val="0"/>
        <w:autoSpaceDN w:val="0"/>
        <w:adjustRightInd w:val="0"/>
        <w:jc w:val="both"/>
        <w:rPr>
          <w:color w:val="000000" w:themeColor="text1"/>
          <w:sz w:val="16"/>
          <w:szCs w:val="16"/>
        </w:rPr>
      </w:pPr>
    </w:p>
    <w:p w14:paraId="0D14F739" w14:textId="77777777" w:rsidR="005E320E" w:rsidRPr="00507A31" w:rsidRDefault="005E320E"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85D08D7" w14:textId="77777777" w:rsidR="005E320E" w:rsidRPr="00507A31" w:rsidRDefault="005E320E" w:rsidP="00507A31">
      <w:pPr>
        <w:autoSpaceDE w:val="0"/>
        <w:autoSpaceDN w:val="0"/>
        <w:adjustRightInd w:val="0"/>
        <w:jc w:val="both"/>
        <w:rPr>
          <w:iCs/>
          <w:color w:val="000000" w:themeColor="text1"/>
          <w:sz w:val="16"/>
          <w:szCs w:val="16"/>
        </w:rPr>
      </w:pPr>
    </w:p>
    <w:p w14:paraId="242916B8" w14:textId="77777777" w:rsidR="005E320E" w:rsidRPr="00507A31" w:rsidRDefault="005E320E" w:rsidP="00507A31">
      <w:pPr>
        <w:jc w:val="both"/>
        <w:rPr>
          <w:color w:val="000000" w:themeColor="text1"/>
          <w:sz w:val="16"/>
          <w:szCs w:val="16"/>
        </w:rPr>
      </w:pPr>
      <w:r w:rsidRPr="00507A31">
        <w:rPr>
          <w:color w:val="000000" w:themeColor="text1"/>
          <w:sz w:val="16"/>
          <w:szCs w:val="16"/>
          <w:shd w:val="clear" w:color="auto" w:fill="FFFFFF"/>
        </w:rPr>
        <w:t>В середине апреля 1930 крупповцы приступили к работе на «Большевике». Москва постоянно держала на контроле пребывание немцев на заводе. В течение апреля и мая было несколько проверок из ГОМЗ и Оружейного объединения. И судя по служебным письмам из центра, дирекция завода не уловила всю серьезность момента.</w:t>
      </w:r>
    </w:p>
    <w:p w14:paraId="57595900" w14:textId="77777777" w:rsidR="005E320E" w:rsidRPr="00507A31" w:rsidRDefault="005E320E" w:rsidP="00507A31">
      <w:pPr>
        <w:jc w:val="both"/>
        <w:rPr>
          <w:color w:val="000000" w:themeColor="text1"/>
          <w:sz w:val="16"/>
          <w:szCs w:val="16"/>
          <w:shd w:val="clear" w:color="auto" w:fill="FFFFFF"/>
        </w:rPr>
      </w:pPr>
      <w:r w:rsidRPr="00507A31">
        <w:rPr>
          <w:bCs/>
          <w:iCs/>
          <w:color w:val="000000" w:themeColor="text1"/>
          <w:sz w:val="16"/>
          <w:szCs w:val="16"/>
          <w:shd w:val="clear" w:color="auto" w:fill="FFFFFF"/>
        </w:rPr>
        <w:t>Первое предупреждение</w:t>
      </w:r>
      <w:r w:rsidRPr="00507A31">
        <w:rPr>
          <w:color w:val="000000" w:themeColor="text1"/>
          <w:sz w:val="16"/>
          <w:szCs w:val="16"/>
          <w:shd w:val="clear" w:color="auto" w:fill="FFFFFF"/>
        </w:rPr>
        <w:t xml:space="preserve"> было вынесено телеграммой от 5 мая на имя помощника директора «Большевика» по технической части Файберга и главного инженера Клемма. «Ко мне поступил доклад о безобразном даже более - преступном отношении руководства завода по отношению прикомандированных специалистов Круппа </w:t>
      </w:r>
      <w:r w:rsidRPr="00507A31">
        <w:rPr>
          <w:color w:val="000000" w:themeColor="text1"/>
          <w:sz w:val="16"/>
          <w:szCs w:val="16"/>
          <w:shd w:val="clear" w:color="auto" w:fill="FFFFFF"/>
        </w:rPr>
        <w:lastRenderedPageBreak/>
        <w:t>и 2 инженеров немцев, приглашенных к вам на работу. Вы являетесь в первую очередь ответственными за правильное использование указанных работников и не принимаете никаких мер, как ответственные технические руководители завода, ставя Вам на вид за такое отношение, приказываю принять решительные меры полного использования, находящихся на В/заводе иностранных специалистов, повторный контроль со стороны Объединения и обнаружения подобного рода упущений повлечет за собой предания Вас к судебной ответственности.Начальник Оружобъединения Урываев» (18976).</w:t>
      </w:r>
    </w:p>
    <w:p w14:paraId="19B82BC5" w14:textId="77777777" w:rsidR="005E320E" w:rsidRPr="00507A31" w:rsidRDefault="005E320E" w:rsidP="00507A31">
      <w:pPr>
        <w:jc w:val="both"/>
        <w:rPr>
          <w:color w:val="000000" w:themeColor="text1"/>
          <w:sz w:val="16"/>
          <w:szCs w:val="16"/>
          <w:shd w:val="clear" w:color="auto" w:fill="FFFFFF"/>
        </w:rPr>
      </w:pPr>
    </w:p>
    <w:p w14:paraId="4973E51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E281929" w14:textId="77777777" w:rsidR="00537E5F" w:rsidRPr="00507A31" w:rsidRDefault="00537E5F" w:rsidP="00507A31">
      <w:pPr>
        <w:autoSpaceDE w:val="0"/>
        <w:autoSpaceDN w:val="0"/>
        <w:adjustRightInd w:val="0"/>
        <w:jc w:val="both"/>
        <w:rPr>
          <w:iCs/>
          <w:color w:val="000000" w:themeColor="text1"/>
          <w:sz w:val="16"/>
          <w:szCs w:val="16"/>
        </w:rPr>
      </w:pPr>
    </w:p>
    <w:p w14:paraId="635A45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апреля 1930 Авиатрест был преобразован в ВАО (7383, 4)</w:t>
      </w:r>
    </w:p>
    <w:p w14:paraId="19288F2D" w14:textId="77777777" w:rsidR="00537E5F" w:rsidRPr="00507A31" w:rsidRDefault="00537E5F" w:rsidP="00507A31">
      <w:pPr>
        <w:autoSpaceDE w:val="0"/>
        <w:autoSpaceDN w:val="0"/>
        <w:adjustRightInd w:val="0"/>
        <w:jc w:val="both"/>
        <w:rPr>
          <w:iCs/>
          <w:color w:val="000000" w:themeColor="text1"/>
          <w:sz w:val="16"/>
          <w:szCs w:val="16"/>
        </w:rPr>
      </w:pPr>
    </w:p>
    <w:p w14:paraId="44095EC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684EECD" w14:textId="77777777" w:rsidR="00537E5F" w:rsidRPr="00507A31" w:rsidRDefault="00537E5F" w:rsidP="00507A31">
      <w:pPr>
        <w:autoSpaceDE w:val="0"/>
        <w:autoSpaceDN w:val="0"/>
        <w:adjustRightInd w:val="0"/>
        <w:jc w:val="both"/>
        <w:rPr>
          <w:iCs/>
          <w:color w:val="000000" w:themeColor="text1"/>
          <w:sz w:val="16"/>
          <w:szCs w:val="16"/>
        </w:rPr>
      </w:pPr>
    </w:p>
    <w:p w14:paraId="24C9FC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 апреля 1930 г. вышло РАСПОРЯЖЕНИЕ УММ О РАЗРАБОТКЕ ПРОЕКТОВ ПОЛОЖЕНИЯ И ШТАТА ПОЛИГОНА</w:t>
      </w:r>
    </w:p>
    <w:p w14:paraId="73E4AB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268C5F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Дело с полигоном УММ у нас завяло и, в частности, потому, что Военно-строительное управление не знает, что и как строить в ближайшее лето и дальше по годам.</w:t>
      </w:r>
    </w:p>
    <w:p w14:paraId="722815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того, чтобы сдвинуть с места это важнейшее для нас дело, необходимо в ударном порядке по согласованию с НТК разработать:</w:t>
      </w:r>
    </w:p>
    <w:p w14:paraId="06BD44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Проект штата Полигона.</w:t>
      </w:r>
    </w:p>
    <w:p w14:paraId="25E9AC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Проект положения о Полигоне.</w:t>
      </w:r>
    </w:p>
    <w:p w14:paraId="1099DF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Задание ВСУ по строительству полигона, а именно:</w:t>
      </w:r>
    </w:p>
    <w:p w14:paraId="7A25A7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технологический проект на мастерскую - в это дело нужно привлечь и Техническое управление;</w:t>
      </w:r>
    </w:p>
    <w:p w14:paraId="119FEB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проект оборудования испытательной станции и его размещения;</w:t>
      </w:r>
    </w:p>
    <w:p w14:paraId="3F0B13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проект оборудования лабораторий, планировка их;</w:t>
      </w:r>
    </w:p>
    <w:p w14:paraId="26EC3B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эскиз автотанкодрома с описанием его элементов;</w:t>
      </w:r>
    </w:p>
    <w:p w14:paraId="4FAD01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то же в отношении стрельбища и учебного поля;</w:t>
      </w:r>
    </w:p>
    <w:p w14:paraId="3B1A7D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 проект планировки жилых построек и других построек хозяйственного назначения (на сколь</w:t>
      </w:r>
      <w:r w:rsidRPr="00507A31">
        <w:rPr>
          <w:color w:val="000000" w:themeColor="text1"/>
          <w:sz w:val="16"/>
          <w:szCs w:val="16"/>
        </w:rPr>
        <w:softHyphen/>
        <w:t>ко людей и характер их);</w:t>
      </w:r>
    </w:p>
    <w:p w14:paraId="023AE4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 склады (емкость их и характер хранимых предметов), бензохранилище;</w:t>
      </w:r>
    </w:p>
    <w:p w14:paraId="2863EC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 гаражи (на сколько и каких машин)</w:t>
      </w:r>
    </w:p>
    <w:p w14:paraId="1C7236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это - ориентировочно, но так, чтобы ВСУ могло бы быть достаточно ориентированным в дан</w:t>
      </w:r>
      <w:r w:rsidRPr="00507A31">
        <w:rPr>
          <w:color w:val="000000" w:themeColor="text1"/>
          <w:sz w:val="16"/>
          <w:szCs w:val="16"/>
        </w:rPr>
        <w:softHyphen/>
        <w:t>ном вопросе.</w:t>
      </w:r>
    </w:p>
    <w:p w14:paraId="64A24E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Прошу Вас лично со всей энергией и настойчивостью взяться за это дело, ибо, только выполнив все это, что я перечислил, можно будет оставить исчерпывающим образом вопрос о Полигоне перед Наркомом и всеми другими должностными лицами.</w:t>
      </w:r>
    </w:p>
    <w:p w14:paraId="41B506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Обо всех затруднениях ставьте меня незамедлительно в известность.</w:t>
      </w:r>
    </w:p>
    <w:p w14:paraId="58C93C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УММ РККА Калиновский</w:t>
      </w:r>
    </w:p>
    <w:p w14:paraId="3B1EBB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РГВА.Ф. 31811. Оп. 1.Д. 406. Л. 1. Подлинник (11210).</w:t>
      </w:r>
    </w:p>
    <w:p w14:paraId="24FD52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5485D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апреля 1930 Член правления и ПЭУ РОМП Ленский и Зав. Секр. частью Рябчиков писали письмо № 21/с в Правление РУЖ</w:t>
      </w:r>
    </w:p>
    <w:p w14:paraId="642D51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Копия ГВПУ</w:t>
      </w:r>
    </w:p>
    <w:p w14:paraId="39AE26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ОМП ВСНХ РСФСР</w:t>
      </w:r>
    </w:p>
    <w:p w14:paraId="690EB2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снятии секретности с завода Красногвардеец.</w:t>
      </w:r>
    </w:p>
    <w:p w14:paraId="73E8C1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овязи с передачей в состав н/Объединения завода "Красногвардеец” окончательное оформление коего /актом/ состоится в ближайшие дни, мы считаем, что секретность с данного завода должна быть снята, т.к. выполняемая им продукция /хирургически инструменты/ по существу ничего секретного не имеет. А, поэтому, просим Вас теперь же войти с ходатайством перед соответствующими органами о снятии Секретности с завода "Красногвардеец” (8826,54).</w:t>
      </w:r>
    </w:p>
    <w:p w14:paraId="4362AF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BECF4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апреля 1930 Врид Нач. штаба Мимма и Нач. 2 отдела Лопацинский писали письмо № 5211 Начю общего отдела ГВПУ ВСНХ СССР:</w:t>
      </w:r>
    </w:p>
    <w:p w14:paraId="0C61E5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Вследствие неотложной необходимости, прошу в наивозможно срочном порядке сообщить подробные адреса военных заводов, список коих при этом прилагается.</w:t>
      </w:r>
    </w:p>
    <w:p w14:paraId="22BBD0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Приложение: упомянутое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338"/>
        <w:gridCol w:w="5338"/>
      </w:tblGrid>
      <w:tr w:rsidR="00E371BA" w:rsidRPr="00507A31" w14:paraId="3C99ACEF" w14:textId="77777777">
        <w:tc>
          <w:tcPr>
            <w:tcW w:w="534" w:type="dxa"/>
            <w:tcBorders>
              <w:top w:val="single" w:sz="12" w:space="0" w:color="auto"/>
            </w:tcBorders>
          </w:tcPr>
          <w:p w14:paraId="1A371B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п/п</w:t>
            </w:r>
          </w:p>
        </w:tc>
        <w:tc>
          <w:tcPr>
            <w:tcW w:w="5338" w:type="dxa"/>
            <w:tcBorders>
              <w:top w:val="single" w:sz="12" w:space="0" w:color="auto"/>
            </w:tcBorders>
          </w:tcPr>
          <w:p w14:paraId="4F23B8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 предприятия</w:t>
            </w:r>
          </w:p>
        </w:tc>
        <w:tc>
          <w:tcPr>
            <w:tcW w:w="5338" w:type="dxa"/>
            <w:tcBorders>
              <w:top w:val="single" w:sz="12" w:space="0" w:color="auto"/>
            </w:tcBorders>
          </w:tcPr>
          <w:p w14:paraId="286819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tc>
      </w:tr>
      <w:tr w:rsidR="00E371BA" w:rsidRPr="00507A31" w14:paraId="078FB0CB" w14:textId="77777777">
        <w:tc>
          <w:tcPr>
            <w:tcW w:w="534" w:type="dxa"/>
          </w:tcPr>
          <w:p w14:paraId="6E8C16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5338" w:type="dxa"/>
          </w:tcPr>
          <w:p w14:paraId="0F4455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Краснознаменец</w:t>
            </w:r>
          </w:p>
        </w:tc>
        <w:tc>
          <w:tcPr>
            <w:tcW w:w="5338" w:type="dxa"/>
          </w:tcPr>
          <w:p w14:paraId="4B90A82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27A7DF1" w14:textId="77777777">
        <w:tc>
          <w:tcPr>
            <w:tcW w:w="534" w:type="dxa"/>
          </w:tcPr>
          <w:p w14:paraId="2E7E20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5338" w:type="dxa"/>
          </w:tcPr>
          <w:p w14:paraId="37AA31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Косякова</w:t>
            </w:r>
          </w:p>
        </w:tc>
        <w:tc>
          <w:tcPr>
            <w:tcW w:w="5338" w:type="dxa"/>
          </w:tcPr>
          <w:p w14:paraId="1748E4B4"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870068D" w14:textId="77777777">
        <w:tc>
          <w:tcPr>
            <w:tcW w:w="534" w:type="dxa"/>
          </w:tcPr>
          <w:p w14:paraId="103E7B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5338" w:type="dxa"/>
          </w:tcPr>
          <w:p w14:paraId="480F7F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Богородский завод № 12</w:t>
            </w:r>
          </w:p>
        </w:tc>
        <w:tc>
          <w:tcPr>
            <w:tcW w:w="5338" w:type="dxa"/>
          </w:tcPr>
          <w:p w14:paraId="1598F808"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2DDDDBE" w14:textId="77777777">
        <w:tc>
          <w:tcPr>
            <w:tcW w:w="534" w:type="dxa"/>
          </w:tcPr>
          <w:p w14:paraId="6CB819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5338" w:type="dxa"/>
          </w:tcPr>
          <w:p w14:paraId="6DAAB7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Ленина № 40</w:t>
            </w:r>
          </w:p>
        </w:tc>
        <w:tc>
          <w:tcPr>
            <w:tcW w:w="5338" w:type="dxa"/>
          </w:tcPr>
          <w:p w14:paraId="495DE9C4"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029A534" w14:textId="77777777">
        <w:tc>
          <w:tcPr>
            <w:tcW w:w="534" w:type="dxa"/>
          </w:tcPr>
          <w:p w14:paraId="04909E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5338" w:type="dxa"/>
          </w:tcPr>
          <w:p w14:paraId="3B115A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Я. СВЕРДЛОВА № 80</w:t>
            </w:r>
          </w:p>
        </w:tc>
        <w:tc>
          <w:tcPr>
            <w:tcW w:w="5338" w:type="dxa"/>
          </w:tcPr>
          <w:p w14:paraId="23DAE90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44EFA06" w14:textId="77777777">
        <w:tc>
          <w:tcPr>
            <w:tcW w:w="534" w:type="dxa"/>
          </w:tcPr>
          <w:p w14:paraId="78B38D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5338" w:type="dxa"/>
          </w:tcPr>
          <w:p w14:paraId="1B4AA6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Шостенский завод № 9</w:t>
            </w:r>
          </w:p>
        </w:tc>
        <w:tc>
          <w:tcPr>
            <w:tcW w:w="5338" w:type="dxa"/>
          </w:tcPr>
          <w:p w14:paraId="19EA15B1"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F19CD1C" w14:textId="77777777">
        <w:tc>
          <w:tcPr>
            <w:tcW w:w="534" w:type="dxa"/>
          </w:tcPr>
          <w:p w14:paraId="24DA80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5338" w:type="dxa"/>
          </w:tcPr>
          <w:p w14:paraId="6D6EBA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ШЛИССЕЛЬБУРГСКИЙ , завод им. Морозова.</w:t>
            </w:r>
          </w:p>
        </w:tc>
        <w:tc>
          <w:tcPr>
            <w:tcW w:w="5338" w:type="dxa"/>
          </w:tcPr>
          <w:p w14:paraId="4BF69E0A"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A5C6CA4" w14:textId="77777777">
        <w:tc>
          <w:tcPr>
            <w:tcW w:w="534" w:type="dxa"/>
          </w:tcPr>
          <w:p w14:paraId="2BDE7F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5338" w:type="dxa"/>
          </w:tcPr>
          <w:p w14:paraId="11BE7F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 им. Володарского</w:t>
            </w:r>
          </w:p>
        </w:tc>
        <w:tc>
          <w:tcPr>
            <w:tcW w:w="5338" w:type="dxa"/>
          </w:tcPr>
          <w:p w14:paraId="544085DE"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0E6A6B9" w14:textId="77777777">
        <w:tc>
          <w:tcPr>
            <w:tcW w:w="534" w:type="dxa"/>
          </w:tcPr>
          <w:p w14:paraId="56C0A4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tc>
        <w:tc>
          <w:tcPr>
            <w:tcW w:w="5338" w:type="dxa"/>
          </w:tcPr>
          <w:p w14:paraId="3786A7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60</w:t>
            </w:r>
          </w:p>
        </w:tc>
        <w:tc>
          <w:tcPr>
            <w:tcW w:w="5338" w:type="dxa"/>
          </w:tcPr>
          <w:p w14:paraId="43C82956"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7E93DB8" w14:textId="77777777">
        <w:tc>
          <w:tcPr>
            <w:tcW w:w="534" w:type="dxa"/>
          </w:tcPr>
          <w:p w14:paraId="5B9709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5338" w:type="dxa"/>
          </w:tcPr>
          <w:p w14:paraId="4C4BF5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 им. Всероссийского старосты т. Калинина</w:t>
            </w:r>
          </w:p>
        </w:tc>
        <w:tc>
          <w:tcPr>
            <w:tcW w:w="5338" w:type="dxa"/>
          </w:tcPr>
          <w:p w14:paraId="19193A96"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2A51319" w14:textId="77777777">
        <w:tc>
          <w:tcPr>
            <w:tcW w:w="534" w:type="dxa"/>
          </w:tcPr>
          <w:p w14:paraId="49F1A2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w:t>
            </w:r>
          </w:p>
        </w:tc>
        <w:tc>
          <w:tcPr>
            <w:tcW w:w="5338" w:type="dxa"/>
          </w:tcPr>
          <w:p w14:paraId="55F975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42 им. Масленникова</w:t>
            </w:r>
          </w:p>
        </w:tc>
        <w:tc>
          <w:tcPr>
            <w:tcW w:w="5338" w:type="dxa"/>
          </w:tcPr>
          <w:p w14:paraId="5E2BD55C"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00A5176" w14:textId="77777777">
        <w:tc>
          <w:tcPr>
            <w:tcW w:w="534" w:type="dxa"/>
          </w:tcPr>
          <w:p w14:paraId="21DA76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w:t>
            </w:r>
          </w:p>
        </w:tc>
        <w:tc>
          <w:tcPr>
            <w:tcW w:w="5338" w:type="dxa"/>
          </w:tcPr>
          <w:p w14:paraId="54FD42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50 именуется Пензенский велосипедный завод.</w:t>
            </w:r>
          </w:p>
        </w:tc>
        <w:tc>
          <w:tcPr>
            <w:tcW w:w="5338" w:type="dxa"/>
          </w:tcPr>
          <w:p w14:paraId="12F9B10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3929668" w14:textId="77777777">
        <w:tc>
          <w:tcPr>
            <w:tcW w:w="534" w:type="dxa"/>
          </w:tcPr>
          <w:p w14:paraId="76E3DA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w:t>
            </w:r>
          </w:p>
        </w:tc>
        <w:tc>
          <w:tcPr>
            <w:tcW w:w="5338" w:type="dxa"/>
          </w:tcPr>
          <w:p w14:paraId="1E4281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w:t>
            </w:r>
          </w:p>
        </w:tc>
        <w:tc>
          <w:tcPr>
            <w:tcW w:w="5338" w:type="dxa"/>
          </w:tcPr>
          <w:p w14:paraId="7869F2C0"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AC0A039" w14:textId="77777777">
        <w:tc>
          <w:tcPr>
            <w:tcW w:w="534" w:type="dxa"/>
          </w:tcPr>
          <w:p w14:paraId="79A0C1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w:t>
            </w:r>
          </w:p>
        </w:tc>
        <w:tc>
          <w:tcPr>
            <w:tcW w:w="5338" w:type="dxa"/>
          </w:tcPr>
          <w:p w14:paraId="272E8A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Химический завод № 2</w:t>
            </w:r>
          </w:p>
        </w:tc>
        <w:tc>
          <w:tcPr>
            <w:tcW w:w="5338" w:type="dxa"/>
          </w:tcPr>
          <w:p w14:paraId="3F834A2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CC31379" w14:textId="77777777">
        <w:tc>
          <w:tcPr>
            <w:tcW w:w="534" w:type="dxa"/>
            <w:tcBorders>
              <w:bottom w:val="single" w:sz="12" w:space="0" w:color="auto"/>
            </w:tcBorders>
          </w:tcPr>
          <w:p w14:paraId="3ACF6D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w:t>
            </w:r>
          </w:p>
        </w:tc>
        <w:tc>
          <w:tcPr>
            <w:tcW w:w="5338" w:type="dxa"/>
            <w:tcBorders>
              <w:bottom w:val="single" w:sz="12" w:space="0" w:color="auto"/>
            </w:tcBorders>
          </w:tcPr>
          <w:p w14:paraId="42A1A8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Чернореченский химический завод</w:t>
            </w:r>
          </w:p>
        </w:tc>
        <w:tc>
          <w:tcPr>
            <w:tcW w:w="5338" w:type="dxa"/>
            <w:tcBorders>
              <w:bottom w:val="single" w:sz="12" w:space="0" w:color="auto"/>
            </w:tcBorders>
          </w:tcPr>
          <w:p w14:paraId="4ECEC0B1" w14:textId="77777777" w:rsidR="00537E5F" w:rsidRPr="00507A31" w:rsidRDefault="00537E5F" w:rsidP="00507A31">
            <w:pPr>
              <w:autoSpaceDE w:val="0"/>
              <w:autoSpaceDN w:val="0"/>
              <w:adjustRightInd w:val="0"/>
              <w:jc w:val="both"/>
              <w:rPr>
                <w:color w:val="000000" w:themeColor="text1"/>
                <w:sz w:val="16"/>
                <w:szCs w:val="16"/>
              </w:rPr>
            </w:pPr>
          </w:p>
        </w:tc>
      </w:tr>
    </w:tbl>
    <w:p w14:paraId="12CF0C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(8826,52)</w:t>
      </w:r>
    </w:p>
    <w:p w14:paraId="2C2375B2" w14:textId="77777777" w:rsidR="00537E5F" w:rsidRPr="00507A31" w:rsidRDefault="00537E5F" w:rsidP="00507A31">
      <w:pPr>
        <w:autoSpaceDE w:val="0"/>
        <w:autoSpaceDN w:val="0"/>
        <w:adjustRightInd w:val="0"/>
        <w:jc w:val="both"/>
        <w:rPr>
          <w:color w:val="000000" w:themeColor="text1"/>
          <w:sz w:val="16"/>
          <w:szCs w:val="16"/>
        </w:rPr>
      </w:pPr>
    </w:p>
    <w:p w14:paraId="6766E9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17 апреля 1930 года "наверх" была подана докладная записка трех лиц, подписавшихся бактериологами-членами ВКП(б) (это были Н.Л.Блюменталь, И.М.Великанов и Л.Г.Рапопорт),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722844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DDD4B5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DA0692C" w14:textId="77777777" w:rsidR="00537E5F" w:rsidRPr="00507A31" w:rsidRDefault="00537E5F" w:rsidP="00507A31">
      <w:pPr>
        <w:autoSpaceDE w:val="0"/>
        <w:autoSpaceDN w:val="0"/>
        <w:adjustRightInd w:val="0"/>
        <w:jc w:val="both"/>
        <w:rPr>
          <w:iCs/>
          <w:color w:val="000000" w:themeColor="text1"/>
          <w:sz w:val="16"/>
          <w:szCs w:val="16"/>
        </w:rPr>
      </w:pPr>
    </w:p>
    <w:p w14:paraId="0DEFC701" w14:textId="77777777" w:rsidR="00885AF8" w:rsidRPr="00507A31" w:rsidRDefault="00885AF8" w:rsidP="00507A31">
      <w:pPr>
        <w:shd w:val="clear" w:color="auto" w:fill="FFFFFF"/>
        <w:jc w:val="both"/>
        <w:rPr>
          <w:color w:val="000000" w:themeColor="text1"/>
          <w:sz w:val="16"/>
          <w:szCs w:val="16"/>
        </w:rPr>
      </w:pPr>
      <w:r w:rsidRPr="00507A31">
        <w:rPr>
          <w:color w:val="000000" w:themeColor="text1"/>
          <w:sz w:val="16"/>
          <w:szCs w:val="16"/>
        </w:rPr>
        <w:t>17 апреля 1930 г. коллективизация в СССР: кулаков приравняли к бандитам (17325).</w:t>
      </w:r>
    </w:p>
    <w:p w14:paraId="42B23B51" w14:textId="77777777" w:rsidR="00885AF8" w:rsidRPr="00507A31" w:rsidRDefault="00885AF8" w:rsidP="00507A31">
      <w:pPr>
        <w:shd w:val="clear" w:color="auto" w:fill="FFFFFF"/>
        <w:jc w:val="both"/>
        <w:rPr>
          <w:color w:val="000000" w:themeColor="text1"/>
          <w:sz w:val="16"/>
          <w:szCs w:val="16"/>
        </w:rPr>
      </w:pPr>
    </w:p>
    <w:p w14:paraId="4A9A76FB" w14:textId="77777777" w:rsidR="00885AF8" w:rsidRPr="00507A31" w:rsidRDefault="00885AF8" w:rsidP="00507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color w:val="000000" w:themeColor="text1"/>
          <w:sz w:val="16"/>
          <w:szCs w:val="16"/>
        </w:rPr>
      </w:pPr>
      <w:r w:rsidRPr="00507A31">
        <w:rPr>
          <w:color w:val="000000" w:themeColor="text1"/>
          <w:sz w:val="16"/>
          <w:szCs w:val="16"/>
        </w:rPr>
        <w:t>«17 апреля 1930  года</w:t>
      </w:r>
      <w:r w:rsidRPr="00507A31">
        <w:rPr>
          <w:bCs/>
          <w:color w:val="000000" w:themeColor="text1"/>
          <w:sz w:val="16"/>
          <w:szCs w:val="16"/>
        </w:rPr>
        <w:t xml:space="preserve"> коммунистическая фракция ЦИК СССР  предложила ОГПУ руководствоваться при рассмотрении  дел о  кулаках постановлением от 15 июля 1927 года, т. е. приравнивать  их к делам контрреволюционеров, шпионов, белогвардейцев и бандитов.» (17325).</w:t>
      </w:r>
    </w:p>
    <w:p w14:paraId="22D34BE2" w14:textId="77777777" w:rsidR="00885AF8" w:rsidRPr="00507A31" w:rsidRDefault="00885AF8" w:rsidP="00507A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p>
    <w:p w14:paraId="1F12E8A2" w14:textId="77777777" w:rsidR="00B147D2" w:rsidRPr="00507A31" w:rsidRDefault="00885AF8" w:rsidP="00507A31">
      <w:pPr>
        <w:shd w:val="clear" w:color="auto" w:fill="FFFFFF"/>
        <w:jc w:val="both"/>
        <w:rPr>
          <w:color w:val="000000" w:themeColor="text1"/>
          <w:sz w:val="16"/>
          <w:szCs w:val="16"/>
        </w:rPr>
      </w:pPr>
      <w:r w:rsidRPr="00507A31">
        <w:rPr>
          <w:color w:val="000000" w:themeColor="text1"/>
          <w:sz w:val="16"/>
          <w:szCs w:val="16"/>
        </w:rPr>
        <w:t>17 апреля 1930 г. Москва: 150.000 москвичей прощаются с поэтом Маяковским</w:t>
      </w:r>
      <w:r w:rsidR="00B147D2" w:rsidRPr="00507A31">
        <w:rPr>
          <w:color w:val="000000" w:themeColor="text1"/>
          <w:sz w:val="16"/>
          <w:szCs w:val="16"/>
        </w:rPr>
        <w:t>.</w:t>
      </w:r>
    </w:p>
    <w:p w14:paraId="337345ED" w14:textId="77777777" w:rsidR="00B147D2" w:rsidRPr="00507A31" w:rsidRDefault="00B147D2" w:rsidP="00507A31">
      <w:pPr>
        <w:shd w:val="clear" w:color="auto" w:fill="FFFFFF"/>
        <w:jc w:val="both"/>
        <w:rPr>
          <w:color w:val="000000" w:themeColor="text1"/>
          <w:sz w:val="16"/>
          <w:szCs w:val="16"/>
        </w:rPr>
      </w:pPr>
      <w:r w:rsidRPr="00507A31">
        <w:rPr>
          <w:bCs/>
          <w:color w:val="000000" w:themeColor="text1"/>
          <w:sz w:val="16"/>
          <w:szCs w:val="16"/>
        </w:rPr>
        <w:t xml:space="preserve">«150 000 человек прошло мимо гроба Маяковского. У гроба сменялся караул красноармейцев, писателей, художников, журналистов, актеров, вузовцев. «Улица Воровского оцеплена. Конная милиция с трудом сдерживает натиск толпы. Двор клуба полон людьми. Люди на окнах, на карнизах, на крышах всех соседних зданий…» — так рассказано в «Литературной газете» о дне похорон — </w:t>
      </w:r>
      <w:r w:rsidRPr="00507A31">
        <w:rPr>
          <w:color w:val="000000" w:themeColor="text1"/>
          <w:sz w:val="16"/>
          <w:szCs w:val="16"/>
          <w:u w:val="single"/>
        </w:rPr>
        <w:t>17 апреля</w:t>
      </w:r>
      <w:r w:rsidRPr="00507A31">
        <w:rPr>
          <w:bCs/>
          <w:color w:val="000000" w:themeColor="text1"/>
          <w:sz w:val="16"/>
          <w:szCs w:val="16"/>
        </w:rPr>
        <w:t>.»</w:t>
      </w:r>
    </w:p>
    <w:p w14:paraId="684E5BFA" w14:textId="77777777" w:rsidR="00885AF8" w:rsidRPr="00507A31" w:rsidRDefault="00B147D2" w:rsidP="00507A31">
      <w:pPr>
        <w:shd w:val="clear" w:color="auto" w:fill="FFFFFF"/>
        <w:jc w:val="both"/>
        <w:rPr>
          <w:color w:val="000000" w:themeColor="text1"/>
          <w:sz w:val="16"/>
          <w:szCs w:val="16"/>
        </w:rPr>
      </w:pPr>
      <w:r w:rsidRPr="00507A31">
        <w:rPr>
          <w:bCs/>
          <w:color w:val="000000" w:themeColor="text1"/>
          <w:sz w:val="16"/>
          <w:szCs w:val="16"/>
        </w:rPr>
        <w:t xml:space="preserve"> «За грузовиком следовал «рено» Маяковского и другие машины, в которых ехали, среди прочих, мать и сестры Маяковского. Лиля и Осип </w:t>
      </w:r>
      <w:r w:rsidRPr="00507A31">
        <w:rPr>
          <w:color w:val="000000" w:themeColor="text1"/>
          <w:sz w:val="16"/>
          <w:szCs w:val="16"/>
        </w:rPr>
        <w:t>(Брики)</w:t>
      </w:r>
      <w:r w:rsidRPr="00507A31">
        <w:rPr>
          <w:bCs/>
          <w:color w:val="000000" w:themeColor="text1"/>
          <w:sz w:val="16"/>
          <w:szCs w:val="16"/>
        </w:rPr>
        <w:t xml:space="preserve"> прошли весь путь до крематория Донского монастыря пешком. За грузовиком шло порядка шестидесяти тысяч человек, согласно Олеше, который описывал в письме к Мейерхольду (находящемуся на гастролях в Германии), как милиция стреляла в воздух для того, чтобы гроб могли внести в ворота крематория. Была колоссальная давка.»</w:t>
      </w:r>
      <w:r w:rsidRPr="00507A31">
        <w:rPr>
          <w:bCs/>
          <w:iCs/>
          <w:color w:val="000000" w:themeColor="text1"/>
          <w:sz w:val="16"/>
          <w:szCs w:val="16"/>
        </w:rPr>
        <w:t xml:space="preserve"> По Б.Янгфельдт «Ставка – жизнь», М., КоЛибри, 2009 </w:t>
      </w:r>
      <w:r w:rsidR="00885AF8" w:rsidRPr="00507A31">
        <w:rPr>
          <w:color w:val="000000" w:themeColor="text1"/>
          <w:sz w:val="16"/>
          <w:szCs w:val="16"/>
        </w:rPr>
        <w:t>(17325).</w:t>
      </w:r>
    </w:p>
    <w:p w14:paraId="212B7F95" w14:textId="77777777" w:rsidR="00885AF8" w:rsidRPr="00507A31" w:rsidRDefault="00885AF8" w:rsidP="00507A31">
      <w:pPr>
        <w:autoSpaceDE w:val="0"/>
        <w:autoSpaceDN w:val="0"/>
        <w:adjustRightInd w:val="0"/>
        <w:jc w:val="both"/>
        <w:rPr>
          <w:iCs/>
          <w:color w:val="000000" w:themeColor="text1"/>
          <w:sz w:val="16"/>
          <w:szCs w:val="16"/>
        </w:rPr>
      </w:pPr>
    </w:p>
    <w:p w14:paraId="1CCA30F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17 апреля 1930 образована Абхазская АССР (4962).</w:t>
      </w:r>
    </w:p>
    <w:p w14:paraId="13C5A2F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00A984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180C9DD" w14:textId="77777777" w:rsidR="00537E5F" w:rsidRPr="00507A31" w:rsidRDefault="00537E5F" w:rsidP="00507A31">
      <w:pPr>
        <w:autoSpaceDE w:val="0"/>
        <w:autoSpaceDN w:val="0"/>
        <w:adjustRightInd w:val="0"/>
        <w:jc w:val="both"/>
        <w:rPr>
          <w:iCs/>
          <w:color w:val="000000" w:themeColor="text1"/>
          <w:sz w:val="16"/>
          <w:szCs w:val="16"/>
        </w:rPr>
      </w:pPr>
    </w:p>
    <w:p w14:paraId="54CCF69B" w14:textId="77777777" w:rsidR="00E20F08" w:rsidRPr="00507A31" w:rsidRDefault="00E20F08" w:rsidP="00507A31">
      <w:pPr>
        <w:jc w:val="both"/>
        <w:rPr>
          <w:color w:val="000000" w:themeColor="text1"/>
          <w:sz w:val="16"/>
          <w:szCs w:val="16"/>
        </w:rPr>
      </w:pPr>
      <w:r w:rsidRPr="00507A31">
        <w:rPr>
          <w:color w:val="000000" w:themeColor="text1"/>
          <w:sz w:val="16"/>
          <w:szCs w:val="16"/>
        </w:rPr>
        <w:t>18 апреля в 1930 году первые огневые испытания экспериментального реактивного двигателя Ф.А.Цандера ("опытный реактивный первый" – «ОР-1»), работающего на воздушно-бензиновой смеси, и сделанного из обыкновенной паяльной лампы. Уже через два года создан «ОР-2» - бензин-жидкий кислород (аналог стоял на «ФАУ-2» и предполагался для «A9»/»A10» фон Брауна) (15103).</w:t>
      </w:r>
    </w:p>
    <w:p w14:paraId="561D718C" w14:textId="77777777" w:rsidR="00E20F08" w:rsidRPr="00507A31" w:rsidRDefault="00E20F08" w:rsidP="00507A31">
      <w:pPr>
        <w:jc w:val="both"/>
        <w:rPr>
          <w:color w:val="000000" w:themeColor="text1"/>
          <w:sz w:val="16"/>
          <w:szCs w:val="16"/>
        </w:rPr>
      </w:pPr>
    </w:p>
    <w:p w14:paraId="4299EE83" w14:textId="77777777" w:rsidR="00E20F08" w:rsidRPr="00507A31" w:rsidRDefault="00E20F08" w:rsidP="00507A31">
      <w:pPr>
        <w:jc w:val="both"/>
        <w:rPr>
          <w:color w:val="000000" w:themeColor="text1"/>
          <w:sz w:val="16"/>
          <w:szCs w:val="16"/>
        </w:rPr>
      </w:pPr>
      <w:r w:rsidRPr="00507A31">
        <w:rPr>
          <w:color w:val="000000" w:themeColor="text1"/>
          <w:sz w:val="16"/>
          <w:szCs w:val="16"/>
        </w:rPr>
        <w:t>18 апреля в 1930 году на первой парашютной фабрике (М.А.Савицкий) изготовлены первые опытные образцы советского спасательного парашюта НИИ-1. К концу 1931 г. на фабрике изготовлено более 5 тысяч парашютов, в том числе 70 специальных десантных «ПД-1». В 1932 г. изготовлено 12035 комплектов, что позволило стране прекратить импорт парашютов (15103).</w:t>
      </w:r>
    </w:p>
    <w:p w14:paraId="265FEB96" w14:textId="77777777" w:rsidR="00E20F08" w:rsidRPr="00507A31" w:rsidRDefault="00E20F08" w:rsidP="00507A31">
      <w:pPr>
        <w:shd w:val="clear" w:color="auto" w:fill="FFFFFF"/>
        <w:autoSpaceDE w:val="0"/>
        <w:autoSpaceDN w:val="0"/>
        <w:adjustRightInd w:val="0"/>
        <w:jc w:val="both"/>
        <w:rPr>
          <w:color w:val="000000" w:themeColor="text1"/>
          <w:sz w:val="16"/>
          <w:szCs w:val="16"/>
        </w:rPr>
      </w:pPr>
    </w:p>
    <w:p w14:paraId="48DDA4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апреля 1930 г. был изготовлен первый образец спаса</w:t>
      </w:r>
      <w:r w:rsidRPr="00507A31">
        <w:rPr>
          <w:color w:val="000000" w:themeColor="text1"/>
          <w:sz w:val="16"/>
          <w:szCs w:val="16"/>
        </w:rPr>
        <w:softHyphen/>
        <w:t>тельного парашюта НИИ-1 (хотя ран</w:t>
      </w:r>
      <w:r w:rsidRPr="00507A31">
        <w:rPr>
          <w:color w:val="000000" w:themeColor="text1"/>
          <w:sz w:val="16"/>
          <w:szCs w:val="16"/>
        </w:rPr>
        <w:softHyphen/>
        <w:t>цевые парашюты РК-1 конструкции Г.Е. Котельникова полукустарно выпускались еще в годы Первой миро</w:t>
      </w:r>
      <w:r w:rsidRPr="00507A31">
        <w:rPr>
          <w:color w:val="000000" w:themeColor="text1"/>
          <w:sz w:val="16"/>
          <w:szCs w:val="16"/>
        </w:rPr>
        <w:softHyphen/>
        <w:t>вой войны) (11752).</w:t>
      </w:r>
    </w:p>
    <w:p w14:paraId="7A050E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4F61444" w14:textId="25E044BA" w:rsidR="00033868" w:rsidRPr="00507A31" w:rsidRDefault="00033868" w:rsidP="00507A31">
      <w:pPr>
        <w:jc w:val="both"/>
        <w:rPr>
          <w:color w:val="0070C0"/>
          <w:sz w:val="16"/>
          <w:szCs w:val="16"/>
        </w:rPr>
      </w:pPr>
      <w:r w:rsidRPr="00507A31">
        <w:rPr>
          <w:color w:val="0070C0"/>
          <w:sz w:val="16"/>
          <w:szCs w:val="16"/>
        </w:rPr>
        <w:t>К 18 апреля 1930 года была выпущена пробная партия парашютов НИИ-1, которые отправились в авиационные части. Шили эти парашюты в Тушино, рядом с одной из главных в то время авиаплощадок страны – Тушинским аэродромом. Первая отечественная парашютная фабрика размещалась в корпусах бывшей сукновальной фабрики товарищества «Николай Третьяков и компания» (21297). В некоторых источниках указаны другие даты – 30 апреля или май 1930 г. (Белоусов А. Пионер советского парашютостроения // Крылья Родины. 1961. № 5. С. 18; Родин И. Парашютостроители //  правда. 1935. 6 августа. С. 6; Котельников В.Р. Красный десант: советские воздушно-десантные войска в предвоенный период 1930 – 1941. М.: Русские Витязи, 2014. С. 29 (21402).</w:t>
      </w:r>
    </w:p>
    <w:p w14:paraId="4F747368" w14:textId="77777777" w:rsidR="00033868" w:rsidRPr="00507A31" w:rsidRDefault="00033868" w:rsidP="00507A31">
      <w:pPr>
        <w:jc w:val="both"/>
        <w:rPr>
          <w:color w:val="0070C0"/>
          <w:sz w:val="16"/>
          <w:szCs w:val="16"/>
        </w:rPr>
      </w:pPr>
    </w:p>
    <w:p w14:paraId="2F1472E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E8A0CDF" w14:textId="77777777" w:rsidR="00537E5F" w:rsidRPr="00507A31" w:rsidRDefault="00537E5F" w:rsidP="00507A31">
      <w:pPr>
        <w:autoSpaceDE w:val="0"/>
        <w:autoSpaceDN w:val="0"/>
        <w:adjustRightInd w:val="0"/>
        <w:jc w:val="both"/>
        <w:rPr>
          <w:iCs/>
          <w:color w:val="000000" w:themeColor="text1"/>
          <w:sz w:val="16"/>
          <w:szCs w:val="16"/>
        </w:rPr>
      </w:pPr>
    </w:p>
    <w:p w14:paraId="511C9C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апреля 1930 г. вышел ДОКЛАД УММ НАЧАЛЬНИКУ ШТАБА РККА О РЕМОНТЕ АВТОТАНКОТРАКТОРНОГО ИМУЩЕСТВА</w:t>
      </w:r>
    </w:p>
    <w:p w14:paraId="51BB43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1821DD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РККА не обеспечена, ни в мирное, ни на военное время мастерскими по ре</w:t>
      </w:r>
      <w:r w:rsidRPr="00507A31">
        <w:rPr>
          <w:color w:val="000000" w:themeColor="text1"/>
          <w:sz w:val="16"/>
          <w:szCs w:val="16"/>
        </w:rPr>
        <w:softHyphen/>
        <w:t>монту автотанкотракторного имущества.</w:t>
      </w:r>
    </w:p>
    <w:p w14:paraId="664815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Считая, что данный вопрос требует немедленного разрешения, УМ РККА представляет на Ваше рассмотрение ниже следующий порядок организации ремонта в военное время.</w:t>
      </w:r>
    </w:p>
    <w:p w14:paraId="765EC0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 районе фронта создаются специальные сборочно-ремонтные заводы с небольшими механи</w:t>
      </w:r>
      <w:r w:rsidRPr="00507A31">
        <w:rPr>
          <w:color w:val="000000" w:themeColor="text1"/>
          <w:sz w:val="16"/>
          <w:szCs w:val="16"/>
        </w:rPr>
        <w:softHyphen/>
        <w:t>ческими мастерскими.</w:t>
      </w:r>
    </w:p>
    <w:p w14:paraId="2BFD1C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Ремонт, в основном, осуществляется путем замены неисправных агрегатов исправными, в связи с чем сокращается до минимума простой машин в ремонте. Эти сборочно-ремонтные заводы орга</w:t>
      </w:r>
      <w:r w:rsidRPr="00507A31">
        <w:rPr>
          <w:color w:val="000000" w:themeColor="text1"/>
          <w:sz w:val="16"/>
          <w:szCs w:val="16"/>
        </w:rPr>
        <w:softHyphen/>
        <w:t>низуются ВСНХ СССР и выполняют данную НКВМ заявку на ремонт автотанкотракторного имуще</w:t>
      </w:r>
      <w:r w:rsidRPr="00507A31">
        <w:rPr>
          <w:color w:val="000000" w:themeColor="text1"/>
          <w:sz w:val="16"/>
          <w:szCs w:val="16"/>
        </w:rPr>
        <w:softHyphen/>
        <w:t>ства, в районе фронта.</w:t>
      </w:r>
    </w:p>
    <w:p w14:paraId="284615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На средства НКВМ создаются подвижные ремонтные мастерские из расчета по одной на не отдельную армию.</w:t>
      </w:r>
    </w:p>
    <w:p w14:paraId="23B0B8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Каждая войсковая часть имеет штатную подвижную войсковую мастерскую на колесах.</w:t>
      </w:r>
    </w:p>
    <w:p w14:paraId="4D98B4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Все эти три типа мастерских, в основном, осуществляют ремонт путем замены неисправных частей новыми, поставляемыми с тыла, с заводов или складов.</w:t>
      </w:r>
    </w:p>
    <w:p w14:paraId="76434A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Изготовление всех видов запасных частей возлагается на автомобильные, тракторные и тан</w:t>
      </w:r>
      <w:r w:rsidRPr="00507A31">
        <w:rPr>
          <w:color w:val="000000" w:themeColor="text1"/>
          <w:sz w:val="16"/>
          <w:szCs w:val="16"/>
        </w:rPr>
        <w:softHyphen/>
        <w:t>ковые заводы по принадлежности.</w:t>
      </w:r>
    </w:p>
    <w:p w14:paraId="0E7F9C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Неисправные агрегаты машин, требующие капитального ремонта, отправляются на заводы их изготовляющие.</w:t>
      </w:r>
    </w:p>
    <w:p w14:paraId="509BCE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Организацию ремонта по линии ВСНХ Управление по механизации и моторизации предлага-</w:t>
      </w:r>
    </w:p>
    <w:p w14:paraId="043BA1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ет проводить в следующем порядке:</w:t>
      </w:r>
    </w:p>
    <w:p w14:paraId="7EBA5B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Ленинградский военный округ. Построить ремонтно-сборочный завод в районе ст. Бологое. Сохранить в качестве ремонтной базы и Ленинград — в основном завод "Большевик" и 7-й завод во</w:t>
      </w:r>
      <w:r w:rsidRPr="00507A31">
        <w:rPr>
          <w:color w:val="000000" w:themeColor="text1"/>
          <w:sz w:val="16"/>
          <w:szCs w:val="16"/>
        </w:rPr>
        <w:softHyphen/>
        <w:t>енной промышленности.</w:t>
      </w:r>
    </w:p>
    <w:p w14:paraId="4E48F8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Белорусский военный округ. Построить ремонтно-сборочный завод в районе Ржева. Органи</w:t>
      </w:r>
      <w:r w:rsidRPr="00507A31">
        <w:rPr>
          <w:color w:val="000000" w:themeColor="text1"/>
          <w:sz w:val="16"/>
          <w:szCs w:val="16"/>
        </w:rPr>
        <w:softHyphen/>
        <w:t>зовать ремонтно-сборочный завод в районе Брянска, путем приспособления вагонно-строительного завода имени Урицкого.</w:t>
      </w:r>
    </w:p>
    <w:p w14:paraId="607741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Украинский военный округ. Использовать в качестве основной базы строящиеся Харьков</w:t>
      </w:r>
      <w:r w:rsidRPr="00507A31">
        <w:rPr>
          <w:color w:val="000000" w:themeColor="text1"/>
          <w:sz w:val="16"/>
          <w:szCs w:val="16"/>
        </w:rPr>
        <w:softHyphen/>
        <w:t>ский сборочный автозавод и завод маломощных тракторов "Катерпиллер".</w:t>
      </w:r>
    </w:p>
    <w:p w14:paraId="5A1FA0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Кроме того необходима постройка или приспособление специального завода для производства капитального ремонта автотанкотракторного имущества в тылу.</w:t>
      </w:r>
    </w:p>
    <w:p w14:paraId="0A5B5F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Пропускную способность по ремонту в районе фронта установить на год войны (составлено исходя из варианта "А").</w:t>
      </w:r>
    </w:p>
    <w:p w14:paraId="6E7437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Общая стоимость ремонта 1117,7 миллионов рублей (см. расчет приведенный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950"/>
        <w:gridCol w:w="672"/>
        <w:gridCol w:w="672"/>
        <w:gridCol w:w="557"/>
        <w:gridCol w:w="672"/>
        <w:gridCol w:w="682"/>
        <w:gridCol w:w="672"/>
        <w:gridCol w:w="710"/>
        <w:gridCol w:w="710"/>
        <w:gridCol w:w="730"/>
        <w:gridCol w:w="653"/>
      </w:tblGrid>
      <w:tr w:rsidR="00E371BA" w:rsidRPr="00507A31" w14:paraId="1C3AE00D" w14:textId="77777777">
        <w:trPr>
          <w:trHeight w:val="250"/>
        </w:trPr>
        <w:tc>
          <w:tcPr>
            <w:tcW w:w="950" w:type="dxa"/>
            <w:tcBorders>
              <w:top w:val="single" w:sz="6" w:space="0" w:color="auto"/>
              <w:left w:val="single" w:sz="6" w:space="0" w:color="auto"/>
              <w:bottom w:val="nil"/>
              <w:right w:val="single" w:sz="6" w:space="0" w:color="auto"/>
            </w:tcBorders>
          </w:tcPr>
          <w:p w14:paraId="7B7DC2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29AC9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901" w:type="dxa"/>
            <w:gridSpan w:val="3"/>
            <w:tcBorders>
              <w:top w:val="single" w:sz="6" w:space="0" w:color="auto"/>
              <w:left w:val="single" w:sz="6" w:space="0" w:color="auto"/>
              <w:bottom w:val="single" w:sz="6" w:space="0" w:color="auto"/>
              <w:right w:val="single" w:sz="6" w:space="0" w:color="auto"/>
            </w:tcBorders>
          </w:tcPr>
          <w:p w14:paraId="273954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Автомобили</w:t>
            </w:r>
          </w:p>
          <w:p w14:paraId="5D58CB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nil"/>
              <w:right w:val="single" w:sz="6" w:space="0" w:color="auto"/>
            </w:tcBorders>
          </w:tcPr>
          <w:p w14:paraId="328235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Брон. автомоб.</w:t>
            </w:r>
          </w:p>
          <w:p w14:paraId="484E1B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nil"/>
              <w:right w:val="single" w:sz="6" w:space="0" w:color="auto"/>
            </w:tcBorders>
          </w:tcPr>
          <w:p w14:paraId="778A61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w:t>
            </w:r>
            <w:r w:rsidRPr="00507A31">
              <w:rPr>
                <w:color w:val="000000" w:themeColor="text1"/>
                <w:sz w:val="16"/>
                <w:szCs w:val="16"/>
              </w:rPr>
              <w:softHyphen/>
              <w:t>циклы</w:t>
            </w:r>
          </w:p>
          <w:p w14:paraId="12C939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nil"/>
              <w:right w:val="single" w:sz="6" w:space="0" w:color="auto"/>
            </w:tcBorders>
          </w:tcPr>
          <w:p w14:paraId="4C9F15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w:t>
            </w:r>
            <w:r w:rsidRPr="00507A31">
              <w:rPr>
                <w:color w:val="000000" w:themeColor="text1"/>
                <w:sz w:val="16"/>
                <w:szCs w:val="16"/>
              </w:rPr>
              <w:softHyphen/>
              <w:t>тора</w:t>
            </w:r>
          </w:p>
          <w:p w14:paraId="0E01C3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150" w:type="dxa"/>
            <w:gridSpan w:val="3"/>
            <w:tcBorders>
              <w:top w:val="single" w:sz="6" w:space="0" w:color="auto"/>
              <w:left w:val="single" w:sz="6" w:space="0" w:color="auto"/>
              <w:bottom w:val="single" w:sz="6" w:space="0" w:color="auto"/>
              <w:right w:val="single" w:sz="6" w:space="0" w:color="auto"/>
            </w:tcBorders>
          </w:tcPr>
          <w:p w14:paraId="74C747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Танки</w:t>
            </w:r>
          </w:p>
          <w:p w14:paraId="1C0813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nil"/>
              <w:right w:val="single" w:sz="6" w:space="0" w:color="auto"/>
            </w:tcBorders>
          </w:tcPr>
          <w:p w14:paraId="7CD808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Танкетки</w:t>
            </w:r>
          </w:p>
          <w:p w14:paraId="06DB0A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986E91C" w14:textId="77777777">
        <w:trPr>
          <w:trHeight w:val="154"/>
        </w:trPr>
        <w:tc>
          <w:tcPr>
            <w:tcW w:w="950" w:type="dxa"/>
            <w:tcBorders>
              <w:top w:val="nil"/>
              <w:left w:val="single" w:sz="6" w:space="0" w:color="auto"/>
              <w:bottom w:val="single" w:sz="6" w:space="0" w:color="auto"/>
              <w:right w:val="single" w:sz="6" w:space="0" w:color="auto"/>
            </w:tcBorders>
          </w:tcPr>
          <w:p w14:paraId="19B20A52" w14:textId="77777777" w:rsidR="00537E5F" w:rsidRPr="00507A31" w:rsidRDefault="00537E5F" w:rsidP="00507A31">
            <w:pPr>
              <w:autoSpaceDE w:val="0"/>
              <w:autoSpaceDN w:val="0"/>
              <w:adjustRightInd w:val="0"/>
              <w:jc w:val="both"/>
              <w:rPr>
                <w:color w:val="000000" w:themeColor="text1"/>
                <w:sz w:val="16"/>
                <w:szCs w:val="16"/>
              </w:rPr>
            </w:pPr>
          </w:p>
          <w:p w14:paraId="5E42BD16" w14:textId="77777777" w:rsidR="00537E5F" w:rsidRPr="00507A31" w:rsidRDefault="00537E5F" w:rsidP="00507A31">
            <w:pPr>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15CD1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Легк.</w:t>
            </w:r>
          </w:p>
          <w:p w14:paraId="20ED6D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F9828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Груз.</w:t>
            </w:r>
          </w:p>
          <w:p w14:paraId="1B5B86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1335B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Санит.</w:t>
            </w:r>
          </w:p>
          <w:p w14:paraId="4A5293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single" w:sz="6" w:space="0" w:color="auto"/>
              <w:right w:val="single" w:sz="6" w:space="0" w:color="auto"/>
            </w:tcBorders>
          </w:tcPr>
          <w:p w14:paraId="5CEC11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76391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82" w:type="dxa"/>
            <w:tcBorders>
              <w:top w:val="nil"/>
              <w:left w:val="single" w:sz="6" w:space="0" w:color="auto"/>
              <w:bottom w:val="single" w:sz="6" w:space="0" w:color="auto"/>
              <w:right w:val="single" w:sz="6" w:space="0" w:color="auto"/>
            </w:tcBorders>
          </w:tcPr>
          <w:p w14:paraId="71DA5E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1588A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single" w:sz="6" w:space="0" w:color="auto"/>
              <w:right w:val="single" w:sz="6" w:space="0" w:color="auto"/>
            </w:tcBorders>
          </w:tcPr>
          <w:p w14:paraId="1CB990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5EA5D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AFF31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Малые</w:t>
            </w:r>
          </w:p>
          <w:p w14:paraId="0B152D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68ADE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Средние</w:t>
            </w:r>
          </w:p>
          <w:p w14:paraId="588F43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B1BE1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Большие</w:t>
            </w:r>
          </w:p>
          <w:p w14:paraId="4795B2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53" w:type="dxa"/>
            <w:tcBorders>
              <w:top w:val="nil"/>
              <w:left w:val="single" w:sz="6" w:space="0" w:color="auto"/>
              <w:bottom w:val="single" w:sz="6" w:space="0" w:color="auto"/>
              <w:right w:val="single" w:sz="6" w:space="0" w:color="auto"/>
            </w:tcBorders>
          </w:tcPr>
          <w:p w14:paraId="54DE45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E0AA5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C7F560D" w14:textId="77777777">
        <w:trPr>
          <w:trHeight w:val="192"/>
        </w:trPr>
        <w:tc>
          <w:tcPr>
            <w:tcW w:w="950" w:type="dxa"/>
            <w:tcBorders>
              <w:top w:val="single" w:sz="6" w:space="0" w:color="auto"/>
              <w:left w:val="single" w:sz="6" w:space="0" w:color="auto"/>
              <w:bottom w:val="single" w:sz="6" w:space="0" w:color="auto"/>
              <w:right w:val="single" w:sz="6" w:space="0" w:color="auto"/>
            </w:tcBorders>
          </w:tcPr>
          <w:p w14:paraId="37A9AF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ПВО</w:t>
            </w:r>
          </w:p>
          <w:p w14:paraId="03D053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A22F4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w:t>
            </w:r>
          </w:p>
          <w:p w14:paraId="5A14A5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52A3F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40000</w:t>
            </w:r>
          </w:p>
          <w:p w14:paraId="20E560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AA43F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w:t>
            </w:r>
          </w:p>
          <w:p w14:paraId="2A202A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2F140E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w:t>
            </w:r>
          </w:p>
          <w:p w14:paraId="2F6F5C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E3BDF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w:t>
            </w:r>
          </w:p>
          <w:p w14:paraId="3A0C7F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0C7E20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8000</w:t>
            </w:r>
          </w:p>
          <w:p w14:paraId="5DB827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CDC8C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1242</w:t>
            </w:r>
          </w:p>
          <w:p w14:paraId="33F812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EF5E3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900</w:t>
            </w:r>
          </w:p>
          <w:p w14:paraId="4A14DD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D83D3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106</w:t>
            </w:r>
          </w:p>
          <w:p w14:paraId="654AEE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6A2DE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510</w:t>
            </w:r>
          </w:p>
          <w:p w14:paraId="312F3E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85EDF41" w14:textId="77777777">
        <w:trPr>
          <w:trHeight w:val="182"/>
        </w:trPr>
        <w:tc>
          <w:tcPr>
            <w:tcW w:w="950" w:type="dxa"/>
            <w:tcBorders>
              <w:top w:val="single" w:sz="6" w:space="0" w:color="auto"/>
              <w:left w:val="single" w:sz="6" w:space="0" w:color="auto"/>
              <w:bottom w:val="single" w:sz="6" w:space="0" w:color="auto"/>
              <w:right w:val="single" w:sz="6" w:space="0" w:color="auto"/>
            </w:tcBorders>
          </w:tcPr>
          <w:p w14:paraId="3C151E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УВО</w:t>
            </w:r>
          </w:p>
          <w:p w14:paraId="114845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C936C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w:t>
            </w:r>
          </w:p>
          <w:p w14:paraId="5EB736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5C42C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60000</w:t>
            </w:r>
          </w:p>
          <w:p w14:paraId="41ECCA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413F9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w:t>
            </w:r>
          </w:p>
          <w:p w14:paraId="7D652F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2DDD60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w:t>
            </w:r>
          </w:p>
          <w:p w14:paraId="20CFD8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60BFD6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4500</w:t>
            </w:r>
          </w:p>
          <w:p w14:paraId="3A96BC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3CAA6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w:t>
            </w:r>
          </w:p>
          <w:p w14:paraId="5063B1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B99C2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1863</w:t>
            </w:r>
          </w:p>
          <w:p w14:paraId="74BD87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60D0E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1350</w:t>
            </w:r>
          </w:p>
          <w:p w14:paraId="5DF2A1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03A5E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160</w:t>
            </w:r>
          </w:p>
          <w:p w14:paraId="1A3BF2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8C6EF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765</w:t>
            </w:r>
          </w:p>
          <w:p w14:paraId="52D960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C2FD91F" w14:textId="77777777">
        <w:trPr>
          <w:trHeight w:val="192"/>
        </w:trPr>
        <w:tc>
          <w:tcPr>
            <w:tcW w:w="950" w:type="dxa"/>
            <w:tcBorders>
              <w:top w:val="single" w:sz="6" w:space="0" w:color="auto"/>
              <w:left w:val="single" w:sz="6" w:space="0" w:color="auto"/>
              <w:bottom w:val="single" w:sz="6" w:space="0" w:color="auto"/>
              <w:right w:val="single" w:sz="6" w:space="0" w:color="auto"/>
            </w:tcBorders>
          </w:tcPr>
          <w:p w14:paraId="6AA7BD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БВО Ржев</w:t>
            </w:r>
          </w:p>
          <w:p w14:paraId="402FA8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7F6365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w:t>
            </w:r>
          </w:p>
          <w:p w14:paraId="234CC9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3E928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p w14:paraId="32C6BB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D0BD3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p w14:paraId="19C0E2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7CAC7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w:t>
            </w:r>
          </w:p>
          <w:p w14:paraId="596161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07E119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3750</w:t>
            </w:r>
          </w:p>
          <w:p w14:paraId="61AD98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BBD98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p w14:paraId="138831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ACE24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1552</w:t>
            </w:r>
          </w:p>
          <w:p w14:paraId="015C04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23855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1125</w:t>
            </w:r>
          </w:p>
          <w:p w14:paraId="063D5E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B6692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133</w:t>
            </w:r>
          </w:p>
          <w:p w14:paraId="29096F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A0DDF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637</w:t>
            </w:r>
          </w:p>
          <w:p w14:paraId="313FEB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AD30B31" w14:textId="77777777">
        <w:trPr>
          <w:trHeight w:val="211"/>
        </w:trPr>
        <w:tc>
          <w:tcPr>
            <w:tcW w:w="950" w:type="dxa"/>
            <w:tcBorders>
              <w:top w:val="single" w:sz="6" w:space="0" w:color="auto"/>
              <w:left w:val="single" w:sz="6" w:space="0" w:color="auto"/>
              <w:bottom w:val="single" w:sz="6" w:space="0" w:color="auto"/>
              <w:right w:val="single" w:sz="6" w:space="0" w:color="auto"/>
            </w:tcBorders>
          </w:tcPr>
          <w:p w14:paraId="52A97E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Брянск</w:t>
            </w:r>
          </w:p>
          <w:p w14:paraId="4B5E92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062567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w:t>
            </w:r>
          </w:p>
          <w:p w14:paraId="63FF66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7FAB3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p w14:paraId="47B4BC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BA27B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p w14:paraId="236AE5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6F552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w:t>
            </w:r>
          </w:p>
          <w:p w14:paraId="1C7930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704638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3750</w:t>
            </w:r>
          </w:p>
          <w:p w14:paraId="50FDE0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6AB81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p w14:paraId="6C82A1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A6AF9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1553</w:t>
            </w:r>
          </w:p>
          <w:p w14:paraId="24F641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63684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1125</w:t>
            </w:r>
          </w:p>
          <w:p w14:paraId="448106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4E177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132</w:t>
            </w:r>
          </w:p>
          <w:p w14:paraId="78A29D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17674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638</w:t>
            </w:r>
          </w:p>
          <w:p w14:paraId="086C38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4D6123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Количество запасных частей на год войны будет представлено по одобрении Вами представленных расчетов.</w:t>
      </w:r>
    </w:p>
    <w:p w14:paraId="2288AC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 Сводная ведомость</w:t>
      </w:r>
      <w:r w:rsidRPr="00507A31">
        <w:rPr>
          <w:color w:val="000000" w:themeColor="text1"/>
          <w:sz w:val="16"/>
          <w:szCs w:val="16"/>
          <w:vertAlign w:val="superscript"/>
        </w:rPr>
        <w:t>1</w:t>
      </w:r>
      <w:r w:rsidRPr="00507A31">
        <w:rPr>
          <w:color w:val="000000" w:themeColor="text1"/>
          <w:sz w:val="16"/>
          <w:szCs w:val="16"/>
        </w:rPr>
        <w:t>.</w:t>
      </w:r>
    </w:p>
    <w:p w14:paraId="705989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УММ РККА • Калиновский)</w:t>
      </w:r>
    </w:p>
    <w:p w14:paraId="35FE49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II управления УММ РККА |</w:t>
      </w:r>
    </w:p>
    <w:p w14:paraId="7765E3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Бокис</w:t>
      </w:r>
    </w:p>
    <w:p w14:paraId="1AD89B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175. Л. 49. Копия (11210).</w:t>
      </w:r>
    </w:p>
    <w:p w14:paraId="02D640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06537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апреля 1930 г. был подготовлен ПРОТОКОЛ СОВЕЩАНИЯ УММ О РЕМОНТЕ АБТ ИМУЩЕСТВА</w:t>
      </w:r>
    </w:p>
    <w:p w14:paraId="75FBDE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г. Москва </w:t>
      </w:r>
    </w:p>
    <w:p w14:paraId="5AA253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Присутствовали:</w:t>
      </w:r>
    </w:p>
    <w:p w14:paraId="20684A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2 управления Начальник ВТО ЛВО Начальник 1 отдела Пом. начальника 2 отдела Начальник 4 отдела Начальник моботдела</w:t>
      </w:r>
    </w:p>
    <w:p w14:paraId="5BFB33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т. Бокис</w:t>
      </w:r>
    </w:p>
    <w:p w14:paraId="4EEAE6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т. Бейнарович</w:t>
      </w:r>
    </w:p>
    <w:p w14:paraId="24A57F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т. Мизонов</w:t>
      </w:r>
    </w:p>
    <w:p w14:paraId="7C2C29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т. Кашкаров</w:t>
      </w:r>
    </w:p>
    <w:p w14:paraId="454432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т. Магидов</w:t>
      </w:r>
    </w:p>
    <w:p w14:paraId="644170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т. Давыдов</w:t>
      </w:r>
    </w:p>
    <w:p w14:paraId="3D7BF1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Слушали: Об организации Окружной базы по ремонту автобронетанкотракторного имущест</w:t>
      </w:r>
      <w:r w:rsidRPr="00507A31">
        <w:rPr>
          <w:color w:val="000000" w:themeColor="text1"/>
          <w:sz w:val="16"/>
          <w:szCs w:val="16"/>
        </w:rPr>
        <w:softHyphen/>
        <w:t>ва ЛВО.</w:t>
      </w:r>
    </w:p>
    <w:p w14:paraId="56FE32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Постановили:</w:t>
      </w:r>
    </w:p>
    <w:p w14:paraId="70DF55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Окружную ремонтную базу ЛВО иметь вне Ленинграда, пункт расположения ее определить по согласовании со Штабом РККА.</w:t>
      </w:r>
    </w:p>
    <w:p w14:paraId="42E7C9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Признать целесообразным организацию в г. Ленинграде мастерской для ремонта автоброне</w:t>
      </w:r>
      <w:r w:rsidRPr="00507A31">
        <w:rPr>
          <w:color w:val="000000" w:themeColor="text1"/>
          <w:sz w:val="16"/>
          <w:szCs w:val="16"/>
        </w:rPr>
        <w:softHyphen/>
        <w:t>танкотракторного имущества частей Ленинградского гарнизона и окрестностей.</w:t>
      </w:r>
    </w:p>
    <w:p w14:paraId="512A68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 Для организации мастерской использовать помещения кронверка (б. Артсклад), только там утеплить часть помещения, потребную для оборудования мастерской, остальную площадь использо</w:t>
      </w:r>
      <w:r w:rsidRPr="00507A31">
        <w:rPr>
          <w:color w:val="000000" w:themeColor="text1"/>
          <w:sz w:val="16"/>
          <w:szCs w:val="16"/>
        </w:rPr>
        <w:softHyphen/>
        <w:t>вать для хранения автобронетанкотракторного имущества.</w:t>
      </w:r>
    </w:p>
    <w:p w14:paraId="62F5F7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Гарнизонную мастерскую оборудовать применительно к разработанному УММ проекту шта</w:t>
      </w:r>
      <w:r w:rsidRPr="00507A31">
        <w:rPr>
          <w:color w:val="000000" w:themeColor="text1"/>
          <w:sz w:val="16"/>
          <w:szCs w:val="16"/>
        </w:rPr>
        <w:softHyphen/>
        <w:t>та и табели оборудования мастерской 3 разряда на 400 машин, силовой станции не устраивать, а ог</w:t>
      </w:r>
      <w:r w:rsidRPr="00507A31">
        <w:rPr>
          <w:color w:val="000000" w:themeColor="text1"/>
          <w:sz w:val="16"/>
          <w:szCs w:val="16"/>
        </w:rPr>
        <w:softHyphen/>
        <w:t>раничиться устройством трансформатора.</w:t>
      </w:r>
    </w:p>
    <w:p w14:paraId="11123C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Для организации и оборудования мастерской использовать оборудование и инструмент имею</w:t>
      </w:r>
      <w:r w:rsidRPr="00507A31">
        <w:rPr>
          <w:color w:val="000000" w:themeColor="text1"/>
          <w:sz w:val="16"/>
          <w:szCs w:val="16"/>
        </w:rPr>
        <w:softHyphen/>
        <w:t>щихся в г. Ленинграде мелких мастерских и кадры рабочих и техперсонала мастерской склада №96.</w:t>
      </w:r>
    </w:p>
    <w:p w14:paraId="039D6C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Считать нецелесообразным устройство отдельной мастерской для 11 стрелковой дивизии из намеченных к отпуску на гаражное оборудование, 11 стрелковой дивизии кредитов отпустить 50 000 руб. на заготовку недостающего и установки оборудования гарнизонной мастерской, разрешить на</w:t>
      </w:r>
      <w:r w:rsidRPr="00507A31">
        <w:rPr>
          <w:color w:val="000000" w:themeColor="text1"/>
          <w:sz w:val="16"/>
          <w:szCs w:val="16"/>
        </w:rPr>
        <w:softHyphen/>
        <w:t>чальнику ВТО дополнительный расход в 20 000 руб. переходящей на 1930/31 оперативный год. Из под</w:t>
      </w:r>
      <w:r w:rsidRPr="00507A31">
        <w:rPr>
          <w:color w:val="000000" w:themeColor="text1"/>
          <w:sz w:val="16"/>
          <w:szCs w:val="16"/>
        </w:rPr>
        <w:softHyphen/>
        <w:t>лежащих отпуску 50 000 руб. перевести в 3 квартале 20 000 руб., остальные 30 000 руб. в 4 квартале.</w:t>
      </w:r>
    </w:p>
    <w:p w14:paraId="496634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Выяснить возможность использования и отпуска для оборудования мастерской хранящихся на складе 127 станков, требующих ремонта.</w:t>
      </w:r>
    </w:p>
    <w:p w14:paraId="70F600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Поручить начальнику ВТО, на основе принятых решений, уточнить штат и табель оборудова</w:t>
      </w:r>
      <w:r w:rsidRPr="00507A31">
        <w:rPr>
          <w:color w:val="000000" w:themeColor="text1"/>
          <w:sz w:val="16"/>
          <w:szCs w:val="16"/>
        </w:rPr>
        <w:softHyphen/>
        <w:t>ния мастерской и разработать проект устройства и организации ремонтной мастерской и вместе с ведомостями имеющегося и недостающего оборудования представить на утверждение в УМ (4 отдел II управления УМ).</w:t>
      </w:r>
    </w:p>
    <w:p w14:paraId="2888C1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Бокис Секретарь: Магидов</w:t>
      </w:r>
    </w:p>
    <w:p w14:paraId="217681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РГВА.Ф. 31811. Оп. I. Д. 175. Л. 57. Копия (11210).</w:t>
      </w:r>
    </w:p>
    <w:p w14:paraId="5A43FA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CE12C25" w14:textId="77777777" w:rsidR="005E320E" w:rsidRPr="00507A31" w:rsidRDefault="005E320E" w:rsidP="00507A31">
      <w:pPr>
        <w:jc w:val="both"/>
        <w:rPr>
          <w:color w:val="000000" w:themeColor="text1"/>
          <w:sz w:val="16"/>
          <w:szCs w:val="16"/>
        </w:rPr>
      </w:pPr>
      <w:r w:rsidRPr="00507A31">
        <w:rPr>
          <w:color w:val="000000" w:themeColor="text1"/>
          <w:sz w:val="16"/>
          <w:szCs w:val="16"/>
        </w:rPr>
        <w:t>18-го апреля 1930</w:t>
      </w:r>
    </w:p>
    <w:p w14:paraId="65677030" w14:textId="77777777" w:rsidR="005E320E" w:rsidRPr="00507A31" w:rsidRDefault="005E320E" w:rsidP="00507A31">
      <w:pPr>
        <w:jc w:val="both"/>
        <w:rPr>
          <w:color w:val="000000" w:themeColor="text1"/>
          <w:sz w:val="16"/>
          <w:szCs w:val="16"/>
        </w:rPr>
      </w:pPr>
      <w:r w:rsidRPr="00507A31">
        <w:rPr>
          <w:bCs/>
          <w:iCs/>
          <w:color w:val="000000" w:themeColor="text1"/>
          <w:sz w:val="16"/>
          <w:szCs w:val="16"/>
        </w:rPr>
        <w:t>РГВА Фонд 31811 Опись 1 Дело 38 лист 310 – 312</w:t>
      </w:r>
      <w:r w:rsidRPr="00507A31">
        <w:rPr>
          <w:color w:val="000000" w:themeColor="text1"/>
          <w:sz w:val="16"/>
          <w:szCs w:val="16"/>
        </w:rPr>
        <w:t xml:space="preserve"> </w:t>
      </w:r>
    </w:p>
    <w:p w14:paraId="4C47DF3E"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Разговор т. Халепского с м-ром Кристи в кабинете т. Петрова 18-го апреля 1930 г. в 3 ч. дня</w:t>
      </w:r>
    </w:p>
    <w:p w14:paraId="7C4C2663"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Мы имели заседание нашего правления и следующее предложение было принято в отношении Вашего заказа: 15.000 долларов оплаты ежемесячно в продолжении 4-х месяцев, исходя из цены за 2 трактора 60.000 долларов. </w:t>
      </w:r>
    </w:p>
    <w:p w14:paraId="10698E24"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Считаю, что цена 60.000 дол. высока и предлагаю 50.000 на следующих условиях оплаты: 10 % при подписании договора, 15 % после того как материал для производства будет на фабрике, 25 % по мере сборки тракторов и 50 % после испытания и приемки. </w:t>
      </w:r>
    </w:p>
    <w:p w14:paraId="3C7EBD64"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В виду того, что очень много расходов связано с началом производства, нам необходимо иметь 25 % задаточной суммы для оплаты чертежей и других начальных расходов по производству. Поэтому, как правило, даже с американским правительством, у нас 25 % оплачивается при выдаче заказа и по мере изготовления уплачивается 75 % и 25 % удерживается до окончательной приемки (показывает контракт с американским правительством). Я Вам также могу показать контракт с Польшей, который мы считаем не дешевле 30.000 дол. за каждый трактор (показывает контракт в той части, где он качается цены и условий платежей. Условия: 30.000 дол. за каждый трактор, причем при подписании контракта 10.000 дол. после 60 % произведенной работы – еще 10.000 дол. и последние 10.000 дол. после испытаний). Во всяком случае, весь материал, требующийся для ваших двух машин, будет готов через две недели. </w:t>
      </w:r>
    </w:p>
    <w:p w14:paraId="653475A6"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Если Ваш материал будет через две недели на фабрике, то я предлагаю следующие условия: 25 % при заказе, 25 % во время сборки, 50 % после испытания и приемки. </w:t>
      </w:r>
    </w:p>
    <w:p w14:paraId="289256B8"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Согласен. </w:t>
      </w:r>
    </w:p>
    <w:p w14:paraId="11159C86"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Когда мы будем подписывать договор и при уплате 25 % Вы должны доставить нам письменное официальное разрешение из Вашингтона на право экспорта упомянутых машин. </w:t>
      </w:r>
    </w:p>
    <w:p w14:paraId="052285B1"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Как правило, вообще никаких разрешений на экспорт этих машин не требуется, ибо у меня имеется одно общее разрешение Правительства на продажу этих машин в Европу, и я считаю этого достаточным и для экспорта в СССР. Но если Вы так настаиваете, то прошу написать сейчас небольшое письмо с просьбой получить для Вас такое разрешение, и завтра я предполагаю быть в Вашингтоне, где и достану требуемое Вами разрешение. </w:t>
      </w:r>
    </w:p>
    <w:p w14:paraId="186F95F2"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Какие сроки доставки для двух тракторов? </w:t>
      </w:r>
    </w:p>
    <w:p w14:paraId="0BD812B3"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4 месяца. </w:t>
      </w:r>
    </w:p>
    <w:p w14:paraId="7B520FD3"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Наш представитель должен будет присутствовать во время сборки тракторов на фабрике. </w:t>
      </w:r>
    </w:p>
    <w:p w14:paraId="163617B4"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В любое время за исключением, когда там будет находиться представитель Польши. </w:t>
      </w:r>
    </w:p>
    <w:p w14:paraId="34380638"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А как у нас обстоит вопрос насчет техпомощи. </w:t>
      </w:r>
    </w:p>
    <w:p w14:paraId="6453642A"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У нас еще достаточно времени для переговоров о техпомощи во время постройки тракторов, но цена на техпомощь уже установлена (показывает контракт с Польшей на техпомощь, цена 90.000 дол. 40.000 наличными 31-го декабря 1930 г., 25.000 дол. через 4 месяца и 25.000 через 8 месяцев). </w:t>
      </w:r>
    </w:p>
    <w:p w14:paraId="6E368695"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Что Вы понимаете под технической помощью? </w:t>
      </w:r>
    </w:p>
    <w:p w14:paraId="3CD5EE7A"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Я принесу Вам в понедельник копию спецификации на техпомощь Польше, а, кроме этого, мы понимаем, что мы должны передать Вам не чертежи, а все кальки с рабочими и другими чертежами, а также кальки с изменениями, которые мы сделали в моторе "Либерти". </w:t>
      </w:r>
    </w:p>
    <w:p w14:paraId="762A8AF8"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Вы, конечно понимаете, что мы не намерены платить дороже, чем платят другие! </w:t>
      </w:r>
    </w:p>
    <w:p w14:paraId="59224554"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Я, конечно, сделал ошибку, что показал Вам договор и должен сказать, что я не смогу допустить написать 90.000 долларов в договоре, а должен буду указать 100.000 дол., с тем, что я даю Вам отдельное письмо, кредитующее Вас на 10.000 долларов, ибо наше правление постановило сделать исключительную цену для Польши, являющейся нашей первой заказчицей на наши трактора. Кроме того, Польша просила нас вообще не продавать Вам этих машин. </w:t>
      </w:r>
    </w:p>
    <w:p w14:paraId="12CA7D76"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Мое Правительство дало мне определенный лимит, и я прошу м-ра Кристи еще раз поговорить с правлением на предмет уменьшения цен и улучшения кредитных условий. </w:t>
      </w:r>
    </w:p>
    <w:p w14:paraId="7D3BD874"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Эта цена является окончательной и не подлежит обсуждению. Я хотел бы предупредить Вас, что если до 8-го мая Вы не поместите заказ, а в это время ожидается заказ от Японии, тогда мне придется отклонить Ваше предложение о заказе. </w:t>
      </w:r>
    </w:p>
    <w:p w14:paraId="7BEBCA01"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Тогда быть может будет приемлемым для Вас согласиться на оплату нами технической помощи в сумме 90.000 дол. на следующих условиях: 40.000 дол. наличными, 25.000 через год и 25.000 дол. через два года. </w:t>
      </w:r>
    </w:p>
    <w:p w14:paraId="1FB18FE9"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Согласен. </w:t>
      </w:r>
    </w:p>
    <w:p w14:paraId="79EAA7BF"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Сможете ли Вы поехать к нам на некоторое время для постановки производства и консультаций по этому вопросу? </w:t>
      </w:r>
    </w:p>
    <w:p w14:paraId="3A323CE1" w14:textId="77777777" w:rsidR="005E320E" w:rsidRPr="00507A31" w:rsidRDefault="005E320E"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Безусловно это необходимо, и я согласен буду пробыть в Вашей стране примерно недель 6 для консультирования и, если я по своему слабому здоровью не смогу прибыть сам, тоя командирую моего главного инженера м-ра Андерсена. Итак, я завтра поеду в Вашингтон, и прошу Вас дать мне письмо, о котором мы говорили. </w:t>
      </w:r>
    </w:p>
    <w:p w14:paraId="34564C32" w14:textId="77777777" w:rsidR="005E320E" w:rsidRPr="00507A31" w:rsidRDefault="005E320E" w:rsidP="00507A31">
      <w:pPr>
        <w:jc w:val="both"/>
        <w:rPr>
          <w:color w:val="000000" w:themeColor="text1"/>
          <w:sz w:val="16"/>
          <w:szCs w:val="16"/>
        </w:rPr>
      </w:pPr>
      <w:r w:rsidRPr="00507A31">
        <w:rPr>
          <w:color w:val="000000" w:themeColor="text1"/>
          <w:sz w:val="16"/>
          <w:szCs w:val="16"/>
        </w:rPr>
        <w:t xml:space="preserve">Письмо такого содержания, какое упоминалось, было напечатано и вручено м-ру Кристи за подписью тов. Гобара. </w:t>
      </w:r>
    </w:p>
    <w:p w14:paraId="6DB5E670" w14:textId="77777777" w:rsidR="005E320E" w:rsidRPr="00507A31" w:rsidRDefault="005E320E" w:rsidP="00507A31">
      <w:pPr>
        <w:jc w:val="both"/>
        <w:rPr>
          <w:color w:val="000000" w:themeColor="text1"/>
          <w:sz w:val="16"/>
          <w:szCs w:val="16"/>
        </w:rPr>
      </w:pPr>
      <w:r w:rsidRPr="00507A31">
        <w:rPr>
          <w:color w:val="000000" w:themeColor="text1"/>
          <w:sz w:val="16"/>
          <w:szCs w:val="16"/>
        </w:rPr>
        <w:t xml:space="preserve">Следующее свидание с м-ром Кристи назначено на понедельник, 21-го апреля в 1.30 м. дня. </w:t>
      </w:r>
    </w:p>
    <w:p w14:paraId="76565371" w14:textId="77777777" w:rsidR="005E320E" w:rsidRPr="00507A31" w:rsidRDefault="005E320E" w:rsidP="00507A31">
      <w:pPr>
        <w:jc w:val="both"/>
        <w:rPr>
          <w:color w:val="000000" w:themeColor="text1"/>
          <w:sz w:val="16"/>
          <w:szCs w:val="16"/>
        </w:rPr>
      </w:pPr>
      <w:r w:rsidRPr="00507A31">
        <w:rPr>
          <w:color w:val="000000" w:themeColor="text1"/>
          <w:sz w:val="16"/>
          <w:szCs w:val="16"/>
        </w:rPr>
        <w:t>Верно: подпись</w:t>
      </w:r>
    </w:p>
    <w:p w14:paraId="68CC0086" w14:textId="77777777" w:rsidR="005E320E" w:rsidRPr="00507A31" w:rsidRDefault="005E320E" w:rsidP="00507A31">
      <w:pPr>
        <w:jc w:val="both"/>
        <w:rPr>
          <w:color w:val="000000" w:themeColor="text1"/>
          <w:sz w:val="16"/>
          <w:szCs w:val="16"/>
        </w:rPr>
      </w:pPr>
      <w:r w:rsidRPr="00507A31">
        <w:rPr>
          <w:color w:val="000000" w:themeColor="text1"/>
          <w:sz w:val="16"/>
          <w:szCs w:val="16"/>
        </w:rPr>
        <w:t xml:space="preserve">МС/2-э </w:t>
      </w:r>
    </w:p>
    <w:p w14:paraId="753CF2DD" w14:textId="77777777" w:rsidR="005E320E" w:rsidRPr="00507A31" w:rsidRDefault="005E320E" w:rsidP="00507A31">
      <w:pPr>
        <w:jc w:val="both"/>
        <w:rPr>
          <w:color w:val="000000" w:themeColor="text1"/>
          <w:sz w:val="16"/>
          <w:szCs w:val="16"/>
        </w:rPr>
      </w:pPr>
      <w:r w:rsidRPr="00507A31">
        <w:rPr>
          <w:color w:val="000000" w:themeColor="text1"/>
          <w:sz w:val="16"/>
          <w:szCs w:val="16"/>
        </w:rPr>
        <w:t>г. Нью Иорк (19747).</w:t>
      </w:r>
    </w:p>
    <w:p w14:paraId="3E3DEE7D" w14:textId="77777777" w:rsidR="005E320E" w:rsidRPr="00507A31" w:rsidRDefault="005E320E" w:rsidP="00507A31">
      <w:pPr>
        <w:jc w:val="both"/>
        <w:rPr>
          <w:color w:val="000000" w:themeColor="text1"/>
          <w:sz w:val="16"/>
          <w:szCs w:val="16"/>
        </w:rPr>
      </w:pPr>
    </w:p>
    <w:p w14:paraId="68F301F5" w14:textId="77777777" w:rsidR="00AE1F68" w:rsidRPr="00507A31" w:rsidRDefault="00AE1F68" w:rsidP="00507A31">
      <w:pPr>
        <w:shd w:val="clear" w:color="auto" w:fill="FFFFFF"/>
        <w:jc w:val="both"/>
        <w:rPr>
          <w:color w:val="000000" w:themeColor="text1"/>
          <w:sz w:val="16"/>
          <w:szCs w:val="16"/>
        </w:rPr>
      </w:pPr>
      <w:r w:rsidRPr="00507A31">
        <w:rPr>
          <w:color w:val="000000" w:themeColor="text1"/>
          <w:sz w:val="16"/>
          <w:szCs w:val="16"/>
        </w:rPr>
        <w:t xml:space="preserve">18 апреля 1930 г. «театр»: волновой герой Сталин </w:t>
      </w:r>
      <w:r w:rsidRPr="00507A31">
        <w:rPr>
          <w:iCs/>
          <w:color w:val="000000" w:themeColor="text1"/>
          <w:sz w:val="16"/>
          <w:szCs w:val="16"/>
        </w:rPr>
        <w:t>неожиданно звонит Булгакову</w:t>
      </w:r>
    </w:p>
    <w:p w14:paraId="4D9EF7F5" w14:textId="77777777" w:rsidR="00AE1F68" w:rsidRPr="00507A31" w:rsidRDefault="00AE1F68" w:rsidP="00507A31">
      <w:pPr>
        <w:shd w:val="clear" w:color="auto" w:fill="FFFFFF"/>
        <w:jc w:val="both"/>
        <w:rPr>
          <w:color w:val="000000" w:themeColor="text1"/>
          <w:sz w:val="16"/>
          <w:szCs w:val="16"/>
        </w:rPr>
      </w:pPr>
      <w:r w:rsidRPr="00507A31">
        <w:rPr>
          <w:bCs/>
          <w:color w:val="000000" w:themeColor="text1"/>
          <w:sz w:val="16"/>
          <w:szCs w:val="16"/>
        </w:rPr>
        <w:t>Существуют два классических женских рассказа о разговоре между драматургом и вождем. Одно воспоминание принадлежит Любови Евгеньевне, второе – Елене Сергеевне. Белозерская: «Однажды, совершенно неожиданно, раздался телефонный звонок. Звонил из Центрального Комитета партии секретарь Сталина Товстуха. К телефону подошла я и позвала Михаила Афанасьевича, а сама занялась домашними делами. Михаил Афанасьевич взял трубку и вскоре так громко и нервно крикнул: „Любаша!“, что я опрометью бросилась к телефону (у нас были отводные от аппарата наушники). На проводе был Сталин. Он говорил глуховатым голосом, с явным грузинским акцентом и себя называл в третьем лице. „Сталин получил, Сталин прочел…“ Он предложил Булгакову: – Может быть, вы хотите уехать за границу?.. Но Михаил Афанасьевич предпочел остаться в Союзе» (17325).</w:t>
      </w:r>
    </w:p>
    <w:p w14:paraId="669B57AE" w14:textId="77777777" w:rsidR="00AE1F68" w:rsidRPr="00507A31" w:rsidRDefault="00AE1F68" w:rsidP="00507A31">
      <w:pPr>
        <w:shd w:val="clear" w:color="auto" w:fill="FFFFFF"/>
        <w:autoSpaceDE w:val="0"/>
        <w:autoSpaceDN w:val="0"/>
        <w:adjustRightInd w:val="0"/>
        <w:jc w:val="both"/>
        <w:rPr>
          <w:color w:val="000000" w:themeColor="text1"/>
          <w:sz w:val="16"/>
          <w:szCs w:val="16"/>
        </w:rPr>
      </w:pPr>
    </w:p>
    <w:p w14:paraId="707F9AB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6A5EEC31" w14:textId="77777777" w:rsidR="00537E5F" w:rsidRPr="00507A31" w:rsidRDefault="00537E5F" w:rsidP="00507A31">
      <w:pPr>
        <w:autoSpaceDE w:val="0"/>
        <w:autoSpaceDN w:val="0"/>
        <w:adjustRightInd w:val="0"/>
        <w:jc w:val="both"/>
        <w:rPr>
          <w:iCs/>
          <w:color w:val="000000" w:themeColor="text1"/>
          <w:sz w:val="16"/>
          <w:szCs w:val="16"/>
        </w:rPr>
      </w:pPr>
    </w:p>
    <w:p w14:paraId="5697F6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апреля 1930 г. в Москве был подписан текст советско-германского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(11784).</w:t>
      </w:r>
    </w:p>
    <w:p w14:paraId="1EE8EE37" w14:textId="77777777" w:rsidR="00537E5F" w:rsidRPr="00507A31" w:rsidRDefault="00537E5F" w:rsidP="00507A31">
      <w:pPr>
        <w:autoSpaceDE w:val="0"/>
        <w:autoSpaceDN w:val="0"/>
        <w:adjustRightInd w:val="0"/>
        <w:jc w:val="both"/>
        <w:rPr>
          <w:color w:val="000000" w:themeColor="text1"/>
          <w:sz w:val="16"/>
          <w:szCs w:val="16"/>
        </w:rPr>
      </w:pPr>
    </w:p>
    <w:p w14:paraId="69078114" w14:textId="77777777" w:rsidR="00C07247" w:rsidRPr="00507A31" w:rsidRDefault="00C07247" w:rsidP="00507A31">
      <w:pPr>
        <w:jc w:val="both"/>
        <w:rPr>
          <w:color w:val="000000" w:themeColor="text1"/>
          <w:sz w:val="16"/>
          <w:szCs w:val="16"/>
        </w:rPr>
      </w:pPr>
      <w:r w:rsidRPr="00507A31">
        <w:rPr>
          <w:color w:val="000000" w:themeColor="text1"/>
          <w:sz w:val="16"/>
          <w:szCs w:val="16"/>
        </w:rPr>
        <w:t xml:space="preserve">18 апреля 1930 г. в Москве был подписан текст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w:t>
      </w:r>
      <w:r w:rsidRPr="00507A31">
        <w:rPr>
          <w:color w:val="000000" w:themeColor="text1"/>
          <w:sz w:val="16"/>
          <w:szCs w:val="16"/>
        </w:rPr>
        <w:lastRenderedPageBreak/>
        <w:t>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(18265).</w:t>
      </w:r>
    </w:p>
    <w:p w14:paraId="5FEFD8F2" w14:textId="77777777" w:rsidR="00C07247" w:rsidRPr="00507A31" w:rsidRDefault="00C07247" w:rsidP="00507A31">
      <w:pPr>
        <w:jc w:val="both"/>
        <w:rPr>
          <w:color w:val="000000" w:themeColor="text1"/>
          <w:sz w:val="16"/>
          <w:szCs w:val="16"/>
        </w:rPr>
      </w:pPr>
    </w:p>
    <w:p w14:paraId="0F629F5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587CE3B" w14:textId="77777777" w:rsidR="00537E5F" w:rsidRPr="00507A31" w:rsidRDefault="00537E5F" w:rsidP="00507A31">
      <w:pPr>
        <w:autoSpaceDE w:val="0"/>
        <w:autoSpaceDN w:val="0"/>
        <w:adjustRightInd w:val="0"/>
        <w:jc w:val="both"/>
        <w:rPr>
          <w:iCs/>
          <w:color w:val="000000" w:themeColor="text1"/>
          <w:sz w:val="16"/>
          <w:szCs w:val="16"/>
        </w:rPr>
      </w:pPr>
    </w:p>
    <w:p w14:paraId="55FF90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апреля 1930 нанкинским правительством Китая было заключено соглашение о возвращении Англией концессии Вайхавея (3878,3).</w:t>
      </w:r>
    </w:p>
    <w:p w14:paraId="48540A53" w14:textId="77777777" w:rsidR="00537E5F" w:rsidRPr="00507A31" w:rsidRDefault="00537E5F" w:rsidP="00507A31">
      <w:pPr>
        <w:autoSpaceDE w:val="0"/>
        <w:autoSpaceDN w:val="0"/>
        <w:adjustRightInd w:val="0"/>
        <w:jc w:val="both"/>
        <w:rPr>
          <w:color w:val="000000" w:themeColor="text1"/>
          <w:sz w:val="16"/>
          <w:szCs w:val="16"/>
        </w:rPr>
      </w:pPr>
    </w:p>
    <w:p w14:paraId="5B1CE77F" w14:textId="77777777" w:rsidR="000E5871" w:rsidRPr="00507A31" w:rsidRDefault="000E5871" w:rsidP="00507A31">
      <w:pPr>
        <w:autoSpaceDE w:val="0"/>
        <w:autoSpaceDN w:val="0"/>
        <w:adjustRightInd w:val="0"/>
        <w:jc w:val="both"/>
        <w:rPr>
          <w:color w:val="000000" w:themeColor="text1"/>
          <w:sz w:val="16"/>
          <w:szCs w:val="16"/>
        </w:rPr>
      </w:pPr>
      <w:r w:rsidRPr="00507A31">
        <w:rPr>
          <w:color w:val="000000" w:themeColor="text1"/>
          <w:sz w:val="16"/>
          <w:szCs w:val="16"/>
        </w:rPr>
        <w:t>18 апреля 1930 г. в городе Читтагонг (восток Индии – теперь в Бангладеш) националистическая подпольная организация «</w:t>
      </w:r>
      <w:r w:rsidRPr="00507A31">
        <w:rPr>
          <w:bCs/>
          <w:iCs/>
          <w:color w:val="000000" w:themeColor="text1"/>
          <w:sz w:val="16"/>
          <w:szCs w:val="16"/>
        </w:rPr>
        <w:t>Республиканская армия Читтагонга</w:t>
      </w:r>
      <w:r w:rsidRPr="00507A31">
        <w:rPr>
          <w:color w:val="000000" w:themeColor="text1"/>
          <w:sz w:val="16"/>
          <w:szCs w:val="16"/>
        </w:rPr>
        <w:t>» под руководством лидеров Амбика Чакраварти u Сурджай Сена начала восстание. Вооруженные отряды молодежи под руководством Чакраварти и Сена захватили арсенал, казармы, железнодорожную станцию. Город на 10 дней оказался во власти восставших, правительственные силы сумели удержать только порт и вызвали подкрепления из Калькутты. Понимая, что город не удержать, отряды «Республиканской армии» ушли в горы, где еще некоторое время вели оборону, только превосходство индийско-английских войск привело восставших к поражению (17325).</w:t>
      </w:r>
    </w:p>
    <w:p w14:paraId="7EE9C8B4" w14:textId="77777777" w:rsidR="000E5871" w:rsidRPr="00507A31" w:rsidRDefault="000E5871" w:rsidP="00507A31">
      <w:pPr>
        <w:autoSpaceDE w:val="0"/>
        <w:autoSpaceDN w:val="0"/>
        <w:adjustRightInd w:val="0"/>
        <w:jc w:val="both"/>
        <w:rPr>
          <w:color w:val="000000" w:themeColor="text1"/>
          <w:sz w:val="16"/>
          <w:szCs w:val="16"/>
        </w:rPr>
      </w:pPr>
    </w:p>
    <w:p w14:paraId="69C58BD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A937B78" w14:textId="77777777" w:rsidR="00537E5F" w:rsidRPr="00507A31" w:rsidRDefault="00537E5F" w:rsidP="00507A31">
      <w:pPr>
        <w:autoSpaceDE w:val="0"/>
        <w:autoSpaceDN w:val="0"/>
        <w:adjustRightInd w:val="0"/>
        <w:jc w:val="both"/>
        <w:rPr>
          <w:iCs/>
          <w:color w:val="000000" w:themeColor="text1"/>
          <w:sz w:val="16"/>
          <w:szCs w:val="16"/>
        </w:rPr>
      </w:pPr>
    </w:p>
    <w:p w14:paraId="66F490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апреля 1930 года на аэродроме Темпельхоф в Берлине демонстрировался автомобиль с двигателем, тягу которого Риделю удалось поднять 30 килограммов. Машина двигалась с шумом, реактивная струя была красноватой и дымной, что свидетельствовало о неполном сгорании топлива. Но даже при этих проблемах автомобиль развивал скорость до 80 км/ч в течение 5 минут, замедляя и ускоряя движение, и, вообще, показал полную управляемость (11688).</w:t>
      </w:r>
    </w:p>
    <w:p w14:paraId="4F63B2A8" w14:textId="77777777" w:rsidR="00537E5F" w:rsidRPr="00507A31" w:rsidRDefault="00537E5F" w:rsidP="00507A31">
      <w:pPr>
        <w:autoSpaceDE w:val="0"/>
        <w:autoSpaceDN w:val="0"/>
        <w:adjustRightInd w:val="0"/>
        <w:jc w:val="both"/>
        <w:rPr>
          <w:color w:val="000000" w:themeColor="text1"/>
          <w:sz w:val="16"/>
          <w:szCs w:val="16"/>
        </w:rPr>
      </w:pPr>
    </w:p>
    <w:p w14:paraId="3EC9BAF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C173B39" w14:textId="77777777" w:rsidR="00537E5F" w:rsidRPr="00507A31" w:rsidRDefault="00537E5F" w:rsidP="00507A31">
      <w:pPr>
        <w:autoSpaceDE w:val="0"/>
        <w:autoSpaceDN w:val="0"/>
        <w:adjustRightInd w:val="0"/>
        <w:jc w:val="both"/>
        <w:rPr>
          <w:iCs/>
          <w:color w:val="000000" w:themeColor="text1"/>
          <w:sz w:val="16"/>
          <w:szCs w:val="16"/>
        </w:rPr>
      </w:pPr>
    </w:p>
    <w:p w14:paraId="7EF6C104" w14:textId="77777777" w:rsidR="00033868" w:rsidRPr="00507A31" w:rsidRDefault="00033868" w:rsidP="00507A31">
      <w:pPr>
        <w:jc w:val="both"/>
        <w:rPr>
          <w:color w:val="0070C0"/>
          <w:sz w:val="16"/>
          <w:szCs w:val="16"/>
        </w:rPr>
      </w:pPr>
      <w:r w:rsidRPr="00507A31">
        <w:rPr>
          <w:color w:val="0070C0"/>
          <w:sz w:val="16"/>
          <w:szCs w:val="16"/>
        </w:rPr>
        <w:t>20 апреля 1930 опросом членов ПБ</w:t>
      </w:r>
    </w:p>
    <w:p w14:paraId="5B57ADD0" w14:textId="77777777" w:rsidR="00033868" w:rsidRPr="00507A31" w:rsidRDefault="00033868" w:rsidP="00507A31">
      <w:pPr>
        <w:jc w:val="both"/>
        <w:rPr>
          <w:color w:val="0070C0"/>
          <w:sz w:val="16"/>
          <w:szCs w:val="16"/>
        </w:rPr>
      </w:pPr>
      <w:r w:rsidRPr="00507A31">
        <w:rPr>
          <w:color w:val="0070C0"/>
          <w:sz w:val="16"/>
          <w:szCs w:val="16"/>
        </w:rPr>
        <w:t>98.- Вопрос т. Ворошилова.</w:t>
      </w:r>
    </w:p>
    <w:p w14:paraId="4DB3EC0A" w14:textId="77777777" w:rsidR="00033868" w:rsidRPr="00507A31" w:rsidRDefault="00033868" w:rsidP="00507A31">
      <w:pPr>
        <w:jc w:val="both"/>
        <w:rPr>
          <w:color w:val="0070C0"/>
          <w:sz w:val="16"/>
          <w:szCs w:val="16"/>
        </w:rPr>
      </w:pPr>
      <w:r w:rsidRPr="00507A31">
        <w:rPr>
          <w:color w:val="0070C0"/>
          <w:sz w:val="16"/>
          <w:szCs w:val="16"/>
        </w:rPr>
        <w:t>(ПБ от 15.1.30 г., пр. № 113, П.11-Д).</w:t>
      </w:r>
    </w:p>
    <w:p w14:paraId="0A730F8E" w14:textId="77777777" w:rsidR="00033868" w:rsidRPr="00507A31" w:rsidRDefault="00033868" w:rsidP="00507A31">
      <w:pPr>
        <w:jc w:val="both"/>
        <w:rPr>
          <w:color w:val="0070C0"/>
          <w:sz w:val="16"/>
          <w:szCs w:val="16"/>
        </w:rPr>
      </w:pPr>
      <w:r w:rsidRPr="00507A31">
        <w:rPr>
          <w:color w:val="0070C0"/>
          <w:sz w:val="16"/>
          <w:szCs w:val="16"/>
        </w:rPr>
        <w:t>(т.Ворошилов).</w:t>
      </w:r>
    </w:p>
    <w:p w14:paraId="7B287ED8" w14:textId="77777777" w:rsidR="00033868" w:rsidRPr="00507A31" w:rsidRDefault="00033868" w:rsidP="00507A31">
      <w:pPr>
        <w:jc w:val="both"/>
        <w:rPr>
          <w:color w:val="0070C0"/>
          <w:sz w:val="16"/>
          <w:szCs w:val="16"/>
        </w:rPr>
      </w:pPr>
      <w:r w:rsidRPr="00507A31">
        <w:rPr>
          <w:color w:val="0070C0"/>
          <w:sz w:val="16"/>
          <w:szCs w:val="16"/>
        </w:rPr>
        <w:t>Удовлетворить просьбу т. Ворошилова об отсрочке доклада об упорядочении и ускорении конструкторских работ по воору</w:t>
      </w:r>
      <w:r w:rsidRPr="00507A31">
        <w:rPr>
          <w:color w:val="0070C0"/>
          <w:sz w:val="16"/>
          <w:szCs w:val="16"/>
        </w:rPr>
        <w:softHyphen/>
        <w:t>жению до 15.У1. с.г.</w:t>
      </w:r>
    </w:p>
    <w:p w14:paraId="5B971084" w14:textId="77777777" w:rsidR="00033868" w:rsidRPr="00507A31" w:rsidRDefault="00033868" w:rsidP="00507A31">
      <w:pPr>
        <w:jc w:val="both"/>
        <w:rPr>
          <w:color w:val="0070C0"/>
          <w:sz w:val="16"/>
          <w:szCs w:val="16"/>
        </w:rPr>
      </w:pPr>
      <w:r w:rsidRPr="00507A31">
        <w:rPr>
          <w:color w:val="0070C0"/>
          <w:sz w:val="16"/>
          <w:szCs w:val="16"/>
        </w:rPr>
        <w:t>Выписка послана: т. Ворошилову</w:t>
      </w:r>
    </w:p>
    <w:p w14:paraId="4D616F18" w14:textId="77777777" w:rsidR="00033868" w:rsidRPr="00507A31" w:rsidRDefault="00033868" w:rsidP="00507A31">
      <w:pPr>
        <w:jc w:val="both"/>
        <w:rPr>
          <w:color w:val="0070C0"/>
          <w:sz w:val="16"/>
          <w:szCs w:val="16"/>
        </w:rPr>
      </w:pPr>
      <w:r w:rsidRPr="00507A31">
        <w:rPr>
          <w:color w:val="0070C0"/>
          <w:sz w:val="16"/>
          <w:szCs w:val="16"/>
        </w:rPr>
        <w:t>25 апреля 1930 состоялось заседание ПБ (Протокол № 124. Особый № 122) (23107).</w:t>
      </w:r>
    </w:p>
    <w:p w14:paraId="2DEFCF13" w14:textId="77777777" w:rsidR="00033868" w:rsidRPr="00507A31" w:rsidRDefault="00033868" w:rsidP="00507A31">
      <w:pPr>
        <w:jc w:val="both"/>
        <w:rPr>
          <w:color w:val="0070C0"/>
          <w:sz w:val="16"/>
          <w:szCs w:val="16"/>
        </w:rPr>
      </w:pPr>
    </w:p>
    <w:p w14:paraId="63E7E032" w14:textId="77777777" w:rsidR="00033868" w:rsidRPr="00507A31" w:rsidRDefault="00033868" w:rsidP="00507A31">
      <w:pPr>
        <w:jc w:val="both"/>
        <w:rPr>
          <w:color w:val="0070C0"/>
          <w:sz w:val="16"/>
          <w:szCs w:val="16"/>
        </w:rPr>
      </w:pPr>
      <w:r w:rsidRPr="00507A31">
        <w:rPr>
          <w:color w:val="0070C0"/>
          <w:sz w:val="16"/>
          <w:szCs w:val="16"/>
        </w:rPr>
        <w:t>20 апреля 1930 опросом членов ПБ</w:t>
      </w:r>
    </w:p>
    <w:p w14:paraId="5190C544" w14:textId="77777777" w:rsidR="00033868" w:rsidRPr="00507A31" w:rsidRDefault="00033868" w:rsidP="00507A31">
      <w:pPr>
        <w:jc w:val="both"/>
        <w:rPr>
          <w:color w:val="0070C0"/>
          <w:sz w:val="16"/>
          <w:szCs w:val="16"/>
        </w:rPr>
      </w:pPr>
      <w:r w:rsidRPr="00507A31">
        <w:rPr>
          <w:color w:val="0070C0"/>
          <w:sz w:val="16"/>
          <w:szCs w:val="16"/>
        </w:rPr>
        <w:t>41.- О переговорах с Виккерс.</w:t>
      </w:r>
    </w:p>
    <w:p w14:paraId="39EC9925" w14:textId="77777777" w:rsidR="00033868" w:rsidRPr="00507A31" w:rsidRDefault="00033868" w:rsidP="00507A31">
      <w:pPr>
        <w:jc w:val="both"/>
        <w:rPr>
          <w:color w:val="0070C0"/>
          <w:sz w:val="16"/>
          <w:szCs w:val="16"/>
        </w:rPr>
      </w:pPr>
      <w:r w:rsidRPr="00507A31">
        <w:rPr>
          <w:color w:val="0070C0"/>
          <w:sz w:val="16"/>
          <w:szCs w:val="16"/>
        </w:rPr>
        <w:t>(т. Микоян).</w:t>
      </w:r>
    </w:p>
    <w:p w14:paraId="44BBF94E" w14:textId="77777777" w:rsidR="00033868" w:rsidRPr="00507A31" w:rsidRDefault="00033868" w:rsidP="00507A31">
      <w:pPr>
        <w:jc w:val="both"/>
        <w:rPr>
          <w:color w:val="0070C0"/>
          <w:sz w:val="16"/>
          <w:szCs w:val="16"/>
        </w:rPr>
      </w:pPr>
      <w:r w:rsidRPr="00507A31">
        <w:rPr>
          <w:color w:val="0070C0"/>
          <w:sz w:val="16"/>
          <w:szCs w:val="16"/>
        </w:rPr>
        <w:t>а) Признать возможным заключение договора с "Виккерсом" на 4 года, с тем, чтобы первая поставка тракторов была к декабрю 1931 года в размере 1000 штук, вторая - к декабрю 1932 г. - 2500 шт., третья - к декабрю 193с г.- 2500 шт., четвертая - к декабрю 1934 г.- 2500 шт.</w:t>
      </w:r>
    </w:p>
    <w:p w14:paraId="7A580F82" w14:textId="77777777" w:rsidR="00033868" w:rsidRPr="00507A31" w:rsidRDefault="00033868" w:rsidP="00507A31">
      <w:pPr>
        <w:jc w:val="both"/>
        <w:rPr>
          <w:color w:val="0070C0"/>
          <w:sz w:val="16"/>
          <w:szCs w:val="16"/>
        </w:rPr>
      </w:pPr>
      <w:r w:rsidRPr="00507A31">
        <w:rPr>
          <w:color w:val="0070C0"/>
          <w:sz w:val="16"/>
          <w:szCs w:val="16"/>
        </w:rPr>
        <w:t>б) Платежи производить за каждую партию полученных трак</w:t>
      </w:r>
      <w:r w:rsidRPr="00507A31">
        <w:rPr>
          <w:color w:val="0070C0"/>
          <w:sz w:val="16"/>
          <w:szCs w:val="16"/>
        </w:rPr>
        <w:softHyphen/>
        <w:t>торов равными долями в 3 срока: первый - через 12 месяцев, второй - через 24 месяца и третий - через 36 месяцев.</w:t>
      </w:r>
    </w:p>
    <w:p w14:paraId="1F57D6D4" w14:textId="77777777" w:rsidR="00033868" w:rsidRPr="00507A31" w:rsidRDefault="00033868" w:rsidP="00507A31">
      <w:pPr>
        <w:jc w:val="both"/>
        <w:rPr>
          <w:color w:val="0070C0"/>
          <w:sz w:val="16"/>
          <w:szCs w:val="16"/>
        </w:rPr>
      </w:pPr>
      <w:r w:rsidRPr="00507A31">
        <w:rPr>
          <w:color w:val="0070C0"/>
          <w:sz w:val="16"/>
          <w:szCs w:val="16"/>
        </w:rPr>
        <w:t>Выписка послана: т. Микояну</w:t>
      </w:r>
    </w:p>
    <w:p w14:paraId="07D94C60" w14:textId="77777777" w:rsidR="00033868" w:rsidRPr="00507A31" w:rsidRDefault="00033868" w:rsidP="00507A31">
      <w:pPr>
        <w:jc w:val="both"/>
        <w:rPr>
          <w:color w:val="0070C0"/>
          <w:sz w:val="16"/>
          <w:szCs w:val="16"/>
        </w:rPr>
      </w:pPr>
      <w:r w:rsidRPr="00507A31">
        <w:rPr>
          <w:color w:val="0070C0"/>
          <w:sz w:val="16"/>
          <w:szCs w:val="16"/>
        </w:rPr>
        <w:t>5 мая 1930 состоялось заседание ПБ (Протокол № 125. Особый № 123) (23108).</w:t>
      </w:r>
    </w:p>
    <w:p w14:paraId="3653ABAF" w14:textId="77777777" w:rsidR="00033868" w:rsidRPr="00507A31" w:rsidRDefault="00033868" w:rsidP="00507A31">
      <w:pPr>
        <w:jc w:val="both"/>
        <w:rPr>
          <w:color w:val="0070C0"/>
          <w:sz w:val="16"/>
          <w:szCs w:val="16"/>
        </w:rPr>
      </w:pPr>
    </w:p>
    <w:p w14:paraId="0770E7A8" w14:textId="77777777" w:rsidR="00033868" w:rsidRPr="00507A31" w:rsidRDefault="00033868" w:rsidP="00507A31">
      <w:pPr>
        <w:pStyle w:val="article-renderblock"/>
        <w:shd w:val="clear" w:color="auto" w:fill="FFFFFF"/>
        <w:spacing w:before="0" w:beforeAutospacing="0" w:after="0" w:afterAutospacing="0"/>
        <w:jc w:val="both"/>
        <w:rPr>
          <w:color w:val="0070C0"/>
          <w:sz w:val="16"/>
          <w:szCs w:val="16"/>
        </w:rPr>
      </w:pPr>
      <w:r w:rsidRPr="00507A31">
        <w:rPr>
          <w:color w:val="0070C0"/>
          <w:sz w:val="16"/>
          <w:szCs w:val="16"/>
        </w:rPr>
        <w:t>20 апреля 1930 года танк Т-19 был представлен в окончательном виде. Судя по всему, именно в этот момент Т-19 получил ту самую ходовую часть, которую изготовили в металле. Ее обозначили как "ходовая часть завода "Большевик"", но на самом деле ее подсмотрели у французского танка Renault NC-27, который как раз в конце 20-х годов стали рекламировать на экспорт. Кстати говоря, закупочная комиссия Халепского собиралась приобрести такой танк, но французы отказали. Танк получил свечную подвеску, а также по 12 опорных катков на борт. Катки сгруппировали в в тележки по 2 пары на каждую группу. При этом, в отличие от французов, на "Большевике" не стали делать дополнительные катки для смягчения ударов при преодолении сложной местности. Как бы это сказалось на надежности и плавности подвески, вопрос открытый. Кстати, для подстраховки второй экземпляр Т-19 строили с ходовой частью ГКБ ОАТ, то есть по типу Т-20. Корпус танка стал существенно длиннее Т-18 (4500 мм против 3470 мм) и шире (1500 мм против 1100 мм). Это было связано как с более крупным мотором, так и с расширением отделения управления. Для механика-водителя и пулеметчика сделали отдельные "рубки", при этом вход осуществлялся через большой люк в верхнем лобовом листе корпуса. В доработанной версии танка мощность мотора увеличили до 100 л.с., а скорость - до 30,5 км/ч. Примерно в то же время Т-19 начали рассматривать как база для самоходных артиллерийских установок. В частности, предполагалась установка 76-мм полковой пушки с круговым обстрелом, счетверенной пулеметной зенитной установки, а также 37-мм спаренных зенитных пушек. В списке опытных работ значился и трактор на том же шасси (20842).</w:t>
      </w:r>
    </w:p>
    <w:p w14:paraId="1173C54B" w14:textId="77777777" w:rsidR="00033868" w:rsidRPr="00507A31" w:rsidRDefault="00033868" w:rsidP="00507A31">
      <w:pPr>
        <w:shd w:val="clear" w:color="auto" w:fill="FFFFFF"/>
        <w:jc w:val="both"/>
        <w:rPr>
          <w:color w:val="0070C0"/>
          <w:sz w:val="16"/>
          <w:szCs w:val="16"/>
        </w:rPr>
      </w:pPr>
    </w:p>
    <w:p w14:paraId="0247E635" w14:textId="77777777" w:rsidR="002B17E4" w:rsidRPr="00507A31" w:rsidRDefault="002B17E4" w:rsidP="00507A31">
      <w:pPr>
        <w:jc w:val="both"/>
        <w:rPr>
          <w:color w:val="000000" w:themeColor="text1"/>
          <w:sz w:val="16"/>
          <w:szCs w:val="16"/>
          <w:u w:color="002060"/>
        </w:rPr>
      </w:pPr>
      <w:r w:rsidRPr="00507A31">
        <w:rPr>
          <w:color w:val="000000" w:themeColor="text1"/>
          <w:sz w:val="16"/>
          <w:szCs w:val="16"/>
          <w:u w:color="002060"/>
        </w:rPr>
        <w:t>20 апреля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об обеспечении проработки всех стандартов под углом зрения обороны (РГАЭ. Ф. 3429. Оп. 11. Д. 3. Л. 64) (12415).</w:t>
      </w:r>
    </w:p>
    <w:p w14:paraId="1B573355" w14:textId="77777777" w:rsidR="002B17E4" w:rsidRPr="00507A31" w:rsidRDefault="002B17E4" w:rsidP="00507A31">
      <w:pPr>
        <w:jc w:val="both"/>
        <w:rPr>
          <w:color w:val="000000" w:themeColor="text1"/>
          <w:sz w:val="16"/>
          <w:szCs w:val="16"/>
          <w:u w:color="002060"/>
        </w:rPr>
      </w:pPr>
    </w:p>
    <w:p w14:paraId="7B5900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апреля 1930 было подготовлено письмо № 4946 в Управление военизированной охраны военной промышленности на № 5211 от 9 апреля 1930:</w:t>
      </w:r>
    </w:p>
    <w:p w14:paraId="2077D6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Сообщаю местонахождение и почтовые адреса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338"/>
        <w:gridCol w:w="5338"/>
      </w:tblGrid>
      <w:tr w:rsidR="00E371BA" w:rsidRPr="00507A31" w14:paraId="5B3E3406" w14:textId="77777777">
        <w:tc>
          <w:tcPr>
            <w:tcW w:w="534" w:type="dxa"/>
            <w:tcBorders>
              <w:top w:val="single" w:sz="12" w:space="0" w:color="auto"/>
            </w:tcBorders>
          </w:tcPr>
          <w:p w14:paraId="30794B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5338" w:type="dxa"/>
            <w:tcBorders>
              <w:top w:val="single" w:sz="12" w:space="0" w:color="auto"/>
            </w:tcBorders>
          </w:tcPr>
          <w:p w14:paraId="3845AD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Краснознаменец</w:t>
            </w:r>
          </w:p>
        </w:tc>
        <w:tc>
          <w:tcPr>
            <w:tcW w:w="5338" w:type="dxa"/>
            <w:tcBorders>
              <w:top w:val="single" w:sz="12" w:space="0" w:color="auto"/>
            </w:tcBorders>
          </w:tcPr>
          <w:p w14:paraId="642785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30-е почт. отделение, п/я № 1</w:t>
            </w:r>
          </w:p>
        </w:tc>
      </w:tr>
      <w:tr w:rsidR="00E371BA" w:rsidRPr="00507A31" w14:paraId="159EB643" w14:textId="77777777">
        <w:tc>
          <w:tcPr>
            <w:tcW w:w="534" w:type="dxa"/>
          </w:tcPr>
          <w:p w14:paraId="7C5EAF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5338" w:type="dxa"/>
          </w:tcPr>
          <w:p w14:paraId="577C11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Косякова</w:t>
            </w:r>
          </w:p>
        </w:tc>
        <w:tc>
          <w:tcPr>
            <w:tcW w:w="5338" w:type="dxa"/>
          </w:tcPr>
          <w:p w14:paraId="4DC4E5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 Рошаль Моск. губ., почт ящ. № 3</w:t>
            </w:r>
          </w:p>
        </w:tc>
      </w:tr>
      <w:tr w:rsidR="00E371BA" w:rsidRPr="00507A31" w14:paraId="33EC5EF1" w14:textId="77777777">
        <w:tc>
          <w:tcPr>
            <w:tcW w:w="534" w:type="dxa"/>
          </w:tcPr>
          <w:p w14:paraId="04C2ED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5338" w:type="dxa"/>
          </w:tcPr>
          <w:p w14:paraId="4523D3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Богородский завод № 12</w:t>
            </w:r>
          </w:p>
        </w:tc>
        <w:tc>
          <w:tcPr>
            <w:tcW w:w="5338" w:type="dxa"/>
          </w:tcPr>
          <w:p w14:paraId="0A81E2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Богородск, Моск. губ., почт. ящ. № 1</w:t>
            </w:r>
          </w:p>
        </w:tc>
      </w:tr>
      <w:tr w:rsidR="00E371BA" w:rsidRPr="00507A31" w14:paraId="09D47841" w14:textId="77777777">
        <w:tc>
          <w:tcPr>
            <w:tcW w:w="534" w:type="dxa"/>
          </w:tcPr>
          <w:p w14:paraId="0E0315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5338" w:type="dxa"/>
          </w:tcPr>
          <w:p w14:paraId="274F25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Ленина № 40</w:t>
            </w:r>
          </w:p>
        </w:tc>
        <w:tc>
          <w:tcPr>
            <w:tcW w:w="5338" w:type="dxa"/>
          </w:tcPr>
          <w:p w14:paraId="2253F4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Казань, Почт. ящ. № 101.</w:t>
            </w:r>
          </w:p>
        </w:tc>
      </w:tr>
      <w:tr w:rsidR="00E371BA" w:rsidRPr="00507A31" w14:paraId="6B872511" w14:textId="77777777">
        <w:tc>
          <w:tcPr>
            <w:tcW w:w="534" w:type="dxa"/>
          </w:tcPr>
          <w:p w14:paraId="3715FE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5338" w:type="dxa"/>
          </w:tcPr>
          <w:p w14:paraId="61DADA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Я. СВЕРДЛОВА № 80</w:t>
            </w:r>
          </w:p>
        </w:tc>
        <w:tc>
          <w:tcPr>
            <w:tcW w:w="5338" w:type="dxa"/>
          </w:tcPr>
          <w:p w14:paraId="240B96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Растяпино, почт. Ящ. № 5</w:t>
            </w:r>
          </w:p>
        </w:tc>
      </w:tr>
      <w:tr w:rsidR="00E371BA" w:rsidRPr="00507A31" w14:paraId="5DE037CB" w14:textId="77777777">
        <w:tc>
          <w:tcPr>
            <w:tcW w:w="534" w:type="dxa"/>
          </w:tcPr>
          <w:p w14:paraId="3AA5E2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5338" w:type="dxa"/>
          </w:tcPr>
          <w:p w14:paraId="08F132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Шостенский завод № 9</w:t>
            </w:r>
          </w:p>
        </w:tc>
        <w:tc>
          <w:tcPr>
            <w:tcW w:w="5338" w:type="dxa"/>
          </w:tcPr>
          <w:p w14:paraId="2822E6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г.Шостка Шостенск. Губ., Отд. связи</w:t>
            </w:r>
          </w:p>
        </w:tc>
      </w:tr>
      <w:tr w:rsidR="00E371BA" w:rsidRPr="00507A31" w14:paraId="1F6AB2EB" w14:textId="77777777">
        <w:tc>
          <w:tcPr>
            <w:tcW w:w="534" w:type="dxa"/>
          </w:tcPr>
          <w:p w14:paraId="7DC953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5338" w:type="dxa"/>
          </w:tcPr>
          <w:p w14:paraId="2FA80A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ШЛИССЕЛЬБУРГСКИЙ , завод им. Морозова.</w:t>
            </w:r>
          </w:p>
        </w:tc>
        <w:tc>
          <w:tcPr>
            <w:tcW w:w="5338" w:type="dxa"/>
          </w:tcPr>
          <w:p w14:paraId="5CAE22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Шлиссельбург з-д им. Морозова, ст. Дунай Ириновск. Линии Окт. ж/д</w:t>
            </w:r>
          </w:p>
        </w:tc>
      </w:tr>
      <w:tr w:rsidR="00E371BA" w:rsidRPr="00507A31" w14:paraId="50A2F9B3" w14:textId="77777777">
        <w:tc>
          <w:tcPr>
            <w:tcW w:w="534" w:type="dxa"/>
          </w:tcPr>
          <w:p w14:paraId="5B5EB1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5338" w:type="dxa"/>
          </w:tcPr>
          <w:p w14:paraId="5AD0E8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 им. Володарского</w:t>
            </w:r>
          </w:p>
        </w:tc>
        <w:tc>
          <w:tcPr>
            <w:tcW w:w="5338" w:type="dxa"/>
          </w:tcPr>
          <w:p w14:paraId="1B8176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Ульяновск, почтов. ящ. № 19</w:t>
            </w:r>
          </w:p>
        </w:tc>
      </w:tr>
      <w:tr w:rsidR="00E371BA" w:rsidRPr="00507A31" w14:paraId="4DA4BCAE" w14:textId="77777777">
        <w:tc>
          <w:tcPr>
            <w:tcW w:w="534" w:type="dxa"/>
          </w:tcPr>
          <w:p w14:paraId="175230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tc>
        <w:tc>
          <w:tcPr>
            <w:tcW w:w="5338" w:type="dxa"/>
          </w:tcPr>
          <w:p w14:paraId="471D79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60</w:t>
            </w:r>
          </w:p>
        </w:tc>
        <w:tc>
          <w:tcPr>
            <w:tcW w:w="5338" w:type="dxa"/>
          </w:tcPr>
          <w:p w14:paraId="50DD1C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Луганск, п/я</w:t>
            </w:r>
          </w:p>
        </w:tc>
      </w:tr>
      <w:tr w:rsidR="00E371BA" w:rsidRPr="00507A31" w14:paraId="1120DB8C" w14:textId="77777777">
        <w:tc>
          <w:tcPr>
            <w:tcW w:w="534" w:type="dxa"/>
          </w:tcPr>
          <w:p w14:paraId="43E72B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5338" w:type="dxa"/>
          </w:tcPr>
          <w:p w14:paraId="167391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 им. Всероссийского старосты т. Калинина</w:t>
            </w:r>
          </w:p>
        </w:tc>
        <w:tc>
          <w:tcPr>
            <w:tcW w:w="5338" w:type="dxa"/>
          </w:tcPr>
          <w:p w14:paraId="6A95D5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почт. ящ. № 18</w:t>
            </w:r>
          </w:p>
        </w:tc>
      </w:tr>
      <w:tr w:rsidR="00E371BA" w:rsidRPr="00507A31" w14:paraId="6EBE949E" w14:textId="77777777">
        <w:tc>
          <w:tcPr>
            <w:tcW w:w="534" w:type="dxa"/>
          </w:tcPr>
          <w:p w14:paraId="349351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w:t>
            </w:r>
          </w:p>
        </w:tc>
        <w:tc>
          <w:tcPr>
            <w:tcW w:w="5338" w:type="dxa"/>
          </w:tcPr>
          <w:p w14:paraId="12A73B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42 им. Масленникова</w:t>
            </w:r>
          </w:p>
        </w:tc>
        <w:tc>
          <w:tcPr>
            <w:tcW w:w="5338" w:type="dxa"/>
          </w:tcPr>
          <w:p w14:paraId="34990E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Самара, почт.ящ. № 59</w:t>
            </w:r>
          </w:p>
        </w:tc>
      </w:tr>
      <w:tr w:rsidR="00E371BA" w:rsidRPr="00507A31" w14:paraId="0DA130E5" w14:textId="77777777">
        <w:tc>
          <w:tcPr>
            <w:tcW w:w="534" w:type="dxa"/>
            <w:tcBorders>
              <w:bottom w:val="single" w:sz="12" w:space="0" w:color="auto"/>
            </w:tcBorders>
          </w:tcPr>
          <w:p w14:paraId="205872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w:t>
            </w:r>
          </w:p>
        </w:tc>
        <w:tc>
          <w:tcPr>
            <w:tcW w:w="5338" w:type="dxa"/>
            <w:tcBorders>
              <w:bottom w:val="single" w:sz="12" w:space="0" w:color="auto"/>
            </w:tcBorders>
          </w:tcPr>
          <w:p w14:paraId="7C38F0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50 именуется Пензенский велосипедный завод.</w:t>
            </w:r>
          </w:p>
        </w:tc>
        <w:tc>
          <w:tcPr>
            <w:tcW w:w="5338" w:type="dxa"/>
            <w:tcBorders>
              <w:bottom w:val="single" w:sz="12" w:space="0" w:color="auto"/>
            </w:tcBorders>
          </w:tcPr>
          <w:p w14:paraId="2F73EE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Пенза, почтов. ящ. № 25</w:t>
            </w:r>
          </w:p>
        </w:tc>
      </w:tr>
    </w:tbl>
    <w:p w14:paraId="7BDD89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Остальные заводы в Объединение Оруд.-Оруж.-Пулеметных заводов не входят и адресов у нас не имеется (8826,52).</w:t>
      </w:r>
    </w:p>
    <w:p w14:paraId="7CE8123A" w14:textId="77777777" w:rsidR="00537E5F" w:rsidRPr="00507A31" w:rsidRDefault="00537E5F" w:rsidP="00507A31">
      <w:pPr>
        <w:autoSpaceDE w:val="0"/>
        <w:autoSpaceDN w:val="0"/>
        <w:adjustRightInd w:val="0"/>
        <w:jc w:val="both"/>
        <w:rPr>
          <w:color w:val="000000" w:themeColor="text1"/>
          <w:sz w:val="16"/>
          <w:szCs w:val="16"/>
        </w:rPr>
      </w:pPr>
    </w:p>
    <w:p w14:paraId="6E10262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C9422A5" w14:textId="77777777" w:rsidR="00537E5F" w:rsidRPr="00507A31" w:rsidRDefault="00537E5F" w:rsidP="00507A31">
      <w:pPr>
        <w:autoSpaceDE w:val="0"/>
        <w:autoSpaceDN w:val="0"/>
        <w:adjustRightInd w:val="0"/>
        <w:jc w:val="both"/>
        <w:rPr>
          <w:iCs/>
          <w:color w:val="000000" w:themeColor="text1"/>
          <w:sz w:val="16"/>
          <w:szCs w:val="16"/>
        </w:rPr>
      </w:pPr>
    </w:p>
    <w:p w14:paraId="5A01FF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апреля 1930 года помощник секретаря РВСС Орлов писал письмо № 02985сс начальнику ВВС Баранову П.И.</w:t>
      </w:r>
    </w:p>
    <w:p w14:paraId="19B804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Вашей записке от 15 апреля 1930 года о строительстве ВВС нарком и председатель РВСС Ворошилов наложил следующую резолюцию: "Сколько будут стоить предполагаемые к закупке моторы; кем заменить нынешнее руководство Авиатреста; какими мерами можно осуществить действительное использование заграничной техпомощи? Вот вопросы, которые записка ставит, а ответов не дает. Ворошилов 18 апреля 1930 года" (7414, 13).</w:t>
      </w:r>
    </w:p>
    <w:p w14:paraId="439638C1" w14:textId="77777777" w:rsidR="00537E5F" w:rsidRPr="00507A31" w:rsidRDefault="00537E5F" w:rsidP="00507A31">
      <w:pPr>
        <w:autoSpaceDE w:val="0"/>
        <w:autoSpaceDN w:val="0"/>
        <w:adjustRightInd w:val="0"/>
        <w:jc w:val="both"/>
        <w:rPr>
          <w:color w:val="000000" w:themeColor="text1"/>
          <w:sz w:val="16"/>
          <w:szCs w:val="16"/>
        </w:rPr>
      </w:pPr>
    </w:p>
    <w:p w14:paraId="750C1AA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C677100" w14:textId="77777777" w:rsidR="00537E5F" w:rsidRPr="00507A31" w:rsidRDefault="00537E5F" w:rsidP="00507A31">
      <w:pPr>
        <w:autoSpaceDE w:val="0"/>
        <w:autoSpaceDN w:val="0"/>
        <w:adjustRightInd w:val="0"/>
        <w:jc w:val="both"/>
        <w:rPr>
          <w:iCs/>
          <w:color w:val="000000" w:themeColor="text1"/>
          <w:sz w:val="16"/>
          <w:szCs w:val="16"/>
        </w:rPr>
      </w:pPr>
    </w:p>
    <w:p w14:paraId="576702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апреля 1930 был рассмотрен и одобрен макет 76.2 мм танковой пушки ПС-19 (А-19) конструкции П.Сячентова для танка Э.Гроте (4658, 21).</w:t>
      </w:r>
    </w:p>
    <w:p w14:paraId="25D46843" w14:textId="77777777" w:rsidR="00537E5F" w:rsidRPr="00507A31" w:rsidRDefault="00537E5F" w:rsidP="00507A31">
      <w:pPr>
        <w:autoSpaceDE w:val="0"/>
        <w:autoSpaceDN w:val="0"/>
        <w:adjustRightInd w:val="0"/>
        <w:jc w:val="both"/>
        <w:rPr>
          <w:color w:val="000000" w:themeColor="text1"/>
          <w:sz w:val="16"/>
          <w:szCs w:val="16"/>
        </w:rPr>
      </w:pPr>
    </w:p>
    <w:p w14:paraId="60B09E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 апреля 1930 г. рассмотрели и одобрили также макет 76,2-мм танковой пушки ПС-19 (А-19) конструкции П. Сячинтова для танка Гротте. Правда, с орудием возникли некоторые труднос</w:t>
      </w:r>
      <w:r w:rsidRPr="00507A31">
        <w:rPr>
          <w:color w:val="000000" w:themeColor="text1"/>
          <w:sz w:val="16"/>
          <w:szCs w:val="16"/>
        </w:rPr>
        <w:softHyphen/>
        <w:t>ти, так как конструктор, чтобы вписаться в требуемые габа</w:t>
      </w:r>
      <w:r w:rsidRPr="00507A31">
        <w:rPr>
          <w:color w:val="000000" w:themeColor="text1"/>
          <w:sz w:val="16"/>
          <w:szCs w:val="16"/>
        </w:rPr>
        <w:softHyphen/>
        <w:t>риты и вес, применил дульный тормоз, использование ко</w:t>
      </w:r>
      <w:r w:rsidRPr="00507A31">
        <w:rPr>
          <w:color w:val="000000" w:themeColor="text1"/>
          <w:sz w:val="16"/>
          <w:szCs w:val="16"/>
        </w:rPr>
        <w:softHyphen/>
        <w:t>торого всячески не приветствовалось руководством РККА. Изготовление нового танка, получившего индекс ТГ, велось в обстановке глубокой секретности. За проведением работ непосредственно наблюдали представители РВС и правительства СССР. Особое внимание танку уделял на</w:t>
      </w:r>
      <w:r w:rsidRPr="00507A31">
        <w:rPr>
          <w:color w:val="000000" w:themeColor="text1"/>
          <w:sz w:val="16"/>
          <w:szCs w:val="16"/>
        </w:rPr>
        <w:softHyphen/>
        <w:t xml:space="preserve">чальник УММ Халепский, который был просто очарован </w:t>
      </w:r>
      <w:r w:rsidRPr="00507A31">
        <w:rPr>
          <w:color w:val="000000" w:themeColor="text1"/>
          <w:sz w:val="16"/>
          <w:szCs w:val="16"/>
        </w:rPr>
        <w:lastRenderedPageBreak/>
        <w:t>его конструкцией. Практически забросив все другие перс</w:t>
      </w:r>
      <w:r w:rsidRPr="00507A31">
        <w:rPr>
          <w:color w:val="000000" w:themeColor="text1"/>
          <w:sz w:val="16"/>
          <w:szCs w:val="16"/>
        </w:rPr>
        <w:softHyphen/>
        <w:t>пективные конструкции, он дал танку Гроте «зеленую ули</w:t>
      </w:r>
      <w:r w:rsidRPr="00507A31">
        <w:rPr>
          <w:color w:val="000000" w:themeColor="text1"/>
          <w:sz w:val="16"/>
          <w:szCs w:val="16"/>
        </w:rPr>
        <w:softHyphen/>
        <w:t>цу», направляя для его разработки и изготовления все вы</w:t>
      </w:r>
      <w:r w:rsidRPr="00507A31">
        <w:rPr>
          <w:color w:val="000000" w:themeColor="text1"/>
          <w:sz w:val="16"/>
          <w:szCs w:val="16"/>
        </w:rPr>
        <w:softHyphen/>
        <w:t>деляемые средства, не считаясь с их размерами (10733,244).</w:t>
      </w:r>
    </w:p>
    <w:p w14:paraId="72B66A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B192D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 апреля 1930 г. в Москве состоялось советско-германс</w:t>
      </w:r>
      <w:r w:rsidRPr="00507A31">
        <w:rPr>
          <w:color w:val="000000" w:themeColor="text1"/>
          <w:sz w:val="16"/>
          <w:szCs w:val="16"/>
        </w:rPr>
        <w:softHyphen/>
        <w:t>кое совещание, посвященное планам работы КБ-2. Вел сове</w:t>
      </w:r>
      <w:r w:rsidRPr="00507A31">
        <w:rPr>
          <w:color w:val="000000" w:themeColor="text1"/>
          <w:sz w:val="16"/>
          <w:szCs w:val="16"/>
        </w:rPr>
        <w:softHyphen/>
        <w:t>щание заместитель председателя Реввоенсовета И. П. Уборевич. Совещание постановило «В семидневный срок товарищу Нейману и 20 инженерам фирмы «Рейнметалл» отобрать фамилии 20 наших инженеров, в т. ч. 6 от Военведа, для укомплектования КБ. Надо 100 чертежников, в т. ч. 50% чертежников-конструкторов. Утвердить ориентировочную работу:</w:t>
      </w:r>
    </w:p>
    <w:p w14:paraId="6FE892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305-мм тяжелая полевая гаубица;</w:t>
      </w:r>
    </w:p>
    <w:p w14:paraId="485BBE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122-мм полевая гаубица;</w:t>
      </w:r>
    </w:p>
    <w:p w14:paraId="02BACA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107—122-мм тяжелые зенитные пушки;</w:t>
      </w:r>
    </w:p>
    <w:p w14:paraId="52E61B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76-мм танковая пушка;</w:t>
      </w:r>
    </w:p>
    <w:p w14:paraId="60C95C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203-мм мортира;</w:t>
      </w:r>
    </w:p>
    <w:p w14:paraId="27E284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152-мм пушка;</w:t>
      </w:r>
    </w:p>
    <w:p w14:paraId="37F51A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20-и 37-мм зенитные автоматы.</w:t>
      </w:r>
    </w:p>
    <w:p w14:paraId="50FBC3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Полное развертывание работ КБ считать с 15.06 по 1.7.30 (10670,212).</w:t>
      </w:r>
    </w:p>
    <w:p w14:paraId="6593EA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6A5F420" w14:textId="77777777" w:rsidR="00C07247" w:rsidRPr="00507A31" w:rsidRDefault="00C07247" w:rsidP="00507A31">
      <w:pPr>
        <w:jc w:val="both"/>
        <w:rPr>
          <w:color w:val="000000" w:themeColor="text1"/>
          <w:sz w:val="16"/>
          <w:szCs w:val="16"/>
        </w:rPr>
      </w:pPr>
      <w:r w:rsidRPr="00507A31">
        <w:rPr>
          <w:color w:val="000000" w:themeColor="text1"/>
          <w:sz w:val="16"/>
          <w:szCs w:val="16"/>
        </w:rPr>
        <w:t>21 апреля 1930 года на расширенном заседании Совета Труда и Обороны с представителями промышленности были приняты решения по программе производства новых систем артиллерийского вооружения с использованием технической помощи предоставленной фирмой «Рейнметалл» и о создании объединенного конструкторского бюро в составе 20 инженеров фирмы, 20 советских инженеров и 100 советских чертежников.</w:t>
      </w:r>
    </w:p>
    <w:p w14:paraId="579379A4" w14:textId="77777777" w:rsidR="00C07247" w:rsidRPr="00507A31" w:rsidRDefault="00C07247" w:rsidP="00507A31">
      <w:pPr>
        <w:jc w:val="both"/>
        <w:rPr>
          <w:color w:val="000000" w:themeColor="text1"/>
          <w:sz w:val="16"/>
          <w:szCs w:val="16"/>
        </w:rPr>
      </w:pPr>
      <w:r w:rsidRPr="00507A31">
        <w:rPr>
          <w:color w:val="000000" w:themeColor="text1"/>
          <w:sz w:val="16"/>
          <w:szCs w:val="16"/>
        </w:rPr>
        <w:t>Особое бюро (КБ-2) возглавлял с советской стороны командир РККА Шнитман, начальником над немецкой группой был инженер Фохт. Краткое описание деятельности КБ-2 сохранилось в воспоминаниях выдающегося отечественного артиллерийского конструктора В.Г. Грабина. В июне 1931 года он, после выпуска из Военно-технической академии им. Дзержинского проработав некоторое время на Путиловском заводе, был назначен заместителем Шнитмана и почти сразу же вступил в конфликт с ним и Фохтом. В своих воспоминаниях он весьма подробно описал царившую в то время в КБ-2 обстановку:</w:t>
      </w:r>
    </w:p>
    <w:p w14:paraId="4FAE78E5" w14:textId="77777777" w:rsidR="00C07247" w:rsidRPr="00507A31" w:rsidRDefault="00C07247" w:rsidP="00507A31">
      <w:pPr>
        <w:jc w:val="both"/>
        <w:rPr>
          <w:color w:val="000000" w:themeColor="text1"/>
          <w:sz w:val="16"/>
          <w:szCs w:val="16"/>
        </w:rPr>
      </w:pPr>
      <w:r w:rsidRPr="00507A31">
        <w:rPr>
          <w:color w:val="000000" w:themeColor="text1"/>
          <w:sz w:val="16"/>
          <w:szCs w:val="16"/>
        </w:rPr>
        <w:t>«По знакам различия Шнитман — высокое должностное лицо, но постоянная угодливая улыбка на его холеной физиономии не соответствует его воинскому званию. Шнитман бесшумно скользит по паркету и всем своим видом старается показать, что для Фохта он готов на все.[295] Молодые советские конструкторы прозвали его Дипломатом. Он действительно раньше бывал за границей с какими-то поручениями Внешторга, в артиллерии же ничего не понимал, что, впрочем, его не беспокоило.</w:t>
      </w:r>
    </w:p>
    <w:p w14:paraId="7360CDBE" w14:textId="77777777" w:rsidR="00C07247" w:rsidRPr="00507A31" w:rsidRDefault="00C07247" w:rsidP="00507A31">
      <w:pPr>
        <w:jc w:val="both"/>
        <w:rPr>
          <w:color w:val="000000" w:themeColor="text1"/>
          <w:sz w:val="16"/>
          <w:szCs w:val="16"/>
        </w:rPr>
      </w:pPr>
      <w:r w:rsidRPr="00507A31">
        <w:rPr>
          <w:color w:val="000000" w:themeColor="text1"/>
          <w:sz w:val="16"/>
          <w:szCs w:val="16"/>
        </w:rPr>
        <w:t>Фохт марширует, звонко печатая шаг, голова его откинута, плечи приподняты, на худощавом, синеватом после бритья лице выражение холодное и жесткое. Один глазу него стеклянный, но это трудно заметить, потому что у живого глаза такое же выражение, как и у искусственного[…] На советских инженеров Фохт не обращал внимания, для него эти люди в коричневых халатах почти не существовали. Да и о чем ему было с ними разговаривать? Заняты они были копировкой, изредка — отработкой самых второстепенных деталей, что называется осмысленной деталировкой, очевидно, в отличие от «неосмысленной», которая с успехом могла быть проделана обыкновенным чертежником, но к которой из месяца в месяц были прикованы русские конструкторы».</w:t>
      </w:r>
    </w:p>
    <w:p w14:paraId="63C1E915" w14:textId="77777777" w:rsidR="00C07247" w:rsidRPr="00507A31" w:rsidRDefault="00C07247" w:rsidP="00507A31">
      <w:pPr>
        <w:jc w:val="both"/>
        <w:rPr>
          <w:color w:val="000000" w:themeColor="text1"/>
          <w:sz w:val="16"/>
          <w:szCs w:val="16"/>
        </w:rPr>
      </w:pPr>
      <w:r w:rsidRPr="00507A31">
        <w:rPr>
          <w:color w:val="000000" w:themeColor="text1"/>
          <w:sz w:val="16"/>
          <w:szCs w:val="16"/>
        </w:rPr>
        <w:t>ОГПУ, основываясь на донесениях завербованных советских сотрудников бюро, также докладывало о своих подозрениях в отношении немецких сотрудников КБ-2:</w:t>
      </w:r>
    </w:p>
    <w:p w14:paraId="2117BC99" w14:textId="77777777" w:rsidR="00C07247" w:rsidRPr="00507A31" w:rsidRDefault="00C07247" w:rsidP="00507A31">
      <w:pPr>
        <w:jc w:val="both"/>
        <w:rPr>
          <w:color w:val="000000" w:themeColor="text1"/>
          <w:sz w:val="16"/>
          <w:szCs w:val="16"/>
        </w:rPr>
      </w:pPr>
      <w:r w:rsidRPr="00507A31">
        <w:rPr>
          <w:color w:val="000000" w:themeColor="text1"/>
          <w:sz w:val="16"/>
          <w:szCs w:val="16"/>
        </w:rPr>
        <w:t>«Инж. Варнеке, немец, в беседе с инженером дал понять, что купленные системы стрелять не будут, а другой инженер Лудорф пояснил «стрелять-то будут, но спрашивается, как будут стрелять и сколько будут стрелять», т.е. дал понять, что они маломощны».[296]</w:t>
      </w:r>
    </w:p>
    <w:p w14:paraId="26AAF7A0" w14:textId="77777777" w:rsidR="00C07247" w:rsidRPr="00507A31" w:rsidRDefault="00C07247" w:rsidP="00507A31">
      <w:pPr>
        <w:jc w:val="both"/>
        <w:rPr>
          <w:color w:val="000000" w:themeColor="text1"/>
          <w:sz w:val="16"/>
          <w:szCs w:val="16"/>
        </w:rPr>
      </w:pPr>
      <w:r w:rsidRPr="00507A31">
        <w:rPr>
          <w:color w:val="000000" w:themeColor="text1"/>
          <w:sz w:val="16"/>
          <w:szCs w:val="16"/>
        </w:rPr>
        <w:t>Грабин решил бороться со Шнитманом и Фохтом самым эффективным методом — пойдя по «партийной линии». Он вошел в состав партячейки КБ-2 затем — в ее актив и в стенгазете начал усиленно «прорабатывать» начальство. После изгнания партсекретаря КБ-2, Грабину удалось совместить в своих руках обе «ветви власти» — он стал начальником КБ и одновременно возглавил его парторганизацию. В начале 1933 года на базе КБ-2 по указанию Г.К. Орджоникидзе, И.П. Павлуновского и Будняка создано ГКБ-38 при Наркомтяжпроме. К сожалению, в силу различных причин большинство созданных в КБ-2 орудий так и не пошли в серию, за исключением 122-мм корпусной пушки А-19 (18263).</w:t>
      </w:r>
    </w:p>
    <w:p w14:paraId="07EA77E4" w14:textId="77777777" w:rsidR="00C07247" w:rsidRPr="00507A31" w:rsidRDefault="00C07247" w:rsidP="00507A31">
      <w:pPr>
        <w:jc w:val="both"/>
        <w:rPr>
          <w:color w:val="000000" w:themeColor="text1"/>
          <w:sz w:val="16"/>
          <w:szCs w:val="16"/>
        </w:rPr>
      </w:pPr>
    </w:p>
    <w:p w14:paraId="4906133C" w14:textId="77777777" w:rsidR="00C07247" w:rsidRPr="00507A31" w:rsidRDefault="00C07247" w:rsidP="00507A31">
      <w:pPr>
        <w:jc w:val="both"/>
        <w:rPr>
          <w:color w:val="000000" w:themeColor="text1"/>
          <w:sz w:val="16"/>
          <w:szCs w:val="16"/>
        </w:rPr>
      </w:pPr>
      <w:r w:rsidRPr="00507A31">
        <w:rPr>
          <w:color w:val="000000" w:themeColor="text1"/>
          <w:sz w:val="16"/>
          <w:szCs w:val="16"/>
        </w:rPr>
        <w:t>21-го апреля 1930</w:t>
      </w:r>
    </w:p>
    <w:p w14:paraId="091CC17D" w14:textId="77777777" w:rsidR="00C07247" w:rsidRPr="00507A31" w:rsidRDefault="00C07247" w:rsidP="00507A31">
      <w:pPr>
        <w:jc w:val="both"/>
        <w:rPr>
          <w:color w:val="000000" w:themeColor="text1"/>
          <w:sz w:val="16"/>
          <w:szCs w:val="16"/>
        </w:rPr>
      </w:pPr>
      <w:r w:rsidRPr="00507A31">
        <w:rPr>
          <w:bCs/>
          <w:iCs/>
          <w:color w:val="000000" w:themeColor="text1"/>
          <w:sz w:val="16"/>
          <w:szCs w:val="16"/>
        </w:rPr>
        <w:t>РГВА Фонд 31811 Опись 1 Дело 38 лист 315 – 316</w:t>
      </w:r>
      <w:r w:rsidRPr="00507A31">
        <w:rPr>
          <w:color w:val="000000" w:themeColor="text1"/>
          <w:sz w:val="16"/>
          <w:szCs w:val="16"/>
        </w:rPr>
        <w:t xml:space="preserve"> </w:t>
      </w:r>
    </w:p>
    <w:p w14:paraId="2F377FF9"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Разговор тов. Халепского с м-ром Кристи в кабинете тов. Гобара 21-го апреля 1930 г.</w:t>
      </w:r>
    </w:p>
    <w:p w14:paraId="7F3549B2"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Вручая Вам проект договора, который скопирован нами из нашего общего договора с американским правительством, я прошу Вас в будущем все вопросы, связанные с дополнительными пунктами этого договора, а также за выяснением некоторых пунктов обращаться к нашему адвокату и участнику фирмы м-ру Тифано. </w:t>
      </w:r>
    </w:p>
    <w:p w14:paraId="3A59347D"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В договоре с Польшей имеется ли у Вас пункт, воспрещающий Вам продажу танков другим европейским государствам? </w:t>
      </w:r>
    </w:p>
    <w:p w14:paraId="0B3F7EF3"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Да, имеется, воспрещающий нам продажу следующим государствам: Чехословакии, Румынии, Югославии и др. мелким Балканским государствам, для которых Польша выговорила специальную монополию на право продажи, но Россия не вошла в этот список ограничений. </w:t>
      </w:r>
    </w:p>
    <w:p w14:paraId="1DF5D418"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Мы хотели бы оговорить в нашем контракте, что никакая третья сторона не может запретить Вам продажу танков нам. </w:t>
      </w:r>
    </w:p>
    <w:p w14:paraId="7AD66FD0"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Этого и быть не может, т.к. если бы какая-нибудь из стран запротестовала бы против продажи Вам танков, то мы в праве были бы расторгнуть с ней договор и вернуть деньги обратно. Мы дали исключительную монополию Польше исключительно лишь потому, что она расплакалась перед нами о своей бедности и уговорила нас тем, что она более близка и знакома с этими государствами и поэтому для нас будет меньше риска торговать через них. </w:t>
      </w:r>
    </w:p>
    <w:p w14:paraId="0F8C6943"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Также нам хотелось бы заявить Вам, что этот договор конфиденциальный и не подлежит оглашению, а также выдаче информаций какой-нибудь третьей стороне. </w:t>
      </w:r>
    </w:p>
    <w:p w14:paraId="18AEFBFF"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Это вполне понятно, но если наше правительство или какое-нибудь другое правительство, с каким пришлось бы заключить договор, спросило бы нас, то мы, безусловно, должны бы сказать, что договор с Вами имеется, но не сообщили бы деталей договора. Я предлагаю нашим адвокатам встретиться и обсудить полностью договор. </w:t>
      </w:r>
    </w:p>
    <w:p w14:paraId="0C061226"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Мы сначала просмотрим этот договор сами, а затем уже дадим на обсуждение юристам. </w:t>
      </w:r>
    </w:p>
    <w:p w14:paraId="5FF2EB3C"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Если это все, я прошу меня извинить, я очень занят. В случае если м-р Тифани по Вашему вызову не приехал бы к Вам, то прошу немедленно сообщить мне об этом. </w:t>
      </w:r>
    </w:p>
    <w:p w14:paraId="053735D1"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Следует понимать. Что принципиально все вопросы как будто бы разрешены. </w:t>
      </w:r>
    </w:p>
    <w:p w14:paraId="32183E4F"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Мне это также представляется, и я скажу Вам по секрету, что моим девизом несколько лет тому назад было: все что я делаю – это для Америки, и книга, которую я написал, озаглавлена таким же лозунгом. Но в настоящий момент я весьма сердит на американское правительство, так как оно меня тянуло 6 лет и вытянуло все соки из меня, и я залез по уши в долги из-за них, производя все свои эксперименты и не получая от них никакой помощи. И вот, когда я достигнул результатов, они взяли один танк на испытание и испытывали его целый год. Все это дело мне надоело, и я послал их к черту и заявил им, что буду продавать всем, кто захочет купить мои танки. Но вчера, как будто бы, они пришли к решению заказать мне 100 машин, и если это решение будет реальным, то мы будем весьма заняты следующие 9 месяцев, поэтому я еще раз прошу Вас поспешить с Вашим решением, иначе мы можем быть вынуждены задержать выполнение Вашего заказа. </w:t>
      </w:r>
    </w:p>
    <w:p w14:paraId="671B3D0E"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Ускорение решения в этом вопросе зависело от Вас, м-р Кристи, а не от меня. Вы не уступали, и поэтому затягивалось подписание договора, но как только мы договоримся, я не думаю, что подписание договора возьмет много времени. А как будет с разрешением на вывоз? </w:t>
      </w:r>
    </w:p>
    <w:p w14:paraId="1B02328E"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Телеграмма уже получена из Вашингтона, и я Вам могу оставить оригинал (вручает телеграмму, подписанную Жорж Уанхорн Мозли – один из помощников военного министра). </w:t>
      </w:r>
    </w:p>
    <w:p w14:paraId="3E5A3DB7"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А когда мы получим чертежи на техническую помощь? </w:t>
      </w:r>
    </w:p>
    <w:p w14:paraId="26FE5DF0" w14:textId="77777777" w:rsidR="00C07247" w:rsidRPr="00507A31" w:rsidRDefault="00C07247" w:rsidP="00507A31">
      <w:pPr>
        <w:jc w:val="both"/>
        <w:rPr>
          <w:color w:val="000000" w:themeColor="text1"/>
          <w:sz w:val="16"/>
          <w:szCs w:val="16"/>
        </w:rPr>
      </w:pPr>
      <w:r w:rsidRPr="00507A31">
        <w:rPr>
          <w:color w:val="000000" w:themeColor="text1"/>
          <w:sz w:val="16"/>
          <w:szCs w:val="16"/>
          <w:u w:val="single"/>
        </w:rPr>
        <w:t>Кристи.</w:t>
      </w:r>
      <w:r w:rsidRPr="00507A31">
        <w:rPr>
          <w:color w:val="000000" w:themeColor="text1"/>
          <w:sz w:val="16"/>
          <w:szCs w:val="16"/>
        </w:rPr>
        <w:t xml:space="preserve"> После подписания договора на техпомощь, одновременно с доставкой машин. </w:t>
      </w:r>
    </w:p>
    <w:p w14:paraId="07668C78" w14:textId="77777777" w:rsidR="00C07247" w:rsidRPr="00507A31" w:rsidRDefault="00C07247" w:rsidP="00507A31">
      <w:pPr>
        <w:jc w:val="both"/>
        <w:rPr>
          <w:color w:val="000000" w:themeColor="text1"/>
          <w:sz w:val="16"/>
          <w:szCs w:val="16"/>
        </w:rPr>
      </w:pPr>
      <w:r w:rsidRPr="00507A31">
        <w:rPr>
          <w:color w:val="000000" w:themeColor="text1"/>
          <w:sz w:val="16"/>
          <w:szCs w:val="16"/>
        </w:rPr>
        <w:t>записал Л.Г. Гершевич</w:t>
      </w:r>
    </w:p>
    <w:p w14:paraId="042787A0" w14:textId="77777777" w:rsidR="00C07247" w:rsidRPr="00507A31" w:rsidRDefault="00C07247" w:rsidP="00507A31">
      <w:pPr>
        <w:jc w:val="both"/>
        <w:rPr>
          <w:color w:val="000000" w:themeColor="text1"/>
          <w:sz w:val="16"/>
          <w:szCs w:val="16"/>
        </w:rPr>
      </w:pPr>
      <w:r w:rsidRPr="00507A31">
        <w:rPr>
          <w:color w:val="000000" w:themeColor="text1"/>
          <w:sz w:val="16"/>
          <w:szCs w:val="16"/>
        </w:rPr>
        <w:t xml:space="preserve">МС/3-э </w:t>
      </w:r>
    </w:p>
    <w:p w14:paraId="7B8AC928" w14:textId="77777777" w:rsidR="00C07247" w:rsidRPr="00507A31" w:rsidRDefault="00C07247" w:rsidP="00507A31">
      <w:pPr>
        <w:jc w:val="both"/>
        <w:rPr>
          <w:color w:val="000000" w:themeColor="text1"/>
          <w:sz w:val="16"/>
          <w:szCs w:val="16"/>
        </w:rPr>
      </w:pPr>
      <w:r w:rsidRPr="00507A31">
        <w:rPr>
          <w:color w:val="000000" w:themeColor="text1"/>
          <w:sz w:val="16"/>
          <w:szCs w:val="16"/>
        </w:rPr>
        <w:t xml:space="preserve">г. Нью Иорк (19748). </w:t>
      </w:r>
    </w:p>
    <w:p w14:paraId="1654010A" w14:textId="77777777" w:rsidR="00C07247" w:rsidRPr="00507A31" w:rsidRDefault="00C07247" w:rsidP="00507A31">
      <w:pPr>
        <w:jc w:val="both"/>
        <w:rPr>
          <w:bCs/>
          <w:iCs/>
          <w:color w:val="000000" w:themeColor="text1"/>
          <w:sz w:val="16"/>
          <w:szCs w:val="16"/>
        </w:rPr>
      </w:pPr>
    </w:p>
    <w:p w14:paraId="2FB899B3" w14:textId="77777777" w:rsidR="00C07247" w:rsidRPr="00507A31" w:rsidRDefault="00C07247" w:rsidP="00507A31">
      <w:pPr>
        <w:jc w:val="both"/>
        <w:rPr>
          <w:color w:val="000000" w:themeColor="text1"/>
          <w:sz w:val="16"/>
          <w:szCs w:val="16"/>
        </w:rPr>
      </w:pPr>
      <w:r w:rsidRPr="00507A31">
        <w:rPr>
          <w:iCs/>
          <w:color w:val="000000" w:themeColor="text1"/>
          <w:sz w:val="16"/>
          <w:szCs w:val="16"/>
        </w:rPr>
        <w:t>21 апреля 1930</w:t>
      </w:r>
    </w:p>
    <w:p w14:paraId="57ED434A" w14:textId="77777777" w:rsidR="00C07247" w:rsidRPr="00507A31" w:rsidRDefault="00C07247" w:rsidP="00507A31">
      <w:pPr>
        <w:jc w:val="both"/>
        <w:rPr>
          <w:color w:val="000000" w:themeColor="text1"/>
          <w:sz w:val="16"/>
          <w:szCs w:val="16"/>
        </w:rPr>
      </w:pPr>
      <w:r w:rsidRPr="00507A31">
        <w:rPr>
          <w:bCs/>
          <w:iCs/>
          <w:color w:val="000000" w:themeColor="text1"/>
          <w:sz w:val="16"/>
          <w:szCs w:val="16"/>
        </w:rPr>
        <w:t>РГВА Фонд 31811 Опись 1 Дело 38 лист 317</w:t>
      </w:r>
    </w:p>
    <w:p w14:paraId="443B50DD" w14:textId="77777777" w:rsidR="00C07247" w:rsidRPr="00507A31" w:rsidRDefault="00C07247" w:rsidP="00507A31">
      <w:pPr>
        <w:jc w:val="both"/>
        <w:rPr>
          <w:iCs/>
          <w:color w:val="000000" w:themeColor="text1"/>
          <w:sz w:val="16"/>
          <w:szCs w:val="16"/>
        </w:rPr>
      </w:pPr>
      <w:r w:rsidRPr="00507A31">
        <w:rPr>
          <w:iCs/>
          <w:color w:val="000000" w:themeColor="text1"/>
          <w:sz w:val="16"/>
          <w:szCs w:val="16"/>
        </w:rPr>
        <w:t>[Перевод телеграммы помощника военного министра САСШ Джорджа Ванхорна Мозли,</w:t>
      </w:r>
    </w:p>
    <w:p w14:paraId="329A061A" w14:textId="77777777" w:rsidR="00C07247" w:rsidRPr="00507A31" w:rsidRDefault="00C07247" w:rsidP="00507A31">
      <w:pPr>
        <w:jc w:val="both"/>
        <w:rPr>
          <w:color w:val="000000" w:themeColor="text1"/>
          <w:sz w:val="16"/>
          <w:szCs w:val="16"/>
        </w:rPr>
      </w:pPr>
      <w:r w:rsidRPr="00507A31">
        <w:rPr>
          <w:iCs/>
          <w:color w:val="000000" w:themeColor="text1"/>
          <w:sz w:val="16"/>
          <w:szCs w:val="16"/>
        </w:rPr>
        <w:t xml:space="preserve">отправленной 21 апреля 1930 г. секретарю </w:t>
      </w:r>
      <w:r w:rsidRPr="00507A31">
        <w:rPr>
          <w:iCs/>
          <w:color w:val="000000" w:themeColor="text1"/>
          <w:sz w:val="16"/>
          <w:szCs w:val="16"/>
          <w:lang w:val="en-US"/>
        </w:rPr>
        <w:t>U</w:t>
      </w:r>
      <w:r w:rsidRPr="00507A31">
        <w:rPr>
          <w:iCs/>
          <w:color w:val="000000" w:themeColor="text1"/>
          <w:sz w:val="16"/>
          <w:szCs w:val="16"/>
        </w:rPr>
        <w:t>.</w:t>
      </w:r>
      <w:r w:rsidRPr="00507A31">
        <w:rPr>
          <w:iCs/>
          <w:color w:val="000000" w:themeColor="text1"/>
          <w:sz w:val="16"/>
          <w:szCs w:val="16"/>
          <w:lang w:val="en-US"/>
        </w:rPr>
        <w:t>S</w:t>
      </w:r>
      <w:r w:rsidRPr="00507A31">
        <w:rPr>
          <w:iCs/>
          <w:color w:val="000000" w:themeColor="text1"/>
          <w:sz w:val="16"/>
          <w:szCs w:val="16"/>
        </w:rPr>
        <w:t xml:space="preserve">. </w:t>
      </w:r>
      <w:r w:rsidRPr="00507A31">
        <w:rPr>
          <w:iCs/>
          <w:color w:val="000000" w:themeColor="text1"/>
          <w:sz w:val="16"/>
          <w:szCs w:val="16"/>
          <w:lang w:val="en-US"/>
        </w:rPr>
        <w:t>Wheel</w:t>
      </w:r>
      <w:r w:rsidRPr="00507A31">
        <w:rPr>
          <w:iCs/>
          <w:color w:val="000000" w:themeColor="text1"/>
          <w:sz w:val="16"/>
          <w:szCs w:val="16"/>
        </w:rPr>
        <w:t xml:space="preserve"> </w:t>
      </w:r>
      <w:r w:rsidRPr="00507A31">
        <w:rPr>
          <w:iCs/>
          <w:color w:val="000000" w:themeColor="text1"/>
          <w:sz w:val="16"/>
          <w:szCs w:val="16"/>
          <w:lang w:val="en-US"/>
        </w:rPr>
        <w:t>Track</w:t>
      </w:r>
      <w:r w:rsidRPr="00507A31">
        <w:rPr>
          <w:iCs/>
          <w:color w:val="000000" w:themeColor="text1"/>
          <w:sz w:val="16"/>
          <w:szCs w:val="16"/>
        </w:rPr>
        <w:t xml:space="preserve"> </w:t>
      </w:r>
      <w:r w:rsidRPr="00507A31">
        <w:rPr>
          <w:iCs/>
          <w:color w:val="000000" w:themeColor="text1"/>
          <w:sz w:val="16"/>
          <w:szCs w:val="16"/>
          <w:lang w:val="en-US"/>
        </w:rPr>
        <w:t>Layer</w:t>
      </w:r>
      <w:r w:rsidRPr="00507A31">
        <w:rPr>
          <w:iCs/>
          <w:color w:val="000000" w:themeColor="text1"/>
          <w:sz w:val="16"/>
          <w:szCs w:val="16"/>
        </w:rPr>
        <w:t xml:space="preserve"> </w:t>
      </w:r>
      <w:r w:rsidRPr="00507A31">
        <w:rPr>
          <w:iCs/>
          <w:color w:val="000000" w:themeColor="text1"/>
          <w:sz w:val="16"/>
          <w:szCs w:val="16"/>
          <w:lang w:val="en-US"/>
        </w:rPr>
        <w:t>Corp</w:t>
      </w:r>
      <w:r w:rsidRPr="00507A31">
        <w:rPr>
          <w:iCs/>
          <w:color w:val="000000" w:themeColor="text1"/>
          <w:sz w:val="16"/>
          <w:szCs w:val="16"/>
        </w:rPr>
        <w:t>.]</w:t>
      </w:r>
      <w:r w:rsidRPr="00507A31">
        <w:rPr>
          <w:color w:val="000000" w:themeColor="text1"/>
          <w:sz w:val="16"/>
          <w:szCs w:val="16"/>
        </w:rPr>
        <w:t xml:space="preserve"> </w:t>
      </w:r>
    </w:p>
    <w:p w14:paraId="59E8E8CA" w14:textId="77777777" w:rsidR="00C07247" w:rsidRPr="00507A31" w:rsidRDefault="00C07247" w:rsidP="00507A31">
      <w:pPr>
        <w:jc w:val="both"/>
        <w:rPr>
          <w:color w:val="000000" w:themeColor="text1"/>
          <w:sz w:val="16"/>
          <w:szCs w:val="16"/>
        </w:rPr>
      </w:pPr>
      <w:r w:rsidRPr="00507A31">
        <w:rPr>
          <w:color w:val="000000" w:themeColor="text1"/>
          <w:sz w:val="16"/>
          <w:szCs w:val="16"/>
        </w:rPr>
        <w:t>Секретарю Ю.С. Вил Трэк Лейер Корп. Хобокен штат Нью Джерси.</w:t>
      </w:r>
    </w:p>
    <w:p w14:paraId="573762F3" w14:textId="77777777" w:rsidR="00C07247" w:rsidRPr="00507A31" w:rsidRDefault="00C07247" w:rsidP="00507A31">
      <w:pPr>
        <w:jc w:val="both"/>
        <w:rPr>
          <w:color w:val="000000" w:themeColor="text1"/>
          <w:sz w:val="16"/>
          <w:szCs w:val="16"/>
        </w:rPr>
      </w:pPr>
      <w:r w:rsidRPr="00507A31">
        <w:rPr>
          <w:color w:val="000000" w:themeColor="text1"/>
          <w:sz w:val="16"/>
          <w:szCs w:val="16"/>
        </w:rPr>
        <w:t xml:space="preserve">В ответ на вашу телеграмму 19-го апреля военный департамент не возражает против продажи Амторгу двух кристивских шасси. </w:t>
      </w:r>
    </w:p>
    <w:p w14:paraId="02DBEEC1" w14:textId="77777777" w:rsidR="00C07247" w:rsidRPr="00507A31" w:rsidRDefault="00C07247" w:rsidP="00507A31">
      <w:pPr>
        <w:jc w:val="both"/>
        <w:rPr>
          <w:color w:val="000000" w:themeColor="text1"/>
          <w:sz w:val="16"/>
          <w:szCs w:val="16"/>
        </w:rPr>
      </w:pPr>
      <w:r w:rsidRPr="00507A31">
        <w:rPr>
          <w:color w:val="000000" w:themeColor="text1"/>
          <w:sz w:val="16"/>
          <w:szCs w:val="16"/>
        </w:rPr>
        <w:t>Джордж Вангорн Мозли</w:t>
      </w:r>
    </w:p>
    <w:p w14:paraId="4A6319DC" w14:textId="77777777" w:rsidR="00C07247" w:rsidRPr="00507A31" w:rsidRDefault="00C07247" w:rsidP="00507A31">
      <w:pPr>
        <w:jc w:val="both"/>
        <w:rPr>
          <w:color w:val="000000" w:themeColor="text1"/>
          <w:sz w:val="16"/>
          <w:szCs w:val="16"/>
        </w:rPr>
      </w:pPr>
      <w:r w:rsidRPr="00507A31">
        <w:rPr>
          <w:color w:val="000000" w:themeColor="text1"/>
          <w:sz w:val="16"/>
          <w:szCs w:val="16"/>
        </w:rPr>
        <w:t>Вашингтон Д.С. (19748).</w:t>
      </w:r>
    </w:p>
    <w:p w14:paraId="56E3EC28" w14:textId="77777777" w:rsidR="00C07247" w:rsidRPr="00507A31" w:rsidRDefault="00C07247" w:rsidP="00507A31">
      <w:pPr>
        <w:jc w:val="both"/>
        <w:rPr>
          <w:color w:val="000000" w:themeColor="text1"/>
          <w:sz w:val="16"/>
          <w:szCs w:val="16"/>
        </w:rPr>
      </w:pPr>
    </w:p>
    <w:p w14:paraId="00E7A6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21 апреля 1930 года государственной конторе "Инреклама", функции которой состояли в том, что она собирала объявления рекламного характера от иностранных фирм и размещала их в советской прессе, главным образом, в технических журналах, было передано монопольное право на сбор рекламных объявлений иностранных заказчиков и осуществление рекламных кампаний советских экспортных организаций.</w:t>
      </w:r>
    </w:p>
    <w:p w14:paraId="51DFF3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Контора "Инреклама" открыла свои представительства зарубежом при торговых представительствах СССР в ведущих капиталистических странах, однако сбор рекламных объявлений проводила только через резидентные организации или агентов, подданных данных стран, работающих на комиссионных началах. Комиссионные, выплачиваемые "Инрекламой" своим зарубежным агентам, составляли в европейских странах 35%, а в Америке – 40% от суммы собранных заказов. Даже в таких благоприятных для сбора рекламных объявлений странах, как США, Англия и Франция, не были организованы советские бюро для непосредственной работы с клиентами, хотя директор конторы "Инреклама" Антипов неоднократно ставил перед руководством НКВТ СССР этот вопрос, обещая десятикратно повысить производительность своего подразделения.</w:t>
      </w:r>
    </w:p>
    <w:p w14:paraId="1789A0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Антипов, ссылаясь на то, что в дореволюционной России существовало несколько фирм, специально занимавшихся сбором рекламы, с оборотом в сотни миллионов рублей, постоянно требовал от руководства НКВТ СССР активизации рекламной деятельности и устранения препятствий к развитию своей конторы.</w:t>
      </w:r>
    </w:p>
    <w:p w14:paraId="15DCF5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"Немудрено, - писал он в служебной записке, - капиталистические предприятия тратили на рекламу в царской России огромные суммы. В то время они являлись составной частью расходов на производство, фиксируемых в годовых сметах, и колебались от 3 до 10 %. В Советском Союзе, несмотря на то, что наша страна ведёт торговлю с капиталистическими фирмами с миллиардным внешнеторговым балансом, получение валютных средств через этот канал весьма незначительно. К примеру, в 1938 году было собрано объявлений рекламного характера на сумму 1 миллион 165 тысяч рублей золотом, что за вычетом комиссионных агентских процентов и других накладных расчетов составило 621 тысячу совершенно конвертируемых золотых рублей. По отношению к общему объему советского импорта, это составляло не более 0,1%". </w:t>
      </w:r>
    </w:p>
    <w:p w14:paraId="58B6AF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Значительным препятствием к расширению деятельности "Инрекламы" было то, что её договоры с зарубежными рекламными агентствами и агентами были не бессрочными, а подписывались на один - полтора года, что существенно снижало активность рекламистов из-за боязни передачи клиентской базы, нарабатываемой тяжелым трудом, другому агенту. Мешало расширению объемов сбора рекламы и отсутствие информации о фирмах, с которыми СССР вёл торговлю. Агенты "Инрекламы", "методом научного тыка", столь любимого и современными рекламистами, буквально нащупывали компании, которые могли бы разместить объявления в советской прессе. </w:t>
      </w:r>
    </w:p>
    <w:p w14:paraId="736F91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Отсутствие жестко регламентированной номенклатуры объявлений, подлежащих приему для размещения в советских СМИ, странное для плановой экономики, приводило к тому, что "Инрекламе" часто приходилось отказываться от взятых на себя обязательств. Например, в связи с дефицитом товаров народного потребления в СССР, в советской прессе отдавалось абсолютное предпочтение размещению только объявлений о зарубежных товарах производственного назначения, в основном станков, инструментов и оборудования, а не ширпотреба, что было непонятно ни фирмам-заказчикам, ни агентам "Инрекламы". Товары народного потребления иностранного производства не рекламировались даже в специализированных журналах и бюллетенях Внешторга, предназначенных для информирования советских импортирующих организаций.</w:t>
      </w:r>
    </w:p>
    <w:p w14:paraId="1A3F49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Несвоевременный выход в свет и весьма плохое оформление некоторых технических журналов также не способствовали стремительному расширению рекламного дела в СССР. Частые, на 1-2 месяца, задержки выхода технических изданий были, практически, нормой. Зарубежные заказчики неоднократно высказывали пожелания, чтобы эти журналы печатали на хорошей бумаге и на более современном полиграфическом оборудовании. </w:t>
      </w:r>
    </w:p>
    <w:p w14:paraId="08EC25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Часто издательства и редакции журналов, в которых размещалась реклама объемом больше двух страниц, требовали у "Инрекламы" выделении им бумаги. В условиях всесоюзного планирования экономики, и объём журналов, и бумага для них утверждались планирующими органами. Поэтому случаи, когда из-за отсутствия бумаги сверх установленного объёма, редакции отказывались от рекламы, были весьма часты. Например, в 1938 году редактор журнала "Водный транспорт" по этой причине снял рекламные объявления в 5 номерах подряд на сумму 4 тысячи рублей золотом. Любопытно, что для этой цели на 5 номеров нужно было не более 150 кг обычной журнальной бумаги, стоимость которой составляла 200 простых (а отнюдь не золотых) советских рублей.</w:t>
      </w:r>
    </w:p>
    <w:p w14:paraId="6661DC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Впрочем, редактора вполне можно понять – инвалютные денежные средства поступали в распоряжение государства, а за перерасход бумаги можно было ответить как за разбазаривание государственных ресурсов – вплоть до уголовной ответственности. В подобных случаях невыполнения обязательств советской стороной фирмы-заказчики аннулировали заказы, применяли по отношению к "Инрекламе" штрафные санкции. </w:t>
      </w:r>
    </w:p>
    <w:p w14:paraId="535E1F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в целом деятельность советского международного рекламного бюро пользовалась успехом – через эту госконтору зарубежные компании получали возможность реализации своей продукции на рынке огромной ёмкости, что было весьма актуально, особенно в условиях мирового экономического кризиса начала 30-х гг. ХХ века. Тогда произошло огромное сокращение оборотов мировой торговли (на 2/3 по стоимости и на 25% по физическому объёму), резкое сжатие покупательской способности капиталистических стран, валютный хаос. Капиталистические страны развернули настоящую коммерческую войну за рынки сбыта, и возможность информировать советских заказчиков о своей продукции зарубежными промышленными предприятиями очень ценилась.</w:t>
      </w:r>
    </w:p>
    <w:p w14:paraId="5CF86B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начале 1930-х гг. Советский Союз был не просто главным импортером промышленного оборудования. В 1931 и 1932 годах СССР занимал первое место в мире по импорту оборудования. В 1931 году около одной трети, а в 1932 году – около половины всего мирового экспорта машин и оборудования направлялось в Советский Союз. </w:t>
      </w:r>
    </w:p>
    <w:p w14:paraId="4140D2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Рост собственной промышленности постепенно снижал зависимость Советского Союза от импорта, однако, по целому ряду отраслей потребности советской экономики не были удовлетворены, особенно в передовых технологиях и высокопроизводительном оборудовании. Так, в "Техно-экономическом анализе импорта металлорежущих станков за 1932-1938 гг.", подготовленном экспертами народного комиссариата тяжелой промышленности СССР, были определены виды оборудования, потребность в которых для наркомата была высока, и производство которых в Советском Союзе неразвито совсем или недостаточно по количеству. "…Тяжелые токарные станки, лоботокарные, продольно-строгальные, крупные зуборезные станки и расточные необходимых размеров вовсе не изготавливаются. Кругло-шлифовальные, карусельные и вальцетокарные станки изготовляются единицами. Рассчитывать на более или менее удовлетворительное отечественное снабжение этими станками тяжелой промышленности на ближайшие 2-3 года не приходится". Далее прямо говорилось, что "…потребность в этих видах станков может быть удовлетворена в 1939 и отчасти в 1940 году в основном за счёт импорта… ибо организация и освоение производства названных выше станков в лучшем случае потребует не менее двух лет". </w:t>
      </w:r>
    </w:p>
    <w:p w14:paraId="6EDE69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Постоянными клиентами "Инрекламы" НКВТ СССР были такие известные компании, как General Electric, Carl Zeiss, Siemens, Skoda, MAN, BMW и другие производственные предприятия. Для многих фирм работа по заказам Советского Союза была приоритетным направлением. У иностранных рекламодателей особенной популярностью пользовались такие советские специально-технические издания, как "Вестник инженеров и техников", "Станки и инструмент", "Сталь", "Водный транспорт", "Лесная индустрия", "Электричество", "Химическая промышленность" и "Машиностроитель". Информация о технологиях зарубежных стран, размещаемая в советской прессе "Инрекламой", была востребована советскими специалистами и организаторами промышленности, которые передавали заявки на закупки конкретного прорекламированного оборудования в импортные внешнеторговые организации.</w:t>
      </w:r>
    </w:p>
    <w:p w14:paraId="659441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Несмотря на все ограничения плановой экономики и политические установки, контора "Инреклама" НКВТ свернула свою деятельность только после нападения гитлеровской Германии на СССР". Источник: "Индустрия рекламы", №5, 2003 (11538).</w:t>
      </w:r>
    </w:p>
    <w:p w14:paraId="039C406A" w14:textId="77777777" w:rsidR="00537E5F" w:rsidRPr="00507A31" w:rsidRDefault="00537E5F" w:rsidP="00507A31">
      <w:pPr>
        <w:autoSpaceDE w:val="0"/>
        <w:autoSpaceDN w:val="0"/>
        <w:adjustRightInd w:val="0"/>
        <w:jc w:val="both"/>
        <w:rPr>
          <w:color w:val="000000" w:themeColor="text1"/>
          <w:sz w:val="16"/>
          <w:szCs w:val="16"/>
        </w:rPr>
      </w:pPr>
    </w:p>
    <w:p w14:paraId="111F83E0" w14:textId="77777777" w:rsidR="00CF347F" w:rsidRPr="00507A31" w:rsidRDefault="00CF347F"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112D3EA" w14:textId="77777777" w:rsidR="00CF347F" w:rsidRPr="00507A31" w:rsidRDefault="00CF347F" w:rsidP="00507A31">
      <w:pPr>
        <w:autoSpaceDE w:val="0"/>
        <w:autoSpaceDN w:val="0"/>
        <w:adjustRightInd w:val="0"/>
        <w:jc w:val="both"/>
        <w:rPr>
          <w:iCs/>
          <w:color w:val="000000" w:themeColor="text1"/>
          <w:sz w:val="16"/>
          <w:szCs w:val="16"/>
        </w:rPr>
      </w:pPr>
    </w:p>
    <w:p w14:paraId="4395ED0B" w14:textId="77777777" w:rsidR="00CF347F" w:rsidRPr="00507A31" w:rsidRDefault="00CF347F" w:rsidP="00507A31">
      <w:pPr>
        <w:jc w:val="both"/>
        <w:rPr>
          <w:color w:val="0070C0"/>
          <w:sz w:val="16"/>
          <w:szCs w:val="16"/>
        </w:rPr>
      </w:pPr>
      <w:r w:rsidRPr="00507A31">
        <w:rPr>
          <w:color w:val="0070C0"/>
          <w:sz w:val="16"/>
          <w:szCs w:val="16"/>
        </w:rPr>
        <w:t>21 апреля 1930 года произошла смычка Турксиба.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 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69B3983C" w14:textId="77777777" w:rsidR="00CF347F" w:rsidRPr="00507A31" w:rsidRDefault="00CF347F" w:rsidP="00507A31">
      <w:pPr>
        <w:jc w:val="both"/>
        <w:rPr>
          <w:color w:val="0070C0"/>
          <w:sz w:val="16"/>
          <w:szCs w:val="16"/>
        </w:rPr>
      </w:pPr>
    </w:p>
    <w:p w14:paraId="1C5FDBC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47E4C43" w14:textId="77777777" w:rsidR="00537E5F" w:rsidRPr="00507A31" w:rsidRDefault="00537E5F" w:rsidP="00507A31">
      <w:pPr>
        <w:autoSpaceDE w:val="0"/>
        <w:autoSpaceDN w:val="0"/>
        <w:adjustRightInd w:val="0"/>
        <w:jc w:val="both"/>
        <w:rPr>
          <w:iCs/>
          <w:color w:val="000000" w:themeColor="text1"/>
          <w:sz w:val="16"/>
          <w:szCs w:val="16"/>
        </w:rPr>
      </w:pPr>
    </w:p>
    <w:p w14:paraId="1C40755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21 апреля 1930 в Колумбусе при пожаре погибло 322 заключенных тюрьмы штата Огайо (4962).</w:t>
      </w:r>
    </w:p>
    <w:p w14:paraId="6FE1692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58B2CD9" w14:textId="77777777" w:rsidR="003A4861" w:rsidRPr="00507A31" w:rsidRDefault="003A4861"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7443F19" w14:textId="77777777" w:rsidR="003A4861" w:rsidRPr="00507A31" w:rsidRDefault="003A4861" w:rsidP="00507A31">
      <w:pPr>
        <w:autoSpaceDE w:val="0"/>
        <w:autoSpaceDN w:val="0"/>
        <w:adjustRightInd w:val="0"/>
        <w:jc w:val="both"/>
        <w:rPr>
          <w:iCs/>
          <w:color w:val="000000" w:themeColor="text1"/>
          <w:sz w:val="16"/>
          <w:szCs w:val="16"/>
        </w:rPr>
      </w:pPr>
    </w:p>
    <w:p w14:paraId="503579BF" w14:textId="77777777" w:rsidR="003A4861" w:rsidRPr="00507A31" w:rsidRDefault="003A4861" w:rsidP="00507A31">
      <w:pPr>
        <w:jc w:val="both"/>
        <w:rPr>
          <w:color w:val="000000" w:themeColor="text1"/>
          <w:sz w:val="16"/>
          <w:szCs w:val="16"/>
        </w:rPr>
      </w:pPr>
      <w:r w:rsidRPr="00507A31">
        <w:rPr>
          <w:color w:val="000000" w:themeColor="text1"/>
          <w:sz w:val="16"/>
          <w:szCs w:val="16"/>
        </w:rPr>
        <w:t>22-го апреля 1930</w:t>
      </w:r>
    </w:p>
    <w:p w14:paraId="2E8C8228" w14:textId="77777777" w:rsidR="003A4861" w:rsidRPr="00507A31" w:rsidRDefault="003A4861" w:rsidP="00507A31">
      <w:pPr>
        <w:jc w:val="both"/>
        <w:rPr>
          <w:color w:val="000000" w:themeColor="text1"/>
          <w:sz w:val="16"/>
          <w:szCs w:val="16"/>
        </w:rPr>
      </w:pPr>
      <w:r w:rsidRPr="00507A31">
        <w:rPr>
          <w:bCs/>
          <w:iCs/>
          <w:color w:val="000000" w:themeColor="text1"/>
          <w:sz w:val="16"/>
          <w:szCs w:val="16"/>
        </w:rPr>
        <w:t>РГВА Фонд 31811 Опись 1 Дело 38 лист 326 – 328</w:t>
      </w:r>
      <w:r w:rsidRPr="00507A31">
        <w:rPr>
          <w:color w:val="000000" w:themeColor="text1"/>
          <w:sz w:val="16"/>
          <w:szCs w:val="16"/>
        </w:rPr>
        <w:t xml:space="preserve"> </w:t>
      </w:r>
    </w:p>
    <w:p w14:paraId="5F6A1657"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Разговор тов. Халепского с м-ром Тифани в кабинете тов. Халепского 22-го апреля 1930 г. в 4.30 ч.д.</w:t>
      </w:r>
      <w:r w:rsidRPr="00507A31">
        <w:rPr>
          <w:color w:val="000000" w:themeColor="text1"/>
          <w:sz w:val="16"/>
          <w:szCs w:val="16"/>
        </w:rPr>
        <w:t xml:space="preserve"> </w:t>
      </w:r>
    </w:p>
    <w:p w14:paraId="03E7F155"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М-р Кристи заявил нам, что Вы являетесь уполномоченным фирмы "Вилтраклэйкр Корпорейшен" по разрешению всех вопросов, связанных с возможностью заключения договора между нами и Вашей фирмой. Нам хотелось бы услышать от Вас подтверждение заявления м-ра Кристи. </w:t>
      </w:r>
    </w:p>
    <w:p w14:paraId="742208AA"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Да, я уполномочен говорить от имени фирмы "Вилтраклэйкр Корпорейшен", т.к. являюсь ее секретарем, а м-р Кристи – президентом. </w:t>
      </w:r>
    </w:p>
    <w:p w14:paraId="58B36A33"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lastRenderedPageBreak/>
        <w:t>Халепский.</w:t>
      </w:r>
      <w:r w:rsidRPr="00507A31">
        <w:rPr>
          <w:color w:val="000000" w:themeColor="text1"/>
          <w:sz w:val="16"/>
          <w:szCs w:val="16"/>
        </w:rPr>
        <w:t xml:space="preserve"> М-р Кристи вручил нам вчера проект договора, и т.к. некоторые пункты договора были для нас не совсем ясны, мы решили побеспокоить Вас для освещения этих вопросов. </w:t>
      </w:r>
    </w:p>
    <w:p w14:paraId="75FE1DE3"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Весь к Вашим услугам. </w:t>
      </w:r>
    </w:p>
    <w:p w14:paraId="30CD74DE"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В пункте 12-ом представленного проекта договора указывается необходимость дачи нами гарантий через банк в Нью Джерси. В виду того, что в нашей практике в даче гарантий мы ограничивались или гарантией Амторга или Госбанка, мы находим невозможным для себя дать гарантию через указанный Вами банк. </w:t>
      </w:r>
    </w:p>
    <w:p w14:paraId="55093599"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Для нас будет более приемлемой гарантия Амторга, полученная от какой-нибудь гарантийной Компании (сэкюрити Ко). Это нам нужно для того, чтобы мы могли в случае нужды в деньгах получить в любом из банков определенную сумму под такую гарантию, но во всяком случае, мы в этом вопросе с Вами договоримся. </w:t>
      </w:r>
    </w:p>
    <w:p w14:paraId="5D5A1D53"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Теперь м-р Тифани будем откровенны и станем говорить "по душам". Вы просите у нас гарантию, и я против этого не возражаю, но я в свою очередь хотел бы знать, с кем, собственно, я имею честь делать дела. Я этот вопрос задаю потому, что по возвращении на родину, я должен буду сделать доклад об этой сделке, и меня безусловно спросят, а кто же эта фирма, с которой вы заключили договор, а я, к сожалению, знаю весьма мало и настолько мало, что почти совсем не знаю Вашей фирмы. </w:t>
      </w:r>
    </w:p>
    <w:p w14:paraId="6523E4D3"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Наша фирма организована с капиталом в несколько сот тысяч долларов. На эту сумму выпущены акции, которые распроданы между акциедержателями и не имеют доступа на биржу. У нас имеется правление, м-р Кристи – президент, а я – секретарь этой компании. Но для того, чтобы Вам было вполне все ясно, я Вам обещаю прислать копию нашего корпорационного договора, из которого Вы увидите, как организована наша компания, и что она из себя представляет. </w:t>
      </w:r>
    </w:p>
    <w:p w14:paraId="2D0E4D2B"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Я буду безусловно весьма признателен за присылку этого договора, а теперь хочу указать на то, что и нам также необходимо иметь гарантию с Вашей стороны, обеспечивающую выполнение договорных условий. </w:t>
      </w:r>
    </w:p>
    <w:p w14:paraId="18B32E49"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Какую сумму Вам желательно было бы иметь как гарантию? </w:t>
      </w:r>
    </w:p>
    <w:p w14:paraId="2D035AD2"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150.000 долларов. </w:t>
      </w:r>
    </w:p>
    <w:p w14:paraId="74BFFBE2"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Почему? </w:t>
      </w:r>
    </w:p>
    <w:p w14:paraId="042F05E4"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В обеспечение полностью нашего договора. </w:t>
      </w:r>
    </w:p>
    <w:p w14:paraId="1B01A7D0"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Видите ли, мы бы, конечно, могли дать Вам эту гарантию полностью, но в виду того, что с Вас будет причитаться сумма в 30.000 долларов в момент сдачи танков, поэтому мы Вам дадим гарантию на 30.000 долларов, которые мы получим от Вас, а в момент получения от Вас окончательной оплаты танков, мы Вам дадим гарантию на 90.000 долларов, обеспечивающие выполнение договора по техпомощи. </w:t>
      </w:r>
    </w:p>
    <w:p w14:paraId="298FA1F1"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Тогда с нашей стороны потребуется гарантия в 50.000 долларов, представляющихся Вами нам в виде кредита? </w:t>
      </w:r>
    </w:p>
    <w:p w14:paraId="06446A0E"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Совершенно верно! </w:t>
      </w:r>
    </w:p>
    <w:p w14:paraId="09A543DA"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Вами указывается в одном из пунктов договора об уплате нами 6 % годовых за кредит в 50.000 долл. В нашей практике по приобретению техпомощи мы никаких процентов за представляемый кредит не плотим, так как находим, что это не товар, на который Вы внесли определенную затрату капитала, а все это Ваша чистая польза. </w:t>
      </w:r>
    </w:p>
    <w:p w14:paraId="2428AE7B"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Вы правы. Мы не спорили бы с Вами из-за этих 6 %, если бы м-р Кристи не превысил своих полномочий и инструкций правления и не сбавил бы Вам цену на 10.000 долл. Поверьте мне, что, если с ним был кто-нибудь из правления, ему не удалось бы этого провести, так как эта цена ниже, чем мы получаем от нашего правительства, а также от Польши. Если Вы подсчитаете сумму, которая выражается в оплате 6 %, то она выльется всего в 2.200 долл., а поэтому я предлагаю Вам не спорить из-за такой мелкой суммы. </w:t>
      </w:r>
    </w:p>
    <w:p w14:paraId="47BA6592"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Кстати, как Вы себе представляете технически проведение 10.000 долларов. М-р Кристи настаивал вписать в договор цену 100.000 долларов и обещал дать нам письмо в получении от нас 10.000 долларов. </w:t>
      </w:r>
    </w:p>
    <w:p w14:paraId="54D7776B"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Как хотите, но я предлагаю при задаточной сумме, вместо 15.000 долларов, отметить в договоре получение 25.000 долларов. </w:t>
      </w:r>
    </w:p>
    <w:p w14:paraId="690D147E"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Хотя м-р Кристи и заверил нас, что в договоре с Польшей у Вас выговорено право продажи Вашего танка, а также права на производство другим странам, все же нам желательно было бы внести определенный пункт в договоре – о недопустимости вмешательства третьей стороны в выполнение нашего договора. </w:t>
      </w:r>
    </w:p>
    <w:p w14:paraId="35D810B2"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Единственным авторитетом в вопросе о продаже иностранным государствам является Военное и Иностранных дел Министерства САСШ, от которых мы получили официальное разрешение по телеграфу, и Вы имеете эту телеграмму. Что же касается Польши, то у нас с ними договор также с гарантией и поэтому мы не могли бы заключить договора с другой стороной, если договор с Польшей нам не позволял этого сделать. Но я не протестую против внесения такого пункта в договор. </w:t>
      </w:r>
    </w:p>
    <w:p w14:paraId="3D055E39"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В виду того, что лишь только вчера мы получили проект договора, наш адвокат не успел его еще просмотреть, а поэтому через пару дней, я думаю, наш проект договора будет готов и Вы сможете встретиться с нашим адвокатом для обсуждения деталей и формальностей. </w:t>
      </w:r>
    </w:p>
    <w:p w14:paraId="11FC7738"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Я просил бы Вас прислать мне копию Вашего проекта договора, как только он будет готов, а на следующий день я мог бы встретиться с Вашим адвокатом. </w:t>
      </w:r>
    </w:p>
    <w:p w14:paraId="1D764FE6"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Халепский.</w:t>
      </w:r>
      <w:r w:rsidRPr="00507A31">
        <w:rPr>
          <w:color w:val="000000" w:themeColor="text1"/>
          <w:sz w:val="16"/>
          <w:szCs w:val="16"/>
        </w:rPr>
        <w:t xml:space="preserve"> Это можно будет сделать, и я надеюсь, что при подписании договора Вы будете иметь гарантию банка, а до этого пришлете нам копию договора Вашей корпорации. </w:t>
      </w:r>
    </w:p>
    <w:p w14:paraId="5EE3F901" w14:textId="77777777" w:rsidR="003A4861" w:rsidRPr="00507A31" w:rsidRDefault="003A4861" w:rsidP="00507A31">
      <w:pPr>
        <w:jc w:val="both"/>
        <w:rPr>
          <w:color w:val="000000" w:themeColor="text1"/>
          <w:sz w:val="16"/>
          <w:szCs w:val="16"/>
        </w:rPr>
      </w:pPr>
      <w:r w:rsidRPr="00507A31">
        <w:rPr>
          <w:color w:val="000000" w:themeColor="text1"/>
          <w:sz w:val="16"/>
          <w:szCs w:val="16"/>
          <w:u w:val="single"/>
        </w:rPr>
        <w:t>Тифани.</w:t>
      </w:r>
      <w:r w:rsidRPr="00507A31">
        <w:rPr>
          <w:color w:val="000000" w:themeColor="text1"/>
          <w:sz w:val="16"/>
          <w:szCs w:val="16"/>
        </w:rPr>
        <w:t xml:space="preserve"> Все будет в порядке. До следующего свидания. </w:t>
      </w:r>
    </w:p>
    <w:p w14:paraId="6AD47C05" w14:textId="77777777" w:rsidR="003A4861" w:rsidRPr="00507A31" w:rsidRDefault="003A4861" w:rsidP="00507A31">
      <w:pPr>
        <w:jc w:val="both"/>
        <w:rPr>
          <w:color w:val="000000" w:themeColor="text1"/>
          <w:sz w:val="16"/>
          <w:szCs w:val="16"/>
        </w:rPr>
      </w:pPr>
      <w:r w:rsidRPr="00507A31">
        <w:rPr>
          <w:color w:val="000000" w:themeColor="text1"/>
          <w:sz w:val="16"/>
          <w:szCs w:val="16"/>
        </w:rPr>
        <w:t>МС/3-э (19749).</w:t>
      </w:r>
    </w:p>
    <w:p w14:paraId="74A6B1CA" w14:textId="77777777" w:rsidR="003A4861" w:rsidRPr="00507A31" w:rsidRDefault="003A4861" w:rsidP="00507A31">
      <w:pPr>
        <w:jc w:val="both"/>
        <w:rPr>
          <w:color w:val="000000" w:themeColor="text1"/>
          <w:sz w:val="16"/>
          <w:szCs w:val="16"/>
        </w:rPr>
      </w:pPr>
    </w:p>
    <w:p w14:paraId="39FF9AD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DE38804" w14:textId="77777777" w:rsidR="00537E5F" w:rsidRPr="00507A31" w:rsidRDefault="00537E5F" w:rsidP="00507A31">
      <w:pPr>
        <w:autoSpaceDE w:val="0"/>
        <w:autoSpaceDN w:val="0"/>
        <w:adjustRightInd w:val="0"/>
        <w:jc w:val="both"/>
        <w:rPr>
          <w:iCs/>
          <w:color w:val="000000" w:themeColor="text1"/>
          <w:sz w:val="16"/>
          <w:szCs w:val="16"/>
        </w:rPr>
      </w:pPr>
    </w:p>
    <w:p w14:paraId="3CE5C27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22 апреля 1930 В.В.Хрипин прочитал доклад о военной экономике в Коммуничстической академии. Много созвучного с идеями Тухачевского по натуральному планировани. (9089,111).</w:t>
      </w:r>
    </w:p>
    <w:p w14:paraId="556328B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81E2FF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92268F4" w14:textId="77777777" w:rsidR="00537E5F" w:rsidRPr="00507A31" w:rsidRDefault="00537E5F" w:rsidP="00507A31">
      <w:pPr>
        <w:autoSpaceDE w:val="0"/>
        <w:autoSpaceDN w:val="0"/>
        <w:adjustRightInd w:val="0"/>
        <w:jc w:val="both"/>
        <w:rPr>
          <w:iCs/>
          <w:color w:val="000000" w:themeColor="text1"/>
          <w:sz w:val="16"/>
          <w:szCs w:val="16"/>
        </w:rPr>
      </w:pPr>
    </w:p>
    <w:p w14:paraId="58210C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апреля 1930 закончили строительство мавзолея (1348,269).</w:t>
      </w:r>
    </w:p>
    <w:p w14:paraId="06F48B69" w14:textId="77777777" w:rsidR="00537E5F" w:rsidRPr="00507A31" w:rsidRDefault="00537E5F" w:rsidP="00507A31">
      <w:pPr>
        <w:autoSpaceDE w:val="0"/>
        <w:autoSpaceDN w:val="0"/>
        <w:adjustRightInd w:val="0"/>
        <w:jc w:val="both"/>
        <w:rPr>
          <w:color w:val="000000" w:themeColor="text1"/>
          <w:sz w:val="16"/>
          <w:szCs w:val="16"/>
        </w:rPr>
      </w:pPr>
    </w:p>
    <w:p w14:paraId="6E94EF7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2B2BA02" w14:textId="77777777" w:rsidR="00537E5F" w:rsidRPr="00507A31" w:rsidRDefault="00537E5F" w:rsidP="00507A31">
      <w:pPr>
        <w:autoSpaceDE w:val="0"/>
        <w:autoSpaceDN w:val="0"/>
        <w:adjustRightInd w:val="0"/>
        <w:jc w:val="both"/>
        <w:rPr>
          <w:iCs/>
          <w:color w:val="000000" w:themeColor="text1"/>
          <w:sz w:val="16"/>
          <w:szCs w:val="16"/>
        </w:rPr>
      </w:pPr>
    </w:p>
    <w:p w14:paraId="7D96D7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апреля 1930 США, Великобритания, Франция, Япония и Италия после завершения Лондонской конференции, которая начала работу 21 января, подписали соглашение о разоружении ВМФ и ограничении числа п/л и авианосцев (3907,161).</w:t>
      </w:r>
    </w:p>
    <w:p w14:paraId="1ED96ECF" w14:textId="77777777" w:rsidR="00537E5F" w:rsidRPr="00507A31" w:rsidRDefault="00537E5F" w:rsidP="00507A31">
      <w:pPr>
        <w:autoSpaceDE w:val="0"/>
        <w:autoSpaceDN w:val="0"/>
        <w:adjustRightInd w:val="0"/>
        <w:jc w:val="both"/>
        <w:rPr>
          <w:color w:val="000000" w:themeColor="text1"/>
          <w:sz w:val="16"/>
          <w:szCs w:val="16"/>
        </w:rPr>
      </w:pPr>
    </w:p>
    <w:p w14:paraId="167CC275" w14:textId="77777777" w:rsidR="00E20F08" w:rsidRPr="00507A31" w:rsidRDefault="00E20F08" w:rsidP="00507A31">
      <w:pPr>
        <w:jc w:val="both"/>
        <w:rPr>
          <w:color w:val="000000" w:themeColor="text1"/>
          <w:sz w:val="16"/>
          <w:szCs w:val="16"/>
        </w:rPr>
      </w:pPr>
      <w:r w:rsidRPr="00507A31">
        <w:rPr>
          <w:color w:val="000000" w:themeColor="text1"/>
          <w:sz w:val="16"/>
          <w:szCs w:val="16"/>
        </w:rPr>
        <w:t>22 апреля в 1930 году в Лондоне завершилась длившаяся три месяца конференция по ограничению и сокращению морских вооружений, в которой принимали участие США, Великобритания, Япония, Франция и Италия. Прежние соглашения были подписаны в 1922 году в Вашингтоне и определяли для стран-участниц соотношение тоннажа линкоров, общий их тоннаж, максимальные нормы водоизмещения (35 тысяч тонн) и предельный калибр орудий (16 дюймов). Теперь были проведены новые количественные и качественные сокращения, под ограничения попали также крейсеры, эсминцы и подводные лодки, был установлен пятилетний мораторий на строительство новых линкоров. Но пройдут пять лет — и Япония откажется принимать участие в новой конференции (15107).</w:t>
      </w:r>
    </w:p>
    <w:p w14:paraId="4B3CD261" w14:textId="77777777" w:rsidR="00E20F08" w:rsidRPr="00507A31" w:rsidRDefault="00E20F08" w:rsidP="00507A31">
      <w:pPr>
        <w:jc w:val="both"/>
        <w:rPr>
          <w:color w:val="000000" w:themeColor="text1"/>
          <w:sz w:val="16"/>
          <w:szCs w:val="16"/>
        </w:rPr>
      </w:pPr>
    </w:p>
    <w:p w14:paraId="131A4D21" w14:textId="77777777" w:rsidR="002E0B91" w:rsidRPr="00507A31" w:rsidRDefault="002E0B91"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30D940C" w14:textId="77777777" w:rsidR="002E0B91" w:rsidRPr="00507A31" w:rsidRDefault="002E0B91" w:rsidP="00507A31">
      <w:pPr>
        <w:autoSpaceDE w:val="0"/>
        <w:autoSpaceDN w:val="0"/>
        <w:adjustRightInd w:val="0"/>
        <w:jc w:val="both"/>
        <w:rPr>
          <w:iCs/>
          <w:color w:val="000000" w:themeColor="text1"/>
          <w:sz w:val="16"/>
          <w:szCs w:val="16"/>
        </w:rPr>
      </w:pPr>
    </w:p>
    <w:p w14:paraId="0E3C1B08" w14:textId="77777777" w:rsidR="002E0B91" w:rsidRPr="00507A31" w:rsidRDefault="002E0B91" w:rsidP="00507A31">
      <w:pPr>
        <w:jc w:val="both"/>
        <w:rPr>
          <w:color w:val="0070C0"/>
          <w:sz w:val="16"/>
          <w:szCs w:val="16"/>
        </w:rPr>
      </w:pPr>
      <w:r w:rsidRPr="00507A31">
        <w:rPr>
          <w:color w:val="0070C0"/>
          <w:sz w:val="16"/>
          <w:szCs w:val="16"/>
        </w:rPr>
        <w:t>23 апреля 1930 г.</w:t>
      </w:r>
    </w:p>
    <w:p w14:paraId="32E5BA67" w14:textId="77777777" w:rsidR="002E0B91" w:rsidRPr="00507A31" w:rsidRDefault="002E0B91" w:rsidP="00507A31">
      <w:pPr>
        <w:jc w:val="both"/>
        <w:rPr>
          <w:color w:val="0070C0"/>
          <w:sz w:val="16"/>
          <w:szCs w:val="16"/>
        </w:rPr>
      </w:pPr>
      <w:r w:rsidRPr="00507A31">
        <w:rPr>
          <w:color w:val="0070C0"/>
          <w:sz w:val="16"/>
          <w:szCs w:val="16"/>
        </w:rPr>
        <w:t>Записка наркома обороны СССР К.Е. Ворошилова и заместителя председателя Совета Труда и Обороны СССР В.В. Куйбышева в Политбюро ЦК ВКП(б) о перевооружении Красной армии и технической помощи германских фирм № 0205/сс</w:t>
      </w:r>
    </w:p>
    <w:p w14:paraId="322CD99C" w14:textId="77777777" w:rsidR="002E0B91" w:rsidRPr="00507A31" w:rsidRDefault="002E0B91" w:rsidP="00507A31">
      <w:pPr>
        <w:jc w:val="both"/>
        <w:rPr>
          <w:color w:val="0070C0"/>
          <w:sz w:val="16"/>
          <w:szCs w:val="16"/>
        </w:rPr>
      </w:pPr>
      <w:r w:rsidRPr="00507A31">
        <w:rPr>
          <w:color w:val="0070C0"/>
          <w:sz w:val="16"/>
          <w:szCs w:val="16"/>
        </w:rPr>
        <w:t>23 апреля 1930 г.</w:t>
      </w:r>
    </w:p>
    <w:p w14:paraId="7DA5077D" w14:textId="77777777" w:rsidR="002E0B91" w:rsidRPr="00507A31" w:rsidRDefault="002E0B91" w:rsidP="00507A31">
      <w:pPr>
        <w:jc w:val="both"/>
        <w:rPr>
          <w:color w:val="0070C0"/>
          <w:sz w:val="16"/>
          <w:szCs w:val="16"/>
        </w:rPr>
      </w:pPr>
      <w:r w:rsidRPr="00507A31">
        <w:rPr>
          <w:color w:val="0070C0"/>
          <w:sz w:val="16"/>
          <w:szCs w:val="16"/>
        </w:rPr>
        <w:t>Сов.секретно</w:t>
      </w:r>
    </w:p>
    <w:p w14:paraId="3F1D541A" w14:textId="77777777" w:rsidR="002E0B91" w:rsidRPr="00507A31" w:rsidRDefault="002E0B91" w:rsidP="00507A31">
      <w:pPr>
        <w:jc w:val="both"/>
        <w:rPr>
          <w:color w:val="0070C0"/>
          <w:sz w:val="16"/>
          <w:szCs w:val="16"/>
        </w:rPr>
      </w:pPr>
      <w:r w:rsidRPr="00507A31">
        <w:rPr>
          <w:color w:val="0070C0"/>
          <w:sz w:val="16"/>
          <w:szCs w:val="16"/>
        </w:rPr>
        <w:t>В Политбюро ЦК ВКП(б)</w:t>
      </w:r>
    </w:p>
    <w:p w14:paraId="63302F80" w14:textId="77777777" w:rsidR="002E0B91" w:rsidRPr="00507A31" w:rsidRDefault="002E0B91" w:rsidP="00507A31">
      <w:pPr>
        <w:jc w:val="both"/>
        <w:rPr>
          <w:color w:val="0070C0"/>
          <w:sz w:val="16"/>
          <w:szCs w:val="16"/>
        </w:rPr>
      </w:pPr>
      <w:r w:rsidRPr="00507A31">
        <w:rPr>
          <w:color w:val="0070C0"/>
          <w:sz w:val="16"/>
          <w:szCs w:val="16"/>
        </w:rPr>
        <w:t>Принятой РВС Союза системой вооружения предопреляется постановка в производстве ряда усовершенствованных систем артиллерийского вооружения, главным образом, в части противотанковой и зенитной борьбы и более совершенных систем в области минометания. Учитывая то обстоятельство, что развертывание конструкторских бюро у нас по всей системе вооружения представляет громадные трудности в установленный и желательный для Рабоче-Крестьянской Красной Армии срок из-за отсутствия у нас достаточного конструкторского и производственного опыта, военвед и промышленность считали необходимым для сокращения сроков и облегчения задачи перевооружения и получения опыта в области конструирования и производства новейших систем европейского вооружения приобрести техническую помощь от лучших европейских фирм.</w:t>
      </w:r>
    </w:p>
    <w:p w14:paraId="4A9B3B55" w14:textId="77777777" w:rsidR="002E0B91" w:rsidRPr="00507A31" w:rsidRDefault="002E0B91" w:rsidP="00507A31">
      <w:pPr>
        <w:jc w:val="both"/>
        <w:rPr>
          <w:color w:val="0070C0"/>
          <w:sz w:val="16"/>
          <w:szCs w:val="16"/>
        </w:rPr>
      </w:pPr>
      <w:r w:rsidRPr="00507A31">
        <w:rPr>
          <w:color w:val="0070C0"/>
          <w:sz w:val="16"/>
          <w:szCs w:val="16"/>
        </w:rPr>
        <w:t xml:space="preserve">В связи с этим были предприняты меры выяснения, какие из известных европейских фирм могли бы быть в этом отношении нам полезны; пока из доступных нам фирм имеют новые системы только американцы и немцы, причем последние имеют преимущество в отношении подвижности и веса систем. В течение 1929 г. велись предварительные переговоры на этот предмет как с фирмой “Крупп”, так и с фирмой “Рейнметалл”. При подробном изучении этого дела в процессе заключения </w:t>
      </w:r>
      <w:r w:rsidRPr="00507A31">
        <w:rPr>
          <w:color w:val="0070C0"/>
          <w:sz w:val="16"/>
          <w:szCs w:val="16"/>
        </w:rPr>
        <w:lastRenderedPageBreak/>
        <w:t>договора с Круппом на техническую помощь по специальным сталям вопрос привлечения технической помощи от фирмы “Крупп” по артиллерийским системам вооружения был снят в связи с неприемлемыми для нас условиями, выдвигаемыми фирмой, о чем своевременно было доложено ПБ; после этого как военвед, так и промышленность, остановились на фирме “Рейнметалл”, являющейся в настоящее время единственной фирмой в Европе, с которой мы могли начать переговоры об оказании нужной нам технической помощи.</w:t>
      </w:r>
    </w:p>
    <w:p w14:paraId="4040130E" w14:textId="77777777" w:rsidR="002E0B91" w:rsidRPr="00507A31" w:rsidRDefault="002E0B91" w:rsidP="00507A31">
      <w:pPr>
        <w:jc w:val="both"/>
        <w:rPr>
          <w:color w:val="0070C0"/>
          <w:sz w:val="16"/>
          <w:szCs w:val="16"/>
        </w:rPr>
      </w:pPr>
      <w:r w:rsidRPr="00507A31">
        <w:rPr>
          <w:color w:val="0070C0"/>
          <w:sz w:val="16"/>
          <w:szCs w:val="16"/>
        </w:rPr>
        <w:t>В процессе предварительных переговоров были выявлены три желательных и необходимых направления как по части технической помощи, так и по приобретению некоторого количества систем от этой фирмы:</w:t>
      </w:r>
    </w:p>
    <w:p w14:paraId="7527DE7E" w14:textId="77777777" w:rsidR="002E0B91" w:rsidRPr="00507A31" w:rsidRDefault="002E0B91" w:rsidP="00507A31">
      <w:pPr>
        <w:jc w:val="both"/>
        <w:rPr>
          <w:color w:val="0070C0"/>
          <w:sz w:val="16"/>
          <w:szCs w:val="16"/>
        </w:rPr>
      </w:pPr>
      <w:r w:rsidRPr="00507A31">
        <w:rPr>
          <w:color w:val="0070C0"/>
          <w:sz w:val="16"/>
          <w:szCs w:val="16"/>
        </w:rPr>
        <w:t>Первое - заключение договора на техническую помощь (включая в это понятие и необходимое для организации производства оборудование) для постановки производства уже разработанных немцами и построенных четырех систем и разработанных, но еще не построенных двух систем артиллерийского вооружения.</w:t>
      </w:r>
    </w:p>
    <w:p w14:paraId="158F82E2" w14:textId="77777777" w:rsidR="002E0B91" w:rsidRPr="00507A31" w:rsidRDefault="002E0B91" w:rsidP="00507A31">
      <w:pPr>
        <w:jc w:val="both"/>
        <w:rPr>
          <w:color w:val="0070C0"/>
          <w:sz w:val="16"/>
          <w:szCs w:val="16"/>
        </w:rPr>
      </w:pPr>
      <w:r w:rsidRPr="00507A31">
        <w:rPr>
          <w:color w:val="0070C0"/>
          <w:sz w:val="16"/>
          <w:szCs w:val="16"/>
        </w:rPr>
        <w:t>Эти системы следующие:</w:t>
      </w:r>
    </w:p>
    <w:p w14:paraId="3D9CDC5D" w14:textId="77777777" w:rsidR="002E0B91" w:rsidRPr="00507A31" w:rsidRDefault="002E0B91" w:rsidP="00507A31">
      <w:pPr>
        <w:jc w:val="both"/>
        <w:rPr>
          <w:color w:val="0070C0"/>
          <w:sz w:val="16"/>
          <w:szCs w:val="16"/>
        </w:rPr>
      </w:pPr>
      <w:r w:rsidRPr="00507A31">
        <w:rPr>
          <w:color w:val="0070C0"/>
          <w:sz w:val="16"/>
          <w:szCs w:val="16"/>
        </w:rPr>
        <w:t>1) 3-х дюймовая (76-мм) зенитная пушка, имеющая по своим баллистическим качествам ряд больших преимуществ против находящейся в настоящее время на вооружении аналогичной нашей системы, как то: высота по зениту до 10 км и горизонтальная дальность до 16 км при 20 выстрелах в минуту; эта система не уступает соответствующим американским зениткам.</w:t>
      </w:r>
    </w:p>
    <w:p w14:paraId="45BEA178" w14:textId="77777777" w:rsidR="002E0B91" w:rsidRPr="00507A31" w:rsidRDefault="002E0B91" w:rsidP="00507A31">
      <w:pPr>
        <w:jc w:val="both"/>
        <w:rPr>
          <w:color w:val="0070C0"/>
          <w:sz w:val="16"/>
          <w:szCs w:val="16"/>
        </w:rPr>
      </w:pPr>
      <w:r w:rsidRPr="00507A31">
        <w:rPr>
          <w:color w:val="0070C0"/>
          <w:sz w:val="16"/>
          <w:szCs w:val="16"/>
        </w:rPr>
        <w:t>2) 15-ти сантиметровый миномет, вес снаряда до 40 кг (в настоящее время идет переконструирование в соответствии с нашими требованиями), дальность 4800 метров, вес системы ИЗО кг.</w:t>
      </w:r>
    </w:p>
    <w:p w14:paraId="3D454F96" w14:textId="77777777" w:rsidR="002E0B91" w:rsidRPr="00507A31" w:rsidRDefault="002E0B91" w:rsidP="00507A31">
      <w:pPr>
        <w:jc w:val="both"/>
        <w:rPr>
          <w:color w:val="0070C0"/>
          <w:sz w:val="16"/>
          <w:szCs w:val="16"/>
        </w:rPr>
      </w:pPr>
      <w:r w:rsidRPr="00507A31">
        <w:rPr>
          <w:color w:val="0070C0"/>
          <w:sz w:val="16"/>
          <w:szCs w:val="16"/>
        </w:rPr>
        <w:t>3) 37 мм противотанковая пушка (система, не имеющаяся в настоящее время на вооружении РККА и лучшая из известных систем противотанковых пушек данного калибра), вес системы 310 кг.</w:t>
      </w:r>
    </w:p>
    <w:p w14:paraId="270B02EA" w14:textId="77777777" w:rsidR="002E0B91" w:rsidRPr="00507A31" w:rsidRDefault="002E0B91" w:rsidP="00507A31">
      <w:pPr>
        <w:jc w:val="both"/>
        <w:rPr>
          <w:color w:val="0070C0"/>
          <w:sz w:val="16"/>
          <w:szCs w:val="16"/>
        </w:rPr>
      </w:pPr>
      <w:r w:rsidRPr="00507A31">
        <w:rPr>
          <w:color w:val="0070C0"/>
          <w:sz w:val="16"/>
          <w:szCs w:val="16"/>
        </w:rPr>
        <w:t>4) 2-х сантиметровая автоматическая пушка (пулемет), предназначенная как для борьбы против танков, так и для стрельбы по зенитным целям;</w:t>
      </w:r>
    </w:p>
    <w:p w14:paraId="6C7B812E" w14:textId="77777777" w:rsidR="002E0B91" w:rsidRPr="00507A31" w:rsidRDefault="002E0B91" w:rsidP="00507A31">
      <w:pPr>
        <w:jc w:val="both"/>
        <w:rPr>
          <w:color w:val="0070C0"/>
          <w:sz w:val="16"/>
          <w:szCs w:val="16"/>
        </w:rPr>
      </w:pPr>
      <w:r w:rsidRPr="00507A31">
        <w:rPr>
          <w:color w:val="0070C0"/>
          <w:sz w:val="16"/>
          <w:szCs w:val="16"/>
        </w:rPr>
        <w:t>Примечание: системы 1, 2, 3, 4 были осмотрены нашей комиссией и отстреляны в ее присутствии на полигоне в Германии, показав удовлетворительные результаты.</w:t>
      </w:r>
    </w:p>
    <w:p w14:paraId="5917A810" w14:textId="77777777" w:rsidR="002E0B91" w:rsidRPr="00507A31" w:rsidRDefault="002E0B91" w:rsidP="00507A31">
      <w:pPr>
        <w:jc w:val="both"/>
        <w:rPr>
          <w:color w:val="0070C0"/>
          <w:sz w:val="16"/>
          <w:szCs w:val="16"/>
        </w:rPr>
      </w:pPr>
      <w:r w:rsidRPr="00507A31">
        <w:rPr>
          <w:color w:val="0070C0"/>
          <w:sz w:val="16"/>
          <w:szCs w:val="16"/>
        </w:rPr>
        <w:t>5) 2 системы - 6-ти дюймовая гаубица и 37-мм автоматическая зенитная пушка; эти системы уже сконструированы, имеются рабочие чертежи, но опытные образцы еще не изготовлены – будут производиться на наших заводах из нашего материала.</w:t>
      </w:r>
    </w:p>
    <w:p w14:paraId="7B974C72" w14:textId="77777777" w:rsidR="002E0B91" w:rsidRPr="00507A31" w:rsidRDefault="002E0B91" w:rsidP="00507A31">
      <w:pPr>
        <w:jc w:val="both"/>
        <w:rPr>
          <w:color w:val="0070C0"/>
          <w:sz w:val="16"/>
          <w:szCs w:val="16"/>
        </w:rPr>
      </w:pPr>
      <w:r w:rsidRPr="00507A31">
        <w:rPr>
          <w:color w:val="0070C0"/>
          <w:sz w:val="16"/>
          <w:szCs w:val="16"/>
        </w:rPr>
        <w:t>По отношению к означенным системам техническая помощь в договоре выражается в предоставлении фирмой разработанных рабочих чертежей, производственных процессов, применяемых самой фирмой в своем производстве, и в содействии в деле постановки производства на наших заводах, для чего фирмой командируются 10 человек соответствующих специалистов, в задачи которых входит составление плана производства, постановка самого производства и дача всех необходимых советов по производству в течение действия договора. Кроме того, фирма дает рабочие чертежи и оказывает техническое содействие в организации производства у нас снарядов для вышеуказанных систем и улучшенного (сверх чувствительного) взрывателя типа “Рейнметалла”.</w:t>
      </w:r>
    </w:p>
    <w:p w14:paraId="765C9B0F" w14:textId="77777777" w:rsidR="002E0B91" w:rsidRPr="00507A31" w:rsidRDefault="002E0B91" w:rsidP="00507A31">
      <w:pPr>
        <w:jc w:val="both"/>
        <w:rPr>
          <w:color w:val="0070C0"/>
          <w:sz w:val="16"/>
          <w:szCs w:val="16"/>
        </w:rPr>
      </w:pPr>
      <w:r w:rsidRPr="00507A31">
        <w:rPr>
          <w:color w:val="0070C0"/>
          <w:sz w:val="16"/>
          <w:szCs w:val="16"/>
        </w:rPr>
        <w:t>В результате осуществления этого договора предусматривается доведение производства этих систем в 1931 году (т.е. до конца календарного 1931 г.) до следующих пределов: 3-х дюймовой зенитной пушки - 58 систем, 15-ти см миномета - 168 систем, 37-мм противотанковой пушки - 390 систем и 2-х см автоматической пушки (пулемета) до 270 систем. Эта программа, по мнению немцев, может быть увеличена еще до 20%, однако, договорные гарантии на это увеличение немцы не взяли.</w:t>
      </w:r>
    </w:p>
    <w:p w14:paraId="59B59325" w14:textId="77777777" w:rsidR="002E0B91" w:rsidRPr="00507A31" w:rsidRDefault="002E0B91" w:rsidP="00507A31">
      <w:pPr>
        <w:jc w:val="both"/>
        <w:rPr>
          <w:color w:val="0070C0"/>
          <w:sz w:val="16"/>
          <w:szCs w:val="16"/>
        </w:rPr>
      </w:pPr>
      <w:r w:rsidRPr="00507A31">
        <w:rPr>
          <w:color w:val="0070C0"/>
          <w:sz w:val="16"/>
          <w:szCs w:val="16"/>
        </w:rPr>
        <w:t>Стоимость этого договора о технической помощи выражается в сумме 1 125 000 американских долларов, уплачиваемых в течение 10 лет, т.е. срока действия договора; из них 25% уплачивается фирме в течение 2-х недель по вступлении договора в силу, т.е. 7 мая с.г., следующие 25% уплачиваются в течение 2-х недель после официальной приемки первой серии всех 4-х систем (апрель 1931 г.), которые будут изготовлены на наших заводах; третьи 25% уплачиваются фирме по истечении 2-х недель после технического и механического изготовления 5-й и 6-й системы для испытания и четвертые 25% уплачиваются фирме в течение двух недель после выполнения всех взятых фирмой на себя обязательств согласно настоящего договора.</w:t>
      </w:r>
    </w:p>
    <w:p w14:paraId="25DAE6A8" w14:textId="77777777" w:rsidR="002E0B91" w:rsidRPr="00507A31" w:rsidRDefault="002E0B91" w:rsidP="00507A31">
      <w:pPr>
        <w:jc w:val="both"/>
        <w:rPr>
          <w:color w:val="0070C0"/>
          <w:sz w:val="16"/>
          <w:szCs w:val="16"/>
        </w:rPr>
      </w:pPr>
      <w:r w:rsidRPr="00507A31">
        <w:rPr>
          <w:color w:val="0070C0"/>
          <w:sz w:val="16"/>
          <w:szCs w:val="16"/>
        </w:rPr>
        <w:t>Кроме указанных здесь платежей по настоящему договору на нас ложится также обязательство по предоставлению квартир для прибывающих от фирмы специалистов, работающих над осуществлением настоящего договора и льготная организация для них всех бытовых условий.</w:t>
      </w:r>
    </w:p>
    <w:p w14:paraId="59CF8A4E" w14:textId="77777777" w:rsidR="002E0B91" w:rsidRPr="00507A31" w:rsidRDefault="002E0B91" w:rsidP="00507A31">
      <w:pPr>
        <w:jc w:val="both"/>
        <w:rPr>
          <w:color w:val="0070C0"/>
          <w:sz w:val="16"/>
          <w:szCs w:val="16"/>
        </w:rPr>
      </w:pPr>
      <w:r w:rsidRPr="00507A31">
        <w:rPr>
          <w:color w:val="0070C0"/>
          <w:sz w:val="16"/>
          <w:szCs w:val="16"/>
        </w:rPr>
        <w:t>Второе — получение от фирмы технической помощи путем организации конструкторских бюро для разработки по нашим заданиям тех систем артиллерийского вооружения, которые входят в общую систему утвержденного РВС плана перевооружения и у нас до сих пор не разработанных, т.е., главным образом, крупнокалиберных и среднекалиберных систем. По этой линии фирма обязывается прислать 20 квалифицированных специалистов-конструкторов, а также предоставить необходимые материалы из архива фирмы, дающие возможность осуществить разработку соответствующих конструкций по нашим заданиям в укороченные против наших разработок сроки, причем вместе с этими системами предусматривается также разработка по снарядам, трубкам, взрывателям и всему выстрелу в целом. В помощь вышеуказанным специалистам мы со своей стороны обязаны дать необходимое количество как своего конструкторского персонала, так и весь вспомогательный и обслуживающий штат.</w:t>
      </w:r>
    </w:p>
    <w:p w14:paraId="09F9B2EC" w14:textId="77777777" w:rsidR="002E0B91" w:rsidRPr="00507A31" w:rsidRDefault="002E0B91" w:rsidP="00507A31">
      <w:pPr>
        <w:jc w:val="both"/>
        <w:rPr>
          <w:color w:val="0070C0"/>
          <w:sz w:val="16"/>
          <w:szCs w:val="16"/>
        </w:rPr>
      </w:pPr>
      <w:r w:rsidRPr="00507A31">
        <w:rPr>
          <w:color w:val="0070C0"/>
          <w:sz w:val="16"/>
          <w:szCs w:val="16"/>
        </w:rPr>
        <w:t>Этот договор заключается с фирмой на 4 года (может быть еще продлен на 1 год) и оплачивается фирме с нашей стороны ежегодно в сумме 200 000 американских долларов в следующие сроки: 1.09.1930 г. 50 000 американских долларов, 1.12.1930 г. — 50 000 американских долларов, 1.03.1931 г, - 50 000 американских долларов и 1.04.1931 г, - 50 000 американских долларов и т.д. ежегодно и сверх этого после войсковых испытаний (давших удовлетворительные результаты первых опытных экземпляров новой артиллерийской системы, представленной по проекту разработанного бюро специалистов фирмы) предусматривается выплата премиальных вознаграждений для мелких калибров артиллерийской системы до 12 см - 20 000 американских долларов, средних калибров - от 12 до 24 см - 30 000 американских долларов за систему и за гаубицу - 40 000 американских долларов за систему; сверх этого на нас ложится также расход, связанный с предоставлением указанным специалистам квартир, средств передвижения, организация питания по удешевленным ценам и другие бытовые вопросы. По этому договору мы имеем право, помимо получения этих 20-ти специалистов, послать несколько</w:t>
      </w:r>
    </w:p>
    <w:p w14:paraId="4B51C061" w14:textId="77777777" w:rsidR="002E0B91" w:rsidRPr="00507A31" w:rsidRDefault="002E0B91" w:rsidP="00507A31">
      <w:pPr>
        <w:jc w:val="both"/>
        <w:rPr>
          <w:color w:val="0070C0"/>
          <w:sz w:val="16"/>
          <w:szCs w:val="16"/>
        </w:rPr>
      </w:pPr>
      <w:r w:rsidRPr="00507A31">
        <w:rPr>
          <w:color w:val="0070C0"/>
          <w:sz w:val="16"/>
          <w:szCs w:val="16"/>
        </w:rPr>
        <w:t>своих специалистов в конструкторское бюро фирмы для изучения интересующих нас и разработанных фирмой непосредственно в Германии артиллерийских систем и артиллерийского дела, поскольку фирма ими занимается.</w:t>
      </w:r>
    </w:p>
    <w:p w14:paraId="1A4E2F5E" w14:textId="77777777" w:rsidR="002E0B91" w:rsidRPr="00507A31" w:rsidRDefault="002E0B91" w:rsidP="00507A31">
      <w:pPr>
        <w:jc w:val="both"/>
        <w:rPr>
          <w:color w:val="0070C0"/>
          <w:sz w:val="16"/>
          <w:szCs w:val="16"/>
        </w:rPr>
      </w:pPr>
      <w:r w:rsidRPr="00507A31">
        <w:rPr>
          <w:color w:val="0070C0"/>
          <w:sz w:val="16"/>
          <w:szCs w:val="16"/>
        </w:rPr>
        <w:t>Третье - приобретение некоторого количества артиллерийских систем частью в полуфабрикатах, частью готовых и получение от фирмы для сокращения сроков развертывания производства артиллерийских систем, указанных в первом договоре, т.е. 4-х артиллерийских систем, разработанных фирмой, технологического инструмента, специального мерительного и режущего инструмента, приспособлений и штампов.</w:t>
      </w:r>
    </w:p>
    <w:p w14:paraId="447BF2BA" w14:textId="77777777" w:rsidR="002E0B91" w:rsidRPr="00507A31" w:rsidRDefault="002E0B91" w:rsidP="00507A31">
      <w:pPr>
        <w:jc w:val="both"/>
        <w:rPr>
          <w:color w:val="0070C0"/>
          <w:sz w:val="16"/>
          <w:szCs w:val="16"/>
        </w:rPr>
      </w:pPr>
      <w:r w:rsidRPr="00507A31">
        <w:rPr>
          <w:color w:val="0070C0"/>
          <w:sz w:val="16"/>
          <w:szCs w:val="16"/>
        </w:rPr>
        <w:t>За этот третий договор мы обязаны заплатить фирме 1 168 000 американских долларов причем за инструмент, приспособление и штамп уплачивается 900 000 американских долларов, а остальные 268 000 идут на готовые и полуготовые артиллерийские системы, т.е. 4 зенитки (частью полуфабрикаты) стоимостью 87 000 американских долларов, 8 минометов (часть полуфабрикаты) 56 000 американских долларов, 12 противотанковых 37 мм пушек (частью полуфабракатами) - 25 000 американских долларов, кроме того 30 готовых полностью 37 мм противотанковых систем - 100 000 американских долларов. Сроки уплаты: 25% 7.06.1930 г., 25 % после готовности половины каждого отдельного составляющего заказа, 25% после представления документов по погрузке и остальные 25% уплачиваются после готовности у нас на заводе первой трети систем, причем эта последняя четверть уплачивается 3-х месячными векселями с правом пролонгирования еще на 3 месяца.</w:t>
      </w:r>
    </w:p>
    <w:p w14:paraId="621BB1A5" w14:textId="77777777" w:rsidR="002E0B91" w:rsidRPr="00507A31" w:rsidRDefault="002E0B91" w:rsidP="00507A31">
      <w:pPr>
        <w:jc w:val="both"/>
        <w:rPr>
          <w:color w:val="0070C0"/>
          <w:sz w:val="16"/>
          <w:szCs w:val="16"/>
        </w:rPr>
      </w:pPr>
      <w:r w:rsidRPr="00507A31">
        <w:rPr>
          <w:color w:val="0070C0"/>
          <w:sz w:val="16"/>
          <w:szCs w:val="16"/>
        </w:rPr>
        <w:t>Таким образом, суммируя весь вопрос о технической помощи нам от фирмы “Рейнметалл” по этим трем договорам нам предстоит всего заплатить фирме 2 493 000 американских долларов, причем в настоящем году, т.е. до октября 1930 г. придется произвести платеж в сумме 965 000 американских долларов, из них до 1 мая, если считать, что договор будет утвержден в течение ближайших дней как со стороны финансового совета фирмы, так и одобрен Советом Народных Комиссаров Союза ССР, придется произвести платеж в 625 000 американских долларов, к 1 сентября - 290 000 и к 1 октября - 50 000 (по конструкторскому бюро) и, кроме того, как гарантия для обеспечения означенного договора, как с нашей стороны, так и со стороны фирмы, должно быть выдано вексельное обязательство в размере 281 250 американских долларов, при чем правила выдачи следующие: с нашей стороны выдается гарантийное письмо через банк Гаркребо в Берлине на означенную сумму, а со стороны фирмы выдается “Дойче банк” гарантийное письмо на означенную сумму.</w:t>
      </w:r>
    </w:p>
    <w:p w14:paraId="5B7AEC3E" w14:textId="77777777" w:rsidR="002E0B91" w:rsidRPr="00507A31" w:rsidRDefault="002E0B91" w:rsidP="00507A31">
      <w:pPr>
        <w:jc w:val="both"/>
        <w:rPr>
          <w:color w:val="0070C0"/>
          <w:sz w:val="16"/>
          <w:szCs w:val="16"/>
        </w:rPr>
      </w:pPr>
      <w:r w:rsidRPr="00507A31">
        <w:rPr>
          <w:color w:val="0070C0"/>
          <w:sz w:val="16"/>
          <w:szCs w:val="16"/>
        </w:rPr>
        <w:t>Кроме того необходимо отметить, что реализация этого договора потребует в этом году расходов в валюте на приобретение необходимого оборудования для перепланировки одного из орудийных заводов, который предназначается, главным образом, для этой цели (8-й завод в Мытищах) порядка 2 000 000 рублей, на оборудование и расход внутреннего порядка, на постановку производства фасонного стального литья, немедленную заготовку полуфабрикатов, нормального инструмента, как режущего, так и мерительного, подготовку и набор необходимой рабочей силы и все мероприятия, связанные с осуществлением этого договора, в этом году в сумме порядка 1 500 000 - 2 000 000 рублей.</w:t>
      </w:r>
    </w:p>
    <w:p w14:paraId="15C5F68B" w14:textId="77777777" w:rsidR="002E0B91" w:rsidRPr="00507A31" w:rsidRDefault="002E0B91" w:rsidP="00507A31">
      <w:pPr>
        <w:jc w:val="both"/>
        <w:rPr>
          <w:color w:val="0070C0"/>
          <w:sz w:val="16"/>
          <w:szCs w:val="16"/>
        </w:rPr>
      </w:pPr>
      <w:r w:rsidRPr="00507A31">
        <w:rPr>
          <w:color w:val="0070C0"/>
          <w:sz w:val="16"/>
          <w:szCs w:val="16"/>
        </w:rPr>
        <w:t>Необходимо отметить, что принимая во внимание особую секретность означенного договора и спешность его проведения, проработка договора велась не в порядке существующих нормальных условий, т.е. привлечения к этому делу органов Концессионного комитета, а небольшой группой товарищей, которым это дело было поручено, т.е. начальником вооружений т. Уборевичем со стороны военведа и начальником ГВПУ т. Урываевым с допущением к этому делу ограниченного круга доверенных специалистов как по юридической, так и по технической части.</w:t>
      </w:r>
    </w:p>
    <w:p w14:paraId="668FFB2D" w14:textId="77777777" w:rsidR="002E0B91" w:rsidRPr="00507A31" w:rsidRDefault="002E0B91" w:rsidP="00507A31">
      <w:pPr>
        <w:jc w:val="both"/>
        <w:rPr>
          <w:color w:val="0070C0"/>
          <w:sz w:val="16"/>
          <w:szCs w:val="16"/>
        </w:rPr>
      </w:pPr>
      <w:r w:rsidRPr="00507A31">
        <w:rPr>
          <w:color w:val="0070C0"/>
          <w:sz w:val="16"/>
          <w:szCs w:val="16"/>
        </w:rPr>
        <w:t>Договор с фирмой “Рейнметалл” подписан со стороны немцев генеральными директорами фирмы Эльце2 и Лютером и с нашей стороны тов. Урываевым. Договор окончательно вступает в силу по утверждении его Совнаркомом СССР и с немецкой стороны по утверждении его финансовой комиссией Наблюдательного совета фирмы “Рейнметалл”, причем уведомления об утверждении должны быть сообщены телеграфно в ближайшие дни с последующим письменным подтверждением.</w:t>
      </w:r>
    </w:p>
    <w:p w14:paraId="3CA3CE88" w14:textId="77777777" w:rsidR="002E0B91" w:rsidRPr="00507A31" w:rsidRDefault="002E0B91" w:rsidP="00507A31">
      <w:pPr>
        <w:jc w:val="both"/>
        <w:rPr>
          <w:color w:val="0070C0"/>
          <w:sz w:val="16"/>
          <w:szCs w:val="16"/>
        </w:rPr>
      </w:pPr>
      <w:r w:rsidRPr="00507A31">
        <w:rPr>
          <w:color w:val="0070C0"/>
          <w:sz w:val="16"/>
          <w:szCs w:val="16"/>
        </w:rPr>
        <w:t>Просим подтвердить утверждение подписанного договора и разрешить производство соответствующих валютных расходов.</w:t>
      </w:r>
    </w:p>
    <w:p w14:paraId="7337016F" w14:textId="77777777" w:rsidR="002E0B91" w:rsidRPr="00507A31" w:rsidRDefault="002E0B91" w:rsidP="00507A31">
      <w:pPr>
        <w:jc w:val="both"/>
        <w:rPr>
          <w:color w:val="0070C0"/>
          <w:sz w:val="16"/>
          <w:szCs w:val="16"/>
        </w:rPr>
      </w:pPr>
      <w:r w:rsidRPr="00507A31">
        <w:rPr>
          <w:color w:val="0070C0"/>
          <w:sz w:val="16"/>
          <w:szCs w:val="16"/>
        </w:rPr>
        <w:t>Куйбышев</w:t>
      </w:r>
    </w:p>
    <w:p w14:paraId="203EEAD9" w14:textId="77777777" w:rsidR="002E0B91" w:rsidRPr="00507A31" w:rsidRDefault="002E0B91" w:rsidP="00507A31">
      <w:pPr>
        <w:jc w:val="both"/>
        <w:rPr>
          <w:color w:val="0070C0"/>
          <w:sz w:val="16"/>
          <w:szCs w:val="16"/>
        </w:rPr>
      </w:pPr>
      <w:r w:rsidRPr="00507A31">
        <w:rPr>
          <w:color w:val="0070C0"/>
          <w:sz w:val="16"/>
          <w:szCs w:val="16"/>
        </w:rPr>
        <w:t>К. Ворошилов</w:t>
      </w:r>
    </w:p>
    <w:p w14:paraId="28C4537C" w14:textId="77777777" w:rsidR="002E0B91" w:rsidRPr="00507A31" w:rsidRDefault="002E0B91" w:rsidP="00507A31">
      <w:pPr>
        <w:jc w:val="both"/>
        <w:rPr>
          <w:color w:val="0070C0"/>
          <w:sz w:val="16"/>
          <w:szCs w:val="16"/>
        </w:rPr>
      </w:pPr>
      <w:r w:rsidRPr="00507A31">
        <w:rPr>
          <w:color w:val="0070C0"/>
          <w:sz w:val="16"/>
          <w:szCs w:val="16"/>
        </w:rPr>
        <w:t>Штамп: Прот[окол] ПБ № 124, п. 11.</w:t>
      </w:r>
    </w:p>
    <w:p w14:paraId="0EC38EEC" w14:textId="77777777" w:rsidR="002E0B91" w:rsidRPr="00507A31" w:rsidRDefault="002E0B91" w:rsidP="00507A31">
      <w:pPr>
        <w:jc w:val="both"/>
        <w:rPr>
          <w:color w:val="0070C0"/>
          <w:sz w:val="16"/>
          <w:szCs w:val="16"/>
        </w:rPr>
      </w:pPr>
      <w:r w:rsidRPr="00507A31">
        <w:rPr>
          <w:color w:val="0070C0"/>
          <w:sz w:val="16"/>
          <w:szCs w:val="16"/>
        </w:rPr>
        <w:t>АП РФ. Ф. 3. On. 64. Д. 657. Л. 137—141. Подлинник (20483).</w:t>
      </w:r>
    </w:p>
    <w:p w14:paraId="7F4EA329" w14:textId="77777777" w:rsidR="002E0B91" w:rsidRPr="00507A31" w:rsidRDefault="002E0B91" w:rsidP="00507A31">
      <w:pPr>
        <w:jc w:val="both"/>
        <w:rPr>
          <w:color w:val="0070C0"/>
          <w:sz w:val="16"/>
          <w:szCs w:val="16"/>
        </w:rPr>
      </w:pPr>
    </w:p>
    <w:p w14:paraId="775F9ED6" w14:textId="77777777" w:rsidR="003A4861" w:rsidRPr="00507A31" w:rsidRDefault="003A4861"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A5D8283" w14:textId="77777777" w:rsidR="003A4861" w:rsidRPr="00507A31" w:rsidRDefault="003A4861" w:rsidP="00507A31">
      <w:pPr>
        <w:autoSpaceDE w:val="0"/>
        <w:autoSpaceDN w:val="0"/>
        <w:adjustRightInd w:val="0"/>
        <w:jc w:val="both"/>
        <w:rPr>
          <w:iCs/>
          <w:color w:val="000000" w:themeColor="text1"/>
          <w:sz w:val="16"/>
          <w:szCs w:val="16"/>
        </w:rPr>
      </w:pPr>
    </w:p>
    <w:p w14:paraId="60649E59" w14:textId="77777777" w:rsidR="003A4861" w:rsidRPr="00507A31" w:rsidRDefault="003A4861" w:rsidP="00507A31">
      <w:pPr>
        <w:jc w:val="both"/>
        <w:rPr>
          <w:color w:val="000000" w:themeColor="text1"/>
          <w:sz w:val="16"/>
          <w:szCs w:val="16"/>
        </w:rPr>
      </w:pPr>
      <w:r w:rsidRPr="00507A31">
        <w:rPr>
          <w:color w:val="000000" w:themeColor="text1"/>
          <w:sz w:val="16"/>
          <w:szCs w:val="16"/>
        </w:rPr>
        <w:t>24 апреля 1930 года ОГПУ было организовано специальное бюро из числа осужденных специалистов железнодорожного транспорта. Они занимались проектированием и постройкой: товарных паровозов серии ФД, сверхмощного пассажирского паровоза серии ИС, мощного товарного электровоза серии ВЛ, мощного пассажирского электровоза серии ПБ, сверхмощного товаро-пассажирского тепловоза серии ВМ и вагонного замедлителя для сортировочных горок. Специальное бюро принимало участие в разработке рабочих чертежей, строительстве паровозов, электровозов и т.п. и оказывало помощь в организации серийного производства и освоения этих локомотивов. Паровоз ФД, принятый как основной тип товарного паровоза для железных дорог СССР, показал в работе высокие эксплуатационные и конструктивные качества и широко внедрялся на важнейших направлениях (18728).</w:t>
      </w:r>
    </w:p>
    <w:p w14:paraId="0F1BB678" w14:textId="77777777" w:rsidR="003A4861" w:rsidRPr="00507A31" w:rsidRDefault="003A4861" w:rsidP="00507A31">
      <w:pPr>
        <w:jc w:val="both"/>
        <w:rPr>
          <w:color w:val="000000" w:themeColor="text1"/>
          <w:sz w:val="16"/>
          <w:szCs w:val="16"/>
        </w:rPr>
      </w:pPr>
    </w:p>
    <w:p w14:paraId="3533CFE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FBC384C" w14:textId="77777777" w:rsidR="00537E5F" w:rsidRPr="00507A31" w:rsidRDefault="00537E5F" w:rsidP="00507A31">
      <w:pPr>
        <w:autoSpaceDE w:val="0"/>
        <w:autoSpaceDN w:val="0"/>
        <w:adjustRightInd w:val="0"/>
        <w:jc w:val="both"/>
        <w:rPr>
          <w:iCs/>
          <w:color w:val="000000" w:themeColor="text1"/>
          <w:sz w:val="16"/>
          <w:szCs w:val="16"/>
        </w:rPr>
      </w:pPr>
    </w:p>
    <w:p w14:paraId="12C891DB" w14:textId="77777777" w:rsidR="00E20F08" w:rsidRPr="00507A31" w:rsidRDefault="00E20F08" w:rsidP="00507A31">
      <w:pPr>
        <w:jc w:val="both"/>
        <w:rPr>
          <w:color w:val="000000" w:themeColor="text1"/>
          <w:sz w:val="16"/>
          <w:szCs w:val="16"/>
        </w:rPr>
      </w:pPr>
      <w:r w:rsidRPr="00507A31">
        <w:rPr>
          <w:color w:val="000000" w:themeColor="text1"/>
          <w:sz w:val="16"/>
          <w:szCs w:val="16"/>
        </w:rPr>
        <w:t>24 апреля в 1930 году начались летные испытания легкого спортивного самолета «RWD-3». «RWD-3» - легкий спортивный самолет, разработанный инженерами Stanisaw Rogalski, Stanisaw Wigura и Jerzy Drzewiecki. В 1929 году авиационный департамент отверг «RWD-2» в роли легкого многоцелевого самолета для польской армии. Чтобы удовлетворить требования военных на базе «RDW-2» был создан «RWD-3». Самолет был построен в двух экземплярах - один для статических испытаний, а второй - для летных. «RWD-3» имел складывающие крылья шасси, что позволяло транспортировать его на грузовике. Однако прототип военные забраковали. Поэтому в мае 1930 года аппарат передали в Варшавский аэроклуб, где он получил обозначение «SP-WAA» (15109).</w:t>
      </w:r>
    </w:p>
    <w:p w14:paraId="339034A8" w14:textId="77777777" w:rsidR="00E20F08" w:rsidRPr="00507A31" w:rsidRDefault="00E20F08" w:rsidP="00507A31">
      <w:pPr>
        <w:jc w:val="both"/>
        <w:rPr>
          <w:color w:val="000000" w:themeColor="text1"/>
          <w:sz w:val="16"/>
          <w:szCs w:val="16"/>
        </w:rPr>
      </w:pPr>
    </w:p>
    <w:p w14:paraId="3E40F06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24 апреля 1930 Эдда Муссолини (дочь итальянского диктатора) вышла замуж за графа Галеаццо Чиано (4962).</w:t>
      </w:r>
    </w:p>
    <w:p w14:paraId="5C53F51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BEF34E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2CC38F6" w14:textId="77777777" w:rsidR="00537E5F" w:rsidRPr="00507A31" w:rsidRDefault="00537E5F" w:rsidP="00507A31">
      <w:pPr>
        <w:autoSpaceDE w:val="0"/>
        <w:autoSpaceDN w:val="0"/>
        <w:adjustRightInd w:val="0"/>
        <w:jc w:val="both"/>
        <w:rPr>
          <w:iCs/>
          <w:color w:val="000000" w:themeColor="text1"/>
          <w:sz w:val="16"/>
          <w:szCs w:val="16"/>
        </w:rPr>
      </w:pPr>
    </w:p>
    <w:p w14:paraId="2FB209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апреля 1930 состоялось техническое совещание руководителей групп отдела АГОС по о заказах на ТБ-4 (1077,170) и П.О.С. говорил об электрооборудовании Р-7 (Р-10) (1102).</w:t>
      </w:r>
    </w:p>
    <w:p w14:paraId="5C128087" w14:textId="77777777" w:rsidR="00537E5F" w:rsidRPr="00507A31" w:rsidRDefault="00537E5F" w:rsidP="00507A31">
      <w:pPr>
        <w:autoSpaceDE w:val="0"/>
        <w:autoSpaceDN w:val="0"/>
        <w:adjustRightInd w:val="0"/>
        <w:jc w:val="both"/>
        <w:rPr>
          <w:color w:val="000000" w:themeColor="text1"/>
          <w:sz w:val="16"/>
          <w:szCs w:val="16"/>
        </w:rPr>
      </w:pPr>
    </w:p>
    <w:p w14:paraId="4CD9B374" w14:textId="77777777" w:rsidR="00F42E0E" w:rsidRPr="00507A31" w:rsidRDefault="00F42E0E" w:rsidP="00507A31">
      <w:pPr>
        <w:jc w:val="both"/>
        <w:rPr>
          <w:color w:val="000000" w:themeColor="text1"/>
          <w:sz w:val="16"/>
          <w:szCs w:val="16"/>
          <w:u w:color="002060"/>
        </w:rPr>
      </w:pPr>
      <w:r w:rsidRPr="00507A31">
        <w:rPr>
          <w:color w:val="000000" w:themeColor="text1"/>
          <w:sz w:val="16"/>
          <w:szCs w:val="16"/>
          <w:u w:color="002060"/>
        </w:rPr>
        <w:t>25 апреля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124. 10. О Кертисе. (ПБ от 25 октября 1929 г., пр. № 105, п. 15). (Баранов, Брон, Павлуновский). Постановили: создать комиссию в составе т. Уншлихта (председатель), Туполева, Прокофьева, Михайлова, Рухимовича, Баранова и Павлуновского как для проверки сообщения т. Баранова на настоящем заседании Политбюро, так и для определения того, в каких странах и с какими фирмами должны вестись переговоры о технической помощи для организации в СССР производства самолетов и авиамоторов лучших типов. (РГАСПИ. Ф. 17. Оп. 162. Д. 8. Л. 137) (12416).</w:t>
      </w:r>
    </w:p>
    <w:p w14:paraId="56C63F02" w14:textId="77777777" w:rsidR="00F42E0E" w:rsidRPr="00507A31" w:rsidRDefault="00F42E0E" w:rsidP="00507A31">
      <w:pPr>
        <w:jc w:val="both"/>
        <w:rPr>
          <w:color w:val="000000" w:themeColor="text1"/>
          <w:sz w:val="16"/>
          <w:szCs w:val="16"/>
          <w:u w:color="002060"/>
        </w:rPr>
      </w:pPr>
    </w:p>
    <w:p w14:paraId="0E6C0FB7" w14:textId="77777777" w:rsidR="00336999" w:rsidRPr="00507A31" w:rsidRDefault="00336999" w:rsidP="00507A31">
      <w:pPr>
        <w:jc w:val="both"/>
        <w:rPr>
          <w:color w:val="000000" w:themeColor="text1"/>
          <w:sz w:val="16"/>
          <w:szCs w:val="16"/>
        </w:rPr>
      </w:pPr>
      <w:r w:rsidRPr="00507A31">
        <w:rPr>
          <w:color w:val="000000" w:themeColor="text1"/>
          <w:sz w:val="16"/>
          <w:szCs w:val="16"/>
        </w:rPr>
        <w:t>25 апреля 1930 г. Протокол ПБ № 124 п.10: О Кертисе (Баранов, Брон, Павлуновский; ПБ от 25-10-1929, протокол № 105, п.15) – ОП. Решено: Создать комиссию в составе Уншлихта (председатель), Туполева, Прокофьева, Михайлова, Рухимовича, Баранова и Павлуновского как для проверки сообщения Баранова на настоящем заседании Политбюро, так и для определения того, в каких странах и с какими фирмами должны вестись переговоры о технической помощи для организации в СССР производства самолетов и авиамоторов лучших типов (15894).</w:t>
      </w:r>
    </w:p>
    <w:p w14:paraId="62A386BE" w14:textId="77777777" w:rsidR="00336999" w:rsidRPr="00507A31" w:rsidRDefault="00336999" w:rsidP="00507A31">
      <w:pPr>
        <w:jc w:val="both"/>
        <w:rPr>
          <w:color w:val="000000" w:themeColor="text1"/>
          <w:sz w:val="16"/>
          <w:szCs w:val="16"/>
        </w:rPr>
      </w:pPr>
    </w:p>
    <w:p w14:paraId="7F7B737B" w14:textId="77777777" w:rsidR="00FF5E7D" w:rsidRPr="00507A31" w:rsidRDefault="00FF5E7D" w:rsidP="00507A31">
      <w:pPr>
        <w:jc w:val="both"/>
        <w:rPr>
          <w:color w:val="0070C0"/>
          <w:sz w:val="16"/>
          <w:szCs w:val="16"/>
        </w:rPr>
      </w:pPr>
      <w:r w:rsidRPr="00507A31">
        <w:rPr>
          <w:color w:val="0070C0"/>
          <w:sz w:val="16"/>
          <w:szCs w:val="16"/>
        </w:rPr>
        <w:t>25 апреля 1930 состоялось заседание ПБ (Протокол № 124. Особый № 122)</w:t>
      </w:r>
    </w:p>
    <w:p w14:paraId="3E0A2853" w14:textId="77777777" w:rsidR="00FF5E7D" w:rsidRPr="00507A31" w:rsidRDefault="00FF5E7D" w:rsidP="00507A31">
      <w:pPr>
        <w:jc w:val="both"/>
        <w:rPr>
          <w:color w:val="0070C0"/>
          <w:sz w:val="16"/>
          <w:szCs w:val="16"/>
        </w:rPr>
      </w:pPr>
      <w:r w:rsidRPr="00507A31">
        <w:rPr>
          <w:color w:val="0070C0"/>
          <w:sz w:val="16"/>
          <w:szCs w:val="16"/>
        </w:rPr>
        <w:t>10.- О Кертисе.</w:t>
      </w:r>
    </w:p>
    <w:p w14:paraId="26B9CEB2" w14:textId="77777777" w:rsidR="00FF5E7D" w:rsidRPr="00507A31" w:rsidRDefault="00FF5E7D" w:rsidP="00507A31">
      <w:pPr>
        <w:jc w:val="both"/>
        <w:rPr>
          <w:color w:val="0070C0"/>
          <w:sz w:val="16"/>
          <w:szCs w:val="16"/>
        </w:rPr>
      </w:pPr>
      <w:r w:rsidRPr="00507A31">
        <w:rPr>
          <w:color w:val="0070C0"/>
          <w:sz w:val="16"/>
          <w:szCs w:val="16"/>
        </w:rPr>
        <w:t>(ПБ от 25.Х.29 г., Пр. № 105, п. 11.15).</w:t>
      </w:r>
    </w:p>
    <w:p w14:paraId="413B54A3" w14:textId="77777777" w:rsidR="00FF5E7D" w:rsidRPr="00507A31" w:rsidRDefault="00FF5E7D" w:rsidP="00507A31">
      <w:pPr>
        <w:jc w:val="both"/>
        <w:rPr>
          <w:color w:val="0070C0"/>
          <w:sz w:val="16"/>
          <w:szCs w:val="16"/>
        </w:rPr>
      </w:pPr>
      <w:r w:rsidRPr="00507A31">
        <w:rPr>
          <w:color w:val="0070C0"/>
          <w:sz w:val="16"/>
          <w:szCs w:val="16"/>
        </w:rPr>
        <w:t>(т.т. Баранов, Брон, Павлуновский).</w:t>
      </w:r>
    </w:p>
    <w:p w14:paraId="1C2AC01E" w14:textId="77777777" w:rsidR="00FF5E7D" w:rsidRPr="00507A31" w:rsidRDefault="00FF5E7D" w:rsidP="00507A31">
      <w:pPr>
        <w:jc w:val="both"/>
        <w:rPr>
          <w:color w:val="0070C0"/>
          <w:sz w:val="16"/>
          <w:szCs w:val="16"/>
        </w:rPr>
      </w:pPr>
      <w:r w:rsidRPr="00507A31">
        <w:rPr>
          <w:color w:val="0070C0"/>
          <w:sz w:val="16"/>
          <w:szCs w:val="16"/>
        </w:rPr>
        <w:t>Создать комиссию в составе т.т. Уншлихта (председатель), Туполева, Прокофьева, Михайлова, Рухимовича, Баранова и Павлуновского как для проверки сообщения т. Баранова на настоящем заседании Политбюро, так и для определения того, в каких стра</w:t>
      </w:r>
      <w:r w:rsidRPr="00507A31">
        <w:rPr>
          <w:color w:val="0070C0"/>
          <w:sz w:val="16"/>
          <w:szCs w:val="16"/>
        </w:rPr>
        <w:softHyphen/>
        <w:t>нах и с какими фирмами должны вестись переговоры о технической помоги для организации в СССР производства самолетов и авиамоторов лучших типов.</w:t>
      </w:r>
    </w:p>
    <w:p w14:paraId="2F18FCA4" w14:textId="77777777" w:rsidR="00FF5E7D" w:rsidRPr="00507A31" w:rsidRDefault="00FF5E7D" w:rsidP="00507A31">
      <w:pPr>
        <w:jc w:val="both"/>
        <w:rPr>
          <w:color w:val="0070C0"/>
          <w:sz w:val="16"/>
          <w:szCs w:val="16"/>
        </w:rPr>
      </w:pPr>
      <w:r w:rsidRPr="00507A31">
        <w:rPr>
          <w:color w:val="0070C0"/>
          <w:sz w:val="16"/>
          <w:szCs w:val="16"/>
        </w:rPr>
        <w:t>Выписки посланы: т.т. Уншлихту, Прокофьеву, Михайлову, Рухимовичу, Баранову, Павлуновскому</w:t>
      </w:r>
    </w:p>
    <w:p w14:paraId="6CA0ECD4" w14:textId="77777777" w:rsidR="00FF5E7D" w:rsidRPr="00507A31" w:rsidRDefault="00FF5E7D" w:rsidP="00507A31">
      <w:pPr>
        <w:jc w:val="both"/>
        <w:rPr>
          <w:color w:val="0070C0"/>
          <w:sz w:val="16"/>
          <w:szCs w:val="16"/>
        </w:rPr>
      </w:pPr>
      <w:r w:rsidRPr="00507A31">
        <w:rPr>
          <w:color w:val="0070C0"/>
          <w:sz w:val="16"/>
          <w:szCs w:val="16"/>
        </w:rPr>
        <w:t>64.- О "Кристи".</w:t>
      </w:r>
    </w:p>
    <w:p w14:paraId="74AA6544" w14:textId="77777777" w:rsidR="00FF5E7D" w:rsidRPr="00507A31" w:rsidRDefault="00FF5E7D" w:rsidP="00507A31">
      <w:pPr>
        <w:jc w:val="both"/>
        <w:rPr>
          <w:color w:val="0070C0"/>
          <w:sz w:val="16"/>
          <w:szCs w:val="16"/>
        </w:rPr>
      </w:pPr>
      <w:r w:rsidRPr="00507A31">
        <w:rPr>
          <w:color w:val="0070C0"/>
          <w:sz w:val="16"/>
          <w:szCs w:val="16"/>
        </w:rPr>
        <w:t>(т.Ворошилов).</w:t>
      </w:r>
    </w:p>
    <w:p w14:paraId="47FBE367" w14:textId="77777777" w:rsidR="00FF5E7D" w:rsidRPr="00507A31" w:rsidRDefault="00FF5E7D" w:rsidP="00507A31">
      <w:pPr>
        <w:jc w:val="both"/>
        <w:rPr>
          <w:color w:val="0070C0"/>
          <w:sz w:val="16"/>
          <w:szCs w:val="16"/>
        </w:rPr>
      </w:pPr>
      <w:r w:rsidRPr="00507A31">
        <w:rPr>
          <w:color w:val="0070C0"/>
          <w:sz w:val="16"/>
          <w:szCs w:val="16"/>
        </w:rPr>
        <w:t>Принять предложение т. Ворошилова.</w:t>
      </w:r>
    </w:p>
    <w:p w14:paraId="254FD072" w14:textId="77777777" w:rsidR="00FF5E7D" w:rsidRPr="00507A31" w:rsidRDefault="00FF5E7D" w:rsidP="00507A31">
      <w:pPr>
        <w:jc w:val="both"/>
        <w:rPr>
          <w:color w:val="0070C0"/>
          <w:sz w:val="16"/>
          <w:szCs w:val="16"/>
        </w:rPr>
      </w:pPr>
      <w:r w:rsidRPr="00507A31">
        <w:rPr>
          <w:color w:val="0070C0"/>
          <w:sz w:val="16"/>
          <w:szCs w:val="16"/>
        </w:rPr>
        <w:t>Выписка послана: т. Ворошилову.</w:t>
      </w:r>
    </w:p>
    <w:p w14:paraId="01FC59B8" w14:textId="77777777" w:rsidR="00FF5E7D" w:rsidRPr="00507A31" w:rsidRDefault="00FF5E7D" w:rsidP="00507A31">
      <w:pPr>
        <w:jc w:val="both"/>
        <w:rPr>
          <w:color w:val="0070C0"/>
          <w:sz w:val="16"/>
          <w:szCs w:val="16"/>
        </w:rPr>
      </w:pPr>
      <w:r w:rsidRPr="00507A31">
        <w:rPr>
          <w:color w:val="0070C0"/>
          <w:sz w:val="16"/>
          <w:szCs w:val="16"/>
        </w:rPr>
        <w:t>20 апреля 1930 опросом членов ПБ</w:t>
      </w:r>
    </w:p>
    <w:p w14:paraId="490A9314" w14:textId="77777777" w:rsidR="00FF5E7D" w:rsidRPr="00507A31" w:rsidRDefault="00FF5E7D" w:rsidP="00507A31">
      <w:pPr>
        <w:jc w:val="both"/>
        <w:rPr>
          <w:color w:val="0070C0"/>
          <w:sz w:val="16"/>
          <w:szCs w:val="16"/>
        </w:rPr>
      </w:pPr>
      <w:r w:rsidRPr="00507A31">
        <w:rPr>
          <w:color w:val="0070C0"/>
          <w:sz w:val="16"/>
          <w:szCs w:val="16"/>
        </w:rPr>
        <w:t>98.- Вопрос т. Ворошилова.</w:t>
      </w:r>
    </w:p>
    <w:p w14:paraId="35B938B1" w14:textId="77777777" w:rsidR="00FF5E7D" w:rsidRPr="00507A31" w:rsidRDefault="00FF5E7D" w:rsidP="00507A31">
      <w:pPr>
        <w:jc w:val="both"/>
        <w:rPr>
          <w:color w:val="0070C0"/>
          <w:sz w:val="16"/>
          <w:szCs w:val="16"/>
        </w:rPr>
      </w:pPr>
      <w:r w:rsidRPr="00507A31">
        <w:rPr>
          <w:color w:val="0070C0"/>
          <w:sz w:val="16"/>
          <w:szCs w:val="16"/>
        </w:rPr>
        <w:t>(ПБ от 15.1.30 г., пр. № 113, П.11-Д).</w:t>
      </w:r>
    </w:p>
    <w:p w14:paraId="1DC0A14A" w14:textId="77777777" w:rsidR="00FF5E7D" w:rsidRPr="00507A31" w:rsidRDefault="00FF5E7D" w:rsidP="00507A31">
      <w:pPr>
        <w:jc w:val="both"/>
        <w:rPr>
          <w:color w:val="0070C0"/>
          <w:sz w:val="16"/>
          <w:szCs w:val="16"/>
        </w:rPr>
      </w:pPr>
      <w:r w:rsidRPr="00507A31">
        <w:rPr>
          <w:color w:val="0070C0"/>
          <w:sz w:val="16"/>
          <w:szCs w:val="16"/>
        </w:rPr>
        <w:t>(т.Ворошилов).</w:t>
      </w:r>
    </w:p>
    <w:p w14:paraId="01F85633" w14:textId="77777777" w:rsidR="00FF5E7D" w:rsidRPr="00507A31" w:rsidRDefault="00FF5E7D" w:rsidP="00507A31">
      <w:pPr>
        <w:jc w:val="both"/>
        <w:rPr>
          <w:color w:val="0070C0"/>
          <w:sz w:val="16"/>
          <w:szCs w:val="16"/>
        </w:rPr>
      </w:pPr>
      <w:r w:rsidRPr="00507A31">
        <w:rPr>
          <w:color w:val="0070C0"/>
          <w:sz w:val="16"/>
          <w:szCs w:val="16"/>
        </w:rPr>
        <w:t>Удовлетворить просьбу т. Ворошилова об отсрочке доклада об упорядочении и ускорении конструкторских работ по воору</w:t>
      </w:r>
      <w:r w:rsidRPr="00507A31">
        <w:rPr>
          <w:color w:val="0070C0"/>
          <w:sz w:val="16"/>
          <w:szCs w:val="16"/>
        </w:rPr>
        <w:softHyphen/>
        <w:t>жению до 15.У1. с.г.</w:t>
      </w:r>
    </w:p>
    <w:p w14:paraId="2F0F8C7D" w14:textId="77777777" w:rsidR="00FF5E7D" w:rsidRPr="00507A31" w:rsidRDefault="00FF5E7D" w:rsidP="00507A31">
      <w:pPr>
        <w:jc w:val="both"/>
        <w:rPr>
          <w:color w:val="0070C0"/>
          <w:sz w:val="16"/>
          <w:szCs w:val="16"/>
        </w:rPr>
      </w:pPr>
      <w:r w:rsidRPr="00507A31">
        <w:rPr>
          <w:color w:val="0070C0"/>
          <w:sz w:val="16"/>
          <w:szCs w:val="16"/>
        </w:rPr>
        <w:t>Выписка послана: т. Ворошилову (23107).</w:t>
      </w:r>
    </w:p>
    <w:p w14:paraId="028D6677" w14:textId="77777777" w:rsidR="00FF5E7D" w:rsidRPr="00507A31" w:rsidRDefault="00FF5E7D" w:rsidP="00507A31">
      <w:pPr>
        <w:jc w:val="both"/>
        <w:rPr>
          <w:color w:val="0070C0"/>
          <w:sz w:val="16"/>
          <w:szCs w:val="16"/>
        </w:rPr>
      </w:pPr>
    </w:p>
    <w:p w14:paraId="367507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апреля 1930 года на заседании Политбюро ЦК ВКП(б) по вопросу привлечение иностранных специалистов к разработке новой авиатехники непосредственно в СССР было принято следующее решение: «Для перенесения к нам иностранного опыта… всемерно добиваться привлечения для работы в нашей авиамоторостроительной промышленности лучших иностранных инженеров, техников, квалифицированных мастеров» (Российский государственный военный архив (РГВА). Ф. 4. Оп. 19. Д. 10. Л. 305.).</w:t>
      </w:r>
    </w:p>
    <w:p w14:paraId="42B764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Ответственность за выполнение подобных задач возлагалась не только на авиатрест, но и на наркоматы иностранных дел и труда СССР. Сотрудничество с Западом в этом направлении началось практически сразу после окончания Гражданской войны, ибо довольно быстро выяснилось, что Рабочекрестьянский красный воздушный флот (РККВФ, иногда — КВФ) остро нуждался в зарубежных квалифицированных кадрах (Архив внешней политики Российской Федерации (АВП РФ). Ф. 082. Оп. 4. Д. 8. Л. 38.).</w:t>
      </w:r>
    </w:p>
    <w:p w14:paraId="108671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Наиболее значительный след в отечественном авиастроении оставили зарубежные специалисты, занимавшиеся опытно-конструкторской работой. Кроме известных нашей общественности имен — итальянец Р.Л. Бартини, французы П. Ришар, А. Лявиль, Оже, немец Г. Мюнцель — в последнее время выяснилось, что на этом поприще весьма плодотворно трудились также Волти, Крузи и В. Вирджили (РГВА. Ф. 4. Оп. 14. Д. 1783. Л. 34; Д.2118. Л. 12—26; Д. 360. Л. 1—5. Во многих случаях инициалы как зарубежных, так и отечественных специалистов установить не удалось.). Конструкторская деятельность последнего заслуживает, пожалуй, особого внимания (11173).</w:t>
      </w:r>
    </w:p>
    <w:p w14:paraId="10B6BA93" w14:textId="77777777" w:rsidR="00537E5F" w:rsidRPr="00507A31" w:rsidRDefault="00537E5F" w:rsidP="00507A31">
      <w:pPr>
        <w:autoSpaceDE w:val="0"/>
        <w:autoSpaceDN w:val="0"/>
        <w:adjustRightInd w:val="0"/>
        <w:jc w:val="both"/>
        <w:rPr>
          <w:color w:val="000000" w:themeColor="text1"/>
          <w:sz w:val="16"/>
          <w:szCs w:val="16"/>
        </w:rPr>
      </w:pPr>
    </w:p>
    <w:p w14:paraId="3D024BFF" w14:textId="77777777" w:rsidR="00FF5E7D" w:rsidRPr="00507A31" w:rsidRDefault="00FF5E7D" w:rsidP="00507A31">
      <w:pPr>
        <w:pStyle w:val="ae"/>
        <w:shd w:val="clear" w:color="auto" w:fill="FFFFFF"/>
        <w:spacing w:before="0" w:after="0"/>
        <w:jc w:val="both"/>
        <w:textAlignment w:val="baseline"/>
        <w:rPr>
          <w:color w:val="0070C0"/>
          <w:sz w:val="16"/>
          <w:szCs w:val="16"/>
        </w:rPr>
      </w:pPr>
      <w:r w:rsidRPr="00507A31">
        <w:rPr>
          <w:color w:val="0070C0"/>
          <w:sz w:val="16"/>
          <w:szCs w:val="16"/>
        </w:rPr>
        <w:t>25 апреля 1930 года на заседании Политбюро ЦК ВКП(б) было принято следующее решение: «Для перенесения к нам иностранного опыта… всемерно добиваться привлечения для работы в нашей авиамоторостроительной промышленности лучших иностранных инженеров, техников, квалифицированных мастеров» (РГВА. Ф. 4. Оп. 19. Д. 10. Л. 305). Ответственность за выполнение подобных задач возлагалась не только на Авиатрест, но и на наркоматы иностранных дел и труда СССР (21412).</w:t>
      </w:r>
    </w:p>
    <w:p w14:paraId="1C2A4DD4" w14:textId="77777777" w:rsidR="00FF5E7D" w:rsidRPr="00507A31" w:rsidRDefault="00FF5E7D" w:rsidP="00507A31">
      <w:pPr>
        <w:pStyle w:val="ae"/>
        <w:shd w:val="clear" w:color="auto" w:fill="FFFFFF"/>
        <w:spacing w:before="0" w:after="0"/>
        <w:jc w:val="both"/>
        <w:textAlignment w:val="baseline"/>
        <w:rPr>
          <w:color w:val="0070C0"/>
          <w:sz w:val="16"/>
          <w:szCs w:val="16"/>
        </w:rPr>
      </w:pPr>
    </w:p>
    <w:p w14:paraId="4D205412" w14:textId="77777777" w:rsidR="002B17E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C4618FE" w14:textId="77777777" w:rsidR="002B17E4" w:rsidRPr="00507A31" w:rsidRDefault="002B17E4" w:rsidP="00507A31">
      <w:pPr>
        <w:autoSpaceDE w:val="0"/>
        <w:autoSpaceDN w:val="0"/>
        <w:adjustRightInd w:val="0"/>
        <w:jc w:val="both"/>
        <w:rPr>
          <w:iCs/>
          <w:color w:val="000000" w:themeColor="text1"/>
          <w:sz w:val="16"/>
          <w:szCs w:val="16"/>
        </w:rPr>
      </w:pPr>
    </w:p>
    <w:p w14:paraId="5839BC09" w14:textId="77777777" w:rsidR="002B17E4" w:rsidRPr="00507A31" w:rsidRDefault="002B17E4" w:rsidP="00507A31">
      <w:pPr>
        <w:jc w:val="both"/>
        <w:rPr>
          <w:color w:val="000000" w:themeColor="text1"/>
          <w:sz w:val="16"/>
          <w:szCs w:val="16"/>
        </w:rPr>
      </w:pPr>
      <w:r w:rsidRPr="00507A31">
        <w:rPr>
          <w:rStyle w:val="a7"/>
          <w:b w:val="0"/>
          <w:color w:val="000000" w:themeColor="text1"/>
          <w:sz w:val="16"/>
          <w:szCs w:val="16"/>
        </w:rPr>
        <w:t xml:space="preserve">25 апреля 1930 </w:t>
      </w:r>
      <w:r w:rsidRPr="00507A31">
        <w:rPr>
          <w:color w:val="000000" w:themeColor="text1"/>
          <w:sz w:val="16"/>
          <w:szCs w:val="16"/>
        </w:rPr>
        <w:t>Политбюро ЦК ВКП (б) одобрило предложение ВСНХ об отсрочке строительства Ростовского комбайнового завода до 1930/31 г (12265).</w:t>
      </w:r>
    </w:p>
    <w:p w14:paraId="39EF9789" w14:textId="77777777" w:rsidR="002B17E4" w:rsidRPr="00507A31" w:rsidRDefault="002B17E4" w:rsidP="00507A31">
      <w:pPr>
        <w:jc w:val="both"/>
        <w:rPr>
          <w:color w:val="000000" w:themeColor="text1"/>
          <w:sz w:val="16"/>
          <w:szCs w:val="16"/>
        </w:rPr>
      </w:pPr>
      <w:r w:rsidRPr="00507A31">
        <w:rPr>
          <w:color w:val="000000" w:themeColor="text1"/>
          <w:sz w:val="16"/>
          <w:szCs w:val="16"/>
        </w:rPr>
        <w:t> </w:t>
      </w:r>
    </w:p>
    <w:p w14:paraId="37953CA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345DE36" w14:textId="77777777" w:rsidR="00537E5F" w:rsidRPr="00507A31" w:rsidRDefault="00537E5F" w:rsidP="00507A31">
      <w:pPr>
        <w:autoSpaceDE w:val="0"/>
        <w:autoSpaceDN w:val="0"/>
        <w:adjustRightInd w:val="0"/>
        <w:jc w:val="both"/>
        <w:rPr>
          <w:iCs/>
          <w:color w:val="000000" w:themeColor="text1"/>
          <w:sz w:val="16"/>
          <w:szCs w:val="16"/>
        </w:rPr>
      </w:pPr>
    </w:p>
    <w:p w14:paraId="5A6AB9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25 апреля 1930 Приказом ОГПУ № 130/63 было образовано Управление исправительно-трудовых лагерей (УЛАГ) (с 1 октября преобразованное в главк). Первоначальный штат УЛАГ составил 80 человек. Начальником Управления лагерей стал Ф.И.Эйхманс, до этого возглавлявший Соловецкие лагеря особого назначения, а затем 3 отделение Специального отдела, осуществлявшее общее руководство лагерной системой ОГПУ. Эта обширная система возникла во исполнение решения Политбюро от 27 июня 1929-го и принятого вслед за ним, 11 июля 1929-го, постановления СНК СССР "Об использовании труда уголовно-заключенных...", согласно которому все осужденные на срок свыше трех лет подлежали направлению в лагеря ОГПУ для трудового использования. С этого момента сеть лагерей ОГПУ на местах начала стремительно расти. С 1 июля по 31 декабря 1929-го численность заключенных в лагерях ОГПУ увеличилась на 72 216 человек. Всего на 1 </w:t>
      </w:r>
      <w:r w:rsidRPr="00507A31">
        <w:rPr>
          <w:color w:val="000000" w:themeColor="text1"/>
          <w:sz w:val="16"/>
          <w:szCs w:val="16"/>
        </w:rPr>
        <w:lastRenderedPageBreak/>
        <w:t>января 1930-го в лагерях ОГПУ содержалось 95 064 человека, из них 30 331 были осуждены органами ОГПУ, а остальные - судами системы Наркомата юстиции (7557).</w:t>
      </w:r>
    </w:p>
    <w:p w14:paraId="4B519B00" w14:textId="77777777" w:rsidR="00537E5F" w:rsidRPr="00507A31" w:rsidRDefault="00537E5F" w:rsidP="00507A31">
      <w:pPr>
        <w:autoSpaceDE w:val="0"/>
        <w:autoSpaceDN w:val="0"/>
        <w:adjustRightInd w:val="0"/>
        <w:jc w:val="both"/>
        <w:rPr>
          <w:color w:val="000000" w:themeColor="text1"/>
          <w:sz w:val="16"/>
          <w:szCs w:val="16"/>
        </w:rPr>
      </w:pPr>
    </w:p>
    <w:p w14:paraId="14B425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апреля 1930 года Приказом ОГПУ №130/63 ОГПУ создано Управление лагерей (УЛАГ), преобразованное в феврале 1931 года в Главное управление трудовых лагерей и трудовых поселений (ГУЛАГ) ОГПУ (8983).</w:t>
      </w:r>
    </w:p>
    <w:p w14:paraId="5E02B81D" w14:textId="77777777" w:rsidR="00537E5F" w:rsidRPr="00507A31" w:rsidRDefault="00537E5F" w:rsidP="00507A31">
      <w:pPr>
        <w:autoSpaceDE w:val="0"/>
        <w:autoSpaceDN w:val="0"/>
        <w:adjustRightInd w:val="0"/>
        <w:jc w:val="both"/>
        <w:rPr>
          <w:color w:val="000000" w:themeColor="text1"/>
          <w:sz w:val="16"/>
          <w:szCs w:val="16"/>
        </w:rPr>
      </w:pPr>
    </w:p>
    <w:p w14:paraId="295E140B" w14:textId="77777777" w:rsidR="00336999" w:rsidRPr="00507A31" w:rsidRDefault="00336999" w:rsidP="00507A31">
      <w:pPr>
        <w:jc w:val="both"/>
        <w:rPr>
          <w:color w:val="000000" w:themeColor="text1"/>
          <w:sz w:val="16"/>
          <w:szCs w:val="16"/>
        </w:rPr>
      </w:pPr>
      <w:r w:rsidRPr="00507A31">
        <w:rPr>
          <w:color w:val="000000" w:themeColor="text1"/>
          <w:sz w:val="16"/>
          <w:szCs w:val="16"/>
        </w:rPr>
        <w:t>25 апреля в 1930 году во исполнение постановления СНК от 7 апреля 1930 года, приказом ОГПУ 130/63 образовано Управление лагерями (УЛАГ, с ноября - ГУЛАГ). На него было возложено руководство всеми лагерями ОГПУ СССР: Соловецким, Вишерским, Северным, Казахстанским, Дальневосточным, Сибирским и Среднеазиатским. Приказом ОГПУ 330/198 от 2 июня 1931 года в ведение ГУЛАГа ОГПУ передана вся работа по спецпоселенцам, включая их трудовое использование. Приказом НКВД 00122 от 29 октября 1934 года в ГУЛАГ НКВД были переданы исправительно-трудовые учреждения наркомата юстиции РСФСР и других союзных республик. Для общего руководства в составе ГУЛАГа был образован Отдел мест заключения. С 10 сентября 1939 года приказом НКВД 609 в ГУЛАГ переданы трудовые колонии для несовершеннолетних и детские приемники-распределители. В том же году на ГУЛАГ было возложено руководство пересыльными тюрьмами. Вот так «Архипелаг ГУЛАГ» и расширялся, обрастая новыми, в том числе и хозяйственными функциями. Для руководства производственной деятельностью с момента образования ГУЛАГа в его составе был организован Производственно-экономический отдел, включавший в себя производственные группы и отделения, отвечавшие за отдельные направления работ. Позднее на базе этих отделений были сформированы производственные отделы ГУЛАГа: лесной промышленности, горно-металлургической, топливной, целлюлозно-бумажной, гидротехнического и морского строительства, сельскохозяйственный и другие. Закрыт ГУЛАГ был приказом МВД 020 от 25 января 1960 года. При организации ГУЛАГа его первым начальником был назначен бывший латышский стрелок Ф.И.Эйхманс, формально освобожденный от этой должности 16 июля 1930 года. Однако еще 17 июня начальником ГУЛАГа был назначен Л.И.Коган. Сменивший его 9 июня 1932 года комиссар госбезопасности 3-го ранга М.Д.Берман был отстранен от должности 16 августа 1937 года. 21 августа приказом НКВД на этот пост был назначен дивизионный интендант И.И.Плинер. Ну и так далее... Последним начальником был полковник М.Н.Холодков. В разные годы существования Управление лагерей называлось по-разному: ГУИТЛ, ГУИТК, ГУМЗ.. (15110).</w:t>
      </w:r>
    </w:p>
    <w:p w14:paraId="1933A5DE" w14:textId="77777777" w:rsidR="00336999" w:rsidRPr="00507A31" w:rsidRDefault="00336999" w:rsidP="00507A31">
      <w:pPr>
        <w:jc w:val="both"/>
        <w:rPr>
          <w:color w:val="000000" w:themeColor="text1"/>
          <w:sz w:val="16"/>
          <w:szCs w:val="16"/>
        </w:rPr>
      </w:pPr>
    </w:p>
    <w:p w14:paraId="6D6EEE2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3B2D9A2" w14:textId="77777777" w:rsidR="00537E5F" w:rsidRPr="00507A31" w:rsidRDefault="00537E5F" w:rsidP="00507A31">
      <w:pPr>
        <w:autoSpaceDE w:val="0"/>
        <w:autoSpaceDN w:val="0"/>
        <w:adjustRightInd w:val="0"/>
        <w:jc w:val="both"/>
        <w:rPr>
          <w:iCs/>
          <w:color w:val="000000" w:themeColor="text1"/>
          <w:sz w:val="16"/>
          <w:szCs w:val="16"/>
        </w:rPr>
      </w:pPr>
    </w:p>
    <w:p w14:paraId="0F53ED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апреля 1930 НТК УВВС сообщил в письме в ЦАГИ, что вес мотора М-34 при номинале 750 л.с. будет 480 кг а потом в жизни оказалось 637-750 (1077,181).</w:t>
      </w:r>
    </w:p>
    <w:p w14:paraId="21D4A6AF" w14:textId="77777777" w:rsidR="00537E5F" w:rsidRPr="00507A31" w:rsidRDefault="00537E5F" w:rsidP="00507A31">
      <w:pPr>
        <w:autoSpaceDE w:val="0"/>
        <w:autoSpaceDN w:val="0"/>
        <w:adjustRightInd w:val="0"/>
        <w:jc w:val="both"/>
        <w:rPr>
          <w:color w:val="000000" w:themeColor="text1"/>
          <w:sz w:val="16"/>
          <w:szCs w:val="16"/>
        </w:rPr>
      </w:pPr>
    </w:p>
    <w:p w14:paraId="760B49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 апреля 1930 был подготовлен</w:t>
      </w:r>
    </w:p>
    <w:p w14:paraId="2A0D1A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СПИСОК ЗАВОДОВ ТРЕСТОВ ВОЕННОЙ ПРОМЫШЛЕННОСТИ ВСНХ С УКАЗАНИЕМ ФАМИЛИЙ ДИРЕКТОРОВ и АДРЕСОВ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1339"/>
        <w:gridCol w:w="1339"/>
        <w:gridCol w:w="1574"/>
      </w:tblGrid>
      <w:tr w:rsidR="00E371BA" w:rsidRPr="00507A31" w14:paraId="397928E9" w14:textId="77777777">
        <w:tc>
          <w:tcPr>
            <w:tcW w:w="534" w:type="dxa"/>
            <w:tcBorders>
              <w:top w:val="single" w:sz="12" w:space="0" w:color="auto"/>
            </w:tcBorders>
          </w:tcPr>
          <w:p w14:paraId="53C0EE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п/п</w:t>
            </w:r>
          </w:p>
        </w:tc>
        <w:tc>
          <w:tcPr>
            <w:tcW w:w="2126" w:type="dxa"/>
            <w:tcBorders>
              <w:top w:val="single" w:sz="12" w:space="0" w:color="auto"/>
            </w:tcBorders>
          </w:tcPr>
          <w:p w14:paraId="2B8071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 ЗАВОДА</w:t>
            </w:r>
          </w:p>
        </w:tc>
        <w:tc>
          <w:tcPr>
            <w:tcW w:w="2678" w:type="dxa"/>
            <w:gridSpan w:val="2"/>
            <w:tcBorders>
              <w:top w:val="single" w:sz="12" w:space="0" w:color="auto"/>
            </w:tcBorders>
          </w:tcPr>
          <w:p w14:paraId="799019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Почтовые адреса для корреспонденции</w:t>
            </w:r>
          </w:p>
        </w:tc>
        <w:tc>
          <w:tcPr>
            <w:tcW w:w="1574" w:type="dxa"/>
            <w:tcBorders>
              <w:top w:val="single" w:sz="12" w:space="0" w:color="auto"/>
            </w:tcBorders>
          </w:tcPr>
          <w:p w14:paraId="283FFA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w:t>
            </w:r>
          </w:p>
        </w:tc>
      </w:tr>
      <w:tr w:rsidR="00E371BA" w:rsidRPr="00507A31" w14:paraId="7EF45714" w14:textId="77777777">
        <w:tc>
          <w:tcPr>
            <w:tcW w:w="534" w:type="dxa"/>
          </w:tcPr>
          <w:p w14:paraId="78233F85"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7B48B917" w14:textId="77777777" w:rsidR="00537E5F" w:rsidRPr="00507A31" w:rsidRDefault="00537E5F" w:rsidP="00507A31">
            <w:pPr>
              <w:autoSpaceDE w:val="0"/>
              <w:autoSpaceDN w:val="0"/>
              <w:adjustRightInd w:val="0"/>
              <w:jc w:val="both"/>
              <w:rPr>
                <w:color w:val="000000" w:themeColor="text1"/>
                <w:sz w:val="16"/>
                <w:szCs w:val="16"/>
              </w:rPr>
            </w:pPr>
          </w:p>
        </w:tc>
        <w:tc>
          <w:tcPr>
            <w:tcW w:w="1339" w:type="dxa"/>
          </w:tcPr>
          <w:p w14:paraId="2FF197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Секретной</w:t>
            </w:r>
          </w:p>
        </w:tc>
        <w:tc>
          <w:tcPr>
            <w:tcW w:w="1339" w:type="dxa"/>
          </w:tcPr>
          <w:p w14:paraId="624346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Простой</w:t>
            </w:r>
          </w:p>
        </w:tc>
        <w:tc>
          <w:tcPr>
            <w:tcW w:w="1574" w:type="dxa"/>
          </w:tcPr>
          <w:p w14:paraId="4A0362DB"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8DEF64E" w14:textId="77777777">
        <w:tc>
          <w:tcPr>
            <w:tcW w:w="6912" w:type="dxa"/>
            <w:gridSpan w:val="5"/>
          </w:tcPr>
          <w:p w14:paraId="7EBD8D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ВОЕННО-ХИМИЧЕСКИЙ ТРЕСТ</w:t>
            </w:r>
          </w:p>
        </w:tc>
      </w:tr>
      <w:tr w:rsidR="00E371BA" w:rsidRPr="00507A31" w14:paraId="7D287EF7" w14:textId="77777777">
        <w:tc>
          <w:tcPr>
            <w:tcW w:w="534" w:type="dxa"/>
          </w:tcPr>
          <w:p w14:paraId="2C9BF643"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76433F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Шостенский завод № 9</w:t>
            </w:r>
          </w:p>
        </w:tc>
        <w:tc>
          <w:tcPr>
            <w:tcW w:w="1339" w:type="dxa"/>
          </w:tcPr>
          <w:p w14:paraId="0CEFD4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Шостка Шостенск. Отд. связи</w:t>
            </w:r>
          </w:p>
        </w:tc>
        <w:tc>
          <w:tcPr>
            <w:tcW w:w="1339" w:type="dxa"/>
          </w:tcPr>
          <w:p w14:paraId="67BDD2AC" w14:textId="77777777" w:rsidR="00537E5F" w:rsidRPr="00507A31" w:rsidRDefault="00537E5F" w:rsidP="00507A31">
            <w:pPr>
              <w:autoSpaceDE w:val="0"/>
              <w:autoSpaceDN w:val="0"/>
              <w:adjustRightInd w:val="0"/>
              <w:jc w:val="both"/>
              <w:rPr>
                <w:color w:val="000000" w:themeColor="text1"/>
                <w:sz w:val="16"/>
                <w:szCs w:val="16"/>
              </w:rPr>
            </w:pPr>
          </w:p>
        </w:tc>
        <w:tc>
          <w:tcPr>
            <w:tcW w:w="1574" w:type="dxa"/>
          </w:tcPr>
          <w:p w14:paraId="7847FF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Урицкий</w:t>
            </w:r>
          </w:p>
        </w:tc>
      </w:tr>
      <w:tr w:rsidR="00E371BA" w:rsidRPr="00507A31" w14:paraId="3D20A093" w14:textId="77777777">
        <w:tc>
          <w:tcPr>
            <w:tcW w:w="534" w:type="dxa"/>
          </w:tcPr>
          <w:p w14:paraId="159BB1F5"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1106D0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Сергиевский завод № 11</w:t>
            </w:r>
          </w:p>
        </w:tc>
        <w:tc>
          <w:tcPr>
            <w:tcW w:w="1339" w:type="dxa"/>
          </w:tcPr>
          <w:p w14:paraId="4D8B0F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Сергиево, Моск. губ., завод № 11</w:t>
            </w:r>
          </w:p>
        </w:tc>
        <w:tc>
          <w:tcPr>
            <w:tcW w:w="1339" w:type="dxa"/>
          </w:tcPr>
          <w:p w14:paraId="6ADA0E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Сергиево, Моск. губ., почт. ящ. № 3</w:t>
            </w:r>
          </w:p>
        </w:tc>
        <w:tc>
          <w:tcPr>
            <w:tcW w:w="1574" w:type="dxa"/>
          </w:tcPr>
          <w:p w14:paraId="4A626D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Н.Д.Жиляев</w:t>
            </w:r>
          </w:p>
        </w:tc>
      </w:tr>
      <w:tr w:rsidR="00E371BA" w:rsidRPr="00507A31" w14:paraId="26CB633F" w14:textId="77777777">
        <w:tc>
          <w:tcPr>
            <w:tcW w:w="534" w:type="dxa"/>
          </w:tcPr>
          <w:p w14:paraId="27BD0211"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190517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Косякова</w:t>
            </w:r>
          </w:p>
        </w:tc>
        <w:tc>
          <w:tcPr>
            <w:tcW w:w="1339" w:type="dxa"/>
          </w:tcPr>
          <w:p w14:paraId="736DD9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 Рошаль Моск. губ., почт ящ. № 3</w:t>
            </w:r>
          </w:p>
        </w:tc>
        <w:tc>
          <w:tcPr>
            <w:tcW w:w="1339" w:type="dxa"/>
          </w:tcPr>
          <w:p w14:paraId="583824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 Рошаль Моск. губ., почт ящ. № 3</w:t>
            </w:r>
          </w:p>
        </w:tc>
        <w:tc>
          <w:tcPr>
            <w:tcW w:w="1574" w:type="dxa"/>
          </w:tcPr>
          <w:p w14:paraId="7CCB85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К.А.Алексеев</w:t>
            </w:r>
          </w:p>
        </w:tc>
      </w:tr>
      <w:tr w:rsidR="00E371BA" w:rsidRPr="00507A31" w14:paraId="5F4D2C9C" w14:textId="77777777">
        <w:tc>
          <w:tcPr>
            <w:tcW w:w="534" w:type="dxa"/>
          </w:tcPr>
          <w:p w14:paraId="63AB330A"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39D1E7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“КРАСНОЗНАМЕНЕЦ”</w:t>
            </w:r>
          </w:p>
        </w:tc>
        <w:tc>
          <w:tcPr>
            <w:tcW w:w="1339" w:type="dxa"/>
          </w:tcPr>
          <w:p w14:paraId="44AE67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30-е почт. отделение</w:t>
            </w:r>
          </w:p>
        </w:tc>
        <w:tc>
          <w:tcPr>
            <w:tcW w:w="1339" w:type="dxa"/>
          </w:tcPr>
          <w:p w14:paraId="71BF6C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30-е почт. отделение, почт. ящ. № 1</w:t>
            </w:r>
          </w:p>
        </w:tc>
        <w:tc>
          <w:tcPr>
            <w:tcW w:w="1574" w:type="dxa"/>
          </w:tcPr>
          <w:p w14:paraId="57B1E9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Г.А.Абрамов</w:t>
            </w:r>
          </w:p>
        </w:tc>
      </w:tr>
      <w:tr w:rsidR="00E371BA" w:rsidRPr="00507A31" w14:paraId="19C5FF35" w14:textId="77777777">
        <w:tc>
          <w:tcPr>
            <w:tcW w:w="534" w:type="dxa"/>
          </w:tcPr>
          <w:p w14:paraId="2EB55502"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7D8AFC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Ленина № 40</w:t>
            </w:r>
          </w:p>
        </w:tc>
        <w:tc>
          <w:tcPr>
            <w:tcW w:w="1339" w:type="dxa"/>
          </w:tcPr>
          <w:p w14:paraId="580A6A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Казань, завлд № 4</w:t>
            </w:r>
          </w:p>
        </w:tc>
        <w:tc>
          <w:tcPr>
            <w:tcW w:w="1339" w:type="dxa"/>
          </w:tcPr>
          <w:p w14:paraId="229A26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Казань, Почт. ящ. № 101.</w:t>
            </w:r>
          </w:p>
        </w:tc>
        <w:tc>
          <w:tcPr>
            <w:tcW w:w="1574" w:type="dxa"/>
          </w:tcPr>
          <w:p w14:paraId="0ECAEB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Чукшев</w:t>
            </w:r>
          </w:p>
        </w:tc>
      </w:tr>
      <w:tr w:rsidR="00E371BA" w:rsidRPr="00507A31" w14:paraId="1CA7456A" w14:textId="77777777">
        <w:tc>
          <w:tcPr>
            <w:tcW w:w="534" w:type="dxa"/>
          </w:tcPr>
          <w:p w14:paraId="5BDC49E7"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D0BFE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Богородский завод № 12</w:t>
            </w:r>
          </w:p>
        </w:tc>
        <w:tc>
          <w:tcPr>
            <w:tcW w:w="1339" w:type="dxa"/>
          </w:tcPr>
          <w:p w14:paraId="403CEC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Богородск, Моск. губ., завод № 12</w:t>
            </w:r>
          </w:p>
        </w:tc>
        <w:tc>
          <w:tcPr>
            <w:tcW w:w="1339" w:type="dxa"/>
          </w:tcPr>
          <w:p w14:paraId="7C4AD0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Богородск, Моск. губ., почт. ящ. № 1</w:t>
            </w:r>
          </w:p>
        </w:tc>
        <w:tc>
          <w:tcPr>
            <w:tcW w:w="1574" w:type="dxa"/>
          </w:tcPr>
          <w:p w14:paraId="5D1F81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А.Е.Титов</w:t>
            </w:r>
          </w:p>
        </w:tc>
      </w:tr>
      <w:tr w:rsidR="00E371BA" w:rsidRPr="00507A31" w14:paraId="4247D894" w14:textId="77777777">
        <w:tc>
          <w:tcPr>
            <w:tcW w:w="534" w:type="dxa"/>
          </w:tcPr>
          <w:p w14:paraId="581EBDFC"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E6B5B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“КРАСНЫЙ-БОЕВИК".</w:t>
            </w:r>
          </w:p>
        </w:tc>
        <w:tc>
          <w:tcPr>
            <w:tcW w:w="1339" w:type="dxa"/>
          </w:tcPr>
          <w:p w14:paraId="67A2B1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 Тамбов </w:t>
            </w:r>
          </w:p>
        </w:tc>
        <w:tc>
          <w:tcPr>
            <w:tcW w:w="1339" w:type="dxa"/>
          </w:tcPr>
          <w:p w14:paraId="67738C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Тамбов</w:t>
            </w:r>
          </w:p>
        </w:tc>
        <w:tc>
          <w:tcPr>
            <w:tcW w:w="1574" w:type="dxa"/>
          </w:tcPr>
          <w:p w14:paraId="56EC4C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Мосеев</w:t>
            </w:r>
          </w:p>
        </w:tc>
      </w:tr>
      <w:tr w:rsidR="00E371BA" w:rsidRPr="00507A31" w14:paraId="78CE0E1E" w14:textId="77777777">
        <w:tc>
          <w:tcPr>
            <w:tcW w:w="534" w:type="dxa"/>
          </w:tcPr>
          <w:p w14:paraId="594C8646"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7C803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САМАРСКИЙ завод № 15</w:t>
            </w:r>
          </w:p>
        </w:tc>
        <w:tc>
          <w:tcPr>
            <w:tcW w:w="1339" w:type="dxa"/>
          </w:tcPr>
          <w:p w14:paraId="7F39FC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 Иващенково, Сам-Златоуст ж.д., завод № 15</w:t>
            </w:r>
          </w:p>
        </w:tc>
        <w:tc>
          <w:tcPr>
            <w:tcW w:w="1339" w:type="dxa"/>
          </w:tcPr>
          <w:p w14:paraId="6EA5B3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Чапаевск, Самарской г. почт. ящ. № 15</w:t>
            </w:r>
          </w:p>
        </w:tc>
        <w:tc>
          <w:tcPr>
            <w:tcW w:w="1574" w:type="dxa"/>
          </w:tcPr>
          <w:p w14:paraId="65EAB9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П.А.Козловский</w:t>
            </w:r>
          </w:p>
        </w:tc>
      </w:tr>
      <w:tr w:rsidR="00E371BA" w:rsidRPr="00507A31" w14:paraId="3486DBDA" w14:textId="77777777">
        <w:tc>
          <w:tcPr>
            <w:tcW w:w="534" w:type="dxa"/>
          </w:tcPr>
          <w:p w14:paraId="140085E5"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731D52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Ленинградский Ульяновский завод</w:t>
            </w:r>
          </w:p>
        </w:tc>
        <w:tc>
          <w:tcPr>
            <w:tcW w:w="1339" w:type="dxa"/>
          </w:tcPr>
          <w:p w14:paraId="46EDD8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ст. Ульяновка Окт. ж.д.</w:t>
            </w:r>
          </w:p>
        </w:tc>
        <w:tc>
          <w:tcPr>
            <w:tcW w:w="1339" w:type="dxa"/>
          </w:tcPr>
          <w:p w14:paraId="2D96DC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Ленинградский Ульяновский завод</w:t>
            </w:r>
          </w:p>
        </w:tc>
        <w:tc>
          <w:tcPr>
            <w:tcW w:w="1574" w:type="dxa"/>
          </w:tcPr>
          <w:p w14:paraId="0F8676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Н.И.Егоров</w:t>
            </w:r>
          </w:p>
        </w:tc>
      </w:tr>
      <w:tr w:rsidR="00E371BA" w:rsidRPr="00507A31" w14:paraId="56F81214" w14:textId="77777777">
        <w:tc>
          <w:tcPr>
            <w:tcW w:w="534" w:type="dxa"/>
          </w:tcPr>
          <w:p w14:paraId="34ACF8D6"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AD2FD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Я. СВЕРДЛОВА № 80</w:t>
            </w:r>
          </w:p>
        </w:tc>
        <w:tc>
          <w:tcPr>
            <w:tcW w:w="1339" w:type="dxa"/>
          </w:tcPr>
          <w:p w14:paraId="3B62C6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339" w:type="dxa"/>
          </w:tcPr>
          <w:p w14:paraId="576AEE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Дзержинск, почт. Ящ. № 5</w:t>
            </w:r>
          </w:p>
        </w:tc>
        <w:tc>
          <w:tcPr>
            <w:tcW w:w="1574" w:type="dxa"/>
          </w:tcPr>
          <w:p w14:paraId="3C45A5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И.Г.Кетура</w:t>
            </w:r>
          </w:p>
        </w:tc>
      </w:tr>
      <w:tr w:rsidR="00E371BA" w:rsidRPr="00507A31" w14:paraId="2A899115" w14:textId="77777777">
        <w:tc>
          <w:tcPr>
            <w:tcW w:w="534" w:type="dxa"/>
          </w:tcPr>
          <w:p w14:paraId="05DA7577"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8D914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ШЛИССЕЛЬБУРГСКИЙ , завод им. Морозова.</w:t>
            </w:r>
          </w:p>
        </w:tc>
        <w:tc>
          <w:tcPr>
            <w:tcW w:w="1339" w:type="dxa"/>
          </w:tcPr>
          <w:p w14:paraId="2AFFA3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Шлиссельбург, Ленинградской губ., Ириновск. ветки Окт. ж/д</w:t>
            </w:r>
          </w:p>
        </w:tc>
        <w:tc>
          <w:tcPr>
            <w:tcW w:w="1339" w:type="dxa"/>
          </w:tcPr>
          <w:p w14:paraId="2C2804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Шлиссельбург з-д им. Морозова, Ириновск. линии Окт. ж/д</w:t>
            </w:r>
          </w:p>
        </w:tc>
        <w:tc>
          <w:tcPr>
            <w:tcW w:w="1574" w:type="dxa"/>
          </w:tcPr>
          <w:p w14:paraId="164D32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Волоснов</w:t>
            </w:r>
          </w:p>
        </w:tc>
      </w:tr>
      <w:tr w:rsidR="00E371BA" w:rsidRPr="00507A31" w14:paraId="63994413" w14:textId="77777777">
        <w:tc>
          <w:tcPr>
            <w:tcW w:w="534" w:type="dxa"/>
          </w:tcPr>
          <w:p w14:paraId="7A8F8BB9"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FF021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Центр. Научно-Испытат. Лаборатория ЦНИЛ № 84</w:t>
            </w:r>
          </w:p>
        </w:tc>
        <w:tc>
          <w:tcPr>
            <w:tcW w:w="1339" w:type="dxa"/>
          </w:tcPr>
          <w:p w14:paraId="6A4CCC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339" w:type="dxa"/>
          </w:tcPr>
          <w:p w14:paraId="1F5F51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30-е почт. отделение</w:t>
            </w:r>
          </w:p>
        </w:tc>
        <w:tc>
          <w:tcPr>
            <w:tcW w:w="1574" w:type="dxa"/>
          </w:tcPr>
          <w:p w14:paraId="26BE0A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56B3CB52" w14:textId="77777777">
        <w:tc>
          <w:tcPr>
            <w:tcW w:w="534" w:type="dxa"/>
          </w:tcPr>
          <w:p w14:paraId="09D5840B"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5F3746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Хоз. Строит. Ком. По постройке завода № 91 </w:t>
            </w:r>
          </w:p>
        </w:tc>
        <w:tc>
          <w:tcPr>
            <w:tcW w:w="1339" w:type="dxa"/>
          </w:tcPr>
          <w:p w14:paraId="668A39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339" w:type="dxa"/>
          </w:tcPr>
          <w:p w14:paraId="5FC52C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Павлоград</w:t>
            </w:r>
          </w:p>
        </w:tc>
        <w:tc>
          <w:tcPr>
            <w:tcW w:w="1574" w:type="dxa"/>
          </w:tcPr>
          <w:p w14:paraId="2A4C93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4298ADA5" w14:textId="77777777">
        <w:tc>
          <w:tcPr>
            <w:tcW w:w="534" w:type="dxa"/>
          </w:tcPr>
          <w:p w14:paraId="4A8BED31"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751759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Пермский комбинат, завод № 98</w:t>
            </w:r>
          </w:p>
        </w:tc>
        <w:tc>
          <w:tcPr>
            <w:tcW w:w="1339" w:type="dxa"/>
          </w:tcPr>
          <w:p w14:paraId="1BE1AC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339" w:type="dxa"/>
          </w:tcPr>
          <w:p w14:paraId="3BB19D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Пермь, Курья</w:t>
            </w:r>
          </w:p>
        </w:tc>
        <w:tc>
          <w:tcPr>
            <w:tcW w:w="1574" w:type="dxa"/>
          </w:tcPr>
          <w:p w14:paraId="27F379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7D5B9D26" w14:textId="77777777">
        <w:tc>
          <w:tcPr>
            <w:tcW w:w="534" w:type="dxa"/>
          </w:tcPr>
          <w:p w14:paraId="764A7026"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0BD60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Таватуйский завод № 105</w:t>
            </w:r>
          </w:p>
        </w:tc>
        <w:tc>
          <w:tcPr>
            <w:tcW w:w="1339" w:type="dxa"/>
          </w:tcPr>
          <w:p w14:paraId="1C2C3B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Свердловск, ул. Антоно-Балик. Д. 320, т. Филаретову</w:t>
            </w:r>
          </w:p>
        </w:tc>
        <w:tc>
          <w:tcPr>
            <w:tcW w:w="1339" w:type="dxa"/>
          </w:tcPr>
          <w:p w14:paraId="67E294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574" w:type="dxa"/>
          </w:tcPr>
          <w:p w14:paraId="7A67DB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2491C71B" w14:textId="77777777">
        <w:tc>
          <w:tcPr>
            <w:tcW w:w="534" w:type="dxa"/>
          </w:tcPr>
          <w:p w14:paraId="3EA8C619"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BC47A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Кыштымский завод № 112</w:t>
            </w:r>
          </w:p>
        </w:tc>
        <w:tc>
          <w:tcPr>
            <w:tcW w:w="1339" w:type="dxa"/>
          </w:tcPr>
          <w:p w14:paraId="6B95F3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КыштымЮ Свердловский р-н, Уральской обл.</w:t>
            </w:r>
          </w:p>
        </w:tc>
        <w:tc>
          <w:tcPr>
            <w:tcW w:w="1339" w:type="dxa"/>
          </w:tcPr>
          <w:p w14:paraId="729D3AB0" w14:textId="77777777" w:rsidR="00537E5F" w:rsidRPr="00507A31" w:rsidRDefault="00537E5F" w:rsidP="00507A31">
            <w:pPr>
              <w:autoSpaceDE w:val="0"/>
              <w:autoSpaceDN w:val="0"/>
              <w:adjustRightInd w:val="0"/>
              <w:jc w:val="both"/>
              <w:rPr>
                <w:color w:val="000000" w:themeColor="text1"/>
                <w:sz w:val="16"/>
                <w:szCs w:val="16"/>
              </w:rPr>
            </w:pPr>
          </w:p>
        </w:tc>
        <w:tc>
          <w:tcPr>
            <w:tcW w:w="1574" w:type="dxa"/>
          </w:tcPr>
          <w:p w14:paraId="14E15BF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176442D" w14:textId="77777777">
        <w:tc>
          <w:tcPr>
            <w:tcW w:w="6912" w:type="dxa"/>
            <w:gridSpan w:val="5"/>
          </w:tcPr>
          <w:p w14:paraId="07902F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ОРУДИЙНО-АРСЕНАЛЬНЫЙ ТРЕСТ</w:t>
            </w:r>
          </w:p>
        </w:tc>
      </w:tr>
      <w:tr w:rsidR="00E371BA" w:rsidRPr="00507A31" w14:paraId="68093988" w14:textId="77777777">
        <w:tc>
          <w:tcPr>
            <w:tcW w:w="534" w:type="dxa"/>
          </w:tcPr>
          <w:p w14:paraId="71224511"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4AC08B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“Большевик”</w:t>
            </w:r>
          </w:p>
        </w:tc>
        <w:tc>
          <w:tcPr>
            <w:tcW w:w="1339" w:type="dxa"/>
          </w:tcPr>
          <w:p w14:paraId="57B083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З-д “Большевик”, г.Ленинград </w:t>
            </w:r>
          </w:p>
        </w:tc>
        <w:tc>
          <w:tcPr>
            <w:tcW w:w="1339" w:type="dxa"/>
          </w:tcPr>
          <w:p w14:paraId="299F55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г.Ленинград, почт. 12 отд., почт. ящ. № 2</w:t>
            </w:r>
          </w:p>
        </w:tc>
        <w:tc>
          <w:tcPr>
            <w:tcW w:w="1574" w:type="dxa"/>
          </w:tcPr>
          <w:p w14:paraId="60924F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Григорьев</w:t>
            </w:r>
          </w:p>
        </w:tc>
      </w:tr>
      <w:tr w:rsidR="00E371BA" w:rsidRPr="00507A31" w14:paraId="759DAF83" w14:textId="77777777">
        <w:tc>
          <w:tcPr>
            <w:tcW w:w="534" w:type="dxa"/>
          </w:tcPr>
          <w:p w14:paraId="44F101A1"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CD854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“Мостяжарт”</w:t>
            </w:r>
          </w:p>
        </w:tc>
        <w:tc>
          <w:tcPr>
            <w:tcW w:w="1339" w:type="dxa"/>
          </w:tcPr>
          <w:p w14:paraId="4230A7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З-д “Мостяжарт”, Москва </w:t>
            </w:r>
          </w:p>
        </w:tc>
        <w:tc>
          <w:tcPr>
            <w:tcW w:w="1339" w:type="dxa"/>
          </w:tcPr>
          <w:p w14:paraId="5FA8D3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58, почт. ящ. № 1</w:t>
            </w:r>
          </w:p>
        </w:tc>
        <w:tc>
          <w:tcPr>
            <w:tcW w:w="1574" w:type="dxa"/>
          </w:tcPr>
          <w:p w14:paraId="6AD7D8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Г.Т.Кузьмичев</w:t>
            </w:r>
          </w:p>
        </w:tc>
      </w:tr>
      <w:tr w:rsidR="00E371BA" w:rsidRPr="00507A31" w14:paraId="7F1BFB22" w14:textId="77777777">
        <w:tc>
          <w:tcPr>
            <w:tcW w:w="534" w:type="dxa"/>
          </w:tcPr>
          <w:p w14:paraId="3D632283"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1F2FC1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Точной механики № 19</w:t>
            </w:r>
          </w:p>
        </w:tc>
        <w:tc>
          <w:tcPr>
            <w:tcW w:w="1339" w:type="dxa"/>
          </w:tcPr>
          <w:p w14:paraId="060DD1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З-д Точной механики № 19, ст. Павшино </w:t>
            </w:r>
          </w:p>
        </w:tc>
        <w:tc>
          <w:tcPr>
            <w:tcW w:w="1339" w:type="dxa"/>
          </w:tcPr>
          <w:p w14:paraId="5B36D3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Павшино, поч. ящ. № 2</w:t>
            </w:r>
          </w:p>
        </w:tc>
        <w:tc>
          <w:tcPr>
            <w:tcW w:w="1574" w:type="dxa"/>
          </w:tcPr>
          <w:p w14:paraId="616F1F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И.Т.Титов</w:t>
            </w:r>
          </w:p>
        </w:tc>
      </w:tr>
      <w:tr w:rsidR="00E371BA" w:rsidRPr="00507A31" w14:paraId="5428AC39" w14:textId="77777777">
        <w:tc>
          <w:tcPr>
            <w:tcW w:w="534" w:type="dxa"/>
          </w:tcPr>
          <w:p w14:paraId="6F7E3D49"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590216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завод № 13</w:t>
            </w:r>
          </w:p>
        </w:tc>
        <w:tc>
          <w:tcPr>
            <w:tcW w:w="1339" w:type="dxa"/>
          </w:tcPr>
          <w:p w14:paraId="4017A6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завод № 13, г. Брянск</w:t>
            </w:r>
          </w:p>
        </w:tc>
        <w:tc>
          <w:tcPr>
            <w:tcW w:w="1339" w:type="dxa"/>
          </w:tcPr>
          <w:p w14:paraId="664E59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Брянск, почт. тел. контора, почт. ящ. № 6</w:t>
            </w:r>
          </w:p>
        </w:tc>
        <w:tc>
          <w:tcPr>
            <w:tcW w:w="1574" w:type="dxa"/>
          </w:tcPr>
          <w:p w14:paraId="66C2A4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Сиркен К.К., Иванов К.И.</w:t>
            </w:r>
          </w:p>
        </w:tc>
      </w:tr>
      <w:tr w:rsidR="00E371BA" w:rsidRPr="00507A31" w14:paraId="2BFD8EE6" w14:textId="77777777">
        <w:tc>
          <w:tcPr>
            <w:tcW w:w="534" w:type="dxa"/>
          </w:tcPr>
          <w:p w14:paraId="3763ED23"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0F8D16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8 им. Калинина</w:t>
            </w:r>
          </w:p>
        </w:tc>
        <w:tc>
          <w:tcPr>
            <w:tcW w:w="1339" w:type="dxa"/>
          </w:tcPr>
          <w:p w14:paraId="32B0B4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3-д № 8 им. Калинина, Москва- Мытищи </w:t>
            </w:r>
          </w:p>
        </w:tc>
        <w:tc>
          <w:tcPr>
            <w:tcW w:w="1339" w:type="dxa"/>
          </w:tcPr>
          <w:p w14:paraId="4006A0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Мытищи Моск. г., абон. ящ. № 1</w:t>
            </w:r>
          </w:p>
        </w:tc>
        <w:tc>
          <w:tcPr>
            <w:tcW w:w="1574" w:type="dxa"/>
          </w:tcPr>
          <w:p w14:paraId="59444A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Гузаков</w:t>
            </w:r>
          </w:p>
        </w:tc>
      </w:tr>
      <w:tr w:rsidR="00E371BA" w:rsidRPr="00507A31" w14:paraId="074B48E4" w14:textId="77777777">
        <w:tc>
          <w:tcPr>
            <w:tcW w:w="534" w:type="dxa"/>
          </w:tcPr>
          <w:p w14:paraId="395FCFDE"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BB647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Мотовилихинский Машиностроительный завод</w:t>
            </w:r>
          </w:p>
        </w:tc>
        <w:tc>
          <w:tcPr>
            <w:tcW w:w="1339" w:type="dxa"/>
          </w:tcPr>
          <w:p w14:paraId="0AF3EA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Мотовилихинский машиностр. З-д, Пермь, Мотовилиха </w:t>
            </w:r>
          </w:p>
        </w:tc>
        <w:tc>
          <w:tcPr>
            <w:tcW w:w="1339" w:type="dxa"/>
          </w:tcPr>
          <w:p w14:paraId="4A7848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Мотовилиха, Пермского округа, почт. ящ. № 1</w:t>
            </w:r>
          </w:p>
        </w:tc>
        <w:tc>
          <w:tcPr>
            <w:tcW w:w="1574" w:type="dxa"/>
          </w:tcPr>
          <w:p w14:paraId="0391B1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В.С.Чекмарев А.Я.Кусков</w:t>
            </w:r>
          </w:p>
        </w:tc>
      </w:tr>
      <w:tr w:rsidR="00E371BA" w:rsidRPr="00507A31" w14:paraId="196240A0" w14:textId="77777777">
        <w:tc>
          <w:tcPr>
            <w:tcW w:w="534" w:type="dxa"/>
          </w:tcPr>
          <w:p w14:paraId="6E38009B"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757C39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Киевский Краснознаменный завод</w:t>
            </w:r>
          </w:p>
        </w:tc>
        <w:tc>
          <w:tcPr>
            <w:tcW w:w="1339" w:type="dxa"/>
          </w:tcPr>
          <w:p w14:paraId="39C3A6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Киевский К снознаменный з-д, г. Киев </w:t>
            </w:r>
          </w:p>
        </w:tc>
        <w:tc>
          <w:tcPr>
            <w:tcW w:w="1339" w:type="dxa"/>
          </w:tcPr>
          <w:p w14:paraId="21DA3B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.Киев, 2 гор. почт. телеграф. Отд., почт. ящ. № 1</w:t>
            </w:r>
          </w:p>
        </w:tc>
        <w:tc>
          <w:tcPr>
            <w:tcW w:w="1574" w:type="dxa"/>
          </w:tcPr>
          <w:p w14:paraId="4C2A99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Ф.М.Чернышев</w:t>
            </w:r>
          </w:p>
        </w:tc>
      </w:tr>
      <w:tr w:rsidR="00E371BA" w:rsidRPr="00507A31" w14:paraId="5A300142" w14:textId="77777777">
        <w:tc>
          <w:tcPr>
            <w:tcW w:w="534" w:type="dxa"/>
          </w:tcPr>
          <w:p w14:paraId="6955F910"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240CA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завод № 7</w:t>
            </w:r>
          </w:p>
        </w:tc>
        <w:tc>
          <w:tcPr>
            <w:tcW w:w="1339" w:type="dxa"/>
          </w:tcPr>
          <w:p w14:paraId="2AB216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Механический з-д № 7, г. Ленинград </w:t>
            </w:r>
          </w:p>
        </w:tc>
        <w:tc>
          <w:tcPr>
            <w:tcW w:w="1339" w:type="dxa"/>
          </w:tcPr>
          <w:p w14:paraId="0D051E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9 почт. отд., ящ. № 1</w:t>
            </w:r>
          </w:p>
        </w:tc>
        <w:tc>
          <w:tcPr>
            <w:tcW w:w="1574" w:type="dxa"/>
          </w:tcPr>
          <w:p w14:paraId="1874F6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И.А.Руда</w:t>
            </w:r>
          </w:p>
        </w:tc>
      </w:tr>
      <w:tr w:rsidR="00E371BA" w:rsidRPr="00507A31" w14:paraId="4F7B225A" w14:textId="77777777">
        <w:tc>
          <w:tcPr>
            <w:tcW w:w="534" w:type="dxa"/>
          </w:tcPr>
          <w:p w14:paraId="7EAD33EA"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55AD8A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“ЛЕНЗОС”</w:t>
            </w:r>
          </w:p>
        </w:tc>
        <w:tc>
          <w:tcPr>
            <w:tcW w:w="1339" w:type="dxa"/>
          </w:tcPr>
          <w:p w14:paraId="7D9E79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З-д Лензос, г. Ленинград</w:t>
            </w:r>
          </w:p>
        </w:tc>
        <w:tc>
          <w:tcPr>
            <w:tcW w:w="1339" w:type="dxa"/>
          </w:tcPr>
          <w:p w14:paraId="43A4DD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32, почт. отд., почт. ящ. № 1</w:t>
            </w:r>
          </w:p>
        </w:tc>
        <w:tc>
          <w:tcPr>
            <w:tcW w:w="1574" w:type="dxa"/>
          </w:tcPr>
          <w:p w14:paraId="26D188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В.И.Иванов</w:t>
            </w:r>
          </w:p>
        </w:tc>
      </w:tr>
      <w:tr w:rsidR="00E371BA" w:rsidRPr="00507A31" w14:paraId="6AEF1C51" w14:textId="77777777">
        <w:tc>
          <w:tcPr>
            <w:tcW w:w="534" w:type="dxa"/>
          </w:tcPr>
          <w:p w14:paraId="41E1C1C5"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0CD36B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“Баррикады”</w:t>
            </w:r>
          </w:p>
        </w:tc>
        <w:tc>
          <w:tcPr>
            <w:tcW w:w="1339" w:type="dxa"/>
          </w:tcPr>
          <w:p w14:paraId="25D770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3-д "Баррикады", Сталинград </w:t>
            </w:r>
          </w:p>
        </w:tc>
        <w:tc>
          <w:tcPr>
            <w:tcW w:w="1339" w:type="dxa"/>
          </w:tcPr>
          <w:p w14:paraId="54FBC4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Сталин</w:t>
            </w:r>
            <w:r w:rsidRPr="00507A31">
              <w:rPr>
                <w:color w:val="000000" w:themeColor="text1"/>
                <w:sz w:val="16"/>
                <w:szCs w:val="16"/>
              </w:rPr>
              <w:softHyphen/>
              <w:t>град, почт. ящ. № 113</w:t>
            </w:r>
          </w:p>
        </w:tc>
        <w:tc>
          <w:tcPr>
            <w:tcW w:w="1574" w:type="dxa"/>
          </w:tcPr>
          <w:p w14:paraId="59BE0C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Зотов</w:t>
            </w:r>
          </w:p>
        </w:tc>
      </w:tr>
      <w:tr w:rsidR="00E371BA" w:rsidRPr="00507A31" w14:paraId="786AA8C4" w14:textId="77777777">
        <w:tc>
          <w:tcPr>
            <w:tcW w:w="534" w:type="dxa"/>
          </w:tcPr>
          <w:p w14:paraId="721E3926"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0C834C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Изюмский завод оптического стекла им. Т. Дзержинского</w:t>
            </w:r>
          </w:p>
        </w:tc>
        <w:tc>
          <w:tcPr>
            <w:tcW w:w="1339" w:type="dxa"/>
          </w:tcPr>
          <w:p w14:paraId="2408B8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Изюм. Зав. Оптич. Стекла им. Т. Дзержинскогог, Изюм </w:t>
            </w:r>
          </w:p>
        </w:tc>
        <w:tc>
          <w:tcPr>
            <w:tcW w:w="1339" w:type="dxa"/>
          </w:tcPr>
          <w:p w14:paraId="7D88DE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Изюм, почт. ящ. № 24</w:t>
            </w:r>
          </w:p>
        </w:tc>
        <w:tc>
          <w:tcPr>
            <w:tcW w:w="1574" w:type="dxa"/>
          </w:tcPr>
          <w:p w14:paraId="06D36F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Я.П.Никсне</w:t>
            </w:r>
          </w:p>
        </w:tc>
      </w:tr>
      <w:tr w:rsidR="00E371BA" w:rsidRPr="00507A31" w14:paraId="4F3AD313" w14:textId="77777777">
        <w:tc>
          <w:tcPr>
            <w:tcW w:w="534" w:type="dxa"/>
          </w:tcPr>
          <w:p w14:paraId="2ED96AC7"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5E22C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Склад № 4</w:t>
            </w:r>
          </w:p>
        </w:tc>
        <w:tc>
          <w:tcPr>
            <w:tcW w:w="1339" w:type="dxa"/>
          </w:tcPr>
          <w:p w14:paraId="30D722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Склад № 4 Голутвино, М. Казанской ж/д</w:t>
            </w:r>
          </w:p>
        </w:tc>
        <w:tc>
          <w:tcPr>
            <w:tcW w:w="1339" w:type="dxa"/>
          </w:tcPr>
          <w:p w14:paraId="485799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574" w:type="dxa"/>
          </w:tcPr>
          <w:p w14:paraId="63B26E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7A5F88A8" w14:textId="77777777">
        <w:tc>
          <w:tcPr>
            <w:tcW w:w="534" w:type="dxa"/>
          </w:tcPr>
          <w:p w14:paraId="1EC0685B"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567026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Склад № 6</w:t>
            </w:r>
          </w:p>
        </w:tc>
        <w:tc>
          <w:tcPr>
            <w:tcW w:w="1339" w:type="dxa"/>
          </w:tcPr>
          <w:p w14:paraId="2780F1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Склад № 6 Арзамас</w:t>
            </w:r>
          </w:p>
        </w:tc>
        <w:tc>
          <w:tcPr>
            <w:tcW w:w="1339" w:type="dxa"/>
          </w:tcPr>
          <w:p w14:paraId="18C683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574" w:type="dxa"/>
          </w:tcPr>
          <w:p w14:paraId="12BD11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0936B6AF" w14:textId="77777777">
        <w:tc>
          <w:tcPr>
            <w:tcW w:w="534" w:type="dxa"/>
          </w:tcPr>
          <w:p w14:paraId="3E0A89EB"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3559E3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Склад № 1</w:t>
            </w:r>
          </w:p>
        </w:tc>
        <w:tc>
          <w:tcPr>
            <w:tcW w:w="1339" w:type="dxa"/>
          </w:tcPr>
          <w:p w14:paraId="548C8F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Сергиев, Моск. окр., через НКПиТ</w:t>
            </w:r>
          </w:p>
        </w:tc>
        <w:tc>
          <w:tcPr>
            <w:tcW w:w="1339" w:type="dxa"/>
          </w:tcPr>
          <w:p w14:paraId="2F69B728" w14:textId="77777777" w:rsidR="00537E5F" w:rsidRPr="00507A31" w:rsidRDefault="00537E5F" w:rsidP="00507A31">
            <w:pPr>
              <w:autoSpaceDE w:val="0"/>
              <w:autoSpaceDN w:val="0"/>
              <w:adjustRightInd w:val="0"/>
              <w:jc w:val="both"/>
              <w:rPr>
                <w:color w:val="000000" w:themeColor="text1"/>
                <w:sz w:val="16"/>
                <w:szCs w:val="16"/>
              </w:rPr>
            </w:pPr>
          </w:p>
        </w:tc>
        <w:tc>
          <w:tcPr>
            <w:tcW w:w="1574" w:type="dxa"/>
          </w:tcPr>
          <w:p w14:paraId="05A43FF8"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89CEFF1" w14:textId="77777777">
        <w:tc>
          <w:tcPr>
            <w:tcW w:w="6912" w:type="dxa"/>
            <w:gridSpan w:val="5"/>
          </w:tcPr>
          <w:p w14:paraId="130B03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ОРУЖЕЙНО-ПУЛЕМЕТНЫЙ ТРЕСТ</w:t>
            </w:r>
          </w:p>
        </w:tc>
      </w:tr>
      <w:tr w:rsidR="00E371BA" w:rsidRPr="00507A31" w14:paraId="7CD092EE" w14:textId="77777777">
        <w:tc>
          <w:tcPr>
            <w:tcW w:w="534" w:type="dxa"/>
          </w:tcPr>
          <w:p w14:paraId="27ADB3B0"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4DD337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1-ые Оружейн. Заводы</w:t>
            </w:r>
          </w:p>
        </w:tc>
        <w:tc>
          <w:tcPr>
            <w:tcW w:w="1339" w:type="dxa"/>
          </w:tcPr>
          <w:p w14:paraId="3AF8F4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 Тула, 1-е орудийные заводы в Туле </w:t>
            </w:r>
          </w:p>
        </w:tc>
        <w:tc>
          <w:tcPr>
            <w:tcW w:w="1339" w:type="dxa"/>
          </w:tcPr>
          <w:p w14:paraId="7BC962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Тула, почтамт, поч. Ящ. №№ 86 и 87</w:t>
            </w:r>
          </w:p>
        </w:tc>
        <w:tc>
          <w:tcPr>
            <w:tcW w:w="1574" w:type="dxa"/>
          </w:tcPr>
          <w:p w14:paraId="77C5DD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Ситников</w:t>
            </w:r>
          </w:p>
        </w:tc>
      </w:tr>
      <w:tr w:rsidR="00E371BA" w:rsidRPr="00507A31" w14:paraId="3B485AF3" w14:textId="77777777">
        <w:tc>
          <w:tcPr>
            <w:tcW w:w="534" w:type="dxa"/>
          </w:tcPr>
          <w:p w14:paraId="68A19D49"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1B1BD7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Ижевские Оружейный и Сталититейный заводы</w:t>
            </w:r>
          </w:p>
        </w:tc>
        <w:tc>
          <w:tcPr>
            <w:tcW w:w="1339" w:type="dxa"/>
          </w:tcPr>
          <w:p w14:paraId="1634B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 Ижевск Вотск автоном. Обл. Ижевский оружейный и сталититейный заводы </w:t>
            </w:r>
          </w:p>
        </w:tc>
        <w:tc>
          <w:tcPr>
            <w:tcW w:w="1339" w:type="dxa"/>
          </w:tcPr>
          <w:p w14:paraId="7FDD3D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Ижевск, Вотск автоном. Обл., почт. ящ. № 11</w:t>
            </w:r>
          </w:p>
        </w:tc>
        <w:tc>
          <w:tcPr>
            <w:tcW w:w="1574" w:type="dxa"/>
          </w:tcPr>
          <w:p w14:paraId="658F08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М.И.Ершов</w:t>
            </w:r>
          </w:p>
        </w:tc>
      </w:tr>
      <w:tr w:rsidR="00E371BA" w:rsidRPr="00507A31" w14:paraId="57562BF0" w14:textId="77777777">
        <w:tc>
          <w:tcPr>
            <w:tcW w:w="534" w:type="dxa"/>
          </w:tcPr>
          <w:p w14:paraId="61D5DF90"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4EE75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Инструментальный з-д № 2</w:t>
            </w:r>
          </w:p>
        </w:tc>
        <w:tc>
          <w:tcPr>
            <w:tcW w:w="1339" w:type="dxa"/>
          </w:tcPr>
          <w:p w14:paraId="2B1E6F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 Ковров Моск. Ниж. ж. д. Инстру ментал. з-д № 2</w:t>
            </w:r>
          </w:p>
        </w:tc>
        <w:tc>
          <w:tcPr>
            <w:tcW w:w="1339" w:type="dxa"/>
          </w:tcPr>
          <w:p w14:paraId="49A22D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Ковров, Владимир. г. Почт. ящ № 9</w:t>
            </w:r>
          </w:p>
        </w:tc>
        <w:tc>
          <w:tcPr>
            <w:tcW w:w="1574" w:type="dxa"/>
          </w:tcPr>
          <w:p w14:paraId="6DAB15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А.М.Бурухин</w:t>
            </w:r>
          </w:p>
        </w:tc>
      </w:tr>
      <w:tr w:rsidR="00E371BA" w:rsidRPr="00507A31" w14:paraId="557D7E43" w14:textId="77777777">
        <w:tc>
          <w:tcPr>
            <w:tcW w:w="534" w:type="dxa"/>
          </w:tcPr>
          <w:p w14:paraId="1FE082C3"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03052D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З-д им. Воскова</w:t>
            </w:r>
          </w:p>
        </w:tc>
        <w:tc>
          <w:tcPr>
            <w:tcW w:w="1339" w:type="dxa"/>
          </w:tcPr>
          <w:p w14:paraId="78BE16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 Сестрорецк, пл. Свободы, з-д им. Воскова </w:t>
            </w:r>
          </w:p>
        </w:tc>
        <w:tc>
          <w:tcPr>
            <w:tcW w:w="1339" w:type="dxa"/>
          </w:tcPr>
          <w:p w14:paraId="2F6036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Сестрорецк, “Ключ”</w:t>
            </w:r>
          </w:p>
        </w:tc>
        <w:tc>
          <w:tcPr>
            <w:tcW w:w="1574" w:type="dxa"/>
          </w:tcPr>
          <w:p w14:paraId="1914FE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П.И.?</w:t>
            </w:r>
          </w:p>
        </w:tc>
      </w:tr>
      <w:tr w:rsidR="00E371BA" w:rsidRPr="00507A31" w14:paraId="6A550EFE" w14:textId="77777777">
        <w:tc>
          <w:tcPr>
            <w:tcW w:w="534" w:type="dxa"/>
          </w:tcPr>
          <w:p w14:paraId="4A61B5DE"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18AE4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“Красногвардеец”</w:t>
            </w:r>
          </w:p>
        </w:tc>
        <w:tc>
          <w:tcPr>
            <w:tcW w:w="1339" w:type="dxa"/>
          </w:tcPr>
          <w:p w14:paraId="6861A7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Аптекарский остров з-д “Красногвадеец”</w:t>
            </w:r>
          </w:p>
        </w:tc>
        <w:tc>
          <w:tcPr>
            <w:tcW w:w="1339" w:type="dxa"/>
          </w:tcPr>
          <w:p w14:paraId="05745E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22-е Почт. отд., Почт. ящ. № 1</w:t>
            </w:r>
          </w:p>
        </w:tc>
        <w:tc>
          <w:tcPr>
            <w:tcW w:w="1574" w:type="dxa"/>
          </w:tcPr>
          <w:p w14:paraId="5C4BFD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А.И.?</w:t>
            </w:r>
          </w:p>
        </w:tc>
      </w:tr>
      <w:tr w:rsidR="00E371BA" w:rsidRPr="00507A31" w14:paraId="4A04B52F" w14:textId="77777777">
        <w:tc>
          <w:tcPr>
            <w:tcW w:w="6912" w:type="dxa"/>
            <w:gridSpan w:val="5"/>
          </w:tcPr>
          <w:p w14:paraId="5C2D1E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ПАТРУБТРЕСТ</w:t>
            </w:r>
          </w:p>
        </w:tc>
      </w:tr>
      <w:tr w:rsidR="00E371BA" w:rsidRPr="00507A31" w14:paraId="37451542" w14:textId="77777777">
        <w:tc>
          <w:tcPr>
            <w:tcW w:w="534" w:type="dxa"/>
          </w:tcPr>
          <w:p w14:paraId="31A7A3D1"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074457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Тульский патронный</w:t>
            </w:r>
          </w:p>
        </w:tc>
        <w:tc>
          <w:tcPr>
            <w:tcW w:w="1339" w:type="dxa"/>
          </w:tcPr>
          <w:p w14:paraId="63D5FE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Тула, Тульский патронный з-д</w:t>
            </w:r>
          </w:p>
        </w:tc>
        <w:tc>
          <w:tcPr>
            <w:tcW w:w="1339" w:type="dxa"/>
          </w:tcPr>
          <w:p w14:paraId="239783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Тула, почтамт, абон. ящ. № 37</w:t>
            </w:r>
          </w:p>
        </w:tc>
        <w:tc>
          <w:tcPr>
            <w:tcW w:w="1574" w:type="dxa"/>
          </w:tcPr>
          <w:p w14:paraId="069C5A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Ф.В.?</w:t>
            </w:r>
          </w:p>
        </w:tc>
      </w:tr>
      <w:tr w:rsidR="00E371BA" w:rsidRPr="00507A31" w14:paraId="14256708" w14:textId="77777777">
        <w:tc>
          <w:tcPr>
            <w:tcW w:w="534" w:type="dxa"/>
          </w:tcPr>
          <w:p w14:paraId="704D57C5"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22D15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 им. Володарского</w:t>
            </w:r>
          </w:p>
        </w:tc>
        <w:tc>
          <w:tcPr>
            <w:tcW w:w="1339" w:type="dxa"/>
          </w:tcPr>
          <w:p w14:paraId="76A86A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Ульяновск, З-д № 3 им. Володарского</w:t>
            </w:r>
          </w:p>
        </w:tc>
        <w:tc>
          <w:tcPr>
            <w:tcW w:w="1339" w:type="dxa"/>
          </w:tcPr>
          <w:p w14:paraId="3600EA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Ульяновск, почтов. ящ. № 19</w:t>
            </w:r>
          </w:p>
        </w:tc>
        <w:tc>
          <w:tcPr>
            <w:tcW w:w="1574" w:type="dxa"/>
          </w:tcPr>
          <w:p w14:paraId="5C35B9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М.Л.?</w:t>
            </w:r>
          </w:p>
        </w:tc>
      </w:tr>
      <w:tr w:rsidR="00E371BA" w:rsidRPr="00507A31" w14:paraId="52DBF894" w14:textId="77777777">
        <w:tc>
          <w:tcPr>
            <w:tcW w:w="534" w:type="dxa"/>
          </w:tcPr>
          <w:p w14:paraId="79EE5FEA"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48E295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17</w:t>
            </w:r>
          </w:p>
        </w:tc>
        <w:tc>
          <w:tcPr>
            <w:tcW w:w="1339" w:type="dxa"/>
          </w:tcPr>
          <w:p w14:paraId="37820B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.Подольск, Моск. губ. Завод № 17</w:t>
            </w:r>
          </w:p>
        </w:tc>
        <w:tc>
          <w:tcPr>
            <w:tcW w:w="1339" w:type="dxa"/>
          </w:tcPr>
          <w:p w14:paraId="130429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.Подольск, Моск. губ. почт. ящ. № 17</w:t>
            </w:r>
          </w:p>
        </w:tc>
        <w:tc>
          <w:tcPr>
            <w:tcW w:w="1574" w:type="dxa"/>
          </w:tcPr>
          <w:p w14:paraId="21C663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А.Н.Тимофеев</w:t>
            </w:r>
          </w:p>
        </w:tc>
      </w:tr>
      <w:tr w:rsidR="00E371BA" w:rsidRPr="00507A31" w14:paraId="6BECDC10" w14:textId="77777777">
        <w:tc>
          <w:tcPr>
            <w:tcW w:w="534" w:type="dxa"/>
          </w:tcPr>
          <w:p w14:paraId="5BDC38C7"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A7B23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60</w:t>
            </w:r>
          </w:p>
        </w:tc>
        <w:tc>
          <w:tcPr>
            <w:tcW w:w="1339" w:type="dxa"/>
          </w:tcPr>
          <w:p w14:paraId="510EC7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Луганск Завод № 60</w:t>
            </w:r>
          </w:p>
        </w:tc>
        <w:tc>
          <w:tcPr>
            <w:tcW w:w="1339" w:type="dxa"/>
          </w:tcPr>
          <w:p w14:paraId="3F1535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Луганск почт.ящ. № 27</w:t>
            </w:r>
          </w:p>
        </w:tc>
        <w:tc>
          <w:tcPr>
            <w:tcW w:w="1574" w:type="dxa"/>
          </w:tcPr>
          <w:p w14:paraId="2BBC25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П.И.Мальцев</w:t>
            </w:r>
          </w:p>
        </w:tc>
      </w:tr>
      <w:tr w:rsidR="00E371BA" w:rsidRPr="00507A31" w14:paraId="717281D1" w14:textId="77777777">
        <w:tc>
          <w:tcPr>
            <w:tcW w:w="534" w:type="dxa"/>
          </w:tcPr>
          <w:p w14:paraId="78C34247"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75D290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Московский дроболитейный завод</w:t>
            </w:r>
          </w:p>
        </w:tc>
        <w:tc>
          <w:tcPr>
            <w:tcW w:w="1339" w:type="dxa"/>
          </w:tcPr>
          <w:p w14:paraId="29F8E8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Московский дроболитейный завод</w:t>
            </w:r>
          </w:p>
        </w:tc>
        <w:tc>
          <w:tcPr>
            <w:tcW w:w="1339" w:type="dxa"/>
          </w:tcPr>
          <w:p w14:paraId="4D0C74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Почта пересылается через курьра</w:t>
            </w:r>
          </w:p>
        </w:tc>
        <w:tc>
          <w:tcPr>
            <w:tcW w:w="1574" w:type="dxa"/>
          </w:tcPr>
          <w:p w14:paraId="71EECE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?А.Перфильев</w:t>
            </w:r>
          </w:p>
        </w:tc>
      </w:tr>
      <w:tr w:rsidR="00E371BA" w:rsidRPr="00507A31" w14:paraId="6125AADB" w14:textId="77777777">
        <w:tc>
          <w:tcPr>
            <w:tcW w:w="534" w:type="dxa"/>
          </w:tcPr>
          <w:p w14:paraId="50EB14C1"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58804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 им. Всероссийского старосты т. Калинина</w:t>
            </w:r>
          </w:p>
        </w:tc>
        <w:tc>
          <w:tcPr>
            <w:tcW w:w="1339" w:type="dxa"/>
          </w:tcPr>
          <w:p w14:paraId="2E1831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Завод № 4 им. Всероссийского старосты т. Калинина</w:t>
            </w:r>
          </w:p>
        </w:tc>
        <w:tc>
          <w:tcPr>
            <w:tcW w:w="1339" w:type="dxa"/>
          </w:tcPr>
          <w:p w14:paraId="712211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почт. ящ. № 18</w:t>
            </w:r>
          </w:p>
        </w:tc>
        <w:tc>
          <w:tcPr>
            <w:tcW w:w="1574" w:type="dxa"/>
          </w:tcPr>
          <w:p w14:paraId="43103D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?И.Холодилин</w:t>
            </w:r>
          </w:p>
        </w:tc>
      </w:tr>
      <w:tr w:rsidR="00E371BA" w:rsidRPr="00507A31" w14:paraId="57CFDFA6" w14:textId="77777777">
        <w:tc>
          <w:tcPr>
            <w:tcW w:w="534" w:type="dxa"/>
          </w:tcPr>
          <w:p w14:paraId="7D187F01"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FCD35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42 им. Масленникова</w:t>
            </w:r>
          </w:p>
        </w:tc>
        <w:tc>
          <w:tcPr>
            <w:tcW w:w="1339" w:type="dxa"/>
          </w:tcPr>
          <w:p w14:paraId="6E83F4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Самара, Завод № 42 им. Масленникова</w:t>
            </w:r>
          </w:p>
        </w:tc>
        <w:tc>
          <w:tcPr>
            <w:tcW w:w="1339" w:type="dxa"/>
          </w:tcPr>
          <w:p w14:paraId="57418E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Самара, почт.ящ. № 59</w:t>
            </w:r>
          </w:p>
        </w:tc>
        <w:tc>
          <w:tcPr>
            <w:tcW w:w="1574" w:type="dxa"/>
          </w:tcPr>
          <w:p w14:paraId="08F5C6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И.И.?</w:t>
            </w:r>
          </w:p>
        </w:tc>
      </w:tr>
      <w:tr w:rsidR="00E371BA" w:rsidRPr="00507A31" w14:paraId="757CC6F1" w14:textId="77777777">
        <w:tc>
          <w:tcPr>
            <w:tcW w:w="534" w:type="dxa"/>
          </w:tcPr>
          <w:p w14:paraId="5CC3D2DF"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5F7DA0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Пензенский велосипедный завод</w:t>
            </w:r>
          </w:p>
        </w:tc>
        <w:tc>
          <w:tcPr>
            <w:tcW w:w="1339" w:type="dxa"/>
          </w:tcPr>
          <w:p w14:paraId="71875437" w14:textId="77777777" w:rsidR="00537E5F" w:rsidRPr="00507A31" w:rsidRDefault="00537E5F" w:rsidP="00507A31">
            <w:pPr>
              <w:autoSpaceDE w:val="0"/>
              <w:autoSpaceDN w:val="0"/>
              <w:adjustRightInd w:val="0"/>
              <w:jc w:val="both"/>
              <w:rPr>
                <w:color w:val="000000" w:themeColor="text1"/>
                <w:sz w:val="16"/>
                <w:szCs w:val="16"/>
              </w:rPr>
            </w:pPr>
          </w:p>
        </w:tc>
        <w:tc>
          <w:tcPr>
            <w:tcW w:w="1339" w:type="dxa"/>
          </w:tcPr>
          <w:p w14:paraId="6FB6B0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Пенза, почтов. ящ. № 25</w:t>
            </w:r>
          </w:p>
        </w:tc>
        <w:tc>
          <w:tcPr>
            <w:tcW w:w="1574" w:type="dxa"/>
          </w:tcPr>
          <w:p w14:paraId="4E8F96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Дмитриев</w:t>
            </w:r>
          </w:p>
        </w:tc>
      </w:tr>
      <w:tr w:rsidR="00E371BA" w:rsidRPr="00507A31" w14:paraId="597E0A96" w14:textId="77777777">
        <w:tc>
          <w:tcPr>
            <w:tcW w:w="6912" w:type="dxa"/>
            <w:gridSpan w:val="5"/>
          </w:tcPr>
          <w:p w14:paraId="4EE8F1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r>
      <w:tr w:rsidR="00E371BA" w:rsidRPr="00507A31" w14:paraId="7CBAC1B0" w14:textId="77777777">
        <w:tc>
          <w:tcPr>
            <w:tcW w:w="534" w:type="dxa"/>
          </w:tcPr>
          <w:p w14:paraId="536900BF"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7E4E7A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 им. Авиахима</w:t>
            </w:r>
          </w:p>
        </w:tc>
        <w:tc>
          <w:tcPr>
            <w:tcW w:w="1339" w:type="dxa"/>
          </w:tcPr>
          <w:p w14:paraId="23C135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завод № 1 им. Авиахима, 3-я ул. Ямского Поля, д. 2</w:t>
            </w:r>
          </w:p>
        </w:tc>
        <w:tc>
          <w:tcPr>
            <w:tcW w:w="1339" w:type="dxa"/>
          </w:tcPr>
          <w:p w14:paraId="462AFF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40, з-д № 1 им. Авиахима, почт. ящ. № 3</w:t>
            </w:r>
          </w:p>
        </w:tc>
        <w:tc>
          <w:tcPr>
            <w:tcW w:w="1574" w:type="dxa"/>
          </w:tcPr>
          <w:p w14:paraId="7A968D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В.М.Десятников</w:t>
            </w:r>
          </w:p>
        </w:tc>
      </w:tr>
      <w:tr w:rsidR="00E371BA" w:rsidRPr="00507A31" w14:paraId="5DA14181" w14:textId="77777777">
        <w:tc>
          <w:tcPr>
            <w:tcW w:w="534" w:type="dxa"/>
          </w:tcPr>
          <w:p w14:paraId="23A57C18"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1E9661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22 им. Десятилетия Октябряч</w:t>
            </w:r>
          </w:p>
        </w:tc>
        <w:tc>
          <w:tcPr>
            <w:tcW w:w="1339" w:type="dxa"/>
          </w:tcPr>
          <w:p w14:paraId="0A2C77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Ст. Фили МББ ж/д, з-д 22 </w:t>
            </w:r>
          </w:p>
        </w:tc>
        <w:tc>
          <w:tcPr>
            <w:tcW w:w="1339" w:type="dxa"/>
          </w:tcPr>
          <w:p w14:paraId="66F2D4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 Фили МББ ж/д, 22</w:t>
            </w:r>
          </w:p>
          <w:p w14:paraId="0CC97E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Почт. отд., почт. ящ. № 2</w:t>
            </w:r>
          </w:p>
        </w:tc>
        <w:tc>
          <w:tcPr>
            <w:tcW w:w="1574" w:type="dxa"/>
          </w:tcPr>
          <w:p w14:paraId="28F86E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Ф.С.Малахов</w:t>
            </w:r>
          </w:p>
        </w:tc>
      </w:tr>
      <w:tr w:rsidR="00E371BA" w:rsidRPr="00507A31" w14:paraId="220FAE8E" w14:textId="77777777">
        <w:tc>
          <w:tcPr>
            <w:tcW w:w="534" w:type="dxa"/>
          </w:tcPr>
          <w:p w14:paraId="0E5AD898"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4E33F3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23</w:t>
            </w:r>
          </w:p>
        </w:tc>
        <w:tc>
          <w:tcPr>
            <w:tcW w:w="1339" w:type="dxa"/>
          </w:tcPr>
          <w:p w14:paraId="3A1D86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Ленинград, заво № 23, Новая деревня, Строгановская наб, № 1 </w:t>
            </w:r>
          </w:p>
        </w:tc>
        <w:tc>
          <w:tcPr>
            <w:tcW w:w="1339" w:type="dxa"/>
          </w:tcPr>
          <w:p w14:paraId="19B9B8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Ленинград 10, почт. отд., почт. ящ. № 1</w:t>
            </w:r>
          </w:p>
        </w:tc>
        <w:tc>
          <w:tcPr>
            <w:tcW w:w="1574" w:type="dxa"/>
          </w:tcPr>
          <w:p w14:paraId="04FABC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А.С.Савельев</w:t>
            </w:r>
          </w:p>
        </w:tc>
      </w:tr>
      <w:tr w:rsidR="00E371BA" w:rsidRPr="00507A31" w14:paraId="630302EF" w14:textId="77777777">
        <w:tc>
          <w:tcPr>
            <w:tcW w:w="534" w:type="dxa"/>
          </w:tcPr>
          <w:p w14:paraId="4EA84764"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8C79D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24 им. Фрунзе</w:t>
            </w:r>
          </w:p>
        </w:tc>
        <w:tc>
          <w:tcPr>
            <w:tcW w:w="1339" w:type="dxa"/>
          </w:tcPr>
          <w:p w14:paraId="0D0325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Завод № 24 им. Фрунзе, Семеновская застава, Мейееровский проезд, д. 14</w:t>
            </w:r>
          </w:p>
        </w:tc>
        <w:tc>
          <w:tcPr>
            <w:tcW w:w="1339" w:type="dxa"/>
          </w:tcPr>
          <w:p w14:paraId="4CD00D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58, почт. ящ. № 2</w:t>
            </w:r>
          </w:p>
        </w:tc>
        <w:tc>
          <w:tcPr>
            <w:tcW w:w="1574" w:type="dxa"/>
          </w:tcPr>
          <w:p w14:paraId="649C80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Г.Н.Королев</w:t>
            </w:r>
          </w:p>
        </w:tc>
      </w:tr>
      <w:tr w:rsidR="00E371BA" w:rsidRPr="00507A31" w14:paraId="6D684335" w14:textId="77777777">
        <w:tc>
          <w:tcPr>
            <w:tcW w:w="534" w:type="dxa"/>
          </w:tcPr>
          <w:p w14:paraId="059480D7"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D1F6E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25</w:t>
            </w:r>
          </w:p>
        </w:tc>
        <w:tc>
          <w:tcPr>
            <w:tcW w:w="1339" w:type="dxa"/>
          </w:tcPr>
          <w:p w14:paraId="29EA9F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Завод № 25, Ленинградское ш., Авиационный проезд, д. 5</w:t>
            </w:r>
          </w:p>
        </w:tc>
        <w:tc>
          <w:tcPr>
            <w:tcW w:w="1339" w:type="dxa"/>
          </w:tcPr>
          <w:p w14:paraId="28EBCF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40, почт. ящ. № 2</w:t>
            </w:r>
          </w:p>
        </w:tc>
        <w:tc>
          <w:tcPr>
            <w:tcW w:w="1574" w:type="dxa"/>
          </w:tcPr>
          <w:p w14:paraId="797736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Я.А.Горшков</w:t>
            </w:r>
          </w:p>
        </w:tc>
      </w:tr>
      <w:tr w:rsidR="00E371BA" w:rsidRPr="00507A31" w14:paraId="422A2A65" w14:textId="77777777">
        <w:tc>
          <w:tcPr>
            <w:tcW w:w="534" w:type="dxa"/>
          </w:tcPr>
          <w:p w14:paraId="53E73712"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838A0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26 им. Павлова</w:t>
            </w:r>
          </w:p>
        </w:tc>
        <w:tc>
          <w:tcPr>
            <w:tcW w:w="1339" w:type="dxa"/>
          </w:tcPr>
          <w:p w14:paraId="5F68BA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Рыбинск, з-д № 26 им. В.И.Павлова </w:t>
            </w:r>
          </w:p>
        </w:tc>
        <w:tc>
          <w:tcPr>
            <w:tcW w:w="1339" w:type="dxa"/>
          </w:tcPr>
          <w:p w14:paraId="4FD9C8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Рыбинск, почт. ящ., № 20</w:t>
            </w:r>
          </w:p>
        </w:tc>
        <w:tc>
          <w:tcPr>
            <w:tcW w:w="1574" w:type="dxa"/>
          </w:tcPr>
          <w:p w14:paraId="70F6AB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И.С.Михайлов</w:t>
            </w:r>
          </w:p>
        </w:tc>
      </w:tr>
      <w:tr w:rsidR="00E371BA" w:rsidRPr="00507A31" w14:paraId="1BE99592" w14:textId="77777777">
        <w:tc>
          <w:tcPr>
            <w:tcW w:w="534" w:type="dxa"/>
          </w:tcPr>
          <w:p w14:paraId="66A94AD1"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07A823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28</w:t>
            </w:r>
          </w:p>
        </w:tc>
        <w:tc>
          <w:tcPr>
            <w:tcW w:w="1339" w:type="dxa"/>
          </w:tcPr>
          <w:p w14:paraId="5874E3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з-д № 28, Грузин. ул., Столярный пер., д. 5</w:t>
            </w:r>
          </w:p>
        </w:tc>
        <w:tc>
          <w:tcPr>
            <w:tcW w:w="1339" w:type="dxa"/>
          </w:tcPr>
          <w:p w14:paraId="175115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22, поч. ящ. № 2263</w:t>
            </w:r>
          </w:p>
        </w:tc>
        <w:tc>
          <w:tcPr>
            <w:tcW w:w="1574" w:type="dxa"/>
          </w:tcPr>
          <w:p w14:paraId="1CB30C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И.В.Васильев</w:t>
            </w:r>
          </w:p>
        </w:tc>
      </w:tr>
      <w:tr w:rsidR="00E371BA" w:rsidRPr="00507A31" w14:paraId="7A2D8D09" w14:textId="77777777">
        <w:tc>
          <w:tcPr>
            <w:tcW w:w="534" w:type="dxa"/>
          </w:tcPr>
          <w:p w14:paraId="6B1BBCDB"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22290D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29</w:t>
            </w:r>
          </w:p>
        </w:tc>
        <w:tc>
          <w:tcPr>
            <w:tcW w:w="1339" w:type="dxa"/>
          </w:tcPr>
          <w:p w14:paraId="1C090E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Запорожье, з-д № 29, пл. Тараса Шевченко </w:t>
            </w:r>
          </w:p>
        </w:tc>
        <w:tc>
          <w:tcPr>
            <w:tcW w:w="1339" w:type="dxa"/>
          </w:tcPr>
          <w:p w14:paraId="22899B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Запорожье, почт. ящ. № 3</w:t>
            </w:r>
          </w:p>
        </w:tc>
        <w:tc>
          <w:tcPr>
            <w:tcW w:w="1574" w:type="dxa"/>
          </w:tcPr>
          <w:p w14:paraId="140E0D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С.П.Мартыненко</w:t>
            </w:r>
          </w:p>
        </w:tc>
      </w:tr>
      <w:tr w:rsidR="00E371BA" w:rsidRPr="00507A31" w14:paraId="2ED713E4" w14:textId="77777777">
        <w:tc>
          <w:tcPr>
            <w:tcW w:w="534" w:type="dxa"/>
          </w:tcPr>
          <w:p w14:paraId="40889146"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5239FF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31</w:t>
            </w:r>
          </w:p>
        </w:tc>
        <w:tc>
          <w:tcPr>
            <w:tcW w:w="1339" w:type="dxa"/>
          </w:tcPr>
          <w:p w14:paraId="161624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Таганрог, з-д № 31, Карантин </w:t>
            </w:r>
          </w:p>
        </w:tc>
        <w:tc>
          <w:tcPr>
            <w:tcW w:w="1339" w:type="dxa"/>
          </w:tcPr>
          <w:p w14:paraId="6A8306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Тагангор, поч. ящ. № 19</w:t>
            </w:r>
          </w:p>
        </w:tc>
        <w:tc>
          <w:tcPr>
            <w:tcW w:w="1574" w:type="dxa"/>
          </w:tcPr>
          <w:p w14:paraId="3FA16C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Д.И.Чекалов</w:t>
            </w:r>
          </w:p>
        </w:tc>
      </w:tr>
      <w:tr w:rsidR="00E371BA" w:rsidRPr="00507A31" w14:paraId="41F6314A" w14:textId="77777777">
        <w:tc>
          <w:tcPr>
            <w:tcW w:w="534" w:type="dxa"/>
          </w:tcPr>
          <w:p w14:paraId="0C22E680"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31F179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36</w:t>
            </w:r>
          </w:p>
        </w:tc>
        <w:tc>
          <w:tcPr>
            <w:tcW w:w="1339" w:type="dxa"/>
          </w:tcPr>
          <w:p w14:paraId="17D74A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з-д № 36. Догомилов. Застава,</w:t>
            </w:r>
          </w:p>
          <w:p w14:paraId="3958CF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Можайское шоссе, № 114</w:t>
            </w:r>
          </w:p>
        </w:tc>
        <w:tc>
          <w:tcPr>
            <w:tcW w:w="1339" w:type="dxa"/>
          </w:tcPr>
          <w:p w14:paraId="1F2E75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59, почт. ящ. № 1</w:t>
            </w:r>
          </w:p>
        </w:tc>
        <w:tc>
          <w:tcPr>
            <w:tcW w:w="1574" w:type="dxa"/>
          </w:tcPr>
          <w:p w14:paraId="546BAD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А.Е.Кроль</w:t>
            </w:r>
          </w:p>
        </w:tc>
      </w:tr>
      <w:tr w:rsidR="00E371BA" w:rsidRPr="00507A31" w14:paraId="2C07BBBB" w14:textId="77777777">
        <w:tc>
          <w:tcPr>
            <w:tcW w:w="534" w:type="dxa"/>
          </w:tcPr>
          <w:p w14:paraId="1CCDABBE"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194252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41</w:t>
            </w:r>
          </w:p>
        </w:tc>
        <w:tc>
          <w:tcPr>
            <w:tcW w:w="1339" w:type="dxa"/>
          </w:tcPr>
          <w:p w14:paraId="2073D2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Марьина роща, Полковая ул., д. 10</w:t>
            </w:r>
          </w:p>
        </w:tc>
        <w:tc>
          <w:tcPr>
            <w:tcW w:w="1339" w:type="dxa"/>
          </w:tcPr>
          <w:p w14:paraId="165A47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22, почт. отд., ящ. № 2263</w:t>
            </w:r>
          </w:p>
        </w:tc>
        <w:tc>
          <w:tcPr>
            <w:tcW w:w="1574" w:type="dxa"/>
          </w:tcPr>
          <w:p w14:paraId="2077B9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35A2E06" w14:textId="77777777">
        <w:tc>
          <w:tcPr>
            <w:tcW w:w="534" w:type="dxa"/>
          </w:tcPr>
          <w:p w14:paraId="3FB9BA3E"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532AB7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33</w:t>
            </w:r>
          </w:p>
        </w:tc>
        <w:tc>
          <w:tcPr>
            <w:tcW w:w="1339" w:type="dxa"/>
          </w:tcPr>
          <w:p w14:paraId="28BCBE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Нижняя Масловка, д. 33</w:t>
            </w:r>
          </w:p>
        </w:tc>
        <w:tc>
          <w:tcPr>
            <w:tcW w:w="1339" w:type="dxa"/>
          </w:tcPr>
          <w:p w14:paraId="6BDD1D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15 почт. отд., почт. ящ. № 101</w:t>
            </w:r>
          </w:p>
        </w:tc>
        <w:tc>
          <w:tcPr>
            <w:tcW w:w="1574" w:type="dxa"/>
          </w:tcPr>
          <w:p w14:paraId="1CD145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25D3F31" w14:textId="77777777">
        <w:tc>
          <w:tcPr>
            <w:tcW w:w="534" w:type="dxa"/>
          </w:tcPr>
          <w:p w14:paraId="55A44F21"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1B7C92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35</w:t>
            </w:r>
          </w:p>
        </w:tc>
        <w:tc>
          <w:tcPr>
            <w:tcW w:w="1339" w:type="dxa"/>
          </w:tcPr>
          <w:p w14:paraId="15113A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Смоленск, Покровская гора, аэродром</w:t>
            </w:r>
          </w:p>
        </w:tc>
        <w:tc>
          <w:tcPr>
            <w:tcW w:w="1339" w:type="dxa"/>
          </w:tcPr>
          <w:p w14:paraId="50FFD8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Смоленск, п,я № 39</w:t>
            </w:r>
          </w:p>
        </w:tc>
        <w:tc>
          <w:tcPr>
            <w:tcW w:w="1574" w:type="dxa"/>
          </w:tcPr>
          <w:p w14:paraId="02200B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8CC9BB2" w14:textId="77777777">
        <w:tc>
          <w:tcPr>
            <w:tcW w:w="534" w:type="dxa"/>
          </w:tcPr>
          <w:p w14:paraId="6E4E0E92"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4391EA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39</w:t>
            </w:r>
          </w:p>
        </w:tc>
        <w:tc>
          <w:tcPr>
            <w:tcW w:w="1339" w:type="dxa"/>
          </w:tcPr>
          <w:p w14:paraId="4FE6CC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Октябрьское поле</w:t>
            </w:r>
          </w:p>
        </w:tc>
        <w:tc>
          <w:tcPr>
            <w:tcW w:w="1339" w:type="dxa"/>
          </w:tcPr>
          <w:p w14:paraId="644B5E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40, почт. отд., п/я № 1</w:t>
            </w:r>
          </w:p>
        </w:tc>
        <w:tc>
          <w:tcPr>
            <w:tcW w:w="1574" w:type="dxa"/>
          </w:tcPr>
          <w:p w14:paraId="3A812D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BC8E722" w14:textId="77777777">
        <w:tc>
          <w:tcPr>
            <w:tcW w:w="534" w:type="dxa"/>
          </w:tcPr>
          <w:p w14:paraId="2C7DBC07"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EA333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43</w:t>
            </w:r>
          </w:p>
        </w:tc>
        <w:tc>
          <w:tcPr>
            <w:tcW w:w="1339" w:type="dxa"/>
          </w:tcPr>
          <w:p w14:paraId="05FBC9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Киев, хутор Грушки</w:t>
            </w:r>
          </w:p>
        </w:tc>
        <w:tc>
          <w:tcPr>
            <w:tcW w:w="1339" w:type="dxa"/>
          </w:tcPr>
          <w:p w14:paraId="2767AA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Киев, почтамп, п/я № 1</w:t>
            </w:r>
          </w:p>
        </w:tc>
        <w:tc>
          <w:tcPr>
            <w:tcW w:w="1574" w:type="dxa"/>
          </w:tcPr>
          <w:p w14:paraId="4EFB5A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2F51813" w14:textId="77777777">
        <w:tc>
          <w:tcPr>
            <w:tcW w:w="534" w:type="dxa"/>
          </w:tcPr>
          <w:p w14:paraId="0557CD89"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1474AD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45</w:t>
            </w:r>
          </w:p>
        </w:tc>
        <w:tc>
          <w:tcPr>
            <w:tcW w:w="1339" w:type="dxa"/>
          </w:tcPr>
          <w:p w14:paraId="5B30F2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Севастополь, Килен-бухта</w:t>
            </w:r>
          </w:p>
        </w:tc>
        <w:tc>
          <w:tcPr>
            <w:tcW w:w="1339" w:type="dxa"/>
          </w:tcPr>
          <w:p w14:paraId="7FC85B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Севастополь, п/я № 25</w:t>
            </w:r>
          </w:p>
        </w:tc>
        <w:tc>
          <w:tcPr>
            <w:tcW w:w="1574" w:type="dxa"/>
          </w:tcPr>
          <w:p w14:paraId="445EC6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6E7D393" w14:textId="77777777">
        <w:tc>
          <w:tcPr>
            <w:tcW w:w="534" w:type="dxa"/>
          </w:tcPr>
          <w:p w14:paraId="0FA9517E"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DA818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47</w:t>
            </w:r>
          </w:p>
        </w:tc>
        <w:tc>
          <w:tcPr>
            <w:tcW w:w="1339" w:type="dxa"/>
          </w:tcPr>
          <w:p w14:paraId="64B853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Ленингралд, Московская застава</w:t>
            </w:r>
          </w:p>
        </w:tc>
        <w:tc>
          <w:tcPr>
            <w:tcW w:w="1339" w:type="dxa"/>
          </w:tcPr>
          <w:p w14:paraId="0E77A5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Ленинград, 6 почт. отд., завод № 47</w:t>
            </w:r>
          </w:p>
        </w:tc>
        <w:tc>
          <w:tcPr>
            <w:tcW w:w="1574" w:type="dxa"/>
          </w:tcPr>
          <w:p w14:paraId="1F0F3E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49A4AA5" w14:textId="77777777">
        <w:tc>
          <w:tcPr>
            <w:tcW w:w="534" w:type="dxa"/>
          </w:tcPr>
          <w:p w14:paraId="26AC773C"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416701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Харьковский авиационный завод</w:t>
            </w:r>
          </w:p>
        </w:tc>
        <w:tc>
          <w:tcPr>
            <w:tcW w:w="1339" w:type="dxa"/>
          </w:tcPr>
          <w:p w14:paraId="27B366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Харьков, Сокольники</w:t>
            </w:r>
          </w:p>
        </w:tc>
        <w:tc>
          <w:tcPr>
            <w:tcW w:w="1339" w:type="dxa"/>
          </w:tcPr>
          <w:p w14:paraId="286B36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Харьков, центр почт. отд., п/я № 231</w:t>
            </w:r>
          </w:p>
        </w:tc>
        <w:tc>
          <w:tcPr>
            <w:tcW w:w="1574" w:type="dxa"/>
          </w:tcPr>
          <w:p w14:paraId="342182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2A7634B" w14:textId="77777777">
        <w:tc>
          <w:tcPr>
            <w:tcW w:w="534" w:type="dxa"/>
          </w:tcPr>
          <w:p w14:paraId="2E2E533D"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423C26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Склад № 1</w:t>
            </w:r>
          </w:p>
        </w:tc>
        <w:tc>
          <w:tcPr>
            <w:tcW w:w="1339" w:type="dxa"/>
          </w:tcPr>
          <w:p w14:paraId="18AEFF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 Фили МББ ж.д.</w:t>
            </w:r>
          </w:p>
        </w:tc>
        <w:tc>
          <w:tcPr>
            <w:tcW w:w="1339" w:type="dxa"/>
          </w:tcPr>
          <w:p w14:paraId="0C855B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 Фили, МББ ж.д., п/я 10</w:t>
            </w:r>
          </w:p>
        </w:tc>
        <w:tc>
          <w:tcPr>
            <w:tcW w:w="1574" w:type="dxa"/>
          </w:tcPr>
          <w:p w14:paraId="730219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A0AC4E7" w14:textId="77777777">
        <w:tc>
          <w:tcPr>
            <w:tcW w:w="534" w:type="dxa"/>
          </w:tcPr>
          <w:p w14:paraId="5A9901A5"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3AE109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Склад № 2</w:t>
            </w:r>
          </w:p>
        </w:tc>
        <w:tc>
          <w:tcPr>
            <w:tcW w:w="1339" w:type="dxa"/>
          </w:tcPr>
          <w:p w14:paraId="662830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Скоад № 2, Москва, 2-я Рыбинская ул., склад № 22 МСПО</w:t>
            </w:r>
          </w:p>
        </w:tc>
        <w:tc>
          <w:tcPr>
            <w:tcW w:w="1339" w:type="dxa"/>
          </w:tcPr>
          <w:p w14:paraId="2ED1B0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Переписку направлять на имя Авиатреста</w:t>
            </w:r>
          </w:p>
        </w:tc>
        <w:tc>
          <w:tcPr>
            <w:tcW w:w="1574" w:type="dxa"/>
          </w:tcPr>
          <w:p w14:paraId="3D6801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A63E3DD" w14:textId="77777777">
        <w:tc>
          <w:tcPr>
            <w:tcW w:w="534" w:type="dxa"/>
          </w:tcPr>
          <w:p w14:paraId="6A30AEC0"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8ACFD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Склад № 3</w:t>
            </w:r>
          </w:p>
        </w:tc>
        <w:tc>
          <w:tcPr>
            <w:tcW w:w="1339" w:type="dxa"/>
          </w:tcPr>
          <w:p w14:paraId="4F982D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Склад № 3, ст. Лианозова, Моск. Каз. Ж.д., склады АО “Транспорт” № 1</w:t>
            </w:r>
          </w:p>
        </w:tc>
        <w:tc>
          <w:tcPr>
            <w:tcW w:w="1339" w:type="dxa"/>
          </w:tcPr>
          <w:p w14:paraId="1C22AE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Переписку направлять на имя Авиатреста</w:t>
            </w:r>
          </w:p>
        </w:tc>
        <w:tc>
          <w:tcPr>
            <w:tcW w:w="1574" w:type="dxa"/>
          </w:tcPr>
          <w:p w14:paraId="798D3C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6D626F8" w14:textId="77777777">
        <w:tc>
          <w:tcPr>
            <w:tcW w:w="534" w:type="dxa"/>
          </w:tcPr>
          <w:p w14:paraId="25297485"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4267E6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Склад № 4</w:t>
            </w:r>
          </w:p>
        </w:tc>
        <w:tc>
          <w:tcPr>
            <w:tcW w:w="1339" w:type="dxa"/>
          </w:tcPr>
          <w:p w14:paraId="271535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Грузинская ул., Столярный пер., д. 5</w:t>
            </w:r>
          </w:p>
        </w:tc>
        <w:tc>
          <w:tcPr>
            <w:tcW w:w="1339" w:type="dxa"/>
          </w:tcPr>
          <w:p w14:paraId="73A3F5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22. П/я 2263</w:t>
            </w:r>
          </w:p>
        </w:tc>
        <w:tc>
          <w:tcPr>
            <w:tcW w:w="1574" w:type="dxa"/>
          </w:tcPr>
          <w:p w14:paraId="741A7A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0D124E1" w14:textId="77777777">
        <w:tc>
          <w:tcPr>
            <w:tcW w:w="534" w:type="dxa"/>
          </w:tcPr>
          <w:p w14:paraId="50A1CD70"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Pr>
          <w:p w14:paraId="6A5317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20</w:t>
            </w:r>
          </w:p>
        </w:tc>
        <w:tc>
          <w:tcPr>
            <w:tcW w:w="1339" w:type="dxa"/>
          </w:tcPr>
          <w:p w14:paraId="10B003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339" w:type="dxa"/>
          </w:tcPr>
          <w:p w14:paraId="4B7341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временный адрес: Москва, Б.Черкасский пер.Ю д. 2/10 Авиатрест, Бжезинскому</w:t>
            </w:r>
          </w:p>
        </w:tc>
        <w:tc>
          <w:tcPr>
            <w:tcW w:w="1574" w:type="dxa"/>
          </w:tcPr>
          <w:p w14:paraId="1F9561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Ф.С.Малахов</w:t>
            </w:r>
          </w:p>
        </w:tc>
      </w:tr>
      <w:tr w:rsidR="00E371BA" w:rsidRPr="00507A31" w14:paraId="7A93E8DB" w14:textId="77777777">
        <w:tc>
          <w:tcPr>
            <w:tcW w:w="534" w:type="dxa"/>
            <w:tcBorders>
              <w:bottom w:val="single" w:sz="12" w:space="0" w:color="auto"/>
            </w:tcBorders>
          </w:tcPr>
          <w:p w14:paraId="3280AF52" w14:textId="77777777" w:rsidR="00537E5F" w:rsidRPr="00507A31" w:rsidRDefault="00537E5F" w:rsidP="00507A31">
            <w:pPr>
              <w:autoSpaceDE w:val="0"/>
              <w:autoSpaceDN w:val="0"/>
              <w:adjustRightInd w:val="0"/>
              <w:jc w:val="both"/>
              <w:rPr>
                <w:color w:val="000000" w:themeColor="text1"/>
                <w:sz w:val="16"/>
                <w:szCs w:val="16"/>
              </w:rPr>
            </w:pPr>
          </w:p>
        </w:tc>
        <w:tc>
          <w:tcPr>
            <w:tcW w:w="2126" w:type="dxa"/>
            <w:tcBorders>
              <w:bottom w:val="single" w:sz="12" w:space="0" w:color="auto"/>
            </w:tcBorders>
          </w:tcPr>
          <w:p w14:paraId="0DD29F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21</w:t>
            </w:r>
          </w:p>
        </w:tc>
        <w:tc>
          <w:tcPr>
            <w:tcW w:w="1339" w:type="dxa"/>
            <w:tcBorders>
              <w:bottom w:val="single" w:sz="12" w:space="0" w:color="auto"/>
            </w:tcBorders>
          </w:tcPr>
          <w:p w14:paraId="644297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Нижний Новгород, р-н Сормово</w:t>
            </w:r>
          </w:p>
        </w:tc>
        <w:tc>
          <w:tcPr>
            <w:tcW w:w="1339" w:type="dxa"/>
            <w:tcBorders>
              <w:bottom w:val="single" w:sz="12" w:space="0" w:color="auto"/>
            </w:tcBorders>
          </w:tcPr>
          <w:p w14:paraId="69C8D1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Нижний Новгород, 1 почт. отд., п/я № 6</w:t>
            </w:r>
          </w:p>
        </w:tc>
        <w:tc>
          <w:tcPr>
            <w:tcW w:w="1574" w:type="dxa"/>
            <w:tcBorders>
              <w:bottom w:val="single" w:sz="12" w:space="0" w:color="auto"/>
            </w:tcBorders>
          </w:tcPr>
          <w:p w14:paraId="582766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175907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(8826,37).</w:t>
      </w:r>
    </w:p>
    <w:p w14:paraId="4D8C3EA0" w14:textId="77777777" w:rsidR="00537E5F" w:rsidRPr="00507A31" w:rsidRDefault="00537E5F" w:rsidP="00507A31">
      <w:pPr>
        <w:autoSpaceDE w:val="0"/>
        <w:autoSpaceDN w:val="0"/>
        <w:adjustRightInd w:val="0"/>
        <w:jc w:val="both"/>
        <w:rPr>
          <w:color w:val="000000" w:themeColor="text1"/>
          <w:sz w:val="16"/>
          <w:szCs w:val="16"/>
        </w:rPr>
      </w:pPr>
    </w:p>
    <w:p w14:paraId="184B581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D7F4DA3" w14:textId="77777777" w:rsidR="00537E5F" w:rsidRPr="00507A31" w:rsidRDefault="00537E5F" w:rsidP="00507A31">
      <w:pPr>
        <w:autoSpaceDE w:val="0"/>
        <w:autoSpaceDN w:val="0"/>
        <w:adjustRightInd w:val="0"/>
        <w:jc w:val="both"/>
        <w:rPr>
          <w:iCs/>
          <w:color w:val="000000" w:themeColor="text1"/>
          <w:sz w:val="16"/>
          <w:szCs w:val="16"/>
        </w:rPr>
      </w:pPr>
    </w:p>
    <w:p w14:paraId="37D233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26 апреля 1930 Зав. Секретной частью Оруд.-Оруж.-Пулем объединения Курочкин писал письмо № 5017с во Всесоюзное объединение металлической промышленности </w:t>
      </w:r>
    </w:p>
    <w:p w14:paraId="161020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Копия: 5 Отдел Спецотдела ООГПУ т. Владимирову:</w:t>
      </w:r>
    </w:p>
    <w:p w14:paraId="03B61A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связи с постановлением Президиума ВСНХ СССР от 1 марта с.г</w:t>
      </w:r>
      <w:r w:rsidRPr="00507A31">
        <w:rPr>
          <w:smallCaps/>
          <w:color w:val="000000" w:themeColor="text1"/>
          <w:sz w:val="16"/>
          <w:szCs w:val="16"/>
        </w:rPr>
        <w:t xml:space="preserve">. </w:t>
      </w:r>
      <w:r w:rsidRPr="00507A31">
        <w:rPr>
          <w:color w:val="000000" w:themeColor="text1"/>
          <w:sz w:val="16"/>
          <w:szCs w:val="16"/>
        </w:rPr>
        <w:t>/протокол № 7/ о передача завода " Красногвардеец" из военной промышленности в гражданскую /из РУЖа и Главпурмет/, секретность адреса завода и секретность производственного признака его снимаетея (8826,55).</w:t>
      </w:r>
    </w:p>
    <w:p w14:paraId="7C151A02" w14:textId="77777777" w:rsidR="00537E5F" w:rsidRPr="00507A31" w:rsidRDefault="00537E5F" w:rsidP="00507A31">
      <w:pPr>
        <w:autoSpaceDE w:val="0"/>
        <w:autoSpaceDN w:val="0"/>
        <w:adjustRightInd w:val="0"/>
        <w:jc w:val="both"/>
        <w:rPr>
          <w:color w:val="000000" w:themeColor="text1"/>
          <w:sz w:val="16"/>
          <w:szCs w:val="16"/>
        </w:rPr>
      </w:pPr>
    </w:p>
    <w:p w14:paraId="5093BD8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ED9E497" w14:textId="77777777" w:rsidR="00537E5F" w:rsidRPr="00507A31" w:rsidRDefault="00537E5F" w:rsidP="00507A31">
      <w:pPr>
        <w:autoSpaceDE w:val="0"/>
        <w:autoSpaceDN w:val="0"/>
        <w:adjustRightInd w:val="0"/>
        <w:jc w:val="both"/>
        <w:rPr>
          <w:iCs/>
          <w:color w:val="000000" w:themeColor="text1"/>
          <w:sz w:val="16"/>
          <w:szCs w:val="16"/>
        </w:rPr>
      </w:pPr>
    </w:p>
    <w:p w14:paraId="18234F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апреля 1930 ВТ-11 (И-5) был собран (79,120) и его доставили на аэродром (7383, 3).</w:t>
      </w:r>
    </w:p>
    <w:p w14:paraId="1DB9F2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 есть успели.</w:t>
      </w:r>
    </w:p>
    <w:p w14:paraId="0194F4FF" w14:textId="77777777" w:rsidR="00537E5F" w:rsidRPr="00507A31" w:rsidRDefault="00537E5F" w:rsidP="00507A31">
      <w:pPr>
        <w:autoSpaceDE w:val="0"/>
        <w:autoSpaceDN w:val="0"/>
        <w:adjustRightInd w:val="0"/>
        <w:jc w:val="both"/>
        <w:rPr>
          <w:color w:val="000000" w:themeColor="text1"/>
          <w:sz w:val="16"/>
          <w:szCs w:val="16"/>
        </w:rPr>
      </w:pPr>
    </w:p>
    <w:p w14:paraId="4A8788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апреля 1930 г. новый истребитель И-5 с высотным двигателем «Юпитер-УП» был доставлен на аэродром. На его киле в центре красной звезды красовались затей</w:t>
      </w:r>
      <w:r w:rsidRPr="00507A31">
        <w:rPr>
          <w:color w:val="000000" w:themeColor="text1"/>
          <w:sz w:val="16"/>
          <w:szCs w:val="16"/>
        </w:rPr>
        <w:softHyphen/>
        <w:t>ливо переплетенные литеры ВТ, а в нижних лучах звез</w:t>
      </w:r>
      <w:r w:rsidRPr="00507A31">
        <w:rPr>
          <w:color w:val="000000" w:themeColor="text1"/>
          <w:sz w:val="16"/>
          <w:szCs w:val="16"/>
        </w:rPr>
        <w:softHyphen/>
        <w:t>ды - две маленькие единицы, что составляло условное обозначение самолета - ВТ-11. Буквы расшифровыва</w:t>
      </w:r>
      <w:r w:rsidRPr="00507A31">
        <w:rPr>
          <w:color w:val="000000" w:themeColor="text1"/>
          <w:sz w:val="16"/>
          <w:szCs w:val="16"/>
        </w:rPr>
        <w:softHyphen/>
        <w:t>лись просто: внутренняя тюрьма (10667).</w:t>
      </w:r>
    </w:p>
    <w:p w14:paraId="4C7DCA8E" w14:textId="77777777" w:rsidR="00537E5F" w:rsidRPr="00507A31" w:rsidRDefault="00537E5F" w:rsidP="00507A31">
      <w:pPr>
        <w:autoSpaceDE w:val="0"/>
        <w:autoSpaceDN w:val="0"/>
        <w:adjustRightInd w:val="0"/>
        <w:jc w:val="both"/>
        <w:rPr>
          <w:color w:val="000000" w:themeColor="text1"/>
          <w:sz w:val="16"/>
          <w:szCs w:val="16"/>
        </w:rPr>
      </w:pPr>
    </w:p>
    <w:p w14:paraId="10D07E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апреля 1930 г. опытный истребитель впервые выкатили в заводской двор. Он был серебри</w:t>
      </w:r>
      <w:r w:rsidRPr="00507A31">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переплета</w:t>
      </w:r>
      <w:r w:rsidRPr="00507A31">
        <w:rPr>
          <w:color w:val="000000" w:themeColor="text1"/>
          <w:sz w:val="16"/>
          <w:szCs w:val="16"/>
        </w:rPr>
        <w:softHyphen/>
        <w:t>лись буквы «ВТ», а в нижних лучах звезды значилась цифра «11» (11974).</w:t>
      </w:r>
    </w:p>
    <w:p w14:paraId="299F6629" w14:textId="77777777" w:rsidR="00537E5F" w:rsidRPr="00507A31" w:rsidRDefault="00537E5F" w:rsidP="00507A31">
      <w:pPr>
        <w:autoSpaceDE w:val="0"/>
        <w:autoSpaceDN w:val="0"/>
        <w:adjustRightInd w:val="0"/>
        <w:jc w:val="both"/>
        <w:rPr>
          <w:color w:val="000000" w:themeColor="text1"/>
          <w:sz w:val="16"/>
          <w:szCs w:val="16"/>
        </w:rPr>
      </w:pPr>
    </w:p>
    <w:p w14:paraId="631EFB20" w14:textId="77777777" w:rsidR="002B17E4" w:rsidRPr="00507A31" w:rsidRDefault="002B17E4" w:rsidP="00507A31">
      <w:pPr>
        <w:jc w:val="both"/>
        <w:rPr>
          <w:color w:val="000000" w:themeColor="text1"/>
          <w:sz w:val="16"/>
          <w:szCs w:val="16"/>
        </w:rPr>
      </w:pPr>
      <w:r w:rsidRPr="00507A31">
        <w:rPr>
          <w:color w:val="000000" w:themeColor="text1"/>
          <w:sz w:val="16"/>
          <w:szCs w:val="16"/>
        </w:rPr>
        <w:t>27 апреля 1930 г. опытный истребитель впервые выкатили в заводской двор. Он был серебри</w:t>
      </w:r>
      <w:r w:rsidRPr="00507A31">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w:t>
      </w:r>
      <w:r w:rsidRPr="00507A31">
        <w:rPr>
          <w:color w:val="000000" w:themeColor="text1"/>
          <w:sz w:val="16"/>
          <w:szCs w:val="16"/>
        </w:rPr>
        <w:softHyphen/>
        <w:t>тались буквы «ВТ», а в нижних лучах звезды значилась цифра 11.</w:t>
      </w:r>
    </w:p>
    <w:p w14:paraId="3694D85C" w14:textId="77777777" w:rsidR="002B17E4" w:rsidRPr="00507A31" w:rsidRDefault="002B17E4" w:rsidP="00507A31">
      <w:pPr>
        <w:jc w:val="both"/>
        <w:rPr>
          <w:color w:val="000000" w:themeColor="text1"/>
          <w:sz w:val="16"/>
          <w:szCs w:val="16"/>
        </w:rPr>
      </w:pPr>
      <w:r w:rsidRPr="00507A31">
        <w:rPr>
          <w:color w:val="000000" w:themeColor="text1"/>
          <w:sz w:val="16"/>
          <w:szCs w:val="16"/>
        </w:rPr>
        <w:t>29 апреля 1930 г. летчик-испытатель Бе</w:t>
      </w:r>
      <w:r w:rsidRPr="00507A31">
        <w:rPr>
          <w:color w:val="000000" w:themeColor="text1"/>
          <w:sz w:val="16"/>
          <w:szCs w:val="16"/>
        </w:rPr>
        <w:softHyphen/>
        <w:t>недикт Бухгольц совершил на ВТ-11 первый полет. Детные характеристики самолета бы</w:t>
      </w:r>
      <w:r w:rsidRPr="00507A31">
        <w:rPr>
          <w:color w:val="000000" w:themeColor="text1"/>
          <w:sz w:val="16"/>
          <w:szCs w:val="16"/>
        </w:rPr>
        <w:softHyphen/>
        <w:t>ли обнадеживающими, поэтому еше до за</w:t>
      </w:r>
      <w:r w:rsidRPr="00507A31">
        <w:rPr>
          <w:color w:val="000000" w:themeColor="text1"/>
          <w:sz w:val="16"/>
          <w:szCs w:val="16"/>
        </w:rPr>
        <w:softHyphen/>
        <w:t>вершения государственных испытаний под обозначением И-5 его решили запустить в серийное производство. Успешный дебют «тюремного» истребителя привел к облегче</w:t>
      </w:r>
      <w:r w:rsidRPr="00507A31">
        <w:rPr>
          <w:color w:val="000000" w:themeColor="text1"/>
          <w:sz w:val="16"/>
          <w:szCs w:val="16"/>
        </w:rPr>
        <w:softHyphen/>
        <w:t>нию режима конструкторов-заключенных, а через год, начиная с весны 1931 года, их по</w:t>
      </w:r>
      <w:r w:rsidRPr="00507A31">
        <w:rPr>
          <w:color w:val="000000" w:themeColor="text1"/>
          <w:sz w:val="16"/>
          <w:szCs w:val="16"/>
        </w:rPr>
        <w:softHyphen/>
        <w:t>степенно освободили из-под стражи.</w:t>
      </w:r>
    </w:p>
    <w:p w14:paraId="073D242E" w14:textId="77777777" w:rsidR="002B17E4" w:rsidRPr="00507A31" w:rsidRDefault="002B17E4" w:rsidP="00507A31">
      <w:pPr>
        <w:jc w:val="both"/>
        <w:rPr>
          <w:color w:val="000000" w:themeColor="text1"/>
          <w:sz w:val="16"/>
          <w:szCs w:val="16"/>
        </w:rPr>
      </w:pPr>
      <w:r w:rsidRPr="00507A31">
        <w:rPr>
          <w:color w:val="000000" w:themeColor="text1"/>
          <w:sz w:val="16"/>
          <w:szCs w:val="16"/>
        </w:rPr>
        <w:t>Однако прежде чем новый истребитель по</w:t>
      </w:r>
      <w:r w:rsidRPr="00507A31">
        <w:rPr>
          <w:color w:val="000000" w:themeColor="text1"/>
          <w:sz w:val="16"/>
          <w:szCs w:val="16"/>
        </w:rPr>
        <w:softHyphen/>
        <w:t>шел в массовую серию, на авиазаводе №39 были построены и испытаны еще два опыт</w:t>
      </w:r>
      <w:r w:rsidRPr="00507A31">
        <w:rPr>
          <w:color w:val="000000" w:themeColor="text1"/>
          <w:sz w:val="16"/>
          <w:szCs w:val="16"/>
        </w:rPr>
        <w:softHyphen/>
        <w:t>ных экземпляра.</w:t>
      </w:r>
    </w:p>
    <w:p w14:paraId="4FA1BB9F" w14:textId="77777777" w:rsidR="002B17E4" w:rsidRPr="00507A31" w:rsidRDefault="002B17E4" w:rsidP="00507A31">
      <w:pPr>
        <w:jc w:val="both"/>
        <w:rPr>
          <w:color w:val="000000" w:themeColor="text1"/>
          <w:sz w:val="16"/>
          <w:szCs w:val="16"/>
        </w:rPr>
      </w:pPr>
      <w:r w:rsidRPr="00507A31">
        <w:rPr>
          <w:color w:val="000000" w:themeColor="text1"/>
          <w:sz w:val="16"/>
          <w:szCs w:val="16"/>
        </w:rPr>
        <w:t>Один из них, который называли головным серийным образцом, стал более известен как И-5 «Клим Ворошилов». В основном он повторял ВТ-11, был оснащен таким же «Юпитер»У1, заключенным в оригинальный «фигурный» капоте индивидуальными обте</w:t>
      </w:r>
      <w:r w:rsidRPr="00507A31">
        <w:rPr>
          <w:color w:val="000000" w:themeColor="text1"/>
          <w:sz w:val="16"/>
          <w:szCs w:val="16"/>
        </w:rPr>
        <w:softHyphen/>
        <w:t>кателями головок цилиндров. Его испытания в НИИ ВВС велись в период 13 июля - 13 ав</w:t>
      </w:r>
      <w:r w:rsidRPr="00507A31">
        <w:rPr>
          <w:color w:val="000000" w:themeColor="text1"/>
          <w:sz w:val="16"/>
          <w:szCs w:val="16"/>
        </w:rPr>
        <w:softHyphen/>
        <w:t>густа 1930 г. В отчете по испытаниям, утвер</w:t>
      </w:r>
      <w:r w:rsidRPr="00507A31">
        <w:rPr>
          <w:color w:val="000000" w:themeColor="text1"/>
          <w:sz w:val="16"/>
          <w:szCs w:val="16"/>
        </w:rPr>
        <w:softHyphen/>
        <w:t>жденным начальником 2-й (истребительной) бригады НИИ ВВС И.Ф. Петровым отмеча</w:t>
      </w:r>
      <w:r w:rsidRPr="00507A31">
        <w:rPr>
          <w:color w:val="000000" w:themeColor="text1"/>
          <w:sz w:val="16"/>
          <w:szCs w:val="16"/>
        </w:rPr>
        <w:softHyphen/>
        <w:t>лось, что самолет послушен в управлении на всем диапазоне скоростей, отсутствует инер</w:t>
      </w:r>
      <w:r w:rsidRPr="00507A31">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507A31">
        <w:rPr>
          <w:color w:val="000000" w:themeColor="text1"/>
          <w:sz w:val="16"/>
          <w:szCs w:val="16"/>
        </w:rPr>
        <w:softHyphen/>
        <w:t>тельное преимущество по сравнению с фран</w:t>
      </w:r>
      <w:r w:rsidRPr="00507A31">
        <w:rPr>
          <w:color w:val="000000" w:themeColor="text1"/>
          <w:sz w:val="16"/>
          <w:szCs w:val="16"/>
        </w:rPr>
        <w:softHyphen/>
        <w:t>цузским истребителем Спад-51 (5РА0 51С1). Дополнительно, в отношении И-5 указыва</w:t>
      </w:r>
      <w:r w:rsidRPr="00507A31">
        <w:rPr>
          <w:color w:val="000000" w:themeColor="text1"/>
          <w:sz w:val="16"/>
          <w:szCs w:val="16"/>
        </w:rPr>
        <w:softHyphen/>
        <w:t>лось, что он не требует больших аэродромов и не сложен в производстве (12295).</w:t>
      </w:r>
    </w:p>
    <w:p w14:paraId="0AA7A479" w14:textId="08112AE8" w:rsidR="002B17E4" w:rsidRPr="00507A31" w:rsidRDefault="002B17E4" w:rsidP="00507A31">
      <w:pPr>
        <w:jc w:val="both"/>
        <w:rPr>
          <w:color w:val="000000" w:themeColor="text1"/>
          <w:sz w:val="16"/>
          <w:szCs w:val="16"/>
        </w:rPr>
      </w:pPr>
    </w:p>
    <w:p w14:paraId="15A7BB55" w14:textId="43DD94F5" w:rsidR="00FF5E7D" w:rsidRPr="00507A31" w:rsidRDefault="00FF5E7D" w:rsidP="00507A31">
      <w:pPr>
        <w:jc w:val="both"/>
        <w:rPr>
          <w:i/>
          <w:iCs/>
          <w:color w:val="000000" w:themeColor="text1"/>
          <w:sz w:val="16"/>
          <w:szCs w:val="16"/>
        </w:rPr>
      </w:pPr>
      <w:r w:rsidRPr="00507A31">
        <w:rPr>
          <w:i/>
          <w:iCs/>
          <w:color w:val="000000" w:themeColor="text1"/>
          <w:sz w:val="16"/>
          <w:szCs w:val="16"/>
        </w:rPr>
        <w:t>За рубежом:</w:t>
      </w:r>
    </w:p>
    <w:p w14:paraId="182E4FE7" w14:textId="77777777" w:rsidR="00FF5E7D" w:rsidRPr="00507A31" w:rsidRDefault="00FF5E7D" w:rsidP="00507A31">
      <w:pPr>
        <w:jc w:val="both"/>
        <w:rPr>
          <w:i/>
          <w:iCs/>
          <w:color w:val="000000" w:themeColor="text1"/>
          <w:sz w:val="16"/>
          <w:szCs w:val="16"/>
        </w:rPr>
      </w:pPr>
    </w:p>
    <w:p w14:paraId="34D6EF9F" w14:textId="77777777" w:rsidR="00FF5E7D" w:rsidRPr="00507A31" w:rsidRDefault="00FF5E7D" w:rsidP="00507A31">
      <w:pPr>
        <w:jc w:val="both"/>
        <w:rPr>
          <w:color w:val="0070C0"/>
          <w:sz w:val="16"/>
          <w:szCs w:val="16"/>
        </w:rPr>
      </w:pPr>
      <w:r w:rsidRPr="00507A31">
        <w:rPr>
          <w:color w:val="0070C0"/>
          <w:sz w:val="16"/>
          <w:szCs w:val="16"/>
        </w:rPr>
        <w:t>27 апреля 1930 во время авиашоу в Фейетвилле, штат Теннесси, самолет пилота Милтона П. Коверта теряет высоту и разбивается о железнодорожную насыпь, приближаясь к зоне приземления, нанося поражение зрителям, стоящих на набережной. Летчик выживает, но не менее девяти зрителей убиты и около 20 ранены (20805).</w:t>
      </w:r>
    </w:p>
    <w:p w14:paraId="34B36D7F" w14:textId="77777777" w:rsidR="00FF5E7D" w:rsidRPr="00507A31" w:rsidRDefault="00FF5E7D" w:rsidP="00507A31">
      <w:pPr>
        <w:jc w:val="both"/>
        <w:rPr>
          <w:color w:val="0070C0"/>
          <w:sz w:val="16"/>
          <w:szCs w:val="16"/>
        </w:rPr>
      </w:pPr>
    </w:p>
    <w:p w14:paraId="5C5D6409" w14:textId="77777777" w:rsidR="007C5323"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5D3A250" w14:textId="77777777" w:rsidR="007C5323" w:rsidRPr="00507A31" w:rsidRDefault="007C5323" w:rsidP="00507A31">
      <w:pPr>
        <w:autoSpaceDE w:val="0"/>
        <w:autoSpaceDN w:val="0"/>
        <w:adjustRightInd w:val="0"/>
        <w:jc w:val="both"/>
        <w:rPr>
          <w:iCs/>
          <w:color w:val="000000" w:themeColor="text1"/>
          <w:sz w:val="16"/>
          <w:szCs w:val="16"/>
        </w:rPr>
      </w:pPr>
    </w:p>
    <w:p w14:paraId="23067F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 апреля 1930 г. был подготовлен</w:t>
      </w:r>
    </w:p>
    <w:p w14:paraId="4B6574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СПИСОК</w:t>
      </w:r>
    </w:p>
    <w:p w14:paraId="0E2678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заводов военной промышленности, находящихся в Москве, с указанием №№ телефонов и адресов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835"/>
        <w:gridCol w:w="1219"/>
        <w:gridCol w:w="6010"/>
      </w:tblGrid>
      <w:tr w:rsidR="00E371BA" w:rsidRPr="00507A31" w14:paraId="68CE9F89" w14:textId="77777777">
        <w:tc>
          <w:tcPr>
            <w:tcW w:w="534" w:type="dxa"/>
            <w:tcBorders>
              <w:top w:val="single" w:sz="12" w:space="0" w:color="auto"/>
            </w:tcBorders>
          </w:tcPr>
          <w:p w14:paraId="74F343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п/п</w:t>
            </w:r>
          </w:p>
        </w:tc>
        <w:tc>
          <w:tcPr>
            <w:tcW w:w="2835" w:type="dxa"/>
            <w:tcBorders>
              <w:top w:val="single" w:sz="12" w:space="0" w:color="auto"/>
            </w:tcBorders>
          </w:tcPr>
          <w:p w14:paraId="337178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 ЗАВОДА</w:t>
            </w:r>
          </w:p>
        </w:tc>
        <w:tc>
          <w:tcPr>
            <w:tcW w:w="1219" w:type="dxa"/>
            <w:tcBorders>
              <w:top w:val="single" w:sz="12" w:space="0" w:color="auto"/>
            </w:tcBorders>
          </w:tcPr>
          <w:p w14:paraId="233A72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Телефон</w:t>
            </w:r>
          </w:p>
        </w:tc>
        <w:tc>
          <w:tcPr>
            <w:tcW w:w="6010" w:type="dxa"/>
            <w:tcBorders>
              <w:top w:val="single" w:sz="12" w:space="0" w:color="auto"/>
            </w:tcBorders>
          </w:tcPr>
          <w:p w14:paraId="1438F9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Адрес</w:t>
            </w:r>
          </w:p>
        </w:tc>
      </w:tr>
      <w:tr w:rsidR="00E371BA" w:rsidRPr="00507A31" w14:paraId="7632CDEB" w14:textId="77777777">
        <w:tc>
          <w:tcPr>
            <w:tcW w:w="534" w:type="dxa"/>
          </w:tcPr>
          <w:p w14:paraId="59CB2E20"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62B555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ОРУДИЙНО-АРСЕНАЛЬНЫЙ ТРЕСТ</w:t>
            </w:r>
          </w:p>
        </w:tc>
        <w:tc>
          <w:tcPr>
            <w:tcW w:w="1219" w:type="dxa"/>
          </w:tcPr>
          <w:p w14:paraId="61ADFF78" w14:textId="77777777" w:rsidR="00537E5F" w:rsidRPr="00507A31" w:rsidRDefault="00537E5F" w:rsidP="00507A31">
            <w:pPr>
              <w:autoSpaceDE w:val="0"/>
              <w:autoSpaceDN w:val="0"/>
              <w:adjustRightInd w:val="0"/>
              <w:jc w:val="both"/>
              <w:rPr>
                <w:color w:val="000000" w:themeColor="text1"/>
                <w:sz w:val="16"/>
                <w:szCs w:val="16"/>
              </w:rPr>
            </w:pPr>
          </w:p>
        </w:tc>
        <w:tc>
          <w:tcPr>
            <w:tcW w:w="6010" w:type="dxa"/>
          </w:tcPr>
          <w:p w14:paraId="6B2E9C65"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258442A" w14:textId="77777777">
        <w:tc>
          <w:tcPr>
            <w:tcW w:w="534" w:type="dxa"/>
          </w:tcPr>
          <w:p w14:paraId="16129A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2835" w:type="dxa"/>
          </w:tcPr>
          <w:p w14:paraId="62C56E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“Мостяжарт”</w:t>
            </w:r>
          </w:p>
        </w:tc>
        <w:tc>
          <w:tcPr>
            <w:tcW w:w="1219" w:type="dxa"/>
          </w:tcPr>
          <w:p w14:paraId="4B3CCF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5-41-57</w:t>
            </w:r>
          </w:p>
        </w:tc>
        <w:tc>
          <w:tcPr>
            <w:tcW w:w="6010" w:type="dxa"/>
          </w:tcPr>
          <w:p w14:paraId="76E175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Москва, Семеновская заст., Вельяминовская ул., 32 </w:t>
            </w:r>
          </w:p>
        </w:tc>
      </w:tr>
      <w:tr w:rsidR="00E371BA" w:rsidRPr="00507A31" w14:paraId="7F4E7F6D" w14:textId="77777777">
        <w:tc>
          <w:tcPr>
            <w:tcW w:w="534" w:type="dxa"/>
          </w:tcPr>
          <w:p w14:paraId="4F3BE7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2835" w:type="dxa"/>
          </w:tcPr>
          <w:p w14:paraId="4837CC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Точной механики № 19</w:t>
            </w:r>
          </w:p>
        </w:tc>
        <w:tc>
          <w:tcPr>
            <w:tcW w:w="1219" w:type="dxa"/>
          </w:tcPr>
          <w:p w14:paraId="1FA989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5-56-43</w:t>
            </w:r>
          </w:p>
        </w:tc>
        <w:tc>
          <w:tcPr>
            <w:tcW w:w="6010" w:type="dxa"/>
          </w:tcPr>
          <w:p w14:paraId="45FC68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 Павшино ББ ж.д.</w:t>
            </w:r>
          </w:p>
        </w:tc>
      </w:tr>
      <w:tr w:rsidR="00E371BA" w:rsidRPr="00507A31" w14:paraId="1BAD078E" w14:textId="77777777">
        <w:tc>
          <w:tcPr>
            <w:tcW w:w="534" w:type="dxa"/>
          </w:tcPr>
          <w:p w14:paraId="017B86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2835" w:type="dxa"/>
          </w:tcPr>
          <w:p w14:paraId="7AEFAA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8 им. Калинина</w:t>
            </w:r>
          </w:p>
        </w:tc>
        <w:tc>
          <w:tcPr>
            <w:tcW w:w="1219" w:type="dxa"/>
          </w:tcPr>
          <w:p w14:paraId="575DD8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3-22-30</w:t>
            </w:r>
          </w:p>
        </w:tc>
        <w:tc>
          <w:tcPr>
            <w:tcW w:w="6010" w:type="dxa"/>
          </w:tcPr>
          <w:p w14:paraId="463934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 Подлипки, Сев. ж.д.</w:t>
            </w:r>
          </w:p>
        </w:tc>
      </w:tr>
      <w:tr w:rsidR="00E371BA" w:rsidRPr="00507A31" w14:paraId="1374C90F" w14:textId="77777777">
        <w:tc>
          <w:tcPr>
            <w:tcW w:w="534" w:type="dxa"/>
          </w:tcPr>
          <w:p w14:paraId="58079831"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366686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ПАТРУБТРЕСТ</w:t>
            </w:r>
          </w:p>
        </w:tc>
        <w:tc>
          <w:tcPr>
            <w:tcW w:w="1219" w:type="dxa"/>
          </w:tcPr>
          <w:p w14:paraId="1636B8FB" w14:textId="77777777" w:rsidR="00537E5F" w:rsidRPr="00507A31" w:rsidRDefault="00537E5F" w:rsidP="00507A31">
            <w:pPr>
              <w:autoSpaceDE w:val="0"/>
              <w:autoSpaceDN w:val="0"/>
              <w:adjustRightInd w:val="0"/>
              <w:jc w:val="both"/>
              <w:rPr>
                <w:color w:val="000000" w:themeColor="text1"/>
                <w:sz w:val="16"/>
                <w:szCs w:val="16"/>
              </w:rPr>
            </w:pPr>
          </w:p>
        </w:tc>
        <w:tc>
          <w:tcPr>
            <w:tcW w:w="6010" w:type="dxa"/>
          </w:tcPr>
          <w:p w14:paraId="4C632AFB"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94E0DD5" w14:textId="77777777">
        <w:tc>
          <w:tcPr>
            <w:tcW w:w="534" w:type="dxa"/>
          </w:tcPr>
          <w:p w14:paraId="025211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2835" w:type="dxa"/>
          </w:tcPr>
          <w:p w14:paraId="2169C5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17</w:t>
            </w:r>
          </w:p>
        </w:tc>
        <w:tc>
          <w:tcPr>
            <w:tcW w:w="1219" w:type="dxa"/>
          </w:tcPr>
          <w:p w14:paraId="71BE94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78</w:t>
            </w:r>
          </w:p>
        </w:tc>
        <w:tc>
          <w:tcPr>
            <w:tcW w:w="6010" w:type="dxa"/>
          </w:tcPr>
          <w:p w14:paraId="3744E6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.Подольск, Моск. губ. Завод № 17 (через загородную станцию)</w:t>
            </w:r>
          </w:p>
        </w:tc>
      </w:tr>
      <w:tr w:rsidR="00E371BA" w:rsidRPr="00507A31" w14:paraId="15C920EC" w14:textId="77777777">
        <w:tc>
          <w:tcPr>
            <w:tcW w:w="534" w:type="dxa"/>
          </w:tcPr>
          <w:p w14:paraId="727597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2835" w:type="dxa"/>
          </w:tcPr>
          <w:p w14:paraId="243AF0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Московский дроболитейный завод</w:t>
            </w:r>
          </w:p>
        </w:tc>
        <w:tc>
          <w:tcPr>
            <w:tcW w:w="1219" w:type="dxa"/>
          </w:tcPr>
          <w:p w14:paraId="043090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4-41-60</w:t>
            </w:r>
          </w:p>
        </w:tc>
        <w:tc>
          <w:tcPr>
            <w:tcW w:w="6010" w:type="dxa"/>
          </w:tcPr>
          <w:p w14:paraId="561C46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Ярославское ш., 2</w:t>
            </w:r>
          </w:p>
        </w:tc>
      </w:tr>
      <w:tr w:rsidR="00E371BA" w:rsidRPr="00507A31" w14:paraId="1A867635" w14:textId="77777777">
        <w:tc>
          <w:tcPr>
            <w:tcW w:w="534" w:type="dxa"/>
          </w:tcPr>
          <w:p w14:paraId="6000CCB5"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19BA26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АВИАТРЕСТ</w:t>
            </w:r>
          </w:p>
        </w:tc>
        <w:tc>
          <w:tcPr>
            <w:tcW w:w="1219" w:type="dxa"/>
          </w:tcPr>
          <w:p w14:paraId="15705C26" w14:textId="77777777" w:rsidR="00537E5F" w:rsidRPr="00507A31" w:rsidRDefault="00537E5F" w:rsidP="00507A31">
            <w:pPr>
              <w:autoSpaceDE w:val="0"/>
              <w:autoSpaceDN w:val="0"/>
              <w:adjustRightInd w:val="0"/>
              <w:jc w:val="both"/>
              <w:rPr>
                <w:color w:val="000000" w:themeColor="text1"/>
                <w:sz w:val="16"/>
                <w:szCs w:val="16"/>
              </w:rPr>
            </w:pPr>
          </w:p>
        </w:tc>
        <w:tc>
          <w:tcPr>
            <w:tcW w:w="6010" w:type="dxa"/>
          </w:tcPr>
          <w:p w14:paraId="128BDC13"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B990E84" w14:textId="77777777">
        <w:tc>
          <w:tcPr>
            <w:tcW w:w="534" w:type="dxa"/>
          </w:tcPr>
          <w:p w14:paraId="337196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2835" w:type="dxa"/>
          </w:tcPr>
          <w:p w14:paraId="27ADAF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 им. Авиахима</w:t>
            </w:r>
          </w:p>
        </w:tc>
        <w:tc>
          <w:tcPr>
            <w:tcW w:w="1219" w:type="dxa"/>
          </w:tcPr>
          <w:p w14:paraId="4D2747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5-20-15</w:t>
            </w:r>
          </w:p>
        </w:tc>
        <w:tc>
          <w:tcPr>
            <w:tcW w:w="6010" w:type="dxa"/>
          </w:tcPr>
          <w:p w14:paraId="76F337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3-я ул. Ямского Поля, д. 2</w:t>
            </w:r>
          </w:p>
        </w:tc>
      </w:tr>
      <w:tr w:rsidR="00E371BA" w:rsidRPr="00507A31" w14:paraId="4BC2D004" w14:textId="77777777">
        <w:tc>
          <w:tcPr>
            <w:tcW w:w="534" w:type="dxa"/>
          </w:tcPr>
          <w:p w14:paraId="69CED5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2835" w:type="dxa"/>
          </w:tcPr>
          <w:p w14:paraId="3EDA45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22 им. Десятилетия Октябряч</w:t>
            </w:r>
          </w:p>
        </w:tc>
        <w:tc>
          <w:tcPr>
            <w:tcW w:w="1219" w:type="dxa"/>
          </w:tcPr>
          <w:p w14:paraId="56AA93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1-91-15</w:t>
            </w:r>
          </w:p>
        </w:tc>
        <w:tc>
          <w:tcPr>
            <w:tcW w:w="6010" w:type="dxa"/>
          </w:tcPr>
          <w:p w14:paraId="68D844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Ст. Фили МББ ж/д, з-д 22 </w:t>
            </w:r>
          </w:p>
        </w:tc>
      </w:tr>
      <w:tr w:rsidR="00E371BA" w:rsidRPr="00507A31" w14:paraId="4ED013C7" w14:textId="77777777">
        <w:tc>
          <w:tcPr>
            <w:tcW w:w="534" w:type="dxa"/>
          </w:tcPr>
          <w:p w14:paraId="0BB300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2835" w:type="dxa"/>
          </w:tcPr>
          <w:p w14:paraId="6D24EA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24 им. Фрунзе</w:t>
            </w:r>
          </w:p>
        </w:tc>
        <w:tc>
          <w:tcPr>
            <w:tcW w:w="1219" w:type="dxa"/>
          </w:tcPr>
          <w:p w14:paraId="3C51C9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4-45-05</w:t>
            </w:r>
          </w:p>
        </w:tc>
        <w:tc>
          <w:tcPr>
            <w:tcW w:w="6010" w:type="dxa"/>
          </w:tcPr>
          <w:p w14:paraId="28BBFC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Завод № 24 им. Фрунзе, Семеновская застава, Мейееровский проезд, д. 14</w:t>
            </w:r>
          </w:p>
        </w:tc>
      </w:tr>
      <w:tr w:rsidR="00E371BA" w:rsidRPr="00507A31" w14:paraId="266BBE42" w14:textId="77777777">
        <w:tc>
          <w:tcPr>
            <w:tcW w:w="534" w:type="dxa"/>
          </w:tcPr>
          <w:p w14:paraId="1F9390E3"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7B2A14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25</w:t>
            </w:r>
          </w:p>
        </w:tc>
        <w:tc>
          <w:tcPr>
            <w:tcW w:w="1219" w:type="dxa"/>
          </w:tcPr>
          <w:p w14:paraId="1870C3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2-61-18</w:t>
            </w:r>
          </w:p>
        </w:tc>
        <w:tc>
          <w:tcPr>
            <w:tcW w:w="6010" w:type="dxa"/>
          </w:tcPr>
          <w:p w14:paraId="391645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Завод № 25, Ленинградское ш., Авиационный проезд, д. 5</w:t>
            </w:r>
          </w:p>
        </w:tc>
      </w:tr>
      <w:tr w:rsidR="00E371BA" w:rsidRPr="00507A31" w14:paraId="3DD2262C" w14:textId="77777777">
        <w:tc>
          <w:tcPr>
            <w:tcW w:w="534" w:type="dxa"/>
          </w:tcPr>
          <w:p w14:paraId="0E6EB62F"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484FD2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28</w:t>
            </w:r>
          </w:p>
        </w:tc>
        <w:tc>
          <w:tcPr>
            <w:tcW w:w="1219" w:type="dxa"/>
          </w:tcPr>
          <w:p w14:paraId="393D50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2-13-17</w:t>
            </w:r>
          </w:p>
        </w:tc>
        <w:tc>
          <w:tcPr>
            <w:tcW w:w="6010" w:type="dxa"/>
          </w:tcPr>
          <w:p w14:paraId="005451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з-д № 28, Грузинская ул., Столярный пер., д. 5</w:t>
            </w:r>
          </w:p>
        </w:tc>
      </w:tr>
      <w:tr w:rsidR="00E371BA" w:rsidRPr="00507A31" w14:paraId="492BD222" w14:textId="77777777">
        <w:tc>
          <w:tcPr>
            <w:tcW w:w="534" w:type="dxa"/>
          </w:tcPr>
          <w:p w14:paraId="420F2886"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5A9269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36</w:t>
            </w:r>
          </w:p>
        </w:tc>
        <w:tc>
          <w:tcPr>
            <w:tcW w:w="1219" w:type="dxa"/>
          </w:tcPr>
          <w:p w14:paraId="3DF6B3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3-27-94</w:t>
            </w:r>
          </w:p>
        </w:tc>
        <w:tc>
          <w:tcPr>
            <w:tcW w:w="6010" w:type="dxa"/>
          </w:tcPr>
          <w:p w14:paraId="3C594E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з-д № 36. Догомилов. Застава, Можайское шоссе, № 114</w:t>
            </w:r>
          </w:p>
        </w:tc>
      </w:tr>
      <w:tr w:rsidR="00E371BA" w:rsidRPr="00507A31" w14:paraId="4A6DB809" w14:textId="77777777">
        <w:tc>
          <w:tcPr>
            <w:tcW w:w="534" w:type="dxa"/>
          </w:tcPr>
          <w:p w14:paraId="31293E4A"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164771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41</w:t>
            </w:r>
          </w:p>
        </w:tc>
        <w:tc>
          <w:tcPr>
            <w:tcW w:w="1219" w:type="dxa"/>
          </w:tcPr>
          <w:p w14:paraId="4DE791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2-13-17</w:t>
            </w:r>
          </w:p>
        </w:tc>
        <w:tc>
          <w:tcPr>
            <w:tcW w:w="6010" w:type="dxa"/>
          </w:tcPr>
          <w:p w14:paraId="47BD76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Марьина роща, Полковая ул., д. 10</w:t>
            </w:r>
          </w:p>
        </w:tc>
      </w:tr>
      <w:tr w:rsidR="00E371BA" w:rsidRPr="00507A31" w14:paraId="292997CE" w14:textId="77777777">
        <w:tc>
          <w:tcPr>
            <w:tcW w:w="534" w:type="dxa"/>
          </w:tcPr>
          <w:p w14:paraId="6E39FBBF"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417BBD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33</w:t>
            </w:r>
          </w:p>
        </w:tc>
        <w:tc>
          <w:tcPr>
            <w:tcW w:w="1219" w:type="dxa"/>
          </w:tcPr>
          <w:p w14:paraId="431C26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2-79-35</w:t>
            </w:r>
          </w:p>
        </w:tc>
        <w:tc>
          <w:tcPr>
            <w:tcW w:w="6010" w:type="dxa"/>
          </w:tcPr>
          <w:p w14:paraId="29F7F9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Нижняя Масловка, д. 33</w:t>
            </w:r>
          </w:p>
        </w:tc>
      </w:tr>
      <w:tr w:rsidR="00E371BA" w:rsidRPr="00507A31" w14:paraId="164F50D1" w14:textId="77777777">
        <w:tc>
          <w:tcPr>
            <w:tcW w:w="534" w:type="dxa"/>
          </w:tcPr>
          <w:p w14:paraId="3BB18A4F"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2513D5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39</w:t>
            </w:r>
          </w:p>
        </w:tc>
        <w:tc>
          <w:tcPr>
            <w:tcW w:w="1219" w:type="dxa"/>
          </w:tcPr>
          <w:p w14:paraId="04F984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4-41-49</w:t>
            </w:r>
          </w:p>
        </w:tc>
        <w:tc>
          <w:tcPr>
            <w:tcW w:w="6010" w:type="dxa"/>
          </w:tcPr>
          <w:p w14:paraId="73581C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Москва, Октябрьское поле</w:t>
            </w:r>
          </w:p>
        </w:tc>
      </w:tr>
      <w:tr w:rsidR="00E371BA" w:rsidRPr="00507A31" w14:paraId="4A2CD33E" w14:textId="77777777">
        <w:tc>
          <w:tcPr>
            <w:tcW w:w="534" w:type="dxa"/>
          </w:tcPr>
          <w:p w14:paraId="7BDC0D02"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43EBF0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ВОЕННО-ХИМИЧЕСКИЙ ТРЕСТ</w:t>
            </w:r>
          </w:p>
        </w:tc>
        <w:tc>
          <w:tcPr>
            <w:tcW w:w="1219" w:type="dxa"/>
          </w:tcPr>
          <w:p w14:paraId="4D791224" w14:textId="77777777" w:rsidR="00537E5F" w:rsidRPr="00507A31" w:rsidRDefault="00537E5F" w:rsidP="00507A31">
            <w:pPr>
              <w:autoSpaceDE w:val="0"/>
              <w:autoSpaceDN w:val="0"/>
              <w:adjustRightInd w:val="0"/>
              <w:jc w:val="both"/>
              <w:rPr>
                <w:color w:val="000000" w:themeColor="text1"/>
                <w:sz w:val="16"/>
                <w:szCs w:val="16"/>
              </w:rPr>
            </w:pPr>
          </w:p>
        </w:tc>
        <w:tc>
          <w:tcPr>
            <w:tcW w:w="6010" w:type="dxa"/>
          </w:tcPr>
          <w:p w14:paraId="38B9C7A5"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2F29450" w14:textId="77777777">
        <w:tc>
          <w:tcPr>
            <w:tcW w:w="534" w:type="dxa"/>
          </w:tcPr>
          <w:p w14:paraId="34B0C43F"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7C656C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Сергиевский завод № 11</w:t>
            </w:r>
          </w:p>
        </w:tc>
        <w:tc>
          <w:tcPr>
            <w:tcW w:w="1219" w:type="dxa"/>
          </w:tcPr>
          <w:p w14:paraId="5A0996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Сергиево 69</w:t>
            </w:r>
          </w:p>
        </w:tc>
        <w:tc>
          <w:tcPr>
            <w:tcW w:w="6010" w:type="dxa"/>
          </w:tcPr>
          <w:p w14:paraId="3CD719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Сергиево, Моск. губ., завод № 11</w:t>
            </w:r>
          </w:p>
        </w:tc>
      </w:tr>
      <w:tr w:rsidR="00E371BA" w:rsidRPr="00507A31" w14:paraId="0088783C" w14:textId="77777777">
        <w:tc>
          <w:tcPr>
            <w:tcW w:w="534" w:type="dxa"/>
          </w:tcPr>
          <w:p w14:paraId="4F3085C5"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1388C6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Косякова</w:t>
            </w:r>
          </w:p>
        </w:tc>
        <w:tc>
          <w:tcPr>
            <w:tcW w:w="1219" w:type="dxa"/>
          </w:tcPr>
          <w:p w14:paraId="012312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З-д Рошаль</w:t>
            </w:r>
          </w:p>
        </w:tc>
        <w:tc>
          <w:tcPr>
            <w:tcW w:w="6010" w:type="dxa"/>
          </w:tcPr>
          <w:p w14:paraId="397960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 Рошаль Моск. губ., Орехово-Зуевский уезд близ Моск.-Каз. Ж.д. ст. Черусти</w:t>
            </w:r>
          </w:p>
        </w:tc>
      </w:tr>
      <w:tr w:rsidR="00E371BA" w:rsidRPr="00507A31" w14:paraId="0E3B8704" w14:textId="77777777">
        <w:tc>
          <w:tcPr>
            <w:tcW w:w="534" w:type="dxa"/>
            <w:tcBorders>
              <w:bottom w:val="single" w:sz="12" w:space="0" w:color="auto"/>
            </w:tcBorders>
          </w:tcPr>
          <w:p w14:paraId="0E7958B6"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Borders>
              <w:bottom w:val="single" w:sz="12" w:space="0" w:color="auto"/>
            </w:tcBorders>
          </w:tcPr>
          <w:p w14:paraId="604CF9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Богородский завод № 12</w:t>
            </w:r>
          </w:p>
        </w:tc>
        <w:tc>
          <w:tcPr>
            <w:tcW w:w="1219" w:type="dxa"/>
            <w:tcBorders>
              <w:bottom w:val="single" w:sz="12" w:space="0" w:color="auto"/>
            </w:tcBorders>
          </w:tcPr>
          <w:p w14:paraId="040B03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Богородский з-д № 12</w:t>
            </w:r>
          </w:p>
        </w:tc>
        <w:tc>
          <w:tcPr>
            <w:tcW w:w="6010" w:type="dxa"/>
            <w:tcBorders>
              <w:bottom w:val="single" w:sz="12" w:space="0" w:color="auto"/>
            </w:tcBorders>
          </w:tcPr>
          <w:p w14:paraId="359E1F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Богородск, Моск. губ., завод № 12</w:t>
            </w:r>
          </w:p>
        </w:tc>
      </w:tr>
    </w:tbl>
    <w:p w14:paraId="1CB755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(8826,23).</w:t>
      </w:r>
    </w:p>
    <w:p w14:paraId="405BFB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3BE7A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апреля 1930 приказом РВС на вооружение была принята новая версия мосинской винтовка образца 1910/1930 (355,3).</w:t>
      </w:r>
    </w:p>
    <w:p w14:paraId="5D602CF6" w14:textId="77777777" w:rsidR="00537E5F" w:rsidRPr="00507A31" w:rsidRDefault="00537E5F" w:rsidP="00507A31">
      <w:pPr>
        <w:autoSpaceDE w:val="0"/>
        <w:autoSpaceDN w:val="0"/>
        <w:adjustRightInd w:val="0"/>
        <w:jc w:val="both"/>
        <w:rPr>
          <w:color w:val="000000" w:themeColor="text1"/>
          <w:sz w:val="16"/>
          <w:szCs w:val="16"/>
        </w:rPr>
      </w:pPr>
    </w:p>
    <w:p w14:paraId="4DA9C5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апреля 1930 г. между «Юнайтед Стейтс Уил Трек Лэйер Корпорейшн» и «Амторг Трейдинг Кор-порейшн»111 был заключён коммерческий договор. Для экспорта в СССР продавались 2 танка и все патентные права в отношении производства подобных танков. Продавец соглашался оказывать техническое содействие для производства таких танков в СССР и сообщать информацию о дальнейших модификациях танка M1931. За 2 танка было заплачено - $60000, за патент - $100000, за запасные части к первой паре - $4000 (5745, 37). Не исключено, что на решение Халепского повлияли слухи о покупке танка Кристи Польшей. Слухи были не беспочвенны - ещё в 1926 г. Польша пыталась приобрести одну из машин Кристи3, но тогда стороны не сошлись в цене. В 1930 г. переговоры по поводу продажи в Польшу Ml 931 тоже сорвались по финансовым причинам. Тем не менее, ознакомившись с конструкциями Кристи, поляки собирались его «изюминку» - колёсно-гусеничный движитель с соответствующей подвеской - использовать в своём перспективном танке ТР10, первый прототип которого был построен в 1937 г. (5745, 37).</w:t>
      </w:r>
    </w:p>
    <w:p w14:paraId="050D0A3F" w14:textId="77777777" w:rsidR="00537E5F" w:rsidRPr="00507A31" w:rsidRDefault="00537E5F" w:rsidP="00507A31">
      <w:pPr>
        <w:autoSpaceDE w:val="0"/>
        <w:autoSpaceDN w:val="0"/>
        <w:adjustRightInd w:val="0"/>
        <w:jc w:val="both"/>
        <w:rPr>
          <w:color w:val="000000" w:themeColor="text1"/>
          <w:sz w:val="16"/>
          <w:szCs w:val="16"/>
        </w:rPr>
      </w:pPr>
    </w:p>
    <w:p w14:paraId="604EB9B3" w14:textId="77777777" w:rsidR="00592BB3" w:rsidRPr="00507A31" w:rsidRDefault="00592BB3" w:rsidP="00507A31">
      <w:pPr>
        <w:jc w:val="both"/>
        <w:rPr>
          <w:color w:val="000000" w:themeColor="text1"/>
          <w:sz w:val="16"/>
          <w:szCs w:val="16"/>
        </w:rPr>
      </w:pPr>
      <w:r w:rsidRPr="00507A31">
        <w:rPr>
          <w:color w:val="000000" w:themeColor="text1"/>
          <w:sz w:val="16"/>
          <w:szCs w:val="16"/>
        </w:rPr>
        <w:t>28 апреля 1930 г. между американской фирмой Юнайтед СтейсУилТрэкЛэйерКорпорэйшон («U.S. Wheel Track Layer Corporation») и фирмой АмторгТрэйдинг-Корпорэйшон («Аmtorg Trading Corporation»), представлявшей интересы СССР в США, был подписан договор, согласно которому советской стороне осуществлялась продажа «двух военных танков» общей стоимостью 60 000 американских долларов. Договором также были оговорены права на производство, продажу и использование танков внутри границ СССР сроком на десять лет (17502).</w:t>
      </w:r>
    </w:p>
    <w:p w14:paraId="4736E550" w14:textId="77777777" w:rsidR="00592BB3" w:rsidRPr="00507A31" w:rsidRDefault="00592BB3" w:rsidP="00507A31">
      <w:pPr>
        <w:jc w:val="both"/>
        <w:rPr>
          <w:color w:val="000000" w:themeColor="text1"/>
          <w:sz w:val="16"/>
          <w:szCs w:val="16"/>
        </w:rPr>
      </w:pPr>
    </w:p>
    <w:p w14:paraId="20080D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апреля 1930 был подписан договор между US Wheel Track Layer Corp. (подписал Дж.У.Кристи) и Amtorg Trading Corp. (подписал президент А.В.Петров в присутствии И.А.Халепского и двух американцев) на закупку двух танков Кристи М.1940 за 60000 долл., включая запчасти на 4000 долл. и “....права на производство, продажу, и использование танков внутри границ СССР сроком на 10 лет”. За производственные права, передачу патентов и услуг в отношении техсодействия было уплачено еще 100000 долл. (4239).</w:t>
      </w:r>
    </w:p>
    <w:p w14:paraId="6FF5D125" w14:textId="77777777" w:rsidR="00537E5F" w:rsidRPr="00507A31" w:rsidRDefault="00537E5F" w:rsidP="00507A31">
      <w:pPr>
        <w:autoSpaceDE w:val="0"/>
        <w:autoSpaceDN w:val="0"/>
        <w:adjustRightInd w:val="0"/>
        <w:jc w:val="both"/>
        <w:rPr>
          <w:color w:val="000000" w:themeColor="text1"/>
          <w:sz w:val="16"/>
          <w:szCs w:val="16"/>
        </w:rPr>
      </w:pPr>
    </w:p>
    <w:p w14:paraId="44657E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 апреля 1930 г. между US Wheel Track Layer Corporation и «Амторг» (Amtorg trading Corporation — торговой фирмы, представлявшей интересы СССР в США) был подписан договор. Согласно договору американская сторона , осуществила продажу «двух военных танков общей стоимос</w:t>
      </w:r>
      <w:r w:rsidRPr="00507A31">
        <w:rPr>
          <w:color w:val="000000" w:themeColor="text1"/>
          <w:sz w:val="16"/>
          <w:szCs w:val="16"/>
        </w:rPr>
        <w:softHyphen/>
        <w:t>тью 60000 американских долларов. Доставка танков должна быть произведена не позднее четырех месяцев со дня подписа</w:t>
      </w:r>
      <w:r w:rsidR="003E5DD5" w:rsidRPr="00507A31">
        <w:rPr>
          <w:color w:val="000000" w:themeColor="text1"/>
          <w:sz w:val="16"/>
          <w:szCs w:val="16"/>
        </w:rPr>
        <w:t>ни</w:t>
      </w:r>
      <w:r w:rsidRPr="00507A31">
        <w:rPr>
          <w:color w:val="000000" w:themeColor="text1"/>
          <w:sz w:val="16"/>
          <w:szCs w:val="16"/>
        </w:rPr>
        <w:t>я договора». В договоре также оговаривались: «доставка запасных частей к купленным танкам на сумму 4000 долларов, а также права на производство, продажу и использование Фшнков внутри границ СССР сроком на десять лет» (10733).</w:t>
      </w:r>
    </w:p>
    <w:p w14:paraId="04A9BA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CD4DE79" w14:textId="77777777" w:rsidR="00FF5E7D" w:rsidRPr="00507A31" w:rsidRDefault="00FF5E7D" w:rsidP="00507A31">
      <w:pPr>
        <w:shd w:val="clear" w:color="auto" w:fill="FFFFFF"/>
        <w:jc w:val="both"/>
        <w:rPr>
          <w:color w:val="0070C0"/>
          <w:sz w:val="16"/>
          <w:szCs w:val="16"/>
          <w:shd w:val="clear" w:color="auto" w:fill="FFFFFF"/>
        </w:rPr>
      </w:pPr>
      <w:r w:rsidRPr="00507A31">
        <w:rPr>
          <w:color w:val="0070C0"/>
          <w:sz w:val="16"/>
          <w:szCs w:val="16"/>
          <w:shd w:val="clear" w:color="auto" w:fill="FFFFFF"/>
        </w:rPr>
        <w:t>28 апреля 1930 года было подписано соглашение между U.S. Wheel Track Layer Corporation и советской Amtorg Trading Corporation. Кристи удалось немного "утрамбовать" по ценнику: танки так и остались ценой 30 тысяч долларов за штуку, еще 4 тысячи стоили запасные части, а 100 тысяч заплатили за патенты, плюс право лицензионного производства в течение 10 лет. Сроком изготовления танков указывалось 4 месяца. При этом Кристи очень быстро распрощался с поляками. Советская сторона выглядела более интересным заказчиком, к тому же у Кристи уже имелся частично построенный образец танка. Позже польская сторона смогла выбить обратно деньги за предоплату, но это уже ничего не решало. Также контракт оговаривал присутствие на U.S. Wheel Track Layer Corporation советского представителя (20339).</w:t>
      </w:r>
    </w:p>
    <w:p w14:paraId="3D67BCD8" w14:textId="77777777" w:rsidR="00FF5E7D" w:rsidRPr="00507A31" w:rsidRDefault="00FF5E7D" w:rsidP="00507A31">
      <w:pPr>
        <w:shd w:val="clear" w:color="auto" w:fill="FFFFFF"/>
        <w:jc w:val="both"/>
        <w:rPr>
          <w:color w:val="0070C0"/>
          <w:sz w:val="16"/>
          <w:szCs w:val="16"/>
        </w:rPr>
      </w:pPr>
    </w:p>
    <w:p w14:paraId="4FC49218" w14:textId="77777777" w:rsidR="00FF5E7D" w:rsidRPr="00507A31" w:rsidRDefault="00FF5E7D" w:rsidP="00507A31">
      <w:pPr>
        <w:jc w:val="both"/>
        <w:rPr>
          <w:color w:val="0070C0"/>
          <w:sz w:val="16"/>
          <w:szCs w:val="16"/>
        </w:rPr>
      </w:pPr>
      <w:r w:rsidRPr="00507A31">
        <w:rPr>
          <w:color w:val="0070C0"/>
          <w:sz w:val="16"/>
          <w:szCs w:val="16"/>
        </w:rPr>
        <w:t>28 апреля 1930 г.</w:t>
      </w:r>
    </w:p>
    <w:p w14:paraId="43258493" w14:textId="77777777" w:rsidR="00FF5E7D" w:rsidRPr="00507A31" w:rsidRDefault="00FF5E7D" w:rsidP="00507A31">
      <w:pPr>
        <w:jc w:val="both"/>
        <w:rPr>
          <w:color w:val="0070C0"/>
          <w:sz w:val="16"/>
          <w:szCs w:val="16"/>
        </w:rPr>
      </w:pPr>
      <w:r w:rsidRPr="00507A31">
        <w:rPr>
          <w:color w:val="0070C0"/>
          <w:sz w:val="16"/>
          <w:szCs w:val="16"/>
        </w:rPr>
        <w:t>Договор между фирмой</w:t>
      </w:r>
    </w:p>
    <w:p w14:paraId="115BDDC9" w14:textId="77777777" w:rsidR="00FF5E7D" w:rsidRPr="00507A31" w:rsidRDefault="00FF5E7D" w:rsidP="00507A31">
      <w:pPr>
        <w:jc w:val="both"/>
        <w:rPr>
          <w:color w:val="0070C0"/>
          <w:sz w:val="16"/>
          <w:szCs w:val="16"/>
        </w:rPr>
      </w:pPr>
      <w:r w:rsidRPr="00507A31">
        <w:rPr>
          <w:color w:val="0070C0"/>
          <w:sz w:val="16"/>
          <w:szCs w:val="16"/>
        </w:rPr>
        <w:t>«</w:t>
      </w:r>
      <w:r w:rsidRPr="00507A31">
        <w:rPr>
          <w:color w:val="0070C0"/>
          <w:sz w:val="16"/>
          <w:szCs w:val="16"/>
          <w:lang w:val="en-US"/>
        </w:rPr>
        <w:t>United</w:t>
      </w:r>
      <w:r w:rsidRPr="00507A31">
        <w:rPr>
          <w:color w:val="0070C0"/>
          <w:sz w:val="16"/>
          <w:szCs w:val="16"/>
        </w:rPr>
        <w:t xml:space="preserve"> </w:t>
      </w:r>
      <w:r w:rsidRPr="00507A31">
        <w:rPr>
          <w:color w:val="0070C0"/>
          <w:sz w:val="16"/>
          <w:szCs w:val="16"/>
          <w:lang w:val="en-US"/>
        </w:rPr>
        <w:t>States</w:t>
      </w:r>
      <w:r w:rsidRPr="00507A31">
        <w:rPr>
          <w:color w:val="0070C0"/>
          <w:sz w:val="16"/>
          <w:szCs w:val="16"/>
        </w:rPr>
        <w:t xml:space="preserve"> </w:t>
      </w:r>
      <w:r w:rsidRPr="00507A31">
        <w:rPr>
          <w:color w:val="0070C0"/>
          <w:sz w:val="16"/>
          <w:szCs w:val="16"/>
          <w:lang w:val="en-US"/>
        </w:rPr>
        <w:t>Wheel</w:t>
      </w:r>
      <w:r w:rsidRPr="00507A31">
        <w:rPr>
          <w:color w:val="0070C0"/>
          <w:sz w:val="16"/>
          <w:szCs w:val="16"/>
        </w:rPr>
        <w:t xml:space="preserve"> </w:t>
      </w:r>
      <w:r w:rsidRPr="00507A31">
        <w:rPr>
          <w:color w:val="0070C0"/>
          <w:sz w:val="16"/>
          <w:szCs w:val="16"/>
          <w:lang w:val="en-US"/>
        </w:rPr>
        <w:t>Track</w:t>
      </w:r>
      <w:r w:rsidRPr="00507A31">
        <w:rPr>
          <w:color w:val="0070C0"/>
          <w:sz w:val="16"/>
          <w:szCs w:val="16"/>
        </w:rPr>
        <w:t xml:space="preserve"> </w:t>
      </w:r>
      <w:r w:rsidRPr="00507A31">
        <w:rPr>
          <w:color w:val="0070C0"/>
          <w:sz w:val="16"/>
          <w:szCs w:val="16"/>
          <w:lang w:val="en-US"/>
        </w:rPr>
        <w:t>Layer</w:t>
      </w:r>
      <w:r w:rsidRPr="00507A31">
        <w:rPr>
          <w:color w:val="0070C0"/>
          <w:sz w:val="16"/>
          <w:szCs w:val="16"/>
        </w:rPr>
        <w:t xml:space="preserve"> </w:t>
      </w:r>
      <w:r w:rsidRPr="00507A31">
        <w:rPr>
          <w:color w:val="0070C0"/>
          <w:sz w:val="16"/>
          <w:szCs w:val="16"/>
          <w:lang w:val="en-US"/>
        </w:rPr>
        <w:t>Corporation</w:t>
      </w:r>
      <w:r w:rsidRPr="00507A31">
        <w:rPr>
          <w:color w:val="0070C0"/>
          <w:sz w:val="16"/>
          <w:szCs w:val="16"/>
        </w:rPr>
        <w:t>» и Амторгом о продаже патента на производство гусенично-колесного танка «Кристи»</w:t>
      </w:r>
    </w:p>
    <w:p w14:paraId="0C582E75" w14:textId="77777777" w:rsidR="00FF5E7D" w:rsidRPr="00507A31" w:rsidRDefault="00FF5E7D" w:rsidP="00507A31">
      <w:pPr>
        <w:jc w:val="both"/>
        <w:rPr>
          <w:color w:val="0070C0"/>
          <w:sz w:val="16"/>
          <w:szCs w:val="16"/>
        </w:rPr>
      </w:pPr>
      <w:r w:rsidRPr="00507A31">
        <w:rPr>
          <w:color w:val="0070C0"/>
          <w:sz w:val="16"/>
          <w:szCs w:val="16"/>
        </w:rPr>
        <w:t>28 апреля 1930 г.</w:t>
      </w:r>
    </w:p>
    <w:p w14:paraId="2DFAE817" w14:textId="77777777" w:rsidR="00FF5E7D" w:rsidRPr="00507A31" w:rsidRDefault="00FF5E7D" w:rsidP="00507A31">
      <w:pPr>
        <w:jc w:val="both"/>
        <w:rPr>
          <w:color w:val="0070C0"/>
          <w:sz w:val="16"/>
          <w:szCs w:val="16"/>
        </w:rPr>
      </w:pPr>
      <w:r w:rsidRPr="00507A31">
        <w:rPr>
          <w:color w:val="0070C0"/>
          <w:sz w:val="16"/>
          <w:szCs w:val="16"/>
        </w:rPr>
        <w:t>Гусенично-колесный танк «Кристи»</w:t>
      </w:r>
    </w:p>
    <w:p w14:paraId="0DA68CEE" w14:textId="77777777" w:rsidR="00FF5E7D" w:rsidRPr="00507A31" w:rsidRDefault="00FF5E7D" w:rsidP="00507A31">
      <w:pPr>
        <w:jc w:val="both"/>
        <w:rPr>
          <w:color w:val="0070C0"/>
          <w:sz w:val="16"/>
          <w:szCs w:val="16"/>
        </w:rPr>
      </w:pPr>
      <w:r w:rsidRPr="00507A31">
        <w:rPr>
          <w:color w:val="0070C0"/>
          <w:sz w:val="16"/>
          <w:szCs w:val="16"/>
        </w:rPr>
        <w:t>Договор, заключенный 28 апреля 1930 г. между «Юнайтед Стейтс уил трэк лэйэр корпорейшн», корпорацией, утвержденной согласно законов штата Нью-Джерси, ниже именуемой «ПРОДАВЕЦ», с одной стороны, и «Амторг трэйд корпорейшн», корпорацией, утвержденной по законам штата Нью-Йорка, ниже именуемой «ПОКУПАТЕЛЬ», с другой стороны в нижеследующем:</w:t>
      </w:r>
    </w:p>
    <w:p w14:paraId="49794061" w14:textId="77777777" w:rsidR="00FF5E7D" w:rsidRPr="00507A31" w:rsidRDefault="00FF5E7D" w:rsidP="00507A31">
      <w:pPr>
        <w:jc w:val="both"/>
        <w:rPr>
          <w:color w:val="0070C0"/>
          <w:sz w:val="16"/>
          <w:szCs w:val="16"/>
        </w:rPr>
      </w:pPr>
      <w:r w:rsidRPr="00507A31">
        <w:rPr>
          <w:color w:val="0070C0"/>
          <w:sz w:val="16"/>
          <w:szCs w:val="16"/>
        </w:rPr>
        <w:t>Принимая во внимание, что продавец желает продать покупателю два (2) военных танка согласно нижеуказанного описания для экспорта в СССР и продать покупателю все свои патентные права в отношении производства означенных танков и оказывать техническое содействие для производства таких танков в Союзе Советских Социалистических Республик (в дальнейшем именуемом «СССР») исключительно, и</w:t>
      </w:r>
    </w:p>
    <w:p w14:paraId="4BA7B2BD" w14:textId="77777777" w:rsidR="00FF5E7D" w:rsidRPr="00507A31" w:rsidRDefault="00FF5E7D" w:rsidP="00507A31">
      <w:pPr>
        <w:jc w:val="both"/>
        <w:rPr>
          <w:color w:val="0070C0"/>
          <w:sz w:val="16"/>
          <w:szCs w:val="16"/>
        </w:rPr>
      </w:pPr>
      <w:r w:rsidRPr="00507A31">
        <w:rPr>
          <w:color w:val="0070C0"/>
          <w:sz w:val="16"/>
          <w:szCs w:val="16"/>
        </w:rPr>
        <w:t>принимая во внимание, что продавец ответственно заявляет, что он получил необходимое разрешение от правительства САСШ на означенную продажу и техническое содействие, и принимая во внимание, что покупатель желает купить такие танки и такие патентные права и получить означенное техническое содействие,</w:t>
      </w:r>
    </w:p>
    <w:p w14:paraId="7B80CCE8" w14:textId="77777777" w:rsidR="00FF5E7D" w:rsidRPr="00507A31" w:rsidRDefault="00FF5E7D" w:rsidP="00507A31">
      <w:pPr>
        <w:jc w:val="both"/>
        <w:rPr>
          <w:color w:val="0070C0"/>
          <w:sz w:val="16"/>
          <w:szCs w:val="16"/>
        </w:rPr>
      </w:pPr>
      <w:r w:rsidRPr="00507A31">
        <w:rPr>
          <w:color w:val="0070C0"/>
          <w:sz w:val="16"/>
          <w:szCs w:val="16"/>
        </w:rPr>
        <w:t>поэтому ввиду взаимных соглашений, здесь предусмотренных, договаривающиеся стороны соглашаются в следующем:</w:t>
      </w:r>
    </w:p>
    <w:p w14:paraId="1741CEBA" w14:textId="77777777" w:rsidR="00FF5E7D" w:rsidRPr="00507A31" w:rsidRDefault="00FF5E7D" w:rsidP="00507A31">
      <w:pPr>
        <w:jc w:val="both"/>
        <w:rPr>
          <w:color w:val="0070C0"/>
          <w:sz w:val="16"/>
          <w:szCs w:val="16"/>
        </w:rPr>
      </w:pPr>
      <w:r w:rsidRPr="00507A31">
        <w:rPr>
          <w:color w:val="0070C0"/>
          <w:sz w:val="16"/>
          <w:szCs w:val="16"/>
        </w:rPr>
        <w:t>1. Продавец настоящим соглашается продать и доставить, а покупатель настоящим соглашается купить и уплатить за два (2) военных танка, сконструированных согласно общих приложенных к настоящему договору спецификаций, составляющих часть его, за сумму тридцать тысяч ($ 30 000) долларов каждый, в целом за шестьдесят тысяч ($ 60 000) долларов за оба, каковую сумму покупатель соглашается уплатить продавцу согласно условий сего договора следующим образом:</w:t>
      </w:r>
    </w:p>
    <w:p w14:paraId="52A48585" w14:textId="77777777" w:rsidR="00FF5E7D" w:rsidRPr="00507A31" w:rsidRDefault="00FF5E7D" w:rsidP="00507A31">
      <w:pPr>
        <w:jc w:val="both"/>
        <w:rPr>
          <w:color w:val="0070C0"/>
          <w:sz w:val="16"/>
          <w:szCs w:val="16"/>
        </w:rPr>
      </w:pPr>
      <w:r w:rsidRPr="00507A31">
        <w:rPr>
          <w:color w:val="0070C0"/>
          <w:sz w:val="16"/>
          <w:szCs w:val="16"/>
        </w:rPr>
        <w:t>а) При подписании сего договора наличными $ 15 000, получение каковых настоящим подтверждается.</w:t>
      </w:r>
    </w:p>
    <w:p w14:paraId="0CA311E4" w14:textId="77777777" w:rsidR="00FF5E7D" w:rsidRPr="00507A31" w:rsidRDefault="00FF5E7D" w:rsidP="00507A31">
      <w:pPr>
        <w:jc w:val="both"/>
        <w:rPr>
          <w:color w:val="0070C0"/>
          <w:sz w:val="16"/>
          <w:szCs w:val="16"/>
        </w:rPr>
      </w:pPr>
      <w:r w:rsidRPr="00507A31">
        <w:rPr>
          <w:color w:val="0070C0"/>
          <w:sz w:val="16"/>
          <w:szCs w:val="16"/>
        </w:rPr>
        <w:t>б) Далее, сумма в пятнадцать тысяч долларов $ 15 000 по выполнении производства означенных танков на 75% и по инспекции таковых покупателем,</w:t>
      </w:r>
    </w:p>
    <w:p w14:paraId="66F211BF" w14:textId="77777777" w:rsidR="00FF5E7D" w:rsidRPr="00507A31" w:rsidRDefault="00FF5E7D" w:rsidP="00507A31">
      <w:pPr>
        <w:jc w:val="both"/>
        <w:rPr>
          <w:color w:val="0070C0"/>
          <w:sz w:val="16"/>
          <w:szCs w:val="16"/>
        </w:rPr>
      </w:pPr>
      <w:r w:rsidRPr="00507A31">
        <w:rPr>
          <w:color w:val="0070C0"/>
          <w:sz w:val="16"/>
          <w:szCs w:val="16"/>
        </w:rPr>
        <w:t>с) Остаток в тридцать тысяч долларов $ 30 000 по окончании испытании и доставке покупателю в порт Нью-Йорк означенных танков.</w:t>
      </w:r>
    </w:p>
    <w:p w14:paraId="6F9FB5E2" w14:textId="77777777" w:rsidR="00FF5E7D" w:rsidRPr="00507A31" w:rsidRDefault="00FF5E7D" w:rsidP="00507A31">
      <w:pPr>
        <w:jc w:val="both"/>
        <w:rPr>
          <w:color w:val="0070C0"/>
          <w:sz w:val="16"/>
          <w:szCs w:val="16"/>
        </w:rPr>
      </w:pPr>
      <w:r w:rsidRPr="00507A31">
        <w:rPr>
          <w:color w:val="0070C0"/>
          <w:sz w:val="16"/>
          <w:szCs w:val="16"/>
        </w:rPr>
        <w:t>По уплате каждого из означенных двух первых платежей по $ 15 000 продавец доставляет покупателю бонд известной страховой компании, считающейся для покупателя приемлемой, для обеспечения выполнения сего договора в отношении доставки означенных двух танков в соответствии со спецификациями и в срок, предусмотренный ниже.</w:t>
      </w:r>
    </w:p>
    <w:p w14:paraId="5D1195B6" w14:textId="77777777" w:rsidR="00FF5E7D" w:rsidRPr="00507A31" w:rsidRDefault="00FF5E7D" w:rsidP="00507A31">
      <w:pPr>
        <w:jc w:val="both"/>
        <w:rPr>
          <w:color w:val="0070C0"/>
          <w:sz w:val="16"/>
          <w:szCs w:val="16"/>
        </w:rPr>
      </w:pPr>
      <w:r w:rsidRPr="00507A31">
        <w:rPr>
          <w:color w:val="0070C0"/>
          <w:sz w:val="16"/>
          <w:szCs w:val="16"/>
        </w:rPr>
        <w:t>2. Доставка означенных танков производится не позже четырех (4) месяцев со дня подписания сего договора.</w:t>
      </w:r>
    </w:p>
    <w:p w14:paraId="06A955A4" w14:textId="77777777" w:rsidR="00FF5E7D" w:rsidRPr="00507A31" w:rsidRDefault="00FF5E7D" w:rsidP="00507A31">
      <w:pPr>
        <w:jc w:val="both"/>
        <w:rPr>
          <w:color w:val="0070C0"/>
          <w:sz w:val="16"/>
          <w:szCs w:val="16"/>
        </w:rPr>
      </w:pPr>
      <w:r w:rsidRPr="00507A31">
        <w:rPr>
          <w:color w:val="0070C0"/>
          <w:sz w:val="16"/>
          <w:szCs w:val="16"/>
        </w:rPr>
        <w:t>3. Испытания означенных танков производятся покупателем или представителем его за счет продавца на заводе продавца в Рауэй, Нью-Джерси, или поблизости. Продавец должен письменно уведомить покупателя по меньшей мере за 5 дней вперед о сроке, на который и после которого законченные танки будут готовы к испытаниям, и покупатель соглашается произвести такие испытания в течение двух (2) дней по получении означенного письменного уведомления. Указанные испытания производятся согласно приложенных к сему договору спецификаций и должны быть заключены в течение семи (7) дней со дня предъявления означенного уведомления продавцом покупателя о том, что указанные танки готовы к испытаниям.</w:t>
      </w:r>
    </w:p>
    <w:p w14:paraId="294724FC" w14:textId="77777777" w:rsidR="00FF5E7D" w:rsidRPr="00507A31" w:rsidRDefault="00FF5E7D" w:rsidP="00507A31">
      <w:pPr>
        <w:jc w:val="both"/>
        <w:rPr>
          <w:color w:val="0070C0"/>
          <w:sz w:val="16"/>
          <w:szCs w:val="16"/>
        </w:rPr>
      </w:pPr>
      <w:r w:rsidRPr="00507A31">
        <w:rPr>
          <w:color w:val="0070C0"/>
          <w:sz w:val="16"/>
          <w:szCs w:val="16"/>
        </w:rPr>
        <w:t>4. В случае удовлетворительного результата испытаний означенных танков различные механические части их должны быть немедленно опечатаны в присутствии покупателя и продавца или их соответствующих представителей, и продавец должен немедленно доставить означенные танки покупателю в порт Нью-Йорк, и покупатель соглашается по такой доставке уплатить причитающийся остаток покупной цены, как предусмотрено выше.</w:t>
      </w:r>
    </w:p>
    <w:p w14:paraId="29629810" w14:textId="77777777" w:rsidR="00FF5E7D" w:rsidRPr="00507A31" w:rsidRDefault="00FF5E7D" w:rsidP="00507A31">
      <w:pPr>
        <w:jc w:val="both"/>
        <w:rPr>
          <w:color w:val="0070C0"/>
          <w:sz w:val="16"/>
          <w:szCs w:val="16"/>
        </w:rPr>
      </w:pPr>
      <w:r w:rsidRPr="00507A31">
        <w:rPr>
          <w:color w:val="0070C0"/>
          <w:sz w:val="16"/>
          <w:szCs w:val="16"/>
        </w:rPr>
        <w:t>5. Продавец соглашается по требованию покупателя надлежащим образом упаковать танки для морского путешествия в подходящий совершенно закрытый деревянный ящик и отправить их в СССР по указанному продавцу покупателем адресу.</w:t>
      </w:r>
    </w:p>
    <w:p w14:paraId="46706059" w14:textId="77777777" w:rsidR="00FF5E7D" w:rsidRPr="00507A31" w:rsidRDefault="00FF5E7D" w:rsidP="00507A31">
      <w:pPr>
        <w:jc w:val="both"/>
        <w:rPr>
          <w:color w:val="0070C0"/>
          <w:sz w:val="16"/>
          <w:szCs w:val="16"/>
        </w:rPr>
      </w:pPr>
      <w:r w:rsidRPr="00507A31">
        <w:rPr>
          <w:color w:val="0070C0"/>
          <w:sz w:val="16"/>
          <w:szCs w:val="16"/>
        </w:rPr>
        <w:lastRenderedPageBreak/>
        <w:t>Продавец соглашается надлежаще застраховать означенные танки за счет покупателя на сумму в шестьдесят тысяч ($ 60 000) долларов против огня, морской катастрофы и повреждений означенных танков во время перевозки. Расходы по упаковке, перевозке и страхованию от заводов продавца в Рауэй, Нью-Джерси, до места назначения несет покупатель по предоставлении счетов и накладных продавцом, причем согласовано, что такие расходы по упаковке не должны превышать один процент (1 %) стоимости означенных танков.</w:t>
      </w:r>
    </w:p>
    <w:p w14:paraId="602D1B8F" w14:textId="77777777" w:rsidR="00FF5E7D" w:rsidRPr="00507A31" w:rsidRDefault="00FF5E7D" w:rsidP="00507A31">
      <w:pPr>
        <w:jc w:val="both"/>
        <w:rPr>
          <w:color w:val="0070C0"/>
          <w:sz w:val="16"/>
          <w:szCs w:val="16"/>
        </w:rPr>
      </w:pPr>
      <w:r w:rsidRPr="00507A31">
        <w:rPr>
          <w:color w:val="0070C0"/>
          <w:sz w:val="16"/>
          <w:szCs w:val="16"/>
        </w:rPr>
        <w:t>6. Право собственности на танки переходит к покупателю по уплате им вышеуказанной покупной цены вместе с расходами по отправке, упаковке и страхованию.</w:t>
      </w:r>
    </w:p>
    <w:p w14:paraId="3D872600" w14:textId="77777777" w:rsidR="00FF5E7D" w:rsidRPr="00507A31" w:rsidRDefault="00FF5E7D" w:rsidP="00507A31">
      <w:pPr>
        <w:jc w:val="both"/>
        <w:rPr>
          <w:color w:val="0070C0"/>
          <w:sz w:val="16"/>
          <w:szCs w:val="16"/>
        </w:rPr>
      </w:pPr>
      <w:r w:rsidRPr="00507A31">
        <w:rPr>
          <w:color w:val="0070C0"/>
          <w:sz w:val="16"/>
          <w:szCs w:val="16"/>
        </w:rPr>
        <w:t>7. Продавец далее соглашается доставить покупателю одновременно с доставкой танков запчасти, поименованные в параграфе 37 приложенных к сему договору спецификаций, а покупатель соглашается принять означенные запчасти с тем, однако, что они соответствуют спецификациям, и уплатить за них сумму в четыре тысячи ($ 4 000) долларов вдобавок к покупной цене танков.</w:t>
      </w:r>
    </w:p>
    <w:p w14:paraId="04C99ACE" w14:textId="77777777" w:rsidR="00FF5E7D" w:rsidRPr="00507A31" w:rsidRDefault="00FF5E7D" w:rsidP="00507A31">
      <w:pPr>
        <w:jc w:val="both"/>
        <w:rPr>
          <w:color w:val="0070C0"/>
          <w:sz w:val="16"/>
          <w:szCs w:val="16"/>
        </w:rPr>
      </w:pPr>
      <w:r w:rsidRPr="00507A31">
        <w:rPr>
          <w:color w:val="0070C0"/>
          <w:sz w:val="16"/>
          <w:szCs w:val="16"/>
        </w:rPr>
        <w:t>8. В случае, если бы танки, доставляемые согласно сего договора, не соответствовали спецификациям, продавец соглашается произвести все изменения и усовершенствования в течение тридцатидневного периода, согласно технических требований настоящего договора и спецификаций, после чего испытания производятся таким же образом, как указано выше.</w:t>
      </w:r>
    </w:p>
    <w:p w14:paraId="45448B48" w14:textId="77777777" w:rsidR="00FF5E7D" w:rsidRPr="00507A31" w:rsidRDefault="00FF5E7D" w:rsidP="00507A31">
      <w:pPr>
        <w:jc w:val="both"/>
        <w:rPr>
          <w:color w:val="0070C0"/>
          <w:sz w:val="16"/>
          <w:szCs w:val="16"/>
        </w:rPr>
      </w:pPr>
      <w:r w:rsidRPr="00507A31">
        <w:rPr>
          <w:color w:val="0070C0"/>
          <w:sz w:val="16"/>
          <w:szCs w:val="16"/>
        </w:rPr>
        <w:t>9. Продавец соглашается продать и настоящим продает, а покупатель соглашается купить и настоящим покупает все права, претензии и интересы продавца на все изобретения, воплощенные в означенных танках, а также в двух других типах танков, а именно: «Кристи амфибие» и «Кристи отомотив гон кэрридж», и все изобретения и усовершенствования, могущие быть сделанными продавцом в связи с таковым, независимо от того, покрыты они патентами или заявлениями на них или нет в САСШ, СССР или какой-либо другой стране для производства, продажи и использования означенных танков исключительно внутри границ СССР на срок в десять (10) лет.</w:t>
      </w:r>
    </w:p>
    <w:p w14:paraId="71A016B4" w14:textId="77777777" w:rsidR="00FF5E7D" w:rsidRPr="00507A31" w:rsidRDefault="00FF5E7D" w:rsidP="00507A31">
      <w:pPr>
        <w:jc w:val="both"/>
        <w:rPr>
          <w:color w:val="0070C0"/>
          <w:sz w:val="16"/>
          <w:szCs w:val="16"/>
        </w:rPr>
      </w:pPr>
      <w:r w:rsidRPr="00507A31">
        <w:rPr>
          <w:color w:val="0070C0"/>
          <w:sz w:val="16"/>
          <w:szCs w:val="16"/>
        </w:rPr>
        <w:t>10. Продавец далее соглашается оказывать покупателю техническое содействие, необходимое для производства в СССР таких танков, как означенные в § 1 два танка с тем, чтобы покупатель мог полностью строить танки, во всех отношениях аналогичные двум сперва упомянутым танкам, как указано выше.</w:t>
      </w:r>
    </w:p>
    <w:p w14:paraId="2593F785" w14:textId="77777777" w:rsidR="00FF5E7D" w:rsidRPr="00507A31" w:rsidRDefault="00FF5E7D" w:rsidP="00507A31">
      <w:pPr>
        <w:jc w:val="both"/>
        <w:rPr>
          <w:color w:val="0070C0"/>
          <w:sz w:val="16"/>
          <w:szCs w:val="16"/>
        </w:rPr>
      </w:pPr>
      <w:r w:rsidRPr="00507A31">
        <w:rPr>
          <w:color w:val="0070C0"/>
          <w:sz w:val="16"/>
          <w:szCs w:val="16"/>
        </w:rPr>
        <w:t>Означенное техническое содействие должно включать доставку продавцом покупателю следующего:</w:t>
      </w:r>
    </w:p>
    <w:p w14:paraId="388B742C" w14:textId="77777777" w:rsidR="00FF5E7D" w:rsidRPr="00507A31" w:rsidRDefault="00FF5E7D" w:rsidP="00507A31">
      <w:pPr>
        <w:jc w:val="both"/>
        <w:rPr>
          <w:color w:val="0070C0"/>
          <w:sz w:val="16"/>
          <w:szCs w:val="16"/>
        </w:rPr>
      </w:pPr>
      <w:r w:rsidRPr="00507A31">
        <w:rPr>
          <w:color w:val="0070C0"/>
          <w:sz w:val="16"/>
          <w:szCs w:val="16"/>
        </w:rPr>
        <w:t>а) кальки и синьки производственных, установочных и сборочных детальных чертежей всех устройств танка и кузова, синьки в двух копиях;</w:t>
      </w:r>
    </w:p>
    <w:p w14:paraId="58F48111" w14:textId="77777777" w:rsidR="00FF5E7D" w:rsidRPr="00507A31" w:rsidRDefault="00FF5E7D" w:rsidP="00507A31">
      <w:pPr>
        <w:jc w:val="both"/>
        <w:rPr>
          <w:color w:val="0070C0"/>
          <w:sz w:val="16"/>
          <w:szCs w:val="16"/>
        </w:rPr>
      </w:pPr>
      <w:r w:rsidRPr="00507A31">
        <w:rPr>
          <w:color w:val="0070C0"/>
          <w:sz w:val="16"/>
          <w:szCs w:val="16"/>
        </w:rPr>
        <w:t>б) детальные чертежи должны указывать допуска и степень точности;</w:t>
      </w:r>
    </w:p>
    <w:p w14:paraId="37085526" w14:textId="77777777" w:rsidR="00FF5E7D" w:rsidRPr="00507A31" w:rsidRDefault="00FF5E7D" w:rsidP="00507A31">
      <w:pPr>
        <w:jc w:val="both"/>
        <w:rPr>
          <w:color w:val="0070C0"/>
          <w:sz w:val="16"/>
          <w:szCs w:val="16"/>
        </w:rPr>
      </w:pPr>
      <w:r w:rsidRPr="00507A31">
        <w:rPr>
          <w:color w:val="0070C0"/>
          <w:sz w:val="16"/>
          <w:szCs w:val="16"/>
        </w:rPr>
        <w:t>в) чертежи должны сопровождаться техническими описаниями и спецификациями, включая состав материалов, из которых все части шасси и кузова танка производятся, а также производственные процессы;</w:t>
      </w:r>
    </w:p>
    <w:p w14:paraId="55B762D4" w14:textId="77777777" w:rsidR="00FF5E7D" w:rsidRPr="00507A31" w:rsidRDefault="00FF5E7D" w:rsidP="00507A31">
      <w:pPr>
        <w:jc w:val="both"/>
        <w:rPr>
          <w:color w:val="0070C0"/>
          <w:sz w:val="16"/>
          <w:szCs w:val="16"/>
        </w:rPr>
      </w:pPr>
      <w:r w:rsidRPr="00507A31">
        <w:rPr>
          <w:color w:val="0070C0"/>
          <w:sz w:val="16"/>
          <w:szCs w:val="16"/>
        </w:rPr>
        <w:t>г) в отношении мотора детальные чертежи и спецификации для всех изменений, внесенных в стандартный тип;</w:t>
      </w:r>
    </w:p>
    <w:p w14:paraId="7757388D" w14:textId="77777777" w:rsidR="00FF5E7D" w:rsidRPr="00507A31" w:rsidRDefault="00FF5E7D" w:rsidP="00507A31">
      <w:pPr>
        <w:jc w:val="both"/>
        <w:rPr>
          <w:color w:val="0070C0"/>
          <w:sz w:val="16"/>
          <w:szCs w:val="16"/>
        </w:rPr>
      </w:pPr>
      <w:r w:rsidRPr="00507A31">
        <w:rPr>
          <w:color w:val="0070C0"/>
          <w:sz w:val="16"/>
          <w:szCs w:val="16"/>
        </w:rPr>
        <w:t>д) полные инструкции в отношении управления танками и ухода за ними;</w:t>
      </w:r>
    </w:p>
    <w:p w14:paraId="68217BBF" w14:textId="77777777" w:rsidR="00FF5E7D" w:rsidRPr="00507A31" w:rsidRDefault="00FF5E7D" w:rsidP="00507A31">
      <w:pPr>
        <w:jc w:val="both"/>
        <w:rPr>
          <w:color w:val="0070C0"/>
          <w:sz w:val="16"/>
          <w:szCs w:val="16"/>
        </w:rPr>
      </w:pPr>
      <w:r w:rsidRPr="00507A31">
        <w:rPr>
          <w:color w:val="0070C0"/>
          <w:sz w:val="16"/>
          <w:szCs w:val="16"/>
        </w:rPr>
        <w:t>е) все данные, необходимые для производства означенных танков;</w:t>
      </w:r>
    </w:p>
    <w:p w14:paraId="67953868" w14:textId="77777777" w:rsidR="00FF5E7D" w:rsidRPr="00507A31" w:rsidRDefault="00FF5E7D" w:rsidP="00507A31">
      <w:pPr>
        <w:jc w:val="both"/>
        <w:rPr>
          <w:color w:val="0070C0"/>
          <w:sz w:val="16"/>
          <w:szCs w:val="16"/>
        </w:rPr>
      </w:pPr>
      <w:r w:rsidRPr="00507A31">
        <w:rPr>
          <w:color w:val="0070C0"/>
          <w:sz w:val="16"/>
          <w:szCs w:val="16"/>
        </w:rPr>
        <w:t>ж) чертежи должны иметь визу автора.</w:t>
      </w:r>
    </w:p>
    <w:p w14:paraId="62A1EECE" w14:textId="77777777" w:rsidR="00FF5E7D" w:rsidRPr="00507A31" w:rsidRDefault="00FF5E7D" w:rsidP="00507A31">
      <w:pPr>
        <w:jc w:val="both"/>
        <w:rPr>
          <w:color w:val="0070C0"/>
          <w:sz w:val="16"/>
          <w:szCs w:val="16"/>
        </w:rPr>
      </w:pPr>
      <w:r w:rsidRPr="00507A31">
        <w:rPr>
          <w:color w:val="0070C0"/>
          <w:sz w:val="16"/>
          <w:szCs w:val="16"/>
        </w:rPr>
        <w:t>11. Продавец соглашается доставить покупателю кальки и чертежи танка типа «Амфибие», поскольку они у него имеются.</w:t>
      </w:r>
    </w:p>
    <w:p w14:paraId="79534CCB" w14:textId="77777777" w:rsidR="00FF5E7D" w:rsidRPr="00507A31" w:rsidRDefault="00FF5E7D" w:rsidP="00507A31">
      <w:pPr>
        <w:jc w:val="both"/>
        <w:rPr>
          <w:color w:val="0070C0"/>
          <w:sz w:val="16"/>
          <w:szCs w:val="16"/>
        </w:rPr>
      </w:pPr>
      <w:r w:rsidRPr="00507A31">
        <w:rPr>
          <w:color w:val="0070C0"/>
          <w:sz w:val="16"/>
          <w:szCs w:val="16"/>
        </w:rPr>
        <w:t>12. По требованию покупателя продавец должен послать в СССР или м-ра Кристи, или его главного инженера на срок в два (2) месяца в качестве инженера-консультанта для руководства и наблюдения за производством означенных танков в СССР, причем резонные путевые и прожиточные расходы оплачиваются покупателем помимо жалованья в триста долларов ($ 300) в месяц со дня отъезда из Нью-Йорка, САСШ, до его возвращения в Нью-Йорк, САСШ.</w:t>
      </w:r>
    </w:p>
    <w:p w14:paraId="0BB60089" w14:textId="77777777" w:rsidR="00FF5E7D" w:rsidRPr="00507A31" w:rsidRDefault="00FF5E7D" w:rsidP="00507A31">
      <w:pPr>
        <w:jc w:val="both"/>
        <w:rPr>
          <w:color w:val="0070C0"/>
          <w:sz w:val="16"/>
          <w:szCs w:val="16"/>
        </w:rPr>
      </w:pPr>
      <w:r w:rsidRPr="00507A31">
        <w:rPr>
          <w:color w:val="0070C0"/>
          <w:sz w:val="16"/>
          <w:szCs w:val="16"/>
        </w:rPr>
        <w:t>13. Как компенсацию за продажу означенных производственных прав и передачу указанных патентов и услуг, оказываемых согласно настоящему договору в отношении технического содействия, покупатель соглашается уплатить продавцу сумму в сто тысяч ($ 100 000) долларов, уплачиваемых следующим образом:</w:t>
      </w:r>
    </w:p>
    <w:p w14:paraId="603F33C0" w14:textId="77777777" w:rsidR="00FF5E7D" w:rsidRPr="00507A31" w:rsidRDefault="00FF5E7D" w:rsidP="00507A31">
      <w:pPr>
        <w:jc w:val="both"/>
        <w:rPr>
          <w:color w:val="0070C0"/>
          <w:sz w:val="16"/>
          <w:szCs w:val="16"/>
        </w:rPr>
      </w:pPr>
      <w:r w:rsidRPr="00507A31">
        <w:rPr>
          <w:color w:val="0070C0"/>
          <w:sz w:val="16"/>
          <w:szCs w:val="16"/>
        </w:rPr>
        <w:t>а) по подписании настоящего договора десять тысяч $ 10 000 долларов наличными, получение которых настоящим подтверждается.</w:t>
      </w:r>
    </w:p>
    <w:p w14:paraId="73B13E7D" w14:textId="77777777" w:rsidR="00FF5E7D" w:rsidRPr="00507A31" w:rsidRDefault="00FF5E7D" w:rsidP="00507A31">
      <w:pPr>
        <w:jc w:val="both"/>
        <w:rPr>
          <w:color w:val="0070C0"/>
          <w:sz w:val="16"/>
          <w:szCs w:val="16"/>
        </w:rPr>
      </w:pPr>
      <w:r w:rsidRPr="00507A31">
        <w:rPr>
          <w:color w:val="0070C0"/>
          <w:sz w:val="16"/>
          <w:szCs w:val="16"/>
        </w:rPr>
        <w:t>б) по доставке всех вышеуказанных чертежей в связи $ 40 000 с техническим содействием, причем такая доставка производится не позднее четырех (4) недель после доставки означенных двух танков, как указано выше сорок тысяч долларов.</w:t>
      </w:r>
    </w:p>
    <w:p w14:paraId="71B73745" w14:textId="77777777" w:rsidR="00FF5E7D" w:rsidRPr="00507A31" w:rsidRDefault="00FF5E7D" w:rsidP="00507A31">
      <w:pPr>
        <w:jc w:val="both"/>
        <w:rPr>
          <w:color w:val="0070C0"/>
          <w:sz w:val="16"/>
          <w:szCs w:val="16"/>
        </w:rPr>
      </w:pPr>
      <w:r w:rsidRPr="00507A31">
        <w:rPr>
          <w:color w:val="0070C0"/>
          <w:sz w:val="16"/>
          <w:szCs w:val="16"/>
        </w:rPr>
        <w:t>в) двенадцать (12) месяцев после означенной доставки $ 25 000 сумму в двадцать пять тысяч долларов с 6% годовых на $ 50 000.</w:t>
      </w:r>
    </w:p>
    <w:p w14:paraId="1CD047A2" w14:textId="77777777" w:rsidR="00FF5E7D" w:rsidRPr="00507A31" w:rsidRDefault="00FF5E7D" w:rsidP="00507A31">
      <w:pPr>
        <w:jc w:val="both"/>
        <w:rPr>
          <w:color w:val="0070C0"/>
          <w:sz w:val="16"/>
          <w:szCs w:val="16"/>
        </w:rPr>
      </w:pPr>
      <w:r w:rsidRPr="00507A31">
        <w:rPr>
          <w:color w:val="0070C0"/>
          <w:sz w:val="16"/>
          <w:szCs w:val="16"/>
        </w:rPr>
        <w:t>г) двадцать четыре месяца (24) после такой доставки $ 25 000 сумму в двадцать пять тысяч долларов с 6% годовых,</w:t>
      </w:r>
    </w:p>
    <w:p w14:paraId="7D58C52D" w14:textId="77777777" w:rsidR="00FF5E7D" w:rsidRPr="00507A31" w:rsidRDefault="00FF5E7D" w:rsidP="00507A31">
      <w:pPr>
        <w:jc w:val="both"/>
        <w:rPr>
          <w:color w:val="0070C0"/>
          <w:sz w:val="16"/>
          <w:szCs w:val="16"/>
        </w:rPr>
      </w:pPr>
      <w:r w:rsidRPr="00507A31">
        <w:rPr>
          <w:color w:val="0070C0"/>
          <w:sz w:val="16"/>
          <w:szCs w:val="16"/>
        </w:rPr>
        <w:t>причем эти последние два платежа по $ 25 000 гарантируются покупателем путем предоставления продавцу во время доставки указанных чертежей бонда известной страховой компании, являющейся приемлемой для продавца.</w:t>
      </w:r>
    </w:p>
    <w:p w14:paraId="51913972" w14:textId="77777777" w:rsidR="00FF5E7D" w:rsidRPr="00507A31" w:rsidRDefault="00FF5E7D" w:rsidP="00507A31">
      <w:pPr>
        <w:jc w:val="both"/>
        <w:rPr>
          <w:color w:val="0070C0"/>
          <w:sz w:val="16"/>
          <w:szCs w:val="16"/>
        </w:rPr>
      </w:pPr>
      <w:r w:rsidRPr="00507A31">
        <w:rPr>
          <w:color w:val="0070C0"/>
          <w:sz w:val="16"/>
          <w:szCs w:val="16"/>
        </w:rPr>
        <w:t>14. Одновременно с такой доставкой и во втором платеже означенной суммы в сорок тысяч ($ 40 000) долларов продавец составляет акт передачи покупателю своих патентных прав и интересов, ограниченных использованием таковых внутри СССР.</w:t>
      </w:r>
    </w:p>
    <w:p w14:paraId="4B55AC0C" w14:textId="77777777" w:rsidR="00FF5E7D" w:rsidRPr="00507A31" w:rsidRDefault="00FF5E7D" w:rsidP="00507A31">
      <w:pPr>
        <w:jc w:val="both"/>
        <w:rPr>
          <w:color w:val="0070C0"/>
          <w:sz w:val="16"/>
          <w:szCs w:val="16"/>
        </w:rPr>
      </w:pPr>
      <w:r w:rsidRPr="00507A31">
        <w:rPr>
          <w:color w:val="0070C0"/>
          <w:sz w:val="16"/>
          <w:szCs w:val="16"/>
        </w:rPr>
        <w:t>15. Продавец соглашается снабжать покупателя в течение периода сего договора всей технической информацией в отношении изменений и/или усовершенствований в конструкции указанных танков, а также всеми изобретениями в отношении таковых, причем согласовано, что вся такая информация должна быть доставлена покупателю каждые шесть (6) месяцев в течение первых двух недель января и июля.</w:t>
      </w:r>
    </w:p>
    <w:p w14:paraId="30B615D6" w14:textId="77777777" w:rsidR="00FF5E7D" w:rsidRPr="00507A31" w:rsidRDefault="00FF5E7D" w:rsidP="00507A31">
      <w:pPr>
        <w:jc w:val="both"/>
        <w:rPr>
          <w:color w:val="0070C0"/>
          <w:sz w:val="16"/>
          <w:szCs w:val="16"/>
        </w:rPr>
      </w:pPr>
      <w:r w:rsidRPr="00507A31">
        <w:rPr>
          <w:color w:val="0070C0"/>
          <w:sz w:val="16"/>
          <w:szCs w:val="16"/>
        </w:rPr>
        <w:t>16. Продавец соглашается разрешить представителю покупателя допуск на свой завод и предоставить ему всякую возможность проследить за ходом работы в течение всего времени производства означенных танков, а также и периодически в течение всего времени сего договора.</w:t>
      </w:r>
    </w:p>
    <w:p w14:paraId="54708589" w14:textId="77777777" w:rsidR="00FF5E7D" w:rsidRPr="00507A31" w:rsidRDefault="00FF5E7D" w:rsidP="00507A31">
      <w:pPr>
        <w:jc w:val="both"/>
        <w:rPr>
          <w:color w:val="0070C0"/>
          <w:sz w:val="16"/>
          <w:szCs w:val="16"/>
        </w:rPr>
      </w:pPr>
      <w:r w:rsidRPr="00507A31">
        <w:rPr>
          <w:color w:val="0070C0"/>
          <w:sz w:val="16"/>
          <w:szCs w:val="16"/>
        </w:rPr>
        <w:t>17. Продавец обязуется не передавать прямо или косвенно содержания сего договора третьим лицам, за исключением означенной страховой компании, и не публиковать его в прессе и/или каталогах компании без письменного согласия на то покупателя.</w:t>
      </w:r>
    </w:p>
    <w:p w14:paraId="7BBFCDF4" w14:textId="77777777" w:rsidR="00FF5E7D" w:rsidRPr="00507A31" w:rsidRDefault="00FF5E7D" w:rsidP="00507A31">
      <w:pPr>
        <w:jc w:val="both"/>
        <w:rPr>
          <w:color w:val="0070C0"/>
          <w:sz w:val="16"/>
          <w:szCs w:val="16"/>
        </w:rPr>
      </w:pPr>
      <w:r w:rsidRPr="00507A31">
        <w:rPr>
          <w:color w:val="0070C0"/>
          <w:sz w:val="16"/>
          <w:szCs w:val="16"/>
        </w:rPr>
        <w:t>18. Продавец ответственно заявляет, что он не имеет по отношению к каким-либо третьим лицам никаких обязательств, каким-либо образом ограничивающих право продажи танков и/или оказание технического содействия любой организации СССР, зная, что покупатель на это полагается, причем такое ответственное заявление компании является частью соображения покупателя на заключение им сего договора.</w:t>
      </w:r>
    </w:p>
    <w:p w14:paraId="084D0D25" w14:textId="77777777" w:rsidR="00FF5E7D" w:rsidRPr="00507A31" w:rsidRDefault="00FF5E7D" w:rsidP="00507A31">
      <w:pPr>
        <w:jc w:val="both"/>
        <w:rPr>
          <w:color w:val="0070C0"/>
          <w:sz w:val="16"/>
          <w:szCs w:val="16"/>
        </w:rPr>
      </w:pPr>
      <w:r w:rsidRPr="00507A31">
        <w:rPr>
          <w:color w:val="0070C0"/>
          <w:sz w:val="16"/>
          <w:szCs w:val="16"/>
        </w:rPr>
        <w:t>19. Вышеуказанное разрешение от правительства САСШ на продажу означенных танков, на оказание технического содействия и на экспорт этих танков в СССР считается существенной частью сего договора, и продавец берет на себя получение всех необходимых правительственных разрешений, требующихся для их экспорта в СССР.</w:t>
      </w:r>
    </w:p>
    <w:p w14:paraId="0EFDEF87" w14:textId="77777777" w:rsidR="00FF5E7D" w:rsidRPr="00507A31" w:rsidRDefault="00FF5E7D" w:rsidP="00507A31">
      <w:pPr>
        <w:jc w:val="both"/>
        <w:rPr>
          <w:color w:val="0070C0"/>
          <w:sz w:val="16"/>
          <w:szCs w:val="16"/>
        </w:rPr>
      </w:pPr>
      <w:r w:rsidRPr="00507A31">
        <w:rPr>
          <w:color w:val="0070C0"/>
          <w:sz w:val="16"/>
          <w:szCs w:val="16"/>
        </w:rPr>
        <w:t>20. Параграфы настоящего договора, относящиеся к покупке означенных танков и продаже означенных производственных и патентных прав, требующихся по настоящему договору, должны считаться зависимыми один от другого, и весь договор неразделимым в отношении прав и обязательств продавца и покупателя согласно сего договора.</w:t>
      </w:r>
    </w:p>
    <w:p w14:paraId="3EDAD287" w14:textId="77777777" w:rsidR="00FF5E7D" w:rsidRPr="00507A31" w:rsidRDefault="00FF5E7D" w:rsidP="00507A31">
      <w:pPr>
        <w:jc w:val="both"/>
        <w:rPr>
          <w:color w:val="0070C0"/>
          <w:sz w:val="16"/>
          <w:szCs w:val="16"/>
        </w:rPr>
      </w:pPr>
      <w:r w:rsidRPr="00507A31">
        <w:rPr>
          <w:color w:val="0070C0"/>
          <w:sz w:val="16"/>
          <w:szCs w:val="16"/>
        </w:rPr>
        <w:t>21. Продавец обязуется не передавать настоящего договора третьим лицам без предварительного письменного согласия покупателя.</w:t>
      </w:r>
    </w:p>
    <w:p w14:paraId="6BCB5FA1" w14:textId="77777777" w:rsidR="00FF5E7D" w:rsidRPr="00507A31" w:rsidRDefault="00FF5E7D" w:rsidP="00507A31">
      <w:pPr>
        <w:jc w:val="both"/>
        <w:rPr>
          <w:color w:val="0070C0"/>
          <w:sz w:val="16"/>
          <w:szCs w:val="16"/>
        </w:rPr>
      </w:pPr>
      <w:r w:rsidRPr="00507A31">
        <w:rPr>
          <w:color w:val="0070C0"/>
          <w:sz w:val="16"/>
          <w:szCs w:val="16"/>
        </w:rPr>
        <w:t>В случае, если бы продавец в течение периода сего договора продал какому-либо третьему лицу, передал или каким-либо иным образом распорядился своими патентными правами или интересами на означенные танки, такая продажа или передача подвержены условиям сего договора, и продавец обязуется предусмотреть, чтобы в таком случае техническое содействие было оказано покупателю, как здесь указано, и в случае неисполнения этого продавец возместит покупателю все убытки или повреждения, понесенные покупателем в результате такого неисполнения.</w:t>
      </w:r>
    </w:p>
    <w:p w14:paraId="7420947A" w14:textId="77777777" w:rsidR="00FF5E7D" w:rsidRPr="00507A31" w:rsidRDefault="00FF5E7D" w:rsidP="00507A31">
      <w:pPr>
        <w:jc w:val="both"/>
        <w:rPr>
          <w:color w:val="0070C0"/>
          <w:sz w:val="16"/>
          <w:szCs w:val="16"/>
        </w:rPr>
      </w:pPr>
      <w:r w:rsidRPr="00507A31">
        <w:rPr>
          <w:color w:val="0070C0"/>
          <w:sz w:val="16"/>
          <w:szCs w:val="16"/>
        </w:rPr>
        <w:t>22. Настоящий договор входит в силу по подписании его и будет оставаться в полном действии в течение десятилетнего срока.</w:t>
      </w:r>
    </w:p>
    <w:p w14:paraId="20ED093A" w14:textId="77777777" w:rsidR="00FF5E7D" w:rsidRPr="00507A31" w:rsidRDefault="00FF5E7D" w:rsidP="00507A31">
      <w:pPr>
        <w:jc w:val="both"/>
        <w:rPr>
          <w:color w:val="0070C0"/>
          <w:sz w:val="16"/>
          <w:szCs w:val="16"/>
        </w:rPr>
      </w:pPr>
      <w:r w:rsidRPr="00507A31">
        <w:rPr>
          <w:color w:val="0070C0"/>
          <w:sz w:val="16"/>
          <w:szCs w:val="16"/>
        </w:rPr>
        <w:t>23. Все изобретения и информация, которые, согласно любого из условий сего договора, предоставляются продавцом покупателю, должны быть в письменной форме и должны окончательно считаться переданными, если они будут доставлены в контору покупателя по [адресу] 261 Пятое Авеню, Нью-Йорк, или если они будут в запечатанном и оклеенном марками конверте, помеченном «заказным», опущены в почтовый ящик САСШ в Рауэй, Нью-Джерси или в г. Нью-Йорке, штате Нью-Йорк по адресу «Амторг трэйдинг корпорейшн», 261 Пятое Авеню, Нью-Йорк.</w:t>
      </w:r>
    </w:p>
    <w:p w14:paraId="4087C81E" w14:textId="77777777" w:rsidR="00FF5E7D" w:rsidRPr="00507A31" w:rsidRDefault="00FF5E7D" w:rsidP="00507A31">
      <w:pPr>
        <w:jc w:val="both"/>
        <w:rPr>
          <w:color w:val="0070C0"/>
          <w:sz w:val="16"/>
          <w:szCs w:val="16"/>
        </w:rPr>
      </w:pPr>
      <w:r w:rsidRPr="00507A31">
        <w:rPr>
          <w:color w:val="0070C0"/>
          <w:sz w:val="16"/>
          <w:szCs w:val="16"/>
        </w:rPr>
        <w:t>В засвидетельствование чего обе договаривающиеся стороны заключили этот договор через своих надлежаще уполномоченных представителей и приложили свои печати в день и год, в начале означенный.</w:t>
      </w:r>
    </w:p>
    <w:p w14:paraId="3414FCC4" w14:textId="77777777" w:rsidR="00FF5E7D" w:rsidRPr="00507A31" w:rsidRDefault="00FF5E7D" w:rsidP="00507A31">
      <w:pPr>
        <w:jc w:val="both"/>
        <w:rPr>
          <w:color w:val="0070C0"/>
          <w:sz w:val="16"/>
          <w:szCs w:val="16"/>
        </w:rPr>
      </w:pPr>
      <w:r w:rsidRPr="00507A31">
        <w:rPr>
          <w:color w:val="0070C0"/>
          <w:sz w:val="16"/>
          <w:szCs w:val="16"/>
        </w:rPr>
        <w:t>«Юнайтед Стейтс уил трэк лэйэр корпорейшн»</w:t>
      </w:r>
    </w:p>
    <w:p w14:paraId="2431CB30" w14:textId="77777777" w:rsidR="00FF5E7D" w:rsidRPr="00507A31" w:rsidRDefault="00FF5E7D" w:rsidP="00507A31">
      <w:pPr>
        <w:jc w:val="both"/>
        <w:rPr>
          <w:color w:val="0070C0"/>
          <w:sz w:val="16"/>
          <w:szCs w:val="16"/>
        </w:rPr>
      </w:pPr>
      <w:r w:rsidRPr="00507A31">
        <w:rPr>
          <w:color w:val="0070C0"/>
          <w:sz w:val="16"/>
          <w:szCs w:val="16"/>
        </w:rPr>
        <w:t>Дж. Уолтер Кристи, президент</w:t>
      </w:r>
    </w:p>
    <w:p w14:paraId="254CBE11" w14:textId="77777777" w:rsidR="00FF5E7D" w:rsidRPr="00507A31" w:rsidRDefault="00FF5E7D" w:rsidP="00507A31">
      <w:pPr>
        <w:jc w:val="both"/>
        <w:rPr>
          <w:color w:val="0070C0"/>
          <w:sz w:val="16"/>
          <w:szCs w:val="16"/>
        </w:rPr>
      </w:pPr>
      <w:r w:rsidRPr="00507A31">
        <w:rPr>
          <w:color w:val="0070C0"/>
          <w:sz w:val="16"/>
          <w:szCs w:val="16"/>
        </w:rPr>
        <w:t>«Амторг трэйдинг корпорейшн»</w:t>
      </w:r>
    </w:p>
    <w:p w14:paraId="0C244C8C" w14:textId="77777777" w:rsidR="00FF5E7D" w:rsidRPr="00507A31" w:rsidRDefault="00FF5E7D" w:rsidP="00507A31">
      <w:pPr>
        <w:jc w:val="both"/>
        <w:rPr>
          <w:color w:val="0070C0"/>
          <w:sz w:val="16"/>
          <w:szCs w:val="16"/>
        </w:rPr>
      </w:pPr>
      <w:r w:rsidRPr="00507A31">
        <w:rPr>
          <w:color w:val="0070C0"/>
          <w:sz w:val="16"/>
          <w:szCs w:val="16"/>
        </w:rPr>
        <w:t>А.В. Петров, вице-президент</w:t>
      </w:r>
    </w:p>
    <w:p w14:paraId="67995D71" w14:textId="77777777" w:rsidR="00FF5E7D" w:rsidRPr="00507A31" w:rsidRDefault="00FF5E7D" w:rsidP="00507A31">
      <w:pPr>
        <w:jc w:val="both"/>
        <w:rPr>
          <w:color w:val="0070C0"/>
          <w:sz w:val="16"/>
          <w:szCs w:val="16"/>
        </w:rPr>
      </w:pPr>
      <w:r w:rsidRPr="00507A31">
        <w:rPr>
          <w:color w:val="0070C0"/>
          <w:sz w:val="16"/>
          <w:szCs w:val="16"/>
        </w:rPr>
        <w:t>В присутствии:</w:t>
      </w:r>
    </w:p>
    <w:p w14:paraId="01A295F1" w14:textId="77777777" w:rsidR="00FF5E7D" w:rsidRPr="00507A31" w:rsidRDefault="00FF5E7D" w:rsidP="00507A31">
      <w:pPr>
        <w:jc w:val="both"/>
        <w:rPr>
          <w:color w:val="0070C0"/>
          <w:sz w:val="16"/>
          <w:szCs w:val="16"/>
        </w:rPr>
      </w:pPr>
      <w:r w:rsidRPr="00507A31">
        <w:rPr>
          <w:color w:val="0070C0"/>
          <w:sz w:val="16"/>
          <w:szCs w:val="16"/>
        </w:rPr>
        <w:t>И. Халепский</w:t>
      </w:r>
    </w:p>
    <w:p w14:paraId="555EE284" w14:textId="77777777" w:rsidR="00FF5E7D" w:rsidRPr="00507A31" w:rsidRDefault="00FF5E7D" w:rsidP="00507A31">
      <w:pPr>
        <w:jc w:val="both"/>
        <w:rPr>
          <w:color w:val="0070C0"/>
          <w:sz w:val="16"/>
          <w:szCs w:val="16"/>
        </w:rPr>
      </w:pPr>
      <w:r w:rsidRPr="00507A31">
        <w:rPr>
          <w:color w:val="0070C0"/>
          <w:sz w:val="16"/>
          <w:szCs w:val="16"/>
        </w:rPr>
        <w:t>Дж. Майкел</w:t>
      </w:r>
    </w:p>
    <w:p w14:paraId="3424C2FD" w14:textId="77777777" w:rsidR="00FF5E7D" w:rsidRPr="00507A31" w:rsidRDefault="00FF5E7D" w:rsidP="00507A31">
      <w:pPr>
        <w:jc w:val="both"/>
        <w:rPr>
          <w:color w:val="0070C0"/>
          <w:sz w:val="16"/>
          <w:szCs w:val="16"/>
        </w:rPr>
      </w:pPr>
      <w:r w:rsidRPr="00507A31">
        <w:rPr>
          <w:color w:val="0070C0"/>
          <w:sz w:val="16"/>
          <w:szCs w:val="16"/>
        </w:rPr>
        <w:t>За Дж. Раймонд Тиффани</w:t>
      </w:r>
    </w:p>
    <w:p w14:paraId="01592B79" w14:textId="77777777" w:rsidR="00FF5E7D" w:rsidRPr="00507A31" w:rsidRDefault="00FF5E7D" w:rsidP="00507A31">
      <w:pPr>
        <w:jc w:val="both"/>
        <w:rPr>
          <w:color w:val="0070C0"/>
          <w:sz w:val="16"/>
          <w:szCs w:val="16"/>
        </w:rPr>
      </w:pPr>
      <w:r w:rsidRPr="00507A31">
        <w:rPr>
          <w:color w:val="0070C0"/>
          <w:sz w:val="16"/>
          <w:szCs w:val="16"/>
        </w:rPr>
        <w:t>АП РФ. Ф. 3. On. 66. Д. 343. Л. 7-8 об. Заверенный перевод с английского.</w:t>
      </w:r>
    </w:p>
    <w:p w14:paraId="54E55FFA" w14:textId="77777777" w:rsidR="00FF5E7D" w:rsidRPr="00507A31" w:rsidRDefault="00FF5E7D" w:rsidP="00507A31">
      <w:pPr>
        <w:jc w:val="both"/>
        <w:rPr>
          <w:color w:val="0070C0"/>
          <w:sz w:val="16"/>
          <w:szCs w:val="16"/>
        </w:rPr>
      </w:pPr>
      <w:r w:rsidRPr="00507A31">
        <w:rPr>
          <w:color w:val="0070C0"/>
          <w:sz w:val="16"/>
          <w:szCs w:val="16"/>
        </w:rPr>
        <w:t>8. Москва - Вашингтон, т. 2 (21056).</w:t>
      </w:r>
    </w:p>
    <w:p w14:paraId="7E9FDB4D" w14:textId="77777777" w:rsidR="00FF5E7D" w:rsidRPr="00507A31" w:rsidRDefault="00FF5E7D" w:rsidP="00507A31">
      <w:pPr>
        <w:jc w:val="both"/>
        <w:rPr>
          <w:color w:val="0070C0"/>
          <w:sz w:val="16"/>
          <w:szCs w:val="16"/>
        </w:rPr>
      </w:pPr>
    </w:p>
    <w:p w14:paraId="7E53DCF6" w14:textId="77777777" w:rsidR="00AB7529" w:rsidRPr="00507A31" w:rsidRDefault="00AB7529" w:rsidP="00507A31">
      <w:pPr>
        <w:jc w:val="both"/>
        <w:rPr>
          <w:color w:val="000000" w:themeColor="text1"/>
          <w:sz w:val="16"/>
          <w:szCs w:val="16"/>
        </w:rPr>
      </w:pPr>
      <w:r w:rsidRPr="00507A31">
        <w:rPr>
          <w:color w:val="000000" w:themeColor="text1"/>
          <w:sz w:val="16"/>
          <w:szCs w:val="16"/>
        </w:rPr>
        <w:t>28-го апреля 1930</w:t>
      </w:r>
    </w:p>
    <w:p w14:paraId="7250D1CF" w14:textId="77777777" w:rsidR="00AB7529" w:rsidRPr="00507A31" w:rsidRDefault="00AB7529" w:rsidP="00507A31">
      <w:pPr>
        <w:jc w:val="both"/>
        <w:rPr>
          <w:color w:val="000000" w:themeColor="text1"/>
          <w:sz w:val="16"/>
          <w:szCs w:val="16"/>
        </w:rPr>
      </w:pPr>
      <w:r w:rsidRPr="00507A31">
        <w:rPr>
          <w:bCs/>
          <w:iCs/>
          <w:color w:val="000000" w:themeColor="text1"/>
          <w:sz w:val="16"/>
          <w:szCs w:val="16"/>
        </w:rPr>
        <w:t>РГВА Фонд 31811 Опись 1 Дело 374 лист 5 – 6</w:t>
      </w:r>
      <w:r w:rsidRPr="00507A31">
        <w:rPr>
          <w:color w:val="000000" w:themeColor="text1"/>
          <w:sz w:val="16"/>
          <w:szCs w:val="16"/>
        </w:rPr>
        <w:t xml:space="preserve"> </w:t>
      </w:r>
    </w:p>
    <w:p w14:paraId="218DE990" w14:textId="77777777" w:rsidR="00AB7529" w:rsidRPr="00507A31" w:rsidRDefault="00AB7529" w:rsidP="00507A31">
      <w:pPr>
        <w:jc w:val="both"/>
        <w:rPr>
          <w:color w:val="000000" w:themeColor="text1"/>
          <w:sz w:val="16"/>
          <w:szCs w:val="16"/>
        </w:rPr>
      </w:pPr>
      <w:r w:rsidRPr="00507A31">
        <w:rPr>
          <w:color w:val="000000" w:themeColor="text1"/>
          <w:sz w:val="16"/>
          <w:szCs w:val="16"/>
          <w:u w:val="single"/>
        </w:rPr>
        <w:t>Копия</w:t>
      </w:r>
      <w:r w:rsidRPr="00507A31">
        <w:rPr>
          <w:color w:val="000000" w:themeColor="text1"/>
          <w:sz w:val="16"/>
          <w:szCs w:val="16"/>
        </w:rPr>
        <w:t xml:space="preserve"> </w:t>
      </w:r>
    </w:p>
    <w:p w14:paraId="5C45FA6C" w14:textId="77777777" w:rsidR="00AB7529" w:rsidRPr="00507A31" w:rsidRDefault="00AB7529" w:rsidP="00507A31">
      <w:pPr>
        <w:jc w:val="both"/>
        <w:rPr>
          <w:color w:val="000000" w:themeColor="text1"/>
          <w:sz w:val="16"/>
          <w:szCs w:val="16"/>
        </w:rPr>
      </w:pPr>
      <w:r w:rsidRPr="00507A31">
        <w:rPr>
          <w:color w:val="000000" w:themeColor="text1"/>
          <w:sz w:val="16"/>
          <w:szCs w:val="16"/>
          <w:u w:val="single"/>
        </w:rPr>
        <w:t>ГУСЕНИЧНО-КОЛЕСНЫЙ ТАНК "КРИСТИ".</w:t>
      </w:r>
    </w:p>
    <w:p w14:paraId="03A4FB85" w14:textId="77777777" w:rsidR="00AB7529" w:rsidRPr="00507A31" w:rsidRDefault="00AB7529" w:rsidP="00507A31">
      <w:pPr>
        <w:jc w:val="both"/>
        <w:rPr>
          <w:color w:val="000000" w:themeColor="text1"/>
          <w:sz w:val="16"/>
          <w:szCs w:val="16"/>
        </w:rPr>
      </w:pPr>
      <w:r w:rsidRPr="00507A31">
        <w:rPr>
          <w:color w:val="000000" w:themeColor="text1"/>
          <w:sz w:val="16"/>
          <w:szCs w:val="16"/>
        </w:rPr>
        <w:lastRenderedPageBreak/>
        <w:t xml:space="preserve">ДОГОВОР, заключенный 28-го апреля 1930 г. между Юнайтед Стейтс Уил Трэк Лэйэр Корпорейшон, корпорации, учрежденной согласно законов штата Нью-Джерси, именуемой "ПРОДАВЕЦ", с одной стороны, и Амторг Трейдинг-Корпорейшон, корпорацией, учрежденной по законам штата Нью-Йорк, именуемой "ПОКУПАТЕЛЬ" с другой стороны </w:t>
      </w:r>
      <w:r w:rsidRPr="00507A31">
        <w:rPr>
          <w:color w:val="000000" w:themeColor="text1"/>
          <w:sz w:val="16"/>
          <w:szCs w:val="16"/>
          <w:u w:val="single"/>
        </w:rPr>
        <w:t>В НИЖЕСЛЕЖУЮЩЕМ:</w:t>
      </w:r>
      <w:r w:rsidRPr="00507A31">
        <w:rPr>
          <w:color w:val="000000" w:themeColor="text1"/>
          <w:sz w:val="16"/>
          <w:szCs w:val="16"/>
        </w:rPr>
        <w:t xml:space="preserve"> </w:t>
      </w:r>
    </w:p>
    <w:p w14:paraId="6B51E193"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ПРИНИМАЯ ВО ВНИМАНИЕ, что Продавец желает продать Покупателю два (2) военных танка, согласно нижеуказанного описания для экспорта в СССР и продать Покупателю все свои патентные права в отношении производства означенных танков и оказывать техническое содействие для производства таких танков в Союзе Советских Социалистических Республик (в дальнейшем именуемом "СССР") исключительно, и </w:t>
      </w:r>
    </w:p>
    <w:p w14:paraId="3F47B073"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ПРИНИМАЯ ВО ВНИМАНИЕ, что Продавец ответственно заявляет, что он получил необходимое разрешение от Правительства САСШ на означенную продажу и техническое содействие, и </w:t>
      </w:r>
    </w:p>
    <w:p w14:paraId="3C4902EB"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ПРИНИМАЯ ВО ВНИМАНИЕ, что Покупатель желает купить такие танки и такие патентные права и получить означенное техническое содействие, </w:t>
      </w:r>
    </w:p>
    <w:p w14:paraId="5801D4BA"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ПОЭТОМУ, ввиду взаимных соглашений здесь предусмотренных, договаривающиеся стороны соглашаются в следующем: </w:t>
      </w:r>
    </w:p>
    <w:p w14:paraId="594AB7DD"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1. Продавец настоящим соглашается продать и доставить, а Покупатель настоящим соглашается купить и оплатить за два (2) военных танка, сконструированых согласно общих, приложенных к настоящему договору спецификаций, составляющих часть его, за сумму тридцать тысяч ($ 30,000) долларов каждый, в целом за шестьдесят тысяч ($ 60,000) долларов за оба, каковую сумму Покупатель соглашается уплатить Продавцу согласно условий сего договора, следующим образом: </w:t>
      </w:r>
    </w:p>
    <w:p w14:paraId="227C8063"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а) При подписании сего договора наличными $ 15,000.00 получение каковых настоящим подтверждается. </w:t>
      </w:r>
    </w:p>
    <w:p w14:paraId="1D562D69"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б) Далее, сумма в пятнадцать тысяч долларов по выполнении производства означенных танков на 75% и по инспекции таковых Покупателем – $ 15,000.00 </w:t>
      </w:r>
    </w:p>
    <w:p w14:paraId="0E18C7A6"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с) Остаток в тридцать тысяч долларов по окончании, испытании и доставке Покупателю в порт Нью-Йорк означенных танков – $ 30,000.00. </w:t>
      </w:r>
    </w:p>
    <w:p w14:paraId="67AFEF1D"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По уплате каждого из означенных двух первых платежей по $ 15,000 Продавец доставляет Покупателю бонд известной Страховой Компании, считающейся для Покупателя приемлемой, для обеспечения выполнения сего договора в отношении доставки означенных двух танков в соответствии с спецификациями и в срок, предусмотренный ниже. </w:t>
      </w:r>
    </w:p>
    <w:p w14:paraId="63751422"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2. Доставка означенных танков производится не позже четырех (4) месяцев со дня подписания сего договора. </w:t>
      </w:r>
    </w:p>
    <w:p w14:paraId="1D924C12"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3. Испытания означенных танков производятся Покупателем или представителем его, за счет Продавца, на Заводе Продавца в Рауэй, Нью-Джерси или поблизости. Продавец должен письменно уведомить Покупателя, по меньшей мере, за пять дней вперед, о сроке, на который и после которого, законченные танки будут готовы к испытаниям, и Покупатель соглашается произвести такие испытания в течение двух (2) дней по получении означенного письменного уведомления. Указанные испытания производятся согласно приложенных к сему договору спецификаций, и должны быть закончены в течение семи (7) дней со дня предъявления означенного уведомления Продавцом Покупателю о том, что указанные танки готовы к испытаниям. </w:t>
      </w:r>
    </w:p>
    <w:p w14:paraId="107D21B6"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4. В случае удовлетворительного результата испытаний означенных танков, различные механические части их должны быть немедленно опечатаны в присутствии Покупателя и Продавца, или их соответствующих представителей, и Продавец должен немедленно доставить означенные танки Покупателю в порт Нью-Йорк и Покупатель соглашается по такой доставке уплатить причитающийся остаток покупной цены, как предусмотрено выше. </w:t>
      </w:r>
    </w:p>
    <w:p w14:paraId="2B830E6C"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5. Продавец соглашается по требованию Покупателя надлежащим образом упаковать танки для морского путешествия в подходящий, совершенно крытый деревянный ящик и отправить их в СССР по указанному Продавцу Покупателем адресу. Продавец соглашается надлежаще застраховать означенные танки за счет Покупателя на сумму шестьдесят тысяч ($ 60,000) долларов против огня, морской катастрофы и повреждений означенных танков во время перевозки. Расходы по упаковке, перевозке и страхованию от завода Продавца в Рауэй, Нью-Джерси до места назначения несет Покупатель по представлении отчетов и накладных Продавцом, причем согласованно, что такие расходы по упаковке не должны превышать один процент (1%) стоимости означенных танков. </w:t>
      </w:r>
    </w:p>
    <w:p w14:paraId="5DCD0DC3"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6. Право собственности на танки переходит к Покупателю по уплате им вышеуказанной покупной цены, вместе с расходами по отправке, упаковке и страхованию. </w:t>
      </w:r>
    </w:p>
    <w:p w14:paraId="1E95EB73"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7. Продавец далее соглашается доставить Покупателю, одновременно с доставкой танков, запчасти, поименованные в параграфе 37 приложенных к сему договору спецификаций, а Покупатель соглашается принять означенные запчасти с тем, однако, что они соответствуют спецификациям, и уплатить за них сумму в четыре тысячи ($ 4,000) долларов вдобавок к покупной цене танков. </w:t>
      </w:r>
    </w:p>
    <w:p w14:paraId="78766D0C"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8. В случае, если бы танки, доставляемые согласно сего договора не соответствовали спецификациям, Продавец соглашается произвести все изменения и усовершенствования в течение тридцатидневного периода соответственно технических требований настоящего договора и спецификаций, после чего испытания производятся таким же образом как указано выше. </w:t>
      </w:r>
    </w:p>
    <w:p w14:paraId="72425021"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9. Продавец соглашается продать и настоящим продает, а Покупатель соглашается купить и настоящим покупает все права, претензии и интересы Продавца на все изобретения, воплощенные в означенных танках, а также в двух других типах танков, а именно: "Кристи Амфибие" и "Кристи Отом Гон Кэридж", и все изобретения и усовершенствования, могущие быть сделанными Продавцом в связи с таковыми, независимо от того, покрыты они патентами или заявлениями на них или нет, в САСШ, СССР или в какой-либо другой стране, для производства, продажи и использования означенных танков исключительно внутри границ СССР, на срок в десять (10) лет. </w:t>
      </w:r>
    </w:p>
    <w:p w14:paraId="7508FC0B"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10. Продавец далее соглашается оказывать Покупателю техническое содействие, необходимое для производства в СССР таких танков, как означенные в пар. 1 два танка, с тем, чтобы Покупатель мог полностью строить танки во всех отношениях аналогичные двум сперва упомянутым танкам, как указано выше. Означенное техническое содействие должно включать доставку Продавцом Покупателю следующего: </w:t>
      </w:r>
    </w:p>
    <w:p w14:paraId="74BA2E26"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а) Кальки и синьки производственных, установочных и сборочных детальных чертежей всех устройств танка и кузова, синьки в двух копиях; </w:t>
      </w:r>
    </w:p>
    <w:p w14:paraId="25896742"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б) Детальные чертежи должны указывать допуска и степень точности; </w:t>
      </w:r>
    </w:p>
    <w:p w14:paraId="234B27C5"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в) Чертежи должны сопровождаться техническими описаниями и спецификациями, включая состав материалов, из которых все части шасси и кузова танка производятся, а также производственные процессы; </w:t>
      </w:r>
    </w:p>
    <w:p w14:paraId="15416D69"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г) В отношении мотора, детальные чертежи и спецификации для всех изменений, внесенных в стандартный тип; </w:t>
      </w:r>
    </w:p>
    <w:p w14:paraId="0A0F1B81"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д) Полные инструкции в отношении управления танками и ухода за ними; </w:t>
      </w:r>
    </w:p>
    <w:p w14:paraId="009EECD9"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е) Все данные, необходимые для производства означенных танков; </w:t>
      </w:r>
    </w:p>
    <w:p w14:paraId="6BF0F129"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ж) Чертежи должны иметь визу автора. </w:t>
      </w:r>
    </w:p>
    <w:p w14:paraId="156091CF"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11. Продавец соглашается доставить Покупателю кальки и чертежи танка типа "Амфибие", поскольку они у него имеются. </w:t>
      </w:r>
    </w:p>
    <w:p w14:paraId="34C65E09"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12. По требованию Покупателя, Продавец должен послать в СССР или М-ра Кристи или его Главного Инженера, на срок в два (2) месяца в качестве инженера-консультанта для руководства и наблюдения за производством означенных танков в СССР, причем резонные путевые и прожиточные расходы оплачиваются Покупателем помимо жалованья в Триста Долларов ($ 300) в месяц со дня отъезда из Нью-Йорка, САСШ до его возвращения в Нью-Йорк, САСШ. </w:t>
      </w:r>
    </w:p>
    <w:p w14:paraId="39123CB6"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13. Как компенсацию за продажу означенных производственных прав и передачу указанных патентов и услуг, оказываемых согласно настоящего договора в отношении технического содействия, Покупатель соглашается уплатить Продавцу сумму в Сто тысяч ($ 100,000) Долларов, уплачиваемую следующим образом: </w:t>
      </w:r>
    </w:p>
    <w:p w14:paraId="0BAFE9DD"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а) По подписании настоящего договора Десять тысяч Долларов наличными, получение которых настоящим подтверждается – $ 10,000.00 </w:t>
      </w:r>
    </w:p>
    <w:p w14:paraId="76AB6B4B"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б) По доставке всех вышеуказанных чертежей в связи с техническим содействием, причем такая доставка производится не позднее четырех (4) недель после доставки означенных двух танков, как указано выше Сорок тысяч долларов – $ 40,000.00 </w:t>
      </w:r>
    </w:p>
    <w:p w14:paraId="29401C4D"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в) Двенадцать (12) месяцев после означенной доставки сумму в двадцать пять тысяч долларов с 6% годовых на $ 50,000 – $ 25,000.00 </w:t>
      </w:r>
    </w:p>
    <w:p w14:paraId="1B8A79C9"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г) Двадцать четыре месяца (24) после такой доставки сумму в двадцать пять тысяч долларов с 6% годовых – $ 25,000.00 причем эти последние два платежа по $ 25,000 гарантируются Покупателем путем представления Продавцу во время доставки указанных чертежей бонда известной Страховой Компании, являющейся приемлемой для Продавца. </w:t>
      </w:r>
    </w:p>
    <w:p w14:paraId="2A6ED642"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14. Одновременно с такой доставкой и по втором платеже означенной суммы в сорок тысяч ($ 40,000) долларов, Продавец составляет акт передачи Покупателю своих патентных прав и интересов, ограниченной использованием таковых внутри СССР. </w:t>
      </w:r>
    </w:p>
    <w:p w14:paraId="791E6B54"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15. Продавец соглашается снабжать Покупателя в течение периода всего договора всей технической информацией в отношении изменений и/или усовершенствований в конструкции указанных танков, а также всеми изобретениями в отношении таковых, причем согласно, что вся такая информация должна быть доставлена Покупателю каждые шесть (6) месяцев в течение первых двух недель января и июля. </w:t>
      </w:r>
    </w:p>
    <w:p w14:paraId="1F086F0D"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16. Продавец соглашается разрешить представителю Покупателя допуск на свой завод и предоставить ему всякую возможность проследить за ходом работы в течение всего времени производства означенных танков, а также и периодически в течение всего времени сего договора. </w:t>
      </w:r>
    </w:p>
    <w:p w14:paraId="2199112D"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17. Продавец обязуется не передавать прямо или косвенно содержание сего договора третьим лицам, за исключением означенной Страховой Компании, и не опубликовывать их в прессе и/или каталогах Компании без письменного согласия на то Покупателя. </w:t>
      </w:r>
    </w:p>
    <w:p w14:paraId="0834C1D2"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18. Продавец ответственно заявляет, что он не имеет по отношению к каким-либо третьим лицам никаких обязательств, каким-либо образом ограничивающих право продажи танков и/или оказание технического содействия любой организации СССР, зная, что Покупатель на это полагается, причем такое ответственное заявление Компании является частью соображения Покупателя на заключение им сего договора. </w:t>
      </w:r>
    </w:p>
    <w:p w14:paraId="6AFC39ED"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19. Вышеуказанное разрешение от правительства САСШ на продажу означенных танков, на оказание технического содействия и на экспорт этих танков в СССР считается существенной частью сего договора, и Продавец берет на себя получение всех необходимых правительственных разрешений, требующихся для их экспорта в СССР. </w:t>
      </w:r>
    </w:p>
    <w:p w14:paraId="6947327B" w14:textId="77777777" w:rsidR="00AB7529" w:rsidRPr="00507A31" w:rsidRDefault="00AB7529" w:rsidP="00507A31">
      <w:pPr>
        <w:jc w:val="both"/>
        <w:rPr>
          <w:color w:val="000000" w:themeColor="text1"/>
          <w:sz w:val="16"/>
          <w:szCs w:val="16"/>
        </w:rPr>
      </w:pPr>
      <w:r w:rsidRPr="00507A31">
        <w:rPr>
          <w:color w:val="000000" w:themeColor="text1"/>
          <w:sz w:val="16"/>
          <w:szCs w:val="16"/>
        </w:rPr>
        <w:lastRenderedPageBreak/>
        <w:t xml:space="preserve">20. Параграфы настоящего договора, относящиеся к покупке означенных двух танков, требующихся по настоящему договору, должны считаться зависимыми один от другого, и весь договор неразделимым в отношении прав и обязанностей Продавца и Покупателя согласно сего договора. </w:t>
      </w:r>
    </w:p>
    <w:p w14:paraId="6B687C69"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21. Продавец обязуется не передавать настоящего договора третьим лицам без предварительного письменного согласия Покупателя. В случае, если бы Продавец, в течение периода сего договора продал какому-либо третьему лицу, передал или каким-либо иным образом распорядился своими патентными правами или интересами на означенные танки, такая продажа или передача подвержены условиям сего договора, и Продавец обязуется предусмотреть, чтобы в таком случае техническое содействие было оказано Покупателю, как здесь указано, и в случае неисполнения этого, Продавец возместит Покупателю все убытки или повреждения, понесенные Покупателем в результате такого неисполнения. </w:t>
      </w:r>
    </w:p>
    <w:p w14:paraId="2279BF48"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22. Настоящий договор входит в силу по подписании его и будет оставаться в полном действии в течение десятилетнего срока. </w:t>
      </w:r>
    </w:p>
    <w:p w14:paraId="33ABFFCE"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23. Все изобретения и информация, которые, согласно любого из условий сего договора предоставляются Продавцом Покупателю, должны быть в письменной форме и должны окончательно считаться переданными, если они будут доставлены в контору Покупателя по 261 Пятое Авеню, Нью-Йорк, и если они будут, в запечатанном и оклеенном марками конверте, помеченным "Заказным", спущены в почтовый ящик САС в Рауэй, Нью-Джерси или в г. Нью-Йорке, штате Нью-Йорк, по адресу Амторг Трейдинг Корпорейшон, 261 Пятое Авеню, Нью-Йорк. </w:t>
      </w:r>
    </w:p>
    <w:p w14:paraId="688142B9"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В ЗАСВИДЕТЕЛЬСТВОВАНИИ ЧЕГО, обе договаривающиеся стороны заключили этот договор через своих надлежаще уполномоченных представителей и приложили свои печати в день и год в начале означенный. </w:t>
      </w:r>
    </w:p>
    <w:p w14:paraId="41E99896" w14:textId="77777777" w:rsidR="00AB7529" w:rsidRPr="00507A31" w:rsidRDefault="00AB7529" w:rsidP="00507A31">
      <w:pPr>
        <w:jc w:val="both"/>
        <w:rPr>
          <w:color w:val="000000" w:themeColor="text1"/>
          <w:sz w:val="16"/>
          <w:szCs w:val="16"/>
        </w:rPr>
      </w:pPr>
      <w:r w:rsidRPr="00507A31">
        <w:rPr>
          <w:color w:val="000000" w:themeColor="text1"/>
          <w:sz w:val="16"/>
          <w:szCs w:val="16"/>
        </w:rPr>
        <w:t>ЮНАЙТЕД СТЕЙТС УИЛ ЛЭЙЕР КОРПОРЕЙШОН</w:t>
      </w:r>
    </w:p>
    <w:p w14:paraId="398F831E"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(подпись) – Дж. Вальтер Кристи, Президент </w:t>
      </w:r>
    </w:p>
    <w:p w14:paraId="51A5DA75" w14:textId="77777777" w:rsidR="00AB7529" w:rsidRPr="00507A31" w:rsidRDefault="00AB7529" w:rsidP="00507A31">
      <w:pPr>
        <w:jc w:val="both"/>
        <w:rPr>
          <w:color w:val="000000" w:themeColor="text1"/>
          <w:sz w:val="16"/>
          <w:szCs w:val="16"/>
        </w:rPr>
      </w:pPr>
      <w:r w:rsidRPr="00507A31">
        <w:rPr>
          <w:color w:val="000000" w:themeColor="text1"/>
          <w:sz w:val="16"/>
          <w:szCs w:val="16"/>
        </w:rPr>
        <w:t>АМТОРГ ТРЕЭЙДИНГ КОРПОРЕЙШОН</w:t>
      </w:r>
    </w:p>
    <w:p w14:paraId="62BA9C0F" w14:textId="77777777" w:rsidR="00AB7529" w:rsidRPr="00507A31" w:rsidRDefault="00AB7529" w:rsidP="00507A31">
      <w:pPr>
        <w:jc w:val="both"/>
        <w:rPr>
          <w:color w:val="000000" w:themeColor="text1"/>
          <w:sz w:val="16"/>
          <w:szCs w:val="16"/>
        </w:rPr>
      </w:pPr>
      <w:r w:rsidRPr="00507A31">
        <w:rPr>
          <w:color w:val="000000" w:themeColor="text1"/>
          <w:sz w:val="16"/>
          <w:szCs w:val="16"/>
        </w:rPr>
        <w:t>А.В. Петров, Вице-президент (подпись)</w:t>
      </w:r>
    </w:p>
    <w:p w14:paraId="2C01D852" w14:textId="77777777" w:rsidR="00AB7529" w:rsidRPr="00507A31" w:rsidRDefault="00AB7529" w:rsidP="00507A31">
      <w:pPr>
        <w:jc w:val="both"/>
        <w:rPr>
          <w:color w:val="000000" w:themeColor="text1"/>
          <w:sz w:val="16"/>
          <w:szCs w:val="16"/>
        </w:rPr>
      </w:pPr>
      <w:r w:rsidRPr="00507A31">
        <w:rPr>
          <w:color w:val="000000" w:themeColor="text1"/>
          <w:sz w:val="16"/>
          <w:szCs w:val="16"/>
          <w:u w:val="single"/>
        </w:rPr>
        <w:t>В присутствии:</w:t>
      </w:r>
      <w:r w:rsidRPr="00507A31">
        <w:rPr>
          <w:color w:val="000000" w:themeColor="text1"/>
          <w:sz w:val="16"/>
          <w:szCs w:val="16"/>
        </w:rPr>
        <w:t xml:space="preserve"> </w:t>
      </w:r>
    </w:p>
    <w:p w14:paraId="5DD498B4"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И. Халепский </w:t>
      </w:r>
    </w:p>
    <w:p w14:paraId="3FF32634"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Дж. Майкель </w:t>
      </w:r>
    </w:p>
    <w:p w14:paraId="6E0D798C"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За Дж. Раймонд Тиффани (подписи) </w:t>
      </w:r>
    </w:p>
    <w:p w14:paraId="15FCD5D7"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(неразб. подпись) </w:t>
      </w:r>
    </w:p>
    <w:p w14:paraId="1FA454D3" w14:textId="77777777" w:rsidR="00AB7529" w:rsidRPr="00507A31" w:rsidRDefault="00AB7529" w:rsidP="00507A31">
      <w:pPr>
        <w:jc w:val="both"/>
        <w:rPr>
          <w:color w:val="000000" w:themeColor="text1"/>
          <w:sz w:val="16"/>
          <w:szCs w:val="16"/>
        </w:rPr>
      </w:pPr>
      <w:r w:rsidRPr="00507A31">
        <w:rPr>
          <w:color w:val="000000" w:themeColor="text1"/>
          <w:sz w:val="16"/>
          <w:szCs w:val="16"/>
        </w:rPr>
        <w:t xml:space="preserve">Перевод с подлинным идентичен – подпись </w:t>
      </w:r>
    </w:p>
    <w:p w14:paraId="7E56F392" w14:textId="77777777" w:rsidR="00AB7529" w:rsidRPr="00507A31" w:rsidRDefault="00AB7529" w:rsidP="00507A31">
      <w:pPr>
        <w:jc w:val="both"/>
        <w:rPr>
          <w:color w:val="000000" w:themeColor="text1"/>
          <w:sz w:val="16"/>
          <w:szCs w:val="16"/>
        </w:rPr>
      </w:pPr>
      <w:r w:rsidRPr="00507A31">
        <w:rPr>
          <w:color w:val="000000" w:themeColor="text1"/>
          <w:sz w:val="16"/>
          <w:szCs w:val="16"/>
        </w:rPr>
        <w:t>ВЕРНО: подпись</w:t>
      </w:r>
    </w:p>
    <w:p w14:paraId="68CB2ED5" w14:textId="77777777" w:rsidR="00AB7529" w:rsidRPr="00507A31" w:rsidRDefault="00AB7529" w:rsidP="00507A31">
      <w:pPr>
        <w:jc w:val="both"/>
        <w:rPr>
          <w:color w:val="000000" w:themeColor="text1"/>
          <w:sz w:val="16"/>
          <w:szCs w:val="16"/>
        </w:rPr>
      </w:pPr>
      <w:r w:rsidRPr="00507A31">
        <w:rPr>
          <w:color w:val="000000" w:themeColor="text1"/>
          <w:sz w:val="16"/>
          <w:szCs w:val="16"/>
          <w:u w:val="single"/>
        </w:rPr>
        <w:t>Копия снята в 3 экз. (19750)</w:t>
      </w:r>
      <w:r w:rsidRPr="00507A31">
        <w:rPr>
          <w:color w:val="000000" w:themeColor="text1"/>
          <w:sz w:val="16"/>
          <w:szCs w:val="16"/>
        </w:rPr>
        <w:t>.</w:t>
      </w:r>
    </w:p>
    <w:p w14:paraId="55D098E3" w14:textId="77777777" w:rsidR="00AB7529" w:rsidRPr="00507A31" w:rsidRDefault="00AB7529" w:rsidP="00507A31">
      <w:pPr>
        <w:jc w:val="both"/>
        <w:rPr>
          <w:color w:val="000000" w:themeColor="text1"/>
          <w:sz w:val="16"/>
          <w:szCs w:val="16"/>
        </w:rPr>
      </w:pPr>
    </w:p>
    <w:p w14:paraId="3E8631CE" w14:textId="77777777" w:rsidR="00AB7529" w:rsidRPr="00507A31" w:rsidRDefault="00AB7529" w:rsidP="00507A31">
      <w:pPr>
        <w:pStyle w:val="rtejustify"/>
        <w:spacing w:before="0" w:after="0"/>
        <w:rPr>
          <w:rStyle w:val="af0"/>
          <w:i w:val="0"/>
          <w:color w:val="000000" w:themeColor="text1"/>
          <w:sz w:val="16"/>
          <w:szCs w:val="16"/>
        </w:rPr>
      </w:pPr>
      <w:r w:rsidRPr="00507A31">
        <w:rPr>
          <w:color w:val="000000" w:themeColor="text1"/>
          <w:sz w:val="16"/>
          <w:szCs w:val="16"/>
          <w:shd w:val="clear" w:color="auto" w:fill="FFFFFF"/>
        </w:rPr>
        <w:t>28 апреля 1930 года, всего через месяц после сделки с поляками, был подписан контракт между U.S. Wheel Track Layer Corporation и Amtorg Trading Corporation. Советская сторона заплатила $60000 за два образца Christie M.1940 (сумма была разбита на части), $4000 за запасные части, а также $100000 за комплект патентов и право лицензионного производства сроком на 10 лет. По контракту, U.S. Wheel Track Layer Corporation обязалась сообщать о новых версиях танка и предоставлялось место для советского инженера на заводе в Рауэй. Этим самым инженером, прибывшим в США в середине июля, был начальник технического отдела УММ РККА Н.М. Тоскин. Пикантность момента в том, что Польша в тот момент являлась главным противником СССР. С поляками Кристи разругался, контракт с ними был разорван, а деньги за предоплату впоследствии были возвращены через суд. Впрочем, советский контракт тоже был исполнен своеобразно. Оба образца отправились с завода 24 декабря 1930 года, на три месяца позже оговоренного в контракте срока. К слову, об отправке двух образцов M.1940 американским властям было известно, и они ее одобрили, к большому неудовольствию Департамента Вооружений. На танках отсутствовало вооружение, башни, а также глушители, на люках механика-водителя не были сделаны смотровые щели, частично отсутствовала документация. Советской стороной в связи с этим было удержано $25000, которые должны были быть выплачены после поставки танков в СССР. После такого поворота событий отношение Кристи с советскими представителями заметно охладели (19786).</w:t>
      </w:r>
    </w:p>
    <w:p w14:paraId="3D31708C" w14:textId="77777777" w:rsidR="00AB7529" w:rsidRPr="00507A31" w:rsidRDefault="00AB7529" w:rsidP="00507A31">
      <w:pPr>
        <w:pStyle w:val="rtejustify"/>
        <w:spacing w:before="0" w:after="0"/>
        <w:rPr>
          <w:rStyle w:val="af0"/>
          <w:i w:val="0"/>
          <w:color w:val="000000" w:themeColor="text1"/>
          <w:sz w:val="16"/>
          <w:szCs w:val="16"/>
        </w:rPr>
      </w:pPr>
    </w:p>
    <w:p w14:paraId="2CB773FE" w14:textId="77777777" w:rsidR="00F15277" w:rsidRPr="00507A31" w:rsidRDefault="00F15277" w:rsidP="00507A31">
      <w:pPr>
        <w:jc w:val="both"/>
        <w:rPr>
          <w:color w:val="000000" w:themeColor="text1"/>
          <w:sz w:val="16"/>
          <w:szCs w:val="16"/>
        </w:rPr>
      </w:pPr>
      <w:r w:rsidRPr="00507A31">
        <w:rPr>
          <w:color w:val="000000" w:themeColor="text1"/>
          <w:sz w:val="16"/>
          <w:szCs w:val="16"/>
        </w:rPr>
        <w:t>28 апреля 1930 года на основе устного (!) соглашения между двумя сторонами был заключен Договор о поставке двух танков Кристи, между фирмой U.S. Wheel Track Layer Corporation и Амторгом (торговой организацией, представлявшей в США интересы СССР). Интересно, что у нас принято именовать эти машины как “шасси танка Кристи”, хотя это не совсем верно. Штатное вооружение М1928 и М1931 ограничивалось только двумя пулеметами, а УММ РККА такой вариант не устраивал. Танки надлежало оснастить башенным орудием, чего Кристи сделать не смог (или отказался), поэтому машины прибывшие в СССР не имели башен и вооружения.</w:t>
      </w:r>
    </w:p>
    <w:p w14:paraId="14E9958B" w14:textId="77777777" w:rsidR="00F15277" w:rsidRPr="00507A31" w:rsidRDefault="00F15277" w:rsidP="00507A31">
      <w:pPr>
        <w:jc w:val="both"/>
        <w:rPr>
          <w:color w:val="000000" w:themeColor="text1"/>
          <w:sz w:val="16"/>
          <w:szCs w:val="16"/>
        </w:rPr>
      </w:pPr>
      <w:r w:rsidRPr="00507A31">
        <w:rPr>
          <w:color w:val="000000" w:themeColor="text1"/>
          <w:sz w:val="16"/>
          <w:szCs w:val="16"/>
        </w:rPr>
        <w:t xml:space="preserve">Вопреки распространенному мнению делегация из СССР к танкам Кристи относилась без особого восторга. Дело в том, что согласно принятой в 1929 году системе танко-тракторного и автоброневооружения для нужд бронетанковых частей РККА предстояло разработать три основных типа танка: танкетка, малый (легкий) и маневренный (средний). </w:t>
      </w:r>
    </w:p>
    <w:p w14:paraId="601AA6CC" w14:textId="77777777" w:rsidR="00F15277" w:rsidRPr="00507A31" w:rsidRDefault="00F15277" w:rsidP="00507A31">
      <w:pPr>
        <w:jc w:val="both"/>
        <w:rPr>
          <w:color w:val="000000" w:themeColor="text1"/>
          <w:sz w:val="16"/>
          <w:szCs w:val="16"/>
        </w:rPr>
      </w:pPr>
      <w:r w:rsidRPr="00507A31">
        <w:rPr>
          <w:color w:val="000000" w:themeColor="text1"/>
          <w:sz w:val="16"/>
          <w:szCs w:val="16"/>
        </w:rPr>
        <w:t>Советские танкостроители в полной мере справиться с этим задание не смогли. Крупной серией выпускался только малый танк Т-18 (МС-1), тактико-технические характеристики которого уже к 1930 году признали устаревшими. Не очень удачно обстояли дела с танкетками – испытанные в 1929-1930 гг. опытные образцы Т-17 и Т-23 оказались достаточно дорогими и сложными в производстве машинами, что не позволило организовать их производство.</w:t>
      </w:r>
    </w:p>
    <w:p w14:paraId="797DCDE0" w14:textId="77777777" w:rsidR="00F15277" w:rsidRPr="00507A31" w:rsidRDefault="00F15277" w:rsidP="00507A31">
      <w:pPr>
        <w:jc w:val="both"/>
        <w:rPr>
          <w:color w:val="000000" w:themeColor="text1"/>
          <w:sz w:val="16"/>
          <w:szCs w:val="16"/>
        </w:rPr>
      </w:pPr>
      <w:r w:rsidRPr="00507A31">
        <w:rPr>
          <w:color w:val="000000" w:themeColor="text1"/>
          <w:sz w:val="16"/>
          <w:szCs w:val="16"/>
        </w:rPr>
        <w:t>Сложнее всего было с танками среднего класса. Созданный в 1929 году танк Т-24 был бы неплохой боевой машиной, если бы не масса “детских болезней”, устранить которые так и не удалось. Создаваемый параллельно основной танк Т-19, предназначавшийся для сопровождения наступающей пехоты, из-за ходовой части “французского” типа (перенятой от Renault NC-2) был очень трудоёмким в производстве. Такая же участь постигла и совместный советско-германский проект ТГ, имевший чрезвычайно мощное вооружение и колесно-гусеничный ход (остался только в проекте) – в 1931 году предполагалась постройка 150 танков этого типа, но их стоимость оказалась настолько высока, что от реализации этого плана пришлось отказаться.</w:t>
      </w:r>
    </w:p>
    <w:p w14:paraId="6A500E8C" w14:textId="77777777" w:rsidR="00F15277" w:rsidRPr="00507A31" w:rsidRDefault="00F15277" w:rsidP="00507A31">
      <w:pPr>
        <w:jc w:val="both"/>
        <w:rPr>
          <w:color w:val="000000" w:themeColor="text1"/>
          <w:sz w:val="16"/>
          <w:szCs w:val="16"/>
        </w:rPr>
      </w:pPr>
      <w:r w:rsidRPr="00507A31">
        <w:rPr>
          <w:color w:val="000000" w:themeColor="text1"/>
          <w:sz w:val="16"/>
          <w:szCs w:val="16"/>
        </w:rPr>
        <w:t>В это же время за рубеж отправилась делегация УММ во главе с её начальником Халепским. Посетив Великобританию советская сторона отметила танкетку Carden-Lloyd Mk.VI, 6-тонный пехотный танк Vickers, а также средние танки Vickers Medium Mk.II (в советских документах он фигурировал как “виккерс 12-тонный”) и Vickers Medium Mk.III (3-башенный). Впоследствии несколько экземпляров были закуплены для испытаний в СССР и стали прототипами для танков советского производства Т-26 и Т-27, а трехбашенный "виккерс" послужил прообразом для Т-28.</w:t>
      </w:r>
    </w:p>
    <w:p w14:paraId="1C4AFA96" w14:textId="77777777" w:rsidR="00F15277" w:rsidRPr="00507A31" w:rsidRDefault="00F15277" w:rsidP="00507A31">
      <w:pPr>
        <w:jc w:val="both"/>
        <w:rPr>
          <w:color w:val="000000" w:themeColor="text1"/>
          <w:sz w:val="16"/>
          <w:szCs w:val="16"/>
        </w:rPr>
      </w:pPr>
      <w:r w:rsidRPr="00507A31">
        <w:rPr>
          <w:color w:val="000000" w:themeColor="text1"/>
          <w:sz w:val="16"/>
          <w:szCs w:val="16"/>
        </w:rPr>
        <w:t>Незадолго до этого момента совеские предтставители прибыли в США, где им продемонстрировали средний танк Т1 фирмы Cunningham и М1928. Последний действительно вызвал определенный интерес, но в советскую систему вооружений он просто не вписывался. Этому факту есть документальное подтверждение, представленное в отчете о зарубежной командировке:</w:t>
      </w:r>
    </w:p>
    <w:p w14:paraId="037C0B49" w14:textId="77777777" w:rsidR="00F15277" w:rsidRPr="00507A31" w:rsidRDefault="00F15277" w:rsidP="00507A31">
      <w:pPr>
        <w:jc w:val="both"/>
        <w:rPr>
          <w:color w:val="000000" w:themeColor="text1"/>
          <w:sz w:val="16"/>
          <w:szCs w:val="16"/>
        </w:rPr>
      </w:pPr>
      <w:r w:rsidRPr="00507A31">
        <w:rPr>
          <w:color w:val="000000" w:themeColor="text1"/>
          <w:sz w:val="16"/>
          <w:szCs w:val="16"/>
        </w:rPr>
        <w:t>“...несмотря на высокую скорость движения, которая, по заверениям американца, составляет более 45 км/ч на гусеницах и 70 км/ч на колесах ...означенный танк не подходит для принятия его в систему вооружения РККА”</w:t>
      </w:r>
    </w:p>
    <w:p w14:paraId="48C9AB3D" w14:textId="77777777" w:rsidR="00F15277" w:rsidRPr="00507A31" w:rsidRDefault="00F15277" w:rsidP="00507A31">
      <w:pPr>
        <w:jc w:val="both"/>
        <w:rPr>
          <w:color w:val="000000" w:themeColor="text1"/>
          <w:sz w:val="16"/>
          <w:szCs w:val="16"/>
        </w:rPr>
      </w:pPr>
      <w:r w:rsidRPr="00507A31">
        <w:rPr>
          <w:color w:val="000000" w:themeColor="text1"/>
          <w:sz w:val="16"/>
          <w:szCs w:val="16"/>
        </w:rPr>
        <w:t xml:space="preserve">Тем временем техническое задание на танкетку пересмотрели в соответствии с новыми веяниями того времени. Теперь предстояло спроектировать колёсно-гусеничную разведывательную машину, оснащенную башней с круговым вращением и одним пулеметом. Проект, который разрабатывался под общим руководством С.Гинзбурга, получил название Т-25 (второй с таким названием). Какие-либо наработки по такого рода машинам в СССР отсутствовали, поэтому Гинзбург взял за основу тот минимум информации по колесно-гусеничным танкам, который был доставлен Халепским из США. Однако технические трудности оказались настолько велики, что выполнить и это задание не удалось. </w:t>
      </w:r>
    </w:p>
    <w:p w14:paraId="7BBB1414" w14:textId="77777777" w:rsidR="00F15277" w:rsidRPr="00507A31" w:rsidRDefault="00F15277" w:rsidP="00507A31">
      <w:pPr>
        <w:jc w:val="both"/>
        <w:rPr>
          <w:color w:val="000000" w:themeColor="text1"/>
          <w:sz w:val="16"/>
          <w:szCs w:val="16"/>
        </w:rPr>
      </w:pPr>
      <w:r w:rsidRPr="00507A31">
        <w:rPr>
          <w:color w:val="000000" w:themeColor="text1"/>
          <w:sz w:val="16"/>
          <w:szCs w:val="16"/>
        </w:rPr>
        <w:t>Так появилось предложение закупить для испытаний один или несколько танков конструкции Кристи, тем более что Халепский (очевидно, предвидя проблемы с танками советской постройки) привез предварительную договорённость об их возможном приобретении.</w:t>
      </w:r>
    </w:p>
    <w:p w14:paraId="52FE4A10" w14:textId="77777777" w:rsidR="00F15277" w:rsidRPr="00507A31" w:rsidRDefault="00F15277" w:rsidP="00507A31">
      <w:pPr>
        <w:jc w:val="both"/>
        <w:rPr>
          <w:color w:val="000000" w:themeColor="text1"/>
          <w:sz w:val="16"/>
          <w:szCs w:val="16"/>
        </w:rPr>
      </w:pPr>
      <w:r w:rsidRPr="00507A31">
        <w:rPr>
          <w:color w:val="000000" w:themeColor="text1"/>
          <w:sz w:val="16"/>
          <w:szCs w:val="16"/>
        </w:rPr>
        <w:t>Испытывая нехватку финансирования Кристи охотно пошёл на контакт с советской делегацией, хотя его отношение к СССР было довольно прохладным. Согласно главной версии тех событий, американской стороной была предложена модель, называемая М1930, но поскольку такого танка в реальности не существовало можно сделать вывод, что это был всё-таки М1931. Впрочем, главной причиной покупки танка послужило, прежде всего, предоставление фирмой технической помощи, передача всех производственных чертежей и технологического процесса производства танка. Дж. У.Кристи выразил также готовность прибыть в СССР сроком на два месяца для консультаций и организации производства. Кроме того, фирма предоставляла возможность нашему инженеру работать на заводе в Рауэй (США). Ещё одной причиной в пользу М1931 была установка на нём авиационного двигателя Liberty, который уже производился в Советском Союзе под обозначением М-5 и использовался нескольких типах отечественных самолётов (И-1, И-2, Р-1, Р-3). Техническая поддержка на силовую установку в данном случае не распространялась. Был и ещё один немаловажный фактор - в случае заключения контракта между Польшей и американской фирмой Советский Союз мог снова утратить преимущество в танковом вооружении.</w:t>
      </w:r>
    </w:p>
    <w:p w14:paraId="006C18F7" w14:textId="77777777" w:rsidR="00F15277" w:rsidRPr="00507A31" w:rsidRDefault="00F15277" w:rsidP="00507A31">
      <w:pPr>
        <w:jc w:val="both"/>
        <w:rPr>
          <w:color w:val="000000" w:themeColor="text1"/>
          <w:sz w:val="16"/>
          <w:szCs w:val="16"/>
        </w:rPr>
      </w:pPr>
      <w:r w:rsidRPr="00507A31">
        <w:rPr>
          <w:color w:val="000000" w:themeColor="text1"/>
          <w:sz w:val="16"/>
          <w:szCs w:val="16"/>
        </w:rPr>
        <w:t>Стоимость двух танков оценивалась в 60000 долларов, включая комплект запасных частей, поставляемых фирмой U.S. Wheel Track Layer Corporation. За продажу производственных прав, передачу патентов и услуг в отношении технического содействия У. Кристи было уплачено еще 100000 долларов. Договор был подписан с американской стороны Дж.Уолтером Кристи - президентом корпорации, с советской стороны - А.В.Петровым, президентом "Амторга", в присутствии И.А. Халепского (СССР), Дж.Майкеля, Дж. Раймонда и Тиффани (все - США). То есть всего Советскому Союзу пришлось уплатить сумму 160 000 долларов. В этой связи необходимо указать следующее – никаких официальных документов американская и советская сторона не подписывали (17214).</w:t>
      </w:r>
    </w:p>
    <w:p w14:paraId="4E066457" w14:textId="77777777" w:rsidR="00F15277" w:rsidRPr="00507A31" w:rsidRDefault="00F15277" w:rsidP="00507A31">
      <w:pPr>
        <w:jc w:val="both"/>
        <w:rPr>
          <w:color w:val="000000" w:themeColor="text1"/>
          <w:sz w:val="16"/>
          <w:szCs w:val="16"/>
        </w:rPr>
      </w:pPr>
    </w:p>
    <w:p w14:paraId="664448AD" w14:textId="77777777" w:rsidR="00F42E0E" w:rsidRPr="00507A31" w:rsidRDefault="00F42E0E"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С 28 апреля по 9 мая 1930 проходили официальные испытания танка Т-12. Одновременно был проведен артиллерийский обстрел 22-мм и 18-мм эталонных броневых плит. Акты испытаний утвердил главный инженер завода С.Н. Махонин и начальник отдела И.Н. Алексенко. После проведения официальных испытаний опытный образец маневренного танка Т-12 по железной дороге был доставлен на подмосковный полигон в посёлке Кубинка (10710).</w:t>
      </w:r>
    </w:p>
    <w:p w14:paraId="64A50FCE" w14:textId="77777777" w:rsidR="00F42E0E" w:rsidRPr="00507A31" w:rsidRDefault="00F42E0E" w:rsidP="00507A31">
      <w:pPr>
        <w:autoSpaceDE w:val="0"/>
        <w:autoSpaceDN w:val="0"/>
        <w:adjustRightInd w:val="0"/>
        <w:jc w:val="both"/>
        <w:rPr>
          <w:color w:val="000000" w:themeColor="text1"/>
          <w:sz w:val="16"/>
          <w:szCs w:val="16"/>
        </w:rPr>
      </w:pPr>
    </w:p>
    <w:p w14:paraId="2B5C2E73" w14:textId="77777777" w:rsidR="002B17E4" w:rsidRPr="00507A31" w:rsidRDefault="002B17E4" w:rsidP="00507A31">
      <w:pPr>
        <w:jc w:val="both"/>
        <w:rPr>
          <w:color w:val="000000" w:themeColor="text1"/>
          <w:sz w:val="16"/>
          <w:szCs w:val="16"/>
        </w:rPr>
      </w:pPr>
      <w:r w:rsidRPr="00507A31">
        <w:rPr>
          <w:color w:val="000000" w:themeColor="text1"/>
          <w:sz w:val="16"/>
          <w:szCs w:val="16"/>
        </w:rPr>
        <w:t>28 апреля, а также 5 и 9 мая 1930 г. испытания танка Т-12 продолжились.</w:t>
      </w:r>
    </w:p>
    <w:p w14:paraId="0A6EB8BD" w14:textId="77777777" w:rsidR="002B17E4" w:rsidRPr="00507A31" w:rsidRDefault="002B17E4" w:rsidP="00507A31">
      <w:pPr>
        <w:jc w:val="both"/>
        <w:rPr>
          <w:color w:val="000000" w:themeColor="text1"/>
          <w:sz w:val="16"/>
          <w:szCs w:val="16"/>
        </w:rPr>
      </w:pPr>
      <w:r w:rsidRPr="00507A31">
        <w:rPr>
          <w:color w:val="000000" w:themeColor="text1"/>
          <w:sz w:val="16"/>
          <w:szCs w:val="16"/>
        </w:rPr>
        <w:t>К моменту их проведения на Т-12 были установлены:</w:t>
      </w:r>
    </w:p>
    <w:p w14:paraId="54B1DEA9" w14:textId="77777777" w:rsidR="002B17E4" w:rsidRPr="00507A31" w:rsidRDefault="002B17E4" w:rsidP="00507A31">
      <w:pPr>
        <w:jc w:val="both"/>
        <w:rPr>
          <w:color w:val="000000" w:themeColor="text1"/>
          <w:sz w:val="16"/>
          <w:szCs w:val="16"/>
        </w:rPr>
      </w:pPr>
      <w:r w:rsidRPr="00507A31">
        <w:rPr>
          <w:color w:val="000000" w:themeColor="text1"/>
          <w:sz w:val="16"/>
          <w:szCs w:val="16"/>
        </w:rPr>
        <w:t>- более мощный вентилятор, осуществлявший забор охлаждающего воздуха в кормовой части корпуса, проход его через радиатор системы охлаждения и выброс из моторного отделения у правого борта;</w:t>
      </w:r>
    </w:p>
    <w:p w14:paraId="46B7D57B" w14:textId="77777777" w:rsidR="002B17E4" w:rsidRPr="00507A31" w:rsidRDefault="002B17E4" w:rsidP="00507A31">
      <w:pPr>
        <w:jc w:val="both"/>
        <w:rPr>
          <w:color w:val="000000" w:themeColor="text1"/>
          <w:sz w:val="16"/>
          <w:szCs w:val="16"/>
        </w:rPr>
      </w:pPr>
      <w:r w:rsidRPr="00507A31">
        <w:rPr>
          <w:color w:val="000000" w:themeColor="text1"/>
          <w:sz w:val="16"/>
          <w:szCs w:val="16"/>
        </w:rPr>
        <w:t>- новая коробка передач с роликовыми подшипниками для центрального вала вместо скользящих втулок и с ребристой алюминиевой крышкой картера;</w:t>
      </w:r>
    </w:p>
    <w:p w14:paraId="1585B298" w14:textId="77777777" w:rsidR="002B17E4" w:rsidRPr="00507A31" w:rsidRDefault="002B17E4" w:rsidP="00507A31">
      <w:pPr>
        <w:jc w:val="both"/>
        <w:rPr>
          <w:color w:val="000000" w:themeColor="text1"/>
          <w:sz w:val="16"/>
          <w:szCs w:val="16"/>
        </w:rPr>
      </w:pPr>
      <w:r w:rsidRPr="00507A31">
        <w:rPr>
          <w:color w:val="000000" w:themeColor="text1"/>
          <w:sz w:val="16"/>
          <w:szCs w:val="16"/>
        </w:rPr>
        <w:t>- новая система привода управления тормозами и двумя сервоаппаратами и двумя рычагами управления (как для торможения, так и для поворота) вместо ножной педали и рулевой колонки;</w:t>
      </w:r>
    </w:p>
    <w:p w14:paraId="45211BB4" w14:textId="77777777" w:rsidR="002B17E4" w:rsidRPr="00507A31" w:rsidRDefault="002B17E4" w:rsidP="00507A31">
      <w:pPr>
        <w:jc w:val="both"/>
        <w:rPr>
          <w:color w:val="000000" w:themeColor="text1"/>
          <w:sz w:val="16"/>
          <w:szCs w:val="16"/>
        </w:rPr>
      </w:pPr>
      <w:r w:rsidRPr="00507A31">
        <w:rPr>
          <w:color w:val="000000" w:themeColor="text1"/>
          <w:sz w:val="16"/>
          <w:szCs w:val="16"/>
        </w:rPr>
        <w:t>- упорядоченная система смазки и водоотводящих труб;</w:t>
      </w:r>
    </w:p>
    <w:p w14:paraId="2230A1DB" w14:textId="77777777" w:rsidR="002B17E4" w:rsidRPr="00507A31" w:rsidRDefault="002B17E4" w:rsidP="00507A31">
      <w:pPr>
        <w:jc w:val="both"/>
        <w:rPr>
          <w:color w:val="000000" w:themeColor="text1"/>
          <w:sz w:val="16"/>
          <w:szCs w:val="16"/>
        </w:rPr>
      </w:pPr>
      <w:r w:rsidRPr="00507A31">
        <w:rPr>
          <w:color w:val="000000" w:themeColor="text1"/>
          <w:sz w:val="16"/>
          <w:szCs w:val="16"/>
        </w:rPr>
        <w:t>- усовершенствованные тормоза;</w:t>
      </w:r>
    </w:p>
    <w:p w14:paraId="3EBE23C1" w14:textId="77777777" w:rsidR="002B17E4" w:rsidRPr="00507A31" w:rsidRDefault="002B17E4" w:rsidP="00507A31">
      <w:pPr>
        <w:jc w:val="both"/>
        <w:rPr>
          <w:color w:val="000000" w:themeColor="text1"/>
          <w:sz w:val="16"/>
          <w:szCs w:val="16"/>
        </w:rPr>
      </w:pPr>
      <w:r w:rsidRPr="00507A31">
        <w:rPr>
          <w:color w:val="000000" w:themeColor="text1"/>
          <w:sz w:val="16"/>
          <w:szCs w:val="16"/>
        </w:rPr>
        <w:t>- бортовые редуктора с новой, более жесткой крышкой (12303).</w:t>
      </w:r>
    </w:p>
    <w:p w14:paraId="1F6E6ABF" w14:textId="77777777" w:rsidR="002B17E4" w:rsidRPr="00507A31" w:rsidRDefault="002B17E4" w:rsidP="00507A31">
      <w:pPr>
        <w:jc w:val="both"/>
        <w:rPr>
          <w:color w:val="000000" w:themeColor="text1"/>
          <w:sz w:val="16"/>
          <w:szCs w:val="16"/>
        </w:rPr>
      </w:pPr>
    </w:p>
    <w:p w14:paraId="6A01EDBD" w14:textId="77777777" w:rsidR="00F42E0E" w:rsidRPr="00507A31" w:rsidRDefault="00F42E0E" w:rsidP="00507A31">
      <w:pPr>
        <w:pStyle w:val="rtejustify"/>
        <w:spacing w:before="0" w:after="0"/>
        <w:rPr>
          <w:color w:val="000000" w:themeColor="text1"/>
          <w:sz w:val="16"/>
          <w:szCs w:val="16"/>
        </w:rPr>
      </w:pPr>
      <w:r w:rsidRPr="00507A31">
        <w:rPr>
          <w:rStyle w:val="af0"/>
          <w:i w:val="0"/>
          <w:color w:val="000000" w:themeColor="text1"/>
          <w:sz w:val="16"/>
          <w:szCs w:val="16"/>
        </w:rPr>
        <w:t>28 апреля 1930 г. Протокол Реввоенсовета № 8.</w:t>
      </w:r>
      <w:r w:rsidRPr="00507A31">
        <w:rPr>
          <w:color w:val="000000" w:themeColor="text1"/>
          <w:sz w:val="16"/>
          <w:szCs w:val="16"/>
        </w:rPr>
        <w:t xml:space="preserve"> 2. Система химического вооружения РККА. (Уборевич). 3. О ходе работ по реализации системы артвооружения. (Ефимов). (РГВА. Ф. 4. Оп. 18. Д. 19. Л. 128</w:t>
      </w:r>
      <w:r w:rsidRPr="00507A31">
        <w:rPr>
          <w:color w:val="000000" w:themeColor="text1"/>
          <w:sz w:val="16"/>
          <w:szCs w:val="16"/>
        </w:rPr>
        <w:noBreakHyphen/>
        <w:t>129) (12342).</w:t>
      </w:r>
    </w:p>
    <w:p w14:paraId="670A4905" w14:textId="77777777" w:rsidR="00F42E0E" w:rsidRPr="00507A31" w:rsidRDefault="00F42E0E" w:rsidP="00507A31">
      <w:pPr>
        <w:pStyle w:val="rtejustify"/>
        <w:spacing w:before="0" w:after="0"/>
        <w:rPr>
          <w:color w:val="000000" w:themeColor="text1"/>
          <w:sz w:val="16"/>
          <w:szCs w:val="16"/>
        </w:rPr>
      </w:pPr>
    </w:p>
    <w:p w14:paraId="10A02B1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BA20F3C" w14:textId="77777777" w:rsidR="00537E5F" w:rsidRPr="00507A31" w:rsidRDefault="00537E5F" w:rsidP="00507A31">
      <w:pPr>
        <w:autoSpaceDE w:val="0"/>
        <w:autoSpaceDN w:val="0"/>
        <w:adjustRightInd w:val="0"/>
        <w:jc w:val="both"/>
        <w:rPr>
          <w:iCs/>
          <w:color w:val="000000" w:themeColor="text1"/>
          <w:sz w:val="16"/>
          <w:szCs w:val="16"/>
        </w:rPr>
      </w:pPr>
    </w:p>
    <w:p w14:paraId="432F50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апреля — 7 мая 1930 Алкснис и Меженинов прибыли в Байройт, где они присутствовали на военно-воздушной игре. В отчете высшему руководству РККА ими было отмечено, что в Липецке используется устаревшая авиатехника. Они предложили поставить перед заместителем начальника генштаба райхсвера генералом Миттельбергером в ходе его намечавшейся в мае 1930 г, «инспекционной поездки» в Москву и Липецк вопрос о том, чтобы уже «в ближайшее время &lt;...&gt; новые объекты техники воздушного флота» были предоставлены Липецкой школе. Отметив, что немцы едва ли будут увеличивать расходы и использовать в Липецке новую технику, ограничившись «школьной тренировкой своего личного состава на устаревшей материальной части», Алкснис и Меженинов предлагали выяснить через Разведупр РККА, не проводит ли немецкая сторона «воздушные опыты в области тактики и техники в Испании» (11784).</w:t>
      </w:r>
    </w:p>
    <w:p w14:paraId="0935169F" w14:textId="77777777" w:rsidR="00537E5F" w:rsidRPr="00507A31" w:rsidRDefault="00537E5F" w:rsidP="00507A31">
      <w:pPr>
        <w:autoSpaceDE w:val="0"/>
        <w:autoSpaceDN w:val="0"/>
        <w:adjustRightInd w:val="0"/>
        <w:jc w:val="both"/>
        <w:rPr>
          <w:color w:val="000000" w:themeColor="text1"/>
          <w:sz w:val="16"/>
          <w:szCs w:val="16"/>
        </w:rPr>
      </w:pPr>
    </w:p>
    <w:p w14:paraId="54B174FA" w14:textId="77777777" w:rsidR="005D51E8" w:rsidRPr="00507A31" w:rsidRDefault="005D51E8" w:rsidP="00507A31">
      <w:pPr>
        <w:jc w:val="both"/>
        <w:rPr>
          <w:color w:val="000000" w:themeColor="text1"/>
          <w:sz w:val="16"/>
          <w:szCs w:val="16"/>
        </w:rPr>
      </w:pPr>
      <w:r w:rsidRPr="00507A31">
        <w:rPr>
          <w:color w:val="000000" w:themeColor="text1"/>
          <w:sz w:val="16"/>
          <w:szCs w:val="16"/>
        </w:rPr>
        <w:t>28 апреля — 7 мая 1930 Алкснис и Меженинов по упомянутому приглашению прибыли в Байройт, где они присутствовали на военно-воздушной игре. В отчете высшему руководству РККА ими было отмечено, что в Липецке используется устаревшая авиатехника. Они предложили поставить перед заместителем начальника генштаба райхсвера генералом Миттельбергером в ходе его намечавшейся в мае 1930 г, «инспекционной поездки» в Москву и Липецк вопрос о том, чтобы уже «в ближайшее время &lt;…&gt; новые объекты техники воздушного флота» были предоставлены Липецкой школе. Отметив, что немцы едва ли будут увеличивать расходы и использовать в Липецке новую технику, ограничившись «школьной тренировкой своего личного состава на устаревшей материальной части», Алкснис и Меженинов предлагали выяснить через Разведупр РККА, не проводит ли немецкая сторона «воздушные опыты в области тактики и техники в Испании» (18265).</w:t>
      </w:r>
    </w:p>
    <w:p w14:paraId="36E182E6" w14:textId="77777777" w:rsidR="005D51E8" w:rsidRPr="00507A31" w:rsidRDefault="005D51E8" w:rsidP="00507A31">
      <w:pPr>
        <w:jc w:val="both"/>
        <w:rPr>
          <w:color w:val="000000" w:themeColor="text1"/>
          <w:sz w:val="16"/>
          <w:szCs w:val="16"/>
        </w:rPr>
      </w:pPr>
    </w:p>
    <w:p w14:paraId="0467708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F5381CB" w14:textId="77777777" w:rsidR="00537E5F" w:rsidRPr="00507A31" w:rsidRDefault="00537E5F" w:rsidP="00507A31">
      <w:pPr>
        <w:autoSpaceDE w:val="0"/>
        <w:autoSpaceDN w:val="0"/>
        <w:adjustRightInd w:val="0"/>
        <w:jc w:val="both"/>
        <w:rPr>
          <w:iCs/>
          <w:color w:val="000000" w:themeColor="text1"/>
          <w:sz w:val="16"/>
          <w:szCs w:val="16"/>
        </w:rPr>
      </w:pPr>
    </w:p>
    <w:p w14:paraId="20383B48" w14:textId="77777777" w:rsidR="00847DA8" w:rsidRPr="00507A31" w:rsidRDefault="00847DA8" w:rsidP="00507A31">
      <w:pPr>
        <w:jc w:val="both"/>
        <w:rPr>
          <w:color w:val="0070C0"/>
          <w:sz w:val="16"/>
          <w:szCs w:val="16"/>
        </w:rPr>
      </w:pPr>
      <w:r w:rsidRPr="00507A31">
        <w:rPr>
          <w:color w:val="0070C0"/>
          <w:sz w:val="16"/>
          <w:szCs w:val="16"/>
        </w:rPr>
        <w:t>28 апреля 1930 года, на 8 месяцев раньше срока на Турксибе в 12 часов дня быз забит «серебряный» костыль на месте стыковки рельсов — станции Огыз-Корган (переименованной по этому поводу в Айна-Булак — «Зеркальный Ручей»). После митинга по случаю открытия, на станции Айна-Булак был заложен памятник Ленину. 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2846F673" w14:textId="77777777" w:rsidR="00847DA8" w:rsidRPr="00507A31" w:rsidRDefault="00847DA8" w:rsidP="00507A31">
      <w:pPr>
        <w:jc w:val="both"/>
        <w:rPr>
          <w:color w:val="0070C0"/>
          <w:sz w:val="16"/>
          <w:szCs w:val="16"/>
        </w:rPr>
      </w:pPr>
    </w:p>
    <w:p w14:paraId="11A711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апреля 1930 на станции Айна-Булак состоялась стыковка на Турксибе (3399,47).</w:t>
      </w:r>
    </w:p>
    <w:p w14:paraId="515463C7" w14:textId="77777777" w:rsidR="00537E5F" w:rsidRPr="00507A31" w:rsidRDefault="00537E5F" w:rsidP="00507A31">
      <w:pPr>
        <w:autoSpaceDE w:val="0"/>
        <w:autoSpaceDN w:val="0"/>
        <w:adjustRightInd w:val="0"/>
        <w:jc w:val="both"/>
        <w:rPr>
          <w:color w:val="000000" w:themeColor="text1"/>
          <w:sz w:val="16"/>
          <w:szCs w:val="16"/>
        </w:rPr>
      </w:pPr>
    </w:p>
    <w:p w14:paraId="2D84B9B0" w14:textId="77777777" w:rsidR="007C5323"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7D45A18" w14:textId="77777777" w:rsidR="007C5323" w:rsidRPr="00507A31" w:rsidRDefault="007C5323" w:rsidP="00507A31">
      <w:pPr>
        <w:autoSpaceDE w:val="0"/>
        <w:autoSpaceDN w:val="0"/>
        <w:adjustRightInd w:val="0"/>
        <w:jc w:val="both"/>
        <w:rPr>
          <w:iCs/>
          <w:color w:val="000000" w:themeColor="text1"/>
          <w:sz w:val="16"/>
          <w:szCs w:val="16"/>
        </w:rPr>
      </w:pPr>
    </w:p>
    <w:p w14:paraId="08913DAA" w14:textId="77777777" w:rsidR="007C5323" w:rsidRPr="00507A31" w:rsidRDefault="007C5323" w:rsidP="00507A31">
      <w:pPr>
        <w:jc w:val="both"/>
        <w:rPr>
          <w:color w:val="000000" w:themeColor="text1"/>
          <w:sz w:val="16"/>
          <w:szCs w:val="16"/>
        </w:rPr>
      </w:pPr>
      <w:r w:rsidRPr="00507A31">
        <w:rPr>
          <w:color w:val="000000" w:themeColor="text1"/>
          <w:sz w:val="16"/>
          <w:szCs w:val="16"/>
        </w:rPr>
        <w:t>28 апреля в 1930 году на аэродроме Спилве (Рига) совершил первый полет второй самолет-моноплан в Латвии «С-3» «Kurzemes hercogiene» («YL-AAB»). «С-3» «Kurzemes hercogiene» - самолет для дальнего перелета, сконструированный и построенный культовой фигурой латвийской авиации, летчиком-энтузиастом Хербертсом Цукурсом. Двигатель «Рено» - 130 л.с. Самолет построен бывшим летчиком морской авиации Цукурсом за три года. 28 августа 1933 - 25 мая 1934 года совершил уникальный для латвийской авиации перелет с промежуточными посадками. Из Риги до Данцига, до Берлина и Ле Бурже, затем через Пуатье, Бордо и Перпиньян в Испанию. Там - Барселона - Валенсия - Малага, и первый латвийский перелет в Африку - Танжер - Касабланка - Дакар - Батерст. Последний пункт был символичным - так как Гамбия являлась в 16 веке колонией Курляндского Герцогства, и в 1920-1930-е годы в Латвии был распространен "колониальный дух". Первый этап перелета занял 68 дней (до 3 ноября), было покрыто 7600 км. На обратном пути Цуцурс установил на самолете новый мотор. После триумфальной встречи в Латвии Цукурс был повышен до капитана и служил в ВВС Латвии, попутно продолжая перелеты. К сожалению, во Второй мировой войне он стал руководителем зондеркоманды, осуществлявшей массовые экзекуции евреев. Бежал за океан, но в 1961 был убит в Монтевидео агентами "Моссада" (15113).</w:t>
      </w:r>
    </w:p>
    <w:p w14:paraId="46F7484C" w14:textId="77777777" w:rsidR="007C5323" w:rsidRPr="00507A31" w:rsidRDefault="007C5323" w:rsidP="00507A31">
      <w:pPr>
        <w:jc w:val="both"/>
        <w:rPr>
          <w:color w:val="000000" w:themeColor="text1"/>
          <w:sz w:val="16"/>
          <w:szCs w:val="16"/>
        </w:rPr>
      </w:pPr>
    </w:p>
    <w:p w14:paraId="179D6587" w14:textId="77777777" w:rsidR="007C5323" w:rsidRPr="00507A31" w:rsidRDefault="007C5323" w:rsidP="00507A31">
      <w:pPr>
        <w:jc w:val="both"/>
        <w:rPr>
          <w:color w:val="000000" w:themeColor="text1"/>
          <w:sz w:val="16"/>
          <w:szCs w:val="16"/>
        </w:rPr>
      </w:pPr>
      <w:r w:rsidRPr="00507A31">
        <w:rPr>
          <w:color w:val="000000" w:themeColor="text1"/>
          <w:sz w:val="16"/>
          <w:szCs w:val="16"/>
        </w:rPr>
        <w:t>28 апреля в 1930 году впервые в истории США уровень эмиграции превышает показатели иммиграции. Это объясняется экономическим кризисом и строгими ограничениями на въезд в страну (15113).</w:t>
      </w:r>
    </w:p>
    <w:p w14:paraId="0C4C9E53" w14:textId="77777777" w:rsidR="007C5323" w:rsidRPr="00507A31" w:rsidRDefault="007C5323" w:rsidP="00507A31">
      <w:pPr>
        <w:jc w:val="both"/>
        <w:rPr>
          <w:color w:val="000000" w:themeColor="text1"/>
          <w:sz w:val="16"/>
          <w:szCs w:val="16"/>
        </w:rPr>
      </w:pPr>
    </w:p>
    <w:p w14:paraId="7262850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8975F0C" w14:textId="77777777" w:rsidR="00537E5F" w:rsidRPr="00507A31" w:rsidRDefault="00537E5F" w:rsidP="00507A31">
      <w:pPr>
        <w:autoSpaceDE w:val="0"/>
        <w:autoSpaceDN w:val="0"/>
        <w:adjustRightInd w:val="0"/>
        <w:jc w:val="both"/>
        <w:rPr>
          <w:iCs/>
          <w:color w:val="000000" w:themeColor="text1"/>
          <w:sz w:val="16"/>
          <w:szCs w:val="16"/>
        </w:rPr>
      </w:pPr>
    </w:p>
    <w:p w14:paraId="72263E0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29 апреля 1930 г. был выполнен первый полет истребителя И-5 Д.П.Григоровича и Н.Н.Поликарпова постройки ЦКБ-39 НКВД (6395).</w:t>
      </w:r>
    </w:p>
    <w:p w14:paraId="4026773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EB98A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апреля 1930 был выполнен первый полет на И-5 (летчик Б.Л.Бухгольц (67,56). Машина была на вооружении 9 лет и сделали 803. Второй экземпляр получил имя К.Е.Ворошилова - к предстоящему показу правительству. Третий - с кольцом Тауненда - был поднят 1 июля к XVI съезду ВКП(б) (26 июня - 13 июля - 226,407) и получил это имя (66,153).</w:t>
      </w:r>
    </w:p>
    <w:p w14:paraId="4F03F9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поводу сдачи И-5 был огромный банкет прямо в цехе 7 - от К.Е.Ворошилова. Выпускать пьяных за территорию - запретили. Рабочие пили неделю, затем заначили - и снова месяц (135,40).</w:t>
      </w:r>
    </w:p>
    <w:p w14:paraId="669956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другой стороны, не ясно, был ли на самом деле этот показ в 1930 или это речь шла о том, что состоялся 21 мая 1931</w:t>
      </w:r>
    </w:p>
    <w:p w14:paraId="23A83536" w14:textId="77777777" w:rsidR="00537E5F" w:rsidRPr="00507A31" w:rsidRDefault="00537E5F" w:rsidP="00507A31">
      <w:pPr>
        <w:autoSpaceDE w:val="0"/>
        <w:autoSpaceDN w:val="0"/>
        <w:adjustRightInd w:val="0"/>
        <w:jc w:val="both"/>
        <w:rPr>
          <w:color w:val="000000" w:themeColor="text1"/>
          <w:sz w:val="16"/>
          <w:szCs w:val="16"/>
        </w:rPr>
      </w:pPr>
    </w:p>
    <w:p w14:paraId="070E29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апреля 1930 г. летчик-испытатель Бенедикт Бухгольц совершил на ВТ-11 первый полет. Самолет оказался удачным (6593).</w:t>
      </w:r>
    </w:p>
    <w:p w14:paraId="454E1436" w14:textId="77777777" w:rsidR="00537E5F" w:rsidRPr="00507A31" w:rsidRDefault="00537E5F" w:rsidP="00507A31">
      <w:pPr>
        <w:autoSpaceDE w:val="0"/>
        <w:autoSpaceDN w:val="0"/>
        <w:adjustRightInd w:val="0"/>
        <w:jc w:val="both"/>
        <w:rPr>
          <w:color w:val="000000" w:themeColor="text1"/>
          <w:sz w:val="16"/>
          <w:szCs w:val="16"/>
        </w:rPr>
      </w:pPr>
    </w:p>
    <w:p w14:paraId="5F6A41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 апреля 1930 г. летчик Б.Л.Бухгольц совершил на истребителе И-5 первый полет. Вскоре начались испытания второго экземпляра са</w:t>
      </w:r>
      <w:r w:rsidRPr="00507A31">
        <w:rPr>
          <w:color w:val="000000" w:themeColor="text1"/>
          <w:sz w:val="16"/>
          <w:szCs w:val="16"/>
        </w:rPr>
        <w:softHyphen/>
        <w:t>молета, а затем и третьего, с отечественными высот</w:t>
      </w:r>
      <w:r w:rsidRPr="00507A31">
        <w:rPr>
          <w:color w:val="000000" w:themeColor="text1"/>
          <w:sz w:val="16"/>
          <w:szCs w:val="16"/>
        </w:rPr>
        <w:softHyphen/>
        <w:t>ными моторами М-15 (2М-15) конструкции А.А.Бес</w:t>
      </w:r>
      <w:r w:rsidRPr="00507A31">
        <w:rPr>
          <w:color w:val="000000" w:themeColor="text1"/>
          <w:sz w:val="16"/>
          <w:szCs w:val="16"/>
        </w:rPr>
        <w:softHyphen/>
        <w:t>сонова. Второй экземпляр имел название «Подарок XVI Партсъезду» (10667).</w:t>
      </w:r>
    </w:p>
    <w:p w14:paraId="0A57C6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Летные характеристики первых вариантов истребителя И-5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72"/>
        <w:gridCol w:w="1488"/>
        <w:gridCol w:w="2054"/>
        <w:gridCol w:w="1594"/>
        <w:gridCol w:w="2016"/>
      </w:tblGrid>
      <w:tr w:rsidR="00E371BA" w:rsidRPr="00507A31" w14:paraId="3F5264EE" w14:textId="77777777">
        <w:trPr>
          <w:trHeight w:val="269"/>
        </w:trPr>
        <w:tc>
          <w:tcPr>
            <w:tcW w:w="3072" w:type="dxa"/>
            <w:tcBorders>
              <w:top w:val="single" w:sz="12" w:space="0" w:color="auto"/>
            </w:tcBorders>
          </w:tcPr>
          <w:p w14:paraId="647041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488" w:type="dxa"/>
            <w:tcBorders>
              <w:top w:val="single" w:sz="12" w:space="0" w:color="auto"/>
            </w:tcBorders>
          </w:tcPr>
          <w:p w14:paraId="418C2E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Опытный с Юп VII</w:t>
            </w:r>
          </w:p>
        </w:tc>
        <w:tc>
          <w:tcPr>
            <w:tcW w:w="2054" w:type="dxa"/>
            <w:tcBorders>
              <w:top w:val="single" w:sz="12" w:space="0" w:color="auto"/>
            </w:tcBorders>
          </w:tcPr>
          <w:p w14:paraId="39F0F2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Опытный с Юп.УI</w:t>
            </w:r>
          </w:p>
        </w:tc>
        <w:tc>
          <w:tcPr>
            <w:tcW w:w="1594" w:type="dxa"/>
            <w:tcBorders>
              <w:top w:val="single" w:sz="12" w:space="0" w:color="auto"/>
            </w:tcBorders>
          </w:tcPr>
          <w:p w14:paraId="6B94A9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Опытный с М- 15</w:t>
            </w:r>
          </w:p>
        </w:tc>
        <w:tc>
          <w:tcPr>
            <w:tcW w:w="2016" w:type="dxa"/>
            <w:tcBorders>
              <w:top w:val="single" w:sz="12" w:space="0" w:color="auto"/>
            </w:tcBorders>
          </w:tcPr>
          <w:p w14:paraId="4138E9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Головной серийный</w:t>
            </w:r>
          </w:p>
        </w:tc>
      </w:tr>
      <w:tr w:rsidR="00E371BA" w:rsidRPr="00507A31" w14:paraId="5E2214FC" w14:textId="77777777">
        <w:trPr>
          <w:trHeight w:val="269"/>
        </w:trPr>
        <w:tc>
          <w:tcPr>
            <w:tcW w:w="3072" w:type="dxa"/>
          </w:tcPr>
          <w:p w14:paraId="56F6CE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Полетный вес, кг</w:t>
            </w:r>
          </w:p>
        </w:tc>
        <w:tc>
          <w:tcPr>
            <w:tcW w:w="1488" w:type="dxa"/>
          </w:tcPr>
          <w:p w14:paraId="556D83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1331</w:t>
            </w:r>
          </w:p>
        </w:tc>
        <w:tc>
          <w:tcPr>
            <w:tcW w:w="2054" w:type="dxa"/>
          </w:tcPr>
          <w:p w14:paraId="656685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1262</w:t>
            </w:r>
          </w:p>
        </w:tc>
        <w:tc>
          <w:tcPr>
            <w:tcW w:w="1594" w:type="dxa"/>
          </w:tcPr>
          <w:p w14:paraId="292F73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1342</w:t>
            </w:r>
          </w:p>
        </w:tc>
        <w:tc>
          <w:tcPr>
            <w:tcW w:w="2016" w:type="dxa"/>
          </w:tcPr>
          <w:p w14:paraId="1C78B7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1335,5</w:t>
            </w:r>
          </w:p>
        </w:tc>
      </w:tr>
      <w:tr w:rsidR="00E371BA" w:rsidRPr="00507A31" w14:paraId="0D97DC9B" w14:textId="77777777">
        <w:trPr>
          <w:trHeight w:val="470"/>
        </w:trPr>
        <w:tc>
          <w:tcPr>
            <w:tcW w:w="3072" w:type="dxa"/>
          </w:tcPr>
          <w:p w14:paraId="5C8BE4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Макс, скорость на высоте, м - 0</w:t>
            </w:r>
          </w:p>
        </w:tc>
        <w:tc>
          <w:tcPr>
            <w:tcW w:w="1488" w:type="dxa"/>
          </w:tcPr>
          <w:p w14:paraId="7DC83F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238</w:t>
            </w:r>
          </w:p>
        </w:tc>
        <w:tc>
          <w:tcPr>
            <w:tcW w:w="2054" w:type="dxa"/>
          </w:tcPr>
          <w:p w14:paraId="063290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268</w:t>
            </w:r>
          </w:p>
        </w:tc>
        <w:tc>
          <w:tcPr>
            <w:tcW w:w="1594" w:type="dxa"/>
          </w:tcPr>
          <w:p w14:paraId="5CCFD2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245</w:t>
            </w:r>
          </w:p>
        </w:tc>
        <w:tc>
          <w:tcPr>
            <w:tcW w:w="2016" w:type="dxa"/>
          </w:tcPr>
          <w:p w14:paraId="2BDE63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262</w:t>
            </w:r>
          </w:p>
        </w:tc>
      </w:tr>
      <w:tr w:rsidR="00E371BA" w:rsidRPr="00507A31" w14:paraId="3C658122" w14:textId="77777777">
        <w:trPr>
          <w:trHeight w:val="240"/>
        </w:trPr>
        <w:tc>
          <w:tcPr>
            <w:tcW w:w="3072" w:type="dxa"/>
          </w:tcPr>
          <w:p w14:paraId="15F6E1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- 3000</w:t>
            </w:r>
          </w:p>
        </w:tc>
        <w:tc>
          <w:tcPr>
            <w:tcW w:w="1488" w:type="dxa"/>
          </w:tcPr>
          <w:p w14:paraId="3B3B98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279</w:t>
            </w:r>
          </w:p>
        </w:tc>
        <w:tc>
          <w:tcPr>
            <w:tcW w:w="2054" w:type="dxa"/>
          </w:tcPr>
          <w:p w14:paraId="78475F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258</w:t>
            </w:r>
          </w:p>
        </w:tc>
        <w:tc>
          <w:tcPr>
            <w:tcW w:w="1594" w:type="dxa"/>
          </w:tcPr>
          <w:p w14:paraId="651C69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256</w:t>
            </w:r>
          </w:p>
        </w:tc>
        <w:tc>
          <w:tcPr>
            <w:tcW w:w="2016" w:type="dxa"/>
          </w:tcPr>
          <w:p w14:paraId="0E1450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253</w:t>
            </w:r>
          </w:p>
        </w:tc>
      </w:tr>
      <w:tr w:rsidR="00E371BA" w:rsidRPr="00507A31" w14:paraId="7667EFA2" w14:textId="77777777">
        <w:trPr>
          <w:trHeight w:val="230"/>
        </w:trPr>
        <w:tc>
          <w:tcPr>
            <w:tcW w:w="3072" w:type="dxa"/>
          </w:tcPr>
          <w:p w14:paraId="1D17D6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- 5000</w:t>
            </w:r>
          </w:p>
        </w:tc>
        <w:tc>
          <w:tcPr>
            <w:tcW w:w="1488" w:type="dxa"/>
          </w:tcPr>
          <w:p w14:paraId="369F4F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273</w:t>
            </w:r>
          </w:p>
        </w:tc>
        <w:tc>
          <w:tcPr>
            <w:tcW w:w="2054" w:type="dxa"/>
          </w:tcPr>
          <w:p w14:paraId="18A76B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252</w:t>
            </w:r>
          </w:p>
        </w:tc>
        <w:tc>
          <w:tcPr>
            <w:tcW w:w="1594" w:type="dxa"/>
          </w:tcPr>
          <w:p w14:paraId="69E624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w:t>
            </w:r>
          </w:p>
        </w:tc>
        <w:tc>
          <w:tcPr>
            <w:tcW w:w="2016" w:type="dxa"/>
          </w:tcPr>
          <w:p w14:paraId="3D18AB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245</w:t>
            </w:r>
          </w:p>
        </w:tc>
      </w:tr>
      <w:tr w:rsidR="00E371BA" w:rsidRPr="00507A31" w14:paraId="520F38CC" w14:textId="77777777">
        <w:trPr>
          <w:trHeight w:val="490"/>
        </w:trPr>
        <w:tc>
          <w:tcPr>
            <w:tcW w:w="3072" w:type="dxa"/>
          </w:tcPr>
          <w:p w14:paraId="0C6124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Время набора высоты 5000 м, мин Потолок, м</w:t>
            </w:r>
          </w:p>
        </w:tc>
        <w:tc>
          <w:tcPr>
            <w:tcW w:w="1488" w:type="dxa"/>
          </w:tcPr>
          <w:p w14:paraId="05B28B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9,26 8700</w:t>
            </w:r>
          </w:p>
        </w:tc>
        <w:tc>
          <w:tcPr>
            <w:tcW w:w="2054" w:type="dxa"/>
          </w:tcPr>
          <w:p w14:paraId="2D9EA5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8,98 8220</w:t>
            </w:r>
          </w:p>
        </w:tc>
        <w:tc>
          <w:tcPr>
            <w:tcW w:w="1594" w:type="dxa"/>
          </w:tcPr>
          <w:p w14:paraId="3A3012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10,7 8180</w:t>
            </w:r>
          </w:p>
        </w:tc>
        <w:tc>
          <w:tcPr>
            <w:tcW w:w="2016" w:type="dxa"/>
          </w:tcPr>
          <w:p w14:paraId="615341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9,6-9,8 8120</w:t>
            </w:r>
          </w:p>
        </w:tc>
      </w:tr>
      <w:tr w:rsidR="00E371BA" w:rsidRPr="00507A31" w14:paraId="61BE0AC3" w14:textId="77777777">
        <w:trPr>
          <w:trHeight w:val="298"/>
        </w:trPr>
        <w:tc>
          <w:tcPr>
            <w:tcW w:w="3072" w:type="dxa"/>
            <w:tcBorders>
              <w:bottom w:val="single" w:sz="12" w:space="0" w:color="auto"/>
            </w:tcBorders>
          </w:tcPr>
          <w:p w14:paraId="2D02CB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Вираж на высоте 1000 м, сек</w:t>
            </w:r>
          </w:p>
        </w:tc>
        <w:tc>
          <w:tcPr>
            <w:tcW w:w="1488" w:type="dxa"/>
            <w:tcBorders>
              <w:bottom w:val="single" w:sz="12" w:space="0" w:color="auto"/>
            </w:tcBorders>
          </w:tcPr>
          <w:p w14:paraId="5F3AE6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9,5-9,9</w:t>
            </w:r>
          </w:p>
        </w:tc>
        <w:tc>
          <w:tcPr>
            <w:tcW w:w="2054" w:type="dxa"/>
            <w:tcBorders>
              <w:bottom w:val="single" w:sz="12" w:space="0" w:color="auto"/>
            </w:tcBorders>
          </w:tcPr>
          <w:p w14:paraId="71A5ED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9,1-9,3</w:t>
            </w:r>
          </w:p>
        </w:tc>
        <w:tc>
          <w:tcPr>
            <w:tcW w:w="1594" w:type="dxa"/>
            <w:tcBorders>
              <w:bottom w:val="single" w:sz="12" w:space="0" w:color="auto"/>
            </w:tcBorders>
          </w:tcPr>
          <w:p w14:paraId="05844B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10,6-10,8</w:t>
            </w:r>
          </w:p>
        </w:tc>
        <w:tc>
          <w:tcPr>
            <w:tcW w:w="2016" w:type="dxa"/>
            <w:tcBorders>
              <w:bottom w:val="single" w:sz="12" w:space="0" w:color="auto"/>
            </w:tcBorders>
          </w:tcPr>
          <w:p w14:paraId="3F3EA7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9,1-9,8</w:t>
            </w:r>
          </w:p>
        </w:tc>
      </w:tr>
    </w:tbl>
    <w:p w14:paraId="52AFD3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(10667).</w:t>
      </w:r>
    </w:p>
    <w:p w14:paraId="3E5F1315" w14:textId="77777777" w:rsidR="00537E5F" w:rsidRPr="00507A31" w:rsidRDefault="00537E5F" w:rsidP="00507A31">
      <w:pPr>
        <w:autoSpaceDE w:val="0"/>
        <w:autoSpaceDN w:val="0"/>
        <w:adjustRightInd w:val="0"/>
        <w:jc w:val="both"/>
        <w:rPr>
          <w:color w:val="000000" w:themeColor="text1"/>
          <w:sz w:val="16"/>
          <w:szCs w:val="16"/>
        </w:rPr>
      </w:pPr>
    </w:p>
    <w:p w14:paraId="606BF2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апреля 1930 г. летчик-испытатель Бенедикт Бухгольц совершил на ВТ-11 первый полет. Летные характеристики самолета были обнадеживающими, поэтому еще до заверше</w:t>
      </w:r>
      <w:r w:rsidRPr="00507A31">
        <w:rPr>
          <w:color w:val="000000" w:themeColor="text1"/>
          <w:sz w:val="16"/>
          <w:szCs w:val="16"/>
        </w:rPr>
        <w:softHyphen/>
        <w:t>ния государственных испытаний под обо</w:t>
      </w:r>
      <w:r w:rsidRPr="00507A31">
        <w:rPr>
          <w:color w:val="000000" w:themeColor="text1"/>
          <w:sz w:val="16"/>
          <w:szCs w:val="16"/>
        </w:rPr>
        <w:softHyphen/>
        <w:t>значением И-5 его решили запустить в серий</w:t>
      </w:r>
      <w:r w:rsidRPr="00507A31">
        <w:rPr>
          <w:color w:val="000000" w:themeColor="text1"/>
          <w:sz w:val="16"/>
          <w:szCs w:val="16"/>
        </w:rPr>
        <w:softHyphen/>
        <w:t>ное производство. Успешный дебют «тюрем</w:t>
      </w:r>
      <w:r w:rsidRPr="00507A31">
        <w:rPr>
          <w:color w:val="000000" w:themeColor="text1"/>
          <w:sz w:val="16"/>
          <w:szCs w:val="16"/>
        </w:rPr>
        <w:softHyphen/>
        <w:t>ного» истребителя привел к облегчению ре</w:t>
      </w:r>
      <w:r w:rsidRPr="00507A31">
        <w:rPr>
          <w:color w:val="000000" w:themeColor="text1"/>
          <w:sz w:val="16"/>
          <w:szCs w:val="16"/>
        </w:rPr>
        <w:softHyphen/>
        <w:t xml:space="preserve">жима конструкторов-заключенных, а через год, начиная с весны 1931 г. их постепенно освободили из-под стражи. Однако, прежде чем новый истребитель пошел в массовую серию, были построены и испытаны еще два опытных экземпляра. Один из них, который построили на заводе №39, именовался как И-5 «Клим Ворошилов». Самолет оснастили двигателем «Юпитер» </w:t>
      </w:r>
      <w:r w:rsidRPr="00507A31">
        <w:rPr>
          <w:color w:val="000000" w:themeColor="text1"/>
          <w:sz w:val="16"/>
          <w:szCs w:val="16"/>
          <w:lang w:val="en-US"/>
        </w:rPr>
        <w:t>V</w:t>
      </w:r>
      <w:r w:rsidRPr="00507A31">
        <w:rPr>
          <w:color w:val="000000" w:themeColor="text1"/>
          <w:sz w:val="16"/>
          <w:szCs w:val="16"/>
        </w:rPr>
        <w:t>1 с индивидуальными обтекателями головок ци</w:t>
      </w:r>
      <w:r w:rsidRPr="00507A31">
        <w:rPr>
          <w:color w:val="000000" w:themeColor="text1"/>
          <w:sz w:val="16"/>
          <w:szCs w:val="16"/>
        </w:rPr>
        <w:softHyphen/>
        <w:t>линдров двигателя. Его испытания в НИИ ВВС велись в период 13 июля - 13 августа 1930 г. В отчете по испытаниям,утвержденным началь</w:t>
      </w:r>
      <w:r w:rsidRPr="00507A31">
        <w:rPr>
          <w:color w:val="000000" w:themeColor="text1"/>
          <w:sz w:val="16"/>
          <w:szCs w:val="16"/>
        </w:rPr>
        <w:softHyphen/>
        <w:t>ником 2-й (истребительной) бригады НИИ ВВС И.Ф. Петровым отмечалось, что самолет послу</w:t>
      </w:r>
      <w:r w:rsidRPr="00507A31">
        <w:rPr>
          <w:color w:val="000000" w:themeColor="text1"/>
          <w:sz w:val="16"/>
          <w:szCs w:val="16"/>
        </w:rPr>
        <w:softHyphen/>
        <w:t>шен в управлении на всем диапазоне скоро</w:t>
      </w:r>
      <w:r w:rsidRPr="00507A31">
        <w:rPr>
          <w:color w:val="000000" w:themeColor="text1"/>
          <w:sz w:val="16"/>
          <w:szCs w:val="16"/>
        </w:rPr>
        <w:softHyphen/>
        <w:t>стей, отсутствует инертность, в воздухе устой</w:t>
      </w:r>
      <w:r w:rsidRPr="00507A31">
        <w:rPr>
          <w:color w:val="000000" w:themeColor="text1"/>
          <w:sz w:val="16"/>
          <w:szCs w:val="16"/>
        </w:rPr>
        <w:softHyphen/>
        <w:t>чиво держится во всех положениях. Проведенные воздушные бои показали значи</w:t>
      </w:r>
      <w:r w:rsidRPr="00507A31">
        <w:rPr>
          <w:color w:val="000000" w:themeColor="text1"/>
          <w:sz w:val="16"/>
          <w:szCs w:val="16"/>
        </w:rPr>
        <w:softHyphen/>
        <w:t>тельное его преимущество перед истребителя</w:t>
      </w:r>
      <w:r w:rsidRPr="00507A31">
        <w:rPr>
          <w:color w:val="000000" w:themeColor="text1"/>
          <w:sz w:val="16"/>
          <w:szCs w:val="16"/>
        </w:rPr>
        <w:softHyphen/>
        <w:t>ми И-3 и И-4, и незначительное преимущество по сравнению с французским истребителем Спад-51 (</w:t>
      </w:r>
      <w:r w:rsidRPr="00507A31">
        <w:rPr>
          <w:color w:val="000000" w:themeColor="text1"/>
          <w:sz w:val="16"/>
          <w:szCs w:val="16"/>
          <w:lang w:val="en-US"/>
        </w:rPr>
        <w:t>SPAD</w:t>
      </w:r>
      <w:r w:rsidRPr="00507A31">
        <w:rPr>
          <w:color w:val="000000" w:themeColor="text1"/>
          <w:sz w:val="16"/>
          <w:szCs w:val="16"/>
        </w:rPr>
        <w:t xml:space="preserve"> 51С1). Дополнительно в отно</w:t>
      </w:r>
      <w:r w:rsidRPr="00507A31">
        <w:rPr>
          <w:color w:val="000000" w:themeColor="text1"/>
          <w:sz w:val="16"/>
          <w:szCs w:val="16"/>
        </w:rPr>
        <w:softHyphen/>
        <w:t>шении И-5 указывалось, что он не требует больших аэродромов и не сложен в производ</w:t>
      </w:r>
      <w:r w:rsidRPr="00507A31">
        <w:rPr>
          <w:color w:val="000000" w:themeColor="text1"/>
          <w:sz w:val="16"/>
          <w:szCs w:val="16"/>
        </w:rPr>
        <w:softHyphen/>
        <w:t>стве. Третий опытный образец истребителя, из</w:t>
      </w:r>
      <w:r w:rsidRPr="00507A31">
        <w:rPr>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507A31">
        <w:rPr>
          <w:color w:val="000000" w:themeColor="text1"/>
          <w:sz w:val="16"/>
          <w:szCs w:val="16"/>
        </w:rPr>
        <w:softHyphen/>
        <w:t xml:space="preserve">ского капота типа </w:t>
      </w:r>
      <w:r w:rsidRPr="00507A31">
        <w:rPr>
          <w:color w:val="000000" w:themeColor="text1"/>
          <w:sz w:val="16"/>
          <w:szCs w:val="16"/>
          <w:lang w:val="en-US"/>
        </w:rPr>
        <w:t>NACA</w:t>
      </w:r>
      <w:r w:rsidRPr="00507A31">
        <w:rPr>
          <w:color w:val="000000" w:themeColor="text1"/>
          <w:sz w:val="16"/>
          <w:szCs w:val="16"/>
        </w:rPr>
        <w:t>. Особыми его внешни</w:t>
      </w:r>
      <w:r w:rsidRPr="00507A31">
        <w:rPr>
          <w:color w:val="000000" w:themeColor="text1"/>
          <w:sz w:val="16"/>
          <w:szCs w:val="16"/>
        </w:rPr>
        <w:softHyphen/>
        <w:t>ми отличиями были: надпись на борту фюзе</w:t>
      </w:r>
      <w:r w:rsidRPr="00507A31">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?ояьзования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507A31">
        <w:rPr>
          <w:color w:val="000000" w:themeColor="text1"/>
          <w:sz w:val="16"/>
          <w:szCs w:val="16"/>
        </w:rPr>
        <w:softHyphen/>
        <w:t>рота (11974).</w:t>
      </w:r>
    </w:p>
    <w:p w14:paraId="2830075A" w14:textId="77777777" w:rsidR="00537E5F" w:rsidRPr="00507A31" w:rsidRDefault="00537E5F" w:rsidP="00507A31">
      <w:pPr>
        <w:autoSpaceDE w:val="0"/>
        <w:autoSpaceDN w:val="0"/>
        <w:adjustRightInd w:val="0"/>
        <w:jc w:val="both"/>
        <w:rPr>
          <w:color w:val="000000" w:themeColor="text1"/>
          <w:sz w:val="16"/>
          <w:szCs w:val="16"/>
        </w:rPr>
      </w:pPr>
    </w:p>
    <w:p w14:paraId="5596CC41" w14:textId="77777777" w:rsidR="002B17E4" w:rsidRPr="00507A31" w:rsidRDefault="002B17E4" w:rsidP="00507A31">
      <w:pPr>
        <w:jc w:val="both"/>
        <w:rPr>
          <w:color w:val="000000" w:themeColor="text1"/>
          <w:sz w:val="16"/>
          <w:szCs w:val="16"/>
        </w:rPr>
      </w:pPr>
      <w:r w:rsidRPr="00507A31">
        <w:rPr>
          <w:color w:val="000000" w:themeColor="text1"/>
          <w:sz w:val="16"/>
          <w:szCs w:val="16"/>
        </w:rPr>
        <w:t>29 апреля 1930 г. летчик-испытатель Бе</w:t>
      </w:r>
      <w:r w:rsidRPr="00507A31">
        <w:rPr>
          <w:color w:val="000000" w:themeColor="text1"/>
          <w:sz w:val="16"/>
          <w:szCs w:val="16"/>
        </w:rPr>
        <w:softHyphen/>
        <w:t>недикт Бухгольц совершил на ВТ-11 первый полет. Детные характеристики самолета бы</w:t>
      </w:r>
      <w:r w:rsidRPr="00507A31">
        <w:rPr>
          <w:color w:val="000000" w:themeColor="text1"/>
          <w:sz w:val="16"/>
          <w:szCs w:val="16"/>
        </w:rPr>
        <w:softHyphen/>
        <w:t>ли обнадеживающими, поэтому еше до за</w:t>
      </w:r>
      <w:r w:rsidRPr="00507A31">
        <w:rPr>
          <w:color w:val="000000" w:themeColor="text1"/>
          <w:sz w:val="16"/>
          <w:szCs w:val="16"/>
        </w:rPr>
        <w:softHyphen/>
        <w:t>вершения государственных испытаний под обозначением И-5 его решили запустить в серийное производство. Успешный дебют «тюремного» истребителя привел к облегче</w:t>
      </w:r>
      <w:r w:rsidRPr="00507A31">
        <w:rPr>
          <w:color w:val="000000" w:themeColor="text1"/>
          <w:sz w:val="16"/>
          <w:szCs w:val="16"/>
        </w:rPr>
        <w:softHyphen/>
        <w:t>нию режима конструкторов-заключенных, а через год, начиная с весны 1931 года, их по</w:t>
      </w:r>
      <w:r w:rsidRPr="00507A31">
        <w:rPr>
          <w:color w:val="000000" w:themeColor="text1"/>
          <w:sz w:val="16"/>
          <w:szCs w:val="16"/>
        </w:rPr>
        <w:softHyphen/>
        <w:t>степенно освободили из-под стражи.</w:t>
      </w:r>
    </w:p>
    <w:p w14:paraId="1526BB2C" w14:textId="77777777" w:rsidR="002B17E4" w:rsidRPr="00507A31" w:rsidRDefault="002B17E4" w:rsidP="00507A31">
      <w:pPr>
        <w:jc w:val="both"/>
        <w:rPr>
          <w:color w:val="000000" w:themeColor="text1"/>
          <w:sz w:val="16"/>
          <w:szCs w:val="16"/>
        </w:rPr>
      </w:pPr>
      <w:r w:rsidRPr="00507A31">
        <w:rPr>
          <w:color w:val="000000" w:themeColor="text1"/>
          <w:sz w:val="16"/>
          <w:szCs w:val="16"/>
        </w:rPr>
        <w:t>Однако прежде чем новый истребитель по</w:t>
      </w:r>
      <w:r w:rsidRPr="00507A31">
        <w:rPr>
          <w:color w:val="000000" w:themeColor="text1"/>
          <w:sz w:val="16"/>
          <w:szCs w:val="16"/>
        </w:rPr>
        <w:softHyphen/>
        <w:t>шел в массовую серию, на авиазаводе №39 были построены и испытаны еще два опыт</w:t>
      </w:r>
      <w:r w:rsidRPr="00507A31">
        <w:rPr>
          <w:color w:val="000000" w:themeColor="text1"/>
          <w:sz w:val="16"/>
          <w:szCs w:val="16"/>
        </w:rPr>
        <w:softHyphen/>
        <w:t>ных экземпляра.</w:t>
      </w:r>
    </w:p>
    <w:p w14:paraId="09E74D7F" w14:textId="77777777" w:rsidR="002B17E4" w:rsidRPr="00507A31" w:rsidRDefault="002B17E4" w:rsidP="00507A31">
      <w:pPr>
        <w:jc w:val="both"/>
        <w:rPr>
          <w:color w:val="000000" w:themeColor="text1"/>
          <w:sz w:val="16"/>
          <w:szCs w:val="16"/>
        </w:rPr>
      </w:pPr>
      <w:r w:rsidRPr="00507A31">
        <w:rPr>
          <w:color w:val="000000" w:themeColor="text1"/>
          <w:sz w:val="16"/>
          <w:szCs w:val="16"/>
        </w:rPr>
        <w:t>Один из них, который называли головным серийным образцом, стал более известен как И-5 «Клим Ворошилов». В основном он повторял ВТ-11, был оснащен таким же «Юпитер»У1, заключенным в оригинальный «фигурный» капоте индивидуальными обте</w:t>
      </w:r>
      <w:r w:rsidRPr="00507A31">
        <w:rPr>
          <w:color w:val="000000" w:themeColor="text1"/>
          <w:sz w:val="16"/>
          <w:szCs w:val="16"/>
        </w:rPr>
        <w:softHyphen/>
        <w:t>кателями головок цилиндров. Его испытания в НИИ ВВС велись в период 13 июля - 13 ав</w:t>
      </w:r>
      <w:r w:rsidRPr="00507A31">
        <w:rPr>
          <w:color w:val="000000" w:themeColor="text1"/>
          <w:sz w:val="16"/>
          <w:szCs w:val="16"/>
        </w:rPr>
        <w:softHyphen/>
        <w:t>густа 1930 г. В отчете по испытаниям, утвер</w:t>
      </w:r>
      <w:r w:rsidRPr="00507A31">
        <w:rPr>
          <w:color w:val="000000" w:themeColor="text1"/>
          <w:sz w:val="16"/>
          <w:szCs w:val="16"/>
        </w:rPr>
        <w:softHyphen/>
        <w:t>жденным начальником 2-й (истребительной) бригады НИИ ВВС И.Ф. Петровым отмеча</w:t>
      </w:r>
      <w:r w:rsidRPr="00507A31">
        <w:rPr>
          <w:color w:val="000000" w:themeColor="text1"/>
          <w:sz w:val="16"/>
          <w:szCs w:val="16"/>
        </w:rPr>
        <w:softHyphen/>
        <w:t>лось, что самолет послушен в управлении на всем диапазоне скоростей, отсутствует инер</w:t>
      </w:r>
      <w:r w:rsidRPr="00507A31">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507A31">
        <w:rPr>
          <w:color w:val="000000" w:themeColor="text1"/>
          <w:sz w:val="16"/>
          <w:szCs w:val="16"/>
        </w:rPr>
        <w:softHyphen/>
        <w:t>тельное преимущество по сравнению с фран</w:t>
      </w:r>
      <w:r w:rsidRPr="00507A31">
        <w:rPr>
          <w:color w:val="000000" w:themeColor="text1"/>
          <w:sz w:val="16"/>
          <w:szCs w:val="16"/>
        </w:rPr>
        <w:softHyphen/>
        <w:t>цузским истребителем Спад-51 (5РА0 51С1). Дополнительно, в отношении И-5 указыва</w:t>
      </w:r>
      <w:r w:rsidRPr="00507A31">
        <w:rPr>
          <w:color w:val="000000" w:themeColor="text1"/>
          <w:sz w:val="16"/>
          <w:szCs w:val="16"/>
        </w:rPr>
        <w:softHyphen/>
        <w:t>лось, что он не требует больших аэродромов и не сложен в производстве .</w:t>
      </w:r>
    </w:p>
    <w:p w14:paraId="0994B1B2" w14:textId="77777777" w:rsidR="002B17E4" w:rsidRPr="00507A31" w:rsidRDefault="002B17E4" w:rsidP="00507A31">
      <w:pPr>
        <w:jc w:val="both"/>
        <w:rPr>
          <w:color w:val="000000" w:themeColor="text1"/>
          <w:sz w:val="16"/>
          <w:szCs w:val="16"/>
        </w:rPr>
      </w:pPr>
      <w:r w:rsidRPr="00507A31">
        <w:rPr>
          <w:color w:val="000000" w:themeColor="text1"/>
          <w:sz w:val="16"/>
          <w:szCs w:val="16"/>
        </w:rPr>
        <w:t>Третий И-3 “</w:t>
      </w:r>
      <w:r w:rsidRPr="00507A31">
        <w:rPr>
          <w:color w:val="000000" w:themeColor="text1"/>
          <w:sz w:val="16"/>
          <w:szCs w:val="16"/>
          <w:lang w:val="en-US"/>
        </w:rPr>
        <w:t>G</w:t>
      </w:r>
      <w:r w:rsidRPr="00507A31">
        <w:rPr>
          <w:color w:val="000000" w:themeColor="text1"/>
          <w:sz w:val="16"/>
          <w:szCs w:val="16"/>
        </w:rPr>
        <w:t>дарок съезду ВКП(б.)», начал летать во второй полови</w:t>
      </w:r>
      <w:r w:rsidRPr="00507A31">
        <w:rPr>
          <w:color w:val="000000" w:themeColor="text1"/>
          <w:sz w:val="16"/>
          <w:szCs w:val="16"/>
        </w:rPr>
        <w:softHyphen/>
        <w:t>не 1930 г. Этот самолет с двигателем М-15 конструкции Бессонова, отличался нали</w:t>
      </w:r>
      <w:r w:rsidRPr="00507A31">
        <w:rPr>
          <w:color w:val="000000" w:themeColor="text1"/>
          <w:sz w:val="16"/>
          <w:szCs w:val="16"/>
        </w:rPr>
        <w:softHyphen/>
        <w:t xml:space="preserve">чием цилиндрического капота типа </w:t>
      </w:r>
      <w:r w:rsidRPr="00507A31">
        <w:rPr>
          <w:color w:val="000000" w:themeColor="text1"/>
          <w:sz w:val="16"/>
          <w:szCs w:val="16"/>
          <w:lang w:val="en-US"/>
        </w:rPr>
        <w:t>NA</w:t>
      </w:r>
      <w:r w:rsidRPr="00507A31">
        <w:rPr>
          <w:color w:val="000000" w:themeColor="text1"/>
          <w:sz w:val="16"/>
          <w:szCs w:val="16"/>
        </w:rPr>
        <w:t>СА. Особыми его внешними отличиями были: надпись на борту фюзеляжа — «XVI съезду В.К.П. (б.)» и изогнутая стрела на руле по</w:t>
      </w:r>
      <w:r w:rsidRPr="00507A31">
        <w:rPr>
          <w:color w:val="000000" w:themeColor="text1"/>
          <w:sz w:val="16"/>
          <w:szCs w:val="16"/>
        </w:rPr>
        <w:softHyphen/>
        <w:t>ворота. Вполне вероятно, что данный экзем</w:t>
      </w:r>
      <w:r w:rsidRPr="00507A31">
        <w:rPr>
          <w:color w:val="000000" w:themeColor="text1"/>
          <w:sz w:val="16"/>
          <w:szCs w:val="16"/>
        </w:rPr>
        <w:softHyphen/>
        <w:t>пляр предполагался для личного пользова</w:t>
      </w:r>
      <w:r w:rsidRPr="00507A31">
        <w:rPr>
          <w:color w:val="000000" w:themeColor="text1"/>
          <w:sz w:val="16"/>
          <w:szCs w:val="16"/>
        </w:rPr>
        <w:softHyphen/>
        <w:t>ния командующего ВВС Московского воен</w:t>
      </w:r>
      <w:r w:rsidRPr="00507A31">
        <w:rPr>
          <w:color w:val="000000" w:themeColor="text1"/>
          <w:sz w:val="16"/>
          <w:szCs w:val="16"/>
        </w:rPr>
        <w:softHyphen/>
        <w:t>ного округа И.У. Павлова — все его именные самолеты имели на борту надпись «за В.К.П. (б.)» и изогнутую стрелу на руле поворота (12295).</w:t>
      </w:r>
    </w:p>
    <w:p w14:paraId="2871A1C1" w14:textId="77777777" w:rsidR="002B17E4" w:rsidRPr="00507A31" w:rsidRDefault="002B17E4" w:rsidP="00507A31">
      <w:pPr>
        <w:jc w:val="both"/>
        <w:rPr>
          <w:color w:val="000000" w:themeColor="text1"/>
          <w:sz w:val="16"/>
          <w:szCs w:val="16"/>
        </w:rPr>
      </w:pPr>
    </w:p>
    <w:p w14:paraId="2A572369" w14:textId="77777777" w:rsidR="00466FC0" w:rsidRPr="00507A31" w:rsidRDefault="00466FC0" w:rsidP="00507A31">
      <w:pPr>
        <w:jc w:val="both"/>
        <w:rPr>
          <w:color w:val="000000" w:themeColor="text1"/>
          <w:sz w:val="16"/>
          <w:szCs w:val="16"/>
        </w:rPr>
      </w:pPr>
      <w:r w:rsidRPr="00507A31">
        <w:rPr>
          <w:color w:val="000000" w:themeColor="text1"/>
          <w:sz w:val="16"/>
          <w:szCs w:val="16"/>
        </w:rPr>
        <w:t>29 апреля в 1930 году первый полет истребителя «И-5» Д.П.Григоровича и Н.Н.Поликарпова, Б.Л.Бухгольц. Самолет-истребитель «И-5» создавался конструкторами Григоровичем и Поликарповым и практически сразу после испытаний он был запущен в серийное производство. Всего построено 803 экз. Взлетный вес самолета 1336 кг, длина самолета 6,81 м. На самолете устанавливался двигатель "Юпитер-VI" фирмы "Бристоль" мощностью 480 л.с. Максимальная скорость самолета 286 км/ч. Экипаж состоял из 1 пилота-стрелка. Вооружение: два пулемета ПВ-1 калибром в 7,62 мм (15114).</w:t>
      </w:r>
    </w:p>
    <w:p w14:paraId="6BF632C2" w14:textId="77777777" w:rsidR="00466FC0" w:rsidRPr="00507A31" w:rsidRDefault="00466FC0" w:rsidP="00507A31">
      <w:pPr>
        <w:jc w:val="both"/>
        <w:rPr>
          <w:color w:val="000000" w:themeColor="text1"/>
          <w:sz w:val="16"/>
          <w:szCs w:val="16"/>
        </w:rPr>
      </w:pPr>
    </w:p>
    <w:p w14:paraId="5F061E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Сауке 29 апреля был и первый полет АНТ-12 (И-5) - наверное, врет (109,235).</w:t>
      </w:r>
    </w:p>
    <w:p w14:paraId="08CC4501" w14:textId="77777777" w:rsidR="00537E5F" w:rsidRPr="00507A31" w:rsidRDefault="00537E5F" w:rsidP="00507A31">
      <w:pPr>
        <w:autoSpaceDE w:val="0"/>
        <w:autoSpaceDN w:val="0"/>
        <w:adjustRightInd w:val="0"/>
        <w:jc w:val="both"/>
        <w:rPr>
          <w:color w:val="000000" w:themeColor="text1"/>
          <w:sz w:val="16"/>
          <w:szCs w:val="16"/>
        </w:rPr>
      </w:pPr>
    </w:p>
    <w:p w14:paraId="1F7FF58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AFC194A" w14:textId="77777777" w:rsidR="00537E5F" w:rsidRPr="00507A31" w:rsidRDefault="00537E5F" w:rsidP="00507A31">
      <w:pPr>
        <w:autoSpaceDE w:val="0"/>
        <w:autoSpaceDN w:val="0"/>
        <w:adjustRightInd w:val="0"/>
        <w:jc w:val="both"/>
        <w:rPr>
          <w:iCs/>
          <w:color w:val="000000" w:themeColor="text1"/>
          <w:sz w:val="16"/>
          <w:szCs w:val="16"/>
        </w:rPr>
      </w:pPr>
    </w:p>
    <w:p w14:paraId="0462D10D" w14:textId="77777777" w:rsidR="002B17E4" w:rsidRPr="00507A31" w:rsidRDefault="002B17E4" w:rsidP="00507A31">
      <w:pPr>
        <w:jc w:val="both"/>
        <w:rPr>
          <w:color w:val="000000" w:themeColor="text1"/>
          <w:sz w:val="16"/>
          <w:szCs w:val="16"/>
        </w:rPr>
      </w:pPr>
      <w:r w:rsidRPr="00507A31">
        <w:rPr>
          <w:color w:val="000000" w:themeColor="text1"/>
          <w:sz w:val="16"/>
          <w:szCs w:val="16"/>
        </w:rPr>
        <w:t>29 апреля 1930 г. — Заключение Сектора обороны Госплана СССР по отчетным данным ГВПУ о выполнении военной промышленностью промфинплана за 1928/29 г.</w:t>
      </w:r>
    </w:p>
    <w:p w14:paraId="5DFA96CB" w14:textId="77777777" w:rsidR="002B17E4" w:rsidRPr="00507A31" w:rsidRDefault="002B17E4"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7177D6FD"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Военная промышленность строит свои отчетные данные и промфинпланы по общим формам гражданской промышленности. Эти материалы представляют бухгалтерские выкладки с объяснительными записками, откуда только путем некоторых сопоставлений можно иногда извлечь отрывочные данные, отражающие мобготовность. Между тем правительственные органы прежде всего интересует выполнение промфинплана военной промышленности именно в мобилизационном разрезе. Самое же основное, с этой точки зрения, — оценка работ по наращению фактических мощностей — в отчетных материалах отсутствует, равно как и ряд других весьма важных показателей оборонной подготовки промышленности. Более того — до конца апреля Сектору обороны удалось получить только бухгалтерские отчеты за 1928/29 г. трестов, входивших в ГВПУ, и краткий сводный бухгалтерский отчет с балансом Военной промышленности за 1928/29 г., не дающих общей картины выполнения плана 1928/29 г. даже в общеэкономическом понимании.</w:t>
      </w:r>
    </w:p>
    <w:p w14:paraId="1D7FA1AC" w14:textId="77777777" w:rsidR="002B17E4" w:rsidRPr="00507A31" w:rsidRDefault="002B17E4" w:rsidP="00507A31">
      <w:pPr>
        <w:jc w:val="both"/>
        <w:rPr>
          <w:color w:val="000000" w:themeColor="text1"/>
          <w:sz w:val="16"/>
          <w:szCs w:val="16"/>
        </w:rPr>
      </w:pPr>
      <w:r w:rsidRPr="00507A31">
        <w:rPr>
          <w:color w:val="000000" w:themeColor="text1"/>
          <w:sz w:val="16"/>
          <w:szCs w:val="16"/>
        </w:rPr>
        <w:t>Производство</w:t>
      </w:r>
    </w:p>
    <w:p w14:paraId="4469FD67"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Валовая продукция по заводской себестоимости в ценах 1928/29 г. (составлено па материалам трестов)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77"/>
        <w:gridCol w:w="2848"/>
        <w:gridCol w:w="2844"/>
        <w:gridCol w:w="3553"/>
      </w:tblGrid>
      <w:tr w:rsidR="00E371BA" w:rsidRPr="00507A31" w14:paraId="421B70F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12B41EB" w14:textId="77777777" w:rsidR="002B17E4" w:rsidRPr="00507A31" w:rsidRDefault="002B17E4" w:rsidP="00507A31">
            <w:pPr>
              <w:jc w:val="both"/>
              <w:rPr>
                <w:color w:val="000000" w:themeColor="text1"/>
                <w:sz w:val="16"/>
                <w:szCs w:val="16"/>
              </w:rPr>
            </w:pPr>
            <w:r w:rsidRPr="00507A31">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CA49E" w14:textId="77777777" w:rsidR="002B17E4" w:rsidRPr="00507A31" w:rsidRDefault="002B17E4" w:rsidP="00507A31">
            <w:pPr>
              <w:jc w:val="both"/>
              <w:rPr>
                <w:color w:val="000000" w:themeColor="text1"/>
                <w:sz w:val="16"/>
                <w:szCs w:val="16"/>
              </w:rPr>
            </w:pPr>
            <w:r w:rsidRPr="00507A31">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42FD8" w14:textId="77777777" w:rsidR="002B17E4" w:rsidRPr="00507A31" w:rsidRDefault="002B17E4" w:rsidP="00507A31">
            <w:pPr>
              <w:jc w:val="both"/>
              <w:rPr>
                <w:color w:val="000000" w:themeColor="text1"/>
                <w:sz w:val="16"/>
                <w:szCs w:val="16"/>
              </w:rPr>
            </w:pPr>
            <w:r w:rsidRPr="00507A31">
              <w:rPr>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C4145" w14:textId="77777777" w:rsidR="002B17E4" w:rsidRPr="00507A31" w:rsidRDefault="002B17E4" w:rsidP="00507A31">
            <w:pPr>
              <w:jc w:val="both"/>
              <w:rPr>
                <w:color w:val="000000" w:themeColor="text1"/>
                <w:sz w:val="16"/>
                <w:szCs w:val="16"/>
              </w:rPr>
            </w:pPr>
            <w:r w:rsidRPr="00507A31">
              <w:rPr>
                <w:color w:val="000000" w:themeColor="text1"/>
                <w:sz w:val="16"/>
                <w:szCs w:val="16"/>
              </w:rPr>
              <w:t>Процент</w:t>
            </w:r>
          </w:p>
          <w:p w14:paraId="2860B8B4" w14:textId="77777777" w:rsidR="002B17E4" w:rsidRPr="00507A31" w:rsidRDefault="002B17E4" w:rsidP="00507A31">
            <w:pPr>
              <w:jc w:val="both"/>
              <w:rPr>
                <w:color w:val="000000" w:themeColor="text1"/>
                <w:sz w:val="16"/>
                <w:szCs w:val="16"/>
              </w:rPr>
            </w:pPr>
            <w:r w:rsidRPr="00507A31">
              <w:rPr>
                <w:color w:val="000000" w:themeColor="text1"/>
                <w:sz w:val="16"/>
                <w:szCs w:val="16"/>
              </w:rPr>
              <w:t>Выполнения</w:t>
            </w:r>
          </w:p>
          <w:p w14:paraId="219A938E" w14:textId="77777777" w:rsidR="002B17E4" w:rsidRPr="00507A31" w:rsidRDefault="002B17E4" w:rsidP="00507A31">
            <w:pPr>
              <w:jc w:val="both"/>
              <w:rPr>
                <w:color w:val="000000" w:themeColor="text1"/>
                <w:sz w:val="16"/>
                <w:szCs w:val="16"/>
              </w:rPr>
            </w:pPr>
            <w:r w:rsidRPr="00507A31">
              <w:rPr>
                <w:color w:val="000000" w:themeColor="text1"/>
                <w:sz w:val="16"/>
                <w:szCs w:val="16"/>
              </w:rPr>
              <w:t>плана</w:t>
            </w:r>
          </w:p>
        </w:tc>
      </w:tr>
      <w:tr w:rsidR="00E371BA" w:rsidRPr="00507A31" w14:paraId="2B17803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1C9D7C0" w14:textId="77777777" w:rsidR="002B17E4" w:rsidRPr="00507A31" w:rsidRDefault="002B17E4" w:rsidP="00507A31">
            <w:pPr>
              <w:jc w:val="both"/>
              <w:rPr>
                <w:color w:val="000000" w:themeColor="text1"/>
                <w:sz w:val="16"/>
                <w:szCs w:val="16"/>
              </w:rPr>
            </w:pPr>
            <w:r w:rsidRPr="00507A31">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6ABAE" w14:textId="77777777" w:rsidR="002B17E4" w:rsidRPr="00507A31" w:rsidRDefault="002B17E4" w:rsidP="00507A31">
            <w:pPr>
              <w:jc w:val="both"/>
              <w:rPr>
                <w:color w:val="000000" w:themeColor="text1"/>
                <w:sz w:val="16"/>
                <w:szCs w:val="16"/>
              </w:rPr>
            </w:pPr>
            <w:r w:rsidRPr="00507A31">
              <w:rPr>
                <w:color w:val="000000" w:themeColor="text1"/>
                <w:sz w:val="16"/>
                <w:szCs w:val="16"/>
              </w:rPr>
              <w:t>75 605¹*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4FE44" w14:textId="77777777" w:rsidR="002B17E4" w:rsidRPr="00507A31" w:rsidRDefault="002B17E4" w:rsidP="00507A31">
            <w:pPr>
              <w:jc w:val="both"/>
              <w:rPr>
                <w:color w:val="000000" w:themeColor="text1"/>
                <w:sz w:val="16"/>
                <w:szCs w:val="16"/>
              </w:rPr>
            </w:pPr>
            <w:r w:rsidRPr="00507A31">
              <w:rPr>
                <w:color w:val="000000" w:themeColor="text1"/>
                <w:sz w:val="16"/>
                <w:szCs w:val="16"/>
              </w:rPr>
              <w:t>81 804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B3832" w14:textId="77777777" w:rsidR="002B17E4" w:rsidRPr="00507A31" w:rsidRDefault="002B17E4" w:rsidP="00507A31">
            <w:pPr>
              <w:jc w:val="both"/>
              <w:rPr>
                <w:color w:val="000000" w:themeColor="text1"/>
                <w:sz w:val="16"/>
                <w:szCs w:val="16"/>
              </w:rPr>
            </w:pPr>
            <w:r w:rsidRPr="00507A31">
              <w:rPr>
                <w:color w:val="000000" w:themeColor="text1"/>
                <w:sz w:val="16"/>
                <w:szCs w:val="16"/>
              </w:rPr>
              <w:t>108,2</w:t>
            </w:r>
          </w:p>
        </w:tc>
      </w:tr>
      <w:tr w:rsidR="00E371BA" w:rsidRPr="00507A31" w14:paraId="1A5DE3A0"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F9DFA8C" w14:textId="77777777" w:rsidR="002B17E4" w:rsidRPr="00507A31" w:rsidRDefault="002B17E4" w:rsidP="00507A31">
            <w:pPr>
              <w:jc w:val="both"/>
              <w:rPr>
                <w:color w:val="000000" w:themeColor="text1"/>
                <w:sz w:val="16"/>
                <w:szCs w:val="16"/>
              </w:rPr>
            </w:pPr>
            <w:r w:rsidRPr="00507A31">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1946B" w14:textId="77777777" w:rsidR="002B17E4" w:rsidRPr="00507A31" w:rsidRDefault="002B17E4" w:rsidP="00507A31">
            <w:pPr>
              <w:jc w:val="both"/>
              <w:rPr>
                <w:color w:val="000000" w:themeColor="text1"/>
                <w:sz w:val="16"/>
                <w:szCs w:val="16"/>
              </w:rPr>
            </w:pPr>
            <w:r w:rsidRPr="00507A31">
              <w:rPr>
                <w:color w:val="000000" w:themeColor="text1"/>
                <w:sz w:val="16"/>
                <w:szCs w:val="16"/>
              </w:rPr>
              <w:t>82 729,1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79242" w14:textId="77777777" w:rsidR="002B17E4" w:rsidRPr="00507A31" w:rsidRDefault="002B17E4" w:rsidP="00507A31">
            <w:pPr>
              <w:jc w:val="both"/>
              <w:rPr>
                <w:color w:val="000000" w:themeColor="text1"/>
                <w:sz w:val="16"/>
                <w:szCs w:val="16"/>
              </w:rPr>
            </w:pPr>
            <w:r w:rsidRPr="00507A31">
              <w:rPr>
                <w:color w:val="000000" w:themeColor="text1"/>
                <w:sz w:val="16"/>
                <w:szCs w:val="16"/>
              </w:rPr>
              <w:t>82 868,1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2A918" w14:textId="77777777" w:rsidR="002B17E4" w:rsidRPr="00507A31" w:rsidRDefault="002B17E4" w:rsidP="00507A31">
            <w:pPr>
              <w:jc w:val="both"/>
              <w:rPr>
                <w:color w:val="000000" w:themeColor="text1"/>
                <w:sz w:val="16"/>
                <w:szCs w:val="16"/>
              </w:rPr>
            </w:pPr>
            <w:r w:rsidRPr="00507A31">
              <w:rPr>
                <w:color w:val="000000" w:themeColor="text1"/>
                <w:sz w:val="16"/>
                <w:szCs w:val="16"/>
              </w:rPr>
              <w:t>100,1</w:t>
            </w:r>
          </w:p>
        </w:tc>
      </w:tr>
      <w:tr w:rsidR="00E371BA" w:rsidRPr="00507A31" w14:paraId="0B0B9C5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F225CD" w14:textId="77777777" w:rsidR="002B17E4" w:rsidRPr="00507A31" w:rsidRDefault="002B17E4" w:rsidP="00507A31">
            <w:pPr>
              <w:jc w:val="both"/>
              <w:rPr>
                <w:color w:val="000000" w:themeColor="text1"/>
                <w:sz w:val="16"/>
                <w:szCs w:val="16"/>
              </w:rPr>
            </w:pPr>
            <w:r w:rsidRPr="00507A31">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0F78C" w14:textId="77777777" w:rsidR="002B17E4" w:rsidRPr="00507A31" w:rsidRDefault="002B17E4" w:rsidP="00507A31">
            <w:pPr>
              <w:jc w:val="both"/>
              <w:rPr>
                <w:color w:val="000000" w:themeColor="text1"/>
                <w:sz w:val="16"/>
                <w:szCs w:val="16"/>
              </w:rPr>
            </w:pPr>
            <w:r w:rsidRPr="00507A31">
              <w:rPr>
                <w:color w:val="000000" w:themeColor="text1"/>
                <w:sz w:val="16"/>
                <w:szCs w:val="16"/>
              </w:rPr>
              <w:t>60 746,4²*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59A0A" w14:textId="77777777" w:rsidR="002B17E4" w:rsidRPr="00507A31" w:rsidRDefault="002B17E4" w:rsidP="00507A31">
            <w:pPr>
              <w:jc w:val="both"/>
              <w:rPr>
                <w:color w:val="000000" w:themeColor="text1"/>
                <w:sz w:val="16"/>
                <w:szCs w:val="16"/>
              </w:rPr>
            </w:pPr>
            <w:r w:rsidRPr="00507A31">
              <w:rPr>
                <w:color w:val="000000" w:themeColor="text1"/>
                <w:sz w:val="16"/>
                <w:szCs w:val="16"/>
              </w:rPr>
              <w:t>64 893,8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345DA" w14:textId="77777777" w:rsidR="002B17E4" w:rsidRPr="00507A31" w:rsidRDefault="002B17E4" w:rsidP="00507A31">
            <w:pPr>
              <w:jc w:val="both"/>
              <w:rPr>
                <w:color w:val="000000" w:themeColor="text1"/>
                <w:sz w:val="16"/>
                <w:szCs w:val="16"/>
              </w:rPr>
            </w:pPr>
            <w:r w:rsidRPr="00507A31">
              <w:rPr>
                <w:color w:val="000000" w:themeColor="text1"/>
                <w:sz w:val="16"/>
                <w:szCs w:val="16"/>
              </w:rPr>
              <w:t>106,8</w:t>
            </w:r>
          </w:p>
        </w:tc>
      </w:tr>
      <w:tr w:rsidR="00E371BA" w:rsidRPr="00507A31" w14:paraId="1DF06B7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7791E14" w14:textId="77777777" w:rsidR="002B17E4" w:rsidRPr="00507A31" w:rsidRDefault="002B17E4" w:rsidP="00507A31">
            <w:pPr>
              <w:jc w:val="both"/>
              <w:rPr>
                <w:color w:val="000000" w:themeColor="text1"/>
                <w:sz w:val="16"/>
                <w:szCs w:val="16"/>
              </w:rPr>
            </w:pPr>
            <w:r w:rsidRPr="00507A31">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3BDC1" w14:textId="77777777" w:rsidR="002B17E4" w:rsidRPr="00507A31" w:rsidRDefault="002B17E4" w:rsidP="00507A31">
            <w:pPr>
              <w:jc w:val="both"/>
              <w:rPr>
                <w:color w:val="000000" w:themeColor="text1"/>
                <w:sz w:val="16"/>
                <w:szCs w:val="16"/>
              </w:rPr>
            </w:pPr>
            <w:r w:rsidRPr="00507A31">
              <w:rPr>
                <w:color w:val="000000" w:themeColor="text1"/>
                <w:sz w:val="16"/>
                <w:szCs w:val="16"/>
              </w:rPr>
              <w:t>47 515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382CF" w14:textId="77777777" w:rsidR="002B17E4" w:rsidRPr="00507A31" w:rsidRDefault="002B17E4" w:rsidP="00507A31">
            <w:pPr>
              <w:jc w:val="both"/>
              <w:rPr>
                <w:color w:val="000000" w:themeColor="text1"/>
                <w:sz w:val="16"/>
                <w:szCs w:val="16"/>
              </w:rPr>
            </w:pPr>
            <w:r w:rsidRPr="00507A31">
              <w:rPr>
                <w:color w:val="000000" w:themeColor="text1"/>
                <w:sz w:val="16"/>
                <w:szCs w:val="16"/>
              </w:rPr>
              <w:t>43 318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E160B" w14:textId="77777777" w:rsidR="002B17E4" w:rsidRPr="00507A31" w:rsidRDefault="002B17E4" w:rsidP="00507A31">
            <w:pPr>
              <w:jc w:val="both"/>
              <w:rPr>
                <w:color w:val="000000" w:themeColor="text1"/>
                <w:sz w:val="16"/>
                <w:szCs w:val="16"/>
              </w:rPr>
            </w:pPr>
            <w:r w:rsidRPr="00507A31">
              <w:rPr>
                <w:color w:val="000000" w:themeColor="text1"/>
                <w:sz w:val="16"/>
                <w:szCs w:val="16"/>
              </w:rPr>
              <w:t>95,3</w:t>
            </w:r>
          </w:p>
        </w:tc>
      </w:tr>
      <w:tr w:rsidR="00E371BA" w:rsidRPr="00507A31" w14:paraId="450273EA"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B580C1A" w14:textId="77777777" w:rsidR="002B17E4" w:rsidRPr="00507A31" w:rsidRDefault="002B17E4" w:rsidP="00507A31">
            <w:pPr>
              <w:jc w:val="both"/>
              <w:rPr>
                <w:color w:val="000000" w:themeColor="text1"/>
                <w:sz w:val="16"/>
                <w:szCs w:val="16"/>
              </w:rPr>
            </w:pPr>
            <w:r w:rsidRPr="00507A31">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500AF" w14:textId="77777777" w:rsidR="002B17E4" w:rsidRPr="00507A31" w:rsidRDefault="002B17E4" w:rsidP="00507A31">
            <w:pPr>
              <w:jc w:val="both"/>
              <w:rPr>
                <w:color w:val="000000" w:themeColor="text1"/>
                <w:sz w:val="16"/>
                <w:szCs w:val="16"/>
              </w:rPr>
            </w:pPr>
            <w:r w:rsidRPr="00507A31">
              <w:rPr>
                <w:color w:val="000000" w:themeColor="text1"/>
                <w:sz w:val="16"/>
                <w:szCs w:val="16"/>
              </w:rPr>
              <w:t>67 232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81F1A" w14:textId="77777777" w:rsidR="002B17E4" w:rsidRPr="00507A31" w:rsidRDefault="002B17E4" w:rsidP="00507A31">
            <w:pPr>
              <w:jc w:val="both"/>
              <w:rPr>
                <w:color w:val="000000" w:themeColor="text1"/>
                <w:sz w:val="16"/>
                <w:szCs w:val="16"/>
              </w:rPr>
            </w:pPr>
            <w:r w:rsidRPr="00507A31">
              <w:rPr>
                <w:color w:val="000000" w:themeColor="text1"/>
                <w:sz w:val="16"/>
                <w:szCs w:val="16"/>
              </w:rPr>
              <w:t>70 395,5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E0715" w14:textId="77777777" w:rsidR="002B17E4" w:rsidRPr="00507A31" w:rsidRDefault="002B17E4" w:rsidP="00507A31">
            <w:pPr>
              <w:jc w:val="both"/>
              <w:rPr>
                <w:color w:val="000000" w:themeColor="text1"/>
                <w:sz w:val="16"/>
                <w:szCs w:val="16"/>
              </w:rPr>
            </w:pPr>
            <w:r w:rsidRPr="00507A31">
              <w:rPr>
                <w:color w:val="000000" w:themeColor="text1"/>
                <w:sz w:val="16"/>
                <w:szCs w:val="16"/>
              </w:rPr>
              <w:t>110</w:t>
            </w:r>
          </w:p>
        </w:tc>
      </w:tr>
      <w:tr w:rsidR="00E371BA" w:rsidRPr="00507A31" w14:paraId="13B99B4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A25B632" w14:textId="77777777" w:rsidR="002B17E4" w:rsidRPr="00507A31" w:rsidRDefault="002B17E4" w:rsidP="00507A31">
            <w:pPr>
              <w:jc w:val="both"/>
              <w:rPr>
                <w:color w:val="000000" w:themeColor="text1"/>
                <w:sz w:val="16"/>
                <w:szCs w:val="16"/>
              </w:rPr>
            </w:pPr>
            <w:r w:rsidRPr="00507A31">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B5C00" w14:textId="77777777" w:rsidR="002B17E4" w:rsidRPr="00507A31" w:rsidRDefault="002B17E4" w:rsidP="00507A31">
            <w:pPr>
              <w:jc w:val="both"/>
              <w:rPr>
                <w:color w:val="000000" w:themeColor="text1"/>
                <w:sz w:val="16"/>
                <w:szCs w:val="16"/>
              </w:rPr>
            </w:pPr>
            <w:r w:rsidRPr="00507A31">
              <w:rPr>
                <w:color w:val="000000" w:themeColor="text1"/>
                <w:sz w:val="16"/>
                <w:szCs w:val="16"/>
              </w:rPr>
              <w:t>333 827,5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562EA" w14:textId="77777777" w:rsidR="002B17E4" w:rsidRPr="00507A31" w:rsidRDefault="002B17E4" w:rsidP="00507A31">
            <w:pPr>
              <w:jc w:val="both"/>
              <w:rPr>
                <w:color w:val="000000" w:themeColor="text1"/>
                <w:sz w:val="16"/>
                <w:szCs w:val="16"/>
              </w:rPr>
            </w:pPr>
            <w:r w:rsidRPr="00507A31">
              <w:rPr>
                <w:color w:val="000000" w:themeColor="text1"/>
                <w:sz w:val="16"/>
                <w:szCs w:val="16"/>
              </w:rPr>
              <w:t>343 279,4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06898" w14:textId="77777777" w:rsidR="002B17E4" w:rsidRPr="00507A31" w:rsidRDefault="002B17E4" w:rsidP="00507A31">
            <w:pPr>
              <w:jc w:val="both"/>
              <w:rPr>
                <w:color w:val="000000" w:themeColor="text1"/>
                <w:sz w:val="16"/>
                <w:szCs w:val="16"/>
              </w:rPr>
            </w:pPr>
            <w:r w:rsidRPr="00507A31">
              <w:rPr>
                <w:color w:val="000000" w:themeColor="text1"/>
                <w:sz w:val="16"/>
                <w:szCs w:val="16"/>
              </w:rPr>
              <w:t>102,8</w:t>
            </w:r>
          </w:p>
        </w:tc>
      </w:tr>
    </w:tbl>
    <w:p w14:paraId="52861F8C"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Отношение всей валовой продукции 1928/29 г. к 1927/28 г. выражается в 128,4%. Сектор обороны не может найти причины вышеотмеченной разницы в цифрах валовой продукции по промфинплану, предъявленному ГВПУ и по данным ОАТ и ПТТ. очевидно, это надо отнести за счет нечеткости работы ПЭО ГВПУ.</w:t>
      </w:r>
    </w:p>
    <w:p w14:paraId="7E751F43" w14:textId="77777777" w:rsidR="002B17E4" w:rsidRPr="00507A31" w:rsidRDefault="002B17E4" w:rsidP="00507A31">
      <w:pPr>
        <w:jc w:val="both"/>
        <w:rPr>
          <w:color w:val="000000" w:themeColor="text1"/>
          <w:sz w:val="16"/>
          <w:szCs w:val="16"/>
        </w:rPr>
      </w:pPr>
      <w:r w:rsidRPr="00507A31">
        <w:rPr>
          <w:color w:val="000000" w:themeColor="text1"/>
          <w:sz w:val="16"/>
          <w:szCs w:val="16"/>
        </w:rPr>
        <w:t>Товарная продукция по заводской себестоимости в ценах 1928/29 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65"/>
        <w:gridCol w:w="1931"/>
        <w:gridCol w:w="1931"/>
        <w:gridCol w:w="4025"/>
        <w:gridCol w:w="2170"/>
      </w:tblGrid>
      <w:tr w:rsidR="00E371BA" w:rsidRPr="00507A31" w14:paraId="4A7E3CF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E3D52A3" w14:textId="77777777" w:rsidR="002B17E4" w:rsidRPr="00507A31" w:rsidRDefault="002B17E4" w:rsidP="00507A31">
            <w:pPr>
              <w:jc w:val="both"/>
              <w:rPr>
                <w:color w:val="000000" w:themeColor="text1"/>
                <w:sz w:val="16"/>
                <w:szCs w:val="16"/>
              </w:rPr>
            </w:pPr>
            <w:r w:rsidRPr="00507A31">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81673" w14:textId="77777777" w:rsidR="002B17E4" w:rsidRPr="00507A31" w:rsidRDefault="002B17E4" w:rsidP="00507A31">
            <w:pPr>
              <w:jc w:val="both"/>
              <w:rPr>
                <w:color w:val="000000" w:themeColor="text1"/>
                <w:sz w:val="16"/>
                <w:szCs w:val="16"/>
              </w:rPr>
            </w:pPr>
            <w:r w:rsidRPr="00507A31">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20E86" w14:textId="77777777" w:rsidR="002B17E4" w:rsidRPr="00507A31" w:rsidRDefault="002B17E4" w:rsidP="00507A31">
            <w:pPr>
              <w:jc w:val="both"/>
              <w:rPr>
                <w:color w:val="000000" w:themeColor="text1"/>
                <w:sz w:val="16"/>
                <w:szCs w:val="16"/>
              </w:rPr>
            </w:pPr>
            <w:r w:rsidRPr="00507A31">
              <w:rPr>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3EEDE" w14:textId="77777777" w:rsidR="002B17E4" w:rsidRPr="00507A31" w:rsidRDefault="002B17E4" w:rsidP="00507A31">
            <w:pPr>
              <w:jc w:val="both"/>
              <w:rPr>
                <w:color w:val="000000" w:themeColor="text1"/>
                <w:sz w:val="16"/>
                <w:szCs w:val="16"/>
              </w:rPr>
            </w:pPr>
            <w:r w:rsidRPr="00507A31">
              <w:rPr>
                <w:color w:val="000000" w:themeColor="text1"/>
                <w:sz w:val="16"/>
                <w:szCs w:val="16"/>
              </w:rPr>
              <w:t>Процентное отношение</w:t>
            </w:r>
          </w:p>
          <w:p w14:paraId="7DBF795D" w14:textId="77777777" w:rsidR="002B17E4" w:rsidRPr="00507A31" w:rsidRDefault="002B17E4" w:rsidP="00507A31">
            <w:pPr>
              <w:jc w:val="both"/>
              <w:rPr>
                <w:color w:val="000000" w:themeColor="text1"/>
                <w:sz w:val="16"/>
                <w:szCs w:val="16"/>
              </w:rPr>
            </w:pPr>
            <w:r w:rsidRPr="00507A31">
              <w:rPr>
                <w:color w:val="000000" w:themeColor="text1"/>
                <w:sz w:val="16"/>
                <w:szCs w:val="16"/>
              </w:rPr>
              <w:t>выполнения 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FD6E7" w14:textId="77777777" w:rsidR="002B17E4" w:rsidRPr="00507A31" w:rsidRDefault="002B17E4" w:rsidP="00507A31">
            <w:pPr>
              <w:jc w:val="both"/>
              <w:rPr>
                <w:color w:val="000000" w:themeColor="text1"/>
                <w:sz w:val="16"/>
                <w:szCs w:val="16"/>
              </w:rPr>
            </w:pPr>
            <w:r w:rsidRPr="00507A31">
              <w:rPr>
                <w:color w:val="000000" w:themeColor="text1"/>
                <w:sz w:val="16"/>
                <w:szCs w:val="16"/>
              </w:rPr>
              <w:t>Недодел,</w:t>
            </w:r>
          </w:p>
          <w:p w14:paraId="500427F8" w14:textId="77777777" w:rsidR="002B17E4" w:rsidRPr="00507A31" w:rsidRDefault="002B17E4" w:rsidP="00507A31">
            <w:pPr>
              <w:jc w:val="both"/>
              <w:rPr>
                <w:color w:val="000000" w:themeColor="text1"/>
                <w:sz w:val="16"/>
                <w:szCs w:val="16"/>
              </w:rPr>
            </w:pPr>
            <w:r w:rsidRPr="00507A31">
              <w:rPr>
                <w:color w:val="000000" w:themeColor="text1"/>
                <w:sz w:val="16"/>
                <w:szCs w:val="16"/>
              </w:rPr>
              <w:t> в процентах</w:t>
            </w:r>
          </w:p>
        </w:tc>
      </w:tr>
      <w:tr w:rsidR="00E371BA" w:rsidRPr="00507A31" w14:paraId="369B2A78"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7F4E04F" w14:textId="77777777" w:rsidR="002B17E4" w:rsidRPr="00507A31" w:rsidRDefault="002B17E4" w:rsidP="00507A31">
            <w:pPr>
              <w:jc w:val="both"/>
              <w:rPr>
                <w:color w:val="000000" w:themeColor="text1"/>
                <w:sz w:val="16"/>
                <w:szCs w:val="16"/>
              </w:rPr>
            </w:pPr>
            <w:r w:rsidRPr="00507A31">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E3315" w14:textId="77777777" w:rsidR="002B17E4" w:rsidRPr="00507A31" w:rsidRDefault="002B17E4" w:rsidP="00507A31">
            <w:pPr>
              <w:jc w:val="both"/>
              <w:rPr>
                <w:color w:val="000000" w:themeColor="text1"/>
                <w:sz w:val="16"/>
                <w:szCs w:val="16"/>
              </w:rPr>
            </w:pPr>
            <w:r w:rsidRPr="00507A31">
              <w:rPr>
                <w:color w:val="000000" w:themeColor="text1"/>
                <w:sz w:val="16"/>
                <w:szCs w:val="16"/>
              </w:rPr>
              <w:t>66 023,2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A7430" w14:textId="77777777" w:rsidR="002B17E4" w:rsidRPr="00507A31" w:rsidRDefault="002B17E4" w:rsidP="00507A31">
            <w:pPr>
              <w:jc w:val="both"/>
              <w:rPr>
                <w:color w:val="000000" w:themeColor="text1"/>
                <w:sz w:val="16"/>
                <w:szCs w:val="16"/>
              </w:rPr>
            </w:pPr>
            <w:r w:rsidRPr="00507A31">
              <w:rPr>
                <w:color w:val="000000" w:themeColor="text1"/>
                <w:sz w:val="16"/>
                <w:szCs w:val="16"/>
              </w:rPr>
              <w:t>60 779,8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81AD2" w14:textId="77777777" w:rsidR="002B17E4" w:rsidRPr="00507A31" w:rsidRDefault="002B17E4" w:rsidP="00507A31">
            <w:pPr>
              <w:jc w:val="both"/>
              <w:rPr>
                <w:color w:val="000000" w:themeColor="text1"/>
                <w:sz w:val="16"/>
                <w:szCs w:val="16"/>
              </w:rPr>
            </w:pPr>
            <w:r w:rsidRPr="00507A31">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9CBC5" w14:textId="77777777" w:rsidR="002B17E4" w:rsidRPr="00507A31" w:rsidRDefault="002B17E4" w:rsidP="00507A31">
            <w:pPr>
              <w:jc w:val="both"/>
              <w:rPr>
                <w:color w:val="000000" w:themeColor="text1"/>
                <w:sz w:val="16"/>
                <w:szCs w:val="16"/>
              </w:rPr>
            </w:pPr>
            <w:r w:rsidRPr="00507A31">
              <w:rPr>
                <w:color w:val="000000" w:themeColor="text1"/>
                <w:sz w:val="16"/>
                <w:szCs w:val="16"/>
              </w:rPr>
              <w:t>8</w:t>
            </w:r>
          </w:p>
        </w:tc>
      </w:tr>
      <w:tr w:rsidR="00E371BA" w:rsidRPr="00507A31" w14:paraId="245AF9AD"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9B918A1" w14:textId="77777777" w:rsidR="002B17E4" w:rsidRPr="00507A31" w:rsidRDefault="002B17E4" w:rsidP="00507A31">
            <w:pPr>
              <w:jc w:val="both"/>
              <w:rPr>
                <w:color w:val="000000" w:themeColor="text1"/>
                <w:sz w:val="16"/>
                <w:szCs w:val="16"/>
              </w:rPr>
            </w:pPr>
            <w:r w:rsidRPr="00507A31">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2CCED" w14:textId="77777777" w:rsidR="002B17E4" w:rsidRPr="00507A31" w:rsidRDefault="002B17E4" w:rsidP="00507A31">
            <w:pPr>
              <w:jc w:val="both"/>
              <w:rPr>
                <w:color w:val="000000" w:themeColor="text1"/>
                <w:sz w:val="16"/>
                <w:szCs w:val="16"/>
              </w:rPr>
            </w:pPr>
            <w:r w:rsidRPr="00507A31">
              <w:rPr>
                <w:color w:val="000000" w:themeColor="text1"/>
                <w:sz w:val="16"/>
                <w:szCs w:val="16"/>
              </w:rPr>
              <w:t>66 195,4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C846E" w14:textId="77777777" w:rsidR="002B17E4" w:rsidRPr="00507A31" w:rsidRDefault="002B17E4" w:rsidP="00507A31">
            <w:pPr>
              <w:jc w:val="both"/>
              <w:rPr>
                <w:color w:val="000000" w:themeColor="text1"/>
                <w:sz w:val="16"/>
                <w:szCs w:val="16"/>
              </w:rPr>
            </w:pPr>
            <w:r w:rsidRPr="00507A31">
              <w:rPr>
                <w:color w:val="000000" w:themeColor="text1"/>
                <w:sz w:val="16"/>
                <w:szCs w:val="16"/>
              </w:rPr>
              <w:t>64 204,2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12BC2" w14:textId="77777777" w:rsidR="002B17E4" w:rsidRPr="00507A31" w:rsidRDefault="002B17E4" w:rsidP="00507A31">
            <w:pPr>
              <w:jc w:val="both"/>
              <w:rPr>
                <w:color w:val="000000" w:themeColor="text1"/>
                <w:sz w:val="16"/>
                <w:szCs w:val="16"/>
              </w:rPr>
            </w:pPr>
            <w:r w:rsidRPr="00507A31">
              <w:rPr>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86301" w14:textId="77777777" w:rsidR="002B17E4" w:rsidRPr="00507A31" w:rsidRDefault="002B17E4" w:rsidP="00507A31">
            <w:pPr>
              <w:jc w:val="both"/>
              <w:rPr>
                <w:color w:val="000000" w:themeColor="text1"/>
                <w:sz w:val="16"/>
                <w:szCs w:val="16"/>
              </w:rPr>
            </w:pPr>
            <w:r w:rsidRPr="00507A31">
              <w:rPr>
                <w:color w:val="000000" w:themeColor="text1"/>
                <w:sz w:val="16"/>
                <w:szCs w:val="16"/>
              </w:rPr>
              <w:t>3,1</w:t>
            </w:r>
          </w:p>
        </w:tc>
      </w:tr>
      <w:tr w:rsidR="00E371BA" w:rsidRPr="00507A31" w14:paraId="5D40316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129334B" w14:textId="77777777" w:rsidR="002B17E4" w:rsidRPr="00507A31" w:rsidRDefault="002B17E4" w:rsidP="00507A31">
            <w:pPr>
              <w:jc w:val="both"/>
              <w:rPr>
                <w:color w:val="000000" w:themeColor="text1"/>
                <w:sz w:val="16"/>
                <w:szCs w:val="16"/>
              </w:rPr>
            </w:pPr>
            <w:r w:rsidRPr="00507A31">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1AF18" w14:textId="77777777" w:rsidR="002B17E4" w:rsidRPr="00507A31" w:rsidRDefault="002B17E4" w:rsidP="00507A31">
            <w:pPr>
              <w:jc w:val="both"/>
              <w:rPr>
                <w:color w:val="000000" w:themeColor="text1"/>
                <w:sz w:val="16"/>
                <w:szCs w:val="16"/>
              </w:rPr>
            </w:pPr>
            <w:r w:rsidRPr="00507A31">
              <w:rPr>
                <w:color w:val="000000" w:themeColor="text1"/>
                <w:sz w:val="16"/>
                <w:szCs w:val="16"/>
              </w:rPr>
              <w:t>54 111,4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7064F" w14:textId="77777777" w:rsidR="002B17E4" w:rsidRPr="00507A31" w:rsidRDefault="002B17E4" w:rsidP="00507A31">
            <w:pPr>
              <w:jc w:val="both"/>
              <w:rPr>
                <w:color w:val="000000" w:themeColor="text1"/>
                <w:sz w:val="16"/>
                <w:szCs w:val="16"/>
              </w:rPr>
            </w:pPr>
            <w:r w:rsidRPr="00507A31">
              <w:rPr>
                <w:color w:val="000000" w:themeColor="text1"/>
                <w:sz w:val="16"/>
                <w:szCs w:val="16"/>
              </w:rPr>
              <w:t>54 206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9CF54" w14:textId="77777777" w:rsidR="002B17E4" w:rsidRPr="00507A31" w:rsidRDefault="002B17E4" w:rsidP="00507A31">
            <w:pPr>
              <w:jc w:val="both"/>
              <w:rPr>
                <w:color w:val="000000" w:themeColor="text1"/>
                <w:sz w:val="16"/>
                <w:szCs w:val="16"/>
              </w:rPr>
            </w:pPr>
            <w:r w:rsidRPr="00507A31">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3A00E" w14:textId="77777777" w:rsidR="002B17E4" w:rsidRPr="00507A31" w:rsidRDefault="002B17E4" w:rsidP="00507A31">
            <w:pPr>
              <w:jc w:val="both"/>
              <w:rPr>
                <w:color w:val="000000" w:themeColor="text1"/>
                <w:sz w:val="16"/>
                <w:szCs w:val="16"/>
              </w:rPr>
            </w:pPr>
            <w:r w:rsidRPr="00507A31">
              <w:rPr>
                <w:color w:val="000000" w:themeColor="text1"/>
                <w:sz w:val="16"/>
                <w:szCs w:val="16"/>
              </w:rPr>
              <w:t>0</w:t>
            </w:r>
          </w:p>
        </w:tc>
      </w:tr>
      <w:tr w:rsidR="00E371BA" w:rsidRPr="00507A31" w14:paraId="7404ECAF"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2B4CB23" w14:textId="77777777" w:rsidR="002B17E4" w:rsidRPr="00507A31" w:rsidRDefault="002B17E4" w:rsidP="00507A31">
            <w:pPr>
              <w:jc w:val="both"/>
              <w:rPr>
                <w:color w:val="000000" w:themeColor="text1"/>
                <w:sz w:val="16"/>
                <w:szCs w:val="16"/>
              </w:rPr>
            </w:pPr>
            <w:r w:rsidRPr="00507A31">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1BB74" w14:textId="77777777" w:rsidR="002B17E4" w:rsidRPr="00507A31" w:rsidRDefault="002B17E4" w:rsidP="00507A31">
            <w:pPr>
              <w:jc w:val="both"/>
              <w:rPr>
                <w:color w:val="000000" w:themeColor="text1"/>
                <w:sz w:val="16"/>
                <w:szCs w:val="16"/>
              </w:rPr>
            </w:pPr>
            <w:r w:rsidRPr="00507A31">
              <w:rPr>
                <w:color w:val="000000" w:themeColor="text1"/>
                <w:sz w:val="16"/>
                <w:szCs w:val="16"/>
              </w:rPr>
              <w:t>43 435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144C2" w14:textId="77777777" w:rsidR="002B17E4" w:rsidRPr="00507A31" w:rsidRDefault="002B17E4" w:rsidP="00507A31">
            <w:pPr>
              <w:jc w:val="both"/>
              <w:rPr>
                <w:color w:val="000000" w:themeColor="text1"/>
                <w:sz w:val="16"/>
                <w:szCs w:val="16"/>
              </w:rPr>
            </w:pPr>
            <w:r w:rsidRPr="00507A31">
              <w:rPr>
                <w:color w:val="000000" w:themeColor="text1"/>
                <w:sz w:val="16"/>
                <w:szCs w:val="16"/>
              </w:rPr>
              <w:t>37 369,3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79B5F" w14:textId="77777777" w:rsidR="002B17E4" w:rsidRPr="00507A31" w:rsidRDefault="002B17E4" w:rsidP="00507A31">
            <w:pPr>
              <w:jc w:val="both"/>
              <w:rPr>
                <w:color w:val="000000" w:themeColor="text1"/>
                <w:sz w:val="16"/>
                <w:szCs w:val="16"/>
              </w:rPr>
            </w:pPr>
            <w:r w:rsidRPr="00507A31">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05DA2" w14:textId="77777777" w:rsidR="002B17E4" w:rsidRPr="00507A31" w:rsidRDefault="002B17E4" w:rsidP="00507A31">
            <w:pPr>
              <w:jc w:val="both"/>
              <w:rPr>
                <w:color w:val="000000" w:themeColor="text1"/>
                <w:sz w:val="16"/>
                <w:szCs w:val="16"/>
              </w:rPr>
            </w:pPr>
            <w:r w:rsidRPr="00507A31">
              <w:rPr>
                <w:color w:val="000000" w:themeColor="text1"/>
                <w:sz w:val="16"/>
                <w:szCs w:val="16"/>
              </w:rPr>
              <w:t>15</w:t>
            </w:r>
          </w:p>
        </w:tc>
      </w:tr>
      <w:tr w:rsidR="00E371BA" w:rsidRPr="00507A31" w14:paraId="3EEEAFA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BF8F7CC" w14:textId="77777777" w:rsidR="002B17E4" w:rsidRPr="00507A31" w:rsidRDefault="002B17E4" w:rsidP="00507A31">
            <w:pPr>
              <w:jc w:val="both"/>
              <w:rPr>
                <w:color w:val="000000" w:themeColor="text1"/>
                <w:sz w:val="16"/>
                <w:szCs w:val="16"/>
              </w:rPr>
            </w:pPr>
            <w:r w:rsidRPr="00507A31">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741A0" w14:textId="77777777" w:rsidR="002B17E4" w:rsidRPr="00507A31" w:rsidRDefault="002B17E4" w:rsidP="00507A31">
            <w:pPr>
              <w:jc w:val="both"/>
              <w:rPr>
                <w:color w:val="000000" w:themeColor="text1"/>
                <w:sz w:val="16"/>
                <w:szCs w:val="16"/>
              </w:rPr>
            </w:pPr>
            <w:r w:rsidRPr="00507A31">
              <w:rPr>
                <w:color w:val="000000" w:themeColor="text1"/>
                <w:sz w:val="16"/>
                <w:szCs w:val="16"/>
              </w:rPr>
              <w:t>61 249,1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D5BFC" w14:textId="77777777" w:rsidR="002B17E4" w:rsidRPr="00507A31" w:rsidRDefault="002B17E4" w:rsidP="00507A31">
            <w:pPr>
              <w:jc w:val="both"/>
              <w:rPr>
                <w:color w:val="000000" w:themeColor="text1"/>
                <w:sz w:val="16"/>
                <w:szCs w:val="16"/>
              </w:rPr>
            </w:pPr>
            <w:r w:rsidRPr="00507A31">
              <w:rPr>
                <w:color w:val="000000" w:themeColor="text1"/>
                <w:sz w:val="16"/>
                <w:szCs w:val="16"/>
              </w:rPr>
              <w:t>54 120,3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EA99D" w14:textId="77777777" w:rsidR="002B17E4" w:rsidRPr="00507A31" w:rsidRDefault="002B17E4" w:rsidP="00507A31">
            <w:pPr>
              <w:jc w:val="both"/>
              <w:rPr>
                <w:color w:val="000000" w:themeColor="text1"/>
                <w:sz w:val="16"/>
                <w:szCs w:val="16"/>
              </w:rPr>
            </w:pPr>
            <w:r w:rsidRPr="00507A31">
              <w:rPr>
                <w:color w:val="000000" w:themeColor="text1"/>
                <w:sz w:val="16"/>
                <w:szCs w:val="16"/>
              </w:rPr>
              <w:t>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DC86B" w14:textId="77777777" w:rsidR="002B17E4" w:rsidRPr="00507A31" w:rsidRDefault="002B17E4" w:rsidP="00507A31">
            <w:pPr>
              <w:jc w:val="both"/>
              <w:rPr>
                <w:color w:val="000000" w:themeColor="text1"/>
                <w:sz w:val="16"/>
                <w:szCs w:val="16"/>
              </w:rPr>
            </w:pPr>
            <w:r w:rsidRPr="00507A31">
              <w:rPr>
                <w:color w:val="000000" w:themeColor="text1"/>
                <w:sz w:val="16"/>
                <w:szCs w:val="16"/>
              </w:rPr>
              <w:t>5,5</w:t>
            </w:r>
          </w:p>
        </w:tc>
      </w:tr>
      <w:tr w:rsidR="00E371BA" w:rsidRPr="00507A31" w14:paraId="4156802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5D55A08" w14:textId="77777777" w:rsidR="002B17E4" w:rsidRPr="00507A31" w:rsidRDefault="002B17E4" w:rsidP="00507A31">
            <w:pPr>
              <w:jc w:val="both"/>
              <w:rPr>
                <w:color w:val="000000" w:themeColor="text1"/>
                <w:sz w:val="16"/>
                <w:szCs w:val="16"/>
              </w:rPr>
            </w:pPr>
            <w:r w:rsidRPr="00507A31">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BBFDF" w14:textId="77777777" w:rsidR="002B17E4" w:rsidRPr="00507A31" w:rsidRDefault="002B17E4" w:rsidP="00507A31">
            <w:pPr>
              <w:jc w:val="both"/>
              <w:rPr>
                <w:color w:val="000000" w:themeColor="text1"/>
                <w:sz w:val="16"/>
                <w:szCs w:val="16"/>
              </w:rPr>
            </w:pPr>
            <w:r w:rsidRPr="00507A31">
              <w:rPr>
                <w:color w:val="000000" w:themeColor="text1"/>
                <w:sz w:val="16"/>
                <w:szCs w:val="16"/>
              </w:rPr>
              <w:t>291 514,1³*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C951F" w14:textId="77777777" w:rsidR="002B17E4" w:rsidRPr="00507A31" w:rsidRDefault="002B17E4" w:rsidP="00507A31">
            <w:pPr>
              <w:jc w:val="both"/>
              <w:rPr>
                <w:color w:val="000000" w:themeColor="text1"/>
                <w:sz w:val="16"/>
                <w:szCs w:val="16"/>
              </w:rPr>
            </w:pPr>
            <w:r w:rsidRPr="00507A31">
              <w:rPr>
                <w:color w:val="000000" w:themeColor="text1"/>
                <w:sz w:val="16"/>
                <w:szCs w:val="16"/>
              </w:rPr>
              <w:t>270 680,2⁴*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18834" w14:textId="77777777" w:rsidR="002B17E4" w:rsidRPr="00507A31" w:rsidRDefault="002B17E4" w:rsidP="00507A31">
            <w:pPr>
              <w:jc w:val="both"/>
              <w:rPr>
                <w:color w:val="000000" w:themeColor="text1"/>
                <w:sz w:val="16"/>
                <w:szCs w:val="16"/>
              </w:rPr>
            </w:pPr>
            <w:r w:rsidRPr="00507A31">
              <w:rPr>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2E05F" w14:textId="77777777" w:rsidR="002B17E4" w:rsidRPr="00507A31" w:rsidRDefault="002B17E4" w:rsidP="00507A31">
            <w:pPr>
              <w:jc w:val="both"/>
              <w:rPr>
                <w:color w:val="000000" w:themeColor="text1"/>
                <w:sz w:val="16"/>
                <w:szCs w:val="16"/>
              </w:rPr>
            </w:pPr>
            <w:r w:rsidRPr="00507A31">
              <w:rPr>
                <w:color w:val="000000" w:themeColor="text1"/>
                <w:sz w:val="16"/>
                <w:szCs w:val="16"/>
              </w:rPr>
              <w:t>7,2</w:t>
            </w:r>
          </w:p>
        </w:tc>
      </w:tr>
    </w:tbl>
    <w:p w14:paraId="2E7FC9D0"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Отношение всей товарной продукции 1928/29 г. к 1927/28 г. выражается в 123,3%.</w:t>
      </w:r>
    </w:p>
    <w:p w14:paraId="776E0262"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Необходимо отметить, что 100</w:t>
      </w:r>
      <w:r w:rsidRPr="00507A31">
        <w:rPr>
          <w:color w:val="000000" w:themeColor="text1"/>
          <w:sz w:val="16"/>
          <w:szCs w:val="16"/>
        </w:rPr>
        <w:noBreakHyphen/>
        <w:t>процентное выполнение плана ПТТ было достигнуто, как будет видно ниже, только благодаря увеличению числа рабочих на 4% сверх плана, утвержденного ГВПУ, и на 7% сверх плана, представленного трестом, так как выработка на одного рабочего по этому тресту ниже плана на 8,4%.</w:t>
      </w:r>
    </w:p>
    <w:p w14:paraId="525E50ED"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 xml:space="preserve">Составленная нами таблица товарной продукции не может, однако, считаться отвечающей истинному положению, так как она противоречит ряду других данных, извлеченных из тех же или других материалов трестов Военпрома. Так, ОАТ показывает около 13% недодела (по военной — 15,3; по мирной — 8,5). ПТТ показывает недодел по мирной продукции 7,4%, РУЖ имеет перевыполнение по военной продукции 1% и недодел по мирной 5%. Авиатрест докладывает о недоделе: по </w:t>
      </w:r>
      <w:r w:rsidRPr="00507A31">
        <w:rPr>
          <w:color w:val="000000" w:themeColor="text1"/>
          <w:sz w:val="16"/>
          <w:szCs w:val="16"/>
        </w:rPr>
        <w:lastRenderedPageBreak/>
        <w:t>самолетам — 13,8% и моторам — 9,4%. Вохимтрест, путем бухгалтерских пересчетов, сводит свой недодел к 0,4%, но по предварительным грубым подсчетам Сектора обороны фактический недодел ВХТ должен быть близок к 10%.</w:t>
      </w:r>
    </w:p>
    <w:p w14:paraId="07538086"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Действительно, выработка в натуре по некоторым главнейшим изделиям (из материалов треста) дает следующую картину — военная продукция: порох, выполн[ение] — 84%; тротил, выполн[ение] — 99,5%; снаряж[ательных] бомб, выполн[ение| — 88%; снаряж[ательных] винт[овочных| капсюлей, выполн[ение] — 98%; противогазы, выполн[ение] — 85,5%. Мирная продукция: порох охотн[ичий|, выполн[ение| — 95,5%; динамит, выполн[ение] — 97%; бикфордов шнур, выполн[ение] — 103%; аммонал, выполн[ение] ~ 45%; капсюли охотн[ичьи], выполн[ение] — 88%; нитролаки и нитрокраски, вып[олнение] — 73%.</w:t>
      </w:r>
    </w:p>
    <w:p w14:paraId="297641CA"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Недовыполнение в части военной продукции трестов шло, главным образом, по новым образцам изделий. Например, танки (20% недодела по предъявлению), новые типы самолетов (ТБ</w:t>
      </w:r>
      <w:r w:rsidRPr="00507A31">
        <w:rPr>
          <w:color w:val="000000" w:themeColor="text1"/>
          <w:sz w:val="16"/>
          <w:szCs w:val="16"/>
        </w:rPr>
        <w:noBreakHyphen/>
        <w:t>1, 42, П</w:t>
      </w:r>
      <w:r w:rsidRPr="00507A31">
        <w:rPr>
          <w:color w:val="000000" w:themeColor="text1"/>
          <w:sz w:val="16"/>
          <w:szCs w:val="16"/>
        </w:rPr>
        <w:noBreakHyphen/>
        <w:t>2, И</w:t>
      </w:r>
      <w:r w:rsidRPr="00507A31">
        <w:rPr>
          <w:color w:val="000000" w:themeColor="text1"/>
          <w:sz w:val="16"/>
          <w:szCs w:val="16"/>
        </w:rPr>
        <w:noBreakHyphen/>
        <w:t>3, И</w:t>
      </w:r>
      <w:r w:rsidRPr="00507A31">
        <w:rPr>
          <w:color w:val="000000" w:themeColor="text1"/>
          <w:sz w:val="16"/>
          <w:szCs w:val="16"/>
        </w:rPr>
        <w:noBreakHyphen/>
        <w:t>4) и моторов (М</w:t>
      </w:r>
      <w:r w:rsidRPr="00507A31">
        <w:rPr>
          <w:color w:val="000000" w:themeColor="text1"/>
          <w:sz w:val="16"/>
          <w:szCs w:val="16"/>
        </w:rPr>
        <w:noBreakHyphen/>
        <w:t>11, М</w:t>
      </w:r>
      <w:r w:rsidRPr="00507A31">
        <w:rPr>
          <w:color w:val="000000" w:themeColor="text1"/>
          <w:sz w:val="16"/>
          <w:szCs w:val="16"/>
        </w:rPr>
        <w:noBreakHyphen/>
        <w:t>17), причем по некоторым изделиям выполнение равно нулю (самолеты П</w:t>
      </w:r>
      <w:r w:rsidRPr="00507A31">
        <w:rPr>
          <w:color w:val="000000" w:themeColor="text1"/>
          <w:sz w:val="16"/>
          <w:szCs w:val="16"/>
        </w:rPr>
        <w:noBreakHyphen/>
        <w:t>2, 42).</w:t>
      </w:r>
    </w:p>
    <w:p w14:paraId="38C6A332"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В отношении военных изделий показатели товарной продукции вообще недостаточны, чтобы судить о работе промышленности на оборону, так как вопросы качества продукции приобретают здесь решающее значение. Сами по себе показатели по браку изделий трестов Военпрома очень высоки (ОАТ — 5,52%, РУЖ — 4,85%, ПТТ — 3,20%), но, кроме того, при приеме военведом бракуется еще больше. Военвед неоднократно заявлял о низком качестве предъявляемой к сдаче промышленностью продукции.</w:t>
      </w:r>
    </w:p>
    <w:p w14:paraId="376F9393"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Характерно в этом смысле выступление представителя ОГПУ т. </w:t>
      </w:r>
      <w:hyperlink r:id="rId77" w:history="1">
        <w:r w:rsidRPr="00507A31">
          <w:rPr>
            <w:color w:val="000000" w:themeColor="text1"/>
            <w:sz w:val="16"/>
            <w:szCs w:val="16"/>
          </w:rPr>
          <w:t>Гая</w:t>
        </w:r>
      </w:hyperlink>
      <w:r w:rsidRPr="00507A31">
        <w:rPr>
          <w:color w:val="000000" w:themeColor="text1"/>
          <w:sz w:val="16"/>
          <w:szCs w:val="16"/>
        </w:rPr>
        <w:t xml:space="preserve"> на заседании Сектора обороны 25 марта с. г., когда был заслушан доклад т. </w:t>
      </w:r>
      <w:hyperlink r:id="rId78" w:history="1">
        <w:r w:rsidRPr="00507A31">
          <w:rPr>
            <w:color w:val="000000" w:themeColor="text1"/>
            <w:sz w:val="16"/>
            <w:szCs w:val="16"/>
          </w:rPr>
          <w:t>Урываева</w:t>
        </w:r>
      </w:hyperlink>
      <w:r w:rsidRPr="00507A31">
        <w:rPr>
          <w:color w:val="000000" w:themeColor="text1"/>
          <w:sz w:val="16"/>
          <w:szCs w:val="16"/>
        </w:rPr>
        <w:t xml:space="preserve"> о выполнении плана за I  вартал 1929/30 г. Тов. Гай, между прочим, заявил, что все танки, сданные промышленностью в 1928/29 г., вышли из строя и валяются на складах или заводских дворах, В Секторе обороны имеется материал НКВМ о выполнении заказов НКВМ в 1928/29 г., но использовать его по техническим причинам для этого доклада не представляется возможным.</w:t>
      </w:r>
    </w:p>
    <w:p w14:paraId="4E7D4325"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Главные причины недоделов по производству</w:t>
      </w:r>
    </w:p>
    <w:p w14:paraId="3685CCFE"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1. Позднее утверждение промфинплана и титульных списков капитального строительства.</w:t>
      </w:r>
    </w:p>
    <w:p w14:paraId="4615EAFD"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2. Позднее оформление заказов и беспорядочное поступление их непрерывно в течение года.</w:t>
      </w:r>
    </w:p>
    <w:p w14:paraId="51E4C706"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3. Неудовлетворительность календарного планирования трестов, частично объясняемая перебоями в снабжении. Типичным становится для военной промышленности повторяющаяся из года в год слабая производительность заводов в первые два квартала. Кривая роста выхода продукции регулярно повышается в III и IV кварталах и понижается в I и II кварталах. Промышленность чуть ли не считает такой порядок нормальным и, во всяком случае, неизбежным в данных условиях. Но ведь это в то же время говорит и о том, что у промышленности имеются скрытые мощности, иначе прорыв был бы еще значительнее.</w:t>
      </w:r>
    </w:p>
    <w:p w14:paraId="50B40639"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4. Неудовлетворительность технического планирования, главным образом, недостаточная изученность технологических процессов.</w:t>
      </w:r>
    </w:p>
    <w:p w14:paraId="255F98C4"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5. Изменение заказчиками технических условий в процессе изготовления изделий.</w:t>
      </w:r>
    </w:p>
    <w:p w14:paraId="5F746BCC"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6. Производственные неполадки, имевшие место в той или иной степени на всех заводах, и особенно по овладению процессом производства специальных сталей “А” и “Б” (ОАТ).</w:t>
      </w:r>
    </w:p>
    <w:p w14:paraId="10584DB9"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7. Перебои в снабжении материалами и полуфабрикатами, зачастую низкого качества, не отвечающего тем более жестким техническим условиям, что приводит к позаимствованию из мобзапасов.</w:t>
      </w:r>
    </w:p>
    <w:p w14:paraId="26AA792A" w14:textId="77777777" w:rsidR="002B17E4" w:rsidRPr="00507A31" w:rsidRDefault="002B17E4" w:rsidP="00507A31">
      <w:pPr>
        <w:pStyle w:val="rtejustify"/>
        <w:spacing w:before="0" w:after="0"/>
        <w:rPr>
          <w:color w:val="000000" w:themeColor="text1"/>
          <w:sz w:val="16"/>
          <w:szCs w:val="16"/>
        </w:rPr>
      </w:pPr>
      <w:r w:rsidRPr="00507A31">
        <w:rPr>
          <w:rStyle w:val="af0"/>
          <w:i w:val="0"/>
          <w:color w:val="000000" w:themeColor="text1"/>
          <w:sz w:val="16"/>
          <w:szCs w:val="16"/>
        </w:rPr>
        <w:t>По авиапромышленности</w:t>
      </w:r>
      <w:r w:rsidRPr="00507A31">
        <w:rPr>
          <w:color w:val="000000" w:themeColor="text1"/>
          <w:sz w:val="16"/>
          <w:szCs w:val="16"/>
        </w:rPr>
        <w:t> — неудовлетворительность и недостаточность поковок (особенно остро обстоит с поставкой коленчатых валов и стальных цилиндров), задержки и качество снабжения кольчугалюминием, инструментом, колесами и стальным тросом, недостаток труб, магнето, карбюраторов, помп АМ, шарикоподшипников и т. п.</w:t>
      </w:r>
    </w:p>
    <w:p w14:paraId="74F71A9E" w14:textId="77777777" w:rsidR="002B17E4" w:rsidRPr="00507A31" w:rsidRDefault="002B17E4" w:rsidP="00507A31">
      <w:pPr>
        <w:pStyle w:val="rtejustify"/>
        <w:spacing w:before="0" w:after="0"/>
        <w:rPr>
          <w:color w:val="000000" w:themeColor="text1"/>
          <w:sz w:val="16"/>
          <w:szCs w:val="16"/>
        </w:rPr>
      </w:pPr>
      <w:r w:rsidRPr="00507A31">
        <w:rPr>
          <w:rStyle w:val="af0"/>
          <w:i w:val="0"/>
          <w:color w:val="000000" w:themeColor="text1"/>
          <w:sz w:val="16"/>
          <w:szCs w:val="16"/>
        </w:rPr>
        <w:t>По ОАТ —</w:t>
      </w:r>
      <w:r w:rsidRPr="00507A31">
        <w:rPr>
          <w:color w:val="000000" w:themeColor="text1"/>
          <w:sz w:val="16"/>
          <w:szCs w:val="16"/>
        </w:rPr>
        <w:t xml:space="preserve"> недостача в снабжении ферросплавов для производства высококачественных сталей.</w:t>
      </w:r>
    </w:p>
    <w:p w14:paraId="46C521D9" w14:textId="77777777" w:rsidR="002B17E4" w:rsidRPr="00507A31" w:rsidRDefault="002B17E4" w:rsidP="00507A31">
      <w:pPr>
        <w:pStyle w:val="rtejustify"/>
        <w:spacing w:before="0" w:after="0"/>
        <w:rPr>
          <w:color w:val="000000" w:themeColor="text1"/>
          <w:sz w:val="16"/>
          <w:szCs w:val="16"/>
        </w:rPr>
      </w:pPr>
      <w:r w:rsidRPr="00507A31">
        <w:rPr>
          <w:rStyle w:val="af0"/>
          <w:i w:val="0"/>
          <w:color w:val="000000" w:themeColor="text1"/>
          <w:sz w:val="16"/>
          <w:szCs w:val="16"/>
        </w:rPr>
        <w:t>По Вохимтресту —</w:t>
      </w:r>
      <w:r w:rsidRPr="00507A31">
        <w:rPr>
          <w:color w:val="000000" w:themeColor="text1"/>
          <w:sz w:val="16"/>
          <w:szCs w:val="16"/>
        </w:rPr>
        <w:t xml:space="preserve"> совершенно недостаточное получение от гражданской промышленности кислот, несвоевременная подача корпусов снарядов, недоснабжение по металлической части противогазов.</w:t>
      </w:r>
    </w:p>
    <w:p w14:paraId="13B064D1" w14:textId="77777777" w:rsidR="002B17E4" w:rsidRPr="00507A31" w:rsidRDefault="002B17E4" w:rsidP="00507A31">
      <w:pPr>
        <w:pStyle w:val="rtejustify"/>
        <w:spacing w:before="0" w:after="0"/>
        <w:rPr>
          <w:color w:val="000000" w:themeColor="text1"/>
          <w:sz w:val="16"/>
          <w:szCs w:val="16"/>
        </w:rPr>
      </w:pPr>
      <w:r w:rsidRPr="00507A31">
        <w:rPr>
          <w:rStyle w:val="af0"/>
          <w:i w:val="0"/>
          <w:color w:val="000000" w:themeColor="text1"/>
          <w:sz w:val="16"/>
          <w:szCs w:val="16"/>
        </w:rPr>
        <w:t>По РУЖу</w:t>
      </w:r>
      <w:r w:rsidRPr="00507A31">
        <w:rPr>
          <w:color w:val="000000" w:themeColor="text1"/>
          <w:sz w:val="16"/>
          <w:szCs w:val="16"/>
        </w:rPr>
        <w:t> — перебои и неполное удовлетворение заявок на быстрорежущую сталь для инструментов.</w:t>
      </w:r>
    </w:p>
    <w:p w14:paraId="71185760" w14:textId="77777777" w:rsidR="002B17E4" w:rsidRPr="00507A31" w:rsidRDefault="002B17E4" w:rsidP="00507A31">
      <w:pPr>
        <w:pStyle w:val="rtejustify"/>
        <w:spacing w:before="0" w:after="0"/>
        <w:rPr>
          <w:color w:val="000000" w:themeColor="text1"/>
          <w:sz w:val="16"/>
          <w:szCs w:val="16"/>
        </w:rPr>
      </w:pPr>
      <w:r w:rsidRPr="00507A31">
        <w:rPr>
          <w:rStyle w:val="af0"/>
          <w:i w:val="0"/>
          <w:color w:val="000000" w:themeColor="text1"/>
          <w:sz w:val="16"/>
          <w:szCs w:val="16"/>
        </w:rPr>
        <w:t>По ПТТ —</w:t>
      </w:r>
      <w:r w:rsidRPr="00507A31">
        <w:rPr>
          <w:color w:val="000000" w:themeColor="text1"/>
          <w:sz w:val="16"/>
          <w:szCs w:val="16"/>
        </w:rPr>
        <w:t xml:space="preserve"> перебои в снабжении цветными металлами, неудовлетворительное качество пороха «Глухарь» № 3, капсюлей (поставщики — заводы № 3 и 9 Вохимтреста).</w:t>
      </w:r>
    </w:p>
    <w:p w14:paraId="4DDCF995"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Но наряду с этим необходимо отметить, что суррогатирование дефицитных материалов даже для мирной продукции — почти на уровне прежних лет: сдвига нет. Не замечается сдвига и по части улучшения организации прохождения междузаводских заказов и их выполнения.</w:t>
      </w:r>
    </w:p>
    <w:p w14:paraId="315F9EC6"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8. Недостаток инженеров и квалифицированного техперсонала, слабость конструкторских сил. Особенно это отмечается в авиапромышленности, где наблюдается пуск в производство не вполне доработанных конструкций, что вызывает необходимость внесения целого ряда переделок в конструкцию уже в процессе серийного производства (то же в Орудатресте с танками).</w:t>
      </w:r>
    </w:p>
    <w:p w14:paraId="3C5ADD02"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9. Недостаточная производительность труда (по двум трестам — ПТТ и АТ — она ниже плана).</w:t>
      </w:r>
    </w:p>
    <w:p w14:paraId="04DD6FB8"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10. Процесс внедрения опытных образцов в серийное и массовое производство продолжает оставаться крайне медлительным.</w:t>
      </w:r>
    </w:p>
    <w:p w14:paraId="3E139F17"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11. Прежнее отношение к кооперированию, как к проблеме, которую нужно изучать, изучать осторожно, подходить с оглядкой (а лучше и вовсе не подходить), — никаких реально ощутимых практических шагов в этом направлении не сделано. Безобразная нерешительность, такая же, как и в вопросах суррогатирования.</w:t>
      </w:r>
    </w:p>
    <w:p w14:paraId="11CB0682"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12. Неудовлетворительно поставленное складское хозяйство, слабость дисциплины в области учета, скверная постановка дела инвентаризации материалов. Так, например, на ММЗ выявлен недостаток ферросплавов в 51 т, а общий убыток по Военпрому от недостачи и переоценки при излишках выражается колоссальной цифрой — свыше 7 млн. руб.</w:t>
      </w:r>
    </w:p>
    <w:p w14:paraId="34C551D7" w14:textId="77777777" w:rsidR="002B17E4" w:rsidRPr="00507A31" w:rsidRDefault="002B17E4" w:rsidP="00507A31">
      <w:pPr>
        <w:jc w:val="both"/>
        <w:rPr>
          <w:color w:val="000000" w:themeColor="text1"/>
          <w:sz w:val="16"/>
          <w:szCs w:val="16"/>
        </w:rPr>
      </w:pPr>
      <w:r w:rsidRPr="00507A31">
        <w:rPr>
          <w:color w:val="000000" w:themeColor="text1"/>
          <w:sz w:val="16"/>
          <w:szCs w:val="16"/>
        </w:rPr>
        <w:t>Снижение себестоимости</w:t>
      </w:r>
    </w:p>
    <w:p w14:paraId="10E169D1"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Снижение заводской себестоимости по повторяющейся продукции, полученное за счет основных материалов, основной зарплаты с начислением цеховых и общезаводских расходов, следующее: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
        <w:gridCol w:w="1076"/>
        <w:gridCol w:w="1733"/>
        <w:gridCol w:w="765"/>
        <w:gridCol w:w="1580"/>
        <w:gridCol w:w="2328"/>
        <w:gridCol w:w="1409"/>
        <w:gridCol w:w="1898"/>
      </w:tblGrid>
      <w:tr w:rsidR="00E371BA" w:rsidRPr="00507A31" w14:paraId="78C0EEDB"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A5400F" w14:textId="77777777" w:rsidR="002B17E4" w:rsidRPr="00507A31" w:rsidRDefault="002B17E4" w:rsidP="00507A31">
            <w:pPr>
              <w:jc w:val="both"/>
              <w:rPr>
                <w:color w:val="000000" w:themeColor="text1"/>
                <w:sz w:val="16"/>
                <w:szCs w:val="16"/>
              </w:rPr>
            </w:pPr>
            <w:r w:rsidRPr="00507A31">
              <w:rPr>
                <w:color w:val="000000" w:themeColor="text1"/>
                <w:sz w:val="16"/>
                <w:szCs w:val="16"/>
              </w:rPr>
              <w:t>Тресты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973DB8" w14:textId="77777777" w:rsidR="002B17E4" w:rsidRPr="00507A31" w:rsidRDefault="002B17E4" w:rsidP="00507A31">
            <w:pPr>
              <w:jc w:val="both"/>
              <w:rPr>
                <w:color w:val="000000" w:themeColor="text1"/>
                <w:sz w:val="16"/>
                <w:szCs w:val="16"/>
              </w:rPr>
            </w:pPr>
            <w:r w:rsidRPr="00507A31">
              <w:rPr>
                <w:color w:val="000000" w:themeColor="text1"/>
                <w:sz w:val="16"/>
                <w:szCs w:val="16"/>
              </w:rPr>
              <w:t>По контрольным</w:t>
            </w:r>
          </w:p>
          <w:p w14:paraId="2D276D26" w14:textId="77777777" w:rsidR="002B17E4" w:rsidRPr="00507A31" w:rsidRDefault="002B17E4" w:rsidP="00507A31">
            <w:pPr>
              <w:jc w:val="both"/>
              <w:rPr>
                <w:color w:val="000000" w:themeColor="text1"/>
                <w:sz w:val="16"/>
                <w:szCs w:val="16"/>
              </w:rPr>
            </w:pPr>
            <w:r w:rsidRPr="00507A31">
              <w:rPr>
                <w:color w:val="000000" w:themeColor="text1"/>
                <w:sz w:val="16"/>
                <w:szCs w:val="16"/>
              </w:rPr>
              <w:t> цифрам,</w:t>
            </w:r>
          </w:p>
          <w:p w14:paraId="5C931236" w14:textId="77777777" w:rsidR="002B17E4" w:rsidRPr="00507A31" w:rsidRDefault="002B17E4" w:rsidP="00507A31">
            <w:pPr>
              <w:jc w:val="both"/>
              <w:rPr>
                <w:color w:val="000000" w:themeColor="text1"/>
                <w:sz w:val="16"/>
                <w:szCs w:val="16"/>
              </w:rPr>
            </w:pPr>
            <w:r w:rsidRPr="00507A31">
              <w:rPr>
                <w:color w:val="000000" w:themeColor="text1"/>
                <w:sz w:val="16"/>
                <w:szCs w:val="16"/>
              </w:rPr>
              <w:t>в процентах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2E7F6E" w14:textId="77777777" w:rsidR="002B17E4" w:rsidRPr="00507A31" w:rsidRDefault="002B17E4" w:rsidP="00507A31">
            <w:pPr>
              <w:jc w:val="both"/>
              <w:rPr>
                <w:color w:val="000000" w:themeColor="text1"/>
                <w:sz w:val="16"/>
                <w:szCs w:val="16"/>
              </w:rPr>
            </w:pPr>
            <w:r w:rsidRPr="00507A31">
              <w:rPr>
                <w:color w:val="000000" w:themeColor="text1"/>
                <w:sz w:val="16"/>
                <w:szCs w:val="16"/>
              </w:rPr>
              <w:t>По промфинплану, в процентах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DB6252" w14:textId="77777777" w:rsidR="002B17E4" w:rsidRPr="00507A31" w:rsidRDefault="002B17E4" w:rsidP="00507A31">
            <w:pPr>
              <w:jc w:val="both"/>
              <w:rPr>
                <w:color w:val="000000" w:themeColor="text1"/>
                <w:sz w:val="16"/>
                <w:szCs w:val="16"/>
              </w:rPr>
            </w:pPr>
            <w:r w:rsidRPr="00507A31">
              <w:rPr>
                <w:color w:val="000000" w:themeColor="text1"/>
                <w:sz w:val="16"/>
                <w:szCs w:val="16"/>
              </w:rPr>
              <w:t>Изменение</w:t>
            </w:r>
          </w:p>
          <w:p w14:paraId="5E57C8F1" w14:textId="77777777" w:rsidR="002B17E4" w:rsidRPr="00507A31" w:rsidRDefault="002B17E4" w:rsidP="00507A31">
            <w:pPr>
              <w:jc w:val="both"/>
              <w:rPr>
                <w:color w:val="000000" w:themeColor="text1"/>
                <w:sz w:val="16"/>
                <w:szCs w:val="16"/>
              </w:rPr>
            </w:pPr>
            <w:r w:rsidRPr="00507A31">
              <w:rPr>
                <w:color w:val="000000" w:themeColor="text1"/>
                <w:sz w:val="16"/>
                <w:szCs w:val="16"/>
              </w:rPr>
              <w:t>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C4A7A1" w14:textId="77777777" w:rsidR="002B17E4" w:rsidRPr="00507A31" w:rsidRDefault="002B17E4" w:rsidP="00507A31">
            <w:pPr>
              <w:jc w:val="both"/>
              <w:rPr>
                <w:color w:val="000000" w:themeColor="text1"/>
                <w:sz w:val="16"/>
                <w:szCs w:val="16"/>
              </w:rPr>
            </w:pPr>
            <w:r w:rsidRPr="00507A31">
              <w:rPr>
                <w:color w:val="000000" w:themeColor="text1"/>
                <w:sz w:val="16"/>
                <w:szCs w:val="16"/>
              </w:rPr>
              <w:t>По отчету трестов, в процентах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5FC2C6" w14:textId="77777777" w:rsidR="002B17E4" w:rsidRPr="00507A31" w:rsidRDefault="002B17E4" w:rsidP="00507A31">
            <w:pPr>
              <w:jc w:val="both"/>
              <w:rPr>
                <w:color w:val="000000" w:themeColor="text1"/>
                <w:sz w:val="16"/>
                <w:szCs w:val="16"/>
              </w:rPr>
            </w:pPr>
            <w:r w:rsidRPr="00507A31">
              <w:rPr>
                <w:color w:val="000000" w:themeColor="text1"/>
                <w:sz w:val="16"/>
                <w:szCs w:val="16"/>
              </w:rPr>
              <w:t>Отчет трестов по отношению к промфинплану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3C0065E" w14:textId="77777777" w:rsidR="002B17E4" w:rsidRPr="00507A31" w:rsidRDefault="002B17E4" w:rsidP="00507A31">
            <w:pPr>
              <w:jc w:val="both"/>
              <w:rPr>
                <w:color w:val="000000" w:themeColor="text1"/>
                <w:sz w:val="16"/>
                <w:szCs w:val="16"/>
              </w:rPr>
            </w:pPr>
            <w:r w:rsidRPr="00507A31">
              <w:rPr>
                <w:color w:val="000000" w:themeColor="text1"/>
                <w:sz w:val="16"/>
                <w:szCs w:val="16"/>
              </w:rPr>
              <w:t>По отчету ГВПУ⁵*</w:t>
            </w:r>
          </w:p>
        </w:tc>
      </w:tr>
      <w:tr w:rsidR="00E371BA" w:rsidRPr="00507A31" w14:paraId="1AD9771A"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1C9835EE" w14:textId="77777777" w:rsidR="002B17E4" w:rsidRPr="00507A31" w:rsidRDefault="002B17E4"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659B45E" w14:textId="77777777" w:rsidR="002B17E4" w:rsidRPr="00507A31" w:rsidRDefault="002B17E4"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6949E0" w14:textId="77777777" w:rsidR="002B17E4" w:rsidRPr="00507A31" w:rsidRDefault="002B17E4"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43D40C" w14:textId="77777777" w:rsidR="002B17E4" w:rsidRPr="00507A31" w:rsidRDefault="002B17E4"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2A7048" w14:textId="77777777" w:rsidR="002B17E4" w:rsidRPr="00507A31" w:rsidRDefault="002B17E4"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223C2B" w14:textId="77777777" w:rsidR="002B17E4" w:rsidRPr="00507A31" w:rsidRDefault="002B17E4" w:rsidP="00507A31">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6B186F" w14:textId="77777777" w:rsidR="002B17E4" w:rsidRPr="00507A31" w:rsidRDefault="002B17E4" w:rsidP="00507A31">
            <w:pPr>
              <w:jc w:val="both"/>
              <w:rPr>
                <w:color w:val="000000" w:themeColor="text1"/>
                <w:sz w:val="16"/>
                <w:szCs w:val="16"/>
              </w:rPr>
            </w:pPr>
            <w:r w:rsidRPr="00507A31">
              <w:rPr>
                <w:color w:val="000000" w:themeColor="text1"/>
                <w:sz w:val="16"/>
                <w:szCs w:val="16"/>
              </w:rPr>
              <w:t>Выполнение фактическое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539DB" w14:textId="77777777" w:rsidR="002B17E4" w:rsidRPr="00507A31" w:rsidRDefault="002B17E4" w:rsidP="00507A31">
            <w:pPr>
              <w:jc w:val="both"/>
              <w:rPr>
                <w:color w:val="000000" w:themeColor="text1"/>
                <w:sz w:val="16"/>
                <w:szCs w:val="16"/>
              </w:rPr>
            </w:pPr>
            <w:r w:rsidRPr="00507A31">
              <w:rPr>
                <w:color w:val="000000" w:themeColor="text1"/>
                <w:sz w:val="16"/>
                <w:szCs w:val="16"/>
              </w:rPr>
              <w:t>По отношению к измененному плану</w:t>
            </w:r>
          </w:p>
        </w:tc>
      </w:tr>
      <w:tr w:rsidR="00E371BA" w:rsidRPr="00507A31" w14:paraId="2441C62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3BAF3B1" w14:textId="77777777" w:rsidR="002B17E4" w:rsidRPr="00507A31" w:rsidRDefault="002B17E4" w:rsidP="00507A31">
            <w:pPr>
              <w:jc w:val="both"/>
              <w:rPr>
                <w:color w:val="000000" w:themeColor="text1"/>
                <w:sz w:val="16"/>
                <w:szCs w:val="16"/>
              </w:rPr>
            </w:pPr>
            <w:r w:rsidRPr="00507A31">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39F92" w14:textId="77777777" w:rsidR="002B17E4" w:rsidRPr="00507A31" w:rsidRDefault="002B17E4" w:rsidP="00507A31">
            <w:pPr>
              <w:jc w:val="both"/>
              <w:rPr>
                <w:color w:val="000000" w:themeColor="text1"/>
                <w:sz w:val="16"/>
                <w:szCs w:val="16"/>
              </w:rPr>
            </w:pPr>
            <w:r w:rsidRPr="00507A31">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D8ED0" w14:textId="77777777" w:rsidR="002B17E4" w:rsidRPr="00507A31" w:rsidRDefault="002B17E4" w:rsidP="00507A31">
            <w:pPr>
              <w:jc w:val="both"/>
              <w:rPr>
                <w:color w:val="000000" w:themeColor="text1"/>
                <w:sz w:val="16"/>
                <w:szCs w:val="16"/>
              </w:rPr>
            </w:pPr>
            <w:r w:rsidRPr="00507A31">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C952F" w14:textId="77777777" w:rsidR="002B17E4" w:rsidRPr="00507A31" w:rsidRDefault="002B17E4" w:rsidP="00507A31">
            <w:pPr>
              <w:jc w:val="both"/>
              <w:rPr>
                <w:color w:val="000000" w:themeColor="text1"/>
                <w:sz w:val="16"/>
                <w:szCs w:val="16"/>
              </w:rPr>
            </w:pPr>
            <w:r w:rsidRPr="00507A31">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3FAD4" w14:textId="77777777" w:rsidR="002B17E4" w:rsidRPr="00507A31" w:rsidRDefault="002B17E4" w:rsidP="00507A31">
            <w:pPr>
              <w:jc w:val="both"/>
              <w:rPr>
                <w:color w:val="000000" w:themeColor="text1"/>
                <w:sz w:val="16"/>
                <w:szCs w:val="16"/>
              </w:rPr>
            </w:pPr>
            <w:r w:rsidRPr="00507A31">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A46D3" w14:textId="77777777" w:rsidR="002B17E4" w:rsidRPr="00507A31" w:rsidRDefault="002B17E4" w:rsidP="00507A31">
            <w:pPr>
              <w:jc w:val="both"/>
              <w:rPr>
                <w:color w:val="000000" w:themeColor="text1"/>
                <w:sz w:val="16"/>
                <w:szCs w:val="16"/>
              </w:rPr>
            </w:pPr>
            <w:r w:rsidRPr="00507A31">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BBBC7" w14:textId="77777777" w:rsidR="002B17E4" w:rsidRPr="00507A31" w:rsidRDefault="002B17E4" w:rsidP="00507A31">
            <w:pPr>
              <w:jc w:val="both"/>
              <w:rPr>
                <w:color w:val="000000" w:themeColor="text1"/>
                <w:sz w:val="16"/>
                <w:szCs w:val="16"/>
              </w:rPr>
            </w:pPr>
            <w:r w:rsidRPr="00507A31">
              <w:rPr>
                <w:color w:val="000000" w:themeColor="text1"/>
                <w:sz w:val="16"/>
                <w:szCs w:val="16"/>
              </w:rPr>
              <w:t>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FCB2A" w14:textId="77777777" w:rsidR="002B17E4" w:rsidRPr="00507A31" w:rsidRDefault="002B17E4" w:rsidP="00507A31">
            <w:pPr>
              <w:jc w:val="both"/>
              <w:rPr>
                <w:color w:val="000000" w:themeColor="text1"/>
                <w:sz w:val="16"/>
                <w:szCs w:val="16"/>
              </w:rPr>
            </w:pPr>
            <w:r w:rsidRPr="00507A31">
              <w:rPr>
                <w:color w:val="000000" w:themeColor="text1"/>
                <w:sz w:val="16"/>
                <w:szCs w:val="16"/>
              </w:rPr>
              <w:t>-4,5</w:t>
            </w:r>
          </w:p>
        </w:tc>
      </w:tr>
      <w:tr w:rsidR="00E371BA" w:rsidRPr="00507A31" w14:paraId="6B1D0EC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A5A987D" w14:textId="77777777" w:rsidR="002B17E4" w:rsidRPr="00507A31" w:rsidRDefault="002B17E4" w:rsidP="00507A31">
            <w:pPr>
              <w:jc w:val="both"/>
              <w:rPr>
                <w:color w:val="000000" w:themeColor="text1"/>
                <w:sz w:val="16"/>
                <w:szCs w:val="16"/>
              </w:rPr>
            </w:pPr>
            <w:r w:rsidRPr="00507A31">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8A53D" w14:textId="77777777" w:rsidR="002B17E4" w:rsidRPr="00507A31" w:rsidRDefault="002B17E4" w:rsidP="00507A31">
            <w:pPr>
              <w:jc w:val="both"/>
              <w:rPr>
                <w:color w:val="000000" w:themeColor="text1"/>
                <w:sz w:val="16"/>
                <w:szCs w:val="16"/>
              </w:rPr>
            </w:pPr>
            <w:r w:rsidRPr="00507A31">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7E6FC" w14:textId="77777777" w:rsidR="002B17E4" w:rsidRPr="00507A31" w:rsidRDefault="002B17E4" w:rsidP="00507A31">
            <w:pPr>
              <w:jc w:val="both"/>
              <w:rPr>
                <w:color w:val="000000" w:themeColor="text1"/>
                <w:sz w:val="16"/>
                <w:szCs w:val="16"/>
              </w:rPr>
            </w:pPr>
            <w:r w:rsidRPr="00507A31">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51282" w14:textId="77777777" w:rsidR="002B17E4" w:rsidRPr="00507A31" w:rsidRDefault="002B17E4" w:rsidP="00507A31">
            <w:pPr>
              <w:jc w:val="both"/>
              <w:rPr>
                <w:color w:val="000000" w:themeColor="text1"/>
                <w:sz w:val="16"/>
                <w:szCs w:val="16"/>
              </w:rPr>
            </w:pPr>
            <w:r w:rsidRPr="00507A31">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3F193" w14:textId="77777777" w:rsidR="002B17E4" w:rsidRPr="00507A31" w:rsidRDefault="002B17E4" w:rsidP="00507A31">
            <w:pPr>
              <w:jc w:val="both"/>
              <w:rPr>
                <w:color w:val="000000" w:themeColor="text1"/>
                <w:sz w:val="16"/>
                <w:szCs w:val="16"/>
              </w:rPr>
            </w:pPr>
            <w:r w:rsidRPr="00507A31">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760E7" w14:textId="77777777" w:rsidR="002B17E4" w:rsidRPr="00507A31" w:rsidRDefault="002B17E4" w:rsidP="00507A31">
            <w:pPr>
              <w:jc w:val="both"/>
              <w:rPr>
                <w:color w:val="000000" w:themeColor="text1"/>
                <w:sz w:val="16"/>
                <w:szCs w:val="16"/>
              </w:rPr>
            </w:pPr>
            <w:r w:rsidRPr="00507A31">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D6936" w14:textId="77777777" w:rsidR="002B17E4" w:rsidRPr="00507A31" w:rsidRDefault="002B17E4" w:rsidP="00507A31">
            <w:pPr>
              <w:jc w:val="both"/>
              <w:rPr>
                <w:color w:val="000000" w:themeColor="text1"/>
                <w:sz w:val="16"/>
                <w:szCs w:val="16"/>
              </w:rPr>
            </w:pPr>
            <w:r w:rsidRPr="00507A31">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A4105" w14:textId="77777777" w:rsidR="002B17E4" w:rsidRPr="00507A31" w:rsidRDefault="002B17E4" w:rsidP="00507A31">
            <w:pPr>
              <w:jc w:val="both"/>
              <w:rPr>
                <w:color w:val="000000" w:themeColor="text1"/>
                <w:sz w:val="16"/>
                <w:szCs w:val="16"/>
              </w:rPr>
            </w:pPr>
            <w:r w:rsidRPr="00507A31">
              <w:rPr>
                <w:color w:val="000000" w:themeColor="text1"/>
                <w:sz w:val="16"/>
                <w:szCs w:val="16"/>
              </w:rPr>
              <w:t>+ 1,6</w:t>
            </w:r>
          </w:p>
        </w:tc>
      </w:tr>
      <w:tr w:rsidR="00E371BA" w:rsidRPr="00507A31" w14:paraId="246831B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4CD6181" w14:textId="77777777" w:rsidR="002B17E4" w:rsidRPr="00507A31" w:rsidRDefault="002B17E4" w:rsidP="00507A31">
            <w:pPr>
              <w:jc w:val="both"/>
              <w:rPr>
                <w:color w:val="000000" w:themeColor="text1"/>
                <w:sz w:val="16"/>
                <w:szCs w:val="16"/>
              </w:rPr>
            </w:pPr>
            <w:r w:rsidRPr="00507A31">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27118" w14:textId="77777777" w:rsidR="002B17E4" w:rsidRPr="00507A31" w:rsidRDefault="002B17E4" w:rsidP="00507A31">
            <w:pPr>
              <w:jc w:val="both"/>
              <w:rPr>
                <w:color w:val="000000" w:themeColor="text1"/>
                <w:sz w:val="16"/>
                <w:szCs w:val="16"/>
              </w:rPr>
            </w:pPr>
            <w:r w:rsidRPr="00507A31">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9A0C0" w14:textId="77777777" w:rsidR="002B17E4" w:rsidRPr="00507A31" w:rsidRDefault="002B17E4" w:rsidP="00507A31">
            <w:pPr>
              <w:jc w:val="both"/>
              <w:rPr>
                <w:color w:val="000000" w:themeColor="text1"/>
                <w:sz w:val="16"/>
                <w:szCs w:val="16"/>
              </w:rPr>
            </w:pPr>
            <w:r w:rsidRPr="00507A31">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8C954" w14:textId="77777777" w:rsidR="002B17E4" w:rsidRPr="00507A31" w:rsidRDefault="002B17E4" w:rsidP="00507A31">
            <w:pPr>
              <w:jc w:val="both"/>
              <w:rPr>
                <w:color w:val="000000" w:themeColor="text1"/>
                <w:sz w:val="16"/>
                <w:szCs w:val="16"/>
              </w:rPr>
            </w:pPr>
            <w:r w:rsidRPr="00507A31">
              <w:rPr>
                <w:color w:val="000000" w:themeColor="text1"/>
                <w:sz w:val="16"/>
                <w:szCs w:val="16"/>
              </w:rPr>
              <w:t>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084B7" w14:textId="77777777" w:rsidR="002B17E4" w:rsidRPr="00507A31" w:rsidRDefault="002B17E4" w:rsidP="00507A31">
            <w:pPr>
              <w:jc w:val="both"/>
              <w:rPr>
                <w:color w:val="000000" w:themeColor="text1"/>
                <w:sz w:val="16"/>
                <w:szCs w:val="16"/>
              </w:rPr>
            </w:pPr>
            <w:r w:rsidRPr="00507A31">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03B37" w14:textId="77777777" w:rsidR="002B17E4" w:rsidRPr="00507A31" w:rsidRDefault="002B17E4" w:rsidP="00507A31">
            <w:pPr>
              <w:jc w:val="both"/>
              <w:rPr>
                <w:color w:val="000000" w:themeColor="text1"/>
                <w:sz w:val="16"/>
                <w:szCs w:val="16"/>
              </w:rPr>
            </w:pPr>
            <w:r w:rsidRPr="00507A31">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CABE8" w14:textId="77777777" w:rsidR="002B17E4" w:rsidRPr="00507A31" w:rsidRDefault="002B17E4" w:rsidP="00507A31">
            <w:pPr>
              <w:jc w:val="both"/>
              <w:rPr>
                <w:color w:val="000000" w:themeColor="text1"/>
                <w:sz w:val="16"/>
                <w:szCs w:val="16"/>
              </w:rPr>
            </w:pPr>
            <w:r w:rsidRPr="00507A31">
              <w:rPr>
                <w:color w:val="000000" w:themeColor="text1"/>
                <w:sz w:val="16"/>
                <w:szCs w:val="16"/>
              </w:rPr>
              <w:t>10,53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BD7F2" w14:textId="77777777" w:rsidR="002B17E4" w:rsidRPr="00507A31" w:rsidRDefault="002B17E4" w:rsidP="00507A31">
            <w:pPr>
              <w:jc w:val="both"/>
              <w:rPr>
                <w:color w:val="000000" w:themeColor="text1"/>
                <w:sz w:val="16"/>
                <w:szCs w:val="16"/>
              </w:rPr>
            </w:pPr>
            <w:r w:rsidRPr="00507A31">
              <w:rPr>
                <w:color w:val="000000" w:themeColor="text1"/>
                <w:sz w:val="16"/>
                <w:szCs w:val="16"/>
              </w:rPr>
              <w:t>+1,8</w:t>
            </w:r>
          </w:p>
        </w:tc>
      </w:tr>
      <w:tr w:rsidR="00E371BA" w:rsidRPr="00507A31" w14:paraId="36D7140A"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C47E1F1" w14:textId="77777777" w:rsidR="002B17E4" w:rsidRPr="00507A31" w:rsidRDefault="002B17E4" w:rsidP="00507A31">
            <w:pPr>
              <w:jc w:val="both"/>
              <w:rPr>
                <w:color w:val="000000" w:themeColor="text1"/>
                <w:sz w:val="16"/>
                <w:szCs w:val="16"/>
              </w:rPr>
            </w:pPr>
            <w:r w:rsidRPr="00507A31">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B7AF" w14:textId="77777777" w:rsidR="002B17E4" w:rsidRPr="00507A31" w:rsidRDefault="002B17E4" w:rsidP="00507A31">
            <w:pPr>
              <w:jc w:val="both"/>
              <w:rPr>
                <w:color w:val="000000" w:themeColor="text1"/>
                <w:sz w:val="16"/>
                <w:szCs w:val="16"/>
              </w:rPr>
            </w:pPr>
            <w:r w:rsidRPr="00507A31">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AAC50" w14:textId="77777777" w:rsidR="002B17E4" w:rsidRPr="00507A31" w:rsidRDefault="002B17E4" w:rsidP="00507A31">
            <w:pPr>
              <w:jc w:val="both"/>
              <w:rPr>
                <w:color w:val="000000" w:themeColor="text1"/>
                <w:sz w:val="16"/>
                <w:szCs w:val="16"/>
              </w:rPr>
            </w:pPr>
            <w:r w:rsidRPr="00507A31">
              <w:rPr>
                <w:color w:val="000000" w:themeColor="text1"/>
                <w:sz w:val="16"/>
                <w:szCs w:val="16"/>
              </w:rPr>
              <w:t>12,85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136BA" w14:textId="77777777" w:rsidR="002B17E4" w:rsidRPr="00507A31" w:rsidRDefault="002B17E4" w:rsidP="00507A31">
            <w:pPr>
              <w:jc w:val="both"/>
              <w:rPr>
                <w:color w:val="000000" w:themeColor="text1"/>
                <w:sz w:val="16"/>
                <w:szCs w:val="16"/>
              </w:rPr>
            </w:pPr>
            <w:r w:rsidRPr="00507A31">
              <w:rPr>
                <w:color w:val="000000" w:themeColor="text1"/>
                <w:sz w:val="16"/>
                <w:szCs w:val="16"/>
              </w:rPr>
              <w:t>13,77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D6A38" w14:textId="77777777" w:rsidR="002B17E4" w:rsidRPr="00507A31" w:rsidRDefault="002B17E4" w:rsidP="00507A31">
            <w:pPr>
              <w:jc w:val="both"/>
              <w:rPr>
                <w:color w:val="000000" w:themeColor="text1"/>
                <w:sz w:val="16"/>
                <w:szCs w:val="16"/>
              </w:rPr>
            </w:pPr>
            <w:r w:rsidRPr="00507A31">
              <w:rPr>
                <w:color w:val="000000" w:themeColor="text1"/>
                <w:sz w:val="16"/>
                <w:szCs w:val="16"/>
              </w:rPr>
              <w:t>13,36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0A85B" w14:textId="77777777" w:rsidR="002B17E4" w:rsidRPr="00507A31" w:rsidRDefault="002B17E4" w:rsidP="00507A31">
            <w:pPr>
              <w:jc w:val="both"/>
              <w:rPr>
                <w:color w:val="000000" w:themeColor="text1"/>
                <w:sz w:val="16"/>
                <w:szCs w:val="16"/>
              </w:rPr>
            </w:pPr>
            <w:r w:rsidRPr="00507A31">
              <w:rPr>
                <w:color w:val="000000" w:themeColor="text1"/>
                <w:sz w:val="16"/>
                <w:szCs w:val="16"/>
              </w:rPr>
              <w:t>+0,51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785DF" w14:textId="77777777" w:rsidR="002B17E4" w:rsidRPr="00507A31" w:rsidRDefault="002B17E4" w:rsidP="00507A31">
            <w:pPr>
              <w:jc w:val="both"/>
              <w:rPr>
                <w:color w:val="000000" w:themeColor="text1"/>
                <w:sz w:val="16"/>
                <w:szCs w:val="16"/>
              </w:rPr>
            </w:pPr>
            <w:r w:rsidRPr="00507A31">
              <w:rPr>
                <w:color w:val="000000" w:themeColor="text1"/>
                <w:sz w:val="16"/>
                <w:szCs w:val="16"/>
              </w:rPr>
              <w:t>13,36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79B8B" w14:textId="77777777" w:rsidR="002B17E4" w:rsidRPr="00507A31" w:rsidRDefault="002B17E4" w:rsidP="00507A31">
            <w:pPr>
              <w:jc w:val="both"/>
              <w:rPr>
                <w:color w:val="000000" w:themeColor="text1"/>
                <w:sz w:val="16"/>
                <w:szCs w:val="16"/>
              </w:rPr>
            </w:pPr>
            <w:r w:rsidRPr="00507A31">
              <w:rPr>
                <w:color w:val="000000" w:themeColor="text1"/>
                <w:sz w:val="16"/>
                <w:szCs w:val="16"/>
              </w:rPr>
              <w:t>-0,41</w:t>
            </w:r>
          </w:p>
        </w:tc>
      </w:tr>
      <w:tr w:rsidR="00E371BA" w:rsidRPr="00507A31" w14:paraId="4A01165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42896E0" w14:textId="77777777" w:rsidR="002B17E4" w:rsidRPr="00507A31" w:rsidRDefault="002B17E4" w:rsidP="00507A31">
            <w:pPr>
              <w:jc w:val="both"/>
              <w:rPr>
                <w:color w:val="000000" w:themeColor="text1"/>
                <w:sz w:val="16"/>
                <w:szCs w:val="16"/>
              </w:rPr>
            </w:pPr>
            <w:r w:rsidRPr="00507A31">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10802" w14:textId="77777777" w:rsidR="002B17E4" w:rsidRPr="00507A31" w:rsidRDefault="002B17E4" w:rsidP="00507A31">
            <w:pPr>
              <w:jc w:val="both"/>
              <w:rPr>
                <w:color w:val="000000" w:themeColor="text1"/>
                <w:sz w:val="16"/>
                <w:szCs w:val="16"/>
              </w:rPr>
            </w:pPr>
            <w:r w:rsidRPr="00507A31">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D1FA5" w14:textId="77777777" w:rsidR="002B17E4" w:rsidRPr="00507A31" w:rsidRDefault="002B17E4" w:rsidP="00507A31">
            <w:pPr>
              <w:jc w:val="both"/>
              <w:rPr>
                <w:color w:val="000000" w:themeColor="text1"/>
                <w:sz w:val="16"/>
                <w:szCs w:val="16"/>
              </w:rPr>
            </w:pPr>
            <w:r w:rsidRPr="00507A31">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04DD" w14:textId="77777777" w:rsidR="002B17E4" w:rsidRPr="00507A31" w:rsidRDefault="002B17E4" w:rsidP="00507A31">
            <w:pPr>
              <w:jc w:val="both"/>
              <w:rPr>
                <w:color w:val="000000" w:themeColor="text1"/>
                <w:sz w:val="16"/>
                <w:szCs w:val="16"/>
              </w:rPr>
            </w:pPr>
            <w:r w:rsidRPr="00507A31">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B58F2" w14:textId="77777777" w:rsidR="002B17E4" w:rsidRPr="00507A31" w:rsidRDefault="002B17E4" w:rsidP="00507A31">
            <w:pPr>
              <w:jc w:val="both"/>
              <w:rPr>
                <w:color w:val="000000" w:themeColor="text1"/>
                <w:sz w:val="16"/>
                <w:szCs w:val="16"/>
              </w:rPr>
            </w:pPr>
            <w:r w:rsidRPr="00507A31">
              <w:rPr>
                <w:color w:val="000000" w:themeColor="text1"/>
                <w:sz w:val="16"/>
                <w:szCs w:val="16"/>
              </w:rPr>
              <w:t>12,15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FFA68" w14:textId="77777777" w:rsidR="002B17E4" w:rsidRPr="00507A31" w:rsidRDefault="002B17E4" w:rsidP="00507A31">
            <w:pPr>
              <w:jc w:val="both"/>
              <w:rPr>
                <w:color w:val="000000" w:themeColor="text1"/>
                <w:sz w:val="16"/>
                <w:szCs w:val="16"/>
              </w:rPr>
            </w:pPr>
            <w:r w:rsidRPr="00507A31">
              <w:rPr>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62DFD" w14:textId="77777777" w:rsidR="002B17E4" w:rsidRPr="00507A31" w:rsidRDefault="002B17E4" w:rsidP="00507A31">
            <w:pPr>
              <w:jc w:val="both"/>
              <w:rPr>
                <w:color w:val="000000" w:themeColor="text1"/>
                <w:sz w:val="16"/>
                <w:szCs w:val="16"/>
              </w:rPr>
            </w:pPr>
            <w:r w:rsidRPr="00507A31">
              <w:rPr>
                <w:color w:val="000000" w:themeColor="text1"/>
                <w:sz w:val="16"/>
                <w:szCs w:val="16"/>
              </w:rPr>
              <w:t>12,15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F2451" w14:textId="77777777" w:rsidR="002B17E4" w:rsidRPr="00507A31" w:rsidRDefault="002B17E4" w:rsidP="00507A31">
            <w:pPr>
              <w:jc w:val="both"/>
              <w:rPr>
                <w:color w:val="000000" w:themeColor="text1"/>
                <w:sz w:val="16"/>
                <w:szCs w:val="16"/>
              </w:rPr>
            </w:pPr>
            <w:r w:rsidRPr="00507A31">
              <w:rPr>
                <w:color w:val="000000" w:themeColor="text1"/>
                <w:sz w:val="16"/>
                <w:szCs w:val="16"/>
              </w:rPr>
              <w:t>+2,65</w:t>
            </w:r>
          </w:p>
        </w:tc>
      </w:tr>
      <w:tr w:rsidR="00E371BA" w:rsidRPr="00507A31" w14:paraId="4E32733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6C3A695" w14:textId="77777777" w:rsidR="002B17E4" w:rsidRPr="00507A31" w:rsidRDefault="002B17E4" w:rsidP="00507A31">
            <w:pPr>
              <w:jc w:val="both"/>
              <w:rPr>
                <w:color w:val="000000" w:themeColor="text1"/>
                <w:sz w:val="16"/>
                <w:szCs w:val="16"/>
              </w:rPr>
            </w:pPr>
            <w:r w:rsidRPr="00507A31">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A6FD5" w14:textId="77777777" w:rsidR="002B17E4" w:rsidRPr="00507A31" w:rsidRDefault="002B17E4" w:rsidP="00507A31">
            <w:pPr>
              <w:jc w:val="both"/>
              <w:rPr>
                <w:color w:val="000000" w:themeColor="text1"/>
                <w:sz w:val="16"/>
                <w:szCs w:val="16"/>
              </w:rPr>
            </w:pPr>
            <w:r w:rsidRPr="00507A31">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0FFB7" w14:textId="77777777" w:rsidR="002B17E4" w:rsidRPr="00507A31" w:rsidRDefault="002B17E4" w:rsidP="00507A31">
            <w:pPr>
              <w:jc w:val="both"/>
              <w:rPr>
                <w:color w:val="000000" w:themeColor="text1"/>
                <w:sz w:val="16"/>
                <w:szCs w:val="16"/>
              </w:rPr>
            </w:pPr>
            <w:r w:rsidRPr="00507A31">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EF84E" w14:textId="77777777" w:rsidR="002B17E4" w:rsidRPr="00507A31" w:rsidRDefault="002B17E4" w:rsidP="00507A31">
            <w:pPr>
              <w:jc w:val="both"/>
              <w:rPr>
                <w:color w:val="000000" w:themeColor="text1"/>
                <w:sz w:val="16"/>
                <w:szCs w:val="16"/>
              </w:rPr>
            </w:pPr>
            <w:r w:rsidRPr="00507A31">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8A698" w14:textId="77777777" w:rsidR="002B17E4" w:rsidRPr="00507A31" w:rsidRDefault="002B17E4" w:rsidP="00507A31">
            <w:pPr>
              <w:jc w:val="both"/>
              <w:rPr>
                <w:color w:val="000000" w:themeColor="text1"/>
                <w:sz w:val="16"/>
                <w:szCs w:val="16"/>
              </w:rPr>
            </w:pPr>
            <w:r w:rsidRPr="00507A31">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C0264" w14:textId="77777777" w:rsidR="002B17E4" w:rsidRPr="00507A31" w:rsidRDefault="002B17E4" w:rsidP="00507A31">
            <w:pPr>
              <w:jc w:val="both"/>
              <w:rPr>
                <w:color w:val="000000" w:themeColor="text1"/>
                <w:sz w:val="16"/>
                <w:szCs w:val="16"/>
              </w:rPr>
            </w:pPr>
            <w:r w:rsidRPr="00507A31">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482C2" w14:textId="77777777" w:rsidR="002B17E4" w:rsidRPr="00507A31" w:rsidRDefault="002B17E4" w:rsidP="00507A31">
            <w:pPr>
              <w:jc w:val="both"/>
              <w:rPr>
                <w:color w:val="000000" w:themeColor="text1"/>
                <w:sz w:val="16"/>
                <w:szCs w:val="16"/>
              </w:rPr>
            </w:pPr>
            <w:r w:rsidRPr="00507A31">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90A72" w14:textId="77777777" w:rsidR="002B17E4" w:rsidRPr="00507A31" w:rsidRDefault="002B17E4" w:rsidP="00507A31">
            <w:pPr>
              <w:jc w:val="both"/>
              <w:rPr>
                <w:color w:val="000000" w:themeColor="text1"/>
                <w:sz w:val="16"/>
                <w:szCs w:val="16"/>
              </w:rPr>
            </w:pPr>
            <w:r w:rsidRPr="00507A31">
              <w:rPr>
                <w:color w:val="000000" w:themeColor="text1"/>
                <w:sz w:val="16"/>
                <w:szCs w:val="16"/>
              </w:rPr>
              <w:t> </w:t>
            </w:r>
          </w:p>
        </w:tc>
      </w:tr>
    </w:tbl>
    <w:p w14:paraId="007A9026"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Эта таблица показывает, что близорукая политика трестов путем страховки себя от прорывов в ценах основных материалов и по линии повышения производительности труда разбита жизнью. Перевыполнение плана по четырем трестам, особенно по отношению к намеченному снижению себестоимости в контрольных цифрах, настолько значительно (почти вдвое против контрольных цифр по ВХТ и АТ), что это является одновременно и показателем скверной постановки планирования экономики труда в военной промышленности. Следует отметить, что валовая продукция этих четырех трестов превышает 260 млн. руб., и хотя валовая продукция ОАТ составляет 31,5% (82 млн. руб.) от всей продукции военпрома, недовыполнение последним плана по снижению себестоимости на 0,2 общей благоприятной картины резко не меняет.</w:t>
      </w:r>
    </w:p>
    <w:p w14:paraId="78F8B7C0" w14:textId="77777777" w:rsidR="002B17E4" w:rsidRPr="00507A31" w:rsidRDefault="002B17E4" w:rsidP="00507A31">
      <w:pPr>
        <w:jc w:val="both"/>
        <w:rPr>
          <w:color w:val="000000" w:themeColor="text1"/>
          <w:sz w:val="16"/>
          <w:szCs w:val="16"/>
        </w:rPr>
      </w:pPr>
      <w:r w:rsidRPr="00507A31">
        <w:rPr>
          <w:color w:val="000000" w:themeColor="text1"/>
          <w:sz w:val="16"/>
          <w:szCs w:val="16"/>
        </w:rPr>
        <w:t>Число рабочих</w:t>
      </w:r>
    </w:p>
    <w:p w14:paraId="78AE388F"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Общее число списочных рабочих, занятых на постоянных работах (без капитальных работ) в среднем за год:</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08"/>
        <w:gridCol w:w="2048"/>
        <w:gridCol w:w="2202"/>
        <w:gridCol w:w="2732"/>
        <w:gridCol w:w="2732"/>
      </w:tblGrid>
      <w:tr w:rsidR="00E371BA" w:rsidRPr="00507A31" w14:paraId="40317EC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EBCBC69" w14:textId="77777777" w:rsidR="002B17E4" w:rsidRPr="00507A31" w:rsidRDefault="002B17E4" w:rsidP="00507A31">
            <w:pPr>
              <w:jc w:val="both"/>
              <w:rPr>
                <w:color w:val="000000" w:themeColor="text1"/>
                <w:sz w:val="16"/>
                <w:szCs w:val="16"/>
              </w:rPr>
            </w:pPr>
            <w:r w:rsidRPr="00507A31">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4E8BA" w14:textId="77777777" w:rsidR="002B17E4" w:rsidRPr="00507A31" w:rsidRDefault="002B17E4" w:rsidP="00507A31">
            <w:pPr>
              <w:jc w:val="both"/>
              <w:rPr>
                <w:color w:val="000000" w:themeColor="text1"/>
                <w:sz w:val="16"/>
                <w:szCs w:val="16"/>
              </w:rPr>
            </w:pPr>
            <w:r w:rsidRPr="00507A31">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10695" w14:textId="77777777" w:rsidR="002B17E4" w:rsidRPr="00507A31" w:rsidRDefault="002B17E4" w:rsidP="00507A31">
            <w:pPr>
              <w:jc w:val="both"/>
              <w:rPr>
                <w:color w:val="000000" w:themeColor="text1"/>
                <w:sz w:val="16"/>
                <w:szCs w:val="16"/>
              </w:rPr>
            </w:pPr>
            <w:r w:rsidRPr="00507A31">
              <w:rPr>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41E5" w14:textId="77777777" w:rsidR="002B17E4" w:rsidRPr="00507A31" w:rsidRDefault="002B17E4" w:rsidP="00507A31">
            <w:pPr>
              <w:jc w:val="both"/>
              <w:rPr>
                <w:color w:val="000000" w:themeColor="text1"/>
                <w:sz w:val="16"/>
                <w:szCs w:val="16"/>
              </w:rPr>
            </w:pPr>
            <w:r w:rsidRPr="00507A31">
              <w:rPr>
                <w:color w:val="000000" w:themeColor="text1"/>
                <w:sz w:val="16"/>
                <w:szCs w:val="16"/>
              </w:rPr>
              <w:t>В процентах</w:t>
            </w:r>
          </w:p>
          <w:p w14:paraId="022AB7C6" w14:textId="77777777" w:rsidR="002B17E4" w:rsidRPr="00507A31" w:rsidRDefault="002B17E4" w:rsidP="00507A31">
            <w:pPr>
              <w:jc w:val="both"/>
              <w:rPr>
                <w:color w:val="000000" w:themeColor="text1"/>
                <w:sz w:val="16"/>
                <w:szCs w:val="16"/>
              </w:rPr>
            </w:pPr>
            <w:r w:rsidRPr="00507A31">
              <w:rPr>
                <w:color w:val="000000" w:themeColor="text1"/>
                <w:sz w:val="16"/>
                <w:szCs w:val="16"/>
              </w:rPr>
              <w:t>к 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8E8A4" w14:textId="77777777" w:rsidR="002B17E4" w:rsidRPr="00507A31" w:rsidRDefault="002B17E4" w:rsidP="00507A31">
            <w:pPr>
              <w:jc w:val="both"/>
              <w:rPr>
                <w:color w:val="000000" w:themeColor="text1"/>
                <w:sz w:val="16"/>
                <w:szCs w:val="16"/>
              </w:rPr>
            </w:pPr>
            <w:r w:rsidRPr="00507A31">
              <w:rPr>
                <w:color w:val="000000" w:themeColor="text1"/>
                <w:sz w:val="16"/>
                <w:szCs w:val="16"/>
              </w:rPr>
              <w:t>В процентах</w:t>
            </w:r>
          </w:p>
          <w:p w14:paraId="0B61C0E3" w14:textId="77777777" w:rsidR="002B17E4" w:rsidRPr="00507A31" w:rsidRDefault="002B17E4" w:rsidP="00507A31">
            <w:pPr>
              <w:jc w:val="both"/>
              <w:rPr>
                <w:color w:val="000000" w:themeColor="text1"/>
                <w:sz w:val="16"/>
                <w:szCs w:val="16"/>
              </w:rPr>
            </w:pPr>
            <w:r w:rsidRPr="00507A31">
              <w:rPr>
                <w:color w:val="000000" w:themeColor="text1"/>
                <w:sz w:val="16"/>
                <w:szCs w:val="16"/>
              </w:rPr>
              <w:t>к плану</w:t>
            </w:r>
          </w:p>
        </w:tc>
      </w:tr>
      <w:tr w:rsidR="00E371BA" w:rsidRPr="00507A31" w14:paraId="3EB0DCD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5D8BE74" w14:textId="77777777" w:rsidR="002B17E4" w:rsidRPr="00507A31" w:rsidRDefault="002B17E4" w:rsidP="00507A31">
            <w:pPr>
              <w:jc w:val="both"/>
              <w:rPr>
                <w:color w:val="000000" w:themeColor="text1"/>
                <w:sz w:val="16"/>
                <w:szCs w:val="16"/>
              </w:rPr>
            </w:pPr>
            <w:r w:rsidRPr="00507A31">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F4A26" w14:textId="77777777" w:rsidR="002B17E4" w:rsidRPr="00507A31" w:rsidRDefault="002B17E4" w:rsidP="00507A31">
            <w:pPr>
              <w:jc w:val="both"/>
              <w:rPr>
                <w:color w:val="000000" w:themeColor="text1"/>
                <w:sz w:val="16"/>
                <w:szCs w:val="16"/>
              </w:rPr>
            </w:pPr>
            <w:r w:rsidRPr="00507A31">
              <w:rPr>
                <w:color w:val="000000" w:themeColor="text1"/>
                <w:sz w:val="16"/>
                <w:szCs w:val="16"/>
              </w:rPr>
              <w:t>22 200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C5DC3" w14:textId="77777777" w:rsidR="002B17E4" w:rsidRPr="00507A31" w:rsidRDefault="002B17E4" w:rsidP="00507A31">
            <w:pPr>
              <w:jc w:val="both"/>
              <w:rPr>
                <w:color w:val="000000" w:themeColor="text1"/>
                <w:sz w:val="16"/>
                <w:szCs w:val="16"/>
              </w:rPr>
            </w:pPr>
            <w:r w:rsidRPr="00507A31">
              <w:rPr>
                <w:color w:val="000000" w:themeColor="text1"/>
                <w:sz w:val="16"/>
                <w:szCs w:val="16"/>
              </w:rPr>
              <w:t>23 859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5C007" w14:textId="77777777" w:rsidR="002B17E4" w:rsidRPr="00507A31" w:rsidRDefault="002B17E4" w:rsidP="00507A31">
            <w:pPr>
              <w:jc w:val="both"/>
              <w:rPr>
                <w:color w:val="000000" w:themeColor="text1"/>
                <w:sz w:val="16"/>
                <w:szCs w:val="16"/>
              </w:rPr>
            </w:pPr>
            <w:r w:rsidRPr="00507A31">
              <w:rPr>
                <w:color w:val="000000" w:themeColor="text1"/>
                <w:sz w:val="16"/>
                <w:szCs w:val="16"/>
              </w:rPr>
              <w:t>116,5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4C39B" w14:textId="77777777" w:rsidR="002B17E4" w:rsidRPr="00507A31" w:rsidRDefault="002B17E4" w:rsidP="00507A31">
            <w:pPr>
              <w:jc w:val="both"/>
              <w:rPr>
                <w:color w:val="000000" w:themeColor="text1"/>
                <w:sz w:val="16"/>
                <w:szCs w:val="16"/>
              </w:rPr>
            </w:pPr>
            <w:r w:rsidRPr="00507A31">
              <w:rPr>
                <w:color w:val="000000" w:themeColor="text1"/>
                <w:sz w:val="16"/>
                <w:szCs w:val="16"/>
              </w:rPr>
              <w:t>107,4</w:t>
            </w:r>
          </w:p>
        </w:tc>
      </w:tr>
      <w:tr w:rsidR="00E371BA" w:rsidRPr="00507A31" w14:paraId="286B817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214DB2E" w14:textId="77777777" w:rsidR="002B17E4" w:rsidRPr="00507A31" w:rsidRDefault="002B17E4" w:rsidP="00507A31">
            <w:pPr>
              <w:jc w:val="both"/>
              <w:rPr>
                <w:color w:val="000000" w:themeColor="text1"/>
                <w:sz w:val="16"/>
                <w:szCs w:val="16"/>
              </w:rPr>
            </w:pPr>
            <w:r w:rsidRPr="00507A31">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3A99" w14:textId="77777777" w:rsidR="002B17E4" w:rsidRPr="00507A31" w:rsidRDefault="002B17E4" w:rsidP="00507A31">
            <w:pPr>
              <w:jc w:val="both"/>
              <w:rPr>
                <w:color w:val="000000" w:themeColor="text1"/>
                <w:sz w:val="16"/>
                <w:szCs w:val="16"/>
              </w:rPr>
            </w:pPr>
            <w:r w:rsidRPr="00507A31">
              <w:rPr>
                <w:color w:val="000000" w:themeColor="text1"/>
                <w:sz w:val="16"/>
                <w:szCs w:val="16"/>
              </w:rPr>
              <w:t>34 290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9AC9D" w14:textId="77777777" w:rsidR="002B17E4" w:rsidRPr="00507A31" w:rsidRDefault="002B17E4" w:rsidP="00507A31">
            <w:pPr>
              <w:jc w:val="both"/>
              <w:rPr>
                <w:color w:val="000000" w:themeColor="text1"/>
                <w:sz w:val="16"/>
                <w:szCs w:val="16"/>
              </w:rPr>
            </w:pPr>
            <w:r w:rsidRPr="00507A31">
              <w:rPr>
                <w:color w:val="000000" w:themeColor="text1"/>
                <w:sz w:val="16"/>
                <w:szCs w:val="16"/>
              </w:rPr>
              <w:t>33 208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FE33F" w14:textId="77777777" w:rsidR="002B17E4" w:rsidRPr="00507A31" w:rsidRDefault="002B17E4" w:rsidP="00507A31">
            <w:pPr>
              <w:jc w:val="both"/>
              <w:rPr>
                <w:color w:val="000000" w:themeColor="text1"/>
                <w:sz w:val="16"/>
                <w:szCs w:val="16"/>
              </w:rPr>
            </w:pPr>
            <w:r w:rsidRPr="00507A31">
              <w:rPr>
                <w:color w:val="000000" w:themeColor="text1"/>
                <w:sz w:val="16"/>
                <w:szCs w:val="16"/>
              </w:rPr>
              <w:t>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DA40E" w14:textId="77777777" w:rsidR="002B17E4" w:rsidRPr="00507A31" w:rsidRDefault="002B17E4" w:rsidP="00507A31">
            <w:pPr>
              <w:jc w:val="both"/>
              <w:rPr>
                <w:color w:val="000000" w:themeColor="text1"/>
                <w:sz w:val="16"/>
                <w:szCs w:val="16"/>
              </w:rPr>
            </w:pPr>
            <w:r w:rsidRPr="00507A31">
              <w:rPr>
                <w:color w:val="000000" w:themeColor="text1"/>
                <w:sz w:val="16"/>
                <w:szCs w:val="16"/>
              </w:rPr>
              <w:t>96,9</w:t>
            </w:r>
          </w:p>
        </w:tc>
      </w:tr>
      <w:tr w:rsidR="00E371BA" w:rsidRPr="00507A31" w14:paraId="582A111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F522D36" w14:textId="77777777" w:rsidR="002B17E4" w:rsidRPr="00507A31" w:rsidRDefault="002B17E4" w:rsidP="00507A31">
            <w:pPr>
              <w:jc w:val="both"/>
              <w:rPr>
                <w:color w:val="000000" w:themeColor="text1"/>
                <w:sz w:val="16"/>
                <w:szCs w:val="16"/>
              </w:rPr>
            </w:pPr>
            <w:r w:rsidRPr="00507A31">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D43F0" w14:textId="77777777" w:rsidR="002B17E4" w:rsidRPr="00507A31" w:rsidRDefault="002B17E4" w:rsidP="00507A31">
            <w:pPr>
              <w:jc w:val="both"/>
              <w:rPr>
                <w:color w:val="000000" w:themeColor="text1"/>
                <w:sz w:val="16"/>
                <w:szCs w:val="16"/>
              </w:rPr>
            </w:pPr>
            <w:r w:rsidRPr="00507A31">
              <w:rPr>
                <w:color w:val="000000" w:themeColor="text1"/>
                <w:sz w:val="16"/>
                <w:szCs w:val="16"/>
              </w:rPr>
              <w:t>18 200⁶*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4276E" w14:textId="77777777" w:rsidR="002B17E4" w:rsidRPr="00507A31" w:rsidRDefault="002B17E4" w:rsidP="00507A31">
            <w:pPr>
              <w:jc w:val="both"/>
              <w:rPr>
                <w:color w:val="000000" w:themeColor="text1"/>
                <w:sz w:val="16"/>
                <w:szCs w:val="16"/>
              </w:rPr>
            </w:pPr>
            <w:r w:rsidRPr="00507A31">
              <w:rPr>
                <w:color w:val="000000" w:themeColor="text1"/>
                <w:sz w:val="16"/>
                <w:szCs w:val="16"/>
              </w:rPr>
              <w:t>18 939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96741" w14:textId="77777777" w:rsidR="002B17E4" w:rsidRPr="00507A31" w:rsidRDefault="002B17E4" w:rsidP="00507A31">
            <w:pPr>
              <w:jc w:val="both"/>
              <w:rPr>
                <w:color w:val="000000" w:themeColor="text1"/>
                <w:sz w:val="16"/>
                <w:szCs w:val="16"/>
              </w:rPr>
            </w:pPr>
            <w:r w:rsidRPr="00507A31">
              <w:rPr>
                <w:color w:val="000000" w:themeColor="text1"/>
                <w:sz w:val="16"/>
                <w:szCs w:val="16"/>
              </w:rPr>
              <w:t>111,1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AD63E" w14:textId="77777777" w:rsidR="002B17E4" w:rsidRPr="00507A31" w:rsidRDefault="002B17E4" w:rsidP="00507A31">
            <w:pPr>
              <w:jc w:val="both"/>
              <w:rPr>
                <w:color w:val="000000" w:themeColor="text1"/>
                <w:sz w:val="16"/>
                <w:szCs w:val="16"/>
              </w:rPr>
            </w:pPr>
            <w:r w:rsidRPr="00507A31">
              <w:rPr>
                <w:color w:val="000000" w:themeColor="text1"/>
                <w:sz w:val="16"/>
                <w:szCs w:val="16"/>
              </w:rPr>
              <w:t>104</w:t>
            </w:r>
          </w:p>
        </w:tc>
      </w:tr>
      <w:tr w:rsidR="00E371BA" w:rsidRPr="00507A31" w14:paraId="74DECF6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0DF2ED2" w14:textId="77777777" w:rsidR="002B17E4" w:rsidRPr="00507A31" w:rsidRDefault="002B17E4" w:rsidP="00507A31">
            <w:pPr>
              <w:jc w:val="both"/>
              <w:rPr>
                <w:color w:val="000000" w:themeColor="text1"/>
                <w:sz w:val="16"/>
                <w:szCs w:val="16"/>
              </w:rPr>
            </w:pPr>
            <w:r w:rsidRPr="00507A31">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40B59" w14:textId="77777777" w:rsidR="002B17E4" w:rsidRPr="00507A31" w:rsidRDefault="002B17E4" w:rsidP="00507A31">
            <w:pPr>
              <w:jc w:val="both"/>
              <w:rPr>
                <w:color w:val="000000" w:themeColor="text1"/>
                <w:sz w:val="16"/>
                <w:szCs w:val="16"/>
              </w:rPr>
            </w:pPr>
            <w:r w:rsidRPr="00507A31">
              <w:rPr>
                <w:color w:val="000000" w:themeColor="text1"/>
                <w:sz w:val="16"/>
                <w:szCs w:val="16"/>
              </w:rPr>
              <w:t>9612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4461A" w14:textId="77777777" w:rsidR="002B17E4" w:rsidRPr="00507A31" w:rsidRDefault="002B17E4" w:rsidP="00507A31">
            <w:pPr>
              <w:jc w:val="both"/>
              <w:rPr>
                <w:color w:val="000000" w:themeColor="text1"/>
                <w:sz w:val="16"/>
                <w:szCs w:val="16"/>
              </w:rPr>
            </w:pPr>
            <w:r w:rsidRPr="00507A31">
              <w:rPr>
                <w:color w:val="000000" w:themeColor="text1"/>
                <w:sz w:val="16"/>
                <w:szCs w:val="16"/>
              </w:rPr>
              <w:t>8672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21529" w14:textId="77777777" w:rsidR="002B17E4" w:rsidRPr="00507A31" w:rsidRDefault="002B17E4" w:rsidP="00507A31">
            <w:pPr>
              <w:jc w:val="both"/>
              <w:rPr>
                <w:color w:val="000000" w:themeColor="text1"/>
                <w:sz w:val="16"/>
                <w:szCs w:val="16"/>
              </w:rPr>
            </w:pPr>
            <w:r w:rsidRPr="00507A31">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284D5" w14:textId="77777777" w:rsidR="002B17E4" w:rsidRPr="00507A31" w:rsidRDefault="002B17E4" w:rsidP="00507A31">
            <w:pPr>
              <w:jc w:val="both"/>
              <w:rPr>
                <w:color w:val="000000" w:themeColor="text1"/>
                <w:sz w:val="16"/>
                <w:szCs w:val="16"/>
              </w:rPr>
            </w:pPr>
            <w:r w:rsidRPr="00507A31">
              <w:rPr>
                <w:color w:val="000000" w:themeColor="text1"/>
                <w:sz w:val="16"/>
                <w:szCs w:val="16"/>
              </w:rPr>
              <w:t>90,2</w:t>
            </w:r>
          </w:p>
        </w:tc>
      </w:tr>
      <w:tr w:rsidR="00E371BA" w:rsidRPr="00507A31" w14:paraId="0EADFD7F"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2C75299" w14:textId="77777777" w:rsidR="002B17E4" w:rsidRPr="00507A31" w:rsidRDefault="002B17E4" w:rsidP="00507A31">
            <w:pPr>
              <w:jc w:val="both"/>
              <w:rPr>
                <w:color w:val="000000" w:themeColor="text1"/>
                <w:sz w:val="16"/>
                <w:szCs w:val="16"/>
              </w:rPr>
            </w:pPr>
            <w:r w:rsidRPr="00507A31">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889A1" w14:textId="77777777" w:rsidR="002B17E4" w:rsidRPr="00507A31" w:rsidRDefault="002B17E4" w:rsidP="00507A31">
            <w:pPr>
              <w:jc w:val="both"/>
              <w:rPr>
                <w:color w:val="000000" w:themeColor="text1"/>
                <w:sz w:val="16"/>
                <w:szCs w:val="16"/>
              </w:rPr>
            </w:pPr>
            <w:r w:rsidRPr="00507A31">
              <w:rPr>
                <w:color w:val="000000" w:themeColor="text1"/>
                <w:sz w:val="16"/>
                <w:szCs w:val="16"/>
              </w:rPr>
              <w:t>15 200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4BB5B" w14:textId="77777777" w:rsidR="002B17E4" w:rsidRPr="00507A31" w:rsidRDefault="002B17E4" w:rsidP="00507A31">
            <w:pPr>
              <w:jc w:val="both"/>
              <w:rPr>
                <w:color w:val="000000" w:themeColor="text1"/>
                <w:sz w:val="16"/>
                <w:szCs w:val="16"/>
              </w:rPr>
            </w:pPr>
            <w:r w:rsidRPr="00507A31">
              <w:rPr>
                <w:color w:val="000000" w:themeColor="text1"/>
                <w:sz w:val="16"/>
                <w:szCs w:val="16"/>
              </w:rPr>
              <w:t>15 174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4720B" w14:textId="77777777" w:rsidR="002B17E4" w:rsidRPr="00507A31" w:rsidRDefault="002B17E4"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7DD9F" w14:textId="77777777" w:rsidR="002B17E4" w:rsidRPr="00507A31" w:rsidRDefault="002B17E4" w:rsidP="00507A31">
            <w:pPr>
              <w:jc w:val="both"/>
              <w:rPr>
                <w:color w:val="000000" w:themeColor="text1"/>
                <w:sz w:val="16"/>
                <w:szCs w:val="16"/>
              </w:rPr>
            </w:pPr>
            <w:r w:rsidRPr="00507A31">
              <w:rPr>
                <w:color w:val="000000" w:themeColor="text1"/>
                <w:sz w:val="16"/>
                <w:szCs w:val="16"/>
              </w:rPr>
              <w:t>99,8</w:t>
            </w:r>
          </w:p>
        </w:tc>
      </w:tr>
      <w:tr w:rsidR="00E371BA" w:rsidRPr="00507A31" w14:paraId="04A44B80"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3E2B7B8" w14:textId="77777777" w:rsidR="002B17E4" w:rsidRPr="00507A31" w:rsidRDefault="002B17E4" w:rsidP="00507A31">
            <w:pPr>
              <w:jc w:val="both"/>
              <w:rPr>
                <w:color w:val="000000" w:themeColor="text1"/>
                <w:sz w:val="16"/>
                <w:szCs w:val="16"/>
              </w:rPr>
            </w:pPr>
            <w:r w:rsidRPr="00507A31">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EEBBA" w14:textId="77777777" w:rsidR="002B17E4" w:rsidRPr="00507A31" w:rsidRDefault="002B17E4" w:rsidP="00507A31">
            <w:pPr>
              <w:jc w:val="both"/>
              <w:rPr>
                <w:color w:val="000000" w:themeColor="text1"/>
                <w:sz w:val="16"/>
                <w:szCs w:val="16"/>
              </w:rPr>
            </w:pPr>
            <w:r w:rsidRPr="00507A31">
              <w:rPr>
                <w:color w:val="000000" w:themeColor="text1"/>
                <w:sz w:val="16"/>
                <w:szCs w:val="16"/>
              </w:rPr>
              <w:t>99 502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62F44" w14:textId="77777777" w:rsidR="002B17E4" w:rsidRPr="00507A31" w:rsidRDefault="002B17E4" w:rsidP="00507A31">
            <w:pPr>
              <w:jc w:val="both"/>
              <w:rPr>
                <w:color w:val="000000" w:themeColor="text1"/>
                <w:sz w:val="16"/>
                <w:szCs w:val="16"/>
              </w:rPr>
            </w:pPr>
            <w:r w:rsidRPr="00507A31">
              <w:rPr>
                <w:color w:val="000000" w:themeColor="text1"/>
                <w:sz w:val="16"/>
                <w:szCs w:val="16"/>
              </w:rPr>
              <w:t>99 852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FFE60" w14:textId="77777777" w:rsidR="002B17E4" w:rsidRPr="00507A31" w:rsidRDefault="002B17E4" w:rsidP="00507A31">
            <w:pPr>
              <w:jc w:val="both"/>
              <w:rPr>
                <w:color w:val="000000" w:themeColor="text1"/>
                <w:sz w:val="16"/>
                <w:szCs w:val="16"/>
              </w:rPr>
            </w:pPr>
            <w:r w:rsidRPr="00507A31">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E64F7" w14:textId="77777777" w:rsidR="002B17E4" w:rsidRPr="00507A31" w:rsidRDefault="002B17E4" w:rsidP="00507A31">
            <w:pPr>
              <w:jc w:val="both"/>
              <w:rPr>
                <w:color w:val="000000" w:themeColor="text1"/>
                <w:sz w:val="16"/>
                <w:szCs w:val="16"/>
              </w:rPr>
            </w:pPr>
            <w:r w:rsidRPr="00507A31">
              <w:rPr>
                <w:color w:val="000000" w:themeColor="text1"/>
                <w:sz w:val="16"/>
                <w:szCs w:val="16"/>
              </w:rPr>
              <w:t> </w:t>
            </w:r>
          </w:p>
        </w:tc>
      </w:tr>
    </w:tbl>
    <w:p w14:paraId="2DF1130A" w14:textId="77777777" w:rsidR="002B17E4" w:rsidRPr="00507A31" w:rsidRDefault="002B17E4" w:rsidP="00507A31">
      <w:pPr>
        <w:jc w:val="both"/>
        <w:rPr>
          <w:color w:val="000000" w:themeColor="text1"/>
          <w:sz w:val="16"/>
          <w:szCs w:val="16"/>
        </w:rPr>
      </w:pPr>
      <w:r w:rsidRPr="00507A31">
        <w:rPr>
          <w:color w:val="000000" w:themeColor="text1"/>
          <w:sz w:val="16"/>
          <w:szCs w:val="16"/>
        </w:rPr>
        <w:t>Заработная плата</w:t>
      </w:r>
    </w:p>
    <w:p w14:paraId="1474408D"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Средняя месячная зарплата на одного списочного рабочего на постоянных работах, занятого в основных производствах (с МОП).</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08"/>
        <w:gridCol w:w="2048"/>
        <w:gridCol w:w="2202"/>
        <w:gridCol w:w="2732"/>
        <w:gridCol w:w="2732"/>
      </w:tblGrid>
      <w:tr w:rsidR="00E371BA" w:rsidRPr="00507A31" w14:paraId="0B010E1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ADD1380" w14:textId="77777777" w:rsidR="002B17E4" w:rsidRPr="00507A31" w:rsidRDefault="002B17E4" w:rsidP="00507A31">
            <w:pPr>
              <w:jc w:val="both"/>
              <w:rPr>
                <w:color w:val="000000" w:themeColor="text1"/>
                <w:sz w:val="16"/>
                <w:szCs w:val="16"/>
              </w:rPr>
            </w:pPr>
            <w:r w:rsidRPr="00507A31">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1EAC5" w14:textId="77777777" w:rsidR="002B17E4" w:rsidRPr="00507A31" w:rsidRDefault="002B17E4" w:rsidP="00507A31">
            <w:pPr>
              <w:jc w:val="both"/>
              <w:rPr>
                <w:color w:val="000000" w:themeColor="text1"/>
                <w:sz w:val="16"/>
                <w:szCs w:val="16"/>
              </w:rPr>
            </w:pPr>
            <w:r w:rsidRPr="00507A31">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8562A" w14:textId="77777777" w:rsidR="002B17E4" w:rsidRPr="00507A31" w:rsidRDefault="002B17E4" w:rsidP="00507A31">
            <w:pPr>
              <w:jc w:val="both"/>
              <w:rPr>
                <w:color w:val="000000" w:themeColor="text1"/>
                <w:sz w:val="16"/>
                <w:szCs w:val="16"/>
              </w:rPr>
            </w:pPr>
            <w:r w:rsidRPr="00507A31">
              <w:rPr>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E77DA" w14:textId="77777777" w:rsidR="002B17E4" w:rsidRPr="00507A31" w:rsidRDefault="002B17E4" w:rsidP="00507A31">
            <w:pPr>
              <w:jc w:val="both"/>
              <w:rPr>
                <w:color w:val="000000" w:themeColor="text1"/>
                <w:sz w:val="16"/>
                <w:szCs w:val="16"/>
              </w:rPr>
            </w:pPr>
            <w:r w:rsidRPr="00507A31">
              <w:rPr>
                <w:color w:val="000000" w:themeColor="text1"/>
                <w:sz w:val="16"/>
                <w:szCs w:val="16"/>
              </w:rPr>
              <w:t>В процентах</w:t>
            </w:r>
          </w:p>
          <w:p w14:paraId="7FF8C3ED" w14:textId="77777777" w:rsidR="002B17E4" w:rsidRPr="00507A31" w:rsidRDefault="002B17E4" w:rsidP="00507A31">
            <w:pPr>
              <w:jc w:val="both"/>
              <w:rPr>
                <w:color w:val="000000" w:themeColor="text1"/>
                <w:sz w:val="16"/>
                <w:szCs w:val="16"/>
              </w:rPr>
            </w:pPr>
            <w:r w:rsidRPr="00507A31">
              <w:rPr>
                <w:color w:val="000000" w:themeColor="text1"/>
                <w:sz w:val="16"/>
                <w:szCs w:val="16"/>
              </w:rPr>
              <w:t>к 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16438" w14:textId="77777777" w:rsidR="002B17E4" w:rsidRPr="00507A31" w:rsidRDefault="002B17E4" w:rsidP="00507A31">
            <w:pPr>
              <w:jc w:val="both"/>
              <w:rPr>
                <w:color w:val="000000" w:themeColor="text1"/>
                <w:sz w:val="16"/>
                <w:szCs w:val="16"/>
              </w:rPr>
            </w:pPr>
            <w:r w:rsidRPr="00507A31">
              <w:rPr>
                <w:color w:val="000000" w:themeColor="text1"/>
                <w:sz w:val="16"/>
                <w:szCs w:val="16"/>
              </w:rPr>
              <w:t>В процентах</w:t>
            </w:r>
          </w:p>
          <w:p w14:paraId="4FEE7B67" w14:textId="77777777" w:rsidR="002B17E4" w:rsidRPr="00507A31" w:rsidRDefault="002B17E4" w:rsidP="00507A31">
            <w:pPr>
              <w:jc w:val="both"/>
              <w:rPr>
                <w:color w:val="000000" w:themeColor="text1"/>
                <w:sz w:val="16"/>
                <w:szCs w:val="16"/>
              </w:rPr>
            </w:pPr>
            <w:r w:rsidRPr="00507A31">
              <w:rPr>
                <w:color w:val="000000" w:themeColor="text1"/>
                <w:sz w:val="16"/>
                <w:szCs w:val="16"/>
              </w:rPr>
              <w:t>к плану</w:t>
            </w:r>
          </w:p>
        </w:tc>
      </w:tr>
      <w:tr w:rsidR="00E371BA" w:rsidRPr="00507A31" w14:paraId="038153A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2854804" w14:textId="77777777" w:rsidR="002B17E4" w:rsidRPr="00507A31" w:rsidRDefault="002B17E4" w:rsidP="00507A31">
            <w:pPr>
              <w:jc w:val="both"/>
              <w:rPr>
                <w:color w:val="000000" w:themeColor="text1"/>
                <w:sz w:val="16"/>
                <w:szCs w:val="16"/>
              </w:rPr>
            </w:pPr>
            <w:r w:rsidRPr="00507A31">
              <w:rPr>
                <w:color w:val="000000" w:themeColor="text1"/>
                <w:sz w:val="16"/>
                <w:szCs w:val="16"/>
              </w:rPr>
              <w:lastRenderedPageBreak/>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890E1" w14:textId="77777777" w:rsidR="002B17E4" w:rsidRPr="00507A31" w:rsidRDefault="002B17E4" w:rsidP="00507A31">
            <w:pPr>
              <w:jc w:val="both"/>
              <w:rPr>
                <w:color w:val="000000" w:themeColor="text1"/>
                <w:sz w:val="16"/>
                <w:szCs w:val="16"/>
              </w:rPr>
            </w:pPr>
            <w:r w:rsidRPr="00507A31">
              <w:rPr>
                <w:color w:val="000000" w:themeColor="text1"/>
                <w:sz w:val="16"/>
                <w:szCs w:val="16"/>
              </w:rPr>
              <w:t>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ACFE5" w14:textId="77777777" w:rsidR="002B17E4" w:rsidRPr="00507A31" w:rsidRDefault="002B17E4" w:rsidP="00507A31">
            <w:pPr>
              <w:jc w:val="both"/>
              <w:rPr>
                <w:color w:val="000000" w:themeColor="text1"/>
                <w:sz w:val="16"/>
                <w:szCs w:val="16"/>
              </w:rPr>
            </w:pPr>
            <w:r w:rsidRPr="00507A31">
              <w:rPr>
                <w:color w:val="000000" w:themeColor="text1"/>
                <w:sz w:val="16"/>
                <w:szCs w:val="16"/>
              </w:rPr>
              <w:t>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65AF5" w14:textId="77777777" w:rsidR="002B17E4" w:rsidRPr="00507A31" w:rsidRDefault="002B17E4" w:rsidP="00507A31">
            <w:pPr>
              <w:jc w:val="both"/>
              <w:rPr>
                <w:color w:val="000000" w:themeColor="text1"/>
                <w:sz w:val="16"/>
                <w:szCs w:val="16"/>
              </w:rPr>
            </w:pPr>
            <w:r w:rsidRPr="00507A31">
              <w:rPr>
                <w:color w:val="000000" w:themeColor="text1"/>
                <w:sz w:val="16"/>
                <w:szCs w:val="16"/>
              </w:rPr>
              <w:t>108,1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C4FE2" w14:textId="77777777" w:rsidR="002B17E4" w:rsidRPr="00507A31" w:rsidRDefault="002B17E4" w:rsidP="00507A31">
            <w:pPr>
              <w:jc w:val="both"/>
              <w:rPr>
                <w:color w:val="000000" w:themeColor="text1"/>
                <w:sz w:val="16"/>
                <w:szCs w:val="16"/>
              </w:rPr>
            </w:pPr>
            <w:r w:rsidRPr="00507A31">
              <w:rPr>
                <w:color w:val="000000" w:themeColor="text1"/>
                <w:sz w:val="16"/>
                <w:szCs w:val="16"/>
              </w:rPr>
              <w:t>102</w:t>
            </w:r>
          </w:p>
        </w:tc>
      </w:tr>
      <w:tr w:rsidR="00E371BA" w:rsidRPr="00507A31" w14:paraId="3F59D9D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3727972" w14:textId="77777777" w:rsidR="002B17E4" w:rsidRPr="00507A31" w:rsidRDefault="002B17E4" w:rsidP="00507A31">
            <w:pPr>
              <w:jc w:val="both"/>
              <w:rPr>
                <w:color w:val="000000" w:themeColor="text1"/>
                <w:sz w:val="16"/>
                <w:szCs w:val="16"/>
              </w:rPr>
            </w:pPr>
            <w:r w:rsidRPr="00507A31">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9CD1A" w14:textId="77777777" w:rsidR="002B17E4" w:rsidRPr="00507A31" w:rsidRDefault="002B17E4" w:rsidP="00507A31">
            <w:pPr>
              <w:jc w:val="both"/>
              <w:rPr>
                <w:color w:val="000000" w:themeColor="text1"/>
                <w:sz w:val="16"/>
                <w:szCs w:val="16"/>
              </w:rPr>
            </w:pPr>
            <w:r w:rsidRPr="00507A31">
              <w:rPr>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E2B3E" w14:textId="77777777" w:rsidR="002B17E4" w:rsidRPr="00507A31" w:rsidRDefault="002B17E4" w:rsidP="00507A31">
            <w:pPr>
              <w:jc w:val="both"/>
              <w:rPr>
                <w:color w:val="000000" w:themeColor="text1"/>
                <w:sz w:val="16"/>
                <w:szCs w:val="16"/>
              </w:rPr>
            </w:pPr>
            <w:r w:rsidRPr="00507A31">
              <w:rPr>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DF0B1" w14:textId="77777777" w:rsidR="002B17E4" w:rsidRPr="00507A31" w:rsidRDefault="002B17E4" w:rsidP="00507A31">
            <w:pPr>
              <w:jc w:val="both"/>
              <w:rPr>
                <w:color w:val="000000" w:themeColor="text1"/>
                <w:sz w:val="16"/>
                <w:szCs w:val="16"/>
              </w:rPr>
            </w:pPr>
            <w:r w:rsidRPr="00507A31">
              <w:rPr>
                <w:color w:val="000000" w:themeColor="text1"/>
                <w:sz w:val="16"/>
                <w:szCs w:val="16"/>
              </w:rPr>
              <w:t>114,4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7AA38" w14:textId="77777777" w:rsidR="002B17E4" w:rsidRPr="00507A31" w:rsidRDefault="002B17E4" w:rsidP="00507A31">
            <w:pPr>
              <w:jc w:val="both"/>
              <w:rPr>
                <w:color w:val="000000" w:themeColor="text1"/>
                <w:sz w:val="16"/>
                <w:szCs w:val="16"/>
              </w:rPr>
            </w:pPr>
            <w:r w:rsidRPr="00507A31">
              <w:rPr>
                <w:color w:val="000000" w:themeColor="text1"/>
                <w:sz w:val="16"/>
                <w:szCs w:val="16"/>
              </w:rPr>
              <w:t>100,5</w:t>
            </w:r>
          </w:p>
        </w:tc>
      </w:tr>
      <w:tr w:rsidR="00E371BA" w:rsidRPr="00507A31" w14:paraId="61FA3DF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5061EF5" w14:textId="77777777" w:rsidR="002B17E4" w:rsidRPr="00507A31" w:rsidRDefault="002B17E4" w:rsidP="00507A31">
            <w:pPr>
              <w:jc w:val="both"/>
              <w:rPr>
                <w:color w:val="000000" w:themeColor="text1"/>
                <w:sz w:val="16"/>
                <w:szCs w:val="16"/>
              </w:rPr>
            </w:pPr>
            <w:r w:rsidRPr="00507A31">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E9CC3" w14:textId="77777777" w:rsidR="002B17E4" w:rsidRPr="00507A31" w:rsidRDefault="002B17E4" w:rsidP="00507A31">
            <w:pPr>
              <w:jc w:val="both"/>
              <w:rPr>
                <w:color w:val="000000" w:themeColor="text1"/>
                <w:sz w:val="16"/>
                <w:szCs w:val="16"/>
              </w:rPr>
            </w:pPr>
            <w:r w:rsidRPr="00507A31">
              <w:rPr>
                <w:color w:val="000000" w:themeColor="text1"/>
                <w:sz w:val="16"/>
                <w:szCs w:val="16"/>
              </w:rPr>
              <w:t>74,1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08CC7" w14:textId="77777777" w:rsidR="002B17E4" w:rsidRPr="00507A31" w:rsidRDefault="002B17E4" w:rsidP="00507A31">
            <w:pPr>
              <w:jc w:val="both"/>
              <w:rPr>
                <w:color w:val="000000" w:themeColor="text1"/>
                <w:sz w:val="16"/>
                <w:szCs w:val="16"/>
              </w:rPr>
            </w:pPr>
            <w:r w:rsidRPr="00507A31">
              <w:rPr>
                <w:color w:val="000000" w:themeColor="text1"/>
                <w:sz w:val="16"/>
                <w:szCs w:val="16"/>
              </w:rPr>
              <w:t>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58103" w14:textId="77777777" w:rsidR="002B17E4" w:rsidRPr="00507A31" w:rsidRDefault="002B17E4" w:rsidP="00507A31">
            <w:pPr>
              <w:jc w:val="both"/>
              <w:rPr>
                <w:color w:val="000000" w:themeColor="text1"/>
                <w:sz w:val="16"/>
                <w:szCs w:val="16"/>
              </w:rPr>
            </w:pPr>
            <w:r w:rsidRPr="00507A31">
              <w:rPr>
                <w:color w:val="000000" w:themeColor="text1"/>
                <w:sz w:val="16"/>
                <w:szCs w:val="16"/>
              </w:rPr>
              <w:t>115,4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33E4F" w14:textId="77777777" w:rsidR="002B17E4" w:rsidRPr="00507A31" w:rsidRDefault="002B17E4" w:rsidP="00507A31">
            <w:pPr>
              <w:jc w:val="both"/>
              <w:rPr>
                <w:color w:val="000000" w:themeColor="text1"/>
                <w:sz w:val="16"/>
                <w:szCs w:val="16"/>
              </w:rPr>
            </w:pPr>
            <w:r w:rsidRPr="00507A31">
              <w:rPr>
                <w:color w:val="000000" w:themeColor="text1"/>
                <w:sz w:val="16"/>
                <w:szCs w:val="16"/>
              </w:rPr>
              <w:t>103,5</w:t>
            </w:r>
          </w:p>
        </w:tc>
      </w:tr>
      <w:tr w:rsidR="00E371BA" w:rsidRPr="00507A31" w14:paraId="70508AC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827B100" w14:textId="77777777" w:rsidR="002B17E4" w:rsidRPr="00507A31" w:rsidRDefault="002B17E4" w:rsidP="00507A31">
            <w:pPr>
              <w:jc w:val="both"/>
              <w:rPr>
                <w:color w:val="000000" w:themeColor="text1"/>
                <w:sz w:val="16"/>
                <w:szCs w:val="16"/>
              </w:rPr>
            </w:pPr>
            <w:r w:rsidRPr="00507A31">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E3468" w14:textId="77777777" w:rsidR="002B17E4" w:rsidRPr="00507A31" w:rsidRDefault="002B17E4" w:rsidP="00507A31">
            <w:pPr>
              <w:jc w:val="both"/>
              <w:rPr>
                <w:color w:val="000000" w:themeColor="text1"/>
                <w:sz w:val="16"/>
                <w:szCs w:val="16"/>
              </w:rPr>
            </w:pPr>
            <w:r w:rsidRPr="00507A31">
              <w:rPr>
                <w:color w:val="000000" w:themeColor="text1"/>
                <w:sz w:val="16"/>
                <w:szCs w:val="16"/>
              </w:rPr>
              <w:t>121,45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D205E" w14:textId="77777777" w:rsidR="002B17E4" w:rsidRPr="00507A31" w:rsidRDefault="002B17E4" w:rsidP="00507A31">
            <w:pPr>
              <w:jc w:val="both"/>
              <w:rPr>
                <w:color w:val="000000" w:themeColor="text1"/>
                <w:sz w:val="16"/>
                <w:szCs w:val="16"/>
              </w:rPr>
            </w:pPr>
            <w:r w:rsidRPr="00507A31">
              <w:rPr>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FA4E4" w14:textId="77777777" w:rsidR="002B17E4" w:rsidRPr="00507A31" w:rsidRDefault="002B17E4" w:rsidP="00507A31">
            <w:pPr>
              <w:jc w:val="both"/>
              <w:rPr>
                <w:color w:val="000000" w:themeColor="text1"/>
                <w:sz w:val="16"/>
                <w:szCs w:val="16"/>
              </w:rPr>
            </w:pPr>
            <w:r w:rsidRPr="00507A31">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5AAA6" w14:textId="77777777" w:rsidR="002B17E4" w:rsidRPr="00507A31" w:rsidRDefault="002B17E4" w:rsidP="00507A31">
            <w:pPr>
              <w:jc w:val="both"/>
              <w:rPr>
                <w:color w:val="000000" w:themeColor="text1"/>
                <w:sz w:val="16"/>
                <w:szCs w:val="16"/>
              </w:rPr>
            </w:pPr>
            <w:r w:rsidRPr="00507A31">
              <w:rPr>
                <w:color w:val="000000" w:themeColor="text1"/>
                <w:sz w:val="16"/>
                <w:szCs w:val="16"/>
              </w:rPr>
              <w:t>101,2</w:t>
            </w:r>
          </w:p>
        </w:tc>
      </w:tr>
      <w:tr w:rsidR="00E371BA" w:rsidRPr="00507A31" w14:paraId="5C01F32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CE7F00B" w14:textId="77777777" w:rsidR="002B17E4" w:rsidRPr="00507A31" w:rsidRDefault="002B17E4" w:rsidP="00507A31">
            <w:pPr>
              <w:jc w:val="both"/>
              <w:rPr>
                <w:color w:val="000000" w:themeColor="text1"/>
                <w:sz w:val="16"/>
                <w:szCs w:val="16"/>
              </w:rPr>
            </w:pPr>
            <w:r w:rsidRPr="00507A31">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0BF6C" w14:textId="77777777" w:rsidR="002B17E4" w:rsidRPr="00507A31" w:rsidRDefault="002B17E4" w:rsidP="00507A31">
            <w:pPr>
              <w:jc w:val="both"/>
              <w:rPr>
                <w:color w:val="000000" w:themeColor="text1"/>
                <w:sz w:val="16"/>
                <w:szCs w:val="16"/>
              </w:rPr>
            </w:pPr>
            <w:r w:rsidRPr="00507A31">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C5B83" w14:textId="77777777" w:rsidR="002B17E4" w:rsidRPr="00507A31" w:rsidRDefault="002B17E4" w:rsidP="00507A31">
            <w:pPr>
              <w:jc w:val="both"/>
              <w:rPr>
                <w:color w:val="000000" w:themeColor="text1"/>
                <w:sz w:val="16"/>
                <w:szCs w:val="16"/>
              </w:rPr>
            </w:pPr>
            <w:r w:rsidRPr="00507A31">
              <w:rPr>
                <w:color w:val="000000" w:themeColor="text1"/>
                <w:sz w:val="16"/>
                <w:szCs w:val="16"/>
              </w:rPr>
              <w:t>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FA328" w14:textId="77777777" w:rsidR="002B17E4" w:rsidRPr="00507A31" w:rsidRDefault="002B17E4" w:rsidP="00507A31">
            <w:pPr>
              <w:jc w:val="both"/>
              <w:rPr>
                <w:color w:val="000000" w:themeColor="text1"/>
                <w:sz w:val="16"/>
                <w:szCs w:val="16"/>
              </w:rPr>
            </w:pPr>
            <w:r w:rsidRPr="00507A31">
              <w:rPr>
                <w:color w:val="000000" w:themeColor="text1"/>
                <w:sz w:val="16"/>
                <w:szCs w:val="16"/>
              </w:rPr>
              <w:t>107,8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04F4" w14:textId="77777777" w:rsidR="002B17E4" w:rsidRPr="00507A31" w:rsidRDefault="002B17E4" w:rsidP="00507A31">
            <w:pPr>
              <w:jc w:val="both"/>
              <w:rPr>
                <w:color w:val="000000" w:themeColor="text1"/>
                <w:sz w:val="16"/>
                <w:szCs w:val="16"/>
              </w:rPr>
            </w:pPr>
            <w:r w:rsidRPr="00507A31">
              <w:rPr>
                <w:color w:val="000000" w:themeColor="text1"/>
                <w:sz w:val="16"/>
                <w:szCs w:val="16"/>
              </w:rPr>
              <w:t>100,5</w:t>
            </w:r>
          </w:p>
        </w:tc>
      </w:tr>
    </w:tbl>
    <w:p w14:paraId="51DA42BC"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Всего — 85,5 по Военпрому при росте в 10,2% против предыд[ущего] года. Отметим, что в трех трестах (ОАТ, ПТТ и АТ), превысивших плановую зарплату более чем на 1%, находилось свыше 50% всего числа рабочих Военпрома, а именно: 51 470 чел. По грубым подсчетам переплачено рабочему персоналу по: ОАТ — 572 тыс., РУЖ — 154 тыс. руб., ПТТ — 590 тыс. руб., АТ — 156 тыс. и ВХТ — 91 тыс., а всего — 1563 тыс. руб., не считая накладных расходов на зарплату.</w:t>
      </w:r>
    </w:p>
    <w:p w14:paraId="3D3F1424" w14:textId="77777777" w:rsidR="002B17E4" w:rsidRPr="00507A31" w:rsidRDefault="002B17E4" w:rsidP="00507A31">
      <w:pPr>
        <w:jc w:val="both"/>
        <w:rPr>
          <w:color w:val="000000" w:themeColor="text1"/>
          <w:sz w:val="16"/>
          <w:szCs w:val="16"/>
        </w:rPr>
      </w:pPr>
      <w:r w:rsidRPr="00507A31">
        <w:rPr>
          <w:color w:val="000000" w:themeColor="text1"/>
          <w:sz w:val="16"/>
          <w:szCs w:val="16"/>
        </w:rPr>
        <w:t>Производительность труда</w:t>
      </w:r>
    </w:p>
    <w:p w14:paraId="37F48DDC"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Средняя месячная выработка на одного списочного рабочего на постоянных работах в основных производствах (с МОП):</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12"/>
        <w:gridCol w:w="1160"/>
        <w:gridCol w:w="1247"/>
        <w:gridCol w:w="3018"/>
        <w:gridCol w:w="2542"/>
        <w:gridCol w:w="2443"/>
      </w:tblGrid>
      <w:tr w:rsidR="00E371BA" w:rsidRPr="00507A31" w14:paraId="58371F70"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F2F029" w14:textId="77777777" w:rsidR="002B17E4" w:rsidRPr="00507A31" w:rsidRDefault="002B17E4" w:rsidP="00507A31">
            <w:pPr>
              <w:jc w:val="both"/>
              <w:rPr>
                <w:color w:val="000000" w:themeColor="text1"/>
                <w:sz w:val="16"/>
                <w:szCs w:val="16"/>
              </w:rPr>
            </w:pPr>
            <w:r w:rsidRPr="00507A31">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3A6B" w14:textId="77777777" w:rsidR="002B17E4" w:rsidRPr="00507A31" w:rsidRDefault="002B17E4" w:rsidP="00507A31">
            <w:pPr>
              <w:jc w:val="both"/>
              <w:rPr>
                <w:color w:val="000000" w:themeColor="text1"/>
                <w:sz w:val="16"/>
                <w:szCs w:val="16"/>
              </w:rPr>
            </w:pPr>
            <w:r w:rsidRPr="00507A31">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21FCB" w14:textId="77777777" w:rsidR="002B17E4" w:rsidRPr="00507A31" w:rsidRDefault="002B17E4" w:rsidP="00507A31">
            <w:pPr>
              <w:jc w:val="both"/>
              <w:rPr>
                <w:color w:val="000000" w:themeColor="text1"/>
                <w:sz w:val="16"/>
                <w:szCs w:val="16"/>
              </w:rPr>
            </w:pPr>
            <w:r w:rsidRPr="00507A31">
              <w:rPr>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A9193" w14:textId="77777777" w:rsidR="002B17E4" w:rsidRPr="00507A31" w:rsidRDefault="002B17E4" w:rsidP="00507A31">
            <w:pPr>
              <w:jc w:val="both"/>
              <w:rPr>
                <w:color w:val="000000" w:themeColor="text1"/>
                <w:sz w:val="16"/>
                <w:szCs w:val="16"/>
              </w:rPr>
            </w:pPr>
            <w:r w:rsidRPr="00507A31">
              <w:rPr>
                <w:color w:val="000000" w:themeColor="text1"/>
                <w:sz w:val="16"/>
                <w:szCs w:val="16"/>
              </w:rPr>
              <w:t>В процентах к 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FA4A5" w14:textId="77777777" w:rsidR="002B17E4" w:rsidRPr="00507A31" w:rsidRDefault="002B17E4" w:rsidP="00507A31">
            <w:pPr>
              <w:jc w:val="both"/>
              <w:rPr>
                <w:color w:val="000000" w:themeColor="text1"/>
                <w:sz w:val="16"/>
                <w:szCs w:val="16"/>
              </w:rPr>
            </w:pPr>
            <w:r w:rsidRPr="00507A31">
              <w:rPr>
                <w:color w:val="000000" w:themeColor="text1"/>
                <w:sz w:val="16"/>
                <w:szCs w:val="16"/>
              </w:rPr>
              <w:t>В процентах 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2B87" w14:textId="77777777" w:rsidR="002B17E4" w:rsidRPr="00507A31" w:rsidRDefault="002B17E4" w:rsidP="00507A31">
            <w:pPr>
              <w:jc w:val="both"/>
              <w:rPr>
                <w:color w:val="000000" w:themeColor="text1"/>
                <w:sz w:val="16"/>
                <w:szCs w:val="16"/>
              </w:rPr>
            </w:pPr>
            <w:r w:rsidRPr="00507A31">
              <w:rPr>
                <w:color w:val="000000" w:themeColor="text1"/>
                <w:sz w:val="16"/>
                <w:szCs w:val="16"/>
              </w:rPr>
              <w:t>Перевыполнено</w:t>
            </w:r>
          </w:p>
          <w:p w14:paraId="536EAEDC" w14:textId="77777777" w:rsidR="002B17E4" w:rsidRPr="00507A31" w:rsidRDefault="002B17E4" w:rsidP="00507A31">
            <w:pPr>
              <w:jc w:val="both"/>
              <w:rPr>
                <w:color w:val="000000" w:themeColor="text1"/>
                <w:sz w:val="16"/>
                <w:szCs w:val="16"/>
              </w:rPr>
            </w:pPr>
            <w:r w:rsidRPr="00507A31">
              <w:rPr>
                <w:color w:val="000000" w:themeColor="text1"/>
                <w:sz w:val="16"/>
                <w:szCs w:val="16"/>
              </w:rPr>
              <w:t>или недовыполнено</w:t>
            </w:r>
          </w:p>
        </w:tc>
      </w:tr>
      <w:tr w:rsidR="00E371BA" w:rsidRPr="00507A31" w14:paraId="55B2711A"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BDECA5" w14:textId="77777777" w:rsidR="002B17E4" w:rsidRPr="00507A31" w:rsidRDefault="002B17E4" w:rsidP="00507A31">
            <w:pPr>
              <w:jc w:val="both"/>
              <w:rPr>
                <w:color w:val="000000" w:themeColor="text1"/>
                <w:sz w:val="16"/>
                <w:szCs w:val="16"/>
              </w:rPr>
            </w:pPr>
            <w:r w:rsidRPr="00507A31">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C516D" w14:textId="77777777" w:rsidR="002B17E4" w:rsidRPr="00507A31" w:rsidRDefault="002B17E4" w:rsidP="00507A31">
            <w:pPr>
              <w:jc w:val="both"/>
              <w:rPr>
                <w:color w:val="000000" w:themeColor="text1"/>
                <w:sz w:val="16"/>
                <w:szCs w:val="16"/>
              </w:rPr>
            </w:pPr>
            <w:r w:rsidRPr="00507A31">
              <w:rPr>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CBA7C" w14:textId="77777777" w:rsidR="002B17E4" w:rsidRPr="00507A31" w:rsidRDefault="002B17E4" w:rsidP="00507A31">
            <w:pPr>
              <w:jc w:val="both"/>
              <w:rPr>
                <w:color w:val="000000" w:themeColor="text1"/>
                <w:sz w:val="16"/>
                <w:szCs w:val="16"/>
              </w:rPr>
            </w:pPr>
            <w:r w:rsidRPr="00507A31">
              <w:rPr>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AF281" w14:textId="77777777" w:rsidR="002B17E4" w:rsidRPr="00507A31" w:rsidRDefault="002B17E4" w:rsidP="00507A31">
            <w:pPr>
              <w:jc w:val="both"/>
              <w:rPr>
                <w:color w:val="000000" w:themeColor="text1"/>
                <w:sz w:val="16"/>
                <w:szCs w:val="16"/>
              </w:rPr>
            </w:pPr>
            <w:r w:rsidRPr="00507A31">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5EEF8" w14:textId="77777777" w:rsidR="002B17E4" w:rsidRPr="00507A31" w:rsidRDefault="002B17E4" w:rsidP="00507A31">
            <w:pPr>
              <w:jc w:val="both"/>
              <w:rPr>
                <w:color w:val="000000" w:themeColor="text1"/>
                <w:sz w:val="16"/>
                <w:szCs w:val="16"/>
              </w:rPr>
            </w:pPr>
            <w:r w:rsidRPr="00507A31">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D6B19" w14:textId="77777777" w:rsidR="002B17E4" w:rsidRPr="00507A31" w:rsidRDefault="002B17E4" w:rsidP="00507A31">
            <w:pPr>
              <w:jc w:val="both"/>
              <w:rPr>
                <w:color w:val="000000" w:themeColor="text1"/>
                <w:sz w:val="16"/>
                <w:szCs w:val="16"/>
              </w:rPr>
            </w:pPr>
            <w:r w:rsidRPr="00507A31">
              <w:rPr>
                <w:color w:val="000000" w:themeColor="text1"/>
                <w:sz w:val="16"/>
                <w:szCs w:val="16"/>
              </w:rPr>
              <w:t>0</w:t>
            </w:r>
          </w:p>
        </w:tc>
      </w:tr>
      <w:tr w:rsidR="00E371BA" w:rsidRPr="00507A31" w14:paraId="08035FEB"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A9D62D" w14:textId="77777777" w:rsidR="002B17E4" w:rsidRPr="00507A31" w:rsidRDefault="002B17E4" w:rsidP="00507A31">
            <w:pPr>
              <w:jc w:val="both"/>
              <w:rPr>
                <w:color w:val="000000" w:themeColor="text1"/>
                <w:sz w:val="16"/>
                <w:szCs w:val="16"/>
              </w:rPr>
            </w:pPr>
            <w:r w:rsidRPr="00507A31">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A4D1F" w14:textId="77777777" w:rsidR="002B17E4" w:rsidRPr="00507A31" w:rsidRDefault="002B17E4" w:rsidP="00507A31">
            <w:pPr>
              <w:jc w:val="both"/>
              <w:rPr>
                <w:color w:val="000000" w:themeColor="text1"/>
                <w:sz w:val="16"/>
                <w:szCs w:val="16"/>
              </w:rPr>
            </w:pPr>
            <w:r w:rsidRPr="00507A31">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D70C2" w14:textId="77777777" w:rsidR="002B17E4" w:rsidRPr="00507A31" w:rsidRDefault="002B17E4" w:rsidP="00507A31">
            <w:pPr>
              <w:jc w:val="both"/>
              <w:rPr>
                <w:color w:val="000000" w:themeColor="text1"/>
                <w:sz w:val="16"/>
                <w:szCs w:val="16"/>
              </w:rPr>
            </w:pPr>
            <w:r w:rsidRPr="00507A31">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B9BCB" w14:textId="77777777" w:rsidR="002B17E4" w:rsidRPr="00507A31" w:rsidRDefault="002B17E4" w:rsidP="00507A31">
            <w:pPr>
              <w:jc w:val="both"/>
              <w:rPr>
                <w:color w:val="000000" w:themeColor="text1"/>
                <w:sz w:val="16"/>
                <w:szCs w:val="16"/>
              </w:rPr>
            </w:pPr>
            <w:r w:rsidRPr="00507A31">
              <w:rPr>
                <w:color w:val="000000" w:themeColor="text1"/>
                <w:sz w:val="16"/>
                <w:szCs w:val="16"/>
              </w:rPr>
              <w:t>124,4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48200" w14:textId="77777777" w:rsidR="002B17E4" w:rsidRPr="00507A31" w:rsidRDefault="002B17E4" w:rsidP="00507A31">
            <w:pPr>
              <w:jc w:val="both"/>
              <w:rPr>
                <w:color w:val="000000" w:themeColor="text1"/>
                <w:sz w:val="16"/>
                <w:szCs w:val="16"/>
              </w:rPr>
            </w:pPr>
            <w:r w:rsidRPr="00507A31">
              <w:rPr>
                <w:color w:val="000000" w:themeColor="text1"/>
                <w:sz w:val="16"/>
                <w:szCs w:val="16"/>
              </w:rPr>
              <w:t>103,6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C303D" w14:textId="77777777" w:rsidR="002B17E4" w:rsidRPr="00507A31" w:rsidRDefault="002B17E4" w:rsidP="00507A31">
            <w:pPr>
              <w:jc w:val="both"/>
              <w:rPr>
                <w:color w:val="000000" w:themeColor="text1"/>
                <w:sz w:val="16"/>
                <w:szCs w:val="16"/>
              </w:rPr>
            </w:pPr>
            <w:r w:rsidRPr="00507A31">
              <w:rPr>
                <w:color w:val="000000" w:themeColor="text1"/>
                <w:sz w:val="16"/>
                <w:szCs w:val="16"/>
              </w:rPr>
              <w:t>+3,6</w:t>
            </w:r>
          </w:p>
        </w:tc>
      </w:tr>
      <w:tr w:rsidR="00E371BA" w:rsidRPr="00507A31" w14:paraId="71ACF59A"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835FFD" w14:textId="77777777" w:rsidR="002B17E4" w:rsidRPr="00507A31" w:rsidRDefault="002B17E4" w:rsidP="00507A31">
            <w:pPr>
              <w:jc w:val="both"/>
              <w:rPr>
                <w:color w:val="000000" w:themeColor="text1"/>
                <w:sz w:val="16"/>
                <w:szCs w:val="16"/>
              </w:rPr>
            </w:pPr>
            <w:r w:rsidRPr="00507A31">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6276E" w14:textId="77777777" w:rsidR="002B17E4" w:rsidRPr="00507A31" w:rsidRDefault="002B17E4" w:rsidP="00507A31">
            <w:pPr>
              <w:jc w:val="both"/>
              <w:rPr>
                <w:color w:val="000000" w:themeColor="text1"/>
                <w:sz w:val="16"/>
                <w:szCs w:val="16"/>
              </w:rPr>
            </w:pPr>
            <w:r w:rsidRPr="00507A31">
              <w:rPr>
                <w:color w:val="000000" w:themeColor="text1"/>
                <w:sz w:val="16"/>
                <w:szCs w:val="16"/>
              </w:rPr>
              <w:t>358,5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37B7A" w14:textId="77777777" w:rsidR="002B17E4" w:rsidRPr="00507A31" w:rsidRDefault="002B17E4" w:rsidP="00507A31">
            <w:pPr>
              <w:jc w:val="both"/>
              <w:rPr>
                <w:color w:val="000000" w:themeColor="text1"/>
                <w:sz w:val="16"/>
                <w:szCs w:val="16"/>
              </w:rPr>
            </w:pPr>
            <w:r w:rsidRPr="00507A31">
              <w:rPr>
                <w:color w:val="000000" w:themeColor="text1"/>
                <w:sz w:val="16"/>
                <w:szCs w:val="16"/>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4F353" w14:textId="77777777" w:rsidR="002B17E4" w:rsidRPr="00507A31" w:rsidRDefault="002B17E4" w:rsidP="00507A31">
            <w:pPr>
              <w:jc w:val="both"/>
              <w:rPr>
                <w:color w:val="000000" w:themeColor="text1"/>
                <w:sz w:val="16"/>
                <w:szCs w:val="16"/>
              </w:rPr>
            </w:pPr>
            <w:r w:rsidRPr="00507A31">
              <w:rPr>
                <w:color w:val="000000" w:themeColor="text1"/>
                <w:sz w:val="16"/>
                <w:szCs w:val="16"/>
              </w:rPr>
              <w:t>108,6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7A897" w14:textId="77777777" w:rsidR="002B17E4" w:rsidRPr="00507A31" w:rsidRDefault="002B17E4" w:rsidP="00507A31">
            <w:pPr>
              <w:jc w:val="both"/>
              <w:rPr>
                <w:color w:val="000000" w:themeColor="text1"/>
                <w:sz w:val="16"/>
                <w:szCs w:val="16"/>
              </w:rPr>
            </w:pPr>
            <w:r w:rsidRPr="00507A31">
              <w:rPr>
                <w:color w:val="000000" w:themeColor="text1"/>
                <w:sz w:val="16"/>
                <w:szCs w:val="16"/>
              </w:rPr>
              <w:t>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BA95D" w14:textId="77777777" w:rsidR="002B17E4" w:rsidRPr="00507A31" w:rsidRDefault="002B17E4" w:rsidP="00507A31">
            <w:pPr>
              <w:jc w:val="both"/>
              <w:rPr>
                <w:color w:val="000000" w:themeColor="text1"/>
                <w:sz w:val="16"/>
                <w:szCs w:val="16"/>
              </w:rPr>
            </w:pPr>
            <w:r w:rsidRPr="00507A31">
              <w:rPr>
                <w:color w:val="000000" w:themeColor="text1"/>
                <w:sz w:val="16"/>
                <w:szCs w:val="16"/>
              </w:rPr>
              <w:t>-8,4</w:t>
            </w:r>
          </w:p>
        </w:tc>
      </w:tr>
      <w:tr w:rsidR="00E371BA" w:rsidRPr="00507A31" w14:paraId="704E30E1"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570438" w14:textId="77777777" w:rsidR="002B17E4" w:rsidRPr="00507A31" w:rsidRDefault="002B17E4" w:rsidP="00507A31">
            <w:pPr>
              <w:jc w:val="both"/>
              <w:rPr>
                <w:color w:val="000000" w:themeColor="text1"/>
                <w:sz w:val="16"/>
                <w:szCs w:val="16"/>
              </w:rPr>
            </w:pPr>
            <w:r w:rsidRPr="00507A31">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9902B" w14:textId="77777777" w:rsidR="002B17E4" w:rsidRPr="00507A31" w:rsidRDefault="002B17E4" w:rsidP="00507A31">
            <w:pPr>
              <w:jc w:val="both"/>
              <w:rPr>
                <w:color w:val="000000" w:themeColor="text1"/>
                <w:sz w:val="16"/>
                <w:szCs w:val="16"/>
              </w:rPr>
            </w:pPr>
            <w:r w:rsidRPr="00507A31">
              <w:rPr>
                <w:color w:val="000000" w:themeColor="text1"/>
                <w:sz w:val="16"/>
                <w:szCs w:val="16"/>
              </w:rPr>
              <w:t>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C8175" w14:textId="77777777" w:rsidR="002B17E4" w:rsidRPr="00507A31" w:rsidRDefault="002B17E4" w:rsidP="00507A31">
            <w:pPr>
              <w:jc w:val="both"/>
              <w:rPr>
                <w:color w:val="000000" w:themeColor="text1"/>
                <w:sz w:val="16"/>
                <w:szCs w:val="16"/>
              </w:rPr>
            </w:pPr>
            <w:r w:rsidRPr="00507A31">
              <w:rPr>
                <w:color w:val="000000" w:themeColor="text1"/>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F5C6B" w14:textId="77777777" w:rsidR="002B17E4" w:rsidRPr="00507A31" w:rsidRDefault="002B17E4" w:rsidP="00507A31">
            <w:pPr>
              <w:jc w:val="both"/>
              <w:rPr>
                <w:color w:val="000000" w:themeColor="text1"/>
                <w:sz w:val="16"/>
                <w:szCs w:val="16"/>
              </w:rPr>
            </w:pPr>
            <w:r w:rsidRPr="00507A31">
              <w:rPr>
                <w:color w:val="000000" w:themeColor="text1"/>
                <w:sz w:val="16"/>
                <w:szCs w:val="16"/>
              </w:rPr>
              <w:t>122,3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93289" w14:textId="77777777" w:rsidR="002B17E4" w:rsidRPr="00507A31" w:rsidRDefault="002B17E4" w:rsidP="00507A31">
            <w:pPr>
              <w:jc w:val="both"/>
              <w:rPr>
                <w:color w:val="000000" w:themeColor="text1"/>
                <w:sz w:val="16"/>
                <w:szCs w:val="16"/>
              </w:rPr>
            </w:pPr>
            <w:r w:rsidRPr="00507A31">
              <w:rPr>
                <w:color w:val="000000" w:themeColor="text1"/>
                <w:sz w:val="16"/>
                <w:szCs w:val="16"/>
              </w:rPr>
              <w:t>99,5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49E6A" w14:textId="77777777" w:rsidR="002B17E4" w:rsidRPr="00507A31" w:rsidRDefault="002B17E4" w:rsidP="00507A31">
            <w:pPr>
              <w:jc w:val="both"/>
              <w:rPr>
                <w:color w:val="000000" w:themeColor="text1"/>
                <w:sz w:val="16"/>
                <w:szCs w:val="16"/>
              </w:rPr>
            </w:pPr>
            <w:r w:rsidRPr="00507A31">
              <w:rPr>
                <w:color w:val="000000" w:themeColor="text1"/>
                <w:sz w:val="16"/>
                <w:szCs w:val="16"/>
              </w:rPr>
              <w:t>-0,5</w:t>
            </w:r>
          </w:p>
        </w:tc>
      </w:tr>
      <w:tr w:rsidR="00E371BA" w:rsidRPr="00507A31" w14:paraId="70D7AF09"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B628EB" w14:textId="77777777" w:rsidR="002B17E4" w:rsidRPr="00507A31" w:rsidRDefault="002B17E4" w:rsidP="00507A31">
            <w:pPr>
              <w:jc w:val="both"/>
              <w:rPr>
                <w:color w:val="000000" w:themeColor="text1"/>
                <w:sz w:val="16"/>
                <w:szCs w:val="16"/>
              </w:rPr>
            </w:pPr>
            <w:r w:rsidRPr="00507A31">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C788B" w14:textId="77777777" w:rsidR="002B17E4" w:rsidRPr="00507A31" w:rsidRDefault="002B17E4" w:rsidP="00507A31">
            <w:pPr>
              <w:jc w:val="both"/>
              <w:rPr>
                <w:color w:val="000000" w:themeColor="text1"/>
                <w:sz w:val="16"/>
                <w:szCs w:val="16"/>
              </w:rPr>
            </w:pPr>
            <w:r w:rsidRPr="00507A31">
              <w:rPr>
                <w:color w:val="000000" w:themeColor="text1"/>
                <w:sz w:val="16"/>
                <w:szCs w:val="16"/>
              </w:rPr>
              <w:t>432,9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936AE" w14:textId="77777777" w:rsidR="002B17E4" w:rsidRPr="00507A31" w:rsidRDefault="002B17E4" w:rsidP="00507A31">
            <w:pPr>
              <w:jc w:val="both"/>
              <w:rPr>
                <w:color w:val="000000" w:themeColor="text1"/>
                <w:sz w:val="16"/>
                <w:szCs w:val="16"/>
              </w:rPr>
            </w:pPr>
            <w:r w:rsidRPr="00507A31">
              <w:rPr>
                <w:color w:val="000000" w:themeColor="text1"/>
                <w:sz w:val="16"/>
                <w:szCs w:val="16"/>
              </w:rPr>
              <w:t>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374F3" w14:textId="77777777" w:rsidR="002B17E4" w:rsidRPr="00507A31" w:rsidRDefault="002B17E4" w:rsidP="00507A31">
            <w:pPr>
              <w:jc w:val="both"/>
              <w:rPr>
                <w:color w:val="000000" w:themeColor="text1"/>
                <w:sz w:val="16"/>
                <w:szCs w:val="16"/>
              </w:rPr>
            </w:pPr>
            <w:r w:rsidRPr="00507A31">
              <w:rPr>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A498D" w14:textId="77777777" w:rsidR="002B17E4" w:rsidRPr="00507A31" w:rsidRDefault="002B17E4" w:rsidP="00507A31">
            <w:pPr>
              <w:jc w:val="both"/>
              <w:rPr>
                <w:color w:val="000000" w:themeColor="text1"/>
                <w:sz w:val="16"/>
                <w:szCs w:val="16"/>
              </w:rPr>
            </w:pPr>
            <w:r w:rsidRPr="00507A31">
              <w:rPr>
                <w:color w:val="000000" w:themeColor="text1"/>
                <w:sz w:val="16"/>
                <w:szCs w:val="16"/>
              </w:rPr>
              <w:t>105,6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44D55" w14:textId="77777777" w:rsidR="002B17E4" w:rsidRPr="00507A31" w:rsidRDefault="002B17E4" w:rsidP="00507A31">
            <w:pPr>
              <w:jc w:val="both"/>
              <w:rPr>
                <w:color w:val="000000" w:themeColor="text1"/>
                <w:sz w:val="16"/>
                <w:szCs w:val="16"/>
              </w:rPr>
            </w:pPr>
            <w:r w:rsidRPr="00507A31">
              <w:rPr>
                <w:color w:val="000000" w:themeColor="text1"/>
                <w:sz w:val="16"/>
                <w:szCs w:val="16"/>
              </w:rPr>
              <w:t>+5,6</w:t>
            </w:r>
          </w:p>
        </w:tc>
      </w:tr>
    </w:tbl>
    <w:p w14:paraId="1D62E176" w14:textId="77777777" w:rsidR="002B17E4" w:rsidRPr="00507A31" w:rsidRDefault="002B17E4" w:rsidP="00507A31">
      <w:pPr>
        <w:jc w:val="both"/>
        <w:rPr>
          <w:color w:val="000000" w:themeColor="text1"/>
          <w:sz w:val="16"/>
          <w:szCs w:val="16"/>
        </w:rPr>
      </w:pPr>
      <w:r w:rsidRPr="00507A31">
        <w:rPr>
          <w:color w:val="000000" w:themeColor="text1"/>
          <w:sz w:val="16"/>
          <w:szCs w:val="16"/>
        </w:rPr>
        <w:t> </w:t>
      </w:r>
    </w:p>
    <w:p w14:paraId="757022A3"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Всего: 362,10 при росте по Военпрому в 12,7%. Характерен прорыв в повышении производительности труда по ПТТ (недовыполнено в 8,4% против плана); в то же время этот трест превысил план по числу рабочих на 4%, по зарплате — 3,5%. Прямым следствием отсюда — убыточность по ряду изделий этого треста: паропроводная арматура — 26,1%, бумажные гильзы — 25,8%, мясорубки — 13,1%. В то же время качественные показатели по снижению заводской себестоимости и по труду говорят за то, что имеющиеся в этом направлении резервы и скрытые возможности выявлены недостаточно.</w:t>
      </w:r>
    </w:p>
    <w:p w14:paraId="69EDBEF3" w14:textId="77777777" w:rsidR="00DA1172" w:rsidRPr="00507A31" w:rsidRDefault="00DA1172" w:rsidP="00507A31">
      <w:pPr>
        <w:pStyle w:val="rtejustify"/>
        <w:spacing w:before="0" w:after="0"/>
        <w:rPr>
          <w:color w:val="000000" w:themeColor="text1"/>
          <w:sz w:val="16"/>
          <w:szCs w:val="16"/>
        </w:rPr>
      </w:pPr>
      <w:r w:rsidRPr="00507A31">
        <w:rPr>
          <w:color w:val="000000" w:themeColor="text1"/>
          <w:sz w:val="16"/>
          <w:szCs w:val="16"/>
        </w:rPr>
        <w:t>Капитальное строительство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6"/>
        <w:gridCol w:w="2870"/>
        <w:gridCol w:w="1258"/>
        <w:gridCol w:w="999"/>
        <w:gridCol w:w="1791"/>
        <w:gridCol w:w="1537"/>
        <w:gridCol w:w="1566"/>
        <w:gridCol w:w="635"/>
      </w:tblGrid>
      <w:tr w:rsidR="00E371BA" w:rsidRPr="00507A31" w14:paraId="6209F5FA"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C3544E" w14:textId="77777777" w:rsidR="002B17E4" w:rsidRPr="00507A31" w:rsidRDefault="002B17E4" w:rsidP="00507A31">
            <w:pPr>
              <w:jc w:val="both"/>
              <w:rPr>
                <w:color w:val="000000" w:themeColor="text1"/>
                <w:sz w:val="16"/>
                <w:szCs w:val="16"/>
              </w:rPr>
            </w:pPr>
            <w:r w:rsidRPr="00507A31">
              <w:rPr>
                <w:color w:val="000000" w:themeColor="text1"/>
                <w:sz w:val="16"/>
                <w:szCs w:val="16"/>
              </w:rPr>
              <w:t>Тресты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08620FB" w14:textId="77777777" w:rsidR="002B17E4" w:rsidRPr="00507A31" w:rsidRDefault="002B17E4" w:rsidP="00507A31">
            <w:pPr>
              <w:jc w:val="both"/>
              <w:rPr>
                <w:color w:val="000000" w:themeColor="text1"/>
                <w:sz w:val="16"/>
                <w:szCs w:val="16"/>
              </w:rPr>
            </w:pPr>
            <w:r w:rsidRPr="00507A31">
              <w:rPr>
                <w:color w:val="000000" w:themeColor="text1"/>
                <w:sz w:val="16"/>
                <w:szCs w:val="16"/>
              </w:rPr>
              <w:t>Объем капитального</w:t>
            </w:r>
          </w:p>
          <w:p w14:paraId="74AC258E" w14:textId="77777777" w:rsidR="002B17E4" w:rsidRPr="00507A31" w:rsidRDefault="002B17E4" w:rsidP="00507A31">
            <w:pPr>
              <w:jc w:val="both"/>
              <w:rPr>
                <w:color w:val="000000" w:themeColor="text1"/>
                <w:sz w:val="16"/>
                <w:szCs w:val="16"/>
              </w:rPr>
            </w:pPr>
            <w:r w:rsidRPr="00507A31">
              <w:rPr>
                <w:color w:val="000000" w:themeColor="text1"/>
                <w:sz w:val="16"/>
                <w:szCs w:val="16"/>
              </w:rPr>
              <w:t> строительства по промфинплану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29B9C4" w14:textId="77777777" w:rsidR="002B17E4" w:rsidRPr="00507A31" w:rsidRDefault="002B17E4" w:rsidP="00507A31">
            <w:pPr>
              <w:jc w:val="both"/>
              <w:rPr>
                <w:color w:val="000000" w:themeColor="text1"/>
                <w:sz w:val="16"/>
                <w:szCs w:val="16"/>
              </w:rPr>
            </w:pPr>
            <w:r w:rsidRPr="00507A31">
              <w:rPr>
                <w:color w:val="000000" w:themeColor="text1"/>
                <w:sz w:val="16"/>
                <w:szCs w:val="16"/>
              </w:rPr>
              <w:t>Последние</w:t>
            </w:r>
          </w:p>
          <w:p w14:paraId="5AC84D5F" w14:textId="77777777" w:rsidR="002B17E4" w:rsidRPr="00507A31" w:rsidRDefault="002B17E4" w:rsidP="00507A31">
            <w:pPr>
              <w:jc w:val="both"/>
              <w:rPr>
                <w:color w:val="000000" w:themeColor="text1"/>
                <w:sz w:val="16"/>
                <w:szCs w:val="16"/>
              </w:rPr>
            </w:pPr>
            <w:r w:rsidRPr="00507A31">
              <w:rPr>
                <w:color w:val="000000" w:themeColor="text1"/>
                <w:sz w:val="16"/>
                <w:szCs w:val="16"/>
              </w:rPr>
              <w:t>цифры,</w:t>
            </w:r>
          </w:p>
          <w:p w14:paraId="514D260E" w14:textId="77777777" w:rsidR="002B17E4" w:rsidRPr="00507A31" w:rsidRDefault="002B17E4" w:rsidP="00507A31">
            <w:pPr>
              <w:jc w:val="both"/>
              <w:rPr>
                <w:color w:val="000000" w:themeColor="text1"/>
                <w:sz w:val="16"/>
                <w:szCs w:val="16"/>
              </w:rPr>
            </w:pPr>
            <w:r w:rsidRPr="00507A31">
              <w:rPr>
                <w:color w:val="000000" w:themeColor="text1"/>
                <w:sz w:val="16"/>
                <w:szCs w:val="16"/>
              </w:rPr>
              <w:t>утвержденные</w:t>
            </w:r>
          </w:p>
          <w:p w14:paraId="17B9BA2F" w14:textId="77777777" w:rsidR="002B17E4" w:rsidRPr="00507A31" w:rsidRDefault="002B17E4" w:rsidP="00507A31">
            <w:pPr>
              <w:jc w:val="both"/>
              <w:rPr>
                <w:color w:val="000000" w:themeColor="text1"/>
                <w:sz w:val="16"/>
                <w:szCs w:val="16"/>
              </w:rPr>
            </w:pPr>
            <w:r w:rsidRPr="00507A31">
              <w:rPr>
                <w:color w:val="000000" w:themeColor="text1"/>
                <w:sz w:val="16"/>
                <w:szCs w:val="16"/>
              </w:rPr>
              <w:t>ГВПУ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286169" w14:textId="77777777" w:rsidR="002B17E4" w:rsidRPr="00507A31" w:rsidRDefault="002B17E4" w:rsidP="00507A31">
            <w:pPr>
              <w:jc w:val="both"/>
              <w:rPr>
                <w:color w:val="000000" w:themeColor="text1"/>
                <w:sz w:val="16"/>
                <w:szCs w:val="16"/>
              </w:rPr>
            </w:pPr>
            <w:r w:rsidRPr="00507A31">
              <w:rPr>
                <w:color w:val="000000" w:themeColor="text1"/>
                <w:sz w:val="16"/>
                <w:szCs w:val="16"/>
              </w:rPr>
              <w:t>По отчету выполнено</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72DC5CB" w14:textId="77777777" w:rsidR="002B17E4" w:rsidRPr="00507A31" w:rsidRDefault="002B17E4" w:rsidP="00507A31">
            <w:pPr>
              <w:jc w:val="both"/>
              <w:rPr>
                <w:color w:val="000000" w:themeColor="text1"/>
                <w:sz w:val="16"/>
                <w:szCs w:val="16"/>
              </w:rPr>
            </w:pPr>
            <w:r w:rsidRPr="00507A31">
              <w:rPr>
                <w:color w:val="000000" w:themeColor="text1"/>
                <w:sz w:val="16"/>
                <w:szCs w:val="16"/>
              </w:rPr>
              <w:t>От плана, в процентах</w:t>
            </w:r>
          </w:p>
        </w:tc>
      </w:tr>
      <w:tr w:rsidR="00E371BA" w:rsidRPr="00507A31" w14:paraId="2406D71E"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332E73FA" w14:textId="77777777" w:rsidR="002B17E4" w:rsidRPr="00507A31" w:rsidRDefault="002B17E4"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2416D6" w14:textId="77777777" w:rsidR="002B17E4" w:rsidRPr="00507A31" w:rsidRDefault="002B17E4"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B8CE17D" w14:textId="77777777" w:rsidR="002B17E4" w:rsidRPr="00507A31" w:rsidRDefault="002B17E4" w:rsidP="00507A31">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B358C5" w14:textId="77777777" w:rsidR="002B17E4" w:rsidRPr="00507A31" w:rsidRDefault="002B17E4" w:rsidP="00507A31">
            <w:pPr>
              <w:jc w:val="both"/>
              <w:rPr>
                <w:color w:val="000000" w:themeColor="text1"/>
                <w:sz w:val="16"/>
                <w:szCs w:val="16"/>
              </w:rPr>
            </w:pPr>
            <w:r w:rsidRPr="00507A31">
              <w:rPr>
                <w:color w:val="000000" w:themeColor="text1"/>
                <w:sz w:val="16"/>
                <w:szCs w:val="16"/>
              </w:rPr>
              <w:t>Абсолютно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147AC" w14:textId="77777777" w:rsidR="002B17E4" w:rsidRPr="00507A31" w:rsidRDefault="002B17E4" w:rsidP="00507A31">
            <w:pPr>
              <w:jc w:val="both"/>
              <w:rPr>
                <w:color w:val="000000" w:themeColor="text1"/>
                <w:sz w:val="16"/>
                <w:szCs w:val="16"/>
              </w:rPr>
            </w:pPr>
            <w:r w:rsidRPr="00507A31">
              <w:rPr>
                <w:color w:val="000000" w:themeColor="text1"/>
                <w:sz w:val="16"/>
                <w:szCs w:val="16"/>
              </w:rPr>
              <w:t>В процентах 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75D9D" w14:textId="77777777" w:rsidR="002B17E4" w:rsidRPr="00507A31" w:rsidRDefault="002B17E4" w:rsidP="00507A31">
            <w:pPr>
              <w:jc w:val="both"/>
              <w:rPr>
                <w:color w:val="000000" w:themeColor="text1"/>
                <w:sz w:val="16"/>
                <w:szCs w:val="16"/>
              </w:rPr>
            </w:pPr>
            <w:r w:rsidRPr="00507A31">
              <w:rPr>
                <w:color w:val="000000" w:themeColor="text1"/>
                <w:sz w:val="16"/>
                <w:szCs w:val="16"/>
              </w:rPr>
              <w:t>По строительству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F187E" w14:textId="77777777" w:rsidR="002B17E4" w:rsidRPr="00507A31" w:rsidRDefault="002B17E4" w:rsidP="00507A31">
            <w:pPr>
              <w:jc w:val="both"/>
              <w:rPr>
                <w:color w:val="000000" w:themeColor="text1"/>
                <w:sz w:val="16"/>
                <w:szCs w:val="16"/>
              </w:rPr>
            </w:pPr>
            <w:r w:rsidRPr="00507A31">
              <w:rPr>
                <w:color w:val="000000" w:themeColor="text1"/>
                <w:sz w:val="16"/>
                <w:szCs w:val="16"/>
              </w:rPr>
              <w:t>По оборудованию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B660E" w14:textId="77777777" w:rsidR="002B17E4" w:rsidRPr="00507A31" w:rsidRDefault="002B17E4" w:rsidP="00507A31">
            <w:pPr>
              <w:jc w:val="both"/>
              <w:rPr>
                <w:color w:val="000000" w:themeColor="text1"/>
                <w:sz w:val="16"/>
                <w:szCs w:val="16"/>
              </w:rPr>
            </w:pPr>
            <w:r w:rsidRPr="00507A31">
              <w:rPr>
                <w:color w:val="000000" w:themeColor="text1"/>
                <w:sz w:val="16"/>
                <w:szCs w:val="16"/>
              </w:rPr>
              <w:t>Общий</w:t>
            </w:r>
          </w:p>
        </w:tc>
      </w:tr>
      <w:tr w:rsidR="00E371BA" w:rsidRPr="00507A31" w14:paraId="45F38ED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5775DEF" w14:textId="77777777" w:rsidR="002B17E4" w:rsidRPr="00507A31" w:rsidRDefault="002B17E4" w:rsidP="00507A31">
            <w:pPr>
              <w:jc w:val="both"/>
              <w:rPr>
                <w:color w:val="000000" w:themeColor="text1"/>
                <w:sz w:val="16"/>
                <w:szCs w:val="16"/>
              </w:rPr>
            </w:pPr>
            <w:r w:rsidRPr="00507A31">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B70F7" w14:textId="77777777" w:rsidR="002B17E4" w:rsidRPr="00507A31" w:rsidRDefault="002B17E4" w:rsidP="00507A31">
            <w:pPr>
              <w:jc w:val="both"/>
              <w:rPr>
                <w:color w:val="000000" w:themeColor="text1"/>
                <w:sz w:val="16"/>
                <w:szCs w:val="16"/>
              </w:rPr>
            </w:pPr>
            <w:r w:rsidRPr="00507A31">
              <w:rPr>
                <w:color w:val="000000" w:themeColor="text1"/>
                <w:sz w:val="16"/>
                <w:szCs w:val="16"/>
              </w:rPr>
              <w:t>31 173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99716" w14:textId="77777777" w:rsidR="002B17E4" w:rsidRPr="00507A31" w:rsidRDefault="002B17E4" w:rsidP="00507A31">
            <w:pPr>
              <w:jc w:val="both"/>
              <w:rPr>
                <w:color w:val="000000" w:themeColor="text1"/>
                <w:sz w:val="16"/>
                <w:szCs w:val="16"/>
              </w:rPr>
            </w:pPr>
            <w:r w:rsidRPr="00507A31">
              <w:rPr>
                <w:color w:val="000000" w:themeColor="text1"/>
                <w:sz w:val="16"/>
                <w:szCs w:val="16"/>
              </w:rPr>
              <w:t>31 173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5FB4A" w14:textId="77777777" w:rsidR="002B17E4" w:rsidRPr="00507A31" w:rsidRDefault="002B17E4" w:rsidP="00507A31">
            <w:pPr>
              <w:jc w:val="both"/>
              <w:rPr>
                <w:color w:val="000000" w:themeColor="text1"/>
                <w:sz w:val="16"/>
                <w:szCs w:val="16"/>
              </w:rPr>
            </w:pPr>
            <w:r w:rsidRPr="00507A31">
              <w:rPr>
                <w:color w:val="000000" w:themeColor="text1"/>
                <w:sz w:val="16"/>
                <w:szCs w:val="16"/>
              </w:rPr>
              <w:t>21 234,5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6069F" w14:textId="77777777" w:rsidR="002B17E4" w:rsidRPr="00507A31" w:rsidRDefault="002B17E4" w:rsidP="00507A31">
            <w:pPr>
              <w:jc w:val="both"/>
              <w:rPr>
                <w:color w:val="000000" w:themeColor="text1"/>
                <w:sz w:val="16"/>
                <w:szCs w:val="16"/>
              </w:rPr>
            </w:pPr>
            <w:r w:rsidRPr="00507A31">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8D933" w14:textId="77777777" w:rsidR="002B17E4" w:rsidRPr="00507A31" w:rsidRDefault="002B17E4" w:rsidP="00507A31">
            <w:pPr>
              <w:jc w:val="both"/>
              <w:rPr>
                <w:color w:val="000000" w:themeColor="text1"/>
                <w:sz w:val="16"/>
                <w:szCs w:val="16"/>
              </w:rPr>
            </w:pPr>
            <w:r w:rsidRPr="00507A31">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178C1" w14:textId="77777777" w:rsidR="002B17E4" w:rsidRPr="00507A31" w:rsidRDefault="002B17E4" w:rsidP="00507A31">
            <w:pPr>
              <w:jc w:val="both"/>
              <w:rPr>
                <w:color w:val="000000" w:themeColor="text1"/>
                <w:sz w:val="16"/>
                <w:szCs w:val="16"/>
              </w:rPr>
            </w:pPr>
            <w:r w:rsidRPr="00507A31">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6E6F" w14:textId="77777777" w:rsidR="002B17E4" w:rsidRPr="00507A31" w:rsidRDefault="002B17E4" w:rsidP="00507A31">
            <w:pPr>
              <w:jc w:val="both"/>
              <w:rPr>
                <w:color w:val="000000" w:themeColor="text1"/>
                <w:sz w:val="16"/>
                <w:szCs w:val="16"/>
              </w:rPr>
            </w:pPr>
            <w:r w:rsidRPr="00507A31">
              <w:rPr>
                <w:color w:val="000000" w:themeColor="text1"/>
                <w:sz w:val="16"/>
                <w:szCs w:val="16"/>
              </w:rPr>
              <w:t>32</w:t>
            </w:r>
          </w:p>
        </w:tc>
      </w:tr>
      <w:tr w:rsidR="00E371BA" w:rsidRPr="00507A31" w14:paraId="1F979A1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BBC7566" w14:textId="77777777" w:rsidR="002B17E4" w:rsidRPr="00507A31" w:rsidRDefault="002B17E4" w:rsidP="00507A31">
            <w:pPr>
              <w:jc w:val="both"/>
              <w:rPr>
                <w:color w:val="000000" w:themeColor="text1"/>
                <w:sz w:val="16"/>
                <w:szCs w:val="16"/>
              </w:rPr>
            </w:pPr>
            <w:r w:rsidRPr="00507A31">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09DF9" w14:textId="77777777" w:rsidR="002B17E4" w:rsidRPr="00507A31" w:rsidRDefault="002B17E4" w:rsidP="00507A31">
            <w:pPr>
              <w:jc w:val="both"/>
              <w:rPr>
                <w:color w:val="000000" w:themeColor="text1"/>
                <w:sz w:val="16"/>
                <w:szCs w:val="16"/>
              </w:rPr>
            </w:pPr>
            <w:r w:rsidRPr="00507A31">
              <w:rPr>
                <w:color w:val="000000" w:themeColor="text1"/>
                <w:sz w:val="16"/>
                <w:szCs w:val="16"/>
              </w:rPr>
              <w:t>23 739,9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94414" w14:textId="77777777" w:rsidR="002B17E4" w:rsidRPr="00507A31" w:rsidRDefault="002B17E4" w:rsidP="00507A31">
            <w:pPr>
              <w:jc w:val="both"/>
              <w:rPr>
                <w:color w:val="000000" w:themeColor="text1"/>
                <w:sz w:val="16"/>
                <w:szCs w:val="16"/>
              </w:rPr>
            </w:pPr>
            <w:r w:rsidRPr="00507A31">
              <w:rPr>
                <w:color w:val="000000" w:themeColor="text1"/>
                <w:sz w:val="16"/>
                <w:szCs w:val="16"/>
              </w:rPr>
              <w:t>24 201,7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59F63" w14:textId="77777777" w:rsidR="002B17E4" w:rsidRPr="00507A31" w:rsidRDefault="002B17E4" w:rsidP="00507A31">
            <w:pPr>
              <w:jc w:val="both"/>
              <w:rPr>
                <w:color w:val="000000" w:themeColor="text1"/>
                <w:sz w:val="16"/>
                <w:szCs w:val="16"/>
              </w:rPr>
            </w:pPr>
            <w:r w:rsidRPr="00507A31">
              <w:rPr>
                <w:color w:val="000000" w:themeColor="text1"/>
                <w:sz w:val="16"/>
                <w:szCs w:val="16"/>
              </w:rPr>
              <w:t>23 208,9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076EC" w14:textId="77777777" w:rsidR="002B17E4" w:rsidRPr="00507A31" w:rsidRDefault="002B17E4" w:rsidP="00507A31">
            <w:pPr>
              <w:jc w:val="both"/>
              <w:rPr>
                <w:color w:val="000000" w:themeColor="text1"/>
                <w:sz w:val="16"/>
                <w:szCs w:val="16"/>
              </w:rPr>
            </w:pPr>
            <w:r w:rsidRPr="00507A31">
              <w:rPr>
                <w:color w:val="000000" w:themeColor="text1"/>
                <w:sz w:val="16"/>
                <w:szCs w:val="16"/>
              </w:rPr>
              <w:t>95,9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F3366" w14:textId="77777777" w:rsidR="002B17E4" w:rsidRPr="00507A31" w:rsidRDefault="002B17E4" w:rsidP="00507A31">
            <w:pPr>
              <w:jc w:val="both"/>
              <w:rPr>
                <w:color w:val="000000" w:themeColor="text1"/>
                <w:sz w:val="16"/>
                <w:szCs w:val="16"/>
              </w:rPr>
            </w:pPr>
            <w:r w:rsidRPr="00507A31">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386AD" w14:textId="77777777" w:rsidR="002B17E4" w:rsidRPr="00507A31" w:rsidRDefault="002B17E4" w:rsidP="00507A31">
            <w:pPr>
              <w:jc w:val="both"/>
              <w:rPr>
                <w:color w:val="000000" w:themeColor="text1"/>
                <w:sz w:val="16"/>
                <w:szCs w:val="16"/>
              </w:rPr>
            </w:pPr>
            <w:r w:rsidRPr="00507A31">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284A6" w14:textId="77777777" w:rsidR="002B17E4" w:rsidRPr="00507A31" w:rsidRDefault="002B17E4" w:rsidP="00507A31">
            <w:pPr>
              <w:jc w:val="both"/>
              <w:rPr>
                <w:color w:val="000000" w:themeColor="text1"/>
                <w:sz w:val="16"/>
                <w:szCs w:val="16"/>
              </w:rPr>
            </w:pPr>
            <w:r w:rsidRPr="00507A31">
              <w:rPr>
                <w:color w:val="000000" w:themeColor="text1"/>
                <w:sz w:val="16"/>
                <w:szCs w:val="16"/>
              </w:rPr>
              <w:t>4,1</w:t>
            </w:r>
          </w:p>
        </w:tc>
      </w:tr>
      <w:tr w:rsidR="00E371BA" w:rsidRPr="00507A31" w14:paraId="6317AF3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5FE35C7" w14:textId="77777777" w:rsidR="002B17E4" w:rsidRPr="00507A31" w:rsidRDefault="002B17E4" w:rsidP="00507A31">
            <w:pPr>
              <w:jc w:val="both"/>
              <w:rPr>
                <w:color w:val="000000" w:themeColor="text1"/>
                <w:sz w:val="16"/>
                <w:szCs w:val="16"/>
              </w:rPr>
            </w:pPr>
            <w:r w:rsidRPr="00507A31">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1BE3A" w14:textId="77777777" w:rsidR="002B17E4" w:rsidRPr="00507A31" w:rsidRDefault="002B17E4" w:rsidP="00507A31">
            <w:pPr>
              <w:jc w:val="both"/>
              <w:rPr>
                <w:color w:val="000000" w:themeColor="text1"/>
                <w:sz w:val="16"/>
                <w:szCs w:val="16"/>
              </w:rPr>
            </w:pPr>
            <w:r w:rsidRPr="00507A31">
              <w:rPr>
                <w:color w:val="000000" w:themeColor="text1"/>
                <w:sz w:val="16"/>
                <w:szCs w:val="16"/>
              </w:rPr>
              <w:t>28 021,9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B93FB" w14:textId="77777777" w:rsidR="002B17E4" w:rsidRPr="00507A31" w:rsidRDefault="002B17E4" w:rsidP="00507A31">
            <w:pPr>
              <w:jc w:val="both"/>
              <w:rPr>
                <w:color w:val="000000" w:themeColor="text1"/>
                <w:sz w:val="16"/>
                <w:szCs w:val="16"/>
              </w:rPr>
            </w:pPr>
            <w:r w:rsidRPr="00507A31">
              <w:rPr>
                <w:color w:val="000000" w:themeColor="text1"/>
                <w:sz w:val="16"/>
                <w:szCs w:val="16"/>
              </w:rPr>
              <w:t>27 346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8E703" w14:textId="77777777" w:rsidR="002B17E4" w:rsidRPr="00507A31" w:rsidRDefault="002B17E4" w:rsidP="00507A31">
            <w:pPr>
              <w:jc w:val="both"/>
              <w:rPr>
                <w:color w:val="000000" w:themeColor="text1"/>
                <w:sz w:val="16"/>
                <w:szCs w:val="16"/>
              </w:rPr>
            </w:pPr>
            <w:r w:rsidRPr="00507A31">
              <w:rPr>
                <w:color w:val="000000" w:themeColor="text1"/>
                <w:sz w:val="16"/>
                <w:szCs w:val="16"/>
              </w:rPr>
              <w:t>19 316,5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34E54" w14:textId="77777777" w:rsidR="002B17E4" w:rsidRPr="00507A31" w:rsidRDefault="002B17E4" w:rsidP="00507A31">
            <w:pPr>
              <w:jc w:val="both"/>
              <w:rPr>
                <w:color w:val="000000" w:themeColor="text1"/>
                <w:sz w:val="16"/>
                <w:szCs w:val="16"/>
              </w:rPr>
            </w:pPr>
            <w:r w:rsidRPr="00507A31">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0F078" w14:textId="77777777" w:rsidR="002B17E4" w:rsidRPr="00507A31" w:rsidRDefault="002B17E4" w:rsidP="00507A31">
            <w:pPr>
              <w:jc w:val="both"/>
              <w:rPr>
                <w:color w:val="000000" w:themeColor="text1"/>
                <w:sz w:val="16"/>
                <w:szCs w:val="16"/>
              </w:rPr>
            </w:pPr>
            <w:r w:rsidRPr="00507A31">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5DA20" w14:textId="77777777" w:rsidR="002B17E4" w:rsidRPr="00507A31" w:rsidRDefault="002B17E4" w:rsidP="00507A31">
            <w:pPr>
              <w:jc w:val="both"/>
              <w:rPr>
                <w:color w:val="000000" w:themeColor="text1"/>
                <w:sz w:val="16"/>
                <w:szCs w:val="16"/>
              </w:rPr>
            </w:pPr>
            <w:r w:rsidRPr="00507A31">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CFBF" w14:textId="77777777" w:rsidR="002B17E4" w:rsidRPr="00507A31" w:rsidRDefault="002B17E4" w:rsidP="00507A31">
            <w:pPr>
              <w:jc w:val="both"/>
              <w:rPr>
                <w:color w:val="000000" w:themeColor="text1"/>
                <w:sz w:val="16"/>
                <w:szCs w:val="16"/>
              </w:rPr>
            </w:pPr>
            <w:r w:rsidRPr="00507A31">
              <w:rPr>
                <w:color w:val="000000" w:themeColor="text1"/>
                <w:sz w:val="16"/>
                <w:szCs w:val="16"/>
              </w:rPr>
              <w:t>29⁷*</w:t>
            </w:r>
          </w:p>
        </w:tc>
      </w:tr>
      <w:tr w:rsidR="00E371BA" w:rsidRPr="00507A31" w14:paraId="3BE6BE6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A9F992" w14:textId="77777777" w:rsidR="002B17E4" w:rsidRPr="00507A31" w:rsidRDefault="002B17E4" w:rsidP="00507A31">
            <w:pPr>
              <w:jc w:val="both"/>
              <w:rPr>
                <w:color w:val="000000" w:themeColor="text1"/>
                <w:sz w:val="16"/>
                <w:szCs w:val="16"/>
              </w:rPr>
            </w:pPr>
            <w:r w:rsidRPr="00507A31">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82409" w14:textId="77777777" w:rsidR="002B17E4" w:rsidRPr="00507A31" w:rsidRDefault="002B17E4" w:rsidP="00507A31">
            <w:pPr>
              <w:jc w:val="both"/>
              <w:rPr>
                <w:color w:val="000000" w:themeColor="text1"/>
                <w:sz w:val="16"/>
                <w:szCs w:val="16"/>
              </w:rPr>
            </w:pPr>
            <w:r w:rsidRPr="00507A31">
              <w:rPr>
                <w:color w:val="000000" w:themeColor="text1"/>
                <w:sz w:val="16"/>
                <w:szCs w:val="16"/>
              </w:rPr>
              <w:t>15516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B70D7" w14:textId="77777777" w:rsidR="002B17E4" w:rsidRPr="00507A31" w:rsidRDefault="002B17E4" w:rsidP="00507A31">
            <w:pPr>
              <w:jc w:val="both"/>
              <w:rPr>
                <w:color w:val="000000" w:themeColor="text1"/>
                <w:sz w:val="16"/>
                <w:szCs w:val="16"/>
              </w:rPr>
            </w:pPr>
            <w:r w:rsidRPr="00507A31">
              <w:rPr>
                <w:color w:val="000000" w:themeColor="text1"/>
                <w:sz w:val="16"/>
                <w:szCs w:val="16"/>
              </w:rPr>
              <w:t>15 596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4E6D0" w14:textId="77777777" w:rsidR="002B17E4" w:rsidRPr="00507A31" w:rsidRDefault="002B17E4" w:rsidP="00507A31">
            <w:pPr>
              <w:jc w:val="both"/>
              <w:rPr>
                <w:color w:val="000000" w:themeColor="text1"/>
                <w:sz w:val="16"/>
                <w:szCs w:val="16"/>
              </w:rPr>
            </w:pPr>
            <w:r w:rsidRPr="00507A31">
              <w:rPr>
                <w:color w:val="000000" w:themeColor="text1"/>
                <w:sz w:val="16"/>
                <w:szCs w:val="16"/>
              </w:rPr>
              <w:t>16 123,7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77309" w14:textId="77777777" w:rsidR="002B17E4" w:rsidRPr="00507A31" w:rsidRDefault="002B17E4" w:rsidP="00507A31">
            <w:pPr>
              <w:jc w:val="both"/>
              <w:rPr>
                <w:color w:val="000000" w:themeColor="text1"/>
                <w:sz w:val="16"/>
                <w:szCs w:val="16"/>
              </w:rPr>
            </w:pPr>
            <w:r w:rsidRPr="00507A31">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4DFF6" w14:textId="77777777" w:rsidR="002B17E4" w:rsidRPr="00507A31" w:rsidRDefault="002B17E4"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A2FA" w14:textId="77777777" w:rsidR="002B17E4" w:rsidRPr="00507A31" w:rsidRDefault="002B17E4"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93D04" w14:textId="77777777" w:rsidR="002B17E4" w:rsidRPr="00507A31" w:rsidRDefault="002B17E4" w:rsidP="00507A31">
            <w:pPr>
              <w:jc w:val="both"/>
              <w:rPr>
                <w:color w:val="000000" w:themeColor="text1"/>
                <w:sz w:val="16"/>
                <w:szCs w:val="16"/>
              </w:rPr>
            </w:pPr>
            <w:r w:rsidRPr="00507A31">
              <w:rPr>
                <w:color w:val="000000" w:themeColor="text1"/>
                <w:sz w:val="16"/>
                <w:szCs w:val="16"/>
              </w:rPr>
              <w:t>—</w:t>
            </w:r>
          </w:p>
        </w:tc>
      </w:tr>
      <w:tr w:rsidR="00E371BA" w:rsidRPr="00507A31" w14:paraId="6960653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22A03A" w14:textId="77777777" w:rsidR="002B17E4" w:rsidRPr="00507A31" w:rsidRDefault="002B17E4" w:rsidP="00507A31">
            <w:pPr>
              <w:jc w:val="both"/>
              <w:rPr>
                <w:color w:val="000000" w:themeColor="text1"/>
                <w:sz w:val="16"/>
                <w:szCs w:val="16"/>
              </w:rPr>
            </w:pPr>
            <w:r w:rsidRPr="00507A31">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996C1" w14:textId="77777777" w:rsidR="002B17E4" w:rsidRPr="00507A31" w:rsidRDefault="002B17E4" w:rsidP="00507A31">
            <w:pPr>
              <w:jc w:val="both"/>
              <w:rPr>
                <w:color w:val="000000" w:themeColor="text1"/>
                <w:sz w:val="16"/>
                <w:szCs w:val="16"/>
              </w:rPr>
            </w:pPr>
            <w:r w:rsidRPr="00507A31">
              <w:rPr>
                <w:color w:val="000000" w:themeColor="text1"/>
                <w:sz w:val="16"/>
                <w:szCs w:val="16"/>
              </w:rPr>
              <w:t>54 105,8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9411B" w14:textId="77777777" w:rsidR="002B17E4" w:rsidRPr="00507A31" w:rsidRDefault="002B17E4" w:rsidP="00507A31">
            <w:pPr>
              <w:jc w:val="both"/>
              <w:rPr>
                <w:color w:val="000000" w:themeColor="text1"/>
                <w:sz w:val="16"/>
                <w:szCs w:val="16"/>
              </w:rPr>
            </w:pPr>
            <w:r w:rsidRPr="00507A31">
              <w:rPr>
                <w:color w:val="000000" w:themeColor="text1"/>
                <w:sz w:val="16"/>
                <w:szCs w:val="16"/>
              </w:rPr>
              <w:t>56 994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37E3A" w14:textId="77777777" w:rsidR="002B17E4" w:rsidRPr="00507A31" w:rsidRDefault="002B17E4" w:rsidP="00507A31">
            <w:pPr>
              <w:jc w:val="both"/>
              <w:rPr>
                <w:color w:val="000000" w:themeColor="text1"/>
                <w:sz w:val="16"/>
                <w:szCs w:val="16"/>
              </w:rPr>
            </w:pPr>
            <w:r w:rsidRPr="00507A31">
              <w:rPr>
                <w:color w:val="000000" w:themeColor="text1"/>
                <w:sz w:val="16"/>
                <w:szCs w:val="16"/>
              </w:rPr>
              <w:t>30 461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E539C" w14:textId="77777777" w:rsidR="002B17E4" w:rsidRPr="00507A31" w:rsidRDefault="002B17E4" w:rsidP="00507A31">
            <w:pPr>
              <w:jc w:val="both"/>
              <w:rPr>
                <w:color w:val="000000" w:themeColor="text1"/>
                <w:sz w:val="16"/>
                <w:szCs w:val="16"/>
              </w:rPr>
            </w:pPr>
            <w:r w:rsidRPr="00507A31">
              <w:rPr>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A47A9" w14:textId="77777777" w:rsidR="002B17E4" w:rsidRPr="00507A31" w:rsidRDefault="002B17E4" w:rsidP="00507A31">
            <w:pPr>
              <w:jc w:val="both"/>
              <w:rPr>
                <w:color w:val="000000" w:themeColor="text1"/>
                <w:sz w:val="16"/>
                <w:szCs w:val="16"/>
              </w:rPr>
            </w:pPr>
            <w:r w:rsidRPr="00507A31">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BFCE0" w14:textId="77777777" w:rsidR="002B17E4" w:rsidRPr="00507A31" w:rsidRDefault="002B17E4" w:rsidP="00507A31">
            <w:pPr>
              <w:jc w:val="both"/>
              <w:rPr>
                <w:color w:val="000000" w:themeColor="text1"/>
                <w:sz w:val="16"/>
                <w:szCs w:val="16"/>
              </w:rPr>
            </w:pPr>
            <w:r w:rsidRPr="00507A31">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11F72" w14:textId="77777777" w:rsidR="002B17E4" w:rsidRPr="00507A31" w:rsidRDefault="002B17E4" w:rsidP="00507A31">
            <w:pPr>
              <w:jc w:val="both"/>
              <w:rPr>
                <w:color w:val="000000" w:themeColor="text1"/>
                <w:sz w:val="16"/>
                <w:szCs w:val="16"/>
              </w:rPr>
            </w:pPr>
            <w:r w:rsidRPr="00507A31">
              <w:rPr>
                <w:color w:val="000000" w:themeColor="text1"/>
                <w:sz w:val="16"/>
                <w:szCs w:val="16"/>
              </w:rPr>
              <w:t>47</w:t>
            </w:r>
          </w:p>
        </w:tc>
      </w:tr>
      <w:tr w:rsidR="00E371BA" w:rsidRPr="00507A31" w14:paraId="6DF8CFB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217616B" w14:textId="77777777" w:rsidR="002B17E4" w:rsidRPr="00507A31" w:rsidRDefault="002B17E4" w:rsidP="00507A31">
            <w:pPr>
              <w:jc w:val="both"/>
              <w:rPr>
                <w:color w:val="000000" w:themeColor="text1"/>
                <w:sz w:val="16"/>
                <w:szCs w:val="16"/>
              </w:rPr>
            </w:pPr>
            <w:r w:rsidRPr="00507A31">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246E" w14:textId="77777777" w:rsidR="002B17E4" w:rsidRPr="00507A31" w:rsidRDefault="002B17E4" w:rsidP="00507A31">
            <w:pPr>
              <w:jc w:val="both"/>
              <w:rPr>
                <w:color w:val="000000" w:themeColor="text1"/>
                <w:sz w:val="16"/>
                <w:szCs w:val="16"/>
              </w:rPr>
            </w:pPr>
            <w:r w:rsidRPr="00507A31">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F72A4" w14:textId="77777777" w:rsidR="002B17E4" w:rsidRPr="00507A31" w:rsidRDefault="002B17E4" w:rsidP="00507A31">
            <w:pPr>
              <w:jc w:val="both"/>
              <w:rPr>
                <w:color w:val="000000" w:themeColor="text1"/>
                <w:sz w:val="16"/>
                <w:szCs w:val="16"/>
              </w:rPr>
            </w:pPr>
            <w:r w:rsidRPr="00507A31">
              <w:rPr>
                <w:color w:val="000000" w:themeColor="text1"/>
                <w:sz w:val="16"/>
                <w:szCs w:val="16"/>
              </w:rPr>
              <w:t>155 310,7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DDFE1" w14:textId="77777777" w:rsidR="002B17E4" w:rsidRPr="00507A31" w:rsidRDefault="002B17E4" w:rsidP="00507A31">
            <w:pPr>
              <w:jc w:val="both"/>
              <w:rPr>
                <w:color w:val="000000" w:themeColor="text1"/>
                <w:sz w:val="16"/>
                <w:szCs w:val="16"/>
              </w:rPr>
            </w:pPr>
            <w:r w:rsidRPr="00507A31">
              <w:rPr>
                <w:color w:val="000000" w:themeColor="text1"/>
                <w:sz w:val="16"/>
                <w:szCs w:val="16"/>
              </w:rPr>
              <w:t>110 344,6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2C6EF" w14:textId="77777777" w:rsidR="002B17E4" w:rsidRPr="00507A31" w:rsidRDefault="002B17E4" w:rsidP="00507A31">
            <w:pPr>
              <w:jc w:val="both"/>
              <w:rPr>
                <w:color w:val="000000" w:themeColor="text1"/>
                <w:sz w:val="16"/>
                <w:szCs w:val="16"/>
              </w:rPr>
            </w:pPr>
            <w:r w:rsidRPr="00507A31">
              <w:rPr>
                <w:color w:val="000000" w:themeColor="text1"/>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66C9B" w14:textId="77777777" w:rsidR="002B17E4" w:rsidRPr="00507A31" w:rsidRDefault="002B17E4"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14F7A" w14:textId="77777777" w:rsidR="002B17E4" w:rsidRPr="00507A31" w:rsidRDefault="002B17E4"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2B4A4" w14:textId="77777777" w:rsidR="002B17E4" w:rsidRPr="00507A31" w:rsidRDefault="002B17E4" w:rsidP="00507A31">
            <w:pPr>
              <w:jc w:val="both"/>
              <w:rPr>
                <w:color w:val="000000" w:themeColor="text1"/>
                <w:sz w:val="16"/>
                <w:szCs w:val="16"/>
              </w:rPr>
            </w:pPr>
            <w:r w:rsidRPr="00507A31">
              <w:rPr>
                <w:color w:val="000000" w:themeColor="text1"/>
                <w:sz w:val="16"/>
                <w:szCs w:val="16"/>
              </w:rPr>
              <w:t>29,1</w:t>
            </w:r>
          </w:p>
        </w:tc>
      </w:tr>
    </w:tbl>
    <w:p w14:paraId="7D44AA84"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Следует отметить, прежде всего, что финансовое выражение недодела еще не дает ясного представления о фактическом техническом недоделе. Часто техническое выполнение превышает количество израсходованных средств. С другой стороны, завод может перевыполнить работы на второстепенных и наименее важных участках строительства и недовыполнить работы по важнейшим титулам, что на практике обычно и происходит. Наконец, необходимо учесть, что в этих цифрах сидят работы по недоделам прошлых лет.</w:t>
      </w:r>
    </w:p>
    <w:p w14:paraId="4E4E757A"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В данном случае приходится констатировать, что наиболее низкий процент выполнения падает на крупные заводы. Отметим недоделы по следующим объектам: пороховой отдел № 9 — 59%; пороховой отдел [завода им.] Косякова — 62%; пороховой отдел [завода] «Красный боевик» — 55%; взрывчатая группа завода № 80 — 44%; взрывчатая группа завода № 15 — 47%; Тульские оружейные заводы — 30%; Тульский патронный завод — 33,4%; Луганский патронный № 60 — 17,2%; Пензенский велосипедный (трубочный) завод — 31,2%; Самарский трубочный № 42 — 27%; Орудийный (Мытищи) № 8 — 80%; «Баррикады» — 23,8%; «Большевик» — 19,1%; Мотовилихинский завод (ММЗ) — 54,4%; завод № 1 (химический) — 77,5%⁸*.</w:t>
      </w:r>
    </w:p>
    <w:p w14:paraId="32FD95F9"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Зачастую недоделы касаются важнейших титулов. Так, по механическим цехам ММЗ недодел равен 88%⁹*, по ВХТ недоделы: по кислотным производствам — 70%; противогазам (активированный уголь) — 68% (в том числе: оборудование — 95%); теплосиловое хозяйство — 58%; скверно обстоит дело с производствами снаряжательным и взрывчатых веществ. Для ВХТ вообще характерно, что руководство строительством разбросано, нет осознанного упора на важнейшие участки. В результате более крупные и, конечно, более трудные участки строительства жестоко отстают: по сверхлимитным работам недодел 65%, по лимитным и ниже лимитным — 36%.</w:t>
      </w:r>
    </w:p>
    <w:p w14:paraId="456F4454"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В итоге по пороховому производству при заявке по литере «С» в 27 750 т мощность на 1 октября 1929 г. составляла всего 14 250 т и с 5 тыс. т переделочного пороха 19 250 т, т. е. соответственно 51,5% и 69,5% удовлетворения заявки («С»). По селитроугольным добавкам мощность на 1 октября 1929 г. составляла 2 тыс. т, или 50% заявки. По противогазам, по данным МПУ, вся мощность (считая и гражданскую промышленность) составляла на 1 октября 1929 г. 5 тыс. шт., или 50% потребности, но по активированному углю — всего 20% от заявки. Соответственно по тротилу и тетрилу на 1 октября 1929 г. имеем 83,5% и 75,5%.</w:t>
      </w:r>
    </w:p>
    <w:p w14:paraId="589D204F"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Аналогичные явления в строительстве 1928/29 г. можно наблюдать и по другим трестам с той только разницей, что часть заводов металлической группы еще до строительства 1928/29 г. имела основной капитал, более подготовленный к принятию действующих мобзаданий, чем химические заводы. Но прорывы в строительстве орудийных заводов не могут не сказаться крайне отрицательно на удовлетворении заявки НКВМ. Сектор обороны не может до сих нор установить даже в грубых цифрах мощности орудийных производств на 1 октября 1929 г., так как ни МПУ ВСНХ, ни ГВПУ (до его расформирования) этих данных, несмотря на наши настойчивые требования, представить не могли. В бухгалтерских же отчетах трестов за 1928/29 г. данные о мощностях, как всегда, отсутствуют.</w:t>
      </w:r>
    </w:p>
    <w:p w14:paraId="1EED4FB7"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Необходимо отметить, что, как правило, недоделы по причине недополучения оборудования значительно выше, чем недоделы по строительным работам. Причем эти прорывы с оборудованием относятся не только к импорту, но и к внутренним заказам. Порядок размещения заказов на оборудование внутри страны безобразен. Потребность Военпрома в оборудовании на 1928/29 г., размещаемом внутри Союза, выражалась в количестве 616 станков, но ГВПУ передало заказ ВМТС лишь в августе 1929 г., т. е. с опозданием, которое можно охарактеризовать только как преступное, поэтому на 1 октября 1929 г. было сдано Военпрому 156 станков.</w:t>
      </w:r>
    </w:p>
    <w:p w14:paraId="1117F13B"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Что касается импортного оборудования для военных производств, то положение на этом участке прямо катастрофическое. За последние годы не только не видно никаких решительных сдвигов к коренному перелому, но положение даже ухудшается из года в год, как это видно из следующих цифр: из контингента 1926/27 г. в 551 1 тыс. руб. реализовано 3915 тыс. руб., завезено на 3915 тыс. руб.; из контингента 1927/28 г. в 11 330 тыс. руб. реализовано 8595 тыс. руб., завезено на 7804 тыс. руб.; из контингента 1928/29 г. в 16 млн. руб. реализовано 14 912 тыс. руб., завезено 2348 тыс. руб. (до 1 января 1930 г.); из контингента 1929/30 г. в 44,3 млн. руб., сокращенного] ВСНХ до 22,5 млн. руб., размещено на апрель 1930 г. заказов на 3 млн. руб.</w:t>
      </w:r>
    </w:p>
    <w:p w14:paraId="5E8E1E6D"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Удельный вес импорта в недоделах строительства очень велик. Так, по Орудийному тресту на общую сумму недодела около 10 млн. руб. приходится 5 млн. руб. недополученного импортного оборудования. По Патронно-трубочному тресту на 8 млн. недодела недополучено импорта 1</w:t>
      </w:r>
      <w:r w:rsidRPr="00507A31">
        <w:rPr>
          <w:color w:val="000000" w:themeColor="text1"/>
          <w:sz w:val="16"/>
          <w:szCs w:val="16"/>
        </w:rPr>
        <w:noBreakHyphen/>
        <w:t>й и 2</w:t>
      </w:r>
      <w:r w:rsidRPr="00507A31">
        <w:rPr>
          <w:color w:val="000000" w:themeColor="text1"/>
          <w:sz w:val="16"/>
          <w:szCs w:val="16"/>
        </w:rPr>
        <w:noBreakHyphen/>
        <w:t>й очереди на 1720 тыс. руб. Так же и по Военно-химическому тресту: сумма утвержденных импортных заявок — 10 568 тыс. руб., размещено заказов на конец года по выданным лицензиям на 3334 тыс. руб., или 31,4% от плана, а получено импорта на 358,9 тыс. руб., или 3,4% от плана, т. е. свыше 10 млн. руб. из всего недодела в 26 млн. руб. падает на импортное оборудование.</w:t>
      </w:r>
    </w:p>
    <w:p w14:paraId="0D322C12"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Тем не менее имеющиеся огромные недоделы нельзя объяснить только недополучением оборудования, нельзя их объяснить и непоставками строительных материалов, так как с этой стороны дело обстояло сравнительно благополучно. Основными причинами срыва строительства 1928/29 г. следует считать позднее утверждение контрольных цифр, отсутствие надлежащего руководства, неорганизованность, недопустимую постановку дела проектирования, что и привело в конечном счете к недовыполнению в финансовом выражении по всему Военпрому в 29,1% к плану (45 млн. руб.). Военпром не смог переварить всей суммы капиталовложений 1928/29 г. и при существующей системе организации работ, надо опасаться, не переварит еще больших вложений по строительству 1929/30 г.</w:t>
      </w:r>
    </w:p>
    <w:p w14:paraId="58D1544D"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Резюмируем и отметим главнейшие причины недоделов по капитальному строительству 1928/29 г.:</w:t>
      </w:r>
    </w:p>
    <w:p w14:paraId="719BFCCA"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1. Позднее утверждение контрольных цифр и окончательной разбивки ассигнований по титулам.</w:t>
      </w:r>
    </w:p>
    <w:p w14:paraId="083DC407"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2. Опоздания с разработкой и утверждением проектов и смет. Во многих случаях строительство велось по эскизным проектам, а иногда и без них.</w:t>
      </w:r>
    </w:p>
    <w:p w14:paraId="4495F0B9"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3. Беспорядочная система привлечения иностранной техпомощи и беспорядочность и бессистемность в передаче проектирования за границу.</w:t>
      </w:r>
    </w:p>
    <w:p w14:paraId="4740BB2E"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4. Практикующиеся изменения заданий в середине операционного года.</w:t>
      </w:r>
    </w:p>
    <w:p w14:paraId="1959A29D"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5. Вредительски запоздалое размещение заказов на оборудование внутри Союза.</w:t>
      </w:r>
    </w:p>
    <w:p w14:paraId="1EC01EC7"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6. Опоздание в составлении спецификаций на импортное оборудование.</w:t>
      </w:r>
    </w:p>
    <w:p w14:paraId="4B69858B"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lastRenderedPageBreak/>
        <w:t>7. Волокита с получением лицензий и размещением заказов за границей — работа торгпредств и аппарата Наркомторга вообще ниже всякой критики, что, очевидно, и влечет за собой в общем запаздывание с получением импортного оборудования примерно на 1 год.</w:t>
      </w:r>
    </w:p>
    <w:p w14:paraId="2A3509C0"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8. Неумение руководителей планово организовать всю работу по капитальному строительству, направляя главные усилия на важнейшие объекты.</w:t>
      </w:r>
    </w:p>
    <w:p w14:paraId="4FC3E5F0" w14:textId="77777777" w:rsidR="002B17E4" w:rsidRPr="00507A31" w:rsidRDefault="002B17E4" w:rsidP="00507A31">
      <w:pPr>
        <w:jc w:val="both"/>
        <w:rPr>
          <w:color w:val="000000" w:themeColor="text1"/>
          <w:sz w:val="16"/>
          <w:szCs w:val="16"/>
        </w:rPr>
      </w:pPr>
      <w:r w:rsidRPr="00507A31">
        <w:rPr>
          <w:color w:val="000000" w:themeColor="text1"/>
          <w:sz w:val="16"/>
          <w:szCs w:val="16"/>
        </w:rPr>
        <w:t>Работы по рационализации</w:t>
      </w:r>
    </w:p>
    <w:p w14:paraId="29590433" w14:textId="77777777" w:rsidR="002B17E4" w:rsidRPr="00507A31" w:rsidRDefault="002B17E4" w:rsidP="00507A31">
      <w:pPr>
        <w:jc w:val="both"/>
        <w:rPr>
          <w:color w:val="000000" w:themeColor="text1"/>
          <w:sz w:val="16"/>
          <w:szCs w:val="16"/>
        </w:rPr>
      </w:pPr>
      <w:r w:rsidRPr="00507A31">
        <w:rPr>
          <w:color w:val="000000" w:themeColor="text1"/>
          <w:sz w:val="16"/>
          <w:szCs w:val="16"/>
        </w:rPr>
        <w:t>Истекший 1928/29 г. является первым годом существования бюро рационализации заводов и трестов, и, возможно, отчасти по этой причине в бухгалтерских отчетах трестов не дается полной картины по рационализаторским работам заводов в целом. Бухгалтерия явно еще не приспособилась к учету выявления затрат и экономики по многим из показателей. По-видимому, заводы не могли дать необходимых отчетных цифр, а следовательно, и тресты воздержались от общей оценки эффективности вложений на рационализаторские мероприятия.</w:t>
      </w:r>
    </w:p>
    <w:p w14:paraId="5702F477" w14:textId="77777777" w:rsidR="002B17E4" w:rsidRPr="00507A31" w:rsidRDefault="002B17E4" w:rsidP="00507A31">
      <w:pPr>
        <w:jc w:val="both"/>
        <w:rPr>
          <w:color w:val="000000" w:themeColor="text1"/>
          <w:sz w:val="16"/>
          <w:szCs w:val="16"/>
        </w:rPr>
      </w:pPr>
      <w:r w:rsidRPr="00507A31">
        <w:rPr>
          <w:color w:val="000000" w:themeColor="text1"/>
          <w:sz w:val="16"/>
          <w:szCs w:val="16"/>
        </w:rPr>
        <w:t>Ружейно-пулеметный трест все же дает перечень некоторых рационализаторских мероприятий с указанием их эффективности. Главнейшие цифры экономии следующие: по Ижевскому заводу — 114 тыс. руб.; по заводу [им.] Воскова — около 100 тыс. руб.; по ИНЗ № 2 — 56 тыс. руб.; по ТОЗ — 15 тыс. руб.¹⁰*</w:t>
      </w:r>
    </w:p>
    <w:p w14:paraId="27694E33" w14:textId="77777777" w:rsidR="002B17E4" w:rsidRPr="00507A31" w:rsidRDefault="002B17E4" w:rsidP="00507A31">
      <w:pPr>
        <w:jc w:val="both"/>
        <w:rPr>
          <w:color w:val="000000" w:themeColor="text1"/>
          <w:sz w:val="16"/>
          <w:szCs w:val="16"/>
        </w:rPr>
      </w:pPr>
      <w:r w:rsidRPr="00507A31">
        <w:rPr>
          <w:color w:val="000000" w:themeColor="text1"/>
          <w:sz w:val="16"/>
          <w:szCs w:val="16"/>
        </w:rPr>
        <w:t>Орудийно-арсенальный трест всю экономию от рационализации по своим заводам определяет в 2 млн. руб. Патронно-трубочный трест перечисляет ряд рационализаторских мероприятий, не указывая их эффективности. То же самое дает в своем отчете и Вохимтрест¹¹*.</w:t>
      </w:r>
    </w:p>
    <w:p w14:paraId="0DE9D39F" w14:textId="77777777" w:rsidR="002B17E4" w:rsidRPr="00507A31" w:rsidRDefault="002B17E4" w:rsidP="00507A31">
      <w:pPr>
        <w:jc w:val="both"/>
        <w:rPr>
          <w:color w:val="000000" w:themeColor="text1"/>
          <w:sz w:val="16"/>
          <w:szCs w:val="16"/>
        </w:rPr>
      </w:pPr>
      <w:r w:rsidRPr="00507A31">
        <w:rPr>
          <w:color w:val="000000" w:themeColor="text1"/>
          <w:sz w:val="16"/>
          <w:szCs w:val="16"/>
        </w:rPr>
        <w:t>Из причин невыполнения предусмотренных планом рационализаторских мероприятий тресты указывают следующие: 1. Неукомплектованность органов рационализации на местах. 2. Большое число внеплановых заданий. 3. Недостаточный отпуск средств на рационализацию. 4. Дефекты первоначальных планов, составленных без учета возможности их выполнения в течение года. 5. Недостаточный кадр технического персонала.</w:t>
      </w:r>
    </w:p>
    <w:p w14:paraId="5E682D1D" w14:textId="77777777" w:rsidR="002B17E4" w:rsidRPr="00507A31" w:rsidRDefault="002B17E4" w:rsidP="00507A31">
      <w:pPr>
        <w:jc w:val="both"/>
        <w:rPr>
          <w:color w:val="000000" w:themeColor="text1"/>
          <w:sz w:val="16"/>
          <w:szCs w:val="16"/>
        </w:rPr>
      </w:pPr>
      <w:r w:rsidRPr="00507A31">
        <w:rPr>
          <w:color w:val="000000" w:themeColor="text1"/>
          <w:sz w:val="16"/>
          <w:szCs w:val="16"/>
        </w:rPr>
        <w:t>Как вывод необходимо констатировать, что дело рационализации и учета ее поставлено в военной промышленности пока слабо и что возможности в этом направлении, несомненно, имеются значительные, но они еще не выявлены.</w:t>
      </w:r>
    </w:p>
    <w:p w14:paraId="5D978DC5" w14:textId="77777777" w:rsidR="002B17E4" w:rsidRPr="00507A31" w:rsidRDefault="002B17E4" w:rsidP="00507A31">
      <w:pPr>
        <w:jc w:val="both"/>
        <w:rPr>
          <w:color w:val="000000" w:themeColor="text1"/>
          <w:sz w:val="16"/>
          <w:szCs w:val="16"/>
        </w:rPr>
      </w:pPr>
      <w:r w:rsidRPr="00507A31">
        <w:rPr>
          <w:color w:val="000000" w:themeColor="text1"/>
          <w:sz w:val="16"/>
          <w:szCs w:val="16"/>
        </w:rPr>
        <w:t>Финансовое состояние Военпрома</w:t>
      </w:r>
    </w:p>
    <w:p w14:paraId="1A26AF69" w14:textId="77777777" w:rsidR="002B17E4" w:rsidRPr="00507A31" w:rsidRDefault="002B17E4" w:rsidP="00507A31">
      <w:pPr>
        <w:jc w:val="both"/>
        <w:rPr>
          <w:color w:val="000000" w:themeColor="text1"/>
          <w:sz w:val="16"/>
          <w:szCs w:val="16"/>
        </w:rPr>
      </w:pPr>
      <w:r w:rsidRPr="00507A31">
        <w:rPr>
          <w:color w:val="000000" w:themeColor="text1"/>
          <w:sz w:val="16"/>
          <w:szCs w:val="16"/>
        </w:rPr>
        <w:t>В этой части необходимо сделать несколько замечаний на основании сводного годового бухгалтерского отчета ГВПУ. Следует констатировать, несмотря на рост основных средств по отношению к прошлому году, значительный разрыв с запроектированным ростом по плану. Внутри основных средств отставание по статье имущества против плана в 54 млн. руб., по статье капитальных работ — в 11,3 млн. руб., при увеличении статьи запасного оборудования на 6,3 млн. руб.</w:t>
      </w:r>
    </w:p>
    <w:p w14:paraId="592417C0" w14:textId="77777777" w:rsidR="002B17E4" w:rsidRPr="00507A31" w:rsidRDefault="002B17E4" w:rsidP="00507A31">
      <w:pPr>
        <w:jc w:val="both"/>
        <w:rPr>
          <w:color w:val="000000" w:themeColor="text1"/>
          <w:sz w:val="16"/>
          <w:szCs w:val="16"/>
        </w:rPr>
      </w:pPr>
      <w:r w:rsidRPr="00507A31">
        <w:rPr>
          <w:color w:val="000000" w:themeColor="text1"/>
          <w:sz w:val="16"/>
          <w:szCs w:val="16"/>
        </w:rPr>
        <w:t>По отношению к прошлому году имеется рост по следующим видам имущества: здания и сооружения — на 41,3 млн. руб.; оборудование и машины — на 18,7 млн. руб.; инструмент — на 1,2 млн. руб.; хозинвентарь — на 1,8 млн. руб.; транспорт — на 0,6 млн. руб.; ФУБР — на 0,2 млн. руб.; всего — 63,8 млн. руб. Показатели по производству, себестоимости, труду, капитальному строительству и т. д. находят отражение в финансовом состоянии Военпрома следующим образом.</w:t>
      </w:r>
    </w:p>
    <w:p w14:paraId="58AFFAF6" w14:textId="77777777" w:rsidR="002B17E4" w:rsidRPr="00507A31" w:rsidRDefault="002B17E4" w:rsidP="00507A31">
      <w:pPr>
        <w:jc w:val="both"/>
        <w:rPr>
          <w:color w:val="000000" w:themeColor="text1"/>
          <w:sz w:val="16"/>
          <w:szCs w:val="16"/>
        </w:rPr>
      </w:pPr>
      <w:r w:rsidRPr="00507A31">
        <w:rPr>
          <w:color w:val="000000" w:themeColor="text1"/>
          <w:sz w:val="16"/>
          <w:szCs w:val="16"/>
        </w:rPr>
        <w:t>По активным статьям баланса</w:t>
      </w:r>
    </w:p>
    <w:p w14:paraId="723BA3E1"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По ст. «Материалы» имеет место увеличение остатков против плана на 17 млн. руб. (из них на ремонтно-строительные материалы — около 7,5 млн. руб.; по отчету — 15,1 млн. руб. против плана в 7,6 млн. руб.).</w:t>
      </w:r>
    </w:p>
    <w:p w14:paraId="750AD9E2"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По группе «Незаконченное производство» превышение против прошлого года — 9 млн. руб. против плана в 7 млн. руб.</w:t>
      </w:r>
    </w:p>
    <w:p w14:paraId="3C55A9B7"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По ст. «Товары и готовые изделия» превышение против плана — на 18,5 млн. руб., против предыдущего года — 9 млн. руб., что означает значительное увеличение затоваривания.</w:t>
      </w:r>
    </w:p>
    <w:p w14:paraId="3D5C99A3"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По группе дебиторских статей превышение против плана — 37 млн. руб., против предыдущего года — на 25,7 млн. руб., падающие главным образом на Орудтрест (16,8 млн. руб.) и Вохимтрест (12,5 млн. руб.).</w:t>
      </w:r>
    </w:p>
    <w:p w14:paraId="247ED8FC"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По счету прибылей и убытков обращают на себе внимание убытки по следующим статьям: от реализации товаров и полуфабрикатов — 1 667 937; от выполнения работ (заказов) на сторону — 321 320; перерасход на производств[енных] предприятиях — 5 490 775; от недодачи материалов, полуфабрикатов и товаров — 5 338 928; от переоценки материальных ценностей вследствие потери качества и перевода в низший сорт — 1 988 425; от случайных расходов — 4 944 944. Все в целом не способствовало финансовому оздоровлению военной промышленности, в котором она сильно нуждается.</w:t>
      </w:r>
    </w:p>
    <w:p w14:paraId="3156FC10"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rPr>
        <w:t>Таким образом, в результате 1928/29 г. военная промышленность выходит в состоянии весьма напряженном и далеко не обеспечивающем удовлетворение заявок НКВМ по литере «С», равно как и выполнение текущих заказов НКВМ.</w:t>
      </w:r>
    </w:p>
    <w:p w14:paraId="7110B459" w14:textId="77777777" w:rsidR="002B17E4" w:rsidRPr="00507A31" w:rsidRDefault="002B17E4" w:rsidP="00507A31">
      <w:pPr>
        <w:pStyle w:val="ae"/>
        <w:spacing w:before="0" w:after="0"/>
        <w:jc w:val="both"/>
        <w:rPr>
          <w:color w:val="000000" w:themeColor="text1"/>
          <w:sz w:val="16"/>
          <w:szCs w:val="16"/>
        </w:rPr>
      </w:pPr>
      <w:r w:rsidRPr="00507A31">
        <w:rPr>
          <w:rStyle w:val="af0"/>
          <w:i w:val="0"/>
          <w:color w:val="000000" w:themeColor="text1"/>
          <w:sz w:val="16"/>
          <w:szCs w:val="16"/>
        </w:rPr>
        <w:t>Член-сотрудник Сектора обороны Госплана СССР Шимкевич</w:t>
      </w:r>
    </w:p>
    <w:p w14:paraId="28E39F90" w14:textId="77777777" w:rsidR="002B17E4" w:rsidRPr="00507A31" w:rsidRDefault="002B17E4"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3F6D1A13"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Указанной в промфинплане ГВПУ цифры трест не знает и дает 77 575 (</w:t>
      </w:r>
      <w:r w:rsidRPr="00507A31">
        <w:rPr>
          <w:rStyle w:val="af0"/>
          <w:i w:val="0"/>
          <w:color w:val="000000" w:themeColor="text1"/>
          <w:sz w:val="16"/>
          <w:szCs w:val="16"/>
        </w:rPr>
        <w:t>Прим. док</w:t>
      </w:r>
      <w:r w:rsidRPr="00507A31">
        <w:rPr>
          <w:color w:val="000000" w:themeColor="text1"/>
          <w:sz w:val="16"/>
          <w:szCs w:val="16"/>
        </w:rPr>
        <w:t>.).</w:t>
      </w:r>
    </w:p>
    <w:p w14:paraId="578E1EAC"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Трест дает по плану 58 095 (</w:t>
      </w:r>
      <w:r w:rsidRPr="00507A31">
        <w:rPr>
          <w:rStyle w:val="af0"/>
          <w:i w:val="0"/>
          <w:color w:val="000000" w:themeColor="text1"/>
          <w:sz w:val="16"/>
          <w:szCs w:val="16"/>
        </w:rPr>
        <w:t>Прим. док</w:t>
      </w:r>
      <w:r w:rsidRPr="00507A31">
        <w:rPr>
          <w:color w:val="000000" w:themeColor="text1"/>
          <w:sz w:val="16"/>
          <w:szCs w:val="16"/>
        </w:rPr>
        <w:t>.).</w:t>
      </w:r>
    </w:p>
    <w:p w14:paraId="023B892D"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Так в тексте. По подсчетам составителей — 291 014,1.</w:t>
      </w:r>
    </w:p>
    <w:p w14:paraId="410A2AE9"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vertAlign w:val="superscript"/>
        </w:rPr>
        <w:t>4</w:t>
      </w:r>
      <w:r w:rsidRPr="00507A31">
        <w:rPr>
          <w:color w:val="000000" w:themeColor="text1"/>
          <w:sz w:val="16"/>
          <w:szCs w:val="16"/>
        </w:rPr>
        <w:t>* Так в тексте. По подсчетам составителей — 270 679,6.</w:t>
      </w:r>
    </w:p>
    <w:p w14:paraId="3E1D02E4"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vertAlign w:val="superscript"/>
        </w:rPr>
        <w:t>5</w:t>
      </w:r>
      <w:r w:rsidRPr="00507A31">
        <w:rPr>
          <w:color w:val="000000" w:themeColor="text1"/>
          <w:sz w:val="16"/>
          <w:szCs w:val="16"/>
        </w:rPr>
        <w:t>* Графы 4, 7 и 8 вписаны от руки.</w:t>
      </w:r>
    </w:p>
    <w:p w14:paraId="7A04B1ED"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vertAlign w:val="superscript"/>
        </w:rPr>
        <w:t>6</w:t>
      </w:r>
      <w:r w:rsidRPr="00507A31">
        <w:rPr>
          <w:color w:val="000000" w:themeColor="text1"/>
          <w:sz w:val="16"/>
          <w:szCs w:val="16"/>
        </w:rPr>
        <w:t>* Патрубтрест сделал заявку ГВПУ всего на 17 688 раб[очих]. Эта заявка была повышена ГВПУ до 18 200 (</w:t>
      </w:r>
      <w:r w:rsidRPr="00507A31">
        <w:rPr>
          <w:rStyle w:val="af0"/>
          <w:i w:val="0"/>
          <w:color w:val="000000" w:themeColor="text1"/>
          <w:sz w:val="16"/>
          <w:szCs w:val="16"/>
        </w:rPr>
        <w:t>Прим. док.</w:t>
      </w:r>
      <w:r w:rsidRPr="00507A31">
        <w:rPr>
          <w:color w:val="000000" w:themeColor="text1"/>
          <w:sz w:val="16"/>
          <w:szCs w:val="16"/>
        </w:rPr>
        <w:t>).</w:t>
      </w:r>
    </w:p>
    <w:p w14:paraId="212ACDC8"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vertAlign w:val="superscript"/>
        </w:rPr>
        <w:t>7</w:t>
      </w:r>
      <w:r w:rsidRPr="00507A31">
        <w:rPr>
          <w:color w:val="000000" w:themeColor="text1"/>
          <w:sz w:val="16"/>
          <w:szCs w:val="16"/>
        </w:rPr>
        <w:t>* Текст поврежден.</w:t>
      </w:r>
    </w:p>
    <w:p w14:paraId="02252EBA"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vertAlign w:val="superscript"/>
        </w:rPr>
        <w:t>8</w:t>
      </w:r>
      <w:r w:rsidRPr="00507A31">
        <w:rPr>
          <w:color w:val="000000" w:themeColor="text1"/>
          <w:sz w:val="16"/>
          <w:szCs w:val="16"/>
        </w:rPr>
        <w:t>* На полях пометы: «Среди техн[ического] недодела по: “Баррикадам” — 46%, ММЗ — 55%; по всему ОАТ — 40%»; «По промфинплану на 1929/30 г. средний процент техн[ического] выполн[ения] след[ующий]: имеем недоделы (ВХТ): № 9 — на 44%; [им.] Косякова — 38%; «Красный боевик» в июне — 60%; № 40 — 65%; № 80 — 23%; № 15 — 26,5%; № 1 — 86%; Ульянов[ский] — 33%; [им.] Морозов[а] — 17%; № 11 — 35%; “Краснознам[енец]” — 24%»; «Средний технический недодел по всему Авиатресту — 37% со значительным повышением процента недодела по важнейшим работам».</w:t>
      </w:r>
    </w:p>
    <w:p w14:paraId="677E4A78"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vertAlign w:val="superscript"/>
        </w:rPr>
        <w:t>9</w:t>
      </w:r>
      <w:r w:rsidRPr="00507A31">
        <w:rPr>
          <w:color w:val="000000" w:themeColor="text1"/>
          <w:sz w:val="16"/>
          <w:szCs w:val="16"/>
        </w:rPr>
        <w:t>* Число вписано от руки.</w:t>
      </w:r>
    </w:p>
    <w:p w14:paraId="72FBC093"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vertAlign w:val="superscript"/>
        </w:rPr>
        <w:t>10</w:t>
      </w:r>
      <w:r w:rsidRPr="00507A31">
        <w:rPr>
          <w:color w:val="000000" w:themeColor="text1"/>
          <w:sz w:val="16"/>
          <w:szCs w:val="16"/>
        </w:rPr>
        <w:t>* На полях помета: «По РУЖу ГВПУ дает расход в 261 тыс. руб., эффект — 860 тыс. руб., или 3,3 [%]».</w:t>
      </w:r>
    </w:p>
    <w:p w14:paraId="3F17B639" w14:textId="77777777" w:rsidR="002B17E4" w:rsidRPr="00507A31" w:rsidRDefault="002B17E4" w:rsidP="00507A31">
      <w:pPr>
        <w:pStyle w:val="rtejustify"/>
        <w:spacing w:before="0" w:after="0"/>
        <w:rPr>
          <w:color w:val="000000" w:themeColor="text1"/>
          <w:sz w:val="16"/>
          <w:szCs w:val="16"/>
        </w:rPr>
      </w:pPr>
      <w:r w:rsidRPr="00507A31">
        <w:rPr>
          <w:color w:val="000000" w:themeColor="text1"/>
          <w:sz w:val="16"/>
          <w:szCs w:val="16"/>
          <w:vertAlign w:val="superscript"/>
        </w:rPr>
        <w:t>11</w:t>
      </w:r>
      <w:r w:rsidRPr="00507A31">
        <w:rPr>
          <w:color w:val="000000" w:themeColor="text1"/>
          <w:sz w:val="16"/>
          <w:szCs w:val="16"/>
        </w:rPr>
        <w:t>* На нолях помета: «По сведениям ГВПУ ОАТ израсходовал в 1928/29 г. 550 тыс. руб., следовательно, эффект равен 3,65 [%]. ПТТ истратил 242 тыс. руб., получив эффект 598 тыс. руб., т. е. 2,5. АТ израсходовал 482 тыс. руб., а эффект — 1049 тыс. руб., или 2,46. ВХТ истратил 524 тыс. руб., а эффект — 800 тыс. руб., или 1,53. Всего по 5 трестам израсходовано 2059 тыс. руб., эффект — 5307, или 2,57».</w:t>
      </w:r>
    </w:p>
    <w:p w14:paraId="0BB67510" w14:textId="77777777" w:rsidR="002B17E4" w:rsidRPr="00507A31" w:rsidRDefault="002B17E4" w:rsidP="00507A31">
      <w:pPr>
        <w:pStyle w:val="ae"/>
        <w:spacing w:before="0" w:after="0"/>
        <w:jc w:val="both"/>
        <w:rPr>
          <w:color w:val="000000" w:themeColor="text1"/>
          <w:sz w:val="16"/>
          <w:szCs w:val="16"/>
        </w:rPr>
      </w:pPr>
      <w:r w:rsidRPr="00507A31">
        <w:rPr>
          <w:color w:val="000000" w:themeColor="text1"/>
          <w:sz w:val="16"/>
          <w:szCs w:val="16"/>
        </w:rPr>
        <w:t>РГАЭ. Ф. 4372. Оп. 91. Д. 702. Л. 48</w:t>
      </w:r>
      <w:r w:rsidRPr="00507A31">
        <w:rPr>
          <w:color w:val="000000" w:themeColor="text1"/>
          <w:sz w:val="16"/>
          <w:szCs w:val="16"/>
        </w:rPr>
        <w:noBreakHyphen/>
        <w:t>44. Подлинник.</w:t>
      </w:r>
    </w:p>
    <w:p w14:paraId="71B59DCF" w14:textId="77777777" w:rsidR="002B17E4" w:rsidRPr="00507A31" w:rsidRDefault="002B17E4" w:rsidP="00507A31">
      <w:pPr>
        <w:jc w:val="both"/>
        <w:rPr>
          <w:color w:val="000000" w:themeColor="text1"/>
          <w:sz w:val="16"/>
          <w:szCs w:val="16"/>
        </w:rPr>
      </w:pPr>
      <w:r w:rsidRPr="00507A31">
        <w:rPr>
          <w:color w:val="000000" w:themeColor="text1"/>
          <w:sz w:val="16"/>
          <w:szCs w:val="16"/>
        </w:rPr>
        <w:t xml:space="preserve">Архив: РГАЭ. Ф. 4372. Оп. 91. Д. 702. Л. 48 44. Подлинник. </w:t>
      </w:r>
    </w:p>
    <w:p w14:paraId="5F73F47A" w14:textId="77777777" w:rsidR="002B17E4" w:rsidRPr="00507A31" w:rsidRDefault="002B17E4"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468-467 (12507).</w:t>
      </w:r>
    </w:p>
    <w:p w14:paraId="7E76C3E8" w14:textId="77777777" w:rsidR="002B17E4" w:rsidRPr="00507A31" w:rsidRDefault="002B17E4" w:rsidP="00507A31">
      <w:pPr>
        <w:jc w:val="both"/>
        <w:rPr>
          <w:color w:val="000000" w:themeColor="text1"/>
          <w:sz w:val="16"/>
          <w:szCs w:val="16"/>
        </w:rPr>
      </w:pPr>
    </w:p>
    <w:p w14:paraId="2D46A873" w14:textId="77777777" w:rsidR="005D51E8" w:rsidRPr="00507A31" w:rsidRDefault="005D51E8" w:rsidP="00507A31">
      <w:pPr>
        <w:jc w:val="both"/>
        <w:rPr>
          <w:bCs/>
          <w:iCs/>
          <w:color w:val="000000" w:themeColor="text1"/>
          <w:sz w:val="16"/>
          <w:szCs w:val="16"/>
        </w:rPr>
      </w:pPr>
      <w:r w:rsidRPr="00507A31">
        <w:rPr>
          <w:color w:val="000000" w:themeColor="text1"/>
          <w:sz w:val="16"/>
          <w:szCs w:val="16"/>
        </w:rPr>
        <w:t>29-го апреля, 1930</w:t>
      </w:r>
    </w:p>
    <w:p w14:paraId="0AB8FF59" w14:textId="77777777" w:rsidR="005D51E8" w:rsidRPr="00507A31" w:rsidRDefault="005D51E8" w:rsidP="00507A31">
      <w:pPr>
        <w:jc w:val="both"/>
        <w:rPr>
          <w:color w:val="000000" w:themeColor="text1"/>
          <w:sz w:val="16"/>
          <w:szCs w:val="16"/>
        </w:rPr>
      </w:pPr>
      <w:r w:rsidRPr="00507A31">
        <w:rPr>
          <w:bCs/>
          <w:iCs/>
          <w:color w:val="000000" w:themeColor="text1"/>
          <w:sz w:val="16"/>
          <w:szCs w:val="16"/>
        </w:rPr>
        <w:t>РГВА Фонд 31811 Опись 1 Дело 38 лист 303</w:t>
      </w:r>
      <w:r w:rsidRPr="00507A31">
        <w:rPr>
          <w:color w:val="000000" w:themeColor="text1"/>
          <w:sz w:val="16"/>
          <w:szCs w:val="16"/>
        </w:rPr>
        <w:t xml:space="preserve"> </w:t>
      </w:r>
    </w:p>
    <w:p w14:paraId="7628BC51" w14:textId="77777777" w:rsidR="005D51E8" w:rsidRPr="00507A31" w:rsidRDefault="005D51E8" w:rsidP="00507A31">
      <w:pPr>
        <w:jc w:val="both"/>
        <w:rPr>
          <w:color w:val="000000" w:themeColor="text1"/>
          <w:sz w:val="16"/>
          <w:szCs w:val="16"/>
        </w:rPr>
      </w:pPr>
      <w:r w:rsidRPr="00507A31">
        <w:rPr>
          <w:iCs/>
          <w:color w:val="000000" w:themeColor="text1"/>
          <w:sz w:val="16"/>
          <w:szCs w:val="16"/>
        </w:rPr>
        <w:t>Дописано от руки:</w:t>
      </w:r>
      <w:r w:rsidRPr="00507A31">
        <w:rPr>
          <w:color w:val="000000" w:themeColor="text1"/>
          <w:sz w:val="16"/>
          <w:szCs w:val="16"/>
        </w:rPr>
        <w:t xml:space="preserve"> «Копия т. Халепскому» </w:t>
      </w:r>
    </w:p>
    <w:p w14:paraId="13CD581B"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29-го апреля, 1930 г. </w:t>
      </w:r>
    </w:p>
    <w:p w14:paraId="47B9ADD8"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Наркомторг ОВЗ </w:t>
      </w:r>
    </w:p>
    <w:p w14:paraId="394F0D7D"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Москва </w:t>
      </w:r>
    </w:p>
    <w:p w14:paraId="28C53BF8"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Тов. Гиттис </w:t>
      </w:r>
    </w:p>
    <w:p w14:paraId="319A5E7B"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Согласно распоряжения тов. Халепского, вчера нами заключен договор с "Юнайтед Стэтс Вил Траклэйер Корпорейшен" (Кристи) на продажу нам технической помощи на производство его танка за сумму 90.000 долларов, и выдан заказ на постройку для нас 2-х танков по цене 30.000 долл. Каждый плюс 1 % за упаковку и плюс еще 4.000 долларов за запчасти. </w:t>
      </w:r>
    </w:p>
    <w:p w14:paraId="0A274FCE"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Условия платежей по заказанным танкам следующие: </w:t>
      </w:r>
    </w:p>
    <w:p w14:paraId="212D5161"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15.000 долл. при подписании контракта (уплачены 28-го апреля). </w:t>
      </w:r>
    </w:p>
    <w:p w14:paraId="6297AAE9"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15.000 долл. когда 75 % работы по танкам будет выполнено (через 1½ – 2½ месяца) и </w:t>
      </w:r>
    </w:p>
    <w:p w14:paraId="6F84A115"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30.000 долл. при сдаче танков (через 4 месяца). </w:t>
      </w:r>
    </w:p>
    <w:p w14:paraId="4E2486CF"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Условия платежей по контракту: </w:t>
      </w:r>
    </w:p>
    <w:p w14:paraId="6A54877E"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40.000 долл. в момент сдачи нам заказанных танков </w:t>
      </w:r>
    </w:p>
    <w:p w14:paraId="47DED3E0"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25.000 долл. через 12 месяцев с момента сдачи и </w:t>
      </w:r>
    </w:p>
    <w:p w14:paraId="4A730FD1"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25.000 долл. через 24 месяца с момента сдачи. На последние два платежа – 6 % годовых. </w:t>
      </w:r>
    </w:p>
    <w:p w14:paraId="3B329DCB"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Просим оформить выданный нами заказ и прислать нам необходимые лицензии, считая, что накладной процент по данному заказу будет порядка 20 % от его суммы. </w:t>
      </w:r>
    </w:p>
    <w:p w14:paraId="1FDC388F"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Все материалы по данному договору и заказу переданы тов. Халепскому. </w:t>
      </w:r>
    </w:p>
    <w:p w14:paraId="5E72882F" w14:textId="77777777" w:rsidR="005D51E8" w:rsidRPr="00507A31" w:rsidRDefault="005D51E8" w:rsidP="00507A31">
      <w:pPr>
        <w:jc w:val="both"/>
        <w:rPr>
          <w:color w:val="000000" w:themeColor="text1"/>
          <w:sz w:val="16"/>
          <w:szCs w:val="16"/>
        </w:rPr>
      </w:pPr>
      <w:r w:rsidRPr="00507A31">
        <w:rPr>
          <w:color w:val="000000" w:themeColor="text1"/>
          <w:sz w:val="16"/>
          <w:szCs w:val="16"/>
        </w:rPr>
        <w:t xml:space="preserve">МС/3-э </w:t>
      </w:r>
    </w:p>
    <w:p w14:paraId="6ADF62CA" w14:textId="77777777" w:rsidR="005D51E8" w:rsidRPr="00507A31" w:rsidRDefault="005D51E8" w:rsidP="00507A31">
      <w:pPr>
        <w:jc w:val="both"/>
        <w:rPr>
          <w:color w:val="000000" w:themeColor="text1"/>
          <w:sz w:val="16"/>
          <w:szCs w:val="16"/>
        </w:rPr>
      </w:pPr>
      <w:r w:rsidRPr="00507A31">
        <w:rPr>
          <w:color w:val="000000" w:themeColor="text1"/>
          <w:sz w:val="16"/>
          <w:szCs w:val="16"/>
        </w:rPr>
        <w:t>г. Нью Иорк (19751).</w:t>
      </w:r>
    </w:p>
    <w:p w14:paraId="16DDD8EB" w14:textId="77777777" w:rsidR="005D51E8" w:rsidRPr="00507A31" w:rsidRDefault="005D51E8" w:rsidP="00507A31">
      <w:pPr>
        <w:jc w:val="both"/>
        <w:rPr>
          <w:color w:val="000000" w:themeColor="text1"/>
          <w:sz w:val="16"/>
          <w:szCs w:val="16"/>
        </w:rPr>
      </w:pPr>
    </w:p>
    <w:p w14:paraId="57D77A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апреля 1930 Зав. Секретной части РОМП Рябчиков писал письмо Зав. Секретной частью РУЖ</w:t>
      </w:r>
    </w:p>
    <w:p w14:paraId="008FC7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Секретная Часть "РОМП” сообщает, что в связи с постановлением Президиума ВСНХ СССР от 1/Ш-с. г. /протокол № 7/ о передаче завода Красногвардеец из военной промышленности в гражданскую /из “РУЖ" в "РОМП”/ и сообщением Секретного П/Отдела Всесоюзного Обединединения Оруд.-Оруж.-Пул. Пр-в от 26/1У-с.г.- за № 5017/сс о снятии секретности с завода Красногвардеец - В/отношением от 27-28/Ш.с.г. -за № 3108/сс. и от 29/Шс.г. за № 3131/5с. и от 6/1У.с.г. за № 3295/с. со всеми при</w:t>
      </w:r>
      <w:r w:rsidRPr="00507A31">
        <w:rPr>
          <w:color w:val="000000" w:themeColor="text1"/>
          <w:sz w:val="16"/>
          <w:szCs w:val="16"/>
        </w:rPr>
        <w:softHyphen/>
        <w:t>лагаемыми к таковым материалами /на 193 листах/ нами рассекречены, о чем и ставим Вас в известность (8826,59).</w:t>
      </w:r>
    </w:p>
    <w:p w14:paraId="26D6BB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6DAF2B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89E9270" w14:textId="77777777" w:rsidR="00537E5F" w:rsidRPr="00507A31" w:rsidRDefault="00537E5F" w:rsidP="00507A31">
      <w:pPr>
        <w:autoSpaceDE w:val="0"/>
        <w:autoSpaceDN w:val="0"/>
        <w:adjustRightInd w:val="0"/>
        <w:jc w:val="both"/>
        <w:rPr>
          <w:iCs/>
          <w:color w:val="000000" w:themeColor="text1"/>
          <w:sz w:val="16"/>
          <w:szCs w:val="16"/>
        </w:rPr>
      </w:pPr>
    </w:p>
    <w:p w14:paraId="2664B21C" w14:textId="77777777" w:rsidR="00466FC0" w:rsidRPr="00507A31" w:rsidRDefault="00466FC0" w:rsidP="00507A31">
      <w:pPr>
        <w:jc w:val="both"/>
        <w:rPr>
          <w:color w:val="000000" w:themeColor="text1"/>
          <w:sz w:val="16"/>
          <w:szCs w:val="16"/>
        </w:rPr>
      </w:pPr>
      <w:r w:rsidRPr="00507A31">
        <w:rPr>
          <w:color w:val="000000" w:themeColor="text1"/>
          <w:sz w:val="16"/>
          <w:szCs w:val="16"/>
        </w:rPr>
        <w:t>30 апреля в 1930 году инженер Роберт Людвигович Бартини предложил руководству Центрального конструкторского бюро авиационной промышленности (ЦКБ), куда его направили из армии, создать скоростной самолет, лишенный каких бы то ни было надстроек на внешней оболочке «Сталь-6»). ). Авиапроект был рассмотрен и принят (15115).</w:t>
      </w:r>
    </w:p>
    <w:p w14:paraId="0011AF0C" w14:textId="77777777" w:rsidR="00466FC0" w:rsidRPr="00507A31" w:rsidRDefault="00466FC0" w:rsidP="00507A31">
      <w:pPr>
        <w:jc w:val="both"/>
        <w:rPr>
          <w:color w:val="000000" w:themeColor="text1"/>
          <w:sz w:val="16"/>
          <w:szCs w:val="16"/>
        </w:rPr>
      </w:pPr>
    </w:p>
    <w:p w14:paraId="41750ECA" w14:textId="77777777" w:rsidR="00466FC0" w:rsidRPr="00507A31" w:rsidRDefault="00466FC0" w:rsidP="00507A31">
      <w:pPr>
        <w:jc w:val="both"/>
        <w:rPr>
          <w:color w:val="000000" w:themeColor="text1"/>
          <w:sz w:val="16"/>
          <w:szCs w:val="16"/>
        </w:rPr>
      </w:pPr>
      <w:r w:rsidRPr="00507A31">
        <w:rPr>
          <w:color w:val="000000" w:themeColor="text1"/>
          <w:sz w:val="16"/>
          <w:szCs w:val="16"/>
        </w:rPr>
        <w:t>30 апреля 1930 года инженер Роберт Людвигович Бартини предложил руководству Центрального конструкторского бюро авиационной промышленности (ЦКБ), куда его направили из армии, создать скоростной самолет, лишенный каких бы то ни было надстроек на внешней оболочке. Авиапроект был рассмотрен и принят. Однако до реализации было еще далеко. Во-первых, автор проекта, хоть и член компартии, но итальянской, а стало быть, ни до каких секретных достижений авиапрома его (на всякий случай) допускать не следовало. Во-вторых, большинство создателей самолетов того времени не верило в «заморскую утопию» и не желало делиться с иностранцем своим опытом и кадрами. Оригинальный замысел талантливого авиаконструктора повис на волоске.</w:t>
      </w:r>
    </w:p>
    <w:p w14:paraId="42C53466" w14:textId="77777777" w:rsidR="00466FC0" w:rsidRPr="00507A31" w:rsidRDefault="00466FC0" w:rsidP="00507A31">
      <w:pPr>
        <w:jc w:val="both"/>
        <w:rPr>
          <w:color w:val="000000" w:themeColor="text1"/>
          <w:sz w:val="16"/>
          <w:szCs w:val="16"/>
        </w:rPr>
      </w:pPr>
      <w:r w:rsidRPr="00507A31">
        <w:rPr>
          <w:color w:val="000000" w:themeColor="text1"/>
          <w:sz w:val="16"/>
          <w:szCs w:val="16"/>
        </w:rPr>
        <w:t>На помощь пришли начальник ВВС Петр Иванович Баранов вместе с начальником вооружений РККА Михаилом Николаевичем Тухачевским. Они пристроили изобретателя у заместителя начальника Главного управления ГВФ Якова Яновича Анвельта в СНИИ (завод № 240) главным конструктором, где в 1932 году начаты проектные работы по самолету «Сталь-6». Занимаясь выпуском рабочих чертежей и разработкой совершенно новой технологии производства своей машины, Бартини уже меньше летает, чем в недалеком прошлом, когда он служил военным летчиком на Ходынском научно-опытном аэродроме (15555).</w:t>
      </w:r>
    </w:p>
    <w:p w14:paraId="22780C71" w14:textId="77777777" w:rsidR="00466FC0" w:rsidRPr="00507A31" w:rsidRDefault="00466FC0" w:rsidP="00507A31">
      <w:pPr>
        <w:jc w:val="both"/>
        <w:rPr>
          <w:color w:val="000000" w:themeColor="text1"/>
          <w:sz w:val="16"/>
          <w:szCs w:val="16"/>
        </w:rPr>
      </w:pPr>
    </w:p>
    <w:p w14:paraId="728207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апреля 1930 Р.Л.Бартини предложил руководству ЦКБ, куда его направили из армии, сделать скоростной самолет без надстроек - Сталь-4. Рассмотрели и приняли. Помог П.И.Баранов в месте с М.Н.Тухачевским. Пристроили у зам. начальника ГУ ГВФ Я.Я.Анвельта в СНИИ на заводе 240 (174,1).</w:t>
      </w:r>
    </w:p>
    <w:p w14:paraId="015EA3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Что-то не совсем вяжется, так как есть мнение, что Р.Л.Бартини был вне ЦКБ - у Ришара до конца 1930.</w:t>
      </w:r>
    </w:p>
    <w:p w14:paraId="26B675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Интересно, как он добрался до высокого начальства</w:t>
      </w:r>
    </w:p>
    <w:p w14:paraId="40B933D5" w14:textId="77777777" w:rsidR="00537E5F" w:rsidRPr="00507A31" w:rsidRDefault="00537E5F" w:rsidP="00507A31">
      <w:pPr>
        <w:autoSpaceDE w:val="0"/>
        <w:autoSpaceDN w:val="0"/>
        <w:adjustRightInd w:val="0"/>
        <w:jc w:val="both"/>
        <w:rPr>
          <w:color w:val="000000" w:themeColor="text1"/>
          <w:sz w:val="16"/>
          <w:szCs w:val="16"/>
        </w:rPr>
      </w:pPr>
    </w:p>
    <w:p w14:paraId="1C064F7B" w14:textId="77777777" w:rsidR="00933ADB" w:rsidRPr="00507A31" w:rsidRDefault="00933ADB" w:rsidP="00507A31">
      <w:pPr>
        <w:jc w:val="both"/>
        <w:rPr>
          <w:color w:val="000000" w:themeColor="text1"/>
          <w:sz w:val="16"/>
          <w:szCs w:val="16"/>
          <w:u w:color="002060"/>
        </w:rPr>
      </w:pPr>
      <w:r w:rsidRPr="00507A31">
        <w:rPr>
          <w:color w:val="000000" w:themeColor="text1"/>
          <w:sz w:val="16"/>
          <w:szCs w:val="16"/>
          <w:u w:color="002060"/>
        </w:rPr>
        <w:t>30 апреля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плане опытного строительства Воздушного флота на 1929/30?1932/33 гг. (ГА РФ. Ф. Р?8418. Оп. 4. Д. 104. Л. 1?5) (12415).</w:t>
      </w:r>
    </w:p>
    <w:p w14:paraId="3923DC6E" w14:textId="77777777" w:rsidR="00933ADB" w:rsidRPr="00507A31" w:rsidRDefault="00933ADB" w:rsidP="00507A31">
      <w:pPr>
        <w:jc w:val="both"/>
        <w:rPr>
          <w:color w:val="000000" w:themeColor="text1"/>
          <w:sz w:val="16"/>
          <w:szCs w:val="16"/>
          <w:u w:color="002060"/>
        </w:rPr>
      </w:pPr>
    </w:p>
    <w:p w14:paraId="29941821" w14:textId="77777777" w:rsidR="00B5095B" w:rsidRPr="00507A31" w:rsidRDefault="00B5095B" w:rsidP="00507A31">
      <w:pPr>
        <w:shd w:val="clear" w:color="auto" w:fill="FFFFFF"/>
        <w:jc w:val="both"/>
        <w:rPr>
          <w:color w:val="0070C0"/>
          <w:sz w:val="16"/>
          <w:szCs w:val="16"/>
        </w:rPr>
      </w:pPr>
      <w:bookmarkStart w:id="41" w:name="_Hlk83567184"/>
      <w:r w:rsidRPr="00507A31">
        <w:rPr>
          <w:color w:val="0070C0"/>
          <w:sz w:val="16"/>
          <w:szCs w:val="16"/>
        </w:rPr>
        <w:t>30 апреля 1930 состоялось заседание РЗ СТО</w:t>
      </w:r>
    </w:p>
    <w:p w14:paraId="316E82B4" w14:textId="77777777" w:rsidR="00B5095B" w:rsidRPr="00507A31" w:rsidRDefault="00B5095B" w:rsidP="00507A31">
      <w:pPr>
        <w:shd w:val="clear" w:color="auto" w:fill="FFFFFF"/>
        <w:jc w:val="both"/>
        <w:rPr>
          <w:color w:val="0070C0"/>
          <w:sz w:val="16"/>
          <w:szCs w:val="16"/>
        </w:rPr>
      </w:pPr>
      <w:r w:rsidRPr="00507A31">
        <w:rPr>
          <w:color w:val="0070C0"/>
          <w:sz w:val="16"/>
          <w:szCs w:val="16"/>
        </w:rPr>
        <w:t>Протокол № 49 от 30 апреля 1930 г.:</w:t>
      </w:r>
    </w:p>
    <w:p w14:paraId="77990FA0" w14:textId="77777777" w:rsidR="00B5095B" w:rsidRPr="00507A31" w:rsidRDefault="00B5095B" w:rsidP="00507A31">
      <w:pPr>
        <w:shd w:val="clear" w:color="auto" w:fill="FFFFFF"/>
        <w:jc w:val="both"/>
        <w:rPr>
          <w:color w:val="0070C0"/>
          <w:sz w:val="16"/>
          <w:szCs w:val="16"/>
        </w:rPr>
      </w:pPr>
      <w:r w:rsidRPr="00507A31">
        <w:rPr>
          <w:color w:val="0070C0"/>
          <w:sz w:val="16"/>
          <w:szCs w:val="16"/>
        </w:rPr>
        <w:t>О плане опытного строительства воздушного флота на 1929/30 - 1932/33 г.г. (постановление РЗ СТО от 30.4.1930 г. к протоколу РЗ CTO № 49 от 30.4.1930 г. по п. 2).</w:t>
      </w:r>
    </w:p>
    <w:p w14:paraId="45F95DF8" w14:textId="77777777" w:rsidR="00B5095B" w:rsidRPr="00507A31" w:rsidRDefault="00B5095B" w:rsidP="00507A31">
      <w:pPr>
        <w:shd w:val="clear" w:color="auto" w:fill="FFFFFF"/>
        <w:jc w:val="both"/>
        <w:rPr>
          <w:color w:val="0070C0"/>
          <w:sz w:val="16"/>
          <w:szCs w:val="16"/>
        </w:rPr>
      </w:pPr>
      <w:r w:rsidRPr="00507A31">
        <w:rPr>
          <w:color w:val="0070C0"/>
          <w:sz w:val="16"/>
          <w:szCs w:val="16"/>
        </w:rPr>
        <w:t>Об утверждении "Положения о взаимоотношениях между НКВД и ВСНХ СССР в области мобилизационной подготовки промышленности" (постановление РЗ CTО от 20.4.1930 г. к протоколу РЗ СТО № 49 от 30.4.1930 г. по п. 16).</w:t>
      </w:r>
    </w:p>
    <w:p w14:paraId="0A96BBDA" w14:textId="77777777" w:rsidR="00B5095B" w:rsidRPr="00507A31" w:rsidRDefault="00B5095B" w:rsidP="00507A31">
      <w:pPr>
        <w:shd w:val="clear" w:color="auto" w:fill="FFFFFF"/>
        <w:jc w:val="both"/>
        <w:rPr>
          <w:color w:val="0070C0"/>
          <w:sz w:val="16"/>
          <w:szCs w:val="16"/>
        </w:rPr>
      </w:pPr>
      <w:r w:rsidRPr="00507A31">
        <w:rPr>
          <w:color w:val="0070C0"/>
          <w:sz w:val="16"/>
          <w:szCs w:val="16"/>
        </w:rPr>
        <w:t>Об обеспечении проработки всех стандартов под углом зрения обороны (постановление P3 СТО от 20.4.1930 г. к протоколу P3 СТО № 49 от 30.4.1930 г. по п. 23) (21566).</w:t>
      </w:r>
    </w:p>
    <w:p w14:paraId="53B15BFB" w14:textId="77777777" w:rsidR="00B5095B" w:rsidRPr="00507A31" w:rsidRDefault="00B5095B" w:rsidP="00507A31">
      <w:pPr>
        <w:jc w:val="both"/>
        <w:rPr>
          <w:color w:val="0070C0"/>
          <w:sz w:val="16"/>
          <w:szCs w:val="16"/>
        </w:rPr>
      </w:pPr>
    </w:p>
    <w:bookmarkEnd w:id="41"/>
    <w:p w14:paraId="2FCC2B06" w14:textId="77777777" w:rsidR="00933ADB" w:rsidRPr="00507A31" w:rsidRDefault="00933ADB" w:rsidP="00507A31">
      <w:pPr>
        <w:pStyle w:val="rtejustify"/>
        <w:spacing w:before="0" w:after="0"/>
        <w:rPr>
          <w:color w:val="000000" w:themeColor="text1"/>
          <w:sz w:val="16"/>
          <w:szCs w:val="16"/>
        </w:rPr>
      </w:pPr>
      <w:r w:rsidRPr="00507A31">
        <w:rPr>
          <w:color w:val="000000" w:themeColor="text1"/>
          <w:sz w:val="16"/>
          <w:szCs w:val="16"/>
        </w:rPr>
        <w:t>30 апреля 1930 г. План опытного строительства воздушного флота на 1929/30</w:t>
      </w:r>
      <w:r w:rsidRPr="00507A31">
        <w:rPr>
          <w:color w:val="000000" w:themeColor="text1"/>
          <w:sz w:val="16"/>
          <w:szCs w:val="16"/>
        </w:rPr>
        <w:noBreakHyphen/>
        <w:t>1932/33 гг. был утвержден на заседании РЗ СТО. Планом предписывалось за 4 года изготовить: опытных моторов — 6 шт., самолетов — 32 шт., аэростатов — 9, вооружения (пулеметы, пушки, бомбы) — 47 шт. Расходы по осуществлению плана опытного строительства ВВС были отнесены за счет ВСНХ СССР. Президиум ВСНХ по соглашению с НКВМ должен был обеспечить опытные учреждения ассигнованиями. Все расходы на изготовление рабочих чертежей были отнесены за счет промышленности. (РГВА. Ф. 4. Оп. 1. Д. 1221. Л. 24</w:t>
      </w:r>
      <w:r w:rsidRPr="00507A31">
        <w:rPr>
          <w:color w:val="000000" w:themeColor="text1"/>
          <w:sz w:val="16"/>
          <w:szCs w:val="16"/>
        </w:rPr>
        <w:noBreakHyphen/>
        <w:t>26) (12493).</w:t>
      </w:r>
    </w:p>
    <w:p w14:paraId="469B4E76" w14:textId="77777777" w:rsidR="00933ADB" w:rsidRPr="00507A31" w:rsidRDefault="00933ADB" w:rsidP="00507A31">
      <w:pPr>
        <w:pStyle w:val="rtejustify"/>
        <w:spacing w:before="0" w:after="0"/>
        <w:rPr>
          <w:color w:val="000000" w:themeColor="text1"/>
          <w:sz w:val="16"/>
          <w:szCs w:val="16"/>
        </w:rPr>
      </w:pPr>
    </w:p>
    <w:p w14:paraId="4F1DD1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апреля 1930 года зам. председателя СТО Я. Рудзутак, управделами СНК и СТО Н. Горбунов, секретарь распорядительных заседаний СТО Аппога</w:t>
      </w:r>
    </w:p>
    <w:p w14:paraId="45EA6E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 распорядительного заседания СТО</w:t>
      </w:r>
    </w:p>
    <w:p w14:paraId="4DAFC1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плане опытного строительства воздушного флота на 1929/30-1932/33 г.г.</w:t>
      </w:r>
    </w:p>
    <w:p w14:paraId="6AADF8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развитие и дополнение постановлений РЗ СТО от 16 октября 1929 года</w:t>
      </w:r>
    </w:p>
    <w:p w14:paraId="2F18D65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3ABCD2D8" w14:textId="77777777">
        <w:tc>
          <w:tcPr>
            <w:tcW w:w="3345" w:type="dxa"/>
          </w:tcPr>
          <w:p w14:paraId="66E27D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 моторов</w:t>
            </w:r>
          </w:p>
        </w:tc>
        <w:tc>
          <w:tcPr>
            <w:tcW w:w="1644" w:type="dxa"/>
          </w:tcPr>
          <w:p w14:paraId="19F93B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1929-30 г.г.</w:t>
            </w:r>
          </w:p>
        </w:tc>
        <w:tc>
          <w:tcPr>
            <w:tcW w:w="1644" w:type="dxa"/>
          </w:tcPr>
          <w:p w14:paraId="09785D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1930-31 г.г.</w:t>
            </w:r>
          </w:p>
        </w:tc>
        <w:tc>
          <w:tcPr>
            <w:tcW w:w="1644" w:type="dxa"/>
          </w:tcPr>
          <w:p w14:paraId="699E2D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1931-32 г.г.</w:t>
            </w:r>
          </w:p>
        </w:tc>
        <w:tc>
          <w:tcPr>
            <w:tcW w:w="1644" w:type="dxa"/>
          </w:tcPr>
          <w:p w14:paraId="74332C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1932-33 г.г.</w:t>
            </w:r>
          </w:p>
        </w:tc>
        <w:tc>
          <w:tcPr>
            <w:tcW w:w="1644" w:type="dxa"/>
          </w:tcPr>
          <w:p w14:paraId="6A402A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w:t>
            </w:r>
          </w:p>
        </w:tc>
      </w:tr>
      <w:tr w:rsidR="00E371BA" w:rsidRPr="00507A31" w14:paraId="6FF614FC" w14:textId="77777777">
        <w:tc>
          <w:tcPr>
            <w:tcW w:w="3345" w:type="dxa"/>
          </w:tcPr>
          <w:p w14:paraId="78F17A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Большой мощности (свыше 500 НР)</w:t>
            </w:r>
          </w:p>
          <w:p w14:paraId="62E790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водяного охлаждения</w:t>
            </w:r>
          </w:p>
          <w:p w14:paraId="689E19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воздушного охлаждения</w:t>
            </w:r>
          </w:p>
        </w:tc>
        <w:tc>
          <w:tcPr>
            <w:tcW w:w="1644" w:type="dxa"/>
          </w:tcPr>
          <w:p w14:paraId="145438EA" w14:textId="77777777" w:rsidR="00537E5F" w:rsidRPr="00507A31" w:rsidRDefault="00537E5F" w:rsidP="00507A31">
            <w:pPr>
              <w:autoSpaceDE w:val="0"/>
              <w:autoSpaceDN w:val="0"/>
              <w:adjustRightInd w:val="0"/>
              <w:jc w:val="both"/>
              <w:rPr>
                <w:color w:val="000000" w:themeColor="text1"/>
                <w:sz w:val="16"/>
                <w:szCs w:val="16"/>
              </w:rPr>
            </w:pPr>
          </w:p>
          <w:p w14:paraId="7E1830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01176F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B1EF8A4" w14:textId="77777777" w:rsidR="00537E5F" w:rsidRPr="00507A31" w:rsidRDefault="00537E5F" w:rsidP="00507A31">
            <w:pPr>
              <w:autoSpaceDE w:val="0"/>
              <w:autoSpaceDN w:val="0"/>
              <w:adjustRightInd w:val="0"/>
              <w:jc w:val="both"/>
              <w:rPr>
                <w:color w:val="000000" w:themeColor="text1"/>
                <w:sz w:val="16"/>
                <w:szCs w:val="16"/>
              </w:rPr>
            </w:pPr>
          </w:p>
          <w:p w14:paraId="6E35A0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p w14:paraId="1A6B27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BDBC6EC" w14:textId="77777777" w:rsidR="00537E5F" w:rsidRPr="00507A31" w:rsidRDefault="00537E5F" w:rsidP="00507A31">
            <w:pPr>
              <w:autoSpaceDE w:val="0"/>
              <w:autoSpaceDN w:val="0"/>
              <w:adjustRightInd w:val="0"/>
              <w:jc w:val="both"/>
              <w:rPr>
                <w:color w:val="000000" w:themeColor="text1"/>
                <w:sz w:val="16"/>
                <w:szCs w:val="16"/>
              </w:rPr>
            </w:pPr>
          </w:p>
          <w:p w14:paraId="596AFC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7857B1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744D6C1" w14:textId="77777777" w:rsidR="00537E5F" w:rsidRPr="00507A31" w:rsidRDefault="00537E5F" w:rsidP="00507A31">
            <w:pPr>
              <w:autoSpaceDE w:val="0"/>
              <w:autoSpaceDN w:val="0"/>
              <w:adjustRightInd w:val="0"/>
              <w:jc w:val="both"/>
              <w:rPr>
                <w:color w:val="000000" w:themeColor="text1"/>
                <w:sz w:val="16"/>
                <w:szCs w:val="16"/>
              </w:rPr>
            </w:pPr>
          </w:p>
          <w:p w14:paraId="06EF8F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2F5AE5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D292AD5" w14:textId="77777777" w:rsidR="00537E5F" w:rsidRPr="00507A31" w:rsidRDefault="00537E5F" w:rsidP="00507A31">
            <w:pPr>
              <w:autoSpaceDE w:val="0"/>
              <w:autoSpaceDN w:val="0"/>
              <w:adjustRightInd w:val="0"/>
              <w:jc w:val="both"/>
              <w:rPr>
                <w:color w:val="000000" w:themeColor="text1"/>
                <w:sz w:val="16"/>
                <w:szCs w:val="16"/>
              </w:rPr>
            </w:pPr>
          </w:p>
          <w:p w14:paraId="3F5D0E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68EDF98B" w14:textId="77777777">
        <w:tc>
          <w:tcPr>
            <w:tcW w:w="3345" w:type="dxa"/>
          </w:tcPr>
          <w:p w14:paraId="4E9007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Средней мощности (от 200 до 500 НР) воздушного охлаждения</w:t>
            </w:r>
          </w:p>
        </w:tc>
        <w:tc>
          <w:tcPr>
            <w:tcW w:w="1644" w:type="dxa"/>
          </w:tcPr>
          <w:p w14:paraId="068342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74A2B8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18BE5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F00AB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7C26D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208DBD79" w14:textId="77777777">
        <w:tc>
          <w:tcPr>
            <w:tcW w:w="3345" w:type="dxa"/>
          </w:tcPr>
          <w:p w14:paraId="0C8B33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Малой мощности (до 200 НР) воздушного охлаждения</w:t>
            </w:r>
          </w:p>
        </w:tc>
        <w:tc>
          <w:tcPr>
            <w:tcW w:w="1644" w:type="dxa"/>
          </w:tcPr>
          <w:p w14:paraId="534CEF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9905F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2AAB8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A7BFF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20E10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4A645B02" w14:textId="77777777">
        <w:tc>
          <w:tcPr>
            <w:tcW w:w="3345" w:type="dxa"/>
          </w:tcPr>
          <w:p w14:paraId="78AA8B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Экспериментальные двигатели и агрегаты к ним</w:t>
            </w:r>
          </w:p>
        </w:tc>
        <w:tc>
          <w:tcPr>
            <w:tcW w:w="1644" w:type="dxa"/>
          </w:tcPr>
          <w:p w14:paraId="41BB23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644" w:type="dxa"/>
          </w:tcPr>
          <w:p w14:paraId="434391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12424F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14E515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36525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w:t>
            </w:r>
          </w:p>
        </w:tc>
      </w:tr>
      <w:tr w:rsidR="00E371BA" w:rsidRPr="00507A31" w14:paraId="185553DF" w14:textId="77777777">
        <w:tc>
          <w:tcPr>
            <w:tcW w:w="3345" w:type="dxa"/>
          </w:tcPr>
          <w:p w14:paraId="070435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опытных конструкций</w:t>
            </w:r>
          </w:p>
        </w:tc>
        <w:tc>
          <w:tcPr>
            <w:tcW w:w="1644" w:type="dxa"/>
          </w:tcPr>
          <w:p w14:paraId="47906C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1644" w:type="dxa"/>
          </w:tcPr>
          <w:p w14:paraId="0AB0E6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1644" w:type="dxa"/>
          </w:tcPr>
          <w:p w14:paraId="3F8380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32D3E7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658D0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w:t>
            </w:r>
          </w:p>
        </w:tc>
      </w:tr>
    </w:tbl>
    <w:p w14:paraId="1C7F58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По самолетам</w:t>
      </w:r>
    </w:p>
    <w:p w14:paraId="5C627E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222A8DE7" w14:textId="77777777">
        <w:tc>
          <w:tcPr>
            <w:tcW w:w="3345" w:type="dxa"/>
          </w:tcPr>
          <w:p w14:paraId="4988F9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Тяжелые бомбардировщики и штурмовики</w:t>
            </w:r>
          </w:p>
        </w:tc>
        <w:tc>
          <w:tcPr>
            <w:tcW w:w="1644" w:type="dxa"/>
          </w:tcPr>
          <w:p w14:paraId="26E7F1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2B21F8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513DE6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EC187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181F8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6028F949" w14:textId="77777777">
        <w:tc>
          <w:tcPr>
            <w:tcW w:w="3345" w:type="dxa"/>
          </w:tcPr>
          <w:p w14:paraId="559290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Разведчики и легкие бомбардировщики</w:t>
            </w:r>
          </w:p>
        </w:tc>
        <w:tc>
          <w:tcPr>
            <w:tcW w:w="1644" w:type="dxa"/>
          </w:tcPr>
          <w:p w14:paraId="72C58B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F8585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07228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68F79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9229E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2F31EF8C" w14:textId="77777777">
        <w:tc>
          <w:tcPr>
            <w:tcW w:w="3345" w:type="dxa"/>
          </w:tcPr>
          <w:p w14:paraId="1EF047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Многоместные истребители</w:t>
            </w:r>
          </w:p>
        </w:tc>
        <w:tc>
          <w:tcPr>
            <w:tcW w:w="1644" w:type="dxa"/>
          </w:tcPr>
          <w:p w14:paraId="02F7AF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7322B8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5FCCE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E92AE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C3C45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4E3087CA" w14:textId="77777777">
        <w:tc>
          <w:tcPr>
            <w:tcW w:w="3345" w:type="dxa"/>
          </w:tcPr>
          <w:p w14:paraId="29BF90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Двухместные истребители</w:t>
            </w:r>
          </w:p>
        </w:tc>
        <w:tc>
          <w:tcPr>
            <w:tcW w:w="1644" w:type="dxa"/>
          </w:tcPr>
          <w:p w14:paraId="3504F8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AC0A9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C455A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B9B64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36113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4A9DBB38" w14:textId="77777777">
        <w:tc>
          <w:tcPr>
            <w:tcW w:w="3345" w:type="dxa"/>
          </w:tcPr>
          <w:p w14:paraId="36D622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Одноместные истребители</w:t>
            </w:r>
          </w:p>
        </w:tc>
        <w:tc>
          <w:tcPr>
            <w:tcW w:w="1644" w:type="dxa"/>
          </w:tcPr>
          <w:p w14:paraId="4FEDEC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7586F0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54BA61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D3089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A0EF3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r>
      <w:tr w:rsidR="00E371BA" w:rsidRPr="00507A31" w14:paraId="6610044C" w14:textId="77777777">
        <w:tc>
          <w:tcPr>
            <w:tcW w:w="3345" w:type="dxa"/>
          </w:tcPr>
          <w:p w14:paraId="202441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Вспомогательные, учебные и специального назначения</w:t>
            </w:r>
          </w:p>
        </w:tc>
        <w:tc>
          <w:tcPr>
            <w:tcW w:w="1644" w:type="dxa"/>
          </w:tcPr>
          <w:p w14:paraId="29F6F2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1BFA5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04D5C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2F0C6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A07BD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bl>
    <w:p w14:paraId="0F81C7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45E82FEA" w14:textId="77777777">
        <w:tc>
          <w:tcPr>
            <w:tcW w:w="3345" w:type="dxa"/>
          </w:tcPr>
          <w:p w14:paraId="00D714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Ближние разведчики</w:t>
            </w:r>
          </w:p>
        </w:tc>
        <w:tc>
          <w:tcPr>
            <w:tcW w:w="1644" w:type="dxa"/>
          </w:tcPr>
          <w:p w14:paraId="5628A0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FA997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8155A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6431B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794E3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2CD39DA0" w14:textId="77777777">
        <w:tc>
          <w:tcPr>
            <w:tcW w:w="3345" w:type="dxa"/>
          </w:tcPr>
          <w:p w14:paraId="778307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Дальние разведчики</w:t>
            </w:r>
          </w:p>
        </w:tc>
        <w:tc>
          <w:tcPr>
            <w:tcW w:w="1644" w:type="dxa"/>
          </w:tcPr>
          <w:p w14:paraId="78BE4F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37EC99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AC762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E1BFD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2D83E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31EA81D4" w14:textId="77777777">
        <w:tc>
          <w:tcPr>
            <w:tcW w:w="3345" w:type="dxa"/>
          </w:tcPr>
          <w:p w14:paraId="4D52DA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Тяжелые бомбардировщики</w:t>
            </w:r>
          </w:p>
        </w:tc>
        <w:tc>
          <w:tcPr>
            <w:tcW w:w="1644" w:type="dxa"/>
          </w:tcPr>
          <w:p w14:paraId="7E9D85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7C0EFD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6101E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36BB8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6875C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0659ACF5" w14:textId="77777777">
        <w:tc>
          <w:tcPr>
            <w:tcW w:w="3345" w:type="dxa"/>
          </w:tcPr>
          <w:p w14:paraId="0C836A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Вспомогательные, учебные и специального назначения</w:t>
            </w:r>
          </w:p>
        </w:tc>
        <w:tc>
          <w:tcPr>
            <w:tcW w:w="1644" w:type="dxa"/>
          </w:tcPr>
          <w:p w14:paraId="289B50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95CEE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2D2660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43F33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79E13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14F671C3" w14:textId="77777777">
        <w:tc>
          <w:tcPr>
            <w:tcW w:w="3345" w:type="dxa"/>
          </w:tcPr>
          <w:p w14:paraId="394CE2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w:t>
            </w:r>
          </w:p>
        </w:tc>
        <w:tc>
          <w:tcPr>
            <w:tcW w:w="1644" w:type="dxa"/>
          </w:tcPr>
          <w:p w14:paraId="5591D5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c>
          <w:tcPr>
            <w:tcW w:w="1644" w:type="dxa"/>
          </w:tcPr>
          <w:p w14:paraId="56BC28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w:t>
            </w:r>
          </w:p>
        </w:tc>
        <w:tc>
          <w:tcPr>
            <w:tcW w:w="1644" w:type="dxa"/>
          </w:tcPr>
          <w:p w14:paraId="0B6D48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644" w:type="dxa"/>
          </w:tcPr>
          <w:p w14:paraId="7A88D9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F0B06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w:t>
            </w:r>
          </w:p>
        </w:tc>
      </w:tr>
    </w:tbl>
    <w:p w14:paraId="4D76F6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III.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7EEE4ED1" w14:textId="77777777">
        <w:tc>
          <w:tcPr>
            <w:tcW w:w="3345" w:type="dxa"/>
          </w:tcPr>
          <w:p w14:paraId="67DFEE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Аэростаты наблюдения</w:t>
            </w:r>
          </w:p>
        </w:tc>
        <w:tc>
          <w:tcPr>
            <w:tcW w:w="1644" w:type="dxa"/>
          </w:tcPr>
          <w:p w14:paraId="14D736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1F4F1A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8C727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B44D8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2B2D2B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r>
      <w:tr w:rsidR="00E371BA" w:rsidRPr="00507A31" w14:paraId="317CCE49" w14:textId="77777777">
        <w:tc>
          <w:tcPr>
            <w:tcW w:w="3345" w:type="dxa"/>
          </w:tcPr>
          <w:p w14:paraId="175297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Аэростаты заграждения и пр.</w:t>
            </w:r>
          </w:p>
        </w:tc>
        <w:tc>
          <w:tcPr>
            <w:tcW w:w="1644" w:type="dxa"/>
          </w:tcPr>
          <w:p w14:paraId="569068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7CF9CB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608C9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A2813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E8A0F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2EDFA90C" w14:textId="77777777">
        <w:tc>
          <w:tcPr>
            <w:tcW w:w="3345" w:type="dxa"/>
          </w:tcPr>
          <w:p w14:paraId="1C029C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Газодобывательные аппараты</w:t>
            </w:r>
          </w:p>
        </w:tc>
        <w:tc>
          <w:tcPr>
            <w:tcW w:w="1644" w:type="dxa"/>
          </w:tcPr>
          <w:p w14:paraId="2B3661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05874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C89A2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731A7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6EA20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0F914FFA" w14:textId="77777777">
        <w:tc>
          <w:tcPr>
            <w:tcW w:w="3345" w:type="dxa"/>
          </w:tcPr>
          <w:p w14:paraId="5564EC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Автолебедки наблюдения</w:t>
            </w:r>
          </w:p>
        </w:tc>
        <w:tc>
          <w:tcPr>
            <w:tcW w:w="1644" w:type="dxa"/>
          </w:tcPr>
          <w:p w14:paraId="1BBFAB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30FEC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4ECF7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1D5FE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99E0E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2F632035" w14:textId="77777777">
        <w:tc>
          <w:tcPr>
            <w:tcW w:w="3345" w:type="dxa"/>
          </w:tcPr>
          <w:p w14:paraId="54B5EC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Автолебедки заграждения</w:t>
            </w:r>
          </w:p>
        </w:tc>
        <w:tc>
          <w:tcPr>
            <w:tcW w:w="1644" w:type="dxa"/>
          </w:tcPr>
          <w:p w14:paraId="624187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7085A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6728A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33BD1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8D06F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0390D7E8" w14:textId="77777777">
        <w:tc>
          <w:tcPr>
            <w:tcW w:w="3345" w:type="dxa"/>
          </w:tcPr>
          <w:p w14:paraId="08D758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Разборный малый эллинг для аэростата наблюдения</w:t>
            </w:r>
          </w:p>
        </w:tc>
        <w:tc>
          <w:tcPr>
            <w:tcW w:w="1644" w:type="dxa"/>
          </w:tcPr>
          <w:p w14:paraId="4876E8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4D36D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E18A1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1FC1F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047F5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10FA1B80" w14:textId="77777777">
        <w:tc>
          <w:tcPr>
            <w:tcW w:w="3345" w:type="dxa"/>
          </w:tcPr>
          <w:p w14:paraId="66B78D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Дирижабли полужесткие до 10000 куб. м </w:t>
            </w:r>
          </w:p>
        </w:tc>
        <w:tc>
          <w:tcPr>
            <w:tcW w:w="1644" w:type="dxa"/>
          </w:tcPr>
          <w:p w14:paraId="2AAE57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D6CFB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8F52A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06014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0FE90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bl>
    <w:p w14:paraId="65FDBC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IV. По вооружению (пулеметы, пушки и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4E9EB72C" w14:textId="77777777">
        <w:tc>
          <w:tcPr>
            <w:tcW w:w="3345" w:type="dxa"/>
          </w:tcPr>
          <w:p w14:paraId="522D44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Пулеметы</w:t>
            </w:r>
          </w:p>
        </w:tc>
        <w:tc>
          <w:tcPr>
            <w:tcW w:w="1644" w:type="dxa"/>
          </w:tcPr>
          <w:p w14:paraId="2DBB88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0E764F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BC569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F6DDB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483C8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r>
      <w:tr w:rsidR="00E371BA" w:rsidRPr="00507A31" w14:paraId="345A8DBB" w14:textId="77777777">
        <w:tc>
          <w:tcPr>
            <w:tcW w:w="3345" w:type="dxa"/>
          </w:tcPr>
          <w:p w14:paraId="39E5F7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Пушки</w:t>
            </w:r>
          </w:p>
        </w:tc>
        <w:tc>
          <w:tcPr>
            <w:tcW w:w="1644" w:type="dxa"/>
          </w:tcPr>
          <w:p w14:paraId="46421A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710886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6F234F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8A5F6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1E0B3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61B79EC1" w14:textId="77777777">
        <w:tc>
          <w:tcPr>
            <w:tcW w:w="3345" w:type="dxa"/>
          </w:tcPr>
          <w:p w14:paraId="10FBFF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Осколочные бомбы (от 2-х до 25 кг)</w:t>
            </w:r>
          </w:p>
        </w:tc>
        <w:tc>
          <w:tcPr>
            <w:tcW w:w="1644" w:type="dxa"/>
          </w:tcPr>
          <w:p w14:paraId="2E7821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1644" w:type="dxa"/>
          </w:tcPr>
          <w:p w14:paraId="51B6B7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9B342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CFC7A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CE6EA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r>
      <w:tr w:rsidR="00E371BA" w:rsidRPr="00507A31" w14:paraId="73368A74" w14:textId="77777777">
        <w:tc>
          <w:tcPr>
            <w:tcW w:w="3345" w:type="dxa"/>
          </w:tcPr>
          <w:p w14:paraId="5C524B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Фугасные бомбы (от 25 до 2000 кг)</w:t>
            </w:r>
          </w:p>
        </w:tc>
        <w:tc>
          <w:tcPr>
            <w:tcW w:w="1644" w:type="dxa"/>
          </w:tcPr>
          <w:p w14:paraId="5C386A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1644" w:type="dxa"/>
          </w:tcPr>
          <w:p w14:paraId="7B4AD2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0847D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5E097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4224E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r>
      <w:tr w:rsidR="00E371BA" w:rsidRPr="00507A31" w14:paraId="795B2F60" w14:textId="77777777">
        <w:tc>
          <w:tcPr>
            <w:tcW w:w="3345" w:type="dxa"/>
          </w:tcPr>
          <w:p w14:paraId="0E6A7E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Бронебойные бомбы (от 250 до 1000 кг)</w:t>
            </w:r>
          </w:p>
        </w:tc>
        <w:tc>
          <w:tcPr>
            <w:tcW w:w="1644" w:type="dxa"/>
          </w:tcPr>
          <w:p w14:paraId="26921F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4EC4FB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75F886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A44F9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311B5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r>
      <w:tr w:rsidR="00E371BA" w:rsidRPr="00507A31" w14:paraId="0DD6D2AE" w14:textId="77777777">
        <w:tc>
          <w:tcPr>
            <w:tcW w:w="3345" w:type="dxa"/>
          </w:tcPr>
          <w:p w14:paraId="3A3561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Бомбы специального назначения, зажигательные (от 12 до 50 кг)</w:t>
            </w:r>
          </w:p>
        </w:tc>
        <w:tc>
          <w:tcPr>
            <w:tcW w:w="1644" w:type="dxa"/>
          </w:tcPr>
          <w:p w14:paraId="2CEC12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778C90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68CBC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0218E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25910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4AF8BA26" w14:textId="77777777">
        <w:tc>
          <w:tcPr>
            <w:tcW w:w="3345" w:type="dxa"/>
          </w:tcPr>
          <w:p w14:paraId="055D04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Светящие бомбы (от 3 до 25 кг)</w:t>
            </w:r>
          </w:p>
        </w:tc>
        <w:tc>
          <w:tcPr>
            <w:tcW w:w="1644" w:type="dxa"/>
          </w:tcPr>
          <w:p w14:paraId="5C8176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6DB32A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0D80FD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89C9D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B4BEE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r>
      <w:tr w:rsidR="00E371BA" w:rsidRPr="00507A31" w14:paraId="58D88E61" w14:textId="77777777">
        <w:tc>
          <w:tcPr>
            <w:tcW w:w="3345" w:type="dxa"/>
          </w:tcPr>
          <w:p w14:paraId="430A11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Химические бомбы (от 10 до 100 кг)</w:t>
            </w:r>
          </w:p>
        </w:tc>
        <w:tc>
          <w:tcPr>
            <w:tcW w:w="1644" w:type="dxa"/>
          </w:tcPr>
          <w:p w14:paraId="745149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6D7B0C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248947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17C73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E575E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r>
      <w:tr w:rsidR="00E371BA" w:rsidRPr="00507A31" w14:paraId="0BD497E7" w14:textId="77777777">
        <w:tc>
          <w:tcPr>
            <w:tcW w:w="3345" w:type="dxa"/>
          </w:tcPr>
          <w:p w14:paraId="06DB16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Гидростатические и дымовые бомбы (от 5 до 250 кг)</w:t>
            </w:r>
          </w:p>
        </w:tc>
        <w:tc>
          <w:tcPr>
            <w:tcW w:w="1644" w:type="dxa"/>
          </w:tcPr>
          <w:p w14:paraId="1DFBF3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5AA70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56AED8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CBB54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993F2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r>
      <w:tr w:rsidR="00E371BA" w:rsidRPr="00507A31" w14:paraId="6407141A" w14:textId="77777777">
        <w:tc>
          <w:tcPr>
            <w:tcW w:w="3345" w:type="dxa"/>
          </w:tcPr>
          <w:p w14:paraId="75D43ED3" w14:textId="77777777" w:rsidR="00537E5F" w:rsidRPr="00507A31" w:rsidRDefault="00537E5F" w:rsidP="00507A31">
            <w:pPr>
              <w:autoSpaceDE w:val="0"/>
              <w:autoSpaceDN w:val="0"/>
              <w:adjustRightInd w:val="0"/>
              <w:jc w:val="both"/>
              <w:rPr>
                <w:color w:val="000000" w:themeColor="text1"/>
                <w:sz w:val="16"/>
                <w:szCs w:val="16"/>
              </w:rPr>
            </w:pPr>
          </w:p>
        </w:tc>
        <w:tc>
          <w:tcPr>
            <w:tcW w:w="1644" w:type="dxa"/>
          </w:tcPr>
          <w:p w14:paraId="6A7B10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w:t>
            </w:r>
          </w:p>
        </w:tc>
        <w:tc>
          <w:tcPr>
            <w:tcW w:w="1644" w:type="dxa"/>
          </w:tcPr>
          <w:p w14:paraId="0E36BA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w:t>
            </w:r>
          </w:p>
        </w:tc>
        <w:tc>
          <w:tcPr>
            <w:tcW w:w="1644" w:type="dxa"/>
          </w:tcPr>
          <w:p w14:paraId="649513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61824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74D85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47</w:t>
            </w:r>
          </w:p>
        </w:tc>
      </w:tr>
    </w:tbl>
    <w:p w14:paraId="7E9B27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V. По прицелам и приборам стрельбы и бомбометания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7B6331EC" w14:textId="77777777">
        <w:tc>
          <w:tcPr>
            <w:tcW w:w="3345" w:type="dxa"/>
          </w:tcPr>
          <w:p w14:paraId="2151BA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Прицелы к пулеметам и пушкам для стрельбы с самолетов</w:t>
            </w:r>
          </w:p>
        </w:tc>
        <w:tc>
          <w:tcPr>
            <w:tcW w:w="1644" w:type="dxa"/>
          </w:tcPr>
          <w:p w14:paraId="576177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511FC6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1644" w:type="dxa"/>
          </w:tcPr>
          <w:p w14:paraId="4B147A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1644" w:type="dxa"/>
          </w:tcPr>
          <w:p w14:paraId="6BBB33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07A90C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tc>
      </w:tr>
      <w:tr w:rsidR="00E371BA" w:rsidRPr="00507A31" w14:paraId="5A990E39" w14:textId="77777777">
        <w:tc>
          <w:tcPr>
            <w:tcW w:w="3345" w:type="dxa"/>
          </w:tcPr>
          <w:p w14:paraId="277F34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Прицелы и приборы для бомбометания</w:t>
            </w:r>
          </w:p>
        </w:tc>
        <w:tc>
          <w:tcPr>
            <w:tcW w:w="1644" w:type="dxa"/>
          </w:tcPr>
          <w:p w14:paraId="561D59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1644" w:type="dxa"/>
          </w:tcPr>
          <w:p w14:paraId="3F0576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4FAA3D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50FCD0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0DDFB7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w:t>
            </w:r>
          </w:p>
        </w:tc>
      </w:tr>
    </w:tbl>
    <w:p w14:paraId="3CC399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VI. По фотооборудованию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6A62C8BF" w14:textId="77777777">
        <w:tc>
          <w:tcPr>
            <w:tcW w:w="3345" w:type="dxa"/>
          </w:tcPr>
          <w:p w14:paraId="36F2A8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Аэрофотоаппараты</w:t>
            </w:r>
          </w:p>
        </w:tc>
        <w:tc>
          <w:tcPr>
            <w:tcW w:w="1644" w:type="dxa"/>
          </w:tcPr>
          <w:p w14:paraId="163607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31BAF5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6C5957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A7477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211980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w:t>
            </w:r>
          </w:p>
        </w:tc>
      </w:tr>
      <w:tr w:rsidR="00E371BA" w:rsidRPr="00507A31" w14:paraId="2A1B012B" w14:textId="77777777">
        <w:tc>
          <w:tcPr>
            <w:tcW w:w="3345" w:type="dxa"/>
          </w:tcPr>
          <w:p w14:paraId="6ABC2D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Фотопулеметы</w:t>
            </w:r>
          </w:p>
        </w:tc>
        <w:tc>
          <w:tcPr>
            <w:tcW w:w="1644" w:type="dxa"/>
          </w:tcPr>
          <w:p w14:paraId="503C29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2F1AC6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14A74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058C9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941BD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25FB4E63" w14:textId="77777777">
        <w:tc>
          <w:tcPr>
            <w:tcW w:w="3345" w:type="dxa"/>
          </w:tcPr>
          <w:p w14:paraId="6908A2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Фотокинопулеметы</w:t>
            </w:r>
          </w:p>
        </w:tc>
        <w:tc>
          <w:tcPr>
            <w:tcW w:w="1644" w:type="dxa"/>
          </w:tcPr>
          <w:p w14:paraId="0B3F33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2A8C6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FE014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285CE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2565B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415B7ED3" w14:textId="77777777">
        <w:tc>
          <w:tcPr>
            <w:tcW w:w="3345" w:type="dxa"/>
          </w:tcPr>
          <w:p w14:paraId="34FAE9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Походная фотолаборатория</w:t>
            </w:r>
          </w:p>
        </w:tc>
        <w:tc>
          <w:tcPr>
            <w:tcW w:w="1644" w:type="dxa"/>
          </w:tcPr>
          <w:p w14:paraId="18D912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5AA86D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A6C8B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13B15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644" w:type="dxa"/>
          </w:tcPr>
          <w:p w14:paraId="52A28F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r>
      <w:tr w:rsidR="00E371BA" w:rsidRPr="00507A31" w14:paraId="76A00A3C" w14:textId="77777777">
        <w:tc>
          <w:tcPr>
            <w:tcW w:w="3345" w:type="dxa"/>
          </w:tcPr>
          <w:p w14:paraId="6E1D42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Аэрофотообъективы</w:t>
            </w:r>
          </w:p>
        </w:tc>
        <w:tc>
          <w:tcPr>
            <w:tcW w:w="1644" w:type="dxa"/>
          </w:tcPr>
          <w:p w14:paraId="739CD1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22A0B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02053F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E73F2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11B7D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2100892E" w14:textId="77777777">
        <w:tc>
          <w:tcPr>
            <w:tcW w:w="3345" w:type="dxa"/>
          </w:tcPr>
          <w:p w14:paraId="74B59C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Аэрофотоприборы разных назначений</w:t>
            </w:r>
          </w:p>
        </w:tc>
        <w:tc>
          <w:tcPr>
            <w:tcW w:w="1644" w:type="dxa"/>
          </w:tcPr>
          <w:p w14:paraId="764C57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w:t>
            </w:r>
          </w:p>
        </w:tc>
        <w:tc>
          <w:tcPr>
            <w:tcW w:w="1644" w:type="dxa"/>
          </w:tcPr>
          <w:p w14:paraId="69BB63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tc>
        <w:tc>
          <w:tcPr>
            <w:tcW w:w="1644" w:type="dxa"/>
          </w:tcPr>
          <w:p w14:paraId="54EAC2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D410B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c>
          <w:tcPr>
            <w:tcW w:w="1644" w:type="dxa"/>
          </w:tcPr>
          <w:p w14:paraId="536692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w:t>
            </w:r>
          </w:p>
        </w:tc>
      </w:tr>
    </w:tbl>
    <w:p w14:paraId="2C9B5B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VII. По установкам под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79BC3D76" w14:textId="77777777">
        <w:tc>
          <w:tcPr>
            <w:tcW w:w="3345" w:type="dxa"/>
          </w:tcPr>
          <w:p w14:paraId="5F24CE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Бомбодержатели и торпедодержатели </w:t>
            </w:r>
          </w:p>
        </w:tc>
        <w:tc>
          <w:tcPr>
            <w:tcW w:w="1644" w:type="dxa"/>
          </w:tcPr>
          <w:p w14:paraId="220689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w:t>
            </w:r>
          </w:p>
        </w:tc>
        <w:tc>
          <w:tcPr>
            <w:tcW w:w="1644" w:type="dxa"/>
          </w:tcPr>
          <w:p w14:paraId="6FCE8A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619C3C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41DC4C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3B5CFF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w:t>
            </w:r>
          </w:p>
        </w:tc>
      </w:tr>
      <w:tr w:rsidR="00E371BA" w:rsidRPr="00507A31" w14:paraId="694077A7" w14:textId="77777777">
        <w:tc>
          <w:tcPr>
            <w:tcW w:w="3345" w:type="dxa"/>
          </w:tcPr>
          <w:p w14:paraId="458ED3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Сбрасыватели</w:t>
            </w:r>
          </w:p>
        </w:tc>
        <w:tc>
          <w:tcPr>
            <w:tcW w:w="1644" w:type="dxa"/>
          </w:tcPr>
          <w:p w14:paraId="134364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1644" w:type="dxa"/>
          </w:tcPr>
          <w:p w14:paraId="1B81C6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644" w:type="dxa"/>
          </w:tcPr>
          <w:p w14:paraId="5CA286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20995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24BFB2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w:t>
            </w:r>
          </w:p>
        </w:tc>
      </w:tr>
      <w:tr w:rsidR="00E371BA" w:rsidRPr="00507A31" w14:paraId="2F7CDC39" w14:textId="77777777">
        <w:tc>
          <w:tcPr>
            <w:tcW w:w="3345" w:type="dxa"/>
          </w:tcPr>
          <w:p w14:paraId="693B33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Вспомогательных устройств</w:t>
            </w:r>
          </w:p>
        </w:tc>
        <w:tc>
          <w:tcPr>
            <w:tcW w:w="1644" w:type="dxa"/>
          </w:tcPr>
          <w:p w14:paraId="1F21B3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6AE801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6192B4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542F3B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317B4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37CA9CAE" w14:textId="77777777">
        <w:tc>
          <w:tcPr>
            <w:tcW w:w="3345" w:type="dxa"/>
          </w:tcPr>
          <w:p w14:paraId="641947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Установки для пулеметов и пушек</w:t>
            </w:r>
          </w:p>
        </w:tc>
        <w:tc>
          <w:tcPr>
            <w:tcW w:w="1644" w:type="dxa"/>
          </w:tcPr>
          <w:p w14:paraId="38D24C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76CB46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F52A5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509FEA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1644" w:type="dxa"/>
          </w:tcPr>
          <w:p w14:paraId="21FB11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w:t>
            </w:r>
          </w:p>
        </w:tc>
      </w:tr>
      <w:tr w:rsidR="00E371BA" w:rsidRPr="00507A31" w14:paraId="77144A8D" w14:textId="77777777">
        <w:tc>
          <w:tcPr>
            <w:tcW w:w="3345" w:type="dxa"/>
          </w:tcPr>
          <w:p w14:paraId="72E9A1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Турели</w:t>
            </w:r>
          </w:p>
        </w:tc>
        <w:tc>
          <w:tcPr>
            <w:tcW w:w="1644" w:type="dxa"/>
          </w:tcPr>
          <w:p w14:paraId="07E34A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35BDA4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476F37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10A98A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533017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768C82BD" w14:textId="77777777">
        <w:tc>
          <w:tcPr>
            <w:tcW w:w="3345" w:type="dxa"/>
          </w:tcPr>
          <w:p w14:paraId="607CEB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 и оборудование новых самолетов</w:t>
            </w:r>
          </w:p>
        </w:tc>
        <w:tc>
          <w:tcPr>
            <w:tcW w:w="1644" w:type="dxa"/>
          </w:tcPr>
          <w:p w14:paraId="336A07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w:t>
            </w:r>
          </w:p>
        </w:tc>
        <w:tc>
          <w:tcPr>
            <w:tcW w:w="1644" w:type="dxa"/>
          </w:tcPr>
          <w:p w14:paraId="05AB56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w:t>
            </w:r>
          </w:p>
        </w:tc>
        <w:tc>
          <w:tcPr>
            <w:tcW w:w="1644" w:type="dxa"/>
          </w:tcPr>
          <w:p w14:paraId="192FF8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w:t>
            </w:r>
          </w:p>
        </w:tc>
        <w:tc>
          <w:tcPr>
            <w:tcW w:w="1644" w:type="dxa"/>
          </w:tcPr>
          <w:p w14:paraId="6052E6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w:t>
            </w:r>
          </w:p>
        </w:tc>
        <w:tc>
          <w:tcPr>
            <w:tcW w:w="1644" w:type="dxa"/>
          </w:tcPr>
          <w:p w14:paraId="675302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63</w:t>
            </w:r>
          </w:p>
        </w:tc>
      </w:tr>
      <w:tr w:rsidR="00E371BA" w:rsidRPr="00507A31" w14:paraId="4482F1CC" w14:textId="77777777">
        <w:tc>
          <w:tcPr>
            <w:tcW w:w="3345" w:type="dxa"/>
          </w:tcPr>
          <w:p w14:paraId="078078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Переоборудование самолетов (частичное)</w:t>
            </w:r>
          </w:p>
        </w:tc>
        <w:tc>
          <w:tcPr>
            <w:tcW w:w="1644" w:type="dxa"/>
          </w:tcPr>
          <w:p w14:paraId="6689AF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43</w:t>
            </w:r>
          </w:p>
        </w:tc>
        <w:tc>
          <w:tcPr>
            <w:tcW w:w="1644" w:type="dxa"/>
          </w:tcPr>
          <w:p w14:paraId="4B3131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tc>
        <w:tc>
          <w:tcPr>
            <w:tcW w:w="1644" w:type="dxa"/>
          </w:tcPr>
          <w:p w14:paraId="394AF5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w:t>
            </w:r>
          </w:p>
        </w:tc>
        <w:tc>
          <w:tcPr>
            <w:tcW w:w="1644" w:type="dxa"/>
          </w:tcPr>
          <w:p w14:paraId="0BB6A9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w:t>
            </w:r>
          </w:p>
        </w:tc>
        <w:tc>
          <w:tcPr>
            <w:tcW w:w="1644" w:type="dxa"/>
          </w:tcPr>
          <w:p w14:paraId="799AD8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120</w:t>
            </w:r>
          </w:p>
        </w:tc>
      </w:tr>
    </w:tbl>
    <w:p w14:paraId="6E82E6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VIII. По радио и электрооборудованию самолетов и аэродромов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675FE387" w14:textId="77777777">
        <w:tc>
          <w:tcPr>
            <w:tcW w:w="3345" w:type="dxa"/>
          </w:tcPr>
          <w:p w14:paraId="2EC0F4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Самолетные рации</w:t>
            </w:r>
          </w:p>
        </w:tc>
        <w:tc>
          <w:tcPr>
            <w:tcW w:w="1644" w:type="dxa"/>
          </w:tcPr>
          <w:p w14:paraId="3B722E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1644" w:type="dxa"/>
          </w:tcPr>
          <w:p w14:paraId="2669BC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418424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0587A5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1644" w:type="dxa"/>
          </w:tcPr>
          <w:p w14:paraId="3FF64F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w:t>
            </w:r>
          </w:p>
        </w:tc>
      </w:tr>
      <w:tr w:rsidR="00E371BA" w:rsidRPr="00507A31" w14:paraId="5F510C51" w14:textId="77777777">
        <w:tc>
          <w:tcPr>
            <w:tcW w:w="3345" w:type="dxa"/>
          </w:tcPr>
          <w:p w14:paraId="64A8A8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Аэродромные рации</w:t>
            </w:r>
          </w:p>
        </w:tc>
        <w:tc>
          <w:tcPr>
            <w:tcW w:w="1644" w:type="dxa"/>
          </w:tcPr>
          <w:p w14:paraId="35553D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1644" w:type="dxa"/>
          </w:tcPr>
          <w:p w14:paraId="22203D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9E634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F77CF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1644" w:type="dxa"/>
          </w:tcPr>
          <w:p w14:paraId="525343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tc>
      </w:tr>
      <w:tr w:rsidR="00E371BA" w:rsidRPr="00507A31" w14:paraId="02B069C0" w14:textId="77777777">
        <w:tc>
          <w:tcPr>
            <w:tcW w:w="3345" w:type="dxa"/>
          </w:tcPr>
          <w:p w14:paraId="43526D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Радиомаяк</w:t>
            </w:r>
          </w:p>
        </w:tc>
        <w:tc>
          <w:tcPr>
            <w:tcW w:w="1644" w:type="dxa"/>
          </w:tcPr>
          <w:p w14:paraId="4C4254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27A9EF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D5B00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73D88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3E9F5C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7A89B8CB" w14:textId="77777777">
        <w:tc>
          <w:tcPr>
            <w:tcW w:w="3345" w:type="dxa"/>
          </w:tcPr>
          <w:p w14:paraId="44D58A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Стационарные походные прожекторные станции</w:t>
            </w:r>
          </w:p>
        </w:tc>
        <w:tc>
          <w:tcPr>
            <w:tcW w:w="1644" w:type="dxa"/>
          </w:tcPr>
          <w:p w14:paraId="4F218B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4EDD6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35324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7B357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6342C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52CCC5EB" w14:textId="77777777">
        <w:tc>
          <w:tcPr>
            <w:tcW w:w="3345" w:type="dxa"/>
          </w:tcPr>
          <w:p w14:paraId="108343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Маяки</w:t>
            </w:r>
          </w:p>
        </w:tc>
        <w:tc>
          <w:tcPr>
            <w:tcW w:w="1644" w:type="dxa"/>
          </w:tcPr>
          <w:p w14:paraId="16B014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C1236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61CF0E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F77C4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10CAE5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r w:rsidR="00E371BA" w:rsidRPr="00507A31" w14:paraId="20E62159" w14:textId="77777777">
        <w:tc>
          <w:tcPr>
            <w:tcW w:w="3345" w:type="dxa"/>
          </w:tcPr>
          <w:p w14:paraId="14D1B2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Осветительное оборудование самолетное</w:t>
            </w:r>
          </w:p>
        </w:tc>
        <w:tc>
          <w:tcPr>
            <w:tcW w:w="1644" w:type="dxa"/>
          </w:tcPr>
          <w:p w14:paraId="4BBE46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5DB55D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1CA33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515B4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7CBE05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r>
    </w:tbl>
    <w:p w14:paraId="379A13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IX. По аэронавигации и метеорологии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1AF37FDB" w14:textId="77777777">
        <w:tc>
          <w:tcPr>
            <w:tcW w:w="3345" w:type="dxa"/>
          </w:tcPr>
          <w:p w14:paraId="2CFDEE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Пилотажные и аэронавигационные приборы</w:t>
            </w:r>
          </w:p>
        </w:tc>
        <w:tc>
          <w:tcPr>
            <w:tcW w:w="1644" w:type="dxa"/>
          </w:tcPr>
          <w:p w14:paraId="24A485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tc>
        <w:tc>
          <w:tcPr>
            <w:tcW w:w="1644" w:type="dxa"/>
          </w:tcPr>
          <w:p w14:paraId="569539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1644" w:type="dxa"/>
          </w:tcPr>
          <w:p w14:paraId="35C537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c>
          <w:tcPr>
            <w:tcW w:w="1644" w:type="dxa"/>
          </w:tcPr>
          <w:p w14:paraId="69F446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w:t>
            </w:r>
          </w:p>
        </w:tc>
        <w:tc>
          <w:tcPr>
            <w:tcW w:w="1644" w:type="dxa"/>
          </w:tcPr>
          <w:p w14:paraId="5B34FD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58</w:t>
            </w:r>
          </w:p>
        </w:tc>
      </w:tr>
      <w:tr w:rsidR="00E371BA" w:rsidRPr="00507A31" w14:paraId="283A23DD" w14:textId="77777777">
        <w:tc>
          <w:tcPr>
            <w:tcW w:w="3345" w:type="dxa"/>
          </w:tcPr>
          <w:p w14:paraId="0A7CB1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Метеорологические приборы</w:t>
            </w:r>
          </w:p>
        </w:tc>
        <w:tc>
          <w:tcPr>
            <w:tcW w:w="1644" w:type="dxa"/>
          </w:tcPr>
          <w:p w14:paraId="6CA023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67BC3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1644" w:type="dxa"/>
          </w:tcPr>
          <w:p w14:paraId="651424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1644" w:type="dxa"/>
          </w:tcPr>
          <w:p w14:paraId="50BCF1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7B7DE7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w:t>
            </w:r>
          </w:p>
        </w:tc>
      </w:tr>
    </w:tbl>
    <w:p w14:paraId="597EA3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 По вспомогательному 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E371BA" w:rsidRPr="00507A31" w14:paraId="3BD20B07" w14:textId="77777777">
        <w:tc>
          <w:tcPr>
            <w:tcW w:w="3345" w:type="dxa"/>
          </w:tcPr>
          <w:p w14:paraId="6A50C4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Специальные автомобили</w:t>
            </w:r>
          </w:p>
        </w:tc>
        <w:tc>
          <w:tcPr>
            <w:tcW w:w="1644" w:type="dxa"/>
          </w:tcPr>
          <w:p w14:paraId="378E26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6356C7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333EA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9AED0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2770A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3B1901D8" w14:textId="77777777">
        <w:tc>
          <w:tcPr>
            <w:tcW w:w="3345" w:type="dxa"/>
          </w:tcPr>
          <w:p w14:paraId="03FDDF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Аэросани</w:t>
            </w:r>
          </w:p>
        </w:tc>
        <w:tc>
          <w:tcPr>
            <w:tcW w:w="1644" w:type="dxa"/>
          </w:tcPr>
          <w:p w14:paraId="3D643D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498A42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5812F5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A6056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CEB54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15285EC8" w14:textId="77777777">
        <w:tc>
          <w:tcPr>
            <w:tcW w:w="3345" w:type="dxa"/>
          </w:tcPr>
          <w:p w14:paraId="49687E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Стартеры</w:t>
            </w:r>
          </w:p>
        </w:tc>
        <w:tc>
          <w:tcPr>
            <w:tcW w:w="1644" w:type="dxa"/>
          </w:tcPr>
          <w:p w14:paraId="48D950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53E06D98" w14:textId="77777777" w:rsidR="00537E5F" w:rsidRPr="00507A31" w:rsidRDefault="00537E5F" w:rsidP="00507A31">
            <w:pPr>
              <w:autoSpaceDE w:val="0"/>
              <w:autoSpaceDN w:val="0"/>
              <w:adjustRightInd w:val="0"/>
              <w:jc w:val="both"/>
              <w:rPr>
                <w:color w:val="000000" w:themeColor="text1"/>
                <w:sz w:val="16"/>
                <w:szCs w:val="16"/>
              </w:rPr>
            </w:pPr>
          </w:p>
        </w:tc>
        <w:tc>
          <w:tcPr>
            <w:tcW w:w="1644" w:type="dxa"/>
          </w:tcPr>
          <w:p w14:paraId="63D931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1E4D71DE" w14:textId="77777777" w:rsidR="00537E5F" w:rsidRPr="00507A31" w:rsidRDefault="00537E5F" w:rsidP="00507A31">
            <w:pPr>
              <w:autoSpaceDE w:val="0"/>
              <w:autoSpaceDN w:val="0"/>
              <w:adjustRightInd w:val="0"/>
              <w:jc w:val="both"/>
              <w:rPr>
                <w:color w:val="000000" w:themeColor="text1"/>
                <w:sz w:val="16"/>
                <w:szCs w:val="16"/>
              </w:rPr>
            </w:pPr>
          </w:p>
        </w:tc>
        <w:tc>
          <w:tcPr>
            <w:tcW w:w="1644" w:type="dxa"/>
          </w:tcPr>
          <w:p w14:paraId="1C160E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3FE2B54A" w14:textId="77777777">
        <w:tc>
          <w:tcPr>
            <w:tcW w:w="3345" w:type="dxa"/>
          </w:tcPr>
          <w:p w14:paraId="48C8D5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Специальные тележки отепл.</w:t>
            </w:r>
          </w:p>
        </w:tc>
        <w:tc>
          <w:tcPr>
            <w:tcW w:w="1644" w:type="dxa"/>
          </w:tcPr>
          <w:p w14:paraId="5BC1ED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39C352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1644" w:type="dxa"/>
          </w:tcPr>
          <w:p w14:paraId="153190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644" w:type="dxa"/>
          </w:tcPr>
          <w:p w14:paraId="297D9A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52AC87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5630703D" w14:textId="77777777">
        <w:tc>
          <w:tcPr>
            <w:tcW w:w="3345" w:type="dxa"/>
          </w:tcPr>
          <w:p w14:paraId="7751AE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Оборудование морских аэродромов:</w:t>
            </w:r>
          </w:p>
          <w:p w14:paraId="139A7D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плавучие доки</w:t>
            </w:r>
          </w:p>
          <w:p w14:paraId="28D50F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баржи для питания гидросамолетов</w:t>
            </w:r>
          </w:p>
          <w:p w14:paraId="10B202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катера</w:t>
            </w:r>
          </w:p>
        </w:tc>
        <w:tc>
          <w:tcPr>
            <w:tcW w:w="1644" w:type="dxa"/>
          </w:tcPr>
          <w:p w14:paraId="18286406" w14:textId="77777777" w:rsidR="00537E5F" w:rsidRPr="00507A31" w:rsidRDefault="00537E5F" w:rsidP="00507A31">
            <w:pPr>
              <w:autoSpaceDE w:val="0"/>
              <w:autoSpaceDN w:val="0"/>
              <w:adjustRightInd w:val="0"/>
              <w:jc w:val="both"/>
              <w:rPr>
                <w:color w:val="000000" w:themeColor="text1"/>
                <w:sz w:val="16"/>
                <w:szCs w:val="16"/>
              </w:rPr>
            </w:pPr>
          </w:p>
          <w:p w14:paraId="6091E6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584BC3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6DA0B5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970FD06" w14:textId="77777777" w:rsidR="00537E5F" w:rsidRPr="00507A31" w:rsidRDefault="00537E5F" w:rsidP="00507A31">
            <w:pPr>
              <w:autoSpaceDE w:val="0"/>
              <w:autoSpaceDN w:val="0"/>
              <w:adjustRightInd w:val="0"/>
              <w:jc w:val="both"/>
              <w:rPr>
                <w:color w:val="000000" w:themeColor="text1"/>
                <w:sz w:val="16"/>
                <w:szCs w:val="16"/>
              </w:rPr>
            </w:pPr>
          </w:p>
          <w:p w14:paraId="0EA7AF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5208EB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3B3059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8DA028B" w14:textId="77777777" w:rsidR="00537E5F" w:rsidRPr="00507A31" w:rsidRDefault="00537E5F" w:rsidP="00507A31">
            <w:pPr>
              <w:autoSpaceDE w:val="0"/>
              <w:autoSpaceDN w:val="0"/>
              <w:adjustRightInd w:val="0"/>
              <w:jc w:val="both"/>
              <w:rPr>
                <w:color w:val="000000" w:themeColor="text1"/>
                <w:sz w:val="16"/>
                <w:szCs w:val="16"/>
              </w:rPr>
            </w:pPr>
          </w:p>
          <w:p w14:paraId="6EA057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18401A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6E41A7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67C2C6CA" w14:textId="77777777" w:rsidR="00537E5F" w:rsidRPr="00507A31" w:rsidRDefault="00537E5F" w:rsidP="00507A31">
            <w:pPr>
              <w:autoSpaceDE w:val="0"/>
              <w:autoSpaceDN w:val="0"/>
              <w:adjustRightInd w:val="0"/>
              <w:jc w:val="both"/>
              <w:rPr>
                <w:color w:val="000000" w:themeColor="text1"/>
                <w:sz w:val="16"/>
                <w:szCs w:val="16"/>
              </w:rPr>
            </w:pPr>
          </w:p>
          <w:p w14:paraId="36511A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607A7E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564477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1BBA6A37" w14:textId="77777777" w:rsidR="00537E5F" w:rsidRPr="00507A31" w:rsidRDefault="00537E5F" w:rsidP="00507A31">
            <w:pPr>
              <w:autoSpaceDE w:val="0"/>
              <w:autoSpaceDN w:val="0"/>
              <w:adjustRightInd w:val="0"/>
              <w:jc w:val="both"/>
              <w:rPr>
                <w:color w:val="000000" w:themeColor="text1"/>
                <w:sz w:val="16"/>
                <w:szCs w:val="16"/>
              </w:rPr>
            </w:pPr>
          </w:p>
          <w:p w14:paraId="598977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09C019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p w14:paraId="29AFBE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r>
      <w:tr w:rsidR="00E371BA" w:rsidRPr="00507A31" w14:paraId="65912D80" w14:textId="77777777">
        <w:tc>
          <w:tcPr>
            <w:tcW w:w="3345" w:type="dxa"/>
          </w:tcPr>
          <w:p w14:paraId="1B4EC0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Вспомогательное аэродромное имущество:</w:t>
            </w:r>
          </w:p>
          <w:p w14:paraId="374A67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водомаслогрейки</w:t>
            </w:r>
          </w:p>
          <w:p w14:paraId="3C6167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спасательные пояса, спасательные лодки</w:t>
            </w:r>
          </w:p>
          <w:p w14:paraId="7FC594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подвижные краны</w:t>
            </w:r>
          </w:p>
        </w:tc>
        <w:tc>
          <w:tcPr>
            <w:tcW w:w="1644" w:type="dxa"/>
          </w:tcPr>
          <w:p w14:paraId="59E65DAF" w14:textId="77777777" w:rsidR="00537E5F" w:rsidRPr="00507A31" w:rsidRDefault="00537E5F" w:rsidP="00507A31">
            <w:pPr>
              <w:autoSpaceDE w:val="0"/>
              <w:autoSpaceDN w:val="0"/>
              <w:adjustRightInd w:val="0"/>
              <w:jc w:val="both"/>
              <w:rPr>
                <w:color w:val="000000" w:themeColor="text1"/>
                <w:sz w:val="16"/>
                <w:szCs w:val="16"/>
              </w:rPr>
            </w:pPr>
          </w:p>
          <w:p w14:paraId="75A4E7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52520D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p w14:paraId="30CB16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A1A776B" w14:textId="77777777" w:rsidR="00537E5F" w:rsidRPr="00507A31" w:rsidRDefault="00537E5F" w:rsidP="00507A31">
            <w:pPr>
              <w:autoSpaceDE w:val="0"/>
              <w:autoSpaceDN w:val="0"/>
              <w:adjustRightInd w:val="0"/>
              <w:jc w:val="both"/>
              <w:rPr>
                <w:color w:val="000000" w:themeColor="text1"/>
                <w:sz w:val="16"/>
                <w:szCs w:val="16"/>
              </w:rPr>
            </w:pPr>
          </w:p>
          <w:p w14:paraId="64643D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749D29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4C5854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39DE06C" w14:textId="77777777" w:rsidR="00537E5F" w:rsidRPr="00507A31" w:rsidRDefault="00537E5F" w:rsidP="00507A31">
            <w:pPr>
              <w:autoSpaceDE w:val="0"/>
              <w:autoSpaceDN w:val="0"/>
              <w:adjustRightInd w:val="0"/>
              <w:jc w:val="both"/>
              <w:rPr>
                <w:color w:val="000000" w:themeColor="text1"/>
                <w:sz w:val="16"/>
                <w:szCs w:val="16"/>
              </w:rPr>
            </w:pPr>
          </w:p>
          <w:p w14:paraId="0AB77D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3C5D4C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p w14:paraId="623F93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3C091C84" w14:textId="77777777" w:rsidR="00537E5F" w:rsidRPr="00507A31" w:rsidRDefault="00537E5F" w:rsidP="00507A31">
            <w:pPr>
              <w:autoSpaceDE w:val="0"/>
              <w:autoSpaceDN w:val="0"/>
              <w:adjustRightInd w:val="0"/>
              <w:jc w:val="both"/>
              <w:rPr>
                <w:color w:val="000000" w:themeColor="text1"/>
                <w:sz w:val="16"/>
                <w:szCs w:val="16"/>
              </w:rPr>
            </w:pPr>
          </w:p>
          <w:p w14:paraId="4497B7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0B57BD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4011AB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00E8EB22" w14:textId="77777777" w:rsidR="00537E5F" w:rsidRPr="00507A31" w:rsidRDefault="00537E5F" w:rsidP="00507A31">
            <w:pPr>
              <w:autoSpaceDE w:val="0"/>
              <w:autoSpaceDN w:val="0"/>
              <w:adjustRightInd w:val="0"/>
              <w:jc w:val="both"/>
              <w:rPr>
                <w:color w:val="000000" w:themeColor="text1"/>
                <w:sz w:val="16"/>
                <w:szCs w:val="16"/>
              </w:rPr>
            </w:pPr>
          </w:p>
          <w:p w14:paraId="029115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p w14:paraId="12F75D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p w14:paraId="36C2AD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34547D4A" w14:textId="77777777">
        <w:tc>
          <w:tcPr>
            <w:tcW w:w="3345" w:type="dxa"/>
          </w:tcPr>
          <w:p w14:paraId="0D8B82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Автомастерская на автомобилях</w:t>
            </w:r>
          </w:p>
        </w:tc>
        <w:tc>
          <w:tcPr>
            <w:tcW w:w="1644" w:type="dxa"/>
          </w:tcPr>
          <w:p w14:paraId="3C0FFF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4CC9CB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7484A3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644" w:type="dxa"/>
          </w:tcPr>
          <w:p w14:paraId="1F7A1A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44" w:type="dxa"/>
          </w:tcPr>
          <w:p w14:paraId="2A5FB2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bl>
    <w:p w14:paraId="28575F9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Расходы по осуществлению плана опытного строительства ВВС, указанного в п. 1 настоящего постановления, отнести за счет ВСНХ Союза.</w:t>
      </w:r>
    </w:p>
    <w:p w14:paraId="3AFA15C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Обязать Президиум ВСНХ по соглашению с НКВМ:</w:t>
      </w:r>
    </w:p>
    <w:p w14:paraId="2722D7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обеспечить опытные учреждения и заведения ежегодно полностью необходимыми специальными ассигнованиями как на конструирование и постройку объектов, перечисленных в плане, так и на исследовательские и экспериментальные работы и покупку иностранных образцов предметов вооружения и снабжения воздушного флота для их испытания и изучения;</w:t>
      </w:r>
    </w:p>
    <w:p w14:paraId="7EB5F4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в целях ускорения и сокращения сроков внедрения новых типов моторов, самолетов и других предметов опытного строительства воздушного флота в серийное производство, обеспечить изготовление рабочих чертежей, чертежей инструмента и приспособлений и др. документов, а равно моделей – одновременно и параллельно с постройкой опытных образцов.</w:t>
      </w:r>
    </w:p>
    <w:p w14:paraId="255F9C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расходы на изготовление рабочих чертежей, инструмента и приспособлений и моделей, необходимых для подготовки серийного производства, отнести на средства промышленности с последующим включением их в калькуляцию серийной продукции данного типа.</w:t>
      </w:r>
    </w:p>
    <w:p w14:paraId="6004440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Принять к сведению представленный ВСНХ финансовый план строительства на 1930-31 год (3625, 1-5).</w:t>
      </w:r>
    </w:p>
    <w:p w14:paraId="1EB3873C"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6857BA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апреля 1930 вышло постановление РЗ СТО (прот. 49) "О плане опытного строительства ВФ на 1929-1933 (1028,88)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170"/>
        <w:gridCol w:w="1170"/>
        <w:gridCol w:w="5173"/>
      </w:tblGrid>
      <w:tr w:rsidR="00E371BA" w:rsidRPr="00507A31" w14:paraId="58D6640E" w14:textId="77777777">
        <w:tc>
          <w:tcPr>
            <w:tcW w:w="2943" w:type="dxa"/>
          </w:tcPr>
          <w:p w14:paraId="08999E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w:t>
            </w:r>
          </w:p>
        </w:tc>
        <w:tc>
          <w:tcPr>
            <w:tcW w:w="1170" w:type="dxa"/>
          </w:tcPr>
          <w:p w14:paraId="085720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Исполнитель</w:t>
            </w:r>
          </w:p>
        </w:tc>
        <w:tc>
          <w:tcPr>
            <w:tcW w:w="1170" w:type="dxa"/>
          </w:tcPr>
          <w:p w14:paraId="118514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РЗ СТО</w:t>
            </w:r>
          </w:p>
        </w:tc>
        <w:tc>
          <w:tcPr>
            <w:tcW w:w="5173" w:type="dxa"/>
          </w:tcPr>
          <w:p w14:paraId="3960FC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исполнителя</w:t>
            </w:r>
          </w:p>
        </w:tc>
      </w:tr>
      <w:tr w:rsidR="00E371BA" w:rsidRPr="00507A31" w14:paraId="17159D67" w14:textId="77777777">
        <w:tc>
          <w:tcPr>
            <w:tcW w:w="2943" w:type="dxa"/>
          </w:tcPr>
          <w:p w14:paraId="33C947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Морские самолеты</w:t>
            </w:r>
          </w:p>
        </w:tc>
        <w:tc>
          <w:tcPr>
            <w:tcW w:w="1170" w:type="dxa"/>
          </w:tcPr>
          <w:p w14:paraId="4BC402FE" w14:textId="77777777" w:rsidR="00537E5F" w:rsidRPr="00507A31" w:rsidRDefault="00537E5F" w:rsidP="00507A31">
            <w:pPr>
              <w:autoSpaceDE w:val="0"/>
              <w:autoSpaceDN w:val="0"/>
              <w:adjustRightInd w:val="0"/>
              <w:jc w:val="both"/>
              <w:rPr>
                <w:color w:val="000000" w:themeColor="text1"/>
                <w:sz w:val="16"/>
                <w:szCs w:val="16"/>
              </w:rPr>
            </w:pPr>
          </w:p>
        </w:tc>
        <w:tc>
          <w:tcPr>
            <w:tcW w:w="1170" w:type="dxa"/>
          </w:tcPr>
          <w:p w14:paraId="39B3B14D" w14:textId="77777777" w:rsidR="00537E5F" w:rsidRPr="00507A31" w:rsidRDefault="00537E5F" w:rsidP="00507A31">
            <w:pPr>
              <w:autoSpaceDE w:val="0"/>
              <w:autoSpaceDN w:val="0"/>
              <w:adjustRightInd w:val="0"/>
              <w:jc w:val="both"/>
              <w:rPr>
                <w:color w:val="000000" w:themeColor="text1"/>
                <w:sz w:val="16"/>
                <w:szCs w:val="16"/>
              </w:rPr>
            </w:pPr>
          </w:p>
        </w:tc>
        <w:tc>
          <w:tcPr>
            <w:tcW w:w="5173" w:type="dxa"/>
          </w:tcPr>
          <w:p w14:paraId="3DA5A77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3987940" w14:textId="77777777">
        <w:tc>
          <w:tcPr>
            <w:tcW w:w="2943" w:type="dxa"/>
          </w:tcPr>
          <w:p w14:paraId="33443B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w:t>
            </w:r>
          </w:p>
        </w:tc>
        <w:tc>
          <w:tcPr>
            <w:tcW w:w="1170" w:type="dxa"/>
          </w:tcPr>
          <w:p w14:paraId="5BB906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64342F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01.07.1930</w:t>
            </w:r>
          </w:p>
        </w:tc>
        <w:tc>
          <w:tcPr>
            <w:tcW w:w="5173" w:type="dxa"/>
          </w:tcPr>
          <w:p w14:paraId="410ABA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01.08.1930</w:t>
            </w:r>
          </w:p>
        </w:tc>
      </w:tr>
      <w:tr w:rsidR="00E371BA" w:rsidRPr="00507A31" w14:paraId="51EFDCC1" w14:textId="77777777">
        <w:tc>
          <w:tcPr>
            <w:tcW w:w="2943" w:type="dxa"/>
          </w:tcPr>
          <w:p w14:paraId="1B706F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w:t>
            </w:r>
          </w:p>
        </w:tc>
        <w:tc>
          <w:tcPr>
            <w:tcW w:w="1170" w:type="dxa"/>
          </w:tcPr>
          <w:p w14:paraId="436242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2B9E52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01.11.1930</w:t>
            </w:r>
          </w:p>
        </w:tc>
        <w:tc>
          <w:tcPr>
            <w:tcW w:w="5173" w:type="dxa"/>
          </w:tcPr>
          <w:p w14:paraId="73DBCA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01.08.1931</w:t>
            </w:r>
          </w:p>
        </w:tc>
      </w:tr>
      <w:tr w:rsidR="00E371BA" w:rsidRPr="00507A31" w14:paraId="16105A1C" w14:textId="77777777">
        <w:tc>
          <w:tcPr>
            <w:tcW w:w="2943" w:type="dxa"/>
          </w:tcPr>
          <w:p w14:paraId="79F4B9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МДР-1</w:t>
            </w:r>
          </w:p>
        </w:tc>
        <w:tc>
          <w:tcPr>
            <w:tcW w:w="1170" w:type="dxa"/>
          </w:tcPr>
          <w:p w14:paraId="3C6FA2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21C91F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01.10.1930</w:t>
            </w:r>
          </w:p>
        </w:tc>
        <w:tc>
          <w:tcPr>
            <w:tcW w:w="5173" w:type="dxa"/>
          </w:tcPr>
          <w:p w14:paraId="3BBB28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01.12.1930</w:t>
            </w:r>
          </w:p>
        </w:tc>
      </w:tr>
      <w:tr w:rsidR="00E371BA" w:rsidRPr="00507A31" w14:paraId="7D4FE00A" w14:textId="77777777">
        <w:tc>
          <w:tcPr>
            <w:tcW w:w="2943" w:type="dxa"/>
          </w:tcPr>
          <w:p w14:paraId="0C5D9B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МДР-2</w:t>
            </w:r>
          </w:p>
        </w:tc>
        <w:tc>
          <w:tcPr>
            <w:tcW w:w="1170" w:type="dxa"/>
          </w:tcPr>
          <w:p w14:paraId="7E1C66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70" w:type="dxa"/>
          </w:tcPr>
          <w:p w14:paraId="229A70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01.11.1930</w:t>
            </w:r>
          </w:p>
        </w:tc>
        <w:tc>
          <w:tcPr>
            <w:tcW w:w="5173" w:type="dxa"/>
          </w:tcPr>
          <w:p w14:paraId="19E83B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01.12.1930</w:t>
            </w:r>
          </w:p>
        </w:tc>
      </w:tr>
      <w:tr w:rsidR="00E371BA" w:rsidRPr="00507A31" w14:paraId="454C4E6E" w14:textId="77777777">
        <w:tc>
          <w:tcPr>
            <w:tcW w:w="2943" w:type="dxa"/>
          </w:tcPr>
          <w:p w14:paraId="7C52E3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w:t>
            </w:r>
          </w:p>
        </w:tc>
        <w:tc>
          <w:tcPr>
            <w:tcW w:w="1170" w:type="dxa"/>
          </w:tcPr>
          <w:p w14:paraId="12FD1F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13AE7F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01.05.1931</w:t>
            </w:r>
          </w:p>
        </w:tc>
        <w:tc>
          <w:tcPr>
            <w:tcW w:w="5173" w:type="dxa"/>
          </w:tcPr>
          <w:p w14:paraId="286EFF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01.10.1931</w:t>
            </w:r>
          </w:p>
        </w:tc>
      </w:tr>
      <w:tr w:rsidR="00E371BA" w:rsidRPr="00507A31" w14:paraId="2FF86490" w14:textId="77777777">
        <w:tc>
          <w:tcPr>
            <w:tcW w:w="2943" w:type="dxa"/>
          </w:tcPr>
          <w:p w14:paraId="1B699A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w:t>
            </w:r>
          </w:p>
        </w:tc>
        <w:tc>
          <w:tcPr>
            <w:tcW w:w="1170" w:type="dxa"/>
          </w:tcPr>
          <w:p w14:paraId="3D5E66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699910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01.11.1930</w:t>
            </w:r>
          </w:p>
        </w:tc>
        <w:tc>
          <w:tcPr>
            <w:tcW w:w="5173" w:type="dxa"/>
          </w:tcPr>
          <w:p w14:paraId="302900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01.11.1930</w:t>
            </w:r>
          </w:p>
        </w:tc>
      </w:tr>
      <w:tr w:rsidR="00E371BA" w:rsidRPr="00507A31" w14:paraId="1BAA06E8" w14:textId="77777777">
        <w:tc>
          <w:tcPr>
            <w:tcW w:w="2943" w:type="dxa"/>
          </w:tcPr>
          <w:p w14:paraId="6736B4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w:t>
            </w:r>
          </w:p>
        </w:tc>
        <w:tc>
          <w:tcPr>
            <w:tcW w:w="1170" w:type="dxa"/>
          </w:tcPr>
          <w:p w14:paraId="38AC7B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4C19D8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01.01.1931</w:t>
            </w:r>
          </w:p>
        </w:tc>
        <w:tc>
          <w:tcPr>
            <w:tcW w:w="5173" w:type="dxa"/>
          </w:tcPr>
          <w:p w14:paraId="16A038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01.03.1932</w:t>
            </w:r>
          </w:p>
        </w:tc>
      </w:tr>
      <w:tr w:rsidR="00E371BA" w:rsidRPr="00507A31" w14:paraId="2D5CB94C" w14:textId="77777777">
        <w:tc>
          <w:tcPr>
            <w:tcW w:w="2943" w:type="dxa"/>
          </w:tcPr>
          <w:p w14:paraId="64D7BA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МТБ-3</w:t>
            </w:r>
          </w:p>
        </w:tc>
        <w:tc>
          <w:tcPr>
            <w:tcW w:w="1170" w:type="dxa"/>
          </w:tcPr>
          <w:p w14:paraId="431B11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70" w:type="dxa"/>
          </w:tcPr>
          <w:p w14:paraId="00747F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01.01.1932</w:t>
            </w:r>
          </w:p>
        </w:tc>
        <w:tc>
          <w:tcPr>
            <w:tcW w:w="5173" w:type="dxa"/>
          </w:tcPr>
          <w:p w14:paraId="105BD0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01.01.1933</w:t>
            </w:r>
          </w:p>
        </w:tc>
      </w:tr>
      <w:tr w:rsidR="00E371BA" w:rsidRPr="00507A31" w14:paraId="27CDA25D" w14:textId="77777777">
        <w:tc>
          <w:tcPr>
            <w:tcW w:w="2943" w:type="dxa"/>
          </w:tcPr>
          <w:p w14:paraId="593D52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w:t>
            </w:r>
          </w:p>
        </w:tc>
        <w:tc>
          <w:tcPr>
            <w:tcW w:w="1170" w:type="dxa"/>
          </w:tcPr>
          <w:p w14:paraId="2086FF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70" w:type="dxa"/>
          </w:tcPr>
          <w:p w14:paraId="75F63E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01.01.1932</w:t>
            </w:r>
          </w:p>
        </w:tc>
        <w:tc>
          <w:tcPr>
            <w:tcW w:w="5173" w:type="dxa"/>
          </w:tcPr>
          <w:p w14:paraId="02BD00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01.01.1933</w:t>
            </w:r>
          </w:p>
        </w:tc>
      </w:tr>
      <w:tr w:rsidR="00E371BA" w:rsidRPr="00507A31" w14:paraId="6387BEDB" w14:textId="77777777">
        <w:tc>
          <w:tcPr>
            <w:tcW w:w="2943" w:type="dxa"/>
          </w:tcPr>
          <w:p w14:paraId="16DA92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w:t>
            </w:r>
          </w:p>
        </w:tc>
        <w:tc>
          <w:tcPr>
            <w:tcW w:w="1170" w:type="dxa"/>
          </w:tcPr>
          <w:p w14:paraId="5A2098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70" w:type="dxa"/>
          </w:tcPr>
          <w:p w14:paraId="2F7B69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01.04.1931</w:t>
            </w:r>
          </w:p>
        </w:tc>
        <w:tc>
          <w:tcPr>
            <w:tcW w:w="5173" w:type="dxa"/>
          </w:tcPr>
          <w:p w14:paraId="2C8ACA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01.06.1930</w:t>
            </w:r>
          </w:p>
        </w:tc>
      </w:tr>
      <w:tr w:rsidR="00E371BA" w:rsidRPr="00507A31" w14:paraId="548A1A03" w14:textId="77777777">
        <w:tc>
          <w:tcPr>
            <w:tcW w:w="2943" w:type="dxa"/>
          </w:tcPr>
          <w:p w14:paraId="69B1CB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А-1</w:t>
            </w:r>
          </w:p>
        </w:tc>
        <w:tc>
          <w:tcPr>
            <w:tcW w:w="1170" w:type="dxa"/>
          </w:tcPr>
          <w:p w14:paraId="64D4DA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70" w:type="dxa"/>
          </w:tcPr>
          <w:p w14:paraId="54DCAC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01.07.1931</w:t>
            </w:r>
          </w:p>
        </w:tc>
        <w:tc>
          <w:tcPr>
            <w:tcW w:w="5173" w:type="dxa"/>
          </w:tcPr>
          <w:p w14:paraId="30C018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01.07.1931</w:t>
            </w:r>
          </w:p>
        </w:tc>
      </w:tr>
      <w:tr w:rsidR="00E371BA" w:rsidRPr="00507A31" w14:paraId="4806AC73" w14:textId="77777777">
        <w:tc>
          <w:tcPr>
            <w:tcW w:w="2943" w:type="dxa"/>
          </w:tcPr>
          <w:p w14:paraId="5114C8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Сухопутные самолеты</w:t>
            </w:r>
          </w:p>
        </w:tc>
        <w:tc>
          <w:tcPr>
            <w:tcW w:w="1170" w:type="dxa"/>
          </w:tcPr>
          <w:p w14:paraId="256EB0CE" w14:textId="77777777" w:rsidR="00537E5F" w:rsidRPr="00507A31" w:rsidRDefault="00537E5F" w:rsidP="00507A31">
            <w:pPr>
              <w:autoSpaceDE w:val="0"/>
              <w:autoSpaceDN w:val="0"/>
              <w:adjustRightInd w:val="0"/>
              <w:jc w:val="both"/>
              <w:rPr>
                <w:color w:val="000000" w:themeColor="text1"/>
                <w:sz w:val="16"/>
                <w:szCs w:val="16"/>
              </w:rPr>
            </w:pPr>
          </w:p>
        </w:tc>
        <w:tc>
          <w:tcPr>
            <w:tcW w:w="1170" w:type="dxa"/>
          </w:tcPr>
          <w:p w14:paraId="22819918" w14:textId="77777777" w:rsidR="00537E5F" w:rsidRPr="00507A31" w:rsidRDefault="00537E5F" w:rsidP="00507A31">
            <w:pPr>
              <w:autoSpaceDE w:val="0"/>
              <w:autoSpaceDN w:val="0"/>
              <w:adjustRightInd w:val="0"/>
              <w:jc w:val="both"/>
              <w:rPr>
                <w:color w:val="000000" w:themeColor="text1"/>
                <w:sz w:val="16"/>
                <w:szCs w:val="16"/>
              </w:rPr>
            </w:pPr>
          </w:p>
        </w:tc>
        <w:tc>
          <w:tcPr>
            <w:tcW w:w="5173" w:type="dxa"/>
          </w:tcPr>
          <w:p w14:paraId="60DAE16B"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063E698" w14:textId="77777777">
        <w:tc>
          <w:tcPr>
            <w:tcW w:w="2943" w:type="dxa"/>
          </w:tcPr>
          <w:p w14:paraId="431284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w:t>
            </w:r>
          </w:p>
        </w:tc>
        <w:tc>
          <w:tcPr>
            <w:tcW w:w="1170" w:type="dxa"/>
          </w:tcPr>
          <w:p w14:paraId="387DA2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46C3CC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01.05.1930</w:t>
            </w:r>
          </w:p>
        </w:tc>
        <w:tc>
          <w:tcPr>
            <w:tcW w:w="5173" w:type="dxa"/>
          </w:tcPr>
          <w:p w14:paraId="608DF1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01.06.1930</w:t>
            </w:r>
          </w:p>
        </w:tc>
      </w:tr>
      <w:tr w:rsidR="00E371BA" w:rsidRPr="00507A31" w14:paraId="271DA988" w14:textId="77777777">
        <w:tc>
          <w:tcPr>
            <w:tcW w:w="2943" w:type="dxa"/>
          </w:tcPr>
          <w:p w14:paraId="53921B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ТБ-3</w:t>
            </w:r>
          </w:p>
        </w:tc>
        <w:tc>
          <w:tcPr>
            <w:tcW w:w="1170" w:type="dxa"/>
          </w:tcPr>
          <w:p w14:paraId="272D46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70" w:type="dxa"/>
          </w:tcPr>
          <w:p w14:paraId="0EED5F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01.07.1930</w:t>
            </w:r>
          </w:p>
        </w:tc>
        <w:tc>
          <w:tcPr>
            <w:tcW w:w="5173" w:type="dxa"/>
          </w:tcPr>
          <w:p w14:paraId="437629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01.08.1930</w:t>
            </w:r>
          </w:p>
        </w:tc>
      </w:tr>
      <w:tr w:rsidR="00E371BA" w:rsidRPr="00507A31" w14:paraId="75AA597D" w14:textId="77777777">
        <w:tc>
          <w:tcPr>
            <w:tcW w:w="2943" w:type="dxa"/>
          </w:tcPr>
          <w:p w14:paraId="37FD8A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ТБ-4</w:t>
            </w:r>
          </w:p>
        </w:tc>
        <w:tc>
          <w:tcPr>
            <w:tcW w:w="1170" w:type="dxa"/>
          </w:tcPr>
          <w:p w14:paraId="14BAA7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70" w:type="dxa"/>
          </w:tcPr>
          <w:p w14:paraId="57C956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01.05.1931</w:t>
            </w:r>
          </w:p>
        </w:tc>
        <w:tc>
          <w:tcPr>
            <w:tcW w:w="5173" w:type="dxa"/>
          </w:tcPr>
          <w:p w14:paraId="62190A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01.12.1931</w:t>
            </w:r>
          </w:p>
        </w:tc>
      </w:tr>
      <w:tr w:rsidR="00E371BA" w:rsidRPr="00507A31" w14:paraId="3D3A763F" w14:textId="77777777">
        <w:tc>
          <w:tcPr>
            <w:tcW w:w="2943" w:type="dxa"/>
          </w:tcPr>
          <w:p w14:paraId="23380B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ТШ-1</w:t>
            </w:r>
          </w:p>
        </w:tc>
        <w:tc>
          <w:tcPr>
            <w:tcW w:w="1170" w:type="dxa"/>
          </w:tcPr>
          <w:p w14:paraId="3818F1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70" w:type="dxa"/>
          </w:tcPr>
          <w:p w14:paraId="30026C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01.05.1931</w:t>
            </w:r>
          </w:p>
        </w:tc>
        <w:tc>
          <w:tcPr>
            <w:tcW w:w="5173" w:type="dxa"/>
          </w:tcPr>
          <w:p w14:paraId="680FB2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01.05.1931</w:t>
            </w:r>
          </w:p>
        </w:tc>
      </w:tr>
      <w:tr w:rsidR="00E371BA" w:rsidRPr="00507A31" w14:paraId="161DA602" w14:textId="77777777">
        <w:tc>
          <w:tcPr>
            <w:tcW w:w="2943" w:type="dxa"/>
          </w:tcPr>
          <w:p w14:paraId="06D72E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w:t>
            </w:r>
          </w:p>
        </w:tc>
        <w:tc>
          <w:tcPr>
            <w:tcW w:w="1170" w:type="dxa"/>
          </w:tcPr>
          <w:p w14:paraId="0816EF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72F574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01.05.1931</w:t>
            </w:r>
          </w:p>
        </w:tc>
        <w:tc>
          <w:tcPr>
            <w:tcW w:w="5173" w:type="dxa"/>
          </w:tcPr>
          <w:p w14:paraId="4D8F86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01.05.1931</w:t>
            </w:r>
          </w:p>
        </w:tc>
      </w:tr>
      <w:tr w:rsidR="00E371BA" w:rsidRPr="00507A31" w14:paraId="692F487D" w14:textId="77777777">
        <w:tc>
          <w:tcPr>
            <w:tcW w:w="2943" w:type="dxa"/>
          </w:tcPr>
          <w:p w14:paraId="0A7658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Р-9</w:t>
            </w:r>
          </w:p>
        </w:tc>
        <w:tc>
          <w:tcPr>
            <w:tcW w:w="1170" w:type="dxa"/>
          </w:tcPr>
          <w:p w14:paraId="791B81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2F4887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01.11.1932</w:t>
            </w:r>
          </w:p>
        </w:tc>
        <w:tc>
          <w:tcPr>
            <w:tcW w:w="5173" w:type="dxa"/>
          </w:tcPr>
          <w:p w14:paraId="0C7E6D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01.11.1932</w:t>
            </w:r>
          </w:p>
        </w:tc>
      </w:tr>
      <w:tr w:rsidR="00E371BA" w:rsidRPr="00507A31" w14:paraId="79070658" w14:textId="77777777">
        <w:tc>
          <w:tcPr>
            <w:tcW w:w="2943" w:type="dxa"/>
          </w:tcPr>
          <w:p w14:paraId="55FCC7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МИ-3</w:t>
            </w:r>
          </w:p>
        </w:tc>
        <w:tc>
          <w:tcPr>
            <w:tcW w:w="1170" w:type="dxa"/>
          </w:tcPr>
          <w:p w14:paraId="5D8D3F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70" w:type="dxa"/>
          </w:tcPr>
          <w:p w14:paraId="0ECC20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01.07.1932</w:t>
            </w:r>
          </w:p>
        </w:tc>
        <w:tc>
          <w:tcPr>
            <w:tcW w:w="5173" w:type="dxa"/>
          </w:tcPr>
          <w:p w14:paraId="480B6A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01.06.1932</w:t>
            </w:r>
          </w:p>
        </w:tc>
      </w:tr>
      <w:tr w:rsidR="00E371BA" w:rsidRPr="00507A31" w14:paraId="70903F6F" w14:textId="77777777">
        <w:tc>
          <w:tcPr>
            <w:tcW w:w="2943" w:type="dxa"/>
          </w:tcPr>
          <w:p w14:paraId="1D8B45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ДИ-2</w:t>
            </w:r>
          </w:p>
        </w:tc>
        <w:tc>
          <w:tcPr>
            <w:tcW w:w="1170" w:type="dxa"/>
          </w:tcPr>
          <w:p w14:paraId="030819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68C45E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01.05.1930</w:t>
            </w:r>
          </w:p>
        </w:tc>
        <w:tc>
          <w:tcPr>
            <w:tcW w:w="5173" w:type="dxa"/>
          </w:tcPr>
          <w:p w14:paraId="507340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15.06.1930</w:t>
            </w:r>
          </w:p>
        </w:tc>
      </w:tr>
      <w:tr w:rsidR="00E371BA" w:rsidRPr="00507A31" w14:paraId="6EE14F48" w14:textId="77777777">
        <w:tc>
          <w:tcPr>
            <w:tcW w:w="2943" w:type="dxa"/>
          </w:tcPr>
          <w:p w14:paraId="68DE81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ДИ-3</w:t>
            </w:r>
          </w:p>
        </w:tc>
        <w:tc>
          <w:tcPr>
            <w:tcW w:w="1170" w:type="dxa"/>
          </w:tcPr>
          <w:p w14:paraId="3B1185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70" w:type="dxa"/>
          </w:tcPr>
          <w:p w14:paraId="2A313A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01.02.1931</w:t>
            </w:r>
          </w:p>
        </w:tc>
        <w:tc>
          <w:tcPr>
            <w:tcW w:w="5173" w:type="dxa"/>
          </w:tcPr>
          <w:p w14:paraId="3DAB47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01.01.1931</w:t>
            </w:r>
          </w:p>
        </w:tc>
      </w:tr>
      <w:tr w:rsidR="00E371BA" w:rsidRPr="00507A31" w14:paraId="2B30444C" w14:textId="77777777">
        <w:tc>
          <w:tcPr>
            <w:tcW w:w="2943" w:type="dxa"/>
          </w:tcPr>
          <w:p w14:paraId="54AB80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w:t>
            </w:r>
          </w:p>
        </w:tc>
        <w:tc>
          <w:tcPr>
            <w:tcW w:w="1170" w:type="dxa"/>
          </w:tcPr>
          <w:p w14:paraId="525C7F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4194AA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01.10.1931</w:t>
            </w:r>
          </w:p>
        </w:tc>
        <w:tc>
          <w:tcPr>
            <w:tcW w:w="5173" w:type="dxa"/>
          </w:tcPr>
          <w:p w14:paraId="7F4C3F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01.10.1931</w:t>
            </w:r>
          </w:p>
        </w:tc>
      </w:tr>
      <w:tr w:rsidR="00E371BA" w:rsidRPr="00507A31" w14:paraId="3C0FA54B" w14:textId="77777777">
        <w:tc>
          <w:tcPr>
            <w:tcW w:w="2943" w:type="dxa"/>
          </w:tcPr>
          <w:p w14:paraId="75B8D3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w:t>
            </w:r>
          </w:p>
        </w:tc>
        <w:tc>
          <w:tcPr>
            <w:tcW w:w="1170" w:type="dxa"/>
          </w:tcPr>
          <w:p w14:paraId="4E8A4E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2AF9EB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01.07.1930</w:t>
            </w:r>
          </w:p>
        </w:tc>
        <w:tc>
          <w:tcPr>
            <w:tcW w:w="5173" w:type="dxa"/>
          </w:tcPr>
          <w:p w14:paraId="50CBF8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01.07.1930</w:t>
            </w:r>
          </w:p>
        </w:tc>
      </w:tr>
      <w:tr w:rsidR="00E371BA" w:rsidRPr="00507A31" w14:paraId="093A2B9D" w14:textId="77777777">
        <w:tc>
          <w:tcPr>
            <w:tcW w:w="2943" w:type="dxa"/>
          </w:tcPr>
          <w:p w14:paraId="3F44FA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w:t>
            </w:r>
          </w:p>
        </w:tc>
        <w:tc>
          <w:tcPr>
            <w:tcW w:w="1170" w:type="dxa"/>
          </w:tcPr>
          <w:p w14:paraId="54517C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552E19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01.12.1930</w:t>
            </w:r>
          </w:p>
        </w:tc>
        <w:tc>
          <w:tcPr>
            <w:tcW w:w="5173" w:type="dxa"/>
          </w:tcPr>
          <w:p w14:paraId="649D7F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01.12.1930</w:t>
            </w:r>
          </w:p>
        </w:tc>
      </w:tr>
      <w:tr w:rsidR="00E371BA" w:rsidRPr="00507A31" w14:paraId="4C625E52" w14:textId="77777777">
        <w:tc>
          <w:tcPr>
            <w:tcW w:w="2943" w:type="dxa"/>
          </w:tcPr>
          <w:p w14:paraId="17A7D1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И-8</w:t>
            </w:r>
          </w:p>
        </w:tc>
        <w:tc>
          <w:tcPr>
            <w:tcW w:w="1170" w:type="dxa"/>
          </w:tcPr>
          <w:p w14:paraId="1C0E56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6D22B7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01.11.1930</w:t>
            </w:r>
          </w:p>
        </w:tc>
        <w:tc>
          <w:tcPr>
            <w:tcW w:w="5173" w:type="dxa"/>
          </w:tcPr>
          <w:p w14:paraId="67F8BC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15.08.1930</w:t>
            </w:r>
          </w:p>
        </w:tc>
      </w:tr>
      <w:tr w:rsidR="00E371BA" w:rsidRPr="00507A31" w14:paraId="48374649" w14:textId="77777777">
        <w:tc>
          <w:tcPr>
            <w:tcW w:w="2943" w:type="dxa"/>
          </w:tcPr>
          <w:p w14:paraId="74C941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w:t>
            </w:r>
          </w:p>
        </w:tc>
        <w:tc>
          <w:tcPr>
            <w:tcW w:w="1170" w:type="dxa"/>
          </w:tcPr>
          <w:p w14:paraId="67ECA4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7C78CA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01.03.1931</w:t>
            </w:r>
          </w:p>
        </w:tc>
        <w:tc>
          <w:tcPr>
            <w:tcW w:w="5173" w:type="dxa"/>
          </w:tcPr>
          <w:p w14:paraId="410A6E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01.03.1931</w:t>
            </w:r>
          </w:p>
        </w:tc>
      </w:tr>
      <w:tr w:rsidR="00E371BA" w:rsidRPr="00507A31" w14:paraId="09B2AF4C" w14:textId="77777777">
        <w:tc>
          <w:tcPr>
            <w:tcW w:w="2943" w:type="dxa"/>
          </w:tcPr>
          <w:p w14:paraId="0B903A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И-11</w:t>
            </w:r>
          </w:p>
        </w:tc>
        <w:tc>
          <w:tcPr>
            <w:tcW w:w="1170" w:type="dxa"/>
          </w:tcPr>
          <w:p w14:paraId="371110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70" w:type="dxa"/>
          </w:tcPr>
          <w:p w14:paraId="24A43C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01.11.1932</w:t>
            </w:r>
          </w:p>
        </w:tc>
        <w:tc>
          <w:tcPr>
            <w:tcW w:w="5173" w:type="dxa"/>
          </w:tcPr>
          <w:p w14:paraId="4BB56A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01.11.1932</w:t>
            </w:r>
          </w:p>
        </w:tc>
      </w:tr>
      <w:tr w:rsidR="00E371BA" w:rsidRPr="00507A31" w14:paraId="5AB3D8AE" w14:textId="77777777">
        <w:tc>
          <w:tcPr>
            <w:tcW w:w="2943" w:type="dxa"/>
          </w:tcPr>
          <w:p w14:paraId="26FBB5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Моторостроение</w:t>
            </w:r>
          </w:p>
        </w:tc>
        <w:tc>
          <w:tcPr>
            <w:tcW w:w="1170" w:type="dxa"/>
          </w:tcPr>
          <w:p w14:paraId="215C8CC9" w14:textId="77777777" w:rsidR="00537E5F" w:rsidRPr="00507A31" w:rsidRDefault="00537E5F" w:rsidP="00507A31">
            <w:pPr>
              <w:autoSpaceDE w:val="0"/>
              <w:autoSpaceDN w:val="0"/>
              <w:adjustRightInd w:val="0"/>
              <w:jc w:val="both"/>
              <w:rPr>
                <w:color w:val="000000" w:themeColor="text1"/>
                <w:sz w:val="16"/>
                <w:szCs w:val="16"/>
              </w:rPr>
            </w:pPr>
          </w:p>
        </w:tc>
        <w:tc>
          <w:tcPr>
            <w:tcW w:w="1170" w:type="dxa"/>
          </w:tcPr>
          <w:p w14:paraId="7691BA2E" w14:textId="77777777" w:rsidR="00537E5F" w:rsidRPr="00507A31" w:rsidRDefault="00537E5F" w:rsidP="00507A31">
            <w:pPr>
              <w:autoSpaceDE w:val="0"/>
              <w:autoSpaceDN w:val="0"/>
              <w:adjustRightInd w:val="0"/>
              <w:jc w:val="both"/>
              <w:rPr>
                <w:color w:val="000000" w:themeColor="text1"/>
                <w:sz w:val="16"/>
                <w:szCs w:val="16"/>
              </w:rPr>
            </w:pPr>
          </w:p>
        </w:tc>
        <w:tc>
          <w:tcPr>
            <w:tcW w:w="5173" w:type="dxa"/>
          </w:tcPr>
          <w:p w14:paraId="4FA07BA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D9694A3" w14:textId="77777777">
        <w:tc>
          <w:tcPr>
            <w:tcW w:w="2943" w:type="dxa"/>
          </w:tcPr>
          <w:p w14:paraId="408C7B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М35-1250</w:t>
            </w:r>
          </w:p>
        </w:tc>
        <w:tc>
          <w:tcPr>
            <w:tcW w:w="1170" w:type="dxa"/>
          </w:tcPr>
          <w:p w14:paraId="6868EE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1C9B2A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01.06.1931</w:t>
            </w:r>
          </w:p>
        </w:tc>
        <w:tc>
          <w:tcPr>
            <w:tcW w:w="5173" w:type="dxa"/>
          </w:tcPr>
          <w:p w14:paraId="07B609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79FE865F" w14:textId="77777777">
        <w:tc>
          <w:tcPr>
            <w:tcW w:w="2943" w:type="dxa"/>
          </w:tcPr>
          <w:p w14:paraId="44D133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М32-600</w:t>
            </w:r>
          </w:p>
        </w:tc>
        <w:tc>
          <w:tcPr>
            <w:tcW w:w="1170" w:type="dxa"/>
          </w:tcPr>
          <w:p w14:paraId="28A0E4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3F7552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01.01.1931</w:t>
            </w:r>
          </w:p>
        </w:tc>
        <w:tc>
          <w:tcPr>
            <w:tcW w:w="5173" w:type="dxa"/>
          </w:tcPr>
          <w:p w14:paraId="12E519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01.05.1931</w:t>
            </w:r>
          </w:p>
        </w:tc>
      </w:tr>
      <w:tr w:rsidR="00E371BA" w:rsidRPr="00507A31" w14:paraId="3100C662" w14:textId="77777777">
        <w:tc>
          <w:tcPr>
            <w:tcW w:w="2943" w:type="dxa"/>
          </w:tcPr>
          <w:p w14:paraId="3475E0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М38-600</w:t>
            </w:r>
          </w:p>
        </w:tc>
        <w:tc>
          <w:tcPr>
            <w:tcW w:w="1170" w:type="dxa"/>
          </w:tcPr>
          <w:p w14:paraId="292D92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5449BC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01.01.1931</w:t>
            </w:r>
          </w:p>
        </w:tc>
        <w:tc>
          <w:tcPr>
            <w:tcW w:w="5173" w:type="dxa"/>
          </w:tcPr>
          <w:p w14:paraId="2BD1F7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01.05.1931</w:t>
            </w:r>
          </w:p>
        </w:tc>
      </w:tr>
      <w:tr w:rsidR="00E371BA" w:rsidRPr="00507A31" w14:paraId="710C4438" w14:textId="77777777">
        <w:tc>
          <w:tcPr>
            <w:tcW w:w="2943" w:type="dxa"/>
          </w:tcPr>
          <w:p w14:paraId="05C76A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М26-300</w:t>
            </w:r>
          </w:p>
        </w:tc>
        <w:tc>
          <w:tcPr>
            <w:tcW w:w="1170" w:type="dxa"/>
          </w:tcPr>
          <w:p w14:paraId="4E5551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70" w:type="dxa"/>
          </w:tcPr>
          <w:p w14:paraId="3A2C70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01.06.1930</w:t>
            </w:r>
          </w:p>
        </w:tc>
        <w:tc>
          <w:tcPr>
            <w:tcW w:w="5173" w:type="dxa"/>
          </w:tcPr>
          <w:p w14:paraId="55D896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01.06.1930</w:t>
            </w:r>
          </w:p>
        </w:tc>
      </w:tr>
      <w:tr w:rsidR="00E371BA" w:rsidRPr="00507A31" w14:paraId="6D5A5FEC" w14:textId="77777777">
        <w:tc>
          <w:tcPr>
            <w:tcW w:w="2943" w:type="dxa"/>
          </w:tcPr>
          <w:p w14:paraId="7EA216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М34-750</w:t>
            </w:r>
          </w:p>
        </w:tc>
        <w:tc>
          <w:tcPr>
            <w:tcW w:w="1170" w:type="dxa"/>
          </w:tcPr>
          <w:p w14:paraId="2B46E8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НАМИ</w:t>
            </w:r>
          </w:p>
        </w:tc>
        <w:tc>
          <w:tcPr>
            <w:tcW w:w="1170" w:type="dxa"/>
          </w:tcPr>
          <w:p w14:paraId="5A4003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01.01.1931</w:t>
            </w:r>
          </w:p>
        </w:tc>
        <w:tc>
          <w:tcPr>
            <w:tcW w:w="5173" w:type="dxa"/>
          </w:tcPr>
          <w:p w14:paraId="64DF80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01.05.1931</w:t>
            </w:r>
          </w:p>
        </w:tc>
      </w:tr>
    </w:tbl>
    <w:p w14:paraId="3F1EC058" w14:textId="77777777" w:rsidR="00537E5F" w:rsidRPr="00507A31" w:rsidRDefault="00537E5F" w:rsidP="00507A31">
      <w:pPr>
        <w:autoSpaceDE w:val="0"/>
        <w:autoSpaceDN w:val="0"/>
        <w:adjustRightInd w:val="0"/>
        <w:jc w:val="both"/>
        <w:rPr>
          <w:color w:val="000000" w:themeColor="text1"/>
          <w:sz w:val="16"/>
          <w:szCs w:val="16"/>
        </w:rPr>
      </w:pPr>
    </w:p>
    <w:p w14:paraId="19C5C1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апреля 1930 в ЦАГИ введен в эксплуатацию гидроканал (274).</w:t>
      </w:r>
    </w:p>
    <w:p w14:paraId="528E6ADF" w14:textId="77777777" w:rsidR="00537E5F" w:rsidRPr="00507A31" w:rsidRDefault="00537E5F" w:rsidP="00507A31">
      <w:pPr>
        <w:autoSpaceDE w:val="0"/>
        <w:autoSpaceDN w:val="0"/>
        <w:adjustRightInd w:val="0"/>
        <w:jc w:val="both"/>
        <w:rPr>
          <w:color w:val="000000" w:themeColor="text1"/>
          <w:sz w:val="16"/>
          <w:szCs w:val="16"/>
        </w:rPr>
      </w:pPr>
    </w:p>
    <w:p w14:paraId="3CA6D816" w14:textId="77777777" w:rsidR="00570E22" w:rsidRPr="00507A31" w:rsidRDefault="00570E22" w:rsidP="00507A31">
      <w:pPr>
        <w:pStyle w:val="ae"/>
        <w:spacing w:before="0" w:after="0"/>
        <w:jc w:val="both"/>
        <w:rPr>
          <w:color w:val="000000" w:themeColor="text1"/>
          <w:sz w:val="16"/>
          <w:szCs w:val="16"/>
        </w:rPr>
      </w:pPr>
      <w:r w:rsidRPr="00507A31">
        <w:rPr>
          <w:color w:val="000000" w:themeColor="text1"/>
          <w:sz w:val="16"/>
          <w:szCs w:val="16"/>
        </w:rPr>
        <w:t xml:space="preserve">30 апреля 1930 года гидроканал ЦАГИ был запущен в работу, и уже через несколько недель здесь начались исследования. </w:t>
      </w:r>
    </w:p>
    <w:p w14:paraId="67BC8D1F" w14:textId="77777777" w:rsidR="00570E22" w:rsidRPr="00507A31" w:rsidRDefault="00570E22" w:rsidP="00507A31">
      <w:pPr>
        <w:pStyle w:val="ae"/>
        <w:spacing w:before="0" w:after="0"/>
        <w:jc w:val="both"/>
        <w:rPr>
          <w:color w:val="000000" w:themeColor="text1"/>
          <w:sz w:val="16"/>
          <w:szCs w:val="16"/>
        </w:rPr>
      </w:pPr>
      <w:r w:rsidRPr="00507A31">
        <w:rPr>
          <w:color w:val="000000" w:themeColor="text1"/>
          <w:sz w:val="16"/>
          <w:szCs w:val="16"/>
        </w:rPr>
        <w:t xml:space="preserve">25 июня 1925 года Президиум Госплана постановил «… немедленно приступить к строительству при </w:t>
      </w:r>
      <w:bookmarkStart w:id="42" w:name="YANDEX_5"/>
      <w:bookmarkEnd w:id="42"/>
      <w:r w:rsidRPr="00507A31">
        <w:rPr>
          <w:rStyle w:val="highlight"/>
          <w:color w:val="000000" w:themeColor="text1"/>
          <w:sz w:val="16"/>
          <w:szCs w:val="16"/>
        </w:rPr>
        <w:t> ЦАГИ </w:t>
      </w:r>
      <w:r w:rsidRPr="00507A31">
        <w:rPr>
          <w:color w:val="000000" w:themeColor="text1"/>
          <w:sz w:val="16"/>
          <w:szCs w:val="16"/>
        </w:rPr>
        <w:t xml:space="preserve"> гидродинамической лаборатории для обслуживания в первую очередь отечественного гидропланостроения, судостроения и постройки турбин».</w:t>
      </w:r>
    </w:p>
    <w:p w14:paraId="477EC2E4" w14:textId="77777777" w:rsidR="00570E22" w:rsidRPr="00507A31" w:rsidRDefault="00570E22" w:rsidP="00507A31">
      <w:pPr>
        <w:pStyle w:val="ae"/>
        <w:spacing w:before="0" w:after="0"/>
        <w:jc w:val="both"/>
        <w:rPr>
          <w:color w:val="000000" w:themeColor="text1"/>
          <w:sz w:val="16"/>
          <w:szCs w:val="16"/>
        </w:rPr>
      </w:pPr>
      <w:r w:rsidRPr="00507A31">
        <w:rPr>
          <w:color w:val="000000" w:themeColor="text1"/>
          <w:sz w:val="16"/>
          <w:szCs w:val="16"/>
        </w:rPr>
        <w:t>В январе 1927 года канал ЦАГИ был заполнен водой. 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w:t>
      </w:r>
    </w:p>
    <w:p w14:paraId="65077C7E" w14:textId="77777777" w:rsidR="00570E22" w:rsidRPr="00507A31" w:rsidRDefault="00570E22" w:rsidP="00507A31">
      <w:pPr>
        <w:pStyle w:val="ae"/>
        <w:spacing w:before="0" w:after="0"/>
        <w:jc w:val="both"/>
        <w:rPr>
          <w:color w:val="000000" w:themeColor="text1"/>
          <w:sz w:val="16"/>
          <w:szCs w:val="16"/>
        </w:rPr>
      </w:pPr>
      <w:r w:rsidRPr="00507A31">
        <w:rPr>
          <w:color w:val="000000" w:themeColor="text1"/>
          <w:sz w:val="16"/>
          <w:szCs w:val="16"/>
        </w:rPr>
        <w:t xml:space="preserve">В 1930-е годы во всём мире, в том числе и в Советском Союзе, бурно развивалась гидроавиация. В экспериментальном гидродинамическом отделе (ЭГО) </w:t>
      </w:r>
      <w:r w:rsidRPr="00507A31">
        <w:rPr>
          <w:rStyle w:val="highlight"/>
          <w:color w:val="000000" w:themeColor="text1"/>
          <w:sz w:val="16"/>
          <w:szCs w:val="16"/>
        </w:rPr>
        <w:t> ЦАГИ </w:t>
      </w:r>
      <w:r w:rsidRPr="00507A31">
        <w:rPr>
          <w:color w:val="000000" w:themeColor="text1"/>
          <w:sz w:val="16"/>
          <w:szCs w:val="16"/>
        </w:rPr>
        <w:t xml:space="preserve"> прошли комплексные исследования и </w:t>
      </w:r>
      <w:r w:rsidRPr="00507A31">
        <w:rPr>
          <w:rStyle w:val="highlight"/>
          <w:color w:val="000000" w:themeColor="text1"/>
          <w:sz w:val="16"/>
          <w:szCs w:val="16"/>
        </w:rPr>
        <w:t> испытания </w:t>
      </w:r>
      <w:r w:rsidRPr="00507A31">
        <w:rPr>
          <w:color w:val="000000" w:themeColor="text1"/>
          <w:sz w:val="16"/>
          <w:szCs w:val="16"/>
        </w:rPr>
        <w:t xml:space="preserve"> 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6B3FDB8B" w14:textId="77777777" w:rsidR="00570E22" w:rsidRPr="00507A31" w:rsidRDefault="00570E22" w:rsidP="00507A31">
      <w:pPr>
        <w:pStyle w:val="ae"/>
        <w:spacing w:before="0" w:after="0"/>
        <w:jc w:val="both"/>
        <w:rPr>
          <w:color w:val="000000" w:themeColor="text1"/>
          <w:sz w:val="16"/>
          <w:szCs w:val="16"/>
        </w:rPr>
      </w:pPr>
    </w:p>
    <w:p w14:paraId="0BD641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апреля 1930 г. на Таганрогском заводе состоялась торжественная закладка Дюралевого корпуса - будущей красы и гордости заводчан. Именно в этом корпусе через два года развертываются новые цеха по строительству таких гидросамолетов кок МБР-2, МДР-4, а позже МДР-6 и ГСТ (12044).</w:t>
      </w:r>
    </w:p>
    <w:p w14:paraId="35943710" w14:textId="77777777" w:rsidR="00537E5F" w:rsidRPr="00507A31" w:rsidRDefault="00537E5F" w:rsidP="00507A31">
      <w:pPr>
        <w:autoSpaceDE w:val="0"/>
        <w:autoSpaceDN w:val="0"/>
        <w:adjustRightInd w:val="0"/>
        <w:jc w:val="both"/>
        <w:rPr>
          <w:iCs/>
          <w:color w:val="000000" w:themeColor="text1"/>
          <w:sz w:val="16"/>
          <w:szCs w:val="16"/>
        </w:rPr>
      </w:pPr>
    </w:p>
    <w:p w14:paraId="2A1D27C2" w14:textId="77777777" w:rsidR="00B5095B" w:rsidRPr="00507A31" w:rsidRDefault="00B5095B" w:rsidP="00507A31">
      <w:pPr>
        <w:jc w:val="both"/>
        <w:rPr>
          <w:color w:val="0070C0"/>
          <w:sz w:val="16"/>
          <w:szCs w:val="16"/>
        </w:rPr>
      </w:pPr>
      <w:r w:rsidRPr="00507A31">
        <w:rPr>
          <w:color w:val="0070C0"/>
          <w:sz w:val="16"/>
          <w:szCs w:val="16"/>
          <w:lang w:bidi="ru-RU"/>
        </w:rPr>
        <w:t>30 апреля 1930 г. на заводе № 31 состоялась торжественная закладка корпуса для производства металлических самолетов с размахом крыла до 50 м. Также строились корпуса для от</w:t>
      </w:r>
      <w:r w:rsidRPr="00507A31">
        <w:rPr>
          <w:color w:val="0070C0"/>
          <w:sz w:val="16"/>
          <w:szCs w:val="16"/>
          <w:lang w:bidi="ru-RU"/>
        </w:rPr>
        <w:softHyphen/>
        <w:t>делки и хранения сданных самолетов, здания инструмен</w:t>
      </w:r>
      <w:r w:rsidRPr="00507A31">
        <w:rPr>
          <w:color w:val="0070C0"/>
          <w:sz w:val="16"/>
          <w:szCs w:val="16"/>
          <w:lang w:bidi="ru-RU"/>
        </w:rPr>
        <w:softHyphen/>
        <w:t>тального цеха, отдела главного механика, лаборатории.</w:t>
      </w:r>
    </w:p>
    <w:p w14:paraId="3B8B190A" w14:textId="77777777" w:rsidR="00B5095B" w:rsidRPr="00507A31" w:rsidRDefault="00B5095B" w:rsidP="00507A31">
      <w:pPr>
        <w:jc w:val="both"/>
        <w:rPr>
          <w:color w:val="0070C0"/>
          <w:sz w:val="16"/>
          <w:szCs w:val="16"/>
        </w:rPr>
      </w:pPr>
      <w:r w:rsidRPr="00507A31">
        <w:rPr>
          <w:color w:val="0070C0"/>
          <w:sz w:val="16"/>
          <w:szCs w:val="16"/>
          <w:lang w:bidi="ru-RU"/>
        </w:rPr>
        <w:t>Расширяется летное поле заводского аэродрома, что позволяет принимать самолеты разных классов, в том числе и самые тяжелые, создается метеостанция, обору</w:t>
      </w:r>
      <w:r w:rsidRPr="00507A31">
        <w:rPr>
          <w:color w:val="0070C0"/>
          <w:sz w:val="16"/>
          <w:szCs w:val="16"/>
          <w:lang w:bidi="ru-RU"/>
        </w:rPr>
        <w:softHyphen/>
        <w:t>дуются стоянки для самолетов. В это же время продолжа</w:t>
      </w:r>
      <w:r w:rsidRPr="00507A31">
        <w:rPr>
          <w:color w:val="0070C0"/>
          <w:sz w:val="16"/>
          <w:szCs w:val="16"/>
          <w:lang w:bidi="ru-RU"/>
        </w:rPr>
        <w:softHyphen/>
        <w:t>ются работы по развитию гидробазы и дноуглубитель</w:t>
      </w:r>
      <w:r w:rsidRPr="00507A31">
        <w:rPr>
          <w:color w:val="0070C0"/>
          <w:sz w:val="16"/>
          <w:szCs w:val="16"/>
          <w:lang w:bidi="ru-RU"/>
        </w:rPr>
        <w:softHyphen/>
        <w:t>ные работы на акватории Таганрогского залива.</w:t>
      </w:r>
    </w:p>
    <w:p w14:paraId="624C6D1F" w14:textId="77777777" w:rsidR="00B5095B" w:rsidRPr="00507A31" w:rsidRDefault="00B5095B" w:rsidP="00507A31">
      <w:pPr>
        <w:jc w:val="both"/>
        <w:rPr>
          <w:color w:val="0070C0"/>
          <w:sz w:val="16"/>
          <w:szCs w:val="16"/>
        </w:rPr>
      </w:pPr>
      <w:r w:rsidRPr="00507A31">
        <w:rPr>
          <w:color w:val="0070C0"/>
          <w:sz w:val="16"/>
          <w:szCs w:val="16"/>
          <w:lang w:bidi="ru-RU"/>
        </w:rPr>
        <w:t>Едва построили первую очередь гидробазы, как в Таган</w:t>
      </w:r>
      <w:r w:rsidRPr="00507A31">
        <w:rPr>
          <w:color w:val="0070C0"/>
          <w:sz w:val="16"/>
          <w:szCs w:val="16"/>
          <w:lang w:bidi="ru-RU"/>
        </w:rPr>
        <w:softHyphen/>
        <w:t>рог зачастили на испытания своих самолетов конструкторы-«варяги». Так, в 1928-29 гг. здесь собирались из агре</w:t>
      </w:r>
      <w:r w:rsidRPr="00507A31">
        <w:rPr>
          <w:color w:val="0070C0"/>
          <w:sz w:val="16"/>
          <w:szCs w:val="16"/>
          <w:lang w:bidi="ru-RU"/>
        </w:rPr>
        <w:softHyphen/>
        <w:t>гатов и испытывались РОМ-1 и РОМ-2 (разведчики откры</w:t>
      </w:r>
      <w:r w:rsidRPr="00507A31">
        <w:rPr>
          <w:color w:val="0070C0"/>
          <w:sz w:val="16"/>
          <w:szCs w:val="16"/>
          <w:lang w:bidi="ru-RU"/>
        </w:rPr>
        <w:softHyphen/>
        <w:t>того моря), МУ-2, МР-3, МР-3бис, МР-5 (МБР-1), разработанные в отделе опытного морского строительства (ОМОС), в конце 1927 г. переименованного в ОПО-3 (опытный отдел третий).</w:t>
      </w:r>
    </w:p>
    <w:p w14:paraId="29032BF5" w14:textId="77777777" w:rsidR="00B5095B" w:rsidRPr="00507A31" w:rsidRDefault="00B5095B" w:rsidP="00507A31">
      <w:pPr>
        <w:jc w:val="both"/>
        <w:rPr>
          <w:color w:val="0070C0"/>
          <w:sz w:val="16"/>
          <w:szCs w:val="16"/>
          <w:lang w:bidi="ru-RU"/>
        </w:rPr>
      </w:pPr>
      <w:r w:rsidRPr="00507A31">
        <w:rPr>
          <w:color w:val="0070C0"/>
          <w:sz w:val="16"/>
          <w:szCs w:val="16"/>
          <w:lang w:bidi="ru-RU"/>
        </w:rPr>
        <w:t>Летчики-испытатели были свои и приезжие из Москвы. В свою очередь, заводу пришлось отряжать на эти испы</w:t>
      </w:r>
      <w:r w:rsidRPr="00507A31">
        <w:rPr>
          <w:color w:val="0070C0"/>
          <w:sz w:val="16"/>
          <w:szCs w:val="16"/>
          <w:lang w:bidi="ru-RU"/>
        </w:rPr>
        <w:softHyphen/>
        <w:t>тания и выполнение неизбежных доработок и доделок своих рабочих и инженеров, а военной приемке — и сво</w:t>
      </w:r>
      <w:r w:rsidRPr="00507A31">
        <w:rPr>
          <w:color w:val="0070C0"/>
          <w:sz w:val="16"/>
          <w:szCs w:val="16"/>
          <w:lang w:bidi="ru-RU"/>
        </w:rPr>
        <w:softHyphen/>
        <w:t>их работников (20325).</w:t>
      </w:r>
    </w:p>
    <w:p w14:paraId="79BA2CD8" w14:textId="77777777" w:rsidR="00B5095B" w:rsidRPr="00507A31" w:rsidRDefault="00B5095B" w:rsidP="00507A31">
      <w:pPr>
        <w:jc w:val="both"/>
        <w:rPr>
          <w:color w:val="0070C0"/>
          <w:sz w:val="16"/>
          <w:szCs w:val="16"/>
        </w:rPr>
      </w:pPr>
    </w:p>
    <w:p w14:paraId="12111F9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5F63907" w14:textId="77777777" w:rsidR="00537E5F" w:rsidRPr="00507A31" w:rsidRDefault="00537E5F" w:rsidP="00507A31">
      <w:pPr>
        <w:autoSpaceDE w:val="0"/>
        <w:autoSpaceDN w:val="0"/>
        <w:adjustRightInd w:val="0"/>
        <w:jc w:val="both"/>
        <w:rPr>
          <w:iCs/>
          <w:color w:val="000000" w:themeColor="text1"/>
          <w:sz w:val="16"/>
          <w:szCs w:val="16"/>
        </w:rPr>
      </w:pPr>
    </w:p>
    <w:p w14:paraId="41F692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апреля 1930 г. была подготовлена ДОКЛАДНАЯ ЗАПИСКА В УММ О РАБОТЕ СТАНЦИИ МЕХАНИЧЕСКОГО ТРАНСПОРТА ВТУ</w:t>
      </w:r>
    </w:p>
    <w:p w14:paraId="2B5DBF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текущем году Станция механического транспорта имела следующие задания, к исполнению которых станция уже приступила и частично выполнила:</w:t>
      </w:r>
    </w:p>
    <w:tbl>
      <w:tblPr>
        <w:tblW w:w="0" w:type="auto"/>
        <w:tblInd w:w="40" w:type="dxa"/>
        <w:tblLayout w:type="fixed"/>
        <w:tblCellMar>
          <w:left w:w="40" w:type="dxa"/>
          <w:right w:w="40" w:type="dxa"/>
        </w:tblCellMar>
        <w:tblLook w:val="0000" w:firstRow="0" w:lastRow="0" w:firstColumn="0" w:lastColumn="0" w:noHBand="0" w:noVBand="0"/>
      </w:tblPr>
      <w:tblGrid>
        <w:gridCol w:w="461"/>
        <w:gridCol w:w="2362"/>
        <w:gridCol w:w="4886"/>
      </w:tblGrid>
      <w:tr w:rsidR="00E371BA" w:rsidRPr="00507A31" w14:paraId="7B66C501" w14:textId="77777777">
        <w:trPr>
          <w:trHeight w:val="240"/>
        </w:trPr>
        <w:tc>
          <w:tcPr>
            <w:tcW w:w="461" w:type="dxa"/>
            <w:tcBorders>
              <w:top w:val="single" w:sz="6" w:space="0" w:color="auto"/>
              <w:left w:val="single" w:sz="6" w:space="0" w:color="auto"/>
              <w:bottom w:val="single" w:sz="6" w:space="0" w:color="auto"/>
              <w:right w:val="single" w:sz="6" w:space="0" w:color="auto"/>
            </w:tcBorders>
          </w:tcPr>
          <w:p w14:paraId="468EAD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6AAF8C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6BA97A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5FD8AC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166C82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 А»</w:t>
            </w:r>
          </w:p>
          <w:p w14:paraId="5BD7A8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03F6395"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30A0A7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1E3983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1F7D24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1EF47D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246D45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«Остен»</w:t>
            </w:r>
          </w:p>
          <w:p w14:paraId="0F0725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A705338"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3ADC0D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26F0F8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58922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78F813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6022BD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«Моррис-Минор»</w:t>
            </w:r>
          </w:p>
          <w:p w14:paraId="2FD932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730313A" w14:textId="77777777">
        <w:trPr>
          <w:trHeight w:val="230"/>
        </w:trPr>
        <w:tc>
          <w:tcPr>
            <w:tcW w:w="461" w:type="dxa"/>
            <w:tcBorders>
              <w:top w:val="single" w:sz="6" w:space="0" w:color="auto"/>
              <w:left w:val="single" w:sz="6" w:space="0" w:color="auto"/>
              <w:bottom w:val="single" w:sz="6" w:space="0" w:color="auto"/>
              <w:right w:val="single" w:sz="6" w:space="0" w:color="auto"/>
            </w:tcBorders>
          </w:tcPr>
          <w:p w14:paraId="02355A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53CE20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25D079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49E3A6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3D77C8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«Хорьх»</w:t>
            </w:r>
          </w:p>
          <w:p w14:paraId="375D73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A011F4F"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2EDD48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p w14:paraId="7A4371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859DD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7A9A52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0D6270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«Моррис»</w:t>
            </w:r>
          </w:p>
          <w:p w14:paraId="149598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8889D83" w14:textId="77777777">
        <w:trPr>
          <w:trHeight w:val="230"/>
        </w:trPr>
        <w:tc>
          <w:tcPr>
            <w:tcW w:w="461" w:type="dxa"/>
            <w:tcBorders>
              <w:top w:val="single" w:sz="6" w:space="0" w:color="auto"/>
              <w:left w:val="single" w:sz="6" w:space="0" w:color="auto"/>
              <w:bottom w:val="single" w:sz="6" w:space="0" w:color="auto"/>
              <w:right w:val="single" w:sz="6" w:space="0" w:color="auto"/>
            </w:tcBorders>
          </w:tcPr>
          <w:p w14:paraId="281B09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w:t>
            </w:r>
          </w:p>
          <w:p w14:paraId="303F61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A849A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1C28A8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5EC5A1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«Сельве»</w:t>
            </w:r>
          </w:p>
          <w:p w14:paraId="5ECC8E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A74D2C3"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5C0FA1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w:t>
            </w:r>
          </w:p>
          <w:p w14:paraId="5EB0AF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3B4CD0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0CF800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212D42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 АА» - Советский</w:t>
            </w:r>
          </w:p>
          <w:p w14:paraId="60557B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5E13683" w14:textId="77777777">
        <w:trPr>
          <w:trHeight w:val="240"/>
        </w:trPr>
        <w:tc>
          <w:tcPr>
            <w:tcW w:w="461" w:type="dxa"/>
            <w:tcBorders>
              <w:top w:val="single" w:sz="6" w:space="0" w:color="auto"/>
              <w:left w:val="single" w:sz="6" w:space="0" w:color="auto"/>
              <w:bottom w:val="single" w:sz="6" w:space="0" w:color="auto"/>
              <w:right w:val="single" w:sz="6" w:space="0" w:color="auto"/>
            </w:tcBorders>
          </w:tcPr>
          <w:p w14:paraId="7EC665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w:t>
            </w:r>
          </w:p>
          <w:p w14:paraId="1C3741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ED36A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5FAA53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2441C2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 АА» - Автобус</w:t>
            </w:r>
          </w:p>
          <w:p w14:paraId="09DB87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6BF50E43" w14:textId="77777777" w:rsidR="00537E5F" w:rsidRPr="00507A31" w:rsidRDefault="00537E5F" w:rsidP="00507A31">
      <w:pPr>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480"/>
        <w:gridCol w:w="2371"/>
        <w:gridCol w:w="4666"/>
        <w:gridCol w:w="211"/>
      </w:tblGrid>
      <w:tr w:rsidR="00E371BA" w:rsidRPr="00507A31" w14:paraId="452AD2C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33115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w:t>
            </w:r>
          </w:p>
          <w:p w14:paraId="7D2218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016DC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281263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647CA6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 АА»-3-х скоростной</w:t>
            </w:r>
          </w:p>
          <w:p w14:paraId="1D1EE4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A365FB2"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16E592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0040B9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4E183A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129602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FE8F4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«Форд-Джамбо»</w:t>
            </w:r>
          </w:p>
          <w:p w14:paraId="470371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837B0A1"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43021E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w:t>
            </w:r>
          </w:p>
          <w:p w14:paraId="434FA7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1E1D3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2F89FB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5B7A01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«Торникрофт» 2-х скатный</w:t>
            </w:r>
          </w:p>
          <w:p w14:paraId="728DE2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79A578E"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1B7FDF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w:t>
            </w:r>
          </w:p>
          <w:p w14:paraId="13BAFC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076DA4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143E92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3F94A1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«Торникрофт» с одинарным скатом и лебедкой</w:t>
            </w:r>
          </w:p>
          <w:p w14:paraId="4408FD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single" w:sz="6" w:space="0" w:color="auto"/>
              <w:right w:val="single" w:sz="6" w:space="0" w:color="auto"/>
            </w:tcBorders>
          </w:tcPr>
          <w:p w14:paraId="280014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62BC1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DBF83E4"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71DCD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13.</w:t>
            </w:r>
          </w:p>
          <w:p w14:paraId="4D5376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15F8F4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автомобиля</w:t>
            </w:r>
          </w:p>
          <w:p w14:paraId="0AD7A2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0D85A4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«Торникфорт» с 2-х скатный</w:t>
            </w:r>
          </w:p>
          <w:p w14:paraId="5AFBB8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single" w:sz="6" w:space="0" w:color="auto"/>
              <w:right w:val="single" w:sz="6" w:space="0" w:color="auto"/>
            </w:tcBorders>
          </w:tcPr>
          <w:p w14:paraId="05F4BE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93DAA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2AAFE18"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6733A4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w:t>
            </w:r>
          </w:p>
          <w:p w14:paraId="433811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90A6A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мотоцикла</w:t>
            </w:r>
          </w:p>
          <w:p w14:paraId="7F9E85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7F7AA0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«Харлей-Давидсон» с 2-х местной коляской</w:t>
            </w:r>
          </w:p>
          <w:p w14:paraId="1E6B3A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BE54A28"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44E29F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450663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118A3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мотоцикла</w:t>
            </w:r>
          </w:p>
          <w:p w14:paraId="4931FA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D5301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«ДКВ» - одиночка</w:t>
            </w:r>
          </w:p>
          <w:p w14:paraId="145DC1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ADB3934"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565ACF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w:t>
            </w:r>
          </w:p>
          <w:p w14:paraId="74C5FC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A770E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мотоцикла</w:t>
            </w:r>
          </w:p>
          <w:p w14:paraId="7466F9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2D7CF1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завода «Тремасс»</w:t>
            </w:r>
          </w:p>
          <w:p w14:paraId="2D3810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77D5116"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272E79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w:t>
            </w:r>
          </w:p>
          <w:p w14:paraId="3CFDB5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C2945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велосипедов</w:t>
            </w:r>
          </w:p>
          <w:p w14:paraId="064D8A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67CC30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два велосипеда Паттрубтреста</w:t>
            </w:r>
          </w:p>
          <w:p w14:paraId="1F7571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10F10BA"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1D9CA0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w:t>
            </w:r>
          </w:p>
          <w:p w14:paraId="1CC20F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BDEF5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391427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55379E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гусеничного хода «Альватрак»</w:t>
            </w:r>
          </w:p>
          <w:p w14:paraId="51BF4B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nil"/>
              <w:right w:val="single" w:sz="6" w:space="0" w:color="auto"/>
            </w:tcBorders>
          </w:tcPr>
          <w:p w14:paraId="32AD36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w:t>
            </w:r>
          </w:p>
          <w:p w14:paraId="3A224D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D3620F8"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4A01A1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w:t>
            </w:r>
          </w:p>
          <w:p w14:paraId="3B9649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0F90E8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4531E3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25EB1B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Непрокалывающейся резины для автомобилей мотоциклов</w:t>
            </w:r>
          </w:p>
          <w:p w14:paraId="477CA6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11" w:type="dxa"/>
            <w:tcBorders>
              <w:top w:val="nil"/>
              <w:left w:val="nil"/>
              <w:bottom w:val="single" w:sz="6" w:space="0" w:color="auto"/>
              <w:right w:val="single" w:sz="6" w:space="0" w:color="auto"/>
            </w:tcBorders>
          </w:tcPr>
          <w:p w14:paraId="140734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38054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AA3130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409B90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w:t>
            </w:r>
          </w:p>
          <w:p w14:paraId="2B0CFA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BF6D2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36F6F3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3AE2EF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советского кузова автомобиля «Форд АА»</w:t>
            </w:r>
          </w:p>
          <w:p w14:paraId="2F0555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364DA04"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5D1E74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w:t>
            </w:r>
          </w:p>
          <w:p w14:paraId="746FB9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7D2BCE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14A463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0187C0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Масел моторных эмба нефти</w:t>
            </w:r>
          </w:p>
          <w:p w14:paraId="4FF05E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794CBA7"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5F0CA8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w:t>
            </w:r>
          </w:p>
          <w:p w14:paraId="039B3B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75336B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50B3F5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22E866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вентиляционного ремня советского производства автомобилю «Форд»</w:t>
            </w:r>
          </w:p>
          <w:p w14:paraId="48A1BD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nil"/>
              <w:right w:val="single" w:sz="6" w:space="0" w:color="auto"/>
            </w:tcBorders>
          </w:tcPr>
          <w:p w14:paraId="7FF476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w:t>
            </w:r>
          </w:p>
          <w:p w14:paraId="60682D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169FB41"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425572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w:t>
            </w:r>
          </w:p>
          <w:p w14:paraId="6309FE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116784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4B435E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728BDB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покрышек мото с заклепками против скольжения</w:t>
            </w:r>
          </w:p>
          <w:p w14:paraId="7A73F9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11" w:type="dxa"/>
            <w:tcBorders>
              <w:top w:val="nil"/>
              <w:left w:val="nil"/>
              <w:bottom w:val="single" w:sz="6" w:space="0" w:color="auto"/>
              <w:right w:val="single" w:sz="6" w:space="0" w:color="auto"/>
            </w:tcBorders>
          </w:tcPr>
          <w:p w14:paraId="4E491E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62696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79F2CBD"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09D8E5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w:t>
            </w:r>
          </w:p>
          <w:p w14:paraId="60EDEC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286F4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2E587A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35149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свечей Гос. Завода им. Ломоносова</w:t>
            </w:r>
          </w:p>
          <w:p w14:paraId="306E6E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2CC7BB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08401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w:t>
            </w:r>
          </w:p>
          <w:p w14:paraId="732A8C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425146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43193B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3A0D3A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свечей Паттрубтреста типа 2-Ф-6 и 2-Т-7</w:t>
            </w:r>
          </w:p>
          <w:p w14:paraId="289C64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8D3BF74"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49B289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w:t>
            </w:r>
          </w:p>
          <w:p w14:paraId="615A56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1A8B9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20D833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212A7E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свечей Бош и провода для магнето</w:t>
            </w:r>
          </w:p>
          <w:p w14:paraId="764DFC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650CFC1"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5E649D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w:t>
            </w:r>
          </w:p>
          <w:p w14:paraId="550017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7F863C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5BDBCA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A01F2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Заграничных цепей против скольжения для 2-х скатной машины</w:t>
            </w:r>
          </w:p>
          <w:p w14:paraId="57B282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5E12AE0"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153F24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w:t>
            </w:r>
          </w:p>
          <w:p w14:paraId="32730E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030622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1D65FE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6CF3E0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домкратов заграничных и советских различных грузоподъемн.</w:t>
            </w:r>
          </w:p>
          <w:p w14:paraId="63029A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06F9F67"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5A36C9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w:t>
            </w:r>
          </w:p>
          <w:p w14:paraId="02E157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19F1AC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w:t>
            </w:r>
          </w:p>
          <w:p w14:paraId="676E26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07C069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тракторов «Линке-Гофман» и тягача «Ситроен»</w:t>
            </w:r>
          </w:p>
          <w:p w14:paraId="7BA9E9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15430C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Кроме перечисленных работ, станции механического транспорта необходимо по плану 2 секции НТК УММ провести испытание автомобилей и мотоциклов, поступающих в Союз, броневых автомо</w:t>
      </w:r>
      <w:r w:rsidRPr="00507A31">
        <w:rPr>
          <w:color w:val="000000" w:themeColor="text1"/>
          <w:sz w:val="16"/>
          <w:szCs w:val="16"/>
        </w:rPr>
        <w:softHyphen/>
        <w:t>билей советского производства и другого авто- и мотоимущества, а по плану 4 секции испытание 20 тракторов различных конструкций и марок.</w:t>
      </w:r>
    </w:p>
    <w:p w14:paraId="483FD1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350BA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Старший инженер Станции механического транспорта НИИТ Полигона</w:t>
      </w:r>
    </w:p>
    <w:p w14:paraId="5B0EA9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Кульчицкий</w:t>
      </w:r>
    </w:p>
    <w:p w14:paraId="5C818D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97. Л. 2. Подлинник (11210).</w:t>
      </w:r>
    </w:p>
    <w:p w14:paraId="71174B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5C85B0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1257E6BF" w14:textId="77777777" w:rsidR="00537E5F" w:rsidRPr="00507A31" w:rsidRDefault="00537E5F" w:rsidP="00507A31">
      <w:pPr>
        <w:autoSpaceDE w:val="0"/>
        <w:autoSpaceDN w:val="0"/>
        <w:adjustRightInd w:val="0"/>
        <w:jc w:val="both"/>
        <w:rPr>
          <w:iCs/>
          <w:color w:val="000000" w:themeColor="text1"/>
          <w:sz w:val="16"/>
          <w:szCs w:val="16"/>
        </w:rPr>
      </w:pPr>
    </w:p>
    <w:p w14:paraId="513BD5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апреля 1930 СССР предложил Англии и Франции заключить военный союз (2100).</w:t>
      </w:r>
    </w:p>
    <w:p w14:paraId="7F7683BE" w14:textId="77777777" w:rsidR="00537E5F" w:rsidRPr="00507A31" w:rsidRDefault="00537E5F" w:rsidP="00507A31">
      <w:pPr>
        <w:autoSpaceDE w:val="0"/>
        <w:autoSpaceDN w:val="0"/>
        <w:adjustRightInd w:val="0"/>
        <w:jc w:val="both"/>
        <w:rPr>
          <w:color w:val="000000" w:themeColor="text1"/>
          <w:sz w:val="16"/>
          <w:szCs w:val="16"/>
        </w:rPr>
      </w:pPr>
    </w:p>
    <w:p w14:paraId="00A8FA2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D9058E4" w14:textId="77777777" w:rsidR="00537E5F" w:rsidRPr="00507A31" w:rsidRDefault="00537E5F" w:rsidP="00507A31">
      <w:pPr>
        <w:autoSpaceDE w:val="0"/>
        <w:autoSpaceDN w:val="0"/>
        <w:adjustRightInd w:val="0"/>
        <w:jc w:val="both"/>
        <w:rPr>
          <w:iCs/>
          <w:color w:val="000000" w:themeColor="text1"/>
          <w:sz w:val="16"/>
          <w:szCs w:val="16"/>
        </w:rPr>
      </w:pPr>
    </w:p>
    <w:p w14:paraId="55AF16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апреля 1930 Италия объявила о программе перевооружения ВМФ и предусмотрели строительство 29 кораблей (3907,161).</w:t>
      </w:r>
    </w:p>
    <w:p w14:paraId="39057C75" w14:textId="77777777" w:rsidR="00537E5F" w:rsidRPr="00507A31" w:rsidRDefault="00537E5F" w:rsidP="00507A31">
      <w:pPr>
        <w:autoSpaceDE w:val="0"/>
        <w:autoSpaceDN w:val="0"/>
        <w:adjustRightInd w:val="0"/>
        <w:jc w:val="both"/>
        <w:rPr>
          <w:color w:val="000000" w:themeColor="text1"/>
          <w:sz w:val="16"/>
          <w:szCs w:val="16"/>
        </w:rPr>
      </w:pPr>
    </w:p>
    <w:p w14:paraId="2284624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BBB2C76" w14:textId="77777777" w:rsidR="00537E5F" w:rsidRPr="00507A31" w:rsidRDefault="00537E5F" w:rsidP="00507A31">
      <w:pPr>
        <w:autoSpaceDE w:val="0"/>
        <w:autoSpaceDN w:val="0"/>
        <w:adjustRightInd w:val="0"/>
        <w:jc w:val="both"/>
        <w:rPr>
          <w:iCs/>
          <w:color w:val="000000" w:themeColor="text1"/>
          <w:sz w:val="16"/>
          <w:szCs w:val="16"/>
        </w:rPr>
      </w:pPr>
    </w:p>
    <w:p w14:paraId="66A58F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апреля 1930 Н.Н.П. как руководитель бригады ЦКБ получил задание на проектирование штурмовика и ТБ-ФЭД-3 (7383, 4).</w:t>
      </w:r>
    </w:p>
    <w:p w14:paraId="7881B2AC" w14:textId="77777777" w:rsidR="00537E5F" w:rsidRPr="00507A31" w:rsidRDefault="00537E5F" w:rsidP="00507A31">
      <w:pPr>
        <w:autoSpaceDE w:val="0"/>
        <w:autoSpaceDN w:val="0"/>
        <w:adjustRightInd w:val="0"/>
        <w:jc w:val="both"/>
        <w:rPr>
          <w:color w:val="000000" w:themeColor="text1"/>
          <w:sz w:val="16"/>
          <w:szCs w:val="16"/>
        </w:rPr>
      </w:pPr>
    </w:p>
    <w:p w14:paraId="22B05A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апреля 1930 Н.Н.П. назначили нач. Конструкторской бригады (7383)</w:t>
      </w:r>
    </w:p>
    <w:p w14:paraId="627EA8AF" w14:textId="77777777" w:rsidR="00537E5F" w:rsidRPr="00507A31" w:rsidRDefault="00537E5F" w:rsidP="00507A31">
      <w:pPr>
        <w:widowControl w:val="0"/>
        <w:tabs>
          <w:tab w:val="left" w:pos="11199"/>
        </w:tabs>
        <w:autoSpaceDE w:val="0"/>
        <w:autoSpaceDN w:val="0"/>
        <w:adjustRightInd w:val="0"/>
        <w:jc w:val="both"/>
        <w:rPr>
          <w:color w:val="000000" w:themeColor="text1"/>
          <w:sz w:val="16"/>
          <w:szCs w:val="16"/>
        </w:rPr>
      </w:pPr>
    </w:p>
    <w:p w14:paraId="301A35B7" w14:textId="77777777" w:rsidR="00537E5F" w:rsidRPr="00507A31" w:rsidRDefault="00537E5F" w:rsidP="00507A31">
      <w:pPr>
        <w:widowControl w:val="0"/>
        <w:tabs>
          <w:tab w:val="left" w:pos="11199"/>
        </w:tabs>
        <w:autoSpaceDE w:val="0"/>
        <w:autoSpaceDN w:val="0"/>
        <w:adjustRightInd w:val="0"/>
        <w:jc w:val="both"/>
        <w:rPr>
          <w:color w:val="000000" w:themeColor="text1"/>
          <w:sz w:val="16"/>
          <w:szCs w:val="16"/>
        </w:rPr>
      </w:pPr>
      <w:r w:rsidRPr="00507A31">
        <w:rPr>
          <w:color w:val="000000" w:themeColor="text1"/>
          <w:sz w:val="16"/>
          <w:szCs w:val="16"/>
        </w:rPr>
        <w:t>В конце ап</w:t>
      </w:r>
      <w:r w:rsidRPr="00507A31">
        <w:rPr>
          <w:color w:val="000000" w:themeColor="text1"/>
          <w:sz w:val="16"/>
          <w:szCs w:val="16"/>
        </w:rPr>
        <w:softHyphen/>
        <w:t>реля 1930 Н.Н.П. в качестве руководителя бригады ЦКБ получил задание на про</w:t>
      </w:r>
      <w:r w:rsidRPr="00507A31">
        <w:rPr>
          <w:color w:val="000000" w:themeColor="text1"/>
          <w:sz w:val="16"/>
          <w:szCs w:val="16"/>
        </w:rPr>
        <w:softHyphen/>
        <w:t>ектирование самолета-штурмовика ЛШ-1, а в последующем и тяжелых штур</w:t>
      </w:r>
      <w:r w:rsidRPr="00507A31">
        <w:rPr>
          <w:color w:val="000000" w:themeColor="text1"/>
          <w:sz w:val="16"/>
          <w:szCs w:val="16"/>
        </w:rPr>
        <w:softHyphen/>
        <w:t>мовиков ТШ-2 и ТШ-3. Активную помощь Н.Н.Поликарпову оказывал С.А.Кочеригин (6269).</w:t>
      </w:r>
    </w:p>
    <w:p w14:paraId="788B75C8" w14:textId="77777777" w:rsidR="00537E5F" w:rsidRPr="00507A31" w:rsidRDefault="00537E5F" w:rsidP="00507A31">
      <w:pPr>
        <w:widowControl w:val="0"/>
        <w:tabs>
          <w:tab w:val="left" w:pos="11199"/>
        </w:tabs>
        <w:autoSpaceDE w:val="0"/>
        <w:autoSpaceDN w:val="0"/>
        <w:adjustRightInd w:val="0"/>
        <w:jc w:val="both"/>
        <w:rPr>
          <w:color w:val="000000" w:themeColor="text1"/>
          <w:sz w:val="16"/>
          <w:szCs w:val="16"/>
        </w:rPr>
      </w:pPr>
    </w:p>
    <w:p w14:paraId="193284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апреля 1930 г. Н.Н.Поликарпов, будучи руководителем бригады ЦКБ, получил задание на проектирование самолета-штурмовика и, согласно архивным документам, стал руководителем работ по созданию штурмовика ЛШ-1, также как и последующих за ним тяжелых штурмовиков ТШ-2 и ТШ-3.</w:t>
      </w:r>
    </w:p>
    <w:p w14:paraId="421A8B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Активную помощь Н. Н. Поликарпову оказывал С. А. Кочеригин. Штурмовик ЛШ-1 (проект № 5 по плану ЦКБ) представлял собой одномоторный двухместный биплан с относительно слабой бронезащитой - сварное бро-некорыто не прикрывало мотор сверху.</w:t>
      </w:r>
    </w:p>
    <w:p w14:paraId="0F73A0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Наступательное вооружение машины состояло из двух синхронных пулеметов ПВ-1 калибра 7,62 мм для стрельбы вперед и четырех ПВ-1, на-клонно установленных в фюзеляже под полом кабины стрелка стволами вниз под углом 30-60° (пулеметы имели возможность изменения угла установки на земле в пределах ±30°) к продольной оси самолета для стрельбы вперед-вниз.</w:t>
      </w:r>
    </w:p>
    <w:p w14:paraId="61EAEA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Наклонная установка батареи пулеметов ПВ-1, не обеспечивая высокой точности стрельбы, позволяла вести огонь по колоннам войск на марше с горизонтального полета, что в какой-то мере компенсировало недостаточный обзор вперед-вниз, характерный для штурмовиков подобной схемы.</w:t>
      </w:r>
    </w:p>
    <w:p w14:paraId="0C2B4B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защиты от нападения истребителей противника штурмовик имел заднюю оборонительную установку с двумя пулеметами ПВ-1. Бомбовое вооружение отсутствовало.</w:t>
      </w:r>
    </w:p>
    <w:p w14:paraId="74083B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процессе постройки ЛШ-1 было признано, что бронирование и вооружение штурмовика недостаточные. В силу этого, а также из-за отсутствия мощного мотора и трудностей с доводкой подвижной пулеметной установки, было принято решение к свертыванию всех работ по этому самолету.</w:t>
      </w:r>
    </w:p>
    <w:p w14:paraId="7AD085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Чтобы хоть как-то выйти из создавшегося положения ЦКБ завода № 39 приняло решение о переделке ЛШ-1 в тяжелый штурмовик, заданный НТК ВВС, с усиленным бронированием и вооружением. Новая машина получила обозначение ТШ-2 первый вариант (проект № 6 по плану ЦКБ) (9649).</w:t>
      </w:r>
    </w:p>
    <w:p w14:paraId="2C900274" w14:textId="77777777" w:rsidR="00537E5F" w:rsidRPr="00507A31" w:rsidRDefault="00537E5F" w:rsidP="00507A31">
      <w:pPr>
        <w:autoSpaceDE w:val="0"/>
        <w:autoSpaceDN w:val="0"/>
        <w:adjustRightInd w:val="0"/>
        <w:jc w:val="both"/>
        <w:rPr>
          <w:color w:val="000000" w:themeColor="text1"/>
          <w:sz w:val="16"/>
          <w:szCs w:val="16"/>
        </w:rPr>
      </w:pPr>
    </w:p>
    <w:p w14:paraId="2BBAF049" w14:textId="77777777" w:rsidR="00DC6BE7" w:rsidRPr="00507A31" w:rsidRDefault="00DC6BE7" w:rsidP="00507A31">
      <w:pPr>
        <w:jc w:val="both"/>
        <w:rPr>
          <w:color w:val="000000" w:themeColor="text1"/>
          <w:sz w:val="16"/>
          <w:szCs w:val="16"/>
        </w:rPr>
      </w:pPr>
      <w:r w:rsidRPr="00507A31">
        <w:rPr>
          <w:color w:val="000000" w:themeColor="text1"/>
          <w:sz w:val="16"/>
          <w:szCs w:val="16"/>
        </w:rPr>
        <w:t>В конце апреля 1930 года бригада конструкторов под общим руководством Н.Н. Поликарпова приступила к проектированию легкого штурмовика ЛШ-1, тяжелых штурмовиков ТШ-1, ТШ-2 и штурмовика особого назначения ШОН. После отстранения Поликарпова бригаду возглавил авиаконструктор С.А. Кочеригин.</w:t>
      </w:r>
    </w:p>
    <w:p w14:paraId="3DA0F9AF" w14:textId="77777777" w:rsidR="00DC6BE7" w:rsidRPr="00507A31" w:rsidRDefault="00DC6BE7" w:rsidP="00507A31">
      <w:pPr>
        <w:jc w:val="both"/>
        <w:rPr>
          <w:color w:val="000000" w:themeColor="text1"/>
          <w:sz w:val="16"/>
          <w:szCs w:val="16"/>
        </w:rPr>
      </w:pPr>
      <w:r w:rsidRPr="00507A31">
        <w:rPr>
          <w:color w:val="000000" w:themeColor="text1"/>
          <w:sz w:val="16"/>
          <w:szCs w:val="16"/>
        </w:rPr>
        <w:t xml:space="preserve">Первым был спроектирован и построен легкий штурмовик ЛШ-1 (ЦКБ № 5). Самолет представлял собой одномоторный двухместный биплан с относительно слабой бронезащитой – сварное бронекорыто не прикрывало двигатель сверху. Наступательное вооружение машины состояло из двух синхронных пулеметов ПВ-1 калибра 7,62 мм и четырех ПВ-1, наклонно установленных в фюзеляже под полом кабины стрелка для стрельбы вперед. Наклонная установка батареи пулеметов ПВ-1, не обеспечивая высокой точности стрельбы, позволяла вести огонь по колоннам войск на марше с горизонтального полета, что в какой-то мере компенсировало </w:t>
      </w:r>
      <w:r w:rsidRPr="00507A31">
        <w:rPr>
          <w:color w:val="000000" w:themeColor="text1"/>
          <w:sz w:val="16"/>
          <w:szCs w:val="16"/>
        </w:rPr>
        <w:lastRenderedPageBreak/>
        <w:t>недостаточный обзор вперед-вниз, характерный для штурмовиков подобной схемы. Для защиты от нападения истребителей противника сзади, штурмовик имел оборонительную установку с двумя пулеметами ПВ-1. Бомбовое вооружение отсутствовало.</w:t>
      </w:r>
    </w:p>
    <w:p w14:paraId="63978E41" w14:textId="77777777" w:rsidR="00DC6BE7" w:rsidRPr="00507A31" w:rsidRDefault="00DC6BE7" w:rsidP="00507A31">
      <w:pPr>
        <w:jc w:val="both"/>
        <w:rPr>
          <w:color w:val="000000" w:themeColor="text1"/>
          <w:sz w:val="16"/>
          <w:szCs w:val="16"/>
        </w:rPr>
      </w:pPr>
      <w:r w:rsidRPr="00507A31">
        <w:rPr>
          <w:color w:val="000000" w:themeColor="text1"/>
          <w:sz w:val="16"/>
          <w:szCs w:val="16"/>
        </w:rPr>
        <w:t>Уже в процессе постройки ЛШ-1 было признано, что бронирование и вооружение штурмовика недостаточные. В силу этого, а так же из-за отсутствия мощного двигателя и трудностей с доводкой подвижной пулеметной установки, все работы по этому самолету были свернуты. Руководство ЦКБ-39 приняло решение о переделке ЛШ-1 в тяжелый штурмовик, с усиленным вооружением и бронированием. Новая машина получила обозначение ТШ-1 (18293).</w:t>
      </w:r>
    </w:p>
    <w:p w14:paraId="48395218" w14:textId="77777777" w:rsidR="00DC6BE7" w:rsidRPr="00507A31" w:rsidRDefault="00DC6BE7" w:rsidP="00507A31">
      <w:pPr>
        <w:jc w:val="both"/>
        <w:rPr>
          <w:color w:val="000000" w:themeColor="text1"/>
          <w:sz w:val="16"/>
          <w:szCs w:val="16"/>
        </w:rPr>
      </w:pPr>
    </w:p>
    <w:p w14:paraId="5A0F2D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конце апреля 1930 г. Николая Николаевича назна</w:t>
      </w:r>
      <w:r w:rsidRPr="00507A31">
        <w:rPr>
          <w:color w:val="000000" w:themeColor="text1"/>
          <w:sz w:val="16"/>
          <w:szCs w:val="16"/>
        </w:rPr>
        <w:softHyphen/>
        <w:t>чили начальником конструкторской бригады. Там он вел текущие работы по серийным самолетам И-3, И-5, Р-5, У-2, помогал в испытании бомбардировщика ТБ-2, курировал работы завода № 25 по доводке истребителя И-6 и проектированию И-7. Кроме указанных работ, конструкторская группа Н.Н.Поликарпова занималась и созданием новых ма</w:t>
      </w:r>
      <w:r w:rsidRPr="00507A31">
        <w:rPr>
          <w:color w:val="000000" w:themeColor="text1"/>
          <w:sz w:val="16"/>
          <w:szCs w:val="16"/>
        </w:rPr>
        <w:softHyphen/>
        <w:t>шин. Николай Николаевич получил задание на проек</w:t>
      </w:r>
      <w:r w:rsidRPr="00507A31">
        <w:rPr>
          <w:color w:val="000000" w:themeColor="text1"/>
          <w:sz w:val="16"/>
          <w:szCs w:val="16"/>
        </w:rPr>
        <w:softHyphen/>
        <w:t>тирование штурмовика ЛШ и почти одновременно - на создание тяжелого бомбардировщика ТБ-ФЭД-3, раз</w:t>
      </w:r>
      <w:r w:rsidRPr="00507A31">
        <w:rPr>
          <w:color w:val="000000" w:themeColor="text1"/>
          <w:sz w:val="16"/>
          <w:szCs w:val="16"/>
        </w:rPr>
        <w:softHyphen/>
        <w:t>ведчиков Р-8 с М-27 (в дальнейшем предполагалось ус</w:t>
      </w:r>
      <w:r w:rsidRPr="00507A31">
        <w:rPr>
          <w:color w:val="000000" w:themeColor="text1"/>
          <w:sz w:val="16"/>
          <w:szCs w:val="16"/>
        </w:rPr>
        <w:softHyphen/>
        <w:t>тановить двигатель М-34) и Р-9 с двумя М-26. Сохранившиеся служебные записки Николая Николае</w:t>
      </w:r>
      <w:r w:rsidRPr="00507A31">
        <w:rPr>
          <w:color w:val="000000" w:themeColor="text1"/>
          <w:sz w:val="16"/>
          <w:szCs w:val="16"/>
        </w:rPr>
        <w:softHyphen/>
        <w:t>вича, направляемые в различные инстанции, позволяют проследить отдельные этапы разработки проектов:</w:t>
      </w:r>
    </w:p>
    <w:p w14:paraId="135425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«В.А.Тисову. Прошу затребовать с завода № 25 об</w:t>
      </w:r>
      <w:r w:rsidRPr="00507A31">
        <w:rPr>
          <w:color w:val="000000" w:themeColor="text1"/>
          <w:sz w:val="16"/>
          <w:szCs w:val="16"/>
        </w:rPr>
        <w:softHyphen/>
        <w:t>щий вид (боковой проекции) самолета ТБ-2 - 2М-17 в 1/10 н.в. (настоящей величины. - В.И,). Срок 12.5.30 г.»</w:t>
      </w:r>
    </w:p>
    <w:p w14:paraId="1E2EF2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«Прошу в[ашего] содействия на скорейшее получе</w:t>
      </w:r>
      <w:r w:rsidRPr="00507A31">
        <w:rPr>
          <w:color w:val="000000" w:themeColor="text1"/>
          <w:sz w:val="16"/>
          <w:szCs w:val="16"/>
        </w:rPr>
        <w:softHyphen/>
        <w:t>ние новейшей иностранной и русской литературы, как книг, так и журналов для изучения и проработки проек</w:t>
      </w:r>
      <w:r w:rsidRPr="00507A31">
        <w:rPr>
          <w:color w:val="000000" w:themeColor="text1"/>
          <w:sz w:val="16"/>
          <w:szCs w:val="16"/>
        </w:rPr>
        <w:softHyphen/>
        <w:t>тов штурмовика и бомбардировщика. Срок 14.5.30 г.».</w:t>
      </w:r>
    </w:p>
    <w:p w14:paraId="0A0779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«Прошу привлечь для расчетов Поликарпову конст</w:t>
      </w:r>
      <w:r w:rsidRPr="00507A31">
        <w:rPr>
          <w:color w:val="000000" w:themeColor="text1"/>
          <w:sz w:val="16"/>
          <w:szCs w:val="16"/>
        </w:rPr>
        <w:softHyphen/>
        <w:t>руктора завода № 25 В.В.Никитина» (10667).</w:t>
      </w:r>
    </w:p>
    <w:p w14:paraId="5BDA06A5" w14:textId="77777777" w:rsidR="00537E5F" w:rsidRPr="00507A31" w:rsidRDefault="00537E5F" w:rsidP="00507A31">
      <w:pPr>
        <w:autoSpaceDE w:val="0"/>
        <w:autoSpaceDN w:val="0"/>
        <w:adjustRightInd w:val="0"/>
        <w:jc w:val="both"/>
        <w:rPr>
          <w:color w:val="000000" w:themeColor="text1"/>
          <w:sz w:val="16"/>
          <w:szCs w:val="16"/>
        </w:rPr>
      </w:pPr>
    </w:p>
    <w:p w14:paraId="6B7C6F52" w14:textId="77777777" w:rsidR="008D1F3C" w:rsidRPr="00507A31" w:rsidRDefault="008D1F3C" w:rsidP="00507A31">
      <w:pPr>
        <w:jc w:val="both"/>
        <w:rPr>
          <w:color w:val="0070C0"/>
          <w:sz w:val="16"/>
          <w:szCs w:val="16"/>
          <w:lang w:bidi="ru-RU"/>
        </w:rPr>
      </w:pPr>
      <w:r w:rsidRPr="00507A31">
        <w:rPr>
          <w:color w:val="0070C0"/>
          <w:sz w:val="16"/>
          <w:szCs w:val="16"/>
          <w:lang w:bidi="ru-RU"/>
        </w:rPr>
        <w:t>В конце апреля 1930 г. Поликар</w:t>
      </w:r>
      <w:r w:rsidRPr="00507A31">
        <w:rPr>
          <w:color w:val="0070C0"/>
          <w:sz w:val="16"/>
          <w:szCs w:val="16"/>
          <w:lang w:bidi="ru-RU"/>
        </w:rPr>
        <w:softHyphen/>
        <w:t>пов, будучи начальником кон</w:t>
      </w:r>
      <w:r w:rsidRPr="00507A31">
        <w:rPr>
          <w:color w:val="0070C0"/>
          <w:sz w:val="16"/>
          <w:szCs w:val="16"/>
          <w:lang w:bidi="ru-RU"/>
        </w:rPr>
        <w:softHyphen/>
        <w:t>структорской бригады ЦКБ и, согласно архивным документам, ру</w:t>
      </w:r>
      <w:r w:rsidRPr="00507A31">
        <w:rPr>
          <w:color w:val="0070C0"/>
          <w:sz w:val="16"/>
          <w:szCs w:val="16"/>
          <w:lang w:bidi="ru-RU"/>
        </w:rPr>
        <w:softHyphen/>
        <w:t>ководителем работ по созданию самоле</w:t>
      </w:r>
      <w:r w:rsidRPr="00507A31">
        <w:rPr>
          <w:color w:val="0070C0"/>
          <w:sz w:val="16"/>
          <w:szCs w:val="16"/>
          <w:lang w:bidi="ru-RU"/>
        </w:rPr>
        <w:softHyphen/>
        <w:t>тов, получил задание на проектиро</w:t>
      </w:r>
      <w:r w:rsidRPr="00507A31">
        <w:rPr>
          <w:color w:val="0070C0"/>
          <w:sz w:val="16"/>
          <w:szCs w:val="16"/>
          <w:lang w:bidi="ru-RU"/>
        </w:rPr>
        <w:softHyphen/>
        <w:t>вание бронированного штурмовика. Ак</w:t>
      </w:r>
      <w:r w:rsidRPr="00507A31">
        <w:rPr>
          <w:color w:val="0070C0"/>
          <w:sz w:val="16"/>
          <w:szCs w:val="16"/>
          <w:lang w:bidi="ru-RU"/>
        </w:rPr>
        <w:softHyphen/>
        <w:t>тивную помощь Поликарпову оказывал С.А. Кочеригин. В дальнейшем, когда По</w:t>
      </w:r>
      <w:r w:rsidRPr="00507A31">
        <w:rPr>
          <w:color w:val="0070C0"/>
          <w:sz w:val="16"/>
          <w:szCs w:val="16"/>
          <w:lang w:bidi="ru-RU"/>
        </w:rPr>
        <w:softHyphen/>
        <w:t>ликарпов в сентябре 1930 г. по ложному обвинению «во вредительстве» был снят с должности, его бригадой стал руково</w:t>
      </w:r>
      <w:r w:rsidRPr="00507A31">
        <w:rPr>
          <w:color w:val="0070C0"/>
          <w:sz w:val="16"/>
          <w:szCs w:val="16"/>
          <w:lang w:bidi="ru-RU"/>
        </w:rPr>
        <w:softHyphen/>
        <w:t>дить Кочеригин. Он достраивал штур</w:t>
      </w:r>
      <w:r w:rsidRPr="00507A31">
        <w:rPr>
          <w:color w:val="0070C0"/>
          <w:sz w:val="16"/>
          <w:szCs w:val="16"/>
          <w:lang w:bidi="ru-RU"/>
        </w:rPr>
        <w:softHyphen/>
        <w:t>мовики и занимался их доводкой. Нес</w:t>
      </w:r>
      <w:r w:rsidRPr="00507A31">
        <w:rPr>
          <w:color w:val="0070C0"/>
          <w:sz w:val="16"/>
          <w:szCs w:val="16"/>
          <w:lang w:bidi="ru-RU"/>
        </w:rPr>
        <w:softHyphen/>
        <w:t>лучайно, приказом Революционного Во</w:t>
      </w:r>
      <w:r w:rsidRPr="00507A31">
        <w:rPr>
          <w:color w:val="0070C0"/>
          <w:sz w:val="16"/>
          <w:szCs w:val="16"/>
          <w:lang w:bidi="ru-RU"/>
        </w:rPr>
        <w:softHyphen/>
        <w:t>енного совета от 22 февраля 1933 г. Ко- черигин «за конструкторские работы по военным самолетам» был награжден ор</w:t>
      </w:r>
      <w:r w:rsidRPr="00507A31">
        <w:rPr>
          <w:color w:val="0070C0"/>
          <w:sz w:val="16"/>
          <w:szCs w:val="16"/>
          <w:lang w:bidi="ru-RU"/>
        </w:rPr>
        <w:softHyphen/>
        <w:t>деном «Красная Звезда» (21062).</w:t>
      </w:r>
    </w:p>
    <w:p w14:paraId="1FC782EB" w14:textId="77777777" w:rsidR="008D1F3C" w:rsidRPr="00507A31" w:rsidRDefault="008D1F3C" w:rsidP="00507A31">
      <w:pPr>
        <w:jc w:val="both"/>
        <w:rPr>
          <w:color w:val="0070C0"/>
          <w:sz w:val="16"/>
          <w:szCs w:val="16"/>
        </w:rPr>
      </w:pPr>
    </w:p>
    <w:p w14:paraId="563DC41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A990352" w14:textId="77777777" w:rsidR="00537E5F" w:rsidRPr="00507A31" w:rsidRDefault="00537E5F" w:rsidP="00507A31">
      <w:pPr>
        <w:autoSpaceDE w:val="0"/>
        <w:autoSpaceDN w:val="0"/>
        <w:adjustRightInd w:val="0"/>
        <w:jc w:val="both"/>
        <w:rPr>
          <w:iCs/>
          <w:color w:val="000000" w:themeColor="text1"/>
          <w:sz w:val="16"/>
          <w:szCs w:val="16"/>
        </w:rPr>
      </w:pPr>
    </w:p>
    <w:p w14:paraId="7B212D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года бомбардировщик ТБ-4 вошел в план опытных работ, утвержденный Советом труда и обороны (СТО). Месяцем позже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 но опять с поправкой на другой масштаб (12024).</w:t>
      </w:r>
    </w:p>
    <w:p w14:paraId="42DBFACB" w14:textId="77777777" w:rsidR="00537E5F" w:rsidRPr="00507A31" w:rsidRDefault="00537E5F" w:rsidP="00507A31">
      <w:pPr>
        <w:autoSpaceDE w:val="0"/>
        <w:autoSpaceDN w:val="0"/>
        <w:adjustRightInd w:val="0"/>
        <w:jc w:val="both"/>
        <w:rPr>
          <w:color w:val="000000" w:themeColor="text1"/>
          <w:sz w:val="16"/>
          <w:szCs w:val="16"/>
        </w:rPr>
      </w:pPr>
    </w:p>
    <w:p w14:paraId="0C310F7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апреле 1930 года после ухода с завода Гоха проектирование И-7 в металлической версии было прервано, проект был забракован и конструктивная разработка начата заново. Схема самолета не менялась (6925).</w:t>
      </w:r>
    </w:p>
    <w:p w14:paraId="512C352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7FF23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г. на третьей машине Р-5 опробовали новые лыжи - деревянные с оковкой и резиновыми амортизаторами- оттяжками. Каждая лыжа весила 49 кг. Их признали удовлетворительными и сочли образцом, пригодным для серийного производства (12034).</w:t>
      </w:r>
    </w:p>
    <w:p w14:paraId="02000BA3" w14:textId="77777777" w:rsidR="00537E5F" w:rsidRPr="00507A31" w:rsidRDefault="00537E5F" w:rsidP="00507A31">
      <w:pPr>
        <w:autoSpaceDE w:val="0"/>
        <w:autoSpaceDN w:val="0"/>
        <w:adjustRightInd w:val="0"/>
        <w:jc w:val="both"/>
        <w:rPr>
          <w:color w:val="000000" w:themeColor="text1"/>
          <w:sz w:val="16"/>
          <w:szCs w:val="16"/>
        </w:rPr>
      </w:pPr>
    </w:p>
    <w:p w14:paraId="56CB0E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C апреля 1930 Р-5 начали поступать в войска и это лишило будущего Р-7 (АНТ-10) - увеличенный Р-3, который испытывался с 1929 и продолжал испытываться в 1930 (189,7).</w:t>
      </w:r>
    </w:p>
    <w:p w14:paraId="46F0B8FA" w14:textId="77777777" w:rsidR="00537E5F" w:rsidRPr="00507A31" w:rsidRDefault="00537E5F" w:rsidP="00507A31">
      <w:pPr>
        <w:autoSpaceDE w:val="0"/>
        <w:autoSpaceDN w:val="0"/>
        <w:adjustRightInd w:val="0"/>
        <w:jc w:val="both"/>
        <w:rPr>
          <w:color w:val="000000" w:themeColor="text1"/>
          <w:sz w:val="16"/>
          <w:szCs w:val="16"/>
        </w:rPr>
      </w:pPr>
    </w:p>
    <w:p w14:paraId="1BF53C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апреле 1930 был подготовлен Информационный доклад О предварительных испытаниях НИИ самолета Р7-БМВVI Е=6</w:t>
      </w:r>
    </w:p>
    <w:p w14:paraId="2A13EB5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Инженер 2 отдела НИИ Кравцов сообщил нижеследующие результаты испытаний самолета Р7-БМВVI</w:t>
      </w:r>
    </w:p>
    <w:p w14:paraId="5937340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Задание начальника УВВС от 31 декабря 1929 года</w:t>
      </w:r>
    </w:p>
    <w:p w14:paraId="35D3D3D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Начато испытание 11 марта 1930 года</w:t>
      </w:r>
    </w:p>
    <w:p w14:paraId="1A7212F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Закончено испытание 21 марта 1930 года</w:t>
      </w:r>
    </w:p>
    <w:p w14:paraId="254EEC0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сдан ЦАГИ 23 марта 1930 года</w:t>
      </w:r>
    </w:p>
    <w:p w14:paraId="5FC2391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Р-7 с мотором БМВ VI № 16524-500 НР</w:t>
      </w:r>
    </w:p>
    <w:p w14:paraId="3913F73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Назначение самолета – разведчик и легкий бомбардировщик</w:t>
      </w:r>
    </w:p>
    <w:p w14:paraId="4DFF37F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металлической конструкции, одномоторный, двухместный</w:t>
      </w:r>
    </w:p>
    <w:p w14:paraId="5311FF4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Заключение НИИ:</w:t>
      </w:r>
    </w:p>
    <w:p w14:paraId="747B21C1"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Данные потолка и горизонтальной скорости на 3000 м не удовлетворяют техническим требованиям:</w:t>
      </w:r>
    </w:p>
    <w:p w14:paraId="32CAD696"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 5500 м вместо 6500 м;</w:t>
      </w:r>
    </w:p>
    <w:p w14:paraId="2A96FA81"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горизонтальная скорость на 3000 м – 212,5 км/час вместо 240-250 км/час.</w:t>
      </w:r>
    </w:p>
    <w:p w14:paraId="7D1501AC"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Стрелковое вооружение не доработано. Фото- радио, электрооборудование и бомбосбрасыватели не установлены.</w:t>
      </w:r>
    </w:p>
    <w:p w14:paraId="29EE296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………………(6951, 105-110).</w:t>
      </w:r>
    </w:p>
    <w:p w14:paraId="30B65ED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F61D1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состоялся первый осмотр макета АНТ-8. Были замечания и решили представить макет еще раз (346,40).</w:t>
      </w:r>
    </w:p>
    <w:p w14:paraId="46B3A757" w14:textId="77777777" w:rsidR="00537E5F" w:rsidRPr="00507A31" w:rsidRDefault="00537E5F" w:rsidP="00507A31">
      <w:pPr>
        <w:autoSpaceDE w:val="0"/>
        <w:autoSpaceDN w:val="0"/>
        <w:adjustRightInd w:val="0"/>
        <w:jc w:val="both"/>
        <w:rPr>
          <w:color w:val="000000" w:themeColor="text1"/>
          <w:sz w:val="16"/>
          <w:szCs w:val="16"/>
        </w:rPr>
      </w:pPr>
    </w:p>
    <w:p w14:paraId="752781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г. немецкий конструктор Гох, сдав работу и получив немалые деньги, убыл в Гер</w:t>
      </w:r>
      <w:r w:rsidRPr="00507A31">
        <w:rPr>
          <w:color w:val="000000" w:themeColor="text1"/>
          <w:sz w:val="16"/>
          <w:szCs w:val="16"/>
        </w:rPr>
        <w:softHyphen/>
        <w:t>манию. При детальном рассмотрении проект Гоха был забракован как не соответствующий ни техническим требованиям, ни замыслу машины, и разработка свар</w:t>
      </w:r>
      <w:r w:rsidRPr="00507A31">
        <w:rPr>
          <w:color w:val="000000" w:themeColor="text1"/>
          <w:sz w:val="16"/>
          <w:szCs w:val="16"/>
        </w:rPr>
        <w:softHyphen/>
        <w:t>ной конструкции была начата заново отечественными инженерами (10667).</w:t>
      </w:r>
    </w:p>
    <w:p w14:paraId="07A4F334" w14:textId="77777777" w:rsidR="00537E5F" w:rsidRPr="00507A31" w:rsidRDefault="00537E5F" w:rsidP="00507A31">
      <w:pPr>
        <w:autoSpaceDE w:val="0"/>
        <w:autoSpaceDN w:val="0"/>
        <w:adjustRightInd w:val="0"/>
        <w:jc w:val="both"/>
        <w:rPr>
          <w:color w:val="000000" w:themeColor="text1"/>
          <w:sz w:val="16"/>
          <w:szCs w:val="16"/>
        </w:rPr>
      </w:pPr>
    </w:p>
    <w:p w14:paraId="5E12D327" w14:textId="77777777" w:rsidR="003525DA" w:rsidRPr="00507A31" w:rsidRDefault="003525DA" w:rsidP="00507A31">
      <w:pPr>
        <w:pStyle w:val="rtejustify"/>
        <w:shd w:val="clear" w:color="auto" w:fill="FFFFFF"/>
        <w:spacing w:before="0" w:after="0"/>
        <w:rPr>
          <w:color w:val="000000" w:themeColor="text1"/>
          <w:sz w:val="16"/>
          <w:szCs w:val="16"/>
        </w:rPr>
      </w:pPr>
      <w:r w:rsidRPr="00507A31">
        <w:rPr>
          <w:color w:val="000000" w:themeColor="text1"/>
          <w:sz w:val="16"/>
          <w:szCs w:val="16"/>
        </w:rPr>
        <w:t>В апреле 1930 года А. И. Путилов был откомандирован из ЦАГИ и возглавил конструкторскую группу по стальному самолетостроению «Добролета» (ОСД), а руководство бригадой №4 АГОС практически перешло к П. О. Сухому. 4 октября 1930 года группа ОСД «Добролета», под эгидой Главной инспекции ГВФ была реорганизована в НИИ ГВФ. Заведующим отделом опытного самолетостроения и главным конструктором НИИ ГВФ назначили А. И. Путилова. Освободившуюся должность начальника бригады №4 АГОС ЦАГИ занял П. О. Сухой (19171).</w:t>
      </w:r>
    </w:p>
    <w:p w14:paraId="133B6107" w14:textId="77777777" w:rsidR="003525DA" w:rsidRPr="00507A31" w:rsidRDefault="003525DA" w:rsidP="00507A31">
      <w:pPr>
        <w:pStyle w:val="rtejustify"/>
        <w:shd w:val="clear" w:color="auto" w:fill="FFFFFF"/>
        <w:spacing w:before="0" w:after="0"/>
        <w:rPr>
          <w:color w:val="000000" w:themeColor="text1"/>
          <w:sz w:val="16"/>
          <w:szCs w:val="16"/>
        </w:rPr>
      </w:pPr>
    </w:p>
    <w:p w14:paraId="680605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C апреля 1930 (по 1942) по воспоминаниям А.И.Путилова он руководил КБ по постройке самолетов из нержавеющей стали.</w:t>
      </w:r>
    </w:p>
    <w:p w14:paraId="4A102B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почти одновременно - тяжелого бомбардировщика, одноместного и двухместного истребителей (228,80).</w:t>
      </w:r>
    </w:p>
    <w:p w14:paraId="696B0E55" w14:textId="77777777" w:rsidR="00537E5F" w:rsidRPr="00507A31" w:rsidRDefault="00537E5F" w:rsidP="00507A31">
      <w:pPr>
        <w:autoSpaceDE w:val="0"/>
        <w:autoSpaceDN w:val="0"/>
        <w:adjustRightInd w:val="0"/>
        <w:jc w:val="both"/>
        <w:rPr>
          <w:color w:val="000000" w:themeColor="text1"/>
          <w:sz w:val="16"/>
          <w:szCs w:val="16"/>
        </w:rPr>
      </w:pPr>
    </w:p>
    <w:p w14:paraId="4B11CB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В апреле 1930 г. и в декабре 1929 г. мотор </w:t>
      </w:r>
      <w:r w:rsidRPr="00507A31">
        <w:rPr>
          <w:color w:val="000000" w:themeColor="text1"/>
          <w:sz w:val="16"/>
          <w:szCs w:val="16"/>
          <w:lang w:val="en-US"/>
        </w:rPr>
        <w:t>W</w:t>
      </w:r>
      <w:r w:rsidRPr="00507A31">
        <w:rPr>
          <w:color w:val="000000" w:themeColor="text1"/>
          <w:sz w:val="16"/>
          <w:szCs w:val="16"/>
        </w:rPr>
        <w:t xml:space="preserve">18 дважды проходил испытания.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 </w:t>
      </w:r>
      <w:r w:rsidRPr="00507A31">
        <w:rPr>
          <w:color w:val="000000" w:themeColor="text1"/>
          <w:sz w:val="16"/>
          <w:szCs w:val="16"/>
          <w:lang w:val="en-US"/>
        </w:rPr>
        <w:t>W</w:t>
      </w:r>
      <w:r w:rsidRPr="00507A31">
        <w:rPr>
          <w:color w:val="000000" w:themeColor="text1"/>
          <w:sz w:val="16"/>
          <w:szCs w:val="16"/>
        </w:rPr>
        <w:t>18 стал первым мощным авиамотором советской конструкции, отработавшим 100 часов на испытаниях. Но двигатель страдал течью воды и масла, чрез</w:t>
      </w:r>
      <w:r w:rsidRPr="00507A31">
        <w:rPr>
          <w:color w:val="000000" w:themeColor="text1"/>
          <w:sz w:val="16"/>
          <w:szCs w:val="16"/>
        </w:rPr>
        <w:softHyphen/>
        <w:t xml:space="preserve">мерным расходом топлива, а в апреле 1930 г. выявили также трещины в картере. Был сделан вывод о том, что </w:t>
      </w:r>
      <w:r w:rsidRPr="00507A31">
        <w:rPr>
          <w:color w:val="000000" w:themeColor="text1"/>
          <w:sz w:val="16"/>
          <w:szCs w:val="16"/>
          <w:lang w:val="en-US"/>
        </w:rPr>
        <w:t>W</w:t>
      </w:r>
      <w:r w:rsidRPr="00507A31">
        <w:rPr>
          <w:color w:val="000000" w:themeColor="text1"/>
          <w:sz w:val="16"/>
          <w:szCs w:val="16"/>
        </w:rPr>
        <w:t>I8 не имеет преимуществ перед уже выпускавшимся серийно М-17. В дальнейшем вся работа велась только по М-19 и М-27. Занимались ими на заводе № 24. Двигатель М-19 смогли выставить на испытания в январе 1930 г. В ходе испытаний долго мучались с растрескиванием ру</w:t>
      </w:r>
      <w:r w:rsidRPr="00507A31">
        <w:rPr>
          <w:color w:val="000000" w:themeColor="text1"/>
          <w:sz w:val="16"/>
          <w:szCs w:val="16"/>
        </w:rPr>
        <w:softHyphen/>
        <w:t>башек охлаждения цилиндров, пока не ввели рубашки с гофрами. Разру</w:t>
      </w:r>
      <w:r w:rsidRPr="00507A31">
        <w:rPr>
          <w:color w:val="000000" w:themeColor="text1"/>
          <w:sz w:val="16"/>
          <w:szCs w:val="16"/>
        </w:rPr>
        <w:softHyphen/>
        <w:t>шались коренные подшипники, ломались штоки клапанов. Несколько раз трескался коленчатый вал. Слишком велик был износ тарелок клапанов и поршневых пальцев. В ноябре 1930 г. М-19 выставили на госиспыта</w:t>
      </w:r>
      <w:r w:rsidRPr="00507A31">
        <w:rPr>
          <w:color w:val="000000" w:themeColor="text1"/>
          <w:sz w:val="16"/>
          <w:szCs w:val="16"/>
        </w:rPr>
        <w:softHyphen/>
        <w:t>ния, но 4 декабря двигатель разрушился из-за обрыва шатуна. Второй экземпляр мотора отработал 100 часов, но за это время дважды меняли крыльчатку ПЦН. В дальнейшем на базе проекта М-19с собирались создать двигатель М-30, развитием которого должны были стать М-31 и М-32. Несмотря на неудачу на госиспытаниях, двигатель все-таки передали для летных испытаний на биплане Р-5. В мае — июне 1931 г. с ним со</w:t>
      </w:r>
      <w:r w:rsidRPr="00507A31">
        <w:rPr>
          <w:color w:val="000000" w:themeColor="text1"/>
          <w:sz w:val="16"/>
          <w:szCs w:val="16"/>
        </w:rPr>
        <w:softHyphen/>
        <w:t>вершили несколько полетов. Данные самолета с М-19 оказались хуже, чем с М-17. Заказ на 50 М-19, запланированный на 1931 г., аннули</w:t>
      </w:r>
      <w:r w:rsidRPr="00507A31">
        <w:rPr>
          <w:color w:val="000000" w:themeColor="text1"/>
          <w:sz w:val="16"/>
          <w:szCs w:val="16"/>
        </w:rPr>
        <w:softHyphen/>
        <w:t>ровали. Дальнейшее совершенствование М-19 поручили ИАМ. Там с мая 1931 г. продолжили проектирование модификации М-19а, форсированной до 650 л.с. Она отличалась новым блоком головок и измененной кон</w:t>
      </w:r>
      <w:r w:rsidRPr="00507A31">
        <w:rPr>
          <w:color w:val="000000" w:themeColor="text1"/>
          <w:sz w:val="16"/>
          <w:szCs w:val="16"/>
        </w:rPr>
        <w:softHyphen/>
        <w:t>струкцией привода ПЦН. Но работу по М-19 в 1931 г. закрыли, и М-19а построен не был.</w:t>
      </w:r>
    </w:p>
    <w:p w14:paraId="04C4CA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0CA6A9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 18-цшиндровый, рядный </w:t>
      </w:r>
      <w:r w:rsidRPr="00507A31">
        <w:rPr>
          <w:color w:val="000000" w:themeColor="text1"/>
          <w:sz w:val="16"/>
          <w:szCs w:val="16"/>
          <w:lang w:val="en-US"/>
        </w:rPr>
        <w:t>W</w:t>
      </w:r>
      <w:r w:rsidRPr="00507A31">
        <w:rPr>
          <w:color w:val="000000" w:themeColor="text1"/>
          <w:sz w:val="16"/>
          <w:szCs w:val="16"/>
        </w:rPr>
        <w:t>-образный блочный (блоки под углом 40°), четырехтактный, водяного охлаждения;</w:t>
      </w:r>
    </w:p>
    <w:p w14:paraId="70D35F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по проекту 670/800 л.с. (реально на испытаниях последних образцов достигли 630/818 л.с.);</w:t>
      </w:r>
    </w:p>
    <w:p w14:paraId="77FD7B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6,4 (у первого экземпляра 5,5, далее — 6,35);</w:t>
      </w:r>
    </w:p>
    <w:p w14:paraId="526671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125/160 мм;</w:t>
      </w:r>
    </w:p>
    <w:p w14:paraId="3F23A6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35,4 л;</w:t>
      </w:r>
    </w:p>
    <w:p w14:paraId="55A927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 безредукторный;</w:t>
      </w:r>
    </w:p>
    <w:p w14:paraId="555334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вес 575 кг (у первого экземпляра 563 кг, по проекту — 550 кг). На самолетах не устанавливался (11852).</w:t>
      </w:r>
    </w:p>
    <w:p w14:paraId="741362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6C0710A" w14:textId="77777777" w:rsidR="003525DA" w:rsidRPr="00507A31" w:rsidRDefault="003525DA"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С апреля 1930 г. из Франции начали поступать моторы Гном-Рон 9Aq мощностью 480 л.с., которыми и стали далее комплектоваться истребители И-4. Это способствовало приросту летных данных. Новые двигатели комплектовались карбюраторами типа «Зенит», винты тоже монтировались другие.</w:t>
      </w:r>
    </w:p>
    <w:p w14:paraId="3FBD47E7" w14:textId="77777777" w:rsidR="003525DA" w:rsidRPr="00507A31" w:rsidRDefault="003525DA"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Сдача самолетов периодически прерывалась из-за нехватки комплектующих. 10-я серия застряла без винтов, всю 13-ю серию предъявили без синхронизаторов (19100).</w:t>
      </w:r>
    </w:p>
    <w:p w14:paraId="5B7C3664" w14:textId="77777777" w:rsidR="003525DA" w:rsidRPr="00507A31" w:rsidRDefault="003525DA" w:rsidP="00507A31">
      <w:pPr>
        <w:pStyle w:val="a8"/>
        <w:jc w:val="both"/>
        <w:rPr>
          <w:rFonts w:ascii="Times New Roman" w:hAnsi="Times New Roman" w:cs="Times New Roman"/>
          <w:color w:val="000000" w:themeColor="text1"/>
        </w:rPr>
      </w:pPr>
    </w:p>
    <w:p w14:paraId="473F93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апреля 1930 на заводе № 24 начали производство М-17,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507A31">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507A31">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507A31">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507A31">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507A31">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07A31">
        <w:rPr>
          <w:color w:val="000000" w:themeColor="text1"/>
          <w:sz w:val="16"/>
          <w:szCs w:val="16"/>
        </w:rPr>
        <w:softHyphen/>
        <w:t>лись целые серии высотных двигателей. Например, все моторы, входив</w:t>
      </w:r>
      <w:r w:rsidRPr="00507A31">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07A31">
        <w:rPr>
          <w:color w:val="000000" w:themeColor="text1"/>
          <w:sz w:val="16"/>
          <w:szCs w:val="16"/>
        </w:rPr>
        <w:softHyphen/>
        <w:t>лись планы его последующей модернизации. При этом не только следова</w:t>
      </w:r>
      <w:r w:rsidRPr="00507A31">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07A31">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07A31">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07A31">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07A31">
        <w:rPr>
          <w:color w:val="000000" w:themeColor="text1"/>
          <w:sz w:val="16"/>
          <w:szCs w:val="16"/>
        </w:rPr>
        <w:softHyphen/>
        <w:t>ны всего производства авиадвигателей в стране. Далее же начался спад (11852).</w:t>
      </w:r>
    </w:p>
    <w:p w14:paraId="6D09F1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17867EF" w14:textId="77777777" w:rsidR="00DA4C3B" w:rsidRPr="00507A31" w:rsidRDefault="00DA4C3B" w:rsidP="00507A31">
      <w:pPr>
        <w:jc w:val="both"/>
        <w:rPr>
          <w:color w:val="000000" w:themeColor="text1"/>
          <w:sz w:val="16"/>
          <w:szCs w:val="16"/>
        </w:rPr>
      </w:pPr>
      <w:r w:rsidRPr="00507A31">
        <w:rPr>
          <w:color w:val="000000" w:themeColor="text1"/>
          <w:sz w:val="16"/>
          <w:szCs w:val="16"/>
        </w:rPr>
        <w:t xml:space="preserve">В апреле 1930-го на «Большевике» работала инспекция от Наркомата вооружений РККА. В отчете комиссии была дана развернутая картина состояния завода. Вот довольно любопытный отрывок из этого документа: «...В прошлом завод был казенным, единственным в морском ведомстве работал вне конкуренции и находился на государственном бюджете. Эти обстоятельства создали на </w:t>
      </w:r>
      <w:r w:rsidRPr="00507A31">
        <w:rPr>
          <w:rStyle w:val="highlight"/>
          <w:color w:val="000000" w:themeColor="text1"/>
          <w:sz w:val="16"/>
          <w:szCs w:val="16"/>
        </w:rPr>
        <w:t> заводе </w:t>
      </w:r>
      <w:r w:rsidRPr="00507A31">
        <w:rPr>
          <w:color w:val="000000" w:themeColor="text1"/>
          <w:sz w:val="16"/>
          <w:szCs w:val="16"/>
        </w:rPr>
        <w:t xml:space="preserve"> своеобразную установку дела, свои традиции, которые в общежитии обычно охарактеризовываются - «работать по казенному», т.е. работать дорого, с «прохладцей» и по «старинке». Перечисленные факторы на </w:t>
      </w:r>
      <w:r w:rsidRPr="00507A31">
        <w:rPr>
          <w:rStyle w:val="highlight"/>
          <w:color w:val="000000" w:themeColor="text1"/>
          <w:sz w:val="16"/>
          <w:szCs w:val="16"/>
        </w:rPr>
        <w:t> заводе </w:t>
      </w:r>
      <w:r w:rsidRPr="00507A31">
        <w:rPr>
          <w:color w:val="000000" w:themeColor="text1"/>
          <w:sz w:val="16"/>
          <w:szCs w:val="16"/>
        </w:rPr>
        <w:t xml:space="preserve"> сильно укоренились и, к сожалению, частично сохранились до нашего времени, ломка их и перестройка общего уклада производственной жизни </w:t>
      </w:r>
      <w:r w:rsidRPr="00507A31">
        <w:rPr>
          <w:rStyle w:val="highlight"/>
          <w:color w:val="000000" w:themeColor="text1"/>
          <w:sz w:val="16"/>
          <w:szCs w:val="16"/>
        </w:rPr>
        <w:t> завода </w:t>
      </w:r>
      <w:r w:rsidRPr="00507A31">
        <w:rPr>
          <w:color w:val="000000" w:themeColor="text1"/>
          <w:sz w:val="16"/>
          <w:szCs w:val="16"/>
        </w:rPr>
        <w:t xml:space="preserve"> происходит крайне медленным темпом...» (вся орфография и пунктуация здесь и далее сохранены).</w:t>
      </w:r>
    </w:p>
    <w:p w14:paraId="73380D45" w14:textId="77777777" w:rsidR="00DA4C3B" w:rsidRPr="00507A31" w:rsidRDefault="00DA4C3B" w:rsidP="00507A31">
      <w:pPr>
        <w:jc w:val="both"/>
        <w:rPr>
          <w:color w:val="000000" w:themeColor="text1"/>
          <w:sz w:val="16"/>
          <w:szCs w:val="16"/>
        </w:rPr>
      </w:pPr>
      <w:r w:rsidRPr="00507A31">
        <w:rPr>
          <w:color w:val="000000" w:themeColor="text1"/>
          <w:sz w:val="16"/>
          <w:szCs w:val="16"/>
        </w:rPr>
        <w:t xml:space="preserve">Первый </w:t>
      </w:r>
      <w:bookmarkStart w:id="43" w:name="YANDEX_11"/>
      <w:bookmarkEnd w:id="43"/>
      <w:r w:rsidRPr="00507A31">
        <w:rPr>
          <w:rStyle w:val="highlight"/>
          <w:color w:val="000000" w:themeColor="text1"/>
          <w:sz w:val="16"/>
          <w:szCs w:val="16"/>
        </w:rPr>
        <w:t> завод </w:t>
      </w:r>
      <w:r w:rsidRPr="00507A31">
        <w:rPr>
          <w:color w:val="000000" w:themeColor="text1"/>
          <w:sz w:val="16"/>
          <w:szCs w:val="16"/>
        </w:rPr>
        <w:t xml:space="preserve"> в СССР, освоивший выпуск авиамоторов, ведущее танкостроительное предприятие страны (а звание «ленинградский рабочий» было своего рода эталоном для трудящихся Союза) - и вдруг такая нелестная характеристика. И вот что еще интересно: в феврале этого же года </w:t>
      </w:r>
      <w:bookmarkStart w:id="44" w:name="YANDEX_12"/>
      <w:bookmarkEnd w:id="44"/>
      <w:r w:rsidRPr="00507A31">
        <w:rPr>
          <w:rStyle w:val="highlight"/>
          <w:color w:val="000000" w:themeColor="text1"/>
          <w:sz w:val="16"/>
          <w:szCs w:val="16"/>
        </w:rPr>
        <w:t> заводу </w:t>
      </w:r>
      <w:r w:rsidRPr="00507A31">
        <w:rPr>
          <w:color w:val="000000" w:themeColor="text1"/>
          <w:sz w:val="16"/>
          <w:szCs w:val="16"/>
        </w:rPr>
        <w:t xml:space="preserve"> было присвоено звание Ударного за повышение производительности труда.</w:t>
      </w:r>
    </w:p>
    <w:p w14:paraId="4861FAEA" w14:textId="77777777" w:rsidR="00DA4C3B" w:rsidRPr="00507A31" w:rsidRDefault="00DA4C3B" w:rsidP="00507A31">
      <w:pPr>
        <w:jc w:val="both"/>
        <w:rPr>
          <w:color w:val="000000" w:themeColor="text1"/>
          <w:sz w:val="16"/>
          <w:szCs w:val="16"/>
        </w:rPr>
      </w:pPr>
      <w:r w:rsidRPr="00507A31">
        <w:rPr>
          <w:color w:val="000000" w:themeColor="text1"/>
          <w:sz w:val="16"/>
          <w:szCs w:val="16"/>
        </w:rPr>
        <w:t xml:space="preserve">Количество рабочих и служащих на </w:t>
      </w:r>
      <w:r w:rsidRPr="00507A31">
        <w:rPr>
          <w:rStyle w:val="highlight"/>
          <w:color w:val="000000" w:themeColor="text1"/>
          <w:sz w:val="16"/>
          <w:szCs w:val="16"/>
        </w:rPr>
        <w:t> заводе </w:t>
      </w:r>
      <w:r w:rsidRPr="00507A31">
        <w:rPr>
          <w:color w:val="000000" w:themeColor="text1"/>
          <w:sz w:val="16"/>
          <w:szCs w:val="16"/>
        </w:rPr>
        <w:t xml:space="preserve"> к 1 апреля 1930 года составляло 9270 человек. В </w:t>
      </w:r>
      <w:r w:rsidRPr="00507A31">
        <w:rPr>
          <w:rStyle w:val="highlight"/>
          <w:color w:val="000000" w:themeColor="text1"/>
          <w:sz w:val="16"/>
          <w:szCs w:val="16"/>
        </w:rPr>
        <w:t> 1929 </w:t>
      </w:r>
      <w:r w:rsidRPr="00507A31">
        <w:rPr>
          <w:color w:val="000000" w:themeColor="text1"/>
          <w:sz w:val="16"/>
          <w:szCs w:val="16"/>
        </w:rPr>
        <w:t xml:space="preserve"> году предприятие выпустило 87,5 процента военной и 12,5 процента гражданской продукции. К моменту приезда крупповцев «Большевик» занимался сталелитейным производством, крупнокалиберной и зенитной артиллерией, выпуском снарядов, авиамоторостроением, танкостроением и тракторостроением.</w:t>
      </w:r>
    </w:p>
    <w:p w14:paraId="71E3BDBE" w14:textId="77777777" w:rsidR="00DA4C3B" w:rsidRPr="00507A31" w:rsidRDefault="00DA4C3B" w:rsidP="00507A31">
      <w:pPr>
        <w:jc w:val="both"/>
        <w:rPr>
          <w:color w:val="000000" w:themeColor="text1"/>
          <w:sz w:val="16"/>
          <w:szCs w:val="16"/>
        </w:rPr>
      </w:pPr>
      <w:r w:rsidRPr="00507A31">
        <w:rPr>
          <w:color w:val="000000" w:themeColor="text1"/>
          <w:sz w:val="16"/>
          <w:szCs w:val="16"/>
        </w:rPr>
        <w:t xml:space="preserve">Поначалу планировалось, что немцы начнут работу в СССР в конце января 1930-го, но организационные проблемы и неурядицы приезд немецких специалистов затянули до конца марта. 18 марта ГОМЗ направило служебное письмо на </w:t>
      </w:r>
      <w:r w:rsidRPr="00507A31">
        <w:rPr>
          <w:rStyle w:val="highlight"/>
          <w:color w:val="000000" w:themeColor="text1"/>
          <w:sz w:val="16"/>
          <w:szCs w:val="16"/>
        </w:rPr>
        <w:t> завод </w:t>
      </w:r>
      <w:r w:rsidRPr="00507A31">
        <w:rPr>
          <w:color w:val="000000" w:themeColor="text1"/>
          <w:sz w:val="16"/>
          <w:szCs w:val="16"/>
        </w:rPr>
        <w:t xml:space="preserve"> «Большевик». В нем сообщалось, что в Москву в ближайшие дни приезжают 12 крупповских специалистов. Интересны некоторые указания, данные в письме, по поводу организации работы и бытовому устройству немцев. «...Особое внимание руководства предприятий должно быть сосредоточено на предоставлении крупповским специалистам полной возможности осуществлять поставленные перед ними задания, отнюдь не загружая их частыми совещаниями, как в рабочее время, так и вне этого времени. Такое же внимание должно быть обращено на создание для крупповских специалистов самых благоприятных условий, чисто бытового характера, а именно: им должна быть предоставлена чистая и хорошая квартира со всеми удобствами. Вопрос с продовольствием должен быть им настолько гарантирован, чтобы они имели возможность получать продукты питания, не теряя время на стоянку в очередях и т.д. Имевшие место на наших предприятиях недоразумения и конфликты с иностранными специалистами, возникшие на почве мелких, но досадных неувязок в обслуживании этих специалистов, создавали нередко такую тяжелую обстановку, что работа того или иного иностранца на наших предприятиях делалась совершенно невозможной...».</w:t>
      </w:r>
    </w:p>
    <w:p w14:paraId="48F320F4" w14:textId="77777777" w:rsidR="00DA4C3B" w:rsidRPr="00507A31" w:rsidRDefault="00DA4C3B" w:rsidP="00507A31">
      <w:pPr>
        <w:jc w:val="both"/>
        <w:rPr>
          <w:color w:val="000000" w:themeColor="text1"/>
          <w:sz w:val="16"/>
          <w:szCs w:val="16"/>
        </w:rPr>
      </w:pPr>
      <w:r w:rsidRPr="00507A31">
        <w:rPr>
          <w:color w:val="000000" w:themeColor="text1"/>
          <w:sz w:val="16"/>
          <w:szCs w:val="16"/>
        </w:rPr>
        <w:t>Дирекция завода «Большевик» сделала главный упор на обеспечение бытовых условий немецким работникам и... совсем забросила производственную суть дела. Что до «чистой и хорошей квартиры со всеми удобствами», то руководство «Большевика» сняло несколько номеров в гостинице «Европейская». Шесть раз в неделю туда и обратно ездила машина от гостиницы в район, где сегодня находится станция метро «Пролетарская». Все это удовольствие выходило заводу в копеечку, так как питание и проживание немцев оплачивались из заводской кассы.</w:t>
      </w:r>
    </w:p>
    <w:p w14:paraId="3243FF17" w14:textId="77777777" w:rsidR="00DA4C3B" w:rsidRPr="00507A31" w:rsidRDefault="00DA4C3B" w:rsidP="00507A31">
      <w:pPr>
        <w:jc w:val="both"/>
        <w:rPr>
          <w:color w:val="000000" w:themeColor="text1"/>
          <w:sz w:val="16"/>
          <w:szCs w:val="16"/>
        </w:rPr>
      </w:pPr>
      <w:r w:rsidRPr="00507A31">
        <w:rPr>
          <w:color w:val="000000" w:themeColor="text1"/>
          <w:sz w:val="16"/>
          <w:szCs w:val="16"/>
        </w:rPr>
        <w:t>30 марта состоялось совещание представителей металлургических заводов города, на котором обсуждался приезд крупповских специалистов в Ленинград. Было решено, что в связи с инспекцией Наркомата вооружений, проводимой на «Большевике», первые две недели немцы будут работать на «Красном Путиловце». В итоге крупповцы приступили к работе на «Большевике» только в середине апреля.</w:t>
      </w:r>
    </w:p>
    <w:p w14:paraId="759DF603" w14:textId="77777777" w:rsidR="00DA4C3B" w:rsidRPr="00507A31" w:rsidRDefault="00DA4C3B" w:rsidP="00507A31">
      <w:pPr>
        <w:jc w:val="both"/>
        <w:rPr>
          <w:color w:val="000000" w:themeColor="text1"/>
          <w:sz w:val="16"/>
          <w:szCs w:val="16"/>
        </w:rPr>
      </w:pPr>
      <w:r w:rsidRPr="00507A31">
        <w:rPr>
          <w:color w:val="000000" w:themeColor="text1"/>
          <w:sz w:val="16"/>
          <w:szCs w:val="16"/>
        </w:rPr>
        <w:t>Москва постоянно держала на контроле пребывание немцев на заводе. В течение апреля и мая было несколько проверок из ГОМЗ и Оружейного объединения. И судя по служебным письмам из центра, дирекция завода не уловила всю серьезность момента. Первое предупреждение было вынесено телеграммой от 5 мая на имя помощника директора «Большевика» по технической части Файберга и главного инженера Клемма. «Ко мне поступил доклад о безобразном даже более - преступном отношении руководства завода по отношению прикомандированных специалистов Круппа и 2 инженеров немцев, приглашенных к вам на работу. Вы являетесь в первую очередь ответственными за правильное использование указанных работников и не принимаете никаких мер, как ответственные технические руководители завода, ставя Вам на вид за такое отношение, приказываю принять решительные меры полного использования, находящихся на В/заводе иностранных специалистов, повторный контроль со стороны Объединения и обнаружения подобного рода упущений повлечет за собой предания Вас к судебной ответственности. Начальник Оружобъединения Урываев».</w:t>
      </w:r>
    </w:p>
    <w:p w14:paraId="47F3B711" w14:textId="77777777" w:rsidR="00DA4C3B" w:rsidRPr="00507A31" w:rsidRDefault="00DA4C3B" w:rsidP="00507A31">
      <w:pPr>
        <w:jc w:val="both"/>
        <w:rPr>
          <w:color w:val="000000" w:themeColor="text1"/>
          <w:sz w:val="16"/>
          <w:szCs w:val="16"/>
        </w:rPr>
      </w:pPr>
      <w:r w:rsidRPr="00507A31">
        <w:rPr>
          <w:color w:val="000000" w:themeColor="text1"/>
          <w:sz w:val="16"/>
          <w:szCs w:val="16"/>
        </w:rPr>
        <w:t>Телеграмма не из приятных еще и потому, что уже было «Шахтинское дело», в которое, кстати, вовлекли и троих немцев, а 25 февраля 1930 года Политбюро ЦК ВКП(б) приняло постановление «О ходе вредительства на предприятиях военной промышленности», и на пороге уже стоял процесс «Промпартии». Именно в это время нарастает кампания по поиску вредителей на государственных предприятиях и стройках. Условия первых лет индустриализации с ее грандиозными планами, авральными работами, использованием неквалифицированной рабочей силы и отсутствием грамотных руководителей в итоге приводило к различным авариям, поломкам оборудования, техногенным катастрофам. Руководство страны в лице карающих органов начало списывать все неудачи в промышленном производстве на преднамеренную вредительскую деятельность буржуазных сил, которые находили себе сподвижников на советских предприятиях. Тогда же и появились печально знаменитые «шарашки» - тюрьмы, где трудились инженерно-технические работники на благо обороны страны.</w:t>
      </w:r>
    </w:p>
    <w:p w14:paraId="6BC2E941" w14:textId="77777777" w:rsidR="00DA4C3B" w:rsidRPr="00507A31" w:rsidRDefault="00DA4C3B" w:rsidP="00507A31">
      <w:pPr>
        <w:jc w:val="both"/>
        <w:rPr>
          <w:color w:val="000000" w:themeColor="text1"/>
          <w:sz w:val="16"/>
          <w:szCs w:val="16"/>
        </w:rPr>
      </w:pPr>
      <w:r w:rsidRPr="00507A31">
        <w:rPr>
          <w:color w:val="000000" w:themeColor="text1"/>
          <w:sz w:val="16"/>
          <w:szCs w:val="16"/>
        </w:rPr>
        <w:t>Но пользуясь закрытостью предприятий, руководство военных заводов очень мало внимания уделяло вопросам улучшения организации производства. Еще 4 апреля 1928 года СНК (Совет Народных Комиссаров) СССР принял постановление, которым надзор за качеством всего производственного процесса и условиями труда на предприятиях военной промышленности возлагался на Наркомат труда совместно с ОГПУ (Объединенное государственное политическое управление). И главная роль в этом дуэте принадлежала госбезопасности.</w:t>
      </w:r>
    </w:p>
    <w:p w14:paraId="2F7B59E7" w14:textId="77777777" w:rsidR="00DA4C3B" w:rsidRPr="00507A31" w:rsidRDefault="00DA4C3B" w:rsidP="00507A31">
      <w:pPr>
        <w:jc w:val="both"/>
        <w:rPr>
          <w:color w:val="000000" w:themeColor="text1"/>
          <w:sz w:val="16"/>
          <w:szCs w:val="16"/>
        </w:rPr>
      </w:pPr>
      <w:r w:rsidRPr="00507A31">
        <w:rPr>
          <w:color w:val="000000" w:themeColor="text1"/>
          <w:sz w:val="16"/>
          <w:szCs w:val="16"/>
        </w:rPr>
        <w:lastRenderedPageBreak/>
        <w:t>Небольшое пояснение по поводу «2 инженеров немцев». Один из них - инженер Эдвард Гроте - начал работать на «Большевике» просто в одно время с крупповцами. Здесь он был руководителем опытного конструкторского машиностроительного отдела и создал первый отечественный танк с противоснарядным бронированием. Второй в списке иностранцев, работавших на «Большевике» в 1930-м, значится под № 1: «Полак Фриц - инженер, член ВКП(б) с 1910 г., немец».</w:t>
      </w:r>
    </w:p>
    <w:p w14:paraId="2A34ACFD" w14:textId="77777777" w:rsidR="00DA4C3B" w:rsidRPr="00507A31" w:rsidRDefault="00DA4C3B" w:rsidP="00507A31">
      <w:pPr>
        <w:jc w:val="both"/>
        <w:rPr>
          <w:color w:val="000000" w:themeColor="text1"/>
          <w:sz w:val="16"/>
          <w:szCs w:val="16"/>
        </w:rPr>
      </w:pPr>
      <w:r w:rsidRPr="00507A31">
        <w:rPr>
          <w:color w:val="000000" w:themeColor="text1"/>
          <w:sz w:val="16"/>
          <w:szCs w:val="16"/>
        </w:rPr>
        <w:t>Деятельность Полака на «Большевике» не ограничивалась чисто производственными обязанностями, он был еще и своего рода смотрящим за всеми заводскими иностранцами, благо его партийный стаж внушал доверие и уважение не только руководству завода, но и ВСНХ с Оружобъединением. Об этой роли свидетельствует такой документ: «От завода «Большевик» в Оружобъединение - интехпомощь (7.12.30) - секретно. Из прибывших инспециал. Немецких рабочих, Вэндланд Герман 5.12 с.г. подал заявление об увольнении его 6.12 с.г. на родину с отходящим пароходом, ссылаясь на болезнь и данную справку от доктора Кооперативной артели, что ему требуется смена климата и вторая операция. К этому заявлению была приколота записка Зав.Бр. МО тов.Полака, что быстрый отъезд его является подозрительным, о чем он просил проверить. В настоящее время Вэндланд изъявил желание находиться в номере и ждать разрешения об отпуске. На предложение лечь в больницу в Ленинграде отказался. О чем Заводоуправление просит В/срочного распоряжения».</w:t>
      </w:r>
    </w:p>
    <w:p w14:paraId="41DD36FC" w14:textId="77777777" w:rsidR="00DA4C3B" w:rsidRPr="00507A31" w:rsidRDefault="00DA4C3B" w:rsidP="00507A31">
      <w:pPr>
        <w:jc w:val="both"/>
        <w:rPr>
          <w:color w:val="000000" w:themeColor="text1"/>
          <w:sz w:val="16"/>
          <w:szCs w:val="16"/>
        </w:rPr>
      </w:pPr>
      <w:r w:rsidRPr="00507A31">
        <w:rPr>
          <w:color w:val="000000" w:themeColor="text1"/>
          <w:sz w:val="16"/>
          <w:szCs w:val="16"/>
        </w:rPr>
        <w:t>Справедливости ради заметим, что порой проблемы с иностранными работниками возникали не на пустом месте. В основном это касалось их чрезмерной любознательности, как по политическому устройству страны, так и по ее экономической составляющей.</w:t>
      </w:r>
    </w:p>
    <w:p w14:paraId="5E93298D" w14:textId="77777777" w:rsidR="00DA4C3B" w:rsidRPr="00507A31" w:rsidRDefault="00DA4C3B" w:rsidP="00507A31">
      <w:pPr>
        <w:jc w:val="both"/>
        <w:rPr>
          <w:color w:val="000000" w:themeColor="text1"/>
          <w:sz w:val="16"/>
          <w:szCs w:val="16"/>
        </w:rPr>
      </w:pPr>
      <w:r w:rsidRPr="00507A31">
        <w:rPr>
          <w:color w:val="000000" w:themeColor="text1"/>
          <w:sz w:val="16"/>
          <w:szCs w:val="16"/>
        </w:rPr>
        <w:t>«ВСНХ СССР Металлургическое бюро по иностранной техпомощи (Металлбюро) заводу «Большевик» - 10 сентября 1930 г.</w:t>
      </w:r>
    </w:p>
    <w:p w14:paraId="4EADF56A" w14:textId="77777777" w:rsidR="00DA4C3B" w:rsidRPr="00507A31" w:rsidRDefault="00DA4C3B" w:rsidP="00507A31">
      <w:pPr>
        <w:jc w:val="both"/>
        <w:rPr>
          <w:color w:val="000000" w:themeColor="text1"/>
          <w:sz w:val="16"/>
          <w:szCs w:val="16"/>
        </w:rPr>
      </w:pPr>
      <w:r w:rsidRPr="00507A31">
        <w:rPr>
          <w:color w:val="000000" w:themeColor="text1"/>
          <w:sz w:val="16"/>
          <w:szCs w:val="16"/>
        </w:rPr>
        <w:t>1. Металлбюро ставит Вас в известность, что некоторые специалисты, прибывающие в порядке обслуживания технической помощью по договору с фирмой «Крупп», во многих случаях проявили излишнее любопытство в вопросах к их прямому делу не относящихся. (Например: количество рабочих занятых на том или ином производстве, бытовые условия рабочих, процент партийцев и пр.). Поэтому Метбюро рекомендует на все вопросы крупповцев ссылаться на Металлбюро, которое имеет точные данные по всем этим вопросам и может заинтересованное лицо снабдить необходимыми сведениями...»</w:t>
      </w:r>
    </w:p>
    <w:p w14:paraId="02ACD2A1" w14:textId="77777777" w:rsidR="00DA4C3B" w:rsidRPr="00507A31" w:rsidRDefault="00DA4C3B" w:rsidP="00507A31">
      <w:pPr>
        <w:jc w:val="both"/>
        <w:rPr>
          <w:color w:val="000000" w:themeColor="text1"/>
          <w:sz w:val="16"/>
          <w:szCs w:val="16"/>
        </w:rPr>
      </w:pPr>
      <w:r w:rsidRPr="00507A31">
        <w:rPr>
          <w:color w:val="000000" w:themeColor="text1"/>
          <w:sz w:val="16"/>
          <w:szCs w:val="16"/>
        </w:rPr>
        <w:t xml:space="preserve">В течение мая на «Большевик» шли служебные письма рекомендательного характера, касающиеся максимального использования немецких специалистов в производственном процессе. У центра главная задача была одна - «выжать из них как можно больше». Этот своего рода мини-лозунг в той или иной форме встречается в большинстве документов. </w:t>
      </w:r>
    </w:p>
    <w:p w14:paraId="3B192C47" w14:textId="77777777" w:rsidR="00DA4C3B" w:rsidRPr="00507A31" w:rsidRDefault="00DA4C3B" w:rsidP="00507A31">
      <w:pPr>
        <w:jc w:val="both"/>
        <w:rPr>
          <w:color w:val="000000" w:themeColor="text1"/>
          <w:sz w:val="16"/>
          <w:szCs w:val="16"/>
        </w:rPr>
      </w:pPr>
      <w:r w:rsidRPr="00507A31">
        <w:rPr>
          <w:color w:val="000000" w:themeColor="text1"/>
          <w:sz w:val="16"/>
          <w:szCs w:val="16"/>
        </w:rPr>
        <w:t>Руководство страны, приглашая иностранных специалистов, вправе было рассчитывать на полную отдачу ими своего опыта и знаний, а также вправе было требовать и от принимающей стороны (в данном случае завод «Большевик») создания приемлемых условий для совместной работы «в деле освоения техпомощи». Какие надежды связывала Москва с Круппом, можно судить хотя бы по небольшим отрывкам из служебных писем ВСНХ, отправленных на «Большевик» в мае 1930-го. «...Для дальнейшего правильного использования техпомощи Крупна Вам необходимо развернуть эту работу не только в направлении разрешения отдельных технических вопросов, связанных с текущей производственной программой, а главным образом, в направлении решительного повышения всей техники Вашей металлургии на базе опыта Круппа и в первую очередь в решительном оздоровлении производственных условий...». «...В течение ближайшего периода Вами должна быть проведена с немцами специальная экспертиза по состоянию оборудования металлургических цехов, в результате которой завод должен наметить пути его модернизации и увязать их с вопросами пятилетки...», «...считаем нужным обратить Ваше внимание на то, что немецкие специалисты призваны не только для консультаций, но и для проведения определенных работ оперативно в полном объеме со всеми деталями технического руководства, что Вы и должны от них требовать...»</w:t>
      </w:r>
    </w:p>
    <w:p w14:paraId="4FC465B4" w14:textId="77777777" w:rsidR="00DA4C3B" w:rsidRPr="00507A31" w:rsidRDefault="00DA4C3B" w:rsidP="00507A31">
      <w:pPr>
        <w:jc w:val="both"/>
        <w:rPr>
          <w:color w:val="000000" w:themeColor="text1"/>
          <w:sz w:val="16"/>
          <w:szCs w:val="16"/>
        </w:rPr>
      </w:pPr>
      <w:r w:rsidRPr="00507A31">
        <w:rPr>
          <w:color w:val="000000" w:themeColor="text1"/>
          <w:sz w:val="16"/>
          <w:szCs w:val="16"/>
        </w:rPr>
        <w:t>Увы, на эти рекомендации дирекция завода реагирует довольно вяло. И после очередной комиссии и беседы проверяющего с немецкими работниками последовало предупредительное письмо от 1 июня 1930 года, теперь уже лично директору завода «Большевик» Сальникову. «...Не взирая на указания треста заводоуправление не сумело наладить должным образом работу крупповцев, приглашенных на непродолжительное время, что тем более настоятельно диктует необходимостью использовать каждый день, каждый час их работы... Между тем, отсутствие до сих пор ожидаемых нами от Вас материалов, равно как и упорное уклонение от посылки нам обстоятельных отчетов о работе крупповцев с конкретными выводами о технико - экономическом эффекте - все это характеризует взятый и продолжаемый администрацией В/завода в этой области темп - с прохладцей. Еще раз категорически подчеркивая настоятельную необходимость взять, наконец, в отношении работающих у Вас крупповских специалистов, курс на максимальное использование их знаний и опыта... ...обращаем Ваше внимание на то, что согласно приказа по ВСНХ за № 113/с, ответственность за правильное, наиболее эффективное использование иностранных специалистов лежит всецело на Вас...».</w:t>
      </w:r>
    </w:p>
    <w:p w14:paraId="3C7E86ED" w14:textId="77777777" w:rsidR="00DA4C3B" w:rsidRPr="00507A31" w:rsidRDefault="00DA4C3B" w:rsidP="00507A31">
      <w:pPr>
        <w:jc w:val="both"/>
        <w:rPr>
          <w:color w:val="000000" w:themeColor="text1"/>
          <w:sz w:val="16"/>
          <w:szCs w:val="16"/>
        </w:rPr>
      </w:pPr>
      <w:r w:rsidRPr="00507A31">
        <w:rPr>
          <w:color w:val="000000" w:themeColor="text1"/>
          <w:sz w:val="16"/>
          <w:szCs w:val="16"/>
        </w:rPr>
        <w:t>В СССР уже вовсю гремит лозунг «Пятилетку в четыре года», а здесь директор известного металлургического завода взял темп «с прохладцей». Для того времени это было серьезным обвинением. Следует добавить, что «Большевик» был ведущим военным заводом страны и всегда находился под пристальным вниманием высшего руководства. В то время это был, по сути, единственный завод в СССР, выпускавший танк МС-1(Т-18) - основной танк РККА в начале 1930-х. Надо заметить, что у «Большевика» имелся завод-дублер - Мотовилихинский механический завод в Перми, но там не смогли наладить крупносерийный выпуск МС-1 (15225).</w:t>
      </w:r>
    </w:p>
    <w:p w14:paraId="5D0B1873" w14:textId="77777777" w:rsidR="00DA4C3B" w:rsidRPr="00507A31" w:rsidRDefault="00DA4C3B" w:rsidP="00507A31">
      <w:pPr>
        <w:jc w:val="both"/>
        <w:rPr>
          <w:color w:val="000000" w:themeColor="text1"/>
          <w:sz w:val="16"/>
          <w:szCs w:val="16"/>
        </w:rPr>
      </w:pPr>
    </w:p>
    <w:p w14:paraId="0DB5D2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апреля 1930 на АНТ-5, производимые на 22 и 1 заводе вместо Виккерс стали устанавливать ПВ-1, а с мая - более мощные двигатели GR9Aq (346,21).</w:t>
      </w:r>
    </w:p>
    <w:p w14:paraId="1350300E" w14:textId="77777777" w:rsidR="00537E5F" w:rsidRPr="00507A31" w:rsidRDefault="00537E5F" w:rsidP="00507A31">
      <w:pPr>
        <w:autoSpaceDE w:val="0"/>
        <w:autoSpaceDN w:val="0"/>
        <w:adjustRightInd w:val="0"/>
        <w:jc w:val="both"/>
        <w:rPr>
          <w:color w:val="000000" w:themeColor="text1"/>
          <w:sz w:val="16"/>
          <w:szCs w:val="16"/>
        </w:rPr>
      </w:pPr>
    </w:p>
    <w:p w14:paraId="06504927" w14:textId="77777777" w:rsidR="00AC5973" w:rsidRPr="00507A31" w:rsidRDefault="00AC5973" w:rsidP="00507A31">
      <w:pPr>
        <w:jc w:val="both"/>
        <w:rPr>
          <w:color w:val="000000" w:themeColor="text1"/>
          <w:sz w:val="16"/>
          <w:szCs w:val="16"/>
        </w:rPr>
      </w:pPr>
      <w:r w:rsidRPr="00507A31">
        <w:rPr>
          <w:color w:val="000000" w:themeColor="text1"/>
          <w:sz w:val="16"/>
          <w:szCs w:val="16"/>
        </w:rPr>
        <w:t>В ап</w:t>
      </w:r>
      <w:r w:rsidRPr="00507A31">
        <w:rPr>
          <w:color w:val="000000" w:themeColor="text1"/>
          <w:sz w:val="16"/>
          <w:szCs w:val="16"/>
        </w:rPr>
        <w:softHyphen/>
        <w:t>реле 1930 г. А.И. Путилова откомандировали из ЦАГИ, он возглавил конструкторскую группу по стальному самолётостроению «Добролета» (ССД), а руководство бригадой № 4 АГОС фактически перешло к П.О. Сухому (15801).</w:t>
      </w:r>
    </w:p>
    <w:p w14:paraId="51131C42" w14:textId="77777777" w:rsidR="00AC5973" w:rsidRPr="00507A31" w:rsidRDefault="00AC5973" w:rsidP="00507A31">
      <w:pPr>
        <w:jc w:val="both"/>
        <w:rPr>
          <w:color w:val="000000" w:themeColor="text1"/>
          <w:sz w:val="16"/>
          <w:szCs w:val="16"/>
        </w:rPr>
      </w:pPr>
    </w:p>
    <w:p w14:paraId="652FE7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было закрыто ОКБ Р.Л.Б., созданное при НОА (2555,10).</w:t>
      </w:r>
    </w:p>
    <w:p w14:paraId="79D38C79" w14:textId="77777777" w:rsidR="00537E5F" w:rsidRPr="00507A31" w:rsidRDefault="00537E5F" w:rsidP="00507A31">
      <w:pPr>
        <w:autoSpaceDE w:val="0"/>
        <w:autoSpaceDN w:val="0"/>
        <w:adjustRightInd w:val="0"/>
        <w:jc w:val="both"/>
        <w:rPr>
          <w:color w:val="000000" w:themeColor="text1"/>
          <w:sz w:val="16"/>
          <w:szCs w:val="16"/>
        </w:rPr>
      </w:pPr>
    </w:p>
    <w:p w14:paraId="43C106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в Севастополе закончились испытания итальянских лл S.62bis, которые начались в марте 1930 и 1 секция НТК УВВС установила, что гидросамолет удовлетворяет ТТТ (2446,41).</w:t>
      </w:r>
    </w:p>
    <w:p w14:paraId="5F19AEAC" w14:textId="77777777" w:rsidR="00537E5F" w:rsidRPr="00507A31" w:rsidRDefault="00537E5F" w:rsidP="00507A31">
      <w:pPr>
        <w:autoSpaceDE w:val="0"/>
        <w:autoSpaceDN w:val="0"/>
        <w:adjustRightInd w:val="0"/>
        <w:jc w:val="both"/>
        <w:rPr>
          <w:color w:val="000000" w:themeColor="text1"/>
          <w:sz w:val="16"/>
          <w:szCs w:val="16"/>
        </w:rPr>
      </w:pPr>
    </w:p>
    <w:p w14:paraId="6B03600F" w14:textId="77777777" w:rsidR="003B321E" w:rsidRPr="00507A31" w:rsidRDefault="003B321E" w:rsidP="00507A31">
      <w:pPr>
        <w:jc w:val="both"/>
        <w:rPr>
          <w:color w:val="0070C0"/>
          <w:sz w:val="16"/>
          <w:szCs w:val="16"/>
        </w:rPr>
      </w:pPr>
      <w:r w:rsidRPr="00507A31">
        <w:rPr>
          <w:color w:val="0070C0"/>
          <w:sz w:val="16"/>
          <w:szCs w:val="16"/>
        </w:rPr>
        <w:t>В апреле 1930 года в НИИ ВВС был создан конструкторский отдел, руководителем которого и стал П.И. Гроховский. Отдел занимался темой «Воздушная пехота» – так образно называли десант. Отдел разрабатывал все, что требовалось десантникам: парашюты, специальное обмундирование и снаряжение, упаковки для доставки различных грузов, а позже и альтернативные десантно-высадочные средства (21402).</w:t>
      </w:r>
    </w:p>
    <w:p w14:paraId="7B89172E" w14:textId="77777777" w:rsidR="003B321E" w:rsidRPr="00507A31" w:rsidRDefault="003B321E" w:rsidP="00507A31">
      <w:pPr>
        <w:jc w:val="both"/>
        <w:rPr>
          <w:color w:val="0070C0"/>
          <w:sz w:val="16"/>
          <w:szCs w:val="16"/>
        </w:rPr>
      </w:pPr>
    </w:p>
    <w:p w14:paraId="774EEC20" w14:textId="77777777" w:rsidR="00933ADB" w:rsidRPr="00507A31" w:rsidRDefault="00933ADB" w:rsidP="00507A31">
      <w:pPr>
        <w:pStyle w:val="45"/>
        <w:shd w:val="clear" w:color="auto" w:fill="auto"/>
        <w:spacing w:before="0" w:line="240" w:lineRule="auto"/>
        <w:jc w:val="both"/>
        <w:rPr>
          <w:rFonts w:ascii="Times New Roman" w:cs="Times New Roman"/>
          <w:color w:val="000000" w:themeColor="text1"/>
          <w:sz w:val="16"/>
          <w:szCs w:val="16"/>
        </w:rPr>
      </w:pPr>
      <w:r w:rsidRPr="00507A31">
        <w:rPr>
          <w:rFonts w:ascii="Times New Roman" w:cs="Times New Roman"/>
          <w:color w:val="000000" w:themeColor="text1"/>
          <w:sz w:val="16"/>
          <w:szCs w:val="16"/>
        </w:rPr>
        <w:t>В апреле 1930 г. гидроканал ЦАГИ. в котором начали проводить практические исследования корпу</w:t>
      </w:r>
      <w:r w:rsidRPr="00507A31">
        <w:rPr>
          <w:rFonts w:ascii="Times New Roman" w:cs="Times New Roman"/>
          <w:color w:val="000000" w:themeColor="text1"/>
          <w:sz w:val="16"/>
          <w:szCs w:val="16"/>
        </w:rPr>
        <w:softHyphen/>
        <w:t>сов морских самолетов, ввели в экс</w:t>
      </w:r>
      <w:r w:rsidRPr="00507A31">
        <w:rPr>
          <w:rFonts w:ascii="Times New Roman" w:cs="Times New Roman"/>
          <w:color w:val="000000" w:themeColor="text1"/>
          <w:sz w:val="16"/>
          <w:szCs w:val="16"/>
        </w:rPr>
        <w:softHyphen/>
        <w:t>плуатацию. Поэтому определение наиболее выгодных гидродинамических форм для всех передвигающихся по воде объек</w:t>
      </w:r>
      <w:r w:rsidRPr="00507A31">
        <w:rPr>
          <w:rFonts w:ascii="Times New Roman" w:cs="Times New Roman"/>
          <w:color w:val="000000" w:themeColor="text1"/>
          <w:sz w:val="16"/>
          <w:szCs w:val="16"/>
        </w:rPr>
        <w:softHyphen/>
        <w:t>тов здесь начали выполнять уже в 1930-х гг. (12609).</w:t>
      </w:r>
    </w:p>
    <w:p w14:paraId="29C57A31" w14:textId="77777777" w:rsidR="00933ADB" w:rsidRPr="00507A31" w:rsidRDefault="00933ADB" w:rsidP="00507A31">
      <w:pPr>
        <w:pStyle w:val="45"/>
        <w:shd w:val="clear" w:color="auto" w:fill="auto"/>
        <w:spacing w:before="0" w:line="240" w:lineRule="auto"/>
        <w:jc w:val="both"/>
        <w:rPr>
          <w:rFonts w:ascii="Times New Roman" w:cs="Times New Roman"/>
          <w:color w:val="000000" w:themeColor="text1"/>
          <w:sz w:val="16"/>
          <w:szCs w:val="16"/>
        </w:rPr>
      </w:pPr>
    </w:p>
    <w:p w14:paraId="17ED79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была первая официальная демонстрация АПК-1 Л.В.К.. Представители АУ РККА и Авиатреста заключение о пригодности пушки дать не смогли. Первые наземные стрельбы провели на Р-1. Пушку закрепили на средних стойках бипланной коробки. После первого выстрела лопнуло полотно на стабилизаторе, после второго - обшиска в р-не кабины летнаба, плосле третьего появились трещины в деревянной конструкции. Четвертый выстрел привел с-т в безусловную негодность. Потом ставили на Р-3 № 4052. Решили делать специальный с-т (3996, 86).</w:t>
      </w:r>
    </w:p>
    <w:p w14:paraId="0C534E1A" w14:textId="77777777" w:rsidR="00537E5F" w:rsidRPr="00507A31" w:rsidRDefault="00537E5F" w:rsidP="00507A31">
      <w:pPr>
        <w:autoSpaceDE w:val="0"/>
        <w:autoSpaceDN w:val="0"/>
        <w:adjustRightInd w:val="0"/>
        <w:jc w:val="both"/>
        <w:rPr>
          <w:color w:val="000000" w:themeColor="text1"/>
          <w:sz w:val="16"/>
          <w:szCs w:val="16"/>
        </w:rPr>
      </w:pPr>
    </w:p>
    <w:p w14:paraId="72E7E7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состоялась первая официальная демонстрация ДРП АПК-1 Л.В.Курчевского (который прибыл в Москву с Соловков только в феврале 1929, получил производственную базу на артзаводе 8 в Подлипках и потребовал штат в 10 чел. и 87 тыс. руб. до конца 1929 и установил АПК-1 76 мм на Р-3, который потом хотели заменить на ТБ-1). Специалисту ГАУ не смогли определить, пригодна ли система для установки на самолеты. Не решились на положительное заключение и представители Авиатреста (комиссия П.С.Дубенского). Ответственность на себя принял Пом. Нач. ВВС С.А.Меженинов и на акте комиссии П.С.Дубенского написал, что ВВС считает АПК-1 приемлемой и заказывает 20 шт. (2693,13).</w:t>
      </w:r>
    </w:p>
    <w:p w14:paraId="45B1B1D2" w14:textId="77777777" w:rsidR="00537E5F" w:rsidRPr="00507A31" w:rsidRDefault="00537E5F" w:rsidP="00507A31">
      <w:pPr>
        <w:autoSpaceDE w:val="0"/>
        <w:autoSpaceDN w:val="0"/>
        <w:adjustRightInd w:val="0"/>
        <w:jc w:val="both"/>
        <w:rPr>
          <w:color w:val="000000" w:themeColor="text1"/>
          <w:sz w:val="16"/>
          <w:szCs w:val="16"/>
        </w:rPr>
      </w:pPr>
    </w:p>
    <w:p w14:paraId="4CFFAA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г. состоялась первая официальная полигонная демонстрация АПК-1 состоялась Однако специалисты Артиллерийского управления по результатам этих испытаний поначалу не смогли решить, пригодна ли артсистема для установки на самолёт. Не решились на утвердительное заключение и представители Авиатреста (комиссия под руководством П.С. Дубенского). Положение спас помощник начальника ВВС РККА С.А. Меженинов, который на акте комиссии Дубенского написал, что считает пушку АПК-1 вполне приемлемой для авиационного использования и от лица Военно-воздушных сил заказывает ещё 20 экземпляров точно таких же. Первым летательным аппаратом, на котором для проведения наземных испытаний установили АПК-1, стал старенький деревянный разведчик Р-1. Пушку закрепили на средних стойках биплан- ной коробки под углом 11 °45' к горизонтали. К огневым испытаниям приступили 26 июля 1931 г. После первого же выстрела лопнула полотняная обшивка на стабилизаторе, после второго выстрела обшивка разорвалась в районе кабины лётнаба, после третьего - появились трещины в деревянной конструкции самолёта. Четвёртый выстрел из АПК-1, по отзыву присутствующих, привёл машину в "безусловную негодность". Затем эту пушку установили и испытали на разведчике Р-3 (заводской № 4052), что также привело к заметным повреждениям его конструктивных элементов (12005).</w:t>
      </w:r>
    </w:p>
    <w:p w14:paraId="0748F27D" w14:textId="77777777" w:rsidR="00537E5F" w:rsidRPr="00507A31" w:rsidRDefault="00537E5F" w:rsidP="00507A31">
      <w:pPr>
        <w:autoSpaceDE w:val="0"/>
        <w:autoSpaceDN w:val="0"/>
        <w:adjustRightInd w:val="0"/>
        <w:jc w:val="both"/>
        <w:rPr>
          <w:color w:val="000000" w:themeColor="text1"/>
          <w:sz w:val="16"/>
          <w:szCs w:val="16"/>
        </w:rPr>
      </w:pPr>
    </w:p>
    <w:p w14:paraId="148B61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г. состоялась первая официальная демонстрация АПК-1. Представители Артуправления РККА и Авиатреста не смогли дать заключения о пригодности пушки к установке на самолет.</w:t>
      </w:r>
    </w:p>
    <w:p w14:paraId="4230FE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Первые наземные стрельбы с самолета были проведены на стареньком разведчике Р-1. Пушку закрепили на средних стойках бипланной коробки. После первого выстрела лопнуло полотно на стабилизаторе, после второго выстрела лопнула обшивка в районе кабины летнаба, после третьего выстрела появились трещины в деревянной конструкции самолета. Четвертый выстрел из АПК-1 по отзыву присутствующих привел самолет в «безусловную негодность».</w:t>
      </w:r>
    </w:p>
    <w:p w14:paraId="6CAEBD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Затем АПК-1 была установлена и испытана на разведчике Р-3 № 4052, причем также с ущербом для самолета. Становилось ясно, что предлагаемые ДРП по своему разрушающему воздействию совсем небезопасны для самого носителя. Поэтому необходимо разработать специальный самолет, особенно прочный в районе хвостового оперения или созданный по особой схеме (12091).</w:t>
      </w:r>
    </w:p>
    <w:p w14:paraId="069D47F7" w14:textId="77777777" w:rsidR="00537E5F" w:rsidRPr="00507A31" w:rsidRDefault="00537E5F" w:rsidP="00507A31">
      <w:pPr>
        <w:autoSpaceDE w:val="0"/>
        <w:autoSpaceDN w:val="0"/>
        <w:adjustRightInd w:val="0"/>
        <w:jc w:val="both"/>
        <w:rPr>
          <w:color w:val="000000" w:themeColor="text1"/>
          <w:sz w:val="16"/>
          <w:szCs w:val="16"/>
        </w:rPr>
      </w:pPr>
    </w:p>
    <w:p w14:paraId="5ADE7AB6" w14:textId="77777777" w:rsidR="001A6846" w:rsidRPr="00507A31" w:rsidRDefault="001A6846" w:rsidP="00507A31">
      <w:pPr>
        <w:jc w:val="both"/>
        <w:rPr>
          <w:color w:val="000000" w:themeColor="text1"/>
          <w:sz w:val="16"/>
          <w:szCs w:val="16"/>
        </w:rPr>
      </w:pPr>
      <w:r w:rsidRPr="00507A31">
        <w:rPr>
          <w:color w:val="000000" w:themeColor="text1"/>
          <w:sz w:val="16"/>
          <w:szCs w:val="16"/>
        </w:rPr>
        <w:t>В апреле 1930 г. состоялась первая официальная демонстрация АПК-1. Представители Артуправления РККА и Авиатреста не смогли дать заключения о пригодности пушки к установке на самолет.</w:t>
      </w:r>
    </w:p>
    <w:p w14:paraId="241689DC" w14:textId="77777777" w:rsidR="001A6846" w:rsidRPr="00507A31" w:rsidRDefault="001A6846" w:rsidP="00507A31">
      <w:pPr>
        <w:jc w:val="both"/>
        <w:rPr>
          <w:color w:val="000000" w:themeColor="text1"/>
          <w:sz w:val="16"/>
          <w:szCs w:val="16"/>
        </w:rPr>
      </w:pPr>
      <w:r w:rsidRPr="00507A31">
        <w:rPr>
          <w:color w:val="000000" w:themeColor="text1"/>
          <w:sz w:val="16"/>
          <w:szCs w:val="16"/>
        </w:rPr>
        <w:t>Первые наземные стрельбы с самолета были проведены на стареньком разведчике Р-1. Пушку закрепили на средних стойках бипланной коробки. После первого выстрела лопнуло полотно на стабилизаторе, после второго выстрела лопнула обшивка в районе кабины летнаба, после третьего выстрела появились трещины в деревянной конструкции, самолета. Четвертый выстрел из АПК-1 по отзыву присутствующих привел самолет в «безусловную негодность».</w:t>
      </w:r>
    </w:p>
    <w:p w14:paraId="0FB38C6D" w14:textId="77777777" w:rsidR="001A6846" w:rsidRPr="00507A31" w:rsidRDefault="001A6846" w:rsidP="00507A31">
      <w:pPr>
        <w:jc w:val="both"/>
        <w:rPr>
          <w:color w:val="000000" w:themeColor="text1"/>
          <w:sz w:val="16"/>
          <w:szCs w:val="16"/>
        </w:rPr>
      </w:pPr>
      <w:r w:rsidRPr="00507A31">
        <w:rPr>
          <w:color w:val="000000" w:themeColor="text1"/>
          <w:sz w:val="16"/>
          <w:szCs w:val="16"/>
        </w:rPr>
        <w:t>Затем АПК-1 была установлена и испытана на разведчике Р-3 № 4052, причем также с ущербом для самолета. Становилось ясно, что предлагаемые ДРП по своему разрушающему воздействию совсем небезопасны для самого носителя. Поэтому необходимо разработать специальный самолет, особенно прочный в районе хвостового оперения или созданный по особой схеме.</w:t>
      </w:r>
    </w:p>
    <w:p w14:paraId="761EDA5B" w14:textId="77777777" w:rsidR="001A6846" w:rsidRPr="00507A31" w:rsidRDefault="001A6846" w:rsidP="00507A31">
      <w:pPr>
        <w:jc w:val="both"/>
        <w:rPr>
          <w:color w:val="000000" w:themeColor="text1"/>
          <w:sz w:val="16"/>
          <w:szCs w:val="16"/>
        </w:rPr>
      </w:pPr>
      <w:r w:rsidRPr="00507A31">
        <w:rPr>
          <w:color w:val="000000" w:themeColor="text1"/>
          <w:sz w:val="16"/>
          <w:szCs w:val="16"/>
        </w:rPr>
        <w:t>Задание на проектирование спецсамолета для установки ДРП поручили конструкторскому бюро ЦАГИ, руководимому А.Н. Туполевым, и Центральному конструкторскому бюро (ЦКБ), существующему на тот момент под патронажем ОГПУ и имеющем неофициальным техническим руководителем Д.П. Григоровича.</w:t>
      </w:r>
    </w:p>
    <w:p w14:paraId="18ABCE12" w14:textId="77777777" w:rsidR="001A6846" w:rsidRPr="00507A31" w:rsidRDefault="001A6846" w:rsidP="00507A31">
      <w:pPr>
        <w:jc w:val="both"/>
        <w:rPr>
          <w:color w:val="000000" w:themeColor="text1"/>
          <w:sz w:val="16"/>
          <w:szCs w:val="16"/>
        </w:rPr>
      </w:pPr>
      <w:r w:rsidRPr="00507A31">
        <w:rPr>
          <w:color w:val="000000" w:themeColor="text1"/>
          <w:sz w:val="16"/>
          <w:szCs w:val="16"/>
        </w:rPr>
        <w:t>Для пушек Курчевского Григоровичем специально был создан истребитель И-7. Позже его стали называть И-Z (или И-ЗЕТ), а то и просто ЗЕТ.</w:t>
      </w:r>
    </w:p>
    <w:p w14:paraId="120D4981" w14:textId="77777777" w:rsidR="001A6846" w:rsidRPr="00507A31" w:rsidRDefault="001A6846" w:rsidP="00507A31">
      <w:pPr>
        <w:jc w:val="both"/>
        <w:rPr>
          <w:color w:val="000000" w:themeColor="text1"/>
          <w:sz w:val="16"/>
          <w:szCs w:val="16"/>
        </w:rPr>
      </w:pPr>
      <w:r w:rsidRPr="00507A31">
        <w:rPr>
          <w:color w:val="000000" w:themeColor="text1"/>
          <w:sz w:val="16"/>
          <w:szCs w:val="16"/>
        </w:rPr>
        <w:t>Центральная часть фюзеляжа вместе с винтомоторной установкой (двигатель М-22) была практически без изменений позаимствована от И-5. К этой ферменной конструкции крепилась особо жесткая хвостовая часть, выполненная в виде монококовой балки. Хвостовое оперение усилено внешним гофром, стабилизатор, дабы избежать влияния пороховых газов стреляющих пушек, поднят вверх.</w:t>
      </w:r>
    </w:p>
    <w:p w14:paraId="22C99FD9" w14:textId="77777777" w:rsidR="001A6846" w:rsidRPr="00507A31" w:rsidRDefault="001A6846" w:rsidP="00507A31">
      <w:pPr>
        <w:jc w:val="both"/>
        <w:rPr>
          <w:color w:val="000000" w:themeColor="text1"/>
          <w:sz w:val="16"/>
          <w:szCs w:val="16"/>
        </w:rPr>
      </w:pPr>
      <w:r w:rsidRPr="00507A31">
        <w:rPr>
          <w:color w:val="000000" w:themeColor="text1"/>
          <w:sz w:val="16"/>
          <w:szCs w:val="16"/>
        </w:rPr>
        <w:t>Самолет был закончен летом 1931 г. Точная дата первого полета неизвестна. Поднимал его в воздух впервые летчик Бенедикт Бухгольц. Далее события развивались следующим образом. 6 июля 1931 г. территорию авиазавода № 39 и ЦКБ посетил И.В. Сталин. Очевидно, о самолете Григоровича с пушками Курчевского он был хорошо информирован, ибо не только осмотрел его, но даже забрался в кабину и подергал за рычаги и рукоятки. Главный конструктор И-7 при этом не присутствовал, все пояснения (в меру своего понимания) давал руководитель ЦКБ от ГПУ Е.С. Пауфлер.</w:t>
      </w:r>
    </w:p>
    <w:p w14:paraId="2C061456" w14:textId="77777777" w:rsidR="001A6846" w:rsidRPr="00507A31" w:rsidRDefault="001A6846" w:rsidP="00507A31">
      <w:pPr>
        <w:jc w:val="both"/>
        <w:rPr>
          <w:color w:val="000000" w:themeColor="text1"/>
          <w:sz w:val="16"/>
          <w:szCs w:val="16"/>
        </w:rPr>
      </w:pPr>
      <w:r w:rsidRPr="00507A31">
        <w:rPr>
          <w:color w:val="000000" w:themeColor="text1"/>
          <w:sz w:val="16"/>
          <w:szCs w:val="16"/>
        </w:rPr>
        <w:t>Курчевский выполнил в срок условия договора от 27 июля 1929 г., и в начале 1930 г. было закончено изготовление двух автоматических 76-мм пушек АПК-4.</w:t>
      </w:r>
    </w:p>
    <w:p w14:paraId="0046EC2E" w14:textId="77777777" w:rsidR="001A6846" w:rsidRPr="00507A31" w:rsidRDefault="001A6846" w:rsidP="00507A31">
      <w:pPr>
        <w:jc w:val="both"/>
        <w:rPr>
          <w:color w:val="000000" w:themeColor="text1"/>
          <w:sz w:val="16"/>
          <w:szCs w:val="16"/>
        </w:rPr>
      </w:pPr>
      <w:r w:rsidRPr="00507A31">
        <w:rPr>
          <w:color w:val="000000" w:themeColor="text1"/>
          <w:sz w:val="16"/>
          <w:szCs w:val="16"/>
        </w:rPr>
        <w:t>Пушки АПК-4 были выполнены по схеме автоматических пушек Курчевского. Ствол нарезной, длина ствола без сопла и ложи 19 калибров. Вес орудия 75 кг. Расчетный темп стрельбы 30-40 выстр./мин. В надствольном магазине помещалось 6 унитарных выстрелов, кроме того, еще один выстрел помещался в стволе.</w:t>
      </w:r>
    </w:p>
    <w:p w14:paraId="3BDF5862" w14:textId="77777777" w:rsidR="001A6846" w:rsidRPr="00507A31" w:rsidRDefault="001A6846" w:rsidP="00507A31">
      <w:pPr>
        <w:jc w:val="both"/>
        <w:rPr>
          <w:color w:val="000000" w:themeColor="text1"/>
          <w:sz w:val="16"/>
          <w:szCs w:val="16"/>
        </w:rPr>
      </w:pPr>
      <w:r w:rsidRPr="00507A31">
        <w:rPr>
          <w:color w:val="000000" w:themeColor="text1"/>
          <w:sz w:val="16"/>
          <w:szCs w:val="16"/>
        </w:rPr>
        <w:t>Для пушки АПК-4 были созданы новые специальные снаряды, среди которых были осколочные гранаты, обычная (пулевая) шрапнель и стержневая шрапнель системы Розенберга. В 1935 г. АПК-4 был присвоен индекс 342, и он был включен в название боеприпасов; так, шрапнель называлась Ш-342. Вес снарядов колебался от 3,07 до 3,92 кг. Снаряды оснащались дистанционной трубкой, чаще всего переделанной 22секундной полевой трубкой. Но установка трубки производилась только на земле. Фактически это была не дистанционная трубка, а самоликвидатор. Таким образом, для эффективного поражения цели нужно было стрелять так, чтобы снаряд оказался близко к цели, допустим, через 6 секунд. Естественно, что рассчитать точно мом1ент выстрела летчик не мог.</w:t>
      </w:r>
    </w:p>
    <w:p w14:paraId="024E7FDF" w14:textId="77777777" w:rsidR="001A6846" w:rsidRPr="00507A31" w:rsidRDefault="001A6846" w:rsidP="00507A31">
      <w:pPr>
        <w:jc w:val="both"/>
        <w:rPr>
          <w:color w:val="000000" w:themeColor="text1"/>
          <w:sz w:val="16"/>
          <w:szCs w:val="16"/>
        </w:rPr>
      </w:pPr>
      <w:r w:rsidRPr="00507A31">
        <w:rPr>
          <w:color w:val="000000" w:themeColor="text1"/>
          <w:sz w:val="16"/>
          <w:szCs w:val="16"/>
        </w:rPr>
        <w:t>При стрельбе на преследовании убойный интервал для осколочной гранаты или пулевой шрапнели составлял 15—25 м, а для стержневой шрапнели — 40—75 м. Конечно, эффективность стрельбы можно было резко увеличить, использовав управляемый из кабины автоматический установщик трубок (АУТ). В принципе, первые АУТ были созданы в Первую мировую войну. Но в середине 1930-х гг. у нас их не было даже в зенитной артиллерии.</w:t>
      </w:r>
    </w:p>
    <w:p w14:paraId="188C4ED4" w14:textId="77777777" w:rsidR="001A6846" w:rsidRPr="00507A31" w:rsidRDefault="001A6846" w:rsidP="00507A31">
      <w:pPr>
        <w:jc w:val="both"/>
        <w:rPr>
          <w:color w:val="000000" w:themeColor="text1"/>
          <w:sz w:val="16"/>
          <w:szCs w:val="16"/>
        </w:rPr>
      </w:pPr>
      <w:r w:rsidRPr="00507A31">
        <w:rPr>
          <w:color w:val="000000" w:themeColor="text1"/>
          <w:sz w:val="16"/>
          <w:szCs w:val="16"/>
        </w:rPr>
        <w:t>Выстрелы АПК-4, как и у всех автоматических пушек Курчевского, имели гильзы из нитроткани с деревянным поддоном. В гильзе использовалось 600 г пороха МСК. При выстреле ткань полностью не сгорала, а вместе с раздробленными кусочками деревянного поддона застревала в канале, что приводило к отказу в работе автоматики, а то и разрыву ствола. В течение 1932—1935 гг. Курчевский долго, но безрезультатно работал над улучшением конструкции гильзы. В 1935 г. были созданы пластмассовые донышки (поддоны), но и они застревали в канале. Наконец Курчевский решил не изобретать велосипеда и вернуться к латунным несгораемым гильзам (15117).</w:t>
      </w:r>
    </w:p>
    <w:p w14:paraId="59B8D310" w14:textId="77777777" w:rsidR="001A6846" w:rsidRPr="00507A31" w:rsidRDefault="001A6846" w:rsidP="00507A31">
      <w:pPr>
        <w:jc w:val="both"/>
        <w:rPr>
          <w:color w:val="000000" w:themeColor="text1"/>
          <w:sz w:val="16"/>
          <w:szCs w:val="16"/>
        </w:rPr>
      </w:pPr>
    </w:p>
    <w:p w14:paraId="2285F890" w14:textId="77777777" w:rsidR="00DB5AEA" w:rsidRPr="00507A31" w:rsidRDefault="00DB5AEA" w:rsidP="00507A31">
      <w:pPr>
        <w:shd w:val="clear" w:color="auto" w:fill="FFFFFF"/>
        <w:jc w:val="both"/>
        <w:rPr>
          <w:color w:val="000000" w:themeColor="text1"/>
          <w:sz w:val="16"/>
          <w:szCs w:val="16"/>
        </w:rPr>
      </w:pPr>
      <w:r w:rsidRPr="00507A31">
        <w:rPr>
          <w:color w:val="000000" w:themeColor="text1"/>
          <w:sz w:val="16"/>
          <w:szCs w:val="16"/>
        </w:rPr>
        <w:t>В апреле 1930 г., в своем докладе о работе первого (артиллерийского) отдела ГДЛ, подготовленном Б.С.Петропавловский пишет: «По-видимому, авторы задания и проектов исходили из следующих положений, считавшихся тогда правильными:</w:t>
      </w:r>
    </w:p>
    <w:p w14:paraId="089D676F" w14:textId="77777777" w:rsidR="00DB5AEA" w:rsidRPr="00507A31" w:rsidRDefault="00DB5AEA" w:rsidP="00507A31">
      <w:pPr>
        <w:shd w:val="clear" w:color="auto" w:fill="FFFFFF"/>
        <w:jc w:val="both"/>
        <w:rPr>
          <w:color w:val="000000" w:themeColor="text1"/>
          <w:sz w:val="16"/>
          <w:szCs w:val="16"/>
        </w:rPr>
      </w:pPr>
      <w:r w:rsidRPr="00507A31">
        <w:rPr>
          <w:color w:val="000000" w:themeColor="text1"/>
          <w:sz w:val="16"/>
          <w:szCs w:val="16"/>
        </w:rPr>
        <w:t>а) реактивный принцип не вносит никаких изменений в конструкцию данного орудия. Изменяется только снаряд, но не орудие, поэтому:</w:t>
      </w:r>
    </w:p>
    <w:p w14:paraId="1995CCDE" w14:textId="77777777" w:rsidR="00DB5AEA" w:rsidRPr="00507A31" w:rsidRDefault="00DB5AEA" w:rsidP="00507A31">
      <w:pPr>
        <w:shd w:val="clear" w:color="auto" w:fill="FFFFFF"/>
        <w:jc w:val="both"/>
        <w:rPr>
          <w:color w:val="000000" w:themeColor="text1"/>
          <w:sz w:val="16"/>
          <w:szCs w:val="16"/>
        </w:rPr>
      </w:pPr>
      <w:r w:rsidRPr="00507A31">
        <w:rPr>
          <w:color w:val="000000" w:themeColor="text1"/>
          <w:sz w:val="16"/>
          <w:szCs w:val="16"/>
        </w:rPr>
        <w:t>б) реактивный принцип может быть распространен на все существующие артиллерийские системы, т.е. к каждому орудию может быть спроектирован соответствующий реактивный снаряд,</w:t>
      </w:r>
    </w:p>
    <w:p w14:paraId="22E11553" w14:textId="77777777" w:rsidR="00DB5AEA" w:rsidRPr="00507A31" w:rsidRDefault="00DB5AEA" w:rsidP="00507A31">
      <w:pPr>
        <w:shd w:val="clear" w:color="auto" w:fill="FFFFFF"/>
        <w:jc w:val="both"/>
        <w:rPr>
          <w:color w:val="000000" w:themeColor="text1"/>
          <w:sz w:val="16"/>
          <w:szCs w:val="16"/>
        </w:rPr>
      </w:pPr>
      <w:r w:rsidRPr="00507A31">
        <w:rPr>
          <w:color w:val="000000" w:themeColor="text1"/>
          <w:sz w:val="16"/>
          <w:szCs w:val="16"/>
        </w:rPr>
        <w:t>в) реактивный принцип не вносит каких-либо существенных изменений в смысле тактического использования артиллерийских систем. Последние получают только увеличенную досягаемость» (15252).</w:t>
      </w:r>
    </w:p>
    <w:p w14:paraId="2FFBDF3B" w14:textId="77777777" w:rsidR="00DB5AEA" w:rsidRPr="00507A31" w:rsidRDefault="00DB5AEA" w:rsidP="00507A31">
      <w:pPr>
        <w:shd w:val="clear" w:color="auto" w:fill="FFFFFF"/>
        <w:jc w:val="both"/>
        <w:rPr>
          <w:color w:val="000000" w:themeColor="text1"/>
          <w:sz w:val="16"/>
          <w:szCs w:val="16"/>
        </w:rPr>
      </w:pPr>
    </w:p>
    <w:p w14:paraId="6CAF98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г. начато производство парашютов на 1-м парашютном заводе НКО, который был организован на площадке бывшего текстильного завода Третьякова,. Выпускал также ткани для авиационной промышленности. В 1936 г. завод передан в ведение НКЛП и, вероятно, переименован в завод № 1 НКЛП. Позднее переименован в завод № 10 НКЛП.</w:t>
      </w:r>
    </w:p>
    <w:p w14:paraId="2770A3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5202с от 18.02.1944г. и приказом № 134с/20с от 25.02.1944г. завод № 10 НКЛП (г. Тушино) (Завод № 10 НКЛП, 1-й парашютный завод НКО /г. Тушино Московской обл./) со всеми сооружениями и личным составом передан заводу № 500 НКАП как производство № 3. Этим же приказом завод № 459 НКАП со всеми сооружениями и личным составом передан в систему НКЛП и переименован в завод № 10 НКЛП (см. завод № 459).</w:t>
      </w:r>
    </w:p>
    <w:p w14:paraId="273C12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(1931 г.)- М.А. Савицкий, (1930-е)- Николаев.</w:t>
      </w:r>
    </w:p>
    <w:p w14:paraId="46A745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(1931 г.)- М.А. Савицкий (11982).</w:t>
      </w:r>
    </w:p>
    <w:p w14:paraId="1A1401D8" w14:textId="77777777" w:rsidR="00537E5F" w:rsidRPr="00507A31" w:rsidRDefault="00537E5F" w:rsidP="00507A31">
      <w:pPr>
        <w:autoSpaceDE w:val="0"/>
        <w:autoSpaceDN w:val="0"/>
        <w:adjustRightInd w:val="0"/>
        <w:jc w:val="both"/>
        <w:rPr>
          <w:color w:val="000000" w:themeColor="text1"/>
          <w:sz w:val="16"/>
          <w:szCs w:val="16"/>
        </w:rPr>
      </w:pPr>
    </w:p>
    <w:p w14:paraId="0C9782C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B81C951" w14:textId="77777777" w:rsidR="00537E5F" w:rsidRPr="00507A31" w:rsidRDefault="00537E5F" w:rsidP="00507A31">
      <w:pPr>
        <w:autoSpaceDE w:val="0"/>
        <w:autoSpaceDN w:val="0"/>
        <w:adjustRightInd w:val="0"/>
        <w:jc w:val="both"/>
        <w:rPr>
          <w:iCs/>
          <w:color w:val="000000" w:themeColor="text1"/>
          <w:sz w:val="16"/>
          <w:szCs w:val="16"/>
        </w:rPr>
      </w:pPr>
    </w:p>
    <w:p w14:paraId="2D14EF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состоялось совещание:</w:t>
      </w:r>
    </w:p>
    <w:p w14:paraId="17447C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ПРОТОКОЛ СОВЕЩАНИЯ У ЗАМ.НАЧАЛЬНИКА ОБЪЕДИНЕНИЯ ВОЕНННОЙ ПРОМЫШЛЕННОСТИ (апрель 1930 г.)</w:t>
      </w:r>
    </w:p>
    <w:p w14:paraId="395831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СЛУШАЛИ: Проект Постановления РЗ СТО по вопросам о переводе заводов военной промышленности на положение мобилизованных</w:t>
      </w:r>
    </w:p>
    <w:p w14:paraId="075EA5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ПОСТАНОВИЛИ: Перевести на положение мобилизованных с 15 апреля с.г. на неопределенный срок следующие заводы:</w:t>
      </w:r>
    </w:p>
    <w:p w14:paraId="54F666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ИНЗ N2 (т.к. полугодовая программа выполнена на 41,8%)</w:t>
      </w:r>
    </w:p>
    <w:p w14:paraId="0BD2F5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ММЗ (т.к. полугодовая программа выполнена 70,3%)</w:t>
      </w:r>
    </w:p>
    <w:p w14:paraId="372F9B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ИОЗ (т.к. является основной базой производства качественной стали)</w:t>
      </w:r>
    </w:p>
    <w:p w14:paraId="385BDA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Завод N 13 (т.к. полугодовая программа выполнена на 53,2%)</w:t>
      </w:r>
    </w:p>
    <w:p w14:paraId="36E6A4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Завод N 42 (т.к. полугодовая программа выполнена на 46%)</w:t>
      </w:r>
    </w:p>
    <w:p w14:paraId="494A1F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ТОЗ (т.к. получен дополнительный заказ)</w:t>
      </w:r>
    </w:p>
    <w:p w14:paraId="3BA396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Заводы "Большевик" и "Баррикады" перевести на положение мобилизованных до конца операционного года.</w:t>
      </w:r>
    </w:p>
    <w:p w14:paraId="0DC6E0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мобилизованных предприятиях ввести в действие приказ ВСНХ N39сс о переходе на непрерывный круглосуточный график работы, отменить действие Ст.46 и 106 КЗОТ, перевести на 1-ю группу централизованного снабжения продовольствием. (8985,64).</w:t>
      </w:r>
    </w:p>
    <w:p w14:paraId="219D6A28" w14:textId="77777777" w:rsidR="00537E5F" w:rsidRPr="00507A31" w:rsidRDefault="00537E5F" w:rsidP="00507A31">
      <w:pPr>
        <w:autoSpaceDE w:val="0"/>
        <w:autoSpaceDN w:val="0"/>
        <w:adjustRightInd w:val="0"/>
        <w:jc w:val="both"/>
        <w:rPr>
          <w:color w:val="000000" w:themeColor="text1"/>
          <w:sz w:val="16"/>
          <w:szCs w:val="16"/>
        </w:rPr>
      </w:pPr>
    </w:p>
    <w:p w14:paraId="2EFE33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РВС отметил тяжелое положение, сложившееся с обеспечением армии взрывателями, а также малочисленность конструкторских кадров соответствующего профиля. Признали целесообразным сосредоточить все работы по взрывателям и трубкам в одной организации. Приняли постановление об объединении КБ и создании ЦКБ, далее ЦКБ-22 по разработке врывателей. Руководитель - Н.Н.Кондратьев (5484,528).</w:t>
      </w:r>
    </w:p>
    <w:p w14:paraId="691842A8" w14:textId="77777777" w:rsidR="00537E5F" w:rsidRPr="00507A31" w:rsidRDefault="00537E5F" w:rsidP="00507A31">
      <w:pPr>
        <w:autoSpaceDE w:val="0"/>
        <w:autoSpaceDN w:val="0"/>
        <w:adjustRightInd w:val="0"/>
        <w:jc w:val="both"/>
        <w:rPr>
          <w:color w:val="000000" w:themeColor="text1"/>
          <w:sz w:val="16"/>
          <w:szCs w:val="16"/>
        </w:rPr>
      </w:pPr>
    </w:p>
    <w:p w14:paraId="62C208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г. Реввоенсовет СССР отметил тяжелое положение с обеспечением армии взрывателями, а также недостаточное число конструкторов, признав целесообразным сосредоточить все работы по взрывателям и трубкам в одной организации. В итоге было принято постановление об объединении КБ и создании центрального конструкторского бюро (впоследствии ЦКБ-22 6-го ГУ НКБ) на базе ленинградского завода «Прогресс» по разработке взрывателей для всех видов вооружения Красной Армии и Военно-Морского Флота (7453).</w:t>
      </w:r>
    </w:p>
    <w:p w14:paraId="48D32F3C" w14:textId="77777777" w:rsidR="00537E5F" w:rsidRPr="00507A31" w:rsidRDefault="00537E5F" w:rsidP="00507A31">
      <w:pPr>
        <w:autoSpaceDE w:val="0"/>
        <w:autoSpaceDN w:val="0"/>
        <w:adjustRightInd w:val="0"/>
        <w:jc w:val="both"/>
        <w:rPr>
          <w:color w:val="000000" w:themeColor="text1"/>
          <w:sz w:val="16"/>
          <w:szCs w:val="16"/>
        </w:rPr>
      </w:pPr>
    </w:p>
    <w:p w14:paraId="68C7E3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апреле 1930 г. Н.И.Власьев, который был Начальником Технического управления УВМС в сложный пе</w:t>
      </w:r>
      <w:r w:rsidRPr="00507A31">
        <w:rPr>
          <w:color w:val="000000" w:themeColor="text1"/>
          <w:sz w:val="16"/>
          <w:szCs w:val="16"/>
        </w:rPr>
        <w:softHyphen/>
        <w:t>риод 1926—1930 гг., был аре</w:t>
      </w:r>
      <w:r w:rsidRPr="00507A31">
        <w:rPr>
          <w:color w:val="000000" w:themeColor="text1"/>
          <w:sz w:val="16"/>
          <w:szCs w:val="16"/>
        </w:rPr>
        <w:softHyphen/>
        <w:t>стован ОГПУ. Почти одновременно НТК подвергся настоящему разгрому — наряду с Игнатьевым за решеткой оказались председа</w:t>
      </w:r>
      <w:r w:rsidRPr="00507A31">
        <w:rPr>
          <w:color w:val="000000" w:themeColor="text1"/>
          <w:sz w:val="16"/>
          <w:szCs w:val="16"/>
        </w:rPr>
        <w:softHyphen/>
        <w:t>тели секций комитета: артиллерийской — Г. Н. Пелль, минной — Ю. Ю. Кимбар, бывший председатель секции подводного плава</w:t>
      </w:r>
      <w:r w:rsidRPr="00507A31">
        <w:rPr>
          <w:color w:val="000000" w:themeColor="text1"/>
          <w:sz w:val="16"/>
          <w:szCs w:val="16"/>
        </w:rPr>
        <w:softHyphen/>
        <w:t>ния А. Н. Гарсоев и другие специалисты (3898).</w:t>
      </w:r>
    </w:p>
    <w:p w14:paraId="57730D0B" w14:textId="77777777" w:rsidR="00537E5F" w:rsidRPr="00507A31" w:rsidRDefault="00537E5F" w:rsidP="00507A31">
      <w:pPr>
        <w:autoSpaceDE w:val="0"/>
        <w:autoSpaceDN w:val="0"/>
        <w:adjustRightInd w:val="0"/>
        <w:jc w:val="both"/>
        <w:rPr>
          <w:color w:val="000000" w:themeColor="text1"/>
          <w:sz w:val="16"/>
          <w:szCs w:val="16"/>
        </w:rPr>
      </w:pPr>
    </w:p>
    <w:p w14:paraId="73C83C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было образовано специальное Центральное КБ (далее ЦКБ-22) по взрывателям и трубкам объединением КБ при заводе № 4 и КБ при заводе "Прогресс" (тоже в г. Ленинграде, руководитель- Я.А. Савельев). Основателем ЦКБ-22 стал В.И. Рдултовский {1876-1939}.</w:t>
      </w:r>
    </w:p>
    <w:p w14:paraId="63B7B5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Начато создание взрывателей для всех видов боеприпасов. В первый период деятельности (с 1930 по 1940 г.) создана система отечественных взрывателей предохранительного типа.</w:t>
      </w:r>
    </w:p>
    <w:p w14:paraId="19C35E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связи с расширением круга работ на базе подразделений ЦКБ-22 образовано СКБ по механическим взрывателям (1931 г.) и ГСИ-44 по электрическим взрывателям (1930-е г.).</w:t>
      </w:r>
    </w:p>
    <w:p w14:paraId="770310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 время ВОВ ЦКБ-22 эвакуировано (в период эвакуации ЦКБ-22 возглавлял А.Я. Карпов), а в Ленинграде образовался филиал (возглавлял П.П. Архипов). В 1942 г. часть эвакуированного коллектива перевели в г. Москву, где образовался Московский филиал (существовал в 1942-44 г., руководитель- Г.А. Окунь, разработан взрыватель МГ-8 для авиационных снарядов).</w:t>
      </w:r>
    </w:p>
    <w:p w14:paraId="4B9AA7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Во время ВОВ под руководством И.А. Ларионова создана АБ ПТАБ-2.5-1.5 с взрывателем АД-1. </w:t>
      </w:r>
    </w:p>
    <w:p w14:paraId="0715DB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Разработан и испытан (совместно с ОКБ завода № 571) взрыватель АВ-508 для самолета-снаряда Фау-1.</w:t>
      </w:r>
    </w:p>
    <w:p w14:paraId="6C920A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Участвовал в создании ЗРК «Стрела-10СВ» (1969-76 г.).57 </w:t>
      </w:r>
    </w:p>
    <w:p w14:paraId="39AB89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Проводились работы по космической тематике: создан механизм разблокировки колес для «Лунохода», механизмы старта И-234, ИК-312 для РН «Союз» и «Протон».</w:t>
      </w:r>
    </w:p>
    <w:p w14:paraId="04BE62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Указу Президента РФ № 1009 от 4.08.2004 г. вошел в число стратегических оборонных предприятий.</w:t>
      </w:r>
    </w:p>
    <w:p w14:paraId="16DD5B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Руководитель (1930 г.) - Н.И. Кондратьев (ранее- тех. директор завода № 4), (~ с 1937 г.)- Д.Н. Вишневский (во время ВОВ- изобретатель взрывателя на пневматическом принципе), (ВОВ)- А.Я. Карпов, И.А. Ларионов. </w:t>
      </w:r>
    </w:p>
    <w:p w14:paraId="44FF81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Гендиректор (2004 г.) - Л.С. Егоренков.</w:t>
      </w:r>
    </w:p>
    <w:p w14:paraId="190F2F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Работали: В.К. Пономарев, В.И. Рдултовский (начальник лаборатории, гл. консультант), М.А. Алифанов, Я.С. Распутов, М.Б. Левин, Н.Н. Расторгуев, Н.С. Федоров, Груздев (проект управляемого снаряда, 1940 г.), И.И. Кейн, С.Б. Пороцкий (В-5). </w:t>
      </w:r>
    </w:p>
    <w:p w14:paraId="769FF4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Создано: взрыватели: (1941-45) КТМ-1 для артиллерийских снарядов, для мин ГВМЗ-7 и МП-82, аэростатный ВАЗ-2, АВ-1, АПУВ-1, В-229 для кумулятивных снарядов; (1945-70) 9Э29 для НУРС, ПИМ И-99А для УРВВ, УДВ-60, В-429; (1990-2000) 301В, 328В, 90260 для РСЗО.private.peterlink.ru/poiskinfo</w:t>
      </w:r>
    </w:p>
    <w:p w14:paraId="718278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ЦКБ-22 НКБ, Государственный НИИ-22 МСХМ, МОМ, ГКОТ, МОП, НИИ "Поиск", ФГУП «НИИ «Поиск» Росбоеприпаса</w:t>
      </w:r>
    </w:p>
    <w:p w14:paraId="35666C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188662 пос. Мурино Всеволожского р-на Ленинградской обл. ул. Лесная, 3 тел. (812) 595-71-68</w:t>
      </w:r>
    </w:p>
    <w:p w14:paraId="35567D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Представительство: 195009, Санкт-Петербург, ул. Михайлова, 17 тел. 595-71-81 </w:t>
      </w:r>
      <w:r w:rsidRPr="00507A31">
        <w:rPr>
          <w:color w:val="000000" w:themeColor="text1"/>
          <w:sz w:val="16"/>
          <w:szCs w:val="16"/>
          <w:lang w:val="en-US"/>
        </w:rPr>
        <w:t>private</w:t>
      </w:r>
      <w:r w:rsidRPr="00507A31">
        <w:rPr>
          <w:color w:val="000000" w:themeColor="text1"/>
          <w:sz w:val="16"/>
          <w:szCs w:val="16"/>
        </w:rPr>
        <w:t>.</w:t>
      </w:r>
      <w:r w:rsidRPr="00507A31">
        <w:rPr>
          <w:color w:val="000000" w:themeColor="text1"/>
          <w:sz w:val="16"/>
          <w:szCs w:val="16"/>
          <w:lang w:val="en-US"/>
        </w:rPr>
        <w:t>peterlink</w:t>
      </w:r>
      <w:r w:rsidRPr="00507A31">
        <w:rPr>
          <w:color w:val="000000" w:themeColor="text1"/>
          <w:sz w:val="16"/>
          <w:szCs w:val="16"/>
        </w:rPr>
        <w:t>.</w:t>
      </w:r>
      <w:r w:rsidRPr="00507A31">
        <w:rPr>
          <w:color w:val="000000" w:themeColor="text1"/>
          <w:sz w:val="16"/>
          <w:szCs w:val="16"/>
          <w:lang w:val="en-US"/>
        </w:rPr>
        <w:t>ru</w:t>
      </w:r>
      <w:r w:rsidRPr="00507A31">
        <w:rPr>
          <w:color w:val="000000" w:themeColor="text1"/>
          <w:sz w:val="16"/>
          <w:szCs w:val="16"/>
        </w:rPr>
        <w:t>/</w:t>
      </w:r>
      <w:r w:rsidRPr="00507A31">
        <w:rPr>
          <w:color w:val="000000" w:themeColor="text1"/>
          <w:sz w:val="16"/>
          <w:szCs w:val="16"/>
          <w:lang w:val="en-US"/>
        </w:rPr>
        <w:t>poiskinfo</w:t>
      </w:r>
      <w:r w:rsidRPr="00507A31">
        <w:rPr>
          <w:color w:val="000000" w:themeColor="text1"/>
          <w:sz w:val="16"/>
          <w:szCs w:val="16"/>
        </w:rPr>
        <w:t xml:space="preserve"> (10776).</w:t>
      </w:r>
    </w:p>
    <w:p w14:paraId="521D41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СКБ по механическим часовым взрывателям </w:t>
      </w:r>
    </w:p>
    <w:p w14:paraId="4763F3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Ленинград</w:t>
      </w:r>
    </w:p>
    <w:p w14:paraId="608332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Образовалось в 1931 г. как самостоятельное КБ на базе подразделения ЦКБ-22. Возглавили А.Я. Карпов и Я.А. Савельев. Работали: В.К. Пономарев, И.И. Кейн (оба во время ВОВ- в ЦКБ-22). Разработка механических (часовых) взрывателей для снарядов зенитной артиллерии и АБ. Взрыватели ГВМЗ-1 и ГВМЗ-7, МП-82 для мин ВМ-16.</w:t>
      </w:r>
    </w:p>
    <w:p w14:paraId="2442AB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СКБЧМ, КБЧМ </w:t>
      </w:r>
    </w:p>
    <w:p w14:paraId="2CC343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Москва</w:t>
      </w:r>
    </w:p>
    <w:p w14:paraId="5A066C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Образовалось в 1946 г. как КБ (группа) при 3-м часовом заводе. Со временем, в связи с расширением КБ перебазировалось с завода на отдельную территорию в Останкино, а в 09.1970 г.- на новую территорию у платформы "Красный Балтиец". </w:t>
      </w:r>
    </w:p>
    <w:p w14:paraId="4386E5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по механическим (часовым) взрывателям, приборам для КА, тахографам.</w:t>
      </w:r>
    </w:p>
    <w:p w14:paraId="292CCF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Руководитель СКБ (с ~1947 г.)- Г.И. Виноградов, (с ~1985 г.)- Г.Л. Каменев (10776).</w:t>
      </w:r>
    </w:p>
    <w:p w14:paraId="372D1C74" w14:textId="77777777" w:rsidR="00537E5F" w:rsidRPr="00507A31" w:rsidRDefault="00537E5F" w:rsidP="00507A31">
      <w:pPr>
        <w:autoSpaceDE w:val="0"/>
        <w:autoSpaceDN w:val="0"/>
        <w:adjustRightInd w:val="0"/>
        <w:jc w:val="both"/>
        <w:rPr>
          <w:color w:val="000000" w:themeColor="text1"/>
          <w:sz w:val="16"/>
          <w:szCs w:val="16"/>
        </w:rPr>
      </w:pPr>
    </w:p>
    <w:p w14:paraId="58A96954" w14:textId="77777777" w:rsidR="00DB5AEA" w:rsidRPr="00507A31" w:rsidRDefault="00DB5AEA" w:rsidP="00507A31">
      <w:pPr>
        <w:jc w:val="both"/>
        <w:rPr>
          <w:color w:val="000000" w:themeColor="text1"/>
          <w:sz w:val="16"/>
          <w:szCs w:val="16"/>
        </w:rPr>
      </w:pPr>
      <w:r w:rsidRPr="00507A31">
        <w:rPr>
          <w:color w:val="000000" w:themeColor="text1"/>
          <w:sz w:val="16"/>
          <w:szCs w:val="16"/>
        </w:rPr>
        <w:t>В апреле 1930 Тухачевский направил Сталину ответ в виде служебной записки:</w:t>
      </w:r>
    </w:p>
    <w:p w14:paraId="763A9786" w14:textId="77777777" w:rsidR="00DB5AEA" w:rsidRPr="00507A31" w:rsidRDefault="00DB5AEA" w:rsidP="00507A31">
      <w:pPr>
        <w:jc w:val="both"/>
        <w:rPr>
          <w:color w:val="000000" w:themeColor="text1"/>
          <w:sz w:val="16"/>
          <w:szCs w:val="16"/>
        </w:rPr>
      </w:pPr>
      <w:r w:rsidRPr="00507A31">
        <w:rPr>
          <w:color w:val="000000" w:themeColor="text1"/>
          <w:sz w:val="16"/>
          <w:szCs w:val="16"/>
        </w:rPr>
        <w:t>«Сов. секретно</w:t>
      </w:r>
    </w:p>
    <w:p w14:paraId="40D3F1FB" w14:textId="77777777" w:rsidR="00DB5AEA" w:rsidRPr="00507A31" w:rsidRDefault="00DB5AEA" w:rsidP="00507A31">
      <w:pPr>
        <w:jc w:val="both"/>
        <w:rPr>
          <w:color w:val="000000" w:themeColor="text1"/>
          <w:sz w:val="16"/>
          <w:szCs w:val="16"/>
        </w:rPr>
      </w:pPr>
      <w:r w:rsidRPr="00507A31">
        <w:rPr>
          <w:color w:val="000000" w:themeColor="text1"/>
          <w:sz w:val="16"/>
          <w:szCs w:val="16"/>
        </w:rPr>
        <w:t>Уважаемый товарищ Сталин!</w:t>
      </w:r>
    </w:p>
    <w:p w14:paraId="1DF6FF3B" w14:textId="77777777" w:rsidR="00DB5AEA" w:rsidRPr="00507A31" w:rsidRDefault="00DB5AEA" w:rsidP="00507A31">
      <w:pPr>
        <w:jc w:val="both"/>
        <w:rPr>
          <w:color w:val="000000" w:themeColor="text1"/>
          <w:sz w:val="16"/>
          <w:szCs w:val="16"/>
        </w:rPr>
      </w:pPr>
      <w:r w:rsidRPr="00507A31">
        <w:rPr>
          <w:color w:val="000000" w:themeColor="text1"/>
          <w:sz w:val="16"/>
          <w:szCs w:val="16"/>
        </w:rPr>
        <w:t>В дополнение к ранее посланным материалам, я хочу доложить о последних данных, которые мне удалось подработать по вопросу о массовом танкостроении. В моем первом письме к Вам я писал о том, что при наличии массы танков встает вопрос о разделении их по типам между различными эшелонами во время атаки. В то время как в первом эшелоне требуются первоклассные танки, способные подавить противотанковые пушки, в последующих эшелонах допустимы танки второсортные, но способные подавлять пехоту и пулеметы противника.</w:t>
      </w:r>
    </w:p>
    <w:p w14:paraId="27AA3421" w14:textId="77777777" w:rsidR="00DB5AEA" w:rsidRPr="00507A31" w:rsidRDefault="00DB5AEA" w:rsidP="00507A31">
      <w:pPr>
        <w:jc w:val="both"/>
        <w:rPr>
          <w:color w:val="000000" w:themeColor="text1"/>
          <w:sz w:val="16"/>
          <w:szCs w:val="16"/>
        </w:rPr>
      </w:pPr>
      <w:r w:rsidRPr="00507A31">
        <w:rPr>
          <w:color w:val="000000" w:themeColor="text1"/>
          <w:sz w:val="16"/>
          <w:szCs w:val="16"/>
        </w:rPr>
        <w:t>Устоявшаяся на опыте империалистической войны консервативная мысль представляет себе развитие танков в тех, сравнительно небольших массах, в каких их видели в 1918 году. Такое представление явно не правильно.</w:t>
      </w:r>
    </w:p>
    <w:p w14:paraId="479EAA95" w14:textId="77777777" w:rsidR="00DB5AEA" w:rsidRPr="00507A31" w:rsidRDefault="00DB5AEA" w:rsidP="00507A31">
      <w:pPr>
        <w:jc w:val="both"/>
        <w:rPr>
          <w:color w:val="000000" w:themeColor="text1"/>
          <w:sz w:val="16"/>
          <w:szCs w:val="16"/>
        </w:rPr>
      </w:pPr>
      <w:r w:rsidRPr="00507A31">
        <w:rPr>
          <w:color w:val="000000" w:themeColor="text1"/>
          <w:sz w:val="16"/>
          <w:szCs w:val="16"/>
        </w:rPr>
        <w:t>Уже к 1919 году Антанта готовила 10 000 танков, и это почти на пороге рождения танка. Представление будущей роли танков в масштабе 1918 года порождает стремление соединить в одном танке все, какие только можно вообразить, качества. Таким образом танк становится сложным, дорогим и неприменимым в хозяйстве страны, И наоборот, ни трактор, ни автомобиль не могут быть непосредственно использованы как основа такого танка.</w:t>
      </w:r>
    </w:p>
    <w:p w14:paraId="2D02F2BE" w14:textId="77777777" w:rsidR="00DB5AEA" w:rsidRPr="00507A31" w:rsidRDefault="00DB5AEA" w:rsidP="00507A31">
      <w:pPr>
        <w:jc w:val="both"/>
        <w:rPr>
          <w:color w:val="000000" w:themeColor="text1"/>
          <w:sz w:val="16"/>
          <w:szCs w:val="16"/>
        </w:rPr>
      </w:pPr>
      <w:r w:rsidRPr="00507A31">
        <w:rPr>
          <w:color w:val="000000" w:themeColor="text1"/>
          <w:sz w:val="16"/>
          <w:szCs w:val="16"/>
        </w:rPr>
        <w:t>Совершенно иначе обстоит дело, если строить танк на основе трактора и автомобиля, производящихся в массах промышленностью.</w:t>
      </w:r>
    </w:p>
    <w:p w14:paraId="652729FB" w14:textId="77777777" w:rsidR="00DB5AEA" w:rsidRPr="00507A31" w:rsidRDefault="00DB5AEA" w:rsidP="00507A31">
      <w:pPr>
        <w:jc w:val="both"/>
        <w:rPr>
          <w:color w:val="000000" w:themeColor="text1"/>
          <w:sz w:val="16"/>
          <w:szCs w:val="16"/>
        </w:rPr>
      </w:pPr>
      <w:r w:rsidRPr="00507A31">
        <w:rPr>
          <w:color w:val="000000" w:themeColor="text1"/>
          <w:sz w:val="16"/>
          <w:szCs w:val="16"/>
        </w:rPr>
        <w:t>В этом случае численность танков вырастет колоссально…</w:t>
      </w:r>
    </w:p>
    <w:p w14:paraId="2A825C8C" w14:textId="77777777" w:rsidR="00DB5AEA" w:rsidRPr="00507A31" w:rsidRDefault="00DB5AEA" w:rsidP="00507A31">
      <w:pPr>
        <w:jc w:val="both"/>
        <w:rPr>
          <w:color w:val="000000" w:themeColor="text1"/>
          <w:sz w:val="16"/>
          <w:szCs w:val="16"/>
        </w:rPr>
      </w:pPr>
      <w:r w:rsidRPr="00507A31">
        <w:rPr>
          <w:color w:val="000000" w:themeColor="text1"/>
          <w:sz w:val="16"/>
          <w:szCs w:val="16"/>
        </w:rPr>
        <w:t>…Красный путиловец с марта 1931 года будет выпускать новый тип трактора в полтора раза более сильный. Нынешняя модель слишком слаба. Новый трактор даст отличный легкий танк. Модель Сталинградского завода и Катерпиллер также приспособляются под танк.</w:t>
      </w:r>
    </w:p>
    <w:p w14:paraId="662542F2" w14:textId="77777777" w:rsidR="00DB5AEA" w:rsidRPr="00507A31" w:rsidRDefault="00DB5AEA" w:rsidP="00507A31">
      <w:pPr>
        <w:jc w:val="both"/>
        <w:rPr>
          <w:color w:val="000000" w:themeColor="text1"/>
          <w:sz w:val="16"/>
          <w:szCs w:val="16"/>
        </w:rPr>
      </w:pPr>
      <w:r w:rsidRPr="00507A31">
        <w:rPr>
          <w:color w:val="000000" w:themeColor="text1"/>
          <w:sz w:val="16"/>
          <w:szCs w:val="16"/>
        </w:rPr>
        <w:t>В общем вопрос применения трактора и автомобиля для танка надо считать решенным и в наших условиях.</w:t>
      </w:r>
    </w:p>
    <w:p w14:paraId="3E8620D2" w14:textId="77777777" w:rsidR="00DB5AEA" w:rsidRPr="00507A31" w:rsidRDefault="00DB5AEA" w:rsidP="00507A31">
      <w:pPr>
        <w:jc w:val="both"/>
        <w:rPr>
          <w:color w:val="000000" w:themeColor="text1"/>
          <w:sz w:val="16"/>
          <w:szCs w:val="16"/>
        </w:rPr>
      </w:pPr>
      <w:r w:rsidRPr="00507A31">
        <w:rPr>
          <w:color w:val="000000" w:themeColor="text1"/>
          <w:sz w:val="16"/>
          <w:szCs w:val="16"/>
        </w:rPr>
        <w:t>Второе условие массового производства танков — штамповка броневых корпусов — точно так же уже разрешено. Очень характерно, что все известные нам образцы штампованных корпусов совпадают с фабричными марками автомобилей и тракторов, причем наиболее интересующих нас образцов мы несомненно еще не знаем.</w:t>
      </w:r>
    </w:p>
    <w:p w14:paraId="3AA5E923" w14:textId="77777777" w:rsidR="00DB5AEA" w:rsidRPr="00507A31" w:rsidRDefault="00DB5AEA" w:rsidP="00507A31">
      <w:pPr>
        <w:jc w:val="both"/>
        <w:rPr>
          <w:color w:val="000000" w:themeColor="text1"/>
          <w:sz w:val="16"/>
          <w:szCs w:val="16"/>
        </w:rPr>
      </w:pPr>
      <w:r w:rsidRPr="00507A31">
        <w:rPr>
          <w:color w:val="000000" w:themeColor="text1"/>
          <w:sz w:val="16"/>
          <w:szCs w:val="16"/>
        </w:rPr>
        <w:t>…Чтобы выяснить условия штампования и сварки танковой брони, я познакомился со штамповкой больших котлов в Ленинграде на заводе им. Ленина и на заводе Вашего имени. Выяснилась полная возможность штампования брони для танков…</w:t>
      </w:r>
    </w:p>
    <w:p w14:paraId="09EDBD2F" w14:textId="77777777" w:rsidR="00DB5AEA" w:rsidRPr="00507A31" w:rsidRDefault="00DB5AEA" w:rsidP="00507A31">
      <w:pPr>
        <w:jc w:val="both"/>
        <w:rPr>
          <w:color w:val="000000" w:themeColor="text1"/>
          <w:sz w:val="16"/>
          <w:szCs w:val="16"/>
        </w:rPr>
      </w:pPr>
      <w:r w:rsidRPr="00507A31">
        <w:rPr>
          <w:color w:val="000000" w:themeColor="text1"/>
          <w:sz w:val="16"/>
          <w:szCs w:val="16"/>
        </w:rPr>
        <w:t>Итак, мы обладаем всеми условиями, необходимыми для массового производства танков, причем, в моей записке о реконструкции РККА я не преувеличил, а приуменьшил возможности производства у нас танков.</w:t>
      </w:r>
    </w:p>
    <w:p w14:paraId="007F62E9" w14:textId="77777777" w:rsidR="00DB5AEA" w:rsidRPr="00507A31" w:rsidRDefault="00DB5AEA" w:rsidP="00507A31">
      <w:pPr>
        <w:jc w:val="both"/>
        <w:rPr>
          <w:color w:val="000000" w:themeColor="text1"/>
          <w:sz w:val="16"/>
          <w:szCs w:val="16"/>
        </w:rPr>
      </w:pPr>
      <w:r w:rsidRPr="00507A31">
        <w:rPr>
          <w:color w:val="000000" w:themeColor="text1"/>
          <w:sz w:val="16"/>
          <w:szCs w:val="16"/>
        </w:rPr>
        <w:t>а) в 1932 г. — 40 000 тысяч по мобилизации и 100 000 из годового производства и б) в 1933 эти цифры могли бы возрасти раза в полтора.</w:t>
      </w:r>
    </w:p>
    <w:p w14:paraId="320225EA" w14:textId="77777777" w:rsidR="00DB5AEA" w:rsidRPr="00507A31" w:rsidRDefault="00DB5AEA" w:rsidP="00507A31">
      <w:pPr>
        <w:jc w:val="both"/>
        <w:rPr>
          <w:color w:val="000000" w:themeColor="text1"/>
          <w:sz w:val="16"/>
          <w:szCs w:val="16"/>
        </w:rPr>
      </w:pPr>
      <w:r w:rsidRPr="00507A31">
        <w:rPr>
          <w:color w:val="000000" w:themeColor="text1"/>
          <w:sz w:val="16"/>
          <w:szCs w:val="16"/>
        </w:rPr>
        <w:t>…Вряд ли какая-либо капиталистическая страна или даже коалиция в Европе на данной стадии подготовки антисоветской интервенции смогла бы противопоставить что-либо равноценное в этой новой, массовой подвижной силе… Докладная записка штаба РККА не только потому возмутительна, что рядом подложных цифр ввела Вас и тов. Ворошилова в заблуждение, но больше всего вредна тем, что является выражением закостенелого консерватизма, враждебного прогрессивному разрешению новых военных задач, вытекающих из успехов индустриализации страны и социалистического строительства. Во всей своей организационной деятельности Штаб РККА в лучшем случае поднимается до давно устаревшего уровня 1918 года, но зато решительно отстает от общих темпов нашего развития».</w:t>
      </w:r>
    </w:p>
    <w:p w14:paraId="17754E5D" w14:textId="77777777" w:rsidR="00DB5AEA" w:rsidRPr="00507A31" w:rsidRDefault="00DB5AEA" w:rsidP="00507A31">
      <w:pPr>
        <w:jc w:val="both"/>
        <w:rPr>
          <w:color w:val="000000" w:themeColor="text1"/>
          <w:sz w:val="16"/>
          <w:szCs w:val="16"/>
        </w:rPr>
      </w:pPr>
      <w:r w:rsidRPr="00507A31">
        <w:rPr>
          <w:color w:val="000000" w:themeColor="text1"/>
          <w:sz w:val="16"/>
          <w:szCs w:val="16"/>
        </w:rPr>
        <w:t>Тухачевский ссылался на статистические данные для Великобритании, Франции и Германии 1918 и начала 1920-х гг., которые указывали на существование определенных пропорций между развитием этих отраслей. Он предположил, что соотношение между числом производимых самолетов и автомобилей должно составлять 1: 3, а между авиационными двигателями и автомашинами— 1:2.</w:t>
      </w:r>
    </w:p>
    <w:p w14:paraId="0A4C084A" w14:textId="77777777" w:rsidR="00DB5AEA" w:rsidRPr="00507A31" w:rsidRDefault="00DB5AEA" w:rsidP="00507A31">
      <w:pPr>
        <w:jc w:val="both"/>
        <w:rPr>
          <w:color w:val="000000" w:themeColor="text1"/>
          <w:sz w:val="16"/>
          <w:szCs w:val="16"/>
        </w:rPr>
      </w:pPr>
      <w:r w:rsidRPr="00507A31">
        <w:rPr>
          <w:color w:val="000000" w:themeColor="text1"/>
          <w:sz w:val="16"/>
          <w:szCs w:val="16"/>
        </w:rPr>
        <w:t>В свою очередь, производство танков могло быть тесно увязано с производством тракторов. Для этого сектора промышленности Тухачевский принимал существование пропорциональной зависимости между числом выпускаемых тракторов и танков. Он использовал соотношение: один танк на каждые два трактора. Это означало, что запланированное на 1932/33 г. производство 197 000 тракторов позволит в случае войны довести производство танков до 100 000 машин в год. Если считать убыль танков в год войны равной 100% (цифра условная), то, констатировал он, «МЫ СМОЖЕМ ИМЕТЬ В СТРОЮ 50 000 ТАНКОВ» (15117).</w:t>
      </w:r>
    </w:p>
    <w:p w14:paraId="21E6A716" w14:textId="77777777" w:rsidR="00DB5AEA" w:rsidRPr="00507A31" w:rsidRDefault="00DB5AEA" w:rsidP="00507A31">
      <w:pPr>
        <w:jc w:val="both"/>
        <w:rPr>
          <w:color w:val="000000" w:themeColor="text1"/>
          <w:sz w:val="16"/>
          <w:szCs w:val="16"/>
        </w:rPr>
      </w:pPr>
    </w:p>
    <w:p w14:paraId="28A4A8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года советская внешнеторговая организация "Амторг", действующая в США, подписала с Кристи контракт на постройку двух танков самой последней модели (к тому времени существовавших только на бумаге). За постройкой танков в Равейе наблюдал представитель советской стороны, инженер Н.М.Тоскин. Оба танка выполнялись в безбашенном варианте и не несли вооружения (3862).</w:t>
      </w:r>
    </w:p>
    <w:p w14:paraId="4FE34290" w14:textId="77777777" w:rsidR="00537E5F" w:rsidRPr="00507A31" w:rsidRDefault="00537E5F" w:rsidP="00507A31">
      <w:pPr>
        <w:autoSpaceDE w:val="0"/>
        <w:autoSpaceDN w:val="0"/>
        <w:adjustRightInd w:val="0"/>
        <w:jc w:val="both"/>
        <w:rPr>
          <w:color w:val="000000" w:themeColor="text1"/>
          <w:sz w:val="16"/>
          <w:szCs w:val="16"/>
        </w:rPr>
      </w:pPr>
    </w:p>
    <w:p w14:paraId="5C7D70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года советская внешнеторговая организация "Амторг", подписала с Кристи контракт на постройку двух танков этой модели. Договор на поставку танков в полной комплектации с технологической документацией и правом изготовления в СССР был заключен с участием специальной закупочной комиссии под руководством Халепского И.А. и собственно американского конструктора Кристи. Кроме того, Кристи обязался предоставлять информацию о дальнейшей модернизации своего танка М.1931. Общая стоимость контракта составила 160 тыс. долларов США (9366).</w:t>
      </w:r>
    </w:p>
    <w:p w14:paraId="536052BC" w14:textId="77777777" w:rsidR="00537E5F" w:rsidRPr="00507A31" w:rsidRDefault="00537E5F" w:rsidP="00507A31">
      <w:pPr>
        <w:autoSpaceDE w:val="0"/>
        <w:autoSpaceDN w:val="0"/>
        <w:adjustRightInd w:val="0"/>
        <w:jc w:val="both"/>
        <w:rPr>
          <w:color w:val="000000" w:themeColor="text1"/>
          <w:sz w:val="16"/>
          <w:szCs w:val="16"/>
        </w:rPr>
      </w:pPr>
    </w:p>
    <w:p w14:paraId="3152DED3" w14:textId="77777777" w:rsidR="00AC5973" w:rsidRPr="00507A31" w:rsidRDefault="00AC5973" w:rsidP="00507A31">
      <w:pPr>
        <w:jc w:val="both"/>
        <w:rPr>
          <w:color w:val="000000" w:themeColor="text1"/>
          <w:sz w:val="16"/>
          <w:szCs w:val="16"/>
        </w:rPr>
      </w:pPr>
      <w:r w:rsidRPr="00507A31">
        <w:rPr>
          <w:color w:val="000000" w:themeColor="text1"/>
          <w:sz w:val="16"/>
          <w:szCs w:val="16"/>
        </w:rPr>
        <w:t>В апреле 1930 г. советская внешнеторговая организация Амторг подписала с фирмой «Кристи» контракт на постройку двух танков этой модели. Договор на поставку танков в полной комплектации с технологической документацией и правом изготовления в СССР был заключен с участием специальной закупочной комиссии под руководством И.А. Халепского и самого американского конструктора Джорджа Уолтера Кристи. Кроме того, фирма «Кристи» обязалась предоставлять информацию о дальнейшей модернизации своего танка МЛ931. Общая стоимость контракта составила 160 тыс. долларов (15117).</w:t>
      </w:r>
    </w:p>
    <w:p w14:paraId="533B070A" w14:textId="77777777" w:rsidR="00AC5973" w:rsidRPr="00507A31" w:rsidRDefault="00AC5973" w:rsidP="00507A31">
      <w:pPr>
        <w:jc w:val="both"/>
        <w:rPr>
          <w:color w:val="000000" w:themeColor="text1"/>
          <w:sz w:val="16"/>
          <w:szCs w:val="16"/>
        </w:rPr>
      </w:pPr>
    </w:p>
    <w:p w14:paraId="1A89E1ED" w14:textId="77777777" w:rsidR="00933ADB" w:rsidRPr="00507A31" w:rsidRDefault="00933ADB" w:rsidP="00507A31">
      <w:pPr>
        <w:jc w:val="both"/>
        <w:rPr>
          <w:color w:val="000000" w:themeColor="text1"/>
          <w:sz w:val="16"/>
          <w:szCs w:val="16"/>
        </w:rPr>
      </w:pPr>
      <w:r w:rsidRPr="00507A31">
        <w:rPr>
          <w:color w:val="000000" w:themeColor="text1"/>
          <w:sz w:val="16"/>
          <w:szCs w:val="16"/>
        </w:rPr>
        <w:t>В апреле 1930 г. было принято решение подключить к выпуску 300 машин Т-12 по программе 1930/31 г., помимо ХПЗ, два готовившихся к введению в строй тракторных завода Сталинградский и Челябинский (12303).</w:t>
      </w:r>
    </w:p>
    <w:p w14:paraId="36AD0C07" w14:textId="77777777" w:rsidR="00933ADB" w:rsidRPr="00507A31" w:rsidRDefault="00933ADB" w:rsidP="00507A31">
      <w:pPr>
        <w:jc w:val="both"/>
        <w:rPr>
          <w:color w:val="000000" w:themeColor="text1"/>
          <w:sz w:val="16"/>
          <w:szCs w:val="16"/>
        </w:rPr>
      </w:pPr>
    </w:p>
    <w:p w14:paraId="639A27E7" w14:textId="77777777" w:rsidR="00282AFC" w:rsidRPr="00507A31" w:rsidRDefault="00282AFC" w:rsidP="00507A31">
      <w:pPr>
        <w:jc w:val="both"/>
        <w:rPr>
          <w:color w:val="0070C0"/>
          <w:sz w:val="16"/>
          <w:szCs w:val="16"/>
          <w:shd w:val="clear" w:color="auto" w:fill="FFFFFF"/>
        </w:rPr>
      </w:pPr>
      <w:r w:rsidRPr="00507A31">
        <w:rPr>
          <w:color w:val="0070C0"/>
          <w:sz w:val="16"/>
          <w:szCs w:val="16"/>
          <w:shd w:val="clear" w:color="auto" w:fill="FFFFFF"/>
        </w:rPr>
        <w:t>В апреле 1930 года появился переработанный проект Т-12, который получил индекс Т-24. В целом это был тот же Т-12, но боевая масса оценивалась уже в 18,5 тонн. При мощности мотора в 250 л.с. максимальная скорость составляла 22 км/ч. После долгих доводок по машине ее, наконец, 5 ноября 1930 года было принято решение о запуске машины в серию. Сегодня как раз исполнилось 90 лет с этой даты (20203).</w:t>
      </w:r>
    </w:p>
    <w:p w14:paraId="2BF9A41B" w14:textId="77777777" w:rsidR="00282AFC" w:rsidRPr="00507A31" w:rsidRDefault="00282AFC" w:rsidP="00507A31">
      <w:pPr>
        <w:jc w:val="both"/>
        <w:rPr>
          <w:color w:val="0070C0"/>
          <w:sz w:val="16"/>
          <w:szCs w:val="16"/>
          <w:shd w:val="clear" w:color="auto" w:fill="FFFFFF"/>
        </w:rPr>
      </w:pPr>
    </w:p>
    <w:p w14:paraId="23197BD3" w14:textId="77777777" w:rsidR="00282AFC" w:rsidRPr="00507A31" w:rsidRDefault="00282AFC" w:rsidP="00507A31">
      <w:pPr>
        <w:jc w:val="both"/>
        <w:rPr>
          <w:color w:val="0070C0"/>
          <w:sz w:val="16"/>
          <w:szCs w:val="16"/>
          <w:shd w:val="clear" w:color="auto" w:fill="FFFFFF"/>
        </w:rPr>
      </w:pPr>
      <w:r w:rsidRPr="00507A31">
        <w:rPr>
          <w:color w:val="0070C0"/>
          <w:sz w:val="16"/>
          <w:szCs w:val="16"/>
          <w:shd w:val="clear" w:color="auto" w:fill="FFFFFF"/>
        </w:rPr>
        <w:t>По состоянию на апрель 1930 года завод "Большевик" уже имел заказ на Т-23, причем предполагалось выпускать уже третью версию - с мотором от Т-22 (V-образная "четверка" воздушно-жидкостного охлаждения мощностью 60 л.с., был вариант и 4-цилиндрового оппозита). Сроком изготовления опытного образца указывался январь 1931 года, при этом ГКБ ОАТ еще проектирование не закончило (22492).</w:t>
      </w:r>
    </w:p>
    <w:p w14:paraId="23B0033A" w14:textId="77777777" w:rsidR="00282AFC" w:rsidRPr="00507A31" w:rsidRDefault="00282AFC" w:rsidP="00507A31">
      <w:pPr>
        <w:jc w:val="both"/>
        <w:rPr>
          <w:color w:val="0070C0"/>
          <w:sz w:val="16"/>
          <w:szCs w:val="16"/>
          <w:shd w:val="clear" w:color="auto" w:fill="FFFFFF"/>
        </w:rPr>
      </w:pPr>
    </w:p>
    <w:p w14:paraId="27B33499" w14:textId="77777777" w:rsidR="00AC5973" w:rsidRPr="00507A31" w:rsidRDefault="00AC5973"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в Великобритании были закуплены 20 танкеток Карден-Лойд МкIV, 15 легких танков Виккерс 6 т и 15 танков Викерс 12 т. Стали танкеткой Т-27 и танком Т-26 (9227,13).</w:t>
      </w:r>
    </w:p>
    <w:p w14:paraId="20F59312" w14:textId="77777777" w:rsidR="00AC5973" w:rsidRPr="00507A31" w:rsidRDefault="00AC5973" w:rsidP="00507A31">
      <w:pPr>
        <w:autoSpaceDE w:val="0"/>
        <w:autoSpaceDN w:val="0"/>
        <w:adjustRightInd w:val="0"/>
        <w:jc w:val="both"/>
        <w:rPr>
          <w:color w:val="000000" w:themeColor="text1"/>
          <w:sz w:val="16"/>
          <w:szCs w:val="16"/>
        </w:rPr>
      </w:pPr>
    </w:p>
    <w:p w14:paraId="0817E9F1" w14:textId="77777777" w:rsidR="00F16031" w:rsidRPr="00507A31" w:rsidRDefault="00F16031" w:rsidP="00507A31">
      <w:pPr>
        <w:jc w:val="both"/>
        <w:rPr>
          <w:color w:val="000000" w:themeColor="text1"/>
          <w:sz w:val="16"/>
          <w:szCs w:val="16"/>
        </w:rPr>
      </w:pPr>
      <w:r w:rsidRPr="00507A31">
        <w:rPr>
          <w:color w:val="000000" w:themeColor="text1"/>
          <w:sz w:val="16"/>
          <w:szCs w:val="16"/>
          <w:shd w:val="clear" w:color="auto" w:fill="FFFFFF"/>
        </w:rPr>
        <w:t>В апреле 1930-го на «Большевике» работала инспекция от Наркомата вооружений РККА.</w:t>
      </w:r>
    </w:p>
    <w:p w14:paraId="18767235" w14:textId="77777777" w:rsidR="00F16031" w:rsidRPr="00507A31" w:rsidRDefault="00F16031" w:rsidP="00507A31">
      <w:pPr>
        <w:jc w:val="both"/>
        <w:rPr>
          <w:color w:val="000000" w:themeColor="text1"/>
          <w:sz w:val="16"/>
          <w:szCs w:val="16"/>
        </w:rPr>
      </w:pPr>
      <w:r w:rsidRPr="00507A31">
        <w:rPr>
          <w:color w:val="000000" w:themeColor="text1"/>
          <w:sz w:val="16"/>
          <w:szCs w:val="16"/>
          <w:shd w:val="clear" w:color="auto" w:fill="FFFFFF"/>
        </w:rPr>
        <w:t>В отчете комиссии была дана развернутая картина состояния завода.</w:t>
      </w:r>
    </w:p>
    <w:p w14:paraId="130822D0" w14:textId="77777777" w:rsidR="00F16031" w:rsidRPr="00507A31" w:rsidRDefault="00F16031" w:rsidP="00507A31">
      <w:pPr>
        <w:jc w:val="both"/>
        <w:rPr>
          <w:color w:val="000000" w:themeColor="text1"/>
          <w:sz w:val="16"/>
          <w:szCs w:val="16"/>
        </w:rPr>
      </w:pPr>
      <w:r w:rsidRPr="00507A31">
        <w:rPr>
          <w:color w:val="000000" w:themeColor="text1"/>
          <w:sz w:val="16"/>
          <w:szCs w:val="16"/>
          <w:shd w:val="clear" w:color="auto" w:fill="FFFFFF"/>
        </w:rPr>
        <w:t xml:space="preserve"> «...В прошлом завод был казенным, единственным в морском ведомстве работал вне конкуренции и находился на государственном бюджете. Эти обстоятельства создали на заводе своеобразную установку дела, свои традиции, которые в общежитии обычно охарактеризовываются - «работать по казенному», т.е. работать дорого, с «прохладцей» и по «старинке». Перечисленные факторы на заводе сильно укоренились и, к сожалению, частично сохранились до нашего времени, ломка их и перестройка общего уклада производственной жизни завода происходит крайне медленным темпом...» (вся орфография и пунктуация здесь и далее сохранены).</w:t>
      </w:r>
    </w:p>
    <w:p w14:paraId="3A2C4AF2" w14:textId="77777777" w:rsidR="00F16031" w:rsidRPr="00507A31" w:rsidRDefault="00F16031" w:rsidP="00507A31">
      <w:pPr>
        <w:jc w:val="both"/>
        <w:rPr>
          <w:color w:val="000000" w:themeColor="text1"/>
          <w:sz w:val="16"/>
          <w:szCs w:val="16"/>
        </w:rPr>
      </w:pPr>
      <w:r w:rsidRPr="00507A31">
        <w:rPr>
          <w:color w:val="000000" w:themeColor="text1"/>
          <w:sz w:val="16"/>
          <w:szCs w:val="16"/>
          <w:shd w:val="clear" w:color="auto" w:fill="FFFFFF"/>
        </w:rPr>
        <w:t>Количество рабочих и служащих на заводе к 1 апреля 1930 года составляло 9270 человек. В 1929 году предприятие выпустило 87,5 процента военной и 12,5 процента гражданской продукции.</w:t>
      </w:r>
    </w:p>
    <w:p w14:paraId="50440765" w14:textId="77777777" w:rsidR="00F16031" w:rsidRPr="00507A31" w:rsidRDefault="00F16031" w:rsidP="00507A31">
      <w:pPr>
        <w:jc w:val="both"/>
        <w:rPr>
          <w:color w:val="000000" w:themeColor="text1"/>
          <w:sz w:val="16"/>
          <w:szCs w:val="16"/>
        </w:rPr>
      </w:pPr>
      <w:r w:rsidRPr="00507A31">
        <w:rPr>
          <w:bCs/>
          <w:iCs/>
          <w:color w:val="000000" w:themeColor="text1"/>
          <w:sz w:val="16"/>
          <w:szCs w:val="16"/>
          <w:shd w:val="clear" w:color="auto" w:fill="FFFFFF"/>
        </w:rPr>
        <w:t>К моменту приезда крупповцев «Большевик» занимался сталелитейным производством, крупнокалиберной и зенитной артиллерией, выпуском снарядов, авиамоторостроением, танкостроением и тракторостроением. </w:t>
      </w:r>
    </w:p>
    <w:p w14:paraId="5CDC9398" w14:textId="77777777" w:rsidR="00F16031" w:rsidRPr="00507A31" w:rsidRDefault="00F16031" w:rsidP="00507A31">
      <w:pPr>
        <w:jc w:val="both"/>
        <w:rPr>
          <w:color w:val="000000" w:themeColor="text1"/>
          <w:sz w:val="16"/>
          <w:szCs w:val="16"/>
        </w:rPr>
      </w:pPr>
      <w:r w:rsidRPr="00507A31">
        <w:rPr>
          <w:color w:val="000000" w:themeColor="text1"/>
          <w:sz w:val="16"/>
          <w:szCs w:val="16"/>
          <w:shd w:val="clear" w:color="auto" w:fill="FFFFFF"/>
        </w:rPr>
        <w:t>Поначалу планировалось, что немцы начнут работу в СССР в конце января 1930-го, но организационные проблемы и неурядицы приезд немецких специалистов затянули до конца марта.</w:t>
      </w:r>
    </w:p>
    <w:p w14:paraId="15170942" w14:textId="77777777" w:rsidR="00F16031" w:rsidRPr="00507A31" w:rsidRDefault="00F16031" w:rsidP="00507A31">
      <w:pPr>
        <w:jc w:val="both"/>
        <w:rPr>
          <w:color w:val="000000" w:themeColor="text1"/>
          <w:sz w:val="16"/>
          <w:szCs w:val="16"/>
        </w:rPr>
      </w:pPr>
      <w:r w:rsidRPr="00507A31">
        <w:rPr>
          <w:color w:val="000000" w:themeColor="text1"/>
          <w:sz w:val="16"/>
          <w:szCs w:val="16"/>
          <w:shd w:val="clear" w:color="auto" w:fill="FFFFFF"/>
        </w:rPr>
        <w:t>18 марта ГОМЗ направило служебное письмо на завод «Большевик». В нем сообщалось, что в Москву в ближайшие дни приезжают 12 крупповских специалистов. Интересны некоторые указания, данные в письме, по поводу организации работы и бытовому устройству немцев. «...Особое внимание руководства предприятий должно быть сосредоточено на предоставлении крупповским специалистам полной возможности осуществлять поставленные перед ними задания, отнюдь не загружая их частыми совещаниями, как в рабочее время, так и вне этого времени.</w:t>
      </w:r>
      <w:r w:rsidRPr="00507A31">
        <w:rPr>
          <w:bCs/>
          <w:iCs/>
          <w:color w:val="000000" w:themeColor="text1"/>
          <w:sz w:val="16"/>
          <w:szCs w:val="16"/>
          <w:shd w:val="clear" w:color="auto" w:fill="FFFFFF"/>
        </w:rPr>
        <w:t> Такое же внимание должно быть обращено на создание для крупповских специалистов самых благоприятных условий, чисто бытового характера, а именно: им должна быть предоставлена чистая и хорошая квартира со всеми удобствами. Вопрос с продовольствием должен быть им настолько гарантирован, чтобы они имели возможность получать продукты питания, не теряя время на стоянку в очередях и т.д.</w:t>
      </w:r>
    </w:p>
    <w:p w14:paraId="2FCAF70E" w14:textId="77777777" w:rsidR="00F16031" w:rsidRPr="00507A31" w:rsidRDefault="00F16031" w:rsidP="00507A31">
      <w:pPr>
        <w:jc w:val="both"/>
        <w:rPr>
          <w:color w:val="000000" w:themeColor="text1"/>
          <w:sz w:val="16"/>
          <w:szCs w:val="16"/>
          <w:shd w:val="clear" w:color="auto" w:fill="FFFFFF"/>
        </w:rPr>
      </w:pPr>
      <w:r w:rsidRPr="00507A31">
        <w:rPr>
          <w:color w:val="000000" w:themeColor="text1"/>
          <w:sz w:val="16"/>
          <w:szCs w:val="16"/>
          <w:shd w:val="clear" w:color="auto" w:fill="FFFFFF"/>
        </w:rPr>
        <w:t>Имевшие место на наших предприятиях недоразумения и конфликты с иностранными специалистами, возникшие на почве мелких, но досадных неувязок в обслуживании этих специалистов, создавали нередко такую тяжелую обстановку, что работа того или иного иностранца на наших предприятиях делалась совершенно невозможной...» (18976).</w:t>
      </w:r>
    </w:p>
    <w:p w14:paraId="187491E8" w14:textId="77777777" w:rsidR="00F16031" w:rsidRPr="00507A31" w:rsidRDefault="00F16031" w:rsidP="00507A31">
      <w:pPr>
        <w:jc w:val="both"/>
        <w:rPr>
          <w:color w:val="000000" w:themeColor="text1"/>
          <w:sz w:val="16"/>
          <w:szCs w:val="16"/>
          <w:shd w:val="clear" w:color="auto" w:fill="FFFFFF"/>
        </w:rPr>
      </w:pPr>
    </w:p>
    <w:p w14:paraId="4B0E1F23" w14:textId="77777777" w:rsidR="00F16031" w:rsidRPr="00507A31" w:rsidRDefault="00F16031" w:rsidP="00507A31">
      <w:pPr>
        <w:jc w:val="both"/>
        <w:rPr>
          <w:color w:val="000000" w:themeColor="text1"/>
          <w:sz w:val="16"/>
          <w:szCs w:val="16"/>
        </w:rPr>
      </w:pPr>
      <w:r w:rsidRPr="00507A31">
        <w:rPr>
          <w:color w:val="000000" w:themeColor="text1"/>
          <w:sz w:val="16"/>
          <w:szCs w:val="16"/>
        </w:rPr>
        <w:t>В апреле 1930 года, еще до заключения договора, советско-германской комиссией (в состав которой входили представители Управления вооружений РККА, представители, командированные «Рейнметаллом», и члены ВСНХ) под председательством Уборевича была утверждена следующая программа работ для конструкторского бюро: 305-мм мортира, 305-мм гаубица, 122-мм гаубица, 76-мм танковая пушка, 107-122-мм тяжелая зенитная пушка, 152-мм пушка, 37-мм зенитный автомат, 37-мм танковая пушка и 20-мм тяжелый авиационный пулемет.</w:t>
      </w:r>
    </w:p>
    <w:p w14:paraId="77CD61D8" w14:textId="77777777" w:rsidR="00F16031" w:rsidRPr="00507A31" w:rsidRDefault="00F16031" w:rsidP="00507A31">
      <w:pPr>
        <w:jc w:val="both"/>
        <w:rPr>
          <w:color w:val="000000" w:themeColor="text1"/>
          <w:sz w:val="16"/>
          <w:szCs w:val="16"/>
        </w:rPr>
      </w:pPr>
      <w:r w:rsidRPr="00507A31">
        <w:rPr>
          <w:color w:val="000000" w:themeColor="text1"/>
          <w:sz w:val="16"/>
          <w:szCs w:val="16"/>
        </w:rPr>
        <w:t>В ходе переговоров представители «Рейнметалла» неожиданно стали пытаться сорвать соглашение, предъявляя заведомо завышенные расценки. Генеральный директор Эйссе выступал против оказания технической помощи Советскому Союзу, кроме того, орудиями фирмы неожиданно заинтересовалась Франция, выражавшая готовность предоставить крупный займ для поддержания концерна на плаву. Однако Людвиг, будучи типичным представителем созданного фон Сек-том «русского лобби» в рейхсвере, сумел найти в руководстве фирмы могущественного союзника в лице члена наблюдательного совета «Рейнметалла» промышленника Отто Вольфа. Когда Эйссе совместно с председателем совета директоров Портеном направили[294] очередной отрицательный ответ на советские предложения, Вольф и Людвиг в ответ сместили половину совета, и 6 августа 1930 года договор был подписан. Уже через месяц в СССР были доставлены первые образцы заказанных артсистем (18263).</w:t>
      </w:r>
    </w:p>
    <w:p w14:paraId="1D2F9D66" w14:textId="77777777" w:rsidR="00F16031" w:rsidRPr="00507A31" w:rsidRDefault="00F16031" w:rsidP="00507A31">
      <w:pPr>
        <w:jc w:val="both"/>
        <w:rPr>
          <w:color w:val="000000" w:themeColor="text1"/>
          <w:sz w:val="16"/>
          <w:szCs w:val="16"/>
        </w:rPr>
      </w:pPr>
    </w:p>
    <w:p w14:paraId="46B604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Нач. ЭКУ ОГПУ Уюк выдал Э.Гроте ТЗ на проектирование танка массой 18-20 т, скоростью 35-40 км/час и броней 20 мм с 1х76 + 1х37 и пяти пулеметов. Сформировали КБ АВО-5 на заводе Большевик (4402).</w:t>
      </w:r>
    </w:p>
    <w:p w14:paraId="4FD10626" w14:textId="77777777" w:rsidR="00537E5F" w:rsidRPr="00507A31" w:rsidRDefault="00537E5F" w:rsidP="00507A31">
      <w:pPr>
        <w:autoSpaceDE w:val="0"/>
        <w:autoSpaceDN w:val="0"/>
        <w:adjustRightInd w:val="0"/>
        <w:jc w:val="both"/>
        <w:rPr>
          <w:color w:val="000000" w:themeColor="text1"/>
          <w:sz w:val="16"/>
          <w:szCs w:val="16"/>
        </w:rPr>
      </w:pPr>
    </w:p>
    <w:p w14:paraId="20E5AE68" w14:textId="77777777" w:rsidR="00AC5973" w:rsidRPr="00507A31" w:rsidRDefault="00AC5973" w:rsidP="00507A31">
      <w:pPr>
        <w:jc w:val="both"/>
        <w:rPr>
          <w:color w:val="000000" w:themeColor="text1"/>
          <w:sz w:val="16"/>
          <w:szCs w:val="16"/>
        </w:rPr>
      </w:pPr>
      <w:r w:rsidRPr="00507A31">
        <w:rPr>
          <w:color w:val="000000" w:themeColor="text1"/>
          <w:sz w:val="16"/>
          <w:szCs w:val="16"/>
        </w:rPr>
        <w:t>В апреле 1930 г. Гроте выдали ТЗ на проектирование танка: масса 18-20 т, скоростью 35-40 км/ч, толщина брони 20 мм; вооружение должно состоять из двух орудий 76-мм и 37-мм и пяти пулемётов. Остальные параметры оставались на усмотрение конструктора. Проектирование и постройка опытной машины были поручены конструкторскому бюро завода «Большевик». В бюро работали немецкие специалисты и молодые советские инженеры. Изготовление нового танка, получившего индекс ТГ (танк Гроте), велось в обстановке глубокой секретности. За проведением работы непосредственно наблюдали представители РВС и правительства СССР. Так, 17-18 ноября 1930 г. К. Е. Ворошилов лично посещал завод «Большевик», о чём докладывал И. В. Сталину: «Готовность танка на сегодня составляет 85%. Осталась незавершённой достройка моторной группы, коробки скоростей и ряда дополнительных агрегатов. Образец изготавливается в специальной мастерской, где занято около 130 Рабочих и техников. В настоящее время постройка танка задерживается из-за тяжёлой болезни Э. Гроте, но наши инженеры предполагают, что 15-20 декабря опытный образец всё-таки будет закончен». Из-за ненадёжной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 ной корпус. Вооружение размещалось в два яруса. В верхней вращающейся башне была установлена 37-мм пушка конструкции Сячентова, с возможностью стрельбы по воздушным целям. В нижней неподвижной боевой рубке размещалось 76-мм танковое орудие конструкции Гроте-Сячентова и три пулемёта «максим». Главное орудие танка по тому времени являлось самым мощным из существующих подобных пушек. Как показали испытания, по кучности боя и разрывному действию боеприпасов орудие оказалось превосходным. В бортах ТГ были размещены ещё два пулемёта ДТ. Танк имел много оригинальных решений ходовой части. Находясь на полу цеха без гусениц, он свободно перекатывался с места на место усилием 2-3 человек. Экипаж танка состоял из 5 человек: механика-водителя, командира (он же наводчик 37-мм орудия), пулемётчика и двух человек, обслуживающих 76-мм орудие (15132).</w:t>
      </w:r>
    </w:p>
    <w:p w14:paraId="26609404" w14:textId="77777777" w:rsidR="00AC5973" w:rsidRPr="00507A31" w:rsidRDefault="00AC5973" w:rsidP="00507A31">
      <w:pPr>
        <w:jc w:val="both"/>
        <w:rPr>
          <w:color w:val="000000" w:themeColor="text1"/>
          <w:sz w:val="16"/>
          <w:szCs w:val="16"/>
        </w:rPr>
      </w:pPr>
    </w:p>
    <w:p w14:paraId="621B14D3" w14:textId="77777777" w:rsidR="00F16031" w:rsidRPr="00507A31" w:rsidRDefault="00F16031" w:rsidP="00507A31">
      <w:pPr>
        <w:jc w:val="both"/>
        <w:rPr>
          <w:color w:val="000000" w:themeColor="text1"/>
          <w:sz w:val="16"/>
          <w:szCs w:val="16"/>
        </w:rPr>
      </w:pPr>
      <w:r w:rsidRPr="00507A31">
        <w:rPr>
          <w:color w:val="000000" w:themeColor="text1"/>
          <w:sz w:val="16"/>
          <w:szCs w:val="16"/>
        </w:rPr>
        <w:t xml:space="preserve">В апреле 1930 г. Гроте выдали ТЗ на проектирование танка массой 18–20 т, скоростью 35–40 км/час и толщиной брони 20 мм. Вооружение должно состоять из двух орудий 76 и 37 мм и пяти пулеметов. Остальные параметры оставались на усмотрение конструктора. Для проектирования и постройки опытной машины было сформировано конструкторское бюро АВО-5 на заводе «Большевик». В это бюро, помимо немецких специалистов, вошли также молодые советские инженеры (Барыков, Воробьев и др.), ставшие впоследствии известными разработчиками отечественной бронетехники. Изготовление нового танка, получившего индекс ТГ (танк Гроте), велось в обстановке глубокой секретности. За проведением работы непосредственно наблюдали представители РВС и правительства СССР. Так, 17–18 ноября 1930 г. К. Е. Ворошилов лично посещал завод «Большевик», о чем докладывал И. Сталину: «Готовность танка на сегодня составляет 85%. Осталась незавершенной достройка моторной группы, коробки скоростей и ряда дополнительных агрегатов. Образец изготавливается в специальной мастерской, где занято около 130 рабочих и техников. В настоящее время постройка танка задерживается из-за тяжелой болезни Э. Гроте, но наши инженеры предполагают, что 15–20 декабря опытный образец все-таки будет закончен». Но из-за ненадежной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сварной корпус. </w:t>
      </w:r>
      <w:r w:rsidRPr="00507A31">
        <w:rPr>
          <w:color w:val="000000" w:themeColor="text1"/>
          <w:sz w:val="16"/>
          <w:szCs w:val="16"/>
        </w:rPr>
        <w:lastRenderedPageBreak/>
        <w:t>Вооружение размещалось в два яруса. В верхней вращающейся башне была установлена 37-мм пушка конструкции Сячентова (Б-3) с возможностью стрельбы по воздушным целям. В нижней неподвижной боевой рубке размещалось 76-мм танковое орудие конструкции Гроте-Сячентова и три пулемета «Максим». Главное орудие танка по тому времени являлось самым мощным из существующих подобных пушек. Как показали испытания, по кучности боя и разрывному действию боеприпасов орудие оказалось превосходным. В бортах ТГ были размещены еще два пулемета ДТ. Танк имел много оригинальных решений ходовой части. Находясь на полу цеха без гусениц, он свободно перекатывался с места на место усилием 2–3 человек. Экипаж танка состоял из 5 человек: механика-водителя, командира (он же наводчик 37-мм орудия), пулеметчика и двух человек, обслуживающих 76-мм орудие (18975).</w:t>
      </w:r>
    </w:p>
    <w:p w14:paraId="43FAC568" w14:textId="77777777" w:rsidR="00F16031" w:rsidRPr="00507A31" w:rsidRDefault="00F16031" w:rsidP="00507A31">
      <w:pPr>
        <w:jc w:val="both"/>
        <w:rPr>
          <w:color w:val="000000" w:themeColor="text1"/>
          <w:sz w:val="16"/>
          <w:szCs w:val="16"/>
        </w:rPr>
      </w:pPr>
    </w:p>
    <w:p w14:paraId="0674100F" w14:textId="77777777" w:rsidR="00F16031" w:rsidRPr="00507A31" w:rsidRDefault="00F16031" w:rsidP="00507A31">
      <w:pPr>
        <w:jc w:val="both"/>
        <w:rPr>
          <w:color w:val="000000" w:themeColor="text1"/>
          <w:sz w:val="16"/>
          <w:szCs w:val="16"/>
        </w:rPr>
      </w:pPr>
      <w:r w:rsidRPr="00507A31">
        <w:rPr>
          <w:color w:val="000000" w:themeColor="text1"/>
          <w:sz w:val="16"/>
          <w:szCs w:val="16"/>
        </w:rPr>
        <w:t>С апреля 1930 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 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2D98CACB" w14:textId="77777777" w:rsidR="00F16031" w:rsidRPr="00507A31" w:rsidRDefault="00F16031" w:rsidP="00507A31">
      <w:pPr>
        <w:jc w:val="both"/>
        <w:rPr>
          <w:color w:val="000000" w:themeColor="text1"/>
          <w:sz w:val="16"/>
          <w:szCs w:val="16"/>
        </w:rPr>
      </w:pPr>
      <w:r w:rsidRPr="00507A31">
        <w:rPr>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59A8A230" w14:textId="77777777" w:rsidR="00F16031" w:rsidRPr="00507A31" w:rsidRDefault="00F16031" w:rsidP="00507A31">
      <w:pPr>
        <w:jc w:val="both"/>
        <w:rPr>
          <w:color w:val="000000" w:themeColor="text1"/>
          <w:sz w:val="16"/>
          <w:szCs w:val="16"/>
        </w:rPr>
      </w:pPr>
    </w:p>
    <w:p w14:paraId="356300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года пароход с американским оборудованием часового завода направился в Россию, а в это время в Москве, на Воронцовской улице, на территории бывшей табачной фабрики "Красная звезда" уже шли работы по закладке нового корпуса. Его строительство, начатое с рытья котлована в феврале 1930 года, было закончено к июню того же года. Монтаж основного оборудования был завершен 15 сентября 1930 года. 1 октября 1930 года завод вступил в строй.</w:t>
      </w:r>
    </w:p>
    <w:p w14:paraId="321617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Строительство завода требовало не только огромных материальных затрат, но и квалифицированных кадров. А кадры, как известно, решают все. Для работы на импортном, хоть и устаревшем оборудовании, нужны были опытные рабочие, инструментальщики, конструкторы, инженеры. Летом 1930 г. на XVI съезде ВКП(б) было принято решение о приглашении большого числа иностранных рабочих и специалистов в СССР при условии "полного использования их опыта и знаний на предприятиях Советского Союза".</w:t>
      </w:r>
    </w:p>
    <w:p w14:paraId="149122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фактически вербовка иностранных рабочих и специалистов для первого часового началась несколькими месяцами раньше, в Германии. С этой целью в Германию был командирован В.О. Прусс.</w:t>
      </w:r>
    </w:p>
    <w:p w14:paraId="1EF5E7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июля - первых числах августа 1930 года в Советском Торгпредстве в Берлине были подписаны индивидуальные двухгодичные контракты с Трестом точной механики.</w:t>
      </w:r>
    </w:p>
    <w:p w14:paraId="5AC271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Предполагалось, что немецкие рабочие заменят американцев. Немцы были отличными работниками - профессиональны, честны, трудолюбивы. При этом-соглашались работать за более низкую плату, чем американцы. Да и немецкий язык был более распространен в русских технических кругах, что упрощало общение на работе, а также сокращало затраты администрации на переводчиков. </w:t>
      </w:r>
    </w:p>
    <w:p w14:paraId="708D3A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Условия для немецких специалистов были чрезвычайно привлекательны и риска никакого не представляли. Да и выбор был чрезвычайно прост - получить постоянную работу хотя бы на 2 года, не мучиться больше вопросом - чем кормить семью или продолжать нестабильное существование, подрабатывая то там, то тут.</w:t>
      </w:r>
    </w:p>
    <w:p w14:paraId="751494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Согласно договору, заработная плата выплачивалась в рублях и американских долларах(большая и меньшая часть соответственно). Валютную часть Трест обязывался ежемесячно переводить за границу семье рабочего.</w:t>
      </w:r>
    </w:p>
    <w:p w14:paraId="318818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Работнику и его семье предоставлялась одна или две мебелированные комнаты в зависимости от количества членов семьи.</w:t>
      </w:r>
    </w:p>
    <w:p w14:paraId="4D19B6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Трест брал на себя расходы за проезд от места жительства до Москвы 2-м классом(спальное место) и провоз 150 кг. багажа.</w:t>
      </w:r>
    </w:p>
    <w:p w14:paraId="6E8540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Иностранным специалистам и рабочим гарантировался ежегодный 4-х недельный отпуск с сохранением содержания.</w:t>
      </w:r>
    </w:p>
    <w:p w14:paraId="091359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истечению срока договора, Трест брал на себя обязательства по возмещению расходов на обратный проезд в Германию (11533).</w:t>
      </w:r>
    </w:p>
    <w:p w14:paraId="464D2A0F" w14:textId="77777777" w:rsidR="00537E5F" w:rsidRPr="00507A31" w:rsidRDefault="00537E5F" w:rsidP="00507A31">
      <w:pPr>
        <w:autoSpaceDE w:val="0"/>
        <w:autoSpaceDN w:val="0"/>
        <w:adjustRightInd w:val="0"/>
        <w:jc w:val="both"/>
        <w:rPr>
          <w:color w:val="000000" w:themeColor="text1"/>
          <w:sz w:val="16"/>
          <w:szCs w:val="16"/>
        </w:rPr>
      </w:pPr>
    </w:p>
    <w:p w14:paraId="19535A77" w14:textId="77777777" w:rsidR="00933ADB" w:rsidRPr="00507A31" w:rsidRDefault="00933ADB" w:rsidP="00507A31">
      <w:pPr>
        <w:jc w:val="both"/>
        <w:rPr>
          <w:color w:val="000000" w:themeColor="text1"/>
          <w:sz w:val="16"/>
          <w:szCs w:val="16"/>
        </w:rPr>
      </w:pPr>
      <w:r w:rsidRPr="00507A31">
        <w:rPr>
          <w:color w:val="000000" w:themeColor="text1"/>
          <w:sz w:val="16"/>
          <w:szCs w:val="16"/>
        </w:rPr>
        <w:t>В апреле 1930 г. на базе расформированного ГВПУ было образовано новое хозрасчетное объединение: ВОООП – Всесоюзное объединение орудийно-оружейно-пулеметное (начальник – М.Г. Урываев), а Орудийно-арсенальный трест ликвидирован. Заводы отечественной промышленности в этот период вошли в состав 26 объединений (например, ВОМТ – металлургическое, ВАТО – автотракторное, ВОВАТ – вагоностроительное и автотормозов), а те, в свою очередь, делились на тресты, зачастую по территориальному принципу (ЮМТ – Южмаштрест и т.п.). К сентябрю 1930 г. число объединений возросло до 82, а трестов – до 190 (12137).</w:t>
      </w:r>
    </w:p>
    <w:p w14:paraId="2DC258FB" w14:textId="77777777" w:rsidR="00933ADB" w:rsidRPr="00507A31" w:rsidRDefault="00933ADB" w:rsidP="00507A31">
      <w:pPr>
        <w:pStyle w:val="83"/>
        <w:shd w:val="clear" w:color="auto" w:fill="auto"/>
        <w:spacing w:after="0" w:line="240" w:lineRule="auto"/>
        <w:ind w:firstLine="0"/>
        <w:jc w:val="both"/>
        <w:rPr>
          <w:rFonts w:ascii="Times New Roman" w:hAnsi="Times New Roman"/>
          <w:color w:val="000000" w:themeColor="text1"/>
          <w:sz w:val="16"/>
          <w:szCs w:val="16"/>
        </w:rPr>
      </w:pPr>
    </w:p>
    <w:p w14:paraId="45EFE29A" w14:textId="77777777" w:rsidR="00282AFC" w:rsidRPr="00507A31" w:rsidRDefault="00282AFC" w:rsidP="00507A31">
      <w:pPr>
        <w:jc w:val="both"/>
        <w:rPr>
          <w:color w:val="0070C0"/>
          <w:sz w:val="16"/>
          <w:szCs w:val="16"/>
        </w:rPr>
      </w:pPr>
      <w:r w:rsidRPr="00507A31">
        <w:rPr>
          <w:color w:val="0070C0"/>
          <w:sz w:val="16"/>
          <w:szCs w:val="16"/>
        </w:rPr>
        <w:t>В апреле 1930 года вышла директива штаба РККА, согласно которой все бронепоезда Красной Армии должны были вписываться в «льготный железнодорожный габарит 1435 мм», т. е. должны были иметь возможность действовать на дорогах Западной Европы (ширина железнодорожной колеи в Европе 1435 мм, в России и СССР — 1530 мм).</w:t>
      </w:r>
    </w:p>
    <w:p w14:paraId="1ED50CBB" w14:textId="77777777" w:rsidR="00282AFC" w:rsidRPr="00507A31" w:rsidRDefault="00282AFC" w:rsidP="00507A31">
      <w:pPr>
        <w:jc w:val="both"/>
        <w:rPr>
          <w:color w:val="0070C0"/>
          <w:sz w:val="16"/>
          <w:szCs w:val="16"/>
          <w:shd w:val="clear" w:color="auto" w:fill="FFFFFF"/>
        </w:rPr>
      </w:pPr>
      <w:r w:rsidRPr="00507A31">
        <w:rPr>
          <w:color w:val="0070C0"/>
          <w:sz w:val="16"/>
          <w:szCs w:val="16"/>
        </w:rPr>
        <w:t>В результате в 1930 году, впервые после окончания гражданской войны, были предприняты попытки системной модернизации бронепоездов.</w:t>
      </w:r>
    </w:p>
    <w:p w14:paraId="6E563327" w14:textId="77777777" w:rsidR="00282AFC" w:rsidRPr="00507A31" w:rsidRDefault="00282AFC" w:rsidP="00507A31">
      <w:pPr>
        <w:jc w:val="both"/>
        <w:rPr>
          <w:color w:val="0070C0"/>
          <w:sz w:val="16"/>
          <w:szCs w:val="16"/>
        </w:rPr>
      </w:pPr>
      <w:r w:rsidRPr="00507A31">
        <w:rPr>
          <w:color w:val="0070C0"/>
          <w:sz w:val="16"/>
          <w:szCs w:val="16"/>
        </w:rPr>
        <w:t>Первоначально предполагалось модернизировать «сормовские» и «брянские» легкие бронеплощадки. Однако выяснилось, что считавшиеся лучшими с инженерной точки зрения «сормовские» бронеплощадки из-за перегрузки имели прогиб рамы и к тому же не вписывались в западноевропейский габарит без значительных переделок. Поэтому от дальнейших работ по «сормовским» бронепоездам отказались. Проект модернизированной легкой бронеплощадки, представленный мастерскими военного склада № 60, во многом основывался на конструкции площадки «брянского» типа времен гражданской войны. Основой оставался 50-тонный четырехосный полувагон с колесными тележками «Фокс-Арбель». На его раме устанавливался каркас из металлических профилей, к которому болтами привинчивались листы брони. Учитывая, что на многих «брянских» бронеплощадках, постройки гражданской войны, использовалась не закаленная броневая сталь, а обычная, для усиления бронезащиты бронирование делали разнесенным — два стальных листа устанавливались на расстоянии друг от друга, а зазор между ними заполнялся досками. Орудийные башни цилиндрической формы устанавливались на концах площадки и защищались листами 16-мм брони. Вращение башен осуществлялось вручную. Для защиты стволов пушек служили боковые броневые щитки. На крыше бронеплощадки между башнями шел продольный короб, в котором было сделано восемь небольших лючков (сверху и с боков), использовавшихся для наблюдения, а также для вентиляции боевого отделения во время ведения огня. В средней части крыши устанавливалась командирская башенка шестигранной формы. Из нее через шесть смотровых щелей командиру обеспечивался круговой обзор. Вооружение бронеплощадки составляли два 76,2-мм полевых орудия образца 1902 года и шесть пулеметов Максима. По одному пулемету («спаренному», используя танковую терминологию) монтировалось в башне справа от орудия. Остальные четыре пулемета устанавливались в бортах, по два с каждой стороны. Пулеметы крепились на установке, которая обеспечивала их раздельное наведение в горизонтальной и вертикальной плоскостях. Были осуществлены мероприятия по улучшению обслуживания вооружения, а также более рационально организована внутренняя укладка боеприпасов — на специальных стеллажах в результате боекомплект составлял 540 снарядов и 10 000 патронов (в лентах и коробках). Посадка экипажа бронеплощадки, насчитывавшего 24 человека, осуществлялась через две двери в бортах, кроме того, в полу вагона имелся люк для аварийного выхода на железнодорожное полотно. В качестве тягловой силы для модернизированных бронепоездов была выбрана уже хорошо себя зарекомендовавшая «овечка» — паровоз серии Ов или Оп. Бронирование паровоза осуществлялось бронелистами: 16 мм — на командирской рубке, 10 мм — на вертикальных поверхностях и 8 мм — на остальных. Листы крепились на металлическом каркасе при помощи болтов. Паровозная бригада следила за дорогой через два лючка со смотровыми щелями в переднем листе будки и два бортовых окна (они могли прикрываться броневыми створками). Для обслуживания ходовой части, котла паровоза и водяного бака тендера в броне имелись люки прямоугольной формы. В передней части четырехосного паровозного тендера была сделана бронированная рубка командира бронепоезда. Для наблюдения за полем боя в бортах рубки имелось пять смотровых щелей и двухстворчатый люк, еще один люк находился на крыше. Для наблюдения также служили перископ «Разведчик» и стереотруба БСТ. В задней части тендера планировалось установить зенитный пулемет Максим, с броневым прикрытием. Для посадки экипажа бронепаровоза, состоящего из 10 человек (командир бронепоезда, комиссар, начальник штаба, железнодорожный техник, машинист, помощник машиниста, кочегар, помощник кочегара, старший связист, старший кондуктор), служили две двери в бортах (22745).</w:t>
      </w:r>
    </w:p>
    <w:p w14:paraId="7BF55B78" w14:textId="77777777" w:rsidR="00282AFC" w:rsidRPr="00507A31" w:rsidRDefault="00282AFC" w:rsidP="00507A31">
      <w:pPr>
        <w:jc w:val="both"/>
        <w:rPr>
          <w:color w:val="0070C0"/>
          <w:sz w:val="16"/>
          <w:szCs w:val="16"/>
          <w:shd w:val="clear" w:color="auto" w:fill="FFFFFF"/>
        </w:rPr>
      </w:pPr>
    </w:p>
    <w:p w14:paraId="13DC4F2E" w14:textId="77777777" w:rsidR="00A463B3" w:rsidRPr="00507A31" w:rsidRDefault="00A463B3" w:rsidP="00507A31">
      <w:pPr>
        <w:jc w:val="both"/>
        <w:rPr>
          <w:color w:val="000000" w:themeColor="text1"/>
          <w:sz w:val="16"/>
          <w:szCs w:val="16"/>
        </w:rPr>
      </w:pPr>
      <w:r w:rsidRPr="00507A31">
        <w:rPr>
          <w:color w:val="000000" w:themeColor="text1"/>
          <w:sz w:val="16"/>
          <w:szCs w:val="16"/>
        </w:rPr>
        <w:t>В апреле 1930 г. на заводе им. Коминтерна в ЦРЛЗ здесь проходит конференция по перспективам связи на УКВ (18297).</w:t>
      </w:r>
    </w:p>
    <w:p w14:paraId="05D661D2" w14:textId="77777777" w:rsidR="00A463B3" w:rsidRPr="00507A31" w:rsidRDefault="00A463B3" w:rsidP="00507A31">
      <w:pPr>
        <w:jc w:val="both"/>
        <w:rPr>
          <w:color w:val="000000" w:themeColor="text1"/>
          <w:sz w:val="16"/>
          <w:szCs w:val="16"/>
        </w:rPr>
      </w:pPr>
    </w:p>
    <w:p w14:paraId="0C735B0E" w14:textId="77777777" w:rsidR="00933ADB" w:rsidRPr="00507A31" w:rsidRDefault="00933ADB" w:rsidP="00507A31">
      <w:pPr>
        <w:jc w:val="both"/>
        <w:rPr>
          <w:color w:val="000000" w:themeColor="text1"/>
          <w:sz w:val="16"/>
          <w:szCs w:val="16"/>
        </w:rPr>
      </w:pPr>
      <w:r w:rsidRPr="00507A31">
        <w:rPr>
          <w:color w:val="000000" w:themeColor="text1"/>
          <w:sz w:val="16"/>
          <w:szCs w:val="16"/>
        </w:rPr>
        <w:t xml:space="preserve">В апреле 1930 года 2МЧЗ приступил к выпуску будильников нового образца с годовым заданием 75 тысяч штук и вторичных электрочасов (уличных) с годовым заданием 10 тысяч штук. В августе было получено оборудование завода "Авиаприбор" по производству ходиков, и завод приступил к их выпуску с годовым заданием (на 1931 год) 1 миллион штук. "Такой выпуск продукции за год был в то время нелегкой задачей для завода,- вспоминает Н.В. Акимов, директор 2-го часового завода. </w:t>
      </w:r>
      <w:r w:rsidRPr="00507A31">
        <w:rPr>
          <w:color w:val="000000" w:themeColor="text1"/>
          <w:sz w:val="16"/>
          <w:szCs w:val="16"/>
        </w:rPr>
        <w:lastRenderedPageBreak/>
        <w:t>- С назначением меня начальником строительства, а затем и директором завода я столкнулся с многочисленными трудностями окончания строительства и подготовки нового корпуса к производству продукции (12237).</w:t>
      </w:r>
    </w:p>
    <w:p w14:paraId="4078F08B" w14:textId="77777777" w:rsidR="00933ADB" w:rsidRPr="00507A31" w:rsidRDefault="00933ADB" w:rsidP="00507A31">
      <w:pPr>
        <w:jc w:val="both"/>
        <w:rPr>
          <w:color w:val="000000" w:themeColor="text1"/>
          <w:sz w:val="16"/>
          <w:szCs w:val="16"/>
        </w:rPr>
      </w:pPr>
    </w:p>
    <w:p w14:paraId="7AB0D0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 апреля 1930 года И.М.Великанов начал предлагать руководству армии объединение оборонительных и наступательных работ по биологическому оружию "в одну лабораторию под общим руководством". Оказывается, "работа должна производиться как по линии обороны, так и по линии нападения, причем обе части этой работы должны быть теснейшим образом связаны друг с другом, ибо являются двумя сторонами одного и того же дела". Впрочем, замнаркома обороны И.П.Уборевич, лично посетив лабораторию ВВСЛ во Власихе в сентябре 1930 года, обнаружил не столько микробиологические достижения, сколько обыкновенный беспорядок, и потому он распорядился приостановить работы до наведения порядка. </w:t>
      </w:r>
    </w:p>
    <w:p w14:paraId="6C4612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следующем году, впрочем, у новой лаборатории появились и достижения - сыворотка для борьбы с заболеванием газовой гангреной, средство для борьбы с туляремией. </w:t>
      </w:r>
    </w:p>
    <w:p w14:paraId="5739BE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Нормальная работа лаборатории в Власихе по оборонительной проблематике привела и к организационным результатам. </w:t>
      </w:r>
    </w:p>
    <w:p w14:paraId="5D44EE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9 января 1933 года РВС СССР приказом № 02 за подписью М.Н.Тухачевского преобразовал лабораторию ВВСЛ в Военный научно-медицинский институт РККА (ВМИ) с подчинением его ВСУ. В основном институт был ориентирован на решение оборонительных задач биологической войны: 1) разработку научных вопросов создания средств защиты от бактериологического нападения; 2) разработку и организацию производства сывороток и вакцин, необходимых для профилактических работ в РККА). </w:t>
      </w:r>
    </w:p>
    <w:p w14:paraId="387F70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Следует подчеркнуть, что конкурентные отношения двух военных ведомств (ВОХИМУ и ВСУ) за лидерское место в военно-биологической области отражали объективную реальность. Фактически речь шла о том, что именно закладывать в фундамент работ - наступательную или оборонительную составляющую биологической войны. На том этапе "победили химики", изначально выступавшие за наступательную ориентацию работ и уже добившиеся серьезных результатов в создании рецептур биологического оружия. </w:t>
      </w:r>
    </w:p>
    <w:p w14:paraId="0C1A5E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6AADEA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2D00CB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1291B2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7A6CCF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3B68C2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3D02EB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341C10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33AFFF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01F6C2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10 марта 1937 приказом наркома обороны К.Е.Ворошилова № 0012 военно-биологический институт (к этому времени он обрел новое название - БИТИ, то есть Биотехнический институт) был изъят из ведения ХИМУ РККА и подчинен непосредственно начальнику вооружений. </w:t>
      </w:r>
    </w:p>
    <w:p w14:paraId="729C41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 тому времени в БИТИ уже было создано несколько эффективных образцов биологического оружия. </w:t>
      </w:r>
    </w:p>
    <w:p w14:paraId="6F8FCE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Остается добавить, что в 1937 году в силу известных обстоятельств с горизонта исчезли и все руководители, боровшиеся между собой за лидерство в разработках биологического оружия, - глава БИТИ И.М.Великанов, а также главы ХИМУ и ВСУ РККА Я.М.Фишман и М.И.Баранов (1888-1943). </w:t>
      </w:r>
    </w:p>
    <w:p w14:paraId="7AF7E0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Начальник ХИМУ Я.М.Фишман вплоть до самого ареста не терял надежду на возвращение контроля за военно-биологическими работами. Во всяком случае в одном из последних рукописных документов, который был подготовлен им 25 апреля 1937 года, однако так и не попал в руки машинистки для перепечатки (как раз в ту ночь его "взяли"), обе военно-биологических организации (и БИТИ, и III-я испытательная лаборатория) еще рассматривались им как учреждения ХИМУ. Однако после ареста Я.М.Фишмана новый руководитель М.И.Степанов уже не очень активно боролся за контроль над военно-биологической проблематикой. В самом начале 1938 года БИТИ полностью утратил связи с ХИМУ РККА. </w:t>
      </w:r>
    </w:p>
    <w:p w14:paraId="127C61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И.М.Великанов был арестован 5 июля 1937 года как "японский шпион" (предлог был - осенью 1934 года в качестве начальника БИХИ он в составе делегации из трех человек действительно побывал на международной конференции Красного Креста в Токио, руководителем той делегации был известный советский дипломат Раковский) и через 9 месяцев расстрелян в Бутырской тюрьме.</w:t>
      </w:r>
    </w:p>
    <w:p w14:paraId="48BFD1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БИТИ возглавил микробиолог Л.М.Хатеневер (1896-1948) (11776).</w:t>
      </w:r>
    </w:p>
    <w:p w14:paraId="01C1F8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96D81C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491877FA" w14:textId="77777777" w:rsidR="00537E5F" w:rsidRPr="00507A31" w:rsidRDefault="00537E5F" w:rsidP="00507A31">
      <w:pPr>
        <w:autoSpaceDE w:val="0"/>
        <w:autoSpaceDN w:val="0"/>
        <w:adjustRightInd w:val="0"/>
        <w:jc w:val="both"/>
        <w:rPr>
          <w:iCs/>
          <w:color w:val="000000" w:themeColor="text1"/>
          <w:sz w:val="16"/>
          <w:szCs w:val="16"/>
        </w:rPr>
      </w:pPr>
    </w:p>
    <w:p w14:paraId="4ABF83A2" w14:textId="77777777" w:rsidR="00A463B3" w:rsidRPr="00507A31" w:rsidRDefault="00A463B3" w:rsidP="00507A31">
      <w:pPr>
        <w:jc w:val="both"/>
        <w:rPr>
          <w:color w:val="000000" w:themeColor="text1"/>
          <w:sz w:val="16"/>
          <w:szCs w:val="16"/>
        </w:rPr>
      </w:pPr>
      <w:r w:rsidRPr="00507A31">
        <w:rPr>
          <w:color w:val="000000" w:themeColor="text1"/>
          <w:sz w:val="16"/>
          <w:szCs w:val="16"/>
        </w:rPr>
        <w:t>В апреле 1930 г. руководство ВВС поставило на летний период обучения конкретные задачи, которые сводились к трем направлениям работы: 1) повышению уровня технической эксплуатации, 2) борьбе с аварийностью и 3) к отработке навыков воздушной стрельбы (особенно – «по рукаву»). В этом же месяце инспектировались ВВС Ленинградского ВО и ВВС Балтийского моря, в результате чего было выявлено много недостатков, которые приказано было устранить до 1 мая 1930 г. Так, начальнику ВВС ЛВО указывалось «поднять общевоинское воспитание летного, технического и командного состава, ввести особый учет движению, содержанию и восстановлению инструмента». И далее: «частям 11-й истребительной, 56 и 28-й авиаэскадрилий подготовить к 1 мая 1930 г. 100 % материальной части. Организовать выдачу горячих завтраков на аэродромах Кречевицы и Красногвардейск немедленно»196. Проверялось также и взаимодействие авиации и артиллерии (19566).</w:t>
      </w:r>
    </w:p>
    <w:p w14:paraId="3029B5E5" w14:textId="77777777" w:rsidR="00A463B3" w:rsidRPr="00507A31" w:rsidRDefault="00A463B3" w:rsidP="00507A31">
      <w:pPr>
        <w:jc w:val="both"/>
        <w:rPr>
          <w:color w:val="000000" w:themeColor="text1"/>
          <w:sz w:val="16"/>
          <w:szCs w:val="16"/>
        </w:rPr>
      </w:pPr>
    </w:p>
    <w:p w14:paraId="4B33D6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апреля 1930 г. в строевые части начали поступать новые разведчики Поликарпова. Р-5 должен был стать основной машиной ВВС, массовым многоцелевым самолетом. В первую очередь ими перевооружали легкобомбардировочные и разведывательные эскадрильи в западных округах. Уже летом того же года 30-я аэ под Москвой сдала свои Р-3. Все машины этого типа начинают сосредотачивать в Средней Азии и Закавказье. На 1 октября там находились 58 из 89 сохранившихся в строю Р-ЗЛД. Частично это объяснялось тем, что моторы "Лоррэн-Дитрих" плохо работали в условиях зимы. В мороз их трудно было запустить, поскольку карбюратор обогревался недостаточно. При температуре ниже -20° имели место случаи обратного выхлопа в карбюратор, которые могли привести к пожару. Вдобавок эти двигатели неудовлетворительно работали на стандартной тогда для наших ВВС бензин-бензольной смеси (11985).</w:t>
      </w:r>
    </w:p>
    <w:p w14:paraId="1EA88679" w14:textId="77777777" w:rsidR="00537E5F" w:rsidRPr="00507A31" w:rsidRDefault="00537E5F" w:rsidP="00507A31">
      <w:pPr>
        <w:autoSpaceDE w:val="0"/>
        <w:autoSpaceDN w:val="0"/>
        <w:adjustRightInd w:val="0"/>
        <w:jc w:val="both"/>
        <w:rPr>
          <w:color w:val="000000" w:themeColor="text1"/>
          <w:sz w:val="16"/>
          <w:szCs w:val="16"/>
        </w:rPr>
      </w:pPr>
    </w:p>
    <w:p w14:paraId="423B953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2D74C5A" w14:textId="77777777" w:rsidR="00537E5F" w:rsidRPr="00507A31" w:rsidRDefault="00537E5F" w:rsidP="00507A31">
      <w:pPr>
        <w:autoSpaceDE w:val="0"/>
        <w:autoSpaceDN w:val="0"/>
        <w:adjustRightInd w:val="0"/>
        <w:jc w:val="both"/>
        <w:rPr>
          <w:iCs/>
          <w:color w:val="000000" w:themeColor="text1"/>
          <w:sz w:val="16"/>
          <w:szCs w:val="16"/>
        </w:rPr>
      </w:pPr>
    </w:p>
    <w:p w14:paraId="1898BA1E" w14:textId="77777777" w:rsidR="007C7C1A" w:rsidRPr="00507A31" w:rsidRDefault="007C7C1A" w:rsidP="00507A31">
      <w:pPr>
        <w:jc w:val="both"/>
        <w:rPr>
          <w:color w:val="000000" w:themeColor="text1"/>
          <w:sz w:val="16"/>
          <w:szCs w:val="16"/>
        </w:rPr>
      </w:pPr>
      <w:r w:rsidRPr="00507A31">
        <w:rPr>
          <w:color w:val="000000" w:themeColor="text1"/>
          <w:sz w:val="16"/>
          <w:szCs w:val="16"/>
        </w:rPr>
        <w:t>В апреле 1930 г. близкий соратник Сталина Л. М. Каганович занял пост первого секретаря Московского областного комитета партии[29].Каганович, который одновременно являлся ключевой фигурой в ЦК и Политбюро, в последующие месяцы и годы проявил себя движущей силой при решении назревших проблем Москвы. Обилие постов и функций облегчало ему действенно проводить в жизнь замыслы в области коммунального хозяйства.</w:t>
      </w:r>
    </w:p>
    <w:p w14:paraId="3628C4D4" w14:textId="77777777" w:rsidR="007C7C1A" w:rsidRPr="00507A31" w:rsidRDefault="007C7C1A" w:rsidP="00507A31">
      <w:pPr>
        <w:jc w:val="both"/>
        <w:rPr>
          <w:color w:val="000000" w:themeColor="text1"/>
          <w:sz w:val="16"/>
          <w:szCs w:val="16"/>
        </w:rPr>
      </w:pPr>
      <w:r w:rsidRPr="00507A31">
        <w:rPr>
          <w:color w:val="000000" w:themeColor="text1"/>
          <w:sz w:val="16"/>
          <w:szCs w:val="16"/>
        </w:rPr>
        <w:t>В декабре 1930 г. было проведено новое районирование Москвы и одновременно принято решение обратиться к насущным вопросам московского коммунального хозяйства. Президиуму Моссовета поручили представить основные генеральные линии развития Москвы как политического, экономического и культурного центра на последующие 10-15 лет{300}.</w:t>
      </w:r>
    </w:p>
    <w:p w14:paraId="5513BEC6" w14:textId="77777777" w:rsidR="007C7C1A" w:rsidRPr="00507A31" w:rsidRDefault="007C7C1A" w:rsidP="00507A31">
      <w:pPr>
        <w:jc w:val="both"/>
        <w:rPr>
          <w:color w:val="000000" w:themeColor="text1"/>
          <w:sz w:val="16"/>
          <w:szCs w:val="16"/>
        </w:rPr>
      </w:pPr>
      <w:r w:rsidRPr="00507A31">
        <w:rPr>
          <w:color w:val="000000" w:themeColor="text1"/>
          <w:sz w:val="16"/>
          <w:szCs w:val="16"/>
        </w:rPr>
        <w:t>В начале 1931 г. Московский комитет партии устроил слушания по отдельным отраслям коммунального хозяйства. На совещание помимо партийных функционеров были приглашены также ведущие служащие и рабочие коммунальных предприятий. От них настойчиво потребовали без обиняков изложить все неполадки{301}.На заседании о трамвайном движении 9 февраля 1931 г. открылась безрадостная картина: пути и подвижной состав устарели и даже примерно не соответствовали росту пассажиропотока, не говоря о том, что четверть всех вагонов из-за поломок была исключена из эксплуатации{302} (18299).</w:t>
      </w:r>
    </w:p>
    <w:p w14:paraId="718A8FE3" w14:textId="77777777" w:rsidR="007C7C1A" w:rsidRPr="00507A31" w:rsidRDefault="007C7C1A" w:rsidP="00507A31">
      <w:pPr>
        <w:jc w:val="both"/>
        <w:rPr>
          <w:color w:val="000000" w:themeColor="text1"/>
          <w:sz w:val="16"/>
          <w:szCs w:val="16"/>
        </w:rPr>
      </w:pPr>
    </w:p>
    <w:p w14:paraId="6BBEEF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1930 вышло постановление ЦК «Об итогах ленинского набора ударников», где практика «огульного набора» подверглась резкой критике. На XVI партсъезде в июне 1930 вообще говорилось, что «чем шире становился охват рабочих ударными бригадами, тем меньше в них ударничества. Имеются факты, когда при небольшом количестве ударных бригад они дают образец производительности труда, когда же их количество расширяется до больших размеров, то теряется их боевитость и они превращаются просто в группы обычных рабочих с одним только названием». Практика использования ударников для «затыкания дыр», «ликвидации прорывов» также стала повсеместной — этого не скрывали сами руководители предприятий. Наконец, нередко оказывалась печальна судьба ударников: работа за льготы без выходных и сверхурочно («уплотнение графика»), повышение норм индивидуальной выработки, ускорение ручных операций («интенсификация труда») часто приводили к полному истощению организма, обморокам, нервным срывам и т.д. Многие, в конце концов, оказывались в больницах, подрывали своё здоровье. Зато руководство предприятий впервые додумалось до того, чтобы самочинно повышенные нормы одного рабочего распространить на всех трудящихся. Естественной реакцией голодающих, обречённых на непосильный труд рабочих оказывались презрение и ненависть к ударникам, стремление ломать их и свой инструмент, мешать работе ударников, приводящей к повышению норм выработки, и собственная работа спустя рукава.</w:t>
      </w:r>
    </w:p>
    <w:p w14:paraId="16E87B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Если, наконец-то, обратиться к статистике, то можно увидеть, что определённые успехи имели место лишь в начале проведения массового соревнования. Так, в первом полугодии 1928/29 хозяйственного года производительность труда возросла на 10%, во втором полугодии — на 20%. Однако затем показатели начали буквально обваливаться: 1030 — 9,7%, 1931 — 7,6%, 1932 — 2,6%. Всё это неиллюзорно отражалось на планах — если в 1928/29 разрыв между заданиями и фактически ростом производительности труда составлял 1,2%, то уже в 1929/30 увеличился в 10 раз, до 12%. А в 1931-м вообще достиг 21,5%. За 1928-32 за счёт роста производительности труда был получен лишь 51% прироста продукции, причём увеличением производительности могли похвастаться такие стратегически важные отрасли, как полиграфическая (82%), текстильная (75%), бумажная (55,8%). Во второстепенных же, вроде угольной, металлургической, пищевой и других, прирост продукции обусловливался количественным ростом численности работающих. В итоге, как известно, первую пятилетку провалили во всех вариантах; основной план индустриализации выполнили меньше чем на четверть и пришлось в итоговые цифры включать все военные затраты, а то, что оказалось не выполнено, изымать из плана (11562).</w:t>
      </w:r>
    </w:p>
    <w:p w14:paraId="6FDAF98B" w14:textId="78614822" w:rsidR="00537E5F" w:rsidRPr="00507A31" w:rsidRDefault="00537E5F" w:rsidP="00507A31">
      <w:pPr>
        <w:autoSpaceDE w:val="0"/>
        <w:autoSpaceDN w:val="0"/>
        <w:adjustRightInd w:val="0"/>
        <w:jc w:val="both"/>
        <w:rPr>
          <w:color w:val="000000" w:themeColor="text1"/>
          <w:sz w:val="16"/>
          <w:szCs w:val="16"/>
        </w:rPr>
      </w:pPr>
    </w:p>
    <w:p w14:paraId="47192CEC" w14:textId="017479FD" w:rsidR="004A1B2E" w:rsidRPr="00507A31" w:rsidRDefault="004A1B2E" w:rsidP="00507A31">
      <w:pPr>
        <w:autoSpaceDE w:val="0"/>
        <w:autoSpaceDN w:val="0"/>
        <w:adjustRightInd w:val="0"/>
        <w:jc w:val="both"/>
        <w:rPr>
          <w:i/>
          <w:iCs/>
          <w:color w:val="000000" w:themeColor="text1"/>
          <w:sz w:val="16"/>
          <w:szCs w:val="16"/>
        </w:rPr>
      </w:pPr>
      <w:r w:rsidRPr="00507A31">
        <w:rPr>
          <w:i/>
          <w:iCs/>
          <w:color w:val="000000" w:themeColor="text1"/>
          <w:sz w:val="16"/>
          <w:szCs w:val="16"/>
        </w:rPr>
        <w:t>За рубежом:</w:t>
      </w:r>
    </w:p>
    <w:p w14:paraId="613592E2" w14:textId="77777777" w:rsidR="004A1B2E" w:rsidRPr="00507A31" w:rsidRDefault="004A1B2E" w:rsidP="00507A31">
      <w:pPr>
        <w:autoSpaceDE w:val="0"/>
        <w:autoSpaceDN w:val="0"/>
        <w:adjustRightInd w:val="0"/>
        <w:jc w:val="both"/>
        <w:rPr>
          <w:color w:val="000000" w:themeColor="text1"/>
          <w:sz w:val="16"/>
          <w:szCs w:val="16"/>
        </w:rPr>
      </w:pPr>
    </w:p>
    <w:p w14:paraId="2A7FBF39" w14:textId="77777777" w:rsidR="004A1B2E" w:rsidRPr="00507A31" w:rsidRDefault="004A1B2E" w:rsidP="00507A31">
      <w:pPr>
        <w:jc w:val="both"/>
        <w:rPr>
          <w:color w:val="0070C0"/>
          <w:sz w:val="16"/>
          <w:szCs w:val="16"/>
        </w:rPr>
      </w:pPr>
      <w:r w:rsidRPr="00507A31">
        <w:rPr>
          <w:color w:val="0070C0"/>
          <w:sz w:val="16"/>
          <w:szCs w:val="16"/>
        </w:rPr>
        <w:t>В апреле 1930 автожира Cierva С.12 «Hydrogiro» на поплавках вылетает из Саутгемптона на южном побережье Англии. Это первый взлет винтокрылого самолета с воды (20805).</w:t>
      </w:r>
    </w:p>
    <w:p w14:paraId="01D7C77A" w14:textId="77777777" w:rsidR="004A1B2E" w:rsidRPr="00507A31" w:rsidRDefault="004A1B2E" w:rsidP="00507A31">
      <w:pPr>
        <w:jc w:val="both"/>
        <w:rPr>
          <w:color w:val="0070C0"/>
          <w:sz w:val="16"/>
          <w:szCs w:val="16"/>
        </w:rPr>
      </w:pPr>
    </w:p>
    <w:p w14:paraId="3EA43C9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DB52055" w14:textId="77777777" w:rsidR="00537E5F" w:rsidRPr="00507A31" w:rsidRDefault="00537E5F" w:rsidP="00507A31">
      <w:pPr>
        <w:autoSpaceDE w:val="0"/>
        <w:autoSpaceDN w:val="0"/>
        <w:adjustRightInd w:val="0"/>
        <w:jc w:val="both"/>
        <w:rPr>
          <w:iCs/>
          <w:color w:val="000000" w:themeColor="text1"/>
          <w:sz w:val="16"/>
          <w:szCs w:val="16"/>
        </w:rPr>
      </w:pPr>
    </w:p>
    <w:p w14:paraId="68A62E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апреля-мая 1929 на И-4 (АНТ-5) стали ставить более мощные двигатели Гном-Рон GR 9Aq 420 нр и усиленные коки винтов и обтекатели дисков колес (4338,18).</w:t>
      </w:r>
    </w:p>
    <w:p w14:paraId="4A54B09D" w14:textId="77777777" w:rsidR="00537E5F" w:rsidRPr="00507A31" w:rsidRDefault="00537E5F" w:rsidP="00507A31">
      <w:pPr>
        <w:autoSpaceDE w:val="0"/>
        <w:autoSpaceDN w:val="0"/>
        <w:adjustRightInd w:val="0"/>
        <w:jc w:val="both"/>
        <w:rPr>
          <w:color w:val="000000" w:themeColor="text1"/>
          <w:sz w:val="16"/>
          <w:szCs w:val="16"/>
        </w:rPr>
      </w:pPr>
    </w:p>
    <w:p w14:paraId="2E0845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апреле-мае 1930 года разразился скандал во Всесоюзном масштабе с окраской металлических самолетов, но так и не решил вопроса о улучшенном способе и методе окраски, гарантирующего полную ликвидацию прорыва в строительстве металлических самолетов (3232).</w:t>
      </w:r>
    </w:p>
    <w:p w14:paraId="0E55E719" w14:textId="77777777" w:rsidR="00537E5F" w:rsidRPr="00507A31" w:rsidRDefault="00537E5F" w:rsidP="00507A31">
      <w:pPr>
        <w:autoSpaceDE w:val="0"/>
        <w:autoSpaceDN w:val="0"/>
        <w:adjustRightInd w:val="0"/>
        <w:jc w:val="both"/>
        <w:rPr>
          <w:color w:val="000000" w:themeColor="text1"/>
          <w:sz w:val="16"/>
          <w:szCs w:val="16"/>
        </w:rPr>
      </w:pPr>
    </w:p>
    <w:p w14:paraId="108F4FB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4F1408B" w14:textId="77777777" w:rsidR="00537E5F" w:rsidRPr="00507A31" w:rsidRDefault="00537E5F" w:rsidP="00507A31">
      <w:pPr>
        <w:autoSpaceDE w:val="0"/>
        <w:autoSpaceDN w:val="0"/>
        <w:adjustRightInd w:val="0"/>
        <w:jc w:val="both"/>
        <w:rPr>
          <w:iCs/>
          <w:color w:val="000000" w:themeColor="text1"/>
          <w:sz w:val="16"/>
          <w:szCs w:val="16"/>
        </w:rPr>
      </w:pPr>
    </w:p>
    <w:p w14:paraId="16460F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маю 1930 заводу № 1 удалось сдать 5 машин Р-5 (из 15 заказанных) , и 3 сразу отправили в Харьков на войсковые испытания. К концу месяца приемку прошли 9 самолетов, а всю 1-ю серию завершили к 11 августа. На всех машинах стояли импортные моторы BMW VI и пулеметы "Льюис" на турели (кроме самолета, сданного в НИИ ВВС). Подфюзеляжные бомбодержатели отсутствовали, комплектация приборами была неполной. После поступления сообщения из НИИ ВВС о проблемах с охлаждением приемка успела задержать две машины, на которых поставили радиаторы с шестигранными трубками. С восьмой машины 1-й серии начали монтировать навигационные огни и подсветку кабин. Генератор работал от ветрянки, т.е. мог использоваться только в полете. Все электрооборудование было импортным (11936).</w:t>
      </w:r>
    </w:p>
    <w:p w14:paraId="18C8D1E2" w14:textId="77777777" w:rsidR="00537E5F" w:rsidRPr="00507A31" w:rsidRDefault="00537E5F" w:rsidP="00507A31">
      <w:pPr>
        <w:autoSpaceDE w:val="0"/>
        <w:autoSpaceDN w:val="0"/>
        <w:adjustRightInd w:val="0"/>
        <w:jc w:val="both"/>
        <w:rPr>
          <w:color w:val="000000" w:themeColor="text1"/>
          <w:sz w:val="16"/>
          <w:szCs w:val="16"/>
        </w:rPr>
      </w:pPr>
    </w:p>
    <w:p w14:paraId="6B2896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маю 1930 заводу № 1 удалось сдать в общей сложности пять машин. Три из них сразу же отправили в Харьков для войсковых испытаний. К концу месяца приемку прошли девять самолетов, а всю 1-ю серию завершили к II августа. На всех машинах стояли импортные моторы BMW VI и пулеметы "Лыоис" на задней турели (кроме самолета, сданного в НИИ ВВС). Подфюзеляжныс бомбодержатели Дер-13 отсутствовали, комплектация приборами была неполной. После поступления сообщения из НИИ ВВС о перегреве воды в моторе военная приемка успела задержать две машины, с № 4146 и № 4147. На них поставили радиаторы с шестигранными трубками. Эти самолеты потом очень хорошо проявили себя на войсковых испытаниях. С восьмой машины 1-й серии начали монтировать навигационные огни и подсветку кабин для ночных полетов. Генератор работа! от ветрянки, то есть мог использоваться только в полете. Все электрооборудование было импортным. в основном,немецким.</w:t>
      </w:r>
    </w:p>
    <w:p w14:paraId="0F163C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Головным образцом 2-й серии стала машина № 4151. 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бал- ки Дер-13 rio-прежнему отсутствовали. Эта машина 15-25 июня 1930 г.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63237E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63C0E43B" w14:textId="77777777" w:rsidR="00537E5F" w:rsidRPr="00507A31" w:rsidRDefault="00537E5F" w:rsidP="00507A31">
      <w:pPr>
        <w:autoSpaceDE w:val="0"/>
        <w:autoSpaceDN w:val="0"/>
        <w:adjustRightInd w:val="0"/>
        <w:jc w:val="both"/>
        <w:rPr>
          <w:color w:val="000000" w:themeColor="text1"/>
          <w:sz w:val="16"/>
          <w:szCs w:val="16"/>
        </w:rPr>
      </w:pPr>
    </w:p>
    <w:p w14:paraId="7A009CA6" w14:textId="77777777" w:rsidR="00CE1CA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48677C1" w14:textId="77777777" w:rsidR="00CE1CA2" w:rsidRPr="00507A31" w:rsidRDefault="00CE1CA2" w:rsidP="00507A31">
      <w:pPr>
        <w:autoSpaceDE w:val="0"/>
        <w:autoSpaceDN w:val="0"/>
        <w:adjustRightInd w:val="0"/>
        <w:jc w:val="both"/>
        <w:rPr>
          <w:iCs/>
          <w:color w:val="000000" w:themeColor="text1"/>
          <w:sz w:val="16"/>
          <w:szCs w:val="16"/>
        </w:rPr>
      </w:pPr>
    </w:p>
    <w:p w14:paraId="35ACECDF" w14:textId="77777777" w:rsidR="007C7C1A" w:rsidRPr="00507A31" w:rsidRDefault="007C7C1A" w:rsidP="00507A31">
      <w:pPr>
        <w:jc w:val="both"/>
        <w:rPr>
          <w:color w:val="000000" w:themeColor="text1"/>
          <w:sz w:val="16"/>
          <w:szCs w:val="16"/>
        </w:rPr>
      </w:pPr>
      <w:r w:rsidRPr="00507A31">
        <w:rPr>
          <w:color w:val="000000" w:themeColor="text1"/>
          <w:sz w:val="16"/>
          <w:szCs w:val="16"/>
        </w:rPr>
        <w:t>К маю 1930 года в ОГПУ сделали вывод, что «основные группы вредителей изъяты из советского хозяйственного аппарата». Однако это не улучшило ситуацию ни в сфере управления, ни на производстве, ни в промышленном строительстве. На место арестованных специалистов «партия и советская власть решительно двинули молодые кадры инженеров, техников и выдвиженцев из среды рабочих». Заполнив опустевшие места квалифицированных профессионалов малоопытными выдвиженцами с правильным происхождением, партийные органы надеялись, что «это мероприятие в условиях возрастающей активности и развертывающейся самокритики рабочего класса гарантирует в значительной степени советскую промышленность и хозяйство от новых посягательств вредителей, оставшихся в учреждениях и на производстве». Разумеется, ситуация только усугубилась, чему власти нашли традиционное объяснение: «Удар, нанесенный нашему хозяйству контрреволюционными организациями, чрезвычайно велик, и требуются колоссальные усилия партии и рабочего класса для того, чтобы на ходу, не замедляя поступательного движения социалистического строительства, исправить и обезвредить результаты вредительства».</w:t>
      </w:r>
    </w:p>
    <w:p w14:paraId="460804F9" w14:textId="77777777" w:rsidR="007C7C1A" w:rsidRPr="00507A31" w:rsidRDefault="007C7C1A" w:rsidP="00507A31">
      <w:pPr>
        <w:jc w:val="both"/>
        <w:rPr>
          <w:color w:val="000000" w:themeColor="text1"/>
          <w:sz w:val="16"/>
          <w:szCs w:val="16"/>
        </w:rPr>
      </w:pPr>
      <w:r w:rsidRPr="00507A31">
        <w:rPr>
          <w:color w:val="000000" w:themeColor="text1"/>
          <w:sz w:val="16"/>
          <w:szCs w:val="16"/>
        </w:rPr>
        <w:t>Тогда и родилась «гениальная» идея исправления «вредительства». ВСНХ и ОГПУ предложили использовать все тех же «инженеров-вредителей», которые уже были осуждены или еще находились под следствием (правда, с оговоркой «если это не нарушает нормального хода следствия и только с разрешения ОГПУ»). Руководителям предприятий предлагалось «немедленно со всей полнотой изучить в органах ОГПУ все акты вредительства, совершенные в соответствующем тресте и на заводах, оказывать всемерное содействие органам ОГПУ при использовании осужденных инженеров в деле постановки новых опытных работ -- конструктивных и лабораторных». Кроме того, необходимо было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приспособлением».</w:t>
      </w:r>
    </w:p>
    <w:p w14:paraId="3CB395C1" w14:textId="77777777" w:rsidR="007C7C1A" w:rsidRPr="00507A31" w:rsidRDefault="007C7C1A" w:rsidP="00507A31">
      <w:pPr>
        <w:jc w:val="both"/>
        <w:rPr>
          <w:color w:val="000000" w:themeColor="text1"/>
          <w:sz w:val="16"/>
          <w:szCs w:val="16"/>
        </w:rPr>
      </w:pPr>
      <w:r w:rsidRPr="00507A31">
        <w:rPr>
          <w:color w:val="000000" w:themeColor="text1"/>
          <w:sz w:val="16"/>
          <w:szCs w:val="16"/>
        </w:rPr>
        <w:t>На предприятиях и в учреждениях стали создаваться особые (конструкторские, исследовательские) бюро, техническое руководство которыми осуществлял консультант (главный инженер) при начальнике бюро из числа наиболее опытных осужденных специалистов. Руководство деятельностью особых бюро осуществляло техническое отделение Экономического управления (ЭКУ) ОГПУ (18728).</w:t>
      </w:r>
    </w:p>
    <w:p w14:paraId="5084EA06" w14:textId="77777777" w:rsidR="007C7C1A" w:rsidRPr="00507A31" w:rsidRDefault="007C7C1A" w:rsidP="00507A31">
      <w:pPr>
        <w:jc w:val="both"/>
        <w:rPr>
          <w:color w:val="000000" w:themeColor="text1"/>
          <w:sz w:val="16"/>
          <w:szCs w:val="16"/>
        </w:rPr>
      </w:pPr>
    </w:p>
    <w:p w14:paraId="1612CB03" w14:textId="77777777" w:rsidR="00CE1CA2" w:rsidRPr="00507A31" w:rsidRDefault="00CE1CA2" w:rsidP="00507A31">
      <w:pPr>
        <w:pStyle w:val="ae"/>
        <w:spacing w:before="0" w:after="0"/>
        <w:jc w:val="both"/>
        <w:rPr>
          <w:color w:val="000000" w:themeColor="text1"/>
          <w:sz w:val="16"/>
          <w:szCs w:val="16"/>
        </w:rPr>
      </w:pPr>
      <w:r w:rsidRPr="00507A31">
        <w:rPr>
          <w:color w:val="000000" w:themeColor="text1"/>
          <w:sz w:val="16"/>
          <w:szCs w:val="16"/>
        </w:rPr>
        <w:t>К маю 1930 г. Отдел специальной аппаратуры (ОСА) ЦРЛ А.Ф. Шорина представил первый образец радиоаппаратуры для установки на серийном катере Ш-4 и самолете ЮГ-1. К августу 1931 г. отработал свой комплекс и Остехбюро Бекаури. Нарком по военным и морским делам К.Е. Ворошилов назначил комиссию для заключительных испытаний.</w:t>
      </w:r>
    </w:p>
    <w:p w14:paraId="6A02FBF8" w14:textId="77777777" w:rsidR="00CE1CA2" w:rsidRPr="00507A31" w:rsidRDefault="00CE1CA2" w:rsidP="00507A31">
      <w:pPr>
        <w:pStyle w:val="ae"/>
        <w:spacing w:before="0" w:after="0"/>
        <w:jc w:val="both"/>
        <w:rPr>
          <w:color w:val="000000" w:themeColor="text1"/>
          <w:sz w:val="16"/>
          <w:szCs w:val="16"/>
        </w:rPr>
      </w:pPr>
      <w:r w:rsidRPr="00507A31">
        <w:rPr>
          <w:color w:val="000000" w:themeColor="text1"/>
          <w:sz w:val="16"/>
          <w:szCs w:val="16"/>
        </w:rPr>
        <w:t xml:space="preserve">«Испытания проводили в Финском заливе, – вспоминал контр-адмирал Б.В. Никитин, участник испытаний, – Катера, управляемые с самолета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w:t>
      </w:r>
      <w:r w:rsidRPr="00507A31">
        <w:rPr>
          <w:color w:val="000000" w:themeColor="text1"/>
          <w:sz w:val="16"/>
          <w:szCs w:val="16"/>
        </w:rPr>
        <w:lastRenderedPageBreak/>
        <w:t>на корабле управления: наблюдению с корабля мешала дымовая завеса &lt;…&gt;. Комиссия предложила принять на вооружение комплекс А.Ф. Шорина. Остехбюро предложили доработать свою аппаратуру» (15736).</w:t>
      </w:r>
    </w:p>
    <w:p w14:paraId="0F8936AF" w14:textId="77777777" w:rsidR="00CE1CA2" w:rsidRPr="00507A31" w:rsidRDefault="00CE1CA2" w:rsidP="00507A31">
      <w:pPr>
        <w:pStyle w:val="ae"/>
        <w:spacing w:before="0" w:after="0"/>
        <w:jc w:val="both"/>
        <w:rPr>
          <w:color w:val="000000" w:themeColor="text1"/>
          <w:sz w:val="16"/>
          <w:szCs w:val="16"/>
        </w:rPr>
      </w:pPr>
    </w:p>
    <w:p w14:paraId="0DB11F1F" w14:textId="77777777" w:rsidR="004A1B2E" w:rsidRPr="00507A31" w:rsidRDefault="004A1B2E" w:rsidP="00507A31">
      <w:pPr>
        <w:jc w:val="both"/>
        <w:rPr>
          <w:color w:val="0070C0"/>
          <w:sz w:val="16"/>
          <w:szCs w:val="16"/>
          <w:shd w:val="clear" w:color="auto" w:fill="FFFFFF"/>
        </w:rPr>
      </w:pPr>
      <w:r w:rsidRPr="00507A31">
        <w:rPr>
          <w:color w:val="0070C0"/>
          <w:sz w:val="16"/>
          <w:szCs w:val="16"/>
          <w:shd w:val="clear" w:color="auto" w:fill="FFFFFF"/>
        </w:rPr>
        <w:t>К маю 1930 года Отдел специальной аппаратуры (ОСА) ЦРЛ А.Ф. Шорина, который подключился к работе по телеуправлению катеров с 1924 г., представил первый образец радиоаппаратуры для установки на серийном катере Ш-4 и самолете ЮГ-1.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Для автоматического расчета курса атаки Бекаури включил в свой комплекс счетно-решающий прибор. В комплексе же Шорина курс рассчитывал по карте оператор (22290).</w:t>
      </w:r>
    </w:p>
    <w:p w14:paraId="5F0391EC" w14:textId="77777777" w:rsidR="004A1B2E" w:rsidRPr="00507A31" w:rsidRDefault="004A1B2E" w:rsidP="00507A31">
      <w:pPr>
        <w:jc w:val="both"/>
        <w:rPr>
          <w:color w:val="0070C0"/>
          <w:sz w:val="16"/>
          <w:szCs w:val="16"/>
        </w:rPr>
      </w:pPr>
    </w:p>
    <w:p w14:paraId="1E038608" w14:textId="77777777" w:rsidR="00CE1CA2" w:rsidRPr="00507A31" w:rsidRDefault="00CE1CA2" w:rsidP="00507A31">
      <w:pPr>
        <w:jc w:val="both"/>
        <w:rPr>
          <w:color w:val="000000" w:themeColor="text1"/>
          <w:sz w:val="16"/>
          <w:szCs w:val="16"/>
        </w:rPr>
      </w:pPr>
      <w:r w:rsidRPr="00507A31">
        <w:rPr>
          <w:color w:val="000000" w:themeColor="text1"/>
          <w:sz w:val="16"/>
          <w:szCs w:val="16"/>
        </w:rPr>
        <w:t>К маю 1930 года лаборатория А.Ф. Шорина создала первый образец радиоаппаратуры для установки на серийном катере типа Ш-4 и самолете типа ЮГ-1. Место командира-оператора, который должен был управлять торпедным катером до радио, перенесли, таким образом, в воздух. С высоты в несколько тысяч метров, считал А.Ф. Шорин, будет возможно на большом расстоянии обнаруживать корабли противника и выводить на них в атаку радиоуправляемые катера. Начались полигонные испытания комплекса Шорина. Вначале настройка и проверка аппаратуры велась на катере у стенки завода. Самолет летал где-то недалеко переменными галсами, с него шли радиокоманды, а инженеры работали с приборами на Ш-4. Испытания продолжались до глубокой осени. А.Ф. Шорин, П.П. Литвинский и Б.А. Смирении успешно решили ряд сложных технических вопросов. Положительные результаты испытаний были получены благодаря напряженной работе всего коллектива; инженеров, техников и рабочих…(15117).</w:t>
      </w:r>
    </w:p>
    <w:p w14:paraId="0839AC10" w14:textId="77777777" w:rsidR="00CE1CA2" w:rsidRPr="00507A31" w:rsidRDefault="00CE1CA2" w:rsidP="00507A31">
      <w:pPr>
        <w:jc w:val="both"/>
        <w:rPr>
          <w:color w:val="000000" w:themeColor="text1"/>
          <w:sz w:val="16"/>
          <w:szCs w:val="16"/>
        </w:rPr>
      </w:pPr>
    </w:p>
    <w:p w14:paraId="278A9C6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B9F1D46" w14:textId="77777777" w:rsidR="00537E5F" w:rsidRPr="00507A31" w:rsidRDefault="00537E5F" w:rsidP="00507A31">
      <w:pPr>
        <w:autoSpaceDE w:val="0"/>
        <w:autoSpaceDN w:val="0"/>
        <w:adjustRightInd w:val="0"/>
        <w:jc w:val="both"/>
        <w:rPr>
          <w:iCs/>
          <w:color w:val="000000" w:themeColor="text1"/>
          <w:sz w:val="16"/>
          <w:szCs w:val="16"/>
        </w:rPr>
      </w:pPr>
    </w:p>
    <w:p w14:paraId="7232B1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 на параде над КП впервые прошли ТБ-1 (АНТ-4) (172,54).</w:t>
      </w:r>
    </w:p>
    <w:p w14:paraId="1DD3B950" w14:textId="77777777" w:rsidR="00537E5F" w:rsidRPr="00507A31" w:rsidRDefault="00537E5F" w:rsidP="00507A31">
      <w:pPr>
        <w:autoSpaceDE w:val="0"/>
        <w:autoSpaceDN w:val="0"/>
        <w:adjustRightInd w:val="0"/>
        <w:jc w:val="both"/>
        <w:rPr>
          <w:color w:val="000000" w:themeColor="text1"/>
          <w:sz w:val="16"/>
          <w:szCs w:val="16"/>
        </w:rPr>
      </w:pPr>
    </w:p>
    <w:p w14:paraId="5E78E2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 г. бомбардировщики ТБ-1 участвовали в первомайском параде в Москве. "Группа тяжелых кораблей" строем прошла над Красной площадью. Второй раз машину публично продемонстрировали 6 июля,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5E8C36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до 70 - 75°. Правда, при этом начинались небольшие вибрации концов крыла, но они оказались неопасными. Взлет был так же прост, как и посадка. При переходе с Р-1 на ТБ-1 летчику лишь требовалось привыкнуть к штурвальной колонке. Бомбардировщик успешно эксплуатировался на неровных площадках.</w:t>
      </w:r>
    </w:p>
    <w:p w14:paraId="441375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то, что слева, правый - что справа. Поэтому по аэродрому рулили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правый.</w:t>
      </w:r>
    </w:p>
    <w:p w14:paraId="397DBE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Кабины были тесноваты для работы в зимнем обмундировании, в которое входили меховая шуба, рукавицы и валенки. И вообще, в открытых кабинах в холодную погоду было очень неуютно. В мороз приходилось надевать на лицо шерстяную маску, а кожу смазывать гусиным жиром (12001).</w:t>
      </w:r>
    </w:p>
    <w:p w14:paraId="27FD3621" w14:textId="77777777" w:rsidR="00537E5F" w:rsidRPr="00507A31" w:rsidRDefault="00537E5F" w:rsidP="00507A31">
      <w:pPr>
        <w:autoSpaceDE w:val="0"/>
        <w:autoSpaceDN w:val="0"/>
        <w:adjustRightInd w:val="0"/>
        <w:jc w:val="both"/>
        <w:rPr>
          <w:color w:val="000000" w:themeColor="text1"/>
          <w:sz w:val="16"/>
          <w:szCs w:val="16"/>
        </w:rPr>
      </w:pPr>
    </w:p>
    <w:p w14:paraId="38124D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 г. бомбардировщики из Воронежа участвовали в первомайском параде в Москве. Группа самолетов строем прошла над Красной площадью. Второй раз эту машину публично продемонстрировали 6 июля,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31428B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 до 70-75 градусов. Правда, при этом начинались небольшие вибрации концов крыла, но они оказались неопасными. Взлет был так же прост, как и посадка. При переходе с одномоторного Р-1 на ТБ-1 летчику только нужно было привыкнуть к штурвальной колонке, да еще с существенно большим ходом. Бомбардировщик успешно эксплуатировался на неровных площадках.</w:t>
      </w:r>
    </w:p>
    <w:p w14:paraId="60FEDF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влево, правый - только вправо. Поэтому рулили по аэродрому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 правый.</w:t>
      </w:r>
    </w:p>
    <w:p w14:paraId="2CC211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Кабины были тесноваты для работы в зимнем обмундировании того времени, в которое входили меховая шуба, рукавицы и валенки. Вообще, в открытых кабинах в холодную погоду было очень нежарко. В мороз приходилось надевать на лицо шерстяную маску, а кожу смазывали гусиным жиром (12024).</w:t>
      </w:r>
    </w:p>
    <w:p w14:paraId="2C173424" w14:textId="77777777" w:rsidR="00537E5F" w:rsidRPr="00507A31" w:rsidRDefault="00537E5F" w:rsidP="00507A31">
      <w:pPr>
        <w:autoSpaceDE w:val="0"/>
        <w:autoSpaceDN w:val="0"/>
        <w:adjustRightInd w:val="0"/>
        <w:jc w:val="both"/>
        <w:rPr>
          <w:color w:val="000000" w:themeColor="text1"/>
          <w:sz w:val="16"/>
          <w:szCs w:val="16"/>
        </w:rPr>
      </w:pPr>
    </w:p>
    <w:p w14:paraId="113822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 г. бомбардировщики из Воронежа участвовали в первомайском параде в Москве. Группа самолетов строем прошла над Красной площадью. Второй раз эту машину публично продемонстрировали 6 июля,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3183A4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 до 70-75 градусов. Правда, при этом начинались небольшие вибрации концов крыла, но они оказались неопасными. Взлет был также прост, как и посадка. При переходе с Р-1 на ТБ-1 летчику только нужно было привыкнуть к штурвальной колонке, да еще с существенно большим ходом. Бомбардировщик успешно эксплуатировался на неровных площадках.</w:t>
      </w:r>
    </w:p>
    <w:p w14:paraId="224453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влево, правый - только вправо. Поэтому рулили по аэродрому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 правый.</w:t>
      </w:r>
    </w:p>
    <w:p w14:paraId="324360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Кабины были тесноваты для работы в зимнем обмундировании того времени, в которое входили меховая шуба, рукавицы и валенки. Вообще, в открытых кабинах в холодную погоду было очень нежарко. В мороз приходилось надевать на лицо шерстяную маску, а кожу смазывали гусиным жиром (12036).</w:t>
      </w:r>
    </w:p>
    <w:p w14:paraId="5DCCF3DD" w14:textId="77777777" w:rsidR="004C2D22" w:rsidRPr="00507A31" w:rsidRDefault="004C2D22" w:rsidP="00507A31">
      <w:pPr>
        <w:jc w:val="both"/>
        <w:rPr>
          <w:bCs/>
          <w:color w:val="000000" w:themeColor="text1"/>
          <w:sz w:val="16"/>
          <w:szCs w:val="16"/>
        </w:rPr>
      </w:pPr>
    </w:p>
    <w:p w14:paraId="1AB43F80" w14:textId="77777777" w:rsidR="004C2D22" w:rsidRPr="00507A31" w:rsidRDefault="004C2D22" w:rsidP="00507A31">
      <w:pPr>
        <w:jc w:val="both"/>
        <w:rPr>
          <w:color w:val="000000" w:themeColor="text1"/>
          <w:sz w:val="16"/>
          <w:szCs w:val="16"/>
        </w:rPr>
      </w:pPr>
      <w:r w:rsidRPr="00507A31">
        <w:rPr>
          <w:bCs/>
          <w:color w:val="000000" w:themeColor="text1"/>
          <w:sz w:val="16"/>
          <w:szCs w:val="16"/>
        </w:rPr>
        <w:t>1 мая</w:t>
      </w:r>
      <w:r w:rsidRPr="00507A31">
        <w:rPr>
          <w:color w:val="000000" w:themeColor="text1"/>
          <w:sz w:val="16"/>
          <w:szCs w:val="16"/>
        </w:rPr>
        <w:t xml:space="preserve"> в 1930 году бомбардировщики «ТБ-1» впервые участвовали в первомайском параде в Москве. "Группа тяжелых кораблей" строем прошла над Красной площадью (14878).</w:t>
      </w:r>
    </w:p>
    <w:p w14:paraId="0FF4DFA7" w14:textId="77777777" w:rsidR="004C2D22" w:rsidRPr="00507A31" w:rsidRDefault="004C2D22" w:rsidP="00507A31">
      <w:pPr>
        <w:jc w:val="both"/>
        <w:rPr>
          <w:color w:val="000000" w:themeColor="text1"/>
          <w:sz w:val="16"/>
          <w:szCs w:val="16"/>
        </w:rPr>
      </w:pPr>
    </w:p>
    <w:p w14:paraId="4034CE74" w14:textId="77777777" w:rsidR="004C2D22" w:rsidRPr="00507A31" w:rsidRDefault="004C2D22" w:rsidP="00507A31">
      <w:pPr>
        <w:jc w:val="both"/>
        <w:rPr>
          <w:color w:val="000000" w:themeColor="text1"/>
          <w:sz w:val="16"/>
          <w:szCs w:val="16"/>
        </w:rPr>
      </w:pPr>
      <w:r w:rsidRPr="00507A31">
        <w:rPr>
          <w:bCs/>
          <w:color w:val="000000" w:themeColor="text1"/>
          <w:sz w:val="16"/>
          <w:szCs w:val="16"/>
        </w:rPr>
        <w:t>1 мая</w:t>
      </w:r>
      <w:r w:rsidRPr="00507A31">
        <w:rPr>
          <w:color w:val="000000" w:themeColor="text1"/>
          <w:sz w:val="16"/>
          <w:szCs w:val="16"/>
        </w:rPr>
        <w:t xml:space="preserve"> в 1930 году с аэростата, парившего над Москвой, проведен радиорепортаж о праздничной столице (14878).</w:t>
      </w:r>
    </w:p>
    <w:p w14:paraId="44E1083D" w14:textId="77777777" w:rsidR="004C2D22" w:rsidRPr="00507A31" w:rsidRDefault="004C2D22" w:rsidP="00507A31">
      <w:pPr>
        <w:jc w:val="both"/>
        <w:rPr>
          <w:color w:val="000000" w:themeColor="text1"/>
          <w:sz w:val="16"/>
          <w:szCs w:val="16"/>
        </w:rPr>
      </w:pPr>
    </w:p>
    <w:p w14:paraId="0805EC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 года ввиду неполучения исходных материалов и других причин было приступлено к работе по составлению проекта будущего з-да № 19 и работва была закончена 17 августа 1930 года (9290).</w:t>
      </w:r>
    </w:p>
    <w:p w14:paraId="66553429" w14:textId="77777777" w:rsidR="00537E5F" w:rsidRPr="00507A31" w:rsidRDefault="00537E5F" w:rsidP="00507A31">
      <w:pPr>
        <w:autoSpaceDE w:val="0"/>
        <w:autoSpaceDN w:val="0"/>
        <w:adjustRightInd w:val="0"/>
        <w:jc w:val="both"/>
        <w:rPr>
          <w:color w:val="000000" w:themeColor="text1"/>
          <w:sz w:val="16"/>
          <w:szCs w:val="16"/>
        </w:rPr>
      </w:pPr>
    </w:p>
    <w:p w14:paraId="6DBEF32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1829BA5" w14:textId="77777777" w:rsidR="00537E5F" w:rsidRPr="00507A31" w:rsidRDefault="00537E5F" w:rsidP="00507A31">
      <w:pPr>
        <w:autoSpaceDE w:val="0"/>
        <w:autoSpaceDN w:val="0"/>
        <w:adjustRightInd w:val="0"/>
        <w:jc w:val="both"/>
        <w:rPr>
          <w:iCs/>
          <w:color w:val="000000" w:themeColor="text1"/>
          <w:sz w:val="16"/>
          <w:szCs w:val="16"/>
        </w:rPr>
      </w:pPr>
    </w:p>
    <w:p w14:paraId="1A99F4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1 мая 1930 г. на ХАЗе сделали всю серию мотоциклов Солдатенкова. Эти машины обо</w:t>
      </w:r>
      <w:r w:rsidRPr="00507A31">
        <w:rPr>
          <w:color w:val="000000" w:themeColor="text1"/>
          <w:sz w:val="16"/>
          <w:szCs w:val="16"/>
        </w:rPr>
        <w:softHyphen/>
        <w:t xml:space="preserve">значили «М» и каждой из них дали порядковый номер от 1 до 6. иногда обозначая от № 1 до № 6. Рамы всех мотоциклов, свариваемые из двух штампованных половин, всё же несколько отличались, причём, на каждой из них проверяли какой-либо элемент. Масса рамы каждой машины не превышала 15 кг. Модель М-1 оснастили сварной рамой из двух штампованных половин и снабдили двигателем от мотоцикла </w:t>
      </w:r>
      <w:r w:rsidRPr="00507A31">
        <w:rPr>
          <w:color w:val="000000" w:themeColor="text1"/>
          <w:sz w:val="16"/>
          <w:szCs w:val="16"/>
          <w:lang w:val="en-US"/>
        </w:rPr>
        <w:t>Harley</w:t>
      </w:r>
      <w:r w:rsidRPr="00507A31">
        <w:rPr>
          <w:color w:val="000000" w:themeColor="text1"/>
          <w:sz w:val="16"/>
          <w:szCs w:val="16"/>
        </w:rPr>
        <w:t>-</w:t>
      </w:r>
      <w:r w:rsidRPr="00507A31">
        <w:rPr>
          <w:color w:val="000000" w:themeColor="text1"/>
          <w:sz w:val="16"/>
          <w:szCs w:val="16"/>
          <w:lang w:val="en-US"/>
        </w:rPr>
        <w:t>Davidson</w:t>
      </w:r>
      <w:r w:rsidRPr="00507A31">
        <w:rPr>
          <w:color w:val="000000" w:themeColor="text1"/>
          <w:sz w:val="16"/>
          <w:szCs w:val="16"/>
        </w:rPr>
        <w:t xml:space="preserve"> (Харлей-Дэвид сон). Рама М-2 отличалась от М-1. Её сварили из швеллерных штамповок. Среди мотоциклов малой серии она обладала самым высоким запасом прочности - 5. Кар</w:t>
      </w:r>
      <w:r w:rsidRPr="00507A31">
        <w:rPr>
          <w:color w:val="000000" w:themeColor="text1"/>
          <w:sz w:val="16"/>
          <w:szCs w:val="16"/>
        </w:rPr>
        <w:softHyphen/>
        <w:t>бюратор для всех харьковских мотоциклов изготовили на Коно-топском машиностроительном заводе, цепи - на Тульском, акку</w:t>
      </w:r>
      <w:r w:rsidRPr="00507A31">
        <w:rPr>
          <w:color w:val="000000" w:themeColor="text1"/>
          <w:sz w:val="16"/>
          <w:szCs w:val="16"/>
        </w:rPr>
        <w:softHyphen/>
        <w:t>муляторы (6 В, 15 А/ч) - в Аккумуляторном тресте. На руле всех мотоциклов стояло по две фары. Обода колёс, спицы и ниппели изготовили на ХАЗе. Модель М-3 была очень похожа на М-1, но бензобак не скрыли в раме, а закрепили поверх неё. На машине М-4 применили раму аналогичную модели ВТУ К-4, а на М-5 -такую же, но с некоторыми отличиями. Мотоцикл М-6 представ</w:t>
      </w:r>
      <w:r w:rsidRPr="00507A31">
        <w:rPr>
          <w:color w:val="000000" w:themeColor="text1"/>
          <w:sz w:val="16"/>
          <w:szCs w:val="16"/>
        </w:rPr>
        <w:softHyphen/>
        <w:t>лял собой тот же М-1, но с никелированным бензобаком. Рамы для моделей М-1, М-3 и М-6 спроектировал конструктор ХАЗа, энтузиаст мотоциклетного отдела - Солдатенко. Предполага</w:t>
      </w:r>
      <w:r w:rsidRPr="00507A31">
        <w:rPr>
          <w:color w:val="000000" w:themeColor="text1"/>
          <w:sz w:val="16"/>
          <w:szCs w:val="16"/>
        </w:rPr>
        <w:softHyphen/>
        <w:t>лось, что рамы для Харьковских мотоциклов будут изготавливать на Азовско-Черноморском металлургическом заводе. Масса каж</w:t>
      </w:r>
      <w:r w:rsidRPr="00507A31">
        <w:rPr>
          <w:color w:val="000000" w:themeColor="text1"/>
          <w:sz w:val="16"/>
          <w:szCs w:val="16"/>
        </w:rPr>
        <w:softHyphen/>
        <w:t>дой машины в этой серии не превышала 124 кг, дорожный про</w:t>
      </w:r>
      <w:r w:rsidRPr="00507A31">
        <w:rPr>
          <w:color w:val="000000" w:themeColor="text1"/>
          <w:sz w:val="16"/>
          <w:szCs w:val="16"/>
        </w:rPr>
        <w:softHyphen/>
        <w:t>свет составлял 124 мм, база - 1400 мм, вылет передней вилки -30 мм, а угол её наклона - 22° [3.106].</w:t>
      </w:r>
    </w:p>
    <w:p w14:paraId="1F4A05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Харьковские мотоциклы (П. Лабуры, Солдатенко и все шесть из малой серии) решили испытать в дальнем путешествии. Для этого Украинское отделение АВТОДОРа организовало Всеукраинский мотопробег, причём, учли политическую ситуацию - от</w:t>
      </w:r>
      <w:r w:rsidRPr="00507A31">
        <w:rPr>
          <w:color w:val="000000" w:themeColor="text1"/>
          <w:sz w:val="16"/>
          <w:szCs w:val="16"/>
        </w:rPr>
        <w:softHyphen/>
        <w:t>крытие 10 июня в столице Всесоюзной выставки отечественного мотоциклостроения. Поэтому выбрали маршрут через столицу: Харьков-Москва-Ленинград-Псков-Витебск-Гомель-Киев-Харьков. К восьми харьковским мотоциклам добавили семь ино</w:t>
      </w:r>
      <w:r w:rsidRPr="00507A31">
        <w:rPr>
          <w:color w:val="000000" w:themeColor="text1"/>
          <w:sz w:val="16"/>
          <w:szCs w:val="16"/>
        </w:rPr>
        <w:softHyphen/>
        <w:t>марок, и пять автомобилей сопровождения: четыре легковушки «Форд-А» и грузовик «АМО-Ф-15». Командором пробега назна</w:t>
      </w:r>
      <w:r w:rsidRPr="00507A31">
        <w:rPr>
          <w:color w:val="000000" w:themeColor="text1"/>
          <w:sz w:val="16"/>
          <w:szCs w:val="16"/>
        </w:rPr>
        <w:softHyphen/>
        <w:t xml:space="preserve">чили Унгера. Стартовали 15 июня 1930 года. Ехали под дождем, но в столицу СССР прибыли по графику, через три дня. Члены Мосавтоклуба торжественно встретили </w:t>
      </w:r>
      <w:r w:rsidRPr="00507A31">
        <w:rPr>
          <w:color w:val="000000" w:themeColor="text1"/>
          <w:sz w:val="16"/>
          <w:szCs w:val="16"/>
        </w:rPr>
        <w:lastRenderedPageBreak/>
        <w:t>харьковчан [3.107]. Пер</w:t>
      </w:r>
      <w:r w:rsidRPr="00507A31">
        <w:rPr>
          <w:color w:val="000000" w:themeColor="text1"/>
          <w:sz w:val="16"/>
          <w:szCs w:val="16"/>
        </w:rPr>
        <w:softHyphen/>
        <w:t>вым делом в экспозицию выставки передали мотоцикл П. Лабу</w:t>
      </w:r>
      <w:r w:rsidRPr="00507A31">
        <w:rPr>
          <w:color w:val="000000" w:themeColor="text1"/>
          <w:sz w:val="16"/>
          <w:szCs w:val="16"/>
        </w:rPr>
        <w:softHyphen/>
        <w:t xml:space="preserve">ры [3.108]. Его место в мотоколонне занял </w:t>
      </w:r>
      <w:r w:rsidRPr="00507A31">
        <w:rPr>
          <w:color w:val="000000" w:themeColor="text1"/>
          <w:sz w:val="16"/>
          <w:szCs w:val="16"/>
          <w:lang w:val="en-US"/>
        </w:rPr>
        <w:t>HarleyDavidson</w:t>
      </w:r>
      <w:r w:rsidRPr="00507A31">
        <w:rPr>
          <w:color w:val="000000" w:themeColor="text1"/>
          <w:sz w:val="16"/>
          <w:szCs w:val="16"/>
        </w:rPr>
        <w:t xml:space="preserve"> с ко</w:t>
      </w:r>
      <w:r w:rsidRPr="00507A31">
        <w:rPr>
          <w:color w:val="000000" w:themeColor="text1"/>
          <w:sz w:val="16"/>
          <w:szCs w:val="16"/>
        </w:rPr>
        <w:softHyphen/>
        <w:t>ляской, предоставленный Московским автоклубом (11429).</w:t>
      </w:r>
    </w:p>
    <w:p w14:paraId="75C3B5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02579C3" w14:textId="77777777" w:rsidR="00CE1CA2" w:rsidRPr="00507A31" w:rsidRDefault="00CE1CA2" w:rsidP="00507A31">
      <w:pPr>
        <w:widowControl w:val="0"/>
        <w:jc w:val="both"/>
        <w:rPr>
          <w:color w:val="000000" w:themeColor="text1"/>
          <w:sz w:val="16"/>
          <w:szCs w:val="16"/>
        </w:rPr>
      </w:pPr>
      <w:r w:rsidRPr="00507A31">
        <w:rPr>
          <w:color w:val="000000" w:themeColor="text1"/>
          <w:sz w:val="16"/>
          <w:szCs w:val="16"/>
        </w:rPr>
        <w:t xml:space="preserve">К 1 мая </w:t>
      </w:r>
      <w:smartTag w:uri="urn:schemas-microsoft-com:office:smarttags" w:element="metricconverter">
        <w:smartTagPr>
          <w:attr w:name="ProductID" w:val="1930 г"/>
        </w:smartTagPr>
        <w:r w:rsidRPr="00507A31">
          <w:rPr>
            <w:color w:val="000000" w:themeColor="text1"/>
            <w:sz w:val="16"/>
            <w:szCs w:val="16"/>
          </w:rPr>
          <w:t>1930 г</w:t>
        </w:r>
      </w:smartTag>
      <w:r w:rsidRPr="00507A31">
        <w:rPr>
          <w:color w:val="000000" w:themeColor="text1"/>
          <w:sz w:val="16"/>
          <w:szCs w:val="16"/>
        </w:rPr>
        <w:t xml:space="preserve">., когда планировалось начать основное строительство, надо было завести лес, кирпич, гравий, цемент, рельсы и другие строительные материалы. Кроме железнодорожных линий на Оке создавался механизированный порт с причальной линией эстакады длиной в </w:t>
      </w:r>
      <w:smartTag w:uri="urn:schemas-microsoft-com:office:smarttags" w:element="metricconverter">
        <w:smartTagPr>
          <w:attr w:name="ProductID" w:val="310 м"/>
        </w:smartTagPr>
        <w:r w:rsidRPr="00507A31">
          <w:rPr>
            <w:color w:val="000000" w:themeColor="text1"/>
            <w:sz w:val="16"/>
            <w:szCs w:val="16"/>
          </w:rPr>
          <w:t>310 м</w:t>
        </w:r>
      </w:smartTag>
      <w:r w:rsidRPr="00507A31">
        <w:rPr>
          <w:color w:val="000000" w:themeColor="text1"/>
          <w:sz w:val="16"/>
          <w:szCs w:val="16"/>
        </w:rPr>
        <w:t xml:space="preserve">, пирсами и защитными ледорезами. Высококачественный проект порта и других сооружений составили инженер Б.Л. Длугач, выпускник Нижегородского инженерно-строительного института Н.П. Розанов, прораб Ф.И. Ретунский и другие специалисты. Порт соединялся со стройплощадкой железнодорожной веткой и мощенными камнем дорогами. Первоначальные ассигнования на подготовительные работы составляли 7 545 100 руб. По указанию крайкома ВКП (б) Автострою выделялось все необходимое из средств края нередко за счет других предприятий и новостроек. Главное внимание уделялось кадрам строителей. Руководители ряда крупных заводов выделяли Автострою квалифицированных рабочих, специалистов. С бирж труда направлялись безработные, возрастал приток колхозников и единоличников из районов и национальных автономий. Первоначально прибывшие из деревень работали землекопами, грузчиками, но вскоре многие становились каменщиками, плотниками, столярами, печниками, малярами, стекольщиками. В октябре </w:t>
      </w:r>
      <w:smartTag w:uri="urn:schemas-microsoft-com:office:smarttags" w:element="metricconverter">
        <w:smartTagPr>
          <w:attr w:name="ProductID" w:val="1929 г"/>
        </w:smartTagPr>
        <w:r w:rsidRPr="00507A31">
          <w:rPr>
            <w:color w:val="000000" w:themeColor="text1"/>
            <w:sz w:val="16"/>
            <w:szCs w:val="16"/>
          </w:rPr>
          <w:t>1929 г</w:t>
        </w:r>
      </w:smartTag>
      <w:r w:rsidRPr="00507A31">
        <w:rPr>
          <w:color w:val="000000" w:themeColor="text1"/>
          <w:sz w:val="16"/>
          <w:szCs w:val="16"/>
        </w:rPr>
        <w:t xml:space="preserve">. было всего 415 строителей, а к 1 апреля </w:t>
      </w:r>
      <w:smartTag w:uri="urn:schemas-microsoft-com:office:smarttags" w:element="metricconverter">
        <w:smartTagPr>
          <w:attr w:name="ProductID" w:val="1930 г"/>
        </w:smartTagPr>
        <w:r w:rsidRPr="00507A31">
          <w:rPr>
            <w:color w:val="000000" w:themeColor="text1"/>
            <w:sz w:val="16"/>
            <w:szCs w:val="16"/>
          </w:rPr>
          <w:t>1930 г</w:t>
        </w:r>
      </w:smartTag>
      <w:r w:rsidRPr="00507A31">
        <w:rPr>
          <w:color w:val="000000" w:themeColor="text1"/>
          <w:sz w:val="16"/>
          <w:szCs w:val="16"/>
        </w:rPr>
        <w:t>. их стало 5107; число инженерно-технических работников возросло за это же время с 14 до 135 человек. В дни, когда у деревни Монастырка возрастали темпы подготовительных работ, в десяти километрах отсюда, в Канавине, на заводе «Гудок Октября», заканчивалась подготовка автосборочного цеха с монтажом в нем сборочного конвейера. По договору с компанией «Форд» из США через Мурманск поступали в Нижний Новгород автомобильные узлы и детали. Завод «Красное Сормово» подготовил автосборочному 50 платформ для сборки грузовиков фордовской модели. Опытные мастера и квалифицированные рабочие учили молодых производственников, в большинстве из демобилизованных красноармейцев и краснофлотцев, работать на сборочном конвейере (15218).</w:t>
      </w:r>
    </w:p>
    <w:p w14:paraId="68BD25F3" w14:textId="77777777" w:rsidR="00CE1CA2" w:rsidRPr="00507A31" w:rsidRDefault="00CE1CA2" w:rsidP="00507A31">
      <w:pPr>
        <w:widowControl w:val="0"/>
        <w:jc w:val="both"/>
        <w:rPr>
          <w:color w:val="000000" w:themeColor="text1"/>
          <w:sz w:val="16"/>
          <w:szCs w:val="16"/>
        </w:rPr>
      </w:pPr>
    </w:p>
    <w:p w14:paraId="1BD39670" w14:textId="77777777" w:rsidR="004A1B2E" w:rsidRPr="00507A31" w:rsidRDefault="004A1B2E" w:rsidP="00507A31">
      <w:pPr>
        <w:jc w:val="both"/>
        <w:rPr>
          <w:color w:val="0070C0"/>
          <w:sz w:val="16"/>
          <w:szCs w:val="16"/>
        </w:rPr>
      </w:pPr>
      <w:r w:rsidRPr="00507A31">
        <w:rPr>
          <w:color w:val="0070C0"/>
          <w:sz w:val="16"/>
          <w:szCs w:val="16"/>
        </w:rPr>
        <w:t>1 мая 1930 года Туркестано-Сибирская железнодорожная магистраль (Турксиб) вошла во временную эксплуатацию, а 1 января 1931 года - в постоянную.</w:t>
      </w:r>
    </w:p>
    <w:p w14:paraId="1F3EFF09" w14:textId="77777777" w:rsidR="004A1B2E" w:rsidRPr="00507A31" w:rsidRDefault="004A1B2E" w:rsidP="00507A31">
      <w:pPr>
        <w:jc w:val="both"/>
        <w:rPr>
          <w:color w:val="0070C0"/>
          <w:sz w:val="16"/>
          <w:szCs w:val="16"/>
        </w:rPr>
      </w:pPr>
      <w:r w:rsidRPr="00507A31">
        <w:rPr>
          <w:color w:val="0070C0"/>
          <w:sz w:val="16"/>
          <w:szCs w:val="16"/>
        </w:rPr>
        <w:t>Турксиб стал одной из самых знаменитых строек первой пятилетки в СССР. Решение о строительстве Турксиба было принято на заседании Совета Труда и Обороны СССР 3 декабря 1926 года.</w:t>
      </w:r>
    </w:p>
    <w:p w14:paraId="4ECAC686" w14:textId="77777777" w:rsidR="004A1B2E" w:rsidRPr="00507A31" w:rsidRDefault="004A1B2E" w:rsidP="00507A31">
      <w:pPr>
        <w:jc w:val="both"/>
        <w:rPr>
          <w:color w:val="0070C0"/>
          <w:sz w:val="16"/>
          <w:szCs w:val="16"/>
        </w:rPr>
      </w:pPr>
      <w:r w:rsidRPr="00507A31">
        <w:rPr>
          <w:color w:val="0070C0"/>
          <w:sz w:val="16"/>
          <w:szCs w:val="16"/>
        </w:rPr>
        <w:t>1442 километра рельсового пути предстояло проложить через горные реки, скалистые хребты, раскалённые пески. Подготовка к строительству началась в апреле 1927 года. Укладка первого звена трассы от станции Семипалатинск произошла 15 сентября 1927 года, с другого конца от станции Луговая — 19 ноября. Согласно казахскому обычаю, первый паровоз вышел с Луговой на новую линию через специально построенную арку, символизирующую юрту, через которую проносят новорожденного. На одной стороне арки было написано «Туркестан», на другой — «Сибирь». На паровозе трепетал кумач с лозунгом «Даёшь Сибирь!»</w:t>
      </w:r>
    </w:p>
    <w:p w14:paraId="542EDCBE" w14:textId="77777777" w:rsidR="004A1B2E" w:rsidRPr="00507A31" w:rsidRDefault="004A1B2E" w:rsidP="00507A31">
      <w:pPr>
        <w:jc w:val="both"/>
        <w:rPr>
          <w:color w:val="0070C0"/>
          <w:sz w:val="16"/>
          <w:szCs w:val="16"/>
        </w:rPr>
      </w:pPr>
      <w:r w:rsidRPr="00507A31">
        <w:rPr>
          <w:color w:val="0070C0"/>
          <w:sz w:val="16"/>
          <w:szCs w:val="16"/>
        </w:rPr>
        <w:t>К маю 1929 года было построено 562 км пути на севере и 350 км на юге. Дорога ещё строилась, но по ней уже шли поезда. 10 мая 1929 года первый регулярный пассажирский поезд прошёл от Семипалатинска до Сергиополя (Аягуза).</w:t>
      </w:r>
    </w:p>
    <w:p w14:paraId="24D74B9A" w14:textId="77777777" w:rsidR="004A1B2E" w:rsidRPr="00507A31" w:rsidRDefault="004A1B2E" w:rsidP="00507A31">
      <w:pPr>
        <w:jc w:val="both"/>
        <w:rPr>
          <w:color w:val="0070C0"/>
          <w:sz w:val="16"/>
          <w:szCs w:val="16"/>
        </w:rPr>
      </w:pPr>
      <w:r w:rsidRPr="00507A31">
        <w:rPr>
          <w:color w:val="0070C0"/>
          <w:sz w:val="16"/>
          <w:szCs w:val="16"/>
        </w:rPr>
        <w:t>Фактически смычка Турксиба произошла 21 апреля 1930 года.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727C1FF8" w14:textId="77777777" w:rsidR="004A1B2E" w:rsidRPr="00507A31" w:rsidRDefault="004A1B2E" w:rsidP="00507A31">
      <w:pPr>
        <w:jc w:val="both"/>
        <w:rPr>
          <w:color w:val="0070C0"/>
          <w:sz w:val="16"/>
          <w:szCs w:val="16"/>
        </w:rPr>
      </w:pPr>
      <w:r w:rsidRPr="00507A31">
        <w:rPr>
          <w:color w:val="0070C0"/>
          <w:sz w:val="16"/>
          <w:szCs w:val="16"/>
        </w:rPr>
        <w:t>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1EE362CF" w14:textId="77777777" w:rsidR="004A1B2E" w:rsidRPr="00507A31" w:rsidRDefault="004A1B2E" w:rsidP="00507A31">
      <w:pPr>
        <w:jc w:val="both"/>
        <w:rPr>
          <w:color w:val="0070C0"/>
          <w:sz w:val="16"/>
          <w:szCs w:val="16"/>
        </w:rPr>
      </w:pPr>
    </w:p>
    <w:p w14:paraId="14526077" w14:textId="77777777" w:rsidR="004A1B2E" w:rsidRPr="00507A31" w:rsidRDefault="004A1B2E" w:rsidP="00507A31">
      <w:pPr>
        <w:jc w:val="both"/>
        <w:rPr>
          <w:color w:val="0070C0"/>
          <w:sz w:val="16"/>
          <w:szCs w:val="16"/>
        </w:rPr>
      </w:pPr>
      <w:r w:rsidRPr="00507A31">
        <w:rPr>
          <w:color w:val="0070C0"/>
          <w:sz w:val="16"/>
          <w:szCs w:val="16"/>
        </w:rPr>
        <w:t>1 мая 1930 года в праздничной обстановке был заложен фундамент доменной печи Кузнецкого металлургического комбината, а 1 апреля 1932 года в 3 часа 55 минут первая кузнецкая домна была задута. 3 апреля 1932 году был получен первый чугун.</w:t>
      </w:r>
    </w:p>
    <w:p w14:paraId="374B70B9" w14:textId="77777777" w:rsidR="004A1B2E" w:rsidRPr="00507A31" w:rsidRDefault="004A1B2E" w:rsidP="00507A31">
      <w:pPr>
        <w:jc w:val="both"/>
        <w:rPr>
          <w:color w:val="0070C0"/>
          <w:sz w:val="16"/>
          <w:szCs w:val="16"/>
        </w:rPr>
      </w:pPr>
      <w:r w:rsidRPr="00507A31">
        <w:rPr>
          <w:color w:val="0070C0"/>
          <w:sz w:val="16"/>
          <w:szCs w:val="16"/>
        </w:rPr>
        <w:t>Металл, выданный первой домной, разлили разливочной машиной и отправили в Москву. Участники торжества получили по плитке первого сибирского чугуна (21176).</w:t>
      </w:r>
    </w:p>
    <w:p w14:paraId="64304B96" w14:textId="77777777" w:rsidR="004A1B2E" w:rsidRPr="00507A31" w:rsidRDefault="004A1B2E" w:rsidP="00507A31">
      <w:pPr>
        <w:jc w:val="both"/>
        <w:rPr>
          <w:color w:val="0070C0"/>
          <w:sz w:val="16"/>
          <w:szCs w:val="16"/>
        </w:rPr>
      </w:pPr>
    </w:p>
    <w:p w14:paraId="3B65BBB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48DF0630" w14:textId="77777777" w:rsidR="00537E5F" w:rsidRPr="00507A31" w:rsidRDefault="00537E5F" w:rsidP="00507A31">
      <w:pPr>
        <w:autoSpaceDE w:val="0"/>
        <w:autoSpaceDN w:val="0"/>
        <w:adjustRightInd w:val="0"/>
        <w:jc w:val="both"/>
        <w:rPr>
          <w:iCs/>
          <w:color w:val="000000" w:themeColor="text1"/>
          <w:sz w:val="16"/>
          <w:szCs w:val="16"/>
        </w:rPr>
      </w:pPr>
    </w:p>
    <w:p w14:paraId="2EFD4D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 в штабе РККА создали 6У, отвечающее за ПВО (3398,166).</w:t>
      </w:r>
    </w:p>
    <w:p w14:paraId="469EC708" w14:textId="77777777" w:rsidR="00537E5F" w:rsidRPr="00507A31" w:rsidRDefault="00537E5F" w:rsidP="00507A31">
      <w:pPr>
        <w:autoSpaceDE w:val="0"/>
        <w:autoSpaceDN w:val="0"/>
        <w:adjustRightInd w:val="0"/>
        <w:jc w:val="both"/>
        <w:rPr>
          <w:color w:val="000000" w:themeColor="text1"/>
          <w:sz w:val="16"/>
          <w:szCs w:val="16"/>
        </w:rPr>
      </w:pPr>
    </w:p>
    <w:p w14:paraId="544646A9" w14:textId="77777777" w:rsidR="00CE1CA2" w:rsidRPr="00507A31" w:rsidRDefault="00CE1CA2" w:rsidP="00507A31">
      <w:pPr>
        <w:pStyle w:val="rtejustify"/>
        <w:spacing w:before="0" w:after="0"/>
        <w:rPr>
          <w:color w:val="000000" w:themeColor="text1"/>
          <w:sz w:val="16"/>
          <w:szCs w:val="16"/>
        </w:rPr>
      </w:pPr>
      <w:r w:rsidRPr="00507A31">
        <w:rPr>
          <w:color w:val="000000" w:themeColor="text1"/>
          <w:sz w:val="16"/>
          <w:szCs w:val="16"/>
        </w:rPr>
        <w:t xml:space="preserve">1 мая 1930 г. было создано </w:t>
      </w:r>
      <w:r w:rsidRPr="00507A31">
        <w:rPr>
          <w:rStyle w:val="af0"/>
          <w:bCs/>
          <w:i w:val="0"/>
          <w:color w:val="000000" w:themeColor="text1"/>
          <w:sz w:val="16"/>
          <w:szCs w:val="16"/>
        </w:rPr>
        <w:t>Главное управление противовоздушной обороны территории страны (УПВО РККА)</w:t>
      </w:r>
      <w:r w:rsidRPr="00507A31">
        <w:rPr>
          <w:color w:val="000000" w:themeColor="text1"/>
          <w:sz w:val="16"/>
          <w:szCs w:val="16"/>
        </w:rPr>
        <w:t xml:space="preserve"> в составе Штаба РККА как 6</w:t>
      </w:r>
      <w:r w:rsidRPr="00507A31">
        <w:rPr>
          <w:color w:val="000000" w:themeColor="text1"/>
          <w:sz w:val="16"/>
          <w:szCs w:val="16"/>
        </w:rPr>
        <w:noBreakHyphen/>
        <w:t>е управление. Его начальник одновременно являлся инспектором и начальником службы ПВО РККА. 1 мая 1932 г. приказом РВС СССР № 033 переименовано в Управление противовоздушной обороны РККА с непосредственным подчинением его Реввоенсовету СССР. Его начальник одновременно являлся начальником ПВО РККА. По положению от 22 ноября 1934 г. Управление ПВО РККА являлось центральным органом НКО по организации противовоздушной обороны. На него возлагались: а) разработка плана ПВО страны и подготовка территории страны в отношении ПВО; б) разработка вопросов технического вооружения ПВО совместно с управлениями Народного комиссариата обороны и гражданскими ведомствами; в) разработка вопросов взаимодействия всех сил и средств пунктов ПВО, а также вопросов тактической подготовки частей авиазенитной обороны; разработка руководств и инструкций по специальным вопросам службы ПВО; г) оперативная подготовка начальствующего состава и органов Управления противовоздушной обороны; д) инспектирование частей, пунктов ПВО и их объектов; е) руководство боевой подготовкой курсов усовершенствования, школ ПВО, местной обороны, а также формирований гражданских ведомств по противовоздушной обороне; разработка для них методических указаний, программ и учебных руководств; ж) руководство научно-исследовательской работой по ПВО, обеспечение проведения испытаний и специальных учений и руководство экспертно-технической деятельностью; з) планирование и разработка технических заданий по строительству ПВО; и) разработка заданий по организационно-штатной структуре службы и частей ПВО гражданских ведомств; к) комплектование начальствующим составом органов ПВО гражданских ведомств. Включало отделы: службы противовоздушной обороны, авиазенитной обороны, воздушного наблюдения, оповещения и связи, местной обороны, военно-учебных заведений и кадров, планово-финансовый отдел, экспертно-технический отдел (15384).</w:t>
      </w:r>
    </w:p>
    <w:p w14:paraId="2711A98C" w14:textId="77777777" w:rsidR="004C2D22" w:rsidRPr="00507A31" w:rsidRDefault="004C2D22" w:rsidP="00507A31">
      <w:pPr>
        <w:jc w:val="both"/>
        <w:rPr>
          <w:bCs/>
          <w:color w:val="000000" w:themeColor="text1"/>
          <w:sz w:val="16"/>
          <w:szCs w:val="16"/>
        </w:rPr>
      </w:pPr>
    </w:p>
    <w:p w14:paraId="6BA225C4" w14:textId="77777777" w:rsidR="00CE1CA2" w:rsidRPr="00507A31" w:rsidRDefault="00CE1CA2" w:rsidP="00507A31">
      <w:pPr>
        <w:jc w:val="both"/>
        <w:rPr>
          <w:color w:val="000000" w:themeColor="text1"/>
          <w:sz w:val="16"/>
          <w:szCs w:val="16"/>
        </w:rPr>
      </w:pPr>
      <w:r w:rsidRPr="00507A31">
        <w:rPr>
          <w:bCs/>
          <w:color w:val="000000" w:themeColor="text1"/>
          <w:sz w:val="16"/>
          <w:szCs w:val="16"/>
        </w:rPr>
        <w:t>1 мая</w:t>
      </w:r>
      <w:r w:rsidRPr="00507A31">
        <w:rPr>
          <w:color w:val="000000" w:themeColor="text1"/>
          <w:sz w:val="16"/>
          <w:szCs w:val="16"/>
        </w:rPr>
        <w:t xml:space="preserve"> в 1930 году в составе штаба РККА создано 6-е управление, отвечающее за организацию ПВО в Красной Армии. Начальником управления стал инспектор ПВО И.Ф.Блажевич, под руководством которого был разработан первый план противовоздушной обороны СССР (14878).</w:t>
      </w:r>
    </w:p>
    <w:p w14:paraId="468FBC1A" w14:textId="77777777" w:rsidR="00CE1CA2" w:rsidRPr="00507A31" w:rsidRDefault="00CE1CA2" w:rsidP="00507A31">
      <w:pPr>
        <w:jc w:val="both"/>
        <w:rPr>
          <w:color w:val="000000" w:themeColor="text1"/>
          <w:sz w:val="16"/>
          <w:szCs w:val="16"/>
        </w:rPr>
      </w:pPr>
    </w:p>
    <w:p w14:paraId="132FFA81" w14:textId="77777777" w:rsidR="004C2D22" w:rsidRPr="00507A31" w:rsidRDefault="004C2D22" w:rsidP="00507A31">
      <w:pPr>
        <w:pStyle w:val="ae"/>
        <w:spacing w:before="0" w:after="0"/>
        <w:jc w:val="both"/>
        <w:rPr>
          <w:color w:val="000000" w:themeColor="text1"/>
          <w:sz w:val="16"/>
          <w:szCs w:val="16"/>
        </w:rPr>
      </w:pPr>
      <w:r w:rsidRPr="00507A31">
        <w:rPr>
          <w:color w:val="000000" w:themeColor="text1"/>
          <w:sz w:val="16"/>
          <w:szCs w:val="16"/>
        </w:rPr>
        <w:t>1 мая 1930 г. в Штабе РККА было создано 6-е управление, которое должно было вести вопросы противовоздушной обороны. Его начальник одновременно являлся инспектором ПВО и начальником службы ПВО РККА (15736).</w:t>
      </w:r>
    </w:p>
    <w:p w14:paraId="32A9DE29" w14:textId="77777777" w:rsidR="004C2D22" w:rsidRPr="00507A31" w:rsidRDefault="004C2D22" w:rsidP="00507A31">
      <w:pPr>
        <w:pStyle w:val="ae"/>
        <w:spacing w:before="0" w:after="0"/>
        <w:jc w:val="both"/>
        <w:rPr>
          <w:color w:val="000000" w:themeColor="text1"/>
          <w:sz w:val="16"/>
          <w:szCs w:val="16"/>
        </w:rPr>
      </w:pPr>
    </w:p>
    <w:p w14:paraId="39BCA6A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5534E9C" w14:textId="77777777" w:rsidR="00537E5F" w:rsidRPr="00507A31" w:rsidRDefault="00537E5F" w:rsidP="00507A31">
      <w:pPr>
        <w:autoSpaceDE w:val="0"/>
        <w:autoSpaceDN w:val="0"/>
        <w:adjustRightInd w:val="0"/>
        <w:jc w:val="both"/>
        <w:rPr>
          <w:iCs/>
          <w:color w:val="000000" w:themeColor="text1"/>
          <w:sz w:val="16"/>
          <w:szCs w:val="16"/>
        </w:rPr>
      </w:pPr>
    </w:p>
    <w:p w14:paraId="37FB71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 было завершено строительство Турксиба (1348,199) и он был торжественно открыт (3481).</w:t>
      </w:r>
    </w:p>
    <w:p w14:paraId="4443788B" w14:textId="77777777" w:rsidR="00537E5F" w:rsidRPr="00507A31" w:rsidRDefault="00537E5F" w:rsidP="00507A31">
      <w:pPr>
        <w:autoSpaceDE w:val="0"/>
        <w:autoSpaceDN w:val="0"/>
        <w:adjustRightInd w:val="0"/>
        <w:jc w:val="both"/>
        <w:rPr>
          <w:color w:val="000000" w:themeColor="text1"/>
          <w:sz w:val="16"/>
          <w:szCs w:val="16"/>
        </w:rPr>
      </w:pPr>
    </w:p>
    <w:p w14:paraId="6B744FC6" w14:textId="77777777" w:rsidR="00A51B66" w:rsidRPr="00507A31" w:rsidRDefault="00A51B66" w:rsidP="00507A31">
      <w:pPr>
        <w:jc w:val="both"/>
        <w:rPr>
          <w:color w:val="000000" w:themeColor="text1"/>
          <w:sz w:val="16"/>
          <w:szCs w:val="16"/>
        </w:rPr>
      </w:pPr>
      <w:r w:rsidRPr="00507A31">
        <w:rPr>
          <w:color w:val="000000" w:themeColor="text1"/>
          <w:sz w:val="16"/>
          <w:szCs w:val="16"/>
        </w:rPr>
        <w:t>1 мая 1919. Открытие Туркестано-Сибирской железной дороги. Строили три года, руководил талантливый инженер Шатов, который в Киеве родился, в Америке учился, по свету бродил, в Россию вернулся, Петроград от Юденича защищал, начвоенмором и министром путей сообщения ДВР был, но в партию так и не вступил, оставался убежденным анархистом. А.Н. Толстой рассказал, как Шатов строил Турксиб:"Жара, степь, пески, женщин нет, мужчины с ума сходят. Шатов в Москву телеграмму: "Прошу спешно двести пятьдесят блядей!". Не поверили в серьезность, а Шатов - вторую. Не верят. Он в Москву своего "эмиссара" прислал: объяснить положение. Тот и привез на Турксиб сто пятьдесят, поместили их в бараках и... Турксиб построили". (Да простят мне модераторы, это граф Толстой) (12629).</w:t>
      </w:r>
    </w:p>
    <w:p w14:paraId="6825529E" w14:textId="77777777" w:rsidR="00A51B66" w:rsidRPr="00507A31" w:rsidRDefault="00A51B66" w:rsidP="00507A31">
      <w:pPr>
        <w:autoSpaceDE w:val="0"/>
        <w:autoSpaceDN w:val="0"/>
        <w:adjustRightInd w:val="0"/>
        <w:jc w:val="both"/>
        <w:rPr>
          <w:iCs/>
          <w:color w:val="000000" w:themeColor="text1"/>
          <w:sz w:val="16"/>
          <w:szCs w:val="16"/>
        </w:rPr>
      </w:pPr>
    </w:p>
    <w:p w14:paraId="7ADF629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6D744D4" w14:textId="77777777" w:rsidR="00537E5F" w:rsidRPr="00507A31" w:rsidRDefault="00537E5F" w:rsidP="00507A31">
      <w:pPr>
        <w:autoSpaceDE w:val="0"/>
        <w:autoSpaceDN w:val="0"/>
        <w:adjustRightInd w:val="0"/>
        <w:jc w:val="both"/>
        <w:rPr>
          <w:iCs/>
          <w:color w:val="000000" w:themeColor="text1"/>
          <w:sz w:val="16"/>
          <w:szCs w:val="16"/>
        </w:rPr>
      </w:pPr>
    </w:p>
    <w:p w14:paraId="6B78558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мая 1930 в провинции Онтарио арестованы 13 лидеров канадской компартии (4962).</w:t>
      </w:r>
    </w:p>
    <w:p w14:paraId="0276E89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6C52E0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583F8EB" w14:textId="77777777" w:rsidR="00537E5F" w:rsidRPr="00507A31" w:rsidRDefault="00537E5F" w:rsidP="00507A31">
      <w:pPr>
        <w:autoSpaceDE w:val="0"/>
        <w:autoSpaceDN w:val="0"/>
        <w:adjustRightInd w:val="0"/>
        <w:jc w:val="both"/>
        <w:rPr>
          <w:iCs/>
          <w:color w:val="000000" w:themeColor="text1"/>
          <w:sz w:val="16"/>
          <w:szCs w:val="16"/>
        </w:rPr>
      </w:pPr>
    </w:p>
    <w:p w14:paraId="62F144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мая 1930 года пол руководством А. М. Муратова официально началось строительство завода в Нижнем Новгороде (будущего № 21). Строительство протекало в сложнейших условиях, работы были до предела форсированы в связи с принятием Государственного мобилизационного плана «С-30», обязывавшего слать предприятие в строй действующих к 1 июля 1931 года. Ускоренное строительство потребовало колоссальных усилий. Но задача была решена.</w:t>
      </w:r>
    </w:p>
    <w:p w14:paraId="5CDFFF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дальнейшем опыт создания завода № 21 использовали при строительстве других предприятий авиационной промышленности страны.</w:t>
      </w:r>
    </w:p>
    <w:p w14:paraId="1849C0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Завод проектировался на головой выпуск двух тысяч самолетов в условиях мирного времени. Предлагаемые к постройке самолеты: одноместный истребитель И-3, разведчик Р-5 и пассажирский К-5 имели смешанную конструкцию с преобладанием в ней дерева, частичным применением стали и алюминия. Согласно календарному </w:t>
      </w:r>
      <w:r w:rsidRPr="00507A31">
        <w:rPr>
          <w:color w:val="000000" w:themeColor="text1"/>
          <w:sz w:val="16"/>
          <w:szCs w:val="16"/>
        </w:rPr>
        <w:lastRenderedPageBreak/>
        <w:t>плану строительства и финансирования завела первостепенной задачей было возведение всех заготовительных и подготовительных цехов. Ко второй очереди относились сборочные цеха, аэродромные сооружения, вспомогательные и обслу­живающие здания (11651).</w:t>
      </w:r>
    </w:p>
    <w:p w14:paraId="606593AA" w14:textId="77777777" w:rsidR="00537E5F" w:rsidRPr="00507A31" w:rsidRDefault="00537E5F" w:rsidP="00507A31">
      <w:pPr>
        <w:autoSpaceDE w:val="0"/>
        <w:autoSpaceDN w:val="0"/>
        <w:adjustRightInd w:val="0"/>
        <w:jc w:val="both"/>
        <w:rPr>
          <w:color w:val="000000" w:themeColor="text1"/>
          <w:sz w:val="16"/>
          <w:szCs w:val="16"/>
        </w:rPr>
      </w:pPr>
    </w:p>
    <w:p w14:paraId="33DEBF7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36428DA" w14:textId="77777777" w:rsidR="00537E5F" w:rsidRPr="00507A31" w:rsidRDefault="00537E5F" w:rsidP="00507A31">
      <w:pPr>
        <w:autoSpaceDE w:val="0"/>
        <w:autoSpaceDN w:val="0"/>
        <w:adjustRightInd w:val="0"/>
        <w:jc w:val="both"/>
        <w:rPr>
          <w:iCs/>
          <w:color w:val="000000" w:themeColor="text1"/>
          <w:sz w:val="16"/>
          <w:szCs w:val="16"/>
        </w:rPr>
      </w:pPr>
    </w:p>
    <w:p w14:paraId="347FE6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мая 1930 г. состоялась торжественная церемония закладки первого камня НГАЗ. Уже в ноябре 1931 г. большая часть корпусов была готова для монтажа и отладки оборудования. Первые грузовики НГАЗ-АА (впоследствии знаменитая “Полуторка” ГАЗ-АА4х2, двигатель 4 цил., 3,28 л, 40 л.с.; после модернизации в 1938 году ГАЗ-ММ, 50 л.с.) сошли с конвейера 29 января 1932 г.10 В апреле начался их массовый выпуск. В конце года завод стал выпускать легковые ГАЗ-А (серийное производство). Одно из крупнейших в Европе предприятий по производству автомобилей – Горьковский автомобильный завод – выросло за 19 месяцев (12060).</w:t>
      </w:r>
    </w:p>
    <w:p w14:paraId="29C9C5C5" w14:textId="77777777" w:rsidR="00537E5F" w:rsidRPr="00507A31" w:rsidRDefault="00537E5F" w:rsidP="00507A31">
      <w:pPr>
        <w:autoSpaceDE w:val="0"/>
        <w:autoSpaceDN w:val="0"/>
        <w:adjustRightInd w:val="0"/>
        <w:jc w:val="both"/>
        <w:rPr>
          <w:color w:val="000000" w:themeColor="text1"/>
          <w:sz w:val="16"/>
          <w:szCs w:val="16"/>
        </w:rPr>
      </w:pPr>
    </w:p>
    <w:p w14:paraId="3CB4E3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мая 1930 г. состоялась торжественная церемония закладки первого камня автомобильного завода НАЗ. Работы шли в таком темпе (на стройке трудилось свыше 5 тыс. человек), что уже в ноябре 1931 г. большая часть корпусов была готова для монтажа и отладки оборудования. На месте маленькой деревушки и окружавших ее пустырей быстро рос первоклассный современный автозавод. Первые 25 грузовиков ГАЗ-АА сошли с конвейера нового завода 29 января 1932 г., а с 1 апреля начался их непрерывный выпуск. Грандиозное предприятие, одно из крупнейших в Европе по производству автомобилей, выросло в неслыханно короткий срок - 19 месяцев. "Не дано нам историей тише идти",- говорил В. В. Куйбышев при подписании постановления о строительстве завода. Горьковский автомобильный завод (ГАЗ) не производил автомобили целиком - значительную часть комплектующих изделий поставляли почти четыре десятка предприятий-смежников. Согласовать их работу, добиться высокого качества изделий, строго придерживаться технологической дисциплины - вот нелегкие задачи, стоявшие перед новым заводом, люди которого порой не имели достаточного опыта. Насколько оправдан был путь, по которому пошло наше автомобилестроение? Не лучше ли все сделать своими силами, сэкономив миллионы валютных рублей. Наверное, другой путь был бы тоже возможен. Ознакомившись с постановкой массового производства за рубежом, мы подошли бы к необходимости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длиннее лет на пять. Этого наша экономика позволить себе не могла. И чтобы выиграть время, мы купили знания, опыт, производственное оборудование, начали делать современные автомобили ("Форд", "Автокар"), тракторы ("Интернационал", "Катер-пиллер"), танки ("Виккерс", "Кристи") и многое другое. Стране нужен был быстрый рывок в индустриальную эпоху. Путь, на который она встала, оказался верным. С вводом в строй ГАЗа и АМО, а также целого ряда предприятий-смежников в нашем автомобилестроении была произведена технологическая революция. А когда они полностью освоили массовый выпуск трех базовых моделей, то наша страна смогла получать за год не 4 тыс. машин, как было в 1930 г., а 97 тыс. (1935 г.). Но не надо забывать, что дорогостоящие и высокопроизводительные специализированные станки, автоматизированные линии, с одной стороны, а с другой - необходимость сохранять имеющуюся инструментальную оснастку, служили и определенным тормозом техническому прогрессу. "Форд" и "Автокар" в 1935 г. уже перешли на более совершенные модели, и ГАЗ и ЗИС (такое наименование - "завод имени Сталина" - АМО получил 1 октября 1931 г.) вынуждены были держаться конструкций 1929 г., лишь в деталях их модернизируя. Сложное искусство подготовки производства новых моделей и технологически непростой переход на них нашим заводам предстояло еще освоить. Вновь закупать в больших количествах за рубежом станки, оснастку, инструмент было в середине 30-х гг. не по карману. Приходилось развивать собственную станкостроительную промышленность, налаживать изготовление крупных штампов для кузовов, подтягивать смежные производства. Выпускаемые в 1931-1932 гг. нашими заводами модели были простыми. В них широко использовались чугун или сталь, а дорогостоящие легированные стали, алюминиевые сплавы, латунь, бронза применялись в очень ограниченном объеме. Бесспорно, это обстоятельство способствовало существенному снижению себестоимости, но тормозило создание легких конструкций. Наконец, надо учесть, что АМО-2, АМО-3, а позже и ЗИС-5 унаследовали от "Автокара" конструкцию, где все размеры деталей были кратны не миллиметрам, а дюймам. Кстати, так было и с ГАЗ-А и ГАЗ-АА, поскольку значительная часть станков и оборудования, также закупленных главным образом в США, имели фиксированные положения рабочих органов, выражавшиеся размерами, кратными дюймам и долям дюйма. Неудивительно поэтому, что ход поршней шестицилиндровых двигателей АМО, ЗИС и ЗИЛ, вплоть до выпускавшегося до недавного времени ЗИЛ-157К, не изменился-114,3 мм, то есть равнялся 4'/2 дюйма! То же самое можно сказать и о всех легковых автомобилях Горьковского автомобильного завода, включая и ГАЗ-3102: их колеса, начиная от ГАЗ-А, взаимозаменяемы, поскольку диаметр окружности колесных шпилек они унаследовали от "Форд-А" - 139,7 мм или 5'/2 дюйма (12098).</w:t>
      </w:r>
    </w:p>
    <w:p w14:paraId="028C0D92" w14:textId="77777777" w:rsidR="00537E5F" w:rsidRPr="00507A31" w:rsidRDefault="00537E5F" w:rsidP="00507A31">
      <w:pPr>
        <w:autoSpaceDE w:val="0"/>
        <w:autoSpaceDN w:val="0"/>
        <w:adjustRightInd w:val="0"/>
        <w:jc w:val="both"/>
        <w:rPr>
          <w:color w:val="000000" w:themeColor="text1"/>
          <w:sz w:val="16"/>
          <w:szCs w:val="16"/>
        </w:rPr>
      </w:pPr>
    </w:p>
    <w:p w14:paraId="51F15B3A" w14:textId="77777777" w:rsidR="004C2D22" w:rsidRPr="00507A31" w:rsidRDefault="004C2D22" w:rsidP="00507A31">
      <w:pPr>
        <w:widowControl w:val="0"/>
        <w:jc w:val="both"/>
        <w:rPr>
          <w:color w:val="000000" w:themeColor="text1"/>
          <w:sz w:val="16"/>
          <w:szCs w:val="16"/>
        </w:rPr>
      </w:pPr>
      <w:r w:rsidRPr="00507A31">
        <w:rPr>
          <w:color w:val="000000" w:themeColor="text1"/>
          <w:sz w:val="16"/>
          <w:szCs w:val="16"/>
        </w:rPr>
        <w:t xml:space="preserve">2 мая </w:t>
      </w:r>
      <w:smartTag w:uri="urn:schemas-microsoft-com:office:smarttags" w:element="metricconverter">
        <w:smartTagPr>
          <w:attr w:name="ProductID" w:val="1930 г"/>
        </w:smartTagPr>
        <w:r w:rsidRPr="00507A31">
          <w:rPr>
            <w:color w:val="000000" w:themeColor="text1"/>
            <w:sz w:val="16"/>
            <w:szCs w:val="16"/>
          </w:rPr>
          <w:t>1930 г</w:t>
        </w:r>
      </w:smartTag>
      <w:r w:rsidRPr="00507A31">
        <w:rPr>
          <w:color w:val="000000" w:themeColor="text1"/>
          <w:sz w:val="16"/>
          <w:szCs w:val="16"/>
        </w:rPr>
        <w:t>. в район, называвшийся тогда площадкой Автостроя, прибыли члены бюро крайкома ВКП(б), руководящие работники крайисполкома и других краевых учреждений и организаций. После митинга в фундамент кузнечного корпуса был забетонирован документ следующего содержания: «Во исполнение решений правительства СССР в присутствии рабочих – строителей завода, рабочих делегаций Канавина, Сормова, Москвы, Дзержинска, Балахны и представителей партийных, профсоюзных и общественных организаций Нижегородского края и строительства – заложен первый камень будущего автогиганта, о чем составлен настоящий Акт». С этого дня развертывается фронт основного, промышленного строительства автозавода. Необходимо было построить производственные корпуса цехов, теплоэлектроцентраль (ТЭЦ), водозабор на Оке, создать сложную систему подземных коммуникаций, возвести рядом с заводом большой жилой массив – социалистический город (15218).</w:t>
      </w:r>
    </w:p>
    <w:p w14:paraId="33459AF6" w14:textId="77777777" w:rsidR="004C2D22" w:rsidRPr="00507A31" w:rsidRDefault="004C2D22" w:rsidP="00507A31">
      <w:pPr>
        <w:widowControl w:val="0"/>
        <w:jc w:val="both"/>
        <w:rPr>
          <w:color w:val="000000" w:themeColor="text1"/>
          <w:sz w:val="16"/>
          <w:szCs w:val="16"/>
        </w:rPr>
      </w:pPr>
    </w:p>
    <w:p w14:paraId="1056A683" w14:textId="77777777" w:rsidR="004C2D22" w:rsidRPr="00507A31" w:rsidRDefault="004C2D22" w:rsidP="00507A31">
      <w:pPr>
        <w:jc w:val="both"/>
        <w:rPr>
          <w:color w:val="000000" w:themeColor="text1"/>
          <w:sz w:val="16"/>
          <w:szCs w:val="16"/>
        </w:rPr>
      </w:pPr>
      <w:r w:rsidRPr="00507A31">
        <w:rPr>
          <w:color w:val="000000" w:themeColor="text1"/>
          <w:sz w:val="16"/>
          <w:szCs w:val="16"/>
        </w:rPr>
        <w:t>2 мая в 1930 году состоялась закладка Горьковского автомобильного завода, который был пущен в строй в первый день 1932 года (14879).</w:t>
      </w:r>
    </w:p>
    <w:p w14:paraId="673EAC94" w14:textId="77777777" w:rsidR="004C2D22" w:rsidRPr="00507A31" w:rsidRDefault="004C2D22" w:rsidP="00507A31">
      <w:pPr>
        <w:jc w:val="both"/>
        <w:rPr>
          <w:color w:val="000000" w:themeColor="text1"/>
          <w:sz w:val="16"/>
          <w:szCs w:val="16"/>
        </w:rPr>
      </w:pPr>
    </w:p>
    <w:p w14:paraId="57B1512E" w14:textId="77777777" w:rsidR="00730B86" w:rsidRPr="00507A31" w:rsidRDefault="00730B86" w:rsidP="00507A31">
      <w:pPr>
        <w:jc w:val="both"/>
        <w:rPr>
          <w:color w:val="0070C0"/>
          <w:sz w:val="16"/>
          <w:szCs w:val="16"/>
        </w:rPr>
      </w:pPr>
      <w:r w:rsidRPr="00507A31">
        <w:rPr>
          <w:color w:val="0070C0"/>
          <w:sz w:val="16"/>
          <w:szCs w:val="16"/>
        </w:rPr>
        <w:t>2 мая 1930 года состоялась закладка Горьковского автомобильного завода, который был пущен в строй через полтора года (sic!) в первый день 1932 года.</w:t>
      </w:r>
    </w:p>
    <w:p w14:paraId="4884288D" w14:textId="77777777" w:rsidR="00730B86" w:rsidRPr="00507A31" w:rsidRDefault="00730B86" w:rsidP="00507A31">
      <w:pPr>
        <w:jc w:val="both"/>
        <w:rPr>
          <w:color w:val="0070C0"/>
          <w:sz w:val="16"/>
          <w:szCs w:val="16"/>
        </w:rPr>
      </w:pPr>
      <w:r w:rsidRPr="00507A31">
        <w:rPr>
          <w:color w:val="0070C0"/>
          <w:sz w:val="16"/>
          <w:szCs w:val="16"/>
        </w:rPr>
        <w:t>4 марта 1929 г. принято решение ВСНК СССР и подписан приказ о строительстве автомобильного завода.</w:t>
      </w:r>
    </w:p>
    <w:p w14:paraId="11149712" w14:textId="77777777" w:rsidR="00730B86" w:rsidRPr="00507A31" w:rsidRDefault="00730B86" w:rsidP="00507A31">
      <w:pPr>
        <w:jc w:val="both"/>
        <w:rPr>
          <w:color w:val="0070C0"/>
          <w:sz w:val="16"/>
          <w:szCs w:val="16"/>
        </w:rPr>
      </w:pPr>
      <w:r w:rsidRPr="00507A31">
        <w:rPr>
          <w:color w:val="0070C0"/>
          <w:sz w:val="16"/>
          <w:szCs w:val="16"/>
        </w:rPr>
        <w:t>6 апреля 1929 г. утверждено решение о выборе района строительства будущего автозавода - около города Нижнего Новгорода.</w:t>
      </w:r>
    </w:p>
    <w:p w14:paraId="5DF44BF4" w14:textId="77777777" w:rsidR="00730B86" w:rsidRPr="00507A31" w:rsidRDefault="00730B86" w:rsidP="00507A31">
      <w:pPr>
        <w:jc w:val="both"/>
        <w:rPr>
          <w:color w:val="0070C0"/>
          <w:sz w:val="16"/>
          <w:szCs w:val="16"/>
        </w:rPr>
      </w:pPr>
      <w:r w:rsidRPr="00507A31">
        <w:rPr>
          <w:color w:val="0070C0"/>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0012B53F" w14:textId="77777777" w:rsidR="00730B86" w:rsidRPr="00507A31" w:rsidRDefault="00730B86" w:rsidP="00507A31">
      <w:pPr>
        <w:jc w:val="both"/>
        <w:rPr>
          <w:color w:val="0070C0"/>
          <w:sz w:val="16"/>
          <w:szCs w:val="16"/>
        </w:rPr>
      </w:pPr>
      <w:r w:rsidRPr="00507A31">
        <w:rPr>
          <w:color w:val="0070C0"/>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68BFF10D" w14:textId="77777777" w:rsidR="00730B86" w:rsidRPr="00507A31" w:rsidRDefault="00730B86" w:rsidP="00507A31">
      <w:pPr>
        <w:jc w:val="both"/>
        <w:rPr>
          <w:color w:val="0070C0"/>
          <w:sz w:val="16"/>
          <w:szCs w:val="16"/>
        </w:rPr>
      </w:pPr>
      <w:r w:rsidRPr="00507A31">
        <w:rPr>
          <w:color w:val="0070C0"/>
          <w:sz w:val="16"/>
          <w:szCs w:val="16"/>
        </w:rPr>
        <w:t>1 января 1932 г. автозавод вступил в строй действующих.</w:t>
      </w:r>
    </w:p>
    <w:p w14:paraId="268F5E49" w14:textId="77777777" w:rsidR="00730B86" w:rsidRPr="00507A31" w:rsidRDefault="00730B86" w:rsidP="00507A31">
      <w:pPr>
        <w:jc w:val="both"/>
        <w:rPr>
          <w:color w:val="0070C0"/>
          <w:sz w:val="16"/>
          <w:szCs w:val="16"/>
        </w:rPr>
      </w:pPr>
      <w:r w:rsidRPr="00507A31">
        <w:rPr>
          <w:color w:val="0070C0"/>
          <w:sz w:val="16"/>
          <w:szCs w:val="16"/>
        </w:rPr>
        <w:t>29 января 1932 г. с конвейера сошел первый автомобиль - грузовик НАЗ-АА (21167).</w:t>
      </w:r>
    </w:p>
    <w:p w14:paraId="6520E079" w14:textId="77777777" w:rsidR="00730B86" w:rsidRPr="00507A31" w:rsidRDefault="00730B86" w:rsidP="00507A31">
      <w:pPr>
        <w:jc w:val="both"/>
        <w:rPr>
          <w:color w:val="0070C0"/>
          <w:sz w:val="16"/>
          <w:szCs w:val="16"/>
        </w:rPr>
      </w:pPr>
    </w:p>
    <w:p w14:paraId="6A6FA46C" w14:textId="77777777" w:rsidR="004C2D22" w:rsidRPr="00507A31" w:rsidRDefault="004C2D22" w:rsidP="00507A31">
      <w:pPr>
        <w:jc w:val="both"/>
        <w:rPr>
          <w:color w:val="000000" w:themeColor="text1"/>
          <w:sz w:val="16"/>
          <w:szCs w:val="16"/>
        </w:rPr>
      </w:pPr>
      <w:r w:rsidRPr="00507A31">
        <w:rPr>
          <w:color w:val="000000" w:themeColor="text1"/>
          <w:sz w:val="16"/>
          <w:szCs w:val="16"/>
        </w:rPr>
        <w:t xml:space="preserve">2 мая </w:t>
      </w:r>
      <w:smartTag w:uri="urn:schemas-microsoft-com:office:smarttags" w:element="metricconverter">
        <w:smartTagPr>
          <w:attr w:name="ProductID" w:val="1930 г"/>
        </w:smartTagPr>
        <w:r w:rsidRPr="00507A31">
          <w:rPr>
            <w:color w:val="000000" w:themeColor="text1"/>
            <w:sz w:val="16"/>
            <w:szCs w:val="16"/>
          </w:rPr>
          <w:t>1930 г</w:t>
        </w:r>
      </w:smartTag>
      <w:r w:rsidRPr="00507A31">
        <w:rPr>
          <w:color w:val="000000" w:themeColor="text1"/>
          <w:sz w:val="16"/>
          <w:szCs w:val="16"/>
        </w:rPr>
        <w:t>. в район, называвшийся тогда площадкой Автостроя, прибыли члены бюро крайкома ВКП(б), руководящие работники крайисполкома и других краевых учреждений и организаций. После митинга в фундамент кузнечного корпуса был забетонирован документ следующего содержания: «Во исполнение решений правительства СССР в присутствии рабочих – строителей завода, рабочих делегаций Канавина, Сормова, Москвы, Дзержинска, Балахны и представителей партийных, профсоюзных и общественных организаций Нижегородского края и строительства – заложен первый камень будущего автогиганта, о чем составлен настоящий Акт» (15218).</w:t>
      </w:r>
    </w:p>
    <w:p w14:paraId="5803AA56" w14:textId="77777777" w:rsidR="004C2D22" w:rsidRPr="00507A31" w:rsidRDefault="004C2D22" w:rsidP="00507A31">
      <w:pPr>
        <w:jc w:val="both"/>
        <w:rPr>
          <w:color w:val="000000" w:themeColor="text1"/>
          <w:sz w:val="16"/>
          <w:szCs w:val="16"/>
        </w:rPr>
      </w:pPr>
    </w:p>
    <w:p w14:paraId="1FAA7CB0" w14:textId="77777777" w:rsidR="00933ADB" w:rsidRPr="00507A31" w:rsidRDefault="00933ADB" w:rsidP="00507A31">
      <w:pPr>
        <w:pStyle w:val="ae"/>
        <w:shd w:val="clear" w:color="auto" w:fill="FFFFFF"/>
        <w:spacing w:before="0" w:after="0"/>
        <w:jc w:val="both"/>
        <w:rPr>
          <w:color w:val="000000" w:themeColor="text1"/>
          <w:sz w:val="16"/>
          <w:szCs w:val="16"/>
        </w:rPr>
      </w:pPr>
      <w:r w:rsidRPr="00507A31">
        <w:rPr>
          <w:color w:val="000000" w:themeColor="text1"/>
          <w:sz w:val="16"/>
          <w:szCs w:val="16"/>
        </w:rPr>
        <w:t>2 мая 1931 года, во время весеннего половодья, подводную лодку Щука Сормовского завода спустили (вернее, она всплыла над стапельными клетками) и вывели в затон завода. Построенный корпус подлодки долго плавал в затоне, тщетно дожидаясь поставки главных механизмов, судового оборудования и некоторых деталей с комбината «Красное Сормово». Вместо постройки шла переписка — завод просил, контрагенты обещали, сроки срывались, интенсивно шуршала только бумага в канцеляриях. Вот 3 марта 1933 года «Главтрансмаш» просит «Русский дизель» немедленно отгрузить пару дизелей «Красному Сормову». А 8 марта 1933 он же просит «Красное Сормово» связаться с «Русским дизелем» для доставки в кратчайшие сроки дизелей, которые обещают отгрузить 12 и 25 марта. В апреле они еще так и не поступили на завод. Годом раньше дизели вообще обещали поставить с Коломенского завода в мае 1932 года (?!) Даже комбинат «Красное Сормово» и тот обманул верфь — не поставил — 11,5 т стальных поковок, 18,9 т — стального и 5,3 т бронзового литья. Отставание по срокам поставок составляло 6—8 месяцев. Объективных причин отставания строительства первой подводной лодки было предостаточно. Когда заложили первую подводную лодку на стапеле, на заводе еще не было не только необходимых рабочих чертежей, но даже плазовой документации, — она поступила лишь 20 июля.</w:t>
      </w:r>
    </w:p>
    <w:p w14:paraId="6A7E1E70" w14:textId="77777777" w:rsidR="00933ADB" w:rsidRPr="00507A31" w:rsidRDefault="00933ADB" w:rsidP="00507A31">
      <w:pPr>
        <w:pStyle w:val="ae"/>
        <w:shd w:val="clear" w:color="auto" w:fill="FFFFFF"/>
        <w:spacing w:before="0" w:after="0"/>
        <w:jc w:val="both"/>
        <w:rPr>
          <w:color w:val="000000" w:themeColor="text1"/>
          <w:sz w:val="16"/>
          <w:szCs w:val="16"/>
        </w:rPr>
      </w:pPr>
      <w:r w:rsidRPr="00507A31">
        <w:rPr>
          <w:color w:val="000000" w:themeColor="text1"/>
          <w:sz w:val="16"/>
          <w:szCs w:val="16"/>
        </w:rPr>
        <w:t>А вот начальник морских сил РККА В. М. Орлов объективные трудности не признавал. Исходя из факта отставания строительства подводной лодки, высказал свое мнение о целесообразности передачи последующего заказа на подводную лодку с Сормовской верфи. Заместитель Наркома тяжелой промышленности т. Доценко тоже высказался за передачу строительства подлодок с «Красного Сормова» на другую верфь страны. В октябре того же года последовало указание из «Речсоюзверфи»: «Сектор специального судостроения как самостоятельную производственную единицу ликвидировать, весь личный состав передать Верфи…90 человек командировать в Хабаровск на «Востоксоюзверфь».</w:t>
      </w:r>
    </w:p>
    <w:p w14:paraId="036298DD" w14:textId="77777777" w:rsidR="00933ADB" w:rsidRPr="00507A31" w:rsidRDefault="00933ADB" w:rsidP="00507A31">
      <w:pPr>
        <w:pStyle w:val="ae"/>
        <w:shd w:val="clear" w:color="auto" w:fill="FFFFFF"/>
        <w:spacing w:before="0" w:after="0"/>
        <w:jc w:val="both"/>
        <w:rPr>
          <w:color w:val="000000" w:themeColor="text1"/>
          <w:sz w:val="16"/>
          <w:szCs w:val="16"/>
        </w:rPr>
      </w:pPr>
      <w:r w:rsidRPr="00507A31">
        <w:rPr>
          <w:color w:val="000000" w:themeColor="text1"/>
          <w:sz w:val="16"/>
          <w:szCs w:val="16"/>
        </w:rPr>
        <w:t xml:space="preserve">В защиту продолжения строительства подводных лодок на заводе выступил П. И. Макаркин. Он обратился в Совет труда и обороны (СТО) с письмом: «Как начальник </w:t>
      </w:r>
      <w:r w:rsidRPr="00507A31">
        <w:rPr>
          <w:color w:val="000000" w:themeColor="text1"/>
          <w:sz w:val="16"/>
          <w:szCs w:val="16"/>
        </w:rPr>
        <w:lastRenderedPageBreak/>
        <w:t>специального судостроения на Сормовской верфи, отдавший из-за любви к этому делу лучшие годы своей жизни, — писал он, — я не могу не высказать Вам своего мнения… Есть необходимость иметь в глубине Союза безопасную базу для постройки подлодок… Спецверфь построила корпус первой подлодки к лету 1931 года, затратив на постройку около 10 месяцев, то есть не уступая другим хорошо оборудованным верфям Союза, например, Балтийского и Николаевского заводов…»</w:t>
      </w:r>
    </w:p>
    <w:p w14:paraId="788F1885" w14:textId="77777777" w:rsidR="00933ADB" w:rsidRPr="00507A31" w:rsidRDefault="00933ADB" w:rsidP="00507A31">
      <w:pPr>
        <w:pStyle w:val="ae"/>
        <w:shd w:val="clear" w:color="auto" w:fill="FFFFFF"/>
        <w:spacing w:before="0" w:after="0"/>
        <w:jc w:val="both"/>
        <w:rPr>
          <w:color w:val="000000" w:themeColor="text1"/>
          <w:sz w:val="16"/>
          <w:szCs w:val="16"/>
        </w:rPr>
      </w:pPr>
      <w:r w:rsidRPr="00507A31">
        <w:rPr>
          <w:color w:val="000000" w:themeColor="text1"/>
          <w:sz w:val="16"/>
          <w:szCs w:val="16"/>
        </w:rPr>
        <w:t>Он ищет поддержку и в партийных органах. Отстаивает, доказывает, обращаясь в Москву, он просит «… установить истинные причины медленного хода постройки подлодок на Сормовской Судоверфи… и продолжить строительство подводных лодок на Сормовском заводе» (12189).</w:t>
      </w:r>
    </w:p>
    <w:p w14:paraId="24AC9609" w14:textId="77777777" w:rsidR="00933ADB" w:rsidRPr="00507A31" w:rsidRDefault="00933ADB" w:rsidP="00507A31">
      <w:pPr>
        <w:pStyle w:val="ae"/>
        <w:shd w:val="clear" w:color="auto" w:fill="FFFFFF"/>
        <w:spacing w:before="0" w:after="0"/>
        <w:jc w:val="both"/>
        <w:rPr>
          <w:color w:val="000000" w:themeColor="text1"/>
          <w:sz w:val="16"/>
          <w:szCs w:val="16"/>
        </w:rPr>
      </w:pPr>
    </w:p>
    <w:p w14:paraId="0C04AA8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A0E5C3A" w14:textId="77777777" w:rsidR="00537E5F" w:rsidRPr="00507A31" w:rsidRDefault="00537E5F" w:rsidP="00507A31">
      <w:pPr>
        <w:autoSpaceDE w:val="0"/>
        <w:autoSpaceDN w:val="0"/>
        <w:adjustRightInd w:val="0"/>
        <w:jc w:val="both"/>
        <w:rPr>
          <w:iCs/>
          <w:color w:val="000000" w:themeColor="text1"/>
          <w:sz w:val="16"/>
          <w:szCs w:val="16"/>
        </w:rPr>
      </w:pPr>
    </w:p>
    <w:p w14:paraId="03F4E1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мая 1930 приказом ВСНХ N 1324 ГВПУ было расформировано, а тресты - ликвидированы (4302).</w:t>
      </w:r>
    </w:p>
    <w:p w14:paraId="647AFF4D" w14:textId="77777777" w:rsidR="00537E5F" w:rsidRPr="00507A31" w:rsidRDefault="00537E5F" w:rsidP="00507A31">
      <w:pPr>
        <w:autoSpaceDE w:val="0"/>
        <w:autoSpaceDN w:val="0"/>
        <w:adjustRightInd w:val="0"/>
        <w:jc w:val="both"/>
        <w:rPr>
          <w:color w:val="000000" w:themeColor="text1"/>
          <w:sz w:val="16"/>
          <w:szCs w:val="16"/>
        </w:rPr>
      </w:pPr>
    </w:p>
    <w:p w14:paraId="5DA122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мая 1930 г. По приказу № 1324 ГУВП и тресты были упразднены. Другие заводы перешли или остались в составе гражданских трестов и управлений (11982).</w:t>
      </w:r>
    </w:p>
    <w:p w14:paraId="09A57C2A" w14:textId="77777777" w:rsidR="00537E5F" w:rsidRPr="00507A31" w:rsidRDefault="00537E5F" w:rsidP="00507A31">
      <w:pPr>
        <w:autoSpaceDE w:val="0"/>
        <w:autoSpaceDN w:val="0"/>
        <w:adjustRightInd w:val="0"/>
        <w:jc w:val="both"/>
        <w:rPr>
          <w:color w:val="000000" w:themeColor="text1"/>
          <w:sz w:val="16"/>
          <w:szCs w:val="16"/>
        </w:rPr>
      </w:pPr>
    </w:p>
    <w:p w14:paraId="2C9906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мая 1930 г. вышло РАСПОРЯЖЕНИЕ УММ НАЧАЛЬНИКУ СКЛАДА № 37 ОБ ИСПЫТАНИИ ТРАКТОРОВ «СИТРОЕН» И «ЛИНКЕ-ГОФМАН»</w:t>
      </w:r>
    </w:p>
    <w:p w14:paraId="0596E7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w:t>
      </w:r>
    </w:p>
    <w:p w14:paraId="093AC8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2F3725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6 мая 1930 г. будут производиться испытания тракторов «Ситроен» и «Линке-Гофман», в свя</w:t>
      </w:r>
      <w:r w:rsidRPr="00507A31">
        <w:rPr>
          <w:color w:val="000000" w:themeColor="text1"/>
          <w:sz w:val="16"/>
          <w:szCs w:val="16"/>
        </w:rPr>
        <w:softHyphen/>
        <w:t>зи с чем прошу Ваших распоряжений о подготовке материальной части и личного состава по следу</w:t>
      </w:r>
      <w:r w:rsidRPr="00507A31">
        <w:rPr>
          <w:color w:val="000000" w:themeColor="text1"/>
          <w:sz w:val="16"/>
          <w:szCs w:val="16"/>
        </w:rPr>
        <w:softHyphen/>
        <w:t>ющей схеме:</w:t>
      </w:r>
    </w:p>
    <w:p w14:paraId="71A6EA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Перечень имущества, необходимого для предстоящих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432"/>
        <w:gridCol w:w="2813"/>
        <w:gridCol w:w="3715"/>
      </w:tblGrid>
      <w:tr w:rsidR="00E371BA" w:rsidRPr="00507A31" w14:paraId="113EA820" w14:textId="77777777">
        <w:trPr>
          <w:trHeight w:val="182"/>
        </w:trPr>
        <w:tc>
          <w:tcPr>
            <w:tcW w:w="432" w:type="dxa"/>
            <w:tcBorders>
              <w:top w:val="single" w:sz="6" w:space="0" w:color="auto"/>
              <w:left w:val="single" w:sz="6" w:space="0" w:color="auto"/>
              <w:bottom w:val="single" w:sz="6" w:space="0" w:color="auto"/>
              <w:right w:val="single" w:sz="6" w:space="0" w:color="auto"/>
            </w:tcBorders>
          </w:tcPr>
          <w:p w14:paraId="2B89CC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0764B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3540E5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Наименование</w:t>
            </w:r>
          </w:p>
          <w:p w14:paraId="15A914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127FDE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w:t>
            </w:r>
          </w:p>
          <w:p w14:paraId="4E96FB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D28D79F" w14:textId="77777777">
        <w:trPr>
          <w:trHeight w:val="394"/>
        </w:trPr>
        <w:tc>
          <w:tcPr>
            <w:tcW w:w="432" w:type="dxa"/>
            <w:tcBorders>
              <w:top w:val="single" w:sz="6" w:space="0" w:color="auto"/>
              <w:left w:val="single" w:sz="6" w:space="0" w:color="auto"/>
              <w:bottom w:val="single" w:sz="6" w:space="0" w:color="auto"/>
              <w:right w:val="single" w:sz="6" w:space="0" w:color="auto"/>
            </w:tcBorders>
          </w:tcPr>
          <w:p w14:paraId="2BC486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2D5783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116D07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 «Линке-Гофман»</w:t>
            </w:r>
          </w:p>
          <w:p w14:paraId="1ED1CC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719649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Поставить запасную новую гусеничную ленту.</w:t>
            </w:r>
          </w:p>
          <w:p w14:paraId="2D9877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41415FE" w14:textId="77777777">
        <w:trPr>
          <w:trHeight w:val="202"/>
        </w:trPr>
        <w:tc>
          <w:tcPr>
            <w:tcW w:w="432" w:type="dxa"/>
            <w:tcBorders>
              <w:top w:val="single" w:sz="6" w:space="0" w:color="auto"/>
              <w:left w:val="single" w:sz="6" w:space="0" w:color="auto"/>
              <w:bottom w:val="single" w:sz="6" w:space="0" w:color="auto"/>
              <w:right w:val="single" w:sz="6" w:space="0" w:color="auto"/>
            </w:tcBorders>
          </w:tcPr>
          <w:p w14:paraId="32E4D3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0F971A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32E48D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 «Строен»</w:t>
            </w:r>
          </w:p>
          <w:p w14:paraId="051D84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586DB5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3DF2E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5EAFDE4" w14:textId="77777777">
        <w:trPr>
          <w:trHeight w:val="211"/>
        </w:trPr>
        <w:tc>
          <w:tcPr>
            <w:tcW w:w="432" w:type="dxa"/>
            <w:tcBorders>
              <w:top w:val="single" w:sz="6" w:space="0" w:color="auto"/>
              <w:left w:val="single" w:sz="6" w:space="0" w:color="auto"/>
              <w:bottom w:val="single" w:sz="6" w:space="0" w:color="auto"/>
              <w:right w:val="single" w:sz="6" w:space="0" w:color="auto"/>
            </w:tcBorders>
          </w:tcPr>
          <w:p w14:paraId="319C73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5A10D1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524421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 «Большевик»</w:t>
            </w:r>
          </w:p>
          <w:p w14:paraId="1ACFDB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333411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8680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7A7641D" w14:textId="77777777">
        <w:trPr>
          <w:trHeight w:val="202"/>
        </w:trPr>
        <w:tc>
          <w:tcPr>
            <w:tcW w:w="432" w:type="dxa"/>
            <w:tcBorders>
              <w:top w:val="single" w:sz="6" w:space="0" w:color="auto"/>
              <w:left w:val="single" w:sz="6" w:space="0" w:color="auto"/>
              <w:bottom w:val="single" w:sz="6" w:space="0" w:color="auto"/>
              <w:right w:val="single" w:sz="6" w:space="0" w:color="auto"/>
            </w:tcBorders>
          </w:tcPr>
          <w:p w14:paraId="731AC9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65BE88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598BAF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Повозка П-15</w:t>
            </w:r>
          </w:p>
          <w:p w14:paraId="5ED4B7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217E01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трактора «Ситроен».</w:t>
            </w:r>
          </w:p>
          <w:p w14:paraId="7A1CA3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4993C29" w14:textId="77777777">
        <w:trPr>
          <w:trHeight w:val="202"/>
        </w:trPr>
        <w:tc>
          <w:tcPr>
            <w:tcW w:w="432" w:type="dxa"/>
            <w:tcBorders>
              <w:top w:val="single" w:sz="6" w:space="0" w:color="auto"/>
              <w:left w:val="single" w:sz="6" w:space="0" w:color="auto"/>
              <w:bottom w:val="single" w:sz="6" w:space="0" w:color="auto"/>
              <w:right w:val="single" w:sz="6" w:space="0" w:color="auto"/>
            </w:tcBorders>
          </w:tcPr>
          <w:p w14:paraId="2BB890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p w14:paraId="628351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2D987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Повозка П-15 с грузом 2-1/2 тонн</w:t>
            </w:r>
          </w:p>
          <w:p w14:paraId="4E3C36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76F9AF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трактора «Линке-Гофман».</w:t>
            </w:r>
          </w:p>
          <w:p w14:paraId="63D95B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F69B808" w14:textId="77777777">
        <w:trPr>
          <w:trHeight w:val="394"/>
        </w:trPr>
        <w:tc>
          <w:tcPr>
            <w:tcW w:w="432" w:type="dxa"/>
            <w:tcBorders>
              <w:top w:val="single" w:sz="6" w:space="0" w:color="auto"/>
              <w:left w:val="single" w:sz="6" w:space="0" w:color="auto"/>
              <w:bottom w:val="single" w:sz="6" w:space="0" w:color="auto"/>
              <w:right w:val="single" w:sz="6" w:space="0" w:color="auto"/>
            </w:tcBorders>
          </w:tcPr>
          <w:p w14:paraId="25A5BC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w:t>
            </w:r>
          </w:p>
          <w:p w14:paraId="624B97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090F00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Повозка П-12</w:t>
            </w:r>
          </w:p>
          <w:p w14:paraId="1F9B1B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1C84D2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трактора «Большевик» - для перевозки горючего.</w:t>
            </w:r>
          </w:p>
          <w:p w14:paraId="2E9C5B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BD57CFC" w14:textId="77777777">
        <w:trPr>
          <w:trHeight w:val="221"/>
        </w:trPr>
        <w:tc>
          <w:tcPr>
            <w:tcW w:w="432" w:type="dxa"/>
            <w:tcBorders>
              <w:top w:val="single" w:sz="6" w:space="0" w:color="auto"/>
              <w:left w:val="single" w:sz="6" w:space="0" w:color="auto"/>
              <w:bottom w:val="single" w:sz="6" w:space="0" w:color="auto"/>
              <w:right w:val="single" w:sz="6" w:space="0" w:color="auto"/>
            </w:tcBorders>
          </w:tcPr>
          <w:p w14:paraId="55C5DC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w:t>
            </w:r>
          </w:p>
          <w:p w14:paraId="2297D4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35AF2E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Динамометр на 2 тонны</w:t>
            </w:r>
          </w:p>
          <w:p w14:paraId="1C9893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246B50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4408AC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682886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Принадлежности</w:t>
      </w:r>
    </w:p>
    <w:tbl>
      <w:tblPr>
        <w:tblW w:w="0" w:type="auto"/>
        <w:tblInd w:w="40" w:type="dxa"/>
        <w:tblLayout w:type="fixed"/>
        <w:tblCellMar>
          <w:left w:w="40" w:type="dxa"/>
          <w:right w:w="40" w:type="dxa"/>
        </w:tblCellMar>
        <w:tblLook w:val="0000" w:firstRow="0" w:lastRow="0" w:firstColumn="0" w:lastColumn="0" w:noHBand="0" w:noVBand="0"/>
      </w:tblPr>
      <w:tblGrid>
        <w:gridCol w:w="426"/>
        <w:gridCol w:w="6"/>
        <w:gridCol w:w="2262"/>
        <w:gridCol w:w="567"/>
      </w:tblGrid>
      <w:tr w:rsidR="00E371BA" w:rsidRPr="00507A31" w14:paraId="52BF167E" w14:textId="77777777">
        <w:trPr>
          <w:trHeight w:val="211"/>
        </w:trPr>
        <w:tc>
          <w:tcPr>
            <w:tcW w:w="432" w:type="dxa"/>
            <w:gridSpan w:val="2"/>
            <w:tcBorders>
              <w:top w:val="single" w:sz="6" w:space="0" w:color="auto"/>
              <w:left w:val="single" w:sz="6" w:space="0" w:color="auto"/>
              <w:bottom w:val="single" w:sz="6" w:space="0" w:color="auto"/>
              <w:right w:val="single" w:sz="6" w:space="0" w:color="auto"/>
            </w:tcBorders>
          </w:tcPr>
          <w:p w14:paraId="75CFA7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3A6CC6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62" w:type="dxa"/>
            <w:tcBorders>
              <w:top w:val="single" w:sz="6" w:space="0" w:color="auto"/>
              <w:left w:val="single" w:sz="6" w:space="0" w:color="auto"/>
              <w:bottom w:val="single" w:sz="6" w:space="0" w:color="auto"/>
              <w:right w:val="single" w:sz="6" w:space="0" w:color="auto"/>
            </w:tcBorders>
          </w:tcPr>
          <w:p w14:paraId="7A1315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Мерной посуды</w:t>
            </w:r>
          </w:p>
          <w:p w14:paraId="493106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E257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E44DC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3D1ADA9"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07CEB4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1FED36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62" w:type="dxa"/>
            <w:tcBorders>
              <w:top w:val="single" w:sz="6" w:space="0" w:color="auto"/>
              <w:left w:val="single" w:sz="6" w:space="0" w:color="auto"/>
              <w:bottom w:val="single" w:sz="6" w:space="0" w:color="auto"/>
              <w:right w:val="single" w:sz="6" w:space="0" w:color="auto"/>
            </w:tcBorders>
          </w:tcPr>
          <w:p w14:paraId="6A55A7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Лопат саперных</w:t>
            </w:r>
          </w:p>
          <w:p w14:paraId="730EE5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8DF6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6A330E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F31FD20"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5E0012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43CDA8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62" w:type="dxa"/>
            <w:tcBorders>
              <w:top w:val="single" w:sz="6" w:space="0" w:color="auto"/>
              <w:left w:val="single" w:sz="6" w:space="0" w:color="auto"/>
              <w:bottom w:val="single" w:sz="6" w:space="0" w:color="auto"/>
              <w:right w:val="single" w:sz="6" w:space="0" w:color="auto"/>
            </w:tcBorders>
          </w:tcPr>
          <w:p w14:paraId="43C6C0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Топоров</w:t>
            </w:r>
          </w:p>
          <w:p w14:paraId="3ACAFB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823D3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317421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6AF2071"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4BC8A1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tc>
        <w:tc>
          <w:tcPr>
            <w:tcW w:w="2262" w:type="dxa"/>
            <w:tcBorders>
              <w:top w:val="single" w:sz="6" w:space="0" w:color="auto"/>
              <w:left w:val="single" w:sz="6" w:space="0" w:color="auto"/>
              <w:bottom w:val="single" w:sz="6" w:space="0" w:color="auto"/>
              <w:right w:val="single" w:sz="6" w:space="0" w:color="auto"/>
            </w:tcBorders>
          </w:tcPr>
          <w:p w14:paraId="6AF6BB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Паяльных ламп</w:t>
            </w:r>
          </w:p>
        </w:tc>
        <w:tc>
          <w:tcPr>
            <w:tcW w:w="567" w:type="dxa"/>
            <w:tcBorders>
              <w:top w:val="single" w:sz="6" w:space="0" w:color="auto"/>
              <w:left w:val="single" w:sz="6" w:space="0" w:color="auto"/>
              <w:bottom w:val="single" w:sz="6" w:space="0" w:color="auto"/>
              <w:right w:val="single" w:sz="6" w:space="0" w:color="auto"/>
            </w:tcBorders>
          </w:tcPr>
          <w:p w14:paraId="168064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tc>
      </w:tr>
      <w:tr w:rsidR="00E371BA" w:rsidRPr="00507A31" w14:paraId="30B68941"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177C63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tc>
        <w:tc>
          <w:tcPr>
            <w:tcW w:w="2262" w:type="dxa"/>
            <w:tcBorders>
              <w:top w:val="single" w:sz="6" w:space="0" w:color="auto"/>
              <w:left w:val="single" w:sz="6" w:space="0" w:color="auto"/>
              <w:bottom w:val="single" w:sz="6" w:space="0" w:color="auto"/>
              <w:right w:val="single" w:sz="6" w:space="0" w:color="auto"/>
            </w:tcBorders>
          </w:tcPr>
          <w:p w14:paraId="19FEED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Домкратов</w:t>
            </w:r>
          </w:p>
        </w:tc>
        <w:tc>
          <w:tcPr>
            <w:tcW w:w="567" w:type="dxa"/>
            <w:tcBorders>
              <w:top w:val="single" w:sz="6" w:space="0" w:color="auto"/>
              <w:left w:val="single" w:sz="6" w:space="0" w:color="auto"/>
              <w:bottom w:val="single" w:sz="6" w:space="0" w:color="auto"/>
              <w:right w:val="single" w:sz="6" w:space="0" w:color="auto"/>
            </w:tcBorders>
          </w:tcPr>
          <w:p w14:paraId="63FB09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6A675756"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65BC42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w:t>
            </w:r>
          </w:p>
          <w:p w14:paraId="025F6B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21BBBB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Цепи со скобами</w:t>
            </w:r>
          </w:p>
          <w:p w14:paraId="3A0AD4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8FAB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3EB615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5AF0FCD" w14:textId="77777777">
        <w:trPr>
          <w:trHeight w:val="202"/>
        </w:trPr>
        <w:tc>
          <w:tcPr>
            <w:tcW w:w="426" w:type="dxa"/>
            <w:tcBorders>
              <w:top w:val="single" w:sz="6" w:space="0" w:color="auto"/>
              <w:left w:val="single" w:sz="6" w:space="0" w:color="auto"/>
              <w:bottom w:val="single" w:sz="6" w:space="0" w:color="auto"/>
              <w:right w:val="single" w:sz="6" w:space="0" w:color="auto"/>
            </w:tcBorders>
          </w:tcPr>
          <w:p w14:paraId="198E66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w:t>
            </w:r>
          </w:p>
          <w:p w14:paraId="06FAF6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64D337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Болты и шплинты</w:t>
            </w:r>
          </w:p>
          <w:p w14:paraId="160432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1B5A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w:t>
            </w:r>
          </w:p>
          <w:p w14:paraId="4664D7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6B00783" w14:textId="77777777">
        <w:trPr>
          <w:trHeight w:val="202"/>
        </w:trPr>
        <w:tc>
          <w:tcPr>
            <w:tcW w:w="426" w:type="dxa"/>
            <w:tcBorders>
              <w:top w:val="single" w:sz="6" w:space="0" w:color="auto"/>
              <w:left w:val="single" w:sz="6" w:space="0" w:color="auto"/>
              <w:bottom w:val="single" w:sz="6" w:space="0" w:color="auto"/>
              <w:right w:val="single" w:sz="6" w:space="0" w:color="auto"/>
            </w:tcBorders>
          </w:tcPr>
          <w:p w14:paraId="47FDE6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w:t>
            </w:r>
          </w:p>
          <w:p w14:paraId="727E55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73905D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Брезенты</w:t>
            </w:r>
          </w:p>
          <w:p w14:paraId="0468C2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20218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65833C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3631475" w14:textId="77777777">
        <w:trPr>
          <w:trHeight w:val="221"/>
        </w:trPr>
        <w:tc>
          <w:tcPr>
            <w:tcW w:w="426" w:type="dxa"/>
            <w:tcBorders>
              <w:top w:val="single" w:sz="6" w:space="0" w:color="auto"/>
              <w:left w:val="single" w:sz="6" w:space="0" w:color="auto"/>
              <w:bottom w:val="single" w:sz="6" w:space="0" w:color="auto"/>
              <w:right w:val="single" w:sz="6" w:space="0" w:color="auto"/>
            </w:tcBorders>
          </w:tcPr>
          <w:p w14:paraId="5A1D28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w:t>
            </w:r>
          </w:p>
          <w:p w14:paraId="2B9CE1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3C821B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Поперечная пила</w:t>
            </w:r>
          </w:p>
          <w:p w14:paraId="666C6A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850DC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01213E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3B14CB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Горючие</w:t>
      </w:r>
    </w:p>
    <w:tbl>
      <w:tblPr>
        <w:tblW w:w="0" w:type="auto"/>
        <w:tblInd w:w="40" w:type="dxa"/>
        <w:tblLayout w:type="fixed"/>
        <w:tblCellMar>
          <w:left w:w="40" w:type="dxa"/>
          <w:right w:w="40" w:type="dxa"/>
        </w:tblCellMar>
        <w:tblLook w:val="0000" w:firstRow="0" w:lastRow="0" w:firstColumn="0" w:lastColumn="0" w:noHBand="0" w:noVBand="0"/>
      </w:tblPr>
      <w:tblGrid>
        <w:gridCol w:w="426"/>
        <w:gridCol w:w="2268"/>
        <w:gridCol w:w="551"/>
      </w:tblGrid>
      <w:tr w:rsidR="00E371BA" w:rsidRPr="00507A31" w14:paraId="07884EE4"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27BEDB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60065A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68" w:type="dxa"/>
            <w:tcBorders>
              <w:top w:val="single" w:sz="6" w:space="0" w:color="auto"/>
              <w:left w:val="single" w:sz="6" w:space="0" w:color="auto"/>
              <w:bottom w:val="single" w:sz="6" w:space="0" w:color="auto"/>
              <w:right w:val="single" w:sz="6" w:space="0" w:color="auto"/>
            </w:tcBorders>
          </w:tcPr>
          <w:p w14:paraId="6EC4DB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Бензина</w:t>
            </w:r>
          </w:p>
          <w:p w14:paraId="112E4E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51" w:type="dxa"/>
            <w:tcBorders>
              <w:top w:val="single" w:sz="6" w:space="0" w:color="auto"/>
              <w:left w:val="single" w:sz="6" w:space="0" w:color="auto"/>
              <w:bottom w:val="single" w:sz="6" w:space="0" w:color="auto"/>
              <w:right w:val="single" w:sz="6" w:space="0" w:color="auto"/>
            </w:tcBorders>
          </w:tcPr>
          <w:p w14:paraId="38910A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1.500кг</w:t>
            </w:r>
          </w:p>
          <w:p w14:paraId="2F5915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8BF366C"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13472D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2CB451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68" w:type="dxa"/>
            <w:tcBorders>
              <w:top w:val="single" w:sz="6" w:space="0" w:color="auto"/>
              <w:left w:val="single" w:sz="6" w:space="0" w:color="auto"/>
              <w:bottom w:val="single" w:sz="6" w:space="0" w:color="auto"/>
              <w:right w:val="single" w:sz="6" w:space="0" w:color="auto"/>
            </w:tcBorders>
          </w:tcPr>
          <w:p w14:paraId="1C9E37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Масла</w:t>
            </w:r>
          </w:p>
          <w:p w14:paraId="7CC8EF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51" w:type="dxa"/>
            <w:tcBorders>
              <w:top w:val="single" w:sz="6" w:space="0" w:color="auto"/>
              <w:left w:val="single" w:sz="6" w:space="0" w:color="auto"/>
              <w:bottom w:val="single" w:sz="6" w:space="0" w:color="auto"/>
              <w:right w:val="single" w:sz="6" w:space="0" w:color="auto"/>
            </w:tcBorders>
          </w:tcPr>
          <w:p w14:paraId="439833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75кг</w:t>
            </w:r>
          </w:p>
          <w:p w14:paraId="40F3EC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375D805"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0A97C5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7B8061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68" w:type="dxa"/>
            <w:tcBorders>
              <w:top w:val="single" w:sz="6" w:space="0" w:color="auto"/>
              <w:left w:val="single" w:sz="6" w:space="0" w:color="auto"/>
              <w:bottom w:val="single" w:sz="6" w:space="0" w:color="auto"/>
              <w:right w:val="single" w:sz="6" w:space="0" w:color="auto"/>
            </w:tcBorders>
          </w:tcPr>
          <w:p w14:paraId="0718B1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Солидол</w:t>
            </w:r>
          </w:p>
          <w:p w14:paraId="595A89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51" w:type="dxa"/>
            <w:tcBorders>
              <w:top w:val="single" w:sz="6" w:space="0" w:color="auto"/>
              <w:left w:val="single" w:sz="6" w:space="0" w:color="auto"/>
              <w:bottom w:val="single" w:sz="6" w:space="0" w:color="auto"/>
              <w:right w:val="single" w:sz="6" w:space="0" w:color="auto"/>
            </w:tcBorders>
          </w:tcPr>
          <w:p w14:paraId="0154C9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30кг</w:t>
            </w:r>
          </w:p>
          <w:p w14:paraId="2CD21B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2AECE0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Личный состав</w:t>
      </w:r>
    </w:p>
    <w:tbl>
      <w:tblPr>
        <w:tblW w:w="0" w:type="auto"/>
        <w:tblInd w:w="40" w:type="dxa"/>
        <w:tblLayout w:type="fixed"/>
        <w:tblCellMar>
          <w:left w:w="40" w:type="dxa"/>
          <w:right w:w="40" w:type="dxa"/>
        </w:tblCellMar>
        <w:tblLook w:val="0000" w:firstRow="0" w:lastRow="0" w:firstColumn="0" w:lastColumn="0" w:noHBand="0" w:noVBand="0"/>
      </w:tblPr>
      <w:tblGrid>
        <w:gridCol w:w="426"/>
        <w:gridCol w:w="2253"/>
        <w:gridCol w:w="582"/>
      </w:tblGrid>
      <w:tr w:rsidR="00E371BA" w:rsidRPr="00507A31" w14:paraId="1F9249C7"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5C71D0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1552B8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53" w:type="dxa"/>
            <w:tcBorders>
              <w:top w:val="single" w:sz="6" w:space="0" w:color="auto"/>
              <w:left w:val="single" w:sz="6" w:space="0" w:color="auto"/>
              <w:bottom w:val="single" w:sz="6" w:space="0" w:color="auto"/>
              <w:right w:val="single" w:sz="6" w:space="0" w:color="auto"/>
            </w:tcBorders>
          </w:tcPr>
          <w:p w14:paraId="2176C7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Механиков</w:t>
            </w:r>
          </w:p>
          <w:p w14:paraId="64C521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82" w:type="dxa"/>
            <w:tcBorders>
              <w:top w:val="single" w:sz="6" w:space="0" w:color="auto"/>
              <w:left w:val="single" w:sz="6" w:space="0" w:color="auto"/>
              <w:bottom w:val="single" w:sz="6" w:space="0" w:color="auto"/>
              <w:right w:val="single" w:sz="6" w:space="0" w:color="auto"/>
            </w:tcBorders>
          </w:tcPr>
          <w:p w14:paraId="79ADD4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1CB324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A0C0C90"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4A251D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0CF238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253" w:type="dxa"/>
            <w:tcBorders>
              <w:top w:val="single" w:sz="6" w:space="0" w:color="auto"/>
              <w:left w:val="single" w:sz="6" w:space="0" w:color="auto"/>
              <w:bottom w:val="single" w:sz="6" w:space="0" w:color="auto"/>
              <w:right w:val="single" w:sz="6" w:space="0" w:color="auto"/>
            </w:tcBorders>
          </w:tcPr>
          <w:p w14:paraId="436F18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Рабочих</w:t>
            </w:r>
          </w:p>
          <w:p w14:paraId="181A9C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82" w:type="dxa"/>
            <w:tcBorders>
              <w:top w:val="single" w:sz="6" w:space="0" w:color="auto"/>
              <w:left w:val="single" w:sz="6" w:space="0" w:color="auto"/>
              <w:bottom w:val="single" w:sz="6" w:space="0" w:color="auto"/>
              <w:right w:val="single" w:sz="6" w:space="0" w:color="auto"/>
            </w:tcBorders>
          </w:tcPr>
          <w:p w14:paraId="4FFC34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1985B8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7B4AC0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Трактора, повозки должны быть снабжены положенным количеством запчастей инструментов. Для повозок необходимо иметь дополнительно одно запасное дышло. Желательно, вместо повозки П-15 для трактора «Ситроен» подготовить повозку П-21, если это окажется возможным.</w:t>
      </w:r>
    </w:p>
    <w:p w14:paraId="7DB8DD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имущество и подвижной состав должны быть подготовлены к утру 6 мая 1930 г. Испытания продолжатся 4 - 5 суток.</w:t>
      </w:r>
    </w:p>
    <w:p w14:paraId="3809A3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1 отдела ТУ УММ Мизонов</w:t>
      </w:r>
    </w:p>
    <w:p w14:paraId="64C4AB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Пом. начальника отдела Скипетро</w:t>
      </w:r>
    </w:p>
    <w:p w14:paraId="67EB2D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165. Л. 21. Копия (11210).</w:t>
      </w:r>
    </w:p>
    <w:p w14:paraId="444F238A" w14:textId="77777777" w:rsidR="00537E5F" w:rsidRPr="00507A31" w:rsidRDefault="00537E5F" w:rsidP="00507A31">
      <w:pPr>
        <w:autoSpaceDE w:val="0"/>
        <w:autoSpaceDN w:val="0"/>
        <w:adjustRightInd w:val="0"/>
        <w:jc w:val="both"/>
        <w:rPr>
          <w:color w:val="000000" w:themeColor="text1"/>
          <w:sz w:val="16"/>
          <w:szCs w:val="16"/>
        </w:rPr>
      </w:pPr>
    </w:p>
    <w:p w14:paraId="2B133190" w14:textId="77777777" w:rsidR="00A27478" w:rsidRPr="00507A31" w:rsidRDefault="00A27478" w:rsidP="00507A31">
      <w:pPr>
        <w:jc w:val="both"/>
        <w:rPr>
          <w:color w:val="000000" w:themeColor="text1"/>
          <w:sz w:val="16"/>
          <w:szCs w:val="16"/>
        </w:rPr>
      </w:pPr>
      <w:r w:rsidRPr="00507A31">
        <w:rPr>
          <w:color w:val="000000" w:themeColor="text1"/>
          <w:sz w:val="16"/>
          <w:szCs w:val="16"/>
        </w:rPr>
        <w:t>3 мая 1930 г., идя навстречу пожеланиям промышленности приказом по УВМС РККА, НТК ставилась задача до окончания разработки опытных образцов не разрабатывать новые типы станций и не вносить в изготовляемые образцы маловажные конструктивные изменения. Распоряжением председателя Ленкомнаба в марте 1930 г. для осуществления контроля за серийным производством изделий и оперативного решения технических вопросов на завод им. Коминтерна был переведен старший член-приемщик Ленкомнаба А.И. Бабановский (18297).</w:t>
      </w:r>
    </w:p>
    <w:p w14:paraId="1A611F48" w14:textId="77777777" w:rsidR="00A27478" w:rsidRPr="00507A31" w:rsidRDefault="00A27478" w:rsidP="00507A31">
      <w:pPr>
        <w:jc w:val="both"/>
        <w:rPr>
          <w:color w:val="000000" w:themeColor="text1"/>
          <w:sz w:val="16"/>
          <w:szCs w:val="16"/>
        </w:rPr>
      </w:pPr>
    </w:p>
    <w:p w14:paraId="1AF9C8F4" w14:textId="77777777" w:rsidR="00A740F5"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B9EEA2A" w14:textId="77777777" w:rsidR="00A740F5" w:rsidRPr="00507A31" w:rsidRDefault="00A740F5" w:rsidP="00507A31">
      <w:pPr>
        <w:autoSpaceDE w:val="0"/>
        <w:autoSpaceDN w:val="0"/>
        <w:adjustRightInd w:val="0"/>
        <w:jc w:val="both"/>
        <w:rPr>
          <w:iCs/>
          <w:color w:val="000000" w:themeColor="text1"/>
          <w:sz w:val="16"/>
          <w:szCs w:val="16"/>
        </w:rPr>
      </w:pPr>
    </w:p>
    <w:p w14:paraId="1A8A4FEF" w14:textId="77777777" w:rsidR="00A740F5" w:rsidRPr="00507A31" w:rsidRDefault="00A740F5" w:rsidP="00507A31">
      <w:pPr>
        <w:jc w:val="both"/>
        <w:rPr>
          <w:color w:val="000000" w:themeColor="text1"/>
          <w:sz w:val="16"/>
          <w:szCs w:val="16"/>
        </w:rPr>
      </w:pPr>
      <w:r w:rsidRPr="00507A31">
        <w:rPr>
          <w:color w:val="000000" w:themeColor="text1"/>
          <w:sz w:val="16"/>
          <w:szCs w:val="16"/>
        </w:rPr>
        <w:t xml:space="preserve">3 мая в 1930 году состоялся первый полет прототипа самолета («J9037») общего назначения </w:t>
      </w:r>
      <w:hyperlink r:id="rId79" w:tgtFrame="_blank" w:history="1">
        <w:r w:rsidRPr="00507A31">
          <w:rPr>
            <w:color w:val="000000" w:themeColor="text1"/>
            <w:sz w:val="16"/>
            <w:szCs w:val="16"/>
          </w:rPr>
          <w:t xml:space="preserve">«Armstrong Whitworth» «AW.17» «Aries». </w:t>
        </w:r>
      </w:hyperlink>
      <w:r w:rsidRPr="00507A31">
        <w:rPr>
          <w:color w:val="000000" w:themeColor="text1"/>
          <w:sz w:val="16"/>
          <w:szCs w:val="16"/>
        </w:rPr>
        <w:t>«Armstrong Whitworth» «AW.17» «Aries» был разработан в 1929 году на базе успешного самолета «Armstrong Whitworth» «Atlas». Испытания «Aries» «Mk.I» показали, что его характеристики практически аналогичны выпускаемому серийно «Atlas» «Mk.II» и нет никого смысла заниматься выпуском новой модели (14880).</w:t>
      </w:r>
    </w:p>
    <w:p w14:paraId="47295545" w14:textId="77777777" w:rsidR="00A740F5" w:rsidRPr="00507A31" w:rsidRDefault="00A740F5" w:rsidP="00507A31">
      <w:pPr>
        <w:jc w:val="both"/>
        <w:rPr>
          <w:color w:val="000000" w:themeColor="text1"/>
          <w:sz w:val="16"/>
          <w:szCs w:val="16"/>
        </w:rPr>
      </w:pPr>
    </w:p>
    <w:p w14:paraId="37809FB0" w14:textId="77777777" w:rsidR="0077711A" w:rsidRPr="00507A31" w:rsidRDefault="0077711A" w:rsidP="00507A31">
      <w:pPr>
        <w:jc w:val="both"/>
        <w:rPr>
          <w:color w:val="0070C0"/>
          <w:sz w:val="16"/>
          <w:szCs w:val="16"/>
        </w:rPr>
      </w:pPr>
      <w:r w:rsidRPr="00507A31">
        <w:rPr>
          <w:color w:val="0070C0"/>
          <w:sz w:val="16"/>
          <w:szCs w:val="16"/>
        </w:rPr>
        <w:lastRenderedPageBreak/>
        <w:t>3 мая 1930 - Состоялся первый полет прототипа самолета (J9037) общего назначения Armstrong Whitworth AW.17 Aries. Armstrong Whitworth AW.17 Aries был разработан в 1929 году на базе успешного самолета Armstrong Whitworth Atlas. Испытания Aries Mk.I показали, что его характеристики практически аналогичны выпускаемому серийно Atlas Mk.II и нет никого смысла заниматься выпуском новой модели (22514).</w:t>
      </w:r>
    </w:p>
    <w:p w14:paraId="5C7AE8B2" w14:textId="77777777" w:rsidR="0077711A" w:rsidRPr="00507A31" w:rsidRDefault="0077711A" w:rsidP="00507A31">
      <w:pPr>
        <w:jc w:val="both"/>
        <w:rPr>
          <w:color w:val="0070C0"/>
          <w:sz w:val="16"/>
          <w:szCs w:val="16"/>
        </w:rPr>
      </w:pPr>
    </w:p>
    <w:p w14:paraId="17B922E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47D4599" w14:textId="77777777" w:rsidR="00537E5F" w:rsidRPr="00507A31" w:rsidRDefault="00537E5F" w:rsidP="00507A31">
      <w:pPr>
        <w:autoSpaceDE w:val="0"/>
        <w:autoSpaceDN w:val="0"/>
        <w:adjustRightInd w:val="0"/>
        <w:jc w:val="both"/>
        <w:rPr>
          <w:iCs/>
          <w:color w:val="000000" w:themeColor="text1"/>
          <w:sz w:val="16"/>
          <w:szCs w:val="16"/>
        </w:rPr>
      </w:pPr>
    </w:p>
    <w:p w14:paraId="44E3C9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мая 1930 года в торжественной обстановке заложили фундамент главного производственного корпуса будущего завода № 21. Одновременно со строительством завода утвердили программу застройки рабочего поселка. Для подготовки высококвалифицированных рабочих организовали контору по подготовке кадров. В 1930-1931 годах обучение квалифицированных рабочих ведущих профессий и инженерно-технических сотрудников велось на авиационных заводах Москвы (11651).</w:t>
      </w:r>
    </w:p>
    <w:p w14:paraId="71AAF328" w14:textId="77777777" w:rsidR="00537E5F" w:rsidRPr="00507A31" w:rsidRDefault="00537E5F" w:rsidP="00507A31">
      <w:pPr>
        <w:autoSpaceDE w:val="0"/>
        <w:autoSpaceDN w:val="0"/>
        <w:adjustRightInd w:val="0"/>
        <w:jc w:val="both"/>
        <w:rPr>
          <w:color w:val="000000" w:themeColor="text1"/>
          <w:sz w:val="16"/>
          <w:szCs w:val="16"/>
        </w:rPr>
      </w:pPr>
    </w:p>
    <w:p w14:paraId="463F3DDE" w14:textId="77777777" w:rsidR="00C65FEA"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3353CB4" w14:textId="77777777" w:rsidR="00C65FEA" w:rsidRPr="00507A31" w:rsidRDefault="00C65FEA" w:rsidP="00507A31">
      <w:pPr>
        <w:autoSpaceDE w:val="0"/>
        <w:autoSpaceDN w:val="0"/>
        <w:adjustRightInd w:val="0"/>
        <w:jc w:val="both"/>
        <w:rPr>
          <w:iCs/>
          <w:color w:val="000000" w:themeColor="text1"/>
          <w:sz w:val="16"/>
          <w:szCs w:val="16"/>
        </w:rPr>
      </w:pPr>
    </w:p>
    <w:p w14:paraId="2C666AB5" w14:textId="77777777" w:rsidR="00C65FEA" w:rsidRPr="00507A31" w:rsidRDefault="00C65FEA" w:rsidP="00507A31">
      <w:pPr>
        <w:jc w:val="both"/>
        <w:rPr>
          <w:color w:val="000000" w:themeColor="text1"/>
          <w:sz w:val="16"/>
          <w:szCs w:val="16"/>
        </w:rPr>
      </w:pPr>
      <w:r w:rsidRPr="00507A31">
        <w:rPr>
          <w:color w:val="000000" w:themeColor="text1"/>
          <w:sz w:val="16"/>
          <w:szCs w:val="16"/>
        </w:rPr>
        <w:t>4 мая 1930 г. Протокол заседания Президиума ВСНХ СССР о производстве заводами Орудийно-оружейного пулеметного объединения оборудования для промышленности строительных материалов (РГАЭ. Ф. 3429. Оп. 1. Д. 5193. Л. 86) (12417).</w:t>
      </w:r>
    </w:p>
    <w:p w14:paraId="701866C3" w14:textId="77777777" w:rsidR="00C65FEA" w:rsidRPr="00507A31" w:rsidRDefault="00C65FEA" w:rsidP="00507A31">
      <w:pPr>
        <w:jc w:val="both"/>
        <w:rPr>
          <w:color w:val="000000" w:themeColor="text1"/>
          <w:sz w:val="16"/>
          <w:szCs w:val="16"/>
        </w:rPr>
      </w:pPr>
    </w:p>
    <w:p w14:paraId="732B42D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DB049FC" w14:textId="77777777" w:rsidR="00537E5F" w:rsidRPr="00507A31" w:rsidRDefault="00537E5F" w:rsidP="00507A31">
      <w:pPr>
        <w:autoSpaceDE w:val="0"/>
        <w:autoSpaceDN w:val="0"/>
        <w:adjustRightInd w:val="0"/>
        <w:jc w:val="both"/>
        <w:rPr>
          <w:iCs/>
          <w:color w:val="000000" w:themeColor="text1"/>
          <w:sz w:val="16"/>
          <w:szCs w:val="16"/>
        </w:rPr>
      </w:pPr>
    </w:p>
    <w:p w14:paraId="4F1329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мая 1930 М.Ганди был арестован (2100).</w:t>
      </w:r>
    </w:p>
    <w:p w14:paraId="2D2EF539" w14:textId="77777777" w:rsidR="00537E5F" w:rsidRPr="00507A31" w:rsidRDefault="00537E5F" w:rsidP="00507A31">
      <w:pPr>
        <w:autoSpaceDE w:val="0"/>
        <w:autoSpaceDN w:val="0"/>
        <w:adjustRightInd w:val="0"/>
        <w:jc w:val="both"/>
        <w:rPr>
          <w:color w:val="000000" w:themeColor="text1"/>
          <w:sz w:val="16"/>
          <w:szCs w:val="16"/>
        </w:rPr>
      </w:pPr>
    </w:p>
    <w:p w14:paraId="7D82591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CA15301" w14:textId="77777777" w:rsidR="00537E5F" w:rsidRPr="00507A31" w:rsidRDefault="00537E5F" w:rsidP="00507A31">
      <w:pPr>
        <w:autoSpaceDE w:val="0"/>
        <w:autoSpaceDN w:val="0"/>
        <w:adjustRightInd w:val="0"/>
        <w:jc w:val="both"/>
        <w:rPr>
          <w:iCs/>
          <w:color w:val="000000" w:themeColor="text1"/>
          <w:sz w:val="16"/>
          <w:szCs w:val="16"/>
        </w:rPr>
      </w:pPr>
    </w:p>
    <w:p w14:paraId="23F9F9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мая 1930 г. была подготовлена ДОКЛАДНАЯ ЗАПИСКА СПЕЦИАЛЬНОГО УПРАВЛЕНИЯ В УММ ОБ ИМПОРТНОЙ ТЕХНИКЕ</w:t>
      </w:r>
    </w:p>
    <w:tbl>
      <w:tblPr>
        <w:tblW w:w="0" w:type="auto"/>
        <w:tblInd w:w="40" w:type="dxa"/>
        <w:tblLayout w:type="fixed"/>
        <w:tblCellMar>
          <w:left w:w="40" w:type="dxa"/>
          <w:right w:w="40" w:type="dxa"/>
        </w:tblCellMar>
        <w:tblLook w:val="0000" w:firstRow="0" w:lastRow="0" w:firstColumn="0" w:lastColumn="0" w:noHBand="0" w:noVBand="0"/>
      </w:tblPr>
      <w:tblGrid>
        <w:gridCol w:w="413"/>
        <w:gridCol w:w="2909"/>
        <w:gridCol w:w="826"/>
        <w:gridCol w:w="547"/>
        <w:gridCol w:w="691"/>
        <w:gridCol w:w="912"/>
        <w:gridCol w:w="1334"/>
      </w:tblGrid>
      <w:tr w:rsidR="00E371BA" w:rsidRPr="00507A31" w14:paraId="165AF175" w14:textId="77777777">
        <w:trPr>
          <w:trHeight w:val="653"/>
        </w:trPr>
        <w:tc>
          <w:tcPr>
            <w:tcW w:w="413" w:type="dxa"/>
            <w:tcBorders>
              <w:top w:val="single" w:sz="6" w:space="0" w:color="auto"/>
              <w:left w:val="single" w:sz="6" w:space="0" w:color="auto"/>
              <w:bottom w:val="single" w:sz="6" w:space="0" w:color="auto"/>
              <w:right w:val="single" w:sz="6" w:space="0" w:color="auto"/>
            </w:tcBorders>
          </w:tcPr>
          <w:p w14:paraId="47F695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9D8E2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07F65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Наименование машин, тип, мощность, вес и скорость</w:t>
            </w:r>
          </w:p>
          <w:p w14:paraId="625819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8CE94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Страна</w:t>
            </w:r>
          </w:p>
          <w:p w14:paraId="582C9E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2D8DD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Коли</w:t>
            </w:r>
            <w:r w:rsidRPr="00507A31">
              <w:rPr>
                <w:color w:val="000000" w:themeColor="text1"/>
                <w:sz w:val="16"/>
                <w:szCs w:val="16"/>
              </w:rPr>
              <w:softHyphen/>
              <w:t>чество</w:t>
            </w:r>
          </w:p>
          <w:p w14:paraId="14A36E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CD0C1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Назна</w:t>
            </w:r>
            <w:r w:rsidRPr="00507A31">
              <w:rPr>
                <w:color w:val="000000" w:themeColor="text1"/>
                <w:sz w:val="16"/>
                <w:szCs w:val="16"/>
              </w:rPr>
              <w:softHyphen/>
              <w:t>чение</w:t>
            </w:r>
          </w:p>
          <w:p w14:paraId="4F93FE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B91FE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Место стоянки и лаборатор. испытания</w:t>
            </w:r>
          </w:p>
          <w:p w14:paraId="2AD91C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6628CE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Срок отгрузки</w:t>
            </w:r>
          </w:p>
          <w:p w14:paraId="468C7B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97BE458" w14:textId="77777777">
        <w:trPr>
          <w:trHeight w:val="538"/>
        </w:trPr>
        <w:tc>
          <w:tcPr>
            <w:tcW w:w="413" w:type="dxa"/>
            <w:tcBorders>
              <w:top w:val="single" w:sz="6" w:space="0" w:color="auto"/>
              <w:left w:val="single" w:sz="6" w:space="0" w:color="auto"/>
              <w:bottom w:val="single" w:sz="6" w:space="0" w:color="auto"/>
              <w:right w:val="single" w:sz="6" w:space="0" w:color="auto"/>
            </w:tcBorders>
          </w:tcPr>
          <w:p w14:paraId="39EDCF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7343EB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FA879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ЛИНКЕ-ГОФМАН Трактор гусеничный 50 НР, 23 км/ч. Керосин.</w:t>
            </w:r>
          </w:p>
          <w:p w14:paraId="4D3F22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A2300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Германия</w:t>
            </w:r>
          </w:p>
          <w:p w14:paraId="7BCB6F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68E06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51ABEB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B855C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w:t>
            </w:r>
            <w:r w:rsidRPr="00507A31">
              <w:rPr>
                <w:color w:val="000000" w:themeColor="text1"/>
                <w:sz w:val="16"/>
                <w:szCs w:val="16"/>
              </w:rPr>
              <w:softHyphen/>
              <w:t>ный</w:t>
            </w:r>
          </w:p>
          <w:p w14:paraId="562B15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F246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Висхом</w:t>
            </w:r>
          </w:p>
          <w:p w14:paraId="627B21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28BF82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3.04.30 г.</w:t>
            </w:r>
          </w:p>
          <w:p w14:paraId="55EC68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0D5D2E0" w14:textId="77777777">
        <w:trPr>
          <w:trHeight w:val="538"/>
        </w:trPr>
        <w:tc>
          <w:tcPr>
            <w:tcW w:w="413" w:type="dxa"/>
            <w:tcBorders>
              <w:top w:val="single" w:sz="6" w:space="0" w:color="auto"/>
              <w:left w:val="single" w:sz="6" w:space="0" w:color="auto"/>
              <w:bottom w:val="single" w:sz="6" w:space="0" w:color="auto"/>
              <w:right w:val="single" w:sz="6" w:space="0" w:color="auto"/>
            </w:tcBorders>
          </w:tcPr>
          <w:p w14:paraId="50F3E6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37D311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374EDB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ЛИНКЕ-ГОФМАН Трактор на резиновой гусенице. 60 НР. 24-30 км/ч. Бензин.</w:t>
            </w:r>
          </w:p>
          <w:p w14:paraId="673A5F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568E7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Германия</w:t>
            </w:r>
          </w:p>
          <w:p w14:paraId="647397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17AF2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24BFE7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12B74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w:t>
            </w:r>
            <w:r w:rsidRPr="00507A31">
              <w:rPr>
                <w:color w:val="000000" w:themeColor="text1"/>
                <w:sz w:val="16"/>
                <w:szCs w:val="16"/>
              </w:rPr>
              <w:softHyphen/>
              <w:t>ный</w:t>
            </w:r>
          </w:p>
          <w:p w14:paraId="2B32FF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E93B2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Висхом</w:t>
            </w:r>
          </w:p>
          <w:p w14:paraId="6336A2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20692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3.04.30 г.</w:t>
            </w:r>
          </w:p>
          <w:p w14:paraId="11414A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8767F84" w14:textId="77777777">
        <w:trPr>
          <w:trHeight w:val="701"/>
        </w:trPr>
        <w:tc>
          <w:tcPr>
            <w:tcW w:w="413" w:type="dxa"/>
            <w:tcBorders>
              <w:top w:val="single" w:sz="6" w:space="0" w:color="auto"/>
              <w:left w:val="single" w:sz="6" w:space="0" w:color="auto"/>
              <w:bottom w:val="single" w:sz="6" w:space="0" w:color="auto"/>
              <w:right w:val="single" w:sz="6" w:space="0" w:color="auto"/>
            </w:tcBorders>
          </w:tcPr>
          <w:p w14:paraId="760792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1B7BAD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2B471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МАФФЕЙ Быстроходный тягач колесный с добавочным приспособлением для гусеничного хода и прицепом 60 НР.</w:t>
            </w:r>
          </w:p>
          <w:p w14:paraId="0F6FAE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A843B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Германия</w:t>
            </w:r>
          </w:p>
          <w:p w14:paraId="4DE8DA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90039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18AC79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BCCE4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w:t>
            </w:r>
            <w:r w:rsidRPr="00507A31">
              <w:rPr>
                <w:color w:val="000000" w:themeColor="text1"/>
                <w:sz w:val="16"/>
                <w:szCs w:val="16"/>
              </w:rPr>
              <w:softHyphen/>
              <w:t>ный</w:t>
            </w:r>
          </w:p>
          <w:p w14:paraId="6E798A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7C2A9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НАМИ</w:t>
            </w:r>
          </w:p>
          <w:p w14:paraId="11E63C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89A9E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3.04.30 г.</w:t>
            </w:r>
          </w:p>
          <w:p w14:paraId="6EB8F4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5502BEE" w14:textId="77777777">
        <w:trPr>
          <w:trHeight w:val="538"/>
        </w:trPr>
        <w:tc>
          <w:tcPr>
            <w:tcW w:w="413" w:type="dxa"/>
            <w:tcBorders>
              <w:top w:val="single" w:sz="6" w:space="0" w:color="auto"/>
              <w:left w:val="single" w:sz="6" w:space="0" w:color="auto"/>
              <w:bottom w:val="single" w:sz="6" w:space="0" w:color="auto"/>
              <w:right w:val="single" w:sz="6" w:space="0" w:color="auto"/>
            </w:tcBorders>
          </w:tcPr>
          <w:p w14:paraId="0506D6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725353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1B3E5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ШЕНАР-ВАЛЬКЕР Тягач 4 колесный на пневматиках с лебедкой.</w:t>
            </w:r>
          </w:p>
          <w:p w14:paraId="6D875A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CAEB2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Франция</w:t>
            </w:r>
          </w:p>
          <w:p w14:paraId="55125C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C67FC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7C48CA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F983C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w:t>
            </w:r>
            <w:r w:rsidRPr="00507A31">
              <w:rPr>
                <w:color w:val="000000" w:themeColor="text1"/>
                <w:sz w:val="16"/>
                <w:szCs w:val="16"/>
              </w:rPr>
              <w:softHyphen/>
              <w:t>ный</w:t>
            </w:r>
          </w:p>
          <w:p w14:paraId="5E5370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2033F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НАМИ</w:t>
            </w:r>
          </w:p>
          <w:p w14:paraId="11B619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11FBC0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27.03.30 г.</w:t>
            </w:r>
          </w:p>
          <w:p w14:paraId="021C5E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84CCD87" w14:textId="77777777">
        <w:trPr>
          <w:trHeight w:val="1066"/>
        </w:trPr>
        <w:tc>
          <w:tcPr>
            <w:tcW w:w="413" w:type="dxa"/>
            <w:tcBorders>
              <w:top w:val="single" w:sz="6" w:space="0" w:color="auto"/>
              <w:left w:val="single" w:sz="6" w:space="0" w:color="auto"/>
              <w:bottom w:val="single" w:sz="6" w:space="0" w:color="auto"/>
              <w:right w:val="single" w:sz="6" w:space="0" w:color="auto"/>
            </w:tcBorders>
          </w:tcPr>
          <w:p w14:paraId="3FB206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p w14:paraId="2BBCDA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72267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ШЕНАР-ВАЛЬКЕР Тягач 6 колесный на пневматиках с приспособлением, гусеничного хода к ним, прицеп на 5 тонн прицеп на 10 тонн</w:t>
            </w:r>
          </w:p>
          <w:p w14:paraId="4DDD03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DB99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Франция</w:t>
            </w:r>
          </w:p>
          <w:p w14:paraId="2DA025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3BD0C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368F96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1 1</w:t>
            </w:r>
          </w:p>
          <w:p w14:paraId="3D8834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D4538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w:t>
            </w:r>
            <w:r w:rsidRPr="00507A31">
              <w:rPr>
                <w:color w:val="000000" w:themeColor="text1"/>
                <w:sz w:val="16"/>
                <w:szCs w:val="16"/>
              </w:rPr>
              <w:softHyphen/>
              <w:t>ный</w:t>
            </w:r>
          </w:p>
          <w:p w14:paraId="53925D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2A2D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НАМИ</w:t>
            </w:r>
          </w:p>
          <w:p w14:paraId="3A0D6C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3003D0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D60DE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ED2488A" w14:textId="77777777">
        <w:trPr>
          <w:trHeight w:val="365"/>
        </w:trPr>
        <w:tc>
          <w:tcPr>
            <w:tcW w:w="413" w:type="dxa"/>
            <w:tcBorders>
              <w:top w:val="single" w:sz="6" w:space="0" w:color="auto"/>
              <w:left w:val="single" w:sz="6" w:space="0" w:color="auto"/>
              <w:bottom w:val="single" w:sz="6" w:space="0" w:color="auto"/>
              <w:right w:val="single" w:sz="6" w:space="0" w:color="auto"/>
            </w:tcBorders>
          </w:tcPr>
          <w:p w14:paraId="25756C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w:t>
            </w:r>
          </w:p>
          <w:p w14:paraId="24D4A2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C5F25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МЕК Тягач гусеничный 3-5 тонн.</w:t>
            </w:r>
          </w:p>
          <w:p w14:paraId="393C76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AD8A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Америка</w:t>
            </w:r>
          </w:p>
          <w:p w14:paraId="1FA23C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E023E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272DA5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D2321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w:t>
            </w:r>
            <w:r w:rsidRPr="00507A31">
              <w:rPr>
                <w:color w:val="000000" w:themeColor="text1"/>
                <w:sz w:val="16"/>
                <w:szCs w:val="16"/>
              </w:rPr>
              <w:softHyphen/>
              <w:t>ный</w:t>
            </w:r>
          </w:p>
          <w:p w14:paraId="67C228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EA9A3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Висхом</w:t>
            </w:r>
          </w:p>
          <w:p w14:paraId="6CFDF2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653F6D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10.04.30 г.</w:t>
            </w:r>
          </w:p>
          <w:p w14:paraId="4D4F1B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4F769C7" w14:textId="77777777">
        <w:trPr>
          <w:trHeight w:val="355"/>
        </w:trPr>
        <w:tc>
          <w:tcPr>
            <w:tcW w:w="413" w:type="dxa"/>
            <w:tcBorders>
              <w:top w:val="single" w:sz="6" w:space="0" w:color="auto"/>
              <w:left w:val="single" w:sz="6" w:space="0" w:color="auto"/>
              <w:bottom w:val="single" w:sz="6" w:space="0" w:color="auto"/>
              <w:right w:val="single" w:sz="6" w:space="0" w:color="auto"/>
            </w:tcBorders>
          </w:tcPr>
          <w:p w14:paraId="1435C3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w:t>
            </w:r>
          </w:p>
          <w:p w14:paraId="6D86D4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688D7C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МЕК Тягач гусеничный 7,5 тонн, 23 км/ч.</w:t>
            </w:r>
          </w:p>
          <w:p w14:paraId="16ED30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7827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Америка</w:t>
            </w:r>
          </w:p>
          <w:p w14:paraId="309FF4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36571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65C7C6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C1535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w:t>
            </w:r>
            <w:r w:rsidRPr="00507A31">
              <w:rPr>
                <w:color w:val="000000" w:themeColor="text1"/>
                <w:sz w:val="16"/>
                <w:szCs w:val="16"/>
              </w:rPr>
              <w:softHyphen/>
              <w:t>ный</w:t>
            </w:r>
          </w:p>
          <w:p w14:paraId="14B5DF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057EF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Висхом</w:t>
            </w:r>
          </w:p>
          <w:p w14:paraId="6878B4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79C1F7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10.04.30 г.</w:t>
            </w:r>
          </w:p>
          <w:p w14:paraId="214CA8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6A730BA" w14:textId="77777777">
        <w:trPr>
          <w:trHeight w:val="720"/>
        </w:trPr>
        <w:tc>
          <w:tcPr>
            <w:tcW w:w="413" w:type="dxa"/>
            <w:tcBorders>
              <w:top w:val="single" w:sz="6" w:space="0" w:color="auto"/>
              <w:left w:val="single" w:sz="6" w:space="0" w:color="auto"/>
              <w:bottom w:val="single" w:sz="6" w:space="0" w:color="auto"/>
              <w:right w:val="single" w:sz="6" w:space="0" w:color="auto"/>
            </w:tcBorders>
          </w:tcPr>
          <w:p w14:paraId="72A1A6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w:t>
            </w:r>
          </w:p>
          <w:p w14:paraId="3E8E7F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BCAFA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СОМУА Трактор полугусеничный 60 НР п/нагруз. 23 км/ч б/нагруз. 45 км/ч 2,5 тонн</w:t>
            </w:r>
          </w:p>
          <w:p w14:paraId="34ED5E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1617E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Франция</w:t>
            </w:r>
          </w:p>
          <w:p w14:paraId="644875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AC128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6F456A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51F09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w:t>
            </w:r>
            <w:r w:rsidRPr="00507A31">
              <w:rPr>
                <w:color w:val="000000" w:themeColor="text1"/>
                <w:sz w:val="16"/>
                <w:szCs w:val="16"/>
              </w:rPr>
              <w:softHyphen/>
              <w:t>ный</w:t>
            </w:r>
          </w:p>
          <w:p w14:paraId="22BD25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51DF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Висхом</w:t>
            </w:r>
          </w:p>
          <w:p w14:paraId="58F06D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1AB33F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Сведение не получено</w:t>
            </w:r>
          </w:p>
          <w:p w14:paraId="6987B7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A044740" w14:textId="77777777">
        <w:trPr>
          <w:trHeight w:val="528"/>
        </w:trPr>
        <w:tc>
          <w:tcPr>
            <w:tcW w:w="413" w:type="dxa"/>
            <w:tcBorders>
              <w:top w:val="single" w:sz="6" w:space="0" w:color="auto"/>
              <w:left w:val="single" w:sz="6" w:space="0" w:color="auto"/>
              <w:bottom w:val="single" w:sz="6" w:space="0" w:color="auto"/>
              <w:right w:val="single" w:sz="6" w:space="0" w:color="auto"/>
            </w:tcBorders>
          </w:tcPr>
          <w:p w14:paraId="270503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w:t>
            </w:r>
          </w:p>
          <w:p w14:paraId="065874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A84A1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СИТРОЕН-ХИНСТИН Трактор полугусеничный 40 НР - 2 тонн ЗОкм/ч</w:t>
            </w:r>
          </w:p>
          <w:p w14:paraId="1D244B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4674E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Франция</w:t>
            </w:r>
          </w:p>
          <w:p w14:paraId="5A311C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92F94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21697B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6A99A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w:t>
            </w:r>
            <w:r w:rsidRPr="00507A31">
              <w:rPr>
                <w:color w:val="000000" w:themeColor="text1"/>
                <w:sz w:val="16"/>
                <w:szCs w:val="16"/>
              </w:rPr>
              <w:softHyphen/>
              <w:t>ный</w:t>
            </w:r>
          </w:p>
          <w:p w14:paraId="139B8A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11CA0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Висхом</w:t>
            </w:r>
          </w:p>
          <w:p w14:paraId="52508A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76E696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Сведение не получено</w:t>
            </w:r>
          </w:p>
          <w:p w14:paraId="0738D3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1104677" w14:textId="77777777">
        <w:trPr>
          <w:trHeight w:val="710"/>
        </w:trPr>
        <w:tc>
          <w:tcPr>
            <w:tcW w:w="413" w:type="dxa"/>
            <w:tcBorders>
              <w:top w:val="single" w:sz="6" w:space="0" w:color="auto"/>
              <w:left w:val="single" w:sz="6" w:space="0" w:color="auto"/>
              <w:bottom w:val="single" w:sz="6" w:space="0" w:color="auto"/>
              <w:right w:val="single" w:sz="6" w:space="0" w:color="auto"/>
            </w:tcBorders>
          </w:tcPr>
          <w:p w14:paraId="012E33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6473BF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477950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ДАЙМОНД Шасси трехосное мод. 1600 с двигателем «Геркулес» 4,5 х 4,75 6 цил.</w:t>
            </w:r>
          </w:p>
          <w:p w14:paraId="141AC3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1D5FC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Америка</w:t>
            </w:r>
          </w:p>
          <w:p w14:paraId="69452F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E3CB3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19BCE3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E79ED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Граж</w:t>
            </w:r>
            <w:r w:rsidRPr="00507A31">
              <w:rPr>
                <w:color w:val="000000" w:themeColor="text1"/>
                <w:sz w:val="16"/>
                <w:szCs w:val="16"/>
              </w:rPr>
              <w:softHyphen/>
              <w:t>данский</w:t>
            </w:r>
          </w:p>
          <w:p w14:paraId="268EB7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C3270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НАМИ</w:t>
            </w:r>
          </w:p>
          <w:p w14:paraId="462374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5933F1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Отгружено 19.03 п/х. Адельф-Леонгард 15.01.30 г.</w:t>
            </w:r>
          </w:p>
          <w:p w14:paraId="38B41E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CFC81D5" w14:textId="77777777">
        <w:trPr>
          <w:trHeight w:val="365"/>
        </w:trPr>
        <w:tc>
          <w:tcPr>
            <w:tcW w:w="413" w:type="dxa"/>
            <w:tcBorders>
              <w:top w:val="single" w:sz="6" w:space="0" w:color="auto"/>
              <w:left w:val="single" w:sz="6" w:space="0" w:color="auto"/>
              <w:bottom w:val="single" w:sz="6" w:space="0" w:color="auto"/>
              <w:right w:val="single" w:sz="6" w:space="0" w:color="auto"/>
            </w:tcBorders>
          </w:tcPr>
          <w:p w14:paraId="186C49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w:t>
            </w:r>
          </w:p>
          <w:p w14:paraId="0D3B61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3A1637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АУТОКАР Двухосные шасси с кабиной 3,5 тонн</w:t>
            </w:r>
          </w:p>
          <w:p w14:paraId="015E97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F0BE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Америка</w:t>
            </w:r>
          </w:p>
          <w:p w14:paraId="42C52F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1BBAA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379B5C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E2B90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«Я-5»</w:t>
            </w:r>
          </w:p>
          <w:p w14:paraId="4847BF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382F7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НАМИ</w:t>
            </w:r>
          </w:p>
          <w:p w14:paraId="5269D6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15CBA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D7282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FB549B2" w14:textId="77777777">
        <w:trPr>
          <w:trHeight w:val="528"/>
        </w:trPr>
        <w:tc>
          <w:tcPr>
            <w:tcW w:w="413" w:type="dxa"/>
            <w:tcBorders>
              <w:top w:val="single" w:sz="6" w:space="0" w:color="auto"/>
              <w:left w:val="single" w:sz="6" w:space="0" w:color="auto"/>
              <w:bottom w:val="single" w:sz="6" w:space="0" w:color="auto"/>
              <w:right w:val="single" w:sz="6" w:space="0" w:color="auto"/>
            </w:tcBorders>
          </w:tcPr>
          <w:p w14:paraId="0E0DB0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w:t>
            </w:r>
          </w:p>
          <w:p w14:paraId="3E3457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91070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ТАТРА Шасси трехосное 1,5 тонн (ориентировочно)</w:t>
            </w:r>
          </w:p>
          <w:p w14:paraId="06AC5D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D7947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Чехосло</w:t>
            </w:r>
            <w:r w:rsidRPr="00507A31">
              <w:rPr>
                <w:color w:val="000000" w:themeColor="text1"/>
                <w:sz w:val="16"/>
                <w:szCs w:val="16"/>
              </w:rPr>
              <w:softHyphen/>
              <w:t>вакия</w:t>
            </w:r>
          </w:p>
          <w:p w14:paraId="50AE88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52A5A6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37FCBE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62B88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F2C02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7372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НАМИ</w:t>
            </w:r>
          </w:p>
          <w:p w14:paraId="25EDE3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3239E5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Сведение не получено</w:t>
            </w:r>
          </w:p>
          <w:p w14:paraId="723754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DAE4FB8" w14:textId="77777777">
        <w:trPr>
          <w:trHeight w:val="355"/>
        </w:trPr>
        <w:tc>
          <w:tcPr>
            <w:tcW w:w="413" w:type="dxa"/>
            <w:tcBorders>
              <w:top w:val="single" w:sz="6" w:space="0" w:color="auto"/>
              <w:left w:val="single" w:sz="6" w:space="0" w:color="auto"/>
              <w:bottom w:val="single" w:sz="6" w:space="0" w:color="auto"/>
              <w:right w:val="single" w:sz="6" w:space="0" w:color="auto"/>
            </w:tcBorders>
          </w:tcPr>
          <w:p w14:paraId="78D922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w:t>
            </w:r>
          </w:p>
          <w:p w14:paraId="3D1BFD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5CCE0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МОРЕЛАНД Шасси трехосное</w:t>
            </w:r>
          </w:p>
          <w:p w14:paraId="4FC1BC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65AE9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Америка</w:t>
            </w:r>
          </w:p>
          <w:p w14:paraId="78AC42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37BAA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3A4AD4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3BEF8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Граж</w:t>
            </w:r>
            <w:r w:rsidRPr="00507A31">
              <w:rPr>
                <w:color w:val="000000" w:themeColor="text1"/>
                <w:sz w:val="16"/>
                <w:szCs w:val="16"/>
              </w:rPr>
              <w:softHyphen/>
              <w:t>данский</w:t>
            </w:r>
          </w:p>
          <w:p w14:paraId="304C08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FF08B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НАМИ</w:t>
            </w:r>
          </w:p>
          <w:p w14:paraId="7A2EE5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7419C1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B300E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E7D8245" w14:textId="77777777">
        <w:trPr>
          <w:trHeight w:val="365"/>
        </w:trPr>
        <w:tc>
          <w:tcPr>
            <w:tcW w:w="413" w:type="dxa"/>
            <w:tcBorders>
              <w:top w:val="single" w:sz="6" w:space="0" w:color="auto"/>
              <w:left w:val="single" w:sz="6" w:space="0" w:color="auto"/>
              <w:bottom w:val="nil"/>
              <w:right w:val="single" w:sz="6" w:space="0" w:color="auto"/>
            </w:tcBorders>
          </w:tcPr>
          <w:p w14:paraId="43350A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w:t>
            </w:r>
          </w:p>
          <w:p w14:paraId="64EB52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32C238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МОРЕЛАНД Шасси трехосное мод.13.Д.7</w:t>
            </w:r>
          </w:p>
          <w:p w14:paraId="600929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A87DD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Америка</w:t>
            </w:r>
          </w:p>
          <w:p w14:paraId="294DE3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C0EE5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527D52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CC7E7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Граж</w:t>
            </w:r>
            <w:r w:rsidRPr="00507A31">
              <w:rPr>
                <w:color w:val="000000" w:themeColor="text1"/>
                <w:sz w:val="16"/>
                <w:szCs w:val="16"/>
              </w:rPr>
              <w:softHyphen/>
              <w:t>данский</w:t>
            </w:r>
          </w:p>
          <w:p w14:paraId="0C17DC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A7265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НАМИ</w:t>
            </w:r>
          </w:p>
          <w:p w14:paraId="61BC15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07834E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35567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285428A" w14:textId="77777777">
        <w:trPr>
          <w:trHeight w:val="557"/>
        </w:trPr>
        <w:tc>
          <w:tcPr>
            <w:tcW w:w="413" w:type="dxa"/>
            <w:tcBorders>
              <w:top w:val="nil"/>
              <w:left w:val="single" w:sz="6" w:space="0" w:color="auto"/>
              <w:bottom w:val="single" w:sz="6" w:space="0" w:color="auto"/>
              <w:right w:val="single" w:sz="6" w:space="0" w:color="auto"/>
            </w:tcBorders>
          </w:tcPr>
          <w:p w14:paraId="7FFB38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63AFAF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65DDFA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АУТОКАР Мост к трехоске. Шасси монтируется Тимкиным.</w:t>
            </w:r>
          </w:p>
          <w:p w14:paraId="0FE869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222E7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Америка</w:t>
            </w:r>
          </w:p>
          <w:p w14:paraId="701426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nil"/>
              <w:right w:val="single" w:sz="6" w:space="0" w:color="auto"/>
            </w:tcBorders>
          </w:tcPr>
          <w:p w14:paraId="502310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6C4844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B729C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w:t>
            </w:r>
            <w:r w:rsidRPr="00507A31">
              <w:rPr>
                <w:color w:val="000000" w:themeColor="text1"/>
                <w:sz w:val="16"/>
                <w:szCs w:val="16"/>
              </w:rPr>
              <w:softHyphen/>
              <w:t>ный</w:t>
            </w:r>
          </w:p>
          <w:p w14:paraId="66E959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11E15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НАМИ Прибыл на завод №1</w:t>
            </w:r>
          </w:p>
          <w:p w14:paraId="1A3712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DC1CE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F2B13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5D5689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Препровождаем Вам для сведения</w:t>
      </w:r>
    </w:p>
    <w:p w14:paraId="5BF5B1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255. Л. 31. Подлинник.</w:t>
      </w:r>
    </w:p>
    <w:p w14:paraId="7BA446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2 отдела Специального управления (11210).</w:t>
      </w:r>
    </w:p>
    <w:p w14:paraId="683C82F4" w14:textId="77777777" w:rsidR="00537E5F" w:rsidRPr="00507A31" w:rsidRDefault="00537E5F" w:rsidP="00507A31">
      <w:pPr>
        <w:autoSpaceDE w:val="0"/>
        <w:autoSpaceDN w:val="0"/>
        <w:adjustRightInd w:val="0"/>
        <w:jc w:val="both"/>
        <w:rPr>
          <w:color w:val="000000" w:themeColor="text1"/>
          <w:sz w:val="16"/>
          <w:szCs w:val="16"/>
        </w:rPr>
      </w:pPr>
    </w:p>
    <w:p w14:paraId="7478C73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8809859" w14:textId="77777777" w:rsidR="00537E5F" w:rsidRPr="00507A31" w:rsidRDefault="00537E5F" w:rsidP="00507A31">
      <w:pPr>
        <w:autoSpaceDE w:val="0"/>
        <w:autoSpaceDN w:val="0"/>
        <w:adjustRightInd w:val="0"/>
        <w:jc w:val="both"/>
        <w:rPr>
          <w:iCs/>
          <w:color w:val="000000" w:themeColor="text1"/>
          <w:sz w:val="16"/>
          <w:szCs w:val="16"/>
        </w:rPr>
      </w:pPr>
    </w:p>
    <w:p w14:paraId="58616DDD" w14:textId="77777777" w:rsidR="00A27478" w:rsidRPr="00507A31" w:rsidRDefault="00A27478" w:rsidP="00507A31">
      <w:pPr>
        <w:jc w:val="both"/>
        <w:rPr>
          <w:color w:val="000000" w:themeColor="text1"/>
          <w:sz w:val="16"/>
          <w:szCs w:val="16"/>
          <w:shd w:val="clear" w:color="auto" w:fill="FFFFFF"/>
        </w:rPr>
      </w:pPr>
      <w:r w:rsidRPr="00507A31">
        <w:rPr>
          <w:color w:val="000000" w:themeColor="text1"/>
          <w:sz w:val="16"/>
          <w:szCs w:val="16"/>
          <w:shd w:val="clear" w:color="auto" w:fill="FFFFFF"/>
        </w:rPr>
        <w:t>5 мая 1930 в телеграмме на имя помощника директора «Большевика» по технической части Файберга и главного инженера Клемма звучало: «Ко мне поступил доклад о безобразном даже более - преступном отношении руководства завода по отношению прикомандированных специалистов Круппа и 2 инженеров немцев, приглашенных к вам на работу. Вы являетесь в первую очередь ответственными за правильное использование указанных работников и не принимаете никаких мер, как ответственные технические руководители завода, ставя Вам на вид за такое отношение, приказываю принять решительные меры полного использования, находящихся на В заводе иностранных специалистов, повторный контроль со стороны Объединения и обнаружения подобного рода упущений повлечет за собой предания Вас к судебной ответственности.Начальник Оружобъединения Урываев» (18976).</w:t>
      </w:r>
    </w:p>
    <w:p w14:paraId="2CC0A7D4" w14:textId="77777777" w:rsidR="00A27478" w:rsidRPr="00507A31" w:rsidRDefault="00A27478" w:rsidP="00507A31">
      <w:pPr>
        <w:jc w:val="both"/>
        <w:rPr>
          <w:color w:val="000000" w:themeColor="text1"/>
          <w:sz w:val="16"/>
          <w:szCs w:val="16"/>
          <w:shd w:val="clear" w:color="auto" w:fill="FFFFFF"/>
        </w:rPr>
      </w:pPr>
    </w:p>
    <w:p w14:paraId="75F343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мая 1930 г. был подготовлен ПРОТОКОЛ СОВЕЩАНИЯ УММ ОБ ОРГАНИЗАЦИИ ИСПЫТАНИЙ АБТ ТЕХНИКИ НА 1930 г.</w:t>
      </w:r>
    </w:p>
    <w:p w14:paraId="106273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2C03FE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Присутствовали: Начальник УММ т. Калиновский, начальник ТУ УММ тов. Бокис, ВРИД пред</w:t>
      </w:r>
      <w:r w:rsidRPr="00507A31">
        <w:rPr>
          <w:color w:val="000000" w:themeColor="text1"/>
          <w:sz w:val="16"/>
          <w:szCs w:val="16"/>
        </w:rPr>
        <w:softHyphen/>
        <w:t>седателя НТК т. Озеров, ВРИД председателя второй секции НТК т. Свиридов, ВРИД председателя пятой секции НТК т. Келлер, Начальник НИИТ Полигона ВТУ Шатагин.</w:t>
      </w:r>
    </w:p>
    <w:p w14:paraId="304D92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 Калиновский, секретарь - Свиридов.</w:t>
      </w:r>
    </w:p>
    <w:p w14:paraId="2AFF00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Постановили:</w:t>
      </w:r>
    </w:p>
    <w:p w14:paraId="13BAA3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Предложить председателю НТК УММ совместно с председателями секций не позднее 10 мая сего года посетить намеченный район будущего Полигона УММ для окончательного заключения по выбранной местности.</w:t>
      </w:r>
    </w:p>
    <w:p w14:paraId="7A12A0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Просить начальника Полигона ВТУ т. Шатагина принять участие в указанной поездке по ос</w:t>
      </w:r>
      <w:r w:rsidRPr="00507A31">
        <w:rPr>
          <w:color w:val="000000" w:themeColor="text1"/>
          <w:sz w:val="16"/>
          <w:szCs w:val="16"/>
        </w:rPr>
        <w:softHyphen/>
        <w:t>мотру района Полигона УММ для консультации.</w:t>
      </w:r>
    </w:p>
    <w:p w14:paraId="37AD06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Считать, что частичное проведение испытаний на Полигоне УММ будет возможно лишь в но</w:t>
      </w:r>
      <w:r w:rsidRPr="00507A31">
        <w:rPr>
          <w:color w:val="000000" w:themeColor="text1"/>
          <w:sz w:val="16"/>
          <w:szCs w:val="16"/>
        </w:rPr>
        <w:softHyphen/>
        <w:t>ябре месяце.</w:t>
      </w:r>
    </w:p>
    <w:p w14:paraId="03D735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 связи с этим, считать необходимым произвести следующие работы по развертыванию и под</w:t>
      </w:r>
      <w:r w:rsidRPr="00507A31">
        <w:rPr>
          <w:color w:val="000000" w:themeColor="text1"/>
          <w:sz w:val="16"/>
          <w:szCs w:val="16"/>
        </w:rPr>
        <w:softHyphen/>
        <w:t>готовке НИИТ Полигоном ВТУ для проведения испытаний по заданиям с УММ на 1930 год:</w:t>
      </w:r>
    </w:p>
    <w:p w14:paraId="722C49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окончить начатую НИИТ Полигоном ВТУ постройку гаража общей стоимостью в 74000 руб., что потребует дополнительных ассигнований 44000 руб.;</w:t>
      </w:r>
    </w:p>
    <w:p w14:paraId="280EFF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произвести жилищное строительство (удешевленного типа) для работников, связанных с ис</w:t>
      </w:r>
      <w:r w:rsidRPr="00507A31">
        <w:rPr>
          <w:color w:val="000000" w:themeColor="text1"/>
          <w:sz w:val="16"/>
          <w:szCs w:val="16"/>
        </w:rPr>
        <w:softHyphen/>
        <w:t>пытаниями по заданиям УММ (на 20 человек), общей стоимостью 25000 руб.;</w:t>
      </w:r>
    </w:p>
    <w:p w14:paraId="627B9A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упорядочить хранение горючих материалов (бензохранилище - 10000 руб.).</w:t>
      </w:r>
    </w:p>
    <w:p w14:paraId="3AF372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Для этого:</w:t>
      </w:r>
    </w:p>
    <w:p w14:paraId="28871F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УММ войти с ходатайством к Зампреду РВС СССР о перечислении 44000 руб. из параграфа 30 в параграф 25 с переводом этой суммы Полигону ВТУ в обеспечение строительства (необходимого на период 1930 г.) для работ, связанных с испытаниями образцов УММ;</w:t>
      </w:r>
    </w:p>
    <w:p w14:paraId="62D8D7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УММ просит ВСУ разрешить ВТУ под переходящую задолженность на 1930/31 г. 35000 руб. так</w:t>
      </w:r>
      <w:r w:rsidRPr="00507A31">
        <w:rPr>
          <w:color w:val="000000" w:themeColor="text1"/>
          <w:sz w:val="16"/>
          <w:szCs w:val="16"/>
        </w:rPr>
        <w:softHyphen/>
        <w:t>же необходимых для работ по строительству и обеспечивающие развертывание испытаний подраз</w:t>
      </w:r>
      <w:r w:rsidRPr="00507A31">
        <w:rPr>
          <w:color w:val="000000" w:themeColor="text1"/>
          <w:sz w:val="16"/>
          <w:szCs w:val="16"/>
        </w:rPr>
        <w:softHyphen/>
        <w:t>делениям УММ на 1930 г.</w:t>
      </w:r>
    </w:p>
    <w:p w14:paraId="33CEF9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Ввиду того, что указанное развертывание работ на НИИТ Полигоне ВТУ не может полностью обеспечить испытания всех образцов имущества, УММ считает необходимым организовать две ячейки для испытаний:</w:t>
      </w:r>
    </w:p>
    <w:p w14:paraId="264954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для автомото- и автобронеимущества - на НИИТ Полигоне ВТУ;</w:t>
      </w:r>
    </w:p>
    <w:p w14:paraId="6630BD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для тракторного и танкового имущества - на складе №37.</w:t>
      </w:r>
    </w:p>
    <w:p w14:paraId="76E9DE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Считать необходимым произвести укомплектование указанных ячеек на 1930 г. в следующем составе:</w:t>
      </w:r>
    </w:p>
    <w:p w14:paraId="0509E5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Полигон ВТУ.</w:t>
      </w:r>
    </w:p>
    <w:p w14:paraId="67AFF2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Руководитель испытаний - Кульчицкий, исполнители - Власов, Штейнер.</w:t>
      </w:r>
    </w:p>
    <w:p w14:paraId="63F425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Шоферов - 10, механиков - 2, счетоводов - 1, фотограф - 1 (с исполнением обязанностей при ис</w:t>
      </w:r>
      <w:r w:rsidRPr="00507A31">
        <w:rPr>
          <w:color w:val="000000" w:themeColor="text1"/>
          <w:sz w:val="16"/>
          <w:szCs w:val="16"/>
        </w:rPr>
        <w:softHyphen/>
        <w:t>пытательной ячейке на складе).</w:t>
      </w:r>
    </w:p>
    <w:p w14:paraId="285AFA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Склад №37.</w:t>
      </w:r>
    </w:p>
    <w:p w14:paraId="453675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Руководитель испытаний - Гинзбург, исполнители - Шилов, Бржевский, Казанский. Водителей - 6, механиков - 1.</w:t>
      </w:r>
    </w:p>
    <w:p w14:paraId="5550EC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перечисленного выше личного состава в дополнение к имеющимся нужно затребовать в УММ:</w:t>
      </w:r>
    </w:p>
    <w:p w14:paraId="1C83F3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Власова - военного стипендиата, оканчивает Ломоносовский институт;</w:t>
      </w:r>
    </w:p>
    <w:p w14:paraId="0D0EE1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Штейпера - командира одного из подразделений Автошколы (г. Москва);</w:t>
      </w:r>
    </w:p>
    <w:p w14:paraId="0EE45D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Гинзбурга - инженера, находящегося в резерве РККА на заводе «Большевик» (Ленинград);</w:t>
      </w:r>
    </w:p>
    <w:p w14:paraId="69EA47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Шилова- со склада №37;</w:t>
      </w:r>
    </w:p>
    <w:p w14:paraId="5BD560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Бржевского;</w:t>
      </w:r>
    </w:p>
    <w:p w14:paraId="23E40A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Тов. Казанского с Полигона ВТУ;</w:t>
      </w:r>
    </w:p>
    <w:p w14:paraId="7E7F67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Водителей - 10, механиков - 4, фотографа - 1, счетовода - 1, делопроизводителя-переписчика - 1.</w:t>
      </w:r>
    </w:p>
    <w:p w14:paraId="78BD79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В соответствии с пунктом 7 оплату вольнонаемных шоферов, водителей, механиков, счетовода и фотографа производить из операционных кредитов УММ.</w:t>
      </w:r>
    </w:p>
    <w:p w14:paraId="17F9DA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Оклады содержания шоферам и водителям в зависимости от квалификации и стажа установить до 225 руб., при условии заключения договоров на ненормированный рабочий день, принимая во внимание условия работы испытательного порядка.</w:t>
      </w:r>
    </w:p>
    <w:p w14:paraId="6745DC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Оклады содержания механикам установить до 275 руб., в зависимости от квалификации и ста</w:t>
      </w:r>
      <w:r w:rsidRPr="00507A31">
        <w:rPr>
          <w:color w:val="000000" w:themeColor="text1"/>
          <w:sz w:val="16"/>
          <w:szCs w:val="16"/>
        </w:rPr>
        <w:softHyphen/>
        <w:t>жа, при условии заключения договора на ненормированный рабочий день.</w:t>
      </w:r>
    </w:p>
    <w:p w14:paraId="7E2574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Просить начальника НИИТ Полигона ВТУ, согласно пункту 7 раздела «а», составить смету на содержание личного состава в двухдневный срок.</w:t>
      </w:r>
    </w:p>
    <w:p w14:paraId="7DEA69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Составление сметы по пункту 7 раздел «б» поручается председателям первой и четвертой секций в трехдневный срок.</w:t>
      </w:r>
    </w:p>
    <w:p w14:paraId="24ECF5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Калиновский</w:t>
      </w:r>
    </w:p>
    <w:p w14:paraId="319F30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Секретарь Свиридов</w:t>
      </w:r>
    </w:p>
    <w:p w14:paraId="430F26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РГВА.Ф. 31811. Оп. 1. Д. 368. Л.. 39. Копия (11210).</w:t>
      </w:r>
    </w:p>
    <w:p w14:paraId="374B4184" w14:textId="77777777" w:rsidR="00537E5F" w:rsidRPr="00507A31" w:rsidRDefault="00537E5F" w:rsidP="00507A31">
      <w:pPr>
        <w:autoSpaceDE w:val="0"/>
        <w:autoSpaceDN w:val="0"/>
        <w:adjustRightInd w:val="0"/>
        <w:jc w:val="both"/>
        <w:rPr>
          <w:color w:val="000000" w:themeColor="text1"/>
          <w:sz w:val="16"/>
          <w:szCs w:val="16"/>
        </w:rPr>
      </w:pPr>
    </w:p>
    <w:p w14:paraId="2A627C8D" w14:textId="77777777" w:rsidR="007F65A4" w:rsidRPr="00507A31" w:rsidRDefault="007F65A4" w:rsidP="00507A31">
      <w:pPr>
        <w:jc w:val="both"/>
        <w:rPr>
          <w:color w:val="0070C0"/>
          <w:sz w:val="16"/>
          <w:szCs w:val="16"/>
        </w:rPr>
      </w:pPr>
      <w:bookmarkStart w:id="45" w:name="_Hlk95298434"/>
      <w:r w:rsidRPr="00507A31">
        <w:rPr>
          <w:color w:val="0070C0"/>
          <w:sz w:val="16"/>
          <w:szCs w:val="16"/>
        </w:rPr>
        <w:t>5 мая 1930 состоялось заседание ПБ (Протокол № 125. Особый № 123).</w:t>
      </w:r>
    </w:p>
    <w:bookmarkEnd w:id="45"/>
    <w:p w14:paraId="1F50EA24" w14:textId="77777777" w:rsidR="007F65A4" w:rsidRPr="00507A31" w:rsidRDefault="007F65A4" w:rsidP="00507A31">
      <w:pPr>
        <w:jc w:val="both"/>
        <w:rPr>
          <w:color w:val="0070C0"/>
          <w:sz w:val="16"/>
          <w:szCs w:val="16"/>
        </w:rPr>
      </w:pPr>
      <w:r w:rsidRPr="00507A31">
        <w:rPr>
          <w:color w:val="0070C0"/>
          <w:sz w:val="16"/>
          <w:szCs w:val="16"/>
        </w:rPr>
        <w:t>4.- О закупке тракторов.</w:t>
      </w:r>
    </w:p>
    <w:p w14:paraId="7E333467" w14:textId="77777777" w:rsidR="007F65A4" w:rsidRPr="00507A31" w:rsidRDefault="007F65A4" w:rsidP="00507A31">
      <w:pPr>
        <w:jc w:val="both"/>
        <w:rPr>
          <w:color w:val="0070C0"/>
          <w:sz w:val="16"/>
          <w:szCs w:val="16"/>
        </w:rPr>
      </w:pPr>
      <w:r w:rsidRPr="00507A31">
        <w:rPr>
          <w:color w:val="0070C0"/>
          <w:sz w:val="16"/>
          <w:szCs w:val="16"/>
        </w:rPr>
        <w:t>(т. Сталин).</w:t>
      </w:r>
    </w:p>
    <w:p w14:paraId="0D6E3EA5" w14:textId="77777777" w:rsidR="007F65A4" w:rsidRPr="00507A31" w:rsidRDefault="007F65A4" w:rsidP="00507A31">
      <w:pPr>
        <w:jc w:val="both"/>
        <w:rPr>
          <w:color w:val="0070C0"/>
          <w:sz w:val="16"/>
          <w:szCs w:val="16"/>
        </w:rPr>
      </w:pPr>
      <w:r w:rsidRPr="00507A31">
        <w:rPr>
          <w:color w:val="0070C0"/>
          <w:sz w:val="16"/>
          <w:szCs w:val="16"/>
        </w:rPr>
        <w:t>Создать для рассмотрения вопроса о закупке тракторов на 1930/31 г. комиссию в составе т.т. Рыкова, Сталина, Куйбышева, Яковлева, Микояна, Юркина и Орджоникидзе.</w:t>
      </w:r>
    </w:p>
    <w:p w14:paraId="5965F0B8" w14:textId="77777777" w:rsidR="007F65A4" w:rsidRPr="00507A31" w:rsidRDefault="007F65A4" w:rsidP="00507A31">
      <w:pPr>
        <w:jc w:val="both"/>
        <w:rPr>
          <w:color w:val="0070C0"/>
          <w:sz w:val="16"/>
          <w:szCs w:val="16"/>
        </w:rPr>
      </w:pPr>
      <w:r w:rsidRPr="00507A31">
        <w:rPr>
          <w:color w:val="0070C0"/>
          <w:sz w:val="16"/>
          <w:szCs w:val="16"/>
        </w:rPr>
        <w:t>Срок работы - двухдневный.</w:t>
      </w:r>
    </w:p>
    <w:p w14:paraId="36D0A633" w14:textId="77777777" w:rsidR="007F65A4" w:rsidRPr="00507A31" w:rsidRDefault="007F65A4" w:rsidP="00507A31">
      <w:pPr>
        <w:jc w:val="both"/>
        <w:rPr>
          <w:color w:val="0070C0"/>
          <w:sz w:val="16"/>
          <w:szCs w:val="16"/>
        </w:rPr>
      </w:pPr>
      <w:r w:rsidRPr="00507A31">
        <w:rPr>
          <w:color w:val="0070C0"/>
          <w:sz w:val="16"/>
          <w:szCs w:val="16"/>
        </w:rPr>
        <w:t>Созыв за т.Рыковым.</w:t>
      </w:r>
    </w:p>
    <w:p w14:paraId="7D84C6D1" w14:textId="77777777" w:rsidR="007F65A4" w:rsidRPr="00507A31" w:rsidRDefault="007F65A4" w:rsidP="00507A31">
      <w:pPr>
        <w:jc w:val="both"/>
        <w:rPr>
          <w:color w:val="0070C0"/>
          <w:sz w:val="16"/>
          <w:szCs w:val="16"/>
        </w:rPr>
      </w:pPr>
      <w:r w:rsidRPr="00507A31">
        <w:rPr>
          <w:color w:val="0070C0"/>
          <w:sz w:val="16"/>
          <w:szCs w:val="16"/>
        </w:rPr>
        <w:t>Выписки посланы: т.т. Рыкову, Сталину, Куйбышеву, Яковлеву, Микояну, Юркину, Орджоникидзе</w:t>
      </w:r>
    </w:p>
    <w:p w14:paraId="69CC4D63" w14:textId="77777777" w:rsidR="007F65A4" w:rsidRPr="00507A31" w:rsidRDefault="007F65A4" w:rsidP="00507A31">
      <w:pPr>
        <w:jc w:val="both"/>
        <w:rPr>
          <w:color w:val="0070C0"/>
          <w:sz w:val="16"/>
          <w:szCs w:val="16"/>
        </w:rPr>
      </w:pPr>
      <w:r w:rsidRPr="00507A31">
        <w:rPr>
          <w:color w:val="0070C0"/>
          <w:sz w:val="16"/>
          <w:szCs w:val="16"/>
        </w:rPr>
        <w:t>20 апреля 1930 опросом членов ПБ</w:t>
      </w:r>
    </w:p>
    <w:p w14:paraId="5DC1CCC5" w14:textId="77777777" w:rsidR="007F65A4" w:rsidRPr="00507A31" w:rsidRDefault="007F65A4" w:rsidP="00507A31">
      <w:pPr>
        <w:jc w:val="both"/>
        <w:rPr>
          <w:color w:val="0070C0"/>
          <w:sz w:val="16"/>
          <w:szCs w:val="16"/>
        </w:rPr>
      </w:pPr>
      <w:r w:rsidRPr="00507A31">
        <w:rPr>
          <w:color w:val="0070C0"/>
          <w:sz w:val="16"/>
          <w:szCs w:val="16"/>
        </w:rPr>
        <w:t>41.- О переговорах с Виккерс.</w:t>
      </w:r>
    </w:p>
    <w:p w14:paraId="6ED97A6E" w14:textId="77777777" w:rsidR="007F65A4" w:rsidRPr="00507A31" w:rsidRDefault="007F65A4" w:rsidP="00507A31">
      <w:pPr>
        <w:jc w:val="both"/>
        <w:rPr>
          <w:color w:val="0070C0"/>
          <w:sz w:val="16"/>
          <w:szCs w:val="16"/>
        </w:rPr>
      </w:pPr>
      <w:r w:rsidRPr="00507A31">
        <w:rPr>
          <w:color w:val="0070C0"/>
          <w:sz w:val="16"/>
          <w:szCs w:val="16"/>
        </w:rPr>
        <w:t>(т. Микоян).</w:t>
      </w:r>
    </w:p>
    <w:p w14:paraId="283AB823" w14:textId="77777777" w:rsidR="007F65A4" w:rsidRPr="00507A31" w:rsidRDefault="007F65A4" w:rsidP="00507A31">
      <w:pPr>
        <w:jc w:val="both"/>
        <w:rPr>
          <w:color w:val="0070C0"/>
          <w:sz w:val="16"/>
          <w:szCs w:val="16"/>
        </w:rPr>
      </w:pPr>
      <w:r w:rsidRPr="00507A31">
        <w:rPr>
          <w:color w:val="0070C0"/>
          <w:sz w:val="16"/>
          <w:szCs w:val="16"/>
        </w:rPr>
        <w:t>а) Признать возможным заключение договора с "Виккерсом" на 4 года, с тем, чтобы первая поставка тракторов была к декабрю 1931 года в размере 1000 штук, вторая - к декабрю 1932 г. - 2500 шт., третья - к декабрю 193с г.- 2500 шт., четвертая - к декабрю 1934 г.- 2500 шт.</w:t>
      </w:r>
    </w:p>
    <w:p w14:paraId="6FB6D906" w14:textId="77777777" w:rsidR="007F65A4" w:rsidRPr="00507A31" w:rsidRDefault="007F65A4" w:rsidP="00507A31">
      <w:pPr>
        <w:jc w:val="both"/>
        <w:rPr>
          <w:color w:val="0070C0"/>
          <w:sz w:val="16"/>
          <w:szCs w:val="16"/>
        </w:rPr>
      </w:pPr>
      <w:r w:rsidRPr="00507A31">
        <w:rPr>
          <w:color w:val="0070C0"/>
          <w:sz w:val="16"/>
          <w:szCs w:val="16"/>
        </w:rPr>
        <w:t>б) Платежи производить за каждую партию полученных трак</w:t>
      </w:r>
      <w:r w:rsidRPr="00507A31">
        <w:rPr>
          <w:color w:val="0070C0"/>
          <w:sz w:val="16"/>
          <w:szCs w:val="16"/>
        </w:rPr>
        <w:softHyphen/>
        <w:t>торов равными долями в 3 срока: первый - через 12 месяцев, второй - через 24 месяца и третий - через 36 месяцев.</w:t>
      </w:r>
    </w:p>
    <w:p w14:paraId="54B0B1DD" w14:textId="77777777" w:rsidR="007F65A4" w:rsidRPr="00507A31" w:rsidRDefault="007F65A4" w:rsidP="00507A31">
      <w:pPr>
        <w:jc w:val="both"/>
        <w:rPr>
          <w:color w:val="0070C0"/>
          <w:sz w:val="16"/>
          <w:szCs w:val="16"/>
        </w:rPr>
      </w:pPr>
      <w:r w:rsidRPr="00507A31">
        <w:rPr>
          <w:color w:val="0070C0"/>
          <w:sz w:val="16"/>
          <w:szCs w:val="16"/>
        </w:rPr>
        <w:t>Выписка послана: т. Микояну (23108).</w:t>
      </w:r>
    </w:p>
    <w:p w14:paraId="19A460B3" w14:textId="77777777" w:rsidR="007F65A4" w:rsidRPr="00507A31" w:rsidRDefault="007F65A4" w:rsidP="00507A31">
      <w:pPr>
        <w:jc w:val="both"/>
        <w:rPr>
          <w:color w:val="0070C0"/>
          <w:sz w:val="16"/>
          <w:szCs w:val="16"/>
        </w:rPr>
      </w:pPr>
    </w:p>
    <w:p w14:paraId="5D1D4529" w14:textId="77777777" w:rsidR="00A740F5" w:rsidRPr="00507A31" w:rsidRDefault="00A740F5" w:rsidP="00507A31">
      <w:pPr>
        <w:widowControl w:val="0"/>
        <w:jc w:val="both"/>
        <w:rPr>
          <w:color w:val="000000" w:themeColor="text1"/>
          <w:sz w:val="16"/>
          <w:szCs w:val="16"/>
        </w:rPr>
      </w:pPr>
      <w:r w:rsidRPr="00507A31">
        <w:rPr>
          <w:color w:val="000000" w:themeColor="text1"/>
          <w:sz w:val="16"/>
          <w:szCs w:val="16"/>
        </w:rPr>
        <w:t xml:space="preserve">5 мая 1930 был заложен механосборочный корпус ГАЗ длиной в </w:t>
      </w:r>
      <w:smartTag w:uri="urn:schemas-microsoft-com:office:smarttags" w:element="metricconverter">
        <w:smartTagPr>
          <w:attr w:name="ProductID" w:val="546 м"/>
        </w:smartTagPr>
        <w:r w:rsidRPr="00507A31">
          <w:rPr>
            <w:color w:val="000000" w:themeColor="text1"/>
            <w:sz w:val="16"/>
            <w:szCs w:val="16"/>
          </w:rPr>
          <w:t>546 м</w:t>
        </w:r>
      </w:smartTag>
      <w:r w:rsidRPr="00507A31">
        <w:rPr>
          <w:color w:val="000000" w:themeColor="text1"/>
          <w:sz w:val="16"/>
          <w:szCs w:val="16"/>
        </w:rPr>
        <w:t xml:space="preserve">, шириной в </w:t>
      </w:r>
      <w:smartTag w:uri="urn:schemas-microsoft-com:office:smarttags" w:element="metricconverter">
        <w:smartTagPr>
          <w:attr w:name="ProductID" w:val="108 м"/>
        </w:smartTagPr>
        <w:r w:rsidRPr="00507A31">
          <w:rPr>
            <w:color w:val="000000" w:themeColor="text1"/>
            <w:sz w:val="16"/>
            <w:szCs w:val="16"/>
          </w:rPr>
          <w:t>108 м</w:t>
        </w:r>
      </w:smartTag>
      <w:r w:rsidRPr="00507A31">
        <w:rPr>
          <w:color w:val="000000" w:themeColor="text1"/>
          <w:sz w:val="16"/>
          <w:szCs w:val="16"/>
        </w:rPr>
        <w:t xml:space="preserve">, высотой в </w:t>
      </w:r>
      <w:smartTag w:uri="urn:schemas-microsoft-com:office:smarttags" w:element="metricconverter">
        <w:smartTagPr>
          <w:attr w:name="ProductID" w:val="36 м"/>
        </w:smartTagPr>
        <w:r w:rsidRPr="00507A31">
          <w:rPr>
            <w:color w:val="000000" w:themeColor="text1"/>
            <w:sz w:val="16"/>
            <w:szCs w:val="16"/>
          </w:rPr>
          <w:t>36 м</w:t>
        </w:r>
      </w:smartTag>
      <w:r w:rsidRPr="00507A31">
        <w:rPr>
          <w:color w:val="000000" w:themeColor="text1"/>
          <w:sz w:val="16"/>
          <w:szCs w:val="16"/>
        </w:rPr>
        <w:t xml:space="preserve">; затем ремонтно-механический, деревообделочный, рессорный, прессовый корпуса, кузница и другие объекты. В соцгороде началось строительство первых 30 каменных 4-этажных домов. То, что называлось «строительной площадкой», представляло территорию в несколько квадратных километров. Стройка делилась на районы. Основным был промышленный – сооружение производственных объектов, второй – строительство жилых, коммунально-бытовых зданий и культурно-просветительных учреждений, третий – железнодорожный и автомобильный транспорт, гавань, бетонные заводы, склады. Основная стройка автозавода началась в период, когда по плану первой пятилетки в стране развернулось гигантское строительство. В Нижегородском крае в промышленных районах и в национальных автономиях возводилось 78 предприятий, реконструировались и расширялись старые заводы. Побывавший в Нижнем Новгороде в июне </w:t>
      </w:r>
      <w:smartTag w:uri="urn:schemas-microsoft-com:office:smarttags" w:element="metricconverter">
        <w:smartTagPr>
          <w:attr w:name="ProductID" w:val="1945 г"/>
        </w:smartTagPr>
        <w:r w:rsidRPr="00507A31">
          <w:rPr>
            <w:color w:val="000000" w:themeColor="text1"/>
            <w:sz w:val="16"/>
            <w:szCs w:val="16"/>
          </w:rPr>
          <w:t>1930 г</w:t>
        </w:r>
      </w:smartTag>
      <w:r w:rsidRPr="00507A31">
        <w:rPr>
          <w:color w:val="000000" w:themeColor="text1"/>
          <w:sz w:val="16"/>
          <w:szCs w:val="16"/>
        </w:rPr>
        <w:t>., председатель ВСНХ В.В. Куйбышев отмечал, что, по его мнению, ни один город страны не может сравниться сейчас с Нижним Новгородом по количеству строящихся объектов и по размаху строительства (15218).</w:t>
      </w:r>
    </w:p>
    <w:p w14:paraId="46F3186D" w14:textId="77777777" w:rsidR="00A740F5" w:rsidRPr="00507A31" w:rsidRDefault="00A740F5" w:rsidP="00507A31">
      <w:pPr>
        <w:widowControl w:val="0"/>
        <w:jc w:val="both"/>
        <w:rPr>
          <w:color w:val="000000" w:themeColor="text1"/>
          <w:sz w:val="16"/>
          <w:szCs w:val="16"/>
        </w:rPr>
      </w:pPr>
    </w:p>
    <w:p w14:paraId="76FCE1F7" w14:textId="77777777" w:rsidR="00C65FEA" w:rsidRPr="00507A31" w:rsidRDefault="00C65FEA" w:rsidP="00507A31">
      <w:pPr>
        <w:jc w:val="both"/>
        <w:rPr>
          <w:color w:val="000000" w:themeColor="text1"/>
          <w:sz w:val="16"/>
          <w:szCs w:val="16"/>
        </w:rPr>
      </w:pPr>
      <w:r w:rsidRPr="00507A31">
        <w:rPr>
          <w:rStyle w:val="a7"/>
          <w:b w:val="0"/>
          <w:color w:val="000000" w:themeColor="text1"/>
          <w:sz w:val="16"/>
          <w:szCs w:val="16"/>
        </w:rPr>
        <w:t xml:space="preserve">5 мая 1930 </w:t>
      </w:r>
      <w:r w:rsidRPr="00507A31">
        <w:rPr>
          <w:color w:val="000000" w:themeColor="text1"/>
          <w:sz w:val="16"/>
          <w:szCs w:val="16"/>
        </w:rPr>
        <w:t>Политбюро ЦК ВКП(б) одобрило проект постановления СТО о строительстве Днепровского промышленного комбината и решение ВСНХ о посылке 100 молодых инженеров на учебу за границу (12265).</w:t>
      </w:r>
    </w:p>
    <w:p w14:paraId="5E75AECC" w14:textId="77777777" w:rsidR="00C65FEA" w:rsidRPr="00507A31" w:rsidRDefault="00C65FEA" w:rsidP="00507A31">
      <w:pPr>
        <w:jc w:val="both"/>
        <w:rPr>
          <w:color w:val="000000" w:themeColor="text1"/>
          <w:sz w:val="16"/>
          <w:szCs w:val="16"/>
        </w:rPr>
      </w:pPr>
      <w:r w:rsidRPr="00507A31">
        <w:rPr>
          <w:color w:val="000000" w:themeColor="text1"/>
          <w:sz w:val="16"/>
          <w:szCs w:val="16"/>
        </w:rPr>
        <w:t> </w:t>
      </w:r>
    </w:p>
    <w:p w14:paraId="63BFC1DE" w14:textId="77777777" w:rsidR="0045543F" w:rsidRPr="00507A31" w:rsidRDefault="0045543F" w:rsidP="00507A31">
      <w:pPr>
        <w:autoSpaceDE w:val="0"/>
        <w:autoSpaceDN w:val="0"/>
        <w:adjustRightInd w:val="0"/>
        <w:jc w:val="both"/>
        <w:rPr>
          <w:i/>
          <w:iCs/>
          <w:color w:val="000000" w:themeColor="text1"/>
          <w:sz w:val="16"/>
          <w:szCs w:val="16"/>
        </w:rPr>
      </w:pPr>
      <w:r w:rsidRPr="00507A31">
        <w:rPr>
          <w:i/>
          <w:iCs/>
          <w:color w:val="000000" w:themeColor="text1"/>
          <w:sz w:val="16"/>
          <w:szCs w:val="16"/>
        </w:rPr>
        <w:t>Армия:</w:t>
      </w:r>
    </w:p>
    <w:p w14:paraId="4E7D41DB" w14:textId="77777777" w:rsidR="0045543F" w:rsidRPr="00507A31" w:rsidRDefault="0045543F" w:rsidP="00507A31">
      <w:pPr>
        <w:autoSpaceDE w:val="0"/>
        <w:autoSpaceDN w:val="0"/>
        <w:adjustRightInd w:val="0"/>
        <w:jc w:val="both"/>
        <w:rPr>
          <w:i/>
          <w:iCs/>
          <w:color w:val="000000" w:themeColor="text1"/>
          <w:sz w:val="16"/>
          <w:szCs w:val="16"/>
        </w:rPr>
      </w:pPr>
    </w:p>
    <w:p w14:paraId="36545117" w14:textId="77777777" w:rsidR="0045543F" w:rsidRPr="00507A31" w:rsidRDefault="0045543F" w:rsidP="00507A31">
      <w:pPr>
        <w:jc w:val="both"/>
        <w:rPr>
          <w:color w:val="000000" w:themeColor="text1"/>
          <w:sz w:val="16"/>
          <w:szCs w:val="16"/>
        </w:rPr>
      </w:pPr>
      <w:r w:rsidRPr="00507A31">
        <w:rPr>
          <w:color w:val="000000" w:themeColor="text1"/>
          <w:sz w:val="16"/>
          <w:szCs w:val="16"/>
        </w:rPr>
        <w:t>5 мая 1930 г. постановлением ЦИК и СНК СССР в основных началах уголовного законодательства СССР и союзных республик были внесены изменения в связи с заменой штрафных частей военно-исправительными частями РККА (17783).</w:t>
      </w:r>
    </w:p>
    <w:p w14:paraId="5BB7B3B9" w14:textId="77777777" w:rsidR="0045543F" w:rsidRPr="00507A31" w:rsidRDefault="0045543F" w:rsidP="00507A31">
      <w:pPr>
        <w:jc w:val="both"/>
        <w:rPr>
          <w:color w:val="000000" w:themeColor="text1"/>
          <w:sz w:val="16"/>
          <w:szCs w:val="16"/>
        </w:rPr>
      </w:pPr>
    </w:p>
    <w:p w14:paraId="3176AE47" w14:textId="77777777" w:rsidR="00537E5F" w:rsidRPr="00507A31" w:rsidRDefault="00537E5F" w:rsidP="00507A31">
      <w:pPr>
        <w:autoSpaceDE w:val="0"/>
        <w:autoSpaceDN w:val="0"/>
        <w:adjustRightInd w:val="0"/>
        <w:jc w:val="both"/>
        <w:rPr>
          <w:i/>
          <w:iCs/>
          <w:color w:val="000000" w:themeColor="text1"/>
          <w:sz w:val="16"/>
          <w:szCs w:val="16"/>
        </w:rPr>
      </w:pPr>
      <w:r w:rsidRPr="00507A31">
        <w:rPr>
          <w:i/>
          <w:iCs/>
          <w:color w:val="000000" w:themeColor="text1"/>
          <w:sz w:val="16"/>
          <w:szCs w:val="16"/>
        </w:rPr>
        <w:t>Жизнь и внутреняя политика:</w:t>
      </w:r>
    </w:p>
    <w:p w14:paraId="3108AD1D" w14:textId="77777777" w:rsidR="00537E5F" w:rsidRPr="00507A31" w:rsidRDefault="00537E5F" w:rsidP="00507A31">
      <w:pPr>
        <w:autoSpaceDE w:val="0"/>
        <w:autoSpaceDN w:val="0"/>
        <w:adjustRightInd w:val="0"/>
        <w:jc w:val="both"/>
        <w:rPr>
          <w:i/>
          <w:iCs/>
          <w:color w:val="000000" w:themeColor="text1"/>
          <w:sz w:val="16"/>
          <w:szCs w:val="16"/>
        </w:rPr>
      </w:pPr>
    </w:p>
    <w:p w14:paraId="34E60A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мая 1930 года объектом рассмотрения на заседании Политбюро ЦК ВКП(б) стала подготовленная весной СТО Докладная записка "О сооружении Беломорско-Балтийского водного пути". Авторы записки исходили из причин как экономического, так и военно-политического свойства. В докладной четко выделяли эти две группы доводов в пользу строительства. </w:t>
      </w:r>
    </w:p>
    <w:p w14:paraId="783834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области военно-стратегической канал должен был обеспечивать разрешение ряда вопросов по обороне побережья от финской границы до доступных для мореплавания берегов Сибири, включая внутренний бассейн Белого моря: </w:t>
      </w:r>
    </w:p>
    <w:p w14:paraId="1F460C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защиту рыбных промыслов в районе наших берегов и внутренних торговых путей между отдельными пунктами побережья и магистральных водных путей, уходящих вглубь страны. Эта задача достигается на Северном театре возможностью переброски с Балтийского в Белое море подводных лодок, надводных торпедных кораблей и крейсеров; </w:t>
      </w:r>
    </w:p>
    <w:p w14:paraId="5D4BF2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возможность действий наших морских сил на морских сообщениях противника, как при подготовке операций против нашего Севера, так и для нанесения ущерба морской торговле и давления на весь режим коммерческого мореплавания в Северном море и в восточной части Атлантического океана; </w:t>
      </w:r>
    </w:p>
    <w:p w14:paraId="45B35C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поддержание коммуникаций с внешним миром. Так как Балтийское и Черное моря легко блокируемы, наличие свободного выхода в океан через Север приобретало исключительно важное значение в военное время; </w:t>
      </w:r>
    </w:p>
    <w:p w14:paraId="0D034F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наличие сдерживающего начала для наиболее мощных на море вероятных противников, а для Финляндии, непосредственно угрожающей нашему Северу, наличие канала должно было послужить реальной угрозой и потребовать пересмотра ее внешней политики; </w:t>
      </w:r>
    </w:p>
    <w:p w14:paraId="530E73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взаимодействие Красной Армии с морскими силами на побережье и в районах внутренних озер и рек, связанных с Беломорско-Балтийской системой; </w:t>
      </w:r>
    </w:p>
    <w:p w14:paraId="6C752C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маневренные переброски в военное время кораблей или целых соединений с одного морского или речного театра на другой; </w:t>
      </w:r>
    </w:p>
    <w:p w14:paraId="663000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7) возможность эвакуации в глубь страны и использования в качестве тральщиков на других морях всех северных рыболовных траулеров. </w:t>
      </w:r>
    </w:p>
    <w:p w14:paraId="5A893E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сфере экономики соображения о пользе канала были такими: </w:t>
      </w:r>
    </w:p>
    <w:p w14:paraId="5E3EFA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связь Ленинграда и морских путей из Ленинграда на Запад, с Архангельском, портами Белого моря и Мурманским побережьем, а через Северные морские пути с Сибирью; </w:t>
      </w:r>
    </w:p>
    <w:p w14:paraId="310CF3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выход из Балтики в Северный Ледовитый океан и через него ко всем мировым портам; </w:t>
      </w:r>
    </w:p>
    <w:p w14:paraId="58E5BF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связь Севера с Мариинской водной системой, а через последнюю с внутренними районами страны с выходом в Каспийское и Черное моря (после осуществления проекта Волго-Дона); </w:t>
      </w:r>
    </w:p>
    <w:p w14:paraId="00F266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получение мощных источников дешевой водной энергии путем устройства при плотинах гидростанций; </w:t>
      </w:r>
    </w:p>
    <w:p w14:paraId="6E514E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широкую возможность развития на дешевой энергетической базе всех отраслей народного хозяйства Северного края и наиболее полное использование еще нетронутых сырьевых ресурсов, а также строительных материалов. </w:t>
      </w:r>
    </w:p>
    <w:p w14:paraId="40508B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Строительство водного пути авторы докладной записки предлагали осуществлять в три этапа. На первом должно было производиться шлюзование Невы для открытия морским судам доступа в Ладожское озеро. Осуществление данного мероприятия позволяло разгрузить Приладожские обводные каналы, пропускная способность которых исчерпывалась к 1934 г. На втором этапе производилось шлюзование Свири (путем постройки двух гидроэлектростанций), что открыло бы доступ морским судам в Онежское озеро и позволило перевести погрузку экспортного леса и грузов в новый порт в Вытегре, разгрузив Ленинградский морской порт и железные дороги. Наконец, третий этап составляло собственно строительство морского канала от Повенца до Сороки и оборудование в последней морского порта. Данная стадия работ была самой дорогостоящей: 253 млн. рублей, в т. ч. 13 млн. на строительство Сорокского порта. Но авторы специально подчеркивали, что степень изученности трассы, особенно на ее последнем, северном участке, еще невелика, и итоговая стоимость работ может возрасти. </w:t>
      </w:r>
    </w:p>
    <w:p w14:paraId="6CF8B4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Общее руководство СТО планировал оставить за собой путем создания Особого комитета под председательством Я. Э Рудзутака. Непосредственно организацией работ должно было заниматься Управление строительством, организуемое и подчиненное НКПС. Первоочередной считалась задача проектирования и строительства южного участка водного пути. Судьба Северного участка, т. е. собственно канала, пока оставалась неясной (12107).</w:t>
      </w:r>
    </w:p>
    <w:p w14:paraId="1C274F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Реакция членов Политбюро была неоднозначной, выявились расхождения в оценке целесообразности и осуществимости предложения. Отражением имевшей место дискуссии послужили записки, которыми в ходе заседания обменялись И. В. Сталин и В. М. Молотов. Сталин писал "Я думаю, что до Онеги провести можно. Что касается Северной части, пока ограничиться разведкой, имею в виду ее постройку главным образом силами ОГПУ. Одновременно надо поручить еще раз подсчитать расходы по осуществлению первой части. 20 млн. плюс 70 млн. Слишком много". В ответе Молотова видна главная причина сомнений некоторой части членов Политбюро: "У меня сомнения в целесообразности канала. Записку я прочел. Экономическая часть не подработана (не ясна) Не дать ли на подработку это дело?" </w:t>
      </w:r>
    </w:p>
    <w:p w14:paraId="2B102C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Скептицизм Молотова вполне понятен. По сравнению с подробнейшим образом расписанной и вполне понятной "военно-стратегической" частью докладной блок экономического обоснования и меньше (5 пунктов против 8), и не столь конкретен. При прочтении его складывается впечатление, что составители учитывали только два варианта использования канала: максимально удешевить экспорт леса и упростить товарное снабжение Сибири. Впрочем, ожидать большей ясности было бы сложно. Общий уровень хозяйственного освоения Севера к концу 20-х гг. оставался низким: изыскания на Кольском полуострове, в районе Ухты и Воркуты начались с 1925 г., и только в 1930 г. началось строительство Хибинского апатито-нефелинового горнохимического комбината. Только в 1927 г. по результатам долголетних изысканий было окончательно признано народнохозяйственное значение рудных месторождений Норильского района. </w:t>
      </w:r>
    </w:p>
    <w:p w14:paraId="268998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Северного морского пути в 1930 г. не существовало. Первое сквозное плавание по нему за одну навигацию, носившее характер научного похода, было осуществлено на борту ледокольного парохода "А. Сибиряков" только летом - осенью 1932 г. Авторы проекта считали, что прокладка канала должна стать катализатором ускоренного хозяйственного освоения Севера.</w:t>
      </w:r>
    </w:p>
    <w:p w14:paraId="07A3B6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Входе заседания Политбюро было принято решение канал строить. Но с учетом мнений скептиков принятое решение несло на себе печать компромисса по ряду вопросов. Было решено приступить к сооружению южной части канала с углублением 18 футов, только со следующего хозяйственного года, с условием, что "общая стоимость всех работ по постройке южной части канала не должна превышать 60 млн. рублей", т. е. смета была урезана на 1/3. Относительно же постройки северной части Политбюро рекомендовало пока ограничиться изысканиями, а также "при определении стоимости работ по сооружению северной части канала учесть возможность привлечения уголовного труда к этим работам". В данном случае Политбюро следовало духу и букве своего Постановления от 16 мая 1929 г. и Постановления СНК от 11 июля 1929 г. "Об использовании труда уголовнозаключенных". Район прохождения трассы Северного канала как раз и представлял собой необжитую местность, нуждающуюся в колонизации и хозяйственном освоении. В силу полной неразвитости местной инфраструктуры и путей сообщений концентрация вольнонаемной рабочей силы потребовала бы дополнительных расходов, на что, как видно из постановления, Политбюро идти не хотело (12107).</w:t>
      </w:r>
    </w:p>
    <w:p w14:paraId="2E8D18C0" w14:textId="77777777" w:rsidR="00537E5F" w:rsidRPr="00507A31" w:rsidRDefault="00537E5F" w:rsidP="00507A31">
      <w:pPr>
        <w:autoSpaceDE w:val="0"/>
        <w:autoSpaceDN w:val="0"/>
        <w:adjustRightInd w:val="0"/>
        <w:jc w:val="both"/>
        <w:rPr>
          <w:color w:val="000000" w:themeColor="text1"/>
          <w:sz w:val="16"/>
          <w:szCs w:val="16"/>
        </w:rPr>
      </w:pPr>
    </w:p>
    <w:p w14:paraId="75FB3E69" w14:textId="77777777" w:rsidR="00C65FEA" w:rsidRPr="00507A31" w:rsidRDefault="00C65FEA" w:rsidP="00507A31">
      <w:pPr>
        <w:jc w:val="both"/>
        <w:rPr>
          <w:color w:val="000000" w:themeColor="text1"/>
          <w:sz w:val="16"/>
          <w:szCs w:val="16"/>
        </w:rPr>
      </w:pPr>
      <w:r w:rsidRPr="00507A31">
        <w:rPr>
          <w:color w:val="000000" w:themeColor="text1"/>
          <w:sz w:val="16"/>
          <w:szCs w:val="16"/>
        </w:rPr>
        <w:t xml:space="preserve">5 мая 1930 года докладная записка по ББК стала объектом рассмотрения на заседании Политбюро ЦК ВКП(б). Реакция членов Политбюро была неоднозначной, выявились расхождения в оценке целесообразности и осуществимости предложения. Отражением имевшей место дискуссии послужили записки, которыми в ходе заседания обменялись И. В. Сталин и В. М. Молотов. Сталин писал "Я думаю, что до Онеги провести можно. Что касается Северной части, пока ограничиться разведкой, имею в виду ее постройку главным образом силами ОГПУ. Одновременно надо поручить еще раз подсчитать расходы по осуществлению первой части. 20 млн. плюс 70 млн. Слишком много". В ответе Молотова видна главная причина сомнений некоторой части членов Политбюро: "У меня сомнения в целесообразности канала. Записку я прочел. Экономическая часть не подработана (не ясна) Не дать ли на подработку это дело?" </w:t>
      </w:r>
    </w:p>
    <w:p w14:paraId="429638FB" w14:textId="77777777" w:rsidR="00C65FEA" w:rsidRPr="00507A31" w:rsidRDefault="00C65FEA" w:rsidP="00507A31">
      <w:pPr>
        <w:jc w:val="both"/>
        <w:rPr>
          <w:color w:val="000000" w:themeColor="text1"/>
          <w:sz w:val="16"/>
          <w:szCs w:val="16"/>
        </w:rPr>
      </w:pPr>
      <w:r w:rsidRPr="00507A31">
        <w:rPr>
          <w:color w:val="000000" w:themeColor="text1"/>
          <w:sz w:val="16"/>
          <w:szCs w:val="16"/>
        </w:rPr>
        <w:t xml:space="preserve">Скептицизм Молотова вполне понятен. По сравнению с подробнейшим образом расписанной и вполне понятной "военно-стратегической" частью докладной блок экономического обоснования и меньше (5 пунктов против 8), и не столь конкретен. При прочтении его складывается впечатление, что составители учитывали только два варианта использования канала: максимально удешевить экспорт леса и упростить товарное снабжение Сибири. Впрочем, ожидать большей ясности было бы сложно. Общий уровень хозяйственного освоения Севера к концу 20-х гг. оставался низким: изыскания на Кольском полуострове, в районе Ухты и Воркуты начались с 1925 г., и только в 1930 г. началось строительство Хибинского апатито-нефелинового горнохимического комбината. Только в 1927 г. по результатам долголетних изысканий было окончательно признано народнохозяйственное значение рудных месторождений Норильского района. </w:t>
      </w:r>
    </w:p>
    <w:p w14:paraId="1814D252" w14:textId="77777777" w:rsidR="00C65FEA" w:rsidRPr="00507A31" w:rsidRDefault="00C65FEA" w:rsidP="00507A31">
      <w:pPr>
        <w:jc w:val="both"/>
        <w:rPr>
          <w:color w:val="000000" w:themeColor="text1"/>
          <w:sz w:val="16"/>
          <w:szCs w:val="16"/>
        </w:rPr>
      </w:pPr>
      <w:r w:rsidRPr="00507A31">
        <w:rPr>
          <w:color w:val="000000" w:themeColor="text1"/>
          <w:sz w:val="16"/>
          <w:szCs w:val="16"/>
        </w:rPr>
        <w:t>Северного морского пути в 1930 г. не существовало. Первое сквозное плавание по нему за одну навигацию, носившее характер научного похода, было осуществлено на борту ледокольного парохода "А. Сибиряков" только летом - осенью 1932 г. Авторы проекта считали, что прокладка канала должна стать катализатором ускоренного хозяйственного освоения Севера.</w:t>
      </w:r>
    </w:p>
    <w:p w14:paraId="71D56529" w14:textId="77777777" w:rsidR="00C65FEA" w:rsidRPr="00507A31" w:rsidRDefault="00C65FEA" w:rsidP="00507A31">
      <w:pPr>
        <w:jc w:val="both"/>
        <w:rPr>
          <w:color w:val="000000" w:themeColor="text1"/>
          <w:sz w:val="16"/>
          <w:szCs w:val="16"/>
        </w:rPr>
      </w:pPr>
      <w:r w:rsidRPr="00507A31">
        <w:rPr>
          <w:color w:val="000000" w:themeColor="text1"/>
          <w:sz w:val="16"/>
          <w:szCs w:val="16"/>
        </w:rPr>
        <w:lastRenderedPageBreak/>
        <w:t>Входе заседания Политбюро было принято решение канал строить. Но с учетом мнений скептиков принятое решение несло на себе печать компромисса по ряду вопросов. Было решено приступить к сооружению южной части канала с углублением 18 футов, только со следующего хозяйственного года, с условием, что "общая стоимость всех работ по постройке южной части канала не должна превышать 60 млн. рублей", т. е. смета была урезана на 1/3. Относительно же постройки северной части Политбюро рекомендовало пока ограничиться изысканиями, а также "при определении стоимости работ по сооружению северной части канала учесть возможность привлечения уголовного труда к этим работам". В данном случае Политбюро следовало духу и букве своего Постановления от 16 мая 1929 г. и Постановления СНК от 11 июля 1929 г. "Об использовании труда уголовнозаключенных". Район прохождения трассы Северного канала как раз и представлял собой необжитую местность, нуждающуюся в колонизации и хозяйственном освоении. В силу полной неразвитости местной инфраструктуры и путей сообщений концентрация вольнонаемной рабочей силы потребовала бы дополнительных расходов, на что, как видно из постановления, Политбюро идти не хотело (12129).</w:t>
      </w:r>
    </w:p>
    <w:p w14:paraId="2296B9C7" w14:textId="77777777" w:rsidR="00C65FEA" w:rsidRPr="00507A31" w:rsidRDefault="00C65FEA" w:rsidP="00507A31">
      <w:pPr>
        <w:jc w:val="both"/>
        <w:rPr>
          <w:color w:val="000000" w:themeColor="text1"/>
          <w:sz w:val="16"/>
          <w:szCs w:val="16"/>
        </w:rPr>
      </w:pPr>
    </w:p>
    <w:p w14:paraId="1FF00C77" w14:textId="77777777" w:rsidR="007F65A4" w:rsidRPr="00507A31" w:rsidRDefault="007F65A4"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71AF3D7" w14:textId="77777777" w:rsidR="007F65A4" w:rsidRPr="00507A31" w:rsidRDefault="007F65A4" w:rsidP="00507A31">
      <w:pPr>
        <w:autoSpaceDE w:val="0"/>
        <w:autoSpaceDN w:val="0"/>
        <w:adjustRightInd w:val="0"/>
        <w:jc w:val="both"/>
        <w:rPr>
          <w:iCs/>
          <w:color w:val="000000" w:themeColor="text1"/>
          <w:sz w:val="16"/>
          <w:szCs w:val="16"/>
        </w:rPr>
      </w:pPr>
    </w:p>
    <w:p w14:paraId="0503B152" w14:textId="77777777" w:rsidR="007F65A4" w:rsidRPr="00507A31" w:rsidRDefault="007F65A4" w:rsidP="00507A31">
      <w:pPr>
        <w:jc w:val="both"/>
        <w:rPr>
          <w:color w:val="0070C0"/>
          <w:sz w:val="16"/>
          <w:szCs w:val="16"/>
        </w:rPr>
      </w:pPr>
      <w:r w:rsidRPr="00507A31">
        <w:rPr>
          <w:color w:val="0070C0"/>
          <w:sz w:val="16"/>
          <w:szCs w:val="16"/>
        </w:rPr>
        <w:t>5–14 мая 1930 Эми Джонсон совершает первый самостоятельный рейс из Англии в Австралию на самолете из Кройдона в Дарвин на самолете de Havilland Gipsy Moth (20805).</w:t>
      </w:r>
    </w:p>
    <w:p w14:paraId="79B63D4D" w14:textId="77777777" w:rsidR="007F65A4" w:rsidRPr="00507A31" w:rsidRDefault="007F65A4" w:rsidP="00507A31">
      <w:pPr>
        <w:jc w:val="both"/>
        <w:rPr>
          <w:color w:val="0070C0"/>
          <w:sz w:val="16"/>
          <w:szCs w:val="16"/>
        </w:rPr>
      </w:pPr>
    </w:p>
    <w:p w14:paraId="5F5A9ABF" w14:textId="77777777" w:rsidR="007F65A4" w:rsidRPr="00507A31" w:rsidRDefault="007F65A4" w:rsidP="00507A31">
      <w:pPr>
        <w:jc w:val="both"/>
        <w:rPr>
          <w:color w:val="0070C0"/>
          <w:sz w:val="16"/>
          <w:szCs w:val="16"/>
        </w:rPr>
      </w:pPr>
      <w:r w:rsidRPr="00507A31">
        <w:rPr>
          <w:color w:val="0070C0"/>
          <w:sz w:val="16"/>
          <w:szCs w:val="16"/>
        </w:rPr>
        <w:t>5 мая 1930 года — английская лётчица Эми Джонсон начала первый женский одиночный перелёт из Англии в Австралию.</w:t>
      </w:r>
    </w:p>
    <w:p w14:paraId="31EF8141" w14:textId="77777777" w:rsidR="007F65A4" w:rsidRPr="00507A31" w:rsidRDefault="007F65A4" w:rsidP="00507A31">
      <w:pPr>
        <w:jc w:val="both"/>
        <w:rPr>
          <w:color w:val="0070C0"/>
          <w:sz w:val="16"/>
          <w:szCs w:val="16"/>
        </w:rPr>
      </w:pPr>
      <w:r w:rsidRPr="00507A31">
        <w:rPr>
          <w:color w:val="0070C0"/>
          <w:sz w:val="16"/>
          <w:szCs w:val="16"/>
        </w:rPr>
        <w:t>На момент старта миссис Джонсон всего лишь год как получила лицензию пилота и имела всего 75 часов налёта. Но она решила рискнуть, заручившись финансовой и моральной поддержкой своего отца.</w:t>
      </w:r>
    </w:p>
    <w:p w14:paraId="4C3E7BB8" w14:textId="77777777" w:rsidR="007F65A4" w:rsidRPr="00507A31" w:rsidRDefault="007F65A4" w:rsidP="00507A31">
      <w:pPr>
        <w:jc w:val="both"/>
        <w:rPr>
          <w:color w:val="0070C0"/>
          <w:sz w:val="16"/>
          <w:szCs w:val="16"/>
        </w:rPr>
      </w:pPr>
      <w:r w:rsidRPr="00507A31">
        <w:rPr>
          <w:color w:val="0070C0"/>
          <w:sz w:val="16"/>
          <w:szCs w:val="16"/>
        </w:rPr>
        <w:t>Для рекордного перелёта лётчица приобрела подержанный биплан de Havilland DH.60G Gipsy Moth с б/н G-AAAH и назвала его Jason. Выбор был обусловлен хорошими лётными характеристиками самолёта и его вместительным топливным баком. В Gipsy Moth можно было залить 364 литра горючего, что давало почти 30 часов непрерывного полёта.</w:t>
      </w:r>
    </w:p>
    <w:p w14:paraId="141D2B45" w14:textId="77777777" w:rsidR="007F65A4" w:rsidRPr="00507A31" w:rsidRDefault="007F65A4" w:rsidP="00507A31">
      <w:pPr>
        <w:jc w:val="both"/>
        <w:rPr>
          <w:color w:val="0070C0"/>
          <w:sz w:val="16"/>
          <w:szCs w:val="16"/>
        </w:rPr>
      </w:pPr>
      <w:r w:rsidRPr="00507A31">
        <w:rPr>
          <w:color w:val="0070C0"/>
          <w:sz w:val="16"/>
          <w:szCs w:val="16"/>
        </w:rPr>
        <w:t>Эми планировала достичь Австралии за 12 дней. Но неблагоприятная погода и поломки самолёта в пути не дали этого сделать. В итоге, 24 мая 1930 года, через 19 дней после вылета из Лондона, смелая лётчица приземлилась в Дарвине. За время перелёта она сделала 18 остановок и преодолела 17 700 километров. Сегодня биплан Эми Джонсон находится в экспозиции Музея науки в Лондоне (22300).</w:t>
      </w:r>
    </w:p>
    <w:p w14:paraId="3E11BF59" w14:textId="77777777" w:rsidR="007F65A4" w:rsidRPr="00507A31" w:rsidRDefault="007F65A4" w:rsidP="00507A31">
      <w:pPr>
        <w:jc w:val="both"/>
        <w:rPr>
          <w:color w:val="0070C0"/>
          <w:sz w:val="16"/>
          <w:szCs w:val="16"/>
        </w:rPr>
      </w:pPr>
    </w:p>
    <w:p w14:paraId="0B61BFB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004A0B4" w14:textId="77777777" w:rsidR="00537E5F" w:rsidRPr="00507A31" w:rsidRDefault="00537E5F" w:rsidP="00507A31">
      <w:pPr>
        <w:autoSpaceDE w:val="0"/>
        <w:autoSpaceDN w:val="0"/>
        <w:adjustRightInd w:val="0"/>
        <w:jc w:val="both"/>
        <w:rPr>
          <w:iCs/>
          <w:color w:val="000000" w:themeColor="text1"/>
          <w:sz w:val="16"/>
          <w:szCs w:val="16"/>
        </w:rPr>
      </w:pPr>
    </w:p>
    <w:p w14:paraId="0C95EF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мая 1930 на техническом совещании руководителей групп отдела АГОС обсуждался ход проектирования АНТ-14 (1077,163).</w:t>
      </w:r>
    </w:p>
    <w:p w14:paraId="6F0B76D4" w14:textId="77777777" w:rsidR="00537E5F" w:rsidRPr="00507A31" w:rsidRDefault="00537E5F" w:rsidP="00507A31">
      <w:pPr>
        <w:autoSpaceDE w:val="0"/>
        <w:autoSpaceDN w:val="0"/>
        <w:adjustRightInd w:val="0"/>
        <w:jc w:val="both"/>
        <w:rPr>
          <w:color w:val="000000" w:themeColor="text1"/>
          <w:sz w:val="16"/>
          <w:szCs w:val="16"/>
        </w:rPr>
      </w:pPr>
    </w:p>
    <w:p w14:paraId="25DA92E3" w14:textId="77777777" w:rsidR="00C65FEA"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D41C948" w14:textId="77777777" w:rsidR="00C65FEA" w:rsidRPr="00507A31" w:rsidRDefault="00C65FEA" w:rsidP="00507A31">
      <w:pPr>
        <w:autoSpaceDE w:val="0"/>
        <w:autoSpaceDN w:val="0"/>
        <w:adjustRightInd w:val="0"/>
        <w:jc w:val="both"/>
        <w:rPr>
          <w:iCs/>
          <w:color w:val="000000" w:themeColor="text1"/>
          <w:sz w:val="16"/>
          <w:szCs w:val="16"/>
        </w:rPr>
      </w:pPr>
    </w:p>
    <w:p w14:paraId="6FD3BF8C" w14:textId="77777777" w:rsidR="00C65FEA" w:rsidRPr="00507A31" w:rsidRDefault="00C65FEA" w:rsidP="00507A31">
      <w:pPr>
        <w:jc w:val="both"/>
        <w:rPr>
          <w:color w:val="000000" w:themeColor="text1"/>
          <w:sz w:val="16"/>
          <w:szCs w:val="16"/>
          <w:u w:color="002060"/>
        </w:rPr>
      </w:pPr>
      <w:r w:rsidRPr="00507A31">
        <w:rPr>
          <w:color w:val="000000" w:themeColor="text1"/>
          <w:sz w:val="16"/>
          <w:szCs w:val="16"/>
          <w:u w:color="002060"/>
        </w:rPr>
        <w:t>6 мая</w:t>
      </w:r>
      <w:r w:rsidRPr="00507A31">
        <w:rPr>
          <w:color w:val="000000" w:themeColor="text1"/>
          <w:sz w:val="16"/>
          <w:szCs w:val="16"/>
        </w:rPr>
        <w:t xml:space="preserve"> 1930 г</w:t>
      </w:r>
      <w:r w:rsidRPr="00507A31">
        <w:rPr>
          <w:color w:val="000000" w:themeColor="text1"/>
          <w:sz w:val="16"/>
          <w:szCs w:val="16"/>
          <w:u w:color="002060"/>
        </w:rPr>
        <w:t>. Постановление СТО СССР о 4% отчислениях от военной промышленности на строительную промышленность (прот. № 21, п. 13 пр) (ГА РФ. Ф. 5674. Оп. 1. Д. 41. Л. 191) (12415).</w:t>
      </w:r>
    </w:p>
    <w:p w14:paraId="29684962" w14:textId="77777777" w:rsidR="00C65FEA" w:rsidRPr="00507A31" w:rsidRDefault="00C65FEA" w:rsidP="00507A31">
      <w:pPr>
        <w:jc w:val="both"/>
        <w:rPr>
          <w:color w:val="000000" w:themeColor="text1"/>
          <w:sz w:val="16"/>
          <w:szCs w:val="16"/>
          <w:u w:color="002060"/>
        </w:rPr>
      </w:pPr>
      <w:r w:rsidRPr="00507A31">
        <w:rPr>
          <w:color w:val="000000" w:themeColor="text1"/>
          <w:sz w:val="16"/>
          <w:szCs w:val="16"/>
          <w:u w:color="002060"/>
        </w:rPr>
        <w:t>Постановление СТО СССР об отпуске в текущем году 25 млн. руб. на реконструкцию существующих и постройку новых речных верфей (пр. № 21, п. 3) (ГА РФ. Ф. 5674. Оп. 1. Д. 41. Л. 162.) (12415).</w:t>
      </w:r>
    </w:p>
    <w:p w14:paraId="20D40141" w14:textId="77777777" w:rsidR="00C65FEA" w:rsidRPr="00507A31" w:rsidRDefault="00C65FEA" w:rsidP="00507A31">
      <w:pPr>
        <w:jc w:val="both"/>
        <w:rPr>
          <w:color w:val="000000" w:themeColor="text1"/>
          <w:sz w:val="16"/>
          <w:szCs w:val="16"/>
          <w:u w:color="002060"/>
        </w:rPr>
      </w:pPr>
    </w:p>
    <w:p w14:paraId="0040ED7D" w14:textId="77777777" w:rsidR="00A27478" w:rsidRPr="00507A31" w:rsidRDefault="00A27478" w:rsidP="00507A31">
      <w:pPr>
        <w:jc w:val="both"/>
        <w:rPr>
          <w:bCs/>
          <w:iCs/>
          <w:color w:val="000000" w:themeColor="text1"/>
          <w:sz w:val="16"/>
          <w:szCs w:val="16"/>
        </w:rPr>
      </w:pPr>
      <w:r w:rsidRPr="00507A31">
        <w:rPr>
          <w:color w:val="000000" w:themeColor="text1"/>
          <w:sz w:val="16"/>
          <w:szCs w:val="16"/>
        </w:rPr>
        <w:t>6 Мая 1930 г.</w:t>
      </w:r>
    </w:p>
    <w:p w14:paraId="55E383D7" w14:textId="77777777" w:rsidR="00A27478" w:rsidRPr="00507A31" w:rsidRDefault="00A27478" w:rsidP="00507A31">
      <w:pPr>
        <w:jc w:val="both"/>
        <w:rPr>
          <w:color w:val="000000" w:themeColor="text1"/>
          <w:sz w:val="16"/>
          <w:szCs w:val="16"/>
        </w:rPr>
      </w:pPr>
      <w:r w:rsidRPr="00507A31">
        <w:rPr>
          <w:bCs/>
          <w:iCs/>
          <w:color w:val="000000" w:themeColor="text1"/>
          <w:sz w:val="16"/>
          <w:szCs w:val="16"/>
        </w:rPr>
        <w:t>РГВА Фонд 31811 Опись 1 Дело 38 лист 214</w:t>
      </w:r>
      <w:r w:rsidRPr="00507A31">
        <w:rPr>
          <w:color w:val="000000" w:themeColor="text1"/>
          <w:sz w:val="16"/>
          <w:szCs w:val="16"/>
        </w:rPr>
        <w:t xml:space="preserve"> </w:t>
      </w:r>
    </w:p>
    <w:p w14:paraId="1445A820" w14:textId="77777777" w:rsidR="00A27478" w:rsidRPr="00507A31" w:rsidRDefault="00A27478" w:rsidP="00507A31">
      <w:pPr>
        <w:jc w:val="both"/>
        <w:rPr>
          <w:color w:val="000000" w:themeColor="text1"/>
          <w:sz w:val="16"/>
          <w:szCs w:val="16"/>
        </w:rPr>
      </w:pPr>
      <w:r w:rsidRPr="00507A31">
        <w:rPr>
          <w:color w:val="000000" w:themeColor="text1"/>
          <w:sz w:val="16"/>
          <w:szCs w:val="16"/>
        </w:rPr>
        <w:t xml:space="preserve">Секретно </w:t>
      </w:r>
    </w:p>
    <w:p w14:paraId="4F4F8D65" w14:textId="77777777" w:rsidR="00A27478" w:rsidRPr="00507A31" w:rsidRDefault="00A27478" w:rsidP="00507A31">
      <w:pPr>
        <w:jc w:val="both"/>
        <w:rPr>
          <w:color w:val="000000" w:themeColor="text1"/>
          <w:sz w:val="16"/>
          <w:szCs w:val="16"/>
        </w:rPr>
      </w:pPr>
      <w:r w:rsidRPr="00507A31">
        <w:rPr>
          <w:color w:val="000000" w:themeColor="text1"/>
          <w:sz w:val="16"/>
          <w:szCs w:val="16"/>
        </w:rPr>
        <w:t xml:space="preserve">Экз. № 2 </w:t>
      </w:r>
    </w:p>
    <w:p w14:paraId="39F03741" w14:textId="77777777" w:rsidR="00A27478" w:rsidRPr="00507A31" w:rsidRDefault="00A27478" w:rsidP="00507A31">
      <w:pPr>
        <w:jc w:val="both"/>
        <w:rPr>
          <w:color w:val="000000" w:themeColor="text1"/>
          <w:sz w:val="16"/>
          <w:szCs w:val="16"/>
        </w:rPr>
      </w:pPr>
      <w:r w:rsidRPr="00507A31">
        <w:rPr>
          <w:color w:val="000000" w:themeColor="text1"/>
          <w:sz w:val="16"/>
          <w:szCs w:val="16"/>
        </w:rPr>
        <w:t xml:space="preserve">6 Мая 1930 г. </w:t>
      </w:r>
    </w:p>
    <w:p w14:paraId="4F84911A" w14:textId="77777777" w:rsidR="00A27478" w:rsidRPr="00507A31" w:rsidRDefault="00A27478" w:rsidP="00507A31">
      <w:pPr>
        <w:jc w:val="both"/>
        <w:rPr>
          <w:color w:val="000000" w:themeColor="text1"/>
          <w:sz w:val="16"/>
          <w:szCs w:val="16"/>
        </w:rPr>
      </w:pPr>
      <w:r w:rsidRPr="00507A31">
        <w:rPr>
          <w:color w:val="000000" w:themeColor="text1"/>
          <w:sz w:val="16"/>
          <w:szCs w:val="16"/>
        </w:rPr>
        <w:t xml:space="preserve">№ 90537 </w:t>
      </w:r>
    </w:p>
    <w:p w14:paraId="2BBF8024" w14:textId="77777777" w:rsidR="00A27478" w:rsidRPr="00507A31" w:rsidRDefault="00A27478" w:rsidP="00507A31">
      <w:pPr>
        <w:jc w:val="both"/>
        <w:rPr>
          <w:color w:val="000000" w:themeColor="text1"/>
          <w:sz w:val="16"/>
          <w:szCs w:val="16"/>
        </w:rPr>
      </w:pPr>
      <w:r w:rsidRPr="00507A31">
        <w:rPr>
          <w:color w:val="000000" w:themeColor="text1"/>
          <w:sz w:val="16"/>
          <w:szCs w:val="16"/>
        </w:rPr>
        <w:t>Народному Комиссару по Военным и Морским Делам</w:t>
      </w:r>
    </w:p>
    <w:p w14:paraId="6CA3BBEB" w14:textId="77777777" w:rsidR="00A27478" w:rsidRPr="00507A31" w:rsidRDefault="00A27478" w:rsidP="00507A31">
      <w:pPr>
        <w:jc w:val="both"/>
        <w:rPr>
          <w:color w:val="000000" w:themeColor="text1"/>
          <w:sz w:val="16"/>
          <w:szCs w:val="16"/>
        </w:rPr>
      </w:pPr>
      <w:r w:rsidRPr="00507A31">
        <w:rPr>
          <w:color w:val="000000" w:themeColor="text1"/>
          <w:sz w:val="16"/>
          <w:szCs w:val="16"/>
        </w:rPr>
        <w:t>и Председателю РВС СССР</w:t>
      </w:r>
    </w:p>
    <w:p w14:paraId="606D1437" w14:textId="77777777" w:rsidR="00A27478" w:rsidRPr="00507A31" w:rsidRDefault="00A27478" w:rsidP="00507A31">
      <w:pPr>
        <w:jc w:val="both"/>
        <w:rPr>
          <w:color w:val="000000" w:themeColor="text1"/>
          <w:sz w:val="16"/>
          <w:szCs w:val="16"/>
        </w:rPr>
      </w:pPr>
      <w:r w:rsidRPr="00507A31">
        <w:rPr>
          <w:color w:val="000000" w:themeColor="text1"/>
          <w:sz w:val="16"/>
          <w:szCs w:val="16"/>
        </w:rPr>
        <w:t>Рапорт</w:t>
      </w:r>
    </w:p>
    <w:p w14:paraId="53AD66E8" w14:textId="77777777" w:rsidR="00A27478" w:rsidRPr="00507A31" w:rsidRDefault="00A27478" w:rsidP="00507A31">
      <w:pPr>
        <w:jc w:val="both"/>
        <w:rPr>
          <w:color w:val="000000" w:themeColor="text1"/>
          <w:sz w:val="16"/>
          <w:szCs w:val="16"/>
        </w:rPr>
      </w:pPr>
      <w:r w:rsidRPr="00507A31">
        <w:rPr>
          <w:color w:val="000000" w:themeColor="text1"/>
          <w:sz w:val="16"/>
          <w:szCs w:val="16"/>
        </w:rPr>
        <w:t xml:space="preserve">Согласно запроса тов. ХАЛЕПСКОГО о командировании в Америку одного инженера УМ РККА выдвигает кандидатуру Председателя Тракторной Секции НТК УМ РККА тов. ТОСКИНА Н.М. </w:t>
      </w:r>
    </w:p>
    <w:p w14:paraId="3E51C5D2" w14:textId="77777777" w:rsidR="00A27478" w:rsidRPr="00507A31" w:rsidRDefault="00A27478" w:rsidP="00507A31">
      <w:pPr>
        <w:jc w:val="both"/>
        <w:rPr>
          <w:color w:val="000000" w:themeColor="text1"/>
          <w:sz w:val="16"/>
          <w:szCs w:val="16"/>
        </w:rPr>
      </w:pPr>
      <w:r w:rsidRPr="00507A31">
        <w:rPr>
          <w:color w:val="000000" w:themeColor="text1"/>
          <w:sz w:val="16"/>
          <w:szCs w:val="16"/>
        </w:rPr>
        <w:t xml:space="preserve">Прошу Вашего указания. </w:t>
      </w:r>
    </w:p>
    <w:p w14:paraId="621EE693" w14:textId="77777777" w:rsidR="00A27478" w:rsidRPr="00507A31" w:rsidRDefault="00A27478" w:rsidP="00507A31">
      <w:pPr>
        <w:jc w:val="both"/>
        <w:rPr>
          <w:color w:val="000000" w:themeColor="text1"/>
          <w:sz w:val="16"/>
          <w:szCs w:val="16"/>
        </w:rPr>
      </w:pPr>
      <w:r w:rsidRPr="00507A31">
        <w:rPr>
          <w:color w:val="000000" w:themeColor="text1"/>
          <w:sz w:val="16"/>
          <w:szCs w:val="16"/>
        </w:rPr>
        <w:t>п/п Врид. Начальника УМ РККА (Калиновский)</w:t>
      </w:r>
    </w:p>
    <w:p w14:paraId="568074B6" w14:textId="77777777" w:rsidR="00A27478" w:rsidRPr="00507A31" w:rsidRDefault="00A27478" w:rsidP="00507A31">
      <w:pPr>
        <w:jc w:val="both"/>
        <w:rPr>
          <w:color w:val="000000" w:themeColor="text1"/>
          <w:sz w:val="16"/>
          <w:szCs w:val="16"/>
        </w:rPr>
      </w:pPr>
      <w:r w:rsidRPr="00507A31">
        <w:rPr>
          <w:color w:val="000000" w:themeColor="text1"/>
          <w:sz w:val="16"/>
          <w:szCs w:val="16"/>
        </w:rPr>
        <w:t xml:space="preserve">Отпечатано в 2 экз. </w:t>
      </w:r>
    </w:p>
    <w:p w14:paraId="190A45C2" w14:textId="77777777" w:rsidR="00A27478" w:rsidRPr="00507A31" w:rsidRDefault="00A27478" w:rsidP="00507A31">
      <w:pPr>
        <w:jc w:val="both"/>
        <w:rPr>
          <w:color w:val="000000" w:themeColor="text1"/>
          <w:sz w:val="16"/>
          <w:szCs w:val="16"/>
        </w:rPr>
      </w:pPr>
      <w:r w:rsidRPr="00507A31">
        <w:rPr>
          <w:color w:val="000000" w:themeColor="text1"/>
          <w:sz w:val="16"/>
          <w:szCs w:val="16"/>
        </w:rPr>
        <w:t xml:space="preserve">экз. № 1 – Наркому </w:t>
      </w:r>
    </w:p>
    <w:p w14:paraId="3A22DC93" w14:textId="77777777" w:rsidR="00A27478" w:rsidRPr="00507A31" w:rsidRDefault="00A27478" w:rsidP="00507A31">
      <w:pPr>
        <w:jc w:val="both"/>
        <w:rPr>
          <w:color w:val="000000" w:themeColor="text1"/>
          <w:sz w:val="16"/>
          <w:szCs w:val="16"/>
        </w:rPr>
      </w:pPr>
      <w:r w:rsidRPr="00507A31">
        <w:rPr>
          <w:color w:val="000000" w:themeColor="text1"/>
          <w:sz w:val="16"/>
          <w:szCs w:val="16"/>
        </w:rPr>
        <w:t>экз. № 2 – в деле (19752).</w:t>
      </w:r>
    </w:p>
    <w:p w14:paraId="6674B69C" w14:textId="0AFA1C58" w:rsidR="00A27478" w:rsidRPr="00507A31" w:rsidRDefault="00A27478" w:rsidP="00507A31">
      <w:pPr>
        <w:jc w:val="both"/>
        <w:rPr>
          <w:color w:val="000000" w:themeColor="text1"/>
          <w:sz w:val="16"/>
          <w:szCs w:val="16"/>
        </w:rPr>
      </w:pPr>
    </w:p>
    <w:p w14:paraId="381E13F1" w14:textId="2F0F33CA" w:rsidR="00343BB2" w:rsidRPr="00507A31" w:rsidRDefault="00343BB2" w:rsidP="00507A31">
      <w:pPr>
        <w:jc w:val="both"/>
        <w:rPr>
          <w:i/>
          <w:iCs/>
          <w:color w:val="000000" w:themeColor="text1"/>
          <w:sz w:val="16"/>
          <w:szCs w:val="16"/>
        </w:rPr>
      </w:pPr>
      <w:r w:rsidRPr="00507A31">
        <w:rPr>
          <w:i/>
          <w:iCs/>
          <w:color w:val="000000" w:themeColor="text1"/>
          <w:sz w:val="16"/>
          <w:szCs w:val="16"/>
        </w:rPr>
        <w:t>Армия:</w:t>
      </w:r>
    </w:p>
    <w:p w14:paraId="2F64A8D3" w14:textId="77777777" w:rsidR="00343BB2" w:rsidRPr="00507A31" w:rsidRDefault="00343BB2" w:rsidP="00507A31">
      <w:pPr>
        <w:jc w:val="both"/>
        <w:rPr>
          <w:i/>
          <w:iCs/>
          <w:color w:val="000000" w:themeColor="text1"/>
          <w:sz w:val="16"/>
          <w:szCs w:val="16"/>
        </w:rPr>
      </w:pPr>
    </w:p>
    <w:p w14:paraId="43B556BE" w14:textId="77777777" w:rsidR="00343BB2" w:rsidRPr="00507A31" w:rsidRDefault="00343BB2" w:rsidP="00507A31">
      <w:pPr>
        <w:shd w:val="clear" w:color="auto" w:fill="FFFFFF"/>
        <w:jc w:val="both"/>
        <w:rPr>
          <w:color w:val="0070C0"/>
          <w:sz w:val="16"/>
          <w:szCs w:val="16"/>
        </w:rPr>
      </w:pPr>
      <w:r w:rsidRPr="00507A31">
        <w:rPr>
          <w:color w:val="0070C0"/>
          <w:sz w:val="16"/>
          <w:szCs w:val="16"/>
        </w:rPr>
        <w:t>6 мая 1930 у начальника Штаба состоялось два совещания с комвойсками, посвященных "реорганизации пехотных подразделений" и организации тыла (Третье совещание у Шапошникова (11 мая), на котором обсуждались вопросы реорганизации конницы, проходило без участия кома идущих войсками). На этот раз командующие были представлены руководителями трех западных округов - Тухачевским, Егоровым и Якиром. Постановление совещания оправдывало решения РВС о фактической корректировке норм, указанных правительством, ссылками как на "технологические" требования военного дела, так и на принятую правительством военную доктрину. Улучшение организации и оснащения пехоты и в особенности развитие техчастей, отмечалось в резолюции совещания от 6 мая, требуют превышения трехмиллионного лимита, который определяет предложения Штаба о развертывании 110 стрелковых дивизий по мобплану N° 12. " Между тем для осуществления Постановления Правительства: "НЕ УСТУПАТЬ ПРОТИВНИКУ В ЧИСЛЕННОСТИ НА ГЛАВНОМ ТЕАТРЕ ВОЕННЫХ ДЕЙСТВИЙ" - необходимо иметь как минимум 115-120 стрелковых дивизий (у вероятных противников - 118 пехотных дивизий)" (Протокол № 1 совещания у Начальника Штаба РККА от 6.05-1930 // Там же. Л. 28-29.). Если Реввоенсовет 13 апреля пересмотрел решения правительства по авиации и отчасти по артсистемам при подтверждении лимита численности армии, то 6 мая "ввиду вышеизложенного Совещание Командующих военных округов приходит к выводу, что минимальный лимит численности армии военного времени к концу пятилетки, при условии сохранения при варианте 110 стрелковых дивизий, должен ориентировочно выразиться в 3 500 000 челов[ек]". До совещания Штаб, согласно первому пункту решения РВСС, изыскивал способы сокращения армии до уровня ниже 3250 тыс. человек (Записка Начальника Штаба РККА Шапошникова Начальнику' II Управления Штаба Венцову, 1.05.1930 // Там же. Д. 994- Л. 33-34 об.). К середине мая им была спроектирована армия численностью в 3350 тыс. человек (Доклад Начальника Штаба РККА Шапошникова в РВС СССР, 18.05.1930 // Там же. Л. 16) (22725).</w:t>
      </w:r>
    </w:p>
    <w:p w14:paraId="1ECD86AD" w14:textId="77777777" w:rsidR="00343BB2" w:rsidRPr="00507A31" w:rsidRDefault="00343BB2" w:rsidP="00507A31">
      <w:pPr>
        <w:jc w:val="both"/>
        <w:rPr>
          <w:color w:val="0070C0"/>
          <w:sz w:val="16"/>
          <w:szCs w:val="16"/>
        </w:rPr>
      </w:pPr>
    </w:p>
    <w:p w14:paraId="268E7C4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3418D93" w14:textId="77777777" w:rsidR="00537E5F" w:rsidRPr="00507A31" w:rsidRDefault="00537E5F" w:rsidP="00507A31">
      <w:pPr>
        <w:autoSpaceDE w:val="0"/>
        <w:autoSpaceDN w:val="0"/>
        <w:adjustRightInd w:val="0"/>
        <w:jc w:val="both"/>
        <w:rPr>
          <w:iCs/>
          <w:color w:val="000000" w:themeColor="text1"/>
          <w:sz w:val="16"/>
          <w:szCs w:val="16"/>
        </w:rPr>
      </w:pPr>
    </w:p>
    <w:p w14:paraId="44E11093" w14:textId="77777777" w:rsidR="00A740F5" w:rsidRPr="00507A31" w:rsidRDefault="00A740F5" w:rsidP="00507A31">
      <w:pPr>
        <w:jc w:val="both"/>
        <w:rPr>
          <w:color w:val="000000" w:themeColor="text1"/>
          <w:sz w:val="16"/>
          <w:szCs w:val="16"/>
        </w:rPr>
      </w:pPr>
      <w:r w:rsidRPr="00507A31">
        <w:rPr>
          <w:color w:val="000000" w:themeColor="text1"/>
          <w:sz w:val="16"/>
          <w:szCs w:val="16"/>
        </w:rPr>
        <w:t xml:space="preserve">6 мая в 1930 году впервые поднялся в воздух первый экземпляр самолета </w:t>
      </w:r>
      <w:hyperlink r:id="rId80" w:tgtFrame="_blank" w:history="1">
        <w:r w:rsidRPr="00507A31">
          <w:rPr>
            <w:color w:val="000000" w:themeColor="text1"/>
            <w:sz w:val="16"/>
            <w:szCs w:val="16"/>
          </w:rPr>
          <w:t xml:space="preserve">«LH-41». </w:t>
        </w:r>
      </w:hyperlink>
      <w:r w:rsidRPr="00507A31">
        <w:rPr>
          <w:color w:val="000000" w:themeColor="text1"/>
          <w:sz w:val="16"/>
          <w:szCs w:val="16"/>
        </w:rPr>
        <w:t>Это был одноместный низкоплан, оснащенный двигателем «Lorraine» «9Nb» «Algol Junior «мощностью 230 л.с. Гоночный самолет «Lorraine Hanriot» «LH-41» был специально разработан для участия в авиасоревнованиях «Coupe Michelin». Самолет, пилотируемый Марселем Ажеланом, принял участие в гонках «Coupe Michelin» 1930 года. Однако завершить их не удалось - 29 июня самолет потерпел аварию при посадке (14883).</w:t>
      </w:r>
    </w:p>
    <w:p w14:paraId="0945BEE2" w14:textId="77777777" w:rsidR="00A740F5" w:rsidRPr="00507A31" w:rsidRDefault="00A740F5" w:rsidP="00507A31">
      <w:pPr>
        <w:jc w:val="both"/>
        <w:rPr>
          <w:color w:val="000000" w:themeColor="text1"/>
          <w:sz w:val="16"/>
          <w:szCs w:val="16"/>
        </w:rPr>
      </w:pPr>
    </w:p>
    <w:p w14:paraId="328F5371" w14:textId="77777777" w:rsidR="00343BB2" w:rsidRPr="00507A31" w:rsidRDefault="00343BB2" w:rsidP="00507A31">
      <w:pPr>
        <w:jc w:val="both"/>
        <w:rPr>
          <w:color w:val="0070C0"/>
          <w:sz w:val="16"/>
          <w:szCs w:val="16"/>
        </w:rPr>
      </w:pPr>
      <w:r w:rsidRPr="00507A31">
        <w:rPr>
          <w:color w:val="0070C0"/>
          <w:sz w:val="16"/>
          <w:szCs w:val="16"/>
        </w:rPr>
        <w:t>6 мая 1930 - Во Франции впервые поднялся в воздух первый экземпляр самолета LH-41.</w:t>
      </w:r>
    </w:p>
    <w:p w14:paraId="3F80F596" w14:textId="77777777" w:rsidR="00343BB2" w:rsidRPr="00507A31" w:rsidRDefault="00343BB2" w:rsidP="00507A31">
      <w:pPr>
        <w:jc w:val="both"/>
        <w:rPr>
          <w:color w:val="0070C0"/>
          <w:sz w:val="16"/>
          <w:szCs w:val="16"/>
        </w:rPr>
      </w:pPr>
      <w:r w:rsidRPr="00507A31">
        <w:rPr>
          <w:color w:val="0070C0"/>
          <w:sz w:val="16"/>
          <w:szCs w:val="16"/>
        </w:rPr>
        <w:t>Это был одноместный низкоплан, оснащенный двигателем Lorraine 9Nb Algol Junior мощностью 230 л.с. Гоночный самолет Lorraine Hanriot LH-41 был специально разработан для участия в авиасоревнованиях Coupe Michelin. Самолет, пилотируемый Марселем Ажеланом, принял участие в гонках Coupe Michelin 1930 года. Однако завершить их не удалось - 29 июня самолет потерпел аварию при посадке (22511).</w:t>
      </w:r>
    </w:p>
    <w:p w14:paraId="515A45AC" w14:textId="77777777" w:rsidR="00343BB2" w:rsidRPr="00507A31" w:rsidRDefault="00343BB2" w:rsidP="00507A31">
      <w:pPr>
        <w:jc w:val="both"/>
        <w:rPr>
          <w:color w:val="0070C0"/>
          <w:sz w:val="16"/>
          <w:szCs w:val="16"/>
        </w:rPr>
      </w:pPr>
    </w:p>
    <w:p w14:paraId="53B891A8" w14:textId="77777777" w:rsidR="00A740F5" w:rsidRPr="00507A31" w:rsidRDefault="00A740F5" w:rsidP="00507A31">
      <w:pPr>
        <w:jc w:val="both"/>
        <w:rPr>
          <w:color w:val="000000" w:themeColor="text1"/>
          <w:sz w:val="16"/>
          <w:szCs w:val="16"/>
        </w:rPr>
      </w:pPr>
      <w:r w:rsidRPr="00507A31">
        <w:rPr>
          <w:color w:val="000000" w:themeColor="text1"/>
          <w:sz w:val="16"/>
          <w:szCs w:val="16"/>
        </w:rPr>
        <w:t xml:space="preserve">6 мая в 1930 году состоялся первый полет нового легкого бомбардировщика-разведчика фирмы </w:t>
      </w:r>
      <w:hyperlink r:id="rId81" w:tgtFrame="_blank" w:history="1">
        <w:r w:rsidRPr="00507A31">
          <w:rPr>
            <w:color w:val="000000" w:themeColor="text1"/>
            <w:sz w:val="16"/>
            <w:szCs w:val="16"/>
          </w:rPr>
          <w:t xml:space="preserve">«BFW» «M-22», </w:t>
        </w:r>
      </w:hyperlink>
      <w:r w:rsidRPr="00507A31">
        <w:rPr>
          <w:color w:val="000000" w:themeColor="text1"/>
          <w:sz w:val="16"/>
          <w:szCs w:val="16"/>
        </w:rPr>
        <w:t>который изначально задумывался как истребитель-разведчик. Уже первый полет принес одни разочарования: при посадке с «M-22» случилась авария - сломалось шасси. Еще несколько месяцев самолет доводили до ума, однако это не помогло - 14 октября в испытательном полете погиб пилот-испытатель «RWM» Эбергарт Монике. Эта катастрофа поставила крест на дальнейшей судьбе «M-22» (14883).</w:t>
      </w:r>
    </w:p>
    <w:p w14:paraId="6AB8C4A7" w14:textId="77777777" w:rsidR="00A740F5" w:rsidRPr="00507A31" w:rsidRDefault="00A740F5" w:rsidP="00507A31">
      <w:pPr>
        <w:jc w:val="both"/>
        <w:rPr>
          <w:color w:val="000000" w:themeColor="text1"/>
          <w:sz w:val="16"/>
          <w:szCs w:val="16"/>
        </w:rPr>
      </w:pPr>
    </w:p>
    <w:p w14:paraId="66623B73" w14:textId="77777777" w:rsidR="00343BB2" w:rsidRPr="00507A31" w:rsidRDefault="00343BB2" w:rsidP="00507A31">
      <w:pPr>
        <w:jc w:val="both"/>
        <w:rPr>
          <w:color w:val="0070C0"/>
          <w:sz w:val="16"/>
          <w:szCs w:val="16"/>
        </w:rPr>
      </w:pPr>
      <w:r w:rsidRPr="00507A31">
        <w:rPr>
          <w:color w:val="0070C0"/>
          <w:sz w:val="16"/>
          <w:szCs w:val="16"/>
        </w:rPr>
        <w:t>6 мая 1930 - Состоялся первый полет нового легкого бомбардировщика-разведчика фирмы конструкции Вилли Мессершмита BFW M-22, который изначально задумывался как истребитель-разведчик. Уже первый полет принес одни разочарования: при посадке с M-22 случилась авария - сломалось шасси. Еще несколько месяцев самолет доводили до ума, однако это не помогло - 14 октября в испытательном полете погиб пилот-испытатель RWM Эбергарт Монике. Эта катастрофа поставила крест на дальнейшей судьбе M-22 (22511).</w:t>
      </w:r>
    </w:p>
    <w:p w14:paraId="618F8B22" w14:textId="77777777" w:rsidR="00343BB2" w:rsidRPr="00507A31" w:rsidRDefault="00343BB2" w:rsidP="00507A31">
      <w:pPr>
        <w:jc w:val="both"/>
        <w:rPr>
          <w:color w:val="0070C0"/>
          <w:sz w:val="16"/>
          <w:szCs w:val="16"/>
        </w:rPr>
      </w:pPr>
    </w:p>
    <w:p w14:paraId="4D5D26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мая 1930 первый полет выполнил Боинг Модель 200 Monomail, первый цельнометаллический низкоплан (2274).</w:t>
      </w:r>
    </w:p>
    <w:p w14:paraId="09A3117A" w14:textId="77777777" w:rsidR="00537E5F" w:rsidRPr="00507A31" w:rsidRDefault="00537E5F" w:rsidP="00507A31">
      <w:pPr>
        <w:autoSpaceDE w:val="0"/>
        <w:autoSpaceDN w:val="0"/>
        <w:adjustRightInd w:val="0"/>
        <w:jc w:val="both"/>
        <w:rPr>
          <w:color w:val="000000" w:themeColor="text1"/>
          <w:sz w:val="16"/>
          <w:szCs w:val="16"/>
        </w:rPr>
      </w:pPr>
    </w:p>
    <w:p w14:paraId="311A2435" w14:textId="77777777" w:rsidR="00343BB2" w:rsidRPr="00507A31" w:rsidRDefault="00343BB2" w:rsidP="00507A31">
      <w:pPr>
        <w:jc w:val="both"/>
        <w:rPr>
          <w:color w:val="0070C0"/>
          <w:sz w:val="16"/>
          <w:szCs w:val="16"/>
        </w:rPr>
      </w:pPr>
      <w:r w:rsidRPr="00507A31">
        <w:rPr>
          <w:color w:val="0070C0"/>
          <w:sz w:val="16"/>
          <w:szCs w:val="16"/>
        </w:rPr>
        <w:t>6 мая 1930 года — первый полёт лёгкого транспортного самолёта Boeing Monomail.</w:t>
      </w:r>
    </w:p>
    <w:p w14:paraId="52EBC28B" w14:textId="77777777" w:rsidR="00343BB2" w:rsidRPr="00507A31" w:rsidRDefault="00343BB2" w:rsidP="00507A31">
      <w:pPr>
        <w:jc w:val="both"/>
        <w:rPr>
          <w:color w:val="0070C0"/>
          <w:sz w:val="16"/>
          <w:szCs w:val="16"/>
        </w:rPr>
      </w:pPr>
      <w:r w:rsidRPr="00507A31">
        <w:rPr>
          <w:color w:val="0070C0"/>
          <w:sz w:val="16"/>
          <w:szCs w:val="16"/>
        </w:rPr>
        <w:t>В 1928 году компания начала работы над истребителем-монопланом Model 96. Но именно транспортный Monomail стал первым монопланом авиастроителей из Сиэтла, поднявшимся в небо.</w:t>
      </w:r>
    </w:p>
    <w:p w14:paraId="39933EAA" w14:textId="77777777" w:rsidR="00343BB2" w:rsidRPr="00507A31" w:rsidRDefault="00343BB2" w:rsidP="00507A31">
      <w:pPr>
        <w:jc w:val="both"/>
        <w:rPr>
          <w:color w:val="0070C0"/>
          <w:sz w:val="16"/>
          <w:szCs w:val="16"/>
        </w:rPr>
      </w:pPr>
      <w:r w:rsidRPr="00507A31">
        <w:rPr>
          <w:color w:val="0070C0"/>
          <w:sz w:val="16"/>
          <w:szCs w:val="16"/>
        </w:rPr>
        <w:t>Boeing Monomail представлял собой одномоторный цельнометаллический низкоплан с полуубирающимся шасси и открытой пилотской кабиной. Выпустили 2 самолёта в 3 модификациях: Model 200 — чисто почтовый, Model 221 — удлинённая версия с кабиной на 6 пассажиров и Model 221A — переделанные под 8 пассажиров модели 200 и 221.</w:t>
      </w:r>
    </w:p>
    <w:p w14:paraId="7608FC54" w14:textId="60D7D660" w:rsidR="00343BB2" w:rsidRPr="00507A31" w:rsidRDefault="00343BB2" w:rsidP="00507A31">
      <w:pPr>
        <w:jc w:val="both"/>
        <w:rPr>
          <w:color w:val="0070C0"/>
          <w:sz w:val="16"/>
          <w:szCs w:val="16"/>
        </w:rPr>
      </w:pPr>
      <w:r w:rsidRPr="00507A31">
        <w:rPr>
          <w:color w:val="0070C0"/>
          <w:sz w:val="16"/>
          <w:szCs w:val="16"/>
        </w:rPr>
        <w:t xml:space="preserve">Все Monomail летали под флагом собственной авиакомпании производителя — Boeing Air Transport — и United Air Lines. Массовому производству самолётов помешало отсутствие подходящего двигателя и пропеллера. Тем не менее, опыт, полученный при его разработке, пригодился в последующих проектах — пассажирского 6 мая 1930 первый полет- Boeing Monomail (20805). </w:t>
      </w:r>
    </w:p>
    <w:p w14:paraId="51C5111C" w14:textId="77777777" w:rsidR="00343BB2" w:rsidRPr="00507A31" w:rsidRDefault="00343BB2" w:rsidP="00507A31">
      <w:pPr>
        <w:jc w:val="both"/>
        <w:rPr>
          <w:color w:val="0070C0"/>
          <w:sz w:val="16"/>
          <w:szCs w:val="16"/>
        </w:rPr>
      </w:pPr>
    </w:p>
    <w:p w14:paraId="102E3CE9" w14:textId="77777777" w:rsidR="00343BB2" w:rsidRPr="00507A31" w:rsidRDefault="00343BB2" w:rsidP="00507A31">
      <w:pPr>
        <w:jc w:val="both"/>
        <w:rPr>
          <w:color w:val="0070C0"/>
          <w:sz w:val="16"/>
          <w:szCs w:val="16"/>
        </w:rPr>
      </w:pPr>
      <w:r w:rsidRPr="00507A31">
        <w:rPr>
          <w:color w:val="0070C0"/>
          <w:sz w:val="16"/>
          <w:szCs w:val="16"/>
        </w:rPr>
        <w:t>6 мая 1930 - Первый полет почтового самолета Boeing Model 200 Monomail. Самолет был цельнометаллическим свободнонесущим низкопланом. Фюзеляж типа полумонокок имел круглое сечение, что отвечало требованиям аэродинамики. В конструкции крыла применялось любопытное решение: к лонжеронам крепился лист гофрированного дюралюминия, а к нему - гладкая обшивка.</w:t>
      </w:r>
    </w:p>
    <w:p w14:paraId="58E37309" w14:textId="77777777" w:rsidR="00343BB2" w:rsidRPr="00507A31" w:rsidRDefault="00343BB2" w:rsidP="00507A31">
      <w:pPr>
        <w:jc w:val="both"/>
        <w:rPr>
          <w:color w:val="0070C0"/>
          <w:sz w:val="16"/>
          <w:szCs w:val="16"/>
        </w:rPr>
      </w:pPr>
      <w:r w:rsidRPr="00507A31">
        <w:rPr>
          <w:color w:val="0070C0"/>
          <w:sz w:val="16"/>
          <w:szCs w:val="16"/>
        </w:rPr>
        <w:t>Конструктивно и с точки зрения аэродинамики "Мономейл" соответствовал последним достижениям техники, но компоновка была откровенно консервативной: в районе центра тяжести находился отсек для почты, а за ним - открытая пилотская кабина. Первый "Мономейл" в своем первоначальном виде полностью соответствовал названию и был исключительно почтовым. Прототип (Модель-200, регистр. NX-725W, зав. No.1153) впервые поднялся в воздух 6 мая 1930 года, пилотировал машину Слим Льюис. В одном из испытательных полетов Льюис, к ужасу наблюдателей, сделал три петли Нестерова, подтвердив тем самым прочность конструкции.</w:t>
      </w:r>
    </w:p>
    <w:p w14:paraId="28C1098C" w14:textId="77777777" w:rsidR="00343BB2" w:rsidRPr="00507A31" w:rsidRDefault="00343BB2" w:rsidP="00507A31">
      <w:pPr>
        <w:jc w:val="both"/>
        <w:rPr>
          <w:color w:val="0070C0"/>
          <w:sz w:val="16"/>
          <w:szCs w:val="16"/>
        </w:rPr>
      </w:pPr>
      <w:r w:rsidRPr="00507A31">
        <w:rPr>
          <w:color w:val="0070C0"/>
          <w:sz w:val="16"/>
          <w:szCs w:val="16"/>
        </w:rPr>
        <w:t>Несмотря на прекрасную аэродинамику, самолет разочаровал специалистов. Собственно говоря, самолет здесь был ни при чем: причина крылась в воздушном винте. На Модели-200 стоял винт изменяемого шага, но шаг его можно было регулировать только на земле - гидравлических механизмов его изменения тогда еще не было.</w:t>
      </w:r>
    </w:p>
    <w:p w14:paraId="1097FB35" w14:textId="77777777" w:rsidR="00343BB2" w:rsidRPr="00507A31" w:rsidRDefault="00343BB2" w:rsidP="00507A31">
      <w:pPr>
        <w:jc w:val="both"/>
        <w:rPr>
          <w:color w:val="0070C0"/>
          <w:sz w:val="16"/>
          <w:szCs w:val="16"/>
        </w:rPr>
      </w:pPr>
      <w:r w:rsidRPr="00507A31">
        <w:rPr>
          <w:color w:val="0070C0"/>
          <w:sz w:val="16"/>
          <w:szCs w:val="16"/>
        </w:rPr>
        <w:t>В результате при установке винта на малый шаг для взлета крейсерская скорость едва достигала 216 км/ч, и все преимущества прекрасной аэродинамики пропадали даром, а при установке винта на большой шаг, необходимый для крейсерского полета, машина едва могла оторваться от земли. Поэтому "Мономейл" не вызвал интереса у авиакомпаний (22511).</w:t>
      </w:r>
    </w:p>
    <w:p w14:paraId="318CCE56" w14:textId="77777777" w:rsidR="00343BB2" w:rsidRPr="00507A31" w:rsidRDefault="00343BB2" w:rsidP="00507A31">
      <w:pPr>
        <w:jc w:val="both"/>
        <w:rPr>
          <w:color w:val="0070C0"/>
          <w:sz w:val="16"/>
          <w:szCs w:val="16"/>
        </w:rPr>
      </w:pPr>
    </w:p>
    <w:p w14:paraId="36B86D34" w14:textId="77777777" w:rsidR="006807D6" w:rsidRPr="00507A31" w:rsidRDefault="006807D6"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C4241B3" w14:textId="77777777" w:rsidR="006807D6" w:rsidRPr="00507A31" w:rsidRDefault="006807D6" w:rsidP="00507A31">
      <w:pPr>
        <w:autoSpaceDE w:val="0"/>
        <w:autoSpaceDN w:val="0"/>
        <w:adjustRightInd w:val="0"/>
        <w:jc w:val="both"/>
        <w:rPr>
          <w:iCs/>
          <w:color w:val="000000" w:themeColor="text1"/>
          <w:sz w:val="16"/>
          <w:szCs w:val="16"/>
        </w:rPr>
      </w:pPr>
    </w:p>
    <w:p w14:paraId="3CC1812F" w14:textId="77777777" w:rsidR="006807D6" w:rsidRPr="00507A31" w:rsidRDefault="006807D6" w:rsidP="00507A31">
      <w:pPr>
        <w:shd w:val="clear" w:color="auto" w:fill="FFFFFF"/>
        <w:jc w:val="both"/>
        <w:rPr>
          <w:color w:val="0070C0"/>
          <w:sz w:val="16"/>
          <w:szCs w:val="16"/>
        </w:rPr>
      </w:pPr>
      <w:r w:rsidRPr="00507A31">
        <w:rPr>
          <w:color w:val="0070C0"/>
          <w:sz w:val="16"/>
          <w:szCs w:val="16"/>
          <w:shd w:val="clear" w:color="auto" w:fill="FFFFFF"/>
        </w:rPr>
        <w:t>В начале мая 1930 года советским представителем на U.S. Wheel Track Layer Corporation Кристи был назначен начальник технического отдела Управления моторизации и механизации РККА Н.М. Тоскин. Тоскин заметил, например, что Кристи строит еще один танк, причем конструктивно он был лучше, чем те два образца, которые выпускались для Советского Союза (20339).</w:t>
      </w:r>
    </w:p>
    <w:p w14:paraId="6685B70C" w14:textId="77777777" w:rsidR="006807D6" w:rsidRPr="00507A31" w:rsidRDefault="006807D6" w:rsidP="00507A31">
      <w:pPr>
        <w:shd w:val="clear" w:color="auto" w:fill="FFFFFF"/>
        <w:jc w:val="both"/>
        <w:rPr>
          <w:color w:val="0070C0"/>
          <w:sz w:val="16"/>
          <w:szCs w:val="16"/>
        </w:rPr>
      </w:pPr>
    </w:p>
    <w:p w14:paraId="4FE22460" w14:textId="77777777" w:rsidR="007532E0" w:rsidRPr="00507A31" w:rsidRDefault="007532E0"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19A536A" w14:textId="77777777" w:rsidR="007532E0" w:rsidRPr="00507A31" w:rsidRDefault="007532E0" w:rsidP="00507A31">
      <w:pPr>
        <w:autoSpaceDE w:val="0"/>
        <w:autoSpaceDN w:val="0"/>
        <w:adjustRightInd w:val="0"/>
        <w:jc w:val="both"/>
        <w:rPr>
          <w:iCs/>
          <w:color w:val="000000" w:themeColor="text1"/>
          <w:sz w:val="16"/>
          <w:szCs w:val="16"/>
        </w:rPr>
      </w:pPr>
    </w:p>
    <w:p w14:paraId="087EC980" w14:textId="77777777" w:rsidR="007532E0" w:rsidRPr="00507A31" w:rsidRDefault="007532E0"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К 7 мая 1930 г. завод сдал всего 40 машин И-4, еще 12 готовых ожидали приемки. Но в июне на заводском дворе опять скопилось два десятка не принятых истребителей, поскольку в НИИ ВВС забраковали установку прицела КП-1 (19100).</w:t>
      </w:r>
    </w:p>
    <w:p w14:paraId="0304EBA0" w14:textId="77777777" w:rsidR="007532E0" w:rsidRPr="00507A31" w:rsidRDefault="007532E0"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В октябре 1928 г. в план Авиатреста включили разработку с применением новых отечественных пулеметов ПВ-1. Последний представлял собой переделку пехотного «Максима» под воздушное охлаждение и большую скорострельность. ПВ-1 был тяжелее «Виккерса»: он весил 14,97 кг против 11,7 кг. Боезапас оставили прежним - по 1000 патронов на ствол.</w:t>
      </w:r>
    </w:p>
    <w:p w14:paraId="6ED00E79" w14:textId="77777777" w:rsidR="007532E0" w:rsidRPr="00507A31" w:rsidRDefault="007532E0"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В одном случае предполагалось использование двух пулеметов с подачей ленты справа, а в другом, «зеркально- симметричном», - один пулемет должен был иметь правый приемник ленты, а второй - левый. Дело несколько осложнялось тем, что ПВ-1 с левым приемником еще не существовало. Лишь в конце декабря 1928 г. его, наконец, воплотили в металл. Затем образец пулемета отстреливали в НИИ ВВС и доводили. Только в декабре 1929 г. «зеркально-симметричный» вариант вооружения смонтировали на одном из И-4. В январе 1930 г. этот самолет прибыл в НИИ ВВС. Там после испытаний пулеметные установки забраковали (19100).</w:t>
      </w:r>
    </w:p>
    <w:p w14:paraId="3EC81E63" w14:textId="77777777" w:rsidR="007532E0" w:rsidRPr="00507A31" w:rsidRDefault="007532E0" w:rsidP="00507A31">
      <w:pPr>
        <w:pStyle w:val="a8"/>
        <w:jc w:val="both"/>
        <w:rPr>
          <w:rFonts w:ascii="Times New Roman" w:hAnsi="Times New Roman" w:cs="Times New Roman"/>
          <w:color w:val="000000" w:themeColor="text1"/>
        </w:rPr>
      </w:pPr>
    </w:p>
    <w:p w14:paraId="1E42920F" w14:textId="77777777" w:rsidR="00A740F5"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AEA17F9" w14:textId="77777777" w:rsidR="00A740F5" w:rsidRPr="00507A31" w:rsidRDefault="00A740F5" w:rsidP="00507A31">
      <w:pPr>
        <w:autoSpaceDE w:val="0"/>
        <w:autoSpaceDN w:val="0"/>
        <w:adjustRightInd w:val="0"/>
        <w:jc w:val="both"/>
        <w:rPr>
          <w:iCs/>
          <w:color w:val="000000" w:themeColor="text1"/>
          <w:sz w:val="16"/>
          <w:szCs w:val="16"/>
        </w:rPr>
      </w:pPr>
    </w:p>
    <w:p w14:paraId="01A69316" w14:textId="77777777" w:rsidR="00A740F5" w:rsidRPr="00507A31" w:rsidRDefault="00A740F5" w:rsidP="00507A31">
      <w:pPr>
        <w:jc w:val="both"/>
        <w:rPr>
          <w:color w:val="000000" w:themeColor="text1"/>
          <w:sz w:val="16"/>
          <w:szCs w:val="16"/>
        </w:rPr>
      </w:pPr>
      <w:r w:rsidRPr="00507A31">
        <w:rPr>
          <w:color w:val="000000" w:themeColor="text1"/>
          <w:sz w:val="16"/>
          <w:szCs w:val="16"/>
        </w:rPr>
        <w:t xml:space="preserve">7 мая в 1930 году компания "Consolidated" получила сертификат типа на </w:t>
      </w:r>
      <w:hyperlink r:id="rId82" w:tgtFrame="_blank" w:history="1">
        <w:r w:rsidRPr="00507A31">
          <w:rPr>
            <w:color w:val="000000" w:themeColor="text1"/>
            <w:sz w:val="16"/>
            <w:szCs w:val="16"/>
          </w:rPr>
          <w:t xml:space="preserve">«Model 17» «Fleetster» </w:t>
        </w:r>
      </w:hyperlink>
      <w:r w:rsidRPr="00507A31">
        <w:rPr>
          <w:color w:val="000000" w:themeColor="text1"/>
          <w:sz w:val="16"/>
          <w:szCs w:val="16"/>
        </w:rPr>
        <w:t>(разработчик: «Consolidated», США) с крылом типа парасоль, три машины были построены для NYRBA и одна для канадского покупателя; крыло поддерживали четыре коротких подкоса, кабина пилота располагалась позади пассажирской, а ее первоначальное местоположение было отдано под грузовой отсек. Самолёт имел ещё одно наименование «Consolidated» «Fleetster» «Model 20-2» (14884).</w:t>
      </w:r>
    </w:p>
    <w:p w14:paraId="6E656E8F" w14:textId="77777777" w:rsidR="00A740F5" w:rsidRPr="00507A31" w:rsidRDefault="00A740F5" w:rsidP="00507A31">
      <w:pPr>
        <w:jc w:val="both"/>
        <w:rPr>
          <w:color w:val="000000" w:themeColor="text1"/>
          <w:sz w:val="16"/>
          <w:szCs w:val="16"/>
        </w:rPr>
      </w:pPr>
    </w:p>
    <w:p w14:paraId="444F4D4D" w14:textId="77777777" w:rsidR="00AF163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15550D3" w14:textId="77777777" w:rsidR="00AF1634" w:rsidRPr="00507A31" w:rsidRDefault="00AF1634" w:rsidP="00507A31">
      <w:pPr>
        <w:autoSpaceDE w:val="0"/>
        <w:autoSpaceDN w:val="0"/>
        <w:adjustRightInd w:val="0"/>
        <w:jc w:val="both"/>
        <w:rPr>
          <w:iCs/>
          <w:color w:val="000000" w:themeColor="text1"/>
          <w:sz w:val="16"/>
          <w:szCs w:val="16"/>
        </w:rPr>
      </w:pPr>
    </w:p>
    <w:p w14:paraId="310A7DED" w14:textId="77777777" w:rsidR="00AF1634" w:rsidRPr="00507A31" w:rsidRDefault="00AF1634" w:rsidP="00507A31">
      <w:pPr>
        <w:pStyle w:val="rtejustify"/>
        <w:spacing w:before="0" w:after="0"/>
        <w:rPr>
          <w:color w:val="000000" w:themeColor="text1"/>
          <w:sz w:val="16"/>
          <w:szCs w:val="16"/>
        </w:rPr>
      </w:pPr>
      <w:r w:rsidRPr="00507A31">
        <w:rPr>
          <w:rStyle w:val="af0"/>
          <w:i w:val="0"/>
          <w:color w:val="000000" w:themeColor="text1"/>
          <w:sz w:val="16"/>
          <w:szCs w:val="16"/>
        </w:rPr>
        <w:t>8 мая 1930 г. Протокол Реввоенсовета № 9.</w:t>
      </w:r>
      <w:r w:rsidRPr="00507A31">
        <w:rPr>
          <w:color w:val="000000" w:themeColor="text1"/>
          <w:sz w:val="16"/>
          <w:szCs w:val="16"/>
        </w:rPr>
        <w:t xml:space="preserve"> 8. О техническом состоянии вооружения за 1929 г. (Гарф). 9. О принятии на вооружение дистанционных зенитных пулеметных прицелов. (Федотов), (РГВА, Ф. 4. Оп. 18. Д. 19. Л. 157</w:t>
      </w:r>
      <w:r w:rsidRPr="00507A31">
        <w:rPr>
          <w:color w:val="000000" w:themeColor="text1"/>
          <w:sz w:val="16"/>
          <w:szCs w:val="16"/>
        </w:rPr>
        <w:noBreakHyphen/>
        <w:t>158) (12342).</w:t>
      </w:r>
    </w:p>
    <w:p w14:paraId="7A8DCDAD" w14:textId="77777777" w:rsidR="00AF1634" w:rsidRPr="00507A31" w:rsidRDefault="00AF1634" w:rsidP="00507A31">
      <w:pPr>
        <w:pStyle w:val="rtejustify"/>
        <w:spacing w:before="0" w:after="0"/>
        <w:rPr>
          <w:color w:val="000000" w:themeColor="text1"/>
          <w:sz w:val="16"/>
          <w:szCs w:val="16"/>
        </w:rPr>
      </w:pPr>
    </w:p>
    <w:p w14:paraId="2D186B39" w14:textId="77777777" w:rsidR="005877F5" w:rsidRPr="00507A31" w:rsidRDefault="005877F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CD62979" w14:textId="77777777" w:rsidR="005877F5" w:rsidRPr="00507A31" w:rsidRDefault="005877F5" w:rsidP="00507A31">
      <w:pPr>
        <w:autoSpaceDE w:val="0"/>
        <w:autoSpaceDN w:val="0"/>
        <w:adjustRightInd w:val="0"/>
        <w:jc w:val="both"/>
        <w:rPr>
          <w:iCs/>
          <w:color w:val="000000" w:themeColor="text1"/>
          <w:sz w:val="16"/>
          <w:szCs w:val="16"/>
        </w:rPr>
      </w:pPr>
    </w:p>
    <w:p w14:paraId="5F01D089" w14:textId="77777777" w:rsidR="005877F5" w:rsidRPr="00507A31" w:rsidRDefault="005877F5" w:rsidP="00507A31">
      <w:pPr>
        <w:jc w:val="both"/>
        <w:rPr>
          <w:color w:val="000000" w:themeColor="text1"/>
          <w:sz w:val="16"/>
          <w:szCs w:val="16"/>
        </w:rPr>
      </w:pPr>
      <w:r w:rsidRPr="00507A31">
        <w:rPr>
          <w:color w:val="000000" w:themeColor="text1"/>
          <w:sz w:val="16"/>
          <w:szCs w:val="16"/>
        </w:rPr>
        <w:t>8 мая 1930 г.</w:t>
      </w:r>
    </w:p>
    <w:p w14:paraId="63A9FFD8" w14:textId="77777777" w:rsidR="005877F5" w:rsidRPr="00507A31" w:rsidRDefault="005877F5" w:rsidP="00507A31">
      <w:pPr>
        <w:jc w:val="both"/>
        <w:rPr>
          <w:color w:val="000000" w:themeColor="text1"/>
          <w:sz w:val="16"/>
          <w:szCs w:val="16"/>
        </w:rPr>
      </w:pPr>
      <w:r w:rsidRPr="00507A31">
        <w:rPr>
          <w:color w:val="000000" w:themeColor="text1"/>
          <w:sz w:val="16"/>
          <w:szCs w:val="16"/>
        </w:rPr>
        <w:t>«Первые показания» В. А. Ларичева о «деятельности контрреволюционной организации» в Госплане СССР. 8 мая 1930 г.</w:t>
      </w:r>
    </w:p>
    <w:p w14:paraId="0BC8E6C6" w14:textId="77777777" w:rsidR="005877F5" w:rsidRPr="00507A31" w:rsidRDefault="005877F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4A0396" w14:textId="77777777" w:rsidR="005877F5" w:rsidRPr="00507A31" w:rsidRDefault="005877F5" w:rsidP="00507A31">
      <w:pPr>
        <w:jc w:val="both"/>
        <w:rPr>
          <w:color w:val="000000" w:themeColor="text1"/>
          <w:sz w:val="16"/>
          <w:szCs w:val="16"/>
        </w:rPr>
      </w:pPr>
      <w:r w:rsidRPr="00507A31">
        <w:rPr>
          <w:color w:val="000000" w:themeColor="text1"/>
          <w:sz w:val="16"/>
          <w:szCs w:val="16"/>
        </w:rPr>
        <w:t>8 мая 1930 г.</w:t>
      </w:r>
    </w:p>
    <w:p w14:paraId="73785A2B" w14:textId="77777777" w:rsidR="005877F5" w:rsidRPr="00507A31" w:rsidRDefault="005877F5" w:rsidP="00507A31">
      <w:pPr>
        <w:jc w:val="both"/>
        <w:rPr>
          <w:color w:val="000000" w:themeColor="text1"/>
          <w:sz w:val="16"/>
          <w:szCs w:val="16"/>
        </w:rPr>
      </w:pPr>
      <w:r w:rsidRPr="00507A31">
        <w:rPr>
          <w:color w:val="000000" w:themeColor="text1"/>
          <w:sz w:val="16"/>
          <w:szCs w:val="16"/>
        </w:rPr>
        <w:t>[СТРОГО СЕКРЕТНО]</w:t>
      </w:r>
    </w:p>
    <w:p w14:paraId="6B282B2A" w14:textId="77777777" w:rsidR="005877F5" w:rsidRPr="00507A31" w:rsidRDefault="005877F5" w:rsidP="00507A31">
      <w:pPr>
        <w:jc w:val="both"/>
        <w:rPr>
          <w:color w:val="000000" w:themeColor="text1"/>
          <w:sz w:val="16"/>
          <w:szCs w:val="16"/>
        </w:rPr>
      </w:pPr>
      <w:r w:rsidRPr="00507A31">
        <w:rPr>
          <w:color w:val="000000" w:themeColor="text1"/>
          <w:sz w:val="16"/>
          <w:szCs w:val="16"/>
        </w:rPr>
        <w:t>ПЕРВЫЕ ПОКАЗАНИЯ ЛАРИЧЕВА, Виктора Алексеевича</w:t>
      </w:r>
    </w:p>
    <w:p w14:paraId="7F0CDAB9" w14:textId="77777777" w:rsidR="005877F5" w:rsidRPr="00507A31" w:rsidRDefault="005877F5" w:rsidP="00507A31">
      <w:pPr>
        <w:jc w:val="both"/>
        <w:rPr>
          <w:color w:val="000000" w:themeColor="text1"/>
          <w:sz w:val="16"/>
          <w:szCs w:val="16"/>
        </w:rPr>
      </w:pPr>
      <w:r w:rsidRPr="00507A31">
        <w:rPr>
          <w:color w:val="000000" w:themeColor="text1"/>
          <w:sz w:val="16"/>
          <w:szCs w:val="16"/>
        </w:rPr>
        <w:t>8-го мая 1930 года.</w:t>
      </w:r>
    </w:p>
    <w:p w14:paraId="2B2FDDC6" w14:textId="77777777" w:rsidR="005877F5" w:rsidRPr="00507A31" w:rsidRDefault="005877F5" w:rsidP="00507A31">
      <w:pPr>
        <w:jc w:val="both"/>
        <w:rPr>
          <w:color w:val="000000" w:themeColor="text1"/>
          <w:sz w:val="16"/>
          <w:szCs w:val="16"/>
        </w:rPr>
      </w:pPr>
      <w:r w:rsidRPr="00507A31">
        <w:rPr>
          <w:color w:val="000000" w:themeColor="text1"/>
          <w:sz w:val="16"/>
          <w:szCs w:val="16"/>
        </w:rPr>
        <w:t>О КОНТР-РЕВОЛЮПИОННОЙ И ВРЕДИТЕЛЬСКОЙ</w:t>
      </w:r>
    </w:p>
    <w:p w14:paraId="665BC46D" w14:textId="77777777" w:rsidR="005877F5" w:rsidRPr="00507A31" w:rsidRDefault="005877F5" w:rsidP="00507A31">
      <w:pPr>
        <w:jc w:val="both"/>
        <w:rPr>
          <w:color w:val="000000" w:themeColor="text1"/>
          <w:sz w:val="16"/>
          <w:szCs w:val="16"/>
        </w:rPr>
      </w:pPr>
      <w:r w:rsidRPr="00507A31">
        <w:rPr>
          <w:color w:val="000000" w:themeColor="text1"/>
          <w:sz w:val="16"/>
          <w:szCs w:val="16"/>
        </w:rPr>
        <w:t>ОРГАНИЗАЦИИ В ГОСПЛАНЕ.</w:t>
      </w:r>
    </w:p>
    <w:p w14:paraId="698B7F15" w14:textId="77777777" w:rsidR="005877F5" w:rsidRPr="00507A31" w:rsidRDefault="005877F5" w:rsidP="00507A31">
      <w:pPr>
        <w:jc w:val="both"/>
        <w:rPr>
          <w:color w:val="000000" w:themeColor="text1"/>
          <w:sz w:val="16"/>
          <w:szCs w:val="16"/>
        </w:rPr>
      </w:pPr>
      <w:r w:rsidRPr="00507A31">
        <w:rPr>
          <w:color w:val="000000" w:themeColor="text1"/>
          <w:sz w:val="16"/>
          <w:szCs w:val="16"/>
        </w:rPr>
        <w:t xml:space="preserve">В первый период моей работы в Госплане основное рабочее ядро его состояло из специалистов, многие из них крупные работники дореволюционного периода, так или иначе связанны[е] с разными капиталистическими кругами. Большинства из работников в Госплане я до этого времени совершенно не знал и начал знакомиться с ними лишь в процессе работы в самом Госплане. Наиболее крупными фигурами по положению в Госплане и по стажу были: РАБИНОВИЧ Л. Г., ФЕДОРОВИЧ И. И., ГАРТВАН Р. Я., ТАУБЕ Е. А. и ЯНУШЕВСКИЙ П. С. Первыми, с кем мне пришлось познакомиться по работе в Топливной[,] секции были: РАБИНОВИЧ и ФЕДОРОВИЧ, которые работали одновременно и в Госплане, и в б[ывшем] ГУТе, где они были руководителями каменноугольной] промышленности. После же ликвидации ГУТа, они оба окончательно перешли на службу в Госплан, работая одновременно в промышленной и топливной секциях. Руководящую роль в промышленной секции занимали: ГАРТВАН и РАБИНОВИЧ, где они были заместителями и сосредотачивали в своих руках работу по горной и металлической промышленности. ЯНУШЕВСКИЙ фактически руководил транспортной секцией. Присматриваясь к ним ближе, я убедился, что они, занимая ответственные посты, настроены явно контр-революционно. В этот период ([19]22—23, [19]24—25 г.г.) работа Госплана была сосредоточена на восстановительном процессе народного хозяйства, именно в его начальной стадии, и в первых попытках составления плана, хотя еще далеко не как целого народно-хоз[яйственного] плана, а по отдельным отраслям, без надлежащей их увязки. Это обстоятельство давало возможность отдельным крупным работникам Госплана проводить свою вредительскую точку зрения </w:t>
      </w:r>
      <w:r w:rsidRPr="00507A31">
        <w:rPr>
          <w:color w:val="000000" w:themeColor="text1"/>
          <w:sz w:val="16"/>
          <w:szCs w:val="16"/>
        </w:rPr>
        <w:lastRenderedPageBreak/>
        <w:t>на характер мероприятий, предпринимаемых по восстановлению не только отдельных отраслей промышленности, но и отдельных предприятий. Особо остро стоял в то время вопрос концентрации промышленности путем перевода на консервацию и даже ликвидацию многих предприятий. Именно тогдашнее состояние народного хозяйства было использовано при проведении концентрации промышленности и консервации предприятий в своих интересах той группой контрреволюционных специалистов, которые занимали ответственные посты. Процесс восстановления также был связан с предложениями о широкой концессионной политике. Решение Советского Правительства о привлечении в страну концессионного капитала для более быстрого восстановления некоторых отраслей промышленности было истолковано в среде крупных специалистов как уступка Советского Правительства] и это решение также рассматривалось, как невозможность собственными средствами восстановить народное хозяйство.</w:t>
      </w:r>
    </w:p>
    <w:p w14:paraId="279741A4" w14:textId="77777777" w:rsidR="005877F5" w:rsidRPr="00507A31" w:rsidRDefault="005877F5" w:rsidP="00507A31">
      <w:pPr>
        <w:jc w:val="both"/>
        <w:rPr>
          <w:color w:val="000000" w:themeColor="text1"/>
          <w:sz w:val="16"/>
          <w:szCs w:val="16"/>
        </w:rPr>
      </w:pPr>
      <w:r w:rsidRPr="00507A31">
        <w:rPr>
          <w:color w:val="000000" w:themeColor="text1"/>
          <w:sz w:val="16"/>
          <w:szCs w:val="16"/>
        </w:rPr>
        <w:t>Общая политическая ситуация того периода и обстановка работы в Госплане способствовали тому, что руководство основными отраслями народного хозяйства было в значительной мере в руках крупных специалистов (при полном доверии им). Общее же настроение старых специалистов было контр-революционное, а у большинства рядовых работников было явно-выраженное недоверие в организационные возможности Советского строя. К этому времени (т. е. к [19]25 г.) относится и начало оформления контр-революционной и вредительской деятельности в Госплане путем проведения отдельных вредительских мероприятий в плановом порядке. Зародившаяся на местах вредительская деятельность, расширяясь, естественным образом должна была докатиться до Госплана, где во многих лицах нашла достаточно подготовленную почву для своего продолжения. Для большинства этих лиц уже было ясно, какую громадную роль должна занять плановая система в народном хозяйстве Союза и учтя это, они использовали это оружие в своих целях.</w:t>
      </w:r>
    </w:p>
    <w:p w14:paraId="70BDF177" w14:textId="77777777" w:rsidR="005877F5" w:rsidRPr="00507A31" w:rsidRDefault="005877F5" w:rsidP="00507A31">
      <w:pPr>
        <w:jc w:val="both"/>
        <w:rPr>
          <w:color w:val="000000" w:themeColor="text1"/>
          <w:sz w:val="16"/>
          <w:szCs w:val="16"/>
        </w:rPr>
      </w:pPr>
      <w:r w:rsidRPr="00507A31">
        <w:rPr>
          <w:color w:val="000000" w:themeColor="text1"/>
          <w:sz w:val="16"/>
          <w:szCs w:val="16"/>
        </w:rPr>
        <w:t>Лично мне, будучи Зам. Председателем Топливной секции, в этот период пришлось вообще знакомиться с отдельными отраслями топливной промышленности (уголь, нефть, торф), руководствуясь мнениями как наших госплановских работников (ФЕДОРОВИЧ и РАБИНОВИЧ), так и целого ряда работников ВСНХ и Трестов (СТРИЖОВ, БОЯРШИНОВ), поскольку я сам не был специалистом-производственником, а в тот период приходилось рассматривать производственные планы чуть ли не отдельных предприятий; поэтому в этой части работы многое зависело от указанных выше специалистов. В области топливо-снабжения я был достаточно компетентен и этой частью непосредственно руководил сам.</w:t>
      </w:r>
    </w:p>
    <w:p w14:paraId="41E5479C" w14:textId="77777777" w:rsidR="005877F5" w:rsidRPr="00507A31" w:rsidRDefault="005877F5" w:rsidP="00507A31">
      <w:pPr>
        <w:jc w:val="both"/>
        <w:rPr>
          <w:color w:val="000000" w:themeColor="text1"/>
          <w:sz w:val="16"/>
          <w:szCs w:val="16"/>
        </w:rPr>
      </w:pPr>
      <w:r w:rsidRPr="00507A31">
        <w:rPr>
          <w:color w:val="000000" w:themeColor="text1"/>
          <w:sz w:val="16"/>
          <w:szCs w:val="16"/>
        </w:rPr>
        <w:t>Соприкасаясь в своей работе с крупными старыми специалистами, я, естественно, на многие вещи стал смотреть их глазами и в частности начал разделять некоторые их взгляды на политические вопросы и смотреть также, как и они, что Советской власти не удастся осуществить начатое большое дело.</w:t>
      </w:r>
    </w:p>
    <w:p w14:paraId="13F8FC5F" w14:textId="77777777" w:rsidR="005877F5" w:rsidRPr="00507A31" w:rsidRDefault="005877F5" w:rsidP="00507A31">
      <w:pPr>
        <w:jc w:val="both"/>
        <w:rPr>
          <w:color w:val="000000" w:themeColor="text1"/>
          <w:sz w:val="16"/>
          <w:szCs w:val="16"/>
        </w:rPr>
      </w:pPr>
      <w:r w:rsidRPr="00507A31">
        <w:rPr>
          <w:color w:val="000000" w:themeColor="text1"/>
          <w:sz w:val="16"/>
          <w:szCs w:val="16"/>
        </w:rPr>
        <w:t>Как одно из первых воздействий на меня, укажу следующее: при составлении первого плана концессионных объектов я получил указание от РАБИНОВИЧА идти широко в этом направлении. Работа эта в тот период была поручена КОГАНУ-БЕРНШТЕЙНУ, а затем сосредоточена в руках у Л. Г. РАБИНОВИЧА, и здесь мне пришлось познакомиться с общим контр-революционным настроением лиц, занятых этой работой. Такой же политики придерживались и многие работники ВСНХ, поскольку мне приходилось сталкиваться с ними по вопросам топливной промышленности.</w:t>
      </w:r>
    </w:p>
    <w:p w14:paraId="51F6940A" w14:textId="77777777" w:rsidR="005877F5" w:rsidRPr="00507A31" w:rsidRDefault="005877F5" w:rsidP="00507A31">
      <w:pPr>
        <w:jc w:val="both"/>
        <w:rPr>
          <w:color w:val="000000" w:themeColor="text1"/>
          <w:sz w:val="16"/>
          <w:szCs w:val="16"/>
        </w:rPr>
      </w:pPr>
      <w:r w:rsidRPr="00507A31">
        <w:rPr>
          <w:color w:val="000000" w:themeColor="text1"/>
          <w:sz w:val="16"/>
          <w:szCs w:val="16"/>
        </w:rPr>
        <w:t>По мере знакомства с госплановской группой работников, как лично с ними, так и из разговоров, я знал, что руководящая контрреволюционная организация состояла из РАБИНОВИЧА, ФЕДОРОВИЧА, ГАРТВАНА, ТАУБЕ, ЯНУШЕВСКОГО и центром работы была промышленная секция. Вокруг этих лиц группировались наиболее крупные работники, которые также входили в организацию, а именно: КАЛИННИКОВ И. А. — председатель Промышленной секции, проводившей общие планы промышленности через Президиум; КАМЗОЛКИН В. П. (позднее председатель, выделенный химической секцией); ЧИЛИ- КИН Н. М. по текстильной группе. [В] транспортной секци[и] наиболее активным работником был, кроме ЯНУШЕВСКОГО, — председатель секции — КОГАН-БЕРНШТЕЙН; по вопросам морского транспорта —  СТРУННИКОВ В. Т. В работе топливной секции, как специалисты по основным вопросам каменно-угольной и нефтяной промышленности, сотрудниками были — ФЕДОРОВИЧ и ПОКРОВСКИЙ И. В. ФЕДОРОВИЧ, кроме того, принимал активное участие в работах Промсекции по тяжелой промышленности.</w:t>
      </w:r>
    </w:p>
    <w:p w14:paraId="7B9A2111" w14:textId="77777777" w:rsidR="005877F5" w:rsidRPr="00507A31" w:rsidRDefault="005877F5" w:rsidP="00507A31">
      <w:pPr>
        <w:jc w:val="both"/>
        <w:rPr>
          <w:color w:val="000000" w:themeColor="text1"/>
          <w:sz w:val="16"/>
          <w:szCs w:val="16"/>
        </w:rPr>
      </w:pPr>
      <w:r w:rsidRPr="00507A31">
        <w:rPr>
          <w:color w:val="000000" w:themeColor="text1"/>
          <w:sz w:val="16"/>
          <w:szCs w:val="16"/>
        </w:rPr>
        <w:t>Цель и задачи контр-революционной группы лиц в Госплане в период оформления деятельности в основном сводились к тому, чтобы всеми мерами задержать восстановление и развитие народного хозяйства; поскольку прямо этого сделать было невозможно, одним из методов работы было — создание кризисов и диспропорций в развитии отдельных отраслей или частей народного хозяйства.</w:t>
      </w:r>
    </w:p>
    <w:p w14:paraId="62F3766B" w14:textId="77777777" w:rsidR="005877F5" w:rsidRPr="00507A31" w:rsidRDefault="005877F5" w:rsidP="00507A31">
      <w:pPr>
        <w:jc w:val="both"/>
        <w:rPr>
          <w:color w:val="000000" w:themeColor="text1"/>
          <w:sz w:val="16"/>
          <w:szCs w:val="16"/>
        </w:rPr>
      </w:pPr>
      <w:r w:rsidRPr="00507A31">
        <w:rPr>
          <w:color w:val="000000" w:themeColor="text1"/>
          <w:sz w:val="16"/>
          <w:szCs w:val="16"/>
        </w:rPr>
        <w:t>Наиболее интенсивным периодом деятельности вредительской организации в Госплане был [19]25—26 и [19]26—27 г.г. После неудачных попыток широкой передачи промпредприятий концессии и в период начавшегося быстрого восстановления промышленности, организация стремилась, на основе материалов и планов, представленных смет и из ВСНХ, — создать при прохождении планов в Госплане указанные выше условия, задерживающие общий ход развития народного хозяйства.</w:t>
      </w:r>
    </w:p>
    <w:p w14:paraId="3112E0C8" w14:textId="77777777" w:rsidR="005877F5" w:rsidRPr="00507A31" w:rsidRDefault="005877F5" w:rsidP="00507A31">
      <w:pPr>
        <w:jc w:val="both"/>
        <w:rPr>
          <w:color w:val="000000" w:themeColor="text1"/>
          <w:sz w:val="16"/>
          <w:szCs w:val="16"/>
        </w:rPr>
      </w:pPr>
      <w:r w:rsidRPr="00507A31">
        <w:rPr>
          <w:color w:val="000000" w:themeColor="text1"/>
          <w:sz w:val="16"/>
          <w:szCs w:val="16"/>
        </w:rPr>
        <w:t>Здесь должен привести следующий факт, показывающий, насколько руководящая головка стремилась сохранить в своих руках руководство проведением промышленных планов. В 1927 году вместо И. А. КАЛИННИКОВА, бывш. председателя секции, и его заместителей Л. Г. РАБИНОВИЧА и ГАРТВАНА, Г. М. КРЖИЖАНОВСКИМ был назначен председателем Промсекции Г. Ф. ГРИНЬКО, а заместителем — И. А. КАЛИННИКОВ и я (с сохранением за мной обязанностей председателя Торгсекции). Это обстоятельство, т. е. назначение ГРИНЬКО, вызвало большую тревогу и волнение среди главарей контр-революционной организации, т. к. лишало их возможности почти бесконтрольного руководства промпланом. РАБИНОВИЧ вскоре после этого даже формально оставил службу в Госплане и перешел в ВСНХ.</w:t>
      </w:r>
    </w:p>
    <w:p w14:paraId="3C462070" w14:textId="77777777" w:rsidR="005877F5" w:rsidRPr="00507A31" w:rsidRDefault="005877F5" w:rsidP="00507A31">
      <w:pPr>
        <w:jc w:val="both"/>
        <w:rPr>
          <w:color w:val="000000" w:themeColor="text1"/>
          <w:sz w:val="16"/>
          <w:szCs w:val="16"/>
        </w:rPr>
      </w:pPr>
      <w:r w:rsidRPr="00507A31">
        <w:rPr>
          <w:color w:val="000000" w:themeColor="text1"/>
          <w:sz w:val="16"/>
          <w:szCs w:val="16"/>
        </w:rPr>
        <w:t>Должен отметить также резко отрицательные отношения контрреволюционных руководителей промсекции к молодым специалистам и экономистам, начавшим к тому времени ([19]26-27 г.) в большом числе работать в Госплане и, в частности, в Промсекции.</w:t>
      </w:r>
    </w:p>
    <w:p w14:paraId="695742F9" w14:textId="77777777" w:rsidR="005877F5" w:rsidRPr="00507A31" w:rsidRDefault="005877F5" w:rsidP="00507A31">
      <w:pPr>
        <w:jc w:val="both"/>
        <w:rPr>
          <w:color w:val="000000" w:themeColor="text1"/>
          <w:sz w:val="16"/>
          <w:szCs w:val="16"/>
        </w:rPr>
      </w:pPr>
      <w:r w:rsidRPr="00507A31">
        <w:rPr>
          <w:color w:val="000000" w:themeColor="text1"/>
          <w:sz w:val="16"/>
          <w:szCs w:val="16"/>
        </w:rPr>
        <w:t>Не останавливаясь здесь на отдельных моментах вредительской деятельности в Госплане, можно лишь отметить, что [19]26-27 г. был годом составления первого общего пятилетнего плана народного хозяйства в Госплане. Его минималистские установки, конечно, являлись следствием влияния и руководства вредителей при его составлении, а также результатом атмосферы неверия многих сотрудников Госплана. То же самое в значительной мере повторилось и при составлении последней пятилетки в [19]27-28 г.</w:t>
      </w:r>
    </w:p>
    <w:p w14:paraId="53B145F0" w14:textId="77777777" w:rsidR="005877F5" w:rsidRPr="00507A31" w:rsidRDefault="005877F5" w:rsidP="00507A31">
      <w:pPr>
        <w:jc w:val="both"/>
        <w:rPr>
          <w:color w:val="000000" w:themeColor="text1"/>
          <w:sz w:val="16"/>
          <w:szCs w:val="16"/>
        </w:rPr>
      </w:pPr>
      <w:r w:rsidRPr="00507A31">
        <w:rPr>
          <w:color w:val="000000" w:themeColor="text1"/>
          <w:sz w:val="16"/>
          <w:szCs w:val="16"/>
        </w:rPr>
        <w:t>По мере раскрытия ряда вредительских организаций в отдельных отраслях промышленности и ареста ряда руководящих контрреволюционных специалистов в Госплане, остальные члены вредительской организации замкнулись в себе и уже никакого общего направления работы не существовало. Помимо этого, весь ход политической и экономической жизни страны показал во многом бессмысленность всей вредительской работы и обнаружил мощный отпор, который она встречала в действительной жизни.</w:t>
      </w:r>
    </w:p>
    <w:p w14:paraId="52D4EF37" w14:textId="77777777" w:rsidR="005877F5" w:rsidRPr="00507A31" w:rsidRDefault="005877F5" w:rsidP="00507A31">
      <w:pPr>
        <w:jc w:val="both"/>
        <w:rPr>
          <w:color w:val="000000" w:themeColor="text1"/>
          <w:sz w:val="16"/>
          <w:szCs w:val="16"/>
        </w:rPr>
      </w:pPr>
      <w:r w:rsidRPr="00507A31">
        <w:rPr>
          <w:color w:val="000000" w:themeColor="text1"/>
          <w:sz w:val="16"/>
          <w:szCs w:val="16"/>
        </w:rPr>
        <w:t>Громадное значение имело не только утверждение пятилетнего плана, но особенно вполне удовлетворительное его выполнение в первом году и раскрывшиеся новые громадные возможности роста социалистического строительства во втором году пятилетки. Наряду с общей экономической обстановкой, этому несомненно решительным образом способствовало пресечение вредительской деятельности в большинстве отраслей народного хозяйства.</w:t>
      </w:r>
    </w:p>
    <w:p w14:paraId="4DE9E174" w14:textId="77777777" w:rsidR="005877F5" w:rsidRPr="00507A31" w:rsidRDefault="005877F5" w:rsidP="00507A31">
      <w:pPr>
        <w:jc w:val="both"/>
        <w:rPr>
          <w:color w:val="000000" w:themeColor="text1"/>
          <w:sz w:val="16"/>
          <w:szCs w:val="16"/>
        </w:rPr>
      </w:pPr>
      <w:r w:rsidRPr="00507A31">
        <w:rPr>
          <w:color w:val="000000" w:themeColor="text1"/>
          <w:sz w:val="16"/>
          <w:szCs w:val="16"/>
        </w:rPr>
        <w:t>Начавшийся одновременно перелом настроений специалистов, разбитый жизнью лед неверия, а также общая политика расслоения инженерства, все это создает и другую обстановку в жизни и работе каждого специалиста.</w:t>
      </w:r>
    </w:p>
    <w:p w14:paraId="207AFC21" w14:textId="77777777" w:rsidR="005877F5" w:rsidRPr="00507A31" w:rsidRDefault="005877F5" w:rsidP="00507A31">
      <w:pPr>
        <w:jc w:val="both"/>
        <w:rPr>
          <w:color w:val="000000" w:themeColor="text1"/>
          <w:sz w:val="16"/>
          <w:szCs w:val="16"/>
        </w:rPr>
      </w:pPr>
      <w:r w:rsidRPr="00507A31">
        <w:rPr>
          <w:color w:val="000000" w:themeColor="text1"/>
          <w:sz w:val="16"/>
          <w:szCs w:val="16"/>
        </w:rPr>
        <w:t>Лично я, состоя членом вредительской организации, давно почувствовал всю тяжесть моего положения и во мне созревало убеждение в необходимости как можно скорее и в корне покончить со всякой вредительской работой, поскольку для меня ясна стала только бесплодность этой работы, но и необходимость служить делу социалистического строительства.</w:t>
      </w:r>
    </w:p>
    <w:p w14:paraId="2927416D" w14:textId="77777777" w:rsidR="005877F5" w:rsidRPr="00507A31" w:rsidRDefault="005877F5" w:rsidP="00507A31">
      <w:pPr>
        <w:jc w:val="both"/>
        <w:rPr>
          <w:color w:val="000000" w:themeColor="text1"/>
          <w:sz w:val="16"/>
          <w:szCs w:val="16"/>
        </w:rPr>
      </w:pPr>
      <w:r w:rsidRPr="00507A31">
        <w:rPr>
          <w:color w:val="000000" w:themeColor="text1"/>
          <w:sz w:val="16"/>
          <w:szCs w:val="16"/>
        </w:rPr>
        <w:t>С начала 1929 г. я окончательно порвал со всем старым и всякой вредительской работой, в частности в последний год я решил по иному построить работу, которой я руководил, тем более, что вокруг топливных проблем накопилось очень много сложных вопросов. Я с согласия [Г]. М. КРЖИЖАНОВСКОГО, с октября м-ца 1929 года начал организацию и подготовку Всесоюзной Топливной конференции с привлечением самой широкой советской общественности, с помощью которой всего легче вскрыть все больные места и остатки вредительской деятельности в топливном хозяйстве страны.</w:t>
      </w:r>
    </w:p>
    <w:p w14:paraId="6205B85B" w14:textId="77777777" w:rsidR="005877F5" w:rsidRPr="00507A31" w:rsidRDefault="005877F5" w:rsidP="00507A31">
      <w:pPr>
        <w:jc w:val="both"/>
        <w:rPr>
          <w:color w:val="000000" w:themeColor="text1"/>
          <w:sz w:val="16"/>
          <w:szCs w:val="16"/>
        </w:rPr>
      </w:pPr>
      <w:r w:rsidRPr="00507A31">
        <w:rPr>
          <w:color w:val="000000" w:themeColor="text1"/>
          <w:sz w:val="16"/>
          <w:szCs w:val="16"/>
        </w:rPr>
        <w:t>Записал собственноручно: В. А. ЛАРИЧЕВ.</w:t>
      </w:r>
    </w:p>
    <w:p w14:paraId="107E5906" w14:textId="77777777" w:rsidR="005877F5" w:rsidRPr="00507A31" w:rsidRDefault="005877F5" w:rsidP="00507A31">
      <w:pPr>
        <w:jc w:val="both"/>
        <w:rPr>
          <w:color w:val="000000" w:themeColor="text1"/>
          <w:sz w:val="16"/>
          <w:szCs w:val="16"/>
        </w:rPr>
      </w:pPr>
      <w:r w:rsidRPr="00507A31">
        <w:rPr>
          <w:color w:val="000000" w:themeColor="text1"/>
          <w:sz w:val="16"/>
          <w:szCs w:val="16"/>
        </w:rPr>
        <w:t>Д. 353. Л. 50-56. Машинописная копия того времени. На Л. 50 в левом углу рукописные пометы: «т. Ягоде» (перечеркнуто, здесь же неразборчиво одна фамилия), ниже «членам Пб + Орджоникидзе + Кржижановскому (послать)». Вверху Л. 50 — штампы делопроизводства ЦК В КП (б) с данными о количестве размноженных экз. (25) и датой рассылки (16.V/1930г., № 24139/с); подпись-росчерк (неразборчиво).</w:t>
      </w:r>
    </w:p>
    <w:p w14:paraId="5A29E61D" w14:textId="77777777" w:rsidR="005877F5" w:rsidRPr="00507A31" w:rsidRDefault="005877F5" w:rsidP="00507A31">
      <w:pPr>
        <w:jc w:val="both"/>
        <w:rPr>
          <w:color w:val="000000" w:themeColor="text1"/>
          <w:sz w:val="16"/>
          <w:szCs w:val="16"/>
        </w:rPr>
      </w:pPr>
      <w:r w:rsidRPr="00507A31">
        <w:rPr>
          <w:color w:val="000000" w:themeColor="text1"/>
          <w:sz w:val="16"/>
          <w:szCs w:val="16"/>
        </w:rPr>
        <w:t>На Л. 49 — сопроводительное письмо о рассылке («для сведения») по поручению И. В. Сталина показаний В. А. Ларичева о контрреволюционной организации в Госплане «ЧЛЕНАМ И КАНДИДАТАМ ПОЛИТБЮРО ЦК: т. т. Андрееву, Бауману, Ворошилову, Кагановичу, Калинину, Кирову, Косиору Ст., Куйбышеву, Микояну, Молотову, Петровскому, Рудзутаку, Рыкову, Сталину, Сырцову, Томскому, Чубарю, т.т. Орджоникидзе, Кржижановскому». Машинописный отпуск на бланке ЦК ВКП(б), гриф «СТРОГО СЕКРЕТНО», подпись помощника Секретаря ЦК (фамилия отсутствует); номер документа «№ 24139/с» и дата «16 мая 1930 г.» машинописью (18348).</w:t>
      </w:r>
    </w:p>
    <w:p w14:paraId="146DC373" w14:textId="77777777" w:rsidR="005877F5" w:rsidRPr="00507A31" w:rsidRDefault="005877F5" w:rsidP="00507A31">
      <w:pPr>
        <w:jc w:val="both"/>
        <w:rPr>
          <w:color w:val="000000" w:themeColor="text1"/>
          <w:sz w:val="16"/>
          <w:szCs w:val="16"/>
        </w:rPr>
      </w:pPr>
    </w:p>
    <w:p w14:paraId="51EFCF3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7EE6DC3" w14:textId="77777777" w:rsidR="00537E5F" w:rsidRPr="00507A31" w:rsidRDefault="00537E5F" w:rsidP="00507A31">
      <w:pPr>
        <w:autoSpaceDE w:val="0"/>
        <w:autoSpaceDN w:val="0"/>
        <w:adjustRightInd w:val="0"/>
        <w:jc w:val="both"/>
        <w:rPr>
          <w:iCs/>
          <w:color w:val="000000" w:themeColor="text1"/>
          <w:sz w:val="16"/>
          <w:szCs w:val="16"/>
        </w:rPr>
      </w:pPr>
    </w:p>
    <w:p w14:paraId="10F5D5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мая 1930 года Баранов писал письмо Ворошилову</w:t>
      </w:r>
    </w:p>
    <w:p w14:paraId="42177B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Многоуважаемый Клемент Ефремович,</w:t>
      </w:r>
    </w:p>
    <w:p w14:paraId="19E124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ответ на Вашу резолюцию на моей докладной записке от 15 апреля 1930 года, считаю необходимым для внесения большей ясности в выдвинутые мною вопросы доложить Вам следующее:</w:t>
      </w:r>
    </w:p>
    <w:p w14:paraId="6D5201D7"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Заводы ГВАО при полном использовании площадей и оборудования далеко не покроют потребностей ВВС в моторах, надобность в которых выражется в следующих количествах:</w:t>
      </w:r>
    </w:p>
    <w:p w14:paraId="7E1D97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а) для обеспечения самолетов, заказываемых в непзапас по варианту № 10:</w:t>
      </w:r>
    </w:p>
    <w:p w14:paraId="504366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БМВ VI – 511 штук</w:t>
      </w:r>
    </w:p>
    <w:p w14:paraId="44AE05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Юпитер VI – 62 штуки</w:t>
      </w:r>
    </w:p>
    <w:p w14:paraId="632007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для создания непзапаса по варианту № 10:</w:t>
      </w:r>
    </w:p>
    <w:p w14:paraId="5EC3BE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БМВ VI – 237 штук</w:t>
      </w:r>
    </w:p>
    <w:p w14:paraId="166E40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Юпитер VI – 34 штуки</w:t>
      </w:r>
    </w:p>
    <w:p w14:paraId="1EAF6E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для обеспечения самолетостроительной программы заводов ГВАО недостающими моторами (мобплан С-30)):</w:t>
      </w:r>
    </w:p>
    <w:p w14:paraId="4B27CE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БМВ VI – 222 штуки</w:t>
      </w:r>
    </w:p>
    <w:p w14:paraId="5117A9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Юпитер VI – 228 штук</w:t>
      </w:r>
    </w:p>
    <w:p w14:paraId="13D42D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Таким образом, при полной загрузке заводов необходимо закупить за границей следующее количество моторов: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4"/>
        <w:gridCol w:w="1934"/>
        <w:gridCol w:w="1934"/>
        <w:gridCol w:w="1934"/>
        <w:gridCol w:w="1934"/>
        <w:gridCol w:w="1934"/>
      </w:tblGrid>
      <w:tr w:rsidR="00E371BA" w:rsidRPr="00507A31" w14:paraId="0644849B" w14:textId="77777777">
        <w:tc>
          <w:tcPr>
            <w:tcW w:w="1934" w:type="dxa"/>
          </w:tcPr>
          <w:p w14:paraId="4DE667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 мотора</w:t>
            </w:r>
          </w:p>
        </w:tc>
        <w:tc>
          <w:tcPr>
            <w:tcW w:w="1934" w:type="dxa"/>
          </w:tcPr>
          <w:p w14:paraId="1B1026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Количество</w:t>
            </w:r>
          </w:p>
        </w:tc>
        <w:tc>
          <w:tcPr>
            <w:tcW w:w="1934" w:type="dxa"/>
          </w:tcPr>
          <w:p w14:paraId="55AE36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Стоимость одного мотора</w:t>
            </w:r>
          </w:p>
        </w:tc>
        <w:tc>
          <w:tcPr>
            <w:tcW w:w="1934" w:type="dxa"/>
          </w:tcPr>
          <w:p w14:paraId="176BFD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Стоимость 30% запчастей</w:t>
            </w:r>
          </w:p>
        </w:tc>
        <w:tc>
          <w:tcPr>
            <w:tcW w:w="1934" w:type="dxa"/>
          </w:tcPr>
          <w:p w14:paraId="24DA67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Стоимость мотора с запчастями</w:t>
            </w:r>
          </w:p>
        </w:tc>
        <w:tc>
          <w:tcPr>
            <w:tcW w:w="1934" w:type="dxa"/>
          </w:tcPr>
          <w:p w14:paraId="69B600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Стоимость заказа</w:t>
            </w:r>
          </w:p>
        </w:tc>
      </w:tr>
      <w:tr w:rsidR="00E371BA" w:rsidRPr="00507A31" w14:paraId="02E303BF" w14:textId="77777777">
        <w:tc>
          <w:tcPr>
            <w:tcW w:w="1934" w:type="dxa"/>
          </w:tcPr>
          <w:p w14:paraId="0D9FD1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БМВ VI</w:t>
            </w:r>
          </w:p>
        </w:tc>
        <w:tc>
          <w:tcPr>
            <w:tcW w:w="1934" w:type="dxa"/>
          </w:tcPr>
          <w:p w14:paraId="473BA9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970</w:t>
            </w:r>
          </w:p>
        </w:tc>
        <w:tc>
          <w:tcPr>
            <w:tcW w:w="1934" w:type="dxa"/>
          </w:tcPr>
          <w:p w14:paraId="56E24A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11770</w:t>
            </w:r>
          </w:p>
        </w:tc>
        <w:tc>
          <w:tcPr>
            <w:tcW w:w="1934" w:type="dxa"/>
          </w:tcPr>
          <w:p w14:paraId="424550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3930</w:t>
            </w:r>
          </w:p>
        </w:tc>
        <w:tc>
          <w:tcPr>
            <w:tcW w:w="1934" w:type="dxa"/>
          </w:tcPr>
          <w:p w14:paraId="783EA2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15700</w:t>
            </w:r>
          </w:p>
        </w:tc>
        <w:tc>
          <w:tcPr>
            <w:tcW w:w="1934" w:type="dxa"/>
          </w:tcPr>
          <w:p w14:paraId="15EB67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15229000</w:t>
            </w:r>
          </w:p>
        </w:tc>
      </w:tr>
      <w:tr w:rsidR="00E371BA" w:rsidRPr="00507A31" w14:paraId="5E8E3343" w14:textId="77777777">
        <w:tc>
          <w:tcPr>
            <w:tcW w:w="1934" w:type="dxa"/>
          </w:tcPr>
          <w:p w14:paraId="5A135F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Юпитер VI</w:t>
            </w:r>
          </w:p>
        </w:tc>
        <w:tc>
          <w:tcPr>
            <w:tcW w:w="1934" w:type="dxa"/>
          </w:tcPr>
          <w:p w14:paraId="343BC7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324</w:t>
            </w:r>
          </w:p>
        </w:tc>
        <w:tc>
          <w:tcPr>
            <w:tcW w:w="1934" w:type="dxa"/>
          </w:tcPr>
          <w:p w14:paraId="745598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11350</w:t>
            </w:r>
          </w:p>
        </w:tc>
        <w:tc>
          <w:tcPr>
            <w:tcW w:w="1934" w:type="dxa"/>
          </w:tcPr>
          <w:p w14:paraId="12D440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3800</w:t>
            </w:r>
          </w:p>
        </w:tc>
        <w:tc>
          <w:tcPr>
            <w:tcW w:w="1934" w:type="dxa"/>
          </w:tcPr>
          <w:p w14:paraId="73C004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15150</w:t>
            </w:r>
          </w:p>
        </w:tc>
        <w:tc>
          <w:tcPr>
            <w:tcW w:w="1934" w:type="dxa"/>
          </w:tcPr>
          <w:p w14:paraId="288056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4908600</w:t>
            </w:r>
          </w:p>
        </w:tc>
      </w:tr>
      <w:tr w:rsidR="00E371BA" w:rsidRPr="00507A31" w14:paraId="15982526" w14:textId="77777777">
        <w:tc>
          <w:tcPr>
            <w:tcW w:w="1934" w:type="dxa"/>
          </w:tcPr>
          <w:p w14:paraId="10516D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w:t>
            </w:r>
          </w:p>
        </w:tc>
        <w:tc>
          <w:tcPr>
            <w:tcW w:w="1934" w:type="dxa"/>
          </w:tcPr>
          <w:p w14:paraId="1EEE30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1294</w:t>
            </w:r>
          </w:p>
        </w:tc>
        <w:tc>
          <w:tcPr>
            <w:tcW w:w="1934" w:type="dxa"/>
          </w:tcPr>
          <w:p w14:paraId="32D5242A" w14:textId="77777777" w:rsidR="00537E5F" w:rsidRPr="00507A31" w:rsidRDefault="00537E5F" w:rsidP="00507A31">
            <w:pPr>
              <w:autoSpaceDE w:val="0"/>
              <w:autoSpaceDN w:val="0"/>
              <w:adjustRightInd w:val="0"/>
              <w:jc w:val="both"/>
              <w:rPr>
                <w:color w:val="000000" w:themeColor="text1"/>
                <w:sz w:val="16"/>
                <w:szCs w:val="16"/>
              </w:rPr>
            </w:pPr>
          </w:p>
        </w:tc>
        <w:tc>
          <w:tcPr>
            <w:tcW w:w="1934" w:type="dxa"/>
          </w:tcPr>
          <w:p w14:paraId="35D93A99" w14:textId="77777777" w:rsidR="00537E5F" w:rsidRPr="00507A31" w:rsidRDefault="00537E5F" w:rsidP="00507A31">
            <w:pPr>
              <w:autoSpaceDE w:val="0"/>
              <w:autoSpaceDN w:val="0"/>
              <w:adjustRightInd w:val="0"/>
              <w:jc w:val="both"/>
              <w:rPr>
                <w:color w:val="000000" w:themeColor="text1"/>
                <w:sz w:val="16"/>
                <w:szCs w:val="16"/>
              </w:rPr>
            </w:pPr>
          </w:p>
        </w:tc>
        <w:tc>
          <w:tcPr>
            <w:tcW w:w="1934" w:type="dxa"/>
          </w:tcPr>
          <w:p w14:paraId="69A9C32A" w14:textId="77777777" w:rsidR="00537E5F" w:rsidRPr="00507A31" w:rsidRDefault="00537E5F" w:rsidP="00507A31">
            <w:pPr>
              <w:autoSpaceDE w:val="0"/>
              <w:autoSpaceDN w:val="0"/>
              <w:adjustRightInd w:val="0"/>
              <w:jc w:val="both"/>
              <w:rPr>
                <w:color w:val="000000" w:themeColor="text1"/>
                <w:sz w:val="16"/>
                <w:szCs w:val="16"/>
              </w:rPr>
            </w:pPr>
          </w:p>
        </w:tc>
        <w:tc>
          <w:tcPr>
            <w:tcW w:w="1934" w:type="dxa"/>
          </w:tcPr>
          <w:p w14:paraId="30B11C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20137600</w:t>
            </w:r>
          </w:p>
        </w:tc>
      </w:tr>
    </w:tbl>
    <w:p w14:paraId="08D5CE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этого, я считал бы совершенно необходимым закупить 250-300 моторов "Кертис Конкверер" как способных дать очень высокие качества самолету. Мы сейчас не имеем готового типа самолета под этот мотор, но в нашем опытном производстве имеется одноместный истребитель под этот мотор, выходящий на испытания 1 августа 1930 года. Наши конструкторы могли бы справиться с задачей создания в короткий срок и другого типа самолета под мотор "Кертис-Конкверер", который как можно полагать, Основываясь на качестве мотора, явился бы наилучшим по летно-тактическим данным.</w:t>
      </w:r>
    </w:p>
    <w:p w14:paraId="0D5F67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Стоимость этой закупки выразилась бы в следующих цифрах: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4"/>
        <w:gridCol w:w="1934"/>
        <w:gridCol w:w="1934"/>
        <w:gridCol w:w="1934"/>
        <w:gridCol w:w="1934"/>
        <w:gridCol w:w="1934"/>
      </w:tblGrid>
      <w:tr w:rsidR="00E371BA" w:rsidRPr="00507A31" w14:paraId="3A9DECBB" w14:textId="77777777">
        <w:tc>
          <w:tcPr>
            <w:tcW w:w="1934" w:type="dxa"/>
          </w:tcPr>
          <w:p w14:paraId="2009EE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 мотора</w:t>
            </w:r>
          </w:p>
        </w:tc>
        <w:tc>
          <w:tcPr>
            <w:tcW w:w="1934" w:type="dxa"/>
          </w:tcPr>
          <w:p w14:paraId="381A15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Количество</w:t>
            </w:r>
          </w:p>
        </w:tc>
        <w:tc>
          <w:tcPr>
            <w:tcW w:w="1934" w:type="dxa"/>
          </w:tcPr>
          <w:p w14:paraId="5BC7B9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Стоимость мотора</w:t>
            </w:r>
          </w:p>
        </w:tc>
        <w:tc>
          <w:tcPr>
            <w:tcW w:w="1934" w:type="dxa"/>
          </w:tcPr>
          <w:p w14:paraId="181507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Стоимость 30% запчастей</w:t>
            </w:r>
          </w:p>
        </w:tc>
        <w:tc>
          <w:tcPr>
            <w:tcW w:w="1934" w:type="dxa"/>
          </w:tcPr>
          <w:p w14:paraId="79C965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Стоимость мотора с запчастями</w:t>
            </w:r>
          </w:p>
        </w:tc>
        <w:tc>
          <w:tcPr>
            <w:tcW w:w="1934" w:type="dxa"/>
          </w:tcPr>
          <w:p w14:paraId="3E3CB9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Стоимость заказа</w:t>
            </w:r>
          </w:p>
        </w:tc>
      </w:tr>
      <w:tr w:rsidR="00E371BA" w:rsidRPr="00507A31" w14:paraId="679A7058" w14:textId="77777777">
        <w:tc>
          <w:tcPr>
            <w:tcW w:w="1934" w:type="dxa"/>
          </w:tcPr>
          <w:p w14:paraId="578FA4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Кертис-Конкверер</w:t>
            </w:r>
          </w:p>
        </w:tc>
        <w:tc>
          <w:tcPr>
            <w:tcW w:w="1934" w:type="dxa"/>
          </w:tcPr>
          <w:p w14:paraId="3CA25D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1934" w:type="dxa"/>
          </w:tcPr>
          <w:p w14:paraId="3BF29A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17000</w:t>
            </w:r>
          </w:p>
        </w:tc>
        <w:tc>
          <w:tcPr>
            <w:tcW w:w="1934" w:type="dxa"/>
          </w:tcPr>
          <w:p w14:paraId="6527FD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5100</w:t>
            </w:r>
          </w:p>
        </w:tc>
        <w:tc>
          <w:tcPr>
            <w:tcW w:w="1934" w:type="dxa"/>
          </w:tcPr>
          <w:p w14:paraId="4A3FE4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22100</w:t>
            </w:r>
          </w:p>
        </w:tc>
        <w:tc>
          <w:tcPr>
            <w:tcW w:w="1934" w:type="dxa"/>
          </w:tcPr>
          <w:p w14:paraId="1038A1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6630000</w:t>
            </w:r>
          </w:p>
        </w:tc>
      </w:tr>
    </w:tbl>
    <w:p w14:paraId="2AD4BC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 для приобретения 1594 моторов с запчастями требуются следующие суммы: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91"/>
      </w:tblGrid>
      <w:tr w:rsidR="00E371BA" w:rsidRPr="00507A31" w14:paraId="3B081CC1" w14:textId="77777777">
        <w:tc>
          <w:tcPr>
            <w:tcW w:w="2552" w:type="dxa"/>
          </w:tcPr>
          <w:p w14:paraId="3E5C06B3" w14:textId="77777777" w:rsidR="00537E5F" w:rsidRPr="00507A31" w:rsidRDefault="00537E5F" w:rsidP="00507A31">
            <w:pPr>
              <w:autoSpaceDE w:val="0"/>
              <w:autoSpaceDN w:val="0"/>
              <w:adjustRightInd w:val="0"/>
              <w:jc w:val="both"/>
              <w:rPr>
                <w:color w:val="000000" w:themeColor="text1"/>
                <w:sz w:val="16"/>
                <w:szCs w:val="16"/>
              </w:rPr>
            </w:pPr>
          </w:p>
        </w:tc>
        <w:tc>
          <w:tcPr>
            <w:tcW w:w="1191" w:type="dxa"/>
          </w:tcPr>
          <w:p w14:paraId="6B79CF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26767600</w:t>
            </w:r>
          </w:p>
        </w:tc>
      </w:tr>
      <w:tr w:rsidR="00E371BA" w:rsidRPr="00507A31" w14:paraId="695A63A3" w14:textId="77777777">
        <w:tc>
          <w:tcPr>
            <w:tcW w:w="2552" w:type="dxa"/>
          </w:tcPr>
          <w:p w14:paraId="4143F0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накладных расходов</w:t>
            </w:r>
          </w:p>
        </w:tc>
        <w:tc>
          <w:tcPr>
            <w:tcW w:w="1191" w:type="dxa"/>
          </w:tcPr>
          <w:p w14:paraId="666C71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2676760</w:t>
            </w:r>
          </w:p>
        </w:tc>
      </w:tr>
      <w:tr w:rsidR="00E371BA" w:rsidRPr="00507A31" w14:paraId="6ECCE9C4" w14:textId="77777777">
        <w:tc>
          <w:tcPr>
            <w:tcW w:w="2552" w:type="dxa"/>
          </w:tcPr>
          <w:p w14:paraId="4BAD51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191" w:type="dxa"/>
          </w:tcPr>
          <w:p w14:paraId="53152F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29444360</w:t>
            </w:r>
          </w:p>
        </w:tc>
      </w:tr>
    </w:tbl>
    <w:p w14:paraId="4630E5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этому могу прибавить следующее: РЗ СТО 16 октября 1929 года в пункте 10 постановления признало необходимым предусмотреть в ежегодных импортных планах закупку моторов за границей:</w:t>
      </w:r>
    </w:p>
    <w:p w14:paraId="5CF3D0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 1929/30 году – на сумму 16200000 рублей</w:t>
      </w:r>
    </w:p>
    <w:p w14:paraId="1080BA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в 1930/31 году – на сумму 13000000 рублей</w:t>
      </w:r>
    </w:p>
    <w:p w14:paraId="358AC9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 1931/32 году – на сумму 4300000 рублей</w:t>
      </w:r>
    </w:p>
    <w:p w14:paraId="28557F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в 1932/33 году – на сумму 6000000 рублей</w:t>
      </w:r>
    </w:p>
    <w:p w14:paraId="731C24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 39600000 рублей</w:t>
      </w:r>
    </w:p>
    <w:p w14:paraId="19B67A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Таким образом, ходатайство о закупке моторов может рассматриваться как выполнение уже приянтого решения.</w:t>
      </w:r>
    </w:p>
    <w:p w14:paraId="088A235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Взвесив еще раз, выдвигаемые Вами мотивы, я вынужден признать, что Вы правы, отвергая мое предложение поставить во главе ГВАО Урываева. Я был очень затруднен в подыскании кандидата, что в частности явилось причиной задержки ответа. Предлагаю двух кандидатов: Пылаева, бывшего секретаря Выборгского райкома в Ленинграде, ныне директора треста Среднего машиностроения. Это наиболее подходящий кандидат. Но если бы возникли какие-либо затруднения с назначением Пылаева, то предлагаю Булина, замначпура (7414, 15-16).</w:t>
      </w:r>
    </w:p>
    <w:p w14:paraId="367984D6"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6EE9D83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C19757A" w14:textId="77777777" w:rsidR="00537E5F" w:rsidRPr="00507A31" w:rsidRDefault="00537E5F" w:rsidP="00507A31">
      <w:pPr>
        <w:autoSpaceDE w:val="0"/>
        <w:autoSpaceDN w:val="0"/>
        <w:adjustRightInd w:val="0"/>
        <w:jc w:val="both"/>
        <w:rPr>
          <w:iCs/>
          <w:color w:val="000000" w:themeColor="text1"/>
          <w:sz w:val="16"/>
          <w:szCs w:val="16"/>
        </w:rPr>
      </w:pPr>
    </w:p>
    <w:p w14:paraId="17BC90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мая 1930 закончились официальные испытания танка Т-12, которые проходили с 28 апреля 1930. Одновременно был проведен артиллерийский обстрел 22-мм и 18-мм эталонных броневых плит. Акты испытаний утвердил главный инженер завода С.Н. Махонин и начальник отдела И.Н. Алексенко. После проведения официальных испытаний опытный образец маневренного танка Т-12 по железной дороге был доставлен на подмосковный полигон в посёлке Кубинка (10710).</w:t>
      </w:r>
    </w:p>
    <w:p w14:paraId="38034DA4" w14:textId="77777777" w:rsidR="00537E5F" w:rsidRPr="00507A31" w:rsidRDefault="00537E5F" w:rsidP="00507A31">
      <w:pPr>
        <w:autoSpaceDE w:val="0"/>
        <w:autoSpaceDN w:val="0"/>
        <w:adjustRightInd w:val="0"/>
        <w:jc w:val="both"/>
        <w:rPr>
          <w:color w:val="000000" w:themeColor="text1"/>
          <w:sz w:val="16"/>
          <w:szCs w:val="16"/>
        </w:rPr>
      </w:pPr>
    </w:p>
    <w:p w14:paraId="71C658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мая 1930 г. вышел ДОКЛАД ВОЕННОГО ПРЕДСТАВИТЕЛЯ НА ММЗ УММ О ПРОИЗВОДСТВЕ ТАНКОВ МС-1</w:t>
      </w:r>
    </w:p>
    <w:p w14:paraId="6131C1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Докладываю о положении дела по изготовлению танков МС-1 по договору №5377/68 сек. 1928 г. по состоянию на 1 мая 1930 г. 1. Выполнение договора.</w:t>
      </w:r>
    </w:p>
    <w:p w14:paraId="4CCA5E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текущем году завод обязуется изготовить и предъявить к технической приемке не позже 1 октября 1930 г. 20 машин.</w:t>
      </w:r>
    </w:p>
    <w:p w14:paraId="0A9E4D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 период производственного года завод наметил следующий порядок предъявления машин к технической приемке:</w:t>
      </w:r>
    </w:p>
    <w:p w14:paraId="760320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5 машин — на 1 апреля;</w:t>
      </w:r>
    </w:p>
    <w:p w14:paraId="7113B1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7 машин — на 1 июля;</w:t>
      </w:r>
    </w:p>
    <w:p w14:paraId="1B9A5B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8 машин - на 1 октября.</w:t>
      </w:r>
    </w:p>
    <w:p w14:paraId="0BAF41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Что же касается запасных частей к машинам согласно вышеуказанному договору, то завод обя</w:t>
      </w:r>
      <w:r w:rsidRPr="00507A31">
        <w:rPr>
          <w:color w:val="000000" w:themeColor="text1"/>
          <w:sz w:val="16"/>
          <w:szCs w:val="16"/>
        </w:rPr>
        <w:softHyphen/>
        <w:t>зуется выполнить свои задачи в три срока, а именно: на пять машин, на семь машин и на восемь ма</w:t>
      </w:r>
      <w:r w:rsidRPr="00507A31">
        <w:rPr>
          <w:color w:val="000000" w:themeColor="text1"/>
          <w:sz w:val="16"/>
          <w:szCs w:val="16"/>
        </w:rPr>
        <w:softHyphen/>
        <w:t>шин, то есть, приурочивает к сдаче машин.</w:t>
      </w:r>
    </w:p>
    <w:p w14:paraId="5D7EC8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Сдача первых пяти машин:</w:t>
      </w:r>
    </w:p>
    <w:p w14:paraId="63CB86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Моторная группа - четыре мотора прошли контрольное испытание, причем три из них прошли пятичасовое контрольное испытание, а четвертый (№8) — прошел 19-часовое испытание (о чем бу</w:t>
      </w:r>
      <w:r w:rsidRPr="00507A31">
        <w:rPr>
          <w:color w:val="000000" w:themeColor="text1"/>
          <w:sz w:val="16"/>
          <w:szCs w:val="16"/>
        </w:rPr>
        <w:softHyphen/>
        <w:t>дет доложено особо).</w:t>
      </w:r>
    </w:p>
    <w:p w14:paraId="11F31E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Результаты испытаний показали, что три мотора можно считать пригодными к работе, а четвер</w:t>
      </w:r>
      <w:r w:rsidRPr="00507A31">
        <w:rPr>
          <w:color w:val="000000" w:themeColor="text1"/>
          <w:sz w:val="16"/>
          <w:szCs w:val="16"/>
        </w:rPr>
        <w:softHyphen/>
        <w:t>тый, который прошел 5-часовое испытание, нельзя было допустить к работе из-за утечки масла из кар</w:t>
      </w:r>
      <w:r w:rsidRPr="00507A31">
        <w:rPr>
          <w:color w:val="000000" w:themeColor="text1"/>
          <w:sz w:val="16"/>
          <w:szCs w:val="16"/>
        </w:rPr>
        <w:softHyphen/>
        <w:t>тера. Поэтому последний мотор должен быть предъявлен к вторичному контрольному испытанию. Что же касается пятого мотора, то он будет предъявлен для контрольного испытания 9 мая 1930 г.</w:t>
      </w:r>
    </w:p>
    <w:p w14:paraId="36EFDE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Броневые корпуса - на сегодня броневые корпуса предъявлены к технической приемке с полным монтажом, за недостатком нижеследующих частей: вооружения; цепей Галя для внутренней заводки мо</w:t>
      </w:r>
      <w:r w:rsidRPr="00507A31">
        <w:rPr>
          <w:color w:val="000000" w:themeColor="text1"/>
          <w:sz w:val="16"/>
          <w:szCs w:val="16"/>
        </w:rPr>
        <w:softHyphen/>
        <w:t>тора; буферов; бронированной проводки.</w:t>
      </w:r>
    </w:p>
    <w:p w14:paraId="2B4729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 этом мною и заводом было доложено 11 апреля 1930 г. за №722036 на имя начальника 2 упра</w:t>
      </w:r>
      <w:r w:rsidRPr="00507A31">
        <w:rPr>
          <w:color w:val="000000" w:themeColor="text1"/>
          <w:sz w:val="16"/>
          <w:szCs w:val="16"/>
        </w:rPr>
        <w:softHyphen/>
        <w:t>вления УММ РККА. Окончательно машины будут предъявлены для контрольного испытания пробе</w:t>
      </w:r>
      <w:r w:rsidRPr="00507A31">
        <w:rPr>
          <w:color w:val="000000" w:themeColor="text1"/>
          <w:sz w:val="16"/>
          <w:szCs w:val="16"/>
        </w:rPr>
        <w:softHyphen/>
        <w:t>гом с 10 мая 1930 г.</w:t>
      </w:r>
    </w:p>
    <w:p w14:paraId="640AF9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Замечания по прилагаемым при этом сведениям</w:t>
      </w:r>
    </w:p>
    <w:p w14:paraId="140341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рассмотрении этих сведений приходишь к такому заключению, что узкими местами для за</w:t>
      </w:r>
      <w:r w:rsidRPr="00507A31">
        <w:rPr>
          <w:color w:val="000000" w:themeColor="text1"/>
          <w:sz w:val="16"/>
          <w:szCs w:val="16"/>
        </w:rPr>
        <w:softHyphen/>
        <w:t>вода по танковому производству являются:</w:t>
      </w:r>
    </w:p>
    <w:p w14:paraId="5BEAEF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Режущий специальный инструмент, которого завод выполнил только 39,18 процента по кор</w:t>
      </w:r>
      <w:r w:rsidRPr="00507A31">
        <w:rPr>
          <w:color w:val="000000" w:themeColor="text1"/>
          <w:sz w:val="16"/>
          <w:szCs w:val="16"/>
        </w:rPr>
        <w:softHyphen/>
        <w:t>пусу, по двигателям — 70,5 процента;</w:t>
      </w:r>
    </w:p>
    <w:p w14:paraId="5EFF0E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рессоры, с которыми завод не может справиться из-за термической обработки;</w:t>
      </w:r>
    </w:p>
    <w:p w14:paraId="79D37C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кронштейн ведущего колеса и рамка пушки. Эти две детали дают большой процент брака на сегодня из-за раковин.</w:t>
      </w:r>
    </w:p>
    <w:p w14:paraId="414CE8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головки к цилиндрам (алюминиевое литье) — из-за пористости получается на 100 процентов брак. В настоящее время завод приостановил отливку головок до привоза формовочной земли с за</w:t>
      </w:r>
      <w:r w:rsidRPr="00507A31">
        <w:rPr>
          <w:color w:val="000000" w:themeColor="text1"/>
          <w:sz w:val="16"/>
          <w:szCs w:val="16"/>
        </w:rPr>
        <w:softHyphen/>
        <w:t>вода «Большевик». Считаю, что этот вид брака задержит предъявление машин к приемке, которую наметил завод на 1 июля.</w:t>
      </w:r>
    </w:p>
    <w:p w14:paraId="3E722F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Какие покупные материалы и детали могут задержать выпуск машин:</w:t>
      </w:r>
    </w:p>
    <w:p w14:paraId="3D914E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карбюраторы «Паллас», которых завод на сегодня имеет только семь штук;</w:t>
      </w:r>
    </w:p>
    <w:p w14:paraId="0A6DDA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цепи «Галя» (для внутренней заводки мотора), которых завод на сегодня имеет только на че</w:t>
      </w:r>
      <w:r w:rsidRPr="00507A31">
        <w:rPr>
          <w:color w:val="000000" w:themeColor="text1"/>
          <w:sz w:val="16"/>
          <w:szCs w:val="16"/>
        </w:rPr>
        <w:softHyphen/>
        <w:t>тыре машины;</w:t>
      </w:r>
    </w:p>
    <w:p w14:paraId="335489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провода «Бош» и к ним гибкие металлические рукава (броня);</w:t>
      </w:r>
    </w:p>
    <w:p w14:paraId="4D2662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детали для дросселирования охлаждающегося воздуха и деталей подогревателя карбюратора «Паллас».</w:t>
      </w:r>
    </w:p>
    <w:p w14:paraId="54A02D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Кроме всего этого заводом еще не получено вооружение для машин и шанцевый инструмент, во</w:t>
      </w:r>
      <w:r w:rsidRPr="00507A31">
        <w:rPr>
          <w:color w:val="000000" w:themeColor="text1"/>
          <w:sz w:val="16"/>
          <w:szCs w:val="16"/>
        </w:rPr>
        <w:softHyphen/>
        <w:t>зимый на машинах.</w:t>
      </w:r>
    </w:p>
    <w:p w14:paraId="200B70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 В некоторых ведомостях встречается графа на 35 машин, в эту графу завод внес и 15 моторов, заказанных ему ОАТ.</w:t>
      </w:r>
    </w:p>
    <w:p w14:paraId="71F2CD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Необходимо еще отметить, что задержку может произвести и завод «Большевик», так как на по</w:t>
      </w:r>
      <w:r w:rsidRPr="00507A31">
        <w:rPr>
          <w:color w:val="000000" w:themeColor="text1"/>
          <w:sz w:val="16"/>
          <w:szCs w:val="16"/>
        </w:rPr>
        <w:softHyphen/>
        <w:t>следний ММЗ посылает свои полуфабрикаты для изготовления шестерен к коробке скоростей. Опыт показал, что завод «Большевик» может задержать своевременную подачу на ММЗ шестерен, а также может прислать последние плохого качества.</w:t>
      </w:r>
    </w:p>
    <w:p w14:paraId="0AC272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Военный представитель УММ РККА инженер Морозов</w:t>
      </w:r>
    </w:p>
    <w:p w14:paraId="60A9D2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253. Л. 166- 167. Подлинник (11210).</w:t>
      </w:r>
    </w:p>
    <w:p w14:paraId="6DF27A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A627BA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F2DF633" w14:textId="77777777" w:rsidR="00537E5F" w:rsidRPr="00507A31" w:rsidRDefault="00537E5F" w:rsidP="00507A31">
      <w:pPr>
        <w:autoSpaceDE w:val="0"/>
        <w:autoSpaceDN w:val="0"/>
        <w:adjustRightInd w:val="0"/>
        <w:jc w:val="both"/>
        <w:rPr>
          <w:iCs/>
          <w:color w:val="000000" w:themeColor="text1"/>
          <w:sz w:val="16"/>
          <w:szCs w:val="16"/>
        </w:rPr>
      </w:pPr>
    </w:p>
    <w:p w14:paraId="214B088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 мая 1930 года было закончено проектирование самолета И-7 в деревянной версии и машина была пущена в производство (6925).</w:t>
      </w:r>
    </w:p>
    <w:p w14:paraId="5691E7A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6709A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мая 1930 г. технический проект истребителя И-7 с деревянным фюзеляжем был готов и началась построй-ка машины. Ожидалось, что к 1 декабря 1930 г. самолет появится на летном поле. Однако после ликвидации за</w:t>
      </w:r>
      <w:r w:rsidRPr="00507A31">
        <w:rPr>
          <w:color w:val="000000" w:themeColor="text1"/>
          <w:sz w:val="16"/>
          <w:szCs w:val="16"/>
        </w:rPr>
        <w:softHyphen/>
        <w:t>вода № 25 и передачи его заданий на завод № 39, темпы работ над И-7 замедлились, а затем работа и вовсе оста</w:t>
      </w:r>
      <w:r w:rsidRPr="00507A31">
        <w:rPr>
          <w:color w:val="000000" w:themeColor="text1"/>
          <w:sz w:val="16"/>
          <w:szCs w:val="16"/>
        </w:rPr>
        <w:softHyphen/>
        <w:t>новилась. Недостроенный самолет без нижнего крыла несколько месяцев стоял на заводе № 39, пока не был уничтожен. Спустя почти 40 лет В.Б.Шавров, работав</w:t>
      </w:r>
      <w:r w:rsidRPr="00507A31">
        <w:rPr>
          <w:color w:val="000000" w:themeColor="text1"/>
          <w:sz w:val="16"/>
          <w:szCs w:val="16"/>
        </w:rPr>
        <w:softHyphen/>
        <w:t>ший на этом предприятии в конце 20-х - начале 30-х го</w:t>
      </w:r>
      <w:r w:rsidRPr="00507A31">
        <w:rPr>
          <w:color w:val="000000" w:themeColor="text1"/>
          <w:sz w:val="16"/>
          <w:szCs w:val="16"/>
        </w:rPr>
        <w:softHyphen/>
        <w:t>дов, по памяти написал для книги «История конструкций самолетов в СССР до 1938 г.» следующие строки: «Весной [?] 1930 г. на заводе «Авиаработник» (№ 39. - В.И.) находился одноместный истребитель с двигателем М-17 (или же БМВ-У1), по схеме - подкос-ный парасоль [?], конструкция деревянная, фюзеляж -монокок овального сечения. Самолет был хорошо изго</w:t>
      </w:r>
      <w:r w:rsidRPr="00507A31">
        <w:rPr>
          <w:color w:val="000000" w:themeColor="text1"/>
          <w:sz w:val="16"/>
          <w:szCs w:val="16"/>
        </w:rPr>
        <w:softHyphen/>
        <w:t>товлен, но название и фамилия конструктора до сих пор не выяснены. О полетах сведений нет». Причина охлаждения ВВС к самолету заключалась в следующем. После окончания Первой мировой войны сложившаяся в Европе обстановка способствовала по</w:t>
      </w:r>
      <w:r w:rsidRPr="00507A31">
        <w:rPr>
          <w:color w:val="000000" w:themeColor="text1"/>
          <w:sz w:val="16"/>
          <w:szCs w:val="16"/>
        </w:rPr>
        <w:softHyphen/>
        <w:t>литическому и экономическому сближению СССР и Германии. 16 апреля 1922 г. был подписан Рапалльский договор между двумя странами, затем ряд других согла</w:t>
      </w:r>
      <w:r w:rsidRPr="00507A31">
        <w:rPr>
          <w:color w:val="000000" w:themeColor="text1"/>
          <w:sz w:val="16"/>
          <w:szCs w:val="16"/>
        </w:rPr>
        <w:softHyphen/>
        <w:t>шений. Немецкую сторону тяготили условия Версаль</w:t>
      </w:r>
      <w:r w:rsidRPr="00507A31">
        <w:rPr>
          <w:color w:val="000000" w:themeColor="text1"/>
          <w:sz w:val="16"/>
          <w:szCs w:val="16"/>
        </w:rPr>
        <w:softHyphen/>
        <w:t>ского мирного договора, по которому Германии запрещалось иметь мощную армию, подводный флот, военно-воздушные силы, танковые части. Советская сторона считала, что союз с Германией позволит про</w:t>
      </w:r>
      <w:r w:rsidRPr="00507A31">
        <w:rPr>
          <w:color w:val="000000" w:themeColor="text1"/>
          <w:sz w:val="16"/>
          <w:szCs w:val="16"/>
        </w:rPr>
        <w:softHyphen/>
        <w:t>рвать политическую и экономическую изоляцию, при</w:t>
      </w:r>
      <w:r w:rsidRPr="00507A31">
        <w:rPr>
          <w:color w:val="000000" w:themeColor="text1"/>
          <w:sz w:val="16"/>
          <w:szCs w:val="16"/>
        </w:rPr>
        <w:softHyphen/>
        <w:t>общиться к передовым технологиям. В Германии закупили отдельные образцы самолетов, моторов, лицензии на их производство. Начались пере</w:t>
      </w:r>
      <w:r w:rsidRPr="00507A31">
        <w:rPr>
          <w:color w:val="000000" w:themeColor="text1"/>
          <w:sz w:val="16"/>
          <w:szCs w:val="16"/>
        </w:rPr>
        <w:softHyphen/>
        <w:t>говоры по вопросам военного сближения СССР и Герма</w:t>
      </w:r>
      <w:r w:rsidRPr="00507A31">
        <w:rPr>
          <w:color w:val="000000" w:themeColor="text1"/>
          <w:sz w:val="16"/>
          <w:szCs w:val="16"/>
        </w:rPr>
        <w:softHyphen/>
        <w:t>нии. Сторонниками активного военного сотрудничества были М.Н.Тухачевский, И.С.Уншлихт. Считалось, что военный союз с Германией поможет противостоять Ве</w:t>
      </w:r>
      <w:r w:rsidRPr="00507A31">
        <w:rPr>
          <w:color w:val="000000" w:themeColor="text1"/>
          <w:sz w:val="16"/>
          <w:szCs w:val="16"/>
        </w:rPr>
        <w:softHyphen/>
        <w:t>ликобритании и Франции в случае начала агрессии этих стран. 15 апреля 1925 г. начальник УВВС П.И.Баранов и представитель Германии полковник Лит-Томсен подпи</w:t>
      </w:r>
      <w:r w:rsidRPr="00507A31">
        <w:rPr>
          <w:color w:val="000000" w:themeColor="text1"/>
          <w:sz w:val="16"/>
          <w:szCs w:val="16"/>
        </w:rPr>
        <w:softHyphen/>
        <w:t>сали секретный договор об открытии в Липецке школы для подготовки немецких военных летчиков. В 1926 г. был заключен договор с фирмой «Хейн-кель» на разработку для СССР одноместного сухопутно</w:t>
      </w:r>
      <w:r w:rsidRPr="00507A31">
        <w:rPr>
          <w:color w:val="000000" w:themeColor="text1"/>
          <w:sz w:val="16"/>
          <w:szCs w:val="16"/>
        </w:rPr>
        <w:softHyphen/>
        <w:t>го истребителя. По указанию П.И.Баранова УВВС направило фирме технические требования к машине. Тем самым руководство ВВС фактически выразило не</w:t>
      </w:r>
      <w:r w:rsidRPr="00507A31">
        <w:rPr>
          <w:color w:val="000000" w:themeColor="text1"/>
          <w:sz w:val="16"/>
          <w:szCs w:val="16"/>
        </w:rPr>
        <w:softHyphen/>
        <w:t>доверие отечественным конструкторам, неверие в их способность построить для ВВС требуемые самолеты. Косвенно последствия этой политики сказались на судь</w:t>
      </w:r>
      <w:r w:rsidRPr="00507A31">
        <w:rPr>
          <w:color w:val="000000" w:themeColor="text1"/>
          <w:sz w:val="16"/>
          <w:szCs w:val="16"/>
        </w:rPr>
        <w:softHyphen/>
        <w:t>бе истребителя И-1, других машин и проектов. Строительство двух опытных экземпляров самолета по заказу СССР с мотором БМВ-У1, получивших обо</w:t>
      </w:r>
      <w:r w:rsidRPr="00507A31">
        <w:rPr>
          <w:color w:val="000000" w:themeColor="text1"/>
          <w:sz w:val="16"/>
          <w:szCs w:val="16"/>
        </w:rPr>
        <w:softHyphen/>
        <w:t>значение НО37, велось на одном из заводов в Берлине под контролем советских специалистов. Облеты машин начались на аэродроме фирмы в апреле 1928 г., в июле их перевезли в Москву для испытаний в НИИ ВВС. Н.Н.Поликарпов познакомился с истребителем, отме</w:t>
      </w:r>
      <w:r w:rsidRPr="00507A31">
        <w:rPr>
          <w:color w:val="000000" w:themeColor="text1"/>
          <w:sz w:val="16"/>
          <w:szCs w:val="16"/>
        </w:rPr>
        <w:softHyphen/>
        <w:t>тив для себя наиболее ценное в его конструкции. НВ37 развивал максимальную скорость 307 км/ч у земли и набирал высоту 5000 м за 10,2 мин. В отчете НИИ ВВС по результатам испытаний говорилось: «НВ37 может быть допущен на снабжение ВВС РККА как хороший самолет-истребитель». А один из руково</w:t>
      </w:r>
      <w:r w:rsidRPr="00507A31">
        <w:rPr>
          <w:color w:val="000000" w:themeColor="text1"/>
          <w:sz w:val="16"/>
          <w:szCs w:val="16"/>
        </w:rPr>
        <w:softHyphen/>
        <w:t>дителей ВВС Алкснис писал заместителю председателя РВС СССР И.С.Уншлихту: «В отношении летных ка</w:t>
      </w:r>
      <w:r w:rsidRPr="00507A31">
        <w:rPr>
          <w:color w:val="000000" w:themeColor="text1"/>
          <w:sz w:val="16"/>
          <w:szCs w:val="16"/>
        </w:rPr>
        <w:softHyphen/>
        <w:t>честв и маневренности самолет НО37 оставляет далеко позади себя самолеты, находящиеся на снабжении УВВС - Фоккер ДХ Испано-Сюиза 300НР, И2 и И2бис-М5 и выше построенные опытные самолеты ИЗ-ВМWУI и И4-Юп.У1». Однако действительная картина была не столь радужной. НО37 имел плохие штопорные свойст</w:t>
      </w:r>
      <w:r w:rsidRPr="00507A31">
        <w:rPr>
          <w:color w:val="000000" w:themeColor="text1"/>
          <w:sz w:val="16"/>
          <w:szCs w:val="16"/>
        </w:rPr>
        <w:softHyphen/>
        <w:t>ва, во время летных испытаний из-за этого разбился один самолет (10667).</w:t>
      </w:r>
    </w:p>
    <w:p w14:paraId="18DB80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7EB8DC7" w14:textId="77777777" w:rsidR="00AF1634" w:rsidRPr="00507A31" w:rsidRDefault="00AF1634" w:rsidP="00507A31">
      <w:pPr>
        <w:jc w:val="both"/>
        <w:rPr>
          <w:color w:val="000000" w:themeColor="text1"/>
          <w:sz w:val="16"/>
          <w:szCs w:val="16"/>
        </w:rPr>
      </w:pPr>
      <w:r w:rsidRPr="00507A31">
        <w:rPr>
          <w:color w:val="000000" w:themeColor="text1"/>
          <w:sz w:val="16"/>
          <w:szCs w:val="16"/>
        </w:rPr>
        <w:t>10 мая 1930 г. после рассмотрения представленных ма</w:t>
      </w:r>
      <w:r w:rsidRPr="00507A31">
        <w:rPr>
          <w:color w:val="000000" w:themeColor="text1"/>
          <w:sz w:val="16"/>
          <w:szCs w:val="16"/>
        </w:rPr>
        <w:softHyphen/>
        <w:t>териалов по И-8 НТК ВВС отмечал, что проект поступил поздно, т.к. самолет го</w:t>
      </w:r>
      <w:r w:rsidRPr="00507A31">
        <w:rPr>
          <w:color w:val="000000" w:themeColor="text1"/>
          <w:sz w:val="16"/>
          <w:szCs w:val="16"/>
        </w:rPr>
        <w:softHyphen/>
        <w:t>тов уже наполовину (по другим данным го</w:t>
      </w:r>
      <w:r w:rsidRPr="00507A31">
        <w:rPr>
          <w:color w:val="000000" w:themeColor="text1"/>
          <w:sz w:val="16"/>
          <w:szCs w:val="16"/>
        </w:rPr>
        <w:softHyphen/>
        <w:t>товность оценивалась на 65%) и вносить из</w:t>
      </w:r>
      <w:r w:rsidRPr="00507A31">
        <w:rPr>
          <w:color w:val="000000" w:themeColor="text1"/>
          <w:sz w:val="16"/>
          <w:szCs w:val="16"/>
        </w:rPr>
        <w:softHyphen/>
        <w:t>менения в него не удастся. Заявленные лет</w:t>
      </w:r>
      <w:r w:rsidRPr="00507A31">
        <w:rPr>
          <w:color w:val="000000" w:themeColor="text1"/>
          <w:sz w:val="16"/>
          <w:szCs w:val="16"/>
        </w:rPr>
        <w:softHyphen/>
        <w:t>ные данные совершенно не удовлетворили заказчиков: прежде всего по максимальной скорости на высоте 5000 метров и скороподъ</w:t>
      </w:r>
      <w:r w:rsidRPr="00507A31">
        <w:rPr>
          <w:color w:val="000000" w:themeColor="text1"/>
          <w:sz w:val="16"/>
          <w:szCs w:val="16"/>
        </w:rPr>
        <w:softHyphen/>
        <w:t>емности. В заключительной оценке Управле</w:t>
      </w:r>
      <w:r w:rsidRPr="00507A31">
        <w:rPr>
          <w:color w:val="000000" w:themeColor="text1"/>
          <w:sz w:val="16"/>
          <w:szCs w:val="16"/>
        </w:rPr>
        <w:softHyphen/>
        <w:t>ния ВВС говорилось, что «получаем обыч</w:t>
      </w:r>
      <w:r w:rsidRPr="00507A31">
        <w:rPr>
          <w:color w:val="000000" w:themeColor="text1"/>
          <w:sz w:val="16"/>
          <w:szCs w:val="16"/>
        </w:rPr>
        <w:softHyphen/>
        <w:t>ный истребитель, у которого даже признаков «жокея» найти невозможно».</w:t>
      </w:r>
    </w:p>
    <w:p w14:paraId="62AAEFEB" w14:textId="77777777" w:rsidR="00AF1634" w:rsidRPr="00507A31" w:rsidRDefault="00AF1634" w:rsidP="00507A31">
      <w:pPr>
        <w:jc w:val="both"/>
        <w:rPr>
          <w:color w:val="000000" w:themeColor="text1"/>
          <w:sz w:val="16"/>
          <w:szCs w:val="16"/>
        </w:rPr>
      </w:pPr>
      <w:r w:rsidRPr="00507A31">
        <w:rPr>
          <w:color w:val="000000" w:themeColor="text1"/>
          <w:sz w:val="16"/>
          <w:szCs w:val="16"/>
        </w:rPr>
        <w:t>В пояснительной записке к эскизному про</w:t>
      </w:r>
      <w:r w:rsidRPr="00507A31">
        <w:rPr>
          <w:color w:val="000000" w:themeColor="text1"/>
          <w:sz w:val="16"/>
          <w:szCs w:val="16"/>
        </w:rPr>
        <w:softHyphen/>
        <w:t>екту указывались следующие технические ха</w:t>
      </w:r>
      <w:r w:rsidRPr="00507A31">
        <w:rPr>
          <w:color w:val="000000" w:themeColor="text1"/>
          <w:sz w:val="16"/>
          <w:szCs w:val="16"/>
        </w:rPr>
        <w:softHyphen/>
        <w:t>рактеристики и расчетные летные данные И-8:</w:t>
      </w:r>
    </w:p>
    <w:tbl>
      <w:tblPr>
        <w:tblW w:w="0" w:type="auto"/>
        <w:tblLayout w:type="fixed"/>
        <w:tblCellMar>
          <w:left w:w="10" w:type="dxa"/>
          <w:right w:w="10" w:type="dxa"/>
        </w:tblCellMar>
        <w:tblLook w:val="0000" w:firstRow="0" w:lastRow="0" w:firstColumn="0" w:lastColumn="0" w:noHBand="0" w:noVBand="0"/>
      </w:tblPr>
      <w:tblGrid>
        <w:gridCol w:w="3056"/>
        <w:gridCol w:w="598"/>
      </w:tblGrid>
      <w:tr w:rsidR="00E371BA" w:rsidRPr="00507A31" w14:paraId="14796277" w14:textId="77777777" w:rsidTr="005E17EC">
        <w:trPr>
          <w:trHeight w:val="252"/>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52C30866"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Размах верхнего крыла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1F261ED4"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9,0</w:t>
            </w:r>
          </w:p>
        </w:tc>
      </w:tr>
      <w:tr w:rsidR="00E371BA" w:rsidRPr="00507A31" w14:paraId="07051ED0"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0FC33298"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Длина в линии полета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4E78B002"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6,9</w:t>
            </w:r>
          </w:p>
        </w:tc>
      </w:tr>
      <w:tr w:rsidR="00E371BA" w:rsidRPr="00507A31" w14:paraId="43356ABD"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6A7BBC1F"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Высота в линии полета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27ECD1B2"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2,73</w:t>
            </w:r>
          </w:p>
        </w:tc>
      </w:tr>
      <w:tr w:rsidR="00E371BA" w:rsidRPr="00507A31" w14:paraId="25E79D66"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734C9CAA"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Площадь крыльев (м</w:t>
            </w:r>
            <w:r w:rsidRPr="00507A31">
              <w:rPr>
                <w:rFonts w:ascii="Times New Roman" w:hAnsi="Times New Roman" w:cs="Times New Roman"/>
                <w:b w:val="0"/>
                <w:color w:val="000000" w:themeColor="text1"/>
                <w:sz w:val="16"/>
                <w:szCs w:val="16"/>
                <w:vertAlign w:val="superscript"/>
              </w:rPr>
              <w:t>2</w:t>
            </w:r>
            <w:r w:rsidRPr="00507A31">
              <w:rPr>
                <w:rFonts w:ascii="Times New Roman" w:hAnsi="Times New Roman" w:cs="Times New Roman"/>
                <w:b w:val="0"/>
                <w:color w:val="000000" w:themeColor="text1"/>
                <w:sz w:val="16"/>
                <w:szCs w:val="16"/>
              </w:rPr>
              <w:t>)</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5D2314F3"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20,0</w:t>
            </w:r>
          </w:p>
        </w:tc>
      </w:tr>
      <w:tr w:rsidR="00E371BA" w:rsidRPr="00507A31" w14:paraId="376D4DC6" w14:textId="77777777" w:rsidTr="005E17EC">
        <w:trPr>
          <w:trHeight w:val="241"/>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418E13D8"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Полетный вес (кг)</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029C0B62"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1286</w:t>
            </w:r>
          </w:p>
        </w:tc>
      </w:tr>
      <w:tr w:rsidR="00E371BA" w:rsidRPr="00507A31" w14:paraId="2C15576A"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774D6DFC"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у земли (км/ч)</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70815135"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331</w:t>
            </w:r>
          </w:p>
        </w:tc>
      </w:tr>
      <w:tr w:rsidR="00E371BA" w:rsidRPr="00507A31" w14:paraId="731372B7"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49C74C68"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на 5000 м (км/ч)</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7DCB15E2"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292</w:t>
            </w:r>
          </w:p>
        </w:tc>
      </w:tr>
      <w:tr w:rsidR="00E371BA" w:rsidRPr="00507A31" w14:paraId="2A824FD2" w14:textId="77777777" w:rsidTr="005E17EC">
        <w:trPr>
          <w:trHeight w:val="248"/>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4C24BACF"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Посадочная скорость (км/ч)</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381F796E"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106</w:t>
            </w:r>
          </w:p>
        </w:tc>
      </w:tr>
      <w:tr w:rsidR="00E371BA" w:rsidRPr="00507A31" w14:paraId="1518D731" w14:textId="77777777" w:rsidTr="005E17EC">
        <w:trPr>
          <w:trHeight w:val="241"/>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643D037A"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Практический потолок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13BB5782"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8000</w:t>
            </w:r>
          </w:p>
        </w:tc>
      </w:tr>
      <w:tr w:rsidR="00E371BA" w:rsidRPr="00507A31" w14:paraId="1E4230B1" w14:textId="77777777" w:rsidTr="005E17EC">
        <w:trPr>
          <w:trHeight w:val="252"/>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750438C8"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5000 м (мин.)</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3E034386" w14:textId="77777777" w:rsidR="00AF1634" w:rsidRPr="00507A31" w:rsidRDefault="00AF1634"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9,7</w:t>
            </w:r>
          </w:p>
        </w:tc>
      </w:tr>
    </w:tbl>
    <w:p w14:paraId="6C52B4F0" w14:textId="77777777" w:rsidR="00AF1634" w:rsidRPr="00507A31" w:rsidRDefault="00AF1634" w:rsidP="00507A31">
      <w:pPr>
        <w:jc w:val="both"/>
        <w:rPr>
          <w:color w:val="000000" w:themeColor="text1"/>
          <w:sz w:val="16"/>
          <w:szCs w:val="16"/>
        </w:rPr>
      </w:pPr>
      <w:r w:rsidRPr="00507A31">
        <w:rPr>
          <w:color w:val="000000" w:themeColor="text1"/>
          <w:sz w:val="16"/>
          <w:szCs w:val="16"/>
        </w:rPr>
        <w:t>(12295).</w:t>
      </w:r>
    </w:p>
    <w:p w14:paraId="3BF455B2" w14:textId="77777777" w:rsidR="00AF1634" w:rsidRPr="00507A31" w:rsidRDefault="00AF1634" w:rsidP="00507A31">
      <w:pPr>
        <w:jc w:val="both"/>
        <w:rPr>
          <w:color w:val="000000" w:themeColor="text1"/>
          <w:sz w:val="16"/>
          <w:szCs w:val="16"/>
        </w:rPr>
      </w:pPr>
    </w:p>
    <w:p w14:paraId="278866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мая 1930 г. в 20-й бригаде в Харькове начались войсковые испытания самолетов Р-5 1-й серии. В них участвовали экипажи 20-й и 24-й эскадрилий, в распоряжение которых поступило 9 машин.</w:t>
      </w:r>
    </w:p>
    <w:p w14:paraId="36E092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первых же полетах в летнюю жару сказался уже выявленный в НИИ ВВС перегрев двигателя из-за недостаточной площади радиатора. Лучше всего себя показали две машины, на которых стояли радиаторы с шестигранными трубками.</w:t>
      </w:r>
    </w:p>
    <w:p w14:paraId="6063BF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Серийные Р-5 оказались тяжелее опытных образцов, поэтому летные данные несколько упали. Тем не менее, машина представляла собой большой шаг вперед по сравнению с состоявшими на вооружении Р-1 и Р-ЗЛД. Самолет оказался прост в управлении. Летчики отметили, что обзор лучше, чем на старом Р-1.</w:t>
      </w:r>
    </w:p>
    <w:p w14:paraId="6DA487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Экипажи занимались стрельбой по наземным и воздушным целям. Использовали мишени-рукава, которые буксировал другой самолет. Бомбили с разных высот. При полете на большой высоте пилот земли не видел, летнаб искал цель и давал указания по переговорному шлангу. Прицеливание осуществляли как с помощью "Герца", так и АП-2. Последний на борту поставили неудобно, летнаб небольшого роста не мог правильно заглянуть в визир.</w:t>
      </w:r>
    </w:p>
    <w:p w14:paraId="5BEEFB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Тренировались в визуальной и фоторазведке, подбирали с земли донесения с помощью "кошки", которую опускали через окно бомбового прицела. Летнабы также читали донесения, передаваемые с земли полотнищами Попхэма - длинными полосами белой ткани, которые выкладывали различным образом.</w:t>
      </w:r>
    </w:p>
    <w:p w14:paraId="7A226C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Строевые экипажи высказали немало претензий в адрес Р-5. Например, они обратили внимание на быстрое увеличение люфтов в управлении, бесконтрольное перетекание бензина из одних баков в другие. Работая с прицелом "Герц", летнаб постоянно ударялся головой о турель.</w:t>
      </w:r>
    </w:p>
    <w:p w14:paraId="159FD2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Войсковые испытания завершились 14 июня. В итоговом акте перечислено 177 пунктов замечаний. Но все это никоим образом не могло затенить тот факт, что на вооружение ВВС РККА поступил действительно удачный самолет. Выводы комиссии завершались фразой: "Считать, что самолеты Р5 первой серии постройки завода № 1 войсковые испытания выдержали удовлетворительно" (11936).</w:t>
      </w:r>
    </w:p>
    <w:p w14:paraId="2F5A7CA5" w14:textId="77777777" w:rsidR="00537E5F" w:rsidRPr="00507A31" w:rsidRDefault="00537E5F" w:rsidP="00507A31">
      <w:pPr>
        <w:autoSpaceDE w:val="0"/>
        <w:autoSpaceDN w:val="0"/>
        <w:adjustRightInd w:val="0"/>
        <w:jc w:val="both"/>
        <w:rPr>
          <w:color w:val="000000" w:themeColor="text1"/>
          <w:sz w:val="16"/>
          <w:szCs w:val="16"/>
        </w:rPr>
      </w:pPr>
    </w:p>
    <w:p w14:paraId="3D6C96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мая 1930 г., сразу после доставки из Москвы первых двух разведчиков Р-5 днем ранее, официально начались войсковые испытания Р-5, которые проводили в 20-й авиабригаде в Харькове; в них участвовали экипажи 20-й и 24-й эскадрилий.</w:t>
      </w:r>
    </w:p>
    <w:p w14:paraId="09C7BE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Вместо десяти запланированных машин реально прибыли только девять. Десятый и последний Р-5, перегонявшийся в ноябре, по пути из-за перегрева двигателя совершил вынужденную посадку у станции Выползово.</w:t>
      </w:r>
    </w:p>
    <w:p w14:paraId="4ED14D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Программа включала освоение новой техники, пилотирование днем и ночью и отработку возможного боевого применения. Поскольку самолеты поступали постепенно, экипажи могли учиться другу друга. Сначала летали поодиночке, затем строем звена и отряда.</w:t>
      </w:r>
    </w:p>
    <w:p w14:paraId="4E8430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первых же полетах в летнюю жару сказался уже выявленный в НИИ ВВС недостаток - перегрев двигателя из-за недостаточной площади радиатора. Из бригады сообщали: "Полеты затрудняются жаркой погодой, моторы перегреваются..." Лучше всего себя показали две машины, на которых стояли радиаторы с шестигранными трубками.</w:t>
      </w:r>
    </w:p>
    <w:p w14:paraId="403FB2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серийные Р-5 оказались тяжелее опытных образцов, поэтому летные данные несколько упали; скороподъемность и скорость снизились, пробег на посадке - увеличился. Тем не менее, машина явно представляла собой большой шаг вперед по сравнению с состоявшими к тому времени на вооружении разведчиками Р-1 и Р-ЗЛД. Самолет оказался прост в управлении. Летчики с удовольствием отметили, что обзор у них на Р-5 лучше, чем на старом Р-1.</w:t>
      </w:r>
    </w:p>
    <w:p w14:paraId="66AB0A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Командир 24-й эскадрильи Лиховицкий с летнабом Курдюмовым совершил беспосадочный перелет Харьков - Брянск - Воронеж - Харьков.</w:t>
      </w:r>
    </w:p>
    <w:p w14:paraId="4AB44E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Занимались воздушной стрельбой, ведя огонь по наземным и воздушным целям. В качестве последних использовали мишени-рукава, которые буксировал другой самолет. Бомбили с разных высот. Это гоже оказалось проще, чем на Р-1. Правда, при полете на большой высоте пилот земли не видел, летнаб искал цель и давал </w:t>
      </w:r>
      <w:r w:rsidRPr="00507A31">
        <w:rPr>
          <w:color w:val="000000" w:themeColor="text1"/>
          <w:sz w:val="16"/>
          <w:szCs w:val="16"/>
        </w:rPr>
        <w:lastRenderedPageBreak/>
        <w:t>указания по переговорному шлангу. Прицеливание осуществляли как с помощью "Герца", так и запасного механического прицела АП-2. Вот последний на борту снаружи поставили неудобно, летнаб небольшого роста не мог правильно заглянуть в визир.</w:t>
      </w:r>
    </w:p>
    <w:p w14:paraId="0241DD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этого, тренировались в визуальной и фоторазведке, подбирали с земли донесения. Последнее делалось "кошкой", которая спускалась в открытое окно бомбового прицела. Донесение, прицепленное к веревке, натянутой между двумя шестами, подхватывали с высоты 5-10 м на скорости 100-110 км/ч. Летнабы также читали донесения, сообщавшиеся с земли полотнищами Попхэма - длинными полосами белой ткани, которые выкладывали различным образом.</w:t>
      </w:r>
    </w:p>
    <w:p w14:paraId="33E435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ходе эксплуатации появилось множество мелких претензий. Нашли как конструктивные просчеты, так и дефекты заводского изготовления. Экипажи обратили внимание на быстрое увеличение люфтов в рулевом управлении, бесконтрольное перетекание бензина из одних баков в другие. Работая с бомбовым прицелом "Герц", летнаб постоянно стукался головой о турель.</w:t>
      </w:r>
    </w:p>
    <w:p w14:paraId="54DD10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Итоговый акт перечисляет 177 пунктов замечаний. Но все это никоим образом не могло затенить тот факт, что на вооружение ВВС РККА поступил действительно удачный самолет. Командир 20-й бригады Алексеев доложил в Москву: "Самолет Р-5 с мотором BMW6 как по своим летно-техническим, так и по летно-тактическим качествам пригоден для эксплуатации в строевых частях ВВС в качестве разведчика и легкобомбардировщика при условии устранения дефектов, обнаруженных в результате испытаний..." Выводы комиссии были завершены фразой: "Считать, что самолеты Р-5 первой серии постройки завода №1 войсковые испытания выдержали удовлетворительно". Разведчик № 4147 после выполнения всей программы вывезли в Москву и разобрали для тщательного изучения (12034).</w:t>
      </w:r>
    </w:p>
    <w:p w14:paraId="3FBBE914" w14:textId="77777777" w:rsidR="00537E5F" w:rsidRPr="00507A31" w:rsidRDefault="00537E5F" w:rsidP="00507A31">
      <w:pPr>
        <w:autoSpaceDE w:val="0"/>
        <w:autoSpaceDN w:val="0"/>
        <w:adjustRightInd w:val="0"/>
        <w:jc w:val="both"/>
        <w:rPr>
          <w:color w:val="000000" w:themeColor="text1"/>
          <w:sz w:val="16"/>
          <w:szCs w:val="16"/>
        </w:rPr>
      </w:pPr>
    </w:p>
    <w:p w14:paraId="26E981A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71EBD66" w14:textId="77777777" w:rsidR="00537E5F" w:rsidRPr="00507A31" w:rsidRDefault="00537E5F" w:rsidP="00507A31">
      <w:pPr>
        <w:autoSpaceDE w:val="0"/>
        <w:autoSpaceDN w:val="0"/>
        <w:adjustRightInd w:val="0"/>
        <w:jc w:val="both"/>
        <w:rPr>
          <w:iCs/>
          <w:color w:val="000000" w:themeColor="text1"/>
          <w:sz w:val="16"/>
          <w:szCs w:val="16"/>
        </w:rPr>
      </w:pPr>
    </w:p>
    <w:p w14:paraId="2154EF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мая 1930 г. постановлением РЗ СТО было поручено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 Постановление РЗ СТО от 10 мая 1930 г. было выполнено. Благодаря принятым тт. Калининым и Будняком мерам был достигнут резкий перелом выполнения танковой программы заводом «Большевик». Но, несмотря на данное тт. Урываевым и Будняком обещание Правительству о выполнении танковой программы к 1 октября 1930 г. оно выполнено не было. Танковая программа 1929/30 г. будет выполнена только к 18 ноября с.г. (10977).</w:t>
      </w:r>
    </w:p>
    <w:p w14:paraId="528583A8" w14:textId="77777777" w:rsidR="00537E5F" w:rsidRPr="00507A31" w:rsidRDefault="00537E5F" w:rsidP="00507A31">
      <w:pPr>
        <w:autoSpaceDE w:val="0"/>
        <w:autoSpaceDN w:val="0"/>
        <w:adjustRightInd w:val="0"/>
        <w:jc w:val="both"/>
        <w:rPr>
          <w:color w:val="000000" w:themeColor="text1"/>
          <w:sz w:val="16"/>
          <w:szCs w:val="16"/>
        </w:rPr>
      </w:pPr>
    </w:p>
    <w:p w14:paraId="6718AA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мая 1930 г. Постановлением РЗ СТО поручалось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 (11210).</w:t>
      </w:r>
    </w:p>
    <w:p w14:paraId="3841D09B" w14:textId="77777777" w:rsidR="00537E5F" w:rsidRPr="00507A31" w:rsidRDefault="00537E5F" w:rsidP="00507A31">
      <w:pPr>
        <w:autoSpaceDE w:val="0"/>
        <w:autoSpaceDN w:val="0"/>
        <w:adjustRightInd w:val="0"/>
        <w:jc w:val="both"/>
        <w:rPr>
          <w:color w:val="000000" w:themeColor="text1"/>
          <w:sz w:val="16"/>
          <w:szCs w:val="16"/>
        </w:rPr>
      </w:pPr>
    </w:p>
    <w:p w14:paraId="4FEC90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мая 1930 года Совета труда и обороны СНК СССР в своем постановлении "О пятилетнем плане подготовки кадров для военной промышленности и военных производств, гражданской промышленности" признало положение с инженерно-техническими кадрами критическим. Поскольку значительная часть специалистов была осуждена "за вредительство" и находилась в заключении, было принято решение максимально использовать последних по их профессиональному назначению (11025).</w:t>
      </w:r>
    </w:p>
    <w:p w14:paraId="41629A02" w14:textId="77777777" w:rsidR="00537E5F" w:rsidRPr="00507A31" w:rsidRDefault="00537E5F" w:rsidP="00507A31">
      <w:pPr>
        <w:autoSpaceDE w:val="0"/>
        <w:autoSpaceDN w:val="0"/>
        <w:adjustRightInd w:val="0"/>
        <w:jc w:val="both"/>
        <w:rPr>
          <w:color w:val="000000" w:themeColor="text1"/>
          <w:sz w:val="16"/>
          <w:szCs w:val="16"/>
        </w:rPr>
      </w:pPr>
    </w:p>
    <w:p w14:paraId="7EBB0BE6" w14:textId="77777777" w:rsidR="00AF1634" w:rsidRPr="00507A31" w:rsidRDefault="00AF1634" w:rsidP="00507A31">
      <w:pPr>
        <w:jc w:val="both"/>
        <w:rPr>
          <w:color w:val="000000" w:themeColor="text1"/>
          <w:sz w:val="16"/>
          <w:szCs w:val="16"/>
          <w:u w:color="002060"/>
        </w:rPr>
      </w:pPr>
      <w:r w:rsidRPr="00507A31">
        <w:rPr>
          <w:color w:val="000000" w:themeColor="text1"/>
          <w:sz w:val="16"/>
          <w:szCs w:val="16"/>
          <w:u w:color="002060"/>
        </w:rPr>
        <w:t>10 мая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пятилетием плане подготовки кадров для военной промышленности и военного производства в гражданской промышленности (ГА РФ. Ф. Р?8418. Оп. 3. Д. 195. Л. 2?5) (12415).</w:t>
      </w:r>
    </w:p>
    <w:p w14:paraId="68C47A34" w14:textId="77777777" w:rsidR="00AF1634" w:rsidRPr="00507A31" w:rsidRDefault="00AF1634" w:rsidP="00507A31">
      <w:pPr>
        <w:jc w:val="both"/>
        <w:rPr>
          <w:color w:val="000000" w:themeColor="text1"/>
          <w:sz w:val="16"/>
          <w:szCs w:val="16"/>
          <w:u w:color="002060"/>
        </w:rPr>
      </w:pPr>
    </w:p>
    <w:p w14:paraId="5490FC46" w14:textId="77777777" w:rsidR="00AF1634" w:rsidRPr="00507A31" w:rsidRDefault="00AF1634" w:rsidP="00507A31">
      <w:pPr>
        <w:jc w:val="both"/>
        <w:rPr>
          <w:color w:val="000000" w:themeColor="text1"/>
          <w:sz w:val="16"/>
          <w:szCs w:val="16"/>
        </w:rPr>
      </w:pPr>
      <w:r w:rsidRPr="00507A31">
        <w:rPr>
          <w:color w:val="000000" w:themeColor="text1"/>
          <w:sz w:val="16"/>
          <w:szCs w:val="16"/>
        </w:rPr>
        <w:t>10 мая 1930 г. — Постановление РЗ СТО СССР «О пятилетнем плане подготовки кадров для военной промышленности и военных производств гражданской промышленности»</w:t>
      </w:r>
    </w:p>
    <w:p w14:paraId="592AEC09" w14:textId="77777777" w:rsidR="00AF1634" w:rsidRPr="00507A31" w:rsidRDefault="00AF1634"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5EADF09B"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Совет труда и обороны постановляет:</w:t>
      </w:r>
    </w:p>
    <w:p w14:paraId="51F45442"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1. Принять к сведению заявление ВСНХ и НКТруда СССР о том, что:</w:t>
      </w:r>
    </w:p>
    <w:p w14:paraId="25513BAC"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а) в военной промышленности и в военных производствах гражданской промышленности на 1 октября 1929 г., по неполным сведениям, имеется: всего инженеров — 1897 чел., из них практиков — 439; всего техников — 4329, из них практиков — 1363; в том числе специалистов по военным производствам: инженеров — 711, из них 135 практиков; техников — 1792, из них 506 практиков;</w:t>
      </w:r>
    </w:p>
    <w:p w14:paraId="386B0B34"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б) при развертывании военной промышленности и военных производств гражданской промышленности в случае войны к концу пятилетия по ориентировочным подсчетам должно быть: всего инженеров — 10 217, техников — 16 583, в том числе специалистов по военным производствам: [инженеров] — 5333, техников — 8724;</w:t>
      </w:r>
    </w:p>
    <w:p w14:paraId="7D999BEF"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в) по годам пятилетия при развертывании в военное время: в 1929/30 г.: всего инженеров — 4076, техников — 7038, в том числе: специалистов по военным производствам — 1734, техников — 3049; в 1930/31 г.: всего инженеров — 6121, техников — 10 305, в том числе: специалистов по военным производствам — 2823, техников — 5066; в 1931/32 г.: всего инженеров — 8034, техников — 13 215, в том числе: специалистов по военным производствам — 3977, техников — 6728.</w:t>
      </w:r>
    </w:p>
    <w:p w14:paraId="09001C0F"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2. Подготовку инженеров — специалистов по военным производствам (конструкторов и организаторов производства) производить на военно-промышленных отделениях и факультетах гражданских втузов, Военно-морской, Военно-воздушной и Военно-технической академий; комплектование их производить по специальностям из студентов, перешедших на III курс, со сроком обучения 2 года, за исключением военно-промышленного отделения при Военно-морской академии, комплектование которого производить из числа окончивших втузы; срок обучения на этом отделении установить 1 год. Количество военно-промышленных факультетов установить 10 согласно прилагаемому списку¹*.</w:t>
      </w:r>
    </w:p>
    <w:p w14:paraId="64412538"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3. Подготовку инженеров — руководителей отдельными операциями производств производить через систему гражданских втузов путем введения на III и IV курсах дополнительных специальных предметов по военным производствам (военно-промышленный уклон). Количество втузов, охватываемых военно-промышленным уклоном, устанавливается ВСНХ СССР по согласованию с Госпланом СССР.</w:t>
      </w:r>
    </w:p>
    <w:p w14:paraId="323DB0E8"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4. Подготовку специалистов по военным производствам средней квалификации (техников) для работы в конструкторских бюро производить в техникумах, прикрепляемых к соответствующим промышленным объединениям и предприятиям согласно прилагаемому списку²*.</w:t>
      </w:r>
    </w:p>
    <w:p w14:paraId="03B88CC7"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5. Подготовку техников, требующих элементарного знакомства с военными производствами, производить путем охвата их соответствующим военно-промышленным уклоном на последнем курсе техникума.</w:t>
      </w:r>
    </w:p>
    <w:p w14:paraId="59FD4F43"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6. В целях полного покрытия потребности военной промышленности и военных производств гражданской промышленности в инженерно-технических кадрах в военное время считать необходимым охватить военно-промышленным уклоном к концу пятилетия не менее 20 тыс. инженеров и техников.</w:t>
      </w:r>
    </w:p>
    <w:p w14:paraId="65D6942E"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7. Поручить ВСНХ СССР производить ежегодно отбор из наиболее способной, политически выдержанной части кончающих военно-промышленные отделения и факультеты гражданских втузов инженеров, могущих руководить обучением студентов на военно-промышленных отделениях и факультетах.</w:t>
      </w:r>
    </w:p>
    <w:p w14:paraId="73FF968E"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8. Ввиду большого дефицита в специалистах по военным производствам в 1929/30 и 1930/31 гг. обязать ВСНХ СССР и НКПросы РСФСР и УССР: а) передать в военную промышленность в 1929/30 г. 453 чел., кончающих в этом году втузы и прошедших военно-промышленные уклоны по отравляющим веществам, взрывчатым веществам, артиллерийский, ружейно-пулеметный и патронно-трубочный; б) закрепить за авиапромышленностью выпуски Московского аэромеханического, Ленинградского авиационного и других соответствующих втузов; в) обеспечить военную промышленность и военные производства гражданской промышленности инженерно-техническими кадрами общих профессий (теплотехники, механики, электрики, химики, строители, экономисты и т. п.) за счет выпусков соответствующих втузов и вузов, производя в необходимых случаях переконтракцию студентов.</w:t>
      </w:r>
    </w:p>
    <w:p w14:paraId="2F3FAA5E"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ВСНХ СССР: а) организовать в 1929/30 г. краткосрочные курсы по подготовке техников из состава квалифицированных рабочих для химической и авиапромышленности с охватом не менее 320 чел.; б) выделить в Ленинграде группу военных заводов с хорошо налаженным производством, на которых организовать переподготовку инженеров и техников, работающих в гражданской промышленности, получившей мобилизационные задания, привлекая к руководству обучением преподавательский состав Военно-технической академии; к концу 1930/31 г. охватить переподготовкой не менее 50% наличного состава инженеров и техников.</w:t>
      </w:r>
    </w:p>
    <w:p w14:paraId="38779777"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9. Обязать ВСНХ и НКФин СССР обеспечить намеченную планом подготовку инженерно-технических кадров на пятилетие соответствующими ассигнованиями.</w:t>
      </w:r>
    </w:p>
    <w:p w14:paraId="5EFA765D"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 xml:space="preserve">10. В целях более широкого охвата специалистов знаниями военных производств поручить ВСНХ СССР совместно </w:t>
      </w:r>
      <w:r w:rsidRPr="00507A31">
        <w:rPr>
          <w:rStyle w:val="af0"/>
          <w:i w:val="0"/>
          <w:color w:val="000000" w:themeColor="text1"/>
          <w:sz w:val="16"/>
          <w:szCs w:val="16"/>
        </w:rPr>
        <w:t>с</w:t>
      </w:r>
      <w:r w:rsidRPr="00507A31">
        <w:rPr>
          <w:color w:val="000000" w:themeColor="text1"/>
          <w:sz w:val="16"/>
          <w:szCs w:val="16"/>
        </w:rPr>
        <w:t xml:space="preserve"> НКПросами РСФСР и УССР к 1 сентября с. г. пересмотреть учебные программы втузов в сторону внедрения в общие дисциплины элементарных военно-производственных знаний.</w:t>
      </w:r>
    </w:p>
    <w:p w14:paraId="499BA839" w14:textId="77777777" w:rsidR="00AF1634" w:rsidRPr="00507A31" w:rsidRDefault="00AF1634" w:rsidP="00507A31">
      <w:pPr>
        <w:pStyle w:val="rtejustify"/>
        <w:spacing w:before="0" w:after="0"/>
        <w:rPr>
          <w:color w:val="000000" w:themeColor="text1"/>
          <w:sz w:val="16"/>
          <w:szCs w:val="16"/>
        </w:rPr>
      </w:pPr>
      <w:r w:rsidRPr="00507A31">
        <w:rPr>
          <w:color w:val="000000" w:themeColor="text1"/>
          <w:sz w:val="16"/>
          <w:szCs w:val="16"/>
        </w:rPr>
        <w:t>11. Обязать ВСНХ СССР предусмотреть в контрольных цифрах на 1930/31 г. все мероприятия по подготовке инженерно-технических кадров в этом году и обеспечить их финансированием.</w:t>
      </w:r>
    </w:p>
    <w:p w14:paraId="739175C2" w14:textId="77777777" w:rsidR="00AF1634" w:rsidRPr="00507A31" w:rsidRDefault="00AF1634"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Председатель Совета труда и обороны </w:t>
      </w:r>
      <w:hyperlink r:id="rId83" w:history="1">
        <w:r w:rsidRPr="00507A31">
          <w:rPr>
            <w:rStyle w:val="af0"/>
            <w:i w:val="0"/>
            <w:color w:val="000000" w:themeColor="text1"/>
            <w:sz w:val="16"/>
            <w:szCs w:val="16"/>
          </w:rPr>
          <w:t>А. И. Рыков</w:t>
        </w:r>
      </w:hyperlink>
    </w:p>
    <w:p w14:paraId="2E5F98A0" w14:textId="77777777" w:rsidR="00AF1634" w:rsidRPr="00507A31" w:rsidRDefault="00AF1634"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Управделами СНК СССР и Совета труда и обороны </w:t>
      </w:r>
      <w:hyperlink r:id="rId84" w:history="1">
        <w:r w:rsidRPr="00507A31">
          <w:rPr>
            <w:rStyle w:val="af0"/>
            <w:i w:val="0"/>
            <w:color w:val="000000" w:themeColor="text1"/>
            <w:sz w:val="16"/>
            <w:szCs w:val="16"/>
          </w:rPr>
          <w:t>Н. Горбунов</w:t>
        </w:r>
      </w:hyperlink>
    </w:p>
    <w:p w14:paraId="246F036D" w14:textId="77777777" w:rsidR="00AF1634" w:rsidRPr="00507A31" w:rsidRDefault="00AF1634"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Секретарь Распорядительных заседаний СТО </w:t>
      </w:r>
      <w:hyperlink r:id="rId85" w:history="1">
        <w:r w:rsidRPr="00507A31">
          <w:rPr>
            <w:rStyle w:val="af0"/>
            <w:i w:val="0"/>
            <w:color w:val="000000" w:themeColor="text1"/>
            <w:sz w:val="16"/>
            <w:szCs w:val="16"/>
          </w:rPr>
          <w:t>Аппога</w:t>
        </w:r>
      </w:hyperlink>
    </w:p>
    <w:p w14:paraId="51E32325" w14:textId="77777777" w:rsidR="00AF1634" w:rsidRPr="00507A31" w:rsidRDefault="00AF1634"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11C82546" w14:textId="77777777" w:rsidR="00AF1634" w:rsidRPr="00507A31" w:rsidRDefault="00AF1634" w:rsidP="00507A31">
      <w:pPr>
        <w:pStyle w:val="ae"/>
        <w:spacing w:before="0" w:after="0"/>
        <w:jc w:val="both"/>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Приложение не публикуется (см. там же, л. 6).</w:t>
      </w:r>
    </w:p>
    <w:p w14:paraId="464AB84F" w14:textId="77777777" w:rsidR="00AF1634" w:rsidRPr="00507A31" w:rsidRDefault="00AF1634" w:rsidP="00507A31">
      <w:pPr>
        <w:pStyle w:val="ae"/>
        <w:spacing w:before="0" w:after="0"/>
        <w:jc w:val="both"/>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Приложение не публикуется (см. там же, л. 7).</w:t>
      </w:r>
    </w:p>
    <w:p w14:paraId="3B8D8C49" w14:textId="77777777" w:rsidR="00AF1634" w:rsidRPr="00507A31" w:rsidRDefault="00AF1634" w:rsidP="00507A31">
      <w:pPr>
        <w:pStyle w:val="ae"/>
        <w:spacing w:before="0" w:after="0"/>
        <w:jc w:val="both"/>
        <w:rPr>
          <w:color w:val="000000" w:themeColor="text1"/>
          <w:sz w:val="16"/>
          <w:szCs w:val="16"/>
        </w:rPr>
      </w:pPr>
      <w:r w:rsidRPr="00507A31">
        <w:rPr>
          <w:color w:val="000000" w:themeColor="text1"/>
          <w:sz w:val="16"/>
          <w:szCs w:val="16"/>
        </w:rPr>
        <w:t>ГА РФ. Ф. Р-8418. Оп. 3. Д. 195. Л. 2-5. Заверенная копия</w:t>
      </w:r>
      <w:r w:rsidRPr="00507A31">
        <w:rPr>
          <w:rStyle w:val="af0"/>
          <w:i w:val="0"/>
          <w:color w:val="000000" w:themeColor="text1"/>
          <w:sz w:val="16"/>
          <w:szCs w:val="16"/>
        </w:rPr>
        <w:t>.</w:t>
      </w:r>
    </w:p>
    <w:p w14:paraId="404BA157" w14:textId="77777777" w:rsidR="00AF1634" w:rsidRPr="00507A31" w:rsidRDefault="00AF1634" w:rsidP="00507A31">
      <w:pPr>
        <w:jc w:val="both"/>
        <w:rPr>
          <w:color w:val="000000" w:themeColor="text1"/>
          <w:sz w:val="16"/>
          <w:szCs w:val="16"/>
        </w:rPr>
      </w:pPr>
      <w:r w:rsidRPr="00507A31">
        <w:rPr>
          <w:color w:val="000000" w:themeColor="text1"/>
          <w:sz w:val="16"/>
          <w:szCs w:val="16"/>
        </w:rPr>
        <w:lastRenderedPageBreak/>
        <w:t>Архив: ГА РФ. Ф. Р-8418. Оп. 3. Д. 195. Л. 2-5. Заверенная копия.</w:t>
      </w:r>
    </w:p>
    <w:p w14:paraId="307951C3" w14:textId="77777777" w:rsidR="00AF1634" w:rsidRPr="00507A31" w:rsidRDefault="00AF1634"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478-479 (12508).</w:t>
      </w:r>
    </w:p>
    <w:p w14:paraId="3942606F" w14:textId="77777777" w:rsidR="00AF1634" w:rsidRPr="00507A31" w:rsidRDefault="00AF1634" w:rsidP="00507A31">
      <w:pPr>
        <w:jc w:val="both"/>
        <w:rPr>
          <w:color w:val="000000" w:themeColor="text1"/>
          <w:sz w:val="16"/>
          <w:szCs w:val="16"/>
        </w:rPr>
      </w:pPr>
    </w:p>
    <w:p w14:paraId="427A5DD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B6DC615" w14:textId="77777777" w:rsidR="00537E5F" w:rsidRPr="00507A31" w:rsidRDefault="00537E5F" w:rsidP="00507A31">
      <w:pPr>
        <w:autoSpaceDE w:val="0"/>
        <w:autoSpaceDN w:val="0"/>
        <w:adjustRightInd w:val="0"/>
        <w:jc w:val="both"/>
        <w:rPr>
          <w:iCs/>
          <w:color w:val="000000" w:themeColor="text1"/>
          <w:sz w:val="16"/>
          <w:szCs w:val="16"/>
        </w:rPr>
      </w:pPr>
    </w:p>
    <w:p w14:paraId="6D5505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мая 1930 года политбюро выпустило такую директиву: "Обязать ОГПУ в течение 10 дней добыть (!) от 1 до 2 млн рублей валюты"(11558).</w:t>
      </w:r>
    </w:p>
    <w:p w14:paraId="71BEBCF4" w14:textId="77777777" w:rsidR="00537E5F" w:rsidRPr="00507A31" w:rsidRDefault="00537E5F" w:rsidP="00507A31">
      <w:pPr>
        <w:autoSpaceDE w:val="0"/>
        <w:autoSpaceDN w:val="0"/>
        <w:adjustRightInd w:val="0"/>
        <w:jc w:val="both"/>
        <w:rPr>
          <w:color w:val="000000" w:themeColor="text1"/>
          <w:sz w:val="16"/>
          <w:szCs w:val="16"/>
        </w:rPr>
      </w:pPr>
    </w:p>
    <w:p w14:paraId="3D63D50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9F129AB" w14:textId="77777777" w:rsidR="00537E5F" w:rsidRPr="00507A31" w:rsidRDefault="00537E5F" w:rsidP="00507A31">
      <w:pPr>
        <w:autoSpaceDE w:val="0"/>
        <w:autoSpaceDN w:val="0"/>
        <w:adjustRightInd w:val="0"/>
        <w:jc w:val="both"/>
        <w:rPr>
          <w:iCs/>
          <w:color w:val="000000" w:themeColor="text1"/>
          <w:sz w:val="16"/>
          <w:szCs w:val="16"/>
        </w:rPr>
      </w:pPr>
    </w:p>
    <w:p w14:paraId="73D845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11 мая по 23 сентября 1930 после устранения дефектов АНТ-10 вновь прошел заводские испытания, которые проводили М.М.Громов, В.О.Писаренко, А.Б.Юмашев. Передали на повторные гос. испытания, но Р-5 был явно лучше (346,47).</w:t>
      </w:r>
    </w:p>
    <w:p w14:paraId="4AF7209F" w14:textId="77777777" w:rsidR="00537E5F" w:rsidRPr="00507A31" w:rsidRDefault="00537E5F" w:rsidP="00507A31">
      <w:pPr>
        <w:autoSpaceDE w:val="0"/>
        <w:autoSpaceDN w:val="0"/>
        <w:adjustRightInd w:val="0"/>
        <w:jc w:val="both"/>
        <w:rPr>
          <w:color w:val="000000" w:themeColor="text1"/>
          <w:sz w:val="16"/>
          <w:szCs w:val="16"/>
        </w:rPr>
      </w:pPr>
    </w:p>
    <w:p w14:paraId="05AB54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мая 1930 закончились гос. испытания Р-6 (АНТ-7) А.Н.Т., которые проходили с 11 сентября 1929, когда состоялся первый полет (438,609).</w:t>
      </w:r>
    </w:p>
    <w:p w14:paraId="18E691F2" w14:textId="77777777" w:rsidR="00537E5F" w:rsidRPr="00507A31" w:rsidRDefault="00537E5F" w:rsidP="00507A31">
      <w:pPr>
        <w:autoSpaceDE w:val="0"/>
        <w:autoSpaceDN w:val="0"/>
        <w:adjustRightInd w:val="0"/>
        <w:jc w:val="both"/>
        <w:rPr>
          <w:color w:val="000000" w:themeColor="text1"/>
          <w:sz w:val="16"/>
          <w:szCs w:val="16"/>
        </w:rPr>
      </w:pPr>
    </w:p>
    <w:p w14:paraId="6079B61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84AC37B" w14:textId="77777777" w:rsidR="00537E5F" w:rsidRPr="00507A31" w:rsidRDefault="00537E5F" w:rsidP="00507A31">
      <w:pPr>
        <w:autoSpaceDE w:val="0"/>
        <w:autoSpaceDN w:val="0"/>
        <w:adjustRightInd w:val="0"/>
        <w:jc w:val="both"/>
        <w:rPr>
          <w:iCs/>
          <w:color w:val="000000" w:themeColor="text1"/>
          <w:sz w:val="16"/>
          <w:szCs w:val="16"/>
        </w:rPr>
      </w:pPr>
    </w:p>
    <w:p w14:paraId="273A11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мая 1930 г. вышло решение совещания под председательством нач. МПУ т. Постникова по организации броневой базы в Сталинграде. Этим решением «Сталь» обязывалось доложить в декадный срок вопрос о подготовке броневой базы. Последнее выполнено не было, так как ни «Сталь», ни само МПУ никаких конкретных проработок по данному вопросу не имело (10977).</w:t>
      </w:r>
    </w:p>
    <w:p w14:paraId="79C18167" w14:textId="77777777" w:rsidR="00537E5F" w:rsidRPr="00507A31" w:rsidRDefault="00537E5F" w:rsidP="00507A31">
      <w:pPr>
        <w:autoSpaceDE w:val="0"/>
        <w:autoSpaceDN w:val="0"/>
        <w:adjustRightInd w:val="0"/>
        <w:jc w:val="both"/>
        <w:rPr>
          <w:color w:val="000000" w:themeColor="text1"/>
          <w:sz w:val="16"/>
          <w:szCs w:val="16"/>
        </w:rPr>
      </w:pPr>
    </w:p>
    <w:p w14:paraId="0F8E4B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мая 1930 г. вышел ПРОТОКОЛ СОВЕЩАНИЯ МПУ ВСНХ СССР О СОСТОЯНИИ РАБОТ ПО ОПЫТНЫМ ОБРАЗЦАМ ТАНКОВ</w:t>
      </w:r>
    </w:p>
    <w:p w14:paraId="60F043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7C5D5A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Присутствовали:</w:t>
      </w:r>
    </w:p>
    <w:p w14:paraId="245F59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МПУ: Начальник МПУ т. Постников, тт. Смилга, Шпекторов, Котт, Кононенко, Корницкийи Туманов.</w:t>
      </w:r>
    </w:p>
    <w:p w14:paraId="78F3AF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УММ: тт. Калиновский и Бокис.</w:t>
      </w:r>
    </w:p>
    <w:p w14:paraId="37AF30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ВАТО: тт. Оськин и Борисов.</w:t>
      </w:r>
    </w:p>
    <w:p w14:paraId="56F55E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Орудийно оружейно пулеметного объединения: тт. Адаме, Шукалов, Будняк и Сыркин.</w:t>
      </w:r>
    </w:p>
    <w:p w14:paraId="1E27C9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775843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Слушали:</w:t>
      </w:r>
    </w:p>
    <w:p w14:paraId="103387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 состоянии работ по проектированию и сооружению опытных образцов танков Т-20, Т-19, тан</w:t>
      </w:r>
      <w:r w:rsidRPr="00507A31">
        <w:rPr>
          <w:color w:val="000000" w:themeColor="text1"/>
          <w:sz w:val="16"/>
          <w:szCs w:val="16"/>
        </w:rPr>
        <w:softHyphen/>
        <w:t>кетки Т-23 и модернизации танка Т-12 (Т-24).</w:t>
      </w:r>
    </w:p>
    <w:p w14:paraId="23DEA1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Докладчик - т. Шукалов, содокладчик - т. Адаме.</w:t>
      </w:r>
    </w:p>
    <w:p w14:paraId="2EE9B4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Постановили:</w:t>
      </w:r>
    </w:p>
    <w:p w14:paraId="56B24D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По танку Т-19</w:t>
      </w:r>
    </w:p>
    <w:p w14:paraId="1161C2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Ввиду того, что танк Т-20 является переходным типом танка по отношению к Т-19, отвечающему требованию системы танкового вооружения РККА, но могущего вступить в производство только в 1931-32 г., МПУ и УММ со своей стороны поставят на разрешение Реввоенсовета вопрос о выборе типа тан</w:t>
      </w:r>
      <w:r w:rsidRPr="00507A31">
        <w:rPr>
          <w:color w:val="000000" w:themeColor="text1"/>
          <w:sz w:val="16"/>
          <w:szCs w:val="16"/>
        </w:rPr>
        <w:softHyphen/>
        <w:t>ка для установки его на производство в 1930/31 г. для выполнения программы по текущим заказам.</w:t>
      </w:r>
    </w:p>
    <w:p w14:paraId="6E61DB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Одновременно поставить вопрос о покупке английского шеститонного танка в соответствии с предложением т. Будняка.</w:t>
      </w:r>
    </w:p>
    <w:p w14:paraId="3B2A25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Считать, что наиболее целесообразным решением по производству танка Т-18 на 1930/31 г. ввиду его модернизации является постройка в 1930/31 г. танка типа Т-20 в 2-х сериях с таким расче</w:t>
      </w:r>
      <w:r w:rsidRPr="00507A31">
        <w:rPr>
          <w:color w:val="000000" w:themeColor="text1"/>
          <w:sz w:val="16"/>
          <w:szCs w:val="16"/>
        </w:rPr>
        <w:softHyphen/>
        <w:t>том, чтобы до 1 апреля 1931 г. идущая в производство первая серия танка Т-20 была с мотором Т-18, но с 4-х скоростной коробкой, т.е. машина давала бы скорость не менее 18 с половиной километров в час, а с 1 апреля 1930 г. приступить к производству второй серии Т-20, но с мотором Т-20, т.е. в 60 л.с.</w:t>
      </w:r>
    </w:p>
    <w:p w14:paraId="5AEF82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танку Т-19. Исходя из состояния на настоящий момент проектных работ по нему, по заявле</w:t>
      </w:r>
      <w:r w:rsidRPr="00507A31">
        <w:rPr>
          <w:color w:val="000000" w:themeColor="text1"/>
          <w:sz w:val="16"/>
          <w:szCs w:val="16"/>
        </w:rPr>
        <w:softHyphen/>
        <w:t>нию ВООПОа, серийное производство машин Т-19 с мотором в 100 л.с. возможно лишь в 1931/32 г.</w:t>
      </w:r>
    </w:p>
    <w:p w14:paraId="31644D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Констатировать, что ВООПО выполняет опытный образец танка Т-19 с мотором в 100 л.с. к мар</w:t>
      </w:r>
      <w:r w:rsidRPr="00507A31">
        <w:rPr>
          <w:color w:val="000000" w:themeColor="text1"/>
          <w:sz w:val="16"/>
          <w:szCs w:val="16"/>
        </w:rPr>
        <w:softHyphen/>
        <w:t>ту 1931 г., закончит его испытание к I апреля 1931 г., с расчетом установки на серийное производст</w:t>
      </w:r>
      <w:r w:rsidRPr="00507A31">
        <w:rPr>
          <w:color w:val="000000" w:themeColor="text1"/>
          <w:sz w:val="16"/>
          <w:szCs w:val="16"/>
        </w:rPr>
        <w:softHyphen/>
        <w:t>во к 1 октября 1931 г.</w:t>
      </w:r>
    </w:p>
    <w:p w14:paraId="6FF2A5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В связи с вышеуказанным, ВООПО обязуется составить план работ и организационный ка</w:t>
      </w:r>
      <w:r w:rsidRPr="00507A31">
        <w:rPr>
          <w:color w:val="000000" w:themeColor="text1"/>
          <w:sz w:val="16"/>
          <w:szCs w:val="16"/>
        </w:rPr>
        <w:softHyphen/>
        <w:t>лендарь по Т-19 таким образом, чтобы по разработке опытного образца и дальнейшего его внедре</w:t>
      </w:r>
      <w:r w:rsidRPr="00507A31">
        <w:rPr>
          <w:color w:val="000000" w:themeColor="text1"/>
          <w:sz w:val="16"/>
          <w:szCs w:val="16"/>
        </w:rPr>
        <w:softHyphen/>
        <w:t>ния в производство выйти на указанные в п.2 сроки. План работ и календарь в двухдекадный срок представить в МПУ.</w:t>
      </w:r>
    </w:p>
    <w:p w14:paraId="4AB393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тот же срок представить такой же план работ и календарь по внедрению в производство в 1930/31 г. танка Т-20 и его мотора в 60 л.с.</w:t>
      </w:r>
    </w:p>
    <w:p w14:paraId="663EFC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Предложить ВООПОу предусмотреть в плане дальнейшего проектирования производст</w:t>
      </w:r>
      <w:r w:rsidRPr="00507A31">
        <w:rPr>
          <w:color w:val="000000" w:themeColor="text1"/>
          <w:sz w:val="16"/>
          <w:szCs w:val="16"/>
        </w:rPr>
        <w:softHyphen/>
        <w:t>ва на 1931/32 г. необходимость замены в выпущенных до 1930 г. серийных танках Т-18 сущест</w:t>
      </w:r>
      <w:r w:rsidRPr="00507A31">
        <w:rPr>
          <w:color w:val="000000" w:themeColor="text1"/>
          <w:sz w:val="16"/>
          <w:szCs w:val="16"/>
        </w:rPr>
        <w:softHyphen/>
        <w:t>вующих моторов Т-18 на мотор Т-20, т.е. в 60 л.с.</w:t>
      </w:r>
    </w:p>
    <w:p w14:paraId="197C1C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Предложить ВООПОу срочно переделать в ВАТО все чертежи танка Т-20 и Т-19.</w:t>
      </w:r>
    </w:p>
    <w:p w14:paraId="494FC3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Обязать ВАТО в месячный срок, т.е. к 15 июня с.г. разработать и доложить МПУ проект тех</w:t>
      </w:r>
      <w:r w:rsidRPr="00507A31">
        <w:rPr>
          <w:color w:val="000000" w:themeColor="text1"/>
          <w:sz w:val="16"/>
          <w:szCs w:val="16"/>
        </w:rPr>
        <w:softHyphen/>
        <w:t>нологического процесса производства главнейших частей танка Т-19 (моторы, передаточные меха</w:t>
      </w:r>
      <w:r w:rsidRPr="00507A31">
        <w:rPr>
          <w:color w:val="000000" w:themeColor="text1"/>
          <w:sz w:val="16"/>
          <w:szCs w:val="16"/>
        </w:rPr>
        <w:softHyphen/>
        <w:t>низмы и пр.) на оборудование Челябинского Тракторного завода.</w:t>
      </w:r>
    </w:p>
    <w:p w14:paraId="140CEB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Вместе с тем обязать ВАТО срочно сообщить в Америку, комиссии по строительству Челябинско</w:t>
      </w:r>
      <w:r w:rsidRPr="00507A31">
        <w:rPr>
          <w:color w:val="000000" w:themeColor="text1"/>
          <w:sz w:val="16"/>
          <w:szCs w:val="16"/>
        </w:rPr>
        <w:softHyphen/>
        <w:t>го Тракторного завода основные данные по мотору Т-19 и Т-20 для внесения соответствующих допол</w:t>
      </w:r>
      <w:r w:rsidRPr="00507A31">
        <w:rPr>
          <w:color w:val="000000" w:themeColor="text1"/>
          <w:sz w:val="16"/>
          <w:szCs w:val="16"/>
        </w:rPr>
        <w:softHyphen/>
        <w:t>нений на разработку проекта технологического процесса по производству трактора Катерпиллар.</w:t>
      </w:r>
    </w:p>
    <w:p w14:paraId="4EC4EE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Констатировать, что со стороны ВАТО до настоящего времени не было соответствующего ру</w:t>
      </w:r>
      <w:r w:rsidRPr="00507A31">
        <w:rPr>
          <w:color w:val="000000" w:themeColor="text1"/>
          <w:sz w:val="16"/>
          <w:szCs w:val="16"/>
        </w:rPr>
        <w:softHyphen/>
        <w:t>ководства и должной информации руководства строительства Челябинского Тракторного завода о возлагаемых на них задачах по внедрению на производство трактора Катерпиллар машины Т-19.</w:t>
      </w:r>
    </w:p>
    <w:p w14:paraId="740405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Обязать ВАТО в пятидневный срок предоставить в МПУ календарь и план работы, поручен</w:t>
      </w:r>
      <w:r w:rsidRPr="00507A31">
        <w:rPr>
          <w:color w:val="000000" w:themeColor="text1"/>
          <w:sz w:val="16"/>
          <w:szCs w:val="16"/>
        </w:rPr>
        <w:softHyphen/>
        <w:t>ных им лицам, ответственным как в аппарате самого ВАТО, так и на Челябинском строительстве по внедрению производства машины Т-19.</w:t>
      </w:r>
    </w:p>
    <w:p w14:paraId="5948B7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 По танку Т-12.</w:t>
      </w:r>
    </w:p>
    <w:p w14:paraId="55A9A7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Отметить, что строящийся на заводе "Большевик", для танка Т-12 мотор, в дальнейшем не бу</w:t>
      </w:r>
      <w:r w:rsidRPr="00507A31">
        <w:rPr>
          <w:color w:val="000000" w:themeColor="text1"/>
          <w:sz w:val="16"/>
          <w:szCs w:val="16"/>
        </w:rPr>
        <w:softHyphen/>
        <w:t>дет соответствовать мощностям, представляемым к танку Т-12. Но ввиду того, что работа подходит к концу, обязать ВООПО данный мотор закончить к июлю с.г..</w:t>
      </w:r>
    </w:p>
    <w:p w14:paraId="689170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дальнейшему обсуждению применения этого мотора вернуться в последующем.</w:t>
      </w:r>
    </w:p>
    <w:p w14:paraId="2E82DB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Относительно решения по основному мотору для танка Т-12, считать необходимым выждать окончания майских испытаний модернизированного экземпляра на заводе ХПЗ. По окончании ис</w:t>
      </w:r>
      <w:r w:rsidRPr="00507A31">
        <w:rPr>
          <w:color w:val="000000" w:themeColor="text1"/>
          <w:sz w:val="16"/>
          <w:szCs w:val="16"/>
        </w:rPr>
        <w:softHyphen/>
        <w:t>пытания вернуться к обсуждению этого вопроса как в части выбора основного мотора для него, так ив части дальнейшей перспективы по установке производства, как машины, так и мотора.</w:t>
      </w:r>
    </w:p>
    <w:p w14:paraId="6D2642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III. По танкетке Т-23.</w:t>
      </w:r>
    </w:p>
    <w:p w14:paraId="6FC18A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Принять к сведению заявление УММ, что им даны заказы на танкетку Т-23 ВООПО с мотором Т-20, а также с мотором Т-18, со сроком выполнения 2-х танкеток с мотором Т-18 с 4-х скоростной коробкой к 1 ноября 1930 г. и 2-х танкеток для ВАТО с мотором Т-18 со сроком — 1 октября 1930 г. и мотором Т-20 в месячный срок, по получении мотора.</w:t>
      </w:r>
    </w:p>
    <w:p w14:paraId="6EF3C1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Отметить, что [один] проект колесно-гусеничной танкетки разрабатывается Конструктор</w:t>
      </w:r>
      <w:r w:rsidRPr="00507A31">
        <w:rPr>
          <w:color w:val="000000" w:themeColor="text1"/>
          <w:sz w:val="16"/>
          <w:szCs w:val="16"/>
        </w:rPr>
        <w:softHyphen/>
        <w:t>ским отделом ВООПО, а другой вариант колесно-гусеничной танкетки разрабатывается со сроком предъявления в июле 1930 г. НАМИ.</w:t>
      </w:r>
    </w:p>
    <w:p w14:paraId="185289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Предложить Конструкторскому отделу представить в МПУ в декадный срок план работ и кален</w:t>
      </w:r>
      <w:r w:rsidRPr="00507A31">
        <w:rPr>
          <w:color w:val="000000" w:themeColor="text1"/>
          <w:sz w:val="16"/>
          <w:szCs w:val="16"/>
        </w:rPr>
        <w:softHyphen/>
        <w:t>дарь по изготовлению на заводе "Большевик" - опытного экземпляра колесно-гусеничной танкетки.</w:t>
      </w:r>
    </w:p>
    <w:p w14:paraId="317719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Отметить, что представленный совещанию выбранный УММ вариант танкетки Т-23 фактически не отвечает условиям, заданным Реввоенсоветом в системе вооружения, как по ходу, так и по весу.</w:t>
      </w:r>
    </w:p>
    <w:p w14:paraId="410A70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IV. По большому танку.</w:t>
      </w:r>
    </w:p>
    <w:p w14:paraId="488152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Принять к сведению заявление Конструкторского отдела ВООПО об обязательстве представить разработанный вариант в общих видах по большому танку к осени 1930 г.</w:t>
      </w:r>
    </w:p>
    <w:p w14:paraId="2453EB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Присутствовали:</w:t>
      </w:r>
    </w:p>
    <w:p w14:paraId="42712A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 исключением представителей ВАТО и ВООПО те же и от Объединения "Сталь": тт. Точин-ский, Яглом, Павленко и Соловьева.</w:t>
      </w:r>
    </w:p>
    <w:p w14:paraId="0A71DF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Слушали:</w:t>
      </w:r>
    </w:p>
    <w:p w14:paraId="4D9F30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Доклад Объединения "Сталь" о броне для удовлетворения танковой программы.</w:t>
      </w:r>
    </w:p>
    <w:p w14:paraId="6F1405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Докладчик т. Павленко.</w:t>
      </w:r>
    </w:p>
    <w:p w14:paraId="6E175A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Постановили:</w:t>
      </w:r>
    </w:p>
    <w:p w14:paraId="10E682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 декадный срок обязать объединение "Сталь" представить в МПУ доклад о перспективах разви</w:t>
      </w:r>
      <w:r w:rsidRPr="00507A31">
        <w:rPr>
          <w:color w:val="000000" w:themeColor="text1"/>
          <w:sz w:val="16"/>
          <w:szCs w:val="16"/>
        </w:rPr>
        <w:softHyphen/>
        <w:t>тия броневого производства для удовлетворения программы в пределах заданных МПУ. В части ис-1 пользования завода "Баррикады" объединению "Сталь" договориться с т. Адамсом.</w:t>
      </w:r>
    </w:p>
    <w:p w14:paraId="7621E5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Постников!</w:t>
      </w:r>
    </w:p>
    <w:p w14:paraId="0D71CA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РГВА.Ф. 31811. Оп. 1. Д. 58. Л. 27. Копия (11210).</w:t>
      </w:r>
    </w:p>
    <w:p w14:paraId="616C48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223F2EA" w14:textId="77777777" w:rsidR="00A740F5" w:rsidRPr="00507A31" w:rsidRDefault="00A740F5" w:rsidP="00507A31">
      <w:pPr>
        <w:jc w:val="both"/>
        <w:rPr>
          <w:color w:val="000000" w:themeColor="text1"/>
          <w:sz w:val="16"/>
          <w:szCs w:val="16"/>
        </w:rPr>
      </w:pPr>
      <w:r w:rsidRPr="00507A31">
        <w:rPr>
          <w:color w:val="000000" w:themeColor="text1"/>
          <w:sz w:val="16"/>
          <w:szCs w:val="16"/>
        </w:rPr>
        <w:t>11 мая в 1930 году на базе Ленинградского металлического завода (ЛМЗ) был основан институт машиностроения (ныне Санкт-Петербургский институт машиностроения; ЛМЗ-ВТУЗ) – первый в России вуз, организованный при заводе. Является ведущим в России, готовящим высококвалифицированные инженерные кадры по интегрированной системе обучения для различных отраслей машиностроения (14888).</w:t>
      </w:r>
    </w:p>
    <w:p w14:paraId="082AC903" w14:textId="77777777" w:rsidR="00A740F5" w:rsidRPr="00507A31" w:rsidRDefault="00A740F5" w:rsidP="00507A31">
      <w:pPr>
        <w:jc w:val="both"/>
        <w:rPr>
          <w:color w:val="000000" w:themeColor="text1"/>
          <w:sz w:val="16"/>
          <w:szCs w:val="16"/>
        </w:rPr>
      </w:pPr>
    </w:p>
    <w:p w14:paraId="6C6E2E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мая 1930 г. Заместитель наморси утвердил так</w:t>
      </w:r>
      <w:r w:rsidRPr="00507A31">
        <w:rPr>
          <w:color w:val="000000" w:themeColor="text1"/>
          <w:sz w:val="16"/>
          <w:szCs w:val="16"/>
        </w:rPr>
        <w:softHyphen/>
        <w:t>тическое задание на "десантные суда Балтийского моря". Предполагаемое во</w:t>
      </w:r>
      <w:r w:rsidRPr="00507A31">
        <w:rPr>
          <w:color w:val="000000" w:themeColor="text1"/>
          <w:sz w:val="16"/>
          <w:szCs w:val="16"/>
        </w:rPr>
        <w:softHyphen/>
        <w:t>доизмещение десантного судна составляло 150—180 т, скорость 10 и 12 уз (2 варианта). При высадке многочисленного десанта по</w:t>
      </w:r>
      <w:r w:rsidRPr="00507A31">
        <w:rPr>
          <w:color w:val="000000" w:themeColor="text1"/>
          <w:sz w:val="16"/>
          <w:szCs w:val="16"/>
        </w:rPr>
        <w:softHyphen/>
        <w:t>следний предполагалось перевозить на транспортах, а десантные суда использовать в качестве высадочных средств (3898).</w:t>
      </w:r>
    </w:p>
    <w:p w14:paraId="5A0B8587" w14:textId="77777777" w:rsidR="00537E5F" w:rsidRPr="00507A31" w:rsidRDefault="00537E5F" w:rsidP="00507A31">
      <w:pPr>
        <w:autoSpaceDE w:val="0"/>
        <w:autoSpaceDN w:val="0"/>
        <w:adjustRightInd w:val="0"/>
        <w:jc w:val="both"/>
        <w:rPr>
          <w:color w:val="000000" w:themeColor="text1"/>
          <w:sz w:val="16"/>
          <w:szCs w:val="16"/>
        </w:rPr>
      </w:pPr>
    </w:p>
    <w:p w14:paraId="070E6BE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F4D566D" w14:textId="77777777" w:rsidR="00537E5F" w:rsidRPr="00507A31" w:rsidRDefault="00537E5F" w:rsidP="00507A31">
      <w:pPr>
        <w:autoSpaceDE w:val="0"/>
        <w:autoSpaceDN w:val="0"/>
        <w:adjustRightInd w:val="0"/>
        <w:jc w:val="both"/>
        <w:rPr>
          <w:iCs/>
          <w:color w:val="000000" w:themeColor="text1"/>
          <w:sz w:val="16"/>
          <w:szCs w:val="16"/>
        </w:rPr>
      </w:pPr>
    </w:p>
    <w:p w14:paraId="64F97C9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мая 1930 создано управление кадров НКВД РСФСР (4962).</w:t>
      </w:r>
    </w:p>
    <w:p w14:paraId="522CD93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D96B7B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3A1327BF" w14:textId="77777777" w:rsidR="00537E5F" w:rsidRPr="00507A31" w:rsidRDefault="00537E5F" w:rsidP="00507A31">
      <w:pPr>
        <w:autoSpaceDE w:val="0"/>
        <w:autoSpaceDN w:val="0"/>
        <w:adjustRightInd w:val="0"/>
        <w:jc w:val="both"/>
        <w:rPr>
          <w:iCs/>
          <w:color w:val="000000" w:themeColor="text1"/>
          <w:sz w:val="16"/>
          <w:szCs w:val="16"/>
        </w:rPr>
      </w:pPr>
    </w:p>
    <w:p w14:paraId="0BE8A7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мая 1930 в Москве открылась конференция представителей СССР и Китая по спорным вопросам (3907,161).</w:t>
      </w:r>
    </w:p>
    <w:p w14:paraId="777550CA" w14:textId="77777777" w:rsidR="00537E5F" w:rsidRPr="00507A31" w:rsidRDefault="00537E5F" w:rsidP="00507A31">
      <w:pPr>
        <w:autoSpaceDE w:val="0"/>
        <w:autoSpaceDN w:val="0"/>
        <w:adjustRightInd w:val="0"/>
        <w:jc w:val="both"/>
        <w:rPr>
          <w:color w:val="000000" w:themeColor="text1"/>
          <w:sz w:val="16"/>
          <w:szCs w:val="16"/>
        </w:rPr>
      </w:pPr>
    </w:p>
    <w:p w14:paraId="6AA9576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D8A2A22" w14:textId="77777777" w:rsidR="00537E5F" w:rsidRPr="00507A31" w:rsidRDefault="00537E5F" w:rsidP="00507A31">
      <w:pPr>
        <w:autoSpaceDE w:val="0"/>
        <w:autoSpaceDN w:val="0"/>
        <w:adjustRightInd w:val="0"/>
        <w:jc w:val="both"/>
        <w:rPr>
          <w:iCs/>
          <w:color w:val="000000" w:themeColor="text1"/>
          <w:sz w:val="16"/>
          <w:szCs w:val="16"/>
        </w:rPr>
      </w:pPr>
    </w:p>
    <w:p w14:paraId="387F4A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мая 1930 Зав. Секретной частью Курочкин писал писбмо № 610сс в Секретную часть Ижекского Оружейного и сталеделательного завода:</w:t>
      </w:r>
    </w:p>
    <w:p w14:paraId="066906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переброски металлов с Ижевского завода на заводы бывш. Орудийно-Арсввадьного Треста сообщаем адреса указанных заводов.</w:t>
      </w:r>
    </w:p>
    <w:p w14:paraId="0628C8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Причем сообщается, что список заводов в целом, выявляющтй полную дислокацию военных заводов, является сов. Секретным (8826,58).</w:t>
      </w:r>
    </w:p>
    <w:p w14:paraId="65B249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СОВ. СЕКРЕТНО.</w:t>
      </w:r>
    </w:p>
    <w:p w14:paraId="03C52A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список</w:t>
      </w:r>
    </w:p>
    <w:p w14:paraId="3E0C21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ЗАВОДОВ бывш.ОРУДИЙНО-АРСКНАЛЬНОГО Т Р Е С Т 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2160"/>
        <w:gridCol w:w="2160"/>
        <w:gridCol w:w="2305"/>
        <w:gridCol w:w="2305"/>
      </w:tblGrid>
      <w:tr w:rsidR="00E371BA" w:rsidRPr="00507A31" w14:paraId="0524012A" w14:textId="77777777">
        <w:tc>
          <w:tcPr>
            <w:tcW w:w="534" w:type="dxa"/>
            <w:tcBorders>
              <w:top w:val="single" w:sz="12" w:space="0" w:color="auto"/>
            </w:tcBorders>
          </w:tcPr>
          <w:p w14:paraId="7277E5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п/п</w:t>
            </w:r>
          </w:p>
        </w:tc>
        <w:tc>
          <w:tcPr>
            <w:tcW w:w="2126" w:type="dxa"/>
            <w:tcBorders>
              <w:top w:val="single" w:sz="12" w:space="0" w:color="auto"/>
            </w:tcBorders>
          </w:tcPr>
          <w:p w14:paraId="7CB1C0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Название</w:t>
            </w:r>
          </w:p>
        </w:tc>
        <w:tc>
          <w:tcPr>
            <w:tcW w:w="2160" w:type="dxa"/>
            <w:tcBorders>
              <w:top w:val="single" w:sz="12" w:space="0" w:color="auto"/>
            </w:tcBorders>
          </w:tcPr>
          <w:p w14:paraId="4A3045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Открытый адрес</w:t>
            </w:r>
          </w:p>
        </w:tc>
        <w:tc>
          <w:tcPr>
            <w:tcW w:w="2160" w:type="dxa"/>
            <w:tcBorders>
              <w:top w:val="single" w:sz="12" w:space="0" w:color="auto"/>
            </w:tcBorders>
          </w:tcPr>
          <w:p w14:paraId="38F698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Секретный адрес</w:t>
            </w:r>
          </w:p>
        </w:tc>
        <w:tc>
          <w:tcPr>
            <w:tcW w:w="2305" w:type="dxa"/>
            <w:tcBorders>
              <w:top w:val="single" w:sz="12" w:space="0" w:color="auto"/>
            </w:tcBorders>
          </w:tcPr>
          <w:p w14:paraId="673971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Телеграфный адрес</w:t>
            </w:r>
          </w:p>
        </w:tc>
        <w:tc>
          <w:tcPr>
            <w:tcW w:w="2305" w:type="dxa"/>
            <w:tcBorders>
              <w:top w:val="single" w:sz="12" w:space="0" w:color="auto"/>
            </w:tcBorders>
          </w:tcPr>
          <w:p w14:paraId="21C45C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Железнодорожный адрес</w:t>
            </w:r>
          </w:p>
        </w:tc>
      </w:tr>
      <w:tr w:rsidR="00E371BA" w:rsidRPr="00507A31" w14:paraId="2A16078B" w14:textId="77777777">
        <w:tc>
          <w:tcPr>
            <w:tcW w:w="534" w:type="dxa"/>
          </w:tcPr>
          <w:p w14:paraId="514D51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2126" w:type="dxa"/>
          </w:tcPr>
          <w:p w14:paraId="1E2CDF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"Большевик”</w:t>
            </w:r>
          </w:p>
        </w:tc>
        <w:tc>
          <w:tcPr>
            <w:tcW w:w="2160" w:type="dxa"/>
          </w:tcPr>
          <w:p w14:paraId="3A80A3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"Большевик", гор.Ленинград</w:t>
            </w:r>
          </w:p>
        </w:tc>
        <w:tc>
          <w:tcPr>
            <w:tcW w:w="2160" w:type="dxa"/>
          </w:tcPr>
          <w:p w14:paraId="73FA69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гор. Ленинград, Почто вое 12 Отделение, ПОЧТОВЫЙ ЯЩИК № 2</w:t>
            </w:r>
          </w:p>
        </w:tc>
        <w:tc>
          <w:tcPr>
            <w:tcW w:w="2305" w:type="dxa"/>
          </w:tcPr>
          <w:p w14:paraId="68AD60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Сталь</w:t>
            </w:r>
          </w:p>
        </w:tc>
        <w:tc>
          <w:tcPr>
            <w:tcW w:w="2305" w:type="dxa"/>
          </w:tcPr>
          <w:p w14:paraId="5E66D5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"Большевик" ст. Обухово, Октябрьск. ж.д.</w:t>
            </w:r>
          </w:p>
        </w:tc>
      </w:tr>
      <w:tr w:rsidR="00E371BA" w:rsidRPr="00507A31" w14:paraId="5EAEF1BF" w14:textId="77777777">
        <w:tc>
          <w:tcPr>
            <w:tcW w:w="534" w:type="dxa"/>
          </w:tcPr>
          <w:p w14:paraId="2A2C36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2126" w:type="dxa"/>
          </w:tcPr>
          <w:p w14:paraId="7D38EE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Мастяжарт</w:t>
            </w:r>
          </w:p>
        </w:tc>
        <w:tc>
          <w:tcPr>
            <w:tcW w:w="2160" w:type="dxa"/>
          </w:tcPr>
          <w:p w14:paraId="0C252B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Мастяжарт, гор. Москва</w:t>
            </w:r>
          </w:p>
        </w:tc>
        <w:tc>
          <w:tcPr>
            <w:tcW w:w="2160" w:type="dxa"/>
          </w:tcPr>
          <w:p w14:paraId="08FC43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58, почт. ящик №</w:t>
            </w:r>
          </w:p>
        </w:tc>
        <w:tc>
          <w:tcPr>
            <w:tcW w:w="2305" w:type="dxa"/>
          </w:tcPr>
          <w:p w14:paraId="50A54E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Мастяжарт</w:t>
            </w:r>
          </w:p>
        </w:tc>
        <w:tc>
          <w:tcPr>
            <w:tcW w:w="2305" w:type="dxa"/>
          </w:tcPr>
          <w:p w14:paraId="70C132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Подгон груза - Завод Моастяжарт, ст. Черкизово М.Курск.ж.д </w:t>
            </w:r>
          </w:p>
          <w:p w14:paraId="3EC9CC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Малый груз - зав Мостяжарт, Москва Тов. М.Каз. ж. д.</w:t>
            </w:r>
          </w:p>
        </w:tc>
      </w:tr>
      <w:tr w:rsidR="00E371BA" w:rsidRPr="00507A31" w14:paraId="0AE1B4BB" w14:textId="77777777">
        <w:tc>
          <w:tcPr>
            <w:tcW w:w="534" w:type="dxa"/>
          </w:tcPr>
          <w:p w14:paraId="787D15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2126" w:type="dxa"/>
          </w:tcPr>
          <w:p w14:paraId="71AC36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зав. № 13</w:t>
            </w:r>
          </w:p>
        </w:tc>
        <w:tc>
          <w:tcPr>
            <w:tcW w:w="2160" w:type="dxa"/>
          </w:tcPr>
          <w:p w14:paraId="76B33A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завод № 13, Бряиск</w:t>
            </w:r>
          </w:p>
        </w:tc>
        <w:tc>
          <w:tcPr>
            <w:tcW w:w="2160" w:type="dxa"/>
          </w:tcPr>
          <w:p w14:paraId="54D023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Брянск, Почт-Тел. Контора, почтовый ящик № 6</w:t>
            </w:r>
          </w:p>
        </w:tc>
        <w:tc>
          <w:tcPr>
            <w:tcW w:w="2305" w:type="dxa"/>
          </w:tcPr>
          <w:p w14:paraId="4FFBCB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Брянск Шесть</w:t>
            </w:r>
          </w:p>
        </w:tc>
        <w:tc>
          <w:tcPr>
            <w:tcW w:w="2305" w:type="dxa"/>
          </w:tcPr>
          <w:p w14:paraId="09C5F8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з-д № 13, ст. Брянск Пассаж., Зап. Ж.д.</w:t>
            </w:r>
          </w:p>
        </w:tc>
      </w:tr>
      <w:tr w:rsidR="00E371BA" w:rsidRPr="00507A31" w14:paraId="47E57CFB" w14:textId="77777777">
        <w:tc>
          <w:tcPr>
            <w:tcW w:w="534" w:type="dxa"/>
          </w:tcPr>
          <w:p w14:paraId="0FDF20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w:t>
            </w:r>
          </w:p>
        </w:tc>
        <w:tc>
          <w:tcPr>
            <w:tcW w:w="2126" w:type="dxa"/>
          </w:tcPr>
          <w:p w14:paraId="7DDCB2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8 имени Калинина</w:t>
            </w:r>
          </w:p>
        </w:tc>
        <w:tc>
          <w:tcPr>
            <w:tcW w:w="2160" w:type="dxa"/>
          </w:tcPr>
          <w:p w14:paraId="16B0A3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8 имени Калинина, Москва-Мытищи</w:t>
            </w:r>
          </w:p>
        </w:tc>
        <w:tc>
          <w:tcPr>
            <w:tcW w:w="2160" w:type="dxa"/>
          </w:tcPr>
          <w:p w14:paraId="117CCD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Мытищи, Моск. губ., абонемент. ящ. № </w:t>
            </w:r>
            <w:r w:rsidRPr="00507A31">
              <w:rPr>
                <w:color w:val="000000" w:themeColor="text1"/>
                <w:sz w:val="16"/>
                <w:szCs w:val="16"/>
                <w:lang w:val="en-US"/>
              </w:rPr>
              <w:t>I</w:t>
            </w:r>
          </w:p>
        </w:tc>
        <w:tc>
          <w:tcPr>
            <w:tcW w:w="2305" w:type="dxa"/>
          </w:tcPr>
          <w:p w14:paraId="7BEE02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Мытищи Московский ЗИК</w:t>
            </w:r>
          </w:p>
        </w:tc>
        <w:tc>
          <w:tcPr>
            <w:tcW w:w="2305" w:type="dxa"/>
          </w:tcPr>
          <w:p w14:paraId="74DC70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8 имени Калинина, ст. Мытищи, Сев. ж.д</w:t>
            </w:r>
          </w:p>
        </w:tc>
      </w:tr>
      <w:tr w:rsidR="00E371BA" w:rsidRPr="00507A31" w14:paraId="37680612" w14:textId="77777777">
        <w:tc>
          <w:tcPr>
            <w:tcW w:w="534" w:type="dxa"/>
          </w:tcPr>
          <w:p w14:paraId="49F882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2126" w:type="dxa"/>
          </w:tcPr>
          <w:p w14:paraId="5DAA90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Мотовилихинский Машиностроительный завод</w:t>
            </w:r>
          </w:p>
        </w:tc>
        <w:tc>
          <w:tcPr>
            <w:tcW w:w="2160" w:type="dxa"/>
          </w:tcPr>
          <w:p w14:paraId="7368B7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Мотовилихинский Машиностроительный завод, Пермь, Мотовилиха</w:t>
            </w:r>
          </w:p>
        </w:tc>
        <w:tc>
          <w:tcPr>
            <w:tcW w:w="2160" w:type="dxa"/>
          </w:tcPr>
          <w:p w14:paraId="135B58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Мотовилиха, Пермск. Округа, Почт. ящ. № 1</w:t>
            </w:r>
          </w:p>
        </w:tc>
        <w:tc>
          <w:tcPr>
            <w:tcW w:w="2305" w:type="dxa"/>
          </w:tcPr>
          <w:p w14:paraId="326647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Мотовилиха завод</w:t>
            </w:r>
          </w:p>
        </w:tc>
        <w:tc>
          <w:tcPr>
            <w:tcW w:w="2305" w:type="dxa"/>
          </w:tcPr>
          <w:p w14:paraId="18C0CC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 Мотовилиха Пермской ж.д., Мотовилихинский машиностроительный завод</w:t>
            </w:r>
          </w:p>
        </w:tc>
      </w:tr>
      <w:tr w:rsidR="00E371BA" w:rsidRPr="00507A31" w14:paraId="45A79E4B" w14:textId="77777777">
        <w:tc>
          <w:tcPr>
            <w:tcW w:w="534" w:type="dxa"/>
          </w:tcPr>
          <w:p w14:paraId="2CBDA6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2126" w:type="dxa"/>
          </w:tcPr>
          <w:p w14:paraId="0298EF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Киевский Краснознаменный завод</w:t>
            </w:r>
          </w:p>
        </w:tc>
        <w:tc>
          <w:tcPr>
            <w:tcW w:w="2160" w:type="dxa"/>
          </w:tcPr>
          <w:p w14:paraId="403A67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Киевский Краснознаменный завод, г.Киев</w:t>
            </w:r>
          </w:p>
        </w:tc>
        <w:tc>
          <w:tcPr>
            <w:tcW w:w="2160" w:type="dxa"/>
          </w:tcPr>
          <w:p w14:paraId="1BA7C0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гор.Киев, 2-е Гос. Почт. Телегр. Отд. , </w:t>
            </w:r>
            <w:r w:rsidRPr="00507A31">
              <w:rPr>
                <w:smallCaps/>
                <w:color w:val="000000" w:themeColor="text1"/>
                <w:sz w:val="16"/>
                <w:szCs w:val="16"/>
              </w:rPr>
              <w:t xml:space="preserve">почт. ящ. № </w:t>
            </w:r>
            <w:r w:rsidRPr="00507A31">
              <w:rPr>
                <w:color w:val="000000" w:themeColor="text1"/>
                <w:sz w:val="16"/>
                <w:szCs w:val="16"/>
                <w:lang w:val="en-US"/>
              </w:rPr>
              <w:t>I</w:t>
            </w:r>
          </w:p>
        </w:tc>
        <w:tc>
          <w:tcPr>
            <w:tcW w:w="2305" w:type="dxa"/>
          </w:tcPr>
          <w:p w14:paraId="0D9298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Киев Вперед</w:t>
            </w:r>
          </w:p>
        </w:tc>
        <w:tc>
          <w:tcPr>
            <w:tcW w:w="2305" w:type="dxa"/>
          </w:tcPr>
          <w:p w14:paraId="4C0061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Подвоз груза - Киевский краснознам. Завод, ст. Киев-Печерск, Юго-Зап. Ж.д. Мелк. Груз ст. Московская Юго-Зап. Ж.д.</w:t>
            </w:r>
          </w:p>
        </w:tc>
      </w:tr>
      <w:tr w:rsidR="00E371BA" w:rsidRPr="00507A31" w14:paraId="62475C97" w14:textId="77777777">
        <w:tc>
          <w:tcPr>
            <w:tcW w:w="534" w:type="dxa"/>
          </w:tcPr>
          <w:p w14:paraId="4A7086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c>
          <w:tcPr>
            <w:tcW w:w="2126" w:type="dxa"/>
          </w:tcPr>
          <w:p w14:paraId="59E2D6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завод № 7</w:t>
            </w:r>
          </w:p>
        </w:tc>
        <w:tc>
          <w:tcPr>
            <w:tcW w:w="2160" w:type="dxa"/>
          </w:tcPr>
          <w:p w14:paraId="6E4BB5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завод № 7, г. Ленинград</w:t>
            </w:r>
          </w:p>
        </w:tc>
        <w:tc>
          <w:tcPr>
            <w:tcW w:w="2160" w:type="dxa"/>
          </w:tcPr>
          <w:p w14:paraId="697E06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Ленинград, 9-е Почт. Отд., почт. ящ. № 1</w:t>
            </w:r>
          </w:p>
        </w:tc>
        <w:tc>
          <w:tcPr>
            <w:tcW w:w="2305" w:type="dxa"/>
          </w:tcPr>
          <w:p w14:paraId="22C770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Завод 7</w:t>
            </w:r>
          </w:p>
        </w:tc>
        <w:tc>
          <w:tcPr>
            <w:tcW w:w="2305" w:type="dxa"/>
          </w:tcPr>
          <w:p w14:paraId="584175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завод № 7, ст. Ленинград, тов. Фин. Окр. Ж.д.,тупик завода</w:t>
            </w:r>
          </w:p>
        </w:tc>
      </w:tr>
      <w:tr w:rsidR="00E371BA" w:rsidRPr="00507A31" w14:paraId="6B5E9716" w14:textId="77777777">
        <w:tc>
          <w:tcPr>
            <w:tcW w:w="534" w:type="dxa"/>
            <w:tcBorders>
              <w:bottom w:val="single" w:sz="12" w:space="0" w:color="auto"/>
            </w:tcBorders>
          </w:tcPr>
          <w:p w14:paraId="66B7F9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2126" w:type="dxa"/>
            <w:tcBorders>
              <w:bottom w:val="single" w:sz="12" w:space="0" w:color="auto"/>
            </w:tcBorders>
          </w:tcPr>
          <w:p w14:paraId="3AF70B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"Баррикады"</w:t>
            </w:r>
          </w:p>
        </w:tc>
        <w:tc>
          <w:tcPr>
            <w:tcW w:w="2160" w:type="dxa"/>
            <w:tcBorders>
              <w:bottom w:val="single" w:sz="12" w:space="0" w:color="auto"/>
            </w:tcBorders>
          </w:tcPr>
          <w:p w14:paraId="327B92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"Баррикады" гор.Сталинград</w:t>
            </w:r>
          </w:p>
        </w:tc>
        <w:tc>
          <w:tcPr>
            <w:tcW w:w="2160" w:type="dxa"/>
            <w:tcBorders>
              <w:bottom w:val="single" w:sz="12" w:space="0" w:color="auto"/>
            </w:tcBorders>
          </w:tcPr>
          <w:p w14:paraId="49B9B0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г.Сталингсад, Почт. ящ. № 113</w:t>
            </w:r>
          </w:p>
        </w:tc>
        <w:tc>
          <w:tcPr>
            <w:tcW w:w="2305" w:type="dxa"/>
            <w:tcBorders>
              <w:bottom w:val="single" w:sz="12" w:space="0" w:color="auto"/>
            </w:tcBorders>
          </w:tcPr>
          <w:p w14:paraId="73BFCB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Сталинград Почт. ящ. № 113</w:t>
            </w:r>
          </w:p>
        </w:tc>
        <w:tc>
          <w:tcPr>
            <w:tcW w:w="2305" w:type="dxa"/>
            <w:tcBorders>
              <w:bottom w:val="single" w:sz="12" w:space="0" w:color="auto"/>
            </w:tcBorders>
          </w:tcPr>
          <w:p w14:paraId="1FDFE4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2Баррикады”, ст. Сталинград, Юго-Вост. ж.д.</w:t>
            </w:r>
          </w:p>
        </w:tc>
      </w:tr>
    </w:tbl>
    <w:p w14:paraId="26D727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(8826,57).</w:t>
      </w:r>
    </w:p>
    <w:p w14:paraId="270A5AB5" w14:textId="77777777" w:rsidR="00537E5F" w:rsidRPr="00507A31" w:rsidRDefault="00537E5F" w:rsidP="00507A31">
      <w:pPr>
        <w:autoSpaceDE w:val="0"/>
        <w:autoSpaceDN w:val="0"/>
        <w:adjustRightInd w:val="0"/>
        <w:jc w:val="both"/>
        <w:rPr>
          <w:color w:val="000000" w:themeColor="text1"/>
          <w:sz w:val="16"/>
          <w:szCs w:val="16"/>
        </w:rPr>
      </w:pPr>
    </w:p>
    <w:p w14:paraId="5346A705" w14:textId="77777777" w:rsidR="005877F5" w:rsidRPr="00507A31" w:rsidRDefault="005877F5" w:rsidP="00507A31">
      <w:pPr>
        <w:jc w:val="both"/>
        <w:rPr>
          <w:color w:val="000000" w:themeColor="text1"/>
          <w:sz w:val="16"/>
          <w:szCs w:val="16"/>
        </w:rPr>
      </w:pPr>
      <w:r w:rsidRPr="00507A31">
        <w:rPr>
          <w:color w:val="000000" w:themeColor="text1"/>
          <w:sz w:val="16"/>
          <w:szCs w:val="16"/>
        </w:rPr>
        <w:t>12 мая 1930 г.</w:t>
      </w:r>
    </w:p>
    <w:p w14:paraId="58825FC7" w14:textId="77777777" w:rsidR="005877F5" w:rsidRPr="00507A31" w:rsidRDefault="005877F5" w:rsidP="00507A31">
      <w:pPr>
        <w:jc w:val="both"/>
        <w:rPr>
          <w:color w:val="000000" w:themeColor="text1"/>
          <w:sz w:val="16"/>
          <w:szCs w:val="16"/>
        </w:rPr>
      </w:pPr>
      <w:r w:rsidRPr="00507A31">
        <w:rPr>
          <w:color w:val="000000" w:themeColor="text1"/>
          <w:sz w:val="16"/>
          <w:szCs w:val="16"/>
        </w:rPr>
        <w:t>Протокол допроса, произведенного в ПП ОГПУ ЛВО старшим уполномоченным Семеновым. 12 мая 1930 г.</w:t>
      </w:r>
    </w:p>
    <w:p w14:paraId="1CA143E4" w14:textId="77777777" w:rsidR="005877F5" w:rsidRPr="00507A31" w:rsidRDefault="005877F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1B63933" w14:textId="77777777" w:rsidR="005877F5" w:rsidRPr="00507A31" w:rsidRDefault="005877F5" w:rsidP="00507A31">
      <w:pPr>
        <w:jc w:val="both"/>
        <w:rPr>
          <w:color w:val="000000" w:themeColor="text1"/>
          <w:sz w:val="16"/>
          <w:szCs w:val="16"/>
        </w:rPr>
      </w:pPr>
      <w:r w:rsidRPr="00507A31">
        <w:rPr>
          <w:color w:val="000000" w:themeColor="text1"/>
          <w:sz w:val="16"/>
          <w:szCs w:val="16"/>
        </w:rPr>
        <w:t>Ленинград 12 мая [19]30 г.</w:t>
      </w:r>
    </w:p>
    <w:p w14:paraId="76BD3C48" w14:textId="77777777" w:rsidR="005877F5" w:rsidRPr="00507A31" w:rsidRDefault="005877F5" w:rsidP="00507A31">
      <w:pPr>
        <w:jc w:val="both"/>
        <w:rPr>
          <w:color w:val="000000" w:themeColor="text1"/>
          <w:sz w:val="16"/>
          <w:szCs w:val="16"/>
        </w:rPr>
      </w:pPr>
      <w:r w:rsidRPr="00507A31">
        <w:rPr>
          <w:color w:val="000000" w:themeColor="text1"/>
          <w:sz w:val="16"/>
          <w:szCs w:val="16"/>
        </w:rPr>
        <w:t>Я, нижеподписавшийся, СТЫРИКОВИЧ Владислав] Львович. В дополнение к моему заявлению Коллегии показываю: после Октябрьской Революции одним из контр-революционных центров было в Ленинграде общество заводчиков и фабрикатов. В своих двух заседаниях в [19] 17 году Общество установило во-первых отказ в уплате Красной Гвардии оплаты за пропущенное рабочее время и во-вторых непризнание Советской Власти. В этих обоих заседаниях принимал участие и я. Главную роль в Обществе играли БАЧМАНОВ и ШПЕРГАЗЕ. Следующий период времени, когда крупные представители промышленности и банков были уже заграницей, определяется стремление сохранить предприятия в их прежнем виде. Здесь в Ленинграде эту цель поставила себе комиссия по организации Металлопромышленности ФЕДОРОВА, образованная приказом ВСНХ в [19] 19 году. Вся работа и проекты этой комиссии, присоединенной затем к ЭКОСО, сводились именно к тому, чтобы отдельные предприятия сохранили все свои имущественные ценности и могли быть опять восстановлены прежними хозяевами в случае реставрации. В работе эт[ой] комиссии принимал участие я. Из прочих работников могу указать ФЕДОРОВА, БЕЛОНОЖКИНА, ШПЕРГАЗЕ, ВИНБЛАДА, ИЛЬТМАНА и Б[А]ЧМАНОВА. С отъездом ФЕДОРОВА заграницу комиссия уничтожилась, и центр работы был перенесен в Москву.</w:t>
      </w:r>
    </w:p>
    <w:p w14:paraId="54BE7F94" w14:textId="77777777" w:rsidR="005877F5" w:rsidRPr="00507A31" w:rsidRDefault="005877F5" w:rsidP="00507A31">
      <w:pPr>
        <w:jc w:val="both"/>
        <w:rPr>
          <w:color w:val="000000" w:themeColor="text1"/>
          <w:sz w:val="16"/>
          <w:szCs w:val="16"/>
        </w:rPr>
      </w:pPr>
      <w:r w:rsidRPr="00507A31">
        <w:rPr>
          <w:color w:val="000000" w:themeColor="text1"/>
          <w:sz w:val="16"/>
          <w:szCs w:val="16"/>
        </w:rPr>
        <w:t xml:space="preserve">Там состав организации помимо указанных лиц усилился ХРЕННИКОВЫМ, КУТСКИМ, МИЛЮКОВЫМ, ЛИСТОМ, НЕЙМАЕРОМ. Характер работ принял другое направление, а именно[:] ослабление производительности отечественных заводов для возможности внедрения иностранного капитала в виде концессий, а затем проведением на заводах вредительства с целью ослабить боеспособность страны и понизить количество и качество выпускаемой продукции. Мне ХРЕННИКОВЫМ была поручена таковая работа по Ленинградской промышленности и директивы я получал от него, БЕЛОНОЖКИНА (от последнего в особенности по Путиловскому заводу) и от КУТСКОГО. Период сохранения предприятий в прежнем виде застал меня при моей работе в качестве члена Правления Среднего Машиностроения и я эту директиву распространил на заводы[,] входящие в это объединение[,] быв. ЛЕССНЕР, ФЕНИКС, НОБЕЛЬ, ТИЛЬМАНЕ, Ар. КОППЕЛЬ, АТЛАС, АЙВОЗ — когда с этих заводов не было взято ни одного станка. Указания давались мною через соответствующих директоров заводов: ХОЛИНА, РЕНЦА, СОКОЛОВСКОГО, АНДРЕЗЕНА. Подобные указания сохранения предприятий были даны мне и Бачманову КОЛЬЦЕМ, главным бухгалтером Общ[ества] ЛЕССНЕР, уехавшим в Эстонию в начале 1918 года. Через КОЛЬЦА бывш[его] еще два раза в Ленинграде при посредстве Эстонской миссии осуществлялась связь моя с ПЛОТНИКОВЫМ. В 1921 г. КОЛЬЦЕ[М] через б. мастера завода ЛЕССНЕР РОЗЕНБАУМА[,] работавшего в Эстонской миссии[,] были присланы продуктовые посылки с деньгами в виде дензнаков около 2 млн. руб., группе лиц: мне, Бачманову, Скворцову и др. За этот период времени до [19]23 года через него же КОЛЬЦА, лично, когда он приезжал раза 2-3[,] письменно через Эстонскую миссию получались запросы Плотникова о состоянии предприятий. На эти запросы я отвечал таким &lt;же&gt; путем, </w:t>
      </w:r>
      <w:r w:rsidRPr="00507A31">
        <w:rPr>
          <w:color w:val="000000" w:themeColor="text1"/>
          <w:sz w:val="16"/>
          <w:szCs w:val="16"/>
        </w:rPr>
        <w:lastRenderedPageBreak/>
        <w:t>освещая тогдашнее положение заводов. Вместе с запросами Плотников присылал и деньги в долларах и червонцах, [з]а это время я получил для себя около 10.000 рублей и передал по 2000 руб. Ренцу, Холину и Бачманову и Скворцову[.] Бачманову 5.000 руб., а всего всем лицам за этот период времени 23.000 руб.</w:t>
      </w:r>
    </w:p>
    <w:p w14:paraId="2B31407C" w14:textId="77777777" w:rsidR="005877F5" w:rsidRPr="00507A31" w:rsidRDefault="005877F5" w:rsidP="00507A31">
      <w:pPr>
        <w:jc w:val="both"/>
        <w:rPr>
          <w:color w:val="000000" w:themeColor="text1"/>
          <w:sz w:val="16"/>
          <w:szCs w:val="16"/>
        </w:rPr>
      </w:pPr>
      <w:r w:rsidRPr="00507A31">
        <w:rPr>
          <w:color w:val="000000" w:themeColor="text1"/>
          <w:sz w:val="16"/>
          <w:szCs w:val="16"/>
        </w:rPr>
        <w:t>С 1922 г. когда началось развертывание заводов, мною принимались меры к искусственной их задержке. Особенно это было примечено к заводу им. Свердлова по развитию станкостроения, каковое по указанию Кутского должно было быть задержано. Завод действительно был пущен только в 1923 г.[,] причем план развития намечен был преуменьшенный, путем преуменьшения программ, каковые Ренцем по моим указаниям еще полностью не осуществлялись искусственными задержками в производстве и запоздалым пуском чуг[уно]-лит[ейной] мастерской. На других заводах, как то: быв. Тильмана и Артур Коппель развертывание производства было уничтожено закрытием этих заводов, а на заводе б. Вулкан, вообще не пущенном в ход, разбором оборудования по другим заводам. На заводе К. Маркса задержка осуществлялась через Холина путем набора мелких несистематизированных заказов по текстильным частям и неисполнения заказов [в] срок. На металлическом заводе вплоть до последнего времени мною через Винблада и Бобровщикова задерживалось развертывание турбостроения путем крайней медлительности в определении нужного к заказу оборудования, его установки, пуска в ход, а также в разработке планов по переходу к увеличенному заданию сначала 750 р., а затем до 1 млн. кв.м Не производилось должного планирования заказов, и они не исполнялись в срок.</w:t>
      </w:r>
    </w:p>
    <w:p w14:paraId="1B83A838" w14:textId="77777777" w:rsidR="005877F5" w:rsidRPr="00507A31" w:rsidRDefault="005877F5" w:rsidP="00507A31">
      <w:pPr>
        <w:jc w:val="both"/>
        <w:rPr>
          <w:color w:val="000000" w:themeColor="text1"/>
          <w:sz w:val="16"/>
          <w:szCs w:val="16"/>
        </w:rPr>
      </w:pPr>
      <w:r w:rsidRPr="00507A31">
        <w:rPr>
          <w:color w:val="000000" w:themeColor="text1"/>
          <w:sz w:val="16"/>
          <w:szCs w:val="16"/>
        </w:rPr>
        <w:t>Кроме того, мною производилась задержка кредитов на оборудование турбинной мастерской. Все лица получавшие от меня указания были вполне в курсе тех целей, для которых эти указания давались. По Путиловскому заводу через тогдашнего директора Дмитриева, а затем Саблина производилась задержка в пуске металлургических цехов мартеновского, прокатного и чуг[уно]-литейной, каковая была пущена в последнюю очередь. Особенно задержка производилась по тракторостроению. Преуменьшалась возможная] мощность мастерской и давались мелкие заказы. Замедлялась установка оборудования и его пуск в работу. По общему машиностроению не устанавливались сменные работы. В части ремонтных работ по заводу производилась замедленная их скорость.</w:t>
      </w:r>
    </w:p>
    <w:p w14:paraId="24D937A6" w14:textId="77777777" w:rsidR="005877F5" w:rsidRPr="00507A31" w:rsidRDefault="005877F5" w:rsidP="00507A31">
      <w:pPr>
        <w:jc w:val="both"/>
        <w:rPr>
          <w:color w:val="000000" w:themeColor="text1"/>
          <w:sz w:val="16"/>
          <w:szCs w:val="16"/>
        </w:rPr>
      </w:pPr>
      <w:r w:rsidRPr="00507A31">
        <w:rPr>
          <w:color w:val="000000" w:themeColor="text1"/>
          <w:sz w:val="16"/>
          <w:szCs w:val="16"/>
        </w:rPr>
        <w:t>На заводе «Русский Дизель» через директора] Харитонов[ича]а мною задерживалось развитие дизелестроения путем несвоевременной дачи кредитов на оборудование, малой интенсификации работ и отсутствия в значительной мере сменных работ. Также было недостаточно[е] использование договора с фирмой Зульцер в части постройки новых судовых машин и стационарного типа ЯК. Не было принято решительных мер &lt;по борьбе&gt; с браком в чугуно-литейн[ой]. В развитие характеристики работы центральной Московской вредительской организации могу сказать, что предложение осуществлять указания организации по заводам Ленмаштреста получил от ХРЕННИКОВА в [19]22 году. Дальнейшие указания получал частично от него и Белоножкина, но главным образом от Кутского во время моих с ним встреч в Главметалле, а затем в Гипромезе и во время посещения ими Правления Треста и заводов. Хренников главным образом давал указания общего характера по задержке развития металлургических заводов, в частности завода «Кр[асный] Путиловец». Белоножкин по Путиловскому заводу вообще и в частности по ликвидации паровозостроения. Он особенно указывал на необходимость сведения к минимуму тракторостроения. Кутский занимался главным образом машиностроением прочих заводов в особенности задержкой станкостроения.</w:t>
      </w:r>
    </w:p>
    <w:p w14:paraId="3C38A3D6" w14:textId="77777777" w:rsidR="005877F5" w:rsidRPr="00507A31" w:rsidRDefault="005877F5" w:rsidP="00507A31">
      <w:pPr>
        <w:jc w:val="both"/>
        <w:rPr>
          <w:color w:val="000000" w:themeColor="text1"/>
          <w:sz w:val="16"/>
          <w:szCs w:val="16"/>
        </w:rPr>
      </w:pPr>
      <w:r w:rsidRPr="00507A31">
        <w:rPr>
          <w:color w:val="000000" w:themeColor="text1"/>
          <w:sz w:val="16"/>
          <w:szCs w:val="16"/>
        </w:rPr>
        <w:t>Во время служебных посещений заводов Треста по различным вопросам (паровозостроения, тракторостроения, станкостроения и др.) эти лица путем своих распоряжений вредительского характера давали и для меня определенную установку вопроса, по какой я мог дальше действовать. Это имело место, напр[имер], при осмотре Кутским завода им. Свердлова, неоднократно Белоножкиным, который постоянно участвовал в Комиссиях Главметалла в качестве эксперта по Путиловскому заводу.</w:t>
      </w:r>
    </w:p>
    <w:p w14:paraId="63F21BFC" w14:textId="77777777" w:rsidR="005877F5" w:rsidRPr="00507A31" w:rsidRDefault="005877F5" w:rsidP="00507A31">
      <w:pPr>
        <w:jc w:val="both"/>
        <w:rPr>
          <w:color w:val="000000" w:themeColor="text1"/>
          <w:sz w:val="16"/>
          <w:szCs w:val="16"/>
        </w:rPr>
      </w:pPr>
      <w:r w:rsidRPr="00507A31">
        <w:rPr>
          <w:color w:val="000000" w:themeColor="text1"/>
          <w:sz w:val="16"/>
          <w:szCs w:val="16"/>
        </w:rPr>
        <w:t>Будучи в Гипромезе, Белоножкин всячески задерживал работы по реконструкции завода «Кр[асный] Путиловец».</w:t>
      </w:r>
    </w:p>
    <w:p w14:paraId="5A288B2E" w14:textId="77777777" w:rsidR="005877F5" w:rsidRPr="00507A31" w:rsidRDefault="005877F5" w:rsidP="00507A31">
      <w:pPr>
        <w:jc w:val="both"/>
        <w:rPr>
          <w:color w:val="000000" w:themeColor="text1"/>
          <w:sz w:val="16"/>
          <w:szCs w:val="16"/>
        </w:rPr>
      </w:pPr>
      <w:r w:rsidRPr="00507A31">
        <w:rPr>
          <w:color w:val="000000" w:themeColor="text1"/>
          <w:sz w:val="16"/>
          <w:szCs w:val="16"/>
        </w:rPr>
        <w:t>В 1926 г. участвовал в комиссии Толоконцева по закупке оборудования в Германии. Комиссия состояла из Толоконцева, Шатова, Хренникова (президиум), Неймаера, Митина, Лингардта, Крушеля, Зеленцова, Нефедова, инженера гл[ав] Металла, и меня.</w:t>
      </w:r>
    </w:p>
    <w:p w14:paraId="60704E7B" w14:textId="77777777" w:rsidR="005877F5" w:rsidRPr="00507A31" w:rsidRDefault="005877F5" w:rsidP="00507A31">
      <w:pPr>
        <w:jc w:val="both"/>
        <w:rPr>
          <w:color w:val="000000" w:themeColor="text1"/>
          <w:sz w:val="16"/>
          <w:szCs w:val="16"/>
        </w:rPr>
      </w:pPr>
      <w:r w:rsidRPr="00507A31">
        <w:rPr>
          <w:color w:val="000000" w:themeColor="text1"/>
          <w:sz w:val="16"/>
          <w:szCs w:val="16"/>
        </w:rPr>
        <w:t>В Комиссии я занимался выбором с технической стороны станков для Ленмаштреста и Судотреста. По сводным листам, составленным Торгпредством на основании предложения фирм и       стакна, таковой утверждался президиумом Комиссии, согласовывался с Металлическим] Отд[елом] Торгпредства и шел затем в аппарат Торгпредства на реализацию заказа с фирмой. Кроме Германии я был вместе с Хренниковым и Митиным в Париже по поручению Толоконцева выяснить возможность размещения заказов во Франции. Вопрос этот был нами решен отрицательно. Хренников мне говорил, что он в Париже видел МЕЩЕРСКОГО. Я заграницей никого их прежних представителей промышленности не видел (18352).</w:t>
      </w:r>
    </w:p>
    <w:p w14:paraId="4F7FBEAB" w14:textId="77777777" w:rsidR="005877F5" w:rsidRPr="00507A31" w:rsidRDefault="005877F5" w:rsidP="00507A31">
      <w:pPr>
        <w:jc w:val="both"/>
        <w:rPr>
          <w:color w:val="000000" w:themeColor="text1"/>
          <w:sz w:val="16"/>
          <w:szCs w:val="16"/>
        </w:rPr>
      </w:pPr>
    </w:p>
    <w:p w14:paraId="3D54FE38" w14:textId="77777777" w:rsidR="006807D6" w:rsidRPr="00507A31" w:rsidRDefault="006807D6" w:rsidP="00507A31">
      <w:pPr>
        <w:shd w:val="clear" w:color="auto" w:fill="FFFFFF"/>
        <w:jc w:val="both"/>
        <w:rPr>
          <w:color w:val="0070C0"/>
          <w:sz w:val="16"/>
          <w:szCs w:val="16"/>
        </w:rPr>
      </w:pPr>
      <w:r w:rsidRPr="00507A31">
        <w:rPr>
          <w:color w:val="0070C0"/>
          <w:sz w:val="16"/>
          <w:szCs w:val="16"/>
        </w:rPr>
        <w:t>12 мая 1930 г.</w:t>
      </w:r>
    </w:p>
    <w:p w14:paraId="00A98AC8" w14:textId="77777777" w:rsidR="006807D6" w:rsidRPr="00507A31" w:rsidRDefault="006807D6" w:rsidP="00507A31">
      <w:pPr>
        <w:shd w:val="clear" w:color="auto" w:fill="FFFFFF"/>
        <w:jc w:val="both"/>
        <w:rPr>
          <w:color w:val="0070C0"/>
          <w:sz w:val="16"/>
          <w:szCs w:val="16"/>
        </w:rPr>
      </w:pPr>
      <w:r w:rsidRPr="00507A31">
        <w:rPr>
          <w:color w:val="0070C0"/>
          <w:sz w:val="16"/>
          <w:szCs w:val="16"/>
          <w:bdr w:val="none" w:sz="0" w:space="0" w:color="auto" w:frame="1"/>
        </w:rPr>
        <w:t>ВЫПИСКА ИЗ СВОДКИ ОСОБОГО ОТДЕЛА ОГПУ</w:t>
      </w:r>
    </w:p>
    <w:p w14:paraId="033DC55F" w14:textId="77777777" w:rsidR="006807D6" w:rsidRPr="00507A31" w:rsidRDefault="006807D6" w:rsidP="00507A31">
      <w:pPr>
        <w:shd w:val="clear" w:color="auto" w:fill="FFFFFF"/>
        <w:jc w:val="both"/>
        <w:rPr>
          <w:color w:val="0070C0"/>
          <w:sz w:val="16"/>
          <w:szCs w:val="16"/>
        </w:rPr>
      </w:pPr>
      <w:r w:rsidRPr="00507A31">
        <w:rPr>
          <w:color w:val="0070C0"/>
          <w:sz w:val="16"/>
          <w:szCs w:val="16"/>
        </w:rPr>
        <w:t>9 апреля с. г. н-ком ВТУ РККА Синявским, под псевдонимом гр. Микуличева — главного инженера Электротехнического треста, заключен договор с германским гр-ном Генц[ом] Мюллером о постройке последним изобретенного якобы им аппарата «Elektrischer Sender», обладающего способностью без проводов на расстоянии не меньше двухсот метров и выше до 1600 км плавить металлы, зажигать дерево и т. п., со сроком изготовления аппарата в течение 3 месяцев.</w:t>
      </w:r>
    </w:p>
    <w:p w14:paraId="73C96F27" w14:textId="77777777" w:rsidR="006807D6" w:rsidRPr="00507A31" w:rsidRDefault="006807D6" w:rsidP="00507A31">
      <w:pPr>
        <w:shd w:val="clear" w:color="auto" w:fill="FFFFFF"/>
        <w:jc w:val="both"/>
        <w:rPr>
          <w:color w:val="0070C0"/>
          <w:sz w:val="16"/>
          <w:szCs w:val="16"/>
        </w:rPr>
      </w:pPr>
      <w:r w:rsidRPr="00507A31">
        <w:rPr>
          <w:color w:val="0070C0"/>
          <w:sz w:val="16"/>
          <w:szCs w:val="16"/>
        </w:rPr>
        <w:t>Согласно договора, на закупку материалов и постройку аппарата Мюлеру должно быть уплачено 20 000 руб.; 1500 германских марок за предварительные работы; 3000 руб. заработной платы (из расчета 1000 руб. в месяц); 900 марок на содержание его семьи; 1500 руб. заработной платы помощнику Мюллера Фриц[у] Егер[у] (приехавшему с ним из Германии); а также должно быть оплачено содержание семьи последнего в сумме 450 марок и другие расходы, связанные с поездкой Мюллера в Германию за чертежами и материалами.</w:t>
      </w:r>
    </w:p>
    <w:p w14:paraId="11BA25DD" w14:textId="77777777" w:rsidR="006807D6" w:rsidRPr="00507A31" w:rsidRDefault="006807D6" w:rsidP="00507A31">
      <w:pPr>
        <w:shd w:val="clear" w:color="auto" w:fill="FFFFFF"/>
        <w:jc w:val="both"/>
        <w:rPr>
          <w:color w:val="0070C0"/>
          <w:sz w:val="16"/>
          <w:szCs w:val="16"/>
        </w:rPr>
      </w:pPr>
      <w:r w:rsidRPr="00507A31">
        <w:rPr>
          <w:color w:val="0070C0"/>
          <w:sz w:val="16"/>
          <w:szCs w:val="16"/>
        </w:rPr>
        <w:t>Кроме того, по договору Мюллеру предоставляется бесплатно помещение для производства работ, необходимое оборудование и три человека чернорабочих.</w:t>
      </w:r>
    </w:p>
    <w:p w14:paraId="2D4B4FCD" w14:textId="77777777" w:rsidR="006807D6" w:rsidRPr="00507A31" w:rsidRDefault="006807D6" w:rsidP="00507A31">
      <w:pPr>
        <w:shd w:val="clear" w:color="auto" w:fill="FFFFFF"/>
        <w:jc w:val="both"/>
        <w:rPr>
          <w:color w:val="0070C0"/>
          <w:sz w:val="16"/>
          <w:szCs w:val="16"/>
        </w:rPr>
      </w:pPr>
      <w:r w:rsidRPr="00507A31">
        <w:rPr>
          <w:color w:val="0070C0"/>
          <w:sz w:val="16"/>
          <w:szCs w:val="16"/>
        </w:rPr>
        <w:t>Начало реализации означенного договора показало следующие результаты:</w:t>
      </w:r>
    </w:p>
    <w:p w14:paraId="3D412E02" w14:textId="77777777" w:rsidR="006807D6" w:rsidRPr="00507A31" w:rsidRDefault="006807D6" w:rsidP="00507A31">
      <w:pPr>
        <w:shd w:val="clear" w:color="auto" w:fill="FFFFFF"/>
        <w:jc w:val="both"/>
        <w:rPr>
          <w:color w:val="0070C0"/>
          <w:sz w:val="16"/>
          <w:szCs w:val="16"/>
        </w:rPr>
      </w:pPr>
      <w:r w:rsidRPr="00507A31">
        <w:rPr>
          <w:color w:val="0070C0"/>
          <w:sz w:val="16"/>
          <w:szCs w:val="16"/>
        </w:rPr>
        <w:t>Мюллер, возвратившись из Германии, рабочих чертежей не привез. Из материалов привез лишь 3,5 кг сплава серебра с радием, 30 шт. фибровых (старых) катушек, 8 шт. эбонитовых трубок, 25 кг кварцита, несколько штук сверл, моток медной проволоки, несколько штук телефонных изоляторов и проч. мелочи, представив счет за означенный материал на сумму 5678 германских марок, тогда как по мнению специалистов, эти материалы стоят всего несколько сот рублей.</w:t>
      </w:r>
    </w:p>
    <w:p w14:paraId="088EE7F5" w14:textId="77777777" w:rsidR="006807D6" w:rsidRPr="00507A31" w:rsidRDefault="006807D6" w:rsidP="00507A31">
      <w:pPr>
        <w:shd w:val="clear" w:color="auto" w:fill="FFFFFF"/>
        <w:jc w:val="both"/>
        <w:rPr>
          <w:color w:val="0070C0"/>
          <w:sz w:val="16"/>
          <w:szCs w:val="16"/>
        </w:rPr>
      </w:pPr>
      <w:r w:rsidRPr="00507A31">
        <w:rPr>
          <w:color w:val="0070C0"/>
          <w:sz w:val="16"/>
          <w:szCs w:val="16"/>
        </w:rPr>
        <w:t>В настоящее время Мюллер предъявляет требование о предоставлении ему бесплатной поездки в Германию за кожухом для его аппарата, который якобы им заказан в Висбадене (фирму назвать отказывается). На заказ этого кожуха в СССР Мюллер по каким-то соображениям не соглашается, мотивируя трудностью его изготовления, тогда как по имеющемуся чертежу и личным объяснениям самого Мюллера кожух должен состоять из мягкого котельного 6-мм железа, размером 1,3 метра, который вполне может быть изготовлен на наших заводах.</w:t>
      </w:r>
    </w:p>
    <w:p w14:paraId="6D6564B0" w14:textId="77777777" w:rsidR="006807D6" w:rsidRPr="00507A31" w:rsidRDefault="006807D6" w:rsidP="00507A31">
      <w:pPr>
        <w:shd w:val="clear" w:color="auto" w:fill="FFFFFF"/>
        <w:jc w:val="both"/>
        <w:rPr>
          <w:color w:val="0070C0"/>
          <w:sz w:val="16"/>
          <w:szCs w:val="16"/>
        </w:rPr>
      </w:pPr>
      <w:r w:rsidRPr="00507A31">
        <w:rPr>
          <w:color w:val="0070C0"/>
          <w:sz w:val="16"/>
          <w:szCs w:val="16"/>
        </w:rPr>
        <w:t>При уточнении размера кожуха выяснилось следующее: что размер кожуха, указанный на имеющемся чертеже, Мюллер считает неправильным, и по его объяснениям этот чертеж старого типа, и новые расчеты кожуха он автоматически увеличил в 10 раз. Таким образом, длина кожуха получилась вместо 1,3 метра — 13 метров, толщина железа вместо 6 мм — 60 мм и диаметр кожуха вместо 150 мм — 1,5 метра. Причем, по объяснению Мюллера, этот кожух должен весить около 6 тонн, тогда как, по грубым подсчетам специалистов, вес такого кожуха выражается свыше 28 тонн.</w:t>
      </w:r>
    </w:p>
    <w:p w14:paraId="65D4A71A" w14:textId="77777777" w:rsidR="006807D6" w:rsidRPr="00507A31" w:rsidRDefault="006807D6" w:rsidP="00507A31">
      <w:pPr>
        <w:shd w:val="clear" w:color="auto" w:fill="FFFFFF"/>
        <w:jc w:val="both"/>
        <w:rPr>
          <w:color w:val="0070C0"/>
          <w:sz w:val="16"/>
          <w:szCs w:val="16"/>
        </w:rPr>
      </w:pPr>
      <w:r w:rsidRPr="00507A31">
        <w:rPr>
          <w:color w:val="0070C0"/>
          <w:sz w:val="16"/>
          <w:szCs w:val="16"/>
        </w:rPr>
        <w:t>Помещение, предоставленное для производства работ в Политехническом институте (Ленинград), Мюллер считает неподходящим и требует предоставления ему помещения совершенно независимо от других помещений с соответствующим оборудованием, что вызовет весьма значительные расходы, так как потребуются специальные станки, подъемный кран, электроподводка постоянного тока напряжением 220 вольт — 200 ампер, химическая лаборатория и проч.</w:t>
      </w:r>
    </w:p>
    <w:p w14:paraId="2A1B7154" w14:textId="77777777" w:rsidR="006807D6" w:rsidRPr="00507A31" w:rsidRDefault="006807D6" w:rsidP="00507A31">
      <w:pPr>
        <w:shd w:val="clear" w:color="auto" w:fill="FFFFFF"/>
        <w:jc w:val="both"/>
        <w:rPr>
          <w:color w:val="0070C0"/>
          <w:sz w:val="16"/>
          <w:szCs w:val="16"/>
        </w:rPr>
      </w:pPr>
      <w:r w:rsidRPr="00507A31">
        <w:rPr>
          <w:color w:val="0070C0"/>
          <w:sz w:val="16"/>
          <w:szCs w:val="16"/>
        </w:rPr>
        <w:t>По мнению специалистов, предложенный прибор Мюллер осуществить не сможет, так как таковой теоретически не проработан и сам Мюллер является технически безграмотным человеком.</w:t>
      </w:r>
    </w:p>
    <w:p w14:paraId="79D77808" w14:textId="77777777" w:rsidR="006807D6" w:rsidRPr="00507A31" w:rsidRDefault="006807D6" w:rsidP="00507A31">
      <w:pPr>
        <w:shd w:val="clear" w:color="auto" w:fill="FFFFFF"/>
        <w:jc w:val="both"/>
        <w:rPr>
          <w:color w:val="0070C0"/>
          <w:sz w:val="16"/>
          <w:szCs w:val="16"/>
        </w:rPr>
      </w:pPr>
      <w:r w:rsidRPr="00507A31">
        <w:rPr>
          <w:color w:val="0070C0"/>
          <w:sz w:val="16"/>
          <w:szCs w:val="16"/>
        </w:rPr>
        <w:t>Все это и целый ряд других действий Мюллера заставляют думать, что он не изобретатель, а ловкий делец, если не аферист. Необходимо проверить серьезность предложения Мюллера, потребовать необходимые гарантии по осуществлению его изобретения или расторгнуть договор.</w:t>
      </w:r>
    </w:p>
    <w:p w14:paraId="5A24C6E9" w14:textId="77777777" w:rsidR="006807D6" w:rsidRPr="00507A31" w:rsidRDefault="006807D6" w:rsidP="00507A31">
      <w:pPr>
        <w:shd w:val="clear" w:color="auto" w:fill="FFFFFF"/>
        <w:jc w:val="both"/>
        <w:rPr>
          <w:color w:val="0070C0"/>
          <w:sz w:val="16"/>
          <w:szCs w:val="16"/>
        </w:rPr>
      </w:pPr>
      <w:r w:rsidRPr="00507A31">
        <w:rPr>
          <w:color w:val="0070C0"/>
          <w:sz w:val="16"/>
          <w:szCs w:val="16"/>
        </w:rPr>
        <w:t>Врид нач. 3 отд. ОО ОГПУ Гобе</w:t>
      </w:r>
    </w:p>
    <w:p w14:paraId="4FEFCA29" w14:textId="77777777" w:rsidR="006807D6" w:rsidRPr="00507A31" w:rsidRDefault="006807D6" w:rsidP="00507A31">
      <w:pPr>
        <w:shd w:val="clear" w:color="auto" w:fill="FFFFFF"/>
        <w:jc w:val="both"/>
        <w:rPr>
          <w:color w:val="0070C0"/>
          <w:sz w:val="16"/>
          <w:szCs w:val="16"/>
        </w:rPr>
      </w:pPr>
      <w:r w:rsidRPr="00507A31">
        <w:rPr>
          <w:color w:val="0070C0"/>
          <w:sz w:val="16"/>
          <w:szCs w:val="16"/>
        </w:rPr>
        <w:t>ЦА ФСБ РФ. Ф. 2. Оп. 8. Д. 863. Л. 283–284 (20268).</w:t>
      </w:r>
    </w:p>
    <w:p w14:paraId="3D2B67DA" w14:textId="77777777" w:rsidR="006807D6" w:rsidRPr="00507A31" w:rsidRDefault="006807D6" w:rsidP="00507A31">
      <w:pPr>
        <w:jc w:val="both"/>
        <w:rPr>
          <w:color w:val="0070C0"/>
          <w:sz w:val="16"/>
          <w:szCs w:val="16"/>
        </w:rPr>
      </w:pPr>
    </w:p>
    <w:p w14:paraId="54F67EB1" w14:textId="77777777" w:rsidR="006807D6" w:rsidRPr="00507A31" w:rsidRDefault="006807D6"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F673AE6" w14:textId="77777777" w:rsidR="006807D6" w:rsidRPr="00507A31" w:rsidRDefault="006807D6" w:rsidP="00507A31">
      <w:pPr>
        <w:autoSpaceDE w:val="0"/>
        <w:autoSpaceDN w:val="0"/>
        <w:adjustRightInd w:val="0"/>
        <w:jc w:val="both"/>
        <w:rPr>
          <w:iCs/>
          <w:color w:val="000000" w:themeColor="text1"/>
          <w:sz w:val="16"/>
          <w:szCs w:val="16"/>
        </w:rPr>
      </w:pPr>
    </w:p>
    <w:p w14:paraId="79D5CF88" w14:textId="77777777" w:rsidR="006807D6" w:rsidRPr="00507A31" w:rsidRDefault="006807D6" w:rsidP="00507A31">
      <w:pPr>
        <w:jc w:val="both"/>
        <w:rPr>
          <w:color w:val="0070C0"/>
          <w:sz w:val="16"/>
          <w:szCs w:val="16"/>
        </w:rPr>
      </w:pPr>
      <w:r w:rsidRPr="00507A31">
        <w:rPr>
          <w:color w:val="0070C0"/>
          <w:sz w:val="16"/>
          <w:szCs w:val="16"/>
        </w:rPr>
        <w:t>12-13 май 1930, летя на Aéropostale, французский пилот Жан Mermoz выполняет первый беспосадочный коммерческий рейс через южную часть Атлантического океана, летя из Дакара, Сенегал, в Натале, Бразилия, в Latecoere 28-3 на поплавках Конта де la Vaulx. Полет протяженностью 3058 километров (1899 миль) занимает 19 часов 35 минут, а самолет перевозит 122 килограмма (269 фунтов) почты. На обратном пути Мермос вынужден бросить граф де ла Во в море; хотя он, два его товарища и почта спасены, самолет тонет и теряется (20805).</w:t>
      </w:r>
    </w:p>
    <w:p w14:paraId="1A878686" w14:textId="77777777" w:rsidR="006807D6" w:rsidRPr="00507A31" w:rsidRDefault="006807D6" w:rsidP="00507A31">
      <w:pPr>
        <w:jc w:val="both"/>
        <w:rPr>
          <w:color w:val="0070C0"/>
          <w:sz w:val="16"/>
          <w:szCs w:val="16"/>
        </w:rPr>
      </w:pPr>
      <w:r w:rsidRPr="00507A31">
        <w:rPr>
          <w:color w:val="0070C0"/>
          <w:sz w:val="16"/>
          <w:szCs w:val="16"/>
        </w:rPr>
        <w:t>15 мая 1930 состоялось заседание ПБ (Протокол № 126. Особый № 124).</w:t>
      </w:r>
    </w:p>
    <w:p w14:paraId="5C408EBB" w14:textId="77777777" w:rsidR="006807D6" w:rsidRPr="00507A31" w:rsidRDefault="006807D6" w:rsidP="00507A31">
      <w:pPr>
        <w:jc w:val="both"/>
        <w:rPr>
          <w:color w:val="0070C0"/>
          <w:sz w:val="16"/>
          <w:szCs w:val="16"/>
        </w:rPr>
      </w:pPr>
      <w:r w:rsidRPr="00507A31">
        <w:rPr>
          <w:color w:val="0070C0"/>
          <w:sz w:val="16"/>
          <w:szCs w:val="16"/>
        </w:rPr>
        <w:t>6.- Сообщение РЗ CT0.</w:t>
      </w:r>
    </w:p>
    <w:p w14:paraId="33B083C9" w14:textId="77777777" w:rsidR="006807D6" w:rsidRPr="00507A31" w:rsidRDefault="006807D6" w:rsidP="00507A31">
      <w:pPr>
        <w:jc w:val="both"/>
        <w:rPr>
          <w:color w:val="0070C0"/>
          <w:sz w:val="16"/>
          <w:szCs w:val="16"/>
        </w:rPr>
      </w:pPr>
      <w:r w:rsidRPr="00507A31">
        <w:rPr>
          <w:color w:val="0070C0"/>
          <w:sz w:val="16"/>
          <w:szCs w:val="16"/>
        </w:rPr>
        <w:t>(т.т. Рыков, Ворошилов, Рухимович, Постников, Мартынович, Венцов ,Смилга, Механошин).</w:t>
      </w:r>
    </w:p>
    <w:p w14:paraId="15BC866C" w14:textId="77777777" w:rsidR="006807D6" w:rsidRPr="00507A31" w:rsidRDefault="006807D6" w:rsidP="00507A31">
      <w:pPr>
        <w:jc w:val="both"/>
        <w:rPr>
          <w:color w:val="0070C0"/>
          <w:sz w:val="16"/>
          <w:szCs w:val="16"/>
        </w:rPr>
      </w:pPr>
      <w:r w:rsidRPr="00507A31">
        <w:rPr>
          <w:color w:val="0070C0"/>
          <w:sz w:val="16"/>
          <w:szCs w:val="16"/>
        </w:rPr>
        <w:t>а) Принять к сведению доклад РЗ СТО.</w:t>
      </w:r>
    </w:p>
    <w:p w14:paraId="7C7D8CE3" w14:textId="77777777" w:rsidR="006807D6" w:rsidRPr="00507A31" w:rsidRDefault="006807D6" w:rsidP="00507A31">
      <w:pPr>
        <w:jc w:val="both"/>
        <w:rPr>
          <w:color w:val="0070C0"/>
          <w:sz w:val="16"/>
          <w:szCs w:val="16"/>
        </w:rPr>
      </w:pPr>
      <w:r w:rsidRPr="00507A31">
        <w:rPr>
          <w:color w:val="0070C0"/>
          <w:sz w:val="16"/>
          <w:szCs w:val="16"/>
        </w:rPr>
        <w:t>б) Обязать ВСНХ представить в РЗ СТО в 15-дневный срок доклад о конкретных мерах, обеспечивающих выполнение промышленностью мобилизационной заявки Наркомвоенмора. Предложить РЗ СТО 30.У. войти в Политбюро со своими предложениями по этому вопросу.</w:t>
      </w:r>
    </w:p>
    <w:p w14:paraId="7792CE62" w14:textId="77777777" w:rsidR="006807D6" w:rsidRPr="00507A31" w:rsidRDefault="006807D6" w:rsidP="00507A31">
      <w:pPr>
        <w:jc w:val="both"/>
        <w:rPr>
          <w:color w:val="0070C0"/>
          <w:sz w:val="16"/>
          <w:szCs w:val="16"/>
        </w:rPr>
      </w:pPr>
      <w:r w:rsidRPr="00507A31">
        <w:rPr>
          <w:color w:val="0070C0"/>
          <w:sz w:val="16"/>
          <w:szCs w:val="16"/>
        </w:rPr>
        <w:t>Выписки посланы: т.т. Ворошилову, Куйбышеву, Аппога (23109).</w:t>
      </w:r>
    </w:p>
    <w:p w14:paraId="5604716C" w14:textId="77777777" w:rsidR="006807D6" w:rsidRPr="00507A31" w:rsidRDefault="006807D6" w:rsidP="00507A31">
      <w:pPr>
        <w:jc w:val="both"/>
        <w:rPr>
          <w:color w:val="0070C0"/>
          <w:sz w:val="16"/>
          <w:szCs w:val="16"/>
        </w:rPr>
      </w:pPr>
    </w:p>
    <w:p w14:paraId="72C274D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90A652E" w14:textId="77777777" w:rsidR="00537E5F" w:rsidRPr="00507A31" w:rsidRDefault="00537E5F" w:rsidP="00507A31">
      <w:pPr>
        <w:autoSpaceDE w:val="0"/>
        <w:autoSpaceDN w:val="0"/>
        <w:adjustRightInd w:val="0"/>
        <w:jc w:val="both"/>
        <w:rPr>
          <w:iCs/>
          <w:color w:val="000000" w:themeColor="text1"/>
          <w:sz w:val="16"/>
          <w:szCs w:val="16"/>
        </w:rPr>
      </w:pPr>
    </w:p>
    <w:p w14:paraId="0ED86B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мая 1930 НТК УВВС утвердил эскизный проект АНТ-6 (ТБ-3), хотя многое уже было выполнено в металле (346,26).</w:t>
      </w:r>
    </w:p>
    <w:p w14:paraId="1F9B4D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Макет к этому времени также был утвержден. Самолет уже строили. Работы велись с конца 1925.</w:t>
      </w:r>
    </w:p>
    <w:p w14:paraId="23EB11B5" w14:textId="77777777" w:rsidR="00537E5F" w:rsidRPr="00507A31" w:rsidRDefault="00537E5F" w:rsidP="00507A31">
      <w:pPr>
        <w:autoSpaceDE w:val="0"/>
        <w:autoSpaceDN w:val="0"/>
        <w:adjustRightInd w:val="0"/>
        <w:jc w:val="both"/>
        <w:rPr>
          <w:color w:val="000000" w:themeColor="text1"/>
          <w:sz w:val="16"/>
          <w:szCs w:val="16"/>
        </w:rPr>
      </w:pPr>
    </w:p>
    <w:p w14:paraId="0C1306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мая 1930 на заседании макетной комиссии по ТБ-3 внесли предложение перейти от «Конквероров» к немецким моторам BMW VI. Лицензию на этот двигатель приобрели в Германии еще в октябре 1927 г., но только в начале 1930 г. завод № 26 в Рыбинске начал собирать их из импортных деталей. У нас BMW VI получил обозначение М-17 и выпускался в двух модификациях с разными степенями сжатия - 6,0 и 7,3, как и немецкий оригинал. Одновременно с заменой моторов предложили установить вместо колес большого диаметра, к которым не существовало отечественной резины, парные тележки. Обе эти идеи впоследствии осуществили, но на первоначальном облике опытного АНТ-6 это еще не отразилось (8887).</w:t>
      </w:r>
    </w:p>
    <w:p w14:paraId="50D9FF26" w14:textId="77777777" w:rsidR="00537E5F" w:rsidRPr="00507A31" w:rsidRDefault="00537E5F" w:rsidP="00507A31">
      <w:pPr>
        <w:autoSpaceDE w:val="0"/>
        <w:autoSpaceDN w:val="0"/>
        <w:adjustRightInd w:val="0"/>
        <w:jc w:val="both"/>
        <w:rPr>
          <w:color w:val="000000" w:themeColor="text1"/>
          <w:sz w:val="16"/>
          <w:szCs w:val="16"/>
        </w:rPr>
      </w:pPr>
    </w:p>
    <w:p w14:paraId="561E23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мая 1930 г. при выходе из гавани Кронштадта сгорел ТКА № 81 (заводской №46/26). В Целях «конспирации» номер 81 был немедленно присвоен очередному катеру с заводским № 40/20. Фундаменты под моторами «Райт-Тайфун» не выдерживали вибрации разрушались. Всего на заводе им. Марти в Ленинграде было 84 катера Ш-4 (10675).</w:t>
      </w:r>
    </w:p>
    <w:p w14:paraId="5D4F74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C30034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8FA9F6B" w14:textId="77777777" w:rsidR="00537E5F" w:rsidRPr="00507A31" w:rsidRDefault="00537E5F" w:rsidP="00507A31">
      <w:pPr>
        <w:autoSpaceDE w:val="0"/>
        <w:autoSpaceDN w:val="0"/>
        <w:adjustRightInd w:val="0"/>
        <w:jc w:val="both"/>
        <w:rPr>
          <w:iCs/>
          <w:color w:val="000000" w:themeColor="text1"/>
          <w:sz w:val="16"/>
          <w:szCs w:val="16"/>
        </w:rPr>
      </w:pPr>
    </w:p>
    <w:p w14:paraId="71C2C9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мая 1930 военпред УММ РККА в своем докладе «О проверке выполнения за</w:t>
      </w:r>
      <w:r w:rsidRPr="00507A31">
        <w:rPr>
          <w:color w:val="000000" w:themeColor="text1"/>
          <w:sz w:val="16"/>
          <w:szCs w:val="16"/>
        </w:rPr>
        <w:softHyphen/>
        <w:t>казов Ижорским заводом сообщал:</w:t>
      </w:r>
    </w:p>
    <w:p w14:paraId="58C86A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Заказ 1927/28 года на 55 машин: сдано 55;</w:t>
      </w:r>
    </w:p>
    <w:p w14:paraId="1BA3D0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Заказ 1928/29 года на 74 машины: сдано 70, на заво</w:t>
      </w:r>
      <w:r w:rsidRPr="00507A31">
        <w:rPr>
          <w:color w:val="000000" w:themeColor="text1"/>
          <w:sz w:val="16"/>
          <w:szCs w:val="16"/>
        </w:rPr>
        <w:softHyphen/>
        <w:t>де 4. По словам администрации завода инженера Обухова будут сданы к 20 - 25 мая. Задержка в сдаче из-за отсутст</w:t>
      </w:r>
      <w:r w:rsidRPr="00507A31">
        <w:rPr>
          <w:color w:val="000000" w:themeColor="text1"/>
          <w:sz w:val="16"/>
          <w:szCs w:val="16"/>
        </w:rPr>
        <w:softHyphen/>
        <w:t>вия деталей: бензобаков, ниппелей и т.д.</w:t>
      </w:r>
    </w:p>
    <w:p w14:paraId="7670D9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Заказ 1929/30 года на 105 машин, из них до 8 мая не сдано ни одной. В сборке 15 корпусов, до 8 мая на завод по</w:t>
      </w:r>
      <w:r w:rsidRPr="00507A31">
        <w:rPr>
          <w:color w:val="000000" w:themeColor="text1"/>
          <w:sz w:val="16"/>
          <w:szCs w:val="16"/>
        </w:rPr>
        <w:softHyphen/>
        <w:t>ступило 30 шасси».</w:t>
      </w:r>
    </w:p>
    <w:p w14:paraId="626693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Тем не менее в сентябре того же года с Ижорским заво</w:t>
      </w:r>
      <w:r w:rsidRPr="00507A31">
        <w:rPr>
          <w:color w:val="000000" w:themeColor="text1"/>
          <w:sz w:val="16"/>
          <w:szCs w:val="16"/>
        </w:rPr>
        <w:softHyphen/>
        <w:t>дом заключили договор еще на 65 БА-27 четвертой партии со следующими сроками сдачи: в октябре — 20, в ноябре — 20 и в декабре - 25.</w:t>
      </w:r>
    </w:p>
    <w:p w14:paraId="143192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Согласно документам, окраска броневиков была следу</w:t>
      </w:r>
      <w:r w:rsidRPr="00507A31">
        <w:rPr>
          <w:color w:val="000000" w:themeColor="text1"/>
          <w:sz w:val="16"/>
          <w:szCs w:val="16"/>
        </w:rPr>
        <w:softHyphen/>
        <w:t>ющей: «...Защитный цвет снаружи и белый внутри. На каж</w:t>
      </w:r>
      <w:r w:rsidRPr="00507A31">
        <w:rPr>
          <w:color w:val="000000" w:themeColor="text1"/>
          <w:sz w:val="16"/>
          <w:szCs w:val="16"/>
        </w:rPr>
        <w:softHyphen/>
        <w:t>дой машине на внутренней стороне дверей наносилась мар</w:t>
      </w:r>
      <w:r w:rsidRPr="00507A31">
        <w:rPr>
          <w:color w:val="000000" w:themeColor="text1"/>
          <w:sz w:val="16"/>
          <w:szCs w:val="16"/>
        </w:rPr>
        <w:softHyphen/>
        <w:t>кировка «АБ-27 ГИЗ», год выпуска и военный номер. На переднем контрфорсе внутри машины закреплялась медная плакетка (табличка) с вышеуказан</w:t>
      </w:r>
      <w:r w:rsidRPr="00507A31">
        <w:rPr>
          <w:color w:val="000000" w:themeColor="text1"/>
          <w:sz w:val="16"/>
          <w:szCs w:val="16"/>
        </w:rPr>
        <w:softHyphen/>
        <w:t>ными надписями» (11284).</w:t>
      </w:r>
    </w:p>
    <w:p w14:paraId="4CD158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64ADD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13 мая 1930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51332C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33429C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E371BA" w:rsidRPr="00507A31" w14:paraId="6E288345" w14:textId="77777777">
        <w:trPr>
          <w:jc w:val="center"/>
        </w:trPr>
        <w:tc>
          <w:tcPr>
            <w:tcW w:w="4715" w:type="dxa"/>
            <w:tcBorders>
              <w:top w:val="single" w:sz="12" w:space="0" w:color="auto"/>
            </w:tcBorders>
          </w:tcPr>
          <w:p w14:paraId="1D791B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Масса</w:t>
            </w:r>
          </w:p>
        </w:tc>
        <w:tc>
          <w:tcPr>
            <w:tcW w:w="4800" w:type="dxa"/>
            <w:tcBorders>
              <w:top w:val="single" w:sz="12" w:space="0" w:color="auto"/>
            </w:tcBorders>
          </w:tcPr>
          <w:p w14:paraId="4A13A1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4100 кг</w:t>
            </w:r>
          </w:p>
        </w:tc>
      </w:tr>
      <w:tr w:rsidR="00E371BA" w:rsidRPr="00507A31" w14:paraId="01186D59" w14:textId="77777777">
        <w:trPr>
          <w:jc w:val="center"/>
        </w:trPr>
        <w:tc>
          <w:tcPr>
            <w:tcW w:w="4715" w:type="dxa"/>
          </w:tcPr>
          <w:p w14:paraId="2340D5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4800" w:type="dxa"/>
          </w:tcPr>
          <w:p w14:paraId="095E48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человека</w:t>
            </w:r>
          </w:p>
        </w:tc>
      </w:tr>
      <w:tr w:rsidR="00E371BA" w:rsidRPr="00507A31" w14:paraId="0C8D6C12" w14:textId="77777777">
        <w:trPr>
          <w:jc w:val="center"/>
        </w:trPr>
        <w:tc>
          <w:tcPr>
            <w:tcW w:w="4715" w:type="dxa"/>
          </w:tcPr>
          <w:p w14:paraId="2127B3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Длина</w:t>
            </w:r>
          </w:p>
        </w:tc>
        <w:tc>
          <w:tcPr>
            <w:tcW w:w="4800" w:type="dxa"/>
          </w:tcPr>
          <w:p w14:paraId="0B1054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4617 мм</w:t>
            </w:r>
          </w:p>
        </w:tc>
      </w:tr>
      <w:tr w:rsidR="00E371BA" w:rsidRPr="00507A31" w14:paraId="43A6C35F" w14:textId="77777777">
        <w:trPr>
          <w:jc w:val="center"/>
        </w:trPr>
        <w:tc>
          <w:tcPr>
            <w:tcW w:w="4715" w:type="dxa"/>
          </w:tcPr>
          <w:p w14:paraId="2877A9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Ширина</w:t>
            </w:r>
          </w:p>
        </w:tc>
        <w:tc>
          <w:tcPr>
            <w:tcW w:w="4800" w:type="dxa"/>
          </w:tcPr>
          <w:p w14:paraId="11C167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1710 мм</w:t>
            </w:r>
          </w:p>
        </w:tc>
      </w:tr>
      <w:tr w:rsidR="00E371BA" w:rsidRPr="00507A31" w14:paraId="705C2854" w14:textId="77777777">
        <w:trPr>
          <w:jc w:val="center"/>
        </w:trPr>
        <w:tc>
          <w:tcPr>
            <w:tcW w:w="4715" w:type="dxa"/>
          </w:tcPr>
          <w:p w14:paraId="6FA1E3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Высота</w:t>
            </w:r>
          </w:p>
        </w:tc>
        <w:tc>
          <w:tcPr>
            <w:tcW w:w="4800" w:type="dxa"/>
          </w:tcPr>
          <w:p w14:paraId="3098C8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2520 мм</w:t>
            </w:r>
          </w:p>
        </w:tc>
      </w:tr>
      <w:tr w:rsidR="00E371BA" w:rsidRPr="00507A31" w14:paraId="4DF36E3D" w14:textId="77777777">
        <w:trPr>
          <w:jc w:val="center"/>
        </w:trPr>
        <w:tc>
          <w:tcPr>
            <w:tcW w:w="4715" w:type="dxa"/>
          </w:tcPr>
          <w:p w14:paraId="1A83FF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Клиренс</w:t>
            </w:r>
          </w:p>
        </w:tc>
        <w:tc>
          <w:tcPr>
            <w:tcW w:w="4800" w:type="dxa"/>
          </w:tcPr>
          <w:p w14:paraId="54F820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 мм</w:t>
            </w:r>
          </w:p>
        </w:tc>
      </w:tr>
      <w:tr w:rsidR="00E371BA" w:rsidRPr="00507A31" w14:paraId="499343BA" w14:textId="77777777">
        <w:trPr>
          <w:jc w:val="center"/>
        </w:trPr>
        <w:tc>
          <w:tcPr>
            <w:tcW w:w="4715" w:type="dxa"/>
          </w:tcPr>
          <w:p w14:paraId="0ED905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Давление на грунт</w:t>
            </w:r>
          </w:p>
        </w:tc>
        <w:tc>
          <w:tcPr>
            <w:tcW w:w="4800" w:type="dxa"/>
          </w:tcPr>
          <w:p w14:paraId="36AA97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3,4 кг/см2</w:t>
            </w:r>
          </w:p>
        </w:tc>
      </w:tr>
      <w:tr w:rsidR="00E371BA" w:rsidRPr="00507A31" w14:paraId="5345F57C" w14:textId="77777777">
        <w:trPr>
          <w:jc w:val="center"/>
        </w:trPr>
        <w:tc>
          <w:tcPr>
            <w:tcW w:w="4715" w:type="dxa"/>
          </w:tcPr>
          <w:p w14:paraId="319A0E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 двигателя</w:t>
            </w:r>
          </w:p>
        </w:tc>
        <w:tc>
          <w:tcPr>
            <w:tcW w:w="4800" w:type="dxa"/>
          </w:tcPr>
          <w:p w14:paraId="7E2101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4-х цил., карб. АМО</w:t>
            </w:r>
          </w:p>
        </w:tc>
      </w:tr>
      <w:tr w:rsidR="00E371BA" w:rsidRPr="00507A31" w14:paraId="09D2ADEE" w14:textId="77777777">
        <w:trPr>
          <w:jc w:val="center"/>
        </w:trPr>
        <w:tc>
          <w:tcPr>
            <w:tcW w:w="4715" w:type="dxa"/>
          </w:tcPr>
          <w:p w14:paraId="3DE77F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Мощность двигателя</w:t>
            </w:r>
          </w:p>
        </w:tc>
        <w:tc>
          <w:tcPr>
            <w:tcW w:w="4800" w:type="dxa"/>
          </w:tcPr>
          <w:p w14:paraId="751D8D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 л.с.</w:t>
            </w:r>
          </w:p>
        </w:tc>
      </w:tr>
      <w:tr w:rsidR="00E371BA" w:rsidRPr="00507A31" w14:paraId="35091037" w14:textId="77777777">
        <w:trPr>
          <w:jc w:val="center"/>
        </w:trPr>
        <w:tc>
          <w:tcPr>
            <w:tcW w:w="4715" w:type="dxa"/>
          </w:tcPr>
          <w:p w14:paraId="72672E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Скорость по шоссе</w:t>
            </w:r>
          </w:p>
        </w:tc>
        <w:tc>
          <w:tcPr>
            <w:tcW w:w="4800" w:type="dxa"/>
          </w:tcPr>
          <w:p w14:paraId="7B6036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30 км/ч</w:t>
            </w:r>
          </w:p>
        </w:tc>
      </w:tr>
      <w:tr w:rsidR="00E371BA" w:rsidRPr="00507A31" w14:paraId="6985A41F" w14:textId="77777777">
        <w:trPr>
          <w:jc w:val="center"/>
        </w:trPr>
        <w:tc>
          <w:tcPr>
            <w:tcW w:w="4715" w:type="dxa"/>
          </w:tcPr>
          <w:p w14:paraId="37BFD6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Запас хода по шоссе</w:t>
            </w:r>
          </w:p>
        </w:tc>
        <w:tc>
          <w:tcPr>
            <w:tcW w:w="4800" w:type="dxa"/>
          </w:tcPr>
          <w:p w14:paraId="559252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180 км</w:t>
            </w:r>
          </w:p>
        </w:tc>
      </w:tr>
      <w:tr w:rsidR="00E371BA" w:rsidRPr="00507A31" w14:paraId="2E532820" w14:textId="77777777">
        <w:trPr>
          <w:jc w:val="center"/>
        </w:trPr>
        <w:tc>
          <w:tcPr>
            <w:tcW w:w="4715" w:type="dxa"/>
          </w:tcPr>
          <w:p w14:paraId="46F623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Преодолеваемый подъем</w:t>
            </w:r>
          </w:p>
        </w:tc>
        <w:tc>
          <w:tcPr>
            <w:tcW w:w="4800" w:type="dxa"/>
          </w:tcPr>
          <w:p w14:paraId="6BC2E1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15°</w:t>
            </w:r>
          </w:p>
        </w:tc>
      </w:tr>
      <w:tr w:rsidR="00E371BA" w:rsidRPr="00507A31" w14:paraId="37B3522E" w14:textId="77777777">
        <w:trPr>
          <w:jc w:val="center"/>
        </w:trPr>
        <w:tc>
          <w:tcPr>
            <w:tcW w:w="4715" w:type="dxa"/>
          </w:tcPr>
          <w:p w14:paraId="473728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4800" w:type="dxa"/>
          </w:tcPr>
          <w:p w14:paraId="2A0909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37-мм пушка Гочкис, 7,62-мм пулемет ДТ</w:t>
            </w:r>
          </w:p>
        </w:tc>
      </w:tr>
      <w:tr w:rsidR="00E371BA" w:rsidRPr="00507A31" w14:paraId="11F39EFD" w14:textId="77777777">
        <w:trPr>
          <w:jc w:val="center"/>
        </w:trPr>
        <w:tc>
          <w:tcPr>
            <w:tcW w:w="4715" w:type="dxa"/>
          </w:tcPr>
          <w:p w14:paraId="756488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Боекомплект</w:t>
            </w:r>
          </w:p>
        </w:tc>
        <w:tc>
          <w:tcPr>
            <w:tcW w:w="4800" w:type="dxa"/>
          </w:tcPr>
          <w:p w14:paraId="2CCEBB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 снарядов, 2016 патронов</w:t>
            </w:r>
          </w:p>
        </w:tc>
      </w:tr>
      <w:tr w:rsidR="00E371BA" w:rsidRPr="00507A31" w14:paraId="26A57306" w14:textId="77777777">
        <w:trPr>
          <w:jc w:val="center"/>
        </w:trPr>
        <w:tc>
          <w:tcPr>
            <w:tcW w:w="4715" w:type="dxa"/>
            <w:tcBorders>
              <w:bottom w:val="single" w:sz="12" w:space="0" w:color="auto"/>
            </w:tcBorders>
          </w:tcPr>
          <w:p w14:paraId="4A26FD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Бронирование</w:t>
            </w:r>
          </w:p>
        </w:tc>
        <w:tc>
          <w:tcPr>
            <w:tcW w:w="4800" w:type="dxa"/>
            <w:tcBorders>
              <w:bottom w:val="single" w:sz="12" w:space="0" w:color="auto"/>
            </w:tcBorders>
          </w:tcPr>
          <w:p w14:paraId="54DC68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3–7 мм</w:t>
            </w:r>
          </w:p>
        </w:tc>
      </w:tr>
    </w:tbl>
    <w:p w14:paraId="343A84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(11861).</w:t>
      </w:r>
    </w:p>
    <w:p w14:paraId="440A201C" w14:textId="77777777" w:rsidR="00537E5F" w:rsidRPr="00507A31" w:rsidRDefault="00537E5F" w:rsidP="00507A31">
      <w:pPr>
        <w:autoSpaceDE w:val="0"/>
        <w:autoSpaceDN w:val="0"/>
        <w:adjustRightInd w:val="0"/>
        <w:jc w:val="both"/>
        <w:rPr>
          <w:color w:val="000000" w:themeColor="text1"/>
          <w:sz w:val="16"/>
          <w:szCs w:val="16"/>
        </w:rPr>
      </w:pPr>
    </w:p>
    <w:p w14:paraId="537EAB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мая 1930 Секр. часть писала письмо Зав. Секретной частью Киевского Краснознаменного завода письмо № 591</w:t>
      </w:r>
    </w:p>
    <w:p w14:paraId="3D9401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Засекречивание пояснительной раписки малярно-сборочного цеха</w:t>
      </w:r>
    </w:p>
    <w:p w14:paraId="71F7FE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Архитектором ККЗ тов. БРУЕВИЧ С.А. пред</w:t>
      </w:r>
      <w:r w:rsidRPr="00507A31">
        <w:rPr>
          <w:color w:val="000000" w:themeColor="text1"/>
          <w:sz w:val="16"/>
          <w:szCs w:val="16"/>
        </w:rPr>
        <w:softHyphen/>
        <w:t>ставлена в Оружобъединение пояснительная запис</w:t>
      </w:r>
      <w:r w:rsidRPr="00507A31">
        <w:rPr>
          <w:color w:val="000000" w:themeColor="text1"/>
          <w:sz w:val="16"/>
          <w:szCs w:val="16"/>
        </w:rPr>
        <w:softHyphen/>
        <w:t>ка, по КОТОРОЙ ПОЛНОСТЬЮ ВЫЯВЛЯЕТСЯ МОЩНОСТЬ нового малярно-сборочного цеха.</w:t>
      </w:r>
    </w:p>
    <w:p w14:paraId="51E94F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Сведнния о мощности завода как в целом, так и по отдельным цехам являются секретными, а потому нами этот материал засекречен, а Вам предлагается оставшуюся у Вас копию этого мате</w:t>
      </w:r>
      <w:r w:rsidRPr="00507A31">
        <w:rPr>
          <w:color w:val="000000" w:themeColor="text1"/>
          <w:sz w:val="16"/>
          <w:szCs w:val="16"/>
        </w:rPr>
        <w:softHyphen/>
        <w:t>риала из"ять из общего делопроизводства и пере</w:t>
      </w:r>
      <w:r w:rsidRPr="00507A31">
        <w:rPr>
          <w:color w:val="000000" w:themeColor="text1"/>
          <w:sz w:val="16"/>
          <w:szCs w:val="16"/>
        </w:rPr>
        <w:softHyphen/>
        <w:t>дать в секретную часть на хранение. Кроме того выяснить каким образом секретный материал про</w:t>
      </w:r>
      <w:r w:rsidRPr="00507A31">
        <w:rPr>
          <w:color w:val="000000" w:themeColor="text1"/>
          <w:sz w:val="16"/>
          <w:szCs w:val="16"/>
        </w:rPr>
        <w:softHyphen/>
        <w:t>шел аимо Секретной части и виновным сделать соответствующее указание с предупреждением, что при повторении на них будет наложено более су</w:t>
      </w:r>
      <w:r w:rsidRPr="00507A31">
        <w:rPr>
          <w:color w:val="000000" w:themeColor="text1"/>
          <w:sz w:val="16"/>
          <w:szCs w:val="16"/>
        </w:rPr>
        <w:softHyphen/>
        <w:t>ровое изыскание (8826, 51).</w:t>
      </w:r>
    </w:p>
    <w:p w14:paraId="7E92438E" w14:textId="77777777" w:rsidR="00537E5F" w:rsidRPr="00507A31" w:rsidRDefault="00537E5F" w:rsidP="00507A31">
      <w:pPr>
        <w:autoSpaceDE w:val="0"/>
        <w:autoSpaceDN w:val="0"/>
        <w:adjustRightInd w:val="0"/>
        <w:jc w:val="both"/>
        <w:rPr>
          <w:color w:val="000000" w:themeColor="text1"/>
          <w:sz w:val="16"/>
          <w:szCs w:val="16"/>
        </w:rPr>
      </w:pPr>
    </w:p>
    <w:p w14:paraId="4C36A1B6" w14:textId="77777777" w:rsidR="00D60CF6" w:rsidRPr="00507A31" w:rsidRDefault="00D60CF6" w:rsidP="00507A31">
      <w:pPr>
        <w:jc w:val="both"/>
        <w:rPr>
          <w:color w:val="000000" w:themeColor="text1"/>
          <w:sz w:val="16"/>
          <w:szCs w:val="16"/>
        </w:rPr>
      </w:pPr>
      <w:r w:rsidRPr="00507A31">
        <w:rPr>
          <w:rStyle w:val="a7"/>
          <w:b w:val="0"/>
          <w:color w:val="000000" w:themeColor="text1"/>
          <w:sz w:val="16"/>
          <w:szCs w:val="16"/>
        </w:rPr>
        <w:t xml:space="preserve">13 мая 1930 </w:t>
      </w:r>
      <w:r w:rsidRPr="00507A31">
        <w:rPr>
          <w:color w:val="000000" w:themeColor="text1"/>
          <w:sz w:val="16"/>
          <w:szCs w:val="16"/>
        </w:rPr>
        <w:t>ЦИК и СНК приняли постановление «О мерах привлечения на производство инженерно-технического персонала» (12265).</w:t>
      </w:r>
    </w:p>
    <w:p w14:paraId="66E69829" w14:textId="77777777" w:rsidR="00D60CF6" w:rsidRPr="00507A31" w:rsidRDefault="00D60CF6" w:rsidP="00507A31">
      <w:pPr>
        <w:jc w:val="both"/>
        <w:rPr>
          <w:color w:val="000000" w:themeColor="text1"/>
          <w:sz w:val="16"/>
          <w:szCs w:val="16"/>
        </w:rPr>
      </w:pPr>
      <w:r w:rsidRPr="00507A31">
        <w:rPr>
          <w:color w:val="000000" w:themeColor="text1"/>
          <w:sz w:val="16"/>
          <w:szCs w:val="16"/>
        </w:rPr>
        <w:t> </w:t>
      </w:r>
    </w:p>
    <w:p w14:paraId="37683CF4" w14:textId="77777777" w:rsidR="006E734F" w:rsidRPr="00507A31" w:rsidRDefault="006E734F" w:rsidP="00507A31">
      <w:pPr>
        <w:jc w:val="both"/>
        <w:rPr>
          <w:color w:val="000000" w:themeColor="text1"/>
          <w:sz w:val="16"/>
          <w:szCs w:val="16"/>
        </w:rPr>
      </w:pPr>
      <w:r w:rsidRPr="00507A31">
        <w:rPr>
          <w:color w:val="000000" w:themeColor="text1"/>
          <w:sz w:val="16"/>
          <w:szCs w:val="16"/>
        </w:rPr>
        <w:t>13 мая 1930 г. при выходе из гавани Кронштадта сгорел ТКА № 81 (заводской № 46/26). В целях «конспирации» номер 81 был немедленно присвоен торпедному катеру с заводским № 40/20. Фундаменты под моторами «Райт-Тайфун» не выдерживали вибрации и разрушались.</w:t>
      </w:r>
    </w:p>
    <w:p w14:paraId="34F7313C" w14:textId="77777777" w:rsidR="006E734F" w:rsidRPr="00507A31" w:rsidRDefault="006E734F" w:rsidP="00507A31">
      <w:pPr>
        <w:jc w:val="both"/>
        <w:rPr>
          <w:color w:val="000000" w:themeColor="text1"/>
          <w:sz w:val="16"/>
          <w:szCs w:val="16"/>
        </w:rPr>
      </w:pPr>
      <w:r w:rsidRPr="00507A31">
        <w:rPr>
          <w:color w:val="000000" w:themeColor="text1"/>
          <w:sz w:val="16"/>
          <w:szCs w:val="16"/>
        </w:rPr>
        <w:t>Всего на заводе им. Марта в Ленинграде было построено 84 катера Ш-4 (15117).</w:t>
      </w:r>
    </w:p>
    <w:p w14:paraId="0A28A769" w14:textId="77777777" w:rsidR="006E734F" w:rsidRPr="00507A31" w:rsidRDefault="006E734F" w:rsidP="00507A31">
      <w:pPr>
        <w:jc w:val="both"/>
        <w:rPr>
          <w:color w:val="000000" w:themeColor="text1"/>
          <w:sz w:val="16"/>
          <w:szCs w:val="16"/>
        </w:rPr>
      </w:pPr>
    </w:p>
    <w:p w14:paraId="54AB2E1A" w14:textId="77777777" w:rsidR="006E734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61475CF" w14:textId="77777777" w:rsidR="006E734F" w:rsidRPr="00507A31" w:rsidRDefault="006E734F" w:rsidP="00507A31">
      <w:pPr>
        <w:autoSpaceDE w:val="0"/>
        <w:autoSpaceDN w:val="0"/>
        <w:adjustRightInd w:val="0"/>
        <w:jc w:val="both"/>
        <w:rPr>
          <w:iCs/>
          <w:color w:val="000000" w:themeColor="text1"/>
          <w:sz w:val="16"/>
          <w:szCs w:val="16"/>
        </w:rPr>
      </w:pPr>
    </w:p>
    <w:p w14:paraId="19F8624A" w14:textId="77777777" w:rsidR="006E734F" w:rsidRPr="00507A31" w:rsidRDefault="006E734F" w:rsidP="00507A31">
      <w:pPr>
        <w:jc w:val="both"/>
        <w:rPr>
          <w:color w:val="000000" w:themeColor="text1"/>
          <w:sz w:val="16"/>
          <w:szCs w:val="16"/>
        </w:rPr>
      </w:pPr>
      <w:r w:rsidRPr="00507A31">
        <w:rPr>
          <w:color w:val="000000" w:themeColor="text1"/>
          <w:sz w:val="16"/>
          <w:szCs w:val="16"/>
        </w:rPr>
        <w:t xml:space="preserve">13 мая в 1930 году завершился перелёт Сен-Луи (Сенегал) - Натал (Бразилия) на </w:t>
      </w:r>
      <w:hyperlink r:id="rId86" w:tgtFrame="_blank" w:history="1">
        <w:r w:rsidRPr="00507A31">
          <w:rPr>
            <w:color w:val="000000" w:themeColor="text1"/>
            <w:sz w:val="16"/>
            <w:szCs w:val="16"/>
          </w:rPr>
          <w:t xml:space="preserve">«Late 28». </w:t>
        </w:r>
      </w:hyperlink>
      <w:r w:rsidRPr="00507A31">
        <w:rPr>
          <w:color w:val="000000" w:themeColor="text1"/>
          <w:sz w:val="16"/>
          <w:szCs w:val="16"/>
        </w:rPr>
        <w:t>Экипаж пилота Жана Мермоза (Jean Mermoz, 1901 - 1936), штурмана Жана Дабри и радиста Леопольда Жимье на экземпляре "Compte de la Vaulx" с бортовым номером F-AJNQ, преодолел расстояние 3173,2 км в самой узкой части Атлантики. В Новый Свет были доставлены 200 кг почты из Франции (14890).</w:t>
      </w:r>
    </w:p>
    <w:p w14:paraId="68DF6D6C" w14:textId="77777777" w:rsidR="006E734F" w:rsidRPr="00507A31" w:rsidRDefault="006E734F" w:rsidP="00507A31">
      <w:pPr>
        <w:jc w:val="both"/>
        <w:rPr>
          <w:color w:val="000000" w:themeColor="text1"/>
          <w:sz w:val="16"/>
          <w:szCs w:val="16"/>
        </w:rPr>
      </w:pPr>
    </w:p>
    <w:p w14:paraId="5E75BF72" w14:textId="77777777" w:rsidR="006E734F" w:rsidRPr="00507A31" w:rsidRDefault="006E734F" w:rsidP="00507A31">
      <w:pPr>
        <w:jc w:val="both"/>
        <w:rPr>
          <w:color w:val="000000" w:themeColor="text1"/>
          <w:sz w:val="16"/>
          <w:szCs w:val="16"/>
        </w:rPr>
      </w:pPr>
      <w:r w:rsidRPr="00507A31">
        <w:rPr>
          <w:color w:val="000000" w:themeColor="text1"/>
          <w:sz w:val="16"/>
          <w:szCs w:val="16"/>
        </w:rPr>
        <w:t xml:space="preserve">13 мая в 1930 году изобретателю Винсенту Бурнелли (Vincent Justus Burnelli) был выдан патент США № 1758498 на самолёт с фюзеляжем, создающим подъемную силу, то есть, имеющий форму толстого крыла. В заявке указывалось, что такая схема не только улучшит взлетно-посадочные характеристики машины, но и увеличит полезный объем фюзеляжа, а также безопасность экипажа и пассажиров, так как фюзеляж можно сделать весьма жестким. Патент был реализован в американском транспортном самолете «Burnelli» «TR-1» и его дальнейшем развитии </w:t>
      </w:r>
      <w:hyperlink r:id="rId87" w:tgtFrame="_blank" w:history="1">
        <w:r w:rsidRPr="00507A31">
          <w:rPr>
            <w:color w:val="000000" w:themeColor="text1"/>
            <w:sz w:val="16"/>
            <w:szCs w:val="16"/>
          </w:rPr>
          <w:t>«Burnelli» «RВ-1».</w:t>
        </w:r>
      </w:hyperlink>
    </w:p>
    <w:p w14:paraId="663E51E0" w14:textId="77777777" w:rsidR="006E734F" w:rsidRPr="00507A31" w:rsidRDefault="006E734F" w:rsidP="00507A31">
      <w:pPr>
        <w:jc w:val="both"/>
        <w:rPr>
          <w:color w:val="000000" w:themeColor="text1"/>
          <w:sz w:val="16"/>
          <w:szCs w:val="16"/>
        </w:rPr>
      </w:pPr>
    </w:p>
    <w:p w14:paraId="7FD7F9EE" w14:textId="77777777" w:rsidR="003E5DD5"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B9C0D75" w14:textId="77777777" w:rsidR="003E5DD5" w:rsidRPr="00507A31" w:rsidRDefault="003E5DD5" w:rsidP="00507A31">
      <w:pPr>
        <w:autoSpaceDE w:val="0"/>
        <w:autoSpaceDN w:val="0"/>
        <w:adjustRightInd w:val="0"/>
        <w:jc w:val="both"/>
        <w:rPr>
          <w:iCs/>
          <w:color w:val="000000" w:themeColor="text1"/>
          <w:sz w:val="16"/>
          <w:szCs w:val="16"/>
        </w:rPr>
      </w:pPr>
    </w:p>
    <w:p w14:paraId="4CBD0DDB" w14:textId="77777777" w:rsidR="003E5DD5" w:rsidRPr="00507A31" w:rsidRDefault="003E5DD5" w:rsidP="00507A31">
      <w:pPr>
        <w:jc w:val="both"/>
        <w:rPr>
          <w:color w:val="000000" w:themeColor="text1"/>
          <w:sz w:val="16"/>
          <w:szCs w:val="16"/>
        </w:rPr>
      </w:pPr>
      <w:r w:rsidRPr="00507A31">
        <w:rPr>
          <w:color w:val="000000" w:themeColor="text1"/>
          <w:sz w:val="16"/>
          <w:szCs w:val="16"/>
        </w:rPr>
        <w:t>14 мая (предположительно) 1930 состоялась встреча представителя технического комитета Н.М.Тоскина с Кристи в Нью-Йорке, после чего на имя Халепского было отправлено 127 листов чертежей опытного танка, а также уведомление о том, что конструктор сам собирается посетить Москву.</w:t>
      </w:r>
    </w:p>
    <w:p w14:paraId="0BC967EC" w14:textId="77777777" w:rsidR="003E5DD5" w:rsidRPr="00507A31" w:rsidRDefault="003E5DD5" w:rsidP="00507A31">
      <w:pPr>
        <w:jc w:val="both"/>
        <w:rPr>
          <w:color w:val="000000" w:themeColor="text1"/>
          <w:sz w:val="16"/>
          <w:szCs w:val="16"/>
        </w:rPr>
      </w:pPr>
      <w:r w:rsidRPr="00507A31">
        <w:rPr>
          <w:color w:val="000000" w:themeColor="text1"/>
          <w:sz w:val="16"/>
          <w:szCs w:val="16"/>
        </w:rPr>
        <w:t>Спустя два месяца, 9 августа 1930 г., чертежи прибыли в Москву и попали в распоряжение главного конструкторского бюро при Государственном Всесоюзном орудийно-оружейно-пулеметном объединении под руководством С.П. Шукалова, и были возвращены в АБТУ только 13 октября после снятия копий. Не дожидаясь прибытия опытных образцов М1931 постановлением РВС СССР от 21 ноября 1930 года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48A488A6" w14:textId="77777777" w:rsidR="003E5DD5" w:rsidRPr="00507A31" w:rsidRDefault="003E5DD5" w:rsidP="00507A31">
      <w:pPr>
        <w:jc w:val="both"/>
        <w:rPr>
          <w:color w:val="000000" w:themeColor="text1"/>
          <w:sz w:val="16"/>
          <w:szCs w:val="16"/>
        </w:rPr>
      </w:pPr>
    </w:p>
    <w:p w14:paraId="6B1B1FD2" w14:textId="77777777" w:rsidR="005877F5" w:rsidRPr="00507A31" w:rsidRDefault="005877F5" w:rsidP="00507A31">
      <w:pPr>
        <w:jc w:val="both"/>
        <w:rPr>
          <w:color w:val="000000" w:themeColor="text1"/>
          <w:sz w:val="16"/>
          <w:szCs w:val="16"/>
        </w:rPr>
      </w:pPr>
      <w:r w:rsidRPr="00507A31">
        <w:rPr>
          <w:color w:val="000000" w:themeColor="text1"/>
          <w:sz w:val="16"/>
          <w:szCs w:val="16"/>
        </w:rPr>
        <w:t>14-го мая 1930 года.</w:t>
      </w:r>
    </w:p>
    <w:p w14:paraId="0AA09B20" w14:textId="77777777" w:rsidR="005877F5" w:rsidRPr="00507A31" w:rsidRDefault="005877F5" w:rsidP="00507A31">
      <w:pPr>
        <w:jc w:val="both"/>
        <w:rPr>
          <w:color w:val="000000" w:themeColor="text1"/>
          <w:sz w:val="16"/>
          <w:szCs w:val="16"/>
        </w:rPr>
      </w:pPr>
      <w:r w:rsidRPr="00507A31">
        <w:rPr>
          <w:color w:val="000000" w:themeColor="text1"/>
          <w:sz w:val="16"/>
          <w:szCs w:val="16"/>
        </w:rPr>
        <w:t>Показание Стыриковича Владислава Львовича от 14-го мая 1930 года.</w:t>
      </w:r>
    </w:p>
    <w:p w14:paraId="4E6BDA63" w14:textId="77777777" w:rsidR="005877F5" w:rsidRPr="00507A31" w:rsidRDefault="005877F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A5F7E9" w14:textId="77777777" w:rsidR="005877F5" w:rsidRPr="00507A31" w:rsidRDefault="005877F5" w:rsidP="00507A31">
      <w:pPr>
        <w:jc w:val="both"/>
        <w:rPr>
          <w:color w:val="000000" w:themeColor="text1"/>
          <w:sz w:val="16"/>
          <w:szCs w:val="16"/>
        </w:rPr>
      </w:pPr>
      <w:r w:rsidRPr="00507A31">
        <w:rPr>
          <w:color w:val="000000" w:themeColor="text1"/>
          <w:sz w:val="16"/>
          <w:szCs w:val="16"/>
        </w:rPr>
        <w:t>В дополнение к протоколу от 14/V — сообщаю, что директивы вредительства по военному производству на заводе ЛЕНМАШТРЕСТА были разработаны на совещании центральной] вредительской организации в Москве в [19]22 г. у ХРЕННИКОВА. Там, насколько помню, присутствовали БЕЛОНОЖКИН, КУТСКИЙ, ЛИСТ, МИЛЮКОВ.</w:t>
      </w:r>
    </w:p>
    <w:p w14:paraId="6C24675B" w14:textId="77777777" w:rsidR="005877F5" w:rsidRPr="00507A31" w:rsidRDefault="005877F5" w:rsidP="00507A31">
      <w:pPr>
        <w:jc w:val="both"/>
        <w:rPr>
          <w:color w:val="000000" w:themeColor="text1"/>
          <w:sz w:val="16"/>
          <w:szCs w:val="16"/>
        </w:rPr>
      </w:pPr>
      <w:r w:rsidRPr="00507A31">
        <w:rPr>
          <w:color w:val="000000" w:themeColor="text1"/>
          <w:sz w:val="16"/>
          <w:szCs w:val="16"/>
        </w:rPr>
        <w:t>За вредительскую работу от ХРЕННИКОВА я получал деньги для передачи САБЛИНУ, ВИНБЛАДУ, ИВАНОВУ — два раза. Первый получил — 6000 р., второй — 4000 р. и Иванов — 2500 р. Кроме того, получил деньги МОРОЗОВ — 3000 р., САМОЙЛОВ — 2000 р. Получил также ПОЛОВКО — 3000 р. Сам я получил — 8000 р. При вручении денег ХРЕННИКОВЫМ указывалась необходимость выполнения получающим лицам всех указаний организации и расширение ее деятельности. Такие же указания передавались и мною. Передача денег производилась в служебных кабинетах. ХРЕННИКОВЫМ мне указывалось, что деньги им получены от ТОРГПРОМа. Период времени [19)22-26 года. Из директоров прочих заводов получали: ИОЛИН — 3000 р., СОКОЛОВСКИЙ — 2000 р. и ХАРИТОНОВИЧ — 4000 р„ АНДРЕЗЕН — 1000 р. и РЕПП — 2500 р.</w:t>
      </w:r>
    </w:p>
    <w:p w14:paraId="4B9DF35C" w14:textId="77777777" w:rsidR="005877F5" w:rsidRPr="00507A31" w:rsidRDefault="005877F5" w:rsidP="00507A31">
      <w:pPr>
        <w:jc w:val="both"/>
        <w:rPr>
          <w:color w:val="000000" w:themeColor="text1"/>
          <w:sz w:val="16"/>
          <w:szCs w:val="16"/>
        </w:rPr>
      </w:pPr>
      <w:r w:rsidRPr="00507A31">
        <w:rPr>
          <w:color w:val="000000" w:themeColor="text1"/>
          <w:sz w:val="16"/>
          <w:szCs w:val="16"/>
        </w:rPr>
        <w:t>Относительно уничтожения печей в 1-й термической добавлю, что акт об их негодности был составлен неправильно (печи не были попорчены наводнением) и мною в заседании Правления этот вопрос был спешно проведен без указания на то, что печи забронированы и следовательно не могли быть уничтожены. На заводе вопрос был проведен САМОЙЛОВЫМ по указанию САБЛИНА.</w:t>
      </w:r>
    </w:p>
    <w:p w14:paraId="058E0072" w14:textId="77777777" w:rsidR="005877F5" w:rsidRPr="00507A31" w:rsidRDefault="005877F5" w:rsidP="00507A31">
      <w:pPr>
        <w:jc w:val="both"/>
        <w:rPr>
          <w:color w:val="000000" w:themeColor="text1"/>
          <w:sz w:val="16"/>
          <w:szCs w:val="16"/>
        </w:rPr>
      </w:pPr>
      <w:r w:rsidRPr="00507A31">
        <w:rPr>
          <w:color w:val="000000" w:themeColor="text1"/>
          <w:sz w:val="16"/>
          <w:szCs w:val="16"/>
        </w:rPr>
        <w:t>В изменение, точно вспомнив, указываю, что от ХРЕННИКОВА за покупку станков в Германии мною получено 20.000 марок.</w:t>
      </w:r>
    </w:p>
    <w:p w14:paraId="33B3B7BB" w14:textId="77777777" w:rsidR="005877F5" w:rsidRPr="00507A31" w:rsidRDefault="005877F5" w:rsidP="00507A31">
      <w:pPr>
        <w:jc w:val="both"/>
        <w:rPr>
          <w:color w:val="000000" w:themeColor="text1"/>
          <w:sz w:val="16"/>
          <w:szCs w:val="16"/>
        </w:rPr>
      </w:pPr>
      <w:r w:rsidRPr="00507A31">
        <w:rPr>
          <w:color w:val="000000" w:themeColor="text1"/>
          <w:sz w:val="16"/>
          <w:szCs w:val="16"/>
        </w:rPr>
        <w:t>В. СТЫРИКОВИЧ.</w:t>
      </w:r>
    </w:p>
    <w:p w14:paraId="109C621E" w14:textId="77777777" w:rsidR="005877F5" w:rsidRPr="00507A31" w:rsidRDefault="005877F5" w:rsidP="00507A31">
      <w:pPr>
        <w:jc w:val="both"/>
        <w:rPr>
          <w:color w:val="000000" w:themeColor="text1"/>
          <w:sz w:val="16"/>
          <w:szCs w:val="16"/>
        </w:rPr>
      </w:pPr>
      <w:r w:rsidRPr="00507A31">
        <w:rPr>
          <w:color w:val="000000" w:themeColor="text1"/>
          <w:sz w:val="16"/>
          <w:szCs w:val="16"/>
        </w:rPr>
        <w:t>Ст. Уполномоченный (Н. СЕМЕНОВ)</w:t>
      </w:r>
    </w:p>
    <w:p w14:paraId="5A6CE2ED" w14:textId="77777777" w:rsidR="005877F5" w:rsidRPr="00507A31" w:rsidRDefault="005877F5" w:rsidP="00507A31">
      <w:pPr>
        <w:jc w:val="both"/>
        <w:rPr>
          <w:color w:val="000000" w:themeColor="text1"/>
          <w:sz w:val="16"/>
          <w:szCs w:val="16"/>
        </w:rPr>
      </w:pPr>
      <w:r w:rsidRPr="00507A31">
        <w:rPr>
          <w:color w:val="000000" w:themeColor="text1"/>
          <w:sz w:val="16"/>
          <w:szCs w:val="16"/>
        </w:rPr>
        <w:t>ПОКАЗАНИЕ СТЫРИКОВИЧА Владислава Львовича.</w:t>
      </w:r>
    </w:p>
    <w:p w14:paraId="1E4A899F" w14:textId="77777777" w:rsidR="005877F5" w:rsidRPr="00507A31" w:rsidRDefault="005877F5" w:rsidP="00507A31">
      <w:pPr>
        <w:jc w:val="both"/>
        <w:rPr>
          <w:color w:val="000000" w:themeColor="text1"/>
          <w:sz w:val="16"/>
          <w:szCs w:val="16"/>
        </w:rPr>
      </w:pPr>
      <w:r w:rsidRPr="00507A31">
        <w:rPr>
          <w:color w:val="000000" w:themeColor="text1"/>
          <w:sz w:val="16"/>
          <w:szCs w:val="16"/>
        </w:rPr>
        <w:t>От 14-го мая 1930 года.</w:t>
      </w:r>
    </w:p>
    <w:p w14:paraId="2C8E6557" w14:textId="77777777" w:rsidR="005877F5" w:rsidRPr="00507A31" w:rsidRDefault="005877F5" w:rsidP="00507A31">
      <w:pPr>
        <w:jc w:val="both"/>
        <w:rPr>
          <w:color w:val="000000" w:themeColor="text1"/>
          <w:sz w:val="16"/>
          <w:szCs w:val="16"/>
        </w:rPr>
      </w:pPr>
      <w:r w:rsidRPr="00507A31">
        <w:rPr>
          <w:color w:val="000000" w:themeColor="text1"/>
          <w:sz w:val="16"/>
          <w:szCs w:val="16"/>
        </w:rPr>
        <w:t>Вредительство на заводе «Красный Путиловец».</w:t>
      </w:r>
    </w:p>
    <w:p w14:paraId="6DD28681" w14:textId="77777777" w:rsidR="005877F5" w:rsidRPr="00507A31" w:rsidRDefault="005877F5" w:rsidP="00507A31">
      <w:pPr>
        <w:jc w:val="both"/>
        <w:rPr>
          <w:color w:val="000000" w:themeColor="text1"/>
          <w:sz w:val="16"/>
          <w:szCs w:val="16"/>
        </w:rPr>
      </w:pPr>
      <w:r w:rsidRPr="00507A31">
        <w:rPr>
          <w:color w:val="000000" w:themeColor="text1"/>
          <w:sz w:val="16"/>
          <w:szCs w:val="16"/>
        </w:rPr>
        <w:t>1)  Военная промышленность. — Вредительство по военной промышленности распадается на два периода: первый, примерно, до [19J24-25 года, когда не было на заводе военных заказов[,] и затем последующий, когда завод стал исполнять военные заказы. В первый период мною были получены указания от ХРЕННИКОВА и БЕЛОНОЖКИНА о необходимости под всякими логическими предлогами ликвидировать существующие военные мастерские или обессилить их. Такими предлогами должны были быть — или перенос производства и оборудования на другие заводы, что связано, естественно, с разрушением производства, или уничтожение мастерских и оборудования] под предлогом его изношенности или негодности, и, наконец, замена военного производства каким-либо гражданским. Таковые директивы были переданы мною техническому директору ДМИТРИЕВУ, а затем САБЛИНУ, который в [19]23 или [19]24 году, точно не помню, кажется [19]24 г., заменил ДМИТРИЕВА. В дальнейшем, по периферии работы эти осуществлялись на заводе гл[авным] механиком МОРОЗОВЫМ и ВЕТЧИНКИНЫМ, их помощником САМОЙЛОВЫМ и производственниками: КОЖЕВЫМ, ПАВЛИЧЕКОМ, затем ЛИПНИЦКИМ, НАГОРОВЫМ и ПОЛОВКО и в правлении ДУКЕЛЬСКИМ.</w:t>
      </w:r>
    </w:p>
    <w:p w14:paraId="407F0324" w14:textId="77777777" w:rsidR="005877F5" w:rsidRPr="00507A31" w:rsidRDefault="005877F5" w:rsidP="00507A31">
      <w:pPr>
        <w:jc w:val="both"/>
        <w:rPr>
          <w:color w:val="000000" w:themeColor="text1"/>
          <w:sz w:val="16"/>
          <w:szCs w:val="16"/>
        </w:rPr>
      </w:pPr>
      <w:r w:rsidRPr="00507A31">
        <w:rPr>
          <w:color w:val="000000" w:themeColor="text1"/>
          <w:sz w:val="16"/>
          <w:szCs w:val="16"/>
        </w:rPr>
        <w:t xml:space="preserve">Не имея возможности восстановить по наличию без документов все детали этой вредительской работы, что я сделаю при рассмотрении соответствующих документов, тем более, что многие распоряжения и совещания с указанными лицами производились лично МИХАЙЛОВЫМ и ПУДАЛОВЫМ, помимо меня, в данное время я принужден ограничиться только более общими сообщениями, которые сохранились в моей памяти. Довоенное производство Путиловского завода распадалось в главном: на орудийное дело, мелкие снаряды (шрапнели), крупные снаряды и артиллерийский] обоз. Из них наиболее крупным было орудийное дело. Примерно, в [19]23 г. был допущен сознательно вывоз части оборудования и полуфабрикатов одного типа орудия (кажется, полевой пушки — точно не помню) на орудийный завод под Москвой, который не занимался этим типом и не мог быстро наладить производство. Затем, под особыми настояниями ХРЕННИКОВА и БЕЛОНОЖКИНА, следовало обессилить оборудование артиллерийской] мастерской, заняв ее гражданским производством. ДМИТРИЕВ, КОЖЕВ и ПАВЛИЧЕК стали усиленно заниматься этим вопросом, и т. к. тогда ([19]23—24 г.) был на очереди вопрос о механизации сельского хозяйства, то т. к. в то время московская организация не придавала особой важности этому делу, по указанию КУТСКОГО было решено остановиться на тракторном деле. Был ряд московских комиссий по этому делу и одной из них, в которой участвовал КУТСКИЙ, БОЙЧЕВСКИЙ, БЕЛЯНЧИКОВ и еще один профессор (фамилию не помню)[,] было окончательно утверждено </w:t>
      </w:r>
      <w:r w:rsidRPr="00507A31">
        <w:rPr>
          <w:color w:val="000000" w:themeColor="text1"/>
          <w:sz w:val="16"/>
          <w:szCs w:val="16"/>
        </w:rPr>
        <w:lastRenderedPageBreak/>
        <w:t>производство трактора «Фордзон» типа маломощного для нашего земледелия. В вопросе тракторного дела участие принимал также и БЕЛОНОЖКИН, как непременный эксперт Главметалла. Когда вступил в должность директора САБЛИН, ему обо всем этом было сообщено и началось развитие тракторного дела, темпом крайне медленным, о чем я буду говорить особо. Таким образом, была занята гражданским производством большая часть арт. мастерской. Затем ДМИТРИЕВЫМ или САБЛИНЫМ (точно не помню) была занята под фабзавуч одна вспомогательная мастерская. Так как в [19] 19 или [19]20 г. (точно не знаю[,] заво[д] был тогда в Петро&lt;...&gt;) шрапнельная мастерская сгорела частично, был поднят вопрос, доказанный МОРОЗОВЫМ и САМОЙЛОВЫМ — о необходимости разработки этой мастерской и мелких ее вспомогательных. Вместо проекта ее реставрации был выдвинут нереальный проект (в [19]24 или [19]25 г.) постройки новой мастерской, требующий значительных затрат и старая мастерская была разобрана. В [19]24—25 г. САБЛИНЫМ через коммерческого] директора РОЗОВСКОГО были ликвидированы путем продажи все полуфабрикаты (части колес и проч.) обозной мастерской, и если я не ошибаюсь, часть ее была отдана под склады. В [19]25 г. САБЛИНЫМ и ЗАХАРОВЫМ, с моего ведома, была занята мастерская крупных снарядов под 2-ю механическую под предлогом дражного дела, хотя таковое можно было развивать в 1-ой механической, не загружая ее несоответственными ей заказами по текстильному машиностроению и путем введения смен и частично, до реконструкции завода, более использовать площади паровозо-сборочной мастерской, заняв один или два пролета драгами. В [19]28 г. были ликвидированы печи для тяжелых снарядов. Примерно в [19]23-24 г. завод начал получать военные задания. Первым из них был ремонт военных автомобилей, затем постройка орудий и разработка их новых проектов. В это же время начали работать ДУКЕЛЬСКИЙ и ЛИПНИЦКИЙ. Так как ДУКЕЛЬСКИЙ и ЛИПНИЦКИЙ являлись крупными специалистами по артиллерии и сами непосредственно имели связь и сношения с Артиллерийским] Управлением] в Москве, я не касался деталей их вредительской работы, как в части разработки мобзаданий, которые они совместно с САБЛИНЫМ проводили через МИХАЙЛОВА и ПУДАЛОВА, всячески их сокращая, так и в части деталей оперативных работ. Мое вмешательство в это дело, не как специалиста по артиллерии, при общем руководстве этим делом ПУДАЛОВА, могло казаться странным. Мне, однако, известн[ы] из сообщений мне САБЛИНА и ДУКЕЛЬСКОГО следующие обстоятельства: при приеме заказов устанавливались повышенные цены и возможно длительные сроки. В исполнении заказов устанавливались медлительность, для чего мастерская не загружалась сменами, производилась путаница в заказах полуфабрикатов и не следили за количеством металла, чтобы не понижать брака[,] и сроки не выдерживались. В этой работе участвовали и металлурги ПОЛОВКО и НАГОРОВ. Вместе с тем, всячески преуменьшалась производственная возможность артиллерийской] мастерской. Металл соответственного качества для стволов орудий и для снарядов изготовлялся (зав. им. К. Либкнехта) без всяких указаний и руководства. В исполнение проектов новых систем ДУКЕЛЬСКИМ и ЛИПНИЦКИМ вносились всякие искусственные задержки. Больших подробностей сейчас не помню, но готов их уточнить по рассмотрению документов.</w:t>
      </w:r>
    </w:p>
    <w:p w14:paraId="63A854B7" w14:textId="77777777" w:rsidR="005877F5" w:rsidRPr="00507A31" w:rsidRDefault="005877F5" w:rsidP="00507A31">
      <w:pPr>
        <w:jc w:val="both"/>
        <w:rPr>
          <w:color w:val="000000" w:themeColor="text1"/>
          <w:sz w:val="16"/>
          <w:szCs w:val="16"/>
        </w:rPr>
      </w:pPr>
      <w:r w:rsidRPr="00507A31">
        <w:rPr>
          <w:color w:val="000000" w:themeColor="text1"/>
          <w:sz w:val="16"/>
          <w:szCs w:val="16"/>
        </w:rPr>
        <w:t>2) Тракторостроение. — Как мною указано выше, КУТСКИМ и БЕЛЯНЧИКОВЫМ был утвержден неудачный тип трактора «Фордзон». Однако когда жизнь стала доказывать целесообразность механизации в сельском хозяйстве и начали возникать мысли, получившие в настоящее время полное развитие, о коллективизации в обработке земли центральная организация через БЕЛОНОЖКИНА и КУТСКОГО дала мне указания и САБЛИНУ, который также в ней участвовал, о чем вчера я забыл упомянуть, всячески задерживать развитие тракторостроения и по линии оперативных работ и по линии реконструкции. Благодаря этому, КОЖЕВЫМ и ПАВЛИЧЕКОМ, а после смерти первого — вторым, а далее ИВАНОВЫМ, ставленником КУТСКОГО, стали производиться разнообразные задержки в развитии производства. Таким образом, до [19]27/28 года шла медленная работа кустарного характера. Медленно разрабатывались чертежи, не принимались ПОЛОВКО и НАГОРНЫМ меры по подысканию соответственного металла, мастерская не приводилась в порядок, дававший возможность быстро поставить станки, заказанные в [19]26 г. В выборе оборудования была проведена небрежность. Не проводилась возможная рационализация и планирование, и себестоимость трактора была высока. В [19]26 г. много было выбрано на основании материалов САБЛИНА и ПАВЛИЧЕКА оборудования в Германии, недостаточно подходящего] для работ трактора Фордзона, хотя надо сказать, что другого в Германии не было и надо было по существу базироваться на Америку. Должен здесь показать, что ХРЕННИКОВЫМ мне были переданы деньги 10.000 марок из общей суммы, к[отор]ую я не знаю, полученной им как комиссионные, и было указано, что за это надо оказать послабление при приемке станков в СССР. Зная недостаточно подходящие качества станков для тракторной мастерской, я дал указание САБЛИНУ медленно установить станки, чтобы прошло гарантийное время, что и было им, САМОЙЛОВЫМ и ИВАНОВЫМ исполнено под предлогом занятости мастерской старыми станками и вообще держа прибывшие станки на складе. Выпустив в [19]27/28 г. около 1 000 тракторов, мною, САБЛИНЫМ, и ИВАНОВЫМ, согласно указаний БЕЛОНОЖКИНА и КУТСКОГО, решено было в следующие годы держаться темпа до 3.000 тр[акторов] в последний год пятилетки. Когда в [19]28 г. была выдвинута программа 3.000 тр[акторов] в [19]28/29 г. САБЛИН и ИВАНОВ оказывали возможное сопротивление. То же произошло при задании 10.000 тр[акторов] в [19]29/30 г. Приняв под приказом эти задания, САБЛИН, ИВАНОВ, ПОЛОВКО, ВЕТЧИНКИН и САМОЙЛОВ принимали, с моего ведома, по докладам САБЛИНА меры к невыполнению задании. В общем таковые сводились, медленный набор рабочих и технического] персонала, малая сменность, отсутствие планирования, брак в поковках и литье, медленная установка и налаживание в работу станков и во всяких вспомогательных строительных работах. Узкие места, как например, изготовление штампов — умышленно не уничтожались. Реконструкция тракторостроения будет освещена в отделе реконструкции [«]Красн. Путиловца[»]. Такова в общих чертах история вредительства по тракторостроению. Остальное смогу дополнить по документам.</w:t>
      </w:r>
    </w:p>
    <w:p w14:paraId="4BC6EC1D" w14:textId="77777777" w:rsidR="005877F5" w:rsidRPr="00507A31" w:rsidRDefault="005877F5" w:rsidP="00507A31">
      <w:pPr>
        <w:jc w:val="both"/>
        <w:rPr>
          <w:color w:val="000000" w:themeColor="text1"/>
          <w:sz w:val="16"/>
          <w:szCs w:val="16"/>
        </w:rPr>
      </w:pPr>
      <w:r w:rsidRPr="00507A31">
        <w:rPr>
          <w:color w:val="000000" w:themeColor="text1"/>
          <w:sz w:val="16"/>
          <w:szCs w:val="16"/>
        </w:rPr>
        <w:t>3)  Паровозостроение. — В паровозостроении, получившем после революции на Пут[иловском] заводе восстановление сначала в постройке паровозов серии Л, а затем с 1925 г. паровозов нового типа М, вредительская работа, указанная БЕЛОНОЖКИНЫМ, сводилась к возможно неудачной проектировке новых типов паровозов, к дороговизне их выполнения и [к] возможной ликвидации этого дела на заводе. Последнее поддерживалось по линии Главметалла КУТСКИМ и затем МИЛЮКОВЫМ, а по линии Гипромеза — самим БЕЛОНОЖКИНЫМ. САБЛИНЫМ и ЯДОВЫМ с моего ведома введены были (точно не знаю какие) дефекты в конструкции паровоза М, что вызвало настоящий перерыв в их постройке после первых 55 паровозов, а также был ЯДОВЫМ разработан неудовлетворительный проект нового паровоза Т, не подходящего по своему весу к нашей жел. дор. сети. Затем, со стороны Главметалла (МИЛЮКОВА) начался усиленный нажим на др. заводы и проч., к[ото]рый и привел к тому, что с [ 19]30/31 это производство прекращается. Для доказательства этого мною и САБЛИНЫМ была поддержана мысль о замене паровозостроения на Пут[иловском] заводе турбостроением. Окончательно вопрос прекращения паровозостроения был проведен МИЛЮКОВЫМ в комиссии КОССИОРА в [19]29 г. Согласно условленности с ним я и САБЛИН должны были против этого возражать, но в форме недостаточно убедительной. В части увеличения себестоимости паровоза, возможных опозданий САБЛИНЫМ проводились в аппарате завода соответствующие мероприятия. Подробностей сейчас не помню.</w:t>
      </w:r>
    </w:p>
    <w:p w14:paraId="295CE323" w14:textId="77777777" w:rsidR="005877F5" w:rsidRPr="00507A31" w:rsidRDefault="005877F5" w:rsidP="00507A31">
      <w:pPr>
        <w:jc w:val="both"/>
        <w:rPr>
          <w:color w:val="000000" w:themeColor="text1"/>
          <w:sz w:val="16"/>
          <w:szCs w:val="16"/>
        </w:rPr>
      </w:pPr>
      <w:r w:rsidRPr="00507A31">
        <w:rPr>
          <w:color w:val="000000" w:themeColor="text1"/>
          <w:sz w:val="16"/>
          <w:szCs w:val="16"/>
        </w:rPr>
        <w:t>2-а. Тракторостроение. Я забыл упомянуть, что по указаниям КУТ- СКОГО и БЕЛОНОЖКИНА следовало особенно задержать изготовление запасных частей как главной базы эксплоатации трактора. Эта мера на заводе усиленно проводилась САБЛИНЫМ и ИВАНОВЫМ. С моей же стороны через директоров заводов ТРАХТЕНБЕРГА и ВЕЙСА задерживалось развитие производства запасных частей на заводах им. Энгельса и К. Маркса. На зав [оде] К. Либкнехта в этом направлении работал КАРГОПОЛОВ, который сам контактировался с Путиловским заводом.</w:t>
      </w:r>
    </w:p>
    <w:p w14:paraId="6B827DF2" w14:textId="77777777" w:rsidR="005877F5" w:rsidRPr="00507A31" w:rsidRDefault="005877F5" w:rsidP="00507A31">
      <w:pPr>
        <w:jc w:val="both"/>
        <w:rPr>
          <w:color w:val="000000" w:themeColor="text1"/>
          <w:sz w:val="16"/>
          <w:szCs w:val="16"/>
        </w:rPr>
      </w:pPr>
      <w:r w:rsidRPr="00507A31">
        <w:rPr>
          <w:color w:val="000000" w:themeColor="text1"/>
          <w:sz w:val="16"/>
          <w:szCs w:val="16"/>
        </w:rPr>
        <w:t>4)  Общее машиностроение. — Согласно указаний КУТСКОГО вредительство здесь заключалось в неудовлетворительных конструкциях, загрузке мастерской неподходящими заказами, которые могли бы исполняться в других местах и неудовлетворительными по качеству изделий. ЕЛЬЦОВ, зав. конструкторским отделом, по указанию САБЛИНА проводил эти директивы в части проектной. В общем разрабатываемые им механизмы были тяжелые, требовали много металла и были сложны и трудны в исполнении. Как пример, могу указать углеперегружатель непрерывного действия для НКПСа, который оказался совершенно неудовлетворителен, крайне громоздкие и тяжелый краны для Р. Дизеля, чрезвычайно тяжелые конструкции для Замовгальской и Волховской гидростанций. По мастерской, согласно указаний САБЛИНА и с моего ведома[,] ЗАХАРОВ стал усиленно защищать загрузку мастерской текстильными машинами, которые были малоподходящими для производства Пут[иловского] завода и не давали возможности развиваться драгостроению. Планировка велась ЗАХАРОВЫМ сознательно плохо, производственная возможность мастерской не использовалась и сроки заказов не выдерживались. Подробностей по дражному делу дать не могу, т. к. его не касался и оно велось инж. Правления КУЗЬМИНЫМ и помощником САБЛИНА — ЧЕБЫШЕВЫМ. Мне известно через САБЛИНА, что здесь применялась задержка в сроках изготовления путем всевозможных неувязок. Когда в [19]29 г. потребовалось усиление дражного дела[,] ЧЕБЫШЕВЫМ и ЗАХАРОВЫМ был поставлен целый ряд трудновыполнимых условий (немедленная выписка оборудования и пр.). Между тем, в значительной мере можно было усилить выпуск рационализацией имеемого. Выбор типа драг в Америке осуществлялся...(18353).</w:t>
      </w:r>
    </w:p>
    <w:p w14:paraId="08268AA7" w14:textId="77777777" w:rsidR="005877F5" w:rsidRPr="00507A31" w:rsidRDefault="005877F5" w:rsidP="00507A31">
      <w:pPr>
        <w:jc w:val="both"/>
        <w:rPr>
          <w:color w:val="000000" w:themeColor="text1"/>
          <w:sz w:val="16"/>
          <w:szCs w:val="16"/>
        </w:rPr>
      </w:pPr>
    </w:p>
    <w:p w14:paraId="49A1E523" w14:textId="77777777" w:rsidR="005877F5" w:rsidRPr="00507A31" w:rsidRDefault="005877F5" w:rsidP="00507A31">
      <w:pPr>
        <w:jc w:val="both"/>
        <w:rPr>
          <w:color w:val="000000" w:themeColor="text1"/>
          <w:sz w:val="16"/>
          <w:szCs w:val="16"/>
        </w:rPr>
      </w:pPr>
      <w:r w:rsidRPr="00507A31">
        <w:rPr>
          <w:color w:val="000000" w:themeColor="text1"/>
          <w:sz w:val="16"/>
          <w:szCs w:val="16"/>
        </w:rPr>
        <w:t>14-го мая 1930 года</w:t>
      </w:r>
    </w:p>
    <w:p w14:paraId="62E03998" w14:textId="77777777" w:rsidR="005877F5" w:rsidRPr="00507A31" w:rsidRDefault="005877F5" w:rsidP="00507A31">
      <w:pPr>
        <w:jc w:val="both"/>
        <w:rPr>
          <w:color w:val="000000" w:themeColor="text1"/>
          <w:sz w:val="16"/>
          <w:szCs w:val="16"/>
        </w:rPr>
      </w:pPr>
      <w:r w:rsidRPr="00507A31">
        <w:rPr>
          <w:color w:val="000000" w:themeColor="text1"/>
          <w:sz w:val="16"/>
          <w:szCs w:val="16"/>
        </w:rPr>
        <w:t>Показание Стыриковича Владислава Львовича от 14-го мая 1930 года.</w:t>
      </w:r>
    </w:p>
    <w:p w14:paraId="4F0E59CE" w14:textId="77777777" w:rsidR="005877F5" w:rsidRPr="00507A31" w:rsidRDefault="005877F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49808A7" w14:textId="77777777" w:rsidR="005877F5" w:rsidRPr="00507A31" w:rsidRDefault="005877F5" w:rsidP="00507A31">
      <w:pPr>
        <w:jc w:val="both"/>
        <w:rPr>
          <w:color w:val="000000" w:themeColor="text1"/>
          <w:sz w:val="16"/>
          <w:szCs w:val="16"/>
        </w:rPr>
      </w:pPr>
      <w:r w:rsidRPr="00507A31">
        <w:rPr>
          <w:color w:val="000000" w:themeColor="text1"/>
          <w:sz w:val="16"/>
          <w:szCs w:val="16"/>
        </w:rPr>
        <w:t>В дополнение к протоколу от 14/V — сообщаю, что директивы вредительства по военному производству на заводе ЛЕНМАШТРЕСТА были разработаны на совещании центральной] вредительской организации в Москве в [19]22 г. у ХРЕННИКОВА. Там, насколько помню, присутствовали БЕЛОНОЖКИН, КУТСКИЙ, ЛИСТ, МИЛЮКОВ.</w:t>
      </w:r>
    </w:p>
    <w:p w14:paraId="0790E030" w14:textId="77777777" w:rsidR="005877F5" w:rsidRPr="00507A31" w:rsidRDefault="005877F5" w:rsidP="00507A31">
      <w:pPr>
        <w:jc w:val="both"/>
        <w:rPr>
          <w:color w:val="000000" w:themeColor="text1"/>
          <w:sz w:val="16"/>
          <w:szCs w:val="16"/>
        </w:rPr>
      </w:pPr>
      <w:r w:rsidRPr="00507A31">
        <w:rPr>
          <w:color w:val="000000" w:themeColor="text1"/>
          <w:sz w:val="16"/>
          <w:szCs w:val="16"/>
        </w:rPr>
        <w:t>За вредительскую работу от ХРЕННИКОВА я получал деньги для передачи САБЛИНУ, ВИНБЛАДУ, ИВАНОВУ — два раза. Первый получил — 6000 р., второй — 4000 р. и Иванов — 2500 р. Кроме того, получил деньги МОРОЗОВ — 3000 р., САМОЙЛОВ — 2000 р. Получил также ПОЛОВКО — 3000 р. Сам я получил — 8000 р. При вручении денег ХРЕННИКОВЫМ указывалась необходимость выполнения получающим лицам всех указаний организации и расширение ее деятельности. Такие же указания передавались и мною. Передача денег производилась в служебных кабинетах. ХРЕННИКОВЫМ мне указывалось, что деньги им получены от ТОРГПРОМа. Период времени [19)22-26 года. Из директоров прочих заводов получали: ИОЛИН — 3000 р., СОКОЛОВСКИЙ — 2000 р. и ХАРИТОНОВИЧ — 4000 р„ АНДРЕЗЕН — 1000 р. и РЕПП — 2500 р.</w:t>
      </w:r>
    </w:p>
    <w:p w14:paraId="5BF54C1B" w14:textId="77777777" w:rsidR="005877F5" w:rsidRPr="00507A31" w:rsidRDefault="005877F5" w:rsidP="00507A31">
      <w:pPr>
        <w:jc w:val="both"/>
        <w:rPr>
          <w:color w:val="000000" w:themeColor="text1"/>
          <w:sz w:val="16"/>
          <w:szCs w:val="16"/>
        </w:rPr>
      </w:pPr>
      <w:r w:rsidRPr="00507A31">
        <w:rPr>
          <w:color w:val="000000" w:themeColor="text1"/>
          <w:sz w:val="16"/>
          <w:szCs w:val="16"/>
        </w:rPr>
        <w:lastRenderedPageBreak/>
        <w:t>Относительно уничтожения печей в 1-й термической добавлю, что акт об их негодности был составлен неправильно (печи не были попорчены наводнением) и мною в заседании Правления этот вопрос был спешно проведен без указания на то, что печи забронированы и следовательно не могли быть уничтожены. На заводе вопрос был проведен САМОЙЛОВЫМ по указанию САБЛИНА.</w:t>
      </w:r>
    </w:p>
    <w:p w14:paraId="6C758A43" w14:textId="77777777" w:rsidR="005877F5" w:rsidRPr="00507A31" w:rsidRDefault="005877F5" w:rsidP="00507A31">
      <w:pPr>
        <w:jc w:val="both"/>
        <w:rPr>
          <w:color w:val="000000" w:themeColor="text1"/>
          <w:sz w:val="16"/>
          <w:szCs w:val="16"/>
        </w:rPr>
      </w:pPr>
      <w:r w:rsidRPr="00507A31">
        <w:rPr>
          <w:color w:val="000000" w:themeColor="text1"/>
          <w:sz w:val="16"/>
          <w:szCs w:val="16"/>
        </w:rPr>
        <w:t>В изменение, точно вспомнив, указываю, что от ХРЕННИКОВА за покупку станков в Германии мною получено 20.000 марок.</w:t>
      </w:r>
    </w:p>
    <w:p w14:paraId="7446201A" w14:textId="77777777" w:rsidR="005877F5" w:rsidRPr="00507A31" w:rsidRDefault="005877F5" w:rsidP="00507A31">
      <w:pPr>
        <w:jc w:val="both"/>
        <w:rPr>
          <w:color w:val="000000" w:themeColor="text1"/>
          <w:sz w:val="16"/>
          <w:szCs w:val="16"/>
        </w:rPr>
      </w:pPr>
      <w:r w:rsidRPr="00507A31">
        <w:rPr>
          <w:color w:val="000000" w:themeColor="text1"/>
          <w:sz w:val="16"/>
          <w:szCs w:val="16"/>
        </w:rPr>
        <w:t>В. СТЫРИКОВИЧ.</w:t>
      </w:r>
    </w:p>
    <w:p w14:paraId="414A77B6" w14:textId="77777777" w:rsidR="005877F5" w:rsidRPr="00507A31" w:rsidRDefault="005877F5" w:rsidP="00507A31">
      <w:pPr>
        <w:jc w:val="both"/>
        <w:rPr>
          <w:color w:val="000000" w:themeColor="text1"/>
          <w:sz w:val="16"/>
          <w:szCs w:val="16"/>
        </w:rPr>
      </w:pPr>
      <w:r w:rsidRPr="00507A31">
        <w:rPr>
          <w:color w:val="000000" w:themeColor="text1"/>
          <w:sz w:val="16"/>
          <w:szCs w:val="16"/>
        </w:rPr>
        <w:t>Ст. Уполномоченный (Н. СЕМЕНОВ)</w:t>
      </w:r>
    </w:p>
    <w:p w14:paraId="60DF5B1B" w14:textId="77777777" w:rsidR="005877F5" w:rsidRPr="00507A31" w:rsidRDefault="005877F5" w:rsidP="00507A31">
      <w:pPr>
        <w:jc w:val="both"/>
        <w:rPr>
          <w:color w:val="000000" w:themeColor="text1"/>
          <w:sz w:val="16"/>
          <w:szCs w:val="16"/>
        </w:rPr>
      </w:pPr>
      <w:r w:rsidRPr="00507A31">
        <w:rPr>
          <w:color w:val="000000" w:themeColor="text1"/>
          <w:sz w:val="16"/>
          <w:szCs w:val="16"/>
        </w:rPr>
        <w:t>ПОКАЗАНИЕ СТЫРИКОВИЧА Владислава Львовича.</w:t>
      </w:r>
    </w:p>
    <w:p w14:paraId="73B6FA6A" w14:textId="77777777" w:rsidR="005877F5" w:rsidRPr="00507A31" w:rsidRDefault="005877F5" w:rsidP="00507A31">
      <w:pPr>
        <w:jc w:val="both"/>
        <w:rPr>
          <w:color w:val="000000" w:themeColor="text1"/>
          <w:sz w:val="16"/>
          <w:szCs w:val="16"/>
        </w:rPr>
      </w:pPr>
      <w:r w:rsidRPr="00507A31">
        <w:rPr>
          <w:color w:val="000000" w:themeColor="text1"/>
          <w:sz w:val="16"/>
          <w:szCs w:val="16"/>
        </w:rPr>
        <w:t>От 14-го мая 1930 года.</w:t>
      </w:r>
    </w:p>
    <w:p w14:paraId="4DB1AC05" w14:textId="77777777" w:rsidR="005877F5" w:rsidRPr="00507A31" w:rsidRDefault="005877F5" w:rsidP="00507A31">
      <w:pPr>
        <w:jc w:val="both"/>
        <w:rPr>
          <w:color w:val="000000" w:themeColor="text1"/>
          <w:sz w:val="16"/>
          <w:szCs w:val="16"/>
        </w:rPr>
      </w:pPr>
      <w:r w:rsidRPr="00507A31">
        <w:rPr>
          <w:color w:val="000000" w:themeColor="text1"/>
          <w:sz w:val="16"/>
          <w:szCs w:val="16"/>
        </w:rPr>
        <w:t>Вредительство на заводе «Красный Путиловец».</w:t>
      </w:r>
    </w:p>
    <w:p w14:paraId="34210ADE" w14:textId="77777777" w:rsidR="005877F5" w:rsidRPr="00507A31" w:rsidRDefault="005877F5" w:rsidP="00507A31">
      <w:pPr>
        <w:jc w:val="both"/>
        <w:rPr>
          <w:color w:val="000000" w:themeColor="text1"/>
          <w:sz w:val="16"/>
          <w:szCs w:val="16"/>
        </w:rPr>
      </w:pPr>
      <w:r w:rsidRPr="00507A31">
        <w:rPr>
          <w:color w:val="000000" w:themeColor="text1"/>
          <w:sz w:val="16"/>
          <w:szCs w:val="16"/>
        </w:rPr>
        <w:t>1)  Военная промышленность. — Вредительство по военной промышленности распадается на два периода: первый, примерно, до [19J24-25 года, когда не было на заводе военных заказов[,] и затем последующий, когда завод стал исполнять военные заказы. В первый период мною были получены указания от ХРЕННИКОВА и БЕЛОНОЖКИНА о необходимости под всякими логическими предлогами ликвидировать существующие военные мастерские или обессилить их. Такими предлогами должны были быть — или перенос производства и оборудования на другие заводы, что связано, естественно, с разрушением производства, или уничтожение мастерских и оборудования] под предлогом его изношенности или негодности, и, наконец, замена военного производства каким-либо гражданским. Таковые директивы были переданы мною техническому директору ДМИТРИЕВУ, а затем САБЛИНУ, который в [19]23 или [19]24 году, точно не помню, кажется [19]24 г., заменил ДМИТРИЕВА. В дальнейшем, по периферии работы эти осуществлялись на заводе гл[авным] механиком МОРОЗОВЫМ и ВЕТЧИНКИНЫМ, их помощником САМОЙЛОВЫМ и производственниками: КОЖЕВЫМ, ПАВЛИЧЕКОМ, затем ЛИПНИЦКИМ, НАГОРОВЫМ и ПОЛОВКО и в правлении ДУКЕЛЬСКИМ.</w:t>
      </w:r>
    </w:p>
    <w:p w14:paraId="72AAB253" w14:textId="77777777" w:rsidR="005877F5" w:rsidRPr="00507A31" w:rsidRDefault="005877F5" w:rsidP="00507A31">
      <w:pPr>
        <w:jc w:val="both"/>
        <w:rPr>
          <w:color w:val="000000" w:themeColor="text1"/>
          <w:sz w:val="16"/>
          <w:szCs w:val="16"/>
        </w:rPr>
      </w:pPr>
      <w:r w:rsidRPr="00507A31">
        <w:rPr>
          <w:color w:val="000000" w:themeColor="text1"/>
          <w:sz w:val="16"/>
          <w:szCs w:val="16"/>
        </w:rPr>
        <w:t>Не имея возможности восстановить по наличию без документов все детали этой вредительской работы, что я сделаю при рассмотрении соответствующих документов, тем более, что многие распоряжения и совещания с указанными лицами производились лично МИХАЙЛОВЫМ и ПУДАЛОВЫМ, помимо меня, в данное время я принужден ограничиться только более общими сообщениями, которые сохранились в моей памяти. Довоенное производство Путиловского завода распадалось в главном: на орудийное дело, мелкие снаряды (шрапнели), крупные снаряды и артиллерийский] обоз. Из них наиболее крупным было орудийное дело. Примерно, в [19]23 г. был допущен сознательно вывоз части оборудования и полуфабрикатов одного типа орудия (кажется, полевой пушки — точно не помню) на орудийный завод под Москвой, который не занимался этим типом и не мог быстро наладить производство. Затем, под особыми настояниями ХРЕННИКОВА и БЕЛОНОЖКИНА, следовало обессилить оборудование артиллерийской] мастерской, заняв ее гражданским производством. ДМИТРИЕВ, КОЖЕВ и ПАВЛИЧЕК стали усиленно заниматься этим вопросом, и т. к. тогда ([19]23—24 г.) был на очереди вопрос о механизации сельского хозяйства, то т. к. в то время московская организация не придавала особой важности этому делу, по указанию КУТСКОГО было решено остановиться на тракторном деле. Был ряд московских комиссий по этому делу и одной из них, в которой участвовал КУТСКИЙ, БОЙЧЕВСКИЙ, БЕЛЯНЧИКОВ и еще один профессор (фамилию не помню)[,] было окончательно утверждено производство трактора «Фордзон» типа маломощного для нашего земледелия. В вопросе тракторного дела участие принимал также и БЕЛОНОЖКИН, как непременный эксперт Главметалла. Когда вступил в должность директора САБЛИН, ему обо всем этом было сообщено и началось развитие тракторного дела, темпом крайне медленным, о чем я буду говорить особо. Таким образом, была занята гражданским производством большая часть арт. мастерской. Затем ДМИТРИЕВЫМ или САБЛИНЫМ (точно не помню) была занята под фабзавуч одна вспомогательная мастерская. Так как в [19] 19 или [19]20 г. (точно не знаю[,] заво[д] был тогда в Петро&lt;...&gt;) шрапнельная мастерская сгорела частично, был поднят вопрос, доказанный МОРОЗОВЫМ и САМОЙЛОВЫМ — о необходимости разработки этой мастерской и мелких ее вспомогательных. Вместо проекта ее реставрации был выдвинут нереальный проект (в [19]24 или [19]25 г.) постройки новой мастерской, требующий значительных затрат и старая мастерская была разобрана. В [19]24—25 г. САБЛИНЫМ через коммерческого] директора РОЗОВСКОГО были ликвидированы путем продажи все полуфабрикаты (части колес и проч.) обозной мастерской, и если я не ошибаюсь, часть ее была отдана под склады. В [19]25 г. САБЛИНЫМ и ЗАХАРОВЫМ, с моего ведома, была занята мастерская крупных снарядов под 2-ю механическую под предлогом дражного дела, хотя таковое можно было развивать в 1-ой механической, не загружая ее несоответственными ей заказами по текстильному машиностроению и путем введения смен и частично, до реконструкции завода, более использовать площади паровозо-сборочной мастерской, заняв один или два пролета драгами. В [19]28 г. были ликвидированы печи для тяжелых снарядов. Примерно в [19]23-24 г. завод начал получать военные задания. Первым из них был ремонт военных автомобилей, затем постройка орудий и разработка их новых проектов. В это же время начали работать ДУКЕЛЬСКИЙ и ЛИПНИЦКИЙ. Так как ДУКЕЛЬСКИЙ и ЛИПНИЦКИЙ являлись крупными специалистами по артиллерии и сами непосредственно имели связь и сношения с Артиллерийским] Управлением] в Москве, я не касался деталей их вредительской работы, как в части разработки мобзаданий, которые они совместно с САБЛИНЫМ проводили через МИХАЙЛОВА и ПУДАЛОВА, всячески их сокращая, так и в части деталей оперативных работ. Мое вмешательство в это дело, не как специалиста по артиллерии, при общем руководстве этим делом ПУДАЛОВА, могло казаться странным. Мне, однако, известн[ы] из сообщений мне САБЛИНА и ДУКЕЛЬСКОГО следующие обстоятельства: при приеме заказов устанавливались повышенные цены и возможно длительные сроки. В исполнении заказов устанавливались медлительность, для чего мастерская не загружалась сменами, производилась путаница в заказах полуфабрикатов и не следили за количеством металла, чтобы не понижать брака[,] и сроки не выдерживались. В этой работе участвовали и металлурги ПОЛОВКО и НАГОРОВ. Вместе с тем, всячески преуменьшалась производственная возможность артиллерийской] мастерской. Металл соответственного качества для стволов орудий и для снарядов изготовлялся (зав. им. К. Либкнехта) без всяких указаний и руководства. В исполнение проектов новых систем ДУКЕЛЬСКИМ и ЛИПНИЦКИМ вносились всякие искусственные задержки. Больших подробностей сейчас не помню, но готов их уточнить по рассмотрению документов.</w:t>
      </w:r>
    </w:p>
    <w:p w14:paraId="19880587" w14:textId="77777777" w:rsidR="005877F5" w:rsidRPr="00507A31" w:rsidRDefault="005877F5" w:rsidP="00507A31">
      <w:pPr>
        <w:jc w:val="both"/>
        <w:rPr>
          <w:color w:val="000000" w:themeColor="text1"/>
          <w:sz w:val="16"/>
          <w:szCs w:val="16"/>
        </w:rPr>
      </w:pPr>
      <w:r w:rsidRPr="00507A31">
        <w:rPr>
          <w:color w:val="000000" w:themeColor="text1"/>
          <w:sz w:val="16"/>
          <w:szCs w:val="16"/>
        </w:rPr>
        <w:t>2) Тракторостроение. — Как мною указано выше, КУТСКИМ и БЕЛЯНЧИКОВЫМ был утвержден неудачный тип трактора «Фордзон». Однако когда жизнь стала доказывать целесообразность механизации в сельском хозяйстве и начали возникать мысли, получившие в настоящее время полное развитие, о коллективизации в обработке земли центральная организация через БЕЛОНОЖКИНА и КУТСКОГО дала мне указания и САБЛИНУ, который также в ней участвовал, о чем вчера я забыл упомянуть, всячески задерживать развитие тракторостроения и по линии оперативных работ и по линии реконструкции. Благодаря этому, КОЖЕВЫМ и ПАВЛИЧЕКОМ, а после смерти первого — вторым, а далее ИВАНОВЫМ, ставленником КУТСКОГО, стали производиться разнообразные задержки в развитии производства. Таким образом, до [19]27/28 года шла медленная работа кустарного характера. Медленно разрабатывались чертежи, не принимались ПОЛОВКО и НАГОРНЫМ меры по подысканию соответственного металла, мастерская не приводилась в порядок, дававший возможность быстро поставить станки, заказанные в [19]26 г. В выборе оборудования была проведена небрежность. Не проводилась возможная рационализация и планирование, и себестоимость трактора была высока. В [19]26 г. много было выбрано на основании материалов САБЛИНА и ПАВЛИЧЕКА оборудования в Германии, недостаточно подходящего] для работ трактора Фордзона, хотя надо сказать, что другого в Германии не было и надо было по существу базироваться на Америку. Должен здесь показать, что ХРЕННИКОВЫМ мне были переданы деньги 10.000 марок из общей суммы, к[отор]ую я не знаю, полученной им как комиссионные, и было указано, что за это надо оказать послабление при приемке станков в СССР. Зная недостаточно подходящие качества станков для тракторной мастерской, я дал указание САБЛИНУ медленно установить станки, чтобы прошло гарантийное время, что и было им, САМОЙЛОВЫМ и ИВАНОВЫМ исполнено под предлогом занятости мастерской старыми станками и вообще держа прибывшие станки на складе. Выпустив в [19]27/28 г. около 1 000 тракторов, мною, САБЛИНЫМ, и ИВАНОВЫМ, согласно указаний БЕЛОНОЖКИНА и КУТСКОГО, решено было в следующие годы держаться темпа до 3.000 тр[акторов] в последний год пятилетки. Когда в [19]28 г. была выдвинута программа 3.000 тр[акторов] в [19]28/29 г. САБЛИН и ИВАНОВ оказывали возможное сопротивление. То же произошло при задании 10.000 тр[акторов] в [19]29/30 г. Приняв под приказом эти задания, САБЛИН, ИВАНОВ, ПОЛОВКО, ВЕТЧИНКИН и САМОЙЛОВ принимали, с моего ведома, по докладам САБЛИНА меры к невыполнению задании. В общем таковые сводились, медленный набор рабочих и технического] персонала, малая сменность, отсутствие планирования, брак в поковках и литье, медленная установка и налаживание в работу станков и во всяких вспомогательных строительных работах. Узкие места, как например, изготовление штампов — умышленно не уничтожались. Реконструкция тракторостроения будет освещена в отделе реконструкции [«]Красн. Путиловца[»]. Такова в общих чертах история вредительства по тракторостроению. Остальное смогу дополнить по документам.</w:t>
      </w:r>
    </w:p>
    <w:p w14:paraId="1248CAC3" w14:textId="77777777" w:rsidR="005877F5" w:rsidRPr="00507A31" w:rsidRDefault="005877F5" w:rsidP="00507A31">
      <w:pPr>
        <w:jc w:val="both"/>
        <w:rPr>
          <w:color w:val="000000" w:themeColor="text1"/>
          <w:sz w:val="16"/>
          <w:szCs w:val="16"/>
        </w:rPr>
      </w:pPr>
      <w:r w:rsidRPr="00507A31">
        <w:rPr>
          <w:color w:val="000000" w:themeColor="text1"/>
          <w:sz w:val="16"/>
          <w:szCs w:val="16"/>
        </w:rPr>
        <w:t>3)  Паровозостроение. — В паровозостроении, получившем после революции на Пут[иловском] заводе восстановление сначала в постройке паровозов серии Л, а затем с 1925 г. паровозов нового типа М, вредительская работа, указанная БЕЛОНОЖКИНЫМ, сводилась к возможно неудачной проектировке новых типов паровозов, к дороговизне их выполнения и [к] возможной ликвидации этого дела на заводе. Последнее поддерживалось по линии Главметалла КУТСКИМ и затем МИЛЮКОВЫМ, а по линии Гипромеза — самим БЕЛОНОЖКИНЫМ. САБЛИНЫМ и ЯДОВЫМ с моего ведома введены были (точно не знаю какие) дефекты в конструкции паровоза М, что вызвало настоящий перерыв в их постройке после первых 55 паровозов, а также был ЯДОВЫМ разработан неудовлетворительный проект нового паровоза Т, не подходящего по своему весу к нашей жел. дор. сети. Затем, со стороны Главметалла (МИЛЮКОВА) начался усиленный нажим на др. заводы и проч., к[ото]рый и привел к тому, что с [ 19]30/31 это производство прекращается. Для доказательства этого мною и САБЛИНЫМ была поддержана мысль о замене паровозостроения на Пут[иловском] заводе турбостроением. Окончательно вопрос прекращения паровозостроения был проведен МИЛЮКОВЫМ в комиссии КОССИОРА в [19]29 г. Согласно условленности с ним я и САБЛИН должны были против этого возражать, но в форме недостаточно убедительной. В части увеличения себестоимости паровоза, возможных опозданий САБЛИНЫМ проводились в аппарате завода соответствующие мероприятия. Подробностей сейчас не помню.</w:t>
      </w:r>
    </w:p>
    <w:p w14:paraId="0D974F98" w14:textId="77777777" w:rsidR="005877F5" w:rsidRPr="00507A31" w:rsidRDefault="005877F5" w:rsidP="00507A31">
      <w:pPr>
        <w:jc w:val="both"/>
        <w:rPr>
          <w:color w:val="000000" w:themeColor="text1"/>
          <w:sz w:val="16"/>
          <w:szCs w:val="16"/>
        </w:rPr>
      </w:pPr>
      <w:r w:rsidRPr="00507A31">
        <w:rPr>
          <w:color w:val="000000" w:themeColor="text1"/>
          <w:sz w:val="16"/>
          <w:szCs w:val="16"/>
        </w:rPr>
        <w:t>2-а. Тракторостроение. Я забыл упомянуть, что по указаниям КУТ- СКОГО и БЕЛОНОЖКИНА следовало особенно задержать изготовление запасных частей как главной базы эксплоатации трактора. Эта мера на заводе усиленно проводилась САБЛИНЫМ и ИВАНОВЫМ. С моей же стороны через директоров заводов ТРАХТЕНБЕРГА и ВЕЙСА задерживалось развитие производства запасных частей на заводах им. Энгельса и К. Маркса. На зав [оде] К. Либкнехта в этом направлении работал КАРГОПОЛОВ, который сам контактировался с Путиловским заводом.</w:t>
      </w:r>
    </w:p>
    <w:p w14:paraId="00D528E7" w14:textId="77777777" w:rsidR="005877F5" w:rsidRPr="00507A31" w:rsidRDefault="005877F5" w:rsidP="00507A31">
      <w:pPr>
        <w:jc w:val="both"/>
        <w:rPr>
          <w:color w:val="000000" w:themeColor="text1"/>
          <w:sz w:val="16"/>
          <w:szCs w:val="16"/>
        </w:rPr>
      </w:pPr>
      <w:r w:rsidRPr="00507A31">
        <w:rPr>
          <w:color w:val="000000" w:themeColor="text1"/>
          <w:sz w:val="16"/>
          <w:szCs w:val="16"/>
        </w:rPr>
        <w:lastRenderedPageBreak/>
        <w:t>4)  Общее машиностроение. — Согласно указаний КУТСКОГО вредительство здесь заключалось в неудовлетворительных конструкциях, загрузке мастерской неподходящими заказами, которые могли бы исполняться в других местах и неудовлетворительными по качеству изделий. ЕЛЬЦОВ, зав. конструкторским отделом, по указанию САБЛИНА проводил эти директивы в части проектной. В общем разрабатываемые им механизмы были тяжелые, требовали много металла и были сложны и трудны в исполнении. Как пример, могу указать углеперегружатель непрерывного действия для НКПСа, который оказался совершенно неудовлетворителен, крайне громоздкие и тяжелый краны для Р. Дизеля, чрезвычайно тяжелые конструкции для Замовгальской и Волховской гидростанций. По мастерской, согласно указаний САБЛИНА и с моего ведома[,] ЗАХАРОВ стал усиленно защищать загрузку мастерской текстильными машинами, которые были малоподходящими для производства Пут[иловского] завода и не давали возможности развиваться драгостроению. Планировка велась ЗАХАРОВЫМ сознательно плохо, производственная возможность мастерской не использовалась и сроки заказов не выдерживались. Подробностей по дражному делу дать не могу, т. к. его не касался и оно велось инж. Правления КУЗЬМИНЫМ и помощником САБЛИНА — ЧЕБЫШЕВЫМ. Мне известно через САБЛИНА, что здесь применялась задержка в сроках изготовления путем всевозможных неувязок. Когда в [19]29 г. потребовалось усиление дражного дела[,] ЧЕБЫШЕВЫМ и ЗАХАРОВЫМ был поставлен целый ряд трудновыполнимых условий (немедленная выписка оборудования и пр.). Между тем, в значительной мере можно было усилить выпуск рационализацией имеемого. Выбор типа драг в Америке осуществлялся помимо меня КУЗЬМИНЫМ и СТРЕЖНИНЫМ и я не могу сказать — выбраны ли они подходящие или нет.</w:t>
      </w:r>
    </w:p>
    <w:p w14:paraId="0C8EDF9E" w14:textId="77777777" w:rsidR="005877F5" w:rsidRPr="00507A31" w:rsidRDefault="005877F5" w:rsidP="00507A31">
      <w:pPr>
        <w:jc w:val="both"/>
        <w:rPr>
          <w:color w:val="000000" w:themeColor="text1"/>
          <w:sz w:val="16"/>
          <w:szCs w:val="16"/>
        </w:rPr>
      </w:pPr>
      <w:r w:rsidRPr="00507A31">
        <w:rPr>
          <w:color w:val="000000" w:themeColor="text1"/>
          <w:sz w:val="16"/>
          <w:szCs w:val="16"/>
        </w:rPr>
        <w:t>V. Металлургия. — После революции восстановление металлургии задерживалось ЖДАНОВЫМ, и когда сама жизнь потребовала сначала пуска в [19]23 г. мелкосортного стана, затем в [19]23 г. мартеновских печей и прочих станов, то уже через БЕЛОНОЖКИНА, главным образом, а иногда и от ЖДАНОВА, я получал указания задерживать это развитие. Таковые меры преуменьшения продукции производились САБЛИНЫМ при посредстве ПОЛОВКО и НАГОРОВА, МОРОЗОВА и САМОЙЛОВА (последними в части ремонта). В мартеновской мастерской постройка новых 6 тонн[ых] и 17-тонн[ых] печей (последняя была пущена только 1-1/30 г.) проводилась крайне медленно. Одна из 3-х 40-тонн[ых] мартеновских печей не работает, так что по существу работает не 5, а 4 печи. Ремонты всех вспомогательных устройств мастерской производились ВЕТЧИНКИНЫМ и САМОЙЛОВЫМ с опозданием и несвоевременно. Плавка велась небрежно, почему много болванок не попадало в анализ и шло как некачественный металл. Вследствие всего этого съем продукции был преуменьшен против возможного. Кроме того, вследствие непринятия мер к получению должного качества — получался в дальнейшей обработке значительный брак по металлу. Такое явление наблюдалось по котельным листам, арт. стволам, турбинным дискам, турбинным и дизельным валам. Вместе с тем снабжение мастерской с одной стороны несвоевременно заявляемое ПОЛОВКО, а с другой стороны — задерживаемое в Правлении ГИНСБУРГОМ материалами (огнеупорные материалы, ферросплавы) задерживало производство своею несвоевременностью и вызывало перебои в работе. Прокатные устройства, весьма старые, требовали неослабного надзора и несвоевременные ремонты вызывали перебои в прокатных мастерских. Сменные работы развивались крайне медленно и даже в настоящее время не получили полного развития. Новые механизмы (ножницы) устанавливались крайне медленно, а одни не установлены до сих пор. Присоединяемое к этому отсутствие планирования (часто каталось не то, что было нужно в первую очередь) создавало непроизводительные запасы болванок, ожидавших проката и уже прокатанного фабриката, еще не нужного в данный момент для обрабатывающих мастерских. На прессе и крупных молотах проводилась та же система: неполная загрузка, несвоевременный ремонт и непринятие мер к правильному процессу ковки, что понижало выпуск кузницы и прессовой вообще по количеству и в частности по большому [проценту] брака, что имело место, как я указал выше, на турбинных валах и дисках, артиллерийских] стволах, валах и прочей крупной поковке. При штамповке снарядов для [завода им.] К. Либкнехта был принят способ, требующий большого расхода металла. В части средних и мелких поковок и штамповок производились задержки в установке молотов и отсутствовало правильное планирование в поковках. Отсюда происходили задержки в поковках для тракторов, пневматики и арт. мастерской. С целью обессилить металлургию ПОЛОВКО и НАГОРОВЫМ не производилось никаких рационализаторских мероприятий и не устанавливался практический контакт с лабораторией, к[отор]ая работала почти без всякой связи с практическими потребностями производства. Должен отметить, что указанные лица проводили сознательно свои вредительские работы, т. к. САБЛИН неоднократно при мне давал указания. Как проводилась дальше [по] мастерским работа — мне неизвестно.</w:t>
      </w:r>
    </w:p>
    <w:p w14:paraId="60255EA1" w14:textId="77777777" w:rsidR="005877F5" w:rsidRPr="00507A31" w:rsidRDefault="005877F5" w:rsidP="00507A31">
      <w:pPr>
        <w:jc w:val="both"/>
        <w:rPr>
          <w:color w:val="000000" w:themeColor="text1"/>
          <w:sz w:val="16"/>
          <w:szCs w:val="16"/>
        </w:rPr>
      </w:pPr>
      <w:r w:rsidRPr="00507A31">
        <w:rPr>
          <w:color w:val="000000" w:themeColor="text1"/>
          <w:sz w:val="16"/>
          <w:szCs w:val="16"/>
        </w:rPr>
        <w:t>VI. Реконструкция завода. — По указанию БЕЛОНОЖКИНА не возбужда[лся] вопрос о реконструкции завода «Красный Путиловец» — каковой вопрос был поднят только в [19]27-м году. Сам БЕЛО- НОЖКИН [стал] замедлять работы по реконструкции в Гипромезе, а мне и САБЛИНУ дал указание производить задержку в даче всяких сведений, справок и материалов Гипромезу, что и было осуществлено САБЛИНЫМ по заводу. Причем, по указанию БЕЛОНОЖКИНА развитие тракторостроения было ограничено 5.000 шт. в год, паровозостроение до 90 паровозов и соответственно ограничивалось развитие металлургии. Только в [19]28 г. был представлен Совету Гипромеза генеральный план завода с выпуском 5.000 тракторов в год, 90 паровозов (с вариантом на 180), ограниченной металлургией и непроработанным планом развития общего машиностроения. На этом заседании БЕЛОНОЖКИН, КУТСКИЙ и МИЛЮКОВ отстаивали задание на паровозы не выше 90 шт. в год, тракторостроение не выше 5.000 шт. и металлургию в том только объеме, как позволяет территория завода без выноса ее на сторону. В [19]22 г. работа в Гипромезе БЕЛОНОЖКИНЫМ почти не велась и всячески им задерживалась. Я и САБЛИН не производили достаточного воздействия на Гипромез, не ускоряя таким образом реконструкции. Когда летом [19]28 г. был выделен особо, в смысле финансирования, вопрос тракторостроения, то БЕЛОНОЖКИН указал на необходимость задержать реконструкцию завода и в этой части. Таким образом, разрабатывая сначала задание на 10.000 шт. в год, затем с лета [19]29 г. на 20.000 шт. САБЛИН через ИВАНОВА, с моего ведома, задерживал дачу всяких материалов для работ Гипромеза. Проекты Чугунно-Литейной и кузницы для тракторов были проведены Гипромезом в [19]28 г., и затем в начале [19]29 г. в части кузницы подверглись значительным исправлениям, причем БЕЛОНОЖКИН защищал в проекте кузницы устарелые методы работ. Проект же тракторно-механическ[и]й на 20.000 шт. был проведен Гипромезом только в [19]30-м году в Главметалле.</w:t>
      </w:r>
    </w:p>
    <w:p w14:paraId="14AC2E9B" w14:textId="77777777" w:rsidR="005877F5" w:rsidRPr="00507A31" w:rsidRDefault="005877F5" w:rsidP="00507A31">
      <w:pPr>
        <w:jc w:val="both"/>
        <w:rPr>
          <w:color w:val="000000" w:themeColor="text1"/>
          <w:sz w:val="16"/>
          <w:szCs w:val="16"/>
        </w:rPr>
      </w:pPr>
      <w:r w:rsidRPr="00507A31">
        <w:rPr>
          <w:color w:val="000000" w:themeColor="text1"/>
          <w:sz w:val="16"/>
          <w:szCs w:val="16"/>
        </w:rPr>
        <w:t>При задержках, производимых БЕЛОНОЖКИНЫМ в Гипромезе были ли люди в его аппарате, знающие цели БЕЛОНОЖКИНА — сказать не могу, т. к. не знаю. По прочим частям реконструкции работа протекала медленно. Разработаны были проекты реконструкции прокатных цехов в ограниченном размере, исходя из имеемых заводских площадей.</w:t>
      </w:r>
    </w:p>
    <w:p w14:paraId="2C849F84" w14:textId="77777777" w:rsidR="005877F5" w:rsidRPr="00507A31" w:rsidRDefault="005877F5" w:rsidP="00507A31">
      <w:pPr>
        <w:jc w:val="both"/>
        <w:rPr>
          <w:color w:val="000000" w:themeColor="text1"/>
          <w:sz w:val="16"/>
          <w:szCs w:val="16"/>
        </w:rPr>
      </w:pPr>
      <w:r w:rsidRPr="00507A31">
        <w:rPr>
          <w:color w:val="000000" w:themeColor="text1"/>
          <w:sz w:val="16"/>
          <w:szCs w:val="16"/>
        </w:rPr>
        <w:t>В части же общего машиностроения, которое теперь ведется в Гипромезе ЗАХАРОВЫМ — почти еще ничего не сделано.</w:t>
      </w:r>
    </w:p>
    <w:p w14:paraId="76E84F0F" w14:textId="77777777" w:rsidR="005877F5" w:rsidRPr="00507A31" w:rsidRDefault="005877F5" w:rsidP="00507A31">
      <w:pPr>
        <w:jc w:val="both"/>
        <w:rPr>
          <w:color w:val="000000" w:themeColor="text1"/>
          <w:sz w:val="16"/>
          <w:szCs w:val="16"/>
        </w:rPr>
      </w:pPr>
      <w:r w:rsidRPr="00507A31">
        <w:rPr>
          <w:color w:val="000000" w:themeColor="text1"/>
          <w:sz w:val="16"/>
          <w:szCs w:val="16"/>
        </w:rPr>
        <w:t>В. Стырикович.</w:t>
      </w:r>
    </w:p>
    <w:p w14:paraId="492DF6EC" w14:textId="77777777" w:rsidR="005877F5" w:rsidRPr="00507A31" w:rsidRDefault="005877F5" w:rsidP="00507A31">
      <w:pPr>
        <w:jc w:val="both"/>
        <w:rPr>
          <w:color w:val="000000" w:themeColor="text1"/>
          <w:sz w:val="16"/>
          <w:szCs w:val="16"/>
        </w:rPr>
      </w:pPr>
      <w:r w:rsidRPr="00507A31">
        <w:rPr>
          <w:color w:val="000000" w:themeColor="text1"/>
          <w:sz w:val="16"/>
          <w:szCs w:val="16"/>
        </w:rPr>
        <w:t>Ст. Уполномоченный — Семенов.</w:t>
      </w:r>
    </w:p>
    <w:p w14:paraId="03669AF9" w14:textId="77777777" w:rsidR="005877F5" w:rsidRPr="00507A31" w:rsidRDefault="005877F5" w:rsidP="00507A31">
      <w:pPr>
        <w:jc w:val="both"/>
        <w:rPr>
          <w:color w:val="000000" w:themeColor="text1"/>
          <w:sz w:val="16"/>
          <w:szCs w:val="16"/>
        </w:rPr>
      </w:pPr>
      <w:r w:rsidRPr="00507A31">
        <w:rPr>
          <w:color w:val="000000" w:themeColor="text1"/>
          <w:sz w:val="16"/>
          <w:szCs w:val="16"/>
        </w:rPr>
        <w:t>ПОКАЗАНИЕ СТЫРИКОВИЧА Владислава Львовича.</w:t>
      </w:r>
    </w:p>
    <w:p w14:paraId="1253F0C4" w14:textId="77777777" w:rsidR="005877F5" w:rsidRPr="00507A31" w:rsidRDefault="005877F5" w:rsidP="00507A31">
      <w:pPr>
        <w:jc w:val="both"/>
        <w:rPr>
          <w:color w:val="000000" w:themeColor="text1"/>
          <w:sz w:val="16"/>
          <w:szCs w:val="16"/>
        </w:rPr>
      </w:pPr>
      <w:r w:rsidRPr="00507A31">
        <w:rPr>
          <w:color w:val="000000" w:themeColor="text1"/>
          <w:sz w:val="16"/>
          <w:szCs w:val="16"/>
        </w:rPr>
        <w:t>От 14-го мая 1930 года.</w:t>
      </w:r>
    </w:p>
    <w:p w14:paraId="39484C6C" w14:textId="77777777" w:rsidR="005877F5" w:rsidRPr="00507A31" w:rsidRDefault="005877F5" w:rsidP="00507A31">
      <w:pPr>
        <w:jc w:val="both"/>
        <w:rPr>
          <w:color w:val="000000" w:themeColor="text1"/>
          <w:sz w:val="16"/>
          <w:szCs w:val="16"/>
        </w:rPr>
      </w:pPr>
      <w:r w:rsidRPr="00507A31">
        <w:rPr>
          <w:color w:val="000000" w:themeColor="text1"/>
          <w:sz w:val="16"/>
          <w:szCs w:val="16"/>
        </w:rPr>
        <w:t>Чтобы провести вредительские мероприятия МИХАЙЛОВУ и ПУДАЛОВУ — мною и директорами заводов проводилась при каждом отдельном случае достаточная аргументация, могущая их убедить. Так, при разрушении военных мастерских указывалось, что вряд ли возможно развитие военного производства в пограничном городе, и поэтому мастерская и оборудование будут стоять бесполезно, и их надо использовать для того или иного гражданского производства. При наборе многих типов машин (К. Маркс и СВЕРДЛОВ) указывалось, что большее количество изготовляемых типов дает гибкость заводу в отношении рынка. При ликвидации паровозостроения на [«]Красн[ом] Путиловце[»] — отдаленность Ленинграда от источников сырья и топлива и проч.</w:t>
      </w:r>
    </w:p>
    <w:p w14:paraId="25A88E13" w14:textId="77777777" w:rsidR="005877F5" w:rsidRPr="00507A31" w:rsidRDefault="005877F5" w:rsidP="00507A31">
      <w:pPr>
        <w:jc w:val="both"/>
        <w:rPr>
          <w:color w:val="000000" w:themeColor="text1"/>
          <w:sz w:val="16"/>
          <w:szCs w:val="16"/>
        </w:rPr>
      </w:pPr>
      <w:r w:rsidRPr="00507A31">
        <w:rPr>
          <w:color w:val="000000" w:themeColor="text1"/>
          <w:sz w:val="16"/>
          <w:szCs w:val="16"/>
        </w:rPr>
        <w:t>Я указания давал директорам заводов по вредительским работам, а далее — они уже сами проводили работу. Однако, по их сообщениям мне, я могу судить, что указываемые мною лица из заводских аппаратов были в курсе целей, проводимых ими по указаниям директоров работ.</w:t>
      </w:r>
    </w:p>
    <w:p w14:paraId="4E5F2347" w14:textId="77777777" w:rsidR="005877F5" w:rsidRPr="00507A31" w:rsidRDefault="005877F5" w:rsidP="00507A31">
      <w:pPr>
        <w:jc w:val="both"/>
        <w:rPr>
          <w:color w:val="000000" w:themeColor="text1"/>
          <w:sz w:val="16"/>
          <w:szCs w:val="16"/>
        </w:rPr>
      </w:pPr>
      <w:r w:rsidRPr="00507A31">
        <w:rPr>
          <w:color w:val="000000" w:themeColor="text1"/>
          <w:sz w:val="16"/>
          <w:szCs w:val="16"/>
        </w:rPr>
        <w:t>В. СТЫРИКОВИЧ.</w:t>
      </w:r>
    </w:p>
    <w:p w14:paraId="32D9335C" w14:textId="77777777" w:rsidR="005877F5" w:rsidRPr="00507A31" w:rsidRDefault="005877F5" w:rsidP="00507A31">
      <w:pPr>
        <w:jc w:val="both"/>
        <w:rPr>
          <w:color w:val="000000" w:themeColor="text1"/>
          <w:sz w:val="16"/>
          <w:szCs w:val="16"/>
        </w:rPr>
      </w:pPr>
      <w:r w:rsidRPr="00507A31">
        <w:rPr>
          <w:color w:val="000000" w:themeColor="text1"/>
          <w:sz w:val="16"/>
          <w:szCs w:val="16"/>
        </w:rPr>
        <w:t>Ст. Уполномоченный Н. Семенов.</w:t>
      </w:r>
    </w:p>
    <w:p w14:paraId="51941EB9" w14:textId="77777777" w:rsidR="005877F5" w:rsidRPr="00507A31" w:rsidRDefault="005877F5" w:rsidP="00507A31">
      <w:pPr>
        <w:jc w:val="both"/>
        <w:rPr>
          <w:color w:val="000000" w:themeColor="text1"/>
          <w:sz w:val="16"/>
          <w:szCs w:val="16"/>
        </w:rPr>
      </w:pPr>
      <w:r w:rsidRPr="00507A31">
        <w:rPr>
          <w:color w:val="000000" w:themeColor="text1"/>
          <w:sz w:val="16"/>
          <w:szCs w:val="16"/>
        </w:rPr>
        <w:t>ПОКАЗАНИЕ СТЫРИКОВИЧА Владислава Львовича.</w:t>
      </w:r>
    </w:p>
    <w:p w14:paraId="3A6B71EE" w14:textId="77777777" w:rsidR="005877F5" w:rsidRPr="00507A31" w:rsidRDefault="005877F5" w:rsidP="00507A31">
      <w:pPr>
        <w:jc w:val="both"/>
        <w:rPr>
          <w:color w:val="000000" w:themeColor="text1"/>
          <w:sz w:val="16"/>
          <w:szCs w:val="16"/>
        </w:rPr>
      </w:pPr>
      <w:r w:rsidRPr="00507A31">
        <w:rPr>
          <w:color w:val="000000" w:themeColor="text1"/>
          <w:sz w:val="16"/>
          <w:szCs w:val="16"/>
        </w:rPr>
        <w:t>От 14-го мая 1930 года.</w:t>
      </w:r>
    </w:p>
    <w:p w14:paraId="46FE7F51" w14:textId="77777777" w:rsidR="005877F5" w:rsidRPr="00507A31" w:rsidRDefault="005877F5" w:rsidP="00507A31">
      <w:pPr>
        <w:jc w:val="both"/>
        <w:rPr>
          <w:color w:val="000000" w:themeColor="text1"/>
          <w:sz w:val="16"/>
          <w:szCs w:val="16"/>
        </w:rPr>
      </w:pPr>
      <w:r w:rsidRPr="00507A31">
        <w:rPr>
          <w:color w:val="000000" w:themeColor="text1"/>
          <w:sz w:val="16"/>
          <w:szCs w:val="16"/>
        </w:rPr>
        <w:t>Металлический завод.</w:t>
      </w:r>
    </w:p>
    <w:p w14:paraId="2C6727AF" w14:textId="77777777" w:rsidR="005877F5" w:rsidRPr="00507A31" w:rsidRDefault="005877F5" w:rsidP="00507A31">
      <w:pPr>
        <w:jc w:val="both"/>
        <w:rPr>
          <w:color w:val="000000" w:themeColor="text1"/>
          <w:sz w:val="16"/>
          <w:szCs w:val="16"/>
        </w:rPr>
      </w:pPr>
      <w:r w:rsidRPr="00507A31">
        <w:rPr>
          <w:color w:val="000000" w:themeColor="text1"/>
          <w:sz w:val="16"/>
          <w:szCs w:val="16"/>
        </w:rPr>
        <w:t>I. Военное производство. — По линии военного дела вредительство, главным образом, проводилось самим ВИНБЛАДОМ. Для этой цели в</w:t>
      </w:r>
    </w:p>
    <w:p w14:paraId="0C6A3593" w14:textId="77777777" w:rsidR="005877F5" w:rsidRPr="00507A31" w:rsidRDefault="005877F5" w:rsidP="00507A31">
      <w:pPr>
        <w:jc w:val="both"/>
        <w:rPr>
          <w:color w:val="000000" w:themeColor="text1"/>
          <w:sz w:val="16"/>
          <w:szCs w:val="16"/>
        </w:rPr>
      </w:pPr>
      <w:r w:rsidRPr="00507A31">
        <w:rPr>
          <w:color w:val="000000" w:themeColor="text1"/>
          <w:sz w:val="16"/>
          <w:szCs w:val="16"/>
        </w:rPr>
        <w:t>период [19J22-26 года были разобраны две деревянных мастерских 3-х снарядов и более крупных. Станки были сняты, сложены на склад и частично использованы для гражданского производства. Восстановлению башенного дела ВИНБЛАДОМ было оказываемо сопротивление под всевозможными предлогами. Старые полуфабрикаты хранились небрежно и подвергались порче и ржавлению. Когда были начаты в [19]24 г. работы по доделке и переделке башенных установок ДУКЕЛЬСКИЙ и ВИНБЛАД задерживали развитие этого дела высокими ценами с большими прибылями и путем ограничения площади артиллерийской] мастерской. Больших подробностей по памяти указать не могу, т. к. ДУКЕЛЬСКИЙ вел свою вредительскую работу в значительной мере самостоятельно. Из Центра по Металлическому] заводу давал указания КУТСКИЙ.</w:t>
      </w:r>
    </w:p>
    <w:p w14:paraId="61960970" w14:textId="77777777" w:rsidR="005877F5" w:rsidRPr="00507A31" w:rsidRDefault="005877F5" w:rsidP="00507A31">
      <w:pPr>
        <w:jc w:val="both"/>
        <w:rPr>
          <w:color w:val="000000" w:themeColor="text1"/>
          <w:sz w:val="16"/>
          <w:szCs w:val="16"/>
        </w:rPr>
      </w:pPr>
      <w:r w:rsidRPr="00507A31">
        <w:rPr>
          <w:color w:val="000000" w:themeColor="text1"/>
          <w:sz w:val="16"/>
          <w:szCs w:val="16"/>
        </w:rPr>
        <w:t xml:space="preserve">II. Турбинное производство. — Восстановление после революции турбостроения искусственно задерживалось ВИНБЛАДОМ и было начато в [19]23-24 годах в малых размерах и крайне замедленным темпом, что осуществлялось медленной разработкой чертежей и отсутствием планирования в мастерских. В мастерской вредительскую работу вел БОБРОВЩИКОВ. Благодаря проводимой им бессистемности происходили задержки и простои в производстве. В чертежах часто допускались ошибки, заставлявшие затем переделывать готовые части. С целью неиспользования заграничного опыта ВИНБЛАДОМ под предлогом неясности положения с турбостроением затягивалось решение вопроса, с какой фирмой заключить договор. Когда при обстоятельствах, изложенных в другом моем показании[,] был заключен договор в [19]27 г. с фирмой «Метрополитен-Виккерс», то ВИНБЛАДОМ и БОБРОВЩИКОВЫМ были проведены меры к возможно меньшему использованию опыта и материалов фирмы. Вместе с тем, усиленно задерживался переход на более совершенные типы заграничных турбин под предлогом использования существующих моделей. Первая турбина по чертежам [В]ИККЕРСА выпускается только в [19]30 г. Изготовление наиболее ответственных частей (лопаток) и сборка машин производилась БОБРОВЩИКОВЫМ умышленно небрежно. Заказы набирались ВИНБЛАДОМ бессистемно, с отсутствием всякой серийности. Поэтому крайне затруднялось производство. Программы составлялись преуменьшенные, и, кроме того, полностью не выполнялись. Примерно тоже самое проводилось и с водяными турбинами. Как пример, м[ожно] б[удет] указать факт с ошибочными чертежами лопаток для нескольких турбин. Причем турбины были </w:t>
      </w:r>
      <w:r w:rsidRPr="00507A31">
        <w:rPr>
          <w:color w:val="000000" w:themeColor="text1"/>
          <w:sz w:val="16"/>
          <w:szCs w:val="16"/>
        </w:rPr>
        <w:lastRenderedPageBreak/>
        <w:t>отправлены заказчику с неправильными лопатками. Приглашенный заграничный инженер ФЕЙФЕЛЬ совершенно не был использован ВИНБЛАДОМ. Обо всех этих мероприятиях ВИНБЛАД докладывал мне.</w:t>
      </w:r>
    </w:p>
    <w:p w14:paraId="53F50100" w14:textId="77777777" w:rsidR="005877F5" w:rsidRPr="00507A31" w:rsidRDefault="005877F5" w:rsidP="00507A31">
      <w:pPr>
        <w:jc w:val="both"/>
        <w:rPr>
          <w:color w:val="000000" w:themeColor="text1"/>
          <w:sz w:val="16"/>
          <w:szCs w:val="16"/>
        </w:rPr>
      </w:pPr>
      <w:r w:rsidRPr="00507A31">
        <w:rPr>
          <w:color w:val="000000" w:themeColor="text1"/>
          <w:sz w:val="16"/>
          <w:szCs w:val="16"/>
        </w:rPr>
        <w:t>III. Котельное производство. — Здесь вредительство по указаниям ВИНБЛАДА и с моего ведома проводилось по Конструкторскому Бюро ЛОМАЧЕМ и по производству ГЕЛЬТМАНОМ, в целях возможной задержки развития этого дела. ЛОМАЧЕМ чертежи составлялись медленно и не в порядке их нужности, заказы на литье и кот[ельное] железо выдавались несвоевременно. Чертежи часто требовали переделок. ГЕЛЬТМАН в мастерской не использовал площадей и оборудования, не вводил сменных работ и тем понижал выпуск мастерской. Склады загружались ненужными материалами, между тем необходимого для выпуска котлов не было и оно запаздывало.</w:t>
      </w:r>
    </w:p>
    <w:p w14:paraId="79344BBE" w14:textId="77777777" w:rsidR="005877F5" w:rsidRPr="00507A31" w:rsidRDefault="005877F5" w:rsidP="00507A31">
      <w:pPr>
        <w:jc w:val="both"/>
        <w:rPr>
          <w:color w:val="000000" w:themeColor="text1"/>
          <w:sz w:val="16"/>
          <w:szCs w:val="16"/>
        </w:rPr>
      </w:pPr>
      <w:r w:rsidRPr="00507A31">
        <w:rPr>
          <w:color w:val="000000" w:themeColor="text1"/>
          <w:sz w:val="16"/>
          <w:szCs w:val="16"/>
        </w:rPr>
        <w:t>II. а. — При постройке новой мастерской задержка в Правлении производилась мною путем задержки кредитов, а на месте ВИНБЛАДОМ и БОБРОВЩИКОВЫМ запоздалыми заявками на оборудование, медленным и[х] выбором и медленной установкой. Как на пример можно указать на станок для уравновешения роторов, который до сих пор не работает.</w:t>
      </w:r>
    </w:p>
    <w:p w14:paraId="664AA3B2" w14:textId="77777777" w:rsidR="005877F5" w:rsidRPr="00507A31" w:rsidRDefault="005877F5" w:rsidP="00507A31">
      <w:pPr>
        <w:jc w:val="both"/>
        <w:rPr>
          <w:color w:val="000000" w:themeColor="text1"/>
          <w:sz w:val="16"/>
          <w:szCs w:val="16"/>
        </w:rPr>
      </w:pPr>
      <w:r w:rsidRPr="00507A31">
        <w:rPr>
          <w:color w:val="000000" w:themeColor="text1"/>
          <w:sz w:val="16"/>
          <w:szCs w:val="16"/>
        </w:rPr>
        <w:t>Разрушение военного производства производилось согласно директив Московского совещания организации в [19]22-м году.</w:t>
      </w:r>
    </w:p>
    <w:p w14:paraId="5876BE40" w14:textId="77777777" w:rsidR="005877F5" w:rsidRPr="00507A31" w:rsidRDefault="005877F5" w:rsidP="00507A31">
      <w:pPr>
        <w:jc w:val="both"/>
        <w:rPr>
          <w:color w:val="000000" w:themeColor="text1"/>
          <w:sz w:val="16"/>
          <w:szCs w:val="16"/>
        </w:rPr>
      </w:pPr>
      <w:r w:rsidRPr="00507A31">
        <w:rPr>
          <w:color w:val="000000" w:themeColor="text1"/>
          <w:sz w:val="16"/>
          <w:szCs w:val="16"/>
        </w:rPr>
        <w:t>В.СТЫРИКОВИЧ.</w:t>
      </w:r>
    </w:p>
    <w:p w14:paraId="5E6D8E3E" w14:textId="77777777" w:rsidR="005877F5" w:rsidRPr="00507A31" w:rsidRDefault="005877F5" w:rsidP="00507A31">
      <w:pPr>
        <w:jc w:val="both"/>
        <w:rPr>
          <w:color w:val="000000" w:themeColor="text1"/>
          <w:sz w:val="16"/>
          <w:szCs w:val="16"/>
        </w:rPr>
      </w:pPr>
      <w:r w:rsidRPr="00507A31">
        <w:rPr>
          <w:color w:val="000000" w:themeColor="text1"/>
          <w:sz w:val="16"/>
          <w:szCs w:val="16"/>
        </w:rPr>
        <w:t>Ст. Уполномоченный — Н. Семенов.</w:t>
      </w:r>
    </w:p>
    <w:p w14:paraId="2BF6B711" w14:textId="77777777" w:rsidR="005877F5" w:rsidRPr="00507A31" w:rsidRDefault="005877F5" w:rsidP="00507A31">
      <w:pPr>
        <w:jc w:val="both"/>
        <w:rPr>
          <w:color w:val="000000" w:themeColor="text1"/>
          <w:sz w:val="16"/>
          <w:szCs w:val="16"/>
        </w:rPr>
      </w:pPr>
      <w:r w:rsidRPr="00507A31">
        <w:rPr>
          <w:color w:val="000000" w:themeColor="text1"/>
          <w:sz w:val="16"/>
          <w:szCs w:val="16"/>
        </w:rPr>
        <w:t>ПОКАЗАНИЕ СТЫРИКОВИЧА Владислава Львовича.</w:t>
      </w:r>
    </w:p>
    <w:p w14:paraId="32D9D926" w14:textId="77777777" w:rsidR="005877F5" w:rsidRPr="00507A31" w:rsidRDefault="005877F5" w:rsidP="00507A31">
      <w:pPr>
        <w:jc w:val="both"/>
        <w:rPr>
          <w:color w:val="000000" w:themeColor="text1"/>
          <w:sz w:val="16"/>
          <w:szCs w:val="16"/>
        </w:rPr>
      </w:pPr>
      <w:r w:rsidRPr="00507A31">
        <w:rPr>
          <w:color w:val="000000" w:themeColor="text1"/>
          <w:sz w:val="16"/>
          <w:szCs w:val="16"/>
        </w:rPr>
        <w:t>от 14-го мая 1930 года.</w:t>
      </w:r>
    </w:p>
    <w:p w14:paraId="6A6C55B4" w14:textId="77777777" w:rsidR="005877F5" w:rsidRPr="00507A31" w:rsidRDefault="005877F5" w:rsidP="00507A31">
      <w:pPr>
        <w:jc w:val="both"/>
        <w:rPr>
          <w:color w:val="000000" w:themeColor="text1"/>
          <w:sz w:val="16"/>
          <w:szCs w:val="16"/>
        </w:rPr>
      </w:pPr>
      <w:r w:rsidRPr="00507A31">
        <w:rPr>
          <w:color w:val="000000" w:themeColor="text1"/>
          <w:sz w:val="16"/>
          <w:szCs w:val="16"/>
        </w:rPr>
        <w:t>Завод им. СВЕРДЛОВА.</w:t>
      </w:r>
    </w:p>
    <w:p w14:paraId="5920BE7E" w14:textId="77777777" w:rsidR="005877F5" w:rsidRPr="00507A31" w:rsidRDefault="005877F5" w:rsidP="00507A31">
      <w:pPr>
        <w:jc w:val="both"/>
        <w:rPr>
          <w:color w:val="000000" w:themeColor="text1"/>
          <w:sz w:val="16"/>
          <w:szCs w:val="16"/>
        </w:rPr>
      </w:pPr>
      <w:r w:rsidRPr="00507A31">
        <w:rPr>
          <w:color w:val="000000" w:themeColor="text1"/>
          <w:sz w:val="16"/>
          <w:szCs w:val="16"/>
        </w:rPr>
        <w:t>КУТСКИМ, РЕНЦ[О]М и мною пуск завода задерживался и завод, пущенный в [19]25 г., получил производственный план по минимальной программе. Но и эта программа, умышленно построенная на многих типах станков, РЕНЦОМ не выполнялась. Для этого совершенно не вводилось на заводе планирование и в производстве был полный беспорядок. Литье, заказываемое несвоевременно [«]Экономайзеру[»], умышленно тормозилось и отливалось с дефектами СОКОЛОВСКИМ и в результате выпуск станков был совершенно ничтожный. Вместе с тем, разработка чертежей станков производилась крайне медленно. С целью увеличить неувязку и недостаток в литье — задерживался пуск Ч[угуно]-Литейной. Оборудование и площади были не использованы.</w:t>
      </w:r>
    </w:p>
    <w:p w14:paraId="5838DB63" w14:textId="77777777" w:rsidR="005877F5" w:rsidRPr="00507A31" w:rsidRDefault="005877F5" w:rsidP="00507A31">
      <w:pPr>
        <w:jc w:val="both"/>
        <w:rPr>
          <w:color w:val="000000" w:themeColor="text1"/>
          <w:sz w:val="16"/>
          <w:szCs w:val="16"/>
        </w:rPr>
      </w:pPr>
      <w:r w:rsidRPr="00507A31">
        <w:rPr>
          <w:color w:val="000000" w:themeColor="text1"/>
          <w:sz w:val="16"/>
          <w:szCs w:val="16"/>
        </w:rPr>
        <w:t>В. СТЫРИКОВИЧ.</w:t>
      </w:r>
    </w:p>
    <w:p w14:paraId="18454939" w14:textId="77777777" w:rsidR="005877F5" w:rsidRPr="00507A31" w:rsidRDefault="005877F5" w:rsidP="00507A31">
      <w:pPr>
        <w:jc w:val="both"/>
        <w:rPr>
          <w:color w:val="000000" w:themeColor="text1"/>
          <w:sz w:val="16"/>
          <w:szCs w:val="16"/>
        </w:rPr>
      </w:pPr>
      <w:r w:rsidRPr="00507A31">
        <w:rPr>
          <w:color w:val="000000" w:themeColor="text1"/>
          <w:sz w:val="16"/>
          <w:szCs w:val="16"/>
        </w:rPr>
        <w:t>Ст. Уполномоченный: — Н. СЕМЕНОВ.</w:t>
      </w:r>
    </w:p>
    <w:p w14:paraId="3516C488" w14:textId="77777777" w:rsidR="005877F5" w:rsidRPr="00507A31" w:rsidRDefault="005877F5" w:rsidP="00507A31">
      <w:pPr>
        <w:jc w:val="both"/>
        <w:rPr>
          <w:color w:val="000000" w:themeColor="text1"/>
          <w:sz w:val="16"/>
          <w:szCs w:val="16"/>
        </w:rPr>
      </w:pPr>
      <w:r w:rsidRPr="00507A31">
        <w:rPr>
          <w:color w:val="000000" w:themeColor="text1"/>
          <w:sz w:val="16"/>
          <w:szCs w:val="16"/>
        </w:rPr>
        <w:t>ПОКАЗАНИЕ СТЫРИКОВИЧА Владислава Львовича.</w:t>
      </w:r>
    </w:p>
    <w:p w14:paraId="457E716B" w14:textId="77777777" w:rsidR="005877F5" w:rsidRPr="00507A31" w:rsidRDefault="005877F5" w:rsidP="00507A31">
      <w:pPr>
        <w:jc w:val="both"/>
        <w:rPr>
          <w:color w:val="000000" w:themeColor="text1"/>
          <w:sz w:val="16"/>
          <w:szCs w:val="16"/>
        </w:rPr>
      </w:pPr>
      <w:r w:rsidRPr="00507A31">
        <w:rPr>
          <w:color w:val="000000" w:themeColor="text1"/>
          <w:sz w:val="16"/>
          <w:szCs w:val="16"/>
        </w:rPr>
        <w:t>От 14-го мая 1930 года.</w:t>
      </w:r>
    </w:p>
    <w:p w14:paraId="1ED1F1CF" w14:textId="77777777" w:rsidR="005877F5" w:rsidRPr="00507A31" w:rsidRDefault="005877F5" w:rsidP="00507A31">
      <w:pPr>
        <w:jc w:val="both"/>
        <w:rPr>
          <w:color w:val="000000" w:themeColor="text1"/>
          <w:sz w:val="16"/>
          <w:szCs w:val="16"/>
        </w:rPr>
      </w:pPr>
      <w:r w:rsidRPr="00507A31">
        <w:rPr>
          <w:color w:val="000000" w:themeColor="text1"/>
          <w:sz w:val="16"/>
          <w:szCs w:val="16"/>
        </w:rPr>
        <w:t>РУССКИЙ ДИЗЕЛЬ.</w:t>
      </w:r>
    </w:p>
    <w:p w14:paraId="7736672A" w14:textId="77777777" w:rsidR="005877F5" w:rsidRPr="00507A31" w:rsidRDefault="005877F5" w:rsidP="00507A31">
      <w:pPr>
        <w:jc w:val="both"/>
        <w:rPr>
          <w:color w:val="000000" w:themeColor="text1"/>
          <w:sz w:val="16"/>
          <w:szCs w:val="16"/>
        </w:rPr>
      </w:pPr>
      <w:r w:rsidRPr="00507A31">
        <w:rPr>
          <w:color w:val="000000" w:themeColor="text1"/>
          <w:sz w:val="16"/>
          <w:szCs w:val="16"/>
        </w:rPr>
        <w:t>Вредительская работа по расширению завода в Центре и Правлении проводилась КУТСКИМ и мною, а на месте — ХАРИТОНОВ[ИЧЕМ] и АЛЕКСЕЕВЫМ, путем задержек в кредитах и медленным темпом проведения работ. Так, при расширении механич[еской] мастерской заказанные станки долго лежали, пока была кончена мастерская. Кроме того, программа развития была ограничена только 40.000 л. с. Таким образом, расширяясь уже 4[-й] год, завод не дошел еще до выпуска 40.000 л. с. в год. Производство с [19]22 г., когда директором был еще ГУРВИЦ, развивалось искусственно медленно. Несвоевременно выдавались заказы. Пут[иловскому] заводу на существенную часть машины коленч[атый] вал, и поэтому готовые машины часто ждали валов. Задерживалась отливка маховиков и машины часто уходили заказчику без таковых. Кроме того, медленно подбирались рабочие и технический] персонал, не устанавливалась сменность работ и медленно разрабатывались чертежи 2000 сильного судового Дизеля. Производство шло в ограниченных размерах ниже и около 10.000 л. с. в год. В Литейном было много браку и инжен[ер] ТРОИЦКИЙ умышленно не принимал мер к его уничтожению. Когда с развитием судостроения были взяты заказы на 10-ть судовых машин[,] КУТСКИМ в один из его приездов в Ленинград были даны указания всячески задерживать их постройку. По моим указаниям ХАРИТОНОВИЧЕМ задерживались чертежи, работа в Ч[угуно]- Литейном через Троицкого и крайне медленно шла обработка частей и сборка первых машин. Таким образом, машины стали выходить с 2-х летним опозданием. После заключения договора в [19]26 г. с фирмой ЗУЛЬЦЕР, ХАРИТОНОВИЧ старался замедлить использование этого договора. Так, ТРОИЦКИЙ, ездивший к ЗУЛЬЦЕРУ, не внес никаких нововведений в литейной мастерской. К постройке судовых машин типа ЗУЛЬЦЕР были приняты те же меры задержек, и первая машина также будет с опозданием вероятно на 2 года. Стационарные машины ЗУЛЬЦЕРА тип _______ долго не пускались в работу, а затем работы по ним не задерживались и до сих пор не выпущено ни одной машины этого нового типа, хотя уже идет третий год после заключения договора.</w:t>
      </w:r>
    </w:p>
    <w:p w14:paraId="7D20B5B5" w14:textId="77777777" w:rsidR="005877F5" w:rsidRPr="00507A31" w:rsidRDefault="005877F5" w:rsidP="00507A31">
      <w:pPr>
        <w:jc w:val="both"/>
        <w:rPr>
          <w:color w:val="000000" w:themeColor="text1"/>
          <w:sz w:val="16"/>
          <w:szCs w:val="16"/>
        </w:rPr>
      </w:pPr>
      <w:r w:rsidRPr="00507A31">
        <w:rPr>
          <w:color w:val="000000" w:themeColor="text1"/>
          <w:sz w:val="16"/>
          <w:szCs w:val="16"/>
        </w:rPr>
        <w:t>Завод им. КАРЛА МАРКСА. — По военному производству, согласно указаний совещания Московской организации [19]22 г., были разобраны ХОЛИНЫМ прессовая мастерская и пролет между 1-й механической и снарядной, занятой производством 42-лин[ейных] снарядов, а затем — примерно в [19]26—27 г., уже ВЕЙСОМ были сняты станки в снарядной и она занята ватерной мастерской. По части вредительства по линии восстановленного военного производства (минные аппараты) сейчас данных не помню. Знаю только, что работа здесь проводилась ДУКЕЛЬСКИМ при помощи СКВОРЦОВА. В первые [19]22-25 годы работа завода, по указаниям КУТСКОГО, вообще не развивалось. ХОЛИН бессистемно набирал с моего ведома заказы на текстильные части, рогульки, веретена и проч. разных типов, не выполнял их в срок и одна работающая тогда 1-ая механическая мастерская работала впустую. При переходе на текстильное машиностроение через ВЕЙСА и ПЕЙБО был проведен набор 4 машин: ткацкий станок Нортро[п], ва[т]ер, банкаброш и чесальная машина, к[ако]вые своим многообразием затрудняли развитие производства. Разработка чертежей и приспособлений к этим машинам производилась медленно. Неправильно были изготовлены измерительные] инструменты для ватера. Брак в литейной Нач[альни]ком Ч[угуно]- Литейной мастерской (фамилию не помню) умышленно не устранялся. В результате развертывание производств, особенно ватеров было крайне замедленно.</w:t>
      </w:r>
    </w:p>
    <w:p w14:paraId="6AE7DFE8" w14:textId="77777777" w:rsidR="005877F5" w:rsidRPr="00507A31" w:rsidRDefault="005877F5" w:rsidP="00507A31">
      <w:pPr>
        <w:jc w:val="both"/>
        <w:rPr>
          <w:color w:val="000000" w:themeColor="text1"/>
          <w:sz w:val="16"/>
          <w:szCs w:val="16"/>
        </w:rPr>
      </w:pPr>
      <w:r w:rsidRPr="00507A31">
        <w:rPr>
          <w:color w:val="000000" w:themeColor="text1"/>
          <w:sz w:val="16"/>
          <w:szCs w:val="16"/>
        </w:rPr>
        <w:t>На заводе ВЕЙСОМ и ПЕЙБО путем умышленной неувязки с Пут[иловским] заводом в 1929/30 г. задержано изготовление запасных частей трактора. Причем ранее завод всячески от них отказывался.</w:t>
      </w:r>
    </w:p>
    <w:p w14:paraId="5C85AA8F" w14:textId="77777777" w:rsidR="005877F5" w:rsidRPr="00507A31" w:rsidRDefault="005877F5" w:rsidP="00507A31">
      <w:pPr>
        <w:jc w:val="both"/>
        <w:rPr>
          <w:color w:val="000000" w:themeColor="text1"/>
          <w:sz w:val="16"/>
          <w:szCs w:val="16"/>
        </w:rPr>
      </w:pPr>
      <w:r w:rsidRPr="00507A31">
        <w:rPr>
          <w:color w:val="000000" w:themeColor="text1"/>
          <w:sz w:val="16"/>
          <w:szCs w:val="16"/>
        </w:rPr>
        <w:t>Обо всем этом мне докладывали ХОЛИН и ВЕЙС.</w:t>
      </w:r>
    </w:p>
    <w:p w14:paraId="0EED23B7" w14:textId="77777777" w:rsidR="005877F5" w:rsidRPr="00507A31" w:rsidRDefault="005877F5" w:rsidP="00507A31">
      <w:pPr>
        <w:jc w:val="both"/>
        <w:rPr>
          <w:color w:val="000000" w:themeColor="text1"/>
          <w:sz w:val="16"/>
          <w:szCs w:val="16"/>
        </w:rPr>
      </w:pPr>
      <w:r w:rsidRPr="00507A31">
        <w:rPr>
          <w:color w:val="000000" w:themeColor="text1"/>
          <w:sz w:val="16"/>
          <w:szCs w:val="16"/>
        </w:rPr>
        <w:t>В. СТЫРИКОВИЧ.</w:t>
      </w:r>
    </w:p>
    <w:p w14:paraId="3A7FEF4F" w14:textId="77777777" w:rsidR="005877F5" w:rsidRPr="00507A31" w:rsidRDefault="005877F5" w:rsidP="00507A31">
      <w:pPr>
        <w:jc w:val="both"/>
        <w:rPr>
          <w:color w:val="000000" w:themeColor="text1"/>
          <w:sz w:val="16"/>
          <w:szCs w:val="16"/>
        </w:rPr>
      </w:pPr>
      <w:r w:rsidRPr="00507A31">
        <w:rPr>
          <w:color w:val="000000" w:themeColor="text1"/>
          <w:sz w:val="16"/>
          <w:szCs w:val="16"/>
        </w:rPr>
        <w:t>Ст. Уполномоченный — Н. СЕМЕНОВ (18354).</w:t>
      </w:r>
    </w:p>
    <w:p w14:paraId="590C7CA5" w14:textId="77777777" w:rsidR="005877F5" w:rsidRPr="00507A31" w:rsidRDefault="005877F5" w:rsidP="00507A31">
      <w:pPr>
        <w:jc w:val="both"/>
        <w:rPr>
          <w:color w:val="000000" w:themeColor="text1"/>
          <w:sz w:val="16"/>
          <w:szCs w:val="16"/>
        </w:rPr>
      </w:pPr>
    </w:p>
    <w:p w14:paraId="4F16A2B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26CA849" w14:textId="77777777" w:rsidR="00537E5F" w:rsidRPr="00507A31" w:rsidRDefault="00537E5F" w:rsidP="00507A31">
      <w:pPr>
        <w:autoSpaceDE w:val="0"/>
        <w:autoSpaceDN w:val="0"/>
        <w:adjustRightInd w:val="0"/>
        <w:jc w:val="both"/>
        <w:rPr>
          <w:iCs/>
          <w:color w:val="000000" w:themeColor="text1"/>
          <w:sz w:val="16"/>
          <w:szCs w:val="16"/>
        </w:rPr>
      </w:pPr>
    </w:p>
    <w:p w14:paraId="0D80CA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состоялось совещание технических руководителей отдела АГОС о ходе работ по АНТ-6 (ТБ-3) (1077,121).</w:t>
      </w:r>
    </w:p>
    <w:p w14:paraId="20EAD26B" w14:textId="77777777" w:rsidR="00537E5F" w:rsidRPr="00507A31" w:rsidRDefault="00537E5F" w:rsidP="00507A31">
      <w:pPr>
        <w:autoSpaceDE w:val="0"/>
        <w:autoSpaceDN w:val="0"/>
        <w:adjustRightInd w:val="0"/>
        <w:jc w:val="both"/>
        <w:rPr>
          <w:color w:val="000000" w:themeColor="text1"/>
          <w:sz w:val="16"/>
          <w:szCs w:val="16"/>
        </w:rPr>
      </w:pPr>
    </w:p>
    <w:p w14:paraId="6B9708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года был издан совместный циркуляр ВСНХ и ОГПУ "Об использовании на производстве специалистов, осужденных за вредительство". В нем, в частности, указывалось: "В настоящее время следует считать, что основная группа вредителей изъята из нашего хозяйственного аппарата. Однако удар, нанесенный нашему народному хозяйству, чрезвычайно велик. В этом деле при правильной его постановке могут и должны быть использованы инженеры-вредители. Использование вредителей следует организовать таким образом, чтобы их работа проходила главным образом в помещениях ОГПУ. В отдельных случаях можно откомандировывать осужденных инженеров в сопровождении уполномоченных для работы непосредственно на заводе". Этим циркуляром было положено начало созданию так называемых шарашек. Часть очень ценных специалистов получила возможность, правда весьма ограниченную, работать на производстве (11025).</w:t>
      </w:r>
    </w:p>
    <w:p w14:paraId="1C28F284" w14:textId="77777777" w:rsidR="00537E5F" w:rsidRPr="00507A31" w:rsidRDefault="00537E5F" w:rsidP="00507A31">
      <w:pPr>
        <w:autoSpaceDE w:val="0"/>
        <w:autoSpaceDN w:val="0"/>
        <w:adjustRightInd w:val="0"/>
        <w:jc w:val="both"/>
        <w:rPr>
          <w:color w:val="000000" w:themeColor="text1"/>
          <w:sz w:val="16"/>
          <w:szCs w:val="16"/>
        </w:rPr>
      </w:pPr>
    </w:p>
    <w:p w14:paraId="69EC68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года в совместном циркуляре ВСНХ и ОГПУ "Об использовании на производстве специалистов, осужденных за вредительство", подписанном председателем ВСНХ СССР В.В. Куйбышевым и заместителем председателя ОГПУ Г.Э. Ягодой, читаем:</w:t>
      </w:r>
    </w:p>
    <w:p w14:paraId="2D8038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«Резюмируя все вредительские мероприятия, совершенные вредительскими организациями Авиатреста и УВВС, имевшие конечной своей целью срыв планомерного снабжения УВВС современными типами боевых самолетов и снабжение УВВС устарелыми конструкциями, необходимо на ходу, не замедляя поступательного движения социалистического строительства, исправить и обезвредить результаты вредительства.</w:t>
      </w:r>
    </w:p>
    <w:p w14:paraId="2B0B6D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Органам ОГПУ принять все меры к тому, чтобы в деле исправления вредительства были использованы инженеры-вредители...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приспособлениями» (11436).</w:t>
      </w:r>
    </w:p>
    <w:p w14:paraId="70699013" w14:textId="77777777" w:rsidR="00537E5F" w:rsidRPr="00507A31" w:rsidRDefault="00537E5F" w:rsidP="00507A31">
      <w:pPr>
        <w:autoSpaceDE w:val="0"/>
        <w:autoSpaceDN w:val="0"/>
        <w:adjustRightInd w:val="0"/>
        <w:jc w:val="both"/>
        <w:rPr>
          <w:iCs/>
          <w:color w:val="000000" w:themeColor="text1"/>
          <w:sz w:val="16"/>
          <w:szCs w:val="16"/>
        </w:rPr>
      </w:pPr>
    </w:p>
    <w:p w14:paraId="166BF74E" w14:textId="77777777" w:rsidR="006807D6" w:rsidRPr="00507A31" w:rsidRDefault="006807D6" w:rsidP="00507A31">
      <w:pPr>
        <w:pStyle w:val="ae"/>
        <w:shd w:val="clear" w:color="auto" w:fill="FFFFFF"/>
        <w:spacing w:before="0" w:after="0"/>
        <w:jc w:val="both"/>
        <w:rPr>
          <w:color w:val="0070C0"/>
          <w:sz w:val="16"/>
          <w:szCs w:val="16"/>
        </w:rPr>
      </w:pPr>
      <w:r w:rsidRPr="00507A31">
        <w:rPr>
          <w:color w:val="0070C0"/>
          <w:sz w:val="16"/>
          <w:szCs w:val="16"/>
        </w:rPr>
        <w:t>15 мая 1930 года был издан совместный закрытый циркуляр ВСНХ СССР и ОГПУ «Об использовании на производстве специалистов, осужденных за вредительство». В этом документе констатировалось: «В настоящее время следует считать, что основная группа вредителей изъята из хозяйственного аппарата. Однако удар, нанесенный нашему народному хозяйству, чрезвычайно велик. В этом деле, при правильной его постановке, могут быть и должны быть использованы инженеры-вредители, осужденные органами ОГПУ. В отдельных случаях можно откомандировывать осужденных инженеров в сопровождении уполномоченных для работы непосредственно на заводе».</w:t>
      </w:r>
    </w:p>
    <w:p w14:paraId="46FB196B" w14:textId="77777777" w:rsidR="006807D6" w:rsidRPr="00507A31" w:rsidRDefault="006807D6" w:rsidP="00507A31">
      <w:pPr>
        <w:pStyle w:val="ae"/>
        <w:shd w:val="clear" w:color="auto" w:fill="FFFFFF"/>
        <w:spacing w:before="0" w:after="0"/>
        <w:jc w:val="both"/>
        <w:rPr>
          <w:color w:val="0070C0"/>
          <w:sz w:val="16"/>
          <w:szCs w:val="16"/>
        </w:rPr>
      </w:pPr>
      <w:r w:rsidRPr="00507A31">
        <w:rPr>
          <w:color w:val="0070C0"/>
          <w:sz w:val="16"/>
          <w:szCs w:val="16"/>
        </w:rPr>
        <w:t>Данным циркуляром было положено начало созданию ныне хорошо известных «шарашек». После его появления часть наиболее ценных специалистов военной промышленности получила возможность, правда, весьма ограниченную, работать на производстве. Вместе с тем рождение этого документа – очевидное признание чрезвычайно глубокого кадрового кризиса, постигшего военное производство в ходе искоренения вредительства (20981).</w:t>
      </w:r>
    </w:p>
    <w:p w14:paraId="2A0AEC8C" w14:textId="77777777" w:rsidR="006807D6" w:rsidRPr="00507A31" w:rsidRDefault="006807D6" w:rsidP="00507A31">
      <w:pPr>
        <w:pStyle w:val="ae"/>
        <w:shd w:val="clear" w:color="auto" w:fill="FFFFFF"/>
        <w:spacing w:before="0" w:after="0"/>
        <w:jc w:val="both"/>
        <w:rPr>
          <w:color w:val="0070C0"/>
          <w:sz w:val="16"/>
          <w:szCs w:val="16"/>
        </w:rPr>
      </w:pPr>
    </w:p>
    <w:p w14:paraId="1CC912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15 мая 1930 г. согласно циркуляру, подписанному председателем ВСНХ</w:t>
      </w:r>
      <w:r w:rsidR="00984C86" w:rsidRPr="00507A31">
        <w:rPr>
          <w:color w:val="000000" w:themeColor="text1"/>
          <w:sz w:val="16"/>
          <w:szCs w:val="16"/>
        </w:rPr>
        <w:fldChar w:fldCharType="begin"/>
      </w:r>
      <w:r w:rsidR="00984C86" w:rsidRPr="00507A31">
        <w:rPr>
          <w:color w:val="000000" w:themeColor="text1"/>
          <w:sz w:val="16"/>
          <w:szCs w:val="16"/>
        </w:rPr>
        <w:instrText xml:space="preserve">ref HYPERLINK  \l "read_n_63" \* MERGEFORMAT </w:instrText>
      </w:r>
      <w:r w:rsidR="00984C86" w:rsidRPr="00507A31">
        <w:rPr>
          <w:color w:val="000000" w:themeColor="text1"/>
          <w:sz w:val="16"/>
          <w:szCs w:val="16"/>
        </w:rPr>
        <w:fldChar w:fldCharType="separate"/>
      </w:r>
      <w:r w:rsidRPr="00507A31">
        <w:rPr>
          <w:color w:val="000000" w:themeColor="text1"/>
          <w:sz w:val="16"/>
          <w:szCs w:val="16"/>
          <w:u w:val="single"/>
        </w:rPr>
        <w:t>[63]</w:t>
      </w:r>
      <w:r w:rsidR="00984C86" w:rsidRPr="00507A31">
        <w:rPr>
          <w:color w:val="000000" w:themeColor="text1"/>
          <w:sz w:val="16"/>
          <w:szCs w:val="16"/>
          <w:u w:val="single"/>
        </w:rPr>
        <w:fldChar w:fldCharType="end"/>
      </w:r>
      <w:r w:rsidRPr="00507A31">
        <w:rPr>
          <w:color w:val="000000" w:themeColor="text1"/>
          <w:sz w:val="16"/>
          <w:szCs w:val="16"/>
        </w:rPr>
        <w:t xml:space="preserve"> В. В. Куйбышевым и заместителем председателя ОГПУ Г. Ягодой, начали создаваться шараги. В циркуляре говорилось, что «за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(12091).</w:t>
      </w:r>
    </w:p>
    <w:p w14:paraId="68D6A99C" w14:textId="77777777" w:rsidR="00537E5F" w:rsidRPr="00507A31" w:rsidRDefault="00537E5F" w:rsidP="00507A31">
      <w:pPr>
        <w:autoSpaceDE w:val="0"/>
        <w:autoSpaceDN w:val="0"/>
        <w:adjustRightInd w:val="0"/>
        <w:jc w:val="both"/>
        <w:rPr>
          <w:color w:val="000000" w:themeColor="text1"/>
          <w:sz w:val="16"/>
          <w:szCs w:val="16"/>
        </w:rPr>
      </w:pPr>
    </w:p>
    <w:p w14:paraId="0E35B6F8" w14:textId="77777777" w:rsidR="00832C79" w:rsidRPr="00507A31" w:rsidRDefault="00832C79" w:rsidP="00507A31">
      <w:pPr>
        <w:jc w:val="both"/>
        <w:rPr>
          <w:color w:val="000000" w:themeColor="text1"/>
          <w:sz w:val="16"/>
          <w:szCs w:val="16"/>
        </w:rPr>
      </w:pPr>
      <w:r w:rsidRPr="00507A31">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правительственном уровне, узакониваются Особые конструкторские бюро (ОКБ) ОГПУ, как спецтюрьмы для специалистов:</w:t>
      </w:r>
    </w:p>
    <w:p w14:paraId="3DB8EDC8" w14:textId="77777777" w:rsidR="00832C79" w:rsidRPr="00507A31" w:rsidRDefault="00832C79" w:rsidP="00507A31">
      <w:pPr>
        <w:jc w:val="both"/>
        <w:rPr>
          <w:color w:val="000000" w:themeColor="text1"/>
          <w:sz w:val="16"/>
          <w:szCs w:val="16"/>
        </w:rPr>
      </w:pPr>
      <w:r w:rsidRPr="00507A31">
        <w:rPr>
          <w:color w:val="000000" w:themeColor="text1"/>
          <w:sz w:val="16"/>
          <w:szCs w:val="16"/>
        </w:rPr>
        <w:t>«за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(15719).</w:t>
      </w:r>
    </w:p>
    <w:p w14:paraId="7A86F981" w14:textId="77777777" w:rsidR="00832C79" w:rsidRPr="00507A31" w:rsidRDefault="00832C79" w:rsidP="00507A31">
      <w:pPr>
        <w:jc w:val="both"/>
        <w:rPr>
          <w:color w:val="000000" w:themeColor="text1"/>
          <w:sz w:val="16"/>
          <w:szCs w:val="16"/>
        </w:rPr>
      </w:pPr>
    </w:p>
    <w:p w14:paraId="271EC0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 вышел циркуляр председателя ВСНХ об организации особых КБ ОГПУ и привлечении к работе в них осужденных специалистов. В феврале 1930 г. была образована ВТ-11 (Группа ВТ-11 (внутренняя тюрьма) ОГПУ, ЦКБ-39 ОГПУ при заводе № 39 /г. Москва ул. Бутырская/). Располагалась сначала в Бутырской тюрьме. В 05.1930 г. переведена на завод № 39 и преобразована в ЦКБ-39 ОГПУ. Имело неофициальное название «7-й ангар».</w:t>
      </w:r>
    </w:p>
    <w:p w14:paraId="61D090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Работали арестованные авиаконструкторы: Д.П. Григорович, Н.Н.Поликарпов, вооруженец А.В. Надашкевич, Б.Ф. Гончаров, П.М. Крейсон, И.М. Косткин,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JI</w:t>
      </w:r>
      <w:r w:rsidRPr="00507A31">
        <w:rPr>
          <w:color w:val="000000" w:themeColor="text1"/>
          <w:sz w:val="16"/>
          <w:szCs w:val="16"/>
        </w:rPr>
        <w:t>. Корвин-Кербер. Созданы: истребитель И-5 (первый полет 29.04.1930 г.), бомбардировщик ТБ-5.</w:t>
      </w:r>
    </w:p>
    <w:p w14:paraId="193982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 Григорович, оставаясь арестованным, был неофициальным техническим руководителем ЦКБ. Получив задание на создание И-</w:t>
      </w:r>
      <w:r w:rsidRPr="00507A31">
        <w:rPr>
          <w:color w:val="000000" w:themeColor="text1"/>
          <w:sz w:val="16"/>
          <w:szCs w:val="16"/>
          <w:lang w:val="en-US"/>
        </w:rPr>
        <w:t>Z</w:t>
      </w:r>
      <w:r w:rsidRPr="00507A31">
        <w:rPr>
          <w:color w:val="000000" w:themeColor="text1"/>
          <w:sz w:val="16"/>
          <w:szCs w:val="16"/>
        </w:rPr>
        <w:t>, он организовал группу конструкторов, с которой работал в ангаре № 7 завода № 39. Работали: А.Н. Седельников, В.Л. Корвин, (1930-31 г.)- А.Н. Надашкевич, Е.И. Майоранов, В.Д. Яровицкий,  Г.Е. Чупилко, С.Н. Шишкин.</w:t>
      </w:r>
    </w:p>
    <w:p w14:paraId="4E5E66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Здесь работал, будучи заключенным, И.Ф. Флоров.</w:t>
      </w:r>
    </w:p>
    <w:p w14:paraId="16866D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Заключенные по-своему расшифровывали «ВТ»- «вредители- трудящимся!».</w:t>
      </w:r>
    </w:p>
    <w:p w14:paraId="3E1B6B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05.1931 г. был освобожден Григорович, в 07.1931 г. - Поликарпов. В том же году освобождены и награждены остальные конструкторы, </w:t>
      </w:r>
      <w:r w:rsidRPr="00507A31">
        <w:rPr>
          <w:color w:val="000000" w:themeColor="text1"/>
          <w:sz w:val="16"/>
          <w:szCs w:val="16"/>
          <w:lang w:val="en-US"/>
        </w:rPr>
        <w:t>ipynna</w:t>
      </w:r>
      <w:r w:rsidRPr="00507A31">
        <w:rPr>
          <w:color w:val="000000" w:themeColor="text1"/>
          <w:sz w:val="16"/>
          <w:szCs w:val="16"/>
        </w:rPr>
        <w:t xml:space="preserve"> влита в состав ЦКБ.</w:t>
      </w:r>
    </w:p>
    <w:p w14:paraId="3D0743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(1930 г.)- около 300 чел.</w:t>
      </w:r>
    </w:p>
    <w:p w14:paraId="5AAFA3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(1930-31 г.)- Е.С. Пауфлер, А. Г. Горяинов (11982).</w:t>
      </w:r>
    </w:p>
    <w:p w14:paraId="1F25C384" w14:textId="505EE378" w:rsidR="00537E5F" w:rsidRPr="00507A31" w:rsidRDefault="00537E5F" w:rsidP="00507A31">
      <w:pPr>
        <w:jc w:val="both"/>
        <w:rPr>
          <w:color w:val="0070C0"/>
          <w:sz w:val="16"/>
          <w:szCs w:val="16"/>
        </w:rPr>
      </w:pPr>
    </w:p>
    <w:p w14:paraId="302A77BC" w14:textId="0D9EEF51" w:rsidR="00F62210" w:rsidRPr="00507A31" w:rsidRDefault="00F62210" w:rsidP="00507A31">
      <w:pPr>
        <w:jc w:val="both"/>
        <w:rPr>
          <w:color w:val="0070C0"/>
          <w:sz w:val="16"/>
          <w:szCs w:val="16"/>
        </w:rPr>
      </w:pPr>
      <w:r w:rsidRPr="00507A31">
        <w:rPr>
          <w:color w:val="0070C0"/>
          <w:sz w:val="16"/>
          <w:szCs w:val="16"/>
        </w:rPr>
        <w:t>15 мая 1930 г. вышел циркуляр Высшего Совета Народного Хозяйства и ОГПУ «Об использовании на производстве специалистов, осужденных за вредительство».</w:t>
      </w:r>
    </w:p>
    <w:p w14:paraId="058D2FB3" w14:textId="77777777" w:rsidR="00F62210" w:rsidRPr="00507A31" w:rsidRDefault="00F62210" w:rsidP="00507A31">
      <w:pPr>
        <w:jc w:val="both"/>
        <w:rPr>
          <w:color w:val="0070C0"/>
          <w:sz w:val="16"/>
          <w:szCs w:val="16"/>
        </w:rPr>
      </w:pPr>
      <w:r w:rsidRPr="00507A31">
        <w:rPr>
          <w:color w:val="0070C0"/>
          <w:sz w:val="16"/>
          <w:szCs w:val="16"/>
        </w:rPr>
        <w:t>За последние 2-3 года органами ОГПУ раскрыты контрреволюционные вредительские организации в ряде отраслей народного хозяйства. Им удалось проникнуть в наиболее важные командные органы во всех звеньях на</w:t>
      </w:r>
      <w:r w:rsidRPr="00507A31">
        <w:rPr>
          <w:color w:val="0070C0"/>
          <w:sz w:val="16"/>
          <w:szCs w:val="16"/>
        </w:rPr>
        <w:softHyphen/>
        <w:t>шего управления промышленностью, начиная с органов ВСНХ, Госплана, кончая заводоуправлением и цехом.</w:t>
      </w:r>
    </w:p>
    <w:p w14:paraId="146B8EDE" w14:textId="77777777" w:rsidR="00F62210" w:rsidRPr="00507A31" w:rsidRDefault="00F62210" w:rsidP="00507A31">
      <w:pPr>
        <w:jc w:val="both"/>
        <w:rPr>
          <w:color w:val="0070C0"/>
          <w:sz w:val="16"/>
          <w:szCs w:val="16"/>
        </w:rPr>
      </w:pPr>
      <w:r w:rsidRPr="00507A31">
        <w:rPr>
          <w:color w:val="0070C0"/>
          <w:sz w:val="16"/>
          <w:szCs w:val="16"/>
        </w:rPr>
        <w:t>...Удар, нанесенный нашему хозяйству контррево</w:t>
      </w:r>
      <w:r w:rsidRPr="00507A31">
        <w:rPr>
          <w:color w:val="0070C0"/>
          <w:sz w:val="16"/>
          <w:szCs w:val="16"/>
        </w:rPr>
        <w:softHyphen/>
        <w:t>люционными организациями, чрезвычайно велик и требует колоссальных усилий партии и рабочего класса для того, чтобы на ходу, не замедляя поступательного движения социалистического строительства, исправить и обезвредить результаты вредительства.</w:t>
      </w:r>
    </w:p>
    <w:p w14:paraId="7D548DE5" w14:textId="77777777" w:rsidR="00F62210" w:rsidRPr="00507A31" w:rsidRDefault="00F62210" w:rsidP="00507A31">
      <w:pPr>
        <w:jc w:val="both"/>
        <w:rPr>
          <w:color w:val="0070C0"/>
          <w:sz w:val="16"/>
          <w:szCs w:val="16"/>
        </w:rPr>
      </w:pPr>
      <w:r w:rsidRPr="00507A31">
        <w:rPr>
          <w:color w:val="0070C0"/>
          <w:sz w:val="16"/>
          <w:szCs w:val="16"/>
        </w:rPr>
        <w:t>Органам ОГПУ принять все меры к тому, чтобы в деле исправления вредительства были использованы инженеры вредители... Содействовать ОГПУ в том, чтобы работа вредителей протекала в наиболее нор</w:t>
      </w:r>
      <w:r w:rsidRPr="00507A31">
        <w:rPr>
          <w:color w:val="0070C0"/>
          <w:sz w:val="16"/>
          <w:szCs w:val="16"/>
        </w:rPr>
        <w:softHyphen/>
        <w:t>мальных условиях, а именно снабдить их необходимой литературой, материалами и приспособлениями...</w:t>
      </w:r>
    </w:p>
    <w:p w14:paraId="2FD493B0" w14:textId="77777777" w:rsidR="00F62210" w:rsidRPr="00507A31" w:rsidRDefault="00F62210" w:rsidP="00507A31">
      <w:pPr>
        <w:jc w:val="both"/>
        <w:rPr>
          <w:color w:val="0070C0"/>
          <w:sz w:val="16"/>
          <w:szCs w:val="16"/>
        </w:rPr>
      </w:pPr>
      <w:r w:rsidRPr="00507A31">
        <w:rPr>
          <w:color w:val="0070C0"/>
          <w:sz w:val="16"/>
          <w:szCs w:val="16"/>
        </w:rPr>
        <w:t>Председатель ВСНХ СССР В.Куйбышев.</w:t>
      </w:r>
    </w:p>
    <w:p w14:paraId="09328668" w14:textId="4E7DAD4D" w:rsidR="00F62210" w:rsidRPr="00507A31" w:rsidRDefault="00F62210" w:rsidP="00507A31">
      <w:pPr>
        <w:jc w:val="both"/>
        <w:rPr>
          <w:color w:val="0070C0"/>
          <w:sz w:val="16"/>
          <w:szCs w:val="16"/>
        </w:rPr>
      </w:pPr>
      <w:r w:rsidRPr="00507A31">
        <w:rPr>
          <w:color w:val="0070C0"/>
          <w:sz w:val="16"/>
          <w:szCs w:val="16"/>
        </w:rPr>
        <w:t>Зам. Председателя ОГПУ Г.Ягода» (23194).</w:t>
      </w:r>
    </w:p>
    <w:p w14:paraId="523DB629" w14:textId="77777777" w:rsidR="00F62210" w:rsidRPr="00507A31" w:rsidRDefault="00F62210" w:rsidP="00507A31">
      <w:pPr>
        <w:autoSpaceDE w:val="0"/>
        <w:autoSpaceDN w:val="0"/>
        <w:adjustRightInd w:val="0"/>
        <w:jc w:val="both"/>
        <w:rPr>
          <w:color w:val="000000" w:themeColor="text1"/>
          <w:sz w:val="16"/>
          <w:szCs w:val="16"/>
        </w:rPr>
      </w:pPr>
    </w:p>
    <w:p w14:paraId="06CA58E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BC04C83" w14:textId="77777777" w:rsidR="00537E5F" w:rsidRPr="00507A31" w:rsidRDefault="00537E5F" w:rsidP="00507A31">
      <w:pPr>
        <w:autoSpaceDE w:val="0"/>
        <w:autoSpaceDN w:val="0"/>
        <w:adjustRightInd w:val="0"/>
        <w:jc w:val="both"/>
        <w:rPr>
          <w:iCs/>
          <w:color w:val="000000" w:themeColor="text1"/>
          <w:sz w:val="16"/>
          <w:szCs w:val="16"/>
        </w:rPr>
      </w:pPr>
    </w:p>
    <w:p w14:paraId="3B440D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года вышел циркуляр, согласно которому стали насаждаться особые конструкторские бюро ОГПУ (НКВД), подписанному председателем ВСНХ Валерианом Куйбышевым и заместителем председателя ОГПУ Генрихом Ягодой. В этом документе говорилось, что "за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(11231).</w:t>
      </w:r>
    </w:p>
    <w:p w14:paraId="3CD3B930" w14:textId="77777777" w:rsidR="00537E5F" w:rsidRPr="00507A31" w:rsidRDefault="00537E5F" w:rsidP="00507A31">
      <w:pPr>
        <w:autoSpaceDE w:val="0"/>
        <w:autoSpaceDN w:val="0"/>
        <w:adjustRightInd w:val="0"/>
        <w:jc w:val="both"/>
        <w:rPr>
          <w:color w:val="000000" w:themeColor="text1"/>
          <w:sz w:val="16"/>
          <w:szCs w:val="16"/>
        </w:rPr>
      </w:pPr>
    </w:p>
    <w:p w14:paraId="217436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правительственным уровне, узакониваются Особые конструкторские бюро (ОКБ) ОГПУ: "Использовать вредителей… таким образом, чтобы работа их проходила главным образом в помещении органов ОГПУ" (12107).</w:t>
      </w:r>
    </w:p>
    <w:p w14:paraId="025186CC" w14:textId="77777777" w:rsidR="00537E5F" w:rsidRPr="00507A31" w:rsidRDefault="00537E5F" w:rsidP="00507A31">
      <w:pPr>
        <w:autoSpaceDE w:val="0"/>
        <w:autoSpaceDN w:val="0"/>
        <w:adjustRightInd w:val="0"/>
        <w:jc w:val="both"/>
        <w:rPr>
          <w:color w:val="000000" w:themeColor="text1"/>
          <w:sz w:val="16"/>
          <w:szCs w:val="16"/>
        </w:rPr>
      </w:pPr>
    </w:p>
    <w:p w14:paraId="0CAD02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мая 1930 года вышел Циркуляр ВСНХ и ОГПУ об использовании труда специалистов, арестованных за контрреволюционную деятельность (11711). </w:t>
      </w:r>
    </w:p>
    <w:p w14:paraId="643CF9D1" w14:textId="77777777" w:rsidR="00537E5F" w:rsidRPr="00507A31" w:rsidRDefault="00537E5F" w:rsidP="00507A31">
      <w:pPr>
        <w:autoSpaceDE w:val="0"/>
        <w:autoSpaceDN w:val="0"/>
        <w:adjustRightInd w:val="0"/>
        <w:jc w:val="both"/>
        <w:rPr>
          <w:color w:val="000000" w:themeColor="text1"/>
          <w:sz w:val="16"/>
          <w:szCs w:val="16"/>
        </w:rPr>
      </w:pPr>
    </w:p>
    <w:p w14:paraId="1248B537" w14:textId="77777777" w:rsidR="00CE1199" w:rsidRPr="00507A31" w:rsidRDefault="00CE1199" w:rsidP="00507A31">
      <w:pPr>
        <w:shd w:val="clear" w:color="auto" w:fill="FFFFFF"/>
        <w:jc w:val="both"/>
        <w:rPr>
          <w:color w:val="000000" w:themeColor="text1"/>
          <w:sz w:val="16"/>
          <w:szCs w:val="16"/>
        </w:rPr>
      </w:pPr>
      <w:r w:rsidRPr="00507A31">
        <w:rPr>
          <w:color w:val="000000" w:themeColor="text1"/>
          <w:sz w:val="16"/>
          <w:szCs w:val="16"/>
        </w:rPr>
        <w:t xml:space="preserve">15 мая </w:t>
      </w:r>
      <w:bookmarkStart w:id="46" w:name="YANDEX_30"/>
      <w:bookmarkEnd w:id="46"/>
      <w:r w:rsidRPr="00507A31">
        <w:rPr>
          <w:rStyle w:val="highlight"/>
          <w:color w:val="000000" w:themeColor="text1"/>
          <w:sz w:val="16"/>
          <w:szCs w:val="16"/>
        </w:rPr>
        <w:t> 1930 </w:t>
      </w:r>
      <w:r w:rsidRPr="00507A31">
        <w:rPr>
          <w:color w:val="000000" w:themeColor="text1"/>
          <w:sz w:val="16"/>
          <w:szCs w:val="16"/>
        </w:rPr>
        <w:t xml:space="preserve"> года был издан совместный закрытый циркуляр ВСНХ СССР и ОГПУ «Об использовании на производстве специалистов, осужденных за вредительство». В этом документе констатировалось: «В настоящее время следует считать, что основная группа вредителей изъята из хозяйственного аппарата. Однако удар, нанесенный нашему народному хозяйству, чрезвычайно велик. В этом деле, при правильной его постановке, могут быть и должны быть использованы инженеры-вредители, осужденные органами ОГПУ. В отдельных случаях можно откомандировывать осужденных инженеров в сопровождении уполномоченных для работы непосредственно на </w:t>
      </w:r>
      <w:bookmarkStart w:id="47" w:name="YANDEX_31"/>
      <w:bookmarkEnd w:id="47"/>
      <w:r w:rsidRPr="00507A31">
        <w:rPr>
          <w:rStyle w:val="highlight"/>
          <w:color w:val="000000" w:themeColor="text1"/>
          <w:sz w:val="16"/>
          <w:szCs w:val="16"/>
        </w:rPr>
        <w:t> заводе </w:t>
      </w:r>
      <w:r w:rsidRPr="00507A31">
        <w:rPr>
          <w:color w:val="000000" w:themeColor="text1"/>
          <w:sz w:val="16"/>
          <w:szCs w:val="16"/>
        </w:rPr>
        <w:t>». Данным циркуляром было положено начало созданию ныне хорошо известных «шарашек». После его появления часть наиболее ценных специалистов военной промышленности получила возможность, правда, весьма ограниченную, работать на производстве. Вместе с тем рождение этого документа – очевидное признание чрезвычайно глубокого кадрового кризиса, постигшего военное производство в ходе искоренения вредительства (17235).</w:t>
      </w:r>
    </w:p>
    <w:p w14:paraId="0A5CB190" w14:textId="77777777" w:rsidR="00CE1199" w:rsidRPr="00507A31" w:rsidRDefault="00CE1199" w:rsidP="00507A31">
      <w:pPr>
        <w:autoSpaceDE w:val="0"/>
        <w:autoSpaceDN w:val="0"/>
        <w:adjustRightInd w:val="0"/>
        <w:jc w:val="both"/>
        <w:rPr>
          <w:color w:val="000000" w:themeColor="text1"/>
          <w:sz w:val="16"/>
          <w:szCs w:val="16"/>
        </w:rPr>
      </w:pPr>
    </w:p>
    <w:p w14:paraId="211485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мая 1930 года появился "Циркуляр Высшего Совета Народного Хозяйства и Объединенного государственного политического управления" об "использовании на производствах специалистов, осужденных за вредительство". Сей документ был подписан В.В.Куйбышевым и Г.Г.Ягодой и содержал формулу решения: "Использование вредителей следует организовать таким образом, чтобы работа их проходила в помещениях органов ОГПУ". Однако не стоит приписывать товарищам Куйбышеву-Ягоде больше, чем они заслуживают. Незадолго до их решения появилось еще более мудрое и директивное, а именно постановление Политбюро ЦК ВКП(б) от 25 февраля 1930 года о недостатках в работе военной промышленности. Именно этим документом с самого верха властной пирамиды было указано направление поиска виноватых. Ими оказались "вредители", активный отлов которых был поставлен на поток. А конкретный способ использования "вредителей" был определен СНК СССР, утвердившим 30 апреля 1930 года положение об исправительно-трудовых лагерях, которые передавались в систему ОГПУ. </w:t>
      </w:r>
    </w:p>
    <w:p w14:paraId="2B5B15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Применительно к военно-биологической проблематике практически сошлись два вектора. С одной стороны, ОГПУ хотело иметь свою базу для работы с опасными бактериями и вирусами в связи с решением собственных террористических задач. С другой стороны, ВОХИМУ после 1930 года, когда во Власихе новая лаборатория была создана не для них, а для ВСУ, было вынуждено продолжить поиски места вне Москвы для опытов с самыми опасными инфекциями в связи с созданием биологического оружия. </w:t>
      </w:r>
    </w:p>
    <w:p w14:paraId="60435D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общем в 1930-1931 годах доблестные советские органы "раскрыли" несколько групп микробиологов - "шпионов и террористов". Поскольку работа была поставлена на серьезную основу, в их орбиту попал сильнейший в научном отношении состав биологов-заключенных, что позволяло вести военно-биологические работы не только в нормальном режиме (силами свободных микробиологов из Москвы из ИХО РККА), но и в режиме "шарашки", когда заключенные из других городов одновременно были и исследователями, а иногда и подопытным материалом. </w:t>
      </w:r>
    </w:p>
    <w:p w14:paraId="1364FA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Таковы предпосылки возникновения БОН ОО ОГПУ, то есть Бюро особого назначения Особого отдела ОГПУ (11776).</w:t>
      </w:r>
    </w:p>
    <w:p w14:paraId="23F5F472" w14:textId="77777777" w:rsidR="00537E5F" w:rsidRPr="00507A31" w:rsidRDefault="00537E5F" w:rsidP="00507A31">
      <w:pPr>
        <w:autoSpaceDE w:val="0"/>
        <w:autoSpaceDN w:val="0"/>
        <w:adjustRightInd w:val="0"/>
        <w:jc w:val="both"/>
        <w:rPr>
          <w:color w:val="000000" w:themeColor="text1"/>
          <w:sz w:val="16"/>
          <w:szCs w:val="16"/>
        </w:rPr>
      </w:pPr>
    </w:p>
    <w:p w14:paraId="2DAF83D2" w14:textId="77777777" w:rsidR="00D60CF6" w:rsidRPr="00507A31" w:rsidRDefault="00D60CF6" w:rsidP="00507A31">
      <w:pPr>
        <w:jc w:val="both"/>
        <w:rPr>
          <w:color w:val="000000" w:themeColor="text1"/>
          <w:sz w:val="16"/>
          <w:szCs w:val="16"/>
        </w:rPr>
      </w:pPr>
      <w:r w:rsidRPr="00507A31">
        <w:rPr>
          <w:color w:val="000000" w:themeColor="text1"/>
          <w:sz w:val="16"/>
          <w:szCs w:val="16"/>
        </w:rPr>
        <w:t>15 мая 1930 г. согласно циркуляру, подписанного председателем ВСНХ В. В. Куйбышевым и заместителем председателя ОГПУ Г. Ягодой, стали создаваться Особые конструкторские бюро ОГПУ (НКВД). В циркуляре говорилось, что «за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(12129).</w:t>
      </w:r>
    </w:p>
    <w:p w14:paraId="4160D0ED" w14:textId="77777777" w:rsidR="00D60CF6" w:rsidRPr="00507A31" w:rsidRDefault="00D60CF6" w:rsidP="00507A31">
      <w:pPr>
        <w:jc w:val="both"/>
        <w:rPr>
          <w:color w:val="000000" w:themeColor="text1"/>
          <w:sz w:val="16"/>
          <w:szCs w:val="16"/>
        </w:rPr>
      </w:pPr>
    </w:p>
    <w:p w14:paraId="3A3BF26F" w14:textId="77777777" w:rsidR="00D60CF6" w:rsidRPr="00507A31" w:rsidRDefault="00D60CF6" w:rsidP="00507A31">
      <w:pPr>
        <w:jc w:val="both"/>
        <w:rPr>
          <w:color w:val="000000" w:themeColor="text1"/>
          <w:sz w:val="16"/>
          <w:szCs w:val="16"/>
        </w:rPr>
      </w:pPr>
      <w:r w:rsidRPr="00507A31">
        <w:rPr>
          <w:color w:val="000000" w:themeColor="text1"/>
          <w:sz w:val="16"/>
          <w:szCs w:val="16"/>
        </w:rPr>
        <w:t xml:space="preserve">15 мая 1930 г. заместитель председателя ОГПУ Генрих Ягода подписывает у председателя ВСНХ Валериана Куйбышева циркуляр, которым, на правительственным уровне, узакониваются Особые конструкторские бюро (ОКБ) ОГПУ: </w:t>
      </w:r>
    </w:p>
    <w:p w14:paraId="28D05A1A" w14:textId="77777777" w:rsidR="00D60CF6" w:rsidRPr="00507A31" w:rsidRDefault="00D60CF6" w:rsidP="00507A31">
      <w:pPr>
        <w:pStyle w:val="Blockquote"/>
        <w:spacing w:before="0" w:after="0"/>
        <w:ind w:left="0" w:right="0"/>
        <w:jc w:val="both"/>
        <w:rPr>
          <w:color w:val="000000" w:themeColor="text1"/>
          <w:sz w:val="16"/>
          <w:szCs w:val="16"/>
          <w:lang w:val="ru-RU"/>
        </w:rPr>
      </w:pPr>
      <w:r w:rsidRPr="00507A31">
        <w:rPr>
          <w:color w:val="000000" w:themeColor="text1"/>
          <w:sz w:val="16"/>
          <w:szCs w:val="16"/>
          <w:lang w:val="ru-RU"/>
        </w:rPr>
        <w:t>"Использовать вредителей… таким образом, чтобы работа их проходила главным образом в помещении органов ОГПУ".</w:t>
      </w:r>
    </w:p>
    <w:p w14:paraId="5C1D5FC0" w14:textId="77777777" w:rsidR="00D60CF6" w:rsidRPr="00507A31" w:rsidRDefault="00D60CF6" w:rsidP="00507A31">
      <w:pPr>
        <w:jc w:val="both"/>
        <w:rPr>
          <w:color w:val="000000" w:themeColor="text1"/>
          <w:sz w:val="16"/>
          <w:szCs w:val="16"/>
        </w:rPr>
      </w:pPr>
      <w:r w:rsidRPr="00507A31">
        <w:rPr>
          <w:color w:val="000000" w:themeColor="text1"/>
          <w:sz w:val="16"/>
          <w:szCs w:val="16"/>
        </w:rPr>
        <w:t xml:space="preserve">Для выполнения работ по совершенствованию структуры ЭКУ, В. Р. Менжинский 11.02.31 г. просит Сталина вернуть в центральную структуру ЭКУ Льва Григорьевича Миронова, направленного в 1926 г. Полномочным представителем ЭКУ в Средней Азии. </w:t>
      </w:r>
    </w:p>
    <w:p w14:paraId="6DEF2D73" w14:textId="77777777" w:rsidR="00D60CF6" w:rsidRPr="00507A31" w:rsidRDefault="00D60CF6" w:rsidP="00507A31">
      <w:pPr>
        <w:jc w:val="both"/>
        <w:rPr>
          <w:color w:val="000000" w:themeColor="text1"/>
          <w:sz w:val="16"/>
          <w:szCs w:val="16"/>
        </w:rPr>
      </w:pPr>
      <w:r w:rsidRPr="00507A31">
        <w:rPr>
          <w:color w:val="000000" w:themeColor="text1"/>
          <w:sz w:val="16"/>
          <w:szCs w:val="16"/>
        </w:rPr>
        <w:lastRenderedPageBreak/>
        <w:t>Приказом ОГПУ № 160/96 от 1 апреля 1931 г.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(12129).</w:t>
      </w:r>
    </w:p>
    <w:p w14:paraId="0BAF99C7" w14:textId="77777777" w:rsidR="00D60CF6" w:rsidRPr="00507A31" w:rsidRDefault="00D60CF6" w:rsidP="00507A31">
      <w:pPr>
        <w:jc w:val="both"/>
        <w:rPr>
          <w:color w:val="000000" w:themeColor="text1"/>
          <w:sz w:val="16"/>
          <w:szCs w:val="16"/>
        </w:rPr>
      </w:pPr>
    </w:p>
    <w:p w14:paraId="6AAB2AA7" w14:textId="77777777" w:rsidR="00227552" w:rsidRPr="00507A31" w:rsidRDefault="00227552" w:rsidP="00507A31">
      <w:pPr>
        <w:jc w:val="both"/>
        <w:rPr>
          <w:color w:val="000000" w:themeColor="text1"/>
          <w:sz w:val="16"/>
          <w:szCs w:val="16"/>
        </w:rPr>
      </w:pPr>
      <w:r w:rsidRPr="00507A31">
        <w:rPr>
          <w:color w:val="000000" w:themeColor="text1"/>
          <w:sz w:val="16"/>
          <w:szCs w:val="16"/>
        </w:rPr>
        <w:t>15 мая 1930 года появился «Циркуляр Высшего Совета Народного Хозяйства и Объединенного государственного политического управления» об «использовании на производствах специалистов, осужденных за вредительство», подписанного В. В. Куйбышевым и Г. Г. Ягодой. В частности, в этом документе говорилось: "Использование вредителей следует организовать таким образом, чтобы работа их проходила в помещениях органов ОГПУ"</w:t>
      </w:r>
    </w:p>
    <w:p w14:paraId="43902DD2" w14:textId="77777777" w:rsidR="00227552" w:rsidRPr="00507A31" w:rsidRDefault="00227552" w:rsidP="00507A31">
      <w:pPr>
        <w:jc w:val="both"/>
        <w:rPr>
          <w:color w:val="000000" w:themeColor="text1"/>
          <w:sz w:val="16"/>
          <w:szCs w:val="16"/>
        </w:rPr>
      </w:pPr>
      <w:r w:rsidRPr="00507A31">
        <w:rPr>
          <w:color w:val="000000" w:themeColor="text1"/>
          <w:sz w:val="16"/>
          <w:szCs w:val="16"/>
        </w:rPr>
        <w:t>Так появилась первая система научно-технических тюрем — «шарашек» для использования «вредителей» в интересах военного производства.</w:t>
      </w:r>
    </w:p>
    <w:p w14:paraId="0D3AB360" w14:textId="77777777" w:rsidR="00227552" w:rsidRPr="00507A31" w:rsidRDefault="00227552" w:rsidP="00507A31">
      <w:pPr>
        <w:jc w:val="both"/>
        <w:rPr>
          <w:color w:val="000000" w:themeColor="text1"/>
          <w:sz w:val="16"/>
          <w:szCs w:val="16"/>
        </w:rPr>
      </w:pPr>
      <w:r w:rsidRPr="00507A31">
        <w:rPr>
          <w:color w:val="000000" w:themeColor="text1"/>
          <w:sz w:val="16"/>
          <w:szCs w:val="16"/>
        </w:rPr>
        <w:t>В 1930 году для этой цели было организовано Техническое отделение ЭКУ ОГПУ, руководивший работами специальных ОКБ, использовавших труд заключенных специалистов. Начальник ЭКУ ОГПУ (1930—1936) — Л. Г. Миронов (Каган) — комиссар госбезопасности 2 ранга. В 1931—1936 годах в целях конспирации Техническому отделению последовательно присваивались номера, 5-го, 8-го, 11-го и 7-го отделений ЭКУ ОГПУ СССР (начальник Горянов-Горный А. Г. (Пенкнович) 1930 −1934 гг.) (18663).</w:t>
      </w:r>
    </w:p>
    <w:p w14:paraId="20001470" w14:textId="77777777" w:rsidR="00227552" w:rsidRPr="00507A31" w:rsidRDefault="00227552" w:rsidP="00507A31">
      <w:pPr>
        <w:jc w:val="both"/>
        <w:rPr>
          <w:color w:val="000000" w:themeColor="text1"/>
          <w:sz w:val="16"/>
          <w:szCs w:val="16"/>
        </w:rPr>
      </w:pPr>
    </w:p>
    <w:p w14:paraId="3E1CC6C2" w14:textId="77777777" w:rsidR="00227552" w:rsidRPr="00507A31" w:rsidRDefault="00227552" w:rsidP="00507A31">
      <w:pPr>
        <w:jc w:val="both"/>
        <w:rPr>
          <w:color w:val="000000" w:themeColor="text1"/>
          <w:sz w:val="16"/>
          <w:szCs w:val="16"/>
        </w:rPr>
      </w:pPr>
      <w:r w:rsidRPr="00507A31">
        <w:rPr>
          <w:color w:val="000000" w:themeColor="text1"/>
          <w:sz w:val="16"/>
          <w:szCs w:val="16"/>
        </w:rPr>
        <w:t>15 мая 1930 г. появился особый Циркуляр, подписанный председателем ОГПУ Ягодой и председателем ВСНХ4 Куйбышевым, который предлагал «…использовать вредителей …таким образом, чтобы работа их проходила главным образом в помещении органов ОГПУ. …Оказывать им содействие в деле постановки опытных работ…». Но, фактически к этому времени первое тюремное конструкторское бюро уже существовало. Попавших в разряд «вредителей» специалистов по самолетостроению и авиадвигателям ОГПУ сосредоточило в Бутырской тюрьме, где они еще в декабре 1929 г. занимались конструированием новых самолетов. Циркуляр от 15 мая 1930 г. давал возможность широко использовать опыт Бутырской тюрьмы. Причем, инженеров – «вредителей» предполагалось использовать исключительно в области «производства новых средств вооружения армии и флота». Такие тюремные КБ были организованы в Москве, Ленинграде, Таганроге, Ростове, Казани (18666).</w:t>
      </w:r>
    </w:p>
    <w:p w14:paraId="7101D18C" w14:textId="77777777" w:rsidR="00227552" w:rsidRPr="00507A31" w:rsidRDefault="00227552" w:rsidP="00507A31">
      <w:pPr>
        <w:jc w:val="both"/>
        <w:rPr>
          <w:color w:val="000000" w:themeColor="text1"/>
          <w:sz w:val="16"/>
          <w:szCs w:val="16"/>
        </w:rPr>
      </w:pPr>
    </w:p>
    <w:p w14:paraId="6DD0D63A" w14:textId="77777777" w:rsidR="00227552" w:rsidRPr="00507A31" w:rsidRDefault="00227552" w:rsidP="00507A31">
      <w:pPr>
        <w:jc w:val="both"/>
        <w:rPr>
          <w:color w:val="000000" w:themeColor="text1"/>
          <w:sz w:val="16"/>
          <w:szCs w:val="16"/>
        </w:rPr>
      </w:pPr>
      <w:r w:rsidRPr="00507A31">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правительственным уровне, узакониваются Особые конструкторские бюро (ОКБ) ОГПУ: «Использовать вредителей… таким образом, чтобы работа их проходила главным образом в помещении органов ОГПУ» (18668).</w:t>
      </w:r>
    </w:p>
    <w:p w14:paraId="7FB75E56" w14:textId="77777777" w:rsidR="00227552" w:rsidRPr="00507A31" w:rsidRDefault="00227552" w:rsidP="00507A31">
      <w:pPr>
        <w:jc w:val="both"/>
        <w:rPr>
          <w:color w:val="000000" w:themeColor="text1"/>
          <w:sz w:val="16"/>
          <w:szCs w:val="16"/>
        </w:rPr>
      </w:pPr>
    </w:p>
    <w:p w14:paraId="38AAFF68" w14:textId="77777777" w:rsidR="00227552" w:rsidRPr="00507A31" w:rsidRDefault="00227552" w:rsidP="00507A31">
      <w:pPr>
        <w:jc w:val="both"/>
        <w:rPr>
          <w:color w:val="000000" w:themeColor="text1"/>
          <w:sz w:val="16"/>
          <w:szCs w:val="16"/>
        </w:rPr>
      </w:pPr>
      <w:r w:rsidRPr="00507A31">
        <w:rPr>
          <w:color w:val="000000" w:themeColor="text1"/>
          <w:sz w:val="16"/>
          <w:szCs w:val="16"/>
        </w:rPr>
        <w:t>15-го мая 1930 года</w:t>
      </w:r>
    </w:p>
    <w:p w14:paraId="1314FD7E" w14:textId="77777777" w:rsidR="00227552" w:rsidRPr="00507A31" w:rsidRDefault="00227552" w:rsidP="00507A31">
      <w:pPr>
        <w:jc w:val="both"/>
        <w:rPr>
          <w:color w:val="000000" w:themeColor="text1"/>
          <w:sz w:val="16"/>
          <w:szCs w:val="16"/>
        </w:rPr>
      </w:pPr>
      <w:r w:rsidRPr="00507A31">
        <w:rPr>
          <w:color w:val="000000" w:themeColor="text1"/>
          <w:sz w:val="16"/>
          <w:szCs w:val="16"/>
        </w:rPr>
        <w:t>Показание Стыриковича Владислава Львовича. От 15-го мая 1930 года.</w:t>
      </w:r>
    </w:p>
    <w:p w14:paraId="274D93E8" w14:textId="77777777" w:rsidR="00227552" w:rsidRPr="00507A31" w:rsidRDefault="00227552"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62FE98B" w14:textId="77777777" w:rsidR="00227552" w:rsidRPr="00507A31" w:rsidRDefault="00227552" w:rsidP="00507A31">
      <w:pPr>
        <w:jc w:val="both"/>
        <w:rPr>
          <w:color w:val="000000" w:themeColor="text1"/>
          <w:sz w:val="16"/>
          <w:szCs w:val="16"/>
        </w:rPr>
      </w:pPr>
      <w:r w:rsidRPr="00507A31">
        <w:rPr>
          <w:color w:val="000000" w:themeColor="text1"/>
          <w:sz w:val="16"/>
          <w:szCs w:val="16"/>
        </w:rPr>
        <w:t>От 15-го мая 1930 года.</w:t>
      </w:r>
    </w:p>
    <w:p w14:paraId="571F7786" w14:textId="77777777" w:rsidR="00227552" w:rsidRPr="00507A31" w:rsidRDefault="00227552" w:rsidP="00507A31">
      <w:pPr>
        <w:jc w:val="both"/>
        <w:rPr>
          <w:color w:val="000000" w:themeColor="text1"/>
          <w:sz w:val="16"/>
          <w:szCs w:val="16"/>
        </w:rPr>
      </w:pPr>
      <w:r w:rsidRPr="00507A31">
        <w:rPr>
          <w:color w:val="000000" w:themeColor="text1"/>
          <w:sz w:val="16"/>
          <w:szCs w:val="16"/>
        </w:rPr>
        <w:t>НЕВСКИЙ ЗАВОД ИМ. ЛЕНИНА.</w:t>
      </w:r>
    </w:p>
    <w:p w14:paraId="6D393D72" w14:textId="77777777" w:rsidR="00227552" w:rsidRPr="00507A31" w:rsidRDefault="00227552" w:rsidP="00507A31">
      <w:pPr>
        <w:jc w:val="both"/>
        <w:rPr>
          <w:color w:val="000000" w:themeColor="text1"/>
          <w:sz w:val="16"/>
          <w:szCs w:val="16"/>
        </w:rPr>
      </w:pPr>
      <w:r w:rsidRPr="00507A31">
        <w:rPr>
          <w:color w:val="000000" w:themeColor="text1"/>
          <w:sz w:val="16"/>
          <w:szCs w:val="16"/>
        </w:rPr>
        <w:t>Завод перешел в ЛЕНМАШТРЕСТ в [19]27/28 операционном] году от СУДОТРЕСТА и был в полном беспорядке, не имел никакой нагрузки и определенной производственной физиономии. Вредительская работа на этом заводе по указанию КУТСКОГО должна была сводиться к тому, чтобы замедлять загрузку завода, давать ему несоответственные заказы и стараться, чтобы он меньше помогал судостроению. По моим указаниям технический дир[ектор] КОРНИЛОВИЧ, который был сначала помощником директора, осуществлял это вредительство. Программа на [19]28/29 г. была составлена преуменьшенная и для доказательства, что большего с завода снять нельзя, организация завода всячески замедлялась. Заказы набирались без всякого плана и в значительной мере ремонтного характера и по деталям машин, чтобы не создавать твердой и определенной производственной базы заводу. Были взяты заказы на текстильные машины, каковые не соответствовали оборудованию завода. Затем они были оставлены. Для того, чтобы ослабить паровозостроение на Путиловск[ом] заводе и разбить его в Ленинграде на две слабые группы — делались попытки восстановить постройку товарных паровозов на Невском заводе, и когда это не удалось, начата нецелесообразно постройка промышленных танк[-]паровозов, каковые лучше было строить на Коломенском заводе.</w:t>
      </w:r>
    </w:p>
    <w:p w14:paraId="47F74296" w14:textId="77777777" w:rsidR="00227552" w:rsidRPr="00507A31" w:rsidRDefault="00227552" w:rsidP="00507A31">
      <w:pPr>
        <w:jc w:val="both"/>
        <w:rPr>
          <w:color w:val="000000" w:themeColor="text1"/>
          <w:sz w:val="16"/>
          <w:szCs w:val="16"/>
        </w:rPr>
      </w:pPr>
      <w:r w:rsidRPr="00507A31">
        <w:rPr>
          <w:color w:val="000000" w:themeColor="text1"/>
          <w:sz w:val="16"/>
          <w:szCs w:val="16"/>
        </w:rPr>
        <w:t>Чтобы не оказывать поддержки СУДОТРЕСТУ в части нужного ему стального литья, Стале-Литейная загружалась другими заказами, как, напр., торговая арматура для Синдиката. Вместе с тем, реконструкция Стале-Литейной и ее расширение всячески замедлялась и не закончена до сих пор. Должен добавить, что снабжение стальным литьем котло- и турбостроения на Металлическом] заводе велось умышленно беспорядочно, чтобы задержать эти производства. Умышленно не принималось мер к борьбе с браком в Чугунно-Литейной. Заказы задерживались выполнением, что напр., может быть доказано медленным выполнением хвойно-брикетной станции. Ремонты велись медленно и небрежно. Установка нового оборудования производилась медленно, как пример можно указать компрессор, не установленный до сих пор.</w:t>
      </w:r>
    </w:p>
    <w:p w14:paraId="73C25E37" w14:textId="77777777" w:rsidR="00227552" w:rsidRPr="00507A31" w:rsidRDefault="00227552" w:rsidP="00507A31">
      <w:pPr>
        <w:jc w:val="both"/>
        <w:rPr>
          <w:color w:val="000000" w:themeColor="text1"/>
          <w:sz w:val="16"/>
          <w:szCs w:val="16"/>
        </w:rPr>
      </w:pPr>
      <w:r w:rsidRPr="00507A31">
        <w:rPr>
          <w:color w:val="000000" w:themeColor="text1"/>
          <w:sz w:val="16"/>
          <w:szCs w:val="16"/>
        </w:rPr>
        <w:t>Военное производство (снаряды), бывшие правда в небольших размерах на заводе до революции, было ликвидировано — пресса в котельной разобраны и механическая получила гражданское назначение.</w:t>
      </w:r>
    </w:p>
    <w:p w14:paraId="02A54923" w14:textId="77777777" w:rsidR="00227552" w:rsidRPr="00507A31" w:rsidRDefault="00227552" w:rsidP="00507A31">
      <w:pPr>
        <w:jc w:val="both"/>
        <w:rPr>
          <w:color w:val="000000" w:themeColor="text1"/>
          <w:sz w:val="16"/>
          <w:szCs w:val="16"/>
        </w:rPr>
      </w:pPr>
      <w:r w:rsidRPr="00507A31">
        <w:rPr>
          <w:color w:val="000000" w:themeColor="text1"/>
          <w:sz w:val="16"/>
          <w:szCs w:val="16"/>
        </w:rPr>
        <w:t>Завод «ЭКОНОМАЙЗЕР».</w:t>
      </w:r>
    </w:p>
    <w:p w14:paraId="19F37F96" w14:textId="77777777" w:rsidR="00227552" w:rsidRPr="00507A31" w:rsidRDefault="00227552" w:rsidP="00507A31">
      <w:pPr>
        <w:jc w:val="both"/>
        <w:rPr>
          <w:color w:val="000000" w:themeColor="text1"/>
          <w:sz w:val="16"/>
          <w:szCs w:val="16"/>
        </w:rPr>
      </w:pPr>
      <w:r w:rsidRPr="00507A31">
        <w:rPr>
          <w:color w:val="000000" w:themeColor="text1"/>
          <w:sz w:val="16"/>
          <w:szCs w:val="16"/>
        </w:rPr>
        <w:t>Вредительская работа здесь проводилась СОКОЛОВСКИМ. Она сводилась к тому, чтобы путем дезорганизованности задерживать сроки выполнения заказов и не обращать внимания на борьбу с браком, который был весьма велик по заводу. Таким образом, велась задержка заказов по чугунному литью для станкостроения завода им. СВЕРДЛОВА, для котлостроения Метзавода, табачных машин им. ЭНГЕЛЬСА. Из заказов на сторону могу указать заказы для городского водопровода, которые были выполнены с большим опозданием. Брак по литью и станков был непомерно велик, а литье умышленно производилось без всякого надзора. Производственные возможности завода вообще преуменьшались.</w:t>
      </w:r>
    </w:p>
    <w:p w14:paraId="2D7255FE" w14:textId="77777777" w:rsidR="00227552" w:rsidRPr="00507A31" w:rsidRDefault="00227552" w:rsidP="00507A31">
      <w:pPr>
        <w:jc w:val="both"/>
        <w:rPr>
          <w:color w:val="000000" w:themeColor="text1"/>
          <w:sz w:val="16"/>
          <w:szCs w:val="16"/>
        </w:rPr>
      </w:pPr>
      <w:r w:rsidRPr="00507A31">
        <w:rPr>
          <w:color w:val="000000" w:themeColor="text1"/>
          <w:sz w:val="16"/>
          <w:szCs w:val="16"/>
        </w:rPr>
        <w:t>Завод им. ЭНГЕЛЬСА.</w:t>
      </w:r>
    </w:p>
    <w:p w14:paraId="1659BA1B" w14:textId="77777777" w:rsidR="00227552" w:rsidRPr="00507A31" w:rsidRDefault="00227552" w:rsidP="00507A31">
      <w:pPr>
        <w:jc w:val="both"/>
        <w:rPr>
          <w:color w:val="000000" w:themeColor="text1"/>
          <w:sz w:val="16"/>
          <w:szCs w:val="16"/>
        </w:rPr>
      </w:pPr>
      <w:r w:rsidRPr="00507A31">
        <w:rPr>
          <w:color w:val="000000" w:themeColor="text1"/>
          <w:sz w:val="16"/>
          <w:szCs w:val="16"/>
        </w:rPr>
        <w:t>В начале периода 1922 г. завод совершенно не развивался в части табачного машиностроения, что было указано КУТСКИМ и проводилось на заводе АНДРЕЗЕНОМ. После вступления ТРАХТЕНБЕРГА было произведено снятие и перегруппировка всех станков военного производства (взрыватели) и завод был занят под веретена текстильной промышленности. Часть станков была роздана по другим заводам. Темп развития табачного машиностроения и веретенного дела был замедляем путем медленного изготовления чертежей, инструмента и приспособлений. Тоже самое производилось и с установлением на заводе производства обувных машин.</w:t>
      </w:r>
    </w:p>
    <w:p w14:paraId="0B456691" w14:textId="77777777" w:rsidR="00227552" w:rsidRPr="00507A31" w:rsidRDefault="00227552" w:rsidP="00507A31">
      <w:pPr>
        <w:jc w:val="both"/>
        <w:rPr>
          <w:color w:val="000000" w:themeColor="text1"/>
          <w:sz w:val="16"/>
          <w:szCs w:val="16"/>
        </w:rPr>
      </w:pPr>
      <w:r w:rsidRPr="00507A31">
        <w:rPr>
          <w:color w:val="000000" w:themeColor="text1"/>
          <w:sz w:val="16"/>
          <w:szCs w:val="16"/>
        </w:rPr>
        <w:t>Завод «ПНЕВМАТИКА».</w:t>
      </w:r>
    </w:p>
    <w:p w14:paraId="007C8A78" w14:textId="77777777" w:rsidR="00227552" w:rsidRPr="00507A31" w:rsidRDefault="00227552" w:rsidP="00507A31">
      <w:pPr>
        <w:jc w:val="both"/>
        <w:rPr>
          <w:color w:val="000000" w:themeColor="text1"/>
          <w:sz w:val="16"/>
          <w:szCs w:val="16"/>
        </w:rPr>
      </w:pPr>
      <w:r w:rsidRPr="00507A31">
        <w:rPr>
          <w:color w:val="000000" w:themeColor="text1"/>
          <w:sz w:val="16"/>
          <w:szCs w:val="16"/>
        </w:rPr>
        <w:t>Задерживать развитие этого единственного в Союзе завода было особо требуемо КУТСКИМ. Это по моим указаниям на заводе проводилось сначала директором] ОБОЛЕНСКИМ и затем КОНДРАТЬЕВЫМ. Мною задерживался отпуск кредитов на дооборудование и до последнего времени не поднимался вопрос о расширении завода. Предлогом для этого была совершенно нецелесообразная мысль о переносе завода «ПНЕВМАТИКА» в свободное здание завода им. СВЕРДЛОВА, т. е. не расширять на месте завод, а перенести его.</w:t>
      </w:r>
    </w:p>
    <w:p w14:paraId="44D8BD23" w14:textId="77777777" w:rsidR="00227552" w:rsidRPr="00507A31" w:rsidRDefault="00227552" w:rsidP="00507A31">
      <w:pPr>
        <w:jc w:val="both"/>
        <w:rPr>
          <w:color w:val="000000" w:themeColor="text1"/>
          <w:sz w:val="16"/>
          <w:szCs w:val="16"/>
        </w:rPr>
      </w:pPr>
      <w:r w:rsidRPr="00507A31">
        <w:rPr>
          <w:color w:val="000000" w:themeColor="text1"/>
          <w:sz w:val="16"/>
          <w:szCs w:val="16"/>
        </w:rPr>
        <w:t>На заводе задержки производились установлением пониженных производственных программ путем невведения сметных работ, несвоевременными беспорядочными заказами снабжения, отсутствием планирования и вообще порядка на заводе. Вследствие этого заказы выполнялись со значительными опозданиями.</w:t>
      </w:r>
    </w:p>
    <w:p w14:paraId="49DCD39D" w14:textId="77777777" w:rsidR="00227552" w:rsidRPr="00507A31" w:rsidRDefault="00227552" w:rsidP="00507A31">
      <w:pPr>
        <w:jc w:val="both"/>
        <w:rPr>
          <w:color w:val="000000" w:themeColor="text1"/>
          <w:sz w:val="16"/>
          <w:szCs w:val="16"/>
        </w:rPr>
      </w:pPr>
      <w:r w:rsidRPr="00507A31">
        <w:rPr>
          <w:color w:val="000000" w:themeColor="text1"/>
          <w:sz w:val="16"/>
          <w:szCs w:val="16"/>
        </w:rPr>
        <w:t>Завод б. ТИЛЬМАНА и б. АРТУР КОППЕЛЬ.</w:t>
      </w:r>
    </w:p>
    <w:p w14:paraId="37AF028E" w14:textId="77777777" w:rsidR="00227552" w:rsidRPr="00507A31" w:rsidRDefault="00227552" w:rsidP="00507A31">
      <w:pPr>
        <w:jc w:val="both"/>
        <w:rPr>
          <w:color w:val="000000" w:themeColor="text1"/>
          <w:sz w:val="16"/>
          <w:szCs w:val="16"/>
        </w:rPr>
      </w:pPr>
      <w:r w:rsidRPr="00507A31">
        <w:rPr>
          <w:color w:val="000000" w:themeColor="text1"/>
          <w:sz w:val="16"/>
          <w:szCs w:val="16"/>
        </w:rPr>
        <w:t>ХРЕННИКОВЫМ и КУТСКИМ мне было указано в целях ослабления промышленности СССР под предлогом концентрации производства постараться закрыть некоторые из работающих заводов ЛЕНМАШТРЕСТА. Таковыми заводами могли стать средние и малозагруженные заказами заводы б. ТИЛЬМАНА и Ар[тур] КОППЕЛЬ. Первым в [19]23 г. был закрыт завод б. ТИЛЬМАНА, на котором, кроме того, было и военное производство для Морского Ведомства. Вместо того, чтобы принять меры к соответственной загрузке завода заказами, Правление по моим предложениям согласилось закрыть завод, перебросить рабочих, оборудование, полуфабрикаты и материалы на другие заводы. Позднее, в [19]24 г. под предлогом целесообразной концентрации и переноса производства торфяных машин на Металлический] завод, был закрыт зав[од] быв. Арт[ур] КОППЕЛЬ, с таким же распылением его ресурсов по прочим заводам.</w:t>
      </w:r>
    </w:p>
    <w:p w14:paraId="5001D73A" w14:textId="77777777" w:rsidR="00227552" w:rsidRPr="00507A31" w:rsidRDefault="00227552" w:rsidP="00507A31">
      <w:pPr>
        <w:jc w:val="both"/>
        <w:rPr>
          <w:color w:val="000000" w:themeColor="text1"/>
          <w:sz w:val="16"/>
          <w:szCs w:val="16"/>
        </w:rPr>
      </w:pPr>
      <w:r w:rsidRPr="00507A31">
        <w:rPr>
          <w:color w:val="000000" w:themeColor="text1"/>
          <w:sz w:val="16"/>
          <w:szCs w:val="16"/>
        </w:rPr>
        <w:t>К восстановлению закрытого завода б. «ВУЛКАН», занятого до революции снарядным делом, не было мною и ДУКЕЛЬСКИМ принимаемо никаких мер, оборудование раздавалось, по другим заводам здания не ремонтировались. Затем завод был передан ТРЕМАССу.</w:t>
      </w:r>
    </w:p>
    <w:p w14:paraId="71AABD82" w14:textId="77777777" w:rsidR="00227552" w:rsidRPr="00507A31" w:rsidRDefault="00227552" w:rsidP="00507A31">
      <w:pPr>
        <w:jc w:val="both"/>
        <w:rPr>
          <w:color w:val="000000" w:themeColor="text1"/>
          <w:sz w:val="16"/>
          <w:szCs w:val="16"/>
        </w:rPr>
      </w:pPr>
      <w:r w:rsidRPr="00507A31">
        <w:rPr>
          <w:color w:val="000000" w:themeColor="text1"/>
          <w:sz w:val="16"/>
          <w:szCs w:val="16"/>
        </w:rPr>
        <w:t>В. СТЫРИКОВИЧ.</w:t>
      </w:r>
    </w:p>
    <w:p w14:paraId="3E352494" w14:textId="77777777" w:rsidR="00227552" w:rsidRPr="00507A31" w:rsidRDefault="00227552" w:rsidP="00507A31">
      <w:pPr>
        <w:jc w:val="both"/>
        <w:rPr>
          <w:color w:val="000000" w:themeColor="text1"/>
          <w:sz w:val="16"/>
          <w:szCs w:val="16"/>
        </w:rPr>
      </w:pPr>
      <w:r w:rsidRPr="00507A31">
        <w:rPr>
          <w:color w:val="000000" w:themeColor="text1"/>
          <w:sz w:val="16"/>
          <w:szCs w:val="16"/>
        </w:rPr>
        <w:t>Ст. Уполномоченный Н. СЕМЕНОВ.</w:t>
      </w:r>
    </w:p>
    <w:p w14:paraId="17C92174" w14:textId="77777777" w:rsidR="00227552" w:rsidRPr="00507A31" w:rsidRDefault="00227552" w:rsidP="00507A31">
      <w:pPr>
        <w:jc w:val="both"/>
        <w:rPr>
          <w:color w:val="000000" w:themeColor="text1"/>
          <w:sz w:val="16"/>
          <w:szCs w:val="16"/>
        </w:rPr>
      </w:pPr>
      <w:r w:rsidRPr="00507A31">
        <w:rPr>
          <w:color w:val="000000" w:themeColor="text1"/>
          <w:sz w:val="16"/>
          <w:szCs w:val="16"/>
        </w:rPr>
        <w:t>ПОКАЗАНИЕ СТЫРИКОВИЧА Владислава Львовича.</w:t>
      </w:r>
    </w:p>
    <w:p w14:paraId="1A1510E5" w14:textId="77777777" w:rsidR="00227552" w:rsidRPr="00507A31" w:rsidRDefault="00227552" w:rsidP="00507A31">
      <w:pPr>
        <w:jc w:val="both"/>
        <w:rPr>
          <w:color w:val="000000" w:themeColor="text1"/>
          <w:sz w:val="16"/>
          <w:szCs w:val="16"/>
        </w:rPr>
      </w:pPr>
      <w:r w:rsidRPr="00507A31">
        <w:rPr>
          <w:color w:val="000000" w:themeColor="text1"/>
          <w:sz w:val="16"/>
          <w:szCs w:val="16"/>
        </w:rPr>
        <w:t>От 15-го мая 1930 года.</w:t>
      </w:r>
    </w:p>
    <w:p w14:paraId="3535EC0C" w14:textId="77777777" w:rsidR="00227552" w:rsidRPr="00507A31" w:rsidRDefault="00227552" w:rsidP="00507A31">
      <w:pPr>
        <w:jc w:val="both"/>
        <w:rPr>
          <w:color w:val="000000" w:themeColor="text1"/>
          <w:sz w:val="16"/>
          <w:szCs w:val="16"/>
        </w:rPr>
      </w:pPr>
      <w:r w:rsidRPr="00507A31">
        <w:rPr>
          <w:color w:val="000000" w:themeColor="text1"/>
          <w:sz w:val="16"/>
          <w:szCs w:val="16"/>
        </w:rPr>
        <w:t xml:space="preserve">В [19]22 году ХРЕННИКОВ предложил мне принять участие в образуемой по указаниям, полученным им из заграницы от уехавших туда быв[ших] хозяев — представителей банков и промышленности, центральной вредительской организации. На совещании, вскоре имевшим место в Москве у ХРЕННИКОВА в кабинете, где из присутствовавших могу вспомнить БЕЛОНОЖКИНА, КУТСКОГО, ЛИСТА и МИЛЮКОВА, были обсуждены пути вредительских работ. В первую очередь, ХРЕННИКОВЫМ, что было поддержано БЕЛОНОЖКИНЫМ, предложено было заняться ликвидацией военных мастерских под предлогом занятия их гражданскими производствами. БЕЛОНОЖКИН особенно указывал на проведение этих мер по Путиловскому заводу и в частности по орудийному делу. Мне было указано, что т. к. я редко бываю в Москве, контактироваться с БЕЛОНОЖКИНЫМ и КУТСКИМ во время их служебных посещений ЛЕНМАШТРЕСТА, которые бывали очень часто[,] и держать их в курсе моих действий, а также получать от них дальнейшие указания. В моих прежних показаниях по заводам эти обстоятельства указаны </w:t>
      </w:r>
      <w:r w:rsidRPr="00507A31">
        <w:rPr>
          <w:color w:val="000000" w:themeColor="text1"/>
          <w:sz w:val="16"/>
          <w:szCs w:val="16"/>
        </w:rPr>
        <w:lastRenderedPageBreak/>
        <w:t>подробно. Могу здесь добавить, что как на совещании, так и в дальнейшем особый нажим производился на орудийную мастерскую Красн[ого] Путиловца введением туда гражданского производства. Вместе с тем, ХРЕННИКОВЫМ было указано на вовлечение во вредительскую работу директоров заводов, т. к. без них ничего нельзя было сделать. ХРЕННИКОВ также заявил, что прежние хозяева предприятий выразили согласие вознаградить работающих по их указаниям лиц. Возвратясь в Ленинград, я сначала сообщил о создании вредительской организации в Москве ВИНБЛАДУ (хотя последний, как оказалось, об этом уже знал) и ДМИТРИЕВУ — директору] Красн[ого] Путиловца. Затем, постепенно я привлекал к этому делу и директоров прочих заводов: РЕНЦА, ХОЛИНА, СОКОЛОВСКОГО, АНДРЕЗЕНА. Затем, когда промышленность стала развиваться, у ХРЕННИКОВА было совещание, на котором и я присутствовал. Это было примерно в [19]23—24 году (в начале года), где были даны мне директивы об искусственных задержках по развитию заводов и закрытию некоторых заводов. Здесь КУТСКИМ была проводима мысль, что таковая задержка должна проводиться, главным образом, преуменьшением имеемых ресурсов на заводах, медленным набором рабсилы и техперсонала, внедрением несоответственных производств, вследствие этого повышением себестоимости, отсутствием рационализации и планирования. В дальнейшем моя связь с организацией осуществлялась через ХРЕННИКОВА, БЕЛОНОЖКИНА и КУТСКОГО, когда я бывал в Москве или когда они посещали Трест. Вознаграждение за вредительство в примерных, насколько сохранилось в моей памяти, размерах и лицам, указанным в моем предыдущем показании, производилось ХРЕННИКОВЫМ мне два раза, в [19]23 и [19]25 годах. Я указывал ХРЕННИКОВУ работавших во вредительстве лиц и он намечал им суммы. Свидания все эти происходили на службе, чтобы не возбуждать особых подозрений. После [19]25 г. вследствие отлучек ХРЕННИКОВА заграницу, вредительская работа велась мною, главным образом, через КУТСКОГО. С развитием дела вредительства на заводах Треста, мною была создана руководящая организация из трех лиц: меня, ВИНБЛАДА и САБЛИНА, каковая собиралась у меня в служебном кабинете, обсуждала отдельные более крупные вопросы вредительства, как напр., вопросы турбостроения, паровозостроения. Директорам прочих заводов я давал указания непосредственно. По своему аппарату директора работали самостоятельно, ставя меня в курс более важных дел и сообщая о наиболее крупных заводских работниках, привлеченных ими к делу вредительства. Вознаграждения я передавал директорам заводов (причем и не все директора получали деньги) с указанными суммами им и их работникам, где таковые получали вознаграждение. В общем круг таких лиц был невелик и ограничивался крупными работниками; более мелкие исполняли просто распоряжения, не зная их цели. О сознательных вредителях из более мелких служащих я сейчас не помню. Они могут быть восстановлены директорами заводов. Главные вредительские работы велись по заводу Красн[ый] Путиловец. Здесь их проводил САБЛИН в значительной мере самостоятельно, советуясь со мною по главным вопросам: тракторостроение, паровозостроение. По строительству и ремонтам еro помощниками в этой области были гл[авные] механики МОРОЗОВ, ВЕТЧИНКИН, и САМОЙЛОВ. По паровозостроению — ЯДОВ, по общему машиностроению — ЕМЦОВ и ЗАХАРОВ, по артиллерийскому] делу — ЛИПНИЦКИЙ, к[отор]ый особо инструктировался ДУКЕЛЬСКИМ, по металлургии — ПОЛОВКО, котор[ый] ранее работал у меня в Правлении, и НАГОРОВ, и по тракторостроению — ИВАНОВ, а ранее — КОЖЕВ и ПАВЛИЧЕК. В таком же самостоятельном положении по ведению вредительских работ был ВИНБЛАД на Металлическом] заводе. Его сотрудниками были: БОБРОВЩИКОВ, ГЕЛЬТМАН и ЛОМАЧ. Первый — по пар[овым] турбинам, второй — по артиллерии (в контакте с ДУКЕЛЬСКИМ) и по производству котлов, и последний — по конструкциям котлов. По заводу Р[уский] Дизель указания давались мною ХАРИТОНОВИЧУ и мне из его сотрудников по вредительству известен только АЛЕКСЕЕВ по работам по реконструкции завода. Указания мои ХАРИТОНОВИЧУ и его сообщения мне велись, согласно характеристики вредительства, указанной мною в предыдущем показании. Таким же образом велось дело с КОРНИЛОВИЧЕМ, РЕНЦОМ, АНДРЕЗЕНОМ, ХОЛИНЫМ и СОКОЛОВСКИМ, которые были в курсе существования вредительской организации. ВЕЙС, КОНДРАТЬЕВ и ТРАХТЕНБЕРГ, особенно первый, не знали детально о существовании организованного вредительства и вели его полусознательно. На заводе Карла Маркса по вредительству работал еще ПЕЙБО и СКВОРЦОВ, который от ДУКЕЛЬСКОГО знал о настоящих целях вредительства.</w:t>
      </w:r>
    </w:p>
    <w:p w14:paraId="70AD4D71" w14:textId="77777777" w:rsidR="00227552" w:rsidRPr="00507A31" w:rsidRDefault="00227552" w:rsidP="00507A31">
      <w:pPr>
        <w:jc w:val="both"/>
        <w:rPr>
          <w:color w:val="000000" w:themeColor="text1"/>
          <w:sz w:val="16"/>
          <w:szCs w:val="16"/>
        </w:rPr>
      </w:pPr>
      <w:r w:rsidRPr="00507A31">
        <w:rPr>
          <w:color w:val="000000" w:themeColor="text1"/>
          <w:sz w:val="16"/>
          <w:szCs w:val="16"/>
        </w:rPr>
        <w:t>По указаниям ХРЕННИКОВА при постановке военных производств на заводах ЛЕНМАШТРЕСТА следовало развить вредительство и в этой отрасли, понижая всякими мерами темп развертывания этого дела. Так как я не был специалистом в этом деле, а главное[,] не касался подробно военных заказов, к[отор]ые проводились МИХАЙЛОВЫМ и ПУДАЛОВЫМ через ДУКЕЛЬСКОГО, я как-то завел с ним разговор на эту тему и встретил его сочувствие. Таким образом установилась его связь со мною, хотя в общем он проводил свое вредительство в значительной мере самостоятельно. О Московской вредительской организации он знал от меня.</w:t>
      </w:r>
    </w:p>
    <w:p w14:paraId="4380D406" w14:textId="77777777" w:rsidR="00227552" w:rsidRPr="00507A31" w:rsidRDefault="00227552" w:rsidP="00507A31">
      <w:pPr>
        <w:jc w:val="both"/>
        <w:rPr>
          <w:color w:val="000000" w:themeColor="text1"/>
          <w:sz w:val="16"/>
          <w:szCs w:val="16"/>
        </w:rPr>
      </w:pPr>
      <w:r w:rsidRPr="00507A31">
        <w:rPr>
          <w:color w:val="000000" w:themeColor="text1"/>
          <w:sz w:val="16"/>
          <w:szCs w:val="16"/>
        </w:rPr>
        <w:t>В. СТЫРИКОВИЧ.</w:t>
      </w:r>
    </w:p>
    <w:p w14:paraId="4052BA47" w14:textId="77777777" w:rsidR="00227552" w:rsidRPr="00507A31" w:rsidRDefault="00227552" w:rsidP="00507A31">
      <w:pPr>
        <w:jc w:val="both"/>
        <w:rPr>
          <w:color w:val="000000" w:themeColor="text1"/>
          <w:sz w:val="16"/>
          <w:szCs w:val="16"/>
        </w:rPr>
      </w:pPr>
      <w:r w:rsidRPr="00507A31">
        <w:rPr>
          <w:color w:val="000000" w:themeColor="text1"/>
          <w:sz w:val="16"/>
          <w:szCs w:val="16"/>
        </w:rPr>
        <w:t>Ст. Уполномоченный: И. СЕМЕНОВ (18355).</w:t>
      </w:r>
    </w:p>
    <w:p w14:paraId="40C1164D" w14:textId="77777777" w:rsidR="00227552" w:rsidRPr="00507A31" w:rsidRDefault="00227552" w:rsidP="00507A31">
      <w:pPr>
        <w:jc w:val="both"/>
        <w:rPr>
          <w:color w:val="000000" w:themeColor="text1"/>
          <w:sz w:val="16"/>
          <w:szCs w:val="16"/>
        </w:rPr>
      </w:pPr>
    </w:p>
    <w:p w14:paraId="4A816003" w14:textId="77777777" w:rsidR="00227552" w:rsidRPr="00507A31" w:rsidRDefault="00227552" w:rsidP="00507A31">
      <w:pPr>
        <w:jc w:val="both"/>
        <w:rPr>
          <w:color w:val="000000" w:themeColor="text1"/>
          <w:sz w:val="16"/>
          <w:szCs w:val="16"/>
        </w:rPr>
      </w:pPr>
      <w:r w:rsidRPr="00507A31">
        <w:rPr>
          <w:color w:val="000000" w:themeColor="text1"/>
          <w:sz w:val="16"/>
          <w:szCs w:val="16"/>
        </w:rPr>
        <w:t>15 мая 1930 года, председатель Высшего совета народного хозяйства (ВСНХ) Валериан Куйбышев и заместитель председателя Объединенного государственного политического управления (ОГПУ) при Совете народных комиссаров (СНК) СССР Генрих Ягода подписали циркулярное указание «Об использовании на производствах специалистов, осужденных за вредительство». Из документа следовало, что для «исправления результатов вредительства», с которым столь активно боролось ОГПУ, арестовывая специалистов в различных отраслях народного хозяйства, необходимо использовать самих «инженеров-вредителей». Причем в первую очередь -- «по линии конструирования оборудования новых машин, деталей и механизмов, проектирования новых построек, проверки проектов, расчетов, смет, составленных хозорганами». Циркуляр стал прологом к созданию особых конструкторских бюро, прозванных в народе шарашками (18728).</w:t>
      </w:r>
    </w:p>
    <w:p w14:paraId="604D3D56" w14:textId="77777777" w:rsidR="00227552" w:rsidRPr="00507A31" w:rsidRDefault="00227552" w:rsidP="00507A31">
      <w:pPr>
        <w:jc w:val="both"/>
        <w:rPr>
          <w:color w:val="000000" w:themeColor="text1"/>
          <w:sz w:val="16"/>
          <w:szCs w:val="16"/>
        </w:rPr>
      </w:pPr>
    </w:p>
    <w:p w14:paraId="0E36FBD0" w14:textId="77777777" w:rsidR="00D60CF6" w:rsidRPr="00507A31" w:rsidRDefault="00D60CF6" w:rsidP="00507A31">
      <w:pPr>
        <w:jc w:val="both"/>
        <w:rPr>
          <w:color w:val="000000" w:themeColor="text1"/>
          <w:sz w:val="16"/>
          <w:szCs w:val="16"/>
        </w:rPr>
      </w:pPr>
      <w:r w:rsidRPr="00507A31">
        <w:rPr>
          <w:rStyle w:val="a7"/>
          <w:b w:val="0"/>
          <w:color w:val="000000" w:themeColor="text1"/>
          <w:sz w:val="16"/>
          <w:szCs w:val="16"/>
        </w:rPr>
        <w:t xml:space="preserve">15 мая 1930 </w:t>
      </w:r>
      <w:r w:rsidRPr="00507A31">
        <w:rPr>
          <w:color w:val="000000" w:themeColor="text1"/>
          <w:sz w:val="16"/>
          <w:szCs w:val="16"/>
        </w:rPr>
        <w:t>Политбюро ЦК ВКП (б) утвердило проект постановления ЦК ВКП (б) «О работе Уралмета»; определило программу добычи аппатитовой руды иа 1929/30-1930/31 гг.; предложило ВСНХ обеспечить размещение заказов иа оборудование для Сельмашстроя не позже июля 1930 г.; обратило внимание СТО на необходимость рассмотреть вопрос о производстве машин для пропашных культур; приняло увеличенный план производства рельс и подвижного состава для НКПС на предприятиях ВСНХ в 1930/31 г (12265).</w:t>
      </w:r>
    </w:p>
    <w:p w14:paraId="6E671FCB" w14:textId="77777777" w:rsidR="00D60CF6" w:rsidRPr="00507A31" w:rsidRDefault="00D60CF6" w:rsidP="00507A31">
      <w:pPr>
        <w:jc w:val="both"/>
        <w:rPr>
          <w:color w:val="000000" w:themeColor="text1"/>
          <w:sz w:val="16"/>
          <w:szCs w:val="16"/>
        </w:rPr>
      </w:pPr>
      <w:r w:rsidRPr="00507A31">
        <w:rPr>
          <w:color w:val="000000" w:themeColor="text1"/>
          <w:sz w:val="16"/>
          <w:szCs w:val="16"/>
        </w:rPr>
        <w:t> </w:t>
      </w:r>
    </w:p>
    <w:p w14:paraId="053BA8A9" w14:textId="77777777" w:rsidR="00D60CF6" w:rsidRPr="00507A31" w:rsidRDefault="00D60CF6" w:rsidP="00507A31">
      <w:pPr>
        <w:jc w:val="both"/>
        <w:rPr>
          <w:color w:val="000000" w:themeColor="text1"/>
          <w:sz w:val="16"/>
          <w:szCs w:val="16"/>
          <w:u w:color="002060"/>
        </w:rPr>
      </w:pPr>
      <w:r w:rsidRPr="00507A31">
        <w:rPr>
          <w:color w:val="000000" w:themeColor="text1"/>
          <w:sz w:val="16"/>
          <w:szCs w:val="16"/>
          <w:u w:color="002060"/>
        </w:rPr>
        <w:t>15 мая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126. 6. Сообщение РЗ СТО (ПБ от 15 января 1930 г., пр. № 113, п. 1. [О мобподготовке промышленности]) (Рыков, Ворошилов, Рухимович, Постников, Мартинович, Венцов, Смилга, Мехоношин). — ОП. (Политбюро... Т. 2. С. 45) (12416).</w:t>
      </w:r>
    </w:p>
    <w:p w14:paraId="5CC1FCE3" w14:textId="77777777" w:rsidR="00D60CF6" w:rsidRPr="00507A31" w:rsidRDefault="00D60CF6" w:rsidP="00507A31">
      <w:pPr>
        <w:jc w:val="both"/>
        <w:rPr>
          <w:color w:val="000000" w:themeColor="text1"/>
          <w:sz w:val="16"/>
          <w:szCs w:val="16"/>
          <w:u w:color="002060"/>
        </w:rPr>
      </w:pPr>
    </w:p>
    <w:p w14:paraId="190F71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года было завершено строительство главного заводского корпуса будущего АЗЛК и начался монтаж оборудования, а уже 6 ноября завод вступил в число действующих. Его производственный цикл, помимо собственно сборки автомобиля, включал клепку рам, сборку кузовов, их окраску и обойку. 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008A9735" w14:textId="77777777" w:rsidR="00537E5F" w:rsidRPr="00507A31" w:rsidRDefault="00537E5F" w:rsidP="00507A31">
      <w:pPr>
        <w:autoSpaceDE w:val="0"/>
        <w:autoSpaceDN w:val="0"/>
        <w:adjustRightInd w:val="0"/>
        <w:jc w:val="both"/>
        <w:rPr>
          <w:color w:val="000000" w:themeColor="text1"/>
          <w:sz w:val="16"/>
          <w:szCs w:val="16"/>
        </w:rPr>
      </w:pPr>
    </w:p>
    <w:p w14:paraId="5FD78D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 вышло постановлении ЦК партии "О работе Уралмета" и в решениях XVI съезда ВКП(б). "Индустриализация страны, – отмечалось в постановлении, – не может опираться в дальнейшем только на одну южную металлургическую базу. Жизненно необходимым условием быстрой индустриализации страны является создание на Востоке второго основного угольно-металлургического центра СССР путём использования богатейших угольных и рудных месторождений Урала и Сибири".</w:t>
      </w:r>
    </w:p>
    <w:p w14:paraId="6B5443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плану "Большого Урала" намечалось резкое увеличение промышленного производства к 1933 г. В связи с этим потребность в капитальных затратах определялась в 8,5 млрд. руб. вместо 2,7 млрд. руб. по заданиям первой пятилетки3. В результате Урал выдвигался на второе место среди экономических районов, а по вложениям в новое строительство – на первое. Ведущим звеном второй угольно-металлургической базы становился Южный Урал. </w:t>
      </w:r>
    </w:p>
    <w:p w14:paraId="1AA2CF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Особое внимание в 30-е гг. отводилось машиностроению, которое подводило материально-техническую базу для преобразования всех отраслей хозяйства и позволяло в сравнительно короткий срок добиться технико-экономической независимости {209} страны. Валовая продукция этой отрасли должна была увеличиться в стране за первую пятилетку в 3,5 раза, а по плану "Большого Урала" – в 4,5 раза (11557).</w:t>
      </w:r>
    </w:p>
    <w:p w14:paraId="72FA533D" w14:textId="77777777" w:rsidR="00537E5F" w:rsidRPr="00507A31" w:rsidRDefault="00537E5F" w:rsidP="00507A31">
      <w:pPr>
        <w:autoSpaceDE w:val="0"/>
        <w:autoSpaceDN w:val="0"/>
        <w:adjustRightInd w:val="0"/>
        <w:jc w:val="both"/>
        <w:rPr>
          <w:color w:val="000000" w:themeColor="text1"/>
          <w:sz w:val="16"/>
          <w:szCs w:val="16"/>
        </w:rPr>
      </w:pPr>
    </w:p>
    <w:p w14:paraId="085842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года Политбюро ЦК ВКП (б) приняло решение построить 16 крупных предприятий оборонной промышленности на Урале. В их числе оказался и Станкомаш, главной продукцией которого должны были стать снаряды крупных калибров для ВМФ, а также, согласно приказу N 19с по Снарядному тресту СССР от 5 декабря, станочное оборудование для военных заводов (11556).</w:t>
      </w:r>
    </w:p>
    <w:p w14:paraId="3CF43041" w14:textId="77777777" w:rsidR="00537E5F" w:rsidRPr="00507A31" w:rsidRDefault="00537E5F" w:rsidP="00507A31">
      <w:pPr>
        <w:autoSpaceDE w:val="0"/>
        <w:autoSpaceDN w:val="0"/>
        <w:adjustRightInd w:val="0"/>
        <w:jc w:val="both"/>
        <w:rPr>
          <w:color w:val="000000" w:themeColor="text1"/>
          <w:sz w:val="16"/>
          <w:szCs w:val="16"/>
        </w:rPr>
      </w:pPr>
    </w:p>
    <w:p w14:paraId="7EEC14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мая 1930 года было издано постановление ЦК ВКП (б) о развитии металлургической базы в восточных регионах страны. Несмотря на то, что строительство на Урале и в Сибири предполагалось начинать с чистого листа, а степень изученности природных ресурсов оставляла желать лучшего, трудности коммунистов не пугали. Уже в конце мая 1930 года всесоюзное объединение «Сталь» поручило Гипромезу приступить к проектированию Ново-Тагильского металлургического завода (комбината, далее - НТМК). 1 сентября 1930 года было издано постановление №385 СНК СССР за подписью председателя Совнаркома А. И. Рыкова, которое обязывало ВСНХ и Госплан СССР обеспечить работы по строительству НТМК в Нижнем Тагиле. Между прочим, постановление было принято, когда еще не существовало даже утвержденного проекта предприятия. С этим проектом, кстати, мучаться затем будут еще очень долго (11514). </w:t>
      </w:r>
    </w:p>
    <w:p w14:paraId="41E947AA" w14:textId="77777777" w:rsidR="00537E5F" w:rsidRPr="00507A31" w:rsidRDefault="00537E5F" w:rsidP="00507A31">
      <w:pPr>
        <w:autoSpaceDE w:val="0"/>
        <w:autoSpaceDN w:val="0"/>
        <w:adjustRightInd w:val="0"/>
        <w:jc w:val="both"/>
        <w:rPr>
          <w:color w:val="000000" w:themeColor="text1"/>
          <w:sz w:val="16"/>
          <w:szCs w:val="16"/>
        </w:rPr>
      </w:pPr>
    </w:p>
    <w:p w14:paraId="2D6F15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мая 1930 года ЦК ВКП(б), опираясь на данные геологов, вынес вердикт: "Запасы уральских железных руд, сочетание их с сибирскими углями и лесными массивами, благоприятное географическое положение создают все необходимые предпосылки для развития на восточном Урале технически передового, крупного комбинированного хозяйства, для превращения Урала в новый крупный металлургический центр". </w:t>
      </w:r>
    </w:p>
    <w:p w14:paraId="1996F5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Эти слова, созвучные текущему моменту, местные партийные руководители поняли как прямое указание действовать. Еще в апреле 1929 года страна приняла первый пятилетний план, который предусматривал строительство Магнитогорского металлургического комбината, Челябинского тракторного завода, а в Свердловске - Уралмаша. Правда, будущий Синарский завод среди объектов пятилетки не значился. Именно поэтому Госплан в 1930 году не удовлетворил ходатайство Уральского обкома партии о начале строительства. Но у обкома оказался пробивной, настойчивый секретарь - Иван Дмитриевич Кабаков. Во многом благодаря его энергии 28 февраля 1931 года Совнарком все-таки постановил: наряду с Липецким и Тульским строить и Синарский комбинат... </w:t>
      </w:r>
    </w:p>
    <w:p w14:paraId="4F4311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Замышлялось, что новый гигант объединит все металлургические переделы: на входе - железорудное сырье, на выходе - трубы, литье, прокат. Возведением Каменско-Синарского металлурги ческого комбината должна была непосредственно заняться организация Синарстрой, структурно входившая в трест "Востокосталь", под крылом которого сосредоточились все стройки металлургической, железорудной и марганцевой промышленности на востоке СССР. В апреле 1931 года образован штаб стройки, пуск же завода правление треста запланировало в 1933-м (11515). </w:t>
      </w:r>
    </w:p>
    <w:p w14:paraId="5AFD23D9" w14:textId="77777777" w:rsidR="00537E5F" w:rsidRPr="00507A31" w:rsidRDefault="00537E5F" w:rsidP="00507A31">
      <w:pPr>
        <w:autoSpaceDE w:val="0"/>
        <w:autoSpaceDN w:val="0"/>
        <w:adjustRightInd w:val="0"/>
        <w:jc w:val="both"/>
        <w:rPr>
          <w:color w:val="000000" w:themeColor="text1"/>
          <w:sz w:val="16"/>
          <w:szCs w:val="16"/>
        </w:rPr>
      </w:pPr>
    </w:p>
    <w:p w14:paraId="3C5535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года ЦК ВКП(б) принимает постановление о необходимости развития горно-рудного района и строительства на Урале крупных металлургических производств:</w:t>
      </w:r>
    </w:p>
    <w:p w14:paraId="2BF5C2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"Индустриализация страны не может опираться только на одну южную угольно-металлургическую базу. Жизненно необходимым условием быстрой индустриализации страны является создание на Востоке второго основного угольно-металлургического центра СССР путем использования богатейших угольных и рудных месторождений Урала и Сибири...Строительство Бакальского завода, резко увеличивая мощности металлургии Союза по качественным сталям, является крупнейшим фактором в деле создания на Урале главной базы снабжения страны качественной сталью и чугуном».</w:t>
      </w:r>
    </w:p>
    <w:p w14:paraId="0E22C2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Разработка железных руд Бакальского месторождения началась еще в 50-х годах XVIII века. Тогда руда разрабатывалась симбирскими купцами-староверами Твердышевым и Мясниковым. Всего до 1900 года из земли было добыто около 2 млн. тонн руды - совсем немного, если учесть, что запасы сидеритовых руд Бакала оценивались в почти 1 млрд. тонн. В связи с индустриализацией России, следующие 2 млн. тонн были добыты уже к 1914 году. К началу 30-х годов ежегодная добыча руды составляла тут около 600-700 тыс. тонн. Поскольку возможности для увеличения объемов разработок выглядели весьма оптимистично, то встал вопрос о строительстве куста металлургических предприятий, которые могли бы работать на руде Бакала. </w:t>
      </w:r>
    </w:p>
    <w:p w14:paraId="66867E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Еще до революции рассматривалось несколько проектов строительства в районе города Сатки крупного металлургического производства - условного "Бакальского завода" - и были проведены геологоразведочные работы. Идею на 10 лет отложили, но большевики, которым для создания новой индустриальной экономики и ее сердцевины - мощного военно-промышленного комплекса требовалось много металла, вернулись к теме создания завода в начале 30-х годов.</w:t>
      </w:r>
    </w:p>
    <w:p w14:paraId="50A997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Будущее предприятие было позиционировано как производитель специальных, жаропрочных сталей, в том числе и с легирующими добавками. Это было не случайно, поскольку в металлургии СССР в 30-х годах остро ощущалась нехватка именно такой продукции. Однако в отличие от других растиражированных строек сталинской индустриализации - ДнепроГЭСа, Магнитки, Кузнецкого меткомбината и т.п., строительство Бакальского завода продвигалось крайне медленно. Во-первых, потому, что в высшем руководстве долго не могли определиться с конкретной площадкой будущего завода. Из 18 предполагаемых площадок, делавшие проект завода специалисты Гипромеза (Ленинград) выбрали ту, которая не всех устроила (речь идет о т.н. "Першинской площадке") - в частности, ее противники педалировали вопрос с нехваткой воды для будущего производства. Строительство завода только-только было начато в 1934 году, как в следующем его уже заморозили. Во-вторых, не был решен вопрос с обеспечением нового завода оборудованием - советское металлургическое машиностроение потянуть такой проект было еще не в состоянии, а средств на закупку оборудования за границей то ли не было, то ли сами иностранцы не согласились его продать (США и Германия после 1934 года крайне неохотно стали поставлять СССР оборудование для производства спецсталей). </w:t>
      </w:r>
    </w:p>
    <w:p w14:paraId="151EAB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замороженном виде Бакальский завод просуществовал до начала Второй мировой войны. В августе 1940 года было принято решение о возобновлении строительства в 1941 году. Еще в течение года решался вопрос с площадкой, пока 12 июня 1941 года специальным постановлением СНК И ЦК ВКП (б) не было решено начать в конце 1941 года строительство Бакальского (на Першинской площадке) и Новотагильского металлургических заводов. Мощность первой очереди Бакальского завода должна была составить 600 тыс. тонн чугуна и 150 тыс. тонн стали в электросталеплавильном цехе (5 печей). Незакрытый вопрос с оборудованием для будущего предприятия решился сам собой: с сентября и октября 1941 года на площадку стали прибывать эшелоны с эвакуированными мощностями Алчевского металлургического завода, Электростали, завода "Красный октябрь" (Сталинград), Новолипецкого металлургического завода, Запорожстали (11572).</w:t>
      </w:r>
    </w:p>
    <w:p w14:paraId="54A1A7D7" w14:textId="77777777" w:rsidR="00537E5F" w:rsidRPr="00507A31" w:rsidRDefault="00537E5F" w:rsidP="00507A31">
      <w:pPr>
        <w:autoSpaceDE w:val="0"/>
        <w:autoSpaceDN w:val="0"/>
        <w:adjustRightInd w:val="0"/>
        <w:jc w:val="both"/>
        <w:rPr>
          <w:color w:val="000000" w:themeColor="text1"/>
          <w:sz w:val="16"/>
          <w:szCs w:val="16"/>
        </w:rPr>
      </w:pPr>
    </w:p>
    <w:p w14:paraId="58B0C9C2" w14:textId="77777777" w:rsidR="00832C79" w:rsidRPr="00507A31" w:rsidRDefault="00832C79" w:rsidP="00507A31">
      <w:pPr>
        <w:shd w:val="clear" w:color="auto" w:fill="FFFFFF"/>
        <w:jc w:val="both"/>
        <w:rPr>
          <w:color w:val="000000" w:themeColor="text1"/>
          <w:sz w:val="16"/>
          <w:szCs w:val="16"/>
        </w:rPr>
      </w:pPr>
      <w:r w:rsidRPr="00507A31">
        <w:rPr>
          <w:bCs/>
          <w:iCs/>
          <w:color w:val="000000" w:themeColor="text1"/>
          <w:sz w:val="16"/>
          <w:szCs w:val="16"/>
        </w:rPr>
        <w:t>15 мая 1930 г.</w:t>
      </w:r>
      <w:r w:rsidRPr="00507A31">
        <w:rPr>
          <w:color w:val="000000" w:themeColor="text1"/>
          <w:sz w:val="16"/>
          <w:szCs w:val="16"/>
        </w:rPr>
        <w:t xml:space="preserve"> Утверждение РВС СССР системы химического вооружения РККА. К этому моменту на вооружение армии уже были приняты многие ОВ (хлор, фосген, дифосген, иприт, хлорацетофенон, дифенилхлорарсин, адамсит), некоторые ОВ проходили испытания (синильная кислота, хлорциан, люизит, метилдихлорарсин, бромбензилцианид, бромистый иприт). Перечислены виды химического нападения (артснаряды и авиабомбы различных калибров, газометы, баллоны для газопуска, фугасные средства, ядовито-дымные шашки, приборы для заражения местности), которые должны состоять на вооружении РККА и многие из них уже были приняты. Предусмотрено, что химическое оружие должно быть сосредоточено в руках корпусного, армейского и фронтового командования (17133).</w:t>
      </w:r>
    </w:p>
    <w:p w14:paraId="1138EB79" w14:textId="77777777" w:rsidR="00832C79" w:rsidRPr="00507A31" w:rsidRDefault="00832C79" w:rsidP="00507A31">
      <w:pPr>
        <w:shd w:val="clear" w:color="auto" w:fill="FFFFFF"/>
        <w:jc w:val="both"/>
        <w:rPr>
          <w:color w:val="000000" w:themeColor="text1"/>
          <w:sz w:val="16"/>
          <w:szCs w:val="16"/>
        </w:rPr>
      </w:pPr>
    </w:p>
    <w:p w14:paraId="4FAE4C2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CAD8EFF" w14:textId="77777777" w:rsidR="00537E5F" w:rsidRPr="00507A31" w:rsidRDefault="00537E5F" w:rsidP="00507A31">
      <w:pPr>
        <w:autoSpaceDE w:val="0"/>
        <w:autoSpaceDN w:val="0"/>
        <w:adjustRightInd w:val="0"/>
        <w:jc w:val="both"/>
        <w:rPr>
          <w:iCs/>
          <w:color w:val="000000" w:themeColor="text1"/>
          <w:sz w:val="16"/>
          <w:szCs w:val="16"/>
        </w:rPr>
      </w:pPr>
    </w:p>
    <w:p w14:paraId="5953CA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вышел циркуляр ВСНХ за подписью В.Куйбышева и ОГПУ за подписью Г.Ягоды “Об использовании на производстве специалистов, осужденных за вредительство” и начали создавать шарашки (3908,333).</w:t>
      </w:r>
    </w:p>
    <w:p w14:paraId="7E874A31" w14:textId="77777777" w:rsidR="00537E5F" w:rsidRPr="00507A31" w:rsidRDefault="00537E5F" w:rsidP="00507A31">
      <w:pPr>
        <w:autoSpaceDE w:val="0"/>
        <w:autoSpaceDN w:val="0"/>
        <w:adjustRightInd w:val="0"/>
        <w:jc w:val="both"/>
        <w:rPr>
          <w:color w:val="000000" w:themeColor="text1"/>
          <w:sz w:val="16"/>
          <w:szCs w:val="16"/>
        </w:rPr>
      </w:pPr>
    </w:p>
    <w:p w14:paraId="273636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 вышел циркуляр Высшего Совета Народного Хозяйства и ОГПУ «Об использовании на производстве специалистов, осужденных за вредительство”:</w:t>
      </w:r>
    </w:p>
    <w:p w14:paraId="65C3B1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последние 2-3 года органами ОГПУ раскрыты контрреволюционные вредительские организации в ряде отраслей народного хозяйства. Им удалось проникнуть в наиболее важные командные органы во всех звеньях нашего управления промышленностью, начиная с органов ВСНХ, Госплана, кончая заводоуправлением и цехом.</w:t>
      </w:r>
    </w:p>
    <w:p w14:paraId="1F6BA8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...Удар, нанесенный нашему хозяйству контрреволюционными организациями, чрезвычайно велик и требует колоссальных усилий партии и рабочего класса для того, чтобы на ходу, не замедляя поступательного движения социалистического строительства, исправить и обезвредить результаты вредительства.</w:t>
      </w:r>
    </w:p>
    <w:p w14:paraId="00205E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Органам ОГПУ принять все меры к тому, чтобы в деле исправления вредительства были использованы инженеры вредители...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приспособлениями...</w:t>
      </w:r>
    </w:p>
    <w:p w14:paraId="74DC1A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Председатель ВСНХ СССР В.Куйбышев.</w:t>
      </w:r>
    </w:p>
    <w:p w14:paraId="3AEC38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Председателя ОГПУ Г.Ягода» (9528).</w:t>
      </w:r>
    </w:p>
    <w:p w14:paraId="13454E6F" w14:textId="77777777" w:rsidR="00537E5F" w:rsidRPr="00507A31" w:rsidRDefault="00537E5F" w:rsidP="00507A31">
      <w:pPr>
        <w:autoSpaceDE w:val="0"/>
        <w:autoSpaceDN w:val="0"/>
        <w:adjustRightInd w:val="0"/>
        <w:jc w:val="both"/>
        <w:rPr>
          <w:color w:val="000000" w:themeColor="text1"/>
          <w:sz w:val="16"/>
          <w:szCs w:val="16"/>
        </w:rPr>
      </w:pPr>
    </w:p>
    <w:p w14:paraId="64DEB8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 вышел циркуляр, подписанный председателем ВСНХ В.В. Куйбышевым и заместителем председателя ОГПУ Р. Ягодой. В циркуляре говорилось, что “за последние 2-3 года органами ОГПУ были раскрыты контрреволюцяонные вредительские оргажизации в ряде отраслей нашего хозяйства в связи с этим предлагалось использовать вредителей таким образом, чтобы работа их проходила плавным образом в помещении органов ОШУ. Для этого отбирать заслуживающих доверие специалистов. Оказывать им содействие в деле постановки опытных работ” (10675).</w:t>
      </w:r>
    </w:p>
    <w:p w14:paraId="4F68B283" w14:textId="77777777" w:rsidR="00537E5F" w:rsidRPr="00507A31" w:rsidRDefault="00537E5F" w:rsidP="00507A31">
      <w:pPr>
        <w:autoSpaceDE w:val="0"/>
        <w:autoSpaceDN w:val="0"/>
        <w:adjustRightInd w:val="0"/>
        <w:jc w:val="both"/>
        <w:rPr>
          <w:color w:val="000000" w:themeColor="text1"/>
          <w:sz w:val="16"/>
          <w:szCs w:val="16"/>
        </w:rPr>
      </w:pPr>
    </w:p>
    <w:p w14:paraId="7E952C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мая 1930 г. председатель ВСНХ В.В. Куйбышев и заместитель председателя ОГПУ Г.Э. Ягода подписали документ, содержащий оценку поло</w:t>
      </w:r>
      <w:r w:rsidRPr="00507A31">
        <w:rPr>
          <w:color w:val="000000" w:themeColor="text1"/>
          <w:sz w:val="16"/>
          <w:szCs w:val="16"/>
        </w:rPr>
        <w:softHyphen/>
        <w:t>жения в деле конструирования новых самолетов в СССР:</w:t>
      </w:r>
    </w:p>
    <w:p w14:paraId="3BE092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"Резюмирую - все вредительские мероприятия, совершенные вредительскими организациями Авиатреста и УВВС, имевшие конечной своей целью срыв планомерного снабжения УВВС со</w:t>
      </w:r>
      <w:r w:rsidRPr="00507A31">
        <w:rPr>
          <w:color w:val="000000" w:themeColor="text1"/>
          <w:sz w:val="16"/>
          <w:szCs w:val="16"/>
        </w:rPr>
        <w:softHyphen/>
        <w:t>временными типами боевых самолетов и снабжение УВВС уста</w:t>
      </w:r>
      <w:r w:rsidRPr="00507A31">
        <w:rPr>
          <w:color w:val="000000" w:themeColor="text1"/>
          <w:sz w:val="16"/>
          <w:szCs w:val="16"/>
        </w:rPr>
        <w:softHyphen/>
        <w:t>релыми конструкциями, необходимо на ходу, не замедляя посту</w:t>
      </w:r>
      <w:r w:rsidRPr="00507A31">
        <w:rPr>
          <w:color w:val="000000" w:themeColor="text1"/>
          <w:sz w:val="16"/>
          <w:szCs w:val="16"/>
        </w:rPr>
        <w:softHyphen/>
        <w:t>пательного движения социалистического строительства, испра</w:t>
      </w:r>
      <w:r w:rsidRPr="00507A31">
        <w:rPr>
          <w:color w:val="000000" w:themeColor="text1"/>
          <w:sz w:val="16"/>
          <w:szCs w:val="16"/>
        </w:rPr>
        <w:softHyphen/>
        <w:t>вить и обезвредить результаты вредительства.</w:t>
      </w:r>
    </w:p>
    <w:p w14:paraId="315145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Органам ОГПУ принять все меры к тому, чтобы в деле ис</w:t>
      </w:r>
      <w:r w:rsidRPr="00507A31">
        <w:rPr>
          <w:color w:val="000000" w:themeColor="text1"/>
          <w:sz w:val="16"/>
          <w:szCs w:val="16"/>
        </w:rPr>
        <w:softHyphen/>
        <w:t>правления вредительства были использованы инженеры-вредители...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w:t>
      </w:r>
      <w:r w:rsidRPr="00507A31">
        <w:rPr>
          <w:color w:val="000000" w:themeColor="text1"/>
          <w:sz w:val="16"/>
          <w:szCs w:val="16"/>
        </w:rPr>
        <w:softHyphen/>
        <w:t>ниями" (10788).</w:t>
      </w:r>
    </w:p>
    <w:p w14:paraId="15EC2A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01F24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года был издан совместный циркуляр ВСНХ и ОГПУ "Об использовании на производстве специалистов, осужденных за вредительство". В нем, в частности, указывалось: "В настоящее время следует считать, что основная группа вредителей изъята из нашего хозяйственного аппарата. Однако удар, нанесенный нашему народному хозяйству, чрезвычайно велик. В этом деле при правильной его постановке могут и должны быть использованы инженеры-вредители. Использование вредителей следует организовать таким образом, чтобы их работа проходила главным образом в помещениях ОГПУ. В отдельных случаях можно откомандировывать осужденных инженеров в сопровождении уполномоченных для работы непосредственно на заводе". Этим циркуляром было положено начало созданию так называемых шарашек. Часть очень ценных специалистов получила возможность, правда весьма ограниченную, работать на производстве (11025).</w:t>
      </w:r>
    </w:p>
    <w:p w14:paraId="65BC0DF7" w14:textId="3E107A2F" w:rsidR="00537E5F" w:rsidRPr="00507A31" w:rsidRDefault="00537E5F" w:rsidP="00507A31">
      <w:pPr>
        <w:autoSpaceDE w:val="0"/>
        <w:autoSpaceDN w:val="0"/>
        <w:adjustRightInd w:val="0"/>
        <w:jc w:val="both"/>
        <w:rPr>
          <w:color w:val="000000" w:themeColor="text1"/>
          <w:sz w:val="16"/>
          <w:szCs w:val="16"/>
        </w:rPr>
      </w:pPr>
    </w:p>
    <w:p w14:paraId="192C2D7A" w14:textId="1129117D" w:rsidR="00F11C13" w:rsidRPr="00507A31" w:rsidRDefault="00F11C13" w:rsidP="00507A31">
      <w:pPr>
        <w:autoSpaceDE w:val="0"/>
        <w:autoSpaceDN w:val="0"/>
        <w:adjustRightInd w:val="0"/>
        <w:jc w:val="both"/>
        <w:rPr>
          <w:i/>
          <w:iCs/>
          <w:color w:val="000000" w:themeColor="text1"/>
          <w:sz w:val="16"/>
          <w:szCs w:val="16"/>
        </w:rPr>
      </w:pPr>
      <w:r w:rsidRPr="00507A31">
        <w:rPr>
          <w:i/>
          <w:iCs/>
          <w:color w:val="000000" w:themeColor="text1"/>
          <w:sz w:val="16"/>
          <w:szCs w:val="16"/>
        </w:rPr>
        <w:t>Внешняя политика:</w:t>
      </w:r>
    </w:p>
    <w:p w14:paraId="02044E62" w14:textId="77777777" w:rsidR="00F11C13" w:rsidRPr="00507A31" w:rsidRDefault="00F11C13" w:rsidP="00507A31">
      <w:pPr>
        <w:autoSpaceDE w:val="0"/>
        <w:autoSpaceDN w:val="0"/>
        <w:adjustRightInd w:val="0"/>
        <w:jc w:val="both"/>
        <w:rPr>
          <w:i/>
          <w:iCs/>
          <w:color w:val="000000" w:themeColor="text1"/>
          <w:sz w:val="16"/>
          <w:szCs w:val="16"/>
        </w:rPr>
      </w:pPr>
    </w:p>
    <w:p w14:paraId="3AD87097" w14:textId="77777777" w:rsidR="00F11C13" w:rsidRPr="00507A31" w:rsidRDefault="00F11C13" w:rsidP="00507A31">
      <w:pPr>
        <w:jc w:val="both"/>
        <w:rPr>
          <w:color w:val="0070C0"/>
          <w:sz w:val="16"/>
          <w:szCs w:val="16"/>
        </w:rPr>
      </w:pPr>
      <w:r w:rsidRPr="00507A31">
        <w:rPr>
          <w:color w:val="0070C0"/>
          <w:sz w:val="16"/>
          <w:szCs w:val="16"/>
          <w:shd w:val="clear" w:color="auto" w:fill="FFFFFF"/>
        </w:rPr>
        <w:t xml:space="preserve">15 мая 1930 года М.М. Литвинов вновь поставил перед Политбюро вопрос о необходимости любым способом пресечь незаконный лов английских рыбаков, промышлявших, как и прежде, под защитой британских кораблей. Но снова пришлось ограничиться символическим решением. Установить границу зоны для </w:t>
      </w:r>
      <w:r w:rsidRPr="00507A31">
        <w:rPr>
          <w:color w:val="0070C0"/>
          <w:sz w:val="16"/>
          <w:szCs w:val="16"/>
          <w:shd w:val="clear" w:color="auto" w:fill="FFFFFF"/>
        </w:rPr>
        <w:lastRenderedPageBreak/>
        <w:t>иностранных траулеров по 68°10′, то есть чуть севернее мурманского побережья и горла Белого моря51. Иначе защитить национальные интересы у страны все еще не было возможностей (20467).</w:t>
      </w:r>
    </w:p>
    <w:p w14:paraId="1C642826" w14:textId="77777777" w:rsidR="00F11C13" w:rsidRPr="00507A31" w:rsidRDefault="00F11C13" w:rsidP="00507A31">
      <w:pPr>
        <w:jc w:val="both"/>
        <w:rPr>
          <w:color w:val="0070C0"/>
          <w:sz w:val="16"/>
          <w:szCs w:val="16"/>
        </w:rPr>
      </w:pPr>
    </w:p>
    <w:p w14:paraId="7A70B65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10FF9E0" w14:textId="77777777" w:rsidR="00537E5F" w:rsidRPr="00507A31" w:rsidRDefault="00537E5F" w:rsidP="00507A31">
      <w:pPr>
        <w:autoSpaceDE w:val="0"/>
        <w:autoSpaceDN w:val="0"/>
        <w:adjustRightInd w:val="0"/>
        <w:jc w:val="both"/>
        <w:rPr>
          <w:iCs/>
          <w:color w:val="000000" w:themeColor="text1"/>
          <w:sz w:val="16"/>
          <w:szCs w:val="16"/>
        </w:rPr>
      </w:pPr>
    </w:p>
    <w:p w14:paraId="6CF1F1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мая 1930 Элен Маршалл (по другим данным - Church - 2100) стала первой стюардессой на рейсе Сан-Франциско - Шайен и обслуживала 11 пассажиров. После взлета она должна была "перебить в кабине пилота всех мух, завести часы, не разрешать пассажирам выбрасывать окурки в иллюминатор и тщательно вычистить обувь пассажиров, почаще при этом улыбаясь" (1845,24).</w:t>
      </w:r>
    </w:p>
    <w:p w14:paraId="18C2D22B" w14:textId="77777777" w:rsidR="00537E5F" w:rsidRPr="00507A31" w:rsidRDefault="00537E5F" w:rsidP="00507A31">
      <w:pPr>
        <w:autoSpaceDE w:val="0"/>
        <w:autoSpaceDN w:val="0"/>
        <w:adjustRightInd w:val="0"/>
        <w:jc w:val="both"/>
        <w:rPr>
          <w:color w:val="000000" w:themeColor="text1"/>
          <w:sz w:val="16"/>
          <w:szCs w:val="16"/>
        </w:rPr>
      </w:pPr>
    </w:p>
    <w:p w14:paraId="05058248" w14:textId="77777777" w:rsidR="006826FA" w:rsidRPr="00507A31" w:rsidRDefault="006826FA" w:rsidP="00507A31">
      <w:pPr>
        <w:jc w:val="both"/>
        <w:rPr>
          <w:color w:val="000000" w:themeColor="text1"/>
          <w:sz w:val="16"/>
          <w:szCs w:val="16"/>
        </w:rPr>
      </w:pPr>
      <w:r w:rsidRPr="00507A31">
        <w:rPr>
          <w:color w:val="000000" w:themeColor="text1"/>
          <w:sz w:val="16"/>
          <w:szCs w:val="16"/>
        </w:rPr>
        <w:t>15 мая в 1930 году американка Эллен Черч (Ellen Church; 22 сентября 1904, Креско, Айова — 22 августа 1965), медсестра из штата Айова, стала первой в мире стюардессой. Заинтересовавшись авиацией, Эллен поступила на летные курсы, но когда она обратилась к одному из менеджеров авиакомпании «Boeing Air Transport» с вопросом: будет ли у нее возможность стать пилотом, тот ответил, что считает гораздо более перспективной другую ее идею — ввести на воздушных кораблях новую должность, аналогичную должности проводника на железной дороге. Руководство компании одобрило это предложение и заключило контракты с десятком энтузиасток. Черч первой совершила полет из Окленда (штат Калифорния) в Чикаго (штат Иллинойс). В последующие три года почти все американские авиакомпании обзавелись отрядами стюардесс. А Эллен Черч проработала в небе всего 18 месяцев и вернулась к прежней профессии (14892).</w:t>
      </w:r>
    </w:p>
    <w:p w14:paraId="3F63C2A6" w14:textId="77777777" w:rsidR="006826FA" w:rsidRPr="00507A31" w:rsidRDefault="006826FA" w:rsidP="00507A31">
      <w:pPr>
        <w:jc w:val="both"/>
        <w:rPr>
          <w:color w:val="000000" w:themeColor="text1"/>
          <w:sz w:val="16"/>
          <w:szCs w:val="16"/>
        </w:rPr>
      </w:pPr>
    </w:p>
    <w:p w14:paraId="09E18A81" w14:textId="77777777" w:rsidR="00F11C13" w:rsidRPr="00507A31" w:rsidRDefault="00F11C13" w:rsidP="00507A31">
      <w:pPr>
        <w:jc w:val="both"/>
        <w:rPr>
          <w:color w:val="0070C0"/>
          <w:sz w:val="16"/>
          <w:szCs w:val="16"/>
        </w:rPr>
      </w:pPr>
      <w:r w:rsidRPr="00507A31">
        <w:rPr>
          <w:color w:val="0070C0"/>
          <w:sz w:val="16"/>
          <w:szCs w:val="16"/>
        </w:rPr>
        <w:t>15 мая 1930 Эллен Черч становится первой в мире бортпроводницей, работающей на Boeing Air Transport (20805).</w:t>
      </w:r>
    </w:p>
    <w:p w14:paraId="2C8B2A91" w14:textId="77777777" w:rsidR="00F11C13" w:rsidRPr="00507A31" w:rsidRDefault="00F11C13" w:rsidP="00507A31">
      <w:pPr>
        <w:jc w:val="both"/>
        <w:rPr>
          <w:color w:val="0070C0"/>
          <w:sz w:val="16"/>
          <w:szCs w:val="16"/>
        </w:rPr>
      </w:pPr>
    </w:p>
    <w:p w14:paraId="71ECBCE3" w14:textId="77777777" w:rsidR="00F11C13" w:rsidRPr="00507A31" w:rsidRDefault="00F11C13" w:rsidP="00507A31">
      <w:pPr>
        <w:jc w:val="both"/>
        <w:rPr>
          <w:color w:val="0070C0"/>
          <w:sz w:val="16"/>
          <w:szCs w:val="16"/>
        </w:rPr>
      </w:pPr>
      <w:r w:rsidRPr="00507A31">
        <w:rPr>
          <w:color w:val="0070C0"/>
          <w:sz w:val="16"/>
          <w:szCs w:val="16"/>
        </w:rPr>
        <w:t>15 мая 1930 - На самолёте появилась первая стюардесса. Бывшая медсестра Эллен Чёрч (Ellen Church) первой приступила к обслуживанию пассажиров лайнера Boeing 80 авиакомпании Boeing Air Transport (22501).</w:t>
      </w:r>
    </w:p>
    <w:p w14:paraId="221743DB" w14:textId="77777777" w:rsidR="00F11C13" w:rsidRPr="00507A31" w:rsidRDefault="00F11C13" w:rsidP="00507A31">
      <w:pPr>
        <w:jc w:val="both"/>
        <w:rPr>
          <w:color w:val="0070C0"/>
          <w:sz w:val="16"/>
          <w:szCs w:val="16"/>
        </w:rPr>
      </w:pPr>
    </w:p>
    <w:p w14:paraId="712F2083" w14:textId="77777777" w:rsidR="004A3420" w:rsidRPr="00507A31" w:rsidRDefault="004A3420" w:rsidP="00507A31">
      <w:pPr>
        <w:autoSpaceDE w:val="0"/>
        <w:autoSpaceDN w:val="0"/>
        <w:adjustRightInd w:val="0"/>
        <w:jc w:val="both"/>
        <w:rPr>
          <w:i/>
          <w:iCs/>
          <w:color w:val="000000" w:themeColor="text1"/>
          <w:sz w:val="16"/>
          <w:szCs w:val="16"/>
        </w:rPr>
      </w:pPr>
      <w:r w:rsidRPr="00507A31">
        <w:rPr>
          <w:i/>
          <w:iCs/>
          <w:color w:val="000000" w:themeColor="text1"/>
          <w:sz w:val="16"/>
          <w:szCs w:val="16"/>
        </w:rPr>
        <w:t>Другие оборонные отрасли:</w:t>
      </w:r>
    </w:p>
    <w:p w14:paraId="37FF22FF" w14:textId="77777777" w:rsidR="004A3420" w:rsidRPr="00507A31" w:rsidRDefault="004A3420" w:rsidP="00507A31">
      <w:pPr>
        <w:autoSpaceDE w:val="0"/>
        <w:autoSpaceDN w:val="0"/>
        <w:adjustRightInd w:val="0"/>
        <w:jc w:val="both"/>
        <w:rPr>
          <w:i/>
          <w:iCs/>
          <w:color w:val="000000" w:themeColor="text1"/>
          <w:sz w:val="16"/>
          <w:szCs w:val="16"/>
        </w:rPr>
      </w:pPr>
    </w:p>
    <w:p w14:paraId="51EE6F92" w14:textId="77777777" w:rsidR="004A3420" w:rsidRPr="00507A31" w:rsidRDefault="004A3420" w:rsidP="00507A31">
      <w:pPr>
        <w:jc w:val="both"/>
        <w:rPr>
          <w:color w:val="000000" w:themeColor="text1"/>
          <w:sz w:val="16"/>
          <w:szCs w:val="16"/>
        </w:rPr>
      </w:pPr>
      <w:r w:rsidRPr="00507A31">
        <w:rPr>
          <w:color w:val="000000" w:themeColor="text1"/>
          <w:sz w:val="16"/>
          <w:szCs w:val="16"/>
        </w:rPr>
        <w:t>16-го мая 1930 года</w:t>
      </w:r>
    </w:p>
    <w:p w14:paraId="433B1333" w14:textId="77777777" w:rsidR="004A3420" w:rsidRPr="00507A31" w:rsidRDefault="004A3420" w:rsidP="00507A31">
      <w:pPr>
        <w:jc w:val="both"/>
        <w:rPr>
          <w:color w:val="000000" w:themeColor="text1"/>
          <w:sz w:val="16"/>
          <w:szCs w:val="16"/>
        </w:rPr>
      </w:pPr>
      <w:r w:rsidRPr="00507A31">
        <w:rPr>
          <w:color w:val="000000" w:themeColor="text1"/>
          <w:sz w:val="16"/>
          <w:szCs w:val="16"/>
        </w:rPr>
        <w:t>Показание Стыриковича Владислава Львовича. От 16-го мая 1930 года.</w:t>
      </w:r>
    </w:p>
    <w:p w14:paraId="4C5C593A" w14:textId="77777777" w:rsidR="004A3420" w:rsidRPr="00507A31" w:rsidRDefault="004A3420" w:rsidP="00507A31">
      <w:pPr>
        <w:jc w:val="both"/>
        <w:rPr>
          <w:color w:val="000000" w:themeColor="text1"/>
          <w:sz w:val="16"/>
          <w:szCs w:val="16"/>
        </w:rPr>
      </w:pPr>
      <w:r w:rsidRPr="00507A31">
        <w:rPr>
          <w:color w:val="000000" w:themeColor="text1"/>
          <w:sz w:val="16"/>
          <w:szCs w:val="16"/>
        </w:rPr>
        <w:t>Источник: </w:t>
      </w:r>
    </w:p>
    <w:p w14:paraId="0DD7EDC6" w14:textId="77777777" w:rsidR="004A3420" w:rsidRPr="00507A31" w:rsidRDefault="004A342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C98764" w14:textId="77777777" w:rsidR="004A3420" w:rsidRPr="00507A31" w:rsidRDefault="004A3420" w:rsidP="00507A31">
      <w:pPr>
        <w:jc w:val="both"/>
        <w:rPr>
          <w:color w:val="000000" w:themeColor="text1"/>
          <w:sz w:val="16"/>
          <w:szCs w:val="16"/>
        </w:rPr>
      </w:pPr>
      <w:r w:rsidRPr="00507A31">
        <w:rPr>
          <w:color w:val="000000" w:themeColor="text1"/>
          <w:sz w:val="16"/>
          <w:szCs w:val="16"/>
        </w:rPr>
        <w:t>От 16-го мая 1930 года.</w:t>
      </w:r>
    </w:p>
    <w:p w14:paraId="615BE596" w14:textId="77777777" w:rsidR="004A3420" w:rsidRPr="00507A31" w:rsidRDefault="004A3420" w:rsidP="00507A31">
      <w:pPr>
        <w:jc w:val="both"/>
        <w:rPr>
          <w:color w:val="000000" w:themeColor="text1"/>
          <w:sz w:val="16"/>
          <w:szCs w:val="16"/>
        </w:rPr>
      </w:pPr>
      <w:r w:rsidRPr="00507A31">
        <w:rPr>
          <w:color w:val="000000" w:themeColor="text1"/>
          <w:sz w:val="16"/>
          <w:szCs w:val="16"/>
        </w:rPr>
        <w:t>1.  Сношения с ПЛОТНИКОВЫМ о состоянии предприятий велись мною в период [19] 18-23 г.г. через эстонскую миссию. Вопросы, к[отор]ые ставились мне ПЛОТНИКОВЫМ в его письмах сводились к следующему: не допускать выноса оборудования из заводов, при возможности закрыть и Нов[ый] Леснер, на подобие закрытого уже «ФЕНИКСА», чтобы лучше по его мнению сохранить в целости завод[;] затем он запрашивал, что делают заводы, сколько на них рабочих и какие планы развития и задания ставятся им. Его интересовали заводы Нов[ый] и Стар[ый] Леснер, Феникса, Экономайзер, и Р[усский] Дизель. Затем, он вообще запрашивал об общем положении дел в промышленности. На эти запросы по имеющимся у меня материалам я давал ответы. Когда получались от него деньги и письма[,] ко мне приходил служащий из Эстонской миссии и просил зайти к секретарю миссии. Заходя в миссию я обращался к секретарю и получал запечатанный пакет, к[отор]ый был пересылаем ПЛОТНИКОВЫМ через КОЛЬЦА, находящегося в Ревеле. Свои ответы я также передавал, обращаясь к секретарю миссии и адресуя их на КОЛЬЦА в Ревель. Деньги по разверстке ПЛОТНИКОВА соответствующим и указанным лично в предыдущем показании лицам я раздавал, вызывая их к себе в служебный кабинет. Постепенно в [19]23 г. его запросы ко мне прекратились и наши сношения оборвались.</w:t>
      </w:r>
    </w:p>
    <w:p w14:paraId="1D8398AA" w14:textId="77777777" w:rsidR="004A3420" w:rsidRPr="00507A31" w:rsidRDefault="004A3420" w:rsidP="00507A31">
      <w:pPr>
        <w:jc w:val="both"/>
        <w:rPr>
          <w:color w:val="000000" w:themeColor="text1"/>
          <w:sz w:val="16"/>
          <w:szCs w:val="16"/>
        </w:rPr>
      </w:pPr>
      <w:r w:rsidRPr="00507A31">
        <w:rPr>
          <w:color w:val="000000" w:themeColor="text1"/>
          <w:sz w:val="16"/>
          <w:szCs w:val="16"/>
        </w:rPr>
        <w:t>2.  О закупке оборудования по германским кредитам могу добавить следующее. Когда начала составляться комиссия по закупке оборудования по германским кредитам, то в конце [19]25 г. ХРЕННИКОВ устроил у себя совещание организации, на к[отор]ом было намечено следующее. Члены организации, входившие и в Германскую комиссию, должны в Германии выбирать оборудование по возможности несоответственное его назначению. Эта же система д[олжна] б[ыть] проведена с самого начала и на местах в составляемых спецификациях, конечно, соблюдая меру правдоподобия. Фирмы, к[отор]ые дали комиссионные ХРЕННИКОВУ, точно не помню, т. к. он подробно мне не говорил. По памяти мог указать, что там были РЕЙНСКЕР, ЛЕВИ, ШИСС-ДЕФРИЗ и НАЙЛЬЕ. Других не помню.</w:t>
      </w:r>
    </w:p>
    <w:p w14:paraId="5C847E2F" w14:textId="77777777" w:rsidR="004A3420" w:rsidRPr="00507A31" w:rsidRDefault="004A3420" w:rsidP="00507A31">
      <w:pPr>
        <w:jc w:val="both"/>
        <w:rPr>
          <w:color w:val="000000" w:themeColor="text1"/>
          <w:sz w:val="16"/>
          <w:szCs w:val="16"/>
        </w:rPr>
      </w:pPr>
      <w:r w:rsidRPr="00507A31">
        <w:rPr>
          <w:color w:val="000000" w:themeColor="text1"/>
          <w:sz w:val="16"/>
          <w:szCs w:val="16"/>
        </w:rPr>
        <w:t>3.  От БЕЛОНОЖКИНА денег не получал. Припоминаю, что был случай, что ХРЕННИКОВ через него передал мне деньги из тех 8.000 руб., к[отор]ые указаны мною в получении от Московской организации, кажется, 1.500 р.[,] но эти деньги я считал и считаю идущими от ХРЕННИКОВА. До революции я с БЕЛОНОЖКИНЫМ не имел никаких отношений, мало его знал, т. к. мы работали в разных отраслях промышленности, а ему не было никакого смысла давать мне деньги из сумм, имевших очевидно специальное назначение.</w:t>
      </w:r>
    </w:p>
    <w:p w14:paraId="61E9B567" w14:textId="77777777" w:rsidR="004A3420" w:rsidRPr="00507A31" w:rsidRDefault="004A3420" w:rsidP="00507A31">
      <w:pPr>
        <w:jc w:val="both"/>
        <w:rPr>
          <w:color w:val="000000" w:themeColor="text1"/>
          <w:sz w:val="16"/>
          <w:szCs w:val="16"/>
        </w:rPr>
      </w:pPr>
      <w:r w:rsidRPr="00507A31">
        <w:rPr>
          <w:color w:val="000000" w:themeColor="text1"/>
          <w:sz w:val="16"/>
          <w:szCs w:val="16"/>
        </w:rPr>
        <w:t>4.  Когда стал организовываться ГИПРОМЕЗ, Центральной организацией, ХРЕННИКОВЫМ, был направлен для работ и проведения вредительства БЕЛОНОЖКИН. Председательство в Техническом Совете взял на себя ХРЕННИКОВ, а в состав членов Совета были введены все члены организации. На совещаниях по этому вопросу я не был, но знаю, что было намечено замедлять работу по разработке проектов, не привлекать иностранных специалистов, по возможности начинать работу с более несущественных заводов и при разработке проектов вносить туда дефекты в пределах, не вызывающих подозрений. Вся эта работа должна была проводиться БЕЛОНОЖКИНЫМ. Члены же Технического] Совета, как в прениях, так равно и в своей экспертной работе, должны были поддерживать эту систему. Таким образом ГИПРОМЕЗ не выдвинул на первую очередь главные темы своих работ: как реконструкцию Югостали, Урала, крупных трестов Л[ен].М[аш]. Треста, ГОМЗы и проч., а занялся, в первую очередь, вагонным заводом на Урале и сельскохозяйственным в Ростове-н/Д[ону]. Даже от проектов по реконструкции Красн[ого] Путиловца ГИПРОМЕЗ сначала под Давлением БЕЛОНОЖКИНА уклонялся, а затем проводил его замедленным и неправильным образом, как мною указано в отдельном показании. Участвуя в сессиях Технического] Совета, подробных деталей Дефективности проектов вспомнить не могу. Могу указать, как пример, что производственный процесс вагонного завода в Тагиле был нецелесообразно сложен и запутан, площади проектируемых мастерских были преувеличены, здания — тяжелой конструкции и поэтому дорогие. Кроме того, всюду отстаивалась малая сменность работ. В механических — одна смена, в горячих — не более 2-х. Такая же система была применена в проектах Ростовского и Свердловского машиностроительных заводов. Затем был выдвинут проект реконструкции ГОМЗЫ и затем Л[ЕН]МАШТРЕСТА. С последним я мало знаком, а по ГОМЗе я давал общую экспертизу и затем — экспертизу по Коломенскому и Выксунскому заводам. В общей экспертизе, по указанию КУТСКОГО, мною проводилась задержка в разработке проекта под предлогом увязки металлургической базы ГОМЗЫ с центральным районом. В экспертизе по Коломне мною было предложено уничтожение паровозостроения в Сормове и вносилось осложнение в проект реконструкции Коломенского завода под предлогом централизации заготовительных цехов в виде отдельного завода. В остальных проектах (тракторного завода, реконструкции Краматорского завода и проч.) я за занятостью участия не принимал и никаких деталей указать не могу. О реконструкции ЛЕНМАШТРЕСТА вопрос БЕЛОНОЖКИНЫМ откладывался под всякими предлогами, выделение Ленинградского филиала тормозилось. Когда начались его работы, то по моим указаниям дача материалов с заводов ГИПРОМЕЗу замедлялась, сама работа в ГИПРОМЕЗе протекала крайне замедленно и запутано. Очевидно, вредительская работа БЕЛОНОЖКИНА, хотя он вскоре был арестован, имела свое продолжение, но я, не будучи знаком с постановкой вредительства в ГИПРОМЕЗе и с е[го] организацией, что велось ХРЕННИКОВЫМ и БЕЛОНОЖКИНЫМ, здесь никаких больше подробностей не знаю и поэтому их указать не могу. Медлительность эта в разработке реконструкций по ЛЕНМАШТРЕСТУ выразилась, помимо Путиловск[ого] завода, о чем я говорил особо, в том, что общее промышленное задание по Тресту и по всем заводам должно было быть закончено только в Марте с/г., проект нового чугунно-литейного завода очень запоздал, работа по реконструкции Металлического] завода и в частности турбинной мастерской — совершенно не развернуты, тоже самое по заводам Невскому и Р[усский] Дизель. ЗАХАРОВ, к[отор]ый перешел на работу в ГИПРОМЕЗ (в его филиал) с Путиловского завода — по заводам Металлическому, Невскому и Р[усский] Дизель продолжал вредительскую работу по задержке работы по проектам (собственно по промышленному заданию), т. к. работа только начиналась, имея связь со мною. О возможности довериться ВЕТЧИНКИНУ я указал БЕЛОНОЖКИНУ, но дальнейшей связи с ними по ГИПРОМЕЗу не имел, т. к. он не касался проектов ЛЕНМАШТРЕСТА, за исключением проектов малого значения по вспомогательным устройствам по Пут[иловскому] зав[оду], как железнодорожного пути.</w:t>
      </w:r>
    </w:p>
    <w:p w14:paraId="5DE11293" w14:textId="77777777" w:rsidR="004A3420" w:rsidRPr="00507A31" w:rsidRDefault="004A3420" w:rsidP="00507A31">
      <w:pPr>
        <w:jc w:val="both"/>
        <w:rPr>
          <w:color w:val="000000" w:themeColor="text1"/>
          <w:sz w:val="16"/>
          <w:szCs w:val="16"/>
        </w:rPr>
      </w:pPr>
      <w:r w:rsidRPr="00507A31">
        <w:rPr>
          <w:color w:val="000000" w:themeColor="text1"/>
          <w:sz w:val="16"/>
          <w:szCs w:val="16"/>
        </w:rPr>
        <w:t>В. СТЫРИКОВИЧ.</w:t>
      </w:r>
    </w:p>
    <w:p w14:paraId="1E92694C" w14:textId="77777777" w:rsidR="004A3420" w:rsidRPr="00507A31" w:rsidRDefault="004A3420" w:rsidP="00507A31">
      <w:pPr>
        <w:jc w:val="both"/>
        <w:rPr>
          <w:color w:val="000000" w:themeColor="text1"/>
          <w:sz w:val="16"/>
          <w:szCs w:val="16"/>
        </w:rPr>
      </w:pPr>
      <w:r w:rsidRPr="00507A31">
        <w:rPr>
          <w:color w:val="000000" w:themeColor="text1"/>
          <w:sz w:val="16"/>
          <w:szCs w:val="16"/>
        </w:rPr>
        <w:t>ПОКАЗАНИЕ СТЫРИКОВИЧА Владислава Львовича.</w:t>
      </w:r>
    </w:p>
    <w:p w14:paraId="71DE3E8E" w14:textId="77777777" w:rsidR="004A3420" w:rsidRPr="00507A31" w:rsidRDefault="004A3420" w:rsidP="00507A31">
      <w:pPr>
        <w:jc w:val="both"/>
        <w:rPr>
          <w:color w:val="000000" w:themeColor="text1"/>
          <w:sz w:val="16"/>
          <w:szCs w:val="16"/>
        </w:rPr>
      </w:pPr>
      <w:r w:rsidRPr="00507A31">
        <w:rPr>
          <w:color w:val="000000" w:themeColor="text1"/>
          <w:sz w:val="16"/>
          <w:szCs w:val="16"/>
        </w:rPr>
        <w:t>От 16-го мая 1930 года.</w:t>
      </w:r>
    </w:p>
    <w:p w14:paraId="7612C565" w14:textId="77777777" w:rsidR="004A3420" w:rsidRPr="00507A31" w:rsidRDefault="004A3420" w:rsidP="00507A31">
      <w:pPr>
        <w:jc w:val="both"/>
        <w:rPr>
          <w:color w:val="000000" w:themeColor="text1"/>
          <w:sz w:val="16"/>
          <w:szCs w:val="16"/>
        </w:rPr>
      </w:pPr>
      <w:r w:rsidRPr="00507A31">
        <w:rPr>
          <w:color w:val="000000" w:themeColor="text1"/>
          <w:sz w:val="16"/>
          <w:szCs w:val="16"/>
        </w:rPr>
        <w:t xml:space="preserve">Руководящая группа вредительской организации по ЛЕНМАШТРЕСТУ, состоящая из меня, САБЛИНА и ВИНБЛАДА, собиралась не часто, чтобы не возбудить подозрений. На одном из первых собраний у меня в служебном] кабинете [19]24—25 г. было решено главное внимание обратить на три крупных завода: Красный Путиловец, Металлический] завод и Р[усский] Дизель, вокруг к[отор]ых сосредотачивались наиболее важные производства: артиллерийское] дело, турбостроение, котлостроение, дизеля, паровозостроение, тракторостроение и металлургия. На этом же собрании в общих чертах конкретизированы по каждому производству те меры вредительства, к[отор]ые были указаны Москвой. По артиллерийскому] делу они сводились к ограничению приема заказов, по турбинам и котлам — к медленной разработке чертежей и к задержке заключения договоров о техническом содействии, по паровозостроению — к внесению дефектов в конструкцию нового паровоза серии «М». По тракторам было решено замедлять рациональную постановку работ и продолжать кустарничество. По металлургии — намечено было </w:t>
      </w:r>
      <w:r w:rsidRPr="00507A31">
        <w:rPr>
          <w:color w:val="000000" w:themeColor="text1"/>
          <w:sz w:val="16"/>
          <w:szCs w:val="16"/>
        </w:rPr>
        <w:lastRenderedPageBreak/>
        <w:t>задерживать приглашение иностранных специалистов и ограничивать размеры ее выпуска. Тогда же было намечено всячески возражать против организованной рационализации производства, доказывая, что таковую можно осуществлять рабочим аппаратом. Решено было с большою осторожностью вовлекать во вредительскую работу работников из заводских аппаратов, действуя замаскированными распоряжениями, скрывающими истинные цели.</w:t>
      </w:r>
    </w:p>
    <w:p w14:paraId="492B9E9D" w14:textId="77777777" w:rsidR="004A3420" w:rsidRPr="00507A31" w:rsidRDefault="004A3420" w:rsidP="00507A31">
      <w:pPr>
        <w:jc w:val="both"/>
        <w:rPr>
          <w:color w:val="000000" w:themeColor="text1"/>
          <w:sz w:val="16"/>
          <w:szCs w:val="16"/>
        </w:rPr>
      </w:pPr>
      <w:r w:rsidRPr="00507A31">
        <w:rPr>
          <w:color w:val="000000" w:themeColor="text1"/>
          <w:sz w:val="16"/>
          <w:szCs w:val="16"/>
        </w:rPr>
        <w:t>Из следующих общих наших совещаний припоминаю совещание о мерах задержки реконструкции заводов. Таковые были намечены в замедлении дачи всяких материалов для ГИПРОМЕЗа, причем ВИНБЛАД должен был отстаивать разработку проекта реконструкции Металлического завода у себя на заводе, чтобы еще легче замедлить работу. Затем, припоминаю совещание по поводу ликвидации паровозостроения на Пут[иловском] заводе и замене его турбостроением, причем ВИНБЛАД должен был поддерживать таковой перенос турбостроения на Пут[иловский] завод. Из прочих моих совещаний уже не общего характера могу вспомнить одно с САБЛИНЫМ и ПАВЛИЧЕКОМ о выборе несоответственного оборудования для тракторов. Затем, с САБЛИНЫМ и ИВАНОВЫМ — о противодействии программе на [19]28/29 г. в 3.000 тракторов. Эти разговоры происходили в кабинете САБЛИНА на Путил[овском] заводе. С ВИНБЛАДОМ и БОБРОВЩИКОВЫМ на Металлическом] заводе в кабинете ВИНБЛАДА я имел совещания о турбостроении, где была намечена небрежная сборка турбин и плохое изготовление лопаток. С ХАРИТОНОВИЧЕМ и ТРОИЦКИМ я имел совещания о задержке судовых дизелей путем замедленного и несистематического литья, непрекращения брака, а в дальнейшем — задержка в строительных работах и установке нового оборудования. По вредительству по металлургии припоминаю совещание с САБЛИНЫМ и ПОЛОВКО о непринятии мер к уничтожению брака по орудийным стволам, валам и турб[инным] дискам. С прочими директорами я имел связь путем указаний и получения от них сообщений о вредительской работе во время служебных докладов, посещений заводов. Своих инженеров по Правлению я не привлекал (инженеров, работающих в моем Отделе) к вредительской работе, чтобы бесполезно не расширять круг работающих в этом деле лиц, так как они слепо исполняли мои распоряжения, а благодаря их малому и слабому по количеству составу не могли разобраться в происходящих на заводах явлениях и иметь на них существенное влияние. Исключение составлял ГОРОДКОВ (хотя и он не знал о существовании центральной вредительской организации), к[отор]ый случайно высказал мне свой отрицательный взгляд на советское строительство и я привлек его к таковой, главным образом, по паровозостроению.</w:t>
      </w:r>
    </w:p>
    <w:p w14:paraId="2970CEAB" w14:textId="77777777" w:rsidR="004A3420" w:rsidRPr="00507A31" w:rsidRDefault="004A3420" w:rsidP="00507A31">
      <w:pPr>
        <w:jc w:val="both"/>
        <w:rPr>
          <w:color w:val="000000" w:themeColor="text1"/>
          <w:sz w:val="16"/>
          <w:szCs w:val="16"/>
        </w:rPr>
      </w:pPr>
      <w:r w:rsidRPr="00507A31">
        <w:rPr>
          <w:color w:val="000000" w:themeColor="text1"/>
          <w:sz w:val="16"/>
          <w:szCs w:val="16"/>
        </w:rPr>
        <w:t>С ДУКЕЛЬСКИМ моя связь ограничивалась более общими вопросами, так как я указал в предыдущих показаниях, он вел работу по вредительству в значительной мере самостоятельно. Таковыми вопросами, которые мною обсуждались с ним, были: преуменьшение возможностей военных мастерских и получение заказов в ограниченном размере и по высоким ценам, задержка в разработке и деталировке технических условий и в даче соответственных указаний по заводам и главное в медленном изготовлении чертежей новых орудий путем замедления выяснения всяких конструктивных вопросов. Больше деталей сейчас без документов вспомнить не могу.</w:t>
      </w:r>
    </w:p>
    <w:p w14:paraId="67B54398" w14:textId="77777777" w:rsidR="004A3420" w:rsidRPr="00507A31" w:rsidRDefault="004A3420" w:rsidP="00507A31">
      <w:pPr>
        <w:jc w:val="both"/>
        <w:rPr>
          <w:color w:val="000000" w:themeColor="text1"/>
          <w:sz w:val="16"/>
          <w:szCs w:val="16"/>
        </w:rPr>
      </w:pPr>
      <w:r w:rsidRPr="00507A31">
        <w:rPr>
          <w:color w:val="000000" w:themeColor="text1"/>
          <w:sz w:val="16"/>
          <w:szCs w:val="16"/>
        </w:rPr>
        <w:t>В. СТЫРИКОВИЧ.</w:t>
      </w:r>
    </w:p>
    <w:p w14:paraId="2FEF1761" w14:textId="77777777" w:rsidR="004A3420" w:rsidRPr="00507A31" w:rsidRDefault="004A3420" w:rsidP="00507A31">
      <w:pPr>
        <w:jc w:val="both"/>
        <w:rPr>
          <w:color w:val="000000" w:themeColor="text1"/>
          <w:sz w:val="16"/>
          <w:szCs w:val="16"/>
        </w:rPr>
      </w:pPr>
      <w:r w:rsidRPr="00507A31">
        <w:rPr>
          <w:color w:val="000000" w:themeColor="text1"/>
          <w:sz w:val="16"/>
          <w:szCs w:val="16"/>
        </w:rPr>
        <w:t>Допросил: Ст. Уполномоченный Н. СЕМЕНОВ (18372).</w:t>
      </w:r>
    </w:p>
    <w:p w14:paraId="0260B311" w14:textId="77777777" w:rsidR="004A3420" w:rsidRPr="00507A31" w:rsidRDefault="004A3420" w:rsidP="00507A31">
      <w:pPr>
        <w:jc w:val="both"/>
        <w:rPr>
          <w:color w:val="000000" w:themeColor="text1"/>
          <w:sz w:val="16"/>
          <w:szCs w:val="16"/>
        </w:rPr>
      </w:pPr>
    </w:p>
    <w:p w14:paraId="52C249F3" w14:textId="77777777" w:rsidR="006826FA"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29BC0A8" w14:textId="77777777" w:rsidR="006826FA" w:rsidRPr="00507A31" w:rsidRDefault="006826FA" w:rsidP="00507A31">
      <w:pPr>
        <w:autoSpaceDE w:val="0"/>
        <w:autoSpaceDN w:val="0"/>
        <w:adjustRightInd w:val="0"/>
        <w:jc w:val="both"/>
        <w:rPr>
          <w:iCs/>
          <w:color w:val="000000" w:themeColor="text1"/>
          <w:sz w:val="16"/>
          <w:szCs w:val="16"/>
        </w:rPr>
      </w:pPr>
    </w:p>
    <w:p w14:paraId="2C3A9B30" w14:textId="77777777" w:rsidR="006826FA" w:rsidRPr="00507A31" w:rsidRDefault="006826FA" w:rsidP="00507A31">
      <w:pPr>
        <w:jc w:val="both"/>
        <w:rPr>
          <w:color w:val="000000" w:themeColor="text1"/>
          <w:sz w:val="16"/>
          <w:szCs w:val="16"/>
        </w:rPr>
      </w:pPr>
      <w:r w:rsidRPr="00507A31">
        <w:rPr>
          <w:bCs/>
          <w:color w:val="000000" w:themeColor="text1"/>
          <w:sz w:val="16"/>
          <w:szCs w:val="16"/>
        </w:rPr>
        <w:t>16 мая</w:t>
      </w:r>
      <w:r w:rsidRPr="00507A31">
        <w:rPr>
          <w:color w:val="000000" w:themeColor="text1"/>
          <w:sz w:val="16"/>
          <w:szCs w:val="16"/>
        </w:rPr>
        <w:t xml:space="preserve"> в 1930 году в СССР проводится перетарификация во всех отраслях промышленности: нормы выработки повышаются, расценки понижаются. В результате зарплата сокращается в полтора-два раза. Токарь в механическом цехе будет получать 48 рублей, тогда как раньше зарабатывал 100, зарплата литейщика вместо 90 рублей становится 50-60 рублей. В текстильной промышленности к тому же проходят массовые сокращения кадров. Кроме того, в 1930 промышленность переходит на непрерывную рабочую неделю, что увеличивает занятость рабочих на производстве. Люди работают 4 дня, пятый день отдыхают. Выходные дни у членов семьи совпадают очень редко; субботы и воскресенья, как дни совместного отдыха, исчезают (14893).</w:t>
      </w:r>
    </w:p>
    <w:p w14:paraId="5F605615" w14:textId="77777777" w:rsidR="006826FA" w:rsidRPr="00507A31" w:rsidRDefault="006826FA" w:rsidP="00507A31">
      <w:pPr>
        <w:jc w:val="both"/>
        <w:rPr>
          <w:color w:val="000000" w:themeColor="text1"/>
          <w:sz w:val="16"/>
          <w:szCs w:val="16"/>
        </w:rPr>
      </w:pPr>
    </w:p>
    <w:p w14:paraId="0DD345B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D262809" w14:textId="77777777" w:rsidR="00537E5F" w:rsidRPr="00507A31" w:rsidRDefault="00537E5F" w:rsidP="00507A31">
      <w:pPr>
        <w:autoSpaceDE w:val="0"/>
        <w:autoSpaceDN w:val="0"/>
        <w:adjustRightInd w:val="0"/>
        <w:jc w:val="both"/>
        <w:rPr>
          <w:iCs/>
          <w:color w:val="000000" w:themeColor="text1"/>
          <w:sz w:val="16"/>
          <w:szCs w:val="16"/>
        </w:rPr>
      </w:pPr>
    </w:p>
    <w:p w14:paraId="3BDAE811" w14:textId="77777777" w:rsidR="006826FA" w:rsidRPr="00507A31" w:rsidRDefault="006826FA" w:rsidP="00507A31">
      <w:pPr>
        <w:jc w:val="both"/>
        <w:rPr>
          <w:color w:val="000000" w:themeColor="text1"/>
          <w:sz w:val="16"/>
          <w:szCs w:val="16"/>
        </w:rPr>
      </w:pPr>
      <w:r w:rsidRPr="00507A31">
        <w:rPr>
          <w:bCs/>
          <w:color w:val="000000" w:themeColor="text1"/>
          <w:sz w:val="16"/>
          <w:szCs w:val="16"/>
        </w:rPr>
        <w:t>16 мая</w:t>
      </w:r>
      <w:r w:rsidRPr="00507A31">
        <w:rPr>
          <w:color w:val="000000" w:themeColor="text1"/>
          <w:sz w:val="16"/>
          <w:szCs w:val="16"/>
        </w:rPr>
        <w:t xml:space="preserve"> в 1930 году состоялся первый полет рекордного самолета, разработанного французской фирмой «Bleriot» - </w:t>
      </w:r>
      <w:hyperlink r:id="rId88" w:tgtFrame="_blank" w:history="1">
        <w:r w:rsidRPr="00507A31">
          <w:rPr>
            <w:color w:val="000000" w:themeColor="text1"/>
            <w:sz w:val="16"/>
            <w:szCs w:val="16"/>
          </w:rPr>
          <w:t xml:space="preserve">«Bl-110» «Joseph Le Brix». </w:t>
        </w:r>
      </w:hyperlink>
      <w:r w:rsidRPr="00507A31">
        <w:rPr>
          <w:color w:val="000000" w:themeColor="text1"/>
          <w:sz w:val="16"/>
          <w:szCs w:val="16"/>
        </w:rPr>
        <w:t>26 февраля 1931 года, после проведения испытаний, французские летчики Lucien Bossoutrot и Maurice Rossi совершили на нем перелет преодолев 8822 километров за 75 часов и 23 минуты. Полет закончившийся 1 марта стал мировым рекордом для полетов по замкнутой петле. Уже 23 марта пилоты устанавливают новый мировой рекорд преодолев 10601 километров за 76 часов и 34 минуты. И напоследок экипаж в составе Paul Codos и Maurice Rossi взлетев 5 августа 1933 года в Нью-Йорке приземлился 7 августа на аэродроме Райак в Сирии, преодолев за 55 часов 9100 километров и установив новый мировой рекорд на дальность полета (14893).</w:t>
      </w:r>
    </w:p>
    <w:p w14:paraId="5805A552" w14:textId="77777777" w:rsidR="006826FA" w:rsidRPr="00507A31" w:rsidRDefault="006826FA" w:rsidP="00507A31">
      <w:pPr>
        <w:jc w:val="both"/>
        <w:rPr>
          <w:color w:val="000000" w:themeColor="text1"/>
          <w:sz w:val="16"/>
          <w:szCs w:val="16"/>
        </w:rPr>
      </w:pPr>
    </w:p>
    <w:p w14:paraId="472FD812" w14:textId="77777777" w:rsidR="008F0891" w:rsidRPr="00507A31" w:rsidRDefault="008F0891" w:rsidP="00507A31">
      <w:pPr>
        <w:jc w:val="both"/>
        <w:rPr>
          <w:color w:val="0070C0"/>
          <w:sz w:val="16"/>
          <w:szCs w:val="16"/>
        </w:rPr>
      </w:pPr>
      <w:r w:rsidRPr="00507A31">
        <w:rPr>
          <w:color w:val="0070C0"/>
          <w:sz w:val="16"/>
          <w:szCs w:val="16"/>
        </w:rPr>
        <w:t>16 мая 1930 первый полет - Блерио 110 (20805).</w:t>
      </w:r>
    </w:p>
    <w:p w14:paraId="11810CEC" w14:textId="77777777" w:rsidR="008F0891" w:rsidRPr="00507A31" w:rsidRDefault="008F0891" w:rsidP="00507A31">
      <w:pPr>
        <w:jc w:val="both"/>
        <w:rPr>
          <w:color w:val="0070C0"/>
          <w:sz w:val="16"/>
          <w:szCs w:val="16"/>
        </w:rPr>
      </w:pPr>
    </w:p>
    <w:p w14:paraId="1ED9802B" w14:textId="77777777" w:rsidR="008F0891" w:rsidRPr="00507A31" w:rsidRDefault="008F0891" w:rsidP="00507A31">
      <w:pPr>
        <w:jc w:val="both"/>
        <w:rPr>
          <w:color w:val="0070C0"/>
          <w:sz w:val="16"/>
          <w:szCs w:val="16"/>
        </w:rPr>
      </w:pPr>
      <w:r w:rsidRPr="00507A31">
        <w:rPr>
          <w:color w:val="0070C0"/>
          <w:sz w:val="16"/>
          <w:szCs w:val="16"/>
        </w:rPr>
        <w:t>16 мая 1930 - Первый полёт рекордного самолёта фирмы Bleriot Bl-110 Joseph Le Brix. К сожалению, из-за проблем с топливной системой первый полёт закончился вынужденной посадкой, но самолёт повреждений не получил. С 15 ноября 1930-го по 26 марта 1932-го машина установила три мировых рекорда, преодолев в общей сложности 58268 км за 467 лётных часов (22500).</w:t>
      </w:r>
    </w:p>
    <w:p w14:paraId="1916C193" w14:textId="77777777" w:rsidR="008F0891" w:rsidRPr="00507A31" w:rsidRDefault="008F0891" w:rsidP="00507A31">
      <w:pPr>
        <w:jc w:val="both"/>
        <w:rPr>
          <w:color w:val="0070C0"/>
          <w:sz w:val="16"/>
          <w:szCs w:val="16"/>
        </w:rPr>
      </w:pPr>
    </w:p>
    <w:p w14:paraId="6BA4302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16 мая 1930 в провинции Онтарио (Канада) открыты залежи урановой руды, которую использовали американцы для производства своих первых атомных бомб, сброшенных на Японию (4962).</w:t>
      </w:r>
    </w:p>
    <w:p w14:paraId="14D726B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2D85091" w14:textId="77777777" w:rsidR="008F0891" w:rsidRPr="00507A31" w:rsidRDefault="008F0891"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F97A677" w14:textId="77777777" w:rsidR="008F0891" w:rsidRPr="00507A31" w:rsidRDefault="008F0891" w:rsidP="00507A31">
      <w:pPr>
        <w:autoSpaceDE w:val="0"/>
        <w:autoSpaceDN w:val="0"/>
        <w:adjustRightInd w:val="0"/>
        <w:jc w:val="both"/>
        <w:rPr>
          <w:iCs/>
          <w:color w:val="000000" w:themeColor="text1"/>
          <w:sz w:val="16"/>
          <w:szCs w:val="16"/>
        </w:rPr>
      </w:pPr>
    </w:p>
    <w:p w14:paraId="17D9EA44" w14:textId="77777777" w:rsidR="008F0891" w:rsidRPr="00507A31" w:rsidRDefault="008F0891" w:rsidP="00507A31">
      <w:pPr>
        <w:shd w:val="clear" w:color="auto" w:fill="FFFFFF"/>
        <w:jc w:val="both"/>
        <w:rPr>
          <w:color w:val="000000" w:themeColor="text1"/>
          <w:sz w:val="16"/>
          <w:szCs w:val="16"/>
        </w:rPr>
      </w:pPr>
      <w:r w:rsidRPr="00507A31">
        <w:rPr>
          <w:bCs/>
          <w:iCs/>
          <w:color w:val="000000" w:themeColor="text1"/>
          <w:sz w:val="16"/>
          <w:szCs w:val="16"/>
        </w:rPr>
        <w:t>17 мая 1930 г.</w:t>
      </w:r>
      <w:r w:rsidRPr="00507A31">
        <w:rPr>
          <w:color w:val="000000" w:themeColor="text1"/>
          <w:sz w:val="16"/>
          <w:szCs w:val="16"/>
        </w:rPr>
        <w:t xml:space="preserve"> Опыт по распылению иприта с самолета на полигоне в Кузьминках (Москва) с высоты 30-40 м на площадку размером 200×300 м2 (17133).</w:t>
      </w:r>
    </w:p>
    <w:p w14:paraId="1DFCEDAD" w14:textId="77777777" w:rsidR="008F0891" w:rsidRPr="00507A31" w:rsidRDefault="008F0891" w:rsidP="00507A31">
      <w:pPr>
        <w:shd w:val="clear" w:color="auto" w:fill="FFFFFF"/>
        <w:jc w:val="both"/>
        <w:rPr>
          <w:color w:val="000000" w:themeColor="text1"/>
          <w:sz w:val="16"/>
          <w:szCs w:val="16"/>
        </w:rPr>
      </w:pPr>
    </w:p>
    <w:p w14:paraId="1CF46A3C" w14:textId="77777777" w:rsidR="004A3420" w:rsidRPr="00507A31" w:rsidRDefault="004A3420" w:rsidP="00507A31">
      <w:pPr>
        <w:autoSpaceDE w:val="0"/>
        <w:autoSpaceDN w:val="0"/>
        <w:adjustRightInd w:val="0"/>
        <w:jc w:val="both"/>
        <w:rPr>
          <w:i/>
          <w:iCs/>
          <w:color w:val="000000" w:themeColor="text1"/>
          <w:sz w:val="16"/>
          <w:szCs w:val="16"/>
        </w:rPr>
      </w:pPr>
      <w:r w:rsidRPr="00507A31">
        <w:rPr>
          <w:i/>
          <w:iCs/>
          <w:color w:val="000000" w:themeColor="text1"/>
          <w:sz w:val="16"/>
          <w:szCs w:val="16"/>
        </w:rPr>
        <w:t>Другие оборонные отрасли:</w:t>
      </w:r>
    </w:p>
    <w:p w14:paraId="679C4507" w14:textId="77777777" w:rsidR="004A3420" w:rsidRPr="00507A31" w:rsidRDefault="004A3420" w:rsidP="00507A31">
      <w:pPr>
        <w:autoSpaceDE w:val="0"/>
        <w:autoSpaceDN w:val="0"/>
        <w:adjustRightInd w:val="0"/>
        <w:jc w:val="both"/>
        <w:rPr>
          <w:i/>
          <w:iCs/>
          <w:color w:val="000000" w:themeColor="text1"/>
          <w:sz w:val="16"/>
          <w:szCs w:val="16"/>
        </w:rPr>
      </w:pPr>
    </w:p>
    <w:p w14:paraId="71111773" w14:textId="77777777" w:rsidR="004A3420" w:rsidRPr="00507A31" w:rsidRDefault="004A3420" w:rsidP="00507A31">
      <w:pPr>
        <w:jc w:val="both"/>
        <w:rPr>
          <w:color w:val="000000" w:themeColor="text1"/>
          <w:sz w:val="16"/>
          <w:szCs w:val="16"/>
        </w:rPr>
      </w:pPr>
      <w:r w:rsidRPr="00507A31">
        <w:rPr>
          <w:color w:val="000000" w:themeColor="text1"/>
          <w:sz w:val="16"/>
          <w:szCs w:val="16"/>
        </w:rPr>
        <w:t>В период с 17 мая по 26 июня 1930 г. на «опытной станции» завода «Литер Б» было проведено 6 опытов по контактному разложению спирта. 7 июля С.В. Лебедев дал анализ полученных опытов, после чего установка была разобрана. Учитывая выявившиеся недостатки, при использовании контактных аппаратов с селитренным обогревом, управление СК привлекло к проектированию контактной печи инженера-теплотехника Л.В. Грум-Гржимайло. Помогал ему в решении этой важной задачи инженер-механик завода CК-1 В.Ф. Смирнов. Они спроектировали контактную печь новой конструкции с использованием обогрева реторт, в которых происходил процесс разложения спирта, за счет тепла дымовых газов. Контактные печи Л.В. Грум-Гржимайло и В.Ф. Смирнова с некоторой модернизацией условно эксплуатировались до 1991 г. (18298).</w:t>
      </w:r>
    </w:p>
    <w:p w14:paraId="37BD84EC" w14:textId="77777777" w:rsidR="004A3420" w:rsidRPr="00507A31" w:rsidRDefault="004A3420" w:rsidP="00507A31">
      <w:pPr>
        <w:jc w:val="both"/>
        <w:rPr>
          <w:color w:val="000000" w:themeColor="text1"/>
          <w:sz w:val="16"/>
          <w:szCs w:val="16"/>
        </w:rPr>
      </w:pPr>
    </w:p>
    <w:p w14:paraId="7CA12C2B" w14:textId="77777777" w:rsidR="004A3420" w:rsidRPr="00507A31" w:rsidRDefault="004A3420" w:rsidP="00507A31">
      <w:pPr>
        <w:jc w:val="both"/>
        <w:rPr>
          <w:color w:val="000000" w:themeColor="text1"/>
          <w:sz w:val="16"/>
          <w:szCs w:val="16"/>
        </w:rPr>
      </w:pPr>
      <w:r w:rsidRPr="00507A31">
        <w:rPr>
          <w:color w:val="000000" w:themeColor="text1"/>
          <w:sz w:val="16"/>
          <w:szCs w:val="16"/>
        </w:rPr>
        <w:t>17 мая 1930</w:t>
      </w:r>
    </w:p>
    <w:p w14:paraId="4E28770A" w14:textId="77777777" w:rsidR="004A3420" w:rsidRPr="00507A31" w:rsidRDefault="004A3420" w:rsidP="00507A31">
      <w:pPr>
        <w:jc w:val="both"/>
        <w:rPr>
          <w:color w:val="000000" w:themeColor="text1"/>
          <w:sz w:val="16"/>
          <w:szCs w:val="16"/>
        </w:rPr>
      </w:pPr>
      <w:r w:rsidRPr="00507A31">
        <w:rPr>
          <w:color w:val="000000" w:themeColor="text1"/>
          <w:sz w:val="16"/>
          <w:szCs w:val="16"/>
        </w:rPr>
        <w:t>Показание Стыриковича Владислава Львовича. От 17-го мая 1930 года</w:t>
      </w:r>
    </w:p>
    <w:p w14:paraId="016B9992" w14:textId="77777777" w:rsidR="004A3420" w:rsidRPr="00507A31" w:rsidRDefault="004A3420" w:rsidP="00507A31">
      <w:pPr>
        <w:jc w:val="both"/>
        <w:rPr>
          <w:color w:val="000000" w:themeColor="text1"/>
          <w:sz w:val="16"/>
          <w:szCs w:val="16"/>
        </w:rPr>
      </w:pPr>
      <w:r w:rsidRPr="00507A31">
        <w:rPr>
          <w:color w:val="000000" w:themeColor="text1"/>
          <w:sz w:val="16"/>
          <w:szCs w:val="16"/>
        </w:rPr>
        <w:t>Источник: </w:t>
      </w:r>
    </w:p>
    <w:p w14:paraId="17EF2ED6" w14:textId="77777777" w:rsidR="004A3420" w:rsidRPr="00507A31" w:rsidRDefault="004A342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DE49572" w14:textId="77777777" w:rsidR="004A3420" w:rsidRPr="00507A31" w:rsidRDefault="004A3420" w:rsidP="00507A31">
      <w:pPr>
        <w:jc w:val="both"/>
        <w:rPr>
          <w:color w:val="000000" w:themeColor="text1"/>
          <w:sz w:val="16"/>
          <w:szCs w:val="16"/>
        </w:rPr>
      </w:pPr>
      <w:r w:rsidRPr="00507A31">
        <w:rPr>
          <w:color w:val="000000" w:themeColor="text1"/>
          <w:sz w:val="16"/>
          <w:szCs w:val="16"/>
        </w:rPr>
        <w:t>От 17-го мая 1930 года.</w:t>
      </w:r>
    </w:p>
    <w:p w14:paraId="55460341" w14:textId="77777777" w:rsidR="004A3420" w:rsidRPr="00507A31" w:rsidRDefault="004A3420" w:rsidP="00507A31">
      <w:pPr>
        <w:jc w:val="both"/>
        <w:rPr>
          <w:color w:val="000000" w:themeColor="text1"/>
          <w:sz w:val="16"/>
          <w:szCs w:val="16"/>
        </w:rPr>
      </w:pPr>
      <w:r w:rsidRPr="00507A31">
        <w:rPr>
          <w:color w:val="000000" w:themeColor="text1"/>
          <w:sz w:val="16"/>
          <w:szCs w:val="16"/>
        </w:rPr>
        <w:t>Во вредительской работе по Тресту в части коммерческой и снабжения принимал участие член Правления ГАЛЬПЕРН. На вредительство он был непосредственно привлечен МИЛЮКОВЫМ или ХРЕННИКОВЫМ, точно не знаю. Общие указания по вредительству в части финансовой и коммерческой политики он получал от МИЛЮКОВА. Вместе с тем, он виделся по делам Правительства и с ХРЕННИКОВЫМ, часто бывая в Москве. От меня он никаких указаний не получал, т. к. я не касался коммерческо-финансовой стороны Треста. О моем вредительстве по линии технической он знал. Вознаграждение он получал непосредственно от Хренникова. Подробностей его вредительской работы не помню, а в общем и целом она сводилась к сокрытию в отчетах всех неудовлетворительных моментов производственной работы Треста, к политике высоких цен, к плохому обхвату рынка, к борьбе за передачу сбытовой деятельности Синдикатам и набору мелких разнообразного типа заказов, исключающих серийность и затрудняющих поэтому производство. В части кредитования строительных работ и оборудования им производились возможные задержки. ГАЛЬПЕРН проводил свое вредительство по снабжению заводов материалами через ГИНСБУРГА. В этой части вредительство сводилось к созданию полного беспорядка в снабжении. Для этого вкладывались средства в ненужные в данный момент материалы, к[отор]ые лежали бесполезно на складах, как напр., котельное железо на металлическом заводе, но в то же время производилось торможение в закупке материалов необходимых, задерживались и беспорядочно составлялись заявки на импорт. ГИНСБУРГ всецело работал по указаниям ГАЛЬПЕРНА, однако, и получал от меня указания в какой части технического снабжения надо произвести задержки. Вознаграждение ГИНСБУРГ от организации получал через ГАЛЬПЕРНА. О вредительстве в коммерческо-финансовой части знали помощники ГАЛЬПЕРНА КУЗЬМИН и главн. бухгалтер&lt;ы&gt; ДАЛИНГЕР и БУРОВ. Насколько они были вовлечены ГАЛЬПЕРНОМ во вредительство и насколько были им о нем осведомлены мне точно не известно.</w:t>
      </w:r>
    </w:p>
    <w:p w14:paraId="79F7A5AF" w14:textId="77777777" w:rsidR="004A3420" w:rsidRPr="00507A31" w:rsidRDefault="004A3420" w:rsidP="00507A31">
      <w:pPr>
        <w:jc w:val="both"/>
        <w:rPr>
          <w:color w:val="000000" w:themeColor="text1"/>
          <w:sz w:val="16"/>
          <w:szCs w:val="16"/>
        </w:rPr>
      </w:pPr>
      <w:r w:rsidRPr="00507A31">
        <w:rPr>
          <w:color w:val="000000" w:themeColor="text1"/>
          <w:sz w:val="16"/>
          <w:szCs w:val="16"/>
        </w:rPr>
        <w:t>В. СТЫРИКОВИЧ.</w:t>
      </w:r>
    </w:p>
    <w:p w14:paraId="2C9C18F2" w14:textId="77777777" w:rsidR="004A3420" w:rsidRPr="00507A31" w:rsidRDefault="004A3420" w:rsidP="00507A31">
      <w:pPr>
        <w:jc w:val="both"/>
        <w:rPr>
          <w:color w:val="000000" w:themeColor="text1"/>
          <w:sz w:val="16"/>
          <w:szCs w:val="16"/>
        </w:rPr>
      </w:pPr>
      <w:r w:rsidRPr="00507A31">
        <w:rPr>
          <w:color w:val="000000" w:themeColor="text1"/>
          <w:sz w:val="16"/>
          <w:szCs w:val="16"/>
        </w:rPr>
        <w:lastRenderedPageBreak/>
        <w:t>17/V-30г.</w:t>
      </w:r>
    </w:p>
    <w:p w14:paraId="7B75C4D1" w14:textId="77777777" w:rsidR="004A3420" w:rsidRPr="00507A31" w:rsidRDefault="004A3420" w:rsidP="00507A31">
      <w:pPr>
        <w:jc w:val="both"/>
        <w:rPr>
          <w:color w:val="000000" w:themeColor="text1"/>
          <w:sz w:val="16"/>
          <w:szCs w:val="16"/>
        </w:rPr>
      </w:pPr>
      <w:r w:rsidRPr="00507A31">
        <w:rPr>
          <w:color w:val="000000" w:themeColor="text1"/>
          <w:sz w:val="16"/>
          <w:szCs w:val="16"/>
        </w:rPr>
        <w:t>Ст. Уполномоченный Н. Семенов (18375).</w:t>
      </w:r>
    </w:p>
    <w:p w14:paraId="700C7C03" w14:textId="77777777" w:rsidR="004A3420" w:rsidRPr="00507A31" w:rsidRDefault="004A3420" w:rsidP="00507A31">
      <w:pPr>
        <w:jc w:val="both"/>
        <w:rPr>
          <w:color w:val="000000" w:themeColor="text1"/>
          <w:sz w:val="16"/>
          <w:szCs w:val="16"/>
        </w:rPr>
      </w:pPr>
    </w:p>
    <w:p w14:paraId="29FE631F" w14:textId="77777777" w:rsidR="004A3420" w:rsidRPr="00507A31" w:rsidRDefault="004A3420" w:rsidP="00507A31">
      <w:pPr>
        <w:jc w:val="both"/>
        <w:rPr>
          <w:color w:val="000000" w:themeColor="text1"/>
          <w:sz w:val="16"/>
          <w:szCs w:val="16"/>
        </w:rPr>
      </w:pPr>
      <w:r w:rsidRPr="00507A31">
        <w:rPr>
          <w:color w:val="000000" w:themeColor="text1"/>
          <w:sz w:val="16"/>
          <w:szCs w:val="16"/>
        </w:rPr>
        <w:t>17 мая 1930 г.</w:t>
      </w:r>
    </w:p>
    <w:p w14:paraId="1F2D629F" w14:textId="77777777" w:rsidR="004A3420" w:rsidRPr="00507A31" w:rsidRDefault="004A3420" w:rsidP="00507A31">
      <w:pPr>
        <w:jc w:val="both"/>
        <w:rPr>
          <w:color w:val="000000" w:themeColor="text1"/>
          <w:sz w:val="16"/>
          <w:szCs w:val="16"/>
        </w:rPr>
      </w:pPr>
      <w:r w:rsidRPr="00507A31">
        <w:rPr>
          <w:color w:val="000000" w:themeColor="text1"/>
          <w:sz w:val="16"/>
          <w:szCs w:val="16"/>
        </w:rPr>
        <w:t>Показания В. А. Ларичева о «вредительской деятельности» в Госплане СССР и каменноугольной промышленности Донбасса и Кузбасса. 17 мая 1930 г.</w:t>
      </w:r>
    </w:p>
    <w:p w14:paraId="2B2D36BE" w14:textId="77777777" w:rsidR="004A3420" w:rsidRPr="00507A31" w:rsidRDefault="004A342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99EDB8" w14:textId="77777777" w:rsidR="004A3420" w:rsidRPr="00507A31" w:rsidRDefault="004A3420" w:rsidP="00507A31">
      <w:pPr>
        <w:jc w:val="both"/>
        <w:rPr>
          <w:color w:val="000000" w:themeColor="text1"/>
          <w:sz w:val="16"/>
          <w:szCs w:val="16"/>
        </w:rPr>
      </w:pPr>
      <w:r w:rsidRPr="00507A31">
        <w:rPr>
          <w:color w:val="000000" w:themeColor="text1"/>
          <w:sz w:val="16"/>
          <w:szCs w:val="16"/>
        </w:rPr>
        <w:t>17 мая 1930 г.</w:t>
      </w:r>
    </w:p>
    <w:p w14:paraId="2C416564" w14:textId="77777777" w:rsidR="004A3420" w:rsidRPr="00507A31" w:rsidRDefault="004A3420" w:rsidP="00507A31">
      <w:pPr>
        <w:jc w:val="both"/>
        <w:rPr>
          <w:color w:val="000000" w:themeColor="text1"/>
          <w:sz w:val="16"/>
          <w:szCs w:val="16"/>
        </w:rPr>
      </w:pPr>
      <w:r w:rsidRPr="00507A31">
        <w:rPr>
          <w:color w:val="000000" w:themeColor="text1"/>
          <w:sz w:val="16"/>
          <w:szCs w:val="16"/>
        </w:rPr>
        <w:t>[Секретно]</w:t>
      </w:r>
    </w:p>
    <w:p w14:paraId="63DB73FC" w14:textId="77777777" w:rsidR="004A3420" w:rsidRPr="00507A31" w:rsidRDefault="004A3420" w:rsidP="00507A31">
      <w:pPr>
        <w:jc w:val="both"/>
        <w:rPr>
          <w:color w:val="000000" w:themeColor="text1"/>
          <w:sz w:val="16"/>
          <w:szCs w:val="16"/>
        </w:rPr>
      </w:pPr>
      <w:r w:rsidRPr="00507A31">
        <w:rPr>
          <w:color w:val="000000" w:themeColor="text1"/>
          <w:sz w:val="16"/>
          <w:szCs w:val="16"/>
        </w:rPr>
        <w:t>ПОКАЗАНИЯ</w:t>
      </w:r>
    </w:p>
    <w:p w14:paraId="74FD7AE6" w14:textId="77777777" w:rsidR="004A3420" w:rsidRPr="00507A31" w:rsidRDefault="004A3420" w:rsidP="00507A31">
      <w:pPr>
        <w:jc w:val="both"/>
        <w:rPr>
          <w:color w:val="000000" w:themeColor="text1"/>
          <w:sz w:val="16"/>
          <w:szCs w:val="16"/>
        </w:rPr>
      </w:pPr>
      <w:r w:rsidRPr="00507A31">
        <w:rPr>
          <w:color w:val="000000" w:themeColor="text1"/>
          <w:sz w:val="16"/>
          <w:szCs w:val="16"/>
        </w:rPr>
        <w:t>ЛАРИЧЕВА Виктора Алексеевича,</w:t>
      </w:r>
    </w:p>
    <w:p w14:paraId="3B60C4BD" w14:textId="77777777" w:rsidR="004A3420" w:rsidRPr="00507A31" w:rsidRDefault="004A3420" w:rsidP="00507A31">
      <w:pPr>
        <w:jc w:val="both"/>
        <w:rPr>
          <w:color w:val="000000" w:themeColor="text1"/>
          <w:sz w:val="16"/>
          <w:szCs w:val="16"/>
        </w:rPr>
      </w:pPr>
      <w:r w:rsidRPr="00507A31">
        <w:rPr>
          <w:color w:val="000000" w:themeColor="text1"/>
          <w:sz w:val="16"/>
          <w:szCs w:val="16"/>
        </w:rPr>
        <w:t>от 17 мая 1930 года.</w:t>
      </w:r>
    </w:p>
    <w:p w14:paraId="0A6851D1" w14:textId="77777777" w:rsidR="004A3420" w:rsidRPr="00507A31" w:rsidRDefault="004A3420" w:rsidP="00507A31">
      <w:pPr>
        <w:jc w:val="both"/>
        <w:rPr>
          <w:color w:val="000000" w:themeColor="text1"/>
          <w:sz w:val="16"/>
          <w:szCs w:val="16"/>
        </w:rPr>
      </w:pPr>
      <w:r w:rsidRPr="00507A31">
        <w:rPr>
          <w:color w:val="000000" w:themeColor="text1"/>
          <w:sz w:val="16"/>
          <w:szCs w:val="16"/>
        </w:rPr>
        <w:t>Как уже мною отмечалось, появившаяся на местах вредительская деятельность начала проникать в центральные органы и, частности в Госплан, в виде тех или иных планов.</w:t>
      </w:r>
    </w:p>
    <w:p w14:paraId="5F177985" w14:textId="77777777" w:rsidR="004A3420" w:rsidRPr="00507A31" w:rsidRDefault="004A3420" w:rsidP="00507A31">
      <w:pPr>
        <w:jc w:val="both"/>
        <w:rPr>
          <w:color w:val="000000" w:themeColor="text1"/>
          <w:sz w:val="16"/>
          <w:szCs w:val="16"/>
        </w:rPr>
      </w:pPr>
      <w:r w:rsidRPr="00507A31">
        <w:rPr>
          <w:color w:val="000000" w:themeColor="text1"/>
          <w:sz w:val="16"/>
          <w:szCs w:val="16"/>
        </w:rPr>
        <w:t>Одним из первых серьезных планов, носивших в себе элементы вредительской деятельности, был план концентрации каменно-угольной промышленности Донбасса, составленный к началу 1924-1925 года. Работниками Донугля под непосредственным руководствам Н. П. БОЯРШИНОВА был произведен отбор шахт с распределением их на 3 группы:</w:t>
      </w:r>
    </w:p>
    <w:p w14:paraId="229DBECE" w14:textId="77777777" w:rsidR="004A3420" w:rsidRPr="00507A31" w:rsidRDefault="004A3420" w:rsidP="00507A31">
      <w:pPr>
        <w:jc w:val="both"/>
        <w:rPr>
          <w:color w:val="000000" w:themeColor="text1"/>
          <w:sz w:val="16"/>
          <w:szCs w:val="16"/>
        </w:rPr>
      </w:pPr>
      <w:r w:rsidRPr="00507A31">
        <w:rPr>
          <w:color w:val="000000" w:themeColor="text1"/>
          <w:sz w:val="16"/>
          <w:szCs w:val="16"/>
        </w:rPr>
        <w:t>1) Действующие или так называемые «основные» (в количестве ок. 160 шахт); 2) шахты, находящиеся на консервации, и 3) ликвидируемые шахты.</w:t>
      </w:r>
    </w:p>
    <w:p w14:paraId="18ADB65C" w14:textId="77777777" w:rsidR="004A3420" w:rsidRPr="00507A31" w:rsidRDefault="004A3420" w:rsidP="00507A31">
      <w:pPr>
        <w:jc w:val="both"/>
        <w:rPr>
          <w:color w:val="000000" w:themeColor="text1"/>
          <w:sz w:val="16"/>
          <w:szCs w:val="16"/>
        </w:rPr>
      </w:pPr>
      <w:r w:rsidRPr="00507A31">
        <w:rPr>
          <w:color w:val="000000" w:themeColor="text1"/>
          <w:sz w:val="16"/>
          <w:szCs w:val="16"/>
        </w:rPr>
        <w:t>План этот был представлен в ВСНХ и далее в Госплан на утверждение.</w:t>
      </w:r>
    </w:p>
    <w:p w14:paraId="5B39B2E0" w14:textId="77777777" w:rsidR="004A3420" w:rsidRPr="00507A31" w:rsidRDefault="004A3420" w:rsidP="00507A31">
      <w:pPr>
        <w:jc w:val="both"/>
        <w:rPr>
          <w:color w:val="000000" w:themeColor="text1"/>
          <w:sz w:val="16"/>
          <w:szCs w:val="16"/>
        </w:rPr>
      </w:pPr>
      <w:r w:rsidRPr="00507A31">
        <w:rPr>
          <w:color w:val="000000" w:themeColor="text1"/>
          <w:sz w:val="16"/>
          <w:szCs w:val="16"/>
        </w:rPr>
        <w:t>Подвергнуть детальному рассмотрению этот план концентрации в Госплане не представлялось возможным, так как для этого нужно было знать действительное положение каждой шахты Донбасса, поэтому при рассмотрении его в Госплане, он был принят, основываясь на заключении ВСНХ и основных работников топливной секции — РАБИНОВИЧА и ФЕДОРОВИЧА, которым хорошо было известно общее положение в Донбассе и на многих предприятиях.</w:t>
      </w:r>
    </w:p>
    <w:p w14:paraId="4F9011D7" w14:textId="77777777" w:rsidR="004A3420" w:rsidRPr="00507A31" w:rsidRDefault="004A3420" w:rsidP="00507A31">
      <w:pPr>
        <w:jc w:val="both"/>
        <w:rPr>
          <w:color w:val="000000" w:themeColor="text1"/>
          <w:sz w:val="16"/>
          <w:szCs w:val="16"/>
        </w:rPr>
      </w:pPr>
      <w:r w:rsidRPr="00507A31">
        <w:rPr>
          <w:color w:val="000000" w:themeColor="text1"/>
          <w:sz w:val="16"/>
          <w:szCs w:val="16"/>
        </w:rPr>
        <w:t>При рассмотрении этого плана, т. е. в 1924 году, для меня было неизвестно, что в этом плане имелись вредительские действия. Но, позднее, в 1925/26 году, когда происходил пересмотр этого плана, я от ФЕДОРОВИЧА узнал, что при его составлении часть шахт, предназначенных к консервации и ликвидации, были вполне жизненными предприятиями. С другой стороны, по некоторым шахтам, поставленным на консервацию, затраты оказались очень велики и поддержание их на «сухой» консервации (с водоотливом) было явно нецелесообразно. В результате этого получилось или изъятие из эксплуатации и сокрытие ценных участков, или наносился экономический вред благодаря излишним затратам на консервацию.</w:t>
      </w:r>
    </w:p>
    <w:p w14:paraId="65095678" w14:textId="77777777" w:rsidR="004A3420" w:rsidRPr="00507A31" w:rsidRDefault="004A3420" w:rsidP="00507A31">
      <w:pPr>
        <w:jc w:val="both"/>
        <w:rPr>
          <w:color w:val="000000" w:themeColor="text1"/>
          <w:sz w:val="16"/>
          <w:szCs w:val="16"/>
        </w:rPr>
      </w:pPr>
      <w:r w:rsidRPr="00507A31">
        <w:rPr>
          <w:color w:val="000000" w:themeColor="text1"/>
          <w:sz w:val="16"/>
          <w:szCs w:val="16"/>
        </w:rPr>
        <w:t>В подобных вопросах чисто оперативной работы «хозяевами» положения, конечно, были ответственные работники Донугля, среди которых главную руководящую роль играл БОЯРШИНОВ, с которым нам в Госплане, главным образом и приходилось иметь дело по Донбассу.</w:t>
      </w:r>
    </w:p>
    <w:p w14:paraId="324732FB" w14:textId="77777777" w:rsidR="004A3420" w:rsidRPr="00507A31" w:rsidRDefault="004A3420" w:rsidP="00507A31">
      <w:pPr>
        <w:jc w:val="both"/>
        <w:rPr>
          <w:color w:val="000000" w:themeColor="text1"/>
          <w:sz w:val="16"/>
          <w:szCs w:val="16"/>
        </w:rPr>
      </w:pPr>
      <w:r w:rsidRPr="00507A31">
        <w:rPr>
          <w:color w:val="000000" w:themeColor="text1"/>
          <w:sz w:val="16"/>
          <w:szCs w:val="16"/>
        </w:rPr>
        <w:t>Здесь необходимо отметить, что в первые годы восстановления народного хозяйства плановая и сметная дисциплина были очень слабы. Рассматриваемые и принимаемые в Госплане ежегодные планы (с участием того же БОЯРШИНОВА по Донбассу) в действительной жизни очень сильно искажались. При проверке их выполнения в следующем году приходилось констатировать весьма серьезные отклонения от утвержденных планов. Так, напр[имер], в первые годы особо остро стоял вопрос о восстановлении котельного хозяйства Донбасса. По планам были отпущены крупные средства на котельное хозяйство (в 1923-24 году свыше, чем на 200 котлов). Практически оказалось, что большинство котлов не приобретено или не заказано, а полученные котлы не один год лежали неиспользованными и котельное хозяйство оказалось в угрожающем состоянии. Другой пример с положением горных работ. Тоже по плану намечались крупные средства на выправление подготовительных горных работ. При проверке же оказывалось, что если в среднем по району положение не было очень плохим, то по многим шахтам положение было угрожающим и горные работы были сильно запущены, подготовка отставала от добычи. Аналогичное положение бывало и с состоянием электромеханического оборудования.</w:t>
      </w:r>
    </w:p>
    <w:p w14:paraId="707B848C" w14:textId="77777777" w:rsidR="004A3420" w:rsidRPr="00507A31" w:rsidRDefault="004A3420" w:rsidP="00507A31">
      <w:pPr>
        <w:jc w:val="both"/>
        <w:rPr>
          <w:color w:val="000000" w:themeColor="text1"/>
          <w:sz w:val="16"/>
          <w:szCs w:val="16"/>
        </w:rPr>
      </w:pPr>
      <w:r w:rsidRPr="00507A31">
        <w:rPr>
          <w:color w:val="000000" w:themeColor="text1"/>
          <w:sz w:val="16"/>
          <w:szCs w:val="16"/>
        </w:rPr>
        <w:t>Хотя к таким отклонениям от плана иногда и бывали достаточные основания, да и плановая работа была еще слаба, но несомненно в этих искажениях планов на местах преследовались и определенные вредительские цели, так или иначе задерживавшие правильный ход восстановления каменно-угольной промышленности.</w:t>
      </w:r>
    </w:p>
    <w:p w14:paraId="4D98E5FF" w14:textId="77777777" w:rsidR="004A3420" w:rsidRPr="00507A31" w:rsidRDefault="004A3420" w:rsidP="00507A31">
      <w:pPr>
        <w:jc w:val="both"/>
        <w:rPr>
          <w:color w:val="000000" w:themeColor="text1"/>
          <w:sz w:val="16"/>
          <w:szCs w:val="16"/>
        </w:rPr>
      </w:pPr>
      <w:r w:rsidRPr="00507A31">
        <w:rPr>
          <w:color w:val="000000" w:themeColor="text1"/>
          <w:sz w:val="16"/>
          <w:szCs w:val="16"/>
        </w:rPr>
        <w:t>По мере восстановления народного хозяйства начало быстро вырастать потребление топлива и кризис сбыта топлива в 1923 и 1924 г.г. быстро сменился усиленной нагрузкой существующих шахт. В это время для Донбасса вновь возник вопрос о восстановлении деятельности мелкой каменно-угольной промышленности. Большим сторонником в Госплане поощрения деятельности мелкой арендной промышленности (и частной инициативы) был Л. Г. РАБИНОВИЧ. Он развивал мысль, что мелкие шахты это «дети крупных шахт» и служат целям разведки месторождения. До известной (но очень ограниченной) меры это может быть и правильно, но когда эта идея клалась как один из крупных факторов восстановления Донбасса, то она являлась вредной, так как по существу отвлекала внимание от назревавших серьезных и крупных вопросов реконструкции существующих шахт и нового строительства в Донбассе.</w:t>
      </w:r>
    </w:p>
    <w:p w14:paraId="7DBC3A47" w14:textId="77777777" w:rsidR="004A3420" w:rsidRPr="00507A31" w:rsidRDefault="004A3420" w:rsidP="00507A31">
      <w:pPr>
        <w:jc w:val="both"/>
        <w:rPr>
          <w:color w:val="000000" w:themeColor="text1"/>
          <w:sz w:val="16"/>
          <w:szCs w:val="16"/>
        </w:rPr>
      </w:pPr>
      <w:r w:rsidRPr="00507A31">
        <w:rPr>
          <w:color w:val="000000" w:themeColor="text1"/>
          <w:sz w:val="16"/>
          <w:szCs w:val="16"/>
        </w:rPr>
        <w:t>К концу 1924 г. — началу 1925 года относится составление плана концессионных объектов. Я уже дал характеристику тогдашнего отношения крупных специалистов к этому вопросу. В отношении кам[енно-] угольн[ой] промышленности, как основной командной позиции в народном хозяйстве, вопрос должен был бы быть поставлен четко и ясно, что никаких сколько-нибудь серьезных концессионных объектов в этой отрасли не должно иметь места. Но, по указаниям Председателя] Комиссии по концессион[ным] объектам РАБИНОВИЧА — в Топливной секции был составлен план концессионных] объектов по Донбассу и Кузбассу (руководство этой работой велось ФЕДОРОВИЧЕМ). По Донбассу был выделен ряд новых хороших участков (по данным к[омисс]ии ДАНЧИЧА) в антрацитовых и угольных районах. Но здесь должен оговориться, что при рассмотрении этого проекта в Топливной Секции я и проф. ТЕРПИГОРЕВ категорически возражали против сдачи в концессию участков с коксовыми углями и таковые из плана объекта были изъяты. ФЕДОРОВИЧ и РАБИНОВИЧ, оставаясь при своем мнении, считали, что такие шахты или участки могут быть сданы вместе с металлургическими предприятиями.</w:t>
      </w:r>
    </w:p>
    <w:p w14:paraId="3914C368" w14:textId="77777777" w:rsidR="004A3420" w:rsidRPr="00507A31" w:rsidRDefault="004A3420" w:rsidP="00507A31">
      <w:pPr>
        <w:jc w:val="both"/>
        <w:rPr>
          <w:color w:val="000000" w:themeColor="text1"/>
          <w:sz w:val="16"/>
          <w:szCs w:val="16"/>
        </w:rPr>
      </w:pPr>
      <w:r w:rsidRPr="00507A31">
        <w:rPr>
          <w:color w:val="000000" w:themeColor="text1"/>
          <w:sz w:val="16"/>
          <w:szCs w:val="16"/>
        </w:rPr>
        <w:t>В отношении Кузбасса ФЕДОРОВИЧЕМ выдвигалась идея (и включена в план) широкого исследования этого района путем сдачи в концессию больших угленосных площадей, не ограничивая их отдельными участками. Разработка и их исследование им предполагалась совместно с развитием в Кузбассе крупной металлургической промышленности тоже, конечно, на концессионных началах. Мысль же обосновывалась тем, что Советской власти собственными средствами не удастся справиться с использованием природных богатств этого района. К счастью, весь этот план остался на бумаге и не получил своего осуществления; не получила своего осуществления и основная мысль руководителей его составления, которая в общем сводилась к возвращению в страну частных иностранных собственников, перерождени[ю] нашей промышленности в формы, близкие к капиталистическим и, наконец, этот вредительский план отвлекал внимание Правительства от необходимости концентрировать собственные усилия на разработке и восстановлении этих важнейших участков народного хозяйства.</w:t>
      </w:r>
    </w:p>
    <w:p w14:paraId="6C99524F" w14:textId="77777777" w:rsidR="004A3420" w:rsidRPr="00507A31" w:rsidRDefault="004A3420" w:rsidP="00507A31">
      <w:pPr>
        <w:jc w:val="both"/>
        <w:rPr>
          <w:color w:val="000000" w:themeColor="text1"/>
          <w:sz w:val="16"/>
          <w:szCs w:val="16"/>
        </w:rPr>
      </w:pPr>
      <w:r w:rsidRPr="00507A31">
        <w:rPr>
          <w:color w:val="000000" w:themeColor="text1"/>
          <w:sz w:val="16"/>
          <w:szCs w:val="16"/>
        </w:rPr>
        <w:t>Начавшая оформляться вредительская деятельность в центральных органах — по каменно-угольной промышленности (как и по остальной горной промышленности) местом своего объединения избрала Клуб Горных Деятелей (К. Г.Д.). Я лично не состоял членом К. Г.Д. и не посещал его собраний, но из разговоров с ФЕДОРОВИЧЕМ я понял, что там обсуждаются крупные вопросы хозяйственной жизни страны и роль и положение специалистов в Союзе. В его понимании положение того периода сводилось к тому, что при близком окончании восстановительного процесса даль[ш]е строительство окажется невозможным без широкого привлечения иностранного капитала; неминуемо должен произойти отказ от целого ряда положений, выдвинутых в основу социалистического] строительства (по раб[очему] вопросу, производительности и пр.) и вообще существенные изменения и отступления от действующих законоположений. Специалистам же должны быть предоставлены большие права и самостоятельность в Управлении промышленными предприятиями. В общем, в К. Г.Д. царила идеология ПАЛЬЧИНСКОГО, РАБИНОВИЧА и т[ому] под[обных] «деятелей».</w:t>
      </w:r>
    </w:p>
    <w:p w14:paraId="50F77F42" w14:textId="77777777" w:rsidR="004A3420" w:rsidRPr="00507A31" w:rsidRDefault="004A3420" w:rsidP="00507A31">
      <w:pPr>
        <w:jc w:val="both"/>
        <w:rPr>
          <w:color w:val="000000" w:themeColor="text1"/>
          <w:sz w:val="16"/>
          <w:szCs w:val="16"/>
        </w:rPr>
      </w:pPr>
      <w:r w:rsidRPr="00507A31">
        <w:rPr>
          <w:color w:val="000000" w:themeColor="text1"/>
          <w:sz w:val="16"/>
          <w:szCs w:val="16"/>
        </w:rPr>
        <w:t>Естественно, что проводниками возникавших там идей в Госплане оказались те же РАБИНОВИЧ, ФЕДОРОВИЧ, ГАРТВАН, как наиболее активные работники К. Г.Д., оказывавшие большое влияние и на работу Госплана и на настроения работавших в Госплане специалистов.</w:t>
      </w:r>
    </w:p>
    <w:p w14:paraId="41D9E9CF" w14:textId="77777777" w:rsidR="004A3420" w:rsidRPr="00507A31" w:rsidRDefault="004A3420" w:rsidP="00507A31">
      <w:pPr>
        <w:jc w:val="both"/>
        <w:rPr>
          <w:color w:val="000000" w:themeColor="text1"/>
          <w:sz w:val="16"/>
          <w:szCs w:val="16"/>
        </w:rPr>
      </w:pPr>
      <w:r w:rsidRPr="00507A31">
        <w:rPr>
          <w:color w:val="000000" w:themeColor="text1"/>
          <w:sz w:val="16"/>
          <w:szCs w:val="16"/>
        </w:rPr>
        <w:t>С другой стороны, нужно еще указать, насколько Госплан был в известном «окружении» контр-революционно настроенными лицами. Это можно судить по той политике, которая проводилась в то время в каменно-угольном директорате ВСНХ. Во главе его был поставлен А. В. НАЗИМОВ. Под видом строго формального отношения к взаимоотношениям ВСНХ и Госплана по вопросам каменно-угольной промышленности он добился от т. ЧУБАРОВА категорического запрещения работникам отдельных трестов не только непосредственных выступлений или обращений в Госплан, но даже в порядке частных разговоров и осведомлений членов Топливной Секции о положении на местах. Здесь преследовалась цель заставить Госплан смотреть при прохождении плановых вопросов через призму ВСНХовской обработки этих вопросов. Это давало возможность вредительским группам в ВСНХ изолировать Госплан от проникновения туда нежелательных, с их точки зрения, элементов и чувствовать свободу действий, тем более, что здесь была обеспечена поддержка со стороны главных сотрудников топсекции — ФЕДОРОВИЧА и РАБИНОВИЧА.</w:t>
      </w:r>
    </w:p>
    <w:p w14:paraId="5FEB7414" w14:textId="77777777" w:rsidR="004A3420" w:rsidRPr="00507A31" w:rsidRDefault="004A3420" w:rsidP="00507A31">
      <w:pPr>
        <w:jc w:val="both"/>
        <w:rPr>
          <w:color w:val="000000" w:themeColor="text1"/>
          <w:sz w:val="16"/>
          <w:szCs w:val="16"/>
        </w:rPr>
      </w:pPr>
      <w:r w:rsidRPr="00507A31">
        <w:rPr>
          <w:color w:val="000000" w:themeColor="text1"/>
          <w:sz w:val="16"/>
          <w:szCs w:val="16"/>
        </w:rPr>
        <w:t>Вообще нужно сказать, что политика средостения между ВСНХ и Госпланом, сохранившаяся и до настоящего времени, приносит чрезвычайный вред работе даже независимо от вредительских целей.</w:t>
      </w:r>
    </w:p>
    <w:p w14:paraId="66D100D9" w14:textId="77777777" w:rsidR="004A3420" w:rsidRPr="00507A31" w:rsidRDefault="004A3420" w:rsidP="00507A31">
      <w:pPr>
        <w:jc w:val="both"/>
        <w:rPr>
          <w:color w:val="000000" w:themeColor="text1"/>
          <w:sz w:val="16"/>
          <w:szCs w:val="16"/>
        </w:rPr>
      </w:pPr>
      <w:r w:rsidRPr="00507A31">
        <w:rPr>
          <w:color w:val="000000" w:themeColor="text1"/>
          <w:sz w:val="16"/>
          <w:szCs w:val="16"/>
        </w:rPr>
        <w:t>1925/26 г.г. является одним из самых тяжелых по своим последствиям в отношении вредительской деятельности.</w:t>
      </w:r>
    </w:p>
    <w:p w14:paraId="7B1A8003" w14:textId="77777777" w:rsidR="004A3420" w:rsidRPr="00507A31" w:rsidRDefault="004A3420" w:rsidP="00507A31">
      <w:pPr>
        <w:jc w:val="both"/>
        <w:rPr>
          <w:color w:val="000000" w:themeColor="text1"/>
          <w:sz w:val="16"/>
          <w:szCs w:val="16"/>
        </w:rPr>
      </w:pPr>
      <w:r w:rsidRPr="00507A31">
        <w:rPr>
          <w:color w:val="000000" w:themeColor="text1"/>
          <w:sz w:val="16"/>
          <w:szCs w:val="16"/>
        </w:rPr>
        <w:t>В это время уже ясна стала необходимость довольно крупного дальнейшего развития каменно-угол[ьной] пр[омышленно]сти, как основной базы топливоснабжения страны в связи с быстрым ходом восстановительного процесса.</w:t>
      </w:r>
    </w:p>
    <w:p w14:paraId="42ADE49B" w14:textId="77777777" w:rsidR="004A3420" w:rsidRPr="00507A31" w:rsidRDefault="004A3420" w:rsidP="00507A31">
      <w:pPr>
        <w:jc w:val="both"/>
        <w:rPr>
          <w:color w:val="000000" w:themeColor="text1"/>
          <w:sz w:val="16"/>
          <w:szCs w:val="16"/>
        </w:rPr>
      </w:pPr>
      <w:r w:rsidRPr="00507A31">
        <w:rPr>
          <w:color w:val="000000" w:themeColor="text1"/>
          <w:sz w:val="16"/>
          <w:szCs w:val="16"/>
        </w:rPr>
        <w:lastRenderedPageBreak/>
        <w:t>При составлении плана топливоснабжения необходимого] для дальнейшего развития нар[одного] хозяйства важно было прежде всего знать производственные возможности существующих шахт и отдельных бассейнов в целом.</w:t>
      </w:r>
    </w:p>
    <w:p w14:paraId="2427EF58" w14:textId="77777777" w:rsidR="004A3420" w:rsidRPr="00507A31" w:rsidRDefault="004A3420" w:rsidP="00507A31">
      <w:pPr>
        <w:jc w:val="both"/>
        <w:rPr>
          <w:color w:val="000000" w:themeColor="text1"/>
          <w:sz w:val="16"/>
          <w:szCs w:val="16"/>
        </w:rPr>
      </w:pPr>
      <w:r w:rsidRPr="00507A31">
        <w:rPr>
          <w:color w:val="000000" w:themeColor="text1"/>
          <w:sz w:val="16"/>
          <w:szCs w:val="16"/>
        </w:rPr>
        <w:t>Одним из серьезнейших действий вредителей в каменно-угольной промышленности было сокрытие действительных производственных возможностей отдельных районов, особенно Донбасса.</w:t>
      </w:r>
    </w:p>
    <w:p w14:paraId="2B15BF10" w14:textId="77777777" w:rsidR="004A3420" w:rsidRPr="00507A31" w:rsidRDefault="004A3420" w:rsidP="00507A31">
      <w:pPr>
        <w:jc w:val="both"/>
        <w:rPr>
          <w:color w:val="000000" w:themeColor="text1"/>
          <w:sz w:val="16"/>
          <w:szCs w:val="16"/>
        </w:rPr>
      </w:pPr>
      <w:r w:rsidRPr="00507A31">
        <w:rPr>
          <w:color w:val="000000" w:themeColor="text1"/>
          <w:sz w:val="16"/>
          <w:szCs w:val="16"/>
        </w:rPr>
        <w:t>Ответственными работниками Донугля и ВСНХ указывалось, что производственная мощность старого Донбасса равна 20 м[лн] т. (около 1200 м[лн] пуд.), но обоснований этой цифре никаких представлено не было. Для выяснения и обследования на местах этой ответственной цифры в Донбасс ездили от Госплана ФЕДОРОВИЧ и РАБИНОВИЧ, которые при возвращении подтвердили данные, представленные Донуглем и ВСНХ.</w:t>
      </w:r>
    </w:p>
    <w:p w14:paraId="7C4F9636" w14:textId="77777777" w:rsidR="004A3420" w:rsidRPr="00507A31" w:rsidRDefault="004A3420" w:rsidP="00507A31">
      <w:pPr>
        <w:jc w:val="both"/>
        <w:rPr>
          <w:color w:val="000000" w:themeColor="text1"/>
          <w:sz w:val="16"/>
          <w:szCs w:val="16"/>
        </w:rPr>
      </w:pPr>
      <w:r w:rsidRPr="00507A31">
        <w:rPr>
          <w:color w:val="000000" w:themeColor="text1"/>
          <w:sz w:val="16"/>
          <w:szCs w:val="16"/>
        </w:rPr>
        <w:t>За последние 2-3 года можно было убедиться, что эта цифра преуменьшена и в действительности производственные возможности старых шахт Донбасса были значительно больше. При построении же плана дальнейшего развития Донбасса в основу расчетов мощность старого Донбасса принята была в указанной цифре 20 м[лн] тн.</w:t>
      </w:r>
    </w:p>
    <w:p w14:paraId="144287D0" w14:textId="77777777" w:rsidR="004A3420" w:rsidRPr="00507A31" w:rsidRDefault="004A3420" w:rsidP="00507A31">
      <w:pPr>
        <w:jc w:val="both"/>
        <w:rPr>
          <w:color w:val="000000" w:themeColor="text1"/>
          <w:sz w:val="16"/>
          <w:szCs w:val="16"/>
        </w:rPr>
      </w:pPr>
      <w:r w:rsidRPr="00507A31">
        <w:rPr>
          <w:color w:val="000000" w:themeColor="text1"/>
          <w:sz w:val="16"/>
          <w:szCs w:val="16"/>
        </w:rPr>
        <w:t>Из тех требований, которые предъявлялись Донбассу общим планом топливоснабжения, вытекало, что уже в ближайшие год[ы], т. е. [19]26/27-27/28 г.г., Донбасс не сможет справиться с задачей удовлетворения страны топливом. Тогда (т. е. в начале 1926 года) был впервые поставлен вопрос о перспективном плане развития Донбасса и, самое существенное, о типе нового шахтного строительства. Вокруг этого вопроса было чрезвычайно много споров: развивать ли Донбасс (и вообще кам[енно]-уг[ольную] промышленность) путем новых крупных шахт или итти путем сооружения средних и мелких предприятий, как требующих меньших первоначальных затрат.</w:t>
      </w:r>
    </w:p>
    <w:p w14:paraId="5760E325" w14:textId="77777777" w:rsidR="004A3420" w:rsidRPr="00507A31" w:rsidRDefault="004A3420" w:rsidP="00507A31">
      <w:pPr>
        <w:jc w:val="both"/>
        <w:rPr>
          <w:color w:val="000000" w:themeColor="text1"/>
          <w:sz w:val="16"/>
          <w:szCs w:val="16"/>
        </w:rPr>
      </w:pPr>
      <w:r w:rsidRPr="00507A31">
        <w:rPr>
          <w:color w:val="000000" w:themeColor="text1"/>
          <w:sz w:val="16"/>
          <w:szCs w:val="16"/>
        </w:rPr>
        <w:t>Общий принцип, который тогда был выдвинут Госпланом, это путь нового крупного шахтного строительства как основа реконструкции каменно-угольн[ой] промышленности. Положение это совершенно правильное и теперь несомненно доказанное, не могли оспаривать даже самые яркие вредительские фигуры. Но одновременно с этим доказывалась полная невозможность новых крупных шахт в требуемые сравнительно короткие сроки — порядка 3-х лет, и что для этого необходимо не менее 5 лет.</w:t>
      </w:r>
    </w:p>
    <w:p w14:paraId="3AF6DF34" w14:textId="77777777" w:rsidR="004A3420" w:rsidRPr="00507A31" w:rsidRDefault="004A3420" w:rsidP="00507A31">
      <w:pPr>
        <w:jc w:val="both"/>
        <w:rPr>
          <w:color w:val="000000" w:themeColor="text1"/>
          <w:sz w:val="16"/>
          <w:szCs w:val="16"/>
        </w:rPr>
      </w:pPr>
      <w:r w:rsidRPr="00507A31">
        <w:rPr>
          <w:color w:val="000000" w:themeColor="text1"/>
          <w:sz w:val="16"/>
          <w:szCs w:val="16"/>
        </w:rPr>
        <w:t>Отсюда возникала необходимость для пополнения дефицита в топливе ближайших лет немедленно приступить к широкому развертыванию средних и мелких шахт.</w:t>
      </w:r>
    </w:p>
    <w:p w14:paraId="2BDDA2C9" w14:textId="77777777" w:rsidR="004A3420" w:rsidRPr="00507A31" w:rsidRDefault="004A3420" w:rsidP="00507A31">
      <w:pPr>
        <w:jc w:val="both"/>
        <w:rPr>
          <w:color w:val="000000" w:themeColor="text1"/>
          <w:sz w:val="16"/>
          <w:szCs w:val="16"/>
        </w:rPr>
      </w:pPr>
      <w:r w:rsidRPr="00507A31">
        <w:rPr>
          <w:color w:val="000000" w:themeColor="text1"/>
          <w:sz w:val="16"/>
          <w:szCs w:val="16"/>
        </w:rPr>
        <w:t>БОЯРШИНОВЫМ и СКОРУТОЙ был составлен план громаднейшего строительства таких шахт в Донбассе (свыше 200 единиц). План этот при рассмотрении в Госплане был значительно сокращен (примерно около 65 новых средних и мелких шахт). Но вместе с группой восстанавливаемых из консервации и ликвидации шахт (около 120 единиц) — он составил главную часть плана развития Донбасса на ближайшие годы. Одновременно признано было немедленно приступить к проходке или продолжению уже начатых проходкой 30 крупных шахт, чтобы обеспечить добычу 1930-31 г.г. В таком виде план был утвержден Президиумом Госплана.</w:t>
      </w:r>
    </w:p>
    <w:p w14:paraId="70BACB23" w14:textId="77777777" w:rsidR="004A3420" w:rsidRPr="00507A31" w:rsidRDefault="004A3420" w:rsidP="00507A31">
      <w:pPr>
        <w:jc w:val="both"/>
        <w:rPr>
          <w:color w:val="000000" w:themeColor="text1"/>
          <w:sz w:val="16"/>
          <w:szCs w:val="16"/>
        </w:rPr>
      </w:pPr>
      <w:r w:rsidRPr="00507A31">
        <w:rPr>
          <w:color w:val="000000" w:themeColor="text1"/>
          <w:sz w:val="16"/>
          <w:szCs w:val="16"/>
        </w:rPr>
        <w:t>Принятый Госпланом план развития Донбасса в количественном отношении довольно правильно предусматривал развитие добычи на 3-4 года вперед (что и подтвердилось впоследствии) и с этой стороны не грозил кризисом топливоснабжения. Но уже в основе его было экономическое вредительство, которое в общем сводилось к следующему.</w:t>
      </w:r>
    </w:p>
    <w:p w14:paraId="491000EA" w14:textId="77777777" w:rsidR="004A3420" w:rsidRPr="00507A31" w:rsidRDefault="004A3420" w:rsidP="00507A31">
      <w:pPr>
        <w:jc w:val="both"/>
        <w:rPr>
          <w:color w:val="000000" w:themeColor="text1"/>
          <w:sz w:val="16"/>
          <w:szCs w:val="16"/>
        </w:rPr>
      </w:pPr>
      <w:r w:rsidRPr="00507A31">
        <w:rPr>
          <w:color w:val="000000" w:themeColor="text1"/>
          <w:sz w:val="16"/>
          <w:szCs w:val="16"/>
        </w:rPr>
        <w:t>Строительство средних шахт само по себе не есть вредительство или экономическая нецелесообразность, но в данном случае вопрос шел о масштабах этого строительства и его экономическом эффекте, т. е. малой его рентабельности. Еще меньшее значение при крупном развертывании добычи могли иметь мелкие шахты. Намеченные Донуглем свыше 200 шахт — средних и мелких — обеспечивали производству всего лишь 4-5 милл. тонн без значительного эффекта снижения себестоимости.</w:t>
      </w:r>
    </w:p>
    <w:p w14:paraId="05FFECF3" w14:textId="77777777" w:rsidR="004A3420" w:rsidRPr="00507A31" w:rsidRDefault="004A3420" w:rsidP="00507A31">
      <w:pPr>
        <w:jc w:val="both"/>
        <w:rPr>
          <w:color w:val="000000" w:themeColor="text1"/>
          <w:sz w:val="16"/>
          <w:szCs w:val="16"/>
        </w:rPr>
      </w:pPr>
      <w:r w:rsidRPr="00507A31">
        <w:rPr>
          <w:color w:val="000000" w:themeColor="text1"/>
          <w:sz w:val="16"/>
          <w:szCs w:val="16"/>
        </w:rPr>
        <w:t>Но большими размерами и широким фронтом строительства небольших шахт отвлеклось внимание и средства от основных вопросов реконструкции каменно-угольной промышленности, т. е. нового крупного строительства и коренного переоборудования существующих шахт. Лишь этими мероприятиями можно было обеспечить решительные сдвиги, как в отношении больших масштабов добычи, так значительного увеличения производительности труда и удешевления себестоимости.</w:t>
      </w:r>
    </w:p>
    <w:p w14:paraId="4631D4E2" w14:textId="77777777" w:rsidR="004A3420" w:rsidRPr="00507A31" w:rsidRDefault="004A3420" w:rsidP="00507A31">
      <w:pPr>
        <w:jc w:val="both"/>
        <w:rPr>
          <w:color w:val="000000" w:themeColor="text1"/>
          <w:sz w:val="16"/>
          <w:szCs w:val="16"/>
        </w:rPr>
      </w:pPr>
      <w:r w:rsidRPr="00507A31">
        <w:rPr>
          <w:color w:val="000000" w:themeColor="text1"/>
          <w:sz w:val="16"/>
          <w:szCs w:val="16"/>
        </w:rPr>
        <w:t>Необходимо было тогда же ребром поставить вопрос о соответствующей организации подготовительных работ по проходке крупных шахт и добиться их строительства в 21/2-3 года и максимум для первого организационного периода — 4 года. Этим самым был бы разрешен больной до настоящего времени для Донбасса вопрос о действительной реконструкции.</w:t>
      </w:r>
    </w:p>
    <w:p w14:paraId="00C0BB32" w14:textId="77777777" w:rsidR="004A3420" w:rsidRPr="00507A31" w:rsidRDefault="004A3420" w:rsidP="00507A31">
      <w:pPr>
        <w:jc w:val="both"/>
        <w:rPr>
          <w:color w:val="000000" w:themeColor="text1"/>
          <w:sz w:val="16"/>
          <w:szCs w:val="16"/>
        </w:rPr>
      </w:pPr>
      <w:r w:rsidRPr="00507A31">
        <w:rPr>
          <w:color w:val="000000" w:themeColor="text1"/>
          <w:sz w:val="16"/>
          <w:szCs w:val="16"/>
        </w:rPr>
        <w:t>Такой постановке вопроса, которая высказывалась и отдельными работниками топливной Секции (профессор ТЕРПИГОРЕВ и ВОЛКОВИЧ), усиленное сопротивление оказывали БОЯРШИНОВ и СКОРУТО (их поддерживал ФЕДОРОВИЧ), доказывая невозможность осуществления столь коротких сроков строительства крупных шахт и усиленно настаивая на широком развертывании строительства небольших шахт. В этом они находили усиленную поддержку со стороны представителей Наркомфина (К. А. БЕРЛИН) и даже отчасти ЦК Горняков.</w:t>
      </w:r>
    </w:p>
    <w:p w14:paraId="7CDA1F83" w14:textId="77777777" w:rsidR="004A3420" w:rsidRPr="00507A31" w:rsidRDefault="004A3420" w:rsidP="00507A31">
      <w:pPr>
        <w:jc w:val="both"/>
        <w:rPr>
          <w:color w:val="000000" w:themeColor="text1"/>
          <w:sz w:val="16"/>
          <w:szCs w:val="16"/>
        </w:rPr>
      </w:pPr>
      <w:r w:rsidRPr="00507A31">
        <w:rPr>
          <w:color w:val="000000" w:themeColor="text1"/>
          <w:sz w:val="16"/>
          <w:szCs w:val="16"/>
        </w:rPr>
        <w:t>Но если план, принятый Госпланом, содержал вредительскую установку с экономической стороны, то проведение его в жизнь или, правильней сказать, его искажение в действительной жизни — явилось крупнейшим вредительским актом, грозившим чреватыми последствиями.</w:t>
      </w:r>
    </w:p>
    <w:p w14:paraId="56F7E731" w14:textId="77777777" w:rsidR="004A3420" w:rsidRPr="00507A31" w:rsidRDefault="004A3420" w:rsidP="00507A31">
      <w:pPr>
        <w:jc w:val="both"/>
        <w:rPr>
          <w:color w:val="000000" w:themeColor="text1"/>
          <w:sz w:val="16"/>
          <w:szCs w:val="16"/>
        </w:rPr>
      </w:pPr>
      <w:r w:rsidRPr="00507A31">
        <w:rPr>
          <w:color w:val="000000" w:themeColor="text1"/>
          <w:sz w:val="16"/>
          <w:szCs w:val="16"/>
        </w:rPr>
        <w:t>Прежде всего, строительство мелких и средних шахт начато было широким фронтом почти без разведок, без проектов и т. п. Многие участки для этих шахт были выбраны явно непригодные (или на наружных местах или с очень небольшими запасами на 1-11/2 года и т. п.)[,] оборудования не было в достаточных размерах, даже для более крупных (средних) шахт и т. д.</w:t>
      </w:r>
    </w:p>
    <w:p w14:paraId="7F6D18E4" w14:textId="77777777" w:rsidR="004A3420" w:rsidRPr="00507A31" w:rsidRDefault="004A3420" w:rsidP="00507A31">
      <w:pPr>
        <w:jc w:val="both"/>
        <w:rPr>
          <w:color w:val="000000" w:themeColor="text1"/>
          <w:sz w:val="16"/>
          <w:szCs w:val="16"/>
        </w:rPr>
      </w:pPr>
      <w:r w:rsidRPr="00507A31">
        <w:rPr>
          <w:color w:val="000000" w:themeColor="text1"/>
          <w:sz w:val="16"/>
          <w:szCs w:val="16"/>
        </w:rPr>
        <w:t>Кроме того, число таких шахт оказалось значительно больше утвержденных в плане Госплана. Как и следовало ожидать, план этот оказался нереальным и нерентабельным. Достаточно указать, что из начатых свыше 200 шахт, к настоящему времени действительно жизненных — осталось не более 90-100 шахт, да и то уже в последнее время (после ликвидации шахтинского дела) значительно исправленных путем их укрупнения и проведения механизации. Свыше 100 шахт оказалось заброшенными как негодные, неудачные или явно нерентабельные. Таким образом, первый удар плану был нанесен со стороны мелких шахт, так как добыча этой группы и к настоящему времени не достигла запроектированной величины.</w:t>
      </w:r>
    </w:p>
    <w:p w14:paraId="1760D7B8" w14:textId="77777777" w:rsidR="004A3420" w:rsidRPr="00507A31" w:rsidRDefault="004A3420" w:rsidP="00507A31">
      <w:pPr>
        <w:jc w:val="both"/>
        <w:rPr>
          <w:color w:val="000000" w:themeColor="text1"/>
          <w:sz w:val="16"/>
          <w:szCs w:val="16"/>
        </w:rPr>
      </w:pPr>
      <w:r w:rsidRPr="00507A31">
        <w:rPr>
          <w:color w:val="000000" w:themeColor="text1"/>
          <w:sz w:val="16"/>
          <w:szCs w:val="16"/>
        </w:rPr>
        <w:t>Но гораздо более серьезней обстояло дело со строительством новых крупных шахт. Уже в [19]26/27 году выяснилось, что из представленного Донуглем списка новых 30 крупных шахт многие не только не имели даже эскизных проектов, но и вообще не имели под собой достаточных оснований для их закладки. После этого началось сокращение числа новых шахт, находящихся в проходке в [19]26/27 г. Сначала их было 24, затем осталось 17, в [19]27/28 г. только 13. И это в то время, когда ежегодно число их должно бы увеличиваться.</w:t>
      </w:r>
    </w:p>
    <w:p w14:paraId="79406F1A" w14:textId="77777777" w:rsidR="004A3420" w:rsidRPr="00507A31" w:rsidRDefault="004A3420" w:rsidP="00507A31">
      <w:pPr>
        <w:jc w:val="both"/>
        <w:rPr>
          <w:color w:val="000000" w:themeColor="text1"/>
          <w:sz w:val="16"/>
          <w:szCs w:val="16"/>
        </w:rPr>
      </w:pPr>
      <w:r w:rsidRPr="00507A31">
        <w:rPr>
          <w:color w:val="000000" w:themeColor="text1"/>
          <w:sz w:val="16"/>
          <w:szCs w:val="16"/>
        </w:rPr>
        <w:t>В отношении начатых проходкой крупных шахт началось с самого начала затягивание их сооружения, а именно: отсутствие необходимой организации проходческих работ и оборудования, бесконечное рассмотрение и пересмотры проектов этих шахт в Управлении новых сооружений и Техническом Совете Донугля, где под видом технических споров, вариантов и т. п., преследовалась цель всячески задержать их строительство. Вредительская работа была сосредоточена в аппарате Донугля при поддержке руководителей Технического Совета Донугля — РАБИНОВИЧА и ФЕДОРОВИЧА.</w:t>
      </w:r>
    </w:p>
    <w:p w14:paraId="37F340AA" w14:textId="77777777" w:rsidR="004A3420" w:rsidRPr="00507A31" w:rsidRDefault="004A3420" w:rsidP="00507A31">
      <w:pPr>
        <w:jc w:val="both"/>
        <w:rPr>
          <w:color w:val="000000" w:themeColor="text1"/>
          <w:sz w:val="16"/>
          <w:szCs w:val="16"/>
        </w:rPr>
      </w:pPr>
      <w:r w:rsidRPr="00507A31">
        <w:rPr>
          <w:color w:val="000000" w:themeColor="text1"/>
          <w:sz w:val="16"/>
          <w:szCs w:val="16"/>
        </w:rPr>
        <w:t>Не останавливаясь на деталях, можно сделать следующие] выводы.</w:t>
      </w:r>
    </w:p>
    <w:p w14:paraId="0A049C4B" w14:textId="77777777" w:rsidR="004A3420" w:rsidRPr="00507A31" w:rsidRDefault="004A3420" w:rsidP="00507A31">
      <w:pPr>
        <w:jc w:val="both"/>
        <w:rPr>
          <w:color w:val="000000" w:themeColor="text1"/>
          <w:sz w:val="16"/>
          <w:szCs w:val="16"/>
        </w:rPr>
      </w:pPr>
      <w:r w:rsidRPr="00507A31">
        <w:rPr>
          <w:color w:val="000000" w:themeColor="text1"/>
          <w:sz w:val="16"/>
          <w:szCs w:val="16"/>
        </w:rPr>
        <w:t>Если план развития Донбасса, принятый в Госплане, имел в основе вредительские корни с экономической стороны, то фактическое положение дел с новым крупным строительством, и провал “средняго и мелкаго шахтного строительства, созданные на местах, грозили тягчайшими последствиями топливного кризиса начиная с [19]29 г. и особенно в [19]30 г. (когда уже должны бы начать работать крупные шахты).</w:t>
      </w:r>
    </w:p>
    <w:p w14:paraId="6DEC9740" w14:textId="77777777" w:rsidR="004A3420" w:rsidRPr="00507A31" w:rsidRDefault="004A3420" w:rsidP="00507A31">
      <w:pPr>
        <w:jc w:val="both"/>
        <w:rPr>
          <w:color w:val="000000" w:themeColor="text1"/>
          <w:sz w:val="16"/>
          <w:szCs w:val="16"/>
        </w:rPr>
      </w:pPr>
      <w:r w:rsidRPr="00507A31">
        <w:rPr>
          <w:color w:val="000000" w:themeColor="text1"/>
          <w:sz w:val="16"/>
          <w:szCs w:val="16"/>
        </w:rPr>
        <w:t>Такое положение и составляло основную цель вредительских организаций в каменно-угольной промышленности, увязанную с более широкими планами доведения к указанным годам до кризисного состояния основных отраслей народного хозяйства.</w:t>
      </w:r>
    </w:p>
    <w:p w14:paraId="28736052" w14:textId="77777777" w:rsidR="004A3420" w:rsidRPr="00507A31" w:rsidRDefault="004A3420" w:rsidP="00507A31">
      <w:pPr>
        <w:jc w:val="both"/>
        <w:rPr>
          <w:color w:val="000000" w:themeColor="text1"/>
          <w:sz w:val="16"/>
          <w:szCs w:val="16"/>
        </w:rPr>
      </w:pPr>
      <w:r w:rsidRPr="00507A31">
        <w:rPr>
          <w:color w:val="000000" w:themeColor="text1"/>
          <w:sz w:val="16"/>
          <w:szCs w:val="16"/>
        </w:rPr>
        <w:t>Выходом из положения, т. е. сведения концов с концами в области топливоснабжения в [19]29/30 г. явилось то обстоятельство, что после ликвидации вредительской организации в Донбассе оказалось возможным гораздо шире использовать производственные возможности старых шахт ДОНБАССА (умышленно скрываемых вредительской организацией) прежде всего путем их укрепления и реконструкции, чему также организация всячески препятствовала.</w:t>
      </w:r>
    </w:p>
    <w:p w14:paraId="6D42FD2F" w14:textId="77777777" w:rsidR="004A3420" w:rsidRPr="00507A31" w:rsidRDefault="004A3420" w:rsidP="00507A31">
      <w:pPr>
        <w:jc w:val="both"/>
        <w:rPr>
          <w:color w:val="000000" w:themeColor="text1"/>
          <w:sz w:val="16"/>
          <w:szCs w:val="16"/>
        </w:rPr>
      </w:pPr>
      <w:r w:rsidRPr="00507A31">
        <w:rPr>
          <w:color w:val="000000" w:themeColor="text1"/>
          <w:sz w:val="16"/>
          <w:szCs w:val="16"/>
        </w:rPr>
        <w:t>Считаю необходимым еще раз подчеркнуть, что созданная вредительской организацией полная дезорганизация нового шахтного строительства в начальный период его развертывания имеет настолько глубокие корни, что последствия вредительской работы не ликвидированы полностью еще и до настоящего времени и нужны самые решительные меры и максимум энергии, чтобы вывезти и направить на правильный путь этот важнейший участок нашего строительства.</w:t>
      </w:r>
    </w:p>
    <w:p w14:paraId="3DF7D448" w14:textId="77777777" w:rsidR="004A3420" w:rsidRPr="00507A31" w:rsidRDefault="004A3420" w:rsidP="00507A31">
      <w:pPr>
        <w:jc w:val="both"/>
        <w:rPr>
          <w:color w:val="000000" w:themeColor="text1"/>
          <w:sz w:val="16"/>
          <w:szCs w:val="16"/>
        </w:rPr>
      </w:pPr>
      <w:r w:rsidRPr="00507A31">
        <w:rPr>
          <w:color w:val="000000" w:themeColor="text1"/>
          <w:sz w:val="16"/>
          <w:szCs w:val="16"/>
        </w:rPr>
        <w:t>В отношении других каменно-угольных районов необходимо отметить следующие факты вредительской деятельности:</w:t>
      </w:r>
    </w:p>
    <w:p w14:paraId="6797B0AF" w14:textId="77777777" w:rsidR="004A3420" w:rsidRPr="00507A31" w:rsidRDefault="004A3420" w:rsidP="00507A31">
      <w:pPr>
        <w:jc w:val="both"/>
        <w:rPr>
          <w:color w:val="000000" w:themeColor="text1"/>
          <w:sz w:val="16"/>
          <w:szCs w:val="16"/>
        </w:rPr>
      </w:pPr>
      <w:r w:rsidRPr="00507A31">
        <w:rPr>
          <w:color w:val="000000" w:themeColor="text1"/>
          <w:sz w:val="16"/>
          <w:szCs w:val="16"/>
        </w:rPr>
        <w:t>В [19]25/26 г. Кузбасс испытывал временный кризис сбыта, и часть предприятий должна была сократить добычу. При рассмотрении этого вопроса в Госплане было принято предложение ВСНХ, предварительно проработанное членами вредительской организации[,] остановить и поставить на консервацию южные районы Кузбасса — Прокопьевский и Киселевский. Последний вредительской организацией особенно рекомендовался как концессионный объект и, действительно, был сдан в концессию «Лена-Гольдфильдс».</w:t>
      </w:r>
    </w:p>
    <w:p w14:paraId="4162244F" w14:textId="77777777" w:rsidR="004A3420" w:rsidRPr="00507A31" w:rsidRDefault="004A3420" w:rsidP="00507A31">
      <w:pPr>
        <w:jc w:val="both"/>
        <w:rPr>
          <w:color w:val="000000" w:themeColor="text1"/>
          <w:sz w:val="16"/>
          <w:szCs w:val="16"/>
        </w:rPr>
      </w:pPr>
      <w:r w:rsidRPr="00507A31">
        <w:rPr>
          <w:color w:val="000000" w:themeColor="text1"/>
          <w:sz w:val="16"/>
          <w:szCs w:val="16"/>
        </w:rPr>
        <w:t>Прокопьевский район — это лучший район Кузбасса (на развитии которого сейчас строится громадная пятилетка Кузбасса) ни в коем случае нельзя было свертывать и растаскивать, а, наоборот уже тогда надо было принять меры к его подготовке к дальнейшему развитию.</w:t>
      </w:r>
    </w:p>
    <w:p w14:paraId="6D17B267" w14:textId="77777777" w:rsidR="004A3420" w:rsidRPr="00507A31" w:rsidRDefault="004A3420" w:rsidP="00507A31">
      <w:pPr>
        <w:jc w:val="both"/>
        <w:rPr>
          <w:color w:val="000000" w:themeColor="text1"/>
          <w:sz w:val="16"/>
          <w:szCs w:val="16"/>
        </w:rPr>
      </w:pPr>
      <w:r w:rsidRPr="00507A31">
        <w:rPr>
          <w:color w:val="000000" w:themeColor="text1"/>
          <w:sz w:val="16"/>
          <w:szCs w:val="16"/>
        </w:rPr>
        <w:t>В отношении Кузбасса необходимо указать, что, хотя о развитии его много говорилось в связи с У рало-Кузнецкой проблемой, но вредительской организацией явно вуалировалось его громадное значение не только как одной из основных топливных баз Союза, но и его громадная роль как важнейшей мобилизационной базы в период военных осложнений.</w:t>
      </w:r>
    </w:p>
    <w:p w14:paraId="4124131A" w14:textId="77777777" w:rsidR="004A3420" w:rsidRPr="00507A31" w:rsidRDefault="004A3420" w:rsidP="00507A31">
      <w:pPr>
        <w:jc w:val="both"/>
        <w:rPr>
          <w:color w:val="000000" w:themeColor="text1"/>
          <w:sz w:val="16"/>
          <w:szCs w:val="16"/>
        </w:rPr>
      </w:pPr>
      <w:r w:rsidRPr="00507A31">
        <w:rPr>
          <w:color w:val="000000" w:themeColor="text1"/>
          <w:sz w:val="16"/>
          <w:szCs w:val="16"/>
        </w:rPr>
        <w:t>В отношении Урала показываю следующее:</w:t>
      </w:r>
    </w:p>
    <w:p w14:paraId="1FFDA5B0" w14:textId="77777777" w:rsidR="004A3420" w:rsidRPr="00507A31" w:rsidRDefault="004A3420" w:rsidP="00507A31">
      <w:pPr>
        <w:jc w:val="both"/>
        <w:rPr>
          <w:color w:val="000000" w:themeColor="text1"/>
          <w:sz w:val="16"/>
          <w:szCs w:val="16"/>
        </w:rPr>
      </w:pPr>
      <w:r w:rsidRPr="00507A31">
        <w:rPr>
          <w:color w:val="000000" w:themeColor="text1"/>
          <w:sz w:val="16"/>
          <w:szCs w:val="16"/>
        </w:rPr>
        <w:t xml:space="preserve">Разведки в Алапаевском районе велись членом вредительской организации МИХЕЕВЫМ. Разведки велись явно вредительские. Вкладывались большие деньги в разведку небольшого участка, неблагонадежность которого быстро выяснилась и необходимо было разведки перевести в другое место, но этого сделано не было. </w:t>
      </w:r>
      <w:r w:rsidRPr="00507A31">
        <w:rPr>
          <w:color w:val="000000" w:themeColor="text1"/>
          <w:sz w:val="16"/>
          <w:szCs w:val="16"/>
        </w:rPr>
        <w:lastRenderedPageBreak/>
        <w:t>Получалась видимость разведочных работ, но по существу «топтание на месте» и бесполезная трата крупных средств. При рассмотрении этого вопроса в Госплане членами вредительской организации Топливной секции такое положение дел покрывалось.</w:t>
      </w:r>
    </w:p>
    <w:p w14:paraId="60CA1139" w14:textId="77777777" w:rsidR="004A3420" w:rsidRPr="00507A31" w:rsidRDefault="004A3420" w:rsidP="00507A31">
      <w:pPr>
        <w:jc w:val="both"/>
        <w:rPr>
          <w:color w:val="000000" w:themeColor="text1"/>
          <w:sz w:val="16"/>
          <w:szCs w:val="16"/>
        </w:rPr>
      </w:pPr>
      <w:r w:rsidRPr="00507A31">
        <w:rPr>
          <w:color w:val="000000" w:themeColor="text1"/>
          <w:sz w:val="16"/>
          <w:szCs w:val="16"/>
        </w:rPr>
        <w:t>Таковы главные моменты вредительской деятельности, проходившие через ВСНХ и ГОСПЛАН в отношении каменно-угольной промышленности.</w:t>
      </w:r>
    </w:p>
    <w:p w14:paraId="4303B211" w14:textId="77777777" w:rsidR="004A3420" w:rsidRPr="00507A31" w:rsidRDefault="004A3420" w:rsidP="00507A31">
      <w:pPr>
        <w:jc w:val="both"/>
        <w:rPr>
          <w:color w:val="000000" w:themeColor="text1"/>
          <w:sz w:val="16"/>
          <w:szCs w:val="16"/>
        </w:rPr>
      </w:pPr>
      <w:r w:rsidRPr="00507A31">
        <w:rPr>
          <w:color w:val="000000" w:themeColor="text1"/>
          <w:sz w:val="16"/>
          <w:szCs w:val="16"/>
        </w:rPr>
        <w:t>Организационно эта вредительская деятельность проходила следующим образом:</w:t>
      </w:r>
    </w:p>
    <w:p w14:paraId="7FD30166" w14:textId="77777777" w:rsidR="004A3420" w:rsidRPr="00507A31" w:rsidRDefault="004A3420" w:rsidP="00507A31">
      <w:pPr>
        <w:jc w:val="both"/>
        <w:rPr>
          <w:color w:val="000000" w:themeColor="text1"/>
          <w:sz w:val="16"/>
          <w:szCs w:val="16"/>
        </w:rPr>
      </w:pPr>
      <w:r w:rsidRPr="00507A31">
        <w:rPr>
          <w:color w:val="000000" w:themeColor="text1"/>
          <w:sz w:val="16"/>
          <w:szCs w:val="16"/>
        </w:rPr>
        <w:t>С планами и отчетами с мест приезжали, главным образом, члены вредительской организации (БОЯРШИНОВ, ЛУЗАНОВИЧ и др.). Перед официальными совещаниями они обыкновенно приходили в ВСНХ и ГОСПЛАН, где с НАЗИМОВЫМ и СКОРУТОЙ (ВСНХ) и со мной, РАБИНОВИЧЕМ и ФЕДОРОВИЧЕМ (в ГОСПЛАНЕ) в зависимости от вопросов согласовывались отдельные элементы и устанавливались вредительские директивы по составлению планов и затушевыванию вредительской работы по отчетам.</w:t>
      </w:r>
    </w:p>
    <w:p w14:paraId="5CE9B458" w14:textId="77777777" w:rsidR="004A3420" w:rsidRPr="00507A31" w:rsidRDefault="004A3420" w:rsidP="00507A31">
      <w:pPr>
        <w:jc w:val="both"/>
        <w:rPr>
          <w:color w:val="000000" w:themeColor="text1"/>
          <w:sz w:val="16"/>
          <w:szCs w:val="16"/>
        </w:rPr>
      </w:pPr>
      <w:r w:rsidRPr="00507A31">
        <w:rPr>
          <w:color w:val="000000" w:themeColor="text1"/>
          <w:sz w:val="16"/>
          <w:szCs w:val="16"/>
        </w:rPr>
        <w:t>Записал собственноручно: В. ЛАРИЧЕВ</w:t>
      </w:r>
    </w:p>
    <w:p w14:paraId="0CB86B6A" w14:textId="77777777" w:rsidR="004A3420" w:rsidRPr="00507A31" w:rsidRDefault="004A3420" w:rsidP="00507A31">
      <w:pPr>
        <w:jc w:val="both"/>
        <w:rPr>
          <w:color w:val="000000" w:themeColor="text1"/>
          <w:sz w:val="16"/>
          <w:szCs w:val="16"/>
        </w:rPr>
      </w:pPr>
      <w:r w:rsidRPr="00507A31">
        <w:rPr>
          <w:color w:val="000000" w:themeColor="text1"/>
          <w:sz w:val="16"/>
          <w:szCs w:val="16"/>
        </w:rPr>
        <w:t>Д. 353. Л. 59-72. Машинописная копия того времени. На Л. 59 вверху — штампы делопроизводства ЦК ВКП(б) с вписанными от руки данными о количестве размноженных экземпляров документа (35), номером (№ 24469/с) и датой (28.V.1930 г.) рассылки, подпись-автограф Хряпкиной. На Л. 58 — сопроводительное письмо на бланке ОГПУ при СНК СССР</w:t>
      </w:r>
    </w:p>
    <w:p w14:paraId="19FD7403" w14:textId="77777777" w:rsidR="004A3420" w:rsidRPr="00507A31" w:rsidRDefault="004A3420" w:rsidP="00507A31">
      <w:pPr>
        <w:jc w:val="both"/>
        <w:rPr>
          <w:color w:val="000000" w:themeColor="text1"/>
          <w:sz w:val="16"/>
          <w:szCs w:val="16"/>
        </w:rPr>
      </w:pPr>
      <w:r w:rsidRPr="00507A31">
        <w:rPr>
          <w:color w:val="000000" w:themeColor="text1"/>
          <w:sz w:val="16"/>
          <w:szCs w:val="16"/>
        </w:rPr>
        <w:t>от 20 мая 1930 г. за подписью начальника ЭКУ ОГПУ Г. Е. Прокофьева в ЦК В КП (б) на имя И. П. Товстухи: «По распоряжению Председателя ОГПУ тов. МЕНЖИНСКОГО направляю Вам последние показания арестованного ЛАРИЧЕВА». (Машинописный подлинник, подпись — автограф; дата и номер документа — штампом в графе бланка.) (18349).</w:t>
      </w:r>
    </w:p>
    <w:p w14:paraId="2B585AE7" w14:textId="77777777" w:rsidR="004A3420" w:rsidRPr="00507A31" w:rsidRDefault="004A3420" w:rsidP="00507A31">
      <w:pPr>
        <w:jc w:val="both"/>
        <w:rPr>
          <w:color w:val="000000" w:themeColor="text1"/>
          <w:sz w:val="16"/>
          <w:szCs w:val="16"/>
        </w:rPr>
      </w:pPr>
    </w:p>
    <w:p w14:paraId="77A4122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C5951E2" w14:textId="77777777" w:rsidR="00537E5F" w:rsidRPr="00507A31" w:rsidRDefault="00537E5F" w:rsidP="00507A31">
      <w:pPr>
        <w:autoSpaceDE w:val="0"/>
        <w:autoSpaceDN w:val="0"/>
        <w:adjustRightInd w:val="0"/>
        <w:jc w:val="both"/>
        <w:rPr>
          <w:iCs/>
          <w:color w:val="000000" w:themeColor="text1"/>
          <w:sz w:val="16"/>
          <w:szCs w:val="16"/>
        </w:rPr>
      </w:pPr>
    </w:p>
    <w:p w14:paraId="39A744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мая 1930 Воронеж. Первый секретарь Центрально-Черноземного обкома ВКП(б) И. Варейкис отправил в ЦК ВКП(б) записку следующего содержания: "Во всех округах области у некоторой части бедноты отсутствует хлеб. Беднота питается суррогатами; зарегистрировано несколько случаев истощения и заболеваний на почве недоедания... В Вейделевском и Никитовском районах Острогожского округа до 50% населения совершенно не имеет хлебных запасов, в Моршанском районе Тамбовского округа до 40% крестьянских хозяйств нуждается в продовольственной помощи". Причиной продовольственных трудностей И.Варейкис назвал резкое увеличение хлебозаготовок (10687).</w:t>
      </w:r>
    </w:p>
    <w:p w14:paraId="6103CC76" w14:textId="77777777" w:rsidR="00537E5F" w:rsidRPr="00507A31" w:rsidRDefault="00537E5F" w:rsidP="00507A31">
      <w:pPr>
        <w:autoSpaceDE w:val="0"/>
        <w:autoSpaceDN w:val="0"/>
        <w:adjustRightInd w:val="0"/>
        <w:jc w:val="both"/>
        <w:rPr>
          <w:color w:val="000000" w:themeColor="text1"/>
          <w:sz w:val="16"/>
          <w:szCs w:val="16"/>
        </w:rPr>
      </w:pPr>
    </w:p>
    <w:p w14:paraId="69C7BC9B" w14:textId="77777777" w:rsidR="00DA117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E9B7C2C" w14:textId="77777777" w:rsidR="00DA1172" w:rsidRPr="00507A31" w:rsidRDefault="00DA1172" w:rsidP="00507A31">
      <w:pPr>
        <w:autoSpaceDE w:val="0"/>
        <w:autoSpaceDN w:val="0"/>
        <w:adjustRightInd w:val="0"/>
        <w:jc w:val="both"/>
        <w:rPr>
          <w:iCs/>
          <w:color w:val="000000" w:themeColor="text1"/>
          <w:sz w:val="16"/>
          <w:szCs w:val="16"/>
        </w:rPr>
      </w:pPr>
    </w:p>
    <w:p w14:paraId="42BCF83C" w14:textId="77777777" w:rsidR="008F0891" w:rsidRPr="00507A31" w:rsidRDefault="008F0891" w:rsidP="00507A31">
      <w:pPr>
        <w:jc w:val="both"/>
        <w:rPr>
          <w:color w:val="000000" w:themeColor="text1"/>
          <w:sz w:val="16"/>
          <w:szCs w:val="16"/>
        </w:rPr>
      </w:pPr>
      <w:r w:rsidRPr="00507A31">
        <w:rPr>
          <w:bCs/>
          <w:color w:val="000000" w:themeColor="text1"/>
          <w:sz w:val="16"/>
          <w:szCs w:val="16"/>
        </w:rPr>
        <w:t>17 мая</w:t>
      </w:r>
      <w:r w:rsidRPr="00507A31">
        <w:rPr>
          <w:color w:val="000000" w:themeColor="text1"/>
          <w:sz w:val="16"/>
          <w:szCs w:val="16"/>
        </w:rPr>
        <w:t xml:space="preserve"> в 1930 году совершил свой первый полет </w:t>
      </w:r>
      <w:hyperlink r:id="rId89" w:tgtFrame="_blank" w:history="1">
        <w:r w:rsidRPr="00507A31">
          <w:rPr>
            <w:color w:val="000000" w:themeColor="text1"/>
            <w:sz w:val="16"/>
            <w:szCs w:val="16"/>
          </w:rPr>
          <w:t xml:space="preserve">«Comper» «CLA.7» </w:t>
        </w:r>
      </w:hyperlink>
      <w:r w:rsidRPr="00507A31">
        <w:rPr>
          <w:color w:val="000000" w:themeColor="text1"/>
          <w:sz w:val="16"/>
          <w:szCs w:val="16"/>
        </w:rPr>
        <w:t>и названный «Swift» (в переводе с английского - "скорый"), опытный образец (G-AARX). «Swift» был подкосным высокопланом деревянной конструкции с полотняной и фанерной обшивкой. Крыло прикреплялось к верхней части фюзеляжа. Т ягу обеспечивал поршневой двигатель «A.B.C.» «"Scorpion» мощностью 40 л. с. Еще 7 самолетов «Swift», оснащенных звездообразным двигателем «Salmson» «AD9» мощностью 50 л.с., были построены в течение 1930 г (14894).</w:t>
      </w:r>
    </w:p>
    <w:p w14:paraId="668BF22E" w14:textId="77777777" w:rsidR="008F0891" w:rsidRPr="00507A31" w:rsidRDefault="008F0891" w:rsidP="00507A31">
      <w:pPr>
        <w:jc w:val="both"/>
        <w:rPr>
          <w:color w:val="000000" w:themeColor="text1"/>
          <w:sz w:val="16"/>
          <w:szCs w:val="16"/>
        </w:rPr>
      </w:pPr>
    </w:p>
    <w:p w14:paraId="21D6CD7E" w14:textId="77777777" w:rsidR="008F0891" w:rsidRPr="00507A31" w:rsidRDefault="008F0891" w:rsidP="00507A31">
      <w:pPr>
        <w:jc w:val="both"/>
        <w:rPr>
          <w:color w:val="000000" w:themeColor="text1"/>
          <w:sz w:val="16"/>
          <w:szCs w:val="16"/>
        </w:rPr>
      </w:pPr>
      <w:r w:rsidRPr="00507A31">
        <w:rPr>
          <w:bCs/>
          <w:color w:val="000000" w:themeColor="text1"/>
          <w:sz w:val="16"/>
          <w:szCs w:val="16"/>
        </w:rPr>
        <w:t>17 мая</w:t>
      </w:r>
      <w:r w:rsidRPr="00507A31">
        <w:rPr>
          <w:color w:val="000000" w:themeColor="text1"/>
          <w:sz w:val="16"/>
          <w:szCs w:val="16"/>
        </w:rPr>
        <w:t xml:space="preserve"> в 1930 году во время испытаний жидкостного реактивного двигателя погиб при взрыве камеры сгорания немецкий конструктор ракетной техники и пропагандист идеи межпланетных полетов Макс Валье (родился в 1895). В 1929 году Валье испытал гоночный автомобиль с 24-мя твердотопливными ракетами, развивавший скорость 230 км/час (14894).</w:t>
      </w:r>
    </w:p>
    <w:p w14:paraId="48961B23" w14:textId="77777777" w:rsidR="008F0891" w:rsidRPr="00507A31" w:rsidRDefault="008F0891" w:rsidP="00507A31">
      <w:pPr>
        <w:jc w:val="both"/>
        <w:rPr>
          <w:color w:val="000000" w:themeColor="text1"/>
          <w:sz w:val="16"/>
          <w:szCs w:val="16"/>
        </w:rPr>
      </w:pPr>
    </w:p>
    <w:p w14:paraId="1DF7731C" w14:textId="77777777" w:rsidR="00DA1172" w:rsidRPr="00507A31" w:rsidRDefault="00DA1172" w:rsidP="00507A31">
      <w:pPr>
        <w:shd w:val="clear" w:color="auto" w:fill="FFFFFF"/>
        <w:jc w:val="both"/>
        <w:rPr>
          <w:color w:val="000000" w:themeColor="text1"/>
          <w:sz w:val="16"/>
          <w:szCs w:val="16"/>
        </w:rPr>
      </w:pPr>
      <w:r w:rsidRPr="00507A31">
        <w:rPr>
          <w:color w:val="000000" w:themeColor="text1"/>
          <w:sz w:val="16"/>
          <w:szCs w:val="16"/>
        </w:rPr>
        <w:t xml:space="preserve">17 мая 1930 г. природа: погиб при </w:t>
      </w:r>
      <w:r w:rsidRPr="00507A31">
        <w:rPr>
          <w:iCs/>
          <w:color w:val="000000" w:themeColor="text1"/>
          <w:sz w:val="16"/>
          <w:szCs w:val="16"/>
        </w:rPr>
        <w:t>взрывеМакс</w:t>
      </w:r>
      <w:r w:rsidRPr="00507A31">
        <w:rPr>
          <w:color w:val="000000" w:themeColor="text1"/>
          <w:sz w:val="16"/>
          <w:szCs w:val="16"/>
        </w:rPr>
        <w:t xml:space="preserve"> Вилье — «</w:t>
      </w:r>
      <w:r w:rsidRPr="00507A31">
        <w:rPr>
          <w:iCs/>
          <w:color w:val="000000" w:themeColor="text1"/>
          <w:sz w:val="16"/>
          <w:szCs w:val="16"/>
        </w:rPr>
        <w:t>первая жертва ракет</w:t>
      </w:r>
      <w:r w:rsidRPr="00507A31">
        <w:rPr>
          <w:color w:val="000000" w:themeColor="text1"/>
          <w:sz w:val="16"/>
          <w:szCs w:val="16"/>
        </w:rPr>
        <w:t>»</w:t>
      </w:r>
    </w:p>
    <w:p w14:paraId="3907CBD2" w14:textId="77777777" w:rsidR="00DA1172" w:rsidRPr="00507A31" w:rsidRDefault="00DA1172" w:rsidP="00507A31">
      <w:pPr>
        <w:shd w:val="clear" w:color="auto" w:fill="FFFFFF"/>
        <w:jc w:val="both"/>
        <w:rPr>
          <w:color w:val="000000" w:themeColor="text1"/>
          <w:sz w:val="16"/>
          <w:szCs w:val="16"/>
        </w:rPr>
      </w:pPr>
      <w:r w:rsidRPr="00507A31">
        <w:rPr>
          <w:bCs/>
          <w:iCs/>
          <w:color w:val="000000" w:themeColor="text1"/>
          <w:sz w:val="16"/>
          <w:szCs w:val="16"/>
        </w:rPr>
        <w:t>(А.Первушин «Астронавты Гитлера»):</w:t>
      </w:r>
    </w:p>
    <w:p w14:paraId="7B22F82C" w14:textId="77777777" w:rsidR="00DA1172" w:rsidRPr="00507A31" w:rsidRDefault="00DA1172" w:rsidP="00507A31">
      <w:pPr>
        <w:shd w:val="clear" w:color="auto" w:fill="FFFFFF"/>
        <w:jc w:val="both"/>
        <w:rPr>
          <w:color w:val="000000" w:themeColor="text1"/>
          <w:sz w:val="16"/>
          <w:szCs w:val="16"/>
        </w:rPr>
      </w:pPr>
      <w:r w:rsidRPr="00507A31">
        <w:rPr>
          <w:bCs/>
          <w:color w:val="000000" w:themeColor="text1"/>
          <w:sz w:val="16"/>
          <w:szCs w:val="16"/>
        </w:rPr>
        <w:t xml:space="preserve">После крушения надежд на получение денег от банкира Бартеля, Макс Валье, активно сотрудничавший с Обертом, пытался найти другой источник для финансирования работ по ракетной тематике. Помимо подготовки очередных изданий своей книги, он опубликовал множество статей в иллюстрированных журналах и ежедневных газетах. Эти статьи имели успех, в особенности – у молодежи; а двум тогдашним гимназистам – Эйгену Зенгеру и Вернеру фон Брауну – определили выбор жизненного пути. </w:t>
      </w:r>
      <w:r w:rsidRPr="00507A31">
        <w:rPr>
          <w:color w:val="000000" w:themeColor="text1"/>
          <w:sz w:val="16"/>
          <w:szCs w:val="16"/>
        </w:rPr>
        <w:t>В ночь на 17 мая 1930 года Макс Валье</w:t>
      </w:r>
      <w:r w:rsidRPr="00507A31">
        <w:rPr>
          <w:bCs/>
          <w:color w:val="000000" w:themeColor="text1"/>
          <w:sz w:val="16"/>
          <w:szCs w:val="16"/>
        </w:rPr>
        <w:t xml:space="preserve"> и его помощники испытывали новый двигатель, который предполагали продемонстрировать в заезде во время предстоящей Недели авиации, которая должна была проводиться в Берлине с 25 по 31 мая. Программа Недели авиации включала публичные лекции, показ документальных фильмов, небольшие полеты над городом и организацию выставки на одной из центральных площадей Берлина. Были проведены два пробных заезда с соплом, имеющим диаметр критического сечения 28 мм. Валье настоял еще на одной поездке с соплом диаметром 40 мм и с повышенным давлением в камере сгорания для получения тяги в 100 кг. Во время нового испытания давление в камере сгорания достигло 7 атмосфер, горение в двигателе стало крайне неравномерным. Затем он взорвался. Зазубренный кусочек стали рассек Валье аорту. Истекая кровью, изобретатель умер, прежде чем кто-либо смог оказать ему помощь. Газеты подробно описали эту трагедию. В заголовках так и значилось: «Первая жертва межпланетных сообщений» (17325).</w:t>
      </w:r>
    </w:p>
    <w:p w14:paraId="0797BBBB" w14:textId="77777777" w:rsidR="00DA1172" w:rsidRPr="00507A31" w:rsidRDefault="00DA1172" w:rsidP="00507A31">
      <w:pPr>
        <w:autoSpaceDE w:val="0"/>
        <w:autoSpaceDN w:val="0"/>
        <w:adjustRightInd w:val="0"/>
        <w:jc w:val="both"/>
        <w:rPr>
          <w:iCs/>
          <w:color w:val="000000" w:themeColor="text1"/>
          <w:sz w:val="16"/>
          <w:szCs w:val="16"/>
        </w:rPr>
      </w:pPr>
    </w:p>
    <w:p w14:paraId="63099F44" w14:textId="77777777" w:rsidR="00DA1172" w:rsidRPr="00507A31" w:rsidRDefault="00DA1172" w:rsidP="00507A31">
      <w:pPr>
        <w:autoSpaceDE w:val="0"/>
        <w:autoSpaceDN w:val="0"/>
        <w:adjustRightInd w:val="0"/>
        <w:jc w:val="both"/>
        <w:rPr>
          <w:iCs/>
          <w:color w:val="000000" w:themeColor="text1"/>
          <w:sz w:val="16"/>
          <w:szCs w:val="16"/>
        </w:rPr>
      </w:pPr>
      <w:r w:rsidRPr="00507A31">
        <w:rPr>
          <w:color w:val="000000" w:themeColor="text1"/>
          <w:sz w:val="16"/>
          <w:szCs w:val="16"/>
        </w:rPr>
        <w:t>17 мая 1930 г.</w:t>
      </w:r>
      <w:r w:rsidRPr="00507A31">
        <w:rPr>
          <w:bCs/>
          <w:color w:val="000000" w:themeColor="text1"/>
          <w:sz w:val="16"/>
          <w:szCs w:val="16"/>
        </w:rPr>
        <w:t xml:space="preserve"> Бриан обратился к 27 странам Европы с предложением «об организации режима европейского федерального союза». Под предлогом экономического сотрудничества и совместной борьбы с кризисом он выдвигал проект создания федерации всех стран буржуазной Европы. Предполагалось, что это «сообщество европейских народов» будет иметь специальный представительный орган в виде европейской конференции и исполнительный орган — европейский комитет (17325).</w:t>
      </w:r>
    </w:p>
    <w:p w14:paraId="032FE599" w14:textId="77777777" w:rsidR="00DA1172" w:rsidRPr="00507A31" w:rsidRDefault="00DA1172" w:rsidP="00507A31">
      <w:pPr>
        <w:autoSpaceDE w:val="0"/>
        <w:autoSpaceDN w:val="0"/>
        <w:adjustRightInd w:val="0"/>
        <w:jc w:val="both"/>
        <w:rPr>
          <w:iCs/>
          <w:color w:val="000000" w:themeColor="text1"/>
          <w:sz w:val="16"/>
          <w:szCs w:val="16"/>
        </w:rPr>
      </w:pPr>
    </w:p>
    <w:p w14:paraId="0150AB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мая 1930 министр иностранных дел Франции Бриан предложил организовать антисоветский блок - пан-Европа (3186).</w:t>
      </w:r>
    </w:p>
    <w:p w14:paraId="0ECE7E80" w14:textId="77777777" w:rsidR="00537E5F" w:rsidRPr="00507A31" w:rsidRDefault="00537E5F" w:rsidP="00507A31">
      <w:pPr>
        <w:autoSpaceDE w:val="0"/>
        <w:autoSpaceDN w:val="0"/>
        <w:adjustRightInd w:val="0"/>
        <w:jc w:val="both"/>
        <w:rPr>
          <w:color w:val="000000" w:themeColor="text1"/>
          <w:sz w:val="16"/>
          <w:szCs w:val="16"/>
        </w:rPr>
      </w:pPr>
    </w:p>
    <w:p w14:paraId="22D7A3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мая 1930 вступил в силу план Янга по выплате репараций (3907,161).</w:t>
      </w:r>
    </w:p>
    <w:p w14:paraId="45AA66A0" w14:textId="77777777" w:rsidR="00537E5F" w:rsidRPr="00507A31" w:rsidRDefault="00537E5F" w:rsidP="00507A31">
      <w:pPr>
        <w:autoSpaceDE w:val="0"/>
        <w:autoSpaceDN w:val="0"/>
        <w:adjustRightInd w:val="0"/>
        <w:jc w:val="both"/>
        <w:rPr>
          <w:color w:val="000000" w:themeColor="text1"/>
          <w:sz w:val="16"/>
          <w:szCs w:val="16"/>
        </w:rPr>
      </w:pPr>
    </w:p>
    <w:p w14:paraId="352FD6C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74ED5B4" w14:textId="77777777" w:rsidR="00537E5F" w:rsidRPr="00507A31" w:rsidRDefault="00537E5F" w:rsidP="00507A31">
      <w:pPr>
        <w:autoSpaceDE w:val="0"/>
        <w:autoSpaceDN w:val="0"/>
        <w:adjustRightInd w:val="0"/>
        <w:jc w:val="both"/>
        <w:rPr>
          <w:iCs/>
          <w:color w:val="000000" w:themeColor="text1"/>
          <w:sz w:val="16"/>
          <w:szCs w:val="16"/>
        </w:rPr>
      </w:pPr>
    </w:p>
    <w:p w14:paraId="76690C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мая 1930 П.И.Б. написал пред. РВС К.Е.В. (копия в ВСНХ В.В.Куйбышеву и НК РКИ A.К.Орджоникидзе) письмо N 122 сс/НТК о том, что ГВАО, ЦАГИ, НАМИ ТОМП, Остехбюро и др. были переданы ТТТ для проектирования и постройки адресов исходя из постановления по плану на 1929-1933 от 30 апреля 1930. Проверка показала, что ни одна из организаций не намерена выполнить план в срок и опоздание будет до 14-15 месяцев для больших машин М-35 вообще не хотят делать. Грузоподъемность ТБ-4 - занизили. Но ни одна из организаций не ставит перед РЗ СТО вопрос об этом (1028,89).</w:t>
      </w:r>
    </w:p>
    <w:p w14:paraId="3706922B" w14:textId="77777777" w:rsidR="00537E5F" w:rsidRPr="00507A31" w:rsidRDefault="00537E5F" w:rsidP="00507A31">
      <w:pPr>
        <w:autoSpaceDE w:val="0"/>
        <w:autoSpaceDN w:val="0"/>
        <w:adjustRightInd w:val="0"/>
        <w:jc w:val="both"/>
        <w:rPr>
          <w:color w:val="000000" w:themeColor="text1"/>
          <w:sz w:val="16"/>
          <w:szCs w:val="16"/>
        </w:rPr>
      </w:pPr>
    </w:p>
    <w:p w14:paraId="12223C96" w14:textId="77777777" w:rsidR="001B383A" w:rsidRPr="00507A31" w:rsidRDefault="001B383A" w:rsidP="00507A31">
      <w:pPr>
        <w:autoSpaceDE w:val="0"/>
        <w:autoSpaceDN w:val="0"/>
        <w:adjustRightInd w:val="0"/>
        <w:jc w:val="both"/>
        <w:rPr>
          <w:i/>
          <w:iCs/>
          <w:color w:val="000000" w:themeColor="text1"/>
          <w:sz w:val="16"/>
          <w:szCs w:val="16"/>
        </w:rPr>
      </w:pPr>
      <w:r w:rsidRPr="00507A31">
        <w:rPr>
          <w:i/>
          <w:iCs/>
          <w:color w:val="000000" w:themeColor="text1"/>
          <w:sz w:val="16"/>
          <w:szCs w:val="16"/>
        </w:rPr>
        <w:t>Другие оборонные отрасли:</w:t>
      </w:r>
    </w:p>
    <w:p w14:paraId="467B0C7A" w14:textId="77777777" w:rsidR="001B383A" w:rsidRPr="00507A31" w:rsidRDefault="001B383A" w:rsidP="00507A31">
      <w:pPr>
        <w:autoSpaceDE w:val="0"/>
        <w:autoSpaceDN w:val="0"/>
        <w:adjustRightInd w:val="0"/>
        <w:jc w:val="both"/>
        <w:rPr>
          <w:i/>
          <w:iCs/>
          <w:color w:val="000000" w:themeColor="text1"/>
          <w:sz w:val="16"/>
          <w:szCs w:val="16"/>
        </w:rPr>
      </w:pPr>
    </w:p>
    <w:p w14:paraId="799A70D2" w14:textId="77777777" w:rsidR="001B383A" w:rsidRPr="00507A31" w:rsidRDefault="001B383A" w:rsidP="00507A31">
      <w:pPr>
        <w:jc w:val="both"/>
        <w:rPr>
          <w:color w:val="000000" w:themeColor="text1"/>
          <w:sz w:val="16"/>
          <w:szCs w:val="16"/>
        </w:rPr>
      </w:pPr>
      <w:r w:rsidRPr="00507A31">
        <w:rPr>
          <w:color w:val="000000" w:themeColor="text1"/>
          <w:sz w:val="16"/>
          <w:szCs w:val="16"/>
        </w:rPr>
        <w:t>18 мая 1930 г. накануне ожидаемой сдачи первых «советских Декаве» исполняющий дела Начальника УММ РККА т. Калиновский писал председателю НТК УММ РККА и начальнику МПУ ВСНХ. «В Тремасс в настоящее время ведутся работы по организации производства мотоциклов, причем Тремасс в качестве типа для производства выбрал мотоцикл с 2-х тактным мотором ДКВ 300 кб с цепной передачей. УММ в своем протоколе заседания … отказалось признать этот тип мотоцикла пригодным для РККА без соответствующих испытаний. Вместе с тем УММ считает, что почин Тремаса в деле организации производства мотоциклов заслуживает определенной поддержки, независимо от общих решений ВСНХ о месте и объеме мотоциклостроения, тем более производство двухтактных мотоциклов, намеченное Тремассом будет являться только частью общего плана развертывания мотоциклостроения в Союзе, для которого намечаются мотоциклы с 4-х тактным мотором различного литража. Мотоцикл с 2-тактным мотором с достаточно низкой продажной ценой будет иметь распространение в СССР для личных нужд и сыграет большую роль в деле подготовки кадров. Однако УММ считает, что мотоцикл с 2-х тактным мотором, не решая вопроса о типе мотоцикла для армии, все же должен быть выбран с учетом возможности использования его в РККА. Имеющиеся в распоряжении УММ данные показывают, что намеченный Тремасом к производству тип мотоцикла ДКВ снят с производства в Германии. Кроме того, имеется ряд других двухтактных мотоциклов, в частности Шток, представляющий интерес своей карданной передачей. Тремасс направил УММ один мотоцикл ДКВ 300 кб, который проходит лабораторные и полевые испытания. Вместе с этим УММ считает, что это не решает вопроса о типе двухтактного мотоцикла, т. к. с точки зрения пригодности для РККА должно быть испытано возможно большее количество 2-х тактных мотоциклов. Исходя из этого УММ просит МПУ ВСНХ СССР указаний Тремассу и соответствующих ассигнований ему за выписки двухтактных мотоциклов и в первую очередь 2–3 мотоциклов Шток, и передаче по одному экземпляру УММ для сравнительных испытаний с ДКВ». Позднее военные, и не без оснований, неоднократно выступали с требованиями обеспечить армию надежным мощным мотоциклом, но удовлетворить их требования удалось далеко не сразу. Хотя мотоцикл «Советский Декаве» был малопригоден для военной службы и не считался современным к моменту запуска в производство, он стал основным для народного хозяйства и армии на последующие примерно десять лет (19776).</w:t>
      </w:r>
    </w:p>
    <w:p w14:paraId="34E71396" w14:textId="77777777" w:rsidR="001B383A" w:rsidRPr="00507A31" w:rsidRDefault="001B383A" w:rsidP="00507A31">
      <w:pPr>
        <w:jc w:val="both"/>
        <w:rPr>
          <w:color w:val="000000" w:themeColor="text1"/>
          <w:sz w:val="16"/>
          <w:szCs w:val="16"/>
        </w:rPr>
      </w:pPr>
    </w:p>
    <w:p w14:paraId="1FE73F88" w14:textId="77777777" w:rsidR="001B383A" w:rsidRPr="00507A31" w:rsidRDefault="001B383A"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057CF650" w14:textId="77777777" w:rsidR="001B383A" w:rsidRPr="00507A31" w:rsidRDefault="001B383A" w:rsidP="00507A31">
      <w:pPr>
        <w:autoSpaceDE w:val="0"/>
        <w:autoSpaceDN w:val="0"/>
        <w:adjustRightInd w:val="0"/>
        <w:jc w:val="both"/>
        <w:rPr>
          <w:iCs/>
          <w:color w:val="000000" w:themeColor="text1"/>
          <w:sz w:val="16"/>
          <w:szCs w:val="16"/>
        </w:rPr>
      </w:pPr>
    </w:p>
    <w:p w14:paraId="26020D7E" w14:textId="77777777" w:rsidR="001B383A" w:rsidRPr="00507A31" w:rsidRDefault="001B383A"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lastRenderedPageBreak/>
        <w:t>18 мая 1930 командир звена Алексеев на И-4 проводил учебный бой с парой истребителей И-2бис. Один из последних при маневрировании столкнулся с машиной Алексеева. Цельнометаллический самолет получил повреждения, но успешно приземлился, а у И-2бис оказалась отбита правая полукоробка крыльев, и он перешел в беспорядочное падение. Однако летчик сумел выпрыгнуть с парашютом (19100).</w:t>
      </w:r>
    </w:p>
    <w:p w14:paraId="37CC579E" w14:textId="77777777" w:rsidR="001B383A" w:rsidRPr="00507A31" w:rsidRDefault="001B383A" w:rsidP="00507A31">
      <w:pPr>
        <w:pStyle w:val="a8"/>
        <w:jc w:val="both"/>
        <w:rPr>
          <w:rFonts w:ascii="Times New Roman" w:hAnsi="Times New Roman" w:cs="Times New Roman"/>
          <w:color w:val="000000" w:themeColor="text1"/>
        </w:rPr>
      </w:pPr>
    </w:p>
    <w:p w14:paraId="354A0EC2" w14:textId="77777777" w:rsidR="001B383A" w:rsidRPr="00507A31" w:rsidRDefault="001B383A" w:rsidP="00507A31">
      <w:pPr>
        <w:jc w:val="both"/>
        <w:rPr>
          <w:color w:val="000000" w:themeColor="text1"/>
          <w:sz w:val="16"/>
          <w:szCs w:val="16"/>
        </w:rPr>
      </w:pPr>
      <w:r w:rsidRPr="00507A31">
        <w:rPr>
          <w:color w:val="000000" w:themeColor="text1"/>
          <w:sz w:val="16"/>
          <w:szCs w:val="16"/>
        </w:rPr>
        <w:t>18 мая 1930 г. Председатель РВС СССР К.Е. Ворошилов на Справке Начальника УСУ Управления ВВС РККА Ягушевского поместил резолюцию: «Т. Баранову. Показатели комплектования летных школ внушают тревогу». На эту резолюцию П.И. Баранов ответил докладом с детальным обоснованием состояния дел с подготовкой кадров в ВВС РККА. 10 июня 1930 г. доклад П.И. Баранова был направлен в РВС СССР, в котором напоминалось, что в 1927 г. было выпущено 832, в 1928 г. – 1320 (по другим данным – 1218), в 1929 г. – 1410 и в 1930 г. – 1695 специалистов. П.И. Барановым были предложены мероприятия для значительного увеличения числа выпускников имевшейся школьной сетью и для создания новых авиационных вузов (19566).</w:t>
      </w:r>
    </w:p>
    <w:p w14:paraId="7524F174" w14:textId="77777777" w:rsidR="001B383A" w:rsidRPr="00507A31" w:rsidRDefault="001B383A" w:rsidP="00507A31">
      <w:pPr>
        <w:jc w:val="both"/>
        <w:rPr>
          <w:color w:val="000000" w:themeColor="text1"/>
          <w:sz w:val="16"/>
          <w:szCs w:val="16"/>
        </w:rPr>
      </w:pPr>
    </w:p>
    <w:p w14:paraId="254FEC3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6251A27" w14:textId="77777777" w:rsidR="00537E5F" w:rsidRPr="00507A31" w:rsidRDefault="00537E5F" w:rsidP="00507A31">
      <w:pPr>
        <w:autoSpaceDE w:val="0"/>
        <w:autoSpaceDN w:val="0"/>
        <w:adjustRightInd w:val="0"/>
        <w:jc w:val="both"/>
        <w:rPr>
          <w:iCs/>
          <w:color w:val="000000" w:themeColor="text1"/>
          <w:sz w:val="16"/>
          <w:szCs w:val="16"/>
        </w:rPr>
      </w:pPr>
    </w:p>
    <w:p w14:paraId="5868F1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мая 1930 Алтайский край. "Бабий бунт" в с.Старо-Белокуриха против выселения кулаков. Около 300 женщин под руководством М.Суриковой и Е.Сальниковой, собравшись у сельсовета, избили члена сельхозартели "1 Мая" И.Жукова и председателя коммуны "Пролетарий" П.Шмарова, выкрикивая: "Мы вам кулаков не отдадим! Если будете их выселять, то выселяйте и нас с ними!... По колено в крови будем, а кулаков не отдадим!" (10687).</w:t>
      </w:r>
    </w:p>
    <w:p w14:paraId="4D02E9B1" w14:textId="77777777" w:rsidR="00537E5F" w:rsidRPr="00507A31" w:rsidRDefault="00537E5F" w:rsidP="00507A31">
      <w:pPr>
        <w:autoSpaceDE w:val="0"/>
        <w:autoSpaceDN w:val="0"/>
        <w:adjustRightInd w:val="0"/>
        <w:jc w:val="both"/>
        <w:rPr>
          <w:color w:val="000000" w:themeColor="text1"/>
          <w:sz w:val="16"/>
          <w:szCs w:val="16"/>
        </w:rPr>
      </w:pPr>
    </w:p>
    <w:p w14:paraId="03CC1840" w14:textId="77777777" w:rsidR="0086787E" w:rsidRPr="00507A31" w:rsidRDefault="0086787E" w:rsidP="00507A31">
      <w:pPr>
        <w:jc w:val="both"/>
        <w:rPr>
          <w:color w:val="000000" w:themeColor="text1"/>
          <w:sz w:val="16"/>
          <w:szCs w:val="16"/>
        </w:rPr>
      </w:pPr>
      <w:r w:rsidRPr="00507A31">
        <w:rPr>
          <w:rStyle w:val="a7"/>
          <w:b w:val="0"/>
          <w:color w:val="000000" w:themeColor="text1"/>
          <w:sz w:val="16"/>
          <w:szCs w:val="16"/>
        </w:rPr>
        <w:t xml:space="preserve">18 мая 1930 </w:t>
      </w:r>
      <w:r w:rsidRPr="00507A31">
        <w:rPr>
          <w:color w:val="000000" w:themeColor="text1"/>
          <w:sz w:val="16"/>
          <w:szCs w:val="16"/>
        </w:rPr>
        <w:t>СНК принял постановление «Об участии Государственного банка СССР в рассмотрении и утверждении балансов и в распределении прибылей» (12265).</w:t>
      </w:r>
    </w:p>
    <w:p w14:paraId="47CB06C6" w14:textId="77777777" w:rsidR="0086787E" w:rsidRPr="00507A31" w:rsidRDefault="0086787E" w:rsidP="00507A31">
      <w:pPr>
        <w:jc w:val="both"/>
        <w:rPr>
          <w:color w:val="000000" w:themeColor="text1"/>
          <w:sz w:val="16"/>
          <w:szCs w:val="16"/>
        </w:rPr>
      </w:pPr>
      <w:r w:rsidRPr="00507A31">
        <w:rPr>
          <w:color w:val="000000" w:themeColor="text1"/>
          <w:sz w:val="16"/>
          <w:szCs w:val="16"/>
        </w:rPr>
        <w:t> </w:t>
      </w:r>
    </w:p>
    <w:p w14:paraId="2D3FF9B0" w14:textId="77777777" w:rsidR="008F0891" w:rsidRPr="00507A31" w:rsidRDefault="008F0891"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A5A9DB2" w14:textId="77777777" w:rsidR="008F0891" w:rsidRPr="00507A31" w:rsidRDefault="008F0891" w:rsidP="00507A31">
      <w:pPr>
        <w:autoSpaceDE w:val="0"/>
        <w:autoSpaceDN w:val="0"/>
        <w:adjustRightInd w:val="0"/>
        <w:jc w:val="both"/>
        <w:rPr>
          <w:iCs/>
          <w:color w:val="000000" w:themeColor="text1"/>
          <w:sz w:val="16"/>
          <w:szCs w:val="16"/>
        </w:rPr>
      </w:pPr>
    </w:p>
    <w:p w14:paraId="7DF5AF86" w14:textId="77777777" w:rsidR="008F0891" w:rsidRPr="00507A31" w:rsidRDefault="008F0891" w:rsidP="00507A31">
      <w:pPr>
        <w:jc w:val="both"/>
        <w:rPr>
          <w:color w:val="0070C0"/>
          <w:sz w:val="16"/>
          <w:szCs w:val="16"/>
        </w:rPr>
      </w:pPr>
      <w:r w:rsidRPr="00507A31">
        <w:rPr>
          <w:color w:val="0070C0"/>
          <w:sz w:val="16"/>
          <w:szCs w:val="16"/>
        </w:rPr>
        <w:t>18 мая 1930 немецкий дирижабль Graf Zeppelin покидает Фридрихсхафен, Германия, в первый рейс дирижабля через Южную Атлантику в Рио-де-Жанейро, Бразилия. Это пробный полет для проверки возможности регулярного воздушного сообщения между Германией и Бразилией (20805).</w:t>
      </w:r>
    </w:p>
    <w:p w14:paraId="555B9A18" w14:textId="77777777" w:rsidR="008F0891" w:rsidRPr="00507A31" w:rsidRDefault="008F0891" w:rsidP="00507A31">
      <w:pPr>
        <w:jc w:val="both"/>
        <w:rPr>
          <w:color w:val="0070C0"/>
          <w:sz w:val="16"/>
          <w:szCs w:val="16"/>
        </w:rPr>
      </w:pPr>
    </w:p>
    <w:p w14:paraId="52CFA44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2DD5903" w14:textId="77777777" w:rsidR="00537E5F" w:rsidRPr="00507A31" w:rsidRDefault="00537E5F" w:rsidP="00507A31">
      <w:pPr>
        <w:autoSpaceDE w:val="0"/>
        <w:autoSpaceDN w:val="0"/>
        <w:adjustRightInd w:val="0"/>
        <w:jc w:val="both"/>
        <w:rPr>
          <w:iCs/>
          <w:color w:val="000000" w:themeColor="text1"/>
          <w:sz w:val="16"/>
          <w:szCs w:val="16"/>
        </w:rPr>
      </w:pPr>
    </w:p>
    <w:p w14:paraId="00AC843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19 мая 1930 года летчики Ширинкин и Бухгольц произвели полет на штопор на самолете И-6 с ЮПVI и ЮПVII (6925).</w:t>
      </w:r>
    </w:p>
    <w:p w14:paraId="7557CC7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44C47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 мая 1930 Начальник ВВС РККА П.И.Б. писал письмо № 122сс/НТК Заместителю Председателя РВС СССР тов. Уншликт, Копии: Председателю ВСНХ -. т. Куйбыше</w:t>
      </w:r>
      <w:r w:rsidRPr="00507A31">
        <w:rPr>
          <w:color w:val="000000" w:themeColor="text1"/>
          <w:sz w:val="16"/>
          <w:szCs w:val="16"/>
        </w:rPr>
        <w:softHyphen/>
        <w:t>ву, НК РКИ - т. Орджоникидзе.</w:t>
      </w:r>
    </w:p>
    <w:p w14:paraId="3D5233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Постановлением РЗ СТО от 30/1У-30 г. утвержден план опытного строительства воздушного Флота на 1930-33 год.</w:t>
      </w:r>
    </w:p>
    <w:p w14:paraId="159186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 исполнение этого плана со стороны УВВС были свое</w:t>
      </w:r>
      <w:r w:rsidRPr="00507A31">
        <w:rPr>
          <w:color w:val="000000" w:themeColor="text1"/>
          <w:sz w:val="16"/>
          <w:szCs w:val="16"/>
        </w:rPr>
        <w:softHyphen/>
        <w:t>временноо разработаны и переданы исполнителям /ГВАО, ЦАГИ, НАМИ,ТОМП, Остехбюро и др./ необходимые технические требо</w:t>
      </w:r>
      <w:r w:rsidRPr="00507A31">
        <w:rPr>
          <w:color w:val="000000" w:themeColor="text1"/>
          <w:sz w:val="16"/>
          <w:szCs w:val="16"/>
        </w:rPr>
        <w:softHyphen/>
        <w:t>вания для проектирования и постройки образцов.</w:t>
      </w:r>
    </w:p>
    <w:p w14:paraId="0AD3D0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отношении исполнения основной части плана - построй</w:t>
      </w:r>
      <w:r w:rsidRPr="00507A31">
        <w:rPr>
          <w:color w:val="000000" w:themeColor="text1"/>
          <w:sz w:val="16"/>
          <w:szCs w:val="16"/>
        </w:rPr>
        <w:softHyphen/>
        <w:t>ки опытных самолетов и моторов, пригодных для снабжения воздушного Флота, - со стороны УВВС в середине мая с/г. про</w:t>
      </w:r>
      <w:r w:rsidRPr="00507A31">
        <w:rPr>
          <w:color w:val="000000" w:themeColor="text1"/>
          <w:sz w:val="16"/>
          <w:szCs w:val="16"/>
        </w:rPr>
        <w:softHyphen/>
        <w:t>изведена поверка состояния работ по этим объектам и меро</w:t>
      </w:r>
      <w:r w:rsidRPr="00507A31">
        <w:rPr>
          <w:color w:val="000000" w:themeColor="text1"/>
          <w:sz w:val="16"/>
          <w:szCs w:val="16"/>
        </w:rPr>
        <w:softHyphen/>
        <w:t>приятий, принимаемых исполнителями /ГВАО, ЦАГИ, НАМИ/ для выполнения обязательств, возложенных на них постановлением РЗ СТО от 30/1У-1930 г.</w:t>
      </w:r>
    </w:p>
    <w:p w14:paraId="7AF635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Эта почерка выяснила нижеследующее:</w:t>
      </w:r>
    </w:p>
    <w:p w14:paraId="527FB5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Ни одна из упомянутых выше организаций не предпо</w:t>
      </w:r>
      <w:r w:rsidRPr="00507A31">
        <w:rPr>
          <w:color w:val="000000" w:themeColor="text1"/>
          <w:sz w:val="16"/>
          <w:szCs w:val="16"/>
        </w:rPr>
        <w:softHyphen/>
        <w:t>лагает представить в указанные РЗ СТО сроки всех опытных образцов, исполнение коих возложено на данную организацию.</w:t>
      </w:r>
    </w:p>
    <w:p w14:paraId="086B07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Сроки представления опывных образцов по планам, разработанным для себя укащанными выше организациями, ото</w:t>
      </w:r>
      <w:r w:rsidRPr="00507A31">
        <w:rPr>
          <w:color w:val="000000" w:themeColor="text1"/>
          <w:sz w:val="16"/>
          <w:szCs w:val="16"/>
        </w:rPr>
        <w:softHyphen/>
        <w:t>двигаются, против сроков установленных постановлением РЗ СТО до 14-15 месяцев для больших самолетов.</w:t>
      </w:r>
    </w:p>
    <w:p w14:paraId="0D1025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Некоторые об”екты плана РЗ СТО, как например, мощ</w:t>
      </w:r>
      <w:r w:rsidRPr="00507A31">
        <w:rPr>
          <w:color w:val="000000" w:themeColor="text1"/>
          <w:sz w:val="16"/>
          <w:szCs w:val="16"/>
        </w:rPr>
        <w:softHyphen/>
        <w:t>ный мотор М-35 в 1250/1500 л.с. совершенно не предполагавтся выполняться исполнителем /ГВАО/.</w:t>
      </w:r>
    </w:p>
    <w:p w14:paraId="3F8C7D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Не все образцы плана РЗ СТО будут отвечать каче</w:t>
      </w:r>
      <w:r w:rsidRPr="00507A31">
        <w:rPr>
          <w:color w:val="000000" w:themeColor="text1"/>
          <w:sz w:val="16"/>
          <w:szCs w:val="16"/>
        </w:rPr>
        <w:softHyphen/>
        <w:t>ствам, требуемым планом /снижение максимальной мощности и увеличение веса моторов М-32 и М4-38 - ГВАО, уменьшение грузоподъемности самолета ТБ-4 - ЦАГИ/.</w:t>
      </w:r>
    </w:p>
    <w:p w14:paraId="0BC3B1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До сих пор совершенно не разработаны мероприятия, необходимые для обеспечения выполнения плана РЗ СТО, а лишь частично и неполно проработаны мероприятия для выполнения плана в сроки, намечаемые самими испонителями.</w:t>
      </w:r>
    </w:p>
    <w:p w14:paraId="6D6AA4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Ни одна из обследованных организаций, испоняющих план РЗ СТО, не поставила перед Правительством вопрос о со</w:t>
      </w:r>
      <w:r w:rsidRPr="00507A31">
        <w:rPr>
          <w:color w:val="000000" w:themeColor="text1"/>
          <w:sz w:val="16"/>
          <w:szCs w:val="16"/>
        </w:rPr>
        <w:softHyphen/>
        <w:t>стояние своих работ по опытному строительству и своих пред</w:t>
      </w:r>
      <w:r w:rsidRPr="00507A31">
        <w:rPr>
          <w:color w:val="000000" w:themeColor="text1"/>
          <w:sz w:val="16"/>
          <w:szCs w:val="16"/>
        </w:rPr>
        <w:softHyphen/>
        <w:t>положениях, изменяющих решения РЗ СТО.</w:t>
      </w:r>
    </w:p>
    <w:p w14:paraId="2F26FF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Настоящее положение с; выполнением плана опытного строи-телвства, утвержденного РЗ СЮ, никоим образом не может удо«. влетворить УВВС, т.к» не дает никакой уверенности в своевре</w:t>
      </w:r>
      <w:r w:rsidRPr="00507A31">
        <w:rPr>
          <w:color w:val="000000" w:themeColor="text1"/>
          <w:sz w:val="16"/>
          <w:szCs w:val="16"/>
        </w:rPr>
        <w:softHyphen/>
        <w:t>менном получении от производственных организаций нужные ти</w:t>
      </w:r>
      <w:r w:rsidRPr="00507A31">
        <w:rPr>
          <w:color w:val="000000" w:themeColor="text1"/>
          <w:sz w:val="16"/>
          <w:szCs w:val="16"/>
        </w:rPr>
        <w:softHyphen/>
        <w:t>пов самолетов и моторов.</w:t>
      </w:r>
    </w:p>
    <w:p w14:paraId="062660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Докладывая об вышеизложенном, считаю совершенно необ</w:t>
      </w:r>
      <w:r w:rsidRPr="00507A31">
        <w:rPr>
          <w:color w:val="000000" w:themeColor="text1"/>
          <w:sz w:val="16"/>
          <w:szCs w:val="16"/>
        </w:rPr>
        <w:softHyphen/>
        <w:t>ходимым довести до сведений правительственных организаций вопрос о состоянии выполнения постановления РЗ &amp;ТО по опыт</w:t>
      </w:r>
      <w:r w:rsidRPr="00507A31">
        <w:rPr>
          <w:color w:val="000000" w:themeColor="text1"/>
          <w:sz w:val="16"/>
          <w:szCs w:val="16"/>
        </w:rPr>
        <w:softHyphen/>
        <w:t>ному строительству Воздушного Флота, для принятия мер обе</w:t>
      </w:r>
      <w:r w:rsidRPr="00507A31">
        <w:rPr>
          <w:color w:val="000000" w:themeColor="text1"/>
          <w:sz w:val="16"/>
          <w:szCs w:val="16"/>
        </w:rPr>
        <w:softHyphen/>
        <w:t>спечивающих выполнение плана.</w:t>
      </w:r>
    </w:p>
    <w:p w14:paraId="093E88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Сведения о сроках выпуска образцов установленных планом РЗ СТО и намечаемых исполнителями - прилагаются.</w:t>
      </w:r>
    </w:p>
    <w:p w14:paraId="3F09F9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РЕЗОЛЮЦИЯ: "Написать в п/б" /политбюро/</w:t>
      </w:r>
    </w:p>
    <w:p w14:paraId="7CC76A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ЦАСА, ф. 4, оп. 2, д. 1227, л. 64 (1026,100).</w:t>
      </w:r>
    </w:p>
    <w:p w14:paraId="093B343C" w14:textId="77777777" w:rsidR="00537E5F" w:rsidRPr="00507A31" w:rsidRDefault="00537E5F" w:rsidP="00507A31">
      <w:pPr>
        <w:autoSpaceDE w:val="0"/>
        <w:autoSpaceDN w:val="0"/>
        <w:adjustRightInd w:val="0"/>
        <w:jc w:val="both"/>
        <w:rPr>
          <w:iCs/>
          <w:color w:val="000000" w:themeColor="text1"/>
          <w:sz w:val="16"/>
          <w:szCs w:val="16"/>
        </w:rPr>
      </w:pPr>
    </w:p>
    <w:p w14:paraId="3F4FA35C" w14:textId="77777777" w:rsidR="00537E5F" w:rsidRPr="00507A31" w:rsidRDefault="00537E5F" w:rsidP="00507A31">
      <w:pPr>
        <w:autoSpaceDE w:val="0"/>
        <w:autoSpaceDN w:val="0"/>
        <w:adjustRightInd w:val="0"/>
        <w:jc w:val="both"/>
        <w:rPr>
          <w:i/>
          <w:iCs/>
          <w:color w:val="000000" w:themeColor="text1"/>
          <w:sz w:val="16"/>
          <w:szCs w:val="16"/>
        </w:rPr>
      </w:pPr>
      <w:r w:rsidRPr="00507A31">
        <w:rPr>
          <w:i/>
          <w:iCs/>
          <w:color w:val="000000" w:themeColor="text1"/>
          <w:sz w:val="16"/>
          <w:szCs w:val="16"/>
        </w:rPr>
        <w:t>Другие оборонные отр</w:t>
      </w:r>
      <w:r w:rsidR="004A3420" w:rsidRPr="00507A31">
        <w:rPr>
          <w:i/>
          <w:iCs/>
          <w:color w:val="000000" w:themeColor="text1"/>
          <w:sz w:val="16"/>
          <w:szCs w:val="16"/>
        </w:rPr>
        <w:t>а</w:t>
      </w:r>
      <w:r w:rsidRPr="00507A31">
        <w:rPr>
          <w:i/>
          <w:iCs/>
          <w:color w:val="000000" w:themeColor="text1"/>
          <w:sz w:val="16"/>
          <w:szCs w:val="16"/>
        </w:rPr>
        <w:t>сли:</w:t>
      </w:r>
    </w:p>
    <w:p w14:paraId="6D3AD7C9" w14:textId="77777777" w:rsidR="00537E5F" w:rsidRPr="00507A31" w:rsidRDefault="00537E5F" w:rsidP="00507A31">
      <w:pPr>
        <w:autoSpaceDE w:val="0"/>
        <w:autoSpaceDN w:val="0"/>
        <w:adjustRightInd w:val="0"/>
        <w:jc w:val="both"/>
        <w:rPr>
          <w:i/>
          <w:iCs/>
          <w:color w:val="000000" w:themeColor="text1"/>
          <w:sz w:val="16"/>
          <w:szCs w:val="16"/>
        </w:rPr>
      </w:pPr>
    </w:p>
    <w:p w14:paraId="057532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 мая 1930 г. Постановлением Президиума Совета Народного Хозяй</w:t>
      </w:r>
      <w:r w:rsidRPr="00507A31">
        <w:rPr>
          <w:color w:val="000000" w:themeColor="text1"/>
          <w:sz w:val="16"/>
          <w:szCs w:val="16"/>
        </w:rPr>
        <w:softHyphen/>
        <w:t>ства (ВСНХ) СССР при Мобилизационно-плановом управлении (МПУ) было создано постоянное ин</w:t>
      </w:r>
      <w:r w:rsidRPr="00507A31">
        <w:rPr>
          <w:color w:val="000000" w:themeColor="text1"/>
          <w:sz w:val="16"/>
          <w:szCs w:val="16"/>
        </w:rPr>
        <w:softHyphen/>
        <w:t>женерно-конструкторское бюро по танкам под руководст</w:t>
      </w:r>
      <w:r w:rsidRPr="00507A31">
        <w:rPr>
          <w:color w:val="000000" w:themeColor="text1"/>
          <w:sz w:val="16"/>
          <w:szCs w:val="16"/>
        </w:rPr>
        <w:softHyphen/>
        <w:t>вом помощника начальника Орудобъединения А. Адамса. Основой танкового бюро стали группа конструкторов ГКБ ОАТ и конструкторская группа завода «Большевик», имевшие опыт разработки и организации серийного про</w:t>
      </w:r>
      <w:r w:rsidRPr="00507A31">
        <w:rPr>
          <w:color w:val="000000" w:themeColor="text1"/>
          <w:sz w:val="16"/>
          <w:szCs w:val="16"/>
        </w:rPr>
        <w:softHyphen/>
        <w:t>изводства танка Т-18. Ожидалось, что уже в 1930 г. новое танковое бюро по</w:t>
      </w:r>
      <w:r w:rsidRPr="00507A31">
        <w:rPr>
          <w:color w:val="000000" w:themeColor="text1"/>
          <w:sz w:val="16"/>
          <w:szCs w:val="16"/>
        </w:rPr>
        <w:softHyphen/>
        <w:t>пробует свои силы по доводке закупленных за рубежом про</w:t>
      </w:r>
      <w:r w:rsidRPr="00507A31">
        <w:rPr>
          <w:color w:val="000000" w:themeColor="text1"/>
          <w:sz w:val="16"/>
          <w:szCs w:val="16"/>
        </w:rPr>
        <w:softHyphen/>
        <w:t>ектов передовых танков, но случилось все несколько иначе (10733,121).</w:t>
      </w:r>
    </w:p>
    <w:p w14:paraId="7C16BC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F3D60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мая 1930 г. пост. Президиума ВСНХ было создано Инженерно-конструкторское бюро по танкам при Мобилизационно-плановом управлении (МПУ) Основу коллектива бюро составили конструкторские группы КБ ОАТ и завода «Большевик». Начальник (05.1930-31 г.-)- А. Адаме (11982).</w:t>
      </w:r>
    </w:p>
    <w:p w14:paraId="409C1B1C" w14:textId="77777777" w:rsidR="00537E5F" w:rsidRPr="00507A31" w:rsidRDefault="00537E5F" w:rsidP="00507A31">
      <w:pPr>
        <w:autoSpaceDE w:val="0"/>
        <w:autoSpaceDN w:val="0"/>
        <w:adjustRightInd w:val="0"/>
        <w:jc w:val="both"/>
        <w:rPr>
          <w:color w:val="000000" w:themeColor="text1"/>
          <w:sz w:val="16"/>
          <w:szCs w:val="16"/>
        </w:rPr>
      </w:pPr>
    </w:p>
    <w:p w14:paraId="3FC8E953" w14:textId="77777777" w:rsidR="001B383A" w:rsidRPr="00507A31" w:rsidRDefault="001B383A" w:rsidP="00507A31">
      <w:pPr>
        <w:jc w:val="both"/>
        <w:rPr>
          <w:color w:val="000000" w:themeColor="text1"/>
          <w:sz w:val="16"/>
          <w:szCs w:val="16"/>
        </w:rPr>
      </w:pPr>
      <w:r w:rsidRPr="00507A31">
        <w:rPr>
          <w:color w:val="000000" w:themeColor="text1"/>
          <w:sz w:val="16"/>
          <w:szCs w:val="16"/>
        </w:rPr>
        <w:t>19 мая 1930</w:t>
      </w:r>
    </w:p>
    <w:p w14:paraId="19ABDB10" w14:textId="77777777" w:rsidR="001B383A" w:rsidRPr="00507A31" w:rsidRDefault="001B383A" w:rsidP="00507A31">
      <w:pPr>
        <w:jc w:val="both"/>
        <w:rPr>
          <w:color w:val="000000" w:themeColor="text1"/>
          <w:sz w:val="16"/>
          <w:szCs w:val="16"/>
        </w:rPr>
      </w:pPr>
      <w:r w:rsidRPr="00507A31">
        <w:rPr>
          <w:color w:val="000000" w:themeColor="text1"/>
          <w:sz w:val="16"/>
          <w:szCs w:val="16"/>
        </w:rPr>
        <w:t>Показание Стыриковича Владислава Львовича. От 19-го мая 1930 года</w:t>
      </w:r>
    </w:p>
    <w:p w14:paraId="70FFBA58" w14:textId="77777777" w:rsidR="001B383A" w:rsidRPr="00507A31" w:rsidRDefault="001B383A" w:rsidP="00507A31">
      <w:pPr>
        <w:jc w:val="both"/>
        <w:rPr>
          <w:color w:val="000000" w:themeColor="text1"/>
          <w:sz w:val="16"/>
          <w:szCs w:val="16"/>
        </w:rPr>
      </w:pPr>
      <w:r w:rsidRPr="00507A31">
        <w:rPr>
          <w:color w:val="000000" w:themeColor="text1"/>
          <w:sz w:val="16"/>
          <w:szCs w:val="16"/>
        </w:rPr>
        <w:t>Источник: </w:t>
      </w:r>
    </w:p>
    <w:p w14:paraId="1D9CB164" w14:textId="77777777" w:rsidR="001B383A" w:rsidRPr="00507A31" w:rsidRDefault="001B383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F4E00B4" w14:textId="77777777" w:rsidR="001B383A" w:rsidRPr="00507A31" w:rsidRDefault="001B383A" w:rsidP="00507A31">
      <w:pPr>
        <w:jc w:val="both"/>
        <w:rPr>
          <w:color w:val="000000" w:themeColor="text1"/>
          <w:sz w:val="16"/>
          <w:szCs w:val="16"/>
        </w:rPr>
      </w:pPr>
      <w:r w:rsidRPr="00507A31">
        <w:rPr>
          <w:color w:val="000000" w:themeColor="text1"/>
          <w:sz w:val="16"/>
          <w:szCs w:val="16"/>
        </w:rPr>
        <w:t>От 19-го мая 1930 года.</w:t>
      </w:r>
    </w:p>
    <w:p w14:paraId="0E7DB5C9" w14:textId="77777777" w:rsidR="001B383A" w:rsidRPr="00507A31" w:rsidRDefault="001B383A" w:rsidP="00507A31">
      <w:pPr>
        <w:jc w:val="both"/>
        <w:rPr>
          <w:color w:val="000000" w:themeColor="text1"/>
          <w:sz w:val="16"/>
          <w:szCs w:val="16"/>
        </w:rPr>
      </w:pPr>
      <w:r w:rsidRPr="00507A31">
        <w:rPr>
          <w:color w:val="000000" w:themeColor="text1"/>
          <w:sz w:val="16"/>
          <w:szCs w:val="16"/>
        </w:rPr>
        <w:t xml:space="preserve">Я родился в 1878 г. в гор. Курске в семье землемера. Нас было 9 человек детей, из которых 5 умерло детьми, а один студентом в 1906 г. от скоротечной чахотки, простудившись в Москве на баррикадах во время восстания 1905 г., оставалось трое: я, мой брат Валериан — доктор в Ленинграде, и сестра Антонина — учительница в Курском округе. С самого раннего детства и юности я отличался честолюбием и желанием играть роль в обществе. В реальном уч[или]ще, кое я окончил в Курске, будучи все время первым учеником, я развил себе левые взгляды, к[отор]ые были развиты во мне моим товарищем, впоследствии большевиком ДУБРОВИНСКИМ. Поступив в Технологический Институт в тогдашнем Петербурге в 1896 г. окончил его в 1901 г. одним из первых. В бытность в Ин-те примыкал к левым студенческим кружкам марксистского направления, но активного участия в революционной деятельности студенчества не принимал, боясь напортить свое будущее положение в обществе, к[отор]ое стремился всячески создать. Не имея никаких связей и средств (в Ин-те все время получал стипендию) должен был пробивать путь в жизни собственными силами, начав службу помощником сборного мастера в мастерских жел. дор. в Ростове-н/Дону, потом, перейдя в Харьков пом. Н[ачальни]ка Паровозного отдела на Харьковском Паровозостроительном заводе, затем — пом. Н[ачальни]ка Снарядного цеха на Брянском заводе, в Бежице и, наконец, в 1909 г. в Ленинград в обществе б. Лесснер. Здесь один год был при Правлении, а затем ПЛОТНИКОВЫМ был назначен в 1910 г. директором завода Новый Лесснер, к[отор]ый тогда был филиалом Старого Лесснера и был маленьким заводом (250-300 рабочих). В 1911 г. завод начал строиться для большой судостроительной программы и был закончен постройкой в 1914 г. к моменту начала войны. Завод был построен всецело мною. Здесь до известной степени, т. к. ПЛОТНИКОВ в общем держал в черном теле своих сотрудников, мои мечты занять определенное положение в обществе осуществились и вместе с тем я имел в деле большую самостоятельность, что </w:t>
      </w:r>
      <w:r w:rsidRPr="00507A31">
        <w:rPr>
          <w:color w:val="000000" w:themeColor="text1"/>
          <w:sz w:val="16"/>
          <w:szCs w:val="16"/>
        </w:rPr>
        <w:lastRenderedPageBreak/>
        <w:t>вносило мне много удовлетворения. С начала войны завод, благодаря, главным образом, моим стараниям стал загружаться заказами на снаряды, принял большие размеры, достигнув количества рабочих в [19]16 году до 8000 чел. В 1915 году вошел в Правление Общ[ества] Лесснер его членом. В [19]15 и [19]16 г.г. по поручению ПЛОТНИКОВА я был учредителем и членом двух обществ: Пермского механического завода и Южно-русских металлургических заводов. Заработок мой в [19]15 и [19]16 г.г. был весьма значителен. Его я вкладывал в акции, к[ако]вые имел Феникса (главным образом), Лесснера, Саломона, на сумму около 100.000 рублей, причем эти акции приобретались мною при выпуске их по номинальной цене. Таким образом, к 1917 г. мои юношеские стремления осуществились: я занимал крупное и главное — независимое положение. Всю свою жизнь я был либеральных прогрессивных взглядов. Как поляк, хотя и выросший в России, и как человек прогрессивного толка, к русскому монархическому строю все время относился отрицательно. Но должен признать, что детальной проработки моего политического кредо у меня не было. Поэтому я ни к каким политическим партиям не примыкал.</w:t>
      </w:r>
    </w:p>
    <w:p w14:paraId="07B3A2EF" w14:textId="77777777" w:rsidR="001B383A" w:rsidRPr="00507A31" w:rsidRDefault="001B383A" w:rsidP="00507A31">
      <w:pPr>
        <w:jc w:val="both"/>
        <w:rPr>
          <w:color w:val="000000" w:themeColor="text1"/>
          <w:sz w:val="16"/>
          <w:szCs w:val="16"/>
        </w:rPr>
      </w:pPr>
      <w:r w:rsidRPr="00507A31">
        <w:rPr>
          <w:color w:val="000000" w:themeColor="text1"/>
          <w:sz w:val="16"/>
          <w:szCs w:val="16"/>
        </w:rPr>
        <w:t>Февральская революция, произведенная во время войны, могущая поэтому повлечь за собой анархию в стране, мною была встречена несочувственно. Переворот Октябрьский и провозглашение коммунизма уничтожило совершенно мое положение, мою руководящую и независимую роль в предприятии, когда я приказывал и мне должны были беспрекословно подчиняться. Это я считаю было главным стимулом моего отрицательного отношения к Сов. Власти. Вместе с тем, я не верил, что провозглашенный строй может быть долговечным и это побудило меня поддержать отношения с ПЛОТНИКОВЫМ, бежавшим заграницу. Затем к этому присоединился целый ряд тяжелых обстоятельств, которые мне пришлось пережить во время военного коммунизма: обыски, арест в [19]18 году и пр. Но, вместе с тем, привычка работать и занимать определенное положение не оставляли меня, и в [19]19 году я вошел членом Правления Среднего Машиностроения. В это время мое антисоветское настроение поддерживалось работой в Комиссии Федорова. Отношение к Соввласти было как к временному явлению, и до [19]22—23 года тянулась связь с ПЛОТНИКОВЫМ, которая, кроме того, давала мне возможность жить, не отказывая себе при тех скудных заработках, которые тогда существовали. После образования в [19]22 году трестов и оживления промышленности, работа моя несомненно стала приобретать большой технический интерес, хотя той самостоятельности, к которой я привык и которая была в существе моего характера у меня не было. Может быть, если бы не предложение ХРЕННИКОВА вступить в Московскую] организацию, я постепенно примирился бы с существующим строем. Но предложение ХРЕННИКОВА внесло целый ряд сомнений в мою душу. Он утверждал, что Сов. власть не может окрепнуть и при введении новой экон [омической] политики, что восстановление частной собственности неизбежно, что путем вредительства следует ускорить этот процесс, что лица, которые не примут сейчас участия в этой работе вредительства в будущем будут выброшены за борт и не будут играть никакой роли. Насколько я могу сейчас вспомнить последнее обстоятельство сыграло в моем решении вступить в организацию решающую роль. Не отрицаю, что надежда вернуть свое материальное положение и путем получаемой помощи улучшить и свою настоящую жизнь — имел[а] также значение. Таким образом, под таким идейным уклоном я принял участие во вредительстве, которое организованно и систематически проводилось до [19]26 года включительно. Затем, организованность эта в значительной мере ослабела, по крайней мере, я это чувствовал по Ленинграду[,] и более приняла эпизодический характер. Я перестал верить в реставрацию, стал искренно увлекаться перспективами пром[ышленного] строительства СССР, но не уходил от вредительства — больше по причинам товарищеской связи. Логично надо было заявить ГПУ о всем имевшем место, но на это не хватало мужества. Я думал, что постепенно вредительство изживет само себя, вся организация сама собой распадется и я начну спокойно работать, забыв о прошлом. Действительность разрешила этот вопрос иначе и привела меня к настоящему положению.</w:t>
      </w:r>
    </w:p>
    <w:p w14:paraId="117E662C" w14:textId="77777777" w:rsidR="001B383A" w:rsidRPr="00507A31" w:rsidRDefault="001B383A" w:rsidP="00507A31">
      <w:pPr>
        <w:jc w:val="both"/>
        <w:rPr>
          <w:color w:val="000000" w:themeColor="text1"/>
          <w:sz w:val="16"/>
          <w:szCs w:val="16"/>
        </w:rPr>
      </w:pPr>
      <w:r w:rsidRPr="00507A31">
        <w:rPr>
          <w:color w:val="000000" w:themeColor="text1"/>
          <w:sz w:val="16"/>
          <w:szCs w:val="16"/>
        </w:rPr>
        <w:t>В. СТЫРИКОВИЧ.</w:t>
      </w:r>
    </w:p>
    <w:p w14:paraId="39225411" w14:textId="77777777" w:rsidR="001B383A" w:rsidRPr="00507A31" w:rsidRDefault="001B383A" w:rsidP="00507A31">
      <w:pPr>
        <w:jc w:val="both"/>
        <w:rPr>
          <w:color w:val="000000" w:themeColor="text1"/>
          <w:sz w:val="16"/>
          <w:szCs w:val="16"/>
        </w:rPr>
      </w:pPr>
      <w:r w:rsidRPr="00507A31">
        <w:rPr>
          <w:color w:val="000000" w:themeColor="text1"/>
          <w:sz w:val="16"/>
          <w:szCs w:val="16"/>
        </w:rPr>
        <w:t>Ст. Уполномоченный Н. Семенов.</w:t>
      </w:r>
    </w:p>
    <w:p w14:paraId="74FFDED9" w14:textId="77777777" w:rsidR="001B383A" w:rsidRPr="00507A31" w:rsidRDefault="001B383A" w:rsidP="00507A31">
      <w:pPr>
        <w:jc w:val="both"/>
        <w:rPr>
          <w:color w:val="000000" w:themeColor="text1"/>
          <w:sz w:val="16"/>
          <w:szCs w:val="16"/>
        </w:rPr>
      </w:pPr>
      <w:r w:rsidRPr="00507A31">
        <w:rPr>
          <w:color w:val="000000" w:themeColor="text1"/>
          <w:sz w:val="16"/>
          <w:szCs w:val="16"/>
        </w:rPr>
        <w:t>Д. 353. Л. 77-101. Заверенные машинописные копии того времени; формулы «С подлинным верно», «Верно» и заверительные подписи-росчерки (неразборчиво) — на Л. 76, 79, 80,86, 87, 89, 90,92, 93об„ 94 об., 96, 98,99, 101. На Л. 74, 77, 80, 81, 87, 88,90,91,93,95,97,99,100 вверху справа напечатано «Копия». На Л. 74 вверху слева — штампы делопроизводства ЦК ВКП(б) с вписанными от руки данными о распечатке (35 экз., подпись-автограф Хряпкиной) и рассылке 28 мая 1930 г. протоколов допросов В. Л. Стыриковича членам и кандидатам Политбюро и членам Президиума ЦКК ВКП(б) (исходящий № 24469/с, подпись-росчерк, неразборчиво; штампы о рассылке также на Л. 77, 80, 87, 88, 90, 91, 93, 94, 95, 97, 99, 100). Показания Стыриковича были разосланы одновременно с докладной запиской Г. Г. Ягоды и Г. Е. Прокофьева «о вредительстве на заводах Ленмаштреста» от 23.05.1930 г. (см. док. № 353-10,353-12) (18376).</w:t>
      </w:r>
    </w:p>
    <w:p w14:paraId="17152066" w14:textId="77777777" w:rsidR="001B383A" w:rsidRPr="00507A31" w:rsidRDefault="001B383A" w:rsidP="00507A31">
      <w:pPr>
        <w:jc w:val="both"/>
        <w:rPr>
          <w:color w:val="000000" w:themeColor="text1"/>
          <w:sz w:val="16"/>
          <w:szCs w:val="16"/>
        </w:rPr>
      </w:pPr>
    </w:p>
    <w:p w14:paraId="20889C6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3E41F56" w14:textId="77777777" w:rsidR="00537E5F" w:rsidRPr="00507A31" w:rsidRDefault="00537E5F" w:rsidP="00507A31">
      <w:pPr>
        <w:autoSpaceDE w:val="0"/>
        <w:autoSpaceDN w:val="0"/>
        <w:adjustRightInd w:val="0"/>
        <w:jc w:val="both"/>
        <w:rPr>
          <w:iCs/>
          <w:color w:val="000000" w:themeColor="text1"/>
          <w:sz w:val="16"/>
          <w:szCs w:val="16"/>
        </w:rPr>
      </w:pPr>
    </w:p>
    <w:p w14:paraId="519307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мая 1930 Алтайский край. В с.Старо-Белокуриха продолжается "бабий бунт" против выселения кулаков. Во время выселения женщинами избиты сельсоветчики А.Томышев, С.Губин, Н.Березин, М.Унчиков. Применив оружие, Н.Березин выстрелом из берданки ранил А.Попову, после чего бунт быстро затих (10687).</w:t>
      </w:r>
    </w:p>
    <w:p w14:paraId="10A1E9DB" w14:textId="77777777" w:rsidR="00537E5F" w:rsidRPr="00507A31" w:rsidRDefault="00537E5F" w:rsidP="00507A31">
      <w:pPr>
        <w:autoSpaceDE w:val="0"/>
        <w:autoSpaceDN w:val="0"/>
        <w:adjustRightInd w:val="0"/>
        <w:jc w:val="both"/>
        <w:rPr>
          <w:color w:val="000000" w:themeColor="text1"/>
          <w:sz w:val="16"/>
          <w:szCs w:val="16"/>
        </w:rPr>
      </w:pPr>
    </w:p>
    <w:p w14:paraId="2E9522FE" w14:textId="77777777" w:rsidR="00CE1F8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A6C391A" w14:textId="77777777" w:rsidR="00CE1F8E" w:rsidRPr="00507A31" w:rsidRDefault="00CE1F8E" w:rsidP="00507A31">
      <w:pPr>
        <w:autoSpaceDE w:val="0"/>
        <w:autoSpaceDN w:val="0"/>
        <w:adjustRightInd w:val="0"/>
        <w:jc w:val="both"/>
        <w:rPr>
          <w:iCs/>
          <w:color w:val="000000" w:themeColor="text1"/>
          <w:sz w:val="16"/>
          <w:szCs w:val="16"/>
        </w:rPr>
      </w:pPr>
    </w:p>
    <w:p w14:paraId="14D75139" w14:textId="77777777" w:rsidR="00CE1F8E" w:rsidRPr="00507A31" w:rsidRDefault="00CE1F8E" w:rsidP="00507A31">
      <w:pPr>
        <w:jc w:val="both"/>
        <w:rPr>
          <w:color w:val="000000" w:themeColor="text1"/>
          <w:sz w:val="16"/>
          <w:szCs w:val="16"/>
        </w:rPr>
      </w:pPr>
      <w:r w:rsidRPr="00507A31">
        <w:rPr>
          <w:bCs/>
          <w:color w:val="000000" w:themeColor="text1"/>
          <w:sz w:val="16"/>
          <w:szCs w:val="16"/>
        </w:rPr>
        <w:t>19 мая</w:t>
      </w:r>
      <w:r w:rsidRPr="00507A31">
        <w:rPr>
          <w:color w:val="000000" w:themeColor="text1"/>
          <w:sz w:val="16"/>
          <w:szCs w:val="16"/>
        </w:rPr>
        <w:t xml:space="preserve"> в 1930 году министр финансов США Эндрю Меллон запрещает ввоз в США спичек советского производства, мотивируя свое решение тем, что советский экспорт наносит серьезный ущерб аналогичному американскому производству (14896).</w:t>
      </w:r>
    </w:p>
    <w:p w14:paraId="2353A2B8" w14:textId="77777777" w:rsidR="00CE1F8E" w:rsidRPr="00507A31" w:rsidRDefault="00CE1F8E" w:rsidP="00507A31">
      <w:pPr>
        <w:jc w:val="both"/>
        <w:rPr>
          <w:color w:val="000000" w:themeColor="text1"/>
          <w:sz w:val="16"/>
          <w:szCs w:val="16"/>
        </w:rPr>
      </w:pPr>
    </w:p>
    <w:p w14:paraId="5A962A5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DE3EA21" w14:textId="77777777" w:rsidR="00537E5F" w:rsidRPr="00507A31" w:rsidRDefault="00537E5F" w:rsidP="00507A31">
      <w:pPr>
        <w:autoSpaceDE w:val="0"/>
        <w:autoSpaceDN w:val="0"/>
        <w:adjustRightInd w:val="0"/>
        <w:jc w:val="both"/>
        <w:rPr>
          <w:iCs/>
          <w:color w:val="000000" w:themeColor="text1"/>
          <w:sz w:val="16"/>
          <w:szCs w:val="16"/>
        </w:rPr>
      </w:pPr>
    </w:p>
    <w:p w14:paraId="3B99E49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19 мая 1930 в Южной Африке белым женщинам предоставлено право голоса (4962).</w:t>
      </w:r>
    </w:p>
    <w:p w14:paraId="19E3E86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7566B1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9571E62" w14:textId="77777777" w:rsidR="00537E5F" w:rsidRPr="00507A31" w:rsidRDefault="00537E5F" w:rsidP="00507A31">
      <w:pPr>
        <w:autoSpaceDE w:val="0"/>
        <w:autoSpaceDN w:val="0"/>
        <w:adjustRightInd w:val="0"/>
        <w:jc w:val="both"/>
        <w:rPr>
          <w:iCs/>
          <w:color w:val="000000" w:themeColor="text1"/>
          <w:sz w:val="16"/>
          <w:szCs w:val="16"/>
        </w:rPr>
      </w:pPr>
    </w:p>
    <w:p w14:paraId="0E3564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мая 1930 самолет был первый раз запущен с дирижабля (2100).</w:t>
      </w:r>
    </w:p>
    <w:p w14:paraId="316EA5D4" w14:textId="77777777" w:rsidR="00537E5F" w:rsidRPr="00507A31" w:rsidRDefault="00537E5F" w:rsidP="00507A31">
      <w:pPr>
        <w:autoSpaceDE w:val="0"/>
        <w:autoSpaceDN w:val="0"/>
        <w:adjustRightInd w:val="0"/>
        <w:jc w:val="both"/>
        <w:rPr>
          <w:color w:val="000000" w:themeColor="text1"/>
          <w:sz w:val="16"/>
          <w:szCs w:val="16"/>
        </w:rPr>
      </w:pPr>
    </w:p>
    <w:p w14:paraId="7CDC90E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4AFD46C" w14:textId="77777777" w:rsidR="00537E5F" w:rsidRPr="00507A31" w:rsidRDefault="00537E5F" w:rsidP="00507A31">
      <w:pPr>
        <w:autoSpaceDE w:val="0"/>
        <w:autoSpaceDN w:val="0"/>
        <w:adjustRightInd w:val="0"/>
        <w:jc w:val="both"/>
        <w:rPr>
          <w:iCs/>
          <w:color w:val="000000" w:themeColor="text1"/>
          <w:sz w:val="16"/>
          <w:szCs w:val="16"/>
        </w:rPr>
      </w:pPr>
    </w:p>
    <w:p w14:paraId="5874F9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мая 1930 зам. Нач. моботдела УММ Лебедев составил ведомость (9089,151):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01"/>
        <w:gridCol w:w="1701"/>
        <w:gridCol w:w="1701"/>
        <w:gridCol w:w="1701"/>
        <w:gridCol w:w="1843"/>
      </w:tblGrid>
      <w:tr w:rsidR="00E371BA" w:rsidRPr="00507A31" w14:paraId="66E8C943" w14:textId="77777777">
        <w:tc>
          <w:tcPr>
            <w:tcW w:w="1809" w:type="dxa"/>
          </w:tcPr>
          <w:p w14:paraId="1A8C85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Планируемое производство</w:t>
            </w:r>
          </w:p>
        </w:tc>
        <w:tc>
          <w:tcPr>
            <w:tcW w:w="1701" w:type="dxa"/>
          </w:tcPr>
          <w:p w14:paraId="1BF2A4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1929/1930</w:t>
            </w:r>
          </w:p>
        </w:tc>
        <w:tc>
          <w:tcPr>
            <w:tcW w:w="1701" w:type="dxa"/>
          </w:tcPr>
          <w:p w14:paraId="46A39F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1930/1931</w:t>
            </w:r>
          </w:p>
        </w:tc>
        <w:tc>
          <w:tcPr>
            <w:tcW w:w="1701" w:type="dxa"/>
          </w:tcPr>
          <w:p w14:paraId="0E2886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1931/1932</w:t>
            </w:r>
          </w:p>
        </w:tc>
        <w:tc>
          <w:tcPr>
            <w:tcW w:w="1701" w:type="dxa"/>
          </w:tcPr>
          <w:p w14:paraId="43C804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1932/1933</w:t>
            </w:r>
          </w:p>
        </w:tc>
        <w:tc>
          <w:tcPr>
            <w:tcW w:w="1843" w:type="dxa"/>
          </w:tcPr>
          <w:p w14:paraId="6B5996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w:t>
            </w:r>
          </w:p>
        </w:tc>
      </w:tr>
      <w:tr w:rsidR="00E371BA" w:rsidRPr="00507A31" w14:paraId="4D16C323" w14:textId="77777777">
        <w:tc>
          <w:tcPr>
            <w:tcW w:w="1809" w:type="dxa"/>
          </w:tcPr>
          <w:p w14:paraId="0B7E0A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Малые танки</w:t>
            </w:r>
          </w:p>
        </w:tc>
        <w:tc>
          <w:tcPr>
            <w:tcW w:w="1701" w:type="dxa"/>
          </w:tcPr>
          <w:p w14:paraId="7D6F21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1701" w:type="dxa"/>
          </w:tcPr>
          <w:p w14:paraId="2B62E7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665</w:t>
            </w:r>
          </w:p>
        </w:tc>
        <w:tc>
          <w:tcPr>
            <w:tcW w:w="1701" w:type="dxa"/>
          </w:tcPr>
          <w:p w14:paraId="0C4514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800</w:t>
            </w:r>
          </w:p>
        </w:tc>
        <w:tc>
          <w:tcPr>
            <w:tcW w:w="1701" w:type="dxa"/>
          </w:tcPr>
          <w:p w14:paraId="512CF4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1170</w:t>
            </w:r>
          </w:p>
        </w:tc>
        <w:tc>
          <w:tcPr>
            <w:tcW w:w="1843" w:type="dxa"/>
          </w:tcPr>
          <w:p w14:paraId="44AA1C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2935</w:t>
            </w:r>
          </w:p>
        </w:tc>
      </w:tr>
      <w:tr w:rsidR="00E371BA" w:rsidRPr="00507A31" w14:paraId="4CEE12A3" w14:textId="77777777">
        <w:tc>
          <w:tcPr>
            <w:tcW w:w="1809" w:type="dxa"/>
          </w:tcPr>
          <w:p w14:paraId="7D48F5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Средние танки</w:t>
            </w:r>
          </w:p>
        </w:tc>
        <w:tc>
          <w:tcPr>
            <w:tcW w:w="1701" w:type="dxa"/>
          </w:tcPr>
          <w:p w14:paraId="72EFA2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w:t>
            </w:r>
          </w:p>
        </w:tc>
        <w:tc>
          <w:tcPr>
            <w:tcW w:w="1701" w:type="dxa"/>
          </w:tcPr>
          <w:p w14:paraId="6E4115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1701" w:type="dxa"/>
          </w:tcPr>
          <w:p w14:paraId="51DA08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w:t>
            </w:r>
          </w:p>
        </w:tc>
        <w:tc>
          <w:tcPr>
            <w:tcW w:w="1701" w:type="dxa"/>
          </w:tcPr>
          <w:p w14:paraId="348324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1100</w:t>
            </w:r>
          </w:p>
        </w:tc>
        <w:tc>
          <w:tcPr>
            <w:tcW w:w="1843" w:type="dxa"/>
          </w:tcPr>
          <w:p w14:paraId="262AA4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2430</w:t>
            </w:r>
          </w:p>
        </w:tc>
      </w:tr>
      <w:tr w:rsidR="00E371BA" w:rsidRPr="00507A31" w14:paraId="48DA83F0" w14:textId="77777777">
        <w:tc>
          <w:tcPr>
            <w:tcW w:w="1809" w:type="dxa"/>
          </w:tcPr>
          <w:p w14:paraId="644DC9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Тяжелые танки</w:t>
            </w:r>
          </w:p>
        </w:tc>
        <w:tc>
          <w:tcPr>
            <w:tcW w:w="1701" w:type="dxa"/>
          </w:tcPr>
          <w:p w14:paraId="1748C4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701" w:type="dxa"/>
          </w:tcPr>
          <w:p w14:paraId="5D95BB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1701" w:type="dxa"/>
          </w:tcPr>
          <w:p w14:paraId="543D7D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w:t>
            </w:r>
          </w:p>
        </w:tc>
        <w:tc>
          <w:tcPr>
            <w:tcW w:w="1701" w:type="dxa"/>
          </w:tcPr>
          <w:p w14:paraId="5608B1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c>
          <w:tcPr>
            <w:tcW w:w="1843" w:type="dxa"/>
          </w:tcPr>
          <w:p w14:paraId="267DF2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w:t>
            </w:r>
          </w:p>
        </w:tc>
      </w:tr>
      <w:tr w:rsidR="00E371BA" w:rsidRPr="00507A31" w14:paraId="0F4451AD" w14:textId="77777777">
        <w:tc>
          <w:tcPr>
            <w:tcW w:w="1809" w:type="dxa"/>
          </w:tcPr>
          <w:p w14:paraId="020479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Танкетки</w:t>
            </w:r>
          </w:p>
        </w:tc>
        <w:tc>
          <w:tcPr>
            <w:tcW w:w="1701" w:type="dxa"/>
          </w:tcPr>
          <w:p w14:paraId="00C3C7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1701" w:type="dxa"/>
          </w:tcPr>
          <w:p w14:paraId="71C6D7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290</w:t>
            </w:r>
          </w:p>
        </w:tc>
        <w:tc>
          <w:tcPr>
            <w:tcW w:w="1701" w:type="dxa"/>
          </w:tcPr>
          <w:p w14:paraId="744062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410</w:t>
            </w:r>
          </w:p>
        </w:tc>
        <w:tc>
          <w:tcPr>
            <w:tcW w:w="1701" w:type="dxa"/>
          </w:tcPr>
          <w:p w14:paraId="652286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390</w:t>
            </w:r>
          </w:p>
        </w:tc>
        <w:tc>
          <w:tcPr>
            <w:tcW w:w="1843" w:type="dxa"/>
          </w:tcPr>
          <w:p w14:paraId="787DDA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1100</w:t>
            </w:r>
          </w:p>
        </w:tc>
      </w:tr>
      <w:tr w:rsidR="00E371BA" w:rsidRPr="00507A31" w14:paraId="0318B900" w14:textId="77777777">
        <w:tc>
          <w:tcPr>
            <w:tcW w:w="1809" w:type="dxa"/>
          </w:tcPr>
          <w:p w14:paraId="4AFE07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w:t>
            </w:r>
          </w:p>
        </w:tc>
        <w:tc>
          <w:tcPr>
            <w:tcW w:w="1701" w:type="dxa"/>
          </w:tcPr>
          <w:p w14:paraId="0E6C05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340</w:t>
            </w:r>
          </w:p>
        </w:tc>
        <w:tc>
          <w:tcPr>
            <w:tcW w:w="1701" w:type="dxa"/>
          </w:tcPr>
          <w:p w14:paraId="610F32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1257</w:t>
            </w:r>
          </w:p>
        </w:tc>
        <w:tc>
          <w:tcPr>
            <w:tcW w:w="1701" w:type="dxa"/>
          </w:tcPr>
          <w:p w14:paraId="1F1C46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2258</w:t>
            </w:r>
          </w:p>
        </w:tc>
        <w:tc>
          <w:tcPr>
            <w:tcW w:w="1701" w:type="dxa"/>
          </w:tcPr>
          <w:p w14:paraId="1AB646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2710</w:t>
            </w:r>
          </w:p>
        </w:tc>
        <w:tc>
          <w:tcPr>
            <w:tcW w:w="1843" w:type="dxa"/>
          </w:tcPr>
          <w:p w14:paraId="5DCC56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6665</w:t>
            </w:r>
          </w:p>
        </w:tc>
      </w:tr>
    </w:tbl>
    <w:p w14:paraId="667DD8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(9441)</w:t>
      </w:r>
    </w:p>
    <w:p w14:paraId="04E25DCE" w14:textId="77777777" w:rsidR="00537E5F" w:rsidRPr="00507A31" w:rsidRDefault="00537E5F" w:rsidP="00507A31">
      <w:pPr>
        <w:autoSpaceDE w:val="0"/>
        <w:autoSpaceDN w:val="0"/>
        <w:adjustRightInd w:val="0"/>
        <w:jc w:val="both"/>
        <w:rPr>
          <w:iCs/>
          <w:color w:val="000000" w:themeColor="text1"/>
          <w:sz w:val="16"/>
          <w:szCs w:val="16"/>
        </w:rPr>
      </w:pPr>
    </w:p>
    <w:p w14:paraId="5DC0E0D4" w14:textId="77777777" w:rsidR="008F0891" w:rsidRPr="00507A31" w:rsidRDefault="008F0891" w:rsidP="00507A31">
      <w:pPr>
        <w:jc w:val="both"/>
        <w:rPr>
          <w:color w:val="0070C0"/>
          <w:sz w:val="16"/>
          <w:szCs w:val="16"/>
        </w:rPr>
      </w:pPr>
      <w:r w:rsidRPr="00507A31">
        <w:rPr>
          <w:color w:val="0070C0"/>
          <w:sz w:val="16"/>
          <w:szCs w:val="16"/>
        </w:rPr>
        <w:t>20 мая 1930 опросом членов ПБ</w:t>
      </w:r>
    </w:p>
    <w:p w14:paraId="4B7E0466" w14:textId="77777777" w:rsidR="008F0891" w:rsidRPr="00507A31" w:rsidRDefault="008F0891" w:rsidP="00507A31">
      <w:pPr>
        <w:jc w:val="both"/>
        <w:rPr>
          <w:color w:val="0070C0"/>
          <w:sz w:val="16"/>
          <w:szCs w:val="16"/>
        </w:rPr>
      </w:pPr>
      <w:r w:rsidRPr="00507A31">
        <w:rPr>
          <w:color w:val="0070C0"/>
          <w:sz w:val="16"/>
          <w:szCs w:val="16"/>
        </w:rPr>
        <w:t>36.- О_платежах.по договорам технической_помощи.</w:t>
      </w:r>
    </w:p>
    <w:p w14:paraId="3C7B9FA9" w14:textId="77777777" w:rsidR="008F0891" w:rsidRPr="00507A31" w:rsidRDefault="008F0891" w:rsidP="00507A31">
      <w:pPr>
        <w:jc w:val="both"/>
        <w:rPr>
          <w:color w:val="0070C0"/>
          <w:sz w:val="16"/>
          <w:szCs w:val="16"/>
        </w:rPr>
      </w:pPr>
      <w:r w:rsidRPr="00507A31">
        <w:rPr>
          <w:color w:val="0070C0"/>
          <w:sz w:val="16"/>
          <w:szCs w:val="16"/>
        </w:rPr>
        <w:t>(т. Куйбышев).</w:t>
      </w:r>
    </w:p>
    <w:p w14:paraId="6DA8F1BB" w14:textId="77777777" w:rsidR="008F0891" w:rsidRPr="00507A31" w:rsidRDefault="008F0891" w:rsidP="00507A31">
      <w:pPr>
        <w:jc w:val="both"/>
        <w:rPr>
          <w:color w:val="0070C0"/>
          <w:sz w:val="16"/>
          <w:szCs w:val="16"/>
        </w:rPr>
      </w:pPr>
      <w:r w:rsidRPr="00507A31">
        <w:rPr>
          <w:color w:val="0070C0"/>
          <w:sz w:val="16"/>
          <w:szCs w:val="16"/>
        </w:rPr>
        <w:t>Предложить т. Рудзутаку урегулировать вопрос о выплате валюты по договорам технической помощи и зарплаты иностранном специалистам.</w:t>
      </w:r>
    </w:p>
    <w:p w14:paraId="054E7CE3" w14:textId="77777777" w:rsidR="008F0891" w:rsidRPr="00507A31" w:rsidRDefault="008F0891" w:rsidP="00507A31">
      <w:pPr>
        <w:jc w:val="both"/>
        <w:rPr>
          <w:color w:val="0070C0"/>
          <w:sz w:val="16"/>
          <w:szCs w:val="16"/>
        </w:rPr>
      </w:pPr>
      <w:r w:rsidRPr="00507A31">
        <w:rPr>
          <w:color w:val="0070C0"/>
          <w:sz w:val="16"/>
          <w:szCs w:val="16"/>
        </w:rPr>
        <w:t>Выписки посланы: т.т. Рудзутаку, Куйбышеву.</w:t>
      </w:r>
    </w:p>
    <w:p w14:paraId="2F19BDF3" w14:textId="77777777" w:rsidR="008F0891" w:rsidRPr="00507A31" w:rsidRDefault="008F0891" w:rsidP="00507A31">
      <w:pPr>
        <w:jc w:val="both"/>
        <w:rPr>
          <w:color w:val="0070C0"/>
          <w:sz w:val="16"/>
          <w:szCs w:val="16"/>
        </w:rPr>
      </w:pPr>
      <w:r w:rsidRPr="00507A31">
        <w:rPr>
          <w:color w:val="0070C0"/>
          <w:sz w:val="16"/>
          <w:szCs w:val="16"/>
        </w:rPr>
        <w:t>41.-Записка т.т. Павлуновского и Мартиновича.</w:t>
      </w:r>
    </w:p>
    <w:p w14:paraId="0998D093" w14:textId="77777777" w:rsidR="008F0891" w:rsidRPr="00507A31" w:rsidRDefault="008F0891" w:rsidP="00507A31">
      <w:pPr>
        <w:jc w:val="both"/>
        <w:rPr>
          <w:color w:val="0070C0"/>
          <w:sz w:val="16"/>
          <w:szCs w:val="16"/>
        </w:rPr>
      </w:pPr>
      <w:r w:rsidRPr="00507A31">
        <w:rPr>
          <w:color w:val="0070C0"/>
          <w:sz w:val="16"/>
          <w:szCs w:val="16"/>
        </w:rPr>
        <w:t>(т. т. Сталин, Орджоникидзе, Уншлихт, Мартинович, Ефимов).</w:t>
      </w:r>
    </w:p>
    <w:p w14:paraId="46863AD8" w14:textId="77777777" w:rsidR="008F0891" w:rsidRPr="00507A31" w:rsidRDefault="008F0891" w:rsidP="00507A31">
      <w:pPr>
        <w:jc w:val="both"/>
        <w:rPr>
          <w:color w:val="0070C0"/>
          <w:sz w:val="16"/>
          <w:szCs w:val="16"/>
        </w:rPr>
      </w:pPr>
      <w:r w:rsidRPr="00507A31">
        <w:rPr>
          <w:color w:val="0070C0"/>
          <w:sz w:val="16"/>
          <w:szCs w:val="16"/>
        </w:rPr>
        <w:t>а) признать необходимым срочную ликвидацию недочететов, от</w:t>
      </w:r>
      <w:r w:rsidRPr="00507A31">
        <w:rPr>
          <w:color w:val="0070C0"/>
          <w:sz w:val="16"/>
          <w:szCs w:val="16"/>
        </w:rPr>
        <w:softHyphen/>
        <w:t>меченных в докладе РКИ и вскрытых во время прений по вопросу о состоянии артиллмобзапаса и складского дела.</w:t>
      </w:r>
    </w:p>
    <w:p w14:paraId="268C4716" w14:textId="77777777" w:rsidR="008F0891" w:rsidRPr="00507A31" w:rsidRDefault="008F0891" w:rsidP="00507A31">
      <w:pPr>
        <w:jc w:val="both"/>
        <w:rPr>
          <w:color w:val="0070C0"/>
          <w:sz w:val="16"/>
          <w:szCs w:val="16"/>
        </w:rPr>
      </w:pPr>
      <w:r w:rsidRPr="00507A31">
        <w:rPr>
          <w:color w:val="0070C0"/>
          <w:sz w:val="16"/>
          <w:szCs w:val="16"/>
        </w:rPr>
        <w:t>б) признать необходимым принять все меры для приведения в порядок мобзапаса артиллерийского вооружения 20 мм выстредов.</w:t>
      </w:r>
    </w:p>
    <w:p w14:paraId="6E8FEFEE" w14:textId="77777777" w:rsidR="008F0891" w:rsidRPr="00507A31" w:rsidRDefault="008F0891" w:rsidP="00507A31">
      <w:pPr>
        <w:jc w:val="both"/>
        <w:rPr>
          <w:color w:val="0070C0"/>
          <w:sz w:val="16"/>
          <w:szCs w:val="16"/>
        </w:rPr>
      </w:pPr>
      <w:r w:rsidRPr="00507A31">
        <w:rPr>
          <w:color w:val="0070C0"/>
          <w:sz w:val="16"/>
          <w:szCs w:val="16"/>
        </w:rPr>
        <w:t>в) поручить комиссии в составе т.т. Ворошилова, Орджоникидзе, Сталина, Молотова, и Рыкова наметить на основе обмена мнении все конкретные мероприятия, вытекающие из доклада РКИ.</w:t>
      </w:r>
    </w:p>
    <w:p w14:paraId="22F46E9B" w14:textId="77777777" w:rsidR="008F0891" w:rsidRPr="00507A31" w:rsidRDefault="008F0891" w:rsidP="00507A31">
      <w:pPr>
        <w:jc w:val="both"/>
        <w:rPr>
          <w:color w:val="0070C0"/>
          <w:sz w:val="16"/>
          <w:szCs w:val="16"/>
        </w:rPr>
      </w:pPr>
      <w:r w:rsidRPr="00507A31">
        <w:rPr>
          <w:color w:val="0070C0"/>
          <w:sz w:val="16"/>
          <w:szCs w:val="16"/>
        </w:rPr>
        <w:t>Созыв за т. Ворошиловым. Срок работы - 10 дней.</w:t>
      </w:r>
    </w:p>
    <w:p w14:paraId="1643EE94" w14:textId="77777777" w:rsidR="008F0891" w:rsidRPr="00507A31" w:rsidRDefault="008F0891" w:rsidP="00507A31">
      <w:pPr>
        <w:jc w:val="both"/>
        <w:rPr>
          <w:color w:val="0070C0"/>
          <w:sz w:val="16"/>
          <w:szCs w:val="16"/>
        </w:rPr>
      </w:pPr>
      <w:r w:rsidRPr="00507A31">
        <w:rPr>
          <w:color w:val="0070C0"/>
          <w:sz w:val="16"/>
          <w:szCs w:val="16"/>
        </w:rPr>
        <w:t>г) поручить РКИ продолжить обследование мобзанаса по всем видам и всем складам.</w:t>
      </w:r>
    </w:p>
    <w:p w14:paraId="47245511" w14:textId="77777777" w:rsidR="008F0891" w:rsidRPr="00507A31" w:rsidRDefault="008F0891" w:rsidP="00507A31">
      <w:pPr>
        <w:jc w:val="both"/>
        <w:rPr>
          <w:color w:val="0070C0"/>
          <w:sz w:val="16"/>
          <w:szCs w:val="16"/>
        </w:rPr>
      </w:pPr>
      <w:r w:rsidRPr="00507A31">
        <w:rPr>
          <w:color w:val="0070C0"/>
          <w:sz w:val="16"/>
          <w:szCs w:val="16"/>
        </w:rPr>
        <w:t>д) поручить ОГПУ произвести допрос Картеля и Гартера.</w:t>
      </w:r>
    </w:p>
    <w:p w14:paraId="57E05AF2" w14:textId="77777777" w:rsidR="008F0891" w:rsidRPr="00507A31" w:rsidRDefault="008F0891" w:rsidP="00507A31">
      <w:pPr>
        <w:jc w:val="both"/>
        <w:rPr>
          <w:color w:val="0070C0"/>
          <w:sz w:val="16"/>
          <w:szCs w:val="16"/>
        </w:rPr>
      </w:pPr>
      <w:r w:rsidRPr="00507A31">
        <w:rPr>
          <w:color w:val="0070C0"/>
          <w:sz w:val="16"/>
          <w:szCs w:val="16"/>
        </w:rPr>
        <w:t>е) принять предложение т.т. Сталина, Ворошилова, Орджоникидзе и Ефимова о награждении т.т. Павлуновского и Мартиновича орденом "Красной Звезды".</w:t>
      </w:r>
    </w:p>
    <w:p w14:paraId="550DD3B9" w14:textId="77777777" w:rsidR="008F0891" w:rsidRPr="00507A31" w:rsidRDefault="008F0891" w:rsidP="00507A31">
      <w:pPr>
        <w:jc w:val="both"/>
        <w:rPr>
          <w:color w:val="0070C0"/>
          <w:sz w:val="16"/>
          <w:szCs w:val="16"/>
        </w:rPr>
      </w:pPr>
      <w:r w:rsidRPr="00507A31">
        <w:rPr>
          <w:color w:val="0070C0"/>
          <w:sz w:val="16"/>
          <w:szCs w:val="16"/>
        </w:rPr>
        <w:lastRenderedPageBreak/>
        <w:t>Выписки посланы: т.т. Ворошилову - все; Орджоникидзе, Сталину, Молотову, Рыкову - в; Калинину - е; Нижинскому - д; Орджоникидзе – г</w:t>
      </w:r>
    </w:p>
    <w:p w14:paraId="0E8049EF" w14:textId="77777777" w:rsidR="008F0891" w:rsidRPr="00507A31" w:rsidRDefault="008F0891" w:rsidP="00507A31">
      <w:pPr>
        <w:jc w:val="both"/>
        <w:rPr>
          <w:color w:val="0070C0"/>
          <w:sz w:val="16"/>
          <w:szCs w:val="16"/>
        </w:rPr>
      </w:pPr>
      <w:r w:rsidRPr="00507A31">
        <w:rPr>
          <w:color w:val="0070C0"/>
          <w:sz w:val="16"/>
          <w:szCs w:val="16"/>
        </w:rPr>
        <w:t>25 мая 1930 состоялось заседание ПБ (Протокол № 127. Особый № 125) (23110).</w:t>
      </w:r>
    </w:p>
    <w:p w14:paraId="6AA1149D" w14:textId="77777777" w:rsidR="008F0891" w:rsidRPr="00507A31" w:rsidRDefault="008F0891" w:rsidP="00507A31">
      <w:pPr>
        <w:jc w:val="both"/>
        <w:rPr>
          <w:color w:val="0070C0"/>
          <w:sz w:val="16"/>
          <w:szCs w:val="16"/>
        </w:rPr>
      </w:pPr>
    </w:p>
    <w:p w14:paraId="7B354F2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72B32AF" w14:textId="77777777" w:rsidR="00537E5F" w:rsidRPr="00507A31" w:rsidRDefault="00537E5F" w:rsidP="00507A31">
      <w:pPr>
        <w:autoSpaceDE w:val="0"/>
        <w:autoSpaceDN w:val="0"/>
        <w:adjustRightInd w:val="0"/>
        <w:jc w:val="both"/>
        <w:rPr>
          <w:iCs/>
          <w:color w:val="000000" w:themeColor="text1"/>
          <w:sz w:val="16"/>
          <w:szCs w:val="16"/>
        </w:rPr>
      </w:pPr>
    </w:p>
    <w:p w14:paraId="5F444C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мая 1930 вышло Постановление ЦИК и СНК о строгой изоляции осужденных за контрреволюционные преступления (58 статья УК СССР) (10687).</w:t>
      </w:r>
    </w:p>
    <w:p w14:paraId="5A33C350" w14:textId="77777777" w:rsidR="00537E5F" w:rsidRPr="00507A31" w:rsidRDefault="00537E5F" w:rsidP="00507A31">
      <w:pPr>
        <w:autoSpaceDE w:val="0"/>
        <w:autoSpaceDN w:val="0"/>
        <w:adjustRightInd w:val="0"/>
        <w:jc w:val="both"/>
        <w:rPr>
          <w:color w:val="000000" w:themeColor="text1"/>
          <w:sz w:val="16"/>
          <w:szCs w:val="16"/>
        </w:rPr>
      </w:pPr>
    </w:p>
    <w:p w14:paraId="0ED8C13D" w14:textId="77777777" w:rsidR="00CE1F8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C79E73A" w14:textId="77777777" w:rsidR="00CE1F8E" w:rsidRPr="00507A31" w:rsidRDefault="00CE1F8E" w:rsidP="00507A31">
      <w:pPr>
        <w:autoSpaceDE w:val="0"/>
        <w:autoSpaceDN w:val="0"/>
        <w:adjustRightInd w:val="0"/>
        <w:jc w:val="both"/>
        <w:rPr>
          <w:iCs/>
          <w:color w:val="000000" w:themeColor="text1"/>
          <w:sz w:val="16"/>
          <w:szCs w:val="16"/>
        </w:rPr>
      </w:pPr>
    </w:p>
    <w:p w14:paraId="5BA85A09" w14:textId="77777777" w:rsidR="00CE1F8E" w:rsidRPr="00507A31" w:rsidRDefault="00CE1F8E" w:rsidP="00507A31">
      <w:pPr>
        <w:jc w:val="both"/>
        <w:rPr>
          <w:color w:val="000000" w:themeColor="text1"/>
          <w:sz w:val="16"/>
          <w:szCs w:val="16"/>
        </w:rPr>
      </w:pPr>
      <w:r w:rsidRPr="00507A31">
        <w:rPr>
          <w:bCs/>
          <w:color w:val="000000" w:themeColor="text1"/>
          <w:sz w:val="16"/>
          <w:szCs w:val="16"/>
        </w:rPr>
        <w:t>20 мая</w:t>
      </w:r>
      <w:r w:rsidRPr="00507A31">
        <w:rPr>
          <w:color w:val="000000" w:themeColor="text1"/>
          <w:sz w:val="16"/>
          <w:szCs w:val="16"/>
        </w:rPr>
        <w:t xml:space="preserve"> в 1930 году испанская авиакомпания «CLASSA» на пассажирском самолете модели </w:t>
      </w:r>
      <w:hyperlink r:id="rId90" w:tgtFrame="_blank" w:history="1">
        <w:r w:rsidRPr="00507A31">
          <w:rPr>
            <w:color w:val="000000" w:themeColor="text1"/>
            <w:sz w:val="16"/>
            <w:szCs w:val="16"/>
          </w:rPr>
          <w:t xml:space="preserve">«Ford 4-AT-E» </w:t>
        </w:r>
      </w:hyperlink>
      <w:r w:rsidRPr="00507A31">
        <w:rPr>
          <w:color w:val="000000" w:themeColor="text1"/>
          <w:sz w:val="16"/>
          <w:szCs w:val="16"/>
        </w:rPr>
        <w:t>начала летать из Мадрида на Канары - в город Тенерифе. На модели «Ford 4-AT-E» стояли более мощные двигатели «Whirlwind» «J6». Эта модель перевозила 12 пассажиров (14897).</w:t>
      </w:r>
    </w:p>
    <w:p w14:paraId="6492ED6C" w14:textId="77777777" w:rsidR="00CE1F8E" w:rsidRPr="00507A31" w:rsidRDefault="00CE1F8E" w:rsidP="00507A31">
      <w:pPr>
        <w:jc w:val="both"/>
        <w:rPr>
          <w:color w:val="000000" w:themeColor="text1"/>
          <w:sz w:val="16"/>
          <w:szCs w:val="16"/>
        </w:rPr>
      </w:pPr>
    </w:p>
    <w:p w14:paraId="73AB467C" w14:textId="77777777" w:rsidR="001621D7" w:rsidRPr="00507A31" w:rsidRDefault="001621D7"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CBC05BA" w14:textId="77777777" w:rsidR="001621D7" w:rsidRPr="00507A31" w:rsidRDefault="001621D7" w:rsidP="00507A31">
      <w:pPr>
        <w:autoSpaceDE w:val="0"/>
        <w:autoSpaceDN w:val="0"/>
        <w:adjustRightInd w:val="0"/>
        <w:jc w:val="both"/>
        <w:rPr>
          <w:iCs/>
          <w:color w:val="000000" w:themeColor="text1"/>
          <w:sz w:val="16"/>
          <w:szCs w:val="16"/>
        </w:rPr>
      </w:pPr>
    </w:p>
    <w:p w14:paraId="24345BA8" w14:textId="77777777" w:rsidR="001621D7" w:rsidRPr="00507A31" w:rsidRDefault="001621D7" w:rsidP="00507A31">
      <w:pPr>
        <w:pStyle w:val="rtejustify"/>
        <w:shd w:val="clear" w:color="auto" w:fill="FFFFFF"/>
        <w:spacing w:before="0" w:after="0"/>
        <w:rPr>
          <w:color w:val="000000" w:themeColor="text1"/>
          <w:sz w:val="16"/>
          <w:szCs w:val="16"/>
        </w:rPr>
      </w:pPr>
      <w:r w:rsidRPr="00507A31">
        <w:rPr>
          <w:color w:val="000000" w:themeColor="text1"/>
          <w:sz w:val="16"/>
          <w:szCs w:val="16"/>
        </w:rPr>
        <w:t>21 мая 1930 при обсуждении ЭП на заседании I секции НТК (21.05.30) было принято решение:</w:t>
      </w:r>
    </w:p>
    <w:p w14:paraId="07AD0085" w14:textId="77777777" w:rsidR="001621D7" w:rsidRPr="00507A31" w:rsidRDefault="001621D7"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 Отнести невыполнение ТТ в отношении летных данных за счет установки на самолете И-8 невысотного мотора К-К 600 л.с., считать возможным ЭП утвердить, предложив ЦАГИ разработать установку мотора К-К с импеллером и степенью сжатия – 7,5, а Загранотделу УВВС выяснить возможность получения данного мотора. …</w:t>
      </w:r>
    </w:p>
    <w:p w14:paraId="12F9A28B" w14:textId="77777777" w:rsidR="001621D7" w:rsidRPr="00507A31" w:rsidRDefault="001621D7" w:rsidP="00507A31">
      <w:pPr>
        <w:pStyle w:val="rtejustify"/>
        <w:shd w:val="clear" w:color="auto" w:fill="FFFFFF"/>
        <w:spacing w:before="0" w:after="0"/>
        <w:rPr>
          <w:rStyle w:val="af0"/>
          <w:i w:val="0"/>
          <w:color w:val="000000" w:themeColor="text1"/>
          <w:sz w:val="16"/>
          <w:szCs w:val="16"/>
          <w:bdr w:val="none" w:sz="0" w:space="0" w:color="auto" w:frame="1"/>
        </w:rPr>
      </w:pPr>
      <w:r w:rsidRPr="00507A31">
        <w:rPr>
          <w:rStyle w:val="af0"/>
          <w:i w:val="0"/>
          <w:color w:val="000000" w:themeColor="text1"/>
          <w:sz w:val="16"/>
          <w:szCs w:val="16"/>
          <w:bdr w:val="none" w:sz="0" w:space="0" w:color="auto" w:frame="1"/>
        </w:rPr>
        <w:t>… Ввиду неудовлетворения ТТ самолета И-8 в отношении летных данных, считать необходимым окончательное утверждение ЭП перенести на решение Президиума НТК.» (19171).</w:t>
      </w:r>
    </w:p>
    <w:p w14:paraId="0DDD7921" w14:textId="77777777" w:rsidR="001621D7" w:rsidRPr="00507A31" w:rsidRDefault="001621D7" w:rsidP="00507A31">
      <w:pPr>
        <w:pStyle w:val="rtejustify"/>
        <w:shd w:val="clear" w:color="auto" w:fill="FFFFFF"/>
        <w:spacing w:before="0" w:after="0"/>
        <w:rPr>
          <w:color w:val="000000" w:themeColor="text1"/>
          <w:sz w:val="16"/>
          <w:szCs w:val="16"/>
        </w:rPr>
      </w:pPr>
    </w:p>
    <w:p w14:paraId="047C972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AC01E98" w14:textId="77777777" w:rsidR="00537E5F" w:rsidRPr="00507A31" w:rsidRDefault="00537E5F" w:rsidP="00507A31">
      <w:pPr>
        <w:autoSpaceDE w:val="0"/>
        <w:autoSpaceDN w:val="0"/>
        <w:adjustRightInd w:val="0"/>
        <w:jc w:val="both"/>
        <w:rPr>
          <w:iCs/>
          <w:color w:val="000000" w:themeColor="text1"/>
          <w:sz w:val="16"/>
          <w:szCs w:val="16"/>
        </w:rPr>
      </w:pPr>
    </w:p>
    <w:p w14:paraId="77627C1D" w14:textId="77777777" w:rsidR="00E53753" w:rsidRPr="00507A31" w:rsidRDefault="00E53753" w:rsidP="00507A31">
      <w:pPr>
        <w:jc w:val="both"/>
        <w:rPr>
          <w:color w:val="000000" w:themeColor="text1"/>
          <w:sz w:val="16"/>
          <w:szCs w:val="16"/>
        </w:rPr>
      </w:pPr>
      <w:r w:rsidRPr="00507A31">
        <w:rPr>
          <w:bCs/>
          <w:color w:val="000000" w:themeColor="text1"/>
          <w:sz w:val="16"/>
          <w:szCs w:val="16"/>
        </w:rPr>
        <w:t>21 мая</w:t>
      </w:r>
      <w:r w:rsidRPr="00507A31">
        <w:rPr>
          <w:color w:val="000000" w:themeColor="text1"/>
          <w:sz w:val="16"/>
          <w:szCs w:val="16"/>
        </w:rPr>
        <w:t xml:space="preserve"> в 1930 году жители Москвы и Ленинграда получали по карточкам: рабочие - 800 граммов хлеба, 200 граммов мяса (ежедневно), 3 килограмма крупы, 600 граммов масла, 1,5 килограмма сахара, 10 яиц, 800 граммов селедки (ежемесячно). Служащие - 400 граммов хлеба, 100 граммов мяса (ежедневно), 1,5 килограмма крупы, 300 граммов масла, 1,5 килограмма сахара, 10 яиц, 500 граммов селедки (ежемесячно). Детям же хлеба, мяса, селедки и крупы не полагалось, только 400 граммов масла, 0,5 килограмма сахара и 20 яиц ежемесячно (14898).</w:t>
      </w:r>
    </w:p>
    <w:p w14:paraId="18406F01" w14:textId="77777777" w:rsidR="00E53753" w:rsidRPr="00507A31" w:rsidRDefault="00E53753" w:rsidP="00507A31">
      <w:pPr>
        <w:jc w:val="both"/>
        <w:rPr>
          <w:color w:val="000000" w:themeColor="text1"/>
          <w:sz w:val="16"/>
          <w:szCs w:val="16"/>
        </w:rPr>
      </w:pPr>
    </w:p>
    <w:p w14:paraId="7AEF469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21 мая 1930 в Москве арестованы лидеры югославской коммунистической партии (4962).</w:t>
      </w:r>
    </w:p>
    <w:p w14:paraId="4874D94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5C0C73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FA7994C" w14:textId="77777777" w:rsidR="00537E5F" w:rsidRPr="00507A31" w:rsidRDefault="00537E5F" w:rsidP="00507A31">
      <w:pPr>
        <w:autoSpaceDE w:val="0"/>
        <w:autoSpaceDN w:val="0"/>
        <w:adjustRightInd w:val="0"/>
        <w:jc w:val="both"/>
        <w:rPr>
          <w:iCs/>
          <w:color w:val="000000" w:themeColor="text1"/>
          <w:sz w:val="16"/>
          <w:szCs w:val="16"/>
        </w:rPr>
      </w:pPr>
    </w:p>
    <w:p w14:paraId="2BB0A5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мая 1930 на испытания был выпущен И-5 КВ (437,127).</w:t>
      </w:r>
    </w:p>
    <w:p w14:paraId="32DAE445" w14:textId="77777777" w:rsidR="00537E5F" w:rsidRPr="00507A31" w:rsidRDefault="00537E5F" w:rsidP="00507A31">
      <w:pPr>
        <w:autoSpaceDE w:val="0"/>
        <w:autoSpaceDN w:val="0"/>
        <w:adjustRightInd w:val="0"/>
        <w:jc w:val="both"/>
        <w:rPr>
          <w:color w:val="000000" w:themeColor="text1"/>
          <w:sz w:val="16"/>
          <w:szCs w:val="16"/>
        </w:rPr>
      </w:pPr>
    </w:p>
    <w:p w14:paraId="1273FD1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6C21768" w14:textId="77777777" w:rsidR="00537E5F" w:rsidRPr="00507A31" w:rsidRDefault="00537E5F" w:rsidP="00507A31">
      <w:pPr>
        <w:autoSpaceDE w:val="0"/>
        <w:autoSpaceDN w:val="0"/>
        <w:adjustRightInd w:val="0"/>
        <w:jc w:val="both"/>
        <w:rPr>
          <w:iCs/>
          <w:color w:val="000000" w:themeColor="text1"/>
          <w:sz w:val="16"/>
          <w:szCs w:val="16"/>
        </w:rPr>
      </w:pPr>
    </w:p>
    <w:p w14:paraId="5F08AA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мая 1930 года Калиновский докладывал К.Ворошилову: "Состояние работ по машине Д на Ижорском заводе таково, что Ваше задание по изготовлению опытного образца к 1 июля выполнено не будет. Основные причины следующие:</w:t>
      </w:r>
    </w:p>
    <w:p w14:paraId="6A7DFF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Рабочие чертежи по основным агрегатам Дыренков закончил только к 4 мая, в связи с чем детали по этим чертежам будут готовы только к 15 июня.</w:t>
      </w:r>
    </w:p>
    <w:p w14:paraId="7EAE29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До настоящего времени нет чертежей: органов управления машиной, приводов к подъемным механизмам, рулевого управления при движении на колесном ходу" (10291).</w:t>
      </w:r>
    </w:p>
    <w:p w14:paraId="7A83B183" w14:textId="77777777" w:rsidR="00537E5F" w:rsidRPr="00507A31" w:rsidRDefault="00537E5F" w:rsidP="00507A31">
      <w:pPr>
        <w:autoSpaceDE w:val="0"/>
        <w:autoSpaceDN w:val="0"/>
        <w:adjustRightInd w:val="0"/>
        <w:jc w:val="both"/>
        <w:rPr>
          <w:color w:val="000000" w:themeColor="text1"/>
          <w:sz w:val="16"/>
          <w:szCs w:val="16"/>
        </w:rPr>
      </w:pPr>
    </w:p>
    <w:p w14:paraId="293DF2FD" w14:textId="77777777" w:rsidR="00E53753" w:rsidRPr="00507A31" w:rsidRDefault="00E53753" w:rsidP="00507A31">
      <w:pPr>
        <w:jc w:val="both"/>
        <w:rPr>
          <w:color w:val="000000" w:themeColor="text1"/>
          <w:sz w:val="16"/>
          <w:szCs w:val="16"/>
        </w:rPr>
      </w:pPr>
      <w:r w:rsidRPr="00507A31">
        <w:rPr>
          <w:color w:val="000000" w:themeColor="text1"/>
          <w:sz w:val="16"/>
          <w:szCs w:val="16"/>
        </w:rPr>
        <w:t>22 мая 1930 года в докладе на имя К.Ворошилову было указано следующее:</w:t>
      </w:r>
    </w:p>
    <w:p w14:paraId="489FAC40" w14:textId="77777777" w:rsidR="00E53753" w:rsidRPr="00507A31" w:rsidRDefault="00E53753" w:rsidP="00507A31">
      <w:pPr>
        <w:jc w:val="both"/>
        <w:rPr>
          <w:color w:val="000000" w:themeColor="text1"/>
          <w:sz w:val="16"/>
          <w:szCs w:val="16"/>
        </w:rPr>
      </w:pPr>
      <w:r w:rsidRPr="00507A31">
        <w:rPr>
          <w:color w:val="000000" w:themeColor="text1"/>
          <w:sz w:val="16"/>
          <w:szCs w:val="16"/>
        </w:rPr>
        <w:t>"Состояние работ по машине Д на Ижорском заводе таково, что Ваше задание по изготовлению опытного образца к 1 июля выполнено не будет. Основные причины следующие: 1. Рабочие чертежи по основным агрегатам Дыренков закончил только к 4 мая, в связи с чем детали по этим чертежам будут готовы только к 15 июня. 2. До настоящего времени нет чертежей: органов управления машиной, приводов к подъемным механизмам, рулевого управления при движении на колесном ходу" (15618).</w:t>
      </w:r>
    </w:p>
    <w:p w14:paraId="309FF302" w14:textId="77777777" w:rsidR="00E53753" w:rsidRPr="00507A31" w:rsidRDefault="00E53753" w:rsidP="00507A31">
      <w:pPr>
        <w:jc w:val="both"/>
        <w:rPr>
          <w:color w:val="000000" w:themeColor="text1"/>
          <w:sz w:val="16"/>
          <w:szCs w:val="16"/>
        </w:rPr>
      </w:pPr>
    </w:p>
    <w:p w14:paraId="033A72D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4535C4B" w14:textId="77777777" w:rsidR="00537E5F" w:rsidRPr="00507A31" w:rsidRDefault="00537E5F" w:rsidP="00507A31">
      <w:pPr>
        <w:autoSpaceDE w:val="0"/>
        <w:autoSpaceDN w:val="0"/>
        <w:adjustRightInd w:val="0"/>
        <w:jc w:val="both"/>
        <w:rPr>
          <w:iCs/>
          <w:color w:val="000000" w:themeColor="text1"/>
          <w:sz w:val="16"/>
          <w:szCs w:val="16"/>
        </w:rPr>
      </w:pPr>
    </w:p>
    <w:p w14:paraId="3D0895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 мая 1930 г. лет</w:t>
      </w:r>
      <w:r w:rsidRPr="00507A31">
        <w:rPr>
          <w:color w:val="000000" w:themeColor="text1"/>
          <w:sz w:val="16"/>
          <w:szCs w:val="16"/>
        </w:rPr>
        <w:softHyphen/>
        <w:t>чик А.Д.Ширинкин выполнил первый полет самолета И-6. Само</w:t>
      </w:r>
      <w:r w:rsidRPr="00507A31">
        <w:rPr>
          <w:color w:val="000000" w:themeColor="text1"/>
          <w:sz w:val="16"/>
          <w:szCs w:val="16"/>
        </w:rPr>
        <w:softHyphen/>
        <w:t>лет вел себя в полете нормально, поэтому его испытания продолжились (10729).</w:t>
      </w:r>
    </w:p>
    <w:p w14:paraId="0D4BAC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B2A75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 мая 1930 летчик А.Д.Ширинкин совершил на И-6 пер</w:t>
      </w:r>
      <w:r w:rsidRPr="00507A31">
        <w:rPr>
          <w:color w:val="000000" w:themeColor="text1"/>
          <w:sz w:val="16"/>
          <w:szCs w:val="16"/>
        </w:rPr>
        <w:softHyphen/>
        <w:t>вый полет. Замечания к конструкции не носили принци</w:t>
      </w:r>
      <w:r w:rsidRPr="00507A31">
        <w:rPr>
          <w:color w:val="000000" w:themeColor="text1"/>
          <w:sz w:val="16"/>
          <w:szCs w:val="16"/>
        </w:rPr>
        <w:softHyphen/>
        <w:t>пиального характера и своевременно устранялись. 9 июня пилотируемый Ширинкиным самолет И-6 выле</w:t>
      </w:r>
      <w:r w:rsidRPr="00507A31">
        <w:rPr>
          <w:color w:val="000000" w:themeColor="text1"/>
          <w:sz w:val="16"/>
          <w:szCs w:val="16"/>
        </w:rPr>
        <w:softHyphen/>
        <w:t>тел на задание по определению скороподъемности на высоту 5000 метров. После его завершения на высоте 1400 метров летчик начал выполнять переворот с иммельманом, но не справился с управлением и выпрыг</w:t>
      </w:r>
      <w:r w:rsidRPr="00507A31">
        <w:rPr>
          <w:color w:val="000000" w:themeColor="text1"/>
          <w:sz w:val="16"/>
          <w:szCs w:val="16"/>
        </w:rPr>
        <w:softHyphen/>
        <w:t>нул на парашюте. Самолет, перейдя в отвесное пикиро</w:t>
      </w:r>
      <w:r w:rsidRPr="00507A31">
        <w:rPr>
          <w:color w:val="000000" w:themeColor="text1"/>
          <w:sz w:val="16"/>
          <w:szCs w:val="16"/>
        </w:rPr>
        <w:softHyphen/>
        <w:t>вание по спирали, разбился на территории Централь</w:t>
      </w:r>
      <w:r w:rsidRPr="00507A31">
        <w:rPr>
          <w:color w:val="000000" w:themeColor="text1"/>
          <w:sz w:val="16"/>
          <w:szCs w:val="16"/>
        </w:rPr>
        <w:softHyphen/>
        <w:t>ного аэродрома.(10667).</w:t>
      </w:r>
    </w:p>
    <w:p w14:paraId="16DF28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A134478" w14:textId="77777777" w:rsidR="0086787E" w:rsidRPr="00507A31" w:rsidRDefault="0086787E" w:rsidP="00507A31">
      <w:pPr>
        <w:jc w:val="both"/>
        <w:rPr>
          <w:color w:val="000000" w:themeColor="text1"/>
          <w:sz w:val="16"/>
          <w:szCs w:val="16"/>
        </w:rPr>
      </w:pPr>
      <w:r w:rsidRPr="00507A31">
        <w:rPr>
          <w:color w:val="000000" w:themeColor="text1"/>
          <w:sz w:val="16"/>
          <w:szCs w:val="16"/>
        </w:rPr>
        <w:t>23 мая 1930 г. пер</w:t>
      </w:r>
      <w:r w:rsidRPr="00507A31">
        <w:rPr>
          <w:color w:val="000000" w:themeColor="text1"/>
          <w:sz w:val="16"/>
          <w:szCs w:val="16"/>
        </w:rPr>
        <w:softHyphen/>
        <w:t>вый полет на И-6 выполнил летчик А.Д. Ширинкин. Самолет вел себя в полете нормально, по</w:t>
      </w:r>
      <w:r w:rsidRPr="00507A31">
        <w:rPr>
          <w:color w:val="000000" w:themeColor="text1"/>
          <w:sz w:val="16"/>
          <w:szCs w:val="16"/>
        </w:rPr>
        <w:softHyphen/>
        <w:t>этому его испытания продолжились. 9 июня Ширинкин вылетел на задание по опреде</w:t>
      </w:r>
      <w:r w:rsidRPr="00507A31">
        <w:rPr>
          <w:color w:val="000000" w:themeColor="text1"/>
          <w:sz w:val="16"/>
          <w:szCs w:val="16"/>
        </w:rPr>
        <w:softHyphen/>
        <w:t>лению скороподъемности на высоте 5000 м. После выполнения задания пилот на высоте 1400 м начал выполнять пилотаж, однако не справился с управлением и выпрыгнул с па</w:t>
      </w:r>
      <w:r w:rsidRPr="00507A31">
        <w:rPr>
          <w:color w:val="000000" w:themeColor="text1"/>
          <w:sz w:val="16"/>
          <w:szCs w:val="16"/>
        </w:rPr>
        <w:softHyphen/>
        <w:t>рашютом. Самолет разбился на территории Центрального аэродрома.</w:t>
      </w:r>
    </w:p>
    <w:p w14:paraId="20367834" w14:textId="77777777" w:rsidR="0086787E" w:rsidRPr="00507A31" w:rsidRDefault="0086787E" w:rsidP="00507A31">
      <w:pPr>
        <w:jc w:val="both"/>
        <w:rPr>
          <w:color w:val="000000" w:themeColor="text1"/>
          <w:sz w:val="16"/>
          <w:szCs w:val="16"/>
        </w:rPr>
      </w:pPr>
      <w:r w:rsidRPr="00507A31">
        <w:rPr>
          <w:color w:val="000000" w:themeColor="text1"/>
          <w:sz w:val="16"/>
          <w:szCs w:val="16"/>
        </w:rPr>
        <w:t>Причины произошедшего не до конца вы</w:t>
      </w:r>
      <w:r w:rsidRPr="00507A31">
        <w:rPr>
          <w:color w:val="000000" w:themeColor="text1"/>
          <w:sz w:val="16"/>
          <w:szCs w:val="16"/>
        </w:rPr>
        <w:softHyphen/>
        <w:t>яснены и по сей день. В частности, историк В.Б. Шавров так описывает событие: «При испытательном полете летчик А.Д. Ширин</w:t>
      </w:r>
      <w:r w:rsidRPr="00507A31">
        <w:rPr>
          <w:color w:val="000000" w:themeColor="text1"/>
          <w:sz w:val="16"/>
          <w:szCs w:val="16"/>
        </w:rPr>
        <w:softHyphen/>
        <w:t>кин, видимо, без уважительной причины по</w:t>
      </w:r>
      <w:r w:rsidRPr="00507A31">
        <w:rPr>
          <w:color w:val="000000" w:themeColor="text1"/>
          <w:sz w:val="16"/>
          <w:szCs w:val="16"/>
        </w:rPr>
        <w:softHyphen/>
        <w:t>кинул исправный самолет и выбросился с парашютом, объясняя это тем, что якобы за</w:t>
      </w:r>
      <w:r w:rsidRPr="00507A31">
        <w:rPr>
          <w:color w:val="000000" w:themeColor="text1"/>
          <w:sz w:val="16"/>
          <w:szCs w:val="16"/>
        </w:rPr>
        <w:softHyphen/>
        <w:t>тряслась моторама. Неуправляемый самолет некоторое время продолжал полет по пря</w:t>
      </w:r>
      <w:r w:rsidRPr="00507A31">
        <w:rPr>
          <w:color w:val="000000" w:themeColor="text1"/>
          <w:sz w:val="16"/>
          <w:szCs w:val="16"/>
        </w:rPr>
        <w:softHyphen/>
        <w:t>мой, потом упал и разбился, но рама его ока</w:t>
      </w:r>
      <w:r w:rsidRPr="00507A31">
        <w:rPr>
          <w:color w:val="000000" w:themeColor="text1"/>
          <w:sz w:val="16"/>
          <w:szCs w:val="16"/>
        </w:rPr>
        <w:softHyphen/>
        <w:t>залась целой».</w:t>
      </w:r>
    </w:p>
    <w:p w14:paraId="64AE16BD" w14:textId="77777777" w:rsidR="0086787E" w:rsidRPr="00507A31" w:rsidRDefault="0086787E" w:rsidP="00507A31">
      <w:pPr>
        <w:jc w:val="both"/>
        <w:rPr>
          <w:color w:val="000000" w:themeColor="text1"/>
          <w:sz w:val="16"/>
          <w:szCs w:val="16"/>
        </w:rPr>
      </w:pPr>
      <w:r w:rsidRPr="00507A31">
        <w:rPr>
          <w:color w:val="000000" w:themeColor="text1"/>
          <w:sz w:val="16"/>
          <w:szCs w:val="16"/>
        </w:rPr>
        <w:t>Летом 1930 г. доводился и осу</w:t>
      </w:r>
      <w:r w:rsidRPr="00507A31">
        <w:rPr>
          <w:color w:val="000000" w:themeColor="text1"/>
          <w:sz w:val="16"/>
          <w:szCs w:val="16"/>
        </w:rPr>
        <w:softHyphen/>
        <w:t>ществлял полеты на Центральном аэродро</w:t>
      </w:r>
      <w:r w:rsidRPr="00507A31">
        <w:rPr>
          <w:color w:val="000000" w:themeColor="text1"/>
          <w:sz w:val="16"/>
          <w:szCs w:val="16"/>
        </w:rPr>
        <w:softHyphen/>
        <w:t>ме. Не все шло гладко, поэтому, возможно, руководство ОГПУ, курирующее создание самолета, для устранения конкурента в лице И-6 просто посоветовало летчику Ширинки- ну поступить данным образом. Впрочем, это всего лишь догадка (12295).</w:t>
      </w:r>
    </w:p>
    <w:p w14:paraId="05AB452D" w14:textId="77777777" w:rsidR="0086787E" w:rsidRPr="00507A31" w:rsidRDefault="0086787E" w:rsidP="00507A31">
      <w:pPr>
        <w:jc w:val="both"/>
        <w:rPr>
          <w:color w:val="000000" w:themeColor="text1"/>
          <w:sz w:val="16"/>
          <w:szCs w:val="16"/>
        </w:rPr>
      </w:pPr>
    </w:p>
    <w:p w14:paraId="1689942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704AC73" w14:textId="77777777" w:rsidR="00537E5F" w:rsidRPr="00507A31" w:rsidRDefault="00537E5F" w:rsidP="00507A31">
      <w:pPr>
        <w:autoSpaceDE w:val="0"/>
        <w:autoSpaceDN w:val="0"/>
        <w:adjustRightInd w:val="0"/>
        <w:jc w:val="both"/>
        <w:rPr>
          <w:iCs/>
          <w:color w:val="000000" w:themeColor="text1"/>
          <w:sz w:val="16"/>
          <w:szCs w:val="16"/>
        </w:rPr>
      </w:pPr>
    </w:p>
    <w:p w14:paraId="495898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мая 1930 года в отчете о вредительстве директор завода им. Морозова в Ленинграде писал: Завод терпит исключительную нужду в руководящем техническом персонале. Не налажены поставки. Завод не справляется с достижением мобилизационной готовности. Далее сообщает о произошедшем взрыве на заводе (по-видимому, из-за курения, которое не заводе было запрещено) (11248).</w:t>
      </w:r>
    </w:p>
    <w:p w14:paraId="66D7008F" w14:textId="77777777" w:rsidR="00537E5F" w:rsidRPr="00507A31" w:rsidRDefault="00537E5F" w:rsidP="00507A31">
      <w:pPr>
        <w:autoSpaceDE w:val="0"/>
        <w:autoSpaceDN w:val="0"/>
        <w:adjustRightInd w:val="0"/>
        <w:jc w:val="both"/>
        <w:rPr>
          <w:color w:val="000000" w:themeColor="text1"/>
          <w:sz w:val="16"/>
          <w:szCs w:val="16"/>
        </w:rPr>
      </w:pPr>
    </w:p>
    <w:p w14:paraId="613D5832" w14:textId="77777777" w:rsidR="0086787E" w:rsidRPr="00507A31" w:rsidRDefault="0086787E" w:rsidP="00507A31">
      <w:pPr>
        <w:jc w:val="both"/>
        <w:rPr>
          <w:color w:val="000000" w:themeColor="text1"/>
          <w:sz w:val="16"/>
          <w:szCs w:val="16"/>
        </w:rPr>
      </w:pPr>
      <w:r w:rsidRPr="00507A31">
        <w:rPr>
          <w:rStyle w:val="a7"/>
          <w:b w:val="0"/>
          <w:color w:val="000000" w:themeColor="text1"/>
          <w:sz w:val="16"/>
          <w:szCs w:val="16"/>
        </w:rPr>
        <w:t xml:space="preserve">23 мая 1930 </w:t>
      </w:r>
      <w:r w:rsidRPr="00507A31">
        <w:rPr>
          <w:color w:val="000000" w:themeColor="text1"/>
          <w:sz w:val="16"/>
          <w:szCs w:val="16"/>
        </w:rPr>
        <w:t>ЦИК и СНК приняли постановления: «О едином финансовом плане», «О безвозвратных и возвратных ассигнованиях на финансирование государственных предприятий» (12265).</w:t>
      </w:r>
    </w:p>
    <w:p w14:paraId="096D65BC" w14:textId="77777777" w:rsidR="0086787E" w:rsidRPr="00507A31" w:rsidRDefault="0086787E" w:rsidP="00507A31">
      <w:pPr>
        <w:jc w:val="both"/>
        <w:rPr>
          <w:color w:val="000000" w:themeColor="text1"/>
          <w:sz w:val="16"/>
          <w:szCs w:val="16"/>
        </w:rPr>
      </w:pPr>
      <w:r w:rsidRPr="00507A31">
        <w:rPr>
          <w:color w:val="000000" w:themeColor="text1"/>
          <w:sz w:val="16"/>
          <w:szCs w:val="16"/>
        </w:rPr>
        <w:t> </w:t>
      </w:r>
    </w:p>
    <w:p w14:paraId="44E4A288" w14:textId="77777777" w:rsidR="001621D7" w:rsidRPr="00507A31" w:rsidRDefault="001621D7" w:rsidP="00507A31">
      <w:pPr>
        <w:jc w:val="both"/>
        <w:rPr>
          <w:color w:val="000000" w:themeColor="text1"/>
          <w:sz w:val="16"/>
          <w:szCs w:val="16"/>
        </w:rPr>
      </w:pPr>
      <w:r w:rsidRPr="00507A31">
        <w:rPr>
          <w:color w:val="000000" w:themeColor="text1"/>
          <w:sz w:val="16"/>
          <w:szCs w:val="16"/>
        </w:rPr>
        <w:t>23 мая 1930 г.</w:t>
      </w:r>
    </w:p>
    <w:p w14:paraId="123C0EF4" w14:textId="77777777" w:rsidR="001621D7" w:rsidRPr="00507A31" w:rsidRDefault="001621D7" w:rsidP="00507A31">
      <w:pPr>
        <w:jc w:val="both"/>
        <w:rPr>
          <w:color w:val="000000" w:themeColor="text1"/>
          <w:sz w:val="16"/>
          <w:szCs w:val="16"/>
        </w:rPr>
      </w:pPr>
      <w:r w:rsidRPr="00507A31">
        <w:rPr>
          <w:color w:val="000000" w:themeColor="text1"/>
          <w:sz w:val="16"/>
          <w:szCs w:val="16"/>
        </w:rPr>
        <w:t>Показания инженера В. Л. Стыриковича о «вредительстве в заводах Ленмаштреста», данные им 12-19 мая 1930 г. Приложение к докладной записке Г. Г. Ягоды и Г. Е. Прокофьева от 23 мая 1930 г.</w:t>
      </w:r>
    </w:p>
    <w:p w14:paraId="25166E6D" w14:textId="77777777" w:rsidR="001621D7" w:rsidRPr="00507A31" w:rsidRDefault="001621D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896FF85" w14:textId="77777777" w:rsidR="001621D7" w:rsidRPr="00507A31" w:rsidRDefault="001621D7" w:rsidP="00507A31">
      <w:pPr>
        <w:jc w:val="both"/>
        <w:rPr>
          <w:color w:val="000000" w:themeColor="text1"/>
          <w:sz w:val="16"/>
          <w:szCs w:val="16"/>
        </w:rPr>
      </w:pPr>
      <w:r w:rsidRPr="00507A31">
        <w:rPr>
          <w:color w:val="000000" w:themeColor="text1"/>
          <w:sz w:val="16"/>
          <w:szCs w:val="16"/>
        </w:rPr>
        <w:t>от 23 мая 1930 г.</w:t>
      </w:r>
    </w:p>
    <w:p w14:paraId="03D58CCD" w14:textId="77777777" w:rsidR="001621D7" w:rsidRPr="00507A31" w:rsidRDefault="001621D7" w:rsidP="00507A31">
      <w:pPr>
        <w:jc w:val="both"/>
        <w:rPr>
          <w:color w:val="000000" w:themeColor="text1"/>
          <w:sz w:val="16"/>
          <w:szCs w:val="16"/>
        </w:rPr>
      </w:pPr>
      <w:r w:rsidRPr="00507A31">
        <w:rPr>
          <w:color w:val="000000" w:themeColor="text1"/>
          <w:sz w:val="16"/>
          <w:szCs w:val="16"/>
        </w:rPr>
        <w:t>[Совершенно секретно]</w:t>
      </w:r>
    </w:p>
    <w:p w14:paraId="32875523" w14:textId="77777777" w:rsidR="001621D7" w:rsidRPr="00507A31" w:rsidRDefault="001621D7" w:rsidP="00507A31">
      <w:pPr>
        <w:jc w:val="both"/>
        <w:rPr>
          <w:color w:val="000000" w:themeColor="text1"/>
          <w:sz w:val="16"/>
          <w:szCs w:val="16"/>
        </w:rPr>
      </w:pPr>
      <w:r w:rsidRPr="00507A31">
        <w:rPr>
          <w:color w:val="000000" w:themeColor="text1"/>
          <w:sz w:val="16"/>
          <w:szCs w:val="16"/>
        </w:rPr>
        <w:t>ЗАЯВЛЕНИЕ В КОЛЛЕГИЮ О.Г.П.У.</w:t>
      </w:r>
    </w:p>
    <w:p w14:paraId="0CD9F031" w14:textId="77777777" w:rsidR="001621D7" w:rsidRPr="00507A31" w:rsidRDefault="001621D7" w:rsidP="00507A31">
      <w:pPr>
        <w:jc w:val="both"/>
        <w:rPr>
          <w:color w:val="000000" w:themeColor="text1"/>
          <w:sz w:val="16"/>
          <w:szCs w:val="16"/>
        </w:rPr>
      </w:pPr>
      <w:r w:rsidRPr="00507A31">
        <w:rPr>
          <w:color w:val="000000" w:themeColor="text1"/>
          <w:sz w:val="16"/>
          <w:szCs w:val="16"/>
        </w:rPr>
        <w:t>инженера Владислава Львовича СТЫРИКОВИЧА.</w:t>
      </w:r>
    </w:p>
    <w:p w14:paraId="1FE03E6D" w14:textId="77777777" w:rsidR="001621D7" w:rsidRPr="00507A31" w:rsidRDefault="001621D7" w:rsidP="00507A31">
      <w:pPr>
        <w:jc w:val="both"/>
        <w:rPr>
          <w:color w:val="000000" w:themeColor="text1"/>
          <w:sz w:val="16"/>
          <w:szCs w:val="16"/>
        </w:rPr>
      </w:pPr>
      <w:r w:rsidRPr="00507A31">
        <w:rPr>
          <w:color w:val="000000" w:themeColor="text1"/>
          <w:sz w:val="16"/>
          <w:szCs w:val="16"/>
        </w:rPr>
        <w:lastRenderedPageBreak/>
        <w:t>Настоящим признаю себя виновным в предъявленном мне обвинении в участии в центральной вредительской организации по металлопромышленности[,] в руководстве в таковом вредительстве в заводах ЛЕНМАШТРЕСТА. Мои отношения с центральной организацией, возглавляемой инж. ХРЕННИКОВЫМ, происходили главным образом через посредство инж. КУТСКОГО, которым и давались мне общие директивы вредительства],] сводящиеся к замедлению темпа развертывания производства на главных участках производства по заводам ЛЕНМАШТРЕСТА и к недостаточному использованию имеемых на заводах производственных ресурсов — заводских площадей, оборудования и использования рациональным образом рабсилы — рабочих и служащих. Одним из главных объектов вредительства был завод «Красный Путиловец», как наиболее крупная производственная единица. Моя связь с заводом в этом направлении осуществлялась через Технического] Директора з-да инж. САБЛИНА и сводилась в основном к следующему. Замедлялась и преуменьшалась производительность металлургии завода и не принималось должных мер к изжитию и уничтожению брака по металлургическим фабрикатам: болванка, поковка, прокат и стальное и чугунное литье. Так, напр[имер]: медленно велась постройка новой мартеновской печи, не работала постоянно резервная печь, недостаточно было смен на прокатных станках, медленно производились ремонты и установка новых механизмов (большие ножницы). Производственная программа по тракторам преуменьшалась против реальной возможности мастерской, причем замедлялась установка нового оборудования. В части общего машиностроения путем невведения сменных работ — не использовалось оборудование по дорогам. Конструкторские работы велись медленным темпом и в них допускались ошибки заведомого характера, что имело место в частности в проекте, паровоза — серии «М» у инж. ЯДОВА. В развити[и] плана реконструкции завода не проявлялось достаточно энергии. Хотя я и не касался военных заказов, но мне было известно, что таковой замедленный темп в развертывани[и] этого производства применялся и там.</w:t>
      </w:r>
    </w:p>
    <w:p w14:paraId="78C79F08" w14:textId="77777777" w:rsidR="001621D7" w:rsidRPr="00507A31" w:rsidRDefault="001621D7" w:rsidP="00507A31">
      <w:pPr>
        <w:jc w:val="both"/>
        <w:rPr>
          <w:color w:val="000000" w:themeColor="text1"/>
          <w:sz w:val="16"/>
          <w:szCs w:val="16"/>
        </w:rPr>
      </w:pPr>
      <w:r w:rsidRPr="00507A31">
        <w:rPr>
          <w:color w:val="000000" w:themeColor="text1"/>
          <w:sz w:val="16"/>
          <w:szCs w:val="16"/>
        </w:rPr>
        <w:t>По заводу металлическому вредительская работа велась через Технического] Директора инж. ВИНБЛАДА и в частности турбинного производства через инж. БОБРОВЩИКОВА. В главном она выражалась[:] замедленное оборудование новой турбинной мастерской и несвоевременное представление данных и материалов по плану развертывания мастерской сначала на 700.000 кв. и затем на 1.000.000 кв.[,] допускалась небрежная сборка пар[овых] турбин],] производились ошибки с лопатками водяных турбин. Недостаточно использовались новые станки и замедлялось задание на заказы новых станков. В части котельного дела несвоевременно составлялись чертежи и недостаточно использовались площади и оборудование мастерской. В общем, не организовывалось рациональное планирование работ по заводу, что вызывало перебои в работах, простои на станках и вследствие этого невыполнение производственных программ (в [19]28/29 г. 100 т[ыс]. кв. вместо 140). Недостаточно использовался договор с фирмой «МЕТРОПОЛИТЕН-ВИККЕРС» и продолжал[и] строиться турбины своих типов более плохого качества.</w:t>
      </w:r>
    </w:p>
    <w:p w14:paraId="1D2CE208" w14:textId="77777777" w:rsidR="001621D7" w:rsidRPr="00507A31" w:rsidRDefault="001621D7" w:rsidP="00507A31">
      <w:pPr>
        <w:jc w:val="both"/>
        <w:rPr>
          <w:color w:val="000000" w:themeColor="text1"/>
          <w:sz w:val="16"/>
          <w:szCs w:val="16"/>
        </w:rPr>
      </w:pPr>
      <w:r w:rsidRPr="00507A31">
        <w:rPr>
          <w:color w:val="000000" w:themeColor="text1"/>
          <w:sz w:val="16"/>
          <w:szCs w:val="16"/>
        </w:rPr>
        <w:t>По заводу им. Свердлова, согласно указаний КУТСКОГО, через инж. РЕНЦА, был замедлен пуск завода, и затем искусственно не давалась ему должная и возможная нагрузка.</w:t>
      </w:r>
    </w:p>
    <w:p w14:paraId="5DE80494" w14:textId="77777777" w:rsidR="001621D7" w:rsidRPr="00507A31" w:rsidRDefault="001621D7" w:rsidP="00507A31">
      <w:pPr>
        <w:jc w:val="both"/>
        <w:rPr>
          <w:color w:val="000000" w:themeColor="text1"/>
          <w:sz w:val="16"/>
          <w:szCs w:val="16"/>
        </w:rPr>
      </w:pPr>
      <w:r w:rsidRPr="00507A31">
        <w:rPr>
          <w:color w:val="000000" w:themeColor="text1"/>
          <w:sz w:val="16"/>
          <w:szCs w:val="16"/>
        </w:rPr>
        <w:t>По заводу «Русск[ий] Дизель», также согласно указаний КУТСКОГО, через Технического] Директора ХАРИТОНОВИЧА замедлялся темп развития дизелестроения, медленно велась работа по постройке судовых дизелей и недостаточно использовывался договор с фирмой ЗУЛЬЦЕР по внедрению новых современных машин (силовые машины и машины типа .........). Благодаря этому, шло недовыполнение вообще малых производственных программ (в [19)27/28 г. исполнение около всего 54 %).</w:t>
      </w:r>
    </w:p>
    <w:p w14:paraId="29047A08" w14:textId="77777777" w:rsidR="001621D7" w:rsidRPr="00507A31" w:rsidRDefault="001621D7" w:rsidP="00507A31">
      <w:pPr>
        <w:jc w:val="both"/>
        <w:rPr>
          <w:color w:val="000000" w:themeColor="text1"/>
          <w:sz w:val="16"/>
          <w:szCs w:val="16"/>
        </w:rPr>
      </w:pPr>
      <w:r w:rsidRPr="00507A31">
        <w:rPr>
          <w:color w:val="000000" w:themeColor="text1"/>
          <w:sz w:val="16"/>
          <w:szCs w:val="16"/>
        </w:rPr>
        <w:t>По Невскому заводу им. Ленина — связь моя осуществлялась через Технического] Директора инж. КОРНИЛОВИЧА и сводилась она в главном к замедлению загрузки завода, к малым производственным заданиям и, в частности, к замедленной реконструкции стале-литейной, медленной установке нового компрессора и замедленной установке хвойнобрикетной станции.</w:t>
      </w:r>
    </w:p>
    <w:p w14:paraId="2BCA5DB3" w14:textId="77777777" w:rsidR="001621D7" w:rsidRPr="00507A31" w:rsidRDefault="001621D7" w:rsidP="00507A31">
      <w:pPr>
        <w:jc w:val="both"/>
        <w:rPr>
          <w:color w:val="000000" w:themeColor="text1"/>
          <w:sz w:val="16"/>
          <w:szCs w:val="16"/>
        </w:rPr>
      </w:pPr>
      <w:r w:rsidRPr="00507A31">
        <w:rPr>
          <w:color w:val="000000" w:themeColor="text1"/>
          <w:sz w:val="16"/>
          <w:szCs w:val="16"/>
        </w:rPr>
        <w:t>По заводу «Пневматика» — замедлялось снабжение со стороны[,] главным образом, штамповкой и замедлялась организационная структура завода через Технического] Директора инж. КОНДРАТЬЕВА, чем понижался возможный выпуск завода.</w:t>
      </w:r>
    </w:p>
    <w:p w14:paraId="0D7958DF" w14:textId="77777777" w:rsidR="001621D7" w:rsidRPr="00507A31" w:rsidRDefault="001621D7" w:rsidP="00507A31">
      <w:pPr>
        <w:jc w:val="both"/>
        <w:rPr>
          <w:color w:val="000000" w:themeColor="text1"/>
          <w:sz w:val="16"/>
          <w:szCs w:val="16"/>
        </w:rPr>
      </w:pPr>
      <w:r w:rsidRPr="00507A31">
        <w:rPr>
          <w:color w:val="000000" w:themeColor="text1"/>
          <w:sz w:val="16"/>
          <w:szCs w:val="16"/>
        </w:rPr>
        <w:t>На заводе им. Карла Маркса — через Технического] Директора инж. ВЕЙСА не принималось должных мер к изжитию брака по чугунному литью, процент коего был весьма высок, а также замедлялось снабжение завода с «Красного Путиловца» материалами.</w:t>
      </w:r>
    </w:p>
    <w:p w14:paraId="03532960" w14:textId="77777777" w:rsidR="001621D7" w:rsidRPr="00507A31" w:rsidRDefault="001621D7" w:rsidP="00507A31">
      <w:pPr>
        <w:jc w:val="both"/>
        <w:rPr>
          <w:color w:val="000000" w:themeColor="text1"/>
          <w:sz w:val="16"/>
          <w:szCs w:val="16"/>
        </w:rPr>
      </w:pPr>
      <w:r w:rsidRPr="00507A31">
        <w:rPr>
          <w:color w:val="000000" w:themeColor="text1"/>
          <w:sz w:val="16"/>
          <w:szCs w:val="16"/>
        </w:rPr>
        <w:t>На заводе им. Энгельса — через инж. ТРАХТЕНБЕРГА замедлялось развитие изготовления тракторных частей.</w:t>
      </w:r>
    </w:p>
    <w:p w14:paraId="2866EA7E" w14:textId="77777777" w:rsidR="001621D7" w:rsidRPr="00507A31" w:rsidRDefault="001621D7" w:rsidP="00507A31">
      <w:pPr>
        <w:jc w:val="both"/>
        <w:rPr>
          <w:color w:val="000000" w:themeColor="text1"/>
          <w:sz w:val="16"/>
          <w:szCs w:val="16"/>
        </w:rPr>
      </w:pPr>
      <w:r w:rsidRPr="00507A31">
        <w:rPr>
          <w:color w:val="000000" w:themeColor="text1"/>
          <w:sz w:val="16"/>
          <w:szCs w:val="16"/>
        </w:rPr>
        <w:t>На заводе «ЭКОНОМАЙЗЕР» — через инж. СОКОЛОВСКОГО не принималось мер против брака и шла задержка литья для Металлического] завода.</w:t>
      </w:r>
    </w:p>
    <w:p w14:paraId="0F3EBA79" w14:textId="77777777" w:rsidR="001621D7" w:rsidRPr="00507A31" w:rsidRDefault="001621D7" w:rsidP="00507A31">
      <w:pPr>
        <w:jc w:val="both"/>
        <w:rPr>
          <w:color w:val="000000" w:themeColor="text1"/>
          <w:sz w:val="16"/>
          <w:szCs w:val="16"/>
        </w:rPr>
      </w:pPr>
      <w:r w:rsidRPr="00507A31">
        <w:rPr>
          <w:color w:val="000000" w:themeColor="text1"/>
          <w:sz w:val="16"/>
          <w:szCs w:val="16"/>
        </w:rPr>
        <w:t>После Октябрьской революции группа старых работников — я, БЕЛОНОЖКИН, БАЧМАНОВ, ВИНБЛАД, ГЕЛЬТМАН, ШПЕРГАЗЕ и друг[ие] — вошла в состав ком[иссии] ФЕДОРОВА по организации металлопромышленности. Здесь несомненно существовало вредительское настроение и намечались таковые меры организации промышленности, чтобы сохранить в неприкосновенности заводы в том виде, как они были. После отъезда ФЕДОРОВА заграницу в 1921 г. вредительская организация приняла форму всесоюзной. Ее возглавлял инж. ХРЕННИКОВ и в ней принимали участие: БЕЛОНОЖКИН, БАЧМАНОВ, КУТСКИЙ, НЕЙМАЕР, МИЛЮКОВ, ЛИСТ, САБЛИН, ВИНБЛАД и я. Других лиц не знаю, потому что, бывая редко в Москве, где была централизована работа организации, указания получал от БЕЛОНОЖКИНА, КУТСКОГО, изредка от ХРЕННИКОВА. Организация по ЛЕНМАШТРЕСТУ сводилась главным образом в моей связи с указанными директорами заводов. Из прочих лиц могу указать ДУКЕЛЬСКОГО, ЛИПНИЦКОГО, ЯДОВА, ЕМЦОВА, ГОРОДКОВА (был наблюд[ающий] инж. в Техн. Отд. Треста). Снабжение заводо[в], проводимое ГИНСБУРГОМ[,] было крайне хаотично и несомненно носило вредительский характер.</w:t>
      </w:r>
    </w:p>
    <w:p w14:paraId="74845E24" w14:textId="77777777" w:rsidR="001621D7" w:rsidRPr="00507A31" w:rsidRDefault="001621D7" w:rsidP="00507A31">
      <w:pPr>
        <w:jc w:val="both"/>
        <w:rPr>
          <w:color w:val="000000" w:themeColor="text1"/>
          <w:sz w:val="16"/>
          <w:szCs w:val="16"/>
        </w:rPr>
      </w:pPr>
      <w:r w:rsidRPr="00507A31">
        <w:rPr>
          <w:color w:val="000000" w:themeColor="text1"/>
          <w:sz w:val="16"/>
          <w:szCs w:val="16"/>
        </w:rPr>
        <w:t>После отъезда в 1917 г. ПЛОТНИКОВА заграницу, он, через КОЛЬЦА, давал мне указания по сохранению в неприкосновенности и сохранности интересовавшие его заводы (б. Лесснер, б. Феникс) и, примерно, до [19]23 г. оказывал мне также через КОЛЬЦА денежную помощь в общем размере, примерно, около 2.500 рублей.</w:t>
      </w:r>
    </w:p>
    <w:p w14:paraId="151C6F09" w14:textId="77777777" w:rsidR="001621D7" w:rsidRPr="00507A31" w:rsidRDefault="001621D7" w:rsidP="00507A31">
      <w:pPr>
        <w:jc w:val="both"/>
        <w:rPr>
          <w:color w:val="000000" w:themeColor="text1"/>
          <w:sz w:val="16"/>
          <w:szCs w:val="16"/>
        </w:rPr>
      </w:pPr>
      <w:r w:rsidRPr="00507A31">
        <w:rPr>
          <w:color w:val="000000" w:themeColor="text1"/>
          <w:sz w:val="16"/>
          <w:szCs w:val="16"/>
        </w:rPr>
        <w:t>Признаю, что за проведение договора с Метроп[олитен]-Виккерс получил от предс[тавителя] фирмы СИМОНА в один из его приездов в СССР в виде благодарности 1.000 рублей.</w:t>
      </w:r>
    </w:p>
    <w:p w14:paraId="7EDC6BBB" w14:textId="77777777" w:rsidR="001621D7" w:rsidRPr="00507A31" w:rsidRDefault="001621D7" w:rsidP="00507A31">
      <w:pPr>
        <w:jc w:val="both"/>
        <w:rPr>
          <w:color w:val="000000" w:themeColor="text1"/>
          <w:sz w:val="16"/>
          <w:szCs w:val="16"/>
        </w:rPr>
      </w:pPr>
      <w:r w:rsidRPr="00507A31">
        <w:rPr>
          <w:color w:val="000000" w:themeColor="text1"/>
          <w:sz w:val="16"/>
          <w:szCs w:val="16"/>
        </w:rPr>
        <w:t>Все указанное выше смогу подробнее детализировать при дальнейших указаниях.</w:t>
      </w:r>
    </w:p>
    <w:p w14:paraId="691DDF5D" w14:textId="77777777" w:rsidR="001621D7" w:rsidRPr="00507A31" w:rsidRDefault="001621D7" w:rsidP="00507A31">
      <w:pPr>
        <w:jc w:val="both"/>
        <w:rPr>
          <w:color w:val="000000" w:themeColor="text1"/>
          <w:sz w:val="16"/>
          <w:szCs w:val="16"/>
        </w:rPr>
      </w:pPr>
      <w:r w:rsidRPr="00507A31">
        <w:rPr>
          <w:color w:val="000000" w:themeColor="text1"/>
          <w:sz w:val="16"/>
          <w:szCs w:val="16"/>
        </w:rPr>
        <w:t>Принося полное раскаяние в своей вредной деятельности в прошлом и вполне сознавая в настоящее время свою глубокую ошибку и виновность перед Советской Властью и страной, прошу КОЛЛЕГИЮ оказать мне возможное снисхождение и дать возможность в дальнейшем мне, искренне сознавшему свои ошибки, принять посильное участие в промышленном строительстве страны на началах социализма.</w:t>
      </w:r>
    </w:p>
    <w:p w14:paraId="3A0EEB7F" w14:textId="77777777" w:rsidR="001621D7" w:rsidRPr="00507A31" w:rsidRDefault="001621D7" w:rsidP="00507A31">
      <w:pPr>
        <w:jc w:val="both"/>
        <w:rPr>
          <w:color w:val="000000" w:themeColor="text1"/>
          <w:sz w:val="16"/>
          <w:szCs w:val="16"/>
        </w:rPr>
      </w:pPr>
      <w:r w:rsidRPr="00507A31">
        <w:rPr>
          <w:color w:val="000000" w:themeColor="text1"/>
          <w:sz w:val="16"/>
          <w:szCs w:val="16"/>
        </w:rPr>
        <w:t>1[2]/V—30 г. В. СТЫРИКОВИЧ (18351).</w:t>
      </w:r>
    </w:p>
    <w:p w14:paraId="696D3283" w14:textId="77777777" w:rsidR="001621D7" w:rsidRPr="00507A31" w:rsidRDefault="001621D7" w:rsidP="00507A31">
      <w:pPr>
        <w:jc w:val="both"/>
        <w:rPr>
          <w:color w:val="000000" w:themeColor="text1"/>
          <w:sz w:val="16"/>
          <w:szCs w:val="16"/>
        </w:rPr>
      </w:pPr>
    </w:p>
    <w:p w14:paraId="1D37C174" w14:textId="77777777" w:rsidR="001621D7" w:rsidRPr="00507A31" w:rsidRDefault="001621D7" w:rsidP="00507A31">
      <w:pPr>
        <w:jc w:val="both"/>
        <w:rPr>
          <w:color w:val="000000" w:themeColor="text1"/>
          <w:sz w:val="16"/>
          <w:szCs w:val="16"/>
        </w:rPr>
      </w:pPr>
      <w:r w:rsidRPr="00507A31">
        <w:rPr>
          <w:color w:val="000000" w:themeColor="text1"/>
          <w:sz w:val="16"/>
          <w:szCs w:val="16"/>
        </w:rPr>
        <w:t>23 мая 1930 г.</w:t>
      </w:r>
    </w:p>
    <w:p w14:paraId="7F054E43" w14:textId="77777777" w:rsidR="001621D7" w:rsidRPr="00507A31" w:rsidRDefault="001621D7" w:rsidP="00507A31">
      <w:pPr>
        <w:jc w:val="both"/>
        <w:rPr>
          <w:color w:val="000000" w:themeColor="text1"/>
          <w:sz w:val="16"/>
          <w:szCs w:val="16"/>
        </w:rPr>
      </w:pPr>
      <w:r w:rsidRPr="00507A31">
        <w:rPr>
          <w:color w:val="000000" w:themeColor="text1"/>
          <w:sz w:val="16"/>
          <w:szCs w:val="16"/>
        </w:rPr>
        <w:t xml:space="preserve">Докладная записка заместителя председателя ОГПУ Г. Г. Ягоды и начальника Экономического управления ОГПУ Г. Е. Прокофьева в ЦК ВКП(б) о «вредительской организации в Ленмаштресте». </w:t>
      </w:r>
    </w:p>
    <w:p w14:paraId="0998595A" w14:textId="77777777" w:rsidR="001621D7" w:rsidRPr="00507A31" w:rsidRDefault="001621D7" w:rsidP="00507A31">
      <w:pPr>
        <w:jc w:val="both"/>
        <w:rPr>
          <w:color w:val="000000" w:themeColor="text1"/>
          <w:sz w:val="16"/>
          <w:szCs w:val="16"/>
        </w:rPr>
      </w:pPr>
      <w:r w:rsidRPr="00507A31">
        <w:rPr>
          <w:color w:val="000000" w:themeColor="text1"/>
          <w:sz w:val="16"/>
          <w:szCs w:val="16"/>
        </w:rPr>
        <w:t>Источник: </w:t>
      </w:r>
    </w:p>
    <w:p w14:paraId="34A892A9" w14:textId="77777777" w:rsidR="001621D7" w:rsidRPr="00507A31" w:rsidRDefault="001621D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0F2361" w14:textId="77777777" w:rsidR="001621D7" w:rsidRPr="00507A31" w:rsidRDefault="001621D7" w:rsidP="00507A31">
      <w:pPr>
        <w:jc w:val="both"/>
        <w:rPr>
          <w:color w:val="000000" w:themeColor="text1"/>
          <w:sz w:val="16"/>
          <w:szCs w:val="16"/>
        </w:rPr>
      </w:pPr>
      <w:r w:rsidRPr="00507A31">
        <w:rPr>
          <w:color w:val="000000" w:themeColor="text1"/>
          <w:sz w:val="16"/>
          <w:szCs w:val="16"/>
        </w:rPr>
        <w:t>23 мая 1930 г.</w:t>
      </w:r>
    </w:p>
    <w:p w14:paraId="59CD0CBD" w14:textId="77777777" w:rsidR="001621D7" w:rsidRPr="00507A31" w:rsidRDefault="001621D7" w:rsidP="00507A31">
      <w:pPr>
        <w:jc w:val="both"/>
        <w:rPr>
          <w:color w:val="000000" w:themeColor="text1"/>
          <w:sz w:val="16"/>
          <w:szCs w:val="16"/>
        </w:rPr>
      </w:pPr>
      <w:r w:rsidRPr="00507A31">
        <w:rPr>
          <w:color w:val="000000" w:themeColor="text1"/>
          <w:sz w:val="16"/>
          <w:szCs w:val="16"/>
        </w:rPr>
        <w:t>Совершенно секретно.</w:t>
      </w:r>
    </w:p>
    <w:p w14:paraId="2A6E99F6" w14:textId="77777777" w:rsidR="001621D7" w:rsidRPr="00507A31" w:rsidRDefault="001621D7" w:rsidP="00507A31">
      <w:pPr>
        <w:jc w:val="both"/>
        <w:rPr>
          <w:color w:val="000000" w:themeColor="text1"/>
          <w:sz w:val="16"/>
          <w:szCs w:val="16"/>
        </w:rPr>
      </w:pPr>
      <w:r w:rsidRPr="00507A31">
        <w:rPr>
          <w:color w:val="000000" w:themeColor="text1"/>
          <w:sz w:val="16"/>
          <w:szCs w:val="16"/>
        </w:rPr>
        <w:t>СЕКРЕТАРЮ ЦК ВКП(б) тов. СТАЛИНУ.</w:t>
      </w:r>
    </w:p>
    <w:p w14:paraId="70152A09" w14:textId="77777777" w:rsidR="001621D7" w:rsidRPr="00507A31" w:rsidRDefault="001621D7" w:rsidP="00507A31">
      <w:pPr>
        <w:jc w:val="both"/>
        <w:rPr>
          <w:color w:val="000000" w:themeColor="text1"/>
          <w:sz w:val="16"/>
          <w:szCs w:val="16"/>
        </w:rPr>
      </w:pPr>
      <w:r w:rsidRPr="00507A31">
        <w:rPr>
          <w:color w:val="000000" w:themeColor="text1"/>
          <w:sz w:val="16"/>
          <w:szCs w:val="16"/>
        </w:rPr>
        <w:t>В июле месяце 1929 года Ленинградским ПП ОГПУ была вскрыта к.-р. вредительская организация в Ленмаштресте. Уже из первых показаний членов организации проф. БЕЛОНОЖКИНА, ЯДОВА, БАЧМАНОВА и др. было установлено, что руководителем упомянутой вредительской организации являлся член правления — технический директор Ленмаштреста инж. СТЫРИКОВИЧ В. Л.</w:t>
      </w:r>
    </w:p>
    <w:p w14:paraId="76FA99E5" w14:textId="77777777" w:rsidR="001621D7" w:rsidRPr="00507A31" w:rsidRDefault="001621D7" w:rsidP="00507A31">
      <w:pPr>
        <w:jc w:val="both"/>
        <w:rPr>
          <w:color w:val="000000" w:themeColor="text1"/>
          <w:sz w:val="16"/>
          <w:szCs w:val="16"/>
        </w:rPr>
      </w:pPr>
      <w:r w:rsidRPr="00507A31">
        <w:rPr>
          <w:color w:val="000000" w:themeColor="text1"/>
          <w:sz w:val="16"/>
          <w:szCs w:val="16"/>
        </w:rPr>
        <w:t>В конце марта с. г. СТЫРИКОВИЧ был арестован</w:t>
      </w:r>
    </w:p>
    <w:p w14:paraId="06EEE580" w14:textId="77777777" w:rsidR="001621D7" w:rsidRPr="00507A31" w:rsidRDefault="001621D7" w:rsidP="00507A31">
      <w:pPr>
        <w:jc w:val="both"/>
        <w:rPr>
          <w:color w:val="000000" w:themeColor="text1"/>
          <w:sz w:val="16"/>
          <w:szCs w:val="16"/>
        </w:rPr>
      </w:pPr>
      <w:r w:rsidRPr="00507A31">
        <w:rPr>
          <w:color w:val="000000" w:themeColor="text1"/>
          <w:sz w:val="16"/>
          <w:szCs w:val="16"/>
        </w:rPr>
        <w:t>В настоящее время СТЫРИКОВИЧ полностью сознался в участии в центральной вредительской организации по металлопромышленности и в руководстве вредительством на заводах Ленмаштреста.</w:t>
      </w:r>
    </w:p>
    <w:p w14:paraId="15E703FE" w14:textId="77777777" w:rsidR="001621D7" w:rsidRPr="00507A31" w:rsidRDefault="001621D7" w:rsidP="00507A31">
      <w:pPr>
        <w:jc w:val="both"/>
        <w:rPr>
          <w:color w:val="000000" w:themeColor="text1"/>
          <w:sz w:val="16"/>
          <w:szCs w:val="16"/>
        </w:rPr>
      </w:pPr>
      <w:r w:rsidRPr="00507A31">
        <w:rPr>
          <w:color w:val="000000" w:themeColor="text1"/>
          <w:sz w:val="16"/>
          <w:szCs w:val="16"/>
        </w:rPr>
        <w:t>В своих показаниях СТЫРИКОВИЧ указывает, что центральная к.-р. организация возглавлялась ХРЕННИКОВЫМ. В состав ее входили кроме ХРЕННИКОВА — БЕЛОНОЖКИН, БАЧМАНОВ, КУТСКИЙ, МИЛЮКОВ, НЕЙМАЕР, ЛИСТ, СТЫРИКОВИЧ, САБЛИН (не арестован) и ВИНБЛАД. Руководящие вредительские директивы СТЫРИКОВИЧЕМ получались от ХРЕННИКОВА, КУТСКОГО и БЕЛ О НОЖКИ НА. Вредительство по заводам проводилось СТЫРИКОВИЧЕМ через технических] директоров: по металлическому заводу —  ВИНБЛАДА, по заводу им. «Свердлова» — РЕНЦА, по заводу «Русский Дизель» — ХАРИТОНОВИЧА, по Невскому заводу им. «Ленина» —  КОРНИЛОВИЧА, по заводу «Пневматика» — КОНДРАТЬЕВА, по заводу им. «Карла Маркса» — ВЕЙСА, по заводу «Энгельса» — ТРАХТЕНБЕРГА и по заводу «Экономайзер» через инж. СОКОЛОВСКОГО.</w:t>
      </w:r>
    </w:p>
    <w:p w14:paraId="5A90EC5B" w14:textId="77777777" w:rsidR="001621D7" w:rsidRPr="00507A31" w:rsidRDefault="001621D7" w:rsidP="00507A31">
      <w:pPr>
        <w:jc w:val="both"/>
        <w:rPr>
          <w:color w:val="000000" w:themeColor="text1"/>
          <w:sz w:val="16"/>
          <w:szCs w:val="16"/>
        </w:rPr>
      </w:pPr>
      <w:r w:rsidRPr="00507A31">
        <w:rPr>
          <w:color w:val="000000" w:themeColor="text1"/>
          <w:sz w:val="16"/>
          <w:szCs w:val="16"/>
        </w:rPr>
        <w:t>Вредительство[,] проводимое на заводах Ленмаштреста[,] по показаниям СТЫРИКОВИЧА в основном сводилось к ослаблению производительности отечественных заводов, для возможности внедрения иностранного капитала в виде концессий, а затем ослабление боеспособности страны и к умышленному понижению качества и количества выпускаемой продукции.</w:t>
      </w:r>
    </w:p>
    <w:p w14:paraId="04C84B09" w14:textId="77777777" w:rsidR="001621D7" w:rsidRPr="00507A31" w:rsidRDefault="001621D7" w:rsidP="00507A31">
      <w:pPr>
        <w:jc w:val="both"/>
        <w:rPr>
          <w:color w:val="000000" w:themeColor="text1"/>
          <w:sz w:val="16"/>
          <w:szCs w:val="16"/>
        </w:rPr>
      </w:pPr>
      <w:r w:rsidRPr="00507A31">
        <w:rPr>
          <w:color w:val="000000" w:themeColor="text1"/>
          <w:sz w:val="16"/>
          <w:szCs w:val="16"/>
        </w:rPr>
        <w:t>СТЫРИКОВИЧ в своих показаниях также указал, что за свою шпионско-вредительскую деятельность он получал деньги от быв. владельцев в лице ПЛОТНИКОВА через Эстонскую миссию. Позднее СТЫРИКОВИЧЕМ получались деньги от ХРЕННИКОВА через БЕЛОНОЖКИНА. Одновременно СТЫРИКОВИЧ за проведение договора с английской фирмой «Метрополитен-Виккерс» получил 1.000 рублей от ее представителя СИМОНА, во время одного из приездов его в СССР.</w:t>
      </w:r>
    </w:p>
    <w:p w14:paraId="12F341EF" w14:textId="77777777" w:rsidR="001621D7" w:rsidRPr="00507A31" w:rsidRDefault="001621D7" w:rsidP="00507A31">
      <w:pPr>
        <w:jc w:val="both"/>
        <w:rPr>
          <w:color w:val="000000" w:themeColor="text1"/>
          <w:sz w:val="16"/>
          <w:szCs w:val="16"/>
        </w:rPr>
      </w:pPr>
      <w:r w:rsidRPr="00507A31">
        <w:rPr>
          <w:color w:val="000000" w:themeColor="text1"/>
          <w:sz w:val="16"/>
          <w:szCs w:val="16"/>
        </w:rPr>
        <w:t>Прилагаем копии показаний СТЫРИКОВИЧА.</w:t>
      </w:r>
    </w:p>
    <w:p w14:paraId="19352101" w14:textId="77777777" w:rsidR="001621D7" w:rsidRPr="00507A31" w:rsidRDefault="001621D7" w:rsidP="00507A31">
      <w:pPr>
        <w:jc w:val="both"/>
        <w:rPr>
          <w:color w:val="000000" w:themeColor="text1"/>
          <w:sz w:val="16"/>
          <w:szCs w:val="16"/>
        </w:rPr>
      </w:pPr>
      <w:r w:rsidRPr="00507A31">
        <w:rPr>
          <w:color w:val="000000" w:themeColor="text1"/>
          <w:sz w:val="16"/>
          <w:szCs w:val="16"/>
        </w:rPr>
        <w:t>ПРИЛОЖЕНИЕ: Упомянутое.</w:t>
      </w:r>
    </w:p>
    <w:p w14:paraId="263FD92A" w14:textId="77777777" w:rsidR="001621D7" w:rsidRPr="00507A31" w:rsidRDefault="001621D7" w:rsidP="00507A31">
      <w:pPr>
        <w:jc w:val="both"/>
        <w:rPr>
          <w:color w:val="000000" w:themeColor="text1"/>
          <w:sz w:val="16"/>
          <w:szCs w:val="16"/>
        </w:rPr>
      </w:pPr>
      <w:r w:rsidRPr="00507A31">
        <w:rPr>
          <w:color w:val="000000" w:themeColor="text1"/>
          <w:sz w:val="16"/>
          <w:szCs w:val="16"/>
        </w:rPr>
        <w:t>ЗАМ. ПРЕДСЕДАТЕЛЯ ОГПУ: Г. Ягода</w:t>
      </w:r>
    </w:p>
    <w:p w14:paraId="7A7AE3C4" w14:textId="77777777" w:rsidR="001621D7" w:rsidRPr="00507A31" w:rsidRDefault="001621D7" w:rsidP="00507A31">
      <w:pPr>
        <w:jc w:val="both"/>
        <w:rPr>
          <w:color w:val="000000" w:themeColor="text1"/>
          <w:sz w:val="16"/>
          <w:szCs w:val="16"/>
        </w:rPr>
      </w:pPr>
      <w:r w:rsidRPr="00507A31">
        <w:rPr>
          <w:color w:val="000000" w:themeColor="text1"/>
          <w:sz w:val="16"/>
          <w:szCs w:val="16"/>
        </w:rPr>
        <w:t>НАЧ. ЭКУ ОГПУ: Г. Прокофьев</w:t>
      </w:r>
    </w:p>
    <w:p w14:paraId="5780C94B" w14:textId="77777777" w:rsidR="001621D7" w:rsidRPr="00507A31" w:rsidRDefault="001621D7" w:rsidP="00507A31">
      <w:pPr>
        <w:jc w:val="both"/>
        <w:rPr>
          <w:color w:val="000000" w:themeColor="text1"/>
          <w:sz w:val="16"/>
          <w:szCs w:val="16"/>
        </w:rPr>
      </w:pPr>
      <w:r w:rsidRPr="00507A31">
        <w:rPr>
          <w:color w:val="000000" w:themeColor="text1"/>
          <w:sz w:val="16"/>
          <w:szCs w:val="16"/>
        </w:rPr>
        <w:lastRenderedPageBreak/>
        <w:t>Д. 353. Л. 73. Машинописный подлинник на бланке ОГПУ СНК СССР, подписи — автографы. Дата и исходящий номер документа вписаны от руки в угловой штамп бланка. Гриф секретности машинописью. Вверху листа — штампы делопроизводства ЦК ВКП(б) с вписанными от руки данными о распечатке документа (35 экз.), номером (№ 24469/с) и датой (28.V.1930 г.) рассылки, подпись-автограф Хряпкиной (18350).</w:t>
      </w:r>
    </w:p>
    <w:p w14:paraId="02B71C17" w14:textId="77777777" w:rsidR="001621D7" w:rsidRPr="00507A31" w:rsidRDefault="001621D7" w:rsidP="00507A31">
      <w:pPr>
        <w:jc w:val="both"/>
        <w:rPr>
          <w:color w:val="000000" w:themeColor="text1"/>
          <w:sz w:val="16"/>
          <w:szCs w:val="16"/>
        </w:rPr>
      </w:pPr>
    </w:p>
    <w:p w14:paraId="45BD49A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9BFD827" w14:textId="77777777" w:rsidR="00537E5F" w:rsidRPr="00507A31" w:rsidRDefault="00537E5F" w:rsidP="00507A31">
      <w:pPr>
        <w:autoSpaceDE w:val="0"/>
        <w:autoSpaceDN w:val="0"/>
        <w:adjustRightInd w:val="0"/>
        <w:jc w:val="both"/>
        <w:rPr>
          <w:iCs/>
          <w:color w:val="000000" w:themeColor="text1"/>
          <w:sz w:val="16"/>
          <w:szCs w:val="16"/>
        </w:rPr>
      </w:pPr>
    </w:p>
    <w:p w14:paraId="1FD40F0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23 мая 1930 газета «Комсомольская правда» награждена первым орденом Ленина (4962).</w:t>
      </w:r>
    </w:p>
    <w:p w14:paraId="25518EF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80AB8FB" w14:textId="77777777" w:rsidR="008F0891" w:rsidRPr="00507A31" w:rsidRDefault="008F0891"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E6771A3" w14:textId="77777777" w:rsidR="008F0891" w:rsidRPr="00507A31" w:rsidRDefault="008F0891" w:rsidP="00507A31">
      <w:pPr>
        <w:autoSpaceDE w:val="0"/>
        <w:autoSpaceDN w:val="0"/>
        <w:adjustRightInd w:val="0"/>
        <w:jc w:val="both"/>
        <w:rPr>
          <w:iCs/>
          <w:color w:val="000000" w:themeColor="text1"/>
          <w:sz w:val="16"/>
          <w:szCs w:val="16"/>
        </w:rPr>
      </w:pPr>
    </w:p>
    <w:p w14:paraId="6AF0741B" w14:textId="77777777" w:rsidR="008F0891" w:rsidRPr="00507A31" w:rsidRDefault="008F0891" w:rsidP="00507A31">
      <w:pPr>
        <w:jc w:val="both"/>
        <w:rPr>
          <w:color w:val="0070C0"/>
          <w:sz w:val="16"/>
          <w:szCs w:val="16"/>
        </w:rPr>
      </w:pPr>
      <w:r w:rsidRPr="00507A31">
        <w:rPr>
          <w:color w:val="0070C0"/>
          <w:sz w:val="16"/>
          <w:szCs w:val="16"/>
        </w:rPr>
        <w:t>23 мая 1930 президент Герберт Гувер вручает экипажу летающей лодки NC-4 золотые медали за совершение первого трансатлантического полета в 1919 году (20805).</w:t>
      </w:r>
    </w:p>
    <w:p w14:paraId="25A321DA" w14:textId="77777777" w:rsidR="008F0891" w:rsidRPr="00507A31" w:rsidRDefault="008F0891" w:rsidP="00507A31">
      <w:pPr>
        <w:jc w:val="both"/>
        <w:rPr>
          <w:color w:val="0070C0"/>
          <w:sz w:val="16"/>
          <w:szCs w:val="16"/>
        </w:rPr>
      </w:pPr>
    </w:p>
    <w:p w14:paraId="44E619C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A78D4A5" w14:textId="77777777" w:rsidR="00537E5F" w:rsidRPr="00507A31" w:rsidRDefault="00537E5F" w:rsidP="00507A31">
      <w:pPr>
        <w:autoSpaceDE w:val="0"/>
        <w:autoSpaceDN w:val="0"/>
        <w:adjustRightInd w:val="0"/>
        <w:jc w:val="both"/>
        <w:rPr>
          <w:iCs/>
          <w:color w:val="000000" w:themeColor="text1"/>
          <w:sz w:val="16"/>
          <w:szCs w:val="16"/>
        </w:rPr>
      </w:pPr>
    </w:p>
    <w:p w14:paraId="18828B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состоялся перелет К-5 "Сталин" - перелет Х - Х и вылетел 24 мая 1920. Надпись "Дайош массовый Радяньский аероплан" (70,163).</w:t>
      </w:r>
    </w:p>
    <w:p w14:paraId="632E3A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Подлизывался как мог.</w:t>
      </w:r>
    </w:p>
    <w:p w14:paraId="7F888AD5" w14:textId="77777777" w:rsidR="00537E5F" w:rsidRPr="00507A31" w:rsidRDefault="00537E5F" w:rsidP="00507A31">
      <w:pPr>
        <w:autoSpaceDE w:val="0"/>
        <w:autoSpaceDN w:val="0"/>
        <w:adjustRightInd w:val="0"/>
        <w:jc w:val="both"/>
        <w:rPr>
          <w:iCs/>
          <w:color w:val="000000" w:themeColor="text1"/>
          <w:sz w:val="16"/>
          <w:szCs w:val="16"/>
        </w:rPr>
      </w:pPr>
    </w:p>
    <w:p w14:paraId="3443114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BF9B878" w14:textId="77777777" w:rsidR="00537E5F" w:rsidRPr="00507A31" w:rsidRDefault="00537E5F" w:rsidP="00507A31">
      <w:pPr>
        <w:autoSpaceDE w:val="0"/>
        <w:autoSpaceDN w:val="0"/>
        <w:adjustRightInd w:val="0"/>
        <w:jc w:val="both"/>
        <w:rPr>
          <w:iCs/>
          <w:color w:val="000000" w:themeColor="text1"/>
          <w:sz w:val="16"/>
          <w:szCs w:val="16"/>
        </w:rPr>
      </w:pPr>
    </w:p>
    <w:p w14:paraId="06267C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мая и 27 июля 1930 г. в Берлине состоялась передача рабочих чертежей колесно-гусеничного танка;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(11784).</w:t>
      </w:r>
    </w:p>
    <w:p w14:paraId="0D834173" w14:textId="77777777" w:rsidR="00537E5F" w:rsidRPr="00507A31" w:rsidRDefault="00537E5F" w:rsidP="00507A31">
      <w:pPr>
        <w:autoSpaceDE w:val="0"/>
        <w:autoSpaceDN w:val="0"/>
        <w:adjustRightInd w:val="0"/>
        <w:jc w:val="both"/>
        <w:rPr>
          <w:color w:val="000000" w:themeColor="text1"/>
          <w:sz w:val="16"/>
          <w:szCs w:val="16"/>
        </w:rPr>
      </w:pPr>
    </w:p>
    <w:p w14:paraId="7F72916B" w14:textId="77777777" w:rsidR="00AB3E9D" w:rsidRPr="00507A31" w:rsidRDefault="00AB3E9D" w:rsidP="00507A31">
      <w:pPr>
        <w:jc w:val="both"/>
        <w:rPr>
          <w:color w:val="000000" w:themeColor="text1"/>
          <w:sz w:val="16"/>
          <w:szCs w:val="16"/>
        </w:rPr>
      </w:pPr>
      <w:r w:rsidRPr="00507A31">
        <w:rPr>
          <w:color w:val="000000" w:themeColor="text1"/>
          <w:sz w:val="16"/>
          <w:szCs w:val="16"/>
        </w:rPr>
        <w:t>24 мая и 27 июля 1930 г. в Берлине состоялась передача рабочих чертежей колесно-гусеничного танка.</w:t>
      </w:r>
    </w:p>
    <w:p w14:paraId="6941C25C" w14:textId="77777777" w:rsidR="00AB3E9D" w:rsidRPr="00507A31" w:rsidRDefault="00AB3E9D" w:rsidP="00507A31">
      <w:pPr>
        <w:jc w:val="both"/>
        <w:rPr>
          <w:color w:val="000000" w:themeColor="text1"/>
          <w:sz w:val="16"/>
          <w:szCs w:val="16"/>
        </w:rPr>
      </w:pPr>
      <w:r w:rsidRPr="00507A31">
        <w:rPr>
          <w:color w:val="000000" w:themeColor="text1"/>
          <w:sz w:val="16"/>
          <w:szCs w:val="16"/>
        </w:rPr>
        <w:t>18 декабря 1928 г. в Москве между Государственным Всесоюзным Орудийно-Оружейно-Пулеметным объединением (ООПО) «Оружобъединение» и германской фирмой «ДАК» («Дойче Аутомобиль-Конструкционсгезельшафт») было заключено соглашение на разработку конструкции колесно-гусеничного танка. Его подписали директор «ДАК» И. Фолльмер и председатель правления «Орудартреста» Березин. Фирма за 70 тыс. американских долларов обязалась разработать в соответствии с выработанными «Оружобъединением» техническими условиями и поставить ему проект и детальные рабочие чертежи танка с колесно-гусеничным приводом.</w:t>
      </w:r>
    </w:p>
    <w:p w14:paraId="1ACA3371" w14:textId="77777777" w:rsidR="00AB3E9D" w:rsidRPr="00507A31" w:rsidRDefault="00AB3E9D" w:rsidP="00507A31">
      <w:pPr>
        <w:jc w:val="both"/>
        <w:rPr>
          <w:color w:val="000000" w:themeColor="text1"/>
          <w:sz w:val="16"/>
          <w:szCs w:val="16"/>
        </w:rPr>
      </w:pPr>
      <w:r w:rsidRPr="00507A31">
        <w:rPr>
          <w:color w:val="000000" w:themeColor="text1"/>
          <w:sz w:val="16"/>
          <w:szCs w:val="16"/>
        </w:rPr>
        <w:t>Фирме «ДАК» («Дойче Аутомобиль-Конструкционсгезельшафт»)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(18265).</w:t>
      </w:r>
    </w:p>
    <w:p w14:paraId="5A243EBB" w14:textId="77777777" w:rsidR="00AB3E9D" w:rsidRPr="00507A31" w:rsidRDefault="00AB3E9D" w:rsidP="00507A31">
      <w:pPr>
        <w:jc w:val="both"/>
        <w:rPr>
          <w:color w:val="000000" w:themeColor="text1"/>
          <w:sz w:val="16"/>
          <w:szCs w:val="16"/>
        </w:rPr>
      </w:pPr>
    </w:p>
    <w:p w14:paraId="3B876D1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571E1ED" w14:textId="77777777" w:rsidR="00537E5F" w:rsidRPr="00507A31" w:rsidRDefault="00537E5F" w:rsidP="00507A31">
      <w:pPr>
        <w:autoSpaceDE w:val="0"/>
        <w:autoSpaceDN w:val="0"/>
        <w:adjustRightInd w:val="0"/>
        <w:jc w:val="both"/>
        <w:rPr>
          <w:iCs/>
          <w:color w:val="000000" w:themeColor="text1"/>
          <w:sz w:val="16"/>
          <w:szCs w:val="16"/>
        </w:rPr>
      </w:pPr>
    </w:p>
    <w:p w14:paraId="0CF52C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мая 1930 Amy Johnson стала первой женщиной, совершивший перелет из Англии в Австралию (2100).</w:t>
      </w:r>
    </w:p>
    <w:p w14:paraId="34BD9C57" w14:textId="77777777" w:rsidR="00537E5F" w:rsidRPr="00507A31" w:rsidRDefault="00537E5F" w:rsidP="00507A31">
      <w:pPr>
        <w:autoSpaceDE w:val="0"/>
        <w:autoSpaceDN w:val="0"/>
        <w:adjustRightInd w:val="0"/>
        <w:jc w:val="both"/>
        <w:rPr>
          <w:color w:val="000000" w:themeColor="text1"/>
          <w:sz w:val="16"/>
          <w:szCs w:val="16"/>
        </w:rPr>
      </w:pPr>
    </w:p>
    <w:p w14:paraId="692381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мая 1930 Б.Муссолини выступил за пересмотр Версальского договора (3907,161).</w:t>
      </w:r>
    </w:p>
    <w:p w14:paraId="122C3225" w14:textId="77777777" w:rsidR="00537E5F" w:rsidRPr="00507A31" w:rsidRDefault="00537E5F" w:rsidP="00507A31">
      <w:pPr>
        <w:autoSpaceDE w:val="0"/>
        <w:autoSpaceDN w:val="0"/>
        <w:adjustRightInd w:val="0"/>
        <w:jc w:val="both"/>
        <w:rPr>
          <w:color w:val="000000" w:themeColor="text1"/>
          <w:sz w:val="16"/>
          <w:szCs w:val="16"/>
        </w:rPr>
      </w:pPr>
    </w:p>
    <w:p w14:paraId="448C67B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973D31C" w14:textId="77777777" w:rsidR="00537E5F" w:rsidRPr="00507A31" w:rsidRDefault="00537E5F" w:rsidP="00507A31">
      <w:pPr>
        <w:autoSpaceDE w:val="0"/>
        <w:autoSpaceDN w:val="0"/>
        <w:adjustRightInd w:val="0"/>
        <w:jc w:val="both"/>
        <w:rPr>
          <w:iCs/>
          <w:color w:val="000000" w:themeColor="text1"/>
          <w:sz w:val="16"/>
          <w:szCs w:val="16"/>
        </w:rPr>
      </w:pPr>
    </w:p>
    <w:p w14:paraId="4B76CE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мая 1930 после завершения заводских испытаний начался перелет К-5 второго с двигателем Хорнет, который назвали "Сталин" по маршруту Харьков-Киев-Винница-Зиновьевское-Кривой Рог-Днепропетровск-Сталино-Луганск-Краматорск-Харьков. Пилот М.А.Снегирев, мех. Кегелевич + К.А.К. и пассажиры. 6 июня из Днепропетровска повернули в Москву, чтобы прибыть к открытию XVI съезда ВКП(б) (70,163).</w:t>
      </w:r>
    </w:p>
    <w:p w14:paraId="27CEDCF3" w14:textId="77777777" w:rsidR="00537E5F" w:rsidRPr="00507A31" w:rsidRDefault="00537E5F" w:rsidP="00507A31">
      <w:pPr>
        <w:autoSpaceDE w:val="0"/>
        <w:autoSpaceDN w:val="0"/>
        <w:adjustRightInd w:val="0"/>
        <w:jc w:val="both"/>
        <w:rPr>
          <w:color w:val="000000" w:themeColor="text1"/>
          <w:sz w:val="16"/>
          <w:szCs w:val="16"/>
        </w:rPr>
      </w:pPr>
    </w:p>
    <w:p w14:paraId="45FF0DA6" w14:textId="77777777" w:rsidR="0086787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4BB7C0F" w14:textId="77777777" w:rsidR="0086787E" w:rsidRPr="00507A31" w:rsidRDefault="0086787E" w:rsidP="00507A31">
      <w:pPr>
        <w:autoSpaceDE w:val="0"/>
        <w:autoSpaceDN w:val="0"/>
        <w:adjustRightInd w:val="0"/>
        <w:jc w:val="both"/>
        <w:rPr>
          <w:iCs/>
          <w:color w:val="000000" w:themeColor="text1"/>
          <w:sz w:val="16"/>
          <w:szCs w:val="16"/>
        </w:rPr>
      </w:pPr>
    </w:p>
    <w:p w14:paraId="079334BA" w14:textId="77777777" w:rsidR="0086787E" w:rsidRPr="00507A31" w:rsidRDefault="0086787E" w:rsidP="00507A31">
      <w:pPr>
        <w:jc w:val="both"/>
        <w:rPr>
          <w:color w:val="000000" w:themeColor="text1"/>
          <w:sz w:val="16"/>
          <w:szCs w:val="16"/>
          <w:u w:color="002060"/>
        </w:rPr>
      </w:pPr>
      <w:r w:rsidRPr="00507A31">
        <w:rPr>
          <w:color w:val="000000" w:themeColor="text1"/>
          <w:sz w:val="16"/>
          <w:szCs w:val="16"/>
          <w:u w:color="002060"/>
        </w:rPr>
        <w:t>25 мая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127. Решения ПБ от 20 мая 1930 г. 41. Записка Павлуновского и Мартиновича (Сталин, Орджоникидзе, Уншлихт, Мартинович, Ефимов, Бондарь) [о состоянии артиллерийского мобзапаса]. — ОП. 47. Тезисы по вопросам XVI съезда ВКП(б) (ПБ от 30 марта 1930 г., пр. № 122, п. 41в): а) выполнение пятилетнего плана промышленности (Куйбышев, Молотов, Рыков). (Политбюро... Т. 2. С. 49) (12416).</w:t>
      </w:r>
    </w:p>
    <w:p w14:paraId="355A7EEA" w14:textId="77777777" w:rsidR="0086787E" w:rsidRPr="00507A31" w:rsidRDefault="0086787E" w:rsidP="00507A31">
      <w:pPr>
        <w:jc w:val="both"/>
        <w:rPr>
          <w:color w:val="000000" w:themeColor="text1"/>
          <w:sz w:val="16"/>
          <w:szCs w:val="16"/>
          <w:u w:color="002060"/>
        </w:rPr>
      </w:pPr>
    </w:p>
    <w:p w14:paraId="6ABC259D" w14:textId="77777777" w:rsidR="00833EAB" w:rsidRPr="00507A31" w:rsidRDefault="00833EAB" w:rsidP="00507A31">
      <w:pPr>
        <w:jc w:val="both"/>
        <w:rPr>
          <w:color w:val="0070C0"/>
          <w:sz w:val="16"/>
          <w:szCs w:val="16"/>
        </w:rPr>
      </w:pPr>
      <w:r w:rsidRPr="00507A31">
        <w:rPr>
          <w:color w:val="0070C0"/>
          <w:sz w:val="16"/>
          <w:szCs w:val="16"/>
        </w:rPr>
        <w:t>25 мая 1930 состоялось заседание ПБ (Протокол № 127. Особый № 125).</w:t>
      </w:r>
    </w:p>
    <w:p w14:paraId="4EFBE4E8" w14:textId="77777777" w:rsidR="00833EAB" w:rsidRPr="00507A31" w:rsidRDefault="00833EAB" w:rsidP="00507A31">
      <w:pPr>
        <w:jc w:val="both"/>
        <w:rPr>
          <w:color w:val="0070C0"/>
          <w:sz w:val="16"/>
          <w:szCs w:val="16"/>
        </w:rPr>
      </w:pPr>
      <w:r w:rsidRPr="00507A31">
        <w:rPr>
          <w:color w:val="0070C0"/>
          <w:sz w:val="16"/>
          <w:szCs w:val="16"/>
        </w:rPr>
        <w:t>20 мая 1930 опросом членов ПБ</w:t>
      </w:r>
    </w:p>
    <w:p w14:paraId="30896F33" w14:textId="77777777" w:rsidR="00833EAB" w:rsidRPr="00507A31" w:rsidRDefault="00833EAB" w:rsidP="00507A31">
      <w:pPr>
        <w:jc w:val="both"/>
        <w:rPr>
          <w:color w:val="0070C0"/>
          <w:sz w:val="16"/>
          <w:szCs w:val="16"/>
        </w:rPr>
      </w:pPr>
      <w:r w:rsidRPr="00507A31">
        <w:rPr>
          <w:color w:val="0070C0"/>
          <w:sz w:val="16"/>
          <w:szCs w:val="16"/>
        </w:rPr>
        <w:t>36.- О_платежах.по договорам технической_помощи.</w:t>
      </w:r>
    </w:p>
    <w:p w14:paraId="237BC5FB" w14:textId="77777777" w:rsidR="00833EAB" w:rsidRPr="00507A31" w:rsidRDefault="00833EAB" w:rsidP="00507A31">
      <w:pPr>
        <w:jc w:val="both"/>
        <w:rPr>
          <w:color w:val="0070C0"/>
          <w:sz w:val="16"/>
          <w:szCs w:val="16"/>
        </w:rPr>
      </w:pPr>
      <w:r w:rsidRPr="00507A31">
        <w:rPr>
          <w:color w:val="0070C0"/>
          <w:sz w:val="16"/>
          <w:szCs w:val="16"/>
        </w:rPr>
        <w:t>(т. Куйбышев).</w:t>
      </w:r>
    </w:p>
    <w:p w14:paraId="5E66E87A" w14:textId="77777777" w:rsidR="00833EAB" w:rsidRPr="00507A31" w:rsidRDefault="00833EAB" w:rsidP="00507A31">
      <w:pPr>
        <w:jc w:val="both"/>
        <w:rPr>
          <w:color w:val="0070C0"/>
          <w:sz w:val="16"/>
          <w:szCs w:val="16"/>
        </w:rPr>
      </w:pPr>
      <w:r w:rsidRPr="00507A31">
        <w:rPr>
          <w:color w:val="0070C0"/>
          <w:sz w:val="16"/>
          <w:szCs w:val="16"/>
        </w:rPr>
        <w:t>Предложить т. Рудзутаку урегулировать вопрос о выплате валюты по договорам технической помощи и зарплаты иностранном специалистам.</w:t>
      </w:r>
    </w:p>
    <w:p w14:paraId="2CF1764D" w14:textId="77777777" w:rsidR="00833EAB" w:rsidRPr="00507A31" w:rsidRDefault="00833EAB" w:rsidP="00507A31">
      <w:pPr>
        <w:jc w:val="both"/>
        <w:rPr>
          <w:color w:val="0070C0"/>
          <w:sz w:val="16"/>
          <w:szCs w:val="16"/>
        </w:rPr>
      </w:pPr>
      <w:r w:rsidRPr="00507A31">
        <w:rPr>
          <w:color w:val="0070C0"/>
          <w:sz w:val="16"/>
          <w:szCs w:val="16"/>
        </w:rPr>
        <w:t>Выписки посланы: т.т. Рудзутаку, Куйбышеву.</w:t>
      </w:r>
    </w:p>
    <w:p w14:paraId="4654239E" w14:textId="77777777" w:rsidR="00833EAB" w:rsidRPr="00507A31" w:rsidRDefault="00833EAB" w:rsidP="00507A31">
      <w:pPr>
        <w:jc w:val="both"/>
        <w:rPr>
          <w:color w:val="0070C0"/>
          <w:sz w:val="16"/>
          <w:szCs w:val="16"/>
        </w:rPr>
      </w:pPr>
      <w:r w:rsidRPr="00507A31">
        <w:rPr>
          <w:color w:val="0070C0"/>
          <w:sz w:val="16"/>
          <w:szCs w:val="16"/>
        </w:rPr>
        <w:t>41.-Записка т.т. Павлуновского и Мартиновича.</w:t>
      </w:r>
    </w:p>
    <w:p w14:paraId="24E72E5B" w14:textId="77777777" w:rsidR="00833EAB" w:rsidRPr="00507A31" w:rsidRDefault="00833EAB" w:rsidP="00507A31">
      <w:pPr>
        <w:jc w:val="both"/>
        <w:rPr>
          <w:color w:val="0070C0"/>
          <w:sz w:val="16"/>
          <w:szCs w:val="16"/>
        </w:rPr>
      </w:pPr>
      <w:r w:rsidRPr="00507A31">
        <w:rPr>
          <w:color w:val="0070C0"/>
          <w:sz w:val="16"/>
          <w:szCs w:val="16"/>
        </w:rPr>
        <w:t>(т.т. Сталин, Орджоникидзе, Уншлихт, Мартинович, Ефимов).</w:t>
      </w:r>
    </w:p>
    <w:p w14:paraId="53EA1740" w14:textId="77777777" w:rsidR="00833EAB" w:rsidRPr="00507A31" w:rsidRDefault="00833EAB" w:rsidP="00507A31">
      <w:pPr>
        <w:jc w:val="both"/>
        <w:rPr>
          <w:color w:val="0070C0"/>
          <w:sz w:val="16"/>
          <w:szCs w:val="16"/>
        </w:rPr>
      </w:pPr>
      <w:r w:rsidRPr="00507A31">
        <w:rPr>
          <w:color w:val="0070C0"/>
          <w:sz w:val="16"/>
          <w:szCs w:val="16"/>
        </w:rPr>
        <w:t>а) признать необходимым срочную ликвидацию недочететов, от</w:t>
      </w:r>
      <w:r w:rsidRPr="00507A31">
        <w:rPr>
          <w:color w:val="0070C0"/>
          <w:sz w:val="16"/>
          <w:szCs w:val="16"/>
        </w:rPr>
        <w:softHyphen/>
        <w:t>меченных в докладе РКИ и вскрытых во время прений по вопросу о состоянии артиллмобзапаса и складского дела.</w:t>
      </w:r>
    </w:p>
    <w:p w14:paraId="568AC2F2" w14:textId="77777777" w:rsidR="00833EAB" w:rsidRPr="00507A31" w:rsidRDefault="00833EAB" w:rsidP="00507A31">
      <w:pPr>
        <w:jc w:val="both"/>
        <w:rPr>
          <w:color w:val="0070C0"/>
          <w:sz w:val="16"/>
          <w:szCs w:val="16"/>
        </w:rPr>
      </w:pPr>
      <w:r w:rsidRPr="00507A31">
        <w:rPr>
          <w:color w:val="0070C0"/>
          <w:sz w:val="16"/>
          <w:szCs w:val="16"/>
        </w:rPr>
        <w:t>б) признать необходимым принять все меры для приведения в порядок мобзапаса артиллерийского вооружения 20 мм выстредов.</w:t>
      </w:r>
    </w:p>
    <w:p w14:paraId="2465AFCF" w14:textId="77777777" w:rsidR="00833EAB" w:rsidRPr="00507A31" w:rsidRDefault="00833EAB" w:rsidP="00507A31">
      <w:pPr>
        <w:jc w:val="both"/>
        <w:rPr>
          <w:color w:val="0070C0"/>
          <w:sz w:val="16"/>
          <w:szCs w:val="16"/>
        </w:rPr>
      </w:pPr>
      <w:r w:rsidRPr="00507A31">
        <w:rPr>
          <w:color w:val="0070C0"/>
          <w:sz w:val="16"/>
          <w:szCs w:val="16"/>
        </w:rPr>
        <w:t>в) поручить комиссии в составе т.т. Ворошилова, Орджоникидзе, Сталина, Молотова, и Рыкова наметить на основе обмена мнении все конкретные мероприятия, вытекающие из доклада РКИ.</w:t>
      </w:r>
    </w:p>
    <w:p w14:paraId="6C164F45" w14:textId="77777777" w:rsidR="00833EAB" w:rsidRPr="00507A31" w:rsidRDefault="00833EAB" w:rsidP="00507A31">
      <w:pPr>
        <w:jc w:val="both"/>
        <w:rPr>
          <w:color w:val="0070C0"/>
          <w:sz w:val="16"/>
          <w:szCs w:val="16"/>
        </w:rPr>
      </w:pPr>
      <w:r w:rsidRPr="00507A31">
        <w:rPr>
          <w:color w:val="0070C0"/>
          <w:sz w:val="16"/>
          <w:szCs w:val="16"/>
        </w:rPr>
        <w:t>Созыв за т. Ворошиловым. Срок работы - 10 дней.</w:t>
      </w:r>
    </w:p>
    <w:p w14:paraId="2EEBF750" w14:textId="77777777" w:rsidR="00833EAB" w:rsidRPr="00507A31" w:rsidRDefault="00833EAB" w:rsidP="00507A31">
      <w:pPr>
        <w:jc w:val="both"/>
        <w:rPr>
          <w:color w:val="0070C0"/>
          <w:sz w:val="16"/>
          <w:szCs w:val="16"/>
        </w:rPr>
      </w:pPr>
      <w:r w:rsidRPr="00507A31">
        <w:rPr>
          <w:color w:val="0070C0"/>
          <w:sz w:val="16"/>
          <w:szCs w:val="16"/>
        </w:rPr>
        <w:t>г) поручить РКИ продолжить обследование мобзанаса по всем видам и всем складам.</w:t>
      </w:r>
    </w:p>
    <w:p w14:paraId="2D7B8B9C" w14:textId="77777777" w:rsidR="00833EAB" w:rsidRPr="00507A31" w:rsidRDefault="00833EAB" w:rsidP="00507A31">
      <w:pPr>
        <w:jc w:val="both"/>
        <w:rPr>
          <w:color w:val="0070C0"/>
          <w:sz w:val="16"/>
          <w:szCs w:val="16"/>
        </w:rPr>
      </w:pPr>
      <w:r w:rsidRPr="00507A31">
        <w:rPr>
          <w:color w:val="0070C0"/>
          <w:sz w:val="16"/>
          <w:szCs w:val="16"/>
        </w:rPr>
        <w:t>д) поручить ОГПУ произвести допрос Картеля и Гартера.</w:t>
      </w:r>
    </w:p>
    <w:p w14:paraId="77A7A773" w14:textId="77777777" w:rsidR="00833EAB" w:rsidRPr="00507A31" w:rsidRDefault="00833EAB" w:rsidP="00507A31">
      <w:pPr>
        <w:jc w:val="both"/>
        <w:rPr>
          <w:color w:val="0070C0"/>
          <w:sz w:val="16"/>
          <w:szCs w:val="16"/>
        </w:rPr>
      </w:pPr>
      <w:r w:rsidRPr="00507A31">
        <w:rPr>
          <w:color w:val="0070C0"/>
          <w:sz w:val="16"/>
          <w:szCs w:val="16"/>
        </w:rPr>
        <w:t>е) принять предложение т.т. Сталина, Ворошилова, Орджоникидзе и Ефимова о награждении т.т. Павлуновского и Мартиновича орденом "Красной Звезды".</w:t>
      </w:r>
    </w:p>
    <w:p w14:paraId="75CFE76D" w14:textId="77777777" w:rsidR="00833EAB" w:rsidRPr="00507A31" w:rsidRDefault="00833EAB" w:rsidP="00507A31">
      <w:pPr>
        <w:jc w:val="both"/>
        <w:rPr>
          <w:color w:val="0070C0"/>
          <w:sz w:val="16"/>
          <w:szCs w:val="16"/>
        </w:rPr>
      </w:pPr>
      <w:r w:rsidRPr="00507A31">
        <w:rPr>
          <w:color w:val="0070C0"/>
          <w:sz w:val="16"/>
          <w:szCs w:val="16"/>
        </w:rPr>
        <w:t>Выписки посланы: т.т. Ворошилову - все; Орджоникидзе, Сталину, Молотову, Рыкову - в; Калинину - е; Нижинскому - д; Орджоникидзе – г (23110).</w:t>
      </w:r>
    </w:p>
    <w:p w14:paraId="43EE3C28" w14:textId="77777777" w:rsidR="00833EAB" w:rsidRPr="00507A31" w:rsidRDefault="00833EAB" w:rsidP="00507A31">
      <w:pPr>
        <w:jc w:val="both"/>
        <w:rPr>
          <w:color w:val="0070C0"/>
          <w:sz w:val="16"/>
          <w:szCs w:val="16"/>
        </w:rPr>
      </w:pPr>
    </w:p>
    <w:p w14:paraId="6BC3AB73" w14:textId="77777777" w:rsidR="0086787E" w:rsidRPr="00507A31" w:rsidRDefault="0086787E" w:rsidP="00507A31">
      <w:pPr>
        <w:jc w:val="both"/>
        <w:rPr>
          <w:color w:val="000000" w:themeColor="text1"/>
          <w:sz w:val="16"/>
          <w:szCs w:val="16"/>
        </w:rPr>
      </w:pPr>
      <w:r w:rsidRPr="00507A31">
        <w:rPr>
          <w:rStyle w:val="a7"/>
          <w:b w:val="0"/>
          <w:color w:val="000000" w:themeColor="text1"/>
          <w:sz w:val="16"/>
          <w:szCs w:val="16"/>
        </w:rPr>
        <w:t xml:space="preserve">25 мая 1930 </w:t>
      </w:r>
      <w:r w:rsidRPr="00507A31">
        <w:rPr>
          <w:color w:val="000000" w:themeColor="text1"/>
          <w:sz w:val="16"/>
          <w:szCs w:val="16"/>
        </w:rPr>
        <w:t>Политбюро ЦК ВКП (б) поручило ВСНХ на основе выводов НК РКИ изменить задание по реконструкции Луганского паровозостроительного завода; одобрило проект тезисов доклада В. В. Куйбышева для XVI съезда ВКП (б) о выполнении пятилетнего плана промышленностью (12265).</w:t>
      </w:r>
    </w:p>
    <w:p w14:paraId="4C954FD1" w14:textId="77777777" w:rsidR="0086787E" w:rsidRPr="00507A31" w:rsidRDefault="0086787E" w:rsidP="00507A31">
      <w:pPr>
        <w:pStyle w:val="ae"/>
        <w:spacing w:before="0" w:after="0"/>
        <w:jc w:val="both"/>
        <w:rPr>
          <w:rStyle w:val="a7"/>
          <w:b w:val="0"/>
          <w:color w:val="000000" w:themeColor="text1"/>
          <w:sz w:val="16"/>
          <w:szCs w:val="16"/>
        </w:rPr>
      </w:pPr>
    </w:p>
    <w:p w14:paraId="1723D44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49368FB" w14:textId="77777777" w:rsidR="00537E5F" w:rsidRPr="00507A31" w:rsidRDefault="00537E5F" w:rsidP="00507A31">
      <w:pPr>
        <w:autoSpaceDE w:val="0"/>
        <w:autoSpaceDN w:val="0"/>
        <w:adjustRightInd w:val="0"/>
        <w:jc w:val="both"/>
        <w:rPr>
          <w:iCs/>
          <w:color w:val="000000" w:themeColor="text1"/>
          <w:sz w:val="16"/>
          <w:szCs w:val="16"/>
        </w:rPr>
      </w:pPr>
    </w:p>
    <w:p w14:paraId="362F4013" w14:textId="77777777" w:rsidR="00573A73" w:rsidRPr="00507A31" w:rsidRDefault="00573A73" w:rsidP="00507A31">
      <w:pPr>
        <w:jc w:val="both"/>
        <w:rPr>
          <w:color w:val="000000" w:themeColor="text1"/>
          <w:sz w:val="16"/>
          <w:szCs w:val="16"/>
        </w:rPr>
      </w:pPr>
      <w:r w:rsidRPr="00507A31">
        <w:rPr>
          <w:color w:val="000000" w:themeColor="text1"/>
          <w:sz w:val="16"/>
          <w:szCs w:val="16"/>
        </w:rPr>
        <w:t>25 мая 1930</w:t>
      </w:r>
    </w:p>
    <w:p w14:paraId="4DB9D90A" w14:textId="77777777" w:rsidR="00573A73" w:rsidRPr="00507A31" w:rsidRDefault="00573A73" w:rsidP="00507A31">
      <w:pPr>
        <w:jc w:val="both"/>
        <w:rPr>
          <w:color w:val="000000" w:themeColor="text1"/>
          <w:sz w:val="16"/>
          <w:szCs w:val="16"/>
        </w:rPr>
      </w:pPr>
      <w:r w:rsidRPr="00507A31">
        <w:rPr>
          <w:color w:val="000000" w:themeColor="text1"/>
          <w:sz w:val="16"/>
          <w:szCs w:val="16"/>
        </w:rPr>
        <w:t>Протокол № 127 от 25 мая 1930 г.</w:t>
      </w:r>
    </w:p>
    <w:p w14:paraId="6DC8410D" w14:textId="77777777" w:rsidR="00573A73" w:rsidRPr="00507A31" w:rsidRDefault="00573A73" w:rsidP="00507A31">
      <w:pPr>
        <w:jc w:val="both"/>
        <w:rPr>
          <w:color w:val="000000" w:themeColor="text1"/>
          <w:sz w:val="16"/>
          <w:szCs w:val="16"/>
        </w:rPr>
      </w:pPr>
      <w:r w:rsidRPr="00507A31">
        <w:rPr>
          <w:color w:val="000000" w:themeColor="text1"/>
          <w:sz w:val="16"/>
          <w:szCs w:val="16"/>
        </w:rPr>
        <w:t>(Особый № 125).</w:t>
      </w:r>
    </w:p>
    <w:p w14:paraId="3674898F" w14:textId="77777777" w:rsidR="00573A73" w:rsidRPr="00507A31" w:rsidRDefault="00573A73" w:rsidP="00507A31">
      <w:pPr>
        <w:jc w:val="both"/>
        <w:rPr>
          <w:color w:val="000000" w:themeColor="text1"/>
          <w:sz w:val="16"/>
          <w:szCs w:val="16"/>
        </w:rPr>
      </w:pPr>
      <w:r w:rsidRPr="00507A31">
        <w:rPr>
          <w:color w:val="000000" w:themeColor="text1"/>
          <w:sz w:val="16"/>
          <w:szCs w:val="16"/>
        </w:rPr>
        <w:t>Заседание Политбюро от 25 мая 1930 г.</w:t>
      </w:r>
    </w:p>
    <w:p w14:paraId="2FCDF3EA" w14:textId="77777777" w:rsidR="00573A73" w:rsidRPr="00507A31" w:rsidRDefault="00573A73" w:rsidP="00507A31">
      <w:pPr>
        <w:jc w:val="both"/>
        <w:rPr>
          <w:color w:val="000000" w:themeColor="text1"/>
          <w:sz w:val="16"/>
          <w:szCs w:val="16"/>
        </w:rPr>
      </w:pPr>
      <w:r w:rsidRPr="00507A31">
        <w:rPr>
          <w:color w:val="000000" w:themeColor="text1"/>
          <w:sz w:val="16"/>
          <w:szCs w:val="16"/>
        </w:rPr>
        <w:t>п. 11: О вредительстве в лесной промышленности</w:t>
      </w:r>
    </w:p>
    <w:p w14:paraId="0B131DFF" w14:textId="77777777" w:rsidR="00573A73" w:rsidRPr="00507A31" w:rsidRDefault="00573A73" w:rsidP="00507A31">
      <w:pPr>
        <w:jc w:val="both"/>
        <w:rPr>
          <w:color w:val="000000" w:themeColor="text1"/>
          <w:sz w:val="16"/>
          <w:szCs w:val="16"/>
        </w:rPr>
      </w:pPr>
      <w:r w:rsidRPr="00507A31">
        <w:rPr>
          <w:color w:val="000000" w:themeColor="text1"/>
          <w:sz w:val="16"/>
          <w:szCs w:val="16"/>
        </w:rPr>
        <w:t>(Менжинский, Прокофьев, Лобов)</w:t>
      </w:r>
    </w:p>
    <w:p w14:paraId="777265C6" w14:textId="77777777" w:rsidR="00573A73" w:rsidRPr="00507A31" w:rsidRDefault="00573A73" w:rsidP="00507A31">
      <w:pPr>
        <w:jc w:val="both"/>
        <w:rPr>
          <w:color w:val="000000" w:themeColor="text1"/>
          <w:sz w:val="16"/>
          <w:szCs w:val="16"/>
        </w:rPr>
      </w:pPr>
      <w:r w:rsidRPr="00507A31">
        <w:rPr>
          <w:color w:val="000000" w:themeColor="text1"/>
          <w:sz w:val="16"/>
          <w:szCs w:val="16"/>
        </w:rPr>
        <w:t>Решение – особая папка.</w:t>
      </w:r>
    </w:p>
    <w:p w14:paraId="7AB74839" w14:textId="77777777" w:rsidR="00573A73" w:rsidRPr="00507A31" w:rsidRDefault="00573A73" w:rsidP="00507A31">
      <w:pPr>
        <w:jc w:val="both"/>
        <w:rPr>
          <w:color w:val="000000" w:themeColor="text1"/>
          <w:sz w:val="16"/>
          <w:szCs w:val="16"/>
        </w:rPr>
      </w:pPr>
      <w:r w:rsidRPr="00507A31">
        <w:rPr>
          <w:color w:val="000000" w:themeColor="text1"/>
          <w:sz w:val="16"/>
          <w:szCs w:val="16"/>
        </w:rPr>
        <w:t>Принять предложение ОГПУ о приговоре к высшей мере наказания Спижарского и Зайцева.</w:t>
      </w:r>
    </w:p>
    <w:p w14:paraId="645AB71A" w14:textId="77777777" w:rsidR="00573A73" w:rsidRPr="00507A31" w:rsidRDefault="00573A73" w:rsidP="00507A31">
      <w:pPr>
        <w:jc w:val="both"/>
        <w:rPr>
          <w:color w:val="000000" w:themeColor="text1"/>
          <w:sz w:val="16"/>
          <w:szCs w:val="16"/>
        </w:rPr>
      </w:pPr>
      <w:r w:rsidRPr="00507A31">
        <w:rPr>
          <w:color w:val="000000" w:themeColor="text1"/>
          <w:sz w:val="16"/>
          <w:szCs w:val="16"/>
        </w:rPr>
        <w:t>Выписка послана:</w:t>
      </w:r>
    </w:p>
    <w:p w14:paraId="072F5F27" w14:textId="77777777" w:rsidR="00573A73" w:rsidRPr="00507A31" w:rsidRDefault="00573A73" w:rsidP="00507A31">
      <w:pPr>
        <w:jc w:val="both"/>
        <w:rPr>
          <w:color w:val="000000" w:themeColor="text1"/>
          <w:sz w:val="16"/>
          <w:szCs w:val="16"/>
        </w:rPr>
      </w:pPr>
      <w:r w:rsidRPr="00507A31">
        <w:rPr>
          <w:color w:val="000000" w:themeColor="text1"/>
          <w:sz w:val="16"/>
          <w:szCs w:val="16"/>
        </w:rPr>
        <w:t>Менжинскому (18329).</w:t>
      </w:r>
    </w:p>
    <w:p w14:paraId="3F621490" w14:textId="77777777" w:rsidR="00573A73" w:rsidRPr="00507A31" w:rsidRDefault="00573A73" w:rsidP="00507A31">
      <w:pPr>
        <w:jc w:val="both"/>
        <w:rPr>
          <w:color w:val="000000" w:themeColor="text1"/>
          <w:sz w:val="16"/>
          <w:szCs w:val="16"/>
        </w:rPr>
      </w:pPr>
    </w:p>
    <w:p w14:paraId="30BBB7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мая 1930 приказом ОГПУ № 169/81 были определены порядок подчинения исправительно-трудовых лагерей (ИТЛ) и функции УЛАГа. На местах ИТЛ полностью подчинялись соответствующим полпредствам (ПП) ОГПУ, которые вели в лагерях оперативную работу и отвечали за их охрану (7560).</w:t>
      </w:r>
    </w:p>
    <w:p w14:paraId="2C778ACA" w14:textId="77777777" w:rsidR="00537E5F" w:rsidRPr="00507A31" w:rsidRDefault="00537E5F" w:rsidP="00507A31">
      <w:pPr>
        <w:autoSpaceDE w:val="0"/>
        <w:autoSpaceDN w:val="0"/>
        <w:adjustRightInd w:val="0"/>
        <w:jc w:val="both"/>
        <w:rPr>
          <w:color w:val="000000" w:themeColor="text1"/>
          <w:sz w:val="16"/>
          <w:szCs w:val="16"/>
        </w:rPr>
      </w:pPr>
    </w:p>
    <w:p w14:paraId="01142CD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E091C8D" w14:textId="77777777" w:rsidR="00537E5F" w:rsidRPr="00507A31" w:rsidRDefault="00537E5F" w:rsidP="00507A31">
      <w:pPr>
        <w:autoSpaceDE w:val="0"/>
        <w:autoSpaceDN w:val="0"/>
        <w:adjustRightInd w:val="0"/>
        <w:jc w:val="both"/>
        <w:rPr>
          <w:iCs/>
          <w:color w:val="000000" w:themeColor="text1"/>
          <w:sz w:val="16"/>
          <w:szCs w:val="16"/>
        </w:rPr>
      </w:pPr>
    </w:p>
    <w:p w14:paraId="3E9955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мая 1930 состоялось техническое совещание руководителей групп отдела АГОС и обсуждали организацию статиспытаний АНТ-7 (1077,152), а по другим данным о ходе работ по Р-7 (1102).</w:t>
      </w:r>
    </w:p>
    <w:p w14:paraId="1B6CDE2D" w14:textId="77777777" w:rsidR="00537E5F" w:rsidRPr="00507A31" w:rsidRDefault="00537E5F" w:rsidP="00507A31">
      <w:pPr>
        <w:autoSpaceDE w:val="0"/>
        <w:autoSpaceDN w:val="0"/>
        <w:adjustRightInd w:val="0"/>
        <w:jc w:val="both"/>
        <w:rPr>
          <w:color w:val="000000" w:themeColor="text1"/>
          <w:sz w:val="16"/>
          <w:szCs w:val="16"/>
        </w:rPr>
      </w:pPr>
    </w:p>
    <w:p w14:paraId="3A9434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мая 1930 года была подготовлена:</w:t>
      </w:r>
    </w:p>
    <w:p w14:paraId="62BB39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Объяснительная записка к плану зарубежных перелетов 1930 года</w:t>
      </w:r>
    </w:p>
    <w:p w14:paraId="43911C3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Перелет звеном в составе 3-х самолетов Р-5 БМВVI в столицы Турции, Персии и Афганистана.</w:t>
      </w:r>
    </w:p>
    <w:p w14:paraId="30F4C9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Цель:</w:t>
      </w:r>
    </w:p>
    <w:p w14:paraId="39D73AC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Проверить на длительном маршруте в 8900 км в разнообразных климатических условиях эксплуатационно-технические данные самолета Р-5 с мотором БМВVI 600 НР.</w:t>
      </w:r>
    </w:p>
    <w:p w14:paraId="10F61C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Этот самолет выходя из серийного производства поступает в строевые части ВВС в качестве дальнего армейского разведчика и бомбардировщика. Кроме заводских испытаний и опытов НИИ – самолет еще не подвергался длительным испытаниям и большой выверке. Это возможно сделать на проектируемом большом перелете.</w:t>
      </w:r>
    </w:p>
    <w:p w14:paraId="4CA247A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 отличие от перелетов предыдущих лет, когда посылались одиночные самолеты, целесообразно теперь пустить в перелет целое звено с тем, чтобы на данном маршруте, в тяжелых разнообразных условиях, выверить работоспособность и подготовленность экипажей в отношении слетанности их и выполнения заданий в строю звеном. Для дальних и легко-бомбардировочных самолетов, каковыми являются Р-5 – работа в строю группой – совершенно необходима.</w:t>
      </w:r>
    </w:p>
    <w:p w14:paraId="08A2A7F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Демонстрировать свои достижения и дружественные отношения по отношению к государствам Турции, Персии и Афганистана.</w:t>
      </w:r>
    </w:p>
    <w:p w14:paraId="63122BE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Изучить маршрут и климатические условия, влияющие на работу авиации в пределах Турции, Персии и Афганистана.</w:t>
      </w:r>
    </w:p>
    <w:p w14:paraId="4B2A5A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Маршрут</w:t>
      </w:r>
    </w:p>
    <w:p w14:paraId="32E5E6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 сосредотачиваются в Москве. Отсюда вылет в двух направлениях: на Севастополь и Оренбург. Общее протяжение маршрута Москва-Севастополь-Ангора-Тифлис-Тегеран-Ашхабад-Кабул-Ташкент-Оренбург-Москва – 8900 км. Маршрут обеспечен хорошими конечными аэродромами, а также и промежуточными. Не требуется никакой дополнительной организации.</w:t>
      </w:r>
    </w:p>
    <w:p w14:paraId="38D26B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ориентировочному расчету времени при скорости в среднем до 180 км/час – пролет всего маршрута с остановками может быть выполнен в течении 6,5-7 суток.</w:t>
      </w:r>
    </w:p>
    <w:p w14:paraId="7B77E0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w:t>
      </w:r>
    </w:p>
    <w:p w14:paraId="40EA50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Летчики и летчики-наблюдатели утверждаются начальником ВВС по выбору начальника ВВС УВО из состава разведывательных эскадрилий этого округа, который предположено в первую очередь вооружать самолетами Р5. До отправления в перелет экипажи подвергаются тренировке на самолетах Р5.</w:t>
      </w:r>
    </w:p>
    <w:p w14:paraId="782E7F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Перелет отрядом в составе 5 самолетов И4-Юпитер VI 420 НР в столицы Малой Антанты и Италии.</w:t>
      </w:r>
    </w:p>
    <w:p w14:paraId="2ADEBD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Цель</w:t>
      </w:r>
    </w:p>
    <w:p w14:paraId="3E13DE3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Ответный визит Италии, посетившей в прошлом году своей эскадрильей Одессу.</w:t>
      </w:r>
    </w:p>
    <w:p w14:paraId="1B40FC1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Демонстрировать в странах Малой Антанты наши достижения в отношении развития авиационной промышленности и подготовки воздушных сил.</w:t>
      </w:r>
    </w:p>
    <w:p w14:paraId="2713A77E"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Проверить эксплуатационные и технические данные новых истребительных самолетов И4, поступающих из серийного производства на вооружение истребительных частей ВВС.</w:t>
      </w:r>
    </w:p>
    <w:p w14:paraId="380D5BE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Изучить маршруты восточной Европы и проверить подготовленность летчиков-истребителей в умении вести самолеты строем на длительном расстоянии по малоизученному и неизвестному маршруту.</w:t>
      </w:r>
    </w:p>
    <w:p w14:paraId="738B59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Маршрут</w:t>
      </w:r>
    </w:p>
    <w:p w14:paraId="43E9E0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 сосредотачиваются в Москве. Отсюда вылет по маршруту: Москва-Ревель-Рига-Ковно-Данциг-Берлин-Дессау-Констанц-Милан-Рим-Венеция-Вена-Прага-Краков-Львов-Киев-Москва.</w:t>
      </w:r>
    </w:p>
    <w:p w14:paraId="7E6117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Общее протяжение маршрута 6810 км.</w:t>
      </w:r>
    </w:p>
    <w:p w14:paraId="6DDBB1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ориентировочному подсчету времени, при скорости самолетов И4 в среднем 220 км/час, пролет всего маршрута с остановками и ночевкой может быть выполнен в течении шести суток.</w:t>
      </w:r>
    </w:p>
    <w:p w14:paraId="2042B4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w:t>
      </w:r>
    </w:p>
    <w:p w14:paraId="3A19A7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Летчики выбираются из частей ВВС Черного и Балтийского морей и утверждаются начальником ВВС. До вылета производят тренировку в Москве.</w:t>
      </w:r>
    </w:p>
    <w:p w14:paraId="0543D5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III. Перелет на самолете ТБ1-2БМВVI по 600 НР в столицы Турции и Персии.</w:t>
      </w:r>
    </w:p>
    <w:p w14:paraId="1668F8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Цель</w:t>
      </w:r>
    </w:p>
    <w:p w14:paraId="5405EE9A"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Изучить маршрут и климатологические условия работы тяжелой бомбардировочной авиации в районе Кавказа, Персии и Турции. Особенно важное значение имеет район Баку-Тифлис-Ангора, где еще не было попыток перелетов тяжелых самолетов в горных условиях. С оперативной точки зрения необходимо детальное изучение этого района.</w:t>
      </w:r>
    </w:p>
    <w:p w14:paraId="029F676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Испытать материальную часть, поступившую на вооружение из серийного производства, а также проверить экипаж корабля в отношении его подготовленности.</w:t>
      </w:r>
    </w:p>
    <w:p w14:paraId="384DE17C"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Демонстрировать народам ближнего востока Персии и Турции свою авиационную независимость и дружеские отношения, показав свои достижения.</w:t>
      </w:r>
    </w:p>
    <w:p w14:paraId="1ED0257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Перелеты по ближнему востоку целесообразны, чтобы заинтересовать Правительства этих стран в приобретении самолетов наших новых конструкций (ТБ1 и Р5).</w:t>
      </w:r>
    </w:p>
    <w:p w14:paraId="323957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Маршрут</w:t>
      </w:r>
    </w:p>
    <w:p w14:paraId="5CD57E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Самолет ТБ1 и экипаж выделяется из состава 11-й авиабригады по выбору начальника ВВС МВО. Из Москвы самолет летит по маршруту: Москва-Сталинград-Баку-Тегеран-Диарбекир-Ангора-Константинополь-Одесса-Смоленск-Красногвардейск-Москва. Общее протяжение 8000 км.</w:t>
      </w:r>
    </w:p>
    <w:p w14:paraId="056E7A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ориентировочному подсчету перелет займет около 6-7 летных дней, считая, что ТБ1 полетит со средней скоростью около 180-190 км/час (7770, 2-3).</w:t>
      </w:r>
    </w:p>
    <w:p w14:paraId="7A4C4C89" w14:textId="77777777" w:rsidR="00537E5F" w:rsidRPr="00507A31" w:rsidRDefault="00537E5F" w:rsidP="00507A31">
      <w:pPr>
        <w:autoSpaceDE w:val="0"/>
        <w:autoSpaceDN w:val="0"/>
        <w:adjustRightInd w:val="0"/>
        <w:jc w:val="both"/>
        <w:rPr>
          <w:color w:val="000000" w:themeColor="text1"/>
          <w:sz w:val="16"/>
          <w:szCs w:val="16"/>
        </w:rPr>
      </w:pPr>
    </w:p>
    <w:p w14:paraId="5C21167C" w14:textId="77777777" w:rsidR="0086787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C68707B" w14:textId="77777777" w:rsidR="0086787E" w:rsidRPr="00507A31" w:rsidRDefault="0086787E" w:rsidP="00507A31">
      <w:pPr>
        <w:autoSpaceDE w:val="0"/>
        <w:autoSpaceDN w:val="0"/>
        <w:adjustRightInd w:val="0"/>
        <w:jc w:val="both"/>
        <w:rPr>
          <w:iCs/>
          <w:color w:val="000000" w:themeColor="text1"/>
          <w:sz w:val="16"/>
          <w:szCs w:val="16"/>
        </w:rPr>
      </w:pPr>
    </w:p>
    <w:p w14:paraId="4DB00BEE" w14:textId="77777777" w:rsidR="0086787E" w:rsidRPr="00507A31" w:rsidRDefault="0086787E" w:rsidP="00507A31">
      <w:pPr>
        <w:pStyle w:val="a3"/>
        <w:rPr>
          <w:color w:val="000000" w:themeColor="text1"/>
          <w:lang w:val="ru-RU"/>
        </w:rPr>
      </w:pPr>
      <w:r w:rsidRPr="00507A31">
        <w:rPr>
          <w:color w:val="000000" w:themeColor="text1"/>
          <w:lang w:val="ru-RU"/>
        </w:rPr>
        <w:t>26 мая 1930 г. на заседании СТО по рассмотрению сметы расходов 1929—1930 гг. на сооружение тракторного завода в Харькове (во исполнение постановления СТО от 16 мая) с докладами вы</w:t>
      </w:r>
      <w:r w:rsidRPr="00507A31">
        <w:rPr>
          <w:color w:val="000000" w:themeColor="text1"/>
          <w:lang w:val="ru-RU"/>
        </w:rPr>
        <w:softHyphen/>
        <w:t>ступили Медников из Госплана СССР и Лившиц из ВСНХСССР.</w:t>
      </w:r>
    </w:p>
    <w:p w14:paraId="75C67D01" w14:textId="77777777" w:rsidR="0086787E" w:rsidRPr="00507A31" w:rsidRDefault="0086787E" w:rsidP="00507A31">
      <w:pPr>
        <w:pStyle w:val="a3"/>
        <w:rPr>
          <w:color w:val="000000" w:themeColor="text1"/>
          <w:lang w:val="ru-RU"/>
        </w:rPr>
      </w:pPr>
      <w:r w:rsidRPr="00507A31">
        <w:rPr>
          <w:color w:val="000000" w:themeColor="text1"/>
          <w:lang w:val="ru-RU"/>
        </w:rPr>
        <w:t>Протокольным решением по итогам засе</w:t>
      </w:r>
      <w:r w:rsidRPr="00507A31">
        <w:rPr>
          <w:color w:val="000000" w:themeColor="text1"/>
          <w:lang w:val="ru-RU"/>
        </w:rPr>
        <w:softHyphen/>
        <w:t>дания констатировалось:</w:t>
      </w:r>
    </w:p>
    <w:p w14:paraId="5AB67D82" w14:textId="77777777" w:rsidR="0086787E" w:rsidRPr="00507A31" w:rsidRDefault="0086787E" w:rsidP="00507A31">
      <w:pPr>
        <w:pStyle w:val="65"/>
        <w:shd w:val="clear" w:color="auto" w:fill="auto"/>
        <w:spacing w:before="0" w:line="240" w:lineRule="auto"/>
        <w:rPr>
          <w:rFonts w:ascii="Times New Roman" w:hAnsi="Times New Roman"/>
          <w:color w:val="000000" w:themeColor="text1"/>
          <w:sz w:val="16"/>
          <w:szCs w:val="16"/>
        </w:rPr>
      </w:pPr>
      <w:r w:rsidRPr="00507A31">
        <w:rPr>
          <w:rFonts w:ascii="Times New Roman" w:hAnsi="Times New Roman"/>
          <w:color w:val="000000" w:themeColor="text1"/>
          <w:sz w:val="16"/>
          <w:szCs w:val="16"/>
        </w:rPr>
        <w:t>«а/ Рассмотрение сметы Харьковского Тракторного Завода отложить.</w:t>
      </w:r>
    </w:p>
    <w:p w14:paraId="25F9BEAB" w14:textId="77777777" w:rsidR="0086787E" w:rsidRPr="00507A31" w:rsidRDefault="0086787E" w:rsidP="00507A31">
      <w:pPr>
        <w:pStyle w:val="65"/>
        <w:shd w:val="clear" w:color="auto" w:fill="auto"/>
        <w:spacing w:before="0" w:line="240" w:lineRule="auto"/>
        <w:rPr>
          <w:rFonts w:ascii="Times New Roman" w:hAnsi="Times New Roman"/>
          <w:color w:val="000000" w:themeColor="text1"/>
          <w:sz w:val="16"/>
          <w:szCs w:val="16"/>
        </w:rPr>
      </w:pPr>
      <w:r w:rsidRPr="00507A31">
        <w:rPr>
          <w:rFonts w:ascii="Times New Roman" w:hAnsi="Times New Roman"/>
          <w:color w:val="000000" w:themeColor="text1"/>
          <w:sz w:val="16"/>
          <w:szCs w:val="16"/>
        </w:rPr>
        <w:t xml:space="preserve">б/ Предложить ВСНХ войти в месячный срок в СТО с более точной сметой стоимости </w:t>
      </w:r>
      <w:r w:rsidRPr="00507A31">
        <w:rPr>
          <w:rStyle w:val="61pt"/>
          <w:rFonts w:ascii="Times New Roman" w:hAnsi="Times New Roman" w:cs="Times New Roman"/>
          <w:i w:val="0"/>
          <w:iCs w:val="0"/>
          <w:color w:val="000000" w:themeColor="text1"/>
          <w:spacing w:val="0"/>
          <w:sz w:val="16"/>
          <w:szCs w:val="16"/>
        </w:rPr>
        <w:t>ХТЗ</w:t>
      </w:r>
      <w:r w:rsidRPr="00507A31">
        <w:rPr>
          <w:rFonts w:ascii="Times New Roman" w:hAnsi="Times New Roman"/>
          <w:color w:val="000000" w:themeColor="text1"/>
          <w:sz w:val="16"/>
          <w:szCs w:val="16"/>
        </w:rPr>
        <w:t xml:space="preserve"> с заключением Госплана, НКФ и НКРКИ.</w:t>
      </w:r>
    </w:p>
    <w:p w14:paraId="791462CF" w14:textId="77777777" w:rsidR="0086787E" w:rsidRPr="00507A31" w:rsidRDefault="0086787E" w:rsidP="00507A31">
      <w:pPr>
        <w:pStyle w:val="65"/>
        <w:shd w:val="clear" w:color="auto" w:fill="auto"/>
        <w:spacing w:before="0" w:line="240" w:lineRule="auto"/>
        <w:rPr>
          <w:rFonts w:ascii="Times New Roman" w:hAnsi="Times New Roman"/>
          <w:color w:val="000000" w:themeColor="text1"/>
          <w:sz w:val="16"/>
          <w:szCs w:val="16"/>
        </w:rPr>
      </w:pPr>
      <w:r w:rsidRPr="00507A31">
        <w:rPr>
          <w:rFonts w:ascii="Times New Roman" w:hAnsi="Times New Roman"/>
          <w:color w:val="000000" w:themeColor="text1"/>
          <w:sz w:val="16"/>
          <w:szCs w:val="16"/>
        </w:rPr>
        <w:t>Предложить ВСНХ полностью учесть в этой смете опыт строительства Сталинградского Тракторного Завода и в связи с этим уменьшить стоимость Харьковского завода по сравнению со Сталинградским заводом в ценах текущего года/приблизительно в пределах 20-25%.</w:t>
      </w:r>
    </w:p>
    <w:p w14:paraId="1E1FA459" w14:textId="77777777" w:rsidR="0086787E" w:rsidRPr="00507A31" w:rsidRDefault="0086787E" w:rsidP="00507A31">
      <w:pPr>
        <w:pStyle w:val="65"/>
        <w:shd w:val="clear" w:color="auto" w:fill="auto"/>
        <w:spacing w:before="0" w:line="240" w:lineRule="auto"/>
        <w:rPr>
          <w:rFonts w:ascii="Times New Roman" w:hAnsi="Times New Roman"/>
          <w:color w:val="000000" w:themeColor="text1"/>
          <w:sz w:val="16"/>
          <w:szCs w:val="16"/>
        </w:rPr>
      </w:pPr>
      <w:r w:rsidRPr="00507A31">
        <w:rPr>
          <w:rFonts w:ascii="Times New Roman" w:hAnsi="Times New Roman"/>
          <w:color w:val="000000" w:themeColor="text1"/>
          <w:sz w:val="16"/>
          <w:szCs w:val="16"/>
        </w:rPr>
        <w:t>в/ Согласиться с предложением ВСНХ об израсходовании в текущем году на постройку Харьковского Тракторного Завода 45 мил.р. из средств, ассигнованных по бюджету на капи</w:t>
      </w:r>
      <w:r w:rsidRPr="00507A31">
        <w:rPr>
          <w:rFonts w:ascii="Times New Roman" w:hAnsi="Times New Roman"/>
          <w:color w:val="000000" w:themeColor="text1"/>
          <w:sz w:val="16"/>
          <w:szCs w:val="16"/>
        </w:rPr>
        <w:softHyphen/>
        <w:t>тальное строительство промышленности.</w:t>
      </w:r>
    </w:p>
    <w:p w14:paraId="3EF0BBA1" w14:textId="77777777" w:rsidR="0086787E" w:rsidRPr="00507A31" w:rsidRDefault="0086787E" w:rsidP="00507A31">
      <w:pPr>
        <w:pStyle w:val="65"/>
        <w:shd w:val="clear" w:color="auto" w:fill="auto"/>
        <w:spacing w:before="0" w:line="240" w:lineRule="auto"/>
        <w:rPr>
          <w:rFonts w:ascii="Times New Roman" w:hAnsi="Times New Roman"/>
          <w:color w:val="000000" w:themeColor="text1"/>
          <w:sz w:val="16"/>
          <w:szCs w:val="16"/>
        </w:rPr>
      </w:pPr>
      <w:r w:rsidRPr="00507A31">
        <w:rPr>
          <w:rFonts w:ascii="Times New Roman" w:hAnsi="Times New Roman"/>
          <w:color w:val="000000" w:themeColor="text1"/>
          <w:sz w:val="16"/>
          <w:szCs w:val="16"/>
        </w:rPr>
        <w:t>г/Обязать ВСНХ рассмотреть вопрос об ис</w:t>
      </w:r>
      <w:r w:rsidRPr="00507A31">
        <w:rPr>
          <w:rFonts w:ascii="Times New Roman" w:hAnsi="Times New Roman"/>
          <w:color w:val="000000" w:themeColor="text1"/>
          <w:sz w:val="16"/>
          <w:szCs w:val="16"/>
        </w:rPr>
        <w:softHyphen/>
        <w:t>пользовании Сталинградского завода и других заводов УССР для сотрудничества с Харьков</w:t>
      </w:r>
      <w:r w:rsidRPr="00507A31">
        <w:rPr>
          <w:rFonts w:ascii="Times New Roman" w:hAnsi="Times New Roman"/>
          <w:color w:val="000000" w:themeColor="text1"/>
          <w:sz w:val="16"/>
          <w:szCs w:val="16"/>
        </w:rPr>
        <w:softHyphen/>
        <w:t>ским Тракторным Заводом, в целях удешевле</w:t>
      </w:r>
      <w:r w:rsidRPr="00507A31">
        <w:rPr>
          <w:rFonts w:ascii="Times New Roman" w:hAnsi="Times New Roman"/>
          <w:color w:val="000000" w:themeColor="text1"/>
          <w:sz w:val="16"/>
          <w:szCs w:val="16"/>
        </w:rPr>
        <w:softHyphen/>
        <w:t>ния постройки и стоимости продукции и свои предложения внести в 2-х декадный срок в СТО.</w:t>
      </w:r>
    </w:p>
    <w:p w14:paraId="345AEC67" w14:textId="77777777" w:rsidR="0086787E" w:rsidRPr="00507A31" w:rsidRDefault="0086787E" w:rsidP="00507A31">
      <w:pPr>
        <w:pStyle w:val="65"/>
        <w:shd w:val="clear" w:color="auto" w:fill="auto"/>
        <w:spacing w:before="0" w:line="240" w:lineRule="auto"/>
        <w:rPr>
          <w:rFonts w:ascii="Times New Roman" w:hAnsi="Times New Roman"/>
          <w:color w:val="000000" w:themeColor="text1"/>
          <w:sz w:val="16"/>
          <w:szCs w:val="16"/>
        </w:rPr>
      </w:pPr>
      <w:r w:rsidRPr="00507A31">
        <w:rPr>
          <w:rFonts w:ascii="Times New Roman" w:hAnsi="Times New Roman"/>
          <w:color w:val="000000" w:themeColor="text1"/>
          <w:sz w:val="16"/>
          <w:szCs w:val="16"/>
        </w:rPr>
        <w:t>д/ Предложить ВСНХ СССР единовремен</w:t>
      </w:r>
      <w:r w:rsidRPr="00507A31">
        <w:rPr>
          <w:rFonts w:ascii="Times New Roman" w:hAnsi="Times New Roman"/>
          <w:color w:val="000000" w:themeColor="text1"/>
          <w:sz w:val="16"/>
          <w:szCs w:val="16"/>
        </w:rPr>
        <w:softHyphen/>
        <w:t>но с постройкой Харьковского завода-дублера Сталинградского, вместе с Наркомземом СССР, Наркомвоенмором и Трактороцентром рассмотреть в 2-х месячный срок вопрос о по</w:t>
      </w:r>
      <w:r w:rsidRPr="00507A31">
        <w:rPr>
          <w:rFonts w:ascii="Times New Roman" w:hAnsi="Times New Roman"/>
          <w:color w:val="000000" w:themeColor="text1"/>
          <w:sz w:val="16"/>
          <w:szCs w:val="16"/>
        </w:rPr>
        <w:softHyphen/>
        <w:t>требности в гусеничных ходах для тракторов «Интернационал» 15/30 и в зависимости от результатов разработать проект производства таких ходов или на основе кооперирования Харьковского Тракторного Завода с одним из заводов общего машиностроения, или путем постройки при Харьковском заводе самостоя тельного механического и сборочного цеха гу</w:t>
      </w:r>
      <w:r w:rsidRPr="00507A31">
        <w:rPr>
          <w:rFonts w:ascii="Times New Roman" w:hAnsi="Times New Roman"/>
          <w:color w:val="000000" w:themeColor="text1"/>
          <w:sz w:val="16"/>
          <w:szCs w:val="16"/>
        </w:rPr>
        <w:softHyphen/>
        <w:t>сениц на началах кооперирования такого цеха с основным заводом».</w:t>
      </w:r>
    </w:p>
    <w:p w14:paraId="1F2BE7E3" w14:textId="77777777" w:rsidR="0086787E" w:rsidRPr="00507A31" w:rsidRDefault="0086787E" w:rsidP="00507A31">
      <w:pPr>
        <w:pStyle w:val="a3"/>
        <w:rPr>
          <w:color w:val="000000" w:themeColor="text1"/>
          <w:lang w:val="ru-RU"/>
        </w:rPr>
      </w:pPr>
      <w:r w:rsidRPr="00507A31">
        <w:rPr>
          <w:color w:val="000000" w:themeColor="text1"/>
          <w:lang w:val="ru-RU"/>
        </w:rPr>
        <w:t>Необходимость существенного снижения расходов на постройку ХТЗ вынудила отказать</w:t>
      </w:r>
      <w:r w:rsidRPr="00507A31">
        <w:rPr>
          <w:color w:val="000000" w:themeColor="text1"/>
          <w:lang w:val="ru-RU"/>
        </w:rPr>
        <w:softHyphen/>
        <w:t>ся от организации массового производства гусеничных ходов к трактору «Интернационал». Тем не менее, военные в течение нескольких лет настаивали на изготовлении гусеничных ходов по типу иностранных образцов и на раз</w:t>
      </w:r>
      <w:r w:rsidRPr="00507A31">
        <w:rPr>
          <w:color w:val="000000" w:themeColor="text1"/>
          <w:lang w:val="ru-RU"/>
        </w:rPr>
        <w:softHyphen/>
        <w:t>работке новых оригинальных конструкций (12620).</w:t>
      </w:r>
    </w:p>
    <w:p w14:paraId="726BB957" w14:textId="77777777" w:rsidR="0086787E" w:rsidRPr="00507A31" w:rsidRDefault="0086787E" w:rsidP="00507A31">
      <w:pPr>
        <w:pStyle w:val="a3"/>
        <w:rPr>
          <w:color w:val="000000" w:themeColor="text1"/>
          <w:lang w:val="ru-RU"/>
        </w:rPr>
      </w:pPr>
    </w:p>
    <w:p w14:paraId="29B2428E" w14:textId="77777777" w:rsidR="00D74D51" w:rsidRPr="00507A31" w:rsidRDefault="00D74D51"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36B0167B" w14:textId="77777777" w:rsidR="00D74D51" w:rsidRPr="00507A31" w:rsidRDefault="00D74D51" w:rsidP="00507A31">
      <w:pPr>
        <w:autoSpaceDE w:val="0"/>
        <w:autoSpaceDN w:val="0"/>
        <w:adjustRightInd w:val="0"/>
        <w:jc w:val="both"/>
        <w:rPr>
          <w:iCs/>
          <w:color w:val="000000" w:themeColor="text1"/>
          <w:sz w:val="16"/>
          <w:szCs w:val="16"/>
        </w:rPr>
      </w:pPr>
    </w:p>
    <w:p w14:paraId="06A36A86" w14:textId="77777777" w:rsidR="00C904D0" w:rsidRPr="00507A31" w:rsidRDefault="00C904D0" w:rsidP="00507A31">
      <w:pPr>
        <w:shd w:val="clear" w:color="auto" w:fill="FFFFFF"/>
        <w:jc w:val="both"/>
        <w:rPr>
          <w:color w:val="0070C0"/>
          <w:sz w:val="16"/>
          <w:szCs w:val="16"/>
        </w:rPr>
      </w:pPr>
      <w:r w:rsidRPr="00507A31">
        <w:rPr>
          <w:color w:val="0070C0"/>
          <w:sz w:val="16"/>
          <w:szCs w:val="16"/>
        </w:rPr>
        <w:t xml:space="preserve">26 мая 1930 года Управление ВВС рассылает директиву: «…выявите, где находятся самолеты «Мартинсайд» и их состояние, т.к. с «мартинсайдами» надо будет кончить.» Нашлось 14 машин, из них девять исправных — все в школах (21270). </w:t>
      </w:r>
    </w:p>
    <w:p w14:paraId="463A5DF0" w14:textId="77777777" w:rsidR="00C904D0" w:rsidRPr="00507A31" w:rsidRDefault="00C904D0" w:rsidP="00507A31">
      <w:pPr>
        <w:shd w:val="clear" w:color="auto" w:fill="FFFFFF"/>
        <w:jc w:val="both"/>
        <w:rPr>
          <w:color w:val="0070C0"/>
          <w:sz w:val="16"/>
          <w:szCs w:val="16"/>
        </w:rPr>
      </w:pPr>
    </w:p>
    <w:p w14:paraId="1C5B3ECF" w14:textId="77777777" w:rsidR="00D74D51" w:rsidRPr="00507A31" w:rsidRDefault="00D74D51" w:rsidP="00507A31">
      <w:pPr>
        <w:jc w:val="both"/>
        <w:rPr>
          <w:color w:val="000000" w:themeColor="text1"/>
          <w:sz w:val="16"/>
          <w:szCs w:val="16"/>
        </w:rPr>
      </w:pPr>
      <w:r w:rsidRPr="00507A31">
        <w:rPr>
          <w:color w:val="000000" w:themeColor="text1"/>
          <w:sz w:val="16"/>
          <w:szCs w:val="16"/>
        </w:rPr>
        <w:lastRenderedPageBreak/>
        <w:t>26 мая 1930</w:t>
      </w:r>
    </w:p>
    <w:p w14:paraId="738541AB" w14:textId="77777777" w:rsidR="00D74D51" w:rsidRPr="00507A31" w:rsidRDefault="00D74D51" w:rsidP="00507A31">
      <w:pPr>
        <w:jc w:val="both"/>
        <w:rPr>
          <w:color w:val="000000" w:themeColor="text1"/>
          <w:sz w:val="16"/>
          <w:szCs w:val="16"/>
        </w:rPr>
      </w:pPr>
      <w:r w:rsidRPr="00507A31">
        <w:rPr>
          <w:color w:val="000000" w:themeColor="text1"/>
          <w:sz w:val="16"/>
          <w:szCs w:val="16"/>
        </w:rPr>
        <w:t>«Н. Штаба Ознакомьтесь и на докладе сообщите мнение В[орошилов] 26/V. 30 г.</w:t>
      </w:r>
    </w:p>
    <w:p w14:paraId="5A353F58" w14:textId="77777777" w:rsidR="00D74D51" w:rsidRPr="00507A31" w:rsidRDefault="00D74D51" w:rsidP="00507A31">
      <w:pPr>
        <w:jc w:val="both"/>
        <w:rPr>
          <w:color w:val="000000" w:themeColor="text1"/>
          <w:sz w:val="16"/>
          <w:szCs w:val="16"/>
        </w:rPr>
      </w:pPr>
      <w:r w:rsidRPr="00507A31">
        <w:rPr>
          <w:color w:val="000000" w:themeColor="text1"/>
          <w:sz w:val="16"/>
          <w:szCs w:val="16"/>
        </w:rPr>
        <w:t>С. секретно</w:t>
      </w:r>
    </w:p>
    <w:p w14:paraId="47CC077B" w14:textId="77777777" w:rsidR="00D74D51" w:rsidRPr="00507A31" w:rsidRDefault="00D74D51" w:rsidP="00507A31">
      <w:pPr>
        <w:jc w:val="both"/>
        <w:rPr>
          <w:color w:val="000000" w:themeColor="text1"/>
          <w:sz w:val="16"/>
          <w:szCs w:val="16"/>
        </w:rPr>
      </w:pPr>
      <w:r w:rsidRPr="00507A31">
        <w:rPr>
          <w:color w:val="000000" w:themeColor="text1"/>
          <w:sz w:val="16"/>
          <w:szCs w:val="16"/>
        </w:rPr>
        <w:t>Народному комиссару по военным и морским делам Тов. Ворошилову</w:t>
      </w:r>
    </w:p>
    <w:p w14:paraId="7947E4D4" w14:textId="77777777" w:rsidR="00D74D51" w:rsidRPr="00507A31" w:rsidRDefault="00D74D51" w:rsidP="00507A31">
      <w:pPr>
        <w:jc w:val="both"/>
        <w:rPr>
          <w:color w:val="000000" w:themeColor="text1"/>
          <w:sz w:val="16"/>
          <w:szCs w:val="16"/>
        </w:rPr>
      </w:pPr>
      <w:r w:rsidRPr="00507A31">
        <w:rPr>
          <w:color w:val="000000" w:themeColor="text1"/>
          <w:sz w:val="16"/>
          <w:szCs w:val="16"/>
        </w:rPr>
        <w:t>Зам. Наркома по военным и морским делам т. Уншлихту</w:t>
      </w:r>
    </w:p>
    <w:p w14:paraId="56228F7A"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Копии: Начальнику штаба РККА т. Шапошникову </w:t>
      </w:r>
    </w:p>
    <w:p w14:paraId="06E71BE8"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Начальнику ВВС РККА т. Баранову </w:t>
      </w:r>
    </w:p>
    <w:p w14:paraId="6B264BED"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Начальнику вооружений РККА т. Уборевичу </w:t>
      </w:r>
    </w:p>
    <w:p w14:paraId="373BA93A"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Начальнику IV Штаба РККА т. Берзину </w:t>
      </w:r>
    </w:p>
    <w:p w14:paraId="06D7DFBB" w14:textId="77777777" w:rsidR="00D74D51" w:rsidRPr="00507A31" w:rsidRDefault="00D74D51" w:rsidP="00507A31">
      <w:pPr>
        <w:jc w:val="both"/>
        <w:rPr>
          <w:color w:val="000000" w:themeColor="text1"/>
          <w:sz w:val="16"/>
          <w:szCs w:val="16"/>
        </w:rPr>
      </w:pPr>
      <w:r w:rsidRPr="00507A31">
        <w:rPr>
          <w:color w:val="000000" w:themeColor="text1"/>
          <w:sz w:val="16"/>
          <w:szCs w:val="16"/>
        </w:rPr>
        <w:t>Доклад тт. Алксниса и Меженинова о военно-воздушной игре в г. Байройте</w:t>
      </w:r>
    </w:p>
    <w:p w14:paraId="22AEAB41"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По приглашению генерала Миттельбергера и с Вашего разрешения мы присутствовали на военно-воздушной игре в гор. Байройте, что в Южной Германии, с 28-го апреля по 7-е мая с.г. </w:t>
      </w:r>
    </w:p>
    <w:p w14:paraId="21EC976F"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Воздушная игра была односторонней и проводилась на фоне наступательной земной операции на местности. (…) </w:t>
      </w:r>
    </w:p>
    <w:p w14:paraId="0C7A475B"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Выводы и предложения: </w:t>
      </w:r>
    </w:p>
    <w:p w14:paraId="4A103338"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1. В течение предшествовавшего года немцы основательно проработали вопрос тесного взаимодействия авиации и частей пр/воздушной обороны в тактической и оперативной зонах. В результате этой проработки они пришли к выводу о необходимости, во-первых, создания управления воздушных сил армии во главе с генералом воздушного вооружения и сосредоточения в его руках управления всей армейской авиацией и частями противовоздушной обороны, приданными армии, и, во-вторых, создания в управлении воздушных сил армии отдельной должности начальника связи воздушного флота ввиду исключительного значения, сложности и важности этой службы. Мы считаем, что подобные организационные формы и методы управления должны быть приняты и у нас в части подчинения Начальникам ВВС армий частей противовоздушной обороны в тактической и оперативной зонах и с учреждением в Воздушном флоте сверху донизу отдельной службы связи во главе с начальником связи. </w:t>
      </w:r>
    </w:p>
    <w:p w14:paraId="6A89B7EB" w14:textId="77777777" w:rsidR="00D74D51" w:rsidRPr="00507A31" w:rsidRDefault="00D74D51" w:rsidP="00507A31">
      <w:pPr>
        <w:jc w:val="both"/>
        <w:rPr>
          <w:color w:val="000000" w:themeColor="text1"/>
          <w:sz w:val="16"/>
          <w:szCs w:val="16"/>
        </w:rPr>
      </w:pPr>
      <w:r w:rsidRPr="00507A31">
        <w:rPr>
          <w:color w:val="000000" w:themeColor="text1"/>
          <w:sz w:val="16"/>
          <w:szCs w:val="16"/>
        </w:rPr>
        <w:t>2. В течение предстоящего лета и осени нам следует у себя провести: вопервых, ряд военно-воздушных и полевых поездок наподобие того, как это было организовано немцами в Байройте и, во-вторых, провести сборы истребителей, бомбардировщиков и противовоздушных частей для совместного обучения.</w:t>
      </w:r>
    </w:p>
    <w:p w14:paraId="4061A4A3"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3. Нам не приходится рассчитывать в ближайшее время на проведение совместно с немцами каких-либо практических занятий с целью привлечения их средств и использования их достижений в области техники и тактики. Свою практическую работу немцы в Липецке, по-видимому, будут ограничивать школьной тренировкой своего личного состава на устаревшей матчасти, как это они делали до сих пор. </w:t>
      </w:r>
    </w:p>
    <w:p w14:paraId="7CF5DB20"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4. Необходимо дать задание IV Управлению [разведывательному] выяснить и проверить, не организуются и не проводятся ли немцами воздушные опыты в области тактики и техники в Испании. </w:t>
      </w:r>
    </w:p>
    <w:p w14:paraId="7EE459A0"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В заключение мы не можем не отметить всевозможных усиленных попыток, принятых со стороны немцев во время всей игры, особенно на ужинах (банкетах) к получению у нас каких-либо сведений о численности нашего Воздушного флота в целом и отдельных видов и родов авиации, в частности, о его технической мощи и степени подготовленности. Общее наше впечатление такое, что внешне немцы с нами исключительно любезны, предупредительны и внимательны, по существу же они лишь терпят нас, стремятся получить от нас как можно больше и давать нам возможно меньше из своих достижений в области тактики и особенно техники. Мы полагаем, что в беседе с Миттельбергером при предстоящем посещении им Москвы и Липецка в мае с.г. еще раз нам следует подчеркнуть ему, что Липецкая организация, как школьнотренировочный центр на устаревшей материальной части, нас очень мало интересует и удовлетворяет и что уже в ближайшее время мы хотели бы видеть в Липецке те новые объекты техники воздушного флота, которые перечислены в январском списке генерала Миттельбергера и наряду с этим видеть здесь организацию немцами практической проверки основных тактических положений по применению воздушного флота и противовоздушных средств. </w:t>
      </w:r>
    </w:p>
    <w:p w14:paraId="194F4AD6"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[подпись] Алкснис </w:t>
      </w:r>
    </w:p>
    <w:p w14:paraId="11F6A306" w14:textId="77777777" w:rsidR="00D74D51" w:rsidRPr="00507A31" w:rsidRDefault="00D74D51" w:rsidP="00507A31">
      <w:pPr>
        <w:jc w:val="both"/>
        <w:rPr>
          <w:color w:val="000000" w:themeColor="text1"/>
          <w:sz w:val="16"/>
          <w:szCs w:val="16"/>
        </w:rPr>
      </w:pPr>
      <w:r w:rsidRPr="00507A31">
        <w:rPr>
          <w:color w:val="000000" w:themeColor="text1"/>
          <w:sz w:val="16"/>
          <w:szCs w:val="16"/>
        </w:rPr>
        <w:t>[подпись] Меженинов 15 мая 1930 года» (РГВА. Ф. 4. Оп. 1. Д. 1481. Л. 40 - 40 об.) (19566).</w:t>
      </w:r>
    </w:p>
    <w:p w14:paraId="3DD8E842" w14:textId="77777777" w:rsidR="00D74D51" w:rsidRPr="00507A31" w:rsidRDefault="00D74D51" w:rsidP="00507A31">
      <w:pPr>
        <w:jc w:val="both"/>
        <w:rPr>
          <w:color w:val="000000" w:themeColor="text1"/>
          <w:sz w:val="16"/>
          <w:szCs w:val="16"/>
        </w:rPr>
      </w:pPr>
    </w:p>
    <w:p w14:paraId="455305F7" w14:textId="77777777" w:rsidR="00573A73" w:rsidRPr="00507A31" w:rsidRDefault="00573A73"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D18B457" w14:textId="77777777" w:rsidR="00573A73" w:rsidRPr="00507A31" w:rsidRDefault="00573A73" w:rsidP="00507A31">
      <w:pPr>
        <w:autoSpaceDE w:val="0"/>
        <w:autoSpaceDN w:val="0"/>
        <w:adjustRightInd w:val="0"/>
        <w:jc w:val="both"/>
        <w:rPr>
          <w:iCs/>
          <w:color w:val="000000" w:themeColor="text1"/>
          <w:sz w:val="16"/>
          <w:szCs w:val="16"/>
        </w:rPr>
      </w:pPr>
    </w:p>
    <w:p w14:paraId="57CB3EC0" w14:textId="77777777" w:rsidR="00D74D51" w:rsidRPr="00507A31" w:rsidRDefault="00D74D51" w:rsidP="00507A31">
      <w:pPr>
        <w:jc w:val="both"/>
        <w:rPr>
          <w:color w:val="000000" w:themeColor="text1"/>
          <w:sz w:val="16"/>
          <w:szCs w:val="16"/>
        </w:rPr>
      </w:pPr>
      <w:r w:rsidRPr="00507A31">
        <w:rPr>
          <w:color w:val="000000" w:themeColor="text1"/>
          <w:sz w:val="16"/>
          <w:szCs w:val="16"/>
        </w:rPr>
        <w:t>26 мая 1930. Приступили к выдаче московскому населению сельдей за июнь по прежним нормам (18725).</w:t>
      </w:r>
    </w:p>
    <w:p w14:paraId="2B334117" w14:textId="77777777" w:rsidR="00D74D51" w:rsidRPr="00507A31" w:rsidRDefault="00D74D51" w:rsidP="00507A31">
      <w:pPr>
        <w:jc w:val="both"/>
        <w:rPr>
          <w:color w:val="000000" w:themeColor="text1"/>
          <w:sz w:val="16"/>
          <w:szCs w:val="16"/>
        </w:rPr>
      </w:pPr>
    </w:p>
    <w:p w14:paraId="6854D410" w14:textId="77777777" w:rsidR="00573A73" w:rsidRPr="00507A31" w:rsidRDefault="00573A73" w:rsidP="00507A31">
      <w:pPr>
        <w:jc w:val="both"/>
        <w:rPr>
          <w:color w:val="000000" w:themeColor="text1"/>
          <w:sz w:val="16"/>
          <w:szCs w:val="16"/>
        </w:rPr>
      </w:pPr>
      <w:r w:rsidRPr="00507A31">
        <w:rPr>
          <w:color w:val="000000" w:themeColor="text1"/>
          <w:sz w:val="16"/>
          <w:szCs w:val="16"/>
        </w:rPr>
        <w:t>26 мая 1930 г. в Постановление от 23 января 1930 г. были внесены изменения: предусматривалось, что разрешение на приобретение, хранение и использование нарезным охотничьим оружием выдавались на определенный срок - 3 года; при утрате оружия лица, правомерно им владевшие, обязаны были сообщить в орган милиции, в котором оно было зарегистрировано (18514).</w:t>
      </w:r>
    </w:p>
    <w:p w14:paraId="1958594F" w14:textId="77777777" w:rsidR="00573A73" w:rsidRPr="00507A31" w:rsidRDefault="00573A73" w:rsidP="00507A31">
      <w:pPr>
        <w:jc w:val="both"/>
        <w:rPr>
          <w:color w:val="000000" w:themeColor="text1"/>
          <w:sz w:val="16"/>
          <w:szCs w:val="16"/>
        </w:rPr>
      </w:pPr>
    </w:p>
    <w:p w14:paraId="6D66E9F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02A8066" w14:textId="77777777" w:rsidR="00537E5F" w:rsidRPr="00507A31" w:rsidRDefault="00537E5F" w:rsidP="00507A31">
      <w:pPr>
        <w:autoSpaceDE w:val="0"/>
        <w:autoSpaceDN w:val="0"/>
        <w:adjustRightInd w:val="0"/>
        <w:jc w:val="both"/>
        <w:rPr>
          <w:iCs/>
          <w:color w:val="000000" w:themeColor="text1"/>
          <w:sz w:val="16"/>
          <w:szCs w:val="16"/>
        </w:rPr>
      </w:pPr>
    </w:p>
    <w:p w14:paraId="198C90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мая 1930 г. (журнал 1 секции за N 15с) рассмотрели вопросы:</w:t>
      </w:r>
    </w:p>
    <w:p w14:paraId="40949C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результатах эксплоатационно-технических испытаний самолета S-62бис с мотором АССО-750 НР.</w:t>
      </w:r>
    </w:p>
    <w:p w14:paraId="204196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Постановлено:</w:t>
      </w:r>
    </w:p>
    <w:p w14:paraId="0F31E0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Считать возможным дать заказ на серийную постройку самолетов S-62 бис с мотором Ассо-750 НР, устранив в серии все дефекты, отмеченные в акте...</w:t>
      </w:r>
    </w:p>
    <w:p w14:paraId="078228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результатах эксплоатационно-технических испытаний самолета S-62бис с мотором АССО-750 НР.</w:t>
      </w:r>
    </w:p>
    <w:p w14:paraId="275D29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Постановлено:</w:t>
      </w:r>
    </w:p>
    <w:p w14:paraId="3C1ADA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своим летно-тактическим данным самолет S-62 бис не удовлетворяет требованиям штаба РККА, предъявленным к морскому ближнему разведчику в отношении горизонтальной скорости на 3000 м (вместо 200 км/час имеет 194 км/час), практического потолка (вместо 5000 м имеет 4600м) и мореходности, так как испытания показали, что высота волны в 0,5 м при ветре 3-4 м/сек. является предельной нормальной эксплуатации самолета.</w:t>
      </w:r>
    </w:p>
    <w:p w14:paraId="6D4D63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устранения дефектов самолет S-62бис с мотором Ассо-750 НР может быть рекомендован на снабжение ВВС в качестве морского ближнего разведчика (3271).</w:t>
      </w:r>
    </w:p>
    <w:p w14:paraId="4D0067C6" w14:textId="77777777" w:rsidR="00537E5F" w:rsidRPr="00507A31" w:rsidRDefault="00537E5F" w:rsidP="00507A31">
      <w:pPr>
        <w:autoSpaceDE w:val="0"/>
        <w:autoSpaceDN w:val="0"/>
        <w:adjustRightInd w:val="0"/>
        <w:jc w:val="both"/>
        <w:rPr>
          <w:color w:val="000000" w:themeColor="text1"/>
          <w:sz w:val="16"/>
          <w:szCs w:val="16"/>
        </w:rPr>
      </w:pPr>
    </w:p>
    <w:p w14:paraId="2399F29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3FB8422" w14:textId="77777777" w:rsidR="00537E5F" w:rsidRPr="00507A31" w:rsidRDefault="00537E5F" w:rsidP="00507A31">
      <w:pPr>
        <w:autoSpaceDE w:val="0"/>
        <w:autoSpaceDN w:val="0"/>
        <w:adjustRightInd w:val="0"/>
        <w:jc w:val="both"/>
        <w:rPr>
          <w:iCs/>
          <w:color w:val="000000" w:themeColor="text1"/>
          <w:sz w:val="16"/>
          <w:szCs w:val="16"/>
        </w:rPr>
      </w:pPr>
    </w:p>
    <w:p w14:paraId="4308F5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мая 1930 в СССР началось формирование первой в РККА мехбригады (потом им. К.Калиновского) и в 1932 на ее основе сформировали мехкорпус (3398,194).</w:t>
      </w:r>
    </w:p>
    <w:p w14:paraId="49CF5C50" w14:textId="77777777" w:rsidR="00537E5F" w:rsidRPr="00507A31" w:rsidRDefault="00537E5F" w:rsidP="00507A31">
      <w:pPr>
        <w:autoSpaceDE w:val="0"/>
        <w:autoSpaceDN w:val="0"/>
        <w:adjustRightInd w:val="0"/>
        <w:jc w:val="both"/>
        <w:rPr>
          <w:color w:val="000000" w:themeColor="text1"/>
          <w:sz w:val="16"/>
          <w:szCs w:val="16"/>
        </w:rPr>
      </w:pPr>
    </w:p>
    <w:p w14:paraId="075A48C9" w14:textId="77777777" w:rsidR="00C904D0" w:rsidRPr="00507A31" w:rsidRDefault="00C904D0"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DA6FC5F" w14:textId="77777777" w:rsidR="00C904D0" w:rsidRPr="00507A31" w:rsidRDefault="00C904D0" w:rsidP="00507A31">
      <w:pPr>
        <w:autoSpaceDE w:val="0"/>
        <w:autoSpaceDN w:val="0"/>
        <w:adjustRightInd w:val="0"/>
        <w:jc w:val="both"/>
        <w:rPr>
          <w:iCs/>
          <w:color w:val="000000" w:themeColor="text1"/>
          <w:sz w:val="16"/>
          <w:szCs w:val="16"/>
        </w:rPr>
      </w:pPr>
    </w:p>
    <w:p w14:paraId="686CFB56" w14:textId="77777777" w:rsidR="00C904D0" w:rsidRPr="00507A31" w:rsidRDefault="00C904D0" w:rsidP="00507A31">
      <w:pPr>
        <w:jc w:val="both"/>
        <w:rPr>
          <w:color w:val="0070C0"/>
          <w:sz w:val="16"/>
          <w:szCs w:val="16"/>
        </w:rPr>
      </w:pPr>
      <w:r w:rsidRPr="00507A31">
        <w:rPr>
          <w:color w:val="0070C0"/>
          <w:sz w:val="16"/>
          <w:szCs w:val="16"/>
        </w:rPr>
        <w:t>27 мая 1930 CLASSA Форд 4-AT Trimotor делает первый полет между полуостровной Испании и Канарскими островов, совершив посадку в Лос - Родео аэропорта на острове Тенерифе (20805).</w:t>
      </w:r>
    </w:p>
    <w:p w14:paraId="37F2EEEE" w14:textId="77777777" w:rsidR="00C904D0" w:rsidRPr="00507A31" w:rsidRDefault="00C904D0" w:rsidP="00507A31">
      <w:pPr>
        <w:jc w:val="both"/>
        <w:rPr>
          <w:color w:val="0070C0"/>
          <w:sz w:val="16"/>
          <w:szCs w:val="16"/>
        </w:rPr>
      </w:pPr>
    </w:p>
    <w:p w14:paraId="3315536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42CCD23" w14:textId="77777777" w:rsidR="00537E5F" w:rsidRPr="00507A31" w:rsidRDefault="00537E5F" w:rsidP="00507A31">
      <w:pPr>
        <w:autoSpaceDE w:val="0"/>
        <w:autoSpaceDN w:val="0"/>
        <w:adjustRightInd w:val="0"/>
        <w:jc w:val="both"/>
        <w:rPr>
          <w:iCs/>
          <w:color w:val="000000" w:themeColor="text1"/>
          <w:sz w:val="16"/>
          <w:szCs w:val="16"/>
        </w:rPr>
      </w:pPr>
    </w:p>
    <w:p w14:paraId="55C69F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мая 1930 г. начальник ВВС РККА П.И.Баранов в своем докладе Реввоенсовету СССР отмечал, что отсутствие бомбодержателей «...делает самолеты ТБ-1 в настоящее время непригодными для боевого применения по прямому назначению» (9528).</w:t>
      </w:r>
    </w:p>
    <w:p w14:paraId="3FD5EEB9" w14:textId="77777777" w:rsidR="00537E5F" w:rsidRPr="00507A31" w:rsidRDefault="00537E5F" w:rsidP="00507A31">
      <w:pPr>
        <w:autoSpaceDE w:val="0"/>
        <w:autoSpaceDN w:val="0"/>
        <w:adjustRightInd w:val="0"/>
        <w:jc w:val="both"/>
        <w:rPr>
          <w:color w:val="000000" w:themeColor="text1"/>
          <w:sz w:val="16"/>
          <w:szCs w:val="16"/>
        </w:rPr>
      </w:pPr>
    </w:p>
    <w:p w14:paraId="30C27D2C" w14:textId="77777777" w:rsidR="00C904D0" w:rsidRPr="00507A31" w:rsidRDefault="00C904D0" w:rsidP="00507A31">
      <w:pPr>
        <w:jc w:val="both"/>
        <w:rPr>
          <w:color w:val="0070C0"/>
          <w:sz w:val="16"/>
          <w:szCs w:val="16"/>
        </w:rPr>
      </w:pPr>
      <w:r w:rsidRPr="00507A31">
        <w:rPr>
          <w:color w:val="0070C0"/>
          <w:sz w:val="16"/>
          <w:szCs w:val="16"/>
        </w:rPr>
        <w:t>28 мая 1930 г. бы доклад Г.М. Штерна (1900-1941) наркому обороны К.Е. Ворошилову о связи СССР с Италией по линии военных закупок и технической помощи (РГВА. Ф. 33987. Секретариат Председателя РВС СССР. Оп. 3. Д. 331. Справка состоящего в распоряжении председателя РВС СССР о связи СССР с Италией по линии военных закупок и технической помощи. Л. 29.).</w:t>
      </w:r>
    </w:p>
    <w:p w14:paraId="3048D2A8" w14:textId="77777777" w:rsidR="00C904D0" w:rsidRPr="00507A31" w:rsidRDefault="00C904D0" w:rsidP="00507A31">
      <w:pPr>
        <w:jc w:val="both"/>
        <w:rPr>
          <w:color w:val="0070C0"/>
          <w:sz w:val="16"/>
          <w:szCs w:val="16"/>
        </w:rPr>
      </w:pPr>
      <w:r w:rsidRPr="00507A31">
        <w:rPr>
          <w:color w:val="0070C0"/>
          <w:sz w:val="16"/>
          <w:szCs w:val="16"/>
        </w:rPr>
        <w:t>Согласно письму Г.М. Штерна председателю РВС СССР К.Е. Ворошилову «О связи с Италией по линии военных закупок и технической помощи», в 1922-1923 гг. Советским Союзом была куплена серия из 35 деревянных гидросамолетов «Savoia-16 bis».</w:t>
      </w:r>
    </w:p>
    <w:p w14:paraId="74C6506B" w14:textId="77777777" w:rsidR="00C904D0" w:rsidRPr="00507A31" w:rsidRDefault="00C904D0" w:rsidP="00507A31">
      <w:pPr>
        <w:jc w:val="both"/>
        <w:rPr>
          <w:color w:val="0070C0"/>
          <w:sz w:val="16"/>
          <w:szCs w:val="16"/>
        </w:rPr>
      </w:pPr>
      <w:r w:rsidRPr="00507A31">
        <w:rPr>
          <w:color w:val="0070C0"/>
          <w:sz w:val="16"/>
          <w:szCs w:val="16"/>
        </w:rPr>
        <w:t>Первоначально самолеты были закуплены в 1923 г., но затем было приобретено еще 50 самолетов, которые применялись до 1931 г. главным образом на Черном море (РГВА. Ф. 29. Оп. 76. Д. 1459. Сведения о морских самолетах и сводный план развития ВВВС РККА на 1931-33 гг. 1.1.32-11.12.32. Л. 95.) (21410).</w:t>
      </w:r>
    </w:p>
    <w:p w14:paraId="77080D75" w14:textId="77777777" w:rsidR="00C904D0" w:rsidRPr="00507A31" w:rsidRDefault="00C904D0" w:rsidP="00507A31">
      <w:pPr>
        <w:jc w:val="both"/>
        <w:rPr>
          <w:color w:val="0070C0"/>
          <w:sz w:val="16"/>
          <w:szCs w:val="16"/>
        </w:rPr>
      </w:pPr>
    </w:p>
    <w:p w14:paraId="0D33F37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D100848" w14:textId="77777777" w:rsidR="00537E5F" w:rsidRPr="00507A31" w:rsidRDefault="00537E5F" w:rsidP="00507A31">
      <w:pPr>
        <w:autoSpaceDE w:val="0"/>
        <w:autoSpaceDN w:val="0"/>
        <w:adjustRightInd w:val="0"/>
        <w:jc w:val="both"/>
        <w:rPr>
          <w:iCs/>
          <w:color w:val="000000" w:themeColor="text1"/>
          <w:sz w:val="16"/>
          <w:szCs w:val="16"/>
        </w:rPr>
      </w:pPr>
    </w:p>
    <w:p w14:paraId="0B1A62CA" w14:textId="77777777" w:rsidR="0086787E" w:rsidRPr="00507A31" w:rsidRDefault="0086787E" w:rsidP="00507A31">
      <w:pPr>
        <w:jc w:val="both"/>
        <w:rPr>
          <w:color w:val="000000" w:themeColor="text1"/>
          <w:sz w:val="16"/>
          <w:szCs w:val="16"/>
        </w:rPr>
      </w:pPr>
      <w:r w:rsidRPr="00507A31">
        <w:rPr>
          <w:color w:val="000000" w:themeColor="text1"/>
          <w:sz w:val="16"/>
          <w:szCs w:val="16"/>
        </w:rPr>
        <w:t>28 мая 1930 года проект танка Т-24 направили председателю НТК Оружобъединения Адамсу для рассмотрения и утверждения (12303).</w:t>
      </w:r>
    </w:p>
    <w:p w14:paraId="0E4C8E71" w14:textId="77777777" w:rsidR="0086787E" w:rsidRPr="00507A31" w:rsidRDefault="0086787E" w:rsidP="00507A31">
      <w:pPr>
        <w:jc w:val="both"/>
        <w:rPr>
          <w:color w:val="000000" w:themeColor="text1"/>
          <w:sz w:val="16"/>
          <w:szCs w:val="16"/>
        </w:rPr>
      </w:pPr>
    </w:p>
    <w:p w14:paraId="2A013B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мая 1930 СССР заказал (был заключен контракт - 3547) фирме Виккерс 15 двухбашенных пулеметных танков. Также приглянулся комиссии И.А.Халепского, которая подбирала машины под Систему танково-тракторно-авто-броневооружения РККА, разработанную в 1929 (1127,9).</w:t>
      </w:r>
    </w:p>
    <w:p w14:paraId="0C49E010" w14:textId="77777777" w:rsidR="00537E5F" w:rsidRPr="00507A31" w:rsidRDefault="00537E5F" w:rsidP="00507A31">
      <w:pPr>
        <w:autoSpaceDE w:val="0"/>
        <w:autoSpaceDN w:val="0"/>
        <w:adjustRightInd w:val="0"/>
        <w:jc w:val="both"/>
        <w:rPr>
          <w:color w:val="000000" w:themeColor="text1"/>
          <w:sz w:val="16"/>
          <w:szCs w:val="16"/>
        </w:rPr>
      </w:pPr>
    </w:p>
    <w:p w14:paraId="09257DF0" w14:textId="77777777" w:rsidR="00E53753" w:rsidRPr="00507A31" w:rsidRDefault="00E53753" w:rsidP="00507A31">
      <w:pPr>
        <w:jc w:val="both"/>
        <w:rPr>
          <w:color w:val="000000" w:themeColor="text1"/>
          <w:sz w:val="16"/>
          <w:szCs w:val="16"/>
        </w:rPr>
      </w:pPr>
      <w:r w:rsidRPr="00507A31">
        <w:rPr>
          <w:color w:val="000000" w:themeColor="text1"/>
          <w:sz w:val="16"/>
          <w:szCs w:val="16"/>
        </w:rPr>
        <w:t>28 мая 1930 г. между фирмой и советской стороной был подписан контракт на поставку в СССР 15 танков Мк. Е в двухбашенном варианте. Танки закупались с полным комплектом технической документации и возможностью организации их серийного производства в СССР (15132).</w:t>
      </w:r>
    </w:p>
    <w:p w14:paraId="7E5D1588" w14:textId="77777777" w:rsidR="00E53753" w:rsidRPr="00507A31" w:rsidRDefault="00E53753" w:rsidP="00507A31">
      <w:pPr>
        <w:jc w:val="both"/>
        <w:rPr>
          <w:color w:val="000000" w:themeColor="text1"/>
          <w:sz w:val="16"/>
          <w:szCs w:val="16"/>
        </w:rPr>
      </w:pPr>
    </w:p>
    <w:p w14:paraId="07BFA8CB" w14:textId="77777777" w:rsidR="00C904D0" w:rsidRPr="00507A31" w:rsidRDefault="00C904D0" w:rsidP="00507A31">
      <w:pPr>
        <w:shd w:val="clear" w:color="auto" w:fill="FFFFFF"/>
        <w:jc w:val="both"/>
        <w:rPr>
          <w:color w:val="0070C0"/>
          <w:sz w:val="16"/>
          <w:szCs w:val="16"/>
        </w:rPr>
      </w:pPr>
      <w:r w:rsidRPr="00507A31">
        <w:rPr>
          <w:color w:val="0070C0"/>
          <w:sz w:val="16"/>
          <w:szCs w:val="16"/>
        </w:rPr>
        <w:t>28 мая 1930 года был подписан договор о поставке 15 Vickers Mk.E. Первый танк сдавался в сентябре 1930 года, 4 в октябре, 4 в ноябре, 4 в декабре и последние 2 в январе 1931 года. По договоренности с английской стороной, вместе с первой партией танков прибывала и техническая документация. Надо сказать, что английская сторона добросовестно выполнила свои обязательства. Построенные танки носили серийные номера V.A.E.214-V.A.E.228, в СССР их обозначили как В-26. Согласно планам от ноября 1930 года, предполагалось осваивать В-26 на Сталинградском Тракторном Заводе, причем прорабатывался вопрос и о том, что там будут производить Т-19. Вот только пока никакого Т-19 не имелось, да и с Т-20 дело сильно затянулось. Создается впечатление, что Шукалов и компания не восприняли угрозы в виде новых танков, а уж тем более со стороны УММ КА. Впрочем, кое-что они предприняли: в ходе испытаний В-26, которые проходили в декабре 1930 года, он подозрительно долго заводился. Впрочем, несмотря на выявленные недостатки, танк выглядел явно лучше, чем всё то, что проектировала промышленность. По Т-19 ситуация усугублялась еще и тем, что он к концу 1930 года имел массу 8 тонн, а это уже превышение требований. Да и то, танк еще даже не построили, при этом по нему прорабатывалось два варианта ходовой части. Под вторым явно предусматривалась ходовая часть по типу В-26. В случае с Т-20 ситуация также выглядела запущенной. Первые испытания танка, еще с мотором Т-18, состоялись в самом конце октября 1930 года, они выявили ряд недочетов (20740).</w:t>
      </w:r>
    </w:p>
    <w:p w14:paraId="5EBB2EDD" w14:textId="77777777" w:rsidR="00C904D0" w:rsidRPr="00507A31" w:rsidRDefault="00C904D0" w:rsidP="00507A31">
      <w:pPr>
        <w:jc w:val="both"/>
        <w:rPr>
          <w:color w:val="0070C0"/>
          <w:sz w:val="16"/>
          <w:szCs w:val="16"/>
        </w:rPr>
      </w:pPr>
    </w:p>
    <w:p w14:paraId="4E01BA30" w14:textId="77777777" w:rsidR="00C904D0" w:rsidRPr="00507A31" w:rsidRDefault="00C904D0" w:rsidP="00507A31">
      <w:pPr>
        <w:shd w:val="clear" w:color="auto" w:fill="FFFFFF"/>
        <w:jc w:val="both"/>
        <w:rPr>
          <w:color w:val="0070C0"/>
          <w:sz w:val="16"/>
          <w:szCs w:val="16"/>
        </w:rPr>
      </w:pPr>
      <w:r w:rsidRPr="00507A31">
        <w:rPr>
          <w:color w:val="0070C0"/>
          <w:sz w:val="16"/>
          <w:szCs w:val="16"/>
        </w:rPr>
        <w:t>28 мая 1930 г. председатель сектора обороны Госплана Мехоношин направил председателю РЗ СТО"Доклад о выполнении оборонных мероприятий за I полугодие 1929/30 г." (РГАЭ. Ф. 4372. Оп. 91. Д 564. Л. 142-149). Ocновные выводы этого доклада отражены в проекте постановления РЗ СТО, который был подписан как Мехоношиным, так и председателем Госплана Кржижановским. Они предлагали "признать неудовлетворительным выполните промышленностью оборонного плана как по линии капитального строительства, так и в части реализации заказов Наркомвоенмора" (То же. Л. 118). Еще показательнее проект постановления Политбюро, подготовленный председателем ВСНХ Куйбышевым о работе подведомственной ему отрасли: "...в основном решения Политбюро or 15/VП-29 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 (Проект постановления Политбюро ЦК ВКП(б) "О ходе ликвидации вредительства на предприятиях военной промышленности" //Лубянка: Сталин и ВЧК-1ТТУ-ОГПУ-НКВД Архив Статна: Документы высших органов партийной и государственной власти, Янв. 1922 - дек. 1936 / Сост. В. II Хаустов и др. М, 2003 С. 221 -222). О результатах обследования военной промышленности, проведенного управлением вооружений РККА в начале 1930 г., см.: STONE D. Hammer and Kifle. Lawrence (КС), P. 162-163. Уборевич официально определил последние месяцы 1929 г. как период, прошедший под знаком "вредительства" в военной промышленности (Ibid. Р. 166)) (22725).</w:t>
      </w:r>
    </w:p>
    <w:p w14:paraId="33509E7A" w14:textId="77777777" w:rsidR="00C904D0" w:rsidRPr="00507A31" w:rsidRDefault="00C904D0" w:rsidP="00507A31">
      <w:pPr>
        <w:jc w:val="both"/>
        <w:rPr>
          <w:color w:val="0070C0"/>
          <w:sz w:val="16"/>
          <w:szCs w:val="16"/>
        </w:rPr>
      </w:pPr>
    </w:p>
    <w:p w14:paraId="54100F32" w14:textId="77777777" w:rsidR="00D74D51" w:rsidRPr="00507A31" w:rsidRDefault="00D74D51" w:rsidP="00507A31">
      <w:pPr>
        <w:jc w:val="both"/>
        <w:rPr>
          <w:color w:val="000000" w:themeColor="text1"/>
          <w:sz w:val="16"/>
          <w:szCs w:val="16"/>
        </w:rPr>
      </w:pPr>
      <w:r w:rsidRPr="00507A31">
        <w:rPr>
          <w:color w:val="000000" w:themeColor="text1"/>
          <w:sz w:val="16"/>
          <w:szCs w:val="16"/>
        </w:rPr>
        <w:t>28 мая 1930 г.</w:t>
      </w:r>
    </w:p>
    <w:p w14:paraId="0723D6B2" w14:textId="77777777" w:rsidR="00D74D51" w:rsidRPr="00507A31" w:rsidRDefault="00D74D51" w:rsidP="00507A31">
      <w:pPr>
        <w:jc w:val="both"/>
        <w:rPr>
          <w:color w:val="000000" w:themeColor="text1"/>
          <w:sz w:val="16"/>
          <w:szCs w:val="16"/>
        </w:rPr>
      </w:pPr>
      <w:r w:rsidRPr="00507A31">
        <w:rPr>
          <w:color w:val="000000" w:themeColor="text1"/>
          <w:sz w:val="16"/>
          <w:szCs w:val="16"/>
        </w:rPr>
        <w:t xml:space="preserve">Сопроводительное письмо о рассылке материалов о деятельности «контрреволюционных вредительских организаций» в Госплане СССР и Ленмаштресте членам и кандидатам ЦК и членам Президиума ЦКК ВКП(б) </w:t>
      </w:r>
    </w:p>
    <w:p w14:paraId="04F022DD" w14:textId="77777777" w:rsidR="00D74D51" w:rsidRPr="00507A31" w:rsidRDefault="00D74D51" w:rsidP="00507A31">
      <w:pPr>
        <w:jc w:val="both"/>
        <w:rPr>
          <w:color w:val="000000" w:themeColor="text1"/>
          <w:sz w:val="16"/>
          <w:szCs w:val="16"/>
        </w:rPr>
      </w:pPr>
      <w:r w:rsidRPr="00507A31">
        <w:rPr>
          <w:color w:val="000000" w:themeColor="text1"/>
          <w:sz w:val="16"/>
          <w:szCs w:val="16"/>
        </w:rPr>
        <w:t>Источник: </w:t>
      </w:r>
    </w:p>
    <w:p w14:paraId="0B76349B" w14:textId="77777777" w:rsidR="00D74D51" w:rsidRPr="00507A31" w:rsidRDefault="00D74D51"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0CCDA40" w14:textId="77777777" w:rsidR="00D74D51" w:rsidRPr="00507A31" w:rsidRDefault="00D74D51" w:rsidP="00507A31">
      <w:pPr>
        <w:jc w:val="both"/>
        <w:rPr>
          <w:color w:val="000000" w:themeColor="text1"/>
          <w:sz w:val="16"/>
          <w:szCs w:val="16"/>
        </w:rPr>
      </w:pPr>
      <w:r w:rsidRPr="00507A31">
        <w:rPr>
          <w:color w:val="000000" w:themeColor="text1"/>
          <w:sz w:val="16"/>
          <w:szCs w:val="16"/>
        </w:rPr>
        <w:t>28 мая 1930 г.</w:t>
      </w:r>
    </w:p>
    <w:p w14:paraId="5DDDAF13" w14:textId="77777777" w:rsidR="00D74D51" w:rsidRPr="00507A31" w:rsidRDefault="00D74D51" w:rsidP="00507A31">
      <w:pPr>
        <w:jc w:val="both"/>
        <w:rPr>
          <w:color w:val="000000" w:themeColor="text1"/>
          <w:sz w:val="16"/>
          <w:szCs w:val="16"/>
        </w:rPr>
      </w:pPr>
      <w:r w:rsidRPr="00507A31">
        <w:rPr>
          <w:color w:val="000000" w:themeColor="text1"/>
          <w:sz w:val="16"/>
          <w:szCs w:val="16"/>
        </w:rPr>
        <w:t>СТРОГО СЕКРЕТНО</w:t>
      </w:r>
    </w:p>
    <w:p w14:paraId="1C926656" w14:textId="77777777" w:rsidR="00D74D51" w:rsidRPr="00507A31" w:rsidRDefault="00D74D51" w:rsidP="00507A31">
      <w:pPr>
        <w:jc w:val="both"/>
        <w:rPr>
          <w:color w:val="000000" w:themeColor="text1"/>
          <w:sz w:val="16"/>
          <w:szCs w:val="16"/>
        </w:rPr>
      </w:pPr>
      <w:r w:rsidRPr="00507A31">
        <w:rPr>
          <w:color w:val="000000" w:themeColor="text1"/>
          <w:sz w:val="16"/>
          <w:szCs w:val="16"/>
        </w:rPr>
        <w:t>Членам и кандидатам Политбюро ЦК: т.т. Андрееву, Бауману, Ворошилову, Кагановичу, Калинину, Кирову, Косиору Ст., Куйбышеву, Микояну, Молотову, Петровскому, Рудзутаку, Рыкову, Сталину, Сырцову, Томскому, Чубарю.</w:t>
      </w:r>
    </w:p>
    <w:p w14:paraId="376CC370" w14:textId="77777777" w:rsidR="00D74D51" w:rsidRPr="00507A31" w:rsidRDefault="00D74D51" w:rsidP="00507A31">
      <w:pPr>
        <w:jc w:val="both"/>
        <w:rPr>
          <w:color w:val="000000" w:themeColor="text1"/>
          <w:sz w:val="16"/>
          <w:szCs w:val="16"/>
        </w:rPr>
      </w:pPr>
      <w:r w:rsidRPr="00507A31">
        <w:rPr>
          <w:color w:val="000000" w:themeColor="text1"/>
          <w:sz w:val="16"/>
          <w:szCs w:val="16"/>
        </w:rPr>
        <w:t>Членам Президиума ЦКК: т.т. Ильину, Лебедю, Орджоникидзе, Сольцу, Шкирятову, Яковлеву Я. А., Ярославскому.</w:t>
      </w:r>
    </w:p>
    <w:p w14:paraId="6292837D" w14:textId="77777777" w:rsidR="00D74D51" w:rsidRPr="00507A31" w:rsidRDefault="00D74D51" w:rsidP="00507A31">
      <w:pPr>
        <w:jc w:val="both"/>
        <w:rPr>
          <w:color w:val="000000" w:themeColor="text1"/>
          <w:sz w:val="16"/>
          <w:szCs w:val="16"/>
        </w:rPr>
      </w:pPr>
      <w:r w:rsidRPr="00507A31">
        <w:rPr>
          <w:color w:val="000000" w:themeColor="text1"/>
          <w:sz w:val="16"/>
          <w:szCs w:val="16"/>
        </w:rPr>
        <w:t>т.т. Акулову, Смирнову.</w:t>
      </w:r>
    </w:p>
    <w:p w14:paraId="29CB5084" w14:textId="77777777" w:rsidR="00D74D51" w:rsidRPr="00507A31" w:rsidRDefault="00D74D51" w:rsidP="00507A31">
      <w:pPr>
        <w:jc w:val="both"/>
        <w:rPr>
          <w:color w:val="000000" w:themeColor="text1"/>
          <w:sz w:val="16"/>
          <w:szCs w:val="16"/>
        </w:rPr>
      </w:pPr>
      <w:r w:rsidRPr="00507A31">
        <w:rPr>
          <w:color w:val="000000" w:themeColor="text1"/>
          <w:sz w:val="16"/>
          <w:szCs w:val="16"/>
        </w:rPr>
        <w:t>По поручению т. Сталина посылаются Вам для сведения следующие материалы:</w:t>
      </w:r>
    </w:p>
    <w:p w14:paraId="77DCA653" w14:textId="77777777" w:rsidR="00D74D51" w:rsidRPr="00507A31" w:rsidRDefault="00D74D51" w:rsidP="00507A31">
      <w:pPr>
        <w:jc w:val="both"/>
        <w:rPr>
          <w:color w:val="000000" w:themeColor="text1"/>
          <w:sz w:val="16"/>
          <w:szCs w:val="16"/>
        </w:rPr>
      </w:pPr>
      <w:r w:rsidRPr="00507A31">
        <w:rPr>
          <w:color w:val="000000" w:themeColor="text1"/>
          <w:sz w:val="16"/>
          <w:szCs w:val="16"/>
        </w:rPr>
        <w:t>1) Последние показания Ларичева от 17.V.30</w:t>
      </w:r>
    </w:p>
    <w:p w14:paraId="66E5BE34" w14:textId="77777777" w:rsidR="00D74D51" w:rsidRPr="00507A31" w:rsidRDefault="00D74D51" w:rsidP="00507A31">
      <w:pPr>
        <w:jc w:val="both"/>
        <w:rPr>
          <w:color w:val="000000" w:themeColor="text1"/>
          <w:sz w:val="16"/>
          <w:szCs w:val="16"/>
        </w:rPr>
      </w:pPr>
      <w:r w:rsidRPr="00507A31">
        <w:rPr>
          <w:color w:val="000000" w:themeColor="text1"/>
          <w:sz w:val="16"/>
          <w:szCs w:val="16"/>
        </w:rPr>
        <w:t>(на 8 листах);</w:t>
      </w:r>
    </w:p>
    <w:p w14:paraId="16BEBB11" w14:textId="77777777" w:rsidR="00D74D51" w:rsidRPr="00507A31" w:rsidRDefault="00D74D51" w:rsidP="00507A31">
      <w:pPr>
        <w:jc w:val="both"/>
        <w:rPr>
          <w:color w:val="000000" w:themeColor="text1"/>
          <w:sz w:val="16"/>
          <w:szCs w:val="16"/>
        </w:rPr>
      </w:pPr>
      <w:r w:rsidRPr="00507A31">
        <w:rPr>
          <w:color w:val="000000" w:themeColor="text1"/>
          <w:sz w:val="16"/>
          <w:szCs w:val="16"/>
        </w:rPr>
        <w:t>2) Записка т. Ягоды от 23.V.30 г. за № 44524 с приложениями о к.-р. вредительской организации в Ленмаштресте</w:t>
      </w:r>
    </w:p>
    <w:p w14:paraId="2E1B3D6A" w14:textId="77777777" w:rsidR="00D74D51" w:rsidRPr="00507A31" w:rsidRDefault="00D74D51" w:rsidP="00507A31">
      <w:pPr>
        <w:jc w:val="both"/>
        <w:rPr>
          <w:color w:val="000000" w:themeColor="text1"/>
          <w:sz w:val="16"/>
          <w:szCs w:val="16"/>
        </w:rPr>
      </w:pPr>
      <w:r w:rsidRPr="00507A31">
        <w:rPr>
          <w:color w:val="000000" w:themeColor="text1"/>
          <w:sz w:val="16"/>
          <w:szCs w:val="16"/>
        </w:rPr>
        <w:t>(на 29 листах).</w:t>
      </w:r>
    </w:p>
    <w:p w14:paraId="660FD4DC" w14:textId="77777777" w:rsidR="00D74D51" w:rsidRPr="00507A31" w:rsidRDefault="00D74D51" w:rsidP="00507A31">
      <w:pPr>
        <w:jc w:val="both"/>
        <w:rPr>
          <w:color w:val="000000" w:themeColor="text1"/>
          <w:sz w:val="16"/>
          <w:szCs w:val="16"/>
        </w:rPr>
      </w:pPr>
      <w:r w:rsidRPr="00507A31">
        <w:rPr>
          <w:color w:val="000000" w:themeColor="text1"/>
          <w:sz w:val="16"/>
          <w:szCs w:val="16"/>
        </w:rPr>
        <w:t>ПРИЛОЖЕНИЕ: экз №__ на 37 листах.</w:t>
      </w:r>
    </w:p>
    <w:p w14:paraId="0865F576" w14:textId="77777777" w:rsidR="00D74D51" w:rsidRPr="00507A31" w:rsidRDefault="00D74D51" w:rsidP="00507A31">
      <w:pPr>
        <w:jc w:val="both"/>
        <w:rPr>
          <w:color w:val="000000" w:themeColor="text1"/>
          <w:sz w:val="16"/>
          <w:szCs w:val="16"/>
        </w:rPr>
      </w:pPr>
      <w:r w:rsidRPr="00507A31">
        <w:rPr>
          <w:color w:val="000000" w:themeColor="text1"/>
          <w:sz w:val="16"/>
          <w:szCs w:val="16"/>
        </w:rPr>
        <w:t>Пом. Секретаря ЦК</w:t>
      </w:r>
    </w:p>
    <w:p w14:paraId="4A8654CE" w14:textId="77777777" w:rsidR="00D74D51" w:rsidRPr="00507A31" w:rsidRDefault="00D74D51" w:rsidP="00507A31">
      <w:pPr>
        <w:jc w:val="both"/>
        <w:rPr>
          <w:color w:val="000000" w:themeColor="text1"/>
          <w:sz w:val="16"/>
          <w:szCs w:val="16"/>
        </w:rPr>
      </w:pPr>
      <w:r w:rsidRPr="00507A31">
        <w:rPr>
          <w:color w:val="000000" w:themeColor="text1"/>
          <w:sz w:val="16"/>
          <w:szCs w:val="16"/>
        </w:rPr>
        <w:t>Д. 353. Л. 57. Машинописный отпуск на бланке ЦК ВКП(б), подпись отсутствует. Фамилии адресатов — типографский текст (курсивом); «т.т. Акулову, Смирнову» — машинописью. В перечне членов и кандидатов Политбюро ЦКВКП(б) после фамилии Баумана вычеркнуто «Бухарину». Номер документа «№ 24469/с» и дата «28 мая 1930 г.» впечатаны в графы бланка (18379).</w:t>
      </w:r>
    </w:p>
    <w:p w14:paraId="1E7051BB" w14:textId="77777777" w:rsidR="00D74D51" w:rsidRPr="00507A31" w:rsidRDefault="00D74D51" w:rsidP="00507A31">
      <w:pPr>
        <w:jc w:val="both"/>
        <w:rPr>
          <w:color w:val="000000" w:themeColor="text1"/>
          <w:sz w:val="16"/>
          <w:szCs w:val="16"/>
        </w:rPr>
      </w:pPr>
    </w:p>
    <w:p w14:paraId="55FC462E" w14:textId="77777777" w:rsidR="00E53753"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A1D24FB" w14:textId="77777777" w:rsidR="00E53753" w:rsidRPr="00507A31" w:rsidRDefault="00E53753" w:rsidP="00507A31">
      <w:pPr>
        <w:autoSpaceDE w:val="0"/>
        <w:autoSpaceDN w:val="0"/>
        <w:adjustRightInd w:val="0"/>
        <w:jc w:val="both"/>
        <w:rPr>
          <w:iCs/>
          <w:color w:val="000000" w:themeColor="text1"/>
          <w:sz w:val="16"/>
          <w:szCs w:val="16"/>
        </w:rPr>
      </w:pPr>
    </w:p>
    <w:p w14:paraId="5B209BF4" w14:textId="77777777" w:rsidR="00E53753" w:rsidRPr="00507A31" w:rsidRDefault="00E53753" w:rsidP="00507A31">
      <w:pPr>
        <w:jc w:val="both"/>
        <w:rPr>
          <w:color w:val="000000" w:themeColor="text1"/>
          <w:sz w:val="16"/>
          <w:szCs w:val="16"/>
        </w:rPr>
      </w:pPr>
      <w:r w:rsidRPr="00507A31">
        <w:rPr>
          <w:bCs/>
          <w:color w:val="000000" w:themeColor="text1"/>
          <w:sz w:val="16"/>
          <w:szCs w:val="16"/>
        </w:rPr>
        <w:t>28 мая</w:t>
      </w:r>
      <w:r w:rsidRPr="00507A31">
        <w:rPr>
          <w:color w:val="000000" w:themeColor="text1"/>
          <w:sz w:val="16"/>
          <w:szCs w:val="16"/>
        </w:rPr>
        <w:t xml:space="preserve"> в 1930 году совершил первый полет </w:t>
      </w:r>
      <w:hyperlink r:id="rId91" w:tgtFrame="_blank" w:history="1">
        <w:r w:rsidRPr="00507A31">
          <w:rPr>
            <w:color w:val="000000" w:themeColor="text1"/>
            <w:sz w:val="16"/>
            <w:szCs w:val="16"/>
          </w:rPr>
          <w:t xml:space="preserve">«Saro Segrave» Meteor» I </w:t>
        </w:r>
      </w:hyperlink>
      <w:r w:rsidRPr="00507A31">
        <w:rPr>
          <w:color w:val="000000" w:themeColor="text1"/>
          <w:sz w:val="16"/>
          <w:szCs w:val="16"/>
        </w:rPr>
        <w:t>(регистрационный номер «G-AAXP», фирменное обозначение «SaRo» «A-22», серийный номер 1). «Blackburn Segrave» был одиним из первых пассажирских свободнонесущих монопланов, он был собран на предприятии «Saunders-Roe». Однако, самолёт опередил своё время, заказов на него почти не было. Сказалась и депрессия, и недостатки самолёта: минимальная скорость была великовата (111 км/ч) (14905).</w:t>
      </w:r>
    </w:p>
    <w:p w14:paraId="0D0BD9A1" w14:textId="77777777" w:rsidR="00E53753" w:rsidRPr="00507A31" w:rsidRDefault="00E53753" w:rsidP="00507A31">
      <w:pPr>
        <w:jc w:val="both"/>
        <w:rPr>
          <w:color w:val="000000" w:themeColor="text1"/>
          <w:sz w:val="16"/>
          <w:szCs w:val="16"/>
        </w:rPr>
      </w:pPr>
    </w:p>
    <w:p w14:paraId="4CC204F6" w14:textId="77777777" w:rsidR="00C904D0" w:rsidRPr="00507A31" w:rsidRDefault="00C904D0" w:rsidP="00507A31">
      <w:pPr>
        <w:jc w:val="both"/>
        <w:rPr>
          <w:color w:val="0070C0"/>
          <w:sz w:val="16"/>
          <w:szCs w:val="16"/>
        </w:rPr>
      </w:pPr>
      <w:r w:rsidRPr="00507A31">
        <w:rPr>
          <w:color w:val="0070C0"/>
          <w:sz w:val="16"/>
          <w:szCs w:val="16"/>
        </w:rPr>
        <w:t>28 мая 1930 первый полет Блэкберн Сегрейв Июнь Curtiss XP-17 Ястреб (20805).</w:t>
      </w:r>
    </w:p>
    <w:p w14:paraId="4A4538D8" w14:textId="77777777" w:rsidR="00C904D0" w:rsidRPr="00507A31" w:rsidRDefault="00C904D0" w:rsidP="00507A31">
      <w:pPr>
        <w:jc w:val="both"/>
        <w:rPr>
          <w:color w:val="0070C0"/>
          <w:sz w:val="16"/>
          <w:szCs w:val="16"/>
        </w:rPr>
      </w:pPr>
    </w:p>
    <w:p w14:paraId="5CA28A63" w14:textId="77777777" w:rsidR="00C904D0" w:rsidRPr="00507A31" w:rsidRDefault="00C904D0" w:rsidP="00507A31">
      <w:pPr>
        <w:jc w:val="both"/>
        <w:rPr>
          <w:color w:val="0070C0"/>
          <w:sz w:val="16"/>
          <w:szCs w:val="16"/>
        </w:rPr>
      </w:pPr>
      <w:r w:rsidRPr="00507A31">
        <w:rPr>
          <w:color w:val="0070C0"/>
          <w:sz w:val="16"/>
          <w:szCs w:val="16"/>
        </w:rPr>
        <w:t>28 мая 1930 года — первый полёт лёгкого самолёта Blackburn B-1 Segrave. /Великобритания/</w:t>
      </w:r>
    </w:p>
    <w:p w14:paraId="62A3E296" w14:textId="77777777" w:rsidR="00C904D0" w:rsidRPr="00507A31" w:rsidRDefault="00C904D0" w:rsidP="00507A31">
      <w:pPr>
        <w:jc w:val="both"/>
        <w:rPr>
          <w:color w:val="0070C0"/>
          <w:sz w:val="16"/>
          <w:szCs w:val="16"/>
        </w:rPr>
      </w:pPr>
      <w:r w:rsidRPr="00507A31">
        <w:rPr>
          <w:color w:val="0070C0"/>
          <w:sz w:val="16"/>
          <w:szCs w:val="16"/>
        </w:rPr>
        <w:t>Знаменитый автогонщик сэр Генри Сигрейв (Sir Henry Segrave) в 1930 году разработал собственный туристический самолёт. Он был построен компанией Saunders-Roe Ltd. и получил обозначение SaRo Segrave Meteor I. В том же году права на производство выкупила компания Blackburn Aircraft, изменив название самолёта на B-1 Segrave.</w:t>
      </w:r>
    </w:p>
    <w:p w14:paraId="4438808A" w14:textId="77777777" w:rsidR="00C904D0" w:rsidRPr="00507A31" w:rsidRDefault="00C904D0" w:rsidP="00507A31">
      <w:pPr>
        <w:jc w:val="both"/>
        <w:rPr>
          <w:color w:val="0070C0"/>
          <w:sz w:val="16"/>
          <w:szCs w:val="16"/>
        </w:rPr>
      </w:pPr>
      <w:r w:rsidRPr="00507A31">
        <w:rPr>
          <w:color w:val="0070C0"/>
          <w:sz w:val="16"/>
          <w:szCs w:val="16"/>
        </w:rPr>
        <w:t>Это был четырёхместный низкоплан с неубираемым шасси. Фюзеляж серийных самолётов был дюралевым, в отличие от деревянного фюзеляжа у прототипа. Оснащался 2 × двигателями de Havilland Gipsy III (120 л.с.) Крейсерская скорость — 180 км/ч, дальность полёта — 720 км.</w:t>
      </w:r>
    </w:p>
    <w:p w14:paraId="46A80520" w14:textId="77777777" w:rsidR="00C904D0" w:rsidRPr="00507A31" w:rsidRDefault="00C904D0" w:rsidP="00507A31">
      <w:pPr>
        <w:jc w:val="both"/>
        <w:rPr>
          <w:color w:val="0070C0"/>
          <w:sz w:val="16"/>
          <w:szCs w:val="16"/>
        </w:rPr>
      </w:pPr>
      <w:r w:rsidRPr="00507A31">
        <w:rPr>
          <w:color w:val="0070C0"/>
          <w:sz w:val="16"/>
          <w:szCs w:val="16"/>
        </w:rPr>
        <w:t>Несмотря на рекламную кампанию с демонстрационными турами по Европе и хорошие отзывы от лётчиков, заказов на самолёт не было. B-1 Segrave построили в 4 экземплярах + ещё 2 самолёта выпустили по лицензии в Италии под обозначением Piaggio P.12 (22300).</w:t>
      </w:r>
    </w:p>
    <w:p w14:paraId="36D9720B" w14:textId="77777777" w:rsidR="00C904D0" w:rsidRPr="00507A31" w:rsidRDefault="00C904D0" w:rsidP="00507A31">
      <w:pPr>
        <w:jc w:val="both"/>
        <w:rPr>
          <w:color w:val="0070C0"/>
          <w:sz w:val="16"/>
          <w:szCs w:val="16"/>
        </w:rPr>
      </w:pPr>
    </w:p>
    <w:p w14:paraId="1AA89DE1" w14:textId="77777777" w:rsidR="0086787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1BD708B" w14:textId="77777777" w:rsidR="0086787E" w:rsidRPr="00507A31" w:rsidRDefault="0086787E" w:rsidP="00507A31">
      <w:pPr>
        <w:autoSpaceDE w:val="0"/>
        <w:autoSpaceDN w:val="0"/>
        <w:adjustRightInd w:val="0"/>
        <w:jc w:val="both"/>
        <w:rPr>
          <w:iCs/>
          <w:color w:val="000000" w:themeColor="text1"/>
          <w:sz w:val="16"/>
          <w:szCs w:val="16"/>
        </w:rPr>
      </w:pPr>
    </w:p>
    <w:p w14:paraId="6B9359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мая 1930, немного опередив плановые сроки, лётчик Б.Л. Бухгольц поднял в небо первый опытный образец истребителя И-5, несший обозначение "ВТ-11" ("ВТ" означало "внутренняя тюрьма"). На этой машине стоял мотор "Юпитер" VII мощностью 490 л.е., закрытый капотом сложной формы. Капот имел каплевидные выступы, прикрывавшие цилиндры двигателя. Втулку воздушного винта закрывал большой кок, продолжавший линии капота. Вооружение из двух пулемётов имитировалось макетами. Стрелковый прицел отсутствовал.</w:t>
      </w:r>
    </w:p>
    <w:p w14:paraId="0EF022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М-15 по габаритам и весу был близок к "Юпитеру", что позволило достаточно просто "вписать" его на соответствующее место. В результате появились два варианта проекта И-5, отличавшиеся типом мотора.</w:t>
      </w:r>
    </w:p>
    <w:p w14:paraId="2D651E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И-5, как и большинство истребителей того времени, представлял собой по- лутораплан, то есть биплан, у которого размах верхнего крыла был существенно больше, чем у нижнего. Конструкция машины сочетала деревянные и металлические узлы. Консоли крыла выполнялись из дерева, центроплан и фюзеляж - из металла. Самолёт имел традиционную для того времени компоновку, открытую кабину лётчика и неубирающе- еся шасси с костылём под хвостом. Зимой колёса заменялись лыжами, на костыль тоже надевали маленький "лыжо- нок". Обшивка машины в основном была полотняной.</w:t>
      </w:r>
    </w:p>
    <w:p w14:paraId="1B5917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Вооружение И-5, согласно заданию, складывалось из двух 7,62-мм пулеметов ПВ-1 с синхронизатором Пул-9. ПВ-1 являлся переделкой станкового "Максима" для применения в авиации, осуществлённой А.В. Надашкевичем. Пулемёт перевели с водяного на воздушное охлаждение и облегчили на 5,8 кг. Оригинальная конструкция пружинного буфера позволила увеличить его скорострельность с 600 выстр./мин до 750, что было существенно выше, чем у английского авиационного </w:t>
      </w:r>
      <w:r w:rsidRPr="00507A31">
        <w:rPr>
          <w:color w:val="000000" w:themeColor="text1"/>
          <w:sz w:val="16"/>
          <w:szCs w:val="16"/>
        </w:rPr>
        <w:lastRenderedPageBreak/>
        <w:t>пулемёта "Виккерс" обр. 1924 г., состоявшего тогда на вооружении ВВС РККА. Пулемёты размещались по бортам фюзеляжа ниже уровня его оси. Их стволы выходили в длинные прорези, тянувшиеся к носу машины. Замки пулемётов немного выступали за очертания фюзеляжа, и их закрывали панели с выштамповками. В боезапас каждого пулемёта входило 600 патронов.</w:t>
      </w:r>
    </w:p>
    <w:p w14:paraId="43E821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действий по наземным целям предусматривалось бомбардировочное вооружение. Предполагалось, что две бомбы по 10 кг будут находиться в небольшом отсеке под сиденьем пилота. Отсек закрывался подпружиненными створками, расходившимися под весом бомб.</w:t>
      </w:r>
    </w:p>
    <w:p w14:paraId="3B5A4A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над новым истребителем шла невиданными темпами. Они, возможно, объяснялись имевшимся заделом подходящих конструкторских решений (11997).</w:t>
      </w:r>
    </w:p>
    <w:p w14:paraId="11D795B0" w14:textId="77777777" w:rsidR="00537E5F" w:rsidRPr="00507A31" w:rsidRDefault="00537E5F" w:rsidP="00507A31">
      <w:pPr>
        <w:autoSpaceDE w:val="0"/>
        <w:autoSpaceDN w:val="0"/>
        <w:adjustRightInd w:val="0"/>
        <w:jc w:val="both"/>
        <w:rPr>
          <w:color w:val="000000" w:themeColor="text1"/>
          <w:sz w:val="16"/>
          <w:szCs w:val="16"/>
        </w:rPr>
      </w:pPr>
    </w:p>
    <w:p w14:paraId="169646EC" w14:textId="77777777" w:rsidR="00D751A1"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E2B983D" w14:textId="77777777" w:rsidR="00D751A1" w:rsidRPr="00507A31" w:rsidRDefault="00D751A1" w:rsidP="00507A31">
      <w:pPr>
        <w:autoSpaceDE w:val="0"/>
        <w:autoSpaceDN w:val="0"/>
        <w:adjustRightInd w:val="0"/>
        <w:jc w:val="both"/>
        <w:rPr>
          <w:iCs/>
          <w:color w:val="000000" w:themeColor="text1"/>
          <w:sz w:val="16"/>
          <w:szCs w:val="16"/>
        </w:rPr>
      </w:pPr>
    </w:p>
    <w:p w14:paraId="097C2119" w14:textId="77777777" w:rsidR="00D751A1" w:rsidRPr="00507A31" w:rsidRDefault="00D751A1" w:rsidP="00507A31">
      <w:pPr>
        <w:jc w:val="both"/>
        <w:rPr>
          <w:color w:val="000000" w:themeColor="text1"/>
          <w:sz w:val="16"/>
          <w:szCs w:val="16"/>
        </w:rPr>
      </w:pPr>
      <w:r w:rsidRPr="00507A31">
        <w:rPr>
          <w:color w:val="000000" w:themeColor="text1"/>
          <w:sz w:val="16"/>
          <w:szCs w:val="16"/>
        </w:rPr>
        <w:t xml:space="preserve">29 мая 1930 года Первая опытная плавка качественной стали на реконструированном Царицынском металлургическом </w:t>
      </w:r>
      <w:r w:rsidRPr="00507A31">
        <w:rPr>
          <w:rFonts w:eastAsiaTheme="majorEastAsia"/>
          <w:color w:val="000000" w:themeColor="text1"/>
          <w:sz w:val="16"/>
          <w:szCs w:val="16"/>
        </w:rPr>
        <w:t> заводе</w:t>
      </w:r>
      <w:r w:rsidRPr="00507A31">
        <w:rPr>
          <w:color w:val="000000" w:themeColor="text1"/>
          <w:sz w:val="16"/>
          <w:szCs w:val="16"/>
        </w:rPr>
        <w:t>, бывшем "ДЮМО", который с 1922</w:t>
      </w:r>
      <w:r w:rsidRPr="00507A31">
        <w:rPr>
          <w:rFonts w:eastAsiaTheme="majorEastAsia"/>
          <w:color w:val="000000" w:themeColor="text1"/>
          <w:sz w:val="16"/>
          <w:szCs w:val="16"/>
        </w:rPr>
        <w:t> </w:t>
      </w:r>
      <w:r w:rsidRPr="00507A31">
        <w:rPr>
          <w:color w:val="000000" w:themeColor="text1"/>
          <w:sz w:val="16"/>
          <w:szCs w:val="16"/>
        </w:rPr>
        <w:t xml:space="preserve"> был переименован в "Красный Октябрь", не удалась. Последствия неудач сказывались незамедлительно: только в 1930 году на заводе сменилось трое директоров (Левандовский, Марченко и Клипов, который руководил заводом до 1932 года). </w:t>
      </w:r>
    </w:p>
    <w:p w14:paraId="7A0E73C0" w14:textId="77777777" w:rsidR="00D751A1" w:rsidRPr="00507A31" w:rsidRDefault="00D751A1" w:rsidP="00507A31">
      <w:pPr>
        <w:jc w:val="both"/>
        <w:rPr>
          <w:color w:val="000000" w:themeColor="text1"/>
          <w:sz w:val="16"/>
          <w:szCs w:val="16"/>
        </w:rPr>
      </w:pPr>
      <w:r w:rsidRPr="00507A31">
        <w:rPr>
          <w:color w:val="000000" w:themeColor="text1"/>
          <w:sz w:val="16"/>
          <w:szCs w:val="16"/>
        </w:rPr>
        <w:t xml:space="preserve">Опыт по преодолению трудностей имел большую ценность для других реконструируемых предприятий. Как писал "летописец завода" Михаил Водолагин: "Опыт "Красного Октября" свидетельствовал, что успех дела решают кадры. Большой экономический эффект дали перевод цехов на хозрасчет и борьба за искоренения уравниловки. В этих же целях осуществлялось укрепление единоначалия во всех звеньях руководства производством, повышение ответственности руководителей всех рангов". </w:t>
      </w:r>
    </w:p>
    <w:p w14:paraId="177B8B62" w14:textId="77777777" w:rsidR="00D751A1" w:rsidRPr="00507A31" w:rsidRDefault="00D751A1" w:rsidP="00507A31">
      <w:pPr>
        <w:jc w:val="both"/>
        <w:rPr>
          <w:color w:val="000000" w:themeColor="text1"/>
          <w:sz w:val="16"/>
          <w:szCs w:val="16"/>
        </w:rPr>
      </w:pPr>
      <w:r w:rsidRPr="00507A31">
        <w:rPr>
          <w:color w:val="000000" w:themeColor="text1"/>
          <w:sz w:val="16"/>
          <w:szCs w:val="16"/>
        </w:rPr>
        <w:t>За несколько лет заводчанам удалось осуществить почти все задуманное - Красный Октябрь" преобразился, реконструкция не замедлила сказаться на производительности. Начало 30-х годов краснооктябрьцы встретили с высоко поднятой головой - успехами их труда гордилась вся страна (17119).</w:t>
      </w:r>
    </w:p>
    <w:p w14:paraId="799EE12D" w14:textId="77777777" w:rsidR="00D751A1" w:rsidRPr="00507A31" w:rsidRDefault="00D751A1" w:rsidP="00507A31">
      <w:pPr>
        <w:jc w:val="both"/>
        <w:rPr>
          <w:color w:val="000000" w:themeColor="text1"/>
          <w:sz w:val="16"/>
          <w:szCs w:val="16"/>
        </w:rPr>
      </w:pPr>
    </w:p>
    <w:p w14:paraId="5F316C7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61BDC0B" w14:textId="77777777" w:rsidR="00537E5F" w:rsidRPr="00507A31" w:rsidRDefault="00537E5F" w:rsidP="00507A31">
      <w:pPr>
        <w:autoSpaceDE w:val="0"/>
        <w:autoSpaceDN w:val="0"/>
        <w:adjustRightInd w:val="0"/>
        <w:jc w:val="both"/>
        <w:rPr>
          <w:iCs/>
          <w:color w:val="000000" w:themeColor="text1"/>
          <w:sz w:val="16"/>
          <w:szCs w:val="16"/>
        </w:rPr>
      </w:pPr>
    </w:p>
    <w:p w14:paraId="3ECFDB87" w14:textId="77777777" w:rsidR="00195FAD" w:rsidRPr="00507A31" w:rsidRDefault="00195FAD" w:rsidP="00507A31">
      <w:pPr>
        <w:jc w:val="both"/>
        <w:rPr>
          <w:color w:val="0070C0"/>
          <w:sz w:val="16"/>
          <w:szCs w:val="16"/>
          <w:lang w:bidi="ru-RU"/>
        </w:rPr>
      </w:pPr>
      <w:r w:rsidRPr="00507A31">
        <w:rPr>
          <w:color w:val="0070C0"/>
          <w:sz w:val="16"/>
          <w:szCs w:val="16"/>
          <w:lang w:bidi="ru-RU"/>
        </w:rPr>
        <w:t>К 30 мая 1930, согласно предва</w:t>
      </w:r>
      <w:r w:rsidRPr="00507A31">
        <w:rPr>
          <w:color w:val="0070C0"/>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507A31">
        <w:rPr>
          <w:color w:val="0070C0"/>
          <w:sz w:val="16"/>
          <w:szCs w:val="16"/>
          <w:lang w:bidi="ru-RU"/>
        </w:rPr>
        <w:softHyphen/>
        <w:t>деления толщин брони, составов стрел</w:t>
      </w:r>
      <w:r w:rsidRPr="00507A31">
        <w:rPr>
          <w:color w:val="0070C0"/>
          <w:sz w:val="16"/>
          <w:szCs w:val="16"/>
          <w:lang w:bidi="ru-RU"/>
        </w:rPr>
        <w:softHyphen/>
        <w:t>ково-пушечного, бомбардировочного и химического вооружения. По заданию на ТШ-1 предполагалось использовать пер</w:t>
      </w:r>
      <w:r w:rsidRPr="00507A31">
        <w:rPr>
          <w:color w:val="0070C0"/>
          <w:sz w:val="16"/>
          <w:szCs w:val="16"/>
          <w:lang w:bidi="ru-RU"/>
        </w:rPr>
        <w:softHyphen/>
        <w:t>спективный отечественный мотор жид</w:t>
      </w:r>
      <w:r w:rsidRPr="00507A31">
        <w:rPr>
          <w:color w:val="0070C0"/>
          <w:sz w:val="16"/>
          <w:szCs w:val="16"/>
          <w:lang w:bidi="ru-RU"/>
        </w:rPr>
        <w:softHyphen/>
        <w:t>костного охлаждения М-34 (750/800 л.с.) конструкции А.А. Микулина, который планировалось выпускать массово.</w:t>
      </w:r>
    </w:p>
    <w:p w14:paraId="4725A2E8" w14:textId="77777777" w:rsidR="00195FAD" w:rsidRPr="00507A31" w:rsidRDefault="00195FAD" w:rsidP="00507A31">
      <w:pPr>
        <w:jc w:val="both"/>
        <w:rPr>
          <w:color w:val="0070C0"/>
          <w:sz w:val="16"/>
          <w:szCs w:val="16"/>
        </w:rPr>
      </w:pPr>
      <w:r w:rsidRPr="00507A31">
        <w:rPr>
          <w:color w:val="0070C0"/>
          <w:sz w:val="16"/>
          <w:szCs w:val="16"/>
          <w:lang w:bidi="ru-RU"/>
        </w:rPr>
        <w:t>По первоначальным требованиям во</w:t>
      </w:r>
      <w:r w:rsidRPr="00507A31">
        <w:rPr>
          <w:color w:val="0070C0"/>
          <w:sz w:val="16"/>
          <w:szCs w:val="16"/>
          <w:lang w:bidi="ru-RU"/>
        </w:rPr>
        <w:softHyphen/>
        <w:t>енные предполагали забронировать ме</w:t>
      </w:r>
      <w:r w:rsidRPr="00507A31">
        <w:rPr>
          <w:color w:val="0070C0"/>
          <w:sz w:val="16"/>
          <w:szCs w:val="16"/>
          <w:lang w:bidi="ru-RU"/>
        </w:rPr>
        <w:softHyphen/>
        <w:t>ста экипажа (два летчика, летнаб и стре</w:t>
      </w:r>
      <w:r w:rsidRPr="00507A31">
        <w:rPr>
          <w:color w:val="0070C0"/>
          <w:sz w:val="16"/>
          <w:szCs w:val="16"/>
          <w:lang w:bidi="ru-RU"/>
        </w:rPr>
        <w:softHyphen/>
        <w:t>лок-радист), моторы и бензобаки таким образом, «чтобы броня защищала от по</w:t>
      </w:r>
      <w:r w:rsidRPr="00507A31">
        <w:rPr>
          <w:color w:val="0070C0"/>
          <w:sz w:val="16"/>
          <w:szCs w:val="16"/>
          <w:lang w:bidi="ru-RU"/>
        </w:rPr>
        <w:softHyphen/>
        <w:t>ражений при стрельбе из пулеметов и винтовок бронепулями 7,62 мм на всех дистанциях».</w:t>
      </w:r>
    </w:p>
    <w:p w14:paraId="09E78875" w14:textId="77777777" w:rsidR="00195FAD" w:rsidRPr="00507A31" w:rsidRDefault="00195FAD" w:rsidP="00507A31">
      <w:pPr>
        <w:jc w:val="both"/>
        <w:rPr>
          <w:color w:val="0070C0"/>
          <w:sz w:val="16"/>
          <w:szCs w:val="16"/>
        </w:rPr>
      </w:pPr>
      <w:r w:rsidRPr="00507A31">
        <w:rPr>
          <w:color w:val="0070C0"/>
          <w:sz w:val="16"/>
          <w:szCs w:val="16"/>
          <w:lang w:bidi="ru-RU"/>
        </w:rPr>
        <w:t>В частности, «снизу фюзеляжа под ка</w:t>
      </w:r>
      <w:r w:rsidRPr="00507A31">
        <w:rPr>
          <w:color w:val="0070C0"/>
          <w:sz w:val="16"/>
          <w:szCs w:val="16"/>
          <w:lang w:bidi="ru-RU"/>
        </w:rPr>
        <w:softHyphen/>
        <w:t>ждой кабиной устанавливаются постоян</w:t>
      </w:r>
      <w:r w:rsidRPr="00507A31">
        <w:rPr>
          <w:color w:val="0070C0"/>
          <w:sz w:val="16"/>
          <w:szCs w:val="16"/>
          <w:lang w:bidi="ru-RU"/>
        </w:rPr>
        <w:softHyphen/>
        <w:t>ные броневые щиты толщиной 16 мм и площадью около 1 м2, по бокам кабин на фюзеляже устанавливаются съемные бро</w:t>
      </w:r>
      <w:r w:rsidRPr="00507A31">
        <w:rPr>
          <w:color w:val="0070C0"/>
          <w:sz w:val="16"/>
          <w:szCs w:val="16"/>
          <w:lang w:bidi="ru-RU"/>
        </w:rPr>
        <w:softHyphen/>
        <w:t>невые щиты толщиной 8 мм, каждый щит около 1 м2». Такой же щит устанавлива</w:t>
      </w:r>
      <w:r w:rsidRPr="00507A31">
        <w:rPr>
          <w:color w:val="0070C0"/>
          <w:sz w:val="16"/>
          <w:szCs w:val="16"/>
          <w:lang w:bidi="ru-RU"/>
        </w:rPr>
        <w:softHyphen/>
        <w:t>ется в носовой части самолета для предо</w:t>
      </w:r>
      <w:r w:rsidRPr="00507A31">
        <w:rPr>
          <w:color w:val="0070C0"/>
          <w:sz w:val="16"/>
          <w:szCs w:val="16"/>
          <w:lang w:bidi="ru-RU"/>
        </w:rPr>
        <w:softHyphen/>
        <w:t>хранения переднего стрелка от ружейно</w:t>
      </w:r>
      <w:r w:rsidRPr="00507A31">
        <w:rPr>
          <w:color w:val="0070C0"/>
          <w:sz w:val="16"/>
          <w:szCs w:val="16"/>
          <w:lang w:bidi="ru-RU"/>
        </w:rPr>
        <w:softHyphen/>
        <w:t>пулеметного огня и осколков зенитных снарядов спереди. Со стороны задней по</w:t>
      </w:r>
      <w:r w:rsidRPr="00507A31">
        <w:rPr>
          <w:color w:val="0070C0"/>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126AB2BE" w14:textId="77777777" w:rsidR="00195FAD" w:rsidRPr="00507A31" w:rsidRDefault="00195FAD" w:rsidP="00507A31">
      <w:pPr>
        <w:jc w:val="both"/>
        <w:rPr>
          <w:color w:val="0070C0"/>
          <w:sz w:val="16"/>
          <w:szCs w:val="16"/>
        </w:rPr>
      </w:pPr>
      <w:r w:rsidRPr="00507A31">
        <w:rPr>
          <w:color w:val="0070C0"/>
          <w:sz w:val="16"/>
          <w:szCs w:val="16"/>
          <w:lang w:bidi="ru-RU"/>
        </w:rPr>
        <w:t>Моторы предлагалось защитить бро</w:t>
      </w:r>
      <w:r w:rsidRPr="00507A31">
        <w:rPr>
          <w:color w:val="0070C0"/>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2257EC61" w14:textId="77777777" w:rsidR="00195FAD" w:rsidRPr="00507A31" w:rsidRDefault="00195FAD" w:rsidP="00507A31">
      <w:pPr>
        <w:jc w:val="both"/>
        <w:rPr>
          <w:color w:val="0070C0"/>
          <w:sz w:val="16"/>
          <w:szCs w:val="16"/>
        </w:rPr>
      </w:pPr>
      <w:r w:rsidRPr="00507A31">
        <w:rPr>
          <w:color w:val="0070C0"/>
          <w:sz w:val="16"/>
          <w:szCs w:val="16"/>
          <w:lang w:bidi="ru-RU"/>
        </w:rPr>
        <w:t>Общий вес брони достигал 1000 кг. Считалось, что часть брони должна вклю</w:t>
      </w:r>
      <w:r w:rsidRPr="00507A31">
        <w:rPr>
          <w:color w:val="0070C0"/>
          <w:sz w:val="16"/>
          <w:szCs w:val="16"/>
          <w:lang w:bidi="ru-RU"/>
        </w:rPr>
        <w:softHyphen/>
        <w:t>чаться в силовую схему конструкции са</w:t>
      </w:r>
      <w:r w:rsidRPr="00507A31">
        <w:rPr>
          <w:color w:val="0070C0"/>
          <w:sz w:val="16"/>
          <w:szCs w:val="16"/>
          <w:lang w:bidi="ru-RU"/>
        </w:rPr>
        <w:softHyphen/>
        <w:t>молета - «идти в счет веса конструкции», а съемная часть брони - «идти в счет веса горючего».</w:t>
      </w:r>
    </w:p>
    <w:p w14:paraId="22141869" w14:textId="77777777" w:rsidR="00195FAD" w:rsidRPr="00507A31" w:rsidRDefault="00195FAD" w:rsidP="00507A31">
      <w:pPr>
        <w:jc w:val="both"/>
        <w:rPr>
          <w:color w:val="0070C0"/>
          <w:sz w:val="16"/>
          <w:szCs w:val="16"/>
        </w:rPr>
      </w:pPr>
      <w:r w:rsidRPr="00507A31">
        <w:rPr>
          <w:color w:val="0070C0"/>
          <w:sz w:val="16"/>
          <w:szCs w:val="16"/>
          <w:lang w:bidi="ru-RU"/>
        </w:rPr>
        <w:t>Повышение боевой живучести само</w:t>
      </w:r>
      <w:r w:rsidRPr="00507A31">
        <w:rPr>
          <w:color w:val="0070C0"/>
          <w:sz w:val="16"/>
          <w:szCs w:val="16"/>
          <w:lang w:bidi="ru-RU"/>
        </w:rPr>
        <w:softHyphen/>
        <w:t>лета, помимо бронирования, предпола</w:t>
      </w:r>
      <w:r w:rsidRPr="00507A31">
        <w:rPr>
          <w:color w:val="0070C0"/>
          <w:sz w:val="16"/>
          <w:szCs w:val="16"/>
          <w:lang w:bidi="ru-RU"/>
        </w:rPr>
        <w:softHyphen/>
        <w:t>галось обеспечить и за счет применения цельнометаллической конструкции, кото</w:t>
      </w:r>
      <w:r w:rsidRPr="00507A31">
        <w:rPr>
          <w:color w:val="0070C0"/>
          <w:sz w:val="16"/>
          <w:szCs w:val="16"/>
          <w:lang w:bidi="ru-RU"/>
        </w:rPr>
        <w:softHyphen/>
        <w:t>рая «должна стремиться к максимальному обеспечению сохранения свойств само</w:t>
      </w:r>
      <w:r w:rsidRPr="00507A31">
        <w:rPr>
          <w:color w:val="0070C0"/>
          <w:sz w:val="16"/>
          <w:szCs w:val="16"/>
          <w:lang w:bidi="ru-RU"/>
        </w:rPr>
        <w:softHyphen/>
        <w:t>лета после попадания в небронирован</w:t>
      </w:r>
      <w:r w:rsidRPr="00507A31">
        <w:rPr>
          <w:color w:val="0070C0"/>
          <w:sz w:val="16"/>
          <w:szCs w:val="16"/>
          <w:lang w:bidi="ru-RU"/>
        </w:rPr>
        <w:softHyphen/>
        <w:t>ные участки пуль простых, зажигательных и трассировочных». С этой же целью кон</w:t>
      </w:r>
      <w:r w:rsidRPr="00507A31">
        <w:rPr>
          <w:color w:val="0070C0"/>
          <w:sz w:val="16"/>
          <w:szCs w:val="16"/>
          <w:lang w:bidi="ru-RU"/>
        </w:rPr>
        <w:softHyphen/>
        <w:t>струкция крыла должна быть многолонже</w:t>
      </w:r>
      <w:r w:rsidRPr="00507A31">
        <w:rPr>
          <w:color w:val="0070C0"/>
          <w:sz w:val="16"/>
          <w:szCs w:val="16"/>
          <w:lang w:bidi="ru-RU"/>
        </w:rPr>
        <w:softHyphen/>
        <w:t>ронной, «проводки управления рулем вы</w:t>
      </w:r>
      <w:r w:rsidRPr="00507A31">
        <w:rPr>
          <w:color w:val="0070C0"/>
          <w:sz w:val="16"/>
          <w:szCs w:val="16"/>
          <w:lang w:bidi="ru-RU"/>
        </w:rPr>
        <w:softHyphen/>
        <w:t>соты и направления должны иметь двой</w:t>
      </w:r>
      <w:r w:rsidRPr="00507A31">
        <w:rPr>
          <w:color w:val="0070C0"/>
          <w:sz w:val="16"/>
          <w:szCs w:val="16"/>
          <w:lang w:bidi="ru-RU"/>
        </w:rPr>
        <w:softHyphen/>
        <w:t>ные магистрали, обеспечивающие управ</w:t>
      </w:r>
      <w:r w:rsidRPr="00507A31">
        <w:rPr>
          <w:color w:val="0070C0"/>
          <w:sz w:val="16"/>
          <w:szCs w:val="16"/>
          <w:lang w:bidi="ru-RU"/>
        </w:rPr>
        <w:softHyphen/>
        <w:t>ляемость самолета при перебитии одной из них», а «проводка управления элеро</w:t>
      </w:r>
      <w:r w:rsidRPr="00507A31">
        <w:rPr>
          <w:color w:val="0070C0"/>
          <w:sz w:val="16"/>
          <w:szCs w:val="16"/>
          <w:lang w:bidi="ru-RU"/>
        </w:rPr>
        <w:softHyphen/>
        <w:t>нами должна обеспечить отключение од</w:t>
      </w:r>
      <w:r w:rsidRPr="00507A31">
        <w:rPr>
          <w:color w:val="0070C0"/>
          <w:sz w:val="16"/>
          <w:szCs w:val="16"/>
          <w:lang w:bidi="ru-RU"/>
        </w:rPr>
        <w:softHyphen/>
        <w:t>ного из них при его поражении».</w:t>
      </w:r>
    </w:p>
    <w:p w14:paraId="77F93F72" w14:textId="77777777" w:rsidR="00195FAD" w:rsidRPr="00507A31" w:rsidRDefault="00195FAD" w:rsidP="00507A31">
      <w:pPr>
        <w:jc w:val="both"/>
        <w:rPr>
          <w:color w:val="0070C0"/>
          <w:sz w:val="16"/>
          <w:szCs w:val="16"/>
        </w:rPr>
      </w:pPr>
      <w:r w:rsidRPr="00507A31">
        <w:rPr>
          <w:color w:val="0070C0"/>
          <w:sz w:val="16"/>
          <w:szCs w:val="16"/>
          <w:lang w:bidi="ru-RU"/>
        </w:rPr>
        <w:t>В обязательном порядке «кабины эки</w:t>
      </w:r>
      <w:r w:rsidRPr="00507A31">
        <w:rPr>
          <w:color w:val="0070C0"/>
          <w:sz w:val="16"/>
          <w:szCs w:val="16"/>
          <w:lang w:bidi="ru-RU"/>
        </w:rPr>
        <w:softHyphen/>
        <w:t>пажа должны быть отделены от бензоба</w:t>
      </w:r>
      <w:r w:rsidRPr="00507A31">
        <w:rPr>
          <w:color w:val="0070C0"/>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507A31">
        <w:rPr>
          <w:color w:val="0070C0"/>
          <w:sz w:val="16"/>
          <w:szCs w:val="16"/>
          <w:lang w:bidi="ru-RU"/>
        </w:rPr>
        <w:softHyphen/>
        <w:t>дый мотор предполагалось иметь не ме</w:t>
      </w:r>
      <w:r w:rsidRPr="00507A31">
        <w:rPr>
          <w:color w:val="0070C0"/>
          <w:sz w:val="16"/>
          <w:szCs w:val="16"/>
          <w:lang w:bidi="ru-RU"/>
        </w:rPr>
        <w:softHyphen/>
        <w:t>нее четырех таких баков).</w:t>
      </w:r>
    </w:p>
    <w:p w14:paraId="3003E74F" w14:textId="77777777" w:rsidR="00195FAD" w:rsidRPr="00507A31" w:rsidRDefault="00195FAD" w:rsidP="00507A31">
      <w:pPr>
        <w:jc w:val="both"/>
        <w:rPr>
          <w:color w:val="0070C0"/>
          <w:sz w:val="16"/>
          <w:szCs w:val="16"/>
        </w:rPr>
      </w:pPr>
      <w:r w:rsidRPr="00507A31">
        <w:rPr>
          <w:color w:val="0070C0"/>
          <w:sz w:val="16"/>
          <w:szCs w:val="16"/>
          <w:lang w:bidi="ru-RU"/>
        </w:rPr>
        <w:t>Планировалось, что самолет будет иметь двойное управление («с левого и правого рабочих мест экипажа»), хоро</w:t>
      </w:r>
      <w:r w:rsidRPr="00507A31">
        <w:rPr>
          <w:color w:val="0070C0"/>
          <w:sz w:val="16"/>
          <w:szCs w:val="16"/>
          <w:lang w:bidi="ru-RU"/>
        </w:rPr>
        <w:softHyphen/>
        <w:t>ший обзор летчикам («как в бок, так впе</w:t>
      </w:r>
      <w:r w:rsidRPr="00507A31">
        <w:rPr>
          <w:color w:val="0070C0"/>
          <w:sz w:val="16"/>
          <w:szCs w:val="16"/>
          <w:lang w:bidi="ru-RU"/>
        </w:rPr>
        <w:softHyphen/>
        <w:t>ред и вниз»), тормозные колеса («с от</w:t>
      </w:r>
      <w:r w:rsidRPr="00507A31">
        <w:rPr>
          <w:color w:val="0070C0"/>
          <w:sz w:val="16"/>
          <w:szCs w:val="16"/>
          <w:lang w:bidi="ru-RU"/>
        </w:rPr>
        <w:softHyphen/>
        <w:t>дельной проводкой на каждое колесо и с механизмом, предохраняющим само</w:t>
      </w:r>
      <w:r w:rsidRPr="00507A31">
        <w:rPr>
          <w:color w:val="0070C0"/>
          <w:sz w:val="16"/>
          <w:szCs w:val="16"/>
          <w:lang w:bidi="ru-RU"/>
        </w:rPr>
        <w:softHyphen/>
        <w:t>лет от капотажа»), специальные глушители для бесшумного полета.</w:t>
      </w:r>
    </w:p>
    <w:p w14:paraId="20CD94F2" w14:textId="77777777" w:rsidR="00195FAD" w:rsidRPr="00507A31" w:rsidRDefault="00195FAD" w:rsidP="00507A31">
      <w:pPr>
        <w:jc w:val="both"/>
        <w:rPr>
          <w:color w:val="0070C0"/>
          <w:sz w:val="16"/>
          <w:szCs w:val="16"/>
        </w:rPr>
      </w:pPr>
      <w:r w:rsidRPr="00507A31">
        <w:rPr>
          <w:color w:val="0070C0"/>
          <w:sz w:val="16"/>
          <w:szCs w:val="16"/>
          <w:lang w:bidi="ru-RU"/>
        </w:rPr>
        <w:t>Самолет должен был продолжать го</w:t>
      </w:r>
      <w:r w:rsidRPr="00507A31">
        <w:rPr>
          <w:color w:val="0070C0"/>
          <w:sz w:val="16"/>
          <w:szCs w:val="16"/>
          <w:lang w:bidi="ru-RU"/>
        </w:rPr>
        <w:softHyphen/>
        <w:t>ризонтальный полет при одном работаю</w:t>
      </w:r>
      <w:r w:rsidRPr="00507A31">
        <w:rPr>
          <w:color w:val="0070C0"/>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09D7DA30" w14:textId="77777777" w:rsidR="00195FAD" w:rsidRPr="00507A31" w:rsidRDefault="00195FAD" w:rsidP="00507A31">
      <w:pPr>
        <w:jc w:val="both"/>
        <w:rPr>
          <w:color w:val="0070C0"/>
          <w:sz w:val="16"/>
          <w:szCs w:val="16"/>
        </w:rPr>
      </w:pPr>
      <w:r w:rsidRPr="00507A31">
        <w:rPr>
          <w:color w:val="0070C0"/>
          <w:sz w:val="16"/>
          <w:szCs w:val="16"/>
          <w:lang w:bidi="ru-RU"/>
        </w:rPr>
        <w:t>Требовалось, чтобы самолет обладал продольной устойчивостью «на всех ре</w:t>
      </w:r>
      <w:r w:rsidRPr="00507A31">
        <w:rPr>
          <w:color w:val="0070C0"/>
          <w:sz w:val="16"/>
          <w:szCs w:val="16"/>
          <w:lang w:bidi="ru-RU"/>
        </w:rPr>
        <w:softHyphen/>
        <w:t>жимах от крутого планирования до по</w:t>
      </w:r>
      <w:r w:rsidRPr="00507A31">
        <w:rPr>
          <w:color w:val="0070C0"/>
          <w:sz w:val="16"/>
          <w:szCs w:val="16"/>
          <w:lang w:bidi="ru-RU"/>
        </w:rPr>
        <w:softHyphen/>
        <w:t>садочного угла для всех присущих ему вариантов нагрузки», а также попереч</w:t>
      </w:r>
      <w:r w:rsidRPr="00507A31">
        <w:rPr>
          <w:color w:val="0070C0"/>
          <w:sz w:val="16"/>
          <w:szCs w:val="16"/>
          <w:lang w:bidi="ru-RU"/>
        </w:rPr>
        <w:softHyphen/>
        <w:t>ной и путевой устойчивостью «на всех скоростях от посадочной до крутого планирования».</w:t>
      </w:r>
    </w:p>
    <w:p w14:paraId="38DA27D9" w14:textId="77777777" w:rsidR="00195FAD" w:rsidRPr="00507A31" w:rsidRDefault="00195FAD" w:rsidP="00507A31">
      <w:pPr>
        <w:jc w:val="both"/>
        <w:rPr>
          <w:color w:val="0070C0"/>
          <w:sz w:val="16"/>
          <w:szCs w:val="16"/>
        </w:rPr>
      </w:pPr>
      <w:r w:rsidRPr="00507A31">
        <w:rPr>
          <w:color w:val="0070C0"/>
          <w:sz w:val="16"/>
          <w:szCs w:val="16"/>
          <w:lang w:bidi="ru-RU"/>
        </w:rPr>
        <w:t>При выполнении всех фигур пило</w:t>
      </w:r>
      <w:r w:rsidRPr="00507A31">
        <w:rPr>
          <w:color w:val="0070C0"/>
          <w:sz w:val="16"/>
          <w:szCs w:val="16"/>
          <w:lang w:bidi="ru-RU"/>
        </w:rPr>
        <w:softHyphen/>
        <w:t>тажа («присущих данному самолету») на высоте 1000 м нагрузка в канале управ</w:t>
      </w:r>
      <w:r w:rsidRPr="00507A31">
        <w:rPr>
          <w:color w:val="0070C0"/>
          <w:sz w:val="16"/>
          <w:szCs w:val="16"/>
          <w:lang w:bidi="ru-RU"/>
        </w:rPr>
        <w:softHyphen/>
        <w:t>ления рулем высоты ограничивалась 6 кг, элеронами - 4 кг (штурвальное управле</w:t>
      </w:r>
      <w:r w:rsidRPr="00507A31">
        <w:rPr>
          <w:color w:val="0070C0"/>
          <w:sz w:val="16"/>
          <w:szCs w:val="16"/>
          <w:lang w:bidi="ru-RU"/>
        </w:rPr>
        <w:softHyphen/>
        <w:t>ние), и рулем поворота (ножное управле</w:t>
      </w:r>
      <w:r w:rsidRPr="00507A31">
        <w:rPr>
          <w:color w:val="0070C0"/>
          <w:sz w:val="16"/>
          <w:szCs w:val="16"/>
          <w:lang w:bidi="ru-RU"/>
        </w:rPr>
        <w:softHyphen/>
        <w:t>ние) - 8 кг.</w:t>
      </w:r>
    </w:p>
    <w:p w14:paraId="24378374" w14:textId="77777777" w:rsidR="00195FAD" w:rsidRPr="00507A31" w:rsidRDefault="00195FAD" w:rsidP="00507A31">
      <w:pPr>
        <w:jc w:val="both"/>
        <w:rPr>
          <w:color w:val="0070C0"/>
          <w:sz w:val="16"/>
          <w:szCs w:val="16"/>
        </w:rPr>
      </w:pPr>
      <w:r w:rsidRPr="00507A31">
        <w:rPr>
          <w:color w:val="0070C0"/>
          <w:sz w:val="16"/>
          <w:szCs w:val="16"/>
          <w:lang w:bidi="ru-RU"/>
        </w:rPr>
        <w:t>Посадочная скорость устанавливалась в пределах 90 км/ч. Пробег при использо</w:t>
      </w:r>
      <w:r w:rsidRPr="00507A31">
        <w:rPr>
          <w:color w:val="0070C0"/>
          <w:sz w:val="16"/>
          <w:szCs w:val="16"/>
          <w:lang w:bidi="ru-RU"/>
        </w:rPr>
        <w:softHyphen/>
        <w:t>вании тормозов не более 80 м, без тормо</w:t>
      </w:r>
      <w:r w:rsidRPr="00507A31">
        <w:rPr>
          <w:color w:val="0070C0"/>
          <w:sz w:val="16"/>
          <w:szCs w:val="16"/>
          <w:lang w:bidi="ru-RU"/>
        </w:rPr>
        <w:softHyphen/>
        <w:t>зов - 200 м. Разбег - не более 150 м. Раз</w:t>
      </w:r>
      <w:r w:rsidRPr="00507A31">
        <w:rPr>
          <w:color w:val="0070C0"/>
          <w:sz w:val="16"/>
          <w:szCs w:val="16"/>
          <w:lang w:bidi="ru-RU"/>
        </w:rPr>
        <w:softHyphen/>
        <w:t>бег и пробег должны быть устойчивыми без тенденции к резким разворотам.</w:t>
      </w:r>
    </w:p>
    <w:p w14:paraId="00BAC7E5" w14:textId="77777777" w:rsidR="00195FAD" w:rsidRPr="00507A31" w:rsidRDefault="00195FAD" w:rsidP="00507A31">
      <w:pPr>
        <w:jc w:val="both"/>
        <w:rPr>
          <w:color w:val="0070C0"/>
          <w:sz w:val="16"/>
          <w:szCs w:val="16"/>
        </w:rPr>
      </w:pPr>
      <w:r w:rsidRPr="00507A31">
        <w:rPr>
          <w:color w:val="0070C0"/>
          <w:sz w:val="16"/>
          <w:szCs w:val="16"/>
          <w:lang w:bidi="ru-RU"/>
        </w:rPr>
        <w:t>Стрелково-пушечное вооружение включало динамореактивную (безоткат</w:t>
      </w:r>
      <w:r w:rsidRPr="00507A31">
        <w:rPr>
          <w:color w:val="0070C0"/>
          <w:sz w:val="16"/>
          <w:szCs w:val="16"/>
          <w:lang w:bidi="ru-RU"/>
        </w:rPr>
        <w:softHyphen/>
        <w:t>ную) пушку калибра 76,2 мм конструк</w:t>
      </w:r>
      <w:r w:rsidRPr="00507A31">
        <w:rPr>
          <w:color w:val="0070C0"/>
          <w:sz w:val="16"/>
          <w:szCs w:val="16"/>
          <w:lang w:bidi="ru-RU"/>
        </w:rPr>
        <w:softHyphen/>
        <w:t>ции Л.В. Курчевского (боекомплект 20 па</w:t>
      </w:r>
      <w:r w:rsidRPr="00507A31">
        <w:rPr>
          <w:color w:val="0070C0"/>
          <w:sz w:val="16"/>
          <w:szCs w:val="16"/>
          <w:lang w:bidi="ru-RU"/>
        </w:rPr>
        <w:softHyphen/>
        <w:t>трон), четыре неподвижных пулемета ПВ-1 в крыле (1000 патрон), две под</w:t>
      </w:r>
      <w:r w:rsidRPr="00507A31">
        <w:rPr>
          <w:color w:val="0070C0"/>
          <w:sz w:val="16"/>
          <w:szCs w:val="16"/>
          <w:lang w:bidi="ru-RU"/>
        </w:rPr>
        <w:softHyphen/>
        <w:t>вижные спарки пулеметов ДА на турелях ТУР-10 и ТУР-8 в носовой кабине у лет- наба и задней стрелка-радиста (по 24 ма</w:t>
      </w:r>
      <w:r w:rsidRPr="00507A31">
        <w:rPr>
          <w:color w:val="0070C0"/>
          <w:sz w:val="16"/>
          <w:szCs w:val="16"/>
          <w:lang w:bidi="ru-RU"/>
        </w:rPr>
        <w:softHyphen/>
        <w:t>газина на 63 патрон каждый).</w:t>
      </w:r>
    </w:p>
    <w:p w14:paraId="18934C00" w14:textId="77777777" w:rsidR="00195FAD" w:rsidRPr="00507A31" w:rsidRDefault="00195FAD" w:rsidP="00507A31">
      <w:pPr>
        <w:jc w:val="both"/>
        <w:rPr>
          <w:color w:val="0070C0"/>
          <w:sz w:val="16"/>
          <w:szCs w:val="16"/>
        </w:rPr>
      </w:pPr>
      <w:r w:rsidRPr="00507A31">
        <w:rPr>
          <w:color w:val="0070C0"/>
          <w:sz w:val="16"/>
          <w:szCs w:val="16"/>
          <w:lang w:bidi="ru-RU"/>
        </w:rPr>
        <w:t>Бомбовая нагрузка достигала 1000</w:t>
      </w:r>
      <w:r w:rsidRPr="00507A31">
        <w:rPr>
          <w:color w:val="0070C0"/>
          <w:sz w:val="16"/>
          <w:szCs w:val="16"/>
          <w:lang w:bidi="ru-RU"/>
        </w:rPr>
        <w:softHyphen/>
        <w:t>1500 кг (как мелких, так и крупных ка</w:t>
      </w:r>
      <w:r w:rsidRPr="00507A31">
        <w:rPr>
          <w:color w:val="0070C0"/>
          <w:sz w:val="16"/>
          <w:szCs w:val="16"/>
          <w:lang w:bidi="ru-RU"/>
        </w:rPr>
        <w:softHyphen/>
        <w:t>либров - от 2 кг до 250 кг). Бомбы кали</w:t>
      </w:r>
      <w:r w:rsidRPr="00507A31">
        <w:rPr>
          <w:color w:val="0070C0"/>
          <w:sz w:val="16"/>
          <w:szCs w:val="16"/>
          <w:lang w:bidi="ru-RU"/>
        </w:rPr>
        <w:softHyphen/>
        <w:t>бров 2 и 10 кг загружались в специаль</w:t>
      </w:r>
      <w:r w:rsidRPr="00507A31">
        <w:rPr>
          <w:color w:val="0070C0"/>
          <w:sz w:val="16"/>
          <w:szCs w:val="16"/>
          <w:lang w:bidi="ru-RU"/>
        </w:rPr>
        <w:softHyphen/>
        <w:t>ные кассеты внутри фюзеляжа и в крыле, бомбы калибра 50 кг «желательно разме</w:t>
      </w:r>
      <w:r w:rsidRPr="00507A31">
        <w:rPr>
          <w:color w:val="0070C0"/>
          <w:sz w:val="16"/>
          <w:szCs w:val="16"/>
          <w:lang w:bidi="ru-RU"/>
        </w:rPr>
        <w:softHyphen/>
        <w:t>стить в кассетах», а бомбы калибра 100 и 250 кг подвешивались на внешних держа</w:t>
      </w:r>
      <w:r w:rsidRPr="00507A31">
        <w:rPr>
          <w:color w:val="0070C0"/>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507A31">
        <w:rPr>
          <w:color w:val="0070C0"/>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507A31">
        <w:rPr>
          <w:color w:val="0070C0"/>
          <w:sz w:val="16"/>
          <w:szCs w:val="16"/>
          <w:lang w:bidi="ru-RU"/>
        </w:rPr>
        <w:softHyphen/>
        <w:t>бров. Сброс бомб - одиночно и сериями.</w:t>
      </w:r>
    </w:p>
    <w:p w14:paraId="65D74B21" w14:textId="77777777" w:rsidR="00195FAD" w:rsidRPr="00507A31" w:rsidRDefault="00195FAD" w:rsidP="00507A31">
      <w:pPr>
        <w:jc w:val="both"/>
        <w:rPr>
          <w:color w:val="0070C0"/>
          <w:sz w:val="16"/>
          <w:szCs w:val="16"/>
        </w:rPr>
      </w:pPr>
      <w:r w:rsidRPr="00507A31">
        <w:rPr>
          <w:color w:val="0070C0"/>
          <w:sz w:val="16"/>
          <w:szCs w:val="16"/>
          <w:lang w:bidi="ru-RU"/>
        </w:rPr>
        <w:t>Вместо бомб под крылом допускалась подвеска выливных, дымовых и зажига</w:t>
      </w:r>
      <w:r w:rsidRPr="00507A31">
        <w:rPr>
          <w:color w:val="0070C0"/>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0F6A1FFF" w14:textId="77777777" w:rsidR="00195FAD" w:rsidRPr="00507A31" w:rsidRDefault="00195FAD" w:rsidP="00507A31">
      <w:pPr>
        <w:jc w:val="both"/>
        <w:rPr>
          <w:color w:val="0070C0"/>
          <w:sz w:val="16"/>
          <w:szCs w:val="16"/>
        </w:rPr>
      </w:pPr>
      <w:r w:rsidRPr="00507A31">
        <w:rPr>
          <w:color w:val="0070C0"/>
          <w:sz w:val="16"/>
          <w:szCs w:val="16"/>
          <w:lang w:bidi="ru-RU"/>
        </w:rPr>
        <w:t>Динамореактивную пушку Кручевского предполагалось устанавливать под углом 13° вперед-вниз к оси само</w:t>
      </w:r>
      <w:r w:rsidRPr="00507A31">
        <w:rPr>
          <w:color w:val="0070C0"/>
          <w:sz w:val="16"/>
          <w:szCs w:val="16"/>
          <w:lang w:bidi="ru-RU"/>
        </w:rPr>
        <w:softHyphen/>
        <w:t>лета для стрельбы по наземным целям. Стрельба велась летчиком.</w:t>
      </w:r>
    </w:p>
    <w:p w14:paraId="755A441D" w14:textId="77777777" w:rsidR="00195FAD" w:rsidRPr="00507A31" w:rsidRDefault="00195FAD" w:rsidP="00507A31">
      <w:pPr>
        <w:jc w:val="both"/>
        <w:rPr>
          <w:color w:val="0070C0"/>
          <w:sz w:val="16"/>
          <w:szCs w:val="16"/>
        </w:rPr>
      </w:pPr>
      <w:r w:rsidRPr="00507A31">
        <w:rPr>
          <w:color w:val="0070C0"/>
          <w:sz w:val="16"/>
          <w:szCs w:val="16"/>
          <w:lang w:bidi="ru-RU"/>
        </w:rPr>
        <w:t>Общий вес полезной нагрузки до</w:t>
      </w:r>
      <w:r w:rsidRPr="00507A31">
        <w:rPr>
          <w:color w:val="0070C0"/>
          <w:sz w:val="16"/>
          <w:szCs w:val="16"/>
          <w:lang w:bidi="ru-RU"/>
        </w:rPr>
        <w:softHyphen/>
        <w:t>стигал 3790 кг. Это было слишком много. По расчетам специалистов ЦАГИ полет</w:t>
      </w:r>
      <w:r w:rsidRPr="00507A31">
        <w:rPr>
          <w:color w:val="0070C0"/>
          <w:sz w:val="16"/>
          <w:szCs w:val="16"/>
          <w:lang w:bidi="ru-RU"/>
        </w:rPr>
        <w:softHyphen/>
        <w:t>ный вес самолета в этом случае составлял 7,5-8,0 тонн. При таком весе и соответст</w:t>
      </w:r>
      <w:r w:rsidRPr="00507A31">
        <w:rPr>
          <w:color w:val="0070C0"/>
          <w:sz w:val="16"/>
          <w:szCs w:val="16"/>
          <w:lang w:bidi="ru-RU"/>
        </w:rPr>
        <w:softHyphen/>
        <w:t>вующей размерности машины «ожидать хорошей маневренности и скорости не</w:t>
      </w:r>
      <w:r w:rsidRPr="00507A31">
        <w:rPr>
          <w:color w:val="0070C0"/>
          <w:sz w:val="16"/>
          <w:szCs w:val="16"/>
          <w:lang w:bidi="ru-RU"/>
        </w:rPr>
        <w:softHyphen/>
        <w:t>возможно, тем более что для удовлетво</w:t>
      </w:r>
      <w:r w:rsidRPr="00507A31">
        <w:rPr>
          <w:color w:val="0070C0"/>
          <w:sz w:val="16"/>
          <w:szCs w:val="16"/>
          <w:lang w:bidi="ru-RU"/>
        </w:rPr>
        <w:softHyphen/>
        <w:t>рения тех требований в смысле скорости потребовались бы два мотора по 1250</w:t>
      </w:r>
      <w:r w:rsidRPr="00507A31">
        <w:rPr>
          <w:color w:val="0070C0"/>
          <w:sz w:val="16"/>
          <w:szCs w:val="16"/>
          <w:lang w:bidi="ru-RU"/>
        </w:rPr>
        <w:softHyphen/>
        <w:t>1300 л.с., каковых в данное время ни у нас, ни заграницей не существует». Сле</w:t>
      </w:r>
      <w:r w:rsidRPr="00507A31">
        <w:rPr>
          <w:color w:val="0070C0"/>
          <w:sz w:val="16"/>
          <w:szCs w:val="16"/>
          <w:lang w:bidi="ru-RU"/>
        </w:rPr>
        <w:softHyphen/>
        <w:t>довало уменьшить вес общей нагрузки как минимум на 1500 кг.</w:t>
      </w:r>
    </w:p>
    <w:p w14:paraId="22F3FB82" w14:textId="77777777" w:rsidR="00195FAD" w:rsidRPr="00507A31" w:rsidRDefault="00195FAD" w:rsidP="00507A31">
      <w:pPr>
        <w:jc w:val="both"/>
        <w:rPr>
          <w:color w:val="0070C0"/>
          <w:sz w:val="16"/>
          <w:szCs w:val="16"/>
        </w:rPr>
      </w:pPr>
      <w:r w:rsidRPr="00507A31">
        <w:rPr>
          <w:color w:val="0070C0"/>
          <w:sz w:val="16"/>
          <w:szCs w:val="16"/>
          <w:lang w:bidi="ru-RU"/>
        </w:rPr>
        <w:t>Уточненные требования к самолету ТШ-1 предполагали два варианта брони</w:t>
      </w:r>
      <w:r w:rsidRPr="00507A31">
        <w:rPr>
          <w:color w:val="0070C0"/>
          <w:sz w:val="16"/>
          <w:szCs w:val="16"/>
          <w:lang w:bidi="ru-RU"/>
        </w:rPr>
        <w:softHyphen/>
        <w:t>рования. По первому варианту броней за</w:t>
      </w:r>
      <w:r w:rsidRPr="00507A31">
        <w:rPr>
          <w:color w:val="0070C0"/>
          <w:sz w:val="16"/>
          <w:szCs w:val="16"/>
          <w:lang w:bidi="ru-RU"/>
        </w:rPr>
        <w:softHyphen/>
        <w:t>щищались места размещения членов эки</w:t>
      </w:r>
      <w:r w:rsidRPr="00507A31">
        <w:rPr>
          <w:color w:val="0070C0"/>
          <w:sz w:val="16"/>
          <w:szCs w:val="16"/>
          <w:lang w:bidi="ru-RU"/>
        </w:rPr>
        <w:softHyphen/>
        <w:t>пажа и моторы (670 кг не работающей брони и 360 кг брони «в счет конструк</w:t>
      </w:r>
      <w:r w:rsidRPr="00507A31">
        <w:rPr>
          <w:color w:val="0070C0"/>
          <w:sz w:val="16"/>
          <w:szCs w:val="16"/>
          <w:lang w:bidi="ru-RU"/>
        </w:rPr>
        <w:softHyphen/>
        <w:t>ции самолета»), а по второму варианту - только места экипажа (420 кг брони и 150 кг «в счет конструкции»).</w:t>
      </w:r>
    </w:p>
    <w:p w14:paraId="05045E28" w14:textId="77777777" w:rsidR="00195FAD" w:rsidRPr="00507A31" w:rsidRDefault="00195FAD" w:rsidP="00507A31">
      <w:pPr>
        <w:jc w:val="both"/>
        <w:rPr>
          <w:color w:val="0070C0"/>
          <w:sz w:val="16"/>
          <w:szCs w:val="16"/>
        </w:rPr>
      </w:pPr>
      <w:r w:rsidRPr="00507A31">
        <w:rPr>
          <w:color w:val="0070C0"/>
          <w:sz w:val="16"/>
          <w:szCs w:val="16"/>
          <w:lang w:bidi="ru-RU"/>
        </w:rPr>
        <w:t>Второй вариант бронирования «пред</w:t>
      </w:r>
      <w:r w:rsidRPr="00507A31">
        <w:rPr>
          <w:color w:val="0070C0"/>
          <w:sz w:val="16"/>
          <w:szCs w:val="16"/>
          <w:lang w:bidi="ru-RU"/>
        </w:rPr>
        <w:softHyphen/>
        <w:t>усматривался на случай, если по расчетам ЦАГИ невозможно будет получить от са</w:t>
      </w:r>
      <w:r w:rsidRPr="00507A31">
        <w:rPr>
          <w:color w:val="0070C0"/>
          <w:sz w:val="16"/>
          <w:szCs w:val="16"/>
          <w:lang w:bidi="ru-RU"/>
        </w:rPr>
        <w:softHyphen/>
        <w:t>молета требуемые ЛТД при полезной на</w:t>
      </w:r>
      <w:r w:rsidRPr="00507A31">
        <w:rPr>
          <w:color w:val="0070C0"/>
          <w:sz w:val="16"/>
          <w:szCs w:val="16"/>
          <w:lang w:bidi="ru-RU"/>
        </w:rPr>
        <w:softHyphen/>
        <w:t>грузке самолета по первому варианту бронирования».</w:t>
      </w:r>
    </w:p>
    <w:p w14:paraId="139CD34A" w14:textId="77777777" w:rsidR="00195FAD" w:rsidRPr="00507A31" w:rsidRDefault="00195FAD" w:rsidP="00507A31">
      <w:pPr>
        <w:jc w:val="both"/>
        <w:rPr>
          <w:color w:val="0070C0"/>
          <w:sz w:val="16"/>
          <w:szCs w:val="16"/>
        </w:rPr>
      </w:pPr>
      <w:r w:rsidRPr="00507A31">
        <w:rPr>
          <w:color w:val="0070C0"/>
          <w:sz w:val="16"/>
          <w:szCs w:val="16"/>
          <w:lang w:bidi="ru-RU"/>
        </w:rPr>
        <w:t>Вместо безоткатной пушки калибра 76,2 мм устанавливалась одна автомати</w:t>
      </w:r>
      <w:r w:rsidRPr="00507A31">
        <w:rPr>
          <w:color w:val="0070C0"/>
          <w:sz w:val="16"/>
          <w:szCs w:val="16"/>
          <w:lang w:bidi="ru-RU"/>
        </w:rPr>
        <w:softHyphen/>
        <w:t>ческая пушка калибра 20 мм (200 патрон) или 37 мм (40 патрон). Боекомплект па</w:t>
      </w:r>
      <w:r w:rsidRPr="00507A31">
        <w:rPr>
          <w:color w:val="0070C0"/>
          <w:sz w:val="16"/>
          <w:szCs w:val="16"/>
          <w:lang w:bidi="ru-RU"/>
        </w:rPr>
        <w:softHyphen/>
        <w:t>трон к пулеметам ДА на турелях у летнаба и стрелка-радиста сокращался до 16 ма</w:t>
      </w:r>
      <w:r w:rsidRPr="00507A31">
        <w:rPr>
          <w:color w:val="0070C0"/>
          <w:sz w:val="16"/>
          <w:szCs w:val="16"/>
          <w:lang w:bidi="ru-RU"/>
        </w:rPr>
        <w:softHyphen/>
        <w:t>газинов. Бомбовая нагрузка осталась прежней: 1000 кг - нормальный вариант загрузки, и 1500 кг - в перегрузку.</w:t>
      </w:r>
    </w:p>
    <w:p w14:paraId="02627E8D" w14:textId="77777777" w:rsidR="00195FAD" w:rsidRPr="00507A31" w:rsidRDefault="00195FAD" w:rsidP="00507A31">
      <w:pPr>
        <w:jc w:val="both"/>
        <w:rPr>
          <w:color w:val="0070C0"/>
          <w:sz w:val="16"/>
          <w:szCs w:val="16"/>
        </w:rPr>
      </w:pPr>
      <w:r w:rsidRPr="00507A31">
        <w:rPr>
          <w:color w:val="0070C0"/>
          <w:sz w:val="16"/>
          <w:szCs w:val="16"/>
          <w:lang w:bidi="ru-RU"/>
        </w:rPr>
        <w:t>От неподвижных крыльевых пулемет</w:t>
      </w:r>
      <w:r w:rsidRPr="00507A31">
        <w:rPr>
          <w:color w:val="0070C0"/>
          <w:sz w:val="16"/>
          <w:szCs w:val="16"/>
          <w:lang w:bidi="ru-RU"/>
        </w:rPr>
        <w:softHyphen/>
        <w:t>ных установок отказались в пользу двух подвесных пулеметных батарей по че</w:t>
      </w:r>
      <w:r w:rsidRPr="00507A31">
        <w:rPr>
          <w:color w:val="0070C0"/>
          <w:sz w:val="16"/>
          <w:szCs w:val="16"/>
          <w:lang w:bidi="ru-RU"/>
        </w:rPr>
        <w:softHyphen/>
        <w:t>тыре пулемета ПВ-1 на каждой (всего 2000 патрон в металлических лентах). Ба</w:t>
      </w:r>
      <w:r w:rsidRPr="00507A31">
        <w:rPr>
          <w:color w:val="0070C0"/>
          <w:sz w:val="16"/>
          <w:szCs w:val="16"/>
          <w:lang w:bidi="ru-RU"/>
        </w:rPr>
        <w:softHyphen/>
        <w:t>тареи подвешивались под фюзеляжем са</w:t>
      </w:r>
      <w:r w:rsidRPr="00507A31">
        <w:rPr>
          <w:color w:val="0070C0"/>
          <w:sz w:val="16"/>
          <w:szCs w:val="16"/>
          <w:lang w:bidi="ru-RU"/>
        </w:rPr>
        <w:softHyphen/>
        <w:t>молета в счет бомбовой нагрузки. Пуле</w:t>
      </w:r>
      <w:r w:rsidRPr="00507A31">
        <w:rPr>
          <w:color w:val="0070C0"/>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507A31">
        <w:rPr>
          <w:color w:val="0070C0"/>
          <w:sz w:val="16"/>
          <w:szCs w:val="16"/>
          <w:lang w:bidi="ru-RU"/>
        </w:rPr>
        <w:softHyphen/>
        <w:t>правлению полета. Предполагалось два варианта управления поворотом пулеме</w:t>
      </w:r>
      <w:r w:rsidRPr="00507A31">
        <w:rPr>
          <w:color w:val="0070C0"/>
          <w:sz w:val="16"/>
          <w:szCs w:val="16"/>
          <w:lang w:bidi="ru-RU"/>
        </w:rPr>
        <w:softHyphen/>
        <w:t>тов: на земле - путем установки необхо</w:t>
      </w:r>
      <w:r w:rsidRPr="00507A31">
        <w:rPr>
          <w:color w:val="0070C0"/>
          <w:sz w:val="16"/>
          <w:szCs w:val="16"/>
          <w:lang w:bidi="ru-RU"/>
        </w:rPr>
        <w:softHyphen/>
        <w:t>димых углов вручную непосредственно перед боевым вылетом, и в полете из ка</w:t>
      </w:r>
      <w:r w:rsidRPr="00507A31">
        <w:rPr>
          <w:color w:val="0070C0"/>
          <w:sz w:val="16"/>
          <w:szCs w:val="16"/>
          <w:lang w:bidi="ru-RU"/>
        </w:rPr>
        <w:softHyphen/>
        <w:t>бины летнаба - при помощи дистанцион</w:t>
      </w:r>
      <w:r w:rsidRPr="00507A31">
        <w:rPr>
          <w:color w:val="0070C0"/>
          <w:sz w:val="16"/>
          <w:szCs w:val="16"/>
          <w:lang w:bidi="ru-RU"/>
        </w:rPr>
        <w:softHyphen/>
        <w:t>ного механизма. Основным считалось ди</w:t>
      </w:r>
      <w:r w:rsidRPr="00507A31">
        <w:rPr>
          <w:color w:val="0070C0"/>
          <w:sz w:val="16"/>
          <w:szCs w:val="16"/>
          <w:lang w:bidi="ru-RU"/>
        </w:rPr>
        <w:softHyphen/>
        <w:t>станционное управление.</w:t>
      </w:r>
    </w:p>
    <w:p w14:paraId="179D9156" w14:textId="77777777" w:rsidR="00195FAD" w:rsidRPr="00507A31" w:rsidRDefault="00195FAD" w:rsidP="00507A31">
      <w:pPr>
        <w:jc w:val="both"/>
        <w:rPr>
          <w:color w:val="0070C0"/>
          <w:sz w:val="16"/>
          <w:szCs w:val="16"/>
          <w:lang w:bidi="ru-RU"/>
        </w:rPr>
      </w:pPr>
      <w:r w:rsidRPr="00507A31">
        <w:rPr>
          <w:color w:val="0070C0"/>
          <w:sz w:val="16"/>
          <w:szCs w:val="16"/>
          <w:lang w:bidi="ru-RU"/>
        </w:rPr>
        <w:t>С учетом всех изменений вес полез</w:t>
      </w:r>
      <w:r w:rsidRPr="00507A31">
        <w:rPr>
          <w:color w:val="0070C0"/>
          <w:sz w:val="16"/>
          <w:szCs w:val="16"/>
          <w:lang w:bidi="ru-RU"/>
        </w:rPr>
        <w:softHyphen/>
        <w:t>ной нагрузки в зависимости от вариантов бронирования и вооружения сократился до 2379 - 2619 кг (21062).</w:t>
      </w:r>
    </w:p>
    <w:p w14:paraId="12DD46DF" w14:textId="77777777" w:rsidR="00195FAD" w:rsidRPr="00507A31" w:rsidRDefault="00195FAD" w:rsidP="00507A31">
      <w:pPr>
        <w:jc w:val="both"/>
        <w:rPr>
          <w:color w:val="0070C0"/>
          <w:sz w:val="16"/>
          <w:szCs w:val="16"/>
        </w:rPr>
      </w:pPr>
    </w:p>
    <w:p w14:paraId="75D543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30 мая 1930 К-5, впервые взлетевший 6 ноября 1929, перелетел в Москву и машина была предъявлена гос. комиссии. Машина со сниженной на 200 кг нагрузкой вполне удовлетворяла требованиям. После гос. испытаний направили на трассу Москва-Харьков (70,160).</w:t>
      </w:r>
    </w:p>
    <w:p w14:paraId="1183A862" w14:textId="77777777" w:rsidR="00537E5F" w:rsidRPr="00507A31" w:rsidRDefault="00537E5F" w:rsidP="00507A31">
      <w:pPr>
        <w:autoSpaceDE w:val="0"/>
        <w:autoSpaceDN w:val="0"/>
        <w:adjustRightInd w:val="0"/>
        <w:jc w:val="both"/>
        <w:rPr>
          <w:color w:val="000000" w:themeColor="text1"/>
          <w:sz w:val="16"/>
          <w:szCs w:val="16"/>
        </w:rPr>
      </w:pPr>
    </w:p>
    <w:p w14:paraId="02DF6F21" w14:textId="77777777" w:rsidR="00D751A1" w:rsidRPr="00507A31" w:rsidRDefault="00D751A1" w:rsidP="00507A31">
      <w:pPr>
        <w:jc w:val="both"/>
        <w:rPr>
          <w:color w:val="000000" w:themeColor="text1"/>
          <w:sz w:val="16"/>
          <w:szCs w:val="16"/>
        </w:rPr>
      </w:pPr>
      <w:r w:rsidRPr="00507A31">
        <w:rPr>
          <w:bCs/>
          <w:color w:val="000000" w:themeColor="text1"/>
          <w:sz w:val="16"/>
          <w:szCs w:val="16"/>
        </w:rPr>
        <w:t>30 мая</w:t>
      </w:r>
      <w:r w:rsidRPr="00507A31">
        <w:rPr>
          <w:color w:val="000000" w:themeColor="text1"/>
          <w:sz w:val="16"/>
          <w:szCs w:val="16"/>
        </w:rPr>
        <w:t xml:space="preserve"> в 1930 году </w:t>
      </w:r>
      <w:hyperlink r:id="rId92" w:tgtFrame="_blank" w:history="1">
        <w:r w:rsidRPr="00507A31">
          <w:rPr>
            <w:color w:val="000000" w:themeColor="text1"/>
            <w:sz w:val="16"/>
            <w:szCs w:val="16"/>
          </w:rPr>
          <w:t xml:space="preserve">«К-5» </w:t>
        </w:r>
      </w:hyperlink>
      <w:r w:rsidRPr="00507A31">
        <w:rPr>
          <w:color w:val="000000" w:themeColor="text1"/>
          <w:sz w:val="16"/>
          <w:szCs w:val="16"/>
        </w:rPr>
        <w:t>перелетел в Москву, где выдержал экзамен перед государственной комиссией. Госкомиссия установила, что самолёт вполне отвечает предъявленным требованиям. Но двигатель ненадёжен - частые поломки коленчатого вала и шатунов, отказ свечей, и его следует заменить. Под новый двигатель – «Pratt &amp; Whitney» «Hornet», создавали второй опытный самолёт. Он был готов только весной 1930, когда двигатель наконец был получен. Этот экземпляр участвовал в перелёте по городам Украины в мае - июне 1930 (14907).</w:t>
      </w:r>
    </w:p>
    <w:p w14:paraId="50B6E8F4" w14:textId="77777777" w:rsidR="00D751A1" w:rsidRPr="00507A31" w:rsidRDefault="00D751A1" w:rsidP="00507A31">
      <w:pPr>
        <w:jc w:val="both"/>
        <w:rPr>
          <w:color w:val="000000" w:themeColor="text1"/>
          <w:sz w:val="16"/>
          <w:szCs w:val="16"/>
        </w:rPr>
      </w:pPr>
    </w:p>
    <w:p w14:paraId="71F21F45" w14:textId="77777777" w:rsidR="00195FAD" w:rsidRPr="00507A31" w:rsidRDefault="00195FAD" w:rsidP="00507A31">
      <w:pPr>
        <w:shd w:val="clear" w:color="auto" w:fill="FFFFFF"/>
        <w:jc w:val="both"/>
        <w:rPr>
          <w:color w:val="0070C0"/>
          <w:sz w:val="16"/>
          <w:szCs w:val="16"/>
        </w:rPr>
      </w:pPr>
      <w:bookmarkStart w:id="48" w:name="_Hlk83568408"/>
      <w:r w:rsidRPr="00507A31">
        <w:rPr>
          <w:color w:val="0070C0"/>
          <w:sz w:val="16"/>
          <w:szCs w:val="16"/>
        </w:rPr>
        <w:t>30 мая 1930 состоялось заседание РЗ СТО</w:t>
      </w:r>
    </w:p>
    <w:p w14:paraId="70A68A4E" w14:textId="77777777" w:rsidR="00195FAD" w:rsidRPr="00507A31" w:rsidRDefault="00195FAD" w:rsidP="00507A31">
      <w:pPr>
        <w:shd w:val="clear" w:color="auto" w:fill="FFFFFF"/>
        <w:jc w:val="both"/>
        <w:rPr>
          <w:color w:val="0070C0"/>
          <w:sz w:val="16"/>
          <w:szCs w:val="16"/>
        </w:rPr>
      </w:pPr>
      <w:r w:rsidRPr="00507A31">
        <w:rPr>
          <w:color w:val="0070C0"/>
          <w:sz w:val="16"/>
          <w:szCs w:val="16"/>
        </w:rPr>
        <w:t>Протокол № 51 от 30 мая 1930 г.:</w:t>
      </w:r>
    </w:p>
    <w:p w14:paraId="4014D66F" w14:textId="77777777" w:rsidR="00195FAD" w:rsidRPr="00507A31" w:rsidRDefault="00195FAD" w:rsidP="00507A31">
      <w:pPr>
        <w:shd w:val="clear" w:color="auto" w:fill="FFFFFF"/>
        <w:jc w:val="both"/>
        <w:rPr>
          <w:color w:val="0070C0"/>
          <w:sz w:val="16"/>
          <w:szCs w:val="16"/>
        </w:rPr>
      </w:pPr>
      <w:r w:rsidRPr="00507A31">
        <w:rPr>
          <w:color w:val="0070C0"/>
          <w:sz w:val="16"/>
          <w:szCs w:val="16"/>
        </w:rPr>
        <w:t>…О приравнении заказов Всесоюзного общества воздушных сообщений "Добролет" в отношении сроков выполнения к заказам военного ведомства (постановление P3 СТО от 21.5.1930 г. к протоколу P3 СТО № 51 от 30.5.1930 г. по п. 3) (21566).</w:t>
      </w:r>
    </w:p>
    <w:bookmarkEnd w:id="48"/>
    <w:p w14:paraId="7A734327" w14:textId="77777777" w:rsidR="00195FAD" w:rsidRPr="00507A31" w:rsidRDefault="00195FAD" w:rsidP="00507A31">
      <w:pPr>
        <w:shd w:val="clear" w:color="auto" w:fill="FFFFFF"/>
        <w:jc w:val="both"/>
        <w:rPr>
          <w:color w:val="0070C0"/>
          <w:sz w:val="16"/>
          <w:szCs w:val="16"/>
        </w:rPr>
      </w:pPr>
    </w:p>
    <w:p w14:paraId="7F5E7D74" w14:textId="77777777" w:rsidR="00431306" w:rsidRPr="00507A31" w:rsidRDefault="00431306"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6FFD874" w14:textId="77777777" w:rsidR="00431306" w:rsidRPr="00507A31" w:rsidRDefault="00431306" w:rsidP="00507A31">
      <w:pPr>
        <w:autoSpaceDE w:val="0"/>
        <w:autoSpaceDN w:val="0"/>
        <w:adjustRightInd w:val="0"/>
        <w:jc w:val="both"/>
        <w:rPr>
          <w:iCs/>
          <w:color w:val="000000" w:themeColor="text1"/>
          <w:sz w:val="16"/>
          <w:szCs w:val="16"/>
        </w:rPr>
      </w:pPr>
    </w:p>
    <w:p w14:paraId="5DFFDD58" w14:textId="77777777" w:rsidR="00431306" w:rsidRPr="00507A31" w:rsidRDefault="00431306" w:rsidP="00507A31">
      <w:pPr>
        <w:jc w:val="both"/>
        <w:rPr>
          <w:color w:val="0070C0"/>
          <w:sz w:val="16"/>
          <w:szCs w:val="16"/>
        </w:rPr>
      </w:pPr>
      <w:r w:rsidRPr="00507A31">
        <w:rPr>
          <w:color w:val="0070C0"/>
          <w:sz w:val="16"/>
          <w:szCs w:val="16"/>
        </w:rPr>
        <w:t>30 мая 1930 опросом членов ПБ</w:t>
      </w:r>
    </w:p>
    <w:p w14:paraId="3BDB5043" w14:textId="77777777" w:rsidR="00431306" w:rsidRPr="00507A31" w:rsidRDefault="00431306" w:rsidP="00507A31">
      <w:pPr>
        <w:jc w:val="both"/>
        <w:rPr>
          <w:color w:val="0070C0"/>
          <w:sz w:val="16"/>
          <w:szCs w:val="16"/>
        </w:rPr>
      </w:pPr>
      <w:r w:rsidRPr="00507A31">
        <w:rPr>
          <w:color w:val="0070C0"/>
          <w:sz w:val="16"/>
          <w:szCs w:val="16"/>
        </w:rPr>
        <w:t>37. - Об импорте оборудования для военной промышленности.</w:t>
      </w:r>
    </w:p>
    <w:p w14:paraId="67A2E544" w14:textId="77777777" w:rsidR="00431306" w:rsidRPr="00507A31" w:rsidRDefault="00431306" w:rsidP="00507A31">
      <w:pPr>
        <w:jc w:val="both"/>
        <w:rPr>
          <w:color w:val="0070C0"/>
          <w:sz w:val="16"/>
          <w:szCs w:val="16"/>
        </w:rPr>
      </w:pPr>
      <w:r w:rsidRPr="00507A31">
        <w:rPr>
          <w:color w:val="0070C0"/>
          <w:sz w:val="16"/>
          <w:szCs w:val="16"/>
        </w:rPr>
        <w:t>(т.т. Рудзутак, Прокофьев, Менжинский).</w:t>
      </w:r>
    </w:p>
    <w:p w14:paraId="6F42541E" w14:textId="77777777" w:rsidR="00431306" w:rsidRPr="00507A31" w:rsidRDefault="00431306" w:rsidP="00507A31">
      <w:pPr>
        <w:jc w:val="both"/>
        <w:rPr>
          <w:color w:val="0070C0"/>
          <w:sz w:val="16"/>
          <w:szCs w:val="16"/>
        </w:rPr>
      </w:pPr>
      <w:r w:rsidRPr="00507A31">
        <w:rPr>
          <w:color w:val="0070C0"/>
          <w:sz w:val="16"/>
          <w:szCs w:val="16"/>
        </w:rPr>
        <w:t>а) Шинделя и Воронецкого арестовать.</w:t>
      </w:r>
    </w:p>
    <w:p w14:paraId="5EA1EABF" w14:textId="77777777" w:rsidR="00431306" w:rsidRPr="00507A31" w:rsidRDefault="00431306" w:rsidP="00507A31">
      <w:pPr>
        <w:jc w:val="both"/>
        <w:rPr>
          <w:color w:val="0070C0"/>
          <w:sz w:val="16"/>
          <w:szCs w:val="16"/>
        </w:rPr>
      </w:pPr>
      <w:r w:rsidRPr="00507A31">
        <w:rPr>
          <w:color w:val="0070C0"/>
          <w:sz w:val="16"/>
          <w:szCs w:val="16"/>
        </w:rPr>
        <w:t>б) Шлейфера по приезде из Монголии допросить</w:t>
      </w:r>
    </w:p>
    <w:p w14:paraId="04B7984D" w14:textId="77777777" w:rsidR="00431306" w:rsidRPr="00507A31" w:rsidRDefault="00431306" w:rsidP="00507A31">
      <w:pPr>
        <w:jc w:val="both"/>
        <w:rPr>
          <w:color w:val="0070C0"/>
          <w:sz w:val="16"/>
          <w:szCs w:val="16"/>
        </w:rPr>
      </w:pPr>
      <w:r w:rsidRPr="00507A31">
        <w:rPr>
          <w:color w:val="0070C0"/>
          <w:sz w:val="16"/>
          <w:szCs w:val="16"/>
        </w:rPr>
        <w:t>В) Поручить РКИ СССР выделить человека, который наблю</w:t>
      </w:r>
      <w:r w:rsidRPr="00507A31">
        <w:rPr>
          <w:color w:val="0070C0"/>
          <w:sz w:val="16"/>
          <w:szCs w:val="16"/>
        </w:rPr>
        <w:softHyphen/>
        <w:t>дал бы за точным выполнением решений Политбюро, импортною ко</w:t>
      </w:r>
      <w:r w:rsidRPr="00507A31">
        <w:rPr>
          <w:color w:val="0070C0"/>
          <w:sz w:val="16"/>
          <w:szCs w:val="16"/>
        </w:rPr>
        <w:softHyphen/>
        <w:t>миссии, СТО и СНК СССР по реализации экспортно-импортного плана.</w:t>
      </w:r>
    </w:p>
    <w:p w14:paraId="125A7F91" w14:textId="77777777" w:rsidR="00431306" w:rsidRPr="00507A31" w:rsidRDefault="00431306" w:rsidP="00507A31">
      <w:pPr>
        <w:jc w:val="both"/>
        <w:rPr>
          <w:color w:val="0070C0"/>
          <w:sz w:val="16"/>
          <w:szCs w:val="16"/>
        </w:rPr>
      </w:pPr>
      <w:r w:rsidRPr="00507A31">
        <w:rPr>
          <w:color w:val="0070C0"/>
          <w:sz w:val="16"/>
          <w:szCs w:val="16"/>
        </w:rPr>
        <w:t>Выписки посланы: т. Менжинскому - а,б; т. Орджоникидзе – в</w:t>
      </w:r>
    </w:p>
    <w:p w14:paraId="34DC9CFE" w14:textId="77777777" w:rsidR="00431306" w:rsidRPr="00507A31" w:rsidRDefault="00431306" w:rsidP="00507A31">
      <w:pPr>
        <w:jc w:val="both"/>
        <w:rPr>
          <w:color w:val="0070C0"/>
          <w:sz w:val="16"/>
          <w:szCs w:val="16"/>
        </w:rPr>
      </w:pPr>
      <w:r w:rsidRPr="00507A31">
        <w:rPr>
          <w:color w:val="0070C0"/>
          <w:sz w:val="16"/>
          <w:szCs w:val="16"/>
        </w:rPr>
        <w:t>15 июня 1930 состоялось заседание ПБ (Протокол № 128. Особый № 126) (23111).</w:t>
      </w:r>
    </w:p>
    <w:p w14:paraId="0E7F8269" w14:textId="77777777" w:rsidR="00431306" w:rsidRPr="00507A31" w:rsidRDefault="00431306" w:rsidP="00507A31">
      <w:pPr>
        <w:jc w:val="both"/>
        <w:rPr>
          <w:color w:val="0070C0"/>
          <w:sz w:val="16"/>
          <w:szCs w:val="16"/>
        </w:rPr>
      </w:pPr>
    </w:p>
    <w:p w14:paraId="1413B9AE" w14:textId="77777777" w:rsidR="0086787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3C6F4F1" w14:textId="77777777" w:rsidR="0086787E" w:rsidRPr="00507A31" w:rsidRDefault="0086787E" w:rsidP="00507A31">
      <w:pPr>
        <w:autoSpaceDE w:val="0"/>
        <w:autoSpaceDN w:val="0"/>
        <w:adjustRightInd w:val="0"/>
        <w:jc w:val="both"/>
        <w:rPr>
          <w:iCs/>
          <w:color w:val="000000" w:themeColor="text1"/>
          <w:sz w:val="16"/>
          <w:szCs w:val="16"/>
        </w:rPr>
      </w:pPr>
    </w:p>
    <w:p w14:paraId="12AFAC40" w14:textId="77777777" w:rsidR="0086787E" w:rsidRPr="00507A31" w:rsidRDefault="0086787E" w:rsidP="00507A31">
      <w:pPr>
        <w:jc w:val="both"/>
        <w:rPr>
          <w:color w:val="000000" w:themeColor="text1"/>
          <w:sz w:val="16"/>
          <w:szCs w:val="16"/>
          <w:u w:color="002060"/>
        </w:rPr>
      </w:pPr>
      <w:r w:rsidRPr="00507A31">
        <w:rPr>
          <w:color w:val="000000" w:themeColor="text1"/>
          <w:sz w:val="16"/>
          <w:szCs w:val="16"/>
          <w:u w:color="002060"/>
        </w:rPr>
        <w:t>30 мая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военной автотранспортной повинности (РГАЭ. Ф. 3429. Оп. 16. Д. 1. Л. 40?37) (12415).</w:t>
      </w:r>
    </w:p>
    <w:p w14:paraId="786FDFE6" w14:textId="77777777" w:rsidR="0086787E" w:rsidRPr="00507A31" w:rsidRDefault="0086787E" w:rsidP="00507A31">
      <w:pPr>
        <w:jc w:val="both"/>
        <w:rPr>
          <w:color w:val="000000" w:themeColor="text1"/>
          <w:sz w:val="16"/>
          <w:szCs w:val="16"/>
          <w:u w:color="002060"/>
        </w:rPr>
      </w:pPr>
    </w:p>
    <w:p w14:paraId="76ED73C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E7FE254" w14:textId="77777777" w:rsidR="00537E5F" w:rsidRPr="00507A31" w:rsidRDefault="00537E5F" w:rsidP="00507A31">
      <w:pPr>
        <w:autoSpaceDE w:val="0"/>
        <w:autoSpaceDN w:val="0"/>
        <w:adjustRightInd w:val="0"/>
        <w:jc w:val="both"/>
        <w:rPr>
          <w:iCs/>
          <w:color w:val="000000" w:themeColor="text1"/>
          <w:sz w:val="16"/>
          <w:szCs w:val="16"/>
        </w:rPr>
      </w:pPr>
    </w:p>
    <w:p w14:paraId="5B1A71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31 мая 1930 г. вышел ПРИКАЗ НАЧАЛЬНИКА ВООРУЖЕНИИ РККА О ПОСТРОЙКЕ МОБИЛЬНЫХ ОБРАЗЦОВ ВООРУЖЕНИЯ № 10191</w:t>
      </w:r>
    </w:p>
    <w:p w14:paraId="2074C2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3A4A62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Вооружений РККА приказал:</w:t>
      </w:r>
    </w:p>
    <w:p w14:paraId="52A0C3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Немедленно приступить к осуществлению следующих образцов вооружения, предложенных инженером Курчевским:</w:t>
      </w:r>
    </w:p>
    <w:p w14:paraId="7C6F34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76 мм орудие ДРП на мотоцикле "Харлей".</w:t>
      </w:r>
    </w:p>
    <w:p w14:paraId="512B0E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Данные: Возможность использования существующего боевого комплекта (гильза, корпуса шрапнели, дистанционные трубки) от 76 мм пушки 1902 г.</w:t>
      </w:r>
    </w:p>
    <w:p w14:paraId="7BDF47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Получение указанным снарядом дальности порядка 5-6 км (начальная скорость около 400м/с).</w:t>
      </w:r>
    </w:p>
    <w:p w14:paraId="3FC265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Приспособление к боевому мотоциклу "Харлей" прицепки для перевозки, кроме то</w:t>
      </w:r>
      <w:r w:rsidRPr="00507A31">
        <w:rPr>
          <w:color w:val="000000" w:themeColor="text1"/>
          <w:sz w:val="16"/>
          <w:szCs w:val="16"/>
        </w:rPr>
        <w:softHyphen/>
        <w:t>го, 25 патронов.</w:t>
      </w:r>
    </w:p>
    <w:p w14:paraId="1FBAC7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152 мм мортира ДРП на 1,5 тонн грузовике Форд. (Вес всей установки на автомобиле около 350 кг).</w:t>
      </w:r>
    </w:p>
    <w:p w14:paraId="5B84EB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Данные: Возможность использования специального боевого комплекта, допускающего вести огонь новыми снарядами от этой мортиры из существующих 152 мм гаубиц</w:t>
      </w:r>
    </w:p>
    <w:p w14:paraId="154C1B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уменьшенных зарядах и новой мортиры завода "Красный Путиловец". Вес снаряда около 35 кг при весе разрывного снаряда около 12 кг. Наибольшая дальность стрельбы около 6-7 км (начальная скорость около 400 м/с). Возможность возки на том же боевом грузовике около 30 выстрелов. Механизация заряжания путем использования мотора грузовика. Обслуживание системы не более как 3 людьми (1 шофер и 2 человека орудийного расчета). Срок изготовления 1 августа 1930 г.</w:t>
      </w:r>
    </w:p>
    <w:p w14:paraId="23CC4F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305 мм мортира ДРП на 3-х тонном грузовике (вес всей установки на автомобиле около 1700 кг),</w:t>
      </w:r>
    </w:p>
    <w:p w14:paraId="700420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Данные: Возможность использования боевого специального комплекта.</w:t>
      </w:r>
    </w:p>
    <w:p w14:paraId="695100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 снаряда около 250 кг, при весе разрывного заряда не менее 60 кг. Наибольшая дальность стрельбы около 10-12 км (начальная скорость около 500 м/с). Механизация заряжания и наведения путем использования мотора грузовика. Обслуживание системы не более как 5 людьми (1 шофер и 4 человека орудийного расчета).</w:t>
      </w:r>
    </w:p>
    <w:p w14:paraId="637FCF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76 мм ручной гранатомет ДРП.</w:t>
      </w:r>
    </w:p>
    <w:p w14:paraId="394F15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Данные: Вес системы в боевом положении около 15 кг.</w:t>
      </w:r>
    </w:p>
    <w:p w14:paraId="29EC97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 снаряда около 3 кг, при весе разрывного заряда не менее 0,7 кг. Наибольшая дальность около 2 км (начальная скорость около 160 м/с) Стрельба без станка лежа, прицельные приспособления (простейшего типа) необхо</w:t>
      </w:r>
      <w:r w:rsidRPr="00507A31">
        <w:rPr>
          <w:color w:val="000000" w:themeColor="text1"/>
          <w:sz w:val="16"/>
          <w:szCs w:val="16"/>
        </w:rPr>
        <w:softHyphen/>
        <w:t>димы. Срок изготовления - 15 июня с.г.</w:t>
      </w:r>
    </w:p>
    <w:p w14:paraId="746F55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45 мм батальонная пушка ДРП. (1-й вариант)</w:t>
      </w:r>
    </w:p>
    <w:p w14:paraId="6E4096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Данные: Вес системы в боевом положении не более 50 кг.</w:t>
      </w:r>
    </w:p>
    <w:p w14:paraId="3ED8B7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Снаряды существующие (бронебойный весом 1,26 кг и осколочный весом 2,15 кг).</w:t>
      </w:r>
    </w:p>
    <w:p w14:paraId="1B1327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Начальные скорости соответственно 550 м/с и 335 м/с.</w:t>
      </w:r>
    </w:p>
    <w:p w14:paraId="48E12C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Стрельба без механизмов наведения (с сошки и лежа).</w:t>
      </w:r>
    </w:p>
    <w:p w14:paraId="018399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Прицельные приспособления (оптические простейшего типа) необходимы. (2-й вариант) Данные: Вес системы в боевом положении не более 100 кг.</w:t>
      </w:r>
    </w:p>
    <w:p w14:paraId="30ACE3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Снаряды - теже.</w:t>
      </w:r>
    </w:p>
    <w:p w14:paraId="739FFC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Начальная скорость бронебойного снаряда весом в 1,25 кг - 750 м/с.</w:t>
      </w:r>
    </w:p>
    <w:p w14:paraId="5BA16B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Условия стрельбы и обслуживания те же, что и в 1 варианте.</w:t>
      </w:r>
    </w:p>
    <w:p w14:paraId="5AB2F6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 76 мм танковая (для бронемашин) пушка ДРП.</w:t>
      </w:r>
    </w:p>
    <w:p w14:paraId="1EA6FC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Данные: Использование существующих габаритов и существующих башен легкого танка| МС-1 и бронемашин Б-27.</w:t>
      </w:r>
    </w:p>
    <w:p w14:paraId="071F00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Использование существующего боевого комплекта от 76 мм пушки 1902 г. Полное удобство обслуживания системы в бою. Начальная скорость снаряда весом в 4,5 кг около 470 м/с.</w:t>
      </w:r>
    </w:p>
    <w:p w14:paraId="4B6E2F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Осуществление перечисленных образцов производится параллельно и по окончании ранее| намеченных работ для инженера Курчевского в области авиавооружения.</w:t>
      </w:r>
    </w:p>
    <w:p w14:paraId="5D1AA3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Начальнику АУ дать задание НТК уточнить в срочном порядке тактико-технические требова</w:t>
      </w:r>
      <w:r w:rsidRPr="00507A31">
        <w:rPr>
          <w:color w:val="000000" w:themeColor="text1"/>
          <w:sz w:val="16"/>
          <w:szCs w:val="16"/>
        </w:rPr>
        <w:softHyphen/>
        <w:t>ния к перечисленным образцам вооружения.</w:t>
      </w:r>
    </w:p>
    <w:p w14:paraId="620214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Начальник Вооружений просит т. Калиновского немедленно выделить 1 мотоцикл "Харлей" с коляской и 1,5 тонный грузовик Форд для установки пушек. Грузовик и мотоцикл должен быть вы</w:t>
      </w:r>
      <w:r w:rsidRPr="00507A31">
        <w:rPr>
          <w:color w:val="000000" w:themeColor="text1"/>
          <w:sz w:val="16"/>
          <w:szCs w:val="16"/>
        </w:rPr>
        <w:softHyphen/>
        <w:t>делен в срочном порядке, дабы не задержать работу по установке.</w:t>
      </w:r>
    </w:p>
    <w:p w14:paraId="04CABB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Начальник Вооружений приказал выделить в распоряжение инженера Курчевского для работ на заводе №8: 2 инженеров-конструкторов, 2 пиротехников и 3 чертежников.</w:t>
      </w:r>
    </w:p>
    <w:p w14:paraId="70809B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Указанные лица будут намечены и откомандированы распоряжением 7 отдела техштаба НВ РККА.</w:t>
      </w:r>
    </w:p>
    <w:p w14:paraId="10DCE9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Просьба к т. Тольскому обеспечить инженера Курчевского рабочей силой и помещением.</w:t>
      </w:r>
    </w:p>
    <w:p w14:paraId="05FCC6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Средства, необходимые на осуществление указанных образцов, будут отпускаться по мере на</w:t>
      </w:r>
      <w:r w:rsidRPr="00507A31">
        <w:rPr>
          <w:color w:val="000000" w:themeColor="text1"/>
          <w:sz w:val="16"/>
          <w:szCs w:val="16"/>
        </w:rPr>
        <w:softHyphen/>
        <w:t>добности Техническим штабом.</w:t>
      </w:r>
    </w:p>
    <w:p w14:paraId="4D486E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технического штаба начальника вооружений РККА</w:t>
      </w:r>
    </w:p>
    <w:p w14:paraId="6EC0E7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Янсон</w:t>
      </w:r>
    </w:p>
    <w:p w14:paraId="798575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30. Л. 48 - 49. Подлинник (11210).</w:t>
      </w:r>
    </w:p>
    <w:p w14:paraId="1009CC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2E60F86" w14:textId="77777777" w:rsidR="008D49AC" w:rsidRPr="00507A31" w:rsidRDefault="008D49AC" w:rsidP="00507A31">
      <w:pPr>
        <w:pStyle w:val="ae"/>
        <w:shd w:val="clear" w:color="auto" w:fill="FFFFFF"/>
        <w:spacing w:before="0" w:after="0"/>
        <w:jc w:val="both"/>
        <w:rPr>
          <w:color w:val="000000" w:themeColor="text1"/>
          <w:sz w:val="16"/>
          <w:szCs w:val="16"/>
        </w:rPr>
      </w:pPr>
      <w:r w:rsidRPr="00507A31">
        <w:rPr>
          <w:color w:val="000000" w:themeColor="text1"/>
          <w:sz w:val="16"/>
          <w:szCs w:val="16"/>
        </w:rPr>
        <w:t>К 31 мая 1930 было готово 34 танка, из которых окончательно сдано было 23. К 18 октября из 305 предусмотренных планом танков было передано на приёмку только 216. В авральном порядке оставшиеся машины достраивались без башен, которые недопоставил Ижорский завод. К утру 1 ноября завод доложил о готовности, в том или ином виде, 312 танков. Но 10 ноября к первому пробегу было предъявлено 238 танков, 151 из которых удалось сдать. Не хватало 82 башен.</w:t>
      </w:r>
    </w:p>
    <w:p w14:paraId="2EEE6ABC" w14:textId="77777777" w:rsidR="008D49AC" w:rsidRPr="00507A31" w:rsidRDefault="008D49AC" w:rsidP="00507A31">
      <w:pPr>
        <w:pStyle w:val="ae"/>
        <w:shd w:val="clear" w:color="auto" w:fill="FFFFFF"/>
        <w:spacing w:before="0" w:after="0"/>
        <w:jc w:val="both"/>
        <w:rPr>
          <w:color w:val="000000" w:themeColor="text1"/>
          <w:sz w:val="16"/>
          <w:szCs w:val="16"/>
        </w:rPr>
      </w:pPr>
      <w:r w:rsidRPr="00507A31">
        <w:rPr>
          <w:color w:val="000000" w:themeColor="text1"/>
          <w:sz w:val="16"/>
          <w:szCs w:val="16"/>
        </w:rPr>
        <w:t>Такое положение вещей спровоцировало проверку силами ОГПУ и стало причиной первой волны репрессий, которые прокатилась по советским танкостроителям. Пострадали ответственные исполнители на «Большевике», Ижорском заводе и других предприятиях. Арестованными оказались и некоторые сотрудники КБ ОАТ, например, Н.В. Цейц. Реальный объём выпущенных танков составил 305 штук, причём последние из них досдавались позже определённого планом срока.</w:t>
      </w:r>
    </w:p>
    <w:p w14:paraId="0B818D16" w14:textId="77777777" w:rsidR="008D49AC" w:rsidRPr="00507A31" w:rsidRDefault="008D49AC" w:rsidP="00507A31">
      <w:pPr>
        <w:pStyle w:val="ae"/>
        <w:shd w:val="clear" w:color="auto" w:fill="FFFFFF"/>
        <w:spacing w:before="0" w:after="0"/>
        <w:jc w:val="both"/>
        <w:rPr>
          <w:color w:val="000000" w:themeColor="text1"/>
          <w:sz w:val="16"/>
          <w:szCs w:val="16"/>
        </w:rPr>
      </w:pPr>
      <w:r w:rsidRPr="00507A31">
        <w:rPr>
          <w:color w:val="000000" w:themeColor="text1"/>
          <w:sz w:val="16"/>
          <w:szCs w:val="16"/>
        </w:rPr>
        <w:lastRenderedPageBreak/>
        <w:t>Проблемы с производством корпусов сильно тормозили производство Т-18. Интерес вызывает весьма странная отчётность завода. Начиная с осени 1930 года заводские данные существенно расходятся с теми, которые шли в Управление механизации и моторизации Красной армии (УММ). Например, дополнительно (по «особому кварталу») в последние 3 месяца 1930 года завод сдавал 90 танков. Фактически сдавались эти машины вплоть до весны 1931 года. Реальный объём выпуска Т-18 в этот период, включая 12 танков, сданных Мотовилихинским машиностроительным заводом, составил 317+90 машин, то есть 407 танков. В ряде справочников указывается, что 317 танков было произведено в 1929 и 90 — в 1930 годах, связано это с изменением системы учёта выпуска. На самом деле эти 407 танков выпускались в 1930 году и в начале 1931 года.</w:t>
      </w:r>
    </w:p>
    <w:p w14:paraId="040E2FDB" w14:textId="77777777" w:rsidR="008D49AC" w:rsidRPr="00507A31" w:rsidRDefault="008D49AC" w:rsidP="00507A31">
      <w:pPr>
        <w:pStyle w:val="ae"/>
        <w:shd w:val="clear" w:color="auto" w:fill="FFFFFF"/>
        <w:spacing w:before="0" w:after="0"/>
        <w:jc w:val="both"/>
        <w:rPr>
          <w:color w:val="000000" w:themeColor="text1"/>
          <w:sz w:val="16"/>
          <w:szCs w:val="16"/>
        </w:rPr>
      </w:pPr>
      <w:r w:rsidRPr="00507A31">
        <w:rPr>
          <w:color w:val="000000" w:themeColor="text1"/>
          <w:sz w:val="16"/>
          <w:szCs w:val="16"/>
        </w:rPr>
        <w:t>Выпуск танков «особого квартала» совпал с внедрением в конструкцию изменений, которые должны были получить танки четвёртой производственной серии. Была усилена подвеска, установлена наконец 4-скоростная коробка передач. В ноябре 1930 года прошли испытания трёх типов ведущих колёс. Наиболее удачным оказалось 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2F4E9424" w14:textId="77777777" w:rsidR="008D49AC" w:rsidRPr="00507A31" w:rsidRDefault="008D49AC" w:rsidP="00507A31">
      <w:pPr>
        <w:jc w:val="both"/>
        <w:rPr>
          <w:color w:val="000000" w:themeColor="text1"/>
          <w:sz w:val="16"/>
          <w:szCs w:val="16"/>
        </w:rPr>
      </w:pPr>
    </w:p>
    <w:p w14:paraId="7495E9AA" w14:textId="77777777" w:rsidR="00D751A1" w:rsidRPr="00507A31" w:rsidRDefault="00D751A1" w:rsidP="00507A31">
      <w:pPr>
        <w:jc w:val="both"/>
        <w:rPr>
          <w:color w:val="000000" w:themeColor="text1"/>
          <w:sz w:val="16"/>
          <w:szCs w:val="16"/>
        </w:rPr>
      </w:pPr>
      <w:r w:rsidRPr="00507A31">
        <w:rPr>
          <w:color w:val="000000" w:themeColor="text1"/>
          <w:sz w:val="16"/>
          <w:szCs w:val="16"/>
        </w:rPr>
        <w:t xml:space="preserve">31 мая </w:t>
      </w:r>
      <w:smartTag w:uri="urn:schemas-microsoft-com:office:smarttags" w:element="metricconverter">
        <w:smartTagPr>
          <w:attr w:name="ProductID" w:val="1929 г"/>
        </w:smartTagPr>
        <w:r w:rsidRPr="00507A31">
          <w:rPr>
            <w:color w:val="000000" w:themeColor="text1"/>
            <w:sz w:val="16"/>
            <w:szCs w:val="16"/>
          </w:rPr>
          <w:t>1929 г</w:t>
        </w:r>
      </w:smartTag>
      <w:r w:rsidRPr="00507A31">
        <w:rPr>
          <w:color w:val="000000" w:themeColor="text1"/>
          <w:sz w:val="16"/>
          <w:szCs w:val="16"/>
        </w:rPr>
        <w:t xml:space="preserve">. в г. Дирборне (США) между Г. Фордом и делегацией ВСНХ СССР был подписан договор. Советская сторона получала от компании техническую помощь при строительстве и пуске нового завода, право на изготовление моделей «Форд» и возможность обучения в США специалистов. Был установлен девятилетный срок технического сотрудничества. Разрешался доступ на заводы компании советских специалистов в количестве 50 человек ежегодно (Горьковский автомобильный / редкол.: И.И. Киселев, В.Я. Доброхотов,  А.В. Новиков и др. / науч. ред. В.Я. Доброхотов. – М.: Мысль, 1981. –  С. 11.). В качество оплаты советская сторона давала обязательство приобрести в течение четырех лет 72 тыс. комплектов деталей, из которых до начала пуска нового завода должны были собираться легковые автомобили «Форд-А» и грузовики «Форд-АА». Для этого в Нижнем Новгороде был переоборудован завод «Гудок Октября». На нем предстояло собирать ежегодно по 12 тыс. автомобилей из фордовских деталей. Первые машины были выпущены уже в феврале </w:t>
      </w:r>
      <w:smartTag w:uri="urn:schemas-microsoft-com:office:smarttags" w:element="metricconverter">
        <w:smartTagPr>
          <w:attr w:name="ProductID" w:val="1930 г"/>
        </w:smartTagPr>
        <w:r w:rsidRPr="00507A31">
          <w:rPr>
            <w:color w:val="000000" w:themeColor="text1"/>
            <w:sz w:val="16"/>
            <w:szCs w:val="16"/>
          </w:rPr>
          <w:t>1930 г</w:t>
        </w:r>
      </w:smartTag>
      <w:r w:rsidRPr="00507A31">
        <w:rPr>
          <w:color w:val="000000" w:themeColor="text1"/>
          <w:sz w:val="16"/>
          <w:szCs w:val="16"/>
        </w:rPr>
        <w:t>. (15218).</w:t>
      </w:r>
    </w:p>
    <w:p w14:paraId="36320EA0" w14:textId="77777777" w:rsidR="00D751A1" w:rsidRPr="00507A31" w:rsidRDefault="00D751A1" w:rsidP="00507A31">
      <w:pPr>
        <w:jc w:val="both"/>
        <w:rPr>
          <w:color w:val="000000" w:themeColor="text1"/>
          <w:sz w:val="16"/>
          <w:szCs w:val="16"/>
        </w:rPr>
      </w:pPr>
    </w:p>
    <w:p w14:paraId="3967F14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3A12DBA" w14:textId="77777777" w:rsidR="00537E5F" w:rsidRPr="00507A31" w:rsidRDefault="00537E5F" w:rsidP="00507A31">
      <w:pPr>
        <w:autoSpaceDE w:val="0"/>
        <w:autoSpaceDN w:val="0"/>
        <w:adjustRightInd w:val="0"/>
        <w:jc w:val="both"/>
        <w:rPr>
          <w:iCs/>
          <w:color w:val="000000" w:themeColor="text1"/>
          <w:sz w:val="16"/>
          <w:szCs w:val="16"/>
        </w:rPr>
      </w:pPr>
    </w:p>
    <w:p w14:paraId="396424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концу мая 1930 приемку на заводе № 1 прошли 9 самолетов Р-5, а всю 1-ю серию завершили к 11 августа. На всех машинах стояли импортные моторы BMW VI и пулеметы "Льюис" на турели (кроме самолета, сданного в НИИ ВВС). Подфюзеляжные бомбодержатели отсутствовали, комплектация приборами была неполной. После поступления сообщения из НИИ ВВС о проблемах с охлаждением приемка успела задержать две машины, на которых поставили радиаторы с шестигранными трубками. С восьмой машины 1-й серии начали монтировать навигационные огни и подсветку кабин. Генератор работал от ветрянки, т.е. мог использоваться только в полете. Все электрооборудование было импортным (11936).</w:t>
      </w:r>
    </w:p>
    <w:p w14:paraId="51C9794B" w14:textId="77777777" w:rsidR="00537E5F" w:rsidRPr="00507A31" w:rsidRDefault="00537E5F" w:rsidP="00507A31">
      <w:pPr>
        <w:autoSpaceDE w:val="0"/>
        <w:autoSpaceDN w:val="0"/>
        <w:adjustRightInd w:val="0"/>
        <w:jc w:val="both"/>
        <w:rPr>
          <w:color w:val="000000" w:themeColor="text1"/>
          <w:sz w:val="16"/>
          <w:szCs w:val="16"/>
        </w:rPr>
      </w:pPr>
    </w:p>
    <w:p w14:paraId="393F24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концу мая месяца 1930 приемку прошли девять самолетов Р-5, а всю 1-ю серию завершили к 11 августа. На всех машинах стояли импортные моторы BMW VI и пулеметы "Лыоис" на задней турели (кроме самолета, сданного в НИИ ВВС). Подфюзеляжныс бомбодержатели Дер-13 отсутствовали, комплектация приборами была неполной. После поступления сообщения из НИИ ВВС о перегреве воды в моторе военная приемка успела задержать две машины, с № 4146 и № 4147. На них поставили радиаторы с шестигранными трубками. Эти самолеты потом очень хорошо проявили себя на войсковых испытаниях. С восьмой машины 1-й серии начали монтировать навигационные огни и подсветку кабин для ночных полетов. Генератор работа! от ветрянки, то есть мог использоваться только в полете. Все электрооборудование было импортным. в основном,немецким.</w:t>
      </w:r>
    </w:p>
    <w:p w14:paraId="46688F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Головным образцом 2-й серии стала машина № 4151. 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бал- ки Дер-13 rio-прежнему отсутствовали. Эта машина 15-25 июня 1930 г.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345620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6729CA21" w14:textId="77777777" w:rsidR="00537E5F" w:rsidRPr="00507A31" w:rsidRDefault="00537E5F" w:rsidP="00507A31">
      <w:pPr>
        <w:autoSpaceDE w:val="0"/>
        <w:autoSpaceDN w:val="0"/>
        <w:adjustRightInd w:val="0"/>
        <w:jc w:val="both"/>
        <w:rPr>
          <w:color w:val="000000" w:themeColor="text1"/>
          <w:sz w:val="16"/>
          <w:szCs w:val="16"/>
        </w:rPr>
      </w:pPr>
    </w:p>
    <w:p w14:paraId="493C48F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8C780E0" w14:textId="77777777" w:rsidR="00537E5F" w:rsidRPr="00507A31" w:rsidRDefault="00537E5F" w:rsidP="00507A31">
      <w:pPr>
        <w:autoSpaceDE w:val="0"/>
        <w:autoSpaceDN w:val="0"/>
        <w:adjustRightInd w:val="0"/>
        <w:jc w:val="both"/>
        <w:rPr>
          <w:iCs/>
          <w:color w:val="000000" w:themeColor="text1"/>
          <w:sz w:val="16"/>
          <w:szCs w:val="16"/>
        </w:rPr>
      </w:pPr>
    </w:p>
    <w:p w14:paraId="08A7C8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мая 1930 конструктор АНИИ К.М.Иванов предложил проект танка огневого сопровождения, который понравился большинству заказчиков (6469, 12).</w:t>
      </w:r>
    </w:p>
    <w:p w14:paraId="27CD2A25" w14:textId="77777777" w:rsidR="00537E5F" w:rsidRPr="00507A31" w:rsidRDefault="00537E5F" w:rsidP="00507A31">
      <w:pPr>
        <w:autoSpaceDE w:val="0"/>
        <w:autoSpaceDN w:val="0"/>
        <w:adjustRightInd w:val="0"/>
        <w:jc w:val="both"/>
        <w:rPr>
          <w:color w:val="000000" w:themeColor="text1"/>
          <w:sz w:val="16"/>
          <w:szCs w:val="16"/>
        </w:rPr>
      </w:pPr>
    </w:p>
    <w:p w14:paraId="04D690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концу мая 1930 г. еще до воз</w:t>
      </w:r>
      <w:r w:rsidRPr="00507A31">
        <w:rPr>
          <w:color w:val="000000" w:themeColor="text1"/>
          <w:sz w:val="16"/>
          <w:szCs w:val="16"/>
        </w:rPr>
        <w:softHyphen/>
        <w:t>вращения «закупочной комиссии» Первые танкетки Виккерс были доставлены в СССР (10733,141).</w:t>
      </w:r>
    </w:p>
    <w:p w14:paraId="366CAE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26B79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конце мая 1930 года всесоюзное объединение «Сталь» поручило Гипромезу приступить к проектированию Ново-Тагильского металлургического завода (комбината, далее - НТМК). 1 сентября 1930 года было издано постановление №385 СНК СССР за подписью председателя Совнаркома А. И. Рыкова, которое обязывало ВСНХ и Госплан СССР обеспечить работы по строительству НТМК в Нижнем Тагиле. Между прочим, постановление было принято, когда еще не существовало даже утвержденного проекта предприятия. С этим проектом, кстати, мучаться затем будут еще очень долго (11514). </w:t>
      </w:r>
    </w:p>
    <w:p w14:paraId="702EE1F5" w14:textId="77777777" w:rsidR="00537E5F" w:rsidRPr="00507A31" w:rsidRDefault="00537E5F" w:rsidP="00507A31">
      <w:pPr>
        <w:autoSpaceDE w:val="0"/>
        <w:autoSpaceDN w:val="0"/>
        <w:adjustRightInd w:val="0"/>
        <w:jc w:val="both"/>
        <w:rPr>
          <w:color w:val="000000" w:themeColor="text1"/>
          <w:sz w:val="16"/>
          <w:szCs w:val="16"/>
        </w:rPr>
      </w:pPr>
    </w:p>
    <w:p w14:paraId="519F699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BA1D04A" w14:textId="77777777" w:rsidR="00537E5F" w:rsidRPr="00507A31" w:rsidRDefault="00537E5F" w:rsidP="00507A31">
      <w:pPr>
        <w:autoSpaceDE w:val="0"/>
        <w:autoSpaceDN w:val="0"/>
        <w:adjustRightInd w:val="0"/>
        <w:jc w:val="both"/>
        <w:rPr>
          <w:iCs/>
          <w:color w:val="000000" w:themeColor="text1"/>
          <w:sz w:val="16"/>
          <w:szCs w:val="16"/>
        </w:rPr>
      </w:pPr>
    </w:p>
    <w:p w14:paraId="4F62C6DF" w14:textId="77777777" w:rsidR="006B34A9" w:rsidRPr="00507A31" w:rsidRDefault="006B34A9" w:rsidP="00507A31">
      <w:pPr>
        <w:jc w:val="both"/>
        <w:rPr>
          <w:color w:val="0070C0"/>
          <w:sz w:val="16"/>
          <w:szCs w:val="16"/>
        </w:rPr>
      </w:pPr>
      <w:r w:rsidRPr="00507A31">
        <w:rPr>
          <w:color w:val="0070C0"/>
          <w:sz w:val="16"/>
          <w:szCs w:val="16"/>
          <w:lang w:bidi="ru-RU"/>
        </w:rPr>
        <w:t>С мая 1930 г. в ка</w:t>
      </w:r>
      <w:r w:rsidRPr="00507A31">
        <w:rPr>
          <w:color w:val="0070C0"/>
          <w:sz w:val="16"/>
          <w:szCs w:val="16"/>
          <w:lang w:bidi="ru-RU"/>
        </w:rPr>
        <w:softHyphen/>
        <w:t>честве базы для разработки ТШ-1 стали рассматривать двухмоторный разведчик Р-6 2М-17, хотя первоначально работа по тяжелому бронированному штурмовику в ЦАГИ поначалу велась в по</w:t>
      </w:r>
      <w:r w:rsidRPr="00507A31">
        <w:rPr>
          <w:color w:val="0070C0"/>
          <w:sz w:val="16"/>
          <w:szCs w:val="16"/>
          <w:lang w:bidi="ru-RU"/>
        </w:rPr>
        <w:softHyphen/>
        <w:t>рядке модификации серийного бомбар</w:t>
      </w:r>
      <w:r w:rsidRPr="00507A31">
        <w:rPr>
          <w:color w:val="0070C0"/>
          <w:sz w:val="16"/>
          <w:szCs w:val="16"/>
          <w:lang w:bidi="ru-RU"/>
        </w:rPr>
        <w:softHyphen/>
        <w:t>дировщика ТБ-1. но Эскизный проект ТШ-1 был за</w:t>
      </w:r>
      <w:r w:rsidRPr="00507A31">
        <w:rPr>
          <w:color w:val="0070C0"/>
          <w:sz w:val="16"/>
          <w:szCs w:val="16"/>
          <w:lang w:bidi="ru-RU"/>
        </w:rPr>
        <w:softHyphen/>
        <w:t>кончен к 23 июня.</w:t>
      </w:r>
    </w:p>
    <w:p w14:paraId="1B743B2C" w14:textId="77777777" w:rsidR="006B34A9" w:rsidRPr="00507A31" w:rsidRDefault="006B34A9" w:rsidP="00507A31">
      <w:pPr>
        <w:jc w:val="both"/>
        <w:rPr>
          <w:color w:val="0070C0"/>
          <w:sz w:val="16"/>
          <w:szCs w:val="16"/>
        </w:rPr>
      </w:pPr>
      <w:r w:rsidRPr="00507A31">
        <w:rPr>
          <w:color w:val="0070C0"/>
          <w:sz w:val="16"/>
          <w:szCs w:val="16"/>
          <w:lang w:bidi="ru-RU"/>
        </w:rPr>
        <w:t>Броней были защищены рабочие места летчика, штурмана-бомбардира, стрелка-радиста, а также моторы и бензо</w:t>
      </w:r>
      <w:r w:rsidRPr="00507A31">
        <w:rPr>
          <w:color w:val="0070C0"/>
          <w:sz w:val="16"/>
          <w:szCs w:val="16"/>
          <w:lang w:bidi="ru-RU"/>
        </w:rPr>
        <w:softHyphen/>
        <w:t>баки. Общий вес брони составлял около 1000 кг, из них 360 кг входили в силовую схему конструкции самолета. Броневые листы пола имели толщину 4,5 мм, боко</w:t>
      </w:r>
      <w:r w:rsidRPr="00507A31">
        <w:rPr>
          <w:color w:val="0070C0"/>
          <w:sz w:val="16"/>
          <w:szCs w:val="16"/>
          <w:lang w:bidi="ru-RU"/>
        </w:rPr>
        <w:softHyphen/>
        <w:t>вая броня - 3,5 мм, броня со стороны зад</w:t>
      </w:r>
      <w:r w:rsidRPr="00507A31">
        <w:rPr>
          <w:color w:val="0070C0"/>
          <w:sz w:val="16"/>
          <w:szCs w:val="16"/>
          <w:lang w:bidi="ru-RU"/>
        </w:rPr>
        <w:softHyphen/>
        <w:t>ней полусферы - 8 мм.</w:t>
      </w:r>
    </w:p>
    <w:p w14:paraId="550EB883" w14:textId="77777777" w:rsidR="006B34A9" w:rsidRPr="00507A31" w:rsidRDefault="006B34A9" w:rsidP="00507A31">
      <w:pPr>
        <w:jc w:val="both"/>
        <w:rPr>
          <w:color w:val="0070C0"/>
          <w:sz w:val="16"/>
          <w:szCs w:val="16"/>
        </w:rPr>
      </w:pPr>
      <w:r w:rsidRPr="00507A31">
        <w:rPr>
          <w:color w:val="0070C0"/>
          <w:sz w:val="16"/>
          <w:szCs w:val="16"/>
          <w:lang w:bidi="ru-RU"/>
        </w:rPr>
        <w:t>Толщины броневых листов выбра</w:t>
      </w:r>
      <w:r w:rsidRPr="00507A31">
        <w:rPr>
          <w:color w:val="0070C0"/>
          <w:sz w:val="16"/>
          <w:szCs w:val="16"/>
          <w:lang w:bidi="ru-RU"/>
        </w:rPr>
        <w:softHyphen/>
        <w:t>лись на основе информации, получен</w:t>
      </w:r>
      <w:r w:rsidRPr="00507A31">
        <w:rPr>
          <w:color w:val="0070C0"/>
          <w:sz w:val="16"/>
          <w:szCs w:val="16"/>
          <w:lang w:bidi="ru-RU"/>
        </w:rPr>
        <w:softHyphen/>
        <w:t>ной на Ижорском заводе. По воспомина</w:t>
      </w:r>
      <w:r w:rsidRPr="00507A31">
        <w:rPr>
          <w:color w:val="0070C0"/>
          <w:sz w:val="16"/>
          <w:szCs w:val="16"/>
          <w:lang w:bidi="ru-RU"/>
        </w:rPr>
        <w:softHyphen/>
        <w:t>ниям М.Б. Саукке, для выяснения характе</w:t>
      </w:r>
      <w:r w:rsidRPr="00507A31">
        <w:rPr>
          <w:color w:val="0070C0"/>
          <w:sz w:val="16"/>
          <w:szCs w:val="16"/>
          <w:lang w:bidi="ru-RU"/>
        </w:rPr>
        <w:softHyphen/>
        <w:t>ристик брони и определения минимально возможных толщин броневых листов на Ижорский завод выезжал инженер ЦАГИ И.Л. Головин. Там Головин ознакомился с технологией изготовления брони и уча</w:t>
      </w:r>
      <w:r w:rsidRPr="00507A31">
        <w:rPr>
          <w:color w:val="0070C0"/>
          <w:sz w:val="16"/>
          <w:szCs w:val="16"/>
          <w:lang w:bidi="ru-RU"/>
        </w:rPr>
        <w:softHyphen/>
        <w:t>ствовал при проведении контрольных стрельб по бронеплитам разной толщины.</w:t>
      </w:r>
    </w:p>
    <w:p w14:paraId="30C955E7" w14:textId="77777777" w:rsidR="006B34A9" w:rsidRPr="00507A31" w:rsidRDefault="006B34A9" w:rsidP="00507A31">
      <w:pPr>
        <w:jc w:val="both"/>
        <w:rPr>
          <w:color w:val="0070C0"/>
          <w:sz w:val="16"/>
          <w:szCs w:val="16"/>
        </w:rPr>
      </w:pPr>
      <w:r w:rsidRPr="00507A31">
        <w:rPr>
          <w:color w:val="0070C0"/>
          <w:sz w:val="16"/>
          <w:szCs w:val="16"/>
          <w:lang w:bidi="ru-RU"/>
        </w:rPr>
        <w:t>Поскольку Ижорский завод брался за прокат брони толщиной не менее 4,5 мм, то по заданию ЦАГИ на московском за</w:t>
      </w:r>
      <w:r w:rsidRPr="00507A31">
        <w:rPr>
          <w:color w:val="0070C0"/>
          <w:sz w:val="16"/>
          <w:szCs w:val="16"/>
          <w:lang w:bidi="ru-RU"/>
        </w:rPr>
        <w:softHyphen/>
        <w:t>воде «Серп и Молот» была прокатана броневая сталь толщиной от 8 мм до 2 мм только при одном нагреве.</w:t>
      </w:r>
    </w:p>
    <w:p w14:paraId="36F1505E" w14:textId="77777777" w:rsidR="006B34A9" w:rsidRPr="00507A31" w:rsidRDefault="006B34A9" w:rsidP="00507A31">
      <w:pPr>
        <w:jc w:val="both"/>
        <w:rPr>
          <w:color w:val="0070C0"/>
          <w:sz w:val="16"/>
          <w:szCs w:val="16"/>
        </w:rPr>
      </w:pPr>
      <w:r w:rsidRPr="00507A31">
        <w:rPr>
          <w:color w:val="0070C0"/>
          <w:sz w:val="16"/>
          <w:szCs w:val="16"/>
          <w:lang w:bidi="ru-RU"/>
        </w:rPr>
        <w:t>В НИИ ВВС провели «опыты по ис</w:t>
      </w:r>
      <w:r w:rsidRPr="00507A31">
        <w:rPr>
          <w:color w:val="0070C0"/>
          <w:sz w:val="16"/>
          <w:szCs w:val="16"/>
          <w:lang w:bidi="ru-RU"/>
        </w:rPr>
        <w:softHyphen/>
        <w:t>пытанию брони стрельбой из пулемета». Исследовались условия «попадания пуль при обстреле брони под разными углами».</w:t>
      </w:r>
    </w:p>
    <w:p w14:paraId="62A4EAA2" w14:textId="77777777" w:rsidR="006B34A9" w:rsidRPr="00507A31" w:rsidRDefault="006B34A9" w:rsidP="00507A31">
      <w:pPr>
        <w:jc w:val="both"/>
        <w:rPr>
          <w:color w:val="0070C0"/>
          <w:sz w:val="16"/>
          <w:szCs w:val="16"/>
        </w:rPr>
      </w:pPr>
      <w:r w:rsidRPr="00507A31">
        <w:rPr>
          <w:color w:val="0070C0"/>
          <w:sz w:val="16"/>
          <w:szCs w:val="16"/>
          <w:lang w:bidi="ru-RU"/>
        </w:rPr>
        <w:t>Аэродинамический расчет был вы</w:t>
      </w:r>
      <w:r w:rsidRPr="00507A31">
        <w:rPr>
          <w:color w:val="0070C0"/>
          <w:sz w:val="16"/>
          <w:szCs w:val="16"/>
          <w:lang w:bidi="ru-RU"/>
        </w:rPr>
        <w:softHyphen/>
        <w:t>полнен по 10 вариантам компоновки са</w:t>
      </w:r>
      <w:r w:rsidRPr="00507A31">
        <w:rPr>
          <w:color w:val="0070C0"/>
          <w:sz w:val="16"/>
          <w:szCs w:val="16"/>
          <w:lang w:bidi="ru-RU"/>
        </w:rPr>
        <w:softHyphen/>
        <w:t>молета с разными моторами, весами на</w:t>
      </w:r>
      <w:r w:rsidRPr="00507A31">
        <w:rPr>
          <w:color w:val="0070C0"/>
          <w:sz w:val="16"/>
          <w:szCs w:val="16"/>
          <w:lang w:bidi="ru-RU"/>
        </w:rPr>
        <w:softHyphen/>
        <w:t>грузок и бронирования, в том числе: че</w:t>
      </w:r>
      <w:r w:rsidRPr="00507A31">
        <w:rPr>
          <w:color w:val="0070C0"/>
          <w:sz w:val="16"/>
          <w:szCs w:val="16"/>
          <w:lang w:bidi="ru-RU"/>
        </w:rPr>
        <w:softHyphen/>
        <w:t>тыре - с М-34 (750 л.с.),три - с Изота-Фра- скини АССО-750 (800 л.с.), один - с БМВ-6 (680 л.с.), и два - с БМВ-9 (800 л.с.). Луч</w:t>
      </w:r>
      <w:r w:rsidRPr="00507A31">
        <w:rPr>
          <w:color w:val="0070C0"/>
          <w:sz w:val="16"/>
          <w:szCs w:val="16"/>
          <w:lang w:bidi="ru-RU"/>
        </w:rPr>
        <w:softHyphen/>
        <w:t>шим оказался вариант с моторами АССО-750. С этими моторами полетный вес штурмовика составлял 5500-6000 кг.</w:t>
      </w:r>
    </w:p>
    <w:p w14:paraId="6BCA2370" w14:textId="77777777" w:rsidR="006B34A9" w:rsidRPr="00507A31" w:rsidRDefault="006B34A9" w:rsidP="00507A31">
      <w:pPr>
        <w:jc w:val="both"/>
        <w:rPr>
          <w:color w:val="0070C0"/>
          <w:sz w:val="16"/>
          <w:szCs w:val="16"/>
          <w:lang w:bidi="ru-RU"/>
        </w:rPr>
      </w:pPr>
      <w:r w:rsidRPr="00507A31">
        <w:rPr>
          <w:color w:val="0070C0"/>
          <w:sz w:val="16"/>
          <w:szCs w:val="16"/>
          <w:lang w:bidi="ru-RU"/>
        </w:rPr>
        <w:t>При проектировании встретились большие трудности по весовой увязке и центровке самолета: «вынесение стрелка вперед за моторы вызывало необходи</w:t>
      </w:r>
      <w:r w:rsidRPr="00507A31">
        <w:rPr>
          <w:color w:val="0070C0"/>
          <w:sz w:val="16"/>
          <w:szCs w:val="16"/>
          <w:lang w:bidi="ru-RU"/>
        </w:rPr>
        <w:softHyphen/>
        <w:t>мость большего перемещения задней ту</w:t>
      </w:r>
      <w:r w:rsidRPr="00507A31">
        <w:rPr>
          <w:color w:val="0070C0"/>
          <w:sz w:val="16"/>
          <w:szCs w:val="16"/>
          <w:lang w:bidi="ru-RU"/>
        </w:rPr>
        <w:softHyphen/>
        <w:t>рели к хвосту самолета» (21062).</w:t>
      </w:r>
    </w:p>
    <w:p w14:paraId="6334BC7F" w14:textId="77777777" w:rsidR="000B7E96" w:rsidRPr="00507A31" w:rsidRDefault="000B7E96" w:rsidP="00507A31">
      <w:pPr>
        <w:pStyle w:val="a8"/>
        <w:jc w:val="both"/>
        <w:rPr>
          <w:rFonts w:ascii="Times New Roman" w:hAnsi="Times New Roman" w:cs="Times New Roman"/>
          <w:color w:val="000000" w:themeColor="text1"/>
        </w:rPr>
      </w:pPr>
    </w:p>
    <w:p w14:paraId="7ABC4885" w14:textId="77777777" w:rsidR="000B7E96" w:rsidRPr="00507A31" w:rsidRDefault="000B7E96" w:rsidP="00507A31">
      <w:pPr>
        <w:autoSpaceDE w:val="0"/>
        <w:autoSpaceDN w:val="0"/>
        <w:adjustRightInd w:val="0"/>
        <w:jc w:val="both"/>
        <w:rPr>
          <w:color w:val="000000" w:themeColor="text1"/>
          <w:sz w:val="16"/>
          <w:szCs w:val="16"/>
        </w:rPr>
      </w:pPr>
      <w:r w:rsidRPr="00507A31">
        <w:rPr>
          <w:color w:val="000000" w:themeColor="text1"/>
          <w:sz w:val="16"/>
          <w:szCs w:val="16"/>
        </w:rPr>
        <w:t>В мае 1930 ЦАГИ начал эскизное проектирование ТБ-4 (АНТ-16) (7388, 7).</w:t>
      </w:r>
    </w:p>
    <w:p w14:paraId="24372236" w14:textId="77777777" w:rsidR="000B7E96" w:rsidRPr="00507A31" w:rsidRDefault="000B7E96" w:rsidP="00507A31">
      <w:pPr>
        <w:autoSpaceDE w:val="0"/>
        <w:autoSpaceDN w:val="0"/>
        <w:adjustRightInd w:val="0"/>
        <w:jc w:val="both"/>
        <w:rPr>
          <w:color w:val="000000" w:themeColor="text1"/>
          <w:sz w:val="16"/>
          <w:szCs w:val="16"/>
        </w:rPr>
      </w:pPr>
    </w:p>
    <w:p w14:paraId="39C0A7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 но опять с поправкой на другой масштаб (12024).</w:t>
      </w:r>
    </w:p>
    <w:p w14:paraId="2EDF686D" w14:textId="77777777" w:rsidR="00537E5F" w:rsidRPr="00507A31" w:rsidRDefault="00537E5F" w:rsidP="00507A31">
      <w:pPr>
        <w:autoSpaceDE w:val="0"/>
        <w:autoSpaceDN w:val="0"/>
        <w:adjustRightInd w:val="0"/>
        <w:jc w:val="both"/>
        <w:rPr>
          <w:color w:val="000000" w:themeColor="text1"/>
          <w:sz w:val="16"/>
          <w:szCs w:val="16"/>
        </w:rPr>
      </w:pPr>
    </w:p>
    <w:p w14:paraId="4BB5F8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 И-6 был готов. Он имел фюзеляж-монокок овального сечения, выклеенный из шпона. Крылья - двухлонжеронные, по конструкции близкие к крыль</w:t>
      </w:r>
      <w:r w:rsidRPr="00507A31">
        <w:rPr>
          <w:color w:val="000000" w:themeColor="text1"/>
          <w:sz w:val="16"/>
          <w:szCs w:val="16"/>
        </w:rPr>
        <w:softHyphen/>
        <w:t>ям И-3. Шасси - пирамидальное с резиновой амортиза</w:t>
      </w:r>
      <w:r w:rsidRPr="00507A31">
        <w:rPr>
          <w:color w:val="000000" w:themeColor="text1"/>
          <w:sz w:val="16"/>
          <w:szCs w:val="16"/>
        </w:rPr>
        <w:softHyphen/>
        <w:t>цией. Моторная рама - шестистержневая, шарнирная, статически определимая, спроектированная по предло</w:t>
      </w:r>
      <w:r w:rsidRPr="00507A31">
        <w:rPr>
          <w:color w:val="000000" w:themeColor="text1"/>
          <w:sz w:val="16"/>
          <w:szCs w:val="16"/>
        </w:rPr>
        <w:softHyphen/>
        <w:t>жению инженера И.А.Тавастшерна. Это позволило вы</w:t>
      </w:r>
      <w:r w:rsidRPr="00507A31">
        <w:rPr>
          <w:color w:val="000000" w:themeColor="text1"/>
          <w:sz w:val="16"/>
          <w:szCs w:val="16"/>
        </w:rPr>
        <w:softHyphen/>
        <w:t>полнить ее точный расчет и сделать сравнительно легкой. Головки цилиндров закрывались индивидуаль</w:t>
      </w:r>
      <w:r w:rsidRPr="00507A31">
        <w:rPr>
          <w:color w:val="000000" w:themeColor="text1"/>
          <w:sz w:val="16"/>
          <w:szCs w:val="16"/>
        </w:rPr>
        <w:softHyphen/>
        <w:t>ными обтекателями. Полетный вес самолета составлял 1418 кг, вес пустого был равен 1023 кг (10667).</w:t>
      </w:r>
    </w:p>
    <w:p w14:paraId="1F0D736C" w14:textId="77777777" w:rsidR="00537E5F" w:rsidRPr="00507A31" w:rsidRDefault="00537E5F" w:rsidP="00507A31">
      <w:pPr>
        <w:autoSpaceDE w:val="0"/>
        <w:autoSpaceDN w:val="0"/>
        <w:adjustRightInd w:val="0"/>
        <w:jc w:val="both"/>
        <w:rPr>
          <w:color w:val="000000" w:themeColor="text1"/>
          <w:sz w:val="16"/>
          <w:szCs w:val="16"/>
        </w:rPr>
      </w:pPr>
    </w:p>
    <w:p w14:paraId="73D281C9" w14:textId="77777777" w:rsidR="000B7E96" w:rsidRPr="00507A31" w:rsidRDefault="000B7E96" w:rsidP="00507A31">
      <w:pPr>
        <w:jc w:val="both"/>
        <w:rPr>
          <w:color w:val="000000" w:themeColor="text1"/>
          <w:sz w:val="16"/>
          <w:szCs w:val="16"/>
        </w:rPr>
      </w:pPr>
      <w:r w:rsidRPr="00507A31">
        <w:rPr>
          <w:color w:val="000000" w:themeColor="text1"/>
          <w:sz w:val="16"/>
          <w:szCs w:val="16"/>
        </w:rPr>
        <w:lastRenderedPageBreak/>
        <w:t>В мае 1930 года 1-й экземпляр истребителя И-6 был построен. Первый полет на нем совершил летчик-испытатель завода № 25 А.Д. Ширинкин (известный в то время летчик – герой Гражданской войны). Полет прошел успешно, и заводские испытания были продолжены. При выполнении задания по определению скороподъемности И-6, Ширинкин, выполняя переворот с иммельманом, не справился с управлением и покинул самолет на парашюте. В отвесном пикировании истребитель упал на территорию Центрального аэродрома и разбился.</w:t>
      </w:r>
    </w:p>
    <w:p w14:paraId="6DC9EAB0" w14:textId="77777777" w:rsidR="000B7E96" w:rsidRPr="00507A31" w:rsidRDefault="000B7E96" w:rsidP="00507A31">
      <w:pPr>
        <w:jc w:val="both"/>
        <w:rPr>
          <w:color w:val="000000" w:themeColor="text1"/>
          <w:sz w:val="16"/>
          <w:szCs w:val="16"/>
        </w:rPr>
      </w:pPr>
      <w:r w:rsidRPr="00507A31">
        <w:rPr>
          <w:color w:val="000000" w:themeColor="text1"/>
          <w:sz w:val="16"/>
          <w:szCs w:val="16"/>
        </w:rPr>
        <w:t>Вскоре прошли заводские испытания 2-го экземпляра И-6. Подготовку к Государственным испытаниям этого экземпляра проводились уже на заводе № 39 под руководством С.А. Кочеригина. В начале октября 1930 года истребитель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(18293).</w:t>
      </w:r>
    </w:p>
    <w:p w14:paraId="763D46B7" w14:textId="77777777" w:rsidR="000B7E96" w:rsidRPr="00507A31" w:rsidRDefault="000B7E96" w:rsidP="00507A31">
      <w:pPr>
        <w:jc w:val="both"/>
        <w:rPr>
          <w:color w:val="000000" w:themeColor="text1"/>
          <w:sz w:val="16"/>
          <w:szCs w:val="16"/>
        </w:rPr>
      </w:pPr>
    </w:p>
    <w:p w14:paraId="6211B82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мае 1930 года ТБ-2 2БМВ-6 вышел из постройки. Машина была начата проектирование с июля 1927 года по устаревшим к 1930 техтребованиям. Самолет перетяжелен, примерно на 950 кг. Причина задержки предъявления на гос. испытания: ряд серьезных дефектов, потребовавших переделок и слабый темп работы ВАО, отчасти объясняется тем, что первые полеты показали непригодность самолет адля вооружения. Ведутся совместные завода № 39 и НИИ испытания по сокращенной программе, на основании которых решено с самолета моторы снять и использовать его по усмотрению ВАО. (Наблюдающий инженер Полехин) (6998).</w:t>
      </w:r>
    </w:p>
    <w:p w14:paraId="5CD343D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FDDFF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мае 1930 г. были оп</w:t>
      </w:r>
      <w:r w:rsidRPr="00507A31">
        <w:rPr>
          <w:color w:val="000000" w:themeColor="text1"/>
          <w:sz w:val="16"/>
          <w:szCs w:val="16"/>
        </w:rPr>
        <w:softHyphen/>
        <w:t>ределены тактико-технические требования на двухместный истребитель ДИ-4 Лавиля. Самолет создавался под впечатлением проходящего испытания немецкого К-47, поэтому подразумевалось, что и отечественный истребитель должен продемонстрировать не худшие показате</w:t>
      </w:r>
      <w:r w:rsidRPr="00507A31">
        <w:rPr>
          <w:color w:val="000000" w:themeColor="text1"/>
          <w:sz w:val="16"/>
          <w:szCs w:val="16"/>
        </w:rPr>
        <w:softHyphen/>
        <w:t>ли. В качестве силовой установки планиро</w:t>
      </w:r>
      <w:r w:rsidRPr="00507A31">
        <w:rPr>
          <w:color w:val="000000" w:themeColor="text1"/>
          <w:sz w:val="16"/>
          <w:szCs w:val="16"/>
        </w:rPr>
        <w:softHyphen/>
        <w:t>валось использовать новый двигатель М-34 мощностью 760 л.с. Самолет с этим мо</w:t>
      </w:r>
      <w:r w:rsidRPr="00507A31">
        <w:rPr>
          <w:color w:val="000000" w:themeColor="text1"/>
          <w:sz w:val="16"/>
          <w:szCs w:val="16"/>
        </w:rPr>
        <w:softHyphen/>
        <w:t>тором должен был иметь следующие хара</w:t>
      </w:r>
      <w:r w:rsidRPr="00507A31">
        <w:rPr>
          <w:color w:val="000000" w:themeColor="text1"/>
          <w:sz w:val="16"/>
          <w:szCs w:val="16"/>
        </w:rPr>
        <w:softHyphen/>
        <w:t>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371BA" w:rsidRPr="00507A31" w14:paraId="45242B71" w14:textId="77777777">
        <w:tc>
          <w:tcPr>
            <w:tcW w:w="4788" w:type="dxa"/>
            <w:tcBorders>
              <w:top w:val="single" w:sz="12" w:space="0" w:color="auto"/>
            </w:tcBorders>
            <w:shd w:val="clear" w:color="auto" w:fill="FFFFFF"/>
          </w:tcPr>
          <w:p w14:paraId="72A633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Скорость на высоте 3000м</w:t>
            </w:r>
          </w:p>
        </w:tc>
        <w:tc>
          <w:tcPr>
            <w:tcW w:w="4788" w:type="dxa"/>
            <w:tcBorders>
              <w:top w:val="single" w:sz="12" w:space="0" w:color="auto"/>
            </w:tcBorders>
            <w:shd w:val="clear" w:color="auto" w:fill="FFFFFF"/>
          </w:tcPr>
          <w:p w14:paraId="6D0A74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 не менее 300-320 км/ч.</w:t>
            </w:r>
          </w:p>
        </w:tc>
      </w:tr>
      <w:tr w:rsidR="00E371BA" w:rsidRPr="00507A31" w14:paraId="58EDB8C1" w14:textId="77777777">
        <w:tc>
          <w:tcPr>
            <w:tcW w:w="4788" w:type="dxa"/>
            <w:shd w:val="clear" w:color="auto" w:fill="FFFFFF"/>
          </w:tcPr>
          <w:p w14:paraId="17A358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Практический потолок</w:t>
            </w:r>
          </w:p>
        </w:tc>
        <w:tc>
          <w:tcPr>
            <w:tcW w:w="4788" w:type="dxa"/>
            <w:shd w:val="clear" w:color="auto" w:fill="FFFFFF"/>
          </w:tcPr>
          <w:p w14:paraId="709681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 не менее 8000 м.</w:t>
            </w:r>
          </w:p>
        </w:tc>
      </w:tr>
      <w:tr w:rsidR="00E371BA" w:rsidRPr="00507A31" w14:paraId="1F48B7B0" w14:textId="77777777">
        <w:tc>
          <w:tcPr>
            <w:tcW w:w="4788" w:type="dxa"/>
            <w:shd w:val="clear" w:color="auto" w:fill="FFFFFF"/>
          </w:tcPr>
          <w:p w14:paraId="32D5BA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набора высоты 5000 м</w:t>
            </w:r>
          </w:p>
        </w:tc>
        <w:tc>
          <w:tcPr>
            <w:tcW w:w="4788" w:type="dxa"/>
            <w:shd w:val="clear" w:color="auto" w:fill="FFFFFF"/>
          </w:tcPr>
          <w:p w14:paraId="4C6379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- 10-12 мин.</w:t>
            </w:r>
          </w:p>
        </w:tc>
      </w:tr>
      <w:tr w:rsidR="00E371BA" w:rsidRPr="00507A31" w14:paraId="258E3628" w14:textId="77777777">
        <w:tc>
          <w:tcPr>
            <w:tcW w:w="4788" w:type="dxa"/>
            <w:shd w:val="clear" w:color="auto" w:fill="FFFFFF"/>
          </w:tcPr>
          <w:p w14:paraId="43BB9E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Дальность</w:t>
            </w:r>
          </w:p>
        </w:tc>
        <w:tc>
          <w:tcPr>
            <w:tcW w:w="4788" w:type="dxa"/>
            <w:shd w:val="clear" w:color="auto" w:fill="FFFFFF"/>
          </w:tcPr>
          <w:p w14:paraId="0FC8CD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- 900-1000 км.</w:t>
            </w:r>
          </w:p>
        </w:tc>
      </w:tr>
      <w:tr w:rsidR="00E371BA" w:rsidRPr="00507A31" w14:paraId="741BE1A5" w14:textId="77777777">
        <w:tc>
          <w:tcPr>
            <w:tcW w:w="4788" w:type="dxa"/>
            <w:shd w:val="clear" w:color="auto" w:fill="FFFFFF"/>
          </w:tcPr>
          <w:p w14:paraId="5BC070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Полезная нагрузка</w:t>
            </w:r>
          </w:p>
        </w:tc>
        <w:tc>
          <w:tcPr>
            <w:tcW w:w="4788" w:type="dxa"/>
            <w:shd w:val="clear" w:color="auto" w:fill="FFFFFF"/>
          </w:tcPr>
          <w:p w14:paraId="009877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- 410 кг.</w:t>
            </w:r>
          </w:p>
        </w:tc>
      </w:tr>
      <w:tr w:rsidR="00E371BA" w:rsidRPr="00507A31" w14:paraId="793606F8" w14:textId="77777777">
        <w:tc>
          <w:tcPr>
            <w:tcW w:w="4788" w:type="dxa"/>
            <w:tcBorders>
              <w:bottom w:val="single" w:sz="12" w:space="0" w:color="auto"/>
            </w:tcBorders>
            <w:shd w:val="clear" w:color="auto" w:fill="FFFFFF"/>
          </w:tcPr>
          <w:p w14:paraId="6CAC72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Оборонительное вооружение</w:t>
            </w:r>
          </w:p>
        </w:tc>
        <w:tc>
          <w:tcPr>
            <w:tcW w:w="4788" w:type="dxa"/>
            <w:tcBorders>
              <w:bottom w:val="single" w:sz="12" w:space="0" w:color="auto"/>
            </w:tcBorders>
            <w:shd w:val="clear" w:color="auto" w:fill="FFFFFF"/>
          </w:tcPr>
          <w:p w14:paraId="2EAE8B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 2 пуле</w:t>
            </w:r>
            <w:r w:rsidRPr="00507A31">
              <w:rPr>
                <w:color w:val="000000" w:themeColor="text1"/>
                <w:sz w:val="16"/>
                <w:szCs w:val="16"/>
              </w:rPr>
              <w:softHyphen/>
              <w:t>мета ДА на ТУР-7.</w:t>
            </w:r>
          </w:p>
        </w:tc>
      </w:tr>
    </w:tbl>
    <w:p w14:paraId="28B64D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качестве наступательного вооруже</w:t>
      </w:r>
      <w:r w:rsidRPr="00507A31">
        <w:rPr>
          <w:color w:val="000000" w:themeColor="text1"/>
          <w:sz w:val="16"/>
          <w:szCs w:val="16"/>
        </w:rPr>
        <w:softHyphen/>
        <w:t>ния предполагалась установить пушку калибром 20-30 мм, но это требование скоро сняли.</w:t>
      </w:r>
    </w:p>
    <w:p w14:paraId="74CB1F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Спустя несколько месяцев после начала работ для самолета выбрали новый двига</w:t>
      </w:r>
      <w:r w:rsidRPr="00507A31">
        <w:rPr>
          <w:color w:val="000000" w:themeColor="text1"/>
          <w:sz w:val="16"/>
          <w:szCs w:val="16"/>
        </w:rPr>
        <w:softHyphen/>
        <w:t>тель — американский Ксртисс «Конкверор» мощностью 625/700 л.с. Именно с этим двигателем во второй половине 1930 г. на</w:t>
      </w:r>
      <w:r w:rsidRPr="00507A31">
        <w:rPr>
          <w:color w:val="000000" w:themeColor="text1"/>
          <w:sz w:val="16"/>
          <w:szCs w:val="16"/>
        </w:rPr>
        <w:softHyphen/>
        <w:t>чалось изготовление ДИ-4. Полноразмср-ный макет самолета рассмотрели и утвер</w:t>
      </w:r>
      <w:r w:rsidRPr="00507A31">
        <w:rPr>
          <w:color w:val="000000" w:themeColor="text1"/>
          <w:sz w:val="16"/>
          <w:szCs w:val="16"/>
        </w:rPr>
        <w:softHyphen/>
        <w:t>дили 17 сентября 1930 г. (11134).</w:t>
      </w:r>
    </w:p>
    <w:p w14:paraId="2F8ED6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5BB883E" w14:textId="77777777" w:rsidR="0086787E" w:rsidRPr="00507A31" w:rsidRDefault="0086787E" w:rsidP="00507A31">
      <w:pPr>
        <w:jc w:val="both"/>
        <w:rPr>
          <w:color w:val="000000" w:themeColor="text1"/>
          <w:sz w:val="16"/>
          <w:szCs w:val="16"/>
        </w:rPr>
      </w:pPr>
      <w:r w:rsidRPr="00507A31">
        <w:rPr>
          <w:color w:val="000000" w:themeColor="text1"/>
          <w:sz w:val="16"/>
          <w:szCs w:val="16"/>
        </w:rPr>
        <w:t>В мае 1930 г. подготовили Тактико-технические требования на двух</w:t>
      </w:r>
      <w:r w:rsidRPr="00507A31">
        <w:rPr>
          <w:color w:val="000000" w:themeColor="text1"/>
          <w:sz w:val="16"/>
          <w:szCs w:val="16"/>
        </w:rPr>
        <w:softHyphen/>
        <w:t>местный истребитель, обозначенный как ДИ-4. Первона</w:t>
      </w:r>
      <w:r w:rsidRPr="00507A31">
        <w:rPr>
          <w:color w:val="000000" w:themeColor="text1"/>
          <w:sz w:val="16"/>
          <w:szCs w:val="16"/>
        </w:rPr>
        <w:softHyphen/>
        <w:t>чально он планировался под новый двига</w:t>
      </w:r>
      <w:r w:rsidRPr="00507A31">
        <w:rPr>
          <w:color w:val="000000" w:themeColor="text1"/>
          <w:sz w:val="16"/>
          <w:szCs w:val="16"/>
        </w:rPr>
        <w:softHyphen/>
        <w:t>тель М-34 мощностью 760 л.с., с которым требовалось обеспечить следующие летные характеристики:</w:t>
      </w:r>
    </w:p>
    <w:tbl>
      <w:tblPr>
        <w:tblW w:w="0" w:type="auto"/>
        <w:tblLayout w:type="fixed"/>
        <w:tblCellMar>
          <w:left w:w="10" w:type="dxa"/>
          <w:right w:w="10" w:type="dxa"/>
        </w:tblCellMar>
        <w:tblLook w:val="0000" w:firstRow="0" w:lastRow="0" w:firstColumn="0" w:lastColumn="0" w:noHBand="0" w:noVBand="0"/>
      </w:tblPr>
      <w:tblGrid>
        <w:gridCol w:w="2398"/>
        <w:gridCol w:w="1242"/>
      </w:tblGrid>
      <w:tr w:rsidR="00E371BA" w:rsidRPr="00507A31" w14:paraId="02DCB1FD" w14:textId="77777777" w:rsidTr="005E17EC">
        <w:trPr>
          <w:trHeight w:val="270"/>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56666AB8"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на высоте 3000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3218F787"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300-320 км/ч</w:t>
            </w:r>
          </w:p>
        </w:tc>
      </w:tr>
      <w:tr w:rsidR="00E371BA" w:rsidRPr="00507A31" w14:paraId="323AF11D" w14:textId="77777777" w:rsidTr="005E17EC">
        <w:trPr>
          <w:trHeight w:val="259"/>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67A4F65F"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Практический потолок</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3E8C94F3"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8000 м</w:t>
            </w:r>
          </w:p>
        </w:tc>
      </w:tr>
      <w:tr w:rsidR="00E371BA" w:rsidRPr="00507A31" w14:paraId="13E1A5F1" w14:textId="77777777" w:rsidTr="005E17EC">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1A40C047"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5000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411D15FF"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10-12 мин.</w:t>
            </w:r>
          </w:p>
        </w:tc>
      </w:tr>
      <w:tr w:rsidR="00E371BA" w:rsidRPr="00507A31" w14:paraId="0FE2C3C3" w14:textId="77777777" w:rsidTr="005E17EC">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52A7BAE8"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Дальность</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07BA4481"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900-1000 км</w:t>
            </w:r>
          </w:p>
        </w:tc>
      </w:tr>
      <w:tr w:rsidR="00E371BA" w:rsidRPr="00507A31" w14:paraId="5EF6E55F" w14:textId="77777777" w:rsidTr="005E17EC">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097CBA7A"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Полезная нагрузка</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110A9B5C"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410 кг</w:t>
            </w:r>
          </w:p>
        </w:tc>
      </w:tr>
      <w:tr w:rsidR="00E371BA" w:rsidRPr="00507A31" w14:paraId="38376C09" w14:textId="77777777" w:rsidTr="005E17EC">
        <w:trPr>
          <w:trHeight w:val="454"/>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40CA5C42"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Оборонительное вооружение</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2E421549"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 пулемета ДА на ТУР-7</w:t>
            </w:r>
          </w:p>
        </w:tc>
      </w:tr>
      <w:tr w:rsidR="00E371BA" w:rsidRPr="00507A31" w14:paraId="29B87D20" w14:textId="77777777" w:rsidTr="005E17EC">
        <w:trPr>
          <w:trHeight w:val="655"/>
        </w:trPr>
        <w:tc>
          <w:tcPr>
            <w:tcW w:w="3640" w:type="dxa"/>
            <w:gridSpan w:val="2"/>
            <w:tcBorders>
              <w:top w:val="single" w:sz="6" w:space="0" w:color="auto"/>
              <w:left w:val="single" w:sz="6" w:space="0" w:color="auto"/>
              <w:bottom w:val="single" w:sz="6" w:space="0" w:color="auto"/>
              <w:right w:val="single" w:sz="6" w:space="0" w:color="auto"/>
            </w:tcBorders>
            <w:shd w:val="clear" w:color="auto" w:fill="FFFFFF"/>
          </w:tcPr>
          <w:p w14:paraId="413858EE"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 качестве наступательного вооружения предпо</w:t>
            </w:r>
            <w:r w:rsidRPr="00507A31">
              <w:rPr>
                <w:rFonts w:ascii="Times New Roman" w:hAnsi="Times New Roman" w:cs="Times New Roman"/>
                <w:b w:val="0"/>
                <w:color w:val="000000" w:themeColor="text1"/>
                <w:sz w:val="16"/>
                <w:szCs w:val="16"/>
              </w:rPr>
              <w:softHyphen/>
              <w:t>лагалась пушка 20-30 мм, но это требование ско</w:t>
            </w:r>
            <w:r w:rsidRPr="00507A31">
              <w:rPr>
                <w:rFonts w:ascii="Times New Roman" w:hAnsi="Times New Roman" w:cs="Times New Roman"/>
                <w:b w:val="0"/>
                <w:color w:val="000000" w:themeColor="text1"/>
                <w:sz w:val="16"/>
                <w:szCs w:val="16"/>
              </w:rPr>
              <w:softHyphen/>
              <w:t>ро сняли</w:t>
            </w:r>
          </w:p>
        </w:tc>
      </w:tr>
    </w:tbl>
    <w:p w14:paraId="25A50639" w14:textId="77777777" w:rsidR="0086787E" w:rsidRPr="00507A31" w:rsidRDefault="0086787E" w:rsidP="00507A31">
      <w:pPr>
        <w:jc w:val="both"/>
        <w:rPr>
          <w:color w:val="000000" w:themeColor="text1"/>
          <w:sz w:val="16"/>
          <w:szCs w:val="16"/>
        </w:rPr>
      </w:pPr>
      <w:r w:rsidRPr="00507A31">
        <w:rPr>
          <w:color w:val="000000" w:themeColor="text1"/>
          <w:sz w:val="16"/>
          <w:szCs w:val="16"/>
        </w:rPr>
        <w:t>Спустя несколько месяцев для комплек</w:t>
      </w:r>
      <w:r w:rsidRPr="00507A31">
        <w:rPr>
          <w:color w:val="000000" w:themeColor="text1"/>
          <w:sz w:val="16"/>
          <w:szCs w:val="16"/>
        </w:rPr>
        <w:softHyphen/>
        <w:t>тации силовой установки определили но</w:t>
      </w:r>
      <w:r w:rsidRPr="00507A31">
        <w:rPr>
          <w:color w:val="000000" w:themeColor="text1"/>
          <w:sz w:val="16"/>
          <w:szCs w:val="16"/>
        </w:rPr>
        <w:softHyphen/>
        <w:t>вый двигатель — американский Кертисс «Конкверор» мощностью 625/700 л.с. Имен</w:t>
      </w:r>
      <w:r w:rsidRPr="00507A31">
        <w:rPr>
          <w:color w:val="000000" w:themeColor="text1"/>
          <w:sz w:val="16"/>
          <w:szCs w:val="16"/>
        </w:rPr>
        <w:softHyphen/>
        <w:t>но с этим двигателем изготовление ДИ-4 на</w:t>
      </w:r>
      <w:r w:rsidRPr="00507A31">
        <w:rPr>
          <w:color w:val="000000" w:themeColor="text1"/>
          <w:sz w:val="16"/>
          <w:szCs w:val="16"/>
        </w:rPr>
        <w:softHyphen/>
        <w:t>чалось во второй половине 1930 года. Полно</w:t>
      </w:r>
      <w:r w:rsidRPr="00507A31">
        <w:rPr>
          <w:color w:val="000000" w:themeColor="text1"/>
          <w:sz w:val="16"/>
          <w:szCs w:val="16"/>
        </w:rPr>
        <w:softHyphen/>
        <w:t>размерный макет самолета был рассмотрен и утвержден специальной комиссией 17 сентя</w:t>
      </w:r>
      <w:r w:rsidRPr="00507A31">
        <w:rPr>
          <w:color w:val="000000" w:themeColor="text1"/>
          <w:sz w:val="16"/>
          <w:szCs w:val="16"/>
        </w:rPr>
        <w:softHyphen/>
        <w:t>бря 1930 г.</w:t>
      </w:r>
    </w:p>
    <w:p w14:paraId="46EC8B21" w14:textId="77777777" w:rsidR="0086787E" w:rsidRPr="00507A31" w:rsidRDefault="00A8367C" w:rsidP="00507A31">
      <w:pPr>
        <w:pStyle w:val="aff7"/>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 xml:space="preserve">Конструкция </w:t>
      </w:r>
      <w:r w:rsidR="0086787E" w:rsidRPr="00507A31">
        <w:rPr>
          <w:rFonts w:ascii="Times New Roman" w:hAnsi="Times New Roman" w:cs="Times New Roman"/>
          <w:b w:val="0"/>
          <w:color w:val="000000" w:themeColor="text1"/>
          <w:sz w:val="16"/>
          <w:szCs w:val="16"/>
        </w:rPr>
        <w:t>цельнометаллическая, в основном дюра</w:t>
      </w:r>
      <w:r w:rsidR="0086787E" w:rsidRPr="00507A31">
        <w:rPr>
          <w:rFonts w:ascii="Times New Roman" w:hAnsi="Times New Roman" w:cs="Times New Roman"/>
          <w:b w:val="0"/>
          <w:color w:val="000000" w:themeColor="text1"/>
          <w:sz w:val="16"/>
          <w:szCs w:val="16"/>
        </w:rPr>
        <w:softHyphen/>
        <w:t>левая. Обшивка гладкая, тонкая, с редкими подкреплениями, что при недостатке опыта изготовления приводило к появлению хло- пунов и неровностей. Крыло в виде «чайки» для улучшения обзора из кабины пилота, ре</w:t>
      </w:r>
      <w:r w:rsidR="0086787E" w:rsidRPr="00507A31">
        <w:rPr>
          <w:rFonts w:ascii="Times New Roman" w:hAnsi="Times New Roman" w:cs="Times New Roman"/>
          <w:b w:val="0"/>
          <w:color w:val="000000" w:themeColor="text1"/>
          <w:sz w:val="16"/>
          <w:szCs w:val="16"/>
        </w:rPr>
        <w:softHyphen/>
        <w:t>бра нервюр снаружи. Топливо размешалось в двух фюзеляжных баках обшей емкостью 230 кг. Вооружение состояло из 4-х синхронных пулеметов П В-1 и одного кормового пулеме</w:t>
      </w:r>
      <w:r w:rsidR="0086787E" w:rsidRPr="00507A31">
        <w:rPr>
          <w:rFonts w:ascii="Times New Roman" w:hAnsi="Times New Roman" w:cs="Times New Roman"/>
          <w:b w:val="0"/>
          <w:color w:val="000000" w:themeColor="text1"/>
          <w:sz w:val="16"/>
          <w:szCs w:val="16"/>
        </w:rPr>
        <w:softHyphen/>
        <w:t>та ДА на шкворневой установке.</w:t>
      </w:r>
    </w:p>
    <w:p w14:paraId="7BA24355" w14:textId="77777777" w:rsidR="0086787E" w:rsidRPr="00507A31" w:rsidRDefault="0086787E" w:rsidP="00507A31">
      <w:pPr>
        <w:jc w:val="both"/>
        <w:rPr>
          <w:color w:val="000000" w:themeColor="text1"/>
          <w:sz w:val="16"/>
          <w:szCs w:val="16"/>
        </w:rPr>
      </w:pPr>
      <w:r w:rsidRPr="00507A31">
        <w:rPr>
          <w:color w:val="000000" w:themeColor="text1"/>
          <w:sz w:val="16"/>
          <w:szCs w:val="16"/>
        </w:rPr>
        <w:t>И з гото вл е н и е Д И -4 п о с ра вн е н и ю с д ру г и - ми опытными самолетами продолжалось до</w:t>
      </w:r>
      <w:r w:rsidRPr="00507A31">
        <w:rPr>
          <w:color w:val="000000" w:themeColor="text1"/>
          <w:sz w:val="16"/>
          <w:szCs w:val="16"/>
        </w:rPr>
        <w:softHyphen/>
        <w:t>статочно долго. Сказывалась новизна кон</w:t>
      </w:r>
      <w:r w:rsidRPr="00507A31">
        <w:rPr>
          <w:color w:val="000000" w:themeColor="text1"/>
          <w:sz w:val="16"/>
          <w:szCs w:val="16"/>
        </w:rPr>
        <w:softHyphen/>
        <w:t>струкции и необходимость освоения тех</w:t>
      </w:r>
      <w:r w:rsidRPr="00507A31">
        <w:rPr>
          <w:color w:val="000000" w:themeColor="text1"/>
          <w:sz w:val="16"/>
          <w:szCs w:val="16"/>
        </w:rPr>
        <w:softHyphen/>
        <w:t>нологии гладких металлических обшивок. В конце 1932 г. самолет был построен и в на</w:t>
      </w:r>
      <w:r w:rsidRPr="00507A31">
        <w:rPr>
          <w:color w:val="000000" w:themeColor="text1"/>
          <w:sz w:val="16"/>
          <w:szCs w:val="16"/>
        </w:rPr>
        <w:softHyphen/>
        <w:t>чале 1933 г. начались его полеты. После про</w:t>
      </w:r>
      <w:r w:rsidRPr="00507A31">
        <w:rPr>
          <w:color w:val="000000" w:themeColor="text1"/>
          <w:sz w:val="16"/>
          <w:szCs w:val="16"/>
        </w:rPr>
        <w:softHyphen/>
        <w:t>ведения заводских испытаний и ряда усовер</w:t>
      </w:r>
      <w:r w:rsidRPr="00507A31">
        <w:rPr>
          <w:color w:val="000000" w:themeColor="text1"/>
          <w:sz w:val="16"/>
          <w:szCs w:val="16"/>
        </w:rPr>
        <w:softHyphen/>
        <w:t>шенствований 5 мая машину доставили с за</w:t>
      </w:r>
      <w:r w:rsidRPr="00507A31">
        <w:rPr>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1AFE059F" w14:textId="77777777" w:rsidR="0086787E" w:rsidRPr="00507A31" w:rsidRDefault="0086787E" w:rsidP="00507A31">
      <w:pPr>
        <w:jc w:val="both"/>
        <w:rPr>
          <w:color w:val="000000" w:themeColor="text1"/>
          <w:sz w:val="16"/>
          <w:szCs w:val="16"/>
        </w:rPr>
      </w:pPr>
      <w:r w:rsidRPr="00507A31">
        <w:rPr>
          <w:color w:val="000000" w:themeColor="text1"/>
          <w:sz w:val="16"/>
          <w:szCs w:val="16"/>
        </w:rPr>
        <w:t>Признавалось, что ДИ-4 выполнен по не</w:t>
      </w:r>
      <w:r w:rsidRPr="00507A31">
        <w:rPr>
          <w:color w:val="000000" w:themeColor="text1"/>
          <w:sz w:val="16"/>
          <w:szCs w:val="16"/>
        </w:rPr>
        <w:softHyphen/>
        <w:t>современной схеме, с подкосами, крепящи</w:t>
      </w:r>
      <w:r w:rsidRPr="00507A31">
        <w:rPr>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507A31">
        <w:rPr>
          <w:color w:val="000000" w:themeColor="text1"/>
          <w:sz w:val="16"/>
          <w:szCs w:val="16"/>
        </w:rPr>
        <w:softHyphen/>
        <w:t>не использованного толстого профиля. Лет</w:t>
      </w:r>
      <w:r w:rsidRPr="00507A31">
        <w:rPr>
          <w:color w:val="000000" w:themeColor="text1"/>
          <w:sz w:val="16"/>
          <w:szCs w:val="16"/>
        </w:rPr>
        <w:softHyphen/>
        <w:t>ные характеристики оценивались как невы</w:t>
      </w:r>
      <w:r w:rsidRPr="00507A31">
        <w:rPr>
          <w:color w:val="000000" w:themeColor="text1"/>
          <w:sz w:val="16"/>
          <w:szCs w:val="16"/>
        </w:rPr>
        <w:softHyphen/>
        <w:t>сокие. Впрочем, самолет с трудом входил в штопор, однако прекрасно из него выходил.</w:t>
      </w:r>
    </w:p>
    <w:p w14:paraId="1E2A746A" w14:textId="77777777" w:rsidR="0086787E" w:rsidRPr="00507A31" w:rsidRDefault="0086787E" w:rsidP="00507A31">
      <w:pPr>
        <w:jc w:val="both"/>
        <w:rPr>
          <w:color w:val="000000" w:themeColor="text1"/>
          <w:sz w:val="16"/>
          <w:szCs w:val="16"/>
        </w:rPr>
      </w:pPr>
      <w:r w:rsidRPr="00507A31">
        <w:rPr>
          <w:color w:val="000000" w:themeColor="text1"/>
          <w:sz w:val="16"/>
          <w:szCs w:val="16"/>
        </w:rPr>
        <w:t>В дальнейшем предлагалось вместо двига</w:t>
      </w:r>
      <w:r w:rsidRPr="00507A31">
        <w:rPr>
          <w:color w:val="000000" w:themeColor="text1"/>
          <w:sz w:val="16"/>
          <w:szCs w:val="16"/>
        </w:rPr>
        <w:softHyphen/>
        <w:t>теля Кертисс «Конкверор» использовать оте</w:t>
      </w:r>
      <w:r w:rsidRPr="00507A31">
        <w:rPr>
          <w:color w:val="000000" w:themeColor="text1"/>
          <w:sz w:val="16"/>
          <w:szCs w:val="16"/>
        </w:rPr>
        <w:softHyphen/>
        <w:t>чественный двигатель М-32. Однако пере</w:t>
      </w:r>
      <w:r w:rsidRPr="00507A31">
        <w:rPr>
          <w:color w:val="000000" w:themeColor="text1"/>
          <w:sz w:val="16"/>
          <w:szCs w:val="16"/>
        </w:rPr>
        <w:softHyphen/>
        <w:t>делки при этом могли оказаться столь суще</w:t>
      </w:r>
      <w:r w:rsidRPr="00507A31">
        <w:rPr>
          <w:color w:val="000000" w:themeColor="text1"/>
          <w:sz w:val="16"/>
          <w:szCs w:val="16"/>
        </w:rPr>
        <w:softHyphen/>
        <w:t>ственными, что от совершенствования ма</w:t>
      </w:r>
      <w:r w:rsidRPr="00507A31">
        <w:rPr>
          <w:color w:val="000000" w:themeColor="text1"/>
          <w:sz w:val="16"/>
          <w:szCs w:val="16"/>
        </w:rPr>
        <w:softHyphen/>
        <w:t>шины отказались. В результате было решено, что самолет не может быть допущен к серий</w:t>
      </w:r>
      <w:r w:rsidRPr="00507A31">
        <w:rPr>
          <w:color w:val="000000" w:themeColor="text1"/>
          <w:sz w:val="16"/>
          <w:szCs w:val="16"/>
        </w:rPr>
        <w:softHyphen/>
        <w:t>ной постройке. Опытный экземпляр остави</w:t>
      </w:r>
      <w:r w:rsidRPr="00507A31">
        <w:rPr>
          <w:color w:val="000000" w:themeColor="text1"/>
          <w:sz w:val="16"/>
          <w:szCs w:val="16"/>
        </w:rPr>
        <w:softHyphen/>
        <w:t>ли в НИИ ВВС, где с июля 1934 г. ДИ-4 ис</w:t>
      </w:r>
      <w:r w:rsidRPr="00507A31">
        <w:rPr>
          <w:color w:val="000000" w:themeColor="text1"/>
          <w:sz w:val="16"/>
          <w:szCs w:val="16"/>
        </w:rPr>
        <w:softHyphen/>
        <w:t>пользовался в испытательных полетах для сравнения с другими истребителями.</w:t>
      </w:r>
    </w:p>
    <w:p w14:paraId="5DC0BD34" w14:textId="77777777" w:rsidR="0086787E" w:rsidRPr="00507A31" w:rsidRDefault="0086787E" w:rsidP="00507A31">
      <w:pPr>
        <w:pStyle w:val="59"/>
        <w:shd w:val="clear" w:color="auto" w:fill="auto"/>
        <w:spacing w:line="240" w:lineRule="auto"/>
        <w:jc w:val="both"/>
        <w:rPr>
          <w:color w:val="000000" w:themeColor="text1"/>
          <w:szCs w:val="16"/>
        </w:rPr>
      </w:pPr>
      <w:r w:rsidRPr="00507A31">
        <w:rPr>
          <w:rStyle w:val="50pt"/>
          <w:rFonts w:eastAsia="Arial Unicode MS"/>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E371BA" w:rsidRPr="00507A31" w14:paraId="64C3363D" w14:textId="77777777" w:rsidTr="005E17EC">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62764A8"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04D6907"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13,36</w:t>
            </w:r>
          </w:p>
        </w:tc>
      </w:tr>
      <w:tr w:rsidR="00E371BA" w:rsidRPr="00507A31" w14:paraId="7570A262"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004B660"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FD55026"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8,50</w:t>
            </w:r>
          </w:p>
        </w:tc>
      </w:tr>
      <w:tr w:rsidR="00E371BA" w:rsidRPr="00507A31" w14:paraId="48CC6026" w14:textId="77777777" w:rsidTr="005E17EC">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D128EF8"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Площадь крыла (м</w:t>
            </w:r>
            <w:r w:rsidRPr="00507A31">
              <w:rPr>
                <w:rFonts w:ascii="Times New Roman" w:hAnsi="Times New Roman" w:cs="Times New Roman"/>
                <w:b w:val="0"/>
                <w:color w:val="000000" w:themeColor="text1"/>
                <w:sz w:val="16"/>
                <w:szCs w:val="16"/>
                <w:vertAlign w:val="superscript"/>
              </w:rPr>
              <w:t>2</w:t>
            </w:r>
            <w:r w:rsidRPr="00507A31">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C03CC95"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23,90</w:t>
            </w:r>
          </w:p>
        </w:tc>
      </w:tr>
      <w:tr w:rsidR="00E371BA" w:rsidRPr="00507A31" w14:paraId="43992976"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3915A7C"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A49283A"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2,0</w:t>
            </w:r>
          </w:p>
        </w:tc>
      </w:tr>
      <w:tr w:rsidR="00E371BA" w:rsidRPr="00507A31" w14:paraId="21B5EF30" w14:textId="77777777" w:rsidTr="005E17EC">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5D87F63"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D9BEBE8"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1441,0</w:t>
            </w:r>
          </w:p>
        </w:tc>
      </w:tr>
      <w:tr w:rsidR="00E371BA" w:rsidRPr="00507A31" w14:paraId="5B961F7D"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BA5B7FD"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F903D8C"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1949</w:t>
            </w:r>
          </w:p>
        </w:tc>
      </w:tr>
      <w:tr w:rsidR="00E371BA" w:rsidRPr="00507A31" w14:paraId="78D62752"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942F386"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88531DA"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266</w:t>
            </w:r>
          </w:p>
        </w:tc>
      </w:tr>
      <w:tr w:rsidR="00E371BA" w:rsidRPr="00507A31" w14:paraId="53F44A33"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AAF7EA8"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99AD543"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248,7</w:t>
            </w:r>
          </w:p>
        </w:tc>
      </w:tr>
      <w:tr w:rsidR="00E371BA" w:rsidRPr="00507A31" w14:paraId="59E18315"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DCF5EB7"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7718AAA"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237,0</w:t>
            </w:r>
          </w:p>
        </w:tc>
      </w:tr>
      <w:tr w:rsidR="00E371BA" w:rsidRPr="00507A31" w14:paraId="147DDDFB"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B6EA90D"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F582B32"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7,4</w:t>
            </w:r>
          </w:p>
        </w:tc>
      </w:tr>
      <w:tr w:rsidR="00E371BA" w:rsidRPr="00507A31" w14:paraId="79DE32E4" w14:textId="77777777" w:rsidTr="005E17EC">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BB99E3B"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AF8122D"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17,0</w:t>
            </w:r>
          </w:p>
        </w:tc>
      </w:tr>
      <w:tr w:rsidR="00E371BA" w:rsidRPr="00507A31" w14:paraId="0F4623A1"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C536045"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5A11242"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6440</w:t>
            </w:r>
          </w:p>
        </w:tc>
      </w:tr>
      <w:tr w:rsidR="00E371BA" w:rsidRPr="00507A31" w14:paraId="4EEF98BF" w14:textId="77777777" w:rsidTr="005E17EC">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0D18D11"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21D73C8" w14:textId="77777777" w:rsidR="0086787E" w:rsidRPr="00507A31" w:rsidRDefault="0086787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15,0</w:t>
            </w:r>
          </w:p>
        </w:tc>
      </w:tr>
    </w:tbl>
    <w:p w14:paraId="58C3B01A" w14:textId="77777777" w:rsidR="0086787E" w:rsidRPr="00507A31" w:rsidRDefault="0086787E" w:rsidP="00507A31">
      <w:pPr>
        <w:jc w:val="both"/>
        <w:rPr>
          <w:color w:val="000000" w:themeColor="text1"/>
          <w:sz w:val="16"/>
          <w:szCs w:val="16"/>
        </w:rPr>
      </w:pPr>
      <w:r w:rsidRPr="00507A31">
        <w:rPr>
          <w:color w:val="000000" w:themeColor="text1"/>
          <w:sz w:val="16"/>
          <w:szCs w:val="16"/>
        </w:rPr>
        <w:t>(12295)</w:t>
      </w:r>
    </w:p>
    <w:p w14:paraId="6647B1AE" w14:textId="77777777" w:rsidR="0086787E" w:rsidRPr="00507A31" w:rsidRDefault="0086787E" w:rsidP="00507A31">
      <w:pPr>
        <w:jc w:val="both"/>
        <w:rPr>
          <w:color w:val="000000" w:themeColor="text1"/>
          <w:sz w:val="16"/>
          <w:szCs w:val="16"/>
        </w:rPr>
      </w:pPr>
    </w:p>
    <w:p w14:paraId="677851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начались испытания Р-6 (92,352).</w:t>
      </w:r>
    </w:p>
    <w:p w14:paraId="0DCA4EB2" w14:textId="77777777" w:rsidR="00537E5F" w:rsidRPr="00507A31" w:rsidRDefault="00537E5F" w:rsidP="00507A31">
      <w:pPr>
        <w:autoSpaceDE w:val="0"/>
        <w:autoSpaceDN w:val="0"/>
        <w:adjustRightInd w:val="0"/>
        <w:jc w:val="both"/>
        <w:rPr>
          <w:color w:val="000000" w:themeColor="text1"/>
          <w:sz w:val="16"/>
          <w:szCs w:val="16"/>
        </w:rPr>
      </w:pPr>
    </w:p>
    <w:p w14:paraId="2539B6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мае 1930 комиссия УВВС рассмотрев проект АНТ-15 (И-8) нашла, что ЛТХ не удовлетворяют ТТТ. В июне КБ А.Н.Т. представило новые расчеты, но самолет был уже готов на 80% (346,50).</w:t>
      </w:r>
    </w:p>
    <w:p w14:paraId="321BB41B" w14:textId="77777777" w:rsidR="00537E5F" w:rsidRPr="00507A31" w:rsidRDefault="00537E5F" w:rsidP="00507A31">
      <w:pPr>
        <w:autoSpaceDE w:val="0"/>
        <w:autoSpaceDN w:val="0"/>
        <w:adjustRightInd w:val="0"/>
        <w:jc w:val="both"/>
        <w:rPr>
          <w:color w:val="000000" w:themeColor="text1"/>
          <w:sz w:val="16"/>
          <w:szCs w:val="16"/>
        </w:rPr>
      </w:pPr>
    </w:p>
    <w:p w14:paraId="6BD93497" w14:textId="77777777" w:rsidR="008F1AAE" w:rsidRPr="00507A31" w:rsidRDefault="008F1AAE"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В мае 1930 года обтекатели, закрывающие спицы колес И-4, сделали толще почти в два раза - с 0,45 до 0,8 мм.</w:t>
      </w:r>
    </w:p>
    <w:p w14:paraId="06C37B52" w14:textId="77777777" w:rsidR="008F1AAE" w:rsidRPr="00507A31" w:rsidRDefault="008F1AAE"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Машины выпуска 1930 г. комплектовались деревянными лыжами производства московского завода № 28. Их отправляли в воинские части и для истребителей, сданных ранее. Впервые такие лыжи испытали на одном из самолетов первой серии, проходившем эксплуатационные испытания в ВВС Московского военного округа; летал на нем сам начальник ВВС МВО И.У. Павлов (19100).</w:t>
      </w:r>
    </w:p>
    <w:p w14:paraId="09A8A8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в эксплуатацию приняли К-5 К.А.К. (271,121).</w:t>
      </w:r>
    </w:p>
    <w:p w14:paraId="26601611" w14:textId="77777777" w:rsidR="00537E5F" w:rsidRPr="00507A31" w:rsidRDefault="00537E5F" w:rsidP="00507A31">
      <w:pPr>
        <w:autoSpaceDE w:val="0"/>
        <w:autoSpaceDN w:val="0"/>
        <w:adjustRightInd w:val="0"/>
        <w:jc w:val="both"/>
        <w:rPr>
          <w:color w:val="000000" w:themeColor="text1"/>
          <w:sz w:val="16"/>
          <w:szCs w:val="16"/>
        </w:rPr>
      </w:pPr>
    </w:p>
    <w:p w14:paraId="4F3B44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На ХАЗе начато серийного производства самолета К-5 с двигателем М-15. В результате образования Всесоюзного авиационного объединения (ВАО) изменено наименование авиационных предприятий: «Авиазавод ГРОСС» (директор и главный конструктор К, А. Калинин) переименован в «ХАЗОСС» (Харьковский авиационный завод опытного самолетостроения) и завод «ХАЗ» (директор завода Н. П. Королев) переименован в «Серийный Харьковский авиазавод» (10674).</w:t>
      </w:r>
    </w:p>
    <w:p w14:paraId="2FD2B4AB" w14:textId="77777777" w:rsidR="00537E5F" w:rsidRPr="00507A31" w:rsidRDefault="00537E5F" w:rsidP="00507A31">
      <w:pPr>
        <w:autoSpaceDE w:val="0"/>
        <w:autoSpaceDN w:val="0"/>
        <w:adjustRightInd w:val="0"/>
        <w:jc w:val="both"/>
        <w:rPr>
          <w:color w:val="000000" w:themeColor="text1"/>
          <w:sz w:val="16"/>
          <w:szCs w:val="16"/>
        </w:rPr>
      </w:pPr>
    </w:p>
    <w:p w14:paraId="4169C948" w14:textId="77777777" w:rsidR="00C24FB1" w:rsidRPr="00507A31" w:rsidRDefault="00C24FB1" w:rsidP="00507A31">
      <w:pPr>
        <w:shd w:val="clear" w:color="auto" w:fill="FFFFFF"/>
        <w:jc w:val="both"/>
        <w:rPr>
          <w:color w:val="000000" w:themeColor="text1"/>
          <w:sz w:val="16"/>
          <w:szCs w:val="16"/>
        </w:rPr>
      </w:pPr>
      <w:r w:rsidRPr="00507A31">
        <w:rPr>
          <w:color w:val="000000" w:themeColor="text1"/>
          <w:sz w:val="16"/>
          <w:szCs w:val="16"/>
        </w:rPr>
        <w:t>В мае 1930 года 1-й экземпляр истребителя И-6 был построен. Первый полет на нем совершил летчик-испытатель завода № 25 А.Д. Ширинкин (известный в то время летчик – герой Гражданской войны). Полет прошел успешно, и заводские испытания были продолжены. При выполнении задания по определению скороподъемности И-6, Ширинкин, выполняя переворот с иммельманом, не справился с управлением и покинул самолет на парашюте. В отвесном пикировании истребитель упал на территорию Центрального аэродрома и разбился.</w:t>
      </w:r>
    </w:p>
    <w:p w14:paraId="125B9BBC" w14:textId="77777777" w:rsidR="00C24FB1" w:rsidRPr="00507A31" w:rsidRDefault="00C24FB1" w:rsidP="00507A31">
      <w:pPr>
        <w:shd w:val="clear" w:color="auto" w:fill="FFFFFF"/>
        <w:jc w:val="both"/>
        <w:rPr>
          <w:color w:val="000000" w:themeColor="text1"/>
          <w:sz w:val="16"/>
          <w:szCs w:val="16"/>
        </w:rPr>
      </w:pPr>
      <w:r w:rsidRPr="00507A31">
        <w:rPr>
          <w:color w:val="000000" w:themeColor="text1"/>
          <w:sz w:val="16"/>
          <w:szCs w:val="16"/>
        </w:rPr>
        <w:t>Вскоре прошли заводские испытания 2-го экземпляра И-6. Подготовку к Государственным испытаниям этого экземпляра проводились уже на заводе № 39 под руководством С.А. Кочеригина. В начале октября 1930 года истребитель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(15223).</w:t>
      </w:r>
    </w:p>
    <w:p w14:paraId="5F724733" w14:textId="77777777" w:rsidR="00C24FB1" w:rsidRPr="00507A31" w:rsidRDefault="00C24FB1" w:rsidP="00507A31">
      <w:pPr>
        <w:shd w:val="clear" w:color="auto" w:fill="FFFFFF"/>
        <w:jc w:val="both"/>
        <w:rPr>
          <w:color w:val="000000" w:themeColor="text1"/>
          <w:sz w:val="16"/>
          <w:szCs w:val="16"/>
        </w:rPr>
      </w:pPr>
    </w:p>
    <w:p w14:paraId="3E2249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 первый военный ЮГ-1 подвергли переделке в пассажирский лайнер на Центральной авиаремонтной базе (ЦАРБ) в Москве. Все вооружение и спецоборудование сняли, в салоне поставили девять кресел. Окна кабины увеличили и добавили еще одно с правой стороны. С левого борта появился багажный люк. В 1930 г. "Добролету" передали девять ЮГ-1, в 1931 г. - четыре в 1932 г. - еще два. Еще одну машину в 32-м получила Полярная авиация ГУСМП. Все эти самолеты проходили переоборудование на ЦАРБ. Первыми линиями, на которые вышли "Юнкерсы", стали трассы Москва-Харьков и Харьков-Минеральные Воды- Пятигорск. В 1933 г. пассажирские ЮГ-1 переименовали в ПС-5 (3224,17).</w:t>
      </w:r>
    </w:p>
    <w:p w14:paraId="44684CB1" w14:textId="77777777" w:rsidR="00537E5F" w:rsidRPr="00507A31" w:rsidRDefault="00537E5F" w:rsidP="00507A31">
      <w:pPr>
        <w:autoSpaceDE w:val="0"/>
        <w:autoSpaceDN w:val="0"/>
        <w:adjustRightInd w:val="0"/>
        <w:jc w:val="both"/>
        <w:rPr>
          <w:color w:val="000000" w:themeColor="text1"/>
          <w:sz w:val="16"/>
          <w:szCs w:val="16"/>
        </w:rPr>
      </w:pPr>
    </w:p>
    <w:p w14:paraId="7052F791" w14:textId="77777777" w:rsidR="00A8367C" w:rsidRPr="00507A31" w:rsidRDefault="00A8367C" w:rsidP="00507A31">
      <w:pPr>
        <w:jc w:val="both"/>
        <w:rPr>
          <w:color w:val="000000" w:themeColor="text1"/>
          <w:sz w:val="16"/>
          <w:szCs w:val="16"/>
        </w:rPr>
      </w:pPr>
      <w:r w:rsidRPr="00507A31">
        <w:rPr>
          <w:color w:val="000000" w:themeColor="text1"/>
          <w:sz w:val="16"/>
          <w:szCs w:val="16"/>
        </w:rPr>
        <w:t>В мае 1930 года первый военный ЮГ-1 подвергли переделке в пассажирский лайнер на Центральной авиаремонтной базе (ЦАРБ) в Москве. Все вооружение и спецоборудование сняли, в салоне поставили девять кресел. Окна кабины увеличили и добавили еще одно с правой стороны. С левого борта появился багажный люк.</w:t>
      </w:r>
    </w:p>
    <w:p w14:paraId="39F06AA4" w14:textId="77777777" w:rsidR="00A8367C" w:rsidRPr="00507A31" w:rsidRDefault="00A8367C" w:rsidP="00507A31">
      <w:pPr>
        <w:jc w:val="both"/>
        <w:rPr>
          <w:color w:val="000000" w:themeColor="text1"/>
          <w:sz w:val="16"/>
          <w:szCs w:val="16"/>
        </w:rPr>
      </w:pPr>
      <w:r w:rsidRPr="00507A31">
        <w:rPr>
          <w:color w:val="000000" w:themeColor="text1"/>
          <w:sz w:val="16"/>
          <w:szCs w:val="16"/>
        </w:rPr>
        <w:t>В 1930 года «Добролету» передали девять ЮГ-1, в 1931 году — четыре в 1932 году — еще два. Еще одну машину в 32-м получила Полярная авиация ГУСМП. Все эти самолеты проходили переоборудование на ЦАРБ. Первыми линиями, на которые вышли «юнкерсы», стали трассы Москва — Харьков и Харьков — Минеральные Воды — Пятигорск. В апреле 1931 года уже эксплуатировались шесть машин этого типа. Работавший тогда на Харьковском аэроузле А. К. Туманский вспоминал:</w:t>
      </w:r>
    </w:p>
    <w:p w14:paraId="5737DDE2" w14:textId="77777777" w:rsidR="00A8367C" w:rsidRPr="00507A31" w:rsidRDefault="00A8367C" w:rsidP="00507A31">
      <w:pPr>
        <w:jc w:val="both"/>
        <w:rPr>
          <w:color w:val="000000" w:themeColor="text1"/>
          <w:sz w:val="16"/>
          <w:szCs w:val="16"/>
        </w:rPr>
      </w:pPr>
      <w:r w:rsidRPr="00507A31">
        <w:rPr>
          <w:color w:val="000000" w:themeColor="text1"/>
          <w:sz w:val="16"/>
          <w:szCs w:val="16"/>
        </w:rPr>
        <w:t>«Летать па машине ЮГ-1... было истинным удовольствием... В случае отказа одного мотора машина спокойно продолжала полет на двух, что имело особо важное, значение при полетах в горах».</w:t>
      </w:r>
    </w:p>
    <w:p w14:paraId="15480BCF" w14:textId="77777777" w:rsidR="00A8367C" w:rsidRPr="00507A31" w:rsidRDefault="00A8367C" w:rsidP="00507A31">
      <w:pPr>
        <w:jc w:val="both"/>
        <w:rPr>
          <w:color w:val="000000" w:themeColor="text1"/>
          <w:sz w:val="16"/>
          <w:szCs w:val="16"/>
        </w:rPr>
      </w:pPr>
      <w:r w:rsidRPr="00507A31">
        <w:rPr>
          <w:color w:val="000000" w:themeColor="text1"/>
          <w:sz w:val="16"/>
          <w:szCs w:val="16"/>
        </w:rPr>
        <w:t>В 1931-1932 гг. на наиболее важных линиях в европейской части страны начали летать новые К-5 и АНТ-9, а «юнкерсы» передали в Сибирь, па Дальний Восток и в Среднюю Азию. При перелете на Дальний Восток самолет №930 (СССР-Л718) разбился при аварии в Нижнетамбовске (15479).</w:t>
      </w:r>
    </w:p>
    <w:p w14:paraId="07F9BC79" w14:textId="77777777" w:rsidR="00A8367C" w:rsidRPr="00507A31" w:rsidRDefault="00A8367C" w:rsidP="00507A31">
      <w:pPr>
        <w:jc w:val="both"/>
        <w:rPr>
          <w:color w:val="000000" w:themeColor="text1"/>
          <w:sz w:val="16"/>
          <w:szCs w:val="16"/>
        </w:rPr>
      </w:pPr>
      <w:r w:rsidRPr="00507A31">
        <w:rPr>
          <w:color w:val="000000" w:themeColor="text1"/>
          <w:sz w:val="16"/>
          <w:szCs w:val="16"/>
        </w:rPr>
        <w:t>Как боевые самолеты ЮГ-1 уже не имели никакой ценности, но в случае войны ими собирались укомплектовать 4-й (Иркутск) и 5-й (Ташкент) военно-авиационные транспортные отряды.</w:t>
      </w:r>
    </w:p>
    <w:p w14:paraId="12C0313F" w14:textId="77777777" w:rsidR="00A8367C" w:rsidRPr="00507A31" w:rsidRDefault="00A8367C" w:rsidP="00507A31">
      <w:pPr>
        <w:jc w:val="both"/>
        <w:rPr>
          <w:color w:val="000000" w:themeColor="text1"/>
          <w:sz w:val="16"/>
          <w:szCs w:val="16"/>
        </w:rPr>
      </w:pPr>
      <w:r w:rsidRPr="00507A31">
        <w:rPr>
          <w:color w:val="000000" w:themeColor="text1"/>
          <w:sz w:val="16"/>
          <w:szCs w:val="16"/>
        </w:rPr>
        <w:t>В 1933 года пассажирские ЮГ-1 переименовали в ПС-5. В том же году три самолета этого типа базировались в Хабаровске, шесть — в Ташкенте и один — в Иркутске. Один ПС-5 обслуживал серное месторождение в Кара-Кумах, вывозя в Ашхабад готовую серу, а обратно доставляя продукты. Самолет, полученный авиацией Главсевморпути в феврале 1932 года, получил регистрацию СССР-Н4. Некоторое время он летал по Енисею, доставляя пассажиров и грузы. В июле 1933 года его морем доставили в Анадырь для участия в научной экспедиции. Экипаж Г. Страубе исследовал с воздуха бассейн р. Анадырь (15479).</w:t>
      </w:r>
    </w:p>
    <w:p w14:paraId="722DF5B5" w14:textId="77777777" w:rsidR="00A8367C" w:rsidRPr="00507A31" w:rsidRDefault="00A8367C" w:rsidP="00507A31">
      <w:pPr>
        <w:jc w:val="both"/>
        <w:rPr>
          <w:color w:val="000000" w:themeColor="text1"/>
          <w:sz w:val="16"/>
          <w:szCs w:val="16"/>
        </w:rPr>
      </w:pPr>
      <w:r w:rsidRPr="00507A31">
        <w:rPr>
          <w:color w:val="000000" w:themeColor="text1"/>
          <w:sz w:val="16"/>
          <w:szCs w:val="16"/>
        </w:rPr>
        <w:t>Когда-то ЮГ-1 казался для наших заводов технологически очень сложным. Но время шло, и отечественная промышленность превзошла этот уровень. Уже с 1931 года запчасти для «юнкерсов», исключая поплавки, из-за рубежа практически не ввозились. А в 1934 года ремонтные мастерские ГВФ в Иркутске собрали два новых ПС-5. Проектированием и постройкой этих машин руководили Н. Рогожин и А. Злоказов.</w:t>
      </w:r>
    </w:p>
    <w:p w14:paraId="683806F4" w14:textId="77777777" w:rsidR="00A8367C" w:rsidRPr="00507A31" w:rsidRDefault="00A8367C" w:rsidP="00507A31">
      <w:pPr>
        <w:jc w:val="both"/>
        <w:rPr>
          <w:color w:val="000000" w:themeColor="text1"/>
          <w:sz w:val="16"/>
          <w:szCs w:val="16"/>
        </w:rPr>
      </w:pPr>
      <w:r w:rsidRPr="00507A31">
        <w:rPr>
          <w:color w:val="000000" w:themeColor="text1"/>
          <w:sz w:val="16"/>
          <w:szCs w:val="16"/>
        </w:rPr>
        <w:t>«Старичок» № 906, в ноябре 1932 года зарегистрированный как СССР-Л990, с лета 1934 года успешно эксплуатировался в Якутии. 19 августа пилот Гаранин открыл па нем регулярное воздушное сообщение между Якутском и Алданским прииском. А за день до этого, на празднике, посвященном Дню воздушного флота, на «юнкерсе» катали ударников.</w:t>
      </w:r>
    </w:p>
    <w:p w14:paraId="486FB58D" w14:textId="77777777" w:rsidR="00A8367C" w:rsidRPr="00507A31" w:rsidRDefault="00A8367C" w:rsidP="00507A31">
      <w:pPr>
        <w:jc w:val="both"/>
        <w:rPr>
          <w:color w:val="000000" w:themeColor="text1"/>
          <w:sz w:val="16"/>
          <w:szCs w:val="16"/>
        </w:rPr>
      </w:pPr>
      <w:r w:rsidRPr="00507A31">
        <w:rPr>
          <w:color w:val="000000" w:themeColor="text1"/>
          <w:sz w:val="16"/>
          <w:szCs w:val="16"/>
        </w:rPr>
        <w:t>Взлет-посадка, взлет-посадка — 150 человек!</w:t>
      </w:r>
    </w:p>
    <w:p w14:paraId="0094C62E" w14:textId="77777777" w:rsidR="00A8367C" w:rsidRPr="00507A31" w:rsidRDefault="00A8367C" w:rsidP="00507A31">
      <w:pPr>
        <w:jc w:val="both"/>
        <w:rPr>
          <w:color w:val="000000" w:themeColor="text1"/>
          <w:sz w:val="16"/>
          <w:szCs w:val="16"/>
        </w:rPr>
      </w:pPr>
      <w:r w:rsidRPr="00507A31">
        <w:rPr>
          <w:color w:val="000000" w:themeColor="text1"/>
          <w:sz w:val="16"/>
          <w:szCs w:val="16"/>
        </w:rPr>
        <w:t>Еще один ПС-5 в 1934 года служил в тренировочном отряде ГВФ в Иркутске. Там это был тогда самый большой самолет (15479).</w:t>
      </w:r>
    </w:p>
    <w:p w14:paraId="66839206" w14:textId="77777777" w:rsidR="00A8367C" w:rsidRPr="00507A31" w:rsidRDefault="00A8367C" w:rsidP="00507A31">
      <w:pPr>
        <w:jc w:val="both"/>
        <w:rPr>
          <w:color w:val="000000" w:themeColor="text1"/>
          <w:sz w:val="16"/>
          <w:szCs w:val="16"/>
        </w:rPr>
      </w:pPr>
    </w:p>
    <w:p w14:paraId="6085DC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 ВТ-11 (Группа ВТ-11 (внутренняя тюрьма) ОГПУ, ЦКБ-39 ОГПУ при заводе № 39 /г. Москва ул. Бутырская/), созданная в феврале 1930, была переведена на завод № 39 и преобразована в ЦКБ-39 ОГПУ. Имело неофициальное название «7-й ангар».</w:t>
      </w:r>
    </w:p>
    <w:p w14:paraId="0A6FBE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Работали арестованные авиаконструкторы: Д.П. Григорович, Н.Н.Поликарпов, вооруженец А.В. Надашкевич, Б.Ф. Гончаров, П.М. Крейсон, И.М. Косткин,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JI</w:t>
      </w:r>
      <w:r w:rsidRPr="00507A31">
        <w:rPr>
          <w:color w:val="000000" w:themeColor="text1"/>
          <w:sz w:val="16"/>
          <w:szCs w:val="16"/>
        </w:rPr>
        <w:t>. Корвин-Кербер. Созданы: истребитель И-5 (первый полет 29.04.1930 г.), бомбардировщик ТБ-5.</w:t>
      </w:r>
    </w:p>
    <w:p w14:paraId="7BF5A6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 Григорович, оставаясь арестованным, был неофициальным техническим руководителем ЦКБ. Получив задание на создание И-</w:t>
      </w:r>
      <w:r w:rsidRPr="00507A31">
        <w:rPr>
          <w:color w:val="000000" w:themeColor="text1"/>
          <w:sz w:val="16"/>
          <w:szCs w:val="16"/>
          <w:lang w:val="en-US"/>
        </w:rPr>
        <w:t>Z</w:t>
      </w:r>
      <w:r w:rsidRPr="00507A31">
        <w:rPr>
          <w:color w:val="000000" w:themeColor="text1"/>
          <w:sz w:val="16"/>
          <w:szCs w:val="16"/>
        </w:rPr>
        <w:t>, он организовал группу конструкторов, с которой работал в ангаре № 7 завода № 39. Работали: А.Н. Седельников, В.Л. Корвин, (1930-31 г.)- А.Н. Надашкевич, Е.И. Майоранов, В.Д. Яровицкий,  Г.Е. Чупилко, С.Н. Шишкин.</w:t>
      </w:r>
    </w:p>
    <w:p w14:paraId="1A0C61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Здесь работал, будучи заключенным, И.Ф. Флоров.</w:t>
      </w:r>
    </w:p>
    <w:p w14:paraId="6803A9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Заключенные по-своему расшифровывали «ВТ»- «вредители- трудящимся!».</w:t>
      </w:r>
    </w:p>
    <w:p w14:paraId="6F9732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05.1931 г. был освобожден Григорович, в 07.1931 г. - Поликарпов. В том же году освобождены и награждены остальные конструкторы, </w:t>
      </w:r>
      <w:r w:rsidRPr="00507A31">
        <w:rPr>
          <w:color w:val="000000" w:themeColor="text1"/>
          <w:sz w:val="16"/>
          <w:szCs w:val="16"/>
          <w:lang w:val="en-US"/>
        </w:rPr>
        <w:t>ipynna</w:t>
      </w:r>
      <w:r w:rsidRPr="00507A31">
        <w:rPr>
          <w:color w:val="000000" w:themeColor="text1"/>
          <w:sz w:val="16"/>
          <w:szCs w:val="16"/>
        </w:rPr>
        <w:t xml:space="preserve"> влита в состав ЦКБ.</w:t>
      </w:r>
    </w:p>
    <w:p w14:paraId="167A89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(1930 г.)- около 300 чел.</w:t>
      </w:r>
    </w:p>
    <w:p w14:paraId="75FFF4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(1930-31 г.)- Е.С. Пауфлер, А. Г. Горяинов (11982).</w:t>
      </w:r>
    </w:p>
    <w:p w14:paraId="775E7512" w14:textId="77777777" w:rsidR="00537E5F" w:rsidRPr="00507A31" w:rsidRDefault="00537E5F" w:rsidP="00507A31">
      <w:pPr>
        <w:autoSpaceDE w:val="0"/>
        <w:autoSpaceDN w:val="0"/>
        <w:adjustRightInd w:val="0"/>
        <w:jc w:val="both"/>
        <w:rPr>
          <w:color w:val="000000" w:themeColor="text1"/>
          <w:sz w:val="16"/>
          <w:szCs w:val="16"/>
        </w:rPr>
      </w:pPr>
    </w:p>
    <w:p w14:paraId="51137BB3" w14:textId="77777777" w:rsidR="003B3DB0" w:rsidRPr="00507A31" w:rsidRDefault="003B3DB0" w:rsidP="00507A31">
      <w:pPr>
        <w:shd w:val="clear" w:color="auto" w:fill="FFFFFF"/>
        <w:jc w:val="both"/>
        <w:rPr>
          <w:color w:val="0070C0"/>
          <w:sz w:val="16"/>
          <w:szCs w:val="16"/>
        </w:rPr>
      </w:pPr>
      <w:r w:rsidRPr="00507A31">
        <w:rPr>
          <w:color w:val="0070C0"/>
          <w:sz w:val="16"/>
          <w:szCs w:val="16"/>
        </w:rPr>
        <w:t>В мае 1930 г. в результате создания Всесоюзного авиационного объединения изменились названия авиационных предприятий: «Авіазавод ЦДОЛБ» на «Харківський авіаційний завод дослідного літакобудування», а завод ХАЗ на «Серійний Харківський авіазавод». В 1932 г. предприятия были слиты в единый «Харківський завод дослідного літакобудування ХАЗ», ставший единственным предприятием в СССР, которое специализировалось на производстве гражданских самолетов (22073).</w:t>
      </w:r>
    </w:p>
    <w:p w14:paraId="737D703E" w14:textId="77777777" w:rsidR="003B3DB0" w:rsidRPr="00507A31" w:rsidRDefault="003B3DB0" w:rsidP="00507A31">
      <w:pPr>
        <w:shd w:val="clear" w:color="auto" w:fill="FFFFFF"/>
        <w:jc w:val="both"/>
        <w:rPr>
          <w:color w:val="0070C0"/>
          <w:sz w:val="16"/>
          <w:szCs w:val="16"/>
        </w:rPr>
      </w:pPr>
    </w:p>
    <w:p w14:paraId="7DBE1A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 правительственное постановление обязало заводы перекрасить все ранее выпущенные самолеты непосредственно в частях. На аэродромы направили бригады маляров. Далее такие кампании проводились неоднократно. Во многих частях самолеты перекрашивали по два раза в год: перед воздушными парадами 1 мая и 7 ноября. Проблему пытались решить разными способами, в частности, меняли рецептуру. В Ленинградском военном округе Р-3 и И-4 в 1930-1931 гг. перекрашивали, добавляя в "защитную" краску 12% цинковых белил, а в голубую - 25%. В 1930 г. на двух И-4 опробовали нитро- целлюлозные эмали. Эти два истребителя прошли эксплуатационные испытания в НИИ ВВС, а затем были переданы в 29-ю истребительную эскадрилью ВВС Черного моря, базировавшуюся в Евпатории. Еще два И-4 в том же году обшили плакированным дюралем без покраски. Нитрокраски использовали также на нескольких десятках ТБ-1 (11987).</w:t>
      </w:r>
    </w:p>
    <w:p w14:paraId="01027DBF" w14:textId="77777777" w:rsidR="00537E5F" w:rsidRPr="00507A31" w:rsidRDefault="00537E5F" w:rsidP="00507A31">
      <w:pPr>
        <w:autoSpaceDE w:val="0"/>
        <w:autoSpaceDN w:val="0"/>
        <w:adjustRightInd w:val="0"/>
        <w:jc w:val="both"/>
        <w:rPr>
          <w:color w:val="000000" w:themeColor="text1"/>
          <w:sz w:val="16"/>
          <w:szCs w:val="16"/>
        </w:rPr>
      </w:pPr>
    </w:p>
    <w:p w14:paraId="579EB0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маю 1930 года А.Ф.Шорин представил первый образец радиоаппаратуры для установки на серийном катере Ш-4 и самолете ЮГ-1. Бекаури, стремясь облегчить работу оператора. включил в свой комплекс счетно-решающий прибор, который автоматически вырабатывал курс выхода телеуправляемого катера в атаку. В комплексе Шорина курс рассчитывал по карте оператор. Кроме того,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(10261).</w:t>
      </w:r>
    </w:p>
    <w:p w14:paraId="7DD97321" w14:textId="77777777" w:rsidR="00537E5F" w:rsidRPr="00507A31" w:rsidRDefault="00537E5F" w:rsidP="00507A31">
      <w:pPr>
        <w:autoSpaceDE w:val="0"/>
        <w:autoSpaceDN w:val="0"/>
        <w:adjustRightInd w:val="0"/>
        <w:jc w:val="both"/>
        <w:rPr>
          <w:color w:val="000000" w:themeColor="text1"/>
          <w:sz w:val="16"/>
          <w:szCs w:val="16"/>
        </w:rPr>
      </w:pPr>
    </w:p>
    <w:p w14:paraId="1A22BA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маю 1930 г. Шорин представил первый образец радиоаппаратуры для установки на серийном катере Ш-4 и самолете ЮГ-1 (10675).</w:t>
      </w:r>
    </w:p>
    <w:p w14:paraId="41697BA6" w14:textId="77777777" w:rsidR="00537E5F" w:rsidRPr="00507A31" w:rsidRDefault="00537E5F" w:rsidP="00507A31">
      <w:pPr>
        <w:autoSpaceDE w:val="0"/>
        <w:autoSpaceDN w:val="0"/>
        <w:adjustRightInd w:val="0"/>
        <w:jc w:val="both"/>
        <w:rPr>
          <w:color w:val="000000" w:themeColor="text1"/>
          <w:sz w:val="16"/>
          <w:szCs w:val="16"/>
        </w:rPr>
      </w:pPr>
    </w:p>
    <w:p w14:paraId="06B964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мае 1930 г. Микулин сумел добиться утверждения предложенной им компоновки мотора - будущего М-34. Микулин хорошо понимал, что нового технологического оборудования заводу никто не даст. Поэтому для быстрого внедрения нового мотора в серию его основные габариты, диаметр цилиндра и ход поршня были сохранены теми же, что и у устаревшего М-17. Это решение предопределило выбор рыбинского завода № 26 для организации всех дальнейших работ (9028).</w:t>
      </w:r>
    </w:p>
    <w:p w14:paraId="11542A01" w14:textId="77777777" w:rsidR="00537E5F" w:rsidRPr="00507A31" w:rsidRDefault="00537E5F" w:rsidP="00507A31">
      <w:pPr>
        <w:autoSpaceDE w:val="0"/>
        <w:autoSpaceDN w:val="0"/>
        <w:adjustRightInd w:val="0"/>
        <w:jc w:val="both"/>
        <w:rPr>
          <w:color w:val="000000" w:themeColor="text1"/>
          <w:sz w:val="16"/>
          <w:szCs w:val="16"/>
        </w:rPr>
      </w:pPr>
    </w:p>
    <w:p w14:paraId="64DC30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мае 1930 г. Микулин сумел добиться рассмотрения предложен</w:t>
      </w:r>
      <w:r w:rsidRPr="00507A31">
        <w:rPr>
          <w:color w:val="000000" w:themeColor="text1"/>
          <w:sz w:val="16"/>
          <w:szCs w:val="16"/>
        </w:rPr>
        <w:softHyphen/>
        <w:t>ной им компоновки мотора на научно-техническом комитете ВВС. Председатель комитета Дубенский, выслушан доклад Микулина, объявил прения. Многие выступавшие выразили сомнение, а иные сразу начали упрекать Микулнна в хлестаковщине: ведь он не только разработал самый мощный в мире мотор, но еще и предложил целый ряд конструкционных и технологических новшеств. В разгар нака</w:t>
      </w:r>
      <w:r w:rsidRPr="00507A31">
        <w:rPr>
          <w:color w:val="000000" w:themeColor="text1"/>
          <w:sz w:val="16"/>
          <w:szCs w:val="16"/>
        </w:rPr>
        <w:softHyphen/>
        <w:t>ленной дискуссии в зал неожиданно вошел профессор Н.Р. Вриллиш. В смоем выступлении он не только подчеркнул преимущества мнкулинского проекта, но и обратил внимание на то, что в проекте в пол</w:t>
      </w:r>
      <w:r w:rsidRPr="00507A31">
        <w:rPr>
          <w:color w:val="000000" w:themeColor="text1"/>
          <w:sz w:val="16"/>
          <w:szCs w:val="16"/>
        </w:rPr>
        <w:softHyphen/>
        <w:t>ной мере использован опыт создания мотора М-13, найдены верные пути устранения тех дефектов, которые были выявлены во время ис</w:t>
      </w:r>
      <w:r w:rsidRPr="00507A31">
        <w:rPr>
          <w:color w:val="000000" w:themeColor="text1"/>
          <w:sz w:val="16"/>
          <w:szCs w:val="16"/>
        </w:rPr>
        <w:softHyphen/>
        <w:t>пытаний М-13. Научно-технический комитет ВВС принял проект Микулина и представил его на утверждение в Наркомтяжпром. Получив «благо</w:t>
      </w:r>
      <w:r w:rsidRPr="00507A31">
        <w:rPr>
          <w:color w:val="000000" w:themeColor="text1"/>
          <w:sz w:val="16"/>
          <w:szCs w:val="16"/>
        </w:rPr>
        <w:softHyphen/>
        <w:t>словение» самого Г.К. Орджоникидзе, Микулин вместе с группой инженеров и мотористов приступил к изготовлению рабочих черте</w:t>
      </w:r>
      <w:r w:rsidRPr="00507A31">
        <w:rPr>
          <w:color w:val="000000" w:themeColor="text1"/>
          <w:sz w:val="16"/>
          <w:szCs w:val="16"/>
        </w:rPr>
        <w:softHyphen/>
        <w:t>жей и постройке опытных образцов своего мотора, названного М-34. Разработка рабочих чертежей была закончена к июлю 1930 г. Из</w:t>
      </w:r>
      <w:r w:rsidRPr="00507A31">
        <w:rPr>
          <w:color w:val="000000" w:themeColor="text1"/>
          <w:sz w:val="16"/>
          <w:szCs w:val="16"/>
        </w:rPr>
        <w:softHyphen/>
        <w:t>готовление опытных образцов поручалось заводу № 26 (Рыбинск). Установочные места нового мотора соответствовали М-17, чтобы была возможность заменять их на самолетах (10781).</w:t>
      </w:r>
    </w:p>
    <w:p w14:paraId="6E4114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1CDB76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 мае 1930 года заводом 24 начал проектироваться мотор М-32 (мощность 600/720 л.с. высотность 5000 м, вес 400 кг срок предъявления на гос. испытания утвержден Р3 СТО 1 января 1931 года). После частичного изготовления эскизной компоновки завод по своей инициативе прекратил дальнейшие работы по этому мотору и перешел к модификации мотора М-19 на М-19а, определив мощность его 500 л.с. при весе 450 кг и высотность 5000 м со сроком предъявления на гос. испытания 1 мая 1931 года (6998, 9-14).</w:t>
      </w:r>
    </w:p>
    <w:p w14:paraId="5C01871D"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41A953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мае 1930 г. руководство проектированием М-32 в ИАМ предлагали поручить АД Швецову. В 1931-1932 гг. из</w:t>
      </w:r>
      <w:r w:rsidRPr="00507A31">
        <w:rPr>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507A31">
        <w:rPr>
          <w:color w:val="000000" w:themeColor="text1"/>
          <w:sz w:val="16"/>
          <w:szCs w:val="16"/>
        </w:rPr>
        <w:softHyphen/>
        <w:t>шипников и головок блоков. Со второго экзем</w:t>
      </w:r>
      <w:r w:rsidRPr="00507A31">
        <w:rPr>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507A31">
        <w:rPr>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17E8D7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Известны модификации:</w:t>
      </w:r>
    </w:p>
    <w:p w14:paraId="5AAFFB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М-32, первоначальный вариант без редук</w:t>
      </w:r>
      <w:r w:rsidRPr="00507A31">
        <w:rPr>
          <w:color w:val="000000" w:themeColor="text1"/>
          <w:sz w:val="16"/>
          <w:szCs w:val="16"/>
        </w:rPr>
        <w:softHyphen/>
        <w:t>тора и ПЦН, изготовлен в одном экзем</w:t>
      </w:r>
      <w:r w:rsidRPr="00507A31">
        <w:rPr>
          <w:color w:val="000000" w:themeColor="text1"/>
          <w:sz w:val="16"/>
          <w:szCs w:val="16"/>
        </w:rPr>
        <w:softHyphen/>
        <w:t>пляре. Вес по заданию 400 кг, фактически 430 кг.</w:t>
      </w:r>
    </w:p>
    <w:p w14:paraId="2C4D99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М-32РН, вариант с редуктором и одно-скоростным ПЦН. В дальнейшем предпо</w:t>
      </w:r>
      <w:r w:rsidRPr="00507A31">
        <w:rPr>
          <w:color w:val="000000" w:themeColor="text1"/>
          <w:sz w:val="16"/>
          <w:szCs w:val="16"/>
        </w:rPr>
        <w:softHyphen/>
        <w:t>лагали опробовать паровое охлаждение и охлаждение этиленгликолем. Вес 460 кг.</w:t>
      </w:r>
    </w:p>
    <w:p w14:paraId="3805DA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539A54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16-цилиндровый, рядный У-образный, че</w:t>
      </w:r>
      <w:r w:rsidRPr="00507A31">
        <w:rPr>
          <w:color w:val="000000" w:themeColor="text1"/>
          <w:sz w:val="16"/>
          <w:szCs w:val="16"/>
        </w:rPr>
        <w:softHyphen/>
        <w:t>тырехтактный, водяного охлаждения;</w:t>
      </w:r>
    </w:p>
    <w:p w14:paraId="62AE73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600/750 л.с. (по заданию 650/700 л.с.);</w:t>
      </w:r>
    </w:p>
    <w:p w14:paraId="599466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120/120 мм;</w:t>
      </w:r>
    </w:p>
    <w:p w14:paraId="2D3C94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21,7 л;</w:t>
      </w:r>
    </w:p>
    <w:p w14:paraId="082BBA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6,0;</w:t>
      </w:r>
    </w:p>
    <w:p w14:paraId="10ADC4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754501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Предлагался для истребителей И-9, И-13, ДИ-6.</w:t>
      </w:r>
    </w:p>
    <w:p w14:paraId="735957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Единственный сохранившийся до наших дней М-32РН лежит на задворках музея в Монино (11852).</w:t>
      </w:r>
    </w:p>
    <w:p w14:paraId="45914FC3" w14:textId="77777777" w:rsidR="00537E5F" w:rsidRPr="00507A31" w:rsidRDefault="00537E5F" w:rsidP="00507A31">
      <w:pPr>
        <w:autoSpaceDE w:val="0"/>
        <w:autoSpaceDN w:val="0"/>
        <w:adjustRightInd w:val="0"/>
        <w:jc w:val="both"/>
        <w:rPr>
          <w:color w:val="000000" w:themeColor="text1"/>
          <w:sz w:val="16"/>
          <w:szCs w:val="16"/>
        </w:rPr>
      </w:pPr>
    </w:p>
    <w:p w14:paraId="72ADD75C"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 мае 1930 года завод 24 начал проектирование мотора М-38 (мощность 600/720 л.с., высотность 5000 м, вес 380 кг, срок предъявления на гос. испытания утвержден Р3 СТО 1 января 1931 года). Завод предусматривал создание переходного типа между М-15 и М-38 в виде мотора М-15а, определив мощность его 500 л.с. при весе 400 кг и высотности 4000 м со сроком предъявления на гос. испытания 1 мая 1931 года (6998, 9-14)..</w:t>
      </w:r>
    </w:p>
    <w:p w14:paraId="122BD7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сделали спасательный парашют НИИ-1 и стали выпускать на фабрике под названиями ПЛ-1 и ПН-1 (летчика и наблюдателя) (72,56).</w:t>
      </w:r>
    </w:p>
    <w:p w14:paraId="36F1D6D7" w14:textId="77777777" w:rsidR="00537E5F" w:rsidRPr="00507A31" w:rsidRDefault="00537E5F" w:rsidP="00507A31">
      <w:pPr>
        <w:autoSpaceDE w:val="0"/>
        <w:autoSpaceDN w:val="0"/>
        <w:adjustRightInd w:val="0"/>
        <w:jc w:val="both"/>
        <w:rPr>
          <w:color w:val="000000" w:themeColor="text1"/>
          <w:sz w:val="16"/>
          <w:szCs w:val="16"/>
        </w:rPr>
      </w:pPr>
    </w:p>
    <w:p w14:paraId="76CBB7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 появились предложения по назначению ответственных конструкторов по разным типам двигателей. Начальник ВМО ЦАГИ Ма</w:t>
      </w:r>
      <w:r w:rsidRPr="00507A31">
        <w:rPr>
          <w:color w:val="000000" w:themeColor="text1"/>
          <w:sz w:val="16"/>
          <w:szCs w:val="16"/>
        </w:rPr>
        <w:softHyphen/>
        <w:t>рьямов, сменивший арестованного как «вредителя» Стечкина, даже раз</w:t>
      </w:r>
      <w:r w:rsidRPr="00507A31">
        <w:rPr>
          <w:color w:val="000000" w:themeColor="text1"/>
          <w:sz w:val="16"/>
          <w:szCs w:val="16"/>
        </w:rPr>
        <w:softHyphen/>
        <w:t>работал план такого распределения. Недостаток специалистов был одной из главных бед всей советской промышленности. Но в то же время в тюрьмах и лагерях сидело не</w:t>
      </w:r>
      <w:r w:rsidRPr="00507A31">
        <w:rPr>
          <w:color w:val="000000" w:themeColor="text1"/>
          <w:sz w:val="16"/>
          <w:szCs w:val="16"/>
        </w:rPr>
        <w:softHyphen/>
        <w:t>мало прекрасных инженеров с дореволюционной подготовкой и бога</w:t>
      </w:r>
      <w:r w:rsidRPr="00507A31">
        <w:rPr>
          <w:color w:val="000000" w:themeColor="text1"/>
          <w:sz w:val="16"/>
          <w:szCs w:val="16"/>
        </w:rPr>
        <w:softHyphen/>
        <w:t>тым опытом. По «делу Промпартии» арестовали целый ряд ведущих моторостроителей страны. Их решили использовать не в забоях шахт и не на лесоповале. На том же заводе № 24 в 1929 г. разместили кон</w:t>
      </w:r>
      <w:r w:rsidRPr="00507A31">
        <w:rPr>
          <w:color w:val="000000" w:themeColor="text1"/>
          <w:sz w:val="16"/>
          <w:szCs w:val="16"/>
        </w:rPr>
        <w:softHyphen/>
        <w:t>структорское бюро ОГПУ, укомплектованное инженерами-заключенными. Руководство бюро состояло из чекистов с высокими званиями, но без образования. Фактически оно должно было лишь надзирать за специали</w:t>
      </w:r>
      <w:r w:rsidRPr="00507A31">
        <w:rPr>
          <w:color w:val="000000" w:themeColor="text1"/>
          <w:sz w:val="16"/>
          <w:szCs w:val="16"/>
        </w:rPr>
        <w:softHyphen/>
        <w:t>стами. Для последних стимулом к хорошей работе являлось сокращение сроков заключения и даже выход на свободу. Но эффективность бюро оказалась невысокой, и в 1932 г. его ликвидировали, а большинство ра</w:t>
      </w:r>
      <w:r w:rsidRPr="00507A31">
        <w:rPr>
          <w:color w:val="000000" w:themeColor="text1"/>
          <w:sz w:val="16"/>
          <w:szCs w:val="16"/>
        </w:rPr>
        <w:softHyphen/>
        <w:t>ботников — освободили. Иногда к проектированию двигателей привлекали учебные заведения, та</w:t>
      </w:r>
      <w:r w:rsidRPr="00507A31">
        <w:rPr>
          <w:color w:val="000000" w:themeColor="text1"/>
          <w:sz w:val="16"/>
          <w:szCs w:val="16"/>
        </w:rPr>
        <w:softHyphen/>
        <w:t>кие как Харьковский авиационный институт, или научно-исследовательские организации. Так, в дизельной программе участвовал Всесоюзный научно-исследовательский дизельный институт (ВНИДИ) из Ленинграда (11852).</w:t>
      </w:r>
    </w:p>
    <w:p w14:paraId="004F129F" w14:textId="77777777" w:rsidR="00537E5F" w:rsidRPr="00507A31" w:rsidRDefault="00537E5F" w:rsidP="00507A31">
      <w:pPr>
        <w:autoSpaceDE w:val="0"/>
        <w:autoSpaceDN w:val="0"/>
        <w:adjustRightInd w:val="0"/>
        <w:jc w:val="both"/>
        <w:rPr>
          <w:color w:val="000000" w:themeColor="text1"/>
          <w:sz w:val="16"/>
          <w:szCs w:val="16"/>
        </w:rPr>
      </w:pPr>
    </w:p>
    <w:p w14:paraId="748A0D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были выпущены новые советские парашюты, в т.ч. с автоматическим раскрытием на заданной высоте братьев (Н.Д., В.Д. и А.Д.) Дорониных (271,121).</w:t>
      </w:r>
    </w:p>
    <w:p w14:paraId="6F34694C" w14:textId="77777777" w:rsidR="00537E5F" w:rsidRPr="00507A31" w:rsidRDefault="00537E5F" w:rsidP="00507A31">
      <w:pPr>
        <w:autoSpaceDE w:val="0"/>
        <w:autoSpaceDN w:val="0"/>
        <w:adjustRightInd w:val="0"/>
        <w:jc w:val="both"/>
        <w:rPr>
          <w:color w:val="000000" w:themeColor="text1"/>
          <w:sz w:val="16"/>
          <w:szCs w:val="16"/>
        </w:rPr>
      </w:pPr>
    </w:p>
    <w:p w14:paraId="48B87E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 промышленность по заданиям АУ приступила к проекту и изготовлению опытной партии 2 кг осколочных бомб, которые поступили на испытание в декабре 1930 г. (3326).</w:t>
      </w:r>
    </w:p>
    <w:p w14:paraId="68DE76E5" w14:textId="77777777" w:rsidR="00537E5F" w:rsidRPr="00507A31" w:rsidRDefault="00537E5F" w:rsidP="00507A31">
      <w:pPr>
        <w:autoSpaceDE w:val="0"/>
        <w:autoSpaceDN w:val="0"/>
        <w:adjustRightInd w:val="0"/>
        <w:jc w:val="both"/>
        <w:rPr>
          <w:color w:val="000000" w:themeColor="text1"/>
          <w:sz w:val="16"/>
          <w:szCs w:val="16"/>
        </w:rPr>
      </w:pPr>
    </w:p>
    <w:p w14:paraId="398426ED" w14:textId="77777777" w:rsidR="00A8367C" w:rsidRPr="00507A31" w:rsidRDefault="00A8367C" w:rsidP="00507A31">
      <w:pPr>
        <w:shd w:val="clear" w:color="auto" w:fill="FFFFFF"/>
        <w:jc w:val="both"/>
        <w:rPr>
          <w:color w:val="000000" w:themeColor="text1"/>
          <w:sz w:val="16"/>
          <w:szCs w:val="16"/>
        </w:rPr>
      </w:pPr>
      <w:r w:rsidRPr="00507A31">
        <w:rPr>
          <w:color w:val="000000" w:themeColor="text1"/>
          <w:sz w:val="16"/>
          <w:szCs w:val="16"/>
        </w:rPr>
        <w:t>В мае 1930 г. состоялась очередная проверка практических результатов деятельности ГДЛ М.Н.Тухачевским. Стрельбы снарядами прошли на очень высоком уровне (15252).</w:t>
      </w:r>
    </w:p>
    <w:p w14:paraId="1DD635FB" w14:textId="77777777" w:rsidR="00A8367C" w:rsidRPr="00507A31" w:rsidRDefault="00A8367C" w:rsidP="00507A31">
      <w:pPr>
        <w:shd w:val="clear" w:color="auto" w:fill="FFFFFF"/>
        <w:jc w:val="both"/>
        <w:rPr>
          <w:color w:val="000000" w:themeColor="text1"/>
          <w:sz w:val="16"/>
          <w:szCs w:val="16"/>
        </w:rPr>
      </w:pPr>
    </w:p>
    <w:p w14:paraId="3DE1968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258A9AA" w14:textId="77777777" w:rsidR="00537E5F" w:rsidRPr="00507A31" w:rsidRDefault="00537E5F" w:rsidP="00507A31">
      <w:pPr>
        <w:autoSpaceDE w:val="0"/>
        <w:autoSpaceDN w:val="0"/>
        <w:adjustRightInd w:val="0"/>
        <w:jc w:val="both"/>
        <w:rPr>
          <w:iCs/>
          <w:color w:val="000000" w:themeColor="text1"/>
          <w:sz w:val="16"/>
          <w:szCs w:val="16"/>
        </w:rPr>
      </w:pPr>
    </w:p>
    <w:p w14:paraId="6E7192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1933 года был изготовлен и испытан на ММЗ Опытный образец 122-мм мортиры "Лом". 122-мм полковая мортира "Лом" создана по тем же тактико-техническим требованиям, что и М-5. Снаряды и гильзы идентичны. Ствол моноблок, затвор горизонтальный клиновой. В отличие от М-5 в мортире "Лом" верхний станок вращался на центральном штыре, соединяющем его с нижним станком. Нижний станок имел две клепаные станины, соединенные средней и хоботовой связями. В походном положении верхний станок со стволом поворачивался на 180° (3861).</w:t>
      </w:r>
    </w:p>
    <w:p w14:paraId="160C7915" w14:textId="77777777" w:rsidR="00537E5F" w:rsidRPr="00507A31" w:rsidRDefault="00537E5F" w:rsidP="00507A31">
      <w:pPr>
        <w:autoSpaceDE w:val="0"/>
        <w:autoSpaceDN w:val="0"/>
        <w:adjustRightInd w:val="0"/>
        <w:jc w:val="both"/>
        <w:rPr>
          <w:color w:val="000000" w:themeColor="text1"/>
          <w:sz w:val="16"/>
          <w:szCs w:val="16"/>
        </w:rPr>
      </w:pPr>
    </w:p>
    <w:p w14:paraId="778DE7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в отношении Чапаевска:</w:t>
      </w:r>
    </w:p>
    <w:p w14:paraId="19FFC7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"Я.Фишман (Вохиму). Завод, который существует уже больше 6 лет с вложением свыше 6 млн. рублей, которому оказывали всякую техническую помощь - и чужую, и вредительскую... Все-таки на одно вредительство сваливать нельзя, а головотяпство там было.большое. Поехали туда, пустили установку, ничего не получается. Это срывает всю нашу мобилизационную подготовку.</w:t>
      </w:r>
    </w:p>
    <w:p w14:paraId="048BC5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В.Десслер (Всехимпром). За последнее время обнаружились следы вредительства, находили металлические пробки в аппаратуре...Там неудачный пуск... Поставлен был рабочий, который не сделал того, что нужно было сделать. Может быть это опять-таки вредительство, а может быть тут был несчастный случай. Во всяком случае дефекты эти будут исправлены в ближайшем будущем и работа пойдет своим чередом. Готовность установки имеется на 4 тыс.т".</w:t>
      </w:r>
    </w:p>
    <w:p w14:paraId="012B7F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воспоминаний Н.Ломакиной:</w:t>
      </w:r>
    </w:p>
    <w:p w14:paraId="7CC627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"Мы, студенты химико-технологического техникума, еще в 1930 г. пришли на практику. На нашу долю выпало делать первые шаги по производству иприта. Когда вернулись на занятия, у многих ребят появились специфический кашель, слепота, одышка. Некоторые бросили учиться. Я же по окончании учебного заведения возвратилась на иприт. Уже тогда содержание его паров в рабочих помещениях при исправном оборудовании в десятки раз превышало допустимые нормы"203</w:t>
      </w:r>
    </w:p>
    <w:p w14:paraId="58F6FA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Изменений в смысле гуманизации производства стойких ОВ по существу не произошло. Проверки технического состояния завода N 102, выполненные в предвоенный год, выявили практическую непригодность спеццехов к работе. Из-за нарушений технологического режима происходили многочисленные аварии. Цеха находились в состоянии перманентной реконструкции, оборудование требовало капитального ремонта.</w:t>
      </w:r>
    </w:p>
    <w:p w14:paraId="15E1D9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 время войны, потребовавшей резкой интенсификации работы, технологическое оборудование не обеспечивало ни эффективности, ни экологической безопасности.</w:t>
      </w:r>
    </w:p>
    <w:p w14:paraId="14581A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Сбои и остановки производства происходили по самым различным причинам. Осенью 1941 г. производство иприта застопорилось, например, из-за отсутствия контрольно-измерительных приборов для учета количества поступающего в реакторы этилена и отходящих из них газов. Контроль уровня иприта в аппаратах был "несовершенен", его измеряли на щуп и на глаз. Случались остановки из-за необходимости очистки реакторов, производивших иприт, люизит и хлористый мышьяк, от осадков. Делалось это вручную, осадки и брак отвозились на "литерную" свалку, давно забытую (9066).</w:t>
      </w:r>
    </w:p>
    <w:p w14:paraId="12F9DD6D" w14:textId="77777777" w:rsidR="00537E5F" w:rsidRPr="00507A31" w:rsidRDefault="00537E5F" w:rsidP="00507A31">
      <w:pPr>
        <w:autoSpaceDE w:val="0"/>
        <w:autoSpaceDN w:val="0"/>
        <w:adjustRightInd w:val="0"/>
        <w:jc w:val="both"/>
        <w:rPr>
          <w:color w:val="000000" w:themeColor="text1"/>
          <w:sz w:val="16"/>
          <w:szCs w:val="16"/>
        </w:rPr>
      </w:pPr>
    </w:p>
    <w:p w14:paraId="16B069AE" w14:textId="77777777" w:rsidR="005E0B98" w:rsidRPr="00507A31" w:rsidRDefault="005E0B98" w:rsidP="00507A31">
      <w:pPr>
        <w:pStyle w:val="ae"/>
        <w:spacing w:before="0" w:after="0"/>
        <w:jc w:val="both"/>
        <w:rPr>
          <w:color w:val="000000" w:themeColor="text1"/>
          <w:sz w:val="16"/>
          <w:szCs w:val="16"/>
        </w:rPr>
      </w:pPr>
      <w:r w:rsidRPr="00507A31">
        <w:rPr>
          <w:color w:val="000000" w:themeColor="text1"/>
          <w:sz w:val="16"/>
          <w:szCs w:val="16"/>
        </w:rPr>
        <w:t xml:space="preserve">В мае 1930 года Первая группа специалистов фирмы во главе с помощником директора фирмы Струвеном и главным инженером Мурреем прибыла в СССР. Специалисты «Мак-Ки» разработали генеральный план Магнитогорского комбината, который был увеличенным вариантом аналогичного завода </w:t>
      </w:r>
      <w:hyperlink r:id="rId93" w:tooltip="en:U.S. Steel" w:history="1">
        <w:r w:rsidRPr="00507A31">
          <w:rPr>
            <w:rStyle w:val="a5"/>
            <w:rFonts w:eastAsiaTheme="majorEastAsia"/>
            <w:color w:val="000000" w:themeColor="text1"/>
            <w:sz w:val="16"/>
            <w:szCs w:val="16"/>
            <w:u w:val="none"/>
          </w:rPr>
          <w:t>U.S. Steel</w:t>
        </w:r>
      </w:hyperlink>
      <w:r w:rsidRPr="00507A31">
        <w:rPr>
          <w:color w:val="000000" w:themeColor="text1"/>
          <w:sz w:val="16"/>
          <w:szCs w:val="16"/>
        </w:rPr>
        <w:t xml:space="preserve"> в городе </w:t>
      </w:r>
      <w:hyperlink r:id="rId94" w:tooltip="Гэри (Индиана)" w:history="1">
        <w:r w:rsidRPr="00507A31">
          <w:rPr>
            <w:rStyle w:val="a5"/>
            <w:rFonts w:eastAsiaTheme="majorEastAsia"/>
            <w:color w:val="000000" w:themeColor="text1"/>
            <w:sz w:val="16"/>
            <w:szCs w:val="16"/>
            <w:u w:val="none"/>
          </w:rPr>
          <w:t>Гэри</w:t>
        </w:r>
      </w:hyperlink>
      <w:r w:rsidRPr="00507A31">
        <w:rPr>
          <w:color w:val="000000" w:themeColor="text1"/>
          <w:sz w:val="16"/>
          <w:szCs w:val="16"/>
        </w:rPr>
        <w:t xml:space="preserve"> (штат Индиана). Вместе с тем фирма не смогла в обозначенный в договоре срок разработать все необходимые чертежи, и постановлениями </w:t>
      </w:r>
      <w:hyperlink r:id="rId95" w:tooltip="ВСНХ СССР" w:history="1">
        <w:r w:rsidRPr="00507A31">
          <w:rPr>
            <w:rStyle w:val="a5"/>
            <w:rFonts w:eastAsiaTheme="majorEastAsia"/>
            <w:color w:val="000000" w:themeColor="text1"/>
            <w:sz w:val="16"/>
            <w:szCs w:val="16"/>
            <w:u w:val="none"/>
          </w:rPr>
          <w:t>ВСНХ СССР</w:t>
        </w:r>
      </w:hyperlink>
      <w:r w:rsidRPr="00507A31">
        <w:rPr>
          <w:color w:val="000000" w:themeColor="text1"/>
          <w:sz w:val="16"/>
          <w:szCs w:val="16"/>
        </w:rPr>
        <w:t xml:space="preserve"> от 24 декабря 1930 года и ЦК ВКП(б) от 25 января 1931 года проектирование было передано советским проектным организациям. С другой стороны, по информации на сайте ММК, проектирование нового металлургического комбината началось в мае </w:t>
      </w:r>
      <w:hyperlink r:id="rId96" w:tooltip="1925 год" w:history="1">
        <w:r w:rsidRPr="00507A31">
          <w:rPr>
            <w:rStyle w:val="a5"/>
            <w:rFonts w:eastAsiaTheme="majorEastAsia"/>
            <w:color w:val="000000" w:themeColor="text1"/>
            <w:sz w:val="16"/>
            <w:szCs w:val="16"/>
            <w:u w:val="none"/>
          </w:rPr>
          <w:t>1925 года</w:t>
        </w:r>
      </w:hyperlink>
      <w:r w:rsidRPr="00507A31">
        <w:rPr>
          <w:color w:val="000000" w:themeColor="text1"/>
          <w:sz w:val="16"/>
          <w:szCs w:val="16"/>
        </w:rPr>
        <w:t xml:space="preserve">, в декабре </w:t>
      </w:r>
      <w:hyperlink r:id="rId97" w:tooltip="1928 год" w:history="1">
        <w:r w:rsidRPr="00507A31">
          <w:rPr>
            <w:rStyle w:val="a5"/>
            <w:rFonts w:eastAsiaTheme="majorEastAsia"/>
            <w:color w:val="000000" w:themeColor="text1"/>
            <w:sz w:val="16"/>
            <w:szCs w:val="16"/>
            <w:u w:val="none"/>
          </w:rPr>
          <w:t>1928 года</w:t>
        </w:r>
      </w:hyperlink>
      <w:r w:rsidRPr="00507A31">
        <w:rPr>
          <w:color w:val="000000" w:themeColor="text1"/>
          <w:sz w:val="16"/>
          <w:szCs w:val="16"/>
        </w:rPr>
        <w:t xml:space="preserve"> проект, разработанный институтом </w:t>
      </w:r>
      <w:hyperlink r:id="rId98" w:tooltip="УралГипромез (страница отсутствует)" w:history="1">
        <w:r w:rsidRPr="00507A31">
          <w:rPr>
            <w:rStyle w:val="a5"/>
            <w:rFonts w:eastAsiaTheme="majorEastAsia"/>
            <w:color w:val="000000" w:themeColor="text1"/>
            <w:sz w:val="16"/>
            <w:szCs w:val="16"/>
            <w:u w:val="none"/>
          </w:rPr>
          <w:t>УралГипромез</w:t>
        </w:r>
      </w:hyperlink>
      <w:r w:rsidRPr="00507A31">
        <w:rPr>
          <w:color w:val="000000" w:themeColor="text1"/>
          <w:sz w:val="16"/>
          <w:szCs w:val="16"/>
        </w:rPr>
        <w:t xml:space="preserve">, был официально утвержден, и в марте </w:t>
      </w:r>
      <w:hyperlink r:id="rId99" w:tooltip="1929 год" w:history="1">
        <w:r w:rsidRPr="00507A31">
          <w:rPr>
            <w:rStyle w:val="a5"/>
            <w:rFonts w:eastAsiaTheme="majorEastAsia"/>
            <w:color w:val="000000" w:themeColor="text1"/>
            <w:sz w:val="16"/>
            <w:szCs w:val="16"/>
            <w:u w:val="none"/>
          </w:rPr>
          <w:t>1929 года</w:t>
        </w:r>
      </w:hyperlink>
      <w:r w:rsidRPr="00507A31">
        <w:rPr>
          <w:color w:val="000000" w:themeColor="text1"/>
          <w:sz w:val="16"/>
          <w:szCs w:val="16"/>
        </w:rPr>
        <w:t xml:space="preserve"> на строительную площадку прибыли первые строители (17219).</w:t>
      </w:r>
    </w:p>
    <w:p w14:paraId="08D2EBD7" w14:textId="77777777" w:rsidR="005E0B98" w:rsidRPr="00507A31" w:rsidRDefault="005E0B98" w:rsidP="00507A31">
      <w:pPr>
        <w:jc w:val="both"/>
        <w:rPr>
          <w:color w:val="000000" w:themeColor="text1"/>
          <w:sz w:val="16"/>
          <w:szCs w:val="16"/>
        </w:rPr>
      </w:pPr>
    </w:p>
    <w:p w14:paraId="1EAE50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в ГКБ ОАТ под руководством С.П.Шукалова при участии конструкторов ХПЗ был разработан вариант модернизированного Т-12 - танка Т-24 (9527,117).</w:t>
      </w:r>
    </w:p>
    <w:p w14:paraId="204D5DD8" w14:textId="77777777" w:rsidR="00537E5F" w:rsidRPr="00507A31" w:rsidRDefault="00537E5F" w:rsidP="00507A31">
      <w:pPr>
        <w:autoSpaceDE w:val="0"/>
        <w:autoSpaceDN w:val="0"/>
        <w:adjustRightInd w:val="0"/>
        <w:jc w:val="both"/>
        <w:rPr>
          <w:color w:val="000000" w:themeColor="text1"/>
          <w:sz w:val="16"/>
          <w:szCs w:val="16"/>
        </w:rPr>
      </w:pPr>
    </w:p>
    <w:p w14:paraId="5315F6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мае 1931 г. было при</w:t>
      </w:r>
      <w:r w:rsidRPr="00507A31">
        <w:rPr>
          <w:color w:val="000000" w:themeColor="text1"/>
          <w:sz w:val="16"/>
          <w:szCs w:val="16"/>
        </w:rPr>
        <w:softHyphen/>
        <w:t>нято решение о продолжении серийного производства мо</w:t>
      </w:r>
      <w:r w:rsidRPr="00507A31">
        <w:rPr>
          <w:color w:val="000000" w:themeColor="text1"/>
          <w:sz w:val="16"/>
          <w:szCs w:val="16"/>
        </w:rPr>
        <w:softHyphen/>
        <w:t>дернизированных Т-18 до конца текущего года (10733,100).</w:t>
      </w:r>
    </w:p>
    <w:p w14:paraId="0C9C38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021EC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был готов корпус нового танка Т-18 улучшенный - Т-20, над которым работали с зимы 1930. Хотели:</w:t>
      </w:r>
    </w:p>
    <w:p w14:paraId="10848C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Увеличить мощность двигателя до 60 нр</w:t>
      </w:r>
    </w:p>
    <w:p w14:paraId="48182C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возможности улучшить пушечное вооружение</w:t>
      </w:r>
    </w:p>
    <w:p w14:paraId="627749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Увеличить боекомплект пулемета</w:t>
      </w:r>
    </w:p>
    <w:p w14:paraId="155382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Увеличить емкость топливного бака со 110 до 160 л</w:t>
      </w:r>
    </w:p>
    <w:p w14:paraId="3FC4B8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Снизить вес пустого танка - путем снижения бронезащиты до 15-7 мм</w:t>
      </w:r>
    </w:p>
    <w:p w14:paraId="78D516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Унифицировать катки с Т-19</w:t>
      </w:r>
    </w:p>
    <w:p w14:paraId="21CA0F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Упростить процесс управления танком</w:t>
      </w:r>
    </w:p>
    <w:p w14:paraId="5FBA67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Уменьшить число импортных деталей (4243,14).</w:t>
      </w:r>
    </w:p>
    <w:p w14:paraId="0D1E81A4" w14:textId="77777777" w:rsidR="00537E5F" w:rsidRPr="00507A31" w:rsidRDefault="00537E5F" w:rsidP="00507A31">
      <w:pPr>
        <w:autoSpaceDE w:val="0"/>
        <w:autoSpaceDN w:val="0"/>
        <w:adjustRightInd w:val="0"/>
        <w:jc w:val="both"/>
        <w:rPr>
          <w:color w:val="000000" w:themeColor="text1"/>
          <w:sz w:val="16"/>
          <w:szCs w:val="16"/>
        </w:rPr>
      </w:pPr>
    </w:p>
    <w:p w14:paraId="666017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мае 1930 был готов кузов (корпус) нового танка Т-20 (при плане — к марту). В нем были, казалось бы, устранены все недостатки корпуса Т-18, родившиеся в результате его пере</w:t>
      </w:r>
      <w:r w:rsidRPr="00507A31">
        <w:rPr>
          <w:color w:val="000000" w:themeColor="text1"/>
          <w:sz w:val="16"/>
          <w:szCs w:val="16"/>
        </w:rPr>
        <w:softHyphen/>
        <w:t>делки из Т-16. Например, убран ненужный литой удлини</w:t>
      </w:r>
      <w:r w:rsidRPr="00507A31">
        <w:rPr>
          <w:color w:val="000000" w:themeColor="text1"/>
          <w:sz w:val="16"/>
          <w:szCs w:val="16"/>
        </w:rPr>
        <w:softHyphen/>
        <w:t>тель в носовой части (весом 150 кг), изменено расположе</w:t>
      </w:r>
      <w:r w:rsidRPr="00507A31">
        <w:rPr>
          <w:color w:val="000000" w:themeColor="text1"/>
          <w:sz w:val="16"/>
          <w:szCs w:val="16"/>
        </w:rPr>
        <w:softHyphen/>
        <w:t>ние кареток подвески (а также убран лишний передний опорный каток), что улучшало распределение веса танка на гусеницу и уменьшало продольные колебания, упрощена форма корпуса, и в частности — надгусеничных полок (что позволило разместить в них большие бензобаки). Двигатель танка мощностью 60 л.с. запоздал почти на полгода. Он был подан 14 октября и развил на стенде мощ</w:t>
      </w:r>
      <w:r w:rsidRPr="00507A31">
        <w:rPr>
          <w:color w:val="000000" w:themeColor="text1"/>
          <w:sz w:val="16"/>
          <w:szCs w:val="16"/>
        </w:rPr>
        <w:softHyphen/>
        <w:t>ность 57 л.с, правда, при несколько лучшей экономичности, чем ожидалось. Этот двигатель планировалось устанавли</w:t>
      </w:r>
      <w:r w:rsidRPr="00507A31">
        <w:rPr>
          <w:color w:val="000000" w:themeColor="text1"/>
          <w:sz w:val="16"/>
          <w:szCs w:val="16"/>
        </w:rPr>
        <w:softHyphen/>
        <w:t>вать также на танки Т-18 новых серий, танкетки Т-23, а так</w:t>
      </w:r>
      <w:r w:rsidRPr="00507A31">
        <w:rPr>
          <w:color w:val="000000" w:themeColor="text1"/>
          <w:sz w:val="16"/>
          <w:szCs w:val="16"/>
        </w:rPr>
        <w:softHyphen/>
        <w:t>же средние тракторы РККА (10733,95).</w:t>
      </w:r>
    </w:p>
    <w:p w14:paraId="0F6595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7120CAC" w14:textId="77777777" w:rsidR="009B07CC" w:rsidRPr="00507A31" w:rsidRDefault="009B07CC" w:rsidP="00507A31">
      <w:pPr>
        <w:jc w:val="both"/>
        <w:rPr>
          <w:color w:val="000000" w:themeColor="text1"/>
          <w:sz w:val="16"/>
          <w:szCs w:val="16"/>
        </w:rPr>
      </w:pPr>
      <w:r w:rsidRPr="00507A31">
        <w:rPr>
          <w:color w:val="000000" w:themeColor="text1"/>
          <w:sz w:val="16"/>
          <w:szCs w:val="16"/>
        </w:rPr>
        <w:t>В мае 1930 года на ХПЗ им. Коминтерна был отправлен сотрудник МПУ Машинообъединения инженер Медведников, который докладывал руководству Управления: «...Конструктивные изменения, внесенные ОАТ в машину, почти все произведены, осмотрены ипроверены дифференциал и коробка скоростей, поставлены сервоаппараты, новый вентилятор.Машина уже ходила на заводские испытания. Вентилятор охлаждает удовлетворительно. Тормоза работают, но поворачиваемость машины стала хуже, что т. Наконечный просил особо отметить. Причину ухудшения поворачиваемо-сти завод себе еще не уяснил. Новая гусеница еще не поставлена, сама гусеничная лента заканчивается изготовлением. Задержалось в цеху изготовление роликов и ролики еще не отправлены в Ленинград для заливки резиной. По словам т. Махонина 17-18 мая он предполагает выехать с машиной на заводское испытание и к20 мая назначить сдаточное испытание с вызовом комиссии заказчика.</w:t>
      </w:r>
    </w:p>
    <w:p w14:paraId="1A7CFD00" w14:textId="77777777" w:rsidR="009B07CC" w:rsidRPr="00507A31" w:rsidRDefault="009B07CC" w:rsidP="00507A31">
      <w:pPr>
        <w:jc w:val="both"/>
        <w:rPr>
          <w:color w:val="000000" w:themeColor="text1"/>
          <w:sz w:val="16"/>
          <w:szCs w:val="16"/>
        </w:rPr>
      </w:pPr>
      <w:r w:rsidRPr="00507A31">
        <w:rPr>
          <w:color w:val="000000" w:themeColor="text1"/>
          <w:sz w:val="16"/>
          <w:szCs w:val="16"/>
        </w:rPr>
        <w:t>План производства первой партии танков в количестве 15 шт. составлен, и сроки выпуска были намечены на октябрь, ноябрь и декабрь 1930 г.Вследствие изменения в производственной программе завода первоначальный план подвергся некоторому изменению и сроки выпуска были отдалены до выпуска последних машин в феврале 1931 г.Получаемые от ОАТ чертежи переделок имеют в большинстве характер компоновочный и детальные рабочие чертежи должны быть разработаны заводским конструкторским бюро. В настоящее время это бюро состоит из пяти человек и не в стсотянии выполнить всю эту работу, каковая падает на него в связи с изменением конструкции машины. Нужно пополнить минимум 15 человек, из которых 5-6 человек должны быть опытными в этой части конструкторами.По заявлению завода, внутренними силами завода усилить конструкторское бюро не представляется возможным и завод просит Машинообъединение об оказании ему срочного содействия по усилению конструкторского бюро извне...Беря за основу, что готовность чертежей корпуса будет в июне месяце, мы имеем первый корпус в ноябре месяце, срок который сразу устанавливает, что начало выпуска машин не может быть ранее января 1931 г.».</w:t>
      </w:r>
    </w:p>
    <w:p w14:paraId="4802ACA9" w14:textId="77777777" w:rsidR="009B07CC" w:rsidRPr="00507A31" w:rsidRDefault="009B07CC" w:rsidP="00507A31">
      <w:pPr>
        <w:jc w:val="both"/>
        <w:rPr>
          <w:color w:val="000000" w:themeColor="text1"/>
          <w:sz w:val="16"/>
          <w:szCs w:val="16"/>
        </w:rPr>
      </w:pPr>
      <w:r w:rsidRPr="00507A31">
        <w:rPr>
          <w:color w:val="000000" w:themeColor="text1"/>
          <w:sz w:val="16"/>
          <w:szCs w:val="16"/>
        </w:rPr>
        <w:t>Испытания танка продолжились 28 апреля, а также 5 и 9 мая 1930 г. К моменту их проведения на Т-12 были установлены:</w:t>
      </w:r>
    </w:p>
    <w:p w14:paraId="29A6AA0F" w14:textId="77777777" w:rsidR="009B07CC" w:rsidRPr="00507A31" w:rsidRDefault="009B07CC" w:rsidP="00507A31">
      <w:pPr>
        <w:jc w:val="both"/>
        <w:rPr>
          <w:color w:val="000000" w:themeColor="text1"/>
          <w:sz w:val="16"/>
          <w:szCs w:val="16"/>
        </w:rPr>
      </w:pPr>
      <w:r w:rsidRPr="00507A31">
        <w:rPr>
          <w:color w:val="000000" w:themeColor="text1"/>
          <w:sz w:val="16"/>
          <w:szCs w:val="16"/>
        </w:rPr>
        <w:t>- более мощный вентилятор, осуществлявший забор охлаждающего воздуха в кормовой части корпуса, проход его через радиатор системы охлаждения и выброс из моторного отделения у правого борта;</w:t>
      </w:r>
    </w:p>
    <w:p w14:paraId="79D6D30B" w14:textId="77777777" w:rsidR="009B07CC" w:rsidRPr="00507A31" w:rsidRDefault="009B07CC" w:rsidP="00507A31">
      <w:pPr>
        <w:jc w:val="both"/>
        <w:rPr>
          <w:color w:val="000000" w:themeColor="text1"/>
          <w:sz w:val="16"/>
          <w:szCs w:val="16"/>
        </w:rPr>
      </w:pPr>
      <w:r w:rsidRPr="00507A31">
        <w:rPr>
          <w:color w:val="000000" w:themeColor="text1"/>
          <w:sz w:val="16"/>
          <w:szCs w:val="16"/>
        </w:rPr>
        <w:t>- новая коробка передач с роликовыми подшипниками для центрального вала вместо скользящих втулок и с ребристой алюминиевой крышкой картера;</w:t>
      </w:r>
    </w:p>
    <w:p w14:paraId="416B45C8" w14:textId="77777777" w:rsidR="009B07CC" w:rsidRPr="00507A31" w:rsidRDefault="009B07CC" w:rsidP="00507A31">
      <w:pPr>
        <w:jc w:val="both"/>
        <w:rPr>
          <w:color w:val="000000" w:themeColor="text1"/>
          <w:sz w:val="16"/>
          <w:szCs w:val="16"/>
        </w:rPr>
      </w:pPr>
      <w:r w:rsidRPr="00507A31">
        <w:rPr>
          <w:color w:val="000000" w:themeColor="text1"/>
          <w:sz w:val="16"/>
          <w:szCs w:val="16"/>
        </w:rPr>
        <w:t>- новая система привода управления тормозами и двумя сервоаппаратами и двумя рычагами управления (как для торможения, так и для поворота) вместо ножной педали и рулевой колонки;</w:t>
      </w:r>
    </w:p>
    <w:p w14:paraId="4B60DC01" w14:textId="77777777" w:rsidR="009B07CC" w:rsidRPr="00507A31" w:rsidRDefault="009B07CC" w:rsidP="00507A31">
      <w:pPr>
        <w:jc w:val="both"/>
        <w:rPr>
          <w:color w:val="000000" w:themeColor="text1"/>
          <w:sz w:val="16"/>
          <w:szCs w:val="16"/>
        </w:rPr>
      </w:pPr>
      <w:r w:rsidRPr="00507A31">
        <w:rPr>
          <w:color w:val="000000" w:themeColor="text1"/>
          <w:sz w:val="16"/>
          <w:szCs w:val="16"/>
        </w:rPr>
        <w:t>- упорядоченная система смазки и водоотводящих труб;</w:t>
      </w:r>
    </w:p>
    <w:p w14:paraId="5DE4DDBD" w14:textId="77777777" w:rsidR="009B07CC" w:rsidRPr="00507A31" w:rsidRDefault="009B07CC" w:rsidP="00507A31">
      <w:pPr>
        <w:jc w:val="both"/>
        <w:rPr>
          <w:color w:val="000000" w:themeColor="text1"/>
          <w:sz w:val="16"/>
          <w:szCs w:val="16"/>
        </w:rPr>
      </w:pPr>
      <w:r w:rsidRPr="00507A31">
        <w:rPr>
          <w:color w:val="000000" w:themeColor="text1"/>
          <w:sz w:val="16"/>
          <w:szCs w:val="16"/>
        </w:rPr>
        <w:t>- усовершенствованные тормоза;</w:t>
      </w:r>
    </w:p>
    <w:p w14:paraId="301B9186" w14:textId="77777777" w:rsidR="009B07CC" w:rsidRPr="00507A31" w:rsidRDefault="009B07CC" w:rsidP="00507A31">
      <w:pPr>
        <w:jc w:val="both"/>
        <w:rPr>
          <w:color w:val="000000" w:themeColor="text1"/>
          <w:sz w:val="16"/>
          <w:szCs w:val="16"/>
        </w:rPr>
      </w:pPr>
      <w:r w:rsidRPr="00507A31">
        <w:rPr>
          <w:color w:val="000000" w:themeColor="text1"/>
          <w:sz w:val="16"/>
          <w:szCs w:val="16"/>
        </w:rPr>
        <w:t>- бортовые редуктора с новой, более жесткой крышкой (12303).</w:t>
      </w:r>
    </w:p>
    <w:p w14:paraId="2CAA90CE" w14:textId="77777777" w:rsidR="009B07CC" w:rsidRPr="00507A31" w:rsidRDefault="009B07CC" w:rsidP="00507A31">
      <w:pPr>
        <w:jc w:val="both"/>
        <w:rPr>
          <w:color w:val="000000" w:themeColor="text1"/>
          <w:sz w:val="16"/>
          <w:szCs w:val="16"/>
        </w:rPr>
      </w:pPr>
    </w:p>
    <w:p w14:paraId="268201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года АУ РККА передало все материалы об изготовлении и испытаниях САУ "Арсеналец-45" завода № 7 в... ОГПУ. Сведений о дальнейшей судьбе "Арсенальца" найти не удалось (3861).</w:t>
      </w:r>
    </w:p>
    <w:p w14:paraId="647FB2EF" w14:textId="77777777" w:rsidR="00537E5F" w:rsidRPr="00507A31" w:rsidRDefault="00537E5F" w:rsidP="00507A31">
      <w:pPr>
        <w:autoSpaceDE w:val="0"/>
        <w:autoSpaceDN w:val="0"/>
        <w:adjustRightInd w:val="0"/>
        <w:jc w:val="both"/>
        <w:rPr>
          <w:color w:val="000000" w:themeColor="text1"/>
          <w:sz w:val="16"/>
          <w:szCs w:val="16"/>
        </w:rPr>
      </w:pPr>
    </w:p>
    <w:p w14:paraId="120060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года в Ленинграде в Тремасе приступили к разработке легкого мотоцикла на основе "Тремасс-300", а через месяц изготовили промышленный образец, обозначенный "Тремасс-300". А серийное производство мотоциклов, которые назвали Л-300 (Ленинградские, с двигателем рабочим объёмом 300 смз), начали в январе 1931 г. на заводе "Красный Октябрь". На этом миссия Можарова в Ленинграде завершилась (11397).</w:t>
      </w:r>
    </w:p>
    <w:p w14:paraId="33777B84" w14:textId="77777777" w:rsidR="00537E5F" w:rsidRPr="00507A31" w:rsidRDefault="00537E5F" w:rsidP="00507A31">
      <w:pPr>
        <w:autoSpaceDE w:val="0"/>
        <w:autoSpaceDN w:val="0"/>
        <w:adjustRightInd w:val="0"/>
        <w:jc w:val="both"/>
        <w:rPr>
          <w:color w:val="000000" w:themeColor="text1"/>
          <w:sz w:val="16"/>
          <w:szCs w:val="16"/>
        </w:rPr>
      </w:pPr>
    </w:p>
    <w:p w14:paraId="09CA3B84" w14:textId="77777777" w:rsidR="005E0B98" w:rsidRPr="00507A31" w:rsidRDefault="005E0B98" w:rsidP="00507A31">
      <w:pPr>
        <w:jc w:val="both"/>
        <w:rPr>
          <w:color w:val="000000" w:themeColor="text1"/>
          <w:sz w:val="16"/>
          <w:szCs w:val="16"/>
        </w:rPr>
      </w:pPr>
      <w:r w:rsidRPr="00507A31">
        <w:rPr>
          <w:color w:val="000000" w:themeColor="text1"/>
          <w:sz w:val="16"/>
          <w:szCs w:val="16"/>
        </w:rPr>
        <w:t xml:space="preserve">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2E59F226" w14:textId="77777777" w:rsidR="005E0B98" w:rsidRPr="00507A31" w:rsidRDefault="005E0B98" w:rsidP="00507A31">
      <w:pPr>
        <w:jc w:val="both"/>
        <w:rPr>
          <w:color w:val="000000" w:themeColor="text1"/>
          <w:sz w:val="16"/>
          <w:szCs w:val="16"/>
        </w:rPr>
      </w:pPr>
      <w:r w:rsidRPr="00507A31">
        <w:rPr>
          <w:color w:val="000000" w:themeColor="text1"/>
          <w:sz w:val="16"/>
          <w:szCs w:val="16"/>
        </w:rPr>
        <w:t xml:space="preserve">1 ноября 1930 года начальником теперь уже Господшипникстроя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4BAB6250" w14:textId="77777777" w:rsidR="005E0B98" w:rsidRPr="00507A31" w:rsidRDefault="005E0B98" w:rsidP="00507A31">
      <w:pPr>
        <w:jc w:val="both"/>
        <w:rPr>
          <w:color w:val="000000" w:themeColor="text1"/>
          <w:sz w:val="16"/>
          <w:szCs w:val="16"/>
        </w:rPr>
      </w:pPr>
      <w:r w:rsidRPr="00507A31">
        <w:rPr>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08E76DFC" w14:textId="77777777" w:rsidR="005E0B98" w:rsidRPr="00507A31" w:rsidRDefault="005E0B98" w:rsidP="00507A31">
      <w:pPr>
        <w:jc w:val="both"/>
        <w:rPr>
          <w:color w:val="000000" w:themeColor="text1"/>
          <w:sz w:val="16"/>
          <w:szCs w:val="16"/>
        </w:rPr>
      </w:pPr>
      <w:r w:rsidRPr="00507A31">
        <w:rPr>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317304A2" w14:textId="77777777" w:rsidR="005E0B98" w:rsidRPr="00507A31" w:rsidRDefault="005E0B98" w:rsidP="00507A31">
      <w:pPr>
        <w:jc w:val="both"/>
        <w:rPr>
          <w:color w:val="000000" w:themeColor="text1"/>
          <w:sz w:val="16"/>
          <w:szCs w:val="16"/>
        </w:rPr>
      </w:pPr>
    </w:p>
    <w:p w14:paraId="24859B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года опытные электролизеры дали алюминий, сразу же, в июне, началось ударное строительство и самого Волховского алюминиевого комбината, в рабочую схему которого входили глиноземный и электролизный заводы (11273).</w:t>
      </w:r>
    </w:p>
    <w:p w14:paraId="34ABB034" w14:textId="77777777" w:rsidR="00537E5F" w:rsidRPr="00507A31" w:rsidRDefault="00537E5F" w:rsidP="00507A31">
      <w:pPr>
        <w:autoSpaceDE w:val="0"/>
        <w:autoSpaceDN w:val="0"/>
        <w:adjustRightInd w:val="0"/>
        <w:jc w:val="both"/>
        <w:rPr>
          <w:color w:val="000000" w:themeColor="text1"/>
          <w:sz w:val="16"/>
          <w:szCs w:val="16"/>
        </w:rPr>
      </w:pPr>
    </w:p>
    <w:p w14:paraId="39939C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мае 1930 года руководителем «Кузнецкстроя» была назначен партиец с дореволюционнам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Колгушкина. В 1936 году Франкфурта обвинили в измене Родине, шпионаже и терроризме, после чего он был расстрелян. 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«Кузнецкстроя»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w:t>
      </w:r>
      <w:r w:rsidRPr="00507A31">
        <w:rPr>
          <w:color w:val="000000" w:themeColor="text1"/>
          <w:sz w:val="16"/>
          <w:szCs w:val="16"/>
        </w:rPr>
        <w:lastRenderedPageBreak/>
        <w:t xml:space="preserve">невозможно. По данным исследователя-краеведа Л.И. Фойгт, до 62% строителей Кузнецкого комбината были раскулаченными крестьянами и заключенными (Л.И. Фойгт. Сталинск в годы репрессий. Новокузнецк. 1993-1995). В 1931 году стройка освоила планово до 150 млн. рублей (в 1930 году – только 50 млн. рублей). К концу года в строй были введены вспомогательные цеха - литейный и шамото-динасовый.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6EF6ED82" w14:textId="77777777" w:rsidR="00537E5F" w:rsidRPr="00507A31" w:rsidRDefault="00537E5F" w:rsidP="00507A31">
      <w:pPr>
        <w:autoSpaceDE w:val="0"/>
        <w:autoSpaceDN w:val="0"/>
        <w:adjustRightInd w:val="0"/>
        <w:jc w:val="both"/>
        <w:rPr>
          <w:color w:val="000000" w:themeColor="text1"/>
          <w:sz w:val="16"/>
          <w:szCs w:val="16"/>
        </w:rPr>
      </w:pPr>
    </w:p>
    <w:p w14:paraId="120278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 на опытном аллюминиевом заводе, строящемся с сентября 1929, были пущены первые опытно-промышленные электролизеры и получен первый алюминий. В 1931-31 г. ОАЗ - в подчинении НИИАлюминий.</w:t>
      </w:r>
      <w:r w:rsidRPr="00507A31">
        <w:rPr>
          <w:color w:val="000000" w:themeColor="text1"/>
          <w:sz w:val="16"/>
          <w:szCs w:val="16"/>
          <w:vertAlign w:val="superscript"/>
        </w:rPr>
        <w:t>131</w:t>
      </w:r>
      <w:r w:rsidRPr="00507A31">
        <w:rPr>
          <w:color w:val="000000" w:themeColor="text1"/>
          <w:sz w:val="16"/>
          <w:szCs w:val="16"/>
        </w:rPr>
        <w:t xml:space="preserve"> Строительство Опытного алюминиевого завода (ОАЗ) велось в Ленинграде во Фризовском пер. Выборгской стороны в здании бывшего завода «Старый Парвиайнен».</w:t>
      </w:r>
    </w:p>
    <w:p w14:paraId="03E061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электролизном цехе завода было установлено 20 ванн с анодами 5 разных конструкций: русской, немецкой, норвежской, французской. В итоге за основу для электролизеров строившихся Волховского и Днепровского заводов был выбран французский электролизер типа «Сабр».</w:t>
      </w:r>
    </w:p>
    <w:p w14:paraId="52096B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1931-31 г. Опытный завод - в подчинении НИИАлюминий.</w:t>
      </w:r>
      <w:r w:rsidRPr="00507A31">
        <w:rPr>
          <w:color w:val="000000" w:themeColor="text1"/>
          <w:sz w:val="16"/>
          <w:szCs w:val="16"/>
          <w:vertAlign w:val="superscript"/>
        </w:rPr>
        <w:t>131</w:t>
      </w:r>
      <w:r w:rsidRPr="00507A31">
        <w:rPr>
          <w:color w:val="000000" w:themeColor="text1"/>
          <w:sz w:val="16"/>
          <w:szCs w:val="16"/>
        </w:rPr>
        <w:t xml:space="preserve"> (11982).</w:t>
      </w:r>
    </w:p>
    <w:p w14:paraId="4E674AB5" w14:textId="77777777" w:rsidR="00537E5F" w:rsidRPr="00507A31" w:rsidRDefault="00537E5F" w:rsidP="00507A31">
      <w:pPr>
        <w:autoSpaceDE w:val="0"/>
        <w:autoSpaceDN w:val="0"/>
        <w:adjustRightInd w:val="0"/>
        <w:jc w:val="both"/>
        <w:rPr>
          <w:color w:val="000000" w:themeColor="text1"/>
          <w:sz w:val="16"/>
          <w:szCs w:val="16"/>
        </w:rPr>
      </w:pPr>
    </w:p>
    <w:p w14:paraId="6BA9EF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 было создано Уральское отделение Теплотехнического института имени профессоров В. И. Гриневецкого и К. В. Кирша. В связи с переименованием института приказом ВСНХ СССР от 8 декабря 1930 г. становится Уральским отделением Всесоюзного теплотехнического института (ВТИ) им. Ф. Э. Дзержинского. 5 февраля 1940 г. переименовано в Восточный научно-исследовательский институт топливоиспользования (ВНИИТ). Приказом Министерства черной металлургии СССР от 20 июля 1956 г. институт преобразован во ВНИИМТ (12102).</w:t>
      </w:r>
    </w:p>
    <w:p w14:paraId="715F6519" w14:textId="77777777" w:rsidR="002670C7" w:rsidRPr="00507A31" w:rsidRDefault="002670C7" w:rsidP="00507A31">
      <w:pPr>
        <w:autoSpaceDE w:val="0"/>
        <w:autoSpaceDN w:val="0"/>
        <w:adjustRightInd w:val="0"/>
        <w:jc w:val="both"/>
        <w:rPr>
          <w:color w:val="000000" w:themeColor="text1"/>
          <w:sz w:val="16"/>
          <w:szCs w:val="16"/>
        </w:rPr>
      </w:pPr>
    </w:p>
    <w:p w14:paraId="73B673E1" w14:textId="77777777" w:rsidR="00FE0416" w:rsidRPr="00507A31" w:rsidRDefault="00FE0416" w:rsidP="00507A31">
      <w:pPr>
        <w:jc w:val="both"/>
        <w:rPr>
          <w:color w:val="000000" w:themeColor="text1"/>
          <w:sz w:val="16"/>
          <w:szCs w:val="16"/>
        </w:rPr>
      </w:pPr>
      <w:r w:rsidRPr="00507A31">
        <w:rPr>
          <w:color w:val="000000" w:themeColor="text1"/>
          <w:sz w:val="16"/>
          <w:szCs w:val="16"/>
        </w:rPr>
        <w:t>В мае 1930 г. ВСНХ СССР рассматривая перспективу дальнейшего развития электропромышленности, отмечал необходимость скорейшего перехода на выпуск более совершенных в техническом плане типов изделий и постановки ряда новых производств. Для этой цели планировалось активизировать использование договоров о технической помощи. В отношении сильноточного производства было принято решение о нецелесообразности возобновления соглашения с «АЕГ», действие которого заканчивалось в апреле 1931 года. В качестве аргумента руководство ВСНХ приводило две причины: помощь фирмы практически исчерпала себя в техническом плане, так как советская электропромышленность к этому времени фактически сравнялась по многим видам производства с уровнем компании; стоимость договора была слишком высокой в силу того, что концерн получал долевое отчисление с оборота треста [4, л. 187].</w:t>
      </w:r>
    </w:p>
    <w:p w14:paraId="39886C0F" w14:textId="77777777" w:rsidR="00FE0416" w:rsidRPr="00507A31" w:rsidRDefault="00FE0416" w:rsidP="00507A31">
      <w:pPr>
        <w:jc w:val="both"/>
        <w:rPr>
          <w:color w:val="000000" w:themeColor="text1"/>
          <w:sz w:val="16"/>
          <w:szCs w:val="16"/>
        </w:rPr>
      </w:pPr>
      <w:r w:rsidRPr="00507A31">
        <w:rPr>
          <w:color w:val="000000" w:themeColor="text1"/>
          <w:sz w:val="16"/>
          <w:szCs w:val="16"/>
        </w:rPr>
        <w:t>Несмотря на то что договор о техническом содействии с «АЕГ» не был продлен, ВСНХ высоко оценивал те результаты, которых удалось достичь предприятиям ГЭТ за счет использования опыта и материалов фирмы. В ходе сотрудничества в значительной степени были пополнены технические архивы заводов и треста. За период действия договора германская компания передала ГЭТ 190 673 чертежа и 1 508 технических отчетов, касавшихся конструкций, оборудования, установок, расчетных данных, производственных инструкций и норм. Заводы концерна посетили 290 специалистов треста. В итоге за счет предоставленных «АЕГ» материалов и сведений, полученных на предприятиях фирмы, советской стороной был поставлен ряд новых производств и внедрены новые методы и способы производства. Кроме того, были проведены мероприятия технического и производственного характера по улучшению и рационализации существующих конструкций и видов производств. Эти меры повлияли на улучшение качества изделий, увеличение выпуска продукции, снижение ее себестоимости, сэкономили достаточно времени и средств, которые были бы необходимы в случае проведения лабораторно-исследовательских работ собственными силами [14, л. 3-5]. По данным ГКК, общий экономический эффект от действия договора составил 5,6 млн руб., тогда как первоначально предполагалось, что эта сумма достигнет 3 млн руб., то есть полученный экономический эффект превзошел ожидаемый на 86%. В то же время отчисления «АЕГ» за оказанное техническое содействие равнялись 1,7 млн руб. [там же, л. 3-5]. Договор о техническом содействии с «АЕГ» позволил советской электропромышленности сильных токов достичь передового уровня производства за относительно короткий период времени. Материалы и опыт германской фирмы дали возможность не только наладить выпуск новых видов продукции и усовершенствовать старые модели изделий, но и избежать ошибок и просчетов, которые могли бы возникнуть при самостоятельном решении этих задач. Этот давало советской стороне огромное преимущество перед иностранными компаниями, так как она имела уникальную возможность, учитывая чужие ошибки, заимствовать самые передовые достижения в данной отрасли. В результате успешно реализованного договора о техническом сотрудничестве Советский Союз получил возможность осуществить электрификацию страны на базе новейшего электрооборудования, производимого отечественными предприятиями сильного тока, сократить до минимума импортную зависимость в данной отрасли производства (18647).</w:t>
      </w:r>
    </w:p>
    <w:p w14:paraId="41A655E3" w14:textId="77777777" w:rsidR="00FE0416" w:rsidRPr="00507A31" w:rsidRDefault="00FE0416" w:rsidP="00507A31">
      <w:pPr>
        <w:jc w:val="both"/>
        <w:rPr>
          <w:color w:val="000000" w:themeColor="text1"/>
          <w:sz w:val="16"/>
          <w:szCs w:val="16"/>
        </w:rPr>
      </w:pPr>
    </w:p>
    <w:p w14:paraId="2539C8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 был утверж</w:t>
      </w:r>
      <w:r w:rsidRPr="00507A31">
        <w:rPr>
          <w:color w:val="000000" w:themeColor="text1"/>
          <w:sz w:val="16"/>
          <w:szCs w:val="16"/>
        </w:rPr>
        <w:softHyphen/>
        <w:t>ден устав и выбрано правление Всесоюзного научно-технического общества судостроения и судоходства (ВНТОСС) (3898).</w:t>
      </w:r>
    </w:p>
    <w:p w14:paraId="34CE751A" w14:textId="77777777" w:rsidR="00537E5F" w:rsidRPr="00507A31" w:rsidRDefault="00537E5F" w:rsidP="00507A31">
      <w:pPr>
        <w:autoSpaceDE w:val="0"/>
        <w:autoSpaceDN w:val="0"/>
        <w:adjustRightInd w:val="0"/>
        <w:jc w:val="both"/>
        <w:rPr>
          <w:color w:val="000000" w:themeColor="text1"/>
          <w:sz w:val="16"/>
          <w:szCs w:val="16"/>
        </w:rPr>
      </w:pPr>
    </w:p>
    <w:p w14:paraId="6F6F37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 морское управление Штаба РККА (В. П. Калачев) выдало оперативно-тактическое задание для эскадренной подлод</w:t>
      </w:r>
      <w:r w:rsidRPr="00507A31">
        <w:rPr>
          <w:color w:val="000000" w:themeColor="text1"/>
          <w:sz w:val="16"/>
          <w:szCs w:val="16"/>
        </w:rPr>
        <w:softHyphen/>
        <w:t>ки Балтийского и Черного морей. На лодку возлагались задачи: участие в эскадренном бою путем производства атаки противни</w:t>
      </w:r>
      <w:r w:rsidRPr="00507A31">
        <w:rPr>
          <w:color w:val="000000" w:themeColor="text1"/>
          <w:sz w:val="16"/>
          <w:szCs w:val="16"/>
        </w:rPr>
        <w:softHyphen/>
        <w:t>ка в период развертывания совместно с авангардными силами и при отходе противника после боя" и "атака двигающегося в море десанта противника, действуя группой лодок или совместно с лег</w:t>
      </w:r>
      <w:r w:rsidRPr="00507A31">
        <w:rPr>
          <w:color w:val="000000" w:themeColor="text1"/>
          <w:sz w:val="16"/>
          <w:szCs w:val="16"/>
        </w:rPr>
        <w:softHyphen/>
        <w:t>кими силами."</w:t>
      </w:r>
    </w:p>
    <w:p w14:paraId="18B771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вооружении из 10 торпедных аппаратов (16 торпед), одно</w:t>
      </w:r>
      <w:r w:rsidRPr="00507A31">
        <w:rPr>
          <w:color w:val="000000" w:themeColor="text1"/>
          <w:sz w:val="16"/>
          <w:szCs w:val="16"/>
        </w:rPr>
        <w:softHyphen/>
        <w:t>го 102-мм и одного 37-мм орудия эскадренная лодка должна была иметь водоизмещение около 1200—1300 т и надводный район пла</w:t>
      </w:r>
      <w:r w:rsidRPr="00507A31">
        <w:rPr>
          <w:color w:val="000000" w:themeColor="text1"/>
          <w:sz w:val="16"/>
          <w:szCs w:val="16"/>
        </w:rPr>
        <w:softHyphen/>
        <w:t>вания до 4000 миль. Главным же ее элементом считалась скорость: 22—23 уз в надводном положении и 11 уз — в подводном. Жела</w:t>
      </w:r>
      <w:r w:rsidRPr="00507A31">
        <w:rPr>
          <w:color w:val="000000" w:themeColor="text1"/>
          <w:sz w:val="16"/>
          <w:szCs w:val="16"/>
        </w:rPr>
        <w:softHyphen/>
        <w:t>тельно было обеспечить длительный эскадренный ход 14—15 уз (поход вместе с линкорами) и принять все меры по достижению максимального 15-узлового подводного хода (!), хотя бы и на са</w:t>
      </w:r>
      <w:r w:rsidRPr="00507A31">
        <w:rPr>
          <w:color w:val="000000" w:themeColor="text1"/>
          <w:sz w:val="16"/>
          <w:szCs w:val="16"/>
        </w:rPr>
        <w:softHyphen/>
        <w:t>мое короткое время (30—40 мин) (3898).</w:t>
      </w:r>
    </w:p>
    <w:p w14:paraId="507959D7" w14:textId="77777777" w:rsidR="00537E5F" w:rsidRPr="00507A31" w:rsidRDefault="00537E5F" w:rsidP="00507A31">
      <w:pPr>
        <w:autoSpaceDE w:val="0"/>
        <w:autoSpaceDN w:val="0"/>
        <w:adjustRightInd w:val="0"/>
        <w:jc w:val="both"/>
        <w:rPr>
          <w:color w:val="000000" w:themeColor="text1"/>
          <w:sz w:val="16"/>
          <w:szCs w:val="16"/>
        </w:rPr>
      </w:pPr>
    </w:p>
    <w:p w14:paraId="5A785D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г. по инициативе морского управления Шта</w:t>
      </w:r>
      <w:r w:rsidRPr="00507A31">
        <w:rPr>
          <w:color w:val="000000" w:themeColor="text1"/>
          <w:sz w:val="16"/>
          <w:szCs w:val="16"/>
        </w:rPr>
        <w:softHyphen/>
        <w:t>ба РККА (В. П. Калачев) началась работа по созданию малых подводных лодок для специфических условий Балтийского моря. Оперативно-тактическое за</w:t>
      </w:r>
      <w:r w:rsidRPr="00507A31">
        <w:rPr>
          <w:color w:val="000000" w:themeColor="text1"/>
          <w:sz w:val="16"/>
          <w:szCs w:val="16"/>
        </w:rPr>
        <w:softHyphen/>
        <w:t>дание для "малой позиционной ПЛ" предусматривало вооруже</w:t>
      </w:r>
      <w:r w:rsidRPr="00507A31">
        <w:rPr>
          <w:color w:val="000000" w:themeColor="text1"/>
          <w:sz w:val="16"/>
          <w:szCs w:val="16"/>
        </w:rPr>
        <w:softHyphen/>
        <w:t>ние из двух носовых и двух кормовых торпедных аппаратов (всего четыре торпеды) при водоизмещении не более 200 т. Ограничены были также мореходность (6 баллов), автономность (10 сут.), рабо</w:t>
      </w:r>
      <w:r w:rsidRPr="00507A31">
        <w:rPr>
          <w:color w:val="000000" w:themeColor="text1"/>
          <w:sz w:val="16"/>
          <w:szCs w:val="16"/>
        </w:rPr>
        <w:softHyphen/>
        <w:t>чая глубина погружения (50 м), углубление (8 фут.) и дальность плавания (1000/60 миль). Интересно, что заданием оговаривалась необходимость сетепрорезателя — "приспособления для прохожде</w:t>
      </w:r>
      <w:r w:rsidRPr="00507A31">
        <w:rPr>
          <w:color w:val="000000" w:themeColor="text1"/>
          <w:sz w:val="16"/>
          <w:szCs w:val="16"/>
        </w:rPr>
        <w:softHyphen/>
        <w:t>ния минных полей в подводном положении", "приспособления для лежания и плавания по грунту" и возможность постановки мин че</w:t>
      </w:r>
      <w:r w:rsidRPr="00507A31">
        <w:rPr>
          <w:color w:val="000000" w:themeColor="text1"/>
          <w:sz w:val="16"/>
          <w:szCs w:val="16"/>
        </w:rPr>
        <w:softHyphen/>
        <w:t>рез торпедные аппараты.</w:t>
      </w:r>
    </w:p>
    <w:p w14:paraId="56AAD3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Малая лодка по этому ОТЗ проектировалась в НТК УВМС с привлечением инженеров Техбюро № 4 в нескольких вариантах, из которых наиболее удачным был признан вариант с надводным во</w:t>
      </w:r>
      <w:r w:rsidRPr="00507A31">
        <w:rPr>
          <w:color w:val="000000" w:themeColor="text1"/>
          <w:sz w:val="16"/>
          <w:szCs w:val="16"/>
        </w:rPr>
        <w:softHyphen/>
        <w:t>доизмещением около 250 т. Однако этот достаточно обоснованный проект не был принят (3898).</w:t>
      </w:r>
    </w:p>
    <w:p w14:paraId="728A568C" w14:textId="77777777" w:rsidR="00537E5F" w:rsidRPr="00507A31" w:rsidRDefault="00537E5F" w:rsidP="00507A31">
      <w:pPr>
        <w:autoSpaceDE w:val="0"/>
        <w:autoSpaceDN w:val="0"/>
        <w:adjustRightInd w:val="0"/>
        <w:jc w:val="both"/>
        <w:rPr>
          <w:color w:val="000000" w:themeColor="text1"/>
          <w:sz w:val="16"/>
          <w:szCs w:val="16"/>
        </w:rPr>
      </w:pPr>
    </w:p>
    <w:p w14:paraId="402724F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38C28F38" w14:textId="77777777" w:rsidR="00537E5F" w:rsidRPr="00507A31" w:rsidRDefault="00537E5F" w:rsidP="00507A31">
      <w:pPr>
        <w:autoSpaceDE w:val="0"/>
        <w:autoSpaceDN w:val="0"/>
        <w:adjustRightInd w:val="0"/>
        <w:jc w:val="both"/>
        <w:rPr>
          <w:iCs/>
          <w:color w:val="000000" w:themeColor="text1"/>
          <w:sz w:val="16"/>
          <w:szCs w:val="16"/>
        </w:rPr>
      </w:pPr>
    </w:p>
    <w:p w14:paraId="1AFD2F9D" w14:textId="77777777" w:rsidR="00FB796B" w:rsidRPr="00507A31" w:rsidRDefault="00FB796B" w:rsidP="00507A31">
      <w:pPr>
        <w:jc w:val="both"/>
        <w:rPr>
          <w:color w:val="000000" w:themeColor="text1"/>
          <w:sz w:val="16"/>
          <w:szCs w:val="16"/>
        </w:rPr>
      </w:pPr>
      <w:r w:rsidRPr="00507A31">
        <w:rPr>
          <w:color w:val="000000" w:themeColor="text1"/>
          <w:sz w:val="16"/>
          <w:szCs w:val="16"/>
        </w:rPr>
        <w:t>В мае 1930 г. руководители советских ВВС воспользовались возможностью присутствовать на учениях воздушных сил Германии, проходивших близ города Байройта. Отчет Я.И. Алксниса и С.А. Меженинова о посещении этих учений содержит сообщение о новой организации в немецких воздушных силах и тактике их применения. В этом отчете также отмечалась неудовлетворенность руководства ВВС РККА сотрудничеством с немцами в Липецком учебно-экспериментальном центре, которое сложилось к началу тридцатых годов (приложение «Т») (19566).</w:t>
      </w:r>
    </w:p>
    <w:p w14:paraId="7E184C75" w14:textId="77777777" w:rsidR="00FB796B" w:rsidRPr="00507A31" w:rsidRDefault="00FB796B" w:rsidP="00507A31">
      <w:pPr>
        <w:jc w:val="both"/>
        <w:rPr>
          <w:color w:val="000000" w:themeColor="text1"/>
          <w:sz w:val="16"/>
          <w:szCs w:val="16"/>
        </w:rPr>
      </w:pPr>
    </w:p>
    <w:p w14:paraId="053A2E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 1930 было сформировано первое постоянное соединение мотомеханизированных войск - мехбригада (3879,42).</w:t>
      </w:r>
    </w:p>
    <w:p w14:paraId="24065543" w14:textId="77777777" w:rsidR="00537E5F" w:rsidRPr="00507A31" w:rsidRDefault="00537E5F" w:rsidP="00507A31">
      <w:pPr>
        <w:autoSpaceDE w:val="0"/>
        <w:autoSpaceDN w:val="0"/>
        <w:adjustRightInd w:val="0"/>
        <w:jc w:val="both"/>
        <w:rPr>
          <w:color w:val="000000" w:themeColor="text1"/>
          <w:sz w:val="16"/>
          <w:szCs w:val="16"/>
        </w:rPr>
      </w:pPr>
    </w:p>
    <w:p w14:paraId="2201B4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мае 1930 г. по инициативе К. Калиновского было сформировано первое соединение мотомеханизированных войск РККА - механизированная бригада. Но в учениях 1930-31 гг. в организации бригады и ее вооружении были обнаружены большие недостатки (10733,282).</w:t>
      </w:r>
    </w:p>
    <w:p w14:paraId="366F84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3A429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мае 1930 Г.К.О. направил И.В.С. с пометкой “Сосо. Взгляни на этот документ! Серго записку Тухачевского, написанную 10 января 1930, в которой тот отверг традиционный подход к планированию и вместо постепенных изменений вслед за ростом промышленного производства предложил заново рассчитать потенциал армии исходя из новых производственных возможностей. Ссылаясь на статистику Великобритании, Франции и Германии за 1918 и начало 20х предположил, что соотнеошение числа самолетов и автомобилей - 1:3, а между авиадвигателями и автомашинами - 1:2. Отсюда пришел, что к 1932/33 СССР мог бы иметь 122500 самолетов и 175000 авиадвигателей , в т.ч. в строю - 36750 - или 35-40 тыс. Исходя из 179000 тракторов пришел к 100000 танков, а с учетом убыли за год - 50000 (9089,111).</w:t>
      </w:r>
    </w:p>
    <w:p w14:paraId="291987E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37E814D" w14:textId="77777777" w:rsidR="009B07CC" w:rsidRPr="00507A31" w:rsidRDefault="009B07CC" w:rsidP="00507A31">
      <w:pPr>
        <w:tabs>
          <w:tab w:val="left" w:pos="11199"/>
        </w:tabs>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внутреняя политика</w:t>
      </w:r>
      <w:r w:rsidRPr="00507A31">
        <w:rPr>
          <w:iCs/>
          <w:color w:val="000000" w:themeColor="text1"/>
          <w:sz w:val="16"/>
          <w:szCs w:val="16"/>
        </w:rPr>
        <w:t>:</w:t>
      </w:r>
    </w:p>
    <w:p w14:paraId="37335A83" w14:textId="77777777" w:rsidR="009B07CC" w:rsidRPr="00507A31" w:rsidRDefault="009B07CC" w:rsidP="00507A31">
      <w:pPr>
        <w:tabs>
          <w:tab w:val="left" w:pos="11199"/>
        </w:tabs>
        <w:autoSpaceDE w:val="0"/>
        <w:autoSpaceDN w:val="0"/>
        <w:adjustRightInd w:val="0"/>
        <w:jc w:val="both"/>
        <w:rPr>
          <w:iCs/>
          <w:color w:val="000000" w:themeColor="text1"/>
          <w:sz w:val="16"/>
          <w:szCs w:val="16"/>
        </w:rPr>
      </w:pPr>
    </w:p>
    <w:p w14:paraId="482430E0" w14:textId="77777777" w:rsidR="000C704C" w:rsidRPr="00507A31" w:rsidRDefault="000C704C" w:rsidP="00507A31">
      <w:pPr>
        <w:jc w:val="both"/>
        <w:rPr>
          <w:color w:val="000000" w:themeColor="text1"/>
          <w:sz w:val="16"/>
          <w:szCs w:val="16"/>
        </w:rPr>
      </w:pPr>
      <w:r w:rsidRPr="00507A31">
        <w:rPr>
          <w:color w:val="000000" w:themeColor="text1"/>
          <w:sz w:val="16"/>
          <w:szCs w:val="16"/>
        </w:rPr>
        <w:t xml:space="preserve">В  </w:t>
      </w:r>
      <w:bookmarkStart w:id="49" w:name="YANDEX_7"/>
      <w:bookmarkEnd w:id="49"/>
      <w:r w:rsidRPr="00507A31">
        <w:rPr>
          <w:color w:val="000000" w:themeColor="text1"/>
          <w:sz w:val="16"/>
          <w:szCs w:val="16"/>
        </w:rPr>
        <w:t xml:space="preserve"> мае  </w:t>
      </w:r>
      <w:bookmarkStart w:id="50" w:name="YANDEX_8"/>
      <w:bookmarkEnd w:id="50"/>
      <w:r w:rsidRPr="00507A31">
        <w:rPr>
          <w:color w:val="000000" w:themeColor="text1"/>
          <w:sz w:val="16"/>
          <w:szCs w:val="16"/>
        </w:rPr>
        <w:t> 1930  г. на заседании коллегии Наркомата финансов указывалось, что в области денежного обращения обнаружился весьма серьезный прорыв, вызванный нарушением финансовых планов. В связи с этим коллегия Наркомата финансов поручила специальной группе в составе профессоров Л.Н. Юровского, Л.Н. Литошенко, Д.А. Лоевецкого разработать и представить коллегии выводы и соображения о вероятном распределении находящейся в обращении денежной массы между городом и деревней и по отдельным социальным группам.</w:t>
      </w:r>
    </w:p>
    <w:p w14:paraId="2F73E0AF" w14:textId="77777777" w:rsidR="000C704C" w:rsidRPr="00507A31" w:rsidRDefault="000C704C" w:rsidP="00507A31">
      <w:pPr>
        <w:jc w:val="both"/>
        <w:rPr>
          <w:color w:val="000000" w:themeColor="text1"/>
          <w:sz w:val="16"/>
          <w:szCs w:val="16"/>
        </w:rPr>
      </w:pPr>
      <w:r w:rsidRPr="00507A31">
        <w:rPr>
          <w:color w:val="000000" w:themeColor="text1"/>
          <w:sz w:val="16"/>
          <w:szCs w:val="16"/>
        </w:rPr>
        <w:lastRenderedPageBreak/>
        <w:t xml:space="preserve"> Однако в конечном итоге не Наркомат финансов определял стратегию финансовой политики в условиях первой пятилетки. С помощью выпуска денег  правительство пыталось покрыть дефицит бюджета. При этом упор делался на классовый подход.  Журнал " Вестник финансов " писал о том, что в условиях развития нашего хозяйства необходим классовый анализ состояния денежного обращения [3, с. 76]. К лету </w:t>
      </w:r>
      <w:bookmarkStart w:id="51" w:name="YANDEX_9"/>
      <w:bookmarkEnd w:id="51"/>
      <w:r w:rsidRPr="00507A31">
        <w:rPr>
          <w:color w:val="000000" w:themeColor="text1"/>
          <w:sz w:val="16"/>
          <w:szCs w:val="16"/>
        </w:rPr>
        <w:t xml:space="preserve"> 1930  г. в развитии экономики произошли серьезные изменения. </w:t>
      </w:r>
      <w:bookmarkStart w:id="52" w:name="YANDEX_10"/>
      <w:bookmarkEnd w:id="52"/>
      <w:r w:rsidRPr="00507A31">
        <w:rPr>
          <w:color w:val="000000" w:themeColor="text1"/>
          <w:sz w:val="16"/>
          <w:szCs w:val="16"/>
        </w:rPr>
        <w:t xml:space="preserve"> Ценой  больших усилий было достигнуто значительное ускорение темпов индустриализации, завершился первый этап коллективизации. В июле председатель правления Госбанка Г.Л. Пятаков (после обстоятельного разговора с С. Орджоникидзе) направил  письмо Сталину, в котором  дал анализ болезненного состояния денежного обращения в стране. Он писал: «Состояние денежного обращения и ближайшие перспективы его, если не будут приняты необходимые меры, внушают тревогу. Если возможности пролетарского государства в деле регулирования денежного обращения неизмеримо выше, чем в условиях частно-капиталистического хозяйства, то все же эти возможности не беспредельны и мы должны очень внимательно и решительно реагировать на те явления, которые имеют место  в настоящее время в области денежного обращения». Г.Л. Пятаков отмечал, что уже в 1928/29 гг. прирост денежной массы в обращении составил 186% от плана. С конца 1928 г. по июль  1930  г. в обращение было выпущено 1556 млн рублей, в то время как  за всю пятилетку планировалось выпустить 1250 млн рублей. «Эмиссионную пятилетку», таким образом, страна выполнила менее чем за два года. Кризисные явления в области денежного обращения породили расхождение рыночных и государственных  цен  на товары, что привело к сокращению торговых операций. Свертывание торговли, накопление и обесценивание денег имели тяжелые последствия для </w:t>
      </w:r>
      <w:bookmarkStart w:id="53" w:name="YANDEX_13"/>
      <w:bookmarkEnd w:id="53"/>
      <w:r w:rsidRPr="00507A31">
        <w:rPr>
          <w:color w:val="000000" w:themeColor="text1"/>
          <w:sz w:val="16"/>
          <w:szCs w:val="16"/>
        </w:rPr>
        <w:t xml:space="preserve"> потребительского  рынка. Началось расхватывание населением товаров. В письме Сталину Г.Л. Пятаков указывал: «Мануфактура по двойным </w:t>
      </w:r>
      <w:bookmarkStart w:id="54" w:name="YANDEX_14"/>
      <w:bookmarkEnd w:id="54"/>
      <w:r w:rsidRPr="00507A31">
        <w:rPr>
          <w:color w:val="000000" w:themeColor="text1"/>
          <w:sz w:val="16"/>
          <w:szCs w:val="16"/>
        </w:rPr>
        <w:t> ценам  до середины марта шла туго. После этого, в особенности  в мае и июне, она расхватана вся. Из продажи исчез шелк, расхватываются примуса, швейные машинки и т.п. Из Нижнего Новгорода, из Чернигова пишут, что крестьяне в стремлении сбыть бумажные деньги покупают все, что попадает под руку. Характерно сообщение из Харькова о том, что в короткий срок был совершенно раскуплен магазин антикварных вещей» [21, с.117-129]. Население, кооперативы, предприятия переходили к натуральному обмену. Таким образом, инфляция привела к стремлению приобрести товары впрок и натурализации обмена.</w:t>
      </w:r>
    </w:p>
    <w:p w14:paraId="0B7F7537" w14:textId="77777777" w:rsidR="000C704C" w:rsidRPr="00507A31" w:rsidRDefault="000C704C" w:rsidP="00507A31">
      <w:pPr>
        <w:jc w:val="both"/>
        <w:rPr>
          <w:color w:val="000000" w:themeColor="text1"/>
          <w:sz w:val="16"/>
          <w:szCs w:val="16"/>
        </w:rPr>
      </w:pPr>
      <w:r w:rsidRPr="00507A31">
        <w:rPr>
          <w:color w:val="000000" w:themeColor="text1"/>
          <w:sz w:val="16"/>
          <w:szCs w:val="16"/>
        </w:rPr>
        <w:t xml:space="preserve">В своем письме Г.Л. Пятаков рискнул дать Сталину рекомендации по оздоровлению денежного обращения и потребительского рынка. Среди них: увеличение производства и импорта предметов потребления, сокращение и даже полный отказ от экспорта продуктов, помощь сельскому хозяйству [18, с.74-75]. Генеральный секретарь ЦК никак не отреагировал на письмо руководителя Госбанка. Возможно, Сталин не доверял Г.Л. Пятакову, т.к. последний в свое время активно поддерживал Л.Д. Троцкого (17240). </w:t>
      </w:r>
    </w:p>
    <w:p w14:paraId="33C07814" w14:textId="77777777" w:rsidR="000C704C" w:rsidRPr="00507A31" w:rsidRDefault="000C704C" w:rsidP="00507A31">
      <w:pPr>
        <w:jc w:val="both"/>
        <w:rPr>
          <w:color w:val="000000" w:themeColor="text1"/>
          <w:sz w:val="16"/>
          <w:szCs w:val="16"/>
        </w:rPr>
      </w:pPr>
    </w:p>
    <w:p w14:paraId="79CB5A79" w14:textId="77777777" w:rsidR="009B07CC" w:rsidRPr="00507A31" w:rsidRDefault="009B07CC" w:rsidP="00507A31">
      <w:pPr>
        <w:jc w:val="both"/>
        <w:rPr>
          <w:color w:val="000000" w:themeColor="text1"/>
          <w:sz w:val="16"/>
          <w:szCs w:val="16"/>
        </w:rPr>
      </w:pPr>
      <w:r w:rsidRPr="00507A31">
        <w:rPr>
          <w:color w:val="000000" w:themeColor="text1"/>
          <w:sz w:val="16"/>
          <w:szCs w:val="16"/>
        </w:rPr>
        <w:t>В мае 1930 г., после переноса хозяйственной деятельности на материк, Соловецкий лагерь перешел в подчинение ГПУ по Карелии и сменил название. Комплекс лагерных отделений стал называться Соловецкими и Карело-Мурманскими лагерями ОГПУ. В июне 1930 г. лагеря выделили первых 600 заключенных для работы в изыскательских партиях на будущей трассе канала. После утверждения проекта и начала работ численность заключенных на Беломорстрое начала быстро возрастать. Уже к середине 1931 г. количество их превысило 10 тыс. человек из 72 тыс., которыми располагал лагерь. А начиная с сентября, на строительство канала перебрасывается почти весь наличный состав Соловецких и Карело-Мурманских лагерей. Управление Соловецких и Карело-Мурманских лагерей из г. Кеми переводится на станцию Медвежья гора Мурманской железной дороги, непосредственно на трассу будущего канала. 17 сентября 1931 г. приказом ОГПУ № 528/286 был ликвидирован (в связи с окончанием работ) Сызранский исправительно-трудовой лагерь, весь личный состав был направлен на Беломорстрой (12129).</w:t>
      </w:r>
    </w:p>
    <w:p w14:paraId="095AD18A" w14:textId="77777777" w:rsidR="009B07CC" w:rsidRPr="00507A31" w:rsidRDefault="009B07CC" w:rsidP="00507A31">
      <w:pPr>
        <w:jc w:val="both"/>
        <w:rPr>
          <w:color w:val="000000" w:themeColor="text1"/>
          <w:sz w:val="16"/>
          <w:szCs w:val="16"/>
        </w:rPr>
      </w:pPr>
    </w:p>
    <w:p w14:paraId="7C255F17" w14:textId="77777777" w:rsidR="000839A9" w:rsidRPr="00507A31" w:rsidRDefault="000839A9" w:rsidP="00507A31">
      <w:pPr>
        <w:tabs>
          <w:tab w:val="left" w:pos="11199"/>
        </w:tabs>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40BDEBE4" w14:textId="77777777" w:rsidR="000839A9" w:rsidRPr="00507A31" w:rsidRDefault="000839A9" w:rsidP="00507A31">
      <w:pPr>
        <w:tabs>
          <w:tab w:val="left" w:pos="11199"/>
        </w:tabs>
        <w:autoSpaceDE w:val="0"/>
        <w:autoSpaceDN w:val="0"/>
        <w:adjustRightInd w:val="0"/>
        <w:jc w:val="both"/>
        <w:rPr>
          <w:color w:val="000000" w:themeColor="text1"/>
          <w:sz w:val="16"/>
          <w:szCs w:val="16"/>
        </w:rPr>
      </w:pPr>
    </w:p>
    <w:p w14:paraId="510F7174" w14:textId="77777777" w:rsidR="000839A9" w:rsidRPr="00507A31" w:rsidRDefault="000839A9" w:rsidP="00507A31">
      <w:pPr>
        <w:shd w:val="clear" w:color="auto" w:fill="FFFFFF"/>
        <w:jc w:val="both"/>
        <w:rPr>
          <w:color w:val="000000" w:themeColor="text1"/>
          <w:sz w:val="16"/>
          <w:szCs w:val="16"/>
        </w:rPr>
      </w:pPr>
      <w:r w:rsidRPr="00507A31">
        <w:rPr>
          <w:color w:val="000000" w:themeColor="text1"/>
          <w:sz w:val="16"/>
          <w:szCs w:val="16"/>
        </w:rPr>
        <w:t>В мае 1930 года, практически сразу после постройки, Rheinmetall Leichttraktor были отправлены в СССР. Уже в июне начались их испытания, которые совмещались с обучением личного состава. В общей сложности танк №39 прошёл 1865 километров, а танк №40 – 1735. Машины возвратились в Германию летом 1932 года. По ходу испытаний выяснилось, что резинометаллические гусеницы, разработанные Книпкампом, имеют массу недостатков. Один из этих недостатков заключался в том, что менять такую гусеничную ленту было очень сложно. Расположение ведущих колёс сзади тоже было признано не самым удачным решением, поскольку оно часто становилось причиной сброса гусениц. Были претензии и к конструкции подвески.</w:t>
      </w:r>
    </w:p>
    <w:p w14:paraId="588050FF" w14:textId="77777777" w:rsidR="000839A9" w:rsidRPr="00507A31" w:rsidRDefault="000839A9" w:rsidP="00507A31">
      <w:pPr>
        <w:shd w:val="clear" w:color="auto" w:fill="FFFFFF"/>
        <w:jc w:val="both"/>
        <w:rPr>
          <w:color w:val="000000" w:themeColor="text1"/>
          <w:sz w:val="16"/>
          <w:szCs w:val="16"/>
        </w:rPr>
      </w:pPr>
      <w:r w:rsidRPr="00507A31">
        <w:rPr>
          <w:color w:val="000000" w:themeColor="text1"/>
          <w:sz w:val="16"/>
          <w:szCs w:val="16"/>
        </w:rPr>
        <w:t>Имелись у танка проблемы и другого характера. Дело в том, что командир совмещал свои прямые функции с обязанностями заряжающего, причём как пушки, так и пулемёта. В виду наличия системы охлаждения пулемёт занимал много места, да и короб его ленты был немаленький. В результате в распоряжении у командира оставалось совсем немного места. Общий вывод оказался простым и бесхитростным: командир должен не совмещать должности, а заниматься своим делом. Вот только увеличить экипаж танка до 5 человек и добавить в конструкцию Rheinmetall Leichttraktor командирскую башенку с имевшейся башней было нереально (17654).</w:t>
      </w:r>
    </w:p>
    <w:p w14:paraId="4DB02904" w14:textId="77777777" w:rsidR="000839A9" w:rsidRPr="00507A31" w:rsidRDefault="000839A9" w:rsidP="00507A31">
      <w:pPr>
        <w:jc w:val="both"/>
        <w:rPr>
          <w:color w:val="000000" w:themeColor="text1"/>
          <w:sz w:val="16"/>
          <w:szCs w:val="16"/>
        </w:rPr>
      </w:pPr>
    </w:p>
    <w:p w14:paraId="7A226B3F" w14:textId="77777777" w:rsidR="00537E5F" w:rsidRPr="00507A31" w:rsidRDefault="00AC7355" w:rsidP="00507A31">
      <w:pPr>
        <w:tabs>
          <w:tab w:val="left" w:pos="11199"/>
        </w:tabs>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579463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886E5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мае 1930 года стыковку продемонстрировали перед президентом Гувером во время показа кораблей. Летчик Николсон на UO-1 взлетел с палубы авианосца «Саратога» и произвел стыковку с дирижаблем «Лос-Анджелес». </w:t>
      </w:r>
    </w:p>
    <w:p w14:paraId="1A12B0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Проект применения авиационной техники с борта дирижаблей обсуждался довольно долго и подробно, но не выходил за рамки экспериментов. Кроме того, так и не были выбраны самолеты для будущей службы на дирижаблях ZRS-4 и ZRS-5. </w:t>
      </w:r>
    </w:p>
    <w:p w14:paraId="59FFD3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Было решено, что в нижней части оболочки дирижабля за гондолой управления будет построен ангар длинной 22 м. Система потолочных [435] рельсовых кран-балок могла принять 5 самолетов, находившихся в подвешенном состоянии. Любой самолет с помощью кран-балок мог быть подведен к жесткой причальной ферме и закреплен на перекладине, которая затем выдвигалась через специальный люк наружу. Двигатель запускался, летчик отцеплял самолет и уходил в полет. Подъем самолета на дирижабль осуществлялся в обратном порядке. </w:t>
      </w:r>
    </w:p>
    <w:p w14:paraId="465535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Ворота ангара имели Т-образную форму, чтобы сквозь них мог пройти самолет с размахом крыла 9,2 м, стабилизаторов — 3 м и общей длиной 7,3 м. Это были максимальные размеры отверстия, которые не приводили к нарушению прочности конструкции дирижабля. Этими параметрами и были ограничены типы самолетов, которые могли быть использованы в качестве основного палубного разведчика или перехватчика. Для разработки специального самолета отсутствовали финансовые средства, поэтому необходимо было выбирать из уже имеющихся одноместных самолетов. </w:t>
      </w:r>
    </w:p>
    <w:p w14:paraId="4E0456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Этот палубный самолет должен был быть очень легким, маневренным, при этом достаточно устойчивым, с большой дальностью полета и скоростью; летчик должен [436] был иметь хороший обзор во все стороны и, прежде всего, вверх для уверенного маневра стыковки с дирижаблем и вниз для наблюдения. Из самолетов, имевшихся под рукой в 1930-1931 годах, ни один не соответствовал этим требованиям на все сто процентов. Это были обычные палубные бипланы: «Кертисс» XF9C-1, «Берлинер-Джойс» XFJ-1 и «Фоккер» XFA-1. После тщательного анализа предпочтение было отдано «Кертиссу» как наиболее близкому к необходимым требованиям. Флот заказал 6 серийных самолетов, модернизированных для таких специальных целей. XF9C-1 оснащался мотором «Райт-Циклон» R-975-C мощностью 421 л. с., двумя пулеметами и развивал скорость 283 км/ч (11324).</w:t>
      </w:r>
    </w:p>
    <w:p w14:paraId="1764B903" w14:textId="77777777" w:rsidR="00537E5F" w:rsidRPr="00507A31" w:rsidRDefault="00537E5F" w:rsidP="00507A31">
      <w:pPr>
        <w:autoSpaceDE w:val="0"/>
        <w:autoSpaceDN w:val="0"/>
        <w:adjustRightInd w:val="0"/>
        <w:jc w:val="both"/>
        <w:rPr>
          <w:color w:val="000000" w:themeColor="text1"/>
          <w:sz w:val="16"/>
          <w:szCs w:val="16"/>
        </w:rPr>
      </w:pPr>
    </w:p>
    <w:p w14:paraId="0E1A6E9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711BA80" w14:textId="77777777" w:rsidR="00537E5F" w:rsidRPr="00507A31" w:rsidRDefault="00537E5F" w:rsidP="00507A31">
      <w:pPr>
        <w:autoSpaceDE w:val="0"/>
        <w:autoSpaceDN w:val="0"/>
        <w:adjustRightInd w:val="0"/>
        <w:jc w:val="both"/>
        <w:rPr>
          <w:iCs/>
          <w:color w:val="000000" w:themeColor="text1"/>
          <w:sz w:val="16"/>
          <w:szCs w:val="16"/>
        </w:rPr>
      </w:pPr>
    </w:p>
    <w:p w14:paraId="6E2C8E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мае-июле 1930 был Агитационный перелет самолета К-5 «Сталин» по регионам страны (10674).</w:t>
      </w:r>
    </w:p>
    <w:p w14:paraId="3E74E0EF" w14:textId="77777777" w:rsidR="00537E5F" w:rsidRPr="00507A31" w:rsidRDefault="00537E5F" w:rsidP="00507A31">
      <w:pPr>
        <w:autoSpaceDE w:val="0"/>
        <w:autoSpaceDN w:val="0"/>
        <w:adjustRightInd w:val="0"/>
        <w:jc w:val="both"/>
        <w:rPr>
          <w:color w:val="000000" w:themeColor="text1"/>
          <w:sz w:val="16"/>
          <w:szCs w:val="16"/>
        </w:rPr>
      </w:pPr>
    </w:p>
    <w:p w14:paraId="24E616F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A0B5839" w14:textId="77777777" w:rsidR="00537E5F" w:rsidRPr="00507A31" w:rsidRDefault="00537E5F" w:rsidP="00507A31">
      <w:pPr>
        <w:autoSpaceDE w:val="0"/>
        <w:autoSpaceDN w:val="0"/>
        <w:adjustRightInd w:val="0"/>
        <w:jc w:val="both"/>
        <w:rPr>
          <w:iCs/>
          <w:color w:val="000000" w:themeColor="text1"/>
          <w:sz w:val="16"/>
          <w:szCs w:val="16"/>
        </w:rPr>
      </w:pPr>
    </w:p>
    <w:p w14:paraId="104444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мае — июне 1930 года прошли испытания двух автомобилей «Форд-А» с броневыми щитками. Один из них был вооружен пулеметами Максима и ДП (проект научно-тех</w:t>
      </w:r>
      <w:r w:rsidRPr="00507A31">
        <w:rPr>
          <w:color w:val="000000" w:themeColor="text1"/>
          <w:sz w:val="16"/>
          <w:szCs w:val="16"/>
        </w:rPr>
        <w:softHyphen/>
        <w:t>нического комитета артиллерийского управления), а вто</w:t>
      </w:r>
      <w:r w:rsidRPr="00507A31">
        <w:rPr>
          <w:color w:val="000000" w:themeColor="text1"/>
          <w:sz w:val="16"/>
          <w:szCs w:val="16"/>
        </w:rPr>
        <w:softHyphen/>
        <w:t>рой — пулеметом ДТ (проект УММ РККА). В ходе стрельб выяснилось, что вести огонь по зенитным целям из пулеме</w:t>
      </w:r>
      <w:r w:rsidRPr="00507A31">
        <w:rPr>
          <w:color w:val="000000" w:themeColor="text1"/>
          <w:sz w:val="16"/>
          <w:szCs w:val="16"/>
        </w:rPr>
        <w:softHyphen/>
        <w:t>та Максима из-за «стесненного места в автомобиле» не</w:t>
      </w:r>
      <w:r w:rsidRPr="00507A31">
        <w:rPr>
          <w:color w:val="000000" w:themeColor="text1"/>
          <w:sz w:val="16"/>
          <w:szCs w:val="16"/>
        </w:rPr>
        <w:softHyphen/>
        <w:t>удобно. Кроме того, по мнению представителей артилле</w:t>
      </w:r>
      <w:r w:rsidRPr="00507A31">
        <w:rPr>
          <w:color w:val="000000" w:themeColor="text1"/>
          <w:sz w:val="16"/>
          <w:szCs w:val="16"/>
        </w:rPr>
        <w:softHyphen/>
        <w:t>рийского управления, «броню, прикрывающую только голову шофера также ставить нерационально, так как все рав</w:t>
      </w:r>
      <w:r w:rsidRPr="00507A31">
        <w:rPr>
          <w:color w:val="000000" w:themeColor="text1"/>
          <w:sz w:val="16"/>
          <w:szCs w:val="16"/>
        </w:rPr>
        <w:softHyphen/>
        <w:t>но кузов автомобиля пробивается насквозь».</w:t>
      </w:r>
    </w:p>
    <w:p w14:paraId="2601A2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ходе обсуждения представленных проектов НТК УММ РККА приняло решение провести испытание ма</w:t>
      </w:r>
      <w:r w:rsidRPr="00507A31">
        <w:rPr>
          <w:color w:val="000000" w:themeColor="text1"/>
          <w:sz w:val="16"/>
          <w:szCs w:val="16"/>
        </w:rPr>
        <w:softHyphen/>
        <w:t>шин в ходе учений механизированной бригады под Моск</w:t>
      </w:r>
      <w:r w:rsidRPr="00507A31">
        <w:rPr>
          <w:color w:val="000000" w:themeColor="text1"/>
          <w:sz w:val="16"/>
          <w:szCs w:val="16"/>
        </w:rPr>
        <w:softHyphen/>
        <w:t>вой «с целью выяснения целесообразности имеющихся подобных установок и окончательного выбора образца для установки». При этом сохранялись установленные на «фордах» передний и боковые броневые щитки, а также установка пулемета Максима на автомобиле конструкции НТК АУ (11284).</w:t>
      </w:r>
    </w:p>
    <w:p w14:paraId="27B76201" w14:textId="77929B3B" w:rsidR="00537E5F" w:rsidRPr="00507A31" w:rsidRDefault="00537E5F" w:rsidP="00507A31">
      <w:pPr>
        <w:shd w:val="clear" w:color="auto" w:fill="FFFFFF"/>
        <w:autoSpaceDE w:val="0"/>
        <w:autoSpaceDN w:val="0"/>
        <w:adjustRightInd w:val="0"/>
        <w:jc w:val="both"/>
        <w:rPr>
          <w:color w:val="000000" w:themeColor="text1"/>
          <w:sz w:val="16"/>
          <w:szCs w:val="16"/>
        </w:rPr>
      </w:pPr>
    </w:p>
    <w:p w14:paraId="4E5A1028" w14:textId="06445B03" w:rsidR="003B3DB0" w:rsidRPr="00507A31" w:rsidRDefault="003B3DB0" w:rsidP="00507A31">
      <w:pPr>
        <w:shd w:val="clear" w:color="auto" w:fill="FFFFFF"/>
        <w:autoSpaceDE w:val="0"/>
        <w:autoSpaceDN w:val="0"/>
        <w:adjustRightInd w:val="0"/>
        <w:jc w:val="both"/>
        <w:rPr>
          <w:i/>
          <w:iCs/>
          <w:color w:val="000000" w:themeColor="text1"/>
          <w:sz w:val="16"/>
          <w:szCs w:val="16"/>
        </w:rPr>
      </w:pPr>
      <w:r w:rsidRPr="00507A31">
        <w:rPr>
          <w:i/>
          <w:iCs/>
          <w:color w:val="000000" w:themeColor="text1"/>
          <w:sz w:val="16"/>
          <w:szCs w:val="16"/>
        </w:rPr>
        <w:t>Армия:</w:t>
      </w:r>
    </w:p>
    <w:p w14:paraId="32F9AE9C" w14:textId="77777777" w:rsidR="003B3DB0" w:rsidRPr="00507A31" w:rsidRDefault="003B3DB0" w:rsidP="00507A31">
      <w:pPr>
        <w:shd w:val="clear" w:color="auto" w:fill="FFFFFF"/>
        <w:autoSpaceDE w:val="0"/>
        <w:autoSpaceDN w:val="0"/>
        <w:adjustRightInd w:val="0"/>
        <w:jc w:val="both"/>
        <w:rPr>
          <w:i/>
          <w:iCs/>
          <w:color w:val="000000" w:themeColor="text1"/>
          <w:sz w:val="16"/>
          <w:szCs w:val="16"/>
        </w:rPr>
      </w:pPr>
    </w:p>
    <w:p w14:paraId="1A04C07D" w14:textId="77777777" w:rsidR="003B3DB0" w:rsidRPr="00507A31" w:rsidRDefault="003B3DB0" w:rsidP="00507A31">
      <w:pPr>
        <w:shd w:val="clear" w:color="auto" w:fill="FFFFFF"/>
        <w:jc w:val="both"/>
        <w:rPr>
          <w:color w:val="0070C0"/>
          <w:sz w:val="16"/>
          <w:szCs w:val="16"/>
        </w:rPr>
      </w:pPr>
      <w:r w:rsidRPr="00507A31">
        <w:rPr>
          <w:color w:val="0070C0"/>
          <w:sz w:val="16"/>
          <w:szCs w:val="16"/>
        </w:rPr>
        <w:t>В мае — июне 1930 г., реализовывая агентурную разработку, ОГПУ арестовало группу военнослужащих из числа начсостава УВМФ, БФ и ЧФ, обвинив их во вредительстве. В основе «вредительской» деятельности, по мнению особистов, лежала абсолютно нереальная идея «большого флота», предполагавшая затраты государственного бюджета в несколько миллиардов рублей. Все усилия</w:t>
      </w:r>
      <w:r w:rsidRPr="00507A31">
        <w:rPr>
          <w:color w:val="0070C0"/>
          <w:sz w:val="16"/>
          <w:szCs w:val="16"/>
          <w:shd w:val="clear" w:color="auto" w:fill="FFFFFF"/>
        </w:rPr>
        <w:t xml:space="preserve"> арестованных были ранее направлены на отстаивание данной идеи, а вопросы береговой обороны их совершенно не интересовали. О ходе следствия, с приведением обширных выписок из показаний обвиняемых, признавших свою персональную вину, председатель ОГПУ В. Менжинский проинформировал И. Сталина, направив ему 13 июня 1930 г. специальную докладную записку</w:t>
      </w:r>
      <w:r w:rsidRPr="00507A31">
        <w:rPr>
          <w:color w:val="0070C0"/>
          <w:sz w:val="16"/>
          <w:szCs w:val="16"/>
        </w:rPr>
        <w:t> (20268)</w:t>
      </w:r>
      <w:r w:rsidRPr="00507A31">
        <w:rPr>
          <w:color w:val="0070C0"/>
          <w:sz w:val="16"/>
          <w:szCs w:val="16"/>
          <w:shd w:val="clear" w:color="auto" w:fill="FFFFFF"/>
        </w:rPr>
        <w:t>.</w:t>
      </w:r>
    </w:p>
    <w:p w14:paraId="435939AD" w14:textId="77777777" w:rsidR="003B3DB0" w:rsidRPr="00507A31" w:rsidRDefault="003B3DB0" w:rsidP="00507A31">
      <w:pPr>
        <w:jc w:val="both"/>
        <w:rPr>
          <w:color w:val="0070C0"/>
          <w:sz w:val="16"/>
          <w:szCs w:val="16"/>
        </w:rPr>
      </w:pPr>
    </w:p>
    <w:p w14:paraId="4137890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Авиапромышленность:</w:t>
      </w:r>
    </w:p>
    <w:p w14:paraId="0A914C2F" w14:textId="77777777" w:rsidR="00537E5F" w:rsidRPr="00507A31" w:rsidRDefault="00537E5F" w:rsidP="00507A31">
      <w:pPr>
        <w:autoSpaceDE w:val="0"/>
        <w:autoSpaceDN w:val="0"/>
        <w:adjustRightInd w:val="0"/>
        <w:jc w:val="both"/>
        <w:rPr>
          <w:iCs/>
          <w:color w:val="000000" w:themeColor="text1"/>
          <w:sz w:val="16"/>
          <w:szCs w:val="16"/>
        </w:rPr>
      </w:pPr>
    </w:p>
    <w:p w14:paraId="03244A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Руководство ОГПУ решило ударными темпами создать в недрах своей системы бомбардировщик. Согласно бытующей версии, инициатором этого проекта стал начальник ЦКБ-39 от ОГПУ Е.С.Пауфлер. Дескать, попался ему на глаза проспект фирмы «Фарман». в котором красочно расписывался один из многомоторных французских высокопла-нов с расположенными под крылом двигателями, вот Пауфлер и предложил своим арестантам создать подобный. Все от работы отказывались, а Дмитрий Павлович Григорович согласился. История вполне правдоподобная - в период экономических и социальных экспериментов и не такое могло происходить. Документы подтверждают, что весной 1930 г., практически без всяких традиционных согласовании и утверждений, ЦКБ-39 получило задание на проектирование тяжелого бомбардировщика, который получил «фирменное» обозначение "Самолет №8» (ЦКБ №8), а в ВВС - ТБ-5. Так как старшим при создании И-5 являлся Григорович, он остался таковым и при выполнении новой работы. Само задание появилось по ряду причин. В то время в ЦАГИ создавался цельнометаллический ТБ-3, но его постройка затягивалась, к тому же, из-за дефицита алюминиевых сплавов с массовым производством самолета могли возникнуть проблемы. Поэтому для подстраховки требовалась машина подобного назначения, в конструкции которой использовались бы более доступные материалы (Е.С.Пауфлер в середине 1920-х гг. работал начальником снабжения ВВС по части внешних заготовок, т.е. занимался оформлением заграничных заказов) (5854,33).</w:t>
      </w:r>
    </w:p>
    <w:p w14:paraId="2254202F" w14:textId="77777777" w:rsidR="00537E5F" w:rsidRPr="00507A31" w:rsidRDefault="00537E5F" w:rsidP="00507A31">
      <w:pPr>
        <w:autoSpaceDE w:val="0"/>
        <w:autoSpaceDN w:val="0"/>
        <w:adjustRightInd w:val="0"/>
        <w:jc w:val="both"/>
        <w:rPr>
          <w:color w:val="000000" w:themeColor="text1"/>
          <w:sz w:val="16"/>
          <w:szCs w:val="16"/>
        </w:rPr>
      </w:pPr>
    </w:p>
    <w:p w14:paraId="106377A8" w14:textId="77777777" w:rsidR="009B07CC" w:rsidRPr="00507A31" w:rsidRDefault="009B07CC" w:rsidP="00507A31">
      <w:pPr>
        <w:jc w:val="both"/>
        <w:rPr>
          <w:color w:val="000000" w:themeColor="text1"/>
          <w:sz w:val="16"/>
          <w:szCs w:val="16"/>
        </w:rPr>
      </w:pPr>
      <w:r w:rsidRPr="00507A31">
        <w:rPr>
          <w:color w:val="000000" w:themeColor="text1"/>
          <w:sz w:val="16"/>
          <w:szCs w:val="16"/>
        </w:rPr>
        <w:t>Весной 1930 г., практи</w:t>
      </w:r>
      <w:r w:rsidRPr="00507A31">
        <w:rPr>
          <w:color w:val="000000" w:themeColor="text1"/>
          <w:sz w:val="16"/>
          <w:szCs w:val="16"/>
        </w:rPr>
        <w:softHyphen/>
        <w:t>чески безо всяких традиционных согласо</w:t>
      </w:r>
      <w:r w:rsidRPr="00507A31">
        <w:rPr>
          <w:color w:val="000000" w:themeColor="text1"/>
          <w:sz w:val="16"/>
          <w:szCs w:val="16"/>
        </w:rPr>
        <w:softHyphen/>
        <w:t>ваний и утверждений организации ЦКБ-39 ОГПУ выдали задание на проектирование нового тяжелого бомбардировщика. Так как старшим консультантом при проектирова</w:t>
      </w:r>
      <w:r w:rsidRPr="00507A31">
        <w:rPr>
          <w:color w:val="000000" w:themeColor="text1"/>
          <w:sz w:val="16"/>
          <w:szCs w:val="16"/>
        </w:rPr>
        <w:softHyphen/>
        <w:t>нии и постройке ВТ-11 значился Григорович, оставался он таковым и при создании бомбардировщика. Само задание появи</w:t>
      </w:r>
      <w:r w:rsidRPr="00507A31">
        <w:rPr>
          <w:color w:val="000000" w:themeColor="text1"/>
          <w:sz w:val="16"/>
          <w:szCs w:val="16"/>
        </w:rPr>
        <w:softHyphen/>
        <w:t>лось по ряду причин. Во-первых, работы по уже строящемуся четырехмоторному ТБ-3 затягивались. Кроме того, «цагов- ский» тяжелый бомбардировщик являлся цельнометаллическим аппаратом и с его массовым производством, по причине недостатка материалов для постройки, могли возникнуть проблемы. Поэтому требовался самолет подобного предна</w:t>
      </w:r>
      <w:r w:rsidRPr="00507A31">
        <w:rPr>
          <w:color w:val="000000" w:themeColor="text1"/>
          <w:sz w:val="16"/>
          <w:szCs w:val="16"/>
        </w:rPr>
        <w:softHyphen/>
        <w:t>значения, но более дешевой конструкции и с более вместительным фюзеляжем для возможной перевозки грузов. Вот таким образом ЦКБ-39 получило заказ на созда</w:t>
      </w:r>
      <w:r w:rsidRPr="00507A31">
        <w:rPr>
          <w:color w:val="000000" w:themeColor="text1"/>
          <w:sz w:val="16"/>
          <w:szCs w:val="16"/>
        </w:rPr>
        <w:softHyphen/>
        <w:t>ние тяжелого бомбардировщика, который первоначально определялся как «Самолет №8» (ЦКБ №8), а в ВВС позднее получил обозначение ТБ-5.</w:t>
      </w:r>
    </w:p>
    <w:p w14:paraId="52F22493" w14:textId="77777777" w:rsidR="009B07CC" w:rsidRPr="00507A31" w:rsidRDefault="009B07CC" w:rsidP="00507A31">
      <w:pPr>
        <w:pStyle w:val="290"/>
        <w:shd w:val="clear" w:color="auto" w:fill="auto"/>
        <w:spacing w:after="0" w:line="240" w:lineRule="auto"/>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Этот внушительный по размерам летательный аппарат, определяемый как ТБ-5, появился достаточно неожиданно и не совсем обычным образом. До сих пор в истории его возникновения не все ясно, однако известно, что создавался он в основном теми специалистами, и теми методами, что и И-5 (ВТ-11). Удачный опыт создания истре</w:t>
      </w:r>
      <w:r w:rsidRPr="00507A31">
        <w:rPr>
          <w:rFonts w:ascii="Times New Roman" w:hAnsi="Times New Roman" w:cs="Times New Roman"/>
          <w:b w:val="0"/>
          <w:color w:val="000000" w:themeColor="text1"/>
          <w:sz w:val="16"/>
          <w:szCs w:val="16"/>
        </w:rPr>
        <w:softHyphen/>
        <w:t>бителя весной 1930 г. решено было продолжить, и опять-таки ударными темпами создать самолет-бомбардировщик. Согласно бытующей легенде, инициатором создания самолета стал начальник завода им. Менжинского (от ГПУ) Е.С. Пауфлер. Якобы ему попался на глаза проспект французской фирмы «Фарман», в котором красочно расписывался один из многомоторных военных высокопланов с силовой установкой, расположенной под крылом. Далее Пауфлер выступил с предложением спроектировать и построить подобный самолет в СССР. Все другие конструкторы от выполнения этой работы отказывались, а Дмитрий Павлович Гоигорович согласился. По мнению автора, указанные события вполне могли именно так и развиваться. В период экономических и социальных экспериментов иногда происходят и более удивительные вещи.</w:t>
      </w:r>
    </w:p>
    <w:p w14:paraId="2E71EC40" w14:textId="77777777" w:rsidR="009B07CC" w:rsidRPr="00507A31" w:rsidRDefault="009B07CC" w:rsidP="00507A31">
      <w:pPr>
        <w:jc w:val="both"/>
        <w:rPr>
          <w:color w:val="000000" w:themeColor="text1"/>
          <w:sz w:val="16"/>
          <w:szCs w:val="16"/>
        </w:rPr>
      </w:pPr>
      <w:r w:rsidRPr="00507A31">
        <w:rPr>
          <w:color w:val="000000" w:themeColor="text1"/>
          <w:sz w:val="16"/>
          <w:szCs w:val="16"/>
        </w:rPr>
        <w:t>Добавим, что в начале 1930 г. кроме самолетостроительного ЦКБ образовали еще одну тюремную «шарагу» — особое техническое бюро (ОТБ) ОГПУ по авиаци</w:t>
      </w:r>
      <w:r w:rsidRPr="00507A31">
        <w:rPr>
          <w:color w:val="000000" w:themeColor="text1"/>
          <w:sz w:val="16"/>
          <w:szCs w:val="16"/>
        </w:rPr>
        <w:softHyphen/>
        <w:t>онным двигателям, которое находилось в центре Москвы, на Никольской улице. Находящимся в этом учреждении не по своей воле видным отечественным мотористам Б.С. Стечкину, Н.Р. Бриллингу, А.А. Бессонову и некоторым другим пору</w:t>
      </w:r>
      <w:r w:rsidRPr="00507A31">
        <w:rPr>
          <w:color w:val="000000" w:themeColor="text1"/>
          <w:sz w:val="16"/>
          <w:szCs w:val="16"/>
        </w:rPr>
        <w:softHyphen/>
        <w:t>чили спроектировать, испытать и запустить в производство несколько новых типов бензиновых и дизельных двигателей. Зна</w:t>
      </w:r>
      <w:r w:rsidRPr="00507A31">
        <w:rPr>
          <w:color w:val="000000" w:themeColor="text1"/>
          <w:sz w:val="16"/>
          <w:szCs w:val="16"/>
        </w:rPr>
        <w:softHyphen/>
        <w:t>чился среди них и мощный 24-цилиндровый двигатель ФЭД (Феликс Эдмундович Дзержинский). Выполненный по Х-образной схеме, снабженный приводом централь</w:t>
      </w:r>
      <w:r w:rsidRPr="00507A31">
        <w:rPr>
          <w:color w:val="000000" w:themeColor="text1"/>
          <w:sz w:val="16"/>
          <w:szCs w:val="16"/>
        </w:rPr>
        <w:softHyphen/>
        <w:t>ного наддува (ПЦН), ФЭД должен был раз</w:t>
      </w:r>
      <w:r w:rsidRPr="00507A31">
        <w:rPr>
          <w:color w:val="000000" w:themeColor="text1"/>
          <w:sz w:val="16"/>
          <w:szCs w:val="16"/>
        </w:rPr>
        <w:softHyphen/>
        <w:t>вивать на высоте 3000 м весьма приличную по тем временам мощность — 1100— 1250 л.с. Создавался двигатель ФЭД, прежде всего, для оснащения бомбарди</w:t>
      </w:r>
      <w:r w:rsidRPr="00507A31">
        <w:rPr>
          <w:color w:val="000000" w:themeColor="text1"/>
          <w:sz w:val="16"/>
          <w:szCs w:val="16"/>
        </w:rPr>
        <w:softHyphen/>
        <w:t>ровщика ТБ-5. Установка двигателей на самолете планировалось в двух видах: в передней кромке крыла, либо на вынесен</w:t>
      </w:r>
      <w:r w:rsidRPr="00507A31">
        <w:rPr>
          <w:color w:val="000000" w:themeColor="text1"/>
          <w:sz w:val="16"/>
          <w:szCs w:val="16"/>
        </w:rPr>
        <w:softHyphen/>
        <w:t>ных стойках под крылом. В обоих вариантах за силовой установкой предусматривалось размещение крыльевой оборонительной установки. То есть задумывалось все грамотно и обстоятельно.</w:t>
      </w:r>
    </w:p>
    <w:p w14:paraId="63812CB6" w14:textId="77777777" w:rsidR="009B07CC" w:rsidRPr="00507A31" w:rsidRDefault="009B07CC" w:rsidP="00507A31">
      <w:pPr>
        <w:jc w:val="both"/>
        <w:rPr>
          <w:color w:val="000000" w:themeColor="text1"/>
          <w:sz w:val="16"/>
          <w:szCs w:val="16"/>
        </w:rPr>
      </w:pPr>
      <w:r w:rsidRPr="00507A31">
        <w:rPr>
          <w:color w:val="000000" w:themeColor="text1"/>
          <w:sz w:val="16"/>
          <w:szCs w:val="16"/>
        </w:rPr>
        <w:t>Впрочем, создание хороших авиа</w:t>
      </w:r>
      <w:r w:rsidRPr="00507A31">
        <w:rPr>
          <w:color w:val="000000" w:themeColor="text1"/>
          <w:sz w:val="16"/>
          <w:szCs w:val="16"/>
        </w:rPr>
        <w:softHyphen/>
        <w:t>ционных двигателей всегда является несравнимо более сложной и длительной по времени разрешения задачей. К нуж</w:t>
      </w:r>
      <w:r w:rsidRPr="00507A31">
        <w:rPr>
          <w:color w:val="000000" w:themeColor="text1"/>
          <w:sz w:val="16"/>
          <w:szCs w:val="16"/>
        </w:rPr>
        <w:softHyphen/>
        <w:t>ному сроку двигатели ФЭД готовы не были, поэтому ТБ-5строился под4двигателя Гном Рон «Юпитер», расположенных попарно друг за другом (тандем) под крылом с двух сторон фюзеляжа. Решение строить ТБ-5 с «Юпитерами» окончательно оформилось весной 1931 г. (12611).</w:t>
      </w:r>
    </w:p>
    <w:p w14:paraId="6D9D3DAC" w14:textId="77777777" w:rsidR="009B07CC" w:rsidRPr="00507A31" w:rsidRDefault="009B07CC" w:rsidP="00507A31">
      <w:pPr>
        <w:jc w:val="both"/>
        <w:rPr>
          <w:color w:val="000000" w:themeColor="text1"/>
          <w:sz w:val="16"/>
          <w:szCs w:val="16"/>
        </w:rPr>
      </w:pPr>
    </w:p>
    <w:p w14:paraId="4453DD7B" w14:textId="77777777" w:rsidR="00A8367C" w:rsidRPr="00507A31" w:rsidRDefault="00A8367C" w:rsidP="00507A31">
      <w:pPr>
        <w:shd w:val="clear" w:color="auto" w:fill="FFFFFF"/>
        <w:jc w:val="both"/>
        <w:rPr>
          <w:color w:val="000000" w:themeColor="text1"/>
          <w:sz w:val="16"/>
          <w:szCs w:val="16"/>
        </w:rPr>
      </w:pPr>
      <w:r w:rsidRPr="00507A31">
        <w:rPr>
          <w:color w:val="000000" w:themeColor="text1"/>
          <w:sz w:val="16"/>
          <w:szCs w:val="16"/>
        </w:rPr>
        <w:t>Весной 1930 года, руководство ОГПУ посчитало необходимым в кратчайшие сроки создать тяжелый бомбардировщик (бомбовоз). Задание на проектирование бомбардировщика конструкторы получили практически без всяких согласований и утверждений. Считается, что инициатором этого проекта был директор завода № 39 Н.Е. Пауфлер. Новый проект обозначался как «самолет № 8» (ЦКБ № 8), а в Военно-Воздушных Силах – бомбардировщик ТБ-5. Срочное проектирование ТБ-5 было обусловлено рядом причин. В то время в ЦАГИ под руководством А.Н. Туполева создавался цельнометаллический бомбардировщик ТБ-3, работы по которому затягивались, кроме того, из-за дефицита алюминиевых сплавов, с массовым производством этого самолета могли возникнуть проблемы. Поэтому для подстраховки требовалась машина подобного типа, но в конструкции которой использовались бы более доступные материалы. Работы по ТБ-5 возглавил Д.П. Григорович.</w:t>
      </w:r>
    </w:p>
    <w:p w14:paraId="60648409" w14:textId="77777777" w:rsidR="00A8367C" w:rsidRPr="00507A31" w:rsidRDefault="00A8367C" w:rsidP="00507A31">
      <w:pPr>
        <w:shd w:val="clear" w:color="auto" w:fill="FFFFFF"/>
        <w:jc w:val="both"/>
        <w:rPr>
          <w:color w:val="000000" w:themeColor="text1"/>
          <w:sz w:val="16"/>
          <w:szCs w:val="16"/>
        </w:rPr>
      </w:pPr>
      <w:r w:rsidRPr="00507A31">
        <w:rPr>
          <w:color w:val="000000" w:themeColor="text1"/>
          <w:sz w:val="16"/>
          <w:szCs w:val="16"/>
        </w:rPr>
        <w:t>Здесь следует отметить, что в начале 1930 года в советской «исправительной системе» была создано еще одно Особое техническое бюро ОГПУ (ОТБ ОГПУ) по авиационным двигателям. В нем находились известные отечественные конструкторы авиационных моторов Б.С. Стечкин, А.Д. Чаромский, Н.Р. Бриллинг, А.А. Бессонов и другие. Специально под бомбардировщик ТБ-5, им было поручено спроектировать, испытать и запустить в производство 24-цилиндровый двигатель ФЭД (Феликс Эдмундович Дзержинский). Снабженный приводом центрального наддува, двигатель должен был развивать весьма приличную по тем временам мощность в 1100-1250 л.с. Установка двигателя на ТБ-5 планировалась в двух вариантах: в передней кромке крыла или на стойках под ним.</w:t>
      </w:r>
    </w:p>
    <w:p w14:paraId="0B2A2AA2" w14:textId="77777777" w:rsidR="00A8367C" w:rsidRPr="00507A31" w:rsidRDefault="00A8367C" w:rsidP="00507A31">
      <w:pPr>
        <w:shd w:val="clear" w:color="auto" w:fill="FFFFFF"/>
        <w:jc w:val="both"/>
        <w:rPr>
          <w:color w:val="000000" w:themeColor="text1"/>
          <w:sz w:val="16"/>
          <w:szCs w:val="16"/>
        </w:rPr>
      </w:pPr>
      <w:r w:rsidRPr="00507A31">
        <w:rPr>
          <w:color w:val="000000" w:themeColor="text1"/>
          <w:sz w:val="16"/>
          <w:szCs w:val="16"/>
        </w:rPr>
        <w:t>Для работы над ТБ-5 мобилизовали практически весь состав ЦКБ и большинство техперсонала завода № 39. «Самолет № 8» создали за год, что, несомненно, являлось рекордом для такой крупной и трудоемкой машины.</w:t>
      </w:r>
    </w:p>
    <w:p w14:paraId="6BB248C3" w14:textId="77777777" w:rsidR="00A8367C" w:rsidRPr="00507A31" w:rsidRDefault="00A8367C" w:rsidP="00507A31">
      <w:pPr>
        <w:shd w:val="clear" w:color="auto" w:fill="FFFFFF"/>
        <w:jc w:val="both"/>
        <w:rPr>
          <w:color w:val="000000" w:themeColor="text1"/>
          <w:sz w:val="16"/>
          <w:szCs w:val="16"/>
        </w:rPr>
      </w:pPr>
      <w:r w:rsidRPr="00507A31">
        <w:rPr>
          <w:color w:val="000000" w:themeColor="text1"/>
          <w:sz w:val="16"/>
          <w:szCs w:val="16"/>
        </w:rPr>
        <w:t>В основу схемы самолета была положена идея внутренней подвески бомб. В этой связи ТБ-5 представлял собой четырехдвигательный подкосный высокоплан с разнесенным вертикальным оперением и неубирающимся шасси. Между килями, над неподвижным стабилизатором имелась дополнительная, с изменяемым в полете углом установки плоскость, которую назвали «стабилирон». Он предназначался для уменьшения усилий на штурвале во время посадки и при изменении центровки.</w:t>
      </w:r>
    </w:p>
    <w:p w14:paraId="319E5EB8" w14:textId="77777777" w:rsidR="00A8367C" w:rsidRPr="00507A31" w:rsidRDefault="00A8367C" w:rsidP="00507A31">
      <w:pPr>
        <w:shd w:val="clear" w:color="auto" w:fill="FFFFFF"/>
        <w:jc w:val="both"/>
        <w:rPr>
          <w:color w:val="000000" w:themeColor="text1"/>
          <w:sz w:val="16"/>
          <w:szCs w:val="16"/>
        </w:rPr>
      </w:pPr>
      <w:r w:rsidRPr="00507A31">
        <w:rPr>
          <w:color w:val="000000" w:themeColor="text1"/>
          <w:sz w:val="16"/>
          <w:szCs w:val="16"/>
        </w:rPr>
        <w:t>Достаточно объемный фюзеляж представлял собой ферменную конструкцию из стальных труб, обтянутую полотном. Для транспортировки фюзеляж разделялся на три части: носовая - до задней кромки крыла, промежуточная – до передней кромки стабилизатора и хвостовая. Вся бомбовая нагрузка (для машины с двигателями ФЭД) размещалась внутри фюзеляжа по бортам на балках. Крыло ТБ-5 – трехлонжеронное, с частым шагом нервюр, имело небольшие подкосы к фюзеляжу. Длина самолета составляла 22 метра, размах крыла - 31 метр.</w:t>
      </w:r>
    </w:p>
    <w:p w14:paraId="23A498AE" w14:textId="77777777" w:rsidR="00A8367C" w:rsidRPr="00507A31" w:rsidRDefault="00A8367C" w:rsidP="00507A31">
      <w:pPr>
        <w:shd w:val="clear" w:color="auto" w:fill="FFFFFF"/>
        <w:jc w:val="both"/>
        <w:rPr>
          <w:color w:val="000000" w:themeColor="text1"/>
          <w:sz w:val="16"/>
          <w:szCs w:val="16"/>
        </w:rPr>
      </w:pPr>
      <w:r w:rsidRPr="00507A31">
        <w:rPr>
          <w:color w:val="000000" w:themeColor="text1"/>
          <w:sz w:val="16"/>
          <w:szCs w:val="16"/>
        </w:rPr>
        <w:t>К сроку двигатели ФЭД готовы не были, и бомбардировщик решили оснастить 4-мя двигателями «Юпитер» мощностью 480 л.с. (советский аналог М-22). На самолете с каждой стороны фюзеляжа под крылом тандемно установили по два двигателя, причем задние двигатели для улучшения охлаждения головок цилиндров оснастили кольцом Тауненда. Воздушные винты деревянные, передний – тянущий, задний – толкающий. За кабиной пилотов располагалась кабина бортмехаников, следящих визуально за двигателями в полете через боковые окна. Экипаж ТБ-5 получил неслыханные по тем временам удобства: туалет и четыре гамака для отдыха.</w:t>
      </w:r>
    </w:p>
    <w:p w14:paraId="7C820AE6" w14:textId="77777777" w:rsidR="00A8367C" w:rsidRPr="00507A31" w:rsidRDefault="00A8367C" w:rsidP="00507A31">
      <w:pPr>
        <w:shd w:val="clear" w:color="auto" w:fill="FFFFFF"/>
        <w:jc w:val="both"/>
        <w:rPr>
          <w:color w:val="000000" w:themeColor="text1"/>
          <w:sz w:val="16"/>
          <w:szCs w:val="16"/>
        </w:rPr>
      </w:pPr>
      <w:r w:rsidRPr="00507A31">
        <w:rPr>
          <w:color w:val="000000" w:themeColor="text1"/>
          <w:sz w:val="16"/>
          <w:szCs w:val="16"/>
        </w:rPr>
        <w:t>В оборонительное вооружение ТБ-5 входили три турельные установки ТУР-5 со спарками пулеметов ДА: одна находилась над штурманской кабиной перед фонарем пилотов, другая – сразу за крыльями, третья – в хвостовой части фюзеляжа. Кроме того, в носу машины размещалась передняя подвижная механизированная стрелковая башня, разработанная в секции вооружения под руководством А.В. Надашкевича. Эта была первая в стране заявка на механизированную и электрифицированную оборонительную установку.</w:t>
      </w:r>
    </w:p>
    <w:p w14:paraId="23E90288" w14:textId="77777777" w:rsidR="00A8367C" w:rsidRPr="00507A31" w:rsidRDefault="00A8367C" w:rsidP="00507A31">
      <w:pPr>
        <w:shd w:val="clear" w:color="auto" w:fill="FFFFFF"/>
        <w:jc w:val="both"/>
        <w:rPr>
          <w:color w:val="000000" w:themeColor="text1"/>
          <w:sz w:val="16"/>
          <w:szCs w:val="16"/>
        </w:rPr>
      </w:pPr>
      <w:r w:rsidRPr="00507A31">
        <w:rPr>
          <w:color w:val="000000" w:themeColor="text1"/>
          <w:sz w:val="16"/>
          <w:szCs w:val="16"/>
        </w:rPr>
        <w:t>Конструктор авиационного оружия Г.М. Можаровский, молодым специалистом принимавшим участие в той работе, впоследствии вспоминал:</w:t>
      </w:r>
    </w:p>
    <w:p w14:paraId="3D12E151" w14:textId="77777777" w:rsidR="00A8367C" w:rsidRPr="00507A31" w:rsidRDefault="00A8367C" w:rsidP="00507A31">
      <w:pPr>
        <w:pStyle w:val="rteindent11"/>
        <w:shd w:val="clear" w:color="auto" w:fill="FFFFFF"/>
        <w:spacing w:before="0" w:beforeAutospacing="0" w:after="0"/>
        <w:ind w:left="0" w:firstLine="0"/>
        <w:rPr>
          <w:rStyle w:val="af0"/>
          <w:i w:val="0"/>
          <w:color w:val="000000" w:themeColor="text1"/>
          <w:sz w:val="16"/>
          <w:szCs w:val="16"/>
        </w:rPr>
      </w:pPr>
      <w:r w:rsidRPr="00507A31">
        <w:rPr>
          <w:rStyle w:val="af0"/>
          <w:i w:val="0"/>
          <w:color w:val="000000" w:themeColor="text1"/>
          <w:sz w:val="16"/>
          <w:szCs w:val="16"/>
        </w:rPr>
        <w:t>Башня представляла собой цилиндрической формы стакан, вращающийся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расположенную за его спиной. 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в вертикальной плоскости его производил сам стрелок, сидевший на сиденье и своим весом уравновешивающий вес оружия. Чтобы осуществлять наводку оружия в вертикальной плоскости, стрелку достаточно было легко упереться ногами в пол (15223).</w:t>
      </w:r>
    </w:p>
    <w:p w14:paraId="185AA5F6" w14:textId="77777777" w:rsidR="00A8367C" w:rsidRPr="00507A31" w:rsidRDefault="00A8367C" w:rsidP="00507A31">
      <w:pPr>
        <w:pStyle w:val="rteindent11"/>
        <w:shd w:val="clear" w:color="auto" w:fill="FFFFFF"/>
        <w:spacing w:before="0" w:beforeAutospacing="0" w:after="0"/>
        <w:ind w:left="0" w:firstLine="0"/>
        <w:rPr>
          <w:rStyle w:val="af0"/>
          <w:i w:val="0"/>
          <w:color w:val="000000" w:themeColor="text1"/>
          <w:sz w:val="16"/>
          <w:szCs w:val="16"/>
        </w:rPr>
      </w:pPr>
    </w:p>
    <w:p w14:paraId="689D976C" w14:textId="77777777" w:rsidR="00FB796B" w:rsidRPr="00507A31" w:rsidRDefault="00FB796B" w:rsidP="00507A31">
      <w:pPr>
        <w:jc w:val="both"/>
        <w:rPr>
          <w:color w:val="000000" w:themeColor="text1"/>
          <w:sz w:val="16"/>
          <w:szCs w:val="16"/>
        </w:rPr>
      </w:pPr>
      <w:r w:rsidRPr="00507A31">
        <w:rPr>
          <w:color w:val="000000" w:themeColor="text1"/>
          <w:sz w:val="16"/>
          <w:szCs w:val="16"/>
        </w:rPr>
        <w:t>Весной 1930 года, руководство ОГПУ посчитало необходимым в кратчайшие сроки создать тяжелый бомбардировщик (бомбовоз). Задание на проектирование бомбардировщика конструкторы получили практически без всяких согласований и утверждений. Считается, что инициатором этого проекта был директор завода № 39 Н.Е. Пауфлер. Новый проект обозначался как «самолет № 8» (ЦКБ № 8), а в Военно-Воздушных Силах – бомбардировщик ТБ-5.</w:t>
      </w:r>
    </w:p>
    <w:p w14:paraId="00C6E7E6" w14:textId="77777777" w:rsidR="00FB796B" w:rsidRPr="00507A31" w:rsidRDefault="00FB796B" w:rsidP="00507A31">
      <w:pPr>
        <w:jc w:val="both"/>
        <w:rPr>
          <w:color w:val="000000" w:themeColor="text1"/>
          <w:sz w:val="16"/>
          <w:szCs w:val="16"/>
        </w:rPr>
      </w:pPr>
      <w:r w:rsidRPr="00507A31">
        <w:rPr>
          <w:color w:val="000000" w:themeColor="text1"/>
          <w:sz w:val="16"/>
          <w:szCs w:val="16"/>
        </w:rPr>
        <w:t>Срочное проектирование ТБ-5 было обусловлено рядом причин. В то время в ЦАГИ под руководством А.Н. Туполева создавался цельнометаллический бомбардировщик ТБ-3, работы по которому затягивались, кроме того, из-за дефицита алюминиевых сплавов, с массовым производством этого самолета могли возникнуть проблемы. Поэтому для подстраховки требовалась машина подобного типа, но в конструкции которой использовались бы более доступные материалы. Работы по ТБ-5 возглавил Д.П. Григорович.</w:t>
      </w:r>
    </w:p>
    <w:p w14:paraId="69BB17FA" w14:textId="77777777" w:rsidR="00FB796B" w:rsidRPr="00507A31" w:rsidRDefault="00FB796B" w:rsidP="00507A31">
      <w:pPr>
        <w:jc w:val="both"/>
        <w:rPr>
          <w:color w:val="000000" w:themeColor="text1"/>
          <w:sz w:val="16"/>
          <w:szCs w:val="16"/>
        </w:rPr>
      </w:pPr>
      <w:r w:rsidRPr="00507A31">
        <w:rPr>
          <w:color w:val="000000" w:themeColor="text1"/>
          <w:sz w:val="16"/>
          <w:szCs w:val="16"/>
        </w:rPr>
        <w:lastRenderedPageBreak/>
        <w:t>Здесь следует отметить, что в начале 1930 года в советской «исправительной системе» была создано еще одно Особое техническое бюро ОГПУ (ОТБ ОГПУ) по авиационным двигателям. В нем находились известные отечественные конструкторы авиационных моторов Б.С. Стечкин, А.Д. Чаромский, Н.Р. Бриллинг, А.А. Бессонов и другие. Специально под бомбардировщик ТБ-5, им было поручено спроектировать, испытать и запустить в производство 24-цилиндровый двигатель ФЭД (Феликс Эдмундович Дзержинский). Снабженный приводом центрального наддува, двигатель должен был развивать весьма приличную по тем временам мощность в 1100-1250 л.с. Установка двигателя на ТБ-5 планировалась в двух вариантах: в передней кромке крыла или на стойках под ним.</w:t>
      </w:r>
    </w:p>
    <w:p w14:paraId="4993BF37" w14:textId="77777777" w:rsidR="00FB796B" w:rsidRPr="00507A31" w:rsidRDefault="00FB796B" w:rsidP="00507A31">
      <w:pPr>
        <w:jc w:val="both"/>
        <w:rPr>
          <w:color w:val="000000" w:themeColor="text1"/>
          <w:sz w:val="16"/>
          <w:szCs w:val="16"/>
        </w:rPr>
      </w:pPr>
      <w:r w:rsidRPr="00507A31">
        <w:rPr>
          <w:color w:val="000000" w:themeColor="text1"/>
          <w:sz w:val="16"/>
          <w:szCs w:val="16"/>
        </w:rPr>
        <w:t>Для работы над ТБ-5 мобилизовали практически весь состав ЦКБ и большинство техперсонала завода № 39. «Самолет № 8» создали за год, что, несомненно, являлось рекордом для такой крупной и трудоемкой машины.</w:t>
      </w:r>
    </w:p>
    <w:p w14:paraId="441B8DC7" w14:textId="77777777" w:rsidR="00FB796B" w:rsidRPr="00507A31" w:rsidRDefault="00FB796B" w:rsidP="00507A31">
      <w:pPr>
        <w:jc w:val="both"/>
        <w:rPr>
          <w:color w:val="000000" w:themeColor="text1"/>
          <w:sz w:val="16"/>
          <w:szCs w:val="16"/>
        </w:rPr>
      </w:pPr>
      <w:r w:rsidRPr="00507A31">
        <w:rPr>
          <w:color w:val="000000" w:themeColor="text1"/>
          <w:sz w:val="16"/>
          <w:szCs w:val="16"/>
        </w:rPr>
        <w:t>В основу схемы самолета была положена идея внутренней подвески бомб. В этой связи ТБ-5 представлял собой четырехдвигательный подкосный высокоплан с разнесенным вертикальным оперением и неубирающимся шасси. Между килями, над неподвижным стабилизатором имелась дополнительная, с изменяемым в полете углом установки плоскость, которую назвали «стабилирон». Он предназначался для уменьшения усилий на штурвале во время посадки и при изменении центровки.</w:t>
      </w:r>
    </w:p>
    <w:p w14:paraId="701ADB3D" w14:textId="77777777" w:rsidR="00FB796B" w:rsidRPr="00507A31" w:rsidRDefault="00FB796B" w:rsidP="00507A31">
      <w:pPr>
        <w:jc w:val="both"/>
        <w:rPr>
          <w:color w:val="000000" w:themeColor="text1"/>
          <w:sz w:val="16"/>
          <w:szCs w:val="16"/>
        </w:rPr>
      </w:pPr>
      <w:r w:rsidRPr="00507A31">
        <w:rPr>
          <w:color w:val="000000" w:themeColor="text1"/>
          <w:sz w:val="16"/>
          <w:szCs w:val="16"/>
        </w:rPr>
        <w:t>Достаточно объемный фюзеляж представлял собой ферменную конструкцию из стальных труб, обтянутую полотном. Для транспортировки фюзеляж разделялся на три части: носовая - до задней кромки крыла, промежуточная – до передней кромки стабилизатора и хвостовая. Вся бомбовая нагрузка (для машины с двигателями ФЭД) размещалась внутри фюзеляжа по бортам на балках. Крыло ТБ-5 – трехлонжеронное, с частым шагом нервюр, имело небольшие подкосы к фюзеляжу. Длина самолета составляла 22 метра, размах крыла - 31 метр.</w:t>
      </w:r>
    </w:p>
    <w:p w14:paraId="5159AC18" w14:textId="77777777" w:rsidR="00FB796B" w:rsidRPr="00507A31" w:rsidRDefault="00FB796B" w:rsidP="00507A31">
      <w:pPr>
        <w:jc w:val="both"/>
        <w:rPr>
          <w:color w:val="000000" w:themeColor="text1"/>
          <w:sz w:val="16"/>
          <w:szCs w:val="16"/>
        </w:rPr>
      </w:pPr>
      <w:r w:rsidRPr="00507A31">
        <w:rPr>
          <w:color w:val="000000" w:themeColor="text1"/>
          <w:sz w:val="16"/>
          <w:szCs w:val="16"/>
        </w:rPr>
        <w:t>К сроку двигатели ФЭД готовы не были, и бомбардировщик решили оснастить 4-мя двигателями «Юпитер» мощностью 480 л.с. (советский аналог М-22). На самолете с каждой стороны фюзеляжа под крылом тандемно установили по два двигателя, причем задние двигатели для улучшения охлаждения головок цилиндров оснастили кольцом Тауненда. Воздушные винты деревянные, передний – тянущий, задний – толкающий. За кабиной пилотов располагалась кабина бортмехаников, следящих визуально за двигателями в полете через боковые окна. Экипаж ТБ-5 получил неслыханные по тем временам удобства: туалет и четыре гамака для отдыха.</w:t>
      </w:r>
    </w:p>
    <w:p w14:paraId="782BF526" w14:textId="77777777" w:rsidR="00FB796B" w:rsidRPr="00507A31" w:rsidRDefault="00FB796B" w:rsidP="00507A31">
      <w:pPr>
        <w:jc w:val="both"/>
        <w:rPr>
          <w:color w:val="000000" w:themeColor="text1"/>
          <w:sz w:val="16"/>
          <w:szCs w:val="16"/>
        </w:rPr>
      </w:pPr>
      <w:r w:rsidRPr="00507A31">
        <w:rPr>
          <w:color w:val="000000" w:themeColor="text1"/>
          <w:sz w:val="16"/>
          <w:szCs w:val="16"/>
        </w:rPr>
        <w:t>В оборонительное вооружение ТБ-5 входили три турельные установки ТУР-5 со спарками пулеметов ДА: одна находилась над штурманской кабиной перед фонарем пилотов, другая – сразу за крыльями, третья – в хвостовой части фюзеляжа. Кроме того, в носу машины размещалась передняя подвижная механизированная стрелковая башня, разработанная в секции вооружения под руководством А.В. Надашкевича. Эта была первая в стране заявка на механизированную и электрифицированную оборонительную установку.</w:t>
      </w:r>
    </w:p>
    <w:p w14:paraId="4968AA3D" w14:textId="77777777" w:rsidR="00FB796B" w:rsidRPr="00507A31" w:rsidRDefault="00FB796B" w:rsidP="00507A31">
      <w:pPr>
        <w:jc w:val="both"/>
        <w:rPr>
          <w:color w:val="000000" w:themeColor="text1"/>
          <w:sz w:val="16"/>
          <w:szCs w:val="16"/>
        </w:rPr>
      </w:pPr>
      <w:r w:rsidRPr="00507A31">
        <w:rPr>
          <w:color w:val="000000" w:themeColor="text1"/>
          <w:sz w:val="16"/>
          <w:szCs w:val="16"/>
        </w:rPr>
        <w:t>Конструктор авиационного оружия Г.М. Можаровский, молодым специалистом принимавшим участие в той работе, впоследствии вспоминал:</w:t>
      </w:r>
    </w:p>
    <w:p w14:paraId="4F57D4AE" w14:textId="77777777" w:rsidR="00FB796B" w:rsidRPr="00507A31" w:rsidRDefault="00FB796B" w:rsidP="00507A31">
      <w:pPr>
        <w:jc w:val="both"/>
        <w:rPr>
          <w:color w:val="000000" w:themeColor="text1"/>
          <w:sz w:val="16"/>
          <w:szCs w:val="16"/>
        </w:rPr>
      </w:pPr>
      <w:r w:rsidRPr="00507A31">
        <w:rPr>
          <w:color w:val="000000" w:themeColor="text1"/>
          <w:sz w:val="16"/>
          <w:szCs w:val="16"/>
        </w:rPr>
        <w:t>Башня представляла собой цилиндрической формы стакан, вращающийся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расположенную за его спиной. 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в вертикальной плоскости его производил сам стрелок, сидевший на сиденье и своим весом уравновешивающий вес оружия. Чтобы осуществлять наводку оружия в вертикальной плоскости, стрелку достаточно было легко упереться ногами в пол (18293).</w:t>
      </w:r>
    </w:p>
    <w:p w14:paraId="7786EDFA" w14:textId="77777777" w:rsidR="00FB796B" w:rsidRPr="00507A31" w:rsidRDefault="00FB796B" w:rsidP="00507A31">
      <w:pPr>
        <w:jc w:val="both"/>
        <w:rPr>
          <w:color w:val="000000" w:themeColor="text1"/>
          <w:sz w:val="16"/>
          <w:szCs w:val="16"/>
        </w:rPr>
      </w:pPr>
    </w:p>
    <w:p w14:paraId="0E6476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года, ЦАГИ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В.М.Петлякова. Под проект рассматривались микулинские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ВВС РККА на 1934 год, где в разделе "Самолеты особого назначения" за ЦАГИ записан ВСБ-1 с потолком 15000 м (7685).</w:t>
      </w:r>
    </w:p>
    <w:p w14:paraId="3F2A73A4" w14:textId="77777777" w:rsidR="00537E5F" w:rsidRPr="00507A31" w:rsidRDefault="00537E5F" w:rsidP="00507A31">
      <w:pPr>
        <w:autoSpaceDE w:val="0"/>
        <w:autoSpaceDN w:val="0"/>
        <w:adjustRightInd w:val="0"/>
        <w:jc w:val="both"/>
        <w:rPr>
          <w:color w:val="000000" w:themeColor="text1"/>
          <w:sz w:val="16"/>
          <w:szCs w:val="16"/>
        </w:rPr>
      </w:pPr>
    </w:p>
    <w:p w14:paraId="5AA320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ЦАГИ поручили создать тяжёлый бомбардировщик с максимальной скоростью 440 км/ч, дальностью 4500 км, потолком 11 000 м и бомбовой нагрузкой 4000 кг. В плане 1934 г. эта машина, названная ВСБ-1, значилась уже с потолком в 15 000 м. Проработка проекта АНТ-38 по этому заданию велась в бригаде Петлякова. Многие требования к ТБ-7 явно шли от этого документа, вот только скорость стала намного больше. Потолок задавался в 15 000 м, дальность полёта на этой высоте - 2000 км, максимальная скорость - 600 км/ч, бомбовая нагрузка - 500 кг, разбег на взлёте- 400 м, пробег на посадке -150 м. Всё это в то время выглядело фантастично и плохо увязывалось между собой. Позже руководству ЦАГИ удалось убедить военных выставить более реалистичные требования, опиравшиеся на предварительные расчёты сотрудников КОСОС (11996).</w:t>
      </w:r>
    </w:p>
    <w:p w14:paraId="3F1F4113" w14:textId="77777777" w:rsidR="00537E5F" w:rsidRPr="00507A31" w:rsidRDefault="00537E5F" w:rsidP="00507A31">
      <w:pPr>
        <w:autoSpaceDE w:val="0"/>
        <w:autoSpaceDN w:val="0"/>
        <w:adjustRightInd w:val="0"/>
        <w:jc w:val="both"/>
        <w:rPr>
          <w:color w:val="000000" w:themeColor="text1"/>
          <w:sz w:val="16"/>
          <w:szCs w:val="16"/>
        </w:rPr>
      </w:pPr>
    </w:p>
    <w:p w14:paraId="2D1043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начались испытания ТБ-2, но к этому времени уже были успешно преодолены основные трудности, связанные с серийным производством в СССР цельнометаллического бомбардировщика-моноплана ТБ-1 с двигателями БМВ-6-М-17 (9528).</w:t>
      </w:r>
    </w:p>
    <w:p w14:paraId="63EA338D" w14:textId="77777777" w:rsidR="00537E5F" w:rsidRPr="00507A31" w:rsidRDefault="00537E5F" w:rsidP="00507A31">
      <w:pPr>
        <w:autoSpaceDE w:val="0"/>
        <w:autoSpaceDN w:val="0"/>
        <w:adjustRightInd w:val="0"/>
        <w:jc w:val="both"/>
        <w:rPr>
          <w:color w:val="000000" w:themeColor="text1"/>
          <w:sz w:val="16"/>
          <w:szCs w:val="16"/>
        </w:rPr>
      </w:pPr>
    </w:p>
    <w:p w14:paraId="2AC887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самолет ТБ-2 прошел ограниченные заводские испытания. Его максимальная скорость у земли, равная 216 км/ч, оказалась несколько выше, чем у ТБ-1, но ТБ-2 значительно уступал цельнометаллическому самолету-моноплану по тактическим и эксплуатационным данным, срокам службы конструкции. Тем более, что успешно преодолевались трудности, связанные с серийным производством цельнометаллических самолетов в СССР. Осваивалось серийное производство купленных по лицензии германских двигателей БМВ VI - их под обозначением М-17 в 1929 г. начал выпускать завод № 26 в г. Рыбинске. Быстрыми темпами возводились Волховский алюминиевый завод и Волховская ГЭС, которая должна была обеспечить этот завод электроэнергией. Трудовыми усилиями народа страна освобождалась от импорта авиационных моторов, развивала производство высококачественных стальных и алюминиевых сплавов, станочного оборудования, авиационного вооружения и комплектующих изделий - всего того, что обеспечивало молодой авиационной промышленности СССР переход к серийному выпуску самолетов различных классов, по своим боевым качествам не уступавшим машинам высокоразвитых в техническом отношении стран Запада (3407).</w:t>
      </w:r>
    </w:p>
    <w:p w14:paraId="6A04480B" w14:textId="77777777" w:rsidR="00537E5F" w:rsidRPr="00507A31" w:rsidRDefault="00537E5F" w:rsidP="00507A31">
      <w:pPr>
        <w:autoSpaceDE w:val="0"/>
        <w:autoSpaceDN w:val="0"/>
        <w:adjustRightInd w:val="0"/>
        <w:jc w:val="both"/>
        <w:rPr>
          <w:color w:val="000000" w:themeColor="text1"/>
          <w:sz w:val="16"/>
          <w:szCs w:val="16"/>
        </w:rPr>
      </w:pPr>
    </w:p>
    <w:p w14:paraId="414CAD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запускавшемуся в серийное производство. Работы по ТБ-2 прекратили (12036).</w:t>
      </w:r>
    </w:p>
    <w:p w14:paraId="35A724B7" w14:textId="77777777" w:rsidR="00537E5F" w:rsidRPr="00507A31" w:rsidRDefault="00537E5F" w:rsidP="00507A31">
      <w:pPr>
        <w:autoSpaceDE w:val="0"/>
        <w:autoSpaceDN w:val="0"/>
        <w:adjustRightInd w:val="0"/>
        <w:jc w:val="both"/>
        <w:rPr>
          <w:color w:val="000000" w:themeColor="text1"/>
          <w:sz w:val="16"/>
          <w:szCs w:val="16"/>
        </w:rPr>
      </w:pPr>
    </w:p>
    <w:p w14:paraId="683857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Весной 1930 г. для улучшения характе</w:t>
      </w:r>
      <w:r w:rsidRPr="00507A31">
        <w:rPr>
          <w:color w:val="000000" w:themeColor="text1"/>
          <w:sz w:val="16"/>
          <w:szCs w:val="16"/>
        </w:rPr>
        <w:softHyphen/>
        <w:t>ристик штопора па Д-2 смонтировали но</w:t>
      </w:r>
      <w:r w:rsidRPr="00507A31">
        <w:rPr>
          <w:color w:val="000000" w:themeColor="text1"/>
          <w:sz w:val="16"/>
          <w:szCs w:val="16"/>
        </w:rPr>
        <w:softHyphen/>
        <w:t>вое У-образное хвостовое оперение, разме</w:t>
      </w:r>
      <w:r w:rsidRPr="00507A31">
        <w:rPr>
          <w:color w:val="000000" w:themeColor="text1"/>
          <w:sz w:val="16"/>
          <w:szCs w:val="16"/>
        </w:rPr>
        <w:softHyphen/>
        <w:t>щенное под углом 8 градусов к горизонту (подобная схема хвостового оперения ис</w:t>
      </w:r>
      <w:r w:rsidRPr="00507A31">
        <w:rPr>
          <w:color w:val="000000" w:themeColor="text1"/>
          <w:sz w:val="16"/>
          <w:szCs w:val="16"/>
        </w:rPr>
        <w:softHyphen/>
        <w:t>пользовалась в Советском Союзе впервые). Кроме того, на самолете установили оборо</w:t>
      </w:r>
      <w:r w:rsidRPr="00507A31">
        <w:rPr>
          <w:color w:val="000000" w:themeColor="text1"/>
          <w:sz w:val="16"/>
          <w:szCs w:val="16"/>
        </w:rPr>
        <w:softHyphen/>
        <w:t>нительную турель ТУР-7, представляю</w:t>
      </w:r>
      <w:r w:rsidRPr="00507A31">
        <w:rPr>
          <w:color w:val="000000" w:themeColor="text1"/>
          <w:sz w:val="16"/>
          <w:szCs w:val="16"/>
        </w:rPr>
        <w:softHyphen/>
        <w:t>щую собой уменьшенную ТУР-6 (внутрен</w:t>
      </w:r>
      <w:r w:rsidRPr="00507A31">
        <w:rPr>
          <w:color w:val="000000" w:themeColor="text1"/>
          <w:sz w:val="16"/>
          <w:szCs w:val="16"/>
        </w:rPr>
        <w:softHyphen/>
        <w:t>ний диаметр турсльного кольца уменьшил</w:t>
      </w:r>
      <w:r w:rsidRPr="00507A31">
        <w:rPr>
          <w:color w:val="000000" w:themeColor="text1"/>
          <w:sz w:val="16"/>
          <w:szCs w:val="16"/>
        </w:rPr>
        <w:softHyphen/>
        <w:t>ся с 710 до 636 мм). Поначалу на ТУР-7 стояла спарка пулеметов «Льюис», затем ее заменили одним пулеметом ДА (11134).</w:t>
      </w:r>
    </w:p>
    <w:p w14:paraId="548931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E4F87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был выпущен ТБ-2 Н.Н.П. с теми же моторами, что ТБ-1 - те же характеристики, но уступал ему по техническим и эксплуатационным данным (80,301).</w:t>
      </w:r>
    </w:p>
    <w:p w14:paraId="3BFE18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Есть мнение, что был чуть лучше ТБ-1, выпущенного в 1925 (92,370).</w:t>
      </w:r>
    </w:p>
    <w:p w14:paraId="1DEF97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Разумным кажется предположение, что самолет и не предназначался для серийной постройки и был как бы резервным для ТБ-1 (228,55).</w:t>
      </w:r>
    </w:p>
    <w:p w14:paraId="0B9CA5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Главный заказчик - УВВС. Не ясно, кто же его выпустил. Н.Н.П. - сидел, ОСС - присоединили к новому ЦКБ. Может быть был процесс.</w:t>
      </w:r>
    </w:p>
    <w:p w14:paraId="137A34DA" w14:textId="77777777" w:rsidR="00537E5F" w:rsidRPr="00507A31" w:rsidRDefault="00537E5F" w:rsidP="00507A31">
      <w:pPr>
        <w:autoSpaceDE w:val="0"/>
        <w:autoSpaceDN w:val="0"/>
        <w:adjustRightInd w:val="0"/>
        <w:jc w:val="both"/>
        <w:rPr>
          <w:color w:val="000000" w:themeColor="text1"/>
          <w:sz w:val="16"/>
          <w:szCs w:val="16"/>
        </w:rPr>
      </w:pPr>
    </w:p>
    <w:p w14:paraId="524A3F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началось серийное производство нового разведчика и лёгкого бомбардировщика Р-5, деревянного биплана, созданного под руководством Н.Н. Поликарпова. Машина оказалась удачной и вскоре стала самым распространённым самолётом подобного назначения в ВВС РККА. На его базе разработали целое семейство специализированных вариантов. Но при этом не забывали и о модернизации самого Р-5. В план опытно-конструкторских работ на 1931 г. было внесено создание модификации разведчика под новый мотор М-34 (позже переименованный в АМ-34).</w:t>
      </w:r>
    </w:p>
    <w:p w14:paraId="057F57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Этот двигатель проектировался в ЦИАМ под руководством А.А. Микулина. Он был немного мощнее мотора М-17, исходно ставившегося на Р-5, а его конструкция позволяла наращивать мощность и далее. Серийное производство М-34 началось весной 1932 г., хотя двигатель к этому времени ещё не прошёл государственных испытаний.</w:t>
      </w:r>
    </w:p>
    <w:p w14:paraId="013C2A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Ответственность за проектирование варианта Р-5 с М-34 возлагалась на завод № 1 и ЦИАМ. После нескольких попыток руководителей обеих организаций "перепасовать" работу, новую мотоустановку для Р-5 сконструировали в 5-й бригаде ЦАГИ. Задача не представляла особой сложности, поскольку по заданию, выданному в своё время Микулину, требовалось вписаться в габариты М-17 и сохранить те же посадочные места. Зато М-34 был несколько тяжелее, что сместило центровку самолёта вперёд. Для Р-5 выделили первый серийный мотор, № 2001.</w:t>
      </w:r>
    </w:p>
    <w:p w14:paraId="7C2701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плану машина должна была подняться в воздух в октябре 1932 г., но реально это произошло раньше - в июне. Однако желаемого улучшения лётных данных на испытаниях не получили. В документах Реввоенсовета указано: "...требуется полная переделка машины в сторону уменьшения веса конструкции..." Решением этой задачи занялось опытно-конструкторское бюро завода № 1 во главе с Д.С. Марковым. Основную работу вели А.А. Скарбов и Алексеев. Новый самолёт сначала именовался Р5-М34Н, а позже P-Z (Р-Зет). К октябрю 1934 г. чертежи нового варианта мотоустановки были готовы, заканчивалась переработка крыла и оперения. Началась постройка полноразмерного макета самолёта (11995).</w:t>
      </w:r>
    </w:p>
    <w:p w14:paraId="7F67F918" w14:textId="77777777" w:rsidR="00537E5F" w:rsidRPr="00507A31" w:rsidRDefault="00537E5F" w:rsidP="00507A31">
      <w:pPr>
        <w:autoSpaceDE w:val="0"/>
        <w:autoSpaceDN w:val="0"/>
        <w:adjustRightInd w:val="0"/>
        <w:jc w:val="both"/>
        <w:rPr>
          <w:color w:val="000000" w:themeColor="text1"/>
          <w:sz w:val="16"/>
          <w:szCs w:val="16"/>
        </w:rPr>
      </w:pPr>
    </w:p>
    <w:p w14:paraId="52CC1B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УВВС специально обратило внимание промышленности на непрочность окраски истребителей И-4 и разведчиков Р-3. Вдобавок к ранее выявленным недостаткам, в воинских частях столкнулись с тем, что моторное масло (тогда пользовались в основном касторкой) быстро разрушает покрытие. Из эскадрилий сообщали, что "капоты облезают клочьями". Под воздействием солнца и атмосферных осадков краска стремительно выцветала. В мае 1930 г. правительственное постановление обязало заводы перекрасить все ранее выпущенные самолеты непосредственно в частях. На аэродромы направили бригады маляров. Далее такие кампании проводились неоднократно. Во многих частях самолеты перекрашивали по два раза в год: перед воздушными парадами 1 мая и 7 ноября. Проблему пытались решить разными способами, в частности, меняли рецептуру. В Ленинградском военном округе Р-3 и И-4 в 1930-1931 гг. перекрашивали, добавляя в "защитную" краску 12% цинковых белил, а в голубую - 25%. В 1930 г. на двух И-4 опробовали нитро- целлюлозные эмали. Эти два истребителя прошли эксплуатационные испытания в НИИ ВВС, а затем были переданы в 29-ю истребительную эскадрилью ВВС Черного моря, базировавшуюся в Евпатории. Еще два И-4 в том же году обшили плакированным дюралем без покраски. Нитрокраски использовали также на нескольких десятках ТБ-1 (11987).</w:t>
      </w:r>
    </w:p>
    <w:p w14:paraId="7B445133" w14:textId="77777777" w:rsidR="00537E5F" w:rsidRPr="00507A31" w:rsidRDefault="00537E5F" w:rsidP="00507A31">
      <w:pPr>
        <w:autoSpaceDE w:val="0"/>
        <w:autoSpaceDN w:val="0"/>
        <w:adjustRightInd w:val="0"/>
        <w:jc w:val="both"/>
        <w:rPr>
          <w:color w:val="000000" w:themeColor="text1"/>
          <w:sz w:val="16"/>
          <w:szCs w:val="16"/>
        </w:rPr>
      </w:pPr>
    </w:p>
    <w:p w14:paraId="06EC0B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"вредитель" Григорович, оставаясь в заключении, числился старшим консультантом при ЦКБ. После успешного дебюта истребителя ВТ-11 (И-5) условия его содержания под стражей стали более мягкими, и власти даже позволили Дмитрию Павловичу съездить вместе с семьёй на отдых в Ялту, разумеется, в сопровождении охраны. После возвращения с юга ему и было предложено разработать истребитель под две трёхдюймовые пушки Курчевского.</w:t>
      </w:r>
    </w:p>
    <w:p w14:paraId="287CAF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проектирования своего пушечного истребителя, названного И-Z (И-ЗЕТ), Григорович организовал небольшую группу, которая обосновалась в одном из ангаров московского завода № 39. Участие в создании самолёта принимали А.Н. Седельников, В.Л. Корвин, А.Н. Надашкевич, Е.И. Майоранов, В.Д. Яровицкий, Г.Е. Чупилко и С.Н. Шишкин. В основном это были специалисты, ранее участвовавшие в проектировании истребителя И-5, поэтому отработанные на нём конструктивные решения были использованы максимальным образом. От И-5 практически без изменений позаимствовали винтомоторную установку с двигателем М-22 и центральную часть фюзеляжа ферменной конструкции. К ней крепилась особо жёсткая хвостовая часть, выполненная в виде полумонококовой балки. Горизонтальное хвостовое оперение для уменьшения воздействия пороховых газов подняли вверх, а рулевые поверхности обшили дюралюминиевыми листами, усиленными внешними зигами (редким гофром). Низкорасположенное крыло в зоне стыка с фюзеляжем для снижения интерференции имело уменьшенную толщину профиля. Необходимую жёсткость крылу обеспечивали двойные стальные подкосы, связанные с подфюзеляжной силовой фермой. Чтобы свести к минимуму индуктивное сопротивление, концевые части крыла выполнили элипсовидными. Впрочем, несмотря на стремление по возможности облагородить внешний облик самолёта, выглядел он достаточно громоздко, особенно с установленными пушками. Оценивая его схему, можно утверждать, что И-Z принадлежал к переходной эпохе монопланов начала 1930-х гг., когда облик скоростных истребителей окончательно ещё не определился.</w:t>
      </w:r>
    </w:p>
    <w:p w14:paraId="526F1E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Что касается названия самолёта, то существует несколько версий его появления. Первая из них гласит, что машина создавалась в условиях повышенной секретности, поэтому ей присвоили нетипичный шифр "Z". По другим сведениям, работа велась в ангаре № 7, поэтому проектируемый истребитель его создатели определили как И-7. Но практически одновременно на московском авиазаводе № 1 по лицензии немецкой фирмы "Хейнкель" запустили в серию истребитель-биплан HD-37, которому в ВВС РККА присвоили обозначение И-7. Из-за этого, дескать, Григорович трансформировал цифру "7" в букву "Z". Действительно, в ряде документов того времени встречаются обозначения ЦКБ-7, ЦКБ №7, Z(H-7). Через два года, когда работы по новой машине шли полным ходом, обозначение И-Z окончательно утвердилось, причём, по причине отсутствия в большинстве отечественных печатных машинок латинского шрифта, писалось оно как И-ЗЕТ (12005).</w:t>
      </w:r>
    </w:p>
    <w:p w14:paraId="0BFADECD" w14:textId="77777777" w:rsidR="00537E5F" w:rsidRPr="00507A31" w:rsidRDefault="00537E5F" w:rsidP="00507A31">
      <w:pPr>
        <w:autoSpaceDE w:val="0"/>
        <w:autoSpaceDN w:val="0"/>
        <w:adjustRightInd w:val="0"/>
        <w:jc w:val="both"/>
        <w:rPr>
          <w:color w:val="000000" w:themeColor="text1"/>
          <w:sz w:val="16"/>
          <w:szCs w:val="16"/>
        </w:rPr>
      </w:pPr>
    </w:p>
    <w:p w14:paraId="32422368" w14:textId="77777777" w:rsidR="009B07CC" w:rsidRPr="00507A31" w:rsidRDefault="009B07CC" w:rsidP="00507A31">
      <w:pPr>
        <w:jc w:val="both"/>
        <w:rPr>
          <w:color w:val="000000" w:themeColor="text1"/>
          <w:sz w:val="16"/>
          <w:szCs w:val="16"/>
        </w:rPr>
      </w:pPr>
      <w:r w:rsidRPr="00507A31">
        <w:rPr>
          <w:color w:val="000000" w:themeColor="text1"/>
          <w:sz w:val="16"/>
          <w:szCs w:val="16"/>
        </w:rPr>
        <w:t>Весной 1930 г. Управ</w:t>
      </w:r>
      <w:r w:rsidRPr="00507A31">
        <w:rPr>
          <w:color w:val="000000" w:themeColor="text1"/>
          <w:sz w:val="16"/>
          <w:szCs w:val="16"/>
        </w:rPr>
        <w:softHyphen/>
        <w:t>ление ВВС подготовило ТТТ на истребитель И-9, в которых указывались следующие ха</w:t>
      </w:r>
      <w:r w:rsidRPr="00507A31">
        <w:rPr>
          <w:color w:val="000000" w:themeColor="text1"/>
          <w:sz w:val="16"/>
          <w:szCs w:val="16"/>
        </w:rPr>
        <w:softHyphen/>
        <w:t>рактеристики:</w:t>
      </w:r>
    </w:p>
    <w:p w14:paraId="2E552AD1" w14:textId="77777777" w:rsidR="009B07CC" w:rsidRPr="00507A31" w:rsidRDefault="009B07CC" w:rsidP="00507A31">
      <w:pPr>
        <w:jc w:val="both"/>
        <w:rPr>
          <w:color w:val="000000" w:themeColor="text1"/>
          <w:sz w:val="16"/>
          <w:szCs w:val="16"/>
        </w:rPr>
      </w:pPr>
      <w:r w:rsidRPr="00507A31">
        <w:rPr>
          <w:color w:val="000000" w:themeColor="text1"/>
          <w:sz w:val="16"/>
          <w:szCs w:val="16"/>
        </w:rPr>
        <w:t>Скорость макс.</w:t>
      </w:r>
    </w:p>
    <w:p w14:paraId="14586C32" w14:textId="77777777" w:rsidR="009B07CC" w:rsidRPr="00507A31" w:rsidRDefault="009B07CC" w:rsidP="00507A31">
      <w:pPr>
        <w:tabs>
          <w:tab w:val="left" w:pos="2400"/>
        </w:tabs>
        <w:jc w:val="both"/>
        <w:rPr>
          <w:color w:val="000000" w:themeColor="text1"/>
          <w:sz w:val="16"/>
          <w:szCs w:val="16"/>
        </w:rPr>
      </w:pPr>
      <w:r w:rsidRPr="00507A31">
        <w:rPr>
          <w:color w:val="000000" w:themeColor="text1"/>
          <w:sz w:val="16"/>
          <w:szCs w:val="16"/>
        </w:rPr>
        <w:t>на высоте 5000 м 330-350 км/ч</w:t>
      </w:r>
    </w:p>
    <w:p w14:paraId="1F3B6C98" w14:textId="77777777" w:rsidR="009B07CC" w:rsidRPr="00507A31" w:rsidRDefault="009B07CC" w:rsidP="00507A31">
      <w:pPr>
        <w:tabs>
          <w:tab w:val="left" w:pos="2835"/>
        </w:tabs>
        <w:jc w:val="both"/>
        <w:rPr>
          <w:color w:val="000000" w:themeColor="text1"/>
          <w:sz w:val="16"/>
          <w:szCs w:val="16"/>
        </w:rPr>
      </w:pPr>
      <w:r w:rsidRPr="00507A31">
        <w:rPr>
          <w:color w:val="000000" w:themeColor="text1"/>
          <w:sz w:val="16"/>
          <w:szCs w:val="16"/>
        </w:rPr>
        <w:t>Время набора высоты 5000 м 5-7 мин.</w:t>
      </w:r>
    </w:p>
    <w:p w14:paraId="45C1C00F" w14:textId="77777777" w:rsidR="009B07CC" w:rsidRPr="00507A31" w:rsidRDefault="009B07CC" w:rsidP="00507A31">
      <w:pPr>
        <w:tabs>
          <w:tab w:val="left" w:pos="2835"/>
        </w:tabs>
        <w:jc w:val="both"/>
        <w:rPr>
          <w:color w:val="000000" w:themeColor="text1"/>
          <w:sz w:val="16"/>
          <w:szCs w:val="16"/>
        </w:rPr>
      </w:pPr>
      <w:r w:rsidRPr="00507A31">
        <w:rPr>
          <w:color w:val="000000" w:themeColor="text1"/>
          <w:sz w:val="16"/>
          <w:szCs w:val="16"/>
        </w:rPr>
        <w:t>Практический потолок 8-10 тыс. м</w:t>
      </w:r>
    </w:p>
    <w:p w14:paraId="34F1EC2C" w14:textId="77777777" w:rsidR="009B07CC" w:rsidRPr="00507A31" w:rsidRDefault="009B07CC" w:rsidP="00507A31">
      <w:pPr>
        <w:tabs>
          <w:tab w:val="left" w:pos="2835"/>
        </w:tabs>
        <w:jc w:val="both"/>
        <w:rPr>
          <w:color w:val="000000" w:themeColor="text1"/>
          <w:sz w:val="16"/>
          <w:szCs w:val="16"/>
        </w:rPr>
      </w:pPr>
      <w:r w:rsidRPr="00507A31">
        <w:rPr>
          <w:color w:val="000000" w:themeColor="text1"/>
          <w:sz w:val="16"/>
          <w:szCs w:val="16"/>
        </w:rPr>
        <w:t>Скорость посадочная 95 км/ч</w:t>
      </w:r>
    </w:p>
    <w:p w14:paraId="3FFE1CF7" w14:textId="77777777" w:rsidR="009B07CC" w:rsidRPr="00507A31" w:rsidRDefault="009B07CC" w:rsidP="00507A31">
      <w:pPr>
        <w:jc w:val="both"/>
        <w:rPr>
          <w:color w:val="000000" w:themeColor="text1"/>
          <w:sz w:val="16"/>
          <w:szCs w:val="16"/>
        </w:rPr>
      </w:pPr>
      <w:r w:rsidRPr="00507A31">
        <w:rPr>
          <w:color w:val="000000" w:themeColor="text1"/>
          <w:sz w:val="16"/>
          <w:szCs w:val="16"/>
        </w:rPr>
        <w:t>Вооружение два пулемета ПВ-1, плюс еще два ПВ-1 в перегрузку или пушка калибра 20- 30 мм. Бомбовая нагрузка 80—100 кг.</w:t>
      </w:r>
    </w:p>
    <w:p w14:paraId="12AA066D" w14:textId="77777777" w:rsidR="009B07CC" w:rsidRPr="00507A31" w:rsidRDefault="009B07CC" w:rsidP="00507A31">
      <w:pPr>
        <w:jc w:val="both"/>
        <w:rPr>
          <w:color w:val="000000" w:themeColor="text1"/>
          <w:sz w:val="16"/>
          <w:szCs w:val="16"/>
        </w:rPr>
      </w:pPr>
      <w:r w:rsidRPr="00507A31">
        <w:rPr>
          <w:color w:val="000000" w:themeColor="text1"/>
          <w:sz w:val="16"/>
          <w:szCs w:val="16"/>
        </w:rPr>
        <w:t>Дополнительными требованиями стали: установка фотокинопулемета системы Стро</w:t>
      </w:r>
      <w:r w:rsidRPr="00507A31">
        <w:rPr>
          <w:color w:val="000000" w:themeColor="text1"/>
          <w:sz w:val="16"/>
          <w:szCs w:val="16"/>
        </w:rPr>
        <w:softHyphen/>
        <w:t>ганова (Томп) и возможность прямолиней</w:t>
      </w:r>
      <w:r w:rsidRPr="00507A31">
        <w:rPr>
          <w:color w:val="000000" w:themeColor="text1"/>
          <w:sz w:val="16"/>
          <w:szCs w:val="16"/>
        </w:rPr>
        <w:softHyphen/>
        <w:t>ного полета с брошенной ручкой управле</w:t>
      </w:r>
      <w:r w:rsidRPr="00507A31">
        <w:rPr>
          <w:color w:val="000000" w:themeColor="text1"/>
          <w:sz w:val="16"/>
          <w:szCs w:val="16"/>
        </w:rPr>
        <w:softHyphen/>
        <w:t>ния. «Самолете полезной нагрузкой 221 кг и полным запасом горючего должен обеспечи</w:t>
      </w:r>
      <w:r w:rsidRPr="00507A31">
        <w:rPr>
          <w:color w:val="000000" w:themeColor="text1"/>
          <w:sz w:val="16"/>
          <w:szCs w:val="16"/>
        </w:rPr>
        <w:softHyphen/>
        <w:t>вать дальность полета 700-800 км на боевой высоте 5000 м» (12295).</w:t>
      </w:r>
    </w:p>
    <w:p w14:paraId="1FC53D25" w14:textId="77777777" w:rsidR="009B07CC" w:rsidRPr="00507A31" w:rsidRDefault="009B07CC" w:rsidP="00507A31">
      <w:pPr>
        <w:jc w:val="both"/>
        <w:rPr>
          <w:color w:val="000000" w:themeColor="text1"/>
          <w:sz w:val="16"/>
          <w:szCs w:val="16"/>
        </w:rPr>
      </w:pPr>
    </w:p>
    <w:p w14:paraId="6CC77B19" w14:textId="77777777" w:rsidR="009B07CC" w:rsidRPr="00507A31" w:rsidRDefault="009B07CC" w:rsidP="00507A31">
      <w:pPr>
        <w:jc w:val="both"/>
        <w:rPr>
          <w:color w:val="000000" w:themeColor="text1"/>
          <w:sz w:val="16"/>
          <w:szCs w:val="16"/>
        </w:rPr>
      </w:pPr>
      <w:r w:rsidRPr="00507A31">
        <w:rPr>
          <w:color w:val="000000" w:themeColor="text1"/>
          <w:sz w:val="16"/>
          <w:szCs w:val="16"/>
        </w:rPr>
        <w:t>Весной 1930 г. для улучшения характеристик штопора на Д-2 было уста</w:t>
      </w:r>
      <w:r w:rsidRPr="00507A31">
        <w:rPr>
          <w:color w:val="000000" w:themeColor="text1"/>
          <w:sz w:val="16"/>
          <w:szCs w:val="16"/>
        </w:rPr>
        <w:softHyphen/>
        <w:t>новлено новое У-образное хвостовое опере</w:t>
      </w:r>
      <w:r w:rsidRPr="00507A31">
        <w:rPr>
          <w:color w:val="000000" w:themeColor="text1"/>
          <w:sz w:val="16"/>
          <w:szCs w:val="16"/>
        </w:rPr>
        <w:softHyphen/>
        <w:t>ние, размешенное под углом 8° к горизон</w:t>
      </w:r>
      <w:r w:rsidRPr="00507A31">
        <w:rPr>
          <w:color w:val="000000" w:themeColor="text1"/>
          <w:sz w:val="16"/>
          <w:szCs w:val="16"/>
        </w:rPr>
        <w:softHyphen/>
        <w:t>ту. При этом отмечалось, что подобная схе</w:t>
      </w:r>
      <w:r w:rsidRPr="00507A31">
        <w:rPr>
          <w:color w:val="000000" w:themeColor="text1"/>
          <w:sz w:val="16"/>
          <w:szCs w:val="16"/>
        </w:rPr>
        <w:softHyphen/>
        <w:t>ма хвостового оперения в Советском Союзе используется впервые. Кроме того, в этот пе</w:t>
      </w:r>
      <w:r w:rsidRPr="00507A31">
        <w:rPr>
          <w:color w:val="000000" w:themeColor="text1"/>
          <w:sz w:val="16"/>
          <w:szCs w:val="16"/>
        </w:rPr>
        <w:softHyphen/>
        <w:t>риод на Д-2 установили оборонительную ту</w:t>
      </w:r>
      <w:r w:rsidRPr="00507A31">
        <w:rPr>
          <w:color w:val="000000" w:themeColor="text1"/>
          <w:sz w:val="16"/>
          <w:szCs w:val="16"/>
        </w:rPr>
        <w:softHyphen/>
        <w:t>рель ТУР-7, представляющую собой умень</w:t>
      </w:r>
      <w:r w:rsidRPr="00507A31">
        <w:rPr>
          <w:color w:val="000000" w:themeColor="text1"/>
          <w:sz w:val="16"/>
          <w:szCs w:val="16"/>
        </w:rPr>
        <w:softHyphen/>
        <w:t>шенную ТУР-6 (внутренний диаметр турель- ного кольца уменьшился с 710 до 636 мм). Поначалу на ТУР-7 стояла спарка пулеме</w:t>
      </w:r>
      <w:r w:rsidRPr="00507A31">
        <w:rPr>
          <w:color w:val="000000" w:themeColor="text1"/>
          <w:sz w:val="16"/>
          <w:szCs w:val="16"/>
        </w:rPr>
        <w:softHyphen/>
        <w:t>тов «Льюис», затем ее заменили на один пу</w:t>
      </w:r>
      <w:r w:rsidRPr="00507A31">
        <w:rPr>
          <w:color w:val="000000" w:themeColor="text1"/>
          <w:sz w:val="16"/>
          <w:szCs w:val="16"/>
        </w:rPr>
        <w:softHyphen/>
        <w:t>лемет ДА (12295).</w:t>
      </w:r>
    </w:p>
    <w:p w14:paraId="3BCA52F0" w14:textId="77777777" w:rsidR="009B07CC" w:rsidRPr="00507A31" w:rsidRDefault="009B07CC" w:rsidP="00507A31">
      <w:pPr>
        <w:jc w:val="both"/>
        <w:rPr>
          <w:color w:val="000000" w:themeColor="text1"/>
          <w:sz w:val="16"/>
          <w:szCs w:val="16"/>
        </w:rPr>
      </w:pPr>
    </w:p>
    <w:p w14:paraId="5BDC878B" w14:textId="77777777" w:rsidR="009B07CC" w:rsidRPr="00507A31" w:rsidRDefault="009B07CC" w:rsidP="00507A31">
      <w:pPr>
        <w:jc w:val="both"/>
        <w:rPr>
          <w:color w:val="000000" w:themeColor="text1"/>
          <w:sz w:val="16"/>
          <w:szCs w:val="16"/>
        </w:rPr>
      </w:pPr>
      <w:r w:rsidRPr="00507A31">
        <w:rPr>
          <w:color w:val="000000" w:themeColor="text1"/>
          <w:sz w:val="16"/>
          <w:szCs w:val="16"/>
        </w:rPr>
        <w:t>Весной 1930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507A31">
        <w:rPr>
          <w:color w:val="000000" w:themeColor="text1"/>
          <w:sz w:val="16"/>
          <w:szCs w:val="16"/>
        </w:rPr>
        <w:softHyphen/>
        <w:t>тому окончательный вариант эскизного про</w:t>
      </w:r>
      <w:r w:rsidRPr="00507A31">
        <w:rPr>
          <w:color w:val="000000" w:themeColor="text1"/>
          <w:sz w:val="16"/>
          <w:szCs w:val="16"/>
        </w:rPr>
        <w:softHyphen/>
        <w:t>екта И-8 готовился под невысотный вариант «Конкверора» (12295).</w:t>
      </w:r>
    </w:p>
    <w:p w14:paraId="3648CED7" w14:textId="77777777" w:rsidR="009B07CC" w:rsidRPr="00507A31" w:rsidRDefault="009B07CC" w:rsidP="00507A31">
      <w:pPr>
        <w:jc w:val="both"/>
        <w:rPr>
          <w:color w:val="000000" w:themeColor="text1"/>
          <w:sz w:val="16"/>
          <w:szCs w:val="16"/>
        </w:rPr>
      </w:pPr>
    </w:p>
    <w:p w14:paraId="2233E4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Весной 1930 г. по заказу руководства гражданской авиации под руководством А.Н. Туполева в ЦАГИ была начата Разработка пассажирского самолета АНТ-14. Машина предназначалась для эксплуатации на линии Москва - Владивосток. Ее конструкция являлась развитием построенного ранее трехмоторного пассажирского самолета АНТ-9 с увеличением габаритов и количества моторов. Это был такой же цельнометаллический свободнонесущий моноплан с верхним расположением крыла. Четыре французских мотора типа Гном-Рон 9Акх мощностью по 480 л.с. располагались на передней кромке крыла, пятый такой же стоял в носовой части фюзеляжа. Фюзеляж имел прямоугольное сечение со скругленными верхом и низом. Шасси, как и АНТ-9, неубирающееся, но не с одинарными колесами, а с тандемными основными двухколесными тележками. Зимой тележки могли заменяться лыжами. 32 пассажира занимали восемь рядов сдвоенных кресел с центральным проходом. Экипаж состоял из пяти человек: двух пилотов, штурмана и двух бортмехаников. Первые трое сидели в закрытой кабине в носовой части самолета, за центральным мотором. Рабочие места механиков находились в центроплане под прозрачным фонарем, позволявшим осматривать моторы в полете. Если в АНТ-9 использовались многие узлы "крейсера" Р-6, то в АНТ-14 заимствовали узлы и агрегаты тяжелого бомбардировщика ТБ-3. От него взяли крыло (с удлиненным на 0,8 м центропланом), шасси и частично оперение (12036). </w:t>
      </w:r>
    </w:p>
    <w:p w14:paraId="3BDD4605" w14:textId="77777777" w:rsidR="00537E5F" w:rsidRPr="00507A31" w:rsidRDefault="00537E5F" w:rsidP="00507A31">
      <w:pPr>
        <w:autoSpaceDE w:val="0"/>
        <w:autoSpaceDN w:val="0"/>
        <w:adjustRightInd w:val="0"/>
        <w:jc w:val="both"/>
        <w:rPr>
          <w:color w:val="000000" w:themeColor="text1"/>
          <w:sz w:val="16"/>
          <w:szCs w:val="16"/>
        </w:rPr>
      </w:pPr>
    </w:p>
    <w:p w14:paraId="32D3F47A" w14:textId="77777777" w:rsidR="00DA1AA9" w:rsidRPr="00507A31" w:rsidRDefault="00DA1AA9" w:rsidP="00507A31">
      <w:pPr>
        <w:jc w:val="both"/>
        <w:rPr>
          <w:color w:val="000000" w:themeColor="text1"/>
          <w:sz w:val="16"/>
          <w:szCs w:val="16"/>
        </w:rPr>
      </w:pPr>
      <w:r w:rsidRPr="00507A31">
        <w:rPr>
          <w:color w:val="000000" w:themeColor="text1"/>
          <w:sz w:val="16"/>
          <w:szCs w:val="16"/>
        </w:rPr>
        <w:t>Весной 1930 года, ЦАГИ уже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В.М.Петлякова. Под проект рассматривались микулинекие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ВВС РККА на 1934 год, где в разделе "Самолеты особого назначения" за ЦАГИ записан ВСБ-1 с потолком 15000 м (12726).</w:t>
      </w:r>
    </w:p>
    <w:p w14:paraId="0856AAD0" w14:textId="77777777" w:rsidR="00DA1AA9" w:rsidRPr="00507A31" w:rsidRDefault="00DA1AA9" w:rsidP="00507A31">
      <w:pPr>
        <w:jc w:val="both"/>
        <w:rPr>
          <w:bCs/>
          <w:color w:val="000000" w:themeColor="text1"/>
          <w:sz w:val="16"/>
          <w:szCs w:val="16"/>
        </w:rPr>
      </w:pPr>
    </w:p>
    <w:p w14:paraId="69D52164" w14:textId="77777777" w:rsidR="000F2B27" w:rsidRPr="00507A31" w:rsidRDefault="000F2B27" w:rsidP="00507A31">
      <w:pPr>
        <w:jc w:val="both"/>
        <w:rPr>
          <w:color w:val="0070C0"/>
          <w:sz w:val="16"/>
          <w:szCs w:val="16"/>
        </w:rPr>
      </w:pPr>
      <w:r w:rsidRPr="00507A31">
        <w:rPr>
          <w:color w:val="0070C0"/>
          <w:sz w:val="16"/>
          <w:szCs w:val="16"/>
          <w:lang w:bidi="ru-RU"/>
        </w:rPr>
        <w:t>Весной 1930 г. руководство УВВС и Таганрогского завода смогли констатировать, что «хронический дефект гнутия вильчатых и нормальных болтов на самолетах Р-1 изжит».</w:t>
      </w:r>
    </w:p>
    <w:p w14:paraId="306ED5DE" w14:textId="77777777" w:rsidR="000F2B27" w:rsidRPr="00507A31" w:rsidRDefault="000F2B27" w:rsidP="00507A31">
      <w:pPr>
        <w:jc w:val="both"/>
        <w:rPr>
          <w:color w:val="0070C0"/>
          <w:sz w:val="16"/>
          <w:szCs w:val="16"/>
          <w:lang w:bidi="ru-RU"/>
        </w:rPr>
      </w:pPr>
      <w:r w:rsidRPr="00507A31">
        <w:rPr>
          <w:color w:val="0070C0"/>
          <w:sz w:val="16"/>
          <w:szCs w:val="16"/>
          <w:lang w:bidi="ru-RU"/>
        </w:rPr>
        <w:t>В 1931 г. торжественно, с митингом и оркестром, быё сдан тысячный самоёет Р-1, построенный на заводе. Впро</w:t>
      </w:r>
      <w:r w:rsidRPr="00507A31">
        <w:rPr>
          <w:color w:val="0070C0"/>
          <w:sz w:val="16"/>
          <w:szCs w:val="16"/>
          <w:lang w:bidi="ru-RU"/>
        </w:rPr>
        <w:softHyphen/>
        <w:t>чем, «эпоха» Р-1 уже подходиёа к своему завершению. За</w:t>
      </w:r>
      <w:r w:rsidRPr="00507A31">
        <w:rPr>
          <w:color w:val="0070C0"/>
          <w:sz w:val="16"/>
          <w:szCs w:val="16"/>
          <w:lang w:bidi="ru-RU"/>
        </w:rPr>
        <w:softHyphen/>
        <w:t>вод приступаё к освоению производства самоёетов новых типов. В сёедующем 1932 г. выпустиёи две посёедние ма</w:t>
      </w:r>
      <w:r w:rsidRPr="00507A31">
        <w:rPr>
          <w:color w:val="0070C0"/>
          <w:sz w:val="16"/>
          <w:szCs w:val="16"/>
          <w:lang w:bidi="ru-RU"/>
        </w:rPr>
        <w:softHyphen/>
        <w:t>шины, и на этом сборку Р-1 прекратиёи (20273).</w:t>
      </w:r>
    </w:p>
    <w:p w14:paraId="270F65A4" w14:textId="77777777" w:rsidR="000F2B27" w:rsidRPr="00507A31" w:rsidRDefault="000F2B27" w:rsidP="00507A31">
      <w:pPr>
        <w:jc w:val="both"/>
        <w:rPr>
          <w:color w:val="0070C0"/>
          <w:sz w:val="16"/>
          <w:szCs w:val="16"/>
        </w:rPr>
      </w:pPr>
      <w:r w:rsidRPr="00507A31">
        <w:rPr>
          <w:color w:val="0070C0"/>
          <w:sz w:val="16"/>
          <w:szCs w:val="16"/>
          <w:lang w:bidi="ru-RU"/>
        </w:rPr>
        <w:t>Производство самолетов Р-1/МР-1 на таганрогском заводе ГАЗ №10 (с 1.12.1927 г. завод № 31)</w:t>
      </w:r>
    </w:p>
    <w:tbl>
      <w:tblPr>
        <w:tblOverlap w:val="never"/>
        <w:tblW w:w="0" w:type="auto"/>
        <w:jc w:val="center"/>
        <w:tblLayout w:type="fixed"/>
        <w:tblCellMar>
          <w:left w:w="10" w:type="dxa"/>
          <w:right w:w="10" w:type="dxa"/>
        </w:tblCellMar>
        <w:tblLook w:val="0000" w:firstRow="0" w:lastRow="0" w:firstColumn="0" w:lastColumn="0" w:noHBand="0" w:noVBand="0"/>
      </w:tblPr>
      <w:tblGrid>
        <w:gridCol w:w="1262"/>
        <w:gridCol w:w="1080"/>
        <w:gridCol w:w="941"/>
        <w:gridCol w:w="907"/>
        <w:gridCol w:w="907"/>
        <w:gridCol w:w="912"/>
        <w:gridCol w:w="1003"/>
        <w:gridCol w:w="811"/>
        <w:gridCol w:w="830"/>
        <w:gridCol w:w="792"/>
        <w:gridCol w:w="1022"/>
      </w:tblGrid>
      <w:tr w:rsidR="000F2B27" w:rsidRPr="00507A31" w14:paraId="4166A973" w14:textId="77777777" w:rsidTr="00027DFA">
        <w:trPr>
          <w:trHeight w:hRule="exact" w:val="240"/>
          <w:jc w:val="center"/>
        </w:trPr>
        <w:tc>
          <w:tcPr>
            <w:tcW w:w="1262" w:type="dxa"/>
            <w:tcBorders>
              <w:top w:val="single" w:sz="4" w:space="0" w:color="auto"/>
              <w:left w:val="single" w:sz="4" w:space="0" w:color="auto"/>
            </w:tcBorders>
            <w:shd w:val="clear" w:color="auto" w:fill="auto"/>
          </w:tcPr>
          <w:p w14:paraId="14BAFCB4" w14:textId="77777777" w:rsidR="000F2B27" w:rsidRPr="00507A31" w:rsidRDefault="000F2B27" w:rsidP="00507A31">
            <w:pPr>
              <w:jc w:val="both"/>
              <w:rPr>
                <w:color w:val="0070C0"/>
                <w:sz w:val="16"/>
                <w:szCs w:val="16"/>
              </w:rPr>
            </w:pPr>
          </w:p>
        </w:tc>
        <w:tc>
          <w:tcPr>
            <w:tcW w:w="1080" w:type="dxa"/>
            <w:tcBorders>
              <w:top w:val="single" w:sz="4" w:space="0" w:color="auto"/>
            </w:tcBorders>
            <w:shd w:val="clear" w:color="auto" w:fill="auto"/>
          </w:tcPr>
          <w:p w14:paraId="647D3ABD"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b/>
                <w:bCs/>
                <w:color w:val="0070C0"/>
                <w:sz w:val="16"/>
                <w:szCs w:val="16"/>
                <w:lang w:bidi="ru-RU"/>
              </w:rPr>
              <w:t>1924/25</w:t>
            </w:r>
          </w:p>
        </w:tc>
        <w:tc>
          <w:tcPr>
            <w:tcW w:w="941" w:type="dxa"/>
            <w:tcBorders>
              <w:top w:val="single" w:sz="4" w:space="0" w:color="auto"/>
            </w:tcBorders>
            <w:shd w:val="clear" w:color="auto" w:fill="auto"/>
          </w:tcPr>
          <w:p w14:paraId="33434B17"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b/>
                <w:bCs/>
                <w:color w:val="0070C0"/>
                <w:sz w:val="16"/>
                <w:szCs w:val="16"/>
                <w:lang w:bidi="ru-RU"/>
              </w:rPr>
              <w:t>1925/26</w:t>
            </w:r>
          </w:p>
        </w:tc>
        <w:tc>
          <w:tcPr>
            <w:tcW w:w="907" w:type="dxa"/>
            <w:tcBorders>
              <w:top w:val="single" w:sz="4" w:space="0" w:color="auto"/>
            </w:tcBorders>
            <w:shd w:val="clear" w:color="auto" w:fill="auto"/>
          </w:tcPr>
          <w:p w14:paraId="37A47072"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b/>
                <w:bCs/>
                <w:color w:val="0070C0"/>
                <w:sz w:val="16"/>
                <w:szCs w:val="16"/>
                <w:lang w:bidi="ru-RU"/>
              </w:rPr>
              <w:t>1926/27</w:t>
            </w:r>
          </w:p>
        </w:tc>
        <w:tc>
          <w:tcPr>
            <w:tcW w:w="907" w:type="dxa"/>
            <w:tcBorders>
              <w:top w:val="single" w:sz="4" w:space="0" w:color="auto"/>
            </w:tcBorders>
            <w:shd w:val="clear" w:color="auto" w:fill="auto"/>
          </w:tcPr>
          <w:p w14:paraId="3A7A9D02"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b/>
                <w:bCs/>
                <w:color w:val="0070C0"/>
                <w:sz w:val="16"/>
                <w:szCs w:val="16"/>
                <w:lang w:bidi="ru-RU"/>
              </w:rPr>
              <w:t>1927/28</w:t>
            </w:r>
          </w:p>
        </w:tc>
        <w:tc>
          <w:tcPr>
            <w:tcW w:w="912" w:type="dxa"/>
            <w:tcBorders>
              <w:top w:val="single" w:sz="4" w:space="0" w:color="auto"/>
            </w:tcBorders>
            <w:shd w:val="clear" w:color="auto" w:fill="auto"/>
          </w:tcPr>
          <w:p w14:paraId="0CE6162B"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b/>
                <w:bCs/>
                <w:color w:val="0070C0"/>
                <w:sz w:val="16"/>
                <w:szCs w:val="16"/>
                <w:lang w:bidi="ru-RU"/>
              </w:rPr>
              <w:t>1928/29</w:t>
            </w:r>
          </w:p>
        </w:tc>
        <w:tc>
          <w:tcPr>
            <w:tcW w:w="1003" w:type="dxa"/>
            <w:tcBorders>
              <w:top w:val="single" w:sz="4" w:space="0" w:color="auto"/>
            </w:tcBorders>
            <w:shd w:val="clear" w:color="auto" w:fill="auto"/>
          </w:tcPr>
          <w:p w14:paraId="71ED2B30"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b/>
                <w:bCs/>
                <w:color w:val="0070C0"/>
                <w:sz w:val="16"/>
                <w:szCs w:val="16"/>
                <w:lang w:bidi="ru-RU"/>
              </w:rPr>
              <w:t>1929/30</w:t>
            </w:r>
          </w:p>
        </w:tc>
        <w:tc>
          <w:tcPr>
            <w:tcW w:w="811" w:type="dxa"/>
            <w:tcBorders>
              <w:top w:val="single" w:sz="4" w:space="0" w:color="auto"/>
            </w:tcBorders>
            <w:shd w:val="clear" w:color="auto" w:fill="auto"/>
          </w:tcPr>
          <w:p w14:paraId="329EB9CA"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b/>
                <w:bCs/>
                <w:color w:val="0070C0"/>
                <w:sz w:val="16"/>
                <w:szCs w:val="16"/>
                <w:lang w:bidi="ru-RU"/>
              </w:rPr>
              <w:t>1930</w:t>
            </w:r>
          </w:p>
        </w:tc>
        <w:tc>
          <w:tcPr>
            <w:tcW w:w="830" w:type="dxa"/>
            <w:tcBorders>
              <w:top w:val="single" w:sz="4" w:space="0" w:color="auto"/>
            </w:tcBorders>
            <w:shd w:val="clear" w:color="auto" w:fill="auto"/>
          </w:tcPr>
          <w:p w14:paraId="0E4A3CD9"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b/>
                <w:bCs/>
                <w:color w:val="0070C0"/>
                <w:sz w:val="16"/>
                <w:szCs w:val="16"/>
                <w:lang w:bidi="ru-RU"/>
              </w:rPr>
              <w:t>1931</w:t>
            </w:r>
          </w:p>
        </w:tc>
        <w:tc>
          <w:tcPr>
            <w:tcW w:w="792" w:type="dxa"/>
            <w:tcBorders>
              <w:top w:val="single" w:sz="4" w:space="0" w:color="auto"/>
            </w:tcBorders>
            <w:shd w:val="clear" w:color="auto" w:fill="auto"/>
          </w:tcPr>
          <w:p w14:paraId="510D08BA"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b/>
                <w:bCs/>
                <w:color w:val="0070C0"/>
                <w:sz w:val="16"/>
                <w:szCs w:val="16"/>
                <w:lang w:bidi="ru-RU"/>
              </w:rPr>
              <w:t>1932</w:t>
            </w:r>
          </w:p>
        </w:tc>
        <w:tc>
          <w:tcPr>
            <w:tcW w:w="1022" w:type="dxa"/>
            <w:tcBorders>
              <w:top w:val="single" w:sz="4" w:space="0" w:color="auto"/>
              <w:right w:val="single" w:sz="4" w:space="0" w:color="auto"/>
            </w:tcBorders>
            <w:shd w:val="clear" w:color="auto" w:fill="auto"/>
          </w:tcPr>
          <w:p w14:paraId="7C14B4BD"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b/>
                <w:bCs/>
                <w:color w:val="0070C0"/>
                <w:sz w:val="16"/>
                <w:szCs w:val="16"/>
                <w:lang w:bidi="ru-RU"/>
              </w:rPr>
              <w:t>Всего</w:t>
            </w:r>
          </w:p>
        </w:tc>
      </w:tr>
      <w:tr w:rsidR="000F2B27" w:rsidRPr="00507A31" w14:paraId="515EDE9A" w14:textId="77777777" w:rsidTr="00027DFA">
        <w:trPr>
          <w:trHeight w:hRule="exact" w:val="221"/>
          <w:jc w:val="center"/>
        </w:trPr>
        <w:tc>
          <w:tcPr>
            <w:tcW w:w="1262" w:type="dxa"/>
            <w:tcBorders>
              <w:top w:val="single" w:sz="4" w:space="0" w:color="auto"/>
              <w:left w:val="single" w:sz="4" w:space="0" w:color="auto"/>
            </w:tcBorders>
            <w:shd w:val="clear" w:color="auto" w:fill="auto"/>
            <w:vAlign w:val="bottom"/>
          </w:tcPr>
          <w:p w14:paraId="1A7F851C"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Р-1</w:t>
            </w:r>
          </w:p>
        </w:tc>
        <w:tc>
          <w:tcPr>
            <w:tcW w:w="1080" w:type="dxa"/>
            <w:tcBorders>
              <w:top w:val="single" w:sz="4" w:space="0" w:color="auto"/>
            </w:tcBorders>
            <w:shd w:val="clear" w:color="auto" w:fill="auto"/>
            <w:vAlign w:val="bottom"/>
          </w:tcPr>
          <w:p w14:paraId="29223EF7"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15</w:t>
            </w:r>
          </w:p>
        </w:tc>
        <w:tc>
          <w:tcPr>
            <w:tcW w:w="941" w:type="dxa"/>
            <w:tcBorders>
              <w:top w:val="single" w:sz="4" w:space="0" w:color="auto"/>
            </w:tcBorders>
            <w:shd w:val="clear" w:color="auto" w:fill="auto"/>
            <w:vAlign w:val="bottom"/>
          </w:tcPr>
          <w:p w14:paraId="21D661A0"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40</w:t>
            </w:r>
          </w:p>
        </w:tc>
        <w:tc>
          <w:tcPr>
            <w:tcW w:w="907" w:type="dxa"/>
            <w:tcBorders>
              <w:top w:val="single" w:sz="4" w:space="0" w:color="auto"/>
            </w:tcBorders>
            <w:shd w:val="clear" w:color="auto" w:fill="auto"/>
            <w:vAlign w:val="bottom"/>
          </w:tcPr>
          <w:p w14:paraId="386BED13"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79</w:t>
            </w:r>
          </w:p>
        </w:tc>
        <w:tc>
          <w:tcPr>
            <w:tcW w:w="907" w:type="dxa"/>
            <w:tcBorders>
              <w:top w:val="single" w:sz="4" w:space="0" w:color="auto"/>
            </w:tcBorders>
            <w:shd w:val="clear" w:color="auto" w:fill="auto"/>
            <w:vAlign w:val="bottom"/>
          </w:tcPr>
          <w:p w14:paraId="1F72C35A"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154</w:t>
            </w:r>
          </w:p>
        </w:tc>
        <w:tc>
          <w:tcPr>
            <w:tcW w:w="912" w:type="dxa"/>
            <w:tcBorders>
              <w:top w:val="single" w:sz="4" w:space="0" w:color="auto"/>
            </w:tcBorders>
            <w:shd w:val="clear" w:color="auto" w:fill="auto"/>
            <w:vAlign w:val="bottom"/>
          </w:tcPr>
          <w:p w14:paraId="10BD182F"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238</w:t>
            </w:r>
          </w:p>
        </w:tc>
        <w:tc>
          <w:tcPr>
            <w:tcW w:w="1003" w:type="dxa"/>
            <w:tcBorders>
              <w:top w:val="single" w:sz="4" w:space="0" w:color="auto"/>
            </w:tcBorders>
            <w:shd w:val="clear" w:color="auto" w:fill="auto"/>
            <w:vAlign w:val="bottom"/>
          </w:tcPr>
          <w:p w14:paraId="4155774D"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312</w:t>
            </w:r>
          </w:p>
        </w:tc>
        <w:tc>
          <w:tcPr>
            <w:tcW w:w="811" w:type="dxa"/>
            <w:tcBorders>
              <w:top w:val="single" w:sz="4" w:space="0" w:color="auto"/>
            </w:tcBorders>
            <w:shd w:val="clear" w:color="auto" w:fill="auto"/>
            <w:vAlign w:val="bottom"/>
          </w:tcPr>
          <w:p w14:paraId="06CE8F9B"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329</w:t>
            </w:r>
          </w:p>
        </w:tc>
        <w:tc>
          <w:tcPr>
            <w:tcW w:w="830" w:type="dxa"/>
            <w:tcBorders>
              <w:top w:val="single" w:sz="4" w:space="0" w:color="auto"/>
            </w:tcBorders>
            <w:shd w:val="clear" w:color="auto" w:fill="auto"/>
            <w:vAlign w:val="bottom"/>
          </w:tcPr>
          <w:p w14:paraId="3D67DD7D"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303</w:t>
            </w:r>
          </w:p>
        </w:tc>
        <w:tc>
          <w:tcPr>
            <w:tcW w:w="792" w:type="dxa"/>
            <w:tcBorders>
              <w:top w:val="single" w:sz="4" w:space="0" w:color="auto"/>
            </w:tcBorders>
            <w:shd w:val="clear" w:color="auto" w:fill="auto"/>
            <w:vAlign w:val="bottom"/>
          </w:tcPr>
          <w:p w14:paraId="54A8D661"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2</w:t>
            </w:r>
          </w:p>
        </w:tc>
        <w:tc>
          <w:tcPr>
            <w:tcW w:w="1022" w:type="dxa"/>
            <w:tcBorders>
              <w:top w:val="single" w:sz="4" w:space="0" w:color="auto"/>
              <w:right w:val="single" w:sz="4" w:space="0" w:color="auto"/>
            </w:tcBorders>
            <w:shd w:val="clear" w:color="auto" w:fill="auto"/>
            <w:vAlign w:val="bottom"/>
          </w:tcPr>
          <w:p w14:paraId="6C353C80"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1472</w:t>
            </w:r>
          </w:p>
        </w:tc>
      </w:tr>
      <w:tr w:rsidR="000F2B27" w:rsidRPr="00507A31" w14:paraId="108D71AC" w14:textId="77777777" w:rsidTr="00027DFA">
        <w:trPr>
          <w:trHeight w:hRule="exact" w:val="197"/>
          <w:jc w:val="center"/>
        </w:trPr>
        <w:tc>
          <w:tcPr>
            <w:tcW w:w="1262" w:type="dxa"/>
            <w:tcBorders>
              <w:left w:val="single" w:sz="4" w:space="0" w:color="auto"/>
            </w:tcBorders>
            <w:shd w:val="clear" w:color="auto" w:fill="auto"/>
            <w:vAlign w:val="bottom"/>
          </w:tcPr>
          <w:p w14:paraId="3F8EAD8F"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Р-1-БМВ17</w:t>
            </w:r>
          </w:p>
        </w:tc>
        <w:tc>
          <w:tcPr>
            <w:tcW w:w="1080" w:type="dxa"/>
            <w:shd w:val="clear" w:color="auto" w:fill="auto"/>
            <w:vAlign w:val="bottom"/>
          </w:tcPr>
          <w:p w14:paraId="5FA52B34"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941" w:type="dxa"/>
            <w:shd w:val="clear" w:color="auto" w:fill="auto"/>
            <w:vAlign w:val="bottom"/>
          </w:tcPr>
          <w:p w14:paraId="5E774514"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907" w:type="dxa"/>
            <w:shd w:val="clear" w:color="auto" w:fill="auto"/>
            <w:vAlign w:val="bottom"/>
          </w:tcPr>
          <w:p w14:paraId="20A1EC48"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907" w:type="dxa"/>
            <w:shd w:val="clear" w:color="auto" w:fill="auto"/>
            <w:vAlign w:val="bottom"/>
          </w:tcPr>
          <w:p w14:paraId="7EF23BBA"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912" w:type="dxa"/>
            <w:shd w:val="clear" w:color="auto" w:fill="auto"/>
            <w:vAlign w:val="bottom"/>
          </w:tcPr>
          <w:p w14:paraId="2DEA49E7"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83</w:t>
            </w:r>
          </w:p>
        </w:tc>
        <w:tc>
          <w:tcPr>
            <w:tcW w:w="1003" w:type="dxa"/>
            <w:shd w:val="clear" w:color="auto" w:fill="auto"/>
            <w:vAlign w:val="bottom"/>
          </w:tcPr>
          <w:p w14:paraId="1021FC29"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811" w:type="dxa"/>
            <w:shd w:val="clear" w:color="auto" w:fill="auto"/>
            <w:vAlign w:val="bottom"/>
          </w:tcPr>
          <w:p w14:paraId="02D37130"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830" w:type="dxa"/>
            <w:shd w:val="clear" w:color="auto" w:fill="auto"/>
            <w:vAlign w:val="bottom"/>
          </w:tcPr>
          <w:p w14:paraId="04A9EC13"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792" w:type="dxa"/>
            <w:shd w:val="clear" w:color="auto" w:fill="auto"/>
            <w:vAlign w:val="bottom"/>
          </w:tcPr>
          <w:p w14:paraId="05D239C6"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1022" w:type="dxa"/>
            <w:tcBorders>
              <w:right w:val="single" w:sz="4" w:space="0" w:color="auto"/>
            </w:tcBorders>
            <w:shd w:val="clear" w:color="auto" w:fill="auto"/>
            <w:vAlign w:val="bottom"/>
          </w:tcPr>
          <w:p w14:paraId="6CFF131F"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83</w:t>
            </w:r>
          </w:p>
        </w:tc>
      </w:tr>
      <w:tr w:rsidR="000F2B27" w:rsidRPr="00507A31" w14:paraId="6514BD82" w14:textId="77777777" w:rsidTr="00027DFA">
        <w:trPr>
          <w:trHeight w:hRule="exact" w:val="202"/>
          <w:jc w:val="center"/>
        </w:trPr>
        <w:tc>
          <w:tcPr>
            <w:tcW w:w="1262" w:type="dxa"/>
            <w:tcBorders>
              <w:left w:val="single" w:sz="4" w:space="0" w:color="auto"/>
            </w:tcBorders>
            <w:shd w:val="clear" w:color="auto" w:fill="auto"/>
            <w:vAlign w:val="bottom"/>
          </w:tcPr>
          <w:p w14:paraId="1D4E852A"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МР-1</w:t>
            </w:r>
          </w:p>
        </w:tc>
        <w:tc>
          <w:tcPr>
            <w:tcW w:w="1080" w:type="dxa"/>
            <w:shd w:val="clear" w:color="auto" w:fill="auto"/>
            <w:vAlign w:val="bottom"/>
          </w:tcPr>
          <w:p w14:paraId="68576024"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941" w:type="dxa"/>
            <w:shd w:val="clear" w:color="auto" w:fill="auto"/>
            <w:vAlign w:val="bottom"/>
          </w:tcPr>
          <w:p w14:paraId="7B1034A5"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907" w:type="dxa"/>
            <w:shd w:val="clear" w:color="auto" w:fill="auto"/>
            <w:vAlign w:val="bottom"/>
          </w:tcPr>
          <w:p w14:paraId="37C0898A"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907" w:type="dxa"/>
            <w:shd w:val="clear" w:color="auto" w:fill="auto"/>
            <w:vAlign w:val="bottom"/>
          </w:tcPr>
          <w:p w14:paraId="706946AD"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49</w:t>
            </w:r>
          </w:p>
        </w:tc>
        <w:tc>
          <w:tcPr>
            <w:tcW w:w="912" w:type="dxa"/>
            <w:shd w:val="clear" w:color="auto" w:fill="auto"/>
            <w:vAlign w:val="bottom"/>
          </w:tcPr>
          <w:p w14:paraId="11C948FF"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43</w:t>
            </w:r>
          </w:p>
        </w:tc>
        <w:tc>
          <w:tcPr>
            <w:tcW w:w="1003" w:type="dxa"/>
            <w:shd w:val="clear" w:color="auto" w:fill="auto"/>
            <w:vAlign w:val="bottom"/>
          </w:tcPr>
          <w:p w14:paraId="720212B6"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32</w:t>
            </w:r>
          </w:p>
        </w:tc>
        <w:tc>
          <w:tcPr>
            <w:tcW w:w="811" w:type="dxa"/>
            <w:shd w:val="clear" w:color="auto" w:fill="auto"/>
            <w:vAlign w:val="bottom"/>
          </w:tcPr>
          <w:p w14:paraId="5494B32C"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830" w:type="dxa"/>
            <w:shd w:val="clear" w:color="auto" w:fill="auto"/>
            <w:vAlign w:val="bottom"/>
          </w:tcPr>
          <w:p w14:paraId="67AA7DEB"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792" w:type="dxa"/>
            <w:shd w:val="clear" w:color="auto" w:fill="auto"/>
            <w:vAlign w:val="bottom"/>
          </w:tcPr>
          <w:p w14:paraId="12AD7F88"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w:t>
            </w:r>
          </w:p>
        </w:tc>
        <w:tc>
          <w:tcPr>
            <w:tcW w:w="1022" w:type="dxa"/>
            <w:tcBorders>
              <w:right w:val="single" w:sz="4" w:space="0" w:color="auto"/>
            </w:tcBorders>
            <w:shd w:val="clear" w:color="auto" w:fill="auto"/>
            <w:vAlign w:val="bottom"/>
          </w:tcPr>
          <w:p w14:paraId="2502521C"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124</w:t>
            </w:r>
          </w:p>
        </w:tc>
      </w:tr>
      <w:tr w:rsidR="000F2B27" w:rsidRPr="00507A31" w14:paraId="7D966EF6" w14:textId="77777777" w:rsidTr="00027DFA">
        <w:trPr>
          <w:trHeight w:hRule="exact" w:val="274"/>
          <w:jc w:val="center"/>
        </w:trPr>
        <w:tc>
          <w:tcPr>
            <w:tcW w:w="1262" w:type="dxa"/>
            <w:tcBorders>
              <w:left w:val="single" w:sz="4" w:space="0" w:color="auto"/>
              <w:bottom w:val="single" w:sz="4" w:space="0" w:color="auto"/>
            </w:tcBorders>
            <w:shd w:val="clear" w:color="auto" w:fill="auto"/>
          </w:tcPr>
          <w:p w14:paraId="67B70D0D"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Всего</w:t>
            </w:r>
          </w:p>
        </w:tc>
        <w:tc>
          <w:tcPr>
            <w:tcW w:w="1080" w:type="dxa"/>
            <w:tcBorders>
              <w:bottom w:val="single" w:sz="4" w:space="0" w:color="auto"/>
            </w:tcBorders>
            <w:shd w:val="clear" w:color="auto" w:fill="auto"/>
          </w:tcPr>
          <w:p w14:paraId="747C89FB"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15</w:t>
            </w:r>
          </w:p>
        </w:tc>
        <w:tc>
          <w:tcPr>
            <w:tcW w:w="941" w:type="dxa"/>
            <w:tcBorders>
              <w:bottom w:val="single" w:sz="4" w:space="0" w:color="auto"/>
            </w:tcBorders>
            <w:shd w:val="clear" w:color="auto" w:fill="auto"/>
          </w:tcPr>
          <w:p w14:paraId="68C64F5A"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40</w:t>
            </w:r>
          </w:p>
        </w:tc>
        <w:tc>
          <w:tcPr>
            <w:tcW w:w="907" w:type="dxa"/>
            <w:tcBorders>
              <w:bottom w:val="single" w:sz="4" w:space="0" w:color="auto"/>
            </w:tcBorders>
            <w:shd w:val="clear" w:color="auto" w:fill="auto"/>
          </w:tcPr>
          <w:p w14:paraId="1ADF2290"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79</w:t>
            </w:r>
          </w:p>
        </w:tc>
        <w:tc>
          <w:tcPr>
            <w:tcW w:w="907" w:type="dxa"/>
            <w:tcBorders>
              <w:bottom w:val="single" w:sz="4" w:space="0" w:color="auto"/>
            </w:tcBorders>
            <w:shd w:val="clear" w:color="auto" w:fill="auto"/>
          </w:tcPr>
          <w:p w14:paraId="7D3DB33E"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203</w:t>
            </w:r>
          </w:p>
        </w:tc>
        <w:tc>
          <w:tcPr>
            <w:tcW w:w="912" w:type="dxa"/>
            <w:tcBorders>
              <w:bottom w:val="single" w:sz="4" w:space="0" w:color="auto"/>
            </w:tcBorders>
            <w:shd w:val="clear" w:color="auto" w:fill="auto"/>
          </w:tcPr>
          <w:p w14:paraId="431255EC"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364</w:t>
            </w:r>
          </w:p>
        </w:tc>
        <w:tc>
          <w:tcPr>
            <w:tcW w:w="1003" w:type="dxa"/>
            <w:tcBorders>
              <w:bottom w:val="single" w:sz="4" w:space="0" w:color="auto"/>
            </w:tcBorders>
            <w:shd w:val="clear" w:color="auto" w:fill="auto"/>
          </w:tcPr>
          <w:p w14:paraId="31771713"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344</w:t>
            </w:r>
          </w:p>
        </w:tc>
        <w:tc>
          <w:tcPr>
            <w:tcW w:w="811" w:type="dxa"/>
            <w:tcBorders>
              <w:bottom w:val="single" w:sz="4" w:space="0" w:color="auto"/>
            </w:tcBorders>
            <w:shd w:val="clear" w:color="auto" w:fill="auto"/>
          </w:tcPr>
          <w:p w14:paraId="40BD13A9"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329</w:t>
            </w:r>
          </w:p>
        </w:tc>
        <w:tc>
          <w:tcPr>
            <w:tcW w:w="830" w:type="dxa"/>
            <w:tcBorders>
              <w:bottom w:val="single" w:sz="4" w:space="0" w:color="auto"/>
            </w:tcBorders>
            <w:shd w:val="clear" w:color="auto" w:fill="auto"/>
          </w:tcPr>
          <w:p w14:paraId="30A8197B"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303</w:t>
            </w:r>
          </w:p>
        </w:tc>
        <w:tc>
          <w:tcPr>
            <w:tcW w:w="792" w:type="dxa"/>
            <w:tcBorders>
              <w:bottom w:val="single" w:sz="4" w:space="0" w:color="auto"/>
            </w:tcBorders>
            <w:shd w:val="clear" w:color="auto" w:fill="auto"/>
          </w:tcPr>
          <w:p w14:paraId="3BE64A6B"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2</w:t>
            </w:r>
          </w:p>
        </w:tc>
        <w:tc>
          <w:tcPr>
            <w:tcW w:w="1022" w:type="dxa"/>
            <w:tcBorders>
              <w:bottom w:val="single" w:sz="4" w:space="0" w:color="auto"/>
              <w:right w:val="single" w:sz="4" w:space="0" w:color="auto"/>
            </w:tcBorders>
            <w:shd w:val="clear" w:color="auto" w:fill="auto"/>
          </w:tcPr>
          <w:p w14:paraId="0CC1B055" w14:textId="77777777" w:rsidR="000F2B27" w:rsidRPr="00507A31" w:rsidRDefault="000F2B27" w:rsidP="00507A31">
            <w:pPr>
              <w:pStyle w:val="affc"/>
              <w:ind w:firstLine="0"/>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bidi="ru-RU"/>
              </w:rPr>
              <w:t>1679</w:t>
            </w:r>
          </w:p>
        </w:tc>
      </w:tr>
    </w:tbl>
    <w:p w14:paraId="0F2BDB84" w14:textId="77777777" w:rsidR="000F2B27" w:rsidRPr="00507A31" w:rsidRDefault="000F2B27" w:rsidP="00507A31">
      <w:pPr>
        <w:jc w:val="both"/>
        <w:rPr>
          <w:color w:val="0070C0"/>
          <w:sz w:val="16"/>
          <w:szCs w:val="16"/>
        </w:rPr>
      </w:pPr>
      <w:r w:rsidRPr="00507A31">
        <w:rPr>
          <w:color w:val="0070C0"/>
          <w:sz w:val="16"/>
          <w:szCs w:val="16"/>
        </w:rPr>
        <w:t>(20273).</w:t>
      </w:r>
    </w:p>
    <w:p w14:paraId="20910C14" w14:textId="77777777" w:rsidR="000F2B27" w:rsidRPr="00507A31" w:rsidRDefault="000F2B27" w:rsidP="00507A31">
      <w:pPr>
        <w:jc w:val="both"/>
        <w:rPr>
          <w:color w:val="0070C0"/>
          <w:sz w:val="16"/>
          <w:szCs w:val="16"/>
        </w:rPr>
      </w:pPr>
    </w:p>
    <w:p w14:paraId="5EB40936" w14:textId="77777777" w:rsidR="000F2B27" w:rsidRPr="00507A31" w:rsidRDefault="000F2B27" w:rsidP="00507A31">
      <w:pPr>
        <w:jc w:val="both"/>
        <w:rPr>
          <w:color w:val="0070C0"/>
          <w:sz w:val="16"/>
          <w:szCs w:val="16"/>
        </w:rPr>
      </w:pPr>
      <w:r w:rsidRPr="00507A31">
        <w:rPr>
          <w:color w:val="0070C0"/>
          <w:sz w:val="16"/>
          <w:szCs w:val="16"/>
        </w:rPr>
        <w:t>Весной 1930 г. уп</w:t>
      </w:r>
      <w:r w:rsidRPr="00507A31">
        <w:rPr>
          <w:color w:val="0070C0"/>
          <w:sz w:val="16"/>
          <w:szCs w:val="16"/>
        </w:rPr>
        <w:softHyphen/>
        <w:t>разднили и Авиатрест, имеющий в своей деятельности эле</w:t>
      </w:r>
      <w:r w:rsidRPr="00507A31">
        <w:rPr>
          <w:color w:val="0070C0"/>
          <w:sz w:val="16"/>
          <w:szCs w:val="16"/>
        </w:rPr>
        <w:softHyphen/>
        <w:t>менты коммерческой целесообразности и хозрасчета. Об</w:t>
      </w:r>
      <w:r w:rsidRPr="00507A31">
        <w:rPr>
          <w:color w:val="0070C0"/>
          <w:sz w:val="16"/>
          <w:szCs w:val="16"/>
        </w:rPr>
        <w:softHyphen/>
        <w:t>разованное взамен него Всесоюзное авиационное объединение (ВАО) три месяца подчинялось Главному уп</w:t>
      </w:r>
      <w:r w:rsidRPr="00507A31">
        <w:rPr>
          <w:color w:val="0070C0"/>
          <w:sz w:val="16"/>
          <w:szCs w:val="16"/>
        </w:rPr>
        <w:softHyphen/>
        <w:t>равлению металлопромышленности (ГУМП), затем на пол</w:t>
      </w:r>
      <w:r w:rsidRPr="00507A31">
        <w:rPr>
          <w:color w:val="0070C0"/>
          <w:sz w:val="16"/>
          <w:szCs w:val="16"/>
        </w:rPr>
        <w:softHyphen/>
        <w:t>года отошло в ведомство Наркомвоенмора (т.е. находилось «под К.Е. Ворошиловым»), а в феврале 1931 г. было вновь переподчинено ВСНХ (29362).</w:t>
      </w:r>
    </w:p>
    <w:p w14:paraId="3BD23A34" w14:textId="77777777" w:rsidR="000F2B27" w:rsidRPr="00507A31" w:rsidRDefault="000F2B27" w:rsidP="00507A31">
      <w:pPr>
        <w:jc w:val="both"/>
        <w:rPr>
          <w:color w:val="0070C0"/>
          <w:sz w:val="16"/>
          <w:szCs w:val="16"/>
        </w:rPr>
      </w:pPr>
      <w:r w:rsidRPr="00507A31">
        <w:rPr>
          <w:color w:val="0070C0"/>
          <w:sz w:val="16"/>
          <w:szCs w:val="16"/>
        </w:rPr>
        <w:t>В августе 1930 г. завод №25 объединили с заводом №39, поэтому Кочеригин вскоре стал начальником конст</w:t>
      </w:r>
      <w:r w:rsidRPr="00507A31">
        <w:rPr>
          <w:color w:val="0070C0"/>
          <w:sz w:val="16"/>
          <w:szCs w:val="16"/>
        </w:rPr>
        <w:softHyphen/>
        <w:t>рукторской бригады №5 именно на заводе №39. По дру</w:t>
      </w:r>
      <w:r w:rsidRPr="00507A31">
        <w:rPr>
          <w:color w:val="0070C0"/>
          <w:sz w:val="16"/>
          <w:szCs w:val="16"/>
        </w:rPr>
        <w:softHyphen/>
        <w:t>гим документам он некоторое время является заместите</w:t>
      </w:r>
      <w:r w:rsidRPr="00507A31">
        <w:rPr>
          <w:color w:val="0070C0"/>
          <w:sz w:val="16"/>
          <w:szCs w:val="16"/>
        </w:rPr>
        <w:softHyphen/>
        <w:t>лем начальника ЦКБ (20362).</w:t>
      </w:r>
    </w:p>
    <w:p w14:paraId="0B0FB1B7" w14:textId="77777777" w:rsidR="000F2B27" w:rsidRPr="00507A31" w:rsidRDefault="000F2B27" w:rsidP="00507A31">
      <w:pPr>
        <w:shd w:val="clear" w:color="auto" w:fill="FFFFFF"/>
        <w:jc w:val="both"/>
        <w:rPr>
          <w:color w:val="0070C0"/>
          <w:sz w:val="16"/>
          <w:szCs w:val="16"/>
        </w:rPr>
      </w:pPr>
    </w:p>
    <w:p w14:paraId="7FE3B3C4" w14:textId="77777777" w:rsidR="00DA1AA9" w:rsidRPr="00507A31" w:rsidRDefault="00DA1AA9" w:rsidP="00507A31">
      <w:pPr>
        <w:pStyle w:val="a3"/>
        <w:rPr>
          <w:color w:val="000000" w:themeColor="text1"/>
          <w:lang w:val="ru-RU"/>
        </w:rPr>
      </w:pPr>
      <w:r w:rsidRPr="00507A31">
        <w:rPr>
          <w:color w:val="000000" w:themeColor="text1"/>
          <w:lang w:val="ru-RU"/>
        </w:rPr>
        <w:t>Весной 1930 г. Григорович, оставаясь в заключении, числился старшим консультантом при ЦКБ. После успешного дебюта ВТ-11 (И-5) условия его содержания под стражей стали более мяг</w:t>
      </w:r>
      <w:r w:rsidRPr="00507A31">
        <w:rPr>
          <w:color w:val="000000" w:themeColor="text1"/>
          <w:lang w:val="ru-RU"/>
        </w:rPr>
        <w:softHyphen/>
        <w:t>кими, и власти даже позволили Дмитрию Павловичу съездить вместе с семьей на отдых в Ялту, разумеется в сопровождении охраны. После возвращения с юга ему и было предложено разработать самолет- истребитель под две трехдюймовые пушки Курчевского.</w:t>
      </w:r>
    </w:p>
    <w:p w14:paraId="5D746DF9" w14:textId="77777777" w:rsidR="00DA1AA9" w:rsidRPr="00507A31" w:rsidRDefault="00DA1AA9" w:rsidP="00507A31">
      <w:pPr>
        <w:jc w:val="both"/>
        <w:rPr>
          <w:color w:val="000000" w:themeColor="text1"/>
          <w:sz w:val="16"/>
          <w:szCs w:val="16"/>
        </w:rPr>
      </w:pPr>
      <w:r w:rsidRPr="00507A31">
        <w:rPr>
          <w:color w:val="000000" w:themeColor="text1"/>
          <w:sz w:val="16"/>
          <w:szCs w:val="16"/>
        </w:rPr>
        <w:t>Для проектирования своего пушечного истребителя Григорович организовал небольшую группу, которая обосновалась в одном из ангаров московского авиазавода №39. Участие в создании самолета при</w:t>
      </w:r>
      <w:r w:rsidRPr="00507A31">
        <w:rPr>
          <w:color w:val="000000" w:themeColor="text1"/>
          <w:sz w:val="16"/>
          <w:szCs w:val="16"/>
        </w:rPr>
        <w:softHyphen/>
        <w:t>нимали: А.Н. Седельников, В.Л. Корвин, А.Н. Надашкевич, Е.И^Майоранов, ВД. Яро- вицкий, Г.Е. Чупилко, С.Н. Шишкин. В ос</w:t>
      </w:r>
      <w:r w:rsidRPr="00507A31">
        <w:rPr>
          <w:color w:val="000000" w:themeColor="text1"/>
          <w:sz w:val="16"/>
          <w:szCs w:val="16"/>
        </w:rPr>
        <w:softHyphen/>
        <w:t>новном это были специалисты, ранее участвующие в создании истребителя И-5, поэтому отработанные на нем конструктив</w:t>
      </w:r>
      <w:r w:rsidRPr="00507A31">
        <w:rPr>
          <w:color w:val="000000" w:themeColor="text1"/>
          <w:sz w:val="16"/>
          <w:szCs w:val="16"/>
        </w:rPr>
        <w:softHyphen/>
        <w:t>ные решения были использованы макси</w:t>
      </w:r>
      <w:r w:rsidRPr="00507A31">
        <w:rPr>
          <w:color w:val="000000" w:themeColor="text1"/>
          <w:sz w:val="16"/>
          <w:szCs w:val="16"/>
        </w:rPr>
        <w:softHyphen/>
        <w:t>мальным образом. От И-5 практически без изменений позаимствовали винтомоторную установку с двигателем М-22 и центральную часть фюзеляжа ферменной конструкции. К ней крепилась особо жесткая хвостовая часть, выполненная в виде полумонококовой балки. Горизонтальное хвостовое оперение для уменьшения воздействия пороховых газов было поднято вверх, а рулевые поверхности обшили дюралевыми листами, усиленными внешними зигами (редким гофром). Низкорасположенное крыло в зоне стыка с фюзеляжем для снижения интерференции имело умень</w:t>
      </w:r>
      <w:r w:rsidRPr="00507A31">
        <w:rPr>
          <w:color w:val="000000" w:themeColor="text1"/>
          <w:sz w:val="16"/>
          <w:szCs w:val="16"/>
        </w:rPr>
        <w:softHyphen/>
        <w:t>шенную толщину профиля. Необходимая жесткость крыла обеспечивалась двойными стальными подкосами, связанными с подфюзеляжной силовой фермой. Чтобы свести к минимуму индуктивное сопро</w:t>
      </w:r>
      <w:r w:rsidRPr="00507A31">
        <w:rPr>
          <w:color w:val="000000" w:themeColor="text1"/>
          <w:sz w:val="16"/>
          <w:szCs w:val="16"/>
        </w:rPr>
        <w:softHyphen/>
        <w:t>тивление, концевые части крыла выполнили эллипсовидными. Впрочем, несмотря на стремление по возможности облагоро</w:t>
      </w:r>
      <w:r w:rsidRPr="00507A31">
        <w:rPr>
          <w:color w:val="000000" w:themeColor="text1"/>
          <w:sz w:val="16"/>
          <w:szCs w:val="16"/>
        </w:rPr>
        <w:softHyphen/>
        <w:t>дить внешний облик самолета, выглядел он достаточно громоздко, особенно с установленными пушками. Оценивая его схему можно засвидетельствовать, что И-2 принадлежал к переходной эпохе монопланов начала 1930-х гг., когда облик скоростных истребителей окончательно еще не определился (12731).</w:t>
      </w:r>
    </w:p>
    <w:p w14:paraId="56ABC864" w14:textId="77777777" w:rsidR="00DA1AA9" w:rsidRPr="00507A31" w:rsidRDefault="00DA1AA9" w:rsidP="00507A31">
      <w:pPr>
        <w:jc w:val="both"/>
        <w:rPr>
          <w:color w:val="000000" w:themeColor="text1"/>
          <w:sz w:val="16"/>
          <w:szCs w:val="16"/>
        </w:rPr>
      </w:pPr>
    </w:p>
    <w:p w14:paraId="173383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весны 1930 конкретных заданий Ришару не давали. Хотя в 1928 Авиатрест составил трехлетний план для его бюро - основное ТОМ-1 и на нем и заставляли сконцентрироваться.</w:t>
      </w:r>
    </w:p>
    <w:p w14:paraId="2E4820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 есть завод Менжинского и ЦКБ рождались как бы в муках после двух рядов неудач с Д.П.Г. и Н.Н.П., а потом - Ришаром.</w:t>
      </w:r>
    </w:p>
    <w:p w14:paraId="2004B9E0" w14:textId="77777777" w:rsidR="00537E5F" w:rsidRPr="00507A31" w:rsidRDefault="00537E5F" w:rsidP="00507A31">
      <w:pPr>
        <w:autoSpaceDE w:val="0"/>
        <w:autoSpaceDN w:val="0"/>
        <w:adjustRightInd w:val="0"/>
        <w:jc w:val="both"/>
        <w:rPr>
          <w:color w:val="000000" w:themeColor="text1"/>
          <w:sz w:val="16"/>
          <w:szCs w:val="16"/>
        </w:rPr>
      </w:pPr>
    </w:p>
    <w:p w14:paraId="705B88D5" w14:textId="77777777" w:rsidR="009B07CC" w:rsidRPr="00507A31" w:rsidRDefault="009B07CC" w:rsidP="00507A31">
      <w:pPr>
        <w:jc w:val="both"/>
        <w:rPr>
          <w:color w:val="000000" w:themeColor="text1"/>
          <w:sz w:val="16"/>
          <w:szCs w:val="16"/>
        </w:rPr>
      </w:pPr>
      <w:r w:rsidRPr="00507A31">
        <w:rPr>
          <w:color w:val="000000" w:themeColor="text1"/>
          <w:sz w:val="16"/>
          <w:szCs w:val="16"/>
        </w:rPr>
        <w:t>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Эмэ Ришар вернулся на родину (12609).</w:t>
      </w:r>
    </w:p>
    <w:p w14:paraId="029D5802" w14:textId="77777777" w:rsidR="009B07CC" w:rsidRPr="00507A31" w:rsidRDefault="009B07CC" w:rsidP="00507A31">
      <w:pPr>
        <w:jc w:val="both"/>
        <w:rPr>
          <w:color w:val="000000" w:themeColor="text1"/>
          <w:sz w:val="16"/>
          <w:szCs w:val="16"/>
        </w:rPr>
      </w:pPr>
    </w:p>
    <w:p w14:paraId="6945E5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весны 1930 в ЦКБ на з-де № 39 начались работы над самолетом 11 - МДР-3 (6471, 31).</w:t>
      </w:r>
    </w:p>
    <w:p w14:paraId="397B5528" w14:textId="77777777" w:rsidR="00537E5F" w:rsidRPr="00507A31" w:rsidRDefault="00537E5F" w:rsidP="00507A31">
      <w:pPr>
        <w:autoSpaceDE w:val="0"/>
        <w:autoSpaceDN w:val="0"/>
        <w:adjustRightInd w:val="0"/>
        <w:jc w:val="both"/>
        <w:rPr>
          <w:color w:val="000000" w:themeColor="text1"/>
          <w:sz w:val="16"/>
          <w:szCs w:val="16"/>
        </w:rPr>
      </w:pPr>
    </w:p>
    <w:p w14:paraId="4B7EAC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весне 1930 было завершено строительство К-5 второго с Пратт Уитни с Хорнетом в 520 нр. Заводские испытания прошел нормально и 25 мая 1930 машину отправили в перелет (70,163).</w:t>
      </w:r>
    </w:p>
    <w:p w14:paraId="55A339D1" w14:textId="77777777" w:rsidR="00537E5F" w:rsidRPr="00507A31" w:rsidRDefault="00537E5F" w:rsidP="00507A31">
      <w:pPr>
        <w:autoSpaceDE w:val="0"/>
        <w:autoSpaceDN w:val="0"/>
        <w:adjustRightInd w:val="0"/>
        <w:jc w:val="both"/>
        <w:rPr>
          <w:color w:val="000000" w:themeColor="text1"/>
          <w:sz w:val="16"/>
          <w:szCs w:val="16"/>
        </w:rPr>
      </w:pPr>
    </w:p>
    <w:p w14:paraId="71EDD8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К-4 К.А.К. в ходе эксплуатационных испытаний совершил ряд полетов по линии Архангельск-Сыктывкар (70,157).</w:t>
      </w:r>
    </w:p>
    <w:p w14:paraId="4C9B3EF9" w14:textId="77777777" w:rsidR="00537E5F" w:rsidRPr="00507A31" w:rsidRDefault="00537E5F" w:rsidP="00507A31">
      <w:pPr>
        <w:autoSpaceDE w:val="0"/>
        <w:autoSpaceDN w:val="0"/>
        <w:adjustRightInd w:val="0"/>
        <w:jc w:val="both"/>
        <w:rPr>
          <w:color w:val="000000" w:themeColor="text1"/>
          <w:sz w:val="16"/>
          <w:szCs w:val="16"/>
        </w:rPr>
      </w:pPr>
    </w:p>
    <w:p w14:paraId="7ACBA4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в одном из документов того времени отмечалось, что «...совершенно исключительный развал завода № 1, углубленный полной остановкой выпуска продукции.... является следствием исключительного невнимания, проявляемого ВАО к судьбе завода после ареста вредителей. Достаточно сказать, что за время с декабря 1929 года по настоящее время на заводе сменилось два директора, пять технических директоров, пять заведующих производством... иными словами в течение года на заводе не было определенного и твердого руководства и, естественно, завод катился под гору» (9528).</w:t>
      </w:r>
    </w:p>
    <w:p w14:paraId="717C7932" w14:textId="77777777" w:rsidR="00537E5F" w:rsidRPr="00507A31" w:rsidRDefault="00537E5F" w:rsidP="00507A31">
      <w:pPr>
        <w:autoSpaceDE w:val="0"/>
        <w:autoSpaceDN w:val="0"/>
        <w:adjustRightInd w:val="0"/>
        <w:jc w:val="both"/>
        <w:rPr>
          <w:color w:val="000000" w:themeColor="text1"/>
          <w:sz w:val="16"/>
          <w:szCs w:val="16"/>
        </w:rPr>
      </w:pPr>
    </w:p>
    <w:p w14:paraId="4F4261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на базе московского завода «Авиаработник» было организовано закрытое Центральное конструкторское бюро - ЦКБ, находившееся в ведении Технического отдела ОГПУ. После организации ЦКБ завод получил номер 39 и имя тогдашнего председателя ОГПУ В.Р.Менжинского. Кроме специалистов, находившихся под стражей и располагавшихся в закрытом «ангаре № 7» на территории Центрального аэродрома на Ходынке, в ЦКБ-39 ОГПУ работали и вольнонаемные сотрудники. За короткий срок в ЦКБ-39 был создан, испытан и внедрен в серийное производство истребитель И-5 (ВТ-11) с отличными для своего времени данными, построена целая группа опытных самолетов различного назначения - тяжелый бомбардировщик ТБ-5, бронированный штурмовик ТШ, истребитель И-Z с двумя крупнокалиберными динамо-реактивными (по современной терминологии - безоткатными) пушками Л.В.Курчевского, двухместный истребитель ДИ-3 (9528).</w:t>
      </w:r>
    </w:p>
    <w:p w14:paraId="409ECDEF" w14:textId="77777777" w:rsidR="00537E5F" w:rsidRPr="00507A31" w:rsidRDefault="00537E5F" w:rsidP="00507A31">
      <w:pPr>
        <w:autoSpaceDE w:val="0"/>
        <w:autoSpaceDN w:val="0"/>
        <w:adjustRightInd w:val="0"/>
        <w:jc w:val="both"/>
        <w:rPr>
          <w:color w:val="000000" w:themeColor="text1"/>
          <w:sz w:val="16"/>
          <w:szCs w:val="16"/>
        </w:rPr>
      </w:pPr>
    </w:p>
    <w:p w14:paraId="274F21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ЦКБ значительно расширилось вобрав в себя персонал различных проектных организаций - фактически всех кроме ЦАГИ и ГВФ (228,79).</w:t>
      </w:r>
    </w:p>
    <w:p w14:paraId="21D025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В.Б.Шавров считает, что ЦКБ (второе считая с ЦКБ Авиатреста) было организовано на заводе Авиаработник - 39 им. Менжинского - весной 1930 и он стал заводом им. В.Р.Менжинского только тогда. Единого КБ не получилось, так как АГОС и ГРОС в ЦКБ не входили. Основное ядро - конструкторы и расчетчики из КБ Н.Н.П. - ООС, который в это время сидел, из КБ Ришара, а также из группы по разработке И-5. Штат был 300 человек к концу 1930 и 500 к осени 1931. ГК - не было, а были консультанты. Главным консультантом нового ЦКБ до середины 1930 был Д.П.Г. Эскизные проекты делались в отделе общих видов, затем они рассматривались и утверждались техкомитетом ЦКБ. Чертежи разрабатывались конструкторским отделом и параллельно шли работы групп и отделом по аэродинамике, прочности, по моделям и макетам, контролю чертежей, вооружению, по подготовке производства, по статическим и летным испытаниям и т.п. План был - большой, но скорости - не получилось. Проектирование и постройка - не ускорились. За полтора года - сделали 2 типа штурмовиков, двухместный Ди-3, ТБ-5 бомбардировщик, МДР-3 и начат ИП, а также поставлен на поплавки И-5. Поэтому-то и решили подсоединить АГОС с октября 1931. Слияния не состоялось и с 1932 появился КОСОС с ЗОК, а ЦКБ было реорганизовано (92,408).</w:t>
      </w:r>
    </w:p>
    <w:p w14:paraId="4941B8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Есть мнение, что переоборудование завода Менжинского в производственно-техническую базу ЦКБ проходило с мая по август 1930. Для концентрации мощностей в него включили опытный завод 25 и туда пришли С.А.Кочеригин, А.Н.Рафаэлянц, А.С.Яковлев. Вскоре ЦКБ пополнили из ВТ (80,417).</w:t>
      </w:r>
    </w:p>
    <w:p w14:paraId="793FE8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А.С.Я. пришел в ЦКБ уже в 1931. Черт его знает. Кому же в апреле докладывал Р.Л.Бартини.</w:t>
      </w:r>
    </w:p>
    <w:p w14:paraId="23D4CA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Интересно, играл ли С.В.Ильюшин какую-либо роль в создании первого ЦКБ кроме чисто технической.</w:t>
      </w:r>
    </w:p>
    <w:p w14:paraId="356048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Арлазорову - ЦКБ создали осенью 1930 на базе КБ Д.П.Г., организованного в Бутырках и после успеха И-5 (79,125).</w:t>
      </w:r>
    </w:p>
    <w:p w14:paraId="49D89F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В.Б.Ш. "ГПУ, посадившее множество ИТР старшего поколения, решило взять на себя опытное строительство. Мол, при таком положении вредительства - не будет. Начальником ЦКБ был двухромбовый гепеуст (Горяинов), над ним - трехромбовый (негодяй с лицом Муссолини), затем 4-х ромбовый (открывал однажды ворота для грузовика), затем Ягода, на ним - В.Р.Менжинский. Одноромбовые - были нормальными.</w:t>
      </w:r>
    </w:p>
    <w:p w14:paraId="167481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Решили на 39 заводе собрать всех, кто работал у Ришара, Н.Н.П. и Р.Л.Бартини. Был составлен обширный план исходя из предположения, что если А.Н.Т. строил опытный 4 года, мы - три недели. Все 300 человек штата бросим на одну машину.</w:t>
      </w:r>
    </w:p>
    <w:p w14:paraId="0E87D1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Часть ЦКБ - вольная, часть - арестованная, иногда это - начальники. Система проявила недостатки уже на ТШ (79,125).</w:t>
      </w:r>
    </w:p>
    <w:p w14:paraId="0B88658A" w14:textId="77777777" w:rsidR="00537E5F" w:rsidRPr="00507A31" w:rsidRDefault="00537E5F" w:rsidP="00507A31">
      <w:pPr>
        <w:autoSpaceDE w:val="0"/>
        <w:autoSpaceDN w:val="0"/>
        <w:adjustRightInd w:val="0"/>
        <w:jc w:val="both"/>
        <w:rPr>
          <w:color w:val="000000" w:themeColor="text1"/>
          <w:sz w:val="16"/>
          <w:szCs w:val="16"/>
        </w:rPr>
      </w:pPr>
    </w:p>
    <w:p w14:paraId="0AAC1E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Цен</w:t>
      </w:r>
      <w:r w:rsidRPr="00507A31">
        <w:rPr>
          <w:color w:val="000000" w:themeColor="text1"/>
          <w:sz w:val="16"/>
          <w:szCs w:val="16"/>
        </w:rPr>
        <w:softHyphen/>
        <w:t>тральное конструкторское бюро значительно расшири</w:t>
      </w:r>
      <w:r w:rsidRPr="00507A31">
        <w:rPr>
          <w:color w:val="000000" w:themeColor="text1"/>
          <w:sz w:val="16"/>
          <w:szCs w:val="16"/>
        </w:rPr>
        <w:softHyphen/>
        <w:t>лось, вобрав в себя персонал различных проектных организаций. Считалось, что собранные вместе инжене</w:t>
      </w:r>
      <w:r w:rsidRPr="00507A31">
        <w:rPr>
          <w:color w:val="000000" w:themeColor="text1"/>
          <w:sz w:val="16"/>
          <w:szCs w:val="16"/>
        </w:rPr>
        <w:softHyphen/>
        <w:t>ры и конструкторы способны быстро и качественно ре</w:t>
      </w:r>
      <w:r w:rsidRPr="00507A31">
        <w:rPr>
          <w:color w:val="000000" w:themeColor="text1"/>
          <w:sz w:val="16"/>
          <w:szCs w:val="16"/>
        </w:rPr>
        <w:softHyphen/>
        <w:t>шить любую поставленную перед ними задачу (10667).</w:t>
      </w:r>
    </w:p>
    <w:p w14:paraId="0810484D" w14:textId="77777777" w:rsidR="00537E5F" w:rsidRPr="00507A31" w:rsidRDefault="00537E5F" w:rsidP="00507A31">
      <w:pPr>
        <w:autoSpaceDE w:val="0"/>
        <w:autoSpaceDN w:val="0"/>
        <w:adjustRightInd w:val="0"/>
        <w:jc w:val="both"/>
        <w:rPr>
          <w:color w:val="000000" w:themeColor="text1"/>
          <w:sz w:val="16"/>
          <w:szCs w:val="16"/>
        </w:rPr>
      </w:pPr>
    </w:p>
    <w:p w14:paraId="73B272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Д.П.Г. оставаясь формально арестованным числился старшим консультантом при ЦКБ ОГПУ. Условия были неплохими и даже сумел с семьей съездить под охраной в Ялту и после возвращения получил задание на истребитель под две пушки Л.В.Курчевского. Организовал небольшую группу (А.Н.Седельщиков, В.Л.Корвин, А.Н.Надашкевич, Е.И.Майоранов, В.Д.Яровицкий, Г.Е.Чупилко, С.Н.Шишкин) и закрылся в одном из ангаров завода 39 - номер 7, который потом превратился в Z (2692,4).</w:t>
      </w:r>
    </w:p>
    <w:p w14:paraId="1FDC0814" w14:textId="77777777" w:rsidR="00537E5F" w:rsidRPr="00507A31" w:rsidRDefault="00537E5F" w:rsidP="00507A31">
      <w:pPr>
        <w:autoSpaceDE w:val="0"/>
        <w:autoSpaceDN w:val="0"/>
        <w:adjustRightInd w:val="0"/>
        <w:jc w:val="both"/>
        <w:rPr>
          <w:color w:val="000000" w:themeColor="text1"/>
          <w:sz w:val="16"/>
          <w:szCs w:val="16"/>
        </w:rPr>
      </w:pPr>
    </w:p>
    <w:p w14:paraId="572EAA53" w14:textId="77777777" w:rsidR="00FB796B" w:rsidRPr="00507A31" w:rsidRDefault="00FB796B" w:rsidP="00507A31">
      <w:pPr>
        <w:jc w:val="both"/>
        <w:rPr>
          <w:color w:val="000000" w:themeColor="text1"/>
          <w:sz w:val="16"/>
          <w:szCs w:val="16"/>
        </w:rPr>
      </w:pPr>
      <w:r w:rsidRPr="00507A31">
        <w:rPr>
          <w:color w:val="000000" w:themeColor="text1"/>
          <w:sz w:val="16"/>
          <w:szCs w:val="16"/>
        </w:rPr>
        <w:t>Весной 1930 г. начали строить авиазавод № 21 в Нижнем Новгороде. Это должен был быть индустриальный гигант, рассчитанный на выпуск до 2 тыс. самолетов в год. Сначала там планировали строить самолеты разных назначений (И-3, Р-5, К-5), но в 1932 г. решили сфокусировать завод на создании истребителей.</w:t>
      </w:r>
    </w:p>
    <w:p w14:paraId="344921CC" w14:textId="77777777" w:rsidR="00FB796B" w:rsidRPr="00507A31" w:rsidRDefault="00FB796B" w:rsidP="00507A31">
      <w:pPr>
        <w:jc w:val="both"/>
        <w:rPr>
          <w:color w:val="000000" w:themeColor="text1"/>
          <w:sz w:val="16"/>
          <w:szCs w:val="16"/>
        </w:rPr>
      </w:pPr>
      <w:r w:rsidRPr="00507A31">
        <w:rPr>
          <w:color w:val="000000" w:themeColor="text1"/>
          <w:sz w:val="16"/>
          <w:szCs w:val="16"/>
        </w:rPr>
        <w:t>В феврале 1932 г. была пущена первая очередь предприятия: заработали деревообрабатывающий, инструментальный, медно-дюралевый, слесарный цеха и сушилка авиационной древесины. Завершалось строительство сборочного цеха. На работу наняли более 3 тыс. человек.</w:t>
      </w:r>
    </w:p>
    <w:p w14:paraId="74A25B4F" w14:textId="77777777" w:rsidR="00FB796B" w:rsidRPr="00507A31" w:rsidRDefault="00FB796B" w:rsidP="00507A31">
      <w:pPr>
        <w:jc w:val="both"/>
        <w:rPr>
          <w:color w:val="000000" w:themeColor="text1"/>
          <w:sz w:val="16"/>
          <w:szCs w:val="16"/>
        </w:rPr>
      </w:pPr>
      <w:r w:rsidRPr="00507A31">
        <w:rPr>
          <w:color w:val="000000" w:themeColor="text1"/>
          <w:sz w:val="16"/>
          <w:szCs w:val="16"/>
        </w:rPr>
        <w:t>Первым производственным заданием заводу стал истребитель И-5. По плану в 1932 г. в Нижнем Новгороде должны были построить 276 этих самолетов по образцу, доставленному с завода № 1. Сдали же всего 10. Причина невыполнения задания заключалась, главным образом, в кадрах — значительную часть новоиспеченных самолетостроителей составляли чернорабочие, трудившиеся прежде на строительстве завода. Люди не умели обращаться со станками, часто допускали брак. Но затем у рабочих появился опыт, из Москвы приехали инженеры, был образован чертежно-конструкторский отдел, отладили технологический процесс. В 1933 г. завод сдал ВВС 321 И-5, а в 1934 г. — 330 (18303).</w:t>
      </w:r>
    </w:p>
    <w:p w14:paraId="1395DB7D" w14:textId="77777777" w:rsidR="00FB796B" w:rsidRPr="00507A31" w:rsidRDefault="00FB796B" w:rsidP="00507A31">
      <w:pPr>
        <w:jc w:val="both"/>
        <w:rPr>
          <w:color w:val="000000" w:themeColor="text1"/>
          <w:sz w:val="16"/>
          <w:szCs w:val="16"/>
        </w:rPr>
      </w:pPr>
    </w:p>
    <w:p w14:paraId="771212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ввели в строй гидроканал ЦАГИ (80,252).</w:t>
      </w:r>
    </w:p>
    <w:p w14:paraId="0B5F1B72" w14:textId="77777777" w:rsidR="00537E5F" w:rsidRPr="00507A31" w:rsidRDefault="00537E5F" w:rsidP="00507A31">
      <w:pPr>
        <w:autoSpaceDE w:val="0"/>
        <w:autoSpaceDN w:val="0"/>
        <w:adjustRightInd w:val="0"/>
        <w:jc w:val="both"/>
        <w:rPr>
          <w:color w:val="000000" w:themeColor="text1"/>
          <w:sz w:val="16"/>
          <w:szCs w:val="16"/>
        </w:rPr>
      </w:pPr>
    </w:p>
    <w:p w14:paraId="5AACA5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года в Москве на территории, занятой позже заводом № 41, началось строительство завода № 20. Начиная с конца 1931 года завод начал давать первую продукцию. Строительство отдельных корпусов продолжалось до начала ВОВ.</w:t>
      </w:r>
    </w:p>
    <w:p w14:paraId="2C45C0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начала ВОВ в июле-августе 1941 года, на базе завода с/х машиностроения им. Куйбышева в Омске организовался филиал завода № 20 под номером 495, а с октября 1941 года по решению Правительства началась эвакуация завода № 20 в Омск на территорию завода им. Куйбышева. Эвакуация закончилась в январе 1942 года. С 1932 года по 1944 год на заводе существовало ОКБ, гл. конструкторами за это время были Суслов М.А., Руппель В.Г. и Тарасов П.И. В 1944 году ОКБ завода реорганизовали в филиал ОКБ завода № 491. В 1947 году приказом МАП № 436с от 5 июля 1947 года филиал ОКБ был реорганизован в самостоятельное ОКБ завода № 20, гл. конструктором был Мельников А.Н. и в 1951 году ОКБ было вновь реорганизовано в филиал ОКБ завода № 451. Приказом МАП № 326сс от 5 июля 1956 года на базе филиала ОКБ-451 при заводе № 20 организовано ОКБ завода № 20 – ОКБ-20. Гл. конструктором назначен Тимофеев М.М. Адрес: Омск, ул. Герцена, 74 С начала деятельности ОКБ в Омске директорами завода были: 1939-1942 гг. – Борисов И.Т. 1942-1943 гг. – Ивайкин А.М. 1944-1946 гг. – Кругленин Н.Н. 1945-1955 гг. – Сибиркин А.А. 1955-1958 гг. Русин С.А. (9732).</w:t>
      </w:r>
    </w:p>
    <w:p w14:paraId="0AFFEFA6" w14:textId="77777777" w:rsidR="00537E5F" w:rsidRPr="00507A31" w:rsidRDefault="00537E5F" w:rsidP="00507A31">
      <w:pPr>
        <w:autoSpaceDE w:val="0"/>
        <w:autoSpaceDN w:val="0"/>
        <w:adjustRightInd w:val="0"/>
        <w:jc w:val="both"/>
        <w:rPr>
          <w:color w:val="000000" w:themeColor="text1"/>
          <w:sz w:val="16"/>
          <w:szCs w:val="16"/>
        </w:rPr>
      </w:pPr>
    </w:p>
    <w:p w14:paraId="179976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Весной 1930 г. комплект чертежей М-34 был готов. Мотор обладал выдаю</w:t>
      </w:r>
      <w:r w:rsidRPr="00507A31">
        <w:rPr>
          <w:color w:val="000000" w:themeColor="text1"/>
          <w:sz w:val="16"/>
          <w:szCs w:val="16"/>
        </w:rPr>
        <w:softHyphen/>
        <w:t>щимися для своего времени данными и превосходил многие лучшие зарубеж</w:t>
      </w:r>
      <w:r w:rsidRPr="00507A31">
        <w:rPr>
          <w:color w:val="000000" w:themeColor="text1"/>
          <w:sz w:val="16"/>
          <w:szCs w:val="16"/>
        </w:rPr>
        <w:softHyphen/>
        <w:t>ные образцы. Номинальная мощность М-34 составила 750 л.с., а взлетная 850 л.с. (11156).</w:t>
      </w:r>
    </w:p>
    <w:p w14:paraId="756D1C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5F6029D" w14:textId="77777777" w:rsidR="00FB796B" w:rsidRPr="00507A31" w:rsidRDefault="00FB796B" w:rsidP="00507A31">
      <w:pPr>
        <w:jc w:val="both"/>
        <w:rPr>
          <w:color w:val="000000" w:themeColor="text1"/>
          <w:sz w:val="16"/>
          <w:szCs w:val="16"/>
        </w:rPr>
      </w:pPr>
      <w:r w:rsidRPr="00507A31">
        <w:rPr>
          <w:color w:val="000000" w:themeColor="text1"/>
          <w:sz w:val="16"/>
          <w:szCs w:val="16"/>
        </w:rPr>
        <w:t>Весной 1930 г. комплект чертежей М-34 был готов. Мотор обладал выдающимися для своего времени данными и превосходил многие лучшие зарубежные образцы. Номинальная мощность М-34 составила 750 л.с., а взлетная 850 л.с. (19015).</w:t>
      </w:r>
    </w:p>
    <w:p w14:paraId="79CF38D8" w14:textId="77777777" w:rsidR="00FB796B" w:rsidRPr="00507A31" w:rsidRDefault="00FB796B" w:rsidP="00507A31">
      <w:pPr>
        <w:jc w:val="both"/>
        <w:rPr>
          <w:color w:val="000000" w:themeColor="text1"/>
          <w:sz w:val="16"/>
          <w:szCs w:val="16"/>
        </w:rPr>
      </w:pPr>
    </w:p>
    <w:p w14:paraId="1DC4A1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Весной 1930 г. выпустили первые М-17. Но они не были целиком собраны из немецких деталей, а, наоборот, исполь</w:t>
      </w:r>
      <w:r w:rsidRPr="00507A31">
        <w:rPr>
          <w:color w:val="000000" w:themeColor="text1"/>
          <w:sz w:val="16"/>
          <w:szCs w:val="16"/>
        </w:rPr>
        <w:softHyphen/>
        <w:t>зовали лишь небольшое количество их. Правда, коленчатые валы мон</w:t>
      </w:r>
      <w:r w:rsidRPr="00507A31">
        <w:rPr>
          <w:color w:val="000000" w:themeColor="text1"/>
          <w:sz w:val="16"/>
          <w:szCs w:val="16"/>
        </w:rPr>
        <w:softHyphen/>
        <w:t>тировались только импортные. За истекшее время из Германии аккурат</w:t>
      </w:r>
      <w:r w:rsidRPr="00507A31">
        <w:rPr>
          <w:color w:val="000000" w:themeColor="text1"/>
          <w:sz w:val="16"/>
          <w:szCs w:val="16"/>
        </w:rPr>
        <w:softHyphen/>
        <w:t>но поступала информация о совершенствовании двигателя. В том числе прибыли чертежи модификации ВМ</w:t>
      </w:r>
      <w:r w:rsidRPr="00507A31">
        <w:rPr>
          <w:color w:val="000000" w:themeColor="text1"/>
          <w:sz w:val="16"/>
          <w:szCs w:val="16"/>
          <w:lang w:val="en-US"/>
        </w:rPr>
        <w:t>W</w:t>
      </w:r>
      <w:r w:rsidRPr="00507A31">
        <w:rPr>
          <w:color w:val="000000" w:themeColor="text1"/>
          <w:sz w:val="16"/>
          <w:szCs w:val="16"/>
        </w:rPr>
        <w:t xml:space="preserve"> У1Ъ. Часть содержавшихся в них новинок внедрили в М-17. Фактически ранние М-17 были ближе к ВМ</w:t>
      </w:r>
      <w:r w:rsidRPr="00507A31">
        <w:rPr>
          <w:color w:val="000000" w:themeColor="text1"/>
          <w:sz w:val="16"/>
          <w:szCs w:val="16"/>
          <w:lang w:val="en-US"/>
        </w:rPr>
        <w:t>W</w:t>
      </w:r>
      <w:r w:rsidRPr="00507A31">
        <w:rPr>
          <w:color w:val="000000" w:themeColor="text1"/>
          <w:sz w:val="16"/>
          <w:szCs w:val="16"/>
        </w:rPr>
        <w:t xml:space="preserve"> У1Ъ, чем к ВМ</w:t>
      </w:r>
      <w:r w:rsidRPr="00507A31">
        <w:rPr>
          <w:color w:val="000000" w:themeColor="text1"/>
          <w:sz w:val="16"/>
          <w:szCs w:val="16"/>
          <w:lang w:val="en-US"/>
        </w:rPr>
        <w:t>W</w:t>
      </w:r>
      <w:r w:rsidRPr="00507A31">
        <w:rPr>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507A31">
        <w:rPr>
          <w:color w:val="000000" w:themeColor="text1"/>
          <w:sz w:val="16"/>
          <w:szCs w:val="16"/>
        </w:rPr>
        <w:softHyphen/>
        <w:t>торы оказались тяжелее немецкого оригинала (в среднем на 31 кг) и вы</w:t>
      </w:r>
      <w:r w:rsidRPr="00507A31">
        <w:rPr>
          <w:color w:val="000000" w:themeColor="text1"/>
          <w:sz w:val="16"/>
          <w:szCs w:val="16"/>
        </w:rPr>
        <w:softHyphen/>
        <w:t>давали меньшую мощность (11852).</w:t>
      </w:r>
    </w:p>
    <w:p w14:paraId="1B705A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05E5C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послали М.А.Савицкого, летчика и директора маленькой парашютной мастерской, в Америку для ознакомления с парашютной промышленностью (72,55). Вскоре мастерскую преобразовали в первую парашютную фабрику (72,56).</w:t>
      </w:r>
    </w:p>
    <w:p w14:paraId="7F1C9D43" w14:textId="77777777" w:rsidR="00537E5F" w:rsidRPr="00507A31" w:rsidRDefault="00537E5F" w:rsidP="00507A31">
      <w:pPr>
        <w:autoSpaceDE w:val="0"/>
        <w:autoSpaceDN w:val="0"/>
        <w:adjustRightInd w:val="0"/>
        <w:jc w:val="both"/>
        <w:rPr>
          <w:color w:val="000000" w:themeColor="text1"/>
          <w:sz w:val="16"/>
          <w:szCs w:val="16"/>
        </w:rPr>
      </w:pPr>
    </w:p>
    <w:p w14:paraId="07CA08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года на заводе «Красный каучук» для изготовления оболочки дирижабля Комсомольская правда использовался материал змейковых аэростатов типа «Парсеваль» производства еще 1915 года, представлявший собой прорезиненный перкаль, покрытый снаружи алюминиевой краской. Масса 1 кв. м этого материала составляла около 340 г. В оболочке имелись 2 баллонета, каждый объемом 315 куб. м, которые можно было использовать для изменения угла наклона оси дирижабля к горизонту. Оперение состояло из двух горизонтальных стабилизаторов с рулями высоты и одного вертикального с рулем направления. Площадь горизонтального стабилизатора составляла 10,62 кв. м, вертикального — 17,35 кв. м, руля высоты — 5,23 кв. м, руля направления — 5,42 кв. м. Управление рулями осуществлялось с помощью тросов, проведенных к штурвалам, расположенным в гондоле. Гондола, имевшая длину 6,3 м, ширину 1,35 м и высоту 1,4 м, была выполнена из кольчугалюминия и представляла собой жесткий каркас, покрытый гофрированной обшивкой. Средний отсек гондолы использовался для размещения учеников-летчиков и пассажиров, что потребовало увеличить ее вместимость. При кратковременных полетах можно было брать на борт до 12 человек. Кроме того, в среднем отсеке находились баки с водяным балластом. В кормовом (моторном) отсеке разместили 2 бензобака, бак для масла, все моторное оборудование, включая приборы контроля работы мотора (10731).</w:t>
      </w:r>
    </w:p>
    <w:p w14:paraId="6CB6002D" w14:textId="77777777" w:rsidR="00537E5F" w:rsidRPr="00507A31" w:rsidRDefault="00537E5F" w:rsidP="00507A31">
      <w:pPr>
        <w:autoSpaceDE w:val="0"/>
        <w:autoSpaceDN w:val="0"/>
        <w:adjustRightInd w:val="0"/>
        <w:jc w:val="both"/>
        <w:rPr>
          <w:color w:val="000000" w:themeColor="text1"/>
          <w:sz w:val="16"/>
          <w:szCs w:val="16"/>
        </w:rPr>
      </w:pPr>
    </w:p>
    <w:p w14:paraId="1D31B6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года для изготовления оболочки на заводе «Красный каучук» использовался материал змейковых аэростатов типа «Парсеваль» производства еще 1915 года, представлявший собой прорезиненный перкаль, покрытый снаружи алюминиевой краской. Масса 1 кв. м этого материала составляла около 340 г. В оболочке имелись 2 баллонета, каждый объемом 315 куб. м, которые можно было использовать для изменения угла наклона оси дирижабля к горизонту. Оперение состояло из двух горизонтальных стабилизаторов с рулями высоты и одного вертикального с рулем направления. Площадь горизонтального стабилизатора составляла 10,62 кв. м, вертикального — 17,35 кв. м, руля высоты — 5,23 кв. м, руля направления — 5,42 кв. м. Управление рулями осуществлялось с помощью тросов, проведенных к штурвалам, расположенным в гондоле. Гондола, имевшая длину 6,3 м, ширину 1,35 м и высоту 1,4 м, была выполнена из кольчугалюминия и представляла собой жесткий каркас, покрытый гофрированной обшивкой. Средний отсек гондолы использовался для размещения учеников-летчиков и пассажиров, что потребовало увеличить ее вместимость. При кратковременных полетах можно было брать на борт до 12 человек. Кроме того, в среднем отсеке находились баки с водяным балластом. В кормовом (моторном) отсеке разместили 2 бензобака, бак для масла, все моторное оборудование, включая приборы контроля работы мотора. По форме оболочка «Комсомольской правды» представляла [397] собой сочетание двух полуэллипсоидов вращения, в кормовой части имелась коническая законцовка. Поскольку с прекращением эксплуатации «МХР» практически остановилась вся учебно-летная работа, в стране по призыву газеты «Комсомольская правда» был начат сбор средств на постройку нового дирижабля. Работа по созданию дирижабля, названного «Комсомольская правда», проводилась силами студентов Высшего аэромеханического училища под руководством Н. В. Фомина. С целью ускорения постройки было решено не разрабатывать новый проект, а максимально использовать проект «МХР», внеся в него лишь ряд изменений. Фомин передал конструкторам чертежи и шаблоны дирижабля. Раскрой оболочки и гондола остались практически теми же, что и у «МХР». На долю АГОС пришлись все работы, связанные с оперением и гондолой. Конструкция оперения осталась такой же, как на «МХР», а гондола подверглась модернизации. Веревочная подвеска гондолы была заменена тросовой. Предусматривались устройства для натяжения строп. Вместо двигателя «Фиат» был установлен двигатель БМВ IIIa мощностью 185 л. с., а мотор, изготовленный в 1916 году, — снят с трофейного самолета. Сборка дирижабля и его базирование проводились в овраге, расположенном рядом с воздухоплавательной воинской частью, вблизи подмосковного Кунцева (11324).</w:t>
      </w:r>
    </w:p>
    <w:p w14:paraId="172327A9" w14:textId="77777777" w:rsidR="00537E5F" w:rsidRPr="00507A31" w:rsidRDefault="00537E5F" w:rsidP="00507A31">
      <w:pPr>
        <w:autoSpaceDE w:val="0"/>
        <w:autoSpaceDN w:val="0"/>
        <w:adjustRightInd w:val="0"/>
        <w:jc w:val="both"/>
        <w:rPr>
          <w:color w:val="000000" w:themeColor="text1"/>
          <w:sz w:val="16"/>
          <w:szCs w:val="16"/>
        </w:rPr>
      </w:pPr>
    </w:p>
    <w:p w14:paraId="3AB544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был создан НИИ по аэрофотосъемке под руководством А.Е.Ферсмана - в апреле сделали 2 проекта - сухопутного и амфибии - В.Б.Шавров и К.А.Виганд - ФС-1 и ФС-2 и провели через НТК УВВС от лица НИИ АФС и отдали в КБ Ришара (92,444).</w:t>
      </w:r>
    </w:p>
    <w:p w14:paraId="571889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ясно, но получается, что КБ Ришара в апреле в ЦКБ еще не попало и было самостоятельным.</w:t>
      </w:r>
    </w:p>
    <w:p w14:paraId="63552A85" w14:textId="77777777" w:rsidR="00537E5F" w:rsidRPr="00507A31" w:rsidRDefault="00537E5F" w:rsidP="00507A31">
      <w:pPr>
        <w:autoSpaceDE w:val="0"/>
        <w:autoSpaceDN w:val="0"/>
        <w:adjustRightInd w:val="0"/>
        <w:jc w:val="both"/>
        <w:rPr>
          <w:color w:val="000000" w:themeColor="text1"/>
          <w:sz w:val="16"/>
          <w:szCs w:val="16"/>
        </w:rPr>
      </w:pPr>
    </w:p>
    <w:p w14:paraId="00A5761C" w14:textId="77777777" w:rsidR="00A552AA" w:rsidRPr="00507A31" w:rsidRDefault="00A552AA" w:rsidP="00507A31">
      <w:pPr>
        <w:jc w:val="both"/>
        <w:rPr>
          <w:color w:val="0070C0"/>
          <w:sz w:val="16"/>
          <w:szCs w:val="16"/>
        </w:rPr>
      </w:pPr>
      <w:bookmarkStart w:id="55" w:name="_Hlk56763398"/>
      <w:r w:rsidRPr="00507A31">
        <w:rPr>
          <w:color w:val="0070C0"/>
          <w:sz w:val="16"/>
          <w:szCs w:val="16"/>
        </w:rPr>
        <w:t>Весной 1930 г. силами студентов-воз</w:t>
      </w:r>
      <w:r w:rsidRPr="00507A31">
        <w:rPr>
          <w:color w:val="0070C0"/>
          <w:sz w:val="16"/>
          <w:szCs w:val="16"/>
        </w:rPr>
        <w:softHyphen/>
        <w:t>духоплавателей МВТУ и рабочей молодёжи за</w:t>
      </w:r>
      <w:r w:rsidRPr="00507A31">
        <w:rPr>
          <w:color w:val="0070C0"/>
          <w:sz w:val="16"/>
          <w:szCs w:val="16"/>
        </w:rPr>
        <w:softHyphen/>
        <w:t>вода «Каучук» при поддержке администрации, общественности и специалистов завода и ЦАГИ началась постройка дирижабля «Комсомольская правда», созданного на основе проекта «МХР» с использованием гондолы последнего. Летом 1930 г. дирижабль собрали в овраге под Кунце- вым и в 1930-1931 годах использовали для под</w:t>
      </w:r>
      <w:r w:rsidRPr="00507A31">
        <w:rPr>
          <w:color w:val="0070C0"/>
          <w:sz w:val="16"/>
          <w:szCs w:val="16"/>
        </w:rPr>
        <w:softHyphen/>
        <w:t>готовки лётных кадров и агитполётов (20120).</w:t>
      </w:r>
    </w:p>
    <w:p w14:paraId="66B0CC43" w14:textId="77777777" w:rsidR="00A552AA" w:rsidRPr="00507A31" w:rsidRDefault="00A552AA" w:rsidP="00507A31">
      <w:pPr>
        <w:jc w:val="both"/>
        <w:rPr>
          <w:color w:val="0070C0"/>
          <w:sz w:val="16"/>
          <w:szCs w:val="16"/>
        </w:rPr>
      </w:pPr>
    </w:p>
    <w:bookmarkEnd w:id="55"/>
    <w:p w14:paraId="554D0FD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865E861" w14:textId="77777777" w:rsidR="00537E5F" w:rsidRPr="00507A31" w:rsidRDefault="00537E5F" w:rsidP="00507A31">
      <w:pPr>
        <w:autoSpaceDE w:val="0"/>
        <w:autoSpaceDN w:val="0"/>
        <w:adjustRightInd w:val="0"/>
        <w:jc w:val="both"/>
        <w:rPr>
          <w:iCs/>
          <w:color w:val="000000" w:themeColor="text1"/>
          <w:sz w:val="16"/>
          <w:szCs w:val="16"/>
        </w:rPr>
      </w:pPr>
    </w:p>
    <w:p w14:paraId="48907DF8" w14:textId="77777777" w:rsidR="007D5311" w:rsidRPr="00507A31" w:rsidRDefault="007D5311" w:rsidP="00507A31">
      <w:pPr>
        <w:jc w:val="both"/>
        <w:rPr>
          <w:color w:val="000000" w:themeColor="text1"/>
          <w:sz w:val="16"/>
          <w:szCs w:val="16"/>
        </w:rPr>
      </w:pPr>
      <w:r w:rsidRPr="00507A31">
        <w:rPr>
          <w:color w:val="000000" w:themeColor="text1"/>
          <w:sz w:val="16"/>
          <w:szCs w:val="16"/>
        </w:rPr>
        <w:t>Весной 1930 г., по сообщению мобилизационно-планового управления ВСНХ СССР, «в специальных органах промышленности начата разработка заданий по линии военных производств» (19563).</w:t>
      </w:r>
    </w:p>
    <w:p w14:paraId="6A3D7DCA" w14:textId="77777777" w:rsidR="007D5311" w:rsidRPr="00507A31" w:rsidRDefault="007D5311" w:rsidP="00507A31">
      <w:pPr>
        <w:jc w:val="both"/>
        <w:rPr>
          <w:color w:val="000000" w:themeColor="text1"/>
          <w:sz w:val="16"/>
          <w:szCs w:val="16"/>
        </w:rPr>
      </w:pPr>
    </w:p>
    <w:p w14:paraId="540FA1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конструктор П.Сячинтов предъявил комиссии Арткома проект 60-мм орудия, предложив со своей стороны изменить его калибр на 57мм, или 76,2-мм, что на его взгляд упростило бы положение с боеприпасами и изготовлением нарезной трубы ствола, а также добавить в орудие механизм полуавтоматики. Приемная комиссия вроде как согласилась с доводами конструктора и предписала подготовить к 7 ноября комплект чертежей на 57-мм «танковую полуавтоматическую гаубицу большой мощности», сохранив предложенную П.Сячинтовым конструктивную схему (6208, 42).</w:t>
      </w:r>
    </w:p>
    <w:p w14:paraId="76AF98EC" w14:textId="77777777" w:rsidR="00537E5F" w:rsidRPr="00507A31" w:rsidRDefault="00537E5F" w:rsidP="00507A31">
      <w:pPr>
        <w:autoSpaceDE w:val="0"/>
        <w:autoSpaceDN w:val="0"/>
        <w:adjustRightInd w:val="0"/>
        <w:jc w:val="both"/>
        <w:rPr>
          <w:color w:val="000000" w:themeColor="text1"/>
          <w:sz w:val="16"/>
          <w:szCs w:val="16"/>
        </w:rPr>
      </w:pPr>
    </w:p>
    <w:p w14:paraId="498A91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Весной 1930 г. на совещании правления ГАУ вновь под</w:t>
      </w:r>
      <w:r w:rsidRPr="00507A31">
        <w:rPr>
          <w:color w:val="000000" w:themeColor="text1"/>
          <w:sz w:val="16"/>
          <w:szCs w:val="16"/>
        </w:rPr>
        <w:softHyphen/>
        <w:t>нимался вопрос создания самоходных артиллерийских ус</w:t>
      </w:r>
      <w:r w:rsidRPr="00507A31">
        <w:rPr>
          <w:color w:val="000000" w:themeColor="text1"/>
          <w:sz w:val="16"/>
          <w:szCs w:val="16"/>
        </w:rPr>
        <w:softHyphen/>
        <w:t>тановок (11417).</w:t>
      </w:r>
    </w:p>
    <w:p w14:paraId="640BB0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F8F00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в ГКБ ОАТ в Москве под руководством С.П.Шукалова при участии конструкторов ХПЗ был разработан танк Т-24 на базе меневренного танка Т-12 (9527,122).</w:t>
      </w:r>
    </w:p>
    <w:p w14:paraId="1C03283B" w14:textId="77777777" w:rsidR="00537E5F" w:rsidRPr="00507A31" w:rsidRDefault="00537E5F" w:rsidP="00507A31">
      <w:pPr>
        <w:autoSpaceDE w:val="0"/>
        <w:autoSpaceDN w:val="0"/>
        <w:adjustRightInd w:val="0"/>
        <w:jc w:val="both"/>
        <w:rPr>
          <w:color w:val="000000" w:themeColor="text1"/>
          <w:sz w:val="16"/>
          <w:szCs w:val="16"/>
        </w:rPr>
      </w:pPr>
    </w:p>
    <w:p w14:paraId="402B29EA" w14:textId="77777777" w:rsidR="009B07CC" w:rsidRPr="00507A31" w:rsidRDefault="009B07CC" w:rsidP="00507A31">
      <w:pPr>
        <w:jc w:val="both"/>
        <w:rPr>
          <w:color w:val="000000" w:themeColor="text1"/>
          <w:sz w:val="16"/>
          <w:szCs w:val="16"/>
        </w:rPr>
      </w:pPr>
      <w:r w:rsidRPr="00507A31">
        <w:rPr>
          <w:color w:val="000000" w:themeColor="text1"/>
          <w:sz w:val="16"/>
          <w:szCs w:val="16"/>
        </w:rPr>
        <w:t>Весной 1930 г. в ГКБОАТ под руководством С.П. Шукапова при участии конструкторов ХПЗ подготовили проект танка, получившего обозначение Т-24 (первоначально он именовался «Т-12 улучшенный»). В проектировании принимали участие В.И. Заславский и Б.А Андрыхевич. Приспособление двигателя М-6 и разработку отдельных узлов моторной установки выполнил специально приглашенный для этой цели А.А. Микулин. 28 мая того же года проект танка Т-24 направили председателю НТК Оружобъединения Адамсу для рассмотрения и утверждения (12303).</w:t>
      </w:r>
    </w:p>
    <w:p w14:paraId="52F3BE9D" w14:textId="77777777" w:rsidR="009B07CC" w:rsidRPr="00507A31" w:rsidRDefault="009B07CC" w:rsidP="00507A31">
      <w:pPr>
        <w:jc w:val="both"/>
        <w:rPr>
          <w:color w:val="000000" w:themeColor="text1"/>
          <w:sz w:val="16"/>
          <w:szCs w:val="16"/>
        </w:rPr>
      </w:pPr>
    </w:p>
    <w:p w14:paraId="6BE467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Весной 1930 начались работы над малым (легковым) трактором РККА. Вес не более 3500 кг, тяговое усилие - 3000 кг. Использовали узлы Т-16, оставшиеся на заводе Большевик и невостребованные с 1927 (4243,31).</w:t>
      </w:r>
    </w:p>
    <w:p w14:paraId="3459D067" w14:textId="77777777" w:rsidR="00537E5F" w:rsidRPr="00507A31" w:rsidRDefault="00537E5F" w:rsidP="00507A31">
      <w:pPr>
        <w:autoSpaceDE w:val="0"/>
        <w:autoSpaceDN w:val="0"/>
        <w:adjustRightInd w:val="0"/>
        <w:jc w:val="both"/>
        <w:rPr>
          <w:color w:val="000000" w:themeColor="text1"/>
          <w:sz w:val="16"/>
          <w:szCs w:val="16"/>
        </w:rPr>
      </w:pPr>
    </w:p>
    <w:p w14:paraId="749CC446" w14:textId="77777777" w:rsidR="00A8367C" w:rsidRPr="00507A31" w:rsidRDefault="00A8367C" w:rsidP="00507A31">
      <w:pPr>
        <w:jc w:val="both"/>
        <w:rPr>
          <w:color w:val="000000" w:themeColor="text1"/>
          <w:sz w:val="16"/>
          <w:szCs w:val="16"/>
        </w:rPr>
      </w:pPr>
      <w:r w:rsidRPr="00507A31">
        <w:rPr>
          <w:color w:val="000000" w:themeColor="text1"/>
          <w:sz w:val="16"/>
          <w:szCs w:val="16"/>
        </w:rPr>
        <w:t>Весной 1930 г. в Великобританию прибыла советская закупочная комиссия под руководством С. Гинзбурга. В задачу комиссии входил отбор образцов танков, тракторов и автомобилей, пригодных для принятия на вооружение Красной Армии. Во время визита на фирму «Виккерс-Амстронг» советские представители отобрали для закупки четыре типа танков. 28 мая 1930 г. между фирмой и советской стороной был подписан контракт на поставку в СССР 15 танков Мк. Е в двухбашенном варианте. Танки закупались с полным комплектом технической документации и возможностью организации их серийного производства в СССР (15132).</w:t>
      </w:r>
    </w:p>
    <w:p w14:paraId="3D22AEDC" w14:textId="77777777" w:rsidR="00A8367C" w:rsidRPr="00507A31" w:rsidRDefault="00A8367C" w:rsidP="00507A31">
      <w:pPr>
        <w:jc w:val="both"/>
        <w:rPr>
          <w:color w:val="000000" w:themeColor="text1"/>
          <w:sz w:val="16"/>
          <w:szCs w:val="16"/>
        </w:rPr>
      </w:pPr>
    </w:p>
    <w:p w14:paraId="769B0A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Весной 1930 года один бронеавтомобиль из второй пар</w:t>
      </w:r>
      <w:r w:rsidRPr="00507A31">
        <w:rPr>
          <w:color w:val="000000" w:themeColor="text1"/>
          <w:sz w:val="16"/>
          <w:szCs w:val="16"/>
        </w:rPr>
        <w:softHyphen/>
        <w:t>тии отправили на 2-й автосборочный завод в Москве, веду</w:t>
      </w:r>
      <w:r w:rsidRPr="00507A31">
        <w:rPr>
          <w:color w:val="000000" w:themeColor="text1"/>
          <w:sz w:val="16"/>
          <w:szCs w:val="16"/>
        </w:rPr>
        <w:softHyphen/>
        <w:t>щий сборку прибывающих из Америки грузовиков «Форд-АА». Здесь корпус БА-27 переставили на шасси «Форда». Испытания показали, что благодаря более мощному двига</w:t>
      </w:r>
      <w:r w:rsidRPr="00507A31">
        <w:rPr>
          <w:color w:val="000000" w:themeColor="text1"/>
          <w:sz w:val="16"/>
          <w:szCs w:val="16"/>
        </w:rPr>
        <w:softHyphen/>
        <w:t>телю скорость и запас хода бронеавтомобиля возросли. Од</w:t>
      </w:r>
      <w:r w:rsidRPr="00507A31">
        <w:rPr>
          <w:color w:val="000000" w:themeColor="text1"/>
          <w:sz w:val="16"/>
          <w:szCs w:val="16"/>
        </w:rPr>
        <w:softHyphen/>
        <w:t>нако по ряду причин использование американского шасси признали нецелесообразным, и БА-27 на базе «Форд-АА» остался в единственном экземпляре (11284).</w:t>
      </w:r>
    </w:p>
    <w:p w14:paraId="34ED10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5AC80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45BEC1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421036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E371BA" w:rsidRPr="00507A31" w14:paraId="278DD473" w14:textId="77777777">
        <w:trPr>
          <w:jc w:val="center"/>
        </w:trPr>
        <w:tc>
          <w:tcPr>
            <w:tcW w:w="4715" w:type="dxa"/>
            <w:tcBorders>
              <w:top w:val="single" w:sz="12" w:space="0" w:color="auto"/>
            </w:tcBorders>
          </w:tcPr>
          <w:p w14:paraId="031961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Масса</w:t>
            </w:r>
          </w:p>
        </w:tc>
        <w:tc>
          <w:tcPr>
            <w:tcW w:w="4800" w:type="dxa"/>
            <w:tcBorders>
              <w:top w:val="single" w:sz="12" w:space="0" w:color="auto"/>
            </w:tcBorders>
          </w:tcPr>
          <w:p w14:paraId="7FC0EE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4100 кг</w:t>
            </w:r>
          </w:p>
        </w:tc>
      </w:tr>
      <w:tr w:rsidR="00E371BA" w:rsidRPr="00507A31" w14:paraId="0C0948F6" w14:textId="77777777">
        <w:trPr>
          <w:jc w:val="center"/>
        </w:trPr>
        <w:tc>
          <w:tcPr>
            <w:tcW w:w="4715" w:type="dxa"/>
          </w:tcPr>
          <w:p w14:paraId="071C16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4800" w:type="dxa"/>
          </w:tcPr>
          <w:p w14:paraId="5B8B5A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человека</w:t>
            </w:r>
          </w:p>
        </w:tc>
      </w:tr>
      <w:tr w:rsidR="00E371BA" w:rsidRPr="00507A31" w14:paraId="1A33AE96" w14:textId="77777777">
        <w:trPr>
          <w:jc w:val="center"/>
        </w:trPr>
        <w:tc>
          <w:tcPr>
            <w:tcW w:w="4715" w:type="dxa"/>
          </w:tcPr>
          <w:p w14:paraId="5B40C2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Длина</w:t>
            </w:r>
          </w:p>
        </w:tc>
        <w:tc>
          <w:tcPr>
            <w:tcW w:w="4800" w:type="dxa"/>
          </w:tcPr>
          <w:p w14:paraId="5E6D17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4617 мм</w:t>
            </w:r>
          </w:p>
        </w:tc>
      </w:tr>
      <w:tr w:rsidR="00E371BA" w:rsidRPr="00507A31" w14:paraId="4590E617" w14:textId="77777777">
        <w:trPr>
          <w:jc w:val="center"/>
        </w:trPr>
        <w:tc>
          <w:tcPr>
            <w:tcW w:w="4715" w:type="dxa"/>
          </w:tcPr>
          <w:p w14:paraId="4BBD61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Ширина</w:t>
            </w:r>
          </w:p>
        </w:tc>
        <w:tc>
          <w:tcPr>
            <w:tcW w:w="4800" w:type="dxa"/>
          </w:tcPr>
          <w:p w14:paraId="3B54F6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1710 мм</w:t>
            </w:r>
          </w:p>
        </w:tc>
      </w:tr>
      <w:tr w:rsidR="00E371BA" w:rsidRPr="00507A31" w14:paraId="6EE34497" w14:textId="77777777">
        <w:trPr>
          <w:jc w:val="center"/>
        </w:trPr>
        <w:tc>
          <w:tcPr>
            <w:tcW w:w="4715" w:type="dxa"/>
          </w:tcPr>
          <w:p w14:paraId="62D7E8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Высота</w:t>
            </w:r>
          </w:p>
        </w:tc>
        <w:tc>
          <w:tcPr>
            <w:tcW w:w="4800" w:type="dxa"/>
          </w:tcPr>
          <w:p w14:paraId="1010C8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2520 мм</w:t>
            </w:r>
          </w:p>
        </w:tc>
      </w:tr>
      <w:tr w:rsidR="00E371BA" w:rsidRPr="00507A31" w14:paraId="1A1E09BC" w14:textId="77777777">
        <w:trPr>
          <w:jc w:val="center"/>
        </w:trPr>
        <w:tc>
          <w:tcPr>
            <w:tcW w:w="4715" w:type="dxa"/>
          </w:tcPr>
          <w:p w14:paraId="1FCB46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Клиренс</w:t>
            </w:r>
          </w:p>
        </w:tc>
        <w:tc>
          <w:tcPr>
            <w:tcW w:w="4800" w:type="dxa"/>
          </w:tcPr>
          <w:p w14:paraId="545D4B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 мм</w:t>
            </w:r>
          </w:p>
        </w:tc>
      </w:tr>
      <w:tr w:rsidR="00E371BA" w:rsidRPr="00507A31" w14:paraId="6764DB69" w14:textId="77777777">
        <w:trPr>
          <w:jc w:val="center"/>
        </w:trPr>
        <w:tc>
          <w:tcPr>
            <w:tcW w:w="4715" w:type="dxa"/>
          </w:tcPr>
          <w:p w14:paraId="0D683F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Давление на грунт</w:t>
            </w:r>
          </w:p>
        </w:tc>
        <w:tc>
          <w:tcPr>
            <w:tcW w:w="4800" w:type="dxa"/>
          </w:tcPr>
          <w:p w14:paraId="7356E3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3,4 кг/см2</w:t>
            </w:r>
          </w:p>
        </w:tc>
      </w:tr>
      <w:tr w:rsidR="00E371BA" w:rsidRPr="00507A31" w14:paraId="22D6DCE5" w14:textId="77777777">
        <w:trPr>
          <w:jc w:val="center"/>
        </w:trPr>
        <w:tc>
          <w:tcPr>
            <w:tcW w:w="4715" w:type="dxa"/>
          </w:tcPr>
          <w:p w14:paraId="23422B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 двигателя</w:t>
            </w:r>
          </w:p>
        </w:tc>
        <w:tc>
          <w:tcPr>
            <w:tcW w:w="4800" w:type="dxa"/>
          </w:tcPr>
          <w:p w14:paraId="3C945D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4-х цил., карб. АМО</w:t>
            </w:r>
          </w:p>
        </w:tc>
      </w:tr>
      <w:tr w:rsidR="00E371BA" w:rsidRPr="00507A31" w14:paraId="27FCC7E2" w14:textId="77777777">
        <w:trPr>
          <w:jc w:val="center"/>
        </w:trPr>
        <w:tc>
          <w:tcPr>
            <w:tcW w:w="4715" w:type="dxa"/>
          </w:tcPr>
          <w:p w14:paraId="27E506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Мощность двигателя</w:t>
            </w:r>
          </w:p>
        </w:tc>
        <w:tc>
          <w:tcPr>
            <w:tcW w:w="4800" w:type="dxa"/>
          </w:tcPr>
          <w:p w14:paraId="18419B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 л.с.</w:t>
            </w:r>
          </w:p>
        </w:tc>
      </w:tr>
      <w:tr w:rsidR="00E371BA" w:rsidRPr="00507A31" w14:paraId="5A1D70B6" w14:textId="77777777">
        <w:trPr>
          <w:jc w:val="center"/>
        </w:trPr>
        <w:tc>
          <w:tcPr>
            <w:tcW w:w="4715" w:type="dxa"/>
          </w:tcPr>
          <w:p w14:paraId="278CF2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Скорость по шоссе</w:t>
            </w:r>
          </w:p>
        </w:tc>
        <w:tc>
          <w:tcPr>
            <w:tcW w:w="4800" w:type="dxa"/>
          </w:tcPr>
          <w:p w14:paraId="6549C5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30 км/ч</w:t>
            </w:r>
          </w:p>
        </w:tc>
      </w:tr>
      <w:tr w:rsidR="00E371BA" w:rsidRPr="00507A31" w14:paraId="23963654" w14:textId="77777777">
        <w:trPr>
          <w:jc w:val="center"/>
        </w:trPr>
        <w:tc>
          <w:tcPr>
            <w:tcW w:w="4715" w:type="dxa"/>
          </w:tcPr>
          <w:p w14:paraId="3679E6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Запас хода по шоссе</w:t>
            </w:r>
          </w:p>
        </w:tc>
        <w:tc>
          <w:tcPr>
            <w:tcW w:w="4800" w:type="dxa"/>
          </w:tcPr>
          <w:p w14:paraId="7D8CF4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180 км</w:t>
            </w:r>
          </w:p>
        </w:tc>
      </w:tr>
      <w:tr w:rsidR="00E371BA" w:rsidRPr="00507A31" w14:paraId="4B28E571" w14:textId="77777777">
        <w:trPr>
          <w:jc w:val="center"/>
        </w:trPr>
        <w:tc>
          <w:tcPr>
            <w:tcW w:w="4715" w:type="dxa"/>
          </w:tcPr>
          <w:p w14:paraId="54AF00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Преодолеваемый подъем</w:t>
            </w:r>
          </w:p>
        </w:tc>
        <w:tc>
          <w:tcPr>
            <w:tcW w:w="4800" w:type="dxa"/>
          </w:tcPr>
          <w:p w14:paraId="58B5A2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15°</w:t>
            </w:r>
          </w:p>
        </w:tc>
      </w:tr>
      <w:tr w:rsidR="00E371BA" w:rsidRPr="00507A31" w14:paraId="2550FC8B" w14:textId="77777777">
        <w:trPr>
          <w:jc w:val="center"/>
        </w:trPr>
        <w:tc>
          <w:tcPr>
            <w:tcW w:w="4715" w:type="dxa"/>
          </w:tcPr>
          <w:p w14:paraId="7AF6F6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4800" w:type="dxa"/>
          </w:tcPr>
          <w:p w14:paraId="6F4AD8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37-мм пушка Гочкис, 7,62-мм пулемет ДТ</w:t>
            </w:r>
          </w:p>
        </w:tc>
      </w:tr>
      <w:tr w:rsidR="00E371BA" w:rsidRPr="00507A31" w14:paraId="55B022F2" w14:textId="77777777">
        <w:trPr>
          <w:jc w:val="center"/>
        </w:trPr>
        <w:tc>
          <w:tcPr>
            <w:tcW w:w="4715" w:type="dxa"/>
          </w:tcPr>
          <w:p w14:paraId="2EF522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Боекомплект</w:t>
            </w:r>
          </w:p>
        </w:tc>
        <w:tc>
          <w:tcPr>
            <w:tcW w:w="4800" w:type="dxa"/>
          </w:tcPr>
          <w:p w14:paraId="0D3F6F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 снарядов, 2016 патронов</w:t>
            </w:r>
          </w:p>
        </w:tc>
      </w:tr>
      <w:tr w:rsidR="00E371BA" w:rsidRPr="00507A31" w14:paraId="0B738831" w14:textId="77777777">
        <w:trPr>
          <w:jc w:val="center"/>
        </w:trPr>
        <w:tc>
          <w:tcPr>
            <w:tcW w:w="4715" w:type="dxa"/>
            <w:tcBorders>
              <w:bottom w:val="single" w:sz="12" w:space="0" w:color="auto"/>
            </w:tcBorders>
          </w:tcPr>
          <w:p w14:paraId="61398F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Бронирование</w:t>
            </w:r>
          </w:p>
        </w:tc>
        <w:tc>
          <w:tcPr>
            <w:tcW w:w="4800" w:type="dxa"/>
            <w:tcBorders>
              <w:bottom w:val="single" w:sz="12" w:space="0" w:color="auto"/>
            </w:tcBorders>
          </w:tcPr>
          <w:p w14:paraId="7837B0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3–7 мм</w:t>
            </w:r>
          </w:p>
        </w:tc>
      </w:tr>
    </w:tbl>
    <w:p w14:paraId="6A3C69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(11861).</w:t>
      </w:r>
    </w:p>
    <w:p w14:paraId="2ABACC81" w14:textId="77777777" w:rsidR="00537E5F" w:rsidRPr="00507A31" w:rsidRDefault="00537E5F" w:rsidP="00507A31">
      <w:pPr>
        <w:autoSpaceDE w:val="0"/>
        <w:autoSpaceDN w:val="0"/>
        <w:adjustRightInd w:val="0"/>
        <w:jc w:val="both"/>
        <w:rPr>
          <w:color w:val="000000" w:themeColor="text1"/>
          <w:sz w:val="16"/>
          <w:szCs w:val="16"/>
        </w:rPr>
      </w:pPr>
    </w:p>
    <w:p w14:paraId="5B44302D" w14:textId="77777777" w:rsidR="007D5311" w:rsidRPr="00507A31" w:rsidRDefault="007D5311" w:rsidP="00507A31">
      <w:pPr>
        <w:jc w:val="both"/>
        <w:rPr>
          <w:color w:val="000000" w:themeColor="text1"/>
          <w:sz w:val="16"/>
          <w:szCs w:val="16"/>
        </w:rPr>
      </w:pPr>
      <w:r w:rsidRPr="00507A31">
        <w:rPr>
          <w:color w:val="000000" w:themeColor="text1"/>
          <w:sz w:val="16"/>
          <w:szCs w:val="16"/>
          <w:shd w:val="clear" w:color="auto" w:fill="FFFFFF"/>
        </w:rPr>
        <w:t>Весной 1930 г. Петра Владимировича вновь посылают в Германию, на этот раз он плотно работает с легкими мотоциклами, в частности с фирмой DKW, их массовой моделью Luxus-300, и в том числе он никак не мог не заметить признаки начала политического, экономического кризиса в Европе…(19148).</w:t>
      </w:r>
    </w:p>
    <w:p w14:paraId="61F91AD8" w14:textId="77777777" w:rsidR="007D5311" w:rsidRPr="00507A31" w:rsidRDefault="007D5311" w:rsidP="00507A31">
      <w:pPr>
        <w:jc w:val="both"/>
        <w:rPr>
          <w:color w:val="000000" w:themeColor="text1"/>
          <w:sz w:val="16"/>
          <w:szCs w:val="16"/>
        </w:rPr>
      </w:pPr>
    </w:p>
    <w:p w14:paraId="2C87AAE9" w14:textId="77777777" w:rsidR="00D04CC5" w:rsidRPr="00507A31" w:rsidRDefault="00D04CC5" w:rsidP="00507A31">
      <w:pPr>
        <w:jc w:val="both"/>
        <w:rPr>
          <w:color w:val="000000" w:themeColor="text1"/>
          <w:sz w:val="16"/>
          <w:szCs w:val="16"/>
        </w:rPr>
      </w:pPr>
      <w:r w:rsidRPr="00507A31">
        <w:rPr>
          <w:color w:val="000000" w:themeColor="text1"/>
          <w:sz w:val="16"/>
          <w:szCs w:val="16"/>
        </w:rPr>
        <w:t xml:space="preserve">Весной 1930 г. началось серийное производство радиомины БЕМИ.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В связи с обострением ситуации на Дальнем Восток 23 января 1934 г. 50 радиофугасов БЕМИ в составе отдельной роты были отправлены в Особую Краснознаменную Дальневосточную армию. Работы над радиофугасами продолжились и после ликвидации Остехбюро. К началу Великой Отечественной войны в подразделения ТОС поступили новые образцы радиофугаса Ф-10. Согласно финским и германским документам, конструктивно мина Ф-10 представляет собой некий блок управления (Apparat F10), способный принимать и обрабатывать получаемые радиосигналы и выдавать электроимпульс, способный взорвать до трех электродетонаторов, а с использованием специального промежуточного блока-разветвителя (Apparat BIS) — до 36 электродетонаторов. Масса заряда взрывчатки зависела от размеров и характера уничтожаемого объекта и могла составлять от нескольких десятков килограмм до нескольких тонн (по опыту применения). Блок управления может располагаться вместе с зарядом (зарядами) или на удалении до 50 м, причем на каждый из трех зарядов идет отдельная электровзрывная линия. Аппарат Ф-10 вместе с дешифратором сигналов (аппарат А) и батареей питания упакованы в ящик размером 40 х 38 х 28 см. и весом 35 кг, который в свою очередь помещается в резиновый мешок. Этот </w:t>
      </w:r>
      <w:r w:rsidRPr="00507A31">
        <w:rPr>
          <w:color w:val="000000" w:themeColor="text1"/>
          <w:sz w:val="16"/>
          <w:szCs w:val="16"/>
        </w:rPr>
        <w:lastRenderedPageBreak/>
        <w:t xml:space="preserve">ящик устанавливается внутри объекта там, где это удобно, обычно на глубине до 2,5 м. На расстоянии от 0 до 40 метров от ящика размещается проводная антенна длиной не менее 30 метров. «Ее размещение и направление диктуется условиями прохождения радиоволн, но в общем случае она может быть закопана в землю на глубину до 120 см, или помещена в воду на глубину до 50 см или вмурована в кирпичную стену на глубину до 6 см. Антенна соединяется с аппаратом F-10 фидером (волноводом) длиной до 40 м. Из аппарата F-10 выходят три двухжильных кабеля электровзрывной цепи. Они могут иметь длину до 50 м. Желательно, чтобы длина всех трех электровзрывной цепи была примерно одинакова, чтобы избежать большой разницы в электросопротивлениях ветвей. К концам кабелей присоединяются электродетонаторы, вставленные в заряды ВВ. Если подключается аппарат БИС (BIS), то может использоваться только один кабель из трех. Его устройство неизвестно, но можно предположить, что он имеет собственный достаточно мощный источник электропитания и реле, управляемое аппаратом Ф-10. Для питания радиосхемы мины (аппараты Ф-10 и А) требуется рабочее напряжение 12 вольт и анодное напряжение (накал анодов радиоламп) не менее 95 вольт. Это значительно ограничивает время боевой работы мины. В режиме постоянного рабочего накала радиоламп время боевой работы составляет всего 4 суток. Поэтому в состав мины введен часовой механизм, который обеспечивает только периодичное подключение накала. Если устанавливается режим 2,5 (две с половиной минуты накал включен, две с половиной накал выключен) то срок боевой работы мины возрастает до 20 дней. Если устанавливается режим 5 (5 минут накал включен, 5 минут выключен), то срок боевой работы мины возрастает до 40 дней. Это верхний предел срока боевой работы мины. Однако если мина работает в режиме постоянного накала, то радиосигнал на взрыв должен подаваться продолжительностью в 1 минуту, в режиме 2,5 — б минут, а в режиме 5 — 10 минут. Кроме того, в тех целях экономии электропитания и сам приемник включается через каждые 5—6 минут всего на 12—15 секунд. Этим режимом управляет второй часовой механизм, который подзаводится от этой же батареи электропитания каждые 3—4 минуты. Кроме того, мина может иметь устройство самоликвидации с помощью взрывателя замедленного действия ЭХВ (до 120 суток), часового десятисуточного замыкателя, часового тридцатипятисуточного замыкателя, часового взрывателя ЧМВ-16 (до 16 суток), часового взрывателя ЧМВ-60 (до 60 суток). Тут я замечу, что ряд отечественных историков доводят срок готовности мины Ф-10 до четырех месяцев. Звуки работы часовых механизмов являются значительным демаскирующим признаком мины. Так, невооруженным ухом можно различить тиканье часов мины, размещенной в земле, с расстояния 5—10 см от земли; размещенной в кирпичной кладке — с 20—30 см. Щелчки подзавода часов, соответственно, с 15—30 см и 60—90 см. Если использовать немецкий аппарат прослушивания фирмы Elektro-Akustik, то тиканье часов улавливается с расстояния от 2,5 до 6 метров, а щелчки подзавода — с расстояния 6—8 метров. Кроме ящика с исполнительными устройствами (аппараты Ф-10 и А) и питанием, и аппарата БИС в комплект мины входят два аппарата, подключаемые к управляющей взрывом радиостанции. Это аппараты “Woswol” и “Salma”. С помощью аппарата “Woswol” радиопередатчик согласовывается точно на волну устройства Ф-10. Аппарат “Salma” служит для усиления сигналов, генерируемых блоком </w:t>
      </w:r>
      <w:r w:rsidRPr="00507A31">
        <w:rPr>
          <w:bCs/>
          <w:color w:val="000000" w:themeColor="text1"/>
          <w:sz w:val="16"/>
          <w:szCs w:val="16"/>
        </w:rPr>
        <w:t>У</w:t>
      </w:r>
      <w:r w:rsidRPr="00507A31">
        <w:rPr>
          <w:color w:val="000000" w:themeColor="text1"/>
          <w:sz w:val="16"/>
          <w:szCs w:val="16"/>
        </w:rPr>
        <w:t>, который находится с ним в общем ящике. Эти два аппарата не могут использоваться для взрывания нескольких мин, поскольку они точно настроены на конкретный экземпляр мины и перенастраиваться не могут».</w:t>
      </w:r>
    </w:p>
    <w:p w14:paraId="6BB46956" w14:textId="77777777" w:rsidR="00D04CC5" w:rsidRPr="00507A31" w:rsidRDefault="00D04CC5" w:rsidP="00507A31">
      <w:pPr>
        <w:jc w:val="both"/>
        <w:rPr>
          <w:bCs/>
          <w:color w:val="000000" w:themeColor="text1"/>
          <w:sz w:val="16"/>
          <w:szCs w:val="16"/>
        </w:rPr>
      </w:pPr>
      <w:bookmarkStart w:id="56" w:name="label9"/>
      <w:bookmarkEnd w:id="56"/>
      <w:r w:rsidRPr="00507A31">
        <w:rPr>
          <w:bCs/>
          <w:color w:val="000000" w:themeColor="text1"/>
          <w:sz w:val="16"/>
          <w:szCs w:val="16"/>
        </w:rPr>
        <w:t>Тактико-технические характеристики мины Ф-10</w:t>
      </w:r>
    </w:p>
    <w:p w14:paraId="0339E708" w14:textId="77777777" w:rsidR="00D04CC5" w:rsidRPr="00507A31" w:rsidRDefault="00D04CC5" w:rsidP="00507A31">
      <w:pPr>
        <w:jc w:val="both"/>
        <w:rPr>
          <w:color w:val="000000" w:themeColor="text1"/>
          <w:sz w:val="16"/>
          <w:szCs w:val="16"/>
        </w:rPr>
      </w:pPr>
      <w:r w:rsidRPr="00507A31">
        <w:rPr>
          <w:color w:val="000000" w:themeColor="text1"/>
          <w:sz w:val="16"/>
          <w:szCs w:val="16"/>
        </w:rPr>
        <w:t>Тип мины … объектная фугасная радиоуправляемая</w:t>
      </w:r>
    </w:p>
    <w:p w14:paraId="5F60C8D7" w14:textId="77777777" w:rsidR="00D04CC5" w:rsidRPr="00507A31" w:rsidRDefault="00D04CC5" w:rsidP="00507A31">
      <w:pPr>
        <w:jc w:val="both"/>
        <w:rPr>
          <w:color w:val="000000" w:themeColor="text1"/>
          <w:sz w:val="16"/>
          <w:szCs w:val="16"/>
        </w:rPr>
      </w:pPr>
      <w:r w:rsidRPr="00507A31">
        <w:rPr>
          <w:color w:val="000000" w:themeColor="text1"/>
          <w:sz w:val="16"/>
          <w:szCs w:val="16"/>
        </w:rPr>
        <w:t>Корпус … металл</w:t>
      </w:r>
    </w:p>
    <w:p w14:paraId="1F05BD05" w14:textId="77777777" w:rsidR="00D04CC5" w:rsidRPr="00507A31" w:rsidRDefault="00D04CC5" w:rsidP="00507A31">
      <w:pPr>
        <w:jc w:val="both"/>
        <w:rPr>
          <w:color w:val="000000" w:themeColor="text1"/>
          <w:sz w:val="16"/>
          <w:szCs w:val="16"/>
        </w:rPr>
      </w:pPr>
      <w:r w:rsidRPr="00507A31">
        <w:rPr>
          <w:color w:val="000000" w:themeColor="text1"/>
          <w:sz w:val="16"/>
          <w:szCs w:val="16"/>
        </w:rPr>
        <w:t>Масса ящика с исполнительными устройствами … 35 кг</w:t>
      </w:r>
    </w:p>
    <w:p w14:paraId="3A313C4A" w14:textId="77777777" w:rsidR="00D04CC5" w:rsidRPr="00507A31" w:rsidRDefault="00D04CC5" w:rsidP="00507A31">
      <w:pPr>
        <w:jc w:val="both"/>
        <w:rPr>
          <w:color w:val="000000" w:themeColor="text1"/>
          <w:sz w:val="16"/>
          <w:szCs w:val="16"/>
        </w:rPr>
      </w:pPr>
      <w:r w:rsidRPr="00507A31">
        <w:rPr>
          <w:color w:val="000000" w:themeColor="text1"/>
          <w:sz w:val="16"/>
          <w:szCs w:val="16"/>
        </w:rPr>
        <w:t>Масса зарядов BB … определяется задачами уничтожения объекта</w:t>
      </w:r>
    </w:p>
    <w:p w14:paraId="0DE2A3B3" w14:textId="77777777" w:rsidR="00D04CC5" w:rsidRPr="00507A31" w:rsidRDefault="00D04CC5" w:rsidP="00507A31">
      <w:pPr>
        <w:jc w:val="both"/>
        <w:rPr>
          <w:color w:val="000000" w:themeColor="text1"/>
          <w:sz w:val="16"/>
          <w:szCs w:val="16"/>
        </w:rPr>
      </w:pPr>
      <w:r w:rsidRPr="00507A31">
        <w:rPr>
          <w:color w:val="000000" w:themeColor="text1"/>
          <w:sz w:val="16"/>
          <w:szCs w:val="16"/>
        </w:rPr>
        <w:t>Длина ящика с исполнительными устройствами … 40 см</w:t>
      </w:r>
    </w:p>
    <w:p w14:paraId="4AAEC213" w14:textId="77777777" w:rsidR="00D04CC5" w:rsidRPr="00507A31" w:rsidRDefault="00D04CC5" w:rsidP="00507A31">
      <w:pPr>
        <w:jc w:val="both"/>
        <w:rPr>
          <w:color w:val="000000" w:themeColor="text1"/>
          <w:sz w:val="16"/>
          <w:szCs w:val="16"/>
        </w:rPr>
      </w:pPr>
      <w:r w:rsidRPr="00507A31">
        <w:rPr>
          <w:color w:val="000000" w:themeColor="text1"/>
          <w:sz w:val="16"/>
          <w:szCs w:val="16"/>
        </w:rPr>
        <w:t>Ширина ящика с исполнительными устройствами … 38 см</w:t>
      </w:r>
    </w:p>
    <w:p w14:paraId="2D5827A6" w14:textId="77777777" w:rsidR="00D04CC5" w:rsidRPr="00507A31" w:rsidRDefault="00D04CC5" w:rsidP="00507A31">
      <w:pPr>
        <w:jc w:val="both"/>
        <w:rPr>
          <w:color w:val="000000" w:themeColor="text1"/>
          <w:sz w:val="16"/>
          <w:szCs w:val="16"/>
        </w:rPr>
      </w:pPr>
      <w:r w:rsidRPr="00507A31">
        <w:rPr>
          <w:color w:val="000000" w:themeColor="text1"/>
          <w:sz w:val="16"/>
          <w:szCs w:val="16"/>
        </w:rPr>
        <w:t>Высота ящика с исполнительными устройствами …28 см</w:t>
      </w:r>
    </w:p>
    <w:p w14:paraId="29F5CF7E" w14:textId="77777777" w:rsidR="00D04CC5" w:rsidRPr="00507A31" w:rsidRDefault="00D04CC5" w:rsidP="00507A31">
      <w:pPr>
        <w:jc w:val="both"/>
        <w:rPr>
          <w:color w:val="000000" w:themeColor="text1"/>
          <w:sz w:val="16"/>
          <w:szCs w:val="16"/>
        </w:rPr>
      </w:pPr>
      <w:r w:rsidRPr="00507A31">
        <w:rPr>
          <w:color w:val="000000" w:themeColor="text1"/>
          <w:sz w:val="16"/>
          <w:szCs w:val="16"/>
        </w:rPr>
        <w:t>Дальность радиоуправления взрывом … до 600 км</w:t>
      </w:r>
    </w:p>
    <w:p w14:paraId="5625D37D" w14:textId="77777777" w:rsidR="00D04CC5" w:rsidRPr="00507A31" w:rsidRDefault="00D04CC5" w:rsidP="00507A31">
      <w:pPr>
        <w:jc w:val="both"/>
        <w:rPr>
          <w:color w:val="000000" w:themeColor="text1"/>
          <w:sz w:val="16"/>
          <w:szCs w:val="16"/>
        </w:rPr>
      </w:pPr>
      <w:r w:rsidRPr="00507A31">
        <w:rPr>
          <w:color w:val="000000" w:themeColor="text1"/>
          <w:sz w:val="16"/>
          <w:szCs w:val="16"/>
        </w:rPr>
        <w:t>Длины радиоволн … 25—120 м</w:t>
      </w:r>
    </w:p>
    <w:p w14:paraId="042F3D87" w14:textId="77777777" w:rsidR="00D04CC5" w:rsidRPr="00507A31" w:rsidRDefault="00D04CC5" w:rsidP="00507A31">
      <w:pPr>
        <w:jc w:val="both"/>
        <w:rPr>
          <w:color w:val="000000" w:themeColor="text1"/>
          <w:sz w:val="16"/>
          <w:szCs w:val="16"/>
        </w:rPr>
      </w:pPr>
      <w:r w:rsidRPr="00507A31">
        <w:rPr>
          <w:color w:val="000000" w:themeColor="text1"/>
          <w:sz w:val="16"/>
          <w:szCs w:val="16"/>
        </w:rPr>
        <w:t>Взрыватели неизвлекаемости … ЭХВ, ЧДЗ-10, ЧДЗ-35, ЧМВ-16, ЧМВ-60</w:t>
      </w:r>
    </w:p>
    <w:p w14:paraId="235812BA" w14:textId="77777777" w:rsidR="00D04CC5" w:rsidRPr="00507A31" w:rsidRDefault="00D04CC5" w:rsidP="00507A31">
      <w:pPr>
        <w:jc w:val="both"/>
        <w:rPr>
          <w:color w:val="000000" w:themeColor="text1"/>
          <w:sz w:val="16"/>
          <w:szCs w:val="16"/>
        </w:rPr>
      </w:pPr>
      <w:r w:rsidRPr="00507A31">
        <w:rPr>
          <w:color w:val="000000" w:themeColor="text1"/>
          <w:sz w:val="16"/>
          <w:szCs w:val="16"/>
        </w:rPr>
        <w:t>Температурный диапазон применения … -10°; +40°</w:t>
      </w:r>
    </w:p>
    <w:p w14:paraId="04D32345" w14:textId="77777777" w:rsidR="00D04CC5" w:rsidRPr="00507A31" w:rsidRDefault="00D04CC5" w:rsidP="00507A31">
      <w:pPr>
        <w:jc w:val="both"/>
        <w:rPr>
          <w:color w:val="000000" w:themeColor="text1"/>
          <w:sz w:val="16"/>
          <w:szCs w:val="16"/>
        </w:rPr>
      </w:pPr>
      <w:r w:rsidRPr="00507A31">
        <w:rPr>
          <w:color w:val="000000" w:themeColor="text1"/>
          <w:sz w:val="16"/>
          <w:szCs w:val="16"/>
        </w:rPr>
        <w:t>Время боевой работы … 4—40 суток</w:t>
      </w:r>
    </w:p>
    <w:p w14:paraId="32FCBC4C" w14:textId="77777777" w:rsidR="00D04CC5" w:rsidRPr="00507A31" w:rsidRDefault="00D04CC5" w:rsidP="00507A31">
      <w:pPr>
        <w:jc w:val="both"/>
        <w:rPr>
          <w:color w:val="000000" w:themeColor="text1"/>
          <w:sz w:val="16"/>
          <w:szCs w:val="16"/>
        </w:rPr>
      </w:pPr>
      <w:r w:rsidRPr="00507A31">
        <w:rPr>
          <w:color w:val="000000" w:themeColor="text1"/>
          <w:sz w:val="16"/>
          <w:szCs w:val="16"/>
        </w:rPr>
        <w:t>Самоликвидация/самонейтрализация….. … да/нет</w:t>
      </w:r>
    </w:p>
    <w:p w14:paraId="24D08C39" w14:textId="77777777" w:rsidR="00D04CC5" w:rsidRPr="00507A31" w:rsidRDefault="00D04CC5" w:rsidP="00507A31">
      <w:pPr>
        <w:jc w:val="both"/>
        <w:rPr>
          <w:color w:val="000000" w:themeColor="text1"/>
          <w:sz w:val="16"/>
          <w:szCs w:val="16"/>
        </w:rPr>
      </w:pPr>
      <w:r w:rsidRPr="00507A31">
        <w:rPr>
          <w:color w:val="000000" w:themeColor="text1"/>
          <w:sz w:val="16"/>
          <w:szCs w:val="16"/>
        </w:rPr>
        <w:t>Извлекаемость … да/нет</w:t>
      </w:r>
    </w:p>
    <w:p w14:paraId="6FA02DA9" w14:textId="77777777" w:rsidR="00D04CC5" w:rsidRPr="00507A31" w:rsidRDefault="00D04CC5" w:rsidP="00507A31">
      <w:pPr>
        <w:jc w:val="both"/>
        <w:rPr>
          <w:color w:val="000000" w:themeColor="text1"/>
          <w:sz w:val="16"/>
          <w:szCs w:val="16"/>
        </w:rPr>
      </w:pPr>
      <w:r w:rsidRPr="00507A31">
        <w:rPr>
          <w:color w:val="000000" w:themeColor="text1"/>
          <w:sz w:val="16"/>
          <w:szCs w:val="16"/>
        </w:rPr>
        <w:t>Обезвреживаемость … да/нет</w:t>
      </w:r>
    </w:p>
    <w:p w14:paraId="6F04AD1E" w14:textId="77777777" w:rsidR="00D04CC5" w:rsidRPr="00507A31" w:rsidRDefault="00D04CC5" w:rsidP="00507A31">
      <w:pPr>
        <w:jc w:val="both"/>
        <w:rPr>
          <w:color w:val="000000" w:themeColor="text1"/>
          <w:sz w:val="16"/>
          <w:szCs w:val="16"/>
        </w:rPr>
      </w:pPr>
      <w:r w:rsidRPr="00507A31">
        <w:rPr>
          <w:color w:val="000000" w:themeColor="text1"/>
          <w:sz w:val="16"/>
          <w:szCs w:val="16"/>
        </w:rPr>
        <w:t>По финским данным, качестве радиопередатчика управления взрывом могли использоваться советские военные радиостанции дивизионного, корпусного или армейского звена. По немецким данным, это радиостанции Waggon (дальность связи до 500 км), RAF (дальность связи до 300 км), RUS (дальность связи до. 150 км), Z-A (дальность связи до 120 км). По советским данным, на 22 июня 1941 года Красная армия располагала радиостанциями оперативного звена PAT выходной мощностью 1 квт. и дальностью связи до 600 км, РАО-КВ — выходной мощностью 400—500 ватт и дальностью связи до 300 км, РСБ-Ф — выходной мощностью 40—50 ватт и дальностью связи до 30 км. Все три радиостанции работали в диапазоне 25—120 м, то есть короткие и средние волны. Кроме того, могли использоваться и широковещательные радиостанции. По немецким данным, полученным из советской инструкции, для управления взрывом могли использоваться частоты 1094.1—1000, 1000—922.8, 922.8—887.7, 857.5—800, 750— 706.7, 667—631.3, 631.3—600, 568—545, 545—521.8, 521.8— 500, 480—462Л, 428.&amp;-413.8, 444.4-^28.6, 500—480, 706— 667, 800—750, 268,245,172 и 130 килогерц. Надежность мин Ф-10, очевидно, была недостаточной, поскольку на один объект рекомендовалось устанавливать два-три аппарата Ф-10. Весьма эффективным способом обнаружения радиомин оказалось откапывание канавы метровой глубины вокруг подозрительного объекта, поскольку мина имела тридцатиметровую антенну, которая закапывалась на глубину 50—80 см вокруг объекта. И финны, и позднее немцы, для этого широко использовали военнопленных. Радиофугасы стали единственным радиоуправляемым оружием, которое эффективно использовалось в Великой Отечественной войне (15117).</w:t>
      </w:r>
    </w:p>
    <w:p w14:paraId="21725A80" w14:textId="77777777" w:rsidR="00D04CC5" w:rsidRPr="00507A31" w:rsidRDefault="00D04CC5" w:rsidP="00507A31">
      <w:pPr>
        <w:jc w:val="both"/>
        <w:rPr>
          <w:color w:val="000000" w:themeColor="text1"/>
          <w:sz w:val="16"/>
          <w:szCs w:val="16"/>
        </w:rPr>
      </w:pPr>
    </w:p>
    <w:p w14:paraId="3B06AB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Весной 1930 г. было заложено первое в СССР полностью сварное судно — буксирный катер "ЖС" —и сдано в эксплуатацию в следующем году. По архитектуре "ЖС-1'* принадлежал к типу одно</w:t>
      </w:r>
      <w:r w:rsidRPr="00507A31">
        <w:rPr>
          <w:color w:val="000000" w:themeColor="text1"/>
          <w:sz w:val="16"/>
          <w:szCs w:val="16"/>
        </w:rPr>
        <w:softHyphen/>
        <w:t>палубных судов (длина 17,4 м, ширина 3,8 м, осадка 1,93 м) с не</w:t>
      </w:r>
      <w:r w:rsidRPr="00507A31">
        <w:rPr>
          <w:color w:val="000000" w:themeColor="text1"/>
          <w:sz w:val="16"/>
          <w:szCs w:val="16"/>
        </w:rPr>
        <w:softHyphen/>
        <w:t>большой рубкой, удлиненным баком и капом над машинным отде</w:t>
      </w:r>
      <w:r w:rsidRPr="00507A31">
        <w:rPr>
          <w:color w:val="000000" w:themeColor="text1"/>
          <w:sz w:val="16"/>
          <w:szCs w:val="16"/>
        </w:rPr>
        <w:softHyphen/>
        <w:t>лением. Дизельный двигатель мощностью 150 л. с. обеспечивал скорость без груза около 8 уз, тяга на гаке составляла около 1 т (3898).</w:t>
      </w:r>
    </w:p>
    <w:p w14:paraId="09DD07AA" w14:textId="77777777" w:rsidR="00537E5F" w:rsidRPr="00507A31" w:rsidRDefault="00537E5F" w:rsidP="00507A31">
      <w:pPr>
        <w:autoSpaceDE w:val="0"/>
        <w:autoSpaceDN w:val="0"/>
        <w:adjustRightInd w:val="0"/>
        <w:jc w:val="both"/>
        <w:rPr>
          <w:color w:val="000000" w:themeColor="text1"/>
          <w:sz w:val="16"/>
          <w:szCs w:val="16"/>
        </w:rPr>
      </w:pPr>
    </w:p>
    <w:p w14:paraId="7F7BB47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47C7EDEF" w14:textId="77777777" w:rsidR="00537E5F" w:rsidRPr="00507A31" w:rsidRDefault="00537E5F" w:rsidP="00507A31">
      <w:pPr>
        <w:autoSpaceDE w:val="0"/>
        <w:autoSpaceDN w:val="0"/>
        <w:adjustRightInd w:val="0"/>
        <w:jc w:val="both"/>
        <w:rPr>
          <w:iCs/>
          <w:color w:val="000000" w:themeColor="text1"/>
          <w:sz w:val="16"/>
          <w:szCs w:val="16"/>
        </w:rPr>
      </w:pPr>
    </w:p>
    <w:p w14:paraId="5BFFD1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Весной 1930 первые ТБ-1 начали поступать начали поступать в подразделения Московского воен</w:t>
      </w:r>
      <w:r w:rsidRPr="00507A31">
        <w:rPr>
          <w:color w:val="000000" w:themeColor="text1"/>
          <w:sz w:val="16"/>
          <w:szCs w:val="16"/>
        </w:rPr>
        <w:softHyphen/>
        <w:t>ного округа: 11-ю авиабригаду (АБ) в Воро</w:t>
      </w:r>
      <w:r w:rsidRPr="00507A31">
        <w:rPr>
          <w:color w:val="000000" w:themeColor="text1"/>
          <w:sz w:val="16"/>
          <w:szCs w:val="16"/>
        </w:rPr>
        <w:softHyphen/>
        <w:t>неже и 23-ю авиабригаду, базировавшуюся на подмосковном аэродроме Монино. За</w:t>
      </w:r>
      <w:r w:rsidRPr="00507A31">
        <w:rPr>
          <w:color w:val="000000" w:themeColor="text1"/>
          <w:sz w:val="16"/>
          <w:szCs w:val="16"/>
        </w:rPr>
        <w:softHyphen/>
        <w:t>тем, в середине 1930 г. первые ТБ-1 полу</w:t>
      </w:r>
      <w:r w:rsidRPr="00507A31">
        <w:rPr>
          <w:color w:val="000000" w:themeColor="text1"/>
          <w:sz w:val="16"/>
          <w:szCs w:val="16"/>
        </w:rPr>
        <w:softHyphen/>
        <w:t>чил 1-й тяжелобомбардировочный корпус в Кречевицах. По состоянию на 1 января 1931 г. в составе ВВС числилось уже 52 ТБ-1, из которых 45 находились в летном состоянии. Летом самолеты приняли уча</w:t>
      </w:r>
      <w:r w:rsidRPr="00507A31">
        <w:rPr>
          <w:color w:val="000000" w:themeColor="text1"/>
          <w:sz w:val="16"/>
          <w:szCs w:val="16"/>
        </w:rPr>
        <w:softHyphen/>
        <w:t>стие в маневрах на Украине, а в октябре ТБ-1 с успехом продемонстрировали не</w:t>
      </w:r>
      <w:r w:rsidRPr="00507A31">
        <w:rPr>
          <w:color w:val="000000" w:themeColor="text1"/>
          <w:sz w:val="16"/>
          <w:szCs w:val="16"/>
        </w:rPr>
        <w:softHyphen/>
        <w:t>мецкой военной делегации. К концу года количество этих бомбардировщиков в стро</w:t>
      </w:r>
      <w:r w:rsidRPr="00507A31">
        <w:rPr>
          <w:color w:val="000000" w:themeColor="text1"/>
          <w:sz w:val="16"/>
          <w:szCs w:val="16"/>
        </w:rPr>
        <w:softHyphen/>
        <w:t>евых частях достигло 155 экземпляров (11286).</w:t>
      </w:r>
    </w:p>
    <w:p w14:paraId="00130A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58BCB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 к весне 1930 года в Красной Армии имелось 3 механизированных отряда — в 11, 45-й и Московской пролетарской стрелковых дивизиях (11284).</w:t>
      </w:r>
    </w:p>
    <w:p w14:paraId="0F0083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1B74C2C" w14:textId="77777777" w:rsidR="00537E5F" w:rsidRPr="00507A31" w:rsidRDefault="00537E5F" w:rsidP="00507A31">
      <w:pPr>
        <w:autoSpaceDE w:val="0"/>
        <w:autoSpaceDN w:val="0"/>
        <w:adjustRightInd w:val="0"/>
        <w:jc w:val="both"/>
        <w:rPr>
          <w:i/>
          <w:color w:val="000000" w:themeColor="text1"/>
          <w:sz w:val="16"/>
          <w:szCs w:val="16"/>
        </w:rPr>
      </w:pPr>
      <w:r w:rsidRPr="00507A31">
        <w:rPr>
          <w:i/>
          <w:color w:val="000000" w:themeColor="text1"/>
          <w:sz w:val="16"/>
          <w:szCs w:val="16"/>
        </w:rPr>
        <w:t>Жизнь и внутреняя политика:</w:t>
      </w:r>
    </w:p>
    <w:p w14:paraId="0FF1F061" w14:textId="77777777" w:rsidR="00537E5F" w:rsidRPr="00507A31" w:rsidRDefault="00537E5F" w:rsidP="00507A31">
      <w:pPr>
        <w:autoSpaceDE w:val="0"/>
        <w:autoSpaceDN w:val="0"/>
        <w:adjustRightInd w:val="0"/>
        <w:jc w:val="both"/>
        <w:rPr>
          <w:i/>
          <w:color w:val="000000" w:themeColor="text1"/>
          <w:sz w:val="16"/>
          <w:szCs w:val="16"/>
        </w:rPr>
      </w:pPr>
    </w:p>
    <w:p w14:paraId="746AFA87" w14:textId="77777777" w:rsidR="003B3DB0" w:rsidRPr="00507A31" w:rsidRDefault="003B3DB0" w:rsidP="00507A31">
      <w:pPr>
        <w:jc w:val="both"/>
        <w:rPr>
          <w:color w:val="0070C0"/>
          <w:sz w:val="16"/>
          <w:szCs w:val="16"/>
        </w:rPr>
      </w:pPr>
      <w:r w:rsidRPr="00507A31">
        <w:rPr>
          <w:color w:val="0070C0"/>
          <w:sz w:val="16"/>
          <w:szCs w:val="16"/>
        </w:rPr>
        <w:t>Весна 1930</w:t>
      </w:r>
    </w:p>
    <w:p w14:paraId="471A035B" w14:textId="77777777" w:rsidR="003B3DB0" w:rsidRPr="00507A31" w:rsidRDefault="003B3DB0" w:rsidP="00507A31">
      <w:pPr>
        <w:shd w:val="clear" w:color="auto" w:fill="FFFFFF"/>
        <w:jc w:val="both"/>
        <w:rPr>
          <w:color w:val="0070C0"/>
          <w:sz w:val="16"/>
          <w:szCs w:val="16"/>
        </w:rPr>
      </w:pPr>
      <w:r w:rsidRPr="00507A31">
        <w:rPr>
          <w:color w:val="0070C0"/>
          <w:sz w:val="16"/>
          <w:szCs w:val="16"/>
        </w:rPr>
        <w:t>Сов. секретно Хранить наравне с шифром</w:t>
      </w:r>
    </w:p>
    <w:p w14:paraId="4BFF8CB4" w14:textId="77777777" w:rsidR="003B3DB0" w:rsidRPr="00507A31" w:rsidRDefault="003B3DB0" w:rsidP="00507A31">
      <w:pPr>
        <w:shd w:val="clear" w:color="auto" w:fill="FFFFFF"/>
        <w:jc w:val="both"/>
        <w:rPr>
          <w:color w:val="0070C0"/>
          <w:sz w:val="16"/>
          <w:szCs w:val="16"/>
        </w:rPr>
      </w:pPr>
      <w:r w:rsidRPr="00507A31">
        <w:rPr>
          <w:color w:val="0070C0"/>
          <w:sz w:val="16"/>
          <w:szCs w:val="16"/>
          <w:bdr w:val="none" w:sz="0" w:space="0" w:color="auto" w:frame="1"/>
        </w:rPr>
        <w:t>ЦИРКУЛЯРНОЕ ПИСЬМО ОГПУ № 7/37 ПО ГЕРМАНСКОЙ РАЗВЕДКЕ И БОРЬБЕ С НЕЙ.</w:t>
      </w:r>
    </w:p>
    <w:p w14:paraId="25C5BCA5" w14:textId="77777777" w:rsidR="003B3DB0" w:rsidRPr="00507A31" w:rsidRDefault="003B3DB0" w:rsidP="00507A31">
      <w:pPr>
        <w:shd w:val="clear" w:color="auto" w:fill="FFFFFF"/>
        <w:jc w:val="both"/>
        <w:rPr>
          <w:color w:val="0070C0"/>
          <w:sz w:val="16"/>
          <w:szCs w:val="16"/>
        </w:rPr>
      </w:pPr>
      <w:r w:rsidRPr="00507A31">
        <w:rPr>
          <w:color w:val="0070C0"/>
          <w:sz w:val="16"/>
          <w:szCs w:val="16"/>
          <w:bdr w:val="none" w:sz="0" w:space="0" w:color="auto" w:frame="1"/>
        </w:rPr>
        <w:t>(ПО МАТЕРИАЛАМ КРО ОГПУ)</w:t>
      </w:r>
    </w:p>
    <w:p w14:paraId="2DE2C4F5" w14:textId="77777777" w:rsidR="003B3DB0" w:rsidRPr="00507A31" w:rsidRDefault="003B3DB0" w:rsidP="00507A31">
      <w:pPr>
        <w:shd w:val="clear" w:color="auto" w:fill="FFFFFF"/>
        <w:jc w:val="both"/>
        <w:rPr>
          <w:color w:val="0070C0"/>
          <w:sz w:val="16"/>
          <w:szCs w:val="16"/>
        </w:rPr>
      </w:pPr>
      <w:r w:rsidRPr="00507A31">
        <w:rPr>
          <w:color w:val="0070C0"/>
          <w:sz w:val="16"/>
          <w:szCs w:val="16"/>
        </w:rPr>
        <w:t>После заключения Раппальского договора германская промышленность и торговля получили возможность развернуть свою деятельность на территории нашей Республики. С этого момента наблюдается громадный наплыв немецких коммерсантов-концессионеров, промышленников и разного рода других дельцов, которыми учреждаются торгово-промышленные предприятия, транспортные общества, конторы путешествий и концессии. Подавляющее большинство этих предприятий занимается разведкой. Нередко эти предприятия и всякого рода конторы являются исключительно разведывательными бюро, для которых вывеска и, зачастую, дутые коммерческие комбинации являются необходимой маскировкой. Нами установлено, что личный состав этих предприятий подбирается в большинстве своем из бывших офицеров германской армии и, отчасти, из офицеров бывшего германского Генерального штаба, состоящих ныне членами разных фашистских организаций, и в меньшинстве только составляется из специалистов- коммерсантов и промышленников. Во главе этих предприятий очень часто мы видим лиц, живших ранее в России, которые до и во время революции привлекались к ответственности по подозрению в шпионаже.</w:t>
      </w:r>
    </w:p>
    <w:p w14:paraId="6FAABBA0" w14:textId="77777777" w:rsidR="003B3DB0" w:rsidRPr="00507A31" w:rsidRDefault="003B3DB0" w:rsidP="00507A31">
      <w:pPr>
        <w:shd w:val="clear" w:color="auto" w:fill="FFFFFF"/>
        <w:jc w:val="both"/>
        <w:rPr>
          <w:color w:val="0070C0"/>
          <w:sz w:val="16"/>
          <w:szCs w:val="16"/>
        </w:rPr>
      </w:pPr>
      <w:r w:rsidRPr="00507A31">
        <w:rPr>
          <w:color w:val="0070C0"/>
          <w:sz w:val="16"/>
          <w:szCs w:val="16"/>
        </w:rPr>
        <w:t>По имеющимся и проверенным нами закордонным сведениям, в штабе фашистских организаций Германии имеются точные сведения о состоянии, вооружении, расположении и настроении нашей Красной армии.</w:t>
      </w:r>
    </w:p>
    <w:p w14:paraId="03ECD40D" w14:textId="77777777" w:rsidR="003B3DB0" w:rsidRPr="00507A31" w:rsidRDefault="003B3DB0" w:rsidP="00507A31">
      <w:pPr>
        <w:shd w:val="clear" w:color="auto" w:fill="FFFFFF"/>
        <w:jc w:val="both"/>
        <w:rPr>
          <w:color w:val="0070C0"/>
          <w:sz w:val="16"/>
          <w:szCs w:val="16"/>
        </w:rPr>
      </w:pPr>
      <w:r w:rsidRPr="00507A31">
        <w:rPr>
          <w:color w:val="0070C0"/>
          <w:sz w:val="16"/>
          <w:szCs w:val="16"/>
        </w:rPr>
        <w:lastRenderedPageBreak/>
        <w:t>Эти предприятия ведут военный шпионаж в лице своих служащих, бывших офицеров, исполняя задания Военного министерства и являются верным кадром германской разведки. Они также ведут дипломатический и экономический шпионаж (для крупных капиталистов Германии, интересы которых они представляют), находясь на нашей территории…</w:t>
      </w:r>
    </w:p>
    <w:p w14:paraId="2F8FB1FE" w14:textId="77777777" w:rsidR="003B3DB0" w:rsidRPr="00507A31" w:rsidRDefault="003B3DB0" w:rsidP="00507A31">
      <w:pPr>
        <w:shd w:val="clear" w:color="auto" w:fill="FFFFFF"/>
        <w:jc w:val="both"/>
        <w:rPr>
          <w:color w:val="0070C0"/>
          <w:sz w:val="16"/>
          <w:szCs w:val="16"/>
        </w:rPr>
      </w:pPr>
      <w:r w:rsidRPr="00507A31">
        <w:rPr>
          <w:color w:val="0070C0"/>
          <w:sz w:val="16"/>
          <w:szCs w:val="16"/>
        </w:rPr>
        <w:t>Приводим для примера следующие экономические сообщества:</w:t>
      </w:r>
    </w:p>
    <w:p w14:paraId="36AC2AC0" w14:textId="77777777" w:rsidR="003B3DB0" w:rsidRPr="00507A31" w:rsidRDefault="003B3DB0" w:rsidP="00507A31">
      <w:pPr>
        <w:shd w:val="clear" w:color="auto" w:fill="FFFFFF"/>
        <w:jc w:val="both"/>
        <w:rPr>
          <w:color w:val="0070C0"/>
          <w:sz w:val="16"/>
          <w:szCs w:val="16"/>
        </w:rPr>
      </w:pPr>
      <w:r w:rsidRPr="00507A31">
        <w:rPr>
          <w:color w:val="0070C0"/>
          <w:sz w:val="16"/>
          <w:szCs w:val="16"/>
          <w:bdr w:val="none" w:sz="0" w:space="0" w:color="auto" w:frame="1"/>
        </w:rPr>
        <w:t>Концессионное Общество «Юнкерс».</w:t>
      </w:r>
      <w:r w:rsidRPr="00507A31">
        <w:rPr>
          <w:color w:val="0070C0"/>
          <w:sz w:val="16"/>
          <w:szCs w:val="16"/>
        </w:rPr>
        <w:t> Это общество основано в начале 1922 года крупными немецкими промышленниками в целях сохранения части военной германской промышленности для будущей Германии. Во главе общества стоит адъютант нынешнего фашистского генерала фон Секта некий Нейман, настоящая фамилия которого фон Нидермейер — видный член фашистской организации «ОРГЕШ». Во время империалистической войны он руководил самостоятельными военными отрядами в Персии, Афганистане, Индии и Турции против англичан. Во время германской революции Нидермейер руководил офицерским отрядом при подавлении советской власти в Баварии. Он — специалист по разведке. Техническим руководителем этого общества является директор фон Шуберт, полковник германского Генштаба и близкий сотрудник генерала фон Гинденбурга. Во время революции состоял в Москве в миссии графа Мирбаха в качестве военного атташе. Специалист по разведке. Во время Мировой войны был начальником разведота командования Восточной армии. В этом же обществе работает еще один адъютант генерала фон Секта фон Тейхман, работавший во время войны в Турции в военной разведке — гр-н Ваурик, немец, бывш. военнопленный, знаток Востока, крупный немецкий шпион. Директор завода Юнкерс в Дессау — в Германии, фон Саксенберг, является одним из виднейших авиаторов-офицеров германской армии и часто приезжает в Россию.</w:t>
      </w:r>
    </w:p>
    <w:p w14:paraId="05F0DA8D" w14:textId="77777777" w:rsidR="003B3DB0" w:rsidRPr="00507A31" w:rsidRDefault="003B3DB0" w:rsidP="00507A31">
      <w:pPr>
        <w:shd w:val="clear" w:color="auto" w:fill="FFFFFF"/>
        <w:jc w:val="both"/>
        <w:rPr>
          <w:color w:val="0070C0"/>
          <w:sz w:val="16"/>
          <w:szCs w:val="16"/>
        </w:rPr>
      </w:pPr>
      <w:r w:rsidRPr="00507A31">
        <w:rPr>
          <w:color w:val="0070C0"/>
          <w:sz w:val="16"/>
          <w:szCs w:val="16"/>
        </w:rPr>
        <w:t>На службе в фирме «Юнкерс» состоит еще целый ряд видных офицеров авиационной службы старой германской армии, члены монархических организаций Германии, безусловно занимающиеся военным шпионажем. Деятельность общества не во всем соответствует заключенному концессионному договору.</w:t>
      </w:r>
    </w:p>
    <w:p w14:paraId="03FCFBB0" w14:textId="77777777" w:rsidR="003B3DB0" w:rsidRPr="00507A31" w:rsidRDefault="003B3DB0" w:rsidP="00507A31">
      <w:pPr>
        <w:shd w:val="clear" w:color="auto" w:fill="FFFFFF"/>
        <w:jc w:val="both"/>
        <w:rPr>
          <w:color w:val="0070C0"/>
          <w:sz w:val="16"/>
          <w:szCs w:val="16"/>
        </w:rPr>
      </w:pPr>
      <w:r w:rsidRPr="00507A31">
        <w:rPr>
          <w:color w:val="0070C0"/>
          <w:sz w:val="16"/>
          <w:szCs w:val="16"/>
          <w:bdr w:val="none" w:sz="0" w:space="0" w:color="auto" w:frame="1"/>
        </w:rPr>
        <w:t>Общество «Дер Люфт»</w:t>
      </w:r>
      <w:r w:rsidRPr="00507A31">
        <w:rPr>
          <w:color w:val="0070C0"/>
          <w:sz w:val="16"/>
          <w:szCs w:val="16"/>
        </w:rPr>
        <w:t> («Русско-германское общество воздушного сообщения») возникшее в 1922 году представляет из себя смешанное общество. Участниками являются с одной стороны Советское правительство, а с другой немецкий концерн «Аэро-Лойд». Во главе общества стоит дирекция из русских и германских директоров, а именно: т.т. Давыдова и Гвайта с русской и Фете с германской стороны. Состав летного и технического персонала в подавляющем большинстве скомплектован из бывш. офицеров авиационной службы германской армии, которые, по нашим документальным данным, занимались шпионажем, контрабандой и поддерживали связь между русской эмиграцией в Германии и их единомышленниками в России. В результате этой деятельности, в конце прошлого года нами было выслано из пределов СССР 12 человек и отказано в пребывании в СССР около 20 чел.</w:t>
      </w:r>
    </w:p>
    <w:p w14:paraId="1B5045B6" w14:textId="77777777" w:rsidR="003B3DB0" w:rsidRPr="00507A31" w:rsidRDefault="003B3DB0" w:rsidP="00507A31">
      <w:pPr>
        <w:shd w:val="clear" w:color="auto" w:fill="FFFFFF"/>
        <w:jc w:val="both"/>
        <w:rPr>
          <w:color w:val="0070C0"/>
          <w:sz w:val="16"/>
          <w:szCs w:val="16"/>
        </w:rPr>
      </w:pPr>
      <w:r w:rsidRPr="00507A31">
        <w:rPr>
          <w:color w:val="0070C0"/>
          <w:sz w:val="16"/>
          <w:szCs w:val="16"/>
        </w:rPr>
        <w:t>Общества «Юнкерс» и «Дер Люфт» имеют в России несколько линий воздушных сообщений, работа на которых также используется ими для военной разведки. Так, например, они систематически перелетали некоторые наши укрепленные районы, принимали участие в аэросъемочной работе и т. д.</w:t>
      </w:r>
    </w:p>
    <w:p w14:paraId="718F287D" w14:textId="77777777" w:rsidR="003B3DB0" w:rsidRPr="00507A31" w:rsidRDefault="003B3DB0" w:rsidP="00507A31">
      <w:pPr>
        <w:shd w:val="clear" w:color="auto" w:fill="FFFFFF"/>
        <w:jc w:val="both"/>
        <w:rPr>
          <w:color w:val="0070C0"/>
          <w:sz w:val="16"/>
          <w:szCs w:val="16"/>
        </w:rPr>
      </w:pPr>
      <w:r w:rsidRPr="00507A31">
        <w:rPr>
          <w:color w:val="0070C0"/>
          <w:sz w:val="16"/>
          <w:szCs w:val="16"/>
        </w:rPr>
        <w:t>Смешанные общества «Дер Люфт», «Русстранзит», «Океанское бюро путешествий» имеют отделения или конторы в небольших, особенно в портовых городах России; персонал с германской стороны, главным образом, — офицеры или б. арестованные по подозрению в шпионаже. Наблюдается, что некоторые директора слишком много разъезжают по России за счет предприятий, по-видимому, с разведывательной целью…</w:t>
      </w:r>
    </w:p>
    <w:p w14:paraId="1C11274B" w14:textId="77777777" w:rsidR="003B3DB0" w:rsidRPr="00507A31" w:rsidRDefault="003B3DB0" w:rsidP="00507A31">
      <w:pPr>
        <w:shd w:val="clear" w:color="auto" w:fill="FFFFFF"/>
        <w:jc w:val="both"/>
        <w:rPr>
          <w:color w:val="0070C0"/>
          <w:sz w:val="16"/>
          <w:szCs w:val="16"/>
        </w:rPr>
      </w:pPr>
      <w:r w:rsidRPr="00507A31">
        <w:rPr>
          <w:color w:val="0070C0"/>
          <w:sz w:val="16"/>
          <w:szCs w:val="16"/>
        </w:rPr>
        <w:t>Тем более трудны и огромны стоящие перед нами задачи в области борьбы против германского шпионажа, что те методы борьбы, которые применяются нами по отношению шпионажа других государств, не признавших нас, и к их подданным, неприменимы по отношению к тем государствам и их подданным, которые признали нас.</w:t>
      </w:r>
    </w:p>
    <w:p w14:paraId="591D20AA" w14:textId="77777777" w:rsidR="003B3DB0" w:rsidRPr="00507A31" w:rsidRDefault="003B3DB0" w:rsidP="00507A31">
      <w:pPr>
        <w:shd w:val="clear" w:color="auto" w:fill="FFFFFF"/>
        <w:jc w:val="both"/>
        <w:rPr>
          <w:color w:val="0070C0"/>
          <w:sz w:val="16"/>
          <w:szCs w:val="16"/>
        </w:rPr>
      </w:pPr>
      <w:r w:rsidRPr="00507A31">
        <w:rPr>
          <w:color w:val="0070C0"/>
          <w:sz w:val="16"/>
          <w:szCs w:val="16"/>
        </w:rPr>
        <w:t>Исходя из этих соображений, мы принуждены избегать применения к германским подданным репрессивных мер, если таковые не вызываются острой необходимостью, тем более, если это может вызвать дипломатические осложнения. Меры репрессий могут, конечно, применяться в ответ на незаконные действия, предусмотренные Уголовным кодексом СССР, но только в случае, если инкриминируемое деяние юридически вполне доказано. Однако и в этом случае необходимо предварительно снестись с КРО ОГПУ на предмет получения разрешения на арест, за исключением лишь особо важных случаев, когда преступление доказано, а промедление операций по обстоятельствам дела недопустимо. Но и в этом случае сейчас же КРО ОГПУ должен быть осведомлен об операции. Привлекать же к ответственности дипломатических лиц, пользующихся т. н. экстерриториальностью, мы совершенно не можем, а в случае наличия документальных компрометирующих данных, мы должны только заявить через НКИД отвод данного дипломатического лица, что можно сделать только через КРО ОГПУ.</w:t>
      </w:r>
    </w:p>
    <w:p w14:paraId="4D7B1158" w14:textId="77777777" w:rsidR="003B3DB0" w:rsidRPr="00507A31" w:rsidRDefault="003B3DB0" w:rsidP="00507A31">
      <w:pPr>
        <w:shd w:val="clear" w:color="auto" w:fill="FFFFFF"/>
        <w:jc w:val="both"/>
        <w:rPr>
          <w:color w:val="0070C0"/>
          <w:sz w:val="16"/>
          <w:szCs w:val="16"/>
        </w:rPr>
      </w:pPr>
      <w:r w:rsidRPr="00507A31">
        <w:rPr>
          <w:color w:val="0070C0"/>
          <w:sz w:val="16"/>
          <w:szCs w:val="16"/>
        </w:rPr>
        <w:t>Конкретно наша работа должна достичь следующего уровня:</w:t>
      </w:r>
    </w:p>
    <w:p w14:paraId="055532EA" w14:textId="77777777" w:rsidR="003B3DB0" w:rsidRPr="00507A31" w:rsidRDefault="003B3DB0" w:rsidP="00507A31">
      <w:pPr>
        <w:shd w:val="clear" w:color="auto" w:fill="FFFFFF"/>
        <w:jc w:val="both"/>
        <w:rPr>
          <w:color w:val="0070C0"/>
          <w:sz w:val="16"/>
          <w:szCs w:val="16"/>
        </w:rPr>
      </w:pPr>
      <w:r w:rsidRPr="00507A31">
        <w:rPr>
          <w:color w:val="0070C0"/>
          <w:sz w:val="16"/>
          <w:szCs w:val="16"/>
        </w:rPr>
        <w:t>1. Поставить на должную высоту внутреннее осведомление во всех германских дипломатических представительствах, консульствах, предприятиях, конторах, концессиях и т. д., также среди германских корреспондентов. Очень желательна, если это представляется возможным, вербовка корреспондентов, ибо благоприятная для нас информация в иностранной прессе является очень важной. При этом, в первую очередь, надо использовать корреспондентов, проживающих постоянно в России, а затем тех, которые временно сюда приехали. Обращаем Ваше внимание на циркуляр КРО ОГПУ № 4, где метод вербовки сотрудников иномиссий подробно разработан.</w:t>
      </w:r>
    </w:p>
    <w:p w14:paraId="308EFB99" w14:textId="77777777" w:rsidR="003B3DB0" w:rsidRPr="00507A31" w:rsidRDefault="003B3DB0" w:rsidP="00507A31">
      <w:pPr>
        <w:shd w:val="clear" w:color="auto" w:fill="FFFFFF"/>
        <w:jc w:val="both"/>
        <w:rPr>
          <w:color w:val="0070C0"/>
          <w:sz w:val="16"/>
          <w:szCs w:val="16"/>
        </w:rPr>
      </w:pPr>
      <w:r w:rsidRPr="00507A31">
        <w:rPr>
          <w:color w:val="0070C0"/>
          <w:sz w:val="16"/>
          <w:szCs w:val="16"/>
        </w:rPr>
        <w:t>2. Поставить точный учет всех прибывающих из-за границы немцев. Наладить связь КРО и административных отделов местных исполкомов и добиться того, чтобы ни один вид на жительство немцам не был выдан без согласования с губотделом ГПУ.</w:t>
      </w:r>
    </w:p>
    <w:p w14:paraId="7856E615" w14:textId="77777777" w:rsidR="003B3DB0" w:rsidRPr="00507A31" w:rsidRDefault="003B3DB0" w:rsidP="00507A31">
      <w:pPr>
        <w:shd w:val="clear" w:color="auto" w:fill="FFFFFF"/>
        <w:jc w:val="both"/>
        <w:rPr>
          <w:color w:val="0070C0"/>
          <w:sz w:val="16"/>
          <w:szCs w:val="16"/>
        </w:rPr>
      </w:pPr>
      <w:r w:rsidRPr="00507A31">
        <w:rPr>
          <w:color w:val="0070C0"/>
          <w:sz w:val="16"/>
          <w:szCs w:val="16"/>
        </w:rPr>
        <w:t>Паспортные правила для иностранцев сейчас разрабатываются и будут вскоре высланы. Необходимо при выдаче и продлении иностранных паспортов строго придерживаться этих правил. При этом надо обратить внимание, чтобы эти паспортные мероприятия проводились гладко, незаметным для самих немцев образом. Особенно необходимо избегать излишних притеснений и придирок, для чего иметь непосредственную личную связь с иностранными отделениями исполкомов. Заключения по таким вопросам должны даваться без задержек. В связи с этим надо поставить на должную высоту контроль передвижения германских граждан, особенно прибывших из-за границы и связанных с немецкими учреждениями. Об отъезде в другой район отдельных подозрительных по шпионажу лиц следует предупреждать КРО (или СОЧ) соответствующего местного отдела.</w:t>
      </w:r>
    </w:p>
    <w:p w14:paraId="38C5BB1A" w14:textId="77777777" w:rsidR="003B3DB0" w:rsidRPr="00507A31" w:rsidRDefault="003B3DB0" w:rsidP="00507A31">
      <w:pPr>
        <w:shd w:val="clear" w:color="auto" w:fill="FFFFFF"/>
        <w:jc w:val="both"/>
        <w:rPr>
          <w:color w:val="0070C0"/>
          <w:sz w:val="16"/>
          <w:szCs w:val="16"/>
        </w:rPr>
      </w:pPr>
      <w:r w:rsidRPr="00507A31">
        <w:rPr>
          <w:color w:val="0070C0"/>
          <w:sz w:val="16"/>
          <w:szCs w:val="16"/>
        </w:rPr>
        <w:t>3. Вести строгий учет и контроль занятых в наших государственных и общественных учреждениях германских подданных и лиц немецкого происхождения. Необходимо применять увольнения при наличии связи между этими гражданами и германскими представительствами или предприятиями, в особенности, если данное лицо по своему положению может дать немцам те или иные интересующие их сведения. Увольнение необходимо всегда проводить под видом сокращения, а никак не под видом увольнения со ссылкой на иностранное происхождение. По этому поводу необходимо руководствоваться циркуляром ОГПУ за № 135192 от 9/1-24 года.</w:t>
      </w:r>
    </w:p>
    <w:p w14:paraId="14A79782" w14:textId="77777777" w:rsidR="003B3DB0" w:rsidRPr="00507A31" w:rsidRDefault="003B3DB0" w:rsidP="00507A31">
      <w:pPr>
        <w:shd w:val="clear" w:color="auto" w:fill="FFFFFF"/>
        <w:jc w:val="both"/>
        <w:rPr>
          <w:color w:val="0070C0"/>
          <w:sz w:val="16"/>
          <w:szCs w:val="16"/>
        </w:rPr>
      </w:pPr>
      <w:r w:rsidRPr="00507A31">
        <w:rPr>
          <w:color w:val="0070C0"/>
          <w:sz w:val="16"/>
          <w:szCs w:val="16"/>
        </w:rPr>
        <w:t>4. Ввести учет и контроль всех видов лиц, имеющих связь с немецкими представительствами, промышленными и коммерческими предприятиями, выявлять характер этих связей и т. д. Русских и немецких подданных, сочувствующих советскому строю, необходимо умелым подходом вербовать и использовать для освещения деятельности немецких граждан, участвующих в вышеприведенных разведывательных организациях.</w:t>
      </w:r>
    </w:p>
    <w:p w14:paraId="7C6C1F81" w14:textId="77777777" w:rsidR="003B3DB0" w:rsidRPr="00507A31" w:rsidRDefault="003B3DB0" w:rsidP="00507A31">
      <w:pPr>
        <w:pStyle w:val="ae"/>
        <w:shd w:val="clear" w:color="auto" w:fill="FFFFFF"/>
        <w:spacing w:before="0" w:after="0"/>
        <w:jc w:val="both"/>
        <w:rPr>
          <w:color w:val="0070C0"/>
          <w:sz w:val="16"/>
          <w:szCs w:val="16"/>
        </w:rPr>
      </w:pPr>
      <w:r w:rsidRPr="00507A31">
        <w:rPr>
          <w:color w:val="0070C0"/>
          <w:sz w:val="16"/>
          <w:szCs w:val="16"/>
        </w:rPr>
        <w:t>При этом особое внимание необходимо обратить на учет и контроль оставшихся в России родственников бежавшей за границу белогвардейской эмиграции. Связи их со здешними представительствами и проч. германскими учреждениями, получение через них пособий, посылок, корреспонденций из-за границы, отправка таковых, получение разрешения на въезд в Германию, посланных из Германии и т. д. являются иногда верными признаками связи эмигранта с германской разведкой и сознательного или несознательного ведения разведки в пользу немцев со стороны родственников данного эмигранта.</w:t>
      </w:r>
    </w:p>
    <w:p w14:paraId="5B018A6D" w14:textId="77777777" w:rsidR="003B3DB0" w:rsidRPr="00507A31" w:rsidRDefault="003B3DB0" w:rsidP="00507A31">
      <w:pPr>
        <w:shd w:val="clear" w:color="auto" w:fill="FFFFFF"/>
        <w:jc w:val="both"/>
        <w:rPr>
          <w:color w:val="0070C0"/>
          <w:sz w:val="16"/>
          <w:szCs w:val="16"/>
        </w:rPr>
      </w:pPr>
      <w:r w:rsidRPr="00507A31">
        <w:rPr>
          <w:color w:val="0070C0"/>
          <w:sz w:val="16"/>
          <w:szCs w:val="16"/>
        </w:rPr>
        <w:t>В тех районах, которые были во время Мировой войны оккупированы немцами или были театрами военных действий, особое внимание обратить на тех германских граждан и связанных с ними лиц, которые остались на этих территориях после ухода немцев, ибо у нас имеются данные о том, что немцы после ухода из оккупированных ими зон оставили многочисленных офицеров-разведчиков, которые ведут работы…</w:t>
      </w:r>
    </w:p>
    <w:p w14:paraId="65286D75" w14:textId="77777777" w:rsidR="003B3DB0" w:rsidRPr="00507A31" w:rsidRDefault="003B3DB0" w:rsidP="00507A31">
      <w:pPr>
        <w:shd w:val="clear" w:color="auto" w:fill="FFFFFF"/>
        <w:jc w:val="both"/>
        <w:rPr>
          <w:color w:val="0070C0"/>
          <w:sz w:val="16"/>
          <w:szCs w:val="16"/>
        </w:rPr>
      </w:pPr>
      <w:r w:rsidRPr="00507A31">
        <w:rPr>
          <w:color w:val="0070C0"/>
          <w:sz w:val="16"/>
          <w:szCs w:val="16"/>
        </w:rPr>
        <w:t>11. Наконец, как уже указано, необходимо усиление связи с местами, руководство их работой. Очередной задачей органов ОГПУ в центре и на местах является усиление работы по немецкому шпионажу и обезвреживание его методами, приведенными нами выше.</w:t>
      </w:r>
    </w:p>
    <w:p w14:paraId="5AFC16FD" w14:textId="77777777" w:rsidR="003B3DB0" w:rsidRPr="00507A31" w:rsidRDefault="003B3DB0" w:rsidP="00507A31">
      <w:pPr>
        <w:shd w:val="clear" w:color="auto" w:fill="FFFFFF"/>
        <w:jc w:val="both"/>
        <w:rPr>
          <w:color w:val="0070C0"/>
          <w:sz w:val="16"/>
          <w:szCs w:val="16"/>
        </w:rPr>
      </w:pPr>
      <w:r w:rsidRPr="00507A31">
        <w:rPr>
          <w:color w:val="0070C0"/>
          <w:sz w:val="16"/>
          <w:szCs w:val="16"/>
        </w:rPr>
        <w:t>Рассылая настоящее циркулярное письмо, КРО ОГПУ предлагает составить подробный доклад о работе по германскому шпионажу за все истекшее время до конца августа месяца 1924 года и прислать таковой в КРО ОГПУ не позже чем к 1 ноябрю 1924 года, включив его в месячный отчет. Ежемесячные доклады на будущее время должны присылаться в общем порядке.</w:t>
      </w:r>
    </w:p>
    <w:p w14:paraId="140AE0EC" w14:textId="77777777" w:rsidR="003B3DB0" w:rsidRPr="00507A31" w:rsidRDefault="003B3DB0" w:rsidP="00507A31">
      <w:pPr>
        <w:shd w:val="clear" w:color="auto" w:fill="FFFFFF"/>
        <w:jc w:val="both"/>
        <w:rPr>
          <w:color w:val="0070C0"/>
          <w:sz w:val="16"/>
          <w:szCs w:val="16"/>
        </w:rPr>
      </w:pPr>
      <w:r w:rsidRPr="00507A31">
        <w:rPr>
          <w:color w:val="0070C0"/>
          <w:sz w:val="16"/>
          <w:szCs w:val="16"/>
        </w:rPr>
        <w:t>Зам. председателя ОГПУ Г. Ягода</w:t>
      </w:r>
    </w:p>
    <w:p w14:paraId="00637EA0" w14:textId="77777777" w:rsidR="003B3DB0" w:rsidRPr="00507A31" w:rsidRDefault="003B3DB0" w:rsidP="00507A31">
      <w:pPr>
        <w:shd w:val="clear" w:color="auto" w:fill="FFFFFF"/>
        <w:jc w:val="both"/>
        <w:rPr>
          <w:color w:val="0070C0"/>
          <w:sz w:val="16"/>
          <w:szCs w:val="16"/>
        </w:rPr>
      </w:pPr>
      <w:r w:rsidRPr="00507A31">
        <w:rPr>
          <w:color w:val="0070C0"/>
          <w:sz w:val="16"/>
          <w:szCs w:val="16"/>
        </w:rPr>
        <w:t>Нач. КРО ОГПУ Артузов</w:t>
      </w:r>
    </w:p>
    <w:p w14:paraId="03FD7F25" w14:textId="77777777" w:rsidR="003B3DB0" w:rsidRPr="00507A31" w:rsidRDefault="003B3DB0" w:rsidP="00507A31">
      <w:pPr>
        <w:shd w:val="clear" w:color="auto" w:fill="FFFFFF"/>
        <w:jc w:val="both"/>
        <w:rPr>
          <w:color w:val="0070C0"/>
          <w:sz w:val="16"/>
          <w:szCs w:val="16"/>
        </w:rPr>
      </w:pPr>
      <w:r w:rsidRPr="00507A31">
        <w:rPr>
          <w:color w:val="0070C0"/>
          <w:sz w:val="16"/>
          <w:szCs w:val="16"/>
        </w:rPr>
        <w:t>9 июля 1924 года. Гор. Москва</w:t>
      </w:r>
    </w:p>
    <w:p w14:paraId="2F0358B4" w14:textId="77777777" w:rsidR="003B3DB0" w:rsidRPr="00507A31" w:rsidRDefault="003B3DB0" w:rsidP="00507A31">
      <w:pPr>
        <w:shd w:val="clear" w:color="auto" w:fill="FFFFFF"/>
        <w:jc w:val="both"/>
        <w:rPr>
          <w:color w:val="0070C0"/>
          <w:sz w:val="16"/>
          <w:szCs w:val="16"/>
        </w:rPr>
      </w:pPr>
      <w:r w:rsidRPr="00507A31">
        <w:rPr>
          <w:color w:val="0070C0"/>
          <w:sz w:val="16"/>
          <w:szCs w:val="16"/>
        </w:rPr>
        <w:t>РГАСПИ. Ф. 76. Оп. 3. Д. 317. Л. 43–44 об. (20268)</w:t>
      </w:r>
    </w:p>
    <w:p w14:paraId="2E6EC453" w14:textId="77777777" w:rsidR="003B3DB0" w:rsidRPr="00507A31" w:rsidRDefault="003B3DB0" w:rsidP="00507A31">
      <w:pPr>
        <w:shd w:val="clear" w:color="auto" w:fill="FFFFFF"/>
        <w:jc w:val="both"/>
        <w:rPr>
          <w:color w:val="0070C0"/>
          <w:sz w:val="16"/>
          <w:szCs w:val="16"/>
        </w:rPr>
      </w:pPr>
    </w:p>
    <w:p w14:paraId="1DFE7FEC" w14:textId="77777777" w:rsidR="00B30019" w:rsidRPr="00507A31" w:rsidRDefault="00B30019" w:rsidP="00507A31">
      <w:pPr>
        <w:jc w:val="both"/>
        <w:rPr>
          <w:color w:val="0070C0"/>
          <w:sz w:val="16"/>
          <w:szCs w:val="16"/>
        </w:rPr>
      </w:pPr>
      <w:r w:rsidRPr="00507A31">
        <w:rPr>
          <w:color w:val="0070C0"/>
          <w:sz w:val="16"/>
          <w:szCs w:val="16"/>
        </w:rPr>
        <w:t>Весной 1930 г. переход на «непрерывку», начавшийся с осени 1929 г., был закреплен постановлением специальной правительственной комиссии при Совете Труда и Обороны, которым был введен единый производственный табель-календарь.</w:t>
      </w:r>
    </w:p>
    <w:p w14:paraId="477E4080" w14:textId="77777777" w:rsidR="00B30019" w:rsidRPr="00507A31" w:rsidRDefault="00B30019" w:rsidP="00507A31">
      <w:pPr>
        <w:jc w:val="both"/>
        <w:rPr>
          <w:color w:val="0070C0"/>
          <w:sz w:val="16"/>
          <w:szCs w:val="16"/>
        </w:rPr>
      </w:pPr>
      <w:r w:rsidRPr="00507A31">
        <w:rPr>
          <w:color w:val="0070C0"/>
          <w:sz w:val="16"/>
          <w:szCs w:val="16"/>
        </w:rPr>
        <w:t>В календарном году предусматривалось 360 дней, и соответственно 72 пятидневки. Каждый из 12 месяцев состоял ровно из 30 дней, в том числе февраль. Остальные 5 или 6 дней (в високосном году) были объявлены «безмесячными каникулами» и не входили ни в один месяц и ни в одну неделю, зато имели собственные имена:</w:t>
      </w:r>
    </w:p>
    <w:p w14:paraId="517D3814" w14:textId="77777777" w:rsidR="00B30019" w:rsidRPr="00507A31" w:rsidRDefault="00B30019" w:rsidP="00507A31">
      <w:pPr>
        <w:jc w:val="both"/>
        <w:rPr>
          <w:color w:val="0070C0"/>
          <w:sz w:val="16"/>
          <w:szCs w:val="16"/>
        </w:rPr>
      </w:pPr>
      <w:r w:rsidRPr="00507A31">
        <w:rPr>
          <w:color w:val="0070C0"/>
          <w:sz w:val="16"/>
          <w:szCs w:val="16"/>
        </w:rPr>
        <w:t>-- День Ленина, следовавший за 22 января.</w:t>
      </w:r>
    </w:p>
    <w:p w14:paraId="4BDD3F57" w14:textId="77777777" w:rsidR="00B30019" w:rsidRPr="00507A31" w:rsidRDefault="00B30019" w:rsidP="00507A31">
      <w:pPr>
        <w:jc w:val="both"/>
        <w:rPr>
          <w:color w:val="0070C0"/>
          <w:sz w:val="16"/>
          <w:szCs w:val="16"/>
        </w:rPr>
      </w:pPr>
      <w:r w:rsidRPr="00507A31">
        <w:rPr>
          <w:color w:val="0070C0"/>
          <w:sz w:val="16"/>
          <w:szCs w:val="16"/>
        </w:rPr>
        <w:t>-- Дни труда (два), следовавшие за 30 апреля.</w:t>
      </w:r>
    </w:p>
    <w:p w14:paraId="01D3D1EA" w14:textId="77777777" w:rsidR="00B30019" w:rsidRPr="00507A31" w:rsidRDefault="00B30019" w:rsidP="00507A31">
      <w:pPr>
        <w:jc w:val="both"/>
        <w:rPr>
          <w:color w:val="0070C0"/>
          <w:sz w:val="16"/>
          <w:szCs w:val="16"/>
        </w:rPr>
      </w:pPr>
      <w:r w:rsidRPr="00507A31">
        <w:rPr>
          <w:color w:val="0070C0"/>
          <w:sz w:val="16"/>
          <w:szCs w:val="16"/>
        </w:rPr>
        <w:t>-- Индустриальные дни (два), следовавшие за 7 ноября.</w:t>
      </w:r>
    </w:p>
    <w:p w14:paraId="3628A14D" w14:textId="77777777" w:rsidR="00B30019" w:rsidRPr="00507A31" w:rsidRDefault="00B30019" w:rsidP="00507A31">
      <w:pPr>
        <w:jc w:val="both"/>
        <w:rPr>
          <w:color w:val="0070C0"/>
          <w:sz w:val="16"/>
          <w:szCs w:val="16"/>
        </w:rPr>
      </w:pPr>
      <w:r w:rsidRPr="00507A31">
        <w:rPr>
          <w:color w:val="0070C0"/>
          <w:sz w:val="16"/>
          <w:szCs w:val="16"/>
        </w:rPr>
        <w:t>-- В високосные года, добавочный високосный день следовал за 30 февраля.</w:t>
      </w:r>
    </w:p>
    <w:p w14:paraId="4FC0CFA8" w14:textId="77777777" w:rsidR="00B30019" w:rsidRPr="00507A31" w:rsidRDefault="00B30019" w:rsidP="00507A31">
      <w:pPr>
        <w:jc w:val="both"/>
        <w:rPr>
          <w:color w:val="0070C0"/>
          <w:sz w:val="16"/>
          <w:szCs w:val="16"/>
        </w:rPr>
      </w:pPr>
      <w:r w:rsidRPr="00507A31">
        <w:rPr>
          <w:color w:val="0070C0"/>
          <w:sz w:val="16"/>
          <w:szCs w:val="16"/>
        </w:rPr>
        <w:t>Неделя в СССР в 1929–1930 гг. состояла из 5 дней, при этом они были разделены на пять групп, названных по цветам (жёлтый, розовый, красный, фиолетовый, зелёный), и каждая группа имела свой собственный выходной день в неделю.</w:t>
      </w:r>
    </w:p>
    <w:p w14:paraId="32EB31DB" w14:textId="77777777" w:rsidR="00B30019" w:rsidRPr="00507A31" w:rsidRDefault="00B30019" w:rsidP="00507A31">
      <w:pPr>
        <w:jc w:val="both"/>
        <w:rPr>
          <w:color w:val="0070C0"/>
          <w:sz w:val="16"/>
          <w:szCs w:val="16"/>
        </w:rPr>
      </w:pPr>
      <w:r w:rsidRPr="00507A31">
        <w:rPr>
          <w:color w:val="0070C0"/>
          <w:sz w:val="16"/>
          <w:szCs w:val="16"/>
        </w:rPr>
        <w:lastRenderedPageBreak/>
        <w:t>Пятидневка приживалась с исключительным трудом – фактически это было постоянным насилием также и над привычным биологическим ритмом жизни людей. Поэтому большевики решили слегка отступить.</w:t>
      </w:r>
    </w:p>
    <w:p w14:paraId="03E45F87" w14:textId="77777777" w:rsidR="00B30019" w:rsidRPr="00507A31" w:rsidRDefault="00B30019" w:rsidP="00507A31">
      <w:pPr>
        <w:jc w:val="both"/>
        <w:rPr>
          <w:color w:val="0070C0"/>
          <w:sz w:val="16"/>
          <w:szCs w:val="16"/>
        </w:rPr>
      </w:pPr>
      <w:r w:rsidRPr="00507A31">
        <w:rPr>
          <w:color w:val="0070C0"/>
          <w:sz w:val="16"/>
          <w:szCs w:val="16"/>
        </w:rPr>
        <w:t>Постановлением СНК СССР от 21 ноября 1931 г. «О прерывной производственной неделе в учреждениях», с 1 декабря 1931 г. пятидневная неделя была заменена шестидневной неделей с фиксированным днём отдыха, приходящимся на 6, 12, 18, 24 и 30 число каждого месяца (1 марта использовалось вместо 30 февраля, каждое 31 число рассматривалось как дополнительный рабочий день). Следы этого видны, например, в титрах фильма «Волга-Волга» («первый день шестидневки», «второй день шестидневки»…).</w:t>
      </w:r>
    </w:p>
    <w:p w14:paraId="6B315DA9" w14:textId="77777777" w:rsidR="00B30019" w:rsidRPr="00507A31" w:rsidRDefault="00B30019" w:rsidP="00507A31">
      <w:pPr>
        <w:jc w:val="both"/>
        <w:rPr>
          <w:color w:val="0070C0"/>
          <w:sz w:val="16"/>
          <w:szCs w:val="16"/>
        </w:rPr>
      </w:pPr>
      <w:r w:rsidRPr="00507A31">
        <w:rPr>
          <w:color w:val="0070C0"/>
          <w:sz w:val="16"/>
          <w:szCs w:val="16"/>
        </w:rPr>
        <w:t>С 1931 г. число дней в месяце было возвращено в прежний вид.</w:t>
      </w:r>
    </w:p>
    <w:p w14:paraId="5FE30F42" w14:textId="77777777" w:rsidR="00B30019" w:rsidRPr="00507A31" w:rsidRDefault="00B30019" w:rsidP="00507A31">
      <w:pPr>
        <w:jc w:val="both"/>
        <w:rPr>
          <w:color w:val="0070C0"/>
          <w:sz w:val="16"/>
          <w:szCs w:val="16"/>
        </w:rPr>
      </w:pPr>
      <w:r w:rsidRPr="00507A31">
        <w:rPr>
          <w:color w:val="0070C0"/>
          <w:sz w:val="16"/>
          <w:szCs w:val="16"/>
        </w:rPr>
        <w:t>Возврат к 7-дневной неделе произошел 26 июня 1940 г. в соответствии с указом Президиума Верховного Совета СССР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Однако неделя в СССР начиналась с воскресенья, лишь в более поздние годы – с понедельника. (21168).</w:t>
      </w:r>
    </w:p>
    <w:p w14:paraId="24CD425A" w14:textId="77777777" w:rsidR="00B30019" w:rsidRPr="00507A31" w:rsidRDefault="00B30019" w:rsidP="00507A31">
      <w:pPr>
        <w:jc w:val="both"/>
        <w:rPr>
          <w:color w:val="0070C0"/>
          <w:sz w:val="16"/>
          <w:szCs w:val="16"/>
        </w:rPr>
      </w:pPr>
    </w:p>
    <w:p w14:paraId="4F9F7C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Весной 1930 г. в Совете труда и обороны СССР был подготовлен текст докладной записки "О сооружении Беломорско-Балтийского водного пути". Авторы записки исходили из причин как экономического, так и военно-политического свойства. В докладной четко выделяли эти две группы доводов в пользу строительства. </w:t>
      </w:r>
    </w:p>
    <w:p w14:paraId="346A9F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области военно-стратегической канал должен был обеспечивать разрешение ряда вопросов по обороне побережья от финской границы до доступных для мореплавания берегов Сибири, включая внутренний бассейн Белого моря: </w:t>
      </w:r>
    </w:p>
    <w:p w14:paraId="797639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защиту рыбных промыслов в районе наших берегов и внутренних торговых путей между отдельными пунктами побережья и магистральных водных путей, уходящих вглубь страны. Эта задача достигается на Северном театре возможностью переброски с Балтийского в Белое море подводных лодок, надводных торпедных кораблей и крейсеров; </w:t>
      </w:r>
    </w:p>
    <w:p w14:paraId="4776DC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возможность действий наших морских сил на морских сообщениях противника, как при подготовке операций против нашего Севера, так и для нанесения ущерба морской торговле и давления на весь режим коммерческого мореплавания в Северном море и в восточной части Атлантического океана; </w:t>
      </w:r>
    </w:p>
    <w:p w14:paraId="3606FF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поддержание коммуникаций с внешним миром. Так как Балтийское и Черное моря легко блокируемы, наличие свободного выхода в океан через Север приобретало исключительно важное значение в военное время; </w:t>
      </w:r>
    </w:p>
    <w:p w14:paraId="457B94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наличие сдерживающего начала для наиболее мощных на море вероятных противников, а для Финляндии, непосредственно угрожающей нашему Северу, наличие канала должно было послужить реальной угрозой и потребовать пересмотра ее внешней политики; </w:t>
      </w:r>
    </w:p>
    <w:p w14:paraId="310BC9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взаимодействие Красной Армии с морскими силами на побережье и в районах внутренних озер и рек, связанных с Беломорско-Балтийской системой; </w:t>
      </w:r>
    </w:p>
    <w:p w14:paraId="2C4657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маневренные переброски в военное время кораблей или целых соединений с одного морского или речного театра на другой; </w:t>
      </w:r>
    </w:p>
    <w:p w14:paraId="21AA24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7) возможность эвакуации в глубь страны и использования в качестве тральщиков на других морях всех северных рыболовных траулеров. </w:t>
      </w:r>
    </w:p>
    <w:p w14:paraId="174B21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сфере экономики соображения о пользе канала были такими: </w:t>
      </w:r>
    </w:p>
    <w:p w14:paraId="385BB6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связь Ленинграда и морских путей из Ленинграда на Запад, с Архангельском, портами Белого моря и Мурманским побережьем, а через Северные морские пути с Сибирью; </w:t>
      </w:r>
    </w:p>
    <w:p w14:paraId="3173F8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выход из Балтики в Северный Ледовитый океан и через него ко всем мировым портам; </w:t>
      </w:r>
    </w:p>
    <w:p w14:paraId="48FE13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связь Севера с Мариинской водной системой, а через последнюю с внутренними районами страны с выходом в Каспийское и Черное моря (после осуществления проекта Волго-Дона); </w:t>
      </w:r>
    </w:p>
    <w:p w14:paraId="562FDD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получение мощных источников дешевой водной энергии путем устройства при плотинах гидростанций; </w:t>
      </w:r>
    </w:p>
    <w:p w14:paraId="054BD1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широкую возможность развития на дешевой энергетической базе всех отраслей народного хозяйства Северного края и наиболее полное использование еще нетронутых сырьевых ресурсов, а также строительных материалов. </w:t>
      </w:r>
    </w:p>
    <w:p w14:paraId="48A306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Строительство водного пути авторы докладной записки предлагали осуществлять в три этапа. На первом должно было производиться шлюзование Невы для открытия морским судам доступа в Ладожское озеро. Осуществление данного мероприятия позволяло разгрузить Приладожские обводные каналы, пропускная способность которых исчерпывалась к 1934 г. На втором этапе производилось шлюзование Свири (путем постройки двух гидроэлектростанций), что открыло бы доступ морским судам в Онежское озеро и позволило перевести погрузку экспортного леса и грузов в новый порт в Вытегре, разгрузив Ленинградский морской порт и железные дороги. Наконец, третий этап составляло собственно строительство морского канала от Повенца до Сороки и оборудование в последней морского порта. Данная стадия работ была самой дорогостоящей: 253 млн. рублей, в т. ч. 13 млн. на строительство Сорокского порта. Но авторы специально подчеркивали, что степень изученности трассы, особенно на ее последнем, северном участке, еще невелика, и итоговая стоимость работ может возрасти. </w:t>
      </w:r>
    </w:p>
    <w:p w14:paraId="3149C8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Общее руководство СТО планировал оставить за собой путем создания Особого комитета под председательством Я. Э Рудзутака. Непосредственно организацией работ должно было заниматься Управление строительством, организуемое и подчиненное НКПС. Первоочередной считалась задача проектирования и строительства южного участка водного пути. Судьба Северного участка, т. е. собственно канала, пока оставалась неясной (12107).</w:t>
      </w:r>
    </w:p>
    <w:p w14:paraId="768CC781" w14:textId="77777777" w:rsidR="00537E5F" w:rsidRPr="00507A31" w:rsidRDefault="00537E5F" w:rsidP="00507A31">
      <w:pPr>
        <w:autoSpaceDE w:val="0"/>
        <w:autoSpaceDN w:val="0"/>
        <w:adjustRightInd w:val="0"/>
        <w:jc w:val="both"/>
        <w:rPr>
          <w:color w:val="000000" w:themeColor="text1"/>
          <w:sz w:val="16"/>
          <w:szCs w:val="16"/>
        </w:rPr>
      </w:pPr>
    </w:p>
    <w:p w14:paraId="11CE9AD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E1646FA" w14:textId="77777777" w:rsidR="00537E5F" w:rsidRPr="00507A31" w:rsidRDefault="00537E5F" w:rsidP="00507A31">
      <w:pPr>
        <w:autoSpaceDE w:val="0"/>
        <w:autoSpaceDN w:val="0"/>
        <w:adjustRightInd w:val="0"/>
        <w:jc w:val="both"/>
        <w:rPr>
          <w:iCs/>
          <w:color w:val="000000" w:themeColor="text1"/>
          <w:sz w:val="16"/>
          <w:szCs w:val="16"/>
        </w:rPr>
      </w:pPr>
    </w:p>
    <w:p w14:paraId="77ADB2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июню 1930 на заводе № 24 собрали первые три двигателя М-17,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w:t>
      </w:r>
      <w:r w:rsidRPr="00507A31">
        <w:rPr>
          <w:color w:val="000000" w:themeColor="text1"/>
          <w:sz w:val="16"/>
          <w:szCs w:val="16"/>
          <w:lang w:val="en-US"/>
        </w:rPr>
        <w:t>W</w:t>
      </w:r>
      <w:r w:rsidRPr="00507A31">
        <w:rPr>
          <w:color w:val="000000" w:themeColor="text1"/>
          <w:sz w:val="16"/>
          <w:szCs w:val="16"/>
        </w:rPr>
        <w:t xml:space="preserve"> У1а, ни ВМ</w:t>
      </w:r>
      <w:r w:rsidRPr="00507A31">
        <w:rPr>
          <w:color w:val="000000" w:themeColor="text1"/>
          <w:sz w:val="16"/>
          <w:szCs w:val="16"/>
          <w:lang w:val="en-US"/>
        </w:rPr>
        <w:t>W</w:t>
      </w:r>
      <w:r w:rsidRPr="00507A31">
        <w:rPr>
          <w:color w:val="000000" w:themeColor="text1"/>
          <w:sz w:val="16"/>
          <w:szCs w:val="16"/>
        </w:rPr>
        <w:t xml:space="preserve">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507A31">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507A31">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507A31">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507A31">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507A31">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07A31">
        <w:rPr>
          <w:color w:val="000000" w:themeColor="text1"/>
          <w:sz w:val="16"/>
          <w:szCs w:val="16"/>
        </w:rPr>
        <w:softHyphen/>
        <w:t>лись целые серии высотных двигателей. Например, все моторы, входив</w:t>
      </w:r>
      <w:r w:rsidRPr="00507A31">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07A31">
        <w:rPr>
          <w:color w:val="000000" w:themeColor="text1"/>
          <w:sz w:val="16"/>
          <w:szCs w:val="16"/>
        </w:rPr>
        <w:softHyphen/>
        <w:t>лись планы его последующей модернизации. При этом не только следова</w:t>
      </w:r>
      <w:r w:rsidRPr="00507A31">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07A31">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07A31">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07A31">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07A31">
        <w:rPr>
          <w:color w:val="000000" w:themeColor="text1"/>
          <w:sz w:val="16"/>
          <w:szCs w:val="16"/>
        </w:rPr>
        <w:softHyphen/>
        <w:t>ны всего производства авиадвигателей в стране. Далее же начался спад (11852).</w:t>
      </w:r>
    </w:p>
    <w:p w14:paraId="5DAF1F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C3E729D" w14:textId="77777777" w:rsidR="000F2B27" w:rsidRPr="00507A31" w:rsidRDefault="000F2B27"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2BFE240" w14:textId="77777777" w:rsidR="000F2B27" w:rsidRPr="00507A31" w:rsidRDefault="000F2B27" w:rsidP="00507A31">
      <w:pPr>
        <w:autoSpaceDE w:val="0"/>
        <w:autoSpaceDN w:val="0"/>
        <w:adjustRightInd w:val="0"/>
        <w:jc w:val="both"/>
        <w:rPr>
          <w:iCs/>
          <w:color w:val="000000" w:themeColor="text1"/>
          <w:sz w:val="16"/>
          <w:szCs w:val="16"/>
        </w:rPr>
      </w:pPr>
    </w:p>
    <w:p w14:paraId="511A7E19" w14:textId="77777777" w:rsidR="000F2B27" w:rsidRPr="00507A31" w:rsidRDefault="000F2B27" w:rsidP="00507A31">
      <w:pPr>
        <w:jc w:val="both"/>
        <w:rPr>
          <w:color w:val="0070C0"/>
          <w:sz w:val="16"/>
          <w:szCs w:val="16"/>
        </w:rPr>
      </w:pPr>
      <w:r w:rsidRPr="00507A31">
        <w:rPr>
          <w:color w:val="0070C0"/>
          <w:sz w:val="16"/>
          <w:szCs w:val="16"/>
        </w:rPr>
        <w:t>К лету 1930 г. при главном конструкторе Кочеригине был достроен поплавкового гидросамоле</w:t>
      </w:r>
      <w:r w:rsidRPr="00507A31">
        <w:rPr>
          <w:color w:val="0070C0"/>
          <w:sz w:val="16"/>
          <w:szCs w:val="16"/>
        </w:rPr>
        <w:softHyphen/>
        <w:t>т МУ-2 (морской учебный-2), созданного на основе учебно</w:t>
      </w:r>
      <w:r w:rsidRPr="00507A31">
        <w:rPr>
          <w:color w:val="0070C0"/>
          <w:sz w:val="16"/>
          <w:szCs w:val="16"/>
        </w:rPr>
        <w:softHyphen/>
        <w:t>го У-2 и успешно испытан в 1931 г. В серию самолет, однако, не пошел. В качестве учебной машины для обучения морских летчиков избрали гидросамо</w:t>
      </w:r>
      <w:r w:rsidRPr="00507A31">
        <w:rPr>
          <w:color w:val="0070C0"/>
          <w:sz w:val="16"/>
          <w:szCs w:val="16"/>
        </w:rPr>
        <w:softHyphen/>
        <w:t>лет Ш-2 конструкции В.Б. Шаврова (20362).</w:t>
      </w:r>
    </w:p>
    <w:p w14:paraId="00647541" w14:textId="77777777" w:rsidR="000F2B27" w:rsidRPr="00507A31" w:rsidRDefault="000F2B27" w:rsidP="00507A31">
      <w:pPr>
        <w:shd w:val="clear" w:color="auto" w:fill="FFFFFF"/>
        <w:jc w:val="both"/>
        <w:rPr>
          <w:color w:val="0070C0"/>
          <w:sz w:val="16"/>
          <w:szCs w:val="16"/>
        </w:rPr>
      </w:pPr>
    </w:p>
    <w:p w14:paraId="225D4007" w14:textId="77777777" w:rsidR="0062721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E6E0C87" w14:textId="77777777" w:rsidR="0062721E" w:rsidRPr="00507A31" w:rsidRDefault="0062721E" w:rsidP="00507A31">
      <w:pPr>
        <w:autoSpaceDE w:val="0"/>
        <w:autoSpaceDN w:val="0"/>
        <w:adjustRightInd w:val="0"/>
        <w:jc w:val="both"/>
        <w:rPr>
          <w:iCs/>
          <w:color w:val="000000" w:themeColor="text1"/>
          <w:sz w:val="16"/>
          <w:szCs w:val="16"/>
        </w:rPr>
      </w:pPr>
    </w:p>
    <w:p w14:paraId="0EE39BE5" w14:textId="77777777" w:rsidR="0062721E" w:rsidRPr="00507A31" w:rsidRDefault="0062721E" w:rsidP="00507A31">
      <w:pPr>
        <w:pStyle w:val="a3"/>
        <w:rPr>
          <w:color w:val="000000" w:themeColor="text1"/>
          <w:lang w:val="ru-RU"/>
        </w:rPr>
      </w:pPr>
      <w:r w:rsidRPr="00507A31">
        <w:rPr>
          <w:color w:val="000000" w:themeColor="text1"/>
          <w:lang w:val="ru-RU"/>
        </w:rPr>
        <w:lastRenderedPageBreak/>
        <w:t>К лету 1930 г. Сталинградский тракторный завод (СТЗ) вошел в число действующих пред</w:t>
      </w:r>
      <w:r w:rsidRPr="00507A31">
        <w:rPr>
          <w:color w:val="000000" w:themeColor="text1"/>
          <w:lang w:val="ru-RU"/>
        </w:rPr>
        <w:softHyphen/>
        <w:t>приятий. 17 июня в 15.00 с конвейера сошел первый советский «Интернационал» (12622).</w:t>
      </w:r>
    </w:p>
    <w:p w14:paraId="4CE0559D" w14:textId="77777777" w:rsidR="0062721E" w:rsidRPr="00507A31" w:rsidRDefault="0062721E" w:rsidP="00507A31">
      <w:pPr>
        <w:pStyle w:val="a3"/>
        <w:rPr>
          <w:color w:val="000000" w:themeColor="text1"/>
          <w:lang w:val="ru-RU"/>
        </w:rPr>
      </w:pPr>
    </w:p>
    <w:p w14:paraId="5541556E" w14:textId="77777777" w:rsidR="007D5311" w:rsidRPr="00507A31" w:rsidRDefault="007D5311" w:rsidP="00507A31">
      <w:pPr>
        <w:jc w:val="both"/>
        <w:rPr>
          <w:color w:val="000000" w:themeColor="text1"/>
          <w:sz w:val="16"/>
          <w:szCs w:val="16"/>
        </w:rPr>
      </w:pPr>
      <w:r w:rsidRPr="00507A31">
        <w:rPr>
          <w:color w:val="000000" w:themeColor="text1"/>
          <w:sz w:val="16"/>
          <w:szCs w:val="16"/>
        </w:rPr>
        <w:t>К началу лета 1930 г. союзное руководство вернулось к вопросу развития в Ижевске мотоциклетной промышленности. Комиссия и эксперты Центрального технико-экономического совета в июне 1930 г. представили президиуму ВСНХ аналитический материал с экономическим обоснованием постройки в Ижевске специализированного завода. Затем материалы были переданы в Главмашпром ВСНХ, и после некоторых бюрократических проволочек было созвано компетентное совещание. По итогам совещания в Главмашпроме ВСНХ 5 октября 1931 г. московскому институту НАТИ была поручена разработка армейского мотоцикла. К перспективному мотоциклу предъявлялись требования: 1. Мотор американского типа с низкой степенью сжатия 2. КПП расположена отдельно, с шестерёнчатой передачей к двигателю и сухой фрикционной муфтой сцепления 3. Цепная закрытая передача на заднее колесо 4. Рама — прессованная из листового железа 5. Передняя вилка — рессорная 6. Колеса — легкосъемные, взаимозаменяемые. Группу Петра Можарова перевели в Москву и влили в реорганизованный НАТИ. Мотоциклетная группа НАТИ располагалась на площадях МВТУ между рекой Яузой и Салтыковской улицей в старом двухэтажном доме. Организационно группа входила в автомобильное отделение. В соседнем с конструкторским залом помещении располагалась лаборатория с беговым стендом для испытания мотоциклов. Перспективный мотоцикл был назван А-750 или НАТИ-А-750, т.е. армейский (военная техника НАТИ имела индекс «А», а вездеходные машины двойного назначения индекс «В») с мотором объемом 750 см3 разработки НАТИ. Помимо Можарова в группу входили: С. И. Карзинкин, Б. М. Фиттерман, А. А. Федоров, Я. В. Коган, М. В. Лутц, Н. А. Семашко, Э. А. Барт, Г. Н. Лист, А. И. Скерджев, А. В. Муращенко. Проектирование мотоцикла завершили весной 1932 г. Согласно техническому проекту боковая коляска должна была крепиться слева. Поэтому выхлопная труба должгна была идти по правой стороне. Мотор и коробка передач были собраны в едином блоке. Рама А-750 сваривалась из двух симметричных штампованных половин. Бензобак полутопленный между двумя верхними наклонными балками. Двигатель V-образный, с углом развала цилиндров 45о , совмещенный с трехступенчатой КПП, жёстко соединялся с нижней частью рамы. Магнето соединялось с коленвалом посредством шестерен. Левая вращающаяся ручка на руле служила для управления опереженим зажигания, а правая регулировала заслонку карбюратора. Сцепление было применено сухое, со включением рычагом на руле или ножной педалью. Привод колеса был цепной. Смазка мотора и коробки передач была циркуляционной. Маслобак вмонтировали в картер КПП. Рычаг переключения коробки передач применили автомобильного типа. Передняя вилка собиралась из двух штампованных половин. Подвеска переднего колеса была рычажной с упиравшейся в горизонтальную рессору специальной скобой, на которой крепились гасители колебаний. Глубокие крылья охватывали переднее колесо на угол порядка 150о и заднее около 210о . На верхние балки рамы установливались амортизаторы седла водителя, передняя часть которого качалась на особой петле, прикрепленной к бензобаку. Седло пассажира крепилось к верхним балкам рамы с помощью кованых скоб. Светотехника должна была включать фару с дальним и ближним светом, а также сигнальный задний фонарь. Изготовление первых опытных А-750 поручили вновь организовываемому Опытному мотоциклетному заводу им. Автодора в Ижевске — ИОМЗА. К весне 1933 г. предполагалось изготовить первые десять мотоциклов. Этот завод был создан в недостроенных и заброшенных в годы Первой мировой войны корпусах так и не вступившей в строй оружейной фабрики Берзина. Средства на реконструкцию завода были собраны обществом Автодор. К 1 февраля 1933 г. был закончен механосборочный корпус на 2600 м2 и «приспособлены для всех прочих цехов помещения старой оружейной фабрики». В отличие от Ижастальзавода, Иомза имел неудовлетворительное оснащение оборудованием, а также весь период деятельности испытывал жесткий дефицит кадров. Поэтому к 1 мая 1933 г. из десяти запланированных удалось собрать лишь четыре мотоцикла НАТИ-А-750 и только два из них с коляской. В виду слабой оснащенности завода как временную меру для его загрузки, решили организовать изготовление «советских Декаве»: «…до момента освоения технологического процесса мотоциклов НАТИ-А 750 л.с. ИОМЗА со второго квартала 1933 г. будет строить мотоциклы «Л-300». В 1933 г. по программе завод должен дать стране 600 мотоциклов и 400 моторов». Новый мотоцикл назвали ИЖ-7. В докладе, подготовленном Автодором отмечалось: «Следует отметить, что Ленинградский завод «Красный октябрь», который должен был сдать Центральному Совету Общества Автодор в течение 1932 и 1933 гг. согласно заключенного с трестом «Вато-запчасть» в ноябре 1931 г. договора, 4000 мотоциклов Л-300, постановлением правительственных органов был передан в другое объединение и загружен специальными заказами. Данный завод хотя и предполагает в 1933 г. возобновить производство мотоциклов «Л-300», но в весьма минимальных размерах /300–350 машин/, так что на выполнение заводом договора на мотоциклы для Центрального Совета Общества Автодор в 1933 г. рассчитывать не приходится. Кроме того, за снижением программы резко увеличивается стоимость мотоциклов, достигая 6000 руб. за машину. Третий завод, производящий мотоциклы — Харьковский автосборочный Автомотовелотреста УССР имеет на 1933 г. программу лишь в 300 мотоциклов ХМЗ типа «Харлей-Дэвидсон» … и особых надежд на развитие мотоциклостроения на этом заводе в 1933 г. не имеется». На основе А-750 были выполнены проекты более мощного мотоцикла А-850 и двух легких — НАТИ-Б-375 и НАТИ-В-375, но в серийное производство эти мотоциклы не передавались. В июле все четыре А-750 и один ИЖ-7 своим ходом отправились в Москву для проведения госиспытаний, по окончании которых мотоцикл № 2 был передан в Политехнический музей. Судьба машины № 2 сложилась необычно. Мотоцикл был реквизирован «для нужд оборонной промышленности». После войны мотоцикл был списан и его выкупил Я. Д. Зузик, который восстановил А-750 и поддерживал в рабочем состоянии. После его смерти в 1994 г., А-750 был продан литовскому коллекционеру и сейчас находится у нового владельца. Как сложилась судьба остальных четырех машин, изготовленных ИОМЗА в мае 1933 г., неизвестно. Помимо А-750 № 2 в бывшем СССР имеется еще до нескольких десятков мотоциклов этой марки разной степени сохранности, но все они изготовлены не в Ижевске, причем комплектные машины очень большая редкость. По причине недостаточной оснащенности ИОМЗА руководство НКТП решило поручить производство Подольскому механическому заводу. Поэтому мотоцикл получил обозначение ПМЗ-А-750, ПМЗ-750 или просто ПМЗ. Первый ПМЗ-750 изготовили в начале февраля 1934 г. и отправили в Кремль на выставку, посвящённую Мотоциклы НАТИ-А-750 и ИЖ-7 постройки ИОМЗА перед пробегом в открытию XVII съезда ВКП(б). На руководство страны мотоцикл произвел хорошее впечатление, и оно отметило П. В. Можарова предоставлением отпуска и путёвки в санаторий ЦК партии в Сочи. Однако в серию А-750 пошел уже без его конструктора, так как Петр Можаров скончался при неясных обстоятельствах 11 марта 1934 г., находясь в официальном отпуске в том самом санатории ЦК ВКП(б) в Сочи. По одной из версий инженер застрелился из-за гонений властей, по другой — был убит. Там же в Сочи Петр Можаров и был похоронен. Могила Можарова долгое время считалась утерянной, но 5 февраля 2015 г. телеканал «Россия — Сочи» выпустил новостной сюжет, в котором сообщил, что сочинка Ружена Гребенюк, которая гуляла со своей собакой в районе Мемориала воинской славы в Завокзальном микрорайоне, обнаружила могильную плиту со слабо видневшейся надписью. Новость быстро облетела телевизионные и печатные СМИ, попала на интернет ресурсы. Место захоронения патриарха отечественного мотоциклостроения было обнаружено. Оставшись без конструктора, мотоцикл А-750 оказался в роли нелюбимого пасынка: за внедрение в серию и его совершенствование отвечали разные люди, что не могло не сказаться на конструктивном совершенстве и качестве постройки. Первые три серийных мотоцикла ПМЗ сдал только в 1935 г. К июлю было изгтовлено еще 6, а следующие только в 1936 г. К числу существенных недостатков А-750 постройки ПМЗ относились плохая управляемость на больших скоростях из-за конструкции передней подвески, а также хронические проблемы с регулятором опережения зажигания. Двигатель был неудачно сбалансирован и вибрировал, а передачи переключались с большим трудом. Спортсмены быстро нашли способ устранить дефекты передней подвески и решить проблемы с двигателем и электрооборудованием, но в серию новшества так и не внедрили. Производство А-750 велось на ПМЗ до 1939 г. Предполагалось продолжить выпуск на заводе им. Фрунзе, но эти планы не были реализованы. В 1940 г. с уставного фонда Подольского механического завода Наркомобщмаша были списаны затраты на изготовление мотоциклов МПЗ-750 в связи со снятием с производства. По имеющимся на сегодня данным двумя заводами всего было изготовлено 4640 шт. А-750. С 1936 г. мотоциклы А-750 поступали в розничную продажу. Первоначально цена составляла 11 550 руб., а в 1937 г. ее снизили до 7760 руб. Около трети построенных мотоциклов поступило в народное хозяйство и частным владельцам, а остальные были в армии, войсках НКВД, в оборонной промышленности и у отдельных учреждений. Последние использовавшиеся военными ПМЗ-750 были списаны уже в послевоенный период с переоснащением армии мотоциклами Ирбитского завода. Хотя А-750 продолжали службу и в годы войны, военные в итоговых статистических документах их перестали учитывать отдельной строкой. Поэтому проследить судьбу этих мотоциклов можно по документам не руководящих воинских структур, а самих военных частей на основании фотоматериалов или доверившись памяти ветеранов. В годы войны не все тяжелые мотоциклы были мобилизованы в армию. По данным доклада ГАИ НКВД к 1 мая 1942 г.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46773E4B" w14:textId="40D95541" w:rsidR="007D5311" w:rsidRPr="00507A31" w:rsidRDefault="007D5311" w:rsidP="00507A31">
      <w:pPr>
        <w:jc w:val="both"/>
        <w:rPr>
          <w:color w:val="000000" w:themeColor="text1"/>
          <w:sz w:val="16"/>
          <w:szCs w:val="16"/>
        </w:rPr>
      </w:pPr>
    </w:p>
    <w:p w14:paraId="6CA86AAA" w14:textId="021C02BC" w:rsidR="000F2B27" w:rsidRPr="00507A31" w:rsidRDefault="000F2B27" w:rsidP="00507A31">
      <w:pPr>
        <w:jc w:val="both"/>
        <w:rPr>
          <w:i/>
          <w:iCs/>
          <w:color w:val="000000" w:themeColor="text1"/>
          <w:sz w:val="16"/>
          <w:szCs w:val="16"/>
        </w:rPr>
      </w:pPr>
      <w:r w:rsidRPr="00507A31">
        <w:rPr>
          <w:i/>
          <w:iCs/>
          <w:color w:val="000000" w:themeColor="text1"/>
          <w:sz w:val="16"/>
          <w:szCs w:val="16"/>
        </w:rPr>
        <w:t>Армия:</w:t>
      </w:r>
    </w:p>
    <w:p w14:paraId="66F8A838" w14:textId="77777777" w:rsidR="000F2B27" w:rsidRPr="00507A31" w:rsidRDefault="000F2B27" w:rsidP="00507A31">
      <w:pPr>
        <w:jc w:val="both"/>
        <w:rPr>
          <w:i/>
          <w:iCs/>
          <w:color w:val="000000" w:themeColor="text1"/>
          <w:sz w:val="16"/>
          <w:szCs w:val="16"/>
        </w:rPr>
      </w:pPr>
    </w:p>
    <w:p w14:paraId="7E426A0E" w14:textId="77777777" w:rsidR="000F2B27" w:rsidRPr="00507A31" w:rsidRDefault="000F2B27" w:rsidP="00507A31">
      <w:pPr>
        <w:jc w:val="both"/>
        <w:rPr>
          <w:color w:val="0070C0"/>
          <w:sz w:val="16"/>
          <w:szCs w:val="16"/>
          <w:shd w:val="clear" w:color="auto" w:fill="FFFFFF"/>
        </w:rPr>
      </w:pPr>
      <w:r w:rsidRPr="00507A31">
        <w:rPr>
          <w:color w:val="0070C0"/>
          <w:sz w:val="16"/>
          <w:szCs w:val="16"/>
          <w:shd w:val="clear" w:color="auto" w:fill="FFFFFF"/>
        </w:rPr>
        <w:lastRenderedPageBreak/>
        <w:t>К лету 1930 года Минов (в теоретической части) подготовил 30 парашютистов из числа добровольцев 11-й авиационной бригады Московского военного округа. Практические парашютные прыжки намечено было провести на специальных сборах, которые открылись на аэродроме вблизи Воронежа 26 июля 1930 года. Минов лично руководил проведением этих сборов. Всего для проведения этих сборов было выделено 12 парашютов — все, что имелось в бригаде, и самолет «Фарман F-62 «Голиаф».</w:t>
      </w:r>
    </w:p>
    <w:p w14:paraId="54EB9298" w14:textId="77777777" w:rsidR="000F2B27" w:rsidRPr="00507A31" w:rsidRDefault="000F2B27" w:rsidP="00507A31">
      <w:pPr>
        <w:jc w:val="both"/>
        <w:rPr>
          <w:color w:val="0070C0"/>
          <w:sz w:val="16"/>
          <w:szCs w:val="16"/>
          <w:shd w:val="clear" w:color="auto" w:fill="FFFFFF"/>
        </w:rPr>
      </w:pPr>
      <w:r w:rsidRPr="00507A31">
        <w:rPr>
          <w:color w:val="0070C0"/>
          <w:sz w:val="16"/>
          <w:szCs w:val="16"/>
          <w:shd w:val="clear" w:color="auto" w:fill="FFFFFF"/>
        </w:rPr>
        <w:t>Первый показательный прыжок (фактически — первый учебно-тренировочный прыжок с парашютом в СССР) Минов совершил лично. Следом за ним прыгнул известный советский летчик Яков Давидович Мошковский — настоящий фанат парашютного дела. При приземлении Мошковского снесло на здание, откуда его сняли только с помощью пожарной лестницы. Тем не менее это не отразилось на настроениях участников сборов — в этот день свой первый прыжок совершили еще четыре летчика 11-й авиационной бригады: командир эскадрильи А. С. Стойлов, помощник командира эскадрильи К. Н. Затонский, старший летчик И. Мухин, старший летчик П. В. Кондратьев, младший летчик И. И. Поваляев — это были первые советские парашютисты (21399).</w:t>
      </w:r>
    </w:p>
    <w:p w14:paraId="6C63C6A1" w14:textId="77777777" w:rsidR="000F2B27" w:rsidRPr="00507A31" w:rsidRDefault="000F2B27" w:rsidP="00507A31">
      <w:pPr>
        <w:jc w:val="both"/>
        <w:rPr>
          <w:color w:val="0070C0"/>
          <w:sz w:val="16"/>
          <w:szCs w:val="16"/>
          <w:shd w:val="clear" w:color="auto" w:fill="FFFFFF"/>
        </w:rPr>
      </w:pPr>
    </w:p>
    <w:p w14:paraId="679D9B3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45849E6" w14:textId="77777777" w:rsidR="00537E5F" w:rsidRPr="00507A31" w:rsidRDefault="00537E5F" w:rsidP="00507A31">
      <w:pPr>
        <w:autoSpaceDE w:val="0"/>
        <w:autoSpaceDN w:val="0"/>
        <w:adjustRightInd w:val="0"/>
        <w:jc w:val="both"/>
        <w:rPr>
          <w:iCs/>
          <w:color w:val="000000" w:themeColor="text1"/>
          <w:sz w:val="16"/>
          <w:szCs w:val="16"/>
        </w:rPr>
      </w:pPr>
    </w:p>
    <w:p w14:paraId="6A17C9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июня 1930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507A31">
        <w:rPr>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507A31">
        <w:rPr>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507A31">
        <w:rPr>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507A31">
        <w:rPr>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DA8A7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3A405F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9-цилиндровый, звездообразный, четырехтактный, воздушного охлаж</w:t>
      </w:r>
      <w:r w:rsidRPr="00507A31">
        <w:rPr>
          <w:color w:val="000000" w:themeColor="text1"/>
          <w:sz w:val="16"/>
          <w:szCs w:val="16"/>
        </w:rPr>
        <w:softHyphen/>
        <w:t>дения;</w:t>
      </w:r>
    </w:p>
    <w:p w14:paraId="529A01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450/660 л.с.;</w:t>
      </w:r>
    </w:p>
    <w:p w14:paraId="79407B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150/170 мм;</w:t>
      </w:r>
    </w:p>
    <w:p w14:paraId="39CFF7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27,02 л;</w:t>
      </w:r>
    </w:p>
    <w:p w14:paraId="7A48AE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5,4 (фактически 5,5-5,7);</w:t>
      </w:r>
    </w:p>
    <w:p w14:paraId="515700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11B753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и вес в зависимости от модификации и серии;</w:t>
      </w:r>
    </w:p>
    <w:p w14:paraId="4114A8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имел ПЦН и синхронизатор. Известны варианты:</w:t>
      </w:r>
    </w:p>
    <w:p w14:paraId="5092B4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М-15, первоначальный вариант. Изготовлен в двух опытных экзем</w:t>
      </w:r>
      <w:r w:rsidRPr="00507A31">
        <w:rPr>
          <w:color w:val="000000" w:themeColor="text1"/>
          <w:sz w:val="16"/>
          <w:szCs w:val="16"/>
        </w:rPr>
        <w:softHyphen/>
        <w:t>плярах. Мощность по проекту 500/600 л.с., вес 420 кг.</w:t>
      </w:r>
    </w:p>
    <w:p w14:paraId="271F16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2М-15, второй вариант конструкции с усиленными головками цилин</w:t>
      </w:r>
      <w:r w:rsidRPr="00507A31">
        <w:rPr>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507A31">
        <w:rPr>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6EA673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 устанавливался на самолетах К-5, И-5 (опытные образцы), пред</w:t>
      </w:r>
      <w:r w:rsidRPr="00507A31">
        <w:rPr>
          <w:color w:val="000000" w:themeColor="text1"/>
          <w:sz w:val="16"/>
          <w:szCs w:val="16"/>
        </w:rPr>
        <w:softHyphen/>
        <w:t>лагался для установки на И-4 (11852).</w:t>
      </w:r>
    </w:p>
    <w:p w14:paraId="029FD6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8E1E5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 Вахмистров написал письмо Я.И.Алкснису с предложениями по взлету с самолета (1022,28).</w:t>
      </w:r>
    </w:p>
    <w:p w14:paraId="1D2CDECD" w14:textId="77777777" w:rsidR="00537E5F" w:rsidRPr="00507A31" w:rsidRDefault="00537E5F" w:rsidP="00507A31">
      <w:pPr>
        <w:autoSpaceDE w:val="0"/>
        <w:autoSpaceDN w:val="0"/>
        <w:adjustRightInd w:val="0"/>
        <w:jc w:val="both"/>
        <w:rPr>
          <w:color w:val="000000" w:themeColor="text1"/>
          <w:sz w:val="16"/>
          <w:szCs w:val="16"/>
        </w:rPr>
      </w:pPr>
    </w:p>
    <w:p w14:paraId="5D6C1D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 был основан Харьковский авиационный институт (274).</w:t>
      </w:r>
    </w:p>
    <w:p w14:paraId="17B1352A" w14:textId="77777777" w:rsidR="00537E5F" w:rsidRPr="00507A31" w:rsidRDefault="00537E5F" w:rsidP="00507A31">
      <w:pPr>
        <w:autoSpaceDE w:val="0"/>
        <w:autoSpaceDN w:val="0"/>
        <w:adjustRightInd w:val="0"/>
        <w:jc w:val="both"/>
        <w:rPr>
          <w:color w:val="000000" w:themeColor="text1"/>
          <w:sz w:val="16"/>
          <w:szCs w:val="16"/>
        </w:rPr>
      </w:pPr>
    </w:p>
    <w:p w14:paraId="045154F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F345C5F" w14:textId="77777777" w:rsidR="00537E5F" w:rsidRPr="00507A31" w:rsidRDefault="00537E5F" w:rsidP="00507A31">
      <w:pPr>
        <w:autoSpaceDE w:val="0"/>
        <w:autoSpaceDN w:val="0"/>
        <w:adjustRightInd w:val="0"/>
        <w:jc w:val="both"/>
        <w:rPr>
          <w:iCs/>
          <w:color w:val="000000" w:themeColor="text1"/>
          <w:sz w:val="16"/>
          <w:szCs w:val="16"/>
        </w:rPr>
      </w:pPr>
    </w:p>
    <w:p w14:paraId="56C872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 г. Генеральный проект ЧТЗ был завершен и передан в Челябинск. План разбивки цехов оказался настолько точен, что произведенная затем закладка фундаментов не потребовала никаких изменений [16]. В Ленинград советские инженеры вернулись только 26 сентября 1931 г. (11811).</w:t>
      </w:r>
    </w:p>
    <w:p w14:paraId="62DF03A7" w14:textId="77777777" w:rsidR="00537E5F" w:rsidRPr="00507A31" w:rsidRDefault="00537E5F" w:rsidP="00507A31">
      <w:pPr>
        <w:autoSpaceDE w:val="0"/>
        <w:autoSpaceDN w:val="0"/>
        <w:adjustRightInd w:val="0"/>
        <w:jc w:val="both"/>
        <w:rPr>
          <w:color w:val="000000" w:themeColor="text1"/>
          <w:sz w:val="16"/>
          <w:szCs w:val="16"/>
        </w:rPr>
      </w:pPr>
    </w:p>
    <w:p w14:paraId="209C109C" w14:textId="77777777" w:rsidR="00635E38" w:rsidRPr="00507A31" w:rsidRDefault="00635E38" w:rsidP="00507A31">
      <w:pPr>
        <w:jc w:val="both"/>
        <w:rPr>
          <w:color w:val="000000" w:themeColor="text1"/>
          <w:sz w:val="16"/>
          <w:szCs w:val="16"/>
        </w:rPr>
      </w:pPr>
      <w:r w:rsidRPr="00507A31">
        <w:rPr>
          <w:color w:val="000000" w:themeColor="text1"/>
          <w:sz w:val="16"/>
          <w:szCs w:val="16"/>
        </w:rPr>
        <w:t xml:space="preserve">1 июня </w:t>
      </w:r>
      <w:bookmarkStart w:id="57" w:name="YANDEX_52"/>
      <w:bookmarkEnd w:id="57"/>
      <w:r w:rsidRPr="00507A31">
        <w:rPr>
          <w:rStyle w:val="highlight"/>
          <w:color w:val="000000" w:themeColor="text1"/>
          <w:sz w:val="16"/>
          <w:szCs w:val="16"/>
        </w:rPr>
        <w:t> 1930 </w:t>
      </w:r>
      <w:r w:rsidRPr="00507A31">
        <w:rPr>
          <w:color w:val="000000" w:themeColor="text1"/>
          <w:sz w:val="16"/>
          <w:szCs w:val="16"/>
        </w:rPr>
        <w:t xml:space="preserve"> года было предупредительное письмо лично </w:t>
      </w:r>
      <w:bookmarkStart w:id="58" w:name="YANDEX_53"/>
      <w:bookmarkEnd w:id="58"/>
      <w:r w:rsidRPr="00507A31">
        <w:rPr>
          <w:rStyle w:val="highlight"/>
          <w:color w:val="000000" w:themeColor="text1"/>
          <w:sz w:val="16"/>
          <w:szCs w:val="16"/>
        </w:rPr>
        <w:t> директору </w:t>
      </w:r>
      <w:bookmarkStart w:id="59" w:name="YANDEX_54"/>
      <w:bookmarkEnd w:id="59"/>
      <w:r w:rsidRPr="00507A31">
        <w:rPr>
          <w:rStyle w:val="highlight"/>
          <w:color w:val="000000" w:themeColor="text1"/>
          <w:sz w:val="16"/>
          <w:szCs w:val="16"/>
        </w:rPr>
        <w:t> завода </w:t>
      </w:r>
      <w:r w:rsidRPr="00507A31">
        <w:rPr>
          <w:color w:val="000000" w:themeColor="text1"/>
          <w:sz w:val="16"/>
          <w:szCs w:val="16"/>
        </w:rPr>
        <w:t xml:space="preserve"> «Большевик» Сальникову. «...Не взирая на указания треста заводоуправление не сумело наладить должным образом работу крупповцев, приглашенных на непродолжительное время, что тем более настоятельно диктует необходимостью использовать каждый день, каждый час их работы... Между тем, отсутствие до сих пор ожидаемых нами от Вас материалов, равно как и упорное уклонение от посылки нам обстоятельных отчетов о работе крупповцев с конкретными выводами о технико - экономическом эффекте - все это характеризует взятый и продолжаемый администрацией В/</w:t>
      </w:r>
      <w:bookmarkStart w:id="60" w:name="YANDEX_55"/>
      <w:bookmarkEnd w:id="60"/>
      <w:r w:rsidRPr="00507A31">
        <w:rPr>
          <w:rStyle w:val="highlight"/>
          <w:color w:val="000000" w:themeColor="text1"/>
          <w:sz w:val="16"/>
          <w:szCs w:val="16"/>
        </w:rPr>
        <w:t> завода </w:t>
      </w:r>
      <w:r w:rsidRPr="00507A31">
        <w:rPr>
          <w:color w:val="000000" w:themeColor="text1"/>
          <w:sz w:val="16"/>
          <w:szCs w:val="16"/>
        </w:rPr>
        <w:t xml:space="preserve"> в этой области темп - с прохладцей. Еще раз категорически подчеркивая настоятельную необходимость взять, наконец, в отношении работающих у Вас крупповских специалистов, курс на максимальное использование их знаний и опыта... ...обращаем Ваше внимание на то, что согласно приказа по ВСНХ за № 113/с, ответственность за правильное, наиболее эффективное использование иностранных специалистов лежит всецело на Вас...» (17225).</w:t>
      </w:r>
    </w:p>
    <w:p w14:paraId="1E35FC94" w14:textId="77777777" w:rsidR="00635E38" w:rsidRPr="00507A31" w:rsidRDefault="00635E38" w:rsidP="00507A31">
      <w:pPr>
        <w:jc w:val="both"/>
        <w:rPr>
          <w:color w:val="000000" w:themeColor="text1"/>
          <w:sz w:val="16"/>
          <w:szCs w:val="16"/>
        </w:rPr>
      </w:pPr>
    </w:p>
    <w:p w14:paraId="18276D5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B999511" w14:textId="77777777" w:rsidR="00537E5F" w:rsidRPr="00507A31" w:rsidRDefault="00537E5F" w:rsidP="00507A31">
      <w:pPr>
        <w:autoSpaceDE w:val="0"/>
        <w:autoSpaceDN w:val="0"/>
        <w:adjustRightInd w:val="0"/>
        <w:jc w:val="both"/>
        <w:rPr>
          <w:iCs/>
          <w:color w:val="000000" w:themeColor="text1"/>
          <w:sz w:val="16"/>
          <w:szCs w:val="16"/>
        </w:rPr>
      </w:pPr>
    </w:p>
    <w:p w14:paraId="0DF882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1 июня 1930 после массового выхода из колхозов весной 1930 г., процент коллективизации по стране упал до 23, 6%. Украинская ССР. За пять месяцев 1930 г. в УССР раскулачено 90 тыс.крестьянских хозяйств. За тот же период на Украине было совершено 1, 5 тыс.террористических актов против колхозных активистов (10687).</w:t>
      </w:r>
    </w:p>
    <w:p w14:paraId="11B11E04" w14:textId="77777777" w:rsidR="00537E5F" w:rsidRPr="00507A31" w:rsidRDefault="00537E5F" w:rsidP="00507A31">
      <w:pPr>
        <w:autoSpaceDE w:val="0"/>
        <w:autoSpaceDN w:val="0"/>
        <w:adjustRightInd w:val="0"/>
        <w:jc w:val="both"/>
        <w:rPr>
          <w:color w:val="000000" w:themeColor="text1"/>
          <w:sz w:val="16"/>
          <w:szCs w:val="16"/>
        </w:rPr>
      </w:pPr>
    </w:p>
    <w:p w14:paraId="52D947AF" w14:textId="77777777" w:rsidR="0002641F" w:rsidRPr="00507A31" w:rsidRDefault="0002641F" w:rsidP="00507A31">
      <w:pPr>
        <w:jc w:val="both"/>
        <w:rPr>
          <w:color w:val="000000" w:themeColor="text1"/>
          <w:sz w:val="16"/>
          <w:szCs w:val="16"/>
        </w:rPr>
      </w:pPr>
      <w:r w:rsidRPr="00507A31">
        <w:rPr>
          <w:bCs/>
          <w:color w:val="000000" w:themeColor="text1"/>
          <w:sz w:val="16"/>
          <w:szCs w:val="16"/>
        </w:rPr>
        <w:t>1 июня</w:t>
      </w:r>
      <w:r w:rsidRPr="00507A31">
        <w:rPr>
          <w:color w:val="000000" w:themeColor="text1"/>
          <w:sz w:val="16"/>
          <w:szCs w:val="16"/>
        </w:rPr>
        <w:t xml:space="preserve"> в 1930 году в программы Центрального радиовещания введены, как их тогда называли, «актуальные передачи» или «трансляции из жизни». Передачи с места события (репортаж) «рассматривались как наиболее сложное, но наиболее наглядное освещение событий, не последующий рассказ о них, а их показ» (Соколовский К. Очеркист у микрофона. Москва, 1934, страница 6) (14909).</w:t>
      </w:r>
    </w:p>
    <w:p w14:paraId="749FE24E" w14:textId="77777777" w:rsidR="0002641F" w:rsidRPr="00507A31" w:rsidRDefault="0002641F" w:rsidP="00507A31">
      <w:pPr>
        <w:jc w:val="both"/>
        <w:rPr>
          <w:color w:val="000000" w:themeColor="text1"/>
          <w:sz w:val="16"/>
          <w:szCs w:val="16"/>
        </w:rPr>
      </w:pPr>
    </w:p>
    <w:p w14:paraId="34B9D3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1 июня 1930-го в подчинении УЛАГа находилось семь ИТЛ, общее число заключенных составляло 168 163 человека, из них в УСЛОНе (лесозаготовки, строительство дорог, осушение болот) - 62 563, в УСЕВЛОНе (разделка и погрузка экспортного леса, строительство дорог и другие работы) - 38 103, в УВЛОНе (строительство целлюлозно-бумажного комбината, лесозаготовки и другие работы) - 18 863, в СИБУЛОНе (добыча золота и угля, лесозаготовки, строительство дорог и другие работы) - 24 566, в ДАЛЬУЛОНе (лесозаготовки, строительство дорог, добыча золота и угля, лов рыбы и другие работы) - 18 149, в УСАЗЛОНе (мелиоративные работы и работа в совхозах) - 3548, в КАЗУЛОНе (строительство совхоза-гиганта) - 2823 человека (7560).</w:t>
      </w:r>
    </w:p>
    <w:p w14:paraId="57F1F290" w14:textId="77777777" w:rsidR="00537E5F" w:rsidRPr="00507A31" w:rsidRDefault="00537E5F" w:rsidP="00507A31">
      <w:pPr>
        <w:autoSpaceDE w:val="0"/>
        <w:autoSpaceDN w:val="0"/>
        <w:adjustRightInd w:val="0"/>
        <w:jc w:val="both"/>
        <w:rPr>
          <w:color w:val="000000" w:themeColor="text1"/>
          <w:sz w:val="16"/>
          <w:szCs w:val="16"/>
        </w:rPr>
      </w:pPr>
    </w:p>
    <w:p w14:paraId="77F36D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1 июня 1930 года в подчинении УЛАГа находилось семь ИТЛ, общее число заключенных составляло 168 163 человека (8983).</w:t>
      </w:r>
    </w:p>
    <w:p w14:paraId="50CE1C35" w14:textId="77777777" w:rsidR="00537E5F" w:rsidRPr="00507A31" w:rsidRDefault="00537E5F" w:rsidP="00507A31">
      <w:pPr>
        <w:autoSpaceDE w:val="0"/>
        <w:autoSpaceDN w:val="0"/>
        <w:adjustRightInd w:val="0"/>
        <w:jc w:val="both"/>
        <w:rPr>
          <w:color w:val="000000" w:themeColor="text1"/>
          <w:sz w:val="16"/>
          <w:szCs w:val="16"/>
        </w:rPr>
      </w:pPr>
    </w:p>
    <w:p w14:paraId="0E1CECC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6B3773E" w14:textId="77777777" w:rsidR="00537E5F" w:rsidRPr="00507A31" w:rsidRDefault="00537E5F" w:rsidP="00507A31">
      <w:pPr>
        <w:autoSpaceDE w:val="0"/>
        <w:autoSpaceDN w:val="0"/>
        <w:adjustRightInd w:val="0"/>
        <w:jc w:val="both"/>
        <w:rPr>
          <w:iCs/>
          <w:color w:val="000000" w:themeColor="text1"/>
          <w:sz w:val="16"/>
          <w:szCs w:val="16"/>
        </w:rPr>
      </w:pPr>
    </w:p>
    <w:p w14:paraId="2DF231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июня 1930 г. решением РЗ СТО принято к сведению заявление тт. Урываева и Будняка о том, что принятыми со стороны ВСНХ мерами выполнение программы танкостроения текущего года обеспечивается полностью к 1 октября 1930 г. (10977).</w:t>
      </w:r>
    </w:p>
    <w:p w14:paraId="3F6D9316" w14:textId="77777777" w:rsidR="00537E5F" w:rsidRPr="00507A31" w:rsidRDefault="00537E5F" w:rsidP="00507A31">
      <w:pPr>
        <w:autoSpaceDE w:val="0"/>
        <w:autoSpaceDN w:val="0"/>
        <w:adjustRightInd w:val="0"/>
        <w:jc w:val="both"/>
        <w:rPr>
          <w:color w:val="000000" w:themeColor="text1"/>
          <w:sz w:val="16"/>
          <w:szCs w:val="16"/>
        </w:rPr>
      </w:pPr>
    </w:p>
    <w:p w14:paraId="69B0985E" w14:textId="77777777" w:rsidR="0062721E" w:rsidRPr="00507A31" w:rsidRDefault="0062721E" w:rsidP="00507A31">
      <w:pPr>
        <w:pStyle w:val="rtejustify"/>
        <w:spacing w:before="0" w:after="0"/>
        <w:rPr>
          <w:color w:val="000000" w:themeColor="text1"/>
          <w:sz w:val="16"/>
          <w:szCs w:val="16"/>
        </w:rPr>
      </w:pPr>
      <w:r w:rsidRPr="00507A31">
        <w:rPr>
          <w:rStyle w:val="af0"/>
          <w:i w:val="0"/>
          <w:color w:val="000000" w:themeColor="text1"/>
          <w:sz w:val="16"/>
          <w:szCs w:val="16"/>
        </w:rPr>
        <w:t xml:space="preserve">2 июня 1930 г. Протокол Реввоенсовета № 10. </w:t>
      </w:r>
      <w:r w:rsidRPr="00507A31">
        <w:rPr>
          <w:color w:val="000000" w:themeColor="text1"/>
          <w:sz w:val="16"/>
          <w:szCs w:val="16"/>
        </w:rPr>
        <w:t>2. О ходе по осуществлению системы артвооружения и ходе работ по модернизации. (Ефимов). 5. Утверждение первоначальных контрольных цифр НКВМ на 1930/31 бюджетный год. (Уншлихт). 6. Отчетный доклад об исполнении сметы НКВМ за 1928/29 г. (Лукин). (РГВА. Ф. 4. Оп. 18. Д. 19. Л. 169</w:t>
      </w:r>
      <w:r w:rsidRPr="00507A31">
        <w:rPr>
          <w:color w:val="000000" w:themeColor="text1"/>
          <w:sz w:val="16"/>
          <w:szCs w:val="16"/>
        </w:rPr>
        <w:noBreakHyphen/>
        <w:t>172, 173) (12342).</w:t>
      </w:r>
    </w:p>
    <w:p w14:paraId="36D24523" w14:textId="77777777" w:rsidR="0062721E" w:rsidRPr="00507A31" w:rsidRDefault="0062721E" w:rsidP="00507A31">
      <w:pPr>
        <w:pStyle w:val="rtejustify"/>
        <w:spacing w:before="0" w:after="0"/>
        <w:rPr>
          <w:color w:val="000000" w:themeColor="text1"/>
          <w:sz w:val="16"/>
          <w:szCs w:val="16"/>
        </w:rPr>
      </w:pPr>
    </w:p>
    <w:p w14:paraId="3BB3144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Авиапромышленность:</w:t>
      </w:r>
    </w:p>
    <w:p w14:paraId="601DA2FC" w14:textId="77777777" w:rsidR="00537E5F" w:rsidRPr="00507A31" w:rsidRDefault="00537E5F" w:rsidP="00507A31">
      <w:pPr>
        <w:autoSpaceDE w:val="0"/>
        <w:autoSpaceDN w:val="0"/>
        <w:adjustRightInd w:val="0"/>
        <w:jc w:val="both"/>
        <w:rPr>
          <w:iCs/>
          <w:color w:val="000000" w:themeColor="text1"/>
          <w:sz w:val="16"/>
          <w:szCs w:val="16"/>
        </w:rPr>
      </w:pPr>
    </w:p>
    <w:p w14:paraId="6C028A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июня 1930 Начальник ВВС РККА писал письмо № 7сс Председателю РВС Союза ССР</w:t>
      </w:r>
    </w:p>
    <w:p w14:paraId="388501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 передаче Авиаоб"единения в подчинение нач.ВВС РККА.</w:t>
      </w:r>
    </w:p>
    <w:p w14:paraId="61A270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Резолюция председателя РВС СССР на контрлисте № 14 от 11/У1-1950 г.:</w:t>
      </w:r>
    </w:p>
    <w:p w14:paraId="2FCF7C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"Вести прора</w:t>
      </w:r>
      <w:r w:rsidRPr="00507A31">
        <w:rPr>
          <w:color w:val="000000" w:themeColor="text1"/>
          <w:sz w:val="16"/>
          <w:szCs w:val="16"/>
        </w:rPr>
        <w:softHyphen/>
        <w:t>ботку вопроса е организацион</w:t>
      </w:r>
      <w:r w:rsidRPr="00507A31">
        <w:rPr>
          <w:color w:val="000000" w:themeColor="text1"/>
          <w:sz w:val="16"/>
          <w:szCs w:val="16"/>
        </w:rPr>
        <w:softHyphen/>
        <w:t>ной стороны, проработав как орг. схему, так и наметку не</w:t>
      </w:r>
      <w:r w:rsidRPr="00507A31">
        <w:rPr>
          <w:color w:val="000000" w:themeColor="text1"/>
          <w:sz w:val="16"/>
          <w:szCs w:val="16"/>
        </w:rPr>
        <w:softHyphen/>
        <w:t>обходимых мероприятий в связи с передачей от ВСНХ Авиаоб"единения. Подумать о личном со</w:t>
      </w:r>
      <w:r w:rsidRPr="00507A31">
        <w:rPr>
          <w:color w:val="000000" w:themeColor="text1"/>
          <w:sz w:val="16"/>
          <w:szCs w:val="16"/>
        </w:rPr>
        <w:softHyphen/>
        <w:t>ставе на руководящие посты.."</w:t>
      </w:r>
    </w:p>
    <w:p w14:paraId="45D64B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1.6.30. Ворошилов.</w:t>
      </w:r>
    </w:p>
    <w:p w14:paraId="491191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Верно:</w:t>
      </w:r>
    </w:p>
    <w:p w14:paraId="4216C8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особых поручений при НВВС РККА</w:t>
      </w:r>
    </w:p>
    <w:p w14:paraId="7F0917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ДОКЛАД.</w:t>
      </w:r>
    </w:p>
    <w:p w14:paraId="1AEA62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 исполнение Вашего приказания при сем представляв ориентировочную схему организации Управления Воздушного Флота РЛКА на случай передачи Авиаоб"единения Наркомвоен-мору и подчинения его начальнику ВВС РККА.</w:t>
      </w:r>
    </w:p>
    <w:p w14:paraId="2CCB48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Основные функции Управления Воздушного Флота между егоГ подразделениями /Управлениями/ распределяются следую</w:t>
      </w:r>
      <w:r w:rsidRPr="00507A31">
        <w:rPr>
          <w:color w:val="000000" w:themeColor="text1"/>
          <w:sz w:val="16"/>
          <w:szCs w:val="16"/>
        </w:rPr>
        <w:softHyphen/>
        <w:t>щим образом:</w:t>
      </w:r>
    </w:p>
    <w:p w14:paraId="0DB66A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1-е Управление - Учебно-строевое ведает организацией, мо</w:t>
      </w:r>
      <w:r w:rsidRPr="00507A31">
        <w:rPr>
          <w:color w:val="000000" w:themeColor="text1"/>
          <w:sz w:val="16"/>
          <w:szCs w:val="16"/>
        </w:rPr>
        <w:softHyphen/>
        <w:t>билизацией, учебно-боевой подготовкой и боевым использованием строевых частей ВВС РККА.</w:t>
      </w:r>
    </w:p>
    <w:p w14:paraId="2A2ED6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 Управление - кадров, ведает всеми военными и гражданс</w:t>
      </w:r>
      <w:r w:rsidRPr="00507A31">
        <w:rPr>
          <w:color w:val="000000" w:themeColor="text1"/>
          <w:sz w:val="16"/>
          <w:szCs w:val="16"/>
        </w:rPr>
        <w:softHyphen/>
        <w:t>кими учебными заведениями Воздушного флота, учетом и перемещением личного состава ТС, гражданской авиации; и авиационной промыш</w:t>
      </w:r>
      <w:r w:rsidRPr="00507A31">
        <w:rPr>
          <w:color w:val="000000" w:themeColor="text1"/>
          <w:sz w:val="16"/>
          <w:szCs w:val="16"/>
        </w:rPr>
        <w:softHyphen/>
        <w:t>ленности.</w:t>
      </w:r>
    </w:p>
    <w:p w14:paraId="61D9D0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Ш-е Управление - Специального снабжения, ведает учетом, хра</w:t>
      </w:r>
      <w:r w:rsidRPr="00507A31">
        <w:rPr>
          <w:color w:val="000000" w:themeColor="text1"/>
          <w:sz w:val="16"/>
          <w:szCs w:val="16"/>
        </w:rPr>
        <w:softHyphen/>
        <w:t>нением и распределением всего специального имущества Воздушного флота, исчислением зая</w:t>
      </w:r>
      <w:r w:rsidRPr="00507A31">
        <w:rPr>
          <w:color w:val="000000" w:themeColor="text1"/>
          <w:sz w:val="16"/>
          <w:szCs w:val="16"/>
        </w:rPr>
        <w:softHyphen/>
        <w:t>вок ВВС и наблюдением за их удовлетворением другими центральными довольствующими управ</w:t>
      </w:r>
      <w:r w:rsidRPr="00507A31">
        <w:rPr>
          <w:color w:val="000000" w:themeColor="text1"/>
          <w:sz w:val="16"/>
          <w:szCs w:val="16"/>
        </w:rPr>
        <w:softHyphen/>
        <w:t>лениями Наркомвоенмора.</w:t>
      </w:r>
    </w:p>
    <w:p w14:paraId="7C2001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IV-е Управление - Техническое, ведает заказами на все виды специального имущества, опытным строитель</w:t>
      </w:r>
      <w:r w:rsidRPr="00507A31">
        <w:rPr>
          <w:color w:val="000000" w:themeColor="text1"/>
          <w:sz w:val="16"/>
          <w:szCs w:val="16"/>
        </w:rPr>
        <w:softHyphen/>
        <w:t>ством Воздушного флота, технической эксплоа-тацией и технической приемкой всего специаль ного имущества Воздушного флота»</w:t>
      </w:r>
    </w:p>
    <w:p w14:paraId="72EF57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Начальнику этого Управления подчинаются ЦАГИ, НАМИ и НИИ.</w:t>
      </w:r>
    </w:p>
    <w:p w14:paraId="62F1FB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V-е Управление - Гражданской авиации, ведает планированием, организацией, эксплоатацией и заказами на все виды имущества всего гражданского Воз</w:t>
      </w:r>
      <w:r w:rsidRPr="00507A31">
        <w:rPr>
          <w:color w:val="000000" w:themeColor="text1"/>
          <w:sz w:val="16"/>
          <w:szCs w:val="16"/>
        </w:rPr>
        <w:softHyphen/>
        <w:t>душного флота.</w:t>
      </w:r>
    </w:p>
    <w:p w14:paraId="785B75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VI-е Управление - Авиационной промышленности, ведает органи</w:t>
      </w:r>
      <w:r w:rsidRPr="00507A31">
        <w:rPr>
          <w:color w:val="000000" w:themeColor="text1"/>
          <w:sz w:val="16"/>
          <w:szCs w:val="16"/>
        </w:rPr>
        <w:softHyphen/>
        <w:t>зацией, мобилизацией, снабжением, оборудо</w:t>
      </w:r>
      <w:r w:rsidRPr="00507A31">
        <w:rPr>
          <w:color w:val="000000" w:themeColor="text1"/>
          <w:sz w:val="16"/>
          <w:szCs w:val="16"/>
        </w:rPr>
        <w:softHyphen/>
        <w:t>ванием, финансированием и техникой произ</w:t>
      </w:r>
      <w:r w:rsidRPr="00507A31">
        <w:rPr>
          <w:color w:val="000000" w:themeColor="text1"/>
          <w:sz w:val="16"/>
          <w:szCs w:val="16"/>
        </w:rPr>
        <w:softHyphen/>
        <w:t>водства всей авиационной промышленности, включая ремонт.</w:t>
      </w:r>
    </w:p>
    <w:p w14:paraId="67C392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УП-е Управление - Заграничное, ведает импортом и экспортом Воздушного флота.</w:t>
      </w:r>
    </w:p>
    <w:p w14:paraId="54E7F9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УШ-е Управление - Строительное, ведает строительством новых фабрик и заводов авиационной промышленности специальным и казарменным строительством гражданской авиации и ВВС РККА»</w:t>
      </w:r>
    </w:p>
    <w:p w14:paraId="6260F2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IX-е -Управление- Финансово-Плановое, ведает составлением, проведением и исполнением перспективных планов и ежегодных смет Воздушного флота.</w:t>
      </w:r>
    </w:p>
    <w:p w14:paraId="3C3979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того, при Начальнике Воздушного флота состоит Управление Делами, ведающее общей перепиской и осуществля</w:t>
      </w:r>
      <w:r w:rsidRPr="00507A31">
        <w:rPr>
          <w:color w:val="000000" w:themeColor="text1"/>
          <w:sz w:val="16"/>
          <w:szCs w:val="16"/>
        </w:rPr>
        <w:softHyphen/>
        <w:t>ющее контрощь за исполнением.</w:t>
      </w:r>
    </w:p>
    <w:p w14:paraId="03ED98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Приведенная ориентировочная схема организации, сильно упрощенная мною, показывает, насколько громоздко и обширно по своим функциям /обязанностям/ и ответственности получается Управление Воздушного флота РККА, при сосредоточении в нем руководства и ответственности за состоянием авиапромыш</w:t>
      </w:r>
      <w:r w:rsidRPr="00507A31">
        <w:rPr>
          <w:color w:val="000000" w:themeColor="text1"/>
          <w:sz w:val="16"/>
          <w:szCs w:val="16"/>
        </w:rPr>
        <w:softHyphen/>
        <w:t>ленности.</w:t>
      </w:r>
    </w:p>
    <w:p w14:paraId="4D0C5A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Успешное выполнение всех этих обязанностей и улучшение темпов и качества работы авиапромышленности по крайней мере на 20-30% против существующего положения возможно только при условии предоставления большой самостоятельности в опе</w:t>
      </w:r>
      <w:r w:rsidRPr="00507A31">
        <w:rPr>
          <w:color w:val="000000" w:themeColor="text1"/>
          <w:sz w:val="16"/>
          <w:szCs w:val="16"/>
        </w:rPr>
        <w:softHyphen/>
        <w:t>ративной работе Начальникам Управлений и состоящих в их пря</w:t>
      </w:r>
      <w:r w:rsidRPr="00507A31">
        <w:rPr>
          <w:color w:val="000000" w:themeColor="text1"/>
          <w:sz w:val="16"/>
          <w:szCs w:val="16"/>
        </w:rPr>
        <w:softHyphen/>
        <w:t>мом и непосредственном подчинении ответственных исполните</w:t>
      </w:r>
      <w:r w:rsidRPr="00507A31">
        <w:rPr>
          <w:color w:val="000000" w:themeColor="text1"/>
          <w:sz w:val="16"/>
          <w:szCs w:val="16"/>
        </w:rPr>
        <w:softHyphen/>
        <w:t>лей. Предоставление такой самостоятельности в оперативной работе начальникам подразделений в сво» очередь возможно только при наличии на этих должностях достаточно компетент</w:t>
      </w:r>
      <w:r w:rsidRPr="00507A31">
        <w:rPr>
          <w:color w:val="000000" w:themeColor="text1"/>
          <w:sz w:val="16"/>
          <w:szCs w:val="16"/>
        </w:rPr>
        <w:softHyphen/>
        <w:t>ных, распорядительных и решительных людей, Между тем, как Вам известно, одной из основных и главнейших причин несо</w:t>
      </w:r>
      <w:r w:rsidRPr="00507A31">
        <w:rPr>
          <w:color w:val="000000" w:themeColor="text1"/>
          <w:sz w:val="16"/>
          <w:szCs w:val="16"/>
        </w:rPr>
        <w:softHyphen/>
        <w:t>стоятельности Всесоюзного Авиаоб"единения справиться со сво</w:t>
      </w:r>
      <w:r w:rsidRPr="00507A31">
        <w:rPr>
          <w:color w:val="000000" w:themeColor="text1"/>
          <w:sz w:val="16"/>
          <w:szCs w:val="16"/>
        </w:rPr>
        <w:softHyphen/>
        <w:t>ими задачами заключается именно в большом недостатке дело</w:t>
      </w:r>
      <w:r w:rsidRPr="00507A31">
        <w:rPr>
          <w:color w:val="000000" w:themeColor="text1"/>
          <w:sz w:val="16"/>
          <w:szCs w:val="16"/>
        </w:rPr>
        <w:softHyphen/>
        <w:t>вых и ответственных работников.</w:t>
      </w:r>
    </w:p>
    <w:p w14:paraId="6DF7B7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Покрытые этого недостатка авиапромышленности из соста</w:t>
      </w:r>
      <w:r w:rsidRPr="00507A31">
        <w:rPr>
          <w:color w:val="000000" w:themeColor="text1"/>
          <w:sz w:val="16"/>
          <w:szCs w:val="16"/>
        </w:rPr>
        <w:softHyphen/>
        <w:t>ва .ВВС даже при передаче авиаоб"единения Наркомвоенмору невозможно иг-за большой ограниченности кадрами самих ВВС при необычайно быстром количественномросте их предполагаемом дальнейшем увеличении темпов развития и недостаточном пополнении состава ВВС деловыми ответственными командирами и начальниками за счет земных войск РККА.</w:t>
      </w:r>
    </w:p>
    <w:p w14:paraId="53574B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smallCaps/>
          <w:color w:val="000000" w:themeColor="text1"/>
          <w:sz w:val="16"/>
          <w:szCs w:val="16"/>
        </w:rPr>
        <w:t>приложение: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371BA" w:rsidRPr="00507A31" w14:paraId="3B0E42F3" w14:textId="77777777">
        <w:tc>
          <w:tcPr>
            <w:tcW w:w="4788" w:type="dxa"/>
            <w:tcBorders>
              <w:top w:val="single" w:sz="12" w:space="0" w:color="auto"/>
              <w:bottom w:val="single" w:sz="12" w:space="0" w:color="auto"/>
            </w:tcBorders>
            <w:shd w:val="clear" w:color="auto" w:fill="FFFFFF"/>
          </w:tcPr>
          <w:p w14:paraId="56F175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Управление Воздушного флота</w:t>
            </w:r>
          </w:p>
        </w:tc>
        <w:tc>
          <w:tcPr>
            <w:tcW w:w="4788" w:type="dxa"/>
            <w:tcBorders>
              <w:top w:val="single" w:sz="12" w:space="0" w:color="auto"/>
              <w:bottom w:val="single" w:sz="12" w:space="0" w:color="auto"/>
            </w:tcBorders>
            <w:shd w:val="clear" w:color="auto" w:fill="FFFFFF"/>
          </w:tcPr>
          <w:p w14:paraId="08302B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Упревлен, делами</w:t>
            </w:r>
          </w:p>
        </w:tc>
      </w:tr>
    </w:tbl>
    <w:p w14:paraId="2D2B43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УПРАВЛЕНИЯ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97"/>
        <w:gridCol w:w="1197"/>
        <w:gridCol w:w="1197"/>
        <w:gridCol w:w="1197"/>
        <w:gridCol w:w="1197"/>
        <w:gridCol w:w="1197"/>
        <w:gridCol w:w="1197"/>
        <w:gridCol w:w="1197"/>
      </w:tblGrid>
      <w:tr w:rsidR="00E371BA" w:rsidRPr="00507A31" w14:paraId="4ADD2F14" w14:textId="77777777">
        <w:tc>
          <w:tcPr>
            <w:tcW w:w="1197" w:type="dxa"/>
            <w:tcBorders>
              <w:top w:val="single" w:sz="12" w:space="0" w:color="auto"/>
              <w:bottom w:val="single" w:sz="12" w:space="0" w:color="auto"/>
            </w:tcBorders>
            <w:shd w:val="clear" w:color="auto" w:fill="FFFFFF"/>
          </w:tcPr>
          <w:p w14:paraId="6FC6ED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учебно-строевое</w:t>
            </w:r>
          </w:p>
        </w:tc>
        <w:tc>
          <w:tcPr>
            <w:tcW w:w="1197" w:type="dxa"/>
            <w:tcBorders>
              <w:top w:val="single" w:sz="12" w:space="0" w:color="auto"/>
              <w:bottom w:val="single" w:sz="12" w:space="0" w:color="auto"/>
            </w:tcBorders>
            <w:shd w:val="clear" w:color="auto" w:fill="FFFFFF"/>
          </w:tcPr>
          <w:p w14:paraId="3D8DD6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спец. снабж.</w:t>
            </w:r>
          </w:p>
        </w:tc>
        <w:tc>
          <w:tcPr>
            <w:tcW w:w="1197" w:type="dxa"/>
            <w:tcBorders>
              <w:top w:val="single" w:sz="12" w:space="0" w:color="auto"/>
              <w:bottom w:val="single" w:sz="12" w:space="0" w:color="auto"/>
            </w:tcBorders>
            <w:shd w:val="clear" w:color="auto" w:fill="FFFFFF"/>
          </w:tcPr>
          <w:p w14:paraId="057120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Техническое</w:t>
            </w:r>
          </w:p>
        </w:tc>
        <w:tc>
          <w:tcPr>
            <w:tcW w:w="1197" w:type="dxa"/>
            <w:tcBorders>
              <w:top w:val="single" w:sz="12" w:space="0" w:color="auto"/>
              <w:bottom w:val="single" w:sz="12" w:space="0" w:color="auto"/>
            </w:tcBorders>
            <w:shd w:val="clear" w:color="auto" w:fill="FFFFFF"/>
          </w:tcPr>
          <w:p w14:paraId="5FFBD2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Гражд. Авиации</w:t>
            </w:r>
          </w:p>
        </w:tc>
        <w:tc>
          <w:tcPr>
            <w:tcW w:w="1197" w:type="dxa"/>
            <w:tcBorders>
              <w:top w:val="single" w:sz="12" w:space="0" w:color="auto"/>
              <w:bottom w:val="single" w:sz="12" w:space="0" w:color="auto"/>
            </w:tcBorders>
            <w:shd w:val="clear" w:color="auto" w:fill="FFFFFF"/>
          </w:tcPr>
          <w:p w14:paraId="5AC30D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Авиац. промышленности</w:t>
            </w:r>
          </w:p>
        </w:tc>
        <w:tc>
          <w:tcPr>
            <w:tcW w:w="1197" w:type="dxa"/>
            <w:tcBorders>
              <w:top w:val="single" w:sz="12" w:space="0" w:color="auto"/>
              <w:bottom w:val="single" w:sz="12" w:space="0" w:color="auto"/>
            </w:tcBorders>
            <w:shd w:val="clear" w:color="auto" w:fill="FFFFFF"/>
          </w:tcPr>
          <w:p w14:paraId="07DBC4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Заграничное</w:t>
            </w:r>
          </w:p>
        </w:tc>
        <w:tc>
          <w:tcPr>
            <w:tcW w:w="1197" w:type="dxa"/>
            <w:tcBorders>
              <w:top w:val="single" w:sz="12" w:space="0" w:color="auto"/>
              <w:bottom w:val="single" w:sz="12" w:space="0" w:color="auto"/>
            </w:tcBorders>
            <w:shd w:val="clear" w:color="auto" w:fill="FFFFFF"/>
          </w:tcPr>
          <w:p w14:paraId="15007D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w:t>
            </w:r>
          </w:p>
        </w:tc>
        <w:tc>
          <w:tcPr>
            <w:tcW w:w="1197" w:type="dxa"/>
            <w:tcBorders>
              <w:top w:val="single" w:sz="12" w:space="0" w:color="auto"/>
              <w:bottom w:val="single" w:sz="12" w:space="0" w:color="auto"/>
            </w:tcBorders>
            <w:shd w:val="clear" w:color="auto" w:fill="FFFFFF"/>
          </w:tcPr>
          <w:p w14:paraId="4ED7E0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Фин. планирования</w:t>
            </w:r>
          </w:p>
        </w:tc>
      </w:tr>
    </w:tbl>
    <w:p w14:paraId="2263EE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Наряду с этим считаю своим долгом доложить Вам, что помимо недостатка деловых ответственных работников, быстрое и успешное развертывание деятельности Авиеоб”единения силь</w:t>
      </w:r>
      <w:r w:rsidRPr="00507A31">
        <w:rPr>
          <w:color w:val="000000" w:themeColor="text1"/>
          <w:sz w:val="16"/>
          <w:szCs w:val="16"/>
        </w:rPr>
        <w:softHyphen/>
        <w:t>но тормозится необычайно большой технической отсталостью таких основных сырьевых и подсобных производств авиапромыш</w:t>
      </w:r>
      <w:r w:rsidRPr="00507A31">
        <w:rPr>
          <w:color w:val="000000" w:themeColor="text1"/>
          <w:sz w:val="16"/>
          <w:szCs w:val="16"/>
        </w:rPr>
        <w:softHyphen/>
        <w:t xml:space="preserve">ленности </w:t>
      </w:r>
      <w:r w:rsidRPr="00507A31">
        <w:rPr>
          <w:color w:val="000000" w:themeColor="text1"/>
          <w:sz w:val="16"/>
          <w:szCs w:val="16"/>
          <w:vertAlign w:val="subscript"/>
        </w:rPr>
        <w:t>г</w:t>
      </w:r>
      <w:r w:rsidRPr="00507A31">
        <w:rPr>
          <w:color w:val="000000" w:themeColor="text1"/>
          <w:sz w:val="16"/>
          <w:szCs w:val="16"/>
        </w:rPr>
        <w:t xml:space="preserve"> каковыми являются:</w:t>
      </w:r>
    </w:p>
    <w:p w14:paraId="6EC475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литье и штамповка по легким сплавам и цветному металлу - дюралю, алюминию, меди и др.;</w:t>
      </w:r>
    </w:p>
    <w:p w14:paraId="01D183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изготовление поковок для коленчатых валов, цилинд</w:t>
      </w:r>
      <w:r w:rsidRPr="00507A31">
        <w:rPr>
          <w:color w:val="000000" w:themeColor="text1"/>
          <w:sz w:val="16"/>
          <w:szCs w:val="16"/>
        </w:rPr>
        <w:softHyphen/>
        <w:t>ров, шатунов для авиамоторов;</w:t>
      </w:r>
    </w:p>
    <w:p w14:paraId="5DAD46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производство высокосортных и большого диаметра труб дюралевых и стальных для самолетостроения;</w:t>
      </w:r>
    </w:p>
    <w:p w14:paraId="5B8870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производство приборов зажигания, помп /масляных, водяных и бензиноных/, карбюраторов, поршневых ко</w:t>
      </w:r>
      <w:r w:rsidRPr="00507A31">
        <w:rPr>
          <w:color w:val="000000" w:themeColor="text1"/>
          <w:sz w:val="16"/>
          <w:szCs w:val="16"/>
        </w:rPr>
        <w:softHyphen/>
        <w:t>лец и т.д.</w:t>
      </w:r>
    </w:p>
    <w:p w14:paraId="1C56E8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передаче авиапромышленности Наркомвоенмору все эти подсобные и сырьевые производства, составляющие основнув базу и предопределяющие темпы и качество работы авиапромыш</w:t>
      </w:r>
      <w:r w:rsidRPr="00507A31">
        <w:rPr>
          <w:color w:val="000000" w:themeColor="text1"/>
          <w:sz w:val="16"/>
          <w:szCs w:val="16"/>
        </w:rPr>
        <w:softHyphen/>
        <w:t>ленности, останутся в ведении ВСНХ Союза, продолжая рабо</w:t>
      </w:r>
      <w:r w:rsidRPr="00507A31">
        <w:rPr>
          <w:color w:val="000000" w:themeColor="text1"/>
          <w:sz w:val="16"/>
          <w:szCs w:val="16"/>
        </w:rPr>
        <w:softHyphen/>
        <w:t>тать по прежнему в отношении темпов, сроков и качества вы</w:t>
      </w:r>
      <w:r w:rsidRPr="00507A31">
        <w:rPr>
          <w:color w:val="000000" w:themeColor="text1"/>
          <w:sz w:val="16"/>
          <w:szCs w:val="16"/>
        </w:rPr>
        <w:softHyphen/>
        <w:t>пускаемой продукции.</w:t>
      </w:r>
    </w:p>
    <w:p w14:paraId="4D29E4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Ожесточенные споры и тяжбы, имеющие место в настоящее время между Наркомвоенмором в лице его технических довольствующих управлений и ШЮС в лице военной, в частности, авиа</w:t>
      </w:r>
      <w:r w:rsidRPr="00507A31">
        <w:rPr>
          <w:color w:val="000000" w:themeColor="text1"/>
          <w:sz w:val="16"/>
          <w:szCs w:val="16"/>
        </w:rPr>
        <w:softHyphen/>
        <w:t>ционной промышленности, будут продолжаться в виде споров и тяжб между Наркомвоенмором и ВС ЮС в лице объединений подсоб- | ных и сырьевых для авиапромышленности производств - Главцветмета, Главметалла, Электростали и других.</w:t>
      </w:r>
    </w:p>
    <w:p w14:paraId="5B36D6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Эти споры и тяжбы, как и до сих пор, будут продолжать отвлекать и занимать почти все внимание, время и силы руко</w:t>
      </w:r>
      <w:r w:rsidRPr="00507A31">
        <w:rPr>
          <w:color w:val="000000" w:themeColor="text1"/>
          <w:sz w:val="16"/>
          <w:szCs w:val="16"/>
        </w:rPr>
        <w:softHyphen/>
        <w:t>водителей Воздушного флота в явный ущерб учебно-боевой под</w:t>
      </w:r>
      <w:r w:rsidRPr="00507A31">
        <w:rPr>
          <w:color w:val="000000" w:themeColor="text1"/>
          <w:sz w:val="16"/>
          <w:szCs w:val="16"/>
        </w:rPr>
        <w:softHyphen/>
        <w:t>готовке и воспитанию ВВС.</w:t>
      </w:r>
    </w:p>
    <w:p w14:paraId="61C65C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силу всех этих обстоятельств полагаю более целесооб</w:t>
      </w:r>
      <w:r w:rsidRPr="00507A31">
        <w:rPr>
          <w:color w:val="000000" w:themeColor="text1"/>
          <w:sz w:val="16"/>
          <w:szCs w:val="16"/>
        </w:rPr>
        <w:softHyphen/>
        <w:t>разным и необходимым:</w:t>
      </w:r>
    </w:p>
    <w:p w14:paraId="11E2C8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Во-первых, Наркомвоенмору отказаться от приемки авиапромыш</w:t>
      </w:r>
      <w:r w:rsidRPr="00507A31">
        <w:rPr>
          <w:color w:val="000000" w:themeColor="text1"/>
          <w:sz w:val="16"/>
          <w:szCs w:val="16"/>
        </w:rPr>
        <w:softHyphen/>
        <w:t>ленности и настаивать на оставление ее в ведении ВСНХ</w:t>
      </w:r>
    </w:p>
    <w:p w14:paraId="4424D2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Во-вторых, выделить из состава РККА, в частности ВВС, и гражданской промышленности ВСНХ возможное потребное коли -чество деловых ответственных работников /инженеров, органи</w:t>
      </w:r>
      <w:r w:rsidRPr="00507A31">
        <w:rPr>
          <w:color w:val="000000" w:themeColor="text1"/>
          <w:sz w:val="16"/>
          <w:szCs w:val="16"/>
        </w:rPr>
        <w:softHyphen/>
        <w:t>заторов и администраторов/ на руководящую работу в Авиаоб"е-динение, заменить ими все нынешнее руководство до Начальника авиаоб"единения включительно.</w:t>
      </w:r>
    </w:p>
    <w:p w14:paraId="53A23A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третьих, сосредоточить на определенный промежуток време</w:t>
      </w:r>
      <w:r w:rsidRPr="00507A31">
        <w:rPr>
          <w:color w:val="000000" w:themeColor="text1"/>
          <w:sz w:val="16"/>
          <w:szCs w:val="16"/>
        </w:rPr>
        <w:softHyphen/>
        <w:t>ни исключительное внимание президиума ВСНХ, Правительства и "Инстанции" на быстрое подтягивание подсобных и основных сырьевых производств для всей военной, но особенно для авиа-; ционной промышленности, отпуская своевременно для этой цели потребные средства в советской и иностранной валюте.</w:t>
      </w:r>
    </w:p>
    <w:p w14:paraId="11B430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четвертых, передать в ведение Авиаоб"единения институты ЦАГИ и НАМИ, обеспечив их необходимыми средствами для быст</w:t>
      </w:r>
      <w:r w:rsidRPr="00507A31">
        <w:rPr>
          <w:color w:val="000000" w:themeColor="text1"/>
          <w:sz w:val="16"/>
          <w:szCs w:val="16"/>
        </w:rPr>
        <w:softHyphen/>
        <w:t>рого развития и расширения до потребных размеров.</w:t>
      </w:r>
    </w:p>
    <w:p w14:paraId="48B7DE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 если "Инстанцией" и Правительством все же будет признано необходимым передать авиапромышленность в веде</w:t>
      </w:r>
      <w:r w:rsidRPr="00507A31">
        <w:rPr>
          <w:color w:val="000000" w:themeColor="text1"/>
          <w:sz w:val="16"/>
          <w:szCs w:val="16"/>
        </w:rPr>
        <w:softHyphen/>
        <w:t>ние Наркомвоенмора с подчинением ее Начальнику ВВС РККА, то непременным и обязательным условием этой передачи долж</w:t>
      </w:r>
      <w:r w:rsidRPr="00507A31">
        <w:rPr>
          <w:color w:val="000000" w:themeColor="text1"/>
          <w:sz w:val="16"/>
          <w:szCs w:val="16"/>
        </w:rPr>
        <w:softHyphen/>
        <w:t>но быть:</w:t>
      </w:r>
    </w:p>
    <w:p w14:paraId="50D52F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Твердое обязательство /гарантия/ "Инстанции", Пра</w:t>
      </w:r>
      <w:r w:rsidRPr="00507A31">
        <w:rPr>
          <w:color w:val="000000" w:themeColor="text1"/>
          <w:sz w:val="16"/>
          <w:szCs w:val="16"/>
        </w:rPr>
        <w:softHyphen/>
        <w:t>вительства президиума ВСНХ быстрым темпом подтянуть и раз</w:t>
      </w:r>
      <w:r w:rsidRPr="00507A31">
        <w:rPr>
          <w:color w:val="000000" w:themeColor="text1"/>
          <w:sz w:val="16"/>
          <w:szCs w:val="16"/>
        </w:rPr>
        <w:softHyphen/>
        <w:t>вернуть подсобные и оырьевые производства для авиапромышлен</w:t>
      </w:r>
      <w:r w:rsidRPr="00507A31">
        <w:rPr>
          <w:color w:val="000000" w:themeColor="text1"/>
          <w:sz w:val="16"/>
          <w:szCs w:val="16"/>
        </w:rPr>
        <w:softHyphen/>
        <w:t>ности до технического уровня и размеров, потребных для успешной работы авиапромышленности, в первую очередь:</w:t>
      </w:r>
    </w:p>
    <w:p w14:paraId="1D942E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производство поковок для коленчатых валов, цилинд</w:t>
      </w:r>
      <w:r w:rsidRPr="00507A31">
        <w:rPr>
          <w:color w:val="000000" w:themeColor="text1"/>
          <w:sz w:val="16"/>
          <w:szCs w:val="16"/>
        </w:rPr>
        <w:softHyphen/>
        <w:t>ров и шатунов авиамоторов;</w:t>
      </w:r>
    </w:p>
    <w:p w14:paraId="58C45A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литье и Штамповку легких и цветных аплавов и ме</w:t>
      </w:r>
      <w:r w:rsidRPr="00507A31">
        <w:rPr>
          <w:color w:val="000000" w:themeColor="text1"/>
          <w:sz w:val="16"/>
          <w:szCs w:val="16"/>
        </w:rPr>
        <w:softHyphen/>
        <w:t>таллов - дюраля, электрона, меди и т.д. для авиа</w:t>
      </w:r>
      <w:r w:rsidRPr="00507A31">
        <w:rPr>
          <w:color w:val="000000" w:themeColor="text1"/>
          <w:sz w:val="16"/>
          <w:szCs w:val="16"/>
        </w:rPr>
        <w:softHyphen/>
        <w:t>моторов;</w:t>
      </w:r>
    </w:p>
    <w:p w14:paraId="7FD334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производство карбюраторов, помп /водяных, бензи</w:t>
      </w:r>
      <w:r w:rsidRPr="00507A31">
        <w:rPr>
          <w:color w:val="000000" w:themeColor="text1"/>
          <w:sz w:val="16"/>
          <w:szCs w:val="16"/>
        </w:rPr>
        <w:softHyphen/>
        <w:t>новых и масляных/ приборов зажигания для авиамо</w:t>
      </w:r>
      <w:r w:rsidRPr="00507A31">
        <w:rPr>
          <w:color w:val="000000" w:themeColor="text1"/>
          <w:sz w:val="16"/>
          <w:szCs w:val="16"/>
        </w:rPr>
        <w:softHyphen/>
        <w:t>торов;</w:t>
      </w:r>
    </w:p>
    <w:p w14:paraId="64A186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изготовление высокосортных и большого диаметра дю</w:t>
      </w:r>
      <w:r w:rsidRPr="00507A31">
        <w:rPr>
          <w:color w:val="000000" w:themeColor="text1"/>
          <w:sz w:val="16"/>
          <w:szCs w:val="16"/>
        </w:rPr>
        <w:softHyphen/>
        <w:t>ралевых и стальных труб для самолетостроения, прокату дюралевых и нержавеющих стальных листов для самолетостроенияо</w:t>
      </w:r>
    </w:p>
    <w:p w14:paraId="239F2A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это с широким привлечением заграничной технической помощи и отпуском без задержки необходимых средств для под</w:t>
      </w:r>
      <w:r w:rsidRPr="00507A31">
        <w:rPr>
          <w:color w:val="000000" w:themeColor="text1"/>
          <w:sz w:val="16"/>
          <w:szCs w:val="16"/>
        </w:rPr>
        <w:softHyphen/>
        <w:t>нятия, .этих производств во внутренней и внешней валюте,</w:t>
      </w:r>
    </w:p>
    <w:p w14:paraId="2C25FC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2. Согласие "Инстанции", Правительства, ВСНХ и Реввоен</w:t>
      </w:r>
      <w:r w:rsidRPr="00507A31">
        <w:rPr>
          <w:color w:val="000000" w:themeColor="text1"/>
          <w:sz w:val="16"/>
          <w:szCs w:val="16"/>
        </w:rPr>
        <w:softHyphen/>
        <w:t>совета на широкую реорганизацию авиапромышленности по прин</w:t>
      </w:r>
      <w:r w:rsidRPr="00507A31">
        <w:rPr>
          <w:color w:val="000000" w:themeColor="text1"/>
          <w:sz w:val="16"/>
          <w:szCs w:val="16"/>
        </w:rPr>
        <w:softHyphen/>
        <w:t>ципу дифференциации, кооперирования производства моторов и самолетов и широкого развертывания подсобных производств на отдельных заводах /литья и его обработки, производства помп всех видов и назначений, карбюраторов, подшипников, поршне</w:t>
      </w:r>
      <w:r w:rsidRPr="00507A31">
        <w:rPr>
          <w:color w:val="000000" w:themeColor="text1"/>
          <w:sz w:val="16"/>
          <w:szCs w:val="16"/>
        </w:rPr>
        <w:softHyphen/>
        <w:t>вых колец, приборов зажигания и т.д./ с немедленным приобрете нием для организации и развертывания основных этих производ</w:t>
      </w:r>
      <w:r w:rsidRPr="00507A31">
        <w:rPr>
          <w:color w:val="000000" w:themeColor="text1"/>
          <w:sz w:val="16"/>
          <w:szCs w:val="16"/>
        </w:rPr>
        <w:softHyphen/>
        <w:t>ств заграничной технической помощи.</w:t>
      </w:r>
    </w:p>
    <w:p w14:paraId="4850B2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Немедленное усиление Воздушного флота в потребном количестве деловыми ответственными работниками и технически</w:t>
      </w:r>
      <w:r w:rsidRPr="00507A31">
        <w:rPr>
          <w:color w:val="000000" w:themeColor="text1"/>
          <w:sz w:val="16"/>
          <w:szCs w:val="16"/>
        </w:rPr>
        <w:softHyphen/>
        <w:t>ми кадрами за счет земных войск и других центральных управ</w:t>
      </w:r>
      <w:r w:rsidRPr="00507A31">
        <w:rPr>
          <w:color w:val="000000" w:themeColor="text1"/>
          <w:sz w:val="16"/>
          <w:szCs w:val="16"/>
        </w:rPr>
        <w:softHyphen/>
        <w:t>лений Наркомвоенжэра и за счет гражданской авиапромышленно</w:t>
      </w:r>
      <w:r w:rsidRPr="00507A31">
        <w:rPr>
          <w:color w:val="000000" w:themeColor="text1"/>
          <w:sz w:val="16"/>
          <w:szCs w:val="16"/>
        </w:rPr>
        <w:softHyphen/>
        <w:t>сти.</w:t>
      </w:r>
    </w:p>
    <w:p w14:paraId="5AE212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Передача Наркомвоеголору, с подчинением Управлению Воздушного флота, одновременно с авиапромышленностью инсти</w:t>
      </w:r>
      <w:r w:rsidRPr="00507A31">
        <w:rPr>
          <w:color w:val="000000" w:themeColor="text1"/>
          <w:sz w:val="16"/>
          <w:szCs w:val="16"/>
        </w:rPr>
        <w:softHyphen/>
        <w:t>тутов НАМИ и ЦАГИ с правом реорганизовать их по функциональ</w:t>
      </w:r>
      <w:r w:rsidRPr="00507A31">
        <w:rPr>
          <w:color w:val="000000" w:themeColor="text1"/>
          <w:sz w:val="16"/>
          <w:szCs w:val="16"/>
        </w:rPr>
        <w:softHyphen/>
        <w:t>ной системе, особенно НАМИ.</w:t>
      </w:r>
    </w:p>
    <w:p w14:paraId="2DE89E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Выделение всех расходов по Воздушному флоту в само</w:t>
      </w:r>
      <w:r w:rsidRPr="00507A31">
        <w:rPr>
          <w:color w:val="000000" w:themeColor="text1"/>
          <w:sz w:val="16"/>
          <w:szCs w:val="16"/>
        </w:rPr>
        <w:softHyphen/>
        <w:t>стоятельную смету, своевременный отпуск потребных средств по внутренней и внешней смете для осуществления утвержден</w:t>
      </w:r>
      <w:r w:rsidRPr="00507A31">
        <w:rPr>
          <w:color w:val="000000" w:themeColor="text1"/>
          <w:sz w:val="16"/>
          <w:szCs w:val="16"/>
        </w:rPr>
        <w:softHyphen/>
        <w:t>ных Реввоенсоветом, Правительством и "Инстанцией" планов развития, с предоставлением Начальнику Воздушного флота полной оперативной самостоятельности в распоряжении креди</w:t>
      </w:r>
      <w:r w:rsidRPr="00507A31">
        <w:rPr>
          <w:color w:val="000000" w:themeColor="text1"/>
          <w:sz w:val="16"/>
          <w:szCs w:val="16"/>
        </w:rPr>
        <w:softHyphen/>
        <w:t>тами, в пределах установленной сметы.</w:t>
      </w:r>
    </w:p>
    <w:p w14:paraId="500A38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Предоставление прав Начальнику Воздушного флота непосредственного размещения через торгпредство Союза за</w:t>
      </w:r>
      <w:r w:rsidRPr="00507A31">
        <w:rPr>
          <w:color w:val="000000" w:themeColor="text1"/>
          <w:sz w:val="16"/>
          <w:szCs w:val="16"/>
        </w:rPr>
        <w:softHyphen/>
        <w:t>границей всех заказов на импортное оборудование и предметы снабжения Воздушного флота, на приобретение технической по</w:t>
      </w:r>
      <w:r w:rsidRPr="00507A31">
        <w:rPr>
          <w:color w:val="000000" w:themeColor="text1"/>
          <w:sz w:val="16"/>
          <w:szCs w:val="16"/>
        </w:rPr>
        <w:softHyphen/>
        <w:t>мощи приглашением иностранных специалистов и высококвали</w:t>
      </w:r>
      <w:r w:rsidRPr="00507A31">
        <w:rPr>
          <w:color w:val="000000" w:themeColor="text1"/>
          <w:sz w:val="16"/>
          <w:szCs w:val="16"/>
        </w:rPr>
        <w:softHyphen/>
        <w:t>фицированных рабочих в пределах утвержденных Реввоенеоветом Союза, Правительством и "Инстанцией" общих годовых пла</w:t>
      </w:r>
      <w:r w:rsidRPr="00507A31">
        <w:rPr>
          <w:color w:val="000000" w:themeColor="text1"/>
          <w:sz w:val="16"/>
          <w:szCs w:val="16"/>
        </w:rPr>
        <w:softHyphen/>
        <w:t>нов лицензионных контингентев и валютных ассигнований» Докладывая о вышеизложенном, прошу указаний.</w:t>
      </w:r>
    </w:p>
    <w:p w14:paraId="331B4B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ВВС РККА БАРАНОВ (10755).</w:t>
      </w:r>
    </w:p>
    <w:p w14:paraId="391D1C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ЦАСА ф.4, оп.1, д. 1481, л.л. 27-30.</w:t>
      </w:r>
    </w:p>
    <w:p w14:paraId="2CD4B455" w14:textId="77777777" w:rsidR="00537E5F" w:rsidRPr="00507A31" w:rsidRDefault="00537E5F" w:rsidP="00507A31">
      <w:pPr>
        <w:autoSpaceDE w:val="0"/>
        <w:autoSpaceDN w:val="0"/>
        <w:adjustRightInd w:val="0"/>
        <w:jc w:val="both"/>
        <w:rPr>
          <w:color w:val="000000" w:themeColor="text1"/>
          <w:sz w:val="16"/>
          <w:szCs w:val="16"/>
        </w:rPr>
      </w:pPr>
    </w:p>
    <w:p w14:paraId="7716F7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3 июня 1930 на самолетах впервые стали доставлять матрицы Правды (271,121).</w:t>
      </w:r>
    </w:p>
    <w:p w14:paraId="471BDC56" w14:textId="77777777" w:rsidR="00537E5F" w:rsidRPr="00507A31" w:rsidRDefault="00537E5F" w:rsidP="00507A31">
      <w:pPr>
        <w:autoSpaceDE w:val="0"/>
        <w:autoSpaceDN w:val="0"/>
        <w:adjustRightInd w:val="0"/>
        <w:jc w:val="both"/>
        <w:rPr>
          <w:color w:val="000000" w:themeColor="text1"/>
          <w:sz w:val="16"/>
          <w:szCs w:val="16"/>
        </w:rPr>
      </w:pPr>
    </w:p>
    <w:p w14:paraId="12E0A257" w14:textId="77777777" w:rsidR="0062721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EC0A7F1" w14:textId="77777777" w:rsidR="0062721E" w:rsidRPr="00507A31" w:rsidRDefault="0062721E" w:rsidP="00507A31">
      <w:pPr>
        <w:autoSpaceDE w:val="0"/>
        <w:autoSpaceDN w:val="0"/>
        <w:adjustRightInd w:val="0"/>
        <w:jc w:val="both"/>
        <w:rPr>
          <w:iCs/>
          <w:color w:val="000000" w:themeColor="text1"/>
          <w:sz w:val="16"/>
          <w:szCs w:val="16"/>
        </w:rPr>
      </w:pPr>
    </w:p>
    <w:p w14:paraId="4FF79534" w14:textId="77777777" w:rsidR="0062721E" w:rsidRPr="00507A31" w:rsidRDefault="0062721E" w:rsidP="00507A31">
      <w:pPr>
        <w:jc w:val="both"/>
        <w:rPr>
          <w:color w:val="000000" w:themeColor="text1"/>
          <w:sz w:val="16"/>
          <w:szCs w:val="16"/>
          <w:u w:color="002060"/>
        </w:rPr>
      </w:pPr>
      <w:r w:rsidRPr="00507A31">
        <w:rPr>
          <w:color w:val="000000" w:themeColor="text1"/>
          <w:sz w:val="16"/>
          <w:szCs w:val="16"/>
          <w:u w:color="002060"/>
        </w:rPr>
        <w:t>3 июня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передаче промышленности для реализации негодных и ненужных военных судов (РГАЭ. Ф. 3429. Оп. 16. Д. 77. Л. 164) (12415).</w:t>
      </w:r>
    </w:p>
    <w:p w14:paraId="6823BEC2" w14:textId="77777777" w:rsidR="0062721E" w:rsidRPr="00507A31" w:rsidRDefault="0062721E" w:rsidP="00507A31">
      <w:pPr>
        <w:jc w:val="both"/>
        <w:rPr>
          <w:color w:val="000000" w:themeColor="text1"/>
          <w:sz w:val="16"/>
          <w:szCs w:val="16"/>
          <w:u w:color="002060"/>
        </w:rPr>
      </w:pPr>
    </w:p>
    <w:p w14:paraId="3E5A14A2" w14:textId="77777777" w:rsidR="0062721E" w:rsidRPr="00507A31" w:rsidRDefault="0062721E" w:rsidP="00507A31">
      <w:pPr>
        <w:pStyle w:val="rtejustify"/>
        <w:spacing w:before="0" w:after="0"/>
        <w:rPr>
          <w:color w:val="000000" w:themeColor="text1"/>
          <w:sz w:val="16"/>
          <w:szCs w:val="16"/>
        </w:rPr>
      </w:pPr>
      <w:r w:rsidRPr="00507A31">
        <w:rPr>
          <w:color w:val="000000" w:themeColor="text1"/>
          <w:sz w:val="16"/>
          <w:szCs w:val="16"/>
        </w:rPr>
        <w:t>3 июня 1930 г. Согласно постановлению СНК СССР от Остехбюро было передано в ведение Наркомата по военным и морским делам СССР. Приказом Реввоенсовета от 28 августа 1930 г.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 СССР, а в части исполнения опытных партий оружия и спецзаказов — правами производственного предприятия. В его структуре прибавилось еще два отдела, таким образом, первый отдел занимался разработкой механизмов, приспособлений и приборов управления кораблями; второй — торпедостроением; третий — минным вооружением; четвертый — авиационным вооружением; пятый (физико-электротехнический отдел) — радиосвязью и телемеханикой. Правительством рассматривался вопрос о переводе Остехбюро в Москву. К 1930 г. в Москве уже была создана научно-производственная база и организованы первые лаборатории. В 1931</w:t>
      </w:r>
      <w:r w:rsidRPr="00507A31">
        <w:rPr>
          <w:color w:val="000000" w:themeColor="text1"/>
          <w:sz w:val="16"/>
          <w:szCs w:val="16"/>
        </w:rPr>
        <w:noBreakHyphen/>
        <w:t>1935 гг. научные лаборатории и ведущие специалисты из Ленинграда с выполняемыми ими разработками были переданы Московскому отделению. В начале 30</w:t>
      </w:r>
      <w:r w:rsidRPr="00507A31">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 Р</w:t>
      </w:r>
      <w:r w:rsidRPr="00507A31">
        <w:rPr>
          <w:color w:val="000000" w:themeColor="text1"/>
          <w:sz w:val="16"/>
          <w:szCs w:val="16"/>
        </w:rPr>
        <w:noBreakHyphen/>
        <w:t>303. Оп. 2. Д. 85. Л. 29</w:t>
      </w:r>
      <w:r w:rsidRPr="00507A31">
        <w:rPr>
          <w:color w:val="000000" w:themeColor="text1"/>
          <w:sz w:val="16"/>
          <w:szCs w:val="16"/>
        </w:rPr>
        <w:noBreakHyphen/>
        <w:t>30).</w:t>
      </w:r>
    </w:p>
    <w:p w14:paraId="20D663DE" w14:textId="77777777" w:rsidR="0062721E" w:rsidRPr="00507A31" w:rsidRDefault="0062721E" w:rsidP="00507A31">
      <w:pPr>
        <w:pStyle w:val="rtejustify"/>
        <w:spacing w:before="0" w:after="0"/>
        <w:rPr>
          <w:color w:val="000000" w:themeColor="text1"/>
          <w:sz w:val="16"/>
          <w:szCs w:val="16"/>
        </w:rPr>
      </w:pPr>
      <w:r w:rsidRPr="00507A31">
        <w:rPr>
          <w:color w:val="000000" w:themeColor="text1"/>
          <w:sz w:val="16"/>
          <w:szCs w:val="16"/>
        </w:rPr>
        <w:t>Упомянутое в документе постановление составителями не обнаружено. Тем не менее постановлениями РЗ СТО в начале 1928 г. деятельность Остехбюро была оценена дважды. 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 (12391).</w:t>
      </w:r>
    </w:p>
    <w:p w14:paraId="5BC20D65" w14:textId="77777777" w:rsidR="0062721E" w:rsidRPr="00507A31" w:rsidRDefault="0062721E" w:rsidP="00507A31">
      <w:pPr>
        <w:pStyle w:val="rtejustify"/>
        <w:spacing w:before="0" w:after="0"/>
        <w:rPr>
          <w:color w:val="000000" w:themeColor="text1"/>
          <w:sz w:val="16"/>
          <w:szCs w:val="16"/>
        </w:rPr>
      </w:pPr>
    </w:p>
    <w:p w14:paraId="3E88BC0D" w14:textId="77777777" w:rsidR="000839A9" w:rsidRPr="00507A31" w:rsidRDefault="000839A9" w:rsidP="00507A31">
      <w:pPr>
        <w:jc w:val="both"/>
        <w:rPr>
          <w:color w:val="000000" w:themeColor="text1"/>
          <w:sz w:val="16"/>
          <w:szCs w:val="16"/>
        </w:rPr>
      </w:pPr>
      <w:r w:rsidRPr="00507A31">
        <w:rPr>
          <w:color w:val="000000" w:themeColor="text1"/>
          <w:sz w:val="16"/>
          <w:szCs w:val="16"/>
        </w:rPr>
        <w:t>3 июня 1930 г. Согласно постановлению СНК СССР Остехбюро было передано в ведение Наркомата по военным и морским делам СССР. Приказом Реввоенсовета СССР от 28 августа 1930 г. бюро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 марта 1937 г. постановлением СТО СССР № 6Зсс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507A31">
        <w:rPr>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507A31">
        <w:rPr>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507A31">
        <w:rPr>
          <w:color w:val="000000" w:themeColor="text1"/>
          <w:sz w:val="16"/>
          <w:szCs w:val="16"/>
        </w:rPr>
        <w:noBreakHyphen/>
        <w:t>8418. Оп. 28. Д. 6. Л. 150</w:t>
      </w:r>
      <w:r w:rsidRPr="00507A31">
        <w:rPr>
          <w:color w:val="000000" w:themeColor="text1"/>
          <w:sz w:val="16"/>
          <w:szCs w:val="16"/>
        </w:rPr>
        <w:noBreakHyphen/>
        <w:t>152) (17775).</w:t>
      </w:r>
    </w:p>
    <w:p w14:paraId="1EA308D4" w14:textId="77777777" w:rsidR="000839A9" w:rsidRPr="00507A31" w:rsidRDefault="000839A9" w:rsidP="00507A31">
      <w:pPr>
        <w:pStyle w:val="ae"/>
        <w:shd w:val="clear" w:color="auto" w:fill="FFFFFF"/>
        <w:spacing w:before="0" w:after="0"/>
        <w:jc w:val="both"/>
        <w:rPr>
          <w:color w:val="000000" w:themeColor="text1"/>
          <w:sz w:val="16"/>
          <w:szCs w:val="16"/>
        </w:rPr>
      </w:pPr>
    </w:p>
    <w:p w14:paraId="6F967924" w14:textId="77777777" w:rsidR="00986F6E" w:rsidRPr="00507A31" w:rsidRDefault="00986F6E" w:rsidP="00507A31">
      <w:pPr>
        <w:jc w:val="both"/>
        <w:rPr>
          <w:color w:val="000000" w:themeColor="text1"/>
          <w:sz w:val="16"/>
          <w:szCs w:val="16"/>
        </w:rPr>
      </w:pPr>
      <w:r w:rsidRPr="00507A31">
        <w:rPr>
          <w:color w:val="000000" w:themeColor="text1"/>
          <w:sz w:val="16"/>
          <w:szCs w:val="16"/>
        </w:rPr>
        <w:t>3 июня 1930 г. подписано Постановление СНК СССР «О передаче Остехбюро НКВМ» (18667).</w:t>
      </w:r>
    </w:p>
    <w:p w14:paraId="7AB248E5" w14:textId="77777777" w:rsidR="00986F6E" w:rsidRPr="00507A31" w:rsidRDefault="00986F6E" w:rsidP="00507A31">
      <w:pPr>
        <w:jc w:val="both"/>
        <w:rPr>
          <w:color w:val="000000" w:themeColor="text1"/>
          <w:sz w:val="16"/>
          <w:szCs w:val="16"/>
        </w:rPr>
      </w:pPr>
    </w:p>
    <w:p w14:paraId="24A36BE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C6F80B8" w14:textId="77777777" w:rsidR="00537E5F" w:rsidRPr="00507A31" w:rsidRDefault="00537E5F" w:rsidP="00507A31">
      <w:pPr>
        <w:autoSpaceDE w:val="0"/>
        <w:autoSpaceDN w:val="0"/>
        <w:adjustRightInd w:val="0"/>
        <w:jc w:val="both"/>
        <w:rPr>
          <w:iCs/>
          <w:color w:val="000000" w:themeColor="text1"/>
          <w:sz w:val="16"/>
          <w:szCs w:val="16"/>
        </w:rPr>
      </w:pPr>
    </w:p>
    <w:p w14:paraId="4CA9D9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июня 1930 года Советом Труда и Обороны (СТО) было принято Решение о строительстве легендарного Беломорканала, однако изыскания, первоначально возложенные на Беломорстрой НКПС, затянулись до апреля 1931-го. Затем, чтобы ускорить работы, в подчинение ОГПУ был передан Северный район Беломорстроя НКПС и наконец приказом ОГПУ № 667/359 от 16 ноября «О строительстве Беломорско-Балтийского водного пути» все работы по каналу перешли к вновь созданному Управлению строительства Беломорско-Балтийского водного пути ОГПУ во главе с Л. И. Коганом (по совместительству с должностью начальника Гулага), чьим заместителем также по совместительству стал помощник начальника ГУЛАГа Я. Д. Рапопорт. Они должны были лично руководить строительством, поочередно находясь непосредственно на месте работ. В составе ГУЛАГа была создана специальная группа по снабжению Беломорстроя (7560). Этим же приказом для строительства канала создавался Беломорско-Балтийский лагерь, который возглавил Э. И. Сенкевич, ранее бывший начальником Свирского ИТЛ ОГПУ (созданного незадолго перед тем в городе Лодейное Поле на базе отделений Соловецкого лагеря и снабжавшего дровами Ленинград) (7560).</w:t>
      </w:r>
    </w:p>
    <w:p w14:paraId="2B1287F8" w14:textId="77777777" w:rsidR="00537E5F" w:rsidRPr="00507A31" w:rsidRDefault="00537E5F" w:rsidP="00507A31">
      <w:pPr>
        <w:autoSpaceDE w:val="0"/>
        <w:autoSpaceDN w:val="0"/>
        <w:adjustRightInd w:val="0"/>
        <w:jc w:val="both"/>
        <w:rPr>
          <w:color w:val="000000" w:themeColor="text1"/>
          <w:sz w:val="16"/>
          <w:szCs w:val="16"/>
        </w:rPr>
      </w:pPr>
    </w:p>
    <w:p w14:paraId="00F6EE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июня 1930 года Постановление СТО определило жесткие сроки и технические параметры будущего строительства Беломорканала. Предельный срок работ устанавливался в 20 месяцев, для возводимых сооружений требовалось применять только местные недефицитные материалы и самые простые конструкции. Искусственный водный путь длиной 227 км должен был соединить Балтийское и Белое моря. Из этих 227 км 80 пролегали по зарегулированным озерам, 97 - по затопленным рекам, 47 - по искусственным каналам и еще 2 км - по Морскому каналу. Для обеспечения судоходства на трассе канала проектировалось 19 шлюзов и 5 регулирующих плотинВыполнить столь жесткие и во многом противоречивые требования было непросто. Пришлось пойти на некоторое ограничение проектных заданий. Первоначально канал проектировался с углублением в 20 футов, что позволило бы принимать крупнотоннажные морские суда. С той же целью размер камер шлюзов устанавливался в 200 м длины и 21,5 м. ширины.(9045).</w:t>
      </w:r>
    </w:p>
    <w:p w14:paraId="1C394FB9" w14:textId="77777777" w:rsidR="00537E5F" w:rsidRPr="00507A31" w:rsidRDefault="00537E5F" w:rsidP="00507A31">
      <w:pPr>
        <w:autoSpaceDE w:val="0"/>
        <w:autoSpaceDN w:val="0"/>
        <w:adjustRightInd w:val="0"/>
        <w:jc w:val="both"/>
        <w:rPr>
          <w:color w:val="000000" w:themeColor="text1"/>
          <w:sz w:val="16"/>
          <w:szCs w:val="16"/>
        </w:rPr>
      </w:pPr>
    </w:p>
    <w:p w14:paraId="5DB41A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3 июня 1930 г. </w:t>
      </w:r>
    </w:p>
    <w:p w14:paraId="615E83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Постановление СТО СССР № 4 о постройке Балтийско-Беломорского канала </w:t>
      </w:r>
    </w:p>
    <w:p w14:paraId="01DBAA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Совет Труда и Обороны постановляет: </w:t>
      </w:r>
    </w:p>
    <w:p w14:paraId="6326A1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Признать целесообразной постройку Балтийско-Беломорского канала. </w:t>
      </w:r>
    </w:p>
    <w:p w14:paraId="5C0977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Обязать НКПС: </w:t>
      </w:r>
    </w:p>
    <w:p w14:paraId="72421C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 приступить теперь же к техническим изысканиям, определению сумм затрат, и составлению плана работ постройки всего канала и к 1.IX.-1930 через Госплан дать доклад в СТО; </w:t>
      </w:r>
    </w:p>
    <w:p w14:paraId="6D3C87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 работы вести с расчетом прорытия канала глубиной, допускающей прохождение судов с осадкой в 18 футов; </w:t>
      </w:r>
    </w:p>
    <w:p w14:paraId="461ACE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сооружение южной части канала, т. е. от Ленинграда до Онежского озера, начать с 1. Х.-1930 г. и окончить в течение двух лет; </w:t>
      </w:r>
    </w:p>
    <w:p w14:paraId="0D5F70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 необходимые средства для работ, могущих быть выполненными в 1930–1931 годах, включить в контрольные цифры 1930–1931 гг., причем исходить из того, что общие затраты на постройку южной части канала не должны превышать 60 млн. руб.; </w:t>
      </w:r>
    </w:p>
    <w:p w14:paraId="216096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 геологические и технические изыскания по прорытию северной части канала, т. е. от Онежского озера до Белого моря, произвести с учетом военного ведомства и ОГПУ; </w:t>
      </w:r>
    </w:p>
    <w:p w14:paraId="118989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е) при определении стоимости работ по сооружению северной части канала учесть возможность привлечения уголовного труда к этим работам. </w:t>
      </w:r>
    </w:p>
    <w:p w14:paraId="64696027"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Зам. Председателя Совета Труда и Обороны В. Шмидт</w:t>
      </w:r>
    </w:p>
    <w:p w14:paraId="399A9E4C"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Управделами СНК СССР и СТО Н. Горбунов (12107).</w:t>
      </w:r>
    </w:p>
    <w:p w14:paraId="7BB79330" w14:textId="77777777" w:rsidR="00537E5F" w:rsidRPr="00507A31" w:rsidRDefault="00537E5F" w:rsidP="00507A31">
      <w:pPr>
        <w:autoSpaceDE w:val="0"/>
        <w:autoSpaceDN w:val="0"/>
        <w:adjustRightInd w:val="0"/>
        <w:jc w:val="both"/>
        <w:rPr>
          <w:color w:val="000000" w:themeColor="text1"/>
          <w:sz w:val="16"/>
          <w:szCs w:val="16"/>
        </w:rPr>
      </w:pPr>
    </w:p>
    <w:p w14:paraId="4C9680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июня 1930 г. Постановлением СТО был официально дан старт работам по ББК. Одновременно начал работу и Особый комитет. По ходу работ в состав его вводились специалисты и сотрудники ОГПУ, причем удельный вес последних возрастал тем более, чем ближе подходил комитет к делам Северного канала. С конца мая 1930 г. в Москве начала работу главная проектная контора Управления строительством Беломорско-Балтийского водного пути (позднее за ним закрепилась аббревиатура "Беломорстрой"). Главной задачей ее было определение основных элементов будущего канала и сроков готовности его частей. </w:t>
      </w:r>
    </w:p>
    <w:p w14:paraId="44CD06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в первых числах сентября для СТО и СНК был составлен доклад заместителя начальника строительства Берманта и главного инженера профессора Аксамитного. Авторы произвели подсчет объема работ, потребности строительства в основных стройматериалах и стоимость сооружения ББВП, исходя из проектных данных и старых изыскательных материалов. Картина получилась безрадостной. На строительстве, по самым приближенным подсчетам, требовалось извлечь 38 млн. кубометров грунта в ходе земляных работ (на южном участке - 17 млн. и на северном 21 млн.), 19,5 млн. кубометров гранта при дноуглубительных работах (11 и 8,5 соответственно), уложить 2,8 млн. кубометров бетона (1 и 1,8 млн.), установить 31 тыс. тонн металлоконструкций (14 и 17 тыс. тонн соответственно). Для строительства требовалось 31 тыс. тонн сложных металлоконструкций, 54 тыс. тонн арматуры, 14 тыс. тонн рельсов, 820(!) тыс. тонн цемента, причем в этот подсчет не включались расходы на завершение строительства гидроэлектростанции Свирь № 3. Все это безрадостное чтение завершалось потрясающей цифрой расходов. Общая стоимость пути в транспортной его части исчислялась в 535 миллионов рублей, в т. ч. Северный канал "тянул" на 321 миллион. В эту сумму включили и валютные затраты на оборудование для дноуглубительных и земляных работ. Эти затраты составили 45 миллионов рублей ориентировочно, из них 25 миллионов в первый год работ (12107).</w:t>
      </w:r>
    </w:p>
    <w:p w14:paraId="089128B8" w14:textId="77777777" w:rsidR="00537E5F" w:rsidRPr="00507A31" w:rsidRDefault="00537E5F" w:rsidP="00507A31">
      <w:pPr>
        <w:autoSpaceDE w:val="0"/>
        <w:autoSpaceDN w:val="0"/>
        <w:adjustRightInd w:val="0"/>
        <w:jc w:val="both"/>
        <w:rPr>
          <w:color w:val="000000" w:themeColor="text1"/>
          <w:sz w:val="16"/>
          <w:szCs w:val="16"/>
        </w:rPr>
      </w:pPr>
    </w:p>
    <w:p w14:paraId="43D3DF6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22E53FA" w14:textId="77777777" w:rsidR="00537E5F" w:rsidRPr="00507A31" w:rsidRDefault="00537E5F" w:rsidP="00507A31">
      <w:pPr>
        <w:autoSpaceDE w:val="0"/>
        <w:autoSpaceDN w:val="0"/>
        <w:adjustRightInd w:val="0"/>
        <w:jc w:val="both"/>
        <w:rPr>
          <w:iCs/>
          <w:color w:val="000000" w:themeColor="text1"/>
          <w:sz w:val="16"/>
          <w:szCs w:val="16"/>
        </w:rPr>
      </w:pPr>
    </w:p>
    <w:p w14:paraId="365864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4 июня 1930 в мастерских НИИ началось изготовление оборудования системы дозаправки в воздухе для Р-1. К 7 июля все было готово, но пришлось ждать прибытия двух серийных Р-1 для переделки. 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бензосистемы. 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780DC16E" w14:textId="77777777" w:rsidR="00537E5F" w:rsidRPr="00507A31" w:rsidRDefault="00537E5F" w:rsidP="00507A31">
      <w:pPr>
        <w:autoSpaceDE w:val="0"/>
        <w:autoSpaceDN w:val="0"/>
        <w:adjustRightInd w:val="0"/>
        <w:jc w:val="both"/>
        <w:rPr>
          <w:color w:val="000000" w:themeColor="text1"/>
          <w:sz w:val="16"/>
          <w:szCs w:val="16"/>
        </w:rPr>
      </w:pPr>
    </w:p>
    <w:p w14:paraId="42C28D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4 июня в мастерских начали делать необходимые детали, узлы и агрегаты устройств для дозаправки в воздухе применительно к самолету Р-1. На самолете-заправщике ("бензиновозе"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самолетами: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самотеком. На Р-1, в который собирались переливать горючее, кроме розетки монтировалась приемная горловина. Поскольку все рассматривалось только как эксперимент, на обоих самолетах использовались баки емкостью по 32 л, не подсоединенные к топливной системе.</w:t>
      </w:r>
    </w:p>
    <w:p w14:paraId="3CC5C5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31 июля 1930 г. все изготовили,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A3CD1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5A37D4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2ADFB0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6273B67A" w14:textId="77777777" w:rsidR="00537E5F" w:rsidRPr="00507A31" w:rsidRDefault="00537E5F" w:rsidP="00507A31">
      <w:pPr>
        <w:autoSpaceDE w:val="0"/>
        <w:autoSpaceDN w:val="0"/>
        <w:adjustRightInd w:val="0"/>
        <w:jc w:val="both"/>
        <w:rPr>
          <w:color w:val="000000" w:themeColor="text1"/>
          <w:sz w:val="16"/>
          <w:szCs w:val="16"/>
        </w:rPr>
      </w:pPr>
    </w:p>
    <w:p w14:paraId="0C2C48C8" w14:textId="77777777" w:rsidR="00B67054" w:rsidRPr="00507A31" w:rsidRDefault="00B67054" w:rsidP="00507A31">
      <w:pPr>
        <w:jc w:val="both"/>
        <w:rPr>
          <w:color w:val="000000" w:themeColor="text1"/>
          <w:sz w:val="16"/>
          <w:szCs w:val="16"/>
        </w:rPr>
      </w:pPr>
      <w:r w:rsidRPr="00507A31">
        <w:rPr>
          <w:color w:val="000000" w:themeColor="text1"/>
          <w:sz w:val="16"/>
          <w:szCs w:val="16"/>
        </w:rPr>
        <w:t>С 4 июня 1930 в мастерских начали делать необходимые детали, узлы и агрегаты. На самолёте-заправщике („бензиновозе“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самолётами: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самотёком. На Р-1, в который собирались переливать горючее, кроме розетки монтировалась приёмная горловина. Поскольку всё рассматривалось только как эксперимент, на обоих самолётах использовались баки ёмкостью по 32 л, не подсоединённые к топливной системе.</w:t>
      </w:r>
    </w:p>
    <w:p w14:paraId="19F0C7B2" w14:textId="77777777" w:rsidR="00B67054" w:rsidRPr="00507A31" w:rsidRDefault="00B67054" w:rsidP="00507A31">
      <w:pPr>
        <w:jc w:val="both"/>
        <w:rPr>
          <w:color w:val="000000" w:themeColor="text1"/>
          <w:sz w:val="16"/>
          <w:szCs w:val="16"/>
        </w:rPr>
      </w:pPr>
      <w:r w:rsidRPr="00507A31">
        <w:rPr>
          <w:color w:val="000000" w:themeColor="text1"/>
          <w:sz w:val="16"/>
          <w:szCs w:val="16"/>
        </w:rPr>
        <w:t>К 31 июля 1930 г. оборудование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4529C37E" w14:textId="77777777" w:rsidR="00B67054" w:rsidRPr="00507A31" w:rsidRDefault="00B67054" w:rsidP="00507A31">
      <w:pPr>
        <w:jc w:val="both"/>
        <w:rPr>
          <w:color w:val="000000" w:themeColor="text1"/>
          <w:sz w:val="16"/>
          <w:szCs w:val="16"/>
        </w:rPr>
      </w:pPr>
      <w:r w:rsidRPr="00507A31">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6E3D8BB7" w14:textId="77777777" w:rsidR="00B67054" w:rsidRPr="00507A31" w:rsidRDefault="00B67054" w:rsidP="00507A31">
      <w:pPr>
        <w:jc w:val="both"/>
        <w:rPr>
          <w:color w:val="000000" w:themeColor="text1"/>
          <w:sz w:val="16"/>
          <w:szCs w:val="16"/>
        </w:rPr>
      </w:pPr>
      <w:r w:rsidRPr="00507A31">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00" w:history="1">
        <w:r w:rsidRPr="00507A31">
          <w:rPr>
            <w:color w:val="000000" w:themeColor="text1"/>
            <w:sz w:val="16"/>
            <w:szCs w:val="16"/>
          </w:rPr>
          <w:t>[55]</w:t>
        </w:r>
      </w:hyperlink>
      <w:r w:rsidRPr="00507A31">
        <w:rPr>
          <w:color w:val="000000" w:themeColor="text1"/>
          <w:sz w:val="16"/>
          <w:szCs w:val="16"/>
        </w:rPr>
        <w:t xml:space="preserve"> .</w:t>
      </w:r>
    </w:p>
    <w:p w14:paraId="4A25EE9B" w14:textId="77777777" w:rsidR="00B67054" w:rsidRPr="00507A31" w:rsidRDefault="00B67054" w:rsidP="00507A31">
      <w:pPr>
        <w:jc w:val="both"/>
        <w:rPr>
          <w:color w:val="000000" w:themeColor="text1"/>
          <w:sz w:val="16"/>
          <w:szCs w:val="16"/>
        </w:rPr>
      </w:pPr>
      <w:r w:rsidRPr="00507A31">
        <w:rPr>
          <w:color w:val="000000" w:themeColor="text1"/>
          <w:sz w:val="16"/>
          <w:szCs w:val="16"/>
        </w:rPr>
        <w:lastRenderedPageBreak/>
        <w:t>Эти эксперименты были не больше, чем повторением американских опытов 1923 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2C3F855B" w14:textId="77777777" w:rsidR="00B67054" w:rsidRPr="00507A31" w:rsidRDefault="00B67054" w:rsidP="00507A31">
      <w:pPr>
        <w:jc w:val="both"/>
        <w:rPr>
          <w:color w:val="000000" w:themeColor="text1"/>
          <w:sz w:val="16"/>
          <w:szCs w:val="16"/>
        </w:rPr>
      </w:pPr>
    </w:p>
    <w:p w14:paraId="1BEBAD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июня 1930 П.И.Б. письмом N VI/048сс послал пред. РВС доклад о результатах инспектирования ВВС СКВО и гл. вывод - авиации не хватает (1927,38).</w:t>
      </w:r>
    </w:p>
    <w:p w14:paraId="3B7599B5" w14:textId="77777777" w:rsidR="00537E5F" w:rsidRPr="00507A31" w:rsidRDefault="00537E5F" w:rsidP="00507A31">
      <w:pPr>
        <w:autoSpaceDE w:val="0"/>
        <w:autoSpaceDN w:val="0"/>
        <w:adjustRightInd w:val="0"/>
        <w:jc w:val="both"/>
        <w:rPr>
          <w:color w:val="000000" w:themeColor="text1"/>
          <w:sz w:val="16"/>
          <w:szCs w:val="16"/>
        </w:rPr>
      </w:pPr>
    </w:p>
    <w:p w14:paraId="2996915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0538A1C" w14:textId="77777777" w:rsidR="00537E5F" w:rsidRPr="00507A31" w:rsidRDefault="00537E5F" w:rsidP="00507A31">
      <w:pPr>
        <w:autoSpaceDE w:val="0"/>
        <w:autoSpaceDN w:val="0"/>
        <w:adjustRightInd w:val="0"/>
        <w:jc w:val="both"/>
        <w:rPr>
          <w:iCs/>
          <w:color w:val="000000" w:themeColor="text1"/>
          <w:sz w:val="16"/>
          <w:szCs w:val="16"/>
        </w:rPr>
      </w:pPr>
    </w:p>
    <w:p w14:paraId="6FE608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июня 1930 г. Начальник ВВС РККА писал за № У1/048сс ПРЕДСЕДАТЕЛЮ РВС СОЮЗА ССР</w:t>
      </w:r>
    </w:p>
    <w:p w14:paraId="66D45C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 состоянии ВВС СКВО и ККА.</w:t>
      </w:r>
    </w:p>
    <w:p w14:paraId="7BDD01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ДОКЛАД</w:t>
      </w:r>
    </w:p>
    <w:p w14:paraId="689023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Комиссией Помощника начальника 1-го Управления РККА т. Хрипина было произведено инспектирование ВВС СКВО и ККА в период 7-21 мая с/г. По данным инспектирования установлено нижеследующее:</w:t>
      </w:r>
    </w:p>
    <w:p w14:paraId="7CA0A4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Боевой состав всех авиачастей доведен до полного штата /в действующих самолетах/, за исключением 70-го Истребит. авиаотряда /г.Баку/, где состояло вместо 12-ти 10 исправных самолетов. Летный состав на лицо полностью. Имеется некомплект в авиатехниках /около 15%/ и в техниках по вооружению.</w:t>
      </w:r>
    </w:p>
    <w:p w14:paraId="39DB16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Учебно-боевая подготовка по летнему плану проводится высоким темпом во всех частях» В настоящее время на первом месте стоит летно-техническая практика, стрель</w:t>
      </w:r>
      <w:r w:rsidRPr="00507A31">
        <w:rPr>
          <w:color w:val="000000" w:themeColor="text1"/>
          <w:sz w:val="16"/>
          <w:szCs w:val="16"/>
        </w:rPr>
        <w:softHyphen/>
        <w:t>ба и бомбометание /днем и ночью/» За зимний период многие из поставленных задач не были выполнены, особенно в СКВО; так напр., ни в одной части ВВС СКВО не проводились тактические упражнения и не проработано ни одной тактической темы в семинариях или прикладным методом; специальным службам почти не уделялось внимания за исключением 44-го авиаотряда в ККА, где работа по связи, фото и аэронавигации поставле</w:t>
      </w:r>
      <w:r w:rsidRPr="00507A31">
        <w:rPr>
          <w:color w:val="000000" w:themeColor="text1"/>
          <w:sz w:val="16"/>
          <w:szCs w:val="16"/>
        </w:rPr>
        <w:softHyphen/>
        <w:t>на хорошо.</w:t>
      </w:r>
    </w:p>
    <w:p w14:paraId="24F0C0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Совместные занятия с войсками проводились лишь вой</w:t>
      </w:r>
      <w:r w:rsidRPr="00507A31">
        <w:rPr>
          <w:color w:val="000000" w:themeColor="text1"/>
          <w:sz w:val="16"/>
          <w:szCs w:val="16"/>
        </w:rPr>
        <w:softHyphen/>
        <w:t>сковою авиацией. Бомбардировочные эскадрильи СКВО /32, 44 и 46/ этой практики в зимний период не имели /если не считать операций в Дагестане/.</w:t>
      </w:r>
    </w:p>
    <w:p w14:paraId="4304C5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стрелковой и бомбардировочной подготовке части ведут занятия все еще с техническим отвесом, отрабатывая владение оружием, но не решают боевых задач, действуя по тактическим об"ектам. Высоты бомбометания подняты до 2.500 метров, стрельба все еще на малых и средних дистан</w:t>
      </w:r>
      <w:r w:rsidRPr="00507A31">
        <w:rPr>
          <w:color w:val="000000" w:themeColor="text1"/>
          <w:sz w:val="16"/>
          <w:szCs w:val="16"/>
        </w:rPr>
        <w:softHyphen/>
        <w:t>циях и на высотах не более 1.000 метров.</w:t>
      </w:r>
    </w:p>
    <w:p w14:paraId="290B80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Процент поражения в общем удовлетворительный:</w:t>
      </w:r>
    </w:p>
    <w:p w14:paraId="394785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Стрельба с воздуха.</w:t>
      </w:r>
    </w:p>
    <w:p w14:paraId="07D503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инспектор.стрельбе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371BA" w:rsidRPr="00507A31" w14:paraId="2E7C76ED" w14:textId="77777777">
        <w:tc>
          <w:tcPr>
            <w:tcW w:w="4788" w:type="dxa"/>
            <w:tcBorders>
              <w:top w:val="single" w:sz="12" w:space="0" w:color="auto"/>
            </w:tcBorders>
            <w:shd w:val="clear" w:color="auto" w:fill="FFFFFF"/>
          </w:tcPr>
          <w:p w14:paraId="11F42B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Летчики</w:t>
            </w:r>
          </w:p>
        </w:tc>
        <w:tc>
          <w:tcPr>
            <w:tcW w:w="4788" w:type="dxa"/>
            <w:tcBorders>
              <w:top w:val="single" w:sz="12" w:space="0" w:color="auto"/>
            </w:tcBorders>
            <w:shd w:val="clear" w:color="auto" w:fill="FFFFFF"/>
          </w:tcPr>
          <w:p w14:paraId="5F4328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17.7%</w:t>
            </w:r>
          </w:p>
        </w:tc>
      </w:tr>
      <w:tr w:rsidR="00E371BA" w:rsidRPr="00507A31" w14:paraId="62388212" w14:textId="77777777">
        <w:tc>
          <w:tcPr>
            <w:tcW w:w="4788" w:type="dxa"/>
            <w:shd w:val="clear" w:color="auto" w:fill="FFFFFF"/>
          </w:tcPr>
          <w:p w14:paraId="77EB22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Летнабы ночью</w:t>
            </w:r>
          </w:p>
        </w:tc>
        <w:tc>
          <w:tcPr>
            <w:tcW w:w="4788" w:type="dxa"/>
            <w:shd w:val="clear" w:color="auto" w:fill="FFFFFF"/>
          </w:tcPr>
          <w:p w14:paraId="128A64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w:t>
            </w:r>
          </w:p>
        </w:tc>
      </w:tr>
      <w:tr w:rsidR="00E371BA" w:rsidRPr="00507A31" w14:paraId="0C756AC9" w14:textId="77777777">
        <w:tc>
          <w:tcPr>
            <w:tcW w:w="4788" w:type="dxa"/>
            <w:tcBorders>
              <w:bottom w:val="single" w:sz="12" w:space="0" w:color="auto"/>
            </w:tcBorders>
            <w:shd w:val="clear" w:color="auto" w:fill="FFFFFF"/>
          </w:tcPr>
          <w:p w14:paraId="2CE2E1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ночью</w:t>
            </w:r>
          </w:p>
        </w:tc>
        <w:tc>
          <w:tcPr>
            <w:tcW w:w="4788" w:type="dxa"/>
            <w:tcBorders>
              <w:bottom w:val="single" w:sz="12" w:space="0" w:color="auto"/>
            </w:tcBorders>
            <w:shd w:val="clear" w:color="auto" w:fill="FFFFFF"/>
          </w:tcPr>
          <w:p w14:paraId="16E93A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16.6%</w:t>
            </w:r>
          </w:p>
        </w:tc>
      </w:tr>
    </w:tbl>
    <w:p w14:paraId="0F8E5C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отчету за зимний период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371BA" w:rsidRPr="00507A31" w14:paraId="45A5AF2B" w14:textId="77777777">
        <w:tc>
          <w:tcPr>
            <w:tcW w:w="4788" w:type="dxa"/>
            <w:tcBorders>
              <w:top w:val="single" w:sz="12" w:space="0" w:color="auto"/>
            </w:tcBorders>
            <w:shd w:val="clear" w:color="auto" w:fill="FFFFFF"/>
          </w:tcPr>
          <w:p w14:paraId="637750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Летчики</w:t>
            </w:r>
          </w:p>
        </w:tc>
        <w:tc>
          <w:tcPr>
            <w:tcW w:w="4788" w:type="dxa"/>
            <w:tcBorders>
              <w:top w:val="single" w:sz="12" w:space="0" w:color="auto"/>
            </w:tcBorders>
            <w:shd w:val="clear" w:color="auto" w:fill="FFFFFF"/>
          </w:tcPr>
          <w:p w14:paraId="7352AC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41%</w:t>
            </w:r>
          </w:p>
        </w:tc>
      </w:tr>
      <w:tr w:rsidR="00E371BA" w:rsidRPr="00507A31" w14:paraId="6FC988B6" w14:textId="77777777">
        <w:tc>
          <w:tcPr>
            <w:tcW w:w="4788" w:type="dxa"/>
            <w:tcBorders>
              <w:bottom w:val="single" w:sz="12" w:space="0" w:color="auto"/>
            </w:tcBorders>
            <w:shd w:val="clear" w:color="auto" w:fill="FFFFFF"/>
          </w:tcPr>
          <w:p w14:paraId="003DE1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Летнабы</w:t>
            </w:r>
          </w:p>
        </w:tc>
        <w:tc>
          <w:tcPr>
            <w:tcW w:w="4788" w:type="dxa"/>
            <w:tcBorders>
              <w:bottom w:val="single" w:sz="12" w:space="0" w:color="auto"/>
            </w:tcBorders>
            <w:shd w:val="clear" w:color="auto" w:fill="FFFFFF"/>
          </w:tcPr>
          <w:p w14:paraId="610AA0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w:t>
            </w:r>
          </w:p>
        </w:tc>
      </w:tr>
    </w:tbl>
    <w:p w14:paraId="218E9B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Стрельба по рукаву</w:t>
      </w:r>
    </w:p>
    <w:p w14:paraId="76E552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инспекторск.стреаьбе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371BA" w:rsidRPr="00507A31" w14:paraId="7702D64A" w14:textId="77777777">
        <w:tc>
          <w:tcPr>
            <w:tcW w:w="4788" w:type="dxa"/>
            <w:tcBorders>
              <w:top w:val="single" w:sz="12" w:space="0" w:color="auto"/>
            </w:tcBorders>
            <w:shd w:val="clear" w:color="auto" w:fill="FFFFFF"/>
          </w:tcPr>
          <w:p w14:paraId="56987B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Летчики</w:t>
            </w:r>
          </w:p>
        </w:tc>
        <w:tc>
          <w:tcPr>
            <w:tcW w:w="4788" w:type="dxa"/>
            <w:tcBorders>
              <w:top w:val="single" w:sz="12" w:space="0" w:color="auto"/>
            </w:tcBorders>
            <w:shd w:val="clear" w:color="auto" w:fill="FFFFFF"/>
          </w:tcPr>
          <w:p w14:paraId="32B8CF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w:t>
            </w:r>
          </w:p>
        </w:tc>
      </w:tr>
      <w:tr w:rsidR="00E371BA" w:rsidRPr="00507A31" w14:paraId="3617175A" w14:textId="77777777">
        <w:tc>
          <w:tcPr>
            <w:tcW w:w="4788" w:type="dxa"/>
            <w:tcBorders>
              <w:bottom w:val="single" w:sz="12" w:space="0" w:color="auto"/>
            </w:tcBorders>
            <w:shd w:val="clear" w:color="auto" w:fill="FFFFFF"/>
          </w:tcPr>
          <w:p w14:paraId="42E3BD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Летнабы</w:t>
            </w:r>
          </w:p>
        </w:tc>
        <w:tc>
          <w:tcPr>
            <w:tcW w:w="4788" w:type="dxa"/>
            <w:tcBorders>
              <w:bottom w:val="single" w:sz="12" w:space="0" w:color="auto"/>
            </w:tcBorders>
            <w:shd w:val="clear" w:color="auto" w:fill="FFFFFF"/>
          </w:tcPr>
          <w:p w14:paraId="35EBE7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58%</w:t>
            </w:r>
          </w:p>
        </w:tc>
      </w:tr>
    </w:tbl>
    <w:p w14:paraId="2EE79F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отчету за зимний период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371BA" w:rsidRPr="00507A31" w14:paraId="5E9549CD" w14:textId="77777777">
        <w:tc>
          <w:tcPr>
            <w:tcW w:w="4788" w:type="dxa"/>
            <w:tcBorders>
              <w:top w:val="single" w:sz="12" w:space="0" w:color="auto"/>
            </w:tcBorders>
          </w:tcPr>
          <w:p w14:paraId="06D546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Летчики</w:t>
            </w:r>
          </w:p>
        </w:tc>
        <w:tc>
          <w:tcPr>
            <w:tcW w:w="4788" w:type="dxa"/>
            <w:tcBorders>
              <w:top w:val="single" w:sz="12" w:space="0" w:color="auto"/>
            </w:tcBorders>
          </w:tcPr>
          <w:p w14:paraId="3EEB29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w:t>
            </w:r>
          </w:p>
        </w:tc>
      </w:tr>
      <w:tr w:rsidR="00E371BA" w:rsidRPr="00507A31" w14:paraId="191888F1" w14:textId="77777777">
        <w:tc>
          <w:tcPr>
            <w:tcW w:w="4788" w:type="dxa"/>
            <w:tcBorders>
              <w:bottom w:val="single" w:sz="12" w:space="0" w:color="auto"/>
            </w:tcBorders>
          </w:tcPr>
          <w:p w14:paraId="203D18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Летнабы</w:t>
            </w:r>
          </w:p>
        </w:tc>
        <w:tc>
          <w:tcPr>
            <w:tcW w:w="4788" w:type="dxa"/>
            <w:tcBorders>
              <w:bottom w:val="single" w:sz="12" w:space="0" w:color="auto"/>
            </w:tcBorders>
          </w:tcPr>
          <w:p w14:paraId="62E227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w:t>
            </w:r>
          </w:p>
        </w:tc>
      </w:tr>
    </w:tbl>
    <w:p w14:paraId="5D4A33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Одиночное бомбометание.</w:t>
      </w:r>
    </w:p>
    <w:p w14:paraId="02A2FC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Отклонение от 0,03 до 0,05 Н»</w:t>
      </w:r>
    </w:p>
    <w:p w14:paraId="41CD78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Бомбометание звеном и отрядом</w:t>
      </w:r>
    </w:p>
    <w:p w14:paraId="029751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Отклонение от 0,03 до 0,05 Н и ночью 0,05 Н</w:t>
      </w:r>
    </w:p>
    <w:p w14:paraId="021FAC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службе с войсками с наибольшим успехом из всех частей работает 44-ой Авиаотряд ККА.</w:t>
      </w:r>
    </w:p>
    <w:p w14:paraId="1432C2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Техническая эксплоатация в частях СКВО и в 44-м от</w:t>
      </w:r>
      <w:r w:rsidRPr="00507A31">
        <w:rPr>
          <w:color w:val="000000" w:themeColor="text1"/>
          <w:sz w:val="16"/>
          <w:szCs w:val="16"/>
        </w:rPr>
        <w:softHyphen/>
        <w:t>ряде ККА. поставлена хорошо. Летный и технический состав материальную часть знает, содержит аккуратно, к работе готовит внимательно.</w:t>
      </w:r>
    </w:p>
    <w:p w14:paraId="7A6811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течение всего времени инспектирования отказал при пробе только один мотор.</w:t>
      </w:r>
    </w:p>
    <w:p w14:paraId="057ED3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Порядок в ангарах был образцовый, дежурные свои обя</w:t>
      </w:r>
      <w:r w:rsidRPr="00507A31">
        <w:rPr>
          <w:color w:val="000000" w:themeColor="text1"/>
          <w:sz w:val="16"/>
          <w:szCs w:val="16"/>
        </w:rPr>
        <w:softHyphen/>
        <w:t>занности знают твердо. В 70-м отряде в Баку на вооружении состоят новые самолеты И-4, полученные в начале 1930 года; в эксплоатации с ними, трудностей не встретилось, но темп работы в этом отряде вял. В аэродромной службе отмечается твердый распорядок, но несение службы по охране аэродрома несмотря на большое число постов, не вполне надежно: отмечались случаи сна на посту /31парк СКВО/ из-за пере</w:t>
      </w:r>
      <w:r w:rsidRPr="00507A31">
        <w:rPr>
          <w:color w:val="000000" w:themeColor="text1"/>
          <w:sz w:val="16"/>
          <w:szCs w:val="16"/>
        </w:rPr>
        <w:softHyphen/>
        <w:t>утомления красноармейцев /несут караул через день без надлежащего отдыха/.</w:t>
      </w:r>
    </w:p>
    <w:p w14:paraId="6D7D41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Подготовка авиапарков и работа технических органов направлена к материальному обеспечению боевых частей на постоянных аэродромах» Полевой практики авиапарки не имеют; особенно в ОКНО» Личный состав парка боевой подготов</w:t>
      </w:r>
      <w:r w:rsidRPr="00507A31">
        <w:rPr>
          <w:color w:val="000000" w:themeColor="text1"/>
          <w:sz w:val="16"/>
          <w:szCs w:val="16"/>
        </w:rPr>
        <w:softHyphen/>
        <w:t>ки в поле не проходит; ПВО аэродрома, химическая служба стрелковая подготовка красноармейцев и командного соста</w:t>
      </w:r>
      <w:r w:rsidRPr="00507A31">
        <w:rPr>
          <w:color w:val="000000" w:themeColor="text1"/>
          <w:sz w:val="16"/>
          <w:szCs w:val="16"/>
        </w:rPr>
        <w:softHyphen/>
        <w:t>ва - слабы.</w:t>
      </w:r>
    </w:p>
    <w:p w14:paraId="793B81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Ремонт самолетов и моторов в мастерских авиапарков и окружных складов выполняется вполне удовлетворительно. Специалисты проявляют большую инициативу в рационализа</w:t>
      </w:r>
      <w:r w:rsidRPr="00507A31">
        <w:rPr>
          <w:color w:val="000000" w:themeColor="text1"/>
          <w:sz w:val="16"/>
          <w:szCs w:val="16"/>
        </w:rPr>
        <w:softHyphen/>
        <w:t>ции ремонта, особенно в мастерских 7 и 10 складов /ККА и СКВО/.</w:t>
      </w:r>
    </w:p>
    <w:p w14:paraId="7ADDE6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Хозяйственное обслуживание частей в общем удовлетво</w:t>
      </w:r>
      <w:r w:rsidRPr="00507A31">
        <w:rPr>
          <w:color w:val="000000" w:themeColor="text1"/>
          <w:sz w:val="16"/>
          <w:szCs w:val="16"/>
        </w:rPr>
        <w:softHyphen/>
        <w:t>рительно» Командный состав в ККА размещен в отличных по</w:t>
      </w:r>
      <w:r w:rsidRPr="00507A31">
        <w:rPr>
          <w:color w:val="000000" w:themeColor="text1"/>
          <w:sz w:val="16"/>
          <w:szCs w:val="16"/>
        </w:rPr>
        <w:softHyphen/>
        <w:t>мещениях питание^ организовано. В СКВО квартирное положе</w:t>
      </w:r>
      <w:r w:rsidRPr="00507A31">
        <w:rPr>
          <w:color w:val="000000" w:themeColor="text1"/>
          <w:sz w:val="16"/>
          <w:szCs w:val="16"/>
        </w:rPr>
        <w:softHyphen/>
        <w:t>ние в высшей степени тяжелое. Летный состав, специалисты и красноармейцы в Ростове и Новочеркасске разбросаны по всему городу» В лагерном расположении под Новочеркасском красноармейский состав обслуживается удовлетворительно, но в питании наблюдались перебои из-за нераспорядительно</w:t>
      </w:r>
      <w:r w:rsidRPr="00507A31">
        <w:rPr>
          <w:color w:val="000000" w:themeColor="text1"/>
          <w:sz w:val="16"/>
          <w:szCs w:val="16"/>
        </w:rPr>
        <w:softHyphen/>
        <w:t>сти хозяйственных работников» Отмечаются жалобы на пло</w:t>
      </w:r>
      <w:r w:rsidRPr="00507A31">
        <w:rPr>
          <w:color w:val="000000" w:themeColor="text1"/>
          <w:sz w:val="16"/>
          <w:szCs w:val="16"/>
        </w:rPr>
        <w:softHyphen/>
        <w:t>хую пригонку и несвоевременную замену обмундирования /наряды, обмундирования даются без учета ростовок/.</w:t>
      </w:r>
    </w:p>
    <w:p w14:paraId="2DEC64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Политико-моральное состояние частей ККА вполне здо</w:t>
      </w:r>
      <w:r w:rsidRPr="00507A31">
        <w:rPr>
          <w:color w:val="000000" w:themeColor="text1"/>
          <w:sz w:val="16"/>
          <w:szCs w:val="16"/>
        </w:rPr>
        <w:softHyphen/>
        <w:t>ровое ; в СКВО за прошлый год имело место большое число случаев пьянства...</w:t>
      </w:r>
    </w:p>
    <w:p w14:paraId="60E978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партийной конференции ВВС СКВО выявилась крепкая связь партийной организации с беспартийной массой; из среды беспартийных лучшая часть /75% рабочих/ подала индивидуально и коллективно /более 160 чел./ Заявления о приеме в партию.</w:t>
      </w:r>
    </w:p>
    <w:p w14:paraId="77BABF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постановке политработы отмечается тот минус, что основное ее содержание связано с текущей зшенью части и не включало элементов работы в боевой обстановке,</w:t>
      </w:r>
    </w:p>
    <w:p w14:paraId="524DC0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Дисциплинарная политика в целом проводится правильно, но имеют место случаи наложения дисциплинарных взыс каний» несоответствующих проступку, через голову ниже</w:t>
      </w:r>
      <w:r w:rsidRPr="00507A31">
        <w:rPr>
          <w:color w:val="000000" w:themeColor="text1"/>
          <w:sz w:val="16"/>
          <w:szCs w:val="16"/>
        </w:rPr>
        <w:softHyphen/>
        <w:t>стоящих начальников ; накладывались взыскания для формы, без проведения в жизнь.</w:t>
      </w:r>
    </w:p>
    <w:p w14:paraId="0BE9CE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ОБЩИЕ ВЫВОДЫ</w:t>
      </w:r>
    </w:p>
    <w:p w14:paraId="239BBC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Большинство авиачастей все еще занимаются техникой, а не боевым применением. Тов. Хрипиным на месте даны необходимые указания и под его руководством передела</w:t>
      </w:r>
      <w:r w:rsidRPr="00507A31">
        <w:rPr>
          <w:color w:val="000000" w:themeColor="text1"/>
          <w:sz w:val="16"/>
          <w:szCs w:val="16"/>
        </w:rPr>
        <w:softHyphen/>
        <w:t>ны учебные планы занятий на текущий летний период для повышения тактической подготовки,</w:t>
      </w:r>
    </w:p>
    <w:p w14:paraId="289F6A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Изучение и применение специальных служб слабое, за исключением одного /м единственного/ в ККА 44-го войскового авиаотряда.</w:t>
      </w:r>
    </w:p>
    <w:p w14:paraId="06BF51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Интенсивность работы в целом возрасла. Учебно-боевая подготовка поставлена в центр внимания у командова</w:t>
      </w:r>
      <w:r w:rsidRPr="00507A31">
        <w:rPr>
          <w:color w:val="000000" w:themeColor="text1"/>
          <w:sz w:val="16"/>
          <w:szCs w:val="16"/>
        </w:rPr>
        <w:softHyphen/>
        <w:t>ния и в работе партийных организаций.</w:t>
      </w:r>
    </w:p>
    <w:p w14:paraId="74B559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Для обслуживания войск в СКВО и особенно в ККА авиа</w:t>
      </w:r>
      <w:r w:rsidRPr="00507A31">
        <w:rPr>
          <w:color w:val="000000" w:themeColor="text1"/>
          <w:sz w:val="16"/>
          <w:szCs w:val="16"/>
        </w:rPr>
        <w:softHyphen/>
        <w:t>ции не хватает» На текущее лето пришлось из СКВО перебросить один отряд в ККА..</w:t>
      </w:r>
    </w:p>
    <w:p w14:paraId="6C4467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Состав ВВС в ККА чрезвычайно мал и не обеспечивает даже минимальных потребностей по обороне г.Баку и по совместной работе с войсками» В плане дальнейше</w:t>
      </w:r>
      <w:r w:rsidRPr="00507A31">
        <w:rPr>
          <w:color w:val="000000" w:themeColor="text1"/>
          <w:sz w:val="16"/>
          <w:szCs w:val="16"/>
        </w:rPr>
        <w:softHyphen/>
        <w:t>го развития ВВС на эту сторону необходимо обратить особое внимание и довести ВВС Кавказа до такого уров</w:t>
      </w:r>
      <w:r w:rsidRPr="00507A31">
        <w:rPr>
          <w:color w:val="000000" w:themeColor="text1"/>
          <w:sz w:val="16"/>
          <w:szCs w:val="16"/>
        </w:rPr>
        <w:softHyphen/>
        <w:t>ня, при котором возможно будет успешное выполнение боевых задач с учетом воздушного противника /англи</w:t>
      </w:r>
      <w:r w:rsidRPr="00507A31">
        <w:rPr>
          <w:color w:val="000000" w:themeColor="text1"/>
          <w:sz w:val="16"/>
          <w:szCs w:val="16"/>
        </w:rPr>
        <w:softHyphen/>
        <w:t>чане имеют в Иране 70 боевых самолетов, значительная часть коих имеет в своем радиусе действия Баку и Батум /считая от Моссула/.</w:t>
      </w:r>
    </w:p>
    <w:p w14:paraId="175381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ВВС РККА</w:t>
      </w:r>
    </w:p>
    <w:p w14:paraId="79AB6B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ВАРАНОВ (10753).</w:t>
      </w:r>
    </w:p>
    <w:p w14:paraId="404940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ЦАСА. ф. 4, оп.1, д. 1481, л.л.25-26 /обр./.</w:t>
      </w:r>
    </w:p>
    <w:p w14:paraId="5549121B" w14:textId="77777777" w:rsidR="00537E5F" w:rsidRPr="00507A31" w:rsidRDefault="00537E5F" w:rsidP="00507A31">
      <w:pPr>
        <w:autoSpaceDE w:val="0"/>
        <w:autoSpaceDN w:val="0"/>
        <w:adjustRightInd w:val="0"/>
        <w:jc w:val="both"/>
        <w:rPr>
          <w:color w:val="000000" w:themeColor="text1"/>
          <w:sz w:val="16"/>
          <w:szCs w:val="16"/>
        </w:rPr>
      </w:pPr>
    </w:p>
    <w:p w14:paraId="6F4870C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91B2309" w14:textId="77777777" w:rsidR="00537E5F" w:rsidRPr="00507A31" w:rsidRDefault="00537E5F" w:rsidP="00507A31">
      <w:pPr>
        <w:autoSpaceDE w:val="0"/>
        <w:autoSpaceDN w:val="0"/>
        <w:adjustRightInd w:val="0"/>
        <w:jc w:val="both"/>
        <w:rPr>
          <w:iCs/>
          <w:color w:val="000000" w:themeColor="text1"/>
          <w:sz w:val="16"/>
          <w:szCs w:val="16"/>
        </w:rPr>
      </w:pPr>
    </w:p>
    <w:p w14:paraId="311BF8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июня 1930 Алтайский край. В с.Старо-Белокуриха арестованы 14 наиболее активных участниц "бабьего бунта" 18-19.05.1930 г. во главе с А.Поповой (10687).</w:t>
      </w:r>
    </w:p>
    <w:p w14:paraId="191EACC2" w14:textId="3D695EC8" w:rsidR="00537E5F" w:rsidRPr="00507A31" w:rsidRDefault="00537E5F" w:rsidP="00507A31">
      <w:pPr>
        <w:autoSpaceDE w:val="0"/>
        <w:autoSpaceDN w:val="0"/>
        <w:adjustRightInd w:val="0"/>
        <w:jc w:val="both"/>
        <w:rPr>
          <w:color w:val="000000" w:themeColor="text1"/>
          <w:sz w:val="16"/>
          <w:szCs w:val="16"/>
        </w:rPr>
      </w:pPr>
    </w:p>
    <w:p w14:paraId="0E65EA69" w14:textId="45065901" w:rsidR="00091569" w:rsidRPr="00507A31" w:rsidRDefault="00091569" w:rsidP="00507A31">
      <w:pPr>
        <w:autoSpaceDE w:val="0"/>
        <w:autoSpaceDN w:val="0"/>
        <w:adjustRightInd w:val="0"/>
        <w:jc w:val="both"/>
        <w:rPr>
          <w:i/>
          <w:iCs/>
          <w:color w:val="000000" w:themeColor="text1"/>
          <w:sz w:val="16"/>
          <w:szCs w:val="16"/>
        </w:rPr>
      </w:pPr>
      <w:r w:rsidRPr="00507A31">
        <w:rPr>
          <w:i/>
          <w:iCs/>
          <w:color w:val="000000" w:themeColor="text1"/>
          <w:sz w:val="16"/>
          <w:szCs w:val="16"/>
        </w:rPr>
        <w:t>За рубежом:</w:t>
      </w:r>
    </w:p>
    <w:p w14:paraId="41D3FDE2" w14:textId="77777777" w:rsidR="00091569" w:rsidRPr="00507A31" w:rsidRDefault="00091569" w:rsidP="00507A31">
      <w:pPr>
        <w:autoSpaceDE w:val="0"/>
        <w:autoSpaceDN w:val="0"/>
        <w:adjustRightInd w:val="0"/>
        <w:jc w:val="both"/>
        <w:rPr>
          <w:i/>
          <w:iCs/>
          <w:color w:val="000000" w:themeColor="text1"/>
          <w:sz w:val="16"/>
          <w:szCs w:val="16"/>
        </w:rPr>
      </w:pPr>
    </w:p>
    <w:p w14:paraId="48D2C332" w14:textId="77777777" w:rsidR="00110DD1" w:rsidRPr="00507A31" w:rsidRDefault="00110DD1" w:rsidP="00507A31">
      <w:pPr>
        <w:jc w:val="both"/>
        <w:rPr>
          <w:color w:val="0070C0"/>
          <w:sz w:val="16"/>
          <w:szCs w:val="16"/>
        </w:rPr>
      </w:pPr>
      <w:r w:rsidRPr="00507A31">
        <w:rPr>
          <w:color w:val="0070C0"/>
          <w:sz w:val="16"/>
          <w:szCs w:val="16"/>
        </w:rPr>
        <w:t>4 июня 1930 лейтенант ВМС США Аполло Соучек устанавливает новый рекорд высоты полета гидросамолета в 43 166 футов (13 157 м) на F3W Apache (20805).</w:t>
      </w:r>
    </w:p>
    <w:p w14:paraId="58972842" w14:textId="77777777" w:rsidR="00110DD1" w:rsidRPr="00507A31" w:rsidRDefault="00110DD1" w:rsidP="00507A31">
      <w:pPr>
        <w:jc w:val="both"/>
        <w:rPr>
          <w:color w:val="0070C0"/>
          <w:sz w:val="16"/>
          <w:szCs w:val="16"/>
        </w:rPr>
      </w:pPr>
    </w:p>
    <w:p w14:paraId="1F24E241" w14:textId="77777777" w:rsidR="00091569" w:rsidRPr="00507A31" w:rsidRDefault="00091569" w:rsidP="00507A31">
      <w:pPr>
        <w:pStyle w:val="116"/>
        <w:shd w:val="clear" w:color="auto" w:fill="auto"/>
        <w:spacing w:after="0" w:line="240" w:lineRule="auto"/>
        <w:ind w:firstLine="0"/>
        <w:jc w:val="both"/>
        <w:rPr>
          <w:rFonts w:ascii="Times New Roman" w:hAnsi="Times New Roman" w:cs="Times New Roman"/>
          <w:color w:val="0070C0"/>
          <w:sz w:val="16"/>
          <w:szCs w:val="16"/>
        </w:rPr>
      </w:pPr>
      <w:r w:rsidRPr="00507A31">
        <w:rPr>
          <w:rStyle w:val="800"/>
          <w:rFonts w:ascii="Times New Roman" w:hAnsi="Times New Roman" w:cs="Times New Roman"/>
          <w:color w:val="0070C0"/>
          <w:sz w:val="16"/>
          <w:szCs w:val="16"/>
          <w:lang w:val="ru-RU"/>
        </w:rPr>
        <w:t>К</w:t>
      </w:r>
      <w:r w:rsidRPr="00507A31">
        <w:rPr>
          <w:rStyle w:val="800"/>
          <w:rFonts w:ascii="Times New Roman" w:hAnsi="Times New Roman" w:cs="Times New Roman"/>
          <w:color w:val="0070C0"/>
          <w:sz w:val="16"/>
          <w:szCs w:val="16"/>
        </w:rPr>
        <w:t xml:space="preserve"> 4 июня 1930 года легкие танки </w:t>
      </w:r>
      <w:r w:rsidRPr="00507A31">
        <w:rPr>
          <w:rStyle w:val="800"/>
          <w:rFonts w:ascii="Times New Roman" w:hAnsi="Times New Roman" w:cs="Times New Roman"/>
          <w:color w:val="0070C0"/>
          <w:sz w:val="16"/>
          <w:szCs w:val="16"/>
          <w:lang w:val="en-US"/>
        </w:rPr>
        <w:t>RheinmetaLL</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rPr>
        <w:t xml:space="preserve">прибыли </w:t>
      </w:r>
      <w:r w:rsidRPr="00507A31">
        <w:rPr>
          <w:rStyle w:val="800"/>
          <w:rFonts w:ascii="Times New Roman" w:hAnsi="Times New Roman" w:cs="Times New Roman"/>
          <w:color w:val="0070C0"/>
          <w:sz w:val="16"/>
          <w:szCs w:val="16"/>
          <w:lang w:val="ru-RU"/>
        </w:rPr>
        <w:t>н</w:t>
      </w:r>
      <w:r w:rsidRPr="00507A31">
        <w:rPr>
          <w:rStyle w:val="800"/>
          <w:rFonts w:ascii="Times New Roman" w:hAnsi="Times New Roman" w:cs="Times New Roman"/>
          <w:color w:val="0070C0"/>
          <w:sz w:val="16"/>
          <w:szCs w:val="16"/>
        </w:rPr>
        <w:t xml:space="preserve">а полигон ТЕКО, чуть позже, чем танки </w:t>
      </w:r>
      <w:r w:rsidRPr="00507A31">
        <w:rPr>
          <w:rStyle w:val="800"/>
          <w:rFonts w:ascii="Times New Roman" w:hAnsi="Times New Roman" w:cs="Times New Roman"/>
          <w:color w:val="0070C0"/>
          <w:sz w:val="16"/>
          <w:szCs w:val="16"/>
          <w:lang w:val="en-US"/>
        </w:rPr>
        <w:t>Krupp</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rPr>
        <w:t>Вместе с ними прибыли и пять сопровождающих. Еще до первого пробного запуска водяные помпы на обеих машинах получили новые сальники. Впрочем, это не особо помогло. При температуре окружающе</w:t>
      </w:r>
      <w:r w:rsidRPr="00507A31">
        <w:rPr>
          <w:rStyle w:val="800"/>
          <w:rFonts w:ascii="Times New Roman" w:hAnsi="Times New Roman" w:cs="Times New Roman"/>
          <w:color w:val="0070C0"/>
          <w:sz w:val="16"/>
          <w:szCs w:val="16"/>
        </w:rPr>
        <w:softHyphen/>
        <w:t>го воздуха в 16 градусов после пяти километ</w:t>
      </w:r>
      <w:r w:rsidRPr="00507A31">
        <w:rPr>
          <w:rStyle w:val="800"/>
          <w:rFonts w:ascii="Times New Roman" w:hAnsi="Times New Roman" w:cs="Times New Roman"/>
          <w:color w:val="0070C0"/>
          <w:sz w:val="16"/>
          <w:szCs w:val="16"/>
        </w:rPr>
        <w:softHyphen/>
        <w:t xml:space="preserve">ров езды вода нагрелась до 93 градусов, а масла - до 76 градусов. Перегрев наблюдался и на танках </w:t>
      </w:r>
      <w:r w:rsidRPr="00507A31">
        <w:rPr>
          <w:rStyle w:val="800"/>
          <w:rFonts w:ascii="Times New Roman" w:hAnsi="Times New Roman" w:cs="Times New Roman"/>
          <w:color w:val="0070C0"/>
          <w:sz w:val="16"/>
          <w:szCs w:val="16"/>
          <w:lang w:val="en-US"/>
        </w:rPr>
        <w:t>Krupp</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rPr>
        <w:t>Еще одним источником перегрева стала выхлопная система, проходя</w:t>
      </w:r>
      <w:r w:rsidRPr="00507A31">
        <w:rPr>
          <w:rStyle w:val="800"/>
          <w:rFonts w:ascii="Times New Roman" w:hAnsi="Times New Roman" w:cs="Times New Roman"/>
          <w:color w:val="0070C0"/>
          <w:sz w:val="16"/>
          <w:szCs w:val="16"/>
        </w:rPr>
        <w:softHyphen/>
        <w:t>щая рядом с механиком-водителем. Ее требо</w:t>
      </w:r>
      <w:r w:rsidRPr="00507A31">
        <w:rPr>
          <w:rStyle w:val="800"/>
          <w:rFonts w:ascii="Times New Roman" w:hAnsi="Times New Roman" w:cs="Times New Roman"/>
          <w:color w:val="0070C0"/>
          <w:sz w:val="16"/>
          <w:szCs w:val="16"/>
        </w:rPr>
        <w:softHyphen/>
        <w:t>валось изолировать асбестом, поскольку она нагревалась настолько, что возникал риск пожара от прикосновения к ней. Да и сама по себе труба сильно грела боевое отделение машины, затрудняя работу экипажа. Также требовалось улучшить доступ к карбюратору. Помимо перегрева моторов, который отчасти удалось устранить, сняв защитный кожух с лобовой плиты корпуса, имелась и друга про</w:t>
      </w:r>
      <w:r w:rsidRPr="00507A31">
        <w:rPr>
          <w:rStyle w:val="800"/>
          <w:rFonts w:ascii="Times New Roman" w:hAnsi="Times New Roman" w:cs="Times New Roman"/>
          <w:color w:val="0070C0"/>
          <w:sz w:val="16"/>
          <w:szCs w:val="16"/>
        </w:rPr>
        <w:softHyphen/>
        <w:t xml:space="preserve">блема - чрезмерный расход топлива. Для танка </w:t>
      </w:r>
      <w:r w:rsidRPr="00507A31">
        <w:rPr>
          <w:rStyle w:val="800"/>
          <w:rFonts w:ascii="Times New Roman" w:hAnsi="Times New Roman" w:cs="Times New Roman"/>
          <w:color w:val="0070C0"/>
          <w:sz w:val="16"/>
          <w:szCs w:val="16"/>
          <w:lang w:val="en-US"/>
        </w:rPr>
        <w:t>RheinmetaLL</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rPr>
        <w:t xml:space="preserve">он составил 400 литров на 100 километров, а для танков </w:t>
      </w:r>
      <w:r w:rsidRPr="00507A31">
        <w:rPr>
          <w:rStyle w:val="800"/>
          <w:rFonts w:ascii="Times New Roman" w:hAnsi="Times New Roman" w:cs="Times New Roman"/>
          <w:color w:val="0070C0"/>
          <w:sz w:val="16"/>
          <w:szCs w:val="16"/>
          <w:lang w:val="en-US"/>
        </w:rPr>
        <w:t>Krupp</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rPr>
        <w:t>- 300 лит</w:t>
      </w:r>
      <w:r w:rsidRPr="00507A31">
        <w:rPr>
          <w:rStyle w:val="800"/>
          <w:rFonts w:ascii="Times New Roman" w:hAnsi="Times New Roman" w:cs="Times New Roman"/>
          <w:color w:val="0070C0"/>
          <w:sz w:val="16"/>
          <w:szCs w:val="16"/>
        </w:rPr>
        <w:softHyphen/>
        <w:t>ров. Причиной тому стало неудачное разме</w:t>
      </w:r>
      <w:r w:rsidRPr="00507A31">
        <w:rPr>
          <w:rStyle w:val="800"/>
          <w:rFonts w:ascii="Times New Roman" w:hAnsi="Times New Roman" w:cs="Times New Roman"/>
          <w:color w:val="0070C0"/>
          <w:sz w:val="16"/>
          <w:szCs w:val="16"/>
        </w:rPr>
        <w:softHyphen/>
        <w:t xml:space="preserve">щение баков (у </w:t>
      </w:r>
      <w:r w:rsidRPr="00507A31">
        <w:rPr>
          <w:rStyle w:val="800"/>
          <w:rFonts w:ascii="Times New Roman" w:hAnsi="Times New Roman" w:cs="Times New Roman"/>
          <w:color w:val="0070C0"/>
          <w:sz w:val="16"/>
          <w:szCs w:val="16"/>
          <w:lang w:val="en-US"/>
        </w:rPr>
        <w:t>Rh</w:t>
      </w:r>
      <w:r w:rsidRPr="00507A31">
        <w:rPr>
          <w:rStyle w:val="800"/>
          <w:rFonts w:ascii="Times New Roman" w:hAnsi="Times New Roman" w:cs="Times New Roman"/>
          <w:color w:val="0070C0"/>
          <w:sz w:val="16"/>
          <w:szCs w:val="16"/>
          <w:lang w:val="ru-RU"/>
        </w:rPr>
        <w:t>.</w:t>
      </w:r>
      <w:r w:rsidRPr="00507A31">
        <w:rPr>
          <w:rStyle w:val="800"/>
          <w:rFonts w:ascii="Times New Roman" w:hAnsi="Times New Roman" w:cs="Times New Roman"/>
          <w:color w:val="0070C0"/>
          <w:sz w:val="16"/>
          <w:szCs w:val="16"/>
          <w:lang w:val="en-US"/>
        </w:rPr>
        <w:t>L</w:t>
      </w:r>
      <w:r w:rsidRPr="00507A31">
        <w:rPr>
          <w:rStyle w:val="800"/>
          <w:rFonts w:ascii="Times New Roman" w:hAnsi="Times New Roman" w:cs="Times New Roman"/>
          <w:color w:val="0070C0"/>
          <w:sz w:val="16"/>
          <w:szCs w:val="16"/>
          <w:lang w:val="ru-RU"/>
        </w:rPr>
        <w:t>.</w:t>
      </w:r>
      <w:r w:rsidRPr="00507A31">
        <w:rPr>
          <w:rStyle w:val="800"/>
          <w:rFonts w:ascii="Times New Roman" w:hAnsi="Times New Roman" w:cs="Times New Roman"/>
          <w:color w:val="0070C0"/>
          <w:sz w:val="16"/>
          <w:szCs w:val="16"/>
          <w:lang w:val="en-US"/>
        </w:rPr>
        <w:t>Tr</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rPr>
        <w:t>они размещались внут</w:t>
      </w:r>
      <w:r w:rsidRPr="00507A31">
        <w:rPr>
          <w:rStyle w:val="800"/>
          <w:rFonts w:ascii="Times New Roman" w:hAnsi="Times New Roman" w:cs="Times New Roman"/>
          <w:color w:val="0070C0"/>
          <w:sz w:val="16"/>
          <w:szCs w:val="16"/>
        </w:rPr>
        <w:softHyphen/>
        <w:t>ри моторного отделения), а также чрезмерная нагрузка на двигатель. Даже на ровной мест</w:t>
      </w:r>
      <w:r w:rsidRPr="00507A31">
        <w:rPr>
          <w:rStyle w:val="800"/>
          <w:rFonts w:ascii="Times New Roman" w:hAnsi="Times New Roman" w:cs="Times New Roman"/>
          <w:color w:val="0070C0"/>
          <w:sz w:val="16"/>
          <w:szCs w:val="16"/>
        </w:rPr>
        <w:softHyphen/>
        <w:t>ности двигатель работал на 4/5 своей мощно</w:t>
      </w:r>
      <w:r w:rsidRPr="00507A31">
        <w:rPr>
          <w:rStyle w:val="800"/>
          <w:rFonts w:ascii="Times New Roman" w:hAnsi="Times New Roman" w:cs="Times New Roman"/>
          <w:color w:val="0070C0"/>
          <w:sz w:val="16"/>
          <w:szCs w:val="16"/>
        </w:rPr>
        <w:softHyphen/>
        <w:t xml:space="preserve">сти. Имелись претензии и к работе 4-скорост ной КПП </w:t>
      </w:r>
      <w:r w:rsidRPr="00507A31">
        <w:rPr>
          <w:rStyle w:val="800"/>
          <w:rFonts w:ascii="Times New Roman" w:hAnsi="Times New Roman" w:cs="Times New Roman"/>
          <w:color w:val="0070C0"/>
          <w:sz w:val="16"/>
          <w:szCs w:val="16"/>
          <w:lang w:val="en-US"/>
        </w:rPr>
        <w:t>ZFSoden</w:t>
      </w:r>
      <w:r w:rsidRPr="00507A31">
        <w:rPr>
          <w:rStyle w:val="800"/>
          <w:rFonts w:ascii="Times New Roman" w:hAnsi="Times New Roman" w:cs="Times New Roman"/>
          <w:color w:val="0070C0"/>
          <w:sz w:val="16"/>
          <w:szCs w:val="16"/>
          <w:lang w:val="ru-RU"/>
        </w:rPr>
        <w:t xml:space="preserve">: </w:t>
      </w:r>
      <w:r w:rsidRPr="00507A31">
        <w:rPr>
          <w:rStyle w:val="800"/>
          <w:rFonts w:ascii="Times New Roman" w:hAnsi="Times New Roman" w:cs="Times New Roman"/>
          <w:color w:val="0070C0"/>
          <w:sz w:val="16"/>
          <w:szCs w:val="16"/>
        </w:rPr>
        <w:t>например, для перехода на низшую передачу требовалось снизить ско</w:t>
      </w:r>
      <w:r w:rsidRPr="00507A31">
        <w:rPr>
          <w:rStyle w:val="800"/>
          <w:rFonts w:ascii="Times New Roman" w:hAnsi="Times New Roman" w:cs="Times New Roman"/>
          <w:color w:val="0070C0"/>
          <w:sz w:val="16"/>
          <w:szCs w:val="16"/>
        </w:rPr>
        <w:softHyphen/>
        <w:t>рость до темпа шага пешехода.</w:t>
      </w:r>
    </w:p>
    <w:p w14:paraId="65089B7F" w14:textId="77777777" w:rsidR="00091569" w:rsidRPr="00507A31" w:rsidRDefault="00091569" w:rsidP="00507A31">
      <w:pPr>
        <w:shd w:val="clear" w:color="auto" w:fill="FFFFFF"/>
        <w:jc w:val="both"/>
        <w:rPr>
          <w:rStyle w:val="640"/>
          <w:rFonts w:ascii="Times New Roman" w:hAnsi="Times New Roman" w:cs="Times New Roman"/>
          <w:color w:val="0070C0"/>
          <w:sz w:val="16"/>
          <w:szCs w:val="16"/>
        </w:rPr>
      </w:pPr>
      <w:r w:rsidRPr="00507A31">
        <w:rPr>
          <w:rStyle w:val="800"/>
          <w:rFonts w:ascii="Times New Roman" w:hAnsi="Times New Roman" w:cs="Times New Roman"/>
          <w:color w:val="0070C0"/>
          <w:sz w:val="16"/>
          <w:szCs w:val="16"/>
        </w:rPr>
        <w:t>Немало нареканий вызвало работа систе</w:t>
      </w:r>
      <w:r w:rsidRPr="00507A31">
        <w:rPr>
          <w:rStyle w:val="800"/>
          <w:rFonts w:ascii="Times New Roman" w:hAnsi="Times New Roman" w:cs="Times New Roman"/>
          <w:color w:val="0070C0"/>
          <w:sz w:val="16"/>
          <w:szCs w:val="16"/>
        </w:rPr>
        <w:softHyphen/>
        <w:t>мы управления машины. Повороты происхо</w:t>
      </w:r>
      <w:r w:rsidRPr="00507A31">
        <w:rPr>
          <w:rStyle w:val="800"/>
          <w:rFonts w:ascii="Times New Roman" w:hAnsi="Times New Roman" w:cs="Times New Roman"/>
          <w:color w:val="0070C0"/>
          <w:sz w:val="16"/>
          <w:szCs w:val="16"/>
        </w:rPr>
        <w:softHyphen/>
        <w:t>дили скачкообразно, при этом гусеничная лента имела склонность к соскальзыванию. Резинометаллические накладки также оказа</w:t>
      </w:r>
      <w:r w:rsidRPr="00507A31">
        <w:rPr>
          <w:rStyle w:val="800"/>
          <w:rFonts w:ascii="Times New Roman" w:hAnsi="Times New Roman" w:cs="Times New Roman"/>
          <w:color w:val="0070C0"/>
          <w:sz w:val="16"/>
          <w:szCs w:val="16"/>
        </w:rPr>
        <w:softHyphen/>
        <w:t>лись ненадежными. За 18 километров пробе</w:t>
      </w:r>
      <w:r w:rsidRPr="00507A31">
        <w:rPr>
          <w:rStyle w:val="800"/>
          <w:rFonts w:ascii="Times New Roman" w:hAnsi="Times New Roman" w:cs="Times New Roman"/>
          <w:color w:val="0070C0"/>
          <w:sz w:val="16"/>
          <w:szCs w:val="16"/>
        </w:rPr>
        <w:softHyphen/>
        <w:t>га с лент соскочило до 25% накладок. Собст</w:t>
      </w:r>
      <w:r w:rsidRPr="00507A31">
        <w:rPr>
          <w:rStyle w:val="800"/>
          <w:rFonts w:ascii="Times New Roman" w:hAnsi="Times New Roman" w:cs="Times New Roman"/>
          <w:color w:val="0070C0"/>
          <w:sz w:val="16"/>
          <w:szCs w:val="16"/>
        </w:rPr>
        <w:softHyphen/>
        <w:t xml:space="preserve">венно говоря, те же проблемы наблюдались и на гусеничных лентах </w:t>
      </w:r>
      <w:r w:rsidRPr="00507A31">
        <w:rPr>
          <w:rStyle w:val="800"/>
          <w:rFonts w:ascii="Times New Roman" w:hAnsi="Times New Roman" w:cs="Times New Roman"/>
          <w:color w:val="0070C0"/>
          <w:sz w:val="16"/>
          <w:szCs w:val="16"/>
          <w:lang w:val="en-US"/>
        </w:rPr>
        <w:t>GroBtraktor</w:t>
      </w:r>
      <w:r w:rsidRPr="00507A31">
        <w:rPr>
          <w:rStyle w:val="800"/>
          <w:rFonts w:ascii="Times New Roman" w:hAnsi="Times New Roman" w:cs="Times New Roman"/>
          <w:color w:val="0070C0"/>
          <w:sz w:val="16"/>
          <w:szCs w:val="16"/>
        </w:rPr>
        <w:t>. В ходе ходовых испытаний одна гусеница порвалась через 46 километров, вторая - после 80 кило</w:t>
      </w:r>
      <w:r w:rsidRPr="00507A31">
        <w:rPr>
          <w:rStyle w:val="800"/>
          <w:rFonts w:ascii="Times New Roman" w:hAnsi="Times New Roman" w:cs="Times New Roman"/>
          <w:color w:val="0070C0"/>
          <w:sz w:val="16"/>
          <w:szCs w:val="16"/>
        </w:rPr>
        <w:softHyphen/>
        <w:t xml:space="preserve">метров пробега. Единственное, к чему не было претензий на легком танке </w:t>
      </w:r>
      <w:r w:rsidRPr="00507A31">
        <w:rPr>
          <w:rStyle w:val="800"/>
          <w:rFonts w:ascii="Times New Roman" w:hAnsi="Times New Roman" w:cs="Times New Roman"/>
          <w:color w:val="0070C0"/>
          <w:sz w:val="16"/>
          <w:szCs w:val="16"/>
          <w:lang w:val="en-US"/>
        </w:rPr>
        <w:t>RheinmetaLL</w:t>
      </w:r>
      <w:r w:rsidRPr="00507A31">
        <w:rPr>
          <w:rStyle w:val="800"/>
          <w:rFonts w:ascii="Times New Roman" w:hAnsi="Times New Roman" w:cs="Times New Roman"/>
          <w:color w:val="0070C0"/>
          <w:sz w:val="16"/>
          <w:szCs w:val="16"/>
        </w:rPr>
        <w:t xml:space="preserve">, так это к подвеске. В отличие от танка </w:t>
      </w:r>
      <w:r w:rsidRPr="00507A31">
        <w:rPr>
          <w:rStyle w:val="800"/>
          <w:rFonts w:ascii="Times New Roman" w:hAnsi="Times New Roman" w:cs="Times New Roman"/>
          <w:color w:val="0070C0"/>
          <w:sz w:val="16"/>
          <w:szCs w:val="16"/>
          <w:lang w:val="en-US"/>
        </w:rPr>
        <w:t>Krupp</w:t>
      </w:r>
      <w:r w:rsidRPr="00507A31">
        <w:rPr>
          <w:rStyle w:val="800"/>
          <w:rFonts w:ascii="Times New Roman" w:hAnsi="Times New Roman" w:cs="Times New Roman"/>
          <w:color w:val="0070C0"/>
          <w:sz w:val="16"/>
          <w:szCs w:val="16"/>
        </w:rPr>
        <w:t xml:space="preserve">, где мудреная подвеска быстро дала о себе знать, на </w:t>
      </w:r>
      <w:r w:rsidRPr="00507A31">
        <w:rPr>
          <w:rStyle w:val="800"/>
          <w:rFonts w:ascii="Times New Roman" w:hAnsi="Times New Roman" w:cs="Times New Roman"/>
          <w:color w:val="0070C0"/>
          <w:sz w:val="16"/>
          <w:szCs w:val="16"/>
          <w:lang w:val="en-US"/>
        </w:rPr>
        <w:t>Rh</w:t>
      </w:r>
      <w:r w:rsidRPr="00507A31">
        <w:rPr>
          <w:rStyle w:val="800"/>
          <w:rFonts w:ascii="Times New Roman" w:hAnsi="Times New Roman" w:cs="Times New Roman"/>
          <w:color w:val="0070C0"/>
          <w:sz w:val="16"/>
          <w:szCs w:val="16"/>
        </w:rPr>
        <w:t>.</w:t>
      </w:r>
      <w:r w:rsidRPr="00507A31">
        <w:rPr>
          <w:rStyle w:val="800"/>
          <w:rFonts w:ascii="Times New Roman" w:hAnsi="Times New Roman" w:cs="Times New Roman"/>
          <w:color w:val="0070C0"/>
          <w:sz w:val="16"/>
          <w:szCs w:val="16"/>
          <w:lang w:val="en-US"/>
        </w:rPr>
        <w:t>L</w:t>
      </w:r>
      <w:r w:rsidRPr="00507A31">
        <w:rPr>
          <w:rStyle w:val="800"/>
          <w:rFonts w:ascii="Times New Roman" w:hAnsi="Times New Roman" w:cs="Times New Roman"/>
          <w:color w:val="0070C0"/>
          <w:sz w:val="16"/>
          <w:szCs w:val="16"/>
        </w:rPr>
        <w:t>.</w:t>
      </w:r>
      <w:r w:rsidRPr="00507A31">
        <w:rPr>
          <w:rStyle w:val="800"/>
          <w:rFonts w:ascii="Times New Roman" w:hAnsi="Times New Roman" w:cs="Times New Roman"/>
          <w:color w:val="0070C0"/>
          <w:sz w:val="16"/>
          <w:szCs w:val="16"/>
          <w:lang w:val="en-US"/>
        </w:rPr>
        <w:t>Tr</w:t>
      </w:r>
      <w:r w:rsidRPr="00507A31">
        <w:rPr>
          <w:rStyle w:val="800"/>
          <w:rFonts w:ascii="Times New Roman" w:hAnsi="Times New Roman" w:cs="Times New Roman"/>
          <w:color w:val="0070C0"/>
          <w:sz w:val="16"/>
          <w:szCs w:val="16"/>
        </w:rPr>
        <w:t>. она работала нормально.</w:t>
      </w:r>
    </w:p>
    <w:p w14:paraId="164246B5" w14:textId="77777777" w:rsidR="00091569" w:rsidRPr="00507A31" w:rsidRDefault="00091569" w:rsidP="00507A31">
      <w:pPr>
        <w:pStyle w:val="116"/>
        <w:shd w:val="clear" w:color="auto" w:fill="auto"/>
        <w:spacing w:after="0" w:line="240" w:lineRule="auto"/>
        <w:ind w:firstLine="0"/>
        <w:jc w:val="both"/>
        <w:rPr>
          <w:rFonts w:ascii="Times New Roman" w:hAnsi="Times New Roman" w:cs="Times New Roman"/>
          <w:color w:val="0070C0"/>
          <w:sz w:val="16"/>
          <w:szCs w:val="16"/>
        </w:rPr>
      </w:pPr>
      <w:r w:rsidRPr="00507A31">
        <w:rPr>
          <w:rStyle w:val="811"/>
          <w:rFonts w:ascii="Times New Roman" w:hAnsi="Times New Roman" w:cs="Times New Roman"/>
          <w:color w:val="0070C0"/>
          <w:sz w:val="16"/>
          <w:szCs w:val="16"/>
        </w:rPr>
        <w:t xml:space="preserve">Всего за 1930 год танк №39 прошел 382 километра, а танк №40 - 290 километров. Это было меньше, чем пробег танков </w:t>
      </w:r>
      <w:r w:rsidRPr="00507A31">
        <w:rPr>
          <w:rStyle w:val="811"/>
          <w:rFonts w:ascii="Times New Roman" w:hAnsi="Times New Roman" w:cs="Times New Roman"/>
          <w:color w:val="0070C0"/>
          <w:sz w:val="16"/>
          <w:szCs w:val="16"/>
          <w:lang w:val="en-US"/>
        </w:rPr>
        <w:t>Krupp</w:t>
      </w:r>
      <w:r w:rsidRPr="00507A31">
        <w:rPr>
          <w:rStyle w:val="811"/>
          <w:rFonts w:ascii="Times New Roman" w:hAnsi="Times New Roman" w:cs="Times New Roman"/>
          <w:color w:val="0070C0"/>
          <w:sz w:val="16"/>
          <w:szCs w:val="16"/>
          <w:lang w:val="ru-RU"/>
        </w:rPr>
        <w:t xml:space="preserve">, </w:t>
      </w:r>
      <w:r w:rsidRPr="00507A31">
        <w:rPr>
          <w:rStyle w:val="811"/>
          <w:rFonts w:ascii="Times New Roman" w:hAnsi="Times New Roman" w:cs="Times New Roman"/>
          <w:color w:val="0070C0"/>
          <w:sz w:val="16"/>
          <w:szCs w:val="16"/>
        </w:rPr>
        <w:t>впро</w:t>
      </w:r>
      <w:r w:rsidRPr="00507A31">
        <w:rPr>
          <w:rStyle w:val="811"/>
          <w:rFonts w:ascii="Times New Roman" w:hAnsi="Times New Roman" w:cs="Times New Roman"/>
          <w:color w:val="0070C0"/>
          <w:sz w:val="16"/>
          <w:szCs w:val="16"/>
        </w:rPr>
        <w:softHyphen/>
        <w:t xml:space="preserve">чем, ни тот, ни другой танк пока не могли быть использованы даже для обучения танкистов. За счет некоторых исправлений, которые были внесены в конструкцию </w:t>
      </w:r>
      <w:r w:rsidRPr="00507A31">
        <w:rPr>
          <w:rStyle w:val="811"/>
          <w:rFonts w:ascii="Times New Roman" w:hAnsi="Times New Roman" w:cs="Times New Roman"/>
          <w:color w:val="0070C0"/>
          <w:sz w:val="16"/>
          <w:szCs w:val="16"/>
          <w:lang w:val="en-US"/>
        </w:rPr>
        <w:t>Rh</w:t>
      </w:r>
      <w:r w:rsidRPr="00507A31">
        <w:rPr>
          <w:rStyle w:val="811"/>
          <w:rFonts w:ascii="Times New Roman" w:hAnsi="Times New Roman" w:cs="Times New Roman"/>
          <w:color w:val="0070C0"/>
          <w:sz w:val="16"/>
          <w:szCs w:val="16"/>
          <w:lang w:val="ru-RU"/>
        </w:rPr>
        <w:t>.</w:t>
      </w:r>
      <w:r w:rsidRPr="00507A31">
        <w:rPr>
          <w:rStyle w:val="811"/>
          <w:rFonts w:ascii="Times New Roman" w:hAnsi="Times New Roman" w:cs="Times New Roman"/>
          <w:color w:val="0070C0"/>
          <w:sz w:val="16"/>
          <w:szCs w:val="16"/>
          <w:lang w:val="en-US"/>
        </w:rPr>
        <w:t>L</w:t>
      </w:r>
      <w:r w:rsidRPr="00507A31">
        <w:rPr>
          <w:rStyle w:val="811"/>
          <w:rFonts w:ascii="Times New Roman" w:hAnsi="Times New Roman" w:cs="Times New Roman"/>
          <w:color w:val="0070C0"/>
          <w:sz w:val="16"/>
          <w:szCs w:val="16"/>
          <w:lang w:val="ru-RU"/>
        </w:rPr>
        <w:t>.</w:t>
      </w:r>
      <w:r w:rsidRPr="00507A31">
        <w:rPr>
          <w:rStyle w:val="811"/>
          <w:rFonts w:ascii="Times New Roman" w:hAnsi="Times New Roman" w:cs="Times New Roman"/>
          <w:color w:val="0070C0"/>
          <w:sz w:val="16"/>
          <w:szCs w:val="16"/>
          <w:lang w:val="en-US"/>
        </w:rPr>
        <w:t>Tr</w:t>
      </w:r>
      <w:r w:rsidRPr="00507A31">
        <w:rPr>
          <w:rStyle w:val="811"/>
          <w:rFonts w:ascii="Times New Roman" w:hAnsi="Times New Roman" w:cs="Times New Roman"/>
          <w:color w:val="0070C0"/>
          <w:sz w:val="16"/>
          <w:szCs w:val="16"/>
          <w:lang w:val="ru-RU"/>
        </w:rPr>
        <w:t xml:space="preserve">., </w:t>
      </w:r>
      <w:r w:rsidRPr="00507A31">
        <w:rPr>
          <w:rStyle w:val="811"/>
          <w:rFonts w:ascii="Times New Roman" w:hAnsi="Times New Roman" w:cs="Times New Roman"/>
          <w:color w:val="0070C0"/>
          <w:sz w:val="16"/>
          <w:szCs w:val="16"/>
        </w:rPr>
        <w:t>ситуа</w:t>
      </w:r>
      <w:r w:rsidRPr="00507A31">
        <w:rPr>
          <w:rStyle w:val="811"/>
          <w:rFonts w:ascii="Times New Roman" w:hAnsi="Times New Roman" w:cs="Times New Roman"/>
          <w:color w:val="0070C0"/>
          <w:sz w:val="16"/>
          <w:szCs w:val="16"/>
        </w:rPr>
        <w:softHyphen/>
        <w:t>ция чуть улучшилась, но было ясно, что маши</w:t>
      </w:r>
      <w:r w:rsidRPr="00507A31">
        <w:rPr>
          <w:rStyle w:val="811"/>
          <w:rFonts w:ascii="Times New Roman" w:hAnsi="Times New Roman" w:cs="Times New Roman"/>
          <w:color w:val="0070C0"/>
          <w:sz w:val="16"/>
          <w:szCs w:val="16"/>
        </w:rPr>
        <w:softHyphen/>
        <w:t>на пока очень «сырая». Испытания показали сильный перегрев двигателя, электрики (последняя часто от перегрева вовсе переста</w:t>
      </w:r>
      <w:r w:rsidRPr="00507A31">
        <w:rPr>
          <w:rStyle w:val="811"/>
          <w:rFonts w:ascii="Times New Roman" w:hAnsi="Times New Roman" w:cs="Times New Roman"/>
          <w:color w:val="0070C0"/>
          <w:sz w:val="16"/>
          <w:szCs w:val="16"/>
        </w:rPr>
        <w:softHyphen/>
        <w:t xml:space="preserve">вала работать), по оценкам испытателей, в такой ситуации ресурс мотора не превышал 500 километров. У танка </w:t>
      </w:r>
      <w:r w:rsidRPr="00507A31">
        <w:rPr>
          <w:rStyle w:val="811"/>
          <w:rFonts w:ascii="Times New Roman" w:hAnsi="Times New Roman" w:cs="Times New Roman"/>
          <w:color w:val="0070C0"/>
          <w:sz w:val="16"/>
          <w:szCs w:val="16"/>
          <w:lang w:val="en-US"/>
        </w:rPr>
        <w:t>Krupp</w:t>
      </w:r>
      <w:r w:rsidRPr="00507A31">
        <w:rPr>
          <w:rStyle w:val="811"/>
          <w:rFonts w:ascii="Times New Roman" w:hAnsi="Times New Roman" w:cs="Times New Roman"/>
          <w:color w:val="0070C0"/>
          <w:sz w:val="16"/>
          <w:szCs w:val="16"/>
          <w:lang w:val="ru-RU"/>
        </w:rPr>
        <w:t xml:space="preserve"> </w:t>
      </w:r>
      <w:r w:rsidRPr="00507A31">
        <w:rPr>
          <w:rStyle w:val="811"/>
          <w:rFonts w:ascii="Times New Roman" w:hAnsi="Times New Roman" w:cs="Times New Roman"/>
          <w:color w:val="0070C0"/>
          <w:sz w:val="16"/>
          <w:szCs w:val="16"/>
        </w:rPr>
        <w:t xml:space="preserve">№37 двигатель, впрочем, сломался еще раньше. В целом же легкие танки </w:t>
      </w:r>
      <w:r w:rsidRPr="00507A31">
        <w:rPr>
          <w:rStyle w:val="811"/>
          <w:rFonts w:ascii="Times New Roman" w:hAnsi="Times New Roman" w:cs="Times New Roman"/>
          <w:color w:val="0070C0"/>
          <w:sz w:val="16"/>
          <w:szCs w:val="16"/>
          <w:lang w:val="en-US"/>
        </w:rPr>
        <w:t>Krupp</w:t>
      </w:r>
      <w:r w:rsidRPr="00507A31">
        <w:rPr>
          <w:rStyle w:val="811"/>
          <w:rFonts w:ascii="Times New Roman" w:hAnsi="Times New Roman" w:cs="Times New Roman"/>
          <w:color w:val="0070C0"/>
          <w:sz w:val="16"/>
          <w:szCs w:val="16"/>
          <w:lang w:val="ru-RU"/>
        </w:rPr>
        <w:t xml:space="preserve"> </w:t>
      </w:r>
      <w:r w:rsidRPr="00507A31">
        <w:rPr>
          <w:rStyle w:val="811"/>
          <w:rFonts w:ascii="Times New Roman" w:hAnsi="Times New Roman" w:cs="Times New Roman"/>
          <w:color w:val="0070C0"/>
          <w:sz w:val="16"/>
          <w:szCs w:val="16"/>
        </w:rPr>
        <w:t>выглядели более дефект</w:t>
      </w:r>
      <w:r w:rsidRPr="00507A31">
        <w:rPr>
          <w:rStyle w:val="811"/>
          <w:rFonts w:ascii="Times New Roman" w:hAnsi="Times New Roman" w:cs="Times New Roman"/>
          <w:color w:val="0070C0"/>
          <w:sz w:val="16"/>
          <w:szCs w:val="16"/>
        </w:rPr>
        <w:softHyphen/>
        <w:t>ными и требовали большей переборки.</w:t>
      </w:r>
    </w:p>
    <w:p w14:paraId="079F52FE" w14:textId="77777777" w:rsidR="00091569" w:rsidRPr="00507A31" w:rsidRDefault="00091569" w:rsidP="00507A31">
      <w:pPr>
        <w:pStyle w:val="116"/>
        <w:shd w:val="clear" w:color="auto" w:fill="auto"/>
        <w:spacing w:after="0" w:line="240" w:lineRule="auto"/>
        <w:ind w:firstLine="0"/>
        <w:jc w:val="both"/>
        <w:rPr>
          <w:rFonts w:ascii="Times New Roman" w:hAnsi="Times New Roman" w:cs="Times New Roman"/>
          <w:color w:val="0070C0"/>
          <w:sz w:val="16"/>
          <w:szCs w:val="16"/>
        </w:rPr>
      </w:pPr>
      <w:r w:rsidRPr="00507A31">
        <w:rPr>
          <w:rStyle w:val="811"/>
          <w:rFonts w:ascii="Times New Roman" w:hAnsi="Times New Roman" w:cs="Times New Roman"/>
          <w:color w:val="0070C0"/>
          <w:sz w:val="16"/>
          <w:szCs w:val="16"/>
        </w:rPr>
        <w:t>В результате всех злоключений назрела существенная доработка машин. Резиноме- таллическая гусеница полностью себя дискре</w:t>
      </w:r>
      <w:r w:rsidRPr="00507A31">
        <w:rPr>
          <w:rStyle w:val="811"/>
          <w:rFonts w:ascii="Times New Roman" w:hAnsi="Times New Roman" w:cs="Times New Roman"/>
          <w:color w:val="0070C0"/>
          <w:sz w:val="16"/>
          <w:szCs w:val="16"/>
        </w:rPr>
        <w:softHyphen/>
        <w:t>дитировала, вместо нее разработали цельно</w:t>
      </w:r>
      <w:r w:rsidRPr="00507A31">
        <w:rPr>
          <w:rStyle w:val="811"/>
          <w:rFonts w:ascii="Times New Roman" w:hAnsi="Times New Roman" w:cs="Times New Roman"/>
          <w:color w:val="0070C0"/>
          <w:sz w:val="16"/>
          <w:szCs w:val="16"/>
        </w:rPr>
        <w:softHyphen/>
        <w:t>металлические траки (ширина 250 мм, шаг 120 мм). Заменили и ведущие колеса - теперь они имели цевочное зацепление, более надежное, чем конструкция, имевшая гребневое зацеп</w:t>
      </w:r>
      <w:r w:rsidRPr="00507A31">
        <w:rPr>
          <w:rStyle w:val="811"/>
          <w:rFonts w:ascii="Times New Roman" w:hAnsi="Times New Roman" w:cs="Times New Roman"/>
          <w:color w:val="0070C0"/>
          <w:sz w:val="16"/>
          <w:szCs w:val="16"/>
        </w:rPr>
        <w:softHyphen/>
        <w:t>ление. Траки имелись двух типов - литые из сталистого чугуна, а также штампованные. Внутри осей траков находились роликовые подшипники. Это значительно уменьшало тре</w:t>
      </w:r>
      <w:r w:rsidRPr="00507A31">
        <w:rPr>
          <w:rStyle w:val="811"/>
          <w:rFonts w:ascii="Times New Roman" w:hAnsi="Times New Roman" w:cs="Times New Roman"/>
          <w:color w:val="0070C0"/>
          <w:sz w:val="16"/>
          <w:szCs w:val="16"/>
        </w:rPr>
        <w:softHyphen/>
        <w:t>ние, но при условии, что нет грязи. Испытания в Германии показали, что шарниры требова</w:t>
      </w:r>
      <w:r w:rsidRPr="00507A31">
        <w:rPr>
          <w:rStyle w:val="811"/>
          <w:rFonts w:ascii="Times New Roman" w:hAnsi="Times New Roman" w:cs="Times New Roman"/>
          <w:color w:val="0070C0"/>
          <w:sz w:val="16"/>
          <w:szCs w:val="16"/>
        </w:rPr>
        <w:softHyphen/>
        <w:t>лось смазывать каждые 500 километров. На практике же выяснилось, что после 75 кило</w:t>
      </w:r>
      <w:r w:rsidRPr="00507A31">
        <w:rPr>
          <w:rStyle w:val="811"/>
          <w:rFonts w:ascii="Times New Roman" w:hAnsi="Times New Roman" w:cs="Times New Roman"/>
          <w:color w:val="0070C0"/>
          <w:sz w:val="16"/>
          <w:szCs w:val="16"/>
        </w:rPr>
        <w:softHyphen/>
        <w:t>метров пробега смазка из подшипников «ушла», осталась лишь грязь. Также выясни</w:t>
      </w:r>
      <w:r w:rsidRPr="00507A31">
        <w:rPr>
          <w:rStyle w:val="811"/>
          <w:rFonts w:ascii="Times New Roman" w:hAnsi="Times New Roman" w:cs="Times New Roman"/>
          <w:color w:val="0070C0"/>
          <w:sz w:val="16"/>
          <w:szCs w:val="16"/>
        </w:rPr>
        <w:softHyphen/>
        <w:t>лось, что литые траки были лучше штампован</w:t>
      </w:r>
      <w:r w:rsidRPr="00507A31">
        <w:rPr>
          <w:rStyle w:val="811"/>
          <w:rFonts w:ascii="Times New Roman" w:hAnsi="Times New Roman" w:cs="Times New Roman"/>
          <w:color w:val="0070C0"/>
          <w:sz w:val="16"/>
          <w:szCs w:val="16"/>
        </w:rPr>
        <w:softHyphen/>
        <w:t>ных. Зато в 1931 году уже не отмечались слу</w:t>
      </w:r>
      <w:r w:rsidRPr="00507A31">
        <w:rPr>
          <w:rStyle w:val="811"/>
          <w:rFonts w:ascii="Times New Roman" w:hAnsi="Times New Roman" w:cs="Times New Roman"/>
          <w:color w:val="0070C0"/>
          <w:sz w:val="16"/>
          <w:szCs w:val="16"/>
        </w:rPr>
        <w:softHyphen/>
        <w:t>чаи спадания гусеничных лент.</w:t>
      </w:r>
    </w:p>
    <w:p w14:paraId="063F8776" w14:textId="77777777" w:rsidR="00091569" w:rsidRPr="00507A31" w:rsidRDefault="00091569" w:rsidP="00507A31">
      <w:pPr>
        <w:pStyle w:val="116"/>
        <w:shd w:val="clear" w:color="auto" w:fill="auto"/>
        <w:spacing w:after="0" w:line="240" w:lineRule="auto"/>
        <w:ind w:firstLine="0"/>
        <w:jc w:val="both"/>
        <w:rPr>
          <w:rFonts w:ascii="Times New Roman" w:hAnsi="Times New Roman" w:cs="Times New Roman"/>
          <w:color w:val="0070C0"/>
          <w:sz w:val="16"/>
          <w:szCs w:val="16"/>
        </w:rPr>
      </w:pPr>
      <w:r w:rsidRPr="00507A31">
        <w:rPr>
          <w:rStyle w:val="811"/>
          <w:rFonts w:ascii="Times New Roman" w:hAnsi="Times New Roman" w:cs="Times New Roman"/>
          <w:color w:val="0070C0"/>
          <w:sz w:val="16"/>
          <w:szCs w:val="16"/>
        </w:rPr>
        <w:t>Между тем, в 6-м отделе Департамента Вооружений считали, что проблема в заднем расположении ведущих колес, а не в плохой конструкции траков. Это стало причиной смены компоновочной схемы и появлению «классической» компоновки с передним рас</w:t>
      </w:r>
      <w:r w:rsidRPr="00507A31">
        <w:rPr>
          <w:rStyle w:val="811"/>
          <w:rFonts w:ascii="Times New Roman" w:hAnsi="Times New Roman" w:cs="Times New Roman"/>
          <w:color w:val="0070C0"/>
          <w:sz w:val="16"/>
          <w:szCs w:val="16"/>
        </w:rPr>
        <w:softHyphen/>
        <w:t>положением трансмиссии, которую немцы снова «позаимствовали», на сей раз у англи</w:t>
      </w:r>
      <w:r w:rsidRPr="00507A31">
        <w:rPr>
          <w:rStyle w:val="811"/>
          <w:rFonts w:ascii="Times New Roman" w:hAnsi="Times New Roman" w:cs="Times New Roman"/>
          <w:color w:val="0070C0"/>
          <w:sz w:val="16"/>
          <w:szCs w:val="16"/>
        </w:rPr>
        <w:softHyphen/>
        <w:t xml:space="preserve">чан. Из иных изменений </w:t>
      </w:r>
      <w:r w:rsidRPr="00507A31">
        <w:rPr>
          <w:rStyle w:val="811"/>
          <w:rFonts w:ascii="Times New Roman" w:hAnsi="Times New Roman" w:cs="Times New Roman"/>
          <w:color w:val="0070C0"/>
          <w:sz w:val="16"/>
          <w:szCs w:val="16"/>
          <w:lang w:val="en-US"/>
        </w:rPr>
        <w:t>Rh</w:t>
      </w:r>
      <w:r w:rsidRPr="00507A31">
        <w:rPr>
          <w:rStyle w:val="811"/>
          <w:rFonts w:ascii="Times New Roman" w:hAnsi="Times New Roman" w:cs="Times New Roman"/>
          <w:color w:val="0070C0"/>
          <w:sz w:val="16"/>
          <w:szCs w:val="16"/>
          <w:lang w:val="ru-RU"/>
        </w:rPr>
        <w:t>.</w:t>
      </w:r>
      <w:r w:rsidRPr="00507A31">
        <w:rPr>
          <w:rStyle w:val="811"/>
          <w:rFonts w:ascii="Times New Roman" w:hAnsi="Times New Roman" w:cs="Times New Roman"/>
          <w:color w:val="0070C0"/>
          <w:sz w:val="16"/>
          <w:szCs w:val="16"/>
          <w:lang w:val="en-US"/>
        </w:rPr>
        <w:t>L</w:t>
      </w:r>
      <w:r w:rsidRPr="00507A31">
        <w:rPr>
          <w:rStyle w:val="811"/>
          <w:rFonts w:ascii="Times New Roman" w:hAnsi="Times New Roman" w:cs="Times New Roman"/>
          <w:color w:val="0070C0"/>
          <w:sz w:val="16"/>
          <w:szCs w:val="16"/>
          <w:lang w:val="ru-RU"/>
        </w:rPr>
        <w:t>.</w:t>
      </w:r>
      <w:r w:rsidRPr="00507A31">
        <w:rPr>
          <w:rStyle w:val="811"/>
          <w:rFonts w:ascii="Times New Roman" w:hAnsi="Times New Roman" w:cs="Times New Roman"/>
          <w:color w:val="0070C0"/>
          <w:sz w:val="16"/>
          <w:szCs w:val="16"/>
          <w:lang w:val="en-US"/>
        </w:rPr>
        <w:t>Tr</w:t>
      </w:r>
      <w:r w:rsidRPr="00507A31">
        <w:rPr>
          <w:rStyle w:val="811"/>
          <w:rFonts w:ascii="Times New Roman" w:hAnsi="Times New Roman" w:cs="Times New Roman"/>
          <w:color w:val="0070C0"/>
          <w:sz w:val="16"/>
          <w:szCs w:val="16"/>
          <w:lang w:val="ru-RU"/>
        </w:rPr>
        <w:t xml:space="preserve">. </w:t>
      </w:r>
      <w:r w:rsidRPr="00507A31">
        <w:rPr>
          <w:rStyle w:val="811"/>
          <w:rFonts w:ascii="Times New Roman" w:hAnsi="Times New Roman" w:cs="Times New Roman"/>
          <w:color w:val="0070C0"/>
          <w:sz w:val="16"/>
          <w:szCs w:val="16"/>
        </w:rPr>
        <w:t>стоит отме</w:t>
      </w:r>
      <w:r w:rsidRPr="00507A31">
        <w:rPr>
          <w:rStyle w:val="811"/>
          <w:rFonts w:ascii="Times New Roman" w:hAnsi="Times New Roman" w:cs="Times New Roman"/>
          <w:color w:val="0070C0"/>
          <w:sz w:val="16"/>
          <w:szCs w:val="16"/>
        </w:rPr>
        <w:softHyphen/>
        <w:t>тить второй вентилятор для охлаждения дви</w:t>
      </w:r>
      <w:r w:rsidRPr="00507A31">
        <w:rPr>
          <w:rStyle w:val="811"/>
          <w:rFonts w:ascii="Times New Roman" w:hAnsi="Times New Roman" w:cs="Times New Roman"/>
          <w:color w:val="0070C0"/>
          <w:sz w:val="16"/>
          <w:szCs w:val="16"/>
        </w:rPr>
        <w:softHyphen/>
        <w:t xml:space="preserve">гателя и вентилятор охлаждения тормозов поворота. Переделали рессоры подвески, поставили более мощную пружину для ленивца, наконец, установили менее шумную КПП </w:t>
      </w:r>
      <w:r w:rsidRPr="00507A31">
        <w:rPr>
          <w:rStyle w:val="811"/>
          <w:rFonts w:ascii="Times New Roman" w:hAnsi="Times New Roman" w:cs="Times New Roman"/>
          <w:color w:val="0070C0"/>
          <w:sz w:val="16"/>
          <w:szCs w:val="16"/>
          <w:lang w:val="en-US"/>
        </w:rPr>
        <w:t>ZF</w:t>
      </w:r>
      <w:r w:rsidRPr="00507A31">
        <w:rPr>
          <w:rStyle w:val="811"/>
          <w:rFonts w:ascii="Times New Roman" w:hAnsi="Times New Roman" w:cs="Times New Roman"/>
          <w:color w:val="0070C0"/>
          <w:sz w:val="16"/>
          <w:szCs w:val="16"/>
          <w:lang w:val="ru-RU"/>
        </w:rPr>
        <w:t xml:space="preserve"> </w:t>
      </w:r>
      <w:r w:rsidRPr="00507A31">
        <w:rPr>
          <w:rStyle w:val="811"/>
          <w:rFonts w:ascii="Times New Roman" w:hAnsi="Times New Roman" w:cs="Times New Roman"/>
          <w:color w:val="0070C0"/>
          <w:sz w:val="16"/>
          <w:szCs w:val="16"/>
          <w:lang w:val="en-US"/>
        </w:rPr>
        <w:t>Aphon</w:t>
      </w:r>
      <w:r w:rsidRPr="00507A31">
        <w:rPr>
          <w:rStyle w:val="811"/>
          <w:rFonts w:ascii="Times New Roman" w:hAnsi="Times New Roman" w:cs="Times New Roman"/>
          <w:color w:val="0070C0"/>
          <w:sz w:val="16"/>
          <w:szCs w:val="16"/>
          <w:lang w:val="ru-RU"/>
        </w:rPr>
        <w:t xml:space="preserve">. </w:t>
      </w:r>
      <w:r w:rsidRPr="00507A31">
        <w:rPr>
          <w:rStyle w:val="811"/>
          <w:rFonts w:ascii="Times New Roman" w:hAnsi="Times New Roman" w:cs="Times New Roman"/>
          <w:color w:val="0070C0"/>
          <w:sz w:val="16"/>
          <w:szCs w:val="16"/>
        </w:rPr>
        <w:t xml:space="preserve">Таким образом, уже к началу 1931 года внешний облик легкого танка </w:t>
      </w:r>
      <w:r w:rsidRPr="00507A31">
        <w:rPr>
          <w:rStyle w:val="811"/>
          <w:rFonts w:ascii="Times New Roman" w:hAnsi="Times New Roman" w:cs="Times New Roman"/>
          <w:color w:val="0070C0"/>
          <w:sz w:val="16"/>
          <w:szCs w:val="16"/>
          <w:lang w:val="en-US"/>
        </w:rPr>
        <w:t>RheinmetaLL</w:t>
      </w:r>
      <w:r w:rsidRPr="00507A31">
        <w:rPr>
          <w:rStyle w:val="811"/>
          <w:rFonts w:ascii="Times New Roman" w:hAnsi="Times New Roman" w:cs="Times New Roman"/>
          <w:color w:val="0070C0"/>
          <w:sz w:val="16"/>
          <w:szCs w:val="16"/>
          <w:lang w:val="ru-RU"/>
        </w:rPr>
        <w:t xml:space="preserve"> </w:t>
      </w:r>
      <w:r w:rsidRPr="00507A31">
        <w:rPr>
          <w:rStyle w:val="811"/>
          <w:rFonts w:ascii="Times New Roman" w:hAnsi="Times New Roman" w:cs="Times New Roman"/>
          <w:color w:val="0070C0"/>
          <w:sz w:val="16"/>
          <w:szCs w:val="16"/>
        </w:rPr>
        <w:t>изменился. Это было лишь нача</w:t>
      </w:r>
      <w:r w:rsidRPr="00507A31">
        <w:rPr>
          <w:rStyle w:val="811"/>
          <w:rFonts w:ascii="Times New Roman" w:hAnsi="Times New Roman" w:cs="Times New Roman"/>
          <w:color w:val="0070C0"/>
          <w:sz w:val="16"/>
          <w:szCs w:val="16"/>
        </w:rPr>
        <w:softHyphen/>
        <w:t>лом переделок.</w:t>
      </w:r>
    </w:p>
    <w:p w14:paraId="4E3C5B49" w14:textId="77777777" w:rsidR="00091569" w:rsidRPr="00507A31" w:rsidRDefault="00091569" w:rsidP="00507A31">
      <w:pPr>
        <w:shd w:val="clear" w:color="auto" w:fill="FFFFFF"/>
        <w:jc w:val="both"/>
        <w:rPr>
          <w:rStyle w:val="640"/>
          <w:rFonts w:ascii="Times New Roman" w:hAnsi="Times New Roman" w:cs="Times New Roman"/>
          <w:color w:val="0070C0"/>
          <w:sz w:val="16"/>
          <w:szCs w:val="16"/>
        </w:rPr>
      </w:pPr>
      <w:r w:rsidRPr="00507A31">
        <w:rPr>
          <w:rStyle w:val="811"/>
          <w:rFonts w:ascii="Times New Roman" w:hAnsi="Times New Roman" w:cs="Times New Roman"/>
          <w:color w:val="0070C0"/>
          <w:sz w:val="16"/>
          <w:szCs w:val="16"/>
        </w:rPr>
        <w:t>Отдельно стоит упомянуть башню. Как уже говорилось ранее, башня разрабатывалась двухместной, но на самом деле танки, кото</w:t>
      </w:r>
      <w:r w:rsidRPr="00507A31">
        <w:rPr>
          <w:rStyle w:val="811"/>
          <w:rFonts w:ascii="Times New Roman" w:hAnsi="Times New Roman" w:cs="Times New Roman"/>
          <w:color w:val="0070C0"/>
          <w:sz w:val="16"/>
          <w:szCs w:val="16"/>
        </w:rPr>
        <w:softHyphen/>
        <w:t>рые прибыли в Казань, имели трехместные башни. Позади орудия на тумбе установили третье сиденье, на котором размещался командир. Не случайно на заводских фото</w:t>
      </w:r>
      <w:r w:rsidRPr="00507A31">
        <w:rPr>
          <w:rStyle w:val="811"/>
          <w:rFonts w:ascii="Times New Roman" w:hAnsi="Times New Roman" w:cs="Times New Roman"/>
          <w:color w:val="0070C0"/>
          <w:sz w:val="16"/>
          <w:szCs w:val="16"/>
        </w:rPr>
        <w:softHyphen/>
        <w:t xml:space="preserve">графиях </w:t>
      </w:r>
      <w:r w:rsidRPr="00507A31">
        <w:rPr>
          <w:rStyle w:val="811"/>
          <w:rFonts w:ascii="Times New Roman" w:hAnsi="Times New Roman" w:cs="Times New Roman"/>
          <w:color w:val="0070C0"/>
          <w:sz w:val="16"/>
          <w:szCs w:val="16"/>
          <w:lang w:val="en-US"/>
        </w:rPr>
        <w:t>Leichttraktor</w:t>
      </w:r>
      <w:r w:rsidRPr="00507A31">
        <w:rPr>
          <w:rStyle w:val="811"/>
          <w:rFonts w:ascii="Times New Roman" w:hAnsi="Times New Roman" w:cs="Times New Roman"/>
          <w:color w:val="0070C0"/>
          <w:sz w:val="16"/>
          <w:szCs w:val="16"/>
        </w:rPr>
        <w:t xml:space="preserve"> видно, что второй перископический прибор находится по цент</w:t>
      </w:r>
      <w:r w:rsidRPr="00507A31">
        <w:rPr>
          <w:rStyle w:val="811"/>
          <w:rFonts w:ascii="Times New Roman" w:hAnsi="Times New Roman" w:cs="Times New Roman"/>
          <w:color w:val="0070C0"/>
          <w:sz w:val="16"/>
          <w:szCs w:val="16"/>
        </w:rPr>
        <w:softHyphen/>
        <w:t>ру машины и немного позади. Именно этим перископом и пользовался командир. Заря</w:t>
      </w:r>
      <w:r w:rsidRPr="00507A31">
        <w:rPr>
          <w:rStyle w:val="811"/>
          <w:rFonts w:ascii="Times New Roman" w:hAnsi="Times New Roman" w:cs="Times New Roman"/>
          <w:color w:val="0070C0"/>
          <w:sz w:val="16"/>
          <w:szCs w:val="16"/>
        </w:rPr>
        <w:softHyphen/>
        <w:t>жающим же был отдельный человек. Другой вопрос, что первые же испытания стрельбой показали: даже при диаметре погона 1460 мм места для командира слишком мало. Да и башня в целом стала слишком тесной. К 1931 году место командира ликвидировали, а сиденья наводчика с заряжающим-команди- ром закрепили на стенках башни. Точно такое же решение можно видеть и на швед</w:t>
      </w:r>
      <w:r w:rsidRPr="00507A31">
        <w:rPr>
          <w:rStyle w:val="811"/>
          <w:rFonts w:ascii="Times New Roman" w:hAnsi="Times New Roman" w:cs="Times New Roman"/>
          <w:color w:val="0070C0"/>
          <w:sz w:val="16"/>
          <w:szCs w:val="16"/>
        </w:rPr>
        <w:softHyphen/>
        <w:t xml:space="preserve">ском легком танке </w:t>
      </w:r>
      <w:r w:rsidRPr="00507A31">
        <w:rPr>
          <w:rStyle w:val="811"/>
          <w:rFonts w:ascii="Times New Roman" w:hAnsi="Times New Roman" w:cs="Times New Roman"/>
          <w:color w:val="0070C0"/>
          <w:sz w:val="16"/>
          <w:szCs w:val="16"/>
          <w:lang w:val="en-US"/>
        </w:rPr>
        <w:t>Strv</w:t>
      </w:r>
      <w:r w:rsidRPr="00507A31">
        <w:rPr>
          <w:rStyle w:val="811"/>
          <w:rFonts w:ascii="Times New Roman" w:hAnsi="Times New Roman" w:cs="Times New Roman"/>
          <w:color w:val="0070C0"/>
          <w:sz w:val="16"/>
          <w:szCs w:val="16"/>
        </w:rPr>
        <w:t xml:space="preserve"> </w:t>
      </w:r>
      <w:r w:rsidRPr="00507A31">
        <w:rPr>
          <w:rStyle w:val="811"/>
          <w:rFonts w:ascii="Times New Roman" w:hAnsi="Times New Roman" w:cs="Times New Roman"/>
          <w:color w:val="0070C0"/>
          <w:sz w:val="16"/>
          <w:szCs w:val="16"/>
          <w:lang w:val="en-US"/>
        </w:rPr>
        <w:t>m</w:t>
      </w:r>
      <w:r w:rsidRPr="00507A31">
        <w:rPr>
          <w:rStyle w:val="811"/>
          <w:rFonts w:ascii="Times New Roman" w:hAnsi="Times New Roman" w:cs="Times New Roman"/>
          <w:color w:val="0070C0"/>
          <w:sz w:val="16"/>
          <w:szCs w:val="16"/>
        </w:rPr>
        <w:t>/31 (что неудиви</w:t>
      </w:r>
      <w:r w:rsidRPr="00507A31">
        <w:rPr>
          <w:rStyle w:val="811"/>
          <w:rFonts w:ascii="Times New Roman" w:hAnsi="Times New Roman" w:cs="Times New Roman"/>
          <w:color w:val="0070C0"/>
          <w:sz w:val="16"/>
          <w:szCs w:val="16"/>
        </w:rPr>
        <w:softHyphen/>
        <w:t xml:space="preserve">тельно, поскольку разработавшая его башню </w:t>
      </w:r>
      <w:r w:rsidRPr="00507A31">
        <w:rPr>
          <w:rStyle w:val="811"/>
          <w:rFonts w:ascii="Times New Roman" w:hAnsi="Times New Roman" w:cs="Times New Roman"/>
          <w:color w:val="0070C0"/>
          <w:sz w:val="16"/>
          <w:szCs w:val="16"/>
          <w:lang w:val="en-US"/>
        </w:rPr>
        <w:t>Bofors</w:t>
      </w:r>
      <w:r w:rsidRPr="00507A31">
        <w:rPr>
          <w:rStyle w:val="811"/>
          <w:rFonts w:ascii="Times New Roman" w:hAnsi="Times New Roman" w:cs="Times New Roman"/>
          <w:color w:val="0070C0"/>
          <w:sz w:val="16"/>
          <w:szCs w:val="16"/>
        </w:rPr>
        <w:t xml:space="preserve"> была подконтрольна компании </w:t>
      </w:r>
      <w:r w:rsidRPr="00507A31">
        <w:rPr>
          <w:rStyle w:val="811"/>
          <w:rFonts w:ascii="Times New Roman" w:hAnsi="Times New Roman" w:cs="Times New Roman"/>
          <w:color w:val="0070C0"/>
          <w:sz w:val="16"/>
          <w:szCs w:val="16"/>
          <w:lang w:val="en-US"/>
        </w:rPr>
        <w:t>Krupp</w:t>
      </w:r>
      <w:r w:rsidRPr="00507A31">
        <w:rPr>
          <w:rStyle w:val="811"/>
          <w:rFonts w:ascii="Times New Roman" w:hAnsi="Times New Roman" w:cs="Times New Roman"/>
          <w:color w:val="0070C0"/>
          <w:sz w:val="16"/>
          <w:szCs w:val="16"/>
        </w:rPr>
        <w:t>). Испытания стрельбой, проведенные в 1930 году, показали, что скорость точной наводки орудия достаточна, но мала скорость пере</w:t>
      </w:r>
      <w:r w:rsidRPr="00507A31">
        <w:rPr>
          <w:rStyle w:val="811"/>
          <w:rFonts w:ascii="Times New Roman" w:hAnsi="Times New Roman" w:cs="Times New Roman"/>
          <w:color w:val="0070C0"/>
          <w:sz w:val="16"/>
          <w:szCs w:val="16"/>
        </w:rPr>
        <w:softHyphen/>
        <w:t xml:space="preserve">броски огня на другую цель. Также </w:t>
      </w:r>
      <w:r w:rsidRPr="00507A31">
        <w:rPr>
          <w:rStyle w:val="811"/>
          <w:rFonts w:ascii="Times New Roman" w:hAnsi="Times New Roman" w:cs="Times New Roman"/>
          <w:color w:val="0070C0"/>
          <w:sz w:val="16"/>
          <w:szCs w:val="16"/>
          <w:lang w:val="en-US"/>
        </w:rPr>
        <w:t>Leicht</w:t>
      </w:r>
      <w:r w:rsidRPr="00507A31">
        <w:rPr>
          <w:rStyle w:val="811"/>
          <w:rFonts w:ascii="Times New Roman" w:hAnsi="Times New Roman" w:cs="Times New Roman"/>
          <w:color w:val="0070C0"/>
          <w:sz w:val="16"/>
          <w:szCs w:val="16"/>
        </w:rPr>
        <w:softHyphen/>
      </w:r>
      <w:r w:rsidRPr="00507A31">
        <w:rPr>
          <w:rStyle w:val="811"/>
          <w:rFonts w:ascii="Times New Roman" w:hAnsi="Times New Roman" w:cs="Times New Roman"/>
          <w:color w:val="0070C0"/>
          <w:sz w:val="16"/>
          <w:szCs w:val="16"/>
          <w:lang w:val="en-US"/>
        </w:rPr>
        <w:t>traktor</w:t>
      </w:r>
      <w:r w:rsidRPr="00507A31">
        <w:rPr>
          <w:rStyle w:val="811"/>
          <w:rFonts w:ascii="Times New Roman" w:hAnsi="Times New Roman" w:cs="Times New Roman"/>
          <w:color w:val="0070C0"/>
          <w:sz w:val="16"/>
          <w:szCs w:val="16"/>
        </w:rPr>
        <w:t xml:space="preserve"> оказался плохой огневой платфор</w:t>
      </w:r>
      <w:r w:rsidRPr="00507A31">
        <w:rPr>
          <w:rStyle w:val="811"/>
          <w:rFonts w:ascii="Times New Roman" w:hAnsi="Times New Roman" w:cs="Times New Roman"/>
          <w:color w:val="0070C0"/>
          <w:sz w:val="16"/>
          <w:szCs w:val="16"/>
        </w:rPr>
        <w:softHyphen/>
        <w:t>мой. Расположение боевого отделения в кор</w:t>
      </w:r>
      <w:r w:rsidRPr="00507A31">
        <w:rPr>
          <w:rStyle w:val="811"/>
          <w:rFonts w:ascii="Times New Roman" w:hAnsi="Times New Roman" w:cs="Times New Roman"/>
          <w:color w:val="0070C0"/>
          <w:sz w:val="16"/>
          <w:szCs w:val="16"/>
        </w:rPr>
        <w:softHyphen/>
        <w:t>мовой части увеличивало тряску и затрудня</w:t>
      </w:r>
      <w:r w:rsidRPr="00507A31">
        <w:rPr>
          <w:rStyle w:val="811"/>
          <w:rFonts w:ascii="Times New Roman" w:hAnsi="Times New Roman" w:cs="Times New Roman"/>
          <w:color w:val="0070C0"/>
          <w:sz w:val="16"/>
          <w:szCs w:val="16"/>
        </w:rPr>
        <w:softHyphen/>
        <w:t>ло стрельбу. Имелись претензии и к ножному спуску. На танках поставили электроспуск, но в виду небольшого объема огневых испыта</w:t>
      </w:r>
      <w:r w:rsidRPr="00507A31">
        <w:rPr>
          <w:rStyle w:val="811"/>
          <w:rFonts w:ascii="Times New Roman" w:hAnsi="Times New Roman" w:cs="Times New Roman"/>
          <w:color w:val="0070C0"/>
          <w:sz w:val="16"/>
          <w:szCs w:val="16"/>
        </w:rPr>
        <w:softHyphen/>
        <w:t>ний преимущества не были определены</w:t>
      </w:r>
    </w:p>
    <w:p w14:paraId="7C86D9CE" w14:textId="77777777" w:rsidR="00091569" w:rsidRPr="00507A31" w:rsidRDefault="00091569" w:rsidP="00507A31">
      <w:pPr>
        <w:pStyle w:val="116"/>
        <w:shd w:val="clear" w:color="auto" w:fill="auto"/>
        <w:spacing w:after="0" w:line="240" w:lineRule="auto"/>
        <w:ind w:firstLine="0"/>
        <w:jc w:val="both"/>
        <w:rPr>
          <w:rFonts w:ascii="Times New Roman" w:hAnsi="Times New Roman" w:cs="Times New Roman"/>
          <w:color w:val="0070C0"/>
          <w:sz w:val="16"/>
          <w:szCs w:val="16"/>
        </w:rPr>
      </w:pPr>
      <w:r w:rsidRPr="00507A31">
        <w:rPr>
          <w:rStyle w:val="820"/>
          <w:rFonts w:ascii="Times New Roman" w:hAnsi="Times New Roman" w:cs="Times New Roman"/>
          <w:color w:val="0070C0"/>
          <w:sz w:val="16"/>
          <w:szCs w:val="16"/>
        </w:rPr>
        <w:t>Установленная в танке 37-мм пушка пока</w:t>
      </w:r>
      <w:r w:rsidRPr="00507A31">
        <w:rPr>
          <w:rStyle w:val="820"/>
          <w:rFonts w:ascii="Times New Roman" w:hAnsi="Times New Roman" w:cs="Times New Roman"/>
          <w:color w:val="0070C0"/>
          <w:sz w:val="16"/>
          <w:szCs w:val="16"/>
        </w:rPr>
        <w:softHyphen/>
        <w:t>зала себя хорошо, но наблюдалось омеднение ствола в ходе стрельбы из-за размазывания ведущих поясков снарядов по нарезам. Также очень не понравился военным горизонталь</w:t>
      </w:r>
      <w:r w:rsidRPr="00507A31">
        <w:rPr>
          <w:rStyle w:val="820"/>
          <w:rFonts w:ascii="Times New Roman" w:hAnsi="Times New Roman" w:cs="Times New Roman"/>
          <w:color w:val="0070C0"/>
          <w:sz w:val="16"/>
          <w:szCs w:val="16"/>
        </w:rPr>
        <w:softHyphen/>
        <w:t xml:space="preserve">ный клиновой затвор, требовалось сделать его вертикальным. Спаренный пулемет </w:t>
      </w:r>
      <w:r w:rsidRPr="00507A31">
        <w:rPr>
          <w:rStyle w:val="820"/>
          <w:rFonts w:ascii="Times New Roman" w:hAnsi="Times New Roman" w:cs="Times New Roman"/>
          <w:color w:val="0070C0"/>
          <w:sz w:val="16"/>
          <w:szCs w:val="16"/>
          <w:lang w:val="en-US"/>
        </w:rPr>
        <w:t>Dreyse</w:t>
      </w:r>
      <w:r w:rsidRPr="00507A31">
        <w:rPr>
          <w:rStyle w:val="820"/>
          <w:rFonts w:ascii="Times New Roman" w:hAnsi="Times New Roman" w:cs="Times New Roman"/>
          <w:color w:val="0070C0"/>
          <w:sz w:val="16"/>
          <w:szCs w:val="16"/>
          <w:lang w:val="ru-RU"/>
        </w:rPr>
        <w:t xml:space="preserve"> </w:t>
      </w:r>
      <w:r w:rsidRPr="00507A31">
        <w:rPr>
          <w:rStyle w:val="820"/>
          <w:rFonts w:ascii="Times New Roman" w:hAnsi="Times New Roman" w:cs="Times New Roman"/>
          <w:color w:val="0070C0"/>
          <w:sz w:val="16"/>
          <w:szCs w:val="16"/>
          <w:lang w:val="en-US"/>
        </w:rPr>
        <w:t>M</w:t>
      </w:r>
      <w:r w:rsidRPr="00507A31">
        <w:rPr>
          <w:rStyle w:val="820"/>
          <w:rFonts w:ascii="Times New Roman" w:hAnsi="Times New Roman" w:cs="Times New Roman"/>
          <w:color w:val="0070C0"/>
          <w:sz w:val="16"/>
          <w:szCs w:val="16"/>
          <w:lang w:val="ru-RU"/>
        </w:rPr>
        <w:t xml:space="preserve"> </w:t>
      </w:r>
      <w:r w:rsidRPr="00507A31">
        <w:rPr>
          <w:rStyle w:val="820"/>
          <w:rFonts w:ascii="Times New Roman" w:hAnsi="Times New Roman" w:cs="Times New Roman"/>
          <w:color w:val="0070C0"/>
          <w:sz w:val="16"/>
          <w:szCs w:val="16"/>
        </w:rPr>
        <w:t>14/18 оказался хорошим оружием, но пло</w:t>
      </w:r>
      <w:r w:rsidRPr="00507A31">
        <w:rPr>
          <w:rStyle w:val="820"/>
          <w:rFonts w:ascii="Times New Roman" w:hAnsi="Times New Roman" w:cs="Times New Roman"/>
          <w:color w:val="0070C0"/>
          <w:sz w:val="16"/>
          <w:szCs w:val="16"/>
        </w:rPr>
        <w:softHyphen/>
        <w:t>хим танковым пулеметом. Водяное охлажде</w:t>
      </w:r>
      <w:r w:rsidRPr="00507A31">
        <w:rPr>
          <w:rStyle w:val="820"/>
          <w:rFonts w:ascii="Times New Roman" w:hAnsi="Times New Roman" w:cs="Times New Roman"/>
          <w:color w:val="0070C0"/>
          <w:sz w:val="16"/>
          <w:szCs w:val="16"/>
        </w:rPr>
        <w:softHyphen/>
        <w:t>ние делало его слишком громоздким, а бара</w:t>
      </w:r>
      <w:r w:rsidRPr="00507A31">
        <w:rPr>
          <w:rStyle w:val="820"/>
          <w:rFonts w:ascii="Times New Roman" w:hAnsi="Times New Roman" w:cs="Times New Roman"/>
          <w:color w:val="0070C0"/>
          <w:sz w:val="16"/>
          <w:szCs w:val="16"/>
        </w:rPr>
        <w:softHyphen/>
        <w:t>банный магазин оказался слишком большим в тесном боевом отделении танка. Перезаря</w:t>
      </w:r>
      <w:r w:rsidRPr="00507A31">
        <w:rPr>
          <w:rStyle w:val="820"/>
          <w:rFonts w:ascii="Times New Roman" w:hAnsi="Times New Roman" w:cs="Times New Roman"/>
          <w:color w:val="0070C0"/>
          <w:sz w:val="16"/>
          <w:szCs w:val="16"/>
        </w:rPr>
        <w:softHyphen/>
        <w:t>жать такой магазин было непросто. Скоро</w:t>
      </w:r>
      <w:r w:rsidRPr="00507A31">
        <w:rPr>
          <w:rStyle w:val="820"/>
          <w:rFonts w:ascii="Times New Roman" w:hAnsi="Times New Roman" w:cs="Times New Roman"/>
          <w:color w:val="0070C0"/>
          <w:sz w:val="16"/>
          <w:szCs w:val="16"/>
        </w:rPr>
        <w:softHyphen/>
        <w:t>стрельность 400 выстрелов в минуту тоже была явно недостаточной. В качестве альтер</w:t>
      </w:r>
      <w:r w:rsidRPr="00507A31">
        <w:rPr>
          <w:rStyle w:val="820"/>
          <w:rFonts w:ascii="Times New Roman" w:hAnsi="Times New Roman" w:cs="Times New Roman"/>
          <w:color w:val="0070C0"/>
          <w:sz w:val="16"/>
          <w:szCs w:val="16"/>
        </w:rPr>
        <w:softHyphen/>
        <w:t xml:space="preserve">нативы испытали авиационный пулемет </w:t>
      </w:r>
      <w:r w:rsidRPr="00507A31">
        <w:rPr>
          <w:rStyle w:val="820"/>
          <w:rFonts w:ascii="Times New Roman" w:hAnsi="Times New Roman" w:cs="Times New Roman"/>
          <w:color w:val="0070C0"/>
          <w:sz w:val="16"/>
          <w:szCs w:val="16"/>
          <w:lang w:val="en-US"/>
        </w:rPr>
        <w:t>Solothurn</w:t>
      </w:r>
      <w:r w:rsidRPr="00507A31">
        <w:rPr>
          <w:rStyle w:val="820"/>
          <w:rFonts w:ascii="Times New Roman" w:hAnsi="Times New Roman" w:cs="Times New Roman"/>
          <w:color w:val="0070C0"/>
          <w:sz w:val="16"/>
          <w:szCs w:val="16"/>
          <w:lang w:val="ru-RU"/>
        </w:rPr>
        <w:t xml:space="preserve"> </w:t>
      </w:r>
      <w:r w:rsidRPr="00507A31">
        <w:rPr>
          <w:rStyle w:val="820"/>
          <w:rFonts w:ascii="Times New Roman" w:hAnsi="Times New Roman" w:cs="Times New Roman"/>
          <w:color w:val="0070C0"/>
          <w:sz w:val="16"/>
          <w:szCs w:val="16"/>
          <w:lang w:val="en-US"/>
        </w:rPr>
        <w:t>S</w:t>
      </w:r>
      <w:r w:rsidRPr="00507A31">
        <w:rPr>
          <w:rStyle w:val="820"/>
          <w:rFonts w:ascii="Times New Roman" w:hAnsi="Times New Roman" w:cs="Times New Roman"/>
          <w:color w:val="0070C0"/>
          <w:sz w:val="16"/>
          <w:szCs w:val="16"/>
          <w:lang w:val="ru-RU"/>
        </w:rPr>
        <w:t xml:space="preserve">2-200 </w:t>
      </w:r>
      <w:r w:rsidRPr="00507A31">
        <w:rPr>
          <w:rStyle w:val="820"/>
          <w:rFonts w:ascii="Times New Roman" w:hAnsi="Times New Roman" w:cs="Times New Roman"/>
          <w:color w:val="0070C0"/>
          <w:sz w:val="16"/>
          <w:szCs w:val="16"/>
        </w:rPr>
        <w:t xml:space="preserve">(он же </w:t>
      </w:r>
      <w:r w:rsidRPr="00507A31">
        <w:rPr>
          <w:rStyle w:val="820"/>
          <w:rFonts w:ascii="Times New Roman" w:hAnsi="Times New Roman" w:cs="Times New Roman"/>
          <w:color w:val="0070C0"/>
          <w:sz w:val="16"/>
          <w:szCs w:val="16"/>
          <w:lang w:val="en-US"/>
        </w:rPr>
        <w:t>Soda</w:t>
      </w:r>
      <w:r w:rsidRPr="00507A31">
        <w:rPr>
          <w:rStyle w:val="820"/>
          <w:rFonts w:ascii="Times New Roman" w:hAnsi="Times New Roman" w:cs="Times New Roman"/>
          <w:color w:val="0070C0"/>
          <w:sz w:val="16"/>
          <w:szCs w:val="16"/>
          <w:lang w:val="ru-RU"/>
        </w:rPr>
        <w:t>-</w:t>
      </w:r>
      <w:r w:rsidRPr="00507A31">
        <w:rPr>
          <w:rStyle w:val="820"/>
          <w:rFonts w:ascii="Times New Roman" w:hAnsi="Times New Roman" w:cs="Times New Roman"/>
          <w:color w:val="0070C0"/>
          <w:sz w:val="16"/>
          <w:szCs w:val="16"/>
          <w:lang w:val="en-US"/>
        </w:rPr>
        <w:t>MG</w:t>
      </w:r>
      <w:r w:rsidRPr="00507A31">
        <w:rPr>
          <w:rStyle w:val="820"/>
          <w:rFonts w:ascii="Times New Roman" w:hAnsi="Times New Roman" w:cs="Times New Roman"/>
          <w:color w:val="0070C0"/>
          <w:sz w:val="16"/>
          <w:szCs w:val="16"/>
          <w:lang w:val="ru-RU"/>
        </w:rPr>
        <w:t xml:space="preserve"> </w:t>
      </w:r>
      <w:r w:rsidRPr="00507A31">
        <w:rPr>
          <w:rStyle w:val="820"/>
          <w:rFonts w:ascii="Times New Roman" w:hAnsi="Times New Roman" w:cs="Times New Roman"/>
          <w:color w:val="0070C0"/>
          <w:sz w:val="16"/>
          <w:szCs w:val="16"/>
        </w:rPr>
        <w:t xml:space="preserve">- позже он превратился в </w:t>
      </w:r>
      <w:r w:rsidRPr="00507A31">
        <w:rPr>
          <w:rStyle w:val="820"/>
          <w:rFonts w:ascii="Times New Roman" w:hAnsi="Times New Roman" w:cs="Times New Roman"/>
          <w:color w:val="0070C0"/>
          <w:sz w:val="16"/>
          <w:szCs w:val="16"/>
          <w:lang w:val="en-US"/>
        </w:rPr>
        <w:t>MG</w:t>
      </w:r>
      <w:r w:rsidRPr="00507A31">
        <w:rPr>
          <w:rStyle w:val="820"/>
          <w:rFonts w:ascii="Times New Roman" w:hAnsi="Times New Roman" w:cs="Times New Roman"/>
          <w:color w:val="0070C0"/>
          <w:sz w:val="16"/>
          <w:szCs w:val="16"/>
          <w:lang w:val="ru-RU"/>
        </w:rPr>
        <w:t xml:space="preserve"> </w:t>
      </w:r>
      <w:r w:rsidRPr="00507A31">
        <w:rPr>
          <w:rStyle w:val="820"/>
          <w:rFonts w:ascii="Times New Roman" w:hAnsi="Times New Roman" w:cs="Times New Roman"/>
          <w:color w:val="0070C0"/>
          <w:sz w:val="16"/>
          <w:szCs w:val="16"/>
        </w:rPr>
        <w:t>15). Он был менее громозд</w:t>
      </w:r>
      <w:r w:rsidRPr="00507A31">
        <w:rPr>
          <w:rStyle w:val="820"/>
          <w:rFonts w:ascii="Times New Roman" w:hAnsi="Times New Roman" w:cs="Times New Roman"/>
          <w:color w:val="0070C0"/>
          <w:sz w:val="16"/>
          <w:szCs w:val="16"/>
        </w:rPr>
        <w:softHyphen/>
        <w:t>ким и более скорострельным, но перегревал</w:t>
      </w:r>
      <w:r w:rsidRPr="00507A31">
        <w:rPr>
          <w:rStyle w:val="820"/>
          <w:rFonts w:ascii="Times New Roman" w:hAnsi="Times New Roman" w:cs="Times New Roman"/>
          <w:color w:val="0070C0"/>
          <w:sz w:val="16"/>
          <w:szCs w:val="16"/>
        </w:rPr>
        <w:softHyphen/>
        <w:t>ся при стрельбе. Имелись претензии к прице</w:t>
      </w:r>
      <w:r w:rsidRPr="00507A31">
        <w:rPr>
          <w:rStyle w:val="820"/>
          <w:rFonts w:ascii="Times New Roman" w:hAnsi="Times New Roman" w:cs="Times New Roman"/>
          <w:color w:val="0070C0"/>
          <w:sz w:val="16"/>
          <w:szCs w:val="16"/>
        </w:rPr>
        <w:softHyphen/>
        <w:t xml:space="preserve">лам. На танке стоял перископический прицел </w:t>
      </w:r>
      <w:r w:rsidRPr="00507A31">
        <w:rPr>
          <w:rStyle w:val="820"/>
          <w:rFonts w:ascii="Times New Roman" w:hAnsi="Times New Roman" w:cs="Times New Roman"/>
          <w:color w:val="0070C0"/>
          <w:sz w:val="16"/>
          <w:szCs w:val="16"/>
          <w:lang w:val="en-US"/>
        </w:rPr>
        <w:t>Zeiss</w:t>
      </w:r>
      <w:r w:rsidRPr="00507A31">
        <w:rPr>
          <w:rStyle w:val="820"/>
          <w:rFonts w:ascii="Times New Roman" w:hAnsi="Times New Roman" w:cs="Times New Roman"/>
          <w:color w:val="0070C0"/>
          <w:sz w:val="16"/>
          <w:szCs w:val="16"/>
          <w:lang w:val="ru-RU"/>
        </w:rPr>
        <w:t xml:space="preserve">, </w:t>
      </w:r>
      <w:r w:rsidRPr="00507A31">
        <w:rPr>
          <w:rStyle w:val="820"/>
          <w:rFonts w:ascii="Times New Roman" w:hAnsi="Times New Roman" w:cs="Times New Roman"/>
          <w:color w:val="0070C0"/>
          <w:sz w:val="16"/>
          <w:szCs w:val="16"/>
        </w:rPr>
        <w:t>которому потребовали сделать 2,5-крат</w:t>
      </w:r>
      <w:r w:rsidRPr="00507A31">
        <w:rPr>
          <w:rStyle w:val="820"/>
          <w:rFonts w:ascii="Times New Roman" w:hAnsi="Times New Roman" w:cs="Times New Roman"/>
          <w:color w:val="0070C0"/>
          <w:sz w:val="16"/>
          <w:szCs w:val="16"/>
        </w:rPr>
        <w:softHyphen/>
        <w:t>ное увеличение и уменьшить поле зрение до 29 градусов. Также возникло требование сде</w:t>
      </w:r>
      <w:r w:rsidRPr="00507A31">
        <w:rPr>
          <w:rStyle w:val="820"/>
          <w:rFonts w:ascii="Times New Roman" w:hAnsi="Times New Roman" w:cs="Times New Roman"/>
          <w:color w:val="0070C0"/>
          <w:sz w:val="16"/>
          <w:szCs w:val="16"/>
        </w:rPr>
        <w:softHyphen/>
        <w:t>лать прицел таким, чтобы его головку можно было менять во время боя, не вылезая из танка. Саму же головку нужно было защитить от осколков и погодных осадков.</w:t>
      </w:r>
    </w:p>
    <w:p w14:paraId="5C5EAF51" w14:textId="77777777" w:rsidR="00091569" w:rsidRPr="00507A31" w:rsidRDefault="00091569" w:rsidP="00507A31">
      <w:pPr>
        <w:pStyle w:val="116"/>
        <w:shd w:val="clear" w:color="auto" w:fill="auto"/>
        <w:spacing w:after="0" w:line="240" w:lineRule="auto"/>
        <w:ind w:firstLine="0"/>
        <w:jc w:val="both"/>
        <w:rPr>
          <w:rFonts w:ascii="Times New Roman" w:hAnsi="Times New Roman" w:cs="Times New Roman"/>
          <w:color w:val="0070C0"/>
          <w:sz w:val="16"/>
          <w:szCs w:val="16"/>
        </w:rPr>
      </w:pPr>
      <w:r w:rsidRPr="00507A31">
        <w:rPr>
          <w:rStyle w:val="820"/>
          <w:rFonts w:ascii="Times New Roman" w:hAnsi="Times New Roman" w:cs="Times New Roman"/>
          <w:color w:val="0070C0"/>
          <w:sz w:val="16"/>
          <w:szCs w:val="16"/>
        </w:rPr>
        <w:t xml:space="preserve">В 1931 году легкие танки </w:t>
      </w:r>
      <w:r w:rsidRPr="00507A31">
        <w:rPr>
          <w:rStyle w:val="820"/>
          <w:rFonts w:ascii="Times New Roman" w:hAnsi="Times New Roman" w:cs="Times New Roman"/>
          <w:color w:val="0070C0"/>
          <w:sz w:val="16"/>
          <w:szCs w:val="16"/>
          <w:lang w:val="en-US"/>
        </w:rPr>
        <w:t>Rheinmetall</w:t>
      </w:r>
      <w:r w:rsidRPr="00507A31">
        <w:rPr>
          <w:rStyle w:val="820"/>
          <w:rFonts w:ascii="Times New Roman" w:hAnsi="Times New Roman" w:cs="Times New Roman"/>
          <w:color w:val="0070C0"/>
          <w:sz w:val="16"/>
          <w:szCs w:val="16"/>
          <w:lang w:val="ru-RU"/>
        </w:rPr>
        <w:t xml:space="preserve"> </w:t>
      </w:r>
      <w:r w:rsidRPr="00507A31">
        <w:rPr>
          <w:rStyle w:val="820"/>
          <w:rFonts w:ascii="Times New Roman" w:hAnsi="Times New Roman" w:cs="Times New Roman"/>
          <w:color w:val="0070C0"/>
          <w:sz w:val="16"/>
          <w:szCs w:val="16"/>
        </w:rPr>
        <w:t>про</w:t>
      </w:r>
      <w:r w:rsidRPr="00507A31">
        <w:rPr>
          <w:rStyle w:val="820"/>
          <w:rFonts w:ascii="Times New Roman" w:hAnsi="Times New Roman" w:cs="Times New Roman"/>
          <w:color w:val="0070C0"/>
          <w:sz w:val="16"/>
          <w:szCs w:val="16"/>
        </w:rPr>
        <w:softHyphen/>
        <w:t>шли существенно большую дистанцию. Машина с номером 39 прошла 708 километ</w:t>
      </w:r>
      <w:r w:rsidRPr="00507A31">
        <w:rPr>
          <w:rStyle w:val="820"/>
          <w:rFonts w:ascii="Times New Roman" w:hAnsi="Times New Roman" w:cs="Times New Roman"/>
          <w:color w:val="0070C0"/>
          <w:sz w:val="16"/>
          <w:szCs w:val="16"/>
        </w:rPr>
        <w:softHyphen/>
        <w:t>ров, а с номером 40 - 513 километров. Также вполне успешно была испытана радиосвязь, правда, не с первой попытки, к тому же про</w:t>
      </w:r>
      <w:r w:rsidRPr="00507A31">
        <w:rPr>
          <w:rStyle w:val="820"/>
          <w:rFonts w:ascii="Times New Roman" w:hAnsi="Times New Roman" w:cs="Times New Roman"/>
          <w:color w:val="0070C0"/>
          <w:sz w:val="16"/>
          <w:szCs w:val="16"/>
        </w:rPr>
        <w:softHyphen/>
        <w:t xml:space="preserve">изводились испытания на танках </w:t>
      </w:r>
      <w:r w:rsidRPr="00507A31">
        <w:rPr>
          <w:rStyle w:val="820"/>
          <w:rFonts w:ascii="Times New Roman" w:hAnsi="Times New Roman" w:cs="Times New Roman"/>
          <w:color w:val="0070C0"/>
          <w:sz w:val="16"/>
          <w:szCs w:val="16"/>
          <w:lang w:val="en-US"/>
        </w:rPr>
        <w:t>Krupp</w:t>
      </w:r>
      <w:r w:rsidRPr="00507A31">
        <w:rPr>
          <w:rStyle w:val="820"/>
          <w:rFonts w:ascii="Times New Roman" w:hAnsi="Times New Roman" w:cs="Times New Roman"/>
          <w:color w:val="0070C0"/>
          <w:sz w:val="16"/>
          <w:szCs w:val="16"/>
          <w:lang w:val="ru-RU"/>
        </w:rPr>
        <w:t xml:space="preserve">. </w:t>
      </w:r>
      <w:r w:rsidRPr="00507A31">
        <w:rPr>
          <w:rStyle w:val="820"/>
          <w:rFonts w:ascii="Times New Roman" w:hAnsi="Times New Roman" w:cs="Times New Roman"/>
          <w:color w:val="0070C0"/>
          <w:sz w:val="16"/>
          <w:szCs w:val="16"/>
        </w:rPr>
        <w:t>Помимо переделки крепления аппаратуры, пришлось менять конструкцию поручневых антенн. Первоначально диаметр медной трубки был 15 мм, его увеличили до 35 мм, а толщину стенок увеличили с 1 до 2 мм. Изме</w:t>
      </w:r>
      <w:r w:rsidRPr="00507A31">
        <w:rPr>
          <w:rStyle w:val="820"/>
          <w:rFonts w:ascii="Times New Roman" w:hAnsi="Times New Roman" w:cs="Times New Roman"/>
          <w:color w:val="0070C0"/>
          <w:sz w:val="16"/>
          <w:szCs w:val="16"/>
        </w:rPr>
        <w:softHyphen/>
        <w:t>нили и конструкцию антенного ввода.</w:t>
      </w:r>
    </w:p>
    <w:p w14:paraId="37789D74" w14:textId="77777777" w:rsidR="00091569" w:rsidRPr="00507A31" w:rsidRDefault="00091569" w:rsidP="00507A31">
      <w:pPr>
        <w:pStyle w:val="116"/>
        <w:shd w:val="clear" w:color="auto" w:fill="auto"/>
        <w:spacing w:after="0" w:line="240" w:lineRule="auto"/>
        <w:ind w:firstLine="0"/>
        <w:jc w:val="both"/>
        <w:rPr>
          <w:rFonts w:ascii="Times New Roman" w:hAnsi="Times New Roman" w:cs="Times New Roman"/>
          <w:color w:val="0070C0"/>
          <w:sz w:val="16"/>
          <w:szCs w:val="16"/>
        </w:rPr>
      </w:pPr>
      <w:r w:rsidRPr="00507A31">
        <w:rPr>
          <w:rStyle w:val="820"/>
          <w:rFonts w:ascii="Times New Roman" w:hAnsi="Times New Roman" w:cs="Times New Roman"/>
          <w:color w:val="0070C0"/>
          <w:sz w:val="16"/>
          <w:szCs w:val="16"/>
        </w:rPr>
        <w:t>Менялось не только радиооборудова</w:t>
      </w:r>
      <w:r w:rsidRPr="00507A31">
        <w:rPr>
          <w:rStyle w:val="820"/>
          <w:rFonts w:ascii="Times New Roman" w:hAnsi="Times New Roman" w:cs="Times New Roman"/>
          <w:color w:val="0070C0"/>
          <w:sz w:val="16"/>
          <w:szCs w:val="16"/>
        </w:rPr>
        <w:softHyphen/>
        <w:t xml:space="preserve">ние: в 1931 году на легких танках </w:t>
      </w:r>
      <w:r w:rsidRPr="00507A31">
        <w:rPr>
          <w:rStyle w:val="820"/>
          <w:rFonts w:ascii="Times New Roman" w:hAnsi="Times New Roman" w:cs="Times New Roman"/>
          <w:color w:val="0070C0"/>
          <w:sz w:val="16"/>
          <w:szCs w:val="16"/>
          <w:lang w:val="en-US"/>
        </w:rPr>
        <w:t>Rhein</w:t>
      </w:r>
      <w:r w:rsidRPr="00507A31">
        <w:rPr>
          <w:rStyle w:val="820"/>
          <w:rFonts w:ascii="Times New Roman" w:hAnsi="Times New Roman" w:cs="Times New Roman"/>
          <w:color w:val="0070C0"/>
          <w:sz w:val="16"/>
          <w:szCs w:val="16"/>
          <w:lang w:val="ru-RU"/>
        </w:rPr>
        <w:softHyphen/>
      </w:r>
      <w:r w:rsidRPr="00507A31">
        <w:rPr>
          <w:rStyle w:val="820"/>
          <w:rFonts w:ascii="Times New Roman" w:hAnsi="Times New Roman" w:cs="Times New Roman"/>
          <w:color w:val="0070C0"/>
          <w:sz w:val="16"/>
          <w:szCs w:val="16"/>
          <w:lang w:val="en-US"/>
        </w:rPr>
        <w:t>metall</w:t>
      </w:r>
      <w:r w:rsidRPr="00507A31">
        <w:rPr>
          <w:rStyle w:val="820"/>
          <w:rFonts w:ascii="Times New Roman" w:hAnsi="Times New Roman" w:cs="Times New Roman"/>
          <w:color w:val="0070C0"/>
          <w:sz w:val="16"/>
          <w:szCs w:val="16"/>
          <w:lang w:val="ru-RU"/>
        </w:rPr>
        <w:t xml:space="preserve"> </w:t>
      </w:r>
      <w:r w:rsidRPr="00507A31">
        <w:rPr>
          <w:rStyle w:val="820"/>
          <w:rFonts w:ascii="Times New Roman" w:hAnsi="Times New Roman" w:cs="Times New Roman"/>
          <w:color w:val="0070C0"/>
          <w:sz w:val="16"/>
          <w:szCs w:val="16"/>
        </w:rPr>
        <w:t>приподняли ведущие колеса, снова улучшили охлаждение, из-за чего в корме корпуса появился воздухозаборник. Раз</w:t>
      </w:r>
      <w:r w:rsidRPr="00507A31">
        <w:rPr>
          <w:rStyle w:val="820"/>
          <w:rFonts w:ascii="Times New Roman" w:hAnsi="Times New Roman" w:cs="Times New Roman"/>
          <w:color w:val="0070C0"/>
          <w:sz w:val="16"/>
          <w:szCs w:val="16"/>
        </w:rPr>
        <w:softHyphen/>
        <w:t>мер «крыльев» увеличили, дабы танк не забрасывало грязью. Изменилась конструк</w:t>
      </w:r>
      <w:r w:rsidRPr="00507A31">
        <w:rPr>
          <w:rStyle w:val="820"/>
          <w:rFonts w:ascii="Times New Roman" w:hAnsi="Times New Roman" w:cs="Times New Roman"/>
          <w:color w:val="0070C0"/>
          <w:sz w:val="16"/>
          <w:szCs w:val="16"/>
        </w:rPr>
        <w:softHyphen/>
        <w:t>ция бортовых экранов, особенно в задней части. Также говорится об «устройстве обзора для радиста» - судя по всему, речь идет о смотровой башенке, как у механика- водителя. По крайней мере, на фотогра</w:t>
      </w:r>
      <w:r w:rsidRPr="00507A31">
        <w:rPr>
          <w:rStyle w:val="820"/>
          <w:rFonts w:ascii="Times New Roman" w:hAnsi="Times New Roman" w:cs="Times New Roman"/>
          <w:color w:val="0070C0"/>
          <w:sz w:val="16"/>
          <w:szCs w:val="16"/>
        </w:rPr>
        <w:softHyphen/>
        <w:t>фиях поздних танков вторую башенку видно. Несмотря на разговоры о том, что машины, в принципе, готовы к использова</w:t>
      </w:r>
      <w:r w:rsidRPr="00507A31">
        <w:rPr>
          <w:rStyle w:val="820"/>
          <w:rFonts w:ascii="Times New Roman" w:hAnsi="Times New Roman" w:cs="Times New Roman"/>
          <w:color w:val="0070C0"/>
          <w:sz w:val="16"/>
          <w:szCs w:val="16"/>
        </w:rPr>
        <w:softHyphen/>
        <w:t>нию для обучения экипажей, фактически положение дел было иным. Все ходовые испытания проводил один механик-води</w:t>
      </w:r>
      <w:r w:rsidRPr="00507A31">
        <w:rPr>
          <w:rStyle w:val="820"/>
          <w:rFonts w:ascii="Times New Roman" w:hAnsi="Times New Roman" w:cs="Times New Roman"/>
          <w:color w:val="0070C0"/>
          <w:sz w:val="16"/>
          <w:szCs w:val="16"/>
        </w:rPr>
        <w:softHyphen/>
        <w:t xml:space="preserve">тель по фамилии Лемке. На испытаниях максимальная скорость легкого танка </w:t>
      </w:r>
      <w:r w:rsidRPr="00507A31">
        <w:rPr>
          <w:rStyle w:val="820"/>
          <w:rFonts w:ascii="Times New Roman" w:hAnsi="Times New Roman" w:cs="Times New Roman"/>
          <w:color w:val="0070C0"/>
          <w:sz w:val="16"/>
          <w:szCs w:val="16"/>
          <w:lang w:val="en-US"/>
        </w:rPr>
        <w:t>Rheinmetall</w:t>
      </w:r>
      <w:r w:rsidRPr="00507A31">
        <w:rPr>
          <w:rStyle w:val="820"/>
          <w:rFonts w:ascii="Times New Roman" w:hAnsi="Times New Roman" w:cs="Times New Roman"/>
          <w:color w:val="0070C0"/>
          <w:sz w:val="16"/>
          <w:szCs w:val="16"/>
          <w:lang w:val="ru-RU"/>
        </w:rPr>
        <w:t xml:space="preserve"> </w:t>
      </w:r>
      <w:r w:rsidRPr="00507A31">
        <w:rPr>
          <w:rStyle w:val="820"/>
          <w:rFonts w:ascii="Times New Roman" w:hAnsi="Times New Roman" w:cs="Times New Roman"/>
          <w:color w:val="0070C0"/>
          <w:sz w:val="16"/>
          <w:szCs w:val="16"/>
        </w:rPr>
        <w:t>составила 36 км/ч, а средняя - 23,5 км/ч. При этом расход топлива был огромным - 438 литров на 100 километров.</w:t>
      </w:r>
    </w:p>
    <w:p w14:paraId="293D3B9E" w14:textId="77777777" w:rsidR="00091569" w:rsidRPr="00507A31" w:rsidRDefault="00091569" w:rsidP="00507A31">
      <w:pPr>
        <w:pStyle w:val="116"/>
        <w:shd w:val="clear" w:color="auto" w:fill="auto"/>
        <w:spacing w:after="0" w:line="240" w:lineRule="auto"/>
        <w:ind w:firstLine="0"/>
        <w:jc w:val="both"/>
        <w:rPr>
          <w:rFonts w:ascii="Times New Roman" w:hAnsi="Times New Roman" w:cs="Times New Roman"/>
          <w:color w:val="0070C0"/>
          <w:sz w:val="16"/>
          <w:szCs w:val="16"/>
        </w:rPr>
      </w:pPr>
      <w:r w:rsidRPr="00507A31">
        <w:rPr>
          <w:rStyle w:val="820"/>
          <w:rFonts w:ascii="Times New Roman" w:hAnsi="Times New Roman" w:cs="Times New Roman"/>
          <w:color w:val="0070C0"/>
          <w:sz w:val="16"/>
          <w:szCs w:val="16"/>
        </w:rPr>
        <w:t xml:space="preserve">По итогам испытаний </w:t>
      </w:r>
      <w:r w:rsidRPr="00507A31">
        <w:rPr>
          <w:rStyle w:val="820"/>
          <w:rFonts w:ascii="Times New Roman" w:hAnsi="Times New Roman" w:cs="Times New Roman"/>
          <w:color w:val="0070C0"/>
          <w:sz w:val="16"/>
          <w:szCs w:val="16"/>
          <w:lang w:val="en-US"/>
        </w:rPr>
        <w:t>Rh</w:t>
      </w:r>
      <w:r w:rsidRPr="00507A31">
        <w:rPr>
          <w:rStyle w:val="820"/>
          <w:rFonts w:ascii="Times New Roman" w:hAnsi="Times New Roman" w:cs="Times New Roman"/>
          <w:color w:val="0070C0"/>
          <w:sz w:val="16"/>
          <w:szCs w:val="16"/>
          <w:lang w:val="ru-RU"/>
        </w:rPr>
        <w:t>.</w:t>
      </w:r>
      <w:r w:rsidRPr="00507A31">
        <w:rPr>
          <w:rStyle w:val="820"/>
          <w:rFonts w:ascii="Times New Roman" w:hAnsi="Times New Roman" w:cs="Times New Roman"/>
          <w:color w:val="0070C0"/>
          <w:sz w:val="16"/>
          <w:szCs w:val="16"/>
          <w:lang w:val="en-US"/>
        </w:rPr>
        <w:t>L</w:t>
      </w:r>
      <w:r w:rsidRPr="00507A31">
        <w:rPr>
          <w:rStyle w:val="820"/>
          <w:rFonts w:ascii="Times New Roman" w:hAnsi="Times New Roman" w:cs="Times New Roman"/>
          <w:color w:val="0070C0"/>
          <w:sz w:val="16"/>
          <w:szCs w:val="16"/>
          <w:lang w:val="ru-RU"/>
        </w:rPr>
        <w:t>.</w:t>
      </w:r>
      <w:r w:rsidRPr="00507A31">
        <w:rPr>
          <w:rStyle w:val="820"/>
          <w:rFonts w:ascii="Times New Roman" w:hAnsi="Times New Roman" w:cs="Times New Roman"/>
          <w:color w:val="0070C0"/>
          <w:sz w:val="16"/>
          <w:szCs w:val="16"/>
          <w:lang w:val="en-US"/>
        </w:rPr>
        <w:t>Tr</w:t>
      </w:r>
      <w:r w:rsidRPr="00507A31">
        <w:rPr>
          <w:rStyle w:val="820"/>
          <w:rFonts w:ascii="Times New Roman" w:hAnsi="Times New Roman" w:cs="Times New Roman"/>
          <w:color w:val="0070C0"/>
          <w:sz w:val="16"/>
          <w:szCs w:val="16"/>
          <w:lang w:val="ru-RU"/>
        </w:rPr>
        <w:t xml:space="preserve">. </w:t>
      </w:r>
      <w:r w:rsidRPr="00507A31">
        <w:rPr>
          <w:rStyle w:val="820"/>
          <w:rFonts w:ascii="Times New Roman" w:hAnsi="Times New Roman" w:cs="Times New Roman"/>
          <w:color w:val="0070C0"/>
          <w:sz w:val="16"/>
          <w:szCs w:val="16"/>
        </w:rPr>
        <w:t>1931 года внесли в список потребных улучшений еще 17 пунктов. Не все из них выполнили, но, тем не менее, облик машины снова изменился. Наи</w:t>
      </w:r>
      <w:r w:rsidRPr="00507A31">
        <w:rPr>
          <w:rStyle w:val="820"/>
          <w:rFonts w:ascii="Times New Roman" w:hAnsi="Times New Roman" w:cs="Times New Roman"/>
          <w:color w:val="0070C0"/>
          <w:sz w:val="16"/>
          <w:szCs w:val="16"/>
        </w:rPr>
        <w:softHyphen/>
        <w:t>более заметным из них стал перенос баков из корпуса на надгусеничные полки. Также в 1931 году впервые был поднят вопрос о кардиналь</w:t>
      </w:r>
      <w:r w:rsidRPr="00507A31">
        <w:rPr>
          <w:rStyle w:val="820"/>
          <w:rFonts w:ascii="Times New Roman" w:hAnsi="Times New Roman" w:cs="Times New Roman"/>
          <w:color w:val="0070C0"/>
          <w:sz w:val="16"/>
          <w:szCs w:val="16"/>
        </w:rPr>
        <w:softHyphen/>
        <w:t>ном изменении ходовой части. Речь шла о замене существующей рессорной подвески на свечную, а также об установке опорных катков большого диаметра. От кого именно исходило это предложение, неизвестно, зато известен идейный вдохновитель - танк Кристи</w:t>
      </w:r>
      <w:r w:rsidRPr="00507A31">
        <w:rPr>
          <w:rStyle w:val="820"/>
          <w:rFonts w:ascii="Times New Roman" w:hAnsi="Times New Roman" w:cs="Times New Roman"/>
          <w:color w:val="0070C0"/>
          <w:sz w:val="16"/>
          <w:szCs w:val="16"/>
          <w:lang w:val="ru-RU"/>
        </w:rPr>
        <w:t xml:space="preserve"> (19890)</w:t>
      </w:r>
      <w:r w:rsidRPr="00507A31">
        <w:rPr>
          <w:rStyle w:val="820"/>
          <w:rFonts w:ascii="Times New Roman" w:hAnsi="Times New Roman" w:cs="Times New Roman"/>
          <w:color w:val="0070C0"/>
          <w:sz w:val="16"/>
          <w:szCs w:val="16"/>
        </w:rPr>
        <w:t>.</w:t>
      </w:r>
    </w:p>
    <w:p w14:paraId="2D24D306" w14:textId="77777777" w:rsidR="00091569" w:rsidRPr="00507A31" w:rsidRDefault="00091569" w:rsidP="00507A31">
      <w:pPr>
        <w:jc w:val="both"/>
        <w:rPr>
          <w:color w:val="0070C0"/>
          <w:sz w:val="16"/>
          <w:szCs w:val="16"/>
          <w:lang w:val="ru"/>
        </w:rPr>
      </w:pPr>
      <w:bookmarkStart w:id="61" w:name="bookmark72"/>
    </w:p>
    <w:bookmarkEnd w:id="61"/>
    <w:p w14:paraId="48D647A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F87757B" w14:textId="77777777" w:rsidR="00537E5F" w:rsidRPr="00507A31" w:rsidRDefault="00537E5F" w:rsidP="00507A31">
      <w:pPr>
        <w:autoSpaceDE w:val="0"/>
        <w:autoSpaceDN w:val="0"/>
        <w:adjustRightInd w:val="0"/>
        <w:jc w:val="both"/>
        <w:rPr>
          <w:iCs/>
          <w:color w:val="000000" w:themeColor="text1"/>
          <w:sz w:val="16"/>
          <w:szCs w:val="16"/>
        </w:rPr>
      </w:pPr>
    </w:p>
    <w:p w14:paraId="6AB2E9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июня 1930 состоялось техническое совещание руководителей групп отдела АГОС по вопросу дефектов АНТ-4 (1077,81).</w:t>
      </w:r>
    </w:p>
    <w:p w14:paraId="6CA6F4C6" w14:textId="77777777" w:rsidR="00537E5F" w:rsidRPr="00507A31" w:rsidRDefault="00537E5F" w:rsidP="00507A31">
      <w:pPr>
        <w:autoSpaceDE w:val="0"/>
        <w:autoSpaceDN w:val="0"/>
        <w:adjustRightInd w:val="0"/>
        <w:jc w:val="both"/>
        <w:rPr>
          <w:color w:val="000000" w:themeColor="text1"/>
          <w:sz w:val="16"/>
          <w:szCs w:val="16"/>
        </w:rPr>
      </w:pPr>
    </w:p>
    <w:p w14:paraId="5C0942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июня 1930 П.И.Б. написал письмо N 7сс пред. РВС, которым представил доклад "О передаче Авиаобъединения в подчинение нач. ВВС РККА" Пред. РВС нанес резолюцию 11.06, а К.Е.В. 01.06.1930. "Во исполнение Вашего приказания при сем представляю ориентировочную схему организации УВВС на случай передачи Авиаобъединения Наркомвоенмору и подчинения его нач. ВВС". Не поддерживал, но принимал как вынужденную меру (1027,45).</w:t>
      </w:r>
    </w:p>
    <w:p w14:paraId="6A5A10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Видно Инстанции торопили.</w:t>
      </w:r>
    </w:p>
    <w:p w14:paraId="1C45A4B0" w14:textId="77777777" w:rsidR="00537E5F" w:rsidRPr="00507A31" w:rsidRDefault="00537E5F" w:rsidP="00507A31">
      <w:pPr>
        <w:autoSpaceDE w:val="0"/>
        <w:autoSpaceDN w:val="0"/>
        <w:adjustRightInd w:val="0"/>
        <w:jc w:val="both"/>
        <w:rPr>
          <w:color w:val="000000" w:themeColor="text1"/>
          <w:sz w:val="16"/>
          <w:szCs w:val="16"/>
        </w:rPr>
      </w:pPr>
    </w:p>
    <w:p w14:paraId="36CBA278" w14:textId="77777777" w:rsidR="00986F6E" w:rsidRPr="00507A31" w:rsidRDefault="00986F6E"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3D24A7B7" w14:textId="77777777" w:rsidR="00986F6E" w:rsidRPr="00507A31" w:rsidRDefault="00986F6E" w:rsidP="00507A31">
      <w:pPr>
        <w:autoSpaceDE w:val="0"/>
        <w:autoSpaceDN w:val="0"/>
        <w:adjustRightInd w:val="0"/>
        <w:jc w:val="both"/>
        <w:rPr>
          <w:iCs/>
          <w:color w:val="000000" w:themeColor="text1"/>
          <w:sz w:val="16"/>
          <w:szCs w:val="16"/>
        </w:rPr>
      </w:pPr>
    </w:p>
    <w:p w14:paraId="4242F451" w14:textId="77777777" w:rsidR="00986F6E" w:rsidRPr="00507A31" w:rsidRDefault="00986F6E" w:rsidP="00507A31">
      <w:pPr>
        <w:jc w:val="both"/>
        <w:rPr>
          <w:color w:val="000000" w:themeColor="text1"/>
          <w:sz w:val="16"/>
          <w:szCs w:val="16"/>
        </w:rPr>
      </w:pPr>
      <w:r w:rsidRPr="00507A31">
        <w:rPr>
          <w:color w:val="000000" w:themeColor="text1"/>
          <w:sz w:val="16"/>
          <w:szCs w:val="16"/>
        </w:rPr>
        <w:t>5 июня 1930 г. Начальник ВВС РККА П.И. Баранов направил Председателю РВС СССР доклад «Характеристика комплектования школ и меры к его улучшению, осуществленные в прошлом» (приложение «J»). Увеличение числа курсантов требовало увеличения и количества единиц авиационной техники в школах. Вместе с тем рост числа бригад, эскадрилий и отрядов требовал перераспределения авиатехники из авиашкол в пользу новых авиачастей. В связи с этим 10 октября 1930 года Начальник ВВС РККА приказал начальнику Управления специальных снабжений УВВС:</w:t>
      </w:r>
    </w:p>
    <w:p w14:paraId="1DA3A34A" w14:textId="77777777" w:rsidR="00986F6E" w:rsidRPr="00507A31" w:rsidRDefault="00986F6E" w:rsidP="00507A31">
      <w:pPr>
        <w:jc w:val="both"/>
        <w:rPr>
          <w:color w:val="000000" w:themeColor="text1"/>
          <w:sz w:val="16"/>
          <w:szCs w:val="16"/>
        </w:rPr>
      </w:pPr>
      <w:r w:rsidRPr="00507A31">
        <w:rPr>
          <w:color w:val="000000" w:themeColor="text1"/>
          <w:sz w:val="16"/>
          <w:szCs w:val="16"/>
        </w:rPr>
        <w:lastRenderedPageBreak/>
        <w:t xml:space="preserve">«1. Изъять в авиашколах из обращения все резервные самолеты. Снимаемые со снабжения в порядке этого указания самолеты забронировать и обратить на комплектование неприкосновенных запасов. </w:t>
      </w:r>
    </w:p>
    <w:p w14:paraId="29BC1BE3" w14:textId="77777777" w:rsidR="00986F6E" w:rsidRPr="00507A31" w:rsidRDefault="00986F6E" w:rsidP="00507A31">
      <w:pPr>
        <w:jc w:val="both"/>
        <w:rPr>
          <w:color w:val="000000" w:themeColor="text1"/>
          <w:sz w:val="16"/>
          <w:szCs w:val="16"/>
        </w:rPr>
      </w:pPr>
      <w:r w:rsidRPr="00507A31">
        <w:rPr>
          <w:color w:val="000000" w:themeColor="text1"/>
          <w:sz w:val="16"/>
          <w:szCs w:val="16"/>
        </w:rPr>
        <w:t xml:space="preserve">2. Самолеты типа И-4, И-5, Р-5 на вооружение авиашкол вводить не более  двух единиц на каждую авиашколу в качестве фонда для премирования летного состава, но в зачет штатных количеств. [Таким образом, начал реализовываться способ экономии материальной части для строевых частей за счет снабжения авиашкол «по остаточному принципу»]. </w:t>
      </w:r>
    </w:p>
    <w:p w14:paraId="30868A50" w14:textId="77777777" w:rsidR="00986F6E" w:rsidRPr="00507A31" w:rsidRDefault="00986F6E" w:rsidP="00507A31">
      <w:pPr>
        <w:jc w:val="both"/>
        <w:rPr>
          <w:color w:val="000000" w:themeColor="text1"/>
          <w:sz w:val="16"/>
          <w:szCs w:val="16"/>
        </w:rPr>
      </w:pPr>
      <w:r w:rsidRPr="00507A31">
        <w:rPr>
          <w:color w:val="000000" w:themeColor="text1"/>
          <w:sz w:val="16"/>
          <w:szCs w:val="16"/>
        </w:rPr>
        <w:t>3. Заказ на учебные самолеты довести до 600 единиц, из которых 150 самолетов забронировать в неприкосновенный запас» (19566).</w:t>
      </w:r>
    </w:p>
    <w:p w14:paraId="3474F767" w14:textId="77777777" w:rsidR="00986F6E" w:rsidRPr="00507A31" w:rsidRDefault="00986F6E" w:rsidP="00507A31">
      <w:pPr>
        <w:jc w:val="both"/>
        <w:rPr>
          <w:color w:val="000000" w:themeColor="text1"/>
          <w:sz w:val="16"/>
          <w:szCs w:val="16"/>
        </w:rPr>
      </w:pPr>
      <w:r w:rsidRPr="00507A31">
        <w:rPr>
          <w:color w:val="000000" w:themeColor="text1"/>
          <w:sz w:val="16"/>
          <w:szCs w:val="16"/>
        </w:rPr>
        <w:t>Было подсчитано, что к концу 1932 г. наиболее дефицитными специалистами станут летнабы и авиатехники. Учитывалось, что авиатехники изучали два типа самолетов и два типа моторов. Это требовало иметь в авиашколах увеличенные штаты преподавателей и учебной авиатехники. Большое влияние на пропускную способность летных школ оказывал процент отчисления курсантов-летчиков при обучении, который в среднем был равен от 35 до 50 % от числа принимаемых. По-прежнему стоимость подготовки авиаспециалистов была велика. Так, без учета стоимости ремонта подготовка авиаторов составляла: летчика - 23 929 р. 60 к. младшего авиатехника - 2 088 р. 40 к. специалиста спецслужб - 4 817 р. 82 к. Главными составляющими в данном подсчете являлись содержание постоянного состава и стоимость разбитых при авиапроисшествиях самолетов. Материальная часть авиашкол быстро изнашивалась. Авиатехника менялась после трех – четырех лет эксплуатации. При объяснении заявок на материальную часть подчеркивалось, что такие же сроки эксплуатации авиатехники до ее списания установлены и за границей. В 1930 г. выпускники-летчики умели летать только на Р-1 (с М-5). До этого в авиашколах готовили и летчиков-истребителей, но командиры авиачастей предложили готовить их из летчиков-разведчиков непосредственно в войсках. Затруднения в работе авиашкол были обусловлены еще и тем, что учебные пособия, наставления, описания и пр. появлялись не всегда одновременно с новой авиационной техникой, поступавшей для обучения. В 1930 г. в системе подготовки авиационных кадров выявилась проблема дефицита кадров преподавателей и инструкторов. Наилучшим источником для комплектования штата преподавательского состава для школ ВВС являлись инженеры, окончившие ВВА им. проф. Н.Е. Жуковского, но острая потребность в них в строевых частях и в авиационной промышленности исключал увеличение притока этой категории в авиашколы. Организация курсов по подготовке преподавателей для школ ВВС встречала затруднение, заключавшееся в том, что школам нужны были преподаватели по большому числу спецпредметов, причем потребность по каждому предмету ограничивалась несколькими преподавателями. Использование же гражданских преподавателей или из других военных учебных заведений исключалось из-за специфичности обучения в вузах ВВС. Наиболее приемлемым материалом для комплектования школ летноинструкторским составом считались летчики, выпущенные из школ с аттестацией на должность инструктора и пробывшие в строю один – два года. Однако данный способ комплектования школ инструкторами создавал текучесть состава строевых частей и поэтому вызывал противодействие со стороны командиров авиачастей, поскольку такие летчики и в «строю» были лучшими. Поэтому фактически используемым способом комплектования авиашкол инструкторским составом стало оставление в качестве инструкторов выпускников летчиков. Статистика свидетельствует, что в 1929/30 г. в школах были оставлены для инструкторской работы 70 молодых летчиков. В результате около 75 % инструкторского состава летных школ в конце 1930 г. представляли собой молодые летчики со стажем не более одного года. С целью устранения недостатков, связанных с системой комплектования летно-инструкторского состава школ молодыми летчиками, Управление ВВС потребовало проведения специальной инструкторской подготовки молодых летчиков до вступления их в исполнение обязанностей инструктора, а затем – систематической летной тренировки их под руководством командиров звеньев. В связи с этим рекомендовалось командиров звеньев совершенно освободить от инструкторской работы, но подчеркивалось, что это возможно лишь при отсутствии некомплекта инструкторского и летно-командного состава. Для устранения дефицита преподавателей в течение 1929/30 г. в Военнотехнической школе открылись курсы по подготовке инструкторов по самолетам и моторам для авиашкол. На них было подготовлено 107 человек. Из-за трудностей с обеспечением вузов квалифицированными преподавателями, основным источником комплектования педагогического состава вузов в начале тридцатых годов стали строевые летчики, летчики-наблюдатели, авиатехники и специалисты спецслужб, то есть лица, не имевшие высшего образования. Это предопределило квалификационные требования к преподавательскому составу ВВС и выработку программ обучения будущих преподавателей и инструкторов на специальных курсах. Осенью 1930 г. при ВВА им. проф. Н.Е. Жуковского открылись курсы преподавателей по воздушной артиллерии и тактике ВВС. Курсы по спецслужбам (радио, фото, аэронавигация и вооружение), комплектовавшиеся летнабами, также стали выпускать преподавателей. По тем специальностям, где потребность в преподавателях ограничивалась единицами, приемлемым способом пополнения кадров педагогического состава стало прикомандирование к опытным преподавателям кандидатов для замещения должностей инструкторов и преподавателей. Снижение стоимости продукции школ ВВС рекомендовалось достигать 382 механизацией и моторизацией аэродромной службы и более рациональным построением штатов, при котором количество постоянного состава на одного обучающегося значительно уменьшалось. Это соотношение было особенно велико в летных школах, где оно выражалось следующими цифрами:</w:t>
      </w:r>
    </w:p>
    <w:p w14:paraId="06440A2E" w14:textId="77777777" w:rsidR="00986F6E" w:rsidRPr="00507A31" w:rsidRDefault="00986F6E" w:rsidP="00507A31">
      <w:pPr>
        <w:jc w:val="both"/>
        <w:rPr>
          <w:color w:val="000000" w:themeColor="text1"/>
          <w:sz w:val="16"/>
          <w:szCs w:val="16"/>
        </w:rPr>
      </w:pPr>
      <w:r w:rsidRPr="00507A31">
        <w:rPr>
          <w:color w:val="000000" w:themeColor="text1"/>
          <w:sz w:val="16"/>
          <w:szCs w:val="16"/>
        </w:rPr>
        <w:t>1. Военная школа морских летчиков ……...3,52;</w:t>
      </w:r>
    </w:p>
    <w:p w14:paraId="7B473F6E" w14:textId="77777777" w:rsidR="00986F6E" w:rsidRPr="00507A31" w:rsidRDefault="00986F6E" w:rsidP="00507A31">
      <w:pPr>
        <w:jc w:val="both"/>
        <w:rPr>
          <w:color w:val="000000" w:themeColor="text1"/>
          <w:sz w:val="16"/>
          <w:szCs w:val="16"/>
        </w:rPr>
      </w:pPr>
      <w:r w:rsidRPr="00507A31">
        <w:rPr>
          <w:color w:val="000000" w:themeColor="text1"/>
          <w:sz w:val="16"/>
          <w:szCs w:val="16"/>
        </w:rPr>
        <w:t>2. Школа военных пилотов…………………3,26;</w:t>
      </w:r>
    </w:p>
    <w:p w14:paraId="77594C0E" w14:textId="77777777" w:rsidR="00986F6E" w:rsidRPr="00507A31" w:rsidRDefault="00986F6E" w:rsidP="00507A31">
      <w:pPr>
        <w:jc w:val="both"/>
        <w:rPr>
          <w:color w:val="000000" w:themeColor="text1"/>
          <w:sz w:val="16"/>
          <w:szCs w:val="16"/>
        </w:rPr>
      </w:pPr>
      <w:r w:rsidRPr="00507A31">
        <w:rPr>
          <w:color w:val="000000" w:themeColor="text1"/>
          <w:sz w:val="16"/>
          <w:szCs w:val="16"/>
        </w:rPr>
        <w:t>3. 2-я Военная школа летчиков…………….3,13;</w:t>
      </w:r>
    </w:p>
    <w:p w14:paraId="37C7A0E9" w14:textId="77777777" w:rsidR="00986F6E" w:rsidRPr="00507A31" w:rsidRDefault="00986F6E" w:rsidP="00507A31">
      <w:pPr>
        <w:jc w:val="both"/>
        <w:rPr>
          <w:color w:val="000000" w:themeColor="text1"/>
          <w:sz w:val="16"/>
          <w:szCs w:val="16"/>
        </w:rPr>
      </w:pPr>
      <w:r w:rsidRPr="00507A31">
        <w:rPr>
          <w:color w:val="000000" w:themeColor="text1"/>
          <w:sz w:val="16"/>
          <w:szCs w:val="16"/>
        </w:rPr>
        <w:t>4. 1-я Военная школа летчиков…………….3,03;</w:t>
      </w:r>
    </w:p>
    <w:p w14:paraId="0074CCCF" w14:textId="77777777" w:rsidR="00986F6E" w:rsidRPr="00507A31" w:rsidRDefault="00986F6E" w:rsidP="00507A31">
      <w:pPr>
        <w:jc w:val="both"/>
        <w:rPr>
          <w:color w:val="000000" w:themeColor="text1"/>
          <w:sz w:val="16"/>
          <w:szCs w:val="16"/>
        </w:rPr>
      </w:pPr>
      <w:r w:rsidRPr="00507A31">
        <w:rPr>
          <w:color w:val="000000" w:themeColor="text1"/>
          <w:sz w:val="16"/>
          <w:szCs w:val="16"/>
        </w:rPr>
        <w:t>5. 3-я Военная школа летчиков и летнабов 2,15.</w:t>
      </w:r>
    </w:p>
    <w:p w14:paraId="1BE1E397" w14:textId="77777777" w:rsidR="00986F6E" w:rsidRPr="00507A31" w:rsidRDefault="00986F6E" w:rsidP="00507A31">
      <w:pPr>
        <w:jc w:val="both"/>
        <w:rPr>
          <w:color w:val="000000" w:themeColor="text1"/>
          <w:sz w:val="16"/>
          <w:szCs w:val="16"/>
        </w:rPr>
      </w:pPr>
      <w:r w:rsidRPr="00507A31">
        <w:rPr>
          <w:color w:val="000000" w:themeColor="text1"/>
          <w:sz w:val="16"/>
          <w:szCs w:val="16"/>
        </w:rPr>
        <w:t>Для сравнения, в сухопутных военных школах РККА наибольшее соотношение имела Школа связи: 0,82. Высокое соотношение постоянного и переменного составов в летных школах объяснялось наличием в них летных частей и мастерских, требующих содержания значительного обеспечивающего персонала. В тех авиашколах, где летная часть и мастерские отсутствовали, соотношение не превышало 0,79, а в Военно-технической школе ВВС это соотношение составляло всего 0,49, то есть меньше чем в пехотной школе, где оно равнялось 0,56. Снижение аварийности в летных авиашколах, наблюдавшееся из года в год, также способствовало снижению стоимости подготовки авиакадров. Показателями аварийности являлись число часов и полетов на одну аварию: в 1927/28 г. на 1 аварию приходилось 331 час (1576 полетов), в 1928/29 г. на 1 аварию приходилось 469 часов (2341 полет), с 1 октября 1929 г. по 1 мая 1930 г. – 484 часа (2357 полетов).</w:t>
      </w:r>
    </w:p>
    <w:p w14:paraId="43E4C8C9" w14:textId="77777777" w:rsidR="00986F6E" w:rsidRPr="00507A31" w:rsidRDefault="00986F6E" w:rsidP="00507A31">
      <w:pPr>
        <w:jc w:val="both"/>
        <w:rPr>
          <w:color w:val="000000" w:themeColor="text1"/>
          <w:sz w:val="16"/>
          <w:szCs w:val="16"/>
        </w:rPr>
      </w:pPr>
      <w:r w:rsidRPr="00507A31">
        <w:rPr>
          <w:color w:val="000000" w:themeColor="text1"/>
          <w:sz w:val="16"/>
          <w:szCs w:val="16"/>
        </w:rPr>
        <w:t>В 1930 г. во 2-й Военной школе летчиков прошли испытания нового учебного самолета У-2 с отечественным мотором М-11 конструкции Н.Н. Поликарпова. По своим качествам самолет и мотор оказались значительно выше находившегося в школах учебного самолета У-1 с М-2 – копии английского самолета «Авро-504к» с французским мотором РОН в 120 л.с. Новый самолет обладал способностью не терять управляемости даже при потере скорости, допускал грубые ошибки учлетов и 383 потому являлся более подходящим для обучения перед переходом курсанта на боевой самолет (19566).</w:t>
      </w:r>
    </w:p>
    <w:p w14:paraId="3AF79D73" w14:textId="77777777" w:rsidR="00986F6E" w:rsidRPr="00507A31" w:rsidRDefault="00986F6E" w:rsidP="00507A31">
      <w:pPr>
        <w:jc w:val="both"/>
        <w:rPr>
          <w:color w:val="000000" w:themeColor="text1"/>
          <w:sz w:val="16"/>
          <w:szCs w:val="16"/>
        </w:rPr>
      </w:pPr>
    </w:p>
    <w:p w14:paraId="48601F7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AA303A6" w14:textId="77777777" w:rsidR="00537E5F" w:rsidRPr="00507A31" w:rsidRDefault="00537E5F" w:rsidP="00507A31">
      <w:pPr>
        <w:autoSpaceDE w:val="0"/>
        <w:autoSpaceDN w:val="0"/>
        <w:adjustRightInd w:val="0"/>
        <w:jc w:val="both"/>
        <w:rPr>
          <w:iCs/>
          <w:color w:val="000000" w:themeColor="text1"/>
          <w:sz w:val="16"/>
          <w:szCs w:val="16"/>
        </w:rPr>
      </w:pPr>
    </w:p>
    <w:p w14:paraId="4ACFC9BA" w14:textId="77777777" w:rsidR="0002641F" w:rsidRPr="00507A31" w:rsidRDefault="0002641F" w:rsidP="00507A31">
      <w:pPr>
        <w:jc w:val="both"/>
        <w:rPr>
          <w:color w:val="000000" w:themeColor="text1"/>
          <w:sz w:val="16"/>
          <w:szCs w:val="16"/>
        </w:rPr>
      </w:pPr>
      <w:r w:rsidRPr="00507A31">
        <w:rPr>
          <w:bCs/>
          <w:color w:val="000000" w:themeColor="text1"/>
          <w:sz w:val="16"/>
          <w:szCs w:val="16"/>
        </w:rPr>
        <w:t>5 июня</w:t>
      </w:r>
      <w:r w:rsidRPr="00507A31">
        <w:rPr>
          <w:color w:val="000000" w:themeColor="text1"/>
          <w:sz w:val="16"/>
          <w:szCs w:val="16"/>
        </w:rPr>
        <w:t xml:space="preserve"> в 1930 году впервые поднялся в воздух </w:t>
      </w:r>
      <w:hyperlink r:id="rId101" w:tgtFrame="_blank" w:history="1">
        <w:r w:rsidRPr="00507A31">
          <w:rPr>
            <w:color w:val="000000" w:themeColor="text1"/>
            <w:sz w:val="16"/>
            <w:szCs w:val="16"/>
          </w:rPr>
          <w:t xml:space="preserve">«UB-20» </w:t>
        </w:r>
      </w:hyperlink>
      <w:r w:rsidRPr="00507A31">
        <w:rPr>
          <w:color w:val="000000" w:themeColor="text1"/>
          <w:sz w:val="16"/>
          <w:szCs w:val="16"/>
        </w:rPr>
        <w:t>(«Uppercu-Burnelli») пилотируемый Роджером Вильямсом (Roger Q,Williams). Этот самолет стал третьим цельнометаллическим самолётом Бурнелли с несущей обшивкой и фюзеляжем, создающим подъёмную силу. Оперение - двухбалочное Пилот по прежнему сидел в открытой кабине, пассажирский салон, естественно, закрытый. Он был развитием самолёта «CB-16». Построен только один самолёт, регистрационный номер X/NR397N. Он широко использовался в рекламных автопробегах Форда, при этом автомобиль перевозился на внешней подвеске!</w:t>
      </w:r>
    </w:p>
    <w:p w14:paraId="207AB6EB" w14:textId="77777777" w:rsidR="0002641F" w:rsidRPr="00507A31" w:rsidRDefault="0002641F" w:rsidP="00507A31">
      <w:pPr>
        <w:jc w:val="both"/>
        <w:rPr>
          <w:color w:val="000000" w:themeColor="text1"/>
          <w:sz w:val="16"/>
          <w:szCs w:val="16"/>
        </w:rPr>
      </w:pPr>
    </w:p>
    <w:p w14:paraId="2AD463A7" w14:textId="77777777" w:rsidR="00484702" w:rsidRPr="00507A31" w:rsidRDefault="00484702" w:rsidP="00507A31">
      <w:pPr>
        <w:jc w:val="both"/>
        <w:rPr>
          <w:color w:val="0070C0"/>
          <w:sz w:val="16"/>
          <w:szCs w:val="16"/>
        </w:rPr>
      </w:pPr>
      <w:r w:rsidRPr="00507A31">
        <w:rPr>
          <w:color w:val="0070C0"/>
          <w:sz w:val="16"/>
          <w:szCs w:val="16"/>
        </w:rPr>
        <w:t>5 июня 1930 года — первый полёт транспортного самолёта Uppercu-Burnelli UB-20. /США/</w:t>
      </w:r>
    </w:p>
    <w:p w14:paraId="30FFCB98" w14:textId="77777777" w:rsidR="00484702" w:rsidRPr="00507A31" w:rsidRDefault="00484702" w:rsidP="00507A31">
      <w:pPr>
        <w:jc w:val="both"/>
        <w:rPr>
          <w:color w:val="0070C0"/>
          <w:sz w:val="16"/>
          <w:szCs w:val="16"/>
        </w:rPr>
      </w:pPr>
      <w:r w:rsidRPr="00507A31">
        <w:rPr>
          <w:color w:val="0070C0"/>
          <w:sz w:val="16"/>
          <w:szCs w:val="16"/>
        </w:rPr>
        <w:t>Конструктор Винсент Бурнелли (Vincent Burnelli) в начале 1920-х годов предложил концепцию т.н. «подъёмного фюзеляжа» — фюзеляж был выполнен воедино с крылом, что позволяло создавать дополнительную подъёмную силу. В 1929 году, основав совместно с бизнесменом Инглисом Апперку (Inglis Uppercu) компанию Uppercu-Burnelli Aircraft Corporation, Бурнелли приступает к работе над самолётом UB-20.</w:t>
      </w:r>
    </w:p>
    <w:p w14:paraId="60325C76" w14:textId="77777777" w:rsidR="00484702" w:rsidRPr="00507A31" w:rsidRDefault="00484702" w:rsidP="00507A31">
      <w:pPr>
        <w:jc w:val="both"/>
        <w:rPr>
          <w:color w:val="0070C0"/>
          <w:sz w:val="16"/>
          <w:szCs w:val="16"/>
        </w:rPr>
      </w:pPr>
      <w:r w:rsidRPr="00507A31">
        <w:rPr>
          <w:color w:val="0070C0"/>
          <w:sz w:val="16"/>
          <w:szCs w:val="16"/>
        </w:rPr>
        <w:t>Это был цельнометаллический высокоплан с неубираемым шасси и двухбалочным хвостовым оперением. Оснащался 2 × двигателями Packard 2500 (750 л.с.) Максимальная скорость — 266 км/ч, дальность полёта — 1600 км. Брал на борт до 16 пассажиров.</w:t>
      </w:r>
    </w:p>
    <w:p w14:paraId="0711F755" w14:textId="77777777" w:rsidR="00484702" w:rsidRPr="00507A31" w:rsidRDefault="00484702" w:rsidP="00507A31">
      <w:pPr>
        <w:jc w:val="both"/>
        <w:rPr>
          <w:color w:val="0070C0"/>
          <w:sz w:val="16"/>
          <w:szCs w:val="16"/>
        </w:rPr>
      </w:pPr>
      <w:r w:rsidRPr="00507A31">
        <w:rPr>
          <w:color w:val="0070C0"/>
          <w:sz w:val="16"/>
          <w:szCs w:val="16"/>
        </w:rPr>
        <w:t>Интереса Uppercu-Burnelli UB-20 не вызвал и в серийное производство не пошёл. Единственный построенный самолёт участвовал в рекламных полётах, например — перевозя автомобиль Ford на внешней подвеске (22300).</w:t>
      </w:r>
    </w:p>
    <w:p w14:paraId="574A30E6" w14:textId="77777777" w:rsidR="00484702" w:rsidRPr="00507A31" w:rsidRDefault="00484702" w:rsidP="00507A31">
      <w:pPr>
        <w:jc w:val="both"/>
        <w:rPr>
          <w:color w:val="0070C0"/>
          <w:sz w:val="16"/>
          <w:szCs w:val="16"/>
        </w:rPr>
      </w:pPr>
    </w:p>
    <w:p w14:paraId="25464367" w14:textId="77777777" w:rsidR="00484702" w:rsidRPr="00507A31" w:rsidRDefault="00484702" w:rsidP="00507A31">
      <w:pPr>
        <w:jc w:val="both"/>
        <w:rPr>
          <w:color w:val="0070C0"/>
          <w:sz w:val="16"/>
          <w:szCs w:val="16"/>
        </w:rPr>
      </w:pPr>
      <w:r w:rsidRPr="00507A31">
        <w:rPr>
          <w:color w:val="0070C0"/>
          <w:sz w:val="16"/>
          <w:szCs w:val="16"/>
        </w:rPr>
        <w:t>5 июня 1930 сразу после взлета из Джеффри Филд в Бостоне, штат Массачусетс, для полета в Нью-Йорк с 15 людьми на борту, Colonial Air Transport Ford 5-AT-B Trimotor NC9675 падает в море, останавливаясь на глубине 7 футов (2,1 метра) в 60 ярдах (55 метрах) от волнолома. Один из пассажиров погиб, самолет поврежден и не подлежит ремонту, но остальные 12 пассажиров и оба члена экипажа выживают (20805).</w:t>
      </w:r>
    </w:p>
    <w:p w14:paraId="13949F70" w14:textId="77777777" w:rsidR="00484702" w:rsidRPr="00507A31" w:rsidRDefault="00484702" w:rsidP="00507A31">
      <w:pPr>
        <w:jc w:val="both"/>
        <w:rPr>
          <w:color w:val="0070C0"/>
          <w:sz w:val="16"/>
          <w:szCs w:val="16"/>
        </w:rPr>
      </w:pPr>
    </w:p>
    <w:p w14:paraId="1EC820C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 июня 1930 английское правительство отвергло проект строительства подводного канала под Ла-Маншем между Англией и Францией (4962).</w:t>
      </w:r>
    </w:p>
    <w:p w14:paraId="7E9D353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010A75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9F1E085" w14:textId="77777777" w:rsidR="00537E5F" w:rsidRPr="00507A31" w:rsidRDefault="00537E5F" w:rsidP="00507A31">
      <w:pPr>
        <w:autoSpaceDE w:val="0"/>
        <w:autoSpaceDN w:val="0"/>
        <w:adjustRightInd w:val="0"/>
        <w:jc w:val="both"/>
        <w:rPr>
          <w:iCs/>
          <w:color w:val="000000" w:themeColor="text1"/>
          <w:sz w:val="16"/>
          <w:szCs w:val="16"/>
        </w:rPr>
      </w:pPr>
    </w:p>
    <w:p w14:paraId="5F3F35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июня 1930 К-5 второй с двигателем Хорнет, который назвали "Сталин" и который вылетел 25 мая 1930 после завершения заводских испытаний в перелет К-5 по маршруту Харьков-Киев-Винница-Зиновьевское-Кривой Рог-Днепропетровск-Сталино-Луганск-Краматорск-Харьков, из Днепропетровска, повернули в Москву, чтобы прибыть к открытию XVI съезда ВКП(б). Пилот М.А.Снегирев, мех. Кегелевич + К.А.К. и пассажиры (70,163).</w:t>
      </w:r>
    </w:p>
    <w:p w14:paraId="16F9C0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Что-то здесь В.Савин напутал, так как съезд был с 26 июня по 13 июля и, наверное, это было на месяц позже</w:t>
      </w:r>
    </w:p>
    <w:p w14:paraId="066B109A" w14:textId="77777777" w:rsidR="00537E5F" w:rsidRPr="00507A31" w:rsidRDefault="00537E5F" w:rsidP="00507A31">
      <w:pPr>
        <w:autoSpaceDE w:val="0"/>
        <w:autoSpaceDN w:val="0"/>
        <w:adjustRightInd w:val="0"/>
        <w:jc w:val="both"/>
        <w:rPr>
          <w:iCs/>
          <w:color w:val="000000" w:themeColor="text1"/>
          <w:sz w:val="16"/>
          <w:szCs w:val="16"/>
        </w:rPr>
      </w:pPr>
    </w:p>
    <w:p w14:paraId="5468A8E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E239DC6" w14:textId="77777777" w:rsidR="00537E5F" w:rsidRPr="00507A31" w:rsidRDefault="00537E5F" w:rsidP="00507A31">
      <w:pPr>
        <w:autoSpaceDE w:val="0"/>
        <w:autoSpaceDN w:val="0"/>
        <w:adjustRightInd w:val="0"/>
        <w:jc w:val="both"/>
        <w:rPr>
          <w:iCs/>
          <w:color w:val="000000" w:themeColor="text1"/>
          <w:sz w:val="16"/>
          <w:szCs w:val="16"/>
        </w:rPr>
      </w:pPr>
    </w:p>
    <w:p w14:paraId="47688D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июня 1930 г. вышел ОТЧЕТ НАЧАЛЬНИКА УММ В РВС СССР О ЗАГРАНИЧНОЙ КОМАНДИРОВКЕ</w:t>
      </w:r>
    </w:p>
    <w:p w14:paraId="10FD8F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6A8866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Вступление: В конце ноября 1929 года, в связи с отставанием промышленности в разработке конструкции образцов всех типов танков, отвечающих принятой системе вооружения Реввоенсове</w:t>
      </w:r>
      <w:r w:rsidRPr="00507A31">
        <w:rPr>
          <w:color w:val="000000" w:themeColor="text1"/>
          <w:sz w:val="16"/>
          <w:szCs w:val="16"/>
        </w:rPr>
        <w:softHyphen/>
        <w:t>том Союза, Народным комиссаром и председателем Революционного Военного Совета Союза т. Во</w:t>
      </w:r>
      <w:r w:rsidRPr="00507A31">
        <w:rPr>
          <w:color w:val="000000" w:themeColor="text1"/>
          <w:sz w:val="16"/>
          <w:szCs w:val="16"/>
        </w:rPr>
        <w:softHyphen/>
        <w:t>рошиловым был сделан доклад в директивном органе.</w:t>
      </w:r>
    </w:p>
    <w:p w14:paraId="0DDE59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заседании последнего поручено комиссии т. Орджоникидзе разработать ряд конкретных ме</w:t>
      </w:r>
      <w:r w:rsidRPr="00507A31">
        <w:rPr>
          <w:color w:val="000000" w:themeColor="text1"/>
          <w:sz w:val="16"/>
          <w:szCs w:val="16"/>
        </w:rPr>
        <w:softHyphen/>
        <w:t>роприятий.</w:t>
      </w:r>
    </w:p>
    <w:p w14:paraId="261075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заседании 5 декабря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w:t>
      </w:r>
      <w:r w:rsidRPr="00507A31">
        <w:rPr>
          <w:color w:val="000000" w:themeColor="text1"/>
          <w:sz w:val="16"/>
          <w:szCs w:val="16"/>
        </w:rPr>
        <w:softHyphen/>
        <w:t>ков, арттягачей и получения технической помощи по вышеуказанным объектам.</w:t>
      </w:r>
    </w:p>
    <w:p w14:paraId="608350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последующем заседании директивного органа принятое постановление комиссией т. Орджо</w:t>
      </w:r>
      <w:r w:rsidRPr="00507A31">
        <w:rPr>
          <w:color w:val="000000" w:themeColor="text1"/>
          <w:sz w:val="16"/>
          <w:szCs w:val="16"/>
        </w:rPr>
        <w:softHyphen/>
        <w:t>никидзе утверждено. На основании которого, по заданию Народного комиссара т. Ворошилова, Штабом РККА с участием начальника УММ и начальника вооружений разработан план поездки ко</w:t>
      </w:r>
      <w:r w:rsidRPr="00507A31">
        <w:rPr>
          <w:color w:val="000000" w:themeColor="text1"/>
          <w:sz w:val="16"/>
          <w:szCs w:val="16"/>
        </w:rPr>
        <w:softHyphen/>
        <w:t>миссии за границу.</w:t>
      </w:r>
    </w:p>
    <w:p w14:paraId="28AE46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План поездки 27 января 1929 г. утвержден Наркомом т. Ворошиловым. 30 января 1929 г. комис</w:t>
      </w:r>
      <w:r w:rsidRPr="00507A31">
        <w:rPr>
          <w:color w:val="000000" w:themeColor="text1"/>
          <w:sz w:val="16"/>
          <w:szCs w:val="16"/>
        </w:rPr>
        <w:softHyphen/>
        <w:t>сия выехала за границу.</w:t>
      </w:r>
    </w:p>
    <w:p w14:paraId="40C97F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Согласно утвержденного плана, комиссия посетила следующие страны: Германия, Чехослова</w:t>
      </w:r>
      <w:r w:rsidRPr="00507A31">
        <w:rPr>
          <w:color w:val="000000" w:themeColor="text1"/>
          <w:sz w:val="16"/>
          <w:szCs w:val="16"/>
        </w:rPr>
        <w:softHyphen/>
        <w:t>кия, Франция, Англия и Америка.</w:t>
      </w:r>
    </w:p>
    <w:p w14:paraId="0D20EC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Германия</w:t>
      </w:r>
    </w:p>
    <w:p w14:paraId="43203C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фирма "Мафай"</w:t>
      </w:r>
    </w:p>
    <w:p w14:paraId="46CC8B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заданию Рейхсвера фирмой разработана специальная конструкция к стандартному автогру</w:t>
      </w:r>
      <w:r w:rsidRPr="00507A31">
        <w:rPr>
          <w:color w:val="000000" w:themeColor="text1"/>
          <w:sz w:val="16"/>
          <w:szCs w:val="16"/>
        </w:rPr>
        <w:softHyphen/>
        <w:t>зовику "Мафай" в гусеничный движитель. Таким образом, грузовик превращен в арттягач.</w:t>
      </w:r>
    </w:p>
    <w:p w14:paraId="3010D9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Настоящей конструкцией немцы удачно разрешили задачу использования обычного автомо</w:t>
      </w:r>
      <w:r w:rsidRPr="00507A31">
        <w:rPr>
          <w:color w:val="000000" w:themeColor="text1"/>
          <w:sz w:val="16"/>
          <w:szCs w:val="16"/>
        </w:rPr>
        <w:softHyphen/>
        <w:t>бильного грузовика для целей передвижения полевой артиллерии по бездорожью, ибо данная машина с мотором 60 лошадиных сил позволяет иметь прицепной груз до 5 тонн и преодолевает препятст</w:t>
      </w:r>
      <w:r w:rsidRPr="00507A31">
        <w:rPr>
          <w:color w:val="000000" w:themeColor="text1"/>
          <w:sz w:val="16"/>
          <w:szCs w:val="16"/>
        </w:rPr>
        <w:softHyphen/>
        <w:t>вия с углом подъема до 45°, причем дает скорость 15-16 километров, а при благоприятных дорожных условиях на поднятых гусеничных ходах 35 - 40 километров.</w:t>
      </w:r>
    </w:p>
    <w:p w14:paraId="1167D9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Арттягач "Мафай" закуплен, как образец, для цели использования его конструкции гусеничных движителей на машинах нашего стандартного производства "АМО-1", "АМО-2" и "Я-3".</w:t>
      </w:r>
    </w:p>
    <w:p w14:paraId="57FEBB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Прибытие арттягача ожидается в конце июня с.г.</w:t>
      </w:r>
    </w:p>
    <w:p w14:paraId="6276F5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Если нам удастся конструкцию - "Мафай" (гусеничный движитель) внедрить в наше производ</w:t>
      </w:r>
      <w:r w:rsidRPr="00507A31">
        <w:rPr>
          <w:color w:val="000000" w:themeColor="text1"/>
          <w:sz w:val="16"/>
          <w:szCs w:val="16"/>
        </w:rPr>
        <w:softHyphen/>
        <w:t>ство для вышеуказанных типов автомашин, мы сможем, при мобилизации гражданского автогрузо</w:t>
      </w:r>
      <w:r w:rsidRPr="00507A31">
        <w:rPr>
          <w:color w:val="000000" w:themeColor="text1"/>
          <w:sz w:val="16"/>
          <w:szCs w:val="16"/>
        </w:rPr>
        <w:softHyphen/>
        <w:t>вого транспорта, в военное время превратить обычные автомашины в вездеходы, что и преследуют своей конструкцией немцы.</w:t>
      </w:r>
    </w:p>
    <w:p w14:paraId="08BD7C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 Фотографии'.</w:t>
      </w:r>
    </w:p>
    <w:p w14:paraId="68648A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фирма "Линке-Гофман"</w:t>
      </w:r>
    </w:p>
    <w:p w14:paraId="741D98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 данной фирмы куплены 2 образца быстроходного трактора. В своей конструкции этот трактор есть ни что иное, как сельскохозяйственный трактор, только модифицирован, в конструкции своих гусениц.</w:t>
      </w:r>
    </w:p>
    <w:p w14:paraId="2E6CC0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Изменением передаточных отношений в коробке скоростей и дифференциале, переходом от крупнозвенчатой на мелкозвенчатую гусеницу, скорость движения трактора повысилась до 25 - 30 километров с 12 километров.</w:t>
      </w:r>
    </w:p>
    <w:p w14:paraId="1D2485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Конструкция трактора "Линке-Гофман" является доказательством того, как немцы умеют асси</w:t>
      </w:r>
      <w:r w:rsidRPr="00507A31">
        <w:rPr>
          <w:color w:val="000000" w:themeColor="text1"/>
          <w:sz w:val="16"/>
          <w:szCs w:val="16"/>
        </w:rPr>
        <w:softHyphen/>
        <w:t>милировать сельскохозяйственный тип трактора в специальный арттрактор без болезненных произ</w:t>
      </w:r>
      <w:r w:rsidRPr="00507A31">
        <w:rPr>
          <w:color w:val="000000" w:themeColor="text1"/>
          <w:sz w:val="16"/>
          <w:szCs w:val="16"/>
        </w:rPr>
        <w:softHyphen/>
        <w:t>водственных процессов, что самым решительным образом опровергалось нашей промышленностью.</w:t>
      </w:r>
    </w:p>
    <w:p w14:paraId="1D1D49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Приобретенные образцы будут служить фактором, как и каким образом, ассимилировать сель</w:t>
      </w:r>
      <w:r w:rsidRPr="00507A31">
        <w:rPr>
          <w:color w:val="000000" w:themeColor="text1"/>
          <w:sz w:val="16"/>
          <w:szCs w:val="16"/>
        </w:rPr>
        <w:softHyphen/>
        <w:t>скохозяйственные тракторы на военное время нашей промышленностью.</w:t>
      </w:r>
    </w:p>
    <w:p w14:paraId="07920D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Прибытие образцов тракторов "Линке-Гофман" ожидается в конце июня с.г.</w:t>
      </w:r>
    </w:p>
    <w:p w14:paraId="091246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Чехословакия</w:t>
      </w:r>
    </w:p>
    <w:p w14:paraId="1D22EF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Чехословакии комиссия имела своей целью связаться с фирмой Шкода по вопросу закупки их типа танков.</w:t>
      </w:r>
    </w:p>
    <w:p w14:paraId="60398A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переговорах с данной фирмой выяснилось, что фирма контролируется французской фирмой "Крезо-Шнейдер". Фирма Шкода уклонилась от своих предложений, отказавшись показать производ</w:t>
      </w:r>
      <w:r w:rsidRPr="00507A31">
        <w:rPr>
          <w:color w:val="000000" w:themeColor="text1"/>
          <w:sz w:val="16"/>
          <w:szCs w:val="16"/>
        </w:rPr>
        <w:softHyphen/>
        <w:t>ство и демонстрировать какие-либо типы.</w:t>
      </w:r>
    </w:p>
    <w:p w14:paraId="1A77ED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Франция</w:t>
      </w:r>
    </w:p>
    <w:p w14:paraId="05EC42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Фирма "Самуа"</w:t>
      </w:r>
    </w:p>
    <w:p w14:paraId="53B08F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Настоящая фирма входит в объединение "Крезо-Шнейдер" и имеет разработанный тип арттяга</w:t>
      </w:r>
      <w:r w:rsidRPr="00507A31">
        <w:rPr>
          <w:color w:val="000000" w:themeColor="text1"/>
          <w:sz w:val="16"/>
          <w:szCs w:val="16"/>
        </w:rPr>
        <w:softHyphen/>
        <w:t>ча, сконструированного по техническим условиям французского военного ведомства.</w:t>
      </w:r>
    </w:p>
    <w:p w14:paraId="3782BF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Данный тип арттягача закуплен в количестве 10 штук. Срок поставки 7 месяцев.</w:t>
      </w:r>
    </w:p>
    <w:p w14:paraId="2DE9F0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Нужно полагать, что французская армия, задавшись целью сконструировать настоящие тягачи, намеревалась заменить быстроходный трактор, который более громоздок и менее удобен с точки зрения тактического применения в армии. Нужно признать, что французская армия, имея конструк</w:t>
      </w:r>
      <w:r w:rsidRPr="00507A31">
        <w:rPr>
          <w:color w:val="000000" w:themeColor="text1"/>
          <w:sz w:val="16"/>
          <w:szCs w:val="16"/>
        </w:rPr>
        <w:softHyphen/>
        <w:t>цию "Самуа", разрешила удачно вопрос использования стандартного грузовика "Самуа", как арття</w:t>
      </w:r>
      <w:r w:rsidRPr="00507A31">
        <w:rPr>
          <w:color w:val="000000" w:themeColor="text1"/>
          <w:sz w:val="16"/>
          <w:szCs w:val="16"/>
        </w:rPr>
        <w:softHyphen/>
        <w:t>гача, вездехода и противотанка.</w:t>
      </w:r>
    </w:p>
    <w:p w14:paraId="02CEB1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Особенности конструкции арттягача "Самуа" заключаются в следующем:</w:t>
      </w:r>
    </w:p>
    <w:p w14:paraId="4E7431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При незначительной мощности мотора в 50 - 60 лошадиных сил, арттягач имеет скорость 40-45 километров.</w:t>
      </w:r>
    </w:p>
    <w:p w14:paraId="5A8DC9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При самых неблагоприятных и трудных дорожных условиях (канавы, наполненные в 1 метр глубины водой, сплошные ухабы и непролазная грязь, сырой сплошной суглинок) с прицепом груза до 4 тонн, машина шла со скоростью от 10 до 15 километров.</w:t>
      </w:r>
    </w:p>
    <w:p w14:paraId="0C7C31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Хорошая проходимость машин обусловливается специальной конструкцией гусеничного рези</w:t>
      </w:r>
      <w:r w:rsidRPr="00507A31">
        <w:rPr>
          <w:color w:val="000000" w:themeColor="text1"/>
          <w:sz w:val="16"/>
          <w:szCs w:val="16"/>
        </w:rPr>
        <w:softHyphen/>
        <w:t>нового хода и особой конструкцией управления, по принципу управления танком во время преодоле-'</w:t>
      </w:r>
      <w:r w:rsidRPr="00507A31">
        <w:rPr>
          <w:color w:val="000000" w:themeColor="text1"/>
          <w:sz w:val="16"/>
          <w:szCs w:val="16"/>
          <w:vertAlign w:val="superscript"/>
        </w:rPr>
        <w:t>:</w:t>
      </w:r>
      <w:r w:rsidRPr="00507A31">
        <w:rPr>
          <w:color w:val="000000" w:themeColor="text1"/>
          <w:sz w:val="16"/>
          <w:szCs w:val="16"/>
        </w:rPr>
        <w:t xml:space="preserve"> шя препятствий, как-то: канав, рвов и проч.</w:t>
      </w:r>
    </w:p>
    <w:p w14:paraId="1383CE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Приобретение образцов арттягачей фирмы "Самуа" будет являться большим вкладом для нашей конструкторско-технической мысли.</w:t>
      </w:r>
    </w:p>
    <w:p w14:paraId="4293C8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 фирмы мною консультировался вопрос: возможно ли конструкцию движителей приспособить кнашей стандартной машине "АМО-2", на что я получил положительный ответ.</w:t>
      </w:r>
    </w:p>
    <w:p w14:paraId="3A733B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Перед фирмой мною поставлен вопрос о технической помощи не на машину в целом, а только на движители и задний мост. Вначале фирма к этому отнеслась отрицательно, но при отъезде моем дирек</w:t>
      </w:r>
      <w:r w:rsidRPr="00507A31">
        <w:rPr>
          <w:color w:val="000000" w:themeColor="text1"/>
          <w:sz w:val="16"/>
          <w:szCs w:val="16"/>
        </w:rPr>
        <w:softHyphen/>
        <w:t>тор фирмы "Самуа" заявил, что он еще раз вопрос этот продумал и лично не возражает, но окончатель</w:t>
      </w:r>
      <w:r w:rsidRPr="00507A31">
        <w:rPr>
          <w:color w:val="000000" w:themeColor="text1"/>
          <w:sz w:val="16"/>
          <w:szCs w:val="16"/>
        </w:rPr>
        <w:softHyphen/>
        <w:t>ное решение будет зависеть от концерна "Крезо-Шнейдер", куда он передал этот вопрос на обсуждение.</w:t>
      </w:r>
    </w:p>
    <w:p w14:paraId="71B48B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Фирма "Шенар-Валькер"</w:t>
      </w:r>
    </w:p>
    <w:p w14:paraId="365E15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Уданной фирмы закуплен образец трехосного автотягача. Конструкция интересна в отношении подвески задних осей. Тягач имеет большую проходимость по бездорожью с большим тяговым гру</w:t>
      </w:r>
      <w:r w:rsidRPr="00507A31">
        <w:rPr>
          <w:color w:val="000000" w:themeColor="text1"/>
          <w:sz w:val="16"/>
          <w:szCs w:val="16"/>
        </w:rPr>
        <w:softHyphen/>
        <w:t>зом на крюке.</w:t>
      </w:r>
    </w:p>
    <w:p w14:paraId="52764F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Конструкция автотягача "Шенар-Валькер" может служить материалом для конструкторского бюро для превращения автомобилей "АМО-2" и "Я-3", в тягачи.</w:t>
      </w:r>
    </w:p>
    <w:p w14:paraId="1FCA5F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Фирма "Ситроен"</w:t>
      </w:r>
    </w:p>
    <w:p w14:paraId="31BACB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 фирмы куплена последняя конструкция автомашин "Ситроен" с гусеничным ходом "Кегресс".</w:t>
      </w:r>
    </w:p>
    <w:p w14:paraId="661E12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Гусеничные хода Кегресса, по заявлению конструктора Кегресса, могут быть приспособлены подтип машины "Форд". На эту тему с Ситроеном велись переговоры. Ситроен в принципе не воз</w:t>
      </w:r>
      <w:r w:rsidRPr="00507A31">
        <w:rPr>
          <w:color w:val="000000" w:themeColor="text1"/>
          <w:sz w:val="16"/>
          <w:szCs w:val="16"/>
        </w:rPr>
        <w:softHyphen/>
        <w:t>ражает оказать нам техническую помощь, но требования, выставленные со стороны фирмы о праве лицензии, о сроках организации производства у нас, являются для нас неприемлемыми. Перегово</w:t>
      </w:r>
      <w:r w:rsidRPr="00507A31">
        <w:rPr>
          <w:color w:val="000000" w:themeColor="text1"/>
          <w:sz w:val="16"/>
          <w:szCs w:val="16"/>
        </w:rPr>
        <w:softHyphen/>
        <w:t>ры с фирмой не закончены и продолжаются ВАТО.</w:t>
      </w:r>
    </w:p>
    <w:p w14:paraId="2AC983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Фирма "Рено" и "Крезо-Шнейдер"</w:t>
      </w:r>
    </w:p>
    <w:p w14:paraId="0FD1A6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Данные фирмы на наше предложение продать нам образцы танков или целую партию отказа</w:t>
      </w:r>
      <w:r w:rsidRPr="00507A31">
        <w:rPr>
          <w:color w:val="000000" w:themeColor="text1"/>
          <w:sz w:val="16"/>
          <w:szCs w:val="16"/>
        </w:rPr>
        <w:softHyphen/>
        <w:t>лись. Между прочим, в настоящее время французская армия имеет новый тип танка с мотором "Ре</w:t>
      </w:r>
      <w:r w:rsidRPr="00507A31">
        <w:rPr>
          <w:color w:val="000000" w:themeColor="text1"/>
          <w:sz w:val="16"/>
          <w:szCs w:val="16"/>
        </w:rPr>
        <w:softHyphen/>
        <w:t>но", движителями Кегресса, броней "Крезо-Шнейдер". По непроверенным данным, указанный тип танка имеет скорость 30 километров. Кроме того, в настоящее время модернизируется старый тип танка "Рено". Французы добиваются увеличить его скорость до 12 километров в час.</w:t>
      </w:r>
    </w:p>
    <w:p w14:paraId="78FB34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Англия</w:t>
      </w:r>
    </w:p>
    <w:p w14:paraId="5828E9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Фирма «Виккерс»</w:t>
      </w:r>
    </w:p>
    <w:p w14:paraId="348119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Согласно утвержденной программы комиссии надлежало купить образцы танкетки, малого тан</w:t>
      </w:r>
      <w:r w:rsidRPr="00507A31">
        <w:rPr>
          <w:color w:val="000000" w:themeColor="text1"/>
          <w:sz w:val="16"/>
          <w:szCs w:val="16"/>
        </w:rPr>
        <w:softHyphen/>
        <w:t>ка, танка "Мидиум" и большого танка. Закуплены образцы 20 танкеток, со сроками поставки: 5 - в мае, 4 - в июне, 4 - в июле, 4 - в августе и 3 - в сентябре.</w:t>
      </w:r>
    </w:p>
    <w:p w14:paraId="57AE8B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Малых танков закуплено 15. Сроки поставки: в сентябре - 1, в октябре - 4, в ноябре - 4, в декаб</w:t>
      </w:r>
      <w:r w:rsidRPr="00507A31">
        <w:rPr>
          <w:color w:val="000000" w:themeColor="text1"/>
          <w:sz w:val="16"/>
          <w:szCs w:val="16"/>
        </w:rPr>
        <w:softHyphen/>
        <w:t>ре - 4 и январе - 2.</w:t>
      </w:r>
    </w:p>
    <w:p w14:paraId="5E2DEF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"Мидиум" танков закуплено 15. Сроки поставки: в октябре - 1, в ноябре - 2, в декабре - 2, в янва</w:t>
      </w:r>
      <w:r w:rsidRPr="00507A31">
        <w:rPr>
          <w:color w:val="000000" w:themeColor="text1"/>
          <w:sz w:val="16"/>
          <w:szCs w:val="16"/>
        </w:rPr>
        <w:softHyphen/>
        <w:t>ре - 2, в феврале - 2, в марте - 2, в апреле - 2, в мае - 2.</w:t>
      </w:r>
    </w:p>
    <w:p w14:paraId="235B44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вышеуказанные типы танков в основном отвечают принятой системе вооружения нашей ар</w:t>
      </w:r>
      <w:r w:rsidRPr="00507A31">
        <w:rPr>
          <w:color w:val="000000" w:themeColor="text1"/>
          <w:sz w:val="16"/>
          <w:szCs w:val="16"/>
        </w:rPr>
        <w:softHyphen/>
        <w:t>мии, за исключением толщины брони. Броня "Виккерса" тоньше, чем предусмотрено нашей систе</w:t>
      </w:r>
      <w:r w:rsidRPr="00507A31">
        <w:rPr>
          <w:color w:val="000000" w:themeColor="text1"/>
          <w:sz w:val="16"/>
          <w:szCs w:val="16"/>
        </w:rPr>
        <w:softHyphen/>
        <w:t>мой вооружения. Между прочим, последний тип брони "Виккерса" марки 5.Т.А.Р1а1, по гарантии фирмы, имеет большую сопротивляемость, чем обычная броня. Доставляемые нам танки по догово</w:t>
      </w:r>
      <w:r w:rsidRPr="00507A31">
        <w:rPr>
          <w:color w:val="000000" w:themeColor="text1"/>
          <w:sz w:val="16"/>
          <w:szCs w:val="16"/>
        </w:rPr>
        <w:softHyphen/>
        <w:t>ру, по заявлению фирмы, будут первыми танками с указанной маркой брони.</w:t>
      </w:r>
    </w:p>
    <w:p w14:paraId="7F523D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Испытываемые нами танки были взяты из механизированной бригады британской армии и не имели указанной марки брони. Во время посещения заводов я убедился, что все строящиеся танки не имели брони указанной марки.</w:t>
      </w:r>
    </w:p>
    <w:p w14:paraId="111B71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Наше категорическое требование на проданные для нас танки поставить броню 5.Т.А.Р1а1 яви</w:t>
      </w:r>
      <w:r w:rsidRPr="00507A31">
        <w:rPr>
          <w:color w:val="000000" w:themeColor="text1"/>
          <w:sz w:val="16"/>
          <w:szCs w:val="16"/>
        </w:rPr>
        <w:softHyphen/>
        <w:t>лось последствием столь длительных сроков поставки.</w:t>
      </w:r>
    </w:p>
    <w:p w14:paraId="64E669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Согласно заключенного договора с Виккерсом, фирма обязана допустить на свои заводы наших 3 инженеров для изучения производства и приемки танков в процессе их изготовления.</w:t>
      </w:r>
    </w:p>
    <w:p w14:paraId="765E9C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Фирма обязалась передать нам чертежи: а) эскизные, б) сборочные, в) монтажные, г) инспекци-онно-производственные. Фирма обязалась из всех купленных типов танков доставить нам сначала опытную партию по 3 шт. каждого типа, после испытания которых, мы имеем право внести измене</w:t>
      </w:r>
      <w:r w:rsidRPr="00507A31">
        <w:rPr>
          <w:color w:val="000000" w:themeColor="text1"/>
          <w:sz w:val="16"/>
          <w:szCs w:val="16"/>
        </w:rPr>
        <w:softHyphen/>
        <w:t>ния в конструкцию по своему усмотрению. Кроме того, фирма взяла на себя обязательство разрабо</w:t>
      </w:r>
      <w:r w:rsidRPr="00507A31">
        <w:rPr>
          <w:color w:val="000000" w:themeColor="text1"/>
          <w:sz w:val="16"/>
          <w:szCs w:val="16"/>
        </w:rPr>
        <w:softHyphen/>
        <w:t>тать конструкцию типа большого танка, по нашим тактико-техническим требованиям. В случае, ес</w:t>
      </w:r>
      <w:r w:rsidRPr="00507A31">
        <w:rPr>
          <w:color w:val="000000" w:themeColor="text1"/>
          <w:sz w:val="16"/>
          <w:szCs w:val="16"/>
        </w:rPr>
        <w:softHyphen/>
        <w:t>ли нами будут внесены изменения в конструкцию закупленных стандартных танков, то все измене</w:t>
      </w:r>
      <w:r w:rsidRPr="00507A31">
        <w:rPr>
          <w:color w:val="000000" w:themeColor="text1"/>
          <w:sz w:val="16"/>
          <w:szCs w:val="16"/>
        </w:rPr>
        <w:softHyphen/>
        <w:t>ния должны быть за наш счет.</w:t>
      </w:r>
    </w:p>
    <w:p w14:paraId="26AE4A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Фирма обязалась за особую плату дать все необходимые запасные части по нашим спецификациям.</w:t>
      </w:r>
    </w:p>
    <w:p w14:paraId="076667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договоре оговорено в одной из танкеток, в виде образца, установка крупнокалиберного пуле</w:t>
      </w:r>
      <w:r w:rsidRPr="00507A31">
        <w:rPr>
          <w:color w:val="000000" w:themeColor="text1"/>
          <w:sz w:val="16"/>
          <w:szCs w:val="16"/>
        </w:rPr>
        <w:softHyphen/>
        <w:t>мета. В малом танке договорена установка 2 пулеметов и одной полуавтоматической 37 миллиметре-1 вой пушки, а также радиоустановки.</w:t>
      </w:r>
    </w:p>
    <w:p w14:paraId="7E9CDA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танке "Мидиум" по договору обязаны установить 47 миллиметровую полуавтоматическую пушку и радиоустановку. Установка вооружения и радиоустановки оплачиваются особо.</w:t>
      </w:r>
    </w:p>
    <w:p w14:paraId="626E0A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остальные танки поступят без вооружения.</w:t>
      </w:r>
    </w:p>
    <w:p w14:paraId="329548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Америка</w:t>
      </w:r>
    </w:p>
    <w:p w14:paraId="241045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Согласно утвержденной программы, нам надлежало закупить образцы и получить техническую помощь по танкам Т-1, Е-1 и танку "Кристи".</w:t>
      </w:r>
    </w:p>
    <w:p w14:paraId="1F5724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Танки Т-1 и Е-1, изготовляющиеся фирмой Копингейм, по своему типу, являются малым типом танка. По своей же конструкции танки Т-1 и Е-1 при испытании оказались качеством ниже такого же типа танка, закупленного нами у Виккерса, а именно скорость на 8 километров ниже танка "Виккерс", броня обычная, мотор с водяным охлаждением; у Виккерса же мотор с воздушным охлаждением; редукторы греются; гусеница своей громоздкостью является одним из препятствий в получении необходимых скоростей.</w:t>
      </w:r>
    </w:p>
    <w:p w14:paraId="6D29FE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цене этот танк на 17,5 тысяч руб. за единицу дороже Виккерса.</w:t>
      </w:r>
    </w:p>
    <w:p w14:paraId="7F2457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Коммерческие расчеты абсолютно не приемлемы. Фирма требовала 50% всей суммы при заказе! и 50% при сдаче, а также категорически требовала закупить целую партию не менее 50 штук одного! типа танков. В какой-либо технической помощи категорически отказалась, а также фирма отказа-[ лась допустить наших инженеров на заводы.</w:t>
      </w:r>
    </w:p>
    <w:p w14:paraId="303FBD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вышеизложенное исключало какую-либо возможность приобрести данный тип танка.</w:t>
      </w:r>
    </w:p>
    <w:p w14:paraId="185A71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Танк "Кристи"</w:t>
      </w:r>
    </w:p>
    <w:p w14:paraId="60B875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Закуплено два образца; сроки поставки через 4 месяца и, согласно заключенного договора, по-| лучена полная техническая помощь, которая выражается:</w:t>
      </w:r>
    </w:p>
    <w:p w14:paraId="1F837E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 передаче производственных чертежей всех деталей танка;</w:t>
      </w:r>
    </w:p>
    <w:p w14:paraId="12A6C4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технологические процессы;</w:t>
      </w:r>
    </w:p>
    <w:p w14:paraId="22D877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присылка к нам главного инженера Кристи сроком на 2 месяца для консультации по органи зации производства;</w:t>
      </w:r>
    </w:p>
    <w:p w14:paraId="657844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право командирования нашего инженера на завод Кристи.</w:t>
      </w:r>
    </w:p>
    <w:p w14:paraId="51DFD4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Техническая помощь не распространяется на конструкцию мотора, но этого нам и не нужно, т как этот мотор "Либерти" строится у нас в Союзе. Что же касается изменений производственных! моторе "Либерти", - это нам будет дано. Срок договора 10 лет. За этот период Кристи обязан дава техническую производственную информацию через каждые 6 месяцев.</w:t>
      </w:r>
    </w:p>
    <w:p w14:paraId="12DF46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Тип образца закупленного танка "Кристи" и полученная техническая помощь является так называемого "1940 года". Между прочим, поляками тоже закуплен 1 такой образец танка и по писан договор на техническую помощь. 1 образец такого же танка закуплен японцами, и 8 штук! готовляется для американской армии.</w:t>
      </w:r>
    </w:p>
    <w:p w14:paraId="1AA6BB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Фирма "Морелянд"</w:t>
      </w:r>
    </w:p>
    <w:p w14:paraId="096C67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данной фирмой подписан договор на 100 штук трехосных шасси для тяжелых автоброневико</w:t>
      </w:r>
    </w:p>
    <w:p w14:paraId="1EBCC4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Фирма приняла на себя обязательство выполнить все наши технические требования к данным шасси.</w:t>
      </w:r>
    </w:p>
    <w:p w14:paraId="4ABF3A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Сроки поставки, начиная с июля месяца, по 25 штук в месяц. Весь заказ будет выполнен в октябре.</w:t>
      </w:r>
    </w:p>
    <w:p w14:paraId="253640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Данный тип машины имеет для нас большое преимущество в том, что мотор будет поставлен "Геркулес", который ставится на производстве заводом "АМО".</w:t>
      </w:r>
    </w:p>
    <w:p w14:paraId="2D5997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своим тактико-техническим свойствам данная машина стоит выше в сравнении с английской машиной "Кросслей и Гай" по цене на 8 тысяч руб. дешевле, чем английские.</w:t>
      </w:r>
    </w:p>
    <w:p w14:paraId="611633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Фирма "Тимкен"</w:t>
      </w:r>
    </w:p>
    <w:p w14:paraId="2BB788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фирмой подписано соглашение на конструкцию задних мостов для трехосного автомобиля "Форд". Фирма разрабатывает специальные чертежи и обязалась сделать 3 образца.</w:t>
      </w:r>
    </w:p>
    <w:p w14:paraId="3AF936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Если сделанные образцы будут отвечать нашим тактико-техническим требованиям, фирма сог</w:t>
      </w:r>
      <w:r w:rsidRPr="00507A31">
        <w:rPr>
          <w:color w:val="000000" w:themeColor="text1"/>
          <w:sz w:val="16"/>
          <w:szCs w:val="16"/>
        </w:rPr>
        <w:softHyphen/>
        <w:t>ласна изготовить для Форда 1000 комплектов задних мостов и передать нам для сборки на нашем Ни</w:t>
      </w:r>
      <w:r w:rsidRPr="00507A31">
        <w:rPr>
          <w:color w:val="000000" w:themeColor="text1"/>
          <w:sz w:val="16"/>
          <w:szCs w:val="16"/>
        </w:rPr>
        <w:softHyphen/>
        <w:t>жегородском заводе, а также передать чертежи на задние мосты и подвески. Срок поставки 3 образ</w:t>
      </w:r>
      <w:r w:rsidRPr="00507A31">
        <w:rPr>
          <w:color w:val="000000" w:themeColor="text1"/>
          <w:sz w:val="16"/>
          <w:szCs w:val="16"/>
        </w:rPr>
        <w:softHyphen/>
        <w:t>цов - 6-8 недель.</w:t>
      </w:r>
    </w:p>
    <w:p w14:paraId="05B19C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Фирма "Колеман"</w:t>
      </w:r>
    </w:p>
    <w:p w14:paraId="09CBB9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Уданной фирмы закуплен один образец автомашины "Форд", переделанный фирмой на 4 рессо</w:t>
      </w:r>
      <w:r w:rsidRPr="00507A31">
        <w:rPr>
          <w:color w:val="000000" w:themeColor="text1"/>
          <w:sz w:val="16"/>
          <w:szCs w:val="16"/>
        </w:rPr>
        <w:softHyphen/>
        <w:t>ры; кроме того, имеет дифференциал на передней и задней оси, что увеличило проходимость маши</w:t>
      </w:r>
      <w:r w:rsidRPr="00507A31">
        <w:rPr>
          <w:color w:val="000000" w:themeColor="text1"/>
          <w:sz w:val="16"/>
          <w:szCs w:val="16"/>
        </w:rPr>
        <w:softHyphen/>
        <w:t>ны по бездорожью в 2 раза. Договора с фирмой никакого не заключалось, но фирма выразила свое согласие изготовлять для нас комплекты частей передней ведущей оси для стандартного Форда.</w:t>
      </w:r>
    </w:p>
    <w:p w14:paraId="6787EA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Данный вопрос мною не углублялся, так как предварительно нужно испытание образца в дли</w:t>
      </w:r>
      <w:r w:rsidRPr="00507A31">
        <w:rPr>
          <w:color w:val="000000" w:themeColor="text1"/>
          <w:sz w:val="16"/>
          <w:szCs w:val="16"/>
        </w:rPr>
        <w:softHyphen/>
        <w:t>тельных эксплуатационных условиях.</w:t>
      </w:r>
    </w:p>
    <w:p w14:paraId="644810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Если конструкция "Колеман", примененная к Форду, оправдает себя в эксплуатации, тогда эту конструкцию можно сочетать с конструкцией "Тимкен" для Форда, и можно будет иметь Форд с 3-мя ведущими осями.</w:t>
      </w:r>
    </w:p>
    <w:p w14:paraId="3BA9BC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ВЫВОДЫ:</w:t>
      </w:r>
    </w:p>
    <w:p w14:paraId="79B40A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Утвержденный план по покупке образцов танков, шасси, бронемашин, арттягачей выполнен полностью.</w:t>
      </w:r>
    </w:p>
    <w:p w14:paraId="0B0870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Там, где это представлялось возможным, получено техническое содействие и помощь по про</w:t>
      </w:r>
      <w:r w:rsidRPr="00507A31">
        <w:rPr>
          <w:color w:val="000000" w:themeColor="text1"/>
          <w:sz w:val="16"/>
          <w:szCs w:val="16"/>
        </w:rPr>
        <w:softHyphen/>
        <w:t>изводству.</w:t>
      </w:r>
    </w:p>
    <w:p w14:paraId="5DE1BF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В настоящее время в Англии на заводы Виккерса командирован член НТК т. Бегунов и один инженер от промышленности.</w:t>
      </w:r>
    </w:p>
    <w:p w14:paraId="386BD0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Америку на завод Кристи командирован член НТК т. Тоскин. Необходимо командировать од</w:t>
      </w:r>
      <w:r w:rsidRPr="00507A31">
        <w:rPr>
          <w:color w:val="000000" w:themeColor="text1"/>
          <w:sz w:val="16"/>
          <w:szCs w:val="16"/>
        </w:rPr>
        <w:softHyphen/>
        <w:t>ного инженера от промышленности.</w:t>
      </w:r>
    </w:p>
    <w:p w14:paraId="1B1C83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завод Тимкен командирован инженер НАМИ, который наблюдает за конструкцией трехос</w:t>
      </w:r>
      <w:r w:rsidRPr="00507A31">
        <w:rPr>
          <w:color w:val="000000" w:themeColor="text1"/>
          <w:sz w:val="16"/>
          <w:szCs w:val="16"/>
        </w:rPr>
        <w:softHyphen/>
        <w:t>ного Форда.</w:t>
      </w:r>
    </w:p>
    <w:p w14:paraId="2FFAA0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завод Морелянд командирован инженер т. Лебедев, который наблюдает за конструкцией трехосного шасси под тяжелый броневик.</w:t>
      </w:r>
    </w:p>
    <w:p w14:paraId="3CF10B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 настоящее время необходимо составить план реализации использования конструкций за</w:t>
      </w:r>
      <w:r w:rsidRPr="00507A31">
        <w:rPr>
          <w:color w:val="000000" w:themeColor="text1"/>
          <w:sz w:val="16"/>
          <w:szCs w:val="16"/>
        </w:rPr>
        <w:softHyphen/>
        <w:t>купленных: образцов за границей и полученной технической помощи.</w:t>
      </w:r>
    </w:p>
    <w:p w14:paraId="0663F3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Составление плана реализации всего того, что нами будет получено из-за границы, возможно только в том случае, если нами сейчас же совместно с промышленными органами будет твердо опре</w:t>
      </w:r>
      <w:r w:rsidRPr="00507A31">
        <w:rPr>
          <w:color w:val="000000" w:themeColor="text1"/>
          <w:sz w:val="16"/>
          <w:szCs w:val="16"/>
        </w:rPr>
        <w:softHyphen/>
        <w:t>делена и закреплена производственная база.</w:t>
      </w:r>
    </w:p>
    <w:p w14:paraId="436ED1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Лично мне реализация образцов и технической помощи по танкам представляется в следующем порядке:</w:t>
      </w:r>
    </w:p>
    <w:p w14:paraId="0D7438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Танкетки Виккерса (Карден-Лойд)</w:t>
      </w:r>
    </w:p>
    <w:p w14:paraId="3EA112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Исполнительный план текущей сметы предусматривает заказ 290 шт. танкеток. Отечественного производства и испытанного образца на сегодняшний день нет. Собственные образцы при самых благоприятных условиях будут готовы только в ноябре месяце.</w:t>
      </w:r>
    </w:p>
    <w:p w14:paraId="444CD6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Полагаю, что, не приостанавливая окончания [подготовки] образца отечественной танкетки, мы можем сейчас же поставить производство танкетки Виккерса Карден-Лойд, так как на этой танкет</w:t>
      </w:r>
      <w:r w:rsidRPr="00507A31">
        <w:rPr>
          <w:color w:val="000000" w:themeColor="text1"/>
          <w:sz w:val="16"/>
          <w:szCs w:val="16"/>
        </w:rPr>
        <w:softHyphen/>
        <w:t>ке мотор и дифференциал - имеющиеся у нас на производстве - это облегчит задачу начать массовое производство немедленно. Образцы танкетки прибудут в конце июня, при получении которых необ</w:t>
      </w:r>
      <w:r w:rsidRPr="00507A31">
        <w:rPr>
          <w:color w:val="000000" w:themeColor="text1"/>
          <w:sz w:val="16"/>
          <w:szCs w:val="16"/>
        </w:rPr>
        <w:softHyphen/>
        <w:t>ходимо один образец немедленно передать промышленности для составления детальных рабочих чертежей, одновременно используя чертежи, которые уже начали поступать от Виккерса.</w:t>
      </w:r>
    </w:p>
    <w:p w14:paraId="52D6BC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Строить танкетку надлежит на Сталинградском тракторном заводе. Данный вопрос мною лично согласовывался с председателем ВАТО т. Осинским, который не возражает против этого.</w:t>
      </w:r>
    </w:p>
    <w:p w14:paraId="131591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 малый б т Виккерса</w:t>
      </w:r>
    </w:p>
    <w:p w14:paraId="3D6ADA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тем, что в настоящее время наша промышленность как это заявляется последней, окан</w:t>
      </w:r>
      <w:r w:rsidRPr="00507A31">
        <w:rPr>
          <w:color w:val="000000" w:themeColor="text1"/>
          <w:sz w:val="16"/>
          <w:szCs w:val="16"/>
        </w:rPr>
        <w:softHyphen/>
        <w:t>чивает проект рабочих чертежей малого танка Т-19 к 1 августа, опытный образец обещает изгото</w:t>
      </w:r>
      <w:r w:rsidRPr="00507A31">
        <w:rPr>
          <w:color w:val="000000" w:themeColor="text1"/>
          <w:sz w:val="16"/>
          <w:szCs w:val="16"/>
        </w:rPr>
        <w:softHyphen/>
        <w:t>вить к 15 декабря, для того, чтобы не провалиться как в сроках изготовления, так и в самой конструк</w:t>
      </w:r>
      <w:r w:rsidRPr="00507A31">
        <w:rPr>
          <w:color w:val="000000" w:themeColor="text1"/>
          <w:sz w:val="16"/>
          <w:szCs w:val="16"/>
        </w:rPr>
        <w:softHyphen/>
        <w:t>ции отечественного танка, необходимо перестраховать себя имеющимся заграничным образцом, купленным у Виккерса, тем более, что образец его придет вперед, чем будет сделан наш опытный отечественный образец. В связи с этим, мною предлагается наметить промышленную базу для по</w:t>
      </w:r>
      <w:r w:rsidRPr="00507A31">
        <w:rPr>
          <w:color w:val="000000" w:themeColor="text1"/>
          <w:sz w:val="16"/>
          <w:szCs w:val="16"/>
        </w:rPr>
        <w:softHyphen/>
        <w:t>стройки малого танка на Челябинском заводе, при проектировании которой предусмотреть, чтобы та или другая система этого танка могла быть принята безболезненно к производству.</w:t>
      </w:r>
    </w:p>
    <w:p w14:paraId="473CB4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Если танк отечественного производства на деле оправдает свою конструкцию и будет соответст</w:t>
      </w:r>
      <w:r w:rsidRPr="00507A31">
        <w:rPr>
          <w:color w:val="000000" w:themeColor="text1"/>
          <w:sz w:val="16"/>
          <w:szCs w:val="16"/>
        </w:rPr>
        <w:softHyphen/>
        <w:t>вовать системе вооружения, тогда сама по себе отпадает необходимость в точном копировании ма</w:t>
      </w:r>
      <w:r w:rsidRPr="00507A31">
        <w:rPr>
          <w:color w:val="000000" w:themeColor="text1"/>
          <w:sz w:val="16"/>
          <w:szCs w:val="16"/>
        </w:rPr>
        <w:softHyphen/>
        <w:t>лого танка Виккерс, и мы тогда используем из него отдельные агрегаты в усовершенствования на</w:t>
      </w:r>
      <w:r w:rsidRPr="00507A31">
        <w:rPr>
          <w:color w:val="000000" w:themeColor="text1"/>
          <w:sz w:val="16"/>
          <w:szCs w:val="16"/>
        </w:rPr>
        <w:softHyphen/>
        <w:t>шей конструкции танка Т-19. Но если у нас с конструкцией отечественного производства обстанов</w:t>
      </w:r>
      <w:r w:rsidRPr="00507A31">
        <w:rPr>
          <w:color w:val="000000" w:themeColor="text1"/>
          <w:sz w:val="16"/>
          <w:szCs w:val="16"/>
        </w:rPr>
        <w:softHyphen/>
        <w:t>ка будет неблагоприятная, то мы механически начнем копировать танк Виккерса, усовершенствуй его в процессе дальнейшего производства.</w:t>
      </w:r>
    </w:p>
    <w:p w14:paraId="7EE212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Одновременно считаю, что если нам придется строить малый танк Виккерса, то у нас, видимо, будет ряд промежуточных производственных ступеней: агрегаты движителя и брони мы, несомнен</w:t>
      </w:r>
      <w:r w:rsidRPr="00507A31">
        <w:rPr>
          <w:color w:val="000000" w:themeColor="text1"/>
          <w:sz w:val="16"/>
          <w:szCs w:val="16"/>
        </w:rPr>
        <w:softHyphen/>
        <w:t>но, безболезненно поставим у себя сразу на производстве, что же касается мотора, то мы впредь до организации моторного производства, можем их купить в Англии или в Америке, так, как это имеет сейчас место в авиации.</w:t>
      </w:r>
    </w:p>
    <w:p w14:paraId="41DDA0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 "Мидиум" 12-тонный Виккерса</w:t>
      </w:r>
    </w:p>
    <w:p w14:paraId="6E6610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со средним танком, с точки зрения отечественного производства, положение об</w:t>
      </w:r>
      <w:r w:rsidRPr="00507A31">
        <w:rPr>
          <w:color w:val="000000" w:themeColor="text1"/>
          <w:sz w:val="16"/>
          <w:szCs w:val="16"/>
        </w:rPr>
        <w:softHyphen/>
        <w:t>стоит наиболее катастрофически. До сих пор опытный образец не закончен и не испытан. Харьковский паровозо-строительный завод пока не подготовлен с точки зрения оборудования и проработки техноло</w:t>
      </w:r>
      <w:r w:rsidRPr="00507A31">
        <w:rPr>
          <w:color w:val="000000" w:themeColor="text1"/>
          <w:sz w:val="16"/>
          <w:szCs w:val="16"/>
        </w:rPr>
        <w:softHyphen/>
        <w:t>гического процесса для того, чтобы выполнить намечаемую программу 1930-31 года в 300 шт. В связи с этим, необходимо себя перестраховать танком Виккерса, но при этом нужно иметь в виду следующее об</w:t>
      </w:r>
      <w:r w:rsidRPr="00507A31">
        <w:rPr>
          <w:color w:val="000000" w:themeColor="text1"/>
          <w:sz w:val="16"/>
          <w:szCs w:val="16"/>
        </w:rPr>
        <w:softHyphen/>
        <w:t>стоятельство: танк Виккерса средний в 12 тонн не предусмотрен по системе вооружения. В этом отноше</w:t>
      </w:r>
      <w:r w:rsidRPr="00507A31">
        <w:rPr>
          <w:color w:val="000000" w:themeColor="text1"/>
          <w:sz w:val="16"/>
          <w:szCs w:val="16"/>
        </w:rPr>
        <w:softHyphen/>
        <w:t>нии у нас принципиальные разногласия с британской армией, что мне удалось выяснить, будучи в Англии.</w:t>
      </w:r>
    </w:p>
    <w:p w14:paraId="5C94DE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Англичане в вопросе среднего танка имеют принципиальную установку добиться максимальной его маневренности. Поэтому они вынуждены были за счет облегчения брони и сокращения базы дать танку своей конструкции скорость в 24 километра, имея при этом максимальный вес в 12 тонн.</w:t>
      </w:r>
    </w:p>
    <w:p w14:paraId="5634AE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 отвергая существующего строящегося образца Т-12, полагал бы перестраховать себя образ</w:t>
      </w:r>
      <w:r w:rsidRPr="00507A31">
        <w:rPr>
          <w:color w:val="000000" w:themeColor="text1"/>
          <w:sz w:val="16"/>
          <w:szCs w:val="16"/>
        </w:rPr>
        <w:softHyphen/>
        <w:t>цом Виккерса, имея в виду его производство на Харьковском заводе там же, где строятся Т-18.</w:t>
      </w:r>
    </w:p>
    <w:p w14:paraId="3E135A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Что же касается вопроса о моторе, то мотор может быть куплен в Англии или использован тот, что проектируется для танка Т-19. В случае же если мотор Т-19 отечественного производства не оп</w:t>
      </w:r>
      <w:r w:rsidRPr="00507A31">
        <w:rPr>
          <w:color w:val="000000" w:themeColor="text1"/>
          <w:sz w:val="16"/>
          <w:szCs w:val="16"/>
        </w:rPr>
        <w:softHyphen/>
        <w:t>равдает себя на деле, то мотор Т-12 Виккерса можно будет использовать для танка Т-19.</w:t>
      </w:r>
    </w:p>
    <w:p w14:paraId="0793B7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Если конструкция танка Т-12 полностью и целиком себя оправдает, тогда от танка Т-12 Виккер</w:t>
      </w:r>
      <w:r w:rsidRPr="00507A31">
        <w:rPr>
          <w:color w:val="000000" w:themeColor="text1"/>
          <w:sz w:val="16"/>
          <w:szCs w:val="16"/>
        </w:rPr>
        <w:softHyphen/>
        <w:t>са следует использовать отдельные агрегаты для усовершенствования конструкции отечественного производства.</w:t>
      </w:r>
    </w:p>
    <w:p w14:paraId="48EE94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этом нужно иметь в виду следующее обстоятельство: если по системе вооружения будет введен Революционным Военным Советом дополнительно 12-тонный танк, то производственную ба</w:t>
      </w:r>
      <w:r w:rsidRPr="00507A31">
        <w:rPr>
          <w:color w:val="000000" w:themeColor="text1"/>
          <w:sz w:val="16"/>
          <w:szCs w:val="16"/>
        </w:rPr>
        <w:softHyphen/>
        <w:t>зу малого и так называемого среднего легкого 12-тонного танка нужно иметь на Челябинском трак</w:t>
      </w:r>
      <w:r w:rsidRPr="00507A31">
        <w:rPr>
          <w:color w:val="000000" w:themeColor="text1"/>
          <w:sz w:val="16"/>
          <w:szCs w:val="16"/>
        </w:rPr>
        <w:softHyphen/>
        <w:t>торном заводе, тем более, что моторы для того и другого танка будут едиными. По этому вопросу я имел совещание с т. Осинским, который в принципе против этого не возражает.</w:t>
      </w:r>
    </w:p>
    <w:p w14:paraId="03CC55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 "Кристи"</w:t>
      </w:r>
    </w:p>
    <w:p w14:paraId="50FABB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 Кристи также не предусматривается нашей системой вооружения. Между прочим, с моей точки зрения, по танку Кристи наиболее легко наладить отечественное производство. Для танка Кри</w:t>
      </w:r>
      <w:r w:rsidRPr="00507A31">
        <w:rPr>
          <w:color w:val="000000" w:themeColor="text1"/>
          <w:sz w:val="16"/>
          <w:szCs w:val="16"/>
        </w:rPr>
        <w:softHyphen/>
        <w:t>сти у нас сейчас уже имеются, нашего отечественного производства, моторы "Либерти". Кроме того, мы от Кристи имеем полную техническую помощь. Кристи должен сдать нам два образца в сентябре.</w:t>
      </w:r>
    </w:p>
    <w:p w14:paraId="3DFC7B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Принимая во внимание, что танк Кристи по своим скоростям перекрывает все танки в мире, что его собираются строить поляки, что если поляки раньше нас наладят производство танка Кристи, то мы можем попасть в очень невыгодное соотношение с точки зрения тактического применения тан</w:t>
      </w:r>
      <w:r w:rsidRPr="00507A31">
        <w:rPr>
          <w:color w:val="000000" w:themeColor="text1"/>
          <w:sz w:val="16"/>
          <w:szCs w:val="16"/>
        </w:rPr>
        <w:softHyphen/>
        <w:t>ковых частей.</w:t>
      </w:r>
    </w:p>
    <w:p w14:paraId="1A1A0A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этим, мною настоятельно предлагается форсировать организацию производства танка Кристи путем сохранения производства мотора Либерти на авиазаводах и подготовки производства прочих агрегатов на Ярославском автомобильном заводе.</w:t>
      </w:r>
    </w:p>
    <w:p w14:paraId="741C60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вопросу производственной базы для танка Кристи достигнуто соглашение с т. Осинским.</w:t>
      </w:r>
    </w:p>
    <w:p w14:paraId="7FA020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Принимая во внимание вышеизложенное, мною предлагается на текущий 1930-31 год дать про</w:t>
      </w:r>
      <w:r w:rsidRPr="00507A31">
        <w:rPr>
          <w:color w:val="000000" w:themeColor="text1"/>
          <w:sz w:val="16"/>
          <w:szCs w:val="16"/>
        </w:rPr>
        <w:softHyphen/>
        <w:t>мышленности задание построить не менее 100 штук танков Кристи.</w:t>
      </w:r>
    </w:p>
    <w:p w14:paraId="3D1E45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Автотягачи</w:t>
      </w:r>
    </w:p>
    <w:p w14:paraId="4D5C42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за границей имеется две точки зрения по вопросу о боевом транспорте со</w:t>
      </w:r>
      <w:r w:rsidRPr="00507A31">
        <w:rPr>
          <w:color w:val="000000" w:themeColor="text1"/>
          <w:sz w:val="16"/>
          <w:szCs w:val="16"/>
        </w:rPr>
        <w:softHyphen/>
        <w:t>провождения.</w:t>
      </w:r>
    </w:p>
    <w:p w14:paraId="677962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Английская армия в вопросе боевого транспорта сопровождения базируется на легком трак</w:t>
      </w:r>
      <w:r w:rsidRPr="00507A31">
        <w:rPr>
          <w:color w:val="000000" w:themeColor="text1"/>
          <w:sz w:val="16"/>
          <w:szCs w:val="16"/>
        </w:rPr>
        <w:softHyphen/>
        <w:t>торе, другими словами, использует для этого шасси легкого танка и танкетки Карден-Лойд. Объяс</w:t>
      </w:r>
      <w:r w:rsidRPr="00507A31">
        <w:rPr>
          <w:color w:val="000000" w:themeColor="text1"/>
          <w:sz w:val="16"/>
          <w:szCs w:val="16"/>
        </w:rPr>
        <w:softHyphen/>
        <w:t>няется это следующими причинами: Англия в своих колониях не имеет хорошо развитой дорожной сети, страхует себя всюду проходимым трактором.</w:t>
      </w:r>
    </w:p>
    <w:p w14:paraId="36CB06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Французская и американская армии в отношении транспорта боевого сопровождения строят свою систему на автотягачах, особенно этим характерна французская армия. У французов разрабо</w:t>
      </w:r>
      <w:r w:rsidRPr="00507A31">
        <w:rPr>
          <w:color w:val="000000" w:themeColor="text1"/>
          <w:sz w:val="16"/>
          <w:szCs w:val="16"/>
        </w:rPr>
        <w:softHyphen/>
        <w:t>тан ряд даже спецконструкций тягачей, как-то: Сомуа, Шенар-Валькер, Ситроен (все эти образцы нами куплены).</w:t>
      </w:r>
    </w:p>
    <w:p w14:paraId="25BE6D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Принимая во внимание наши специфические дорожные условия и вероятные театры военных действий, учитывая также наши промышленные возможности, я полагаю, что мы не можем принять за истину ни английскую, ни французско-американскую системы до производства соответствую</w:t>
      </w:r>
      <w:r w:rsidRPr="00507A31">
        <w:rPr>
          <w:color w:val="000000" w:themeColor="text1"/>
          <w:sz w:val="16"/>
          <w:szCs w:val="16"/>
        </w:rPr>
        <w:softHyphen/>
        <w:t>щих технических и войсковых испытаний.</w:t>
      </w:r>
    </w:p>
    <w:p w14:paraId="157E8E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Однако, может быть даже и бесспорно, что между двумя этими системами у нас будет нечто сре</w:t>
      </w:r>
      <w:r w:rsidRPr="00507A31">
        <w:rPr>
          <w:color w:val="000000" w:themeColor="text1"/>
          <w:sz w:val="16"/>
          <w:szCs w:val="16"/>
        </w:rPr>
        <w:softHyphen/>
        <w:t>днее, т.к. в некотором количестве особых войсковых соединений, как, например, механизирован</w:t>
      </w:r>
      <w:r w:rsidRPr="00507A31">
        <w:rPr>
          <w:color w:val="000000" w:themeColor="text1"/>
          <w:sz w:val="16"/>
          <w:szCs w:val="16"/>
        </w:rPr>
        <w:softHyphen/>
        <w:t>ных бригад, где однородность скоростей боевых машин с машинами транспорта боевого сопровож</w:t>
      </w:r>
      <w:r w:rsidRPr="00507A31">
        <w:rPr>
          <w:color w:val="000000" w:themeColor="text1"/>
          <w:sz w:val="16"/>
          <w:szCs w:val="16"/>
        </w:rPr>
        <w:softHyphen/>
        <w:t>дения категорически необходима, видимо, там нам придется использовать шасси стандартных на</w:t>
      </w:r>
      <w:r w:rsidRPr="00507A31">
        <w:rPr>
          <w:color w:val="000000" w:themeColor="text1"/>
          <w:sz w:val="16"/>
          <w:szCs w:val="16"/>
        </w:rPr>
        <w:softHyphen/>
        <w:t>ших танков, и все остальное видимо придется предусматривать специальным автотягачом, ассимилированы в производстве на наших отечественных автомобильных заводах. Закупленных об</w:t>
      </w:r>
      <w:r w:rsidRPr="00507A31">
        <w:rPr>
          <w:color w:val="000000" w:themeColor="text1"/>
          <w:sz w:val="16"/>
          <w:szCs w:val="16"/>
        </w:rPr>
        <w:softHyphen/>
        <w:t>разцов вполне достаточно для того, чтобы в нынешнем же году определить производственную про</w:t>
      </w:r>
      <w:r w:rsidRPr="00507A31">
        <w:rPr>
          <w:color w:val="000000" w:themeColor="text1"/>
          <w:sz w:val="16"/>
          <w:szCs w:val="16"/>
        </w:rPr>
        <w:softHyphen/>
        <w:t>грамму на таких заводах, как АМО и Ярославский автозавод.</w:t>
      </w:r>
    </w:p>
    <w:p w14:paraId="333DCA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этим после испытаний получаемых автотягачей надлежит сейчас же определить их производственную базу. Таковой, с моей точки зрения, могут являться указанные выше заводы.</w:t>
      </w:r>
    </w:p>
    <w:p w14:paraId="648E77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Одновременно для того, чтобы быстро и наилучшим способом решить вопрос с быстроходным трактором и автотягачами, мною рекомендуется в ВАТО пригласить немецкого конструктора Штумпа, который конструировал быстроходный трактор ЛинкеТофман. Принципиальное согласие пе</w:t>
      </w:r>
      <w:r w:rsidRPr="00507A31">
        <w:rPr>
          <w:color w:val="000000" w:themeColor="text1"/>
          <w:sz w:val="16"/>
          <w:szCs w:val="16"/>
        </w:rPr>
        <w:softHyphen/>
        <w:t>рейти к нам на службу от господина Штумпа есть. Приглашая Штумпа, я полагаю, что последний мо</w:t>
      </w:r>
      <w:r w:rsidRPr="00507A31">
        <w:rPr>
          <w:color w:val="000000" w:themeColor="text1"/>
          <w:sz w:val="16"/>
          <w:szCs w:val="16"/>
        </w:rPr>
        <w:softHyphen/>
        <w:t>жет разработать специальную гусеницу для трактора "Интернационал" по примеру того, как он это сделал к сельскохозяйственному трактору ЛикеТофман.</w:t>
      </w:r>
    </w:p>
    <w:p w14:paraId="488686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Трехосные машины</w:t>
      </w:r>
    </w:p>
    <w:p w14:paraId="6BED3F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тем, что заключено соглашение с американской фирмой Тимкен о переконструирова</w:t>
      </w:r>
      <w:r w:rsidRPr="00507A31">
        <w:rPr>
          <w:color w:val="000000" w:themeColor="text1"/>
          <w:sz w:val="16"/>
          <w:szCs w:val="16"/>
        </w:rPr>
        <w:softHyphen/>
        <w:t>нии Форда в трехосную машину, необходимо подготовить промышленную базу для постройки зад</w:t>
      </w:r>
      <w:r w:rsidRPr="00507A31">
        <w:rPr>
          <w:color w:val="000000" w:themeColor="text1"/>
          <w:sz w:val="16"/>
          <w:szCs w:val="16"/>
        </w:rPr>
        <w:softHyphen/>
        <w:t>них мостов к стандартному Форду.</w:t>
      </w:r>
    </w:p>
    <w:p w14:paraId="079CCA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такой промышленной базы нет. На Нижегородском заводе задние мосты для трехосного Форда строить нельзя, ибо завод проектируется под стандартный Форд по точной систе</w:t>
      </w:r>
      <w:r w:rsidRPr="00507A31">
        <w:rPr>
          <w:color w:val="000000" w:themeColor="text1"/>
          <w:sz w:val="16"/>
          <w:szCs w:val="16"/>
        </w:rPr>
        <w:softHyphen/>
        <w:t>ме, и наладить какое-либо смешанное производство чрезвычайно трудная задача, даже Генри Форд не имеет смешанного производства,</w:t>
      </w:r>
    </w:p>
    <w:p w14:paraId="251483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этим мною предлагается подготовить промышленную базу для задних мостов трехос</w:t>
      </w:r>
      <w:r w:rsidRPr="00507A31">
        <w:rPr>
          <w:color w:val="000000" w:themeColor="text1"/>
          <w:sz w:val="16"/>
          <w:szCs w:val="16"/>
        </w:rPr>
        <w:softHyphen/>
        <w:t>ного Форда на сборочном автомобильном заводе "Гудок Октября". Там же, может быть, придется по</w:t>
      </w:r>
      <w:r w:rsidRPr="00507A31">
        <w:rPr>
          <w:color w:val="000000" w:themeColor="text1"/>
          <w:sz w:val="16"/>
          <w:szCs w:val="16"/>
        </w:rPr>
        <w:softHyphen/>
        <w:t>ставить производство не только ведущих задних две оси для Форда, но и ведущую переднюю ось. По этому вопросу имеется также принципиальное согласие т. Осинского.</w:t>
      </w:r>
    </w:p>
    <w:p w14:paraId="1EF585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Одновременно с этим нам нужно иметь в виду следующее обстоятельство: поскольку производ</w:t>
      </w:r>
      <w:r w:rsidRPr="00507A31">
        <w:rPr>
          <w:color w:val="000000" w:themeColor="text1"/>
          <w:sz w:val="16"/>
          <w:szCs w:val="16"/>
        </w:rPr>
        <w:softHyphen/>
        <w:t>ство трехосного Форда у нас не налажено, а в этих машинах ощущается архиострая нужда, мною ре</w:t>
      </w:r>
      <w:r w:rsidRPr="00507A31">
        <w:rPr>
          <w:color w:val="000000" w:themeColor="text1"/>
          <w:sz w:val="16"/>
          <w:szCs w:val="16"/>
        </w:rPr>
        <w:softHyphen/>
        <w:t>комендуется, если конструкция Тимкен оправдается на деле, - купить в Америке у Тимкена 1000 ком</w:t>
      </w:r>
      <w:r w:rsidRPr="00507A31">
        <w:rPr>
          <w:color w:val="000000" w:themeColor="text1"/>
          <w:sz w:val="16"/>
          <w:szCs w:val="16"/>
        </w:rPr>
        <w:softHyphen/>
        <w:t>плектов задних мостов и подвесок, а у себя поставить сборку с октября текущего года, под стан</w:t>
      </w:r>
      <w:r w:rsidRPr="00507A31">
        <w:rPr>
          <w:color w:val="000000" w:themeColor="text1"/>
          <w:sz w:val="16"/>
          <w:szCs w:val="16"/>
        </w:rPr>
        <w:softHyphen/>
        <w:t>дартного Форда. Если мы у Тимкена купим 1000 комплектов, мы можем получить техническое содействие в виде всех чертежей для трехосного Форда. В связи с этим, надлежит поручить ВАТО ве</w:t>
      </w:r>
      <w:r w:rsidRPr="00507A31">
        <w:rPr>
          <w:color w:val="000000" w:themeColor="text1"/>
          <w:sz w:val="16"/>
          <w:szCs w:val="16"/>
        </w:rPr>
        <w:softHyphen/>
        <w:t>сти дальнейшие переговоры с фирмой Тимкен, с фирмой Ситроен и фирмой Сомуа с целью добить</w:t>
      </w:r>
      <w:r w:rsidRPr="00507A31">
        <w:rPr>
          <w:color w:val="000000" w:themeColor="text1"/>
          <w:sz w:val="16"/>
          <w:szCs w:val="16"/>
        </w:rPr>
        <w:softHyphen/>
        <w:t>ся технической помощи, что наилучшим образом ускорит как создание конструкций, так и органи</w:t>
      </w:r>
      <w:r w:rsidRPr="00507A31">
        <w:rPr>
          <w:color w:val="000000" w:themeColor="text1"/>
          <w:sz w:val="16"/>
          <w:szCs w:val="16"/>
        </w:rPr>
        <w:softHyphen/>
        <w:t>зацию производства трехосного Форда, Форда на Кегрессах и автокара на гусеничном ходу Сомуа.</w:t>
      </w:r>
    </w:p>
    <w:p w14:paraId="4BFC89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заключение, для конкретной проработки и увязки с промышленностью всех вопросов по из</w:t>
      </w:r>
      <w:r w:rsidRPr="00507A31">
        <w:rPr>
          <w:color w:val="000000" w:themeColor="text1"/>
          <w:sz w:val="16"/>
          <w:szCs w:val="16"/>
        </w:rPr>
        <w:softHyphen/>
        <w:t>ложенной мною выше программе, прошу назначения комиссии под председательством Вашего заместителя т. Уборевича, члена РВС т. Постникова и начальника Управления по механизации и мотори</w:t>
      </w:r>
      <w:r w:rsidRPr="00507A31">
        <w:rPr>
          <w:color w:val="000000" w:themeColor="text1"/>
          <w:sz w:val="16"/>
          <w:szCs w:val="16"/>
        </w:rPr>
        <w:softHyphen/>
        <w:t>зации РККА и начальника Штаба РККА, с привлечением заинтересованных лиц.</w:t>
      </w:r>
    </w:p>
    <w:p w14:paraId="322FE8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Комиссии надлежит закончить работу в декадный срок и свои решения с предварительного Ва</w:t>
      </w:r>
      <w:r w:rsidRPr="00507A31">
        <w:rPr>
          <w:color w:val="000000" w:themeColor="text1"/>
          <w:sz w:val="16"/>
          <w:szCs w:val="16"/>
        </w:rPr>
        <w:softHyphen/>
        <w:t>шего утверждения представить комиссии т. Орджоникидзе.</w:t>
      </w:r>
    </w:p>
    <w:p w14:paraId="72F9EC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УММ РККА Халепский</w:t>
      </w:r>
    </w:p>
    <w:p w14:paraId="78FA69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РГВАФ. 31811. Оп. 1. Д. 7.Л. 35-47. Копия (11210)</w:t>
      </w:r>
    </w:p>
    <w:p w14:paraId="39B57D0C" w14:textId="77777777" w:rsidR="00537E5F" w:rsidRPr="00507A31" w:rsidRDefault="00537E5F" w:rsidP="00507A31">
      <w:pPr>
        <w:autoSpaceDE w:val="0"/>
        <w:autoSpaceDN w:val="0"/>
        <w:adjustRightInd w:val="0"/>
        <w:jc w:val="both"/>
        <w:rPr>
          <w:color w:val="000000" w:themeColor="text1"/>
          <w:sz w:val="16"/>
          <w:szCs w:val="16"/>
        </w:rPr>
      </w:pPr>
    </w:p>
    <w:p w14:paraId="028B15CC" w14:textId="77777777" w:rsidR="001058FB" w:rsidRPr="00507A31" w:rsidRDefault="001058FB" w:rsidP="00507A31">
      <w:pPr>
        <w:jc w:val="both"/>
        <w:rPr>
          <w:bCs/>
          <w:iCs/>
          <w:color w:val="000000" w:themeColor="text1"/>
          <w:sz w:val="16"/>
          <w:szCs w:val="16"/>
        </w:rPr>
      </w:pPr>
      <w:r w:rsidRPr="00507A31">
        <w:rPr>
          <w:color w:val="000000" w:themeColor="text1"/>
          <w:sz w:val="16"/>
          <w:szCs w:val="16"/>
        </w:rPr>
        <w:t>6 июня 1930</w:t>
      </w:r>
    </w:p>
    <w:p w14:paraId="2CCFDDD2" w14:textId="77777777" w:rsidR="001058FB" w:rsidRPr="00507A31" w:rsidRDefault="001058FB" w:rsidP="00507A31">
      <w:pPr>
        <w:jc w:val="both"/>
        <w:rPr>
          <w:color w:val="000000" w:themeColor="text1"/>
          <w:sz w:val="16"/>
          <w:szCs w:val="16"/>
        </w:rPr>
      </w:pPr>
      <w:r w:rsidRPr="00507A31">
        <w:rPr>
          <w:bCs/>
          <w:iCs/>
          <w:color w:val="000000" w:themeColor="text1"/>
          <w:sz w:val="16"/>
          <w:szCs w:val="16"/>
        </w:rPr>
        <w:t>РГВА Фонд 31811 Опись 1 Дело 38 лист 38</w:t>
      </w:r>
      <w:r w:rsidRPr="00507A31">
        <w:rPr>
          <w:color w:val="000000" w:themeColor="text1"/>
          <w:sz w:val="16"/>
          <w:szCs w:val="16"/>
        </w:rPr>
        <w:t xml:space="preserve"> </w:t>
      </w:r>
    </w:p>
    <w:p w14:paraId="3D7D894C"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Сов.Секретно. </w:t>
      </w:r>
    </w:p>
    <w:p w14:paraId="14090872"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Экз. № ___ </w:t>
      </w:r>
    </w:p>
    <w:p w14:paraId="3995BD1B"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6 июня 1930 г. </w:t>
      </w:r>
    </w:p>
    <w:p w14:paraId="4084776C"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 900546 </w:t>
      </w:r>
    </w:p>
    <w:p w14:paraId="34E63012" w14:textId="77777777" w:rsidR="001058FB" w:rsidRPr="00507A31" w:rsidRDefault="001058FB" w:rsidP="00507A31">
      <w:pPr>
        <w:jc w:val="both"/>
        <w:rPr>
          <w:color w:val="000000" w:themeColor="text1"/>
          <w:sz w:val="16"/>
          <w:szCs w:val="16"/>
        </w:rPr>
      </w:pPr>
      <w:r w:rsidRPr="00507A31">
        <w:rPr>
          <w:color w:val="000000" w:themeColor="text1"/>
          <w:sz w:val="16"/>
          <w:szCs w:val="16"/>
        </w:rPr>
        <w:t>НАРОДНОМУ КОМИССАРУ ПО ВОЕННЫМ И МОРСКИМ ДЕЛАМ</w:t>
      </w:r>
    </w:p>
    <w:p w14:paraId="7DCEE11A" w14:textId="77777777" w:rsidR="001058FB" w:rsidRPr="00507A31" w:rsidRDefault="001058FB" w:rsidP="00507A31">
      <w:pPr>
        <w:jc w:val="both"/>
        <w:rPr>
          <w:color w:val="000000" w:themeColor="text1"/>
          <w:sz w:val="16"/>
          <w:szCs w:val="16"/>
        </w:rPr>
      </w:pPr>
      <w:r w:rsidRPr="00507A31">
        <w:rPr>
          <w:color w:val="000000" w:themeColor="text1"/>
          <w:sz w:val="16"/>
          <w:szCs w:val="16"/>
        </w:rPr>
        <w:t>И ПРЕДСЕДАТЕЛЮ РВС С.С.С.Р.</w:t>
      </w:r>
    </w:p>
    <w:p w14:paraId="049E95FD"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При сем представляю отчетный доклад по заграничной моей командировке. В докладе мною сделаны выводы с предварительным планом реализации закупленных образцов и тех. помощи. </w:t>
      </w:r>
    </w:p>
    <w:p w14:paraId="52ECC1FB"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ПРИЛОЖЕНИЕ: Доклад на 22 лист. </w:t>
      </w:r>
    </w:p>
    <w:p w14:paraId="5FDAA76D" w14:textId="77777777" w:rsidR="001058FB" w:rsidRPr="00507A31" w:rsidRDefault="001058FB" w:rsidP="00507A31">
      <w:pPr>
        <w:jc w:val="both"/>
        <w:rPr>
          <w:color w:val="000000" w:themeColor="text1"/>
          <w:sz w:val="16"/>
          <w:szCs w:val="16"/>
        </w:rPr>
      </w:pPr>
      <w:r w:rsidRPr="00507A31">
        <w:rPr>
          <w:color w:val="000000" w:themeColor="text1"/>
          <w:sz w:val="16"/>
          <w:szCs w:val="16"/>
        </w:rPr>
        <w:t>п/п Н-к УММ РККА (Халепский)</w:t>
      </w:r>
    </w:p>
    <w:p w14:paraId="6255FA5B" w14:textId="77777777" w:rsidR="001058FB" w:rsidRPr="00507A31" w:rsidRDefault="001058FB" w:rsidP="00507A31">
      <w:pPr>
        <w:jc w:val="both"/>
        <w:rPr>
          <w:color w:val="000000" w:themeColor="text1"/>
          <w:sz w:val="16"/>
          <w:szCs w:val="16"/>
        </w:rPr>
      </w:pPr>
      <w:r w:rsidRPr="00507A31">
        <w:rPr>
          <w:color w:val="000000" w:themeColor="text1"/>
          <w:sz w:val="16"/>
          <w:szCs w:val="16"/>
        </w:rPr>
        <w:lastRenderedPageBreak/>
        <w:t xml:space="preserve">Отп. 2 экз. </w:t>
      </w:r>
    </w:p>
    <w:p w14:paraId="17725545"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экз. № 1 – Наркому </w:t>
      </w:r>
    </w:p>
    <w:p w14:paraId="183DF43D"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экз. № 2 – в деле. </w:t>
      </w:r>
    </w:p>
    <w:p w14:paraId="1BCF762B" w14:textId="77777777" w:rsidR="001058FB" w:rsidRPr="00507A31" w:rsidRDefault="001058FB" w:rsidP="00507A31">
      <w:pPr>
        <w:jc w:val="both"/>
        <w:rPr>
          <w:color w:val="000000" w:themeColor="text1"/>
          <w:sz w:val="16"/>
          <w:szCs w:val="16"/>
        </w:rPr>
      </w:pPr>
      <w:r w:rsidRPr="00507A31">
        <w:rPr>
          <w:bCs/>
          <w:iCs/>
          <w:color w:val="000000" w:themeColor="text1"/>
          <w:sz w:val="16"/>
          <w:szCs w:val="16"/>
        </w:rPr>
        <w:t>РГВА Фонд 31811 Опись 1 Дело 38 лист 39 – 53</w:t>
      </w:r>
      <w:r w:rsidRPr="00507A31">
        <w:rPr>
          <w:color w:val="000000" w:themeColor="text1"/>
          <w:sz w:val="16"/>
          <w:szCs w:val="16"/>
        </w:rPr>
        <w:t xml:space="preserve"> </w:t>
      </w:r>
    </w:p>
    <w:p w14:paraId="00F51755"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Сов.Секретно. </w:t>
      </w:r>
    </w:p>
    <w:p w14:paraId="558CC4D6"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Экз. № 6 </w:t>
      </w:r>
    </w:p>
    <w:p w14:paraId="14681EFC" w14:textId="77777777" w:rsidR="001058FB" w:rsidRPr="00507A31" w:rsidRDefault="001058FB" w:rsidP="00507A31">
      <w:pPr>
        <w:jc w:val="both"/>
        <w:rPr>
          <w:color w:val="000000" w:themeColor="text1"/>
          <w:sz w:val="16"/>
          <w:szCs w:val="16"/>
        </w:rPr>
      </w:pPr>
      <w:r w:rsidRPr="00507A31">
        <w:rPr>
          <w:color w:val="000000" w:themeColor="text1"/>
          <w:sz w:val="16"/>
          <w:szCs w:val="16"/>
        </w:rPr>
        <w:t>НАРОДНОМУ КОМИССАРУ ПО ВОЕННЫМ И МОРСКИМ ДЕЛАМ</w:t>
      </w:r>
    </w:p>
    <w:p w14:paraId="7979754C"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И ПРЕДСЕДАТЕЛЮ РВС С.С.С.Р. </w:t>
      </w:r>
    </w:p>
    <w:p w14:paraId="4395D6F3" w14:textId="77777777" w:rsidR="001058FB" w:rsidRPr="00507A31" w:rsidRDefault="001058FB" w:rsidP="00507A31">
      <w:pPr>
        <w:jc w:val="both"/>
        <w:rPr>
          <w:color w:val="000000" w:themeColor="text1"/>
          <w:sz w:val="16"/>
          <w:szCs w:val="16"/>
        </w:rPr>
      </w:pPr>
      <w:r w:rsidRPr="00507A31">
        <w:rPr>
          <w:color w:val="000000" w:themeColor="text1"/>
          <w:sz w:val="16"/>
          <w:szCs w:val="16"/>
        </w:rPr>
        <w:t>ОТЧЕТ</w:t>
      </w:r>
    </w:p>
    <w:p w14:paraId="6664094F" w14:textId="77777777" w:rsidR="001058FB" w:rsidRPr="00507A31" w:rsidRDefault="001058FB" w:rsidP="00507A31">
      <w:pPr>
        <w:jc w:val="both"/>
        <w:rPr>
          <w:color w:val="000000" w:themeColor="text1"/>
          <w:sz w:val="16"/>
          <w:szCs w:val="16"/>
        </w:rPr>
      </w:pPr>
      <w:r w:rsidRPr="00507A31">
        <w:rPr>
          <w:color w:val="000000" w:themeColor="text1"/>
          <w:sz w:val="16"/>
          <w:szCs w:val="16"/>
        </w:rPr>
        <w:t>ПО ЗАГРАНИЧНОЙ КОМАНДИРОВКЕ Н-КА У.М.М. РККА</w:t>
      </w:r>
    </w:p>
    <w:p w14:paraId="26C5FE28" w14:textId="77777777" w:rsidR="001058FB" w:rsidRPr="00507A31" w:rsidRDefault="001058FB" w:rsidP="00507A31">
      <w:pPr>
        <w:jc w:val="both"/>
        <w:rPr>
          <w:color w:val="000000" w:themeColor="text1"/>
          <w:sz w:val="16"/>
          <w:szCs w:val="16"/>
        </w:rPr>
      </w:pPr>
      <w:r w:rsidRPr="00507A31">
        <w:rPr>
          <w:color w:val="000000" w:themeColor="text1"/>
          <w:sz w:val="16"/>
          <w:szCs w:val="16"/>
        </w:rPr>
        <w:t>и ПРЕДСЕДАТЕЛЯ КОМИССИИ – И. ХАЛЕПСКОГО.</w:t>
      </w:r>
    </w:p>
    <w:p w14:paraId="14B411EF"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ВСТУПЛЕНИЕ:</w:t>
      </w:r>
      <w:r w:rsidRPr="00507A31">
        <w:rPr>
          <w:color w:val="000000" w:themeColor="text1"/>
          <w:sz w:val="16"/>
          <w:szCs w:val="16"/>
        </w:rPr>
        <w:t xml:space="preserve"> В конце ноября 1929 г., в связи с отставанием промышленности в разработке конструкции образцов всех типов танков, отвечающих принятой системе вооружения Реввоенсоветом Союза, Народным Комиссаром и Председателем Революционного Военного Совета Союза тов. ВОРОШИЛОВЫМ был сделан доклад в директивном органе. В заседании последнего поручено комиссии т. ОРДЖОНИКИДЗЕ разработать ряд конкретных мероприятий. В заседании 5-го декабря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танков, арттягачей и получения технической помощи по вышеуказанным объектам. В последующем заседании директивного органа принятое постановление комиссией тов. ОРДЖОНИКИДЗЕ утверждено. На основании которого, по заданию Народного Комиссара тов. ВОРОШИЛОВА Штабом Р.К.К.А. с участием Н-ка УММ и Н-ка Вооружений разработан план поездки комиссии заграницу. План поездки 27.XII.29 г. утвержден Наркомом тов. ВОРОШИЛОВЫМ. 30.XII.29 г. комиссия выехала заграницу. </w:t>
      </w:r>
    </w:p>
    <w:p w14:paraId="5B20C9A6"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Согласно утвержденного плана, комиссией посещены следующие страны: Германия, Чехо-Словакия, Франция, Англия и Америка. </w:t>
      </w:r>
    </w:p>
    <w:p w14:paraId="13E4DE9E"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О ВЫПОЛНЕННЫХ ЗАДАНИЯХ КОМИССИЕЙ.</w:t>
      </w:r>
      <w:r w:rsidRPr="00507A31">
        <w:rPr>
          <w:color w:val="000000" w:themeColor="text1"/>
          <w:sz w:val="16"/>
          <w:szCs w:val="16"/>
        </w:rPr>
        <w:t xml:space="preserve"> </w:t>
      </w:r>
    </w:p>
    <w:p w14:paraId="4E3D09CC" w14:textId="77777777" w:rsidR="001058FB" w:rsidRPr="00507A31" w:rsidRDefault="001058FB" w:rsidP="00507A31">
      <w:pPr>
        <w:jc w:val="both"/>
        <w:rPr>
          <w:color w:val="000000" w:themeColor="text1"/>
          <w:sz w:val="16"/>
          <w:szCs w:val="16"/>
          <w:u w:val="single"/>
        </w:rPr>
      </w:pPr>
      <w:r w:rsidRPr="00507A31">
        <w:rPr>
          <w:color w:val="000000" w:themeColor="text1"/>
          <w:sz w:val="16"/>
          <w:szCs w:val="16"/>
          <w:u w:val="single"/>
        </w:rPr>
        <w:t>ГЕРМАНИЯ.</w:t>
      </w:r>
    </w:p>
    <w:p w14:paraId="16ADAC02"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а) ФИРМА "МАФАЙ"</w:t>
      </w:r>
    </w:p>
    <w:p w14:paraId="1FAC747D"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По заданию Рейхсвера фирмой разработана специальная конструкция к стандартному авто-грузовику "Мафай" в гусеничный движитель. Таким образом, авто-грузовик превращен в арттягач. </w:t>
      </w:r>
    </w:p>
    <w:p w14:paraId="35FD95E2"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Настоящей конструкцией немцы удачно разрешили задачу использования обычного автомобильного грузовика для целей передвижения полевой артиллерии по бездорожью, ибо данная машина с мотором 60 лошадиных сил позволяет иметь прицепной груз до 5 тонн и преодолевает препятствия с углом подъема до 45˚, причем дает скорость 15 – 16 километров, а при благоприятных дорожных условиях на поднятых гусеничных ходах 35 – 40 километров. </w:t>
      </w:r>
    </w:p>
    <w:p w14:paraId="5C6BDAF6"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Арттягач "Мафай" закуплен как образец для цели использования его конструкции гусеничных движителей на машинах нашего стандартного производства "АМО 1", "АМО 2" и "Я-3". Прибытие арттягача ожидается в конце июня с.г. </w:t>
      </w:r>
    </w:p>
    <w:p w14:paraId="30BC03BB"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Если нам удастся конструкцию "Мафай" (гусеничный движитель) внедрить в наше производство для вышеуказанных типов автомашин, мы сможем при мобилизации гражданского автогрузового транспорта, в военное время превратить обычные машины в вездеходы, что и преследуют своей конструкцией немцы. </w:t>
      </w:r>
    </w:p>
    <w:p w14:paraId="37E7FA25"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ПРИЛОЖЕНИЕ:</w:t>
      </w:r>
      <w:r w:rsidRPr="00507A31">
        <w:rPr>
          <w:color w:val="000000" w:themeColor="text1"/>
          <w:sz w:val="16"/>
          <w:szCs w:val="16"/>
        </w:rPr>
        <w:t xml:space="preserve"> Фотографии. </w:t>
      </w:r>
    </w:p>
    <w:p w14:paraId="597435C8"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б) ФИРМА "ЛИНКЕ-ГОФМАН".</w:t>
      </w:r>
    </w:p>
    <w:p w14:paraId="5A40196A"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У данной фирмы куплены 2 образца быстроходного трактора. В своей конструкции этот трактор есть ничто иное, как сельскохозяйственный трактор, только модифицирован в конструкции своих гусениц. Изменением передаточных отношений в коробке скоростей и дифференциале, переходом от крупнозвенчатой на мелкозвенчатую гусеницу, скорость движения трактора повысилась до 25 – 30 километров с 12 километров. </w:t>
      </w:r>
    </w:p>
    <w:p w14:paraId="681BD697"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Конструкция трактора "Линке-Гофман" является доказательством того, как немцы умеют ассимилировать сельскохозяйственный тип трактора в специальный арт трактор без болезненных производственных процессов, что самым решительным образом опровергалось нашей промышленностью. </w:t>
      </w:r>
    </w:p>
    <w:p w14:paraId="0F044BF4"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Приобретенные образцы будут служить фактором, как и каким образом ассимилировать сельскохозяйственные тракторы на военное время нашей промышленностью. </w:t>
      </w:r>
    </w:p>
    <w:p w14:paraId="32E2951A"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Прибытие образцов тракторов "Линке-Гофман" ожидается в конце июня с.г. </w:t>
      </w:r>
    </w:p>
    <w:p w14:paraId="397EC888"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ЧЕХО-СЛОВАКИЯ.</w:t>
      </w:r>
    </w:p>
    <w:p w14:paraId="4FDFEB30"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В Чехо-Словакии комиссия имела своей целью связаться с фирмой ШКОДА по вопросу закупки их танков. При переговорах с данной фирмой выяснилось, что фирма контролируется французской фирмой ШНЕЙДЕР КРЕЗО. Фирма ШКОДА уклонилась от своих предложений, отказавшись показать производство и демонстрировать какие-либо типы. </w:t>
      </w:r>
    </w:p>
    <w:p w14:paraId="5C4E6BD9" w14:textId="77777777" w:rsidR="001058FB" w:rsidRPr="00507A31" w:rsidRDefault="001058FB" w:rsidP="00507A31">
      <w:pPr>
        <w:jc w:val="both"/>
        <w:rPr>
          <w:color w:val="000000" w:themeColor="text1"/>
          <w:sz w:val="16"/>
          <w:szCs w:val="16"/>
          <w:u w:val="single"/>
        </w:rPr>
      </w:pPr>
      <w:r w:rsidRPr="00507A31">
        <w:rPr>
          <w:color w:val="000000" w:themeColor="text1"/>
          <w:sz w:val="16"/>
          <w:szCs w:val="16"/>
          <w:u w:val="single"/>
        </w:rPr>
        <w:t>ФРАНЦИЯ.</w:t>
      </w:r>
    </w:p>
    <w:p w14:paraId="478C54C0"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а) ФИРМА "САМУА"</w:t>
      </w:r>
    </w:p>
    <w:p w14:paraId="6D9C1952"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Настоящая фирма входит в объединение КРЕЗО-ШНЕЙДЕР и имеет разработанный тип арттягача, сконструированного по техническим условиям французского военного ведомства. Данный тип арттягача закуплен в количестве 10 штук. Срок поставки 7 месяцев. </w:t>
      </w:r>
    </w:p>
    <w:p w14:paraId="18845B3F"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Нужно полагать, что французская армия, задавшись целью сконструировать настоящие тягачи намеревалась заменить быстроходный трактор, который более громоздок и менее удобен с точки зрения тактического применения в армии. Нужно признать, что французская армия, имея конструкцию "Сомуа", разрешила удачно вопрос использования стандартного грузовика "Сомуа" как арттягача, вездехода и противотанка. Особенности конструкции арттягача "Сомуа" заключаются в следующем: </w:t>
      </w:r>
    </w:p>
    <w:p w14:paraId="28AD4E7D"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1) При незначительной мощности мотора в 50 – 60 лошадиных сил, арттягач имеет скорость 40 – 45 километров. </w:t>
      </w:r>
    </w:p>
    <w:p w14:paraId="1BA8D9A5"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2) При самых неблагоприятно трудных дорожных условиях (канавы, наполненные в 1 метр глубиной водой, сплошные ухабы и непролазная грязь, сырой сплошной суглинок) с прицепом груза до 4-х тонн машина шла со скоростью от 10 до 15 километров. </w:t>
      </w:r>
    </w:p>
    <w:p w14:paraId="37B24650"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Хорошая проходимость машин обуславливается специальной конструкцией гусеничного резинового хода и особой конструкцией управления, по принципу управления танком во время преодоления препятствий, как то: канав, рвов и проч. </w:t>
      </w:r>
    </w:p>
    <w:p w14:paraId="4D404DD1"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Приобретение образцов арттягачей фирмы "Сомуа" будет являться большим вкладом для нашей конструкторско-технической мысли. </w:t>
      </w:r>
    </w:p>
    <w:p w14:paraId="36F63433"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У фирмы мною консультировался вопрос: возможно ли конструкцию движителей приспособить к нашей стандартной машине "АМО 2", на что я получил положительный ответ. </w:t>
      </w:r>
    </w:p>
    <w:p w14:paraId="1E3D6A3C"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Перед фирмой мною поставлен вопрос о технической помощи не на машину в целом, а только на движители и задний мост. В начале фирма к этому отнеслась отрицательно, но при отъезде моем директор фирмы "Сомуа" заявил, что он еще раз вопрос этот продумал и лично не возражает, но окончательное решение будет зависеть от концерна "КРЕЗО-ШНЕЙДЕР", куда он передал этот вопрос на обсуждение. </w:t>
      </w:r>
    </w:p>
    <w:p w14:paraId="3521543E"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б) ФИРМА "ШЕНАР-ВАЛЬКЕР".</w:t>
      </w:r>
    </w:p>
    <w:p w14:paraId="5AA99D32"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У данной фирмы закуплен образец 3-х осного автотягача. Конструкция интересна в отношении подвески задних осей. Тягач имеет большую проходимость по бездорожью с большим тяговым грузом на крюке. </w:t>
      </w:r>
    </w:p>
    <w:p w14:paraId="38007CBA"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Конструкция автотягача "Шенар-Валькер" может служить материалом для конструкторского бюро для превращения нормального типа "АМО 2" и "Я-3" как тягачей. </w:t>
      </w:r>
    </w:p>
    <w:p w14:paraId="05BDC530"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в) ФИРМА "СИТРОЕН".</w:t>
      </w:r>
    </w:p>
    <w:p w14:paraId="5C427F34"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У фирмы куплена последняя конструкция автомашин "Ситроен" с гусеничным ходом "Кегресс". Гусеничные хода Кегресса, по заявлению конструктора Кегресса, могут быть приспособлены под тип машин "Форд". На эту тему с Ситроеном велись переговоры. Ситроен в принципе не возражает оказать нам техническую помощь, но требования, выставленные со стороны фирмы о праве лицензии, о сроках организации производства у нас являются для нас неприемлемыми. Переговоры с фирмой не закончены и продолжаются ВАТО. </w:t>
      </w:r>
    </w:p>
    <w:p w14:paraId="7E16D3A4"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г) ФИРМА "РЕНО" и "КРЕЗО ШНЕЙДЕР".</w:t>
      </w:r>
    </w:p>
    <w:p w14:paraId="4CC22E0B"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Данные фирмы на наше предложение продать нам образцы танков или целую партию отказались. Между прочим, в настоящее время французская армия имеет новый тип танка с мотором "Рено", движителями Кегресса, броней Крезо-Шнейдер. По непроверенным данным, указанный тип танка имеет скорость 30 километров. Кроме того, в настоящее время модернизируется старый тип танка "Рено". Французы добиваются увеличить его скорость до 12 километров. </w:t>
      </w:r>
    </w:p>
    <w:p w14:paraId="506D3263" w14:textId="77777777" w:rsidR="001058FB" w:rsidRPr="00507A31" w:rsidRDefault="001058FB" w:rsidP="00507A31">
      <w:pPr>
        <w:jc w:val="both"/>
        <w:rPr>
          <w:color w:val="000000" w:themeColor="text1"/>
          <w:sz w:val="16"/>
          <w:szCs w:val="16"/>
          <w:u w:val="single"/>
        </w:rPr>
      </w:pPr>
      <w:r w:rsidRPr="00507A31">
        <w:rPr>
          <w:color w:val="000000" w:themeColor="text1"/>
          <w:sz w:val="16"/>
          <w:szCs w:val="16"/>
          <w:u w:val="single"/>
        </w:rPr>
        <w:t>АНГЛИЯ.</w:t>
      </w:r>
    </w:p>
    <w:p w14:paraId="0832EA5E"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а) ФИРМА "ВИККЕРС".</w:t>
      </w:r>
    </w:p>
    <w:p w14:paraId="2455C8EE"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Согласно утвержденной программы, комиссии надлежало купить образцы танкетки, малого танка, танка "Мидиум" и большого танка. Закуплены образцы 20-ти танкеток со сроками поставки: 5 – в мае, 4 – в июне, 4 – в июле, 4 – в августе и 3 в сентябре. </w:t>
      </w:r>
    </w:p>
    <w:p w14:paraId="0A0A0F75"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Малых танков закуплено 15.</w:t>
      </w:r>
      <w:r w:rsidRPr="00507A31">
        <w:rPr>
          <w:color w:val="000000" w:themeColor="text1"/>
          <w:sz w:val="16"/>
          <w:szCs w:val="16"/>
        </w:rPr>
        <w:t xml:space="preserve"> Сроки поставки: в сентябре – 1 в октябре – 4, в ноябре – 4, в декабре – 4 и январе – 2. </w:t>
      </w:r>
    </w:p>
    <w:p w14:paraId="3EFFA96F"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"Мидиум" танков закуплено 15.</w:t>
      </w:r>
      <w:r w:rsidRPr="00507A31">
        <w:rPr>
          <w:color w:val="000000" w:themeColor="text1"/>
          <w:sz w:val="16"/>
          <w:szCs w:val="16"/>
        </w:rPr>
        <w:t xml:space="preserve"> Сроки поставки: в октябре – 1, в ноябре – 2, в декабре – 2, в январе – 2, в феврале – 2, в марте – 2, в апреле – 2, в мае – 2. </w:t>
      </w:r>
    </w:p>
    <w:p w14:paraId="7113EE6C" w14:textId="77777777" w:rsidR="001058FB" w:rsidRPr="00507A31" w:rsidRDefault="001058FB" w:rsidP="00507A31">
      <w:pPr>
        <w:jc w:val="both"/>
        <w:rPr>
          <w:color w:val="000000" w:themeColor="text1"/>
          <w:sz w:val="16"/>
          <w:szCs w:val="16"/>
        </w:rPr>
      </w:pPr>
      <w:r w:rsidRPr="00507A31">
        <w:rPr>
          <w:color w:val="000000" w:themeColor="text1"/>
          <w:sz w:val="16"/>
          <w:szCs w:val="16"/>
        </w:rPr>
        <w:lastRenderedPageBreak/>
        <w:t xml:space="preserve">Все вышеуказанные типы танков в основном отвечают принятой системе вооружения нашей армии, за исключением толщины брони. Броня "Виккерса" тоньше, чем предусмотрено нашей системой вооружения. Между прочим последний тип брони "Виккерса" марки "J.T.A.Plat", по гарантии фирмы, имеет большую сопротивляемость, чем обычная броня. Поставляемые нам танки по договору, по заявлению фирмы, будут первыми танками с указанной маркой брони. </w:t>
      </w:r>
    </w:p>
    <w:p w14:paraId="24AEA30A"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Испытываемые нами танки были взяты из механизированной бригады британской армии и не имели указанной марки брони. Во время посещения заводов я убедился, что все строящиеся танки также не имели брони указанной марки. </w:t>
      </w:r>
    </w:p>
    <w:p w14:paraId="5AB18F92"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Наше категорическое требование на проданные для нас танки поставить броню "J.T.A.Plat" явилось последствием столь длительных сроков поставки. </w:t>
      </w:r>
    </w:p>
    <w:p w14:paraId="68DDC52E"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Согласно заключенного договора с Виккерсом, фирма обязана допустить на свои заводы наших 3-х инженеров для изучения производства и приемки танков в процессе их изготовления. </w:t>
      </w:r>
    </w:p>
    <w:p w14:paraId="1EE25A31"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Фирма обязалась продать нам чертежи: а) эскизные, б) сборочные, в) монтажные, г) инспекционно-производственные. Также фирма обязалась из всех купленных танков доставить нам сначала опытную партию по 3 шт. каждого типа, с которыми мы сами произведем испытание, после чего мы имеем право внести изменения в конструкцию по своему усмотрению. Кроме того фирма взяла на себя обязательство разработать конструкцию типа большого танка по нашим тактико-техническим требованиям. В случае если нами будут внесены изменения в конструкцию закупленных стандартных танков, все изменения должны быть за наш счет. </w:t>
      </w:r>
    </w:p>
    <w:p w14:paraId="6CAAD387"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Фирма обязалась за особую плату дать все необходимые запасные части по нашим спецификациям. </w:t>
      </w:r>
    </w:p>
    <w:p w14:paraId="7081D80D"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В договоре оговорено в одной из танкеток, в виде образца, установка крупнокалиберного пулемета. В малом танке оговорена установка 2-х пулеметов и одой полуавтоматической 37 мм пушки, а также радио-установки. В танке "Мидиум" по договору обязаны установить 47 миллиметровую полуавтоматическую пушку и радио-установку. Установки вооружения и радио-установки оплачиваются особо. Все остальные танки поступят без вооружения. </w:t>
      </w:r>
    </w:p>
    <w:p w14:paraId="404A6E39"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АМЕРИКА.</w:t>
      </w:r>
    </w:p>
    <w:p w14:paraId="02735228"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Согласно утвержденной программы, нам надлежало закупить образцы и получить техническую помощь по танкам Т-1, Е-1 и танку "Кристи". </w:t>
      </w:r>
    </w:p>
    <w:p w14:paraId="1D238D05"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Танки Т-1 и Е-1, изготовляющиеся фирмой Копингейм, по своему типу являются малым типом танка. По своей же конструкции танки Т-1 и Е-1 при испытании оказались качеством ниже такого же типа танка, закупленного нами у Виккерса, а именно скорость на 8 километров ниже танка "Виккерс"; броня обычная; мотор с водяным охлаждением, у Виккерса же мотор с воздушным охлаждением; редукторы греются; гусеница своей громоздкостью является одним из препятствий в получении необходимых скоростей. По цене этот танк на 17 ½ тысяч руб. за единицу дороже Виккерса. </w:t>
      </w:r>
    </w:p>
    <w:p w14:paraId="77E5AD0A"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Коммерческие расчеты абсолютно не приемлемы. Фирма требовала 50% всей суммы при заказе и 50% при сдаче, а также категорически требовала закупить целую партию не менее 50 штук одного типа танков. В какой-либо технической помощи категорически отказалась, а также фирма отказалась допустить наших инженеров на заводы. Все вышеизложенное исключало какую-либо возможность приобрести данный тип танка. </w:t>
      </w:r>
    </w:p>
    <w:p w14:paraId="412C60A1"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а) Танк "КРИСТИ".</w:t>
      </w:r>
    </w:p>
    <w:p w14:paraId="5E83CE0A"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Закуплено два образца, сроки поставки через 4 месяца и, согласно заключенного договора, получена полная техническая помощь, которая выражается: 1) в передаче производственных чертежей всех деталей танка; 2) технологические процессы; 3) присылка к нам главного инженера Кристи сроком на 2 месяца для консультации по организации производства; 4) право командирования нашего инженера на завод Кристи. Техническая помощь не распространяется на конструкцию мотора, но этого нам и не нужно, так как этот мотор "Либерти" строится у нас в Союзе. Что же касается изменений произведенных в моторе "Либерти", – это нам будет дано. </w:t>
      </w:r>
    </w:p>
    <w:p w14:paraId="01842F67"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Срок договора 10 лет. За этот период Кристи обязан давать техническую производственную информацию через каждые 6 месяцев. </w:t>
      </w:r>
    </w:p>
    <w:p w14:paraId="471B26C2"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Тип образца закупленного танка "Кристи" и полученная техническая помощь являются типом так называемого "1940 года". Между прочим, поляками тоже закуплен 1 такой образец танка и подписан договор на техническую помощь. 1 образец такого же танка закуплен японцами, и 8 штук изготовляется для американской армии. </w:t>
      </w:r>
    </w:p>
    <w:p w14:paraId="77AABDFC"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б) ФИРМА "МОРЕЛЯНД".</w:t>
      </w:r>
    </w:p>
    <w:p w14:paraId="6C476C39"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С данной фирмой подписан договор на 100 штук 3-х осных шасси для тяжелых авто-броневиков. Фирма приняла на себя обязательство выполнить все наши технические требования к данным шасси. </w:t>
      </w:r>
    </w:p>
    <w:p w14:paraId="0B0FB455"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Сроки поставки, начиная с июля месяца, по 25 штук в месяц. Весь заказ будет выполнен в октябре. </w:t>
      </w:r>
    </w:p>
    <w:p w14:paraId="7485CA76"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Данный тип машин имеет для нас большое преимущество в том, что мотор будет поставлен "Геркулеса", который ставится на производство заводом "АМО". </w:t>
      </w:r>
    </w:p>
    <w:p w14:paraId="4BB509CD"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По своим тактико-техническим свойствам данная машина стоит выше в сравнении с английской машиной "Кросслей и Гай", по цене на 8 тысяч руб. дешевле, чем английские. </w:t>
      </w:r>
    </w:p>
    <w:p w14:paraId="7B45DDE7"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в) ФИРМА "ТИМКЕН".</w:t>
      </w:r>
    </w:p>
    <w:p w14:paraId="425EDE5B"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С фирмой подписано соглашение на конструкцию задних мостов для 3-х осного автомобиля "Форд". Фирма разрабатывает специальные чертежи и обязалась сделать 3 образца. Если сделанные образцы будут отвечать нашим тактико-техническим требованиям, фирма согласна изготовить для Форда 1000 комплектов задних мостов и передать нам для сборки на нашем Нижегородском заводе, а также передать чертежи на задние мосты и подвески. Срок поставки 3-х образцов – 6 – 8 недель. </w:t>
      </w:r>
    </w:p>
    <w:p w14:paraId="4C851137"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г) ФИРМА "КОЛЕМАН".</w:t>
      </w:r>
    </w:p>
    <w:p w14:paraId="27F241C0"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У данной фирмы закуплен один образец автомашины "Форд", переделанный фирмой на 4 рессоры. Кроме того, имеет дифференциал на передней и задней оси, что увеличило проходимость машины по бездорожью в 2 раза. Договора с фирмой никакого не заключалось, но фирма выразила свое согласие изготовлять для нас комплекты частей передней ведущей оси для стандартного Форда. Данный вопрос мною не углублялся, так как предварительно нужно испытание образца в длительных эксплоатационных условиях. Если конструкция "Колеман", примененная к Форду, оправдает себя в эксплоатации, тогда эту конструкцию можно сочетать с конструкцией "Тимкен" для Форда, и можно будет иметь Форд с 3-мя ведущими осями. </w:t>
      </w:r>
    </w:p>
    <w:p w14:paraId="13D12344"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ВЫВОДЫ.</w:t>
      </w:r>
    </w:p>
    <w:p w14:paraId="5942AA3D"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1. Утвержденный план по покупке образцов танков, шасси, бронемашин, арттягачей выполнен полностью. </w:t>
      </w:r>
    </w:p>
    <w:p w14:paraId="6D89CB63"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2. Там, где это представилось возможным, получено техническое содействие и помощь по производству. </w:t>
      </w:r>
    </w:p>
    <w:p w14:paraId="5A4C7E03"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3. В настоящее время в Англии на заводы Виккерса командирован член НТК тов. БЕГУНОВ и один инженер от промышленности. В Америку на завод КРИСТИ командирован член НТК тов. ТОСКИН. Необходимо командировать одного инженера от промышленности. На завод ТИМКЕН командирован инженер НАМИ, который наблюдает за конструкцией трехосного Форда. На завод МОРЕЛЯНД командирован инженер тов. ЛЕБЕДЕВ, который наблюдает за конструкцией трехосного шасси под тяжелый броневик. </w:t>
      </w:r>
    </w:p>
    <w:p w14:paraId="438B2C68"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4. В настоящее время необходимо составить план реализации использования конструкций закупленных образцов заграницей и полученной технической помощи. </w:t>
      </w:r>
    </w:p>
    <w:p w14:paraId="4D335A29"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5. Составление плана реализации всего того, что нами будет получено из заграницы, возможно только в том случае, если нами сейчас же совместно с промышленными органами будет твердо определена и закреплена производственная база. Лично мне реализация образцов и технической помощи по танкам представляется в следующем порядке: </w:t>
      </w:r>
    </w:p>
    <w:p w14:paraId="4616C291"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ТАНКЕТКА ВИККЕРСА</w:t>
      </w:r>
    </w:p>
    <w:p w14:paraId="72330F30" w14:textId="77777777" w:rsidR="001058FB" w:rsidRPr="00507A31" w:rsidRDefault="001058FB" w:rsidP="00507A31">
      <w:pPr>
        <w:jc w:val="both"/>
        <w:rPr>
          <w:color w:val="000000" w:themeColor="text1"/>
          <w:sz w:val="16"/>
          <w:szCs w:val="16"/>
        </w:rPr>
      </w:pPr>
      <w:r w:rsidRPr="00507A31">
        <w:rPr>
          <w:color w:val="000000" w:themeColor="text1"/>
          <w:sz w:val="16"/>
          <w:szCs w:val="16"/>
        </w:rPr>
        <w:t>(Карден-Лойд).</w:t>
      </w:r>
    </w:p>
    <w:p w14:paraId="2BDA8E76"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Исполнительный план текущей сметы предусматривает заказ 290 шт. танкеток. Отечественного производства и испытанного образца на сегодняшний день нет. Собственные образцы при самых благополучных условиях будут готовы только в ноябре месяце. </w:t>
      </w:r>
    </w:p>
    <w:p w14:paraId="7A981F9A"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Полагаю, что не приостанавливая окончания образца отечественной танкетки, мы можем сейчас же поставить производство танкетки Виккерса-Карден-Лойд, так как на этой танкетке мотор и дифференциал – имеющиеся у нас на производстве – это облегчит задачу начать массовое производство немедленно. Образцы танкетки прибудут в конце июня, при получении которых необходимо один образец немедленно передать промышленности для составления детальных рабочих чертежей, одновременно используя чертежи, которые уже начали поступать от Виккерса. </w:t>
      </w:r>
    </w:p>
    <w:p w14:paraId="390155E0"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Строить танкетку надлежит на Сталинградском тракторном заводе. Данный вопрос мною лично согласовывался с председателем ВАТО т. ОСИНСКИМ, который не возражает против этого. </w:t>
      </w:r>
    </w:p>
    <w:p w14:paraId="034840D4"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ТАНК малый 6 тонн ВИККЕРСА.</w:t>
      </w:r>
    </w:p>
    <w:p w14:paraId="05EBBF50"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В связи с тем, что в настоящее время наша промышленность, как это заявляется последней, оканчивает проект рабочих чертежей малого танка Т-19 к 1-му августа, опытный образец обещает изготовить к 15-му декабря, для того, чтобы не провалиться как в сроках изготовления, так и в самой конструкции отечественного танка, необходимо перестраховать себя имеющимся заграничным образцом, купленным у ВИККЕРСА, тем более, что образец его придет вперед, чем будет сделан наш опытный отечественный образец. В связи с этим, мною предлагается наметить промышленную базу для постройки малого танка на Челябинском заводе, при проектировании которой предусмотреть, чтобы та или другая система этого танка могла быть принята безболезненно к производству. </w:t>
      </w:r>
    </w:p>
    <w:p w14:paraId="40171FAE"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Если танк отечественного производства на деле оправдает свою конструкцию и будет соответствовать системе вооружения, тогда малый танк ВИККЕРСА сам по себе отпадет в точной его копировке, и мы тогда используем из него отдельные агрегаты в усовершенствовании нашей конструкции танка Т-19. Но если у нас с конструкцией отечественного производства обстановка будет неблагоприятная, то мы механически начнем копировать танк ВИККЕРСА, усовершенствую его в процессе дальнейшего производства. </w:t>
      </w:r>
    </w:p>
    <w:p w14:paraId="522728D9"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Одновременно считаю, что если нам придется строить малый танк ВИККЕРСА, у нас, видимо, будет ряд промежуточных производственных ступеней; агрегаты движителя, брони, мы, несомненно, безболезненно поставим у себя сразу на производстве, что же касается мотора, то мы впредь до организации моторного можем их купить в Англии или в Америке, так как это имеет сейчас место в авиации. </w:t>
      </w:r>
    </w:p>
    <w:p w14:paraId="4356E4CC"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ТАНК "МИДИУМ" 12-тонный ВИККЕРСА.</w:t>
      </w:r>
    </w:p>
    <w:p w14:paraId="77944963" w14:textId="77777777" w:rsidR="001058FB" w:rsidRPr="00507A31" w:rsidRDefault="001058FB" w:rsidP="00507A31">
      <w:pPr>
        <w:jc w:val="both"/>
        <w:rPr>
          <w:color w:val="000000" w:themeColor="text1"/>
          <w:sz w:val="16"/>
          <w:szCs w:val="16"/>
        </w:rPr>
      </w:pPr>
      <w:r w:rsidRPr="00507A31">
        <w:rPr>
          <w:color w:val="000000" w:themeColor="text1"/>
          <w:sz w:val="16"/>
          <w:szCs w:val="16"/>
        </w:rPr>
        <w:lastRenderedPageBreak/>
        <w:t xml:space="preserve">В настоящее время со средним танком, с точки зрения отечественного производства, положение обстоит наиболее катастрофически. До сих пор опытный образец не закончен и не испытан. Харьковский паровозостроительный завод пока не подготовлен с точки зрения оборудования и проработки технологического процесса для того, чтобы выполнить намечаемую программу 1930–31 года в 300 шт. В связи с этим, необходимо себя перестраховать танком ВИККЕРСА, но при этом нужно иметь в виду следующее обстоятельство: танк ВИККЕРСА средний в 12 тонн не предусмотрен в системе вооружения. В этом отношении у нас принципиальные разногласия с британской армией, поскольку мне удалось выяснить, будучи в Англии. </w:t>
      </w:r>
    </w:p>
    <w:p w14:paraId="0ED04EA8"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Англичане в вопросе среднего танка имеют принципиальную установку добиться максимальной его маневренности. Поэтому они вынуждены были за счет облегчения брони и сокращения базы дать танку своей конструкции скорость в 24 километра, имея при этом максимальный вес в 12 тонн. </w:t>
      </w:r>
    </w:p>
    <w:p w14:paraId="686647E3"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Не отвергая существующего строящегося образца Т-12, полагал бы перестраховать себя образцом ВИККЕРСА, имея в виду его производство на Харьковском заводе там же, где строятся Т-12. </w:t>
      </w:r>
    </w:p>
    <w:p w14:paraId="36E0CCE5"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Что же касается вопроса о моторе, то мотор может быть куплен в Англии или использован тот, что проектируется для танка Т-19. Если же в случае мотор Т-19 отечественного производства не оправдает себя на деле, то мотор Т-12 ВИККЕРСА можно будет использовать для танка Т-19. </w:t>
      </w:r>
    </w:p>
    <w:p w14:paraId="69214993"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Если конструкция танка Т-12 полностью и целиком себя оправдает, тогда от танка Т-12 ВИККЕРСА следует использовать отдельные агрегаты для усовершенствования конструкции отечественного производства. При этом нужно иметь в виду следующее обстоятельство: если по системе вооружения будет введен Революционным Военным Советом дополнительно 12-тонный танк, то производственную базу малого и так называемого среднего легкого 12-ти тонного танка нужно иметь на Челябинском тракторном заводе, тем более, что моторы для того и другого танка будут едиными. По этому вопросу я имел совещание с тов. ОСИНСКИМ, который в принципе против этого не возражает. </w:t>
      </w:r>
    </w:p>
    <w:p w14:paraId="3D108B2E"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ТАНК "КРИСТИ".</w:t>
      </w:r>
    </w:p>
    <w:p w14:paraId="3EB84A70"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Танк Кристи также не предусмотрен нашей системой вооружения. Между прочим, с моей точки зрения, по танку КРИСТИ наиболее легко наладить отечественное производство. Для танка КРИСТИ у нас сейчас уже имеются нашего отечественного производства моторы "ЛИБЕРТИ". Кроме того, мы от КРИСТИ имеем полную техническую помощь. КРИСТИ должен сдать нам два образца в сентябре. </w:t>
      </w:r>
    </w:p>
    <w:p w14:paraId="3F0C85A7"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Принимая во внимание, что танк КРИСТИ по своим скоростям перекрывает все танки в мире, что его собираются строить поляки, что если поляки раньше нас наладят производство танка КРИСТИ, то мы можем попасть в очень невыгодное соотношение с точки зрения тактического применения танковых частей. В связи с этим мною настоятельно предлагается форсировать организацию производства танка КРИСТИ путем сохранения производства мотора ЛИБЕРТИ на авиазаводах и подготовки производства прочих агрегатов на Ярославском автомобильном заводе. По вопросу о производственной базе для танка КРИСТИ достигнуто соглашение с тов. ОСИНСКИМ. Принимая во внимание вышеизложенное, мною предлагается на текущий 1930-31 год дать промышленности задание построить не менее 100 штук танков КРИСТИ. </w:t>
      </w:r>
    </w:p>
    <w:p w14:paraId="5E701EC6"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АВТО-ТЯГАЧИ.</w:t>
      </w:r>
    </w:p>
    <w:p w14:paraId="0E597A3C"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В настоящее время заграницей имеются две точки зрения по вопросу о боевом транспорте сопровождения. </w:t>
      </w:r>
    </w:p>
    <w:p w14:paraId="19B2FD48"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1. Английская армия в вопросе боевого транспорта сопровождения базируется на легком тракторе, другими словами, использует для этого шасси легкого танка и танкетки Карден Лойд. Объясняется это следующими причинами: Англия в своих колониях не имеет хорошо развитой дорожной сети, страхует себя всюду проходимым трактором. </w:t>
      </w:r>
    </w:p>
    <w:p w14:paraId="02AB7074"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2. Французская и американская армии в отношении транспорта боевого сопровождения строят свою систему на автотягачах, особенно этим характерна французская армия. У французов разработан ряд даже спецконструкций тягачей, как то: СОМУА, ШЕНАР-ВАЛЬКЕР, СИТРОЕН (все эти образцы нами куплены). </w:t>
      </w:r>
    </w:p>
    <w:p w14:paraId="0605B596"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Принимая во внимание наши специфические дорожные условия и вероятные театры военных действий, учитывая также наши промышленные возможности, я полагаю, что мы не можем принять за истину ни английскую, ни французско-американскую системы до производства соответствующих технических и войсковых испытаний. </w:t>
      </w:r>
    </w:p>
    <w:p w14:paraId="2413EBC0"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Однако, может быть даже и бесспорно, что между двумя этими системами у нас будет нечто среднее, т.е. в некотором количестве особых войсковых соединений, как например механизированных бригад, где однородность скоростей боевых машин с машинами транспорта боевого сопровождения категорически необходима, видимо, там нам придется использовать шасси стандартных наших танков, и все остальное видимо придется предусматривать специальным автотягачом, ассимилированным в производстве на наших отечественных автомобильных заводах. Закупленных образцов вполне достаточно для того, чтобы в нынешнем же году определить производственную программу на таких заводах как АМО и Ярославский автозавод. </w:t>
      </w:r>
    </w:p>
    <w:p w14:paraId="2B47EE52"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В связи с этим после испытаний получаемых автотягачей надлежит сейчас же определить их производственную базу. Таковой, с моей точки зрения может являться указанные выше заводы. </w:t>
      </w:r>
    </w:p>
    <w:p w14:paraId="018E989F"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Одновременно для того, чтобы быстро и наилучшим способом решить вопрос с быстроходным трактором и автотягачами мною рекомендуется в ВАТО пригласить немецкого конструктора ШТУМПА, который конструировал быстроходный трактор ЛИНКЕ-ГОФМАН. Принципиальное согласие перейти к нам на службу от г-на ШТУМПА есть. Приглашая ШТУМПА, я полагаю, что последний может разработать специальную гусеницу для трактора "ИНТЕРНАЦИОНАЛ" по примеру того, как он это сделал к сельскохозяйственному трактору ЛИНКЕ-ГОФМАН. </w:t>
      </w:r>
    </w:p>
    <w:p w14:paraId="5681B8E8" w14:textId="77777777" w:rsidR="001058FB" w:rsidRPr="00507A31" w:rsidRDefault="001058FB" w:rsidP="00507A31">
      <w:pPr>
        <w:jc w:val="both"/>
        <w:rPr>
          <w:color w:val="000000" w:themeColor="text1"/>
          <w:sz w:val="16"/>
          <w:szCs w:val="16"/>
        </w:rPr>
      </w:pPr>
      <w:r w:rsidRPr="00507A31">
        <w:rPr>
          <w:color w:val="000000" w:themeColor="text1"/>
          <w:sz w:val="16"/>
          <w:szCs w:val="16"/>
          <w:u w:val="single"/>
        </w:rPr>
        <w:t>ТРЕХОСНЫЕ МАШИНЫ.</w:t>
      </w:r>
    </w:p>
    <w:p w14:paraId="499F73C3"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В связи с тем, что заключено соглашение с американской фирмой ТИМКЕН о переконструировании Форда в 3-х осную машину, необходимо подготовить промышленную базу для постройки задних мостов к стандартному Форду. В настоящее время такой промышленной базы нет. На Нижегородском заводе задние мосты для 3-х осного Форда строить нельзя, завод проектируется под стандартный Форд по поточной системе и уложить какое-либо смешанное производство это чрезвычайно трудная задача, даже Генри ФОРД не имеет смешанного производства. </w:t>
      </w:r>
    </w:p>
    <w:p w14:paraId="0528D483"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В связи с этим мною предлагается подготовить промышленную базу для задних мостов 3-х осного Форда на Сборочном автомобильном заводе "Гудок Октября". Там же, может быть, придется поставить производство не только ведущих задних две оси для Форда, но и ведущую переднюю ось. По этому вопросу имеется также принципиальное согласие тов. ОСИНСКОГО. </w:t>
      </w:r>
    </w:p>
    <w:p w14:paraId="0A6D62CF"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Одновременно с этим нам нужно иметь в виду следующее обстоятельство: поскольку производство 3-х осного Форда у нас не налажено, а в этих машинах ощущается острая нужда, мною рекомендуется, если конструкция ТИМКЕН оправдается на деле, – купить в Америке у ТИМКЕН 1000 комплектов задних мостов и подвесок, а у себя поставить сборку с октября текущего года под стандартного Форда. Если мы у ТИМКЕНА купи 1000 комплектов, мы можем получить техническое содействие в виде всех чертежей для 3-х осного Форда. В связи с этим, надлежит поручить ВАТО вести дальнейшие переговоры с фирмой ТИМКЕН, с фирмой СИТРОЕН и фирмой СОМУА с целью добиться технической помощи, что наилучшим образом ускорит как создание конструкций, так и организацию производства 3-х осного Форда, Форда на Кегрессах и АВТОКАРА на гусеничном ходу СОМУА. </w:t>
      </w:r>
    </w:p>
    <w:p w14:paraId="2174620A"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В заключении, для конкретной проработки и увязки с промышленностью всех вопросов по изложенной мною выше программе прошу назначения комиссии под председательством Вашего заместителя тов. УБОРЕВИЧА, члена РВС тов. ПОСТНИКОВА и Н-ка Управления по Механизации и Моторизации РККА и Н-ка Штаба РККА, с привлечением заинтересованных лиц. </w:t>
      </w:r>
    </w:p>
    <w:p w14:paraId="08E1CE03"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Комиссии надлежит закончить работу в декадный срок и свои решения с предварительного Вашего утверждения представить Комиссии тов. ОРДЖОНИКИДЗЕ. </w:t>
      </w:r>
    </w:p>
    <w:p w14:paraId="59A8FB4A" w14:textId="77777777" w:rsidR="001058FB" w:rsidRPr="00507A31" w:rsidRDefault="001058FB" w:rsidP="00507A31">
      <w:pPr>
        <w:jc w:val="both"/>
        <w:rPr>
          <w:color w:val="000000" w:themeColor="text1"/>
          <w:sz w:val="16"/>
          <w:szCs w:val="16"/>
        </w:rPr>
      </w:pPr>
      <w:r w:rsidRPr="00507A31">
        <w:rPr>
          <w:color w:val="000000" w:themeColor="text1"/>
          <w:sz w:val="16"/>
          <w:szCs w:val="16"/>
        </w:rPr>
        <w:t>п/п НАЧАЛЬНИК УПРАВЛЕНИЯ ПО МЕХАНИЗАЦИИ И МОТОРИЗАЦИИ Р.К.К.А. (Халепский)</w:t>
      </w:r>
    </w:p>
    <w:p w14:paraId="42BD3A8C"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"6" Июня 1930 г. </w:t>
      </w:r>
    </w:p>
    <w:p w14:paraId="707BDF94"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Экз. № 1 – Наркому </w:t>
      </w:r>
    </w:p>
    <w:p w14:paraId="5B3D1EFC"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Экз. № 2 – Уборевичу </w:t>
      </w:r>
    </w:p>
    <w:p w14:paraId="52DA8AE1"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Экз. № 3 – Шапошникову </w:t>
      </w:r>
    </w:p>
    <w:p w14:paraId="250EB1B5"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Экз. № 4 – Бокису </w:t>
      </w:r>
    </w:p>
    <w:p w14:paraId="3FC429AC" w14:textId="77777777" w:rsidR="001058FB" w:rsidRPr="00507A31" w:rsidRDefault="001058FB" w:rsidP="00507A31">
      <w:pPr>
        <w:jc w:val="both"/>
        <w:rPr>
          <w:color w:val="000000" w:themeColor="text1"/>
          <w:sz w:val="16"/>
          <w:szCs w:val="16"/>
        </w:rPr>
      </w:pPr>
      <w:r w:rsidRPr="00507A31">
        <w:rPr>
          <w:color w:val="000000" w:themeColor="text1"/>
          <w:sz w:val="16"/>
          <w:szCs w:val="16"/>
        </w:rPr>
        <w:t xml:space="preserve">Экз. № 5 – Осинскому </w:t>
      </w:r>
    </w:p>
    <w:p w14:paraId="637F78CF" w14:textId="77777777" w:rsidR="001058FB" w:rsidRPr="00507A31" w:rsidRDefault="001058FB" w:rsidP="00507A31">
      <w:pPr>
        <w:jc w:val="both"/>
        <w:rPr>
          <w:color w:val="000000" w:themeColor="text1"/>
          <w:sz w:val="16"/>
          <w:szCs w:val="16"/>
        </w:rPr>
      </w:pPr>
      <w:r w:rsidRPr="00507A31">
        <w:rPr>
          <w:color w:val="000000" w:themeColor="text1"/>
          <w:sz w:val="16"/>
          <w:szCs w:val="16"/>
        </w:rPr>
        <w:t>Экз. № 6 – в деле Халепского (19753).</w:t>
      </w:r>
    </w:p>
    <w:p w14:paraId="2C4A886C" w14:textId="77777777" w:rsidR="001058FB" w:rsidRPr="00507A31" w:rsidRDefault="001058FB" w:rsidP="00507A31">
      <w:pPr>
        <w:jc w:val="both"/>
        <w:rPr>
          <w:color w:val="000000" w:themeColor="text1"/>
          <w:sz w:val="16"/>
          <w:szCs w:val="16"/>
        </w:rPr>
      </w:pPr>
    </w:p>
    <w:p w14:paraId="42606E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июня 1930 г. был подготовлен ПРОТОКОЛ СОВЕЩАНИЯ ПРЕДСТАВИТЕЛЕЙ НТК АУ И НТК УММ ОБ УСТАНОВКЕ ВООРУЖЕНИЯ В ТАНКАХ ВИККЕРС</w:t>
      </w:r>
    </w:p>
    <w:p w14:paraId="08745C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73080D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Утверждаю Начальник АУ РККА Бондарь</w:t>
      </w:r>
    </w:p>
    <w:p w14:paraId="1707B1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июня 1930 года.</w:t>
      </w:r>
    </w:p>
    <w:p w14:paraId="1D3023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Утверждаю</w:t>
      </w:r>
    </w:p>
    <w:p w14:paraId="5AD3CB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УММ РККА Халепский</w:t>
      </w:r>
    </w:p>
    <w:p w14:paraId="0A4327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июня 1930 года.</w:t>
      </w:r>
    </w:p>
    <w:p w14:paraId="4D46A3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Присутствовали: от АУ</w:t>
      </w:r>
    </w:p>
    <w:p w14:paraId="29E88A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УММ</w:t>
      </w:r>
    </w:p>
    <w:p w14:paraId="590B88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Глухарев, Миллер, Сверчков Браверман, Рожков</w:t>
      </w:r>
    </w:p>
    <w:p w14:paraId="2A7797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Слушали: Доклад т. Рожкова о возможности установки пулемета Максима на танкетке Карден Ллойда марки VI, 37 мм танковой пушки повышенной мощности в башне 6-ти тонного танка и 45 мм танковой пушки в башне 12-ти тонного танка по разработанным им эскизам.</w:t>
      </w:r>
    </w:p>
    <w:p w14:paraId="48FE10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Постановили:</w:t>
      </w:r>
    </w:p>
    <w:p w14:paraId="55C370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Установка пулемета на танкетке Карден Ллойда марки VI</w:t>
      </w:r>
    </w:p>
    <w:p w14:paraId="45D2D4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Установка пулемета Максима на танкетке Карден Ллойда марки VI согласно пометки на черте</w:t>
      </w:r>
      <w:r w:rsidRPr="00507A31">
        <w:rPr>
          <w:color w:val="000000" w:themeColor="text1"/>
          <w:sz w:val="16"/>
          <w:szCs w:val="16"/>
        </w:rPr>
        <w:softHyphen/>
        <w:t>же Виккерса №С1 2390 может быть приспособлена фирмой по требованию заказчика.</w:t>
      </w:r>
    </w:p>
    <w:p w14:paraId="442E57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Установка 37 мм танковой пушки в башне 6-ти тонного танка</w:t>
      </w:r>
    </w:p>
    <w:p w14:paraId="40DE2F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установки 37 мм танковой пушки на передней плоской стенке башня должна быть измене</w:t>
      </w:r>
      <w:r w:rsidRPr="00507A31">
        <w:rPr>
          <w:color w:val="000000" w:themeColor="text1"/>
          <w:sz w:val="16"/>
          <w:szCs w:val="16"/>
        </w:rPr>
        <w:softHyphen/>
        <w:t>на следующим образом:</w:t>
      </w:r>
    </w:p>
    <w:p w14:paraId="26CFF4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Передняя стенка для получения угла возвышения в 20° наклоняется до 13°, как это имеет мес</w:t>
      </w:r>
      <w:r w:rsidRPr="00507A31">
        <w:rPr>
          <w:color w:val="000000" w:themeColor="text1"/>
          <w:sz w:val="16"/>
          <w:szCs w:val="16"/>
        </w:rPr>
        <w:softHyphen/>
        <w:t>то в башнях МС-1.</w:t>
      </w:r>
    </w:p>
    <w:p w14:paraId="12D527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Боковые стенки укладываются с плавным переходом на цилиндр башни.</w:t>
      </w:r>
    </w:p>
    <w:p w14:paraId="166585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Для получения достаточных углов горизонтального обстрела и обеспечения удобств поль</w:t>
      </w:r>
      <w:r w:rsidRPr="00507A31">
        <w:rPr>
          <w:color w:val="000000" w:themeColor="text1"/>
          <w:sz w:val="16"/>
          <w:szCs w:val="16"/>
        </w:rPr>
        <w:softHyphen/>
        <w:t>зования вооружением поворотный механизм повернуть в положение, параллельное продольной оси башни.</w:t>
      </w:r>
    </w:p>
    <w:p w14:paraId="4FD15D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Для обеспечения достаточного кругового обзора, а также уравновешивания башни устанавли</w:t>
      </w:r>
      <w:r w:rsidRPr="00507A31">
        <w:rPr>
          <w:color w:val="000000" w:themeColor="text1"/>
          <w:sz w:val="16"/>
          <w:szCs w:val="16"/>
        </w:rPr>
        <w:softHyphen/>
        <w:t>вается наблюдательная вышка, и крыша понижается на 60 мм.</w:t>
      </w:r>
    </w:p>
    <w:p w14:paraId="2DF8F7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Ввиду установки пушки в башню, рассчитанную на установку пулемета, увеличивается диа</w:t>
      </w:r>
      <w:r w:rsidRPr="00507A31">
        <w:rPr>
          <w:color w:val="000000" w:themeColor="text1"/>
          <w:sz w:val="16"/>
          <w:szCs w:val="16"/>
        </w:rPr>
        <w:softHyphen/>
        <w:t>метр шарика и погона.</w:t>
      </w:r>
    </w:p>
    <w:p w14:paraId="434A6D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После указанных изменений башня может быть использована для установки 37 мм танковой пушки повышенной мощности.</w:t>
      </w:r>
    </w:p>
    <w:p w14:paraId="194B03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Исполнение согласно прилагаемых 2-х эскизов.</w:t>
      </w:r>
    </w:p>
    <w:p w14:paraId="6DC5DF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Установка 45 мм танковой пушки в башне 12-ти тонного танка.</w:t>
      </w:r>
    </w:p>
    <w:p w14:paraId="5B1CA2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установки 45 мм танковой пушки в башне 12-ти тонного танка должны быть проведены сле</w:t>
      </w:r>
      <w:r w:rsidRPr="00507A31">
        <w:rPr>
          <w:color w:val="000000" w:themeColor="text1"/>
          <w:sz w:val="16"/>
          <w:szCs w:val="16"/>
        </w:rPr>
        <w:softHyphen/>
        <w:t>дующие работы:</w:t>
      </w:r>
    </w:p>
    <w:p w14:paraId="749A55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Передняя лобовая стенка снабжается круглым отверстием с надлежащими размерами.</w:t>
      </w:r>
    </w:p>
    <w:p w14:paraId="5FC01A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Изнутри башни на выравнивающих клапанах приклеивается плоский лист.</w:t>
      </w:r>
    </w:p>
    <w:p w14:paraId="67B9AF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 указанный лист на сквозных болтах устанавливается специально изготовляемый крон</w:t>
      </w:r>
      <w:r w:rsidRPr="00507A31">
        <w:rPr>
          <w:color w:val="000000" w:themeColor="text1"/>
          <w:sz w:val="16"/>
          <w:szCs w:val="16"/>
        </w:rPr>
        <w:softHyphen/>
        <w:t>штейн для вертлюга 45 мм танковой пушки.</w:t>
      </w:r>
    </w:p>
    <w:p w14:paraId="599F07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Для обеспечения достаточной жесткости крыши боковые скосы ставятся под углом к продоль</w:t>
      </w:r>
      <w:r w:rsidRPr="00507A31">
        <w:rPr>
          <w:color w:val="000000" w:themeColor="text1"/>
          <w:sz w:val="16"/>
          <w:szCs w:val="16"/>
        </w:rPr>
        <w:softHyphen/>
        <w:t>ной оси башни.</w:t>
      </w:r>
    </w:p>
    <w:p w14:paraId="44DDF2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 Поворотный механизм устанавливается под левую руку стрелка.</w:t>
      </w:r>
    </w:p>
    <w:p w14:paraId="11B4EF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 Пулеметное вооружение располагается по концам диаметра, перпендикулярного продольной оси башни.</w:t>
      </w:r>
    </w:p>
    <w:p w14:paraId="6543DC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 Второй поворот механизма устанавливается в удобном, для правого стрелка, положении, з) Задняя стенка башни используется под радиостанцию. Исполнение согласно прилагаемого эскиза.</w:t>
      </w:r>
    </w:p>
    <w:p w14:paraId="775FC0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Сверчков</w:t>
      </w:r>
    </w:p>
    <w:p w14:paraId="2F685C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Миллер</w:t>
      </w:r>
    </w:p>
    <w:p w14:paraId="51B4FD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Браверман</w:t>
      </w:r>
    </w:p>
    <w:p w14:paraId="276725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Рожков</w:t>
      </w:r>
    </w:p>
    <w:p w14:paraId="3B0E03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Озеров</w:t>
      </w:r>
    </w:p>
    <w:p w14:paraId="23AD6A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НТК АУ Роговский</w:t>
      </w:r>
    </w:p>
    <w:p w14:paraId="4ED455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30. Л. 51. Копия (11210).</w:t>
      </w:r>
    </w:p>
    <w:p w14:paraId="42DF2D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6E2DE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6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487606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2EF2150" w14:textId="77777777" w:rsidR="0062721E" w:rsidRPr="00507A31" w:rsidRDefault="0062721E" w:rsidP="00507A31">
      <w:pPr>
        <w:jc w:val="both"/>
        <w:rPr>
          <w:color w:val="000000" w:themeColor="text1"/>
          <w:sz w:val="16"/>
          <w:szCs w:val="16"/>
        </w:rPr>
      </w:pPr>
      <w:r w:rsidRPr="00507A31">
        <w:rPr>
          <w:color w:val="000000" w:themeColor="text1"/>
          <w:sz w:val="16"/>
          <w:szCs w:val="16"/>
        </w:rPr>
        <w:t>6 июня 1930 года Опытный завод в Ленинграде выпустил первую продукцию. Часть выплавленного алюминия подвергли прокатке. При этом была получена фольга толщиной 0,05 мм с блестящей поверхностью и хорошими механическими свойствами – вполне конкурентоспособная с зарубежными образцами. Такая фольга и в настоящее время используется в строительстве в качестве теплоизоляции. Всего в 1930 году на Опытном заводе было получено 90 тонн металла (12225).</w:t>
      </w:r>
    </w:p>
    <w:p w14:paraId="5ADDE12A" w14:textId="77777777" w:rsidR="0062721E" w:rsidRPr="00507A31" w:rsidRDefault="0062721E" w:rsidP="00507A31">
      <w:pPr>
        <w:jc w:val="both"/>
        <w:rPr>
          <w:color w:val="000000" w:themeColor="text1"/>
          <w:sz w:val="16"/>
          <w:szCs w:val="16"/>
          <w:u w:color="002060"/>
        </w:rPr>
      </w:pPr>
      <w:r w:rsidRPr="00507A31">
        <w:rPr>
          <w:color w:val="000000" w:themeColor="text1"/>
          <w:sz w:val="16"/>
          <w:szCs w:val="16"/>
          <w:u w:color="002060"/>
        </w:rPr>
        <w:t>12 июня</w:t>
      </w:r>
      <w:r w:rsidRPr="00507A31">
        <w:rPr>
          <w:color w:val="000000" w:themeColor="text1"/>
          <w:sz w:val="16"/>
          <w:szCs w:val="16"/>
        </w:rPr>
        <w:t xml:space="preserve"> 1930 г</w:t>
      </w:r>
      <w:r w:rsidRPr="00507A31">
        <w:rPr>
          <w:color w:val="000000" w:themeColor="text1"/>
          <w:sz w:val="16"/>
          <w:szCs w:val="16"/>
          <w:u w:color="002060"/>
        </w:rPr>
        <w:t>. Постановление СНК СССР по выполнению оборонного плана за первое полугодие 1929/30 г. (РГАЭ. Ф. 4372. Оп. 91. Д. 564. Л. 169?164 об.)</w:t>
      </w:r>
    </w:p>
    <w:p w14:paraId="0D13DFB4" w14:textId="77777777" w:rsidR="0062721E" w:rsidRPr="00507A31" w:rsidRDefault="0062721E" w:rsidP="00507A31">
      <w:pPr>
        <w:jc w:val="both"/>
        <w:rPr>
          <w:color w:val="000000" w:themeColor="text1"/>
          <w:sz w:val="16"/>
          <w:szCs w:val="16"/>
          <w:u w:color="002060"/>
        </w:rPr>
      </w:pPr>
    </w:p>
    <w:p w14:paraId="4E79AEE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D374B01" w14:textId="77777777" w:rsidR="00537E5F" w:rsidRPr="00507A31" w:rsidRDefault="00537E5F" w:rsidP="00507A31">
      <w:pPr>
        <w:autoSpaceDE w:val="0"/>
        <w:autoSpaceDN w:val="0"/>
        <w:adjustRightInd w:val="0"/>
        <w:jc w:val="both"/>
        <w:rPr>
          <w:iCs/>
          <w:color w:val="000000" w:themeColor="text1"/>
          <w:sz w:val="16"/>
          <w:szCs w:val="16"/>
        </w:rPr>
      </w:pPr>
    </w:p>
    <w:p w14:paraId="3D4527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июня 1930 в США впервые начали продавать замороженные продукты (2100).</w:t>
      </w:r>
    </w:p>
    <w:p w14:paraId="210D084D" w14:textId="77777777" w:rsidR="00537E5F" w:rsidRPr="00507A31" w:rsidRDefault="00537E5F" w:rsidP="00507A31">
      <w:pPr>
        <w:autoSpaceDE w:val="0"/>
        <w:autoSpaceDN w:val="0"/>
        <w:adjustRightInd w:val="0"/>
        <w:jc w:val="both"/>
        <w:rPr>
          <w:color w:val="000000" w:themeColor="text1"/>
          <w:sz w:val="16"/>
          <w:szCs w:val="16"/>
        </w:rPr>
      </w:pPr>
    </w:p>
    <w:p w14:paraId="0C044526" w14:textId="77777777" w:rsidR="003B4100" w:rsidRPr="00507A31" w:rsidRDefault="003B4100"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ADD67BF" w14:textId="77777777" w:rsidR="003B4100" w:rsidRPr="00507A31" w:rsidRDefault="003B4100" w:rsidP="00507A31">
      <w:pPr>
        <w:autoSpaceDE w:val="0"/>
        <w:autoSpaceDN w:val="0"/>
        <w:adjustRightInd w:val="0"/>
        <w:jc w:val="both"/>
        <w:rPr>
          <w:iCs/>
          <w:color w:val="000000" w:themeColor="text1"/>
          <w:sz w:val="16"/>
          <w:szCs w:val="16"/>
        </w:rPr>
      </w:pPr>
    </w:p>
    <w:p w14:paraId="3AE1D2EB" w14:textId="77777777" w:rsidR="003B4100" w:rsidRPr="00507A31" w:rsidRDefault="003B4100"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7 июня 1930 г. Павлов из-за отказа мотора потерпел аварию у деревни Васильево при перелете из Серпухова в Москву на И-4 (№ 1503). При вынужденной посадке самолет скапотировал, были сломаны шасси и подкосы верхнего крыла, само оно помято, так же, как вертикальное оперение и кок винта.</w:t>
      </w:r>
    </w:p>
    <w:p w14:paraId="0465549F" w14:textId="77777777" w:rsidR="003B4100" w:rsidRPr="00507A31" w:rsidRDefault="003B4100" w:rsidP="00507A31">
      <w:pPr>
        <w:pStyle w:val="a8"/>
        <w:jc w:val="both"/>
        <w:rPr>
          <w:rFonts w:ascii="Times New Roman" w:hAnsi="Times New Roman" w:cs="Times New Roman"/>
          <w:color w:val="000000" w:themeColor="text1"/>
        </w:rPr>
      </w:pPr>
    </w:p>
    <w:p w14:paraId="3E6C03AC" w14:textId="77777777" w:rsidR="0062721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0D5A1E5" w14:textId="77777777" w:rsidR="0062721E" w:rsidRPr="00507A31" w:rsidRDefault="0062721E" w:rsidP="00507A31">
      <w:pPr>
        <w:autoSpaceDE w:val="0"/>
        <w:autoSpaceDN w:val="0"/>
        <w:adjustRightInd w:val="0"/>
        <w:jc w:val="both"/>
        <w:rPr>
          <w:iCs/>
          <w:color w:val="000000" w:themeColor="text1"/>
          <w:sz w:val="16"/>
          <w:szCs w:val="16"/>
        </w:rPr>
      </w:pPr>
    </w:p>
    <w:p w14:paraId="2EB0A1D0" w14:textId="77777777" w:rsidR="0062721E" w:rsidRPr="00507A31" w:rsidRDefault="0062721E" w:rsidP="00507A31">
      <w:pPr>
        <w:jc w:val="both"/>
        <w:rPr>
          <w:color w:val="000000" w:themeColor="text1"/>
          <w:sz w:val="16"/>
          <w:szCs w:val="16"/>
        </w:rPr>
      </w:pPr>
      <w:r w:rsidRPr="00507A31">
        <w:rPr>
          <w:rStyle w:val="a7"/>
          <w:b w:val="0"/>
          <w:color w:val="000000" w:themeColor="text1"/>
          <w:sz w:val="16"/>
          <w:szCs w:val="16"/>
        </w:rPr>
        <w:t xml:space="preserve">7 июня 1930 </w:t>
      </w:r>
      <w:r w:rsidRPr="00507A31">
        <w:rPr>
          <w:color w:val="000000" w:themeColor="text1"/>
          <w:sz w:val="16"/>
          <w:szCs w:val="16"/>
        </w:rPr>
        <w:t>СНК принял постановление «О передаче функций технического нормирования Комитету по стандартизации при СТО» (12265).</w:t>
      </w:r>
    </w:p>
    <w:p w14:paraId="493C7750" w14:textId="77777777" w:rsidR="0062721E" w:rsidRPr="00507A31" w:rsidRDefault="0062721E" w:rsidP="00507A31">
      <w:pPr>
        <w:jc w:val="both"/>
        <w:rPr>
          <w:color w:val="000000" w:themeColor="text1"/>
          <w:sz w:val="16"/>
          <w:szCs w:val="16"/>
        </w:rPr>
      </w:pPr>
      <w:r w:rsidRPr="00507A31">
        <w:rPr>
          <w:color w:val="000000" w:themeColor="text1"/>
          <w:sz w:val="16"/>
          <w:szCs w:val="16"/>
        </w:rPr>
        <w:t>СТО принял постановление «О включении государственных управлений по постройке производственных предприятий в состав объединений по отдельным отраслям промышленности» (12265).</w:t>
      </w:r>
    </w:p>
    <w:p w14:paraId="2FBA0E3B" w14:textId="77777777" w:rsidR="0062721E" w:rsidRPr="00507A31" w:rsidRDefault="0062721E" w:rsidP="00507A31">
      <w:pPr>
        <w:jc w:val="both"/>
        <w:rPr>
          <w:color w:val="000000" w:themeColor="text1"/>
          <w:sz w:val="16"/>
          <w:szCs w:val="16"/>
        </w:rPr>
      </w:pPr>
      <w:r w:rsidRPr="00507A31">
        <w:rPr>
          <w:color w:val="000000" w:themeColor="text1"/>
          <w:sz w:val="16"/>
          <w:szCs w:val="16"/>
        </w:rPr>
        <w:t> </w:t>
      </w:r>
    </w:p>
    <w:p w14:paraId="0FC0C2E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102E19A" w14:textId="77777777" w:rsidR="00537E5F" w:rsidRPr="00507A31" w:rsidRDefault="00537E5F" w:rsidP="00507A31">
      <w:pPr>
        <w:autoSpaceDE w:val="0"/>
        <w:autoSpaceDN w:val="0"/>
        <w:adjustRightInd w:val="0"/>
        <w:jc w:val="both"/>
        <w:rPr>
          <w:iCs/>
          <w:color w:val="000000" w:themeColor="text1"/>
          <w:sz w:val="16"/>
          <w:szCs w:val="16"/>
        </w:rPr>
      </w:pPr>
    </w:p>
    <w:p w14:paraId="1695B3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июня 1930 наследный принц Чарльз был избран королем Румынии (3907,161).</w:t>
      </w:r>
    </w:p>
    <w:p w14:paraId="0807A449" w14:textId="77777777" w:rsidR="00537E5F" w:rsidRPr="00507A31" w:rsidRDefault="00537E5F" w:rsidP="00507A31">
      <w:pPr>
        <w:autoSpaceDE w:val="0"/>
        <w:autoSpaceDN w:val="0"/>
        <w:adjustRightInd w:val="0"/>
        <w:jc w:val="both"/>
        <w:rPr>
          <w:color w:val="000000" w:themeColor="text1"/>
          <w:sz w:val="16"/>
          <w:szCs w:val="16"/>
        </w:rPr>
      </w:pPr>
    </w:p>
    <w:p w14:paraId="28363D5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 июня 1930 на румынский престол после пяти лет изгнания возвратился Кароль II (4962).</w:t>
      </w:r>
    </w:p>
    <w:p w14:paraId="43DB1A2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786255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052C9FB" w14:textId="77777777" w:rsidR="00537E5F" w:rsidRPr="00507A31" w:rsidRDefault="00537E5F" w:rsidP="00507A31">
      <w:pPr>
        <w:autoSpaceDE w:val="0"/>
        <w:autoSpaceDN w:val="0"/>
        <w:adjustRightInd w:val="0"/>
        <w:jc w:val="both"/>
        <w:rPr>
          <w:iCs/>
          <w:color w:val="000000" w:themeColor="text1"/>
          <w:sz w:val="16"/>
          <w:szCs w:val="16"/>
        </w:rPr>
      </w:pPr>
    </w:p>
    <w:p w14:paraId="031B5A1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9 июня 1930 года самолет И-6 ЮПVI (1-й экземпляр), пилотируемый летчиком Ширинкиным, выполнявшим задание по скороподъемности на 5000 м потерпел аварию. Летчик выпрыгнул с парашютом, самолет разбит (6925).</w:t>
      </w:r>
    </w:p>
    <w:p w14:paraId="4B5B9E7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4DA09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июня 1930 л Ширинкин вылетел на задание по опреде</w:t>
      </w:r>
      <w:r w:rsidRPr="00507A31">
        <w:rPr>
          <w:color w:val="000000" w:themeColor="text1"/>
          <w:sz w:val="16"/>
          <w:szCs w:val="16"/>
        </w:rPr>
        <w:softHyphen/>
        <w:t>лению скороподъемности на высоте 5000 м. После выполнения задания пилот на высоте 1400 м начал выполнять пилотаж, однако не справился с управлением и вы</w:t>
      </w:r>
      <w:r w:rsidRPr="00507A31">
        <w:rPr>
          <w:color w:val="000000" w:themeColor="text1"/>
          <w:sz w:val="16"/>
          <w:szCs w:val="16"/>
        </w:rPr>
        <w:softHyphen/>
        <w:t>прыгнул с парашютом. Самолет разбился на территории Центрального аэродрома. Причины случившегося не до конца выяснены и по сей день. В част</w:t>
      </w:r>
      <w:r w:rsidRPr="00507A31">
        <w:rPr>
          <w:color w:val="000000" w:themeColor="text1"/>
          <w:sz w:val="16"/>
          <w:szCs w:val="16"/>
        </w:rPr>
        <w:softHyphen/>
        <w:t>ности, В.Б.Шавров так описы</w:t>
      </w:r>
      <w:r w:rsidRPr="00507A31">
        <w:rPr>
          <w:color w:val="000000" w:themeColor="text1"/>
          <w:sz w:val="16"/>
          <w:szCs w:val="16"/>
        </w:rPr>
        <w:softHyphen/>
        <w:t>вает событие: «При испытательном по</w:t>
      </w:r>
      <w:r w:rsidRPr="00507A31">
        <w:rPr>
          <w:color w:val="000000" w:themeColor="text1"/>
          <w:sz w:val="16"/>
          <w:szCs w:val="16"/>
        </w:rPr>
        <w:softHyphen/>
        <w:t>лете летчик А.Д.Ширинкин, видимо, без уважительной причины покинул ис</w:t>
      </w:r>
      <w:r w:rsidRPr="00507A31">
        <w:rPr>
          <w:color w:val="000000" w:themeColor="text1"/>
          <w:sz w:val="16"/>
          <w:szCs w:val="16"/>
        </w:rPr>
        <w:softHyphen/>
        <w:t>правный самолет и выбросился с пара</w:t>
      </w:r>
      <w:r w:rsidRPr="00507A31">
        <w:rPr>
          <w:color w:val="000000" w:themeColor="text1"/>
          <w:sz w:val="16"/>
          <w:szCs w:val="16"/>
        </w:rPr>
        <w:softHyphen/>
        <w:t>шютом, объясняя это тем, что якобы за</w:t>
      </w:r>
      <w:r w:rsidRPr="00507A31">
        <w:rPr>
          <w:color w:val="000000" w:themeColor="text1"/>
          <w:sz w:val="16"/>
          <w:szCs w:val="16"/>
        </w:rPr>
        <w:softHyphen/>
        <w:t>тряслась моторама. Неуправляемый са</w:t>
      </w:r>
      <w:r w:rsidRPr="00507A31">
        <w:rPr>
          <w:color w:val="000000" w:themeColor="text1"/>
          <w:sz w:val="16"/>
          <w:szCs w:val="16"/>
        </w:rPr>
        <w:softHyphen/>
        <w:t>молет некоторое время продолжал полет по прямой, потом упал и разбился, но ра</w:t>
      </w:r>
      <w:r w:rsidRPr="00507A31">
        <w:rPr>
          <w:color w:val="000000" w:themeColor="text1"/>
          <w:sz w:val="16"/>
          <w:szCs w:val="16"/>
        </w:rPr>
        <w:softHyphen/>
        <w:t>ма его оказалась целой». Впрочем, могут быть и другие объяснения. Истребитель И-5 (ВТ-11), сконструированный в ЦКБ-39 летом 1930 г., доводился и осу</w:t>
      </w:r>
      <w:r w:rsidRPr="00507A31">
        <w:rPr>
          <w:color w:val="000000" w:themeColor="text1"/>
          <w:sz w:val="16"/>
          <w:szCs w:val="16"/>
        </w:rPr>
        <w:softHyphen/>
        <w:t>ществлял полеты на Центральном аэро</w:t>
      </w:r>
      <w:r w:rsidRPr="00507A31">
        <w:rPr>
          <w:color w:val="000000" w:themeColor="text1"/>
          <w:sz w:val="16"/>
          <w:szCs w:val="16"/>
        </w:rPr>
        <w:softHyphen/>
        <w:t>дроме. Не все шло гладко, поэтому, воз</w:t>
      </w:r>
      <w:r w:rsidRPr="00507A31">
        <w:rPr>
          <w:color w:val="000000" w:themeColor="text1"/>
          <w:sz w:val="16"/>
          <w:szCs w:val="16"/>
        </w:rPr>
        <w:softHyphen/>
        <w:t>можно, руководство ОГПУ, курирую</w:t>
      </w:r>
      <w:r w:rsidRPr="00507A31">
        <w:rPr>
          <w:color w:val="000000" w:themeColor="text1"/>
          <w:sz w:val="16"/>
          <w:szCs w:val="16"/>
        </w:rPr>
        <w:softHyphen/>
        <w:t>щее создание самолета, для устранения конкурента И-6 настоятельно «посове</w:t>
      </w:r>
      <w:r w:rsidRPr="00507A31">
        <w:rPr>
          <w:color w:val="000000" w:themeColor="text1"/>
          <w:sz w:val="16"/>
          <w:szCs w:val="16"/>
        </w:rPr>
        <w:softHyphen/>
        <w:t>товало» летчику Ширинкину поступить данным образом. Впрочем, это не более чем догадки (10729).</w:t>
      </w:r>
    </w:p>
    <w:p w14:paraId="0BAAE0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560F0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июня 1930 г. был подготовлен ДОКЛАД ВОЕННОГО ПРЕДСТАВИТЕЛЯ НАЧАЛЬНИКУ ПТО УММ РККА О ПРОИЗВОДСТВЕ ТАНКОВ МС-1 НА ММЗ</w:t>
      </w:r>
    </w:p>
    <w:p w14:paraId="630902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Мотовилиха - завод</w:t>
      </w:r>
    </w:p>
    <w:p w14:paraId="6BB99E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Докладываю о положении дела по изготовлению танков «МС-1» по договору № 5377/68 сек. 1928 г., по состоянию на 1 июня 1930 г.</w:t>
      </w:r>
    </w:p>
    <w:p w14:paraId="4B0104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Сдача первых пяти машин.</w:t>
      </w:r>
    </w:p>
    <w:p w14:paraId="011122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Сдача моторов:</w:t>
      </w:r>
    </w:p>
    <w:p w14:paraId="095424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После технической приемки моторов, последние устанавливались для приработки всех трущих</w:t>
      </w:r>
      <w:r w:rsidRPr="00507A31">
        <w:rPr>
          <w:color w:val="000000" w:themeColor="text1"/>
          <w:sz w:val="16"/>
          <w:szCs w:val="16"/>
        </w:rPr>
        <w:softHyphen/>
        <w:t>ся частей двигателя. Эту приработку завод производил без моего наблюдения и результат приработ</w:t>
      </w:r>
      <w:r w:rsidRPr="00507A31">
        <w:rPr>
          <w:color w:val="000000" w:themeColor="text1"/>
          <w:sz w:val="16"/>
          <w:szCs w:val="16"/>
        </w:rPr>
        <w:softHyphen/>
        <w:t>ки был неудовлетворительный, по причинам чисто организационным. В дальнейшем считаю необхо</w:t>
      </w:r>
      <w:r w:rsidRPr="00507A31">
        <w:rPr>
          <w:color w:val="000000" w:themeColor="text1"/>
          <w:sz w:val="16"/>
          <w:szCs w:val="16"/>
        </w:rPr>
        <w:softHyphen/>
        <w:t>димым приработку мотора взять под свое наблюдение, и доводить последнюю до стабильного пока</w:t>
      </w:r>
      <w:r w:rsidRPr="00507A31">
        <w:rPr>
          <w:color w:val="000000" w:themeColor="text1"/>
          <w:sz w:val="16"/>
          <w:szCs w:val="16"/>
        </w:rPr>
        <w:softHyphen/>
        <w:t>зания приборов, для чего потребуется 6 - 8 часовая работа мотора.</w:t>
      </w:r>
    </w:p>
    <w:p w14:paraId="7C04D7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По окончании приработки, мотор подвергается контрольному пятичасовому испытанию на газу. Порядок контрольного испытания на газу мною установлен следующий:</w:t>
      </w:r>
    </w:p>
    <w:p w14:paraId="60D530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Первые 45 минут испытание должно происходить при максимальной мощности (37 - 39 л.с.);</w:t>
      </w:r>
    </w:p>
    <w:p w14:paraId="6DB6A2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Следующие 4 часа испытание происходит не менее, как при 30 л.с.;</w:t>
      </w:r>
    </w:p>
    <w:p w14:paraId="128D42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Последние 15 минут испытание происходит при той максимальной мощности, которую мотор дал в начале.</w:t>
      </w:r>
    </w:p>
    <w:p w14:paraId="504520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 время пятичасового испытания мотор не должен останавливаться.</w:t>
      </w:r>
    </w:p>
    <w:p w14:paraId="06F312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нормальной регулировке газораспределения и сечении жиклера 1,2 мм при карбюраторе «Паллас», максимальная мощность при 1850 оборотов в минуту всех пяти моторов варьировалась в пределах 37 - 39,2 л.с.</w:t>
      </w:r>
    </w:p>
    <w:p w14:paraId="36258E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окончании разборки моторов, после их контрольного испытания, дефекты были обнаруже</w:t>
      </w:r>
      <w:r w:rsidRPr="00507A31">
        <w:rPr>
          <w:color w:val="000000" w:themeColor="text1"/>
          <w:sz w:val="16"/>
          <w:szCs w:val="16"/>
        </w:rPr>
        <w:softHyphen/>
        <w:t>ны скорее чисто производственного порядка, чем конструктивного, а именно:</w:t>
      </w:r>
    </w:p>
    <w:p w14:paraId="59C776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при работе мотора сильно выбивало масло из карманов, в особенности в местах соединения картера по причинам неудовлетворительной механической приработки и сборки мотора,</w:t>
      </w:r>
    </w:p>
    <w:p w14:paraId="5416BD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те детали, которые проходят термическую обработку, в особенности цементацию, оказались весьма неудовлетворительными,</w:t>
      </w:r>
    </w:p>
    <w:p w14:paraId="0778DC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компрессия в цилиндрах (почти во всех пяти моторах), была не совсем хорошая из-за неудов-орительного качества поршневых колец, а последние не было возможности сменить из-за их от-вия на заводе, А</w:t>
      </w:r>
      <w:r w:rsidRPr="00507A31">
        <w:rPr>
          <w:color w:val="000000" w:themeColor="text1"/>
          <w:sz w:val="16"/>
          <w:szCs w:val="16"/>
          <w:vertAlign w:val="superscript"/>
        </w:rPr>
        <w:t>1</w:t>
      </w:r>
      <w:r w:rsidRPr="00507A31">
        <w:rPr>
          <w:color w:val="000000" w:themeColor="text1"/>
          <w:sz w:val="16"/>
          <w:szCs w:val="16"/>
        </w:rPr>
        <w:t>) имеют место чисто организационные неполадки, а именно:</w:t>
      </w:r>
    </w:p>
    <w:p w14:paraId="42C1AE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мотор предъявляется для контрольного испытания не совсем тщательно собранный и без над-цей регулировки газораспределения, зажигания;</w:t>
      </w:r>
    </w:p>
    <w:p w14:paraId="1B42A7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что касается дефектов конструктивного порядка, то таковых нельзя дополнить к дефектом, ранее известным этой конструкции мотора, да к тому же очень трудно их обнаружить за та кой короткий промежуток времени испытания. Все пять моторов, которые были предъявлены для контрольного испытания мною были допущены в работу и приняты.</w:t>
      </w:r>
    </w:p>
    <w:p w14:paraId="670F36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Сдача броневых агрегатов (корпусов).</w:t>
      </w:r>
    </w:p>
    <w:p w14:paraId="4DAB91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Сборка первых пяти корпусов произведена удовлетворительно. Но при сборке встречаются боль-ие трудности, с которыми иногда невозможно справиться. Эти трудности создаются весьма низким чеством правки брони, последняя производится весьма кустарным способом (считаю, что описание Ьюго способа в мой доклад не входит). Это дает весьма низкую производительность труда и отврати-рельное качество. Несколько хуже дело обстоит с болтовыми соединениями в броневых корпусах.</w:t>
      </w:r>
    </w:p>
    <w:p w14:paraId="49EFB3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Болтовое соединение производят не аккуратно и даже неправильно, что подтвердилось во время испытания танков пробегом.</w:t>
      </w:r>
    </w:p>
    <w:p w14:paraId="0BD321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Первые пять броневых корпусов испытание на водопроницаемость не проходили из-за отсутствия обо</w:t>
      </w:r>
      <w:r w:rsidRPr="00507A31">
        <w:rPr>
          <w:color w:val="000000" w:themeColor="text1"/>
          <w:sz w:val="16"/>
          <w:szCs w:val="16"/>
        </w:rPr>
        <w:softHyphen/>
        <w:t>рудования, начиная с шестого броневого корпуса, испытание на водопроницаемость будет производиться. Пять броневых корпусов с окончательным монтажом мной приняты.</w:t>
      </w:r>
    </w:p>
    <w:p w14:paraId="3DB59E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Испытание танков пробегом.</w:t>
      </w:r>
    </w:p>
    <w:p w14:paraId="7BA08A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Характеристика избранного мною пути следующая:</w:t>
      </w:r>
    </w:p>
    <w:p w14:paraId="58EF2F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Общий километраж пробега равняется 35 километров (определено по спидометру Форда), из них 28 километров движение совершается по грунтовой дороге среднего качества (в хорошую погоду) и 7 километров по шоссейной дороге, тоже среднего качества,</w:t>
      </w:r>
    </w:p>
    <w:p w14:paraId="6AF41B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грунтовая дорога имеет наибольшие подъемы 12 градусов. 21 мая были предъявлены два первых танка для испытания пробегом. При осмотре мною (перед началом проведения) была обнаруже-ю неправильная регулировка приводов управления и тормозов.</w:t>
      </w:r>
    </w:p>
    <w:p w14:paraId="31BE2D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 время испытания на всем километраже танки шли хорошо, тяговое усилие было достаточное на всех передачах в коробке скоростей, и на ровном участке шоссейной дороги оба танка дали макси-рильную скорость 16 километров в час. При движении был обнаружен дефект только в одном танке — I это сломалась маслопроводная трубка в месте соединения поддона с манометром. Объясняю поломку трубки плохим качеством материала. При этом было произведено испытание на водопроницаемость, I для этого танки были пущены вброд глубиной 0,8 м и прошли по этой глубине около 20 метров — результат этого испытания был хороший.</w:t>
      </w:r>
    </w:p>
    <w:p w14:paraId="67DE53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После испытания пробегом, танки подвергаются окончательной разборке. Дефекты еще полностью не выяснены, но много уже обнаружено чисто производственного порядка, что говорит за от</w:t>
      </w:r>
      <w:r w:rsidRPr="00507A31">
        <w:rPr>
          <w:color w:val="000000" w:themeColor="text1"/>
          <w:sz w:val="16"/>
          <w:szCs w:val="16"/>
        </w:rPr>
        <w:softHyphen/>
        <w:t>сутствие тщательной сборки агрегатов.</w:t>
      </w:r>
    </w:p>
    <w:p w14:paraId="572B8B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 мая были предъявлены еще два танка для испытания пробегом.</w:t>
      </w:r>
    </w:p>
    <w:p w14:paraId="3C9DEB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начале пробега (пройдя 5-7 километров) было обнаружено в одном танке заедание двух ниж</w:t>
      </w:r>
      <w:r w:rsidRPr="00507A31">
        <w:rPr>
          <w:color w:val="000000" w:themeColor="text1"/>
          <w:sz w:val="16"/>
          <w:szCs w:val="16"/>
        </w:rPr>
        <w:softHyphen/>
        <w:t>них катков, от чего произошел задир резины катков, а во втором сломалась рессора. Из-за наличия указанных причин пробег не состоялся.</w:t>
      </w:r>
    </w:p>
    <w:p w14:paraId="1152B7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рассмотрении вышеозначенных дефектов, было обнаружено следующее:</w:t>
      </w:r>
    </w:p>
    <w:p w14:paraId="2D5545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заедание нижних катков произошло от плохого качества термической обработки роликопод</w:t>
      </w:r>
      <w:r w:rsidRPr="00507A31">
        <w:rPr>
          <w:color w:val="000000" w:themeColor="text1"/>
          <w:sz w:val="16"/>
          <w:szCs w:val="16"/>
        </w:rPr>
        <w:softHyphen/>
        <w:t>шипников, которые были побиты (измельчены, как стекло) и побитость их произошла очевидно в момент проверки тормозов перед началом движения, кроме этого было обнаружено недостаточное количество смазки в нижних и верхних катках.</w:t>
      </w:r>
    </w:p>
    <w:p w14:paraId="3B6916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поломка рессоры произошла из-за имеющейся трещины на внутренней поверхности ушка.</w:t>
      </w:r>
    </w:p>
    <w:p w14:paraId="4981BE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июня эти же два танка были вторично предъявлены для испытания пробегом.</w:t>
      </w:r>
    </w:p>
    <w:p w14:paraId="116FA9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Этот день был весьма тяжелым для испытания пробегом, т.к. день стоял дождливый, отчего грунтовая дорога превратилась в сплошную вязкую грязь, очень часто доходящая до глубины 80-100 мм. Но, несмотря на такое большое сопротивление движению танков, последние шли удовлетворительно (большей частью на второй передаче) и только в конце движения (пройдя 28 - 30 километров) бы ло обнаружено в обоих танках заедание нижних катков.</w:t>
      </w:r>
    </w:p>
    <w:p w14:paraId="03C1DA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Причины заедания.</w:t>
      </w:r>
    </w:p>
    <w:p w14:paraId="3EEE58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Еще окончательно не установлены, но есть основания предполагать, что это явление произошло от двух факторов: а) плохое качество роликоподшипников (ролики ломаются как стекло), б) не совсем хорошая герметичность, благодаря чему попадала грязь, которая смешивалась со смазкой,' создавало ненормальные условия для работы роликоподшипников.</w:t>
      </w:r>
    </w:p>
    <w:p w14:paraId="58D3FD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испытании пробегом был произведен опыт на взятие подъема в 20 - 25 градусов с твердым дерновым грунтом. Результат этого испытания был отрицательным; танк не мог взять этого подъема из-з отсутствия силы сцепления гусеницы с грунтом (гусеницы пробуксовывали) и, дойдя до середины подъ ема танк как бы на момент останавливался и затем как на салазках катился вниз до основания подъема.</w:t>
      </w:r>
    </w:p>
    <w:p w14:paraId="57AF76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Отсюда вывод: необходимо перейти к гусеницам новой конструкции «Орлиный коготь», которая в этом отношении дает несравненно лучший результат (испытание в ноябре и декабре 1929 г.).</w:t>
      </w:r>
    </w:p>
    <w:p w14:paraId="015956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Итак при испытании четырех танков пробегом, можно сказать, что испытание выдержали тол ко два танка, а два других остаются под сомнением и очевидно будут предъявлены в третий раз, для меньшего испытания.</w:t>
      </w:r>
    </w:p>
    <w:p w14:paraId="5B59B0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Узкие места в танковом производстве.</w:t>
      </w:r>
    </w:p>
    <w:p w14:paraId="1ACDF8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Металлургический отдел.</w:t>
      </w:r>
    </w:p>
    <w:p w14:paraId="6AC353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 сих пор сталь марки X1Н (которая заменяет ныне сталь марки ЦК) выплавляется с повышеннь содержанием никеля, так, например, по техническим условиям должно варьироваться в пределах 2,8-3,4 % N1, тогда как завод с таким содержанием никеля сталь никогда не дает, а предлагает времена сталь с содержанием никеля до 4 %. Я дал заводу свое согласие только на 0,2 % N1 превышающих норм по техническим условиям допустить большой процент N1 я не могу, зная низкое качество термическо обработки завода, в особенности цементации, тогда как сталь с повышенным содержанием никеля т бует тщательной термической обработки. Кроме того, составленное положение Главным Металлург о характере цементации и о толщине слоя последней, для деталей 52, 127, 124 мною было опротестов. но и составлено [заново] при моем участии, для всех деталей, проходящих цементацию.</w:t>
      </w:r>
    </w:p>
    <w:p w14:paraId="6264E3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Производство рессор.</w:t>
      </w:r>
    </w:p>
    <w:p w14:paraId="536845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Производство рессор до сегодняшнего дня происходило весьма отвратительно, в особенное! их сборка, благодаря чему рессоры имели брак временами до 100 %. Во второй половине прошлой месяца мною были забракованы все 16 рессор, предъявленных к технической приемке, на что мною было дано письменное указание, как бы дополняющее технические условия на прием рессор.</w:t>
      </w:r>
    </w:p>
    <w:p w14:paraId="62437F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Привожу текст:</w:t>
      </w:r>
    </w:p>
    <w:p w14:paraId="528278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Изготовляемые рессоры для танков «МС-1» по наружному виду и сборке не могут быть предъя^ влены к технической приемке, если рессорные листы, из которых составлена рессора, будут име нижеследующие дефекты:</w:t>
      </w:r>
    </w:p>
    <w:p w14:paraId="725107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чисто не прокатаны,</w:t>
      </w:r>
    </w:p>
    <w:p w14:paraId="29A2CA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если имеются раковины, трещины, плены, расслоения и пузыри, а также и значительные заб ины, влияющие на прочность и надежность работы рессор,</w:t>
      </w:r>
    </w:p>
    <w:p w14:paraId="652F5B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перед сборкой рессор выгнутые поверхности рессорных полос должны быть смазаны смесью масла с графитом. Концы полос, как в свободном, так и в нагруженном состоянии, при испытании! на изгиб должны плотно прилегать к соседним листам,</w:t>
      </w:r>
    </w:p>
    <w:p w14:paraId="64C995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плотность прилегания подкоренного листа рессоры к коренному проверяется щупом толщинок 0,2 мм; плотность прилегания всех остальных листов рессор проверяется щупом толщиной 0,2 мм,</w:t>
      </w:r>
    </w:p>
    <w:p w14:paraId="246AED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вход указанных щупов допускается по длине рессор не более 50 мм, на концах всех рессорн листов допускается проникновение щупа 0,1 мм, на длину до 50 мм,</w:t>
      </w:r>
    </w:p>
    <w:p w14:paraId="351D91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 размеры и допуска: а) число листов должно быть обусловлено чертежом; большее же число листов допускается не свыше чем один лист и при условии соблюдения всех требований испыта</w:t>
      </w:r>
      <w:r w:rsidRPr="00507A31">
        <w:rPr>
          <w:color w:val="000000" w:themeColor="text1"/>
          <w:sz w:val="16"/>
          <w:szCs w:val="16"/>
        </w:rPr>
        <w:softHyphen/>
        <w:t>ния и общего увеличения толщины рессор не более 3 мм, б) длина хорды между центрами ушков может отличаться от данной по чертежу или образцу не более 0,5 %, в) заводская стрела прогиба не должна отличаться от заданной чертежом или по образцу более, чем на 2 мм, г) разница по тол</w:t>
      </w:r>
      <w:r w:rsidRPr="00507A31">
        <w:rPr>
          <w:color w:val="000000" w:themeColor="text1"/>
          <w:sz w:val="16"/>
          <w:szCs w:val="16"/>
        </w:rPr>
        <w:softHyphen/>
        <w:t>щине и по ширине с двух сторон профиля не должна превышать для одной полосы + 0,5 %.</w:t>
      </w:r>
    </w:p>
    <w:p w14:paraId="4A737E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кажется, эти дополнительные техусловия принимает с большим нежеланием.</w:t>
      </w:r>
    </w:p>
    <w:p w14:paraId="4BCF5C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Большой процент брака по таким деталям, как головки к цилиндрам и рамки пушек все еще про</w:t>
      </w:r>
      <w:r w:rsidRPr="00507A31">
        <w:rPr>
          <w:color w:val="000000" w:themeColor="text1"/>
          <w:sz w:val="16"/>
          <w:szCs w:val="16"/>
        </w:rPr>
        <w:softHyphen/>
        <w:t>должается.</w:t>
      </w:r>
    </w:p>
    <w:p w14:paraId="6D2DFF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Ниже приводится таблица брака, имевшего место за прошлый месяц.</w:t>
      </w:r>
    </w:p>
    <w:p w14:paraId="18C276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Брак по двигателю</w:t>
      </w:r>
    </w:p>
    <w:tbl>
      <w:tblPr>
        <w:tblW w:w="0" w:type="auto"/>
        <w:tblInd w:w="40" w:type="dxa"/>
        <w:tblLayout w:type="fixed"/>
        <w:tblCellMar>
          <w:left w:w="40" w:type="dxa"/>
          <w:right w:w="40" w:type="dxa"/>
        </w:tblCellMar>
        <w:tblLook w:val="0000" w:firstRow="0" w:lastRow="0" w:firstColumn="0" w:lastColumn="0" w:noHBand="0" w:noVBand="0"/>
      </w:tblPr>
      <w:tblGrid>
        <w:gridCol w:w="3379"/>
        <w:gridCol w:w="912"/>
        <w:gridCol w:w="1152"/>
        <w:gridCol w:w="1133"/>
      </w:tblGrid>
      <w:tr w:rsidR="00E371BA" w:rsidRPr="00507A31" w14:paraId="00BD64E8" w14:textId="77777777">
        <w:trPr>
          <w:trHeight w:val="288"/>
        </w:trPr>
        <w:tc>
          <w:tcPr>
            <w:tcW w:w="3379" w:type="dxa"/>
            <w:tcBorders>
              <w:top w:val="single" w:sz="6" w:space="0" w:color="auto"/>
              <w:left w:val="single" w:sz="6" w:space="0" w:color="auto"/>
              <w:bottom w:val="single" w:sz="6" w:space="0" w:color="auto"/>
              <w:right w:val="single" w:sz="6" w:space="0" w:color="auto"/>
            </w:tcBorders>
          </w:tcPr>
          <w:p w14:paraId="7750E9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чьей вине брак</w:t>
            </w:r>
          </w:p>
          <w:p w14:paraId="762914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0FDF8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Разное.</w:t>
            </w:r>
          </w:p>
          <w:p w14:paraId="4A3A62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CEF73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Колич. штук</w:t>
            </w:r>
          </w:p>
          <w:p w14:paraId="492DFC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430BA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Вес,кг</w:t>
            </w:r>
          </w:p>
          <w:p w14:paraId="5C77F3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5819C77"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7CD4D7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вине рабочих Мех. 5</w:t>
            </w:r>
          </w:p>
          <w:p w14:paraId="0C6B4E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BA3D0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154</w:t>
            </w:r>
          </w:p>
          <w:p w14:paraId="267033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96DB3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2033</w:t>
            </w:r>
          </w:p>
          <w:p w14:paraId="4079A5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5D5B6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481,663</w:t>
            </w:r>
          </w:p>
          <w:p w14:paraId="42B56F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5DAF2D0"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185C6D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вине Администрации</w:t>
            </w:r>
          </w:p>
          <w:p w14:paraId="2CE493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7F283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w:t>
            </w:r>
          </w:p>
          <w:p w14:paraId="0D9875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CCEB2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337</w:t>
            </w:r>
          </w:p>
          <w:p w14:paraId="10A40A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35F3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37,581</w:t>
            </w:r>
          </w:p>
          <w:p w14:paraId="30BE0B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49F99AA"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3BA1D4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вине Чугунолитейного цеха.</w:t>
            </w:r>
          </w:p>
          <w:p w14:paraId="4A5982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FFD3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w:t>
            </w:r>
          </w:p>
          <w:p w14:paraId="7F5AF7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FCAA7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87</w:t>
            </w:r>
          </w:p>
          <w:p w14:paraId="7C7D9F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A5541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567,3</w:t>
            </w:r>
          </w:p>
          <w:p w14:paraId="33B57D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1DD6D08"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09D6F5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вине Контрольного Отдела</w:t>
            </w:r>
          </w:p>
          <w:p w14:paraId="168611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6035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75FAA0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AEA41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77D54C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CD828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7,3</w:t>
            </w:r>
          </w:p>
          <w:p w14:paraId="1B9F1B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AB1C6C2"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66ACA5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вине Конструкторского Бюро</w:t>
            </w:r>
          </w:p>
          <w:p w14:paraId="084E22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89B37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35ACCF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1926C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1074</w:t>
            </w:r>
          </w:p>
          <w:p w14:paraId="295619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718E6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8,5</w:t>
            </w:r>
          </w:p>
          <w:p w14:paraId="4161A9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7B7DAFC"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7122E0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вине Инструментального цеха</w:t>
            </w:r>
          </w:p>
          <w:p w14:paraId="61FB7D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7FC9D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0124C6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AE653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710FFD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D8FD8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14,8</w:t>
            </w:r>
          </w:p>
          <w:p w14:paraId="628307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2EF5D3D" w14:textId="77777777">
        <w:trPr>
          <w:trHeight w:val="211"/>
        </w:trPr>
        <w:tc>
          <w:tcPr>
            <w:tcW w:w="3379" w:type="dxa"/>
            <w:tcBorders>
              <w:top w:val="single" w:sz="6" w:space="0" w:color="auto"/>
              <w:left w:val="single" w:sz="6" w:space="0" w:color="auto"/>
              <w:bottom w:val="single" w:sz="6" w:space="0" w:color="auto"/>
              <w:right w:val="single" w:sz="6" w:space="0" w:color="auto"/>
            </w:tcBorders>
          </w:tcPr>
          <w:p w14:paraId="4358DC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вине Прокатного цеха</w:t>
            </w:r>
          </w:p>
          <w:p w14:paraId="431E43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B0AEC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6D3005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63DE1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6F11B2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508B4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0,7</w:t>
            </w:r>
          </w:p>
          <w:p w14:paraId="0A04BD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A844A10"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63D8D0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вине Сталелитейного цеха</w:t>
            </w:r>
          </w:p>
          <w:p w14:paraId="0FCCCB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EB871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44E842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D5973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w:t>
            </w:r>
          </w:p>
          <w:p w14:paraId="0BBF01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99E4E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092C10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E18824F"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401A3B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вине Отдела металлургического</w:t>
            </w:r>
          </w:p>
          <w:p w14:paraId="4960E9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5DE9A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67D8EB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7C001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p w14:paraId="6C03F9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F99F9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46,3</w:t>
            </w:r>
          </w:p>
          <w:p w14:paraId="00FD3C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727D7A0"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5D4BDB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вине Кузнечного цеха</w:t>
            </w:r>
          </w:p>
          <w:p w14:paraId="422FC7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FDAD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47F195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A0882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537A31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1D5BA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4F6094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25F5D2E"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5E87DE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w:t>
            </w:r>
          </w:p>
          <w:p w14:paraId="1D8027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86803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212</w:t>
            </w:r>
          </w:p>
          <w:p w14:paraId="294FD3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65FBE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3561</w:t>
            </w:r>
          </w:p>
          <w:p w14:paraId="5217A5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03C6D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1175,144</w:t>
            </w:r>
          </w:p>
          <w:p w14:paraId="593A73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D5301CC"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0F867D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 по корпусу и двигателю</w:t>
            </w:r>
          </w:p>
          <w:p w14:paraId="35812F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80C68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47</w:t>
            </w:r>
          </w:p>
          <w:p w14:paraId="4F141D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BF72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514</w:t>
            </w:r>
          </w:p>
          <w:p w14:paraId="388F30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83EFF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726</w:t>
            </w:r>
          </w:p>
          <w:p w14:paraId="53EA44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38AB023" w14:textId="77777777">
        <w:trPr>
          <w:trHeight w:val="240"/>
        </w:trPr>
        <w:tc>
          <w:tcPr>
            <w:tcW w:w="3379" w:type="dxa"/>
            <w:tcBorders>
              <w:top w:val="single" w:sz="6" w:space="0" w:color="auto"/>
              <w:left w:val="single" w:sz="6" w:space="0" w:color="auto"/>
              <w:bottom w:val="single" w:sz="6" w:space="0" w:color="auto"/>
              <w:right w:val="single" w:sz="6" w:space="0" w:color="auto"/>
            </w:tcBorders>
          </w:tcPr>
          <w:p w14:paraId="5478CF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p w14:paraId="39B918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CFA4D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259</w:t>
            </w:r>
          </w:p>
          <w:p w14:paraId="7972F1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9B27B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4075</w:t>
            </w:r>
          </w:p>
          <w:p w14:paraId="5F44EB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21E85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1901,144</w:t>
            </w:r>
          </w:p>
          <w:p w14:paraId="17E627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2A9423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 этого числа отнести как материал для других целей: по корпусу 155 шт. 52,3 кг, двигателю 1064 шт. 9,6 кг, Итого: 1224 шт. 61,9 кг.</w:t>
      </w:r>
    </w:p>
    <w:p w14:paraId="1020F2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При этом прилагаю сведения за № 1 - 14.' При рассмотрении этих ведомостей дела</w:t>
      </w:r>
      <w:r w:rsidRPr="00507A31">
        <w:rPr>
          <w:color w:val="000000" w:themeColor="text1"/>
          <w:sz w:val="16"/>
          <w:szCs w:val="16"/>
        </w:rPr>
        <w:softHyphen/>
        <w:t>ешь такой вывод, что узким местом по танкостроению является режущий специальный ин</w:t>
      </w:r>
      <w:r w:rsidRPr="00507A31">
        <w:rPr>
          <w:color w:val="000000" w:themeColor="text1"/>
          <w:sz w:val="16"/>
          <w:szCs w:val="16"/>
        </w:rPr>
        <w:softHyphen/>
        <w:t>струмент как по двигателю, так и по корпусу.</w:t>
      </w:r>
    </w:p>
    <w:p w14:paraId="5B1658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Вторым узким местом является — покупные материалы и принадлежности. Тут надо будет боль</w:t>
      </w:r>
      <w:r w:rsidRPr="00507A31">
        <w:rPr>
          <w:color w:val="000000" w:themeColor="text1"/>
          <w:sz w:val="16"/>
          <w:szCs w:val="16"/>
        </w:rPr>
        <w:softHyphen/>
        <w:t>шую часть вины возложить на коммерческую часть завода, которая весьма неэнергично в этом отно</w:t>
      </w:r>
      <w:r w:rsidRPr="00507A31">
        <w:rPr>
          <w:color w:val="000000" w:themeColor="text1"/>
          <w:sz w:val="16"/>
          <w:szCs w:val="16"/>
        </w:rPr>
        <w:softHyphen/>
        <w:t>шении ведет свою работу.</w:t>
      </w:r>
    </w:p>
    <w:p w14:paraId="035BA2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Теперь несколько слов о качестве и количестве рабочей силы, находящейся при испытатель</w:t>
      </w:r>
      <w:r w:rsidRPr="00507A31">
        <w:rPr>
          <w:color w:val="000000" w:themeColor="text1"/>
          <w:sz w:val="16"/>
          <w:szCs w:val="16"/>
        </w:rPr>
        <w:softHyphen/>
        <w:t>ной станции танкостроительного цеха.</w:t>
      </w:r>
    </w:p>
    <w:p w14:paraId="6D8712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Тут надо сказать нижеследующее, что, кроме того, что эта рабочая сила, как по количеству, так и по качеству не удовлетворяет запросам производства танкостроения, но она еще зачастую нераци</w:t>
      </w:r>
      <w:r w:rsidRPr="00507A31">
        <w:rPr>
          <w:color w:val="000000" w:themeColor="text1"/>
          <w:sz w:val="16"/>
          <w:szCs w:val="16"/>
        </w:rPr>
        <w:softHyphen/>
        <w:t>онально используется и благодаря этим причинам, танки могут быть окончательно приняты после их испытания пробегом только через месяц.</w:t>
      </w:r>
    </w:p>
    <w:p w14:paraId="71DDAA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Затем необходимо еще напомнить, что до сих пор мною и заводом не получено как вооруже</w:t>
      </w:r>
      <w:r w:rsidRPr="00507A31">
        <w:rPr>
          <w:color w:val="000000" w:themeColor="text1"/>
          <w:sz w:val="16"/>
          <w:szCs w:val="16"/>
        </w:rPr>
        <w:softHyphen/>
        <w:t>ние, с которым танки должны будут отправиться с завода, так и шанцевый инструмент.</w:t>
      </w:r>
    </w:p>
    <w:p w14:paraId="5FE73B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Военный представитель УММ РККА инженер Морозов</w:t>
      </w:r>
    </w:p>
    <w:p w14:paraId="44E092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РГВАФ. 31811. Оп. 1. Д. 253. Л. 176- 181. Подлинник (11210).</w:t>
      </w:r>
    </w:p>
    <w:p w14:paraId="7668DAC1" w14:textId="77777777" w:rsidR="00537E5F" w:rsidRPr="00507A31" w:rsidRDefault="00537E5F" w:rsidP="00507A31">
      <w:pPr>
        <w:autoSpaceDE w:val="0"/>
        <w:autoSpaceDN w:val="0"/>
        <w:adjustRightInd w:val="0"/>
        <w:jc w:val="both"/>
        <w:rPr>
          <w:color w:val="000000" w:themeColor="text1"/>
          <w:sz w:val="16"/>
          <w:szCs w:val="16"/>
        </w:rPr>
      </w:pPr>
    </w:p>
    <w:p w14:paraId="2F9D166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87028E2" w14:textId="77777777" w:rsidR="00537E5F" w:rsidRPr="00507A31" w:rsidRDefault="00537E5F" w:rsidP="00507A31">
      <w:pPr>
        <w:autoSpaceDE w:val="0"/>
        <w:autoSpaceDN w:val="0"/>
        <w:adjustRightInd w:val="0"/>
        <w:jc w:val="both"/>
        <w:rPr>
          <w:iCs/>
          <w:color w:val="000000" w:themeColor="text1"/>
          <w:sz w:val="16"/>
          <w:szCs w:val="16"/>
        </w:rPr>
      </w:pPr>
    </w:p>
    <w:p w14:paraId="41DD2EE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9 июня 1930 чикагской мафией убит самый богатый в мире репортер Альфред Лингле («Чикаго Трибюн») (4962).</w:t>
      </w:r>
    </w:p>
    <w:p w14:paraId="5D5E4F9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61FC8E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C6BA548" w14:textId="77777777" w:rsidR="00537E5F" w:rsidRPr="00507A31" w:rsidRDefault="00537E5F" w:rsidP="00507A31">
      <w:pPr>
        <w:autoSpaceDE w:val="0"/>
        <w:autoSpaceDN w:val="0"/>
        <w:adjustRightInd w:val="0"/>
        <w:jc w:val="both"/>
        <w:rPr>
          <w:iCs/>
          <w:color w:val="000000" w:themeColor="text1"/>
          <w:sz w:val="16"/>
          <w:szCs w:val="16"/>
        </w:rPr>
      </w:pPr>
    </w:p>
    <w:p w14:paraId="18B080B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 июня 1930 года летчиком Бухгольц производились испытания самолета Д2-БМВ6 с новым оперением (6925).</w:t>
      </w:r>
    </w:p>
    <w:p w14:paraId="4645CF5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F30B3B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A6B75A2" w14:textId="77777777" w:rsidR="00537E5F" w:rsidRPr="00507A31" w:rsidRDefault="00537E5F" w:rsidP="00507A31">
      <w:pPr>
        <w:autoSpaceDE w:val="0"/>
        <w:autoSpaceDN w:val="0"/>
        <w:adjustRightInd w:val="0"/>
        <w:jc w:val="both"/>
        <w:rPr>
          <w:iCs/>
          <w:color w:val="000000" w:themeColor="text1"/>
          <w:sz w:val="16"/>
          <w:szCs w:val="16"/>
        </w:rPr>
      </w:pPr>
    </w:p>
    <w:p w14:paraId="578C8E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июня 1930 начальник вооружение РККА И.П.Уборевич отдал распоряжение о переходе на производство новой мосинской винтовки образца 1910/1930 (355,3).</w:t>
      </w:r>
    </w:p>
    <w:p w14:paraId="4655354E" w14:textId="77777777" w:rsidR="00537E5F" w:rsidRPr="00507A31" w:rsidRDefault="00537E5F" w:rsidP="00507A31">
      <w:pPr>
        <w:autoSpaceDE w:val="0"/>
        <w:autoSpaceDN w:val="0"/>
        <w:adjustRightInd w:val="0"/>
        <w:jc w:val="both"/>
        <w:rPr>
          <w:color w:val="000000" w:themeColor="text1"/>
          <w:sz w:val="16"/>
          <w:szCs w:val="16"/>
        </w:rPr>
      </w:pPr>
    </w:p>
    <w:p w14:paraId="4DEAC52E"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10 июля 1930 года под трибунами, нового стадиона «Динамо», изумлявшего москвичей и приезжих смелыми архитектурными формами, открыли первую выставку советских мотоциклов. На ней были «Союз», пятерка Ижей, «Тремасс-300», машины, созданные на харьковском заводе «Укравто», тульская «Композиция», английский БСА-500, который думали делать на московском заводе «Велострой». Тресты с входившими в моду аббревиационными и сокращенными названиями «ВАТО», «ГЭТ», «Паротруб», «Союзнефть», «Резинотрест» показали свои изделия для нарождающейся мотоциклетной промышленности. На выставке побывали тысячи посетителей, в том числе представители различных организаций и ведомств. Например, заместитель наркома по военным и морским делам С. С. Каменев, занимавшийся и вопросами моторизации Красной Армии, в беседе с работниками «Тремасса» подчеркнул: «Я считаю, что для боевых условий нужна особая машина для особой службы и полностью разделяю взгляд, что легкая машина в целом ряде случаев выполнит и обслужит боевые потребности» (11396).</w:t>
      </w:r>
    </w:p>
    <w:p w14:paraId="429B595E" w14:textId="77777777" w:rsidR="00537E5F" w:rsidRPr="00507A31" w:rsidRDefault="00537E5F" w:rsidP="00507A31">
      <w:pPr>
        <w:widowControl w:val="0"/>
        <w:autoSpaceDE w:val="0"/>
        <w:autoSpaceDN w:val="0"/>
        <w:adjustRightInd w:val="0"/>
        <w:jc w:val="both"/>
        <w:rPr>
          <w:color w:val="000000" w:themeColor="text1"/>
          <w:sz w:val="16"/>
          <w:szCs w:val="16"/>
        </w:rPr>
      </w:pPr>
    </w:p>
    <w:p w14:paraId="5CC034F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4BC4B42" w14:textId="77777777" w:rsidR="00537E5F" w:rsidRPr="00507A31" w:rsidRDefault="00537E5F" w:rsidP="00507A31">
      <w:pPr>
        <w:autoSpaceDE w:val="0"/>
        <w:autoSpaceDN w:val="0"/>
        <w:adjustRightInd w:val="0"/>
        <w:jc w:val="both"/>
        <w:rPr>
          <w:iCs/>
          <w:color w:val="000000" w:themeColor="text1"/>
          <w:sz w:val="16"/>
          <w:szCs w:val="16"/>
        </w:rPr>
      </w:pPr>
    </w:p>
    <w:p w14:paraId="569FFB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июня 1930 вышло постановление СТО о строительстве Беломорканала с привлечением 120 тыс. ЗК (3908,333).</w:t>
      </w:r>
    </w:p>
    <w:p w14:paraId="52903126" w14:textId="77777777" w:rsidR="00537E5F" w:rsidRPr="00507A31" w:rsidRDefault="00537E5F" w:rsidP="00507A31">
      <w:pPr>
        <w:autoSpaceDE w:val="0"/>
        <w:autoSpaceDN w:val="0"/>
        <w:adjustRightInd w:val="0"/>
        <w:jc w:val="both"/>
        <w:rPr>
          <w:color w:val="000000" w:themeColor="text1"/>
          <w:sz w:val="16"/>
          <w:szCs w:val="16"/>
        </w:rPr>
      </w:pPr>
    </w:p>
    <w:p w14:paraId="00BA634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97FB141" w14:textId="77777777" w:rsidR="00537E5F" w:rsidRPr="00507A31" w:rsidRDefault="00537E5F" w:rsidP="00507A31">
      <w:pPr>
        <w:autoSpaceDE w:val="0"/>
        <w:autoSpaceDN w:val="0"/>
        <w:adjustRightInd w:val="0"/>
        <w:jc w:val="both"/>
        <w:rPr>
          <w:iCs/>
          <w:color w:val="000000" w:themeColor="text1"/>
          <w:sz w:val="16"/>
          <w:szCs w:val="16"/>
        </w:rPr>
      </w:pPr>
    </w:p>
    <w:p w14:paraId="02BFB3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июня 1930 было принято решение об изготовлении САУ с 76-мм пушкой обр. 1927 на базе танка Т-18, разработанной К.М.Ивановым в АНИИ. Требовалось сделать до 10 октября, но работы остановили в пользу той же САУ, но на базе Т-19 (4243,25).</w:t>
      </w:r>
    </w:p>
    <w:p w14:paraId="0F65671F" w14:textId="77777777" w:rsidR="00537E5F" w:rsidRPr="00507A31" w:rsidRDefault="00537E5F" w:rsidP="00507A31">
      <w:pPr>
        <w:autoSpaceDE w:val="0"/>
        <w:autoSpaceDN w:val="0"/>
        <w:adjustRightInd w:val="0"/>
        <w:jc w:val="both"/>
        <w:rPr>
          <w:color w:val="000000" w:themeColor="text1"/>
          <w:sz w:val="16"/>
          <w:szCs w:val="16"/>
        </w:rPr>
      </w:pPr>
    </w:p>
    <w:p w14:paraId="4031C2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июня 1930 г. был подписан для изготовления проект танка огневого сопровождения К.М.Иванова. Но вскоре работы над САУ были остановлены в пользу создания такой же машины, но на шасси Т-19 (6469, 12).</w:t>
      </w:r>
    </w:p>
    <w:p w14:paraId="5010E3B1" w14:textId="77777777" w:rsidR="00537E5F" w:rsidRPr="00507A31" w:rsidRDefault="00537E5F" w:rsidP="00507A31">
      <w:pPr>
        <w:autoSpaceDE w:val="0"/>
        <w:autoSpaceDN w:val="0"/>
        <w:adjustRightInd w:val="0"/>
        <w:jc w:val="both"/>
        <w:rPr>
          <w:color w:val="000000" w:themeColor="text1"/>
          <w:sz w:val="16"/>
          <w:szCs w:val="16"/>
        </w:rPr>
      </w:pPr>
    </w:p>
    <w:p w14:paraId="32FBE5C0" w14:textId="77777777" w:rsidR="003B4100" w:rsidRPr="00507A31" w:rsidRDefault="003B4100" w:rsidP="00507A31">
      <w:pPr>
        <w:jc w:val="both"/>
        <w:rPr>
          <w:bCs/>
          <w:iCs/>
          <w:color w:val="000000" w:themeColor="text1"/>
          <w:sz w:val="16"/>
          <w:szCs w:val="16"/>
        </w:rPr>
      </w:pPr>
      <w:r w:rsidRPr="00507A31">
        <w:rPr>
          <w:color w:val="000000" w:themeColor="text1"/>
          <w:sz w:val="16"/>
          <w:szCs w:val="16"/>
        </w:rPr>
        <w:t>11 Июня 1930</w:t>
      </w:r>
    </w:p>
    <w:p w14:paraId="04A9D889" w14:textId="77777777" w:rsidR="003B4100" w:rsidRPr="00507A31" w:rsidRDefault="003B4100" w:rsidP="00507A31">
      <w:pPr>
        <w:jc w:val="both"/>
        <w:rPr>
          <w:color w:val="000000" w:themeColor="text1"/>
          <w:sz w:val="16"/>
          <w:szCs w:val="16"/>
        </w:rPr>
      </w:pPr>
      <w:r w:rsidRPr="00507A31">
        <w:rPr>
          <w:bCs/>
          <w:iCs/>
          <w:color w:val="000000" w:themeColor="text1"/>
          <w:sz w:val="16"/>
          <w:szCs w:val="16"/>
        </w:rPr>
        <w:t>РГВА Фонд 31811 Опись 1 Дело 38 лист 231</w:t>
      </w:r>
      <w:r w:rsidRPr="00507A31">
        <w:rPr>
          <w:color w:val="000000" w:themeColor="text1"/>
          <w:sz w:val="16"/>
          <w:szCs w:val="16"/>
        </w:rPr>
        <w:t xml:space="preserve"> </w:t>
      </w:r>
    </w:p>
    <w:p w14:paraId="02E4B4D3" w14:textId="77777777" w:rsidR="003B4100" w:rsidRPr="00507A31" w:rsidRDefault="003B4100" w:rsidP="00507A31">
      <w:pPr>
        <w:jc w:val="both"/>
        <w:rPr>
          <w:color w:val="000000" w:themeColor="text1"/>
          <w:sz w:val="16"/>
          <w:szCs w:val="16"/>
        </w:rPr>
      </w:pPr>
      <w:r w:rsidRPr="00507A31">
        <w:rPr>
          <w:color w:val="000000" w:themeColor="text1"/>
          <w:sz w:val="16"/>
          <w:szCs w:val="16"/>
        </w:rPr>
        <w:lastRenderedPageBreak/>
        <w:t xml:space="preserve">Сов.Секретно </w:t>
      </w:r>
    </w:p>
    <w:p w14:paraId="1AF9A6D8"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Экз. № 2 </w:t>
      </w:r>
    </w:p>
    <w:p w14:paraId="76827C0B"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11 Июня 1930 г. </w:t>
      </w:r>
    </w:p>
    <w:p w14:paraId="06DD9F18"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 900551 </w:t>
      </w:r>
    </w:p>
    <w:p w14:paraId="7F2D212C" w14:textId="77777777" w:rsidR="003B4100" w:rsidRPr="00507A31" w:rsidRDefault="003B4100" w:rsidP="00507A31">
      <w:pPr>
        <w:jc w:val="both"/>
        <w:rPr>
          <w:color w:val="000000" w:themeColor="text1"/>
          <w:sz w:val="16"/>
          <w:szCs w:val="16"/>
        </w:rPr>
      </w:pPr>
      <w:r w:rsidRPr="00507A31">
        <w:rPr>
          <w:color w:val="000000" w:themeColor="text1"/>
          <w:sz w:val="16"/>
          <w:szCs w:val="16"/>
        </w:rPr>
        <w:t>НАЧАЛЬНИКУ МОБИЛИЗАЦИОННО-ПЛАНОВОГО УПРАВЛЕНИЯ ВСНХ</w:t>
      </w:r>
    </w:p>
    <w:p w14:paraId="015EA3CD"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Препровождаю копию заключенного с фирмой "Кристи" договора по изготовлению двух образцов танка "КРИСТИ" и оказаний технической помощи по организации производства танка "КРИСТИ" в Советском Союзе. </w:t>
      </w:r>
    </w:p>
    <w:p w14:paraId="26BEAB0B"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Прошу Вашего распоряжения об ознакомлении заинтересованных объединений ВСНХ СССР с вышеуказанным договором и о проработке мероприятий по изготовлению и организации производства танка "КРИСТИ" на предприятиях нашей промышленности. </w:t>
      </w:r>
    </w:p>
    <w:p w14:paraId="7BB487FB"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УМ РККА организация этого производства намечается в следующем порядке: </w:t>
      </w:r>
    </w:p>
    <w:p w14:paraId="57D19C5C"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мотор М-5 на 24 Авиазаводе, </w:t>
      </w:r>
    </w:p>
    <w:p w14:paraId="1F685482"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ходовая часть и механизмы на Ярославском Автомобильном заводе, </w:t>
      </w:r>
    </w:p>
    <w:p w14:paraId="007EC5F7"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броня на Ижорском или вновь намечаемых заводах по изготовлению брони. </w:t>
      </w:r>
    </w:p>
    <w:p w14:paraId="1A7D33D4"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О принятых Вами решениях прошу поставить меня в известность в самый непродолжительный срок. </w:t>
      </w:r>
    </w:p>
    <w:p w14:paraId="503A0E1A" w14:textId="77777777" w:rsidR="003B4100" w:rsidRPr="00507A31" w:rsidRDefault="003B4100" w:rsidP="00507A31">
      <w:pPr>
        <w:jc w:val="both"/>
        <w:rPr>
          <w:color w:val="000000" w:themeColor="text1"/>
          <w:sz w:val="16"/>
          <w:szCs w:val="16"/>
        </w:rPr>
      </w:pPr>
      <w:r w:rsidRPr="00507A31">
        <w:rPr>
          <w:color w:val="000000" w:themeColor="text1"/>
          <w:sz w:val="16"/>
          <w:szCs w:val="16"/>
        </w:rPr>
        <w:t>п/п НАЧАЛЬНИК УПРАВЛЕНИЯ по МЕХАНИЗАЦИИ и МОТОРИЗАЦИИ РККА (Халепский)</w:t>
      </w:r>
    </w:p>
    <w:p w14:paraId="5E3BE8BA" w14:textId="77777777" w:rsidR="003B4100" w:rsidRPr="00507A31" w:rsidRDefault="003B4100" w:rsidP="00507A31">
      <w:pPr>
        <w:jc w:val="both"/>
        <w:rPr>
          <w:color w:val="000000" w:themeColor="text1"/>
          <w:sz w:val="16"/>
          <w:szCs w:val="16"/>
        </w:rPr>
      </w:pPr>
      <w:r w:rsidRPr="00507A31">
        <w:rPr>
          <w:color w:val="000000" w:themeColor="text1"/>
          <w:sz w:val="16"/>
          <w:szCs w:val="16"/>
        </w:rPr>
        <w:t>п/п НАЧАЛЬНИК 2-го УПРАВЛЕНИЯ УМ РККА</w:t>
      </w:r>
    </w:p>
    <w:p w14:paraId="3B5C11AB"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Отпечатано 2 экз. </w:t>
      </w:r>
    </w:p>
    <w:p w14:paraId="561EAEC0" w14:textId="77777777" w:rsidR="003B4100" w:rsidRPr="00507A31" w:rsidRDefault="003B4100" w:rsidP="00507A31">
      <w:pPr>
        <w:jc w:val="both"/>
        <w:rPr>
          <w:color w:val="000000" w:themeColor="text1"/>
          <w:sz w:val="16"/>
          <w:szCs w:val="16"/>
        </w:rPr>
      </w:pPr>
      <w:r w:rsidRPr="00507A31">
        <w:rPr>
          <w:color w:val="000000" w:themeColor="text1"/>
          <w:sz w:val="16"/>
          <w:szCs w:val="16"/>
        </w:rPr>
        <w:t xml:space="preserve">экз. № 1 – адресату </w:t>
      </w:r>
    </w:p>
    <w:p w14:paraId="7222EF96" w14:textId="77777777" w:rsidR="003B4100" w:rsidRPr="00507A31" w:rsidRDefault="003B4100" w:rsidP="00507A31">
      <w:pPr>
        <w:jc w:val="both"/>
        <w:rPr>
          <w:color w:val="000000" w:themeColor="text1"/>
          <w:sz w:val="16"/>
          <w:szCs w:val="16"/>
        </w:rPr>
      </w:pPr>
      <w:r w:rsidRPr="00507A31">
        <w:rPr>
          <w:color w:val="000000" w:themeColor="text1"/>
          <w:sz w:val="16"/>
          <w:szCs w:val="16"/>
        </w:rPr>
        <w:t>экз. № 2 – в деле (19754).</w:t>
      </w:r>
    </w:p>
    <w:p w14:paraId="414E46A7" w14:textId="77777777" w:rsidR="003B4100" w:rsidRPr="00507A31" w:rsidRDefault="003B4100" w:rsidP="00507A31">
      <w:pPr>
        <w:jc w:val="both"/>
        <w:rPr>
          <w:color w:val="000000" w:themeColor="text1"/>
          <w:sz w:val="16"/>
          <w:szCs w:val="16"/>
        </w:rPr>
      </w:pPr>
    </w:p>
    <w:p w14:paraId="72F94391" w14:textId="77777777" w:rsidR="005E0B98" w:rsidRPr="00507A31" w:rsidRDefault="005E0B98" w:rsidP="00507A31">
      <w:pPr>
        <w:jc w:val="both"/>
        <w:rPr>
          <w:color w:val="000000" w:themeColor="text1"/>
          <w:sz w:val="16"/>
          <w:szCs w:val="16"/>
        </w:rPr>
      </w:pPr>
      <w:r w:rsidRPr="00507A31">
        <w:rPr>
          <w:color w:val="000000" w:themeColor="text1"/>
          <w:sz w:val="16"/>
          <w:szCs w:val="16"/>
        </w:rPr>
        <w:t>11 июня 1930 года накануне пуска СТЗ бюро Сталинградского комитета партии приняло решение: «Считая крайне желательным присутствие представителей краевой партийной конференции при пуске тракторного завода им. Дзержинского, что невозможно ранее 17 июня, срок пуска завода перенести на 17 июня. При этом принять к сведению заявление тов. Иванова, что количество выпускаемых тракторов от перенесения срока с 15 на 17 июня к моменту открытия XVI партсъезда не сократится по сравнению с первоначальными наметками». Торжественный пуск Сталинградского тракторного завода – первого в Советском Союзе специализированного на тракторостроении – состоялся 17 июня 1930 года. Событие всесоюзного масштаба освещалось повсеместно. Так, газета «Поволжская правда» сообщала: «Сегодня ровно в 3 часа дня, в присутствии 300 представителей краевой партконференции, колхозных депутатов и местных организаций у ворот сборочного механического вышел из конвейера первый трактор «Интернационал». Первый трактор, сошедший с заводского конвейера, стал подарком XVI партсъезду, а уже 20 июня по всей стране под лозунгом «Изучайте машину, берегите трактор!» был проведен общесоюзный «День трактора» (17161).</w:t>
      </w:r>
    </w:p>
    <w:p w14:paraId="5FA1F5C7" w14:textId="77777777" w:rsidR="005E0B98" w:rsidRPr="00507A31" w:rsidRDefault="005E0B98" w:rsidP="00507A31">
      <w:pPr>
        <w:jc w:val="both"/>
        <w:rPr>
          <w:color w:val="000000" w:themeColor="text1"/>
          <w:sz w:val="16"/>
          <w:szCs w:val="16"/>
        </w:rPr>
      </w:pPr>
    </w:p>
    <w:p w14:paraId="635EC6E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6019689" w14:textId="77777777" w:rsidR="00537E5F" w:rsidRPr="00507A31" w:rsidRDefault="00537E5F" w:rsidP="00507A31">
      <w:pPr>
        <w:autoSpaceDE w:val="0"/>
        <w:autoSpaceDN w:val="0"/>
        <w:adjustRightInd w:val="0"/>
        <w:jc w:val="both"/>
        <w:rPr>
          <w:iCs/>
          <w:color w:val="000000" w:themeColor="text1"/>
          <w:sz w:val="16"/>
          <w:szCs w:val="16"/>
        </w:rPr>
      </w:pPr>
    </w:p>
    <w:p w14:paraId="45F8E0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июня 1930 William Beebe поставил рекорд погружения на 1426 футов в батисфере (2100).</w:t>
      </w:r>
    </w:p>
    <w:p w14:paraId="77DAF303" w14:textId="77777777" w:rsidR="00537E5F" w:rsidRPr="00507A31" w:rsidRDefault="00537E5F" w:rsidP="00507A31">
      <w:pPr>
        <w:autoSpaceDE w:val="0"/>
        <w:autoSpaceDN w:val="0"/>
        <w:adjustRightInd w:val="0"/>
        <w:jc w:val="both"/>
        <w:rPr>
          <w:color w:val="000000" w:themeColor="text1"/>
          <w:sz w:val="16"/>
          <w:szCs w:val="16"/>
        </w:rPr>
      </w:pPr>
    </w:p>
    <w:p w14:paraId="25A9BC6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июня 1930 американский зоолог Уильям Биб впервые спустился на созданной им батисфере на глубину 400 м (4962).</w:t>
      </w:r>
    </w:p>
    <w:p w14:paraId="7BAD1D5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B4CA592" w14:textId="77777777" w:rsidR="0002641F" w:rsidRPr="00507A31" w:rsidRDefault="0002641F" w:rsidP="00507A31">
      <w:pPr>
        <w:jc w:val="both"/>
        <w:rPr>
          <w:color w:val="000000" w:themeColor="text1"/>
          <w:sz w:val="16"/>
          <w:szCs w:val="16"/>
        </w:rPr>
      </w:pPr>
      <w:r w:rsidRPr="00507A31">
        <w:rPr>
          <w:bCs/>
          <w:color w:val="000000" w:themeColor="text1"/>
          <w:sz w:val="16"/>
          <w:szCs w:val="16"/>
        </w:rPr>
        <w:t>11 июня</w:t>
      </w:r>
      <w:r w:rsidRPr="00507A31">
        <w:rPr>
          <w:color w:val="000000" w:themeColor="text1"/>
          <w:sz w:val="16"/>
          <w:szCs w:val="16"/>
        </w:rPr>
        <w:t xml:space="preserve"> в 1930 году американский зоолог Уильям Биб и инженер Отис Бэртон на построенной ими батисфере опускаются под воду на 400 м. Через два года они достигнут глубины погружения 900 м. Батисфера представляет собой сферическую стальную камеру с иллюминаторами, позволяющими вести наблюдение за подводными объектами и жизнью океана (14919).</w:t>
      </w:r>
    </w:p>
    <w:p w14:paraId="0678A6C9" w14:textId="77777777" w:rsidR="0002641F" w:rsidRPr="00507A31" w:rsidRDefault="0002641F" w:rsidP="00507A31">
      <w:pPr>
        <w:jc w:val="both"/>
        <w:rPr>
          <w:color w:val="000000" w:themeColor="text1"/>
          <w:sz w:val="16"/>
          <w:szCs w:val="16"/>
        </w:rPr>
      </w:pPr>
    </w:p>
    <w:p w14:paraId="605FF08F" w14:textId="77777777" w:rsidR="008D753A" w:rsidRPr="00507A31" w:rsidRDefault="008D753A" w:rsidP="00507A31">
      <w:pPr>
        <w:shd w:val="clear" w:color="auto" w:fill="FFFFFF"/>
        <w:jc w:val="both"/>
        <w:rPr>
          <w:color w:val="0070C0"/>
          <w:sz w:val="16"/>
          <w:szCs w:val="16"/>
        </w:rPr>
      </w:pPr>
      <w:r w:rsidRPr="00507A31">
        <w:rPr>
          <w:color w:val="0070C0"/>
          <w:sz w:val="16"/>
          <w:szCs w:val="16"/>
        </w:rPr>
        <w:t>11 июня 1930 г. газета "Буффало курьер экспресс" сообщала, что прибывший "мистер Савицкий имеет намерение провести месяц для тщательного изучения технологии производства и применения парашютов в авиации".</w:t>
      </w:r>
    </w:p>
    <w:p w14:paraId="5B9C9AA1" w14:textId="77777777" w:rsidR="008D753A" w:rsidRPr="00507A31" w:rsidRDefault="008D753A" w:rsidP="00507A31">
      <w:pPr>
        <w:shd w:val="clear" w:color="auto" w:fill="FFFFFF"/>
        <w:jc w:val="both"/>
        <w:rPr>
          <w:color w:val="0070C0"/>
          <w:sz w:val="16"/>
          <w:szCs w:val="16"/>
        </w:rPr>
      </w:pPr>
      <w:r w:rsidRPr="00507A31">
        <w:rPr>
          <w:color w:val="0070C0"/>
          <w:sz w:val="16"/>
          <w:szCs w:val="16"/>
          <w:shd w:val="clear" w:color="auto" w:fill="FFFFFF"/>
        </w:rPr>
        <w:t>На технологию производства парашюта Ирвинг была приобретена лицензия, и вскоре в цехах фирмы "Ирвинг эйр Шют" появился Савицкий.</w:t>
      </w:r>
    </w:p>
    <w:p w14:paraId="21E4F5EC" w14:textId="77777777" w:rsidR="008D753A" w:rsidRPr="00507A31" w:rsidRDefault="008D753A" w:rsidP="00507A31">
      <w:pPr>
        <w:shd w:val="clear" w:color="auto" w:fill="FFFFFF"/>
        <w:jc w:val="both"/>
        <w:rPr>
          <w:color w:val="0070C0"/>
          <w:sz w:val="16"/>
          <w:szCs w:val="16"/>
        </w:rPr>
      </w:pPr>
      <w:r w:rsidRPr="00507A31">
        <w:rPr>
          <w:color w:val="0070C0"/>
          <w:sz w:val="16"/>
          <w:szCs w:val="16"/>
        </w:rPr>
        <w:t>Возвратившись в том же году в СССР, М.А.Савицкий стал директором первого в нашей стране парашютного завода, разместившегося в небольшом здании в Арсентьевском переулке Замоскворецкого района Москвы. Через два года завод перебазировался в более просторные строения бывшей ситценабивной фабрики в Тушине (21400).</w:t>
      </w:r>
    </w:p>
    <w:p w14:paraId="67BB13A2" w14:textId="77777777" w:rsidR="008D753A" w:rsidRPr="00507A31" w:rsidRDefault="008D753A" w:rsidP="00507A31">
      <w:pPr>
        <w:jc w:val="both"/>
        <w:rPr>
          <w:color w:val="0070C0"/>
          <w:sz w:val="16"/>
          <w:szCs w:val="16"/>
          <w:shd w:val="clear" w:color="auto" w:fill="FFFFFF"/>
        </w:rPr>
      </w:pPr>
    </w:p>
    <w:p w14:paraId="5DA3313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8A37CF8" w14:textId="77777777" w:rsidR="00537E5F" w:rsidRPr="00507A31" w:rsidRDefault="00537E5F" w:rsidP="00507A31">
      <w:pPr>
        <w:autoSpaceDE w:val="0"/>
        <w:autoSpaceDN w:val="0"/>
        <w:adjustRightInd w:val="0"/>
        <w:jc w:val="both"/>
        <w:rPr>
          <w:iCs/>
          <w:color w:val="000000" w:themeColor="text1"/>
          <w:sz w:val="16"/>
          <w:szCs w:val="16"/>
        </w:rPr>
      </w:pPr>
    </w:p>
    <w:p w14:paraId="12FE11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июня 1930 Курская область. Подавлено повстанческое антиколхозное движение (10687).</w:t>
      </w:r>
    </w:p>
    <w:p w14:paraId="37E6F34C" w14:textId="77777777" w:rsidR="00537E5F" w:rsidRPr="00507A31" w:rsidRDefault="00537E5F" w:rsidP="00507A31">
      <w:pPr>
        <w:autoSpaceDE w:val="0"/>
        <w:autoSpaceDN w:val="0"/>
        <w:adjustRightInd w:val="0"/>
        <w:jc w:val="both"/>
        <w:rPr>
          <w:color w:val="000000" w:themeColor="text1"/>
          <w:sz w:val="16"/>
          <w:szCs w:val="16"/>
        </w:rPr>
      </w:pPr>
    </w:p>
    <w:p w14:paraId="32108AAB" w14:textId="77777777" w:rsidR="0002641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FA496B7" w14:textId="77777777" w:rsidR="0002641F" w:rsidRPr="00507A31" w:rsidRDefault="0002641F" w:rsidP="00507A31">
      <w:pPr>
        <w:autoSpaceDE w:val="0"/>
        <w:autoSpaceDN w:val="0"/>
        <w:adjustRightInd w:val="0"/>
        <w:jc w:val="both"/>
        <w:rPr>
          <w:iCs/>
          <w:color w:val="000000" w:themeColor="text1"/>
          <w:sz w:val="16"/>
          <w:szCs w:val="16"/>
        </w:rPr>
      </w:pPr>
    </w:p>
    <w:p w14:paraId="2836C718" w14:textId="77777777" w:rsidR="0002641F" w:rsidRPr="00507A31" w:rsidRDefault="0002641F" w:rsidP="00507A31">
      <w:pPr>
        <w:jc w:val="both"/>
        <w:rPr>
          <w:color w:val="000000" w:themeColor="text1"/>
          <w:sz w:val="16"/>
          <w:szCs w:val="16"/>
        </w:rPr>
      </w:pPr>
      <w:r w:rsidRPr="00507A31">
        <w:rPr>
          <w:bCs/>
          <w:color w:val="000000" w:themeColor="text1"/>
          <w:sz w:val="16"/>
          <w:szCs w:val="16"/>
        </w:rPr>
        <w:t>12 июня</w:t>
      </w:r>
      <w:r w:rsidRPr="00507A31">
        <w:rPr>
          <w:color w:val="000000" w:themeColor="text1"/>
          <w:sz w:val="16"/>
          <w:szCs w:val="16"/>
        </w:rPr>
        <w:t xml:space="preserve"> в 1930 году совершил первый полет первый опытный самолет </w:t>
      </w:r>
      <w:hyperlink r:id="rId102" w:tgtFrame="_blank" w:history="1">
        <w:r w:rsidRPr="00507A31">
          <w:rPr>
            <w:color w:val="000000" w:themeColor="text1"/>
            <w:sz w:val="16"/>
            <w:szCs w:val="16"/>
          </w:rPr>
          <w:t xml:space="preserve">«H.P.38» </w:t>
        </w:r>
      </w:hyperlink>
      <w:r w:rsidRPr="00507A31">
        <w:rPr>
          <w:color w:val="000000" w:themeColor="text1"/>
          <w:sz w:val="16"/>
          <w:szCs w:val="16"/>
        </w:rPr>
        <w:t>(«J9130»). «H.P.38» имел тяжелую биплановую конструкцию, основные стойки шасси с обтекателями, наводившими на мысль о его низкой скорости и малой эффективности. Это впечатление усиливалось тем, что фюзеляж был установлен под верхним крылом, а большой промежуток между фюзеляжем и нижним крылом заполняли стойки. Такая компоновка преследовала определенную цель: центральная часть нижнего крыла имела толщину, позволяющую разместить там бомбовую нагрузку. Другими характерными чертами самолета являлись крылья с металлическим каркасом и полотняной обшивкой, фюзеляж с металлической и полотняной обшивкой, прочное шасси с хвостовым колесом и хвостовой стабилизатор с подкосами, к которому крепились два киля и рули. Осенью 1932 года «Handley Page» «H.P.38» объявлен победителем конкурса и был сделал заказ на пять предсерийных самолетов, получивших наименование «Heyford» (14920).</w:t>
      </w:r>
    </w:p>
    <w:p w14:paraId="5880AAAD" w14:textId="77777777" w:rsidR="0002641F" w:rsidRPr="00507A31" w:rsidRDefault="0002641F" w:rsidP="00507A31">
      <w:pPr>
        <w:jc w:val="both"/>
        <w:rPr>
          <w:color w:val="000000" w:themeColor="text1"/>
          <w:sz w:val="16"/>
          <w:szCs w:val="16"/>
        </w:rPr>
      </w:pPr>
    </w:p>
    <w:p w14:paraId="6A112B5F" w14:textId="77777777" w:rsidR="008D753A" w:rsidRPr="00507A31" w:rsidRDefault="008D753A" w:rsidP="00507A31">
      <w:pPr>
        <w:jc w:val="both"/>
        <w:rPr>
          <w:color w:val="0070C0"/>
          <w:sz w:val="16"/>
          <w:szCs w:val="16"/>
        </w:rPr>
      </w:pPr>
      <w:r w:rsidRPr="00507A31">
        <w:rPr>
          <w:color w:val="0070C0"/>
          <w:sz w:val="16"/>
          <w:szCs w:val="16"/>
        </w:rPr>
        <w:t xml:space="preserve">12 июня 1930 первый полет Handley Page HP 38, прототип Handley Page Heyford (20805). </w:t>
      </w:r>
    </w:p>
    <w:p w14:paraId="2FB9D69F" w14:textId="77777777" w:rsidR="008D753A" w:rsidRPr="00507A31" w:rsidRDefault="008D753A" w:rsidP="00507A31">
      <w:pPr>
        <w:jc w:val="both"/>
        <w:rPr>
          <w:color w:val="0070C0"/>
          <w:sz w:val="16"/>
          <w:szCs w:val="16"/>
        </w:rPr>
      </w:pPr>
    </w:p>
    <w:p w14:paraId="5B20893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A3CB8B5" w14:textId="77777777" w:rsidR="00537E5F" w:rsidRPr="00507A31" w:rsidRDefault="00537E5F" w:rsidP="00507A31">
      <w:pPr>
        <w:autoSpaceDE w:val="0"/>
        <w:autoSpaceDN w:val="0"/>
        <w:adjustRightInd w:val="0"/>
        <w:jc w:val="both"/>
        <w:rPr>
          <w:iCs/>
          <w:color w:val="000000" w:themeColor="text1"/>
          <w:sz w:val="16"/>
          <w:szCs w:val="16"/>
        </w:rPr>
      </w:pPr>
    </w:p>
    <w:p w14:paraId="5686B4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июня 1930 на совместном заседании СТО и РВС СССР был утвержден уточненный плен строительства РККА на первую пятилетку, Он предусматривал превращение ВВС в мощный род войск, решающий самостоятельные оперативные задачи и обеспечивающий тесное взаимодействие с другими родами войск, форсированное строительство ТБ, перевооружение истребительной авиации, создание качественных самолетов и моторов, завоевание стратосферы (4024,2).</w:t>
      </w:r>
    </w:p>
    <w:p w14:paraId="08BF9876" w14:textId="77777777" w:rsidR="00537E5F" w:rsidRPr="00507A31" w:rsidRDefault="00537E5F" w:rsidP="00507A31">
      <w:pPr>
        <w:autoSpaceDE w:val="0"/>
        <w:autoSpaceDN w:val="0"/>
        <w:adjustRightInd w:val="0"/>
        <w:jc w:val="both"/>
        <w:rPr>
          <w:color w:val="000000" w:themeColor="text1"/>
          <w:sz w:val="16"/>
          <w:szCs w:val="16"/>
        </w:rPr>
      </w:pPr>
    </w:p>
    <w:p w14:paraId="2B8D506A" w14:textId="77777777" w:rsidR="008D753A" w:rsidRPr="00507A31" w:rsidRDefault="008D753A" w:rsidP="00507A31">
      <w:pPr>
        <w:shd w:val="clear" w:color="auto" w:fill="FFFFFF"/>
        <w:jc w:val="both"/>
        <w:rPr>
          <w:color w:val="0070C0"/>
          <w:sz w:val="16"/>
          <w:szCs w:val="16"/>
        </w:rPr>
      </w:pPr>
      <w:r w:rsidRPr="00507A31">
        <w:rPr>
          <w:color w:val="0070C0"/>
          <w:sz w:val="16"/>
          <w:szCs w:val="16"/>
        </w:rPr>
        <w:t>13 июня 1930 в решение Реввоенсовета уже было включено поручение Штабу и Управлению ВВС РККА "предусмотреть широкое использование на военное время гражданской авиации, в первую очередь для формирования транспортных частей, отрядов связи (авиэтки), саперных отрядов и др.", но инициатива Тухачевского в письме от 11 января имела в виду прежде всего программу авиационного строительства в мирное время.</w:t>
      </w:r>
    </w:p>
    <w:p w14:paraId="6752C620" w14:textId="77777777" w:rsidR="008D753A" w:rsidRPr="00507A31" w:rsidRDefault="008D753A" w:rsidP="00507A31">
      <w:pPr>
        <w:shd w:val="clear" w:color="auto" w:fill="FFFFFF"/>
        <w:jc w:val="both"/>
        <w:rPr>
          <w:color w:val="0070C0"/>
          <w:sz w:val="16"/>
          <w:szCs w:val="16"/>
        </w:rPr>
      </w:pPr>
      <w:r w:rsidRPr="00507A31">
        <w:rPr>
          <w:color w:val="0070C0"/>
          <w:sz w:val="16"/>
          <w:szCs w:val="16"/>
        </w:rPr>
        <w:t>С точки зрения сопряжения военных и хозяйственных потребностей акцент на развитии авиации был вполне естественным. "Первое место в наших технических заботах, - объяснял председатель РВСР семью годами ранее, - должна занять авиация. Эта задача облегчается тем, что авиация имеет вполне самостоятельное и при том огромное значение, чего нельзя, к сожалению, сказать ни о гаубицах, ни об удушливом газе. &lt;...&gt; Было бы в корне неправильным пытаться втиснуть гражданскую авиацию в рамки военных типов и схем, но необходимо заранее обеспечить стык между ними, достигнув без ущерба для хозяйственных и культурных потребностей максимальной однотипности самолетов и согласованности всей летной организации. Гражданская авиация должна стать резервом для военной". Избегая детализации ("по вполне понятным причинам"), тогдашний руководитель военного ведомства правильно указал кaк общую тенденцию развития, так и опасности, связанные с милитаризацией авиационной проблематики (ТРОЦКИЙ Л. Перспективы и задачи военного строительства // Он же. Как вооружалась революция. Т. 3, кн. 1. М., 1925. С. 149) (22725).</w:t>
      </w:r>
    </w:p>
    <w:p w14:paraId="6D87AEBC" w14:textId="77777777" w:rsidR="008D753A" w:rsidRPr="00507A31" w:rsidRDefault="008D753A" w:rsidP="00507A31">
      <w:pPr>
        <w:jc w:val="both"/>
        <w:rPr>
          <w:color w:val="0070C0"/>
          <w:sz w:val="16"/>
          <w:szCs w:val="16"/>
        </w:rPr>
      </w:pPr>
    </w:p>
    <w:p w14:paraId="394899F8" w14:textId="087C621F"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147944A" w14:textId="77777777" w:rsidR="00537E5F" w:rsidRPr="00507A31" w:rsidRDefault="00537E5F" w:rsidP="00507A31">
      <w:pPr>
        <w:autoSpaceDE w:val="0"/>
        <w:autoSpaceDN w:val="0"/>
        <w:adjustRightInd w:val="0"/>
        <w:jc w:val="both"/>
        <w:rPr>
          <w:iCs/>
          <w:color w:val="000000" w:themeColor="text1"/>
          <w:sz w:val="16"/>
          <w:szCs w:val="16"/>
        </w:rPr>
      </w:pPr>
    </w:p>
    <w:p w14:paraId="29E314AE" w14:textId="77777777" w:rsidR="008D753A" w:rsidRPr="00507A31" w:rsidRDefault="008D753A" w:rsidP="00507A31">
      <w:pPr>
        <w:shd w:val="clear" w:color="auto" w:fill="FFFFFF"/>
        <w:jc w:val="both"/>
        <w:rPr>
          <w:color w:val="0070C0"/>
          <w:sz w:val="16"/>
          <w:szCs w:val="16"/>
        </w:rPr>
      </w:pPr>
      <w:r w:rsidRPr="00507A31">
        <w:rPr>
          <w:color w:val="0070C0"/>
          <w:sz w:val="16"/>
          <w:szCs w:val="16"/>
        </w:rPr>
        <w:t xml:space="preserve">13 июня 1930 г. на обсуждение тринадцати членов Реввоенсовета был вынесен "Уточненный план строительства РККА" (Новый член РВС И. Э. Якир отсутствовал. На заседание были приглашены заместитель начальника Штаба РККА Левичев, начальник II Управления Штаба РККА Венцов, командующий ОКДВА Блюхер и несколько представителей хозяйственных наркоматов). После оглашения Шапошниковым проекта постановления, основанного на докладе Штаба РККА от 18 мая </w:t>
      </w:r>
      <w:r w:rsidRPr="00507A31">
        <w:rPr>
          <w:color w:val="0070C0"/>
          <w:sz w:val="16"/>
          <w:szCs w:val="16"/>
        </w:rPr>
        <w:lastRenderedPageBreak/>
        <w:t>(Доклад Начальника Штаба РККА Шапошникова и Начальника II Управления Штаба Венцова в РВС СССР, 18.05-1930 // РГВА. Ф. 40442. Оп. 2. Д 4- Л. 13-46, Проект Постановления РВС СССР по строительству армии на конец пятилетки, 18.05-1930 (подписан Шапошниковым и Венцовым) // Там же. Л. 1-11), участники заседания обсудили каждую 113 его частей в отдельности, беря слово по нескольку раз. Решение РВС определило организацию армии военного времени в целом и по отдельным родам войск, а также состав формирований первого года войиы. Численность и состав мобилизуемой РККА устанавливались в 3350 тыс. человек, 13 337 орудий в боевом составе артиллерии (без береговой и судовой), 3500 танков в строю, 3000 боевых самолетов в строю. За счет изменений структуры артиллерии среднего калибра в пользу зенитной общее число орудий тяжелого и среднего калибра оказалось меньше предусмотренного летом 1929 г. (8403 против 9548), зато число военных самолетов возросло на 500. В составе стрелковых войск предписывалось иметь 110 дивизий (63 - по литере "А", 39 – по литере "Б" и 8 горных), а в стратегической коннице - 13 кавдивизин и 6 горных кавдивизий. В первый год войны предусматривалось формирование, дополнительно 20 стрелковых дивизий и введение в строй 1000 танков и 1000 боевых самолетов. В результате обсуждения проекта в него были внесены небольшие количественные исправления (на 350 орудий увеличен боевой состав артиллерии и др.).</w:t>
      </w:r>
    </w:p>
    <w:p w14:paraId="079D157B" w14:textId="77777777" w:rsidR="008D753A" w:rsidRPr="00507A31" w:rsidRDefault="008D753A" w:rsidP="00507A31">
      <w:pPr>
        <w:shd w:val="clear" w:color="auto" w:fill="FFFFFF"/>
        <w:jc w:val="both"/>
        <w:rPr>
          <w:color w:val="0070C0"/>
          <w:sz w:val="16"/>
          <w:szCs w:val="16"/>
        </w:rPr>
      </w:pPr>
      <w:r w:rsidRPr="00507A31">
        <w:rPr>
          <w:color w:val="0070C0"/>
          <w:sz w:val="16"/>
          <w:szCs w:val="16"/>
        </w:rPr>
        <w:t>Постановление РВСС предусматривало использование по мобилизации 166 тыс. автомобилей и решительно сокращало конский состав (до 850 тыс. голов, т. е. в полтора раза по сравнению с расписанием № 10). Эта беспрецедентно низкая для мобрасписаний 1920-1930-х гг. цифра (Штаб РККА предлагал даже 818 тыс.) свидетельствует, что военное руководство находилось под влиянием иллюзий, будто технизация позволит утяжеленной РККА сохранить и повысить свою подвижность без увеличения конской тяги и даже при ее сокращении. Очень скоро от таких надежд пришлось отказаться, и в мобилизационном расписании 1932 г. впоследствии было предусмотрено привлечение 1787 тыс. лошадей (См.: Постановление РВС СССР "О мобилизационной готовности РККА по расписанию № 11", 506.1932 // Там же. Ф. 4. Оп. 18. Д 22. Л. 321).</w:t>
      </w:r>
    </w:p>
    <w:p w14:paraId="304DC0FD" w14:textId="77777777" w:rsidR="008D753A" w:rsidRPr="00507A31" w:rsidRDefault="008D753A" w:rsidP="00507A31">
      <w:pPr>
        <w:shd w:val="clear" w:color="auto" w:fill="FFFFFF"/>
        <w:jc w:val="both"/>
        <w:rPr>
          <w:color w:val="0070C0"/>
          <w:sz w:val="16"/>
          <w:szCs w:val="16"/>
        </w:rPr>
      </w:pPr>
      <w:r w:rsidRPr="00507A31">
        <w:rPr>
          <w:color w:val="0070C0"/>
          <w:sz w:val="16"/>
          <w:szCs w:val="16"/>
        </w:rPr>
        <w:t>Явственный отпечаток инициативы Тухачевского несли включение в состав стрелкового корпуса саперного батальона, отказ от сведения артсредств АРГК в артиллерийские дивизии и указание на широкое использование гражданской авиации (Постановление РВС СССР "По строительству армии на конец пятилетки", 13-06.1930// Там же. Ф. 7. Оп. 10. Д 994. Л. 116,119, 122). Согласно записи секретаря РВС Литуновского на заседании РВС Тухачевский выступил "за увеличение танковой программы", которое не было поддержано (как, впрочем, и выступление начальника УВВС Баранова, возражавшего "против 3000 самолетов") (Сопротивление руководства Военно-Воздушных Сил высоким темпам наращивания авиации становится понятнее, если учесть, что уже в 1929 г. некомплект личного состава в этом роде войск составил 8 тыс. человек, а в 1930 г. поднялся до 14 тыс. человек при штатной численности соответственно в 31 и 41,5 тыс. человек (см.: Справка "ВВС РККА", б/д // Там же. Ф. 40442. Оп. 2. Д 35-Л. 58). Характерно также, что если на апрельском заседании 1928 г. Ворошилов поддержал Алксниса против Тухачевского, то в июне 1930 г. он защитил начальника Штаба от сходной атаки со стороны Баранова). Как повторение ранее возникшего конфликта, вероятно, следует истолковать запись: "т. Тухачевский т. Шапошников - о количестве дивизий" (Черновая секретарская запись, 13-06.1930 // РГВА. Ф. 40442. Оп. 2. Д 6. Л. °5 (карандашная запись Литуновского на незаполненном бланке повестки заседания РВС). Прямого столкновения позиций Ворошилова и Тухачевского при обсуждении календарного плана строительства РККА в записи не отмечено. Однако недовольство наркома позицией Каменева и Тухачевского отчетливо проявилось при обсуждении другого пункта повестки заседания 13 июня - о состоянии военно-санитарной службы (Там же. Л. 97 об.)).</w:t>
      </w:r>
    </w:p>
    <w:p w14:paraId="31F17151" w14:textId="77777777" w:rsidR="008D753A" w:rsidRPr="00507A31" w:rsidRDefault="008D753A" w:rsidP="00507A31">
      <w:pPr>
        <w:shd w:val="clear" w:color="auto" w:fill="FFFFFF"/>
        <w:jc w:val="both"/>
        <w:rPr>
          <w:color w:val="0070C0"/>
          <w:sz w:val="16"/>
          <w:szCs w:val="16"/>
        </w:rPr>
      </w:pPr>
      <w:r w:rsidRPr="00507A31">
        <w:rPr>
          <w:color w:val="0070C0"/>
          <w:sz w:val="16"/>
          <w:szCs w:val="16"/>
        </w:rPr>
        <w:t>Решения 13 июня не содержали существенных отклонений от решений апрельского заседания РВСС и майских предложений Штаба. Тем не менее новый ("уточненный") план строительства РККА все дорожал. Если стоимость осуществления апрельского проекта (только бюджет НКВМ) выражалась в 5078 млн руб., то майский вариант стоил 5327 млн руб. (с учетом надежды на "решительное снижение" себестоимости заказываемой продукции). После утверждения уточненного плана заместитель начальника Штаба и начальник II Управления заявили наркому, что, поскольку на текущий год уже утверждены ассигнования в размере 1900 млн руб., финансовый план на три года никак не может быть меньше 6 млрд руб. (Доклад Заместителя Начальника Штаба Левичева и Начальника II Управления Штаба РККА Венцова Председателю РВС СССР Ворошилову, 14 Об. 1930 // Там же. Л. 91- Эта последняя цифра и была внесена в постановление РВС от 13 июня, вероятно, задним числом).</w:t>
      </w:r>
    </w:p>
    <w:p w14:paraId="16950E3D" w14:textId="77777777" w:rsidR="008D753A" w:rsidRPr="00507A31" w:rsidRDefault="008D753A" w:rsidP="00507A31">
      <w:pPr>
        <w:shd w:val="clear" w:color="auto" w:fill="FFFFFF"/>
        <w:jc w:val="both"/>
        <w:rPr>
          <w:color w:val="0070C0"/>
          <w:sz w:val="16"/>
          <w:szCs w:val="16"/>
        </w:rPr>
      </w:pPr>
      <w:r w:rsidRPr="00507A31">
        <w:rPr>
          <w:color w:val="0070C0"/>
          <w:sz w:val="16"/>
          <w:szCs w:val="16"/>
        </w:rPr>
        <w:t>Несмотря на отнесение танков и авиации, ранее предназначенных для содержания в резерве, к числу средств "в строю", на увеличение числа самолетов примерно на 500 единиц и на новые требования к боевым качествам всех родов войск, в том, что касалось вооружений, решения РВС в целом формально почти не выходили за верхние пределы, определенные Политбюро в 1929 г. Численность армии военного времени в итоге оказалась ближе к предшествующим решениям ПБ ЦК ВКП(б) и РЗ СТО, нежели к испрашивавшимся весной 1930 г. 3800 тыс. человек. "Уточненный план", на который в августе 1930 г. предполагалось получить санкцию Распорядителыюго заседания СТО, являлся немалым достижением сторонников высоких темпов перестройки РККА, если учесть, что описываемые дебаты проходили в обстановке очевидных провалов в реализации программы перевооружения (См.: Симонов Н. С. Военно-промышленный комплекс СССР в 20-50-е годы: Темпы экономического роста, структура, организация производства и управление. М., 1996. С. 74-75). Показательно также, что одновременно РВСС дополнил действующую судостроительную программу задачей до конца пятилетки завершить достройку крейсера "Ворошилов" (остановленную в 1927 г.), заложить шесть эсминцев, десять подводных лодок и других военных кораблей (См.: ГРИБОВСКИЙ В. Ю. И ДР. История отечественного судостроения: В 5 т. Т. 4: Судостроение в период первых пятилеток и Великой Отечественной войны, 1925-1945. СПб., 1996. С. 21.) (22725).</w:t>
      </w:r>
    </w:p>
    <w:p w14:paraId="6F4FFD85" w14:textId="77777777" w:rsidR="008D753A" w:rsidRPr="00507A31" w:rsidRDefault="008D753A" w:rsidP="00507A31">
      <w:pPr>
        <w:autoSpaceDE w:val="0"/>
        <w:autoSpaceDN w:val="0"/>
        <w:adjustRightInd w:val="0"/>
        <w:jc w:val="both"/>
        <w:rPr>
          <w:i/>
          <w:iCs/>
          <w:color w:val="000000" w:themeColor="text1"/>
          <w:sz w:val="16"/>
          <w:szCs w:val="16"/>
        </w:rPr>
      </w:pPr>
    </w:p>
    <w:p w14:paraId="2210A2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июня 1930 г. Реввоенсовет утвердил на оставшиеся три года пятилетки, в дополнение к плану, построй</w:t>
      </w:r>
      <w:r w:rsidRPr="00507A31">
        <w:rPr>
          <w:color w:val="000000" w:themeColor="text1"/>
          <w:sz w:val="16"/>
          <w:szCs w:val="16"/>
        </w:rPr>
        <w:softHyphen/>
        <w:t>ку следующих кораблей:</w:t>
      </w:r>
    </w:p>
    <w:p w14:paraId="73376E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Морских сил Балтийского моря — трех эсминцев (из них два с вводом в строй), трех эскадренных подводных лодок, опытной подводной лодки, бронированной канонерской лодки, 12 торпедных катеров, пяти базовых тральщиков, а также достройку крейсера "Ворошилов" и переоборудование в минный заградитель бывшей яхты "Штандарт" и строительство "десантных плавсредств";</w:t>
      </w:r>
    </w:p>
    <w:p w14:paraId="308F83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для Морских сил Черного моря — трех эсминцев (из них два с вводом в строй), пяти базовых тральщиков (три с вводом в строй);</w:t>
      </w:r>
    </w:p>
    <w:p w14:paraId="0CBC2A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Морских сил Дальнего Востока — шести подводньис лодок, трех сторожевых кораблей, 24 торпедных катеров;</w:t>
      </w:r>
    </w:p>
    <w:p w14:paraId="29A799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для Морских сил Севера — трех подводных лодок (из них две с вводом в строй).</w:t>
      </w:r>
    </w:p>
    <w:p w14:paraId="1DC471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Таким образом, дополнения предусматривали не только увели</w:t>
      </w:r>
      <w:r w:rsidRPr="00507A31">
        <w:rPr>
          <w:color w:val="000000" w:themeColor="text1"/>
          <w:sz w:val="16"/>
          <w:szCs w:val="16"/>
        </w:rPr>
        <w:softHyphen/>
        <w:t>чение программы с доведением общих расходов на нее до 354 млн руб., но и строительство новьгх кораблей для Дальневосточного и Северного театров. Перевод подводных лодок на Север командова</w:t>
      </w:r>
      <w:r w:rsidRPr="00507A31">
        <w:rPr>
          <w:color w:val="000000" w:themeColor="text1"/>
          <w:sz w:val="16"/>
          <w:szCs w:val="16"/>
        </w:rPr>
        <w:softHyphen/>
        <w:t>ние РККФ планировало осуществить по Беломорско-Балтийскому каналу, строительство которого вело ОГПУ с привлечением труда многочисленных заключенных (3898).</w:t>
      </w:r>
    </w:p>
    <w:p w14:paraId="144E3930" w14:textId="77777777" w:rsidR="00537E5F" w:rsidRPr="00507A31" w:rsidRDefault="00537E5F" w:rsidP="00507A31">
      <w:pPr>
        <w:autoSpaceDE w:val="0"/>
        <w:autoSpaceDN w:val="0"/>
        <w:adjustRightInd w:val="0"/>
        <w:jc w:val="both"/>
        <w:rPr>
          <w:color w:val="000000" w:themeColor="text1"/>
          <w:sz w:val="16"/>
          <w:szCs w:val="16"/>
        </w:rPr>
      </w:pPr>
    </w:p>
    <w:p w14:paraId="17F4A2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июня 1930 года на заседании Реввоенсовета СССР был утвержден трехлетний план развития береговой артиллерии (11454).</w:t>
      </w:r>
    </w:p>
    <w:p w14:paraId="1EF7E9B7" w14:textId="77777777" w:rsidR="00537E5F" w:rsidRPr="00507A31" w:rsidRDefault="00537E5F" w:rsidP="00507A31">
      <w:pPr>
        <w:autoSpaceDE w:val="0"/>
        <w:autoSpaceDN w:val="0"/>
        <w:adjustRightInd w:val="0"/>
        <w:jc w:val="both"/>
        <w:rPr>
          <w:color w:val="000000" w:themeColor="text1"/>
          <w:sz w:val="16"/>
          <w:szCs w:val="16"/>
        </w:rPr>
      </w:pPr>
    </w:p>
    <w:p w14:paraId="27CDD3C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E42E312" w14:textId="77777777" w:rsidR="00537E5F" w:rsidRPr="00507A31" w:rsidRDefault="00537E5F" w:rsidP="00507A31">
      <w:pPr>
        <w:autoSpaceDE w:val="0"/>
        <w:autoSpaceDN w:val="0"/>
        <w:adjustRightInd w:val="0"/>
        <w:jc w:val="both"/>
        <w:rPr>
          <w:iCs/>
          <w:color w:val="000000" w:themeColor="text1"/>
          <w:sz w:val="16"/>
          <w:szCs w:val="16"/>
        </w:rPr>
      </w:pPr>
    </w:p>
    <w:p w14:paraId="070DF89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13 июня 1930 вышло постановление РВС СССР о создании механизированной бригады (4963 ).</w:t>
      </w:r>
    </w:p>
    <w:p w14:paraId="3E06848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B1740C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61CF74B" w14:textId="77777777" w:rsidR="00537E5F" w:rsidRPr="00507A31" w:rsidRDefault="00537E5F" w:rsidP="00507A31">
      <w:pPr>
        <w:autoSpaceDE w:val="0"/>
        <w:autoSpaceDN w:val="0"/>
        <w:adjustRightInd w:val="0"/>
        <w:jc w:val="both"/>
        <w:rPr>
          <w:iCs/>
          <w:color w:val="000000" w:themeColor="text1"/>
          <w:sz w:val="16"/>
          <w:szCs w:val="16"/>
        </w:rPr>
      </w:pPr>
    </w:p>
    <w:p w14:paraId="1212C9AF" w14:textId="77777777" w:rsidR="00B278C0" w:rsidRPr="00507A31" w:rsidRDefault="00B278C0" w:rsidP="00507A31">
      <w:pPr>
        <w:jc w:val="both"/>
        <w:rPr>
          <w:color w:val="0070C0"/>
          <w:sz w:val="16"/>
          <w:szCs w:val="16"/>
        </w:rPr>
      </w:pPr>
      <w:r w:rsidRPr="00507A31">
        <w:rPr>
          <w:color w:val="0070C0"/>
          <w:sz w:val="16"/>
          <w:szCs w:val="16"/>
        </w:rPr>
        <w:t>13 июня 1930 французский летчик Анри Гийоме, совершая 92-й пересечение Анд с почтой между Аргентиной и Чили для Aéropostale, разбивает свой Potez 25 в плохую погоду в лагуне дель Диаманте недалеко от Мендосы, Аргентина. Он идет через три горных перевала, прежде чем добраться до деревни и безопасного места 19 июня.</w:t>
      </w:r>
    </w:p>
    <w:p w14:paraId="75CFFD49" w14:textId="77777777" w:rsidR="00B278C0" w:rsidRPr="00507A31" w:rsidRDefault="00B278C0" w:rsidP="00507A31">
      <w:pPr>
        <w:jc w:val="both"/>
        <w:rPr>
          <w:color w:val="0070C0"/>
          <w:sz w:val="16"/>
          <w:szCs w:val="16"/>
        </w:rPr>
      </w:pPr>
    </w:p>
    <w:p w14:paraId="0047F2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июня 1930 в Майами был арестован Аль Капоне (2100).</w:t>
      </w:r>
    </w:p>
    <w:p w14:paraId="6338AF47" w14:textId="77777777" w:rsidR="00537E5F" w:rsidRPr="00507A31" w:rsidRDefault="00537E5F" w:rsidP="00507A31">
      <w:pPr>
        <w:autoSpaceDE w:val="0"/>
        <w:autoSpaceDN w:val="0"/>
        <w:adjustRightInd w:val="0"/>
        <w:jc w:val="both"/>
        <w:rPr>
          <w:color w:val="000000" w:themeColor="text1"/>
          <w:sz w:val="16"/>
          <w:szCs w:val="16"/>
        </w:rPr>
      </w:pPr>
    </w:p>
    <w:p w14:paraId="10A9167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13 июня 1930 в Греции от града погибли 22 человека (4962).</w:t>
      </w:r>
    </w:p>
    <w:p w14:paraId="41D02CD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A5460B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20EF996" w14:textId="77777777" w:rsidR="00537E5F" w:rsidRPr="00507A31" w:rsidRDefault="00537E5F" w:rsidP="00507A31">
      <w:pPr>
        <w:autoSpaceDE w:val="0"/>
        <w:autoSpaceDN w:val="0"/>
        <w:adjustRightInd w:val="0"/>
        <w:jc w:val="both"/>
        <w:rPr>
          <w:iCs/>
          <w:color w:val="000000" w:themeColor="text1"/>
          <w:sz w:val="16"/>
          <w:szCs w:val="16"/>
        </w:rPr>
      </w:pPr>
    </w:p>
    <w:p w14:paraId="5389D6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июня 1930 в 20-й бригаде в Харькове закончились войсковые испытания самолетов 1-й серии, которые шли 10 мая 1930 г. В них участвовали экипажи 20-й и 24-й эскадрилий, в распоряжение которых поступило 9 машин.</w:t>
      </w:r>
    </w:p>
    <w:p w14:paraId="69FD3C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первых же полетах в летнюю жару сказался уже выявленный в НИИ ВВС перегрев двигателя из-за недостаточной площади радиатора. Лучше всего себя показали две машины, на которых стояли радиаторы с шестигранными трубками.</w:t>
      </w:r>
    </w:p>
    <w:p w14:paraId="330802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Серийные Р-5 оказались тяжелее опытных образцов, поэтому летные данные несколько упали. Тем не менее, машина представляла собой большой шаг вперед по сравнению с состоявшими на вооружении Р-1 и Р-ЗЛД. Самолет оказался прост в управлении. Летчики отметили, что обзор лучше, чем на старом Р-1.</w:t>
      </w:r>
    </w:p>
    <w:p w14:paraId="554756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Экипажи занимались стрельбой по наземным и воздушным целям. Использовали мишени-рукава, которые буксировал другой самолет. Бомбили с разных высот. При полете на большой высоте пилот земли не видел, летнаб искал цель и давал указания по переговорному шлангу. Прицеливание осуществляли как с помощью "Герца", так и АП-2. Последний на борту поставили неудобно, летнаб небольшого роста не мог правильно заглянуть в визир.</w:t>
      </w:r>
    </w:p>
    <w:p w14:paraId="2CC89F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Тренировались в визуальной и фоторазведке, подбирали с земли донесения с помощью "кошки", которую опускали через окно бомбового прицела. Летнабы также читали донесения, передаваемые с земли полотнищами Попхэма - длинными полосами белой ткани, которые выкладывали различным образом.</w:t>
      </w:r>
    </w:p>
    <w:p w14:paraId="27A64A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Строевые экипажи высказали немало претензий в адрес Р-5. Например, они обратили внимание на быстрое увеличение люфтов в управлении, бесконтрольное перетекание бензина из одних баков в другие. Работая с прицелом "Герц", летнаб постоянно ударялся головой о турель.</w:t>
      </w:r>
    </w:p>
    <w:p w14:paraId="31735D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итоговом акте перечислено 177 пунктов замечаний. Но все это никоим образом не могло затенить тот факт, что на вооружение ВВС РККА поступил действительно удачный самолет. Выводы комиссии завершались фразой: "Считать, что самолеты Р5 первой серии постройки завода № 1 войсковые испытания выдержали удовлетворительно".</w:t>
      </w:r>
    </w:p>
    <w:p w14:paraId="31C528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проходивших испытания Р-5 восемь оставили в 20-й эскадрилье. На них стали летать не только днем, но и ночью (11936).</w:t>
      </w:r>
    </w:p>
    <w:p w14:paraId="73B6E2E4" w14:textId="77777777" w:rsidR="00537E5F" w:rsidRPr="00507A31" w:rsidRDefault="00537E5F" w:rsidP="00507A31">
      <w:pPr>
        <w:autoSpaceDE w:val="0"/>
        <w:autoSpaceDN w:val="0"/>
        <w:adjustRightInd w:val="0"/>
        <w:jc w:val="both"/>
        <w:rPr>
          <w:color w:val="000000" w:themeColor="text1"/>
          <w:sz w:val="16"/>
          <w:szCs w:val="16"/>
        </w:rPr>
      </w:pPr>
    </w:p>
    <w:p w14:paraId="4A2B47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июня 1930 НТК УВВС направил ЦАГИ в СЗ за N 2057с технические требования на самолеты ДИ-3, Ми-3, ТБ-4, МТБ-2 и общ. с редакционными исправлениями, внесенными согласно протоколов совещаний в НТК 26 марта 1930, 3 апреля 1930, и 14 мая 1930. В ЦАГИ пришло 15 за N 946с (351).</w:t>
      </w:r>
    </w:p>
    <w:p w14:paraId="796E70CA" w14:textId="77777777" w:rsidR="00537E5F" w:rsidRPr="00507A31" w:rsidRDefault="00537E5F" w:rsidP="00507A31">
      <w:pPr>
        <w:autoSpaceDE w:val="0"/>
        <w:autoSpaceDN w:val="0"/>
        <w:adjustRightInd w:val="0"/>
        <w:jc w:val="both"/>
        <w:rPr>
          <w:color w:val="000000" w:themeColor="text1"/>
          <w:sz w:val="16"/>
          <w:szCs w:val="16"/>
        </w:rPr>
      </w:pPr>
    </w:p>
    <w:p w14:paraId="46605DF0" w14:textId="77777777" w:rsidR="00B278C0" w:rsidRPr="00507A31" w:rsidRDefault="00B278C0" w:rsidP="00507A31">
      <w:pPr>
        <w:shd w:val="clear" w:color="auto" w:fill="FFFFFF"/>
        <w:jc w:val="both"/>
        <w:rPr>
          <w:i/>
          <w:iCs/>
          <w:color w:val="0070C0"/>
          <w:sz w:val="16"/>
          <w:szCs w:val="16"/>
        </w:rPr>
      </w:pPr>
      <w:r w:rsidRPr="00507A31">
        <w:rPr>
          <w:color w:val="0070C0"/>
          <w:sz w:val="16"/>
          <w:szCs w:val="16"/>
        </w:rPr>
        <w:t>14 июня 1930 Марптинсайд F.4 официально сняли с вооружения ВВС РККА. Стали решать, что с ними делать. Пришли к выводу, что за счет разборки истребителей, находящихся в плохом состоянии, надо доукомплектовать остальные и подарить их ОСОАВИАХИМу. 4 июля заместитель председателя Реввоенсовета Уборевич наложил на этом предложении резолюцию — «Не возражаю.» (21270).</w:t>
      </w:r>
    </w:p>
    <w:p w14:paraId="7A009C45" w14:textId="77777777" w:rsidR="00B278C0" w:rsidRPr="00507A31" w:rsidRDefault="00B278C0" w:rsidP="00507A31">
      <w:pPr>
        <w:shd w:val="clear" w:color="auto" w:fill="FFFFFF"/>
        <w:jc w:val="both"/>
        <w:rPr>
          <w:color w:val="0070C0"/>
          <w:sz w:val="16"/>
          <w:szCs w:val="16"/>
        </w:rPr>
      </w:pPr>
    </w:p>
    <w:p w14:paraId="1CE9F6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июня 1930 года начальник 1 управления УВВС Ягушевский и начальник 1 отдела Афанасьев писали письмо № У1/377с генеральному секретарю ЦС Осоавиахим Малиновскому</w:t>
      </w:r>
    </w:p>
    <w:p w14:paraId="56936C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Нарокомом по военным и морским делам и председателем РВС Ворошиловым разрешено произвести летом текущего года большой перелет самолетов Р5-БМВVI, в составе звена из 3-х самолетов по маршруту Москва-Севастополь-Ангора-Тифлис-Тегеран-Ашхабад-Кабул-Ташкент-Оренбург-Москва.</w:t>
      </w:r>
    </w:p>
    <w:p w14:paraId="70B2C2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перелета ориентировочно намечено на конец июля 1930 года.</w:t>
      </w:r>
    </w:p>
    <w:p w14:paraId="14E13C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……………………….(7770, 5).</w:t>
      </w:r>
    </w:p>
    <w:p w14:paraId="1FE3AC39" w14:textId="77777777" w:rsidR="00537E5F" w:rsidRPr="00507A31" w:rsidRDefault="00537E5F" w:rsidP="00507A31">
      <w:pPr>
        <w:autoSpaceDE w:val="0"/>
        <w:autoSpaceDN w:val="0"/>
        <w:adjustRightInd w:val="0"/>
        <w:jc w:val="both"/>
        <w:rPr>
          <w:color w:val="000000" w:themeColor="text1"/>
          <w:sz w:val="16"/>
          <w:szCs w:val="16"/>
        </w:rPr>
      </w:pPr>
    </w:p>
    <w:p w14:paraId="7C52DBD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1C814AF" w14:textId="77777777" w:rsidR="00537E5F" w:rsidRPr="00507A31" w:rsidRDefault="00537E5F" w:rsidP="00507A31">
      <w:pPr>
        <w:autoSpaceDE w:val="0"/>
        <w:autoSpaceDN w:val="0"/>
        <w:adjustRightInd w:val="0"/>
        <w:jc w:val="both"/>
        <w:rPr>
          <w:iCs/>
          <w:color w:val="000000" w:themeColor="text1"/>
          <w:sz w:val="16"/>
          <w:szCs w:val="16"/>
        </w:rPr>
      </w:pPr>
    </w:p>
    <w:p w14:paraId="43CE27C2" w14:textId="77777777" w:rsidR="005B252C" w:rsidRPr="00507A31" w:rsidRDefault="005B252C" w:rsidP="00507A31">
      <w:pPr>
        <w:jc w:val="both"/>
        <w:rPr>
          <w:color w:val="000000" w:themeColor="text1"/>
          <w:sz w:val="16"/>
          <w:szCs w:val="16"/>
        </w:rPr>
      </w:pPr>
      <w:r w:rsidRPr="00507A31">
        <w:rPr>
          <w:color w:val="000000" w:themeColor="text1"/>
          <w:sz w:val="16"/>
          <w:szCs w:val="16"/>
        </w:rPr>
        <w:t>14 июня 1930 года начальник ЭКУ ОГПУ Георгий Прокофьев направил во все органы ОГПУ циркулярное указание «Об использовании осужденных вредителей», в котором потребовал представить в центр «полный список всех специалистов, как осужденных, так и заключенных; кого из перечисленных в списке вредителей возможно использовать и конкретно на какой работе; представить ориентировочный план намечаемых работ; какие в настоящее время производятся вредителями работы с указанием, в какой стадии проработки они сейчас находятся; какие из работ уже осуществлены».</w:t>
      </w:r>
    </w:p>
    <w:p w14:paraId="56D8216E" w14:textId="77777777" w:rsidR="005B252C" w:rsidRPr="00507A31" w:rsidRDefault="005B252C" w:rsidP="00507A31">
      <w:pPr>
        <w:jc w:val="both"/>
        <w:rPr>
          <w:color w:val="000000" w:themeColor="text1"/>
          <w:sz w:val="16"/>
          <w:szCs w:val="16"/>
        </w:rPr>
      </w:pPr>
      <w:r w:rsidRPr="00507A31">
        <w:rPr>
          <w:color w:val="000000" w:themeColor="text1"/>
          <w:sz w:val="16"/>
          <w:szCs w:val="16"/>
        </w:rPr>
        <w:t>В числе первых осужденных специалистов был авиаконструктор Дмитрий Григорович -- инженер-конструктор, до революции владел авиационным заводом, беспартийный, заведующий отделом морского опытного самолетостроения Авиатреста. Арестован 31 августа 1928 года, приговорен к десяти годам заключения. Реабилитирован в 1993 году. Он возглавил работу центрального конструкторского бюро при авиационном заводе №39. Группа Григоровича спроектировала и запустила в серийное производство самолет-истребитель И-5, а также создала и испытала несколько моделей опытных боевых самолетов (18728).</w:t>
      </w:r>
    </w:p>
    <w:p w14:paraId="3C875EA4" w14:textId="77777777" w:rsidR="005B252C" w:rsidRPr="00507A31" w:rsidRDefault="005B252C" w:rsidP="00507A31">
      <w:pPr>
        <w:jc w:val="both"/>
        <w:rPr>
          <w:color w:val="000000" w:themeColor="text1"/>
          <w:sz w:val="16"/>
          <w:szCs w:val="16"/>
        </w:rPr>
      </w:pPr>
    </w:p>
    <w:p w14:paraId="30467F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июня 1930 г. б. завод Речкина (Петроградский обозостроительный завод № 1 ВСНХ, Вагоностроительный завод товарищества «Речкии и К</w:t>
      </w:r>
      <w:r w:rsidRPr="00507A31">
        <w:rPr>
          <w:color w:val="000000" w:themeColor="text1"/>
          <w:sz w:val="16"/>
          <w:szCs w:val="16"/>
          <w:vertAlign w:val="superscript"/>
        </w:rPr>
        <w:t>0</w:t>
      </w:r>
      <w:r w:rsidRPr="00507A31">
        <w:rPr>
          <w:color w:val="000000" w:themeColor="text1"/>
          <w:sz w:val="16"/>
          <w:szCs w:val="16"/>
        </w:rPr>
        <w:t>», Механический обозный завод № 5 ВСНХ, Завод им. И.Е. Егорова ВСНХ, Ленинградский вагоностроительный завод (</w:t>
      </w:r>
      <w:r w:rsidRPr="00507A31">
        <w:rPr>
          <w:color w:val="000000" w:themeColor="text1"/>
          <w:sz w:val="16"/>
          <w:szCs w:val="16"/>
          <w:lang w:val="en-US"/>
        </w:rPr>
        <w:t>JIB</w:t>
      </w:r>
      <w:r w:rsidRPr="00507A31">
        <w:rPr>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переименован в Ленинградский вагоностроительный завод им. И.Е. Егорова Государственного вагоностроительного треста ВСНХ. С 1931 г. завод - в ведении ВО вагоностроительных и тормозных заводов НКТП, с 1937г. НКМ, с 1939г. - НКСМ.</w:t>
      </w:r>
    </w:p>
    <w:p w14:paraId="1B9E43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219281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507A31">
        <w:rPr>
          <w:color w:val="000000" w:themeColor="text1"/>
          <w:sz w:val="16"/>
          <w:szCs w:val="16"/>
          <w:vertAlign w:val="superscript"/>
        </w:rPr>
        <w:t>65</w:t>
      </w:r>
      <w:r w:rsidRPr="00507A31">
        <w:rPr>
          <w:color w:val="000000" w:themeColor="text1"/>
          <w:sz w:val="16"/>
          <w:szCs w:val="16"/>
        </w:rPr>
        <w:t xml:space="preserve"> В 1940-41 г. выпускал снаряды и бомбы ФАБ-100, в 1943- 45г. - мины калибра 82 мм и 120 мм.</w:t>
      </w:r>
    </w:p>
    <w:p w14:paraId="0C844F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1945г. завод - в ведении Наркомтрансмаша, с 1946г. - МТМ, с 1957г. - Управления тяжелого машиностроения ЛенСНХ. С 01.1966г.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4AE574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1980-х г. - ПО «Ленвагонмаш». По приказу Минтяжмаша от 24.11.1989г. завод преобразован в Арендное ПО, затем - ЗАО «Вагонмаш».</w:t>
      </w:r>
      <w:r w:rsidRPr="00507A31">
        <w:rPr>
          <w:color w:val="000000" w:themeColor="text1"/>
          <w:sz w:val="16"/>
          <w:szCs w:val="16"/>
          <w:vertAlign w:val="superscript"/>
        </w:rPr>
        <w:t>131</w:t>
      </w:r>
    </w:p>
    <w:p w14:paraId="5FA046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(1940 г.)- Баулин, (1989г.)- И.Ю. Носов. Гендиректор (2003г.)- М.А. Тихоненко, (2005г.)- С.В. Винник.</w:t>
      </w:r>
    </w:p>
    <w:p w14:paraId="22C3F5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вагоны метро; понтон пр. К-4183 (1954)- 3, понтонно-мостовой парк пр. 65 (1960), пассажирские вагоны (2004г.) (11982).</w:t>
      </w:r>
    </w:p>
    <w:p w14:paraId="529DA368" w14:textId="77777777" w:rsidR="00537E5F" w:rsidRPr="00507A31" w:rsidRDefault="00537E5F" w:rsidP="00507A31">
      <w:pPr>
        <w:autoSpaceDE w:val="0"/>
        <w:autoSpaceDN w:val="0"/>
        <w:adjustRightInd w:val="0"/>
        <w:jc w:val="both"/>
        <w:rPr>
          <w:color w:val="000000" w:themeColor="text1"/>
          <w:sz w:val="16"/>
          <w:szCs w:val="16"/>
        </w:rPr>
      </w:pPr>
    </w:p>
    <w:p w14:paraId="0492ADE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0A25C6E4" w14:textId="77777777" w:rsidR="00537E5F" w:rsidRPr="00507A31" w:rsidRDefault="00537E5F" w:rsidP="00507A31">
      <w:pPr>
        <w:autoSpaceDE w:val="0"/>
        <w:autoSpaceDN w:val="0"/>
        <w:adjustRightInd w:val="0"/>
        <w:jc w:val="both"/>
        <w:rPr>
          <w:iCs/>
          <w:color w:val="000000" w:themeColor="text1"/>
          <w:sz w:val="16"/>
          <w:szCs w:val="16"/>
        </w:rPr>
      </w:pPr>
    </w:p>
    <w:p w14:paraId="664BE2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июня 1930 г. восемь Р-5 после окончания войсковых испытаний оставили в 20-й эскадрилье. Она стала первой частью ВВС РККА, вооруженной новыми бипланами.</w:t>
      </w:r>
    </w:p>
    <w:p w14:paraId="082E18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Экипажи эскадрильи успешно продолжили освоение Р-5. Стали летать не только днем, но и ночью. С конца июня проводили тренировочные полеты на разведку движения поездов по железным дорогам. А ночью с 25 на 26 июня звено Р-5 совершило условный налет на летний лагерь 21-й стрелковой дивизии у станции Ерески -в 170 км от своего аэродрома. На следующую ночь звено самолетов осуществило перелет Харьков - Киев. Машины пилотировали летчики Зимма, Шестель и Татулов; командир эскадрильи Дейч сидел на месте летнаба в головном Р-5. В Киеве садились в темноте, при свете костров и единственного прожектора. Отдохнув днем, ночью отправились обратно и к утру благополучно приземлились в Харькове.</w:t>
      </w:r>
    </w:p>
    <w:p w14:paraId="6B69EA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Эскадрилья тогда являлась главной структурной единицей наших ВВС. Легкобомбардировочная или разведывательная эскадрилья включала 19 самолетов и делилась на два отряда. Три-четыре эскадрильи сводились в авиабригаду. С февраля 1932 г. ввели штат из 28 машин (три отряда), а годом позже увеличили количество самолетов в отряде до десяти и эскадрилья, соответственно, стала комплектоваться 31 Р-5.</w:t>
      </w:r>
    </w:p>
    <w:p w14:paraId="594E54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середине 1931 г.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эскадрильям (лбаэ). На совещании 31 августа 1930 г. решили отдать приоритет именно бомбардировочной авиации, перевооружив постепенно на Р-5 все части легких бомбардировщиков, кроме двух эскадрилий в ОКД ВА. После этого предстояло оснащение шести разведывательных эскадрилий (раэ) в Подмосковье, Белоруссии и на Украине (16-й, 20-й, 30-й, 50-й, 52-й и 54-й). В школы решили пока Р-5 не давать - обойдутся старыми Р-1 и "фоккерами". Исключение сделали только для академии им. Жуковского - она получила сначала один из опытных Р-5, а затем и еще партию машин (12034).</w:t>
      </w:r>
    </w:p>
    <w:p w14:paraId="2CFE4CD5" w14:textId="77777777" w:rsidR="00537E5F" w:rsidRPr="00507A31" w:rsidRDefault="00537E5F" w:rsidP="00507A31">
      <w:pPr>
        <w:autoSpaceDE w:val="0"/>
        <w:autoSpaceDN w:val="0"/>
        <w:adjustRightInd w:val="0"/>
        <w:jc w:val="both"/>
        <w:rPr>
          <w:color w:val="000000" w:themeColor="text1"/>
          <w:sz w:val="16"/>
          <w:szCs w:val="16"/>
        </w:rPr>
      </w:pPr>
    </w:p>
    <w:p w14:paraId="32D64ED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29C32B3" w14:textId="77777777" w:rsidR="00537E5F" w:rsidRPr="00507A31" w:rsidRDefault="00537E5F" w:rsidP="00507A31">
      <w:pPr>
        <w:autoSpaceDE w:val="0"/>
        <w:autoSpaceDN w:val="0"/>
        <w:adjustRightInd w:val="0"/>
        <w:jc w:val="both"/>
        <w:rPr>
          <w:iCs/>
          <w:color w:val="000000" w:themeColor="text1"/>
          <w:sz w:val="16"/>
          <w:szCs w:val="16"/>
        </w:rPr>
      </w:pPr>
    </w:p>
    <w:p w14:paraId="1D51E2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июня 1930 на год раньше срока закончено строительство завода "Ростсельмаш" (10687).</w:t>
      </w:r>
    </w:p>
    <w:p w14:paraId="69702004" w14:textId="77777777" w:rsidR="00537E5F" w:rsidRPr="00507A31" w:rsidRDefault="00537E5F" w:rsidP="00507A31">
      <w:pPr>
        <w:autoSpaceDE w:val="0"/>
        <w:autoSpaceDN w:val="0"/>
        <w:adjustRightInd w:val="0"/>
        <w:jc w:val="both"/>
        <w:rPr>
          <w:color w:val="000000" w:themeColor="text1"/>
          <w:sz w:val="16"/>
          <w:szCs w:val="16"/>
        </w:rPr>
      </w:pPr>
    </w:p>
    <w:p w14:paraId="0D89180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F6B0DC5" w14:textId="77777777" w:rsidR="00537E5F" w:rsidRPr="00507A31" w:rsidRDefault="00537E5F" w:rsidP="00507A31">
      <w:pPr>
        <w:autoSpaceDE w:val="0"/>
        <w:autoSpaceDN w:val="0"/>
        <w:adjustRightInd w:val="0"/>
        <w:jc w:val="both"/>
        <w:rPr>
          <w:iCs/>
          <w:color w:val="000000" w:themeColor="text1"/>
          <w:sz w:val="16"/>
          <w:szCs w:val="16"/>
        </w:rPr>
      </w:pPr>
    </w:p>
    <w:p w14:paraId="28FC20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1930 летчик А.Д.Шишкин - выбросился из И-6, который доводился без Н.Н.П. почти одновременно с И-5 (92,362).</w:t>
      </w:r>
    </w:p>
    <w:p w14:paraId="6B85F0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это произошло через месяц.</w:t>
      </w:r>
    </w:p>
    <w:p w14:paraId="0C753C2E" w14:textId="77777777" w:rsidR="00537E5F" w:rsidRPr="00507A31" w:rsidRDefault="00537E5F" w:rsidP="00507A31">
      <w:pPr>
        <w:autoSpaceDE w:val="0"/>
        <w:autoSpaceDN w:val="0"/>
        <w:adjustRightInd w:val="0"/>
        <w:jc w:val="both"/>
        <w:rPr>
          <w:color w:val="000000" w:themeColor="text1"/>
          <w:sz w:val="16"/>
          <w:szCs w:val="16"/>
        </w:rPr>
      </w:pPr>
    </w:p>
    <w:p w14:paraId="08925CB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 июня 1930 года вышло распоряжение Наркомвоенмора Ворошилова о том, что самолет ВТХ1 должен изготовляться в серии. Литерное обозначение его по номенклатуре ВВС получил И5-ЮпVI и И5-М15 (с мотором 2М15) (6943, 16).</w:t>
      </w:r>
    </w:p>
    <w:p w14:paraId="71FAE40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10B49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1930 состоялось техническое совещание руководителей групп отдела АГОС и П.О.С. говорил о ходе работ по Р-7 (Р-10). Просили увязать срок окончания работ с ВМ.П. и Н.И.Петровым (1102).</w:t>
      </w:r>
    </w:p>
    <w:p w14:paraId="690F5C55" w14:textId="77777777" w:rsidR="00537E5F" w:rsidRPr="00507A31" w:rsidRDefault="00537E5F" w:rsidP="00507A31">
      <w:pPr>
        <w:autoSpaceDE w:val="0"/>
        <w:autoSpaceDN w:val="0"/>
        <w:adjustRightInd w:val="0"/>
        <w:jc w:val="both"/>
        <w:rPr>
          <w:color w:val="000000" w:themeColor="text1"/>
          <w:sz w:val="16"/>
          <w:szCs w:val="16"/>
        </w:rPr>
      </w:pPr>
    </w:p>
    <w:p w14:paraId="0D5628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15-25 июня 1930 г. головная машина Р-5 2-й серии №4151 прошла испытания в НИИ ВВС как эталон легкого бомбардировщика с нагрузкой до 664 кг. На ней появились храповики и усиленный башмак костыля. Резина колес была отечественного производства. На турели стоял один пулемет ДА, балки Дер-13 отсутствовали. Полеты показали, что шасси недостаточно жесткое для увеличившегося взлетного веса. Всего за неделю испытаний оно начало деформироваться.</w:t>
      </w:r>
    </w:p>
    <w:p w14:paraId="3D6A3C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С применением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бобышки под бомбодержатели, и со временем от нагрузки расшатался набор крыла. Уже в октябре 1930 г. полеты на Р-5 с бомбами запретили. Предложили использовать самолеты 1-й и 2-й серий только как разведчики, сняв бомбодержатели вообще. Но Алкснис, ставший уже начальником УВВС, воспротивился этому. Он не только запретил впредь принимать самолеты без усиления крыла, но и потребовал доработать все ранее выпущенные. 14 ноября приказали вскрыть на заводе уже готовые машины и установить бобышки (11936).</w:t>
      </w:r>
    </w:p>
    <w:p w14:paraId="2FA711B1" w14:textId="77777777" w:rsidR="00537E5F" w:rsidRPr="00507A31" w:rsidRDefault="00537E5F" w:rsidP="00507A31">
      <w:pPr>
        <w:autoSpaceDE w:val="0"/>
        <w:autoSpaceDN w:val="0"/>
        <w:adjustRightInd w:val="0"/>
        <w:jc w:val="both"/>
        <w:rPr>
          <w:color w:val="000000" w:themeColor="text1"/>
          <w:sz w:val="16"/>
          <w:szCs w:val="16"/>
        </w:rPr>
      </w:pPr>
    </w:p>
    <w:p w14:paraId="375E80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15-25 июня 1930 г. головной образец 2-й серии Р-5, которым стала машина № 4151,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3F70C5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бал- ки Дер-13 rio-прежнему отсутствовали.</w:t>
      </w:r>
    </w:p>
    <w:p w14:paraId="645EA0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1D48DAD6" w14:textId="77777777" w:rsidR="00537E5F" w:rsidRPr="00507A31" w:rsidRDefault="00537E5F" w:rsidP="00507A31">
      <w:pPr>
        <w:autoSpaceDE w:val="0"/>
        <w:autoSpaceDN w:val="0"/>
        <w:adjustRightInd w:val="0"/>
        <w:jc w:val="both"/>
        <w:rPr>
          <w:color w:val="000000" w:themeColor="text1"/>
          <w:sz w:val="16"/>
          <w:szCs w:val="16"/>
        </w:rPr>
      </w:pPr>
    </w:p>
    <w:p w14:paraId="0F0000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1930 года зам. председателя НТК Харламов писал письмо председателям 1, 2, 3, 4 и 5 секций НТК</w:t>
      </w:r>
    </w:p>
    <w:p w14:paraId="0E1AA1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получением сего предлагаю приступить к поверке исполнений постановления Р3 СТО от 30 апреля 1930 года организациями выполняющими пятилетний план опытного строительства ВВС (6998, 34).</w:t>
      </w:r>
    </w:p>
    <w:p w14:paraId="2EA87681" w14:textId="77777777" w:rsidR="00537E5F" w:rsidRPr="00507A31" w:rsidRDefault="00537E5F" w:rsidP="00507A31">
      <w:pPr>
        <w:autoSpaceDE w:val="0"/>
        <w:autoSpaceDN w:val="0"/>
        <w:adjustRightInd w:val="0"/>
        <w:jc w:val="both"/>
        <w:rPr>
          <w:color w:val="000000" w:themeColor="text1"/>
          <w:sz w:val="16"/>
          <w:szCs w:val="16"/>
        </w:rPr>
      </w:pPr>
    </w:p>
    <w:p w14:paraId="0FD708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1930 года на базе секции воздушных сообщений НИИ Ленинградского института инженеров путей сообщения, существовавшей с 1928/29 учебного года, было создано Научно-исследовательское бюро. В марте 1931 года согласно Технико-экономическому паспорту на базе Научно-исследовательского бюро ИГВФ (НИБа ИГВФ) и лабораторий Института ГВФ был создан Научно-исследовательский аэроинститут при Ленинградском учебном комбинате ГВФ (Научно-исследовательский аэроинститут УК ГВФ.</w:t>
      </w:r>
    </w:p>
    <w:p w14:paraId="476B4E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Адрес: Ленинград, ул. Плеханова, 7</w:t>
      </w:r>
    </w:p>
    <w:p w14:paraId="7AACD6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и строительство воздушных портов, светооборудование, эксплуатация и изыскание воздушных линий, аэрология и аэронавигация, экономика воздушного транспорта, связь, воздушное право, авиационная медицина, аэродинамика, авиационные двигатели, авиационные материалы, самолетостроение, воздухоплавание (7726, 70-95).</w:t>
      </w:r>
    </w:p>
    <w:p w14:paraId="53AB3F8F" w14:textId="77777777" w:rsidR="00537E5F" w:rsidRPr="00507A31" w:rsidRDefault="00537E5F" w:rsidP="00507A31">
      <w:pPr>
        <w:autoSpaceDE w:val="0"/>
        <w:autoSpaceDN w:val="0"/>
        <w:adjustRightInd w:val="0"/>
        <w:jc w:val="both"/>
        <w:rPr>
          <w:color w:val="000000" w:themeColor="text1"/>
          <w:sz w:val="16"/>
          <w:szCs w:val="16"/>
        </w:rPr>
      </w:pPr>
    </w:p>
    <w:p w14:paraId="6BB225B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C5CE1DA" w14:textId="77777777" w:rsidR="00537E5F" w:rsidRPr="00507A31" w:rsidRDefault="00537E5F" w:rsidP="00507A31">
      <w:pPr>
        <w:autoSpaceDE w:val="0"/>
        <w:autoSpaceDN w:val="0"/>
        <w:adjustRightInd w:val="0"/>
        <w:jc w:val="both"/>
        <w:rPr>
          <w:iCs/>
          <w:color w:val="000000" w:themeColor="text1"/>
          <w:sz w:val="16"/>
          <w:szCs w:val="16"/>
        </w:rPr>
      </w:pPr>
    </w:p>
    <w:p w14:paraId="0F94CB1F" w14:textId="77777777" w:rsidR="00B278C0" w:rsidRPr="00507A31" w:rsidRDefault="00B278C0" w:rsidP="00507A31">
      <w:pPr>
        <w:jc w:val="both"/>
        <w:rPr>
          <w:color w:val="0070C0"/>
          <w:sz w:val="16"/>
          <w:szCs w:val="16"/>
        </w:rPr>
      </w:pPr>
      <w:r w:rsidRPr="00507A31">
        <w:rPr>
          <w:color w:val="0070C0"/>
          <w:sz w:val="16"/>
          <w:szCs w:val="16"/>
        </w:rPr>
        <w:t>15 июня 1930 состоялось заседание ПБ (Протокол № 128. Особый № 126).</w:t>
      </w:r>
    </w:p>
    <w:p w14:paraId="5A412945" w14:textId="77777777" w:rsidR="00B278C0" w:rsidRPr="00507A31" w:rsidRDefault="00B278C0" w:rsidP="00507A31">
      <w:pPr>
        <w:jc w:val="both"/>
        <w:rPr>
          <w:color w:val="0070C0"/>
          <w:sz w:val="16"/>
          <w:szCs w:val="16"/>
        </w:rPr>
      </w:pPr>
      <w:r w:rsidRPr="00507A31">
        <w:rPr>
          <w:color w:val="0070C0"/>
          <w:sz w:val="16"/>
          <w:szCs w:val="16"/>
        </w:rPr>
        <w:t>30 мая 1930 опросом членов ПБ</w:t>
      </w:r>
    </w:p>
    <w:p w14:paraId="10D92113" w14:textId="77777777" w:rsidR="00B278C0" w:rsidRPr="00507A31" w:rsidRDefault="00B278C0" w:rsidP="00507A31">
      <w:pPr>
        <w:jc w:val="both"/>
        <w:rPr>
          <w:color w:val="0070C0"/>
          <w:sz w:val="16"/>
          <w:szCs w:val="16"/>
        </w:rPr>
      </w:pPr>
      <w:r w:rsidRPr="00507A31">
        <w:rPr>
          <w:color w:val="0070C0"/>
          <w:sz w:val="16"/>
          <w:szCs w:val="16"/>
        </w:rPr>
        <w:t>37. - Об импорте оборудования для военной промышленности.</w:t>
      </w:r>
    </w:p>
    <w:p w14:paraId="74D683AE" w14:textId="77777777" w:rsidR="00B278C0" w:rsidRPr="00507A31" w:rsidRDefault="00B278C0" w:rsidP="00507A31">
      <w:pPr>
        <w:jc w:val="both"/>
        <w:rPr>
          <w:color w:val="0070C0"/>
          <w:sz w:val="16"/>
          <w:szCs w:val="16"/>
        </w:rPr>
      </w:pPr>
      <w:r w:rsidRPr="00507A31">
        <w:rPr>
          <w:color w:val="0070C0"/>
          <w:sz w:val="16"/>
          <w:szCs w:val="16"/>
        </w:rPr>
        <w:t>(т.т. Рудзутак, Прокофьев, Менжинский).</w:t>
      </w:r>
    </w:p>
    <w:p w14:paraId="6486A9BD" w14:textId="77777777" w:rsidR="00B278C0" w:rsidRPr="00507A31" w:rsidRDefault="00B278C0" w:rsidP="00507A31">
      <w:pPr>
        <w:jc w:val="both"/>
        <w:rPr>
          <w:color w:val="0070C0"/>
          <w:sz w:val="16"/>
          <w:szCs w:val="16"/>
        </w:rPr>
      </w:pPr>
      <w:r w:rsidRPr="00507A31">
        <w:rPr>
          <w:color w:val="0070C0"/>
          <w:sz w:val="16"/>
          <w:szCs w:val="16"/>
        </w:rPr>
        <w:t>а) Шинделя и Воронецкого арестовать.</w:t>
      </w:r>
    </w:p>
    <w:p w14:paraId="1D2A977F" w14:textId="77777777" w:rsidR="00B278C0" w:rsidRPr="00507A31" w:rsidRDefault="00B278C0" w:rsidP="00507A31">
      <w:pPr>
        <w:jc w:val="both"/>
        <w:rPr>
          <w:color w:val="0070C0"/>
          <w:sz w:val="16"/>
          <w:szCs w:val="16"/>
        </w:rPr>
      </w:pPr>
      <w:r w:rsidRPr="00507A31">
        <w:rPr>
          <w:color w:val="0070C0"/>
          <w:sz w:val="16"/>
          <w:szCs w:val="16"/>
        </w:rPr>
        <w:t>б) Шлейфера по приезде из Монголии допросить</w:t>
      </w:r>
    </w:p>
    <w:p w14:paraId="0602A2D4" w14:textId="77777777" w:rsidR="00B278C0" w:rsidRPr="00507A31" w:rsidRDefault="00B278C0" w:rsidP="00507A31">
      <w:pPr>
        <w:jc w:val="both"/>
        <w:rPr>
          <w:color w:val="0070C0"/>
          <w:sz w:val="16"/>
          <w:szCs w:val="16"/>
        </w:rPr>
      </w:pPr>
      <w:r w:rsidRPr="00507A31">
        <w:rPr>
          <w:color w:val="0070C0"/>
          <w:sz w:val="16"/>
          <w:szCs w:val="16"/>
        </w:rPr>
        <w:t>В) Поручить РКИ СССР выделить человека, который наблю</w:t>
      </w:r>
      <w:r w:rsidRPr="00507A31">
        <w:rPr>
          <w:color w:val="0070C0"/>
          <w:sz w:val="16"/>
          <w:szCs w:val="16"/>
        </w:rPr>
        <w:softHyphen/>
        <w:t>дал бы за точным выполнением решений Политбюро, импортною ко</w:t>
      </w:r>
      <w:r w:rsidRPr="00507A31">
        <w:rPr>
          <w:color w:val="0070C0"/>
          <w:sz w:val="16"/>
          <w:szCs w:val="16"/>
        </w:rPr>
        <w:softHyphen/>
        <w:t>миссии, СТО и СНК СССР по реализации экспортно-импортного плана.</w:t>
      </w:r>
    </w:p>
    <w:p w14:paraId="2E2D61A1" w14:textId="77777777" w:rsidR="00B278C0" w:rsidRPr="00507A31" w:rsidRDefault="00B278C0" w:rsidP="00507A31">
      <w:pPr>
        <w:jc w:val="both"/>
        <w:rPr>
          <w:color w:val="0070C0"/>
          <w:sz w:val="16"/>
          <w:szCs w:val="16"/>
        </w:rPr>
      </w:pPr>
      <w:r w:rsidRPr="00507A31">
        <w:rPr>
          <w:color w:val="0070C0"/>
          <w:sz w:val="16"/>
          <w:szCs w:val="16"/>
        </w:rPr>
        <w:t>Выписки посланы: т. Менжинскому - а,б; т. Орджоникидзе – в (23111).</w:t>
      </w:r>
    </w:p>
    <w:p w14:paraId="1E072353" w14:textId="77777777" w:rsidR="00B278C0" w:rsidRPr="00507A31" w:rsidRDefault="00B278C0" w:rsidP="00507A31">
      <w:pPr>
        <w:jc w:val="both"/>
        <w:rPr>
          <w:color w:val="0070C0"/>
          <w:sz w:val="16"/>
          <w:szCs w:val="16"/>
        </w:rPr>
      </w:pPr>
    </w:p>
    <w:p w14:paraId="025127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июня 1930 г. была подготовлена ДОКЛАДНАЯ ЗАПИСКА ТУ НАЧАЛЬНИКУ УММ О РАБОТЕ РЕМОНТНЫХ МАСТЕРСКИХ</w:t>
      </w:r>
    </w:p>
    <w:p w14:paraId="7E5453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041422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Подвижная автобронетанкотракторная ремонтная мастерская имеет своей задачей обслужива</w:t>
      </w:r>
      <w:r w:rsidRPr="00507A31">
        <w:rPr>
          <w:color w:val="000000" w:themeColor="text1"/>
          <w:sz w:val="16"/>
          <w:szCs w:val="16"/>
        </w:rPr>
        <w:softHyphen/>
        <w:t>ние машин армии средним ремонтом. Оборудование ее рассчитано, с учетом возможности, по усло</w:t>
      </w:r>
      <w:r w:rsidRPr="00507A31">
        <w:rPr>
          <w:color w:val="000000" w:themeColor="text1"/>
          <w:sz w:val="16"/>
          <w:szCs w:val="16"/>
        </w:rPr>
        <w:softHyphen/>
        <w:t>виям военного времени и возложения на нее командованием части выполнения и капитальных ре</w:t>
      </w:r>
      <w:r w:rsidRPr="00507A31">
        <w:rPr>
          <w:color w:val="000000" w:themeColor="text1"/>
          <w:sz w:val="16"/>
          <w:szCs w:val="16"/>
        </w:rPr>
        <w:softHyphen/>
        <w:t>монтов. Производство ремонта автомашин в подвижной мастерской, главным образом, будет сво</w:t>
      </w:r>
      <w:r w:rsidRPr="00507A31">
        <w:rPr>
          <w:color w:val="000000" w:themeColor="text1"/>
          <w:sz w:val="16"/>
          <w:szCs w:val="16"/>
        </w:rPr>
        <w:softHyphen/>
        <w:t>диться к замене агрегатов, требующих ремонта на уже отремонтированные или на новые из числа запаса мастерской. (Ремонт же агрегатов сводится к замене и пригонке износившихся деталей в аг</w:t>
      </w:r>
      <w:r w:rsidRPr="00507A31">
        <w:rPr>
          <w:color w:val="000000" w:themeColor="text1"/>
          <w:sz w:val="16"/>
          <w:szCs w:val="16"/>
        </w:rPr>
        <w:softHyphen/>
        <w:t>регате новыми, получаемыми от промышленности и изготавливаемыми самой мастерской). Поэтому мастерская постоянно должна иметь соответствующий запас автобронетанкотракторных частей и агрегатов в сборке. Этот запас деталей и агрегатов в мастерских должен бесперебойно пополняться от промышленности. При таком положении только время, потребное на производство ремонтов мо</w:t>
      </w:r>
      <w:r w:rsidRPr="00507A31">
        <w:rPr>
          <w:color w:val="000000" w:themeColor="text1"/>
          <w:sz w:val="16"/>
          <w:szCs w:val="16"/>
        </w:rPr>
        <w:softHyphen/>
        <w:t>жет по сравнению с существующими нормами значительно сократиться, примерно, для капитально</w:t>
      </w:r>
      <w:r w:rsidRPr="00507A31">
        <w:rPr>
          <w:color w:val="000000" w:themeColor="text1"/>
          <w:sz w:val="16"/>
          <w:szCs w:val="16"/>
        </w:rPr>
        <w:softHyphen/>
        <w:t>го ремонта до 750 час. и среднего до 200 час.</w:t>
      </w:r>
    </w:p>
    <w:p w14:paraId="1374DB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Общее количество часов, подлежащих затрате на ремонт 10200 машин в год составит 10200 х 200 = 2040000 час.</w:t>
      </w:r>
    </w:p>
    <w:p w14:paraId="052072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300 рабочих днях мастерских в год, в день должно быть затрачено 2040000 / 300 = 6800 час.</w:t>
      </w:r>
    </w:p>
    <w:p w14:paraId="48D599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Отсюда количество производственных рабочих потребуется при 10 часовом рабочем дне 6800 / 10 = 680 чел.</w:t>
      </w:r>
    </w:p>
    <w:p w14:paraId="456CC1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Прибавляя 15% подсобных рабочих, т.е. (680 х 15) / 100 = 102 чел. и 5% на уважительные причи</w:t>
      </w:r>
      <w:r w:rsidRPr="00507A31">
        <w:rPr>
          <w:color w:val="000000" w:themeColor="text1"/>
          <w:sz w:val="16"/>
          <w:szCs w:val="16"/>
        </w:rPr>
        <w:softHyphen/>
        <w:t>ны (больничный, увольнение, отпуск) — 34 чел., получим 680 + 102 4- 34 = 816 человек.</w:t>
      </w:r>
    </w:p>
    <w:p w14:paraId="785279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Если в мастерской единовременно находится примерно четырехкратное количество машин по срав</w:t>
      </w:r>
      <w:r w:rsidRPr="00507A31">
        <w:rPr>
          <w:color w:val="000000" w:themeColor="text1"/>
          <w:sz w:val="16"/>
          <w:szCs w:val="16"/>
        </w:rPr>
        <w:softHyphen/>
        <w:t>нению с суточным выпуском, а суточный выпуск должен быть при 300 раб. днях 10200 / 300 = 34 маш., т.е. 34 х 4 = 136 машин, то потребная площадь для сборочной должна равняться 136 х 36 = 4896 кв. м, при</w:t>
      </w:r>
      <w:r w:rsidRPr="00507A31">
        <w:rPr>
          <w:color w:val="000000" w:themeColor="text1"/>
          <w:sz w:val="16"/>
          <w:szCs w:val="16"/>
        </w:rPr>
        <w:softHyphen/>
        <w:t>нимаем площадь равной 5000 кв.м, имея в виду и ремонт отдельных агрегатов на этой же площади.</w:t>
      </w:r>
    </w:p>
    <w:p w14:paraId="0EFCF9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Если же при выше указанном штате и наличии данного оборудования будем производить из чис</w:t>
      </w:r>
      <w:r w:rsidRPr="00507A31">
        <w:rPr>
          <w:color w:val="000000" w:themeColor="text1"/>
          <w:sz w:val="16"/>
          <w:szCs w:val="16"/>
        </w:rPr>
        <w:softHyphen/>
        <w:t>ла поступающих машин 25% капитального ремонта при затрате 750 час. на машину, то данные мас</w:t>
      </w:r>
      <w:r w:rsidRPr="00507A31">
        <w:rPr>
          <w:color w:val="000000" w:themeColor="text1"/>
          <w:sz w:val="16"/>
          <w:szCs w:val="16"/>
        </w:rPr>
        <w:softHyphen/>
        <w:t>терские смогут пропустить следующее количество машин: добавляя 750 — 200 = 550 на четвертую часть машин, а на все машины 550 / 4 = 138 час., на каждую же машину придется 200 + 138 = 338 час., то при затрате 2040000 час. на все машины в год получим 2040000 / 338 = 6000 машин (имея в виду полное наличие запасных частей).</w:t>
      </w:r>
    </w:p>
    <w:p w14:paraId="19EECF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Расчет на оборудование цехов и инструмент подсчитывался из расчета двух смен, исключая сбо</w:t>
      </w:r>
      <w:r w:rsidRPr="00507A31">
        <w:rPr>
          <w:color w:val="000000" w:themeColor="text1"/>
          <w:sz w:val="16"/>
          <w:szCs w:val="16"/>
        </w:rPr>
        <w:softHyphen/>
        <w:t>рочный цех, в котором целесообразнее проводить работу в одну смену.</w:t>
      </w:r>
    </w:p>
    <w:p w14:paraId="799AE0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4 отдела ТУ УММ РККА</w:t>
      </w:r>
    </w:p>
    <w:p w14:paraId="45A187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Магидов</w:t>
      </w:r>
    </w:p>
    <w:p w14:paraId="60CAA1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Он. 1.Д. 175. Л. 60. Подлинник (11210).</w:t>
      </w:r>
    </w:p>
    <w:p w14:paraId="58B13637" w14:textId="77777777" w:rsidR="00537E5F" w:rsidRPr="00507A31" w:rsidRDefault="00537E5F" w:rsidP="00507A31">
      <w:pPr>
        <w:autoSpaceDE w:val="0"/>
        <w:autoSpaceDN w:val="0"/>
        <w:adjustRightInd w:val="0"/>
        <w:jc w:val="both"/>
        <w:rPr>
          <w:color w:val="000000" w:themeColor="text1"/>
          <w:sz w:val="16"/>
          <w:szCs w:val="16"/>
        </w:rPr>
      </w:pPr>
    </w:p>
    <w:p w14:paraId="2179B107" w14:textId="77777777" w:rsidR="005B252C" w:rsidRPr="00507A31" w:rsidRDefault="005B252C" w:rsidP="00507A31">
      <w:pPr>
        <w:jc w:val="both"/>
        <w:rPr>
          <w:bCs/>
          <w:iCs/>
          <w:color w:val="000000" w:themeColor="text1"/>
          <w:sz w:val="16"/>
          <w:szCs w:val="16"/>
        </w:rPr>
      </w:pPr>
      <w:r w:rsidRPr="00507A31">
        <w:rPr>
          <w:color w:val="000000" w:themeColor="text1"/>
          <w:sz w:val="16"/>
          <w:szCs w:val="16"/>
        </w:rPr>
        <w:t>15 Июня 1930</w:t>
      </w:r>
    </w:p>
    <w:p w14:paraId="5489133D" w14:textId="77777777" w:rsidR="005B252C" w:rsidRPr="00507A31" w:rsidRDefault="005B252C" w:rsidP="00507A31">
      <w:pPr>
        <w:jc w:val="both"/>
        <w:rPr>
          <w:color w:val="000000" w:themeColor="text1"/>
          <w:sz w:val="16"/>
          <w:szCs w:val="16"/>
        </w:rPr>
      </w:pPr>
      <w:r w:rsidRPr="00507A31">
        <w:rPr>
          <w:bCs/>
          <w:iCs/>
          <w:color w:val="000000" w:themeColor="text1"/>
          <w:sz w:val="16"/>
          <w:szCs w:val="16"/>
        </w:rPr>
        <w:t>РГВА Фонд 31811 Опись 1 Дело 38 лист 243</w:t>
      </w:r>
      <w:r w:rsidRPr="00507A31">
        <w:rPr>
          <w:color w:val="000000" w:themeColor="text1"/>
          <w:sz w:val="16"/>
          <w:szCs w:val="16"/>
        </w:rPr>
        <w:t xml:space="preserve"> </w:t>
      </w:r>
    </w:p>
    <w:p w14:paraId="29B3DFC2" w14:textId="77777777" w:rsidR="005B252C" w:rsidRPr="00507A31" w:rsidRDefault="005B252C" w:rsidP="00507A31">
      <w:pPr>
        <w:jc w:val="both"/>
        <w:rPr>
          <w:color w:val="000000" w:themeColor="text1"/>
          <w:sz w:val="16"/>
          <w:szCs w:val="16"/>
        </w:rPr>
      </w:pPr>
      <w:r w:rsidRPr="00507A31">
        <w:rPr>
          <w:color w:val="000000" w:themeColor="text1"/>
          <w:sz w:val="16"/>
          <w:szCs w:val="16"/>
          <w:u w:val="single"/>
        </w:rPr>
        <w:t>Спешно.</w:t>
      </w:r>
      <w:r w:rsidRPr="00507A31">
        <w:rPr>
          <w:color w:val="000000" w:themeColor="text1"/>
          <w:sz w:val="16"/>
          <w:szCs w:val="16"/>
        </w:rPr>
        <w:t xml:space="preserve"> </w:t>
      </w:r>
    </w:p>
    <w:p w14:paraId="749BCBB9"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Секретно. </w:t>
      </w:r>
    </w:p>
    <w:p w14:paraId="17E36588"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Экз. № 1 </w:t>
      </w:r>
    </w:p>
    <w:p w14:paraId="09BAC67C"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15 Июня 1930 г. </w:t>
      </w:r>
    </w:p>
    <w:p w14:paraId="5D5D3FBD"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 15Е/249с </w:t>
      </w:r>
    </w:p>
    <w:p w14:paraId="5D631471" w14:textId="77777777" w:rsidR="005B252C" w:rsidRPr="00507A31" w:rsidRDefault="005B252C" w:rsidP="00507A31">
      <w:pPr>
        <w:jc w:val="both"/>
        <w:rPr>
          <w:color w:val="000000" w:themeColor="text1"/>
          <w:sz w:val="16"/>
          <w:szCs w:val="16"/>
        </w:rPr>
      </w:pPr>
      <w:r w:rsidRPr="00507A31">
        <w:rPr>
          <w:color w:val="000000" w:themeColor="text1"/>
          <w:sz w:val="16"/>
          <w:szCs w:val="16"/>
        </w:rPr>
        <w:t>УПРАВЛЕНИЕ МЕХАНИЗАЦИИ И МОТОРИЗАЦИИ</w:t>
      </w:r>
    </w:p>
    <w:p w14:paraId="3D142AA3" w14:textId="77777777" w:rsidR="005B252C" w:rsidRPr="00507A31" w:rsidRDefault="005B252C" w:rsidP="00507A31">
      <w:pPr>
        <w:jc w:val="both"/>
        <w:rPr>
          <w:color w:val="000000" w:themeColor="text1"/>
          <w:sz w:val="16"/>
          <w:szCs w:val="16"/>
        </w:rPr>
      </w:pPr>
      <w:r w:rsidRPr="00507A31">
        <w:rPr>
          <w:color w:val="000000" w:themeColor="text1"/>
          <w:sz w:val="16"/>
          <w:szCs w:val="16"/>
          <w:u w:val="single"/>
        </w:rPr>
        <w:t>Касательно танков фирмы Кристи.</w:t>
      </w:r>
    </w:p>
    <w:p w14:paraId="49B48528"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Амторг телеграфно нас уведомил о том, что фирма Кристи заявила о 75 % готовности машин, и на этом основании требует уплаты 15.000 амер. долларов, переведенных в Нью-Йорк в июне месяце. </w:t>
      </w:r>
    </w:p>
    <w:p w14:paraId="2D65367C"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Между тем, наш инспектор, тов. ЛЕБЕДЕВ, установил готовность заказа только на 20 % и на этом основании ф. Кристи сообщено об отказе в уплате 15.000 ам. долларов до готовности машин на 75 %. </w:t>
      </w:r>
    </w:p>
    <w:p w14:paraId="1EE7FC8E"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По заявлению тов. ПЕТРОВА, фактически Кристи не имеет средств для дальнейшей работы, и если мы теперь выдадим фирме 15.000 долларов, то вряд ли этих денег хватит для доведения постройки до конца. Тов. Петров опасается дальнейших требований со стороны фирмы. </w:t>
      </w:r>
    </w:p>
    <w:p w14:paraId="44D08E54"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По существу изложенного прошу Вашего заключения. </w:t>
      </w:r>
    </w:p>
    <w:p w14:paraId="0FF115F1" w14:textId="77777777" w:rsidR="005B252C" w:rsidRPr="00507A31" w:rsidRDefault="005B252C" w:rsidP="00507A31">
      <w:pPr>
        <w:jc w:val="both"/>
        <w:rPr>
          <w:color w:val="000000" w:themeColor="text1"/>
          <w:sz w:val="16"/>
          <w:szCs w:val="16"/>
        </w:rPr>
      </w:pPr>
      <w:r w:rsidRPr="00507A31">
        <w:rPr>
          <w:color w:val="000000" w:themeColor="text1"/>
          <w:sz w:val="16"/>
          <w:szCs w:val="16"/>
        </w:rPr>
        <w:lastRenderedPageBreak/>
        <w:t>УПОЛНОМОЧЕННЫЙ НКВМ ПРИ НКТОРГЕ СССР подпись (ГИТТИС)</w:t>
      </w:r>
    </w:p>
    <w:p w14:paraId="2EE387D5" w14:textId="77777777" w:rsidR="005B252C" w:rsidRPr="00507A31" w:rsidRDefault="005B252C" w:rsidP="00507A31">
      <w:pPr>
        <w:jc w:val="both"/>
        <w:rPr>
          <w:color w:val="000000" w:themeColor="text1"/>
          <w:sz w:val="16"/>
          <w:szCs w:val="16"/>
        </w:rPr>
      </w:pPr>
      <w:r w:rsidRPr="00507A31">
        <w:rPr>
          <w:color w:val="000000" w:themeColor="text1"/>
          <w:sz w:val="16"/>
          <w:szCs w:val="16"/>
        </w:rPr>
        <w:t>НАЧАЛЬНИК ОПЕРАТИВНО-КОММЕРЧЕСКОЙ ЧАСТИ подпись (САВЧЕНКО)</w:t>
      </w:r>
    </w:p>
    <w:p w14:paraId="69DEC294" w14:textId="77777777" w:rsidR="005B252C" w:rsidRPr="00507A31" w:rsidRDefault="005B252C" w:rsidP="00507A31">
      <w:pPr>
        <w:jc w:val="both"/>
        <w:rPr>
          <w:color w:val="000000" w:themeColor="text1"/>
          <w:sz w:val="16"/>
          <w:szCs w:val="16"/>
        </w:rPr>
      </w:pPr>
      <w:r w:rsidRPr="00507A31">
        <w:rPr>
          <w:color w:val="000000" w:themeColor="text1"/>
          <w:sz w:val="16"/>
          <w:szCs w:val="16"/>
        </w:rPr>
        <w:t>Отп. 2 экз. (19755).</w:t>
      </w:r>
    </w:p>
    <w:p w14:paraId="21DB9D8E" w14:textId="77777777" w:rsidR="005B252C" w:rsidRPr="00507A31" w:rsidRDefault="005B252C" w:rsidP="00507A31">
      <w:pPr>
        <w:jc w:val="both"/>
        <w:rPr>
          <w:color w:val="000000" w:themeColor="text1"/>
          <w:sz w:val="16"/>
          <w:szCs w:val="16"/>
        </w:rPr>
      </w:pPr>
    </w:p>
    <w:p w14:paraId="013818BF" w14:textId="77777777" w:rsidR="005B252C" w:rsidRPr="00507A31" w:rsidRDefault="005B252C" w:rsidP="00507A31">
      <w:pPr>
        <w:jc w:val="both"/>
        <w:rPr>
          <w:bCs/>
          <w:iCs/>
          <w:color w:val="000000" w:themeColor="text1"/>
          <w:sz w:val="16"/>
          <w:szCs w:val="16"/>
        </w:rPr>
      </w:pPr>
      <w:r w:rsidRPr="00507A31">
        <w:rPr>
          <w:color w:val="000000" w:themeColor="text1"/>
          <w:sz w:val="16"/>
          <w:szCs w:val="16"/>
        </w:rPr>
        <w:t>15 Июня 1930</w:t>
      </w:r>
    </w:p>
    <w:p w14:paraId="601A07CA" w14:textId="77777777" w:rsidR="005B252C" w:rsidRPr="00507A31" w:rsidRDefault="005B252C" w:rsidP="00507A31">
      <w:pPr>
        <w:jc w:val="both"/>
        <w:rPr>
          <w:color w:val="000000" w:themeColor="text1"/>
          <w:sz w:val="16"/>
          <w:szCs w:val="16"/>
        </w:rPr>
      </w:pPr>
      <w:r w:rsidRPr="00507A31">
        <w:rPr>
          <w:bCs/>
          <w:iCs/>
          <w:color w:val="000000" w:themeColor="text1"/>
          <w:sz w:val="16"/>
          <w:szCs w:val="16"/>
        </w:rPr>
        <w:t>РГВА Фонд 31811 Опись 1 Дело 38 лист 240 с об.</w:t>
      </w:r>
      <w:r w:rsidRPr="00507A31">
        <w:rPr>
          <w:color w:val="000000" w:themeColor="text1"/>
          <w:sz w:val="16"/>
          <w:szCs w:val="16"/>
        </w:rPr>
        <w:t xml:space="preserve"> </w:t>
      </w:r>
    </w:p>
    <w:p w14:paraId="61A9B742" w14:textId="77777777" w:rsidR="005B252C" w:rsidRPr="00507A31" w:rsidRDefault="005B252C" w:rsidP="00507A31">
      <w:pPr>
        <w:jc w:val="both"/>
        <w:rPr>
          <w:color w:val="000000" w:themeColor="text1"/>
          <w:sz w:val="16"/>
          <w:szCs w:val="16"/>
        </w:rPr>
      </w:pPr>
      <w:r w:rsidRPr="00507A31">
        <w:rPr>
          <w:color w:val="000000" w:themeColor="text1"/>
          <w:sz w:val="16"/>
          <w:szCs w:val="16"/>
          <w:u w:val="single"/>
        </w:rPr>
        <w:t>Нарочным</w:t>
      </w:r>
      <w:r w:rsidRPr="00507A31">
        <w:rPr>
          <w:color w:val="000000" w:themeColor="text1"/>
          <w:sz w:val="16"/>
          <w:szCs w:val="16"/>
        </w:rPr>
        <w:t xml:space="preserve"> </w:t>
      </w:r>
    </w:p>
    <w:p w14:paraId="46E85357"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Сов.Секретно </w:t>
      </w:r>
    </w:p>
    <w:p w14:paraId="59D20DD1"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Экз. № 1 </w:t>
      </w:r>
    </w:p>
    <w:p w14:paraId="6A68E344"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15 Июня 1930 г. </w:t>
      </w:r>
    </w:p>
    <w:p w14:paraId="54E38776"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 900554 </w:t>
      </w:r>
    </w:p>
    <w:p w14:paraId="37D098F4" w14:textId="77777777" w:rsidR="005B252C" w:rsidRPr="00507A31" w:rsidRDefault="005B252C" w:rsidP="00507A31">
      <w:pPr>
        <w:jc w:val="both"/>
        <w:rPr>
          <w:color w:val="000000" w:themeColor="text1"/>
          <w:sz w:val="16"/>
          <w:szCs w:val="16"/>
        </w:rPr>
      </w:pPr>
      <w:r w:rsidRPr="00507A31">
        <w:rPr>
          <w:color w:val="000000" w:themeColor="text1"/>
          <w:sz w:val="16"/>
          <w:szCs w:val="16"/>
        </w:rPr>
        <w:t>ЗАМЕСТИТЕЛЮ ПРЕДСЕДАТЕЛЯ РВС СССР</w:t>
      </w:r>
    </w:p>
    <w:p w14:paraId="58888F5F" w14:textId="77777777" w:rsidR="005B252C" w:rsidRPr="00507A31" w:rsidRDefault="005B252C" w:rsidP="00507A31">
      <w:pPr>
        <w:jc w:val="both"/>
        <w:rPr>
          <w:color w:val="000000" w:themeColor="text1"/>
          <w:sz w:val="16"/>
          <w:szCs w:val="16"/>
        </w:rPr>
      </w:pPr>
      <w:r w:rsidRPr="00507A31">
        <w:rPr>
          <w:color w:val="000000" w:themeColor="text1"/>
          <w:sz w:val="16"/>
          <w:szCs w:val="16"/>
        </w:rPr>
        <w:t>тов. УБОРЕВИЧУ.</w:t>
      </w:r>
    </w:p>
    <w:p w14:paraId="09F11B56"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4-го числа АМТОРГ уведомил ОВЗ о том, что танк КРИСТИ готов на 75 %, в связи с чем по договору мы обязаны выдать КРИСТИ 15.000 долларов. Согласно Вашего приказания, 5-го числа деньги были переведены АМТОРГу. </w:t>
      </w:r>
    </w:p>
    <w:p w14:paraId="01B27455"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15-го июня ОВЗ уведомил меня, что им получена телеграмма АМТОРГа, в которой говорится следующее: что заявление проверено инженером ЛЕБЕДЕВЫМ и выяснилось, что танк готов не на 75 %, а только на 20 %. На этом основании АМТОРГ сообщил фирме КРИСТИ об отказе в уплате 15.000 долларов. </w:t>
      </w:r>
    </w:p>
    <w:p w14:paraId="36259C4C"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Кроме того, тов. ПЕТРОВ из АМТОРГа в этой же телеграмме заявляет, что КРИСТИ настолько нуждается в деньгах, что якобы может приостановить дальнейшую работу и, если мы сейчас 15.000 долларов выдадим, этих денег все-таки не хватит до окончания постройки двух танков. </w:t>
      </w:r>
    </w:p>
    <w:p w14:paraId="5BE9EB06"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Наше обязательство по договору КРИСТИ следующее: за два танка следует 60.000 долларов, при подписании выдали 15.000 дол. Следующие 15.000 дол. мы должны выдать при готовности танков на 75 % и остальные 30.000 дол. после сдачи. На выданную сумму 15.000 дол. мы имеем банковскую гарантию, которая приложена к договору. </w:t>
      </w:r>
    </w:p>
    <w:p w14:paraId="37EA26BD"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Мое мнение таково: что КРИСТИ вторые 15 тысяч долларов выдать можно, но фактически не давая на руки этих денег, а этими деньгами оплачивать счета, связанные по конструкции и материалам танков. Это мы можем проделать через наших двух военных инженеров, находящихся в Америке, т. ГОБАРД и т. ЛЕБЕДЕВА. Ибо я опасаюсь, что не расходует ли КРИСТИ полученный от нас аванс на танк для поляков, ибо он с ними также имеет договор, и когда я уезжал из Америки, то в цеху стояло три танка по отдельным элементам, два – предназначенные для нас, один – польский. </w:t>
      </w:r>
    </w:p>
    <w:p w14:paraId="2CDCE72B"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На основании изложенного прощу Ваших указаний, согласны ли Вы в таком порядке выдать 15.000 долларов, как мною указанно выше. </w:t>
      </w:r>
    </w:p>
    <w:p w14:paraId="319D338A" w14:textId="77777777" w:rsidR="005B252C" w:rsidRPr="00507A31" w:rsidRDefault="005B252C" w:rsidP="00507A31">
      <w:pPr>
        <w:jc w:val="both"/>
        <w:rPr>
          <w:color w:val="000000" w:themeColor="text1"/>
          <w:sz w:val="16"/>
          <w:szCs w:val="16"/>
        </w:rPr>
      </w:pPr>
      <w:r w:rsidRPr="00507A31">
        <w:rPr>
          <w:color w:val="000000" w:themeColor="text1"/>
          <w:sz w:val="16"/>
          <w:szCs w:val="16"/>
        </w:rPr>
        <w:t>НАЧАЛЬНИК УПРАВЛЕНИЯ ПО МЕХАНИЗАЦИИ И МОТОРИЗАЦИИ РККА</w:t>
      </w:r>
    </w:p>
    <w:p w14:paraId="76CF0394" w14:textId="77777777" w:rsidR="005B252C" w:rsidRPr="00507A31" w:rsidRDefault="005B252C" w:rsidP="00507A31">
      <w:pPr>
        <w:jc w:val="both"/>
        <w:rPr>
          <w:color w:val="000000" w:themeColor="text1"/>
          <w:sz w:val="16"/>
          <w:szCs w:val="16"/>
        </w:rPr>
      </w:pPr>
      <w:r w:rsidRPr="00507A31">
        <w:rPr>
          <w:color w:val="000000" w:themeColor="text1"/>
          <w:sz w:val="16"/>
          <w:szCs w:val="16"/>
        </w:rPr>
        <w:t>подпись (Халепский)</w:t>
      </w:r>
    </w:p>
    <w:p w14:paraId="7EC94BC8" w14:textId="77777777" w:rsidR="005B252C" w:rsidRPr="00507A31" w:rsidRDefault="005B252C" w:rsidP="00507A31">
      <w:pPr>
        <w:jc w:val="both"/>
        <w:rPr>
          <w:color w:val="000000" w:themeColor="text1"/>
          <w:sz w:val="16"/>
          <w:szCs w:val="16"/>
        </w:rPr>
      </w:pPr>
      <w:r w:rsidRPr="00507A31">
        <w:rPr>
          <w:color w:val="000000" w:themeColor="text1"/>
          <w:sz w:val="16"/>
          <w:szCs w:val="16"/>
        </w:rPr>
        <w:t xml:space="preserve">Отпечатано в 2 экз. </w:t>
      </w:r>
    </w:p>
    <w:p w14:paraId="0B6D4426" w14:textId="77777777" w:rsidR="005B252C" w:rsidRPr="00507A31" w:rsidRDefault="005B252C" w:rsidP="00507A31">
      <w:pPr>
        <w:jc w:val="both"/>
        <w:rPr>
          <w:color w:val="000000" w:themeColor="text1"/>
          <w:sz w:val="16"/>
          <w:szCs w:val="16"/>
        </w:rPr>
      </w:pPr>
      <w:r w:rsidRPr="00507A31">
        <w:rPr>
          <w:iCs/>
          <w:color w:val="000000" w:themeColor="text1"/>
          <w:sz w:val="16"/>
          <w:szCs w:val="16"/>
        </w:rPr>
        <w:t>На документе резолюция И.П. Уборевича:</w:t>
      </w:r>
      <w:r w:rsidRPr="00507A31">
        <w:rPr>
          <w:color w:val="000000" w:themeColor="text1"/>
          <w:sz w:val="16"/>
          <w:szCs w:val="16"/>
        </w:rPr>
        <w:t xml:space="preserve"> «Надо поступать точно по договору. Подпись 15/VI-30» (19756).</w:t>
      </w:r>
    </w:p>
    <w:p w14:paraId="79DC2F75" w14:textId="77777777" w:rsidR="005B252C" w:rsidRPr="00507A31" w:rsidRDefault="005B252C" w:rsidP="00507A31">
      <w:pPr>
        <w:jc w:val="both"/>
        <w:rPr>
          <w:color w:val="000000" w:themeColor="text1"/>
          <w:sz w:val="16"/>
          <w:szCs w:val="16"/>
        </w:rPr>
      </w:pPr>
    </w:p>
    <w:p w14:paraId="0F158A8D" w14:textId="77777777" w:rsidR="00971D9A" w:rsidRPr="00507A31" w:rsidRDefault="00971D9A" w:rsidP="00507A31">
      <w:pPr>
        <w:jc w:val="both"/>
        <w:rPr>
          <w:color w:val="000000" w:themeColor="text1"/>
          <w:sz w:val="16"/>
          <w:szCs w:val="16"/>
        </w:rPr>
      </w:pPr>
      <w:r w:rsidRPr="00507A31">
        <w:rPr>
          <w:color w:val="000000" w:themeColor="text1"/>
          <w:sz w:val="16"/>
          <w:szCs w:val="16"/>
        </w:rPr>
        <w:t>15 июня 1930</w:t>
      </w:r>
    </w:p>
    <w:p w14:paraId="4870FE31" w14:textId="77777777" w:rsidR="00971D9A" w:rsidRPr="00507A31" w:rsidRDefault="00971D9A" w:rsidP="00507A31">
      <w:pPr>
        <w:jc w:val="both"/>
        <w:rPr>
          <w:color w:val="000000" w:themeColor="text1"/>
          <w:sz w:val="16"/>
          <w:szCs w:val="16"/>
        </w:rPr>
      </w:pPr>
      <w:r w:rsidRPr="00507A31">
        <w:rPr>
          <w:color w:val="000000" w:themeColor="text1"/>
          <w:sz w:val="16"/>
          <w:szCs w:val="16"/>
        </w:rPr>
        <w:t>п. 39: Об Остехбюро</w:t>
      </w:r>
    </w:p>
    <w:p w14:paraId="31D475C5" w14:textId="77777777" w:rsidR="00971D9A" w:rsidRPr="00507A31" w:rsidRDefault="00971D9A" w:rsidP="00507A31">
      <w:pPr>
        <w:jc w:val="both"/>
        <w:rPr>
          <w:color w:val="000000" w:themeColor="text1"/>
          <w:sz w:val="16"/>
          <w:szCs w:val="16"/>
        </w:rPr>
      </w:pPr>
      <w:r w:rsidRPr="00507A31">
        <w:rPr>
          <w:color w:val="000000" w:themeColor="text1"/>
          <w:sz w:val="16"/>
          <w:szCs w:val="16"/>
        </w:rPr>
        <w:t>(Ворошилов).</w:t>
      </w:r>
    </w:p>
    <w:p w14:paraId="3EB6C37C" w14:textId="77777777" w:rsidR="00971D9A" w:rsidRPr="00507A31" w:rsidRDefault="00971D9A" w:rsidP="00507A31">
      <w:pPr>
        <w:jc w:val="both"/>
        <w:rPr>
          <w:color w:val="000000" w:themeColor="text1"/>
          <w:sz w:val="16"/>
          <w:szCs w:val="16"/>
        </w:rPr>
      </w:pPr>
      <w:r w:rsidRPr="00507A31">
        <w:rPr>
          <w:color w:val="000000" w:themeColor="text1"/>
          <w:sz w:val="16"/>
          <w:szCs w:val="16"/>
        </w:rPr>
        <w:t>Подчинить Остехбюро НКВМору и все расходы по Остехбюро проводить через бюджет НКВоениора, прекратив всякие другие источники финансирования Остехбюро (18330).</w:t>
      </w:r>
    </w:p>
    <w:p w14:paraId="04763960" w14:textId="77777777" w:rsidR="00971D9A" w:rsidRPr="00507A31" w:rsidRDefault="00971D9A" w:rsidP="00507A31">
      <w:pPr>
        <w:jc w:val="both"/>
        <w:rPr>
          <w:color w:val="000000" w:themeColor="text1"/>
          <w:sz w:val="16"/>
          <w:szCs w:val="16"/>
        </w:rPr>
      </w:pPr>
    </w:p>
    <w:p w14:paraId="4683DCBC" w14:textId="77777777" w:rsidR="0002641F" w:rsidRPr="00507A31" w:rsidRDefault="0002641F" w:rsidP="00507A31">
      <w:pPr>
        <w:jc w:val="both"/>
        <w:rPr>
          <w:color w:val="000000" w:themeColor="text1"/>
          <w:sz w:val="16"/>
          <w:szCs w:val="16"/>
        </w:rPr>
      </w:pPr>
      <w:r w:rsidRPr="00507A31">
        <w:rPr>
          <w:bCs/>
          <w:color w:val="000000" w:themeColor="text1"/>
          <w:sz w:val="16"/>
          <w:szCs w:val="16"/>
        </w:rPr>
        <w:t>15 июня</w:t>
      </w:r>
      <w:r w:rsidRPr="00507A31">
        <w:rPr>
          <w:color w:val="000000" w:themeColor="text1"/>
          <w:sz w:val="16"/>
          <w:szCs w:val="16"/>
        </w:rPr>
        <w:t xml:space="preserve"> в 1930 году заканчивается строительство основных цехов Ростовского завода сельскохозяйственного машиностроения (Ростсельмаш) - крупнейшего в СССР завода сельскохозяйственного машиностроения (14923).</w:t>
      </w:r>
    </w:p>
    <w:p w14:paraId="4BB7EF5D" w14:textId="77777777" w:rsidR="0002641F" w:rsidRPr="00507A31" w:rsidRDefault="0002641F" w:rsidP="00507A31">
      <w:pPr>
        <w:jc w:val="both"/>
        <w:rPr>
          <w:color w:val="000000" w:themeColor="text1"/>
          <w:sz w:val="16"/>
          <w:szCs w:val="16"/>
        </w:rPr>
      </w:pPr>
    </w:p>
    <w:p w14:paraId="4DDBF5C2" w14:textId="77777777" w:rsidR="00B278C0" w:rsidRPr="00507A31" w:rsidRDefault="00B278C0" w:rsidP="00507A31">
      <w:pPr>
        <w:jc w:val="both"/>
        <w:rPr>
          <w:color w:val="0070C0"/>
          <w:sz w:val="16"/>
          <w:szCs w:val="16"/>
        </w:rPr>
      </w:pPr>
      <w:r w:rsidRPr="00507A31">
        <w:rPr>
          <w:color w:val="0070C0"/>
          <w:sz w:val="16"/>
          <w:szCs w:val="16"/>
        </w:rPr>
        <w:t>15 июня 1930 года было закончено строительство первой очереди завода "Ростсельмаш".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w:t>
      </w:r>
    </w:p>
    <w:p w14:paraId="0A6FE3A7" w14:textId="77777777" w:rsidR="00B278C0" w:rsidRPr="00507A31" w:rsidRDefault="00B278C0" w:rsidP="00507A31">
      <w:pPr>
        <w:jc w:val="both"/>
        <w:rPr>
          <w:color w:val="0070C0"/>
          <w:sz w:val="16"/>
          <w:szCs w:val="16"/>
        </w:rPr>
      </w:pPr>
      <w:r w:rsidRPr="00507A31">
        <w:rPr>
          <w:color w:val="0070C0"/>
          <w:sz w:val="16"/>
          <w:szCs w:val="16"/>
        </w:rPr>
        <w:t>21 июля 1929 завод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«Сталинцы» завоевали славу самой высокопроизводительной машины в мире (21167).</w:t>
      </w:r>
    </w:p>
    <w:p w14:paraId="017D3EC9" w14:textId="77777777" w:rsidR="00B278C0" w:rsidRPr="00507A31" w:rsidRDefault="00B278C0" w:rsidP="00507A31">
      <w:pPr>
        <w:jc w:val="both"/>
        <w:rPr>
          <w:color w:val="0070C0"/>
          <w:sz w:val="16"/>
          <w:szCs w:val="16"/>
        </w:rPr>
      </w:pPr>
    </w:p>
    <w:p w14:paraId="6A669F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июня 1930 года было закончено строительство первой очереди завода Ростсельмаш.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7DF533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42C1B6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1C8DF1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0C7E07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59FBC1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2A4829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2D6635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45170D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05DB7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4646E7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292F89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1FA9F2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55C10C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69F727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49BE09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1A732E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4FD0DF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1B1C46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26D199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520BAC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24F811BF" w14:textId="77777777" w:rsidR="00537E5F" w:rsidRPr="00507A31" w:rsidRDefault="00537E5F" w:rsidP="00507A31">
      <w:pPr>
        <w:autoSpaceDE w:val="0"/>
        <w:autoSpaceDN w:val="0"/>
        <w:adjustRightInd w:val="0"/>
        <w:jc w:val="both"/>
        <w:rPr>
          <w:color w:val="000000" w:themeColor="text1"/>
          <w:sz w:val="16"/>
          <w:szCs w:val="16"/>
        </w:rPr>
      </w:pPr>
    </w:p>
    <w:p w14:paraId="5BCD89D4" w14:textId="77777777" w:rsidR="00950184" w:rsidRPr="00507A31" w:rsidRDefault="00950184" w:rsidP="00507A31">
      <w:pPr>
        <w:jc w:val="both"/>
        <w:rPr>
          <w:color w:val="000000" w:themeColor="text1"/>
          <w:sz w:val="16"/>
          <w:szCs w:val="16"/>
          <w:u w:color="002060"/>
        </w:rPr>
      </w:pPr>
      <w:r w:rsidRPr="00507A31">
        <w:rPr>
          <w:color w:val="000000" w:themeColor="text1"/>
          <w:sz w:val="16"/>
          <w:szCs w:val="16"/>
          <w:u w:color="002060"/>
        </w:rPr>
        <w:t>15 июня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128. Решения ПБ от 30 мая 1930 г. 37. Об импорте оборудования для военной промышленности (Рудзутак, Прокофьев, Менжинский). — ОП. 39. Об Остехбюро (Ворошилов). От 10 июня 1930 г. 52. О выполнении постановления Политбюро «О задачах угольной промышленности» (ПБ от 17 января 1929 г., пр. № 60, п. 11). 62. А. Об организации судоремонтной базы на заводе им. Марти. (Политбюро... Т. 2. С. 52, 53) (12416).</w:t>
      </w:r>
    </w:p>
    <w:p w14:paraId="772D61C1" w14:textId="77777777" w:rsidR="00950184" w:rsidRPr="00507A31" w:rsidRDefault="00950184" w:rsidP="00507A31">
      <w:pPr>
        <w:jc w:val="both"/>
        <w:rPr>
          <w:rStyle w:val="a7"/>
          <w:b w:val="0"/>
          <w:color w:val="000000" w:themeColor="text1"/>
          <w:sz w:val="16"/>
          <w:szCs w:val="16"/>
        </w:rPr>
      </w:pPr>
    </w:p>
    <w:p w14:paraId="230C1DDB" w14:textId="77777777" w:rsidR="00950184" w:rsidRPr="00507A31" w:rsidRDefault="00950184" w:rsidP="00507A31">
      <w:pPr>
        <w:jc w:val="both"/>
        <w:rPr>
          <w:color w:val="000000" w:themeColor="text1"/>
          <w:sz w:val="16"/>
          <w:szCs w:val="16"/>
        </w:rPr>
      </w:pPr>
      <w:r w:rsidRPr="00507A31">
        <w:rPr>
          <w:rStyle w:val="a7"/>
          <w:b w:val="0"/>
          <w:color w:val="000000" w:themeColor="text1"/>
          <w:sz w:val="16"/>
          <w:szCs w:val="16"/>
        </w:rPr>
        <w:t xml:space="preserve">15 июня 1930 </w:t>
      </w:r>
      <w:r w:rsidRPr="00507A31">
        <w:rPr>
          <w:color w:val="000000" w:themeColor="text1"/>
          <w:sz w:val="16"/>
          <w:szCs w:val="16"/>
        </w:rPr>
        <w:t>Политбюро ЦК ВКП (б) приняло решение об усилении строительства металлургических заводов и производства металлургического оборудования; предложило ЦК КП(б)У и Харьковскому окружному КП(б)У оказывать содействие строительству Харьковского тракторного завода, а ВСНХ - направить основное ядро работников «Новостали» на строительство Магнитогорского и Кузнецкого металлургических заводов и мобилизовать 200 коммунистов для работы на строительстве; одобрило программу сельскохозяйственного машиностроения на 1930/31 г. и решение СНК о мобилизации 20 инженеров Днепростроя для строительства Магнитогорского завода (12265).</w:t>
      </w:r>
    </w:p>
    <w:p w14:paraId="22E20E09" w14:textId="77777777" w:rsidR="00950184" w:rsidRPr="00507A31" w:rsidRDefault="00950184" w:rsidP="00507A31">
      <w:pPr>
        <w:jc w:val="both"/>
        <w:rPr>
          <w:color w:val="000000" w:themeColor="text1"/>
          <w:sz w:val="16"/>
          <w:szCs w:val="16"/>
        </w:rPr>
      </w:pPr>
      <w:r w:rsidRPr="00507A31">
        <w:rPr>
          <w:color w:val="000000" w:themeColor="text1"/>
          <w:sz w:val="16"/>
          <w:szCs w:val="16"/>
        </w:rPr>
        <w:t> </w:t>
      </w:r>
    </w:p>
    <w:p w14:paraId="554140F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36536F1" w14:textId="77777777" w:rsidR="00537E5F" w:rsidRPr="00507A31" w:rsidRDefault="00537E5F" w:rsidP="00507A31">
      <w:pPr>
        <w:autoSpaceDE w:val="0"/>
        <w:autoSpaceDN w:val="0"/>
        <w:adjustRightInd w:val="0"/>
        <w:jc w:val="both"/>
        <w:rPr>
          <w:iCs/>
          <w:color w:val="000000" w:themeColor="text1"/>
          <w:sz w:val="16"/>
          <w:szCs w:val="16"/>
        </w:rPr>
      </w:pPr>
    </w:p>
    <w:p w14:paraId="1CF989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1930 было закончено строительство основных цехов Ростсельмаша (3263,331) и завод был пущен (3960, 234).</w:t>
      </w:r>
    </w:p>
    <w:p w14:paraId="2C27630C" w14:textId="77777777" w:rsidR="00537E5F" w:rsidRPr="00507A31" w:rsidRDefault="00537E5F" w:rsidP="00507A31">
      <w:pPr>
        <w:autoSpaceDE w:val="0"/>
        <w:autoSpaceDN w:val="0"/>
        <w:adjustRightInd w:val="0"/>
        <w:jc w:val="both"/>
        <w:rPr>
          <w:color w:val="000000" w:themeColor="text1"/>
          <w:sz w:val="16"/>
          <w:szCs w:val="16"/>
        </w:rPr>
      </w:pPr>
    </w:p>
    <w:p w14:paraId="7E0F8F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 июня 1930 Совнарком СССР постановил соорудить в Мариуполе комбинат «Азовсталь» (4962).</w:t>
      </w:r>
    </w:p>
    <w:p w14:paraId="35FAB72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E501B37" w14:textId="77777777" w:rsidR="009176C7" w:rsidRPr="00507A31" w:rsidRDefault="009176C7" w:rsidP="00507A31">
      <w:pPr>
        <w:tabs>
          <w:tab w:val="left" w:pos="11199"/>
        </w:tabs>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2310FF5" w14:textId="77777777" w:rsidR="009176C7" w:rsidRPr="00507A31" w:rsidRDefault="009176C7" w:rsidP="00507A31">
      <w:pPr>
        <w:tabs>
          <w:tab w:val="left" w:pos="11199"/>
        </w:tabs>
        <w:autoSpaceDE w:val="0"/>
        <w:autoSpaceDN w:val="0"/>
        <w:adjustRightInd w:val="0"/>
        <w:jc w:val="both"/>
        <w:rPr>
          <w:iCs/>
          <w:color w:val="000000" w:themeColor="text1"/>
          <w:sz w:val="16"/>
          <w:szCs w:val="16"/>
        </w:rPr>
      </w:pPr>
    </w:p>
    <w:p w14:paraId="7F3DF0F5" w14:textId="77777777" w:rsidR="009176C7" w:rsidRPr="00507A31" w:rsidRDefault="009176C7" w:rsidP="00507A31">
      <w:pPr>
        <w:jc w:val="both"/>
        <w:rPr>
          <w:bCs/>
          <w:iCs/>
          <w:color w:val="000000" w:themeColor="text1"/>
          <w:sz w:val="16"/>
          <w:szCs w:val="16"/>
        </w:rPr>
      </w:pPr>
      <w:r w:rsidRPr="00507A31">
        <w:rPr>
          <w:color w:val="000000" w:themeColor="text1"/>
          <w:sz w:val="16"/>
          <w:szCs w:val="16"/>
        </w:rPr>
        <w:t>16 Июня 1930</w:t>
      </w:r>
    </w:p>
    <w:p w14:paraId="0651E7BC" w14:textId="77777777" w:rsidR="009176C7" w:rsidRPr="00507A31" w:rsidRDefault="009176C7" w:rsidP="00507A31">
      <w:pPr>
        <w:jc w:val="both"/>
        <w:rPr>
          <w:color w:val="000000" w:themeColor="text1"/>
          <w:sz w:val="16"/>
          <w:szCs w:val="16"/>
        </w:rPr>
      </w:pPr>
      <w:r w:rsidRPr="00507A31">
        <w:rPr>
          <w:bCs/>
          <w:iCs/>
          <w:color w:val="000000" w:themeColor="text1"/>
          <w:sz w:val="16"/>
          <w:szCs w:val="16"/>
        </w:rPr>
        <w:t>РГВА Фонд 31811 Опись 1 Дело 38 лист 242</w:t>
      </w:r>
      <w:r w:rsidRPr="00507A31">
        <w:rPr>
          <w:color w:val="000000" w:themeColor="text1"/>
          <w:sz w:val="16"/>
          <w:szCs w:val="16"/>
        </w:rPr>
        <w:t xml:space="preserve"> </w:t>
      </w:r>
    </w:p>
    <w:p w14:paraId="0F33CD2C" w14:textId="77777777" w:rsidR="009176C7" w:rsidRPr="00507A31" w:rsidRDefault="009176C7" w:rsidP="00507A31">
      <w:pPr>
        <w:jc w:val="both"/>
        <w:rPr>
          <w:color w:val="000000" w:themeColor="text1"/>
          <w:sz w:val="16"/>
          <w:szCs w:val="16"/>
        </w:rPr>
      </w:pPr>
      <w:r w:rsidRPr="00507A31">
        <w:rPr>
          <w:color w:val="000000" w:themeColor="text1"/>
          <w:sz w:val="16"/>
          <w:szCs w:val="16"/>
        </w:rPr>
        <w:t xml:space="preserve">Сов.Секретно </w:t>
      </w:r>
    </w:p>
    <w:p w14:paraId="5152DB76" w14:textId="77777777" w:rsidR="009176C7" w:rsidRPr="00507A31" w:rsidRDefault="009176C7" w:rsidP="00507A31">
      <w:pPr>
        <w:jc w:val="both"/>
        <w:rPr>
          <w:color w:val="000000" w:themeColor="text1"/>
          <w:sz w:val="16"/>
          <w:szCs w:val="16"/>
        </w:rPr>
      </w:pPr>
      <w:r w:rsidRPr="00507A31">
        <w:rPr>
          <w:color w:val="000000" w:themeColor="text1"/>
          <w:sz w:val="16"/>
          <w:szCs w:val="16"/>
        </w:rPr>
        <w:t xml:space="preserve">Экз. № 2 </w:t>
      </w:r>
    </w:p>
    <w:p w14:paraId="72BA2CD5" w14:textId="77777777" w:rsidR="009176C7" w:rsidRPr="00507A31" w:rsidRDefault="009176C7" w:rsidP="00507A31">
      <w:pPr>
        <w:jc w:val="both"/>
        <w:rPr>
          <w:color w:val="000000" w:themeColor="text1"/>
          <w:sz w:val="16"/>
          <w:szCs w:val="16"/>
        </w:rPr>
      </w:pPr>
      <w:r w:rsidRPr="00507A31">
        <w:rPr>
          <w:color w:val="000000" w:themeColor="text1"/>
          <w:sz w:val="16"/>
          <w:szCs w:val="16"/>
        </w:rPr>
        <w:t xml:space="preserve">16 Июня 1930 г. </w:t>
      </w:r>
    </w:p>
    <w:p w14:paraId="6B56E7F4" w14:textId="77777777" w:rsidR="009176C7" w:rsidRPr="00507A31" w:rsidRDefault="009176C7" w:rsidP="00507A31">
      <w:pPr>
        <w:jc w:val="both"/>
        <w:rPr>
          <w:color w:val="000000" w:themeColor="text1"/>
          <w:sz w:val="16"/>
          <w:szCs w:val="16"/>
        </w:rPr>
      </w:pPr>
      <w:r w:rsidRPr="00507A31">
        <w:rPr>
          <w:color w:val="000000" w:themeColor="text1"/>
          <w:sz w:val="16"/>
          <w:szCs w:val="16"/>
        </w:rPr>
        <w:t xml:space="preserve">№ 900556 </w:t>
      </w:r>
    </w:p>
    <w:p w14:paraId="000D7029" w14:textId="77777777" w:rsidR="009176C7" w:rsidRPr="00507A31" w:rsidRDefault="009176C7" w:rsidP="00507A31">
      <w:pPr>
        <w:jc w:val="both"/>
        <w:rPr>
          <w:color w:val="000000" w:themeColor="text1"/>
          <w:sz w:val="16"/>
          <w:szCs w:val="16"/>
        </w:rPr>
      </w:pPr>
      <w:r w:rsidRPr="00507A31">
        <w:rPr>
          <w:color w:val="000000" w:themeColor="text1"/>
          <w:sz w:val="16"/>
          <w:szCs w:val="16"/>
        </w:rPr>
        <w:t>О.В.З. тов. ГИТИС</w:t>
      </w:r>
    </w:p>
    <w:p w14:paraId="1E947365" w14:textId="77777777" w:rsidR="009176C7" w:rsidRPr="00507A31" w:rsidRDefault="009176C7" w:rsidP="00507A31">
      <w:pPr>
        <w:jc w:val="both"/>
        <w:rPr>
          <w:color w:val="000000" w:themeColor="text1"/>
          <w:sz w:val="16"/>
          <w:szCs w:val="16"/>
        </w:rPr>
      </w:pPr>
      <w:r w:rsidRPr="00507A31">
        <w:rPr>
          <w:color w:val="000000" w:themeColor="text1"/>
          <w:sz w:val="16"/>
          <w:szCs w:val="16"/>
        </w:rPr>
        <w:t xml:space="preserve">ЗАМПРЕД приказал пятнадцать тысяч долларов КРИСТИ не платить впредь до выполнения танка до готовности на 75%, т.е. так, как это обусловлено договором. О чем срочно телеграфно известите АМТОРГ. </w:t>
      </w:r>
    </w:p>
    <w:p w14:paraId="401B9A66" w14:textId="77777777" w:rsidR="009176C7" w:rsidRPr="00507A31" w:rsidRDefault="009176C7" w:rsidP="00507A31">
      <w:pPr>
        <w:jc w:val="both"/>
        <w:rPr>
          <w:color w:val="000000" w:themeColor="text1"/>
          <w:sz w:val="16"/>
          <w:szCs w:val="16"/>
        </w:rPr>
      </w:pPr>
      <w:r w:rsidRPr="00507A31">
        <w:rPr>
          <w:color w:val="000000" w:themeColor="text1"/>
          <w:sz w:val="16"/>
          <w:szCs w:val="16"/>
        </w:rPr>
        <w:t>п/п Начальник УММ РККА (Халепский)</w:t>
      </w:r>
    </w:p>
    <w:p w14:paraId="7DFEFEB6" w14:textId="77777777" w:rsidR="009176C7" w:rsidRPr="00507A31" w:rsidRDefault="009176C7" w:rsidP="00507A31">
      <w:pPr>
        <w:jc w:val="both"/>
        <w:rPr>
          <w:color w:val="000000" w:themeColor="text1"/>
          <w:sz w:val="16"/>
          <w:szCs w:val="16"/>
        </w:rPr>
      </w:pPr>
      <w:r w:rsidRPr="00507A31">
        <w:rPr>
          <w:color w:val="000000" w:themeColor="text1"/>
          <w:sz w:val="16"/>
          <w:szCs w:val="16"/>
        </w:rPr>
        <w:t xml:space="preserve">Отпечатано 2 экз. </w:t>
      </w:r>
    </w:p>
    <w:p w14:paraId="3A7E8D25" w14:textId="77777777" w:rsidR="009176C7" w:rsidRPr="00507A31" w:rsidRDefault="009176C7" w:rsidP="00507A31">
      <w:pPr>
        <w:jc w:val="both"/>
        <w:rPr>
          <w:color w:val="000000" w:themeColor="text1"/>
          <w:sz w:val="16"/>
          <w:szCs w:val="16"/>
        </w:rPr>
      </w:pPr>
      <w:r w:rsidRPr="00507A31">
        <w:rPr>
          <w:color w:val="000000" w:themeColor="text1"/>
          <w:sz w:val="16"/>
          <w:szCs w:val="16"/>
        </w:rPr>
        <w:t xml:space="preserve">экз. № 1 – адресату </w:t>
      </w:r>
    </w:p>
    <w:p w14:paraId="23F99631" w14:textId="77777777" w:rsidR="009176C7" w:rsidRPr="00507A31" w:rsidRDefault="009176C7" w:rsidP="00507A31">
      <w:pPr>
        <w:jc w:val="both"/>
        <w:rPr>
          <w:color w:val="000000" w:themeColor="text1"/>
          <w:sz w:val="16"/>
          <w:szCs w:val="16"/>
        </w:rPr>
      </w:pPr>
      <w:r w:rsidRPr="00507A31">
        <w:rPr>
          <w:color w:val="000000" w:themeColor="text1"/>
          <w:sz w:val="16"/>
          <w:szCs w:val="16"/>
        </w:rPr>
        <w:t>экз. № 2 – в деле (19757).</w:t>
      </w:r>
    </w:p>
    <w:p w14:paraId="39038FCC" w14:textId="77777777" w:rsidR="009176C7" w:rsidRPr="00507A31" w:rsidRDefault="009176C7" w:rsidP="00507A31">
      <w:pPr>
        <w:jc w:val="both"/>
        <w:rPr>
          <w:color w:val="000000" w:themeColor="text1"/>
          <w:sz w:val="16"/>
          <w:szCs w:val="16"/>
        </w:rPr>
      </w:pPr>
    </w:p>
    <w:p w14:paraId="58B04F3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7EDBBD1B" w14:textId="77777777" w:rsidR="00537E5F" w:rsidRPr="00507A31" w:rsidRDefault="00537E5F" w:rsidP="00507A31">
      <w:pPr>
        <w:autoSpaceDE w:val="0"/>
        <w:autoSpaceDN w:val="0"/>
        <w:adjustRightInd w:val="0"/>
        <w:jc w:val="both"/>
        <w:rPr>
          <w:iCs/>
          <w:color w:val="000000" w:themeColor="text1"/>
          <w:sz w:val="16"/>
          <w:szCs w:val="16"/>
        </w:rPr>
      </w:pPr>
    </w:p>
    <w:p w14:paraId="4EF2A3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июня 1930 Упр. Делами Литуновский писал письмо Начальнику ВВС РККА тов.Баранову П.И. и Начальнику ГУРККА тов. Куйбышеву</w:t>
      </w:r>
    </w:p>
    <w:p w14:paraId="4D7C23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22-го сего июня в 12 час. в кабинете Зам.Пред/а/ РВС СССР т.Уборевича /в 1-ом Доме РВС СССР/ созывается совещание под председательством Зам.Пред/а/ РВС т.Уборе</w:t>
      </w:r>
      <w:r w:rsidRPr="00507A31">
        <w:rPr>
          <w:color w:val="000000" w:themeColor="text1"/>
          <w:sz w:val="16"/>
          <w:szCs w:val="16"/>
        </w:rPr>
        <w:softHyphen/>
        <w:t>вича по вопросу о состоянии аэродромов, посадочных пло</w:t>
      </w:r>
      <w:r w:rsidRPr="00507A31">
        <w:rPr>
          <w:color w:val="000000" w:themeColor="text1"/>
          <w:sz w:val="16"/>
          <w:szCs w:val="16"/>
        </w:rPr>
        <w:softHyphen/>
        <w:t>щадок и охраны аэродромных сооружений войсковой и пожар</w:t>
      </w:r>
      <w:r w:rsidRPr="00507A31">
        <w:rPr>
          <w:color w:val="000000" w:themeColor="text1"/>
          <w:sz w:val="16"/>
          <w:szCs w:val="16"/>
        </w:rPr>
        <w:softHyphen/>
        <w:t>ной.</w:t>
      </w:r>
    </w:p>
    <w:p w14:paraId="2E77CC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Просьба прибыть на данное совещание с подработанны</w:t>
      </w:r>
      <w:r w:rsidRPr="00507A31">
        <w:rPr>
          <w:color w:val="000000" w:themeColor="text1"/>
          <w:sz w:val="16"/>
          <w:szCs w:val="16"/>
        </w:rPr>
        <w:softHyphen/>
        <w:t>ми материалами по этому вопросу. Начальника ВВС РКНА т.Баранова Зам.пред. РВС СССР просил этот вопрос предвари</w:t>
      </w:r>
      <w:r w:rsidRPr="00507A31">
        <w:rPr>
          <w:color w:val="000000" w:themeColor="text1"/>
          <w:sz w:val="16"/>
          <w:szCs w:val="16"/>
        </w:rPr>
        <w:softHyphen/>
        <w:t>тельно поставить на обсуждение совещания Нач.Возд.Сил и иметь их мнение к данному совещанию.</w:t>
      </w:r>
    </w:p>
    <w:p w14:paraId="44EBD7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 Только начальнику ВВС на 5 листах (10754).</w:t>
      </w:r>
    </w:p>
    <w:p w14:paraId="26B76D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ЦАСА, ф. 4, оп.1, д.1481 л.13.</w:t>
      </w:r>
    </w:p>
    <w:p w14:paraId="65F9F1DB" w14:textId="77777777" w:rsidR="00537E5F" w:rsidRPr="00507A31" w:rsidRDefault="00537E5F" w:rsidP="00507A31">
      <w:pPr>
        <w:autoSpaceDE w:val="0"/>
        <w:autoSpaceDN w:val="0"/>
        <w:adjustRightInd w:val="0"/>
        <w:jc w:val="both"/>
        <w:rPr>
          <w:color w:val="000000" w:themeColor="text1"/>
          <w:sz w:val="16"/>
          <w:szCs w:val="16"/>
        </w:rPr>
      </w:pPr>
    </w:p>
    <w:p w14:paraId="40C044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июня 1930 г. при перегонке в Воронеж потерпел аварию самолёт Фарман “Голиаф” № 311, на котором летел экипаж начальника штаба 51-й эскадрильи Котельникова. Машина стартовала с Центрального аэродрома в Москве, но вскоре произошёл обрыв трубки подвода воды к левому мотору.</w:t>
      </w:r>
    </w:p>
    <w:p w14:paraId="2B14FD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Вода вытекла, и двигатель встал. Лётчики повернули назад, но до аэродрома на одном моторе не дотянули и вынужденно сели на поле в районе Ленинских (Воробьевых) гор.</w:t>
      </w:r>
    </w:p>
    <w:p w14:paraId="5F538F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11-й бригаде ФГ-62 использовались только для учебных и транспортных целей. Пулемёты со всех самолётов сняли, а с некоторых - и турели. Время от времени машины "гастролировали" по различным слётам, воздушным праздникам и участвовали в манёврах (11984).</w:t>
      </w:r>
    </w:p>
    <w:p w14:paraId="23A716A5" w14:textId="77777777" w:rsidR="00537E5F" w:rsidRPr="00507A31" w:rsidRDefault="00537E5F" w:rsidP="00507A31">
      <w:pPr>
        <w:autoSpaceDE w:val="0"/>
        <w:autoSpaceDN w:val="0"/>
        <w:adjustRightInd w:val="0"/>
        <w:jc w:val="both"/>
        <w:rPr>
          <w:color w:val="000000" w:themeColor="text1"/>
          <w:sz w:val="16"/>
          <w:szCs w:val="16"/>
        </w:rPr>
      </w:pPr>
    </w:p>
    <w:p w14:paraId="5C1C851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D2BAD2F" w14:textId="77777777" w:rsidR="00537E5F" w:rsidRPr="00507A31" w:rsidRDefault="00537E5F" w:rsidP="00507A31">
      <w:pPr>
        <w:autoSpaceDE w:val="0"/>
        <w:autoSpaceDN w:val="0"/>
        <w:adjustRightInd w:val="0"/>
        <w:jc w:val="both"/>
        <w:rPr>
          <w:iCs/>
          <w:color w:val="000000" w:themeColor="text1"/>
          <w:sz w:val="16"/>
          <w:szCs w:val="16"/>
        </w:rPr>
      </w:pPr>
    </w:p>
    <w:p w14:paraId="1F9FC36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16 июня 1930 в СССР введено декретное время (отменено в 1991 г.) (4962).</w:t>
      </w:r>
    </w:p>
    <w:p w14:paraId="4F17623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F209D9E" w14:textId="77777777" w:rsidR="0002641F" w:rsidRPr="00507A31" w:rsidRDefault="0002641F" w:rsidP="00507A31">
      <w:pPr>
        <w:jc w:val="both"/>
        <w:rPr>
          <w:color w:val="000000" w:themeColor="text1"/>
          <w:sz w:val="16"/>
          <w:szCs w:val="16"/>
        </w:rPr>
      </w:pPr>
      <w:r w:rsidRPr="00507A31">
        <w:rPr>
          <w:bCs/>
          <w:color w:val="000000" w:themeColor="text1"/>
          <w:sz w:val="16"/>
          <w:szCs w:val="16"/>
        </w:rPr>
        <w:t>16 июня</w:t>
      </w:r>
      <w:r w:rsidRPr="00507A31">
        <w:rPr>
          <w:color w:val="000000" w:themeColor="text1"/>
          <w:sz w:val="16"/>
          <w:szCs w:val="16"/>
        </w:rPr>
        <w:t xml:space="preserve"> в 1930 году введено декретное время на территории СССР с целью более рационального использования светлой части суток. В настоящее время режим перевода стрелок на «летнее» время применяется более чем в 110 странах на всех широтах от Канады до Австралии, и во всех европейских государствах. В России впервые этот переход был осуществлен 1 июля 1917 года, когда в соответствии с декретом Временного правительства стрелки всех часов в России были переведены на один час вперед, а назад их переводили уже по декрету Совнаркома, который был принят 16 июня 1930 года. Тогда стрелки часов были переведены на час вперед относительно поясного времени и после этого стрелки назад не перевели, и страна круглый год стала жить и работать, на один час опережая естественный суточный цикл. Установленное время приобрело название декретного, поскольку было введено декретом Совета народных комиссаров СССР. Таким образом, СССР более 50 лет жил по «декретному» времени. Лишь с 1981 года страна вернулась к сезонному времени. Переход на летнее время в СССР возобновился 1 апреля 1981 года, но уже по отношению к декретному. То есть с этого времени летом мы стали жить уже на два часа опережая природный цикл. Это значит, что для всей России и сейчас «правильное» время стрелки часов показывают зимой. В своем нынешнем виде система перехода на разное время, при которой переход на «летнее» время осуществляется в начале апреля, а на «зимнее» - в конце октября, действует с 1997 года (14924).</w:t>
      </w:r>
    </w:p>
    <w:p w14:paraId="314B9FF9" w14:textId="77777777" w:rsidR="0002641F" w:rsidRPr="00507A31" w:rsidRDefault="0002641F" w:rsidP="00507A31">
      <w:pPr>
        <w:jc w:val="both"/>
        <w:rPr>
          <w:color w:val="000000" w:themeColor="text1"/>
          <w:sz w:val="16"/>
          <w:szCs w:val="16"/>
        </w:rPr>
      </w:pPr>
    </w:p>
    <w:p w14:paraId="3D44EAAD" w14:textId="77777777" w:rsidR="00E354F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7EBB2CF" w14:textId="77777777" w:rsidR="00E354F9" w:rsidRPr="00507A31" w:rsidRDefault="00E354F9" w:rsidP="00507A31">
      <w:pPr>
        <w:autoSpaceDE w:val="0"/>
        <w:autoSpaceDN w:val="0"/>
        <w:adjustRightInd w:val="0"/>
        <w:jc w:val="both"/>
        <w:rPr>
          <w:iCs/>
          <w:color w:val="000000" w:themeColor="text1"/>
          <w:sz w:val="16"/>
          <w:szCs w:val="16"/>
        </w:rPr>
      </w:pPr>
    </w:p>
    <w:p w14:paraId="48377F5F" w14:textId="77777777" w:rsidR="00E354F9" w:rsidRPr="00507A31" w:rsidRDefault="00E354F9" w:rsidP="00507A31">
      <w:pPr>
        <w:jc w:val="both"/>
        <w:rPr>
          <w:color w:val="000000" w:themeColor="text1"/>
          <w:sz w:val="16"/>
          <w:szCs w:val="16"/>
        </w:rPr>
      </w:pPr>
      <w:r w:rsidRPr="00507A31">
        <w:rPr>
          <w:color w:val="000000" w:themeColor="text1"/>
          <w:sz w:val="16"/>
          <w:szCs w:val="16"/>
        </w:rPr>
        <w:t>17 июня 1930 года постановлением бюро Воронежского обкома ВКП(б) уполномоченным по строительству Воронежского авиационного завода был утвержден К. С. Ляховский. Проект, разработанный московским отделением «Гипроспецмета» – Государственного института по проектированию специальных металлических производств, был окончательно утвержден 5-й сессией техсовета «Гипроспецмета» в Ленинграде 4-9 мая 1931 года (17288).</w:t>
      </w:r>
    </w:p>
    <w:p w14:paraId="141E46FE" w14:textId="77777777" w:rsidR="00E354F9" w:rsidRPr="00507A31" w:rsidRDefault="00E354F9" w:rsidP="00507A31">
      <w:pPr>
        <w:jc w:val="both"/>
        <w:rPr>
          <w:color w:val="000000" w:themeColor="text1"/>
          <w:sz w:val="16"/>
          <w:szCs w:val="16"/>
        </w:rPr>
      </w:pPr>
    </w:p>
    <w:p w14:paraId="68962BD4" w14:textId="77777777" w:rsidR="00333C29" w:rsidRPr="00507A31" w:rsidRDefault="00333C29" w:rsidP="00507A31">
      <w:pPr>
        <w:pStyle w:val="affa"/>
        <w:shd w:val="clear" w:color="auto" w:fill="FFFFFF"/>
        <w:spacing w:before="0" w:beforeAutospacing="0" w:after="0" w:afterAutospacing="0"/>
        <w:jc w:val="both"/>
        <w:rPr>
          <w:color w:val="000000" w:themeColor="text1"/>
          <w:sz w:val="16"/>
          <w:szCs w:val="16"/>
        </w:rPr>
      </w:pPr>
      <w:r w:rsidRPr="00507A31">
        <w:rPr>
          <w:color w:val="000000" w:themeColor="text1"/>
          <w:sz w:val="16"/>
          <w:szCs w:val="16"/>
        </w:rPr>
        <w:t>17 июня 1930 года постановлением бюро Воронежского обкома ВКП(б) уполномоченным по строительству Воронежского авиационного завода был утвержден К. С. Ляховский. Проект, разработанный московским отделением «Гипроспецмета» – Государственного института по проектированию специальных металлических производств, был окончательно утвержден 5-й сессией техсовета «Гипроспецмета» в Ленинграде 4-9 мая 1931 года (19822).</w:t>
      </w:r>
    </w:p>
    <w:p w14:paraId="641C4EA3" w14:textId="77777777" w:rsidR="00333C29" w:rsidRPr="00507A31" w:rsidRDefault="00333C29" w:rsidP="00507A31">
      <w:pPr>
        <w:pStyle w:val="affa"/>
        <w:shd w:val="clear" w:color="auto" w:fill="FFFFFF"/>
        <w:spacing w:before="0" w:beforeAutospacing="0" w:after="0" w:afterAutospacing="0"/>
        <w:jc w:val="both"/>
        <w:rPr>
          <w:color w:val="000000" w:themeColor="text1"/>
          <w:sz w:val="16"/>
          <w:szCs w:val="16"/>
        </w:rPr>
      </w:pPr>
    </w:p>
    <w:p w14:paraId="2D01AF43" w14:textId="77777777" w:rsidR="00333C29" w:rsidRPr="00507A31" w:rsidRDefault="00333C29" w:rsidP="00507A31">
      <w:pPr>
        <w:jc w:val="both"/>
        <w:rPr>
          <w:color w:val="000000" w:themeColor="text1"/>
          <w:sz w:val="16"/>
          <w:szCs w:val="16"/>
        </w:rPr>
      </w:pPr>
      <w:r w:rsidRPr="00507A31">
        <w:rPr>
          <w:color w:val="000000" w:themeColor="text1"/>
          <w:sz w:val="16"/>
          <w:szCs w:val="16"/>
        </w:rPr>
        <w:t>17 июня 1930 года постановлением бюро Воронежского обкома ВКП(б) уполномоченным по строительству Воронежского авиационного завода № 18 был утверждён Ляховский К.С. Он же был первым директором завода и начальником Особой строительной конторы (19829).</w:t>
      </w:r>
    </w:p>
    <w:p w14:paraId="34AD7455" w14:textId="77777777" w:rsidR="00333C29" w:rsidRPr="00507A31" w:rsidRDefault="00333C29" w:rsidP="00507A31">
      <w:pPr>
        <w:jc w:val="both"/>
        <w:rPr>
          <w:color w:val="000000" w:themeColor="text1"/>
          <w:sz w:val="16"/>
          <w:szCs w:val="16"/>
        </w:rPr>
      </w:pPr>
    </w:p>
    <w:p w14:paraId="7D54B64B" w14:textId="77777777" w:rsidR="00537E5F" w:rsidRPr="00507A31" w:rsidRDefault="00AC7355" w:rsidP="00507A31">
      <w:pPr>
        <w:tabs>
          <w:tab w:val="left" w:pos="11199"/>
        </w:tabs>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5E25E26" w14:textId="77777777" w:rsidR="00537E5F" w:rsidRPr="00507A31" w:rsidRDefault="00537E5F" w:rsidP="00507A31">
      <w:pPr>
        <w:tabs>
          <w:tab w:val="left" w:pos="11199"/>
        </w:tabs>
        <w:autoSpaceDE w:val="0"/>
        <w:autoSpaceDN w:val="0"/>
        <w:adjustRightInd w:val="0"/>
        <w:jc w:val="both"/>
        <w:rPr>
          <w:iCs/>
          <w:color w:val="000000" w:themeColor="text1"/>
          <w:sz w:val="16"/>
          <w:szCs w:val="16"/>
        </w:rPr>
      </w:pPr>
    </w:p>
    <w:p w14:paraId="484297DE" w14:textId="77777777" w:rsidR="00950184" w:rsidRPr="00507A31" w:rsidRDefault="00950184" w:rsidP="00507A31">
      <w:pPr>
        <w:pStyle w:val="a3"/>
        <w:rPr>
          <w:color w:val="000000" w:themeColor="text1"/>
          <w:lang w:val="ru-RU"/>
        </w:rPr>
      </w:pPr>
      <w:r w:rsidRPr="00507A31">
        <w:rPr>
          <w:color w:val="000000" w:themeColor="text1"/>
          <w:lang w:val="ru-RU"/>
        </w:rPr>
        <w:t>17 июня 1930 в 15.00 с конвейера СТЗ сошел первый советский «Интернационал» (12622).</w:t>
      </w:r>
    </w:p>
    <w:p w14:paraId="3DC9051A" w14:textId="77777777" w:rsidR="00950184" w:rsidRPr="00507A31" w:rsidRDefault="00950184" w:rsidP="00507A31">
      <w:pPr>
        <w:pStyle w:val="a3"/>
        <w:rPr>
          <w:color w:val="000000" w:themeColor="text1"/>
          <w:lang w:val="ru-RU"/>
        </w:rPr>
      </w:pPr>
    </w:p>
    <w:p w14:paraId="63D58E09" w14:textId="77777777" w:rsidR="0002641F" w:rsidRPr="00507A31" w:rsidRDefault="0002641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17 (16 - 3481) июня 1930 был пущен тракторный завод в Сталинграде (1348,199) им. Ф. Дзержинского (построенный при содействии американских инженеров) (4962).</w:t>
      </w:r>
    </w:p>
    <w:p w14:paraId="12B6D613" w14:textId="77777777" w:rsidR="0002641F" w:rsidRPr="00507A31" w:rsidRDefault="0002641F" w:rsidP="00507A31">
      <w:pPr>
        <w:tabs>
          <w:tab w:val="left" w:pos="11199"/>
        </w:tabs>
        <w:autoSpaceDE w:val="0"/>
        <w:autoSpaceDN w:val="0"/>
        <w:adjustRightInd w:val="0"/>
        <w:jc w:val="both"/>
        <w:rPr>
          <w:color w:val="000000" w:themeColor="text1"/>
          <w:sz w:val="16"/>
          <w:szCs w:val="16"/>
        </w:rPr>
      </w:pPr>
    </w:p>
    <w:p w14:paraId="0B3F5279" w14:textId="77777777" w:rsidR="00B07F68" w:rsidRPr="00507A31" w:rsidRDefault="00B07F68"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17 июня 1930 г. пущен на 5,5 месяцев раньше плана первый тракторный завод в СССР – Сталинградский тракторный завод имени Дзержинского. Первый колесный трактор СТЗ-1 работал на керосине и имел мощность 30 л.с. Завод был рассчитан на выпуск около 50 тыс. тракторов в год, летом 1932 г. он начал работать на такую серию. 1-й гусеничный трактор СТЗ-НАТИ имел мощность 52 л.с. и начал выпускаться в 1937 г. В годы войны завод был разрушен, но уже через полтора года после зимы 1942-1943 г. – точно через 14 лет после первого пуска – 17 июня 1944 г. конвейер тракторного начал работу (17325).</w:t>
      </w:r>
    </w:p>
    <w:p w14:paraId="174BAEF2" w14:textId="77777777" w:rsidR="00B07F68" w:rsidRPr="00507A31" w:rsidRDefault="00B07F68" w:rsidP="00507A31">
      <w:pPr>
        <w:tabs>
          <w:tab w:val="left" w:pos="11199"/>
        </w:tabs>
        <w:autoSpaceDE w:val="0"/>
        <w:autoSpaceDN w:val="0"/>
        <w:adjustRightInd w:val="0"/>
        <w:jc w:val="both"/>
        <w:rPr>
          <w:color w:val="000000" w:themeColor="text1"/>
          <w:sz w:val="16"/>
          <w:szCs w:val="16"/>
        </w:rPr>
      </w:pPr>
    </w:p>
    <w:p w14:paraId="0641B882" w14:textId="77777777" w:rsidR="002F45C9" w:rsidRPr="00507A31" w:rsidRDefault="002F45C9" w:rsidP="00507A31">
      <w:pPr>
        <w:jc w:val="both"/>
        <w:rPr>
          <w:color w:val="0070C0"/>
          <w:sz w:val="16"/>
          <w:szCs w:val="16"/>
        </w:rPr>
      </w:pPr>
      <w:r w:rsidRPr="00507A31">
        <w:rPr>
          <w:color w:val="0070C0"/>
          <w:sz w:val="16"/>
          <w:szCs w:val="16"/>
        </w:rPr>
        <w:t>17 июня 1930 г. состоялся пуск Сталинградского тракторного завода им. Ф. Э. Дзержинского.</w:t>
      </w:r>
    </w:p>
    <w:p w14:paraId="224FFC37" w14:textId="77777777" w:rsidR="002F45C9" w:rsidRPr="00507A31" w:rsidRDefault="002F45C9" w:rsidP="00507A31">
      <w:pPr>
        <w:jc w:val="both"/>
        <w:rPr>
          <w:color w:val="0070C0"/>
          <w:sz w:val="16"/>
          <w:szCs w:val="16"/>
        </w:rPr>
      </w:pPr>
      <w:r w:rsidRPr="00507A31">
        <w:rPr>
          <w:color w:val="0070C0"/>
          <w:sz w:val="16"/>
          <w:szCs w:val="16"/>
        </w:rPr>
        <w:t>19 января 1925 года. На Пленуме ЦК РКП (б) Ф. Э. Дзержинский выступил с идеей о постройке специализированного тракторного завода.</w:t>
      </w:r>
    </w:p>
    <w:p w14:paraId="718B8B2A" w14:textId="77777777" w:rsidR="002F45C9" w:rsidRPr="00507A31" w:rsidRDefault="002F45C9" w:rsidP="00507A31">
      <w:pPr>
        <w:jc w:val="both"/>
        <w:rPr>
          <w:color w:val="0070C0"/>
          <w:sz w:val="16"/>
          <w:szCs w:val="16"/>
        </w:rPr>
      </w:pPr>
      <w:r w:rsidRPr="00507A31">
        <w:rPr>
          <w:color w:val="0070C0"/>
          <w:sz w:val="16"/>
          <w:szCs w:val="16"/>
        </w:rPr>
        <w:t>12 июля 1926 года. Состоялась закладка Сталинградского тракторного завода.</w:t>
      </w:r>
    </w:p>
    <w:p w14:paraId="1166CB83" w14:textId="77777777" w:rsidR="002F45C9" w:rsidRPr="00507A31" w:rsidRDefault="002F45C9" w:rsidP="00507A31">
      <w:pPr>
        <w:jc w:val="both"/>
        <w:rPr>
          <w:color w:val="0070C0"/>
          <w:sz w:val="16"/>
          <w:szCs w:val="16"/>
        </w:rPr>
      </w:pPr>
      <w:r w:rsidRPr="00507A31">
        <w:rPr>
          <w:color w:val="0070C0"/>
          <w:sz w:val="16"/>
          <w:szCs w:val="16"/>
        </w:rPr>
        <w:t>17 июня 1930 года. С главного конвейера СТЗ сошел первый трактор СТЗ-1. Завод вступил в строй действующих предприятий.</w:t>
      </w:r>
    </w:p>
    <w:p w14:paraId="2F9A20CE" w14:textId="77777777" w:rsidR="002F45C9" w:rsidRPr="00507A31" w:rsidRDefault="002F45C9" w:rsidP="00507A31">
      <w:pPr>
        <w:jc w:val="both"/>
        <w:rPr>
          <w:color w:val="0070C0"/>
          <w:sz w:val="16"/>
          <w:szCs w:val="16"/>
        </w:rPr>
      </w:pPr>
      <w:r w:rsidRPr="00507A31">
        <w:rPr>
          <w:color w:val="0070C0"/>
          <w:sz w:val="16"/>
          <w:szCs w:val="16"/>
        </w:rPr>
        <w:t>17 мая 1932 года. СТЗ достиг проектной мощности и был награжден орденом Ленина.</w:t>
      </w:r>
    </w:p>
    <w:p w14:paraId="46E94BDD" w14:textId="77777777" w:rsidR="002F45C9" w:rsidRPr="00507A31" w:rsidRDefault="002F45C9" w:rsidP="00507A31">
      <w:pPr>
        <w:jc w:val="both"/>
        <w:rPr>
          <w:color w:val="0070C0"/>
          <w:sz w:val="16"/>
          <w:szCs w:val="16"/>
        </w:rPr>
      </w:pPr>
      <w:r w:rsidRPr="00507A31">
        <w:rPr>
          <w:color w:val="0070C0"/>
          <w:sz w:val="16"/>
          <w:szCs w:val="16"/>
        </w:rPr>
        <w:t>15 мая 1937 года. С конвейера сошел последний колесный трактор.</w:t>
      </w:r>
    </w:p>
    <w:p w14:paraId="7F102CA1" w14:textId="77777777" w:rsidR="002F45C9" w:rsidRPr="00507A31" w:rsidRDefault="002F45C9" w:rsidP="00507A31">
      <w:pPr>
        <w:jc w:val="both"/>
        <w:rPr>
          <w:color w:val="0070C0"/>
          <w:sz w:val="16"/>
          <w:szCs w:val="16"/>
        </w:rPr>
      </w:pPr>
      <w:r w:rsidRPr="00507A31">
        <w:rPr>
          <w:color w:val="0070C0"/>
          <w:sz w:val="16"/>
          <w:szCs w:val="16"/>
        </w:rPr>
        <w:t>11 июля 1937 года. Выпущен первый гусеничный трактор СТЗ-НАТИ.</w:t>
      </w:r>
    </w:p>
    <w:p w14:paraId="2A8D2A67" w14:textId="77777777" w:rsidR="002F45C9" w:rsidRPr="00507A31" w:rsidRDefault="002F45C9" w:rsidP="00507A31">
      <w:pPr>
        <w:jc w:val="both"/>
        <w:rPr>
          <w:color w:val="0070C0"/>
          <w:sz w:val="16"/>
          <w:szCs w:val="16"/>
        </w:rPr>
      </w:pPr>
      <w:r w:rsidRPr="00507A31">
        <w:rPr>
          <w:color w:val="0070C0"/>
          <w:sz w:val="16"/>
          <w:szCs w:val="16"/>
        </w:rPr>
        <w:t>7 сентября 1940 года. На СТЗ была введена первая в мире автоматическая линия.</w:t>
      </w:r>
    </w:p>
    <w:p w14:paraId="04A08C76" w14:textId="77777777" w:rsidR="002F45C9" w:rsidRPr="00507A31" w:rsidRDefault="002F45C9" w:rsidP="00507A31">
      <w:pPr>
        <w:jc w:val="both"/>
        <w:rPr>
          <w:color w:val="0070C0"/>
          <w:sz w:val="16"/>
          <w:szCs w:val="16"/>
        </w:rPr>
      </w:pPr>
      <w:r w:rsidRPr="00507A31">
        <w:rPr>
          <w:color w:val="0070C0"/>
          <w:sz w:val="16"/>
          <w:szCs w:val="16"/>
        </w:rPr>
        <w:t>С 1 февраля 1942 года план по выпуску танков на СТЗ был удвоен. 23 августа 1942 года немецкие танки и мотопехота были в полутора километрах от завода. На заводской площадке танкисты-ополченцы формировали танковые экипажи. До 13 сентября, под непрерывным обстрелом рабочие продолжали выпускать танки и арттягачи. После этой даты из собранных по цехам деталей выпустили 40 танков. В период с 29 сентября по 4 октября 1942 года в результате обстрелов и бомбежек завод был полностью разрушен.</w:t>
      </w:r>
    </w:p>
    <w:p w14:paraId="1E393295" w14:textId="77777777" w:rsidR="002F45C9" w:rsidRPr="00507A31" w:rsidRDefault="002F45C9" w:rsidP="00507A31">
      <w:pPr>
        <w:jc w:val="both"/>
        <w:rPr>
          <w:color w:val="0070C0"/>
          <w:sz w:val="16"/>
          <w:szCs w:val="16"/>
        </w:rPr>
      </w:pPr>
      <w:r w:rsidRPr="00507A31">
        <w:rPr>
          <w:color w:val="0070C0"/>
          <w:sz w:val="16"/>
          <w:szCs w:val="16"/>
        </w:rPr>
        <w:t>18 февраля 1944 года ГКО принял решение о восстановлении тракторного завода на полную мощность. В мае 1944 года пущен конвейер по сборке тракторов.</w:t>
      </w:r>
    </w:p>
    <w:p w14:paraId="13563BF3" w14:textId="77777777" w:rsidR="002F45C9" w:rsidRPr="00507A31" w:rsidRDefault="002F45C9" w:rsidP="00507A31">
      <w:pPr>
        <w:jc w:val="both"/>
        <w:rPr>
          <w:color w:val="0070C0"/>
          <w:sz w:val="16"/>
          <w:szCs w:val="16"/>
        </w:rPr>
      </w:pPr>
      <w:r w:rsidRPr="00507A31">
        <w:rPr>
          <w:color w:val="0070C0"/>
          <w:sz w:val="16"/>
          <w:szCs w:val="16"/>
        </w:rPr>
        <w:t>7 февраля 1945 года. Президиум Верховного Совета СССР наградил СТЗ орденом Великой Отечественной войны 1-й степени.</w:t>
      </w:r>
    </w:p>
    <w:p w14:paraId="6E468722" w14:textId="77777777" w:rsidR="002F45C9" w:rsidRPr="00507A31" w:rsidRDefault="002F45C9" w:rsidP="00507A31">
      <w:pPr>
        <w:jc w:val="both"/>
        <w:rPr>
          <w:color w:val="0070C0"/>
          <w:sz w:val="16"/>
          <w:szCs w:val="16"/>
        </w:rPr>
      </w:pPr>
      <w:r w:rsidRPr="00507A31">
        <w:rPr>
          <w:color w:val="0070C0"/>
          <w:sz w:val="16"/>
          <w:szCs w:val="16"/>
        </w:rPr>
        <w:t>9 апреля 1945 года. С конвейера сошел трактор № 1000.</w:t>
      </w:r>
    </w:p>
    <w:p w14:paraId="22BB037D" w14:textId="77777777" w:rsidR="002F45C9" w:rsidRPr="00507A31" w:rsidRDefault="002F45C9" w:rsidP="00507A31">
      <w:pPr>
        <w:jc w:val="both"/>
        <w:rPr>
          <w:color w:val="0070C0"/>
          <w:sz w:val="16"/>
          <w:szCs w:val="16"/>
        </w:rPr>
      </w:pPr>
    </w:p>
    <w:p w14:paraId="4D833C3A" w14:textId="77777777" w:rsidR="0002641F" w:rsidRPr="00507A31" w:rsidRDefault="0002641F" w:rsidP="00507A31">
      <w:pPr>
        <w:jc w:val="both"/>
        <w:rPr>
          <w:bCs/>
          <w:color w:val="000000" w:themeColor="text1"/>
          <w:sz w:val="16"/>
          <w:szCs w:val="16"/>
        </w:rPr>
      </w:pPr>
      <w:r w:rsidRPr="00507A31">
        <w:rPr>
          <w:bCs/>
          <w:color w:val="000000" w:themeColor="text1"/>
          <w:sz w:val="16"/>
          <w:szCs w:val="16"/>
        </w:rPr>
        <w:t>17 июня</w:t>
      </w:r>
      <w:r w:rsidRPr="00507A31">
        <w:rPr>
          <w:color w:val="000000" w:themeColor="text1"/>
          <w:sz w:val="16"/>
          <w:szCs w:val="16"/>
        </w:rPr>
        <w:t xml:space="preserve"> в 1930 году сошел первый советский трактор СТЗ-1 с конвейера "Сталинградского тракторного завода" имени Ф.Э.Дзержинского. 12 июля 1926 г. началось строительство Сталинградского тракторного завода (c 1961 г. ОАО "Волгоградского тракторного завода"). Введен в строй в 17 июня 1930 г. В этот день с конвейера завода сошел первый российский трактор СТЗ-1, положив начало развитию отечественного тракторостроения. 20 апреля 1932 года освоена проектная мощность - 144 трактора в сутки. В 1937 году завод перешел на выпуск гусеничных тракторов СТЗ-НАТИ. 11 июля 1937 года завод перешел на выпуск гусеничных тракторов СТЗ-НАТИ мощностью 52 л.с. В 1938 году на Всемирной промышленной выставке в Париже СТЗ-НАТИ отмечен высшей наградой - "Гран-При".</w:t>
      </w:r>
    </w:p>
    <w:p w14:paraId="3EAA4D65" w14:textId="77777777" w:rsidR="0002641F" w:rsidRPr="00507A31" w:rsidRDefault="0002641F" w:rsidP="00507A31">
      <w:pPr>
        <w:jc w:val="both"/>
        <w:rPr>
          <w:color w:val="000000" w:themeColor="text1"/>
          <w:sz w:val="16"/>
          <w:szCs w:val="16"/>
        </w:rPr>
      </w:pPr>
      <w:r w:rsidRPr="00507A31">
        <w:rPr>
          <w:color w:val="000000" w:themeColor="text1"/>
          <w:sz w:val="16"/>
          <w:szCs w:val="16"/>
        </w:rPr>
        <w:t xml:space="preserve">К 17 июня 1940 года - 232700 тракторов ( в том числе 25 тысяч гусеничных) - более половины тракторного парка страны - сошли с конвейера Сталинградского тракторного завода. В годы войны завод выпускал танки «Т-34» и артиллерийские тягачи. 25 ноября 1949 года без остановки производства был осуществлен переход на выпуск тракторов «ДТ-54», оснащенных дизельным двигателем мощностью 54 л.с. В январе 1970 выпущен миллионный трактор. Тракторы завода работали в 32 странах мира. 30 декабря 1963 года после проведенной реконструкции, завод приступил к выпуску тракторов «ДТ-75». C 1994 года ОАО "ВгТЗ" освоил серийное производство нового гусеничного трактора «ВТ-100» мощностью 120 л.с. и различных модификаций на его базе. Выпускаемые предприятием тракторы агрегатируются более чем со 150 сельскохозяйственными машинами и орудиями, увеличение тяговой мощности и навесоспособности тракторов обеспечивает возможность их эффективного использования с широкозахватными орудиями и комбинированными агрегатами. По заказам потребителя ОАО "ВгТЗ" может разработать и изготовить на базе тракторов семейств «ДТ-75» и «ВТ-100» специализированные модификации или энергосредства для особых условий эксплуатации, оснастить тракторы дополнительным оборудованием: промышленным, дорожно-строительным, погрузочным, сварочным, бурильным и т.п. Кроме основной продукции, ОАО "ВгТЗ" выпускает по заказу Минобороны военную технику для российской армии. Военное производство началось в 1932 г., с выпуска танка «Т-26» и представляет собой комплекс цехов, лабораторий, вспомогательных производств и испытательного полигона. С 1969 года и по настоящее время завод </w:t>
      </w:r>
      <w:r w:rsidRPr="00507A31">
        <w:rPr>
          <w:color w:val="000000" w:themeColor="text1"/>
          <w:sz w:val="16"/>
          <w:szCs w:val="16"/>
        </w:rPr>
        <w:lastRenderedPageBreak/>
        <w:t>разрабатывает и выпускает легкую бронированную технику для ВВС - боевые машины десанта: «БМД-1», «БМД-1П», «БМД-1ПК», «БТР-Д», «БМД-3», «БМД-3К», «СПТП 2С25» и др. За свой трудовой путь Волгоградский тракторный завод дважды награжден орденами Ленина (1932 г., 1970 г.), а за героические заслуги в годы Великой Отечественной войны - орденом Трудового Красного Знамени (1942 г.) и орденом Отечественной войны I степени (1945 г.). Продукция завода удостоена многих международных наград. За эти годы свыше 116 тысяч тракторов с маркой ВгТЗ поставлены на экспорт в страны СНГ, Европы, Юго-Восточной Азии, Северной и Латинской Америки (14925).</w:t>
      </w:r>
    </w:p>
    <w:p w14:paraId="2667EABE" w14:textId="77777777" w:rsidR="0002641F" w:rsidRPr="00507A31" w:rsidRDefault="0002641F" w:rsidP="00507A31">
      <w:pPr>
        <w:jc w:val="both"/>
        <w:rPr>
          <w:color w:val="000000" w:themeColor="text1"/>
          <w:sz w:val="16"/>
          <w:szCs w:val="16"/>
        </w:rPr>
      </w:pPr>
    </w:p>
    <w:p w14:paraId="7BA546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 июня 1930 г. вышло ПОСТАНОВЛЕНИЕ СНК СССР ОБ УПОРЯДОЧЕНИИ АВТОМОБИЛЬНОГО ДЕЛА</w:t>
      </w:r>
    </w:p>
    <w:p w14:paraId="0E962C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№69</w:t>
      </w:r>
    </w:p>
    <w:p w14:paraId="32322A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498735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развитие постановления Центрального исполнительного комитета и Совета Народных комисса</w:t>
      </w:r>
      <w:r w:rsidRPr="00507A31">
        <w:rPr>
          <w:color w:val="000000" w:themeColor="text1"/>
          <w:sz w:val="16"/>
          <w:szCs w:val="16"/>
        </w:rPr>
        <w:softHyphen/>
        <w:t>ров Союза ССР от 28 ноября 1928 г. о дорожном хозяйстве и автомобильном деле в Союзе ССР (Собра</w:t>
      </w:r>
      <w:r w:rsidRPr="00507A31">
        <w:rPr>
          <w:color w:val="000000" w:themeColor="text1"/>
          <w:sz w:val="16"/>
          <w:szCs w:val="16"/>
        </w:rPr>
        <w:softHyphen/>
        <w:t>ние законов Союза ССР, 1929 г. №6, с. 52) и Положения о Центральном управлении шоссейных и грун</w:t>
      </w:r>
      <w:r w:rsidRPr="00507A31">
        <w:rPr>
          <w:color w:val="000000" w:themeColor="text1"/>
          <w:sz w:val="16"/>
          <w:szCs w:val="16"/>
        </w:rPr>
        <w:softHyphen/>
        <w:t>товых дорог и автомобильного транспорта Народного комиссариата путей сообщения (Собрание зако</w:t>
      </w:r>
      <w:r w:rsidRPr="00507A31">
        <w:rPr>
          <w:color w:val="000000" w:themeColor="text1"/>
          <w:sz w:val="16"/>
          <w:szCs w:val="16"/>
        </w:rPr>
        <w:softHyphen/>
        <w:t>нов Союза ССР, 1929 г. №6, с. 61) Совет Народных Комиссаров Союза ССР постановляет:</w:t>
      </w:r>
    </w:p>
    <w:p w14:paraId="631AEB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Общесоюзные, перспективные и годовые (с разбивкой на квартальные) планы снабжения ав</w:t>
      </w:r>
      <w:r w:rsidRPr="00507A31">
        <w:rPr>
          <w:color w:val="000000" w:themeColor="text1"/>
          <w:sz w:val="16"/>
          <w:szCs w:val="16"/>
        </w:rPr>
        <w:softHyphen/>
        <w:t>томобилями, мотоциклами, запасными частями к ним и прочим автомотоимуществом составляются Народным комиссариатом путей сообщения (по Цудортрансу') и представляются через Госплан СССР на утверждение СТО.</w:t>
      </w:r>
    </w:p>
    <w:p w14:paraId="1AC0BC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Этими планами устанавливаются контингенты для союзных республик, наркоматов Союза ССР и организаций общесоюзного значения.</w:t>
      </w:r>
    </w:p>
    <w:p w14:paraId="6F0BDC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Республиканские планы снабжения автомотоимуществом составляются на основе общесоюз</w:t>
      </w:r>
      <w:r w:rsidRPr="00507A31">
        <w:rPr>
          <w:color w:val="000000" w:themeColor="text1"/>
          <w:sz w:val="16"/>
          <w:szCs w:val="16"/>
        </w:rPr>
        <w:softHyphen/>
        <w:t>ных планов Главдортрансами и представляются через Госпланы на утверждение правительств соот</w:t>
      </w:r>
      <w:r w:rsidRPr="00507A31">
        <w:rPr>
          <w:color w:val="000000" w:themeColor="text1"/>
          <w:sz w:val="16"/>
          <w:szCs w:val="16"/>
        </w:rPr>
        <w:softHyphen/>
        <w:t>ветствующих республик.</w:t>
      </w:r>
    </w:p>
    <w:p w14:paraId="3503EE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Надзор за осуществлением планов снабжения автомотоимуществом осуществляется Цудор-трансом и Главдортрансами по принадлежности.</w:t>
      </w:r>
    </w:p>
    <w:p w14:paraId="72F3B3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Снабжение автомотоимуществом как импортным, так и советского производства должно быть возложено на организуемое в составе Всесоюзного автотракторного объединения, действую</w:t>
      </w:r>
      <w:r w:rsidRPr="00507A31">
        <w:rPr>
          <w:color w:val="000000" w:themeColor="text1"/>
          <w:sz w:val="16"/>
          <w:szCs w:val="16"/>
        </w:rPr>
        <w:softHyphen/>
        <w:t>щее на хозрасчете предприятие общесоюзного значения - "Авторемснаб".</w:t>
      </w:r>
    </w:p>
    <w:p w14:paraId="0A44B3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Высшему Совету Народного Хозяйства Союза ССР поручается не позднее 1 июля 1930 г. орга</w:t>
      </w:r>
      <w:r w:rsidRPr="00507A31">
        <w:rPr>
          <w:color w:val="000000" w:themeColor="text1"/>
          <w:sz w:val="16"/>
          <w:szCs w:val="16"/>
        </w:rPr>
        <w:softHyphen/>
        <w:t>низовать это предприятие и утвердить его устав.</w:t>
      </w:r>
    </w:p>
    <w:p w14:paraId="08AD10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Авторемснаб обязан:</w:t>
      </w:r>
    </w:p>
    <w:p w14:paraId="7255F1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снабжать автомобилями, мотоциклами, запасными частями, принадлежностями, оборудо</w:t>
      </w:r>
      <w:r w:rsidRPr="00507A31">
        <w:rPr>
          <w:color w:val="000000" w:themeColor="text1"/>
          <w:sz w:val="16"/>
          <w:szCs w:val="16"/>
        </w:rPr>
        <w:softHyphen/>
        <w:t>ванием и прочим техническим автомотоимуществом, производимым в Союзе ССР и ввозимым из-за границы;</w:t>
      </w:r>
    </w:p>
    <w:p w14:paraId="662050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производить капитальный ремонт автомототранспорта;</w:t>
      </w:r>
    </w:p>
    <w:p w14:paraId="00BBBF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производить оборудование и инструменты для мастерских по ремонту автомобилей и мотоци</w:t>
      </w:r>
      <w:r w:rsidRPr="00507A31">
        <w:rPr>
          <w:color w:val="000000" w:themeColor="text1"/>
          <w:sz w:val="16"/>
          <w:szCs w:val="16"/>
        </w:rPr>
        <w:softHyphen/>
        <w:t>клов, а также инвентарь для гаражей;</w:t>
      </w:r>
    </w:p>
    <w:p w14:paraId="3DAF26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организовать сеть вулканизационных мастерских для ремонта покрышек и камер;</w:t>
      </w:r>
    </w:p>
    <w:p w14:paraId="036257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организовать необходимую снабженческую сеть.</w:t>
      </w:r>
    </w:p>
    <w:p w14:paraId="6EBDF3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Снабжение автомобилей и мотоциклов горючими и смазочными материалами возлагается на объединение "Союзнефть", которое для этого, по соглашению, с "Авторемснабом":</w:t>
      </w:r>
    </w:p>
    <w:p w14:paraId="083862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организует сеть бензинохранилищ, бензинораздаточных колонок и маслохранилищ;</w:t>
      </w:r>
    </w:p>
    <w:p w14:paraId="7633EB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использует снабженческую сеть Авторемснаба.</w:t>
      </w:r>
    </w:p>
    <w:p w14:paraId="40DF80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В целях внесения плановости в строительство крупных гаражей и гаражей массового пользо</w:t>
      </w:r>
      <w:r w:rsidRPr="00507A31">
        <w:rPr>
          <w:color w:val="000000" w:themeColor="text1"/>
          <w:sz w:val="16"/>
          <w:szCs w:val="16"/>
        </w:rPr>
        <w:softHyphen/>
        <w:t>вания Цудортранс:</w:t>
      </w:r>
    </w:p>
    <w:p w14:paraId="595900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устанавливает общесоюзный план строительства этих гаражей и осуществляет общее наблю</w:t>
      </w:r>
      <w:r w:rsidRPr="00507A31">
        <w:rPr>
          <w:color w:val="000000" w:themeColor="text1"/>
          <w:sz w:val="16"/>
          <w:szCs w:val="16"/>
        </w:rPr>
        <w:softHyphen/>
        <w:t>дение за ним;</w:t>
      </w:r>
    </w:p>
    <w:p w14:paraId="4680DE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разрабатывает основные технические и эксплуатационные нормы и другие условия этого строительства;</w:t>
      </w:r>
    </w:p>
    <w:p w14:paraId="58DF75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разрабатывает типовые проекты и стандарты гаражей;</w:t>
      </w:r>
    </w:p>
    <w:p w14:paraId="0FAA54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издает правила о порядке утверждения проектов гаражей.</w:t>
      </w:r>
    </w:p>
    <w:p w14:paraId="148094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Народному Комиссариату Путей Сообщения (по Цудортрансу) поручается принять меры к удешевлению стоимости гаражей, путем постройки гаражей упрощенного типа.</w:t>
      </w:r>
    </w:p>
    <w:p w14:paraId="23DFD9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Народному Комиссариату Путей Сообщения (по Цудортрансу) поручается, с привлечением заинтересованных ведомств и представителей союзных республик разработать и внести не позднее 1 сентября 1930 г. через Государственную Плановую Комиссию в Совет Труда и Обороны проект по</w:t>
      </w:r>
      <w:r w:rsidRPr="00507A31">
        <w:rPr>
          <w:color w:val="000000" w:themeColor="text1"/>
          <w:sz w:val="16"/>
          <w:szCs w:val="16"/>
        </w:rPr>
        <w:softHyphen/>
        <w:t>становления о мерах обеспечивающих:</w:t>
      </w:r>
    </w:p>
    <w:p w14:paraId="5DA96F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сосредоточение автомототранспорта в крупных автомотохозяйствах общего пользования;</w:t>
      </w:r>
    </w:p>
    <w:p w14:paraId="48182E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специализацию работы автотранспорта.</w:t>
      </w:r>
    </w:p>
    <w:p w14:paraId="62C97A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председателя СНК СССР В. Шмидт</w:t>
      </w:r>
    </w:p>
    <w:p w14:paraId="667D65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Управделами СНК СССР и СТО Н. Горбунов</w:t>
      </w:r>
    </w:p>
    <w:p w14:paraId="73ACFC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75. Л. 57. Копия (11210).</w:t>
      </w:r>
    </w:p>
    <w:p w14:paraId="4E5722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FE211F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ED71C3A" w14:textId="77777777" w:rsidR="00537E5F" w:rsidRPr="00507A31" w:rsidRDefault="00537E5F" w:rsidP="00507A31">
      <w:pPr>
        <w:autoSpaceDE w:val="0"/>
        <w:autoSpaceDN w:val="0"/>
        <w:adjustRightInd w:val="0"/>
        <w:jc w:val="both"/>
        <w:rPr>
          <w:iCs/>
          <w:color w:val="000000" w:themeColor="text1"/>
          <w:sz w:val="16"/>
          <w:szCs w:val="16"/>
        </w:rPr>
      </w:pPr>
    </w:p>
    <w:p w14:paraId="3D6290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июня 1930 США установили высокие импортные тарифы (2100).</w:t>
      </w:r>
    </w:p>
    <w:p w14:paraId="09449D0D" w14:textId="77777777" w:rsidR="00537E5F" w:rsidRPr="00507A31" w:rsidRDefault="00537E5F" w:rsidP="00507A31">
      <w:pPr>
        <w:autoSpaceDE w:val="0"/>
        <w:autoSpaceDN w:val="0"/>
        <w:adjustRightInd w:val="0"/>
        <w:jc w:val="both"/>
        <w:rPr>
          <w:color w:val="000000" w:themeColor="text1"/>
          <w:sz w:val="16"/>
          <w:szCs w:val="16"/>
        </w:rPr>
      </w:pPr>
    </w:p>
    <w:p w14:paraId="2849BF3C" w14:textId="77777777" w:rsidR="00B07F68" w:rsidRPr="00507A31" w:rsidRDefault="00B07F68" w:rsidP="00507A31">
      <w:pPr>
        <w:autoSpaceDE w:val="0"/>
        <w:autoSpaceDN w:val="0"/>
        <w:adjustRightInd w:val="0"/>
        <w:jc w:val="both"/>
        <w:rPr>
          <w:color w:val="000000" w:themeColor="text1"/>
          <w:sz w:val="16"/>
          <w:szCs w:val="16"/>
        </w:rPr>
      </w:pPr>
      <w:r w:rsidRPr="00507A31">
        <w:rPr>
          <w:color w:val="000000" w:themeColor="text1"/>
          <w:sz w:val="16"/>
          <w:szCs w:val="16"/>
        </w:rPr>
        <w:t>17 июня 1930 г. президент Герберт Гувер вводит в действие т.н. «Холей-Смут тариф» — увеличение импортной пошлины приблизительно на 20% в зависимости от вида товара. Это было реакцией его правительства на падение биржевых курсов. Политика изоляционизма, проводимая Гувером, положение еще более усугубило – индексы стали падать сильнее (17325).</w:t>
      </w:r>
    </w:p>
    <w:p w14:paraId="303A2D86" w14:textId="77777777" w:rsidR="00B07F68" w:rsidRPr="00507A31" w:rsidRDefault="00B07F68" w:rsidP="00507A31">
      <w:pPr>
        <w:autoSpaceDE w:val="0"/>
        <w:autoSpaceDN w:val="0"/>
        <w:adjustRightInd w:val="0"/>
        <w:jc w:val="both"/>
        <w:rPr>
          <w:color w:val="000000" w:themeColor="text1"/>
          <w:sz w:val="16"/>
          <w:szCs w:val="16"/>
        </w:rPr>
      </w:pPr>
    </w:p>
    <w:p w14:paraId="42F1478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D518AFD" w14:textId="77777777" w:rsidR="00537E5F" w:rsidRPr="00507A31" w:rsidRDefault="00537E5F" w:rsidP="00507A31">
      <w:pPr>
        <w:autoSpaceDE w:val="0"/>
        <w:autoSpaceDN w:val="0"/>
        <w:adjustRightInd w:val="0"/>
        <w:jc w:val="both"/>
        <w:rPr>
          <w:iCs/>
          <w:color w:val="000000" w:themeColor="text1"/>
          <w:sz w:val="16"/>
          <w:szCs w:val="16"/>
        </w:rPr>
      </w:pPr>
    </w:p>
    <w:p w14:paraId="7C4DE5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июня 1930 г. нач. 2-го отдела НИИ ВВС Волковойнов писал письмо N 274/861 в 1 секцию НТК УВВС.</w:t>
      </w:r>
    </w:p>
    <w:p w14:paraId="536289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сем препровождается предварительный материал по испытанию самолетов У2-М11.</w:t>
      </w:r>
    </w:p>
    <w:p w14:paraId="063635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Войсковые испытания проходят в Борисоглебской школе.</w:t>
      </w:r>
    </w:p>
    <w:p w14:paraId="68A6D7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[Перечни дефектов] (3272).</w:t>
      </w:r>
    </w:p>
    <w:p w14:paraId="6398143B" w14:textId="77777777" w:rsidR="00537E5F" w:rsidRPr="00507A31" w:rsidRDefault="00537E5F" w:rsidP="00507A31">
      <w:pPr>
        <w:autoSpaceDE w:val="0"/>
        <w:autoSpaceDN w:val="0"/>
        <w:adjustRightInd w:val="0"/>
        <w:jc w:val="both"/>
        <w:rPr>
          <w:color w:val="000000" w:themeColor="text1"/>
          <w:sz w:val="16"/>
          <w:szCs w:val="16"/>
        </w:rPr>
      </w:pPr>
    </w:p>
    <w:p w14:paraId="5C4D165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45DF712" w14:textId="77777777" w:rsidR="00537E5F" w:rsidRPr="00507A31" w:rsidRDefault="00537E5F" w:rsidP="00507A31">
      <w:pPr>
        <w:autoSpaceDE w:val="0"/>
        <w:autoSpaceDN w:val="0"/>
        <w:adjustRightInd w:val="0"/>
        <w:jc w:val="both"/>
        <w:rPr>
          <w:iCs/>
          <w:color w:val="000000" w:themeColor="text1"/>
          <w:sz w:val="16"/>
          <w:szCs w:val="16"/>
        </w:rPr>
      </w:pPr>
    </w:p>
    <w:p w14:paraId="73DC38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июня 1930 завод № 8 по заказу от 28 марта 1929 года изготовил и сдал военпреду две 76,2-мм батальонных мортиры ГШТ. Мортира была спроектирована Глухаревым, Щелковым и Тагуновым (ГШТ) (3861).</w:t>
      </w:r>
    </w:p>
    <w:p w14:paraId="6274DF63" w14:textId="77777777" w:rsidR="00537E5F" w:rsidRPr="00507A31" w:rsidRDefault="00537E5F" w:rsidP="00507A31">
      <w:pPr>
        <w:autoSpaceDE w:val="0"/>
        <w:autoSpaceDN w:val="0"/>
        <w:adjustRightInd w:val="0"/>
        <w:jc w:val="both"/>
        <w:rPr>
          <w:color w:val="000000" w:themeColor="text1"/>
          <w:sz w:val="16"/>
          <w:szCs w:val="16"/>
        </w:rPr>
      </w:pPr>
    </w:p>
    <w:p w14:paraId="38AAB8A6" w14:textId="77777777" w:rsidR="00950184" w:rsidRPr="00507A31" w:rsidRDefault="00950184" w:rsidP="00507A31">
      <w:pPr>
        <w:jc w:val="both"/>
        <w:rPr>
          <w:color w:val="000000" w:themeColor="text1"/>
          <w:sz w:val="16"/>
          <w:szCs w:val="16"/>
        </w:rPr>
      </w:pPr>
      <w:r w:rsidRPr="00507A31">
        <w:rPr>
          <w:color w:val="000000" w:themeColor="text1"/>
          <w:sz w:val="16"/>
          <w:szCs w:val="16"/>
        </w:rPr>
        <w:t>18 июня 1930 г. — Доклад начальника УММ РККА И. А. Халепского заместителю наркома по военным и морским делам СССР и председателя РВС СССР И. П. Уборевичу о мерах по преодолению недостатков в организации производства танко-тракторной промышленности</w:t>
      </w:r>
    </w:p>
    <w:p w14:paraId="087A906D" w14:textId="77777777" w:rsidR="00950184" w:rsidRPr="00507A31" w:rsidRDefault="00950184"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61034A16"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Изучая болезни производства и конструкторского дела по танко-тракторному заданию промышленности, я пришел к следующим выводам:</w:t>
      </w:r>
    </w:p>
    <w:p w14:paraId="563E1970"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1. В настоящее время заострено внимание к танковому производству всех высших инстанций как партийных, так и советских, дабы в ближайшую пятилетку во что бы то ни стало выполнить танковую программу, но, к сожалению, этот вопрос до сего времени не докатился до лиц учреждений и промышленных предприятий, которым надлежит выполнять эту задачу.</w:t>
      </w:r>
    </w:p>
    <w:p w14:paraId="2762C9A9"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Сверху проявляется ударность, соответствующий нажим на промышленные учреждения и предприятия, но последние, с моей точки зрения, весьма мало сделали для того, чтобы преодолеть трудности в выполнении программы. Доказательством этому служит выполнение производственной программы текущего года.</w:t>
      </w:r>
    </w:p>
    <w:p w14:paraId="13DF286C"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2. Что требовали органы ВСНХ и промышленных предприятий для того, чтобы выполнять возложенную на них задачу? Требовали финансирования, расширить площади заводов, чтобы выполнить задание. Отпущены средства, и, как факт, на «Большевике» существуют два новых цеха; на ХПЗ начат постройкой новый цех и т. д. Требовали валютного контингента для вышеуказанных заводов — тоже отпущено; закуплено оборудование, частично установлено. Требовали кадров — эти кадры мобилизованы из органов НКВМ и переданы промышленности. Какие же результаты из всего этого? Результаты те же, что мы имели в 1928/29 операционном году — программа не выполняется, и, к сожалению, мотивы те же, что в 1928/29 г. о невыполнении заданий.</w:t>
      </w:r>
    </w:p>
    <w:p w14:paraId="731E6A68"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 xml:space="preserve">3. В чем же причина? С моей точки зрения, причины в следующем: 1) независимо от того, что даны средства, возведены новые корпуса, дано новое оборудование, даны, наконец, люди, а методы организации производства, выполнения программ остались те же, что и были раньше; 2) к сожалению, на сегодняшний день весьма </w:t>
      </w:r>
      <w:r w:rsidRPr="00507A31">
        <w:rPr>
          <w:color w:val="000000" w:themeColor="text1"/>
          <w:sz w:val="16"/>
          <w:szCs w:val="16"/>
        </w:rPr>
        <w:lastRenderedPageBreak/>
        <w:t>неплохие танковые цеха по своему оборудованию до сих пор остаются ни заводами, ни цехом в современном понимании системы и методов производства, а большими кустарными мастерскими; 3) с моей точки зрения, нет планировки, организации производства по тем или иным предприятиям, нет плана, который был бы доведен до станка, как это имеет место в мирной продукции, нет, по-моему, плана у Орудийно-оружейного объединения, нет плана у заводоуправления, нет плана в цеху, а отсюда все качества.</w:t>
      </w:r>
    </w:p>
    <w:p w14:paraId="70E51A4E"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4. Не заострено партийно-общественное внимание к этим вопросам.</w:t>
      </w:r>
    </w:p>
    <w:p w14:paraId="202F0C5D"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5. Не было, по-моему, даже попытки выявить истинные причины, имеющие место в прорывах производственной программы. В этом я убедился, лично будучи на заводе ХПЗ.</w:t>
      </w:r>
    </w:p>
    <w:p w14:paraId="47FA0029"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6. Нет, наконец, надлежащей производственной увязки одного завода с другим, ибо последние друг друга кооперируют в производстве. Факты — Торецкий завод, который должен изготовлять гусеницы для ХПЗ, не считается с производственной программой ХПЗ и выполняет это задание между прочим, так, как это ему вздумается. 29</w:t>
      </w:r>
      <w:r w:rsidRPr="00507A31">
        <w:rPr>
          <w:color w:val="000000" w:themeColor="text1"/>
          <w:sz w:val="16"/>
          <w:szCs w:val="16"/>
        </w:rPr>
        <w:noBreakHyphen/>
        <w:t>й завод, от которого зависят моторы для Т</w:t>
      </w:r>
      <w:r w:rsidRPr="00507A31">
        <w:rPr>
          <w:color w:val="000000" w:themeColor="text1"/>
          <w:sz w:val="16"/>
          <w:szCs w:val="16"/>
        </w:rPr>
        <w:noBreakHyphen/>
        <w:t xml:space="preserve">12 ХПЗ, всячески старается уклониться от программы, которую на него возлагают, и вообще не несет никакой ответственности и мало об этом думает, считая для себя эту задачу побочной. Точно такая же картина во взаимоотношениях </w:t>
      </w:r>
      <w:r w:rsidRPr="00507A31">
        <w:rPr>
          <w:rStyle w:val="af0"/>
          <w:i w:val="0"/>
          <w:color w:val="000000" w:themeColor="text1"/>
          <w:sz w:val="16"/>
          <w:szCs w:val="16"/>
        </w:rPr>
        <w:t>с</w:t>
      </w:r>
      <w:r w:rsidRPr="00507A31">
        <w:rPr>
          <w:color w:val="000000" w:themeColor="text1"/>
          <w:sz w:val="16"/>
          <w:szCs w:val="16"/>
        </w:rPr>
        <w:t xml:space="preserve"> Ижорским заводом: от последнего очень многое зависит для того, чтобы выполнять программу ХПЗ, «Большевик» и Мотовилиха. Однако Ижорский завод не справляется с кузовами, безответственно сваливает вину на вышеуказанные заводы, но сам никаких мер не предпринимает.</w:t>
      </w:r>
    </w:p>
    <w:p w14:paraId="5CE4FD75"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7. Неоднократные постановления правительства на все перечисленные мною предприятия и руководящие органы этими предприятиями также не действуют. Все находят себе оправдание, документально подтверждая, ссылаясь на всевозможные предвиденные и непредвиденные причины, и главным образом объективного характера.</w:t>
      </w:r>
    </w:p>
    <w:p w14:paraId="57DC662B"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Все вышеизложенное говорит за то, что положение становится просто нетерпимым, ибо я лично глубоко уверен, что возложенную правительственную производственную программу на эти предприятия выполнить не только можно, но и должно, но для этого нужно положить конец хаосу и безобразию на этих предприятиях. Вся беда в том, что эти предприятия не сознаются в том, что они сами виноваты, а поскольку это так, весьма трудно вскрыть все нарывы и наметить план оздоровления.</w:t>
      </w:r>
    </w:p>
    <w:p w14:paraId="3D485258"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Со своей стороны, я бы предложил в этом вопросе следующие мероприятия: разрешить нейтральному органу (таким может явиться УММ) созвать производственную конференцию или совещание, на котором должны присутствовать начальник Орудийно-оружейного объединения, начальник Машиностроительного объединения, заведующие их моботделами, директора заводов как красные, так и технические, зав. цехами, военные инженеры-резервисты, инженеры цехов (и даже старшие мастера); кроме того, представители партийных и советских организаций. На этой конференции или производственном совещании поставить доклад некоторых руководителей, после чего подробно рассмотреть их производственные планы, увязать кооперирование, поскольку это зависит одного завода от другого, и, наконец, выявить истинные причины, кто и почему повинен, что дело не идет так, как это было нужно. Принятые решения можно было бы внести на окончательное решение РЗ СТО, после чего установить действительный контроль его выполнения, и таким образом можно было бы найти правильные пути решения всех имеющих место затруднений.</w:t>
      </w:r>
    </w:p>
    <w:p w14:paraId="1A8BC1D4" w14:textId="77777777" w:rsidR="00950184" w:rsidRPr="00507A31" w:rsidRDefault="00950184" w:rsidP="00507A31">
      <w:pPr>
        <w:pStyle w:val="rtejustify"/>
        <w:spacing w:before="0" w:after="0"/>
        <w:rPr>
          <w:color w:val="000000" w:themeColor="text1"/>
          <w:sz w:val="16"/>
          <w:szCs w:val="16"/>
        </w:rPr>
      </w:pPr>
      <w:r w:rsidRPr="00507A31">
        <w:rPr>
          <w:color w:val="000000" w:themeColor="text1"/>
          <w:sz w:val="16"/>
          <w:szCs w:val="16"/>
        </w:rPr>
        <w:t>Если Вы с моей принципиальной установкой согласны, мною был бы разработан порядок дня работ этого совещания, сделан был бы перечень вопросов, заранее разослан на места для подготовки материала и всю эту работу можно было бы закончить в 2</w:t>
      </w:r>
      <w:r w:rsidRPr="00507A31">
        <w:rPr>
          <w:color w:val="000000" w:themeColor="text1"/>
          <w:sz w:val="16"/>
          <w:szCs w:val="16"/>
        </w:rPr>
        <w:noBreakHyphen/>
        <w:t>3 дня. Полагал бы такую конференцию или совещание созвать на 1 августа на одном из заводов или при УММ.</w:t>
      </w:r>
    </w:p>
    <w:p w14:paraId="7E979CE8" w14:textId="77777777" w:rsidR="00950184" w:rsidRPr="00507A31" w:rsidRDefault="00950184"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Начальник Управления по механизации и моторизации РККА </w:t>
      </w:r>
      <w:hyperlink r:id="rId103" w:history="1">
        <w:r w:rsidRPr="00507A31">
          <w:rPr>
            <w:rStyle w:val="af0"/>
            <w:i w:val="0"/>
            <w:color w:val="000000" w:themeColor="text1"/>
            <w:sz w:val="16"/>
            <w:szCs w:val="16"/>
          </w:rPr>
          <w:t>Халепский</w:t>
        </w:r>
      </w:hyperlink>
    </w:p>
    <w:p w14:paraId="196B67A5" w14:textId="77777777" w:rsidR="00950184" w:rsidRPr="00507A31" w:rsidRDefault="00950184" w:rsidP="00507A31">
      <w:pPr>
        <w:pStyle w:val="ae"/>
        <w:spacing w:before="0" w:after="0"/>
        <w:jc w:val="both"/>
        <w:rPr>
          <w:color w:val="000000" w:themeColor="text1"/>
          <w:sz w:val="16"/>
          <w:szCs w:val="16"/>
        </w:rPr>
      </w:pPr>
      <w:r w:rsidRPr="00507A31">
        <w:rPr>
          <w:color w:val="000000" w:themeColor="text1"/>
          <w:sz w:val="16"/>
          <w:szCs w:val="16"/>
        </w:rPr>
        <w:t>РГВА. Ф. 31811. Оп. 1. Д. 1. Л. 80-81 об. Заверенная копия.</w:t>
      </w:r>
    </w:p>
    <w:p w14:paraId="4873E60E" w14:textId="77777777" w:rsidR="00950184" w:rsidRPr="00507A31" w:rsidRDefault="00950184" w:rsidP="00507A31">
      <w:pPr>
        <w:jc w:val="both"/>
        <w:rPr>
          <w:color w:val="000000" w:themeColor="text1"/>
          <w:sz w:val="16"/>
          <w:szCs w:val="16"/>
        </w:rPr>
      </w:pPr>
      <w:r w:rsidRPr="00507A31">
        <w:rPr>
          <w:color w:val="000000" w:themeColor="text1"/>
          <w:sz w:val="16"/>
          <w:szCs w:val="16"/>
        </w:rPr>
        <w:t xml:space="preserve">Архив: РГВА. Ф. 31811. Оп. 1. Д. 1. Л. 80-81 об. Заверенная копия. </w:t>
      </w:r>
    </w:p>
    <w:p w14:paraId="214D7B02" w14:textId="77777777" w:rsidR="00950184" w:rsidRPr="00507A31" w:rsidRDefault="00950184"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480-481 (12509).</w:t>
      </w:r>
    </w:p>
    <w:p w14:paraId="3474BFFD" w14:textId="77777777" w:rsidR="00950184" w:rsidRPr="00507A31" w:rsidRDefault="00950184" w:rsidP="00507A31">
      <w:pPr>
        <w:jc w:val="both"/>
        <w:rPr>
          <w:color w:val="000000" w:themeColor="text1"/>
          <w:sz w:val="16"/>
          <w:szCs w:val="16"/>
        </w:rPr>
      </w:pPr>
    </w:p>
    <w:p w14:paraId="7DF6129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4342835" w14:textId="77777777" w:rsidR="00537E5F" w:rsidRPr="00507A31" w:rsidRDefault="00537E5F" w:rsidP="00507A31">
      <w:pPr>
        <w:autoSpaceDE w:val="0"/>
        <w:autoSpaceDN w:val="0"/>
        <w:adjustRightInd w:val="0"/>
        <w:jc w:val="both"/>
        <w:rPr>
          <w:iCs/>
          <w:color w:val="000000" w:themeColor="text1"/>
          <w:sz w:val="16"/>
          <w:szCs w:val="16"/>
        </w:rPr>
      </w:pPr>
    </w:p>
    <w:p w14:paraId="3FF775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18 июня 1930 по 1 февраля 1936 года функционировал Торгсин - Всесоюзное объединение по торговле с иностранцами на территории СССР - родился в годы острого валютного кризиса. Вначале малозначительная конторка Мосторга, Торгсин продавал антиквариат иностранным туристам в Москве и Ленинграде да снабжал иностранных моряков в советских портах. В декабре 1930 года список его клиентов пополнился иностранцами, длительно проживавшими и работавшими в СССР. 4 января 1931 года Торгсин получил всесоюзный статус, а 14 июня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135496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Автором идеи продаж на бытовое золото был директор столичного универмага N1 Ефрем Владимирович Курлянд, который в марте 1931 года обратился с этим предложением к руководству Наркомата внешней торговли. 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2F254D14" w14:textId="77777777" w:rsidR="00537E5F" w:rsidRPr="00507A31" w:rsidRDefault="00537E5F" w:rsidP="00507A31">
      <w:pPr>
        <w:autoSpaceDE w:val="0"/>
        <w:autoSpaceDN w:val="0"/>
        <w:adjustRightInd w:val="0"/>
        <w:jc w:val="both"/>
        <w:rPr>
          <w:color w:val="000000" w:themeColor="text1"/>
          <w:sz w:val="16"/>
          <w:szCs w:val="16"/>
        </w:rPr>
      </w:pPr>
    </w:p>
    <w:p w14:paraId="450AD720" w14:textId="77777777" w:rsidR="00B07F68"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BEBBED1" w14:textId="77777777" w:rsidR="00B07F68" w:rsidRPr="00507A31" w:rsidRDefault="00B07F68" w:rsidP="00507A31">
      <w:pPr>
        <w:autoSpaceDE w:val="0"/>
        <w:autoSpaceDN w:val="0"/>
        <w:adjustRightInd w:val="0"/>
        <w:jc w:val="both"/>
        <w:rPr>
          <w:iCs/>
          <w:color w:val="000000" w:themeColor="text1"/>
          <w:sz w:val="16"/>
          <w:szCs w:val="16"/>
        </w:rPr>
      </w:pPr>
    </w:p>
    <w:p w14:paraId="2E0429C0" w14:textId="77777777" w:rsidR="00B07F68" w:rsidRPr="00507A31" w:rsidRDefault="00B07F68" w:rsidP="00507A31">
      <w:pPr>
        <w:shd w:val="clear" w:color="auto" w:fill="FFFFFF"/>
        <w:jc w:val="both"/>
        <w:rPr>
          <w:color w:val="000000" w:themeColor="text1"/>
          <w:sz w:val="16"/>
          <w:szCs w:val="16"/>
        </w:rPr>
      </w:pPr>
      <w:r w:rsidRPr="00507A31">
        <w:rPr>
          <w:color w:val="000000" w:themeColor="text1"/>
          <w:sz w:val="16"/>
          <w:szCs w:val="16"/>
        </w:rPr>
        <w:t xml:space="preserve">18 июня 1930 г. </w:t>
      </w:r>
      <w:r w:rsidRPr="00507A31">
        <w:rPr>
          <w:iCs/>
          <w:color w:val="000000" w:themeColor="text1"/>
          <w:sz w:val="16"/>
          <w:szCs w:val="16"/>
        </w:rPr>
        <w:t>1-е в истории</w:t>
      </w:r>
      <w:r w:rsidRPr="00507A31">
        <w:rPr>
          <w:color w:val="000000" w:themeColor="text1"/>
          <w:sz w:val="16"/>
          <w:szCs w:val="16"/>
        </w:rPr>
        <w:t xml:space="preserve"> заседание энергетического конгресса, проведенное по радио, завершает заседание волновой герой Томас Эдисон (</w:t>
      </w:r>
      <w:r w:rsidRPr="00507A31">
        <w:rPr>
          <w:bCs/>
          <w:iCs/>
          <w:color w:val="000000" w:themeColor="text1"/>
          <w:sz w:val="16"/>
          <w:szCs w:val="16"/>
        </w:rPr>
        <w:t>Михаил Лапиров-Скобло «Эдисон»):</w:t>
      </w:r>
    </w:p>
    <w:p w14:paraId="70C26BB6" w14:textId="77777777" w:rsidR="00B07F68" w:rsidRPr="00507A31" w:rsidRDefault="00B07F68" w:rsidP="00507A31">
      <w:pPr>
        <w:shd w:val="clear" w:color="auto" w:fill="FFFFFF"/>
        <w:jc w:val="both"/>
        <w:rPr>
          <w:color w:val="000000" w:themeColor="text1"/>
          <w:sz w:val="16"/>
          <w:szCs w:val="16"/>
        </w:rPr>
      </w:pPr>
      <w:r w:rsidRPr="00507A31">
        <w:rPr>
          <w:color w:val="000000" w:themeColor="text1"/>
          <w:sz w:val="16"/>
          <w:szCs w:val="16"/>
        </w:rPr>
        <w:t xml:space="preserve">18 июня 1930 года </w:t>
      </w:r>
      <w:r w:rsidRPr="00507A31">
        <w:rPr>
          <w:bCs/>
          <w:color w:val="000000" w:themeColor="text1"/>
          <w:sz w:val="16"/>
          <w:szCs w:val="16"/>
        </w:rPr>
        <w:t>состоялось объединенное заседание Второго мирового энергетического конгресса, происходившего в Берлине, и Американской национальной электрической осветительной ассоциации, заседавшей в Сан-Франциско (США). Это объединенное заседание было осуществлено путем телефона, по радио, проводам и кабелю. На этом объединенном заседании выступили в качестве ораторов президент Светотехнической ассоциации Слоэн, который в то время находился в Сан-Франциско; за ним — президент Второй мировой энергетической конференции Карл Кетген, говоривший с заседания конгресса во Дворце спорта в Берлине, После Кетгена выступил лорд Дерби, в то время находившийся примерно в 60 километрах от Лондона. Ему отвечал президент Мировой энергетической конференции Оскар Миллер. Затем в порядке дальнейшей последовательности выступили — Маркони, находившийся в то время в Лондоне, Оуэн Юнг, говоривший из Сан-Франциско, и закончилась программа выступлением Томаса Эдисона, который говорил из библиотеки своей лаборатории в Вест-Орандже. Это заседание транслировалось по тысячам городов и селений Соединенных Штатов Америки, Европы, Великобританских островов, Японии, Филиппин, Южной Америки, Австралии и т. д. Как свидетельствуют полученные сообщения и поздравления, это историческое заседание было одновременно слышно во всем мире. Как участник Энергетической конференции, я слышал эту речь Эдисона, который сказал: «Я радуюсь чудесным успехам, которые имеют место в области электросвязи. Вы и я в настоящее время разделены огромным пространством в тысячи миль; однако мы победили время и пространство, и наш обмен мыслей, наша речь слышится одновременно всеми. Я пользуюсь, поэтому приятной возможностью приветствовать вас и каждому из вас послать дружеский и сердечный привет. Собрания, в которых вы сейчас находитесь, имеют огромное значение для мира, который все больше стремится к дальнейшему облегчению условий жизни и большим удобствам для человека, который может дать улучшение методов получения и распределения электричества для света, тепла и силы. Ваши проблемы многочисленны, однако я не сомневаюсь, что все они успешно будут разрешены» (17325).</w:t>
      </w:r>
    </w:p>
    <w:p w14:paraId="6DAB1176" w14:textId="77777777" w:rsidR="00B07F68" w:rsidRPr="00507A31" w:rsidRDefault="00B07F68" w:rsidP="00507A31">
      <w:pPr>
        <w:jc w:val="both"/>
        <w:rPr>
          <w:color w:val="000000" w:themeColor="text1"/>
          <w:sz w:val="16"/>
          <w:szCs w:val="16"/>
        </w:rPr>
      </w:pPr>
    </w:p>
    <w:p w14:paraId="56C9CEE2" w14:textId="77777777" w:rsidR="00537E5F" w:rsidRPr="00507A31" w:rsidRDefault="00537E5F" w:rsidP="00507A31">
      <w:pPr>
        <w:autoSpaceDE w:val="0"/>
        <w:autoSpaceDN w:val="0"/>
        <w:adjustRightInd w:val="0"/>
        <w:jc w:val="both"/>
        <w:rPr>
          <w:iCs/>
          <w:color w:val="000000" w:themeColor="text1"/>
          <w:sz w:val="16"/>
          <w:szCs w:val="16"/>
        </w:rPr>
      </w:pPr>
      <w:r w:rsidRPr="00507A31">
        <w:rPr>
          <w:iCs/>
          <w:color w:val="000000" w:themeColor="text1"/>
          <w:sz w:val="16"/>
          <w:szCs w:val="16"/>
        </w:rPr>
        <w:t>Армия</w:t>
      </w:r>
    </w:p>
    <w:p w14:paraId="1712870D" w14:textId="77777777" w:rsidR="00537E5F" w:rsidRPr="00507A31" w:rsidRDefault="00537E5F" w:rsidP="00507A31">
      <w:pPr>
        <w:autoSpaceDE w:val="0"/>
        <w:autoSpaceDN w:val="0"/>
        <w:adjustRightInd w:val="0"/>
        <w:jc w:val="both"/>
        <w:rPr>
          <w:color w:val="000000" w:themeColor="text1"/>
          <w:sz w:val="16"/>
          <w:szCs w:val="16"/>
        </w:rPr>
      </w:pPr>
    </w:p>
    <w:p w14:paraId="3CD3B4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июня 1930 Тухачавский писал письмо И.В.С., в котором объяснял, что его неправильно поняли. Потом писал и в декабое. Показал, что в отличии от Шапошникова, который писал о 98000 орудяиях считал достаточным 20000 и обосновывал это. Это определялось возможностями выпуска снарядов - 180 млн. (9089,130).</w:t>
      </w:r>
    </w:p>
    <w:p w14:paraId="20B1DE28" w14:textId="77777777" w:rsidR="00537E5F" w:rsidRPr="00507A31" w:rsidRDefault="00537E5F" w:rsidP="00507A31">
      <w:pPr>
        <w:autoSpaceDE w:val="0"/>
        <w:autoSpaceDN w:val="0"/>
        <w:adjustRightInd w:val="0"/>
        <w:jc w:val="both"/>
        <w:rPr>
          <w:color w:val="000000" w:themeColor="text1"/>
          <w:sz w:val="16"/>
          <w:szCs w:val="16"/>
        </w:rPr>
      </w:pPr>
    </w:p>
    <w:p w14:paraId="62A476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июня 1930 г. М.Н.Тухачевский, назначенный в 1931 г. руководителем Управления вооружений Красной Армии, планировал к концу 1932 г. довести количество стоящих на вооружении в РККА танков до 40 тыс. штук. В своем письме Сталину, писал: «По моим расчетам, для организации нового типа глубокого сражения необходимо по мобилизации развернуть 8-12 тысяч танков…. Необходимо иметь в виду, что в танковом вопросе у нас до сего времени подходят очень консервативно к конструкции танка, требуя, чтобы все танки были специально военного образца... Танки, идущие обычно во 2-м и 3-м эшелонах, могут быть несколько меньшей быстроходности и большего габарита... А это значит, что такой танк может являться бронированным трактором… Военное производство может в основном базироваться на гражданской промышленности... Я исхожу из стремления минимальных затрат в мирное время, путем изыскания способов приспособления мирной продукции и органов хозяйственно-культурного строительства для целей войны» (11811).</w:t>
      </w:r>
    </w:p>
    <w:p w14:paraId="5A68C181" w14:textId="77777777" w:rsidR="00537E5F" w:rsidRPr="00507A31" w:rsidRDefault="00537E5F" w:rsidP="00507A31">
      <w:pPr>
        <w:autoSpaceDE w:val="0"/>
        <w:autoSpaceDN w:val="0"/>
        <w:adjustRightInd w:val="0"/>
        <w:jc w:val="both"/>
        <w:rPr>
          <w:color w:val="000000" w:themeColor="text1"/>
          <w:sz w:val="16"/>
          <w:szCs w:val="16"/>
        </w:rPr>
      </w:pPr>
    </w:p>
    <w:p w14:paraId="7FD44DB9" w14:textId="77777777" w:rsidR="00111E3C" w:rsidRPr="00507A31" w:rsidRDefault="00111E3C" w:rsidP="00507A31">
      <w:pPr>
        <w:pStyle w:val="rtejustify"/>
        <w:spacing w:before="0" w:after="0"/>
        <w:rPr>
          <w:color w:val="000000" w:themeColor="text1"/>
          <w:sz w:val="16"/>
          <w:szCs w:val="16"/>
        </w:rPr>
      </w:pPr>
      <w:r w:rsidRPr="00507A31">
        <w:rPr>
          <w:color w:val="000000" w:themeColor="text1"/>
          <w:sz w:val="16"/>
          <w:szCs w:val="16"/>
        </w:rPr>
        <w:t xml:space="preserve">19 июня 1930 г. М. Н. Тухачевский в письме, отправленном И. В. Сталину с пометкой «только лично», в частности писал: «...должен заявить, что моего в </w:t>
      </w:r>
      <w:r w:rsidRPr="00507A31">
        <w:rPr>
          <w:rStyle w:val="af0"/>
          <w:i w:val="0"/>
          <w:color w:val="000000" w:themeColor="text1"/>
          <w:sz w:val="16"/>
          <w:szCs w:val="16"/>
        </w:rPr>
        <w:t>докладе Штаба РККА</w:t>
      </w:r>
      <w:r w:rsidRPr="00507A31">
        <w:rPr>
          <w:color w:val="000000" w:themeColor="text1"/>
          <w:sz w:val="16"/>
          <w:szCs w:val="16"/>
        </w:rPr>
        <w:t xml:space="preserve"> нет абсолютно ничего. Мои предложения представлены даже не в карикатурном виде, а в прямом смысле в форме «записок сумасшедшего»». Далее подробно характеризуя цифры, приведенные в докладе Штаба РККА, он указывал: «численность отмобилизованной армии, по моему варианту, как его штаб называет в «245 стрелковых дивизий», определяется в 11 млн. 275 тыс. человек. Цифра столь же сумасшедшая, как и все вышеприведенные. Это легко доказать самыми обоснованными выкладками, но я предпочту опровергнуть их цифрами, представленными самим Штабом РККА в его докладе о пятилетке строительства вооруженных сил, утвержденном РВС СССР 13 апреля с. г. В этом докладе (стр. 14) численность германской армии в 1918 г. со всеми тылами показана в 4 129 892 человека. Как известно, в 1918 г. германская армия достигла 246 дивизий, т. е. примерно предложенной мною цифры». Рассматривая проблемы танкового производства, М. Н. Тухачевский утверждал: «в танковом вопросе у нас до сего времени подходят очень консервативно к конструкции танка, требуя чтобы все танки были специального военного образца», но «... танк может являться бронированным трактором, точно так же как мы имеем бронированные автомобили, поезда, дрезины, что позволит выставить бронетрактора в громадных массах». Основой для развития военной авиации он считал гражданскую авиацию. По поводу военного производства в целом М. Н. Тухачевский писал: «Штаб РККА указывает на необходимость постройки многих крупнейших военных заводов, что я считаю совершенно неправильным. Военное производство может в основном базироваться на гражданской промышленности, что я и доказываю цифровыми выкладками в записках о системе мобилизации промышленности и об артиллерийской программе. Из прилагаемых записок Вам будет ясно, что в вопросах подготовки обороны я исхожу из стремления минимальных затрат в мирное время, путем изыскания способов приспособления мирной продукции и органов хозяйственного культурного строительства для целей войны». В заключение Тухачевский отмечал: «Записка о реконструкции РККА является попыткой теоретически нащупать те новые пути, которые требуются жизнью, успехами осуществления генеральной линии партии», и подчеркивал: «все свои расчеты я базировал на цифровом изучении экономического развития СССР. Приведенные мною в записке ориентировочные цифры развития вооруженных сил, мне кажется, намечают верное направление к достижению новых пропорций родов войск, хотя я вполне понимаю и оговариваю неоднократно в записке, что мои расчеты имеют лишь ориентировочный характер и требуют детальной углубленной проработки». (РГАСПИ. Ф. 558. Оп. 11. Д. 446. Л. 6-11 об.) (12496).</w:t>
      </w:r>
    </w:p>
    <w:p w14:paraId="0EB6A693" w14:textId="77777777" w:rsidR="00111E3C" w:rsidRPr="00507A31" w:rsidRDefault="00111E3C" w:rsidP="00507A31">
      <w:pPr>
        <w:jc w:val="both"/>
        <w:rPr>
          <w:color w:val="000000" w:themeColor="text1"/>
          <w:sz w:val="16"/>
          <w:szCs w:val="16"/>
        </w:rPr>
      </w:pPr>
    </w:p>
    <w:p w14:paraId="10210C54" w14:textId="77777777" w:rsidR="00FB2A3E" w:rsidRPr="00507A31" w:rsidRDefault="00FB2A3E" w:rsidP="00507A31">
      <w:pPr>
        <w:shd w:val="clear" w:color="auto" w:fill="FFFFFF"/>
        <w:jc w:val="both"/>
        <w:rPr>
          <w:color w:val="000000" w:themeColor="text1"/>
          <w:sz w:val="16"/>
          <w:szCs w:val="16"/>
        </w:rPr>
      </w:pPr>
      <w:r w:rsidRPr="00507A31">
        <w:rPr>
          <w:color w:val="000000" w:themeColor="text1"/>
          <w:sz w:val="16"/>
          <w:szCs w:val="16"/>
        </w:rPr>
        <w:t xml:space="preserve">19 июня 1930 г. СССР: Тухачевский предлагает Сталину </w:t>
      </w:r>
      <w:r w:rsidRPr="00507A31">
        <w:rPr>
          <w:iCs/>
          <w:color w:val="000000" w:themeColor="text1"/>
          <w:sz w:val="16"/>
          <w:szCs w:val="16"/>
        </w:rPr>
        <w:t>план</w:t>
      </w:r>
      <w:r w:rsidRPr="00507A31">
        <w:rPr>
          <w:color w:val="000000" w:themeColor="text1"/>
          <w:sz w:val="16"/>
          <w:szCs w:val="16"/>
        </w:rPr>
        <w:t xml:space="preserve"> рентабельного перевооружения армии для Большой войны (</w:t>
      </w:r>
      <w:r w:rsidRPr="00507A31">
        <w:rPr>
          <w:bCs/>
          <w:iCs/>
          <w:color w:val="000000" w:themeColor="text1"/>
          <w:sz w:val="16"/>
          <w:szCs w:val="16"/>
        </w:rPr>
        <w:t>Э.Радзинский «Сталин», М., «Вагриус»):</w:t>
      </w:r>
    </w:p>
    <w:p w14:paraId="5EE2AB76" w14:textId="77777777" w:rsidR="00FB2A3E" w:rsidRPr="00507A31" w:rsidRDefault="00FB2A3E" w:rsidP="00507A31">
      <w:pPr>
        <w:shd w:val="clear" w:color="auto" w:fill="FFFFFF"/>
        <w:jc w:val="both"/>
        <w:rPr>
          <w:color w:val="000000" w:themeColor="text1"/>
          <w:sz w:val="16"/>
          <w:szCs w:val="16"/>
        </w:rPr>
      </w:pPr>
      <w:r w:rsidRPr="00507A31">
        <w:rPr>
          <w:bCs/>
          <w:color w:val="000000" w:themeColor="text1"/>
          <w:sz w:val="16"/>
          <w:szCs w:val="16"/>
        </w:rPr>
        <w:t xml:space="preserve">«Еще в 30-х годах (еще до Гитлера) лихорадочно перевооружалась Красная армия. </w:t>
      </w:r>
      <w:r w:rsidRPr="00507A31">
        <w:rPr>
          <w:color w:val="000000" w:themeColor="text1"/>
          <w:sz w:val="16"/>
          <w:szCs w:val="16"/>
        </w:rPr>
        <w:t>19 июня 1930 года</w:t>
      </w:r>
      <w:r w:rsidRPr="00507A31">
        <w:rPr>
          <w:bCs/>
          <w:color w:val="000000" w:themeColor="text1"/>
          <w:sz w:val="16"/>
          <w:szCs w:val="16"/>
        </w:rPr>
        <w:t xml:space="preserve"> Тухачевский писал Сталину: «Уважаемый т. Сталин! Я вполне понимаю, что войну надо не только выиграть, но надо еще при этом сохранить свою экономическую мощь… Работая в этом направлении, можно будет наиболее рентабельно решать задачи, выдвигаемые большой войной.» Далее в письме шел детально разработанный план перевооружения Красной армии для «войны моторов» — Большой войны. Здесь Тухачевский столкнулся с Ворошиловым. У них были разные взгляды на грядущую войну, но мы не будем вдаваться в суть их разногласий. Важно одно: и Ворошилов, и Тухачевский готовились к Большой войне.» (17325).</w:t>
      </w:r>
    </w:p>
    <w:p w14:paraId="38D8A981" w14:textId="77777777" w:rsidR="00FB2A3E" w:rsidRPr="00507A31" w:rsidRDefault="00FB2A3E" w:rsidP="00507A31">
      <w:pPr>
        <w:jc w:val="both"/>
        <w:rPr>
          <w:color w:val="000000" w:themeColor="text1"/>
          <w:sz w:val="16"/>
          <w:szCs w:val="16"/>
        </w:rPr>
      </w:pPr>
    </w:p>
    <w:p w14:paraId="5F26F049" w14:textId="77777777" w:rsidR="003C504C" w:rsidRPr="00507A31" w:rsidRDefault="003C504C" w:rsidP="00507A31">
      <w:pPr>
        <w:shd w:val="clear" w:color="auto" w:fill="FFFFFF"/>
        <w:jc w:val="both"/>
        <w:rPr>
          <w:color w:val="0070C0"/>
          <w:sz w:val="16"/>
          <w:szCs w:val="16"/>
        </w:rPr>
      </w:pPr>
      <w:r w:rsidRPr="00507A31">
        <w:rPr>
          <w:color w:val="0070C0"/>
          <w:sz w:val="16"/>
          <w:szCs w:val="16"/>
        </w:rPr>
        <w:t>19 июня 1930 в своем письме Сталину Тухачевский не стал оспаривать оценок, высказанных в письме Сталина 23 марта, он фактически присоединился к ним, ибо, заявил Тухачевский, "ПОД ШИРМОЙ МОИХ ПРЕДЛОЖЕНИЙ ВАМ БЫЛИI ПРЕДСТАВЛЕНЫ ЛОЖНЫЕ, НЕЛЕПЫЕ, СУМАСШЕДШИЕ ЦИФРЫ". Не подвергая сомнению установки Шапошникова, он сосредоточил критику на методах рассмотрения Штабом его предложений по численности армии и ее боевому оснащению. Способы исчисления заказов военведа Тухачевский не без оснований определял как "умопомрачительные", а их результат - как "недобросовестный вздор".</w:t>
      </w:r>
    </w:p>
    <w:p w14:paraId="73DD0F7C" w14:textId="77777777" w:rsidR="003C504C" w:rsidRPr="00507A31" w:rsidRDefault="003C504C" w:rsidP="00507A31">
      <w:pPr>
        <w:shd w:val="clear" w:color="auto" w:fill="FFFFFF"/>
        <w:jc w:val="both"/>
        <w:rPr>
          <w:color w:val="0070C0"/>
          <w:sz w:val="16"/>
          <w:szCs w:val="16"/>
        </w:rPr>
      </w:pPr>
      <w:r w:rsidRPr="00507A31">
        <w:rPr>
          <w:color w:val="0070C0"/>
          <w:sz w:val="16"/>
          <w:szCs w:val="16"/>
        </w:rPr>
        <w:t>Он напоминал Сталину об оговорках, сделанных в записке 11 января, признавая, впрочем, что "мог допустить в своих расчетах промахи и перегибы": "Когда говоришь в порядке постановки вопроса и к тому же не имея достоверных данных о вносимых изменениях в пятилетний план, пользуясь главным образом газетными данными - немудрено допустить ряд промахов"185. При этом Тухачевский не находил в "Заключении" Штаба ничего для себя поучительного и продолжал считать правильным свой подход к соотношению между военными и гражданскими потребностями.</w:t>
      </w:r>
    </w:p>
    <w:p w14:paraId="02A808A1" w14:textId="77777777" w:rsidR="003C504C" w:rsidRPr="00507A31" w:rsidRDefault="003C504C" w:rsidP="00507A31">
      <w:pPr>
        <w:shd w:val="clear" w:color="auto" w:fill="FFFFFF"/>
        <w:jc w:val="both"/>
        <w:rPr>
          <w:color w:val="0070C0"/>
          <w:sz w:val="16"/>
          <w:szCs w:val="16"/>
        </w:rPr>
      </w:pPr>
      <w:r w:rsidRPr="00507A31">
        <w:rPr>
          <w:color w:val="0070C0"/>
          <w:sz w:val="16"/>
          <w:szCs w:val="16"/>
        </w:rPr>
        <w:t>Ссылаясь на свои меморандумы конца 1929 - начала 1930 г., комвойсками ЛВО заверял адресата, что он всегда исходил "из стремления минимальных затрат в мирное время" и, в частности, не считал возможным производить "никаких серьезных увеличений армии мирного времени". "Расчеты Штаба на армию мирного времени от 1 до 2 миллионов человек", по утверждению Тухачевского, проистекали "из двойного преувеличения численности армии военного времени" (т.е. с 5800 до 11 250 тыс. человек). И своей филиппике автор письма обошел вопрос о коэффициенте мобилизационного развертывания. В бытность Тухачевского начальником Штаба РККА он равнялся 4,9; "Заключение" Штаба также в основном оперировало пятикратным увеличением числеиности армии при мобразвертывании. Более широкое применение территориально-милиционной системы, за что ратовал Тухачевкий, повышало этот коэффициент. Однако насыщение армии мотомеханизированными частями, современным вооружением в том числе выставление по мобилизации от 8 до 12 тыс. танков, должно было по меньшей мере вернуть его к исходному уровню (около 5 тыс.) (Примечательно, что начальник Управления войсковой мобилизации Штаба РККА Я. Я. Алкснис в 1928 г. высказывал особое мнение по поводу исполнимости мобплана № 8, считая, что коэффициент развертывания 4,9 (с 617 до 3000 тыс. человек) недопустимо высок Б. M. Шапошников оправдывал его указанием на средний коэффициент развертывания "наших западных соседей", составлявший 5,7 (Доклад Начальника Штаба РККА Шапошникова Народному Комиссару по Военным и Морским Делам Ворошилову, 20.08.1928 // РГВА. Ф. 40442. On. 1. Д 375. Л. 115)). Принятие проекта Тухачевского, таким образом, было равносильно действительно "серьезному" возрастанию армии мирного времени к концу пятилетки - с 640-700 тыс. человек, как определяло постановление Политбюро 1929 г., до примерно 1 100 тыс. человек (Возможно, по этой причине Тухачевский допустил, что ему "вполне возможно было бы предложить не сразу разворачивать 260дивизи й, а отнести часть разворачивания на первый год войны и пр."(письмо Тухачевского в Политбюро ЦК ВКП(б) Сталину, 19.06.1930. С. 11). Однако представляется неясным, почему Тухачевский вначале заявил Сталину-, что 260 дивизий он "предлагал развернуть по мобилизации", а затем признал это предложение преувеличенным. Формулировки соответствующей части записки Тухачевского от 11 января давали достаточные основания полагать, что в число 260 дивизий включены и формирования первого года войны, и тем самым избавляли от необходимости упоминать, что его точка зрения изменилась. Вероятно, Тухачевский счел, что ему следует продемонстрировать согласие с внушениями сталинского письма.).</w:t>
      </w:r>
    </w:p>
    <w:p w14:paraId="035FB047" w14:textId="77777777" w:rsidR="003C504C" w:rsidRPr="00507A31" w:rsidRDefault="003C504C" w:rsidP="00507A31">
      <w:pPr>
        <w:shd w:val="clear" w:color="auto" w:fill="FFFFFF"/>
        <w:jc w:val="both"/>
        <w:rPr>
          <w:color w:val="0070C0"/>
          <w:sz w:val="16"/>
          <w:szCs w:val="16"/>
        </w:rPr>
      </w:pPr>
      <w:r w:rsidRPr="00507A31">
        <w:rPr>
          <w:color w:val="0070C0"/>
          <w:sz w:val="16"/>
          <w:szCs w:val="16"/>
        </w:rPr>
        <w:t>В области экономической подготовки к войне автор записки (оказывал свою приверженность "системе увязки развертывания вооруженных сил с ростом соответствующих видов техники в стране". Под этой увязкой Тухачевский понимал не взаимодействие, а подчинение одной сферы другой, "изыскание способов приспособления мирной продукции и органов хозяйственно-культурного строительства для целей войны". Это была поистине декларация милитаризма, прикрытая бессодержательными завершающими фразами: "При этом я вполне учитываю, что войну надо не только выиграть, но надо еще при этом сохранить свою экономическую мощь и не подорвать достигнутых успехов в строительстве социализма. Работая в этом направлении, можно будет наиболее рентабельно решать задачи, выдвигаемые большой войной"(Было ли упоминание о рентабельности пустым звуком или отражало понимание Тухачевским войны как доходного предприятия? В любом случае литературное чутье актора не подвело: он создавал впечатление экономической выгодности расширения военных приготовлений)</w:t>
      </w:r>
    </w:p>
    <w:p w14:paraId="08FA5895" w14:textId="77777777" w:rsidR="003C504C" w:rsidRPr="00507A31" w:rsidRDefault="003C504C" w:rsidP="00507A31">
      <w:pPr>
        <w:shd w:val="clear" w:color="auto" w:fill="FFFFFF"/>
        <w:jc w:val="both"/>
        <w:rPr>
          <w:color w:val="0070C0"/>
          <w:sz w:val="16"/>
          <w:szCs w:val="16"/>
        </w:rPr>
      </w:pPr>
      <w:r w:rsidRPr="00507A31">
        <w:rPr>
          <w:color w:val="0070C0"/>
          <w:sz w:val="16"/>
          <w:szCs w:val="16"/>
        </w:rPr>
        <w:t>Это письмо Тухачевский, по всей вероятности, передал Сталину при состоявшемся между ними разговоре "во время XVI napтсьезда". Речь шла о докладе Штаба РККА, по словам Тухачевском" "беспринципно исказившего и подставившего ложные цифры и мою записку о реконструкции РККА". К письму Тухачевский приложил и дополнительные материалы, которые должны были нодтвердить его правоту. Генеральный секретарь обещал ознакомиться с ними и дать отвст (См.: Записка Тухачевского Сталину (копия Ворошилову), Ленинград, 30.12.1930// РГА СПИ. Ф. 558. On. 11. Д 446. Л. 66) (22725).</w:t>
      </w:r>
    </w:p>
    <w:p w14:paraId="07250CDD" w14:textId="46236315" w:rsidR="003C504C" w:rsidRPr="00507A31" w:rsidRDefault="003C504C" w:rsidP="00507A31">
      <w:pPr>
        <w:shd w:val="clear" w:color="auto" w:fill="FFFFFF"/>
        <w:jc w:val="both"/>
        <w:rPr>
          <w:color w:val="0070C0"/>
          <w:sz w:val="16"/>
          <w:szCs w:val="16"/>
        </w:rPr>
      </w:pPr>
    </w:p>
    <w:p w14:paraId="569CF14C" w14:textId="76D248B8" w:rsidR="00F2208D" w:rsidRPr="00507A31" w:rsidRDefault="00F2208D" w:rsidP="00507A31">
      <w:pPr>
        <w:shd w:val="clear" w:color="auto" w:fill="FFFFFF"/>
        <w:jc w:val="both"/>
        <w:rPr>
          <w:i/>
          <w:iCs/>
          <w:color w:val="0070C0"/>
          <w:sz w:val="16"/>
          <w:szCs w:val="16"/>
        </w:rPr>
      </w:pPr>
      <w:r w:rsidRPr="00507A31">
        <w:rPr>
          <w:i/>
          <w:iCs/>
          <w:color w:val="0070C0"/>
          <w:sz w:val="16"/>
          <w:szCs w:val="16"/>
        </w:rPr>
        <w:t>За рубежом:</w:t>
      </w:r>
    </w:p>
    <w:p w14:paraId="3B961EA3" w14:textId="77777777" w:rsidR="00F2208D" w:rsidRPr="00507A31" w:rsidRDefault="00F2208D" w:rsidP="00507A31">
      <w:pPr>
        <w:shd w:val="clear" w:color="auto" w:fill="FFFFFF"/>
        <w:jc w:val="both"/>
        <w:rPr>
          <w:i/>
          <w:iCs/>
          <w:color w:val="0070C0"/>
          <w:sz w:val="16"/>
          <w:szCs w:val="16"/>
        </w:rPr>
      </w:pPr>
    </w:p>
    <w:p w14:paraId="0B76A928" w14:textId="77777777" w:rsidR="00F2208D" w:rsidRPr="00507A31" w:rsidRDefault="00F2208D" w:rsidP="00507A31">
      <w:pPr>
        <w:jc w:val="both"/>
        <w:rPr>
          <w:color w:val="0070C0"/>
          <w:sz w:val="16"/>
          <w:szCs w:val="16"/>
        </w:rPr>
      </w:pPr>
      <w:r w:rsidRPr="00507A31">
        <w:rPr>
          <w:color w:val="0070C0"/>
          <w:sz w:val="16"/>
          <w:szCs w:val="16"/>
        </w:rPr>
        <w:t>19 июня 1930 - Цельнометаллический польский истребитель, PZL P-1 стал звездой международного конкурса для истребителей самолетов в Бухаресте, Румыния, выиграв 8 из 15 призов. Это триумф для блестящего дизайнера Зигмунда Пулавского (22456).</w:t>
      </w:r>
    </w:p>
    <w:p w14:paraId="624412BC" w14:textId="77777777" w:rsidR="00F2208D" w:rsidRPr="00507A31" w:rsidRDefault="00F2208D" w:rsidP="00507A31">
      <w:pPr>
        <w:jc w:val="both"/>
        <w:rPr>
          <w:color w:val="0070C0"/>
          <w:sz w:val="16"/>
          <w:szCs w:val="16"/>
        </w:rPr>
      </w:pPr>
    </w:p>
    <w:p w14:paraId="6AEB995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B65C85C" w14:textId="77777777" w:rsidR="00537E5F" w:rsidRPr="00507A31" w:rsidRDefault="00537E5F" w:rsidP="00507A31">
      <w:pPr>
        <w:autoSpaceDE w:val="0"/>
        <w:autoSpaceDN w:val="0"/>
        <w:adjustRightInd w:val="0"/>
        <w:jc w:val="both"/>
        <w:rPr>
          <w:iCs/>
          <w:color w:val="000000" w:themeColor="text1"/>
          <w:sz w:val="16"/>
          <w:szCs w:val="16"/>
        </w:rPr>
      </w:pPr>
    </w:p>
    <w:p w14:paraId="3AC46F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Справка о прохождении сухопутных самолетов пятилетнего плана опытного самолетостроения к 20 июня 1930 года</w:t>
      </w:r>
    </w:p>
    <w:p w14:paraId="1CE61D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 Сухопутные самолеты.</w:t>
      </w:r>
    </w:p>
    <w:p w14:paraId="42FDB3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И8 Кертис Конкверор 600 л. с.</w:t>
      </w:r>
    </w:p>
    <w:p w14:paraId="19CC36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сентября 1930 года.</w:t>
      </w:r>
    </w:p>
    <w:p w14:paraId="4A5C27F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Эскизный проект и макет утверждены НТК.</w:t>
      </w:r>
    </w:p>
    <w:p w14:paraId="4C769AAE"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Готовность к постройке 60-65%.</w:t>
      </w:r>
    </w:p>
    <w:p w14:paraId="7D18DE8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Выпуск на аэродром предположен к 1 сентября 1930 года.</w:t>
      </w:r>
    </w:p>
    <w:p w14:paraId="3E1DA8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ТБ3 4 Кертис Конкверор по 600 л. с.</w:t>
      </w:r>
    </w:p>
    <w:p w14:paraId="12CE61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июля 1930 года.</w:t>
      </w:r>
    </w:p>
    <w:p w14:paraId="128F6D4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Эскизный проект и макет утверждены НТК.</w:t>
      </w:r>
    </w:p>
    <w:p w14:paraId="2361299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Готовность к постройке 70%.</w:t>
      </w:r>
    </w:p>
    <w:p w14:paraId="61867BE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Выпуск на аэродром намечен к 1 августа 1930 года.</w:t>
      </w:r>
    </w:p>
    <w:p w14:paraId="7F4BF6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Примечание: Колеса и полуоси для шасси еще не получены. Полуоси 23 мая 1930 года отправлены из Америки. О колесах сообщений от фирмы нет.</w:t>
      </w:r>
    </w:p>
    <w:p w14:paraId="204804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ДИ3 под М-34 750 л.с.</w:t>
      </w:r>
    </w:p>
    <w:p w14:paraId="05F17B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февраля 1931 года.</w:t>
      </w:r>
    </w:p>
    <w:p w14:paraId="1C14CB5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Эскизный проект закончен.</w:t>
      </w:r>
    </w:p>
    <w:p w14:paraId="64CA68B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Проведены опыты и исследования по пристрелу брони.</w:t>
      </w:r>
    </w:p>
    <w:p w14:paraId="441FAAE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Произведены аэродинамические расчеты по 9 вариантам: под М-34 – 4 варианта, под БМВIX – 2 варианта, под БМВVI – 1 вариант, под АССО – 2 варианта).</w:t>
      </w:r>
    </w:p>
    <w:p w14:paraId="0DEBBD1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Ожидается совещание (намечено на 25 июня 1930 года) по просмотру полученных результатов расчетов и окончательного установления нагрузок и выбора вариантов.</w:t>
      </w:r>
    </w:p>
    <w:p w14:paraId="27C170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ТБ-4 М-35 по 1250 л.с.</w:t>
      </w:r>
    </w:p>
    <w:p w14:paraId="42FFD6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мая 1931 года.</w:t>
      </w:r>
    </w:p>
    <w:p w14:paraId="6BC69A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Эскизный проект в стадии проработки.</w:t>
      </w:r>
    </w:p>
    <w:p w14:paraId="3D349E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МИ-3 2М-33 или М-34 (ЦАГИ).</w:t>
      </w:r>
    </w:p>
    <w:p w14:paraId="26A101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июля 1932 года.</w:t>
      </w:r>
    </w:p>
    <w:p w14:paraId="09BE2B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под мотор М-33 или М-34 (ГВАО).</w:t>
      </w:r>
    </w:p>
    <w:p w14:paraId="5F8632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октября 1931 года.</w:t>
      </w:r>
    </w:p>
    <w:p w14:paraId="3A3F68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И-11 под мотор № 41 (ЦАГИ).</w:t>
      </w:r>
    </w:p>
    <w:p w14:paraId="2D8778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ноября 1932 года.</w:t>
      </w:r>
    </w:p>
    <w:p w14:paraId="412DDA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 к МИ-3, ДИ-4, И-11: ведется подбор материалов для разработки проектов. К проектированию не приступлено ввиду удаленных сроков предъявления на гос. испытания (6998, 39).</w:t>
      </w:r>
    </w:p>
    <w:p w14:paraId="1714A29D" w14:textId="77777777" w:rsidR="00537E5F" w:rsidRPr="00507A31" w:rsidRDefault="00537E5F" w:rsidP="00507A31">
      <w:pPr>
        <w:autoSpaceDE w:val="0"/>
        <w:autoSpaceDN w:val="0"/>
        <w:adjustRightInd w:val="0"/>
        <w:jc w:val="both"/>
        <w:rPr>
          <w:color w:val="000000" w:themeColor="text1"/>
          <w:sz w:val="16"/>
          <w:szCs w:val="16"/>
        </w:rPr>
      </w:pPr>
    </w:p>
    <w:p w14:paraId="0DAF16FD" w14:textId="77777777" w:rsidR="009176C7" w:rsidRPr="00507A31" w:rsidRDefault="009176C7" w:rsidP="00507A31">
      <w:pPr>
        <w:pStyle w:val="rtejustify"/>
        <w:shd w:val="clear" w:color="auto" w:fill="FFFFFF"/>
        <w:spacing w:before="0" w:after="0"/>
        <w:rPr>
          <w:color w:val="000000" w:themeColor="text1"/>
          <w:sz w:val="16"/>
          <w:szCs w:val="16"/>
        </w:rPr>
      </w:pPr>
      <w:r w:rsidRPr="00507A31">
        <w:rPr>
          <w:color w:val="000000" w:themeColor="text1"/>
          <w:sz w:val="16"/>
          <w:szCs w:val="16"/>
        </w:rPr>
        <w:t>20 июня 1930 года состоялось заседание Президиума НТК УВВС РККА, на котором постановили:</w:t>
      </w:r>
    </w:p>
    <w:p w14:paraId="111192FF" w14:textId="77777777" w:rsidR="009176C7" w:rsidRPr="00507A31" w:rsidRDefault="009176C7"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«1. Постановление I секции НТК от 21.05 №14/с по эскизному проекту самолета И-8 утвердить, отметить недопустимо позднее представление материалов ЭП.</w:t>
      </w:r>
    </w:p>
    <w:p w14:paraId="6A41051E" w14:textId="77777777" w:rsidR="009176C7" w:rsidRPr="00507A31" w:rsidRDefault="009176C7"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2. Констатировать, что по сообщению представителей ЦАГИ самолет И-8 имеет к настоящему моменту 60-65% готовности постройкой.</w:t>
      </w:r>
    </w:p>
    <w:p w14:paraId="5B6E50D9" w14:textId="77777777" w:rsidR="009176C7" w:rsidRPr="00507A31" w:rsidRDefault="009176C7"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3. Предложить ЦАГИ достроить самолет под имеющийся невысотный мотор Конкверор 600 л.с., предусмотрев возможность установки:</w:t>
      </w:r>
    </w:p>
    <w:p w14:paraId="322085D3" w14:textId="77777777" w:rsidR="009176C7" w:rsidRPr="00507A31" w:rsidRDefault="009176C7"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а) того же мотора, но с повышенной степенью сжатия Е=7,8</w:t>
      </w:r>
    </w:p>
    <w:p w14:paraId="24BAC632" w14:textId="77777777" w:rsidR="009176C7" w:rsidRPr="00507A31" w:rsidRDefault="009176C7"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б) мотора с наддувом</w:t>
      </w:r>
    </w:p>
    <w:p w14:paraId="2C523E23" w14:textId="77777777" w:rsidR="009176C7" w:rsidRPr="00507A31" w:rsidRDefault="009176C7"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 охлаждение мотора этилен-гликолем</w:t>
      </w:r>
    </w:p>
    <w:p w14:paraId="6A26939D" w14:textId="77777777" w:rsidR="009176C7" w:rsidRPr="00507A31" w:rsidRDefault="009176C7"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4. Считать, что полетный вес самолета И-8 в 1375 кг преувеличен для данного типа самолетов. Предложить ЦАГИ принять все возможные меры к уменьшению веса конструкции, без ущерба прочности самолета.</w:t>
      </w:r>
    </w:p>
    <w:p w14:paraId="64F9D223" w14:textId="77777777" w:rsidR="009176C7" w:rsidRPr="00507A31" w:rsidRDefault="009176C7" w:rsidP="00507A31">
      <w:pPr>
        <w:pStyle w:val="rtejustify"/>
        <w:shd w:val="clear" w:color="auto" w:fill="FFFFFF"/>
        <w:spacing w:before="0" w:after="0"/>
        <w:rPr>
          <w:rStyle w:val="af0"/>
          <w:i w:val="0"/>
          <w:color w:val="000000" w:themeColor="text1"/>
          <w:sz w:val="16"/>
          <w:szCs w:val="16"/>
          <w:bdr w:val="none" w:sz="0" w:space="0" w:color="auto" w:frame="1"/>
        </w:rPr>
      </w:pPr>
      <w:r w:rsidRPr="00507A31">
        <w:rPr>
          <w:rStyle w:val="af0"/>
          <w:i w:val="0"/>
          <w:color w:val="000000" w:themeColor="text1"/>
          <w:sz w:val="16"/>
          <w:szCs w:val="16"/>
          <w:bdr w:val="none" w:sz="0" w:space="0" w:color="auto" w:frame="1"/>
        </w:rPr>
        <w:t>5. Макетной комиссии провести проверку оборудования самолета и уточнить вопрос обзора» (19171).</w:t>
      </w:r>
    </w:p>
    <w:p w14:paraId="5EFF7C54" w14:textId="77777777" w:rsidR="009176C7" w:rsidRPr="00507A31" w:rsidRDefault="009176C7" w:rsidP="00507A31">
      <w:pPr>
        <w:pStyle w:val="rtejustify"/>
        <w:shd w:val="clear" w:color="auto" w:fill="FFFFFF"/>
        <w:spacing w:before="0" w:after="0"/>
        <w:rPr>
          <w:color w:val="000000" w:themeColor="text1"/>
          <w:sz w:val="16"/>
          <w:szCs w:val="16"/>
        </w:rPr>
      </w:pPr>
    </w:p>
    <w:p w14:paraId="0A5186C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4AC0EC0" w14:textId="77777777" w:rsidR="00537E5F" w:rsidRPr="00507A31" w:rsidRDefault="00537E5F" w:rsidP="00507A31">
      <w:pPr>
        <w:autoSpaceDE w:val="0"/>
        <w:autoSpaceDN w:val="0"/>
        <w:adjustRightInd w:val="0"/>
        <w:jc w:val="both"/>
        <w:rPr>
          <w:iCs/>
          <w:color w:val="000000" w:themeColor="text1"/>
          <w:sz w:val="16"/>
          <w:szCs w:val="16"/>
        </w:rPr>
      </w:pPr>
    </w:p>
    <w:p w14:paraId="07BEDE21"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22 июня 1930 г. </w:t>
      </w:r>
    </w:p>
    <w:p w14:paraId="405C4D90"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Протокол </w:t>
      </w:r>
    </w:p>
    <w:p w14:paraId="30186248"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открытого общего собрания инж-тех работников </w:t>
      </w:r>
    </w:p>
    <w:p w14:paraId="327F3D3F"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завода №22 имени Десятилетия Октября </w:t>
      </w:r>
    </w:p>
    <w:p w14:paraId="565D729A"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от 22 июня 1930 г. </w:t>
      </w:r>
    </w:p>
    <w:p w14:paraId="5A025A2E"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Председатель: тов. Квашнин </w:t>
      </w:r>
    </w:p>
    <w:p w14:paraId="274A878E"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Секретарь: тов. Константинов </w:t>
      </w:r>
    </w:p>
    <w:p w14:paraId="713F1B30"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Повестка дня: </w:t>
      </w:r>
    </w:p>
    <w:p w14:paraId="1D030104"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1. О переходе на работу в ГВАО Тех-Директора </w:t>
      </w:r>
    </w:p>
    <w:p w14:paraId="174AC49B"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Тов. Дайбог С.Е. </w:t>
      </w:r>
    </w:p>
    <w:p w14:paraId="2A653318"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Слушали: Обзор развития металлического самолетостроения в СССР. Доклад тов. Дайбог. </w:t>
      </w:r>
    </w:p>
    <w:p w14:paraId="0765EFD2"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Высказались следующие тов.: </w:t>
      </w:r>
    </w:p>
    <w:p w14:paraId="6CAE056E"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Фельдман, Шпак, Окороков, Прососов, Александов </w:t>
      </w:r>
      <w:r w:rsidRPr="00507A31">
        <w:rPr>
          <w:color w:val="000000" w:themeColor="text1"/>
          <w:sz w:val="16"/>
          <w:szCs w:val="16"/>
        </w:rPr>
        <w:t>[Опечатка? Александров? - Автор]</w:t>
      </w:r>
      <w:r w:rsidRPr="00507A31">
        <w:rPr>
          <w:bCs/>
          <w:color w:val="000000" w:themeColor="text1"/>
          <w:sz w:val="16"/>
          <w:szCs w:val="16"/>
        </w:rPr>
        <w:t xml:space="preserve">, Егутко, Константинов, Серов, Морозов, Куренков, Квашнин, Цахе, Резинкин и Семенов. </w:t>
      </w:r>
    </w:p>
    <w:p w14:paraId="6B134B5D"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В своих выступлениях товарищи отмечали, что тов. Дайбог С.Е., работая на заводе, вкладывал в поручаемое ему ответственное дело всю свою энергию и настойчивость, на деле проводил высокие темпы работы завода, работая с энтузиазмом, заряжая им окружающих его работников – отдавая производству полностью свой опыт и свои знания. За время работы тов. Дайбог Техническая часть завода окрепла и сделала значительные успехи по ряду основных технико-производственных работ на заводе. </w:t>
      </w:r>
    </w:p>
    <w:p w14:paraId="5E3F191B"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Тов. Дайбог являлся хорошим общественником, принимая живое участие в общественной работе, в частности по соц. соревнованию и по подготовке технических и рабочих кадров; чутко относился ко всем молодым специалистам и выдвиженцам из рабочих, помогая им в их работе, что должно служить примером всем членам инженерно-технического коллектива. </w:t>
      </w:r>
    </w:p>
    <w:p w14:paraId="35B3176C"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Собрание отмечает, что тов. Дайбог принимал деятельное участие в деле создания советского самолетостроения, организации и развития завода, а также отмечает его как хорошего инженера-общественника и товарища, желая ему в дальнейшей работе так же энергично, не ослабляя темпов, вести новую порученную работу, не порывая связи с заводом. С нашей стороны обещаем ему поддержку. </w:t>
      </w:r>
    </w:p>
    <w:p w14:paraId="32965251" w14:textId="77777777" w:rsidR="00DA1AA9" w:rsidRPr="00507A31" w:rsidRDefault="00DA1AA9" w:rsidP="00507A31">
      <w:pPr>
        <w:jc w:val="both"/>
        <w:rPr>
          <w:color w:val="000000" w:themeColor="text1"/>
          <w:sz w:val="16"/>
          <w:szCs w:val="16"/>
        </w:rPr>
      </w:pPr>
      <w:r w:rsidRPr="00507A31">
        <w:rPr>
          <w:bCs/>
          <w:color w:val="000000" w:themeColor="text1"/>
          <w:sz w:val="16"/>
          <w:szCs w:val="16"/>
        </w:rPr>
        <w:t xml:space="preserve">Председатель: п/п (Квашнин) </w:t>
      </w:r>
    </w:p>
    <w:p w14:paraId="4BE0BD39" w14:textId="77777777" w:rsidR="00DA1AA9" w:rsidRPr="00507A31" w:rsidRDefault="00DA1AA9" w:rsidP="00507A31">
      <w:pPr>
        <w:jc w:val="both"/>
        <w:rPr>
          <w:bCs/>
          <w:color w:val="000000" w:themeColor="text1"/>
          <w:sz w:val="16"/>
          <w:szCs w:val="16"/>
        </w:rPr>
      </w:pPr>
      <w:r w:rsidRPr="00507A31">
        <w:rPr>
          <w:bCs/>
          <w:color w:val="000000" w:themeColor="text1"/>
          <w:sz w:val="16"/>
          <w:szCs w:val="16"/>
        </w:rPr>
        <w:t>Секретарь: п/п (Константинов (12724)</w:t>
      </w:r>
    </w:p>
    <w:p w14:paraId="07C81EB5" w14:textId="77777777" w:rsidR="00DA1AA9" w:rsidRPr="00507A31" w:rsidRDefault="00DA1AA9" w:rsidP="00507A31">
      <w:pPr>
        <w:jc w:val="both"/>
        <w:rPr>
          <w:color w:val="000000" w:themeColor="text1"/>
          <w:sz w:val="16"/>
          <w:szCs w:val="16"/>
        </w:rPr>
      </w:pPr>
    </w:p>
    <w:p w14:paraId="234EC7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июня 1930 у И.П.Уборевича как зам. пред. РВС состоялось совещание о состоянии аэродромов, посадочных площадок и охраны аэродромных сооружений войсковой и пожарной (1027,44).</w:t>
      </w:r>
    </w:p>
    <w:p w14:paraId="205844C3" w14:textId="77777777" w:rsidR="00537E5F" w:rsidRPr="00507A31" w:rsidRDefault="00537E5F" w:rsidP="00507A31">
      <w:pPr>
        <w:autoSpaceDE w:val="0"/>
        <w:autoSpaceDN w:val="0"/>
        <w:adjustRightInd w:val="0"/>
        <w:jc w:val="both"/>
        <w:rPr>
          <w:color w:val="000000" w:themeColor="text1"/>
          <w:sz w:val="16"/>
          <w:szCs w:val="16"/>
        </w:rPr>
      </w:pPr>
    </w:p>
    <w:p w14:paraId="75529DC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D7B597E" w14:textId="77777777" w:rsidR="00537E5F" w:rsidRPr="00507A31" w:rsidRDefault="00537E5F" w:rsidP="00507A31">
      <w:pPr>
        <w:autoSpaceDE w:val="0"/>
        <w:autoSpaceDN w:val="0"/>
        <w:adjustRightInd w:val="0"/>
        <w:jc w:val="both"/>
        <w:rPr>
          <w:iCs/>
          <w:color w:val="000000" w:themeColor="text1"/>
          <w:sz w:val="16"/>
          <w:szCs w:val="16"/>
        </w:rPr>
      </w:pPr>
    </w:p>
    <w:p w14:paraId="002529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 июня 1930 г. было СООБЩЕНИЕ УММ ПРЕДСЕДАТЕЛЮ ОАТ О ПРОИЗВОДСТВЕ РОЛИКОВ НА ММЗ</w:t>
      </w:r>
    </w:p>
    <w:p w14:paraId="2CA9FE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10900D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докладу нашего военного представителя на Мотовилихинском заводе — производство роли</w:t>
      </w:r>
      <w:r w:rsidRPr="00507A31">
        <w:rPr>
          <w:color w:val="000000" w:themeColor="text1"/>
          <w:sz w:val="16"/>
          <w:szCs w:val="16"/>
        </w:rPr>
        <w:softHyphen/>
        <w:t>ков и роликовых подшипников для танков ведется крайне скверно. Брак доходит до 100 %.</w:t>
      </w:r>
    </w:p>
    <w:p w14:paraId="015571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Ввиду угрозы срыва производства танков, Управление по механизации и моторизации РККА просит принять срочные меры.</w:t>
      </w:r>
    </w:p>
    <w:p w14:paraId="45EE32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2 управления УММ РККА</w:t>
      </w:r>
    </w:p>
    <w:p w14:paraId="5E0B9E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Бокис</w:t>
      </w:r>
    </w:p>
    <w:p w14:paraId="7EBADF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производственно-технического отдела</w:t>
      </w:r>
    </w:p>
    <w:p w14:paraId="621E9F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Биге</w:t>
      </w:r>
    </w:p>
    <w:p w14:paraId="4BD141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253. Л. 197. Подлинник (11210).</w:t>
      </w:r>
    </w:p>
    <w:p w14:paraId="35C057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EE9353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3AA9063" w14:textId="77777777" w:rsidR="00537E5F" w:rsidRPr="00507A31" w:rsidRDefault="00537E5F" w:rsidP="00507A31">
      <w:pPr>
        <w:autoSpaceDE w:val="0"/>
        <w:autoSpaceDN w:val="0"/>
        <w:adjustRightInd w:val="0"/>
        <w:jc w:val="both"/>
        <w:rPr>
          <w:iCs/>
          <w:color w:val="000000" w:themeColor="text1"/>
          <w:sz w:val="16"/>
          <w:szCs w:val="16"/>
        </w:rPr>
      </w:pPr>
    </w:p>
    <w:p w14:paraId="0171FB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июня 1930 у Ч.Линдберга родился сын (2100).</w:t>
      </w:r>
    </w:p>
    <w:p w14:paraId="0CD9DA3C" w14:textId="77777777" w:rsidR="00537E5F" w:rsidRPr="00507A31" w:rsidRDefault="00537E5F" w:rsidP="00507A31">
      <w:pPr>
        <w:autoSpaceDE w:val="0"/>
        <w:autoSpaceDN w:val="0"/>
        <w:adjustRightInd w:val="0"/>
        <w:jc w:val="both"/>
        <w:rPr>
          <w:color w:val="000000" w:themeColor="text1"/>
          <w:sz w:val="16"/>
          <w:szCs w:val="16"/>
        </w:rPr>
      </w:pPr>
    </w:p>
    <w:p w14:paraId="5654BF20" w14:textId="77777777" w:rsidR="00F2208D" w:rsidRPr="00507A31" w:rsidRDefault="00F2208D" w:rsidP="00507A31">
      <w:pPr>
        <w:jc w:val="both"/>
        <w:rPr>
          <w:color w:val="0070C0"/>
          <w:sz w:val="16"/>
          <w:szCs w:val="16"/>
        </w:rPr>
      </w:pPr>
      <w:r w:rsidRPr="00507A31">
        <w:rPr>
          <w:color w:val="0070C0"/>
          <w:sz w:val="16"/>
          <w:szCs w:val="16"/>
          <w:lang w:bidi="ru-RU"/>
        </w:rPr>
        <w:t>К 23 июня 1930 эскизный проект ТШ-1 был за</w:t>
      </w:r>
      <w:r w:rsidRPr="00507A31">
        <w:rPr>
          <w:color w:val="0070C0"/>
          <w:sz w:val="16"/>
          <w:szCs w:val="16"/>
          <w:lang w:bidi="ru-RU"/>
        </w:rPr>
        <w:softHyphen/>
        <w:t>кончен.</w:t>
      </w:r>
    </w:p>
    <w:p w14:paraId="0C350B77" w14:textId="77777777" w:rsidR="00F2208D" w:rsidRPr="00507A31" w:rsidRDefault="00F2208D" w:rsidP="00507A31">
      <w:pPr>
        <w:jc w:val="both"/>
        <w:rPr>
          <w:color w:val="0070C0"/>
          <w:sz w:val="16"/>
          <w:szCs w:val="16"/>
        </w:rPr>
      </w:pPr>
      <w:r w:rsidRPr="00507A31">
        <w:rPr>
          <w:color w:val="0070C0"/>
          <w:sz w:val="16"/>
          <w:szCs w:val="16"/>
          <w:lang w:bidi="ru-RU"/>
        </w:rPr>
        <w:t>Броней были защищены рабочие места летчика, штурмана-бомбардира, стрелка-радиста, а также моторы и бензо</w:t>
      </w:r>
      <w:r w:rsidRPr="00507A31">
        <w:rPr>
          <w:color w:val="0070C0"/>
          <w:sz w:val="16"/>
          <w:szCs w:val="16"/>
          <w:lang w:bidi="ru-RU"/>
        </w:rPr>
        <w:softHyphen/>
        <w:t>баки. Общий вес брони составлял около 1000 кг, из них 360 кг входили в силовую схему конструкции самолета. Броневые листы пола имели толщину 4,5 мм, боко</w:t>
      </w:r>
      <w:r w:rsidRPr="00507A31">
        <w:rPr>
          <w:color w:val="0070C0"/>
          <w:sz w:val="16"/>
          <w:szCs w:val="16"/>
          <w:lang w:bidi="ru-RU"/>
        </w:rPr>
        <w:softHyphen/>
        <w:t>вая броня - 3,5 мм, броня со стороны зад</w:t>
      </w:r>
      <w:r w:rsidRPr="00507A31">
        <w:rPr>
          <w:color w:val="0070C0"/>
          <w:sz w:val="16"/>
          <w:szCs w:val="16"/>
          <w:lang w:bidi="ru-RU"/>
        </w:rPr>
        <w:softHyphen/>
        <w:t>ней полусферы - 8 мм.</w:t>
      </w:r>
    </w:p>
    <w:p w14:paraId="6A0589BA" w14:textId="77777777" w:rsidR="00F2208D" w:rsidRPr="00507A31" w:rsidRDefault="00F2208D" w:rsidP="00507A31">
      <w:pPr>
        <w:jc w:val="both"/>
        <w:rPr>
          <w:color w:val="0070C0"/>
          <w:sz w:val="16"/>
          <w:szCs w:val="16"/>
        </w:rPr>
      </w:pPr>
      <w:r w:rsidRPr="00507A31">
        <w:rPr>
          <w:color w:val="0070C0"/>
          <w:sz w:val="16"/>
          <w:szCs w:val="16"/>
          <w:lang w:bidi="ru-RU"/>
        </w:rPr>
        <w:lastRenderedPageBreak/>
        <w:t>Толщины броневых листов выбра</w:t>
      </w:r>
      <w:r w:rsidRPr="00507A31">
        <w:rPr>
          <w:color w:val="0070C0"/>
          <w:sz w:val="16"/>
          <w:szCs w:val="16"/>
          <w:lang w:bidi="ru-RU"/>
        </w:rPr>
        <w:softHyphen/>
        <w:t>лись на основе информации, получен</w:t>
      </w:r>
      <w:r w:rsidRPr="00507A31">
        <w:rPr>
          <w:color w:val="0070C0"/>
          <w:sz w:val="16"/>
          <w:szCs w:val="16"/>
          <w:lang w:bidi="ru-RU"/>
        </w:rPr>
        <w:softHyphen/>
        <w:t>ной на Ижорском заводе. По воспомина</w:t>
      </w:r>
      <w:r w:rsidRPr="00507A31">
        <w:rPr>
          <w:color w:val="0070C0"/>
          <w:sz w:val="16"/>
          <w:szCs w:val="16"/>
          <w:lang w:bidi="ru-RU"/>
        </w:rPr>
        <w:softHyphen/>
        <w:t>ниям М.Б. Саукке, для выяснения характе</w:t>
      </w:r>
      <w:r w:rsidRPr="00507A31">
        <w:rPr>
          <w:color w:val="0070C0"/>
          <w:sz w:val="16"/>
          <w:szCs w:val="16"/>
          <w:lang w:bidi="ru-RU"/>
        </w:rPr>
        <w:softHyphen/>
        <w:t>ристик брони и определения минимально возможных толщин броневых листов на Ижорский завод выезжал инженер ЦАГИ И.Л. Головин. Там Головин ознакомился с технологией изготовления брони и уча</w:t>
      </w:r>
      <w:r w:rsidRPr="00507A31">
        <w:rPr>
          <w:color w:val="0070C0"/>
          <w:sz w:val="16"/>
          <w:szCs w:val="16"/>
          <w:lang w:bidi="ru-RU"/>
        </w:rPr>
        <w:softHyphen/>
        <w:t>ствовал при проведении контрольных стрельб по бронеплитам разной толщины.</w:t>
      </w:r>
    </w:p>
    <w:p w14:paraId="718198EE" w14:textId="77777777" w:rsidR="00F2208D" w:rsidRPr="00507A31" w:rsidRDefault="00F2208D" w:rsidP="00507A31">
      <w:pPr>
        <w:jc w:val="both"/>
        <w:rPr>
          <w:color w:val="0070C0"/>
          <w:sz w:val="16"/>
          <w:szCs w:val="16"/>
        </w:rPr>
      </w:pPr>
      <w:r w:rsidRPr="00507A31">
        <w:rPr>
          <w:color w:val="0070C0"/>
          <w:sz w:val="16"/>
          <w:szCs w:val="16"/>
          <w:lang w:bidi="ru-RU"/>
        </w:rPr>
        <w:t>Поскольку Ижорский завод брался за прокат брони толщиной не менее 4,5 мм, то по заданию ЦАГИ на московском за</w:t>
      </w:r>
      <w:r w:rsidRPr="00507A31">
        <w:rPr>
          <w:color w:val="0070C0"/>
          <w:sz w:val="16"/>
          <w:szCs w:val="16"/>
          <w:lang w:bidi="ru-RU"/>
        </w:rPr>
        <w:softHyphen/>
        <w:t>воде «Серп и Молот» была прокатана броневая сталь толщиной от 8 мм до 2 мм только при одном нагреве.</w:t>
      </w:r>
    </w:p>
    <w:p w14:paraId="13D4E60A" w14:textId="77777777" w:rsidR="00F2208D" w:rsidRPr="00507A31" w:rsidRDefault="00F2208D" w:rsidP="00507A31">
      <w:pPr>
        <w:jc w:val="both"/>
        <w:rPr>
          <w:color w:val="0070C0"/>
          <w:sz w:val="16"/>
          <w:szCs w:val="16"/>
        </w:rPr>
      </w:pPr>
      <w:r w:rsidRPr="00507A31">
        <w:rPr>
          <w:color w:val="0070C0"/>
          <w:sz w:val="16"/>
          <w:szCs w:val="16"/>
          <w:lang w:bidi="ru-RU"/>
        </w:rPr>
        <w:t>В НИИ ВВС провели «опыты по ис</w:t>
      </w:r>
      <w:r w:rsidRPr="00507A31">
        <w:rPr>
          <w:color w:val="0070C0"/>
          <w:sz w:val="16"/>
          <w:szCs w:val="16"/>
          <w:lang w:bidi="ru-RU"/>
        </w:rPr>
        <w:softHyphen/>
        <w:t>пытанию брони стрельбой из пулемета». Исследовались условия «попадания пуль при обстреле брони под разными углами».</w:t>
      </w:r>
    </w:p>
    <w:p w14:paraId="6989BF9C" w14:textId="77777777" w:rsidR="00F2208D" w:rsidRPr="00507A31" w:rsidRDefault="00F2208D" w:rsidP="00507A31">
      <w:pPr>
        <w:jc w:val="both"/>
        <w:rPr>
          <w:color w:val="0070C0"/>
          <w:sz w:val="16"/>
          <w:szCs w:val="16"/>
        </w:rPr>
      </w:pPr>
      <w:r w:rsidRPr="00507A31">
        <w:rPr>
          <w:color w:val="0070C0"/>
          <w:sz w:val="16"/>
          <w:szCs w:val="16"/>
          <w:lang w:bidi="ru-RU"/>
        </w:rPr>
        <w:t>Аэродинамический расчет был вы</w:t>
      </w:r>
      <w:r w:rsidRPr="00507A31">
        <w:rPr>
          <w:color w:val="0070C0"/>
          <w:sz w:val="16"/>
          <w:szCs w:val="16"/>
          <w:lang w:bidi="ru-RU"/>
        </w:rPr>
        <w:softHyphen/>
        <w:t>полнен по 10 вариантам компоновки са</w:t>
      </w:r>
      <w:r w:rsidRPr="00507A31">
        <w:rPr>
          <w:color w:val="0070C0"/>
          <w:sz w:val="16"/>
          <w:szCs w:val="16"/>
          <w:lang w:bidi="ru-RU"/>
        </w:rPr>
        <w:softHyphen/>
        <w:t>молета с разными моторами, весами на</w:t>
      </w:r>
      <w:r w:rsidRPr="00507A31">
        <w:rPr>
          <w:color w:val="0070C0"/>
          <w:sz w:val="16"/>
          <w:szCs w:val="16"/>
          <w:lang w:bidi="ru-RU"/>
        </w:rPr>
        <w:softHyphen/>
        <w:t>грузок и бронирования, в том числе: че</w:t>
      </w:r>
      <w:r w:rsidRPr="00507A31">
        <w:rPr>
          <w:color w:val="0070C0"/>
          <w:sz w:val="16"/>
          <w:szCs w:val="16"/>
          <w:lang w:bidi="ru-RU"/>
        </w:rPr>
        <w:softHyphen/>
        <w:t>тыре - с М-34 (750 л.с.),три - с Изота-Фра- скини АССО-750 (800 л.с.), один - с БМВ-6 (680 л.с.), и два - с БМВ-9 (800 л.с.). Луч</w:t>
      </w:r>
      <w:r w:rsidRPr="00507A31">
        <w:rPr>
          <w:color w:val="0070C0"/>
          <w:sz w:val="16"/>
          <w:szCs w:val="16"/>
          <w:lang w:bidi="ru-RU"/>
        </w:rPr>
        <w:softHyphen/>
        <w:t>шим оказался вариант с моторами АССО-750. С этими моторами полетный вес штурмовика составлял 5500-6000 кг.</w:t>
      </w:r>
    </w:p>
    <w:p w14:paraId="6488A36E" w14:textId="77777777" w:rsidR="00F2208D" w:rsidRPr="00507A31" w:rsidRDefault="00F2208D" w:rsidP="00507A31">
      <w:pPr>
        <w:jc w:val="both"/>
        <w:rPr>
          <w:color w:val="0070C0"/>
          <w:sz w:val="16"/>
          <w:szCs w:val="16"/>
          <w:lang w:bidi="ru-RU"/>
        </w:rPr>
      </w:pPr>
      <w:r w:rsidRPr="00507A31">
        <w:rPr>
          <w:color w:val="0070C0"/>
          <w:sz w:val="16"/>
          <w:szCs w:val="16"/>
          <w:lang w:bidi="ru-RU"/>
        </w:rPr>
        <w:t>При проектировании встретились большие трудности по весовой увязке и центровке самолета: «вынесение стрелка вперед за моторы вызывало необходи</w:t>
      </w:r>
      <w:r w:rsidRPr="00507A31">
        <w:rPr>
          <w:color w:val="0070C0"/>
          <w:sz w:val="16"/>
          <w:szCs w:val="16"/>
          <w:lang w:bidi="ru-RU"/>
        </w:rPr>
        <w:softHyphen/>
        <w:t>мость большего перемещения задней ту</w:t>
      </w:r>
      <w:r w:rsidRPr="00507A31">
        <w:rPr>
          <w:color w:val="0070C0"/>
          <w:sz w:val="16"/>
          <w:szCs w:val="16"/>
          <w:lang w:bidi="ru-RU"/>
        </w:rPr>
        <w:softHyphen/>
        <w:t>рели к хвосту самолета» (21062).</w:t>
      </w:r>
    </w:p>
    <w:p w14:paraId="68F2920B" w14:textId="77777777" w:rsidR="00F2208D" w:rsidRPr="00507A31" w:rsidRDefault="00F2208D" w:rsidP="00507A31">
      <w:pPr>
        <w:jc w:val="both"/>
        <w:rPr>
          <w:color w:val="0070C0"/>
          <w:sz w:val="16"/>
          <w:szCs w:val="16"/>
        </w:rPr>
      </w:pPr>
    </w:p>
    <w:p w14:paraId="1C95F94E" w14:textId="77777777" w:rsidR="00111E3C"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089EB95" w14:textId="77777777" w:rsidR="00111E3C" w:rsidRPr="00507A31" w:rsidRDefault="00111E3C" w:rsidP="00507A31">
      <w:pPr>
        <w:autoSpaceDE w:val="0"/>
        <w:autoSpaceDN w:val="0"/>
        <w:adjustRightInd w:val="0"/>
        <w:jc w:val="both"/>
        <w:rPr>
          <w:iCs/>
          <w:color w:val="000000" w:themeColor="text1"/>
          <w:sz w:val="16"/>
          <w:szCs w:val="16"/>
        </w:rPr>
      </w:pPr>
    </w:p>
    <w:p w14:paraId="061F84D8" w14:textId="77777777" w:rsidR="00111E3C" w:rsidRPr="00507A31" w:rsidRDefault="00111E3C" w:rsidP="00507A31">
      <w:pPr>
        <w:pStyle w:val="rtejustify"/>
        <w:spacing w:before="0" w:after="0"/>
        <w:rPr>
          <w:color w:val="000000" w:themeColor="text1"/>
          <w:sz w:val="16"/>
          <w:szCs w:val="16"/>
        </w:rPr>
      </w:pPr>
      <w:r w:rsidRPr="00507A31">
        <w:rPr>
          <w:rStyle w:val="af0"/>
          <w:i w:val="0"/>
          <w:color w:val="000000" w:themeColor="text1"/>
          <w:sz w:val="16"/>
          <w:szCs w:val="16"/>
        </w:rPr>
        <w:t xml:space="preserve">23 июня 1930 г. Протокол Реввоенсовета № 12. </w:t>
      </w:r>
      <w:r w:rsidRPr="00507A31">
        <w:rPr>
          <w:color w:val="000000" w:themeColor="text1"/>
          <w:sz w:val="16"/>
          <w:szCs w:val="16"/>
        </w:rPr>
        <w:t>2. Система инженерного вооружения. (Уборевич). 3. О ходе работ по осуществлению опытных образцов системы авто-броне-танко-тракторного вооружения. (Халепский). 15. Об утверждении походного снаряжения комсостава РККА. (РГВА. Ф. 4. Оп. 18. Д. 19. Л. 197, 200) (12342).</w:t>
      </w:r>
    </w:p>
    <w:p w14:paraId="0237F5D7" w14:textId="77777777" w:rsidR="00111E3C" w:rsidRPr="00507A31" w:rsidRDefault="00111E3C" w:rsidP="00507A31">
      <w:pPr>
        <w:pStyle w:val="rtejustify"/>
        <w:spacing w:before="0" w:after="0"/>
        <w:rPr>
          <w:color w:val="000000" w:themeColor="text1"/>
          <w:sz w:val="16"/>
          <w:szCs w:val="16"/>
        </w:rPr>
      </w:pPr>
    </w:p>
    <w:p w14:paraId="37DEE264" w14:textId="77777777" w:rsidR="00975F75" w:rsidRPr="00507A31" w:rsidRDefault="00975F75" w:rsidP="00507A31">
      <w:pPr>
        <w:shd w:val="clear" w:color="auto" w:fill="FFFFFF"/>
        <w:jc w:val="both"/>
        <w:rPr>
          <w:color w:val="000000" w:themeColor="text1"/>
          <w:sz w:val="16"/>
          <w:szCs w:val="16"/>
        </w:rPr>
      </w:pPr>
      <w:r w:rsidRPr="00507A31">
        <w:rPr>
          <w:bCs/>
          <w:iCs/>
          <w:color w:val="000000" w:themeColor="text1"/>
          <w:sz w:val="16"/>
          <w:szCs w:val="16"/>
        </w:rPr>
        <w:t>23 июня 1930 г.</w:t>
      </w:r>
      <w:r w:rsidRPr="00507A31">
        <w:rPr>
          <w:color w:val="000000" w:themeColor="text1"/>
          <w:sz w:val="16"/>
          <w:szCs w:val="16"/>
        </w:rPr>
        <w:t xml:space="preserve"> Постановление РЗ СТО СССР «</w:t>
      </w:r>
      <w:r w:rsidRPr="00507A31">
        <w:rPr>
          <w:iCs/>
          <w:color w:val="000000" w:themeColor="text1"/>
          <w:sz w:val="16"/>
          <w:szCs w:val="16"/>
        </w:rPr>
        <w:t>О расширении добычи мышьяка</w:t>
      </w:r>
      <w:r w:rsidRPr="00507A31">
        <w:rPr>
          <w:color w:val="000000" w:themeColor="text1"/>
          <w:sz w:val="16"/>
          <w:szCs w:val="16"/>
        </w:rPr>
        <w:t>». В записке заместитель председателя РВС И.П.Уборевич сообщил потребность НКВМ в белом мышьяке на пятилетку (8000 тонн) для обеспечения производства химического оружия. Указывалось на необходимость «</w:t>
      </w:r>
      <w:r w:rsidRPr="00507A31">
        <w:rPr>
          <w:iCs/>
          <w:color w:val="000000" w:themeColor="text1"/>
          <w:sz w:val="16"/>
          <w:szCs w:val="16"/>
        </w:rPr>
        <w:t>в срочном порядке расследовать весь мышьяковый вопрос как по линии ложной информации Цветметзолота о запасах мышьяка, так и по линии преступной затяжки с концессией на Кагызманское месторождение</w:t>
      </w:r>
      <w:r w:rsidRPr="00507A31">
        <w:rPr>
          <w:color w:val="000000" w:themeColor="text1"/>
          <w:sz w:val="16"/>
          <w:szCs w:val="16"/>
        </w:rPr>
        <w:t>». Постановлением организовано производство белого мышьяка в районе Керчи на базе руд Кагызманского месторождения (Турция). Решено завершить возведение заводов мышьяковых солей в Щелкове (Московская область) и в Константиновке (Украина) (17133).</w:t>
      </w:r>
    </w:p>
    <w:p w14:paraId="7C9FF363" w14:textId="77777777" w:rsidR="00975F75" w:rsidRPr="00507A31" w:rsidRDefault="00975F75" w:rsidP="00507A31">
      <w:pPr>
        <w:shd w:val="clear" w:color="auto" w:fill="FFFFFF"/>
        <w:jc w:val="both"/>
        <w:rPr>
          <w:color w:val="000000" w:themeColor="text1"/>
          <w:sz w:val="16"/>
          <w:szCs w:val="16"/>
        </w:rPr>
      </w:pPr>
    </w:p>
    <w:p w14:paraId="1F4924BD" w14:textId="77777777" w:rsidR="00975F75"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4131F3B" w14:textId="77777777" w:rsidR="00975F75" w:rsidRPr="00507A31" w:rsidRDefault="00975F75" w:rsidP="00507A31">
      <w:pPr>
        <w:autoSpaceDE w:val="0"/>
        <w:autoSpaceDN w:val="0"/>
        <w:adjustRightInd w:val="0"/>
        <w:jc w:val="both"/>
        <w:rPr>
          <w:iCs/>
          <w:color w:val="000000" w:themeColor="text1"/>
          <w:sz w:val="16"/>
          <w:szCs w:val="16"/>
        </w:rPr>
      </w:pPr>
    </w:p>
    <w:p w14:paraId="7CA1F997" w14:textId="77777777" w:rsidR="001B7A10" w:rsidRPr="00507A31" w:rsidRDefault="001B7A10" w:rsidP="00507A31">
      <w:pPr>
        <w:jc w:val="both"/>
        <w:rPr>
          <w:color w:val="000000" w:themeColor="text1"/>
          <w:sz w:val="16"/>
          <w:szCs w:val="16"/>
        </w:rPr>
      </w:pPr>
      <w:r w:rsidRPr="00507A31">
        <w:rPr>
          <w:color w:val="000000" w:themeColor="text1"/>
          <w:sz w:val="16"/>
          <w:szCs w:val="16"/>
        </w:rPr>
        <w:t>23 июня 1930 г. по результатам инспекторской проверки Наркомвоенмор издал приказ № 038. В нем говорилось, что инспектированием вскрыты упущения в проверенных авиачастях и бездеятельность начальника артиллерии округа и начальников артиллерии двух корпусов МВО, в обязанности которых входила организация боевой подготовки авиаотрядов по корректированию артиллерийской стрельбы (приложение «Р») (19566).</w:t>
      </w:r>
    </w:p>
    <w:p w14:paraId="6CF109EB" w14:textId="77777777" w:rsidR="001B7A10" w:rsidRPr="00507A31" w:rsidRDefault="001B7A10" w:rsidP="00507A31">
      <w:pPr>
        <w:jc w:val="both"/>
        <w:rPr>
          <w:color w:val="000000" w:themeColor="text1"/>
          <w:sz w:val="16"/>
          <w:szCs w:val="16"/>
        </w:rPr>
      </w:pPr>
    </w:p>
    <w:p w14:paraId="76166425" w14:textId="77777777" w:rsidR="001B7A10" w:rsidRPr="00507A31" w:rsidRDefault="001B7A10" w:rsidP="00507A31">
      <w:pPr>
        <w:jc w:val="both"/>
        <w:rPr>
          <w:color w:val="000000" w:themeColor="text1"/>
          <w:sz w:val="16"/>
          <w:szCs w:val="16"/>
        </w:rPr>
      </w:pPr>
      <w:r w:rsidRPr="00507A31">
        <w:rPr>
          <w:color w:val="000000" w:themeColor="text1"/>
          <w:sz w:val="16"/>
          <w:szCs w:val="16"/>
        </w:rPr>
        <w:t>23 июня 1930 года Приказ РВС Союза ССР от № 038</w:t>
      </w:r>
    </w:p>
    <w:p w14:paraId="540CCF4F" w14:textId="77777777" w:rsidR="001B7A10" w:rsidRPr="00507A31" w:rsidRDefault="001B7A10" w:rsidP="00507A31">
      <w:pPr>
        <w:jc w:val="both"/>
        <w:rPr>
          <w:color w:val="000000" w:themeColor="text1"/>
          <w:sz w:val="16"/>
          <w:szCs w:val="16"/>
        </w:rPr>
      </w:pPr>
      <w:r w:rsidRPr="00507A31">
        <w:rPr>
          <w:color w:val="000000" w:themeColor="text1"/>
          <w:sz w:val="16"/>
          <w:szCs w:val="16"/>
        </w:rPr>
        <w:t>г. Москва.</w:t>
      </w:r>
    </w:p>
    <w:p w14:paraId="0A79EAE3"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Инспектор Артиллерии РККА обследовал б. подготовку артиллерийских и корпусных а/отрядов МВО в отношении совместной их боевой работы с артиллерией. Инспектированием установлено: </w:t>
      </w:r>
    </w:p>
    <w:p w14:paraId="0234AA23"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1. Из трех обследованных артиллерийских и двух корпусных авиаотрядов ни один не имел никакой связи с соответствующими полками АРГК и корпусной артиллерии, совместной учебы не имели и в дальнейшем таковой не предполагалось. </w:t>
      </w:r>
    </w:p>
    <w:p w14:paraId="396F9F83"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2. Подготовка по корректированию артиллерийского огня во всех отрядах за зимний период ограничилась исключительно классными занятиями и то организованными неудовлетворительно. Лишь некоторые отряды (18-й артиллерийский авиаотряд, 10-й и 20-й корпусные авиаотряды) имели в прошлом незначительную подготовку по корректированию огня одной, максимум - двух батарей, но не из состава своих артполков и по случайному плану. Групповое корректирование, корректирование по подвижной цели, целеуказания ракетой, тренировка в разведывании огневых позиций артиллерии ни в одном из отрядов не проводились совершенно. </w:t>
      </w:r>
    </w:p>
    <w:p w14:paraId="0A47312C"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3. Ни в одном из отрядов не проводились тренировочные упражнения на корректировочных площадках согласно «Указаниям по подготовке артиллерии и авиации к совместной работе» издания 1929 года. </w:t>
      </w:r>
    </w:p>
    <w:p w14:paraId="68362186"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4. Ни один из артиллерийских авиаотрядов не знает о своем штатном назначении обслуживать определенный артполк АРГК. </w:t>
      </w:r>
    </w:p>
    <w:p w14:paraId="7FB108E3"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5. Начальник Артиллерии Округа не осуществлял никакого руководства и не оказывал никакой помощи артиллерийским и корпусным авиаотрядам по их подготовке к (…) работе с артиллерией. </w:t>
      </w:r>
    </w:p>
    <w:p w14:paraId="45AEEC4B"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6. Начальники артиллерии II и Х корпусов ни разу не побывали в своих корпусных авиаотрядах и не оказали им никакой помощи в учебе. </w:t>
      </w:r>
    </w:p>
    <w:p w14:paraId="62ABCE96"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7. Реввоенсовет МВО не выполнял директивы Штаба РККА о взаимной стажировке летчиковнаблюдателей и командного состава артиллерии в соответствующих артполках и авиаотрядах. Требуемая стажировка была заменена курсами для летнабов при 19-м легком артполку и для командиров - артиллеристов - при 28-м артиллерийском авиаотряде. Эти курсы привели только к перегрузке (…) указанных частей, своего назначения не выполнили и стажировки заменить не могут. Обращаю внимание Командующего войсками МВО на упущения в руководстве подготовкой авиации к совместной работе с артиллерией. </w:t>
      </w:r>
    </w:p>
    <w:p w14:paraId="74214C6C" w14:textId="77777777" w:rsidR="001B7A10" w:rsidRPr="00507A31" w:rsidRDefault="001B7A10" w:rsidP="00507A31">
      <w:pPr>
        <w:jc w:val="both"/>
        <w:rPr>
          <w:color w:val="000000" w:themeColor="text1"/>
          <w:sz w:val="16"/>
          <w:szCs w:val="16"/>
        </w:rPr>
      </w:pPr>
      <w:r w:rsidRPr="00507A31">
        <w:rPr>
          <w:color w:val="000000" w:themeColor="text1"/>
          <w:sz w:val="16"/>
          <w:szCs w:val="16"/>
        </w:rPr>
        <w:t>Объявляю выговор за невнимательное отношение к совместной учебе авиации и артиллерии в важнейшем вопросе - подготовке их для борьбы с неприятельской артиллерией Начальнику артиллерии МВО т. Розынко, Начальнику артиллерии II корпуса т. Дереву, Начальнику артиллерии Х корпуса т. Опману.</w:t>
      </w:r>
    </w:p>
    <w:p w14:paraId="3C7DB5B5"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ПРИКАЗЫВАЮ: </w:t>
      </w:r>
    </w:p>
    <w:p w14:paraId="3DB0BEF0"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1. Командующим войсками округов: </w:t>
      </w:r>
    </w:p>
    <w:p w14:paraId="4099E364"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а) Артиллерийские авиаотряды и по одному звену от корпусных авиаотрядов прикомандировать на весь летний период к соответствующим полкам АРГК и корпусным артполкам для преимущественной подготовки их в артиллерийском отношении. </w:t>
      </w:r>
    </w:p>
    <w:p w14:paraId="6AB543E0" w14:textId="77777777" w:rsidR="001B7A10" w:rsidRPr="00507A31" w:rsidRDefault="001B7A10" w:rsidP="00507A31">
      <w:pPr>
        <w:jc w:val="both"/>
        <w:rPr>
          <w:color w:val="000000" w:themeColor="text1"/>
          <w:sz w:val="16"/>
          <w:szCs w:val="16"/>
        </w:rPr>
      </w:pPr>
      <w:r w:rsidRPr="00507A31">
        <w:rPr>
          <w:color w:val="000000" w:themeColor="text1"/>
          <w:sz w:val="16"/>
          <w:szCs w:val="16"/>
        </w:rPr>
        <w:t xml:space="preserve">б) Взаимную стажировку командиров - артиллеристов и летчиков - наблюдателей артиллерийских и корпусных авиаотрядов проводить, строго руководствуясь директивой Штаба РККА при своих штатных артиллерийских авиационных частях. </w:t>
      </w:r>
    </w:p>
    <w:p w14:paraId="46F9CC54" w14:textId="77777777" w:rsidR="001B7A10" w:rsidRPr="00507A31" w:rsidRDefault="001B7A10" w:rsidP="00507A31">
      <w:pPr>
        <w:jc w:val="both"/>
        <w:rPr>
          <w:color w:val="000000" w:themeColor="text1"/>
          <w:sz w:val="16"/>
          <w:szCs w:val="16"/>
        </w:rPr>
      </w:pPr>
      <w:r w:rsidRPr="00507A31">
        <w:rPr>
          <w:color w:val="000000" w:themeColor="text1"/>
          <w:sz w:val="16"/>
          <w:szCs w:val="16"/>
        </w:rPr>
        <w:t>2. Начальнику Управления Военных Воздушных сил РККА и Начальнику Главного управления РККА согласовать вопрос о комплектовании артиллерийских авиаотрядов и специальных звеньев корпусных авиаотрядов летнабами из артиллеристов.</w:t>
      </w:r>
    </w:p>
    <w:p w14:paraId="78209831" w14:textId="77777777" w:rsidR="001B7A10" w:rsidRPr="00507A31" w:rsidRDefault="001B7A10" w:rsidP="00507A31">
      <w:pPr>
        <w:jc w:val="both"/>
        <w:rPr>
          <w:color w:val="000000" w:themeColor="text1"/>
          <w:sz w:val="16"/>
          <w:szCs w:val="16"/>
        </w:rPr>
      </w:pPr>
      <w:r w:rsidRPr="00507A31">
        <w:rPr>
          <w:color w:val="000000" w:themeColor="text1"/>
          <w:sz w:val="16"/>
          <w:szCs w:val="16"/>
        </w:rPr>
        <w:t>Народный Комиссар по Военным и Морским Делам и Председатель РВС СССР Ворошилов (По Инспекции Артиллерии РККА)» (РГВА. Ф. 4. Оп. 3. Д. 3223. Л. 48 - 48 об.) (19566).</w:t>
      </w:r>
    </w:p>
    <w:p w14:paraId="157B7C4D" w14:textId="77777777" w:rsidR="001B7A10" w:rsidRPr="00507A31" w:rsidRDefault="001B7A10" w:rsidP="00507A31">
      <w:pPr>
        <w:jc w:val="both"/>
        <w:rPr>
          <w:color w:val="000000" w:themeColor="text1"/>
          <w:sz w:val="16"/>
          <w:szCs w:val="16"/>
        </w:rPr>
      </w:pPr>
    </w:p>
    <w:p w14:paraId="3D5C4A0C" w14:textId="77777777" w:rsidR="00975F75" w:rsidRPr="00507A31" w:rsidRDefault="00975F75" w:rsidP="00507A31">
      <w:pPr>
        <w:shd w:val="clear" w:color="auto" w:fill="FFFFFF"/>
        <w:jc w:val="both"/>
        <w:rPr>
          <w:color w:val="000000" w:themeColor="text1"/>
          <w:sz w:val="16"/>
          <w:szCs w:val="16"/>
        </w:rPr>
      </w:pPr>
      <w:r w:rsidRPr="00507A31">
        <w:rPr>
          <w:bCs/>
          <w:iCs/>
          <w:color w:val="000000" w:themeColor="text1"/>
          <w:sz w:val="16"/>
          <w:szCs w:val="16"/>
        </w:rPr>
        <w:t>23 июня 1930 г.</w:t>
      </w:r>
      <w:r w:rsidRPr="00507A31">
        <w:rPr>
          <w:color w:val="000000" w:themeColor="text1"/>
          <w:sz w:val="16"/>
          <w:szCs w:val="16"/>
        </w:rPr>
        <w:t xml:space="preserve"> Первое сообщение Военно-санитарного института (ВСИ) Военно-санитарного управления РККА, только что образованного на основе Военно-санитарной лаборатории, о планах будущей работы. Одна из важнейших тем — «</w:t>
      </w:r>
      <w:r w:rsidRPr="00507A31">
        <w:rPr>
          <w:iCs/>
          <w:color w:val="000000" w:themeColor="text1"/>
          <w:sz w:val="16"/>
          <w:szCs w:val="16"/>
        </w:rPr>
        <w:t xml:space="preserve">определение ОВ по запаху в связи с выделением в частях так называемых </w:t>
      </w:r>
      <w:r w:rsidRPr="00507A31">
        <w:rPr>
          <w:bCs/>
          <w:iCs/>
          <w:color w:val="000000" w:themeColor="text1"/>
          <w:sz w:val="16"/>
          <w:szCs w:val="16"/>
        </w:rPr>
        <w:t>химиков наблюдателей-нюхачей</w:t>
      </w:r>
      <w:r w:rsidRPr="00507A31">
        <w:rPr>
          <w:color w:val="000000" w:themeColor="text1"/>
          <w:sz w:val="16"/>
          <w:szCs w:val="16"/>
        </w:rPr>
        <w:t>». Обосновывалась постановка этой задачи тем, что «</w:t>
      </w:r>
      <w:r w:rsidRPr="00507A31">
        <w:rPr>
          <w:iCs/>
          <w:color w:val="000000" w:themeColor="text1"/>
          <w:sz w:val="16"/>
          <w:szCs w:val="16"/>
        </w:rPr>
        <w:t>до настоящего времени не открыто еще ни одного более тонкого, чем обоняние, индикатора на большинство ОВ, определяющего присутствие их в полевых условиях</w:t>
      </w:r>
      <w:r w:rsidRPr="00507A31">
        <w:rPr>
          <w:color w:val="000000" w:themeColor="text1"/>
          <w:sz w:val="16"/>
          <w:szCs w:val="16"/>
        </w:rPr>
        <w:t>». Предполагалось создать группу военных химиков-нюхачей и вести с ней регулярные занятия «</w:t>
      </w:r>
      <w:r w:rsidRPr="00507A31">
        <w:rPr>
          <w:iCs/>
          <w:color w:val="000000" w:themeColor="text1"/>
          <w:sz w:val="16"/>
          <w:szCs w:val="16"/>
        </w:rPr>
        <w:t>в направлении и по указаниям ВСУ и ВОХИМУ</w:t>
      </w:r>
      <w:r w:rsidRPr="00507A31">
        <w:rPr>
          <w:color w:val="000000" w:themeColor="text1"/>
          <w:sz w:val="16"/>
          <w:szCs w:val="16"/>
        </w:rPr>
        <w:t>». ВСИ располагался в 1-м Московском коммунистическом военном госпитале и курировал деятельность его XIII отделения (болезни, связанные с ОВ) (17133).</w:t>
      </w:r>
    </w:p>
    <w:p w14:paraId="1891916B" w14:textId="77777777" w:rsidR="00975F75" w:rsidRPr="00507A31" w:rsidRDefault="00975F75" w:rsidP="00507A31">
      <w:pPr>
        <w:shd w:val="clear" w:color="auto" w:fill="FFFFFF"/>
        <w:jc w:val="both"/>
        <w:rPr>
          <w:color w:val="000000" w:themeColor="text1"/>
          <w:sz w:val="16"/>
          <w:szCs w:val="16"/>
        </w:rPr>
      </w:pPr>
    </w:p>
    <w:p w14:paraId="23846E4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A880478" w14:textId="77777777" w:rsidR="00537E5F" w:rsidRPr="00507A31" w:rsidRDefault="00537E5F" w:rsidP="00507A31">
      <w:pPr>
        <w:autoSpaceDE w:val="0"/>
        <w:autoSpaceDN w:val="0"/>
        <w:adjustRightInd w:val="0"/>
        <w:jc w:val="both"/>
        <w:rPr>
          <w:iCs/>
          <w:color w:val="000000" w:themeColor="text1"/>
          <w:sz w:val="16"/>
          <w:szCs w:val="16"/>
        </w:rPr>
      </w:pPr>
    </w:p>
    <w:p w14:paraId="3F2045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июня 1930 года инженер 1 секции НТК Машкевич</w:t>
      </w:r>
    </w:p>
    <w:p w14:paraId="54187F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Справка о прохождении сухопутных самолетов пятилетнего плана опытного самолетостроения к 20 июня 1930 года</w:t>
      </w:r>
    </w:p>
    <w:p w14:paraId="4AE8A5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 Сухопутные самолеты.</w:t>
      </w:r>
    </w:p>
    <w:p w14:paraId="5A2A18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И8 Кертис Конкверор 600 л. с.</w:t>
      </w:r>
    </w:p>
    <w:p w14:paraId="1BF02C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сентября 1930 года.</w:t>
      </w:r>
    </w:p>
    <w:p w14:paraId="67D9DDA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Эскизный проект и макет утверждены НТК.</w:t>
      </w:r>
    </w:p>
    <w:p w14:paraId="2C185C0E"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Готовность к постройке 60-65%.</w:t>
      </w:r>
    </w:p>
    <w:p w14:paraId="3D90548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Выпуск на аэродром предположен к 1 сентября 1930 года.</w:t>
      </w:r>
    </w:p>
    <w:p w14:paraId="6506ED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ТБ3 4 Кертис Конкверор по 600 л. с.</w:t>
      </w:r>
    </w:p>
    <w:p w14:paraId="55DB8F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июля 1930 года.</w:t>
      </w:r>
    </w:p>
    <w:p w14:paraId="630FB20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Эскизный проект и макет утверждены НТК.</w:t>
      </w:r>
    </w:p>
    <w:p w14:paraId="6C2E38E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Готовность к постройке 70%.</w:t>
      </w:r>
    </w:p>
    <w:p w14:paraId="44498E6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Выпуск на аэродром намечен к 1 августа 1930 года.</w:t>
      </w:r>
    </w:p>
    <w:p w14:paraId="54E987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 Колеса и полуоси для шасси еще не получены. Полуоси 23 мая 1930 года отправлены из Америки. О колесах сообщений от фирмы нет.</w:t>
      </w:r>
    </w:p>
    <w:p w14:paraId="1E1315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Самолет ДИ3 под М-34 750 л.с.</w:t>
      </w:r>
    </w:p>
    <w:p w14:paraId="5D2913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февраля 1931 года.</w:t>
      </w:r>
    </w:p>
    <w:p w14:paraId="0BDCB08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Эскизный проект закончен.</w:t>
      </w:r>
    </w:p>
    <w:p w14:paraId="2C6CB48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Проведены опыты и исследования по пристрелу брони.</w:t>
      </w:r>
    </w:p>
    <w:p w14:paraId="6157AE6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Произведены аэродинамические расчеты по 9 вариантам: под М-34 – 4 варианта, под БМВIX – 2 варианта, под БМВVI – 1 вариант, под АССО – 2 варианта).</w:t>
      </w:r>
    </w:p>
    <w:p w14:paraId="7BCAD18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Ожидается совещание (намечено на 25 июня 1930 года) по просмотру полученных результатов расчетов и окончательного установления нагрузок и выбора вариантов.</w:t>
      </w:r>
    </w:p>
    <w:p w14:paraId="2ED50A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ТБ-4 М-35 по 1250 л.с.</w:t>
      </w:r>
    </w:p>
    <w:p w14:paraId="3E065D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мая 1931 года.</w:t>
      </w:r>
    </w:p>
    <w:p w14:paraId="154346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Эскизный проект в стадии проработки.</w:t>
      </w:r>
    </w:p>
    <w:p w14:paraId="50F57C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МИ-3 2М-33 или М-34 (ЦАГИ).</w:t>
      </w:r>
    </w:p>
    <w:p w14:paraId="74BF34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июля 1932 года.</w:t>
      </w:r>
    </w:p>
    <w:p w14:paraId="66493F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под мотор М-33 или М-34 (ГВАО).</w:t>
      </w:r>
    </w:p>
    <w:p w14:paraId="230DA9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октября 1931 года.</w:t>
      </w:r>
    </w:p>
    <w:p w14:paraId="5E2AFA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И-11 под мотор № 41 (ЦАГИ).</w:t>
      </w:r>
    </w:p>
    <w:p w14:paraId="31E513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ноября 1932 года.</w:t>
      </w:r>
    </w:p>
    <w:p w14:paraId="3C3533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 к МИ-3, ДИ-4, И-11: ведется подбор материалов для разработки проектов. К проектированию не приступлено ввиду удаленных сроков предъявления на гос. испытания (6998, 39).</w:t>
      </w:r>
    </w:p>
    <w:p w14:paraId="60131B9E" w14:textId="77777777" w:rsidR="00537E5F" w:rsidRPr="00507A31" w:rsidRDefault="00537E5F" w:rsidP="00507A31">
      <w:pPr>
        <w:autoSpaceDE w:val="0"/>
        <w:autoSpaceDN w:val="0"/>
        <w:adjustRightInd w:val="0"/>
        <w:jc w:val="both"/>
        <w:rPr>
          <w:color w:val="000000" w:themeColor="text1"/>
          <w:sz w:val="16"/>
          <w:szCs w:val="16"/>
        </w:rPr>
      </w:pPr>
    </w:p>
    <w:p w14:paraId="58176C0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598AE33" w14:textId="77777777" w:rsidR="00537E5F" w:rsidRPr="00507A31" w:rsidRDefault="00537E5F" w:rsidP="00507A31">
      <w:pPr>
        <w:autoSpaceDE w:val="0"/>
        <w:autoSpaceDN w:val="0"/>
        <w:adjustRightInd w:val="0"/>
        <w:jc w:val="both"/>
        <w:rPr>
          <w:iCs/>
          <w:color w:val="000000" w:themeColor="text1"/>
          <w:sz w:val="16"/>
          <w:szCs w:val="16"/>
        </w:rPr>
      </w:pPr>
    </w:p>
    <w:p w14:paraId="1D5FA9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 июня 1930 г. вышел ПРИКАЗ ПО УММ О НАЗНАЧЕНИИ КОМИССИИ ПО РЕМОНТУ ТАНКОВ</w:t>
      </w:r>
    </w:p>
    <w:p w14:paraId="7A07BD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w:t>
      </w:r>
    </w:p>
    <w:p w14:paraId="160911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74FFA5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мероприятий по ремонтув 1930/31 г. танков "Б", "С" и "М" назначаю комиссию под председатель</w:t>
      </w:r>
      <w:r w:rsidRPr="00507A31">
        <w:rPr>
          <w:color w:val="000000" w:themeColor="text1"/>
          <w:sz w:val="16"/>
          <w:szCs w:val="16"/>
        </w:rPr>
        <w:softHyphen/>
        <w:t>ством помощника инспектора механизированных войск т. Деревцова в составе: одного председателя 2 уп</w:t>
      </w:r>
      <w:r w:rsidRPr="00507A31">
        <w:rPr>
          <w:color w:val="000000" w:themeColor="text1"/>
          <w:sz w:val="16"/>
          <w:szCs w:val="16"/>
        </w:rPr>
        <w:softHyphen/>
        <w:t>равления Штаба РККА, одного представителя от ВАТО и старшего инженера 1 отдела ТУ т. Сутягина.</w:t>
      </w:r>
    </w:p>
    <w:p w14:paraId="0E7930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Комиссии определить:</w:t>
      </w:r>
    </w:p>
    <w:p w14:paraId="5A5577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Количество по маркам и точное состояние подлежащих ремонту машин.</w:t>
      </w:r>
    </w:p>
    <w:p w14:paraId="1BE810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Необходимый для каждой машины ремонт.</w:t>
      </w:r>
    </w:p>
    <w:p w14:paraId="30BE99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На каких предприятиях и каким порядком может быть выполнен ремонт.</w:t>
      </w:r>
    </w:p>
    <w:p w14:paraId="1B0CE3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Какие детали и механизмы не могут быть отремонтированы Союзной промышленностью и должны быть получены путем импорта.</w:t>
      </w:r>
    </w:p>
    <w:p w14:paraId="588E5F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Ориентировочный срок службы машин после прохождения ремонта.</w:t>
      </w:r>
    </w:p>
    <w:p w14:paraId="68F40B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Запасные части необходимые для обеспечения службы этих машин после ремонта.</w:t>
      </w:r>
    </w:p>
    <w:p w14:paraId="755E63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Ориентировочные стоимости ремонта каждой машины и комплекта запасных частей. Комиссии приступить к работе немедленно и представить мне акт в десятидневный срок.</w:t>
      </w:r>
    </w:p>
    <w:p w14:paraId="41253D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механизированных и моторизованных войск РККА</w:t>
      </w:r>
    </w:p>
    <w:p w14:paraId="4CA3EB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Халепский</w:t>
      </w:r>
    </w:p>
    <w:p w14:paraId="477DF9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17. Л. 51. Подлинник (11210).</w:t>
      </w:r>
    </w:p>
    <w:p w14:paraId="46C9C2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52DAB0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406F19B" w14:textId="77777777" w:rsidR="00537E5F" w:rsidRPr="00507A31" w:rsidRDefault="00537E5F" w:rsidP="00507A31">
      <w:pPr>
        <w:autoSpaceDE w:val="0"/>
        <w:autoSpaceDN w:val="0"/>
        <w:adjustRightInd w:val="0"/>
        <w:jc w:val="both"/>
        <w:rPr>
          <w:iCs/>
          <w:color w:val="000000" w:themeColor="text1"/>
          <w:sz w:val="16"/>
          <w:szCs w:val="16"/>
        </w:rPr>
      </w:pPr>
    </w:p>
    <w:p w14:paraId="196F74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июня 1930 в Черноморске Балаганов и Паниковский ограбили А.И.Корейко (3481).</w:t>
      </w:r>
    </w:p>
    <w:p w14:paraId="63D1EDAF" w14:textId="77777777" w:rsidR="00537E5F" w:rsidRPr="00507A31" w:rsidRDefault="00537E5F" w:rsidP="00507A31">
      <w:pPr>
        <w:autoSpaceDE w:val="0"/>
        <w:autoSpaceDN w:val="0"/>
        <w:adjustRightInd w:val="0"/>
        <w:jc w:val="both"/>
        <w:rPr>
          <w:color w:val="000000" w:themeColor="text1"/>
          <w:sz w:val="16"/>
          <w:szCs w:val="16"/>
        </w:rPr>
      </w:pPr>
    </w:p>
    <w:p w14:paraId="079830F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24 июня 1930 согласно классикам, на Корейко в Черноморске напали Паниковский и Балаганов (4962).</w:t>
      </w:r>
    </w:p>
    <w:p w14:paraId="749C084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0F6E96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B660631" w14:textId="77777777" w:rsidR="00537E5F" w:rsidRPr="00507A31" w:rsidRDefault="00537E5F" w:rsidP="00507A31">
      <w:pPr>
        <w:autoSpaceDE w:val="0"/>
        <w:autoSpaceDN w:val="0"/>
        <w:adjustRightInd w:val="0"/>
        <w:jc w:val="both"/>
        <w:rPr>
          <w:iCs/>
          <w:color w:val="000000" w:themeColor="text1"/>
          <w:sz w:val="16"/>
          <w:szCs w:val="16"/>
        </w:rPr>
      </w:pPr>
    </w:p>
    <w:p w14:paraId="319B2651" w14:textId="77777777" w:rsidR="00F2208D" w:rsidRPr="00507A31" w:rsidRDefault="00F2208D" w:rsidP="00507A31">
      <w:pPr>
        <w:jc w:val="both"/>
        <w:rPr>
          <w:color w:val="0070C0"/>
          <w:sz w:val="16"/>
          <w:szCs w:val="16"/>
        </w:rPr>
      </w:pPr>
      <w:r w:rsidRPr="00507A31">
        <w:rPr>
          <w:color w:val="0070C0"/>
          <w:sz w:val="16"/>
          <w:szCs w:val="16"/>
        </w:rPr>
        <w:t>24 июня 1930 - В США доктор Альберт Тейлор и Лео Янг из исследовательской лаборатории воздушных судов, возле Боллинг Филд, Вашингтон, округ Колумбия, добились успеха в деле отслеживания положения самолетов в полете с использованием беспроводной сети (22450).</w:t>
      </w:r>
    </w:p>
    <w:p w14:paraId="2819C306" w14:textId="77777777" w:rsidR="00F2208D" w:rsidRPr="00507A31" w:rsidRDefault="00F2208D" w:rsidP="00507A31">
      <w:pPr>
        <w:jc w:val="both"/>
        <w:rPr>
          <w:color w:val="0070C0"/>
          <w:sz w:val="16"/>
          <w:szCs w:val="16"/>
        </w:rPr>
      </w:pPr>
    </w:p>
    <w:p w14:paraId="540848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июня 1930 в США радар был впервые использован для обнаружения самолетов (3481).</w:t>
      </w:r>
    </w:p>
    <w:p w14:paraId="5CD1B036" w14:textId="77777777" w:rsidR="00537E5F" w:rsidRPr="00507A31" w:rsidRDefault="00537E5F" w:rsidP="00507A31">
      <w:pPr>
        <w:autoSpaceDE w:val="0"/>
        <w:autoSpaceDN w:val="0"/>
        <w:adjustRightInd w:val="0"/>
        <w:jc w:val="both"/>
        <w:rPr>
          <w:color w:val="000000" w:themeColor="text1"/>
          <w:sz w:val="16"/>
          <w:szCs w:val="16"/>
        </w:rPr>
      </w:pPr>
    </w:p>
    <w:p w14:paraId="7361E86C" w14:textId="77777777" w:rsidR="00975F75" w:rsidRPr="00507A31" w:rsidRDefault="00975F75" w:rsidP="00507A31">
      <w:pPr>
        <w:jc w:val="both"/>
        <w:rPr>
          <w:color w:val="000000" w:themeColor="text1"/>
          <w:sz w:val="16"/>
          <w:szCs w:val="16"/>
        </w:rPr>
      </w:pPr>
      <w:r w:rsidRPr="00507A31">
        <w:rPr>
          <w:bCs/>
          <w:color w:val="000000" w:themeColor="text1"/>
          <w:sz w:val="16"/>
          <w:szCs w:val="16"/>
        </w:rPr>
        <w:t>24 июня</w:t>
      </w:r>
      <w:r w:rsidRPr="00507A31">
        <w:rPr>
          <w:color w:val="000000" w:themeColor="text1"/>
          <w:sz w:val="16"/>
          <w:szCs w:val="16"/>
        </w:rPr>
        <w:t xml:space="preserve"> в 1930 году первое использование радара для обнаружения самолетов (Анакостия, округ Колумбия) (14932).</w:t>
      </w:r>
    </w:p>
    <w:p w14:paraId="0E1E6B27" w14:textId="77777777" w:rsidR="00975F75" w:rsidRPr="00507A31" w:rsidRDefault="00975F75" w:rsidP="00507A31">
      <w:pPr>
        <w:jc w:val="both"/>
        <w:rPr>
          <w:color w:val="000000" w:themeColor="text1"/>
          <w:sz w:val="16"/>
          <w:szCs w:val="16"/>
        </w:rPr>
      </w:pPr>
    </w:p>
    <w:p w14:paraId="40016AA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1650D9E" w14:textId="77777777" w:rsidR="00537E5F" w:rsidRPr="00507A31" w:rsidRDefault="00537E5F" w:rsidP="00507A31">
      <w:pPr>
        <w:autoSpaceDE w:val="0"/>
        <w:autoSpaceDN w:val="0"/>
        <w:adjustRightInd w:val="0"/>
        <w:jc w:val="both"/>
        <w:rPr>
          <w:iCs/>
          <w:color w:val="000000" w:themeColor="text1"/>
          <w:sz w:val="16"/>
          <w:szCs w:val="16"/>
        </w:rPr>
      </w:pPr>
    </w:p>
    <w:p w14:paraId="68F8B003" w14:textId="77777777" w:rsidR="00F2208D" w:rsidRPr="00507A31" w:rsidRDefault="00F2208D" w:rsidP="00507A31">
      <w:pPr>
        <w:jc w:val="both"/>
        <w:rPr>
          <w:color w:val="0070C0"/>
          <w:sz w:val="16"/>
          <w:szCs w:val="16"/>
        </w:rPr>
      </w:pPr>
      <w:r w:rsidRPr="00507A31">
        <w:rPr>
          <w:color w:val="0070C0"/>
          <w:sz w:val="16"/>
          <w:szCs w:val="16"/>
          <w:lang w:bidi="ru-RU"/>
        </w:rPr>
        <w:t>25 июня 1930 на расширен</w:t>
      </w:r>
      <w:r w:rsidRPr="00507A31">
        <w:rPr>
          <w:color w:val="0070C0"/>
          <w:sz w:val="16"/>
          <w:szCs w:val="16"/>
          <w:lang w:bidi="ru-RU"/>
        </w:rPr>
        <w:softHyphen/>
        <w:t>ном совещании специалистов ЦАГИ и НТК УВВС Туполев заявил, «что в основ</w:t>
      </w:r>
      <w:r w:rsidRPr="00507A31">
        <w:rPr>
          <w:color w:val="0070C0"/>
          <w:sz w:val="16"/>
          <w:szCs w:val="16"/>
          <w:lang w:bidi="ru-RU"/>
        </w:rPr>
        <w:softHyphen/>
        <w:t>ном удовлетворяя эти требования, мы мо</w:t>
      </w:r>
      <w:r w:rsidRPr="00507A31">
        <w:rPr>
          <w:color w:val="0070C0"/>
          <w:sz w:val="16"/>
          <w:szCs w:val="16"/>
          <w:lang w:bidi="ru-RU"/>
        </w:rPr>
        <w:softHyphen/>
        <w:t>жем переделать под штурмовик существу</w:t>
      </w:r>
      <w:r w:rsidRPr="00507A31">
        <w:rPr>
          <w:color w:val="0070C0"/>
          <w:sz w:val="16"/>
          <w:szCs w:val="16"/>
          <w:lang w:bidi="ru-RU"/>
        </w:rPr>
        <w:softHyphen/>
        <w:t>ющую машину Р-6, поставив на нее новые моторы (АССО-750) и спроектировав но</w:t>
      </w:r>
      <w:r w:rsidRPr="00507A31">
        <w:rPr>
          <w:color w:val="0070C0"/>
          <w:sz w:val="16"/>
          <w:szCs w:val="16"/>
          <w:lang w:bidi="ru-RU"/>
        </w:rPr>
        <w:softHyphen/>
        <w:t>вый фюзеляж». В этом случае «ЦАГИ дает реальную машину в сроки, требуемые правительством (то есть, к 1 мая 1931 г.), машину по своим качествам в основ</w:t>
      </w:r>
      <w:r w:rsidRPr="00507A31">
        <w:rPr>
          <w:color w:val="0070C0"/>
          <w:sz w:val="16"/>
          <w:szCs w:val="16"/>
          <w:lang w:bidi="ru-RU"/>
        </w:rPr>
        <w:softHyphen/>
        <w:t>ном подходящую к требованиям НТК и Штаба». При этом поскольку «машина Р-6 находится в серийной проработке», то «УВВС сможет через полгода после вы</w:t>
      </w:r>
      <w:r w:rsidRPr="00507A31">
        <w:rPr>
          <w:color w:val="0070C0"/>
          <w:sz w:val="16"/>
          <w:szCs w:val="16"/>
          <w:lang w:bidi="ru-RU"/>
        </w:rPr>
        <w:softHyphen/>
        <w:t>хода опытного образца получить серию ТШ-1». В случае, «если бы пришлось про</w:t>
      </w:r>
      <w:r w:rsidRPr="00507A31">
        <w:rPr>
          <w:color w:val="0070C0"/>
          <w:sz w:val="16"/>
          <w:szCs w:val="16"/>
          <w:lang w:bidi="ru-RU"/>
        </w:rPr>
        <w:softHyphen/>
        <w:t>ектировать совершенно новую машину, опытный образец ее вышел бы на 7,5 ме</w:t>
      </w:r>
      <w:r w:rsidRPr="00507A31">
        <w:rPr>
          <w:color w:val="0070C0"/>
          <w:sz w:val="16"/>
          <w:szCs w:val="16"/>
          <w:lang w:bidi="ru-RU"/>
        </w:rPr>
        <w:softHyphen/>
        <w:t>сяцев позже, чем в случае переделки Р-6, и серию можно ожидать не ранее, чем че</w:t>
      </w:r>
      <w:r w:rsidRPr="00507A31">
        <w:rPr>
          <w:color w:val="0070C0"/>
          <w:sz w:val="16"/>
          <w:szCs w:val="16"/>
          <w:lang w:bidi="ru-RU"/>
        </w:rPr>
        <w:softHyphen/>
        <w:t>рез 1-1,5 года после выхода опытной ма</w:t>
      </w:r>
      <w:r w:rsidRPr="00507A31">
        <w:rPr>
          <w:color w:val="0070C0"/>
          <w:sz w:val="16"/>
          <w:szCs w:val="16"/>
          <w:lang w:bidi="ru-RU"/>
        </w:rPr>
        <w:softHyphen/>
        <w:t>шины». Таким образом, «задачу о вводе в серию штурмовика мы разрешили бы не раньше, чем в конце 33 г. начале 34 года».</w:t>
      </w:r>
    </w:p>
    <w:p w14:paraId="278556B5" w14:textId="77777777" w:rsidR="00F2208D" w:rsidRPr="00507A31" w:rsidRDefault="00F2208D" w:rsidP="00507A31">
      <w:pPr>
        <w:jc w:val="both"/>
        <w:rPr>
          <w:color w:val="0070C0"/>
          <w:sz w:val="16"/>
          <w:szCs w:val="16"/>
        </w:rPr>
      </w:pPr>
      <w:r w:rsidRPr="00507A31">
        <w:rPr>
          <w:color w:val="0070C0"/>
          <w:sz w:val="16"/>
          <w:szCs w:val="16"/>
          <w:lang w:bidi="ru-RU"/>
        </w:rPr>
        <w:t>По результатам обсуждения поста</w:t>
      </w:r>
      <w:r w:rsidRPr="00507A31">
        <w:rPr>
          <w:color w:val="0070C0"/>
          <w:sz w:val="16"/>
          <w:szCs w:val="16"/>
          <w:lang w:bidi="ru-RU"/>
        </w:rPr>
        <w:softHyphen/>
        <w:t>новили: «Считать целесообразным при</w:t>
      </w:r>
      <w:r w:rsidRPr="00507A31">
        <w:rPr>
          <w:color w:val="0070C0"/>
          <w:sz w:val="16"/>
          <w:szCs w:val="16"/>
          <w:lang w:bidi="ru-RU"/>
        </w:rPr>
        <w:softHyphen/>
        <w:t>способление самолета Р-6 под тип ТШБ. Просить ЦАГИ проработанный материал по вторым техническим условиям, пред</w:t>
      </w:r>
      <w:r w:rsidRPr="00507A31">
        <w:rPr>
          <w:color w:val="0070C0"/>
          <w:sz w:val="16"/>
          <w:szCs w:val="16"/>
          <w:lang w:bidi="ru-RU"/>
        </w:rPr>
        <w:softHyphen/>
        <w:t>ставить в письменном виде в НТК и доло</w:t>
      </w:r>
      <w:r w:rsidRPr="00507A31">
        <w:rPr>
          <w:color w:val="0070C0"/>
          <w:sz w:val="16"/>
          <w:szCs w:val="16"/>
          <w:lang w:bidi="ru-RU"/>
        </w:rPr>
        <w:softHyphen/>
        <w:t>жить его на заседании Президиума НТК УВВС - 30.6.30г.»</w:t>
      </w:r>
    </w:p>
    <w:p w14:paraId="415C1BA5" w14:textId="77777777" w:rsidR="00F2208D" w:rsidRPr="00507A31" w:rsidRDefault="00F2208D" w:rsidP="00507A31">
      <w:pPr>
        <w:jc w:val="both"/>
        <w:rPr>
          <w:color w:val="0070C0"/>
          <w:sz w:val="16"/>
          <w:szCs w:val="16"/>
          <w:lang w:bidi="ru-RU"/>
        </w:rPr>
      </w:pPr>
      <w:r w:rsidRPr="00507A31">
        <w:rPr>
          <w:color w:val="0070C0"/>
          <w:sz w:val="16"/>
          <w:szCs w:val="16"/>
          <w:lang w:bidi="ru-RU"/>
        </w:rPr>
        <w:t>Военные должны были в течение пяти дней предоставить в ЦАГИ оконча</w:t>
      </w:r>
      <w:r w:rsidRPr="00507A31">
        <w:rPr>
          <w:color w:val="0070C0"/>
          <w:sz w:val="16"/>
          <w:szCs w:val="16"/>
          <w:lang w:bidi="ru-RU"/>
        </w:rPr>
        <w:softHyphen/>
        <w:t>тельные данные «о марке пушки, чертежи ее, точный вес, количество снарядов, их вес, требования к установке, а также ме</w:t>
      </w:r>
      <w:r w:rsidRPr="00507A31">
        <w:rPr>
          <w:color w:val="0070C0"/>
          <w:sz w:val="16"/>
          <w:szCs w:val="16"/>
          <w:lang w:bidi="ru-RU"/>
        </w:rPr>
        <w:softHyphen/>
        <w:t>стонахождение пушки на самолете». Тре</w:t>
      </w:r>
      <w:r w:rsidRPr="00507A31">
        <w:rPr>
          <w:color w:val="0070C0"/>
          <w:sz w:val="16"/>
          <w:szCs w:val="16"/>
          <w:lang w:bidi="ru-RU"/>
        </w:rPr>
        <w:softHyphen/>
        <w:t>бовалось уточнить «количество пулеме</w:t>
      </w:r>
      <w:r w:rsidRPr="00507A31">
        <w:rPr>
          <w:color w:val="0070C0"/>
          <w:sz w:val="16"/>
          <w:szCs w:val="16"/>
          <w:lang w:bidi="ru-RU"/>
        </w:rPr>
        <w:softHyphen/>
        <w:t>тов (по весам их можно иметь 12 шт.), тип их, количество патрон, угол наклона пу</w:t>
      </w:r>
      <w:r w:rsidRPr="00507A31">
        <w:rPr>
          <w:color w:val="0070C0"/>
          <w:sz w:val="16"/>
          <w:szCs w:val="16"/>
          <w:lang w:bidi="ru-RU"/>
        </w:rPr>
        <w:softHyphen/>
        <w:t>леметов (стоящих на площадках под фю</w:t>
      </w:r>
      <w:r w:rsidRPr="00507A31">
        <w:rPr>
          <w:color w:val="0070C0"/>
          <w:sz w:val="16"/>
          <w:szCs w:val="16"/>
          <w:lang w:bidi="ru-RU"/>
        </w:rPr>
        <w:softHyphen/>
        <w:t>зеляжем) к оси самолета и угол отклоне</w:t>
      </w:r>
      <w:r w:rsidRPr="00507A31">
        <w:rPr>
          <w:color w:val="0070C0"/>
          <w:sz w:val="16"/>
          <w:szCs w:val="16"/>
          <w:lang w:bidi="ru-RU"/>
        </w:rPr>
        <w:softHyphen/>
        <w:t>ния от плоскости симметрии, технические требования к пулеметным установкам и от какого поста пулеметы управляются». Кроме того, следовало «дать чертежи имеющихся установок сдвоенных пуле</w:t>
      </w:r>
      <w:r w:rsidRPr="00507A31">
        <w:rPr>
          <w:color w:val="0070C0"/>
          <w:sz w:val="16"/>
          <w:szCs w:val="16"/>
          <w:lang w:bidi="ru-RU"/>
        </w:rPr>
        <w:softHyphen/>
        <w:t>метов», а также данные: «на какой бо</w:t>
      </w:r>
      <w:r w:rsidRPr="00507A31">
        <w:rPr>
          <w:color w:val="0070C0"/>
          <w:sz w:val="16"/>
          <w:szCs w:val="16"/>
          <w:lang w:bidi="ru-RU"/>
        </w:rPr>
        <w:softHyphen/>
        <w:t>евой высоте, и какой пулей не должна пробиваться броня», «по бомбардиро</w:t>
      </w:r>
      <w:r w:rsidRPr="00507A31">
        <w:rPr>
          <w:color w:val="0070C0"/>
          <w:sz w:val="16"/>
          <w:szCs w:val="16"/>
          <w:lang w:bidi="ru-RU"/>
        </w:rPr>
        <w:softHyphen/>
        <w:t>вочному вооружению», «тип, схему и веса электрооборудования» (21062).</w:t>
      </w:r>
    </w:p>
    <w:p w14:paraId="059D6422" w14:textId="77777777" w:rsidR="00F2208D" w:rsidRPr="00507A31" w:rsidRDefault="00F2208D" w:rsidP="00507A31">
      <w:pPr>
        <w:jc w:val="both"/>
        <w:rPr>
          <w:color w:val="0070C0"/>
          <w:sz w:val="16"/>
          <w:szCs w:val="16"/>
        </w:rPr>
      </w:pPr>
    </w:p>
    <w:p w14:paraId="6CC819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июня 1930 на техническом совещании руководителей групп отдела АГОС В.М.П. докладывал о серийном АНТ-9 на 22 заводе (1077,158), а также об изготовлении макета ТБ-4 (1077,171).</w:t>
      </w:r>
    </w:p>
    <w:p w14:paraId="538438D2" w14:textId="77777777" w:rsidR="00537E5F" w:rsidRPr="00507A31" w:rsidRDefault="00537E5F" w:rsidP="00507A31">
      <w:pPr>
        <w:autoSpaceDE w:val="0"/>
        <w:autoSpaceDN w:val="0"/>
        <w:adjustRightInd w:val="0"/>
        <w:jc w:val="both"/>
        <w:rPr>
          <w:color w:val="000000" w:themeColor="text1"/>
          <w:sz w:val="16"/>
          <w:szCs w:val="16"/>
        </w:rPr>
      </w:pPr>
    </w:p>
    <w:p w14:paraId="1284C2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ночь с 25 на 26 июня 1930 в завершение гос. испытаний серийного Р-5 три машины в строю клин с дистанцией 15-20 м на 1300 м выполнили групповой ночной маршрутный полет и бомбардировку целей на полигоне под Полтавой (3551,17).</w:t>
      </w:r>
    </w:p>
    <w:p w14:paraId="0A22DBC3" w14:textId="77777777" w:rsidR="00537E5F" w:rsidRPr="00507A31" w:rsidRDefault="00537E5F" w:rsidP="00507A31">
      <w:pPr>
        <w:autoSpaceDE w:val="0"/>
        <w:autoSpaceDN w:val="0"/>
        <w:adjustRightInd w:val="0"/>
        <w:jc w:val="both"/>
        <w:rPr>
          <w:color w:val="000000" w:themeColor="text1"/>
          <w:sz w:val="16"/>
          <w:szCs w:val="16"/>
        </w:rPr>
      </w:pPr>
    </w:p>
    <w:p w14:paraId="765582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июня 1930 г. головная машина Р-5 2-й серии №4151 прошла испытания в НИИ ВВС как эталон легкого бомбардировщика с нагрузкой до 664 кг, которые шли с 15 июня 1930. На ней появились храповики и усиленный башмак костыля. Резина колес была отечественного производства. На турели стоял один пулемет ДА, балки Дер-13 отсутствовали. Полеты показали, что шасси недостаточно жесткое для увеличившегося взлетного веса. Всего за неделю испытаний оно начало деформироваться.</w:t>
      </w:r>
    </w:p>
    <w:p w14:paraId="4976D7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 применением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бобышки под бомбодержатели, и со временем от нагрузки расшатался набор крыла. Уже в октябре 1930 г. полеты на Р-5 с бомбами запретили. Предложили использовать самолеты 1-й и 2-й серий только как разведчики, сняв бомбодержатели вообще. </w:t>
      </w:r>
      <w:r w:rsidRPr="00507A31">
        <w:rPr>
          <w:color w:val="000000" w:themeColor="text1"/>
          <w:sz w:val="16"/>
          <w:szCs w:val="16"/>
        </w:rPr>
        <w:lastRenderedPageBreak/>
        <w:t>Но Алкснис, ставший уже начальником УВВС, воспротивился этому. Он не только запретил впредь принимать самолеты без усиления крыла, но и потребовал доработать все ранее выпущенные. 14 ноября приказали вскрыть на заводе уже готовые машины и установить бобышки (11936).</w:t>
      </w:r>
    </w:p>
    <w:p w14:paraId="6F470E31" w14:textId="77777777" w:rsidR="00537E5F" w:rsidRPr="00507A31" w:rsidRDefault="00537E5F" w:rsidP="00507A31">
      <w:pPr>
        <w:autoSpaceDE w:val="0"/>
        <w:autoSpaceDN w:val="0"/>
        <w:adjustRightInd w:val="0"/>
        <w:jc w:val="both"/>
        <w:rPr>
          <w:color w:val="000000" w:themeColor="text1"/>
          <w:sz w:val="16"/>
          <w:szCs w:val="16"/>
        </w:rPr>
      </w:pPr>
    </w:p>
    <w:p w14:paraId="13F85F3F" w14:textId="77777777" w:rsidR="00F24F67" w:rsidRPr="00507A31" w:rsidRDefault="00F24F67" w:rsidP="00507A31">
      <w:pPr>
        <w:jc w:val="both"/>
        <w:rPr>
          <w:color w:val="000000" w:themeColor="text1"/>
          <w:sz w:val="16"/>
          <w:szCs w:val="16"/>
        </w:rPr>
      </w:pPr>
      <w:r w:rsidRPr="00507A31">
        <w:rPr>
          <w:color w:val="000000" w:themeColor="text1"/>
          <w:sz w:val="16"/>
          <w:szCs w:val="16"/>
        </w:rPr>
        <w:t xml:space="preserve">25 июня 1930 г. в материалах АГОС сообщалось, что самолёт АНТ-2бис сделал только один полёт, испытания пришлось прервать из-за течи масла </w:t>
      </w:r>
      <w:hyperlink r:id="rId104" w:history="1">
        <w:r w:rsidRPr="00507A31">
          <w:rPr>
            <w:color w:val="000000" w:themeColor="text1"/>
            <w:sz w:val="16"/>
            <w:szCs w:val="16"/>
          </w:rPr>
          <w:t>[33]</w:t>
        </w:r>
      </w:hyperlink>
      <w:r w:rsidRPr="00507A31">
        <w:rPr>
          <w:color w:val="000000" w:themeColor="text1"/>
          <w:sz w:val="16"/>
          <w:szCs w:val="16"/>
        </w:rPr>
        <w:t xml:space="preserve"> . Да он был уже и не нужен, так как разворачивался серийный выпуск 9-местного АНТ-9 со значительно лучшими характеристиками (17489).</w:t>
      </w:r>
    </w:p>
    <w:p w14:paraId="3A6AA7AA" w14:textId="77777777" w:rsidR="00F24F67" w:rsidRPr="00507A31" w:rsidRDefault="00F24F67" w:rsidP="00507A31">
      <w:pPr>
        <w:jc w:val="both"/>
        <w:rPr>
          <w:color w:val="000000" w:themeColor="text1"/>
          <w:sz w:val="16"/>
          <w:szCs w:val="16"/>
        </w:rPr>
      </w:pPr>
    </w:p>
    <w:p w14:paraId="28AEEB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июня 1930 года была произведена закладка фундаментов основных цехов Саратовского завода комбайнов, а 31 декабря 1931 года с конвейера завода сошел первый комбайн Саратовского завода.</w:t>
      </w:r>
    </w:p>
    <w:p w14:paraId="599E45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1937 года с конвейера завода ежедневно сходило 90 комбайнов типа «СЗК».</w:t>
      </w:r>
    </w:p>
    <w:p w14:paraId="27DB69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Постановлением Правительства от 3 августа 1937 года (протокол № 7) от 13 ноября 1937 года (протокол № 21) и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w:t>
      </w:r>
    </w:p>
    <w:p w14:paraId="2760BA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1946 года завод перешел на выпуск учебно-тренировочного истребителя Яковлева А.С. (ЯК-11).</w:t>
      </w:r>
    </w:p>
    <w:p w14:paraId="44D03D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03DCF0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4E144E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7C1D15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02BF76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IV квартале 1956 года завод приступил к подготовке производства самолетов ЯК-27Ф и ЯК-27 ЖРД» (9514).</w:t>
      </w:r>
    </w:p>
    <w:p w14:paraId="06449B29" w14:textId="77777777" w:rsidR="00537E5F" w:rsidRPr="00507A31" w:rsidRDefault="00537E5F" w:rsidP="00507A31">
      <w:pPr>
        <w:autoSpaceDE w:val="0"/>
        <w:autoSpaceDN w:val="0"/>
        <w:adjustRightInd w:val="0"/>
        <w:jc w:val="both"/>
        <w:rPr>
          <w:color w:val="000000" w:themeColor="text1"/>
          <w:sz w:val="16"/>
          <w:szCs w:val="16"/>
        </w:rPr>
      </w:pPr>
    </w:p>
    <w:p w14:paraId="11011FC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32DFD3C" w14:textId="77777777" w:rsidR="00537E5F" w:rsidRPr="00507A31" w:rsidRDefault="00537E5F" w:rsidP="00507A31">
      <w:pPr>
        <w:autoSpaceDE w:val="0"/>
        <w:autoSpaceDN w:val="0"/>
        <w:adjustRightInd w:val="0"/>
        <w:jc w:val="both"/>
        <w:rPr>
          <w:iCs/>
          <w:color w:val="000000" w:themeColor="text1"/>
          <w:sz w:val="16"/>
          <w:szCs w:val="16"/>
        </w:rPr>
      </w:pPr>
    </w:p>
    <w:p w14:paraId="4658EE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25 июня по 7 июля 1930 проходили испытания модернизации опытного легкого бронепоезда в составе одного бронепаровоза и двух бронеплощадок с 76 мм пушками образца 1902 г..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(10977).</w:t>
      </w:r>
    </w:p>
    <w:p w14:paraId="5CCF1F31" w14:textId="77777777" w:rsidR="00537E5F" w:rsidRPr="00507A31" w:rsidRDefault="00537E5F" w:rsidP="00507A31">
      <w:pPr>
        <w:autoSpaceDE w:val="0"/>
        <w:autoSpaceDN w:val="0"/>
        <w:adjustRightInd w:val="0"/>
        <w:jc w:val="both"/>
        <w:rPr>
          <w:color w:val="000000" w:themeColor="text1"/>
          <w:sz w:val="16"/>
          <w:szCs w:val="16"/>
        </w:rPr>
      </w:pPr>
    </w:p>
    <w:p w14:paraId="10EC9563" w14:textId="77777777" w:rsidR="00975F75" w:rsidRPr="00507A31" w:rsidRDefault="00975F75" w:rsidP="00507A31">
      <w:pPr>
        <w:jc w:val="both"/>
        <w:rPr>
          <w:color w:val="000000" w:themeColor="text1"/>
          <w:sz w:val="16"/>
          <w:szCs w:val="16"/>
        </w:rPr>
      </w:pPr>
      <w:r w:rsidRPr="00507A31">
        <w:rPr>
          <w:color w:val="000000" w:themeColor="text1"/>
          <w:sz w:val="16"/>
          <w:szCs w:val="16"/>
        </w:rPr>
        <w:t xml:space="preserve">С 25 июня по 7 июля 1930 года на участке железной дороги Брянск – Карачев прошли испытания модернизированного состава сормовского бронепоезда. В целом установка освещения и средств связи значительно облегчили действия экипажа и командира бронепоезда в боевой обстановке, но был выявлен и ряд недостатков: «Слышимость телефонной связи на медленном ходу было удовлетворительной, на быстром (до </w:t>
      </w:r>
      <w:smartTag w:uri="urn:schemas-microsoft-com:office:smarttags" w:element="metricconverter">
        <w:smartTagPr>
          <w:attr w:name="ProductID" w:val="1945 г"/>
        </w:smartTagPr>
        <w:r w:rsidRPr="00507A31">
          <w:rPr>
            <w:color w:val="000000" w:themeColor="text1"/>
            <w:sz w:val="16"/>
            <w:szCs w:val="16"/>
          </w:rPr>
          <w:t>45 км/ч</w:t>
        </w:r>
      </w:smartTag>
      <w:r w:rsidRPr="00507A31">
        <w:rPr>
          <w:color w:val="000000" w:themeColor="text1"/>
          <w:sz w:val="16"/>
          <w:szCs w:val="16"/>
        </w:rPr>
        <w:t>) удовлетворительной настолько, что команды можно было передавать. Слышимость по рупорной связи была совершено плохой и то только с бронеплощадкой №1 (соединяющейся с тендером). В огневом налете командир бронепоезда пользовался сигнализацией артиллерийской тревоги для подачи общих сигналов всему составу поезда. Сигналы по условному коду «для боя», «химатака», «воздушное нападение», «общий отбой» принимались на площадках хорошо… Расположение динамо-машины рядом с паровым котлом и отсутствие притока воздуха наружной температуры дает сильный нагрев динамо, что недопустимо». В конце июля 1930 бронепаровоз отправили в Нижний Новгород, в Центральную индустриальную лабораторию «для установки приемо-передающей радиостанции и упрощения схемы связи и освещения» (15218).</w:t>
      </w:r>
    </w:p>
    <w:p w14:paraId="5F2BB0BC" w14:textId="77777777" w:rsidR="00975F75" w:rsidRPr="00507A31" w:rsidRDefault="00975F75" w:rsidP="00507A31">
      <w:pPr>
        <w:jc w:val="both"/>
        <w:rPr>
          <w:color w:val="000000" w:themeColor="text1"/>
          <w:sz w:val="16"/>
          <w:szCs w:val="16"/>
        </w:rPr>
      </w:pPr>
    </w:p>
    <w:p w14:paraId="2A27F7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 июня 1930 г. вышел ПРИКАЗ УММ ОБ ОБЕСПЕЧЕНИИ БРОНЕВЫХ КОМАНДНЫХ КУРСОВ № 52/2</w:t>
      </w:r>
    </w:p>
    <w:p w14:paraId="5A5C8B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2B5D28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обеспечения Броневых командных курсов имени Бубнова в новом учебном году в матери</w:t>
      </w:r>
      <w:r w:rsidRPr="00507A31">
        <w:rPr>
          <w:color w:val="000000" w:themeColor="text1"/>
          <w:sz w:val="16"/>
          <w:szCs w:val="16"/>
        </w:rPr>
        <w:softHyphen/>
        <w:t>альном и учебном отношениях приказываю:</w:t>
      </w:r>
    </w:p>
    <w:p w14:paraId="2FF496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I. По техническому управлению</w:t>
      </w:r>
    </w:p>
    <w:p w14:paraId="554FAF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Снабдить БКК танками в числе 36 шт. из расчета:</w:t>
      </w:r>
    </w:p>
    <w:p w14:paraId="6D168A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шт. в июле с Мотовилихинского завода,</w:t>
      </w:r>
    </w:p>
    <w:p w14:paraId="14C2C5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 шт. в июле с завода "Большевик",</w:t>
      </w:r>
    </w:p>
    <w:p w14:paraId="0F14B4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шт. в августе с Мотовилихинского завода,</w:t>
      </w:r>
    </w:p>
    <w:p w14:paraId="285DBD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шт. в сентябре с Мотовилихинского завода.</w:t>
      </w:r>
    </w:p>
    <w:p w14:paraId="2F46AA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 июне месяце с.г. выдать БКК с завода "Большевик" один батальонный комплект и два рот</w:t>
      </w:r>
      <w:r w:rsidRPr="00507A31">
        <w:rPr>
          <w:color w:val="000000" w:themeColor="text1"/>
          <w:sz w:val="16"/>
          <w:szCs w:val="16"/>
        </w:rPr>
        <w:softHyphen/>
        <w:t>ных комплекта запасных деталей для МС-1.</w:t>
      </w:r>
    </w:p>
    <w:p w14:paraId="450F77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Запасные части, для тракторов "Большевик" и "Коммунар" по заявкам БКК выдать не позднее 5 июля с.г.</w:t>
      </w:r>
    </w:p>
    <w:p w14:paraId="7D61DD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Положенными по нормам запасными частями для бронеавтомобилей БА-27, полугрузовиков АМО-Форд и мотоциклов предложить ВТО ЛВО обеспечить в первую очередь БКК.</w:t>
      </w:r>
    </w:p>
    <w:p w14:paraId="2E833C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Для производства среднего и капитального ремонтов автомобилей и танков отпустить 10 000 руб. авансом, по заявке начальника курсов.</w:t>
      </w:r>
    </w:p>
    <w:p w14:paraId="7BC13C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проверки представленной сметы, ознакомления с потребностями и возможностями произ</w:t>
      </w:r>
      <w:r w:rsidRPr="00507A31">
        <w:rPr>
          <w:color w:val="000000" w:themeColor="text1"/>
          <w:sz w:val="16"/>
          <w:szCs w:val="16"/>
        </w:rPr>
        <w:softHyphen/>
        <w:t>водства ремонта на месте, а также изучения постановки работы в мастерских БКК, проверки и вы</w:t>
      </w:r>
      <w:r w:rsidRPr="00507A31">
        <w:rPr>
          <w:color w:val="000000" w:themeColor="text1"/>
          <w:sz w:val="16"/>
          <w:szCs w:val="16"/>
        </w:rPr>
        <w:softHyphen/>
        <w:t>явления расхода норм горючего, характера эксплуатации и сбережения материальной части назна</w:t>
      </w:r>
      <w:r w:rsidRPr="00507A31">
        <w:rPr>
          <w:color w:val="000000" w:themeColor="text1"/>
          <w:sz w:val="16"/>
          <w:szCs w:val="16"/>
        </w:rPr>
        <w:softHyphen/>
        <w:t>чить т. Кашкарова и т. Денисова.</w:t>
      </w:r>
    </w:p>
    <w:p w14:paraId="3F4DF4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Кроме того, на них возлагаю:</w:t>
      </w:r>
    </w:p>
    <w:p w14:paraId="2CA4FC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рассмотреть заявку курсов на будущий операционный год - на материалы, запасные части и оплату рабочей силы;</w:t>
      </w:r>
    </w:p>
    <w:p w14:paraId="50866D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выяснить необходимость и рассмотреть предварительную смету на оборудование двух бензоколонок, маслохранилища и переключения мастерской на городской ток. Работу закончить к 15 июля.</w:t>
      </w:r>
    </w:p>
    <w:p w14:paraId="50249E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Из склада № 127 выдать БКК легковой автомобиль Фиат с необходимыми запасными частями и отпустить 2 000 рублей на производство ремонта в мастерских Курсов.</w:t>
      </w:r>
    </w:p>
    <w:p w14:paraId="27DF63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Взамен этого начальнику курсов легковой автомобиль Форд сдать Танковой школе.</w:t>
      </w:r>
    </w:p>
    <w:p w14:paraId="3FF5B7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В начале будущего операционного года обеспечить БКК автомобилями Я-5 - 3 шт. для произ</w:t>
      </w:r>
      <w:r w:rsidRPr="00507A31">
        <w:rPr>
          <w:color w:val="000000" w:themeColor="text1"/>
          <w:sz w:val="16"/>
          <w:szCs w:val="16"/>
        </w:rPr>
        <w:softHyphen/>
        <w:t>водства перевозки танков.</w:t>
      </w:r>
    </w:p>
    <w:p w14:paraId="509AA7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началу занятий 1930/31 учебного года заменить на БКК броневые автомобили Остин - 3 шт., Фиат -1 шт. на такое же число бронеавтомобилей марки БА-27; грузовые Уайт - 5 шт. и 1 полугрузо</w:t>
      </w:r>
      <w:r w:rsidRPr="00507A31">
        <w:rPr>
          <w:color w:val="000000" w:themeColor="text1"/>
          <w:sz w:val="16"/>
          <w:szCs w:val="16"/>
        </w:rPr>
        <w:softHyphen/>
        <w:t>вой Фиат — грузовиками АМО или Форд и Я-5.</w:t>
      </w:r>
    </w:p>
    <w:p w14:paraId="580EE4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Добиться отпуска БКК в июле месяце с.г. 2 радиостанций типа 34-ДП, от ВТУ РККА, и от АУ РККА прицельных оптических приборов пулеметов Дегтярева и пушек Гочкиса на роту танков и взвод бронемашин.</w:t>
      </w:r>
    </w:p>
    <w:p w14:paraId="4E5510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Принять меры к получению в июне месяце и передаче Курсам компа[сов]: а) типа АМ1, б) 253 АС, в) Морель (типа пилот с каской и зеркалом).</w:t>
      </w:r>
    </w:p>
    <w:p w14:paraId="306703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Начальнику Технического управления разработать табели и нормы запасных частей для всех ти</w:t>
      </w:r>
      <w:r w:rsidRPr="00507A31">
        <w:rPr>
          <w:color w:val="000000" w:themeColor="text1"/>
          <w:sz w:val="16"/>
          <w:szCs w:val="16"/>
        </w:rPr>
        <w:softHyphen/>
        <w:t>пов автомобилей, состоящих на снабжении в РККА. Установить сроки разработки, представив мне на утверждение календарный план работы.</w:t>
      </w:r>
    </w:p>
    <w:p w14:paraId="7AFE08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2. По 1 управлению</w:t>
      </w:r>
    </w:p>
    <w:p w14:paraId="7EA3E5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Начальнику 1 управления по передаче УВУЗом материалов срочно позаботиться о составле</w:t>
      </w:r>
      <w:r w:rsidRPr="00507A31">
        <w:rPr>
          <w:color w:val="000000" w:themeColor="text1"/>
          <w:sz w:val="16"/>
          <w:szCs w:val="16"/>
        </w:rPr>
        <w:softHyphen/>
        <w:t>нии сметы на истребование кредитов на учебные пособия и оборудования для БКК, руководствуясь приказом № 256 РВС СССР 1928 года и штатами Курсов. (555 слушателей по 167 руб. 75 коп. слуша</w:t>
      </w:r>
      <w:r w:rsidRPr="00507A31">
        <w:rPr>
          <w:color w:val="000000" w:themeColor="text1"/>
          <w:sz w:val="16"/>
          <w:szCs w:val="16"/>
        </w:rPr>
        <w:softHyphen/>
        <w:t>тель - всего 93 101 руб. 25 коп.) на 1930/31 учебный год; одновременно истребовать сумму на опла</w:t>
      </w:r>
      <w:r w:rsidRPr="00507A31">
        <w:rPr>
          <w:color w:val="000000" w:themeColor="text1"/>
          <w:sz w:val="16"/>
          <w:szCs w:val="16"/>
        </w:rPr>
        <w:softHyphen/>
        <w:t>ту преподавательского состава.</w:t>
      </w:r>
    </w:p>
    <w:p w14:paraId="709CE2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Начальнику Броневых командных курсов эту смету представить мне после разработки учебно</w:t>
      </w:r>
      <w:r w:rsidRPr="00507A31">
        <w:rPr>
          <w:color w:val="000000" w:themeColor="text1"/>
          <w:sz w:val="16"/>
          <w:szCs w:val="16"/>
        </w:rPr>
        <w:softHyphen/>
        <w:t>го плана.</w:t>
      </w:r>
    </w:p>
    <w:p w14:paraId="4D9D63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Начальнику 1 управления установить, согласовав со 2 управлением Штаба РККА, численность переменного состава Курсов по каждой специальности и сроки обучения по ним.</w:t>
      </w:r>
    </w:p>
    <w:p w14:paraId="29F3F5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Произвести распределение окончившего БКК слушательского состава по бронетанковым и моторизованным частям РККА.</w:t>
      </w:r>
    </w:p>
    <w:p w14:paraId="0F1DCB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Начальнику 1 управления проработанный штат БКК провести через соответствующие комис</w:t>
      </w:r>
      <w:r w:rsidRPr="00507A31">
        <w:rPr>
          <w:color w:val="000000" w:themeColor="text1"/>
          <w:sz w:val="16"/>
          <w:szCs w:val="16"/>
        </w:rPr>
        <w:softHyphen/>
        <w:t>сии Штаба РККА для утверждения в июле месяце с.г.</w:t>
      </w:r>
    </w:p>
    <w:p w14:paraId="051B6A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В целях качественного улучшения слушательского состава командируемых на БКК возбудить хода</w:t>
      </w:r>
      <w:r w:rsidRPr="00507A31">
        <w:rPr>
          <w:color w:val="000000" w:themeColor="text1"/>
          <w:sz w:val="16"/>
          <w:szCs w:val="16"/>
        </w:rPr>
        <w:softHyphen/>
        <w:t>тайство перед ГУ РККА о предоставлении прав Начальнику БКК отчисления всех не соответственно коман</w:t>
      </w:r>
      <w:r w:rsidRPr="00507A31">
        <w:rPr>
          <w:color w:val="000000" w:themeColor="text1"/>
          <w:sz w:val="16"/>
          <w:szCs w:val="16"/>
        </w:rPr>
        <w:softHyphen/>
        <w:t>дированных после заключения приемных комиссий и неуспевающих по истечении 2 месячного срока.</w:t>
      </w:r>
    </w:p>
    <w:p w14:paraId="07D9B1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Начальнику 1 управления привлекать начальника Курсов или представителей от Курсов на все маневры, сборы и учения в округах, имеющие учебно-опытный характер.</w:t>
      </w:r>
    </w:p>
    <w:p w14:paraId="456E8B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3CE78F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Начальнику БКК представить чертежи, фотографии, схемы и сметные работы на конструиру</w:t>
      </w:r>
      <w:r w:rsidRPr="00507A31">
        <w:rPr>
          <w:color w:val="000000" w:themeColor="text1"/>
          <w:sz w:val="16"/>
          <w:szCs w:val="16"/>
        </w:rPr>
        <w:softHyphen/>
        <w:t>емые: компас, мушку и радиосветовую сигнализацию до рассмотрения в НТК УММ.</w:t>
      </w:r>
    </w:p>
    <w:p w14:paraId="1A6766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Начальнику БКК изготовить башни-макеты и укалывающие приспособления для Танковой школы в количестве по согласованию с начальником Танковой школы.</w:t>
      </w:r>
    </w:p>
    <w:p w14:paraId="0BD5E2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В дальнейшем начальнику БКК делать мне личный доклад один раз в месяц каждое 15 число. При отсутствии вопросов уведомлять почтой.</w:t>
      </w:r>
    </w:p>
    <w:p w14:paraId="2763DE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Начальник УММ РККА Халепский</w:t>
      </w:r>
    </w:p>
    <w:p w14:paraId="3D6848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РГВА.Ф. 3)811. Он. 1. Д. 86. Л. 2. Копия (11210).</w:t>
      </w:r>
    </w:p>
    <w:p w14:paraId="64B330E4" w14:textId="77777777" w:rsidR="00537E5F" w:rsidRPr="00507A31" w:rsidRDefault="00537E5F" w:rsidP="00507A31">
      <w:pPr>
        <w:autoSpaceDE w:val="0"/>
        <w:autoSpaceDN w:val="0"/>
        <w:adjustRightInd w:val="0"/>
        <w:jc w:val="both"/>
        <w:rPr>
          <w:color w:val="000000" w:themeColor="text1"/>
          <w:sz w:val="16"/>
          <w:szCs w:val="16"/>
        </w:rPr>
      </w:pPr>
    </w:p>
    <w:p w14:paraId="4967907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251E05D1" w14:textId="77777777" w:rsidR="00537E5F" w:rsidRPr="00507A31" w:rsidRDefault="00537E5F" w:rsidP="00507A31">
      <w:pPr>
        <w:autoSpaceDE w:val="0"/>
        <w:autoSpaceDN w:val="0"/>
        <w:adjustRightInd w:val="0"/>
        <w:jc w:val="both"/>
        <w:rPr>
          <w:iCs/>
          <w:color w:val="000000" w:themeColor="text1"/>
          <w:sz w:val="16"/>
          <w:szCs w:val="16"/>
        </w:rPr>
      </w:pPr>
    </w:p>
    <w:p w14:paraId="0BD1DB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Ночью с 25 на 26 июня 1930 звено Р-5 20-й эскадрильи совершило условный налет на летний лагерь 21-й стрелковой дивизии у станции Ерески -в 170 км от своего аэродрома. На следующую ночь звено самолетов осуществило перелет Харьков - Киев. Машины пилотировали летчики Зимма, Шестель и Татулов; командир эскадрильи Дейч сидел на месте летнаба в головном Р-5. В Киеве садились в темноте, при свете костров и единственного прожектора. Отдохнув днем, ночью отправились обратно и к утру благополучно приземлились в Харькове.</w:t>
      </w:r>
    </w:p>
    <w:p w14:paraId="0CE156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Эскадрилья тогда являлась главной структурной единицей наших ВВС. Легкобомбардировочная или разведывательная эскадрилья включала 19 самолетов и делилась на два отряда. Три-четыре эскадрильи сводились в авиабригаду. С февраля 1932 г. ввели штат из 28 машин (три отряда), а годом позже увеличили количество самолетов в отряде до десяти и эскадрилья, соответственно, стала комплектоваться 31 Р-5.</w:t>
      </w:r>
    </w:p>
    <w:p w14:paraId="3BB379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середине 1931 г.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эскадрильям (лбаэ). На совещании 31 августа 1930 г. решили отдать приоритет именно бомбардировочной авиации, перевооружив постепенно на Р-5 все части легких бомбардировщиков, кроме двух эскадрилий в ОКД ВА. После этого предстояло оснащение шести разведывательных эскадрилий (раэ) в Подмосковье, Белоруссии и на Украине (16-й, 20-й, 30-й, 50-й, 52-й и 54-й). В школы решили пока Р-5 не давать - обойдутся старыми Р-1 и "фоккерами". Исключение сделали только для академии им. Жуковского - она получила сначала один из опытных Р-5, а затем и еще партию машин (12034).</w:t>
      </w:r>
    </w:p>
    <w:p w14:paraId="6F3D819A" w14:textId="77777777" w:rsidR="00537E5F" w:rsidRPr="00507A31" w:rsidRDefault="00537E5F" w:rsidP="00507A31">
      <w:pPr>
        <w:autoSpaceDE w:val="0"/>
        <w:autoSpaceDN w:val="0"/>
        <w:adjustRightInd w:val="0"/>
        <w:jc w:val="both"/>
        <w:rPr>
          <w:color w:val="000000" w:themeColor="text1"/>
          <w:sz w:val="16"/>
          <w:szCs w:val="16"/>
        </w:rPr>
      </w:pPr>
    </w:p>
    <w:p w14:paraId="25A1D64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CA51EE7" w14:textId="77777777" w:rsidR="00537E5F" w:rsidRPr="00507A31" w:rsidRDefault="00537E5F" w:rsidP="00507A31">
      <w:pPr>
        <w:autoSpaceDE w:val="0"/>
        <w:autoSpaceDN w:val="0"/>
        <w:adjustRightInd w:val="0"/>
        <w:jc w:val="both"/>
        <w:rPr>
          <w:iCs/>
          <w:color w:val="000000" w:themeColor="text1"/>
          <w:sz w:val="16"/>
          <w:szCs w:val="16"/>
        </w:rPr>
      </w:pPr>
    </w:p>
    <w:p w14:paraId="759F72F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 июня 1930 согласно классикам, Остап Бендер завел дело Александра Корейко (4962).</w:t>
      </w:r>
    </w:p>
    <w:p w14:paraId="010A288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DC2735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7CF29A5" w14:textId="77777777" w:rsidR="00537E5F" w:rsidRPr="00507A31" w:rsidRDefault="00537E5F" w:rsidP="00507A31">
      <w:pPr>
        <w:autoSpaceDE w:val="0"/>
        <w:autoSpaceDN w:val="0"/>
        <w:adjustRightInd w:val="0"/>
        <w:jc w:val="both"/>
        <w:rPr>
          <w:iCs/>
          <w:color w:val="000000" w:themeColor="text1"/>
          <w:sz w:val="16"/>
          <w:szCs w:val="16"/>
        </w:rPr>
      </w:pPr>
    </w:p>
    <w:p w14:paraId="517D72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июня 1930 УВВС сообщило КБ А.Н.Т. ориентировочные требования к двухместному пушечному истребителю (2072,76).</w:t>
      </w:r>
    </w:p>
    <w:p w14:paraId="54AF2C6A" w14:textId="77777777" w:rsidR="00537E5F" w:rsidRPr="00507A31" w:rsidRDefault="00537E5F" w:rsidP="00507A31">
      <w:pPr>
        <w:autoSpaceDE w:val="0"/>
        <w:autoSpaceDN w:val="0"/>
        <w:adjustRightInd w:val="0"/>
        <w:jc w:val="both"/>
        <w:rPr>
          <w:color w:val="000000" w:themeColor="text1"/>
          <w:sz w:val="16"/>
          <w:szCs w:val="16"/>
        </w:rPr>
      </w:pPr>
    </w:p>
    <w:p w14:paraId="5F47C6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состоянию на 26 июня 1930 была подготовлена Справка о прохождении морских самолетов пятилетнего плана опытного самолетостроения</w:t>
      </w:r>
    </w:p>
    <w:p w14:paraId="5F9467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 мотор БМВVI 500 НР</w:t>
      </w:r>
    </w:p>
    <w:p w14:paraId="5B5AC3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июня 1930 года.</w:t>
      </w:r>
    </w:p>
    <w:p w14:paraId="43FF437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Несмотря на неоднократные письменные и устные заявления о предоставлении материалов для утверждения переделок, от ГВАО ничего не получено.</w:t>
      </w:r>
    </w:p>
    <w:p w14:paraId="32CBC7B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Первый экземпляр опытной лодки собран, осталась зашивка палубы.</w:t>
      </w:r>
    </w:p>
    <w:p w14:paraId="4EBA1DC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Крылья. Поврежденные ржавчиной металлические детали заменены.</w:t>
      </w:r>
    </w:p>
    <w:p w14:paraId="551675F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Оперение. Сделан новый руль поворотов.</w:t>
      </w:r>
    </w:p>
    <w:p w14:paraId="59B8C14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Моторная рама. Первоначальный проект оказался неудачным, в каком состоянии находится проектировка рамы, производителю работ неизвестно.</w:t>
      </w:r>
    </w:p>
    <w:p w14:paraId="1FDA8E6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Второй экземпляр лодки. Изготовлен набор шпангоутов и подготовлена для сборки на стапель.</w:t>
      </w:r>
    </w:p>
    <w:p w14:paraId="1E95598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Задержка работ объясняется недостатком помещения и предполагающейся переброской на завод № 39.</w:t>
      </w:r>
    </w:p>
    <w:p w14:paraId="6297BF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 Срок предъявления на гос. испытания 1 ноября 1930 года. Эскизный проект находится в стадии проработки.</w:t>
      </w:r>
    </w:p>
    <w:p w14:paraId="729A3A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 2 мотора БМВVI – 500 НР.</w:t>
      </w:r>
    </w:p>
    <w:p w14:paraId="21D0EDF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октября 1930 года.</w:t>
      </w:r>
    </w:p>
    <w:p w14:paraId="67456FF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Несмотря на неоднократные письменные и устные заявления о предоставлении материалов для утверждения переделок, от ГВАО ничего не получено.</w:t>
      </w:r>
    </w:p>
    <w:p w14:paraId="6DE678FA"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 первоначальному проекту лодка была удлинена, для чего средняя часть была разрезана, затем переделка самолета была передана на завод № 39 и лодка была вновь укорочена.</w:t>
      </w:r>
    </w:p>
    <w:p w14:paraId="3DBC0BE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Первоначально разработанный проект переделки крыла был забракован КБ завода № 39 и настоящее состояние работ по крылу неизвестно.</w:t>
      </w:r>
    </w:p>
    <w:p w14:paraId="7220705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Работы по лодке идут сниженным темпом по указанию ГВАО.</w:t>
      </w:r>
    </w:p>
    <w:p w14:paraId="618347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МДР-2. 2 мотора БМВVI – 500 НР (ЦАГИ).</w:t>
      </w:r>
    </w:p>
    <w:p w14:paraId="044978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ноября 1930 года.</w:t>
      </w:r>
    </w:p>
    <w:p w14:paraId="1190F74E"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Процент готовности – 50%.</w:t>
      </w:r>
    </w:p>
    <w:p w14:paraId="016C22D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Макет предположено дооборудовать согласно указаний макетной комиссии к 10 июля. Задержка из-за доставки предметов оборудования, не доставленных 3 секцией.</w:t>
      </w:r>
    </w:p>
    <w:p w14:paraId="2C821C4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 самолету работы почти прекращены, так как рабсила перекинута на постройку сухопутных самолетов.</w:t>
      </w:r>
    </w:p>
    <w:p w14:paraId="1682A4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w:t>
      </w:r>
    </w:p>
    <w:p w14:paraId="2CE54C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мая 1931 года.</w:t>
      </w:r>
    </w:p>
    <w:p w14:paraId="73A5D0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Эскизный проект находится в стадии проработки.</w:t>
      </w:r>
    </w:p>
    <w:p w14:paraId="3B3FD6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 2 мотора БМВVI – 500 НР.</w:t>
      </w:r>
    </w:p>
    <w:p w14:paraId="1B1DAA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ноября 1930 года.</w:t>
      </w:r>
    </w:p>
    <w:p w14:paraId="5C11F16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Предварительный проект не утвержден.</w:t>
      </w:r>
    </w:p>
    <w:p w14:paraId="3766716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Готовность самолета 35%.</w:t>
      </w:r>
    </w:p>
    <w:p w14:paraId="701961B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Вопрос о достройке летного экземпляра находится в стадии разрешения.</w:t>
      </w:r>
    </w:p>
    <w:p w14:paraId="18C6BF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w:t>
      </w:r>
    </w:p>
    <w:p w14:paraId="1BBB4A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января 1931 года.</w:t>
      </w:r>
    </w:p>
    <w:p w14:paraId="7B1449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Эскизный проект представлен на рассмотрение в секцию</w:t>
      </w:r>
    </w:p>
    <w:p w14:paraId="545F69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МТБ-3. (ЦАГИ).</w:t>
      </w:r>
    </w:p>
    <w:p w14:paraId="6B6F95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января 1932 года.</w:t>
      </w:r>
    </w:p>
    <w:p w14:paraId="32B6A3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Эскизный проект находится в стадии разработки.</w:t>
      </w:r>
    </w:p>
    <w:p w14:paraId="23ADA4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МУ2-М11.</w:t>
      </w:r>
    </w:p>
    <w:p w14:paraId="579A1B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июня 1930 года.</w:t>
      </w:r>
    </w:p>
    <w:p w14:paraId="4E185BE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Рассмотрение проекта установки У2 на поплавки в секции не рассматривалось, так как ГВАО не представило материалов в объеме достаточном для проработки заключения.</w:t>
      </w:r>
    </w:p>
    <w:p w14:paraId="178BAC8E"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Самолет готов к заводским испытаниям.</w:t>
      </w:r>
    </w:p>
    <w:p w14:paraId="6467770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Задержка в отсутствии пилота.</w:t>
      </w:r>
    </w:p>
    <w:p w14:paraId="704F72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 Срок предъявления на гос. испытания 1 июня 1931 года.</w:t>
      </w:r>
    </w:p>
    <w:p w14:paraId="32E7D8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 по проектированию не ведется.</w:t>
      </w:r>
    </w:p>
    <w:p w14:paraId="03670E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А1-М11.</w:t>
      </w:r>
    </w:p>
    <w:p w14:paraId="23B6D2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июля 1930 года.</w:t>
      </w:r>
    </w:p>
    <w:p w14:paraId="37BB58B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Эскизный проект утвержден.</w:t>
      </w:r>
    </w:p>
    <w:p w14:paraId="2946F90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 сведениям, полученным от ГВАО самолет выйдет на заводские испытания 15 июля 1930 года.</w:t>
      </w:r>
    </w:p>
    <w:p w14:paraId="22CBB9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(Инженер 1 секции Волков) (6998, 35-36).</w:t>
      </w:r>
    </w:p>
    <w:p w14:paraId="7C886864" w14:textId="77777777" w:rsidR="00537E5F" w:rsidRPr="00507A31" w:rsidRDefault="00537E5F" w:rsidP="00507A31">
      <w:pPr>
        <w:autoSpaceDE w:val="0"/>
        <w:autoSpaceDN w:val="0"/>
        <w:adjustRightInd w:val="0"/>
        <w:jc w:val="both"/>
        <w:rPr>
          <w:color w:val="000000" w:themeColor="text1"/>
          <w:sz w:val="16"/>
          <w:szCs w:val="16"/>
        </w:rPr>
      </w:pPr>
    </w:p>
    <w:p w14:paraId="1819B7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июня 1930 года инженер Горощенко</w:t>
      </w:r>
    </w:p>
    <w:p w14:paraId="2DA6FD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Справка о прохождении сухопутных самолетов пятилетнего плана опытного самолетостроения по линии ГВАО</w:t>
      </w:r>
    </w:p>
    <w:p w14:paraId="7A53FE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ТБ2-2БМВVI</w:t>
      </w:r>
    </w:p>
    <w:p w14:paraId="0350D9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мая 1930 года не выдержан. Самолет находится на заводских испытаниях в стадии доводки, так как обнаружен ряд дефектов особенно в системе управления и бензопитания.</w:t>
      </w:r>
    </w:p>
    <w:p w14:paraId="4FAC16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перетяжелен на 954 кг, из которых 824 падает на крылья. Срок предъявления на гос. испытания 1 мая 1931 года.</w:t>
      </w:r>
    </w:p>
    <w:p w14:paraId="17E98A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Р8-М34.</w:t>
      </w:r>
    </w:p>
    <w:p w14:paraId="756962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25 приступил к проектированию самолета. К гастоящему времени ГВАО еще не наметило мотора, который явился бы подстраховкой мотора М34.</w:t>
      </w:r>
    </w:p>
    <w:p w14:paraId="66FE9E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Срок предъявления на гос. испытания 1 мая 1931 года.</w:t>
      </w:r>
    </w:p>
    <w:p w14:paraId="511139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МИ2-2М34.</w:t>
      </w:r>
    </w:p>
    <w:p w14:paraId="1CD8E0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НТК не имеет официальных данных о том, какому КБ ГВАО поручило проектирование самолета.</w:t>
      </w:r>
    </w:p>
    <w:p w14:paraId="471B6E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ДИ2-БМВVI</w:t>
      </w:r>
    </w:p>
    <w:p w14:paraId="0265C2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мая 1930 года не выдержан. Самолет находится в стадии доводки в отношении штопора, не давшей до настоящего времени положительных результатов.</w:t>
      </w:r>
    </w:p>
    <w:p w14:paraId="14F0C9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И6-ЮVI и ЮVII</w:t>
      </w:r>
    </w:p>
    <w:p w14:paraId="7464EA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второй экземпляр с мотором ЮVII находится в стадии заводских испытаний. Первый экземпляр при заводских испытаниях разбит. Срок предъявления на гос. испытания 1 декабря 1930 года</w:t>
      </w:r>
    </w:p>
    <w:p w14:paraId="5E9089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И7-БМВVI</w:t>
      </w:r>
    </w:p>
    <w:p w14:paraId="69F5C5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Конструкция деревянного экземпляра самолета разработана и передается в производство.</w:t>
      </w:r>
    </w:p>
    <w:p w14:paraId="14ABD5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к испытаниям 1 марта 1931 года.</w:t>
      </w:r>
    </w:p>
    <w:p w14:paraId="1F2207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И9-М32</w:t>
      </w:r>
    </w:p>
    <w:p w14:paraId="778837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25 приступил к проектированию самолета (6998, 37).</w:t>
      </w:r>
    </w:p>
    <w:p w14:paraId="3FD5CC5F" w14:textId="77777777" w:rsidR="00537E5F" w:rsidRPr="00507A31" w:rsidRDefault="00537E5F" w:rsidP="00507A31">
      <w:pPr>
        <w:autoSpaceDE w:val="0"/>
        <w:autoSpaceDN w:val="0"/>
        <w:adjustRightInd w:val="0"/>
        <w:jc w:val="both"/>
        <w:rPr>
          <w:color w:val="000000" w:themeColor="text1"/>
          <w:sz w:val="16"/>
          <w:szCs w:val="16"/>
        </w:rPr>
      </w:pPr>
    </w:p>
    <w:p w14:paraId="080E33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июня 1930 в Воронеже состоялись первые в СССР массовые парашютные прыжки (271,121).</w:t>
      </w:r>
    </w:p>
    <w:p w14:paraId="23DC764D" w14:textId="77777777" w:rsidR="00537E5F" w:rsidRPr="00507A31" w:rsidRDefault="00537E5F" w:rsidP="00507A31">
      <w:pPr>
        <w:autoSpaceDE w:val="0"/>
        <w:autoSpaceDN w:val="0"/>
        <w:adjustRightInd w:val="0"/>
        <w:jc w:val="both"/>
        <w:rPr>
          <w:color w:val="000000" w:themeColor="text1"/>
          <w:sz w:val="16"/>
          <w:szCs w:val="16"/>
        </w:rPr>
      </w:pPr>
    </w:p>
    <w:p w14:paraId="5BB325CA" w14:textId="77777777" w:rsidR="00975F75" w:rsidRPr="00507A31" w:rsidRDefault="00975F75" w:rsidP="00507A31">
      <w:pPr>
        <w:jc w:val="both"/>
        <w:rPr>
          <w:color w:val="000000" w:themeColor="text1"/>
          <w:sz w:val="16"/>
          <w:szCs w:val="16"/>
        </w:rPr>
      </w:pPr>
      <w:r w:rsidRPr="00507A31">
        <w:rPr>
          <w:bCs/>
          <w:color w:val="000000" w:themeColor="text1"/>
          <w:sz w:val="16"/>
          <w:szCs w:val="16"/>
        </w:rPr>
        <w:t>26 июня</w:t>
      </w:r>
      <w:r w:rsidRPr="00507A31">
        <w:rPr>
          <w:color w:val="000000" w:themeColor="text1"/>
          <w:sz w:val="16"/>
          <w:szCs w:val="16"/>
        </w:rPr>
        <w:t xml:space="preserve"> в 1930 году под Воронежем под руководством </w:t>
      </w:r>
      <w:hyperlink r:id="rId105" w:tgtFrame="_blank" w:history="1">
        <w:r w:rsidRPr="00507A31">
          <w:rPr>
            <w:color w:val="000000" w:themeColor="text1"/>
            <w:sz w:val="16"/>
            <w:szCs w:val="16"/>
          </w:rPr>
          <w:t xml:space="preserve">Л.Г.Минова </w:t>
        </w:r>
      </w:hyperlink>
      <w:r w:rsidRPr="00507A31">
        <w:rPr>
          <w:color w:val="000000" w:themeColor="text1"/>
          <w:sz w:val="16"/>
          <w:szCs w:val="16"/>
        </w:rPr>
        <w:t>начались первые в СССР парашютные занятия с выполнением прыжков с самолёта. Этот день стал днем рождения советского парашютного спорта (14934).</w:t>
      </w:r>
    </w:p>
    <w:p w14:paraId="02BD8A9B" w14:textId="77777777" w:rsidR="00975F75" w:rsidRPr="00507A31" w:rsidRDefault="00975F75" w:rsidP="00507A31">
      <w:pPr>
        <w:jc w:val="both"/>
        <w:rPr>
          <w:color w:val="000000" w:themeColor="text1"/>
          <w:sz w:val="16"/>
          <w:szCs w:val="16"/>
        </w:rPr>
      </w:pPr>
    </w:p>
    <w:p w14:paraId="3C7B161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90AD8D4" w14:textId="77777777" w:rsidR="00537E5F" w:rsidRPr="00507A31" w:rsidRDefault="00537E5F" w:rsidP="00507A31">
      <w:pPr>
        <w:autoSpaceDE w:val="0"/>
        <w:autoSpaceDN w:val="0"/>
        <w:adjustRightInd w:val="0"/>
        <w:jc w:val="both"/>
        <w:rPr>
          <w:iCs/>
          <w:color w:val="000000" w:themeColor="text1"/>
          <w:sz w:val="16"/>
          <w:szCs w:val="16"/>
        </w:rPr>
      </w:pPr>
    </w:p>
    <w:p w14:paraId="102D2C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 июня 1930 г. появилась ПРОГРАММА ИСПЫТАНИЙ ШЕСТИКОЛЕСНЫХ АВТОМОБИЛЕЙ НА НИИТ ПОЛИГОНЕ ВТУ</w:t>
      </w:r>
    </w:p>
    <w:p w14:paraId="30115B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24FDB8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Основные данные автомобиля (составляются согласно прилагаемой при сем формы'). Б. Приработка автомобиля (производится согласно специальных указаний). В. Обмер частей (производится в случае испытаний автомобиля на выносливость).</w:t>
      </w:r>
    </w:p>
    <w:p w14:paraId="349150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Лабораторные испытания:</w:t>
      </w:r>
    </w:p>
    <w:p w14:paraId="45C936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Испытание двигателя</w:t>
      </w:r>
    </w:p>
    <w:p w14:paraId="532E79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Определение характеристики двигателя при полном и прикрытых дросселях.</w:t>
      </w:r>
    </w:p>
    <w:p w14:paraId="390020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при заводской регулировке,</w:t>
      </w:r>
    </w:p>
    <w:p w14:paraId="54E2D9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при регулировке на максимальную мощность по специальному указанию,</w:t>
      </w:r>
    </w:p>
    <w:p w14:paraId="1DB157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при регулировке на экономичность.</w:t>
      </w:r>
    </w:p>
    <w:p w14:paraId="377F5B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Испытание двигателя с различными нагрузками</w:t>
      </w:r>
    </w:p>
    <w:p w14:paraId="2BD306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на холостом ходу - 1 час</w:t>
      </w:r>
    </w:p>
    <w:p w14:paraId="59AABE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с нагрузкой 25% - 1 час</w:t>
      </w:r>
    </w:p>
    <w:p w14:paraId="06627B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 нагрузкой 50% - 1 час</w:t>
      </w:r>
    </w:p>
    <w:p w14:paraId="0B287F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с нагрузкой 75% - 2 часа</w:t>
      </w:r>
    </w:p>
    <w:p w14:paraId="2BBF35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с нормальной нагрузкой - 2 часа е) с максимальной мощностью - 1 час.</w:t>
      </w:r>
    </w:p>
    <w:p w14:paraId="6186A4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Испытание на станке автомобиля в целом не производится ввиду отсутствия в СССР станков| для испытаний шестиколесных автомобилей.</w:t>
      </w:r>
    </w:p>
    <w:p w14:paraId="0551F2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Полевые испытания 1. Определяются:</w:t>
      </w:r>
    </w:p>
    <w:p w14:paraId="33C770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удельная нагрузка на дорогу передних и задних шин,</w:t>
      </w:r>
    </w:p>
    <w:p w14:paraId="053A2D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коэффициент сопротивления движению на разных грунтах,</w:t>
      </w:r>
    </w:p>
    <w:p w14:paraId="23FB2D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максимальная сила тяги на крюке по мотору и сцеплению на разных грунтах,</w:t>
      </w:r>
    </w:p>
    <w:p w14:paraId="760B35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максимальная сила тяги на крюке на прямой передаче без нагрузки и с нагрузкой,</w:t>
      </w:r>
    </w:p>
    <w:p w14:paraId="270E37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коэффициент сцепления на разных грунтах (по результатам п.З),</w:t>
      </w:r>
    </w:p>
    <w:p w14:paraId="677D72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определение тяговых усилий, необходимых для трогания с места автомобиля (с грузом и без} груза с нормальным прицепным грузом), на разных грунтах,</w:t>
      </w:r>
    </w:p>
    <w:p w14:paraId="529BA9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установление на основании предыдущих данных нормальных поднимаемых и прицепных гру-1 зов для разных условий движения,</w:t>
      </w:r>
    </w:p>
    <w:p w14:paraId="38CFB3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максимальный преодолеваемый подъем,</w:t>
      </w:r>
    </w:p>
    <w:p w14:paraId="13144B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максимальный преодолеваемый подъем на прямой передаче при скорости движения в начале| подъема 20, 30, 40 и 50 км/ч,</w:t>
      </w:r>
    </w:p>
    <w:p w14:paraId="0CAF57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максимальный преодолеваемый подъем при наибольшем крутящем моменте на каждой пе-| редаче и без потери скорости,</w:t>
      </w:r>
    </w:p>
    <w:p w14:paraId="3DB0E0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преодоление вертикальных препятствий при въезде и спуске передними и задними колесами,|</w:t>
      </w:r>
    </w:p>
    <w:p w14:paraId="45B27E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преодоление канав различных профилей,</w:t>
      </w:r>
    </w:p>
    <w:p w14:paraId="6BA066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устойчивость на косогорах,</w:t>
      </w:r>
    </w:p>
    <w:p w14:paraId="037641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проходимость по заболоченным местам,</w:t>
      </w:r>
    </w:p>
    <w:p w14:paraId="6AC559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проходимость брода с различным качеством дна,</w:t>
      </w:r>
    </w:p>
    <w:p w14:paraId="300D8C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максимальная скорость движения на горизонтальном участке шоссе на мерном километре,</w:t>
      </w:r>
    </w:p>
    <w:p w14:paraId="12CE18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 минимальная скорость движения на прямой передаче,</w:t>
      </w:r>
    </w:p>
    <w:p w14:paraId="0781B0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время и путь разгона с места до 40 км/час,</w:t>
      </w:r>
    </w:p>
    <w:p w14:paraId="156EC5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 время и путь торможения с 50, 40, 30, 20 км/ч,</w:t>
      </w:r>
    </w:p>
    <w:p w14:paraId="55ABF8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 наибольший спуск, на котором держат тормоза,</w:t>
      </w:r>
    </w:p>
    <w:p w14:paraId="41788D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 начало кипения воды в радиаторе при движении на первой передаче и заднем ходу (при встречном, попутном и боковом ветре),</w:t>
      </w:r>
    </w:p>
    <w:p w14:paraId="48DF5A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 1: испытания по пунктам 2, 3, 4, 5, 6, 7, 9, 21 производятся на:</w:t>
      </w:r>
    </w:p>
    <w:p w14:paraId="3BAA11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шоссе щебенчатое,</w:t>
      </w:r>
    </w:p>
    <w:p w14:paraId="0664D4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шоссе булыжное,</w:t>
      </w:r>
    </w:p>
    <w:p w14:paraId="65412B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твёрдая грунтовая дорога (сухой суглинок или глина),</w:t>
      </w:r>
    </w:p>
    <w:p w14:paraId="103832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грязная песчано-глинистая,</w:t>
      </w:r>
    </w:p>
    <w:p w14:paraId="56EBAD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грязная черноземная дорога,</w:t>
      </w:r>
    </w:p>
    <w:p w14:paraId="2A79EC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песок,</w:t>
      </w:r>
    </w:p>
    <w:p w14:paraId="2271BB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крепкий дерн,</w:t>
      </w:r>
    </w:p>
    <w:p w14:paraId="002359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слабый дерн,</w:t>
      </w:r>
    </w:p>
    <w:p w14:paraId="671DAB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мокрый луг,</w:t>
      </w:r>
    </w:p>
    <w:p w14:paraId="783EFB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свежая пахота,</w:t>
      </w:r>
    </w:p>
    <w:p w14:paraId="234382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торф.</w:t>
      </w:r>
    </w:p>
    <w:p w14:paraId="700053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 2: испытание по пунктам 2, 3, 4, 5, 6, 7, 9, 10, 11, 12, 13, 20, 21 производится с везде</w:t>
      </w:r>
      <w:r w:rsidRPr="00507A31">
        <w:rPr>
          <w:color w:val="000000" w:themeColor="text1"/>
          <w:sz w:val="16"/>
          <w:szCs w:val="16"/>
        </w:rPr>
        <w:softHyphen/>
        <w:t>ходными цепями и без таковых. П. Испытание пробегом</w:t>
      </w:r>
    </w:p>
    <w:p w14:paraId="57A30C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 дорогам с искусственной твердой корой, на дистанцию 200 км с подъемами до 6-8%;</w:t>
      </w:r>
    </w:p>
    <w:p w14:paraId="25307E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 проселочным дорогам различного состояния с подъемами до 15-20% - 100 км;</w:t>
      </w:r>
    </w:p>
    <w:p w14:paraId="507A91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по бездорожью и пересеченной местности — 10 км;</w:t>
      </w:r>
    </w:p>
    <w:p w14:paraId="093131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по дорогам с твердой искусственной корой на дистанцию 50 км с нормальным прицепным гру</w:t>
      </w:r>
      <w:r w:rsidRPr="00507A31">
        <w:rPr>
          <w:color w:val="000000" w:themeColor="text1"/>
          <w:sz w:val="16"/>
          <w:szCs w:val="16"/>
        </w:rPr>
        <w:softHyphen/>
        <w:t>зом (подъемы до 6-8%);</w:t>
      </w:r>
    </w:p>
    <w:p w14:paraId="3F409E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по проселочным дорогам различного состояния на дистанцию 25 км, подъемы до 15-20% (с нормальным прицепным грузом).</w:t>
      </w:r>
    </w:p>
    <w:p w14:paraId="2D16E1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этих испытаниях определяются:</w:t>
      </w:r>
    </w:p>
    <w:p w14:paraId="61E601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средние скорости движения (собственно движения, техническая и коммерческая);</w:t>
      </w:r>
    </w:p>
    <w:p w14:paraId="4FC487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расход горючего и масла.</w:t>
      </w:r>
    </w:p>
    <w:p w14:paraId="418E2F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 перед испытаниями и во время их производятся следующие замеры, наблюдения и записи:</w:t>
      </w:r>
    </w:p>
    <w:p w14:paraId="06AF2C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барометрического давления температуры, осадков, ветра,</w:t>
      </w:r>
    </w:p>
    <w:p w14:paraId="09449E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грунты, по которым происходит движение и их состояние,</w:t>
      </w:r>
    </w:p>
    <w:p w14:paraId="287AFA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 время выбытия, прибытия и остановок с указанием причин,</w:t>
      </w:r>
    </w:p>
    <w:p w14:paraId="10E7B4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неисправности и повреждения в пути и их устранение на остановках, подача горючего и смаз</w:t>
      </w:r>
      <w:r w:rsidRPr="00507A31">
        <w:rPr>
          <w:color w:val="000000" w:themeColor="text1"/>
          <w:sz w:val="16"/>
          <w:szCs w:val="16"/>
        </w:rPr>
        <w:softHyphen/>
        <w:t>ки на косогорах,</w:t>
      </w:r>
    </w:p>
    <w:p w14:paraId="240068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добавление горючего, смазки и воды,</w:t>
      </w:r>
    </w:p>
    <w:p w14:paraId="3EBA85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 температура воды, смазки и показание контрольных приборов,</w:t>
      </w:r>
    </w:p>
    <w:p w14:paraId="14916B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 сорт горючего и смазки,</w:t>
      </w:r>
    </w:p>
    <w:p w14:paraId="29E334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 доступность для нормального обслуживания,</w:t>
      </w:r>
    </w:p>
    <w:p w14:paraId="0C54B1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 глубина погружения в характерных случаях,</w:t>
      </w:r>
    </w:p>
    <w:p w14:paraId="282D6C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легкость заводки мотора,</w:t>
      </w:r>
    </w:p>
    <w:p w14:paraId="71B406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 случаи применения вездеходных цепей,</w:t>
      </w:r>
    </w:p>
    <w:p w14:paraId="225F04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 время снимания и одевания вездеходных цепей,</w:t>
      </w:r>
    </w:p>
    <w:p w14:paraId="32332C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 действие осветительных приборов и достаточность освещения,</w:t>
      </w:r>
    </w:p>
    <w:p w14:paraId="70307A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легкость управления,</w:t>
      </w:r>
    </w:p>
    <w:p w14:paraId="0ED587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 осадка рессор до и после каждого пробега,</w:t>
      </w:r>
    </w:p>
    <w:p w14:paraId="30B3AD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 удобство нагрузки и разгрузки,</w:t>
      </w:r>
    </w:p>
    <w:p w14:paraId="780E01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удобство наблюдения пути и местности,</w:t>
      </w:r>
    </w:p>
    <w:p w14:paraId="4C4F1C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 удобство посадки для водителя и пассажиров,</w:t>
      </w:r>
    </w:p>
    <w:p w14:paraId="1204FA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 степень бесшумности действия.</w:t>
      </w:r>
    </w:p>
    <w:p w14:paraId="63FF23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 Испытания пробегом на выносливость производятся длительной эксплуатацией на дистан</w:t>
      </w:r>
      <w:r w:rsidRPr="00507A31">
        <w:rPr>
          <w:color w:val="000000" w:themeColor="text1"/>
          <w:sz w:val="16"/>
          <w:szCs w:val="16"/>
        </w:rPr>
        <w:softHyphen/>
        <w:t>цию до 25000 км, из них:</w:t>
      </w:r>
    </w:p>
    <w:p w14:paraId="4E06E5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20000 - 23000 на шоссе,</w:t>
      </w:r>
    </w:p>
    <w:p w14:paraId="798D1B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2000 по проселку (через каждые 1000 км шоссе 100 км проселка).</w:t>
      </w:r>
    </w:p>
    <w:p w14:paraId="357634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Ежедневно машина должна проходить дистанцию не менее 200 км. При поломках и неисправностях фиксируются условия (грунт, состояние шоссе, скорость движения и т.п.), при которых про-! изошла поломка или неисправность.</w:t>
      </w:r>
    </w:p>
    <w:p w14:paraId="12C47E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 Обмер частей после испытания (производится в случае испытания на выносливость).</w:t>
      </w:r>
    </w:p>
    <w:p w14:paraId="172B3C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(Краткий перечень деталей и механизмов, подлежащих осмотру и обмеру по п. «Е» и «Ж» см.; приложение).</w:t>
      </w:r>
    </w:p>
    <w:p w14:paraId="70C68F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Общее примечание: порядок и необходимость тех или иных испытаний устанавливается 2 сек</w:t>
      </w:r>
      <w:r w:rsidRPr="00507A31">
        <w:rPr>
          <w:color w:val="000000" w:themeColor="text1"/>
          <w:sz w:val="16"/>
          <w:szCs w:val="16"/>
        </w:rPr>
        <w:softHyphen/>
        <w:t>цией и заинтересованными учреждениями, с утверждением их Председателем НТК.</w:t>
      </w:r>
    </w:p>
    <w:p w14:paraId="0C6CD4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Выводы и заключение</w:t>
      </w:r>
    </w:p>
    <w:p w14:paraId="461691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Выводы и заключение по результатам испытаний составляются по следующим пунктам:</w:t>
      </w:r>
    </w:p>
    <w:p w14:paraId="6ADCCD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проходимость,</w:t>
      </w:r>
    </w:p>
    <w:p w14:paraId="33CAAA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предельные и средние скорости в различных условиях движения,</w:t>
      </w:r>
    </w:p>
    <w:p w14:paraId="010A55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прочность и выносливость,</w:t>
      </w:r>
    </w:p>
    <w:p w14:paraId="047FE3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экономичность,</w:t>
      </w:r>
    </w:p>
    <w:p w14:paraId="393731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простота конструкции ухода и управления,</w:t>
      </w:r>
    </w:p>
    <w:p w14:paraId="1568AE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надежность в условиях походной работы,</w:t>
      </w:r>
    </w:p>
    <w:p w14:paraId="6BF204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нормальный вес прицепного груза в различных случаях движения,</w:t>
      </w:r>
    </w:p>
    <w:p w14:paraId="3E9BCE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предельные и средние скорости при наличии прицепного груза,</w:t>
      </w:r>
    </w:p>
    <w:p w14:paraId="7A4049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виды применения автомобиля к условиям службы в РККА и данные эксплуатационных расхо-| дов горючего и смазки,</w:t>
      </w:r>
    </w:p>
    <w:p w14:paraId="0F3FF3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желательные конструктивные изменения.</w:t>
      </w:r>
    </w:p>
    <w:p w14:paraId="235B5C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председателя НТК УММ РККА Озеров</w:t>
      </w:r>
    </w:p>
    <w:p w14:paraId="02F609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председателя 2 секции НТК УММ Свиридов</w:t>
      </w:r>
    </w:p>
    <w:p w14:paraId="33C64C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9646DD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7CD7346F" w14:textId="77777777" w:rsidR="00537E5F" w:rsidRPr="00507A31" w:rsidRDefault="00537E5F" w:rsidP="00507A31">
      <w:pPr>
        <w:autoSpaceDE w:val="0"/>
        <w:autoSpaceDN w:val="0"/>
        <w:adjustRightInd w:val="0"/>
        <w:jc w:val="both"/>
        <w:rPr>
          <w:iCs/>
          <w:color w:val="000000" w:themeColor="text1"/>
          <w:sz w:val="16"/>
          <w:szCs w:val="16"/>
        </w:rPr>
      </w:pPr>
    </w:p>
    <w:p w14:paraId="67038A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июня 1930 года наряду с ужесточением контроля за пользование радиоаппаратурой гражданами, почто-телеграмма ОГПУ № 194/00 от регламентировала порядок установки коротковолновых радиостанций и в частях РККА. Предлагалось тщательно контролировать их работу (11711).</w:t>
      </w:r>
    </w:p>
    <w:p w14:paraId="0DDC7454" w14:textId="77777777" w:rsidR="00537E5F" w:rsidRPr="00507A31" w:rsidRDefault="00537E5F" w:rsidP="00507A31">
      <w:pPr>
        <w:autoSpaceDE w:val="0"/>
        <w:autoSpaceDN w:val="0"/>
        <w:adjustRightInd w:val="0"/>
        <w:jc w:val="both"/>
        <w:rPr>
          <w:color w:val="000000" w:themeColor="text1"/>
          <w:sz w:val="16"/>
          <w:szCs w:val="16"/>
        </w:rPr>
      </w:pPr>
    </w:p>
    <w:p w14:paraId="5D67664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2CB6844" w14:textId="77777777" w:rsidR="00537E5F" w:rsidRPr="00507A31" w:rsidRDefault="00537E5F" w:rsidP="00507A31">
      <w:pPr>
        <w:autoSpaceDE w:val="0"/>
        <w:autoSpaceDN w:val="0"/>
        <w:adjustRightInd w:val="0"/>
        <w:jc w:val="both"/>
        <w:rPr>
          <w:iCs/>
          <w:color w:val="000000" w:themeColor="text1"/>
          <w:sz w:val="16"/>
          <w:szCs w:val="16"/>
        </w:rPr>
      </w:pPr>
    </w:p>
    <w:p w14:paraId="306BD4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июне-июле (26 июня - 13 июля - 226,407) 1930 прошел XVI съезд ВКП(б). Отметили значительное отставание в черной металлургии и решили сосредоточить усилия на развитии тяжелой индустрии и построить Урало-Кузбасский комбинат. Транспорт стал узким местом тоже. Решили развивать и ЛП, а также реконструировать все отрасли на базе современной техники. Поэтому - приоритет машиностроению. Задача: превратить СССР из страны ввозящей оборудование, в страну вывозящую. Профсоюзам поручили организовывать соцсоревнование (226,408).</w:t>
      </w:r>
    </w:p>
    <w:p w14:paraId="33C68C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Первый парадный съезд. Утвердили лозунг: “Пятилетку - в 4 года, настаивали на необходимости продолжения коллективизации, уделяя первостепенное значение технической прогрессу. Решили создать на Востоке вторую угольно-металлургическую базу - Кузбасс (3908,334).</w:t>
      </w:r>
    </w:p>
    <w:p w14:paraId="630FA6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Подтвердил, что правый уклон - главная опасность и постановление ноябрьского пленума о несовместимости взглядов правой оппозиции с принадлежностью к ВКП(б) (226,409).</w:t>
      </w:r>
    </w:p>
    <w:p w14:paraId="6A6265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Решили "быть сильнее противника по трем решающим видам вооружения, а именно: воздушному флоту, авиации, танкам" (66,144).</w:t>
      </w:r>
    </w:p>
    <w:p w14:paraId="5BE7D6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"задачей первостепенной важности является форсированное развитие отраслей промышленности, повышающих обороноспособность". В области развития авиации следующие основные задачи "снятие с вооружения всех иностранных типов самолетов и замена их машинами отечественного производства, увеличение количества боевых самолетов в составе советских ВВС и в особенности бомбардировщиков, превзойти ближайших противников вместе взятых по числу самолетов, довести его к концу пятилетки до 3000" (688).</w:t>
      </w:r>
    </w:p>
    <w:p w14:paraId="680F02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К.Е.В. сказал "наша военная промышленность и промышленность в целом в смысле снабжения обороны всем необходимым, к сожалению все еще хромает довольно основательно" (1566,86).</w:t>
      </w:r>
    </w:p>
    <w:p w14:paraId="22D2CBFE" w14:textId="77777777" w:rsidR="00537E5F" w:rsidRPr="00507A31" w:rsidRDefault="00537E5F" w:rsidP="00507A31">
      <w:pPr>
        <w:autoSpaceDE w:val="0"/>
        <w:autoSpaceDN w:val="0"/>
        <w:adjustRightInd w:val="0"/>
        <w:jc w:val="both"/>
        <w:rPr>
          <w:color w:val="000000" w:themeColor="text1"/>
          <w:sz w:val="16"/>
          <w:szCs w:val="16"/>
        </w:rPr>
      </w:pPr>
    </w:p>
    <w:p w14:paraId="0BE894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 на XVI съезде ВКП(б), Наркомвоенмор К.Е.Воро-шилов указывал в своей речи на то, что «наша военная промыш</w:t>
      </w:r>
      <w:r w:rsidRPr="00507A31">
        <w:rPr>
          <w:color w:val="000000" w:themeColor="text1"/>
          <w:sz w:val="16"/>
          <w:szCs w:val="16"/>
        </w:rPr>
        <w:softHyphen/>
        <w:t>ленность и промышленноть в целом в смысле снабжения оборо</w:t>
      </w:r>
      <w:r w:rsidRPr="00507A31">
        <w:rPr>
          <w:color w:val="000000" w:themeColor="text1"/>
          <w:sz w:val="16"/>
          <w:szCs w:val="16"/>
        </w:rPr>
        <w:softHyphen/>
        <w:t>ны всем необходимым как в отношении количества, так и каче</w:t>
      </w:r>
      <w:r w:rsidRPr="00507A31">
        <w:rPr>
          <w:color w:val="000000" w:themeColor="text1"/>
          <w:sz w:val="16"/>
          <w:szCs w:val="16"/>
        </w:rPr>
        <w:softHyphen/>
        <w:t>ства, к сожалению еще хромает довольно основательно» (1566,86)</w:t>
      </w:r>
    </w:p>
    <w:p w14:paraId="749EB2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72E3B6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июня 1930 (26 июня - 3 июля) был съезд ВКП(б) XVI Победа над правой оппозицией Томский выведен из Политбюро. В состав Политбюро входят И.В.С.,, К. Ворошилов, Л. Каганович, М. Калинин, С.Киров, С.Косиор, В.Куйбышев, В., А. Рыков, Я.Рудзутак. (съезд продолжается до 13 июля). XVI съезд партии утверждает лозунг "Пятилетку - в 4 года", настаивает на необходимости продолжать коллективизацию, уделяя при этом первостепенное внимание техническому прогрессу (4962).</w:t>
      </w:r>
    </w:p>
    <w:p w14:paraId="13A8FA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1930-1931 раскрыли три крупные контрреволюционные организации: Промпартию, объединяющую техническую интеллигенцию, вредившую в промышленности, Трудовую крестьянскую партию с центром в Наркомземе, выражавшую интересы кулачества и срывающую коллективизацию, Союзное бюро РСДРП - меньшевистская группа в Госплане, Госбанке, Центросоюзе. Участников предали открытому суду, митинги требовали наказать предателей (226,415).</w:t>
      </w:r>
    </w:p>
    <w:p w14:paraId="548F15E0" w14:textId="77777777" w:rsidR="00537E5F" w:rsidRPr="00507A31" w:rsidRDefault="00537E5F" w:rsidP="00507A31">
      <w:pPr>
        <w:autoSpaceDE w:val="0"/>
        <w:autoSpaceDN w:val="0"/>
        <w:adjustRightInd w:val="0"/>
        <w:jc w:val="both"/>
        <w:rPr>
          <w:color w:val="000000" w:themeColor="text1"/>
          <w:sz w:val="16"/>
          <w:szCs w:val="16"/>
        </w:rPr>
      </w:pPr>
    </w:p>
    <w:p w14:paraId="10472432" w14:textId="77777777" w:rsidR="00975F75" w:rsidRPr="00507A31" w:rsidRDefault="00975F75" w:rsidP="00507A31">
      <w:pPr>
        <w:jc w:val="both"/>
        <w:rPr>
          <w:color w:val="000000" w:themeColor="text1"/>
          <w:sz w:val="16"/>
          <w:szCs w:val="16"/>
        </w:rPr>
      </w:pPr>
      <w:r w:rsidRPr="00507A31">
        <w:rPr>
          <w:bCs/>
          <w:color w:val="000000" w:themeColor="text1"/>
          <w:sz w:val="16"/>
          <w:szCs w:val="16"/>
        </w:rPr>
        <w:t>26 июня</w:t>
      </w:r>
      <w:r w:rsidRPr="00507A31">
        <w:rPr>
          <w:color w:val="000000" w:themeColor="text1"/>
          <w:sz w:val="16"/>
          <w:szCs w:val="16"/>
        </w:rPr>
        <w:t xml:space="preserve"> в 1930 году в Москве открылся XVI съезд ВКП(б), который принял решение об ускорении темпов развития социалистической индустрии, особенно металлургической промышленности, провозгласил "развернутое наступление социализма по всему фронту" и утвердил лозунг "пятилетку в четыре года". На съезде был завершен разгром «правого уклона» во главе с его лидерами – бывшими членами Политбюро Н.И.Бухариным, А.И.Рыковым, М.П.Томским (14934).</w:t>
      </w:r>
    </w:p>
    <w:p w14:paraId="14444245" w14:textId="77777777" w:rsidR="00975F75" w:rsidRPr="00507A31" w:rsidRDefault="00975F75" w:rsidP="00507A31">
      <w:pPr>
        <w:jc w:val="both"/>
        <w:rPr>
          <w:color w:val="000000" w:themeColor="text1"/>
          <w:sz w:val="16"/>
          <w:szCs w:val="16"/>
        </w:rPr>
      </w:pPr>
    </w:p>
    <w:p w14:paraId="19AF1C13" w14:textId="77777777" w:rsidR="00975F75"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DD4B18F" w14:textId="77777777" w:rsidR="00975F75" w:rsidRPr="00507A31" w:rsidRDefault="00975F75" w:rsidP="00507A31">
      <w:pPr>
        <w:autoSpaceDE w:val="0"/>
        <w:autoSpaceDN w:val="0"/>
        <w:adjustRightInd w:val="0"/>
        <w:jc w:val="both"/>
        <w:rPr>
          <w:iCs/>
          <w:color w:val="000000" w:themeColor="text1"/>
          <w:sz w:val="16"/>
          <w:szCs w:val="16"/>
        </w:rPr>
      </w:pPr>
    </w:p>
    <w:p w14:paraId="13AC9EAF" w14:textId="77777777" w:rsidR="00975F75" w:rsidRPr="00507A31" w:rsidRDefault="00975F75" w:rsidP="00507A31">
      <w:pPr>
        <w:jc w:val="both"/>
        <w:rPr>
          <w:color w:val="000000" w:themeColor="text1"/>
          <w:sz w:val="16"/>
          <w:szCs w:val="16"/>
        </w:rPr>
      </w:pPr>
      <w:r w:rsidRPr="00507A31">
        <w:rPr>
          <w:bCs/>
          <w:color w:val="000000" w:themeColor="text1"/>
          <w:sz w:val="16"/>
          <w:szCs w:val="16"/>
        </w:rPr>
        <w:t>27 июня</w:t>
      </w:r>
      <w:r w:rsidRPr="00507A31">
        <w:rPr>
          <w:color w:val="000000" w:themeColor="text1"/>
          <w:sz w:val="16"/>
          <w:szCs w:val="16"/>
        </w:rPr>
        <w:t xml:space="preserve"> в 1930 году И.В.Сталин, выступая на XVI съезде партии, говорит: "Опыт пребывания социал-демократии у власти в Германии и Англии показывает, что пацифизм является у них лишь маской, необходимой для прикрытия будущих войн... В этой речи есть еще и такие фразы: "Социалистическая по своему содержанию и национальная по форме культура", "Ни одной пяди чужой земли не хотим. Но и своей земли, ни одного вершка не отдадим никому", труд - "дело чести, дело славы, дело доблести и геройства". Первую цитату многие годы будут учить в школах, вторая станет строчками "Марша танкистов" ("Чужой земли мы не хотим ни пяди, /Но и своей вершка не отдадим"), третья будет красоваться в заводских и фабричных цехах (14935).</w:t>
      </w:r>
    </w:p>
    <w:p w14:paraId="60504A0F" w14:textId="77777777" w:rsidR="00975F75" w:rsidRPr="00507A31" w:rsidRDefault="00975F75" w:rsidP="00507A31">
      <w:pPr>
        <w:jc w:val="both"/>
        <w:rPr>
          <w:color w:val="000000" w:themeColor="text1"/>
          <w:sz w:val="16"/>
          <w:szCs w:val="16"/>
        </w:rPr>
      </w:pPr>
    </w:p>
    <w:p w14:paraId="0335FAE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48E7B833" w14:textId="77777777" w:rsidR="00537E5F" w:rsidRPr="00507A31" w:rsidRDefault="00537E5F" w:rsidP="00507A31">
      <w:pPr>
        <w:autoSpaceDE w:val="0"/>
        <w:autoSpaceDN w:val="0"/>
        <w:adjustRightInd w:val="0"/>
        <w:jc w:val="both"/>
        <w:rPr>
          <w:iCs/>
          <w:color w:val="000000" w:themeColor="text1"/>
          <w:sz w:val="16"/>
          <w:szCs w:val="16"/>
        </w:rPr>
      </w:pPr>
    </w:p>
    <w:p w14:paraId="7C926A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июня 1930 на 15 съезде ВКП(б) И.В.С. назвал Францию "самой агрессивной и милитаристской страной из всех известных стран мира" (3240).</w:t>
      </w:r>
    </w:p>
    <w:p w14:paraId="180D7A0A" w14:textId="77777777" w:rsidR="00537E5F" w:rsidRPr="00507A31" w:rsidRDefault="00537E5F" w:rsidP="00507A31">
      <w:pPr>
        <w:autoSpaceDE w:val="0"/>
        <w:autoSpaceDN w:val="0"/>
        <w:adjustRightInd w:val="0"/>
        <w:jc w:val="both"/>
        <w:rPr>
          <w:color w:val="000000" w:themeColor="text1"/>
          <w:sz w:val="16"/>
          <w:szCs w:val="16"/>
        </w:rPr>
      </w:pPr>
    </w:p>
    <w:p w14:paraId="580F7FB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5A35E27" w14:textId="77777777" w:rsidR="00537E5F" w:rsidRPr="00507A31" w:rsidRDefault="00537E5F" w:rsidP="00507A31">
      <w:pPr>
        <w:autoSpaceDE w:val="0"/>
        <w:autoSpaceDN w:val="0"/>
        <w:adjustRightInd w:val="0"/>
        <w:jc w:val="both"/>
        <w:rPr>
          <w:iCs/>
          <w:color w:val="000000" w:themeColor="text1"/>
          <w:sz w:val="16"/>
          <w:szCs w:val="16"/>
        </w:rPr>
      </w:pPr>
    </w:p>
    <w:p w14:paraId="475FF3BB" w14:textId="77777777" w:rsidR="00975F75" w:rsidRPr="00507A31" w:rsidRDefault="00975F75" w:rsidP="00507A31">
      <w:pPr>
        <w:jc w:val="both"/>
        <w:rPr>
          <w:color w:val="000000" w:themeColor="text1"/>
          <w:sz w:val="16"/>
          <w:szCs w:val="16"/>
        </w:rPr>
      </w:pPr>
      <w:r w:rsidRPr="00507A31">
        <w:rPr>
          <w:bCs/>
          <w:color w:val="000000" w:themeColor="text1"/>
          <w:sz w:val="16"/>
          <w:szCs w:val="16"/>
        </w:rPr>
        <w:t>27 июня</w:t>
      </w:r>
      <w:r w:rsidRPr="00507A31">
        <w:rPr>
          <w:color w:val="000000" w:themeColor="text1"/>
          <w:sz w:val="16"/>
          <w:szCs w:val="16"/>
        </w:rPr>
        <w:t xml:space="preserve"> в 1930 году состоялся первый полет почтового самолета фирмы </w:t>
      </w:r>
      <w:hyperlink r:id="rId106" w:tgtFrame="_blank" w:history="1">
        <w:r w:rsidRPr="00507A31">
          <w:rPr>
            <w:color w:val="000000" w:themeColor="text1"/>
            <w:sz w:val="16"/>
            <w:szCs w:val="16"/>
          </w:rPr>
          <w:t xml:space="preserve">«Dyle et Bacalan» «DB.80». </w:t>
        </w:r>
      </w:hyperlink>
      <w:r w:rsidRPr="00507A31">
        <w:rPr>
          <w:color w:val="000000" w:themeColor="text1"/>
          <w:sz w:val="16"/>
          <w:szCs w:val="16"/>
        </w:rPr>
        <w:t>Это был двухместный цельнометаллический высокоплан, оснащенный одним двигателем «Hispano-Suiza» «6Pa» мощностью 100 л.с.Самолет успешно прошел испытания, однако заказов на него не поступило. Единственный экземпляр самолета использовался для нужд компании в течении нескольких лет (14935).</w:t>
      </w:r>
    </w:p>
    <w:p w14:paraId="4716268C" w14:textId="77777777" w:rsidR="00975F75" w:rsidRPr="00507A31" w:rsidRDefault="00975F75" w:rsidP="00507A31">
      <w:pPr>
        <w:jc w:val="both"/>
        <w:rPr>
          <w:color w:val="000000" w:themeColor="text1"/>
          <w:sz w:val="16"/>
          <w:szCs w:val="16"/>
        </w:rPr>
      </w:pPr>
    </w:p>
    <w:p w14:paraId="37D1ABF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27 июня 1930 основана авиакомпания «Канадские международные авиалинии» (4962).</w:t>
      </w:r>
    </w:p>
    <w:p w14:paraId="01BFEEA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B33BCDC" w14:textId="77777777" w:rsidR="00537E5F" w:rsidRPr="00507A31" w:rsidRDefault="00AC7355" w:rsidP="00507A31">
      <w:pPr>
        <w:tabs>
          <w:tab w:val="left" w:pos="11199"/>
        </w:tabs>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AE11A3E" w14:textId="77777777" w:rsidR="00537E5F" w:rsidRPr="00507A31" w:rsidRDefault="00537E5F" w:rsidP="00507A31">
      <w:pPr>
        <w:tabs>
          <w:tab w:val="left" w:pos="11199"/>
        </w:tabs>
        <w:autoSpaceDE w:val="0"/>
        <w:autoSpaceDN w:val="0"/>
        <w:adjustRightInd w:val="0"/>
        <w:jc w:val="both"/>
        <w:rPr>
          <w:iCs/>
          <w:color w:val="000000" w:themeColor="text1"/>
          <w:sz w:val="16"/>
          <w:szCs w:val="16"/>
        </w:rPr>
      </w:pPr>
    </w:p>
    <w:p w14:paraId="7C39289F" w14:textId="77777777" w:rsidR="00EB4029" w:rsidRPr="00507A31" w:rsidRDefault="00EB4029" w:rsidP="00507A31">
      <w:pPr>
        <w:shd w:val="clear" w:color="auto" w:fill="FFFFFF"/>
        <w:jc w:val="both"/>
        <w:rPr>
          <w:color w:val="0070C0"/>
          <w:sz w:val="16"/>
          <w:szCs w:val="16"/>
        </w:rPr>
      </w:pPr>
      <w:r w:rsidRPr="00507A31">
        <w:rPr>
          <w:color w:val="0070C0"/>
          <w:sz w:val="16"/>
          <w:szCs w:val="16"/>
          <w:shd w:val="clear" w:color="auto" w:fill="FFFFFF"/>
        </w:rPr>
        <w:t>28 июня 1930 года Департаментом Вооружений был подписан контракт №89 с U.S. Wheel Track Layer Corporation на разработку и выпуск улучшенной версии танка M.1928, но реально работа по машине началась раньше. Переданные Тоскину чертежи уже отчасти не соответствовали машине. Еще на стадии постройки он пришел к выводу, что заявленные Кристи характеристики явно не соответствуют истине. Например, максимальная скорость в 96 км/ч на деле не могла быть выше 85 км/ч (20339).</w:t>
      </w:r>
    </w:p>
    <w:p w14:paraId="37D845A3" w14:textId="77777777" w:rsidR="00EB4029" w:rsidRPr="00507A31" w:rsidRDefault="00EB4029" w:rsidP="00507A31">
      <w:pPr>
        <w:shd w:val="clear" w:color="auto" w:fill="FFFFFF"/>
        <w:jc w:val="both"/>
        <w:rPr>
          <w:color w:val="0070C0"/>
          <w:sz w:val="16"/>
          <w:szCs w:val="16"/>
        </w:rPr>
      </w:pPr>
    </w:p>
    <w:p w14:paraId="7EF44B03" w14:textId="77777777" w:rsidR="00EB4029" w:rsidRPr="00507A31" w:rsidRDefault="00EB4029" w:rsidP="00507A31">
      <w:pPr>
        <w:jc w:val="both"/>
        <w:rPr>
          <w:color w:val="0070C0"/>
          <w:sz w:val="16"/>
          <w:szCs w:val="16"/>
        </w:rPr>
      </w:pPr>
      <w:r w:rsidRPr="00507A31">
        <w:rPr>
          <w:color w:val="0070C0"/>
          <w:sz w:val="16"/>
          <w:szCs w:val="16"/>
        </w:rPr>
        <w:t>28 июня 1930 г. с Кристи (его фирмой U.S. Wheel Track Layer Corporation) был подписан контракт на разработку и выпуск улучшенной версии танка M1928. Кстати, двумя месяцами ранее был заключен контракт между компанией Кристи и «Амторгом», по которому СССР получил два экземпляра танка (он в документах именовался как Christie M1940), комплект патентов и право лицензионного производства сроком на 10 лет (22884).</w:t>
      </w:r>
    </w:p>
    <w:p w14:paraId="7CEEB942" w14:textId="77777777" w:rsidR="00EB4029" w:rsidRPr="00507A31" w:rsidRDefault="00EB4029" w:rsidP="00507A31">
      <w:pPr>
        <w:jc w:val="both"/>
        <w:rPr>
          <w:color w:val="0070C0"/>
          <w:sz w:val="16"/>
          <w:szCs w:val="16"/>
        </w:rPr>
      </w:pPr>
    </w:p>
    <w:p w14:paraId="38B890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 июня 1930 года проходили испытания пробегом грузового 3,5-тонного автомобиля типа «Я-5» за №832, мотор №115079, подлежащего поставке по договору ТУ УММ с ВАТО от 3 февраля 1930 года.</w:t>
      </w:r>
    </w:p>
    <w:p w14:paraId="1B8FE9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Начало: 7 ч 30 мин. Конец: 12 ч 10 мин.</w:t>
      </w:r>
    </w:p>
    <w:p w14:paraId="7AFA6B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Число километров: 100 километров. Характеристика дороги: шоссе.</w:t>
      </w:r>
    </w:p>
    <w:p w14:paraId="73F3B3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Погода: + 26° - хорошая.</w:t>
      </w:r>
    </w:p>
    <w:p w14:paraId="6745B4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Расход эксплуатационного материала.</w:t>
      </w:r>
    </w:p>
    <w:p w14:paraId="782235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Бензин на 100 километров — 35 литров.</w:t>
      </w:r>
    </w:p>
    <w:p w14:paraId="5361C5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Масла на 100 километров — 1 кг.</w:t>
      </w:r>
    </w:p>
    <w:p w14:paraId="68D6ED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Рессоры прогиб в мм Передняя правая Передняя левая Задняя правая Задняя левая</w:t>
      </w:r>
    </w:p>
    <w:p w14:paraId="185695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 пробега 205 195 ПО 109</w:t>
      </w:r>
    </w:p>
    <w:p w14:paraId="4CBD65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После пробега 198 195 85 93</w:t>
      </w:r>
    </w:p>
    <w:p w14:paraId="18ED1B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Отметки об устранении замеченных при испытании неисправностей: отрегулировать клапана, пропуск масла у карданной трубы, снять барабаны и сменить сальники. Сменить задние рессоры. Мелкие дефекты устранены. Имеется вой шестерен дифференциала. Дополнительный пробег и ос-[ мотр после пробега дал удовлетворительные результаты. Машина принимается с годичной гаранти| ей шестерен заднего моста.</w:t>
      </w:r>
    </w:p>
    <w:p w14:paraId="5B570C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Военный представитель ВТУ РК Петражицкий</w:t>
      </w:r>
    </w:p>
    <w:p w14:paraId="357B09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Мастер сборочного цеха Горчаков</w:t>
      </w:r>
    </w:p>
    <w:p w14:paraId="4C2FA1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295. Л. 35. Подлинник (11210).</w:t>
      </w:r>
    </w:p>
    <w:p w14:paraId="5A666D2E" w14:textId="77777777" w:rsidR="00537E5F" w:rsidRPr="00507A31" w:rsidRDefault="00537E5F" w:rsidP="00507A31">
      <w:pPr>
        <w:autoSpaceDE w:val="0"/>
        <w:autoSpaceDN w:val="0"/>
        <w:adjustRightInd w:val="0"/>
        <w:jc w:val="both"/>
        <w:rPr>
          <w:color w:val="000000" w:themeColor="text1"/>
          <w:sz w:val="16"/>
          <w:szCs w:val="16"/>
        </w:rPr>
      </w:pPr>
    </w:p>
    <w:p w14:paraId="26776ABC" w14:textId="77777777" w:rsidR="00975F75" w:rsidRPr="00507A31" w:rsidRDefault="00975F75" w:rsidP="00507A31">
      <w:pPr>
        <w:jc w:val="both"/>
        <w:rPr>
          <w:color w:val="000000" w:themeColor="text1"/>
          <w:sz w:val="16"/>
          <w:szCs w:val="16"/>
        </w:rPr>
      </w:pPr>
      <w:r w:rsidRPr="00507A31">
        <w:rPr>
          <w:color w:val="000000" w:themeColor="text1"/>
          <w:sz w:val="16"/>
          <w:szCs w:val="16"/>
        </w:rPr>
        <w:t>28 июня 1930 г. был издан приказ по ОГПУ об освобождении Л. Н. Мейера от должности руководителя  ЭПРОНа  в связи с пере</w:t>
      </w:r>
      <w:r w:rsidRPr="00507A31">
        <w:rPr>
          <w:color w:val="000000" w:themeColor="text1"/>
          <w:sz w:val="16"/>
          <w:szCs w:val="16"/>
        </w:rPr>
        <w:softHyphen/>
        <w:t>водом его по основной чекистской работе на другую должность, связанную с выездом из Москвы. В начале января 1931 г. постановлением Совета Труда и Обо</w:t>
      </w:r>
      <w:r w:rsidRPr="00507A31">
        <w:rPr>
          <w:color w:val="000000" w:themeColor="text1"/>
          <w:sz w:val="16"/>
          <w:szCs w:val="16"/>
        </w:rPr>
        <w:softHyphen/>
        <w:t>роны  ЭПРОН  был передан в ведение НКПС, а затем, после ре</w:t>
      </w:r>
      <w:r w:rsidRPr="00507A31">
        <w:rPr>
          <w:color w:val="000000" w:themeColor="text1"/>
          <w:sz w:val="16"/>
          <w:szCs w:val="16"/>
        </w:rPr>
        <w:softHyphen/>
        <w:t>организации НКПС, в ведение Народного комиссариата водно</w:t>
      </w:r>
      <w:r w:rsidRPr="00507A31">
        <w:rPr>
          <w:color w:val="000000" w:themeColor="text1"/>
          <w:sz w:val="16"/>
          <w:szCs w:val="16"/>
        </w:rPr>
        <w:softHyphen/>
        <w:t>го транспорта (15509).</w:t>
      </w:r>
    </w:p>
    <w:p w14:paraId="4E466CC9" w14:textId="77777777" w:rsidR="00975F75" w:rsidRPr="00507A31" w:rsidRDefault="00975F75" w:rsidP="00507A31">
      <w:pPr>
        <w:jc w:val="both"/>
        <w:rPr>
          <w:color w:val="000000" w:themeColor="text1"/>
          <w:sz w:val="16"/>
          <w:szCs w:val="16"/>
        </w:rPr>
      </w:pPr>
    </w:p>
    <w:p w14:paraId="7EC84796" w14:textId="77777777" w:rsidR="00975F75"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46F4D43" w14:textId="77777777" w:rsidR="00975F75" w:rsidRPr="00507A31" w:rsidRDefault="00975F75" w:rsidP="00507A31">
      <w:pPr>
        <w:autoSpaceDE w:val="0"/>
        <w:autoSpaceDN w:val="0"/>
        <w:adjustRightInd w:val="0"/>
        <w:jc w:val="both"/>
        <w:rPr>
          <w:iCs/>
          <w:color w:val="000000" w:themeColor="text1"/>
          <w:sz w:val="16"/>
          <w:szCs w:val="16"/>
        </w:rPr>
      </w:pPr>
    </w:p>
    <w:p w14:paraId="1CF3E247" w14:textId="77777777" w:rsidR="00975F75" w:rsidRPr="00507A31" w:rsidRDefault="00975F75" w:rsidP="00507A31">
      <w:pPr>
        <w:jc w:val="both"/>
        <w:rPr>
          <w:color w:val="000000" w:themeColor="text1"/>
          <w:sz w:val="16"/>
          <w:szCs w:val="16"/>
        </w:rPr>
      </w:pPr>
      <w:r w:rsidRPr="00507A31">
        <w:rPr>
          <w:bCs/>
          <w:color w:val="000000" w:themeColor="text1"/>
          <w:sz w:val="16"/>
          <w:szCs w:val="16"/>
        </w:rPr>
        <w:t>28 июня</w:t>
      </w:r>
      <w:r w:rsidRPr="00507A31">
        <w:rPr>
          <w:color w:val="000000" w:themeColor="text1"/>
          <w:sz w:val="16"/>
          <w:szCs w:val="16"/>
        </w:rPr>
        <w:t xml:space="preserve"> в 1930 году выступая на XVI съезде партии, Лазарь Каганович обрушиваясь на только что напечатанную книгу Алексея Федоровича Лосева "Диалектика мифа". "Железный нарком" называет мыслителя "философом-мракобесом", "реакционером и черносотенцем". Эстафету подхватывает известный тогда драматург Владимир Киршон, набрасывающийся на коммуниста - редактора Главлита, который мотивировал разрешение печатать книгу Лосева тем, что это "оттенок философской мысли". Киршон под аплодисменты зала заявляет с самой высокой партийной трибуны на всю страну: "А я думаю, нам не мешает за подобные оттенки ставить к стенке". Лосева, которого сейчас называют "Платоном ХХ века", отправят на Соловки, а Киршона в 1938 самого поставят к стенке (14936).</w:t>
      </w:r>
    </w:p>
    <w:p w14:paraId="533C7696" w14:textId="77777777" w:rsidR="00975F75" w:rsidRPr="00507A31" w:rsidRDefault="00975F75" w:rsidP="00507A31">
      <w:pPr>
        <w:jc w:val="both"/>
        <w:rPr>
          <w:color w:val="000000" w:themeColor="text1"/>
          <w:sz w:val="16"/>
          <w:szCs w:val="16"/>
        </w:rPr>
      </w:pPr>
    </w:p>
    <w:p w14:paraId="519E4C8E" w14:textId="77777777" w:rsidR="00975F75"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0EBCB49" w14:textId="77777777" w:rsidR="00975F75" w:rsidRPr="00507A31" w:rsidRDefault="00975F75" w:rsidP="00507A31">
      <w:pPr>
        <w:autoSpaceDE w:val="0"/>
        <w:autoSpaceDN w:val="0"/>
        <w:adjustRightInd w:val="0"/>
        <w:jc w:val="both"/>
        <w:rPr>
          <w:iCs/>
          <w:color w:val="000000" w:themeColor="text1"/>
          <w:sz w:val="16"/>
          <w:szCs w:val="16"/>
        </w:rPr>
      </w:pPr>
    </w:p>
    <w:p w14:paraId="30E29858" w14:textId="77777777" w:rsidR="00975F75" w:rsidRPr="00507A31" w:rsidRDefault="00975F75" w:rsidP="00507A31">
      <w:pPr>
        <w:jc w:val="both"/>
        <w:rPr>
          <w:color w:val="000000" w:themeColor="text1"/>
          <w:sz w:val="16"/>
          <w:szCs w:val="16"/>
        </w:rPr>
      </w:pPr>
      <w:r w:rsidRPr="00507A31">
        <w:rPr>
          <w:bCs/>
          <w:color w:val="000000" w:themeColor="text1"/>
          <w:sz w:val="16"/>
          <w:szCs w:val="16"/>
        </w:rPr>
        <w:t>28 июня</w:t>
      </w:r>
      <w:r w:rsidRPr="00507A31">
        <w:rPr>
          <w:color w:val="000000" w:themeColor="text1"/>
          <w:sz w:val="16"/>
          <w:szCs w:val="16"/>
        </w:rPr>
        <w:t xml:space="preserve"> в 1930 году на авиавыставке состоялся первый публичный показ машины </w:t>
      </w:r>
      <w:hyperlink r:id="rId107" w:tgtFrame="_blank" w:history="1">
        <w:r w:rsidRPr="00507A31">
          <w:rPr>
            <w:color w:val="000000" w:themeColor="text1"/>
            <w:sz w:val="16"/>
            <w:szCs w:val="16"/>
          </w:rPr>
          <w:t xml:space="preserve">«Avro 621» «Tutor» </w:t>
        </w:r>
      </w:hyperlink>
      <w:r w:rsidRPr="00507A31">
        <w:rPr>
          <w:color w:val="000000" w:themeColor="text1"/>
          <w:sz w:val="16"/>
          <w:szCs w:val="16"/>
        </w:rPr>
        <w:t>(наставник). Спроектированный Роем Чэдвиком в 1929 г., самолет «Tutor» был выполнен из сварных стальных труб, с полотняной обшивкой. Опытный самолет был оснащен звездообразным поршневым двигателем «Armstrong Siddeley» «Mongoose IIIA», мощностью 155 л.с.. предназначался для замены «Avro 504N», выполнявшего роль базового учебного самолета Военно-воздушных сил Великобритании (14936).</w:t>
      </w:r>
    </w:p>
    <w:p w14:paraId="7FFB463A" w14:textId="77777777" w:rsidR="00975F75" w:rsidRPr="00507A31" w:rsidRDefault="00975F75" w:rsidP="00507A31">
      <w:pPr>
        <w:jc w:val="both"/>
        <w:rPr>
          <w:color w:val="000000" w:themeColor="text1"/>
          <w:sz w:val="16"/>
          <w:szCs w:val="16"/>
        </w:rPr>
      </w:pPr>
    </w:p>
    <w:p w14:paraId="49F920FB" w14:textId="77777777" w:rsidR="00EB4029" w:rsidRPr="00507A31" w:rsidRDefault="00EB4029" w:rsidP="00507A31">
      <w:pPr>
        <w:jc w:val="both"/>
        <w:rPr>
          <w:color w:val="0070C0"/>
          <w:sz w:val="16"/>
          <w:szCs w:val="16"/>
        </w:rPr>
      </w:pPr>
      <w:r w:rsidRPr="00507A31">
        <w:rPr>
          <w:color w:val="0070C0"/>
          <w:sz w:val="16"/>
          <w:szCs w:val="16"/>
        </w:rPr>
        <w:t xml:space="preserve">28 июня 1930 первый полет Avro 621, прототип Avro Tutor и Avro Sea Tutor Июль Сондерс А.7 Северн (20805). </w:t>
      </w:r>
    </w:p>
    <w:p w14:paraId="75731752" w14:textId="77777777" w:rsidR="00EB4029" w:rsidRPr="00507A31" w:rsidRDefault="00EB4029" w:rsidP="00507A31">
      <w:pPr>
        <w:jc w:val="both"/>
        <w:rPr>
          <w:color w:val="0070C0"/>
          <w:sz w:val="16"/>
          <w:szCs w:val="16"/>
        </w:rPr>
      </w:pPr>
    </w:p>
    <w:p w14:paraId="65C20C3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05C7306" w14:textId="77777777" w:rsidR="00537E5F" w:rsidRPr="00507A31" w:rsidRDefault="00537E5F" w:rsidP="00507A31">
      <w:pPr>
        <w:autoSpaceDE w:val="0"/>
        <w:autoSpaceDN w:val="0"/>
        <w:adjustRightInd w:val="0"/>
        <w:jc w:val="both"/>
        <w:rPr>
          <w:iCs/>
          <w:color w:val="000000" w:themeColor="text1"/>
          <w:sz w:val="16"/>
          <w:szCs w:val="16"/>
        </w:rPr>
      </w:pPr>
    </w:p>
    <w:p w14:paraId="55B5987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29 июня 1930 года состоялись два первых полета Р6 в ходе заводских испытаний: 1-й – ознакомительный, второй на управляемость. 1 июля 1930 года был произведен третий полет на потолок (6925).</w:t>
      </w:r>
    </w:p>
    <w:p w14:paraId="32A75E5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9DBA1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 июня 1930, когда конструктор уже сидел в тюрьме, распоряжением на</w:t>
      </w:r>
      <w:r w:rsidRPr="00507A31">
        <w:rPr>
          <w:color w:val="000000" w:themeColor="text1"/>
          <w:sz w:val="16"/>
          <w:szCs w:val="16"/>
        </w:rPr>
        <w:softHyphen/>
        <w:t>чальника объединения МК-14 изъяли из плана завода. Детали мотора упаковали и отправили в Москву, в НАМ. Дальнейшая судьба их неизвестна, так же как судьба самого Киреева.</w:t>
      </w:r>
    </w:p>
    <w:p w14:paraId="59C8C5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065E91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12-цилиндровый, рядный У-образный, четырехтактный, водяного</w:t>
      </w:r>
    </w:p>
    <w:p w14:paraId="750A85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охлаждения, редукторный;</w:t>
      </w:r>
    </w:p>
    <w:p w14:paraId="2FBD2B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 ПЦН (в окончательном варианте);</w:t>
      </w:r>
    </w:p>
    <w:p w14:paraId="07432F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132/180 мм (позднее 166,5/230 мм);</w:t>
      </w:r>
    </w:p>
    <w:p w14:paraId="3770CD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5,7 (альтернативно 6,2);</w:t>
      </w:r>
    </w:p>
    <w:p w14:paraId="7D7D28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исходно 600 л.с. (позднее 800 л.с. и 950 л.с.) (11852).</w:t>
      </w:r>
    </w:p>
    <w:p w14:paraId="458E0D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5B157BB" w14:textId="77777777" w:rsidR="00975F75"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F7FA5DC" w14:textId="77777777" w:rsidR="00975F75" w:rsidRPr="00507A31" w:rsidRDefault="00975F75" w:rsidP="00507A31">
      <w:pPr>
        <w:autoSpaceDE w:val="0"/>
        <w:autoSpaceDN w:val="0"/>
        <w:adjustRightInd w:val="0"/>
        <w:jc w:val="both"/>
        <w:rPr>
          <w:iCs/>
          <w:color w:val="000000" w:themeColor="text1"/>
          <w:sz w:val="16"/>
          <w:szCs w:val="16"/>
        </w:rPr>
      </w:pPr>
    </w:p>
    <w:p w14:paraId="4F0AA563" w14:textId="77777777" w:rsidR="00975F75" w:rsidRPr="00507A31" w:rsidRDefault="00975F75" w:rsidP="00507A31">
      <w:pPr>
        <w:jc w:val="both"/>
        <w:rPr>
          <w:color w:val="000000" w:themeColor="text1"/>
          <w:sz w:val="16"/>
          <w:szCs w:val="16"/>
        </w:rPr>
      </w:pPr>
      <w:r w:rsidRPr="00507A31">
        <w:rPr>
          <w:bCs/>
          <w:color w:val="000000" w:themeColor="text1"/>
          <w:sz w:val="16"/>
          <w:szCs w:val="16"/>
        </w:rPr>
        <w:t>29 июня</w:t>
      </w:r>
      <w:r w:rsidRPr="00507A31">
        <w:rPr>
          <w:color w:val="000000" w:themeColor="text1"/>
          <w:sz w:val="16"/>
          <w:szCs w:val="16"/>
        </w:rPr>
        <w:t xml:space="preserve"> в 1930 году единственный экземпляр гоночного самолета </w:t>
      </w:r>
      <w:hyperlink r:id="rId108" w:tgtFrame="_blank" w:history="1">
        <w:r w:rsidRPr="00507A31">
          <w:rPr>
            <w:color w:val="000000" w:themeColor="text1"/>
            <w:sz w:val="16"/>
            <w:szCs w:val="16"/>
          </w:rPr>
          <w:t xml:space="preserve">«Bernard» «S-72» </w:t>
        </w:r>
      </w:hyperlink>
      <w:r w:rsidRPr="00507A31">
        <w:rPr>
          <w:color w:val="000000" w:themeColor="text1"/>
          <w:sz w:val="16"/>
          <w:szCs w:val="16"/>
        </w:rPr>
        <w:t>принял участие в гонке «Coupe Michelin» 1930 года, в ходе которой он пролетел по трассе Реймс - Нанси - Страсбур - Дижон - Клермон-Ферран. Возле Лиона из-за поломки двигателя он был вынужден завершить гонку. Это был одноместный деревянный низкоплан, оснащенный двигателем «Gnome &amp; Rhone» «5Bc» мощностью 240 л.с (14937).</w:t>
      </w:r>
    </w:p>
    <w:p w14:paraId="6677B735" w14:textId="77777777" w:rsidR="00975F75" w:rsidRPr="00507A31" w:rsidRDefault="00975F75" w:rsidP="00507A31">
      <w:pPr>
        <w:jc w:val="both"/>
        <w:rPr>
          <w:color w:val="000000" w:themeColor="text1"/>
          <w:sz w:val="16"/>
          <w:szCs w:val="16"/>
        </w:rPr>
      </w:pPr>
    </w:p>
    <w:p w14:paraId="19BC49D8" w14:textId="77777777" w:rsidR="00975F75" w:rsidRPr="00507A31" w:rsidRDefault="00975F75" w:rsidP="00507A31">
      <w:pPr>
        <w:jc w:val="both"/>
        <w:rPr>
          <w:color w:val="000000" w:themeColor="text1"/>
          <w:sz w:val="16"/>
          <w:szCs w:val="16"/>
        </w:rPr>
      </w:pPr>
      <w:r w:rsidRPr="00507A31">
        <w:rPr>
          <w:bCs/>
          <w:color w:val="000000" w:themeColor="text1"/>
          <w:sz w:val="16"/>
          <w:szCs w:val="16"/>
        </w:rPr>
        <w:lastRenderedPageBreak/>
        <w:t>29 июня</w:t>
      </w:r>
      <w:r w:rsidRPr="00507A31">
        <w:rPr>
          <w:color w:val="000000" w:themeColor="text1"/>
          <w:sz w:val="16"/>
          <w:szCs w:val="16"/>
        </w:rPr>
        <w:t xml:space="preserve"> в 1930 году гоночный самолет «Lorraine Hanriot» «LH-41» потерпел аварию при посадке. Гоночный самолет «Lorraine Hanriot» «LH-41» был специально разработан для участия в авиасоревнованиях «Coupe Michelin». Первый экземпляр самолета «LH-41» впервые поднялся в воздух 6 мая 1930 года. Это был одноместный низкоплан, оснащенный двигателем «Lorraine» «9Nb» «Algol Junior» мощностью 230 л.с. Самолет, пилотируемый Марселем Ажеланом, принял участие в гонках «Coupe Michelin» 1930 года. Однако завершить их не удалось (14937).</w:t>
      </w:r>
    </w:p>
    <w:p w14:paraId="676991EC" w14:textId="77777777" w:rsidR="00975F75" w:rsidRPr="00507A31" w:rsidRDefault="00975F75" w:rsidP="00507A31">
      <w:pPr>
        <w:jc w:val="both"/>
        <w:rPr>
          <w:color w:val="000000" w:themeColor="text1"/>
          <w:sz w:val="16"/>
          <w:szCs w:val="16"/>
        </w:rPr>
      </w:pPr>
    </w:p>
    <w:p w14:paraId="580FFC40" w14:textId="77777777" w:rsidR="00975F75" w:rsidRPr="00507A31" w:rsidRDefault="00975F75" w:rsidP="00507A31">
      <w:pPr>
        <w:jc w:val="both"/>
        <w:rPr>
          <w:color w:val="000000" w:themeColor="text1"/>
          <w:sz w:val="16"/>
          <w:szCs w:val="16"/>
        </w:rPr>
      </w:pPr>
      <w:r w:rsidRPr="00507A31">
        <w:rPr>
          <w:bCs/>
          <w:color w:val="000000" w:themeColor="text1"/>
          <w:sz w:val="16"/>
          <w:szCs w:val="16"/>
        </w:rPr>
        <w:t>29 июня</w:t>
      </w:r>
      <w:r w:rsidRPr="00507A31">
        <w:rPr>
          <w:color w:val="000000" w:themeColor="text1"/>
          <w:sz w:val="16"/>
          <w:szCs w:val="16"/>
        </w:rPr>
        <w:t xml:space="preserve"> в 1930 году Международная конференция Лиги Наций принимает конвенцию о принудительном труде, требующую ограничить и запретить принудительный труд (14937).</w:t>
      </w:r>
    </w:p>
    <w:p w14:paraId="784D0434" w14:textId="77777777" w:rsidR="00975F75" w:rsidRPr="00507A31" w:rsidRDefault="00975F75" w:rsidP="00507A31">
      <w:pPr>
        <w:jc w:val="both"/>
        <w:rPr>
          <w:color w:val="000000" w:themeColor="text1"/>
          <w:sz w:val="16"/>
          <w:szCs w:val="16"/>
        </w:rPr>
      </w:pPr>
    </w:p>
    <w:p w14:paraId="3DA740BE" w14:textId="77777777" w:rsidR="00111E3C"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46B8A9F" w14:textId="77777777" w:rsidR="00111E3C" w:rsidRPr="00507A31" w:rsidRDefault="00111E3C" w:rsidP="00507A31">
      <w:pPr>
        <w:autoSpaceDE w:val="0"/>
        <w:autoSpaceDN w:val="0"/>
        <w:adjustRightInd w:val="0"/>
        <w:jc w:val="both"/>
        <w:rPr>
          <w:iCs/>
          <w:color w:val="000000" w:themeColor="text1"/>
          <w:sz w:val="16"/>
          <w:szCs w:val="16"/>
        </w:rPr>
      </w:pPr>
    </w:p>
    <w:p w14:paraId="3CB1C82F" w14:textId="77777777" w:rsidR="00111E3C" w:rsidRPr="00507A31" w:rsidRDefault="00111E3C" w:rsidP="00507A31">
      <w:pPr>
        <w:jc w:val="both"/>
        <w:rPr>
          <w:color w:val="000000" w:themeColor="text1"/>
          <w:sz w:val="16"/>
          <w:szCs w:val="16"/>
        </w:rPr>
      </w:pPr>
      <w:r w:rsidRPr="00507A31">
        <w:rPr>
          <w:color w:val="000000" w:themeColor="text1"/>
          <w:sz w:val="16"/>
          <w:szCs w:val="16"/>
        </w:rPr>
        <w:t>30 июня 1930 г. все проектные мате</w:t>
      </w:r>
      <w:r w:rsidRPr="00507A31">
        <w:rPr>
          <w:color w:val="000000" w:themeColor="text1"/>
          <w:sz w:val="16"/>
          <w:szCs w:val="16"/>
        </w:rPr>
        <w:softHyphen/>
        <w:t>риалы и первичные расчеты Вахмистров на</w:t>
      </w:r>
      <w:r w:rsidRPr="00507A31">
        <w:rPr>
          <w:color w:val="000000" w:themeColor="text1"/>
          <w:sz w:val="16"/>
          <w:szCs w:val="16"/>
        </w:rPr>
        <w:softHyphen/>
        <w:t>правил для изучения и последующей проработки в ЦАГИ. Здесь, в Конструкторском отделе Сектора опытного самолетостроения (КОСОС), которым руководил А.Н. Тупо</w:t>
      </w:r>
      <w:r w:rsidRPr="00507A31">
        <w:rPr>
          <w:color w:val="000000" w:themeColor="text1"/>
          <w:sz w:val="16"/>
          <w:szCs w:val="16"/>
        </w:rPr>
        <w:softHyphen/>
        <w:t>лев, произвели необходимые исследования возможности закрепления двух истребителей на крыле тяжелого бомбардировщика, при</w:t>
      </w:r>
      <w:r w:rsidRPr="00507A31">
        <w:rPr>
          <w:color w:val="000000" w:themeColor="text1"/>
          <w:sz w:val="16"/>
          <w:szCs w:val="16"/>
        </w:rPr>
        <w:softHyphen/>
        <w:t>ступили к разработке рабочих чертежей и из</w:t>
      </w:r>
      <w:r w:rsidRPr="00507A31">
        <w:rPr>
          <w:color w:val="000000" w:themeColor="text1"/>
          <w:sz w:val="16"/>
          <w:szCs w:val="16"/>
        </w:rPr>
        <w:softHyphen/>
        <w:t>готовлению дополнительных конструктив</w:t>
      </w:r>
      <w:r w:rsidRPr="00507A31">
        <w:rPr>
          <w:color w:val="000000" w:themeColor="text1"/>
          <w:sz w:val="16"/>
          <w:szCs w:val="16"/>
        </w:rPr>
        <w:softHyphen/>
        <w:t>ных узлов.</w:t>
      </w:r>
    </w:p>
    <w:p w14:paraId="3687247B" w14:textId="77777777" w:rsidR="00EB4029" w:rsidRPr="00507A31" w:rsidRDefault="00EB4029" w:rsidP="00507A31">
      <w:pPr>
        <w:jc w:val="both"/>
        <w:rPr>
          <w:color w:val="0070C0"/>
          <w:sz w:val="16"/>
          <w:szCs w:val="16"/>
        </w:rPr>
      </w:pPr>
      <w:r w:rsidRPr="00507A31">
        <w:rPr>
          <w:color w:val="0070C0"/>
          <w:sz w:val="16"/>
          <w:szCs w:val="16"/>
        </w:rPr>
        <w:t>30 июня 1930 г. все проектные матери</w:t>
      </w:r>
      <w:r w:rsidRPr="00507A31">
        <w:rPr>
          <w:color w:val="0070C0"/>
          <w:sz w:val="16"/>
          <w:szCs w:val="16"/>
        </w:rPr>
        <w:softHyphen/>
        <w:t>алы и первичные расчеты Вахмистров направил для изу</w:t>
      </w:r>
      <w:r w:rsidRPr="00507A31">
        <w:rPr>
          <w:color w:val="0070C0"/>
          <w:sz w:val="16"/>
          <w:szCs w:val="16"/>
        </w:rPr>
        <w:softHyphen/>
        <w:t>чения и последующей проработки в ЦАГИ. Здесь, в Кон</w:t>
      </w:r>
      <w:r w:rsidRPr="00507A31">
        <w:rPr>
          <w:color w:val="0070C0"/>
          <w:sz w:val="16"/>
          <w:szCs w:val="16"/>
        </w:rPr>
        <w:softHyphen/>
        <w:t>структорском Отделе Сектора Опытного Самолетострое</w:t>
      </w:r>
      <w:r w:rsidRPr="00507A31">
        <w:rPr>
          <w:color w:val="0070C0"/>
          <w:sz w:val="16"/>
          <w:szCs w:val="16"/>
        </w:rPr>
        <w:softHyphen/>
        <w:t>ния (КОСОС), которым руководил А.Н. Туполев, произве</w:t>
      </w:r>
      <w:r w:rsidRPr="00507A31">
        <w:rPr>
          <w:color w:val="0070C0"/>
          <w:sz w:val="16"/>
          <w:szCs w:val="16"/>
        </w:rPr>
        <w:softHyphen/>
        <w:t>ли необходимые исследования возможности закрепления двух истребителей на крыле тяжелого бомбардировщика, приступили к разработке рабочих чертежей и изготовле</w:t>
      </w:r>
      <w:r w:rsidRPr="00507A31">
        <w:rPr>
          <w:color w:val="0070C0"/>
          <w:sz w:val="16"/>
          <w:szCs w:val="16"/>
        </w:rPr>
        <w:softHyphen/>
        <w:t>нию дополнительных конструктивных узлов (20345).</w:t>
      </w:r>
    </w:p>
    <w:p w14:paraId="798F4691" w14:textId="77777777" w:rsidR="00EB4029" w:rsidRPr="00507A31" w:rsidRDefault="00EB4029" w:rsidP="00507A31">
      <w:pPr>
        <w:jc w:val="both"/>
        <w:rPr>
          <w:color w:val="0070C0"/>
          <w:sz w:val="16"/>
          <w:szCs w:val="16"/>
        </w:rPr>
      </w:pPr>
    </w:p>
    <w:p w14:paraId="0893183F" w14:textId="77777777" w:rsidR="00EB4029" w:rsidRPr="00507A31" w:rsidRDefault="00EB4029" w:rsidP="00507A31">
      <w:pPr>
        <w:jc w:val="both"/>
        <w:rPr>
          <w:color w:val="0070C0"/>
          <w:sz w:val="16"/>
          <w:szCs w:val="16"/>
          <w:lang w:bidi="ru-RU"/>
        </w:rPr>
      </w:pPr>
      <w:r w:rsidRPr="00507A31">
        <w:rPr>
          <w:color w:val="0070C0"/>
          <w:sz w:val="16"/>
          <w:szCs w:val="16"/>
          <w:lang w:bidi="ru-RU"/>
        </w:rPr>
        <w:t>30 июня 1930 г. в НИИ ВВС для работников ЦАГИ были прове</w:t>
      </w:r>
      <w:r w:rsidRPr="00507A31">
        <w:rPr>
          <w:color w:val="0070C0"/>
          <w:sz w:val="16"/>
          <w:szCs w:val="16"/>
          <w:lang w:bidi="ru-RU"/>
        </w:rPr>
        <w:softHyphen/>
        <w:t>дены показательные стрельбы из 76,2-мм безоткатной пушки Курчевского АПК-1. При стрельбе ствол пушки разрушился (21062).</w:t>
      </w:r>
    </w:p>
    <w:p w14:paraId="0E15EE33" w14:textId="77777777" w:rsidR="00EB4029" w:rsidRPr="00507A31" w:rsidRDefault="00EB4029" w:rsidP="00507A31">
      <w:pPr>
        <w:jc w:val="both"/>
        <w:rPr>
          <w:color w:val="0070C0"/>
          <w:sz w:val="16"/>
          <w:szCs w:val="16"/>
        </w:rPr>
      </w:pPr>
    </w:p>
    <w:p w14:paraId="578E5ED6" w14:textId="77777777" w:rsidR="00537E5F" w:rsidRPr="00507A31" w:rsidRDefault="00AC7355" w:rsidP="00507A31">
      <w:pPr>
        <w:tabs>
          <w:tab w:val="left" w:pos="11199"/>
        </w:tabs>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BD91EFF" w14:textId="77777777" w:rsidR="00537E5F" w:rsidRPr="00507A31" w:rsidRDefault="00537E5F" w:rsidP="00507A31">
      <w:pPr>
        <w:tabs>
          <w:tab w:val="left" w:pos="11199"/>
        </w:tabs>
        <w:autoSpaceDE w:val="0"/>
        <w:autoSpaceDN w:val="0"/>
        <w:adjustRightInd w:val="0"/>
        <w:jc w:val="both"/>
        <w:rPr>
          <w:iCs/>
          <w:color w:val="000000" w:themeColor="text1"/>
          <w:sz w:val="16"/>
          <w:szCs w:val="16"/>
        </w:rPr>
      </w:pPr>
    </w:p>
    <w:p w14:paraId="2386DBA7" w14:textId="77777777" w:rsidR="00F0340B" w:rsidRPr="00507A31" w:rsidRDefault="00F0340B" w:rsidP="00507A31">
      <w:pPr>
        <w:jc w:val="both"/>
        <w:rPr>
          <w:color w:val="000000" w:themeColor="text1"/>
          <w:sz w:val="16"/>
          <w:szCs w:val="16"/>
        </w:rPr>
      </w:pPr>
      <w:r w:rsidRPr="00507A31">
        <w:rPr>
          <w:color w:val="000000" w:themeColor="text1"/>
          <w:sz w:val="16"/>
          <w:szCs w:val="16"/>
        </w:rPr>
        <w:t>30 июня 1930 г.</w:t>
      </w:r>
    </w:p>
    <w:p w14:paraId="07A5664B" w14:textId="77777777" w:rsidR="00F0340B" w:rsidRPr="00507A31" w:rsidRDefault="00F0340B" w:rsidP="00507A31">
      <w:pPr>
        <w:jc w:val="both"/>
        <w:rPr>
          <w:color w:val="000000" w:themeColor="text1"/>
          <w:sz w:val="16"/>
          <w:szCs w:val="16"/>
        </w:rPr>
      </w:pPr>
      <w:r w:rsidRPr="00507A31">
        <w:rPr>
          <w:color w:val="000000" w:themeColor="text1"/>
          <w:sz w:val="16"/>
          <w:szCs w:val="16"/>
        </w:rPr>
        <w:t>Дело: Фонд 6р, опись 1, ед.хр. 1109, Дело ?21. 'Подлинные журналы и протоколы', архив АртМузея. СПб.</w:t>
      </w:r>
    </w:p>
    <w:p w14:paraId="6F520FCE" w14:textId="77777777" w:rsidR="00F0340B" w:rsidRPr="00507A31" w:rsidRDefault="00F0340B" w:rsidP="00507A31">
      <w:pPr>
        <w:jc w:val="both"/>
        <w:rPr>
          <w:color w:val="000000" w:themeColor="text1"/>
          <w:sz w:val="16"/>
          <w:szCs w:val="16"/>
        </w:rPr>
      </w:pPr>
      <w:r w:rsidRPr="00507A31">
        <w:rPr>
          <w:color w:val="000000" w:themeColor="text1"/>
          <w:sz w:val="16"/>
          <w:szCs w:val="16"/>
        </w:rPr>
        <w:t>Лист 10.</w:t>
      </w:r>
    </w:p>
    <w:p w14:paraId="3A353365" w14:textId="77777777" w:rsidR="00F0340B" w:rsidRPr="00507A31" w:rsidRDefault="00F0340B" w:rsidP="00507A31">
      <w:pPr>
        <w:jc w:val="both"/>
        <w:rPr>
          <w:color w:val="000000" w:themeColor="text1"/>
          <w:sz w:val="16"/>
          <w:szCs w:val="16"/>
        </w:rPr>
      </w:pPr>
      <w:r w:rsidRPr="00507A31">
        <w:rPr>
          <w:color w:val="000000" w:themeColor="text1"/>
          <w:sz w:val="16"/>
          <w:szCs w:val="16"/>
        </w:rPr>
        <w:t>АКТ</w:t>
      </w:r>
    </w:p>
    <w:p w14:paraId="2601705A" w14:textId="77777777" w:rsidR="00F0340B" w:rsidRPr="00507A31" w:rsidRDefault="00F0340B" w:rsidP="00507A31">
      <w:pPr>
        <w:jc w:val="both"/>
        <w:rPr>
          <w:color w:val="000000" w:themeColor="text1"/>
          <w:sz w:val="16"/>
          <w:szCs w:val="16"/>
        </w:rPr>
      </w:pPr>
      <w:r w:rsidRPr="00507A31">
        <w:rPr>
          <w:color w:val="000000" w:themeColor="text1"/>
          <w:sz w:val="16"/>
          <w:szCs w:val="16"/>
        </w:rPr>
        <w:t>30 июня 1930 г.</w:t>
      </w:r>
    </w:p>
    <w:p w14:paraId="203FEB30" w14:textId="77777777" w:rsidR="00F0340B" w:rsidRPr="00507A31" w:rsidRDefault="00F0340B" w:rsidP="00507A31">
      <w:pPr>
        <w:jc w:val="both"/>
        <w:rPr>
          <w:color w:val="000000" w:themeColor="text1"/>
          <w:sz w:val="16"/>
          <w:szCs w:val="16"/>
        </w:rPr>
      </w:pPr>
      <w:r w:rsidRPr="00507A31">
        <w:rPr>
          <w:color w:val="000000" w:themeColor="text1"/>
          <w:sz w:val="16"/>
          <w:szCs w:val="16"/>
        </w:rPr>
        <w:t>Комиссия в составе Председателя и.о. Пом.Нач.АУ РККА тов. КАЗИНИЦКОГО и членов: Председателя V секции НТК АУ т. ЖУКОВСКОГО и Пом. Нач. НИОПа т. ЮШИНА рассмотрела вопрос о наивыгоднейшем калибре для пехотного оружия.</w:t>
      </w:r>
    </w:p>
    <w:p w14:paraId="4F2E56A5" w14:textId="77777777" w:rsidR="00F0340B" w:rsidRPr="00507A31" w:rsidRDefault="00F0340B" w:rsidP="00507A31">
      <w:pPr>
        <w:jc w:val="both"/>
        <w:rPr>
          <w:color w:val="000000" w:themeColor="text1"/>
          <w:sz w:val="16"/>
          <w:szCs w:val="16"/>
        </w:rPr>
      </w:pPr>
      <w:r w:rsidRPr="00507A31">
        <w:rPr>
          <w:color w:val="000000" w:themeColor="text1"/>
          <w:sz w:val="16"/>
          <w:szCs w:val="16"/>
        </w:rPr>
        <w:t>Вопрос о выборе калибра для пехотного вооружения связан:</w:t>
      </w:r>
    </w:p>
    <w:p w14:paraId="3FBED959" w14:textId="77777777" w:rsidR="00F0340B" w:rsidRPr="00507A31" w:rsidRDefault="00F0340B" w:rsidP="00507A31">
      <w:pPr>
        <w:jc w:val="both"/>
        <w:rPr>
          <w:color w:val="000000" w:themeColor="text1"/>
          <w:sz w:val="16"/>
          <w:szCs w:val="16"/>
        </w:rPr>
      </w:pPr>
      <w:r w:rsidRPr="00507A31">
        <w:rPr>
          <w:color w:val="000000" w:themeColor="text1"/>
          <w:sz w:val="16"/>
          <w:szCs w:val="16"/>
        </w:rPr>
        <w:t>1) С тактическими требованиями к различного типа образцами пехотного оружия и удовлетворительности технического разрешения этих требований.</w:t>
      </w:r>
    </w:p>
    <w:p w14:paraId="17A50A45" w14:textId="77777777" w:rsidR="00F0340B" w:rsidRPr="00507A31" w:rsidRDefault="00F0340B" w:rsidP="00507A31">
      <w:pPr>
        <w:jc w:val="both"/>
        <w:rPr>
          <w:color w:val="000000" w:themeColor="text1"/>
          <w:sz w:val="16"/>
          <w:szCs w:val="16"/>
        </w:rPr>
      </w:pPr>
      <w:r w:rsidRPr="00507A31">
        <w:rPr>
          <w:color w:val="000000" w:themeColor="text1"/>
          <w:sz w:val="16"/>
          <w:szCs w:val="16"/>
        </w:rPr>
        <w:t>2) С вопросами снабжения боеприпасами во время боевых операций.</w:t>
      </w:r>
    </w:p>
    <w:p w14:paraId="3187B1DD" w14:textId="77777777" w:rsidR="00F0340B" w:rsidRPr="00507A31" w:rsidRDefault="00F0340B" w:rsidP="00507A31">
      <w:pPr>
        <w:jc w:val="both"/>
        <w:rPr>
          <w:color w:val="000000" w:themeColor="text1"/>
          <w:sz w:val="16"/>
          <w:szCs w:val="16"/>
        </w:rPr>
      </w:pPr>
      <w:r w:rsidRPr="00507A31">
        <w:rPr>
          <w:color w:val="000000" w:themeColor="text1"/>
          <w:sz w:val="16"/>
          <w:szCs w:val="16"/>
        </w:rPr>
        <w:t>3) С вопросами экономики и простоты постановки производства.</w:t>
      </w:r>
    </w:p>
    <w:p w14:paraId="3DBF38FC" w14:textId="77777777" w:rsidR="00F0340B" w:rsidRPr="00507A31" w:rsidRDefault="00F0340B" w:rsidP="00507A31">
      <w:pPr>
        <w:jc w:val="both"/>
        <w:rPr>
          <w:color w:val="000000" w:themeColor="text1"/>
          <w:sz w:val="16"/>
          <w:szCs w:val="16"/>
        </w:rPr>
      </w:pPr>
      <w:r w:rsidRPr="00507A31">
        <w:rPr>
          <w:color w:val="000000" w:themeColor="text1"/>
          <w:sz w:val="16"/>
          <w:szCs w:val="16"/>
        </w:rPr>
        <w:t>1. Тактические требования к баллистическим весовым данным различных типовых образцов пехотного оружия после мировой войны установились следующие:</w:t>
      </w:r>
    </w:p>
    <w:p w14:paraId="6BFA033F" w14:textId="77777777" w:rsidR="00F0340B" w:rsidRPr="00507A31" w:rsidRDefault="00F0340B" w:rsidP="00507A31">
      <w:pPr>
        <w:jc w:val="both"/>
        <w:rPr>
          <w:color w:val="000000" w:themeColor="text1"/>
          <w:sz w:val="16"/>
          <w:szCs w:val="16"/>
        </w:rPr>
      </w:pPr>
      <w:r w:rsidRPr="00507A31">
        <w:rPr>
          <w:color w:val="000000" w:themeColor="text1"/>
          <w:sz w:val="16"/>
          <w:szCs w:val="16"/>
        </w:rPr>
        <w:t>А) Винтовка обыкновенная или самозарядная - дальность действительной стрельбы - 600 мтр. Боеприпасы, дающие на эту дистанцию точный огонь и возможно большую способность поражения. </w:t>
      </w:r>
    </w:p>
    <w:p w14:paraId="715B70B5" w14:textId="77777777" w:rsidR="00F0340B" w:rsidRPr="00507A31" w:rsidRDefault="00F0340B" w:rsidP="00507A31">
      <w:pPr>
        <w:jc w:val="both"/>
        <w:rPr>
          <w:color w:val="000000" w:themeColor="text1"/>
          <w:sz w:val="16"/>
          <w:szCs w:val="16"/>
        </w:rPr>
      </w:pPr>
      <w:r w:rsidRPr="00507A31">
        <w:rPr>
          <w:color w:val="000000" w:themeColor="text1"/>
          <w:sz w:val="16"/>
          <w:szCs w:val="16"/>
        </w:rPr>
        <w:t>Вес около 4 кгр без штыка. В автоматической винтовке ствол неподвижный для стрельбы гранатами.</w:t>
      </w:r>
    </w:p>
    <w:p w14:paraId="5BFFD473" w14:textId="77777777" w:rsidR="00F0340B" w:rsidRPr="00507A31" w:rsidRDefault="00F0340B" w:rsidP="00507A31">
      <w:pPr>
        <w:jc w:val="both"/>
        <w:rPr>
          <w:color w:val="000000" w:themeColor="text1"/>
          <w:sz w:val="16"/>
          <w:szCs w:val="16"/>
        </w:rPr>
      </w:pPr>
      <w:r w:rsidRPr="00507A31">
        <w:rPr>
          <w:color w:val="000000" w:themeColor="text1"/>
          <w:sz w:val="16"/>
          <w:szCs w:val="16"/>
        </w:rPr>
        <w:t>В) Ручной пулемёт - дальность действительной стрельбы 1500 мтр. Боеприпасы те же, что и для винтовки; необходимо достаточно сильное бронедействие. Вес около 9 кгр.</w:t>
      </w:r>
    </w:p>
    <w:p w14:paraId="008633FF" w14:textId="77777777" w:rsidR="00F0340B" w:rsidRPr="00507A31" w:rsidRDefault="00F0340B" w:rsidP="00507A31">
      <w:pPr>
        <w:jc w:val="both"/>
        <w:rPr>
          <w:color w:val="000000" w:themeColor="text1"/>
          <w:sz w:val="16"/>
          <w:szCs w:val="16"/>
        </w:rPr>
      </w:pPr>
      <w:r w:rsidRPr="00507A31">
        <w:rPr>
          <w:color w:val="000000" w:themeColor="text1"/>
          <w:sz w:val="16"/>
          <w:szCs w:val="16"/>
        </w:rPr>
        <w:t>С) Тяжёлый пулемёт - боеприпасы дающие действительный огонь до 5 клм (при углах наибольшей дальности или лучше несколько меньших.</w:t>
      </w:r>
    </w:p>
    <w:p w14:paraId="3785668C" w14:textId="77777777" w:rsidR="00F0340B" w:rsidRPr="00507A31" w:rsidRDefault="00F0340B" w:rsidP="00507A31">
      <w:pPr>
        <w:jc w:val="both"/>
        <w:rPr>
          <w:color w:val="000000" w:themeColor="text1"/>
          <w:sz w:val="16"/>
          <w:szCs w:val="16"/>
        </w:rPr>
      </w:pPr>
      <w:r w:rsidRPr="00507A31">
        <w:rPr>
          <w:color w:val="000000" w:themeColor="text1"/>
          <w:sz w:val="16"/>
          <w:szCs w:val="16"/>
        </w:rPr>
        <w:t>Как видно, более или менее установившиеся тактические требования к различным типам пехотного оружия, при идеальном разрешении баллистической конструктивной задачи для каждого из образцов, не касаясь универсальности боеприпасов, встречаются с вопросами облегчения питания во время боя и чисто производственными вопросами. (Постановка производства одного, двух или трёх типов патронов).</w:t>
      </w:r>
    </w:p>
    <w:p w14:paraId="13BBE972" w14:textId="77777777" w:rsidR="00F0340B" w:rsidRPr="00507A31" w:rsidRDefault="00F0340B" w:rsidP="00507A31">
      <w:pPr>
        <w:jc w:val="both"/>
        <w:rPr>
          <w:color w:val="000000" w:themeColor="text1"/>
          <w:sz w:val="16"/>
          <w:szCs w:val="16"/>
        </w:rPr>
      </w:pPr>
      <w:r w:rsidRPr="00507A31">
        <w:rPr>
          <w:color w:val="000000" w:themeColor="text1"/>
          <w:sz w:val="16"/>
          <w:szCs w:val="16"/>
        </w:rPr>
        <w:t>Рациональное разрешение вопроса в связи с тактическими требованиями к различным образцам оружия предопределяет и характер и направление конструкторской работы над материальной частью типовых образцов вооружения пехоты. Чем меньше требования в отношении давления, начальных скоростей и дальности будут предъявлены к данному типу оружия, тем легче и проще будет его материальная часть.</w:t>
      </w:r>
    </w:p>
    <w:p w14:paraId="2AF77E87" w14:textId="77777777" w:rsidR="00F0340B" w:rsidRPr="00507A31" w:rsidRDefault="00F0340B" w:rsidP="00507A31">
      <w:pPr>
        <w:jc w:val="both"/>
        <w:rPr>
          <w:color w:val="000000" w:themeColor="text1"/>
          <w:sz w:val="16"/>
          <w:szCs w:val="16"/>
        </w:rPr>
      </w:pPr>
      <w:r w:rsidRPr="00507A31">
        <w:rPr>
          <w:color w:val="000000" w:themeColor="text1"/>
          <w:sz w:val="16"/>
          <w:szCs w:val="16"/>
        </w:rPr>
        <w:t>Из вышеизложенного мы видим, что к различным образцам оружия предъявляются различные тактические требования, а посему напрашивается и соответствующее решение - иметь различные для них боеприпасы. Но принимая во внимание вопросы снабжения и производства, число образцов боеприпасов должно быть сведено к минимуму. При этом необходимо принять во внимание, что всякая универсальность в чём бы то ни было, никогда не удовлетворяет всем требованиям, предъявляемым к данному универсальному предмету.</w:t>
      </w:r>
    </w:p>
    <w:p w14:paraId="73BDB8C9" w14:textId="77777777" w:rsidR="00F0340B" w:rsidRPr="00507A31" w:rsidRDefault="00F0340B" w:rsidP="00507A31">
      <w:pPr>
        <w:jc w:val="both"/>
        <w:rPr>
          <w:color w:val="000000" w:themeColor="text1"/>
          <w:sz w:val="16"/>
          <w:szCs w:val="16"/>
        </w:rPr>
      </w:pPr>
      <w:r w:rsidRPr="00507A31">
        <w:rPr>
          <w:color w:val="000000" w:themeColor="text1"/>
          <w:sz w:val="16"/>
          <w:szCs w:val="16"/>
        </w:rPr>
        <w:t>Что представляет из себя существующий 7,62 мм патрон - 1) в баллистическом и 2) в техническом отношении.</w:t>
      </w:r>
    </w:p>
    <w:p w14:paraId="5066FC9E" w14:textId="77777777" w:rsidR="00F0340B" w:rsidRPr="00507A31" w:rsidRDefault="00F0340B" w:rsidP="00507A31">
      <w:pPr>
        <w:jc w:val="both"/>
        <w:rPr>
          <w:color w:val="000000" w:themeColor="text1"/>
          <w:sz w:val="16"/>
          <w:szCs w:val="16"/>
        </w:rPr>
      </w:pPr>
      <w:r w:rsidRPr="00507A31">
        <w:rPr>
          <w:color w:val="000000" w:themeColor="text1"/>
          <w:sz w:val="16"/>
          <w:szCs w:val="16"/>
        </w:rPr>
        <w:t>1) В баллистическом отношении: а) при существующей пуле (q = 9,6гр) существующий патрон даёт недостаточно большую предельную дальность (3700 мтр) [Скорее всего это касается станкового пулемёта]. Б) Для винтовки - 7,62 мм патрон, при вышеуказанных тактических требованиях к ней - даёт излишне большие начальную скорость и давление, и значит излишнюю прицельную дальность - 2700 мтр.</w:t>
      </w:r>
    </w:p>
    <w:p w14:paraId="19F60E25" w14:textId="77777777" w:rsidR="00F0340B" w:rsidRPr="00507A31" w:rsidRDefault="00F0340B" w:rsidP="00507A31">
      <w:pPr>
        <w:jc w:val="both"/>
        <w:rPr>
          <w:color w:val="000000" w:themeColor="text1"/>
          <w:sz w:val="16"/>
          <w:szCs w:val="16"/>
        </w:rPr>
      </w:pPr>
      <w:r w:rsidRPr="00507A31">
        <w:rPr>
          <w:color w:val="000000" w:themeColor="text1"/>
          <w:sz w:val="16"/>
          <w:szCs w:val="16"/>
        </w:rPr>
        <w:t>2) В техническом отношении: а) Гильза имеет закраину, что отражается на величине диаметра затвора и ствольной коробки, а также и всей укупорки и затрудняет проектирование самозарядной винтовки и вообще автоматического оружия.</w:t>
      </w:r>
    </w:p>
    <w:p w14:paraId="0F8965A1" w14:textId="77777777" w:rsidR="00F0340B" w:rsidRPr="00507A31" w:rsidRDefault="00F0340B" w:rsidP="00507A31">
      <w:pPr>
        <w:jc w:val="both"/>
        <w:rPr>
          <w:color w:val="000000" w:themeColor="text1"/>
          <w:sz w:val="16"/>
          <w:szCs w:val="16"/>
        </w:rPr>
      </w:pPr>
      <w:r w:rsidRPr="00507A31">
        <w:rPr>
          <w:color w:val="000000" w:themeColor="text1"/>
          <w:sz w:val="16"/>
          <w:szCs w:val="16"/>
        </w:rPr>
        <w:t>Б) Гильза имеет тонкое дно, что увеличивает возможность прорыва пороховых газов - при неблагоприятных обстоятельствах. </w:t>
      </w:r>
    </w:p>
    <w:p w14:paraId="250C9035" w14:textId="77777777" w:rsidR="00F0340B" w:rsidRPr="00507A31" w:rsidRDefault="00F0340B" w:rsidP="00507A31">
      <w:pPr>
        <w:jc w:val="both"/>
        <w:rPr>
          <w:color w:val="000000" w:themeColor="text1"/>
          <w:sz w:val="16"/>
          <w:szCs w:val="16"/>
        </w:rPr>
      </w:pPr>
      <w:r w:rsidRPr="00507A31">
        <w:rPr>
          <w:color w:val="000000" w:themeColor="text1"/>
          <w:sz w:val="16"/>
          <w:szCs w:val="16"/>
        </w:rPr>
        <w:t>В) Гильза имеет малый объём: при сохранении того же калибра не удаётся увеличить заряд. </w:t>
      </w:r>
    </w:p>
    <w:p w14:paraId="6E04F600" w14:textId="77777777" w:rsidR="00F0340B" w:rsidRPr="00507A31" w:rsidRDefault="00F0340B" w:rsidP="00507A31">
      <w:pPr>
        <w:jc w:val="both"/>
        <w:rPr>
          <w:color w:val="000000" w:themeColor="text1"/>
          <w:sz w:val="16"/>
          <w:szCs w:val="16"/>
        </w:rPr>
      </w:pPr>
      <w:r w:rsidRPr="00507A31">
        <w:rPr>
          <w:color w:val="000000" w:themeColor="text1"/>
          <w:sz w:val="16"/>
          <w:szCs w:val="16"/>
        </w:rPr>
        <w:t>Г) Гильза имеет самые тонкие стенки и дульце по сравнению с гильзами всех иностранных армий.</w:t>
      </w:r>
    </w:p>
    <w:p w14:paraId="4F5E5968" w14:textId="77777777" w:rsidR="00F0340B" w:rsidRPr="00507A31" w:rsidRDefault="00F0340B" w:rsidP="00507A31">
      <w:pPr>
        <w:jc w:val="both"/>
        <w:rPr>
          <w:color w:val="000000" w:themeColor="text1"/>
          <w:sz w:val="16"/>
          <w:szCs w:val="16"/>
        </w:rPr>
      </w:pPr>
      <w:r w:rsidRPr="00507A31">
        <w:rPr>
          <w:color w:val="000000" w:themeColor="text1"/>
          <w:sz w:val="16"/>
          <w:szCs w:val="16"/>
        </w:rPr>
        <w:t>В виду того, что существующий патрон обладает недостатками и затрудняет конструирование самозарядной винтовки, Комиссия рассматривает 3 варианта возможных решений этого вопроса:</w:t>
      </w:r>
    </w:p>
    <w:p w14:paraId="7198CAE9" w14:textId="77777777" w:rsidR="00F0340B" w:rsidRPr="00507A31" w:rsidRDefault="00F0340B" w:rsidP="00507A31">
      <w:pPr>
        <w:jc w:val="both"/>
        <w:rPr>
          <w:color w:val="000000" w:themeColor="text1"/>
          <w:sz w:val="16"/>
          <w:szCs w:val="16"/>
        </w:rPr>
      </w:pPr>
      <w:r w:rsidRPr="00507A31">
        <w:rPr>
          <w:color w:val="000000" w:themeColor="text1"/>
          <w:sz w:val="16"/>
          <w:szCs w:val="16"/>
        </w:rPr>
        <w:t>I. При 7,62 мм калибре: вопрос о патроне для самозарядной винтовки может быть поставлен в плоскости уменьшения его до целесообразных пределов путём уменьшения веса пули и заряда.</w:t>
      </w:r>
    </w:p>
    <w:p w14:paraId="0DAD4E93" w14:textId="77777777" w:rsidR="00F0340B" w:rsidRPr="00507A31" w:rsidRDefault="00F0340B" w:rsidP="00507A31">
      <w:pPr>
        <w:jc w:val="both"/>
        <w:rPr>
          <w:color w:val="000000" w:themeColor="text1"/>
          <w:sz w:val="16"/>
          <w:szCs w:val="16"/>
        </w:rPr>
      </w:pPr>
      <w:r w:rsidRPr="00507A31">
        <w:rPr>
          <w:color w:val="000000" w:themeColor="text1"/>
          <w:sz w:val="16"/>
          <w:szCs w:val="16"/>
        </w:rPr>
        <w:t>При этом необходимо иметь ввиду, что: 1) с уменьшением веса заряда уменьшается давление (и отдача), но ухудшается кучность и настильность (дальность прямого выстрела) стрельбы; 2) При уменьшении веса пули при том же заряде уменьшается давление (отдача), увеличивается кучность на малых дистанциях, но кучность и убойность быстро падают с увеличением дальности.</w:t>
      </w:r>
    </w:p>
    <w:p w14:paraId="4CAC0FAE" w14:textId="77777777" w:rsidR="00F0340B" w:rsidRPr="00507A31" w:rsidRDefault="00F0340B" w:rsidP="00507A31">
      <w:pPr>
        <w:jc w:val="both"/>
        <w:rPr>
          <w:color w:val="000000" w:themeColor="text1"/>
          <w:sz w:val="16"/>
          <w:szCs w:val="16"/>
        </w:rPr>
      </w:pPr>
      <w:r w:rsidRPr="00507A31">
        <w:rPr>
          <w:color w:val="000000" w:themeColor="text1"/>
          <w:sz w:val="16"/>
          <w:szCs w:val="16"/>
        </w:rPr>
        <w:t>При таком условии оставляя станковый пулемёт с тем патроном, при котором уже достигнута достаточная для него мощность, РККА будет иметь на снабжении два типа патронов с одинаковыми гильзами (типа существующей - модернизированной путём устранения отмеченных выше технических недостатков), но с различными пулями, из которых одна - обыкновенная существующая или облегчённая - назначается для оружия пехотных групп (винтовка и ручной пулемёт), а другая, тяжёлая, для станкового пулемёта. Однако оба патрона должны быть сконструированы таким образом, чтобы стрельба ими могла производиться, как из винтовок, так и из пулемётов. При таком условии неудобством двух различных патронов в деле снабжения будет отчасти сглажено, но вместе с тем будет достигнута возможность конструирования самозарядной винтовки и уменьшения веса патрона.</w:t>
      </w:r>
    </w:p>
    <w:p w14:paraId="7FE25B7A" w14:textId="77777777" w:rsidR="00F0340B" w:rsidRPr="00507A31" w:rsidRDefault="00F0340B" w:rsidP="00507A31">
      <w:pPr>
        <w:jc w:val="both"/>
        <w:rPr>
          <w:color w:val="000000" w:themeColor="text1"/>
          <w:sz w:val="16"/>
          <w:szCs w:val="16"/>
        </w:rPr>
      </w:pPr>
      <w:r w:rsidRPr="00507A31">
        <w:rPr>
          <w:color w:val="000000" w:themeColor="text1"/>
          <w:sz w:val="16"/>
          <w:szCs w:val="16"/>
        </w:rPr>
        <w:t>Для станкового пулемёта при этом может быть рекомендован существующий патрон, при устранении перечисленных недостатков гильзы, с тяжёлой пулей американского образца весом 11,7 гр и начальной скоростью 805 м/с, как дающий при углах возвышения порядка 30 градусов - дальность около 5000 мт.</w:t>
      </w:r>
    </w:p>
    <w:p w14:paraId="29DC4C49" w14:textId="77777777" w:rsidR="00F0340B" w:rsidRPr="00507A31" w:rsidRDefault="00F0340B" w:rsidP="00507A31">
      <w:pPr>
        <w:jc w:val="both"/>
        <w:rPr>
          <w:color w:val="000000" w:themeColor="text1"/>
          <w:sz w:val="16"/>
          <w:szCs w:val="16"/>
        </w:rPr>
      </w:pPr>
      <w:r w:rsidRPr="00507A31">
        <w:rPr>
          <w:color w:val="000000" w:themeColor="text1"/>
          <w:sz w:val="16"/>
          <w:szCs w:val="16"/>
        </w:rPr>
        <w:t>При этом необходимо отметить, что:</w:t>
      </w:r>
    </w:p>
    <w:p w14:paraId="036754D4" w14:textId="77777777" w:rsidR="00F0340B" w:rsidRPr="00507A31" w:rsidRDefault="00F0340B" w:rsidP="00507A31">
      <w:pPr>
        <w:jc w:val="both"/>
        <w:rPr>
          <w:color w:val="000000" w:themeColor="text1"/>
          <w:sz w:val="16"/>
          <w:szCs w:val="16"/>
        </w:rPr>
      </w:pPr>
      <w:r w:rsidRPr="00507A31">
        <w:rPr>
          <w:color w:val="000000" w:themeColor="text1"/>
          <w:sz w:val="16"/>
          <w:szCs w:val="16"/>
        </w:rPr>
        <w:t>1) Наибольшее давление в канале ствола при замене нормальной пули на американскую, несколько возрастёт против нормального (2800-2850 атм.).</w:t>
      </w:r>
    </w:p>
    <w:p w14:paraId="2E2E075B" w14:textId="77777777" w:rsidR="00F0340B" w:rsidRPr="00507A31" w:rsidRDefault="00F0340B" w:rsidP="00507A31">
      <w:pPr>
        <w:jc w:val="both"/>
        <w:rPr>
          <w:color w:val="000000" w:themeColor="text1"/>
          <w:sz w:val="16"/>
          <w:szCs w:val="16"/>
        </w:rPr>
      </w:pPr>
      <w:r w:rsidRPr="00507A31">
        <w:rPr>
          <w:color w:val="000000" w:themeColor="text1"/>
          <w:sz w:val="16"/>
          <w:szCs w:val="16"/>
        </w:rPr>
        <w:t>2) Пуля при стрельбе на предельные дистанции (5000 мт.) недостаточно убойна - не пробивает 2,5 см сосновой доски и следовательно, дистанция действительной стрельбы будет несколько меньше.</w:t>
      </w:r>
    </w:p>
    <w:p w14:paraId="36DD0CB2" w14:textId="77777777" w:rsidR="00F0340B" w:rsidRPr="00507A31" w:rsidRDefault="00F0340B" w:rsidP="00507A31">
      <w:pPr>
        <w:jc w:val="both"/>
        <w:rPr>
          <w:color w:val="000000" w:themeColor="text1"/>
          <w:sz w:val="16"/>
          <w:szCs w:val="16"/>
        </w:rPr>
      </w:pPr>
      <w:r w:rsidRPr="00507A31">
        <w:rPr>
          <w:color w:val="000000" w:themeColor="text1"/>
          <w:sz w:val="16"/>
          <w:szCs w:val="16"/>
        </w:rPr>
        <w:t>Для устранения этого желательно подобрать порох, дающий меньшее давление и большую скорость.</w:t>
      </w:r>
    </w:p>
    <w:p w14:paraId="593CCBF3" w14:textId="77777777" w:rsidR="00F0340B" w:rsidRPr="00507A31" w:rsidRDefault="00F0340B" w:rsidP="00507A31">
      <w:pPr>
        <w:jc w:val="both"/>
        <w:rPr>
          <w:color w:val="000000" w:themeColor="text1"/>
          <w:sz w:val="16"/>
          <w:szCs w:val="16"/>
        </w:rPr>
      </w:pPr>
      <w:r w:rsidRPr="00507A31">
        <w:rPr>
          <w:color w:val="000000" w:themeColor="text1"/>
          <w:sz w:val="16"/>
          <w:szCs w:val="16"/>
        </w:rPr>
        <w:t>II. При калибре в 7 мм - вопрос о конструировании самозарядной винтовки будет достаточно облегчён, но при этом может быть удовлетворительно разрешён и вопрос конструирования мощного станкового пулемёта, что видно из брошюры: 'Вопросы пехотного вооружения, во Франции'. Изд. IV Упр.Штаба РККА 1928 г., где помещено указание о 7 мм пуле генерала Дезале, весом 10,2 гр., которая даёт дальность действительной стрельбы 5000 метров ('точность и способность поражения предоставляются вполне удовлетворительными' стр. 22).</w:t>
      </w:r>
    </w:p>
    <w:p w14:paraId="0C690777" w14:textId="77777777" w:rsidR="00F0340B" w:rsidRPr="00507A31" w:rsidRDefault="00F0340B" w:rsidP="00507A31">
      <w:pPr>
        <w:jc w:val="both"/>
        <w:rPr>
          <w:color w:val="000000" w:themeColor="text1"/>
          <w:sz w:val="16"/>
          <w:szCs w:val="16"/>
        </w:rPr>
      </w:pPr>
      <w:r w:rsidRPr="00507A31">
        <w:rPr>
          <w:color w:val="000000" w:themeColor="text1"/>
          <w:sz w:val="16"/>
          <w:szCs w:val="16"/>
        </w:rPr>
        <w:t>Переход к 7 мм калибру является наиболее выгодным в отношении сохранения единства патрона для всех видов пехотного оружия. Однако он связан с полным перевооружением.</w:t>
      </w:r>
    </w:p>
    <w:p w14:paraId="34502012" w14:textId="77777777" w:rsidR="00F0340B" w:rsidRPr="00507A31" w:rsidRDefault="00F0340B" w:rsidP="00507A31">
      <w:pPr>
        <w:jc w:val="both"/>
        <w:rPr>
          <w:color w:val="000000" w:themeColor="text1"/>
          <w:sz w:val="16"/>
          <w:szCs w:val="16"/>
        </w:rPr>
      </w:pPr>
      <w:r w:rsidRPr="00507A31">
        <w:rPr>
          <w:color w:val="000000" w:themeColor="text1"/>
          <w:sz w:val="16"/>
          <w:szCs w:val="16"/>
        </w:rPr>
        <w:lastRenderedPageBreak/>
        <w:t>III. При 6,5 мм калибре.</w:t>
      </w:r>
    </w:p>
    <w:p w14:paraId="00EB2317" w14:textId="77777777" w:rsidR="00F0340B" w:rsidRPr="00507A31" w:rsidRDefault="00F0340B" w:rsidP="00507A31">
      <w:pPr>
        <w:jc w:val="both"/>
        <w:rPr>
          <w:color w:val="000000" w:themeColor="text1"/>
          <w:sz w:val="16"/>
          <w:szCs w:val="16"/>
        </w:rPr>
      </w:pPr>
      <w:r w:rsidRPr="00507A31">
        <w:rPr>
          <w:color w:val="000000" w:themeColor="text1"/>
          <w:sz w:val="16"/>
          <w:szCs w:val="16"/>
        </w:rPr>
        <w:t>Стремление упростить вопрос о конструировании самозарядной винтовки и облегчить боеприпасы для неё вызывают необходимость возможно большего уменьшения калибра - до 6,5 мм. Однако, если оставить один малый калибр и для самозарядной винтовки и для станкового пулемёта, то возникнут затруднения в конструировании под такой патрон достаточно мощного станкового пулемёта.</w:t>
      </w:r>
    </w:p>
    <w:p w14:paraId="57ADE6F2" w14:textId="77777777" w:rsidR="00F0340B" w:rsidRPr="00507A31" w:rsidRDefault="00F0340B" w:rsidP="00507A31">
      <w:pPr>
        <w:jc w:val="both"/>
        <w:rPr>
          <w:color w:val="000000" w:themeColor="text1"/>
          <w:sz w:val="16"/>
          <w:szCs w:val="16"/>
        </w:rPr>
      </w:pPr>
      <w:r w:rsidRPr="00507A31">
        <w:rPr>
          <w:color w:val="000000" w:themeColor="text1"/>
          <w:sz w:val="16"/>
          <w:szCs w:val="16"/>
        </w:rPr>
        <w:t>Таким образом, если оставить станковый пулемёт существующего калибра, придётся примириться с существованием на вооружении пехоты патронов двух калибров.</w:t>
      </w:r>
    </w:p>
    <w:p w14:paraId="4581B798" w14:textId="77777777" w:rsidR="00F0340B" w:rsidRPr="00507A31" w:rsidRDefault="00F0340B" w:rsidP="00507A31">
      <w:pPr>
        <w:jc w:val="both"/>
        <w:rPr>
          <w:color w:val="000000" w:themeColor="text1"/>
          <w:sz w:val="16"/>
          <w:szCs w:val="16"/>
        </w:rPr>
      </w:pPr>
      <w:r w:rsidRPr="00507A31">
        <w:rPr>
          <w:color w:val="000000" w:themeColor="text1"/>
          <w:sz w:val="16"/>
          <w:szCs w:val="16"/>
        </w:rPr>
        <w:t>То обстоятельство, что самозарядная винтовка меньшего калибра по сравнению с существующим будет удовлетворять боевому назначению, видно из результатов исследования этого вопроса на оружейном полигоне, проведённого в 1911 г.</w:t>
      </w:r>
    </w:p>
    <w:p w14:paraId="1C6D13D1" w14:textId="77777777" w:rsidR="00F0340B" w:rsidRPr="00507A31" w:rsidRDefault="00F0340B" w:rsidP="00507A31">
      <w:pPr>
        <w:jc w:val="both"/>
        <w:rPr>
          <w:color w:val="000000" w:themeColor="text1"/>
          <w:sz w:val="16"/>
          <w:szCs w:val="16"/>
        </w:rPr>
      </w:pPr>
      <w:r w:rsidRPr="00507A31">
        <w:rPr>
          <w:color w:val="000000" w:themeColor="text1"/>
          <w:sz w:val="16"/>
          <w:szCs w:val="16"/>
        </w:rPr>
        <w:t>Исследования эти велись над калибрами 6 мм, 6,5 мм, 7 мм и 7,62 мм, причём веса пуль были следующие: 6 мм - 7 г; 6,5 г; и 5,85 г;; 6,5 мм - 8,3 г; 7,5 г; и 6,9 г;; 7 мм - 9,63 г; 8,2 г и 8,0 г;; 7,62 мм - 9,6 г (острая), 7,62 мм - 13,7 г (тупая) (18669).</w:t>
      </w:r>
    </w:p>
    <w:p w14:paraId="1F9E0B59" w14:textId="77777777" w:rsidR="00F0340B" w:rsidRPr="00507A31" w:rsidRDefault="00F0340B" w:rsidP="00507A31">
      <w:pPr>
        <w:jc w:val="both"/>
        <w:rPr>
          <w:color w:val="000000" w:themeColor="text1"/>
          <w:sz w:val="16"/>
          <w:szCs w:val="16"/>
        </w:rPr>
      </w:pPr>
    </w:p>
    <w:p w14:paraId="0D2627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июня 1930 г. был подготовлен АКТ ИСПЫТАНИЯ ПРОБЕГОМ ГРУЗОВОГО 3,5-ТОННОГО АВТОМОБИЛЯ ТИПА «Я-5»</w:t>
      </w:r>
    </w:p>
    <w:p w14:paraId="0BCD09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Акт испытания пробегом грузового 3,5-тонного автомобиля типа «Я-5» за №832, мотор №115079, подлежащего поставке по договору ТУ УММ с ВАТО от 3 февраля 1930 года.</w:t>
      </w:r>
    </w:p>
    <w:p w14:paraId="53F5B5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производилось 28 июня 1930 года. Начало: 7 ч 30 мин. Конец: 12 ч 10 мин.</w:t>
      </w:r>
    </w:p>
    <w:p w14:paraId="143B33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Число километров: 100 километров. Характеристика дороги: шоссе.</w:t>
      </w:r>
    </w:p>
    <w:p w14:paraId="3E2764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Погода: + 26° - хорошая.</w:t>
      </w:r>
    </w:p>
    <w:p w14:paraId="084FCE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Расход эксплуатационного материала.</w:t>
      </w:r>
    </w:p>
    <w:p w14:paraId="78A254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Бензин на 100 километров — 35 литров.</w:t>
      </w:r>
    </w:p>
    <w:p w14:paraId="068113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Масла на 100 километров — 1 кг.</w:t>
      </w:r>
    </w:p>
    <w:p w14:paraId="20DDCB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Рессоры прогиб в мм Передняя правая Передняя левая Задняя правая Задняя левая</w:t>
      </w:r>
    </w:p>
    <w:p w14:paraId="77CD9D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 пробега 205 195 ПО 109</w:t>
      </w:r>
    </w:p>
    <w:p w14:paraId="2624A3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После пробега 198 195 85 93</w:t>
      </w:r>
    </w:p>
    <w:p w14:paraId="669865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Отметки об устранении замеченных при испытании неисправностей: отрегулировать клапана,! пропуск масла у карданной трубы, снять барабаны и сменить сальники. Сменить задние рессоры. Мелкие дефекты устранены. Имеется вой шестерен дифференциала. Дополнительный пробег и ос-[ мотр после пробега дал удовлетворительные результаты. Машина принимается с годичной гаранти| ей шестерен заднего моста.</w:t>
      </w:r>
    </w:p>
    <w:p w14:paraId="7F69C5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Военный представитель ВТУ РК Петражитский</w:t>
      </w:r>
    </w:p>
    <w:p w14:paraId="17D8B2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Мастер сборочного цеха Горчаков</w:t>
      </w:r>
    </w:p>
    <w:p w14:paraId="6F389B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295. Л. 35. Подлинник (11210).</w:t>
      </w:r>
    </w:p>
    <w:p w14:paraId="69B262F3" w14:textId="77777777" w:rsidR="00537E5F" w:rsidRPr="00507A31" w:rsidRDefault="00537E5F" w:rsidP="00507A31">
      <w:pPr>
        <w:autoSpaceDE w:val="0"/>
        <w:autoSpaceDN w:val="0"/>
        <w:adjustRightInd w:val="0"/>
        <w:jc w:val="both"/>
        <w:rPr>
          <w:color w:val="000000" w:themeColor="text1"/>
          <w:sz w:val="16"/>
          <w:szCs w:val="16"/>
        </w:rPr>
      </w:pPr>
    </w:p>
    <w:p w14:paraId="7B8B02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30 июня 1930 г. в подарок XVI съезду ВКП(б) успели сделать мотоцикл Тремасс, и сразу же отправили в Москву. Выставка советских мотоциклов открылась 10 июля 1930 г. Вот, что она собой представляла. В центре экспозиции располагались стенды треста ТРЕМАСС и Объединенных Ижевских заводов (ОИЗ). На первом – стояли рядом новейший отечественный мотоцикл «Тремасс-300» и его немецкий аналог Luxus-300 фирмы DKW. Наш мотоцикл отличался тщательностью изготовления каждой детали, исключительной внешней чистотой, а фирменный Luxus-300 сошел с конвейера массового производства и выглядел обыденной «рабочей лошадкой». На ижевском стенде располагались пять знаменитых машин: от ИЖ-1 до ИЖ-5. Получилось так, что шесть мотоциклов, спроектированных и сделанных под руководством П.В. Можарова, стояли в ряд, олицетворяя его успехи в отечественном мотоциклостроении. Здесь же демонстрировались и другие советские мотоциклы: «Союз» - И.Н. Львова, Э.М. III – Э.Г. Мауэра, МТ-2 – Н. Токарева, а также конструкции П. Лабура и Махурина. Для сравнения с ними представили несколько сделанных в 1930 г. иностранных мотоциклов…Выставка имела большой успех и вызвала широкий резонанс в обществе. За два месяца работы ее посетили более 100 тысяч москвичей и гостей столицы. Однако подлинному герою отечественного мотоциклостроения – П.В. Можарову не было суждено увидеть это интереснейшее собрание мототехники. В то время, как публика восхищалась удивительными конструкциями экспериментальных мотоциклов, Пётр Владимирович, как и в прежние годы, упорно трудился до поздней ночи, без выходных и очередного отпуска. Причина столь интенсивного труда заключалась в том, что требовалось как можно быстрее построить все 25 ленинградских мотоциклов. К началу же июля удалось сделать один экземпляр, так называемый промышленный образец, представленный на выставке (11398).</w:t>
      </w:r>
    </w:p>
    <w:p w14:paraId="1EE737FB" w14:textId="77777777" w:rsidR="00537E5F" w:rsidRPr="00507A31" w:rsidRDefault="00537E5F" w:rsidP="00507A31">
      <w:pPr>
        <w:autoSpaceDE w:val="0"/>
        <w:autoSpaceDN w:val="0"/>
        <w:adjustRightInd w:val="0"/>
        <w:jc w:val="both"/>
        <w:rPr>
          <w:color w:val="000000" w:themeColor="text1"/>
          <w:sz w:val="16"/>
          <w:szCs w:val="16"/>
        </w:rPr>
      </w:pPr>
    </w:p>
    <w:p w14:paraId="275B4BA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4726410" w14:textId="77777777" w:rsidR="00537E5F" w:rsidRPr="00507A31" w:rsidRDefault="00537E5F" w:rsidP="00507A31">
      <w:pPr>
        <w:autoSpaceDE w:val="0"/>
        <w:autoSpaceDN w:val="0"/>
        <w:adjustRightInd w:val="0"/>
        <w:jc w:val="both"/>
        <w:rPr>
          <w:iCs/>
          <w:color w:val="000000" w:themeColor="text1"/>
          <w:sz w:val="16"/>
          <w:szCs w:val="16"/>
        </w:rPr>
      </w:pPr>
    </w:p>
    <w:p w14:paraId="6375B99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30 июня 1930 осуществлен первый прием фоторадиограммы между Москвой и Ленинградом (4962).</w:t>
      </w:r>
    </w:p>
    <w:p w14:paraId="365CBDF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EF0F28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C95865B" w14:textId="77777777" w:rsidR="00537E5F" w:rsidRPr="00507A31" w:rsidRDefault="00537E5F" w:rsidP="00507A31">
      <w:pPr>
        <w:autoSpaceDE w:val="0"/>
        <w:autoSpaceDN w:val="0"/>
        <w:adjustRightInd w:val="0"/>
        <w:jc w:val="both"/>
        <w:rPr>
          <w:iCs/>
          <w:color w:val="000000" w:themeColor="text1"/>
          <w:sz w:val="16"/>
          <w:szCs w:val="16"/>
        </w:rPr>
      </w:pPr>
    </w:p>
    <w:p w14:paraId="2F500B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июня 1930 г. был подписан британско-иракский договор, согласно которому Ирак признавался независимым государством, а мандат терял свою силу с момента принятия его в Лигу Наций, членом которой он стал 3 октября 1932 г. В соответствии с договором между Ираком и Великобританией устанавливались "союзные отношения", означавшие на деле сохранение британского военного присутствия (две военные базы вблизи Багдада) и косвенный контроль за внешней и оборонной политикой (обязательные консультации). Несмотря на определенные ограничения, подписание этого договора означало конец колониальной эпохи (3871).</w:t>
      </w:r>
    </w:p>
    <w:p w14:paraId="2CE760A4" w14:textId="77777777" w:rsidR="00537E5F" w:rsidRPr="00507A31" w:rsidRDefault="00537E5F" w:rsidP="00507A31">
      <w:pPr>
        <w:autoSpaceDE w:val="0"/>
        <w:autoSpaceDN w:val="0"/>
        <w:adjustRightInd w:val="0"/>
        <w:jc w:val="both"/>
        <w:rPr>
          <w:color w:val="000000" w:themeColor="text1"/>
          <w:sz w:val="16"/>
          <w:szCs w:val="16"/>
        </w:rPr>
      </w:pPr>
    </w:p>
    <w:p w14:paraId="437334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июня 1930 отменили английский мандат на Ирак, введенный 10 октября 1922, но Англия могла держать на иракской территории войска и 2 базы ВВС. Ирак обязался использовать английских инструкторов и вооружение (2438,38).</w:t>
      </w:r>
    </w:p>
    <w:p w14:paraId="35B65E5A" w14:textId="77777777" w:rsidR="00537E5F" w:rsidRPr="00507A31" w:rsidRDefault="00537E5F" w:rsidP="00507A31">
      <w:pPr>
        <w:autoSpaceDE w:val="0"/>
        <w:autoSpaceDN w:val="0"/>
        <w:adjustRightInd w:val="0"/>
        <w:jc w:val="both"/>
        <w:rPr>
          <w:color w:val="000000" w:themeColor="text1"/>
          <w:sz w:val="16"/>
          <w:szCs w:val="16"/>
        </w:rPr>
      </w:pPr>
    </w:p>
    <w:p w14:paraId="304E6B14" w14:textId="77777777" w:rsidR="00975F75" w:rsidRPr="00507A31" w:rsidRDefault="00975F75" w:rsidP="00507A31">
      <w:pPr>
        <w:jc w:val="both"/>
        <w:rPr>
          <w:color w:val="000000" w:themeColor="text1"/>
          <w:sz w:val="16"/>
          <w:szCs w:val="16"/>
        </w:rPr>
      </w:pPr>
      <w:r w:rsidRPr="00507A31">
        <w:rPr>
          <w:bCs/>
          <w:color w:val="000000" w:themeColor="text1"/>
          <w:sz w:val="16"/>
          <w:szCs w:val="16"/>
        </w:rPr>
        <w:t>30 июня</w:t>
      </w:r>
      <w:r w:rsidRPr="00507A31">
        <w:rPr>
          <w:color w:val="000000" w:themeColor="text1"/>
          <w:sz w:val="16"/>
          <w:szCs w:val="16"/>
        </w:rPr>
        <w:t xml:space="preserve"> в 1930 году вышла в эфир первая передача на коротких волнах для приема по всему миру, из «Schenectady NY» (14938).</w:t>
      </w:r>
    </w:p>
    <w:p w14:paraId="4B6EA393" w14:textId="77777777" w:rsidR="00975F75" w:rsidRPr="00507A31" w:rsidRDefault="00975F75" w:rsidP="00507A31">
      <w:pPr>
        <w:jc w:val="both"/>
        <w:rPr>
          <w:color w:val="000000" w:themeColor="text1"/>
          <w:sz w:val="16"/>
          <w:szCs w:val="16"/>
        </w:rPr>
      </w:pPr>
    </w:p>
    <w:p w14:paraId="6E8618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июня 1930 Франция вывела последние войска из Рейнской области в Германии (2100).</w:t>
      </w:r>
    </w:p>
    <w:p w14:paraId="2976B308" w14:textId="77777777" w:rsidR="00537E5F" w:rsidRPr="00507A31" w:rsidRDefault="00537E5F" w:rsidP="00507A31">
      <w:pPr>
        <w:autoSpaceDE w:val="0"/>
        <w:autoSpaceDN w:val="0"/>
        <w:adjustRightInd w:val="0"/>
        <w:jc w:val="both"/>
        <w:rPr>
          <w:color w:val="000000" w:themeColor="text1"/>
          <w:sz w:val="16"/>
          <w:szCs w:val="16"/>
        </w:rPr>
      </w:pPr>
    </w:p>
    <w:p w14:paraId="49BF14A5" w14:textId="77777777" w:rsidR="00985388" w:rsidRPr="00507A31" w:rsidRDefault="00985388" w:rsidP="00507A31">
      <w:pPr>
        <w:jc w:val="both"/>
        <w:rPr>
          <w:color w:val="000000" w:themeColor="text1"/>
          <w:sz w:val="16"/>
          <w:szCs w:val="16"/>
        </w:rPr>
      </w:pPr>
      <w:r w:rsidRPr="00507A31">
        <w:rPr>
          <w:color w:val="000000" w:themeColor="text1"/>
          <w:sz w:val="16"/>
          <w:szCs w:val="16"/>
        </w:rPr>
        <w:t>30 июня 1930 г. последние французские войска покинули Майнц (18265).</w:t>
      </w:r>
    </w:p>
    <w:p w14:paraId="4287D682" w14:textId="77777777" w:rsidR="00985388" w:rsidRPr="00507A31" w:rsidRDefault="00985388" w:rsidP="00507A31">
      <w:pPr>
        <w:jc w:val="both"/>
        <w:rPr>
          <w:color w:val="000000" w:themeColor="text1"/>
          <w:sz w:val="16"/>
          <w:szCs w:val="16"/>
        </w:rPr>
      </w:pPr>
    </w:p>
    <w:p w14:paraId="703D07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июня 1930 г. последние французские войска покинули Майнц. «План Юнга» вступил в силу в июне 1930 г.,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05698C3" w14:textId="77777777" w:rsidR="00537E5F" w:rsidRPr="00507A31" w:rsidRDefault="00537E5F" w:rsidP="00507A31">
      <w:pPr>
        <w:autoSpaceDE w:val="0"/>
        <w:autoSpaceDN w:val="0"/>
        <w:adjustRightInd w:val="0"/>
        <w:jc w:val="both"/>
        <w:rPr>
          <w:color w:val="000000" w:themeColor="text1"/>
          <w:sz w:val="16"/>
          <w:szCs w:val="16"/>
        </w:rPr>
      </w:pPr>
    </w:p>
    <w:p w14:paraId="452F5F0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55EA3C8" w14:textId="77777777" w:rsidR="00537E5F" w:rsidRPr="00507A31" w:rsidRDefault="00537E5F" w:rsidP="00507A31">
      <w:pPr>
        <w:autoSpaceDE w:val="0"/>
        <w:autoSpaceDN w:val="0"/>
        <w:adjustRightInd w:val="0"/>
        <w:jc w:val="both"/>
        <w:rPr>
          <w:iCs/>
          <w:color w:val="000000" w:themeColor="text1"/>
          <w:sz w:val="16"/>
          <w:szCs w:val="16"/>
        </w:rPr>
      </w:pPr>
    </w:p>
    <w:p w14:paraId="5ABE07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конца июня 1930 после войсковых испытаний на Р-5 в 20-й бригаде в Харькове проводили тренировочные полеты на разведку движения поездов по железным дорогам. А ночью с 25 на 26 июня звено Р-5 совершило условный налет на летний лагерь 21-й стрелковой дивизии у станции Ерески. Следующей ночью звено самолетов осуществило перелет из Харькова в Киев, где приземлилось при свете костров и одного прожектора. Отдохнув днем, ночью отправились обратно и к утру вернулись в Харьков (11936).</w:t>
      </w:r>
    </w:p>
    <w:p w14:paraId="4737420B" w14:textId="77777777" w:rsidR="00537E5F" w:rsidRPr="00507A31" w:rsidRDefault="00537E5F" w:rsidP="00507A31">
      <w:pPr>
        <w:autoSpaceDE w:val="0"/>
        <w:autoSpaceDN w:val="0"/>
        <w:adjustRightInd w:val="0"/>
        <w:jc w:val="both"/>
        <w:rPr>
          <w:color w:val="000000" w:themeColor="text1"/>
          <w:sz w:val="16"/>
          <w:szCs w:val="16"/>
        </w:rPr>
      </w:pPr>
    </w:p>
    <w:p w14:paraId="2DED6D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июня 1930 г. начались заводские испытания И-6 (2-й экземпляр). Во время первых двух полетов мо</w:t>
      </w:r>
      <w:r w:rsidRPr="00507A31">
        <w:rPr>
          <w:color w:val="000000" w:themeColor="text1"/>
          <w:sz w:val="16"/>
          <w:szCs w:val="16"/>
        </w:rPr>
        <w:softHyphen/>
        <w:t>тор «Юпитер» VII проявил себя не лучшим образом, на взлете и в полете по прямой у него падала мощность. Это обстоятельство заставило отказаться от этого мото</w:t>
      </w:r>
      <w:r w:rsidRPr="00507A31">
        <w:rPr>
          <w:color w:val="000000" w:themeColor="text1"/>
          <w:sz w:val="16"/>
          <w:szCs w:val="16"/>
        </w:rPr>
        <w:softHyphen/>
        <w:t>ра и заменить его «Юпитером» VI А2. На заводских лет</w:t>
      </w:r>
      <w:r w:rsidRPr="00507A31">
        <w:rPr>
          <w:color w:val="000000" w:themeColor="text1"/>
          <w:sz w:val="16"/>
          <w:szCs w:val="16"/>
        </w:rPr>
        <w:softHyphen/>
        <w:t>ных испытаниях несколько полетов на завершающем этапе проводили с уменьшенной до 60 кг нагрузкой, чтобы определить степень влияния полетного веса на скороподъемность. Положительный эффект оказался незначительным (10667).</w:t>
      </w:r>
    </w:p>
    <w:p w14:paraId="0887CE04" w14:textId="77777777" w:rsidR="00537E5F" w:rsidRPr="00507A31" w:rsidRDefault="00537E5F" w:rsidP="00507A31">
      <w:pPr>
        <w:autoSpaceDE w:val="0"/>
        <w:autoSpaceDN w:val="0"/>
        <w:adjustRightInd w:val="0"/>
        <w:jc w:val="both"/>
        <w:rPr>
          <w:color w:val="000000" w:themeColor="text1"/>
          <w:sz w:val="16"/>
          <w:szCs w:val="16"/>
        </w:rPr>
      </w:pPr>
    </w:p>
    <w:p w14:paraId="5CF72028" w14:textId="77777777" w:rsidR="009B5211" w:rsidRPr="00507A31" w:rsidRDefault="009B5211" w:rsidP="00507A31">
      <w:pPr>
        <w:jc w:val="both"/>
        <w:rPr>
          <w:color w:val="000000" w:themeColor="text1"/>
          <w:sz w:val="16"/>
          <w:szCs w:val="16"/>
        </w:rPr>
      </w:pPr>
      <w:r w:rsidRPr="00507A31">
        <w:rPr>
          <w:color w:val="000000" w:themeColor="text1"/>
          <w:sz w:val="16"/>
          <w:szCs w:val="16"/>
        </w:rPr>
        <w:t>В конце июня 1930 начались заводские испытания И-6, которые показали неудовлетворитель</w:t>
      </w:r>
      <w:r w:rsidRPr="00507A31">
        <w:rPr>
          <w:color w:val="000000" w:themeColor="text1"/>
          <w:sz w:val="16"/>
          <w:szCs w:val="16"/>
        </w:rPr>
        <w:softHyphen/>
        <w:t>ную работу двигателя «Юпитер» VII, поэтому его заменили на «Юпитер» VI меньшей мощ</w:t>
      </w:r>
      <w:r w:rsidRPr="00507A31">
        <w:rPr>
          <w:color w:val="000000" w:themeColor="text1"/>
          <w:sz w:val="16"/>
          <w:szCs w:val="16"/>
        </w:rPr>
        <w:softHyphen/>
        <w:t>ности. Следует добавить, что в конце ию</w:t>
      </w:r>
      <w:r w:rsidRPr="00507A31">
        <w:rPr>
          <w:color w:val="000000" w:themeColor="text1"/>
          <w:sz w:val="16"/>
          <w:szCs w:val="16"/>
        </w:rPr>
        <w:softHyphen/>
        <w:t>ля 1930 г. последовало закрытие завода №25 (далее произошло слияние №25 с №39), все доводки самолета в дальнейшем осуществля</w:t>
      </w:r>
      <w:r w:rsidRPr="00507A31">
        <w:rPr>
          <w:color w:val="000000" w:themeColor="text1"/>
          <w:sz w:val="16"/>
          <w:szCs w:val="16"/>
        </w:rPr>
        <w:softHyphen/>
        <w:t>лись на заводе №39 (12295).</w:t>
      </w:r>
    </w:p>
    <w:p w14:paraId="0F997AEC" w14:textId="77777777" w:rsidR="009B5211" w:rsidRPr="00507A31" w:rsidRDefault="009B5211" w:rsidP="00507A31">
      <w:pPr>
        <w:jc w:val="both"/>
        <w:rPr>
          <w:color w:val="000000" w:themeColor="text1"/>
          <w:sz w:val="16"/>
          <w:szCs w:val="16"/>
        </w:rPr>
      </w:pPr>
    </w:p>
    <w:p w14:paraId="0E0D61CA" w14:textId="77777777" w:rsidR="009863A9" w:rsidRPr="00507A31" w:rsidRDefault="009863A9"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326D42BF" w14:textId="77777777" w:rsidR="009863A9" w:rsidRPr="00507A31" w:rsidRDefault="009863A9" w:rsidP="00507A31">
      <w:pPr>
        <w:autoSpaceDE w:val="0"/>
        <w:autoSpaceDN w:val="0"/>
        <w:adjustRightInd w:val="0"/>
        <w:jc w:val="both"/>
        <w:rPr>
          <w:iCs/>
          <w:color w:val="000000" w:themeColor="text1"/>
          <w:sz w:val="16"/>
          <w:szCs w:val="16"/>
        </w:rPr>
      </w:pPr>
    </w:p>
    <w:p w14:paraId="24A6745A" w14:textId="77777777" w:rsidR="009863A9" w:rsidRPr="00507A31" w:rsidRDefault="009863A9" w:rsidP="00507A31">
      <w:pPr>
        <w:autoSpaceDE w:val="0"/>
        <w:autoSpaceDN w:val="0"/>
        <w:adjustRightInd w:val="0"/>
        <w:jc w:val="both"/>
        <w:rPr>
          <w:color w:val="000000" w:themeColor="text1"/>
          <w:sz w:val="16"/>
          <w:szCs w:val="16"/>
        </w:rPr>
      </w:pPr>
      <w:r w:rsidRPr="00507A31">
        <w:rPr>
          <w:color w:val="000000" w:themeColor="text1"/>
          <w:sz w:val="16"/>
          <w:szCs w:val="16"/>
        </w:rPr>
        <w:t>С конца июня 1930 в 20-й эскадрилье, первой получившей восемь Р-5 после окончания войсковых испытаний 14 июня 1930 г., проводили тренировочные полеты на разведку движения поездов по железным дорогам. А ночью с 25 на 26 июня звено Р-5 совершило условный налет на летний лагерь 21-й стрелковой дивизии у станции Ерески -в 170 км от своего аэродрома. На следующую ночь звено самолетов осуществило перелет Харьков - Киев. Машины пилотировали летчики Зимма, Шестель и Татулов; командир эскадрильи Дейч сидел на месте летнаба в головном Р-5. В Киеве садились в темноте, при свете костров и единственного прожектора. Отдохнув днем, ночью отправились обратно и к утру благополучно приземлились в Харькове.</w:t>
      </w:r>
    </w:p>
    <w:p w14:paraId="20CA67CE" w14:textId="77777777" w:rsidR="009863A9" w:rsidRPr="00507A31" w:rsidRDefault="009863A9" w:rsidP="00507A31">
      <w:pPr>
        <w:autoSpaceDE w:val="0"/>
        <w:autoSpaceDN w:val="0"/>
        <w:adjustRightInd w:val="0"/>
        <w:jc w:val="both"/>
        <w:rPr>
          <w:color w:val="000000" w:themeColor="text1"/>
          <w:sz w:val="16"/>
          <w:szCs w:val="16"/>
        </w:rPr>
      </w:pPr>
      <w:r w:rsidRPr="00507A31">
        <w:rPr>
          <w:color w:val="000000" w:themeColor="text1"/>
          <w:sz w:val="16"/>
          <w:szCs w:val="16"/>
        </w:rPr>
        <w:t>Эскадрилья тогда являлась главной структурной единицей наших ВВС. Легкобомбардировочная или разведывательная эскадрилья включала 19 самолетов и делилась на два отряда. Три-четыре эскадрильи сводились в авиабригаду. С февраля 1932 г. ввели штат из 28 машин (три отряда), а годом позже увеличили количество самолетов в отряде до десяти и эскадрилья, соответственно, стала комплектоваться 31 Р-5.</w:t>
      </w:r>
    </w:p>
    <w:p w14:paraId="0FFD0BC7" w14:textId="77777777" w:rsidR="009863A9" w:rsidRPr="00507A31" w:rsidRDefault="009863A9" w:rsidP="00507A31">
      <w:pPr>
        <w:autoSpaceDE w:val="0"/>
        <w:autoSpaceDN w:val="0"/>
        <w:adjustRightInd w:val="0"/>
        <w:jc w:val="both"/>
        <w:rPr>
          <w:color w:val="000000" w:themeColor="text1"/>
          <w:sz w:val="16"/>
          <w:szCs w:val="16"/>
        </w:rPr>
      </w:pPr>
      <w:r w:rsidRPr="00507A31">
        <w:rPr>
          <w:color w:val="000000" w:themeColor="text1"/>
          <w:sz w:val="16"/>
          <w:szCs w:val="16"/>
        </w:rPr>
        <w:t>К середине 1931 г.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эскадрильям (лбаэ). На совещании 31 августа 1930 г. решили отдать приоритет именно бомбардировочной авиации, перевооружив постепенно на Р-5 все части легких бомбардировщиков, кроме двух эскадрилий в ОКД ВА. После этого предстояло оснащение шести разведывательных эскадрилий (раэ) в Подмосковье, Белоруссии и на Украине (16-й, 20-й, 30-й, 50-й, 52-й и 54-й). В школы решили пока Р-5 не давать - обойдутся старыми Р-1 и "фоккерами". Исключение сделали только для академии им. Жуковского - она получила сначала один из опытных Р-5, а затем и еще партию машин (12034).</w:t>
      </w:r>
    </w:p>
    <w:p w14:paraId="79B97EC5" w14:textId="77777777" w:rsidR="009863A9" w:rsidRPr="00507A31" w:rsidRDefault="009863A9" w:rsidP="00507A31">
      <w:pPr>
        <w:autoSpaceDE w:val="0"/>
        <w:autoSpaceDN w:val="0"/>
        <w:adjustRightInd w:val="0"/>
        <w:jc w:val="both"/>
        <w:rPr>
          <w:color w:val="000000" w:themeColor="text1"/>
          <w:sz w:val="16"/>
          <w:szCs w:val="16"/>
        </w:rPr>
      </w:pPr>
    </w:p>
    <w:p w14:paraId="5C415595" w14:textId="77777777" w:rsidR="00985388" w:rsidRPr="00507A31" w:rsidRDefault="00985388"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17D2572" w14:textId="77777777" w:rsidR="00985388" w:rsidRPr="00507A31" w:rsidRDefault="00985388" w:rsidP="00507A31">
      <w:pPr>
        <w:autoSpaceDE w:val="0"/>
        <w:autoSpaceDN w:val="0"/>
        <w:adjustRightInd w:val="0"/>
        <w:jc w:val="both"/>
        <w:rPr>
          <w:iCs/>
          <w:color w:val="000000" w:themeColor="text1"/>
          <w:sz w:val="16"/>
          <w:szCs w:val="16"/>
        </w:rPr>
      </w:pPr>
    </w:p>
    <w:p w14:paraId="49126AF8" w14:textId="77777777" w:rsidR="00985388" w:rsidRPr="00507A31" w:rsidRDefault="00985388" w:rsidP="00507A31">
      <w:pPr>
        <w:jc w:val="both"/>
        <w:rPr>
          <w:color w:val="000000" w:themeColor="text1"/>
          <w:sz w:val="16"/>
          <w:szCs w:val="16"/>
        </w:rPr>
      </w:pPr>
      <w:r w:rsidRPr="00507A31">
        <w:rPr>
          <w:color w:val="000000" w:themeColor="text1"/>
          <w:sz w:val="16"/>
          <w:szCs w:val="16"/>
        </w:rPr>
        <w:t>Конец июня 1930. Писатель М. М. Пришвин записывает: "Выбрал самую видную столовую как раз против Съезда в "Метрополе". Там была очередь к кассе, и у каждого столика, кроме обедающих, стояли в ожидании, когда счастливцы обслуживаемого столика кончат есть. Переполнение столовой объяснили мне тем, что дома никак ничего нельзя сделать, все от домашнего стола выскочило к общественному. Я простоял в хвосте долго и, услыхав, что все спрашивают "гуляш", спросил это себе. "Еще и потому, - сказали мне, - сегодня много обедающих, что сегодня мясное блюдо - гуляш". - "Значит, - спросил я, -мясное не каждый день" - "Нет, - ответили мне, - мясное раза два в неделю, в остальные дни выдвиженка". Выдвиженкой называли воблу. Простояв у кассы, я стал к одному столу за спину обедающих и мало-помалу дождался. Потом очень долго ждал официанта, не мог сердиться на него: человек вовсе замученный. Гуляш оказался сделан из легкого (лошади") с картошкой, в очень остром соусе. Есть не мог, а стоило 75 к. Спросил салат "Весну", в котором было % свежего огурца, редька и картошка в уксусе и на чайном блюдечке. Это стоило 75 к. и кружка пива 75 итого за 2 р. 25 к. истратив ш часа времени я вышел с одной "весной" в животе. Поехал на вокзал и, проделав там то же самое" Я тал хвост страшно соленого судака" (18725).</w:t>
      </w:r>
    </w:p>
    <w:p w14:paraId="629E7CCA" w14:textId="77777777" w:rsidR="00985388" w:rsidRPr="00507A31" w:rsidRDefault="00985388" w:rsidP="00507A31">
      <w:pPr>
        <w:jc w:val="both"/>
        <w:rPr>
          <w:color w:val="000000" w:themeColor="text1"/>
          <w:sz w:val="16"/>
          <w:szCs w:val="16"/>
        </w:rPr>
      </w:pPr>
    </w:p>
    <w:p w14:paraId="7526434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7EFB1DD" w14:textId="77777777" w:rsidR="00537E5F" w:rsidRPr="00507A31" w:rsidRDefault="00537E5F" w:rsidP="00507A31">
      <w:pPr>
        <w:autoSpaceDE w:val="0"/>
        <w:autoSpaceDN w:val="0"/>
        <w:adjustRightInd w:val="0"/>
        <w:jc w:val="both"/>
        <w:rPr>
          <w:iCs/>
          <w:color w:val="000000" w:themeColor="text1"/>
          <w:sz w:val="16"/>
          <w:szCs w:val="16"/>
        </w:rPr>
      </w:pPr>
    </w:p>
    <w:p w14:paraId="218758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июне 1930 г. 2-й экземпляр И-6 закончили по</w:t>
      </w:r>
      <w:r w:rsidRPr="00507A31">
        <w:rPr>
          <w:color w:val="000000" w:themeColor="text1"/>
          <w:sz w:val="16"/>
          <w:szCs w:val="16"/>
        </w:rPr>
        <w:softHyphen/>
        <w:t>стройкой. На нем устано</w:t>
      </w:r>
      <w:r w:rsidRPr="00507A31">
        <w:rPr>
          <w:color w:val="000000" w:themeColor="text1"/>
          <w:sz w:val="16"/>
          <w:szCs w:val="16"/>
        </w:rPr>
        <w:softHyphen/>
        <w:t>вили двигатель «Юпитер» VII с воздуш</w:t>
      </w:r>
      <w:r w:rsidRPr="00507A31">
        <w:rPr>
          <w:color w:val="000000" w:themeColor="text1"/>
          <w:sz w:val="16"/>
          <w:szCs w:val="16"/>
        </w:rPr>
        <w:softHyphen/>
        <w:t>ным винтом конструкции ЦАГИ. Само</w:t>
      </w:r>
      <w:r w:rsidRPr="00507A31">
        <w:rPr>
          <w:color w:val="000000" w:themeColor="text1"/>
          <w:sz w:val="16"/>
          <w:szCs w:val="16"/>
        </w:rPr>
        <w:softHyphen/>
        <w:t>лет отличался увеличенным размахом крыла (но первому варианту эскизного проекта), приподнятым горизонталь</w:t>
      </w:r>
      <w:r w:rsidRPr="00507A31">
        <w:rPr>
          <w:color w:val="000000" w:themeColor="text1"/>
          <w:sz w:val="16"/>
          <w:szCs w:val="16"/>
        </w:rPr>
        <w:softHyphen/>
        <w:t>ным оперением и измененным конструк</w:t>
      </w:r>
      <w:r w:rsidRPr="00507A31">
        <w:rPr>
          <w:color w:val="000000" w:themeColor="text1"/>
          <w:sz w:val="16"/>
          <w:szCs w:val="16"/>
        </w:rPr>
        <w:softHyphen/>
        <w:t>тивно вертикальным оперением, допол</w:t>
      </w:r>
      <w:r w:rsidRPr="00507A31">
        <w:rPr>
          <w:color w:val="000000" w:themeColor="text1"/>
          <w:sz w:val="16"/>
          <w:szCs w:val="16"/>
        </w:rPr>
        <w:softHyphen/>
        <w:t>нительными обтекателями головок ци</w:t>
      </w:r>
      <w:r w:rsidRPr="00507A31">
        <w:rPr>
          <w:color w:val="000000" w:themeColor="text1"/>
          <w:sz w:val="16"/>
          <w:szCs w:val="16"/>
        </w:rPr>
        <w:softHyphen/>
        <w:t>линдров двигателя. Заводские испыта</w:t>
      </w:r>
      <w:r w:rsidRPr="00507A31">
        <w:rPr>
          <w:color w:val="000000" w:themeColor="text1"/>
          <w:sz w:val="16"/>
          <w:szCs w:val="16"/>
        </w:rPr>
        <w:softHyphen/>
        <w:t>ния И-6, начавшиеся в конце июня, по</w:t>
      </w:r>
      <w:r w:rsidRPr="00507A31">
        <w:rPr>
          <w:color w:val="000000" w:themeColor="text1"/>
          <w:sz w:val="16"/>
          <w:szCs w:val="16"/>
        </w:rPr>
        <w:softHyphen/>
        <w:t>казали неудовлетворительную работу двигателя «Юпитер» VII, поэтому его заменили на «Юпитер» VI меньшей мощности. Следует отметить, что в кон</w:t>
      </w:r>
      <w:r w:rsidRPr="00507A31">
        <w:rPr>
          <w:color w:val="000000" w:themeColor="text1"/>
          <w:sz w:val="16"/>
          <w:szCs w:val="16"/>
        </w:rPr>
        <w:softHyphen/>
        <w:t>це июля 1930 г. последовало закрытие завода №25 (слияние №25 с №39), все доводки самолета в дальнейшем осуще</w:t>
      </w:r>
      <w:r w:rsidRPr="00507A31">
        <w:rPr>
          <w:color w:val="000000" w:themeColor="text1"/>
          <w:sz w:val="16"/>
          <w:szCs w:val="16"/>
        </w:rPr>
        <w:softHyphen/>
        <w:t>ствлялись на заводе №°39 (10729).</w:t>
      </w:r>
    </w:p>
    <w:p w14:paraId="605F0C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975FE92" w14:textId="77777777" w:rsidR="009B5211" w:rsidRPr="00507A31" w:rsidRDefault="009B5211" w:rsidP="00507A31">
      <w:pPr>
        <w:jc w:val="both"/>
        <w:rPr>
          <w:color w:val="000000" w:themeColor="text1"/>
          <w:sz w:val="16"/>
          <w:szCs w:val="16"/>
        </w:rPr>
      </w:pPr>
      <w:r w:rsidRPr="00507A31">
        <w:rPr>
          <w:color w:val="000000" w:themeColor="text1"/>
          <w:sz w:val="16"/>
          <w:szCs w:val="16"/>
        </w:rPr>
        <w:t>В июне 1930 г. второй экземпляр И-6 закончили по</w:t>
      </w:r>
      <w:r w:rsidRPr="00507A31">
        <w:rPr>
          <w:color w:val="000000" w:themeColor="text1"/>
          <w:sz w:val="16"/>
          <w:szCs w:val="16"/>
        </w:rPr>
        <w:softHyphen/>
        <w:t>стройкой. На нем был установ</w:t>
      </w:r>
      <w:r w:rsidRPr="00507A31">
        <w:rPr>
          <w:color w:val="000000" w:themeColor="text1"/>
          <w:sz w:val="16"/>
          <w:szCs w:val="16"/>
        </w:rPr>
        <w:softHyphen/>
        <w:t>лен двигатель «Юпитер» VII с воздушным винтом конструкции ЦАГИ. Самолет отли</w:t>
      </w:r>
      <w:r w:rsidRPr="00507A31">
        <w:rPr>
          <w:color w:val="000000" w:themeColor="text1"/>
          <w:sz w:val="16"/>
          <w:szCs w:val="16"/>
        </w:rPr>
        <w:softHyphen/>
        <w:t>чался увеличенным размахом крыла (по пер</w:t>
      </w:r>
      <w:r w:rsidRPr="00507A31">
        <w:rPr>
          <w:color w:val="000000" w:themeColor="text1"/>
          <w:sz w:val="16"/>
          <w:szCs w:val="16"/>
        </w:rPr>
        <w:softHyphen/>
        <w:t>вому варианту эскизного проекта), припод</w:t>
      </w:r>
      <w:r w:rsidRPr="00507A31">
        <w:rPr>
          <w:color w:val="000000" w:themeColor="text1"/>
          <w:sz w:val="16"/>
          <w:szCs w:val="16"/>
        </w:rPr>
        <w:softHyphen/>
        <w:t>нятым горизонтальным оперением и изме</w:t>
      </w:r>
      <w:r w:rsidRPr="00507A31">
        <w:rPr>
          <w:color w:val="000000" w:themeColor="text1"/>
          <w:sz w:val="16"/>
          <w:szCs w:val="16"/>
        </w:rPr>
        <w:softHyphen/>
        <w:t>ненным конструктивно вертикальным опе</w:t>
      </w:r>
      <w:r w:rsidRPr="00507A31">
        <w:rPr>
          <w:color w:val="000000" w:themeColor="text1"/>
          <w:sz w:val="16"/>
          <w:szCs w:val="16"/>
        </w:rPr>
        <w:softHyphen/>
        <w:t>рением, дополнительными обтекателями го</w:t>
      </w:r>
      <w:r w:rsidRPr="00507A31">
        <w:rPr>
          <w:color w:val="000000" w:themeColor="text1"/>
          <w:sz w:val="16"/>
          <w:szCs w:val="16"/>
        </w:rPr>
        <w:softHyphen/>
        <w:t>ловок цилиндров двигателя.</w:t>
      </w:r>
    </w:p>
    <w:p w14:paraId="7EB409F1" w14:textId="77777777" w:rsidR="009B5211" w:rsidRPr="00507A31" w:rsidRDefault="009B5211" w:rsidP="00507A31">
      <w:pPr>
        <w:jc w:val="both"/>
        <w:rPr>
          <w:color w:val="000000" w:themeColor="text1"/>
          <w:sz w:val="16"/>
          <w:szCs w:val="16"/>
        </w:rPr>
      </w:pPr>
      <w:r w:rsidRPr="00507A31">
        <w:rPr>
          <w:color w:val="000000" w:themeColor="text1"/>
          <w:sz w:val="16"/>
          <w:szCs w:val="16"/>
        </w:rPr>
        <w:t>Заводские испытания И-6, начавшиеся в конце июня, показали неудовлетворитель</w:t>
      </w:r>
      <w:r w:rsidRPr="00507A31">
        <w:rPr>
          <w:color w:val="000000" w:themeColor="text1"/>
          <w:sz w:val="16"/>
          <w:szCs w:val="16"/>
        </w:rPr>
        <w:softHyphen/>
        <w:t>ную работу двигателя «Юпитер» VII, поэтому его заменили на «Юпитер» VI меньшей мощ</w:t>
      </w:r>
      <w:r w:rsidRPr="00507A31">
        <w:rPr>
          <w:color w:val="000000" w:themeColor="text1"/>
          <w:sz w:val="16"/>
          <w:szCs w:val="16"/>
        </w:rPr>
        <w:softHyphen/>
        <w:t>ности. Следует добавить, что в конце ию</w:t>
      </w:r>
      <w:r w:rsidRPr="00507A31">
        <w:rPr>
          <w:color w:val="000000" w:themeColor="text1"/>
          <w:sz w:val="16"/>
          <w:szCs w:val="16"/>
        </w:rPr>
        <w:softHyphen/>
        <w:t>ля 1930 г. последовало закрытие завода №25 (далее произошло слияние №25 с №39), все доводки самолета в дальнейшем осуществля</w:t>
      </w:r>
      <w:r w:rsidRPr="00507A31">
        <w:rPr>
          <w:color w:val="000000" w:themeColor="text1"/>
          <w:sz w:val="16"/>
          <w:szCs w:val="16"/>
        </w:rPr>
        <w:softHyphen/>
        <w:t>лись на заводе №39 (12295).</w:t>
      </w:r>
    </w:p>
    <w:p w14:paraId="5BEE59C3" w14:textId="77777777" w:rsidR="009B5211" w:rsidRPr="00507A31" w:rsidRDefault="009B5211" w:rsidP="00507A31">
      <w:pPr>
        <w:jc w:val="both"/>
        <w:rPr>
          <w:color w:val="000000" w:themeColor="text1"/>
          <w:sz w:val="16"/>
          <w:szCs w:val="16"/>
        </w:rPr>
      </w:pPr>
    </w:p>
    <w:p w14:paraId="61F66761" w14:textId="77777777" w:rsidR="007C27B8" w:rsidRPr="00507A31" w:rsidRDefault="007C27B8"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С июня 1930 г. (с 10-й серии) завод № 22 стал выпускать истребители И-4 с «зеркально-симметричным» вариантом вариантом вооружения. При этом левый приемник оставался в единственном опытном экземпляре, при сборке самолетов его переставляли с одной машины на другую. При этом уровень взаимозаменяемости тогда был таков, что приемники подгоняли к пулеметам индивидуально. Получается, что из двух пулеметов мог стрелять лишь один, а второй оставался просто декорацией. Лишь в ноябре УВВС утвердило усовершенствованную установку с двумя ПВ-1, что повлекло за собой переделку значительного количества ранее выпущенных самолетов в воинских частях.</w:t>
      </w:r>
    </w:p>
    <w:p w14:paraId="44E8D066" w14:textId="77777777" w:rsidR="007C27B8" w:rsidRPr="00507A31" w:rsidRDefault="007C27B8"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Далее никаких крупных новшеств ни в конструкцию И-4, ни в его оборудование не вносили, ограничиваясь мелкими доработками. Например, с истребителя № 1579 заменили латунные крышки бензофильтров на алюминиевые. С 18-й серии стали монтировать два стрелковых прицела - оптический ОП-1 и коллиматорный КП-1. Ранее ставили какой-то один или придавали КП-1 в коробке без кронштейна (10100).</w:t>
      </w:r>
    </w:p>
    <w:p w14:paraId="328FC2EE" w14:textId="77777777" w:rsidR="007C27B8" w:rsidRPr="00507A31" w:rsidRDefault="007C27B8" w:rsidP="00507A31">
      <w:pPr>
        <w:pStyle w:val="a8"/>
        <w:jc w:val="both"/>
        <w:rPr>
          <w:rFonts w:ascii="Times New Roman" w:hAnsi="Times New Roman" w:cs="Times New Roman"/>
          <w:color w:val="000000" w:themeColor="text1"/>
        </w:rPr>
      </w:pPr>
    </w:p>
    <w:p w14:paraId="5035F1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июня 1930 г. для эксплуатации в жарком климате на Р-ЗЛД стали ставить дополнительные радиаторы. Впервые подобный радиатор сделали в ЦАГИ. Две секции ромбической формы (общей площадью 0,11 м2) устанавливались под нижней частью капота. Разрабатывались два варианта их подвески: первый (радиатор ЦАГИ) подвешивался на N-образных фермах к мотораме, а второй (радиатор завода "Промвоздух") крепился также к нижней секции капота. Работал радиатор ЦАГИ хорошо (это показали испытания в НИИ ВВС в июле 1929 г.), но в эксплуатации оказался очень неудобен. Нижнюю часть капота нельзя было снять, не сняв радиатор. При откидывании боковых створок, они упирались в тот же самый радиатор, мешая подходу к двигателю.</w:t>
      </w:r>
    </w:p>
    <w:p w14:paraId="407298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Гораздо удачнее оказался радиатор, изготовленный в мастерских 16-й авиабригады в Ташкенте. Он состоял из двух поворотных выдвижных секторов, размещенных в задней части капота. Когда в них не было необходимости, они укладывались внутрь фюзеляжа и не создавали дополнительного сопротивления. Когда требовалось усилить охлаждение, достаточно было повернуть радиаторы на оси, и они выдвигались в набегающий поток, своеобразными "ушами" торча перед стойками шасси.</w:t>
      </w:r>
    </w:p>
    <w:p w14:paraId="0748AD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войсках осуществляли и другую доработку Р-ЗЛД. Например, в 44-м ао на одном из самолетов, кроме обычного бомбового прицела АП-2, снаружи ставили оптический прицел "Герц" для ночного бомбометания, а на другом установили устройство для буксировки конусных мишеней для воздушной стрельбы. В 35-м ао оборудовали часть машин сигнальными огнями и аккумуляторами (которых исходно на Р-3 не было). Вновь появились планы поставить на Р-ЗЛД радиостанцию, но они не были осуществлены.</w:t>
      </w:r>
    </w:p>
    <w:p w14:paraId="0A3387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Интересно, что в военных школах летчиков Р-3 не применялся совсем - там предпочитали простые и дешевые, хотя и более сложные в пилотировании, деревянные Р-1. Дольше всего Р-3 задержались в Средней Азии, где их использовали в борьбе с басмачами (11985).</w:t>
      </w:r>
    </w:p>
    <w:p w14:paraId="75E6ACFC" w14:textId="77777777" w:rsidR="00537E5F" w:rsidRPr="00507A31" w:rsidRDefault="00537E5F" w:rsidP="00507A31">
      <w:pPr>
        <w:autoSpaceDE w:val="0"/>
        <w:autoSpaceDN w:val="0"/>
        <w:adjustRightInd w:val="0"/>
        <w:jc w:val="both"/>
        <w:rPr>
          <w:color w:val="000000" w:themeColor="text1"/>
          <w:sz w:val="16"/>
          <w:szCs w:val="16"/>
        </w:rPr>
      </w:pPr>
    </w:p>
    <w:p w14:paraId="2D8731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г. предложили улучшить взлетно-посадочные характеристики Р-5 введением механизации крыла (щитков и закрылков) и дисковых (без спиц) колес с тормозами. Дисковые колеса (но без тормозов) впервые испытали в июле 1931 г. Но в серию их не пустили, поскольку диски делали из дефицитного тогда импортного дюралевого листа. В феврале 1930 г. тормозные колеса для Р-5 заказали в Америке, у фирмы "Бендикс", но затем квоту по валюте урезали, и этот пункт исключили. Тем не менее уже в следующем году появилось постановление Совнаркома, требовавшее в 1932 г. сдать ВВС 100 самолетов с тормозами, на этот раз отечественной конструкции. Гидравлические тормоза спроектировали в ЦАГИ, взяв за основу образец фирмы "Виккерс". Чтобы их включить, летчик должен был использовать длинный рычаг, соединенный с гидронасосом. В 1932 г. опытные образцы прошли испытания сначала в ОЭЛИД, а затем в НИИ ВВС. Пробег уменьшался почти вдвое. Но работали тормоза не очень- то надежно, масло из системы подтекало. Отмечалось запаздывание при включении и выключении, неравномерное торможение правого и левого колес, приводившее к неуправляемому развороту. А самое главное, при значительном количестве горючего в верхних баках неопытный летчик запросто мог поставить машину на нос (12034).</w:t>
      </w:r>
    </w:p>
    <w:p w14:paraId="368912D0" w14:textId="77777777" w:rsidR="00537E5F" w:rsidRPr="00507A31" w:rsidRDefault="00537E5F" w:rsidP="00507A31">
      <w:pPr>
        <w:autoSpaceDE w:val="0"/>
        <w:autoSpaceDN w:val="0"/>
        <w:adjustRightInd w:val="0"/>
        <w:jc w:val="both"/>
        <w:rPr>
          <w:color w:val="000000" w:themeColor="text1"/>
          <w:sz w:val="16"/>
          <w:szCs w:val="16"/>
        </w:rPr>
      </w:pPr>
    </w:p>
    <w:p w14:paraId="43A3770D" w14:textId="77777777" w:rsidR="00EA2934" w:rsidRPr="00507A31" w:rsidRDefault="00EA2934" w:rsidP="00507A31">
      <w:pPr>
        <w:jc w:val="both"/>
        <w:rPr>
          <w:color w:val="000000" w:themeColor="text1"/>
          <w:sz w:val="16"/>
          <w:szCs w:val="16"/>
        </w:rPr>
      </w:pPr>
      <w:r w:rsidRPr="00507A31">
        <w:rPr>
          <w:color w:val="000000" w:themeColor="text1"/>
          <w:sz w:val="16"/>
          <w:szCs w:val="16"/>
        </w:rPr>
        <w:t>В июне 1930 пришли к выводу, что Р-6 может применяться как дальний разведчик, самолёт сопровождения тяжёлых бомбардировщиков и многоместный истребитель. Но в отношении последней функции его возможности оказались весьма ограниче- ными. С одной стороны, в акте НИИ прямо записано, что в качестве многоместного истребителя машина использоваться не может «вследствие недостаточной манёвренности из-за большого полётного веса». С другой - в том же документе указывается: «...может быть применён как многоместный истребитель для ведения воздушного боя на больших дистанциях с тяжёлыми бомбардировочными самолётами». Короче говоря, Р-6 не мог вести манёвренный бой не только с одноместными истребителями, но и со средними и лёгкими бомбардировщиками, и только неуклюжий тяжёлый бомбовоз мог быть успешно атакован «крейсером». Но самый главный вывод по результатам дополнительных испытаний гласил: «Может быть рекомендован для постройки серии» (12264).</w:t>
      </w:r>
    </w:p>
    <w:p w14:paraId="711AFE1E" w14:textId="77777777" w:rsidR="00EA2934" w:rsidRPr="00507A31" w:rsidRDefault="00EA2934" w:rsidP="00507A31">
      <w:pPr>
        <w:jc w:val="both"/>
        <w:rPr>
          <w:color w:val="000000" w:themeColor="text1"/>
          <w:sz w:val="16"/>
          <w:szCs w:val="16"/>
        </w:rPr>
      </w:pPr>
    </w:p>
    <w:p w14:paraId="3393C1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июне 1930 г. на заседании правления Авиатреста поднимался вопрос об организации серийного произ</w:t>
      </w:r>
      <w:r w:rsidRPr="00507A31">
        <w:rPr>
          <w:color w:val="000000" w:themeColor="text1"/>
          <w:sz w:val="16"/>
          <w:szCs w:val="16"/>
        </w:rPr>
        <w:softHyphen/>
        <w:t>водства и о постройке пятнадцати СП в 1931 г. Но вско</w:t>
      </w:r>
      <w:r w:rsidRPr="00507A31">
        <w:rPr>
          <w:color w:val="000000" w:themeColor="text1"/>
          <w:sz w:val="16"/>
          <w:szCs w:val="16"/>
        </w:rPr>
        <w:softHyphen/>
        <w:t>ре этот приказ отменили ввиду относительно небольшого числа предполагаемых годовых заказов. Однако заводу разрешили выпустить ограниченное число машин, переоборудовав для этой цели «сверхпла</w:t>
      </w:r>
      <w:r w:rsidRPr="00507A31">
        <w:rPr>
          <w:color w:val="000000" w:themeColor="text1"/>
          <w:sz w:val="16"/>
          <w:szCs w:val="16"/>
        </w:rPr>
        <w:softHyphen/>
        <w:t>новые» АП. Часто на месте столика установили сиденье еще для одного пассажира. Машина применялась в ка</w:t>
      </w:r>
      <w:r w:rsidRPr="00507A31">
        <w:rPr>
          <w:color w:val="000000" w:themeColor="text1"/>
          <w:sz w:val="16"/>
          <w:szCs w:val="16"/>
        </w:rPr>
        <w:softHyphen/>
        <w:t>честве административного самолета местными органа</w:t>
      </w:r>
      <w:r w:rsidRPr="00507A31">
        <w:rPr>
          <w:color w:val="000000" w:themeColor="text1"/>
          <w:sz w:val="16"/>
          <w:szCs w:val="16"/>
        </w:rPr>
        <w:softHyphen/>
        <w:t>ми власти, ОГПУ, другими организациями. Практи</w:t>
      </w:r>
      <w:r w:rsidRPr="00507A31">
        <w:rPr>
          <w:color w:val="000000" w:themeColor="text1"/>
          <w:sz w:val="16"/>
          <w:szCs w:val="16"/>
        </w:rPr>
        <w:softHyphen/>
        <w:t>чески СП строился по индивидуальным заказам. Поэто</w:t>
      </w:r>
      <w:r w:rsidRPr="00507A31">
        <w:rPr>
          <w:color w:val="000000" w:themeColor="text1"/>
          <w:sz w:val="16"/>
          <w:szCs w:val="16"/>
        </w:rPr>
        <w:softHyphen/>
        <w:t>му в отчетных документах завода обычно его выпуск не фиксировался. Всего за 1931-1933 гг. таких СП изгото</w:t>
      </w:r>
      <w:r w:rsidRPr="00507A31">
        <w:rPr>
          <w:color w:val="000000" w:themeColor="text1"/>
          <w:sz w:val="16"/>
          <w:szCs w:val="16"/>
        </w:rPr>
        <w:softHyphen/>
        <w:t>вили около 60 штук. Главное управление (ГУ) ГВФ также заинтересова</w:t>
      </w:r>
      <w:r w:rsidRPr="00507A31">
        <w:rPr>
          <w:color w:val="000000" w:themeColor="text1"/>
          <w:sz w:val="16"/>
          <w:szCs w:val="16"/>
        </w:rPr>
        <w:softHyphen/>
        <w:t>лось самолетом. Но там требовалась машина более универсального назначения, способная перевозить не только пассажиров (объемы перевозок были неболь</w:t>
      </w:r>
      <w:r w:rsidRPr="00507A31">
        <w:rPr>
          <w:color w:val="000000" w:themeColor="text1"/>
          <w:sz w:val="16"/>
          <w:szCs w:val="16"/>
        </w:rPr>
        <w:softHyphen/>
        <w:t>шими), но и грузы, обучать прыжкам с парашютом и т.д. Поэтому для ГУ ГВФ самолет перепроектировали. Двухместная пассажирская кабина стала открытой, со стандартной для «классического» У-2 окантовкой и ко</w:t>
      </w:r>
      <w:r w:rsidRPr="00507A31">
        <w:rPr>
          <w:color w:val="000000" w:themeColor="text1"/>
          <w:sz w:val="16"/>
          <w:szCs w:val="16"/>
        </w:rPr>
        <w:softHyphen/>
        <w:t>зырьком. Обозначение СП сохранилось, хотя исполь</w:t>
      </w:r>
      <w:r w:rsidRPr="00507A31">
        <w:rPr>
          <w:color w:val="000000" w:themeColor="text1"/>
          <w:sz w:val="16"/>
          <w:szCs w:val="16"/>
        </w:rPr>
        <w:softHyphen/>
        <w:t>зовались и другие - У-2СП, ПС-3. В условиях небольшого объема грузопассажирских перевозок, де</w:t>
      </w:r>
      <w:r w:rsidRPr="00507A31">
        <w:rPr>
          <w:color w:val="000000" w:themeColor="text1"/>
          <w:sz w:val="16"/>
          <w:szCs w:val="16"/>
        </w:rPr>
        <w:softHyphen/>
        <w:t>шевизны конструкции и эксплуатации, использование трехместного СП в ГУ ГВФ было экономически оправ</w:t>
      </w:r>
      <w:r w:rsidRPr="00507A31">
        <w:rPr>
          <w:color w:val="000000" w:themeColor="text1"/>
          <w:sz w:val="16"/>
          <w:szCs w:val="16"/>
        </w:rPr>
        <w:softHyphen/>
        <w:t>данным (10667).</w:t>
      </w:r>
    </w:p>
    <w:p w14:paraId="466AAE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5BD67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июне 1930 были подготовлены Сведения о состоянии работ по опытному самолетостроению завода № 25 к 1 июня 1930 года (6925).</w:t>
      </w:r>
    </w:p>
    <w:p w14:paraId="4E466AC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И-6 с ЮПVI и ЮПVII</w:t>
      </w:r>
    </w:p>
    <w:p w14:paraId="7E7AC71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заложен к постройке в четырех экземплярах, причем каждый экземпляр самолета имеет некоторое отличие от другого, за исключением 3 и 4 экземпляров, которые по конструкции одинаковы.</w:t>
      </w:r>
    </w:p>
    <w:p w14:paraId="473531D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Первый самолет И-6 с уменьшенным размахом и уменьшенным низкорасположенным оперением с мотором ЮП VI.</w:t>
      </w:r>
    </w:p>
    <w:p w14:paraId="5EC61FF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Второй самолет с увеличенным размахом, компенсированными рулями глубины и увеличенной площадью горизонтального низкорасположенного оперения (нормальная коробка и оперение) мотор ЮПVII.</w:t>
      </w:r>
    </w:p>
    <w:p w14:paraId="71C5CB5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Третий и четвертый экземпляры с нормальной коробкой и высокорасположенным оперением с моторами ЮПVI.</w:t>
      </w:r>
    </w:p>
    <w:p w14:paraId="4C164BF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Первый экземпляр самолета И-6 уже готов и был совершен пробный полет летчиком Ширинкиным 23 мая 1930 года. На самолете не установлено вооружение, за исключением двух пулеметов. В пробном полете обнаружены недостатки ………</w:t>
      </w:r>
    </w:p>
    <w:p w14:paraId="0E6D966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Первый экземпляр самолета И-6 выйдет на гос. испытания к 1 июля с полным вооружением. Второй экземпляр самолета предполагается к выпуску на заводские испытания к 10 июня 1930 года.</w:t>
      </w:r>
    </w:p>
    <w:p w14:paraId="1D2FCC6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Д-2 с БМВ VI</w:t>
      </w:r>
    </w:p>
    <w:p w14:paraId="4DC257B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Данный тип самолета двухместного истребителя представляющий большой интерес находится до сих пор в стадии заводских испытаний. Около года самолет находился на заводе и производились переделки. 16 и 17 мая 1930 года были произведены полеты.</w:t>
      </w:r>
    </w:p>
    <w:p w14:paraId="33AC442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19 мая 1930 года летчики Ширинкин и Бухгольц произвели полет на штопор.</w:t>
      </w:r>
    </w:p>
    <w:p w14:paraId="72BF4DE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ТБ2</w:t>
      </w:r>
    </w:p>
    <w:p w14:paraId="301B960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после произведенных пробных полетов обнаружил ряд недостатков и в настоящее время работы по переделкам заканчиваются.</w:t>
      </w:r>
    </w:p>
    <w:p w14:paraId="2D57EDA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 гос. испытания самолет будет передан к 1 июля вместо 1 мая.</w:t>
      </w:r>
    </w:p>
    <w:p w14:paraId="2144E85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И-7 БМВ VI</w:t>
      </w:r>
    </w:p>
    <w:p w14:paraId="6B927F8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Эскизный проект утвержден. Конструктивная разработка закончена. Идет подготовка к производству.</w:t>
      </w:r>
    </w:p>
    <w:p w14:paraId="6E32B4F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Первый самолет с деревянным фюзеляжем, второй с металлическим.</w:t>
      </w:r>
    </w:p>
    <w:p w14:paraId="2A55ECB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Проектирование деревянной машины начато в июле 1929 года. Эскизный проект самолета был закончен в декабре и утвержден НТК в феврале. 8 марта 1930 года было пущено в разработку в Конструктивном отделе, закончено проектирование 10 мая 1930 года. В данный момент уже пущено в производство.</w:t>
      </w:r>
    </w:p>
    <w:p w14:paraId="3D66A86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с металлическим фюзеляжем был начат проектированием под руководством немецкого инженера Гоха в июне 1929 года. Проектировали до апреля 1930 года. После ухода с завода Гоха проект был забракован и конструктивная разработка начата заново. Схема самолета не менялась.</w:t>
      </w:r>
    </w:p>
    <w:p w14:paraId="265770A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И-9 М32</w:t>
      </w:r>
    </w:p>
    <w:p w14:paraId="03898C7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должен проектироваться под мотор М-32 согласно предписания ГВАО, но так его нет, то просчет идет под мотор М-19. Эскизный проект должен быть готов и представлен в НТК к 1 июня 1930 года. Схема самолета окончательно не установлена. Макет еще не строится.</w:t>
      </w:r>
    </w:p>
    <w:p w14:paraId="4EDE63E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Р-8 М-34</w:t>
      </w:r>
    </w:p>
    <w:p w14:paraId="44AAA6D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заданию треста мотор М-34 заменяется мотором БМВ9. В настоящее время идет проработка эскизного проекта. Макет не строится (6925, 1-3).</w:t>
      </w:r>
    </w:p>
    <w:p w14:paraId="61CFB33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81A28E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июне 1930 были подготовлены Сведения о состоянии работ по опытному самолетостроению завода № 25 к 15 июня 1930 года</w:t>
      </w:r>
    </w:p>
    <w:p w14:paraId="1EA0186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И-6 ЮПVI (1-й экземпляр).</w:t>
      </w:r>
    </w:p>
    <w:p w14:paraId="7ED53C9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9 июня 1930 года самолет И-6, пилотируемый летчиком Ширинкиным, выполнявшим задание по скороподъемности на 5000 м потерпел аварию. Летчик выпрыгнул с парашютом, самолет разбит.</w:t>
      </w:r>
    </w:p>
    <w:p w14:paraId="5582AC3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И-6 ЮПVII (2-й экземпляр).</w:t>
      </w:r>
    </w:p>
    <w:p w14:paraId="1115DD4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готов к испытательным полетам. Вооружение не установлено.</w:t>
      </w:r>
    </w:p>
    <w:p w14:paraId="0ED5B23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У-2 с мотором М-11 100НР</w:t>
      </w:r>
    </w:p>
    <w:p w14:paraId="3723039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У2, поставленный на один поплавок готов к летным испытаниям. Место и площадки на Москва реке имеются.</w:t>
      </w:r>
    </w:p>
    <w:p w14:paraId="554E356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Д2-БМВ6</w:t>
      </w:r>
    </w:p>
    <w:p w14:paraId="3463F0C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 июня 1930 года летчиком Бухгольц производились испытания с новым оперением.</w:t>
      </w:r>
    </w:p>
    <w:p w14:paraId="791826B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 II</w:t>
      </w:r>
    </w:p>
    <w:p w14:paraId="2E92AF1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Завод заверяет, что 16 июня самолет будет готов к производству полетов.</w:t>
      </w:r>
    </w:p>
    <w:p w14:paraId="4C55145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И7-БМВ6 с электронным картером</w:t>
      </w:r>
    </w:p>
    <w:p w14:paraId="76FA7D3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Приступлено к постройке. Срок готовности 1 декабря 1930 года. Согласно последних распоряжений ГВАО вариант самолета с металлическим фюзеляжем должен быть в чертежах закончен заводом и передан для постройки на 39 завод, так как 25 завод опыта постройки сварных фюзеляжей не имеет и взамен сварной завод строит деревянную машину, т.о. И7 будет выпущен в двух экземплярах.</w:t>
      </w:r>
    </w:p>
    <w:p w14:paraId="02A35E0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И9 М-32</w:t>
      </w:r>
    </w:p>
    <w:p w14:paraId="505A4C4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Макет самолета начат постройкой. Эскизный проект предполагается закончить к 1 июля 1930 года.</w:t>
      </w:r>
    </w:p>
    <w:p w14:paraId="332CA8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Р-8 М-34</w:t>
      </w:r>
    </w:p>
    <w:p w14:paraId="5357272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Завод в настоящее время продолжает разработку эскизного проекта. Р-8 как конструкция, имеющая сварной фюзеляж также должна быть передана на завод № 39 (6925, 5-7).</w:t>
      </w:r>
    </w:p>
    <w:p w14:paraId="518639E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568C70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июне 1930 были подготовлены Сведения о ходе работ по опытному строительству бывшего завода № 25 ныне завода № 39 по состоянию на 20 июля 1930 года</w:t>
      </w:r>
    </w:p>
    <w:p w14:paraId="3FA875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И6-ЮП VI 2-й экземпляр</w:t>
      </w:r>
    </w:p>
    <w:p w14:paraId="3CBE981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находится в стадии законченности заводских испытаний.</w:t>
      </w:r>
    </w:p>
    <w:p w14:paraId="76DCBCE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И6-ЮП VI 3-й экземпляр</w:t>
      </w:r>
    </w:p>
    <w:p w14:paraId="0D471BD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Работы выполнены на 65%.</w:t>
      </w:r>
    </w:p>
    <w:p w14:paraId="7C03FD1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ТБ2 БМВ VI</w:t>
      </w:r>
    </w:p>
    <w:p w14:paraId="401244F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Необходимы гос. испытания самолета ТБII после производства заводских испытаний, дабы узнать ее аэродинамические данные, так как обстановка сложилась такая, что он может быть законсервирован как в свое время Д-2.</w:t>
      </w:r>
    </w:p>
    <w:p w14:paraId="17EC5BE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МУ-2 с М11</w:t>
      </w:r>
    </w:p>
    <w:p w14:paraId="618F3C4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Произведены заводские испытания на Москве-реке (6925, 41-42).</w:t>
      </w:r>
    </w:p>
    <w:p w14:paraId="4F0978C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96BD24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июне 1930 был подготовлен Отчет о состоянии опытного самолетостроения в ЦАГИ по заданиям УВВС по состоянию на 5 июня 1930 года</w:t>
      </w:r>
    </w:p>
    <w:p w14:paraId="786E88B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Переделки производятся на самолетах Р6 и Р7, поступивших в ЦАГИ после испытания в НИИ</w:t>
      </w:r>
    </w:p>
    <w:p w14:paraId="437ED02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Р6</w:t>
      </w:r>
    </w:p>
    <w:p w14:paraId="7304710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Работа по машине объявлена ударной и выпуск ее намечен 15 июня 1930 года</w:t>
      </w:r>
    </w:p>
    <w:p w14:paraId="0C72472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И-4 (моноплан).</w:t>
      </w:r>
    </w:p>
    <w:p w14:paraId="17219DE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течение 10 дней работа на машине не производится.</w:t>
      </w:r>
    </w:p>
    <w:p w14:paraId="7FB494B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Новое строительство</w:t>
      </w:r>
    </w:p>
    <w:p w14:paraId="4DBA27D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И-8 (общественный).</w:t>
      </w:r>
    </w:p>
    <w:p w14:paraId="79974A9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Будет окончен в срок – 15 сентября 1930 года</w:t>
      </w:r>
    </w:p>
    <w:p w14:paraId="3C150A0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ТБ-3</w:t>
      </w:r>
    </w:p>
    <w:p w14:paraId="0E2F58F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машины ЦАГИ оценивает в 65% и обещает выпустить 1 августа 1930 года</w:t>
      </w:r>
    </w:p>
    <w:p w14:paraId="4975813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ДИ-3</w:t>
      </w:r>
    </w:p>
    <w:p w14:paraId="3BEB8B6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Сделан макет на 80%.</w:t>
      </w:r>
    </w:p>
    <w:p w14:paraId="5650AA0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ЭРОМ</w:t>
      </w:r>
    </w:p>
    <w:p w14:paraId="6F9737F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Первоначальный срок окончания постройки 1 марта 1930 года был сокращен на 1 декабря 1929 года ……….. Решено выпустить в сентябре 1930 года.</w:t>
      </w:r>
    </w:p>
    <w:p w14:paraId="174BCB4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Процент готовности 50%.</w:t>
      </w:r>
    </w:p>
    <w:p w14:paraId="51C1A7F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И-5</w:t>
      </w:r>
    </w:p>
    <w:p w14:paraId="0D55E51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 считает готовность – 65%</w:t>
      </w:r>
    </w:p>
    <w:p w14:paraId="33431AF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конце февраля была прекращена работа по самолету, так как он не вошел в систему вооружения.</w:t>
      </w:r>
    </w:p>
    <w:p w14:paraId="306F687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ТШ-1</w:t>
      </w:r>
    </w:p>
    <w:p w14:paraId="3D07E0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Идет проработка схемы.</w:t>
      </w:r>
    </w:p>
    <w:p w14:paraId="724A889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ТБ-4</w:t>
      </w:r>
    </w:p>
    <w:p w14:paraId="306761A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Прорабатывается схема (6925, 14-24).</w:t>
      </w:r>
    </w:p>
    <w:p w14:paraId="0918FD5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EBB874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июне 1930 была подготовлена Сводка состояния опытного самолетостроения в ЦАГИ на 23 июня 1930 года</w:t>
      </w:r>
    </w:p>
    <w:p w14:paraId="1B41DA7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Р-6</w:t>
      </w:r>
    </w:p>
    <w:p w14:paraId="4866734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Намечено закончить 24 июня 1930 года и в ночь с 24 на 25 июня перевести на аэродром.</w:t>
      </w:r>
    </w:p>
    <w:p w14:paraId="1D621EA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Р-7</w:t>
      </w:r>
    </w:p>
    <w:p w14:paraId="583F942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Описание самолета АНТ-10 (Р-7).</w:t>
      </w:r>
    </w:p>
    <w:p w14:paraId="1A24B7E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АНТ-10 представляет собой одномоторный биплан или вернее полутороплан, так нижнее крыло его меньше верхнего, как по размаху, так и по ширине. Мотор 550 НР БМВ-6 находится спереди и снабжен тянущим винтом. Фюзеляж имеет два, расположенных один за другим места: переднее для летчика и заднее для наблюдателя. Весь самолет целиком металлический.</w:t>
      </w:r>
    </w:p>
    <w:p w14:paraId="0DAFD0D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предназначен для разведывательной службы в качестве армейского разведчика, но может быть также использован в качестве легкого (корпусного) разведчика или легкого бомбардировщика.</w:t>
      </w:r>
    </w:p>
    <w:p w14:paraId="2CEAA8B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скорость у земли – 218 км/час</w:t>
      </w:r>
    </w:p>
    <w:p w14:paraId="415800B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скорость на 2000 м – 215 км/час</w:t>
      </w:r>
    </w:p>
    <w:p w14:paraId="68209D8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 на 4000 м – 208 км/час</w:t>
      </w:r>
    </w:p>
    <w:p w14:paraId="464872E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 на 5000 м – 201 км/час</w:t>
      </w:r>
    </w:p>
    <w:p w14:paraId="646DC5F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Посадочная скорость – 95 км/час</w:t>
      </w:r>
    </w:p>
    <w:p w14:paraId="625157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подъема на 2000 м – 8 мин.</w:t>
      </w:r>
    </w:p>
    <w:p w14:paraId="658BF72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подъема на 4000 м – 18 мин.</w:t>
      </w:r>
    </w:p>
    <w:p w14:paraId="45957E0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подъема на 5000 м – 26 мин.</w:t>
      </w:r>
    </w:p>
    <w:p w14:paraId="13103A0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Практический потолок – 6300 м (6951, 8-11).</w:t>
      </w:r>
    </w:p>
    <w:p w14:paraId="708F829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 наметил выпуск 10 июля 1930 года.</w:t>
      </w:r>
    </w:p>
    <w:p w14:paraId="4C930AA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И-4 (моноплан).</w:t>
      </w:r>
    </w:p>
    <w:p w14:paraId="400D142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Работы не ведутся.</w:t>
      </w:r>
    </w:p>
    <w:p w14:paraId="50CB8B7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И-8</w:t>
      </w:r>
    </w:p>
    <w:p w14:paraId="2BB31A6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60-65%</w:t>
      </w:r>
    </w:p>
    <w:p w14:paraId="1108625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Предполагается предъявить макет 24 июня 1930 года.</w:t>
      </w:r>
    </w:p>
    <w:p w14:paraId="09B09E2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 предполагает выпустить на аэродром 1 сентября 1930 года.</w:t>
      </w:r>
    </w:p>
    <w:p w14:paraId="57B0517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ТБ-3</w:t>
      </w:r>
    </w:p>
    <w:p w14:paraId="2232933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70%. Выпуск намечен 1 августа 1930 года.</w:t>
      </w:r>
    </w:p>
    <w:p w14:paraId="0946229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ДИ-3</w:t>
      </w:r>
    </w:p>
    <w:p w14:paraId="62A98F2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Разработан эскизный проект; произведен аэродинамический расчет под мотор М-34. Заканчивается аэродинамический расчет с мотором БМВ IX. Макет изготовлен на 95% и предполагается его предъявить 24 июня 1930 года.</w:t>
      </w:r>
    </w:p>
    <w:p w14:paraId="1DE5FA5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ЭРОМ</w:t>
      </w:r>
    </w:p>
    <w:p w14:paraId="1AC21C1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60%. Макет намечено предъявить 5 июля 1930 года.</w:t>
      </w:r>
    </w:p>
    <w:p w14:paraId="23BCB6E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И-5</w:t>
      </w:r>
    </w:p>
    <w:p w14:paraId="19C1DB9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65%. Работы прекращены в конце февраля согласно решения УВВС. Это единственный самолет который в настоящее время строится в ЦАГИ с мотором воздушного охлаждения ЮПИТЕР.</w:t>
      </w:r>
    </w:p>
    <w:p w14:paraId="3D120C9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ТШ-1</w:t>
      </w:r>
    </w:p>
    <w:p w14:paraId="787ADE4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Закончен эскизный проект.</w:t>
      </w:r>
    </w:p>
    <w:p w14:paraId="1CAEB55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ТБ-4</w:t>
      </w:r>
    </w:p>
    <w:p w14:paraId="7570B3F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Прорабатывается эскизный проект.</w:t>
      </w:r>
    </w:p>
    <w:p w14:paraId="7FB5A66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1-ВГ</w:t>
      </w:r>
    </w:p>
    <w:p w14:paraId="76BDD84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95%. Намечен выпуск в начале июля 1930 года (6925, 25-28).</w:t>
      </w:r>
    </w:p>
    <w:p w14:paraId="6C1FA077"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45BF2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в Воронеж, где в 11 аб тренировались 3 оставшихся Фарман Голиаф 62 (ФГ-62) прибыла группа парашютистов под руководством Л.Г.Минова для обучения прыжкам (3200,19).</w:t>
      </w:r>
    </w:p>
    <w:p w14:paraId="267BF9BB" w14:textId="77777777" w:rsidR="00537E5F" w:rsidRPr="00507A31" w:rsidRDefault="00537E5F" w:rsidP="00507A31">
      <w:pPr>
        <w:autoSpaceDE w:val="0"/>
        <w:autoSpaceDN w:val="0"/>
        <w:adjustRightInd w:val="0"/>
        <w:jc w:val="both"/>
        <w:rPr>
          <w:color w:val="000000" w:themeColor="text1"/>
          <w:sz w:val="16"/>
          <w:szCs w:val="16"/>
        </w:rPr>
      </w:pPr>
    </w:p>
    <w:p w14:paraId="7D282FD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 июне 1930 года под усиленным нажимом УВВС был оформлен договор между ВАО и НАМИ на мотор М-34 (6998, 9-14) (6998, 9-14).</w:t>
      </w:r>
    </w:p>
    <w:p w14:paraId="09BFE15D"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21355E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 июня 1930 г. шла работа по испытаниям и доводке VI2. К этому времени уже было ясно, что двигатель устарел. И УВВС, и Вин</w:t>
      </w:r>
      <w:r w:rsidRPr="00507A31">
        <w:rPr>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V12 в докумен</w:t>
      </w:r>
      <w:r w:rsidRPr="00507A31">
        <w:rPr>
          <w:color w:val="000000" w:themeColor="text1"/>
          <w:sz w:val="16"/>
          <w:szCs w:val="16"/>
        </w:rPr>
        <w:softHyphen/>
        <w:t>тах более не встречается (11852).</w:t>
      </w:r>
    </w:p>
    <w:p w14:paraId="176FFF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EA4D7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июне 1930 г. и в феврале 1931 г. М-26 дважды представлялся на госиспытания. Во втором случае прошел их успешно. Се</w:t>
      </w:r>
      <w:r w:rsidRPr="00507A31">
        <w:rPr>
          <w:color w:val="000000" w:themeColor="text1"/>
          <w:sz w:val="16"/>
          <w:szCs w:val="16"/>
        </w:rPr>
        <w:softHyphen/>
        <w:t>рийное производство велось на заводе № 24 (Москва) в 1931-1933 гг. Вы</w:t>
      </w:r>
      <w:r w:rsidRPr="00507A31">
        <w:rPr>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54E54F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7C2CFA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7-цилиндровый, звездообразный, четырехтактный, воздушного охлаж</w:t>
      </w:r>
      <w:r w:rsidRPr="00507A31">
        <w:rPr>
          <w:color w:val="000000" w:themeColor="text1"/>
          <w:sz w:val="16"/>
          <w:szCs w:val="16"/>
        </w:rPr>
        <w:softHyphen/>
        <w:t>дения;</w:t>
      </w:r>
    </w:p>
    <w:p w14:paraId="649E7B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270/300 л.с. (по проекту 300/350 л.с.);</w:t>
      </w:r>
    </w:p>
    <w:p w14:paraId="2EF35A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150/170 мм;</w:t>
      </w:r>
    </w:p>
    <w:p w14:paraId="48EE2F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21,0 л;</w:t>
      </w:r>
    </w:p>
    <w:p w14:paraId="74B07F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5,4;</w:t>
      </w:r>
    </w:p>
    <w:p w14:paraId="322459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377855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вес по проекту 300 кг, фактический — 375 кг (без втулки винта);</w:t>
      </w:r>
    </w:p>
    <w:p w14:paraId="1E67C3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имел ПЦН.</w:t>
      </w:r>
    </w:p>
    <w:p w14:paraId="0DCED1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523CBA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EC29E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открылась авиалиния Москва-Ташкент протяженностью 3000 км через Пензу-Самару-Оренбург-Челкар-Кзыл-Орду (3015).</w:t>
      </w:r>
    </w:p>
    <w:p w14:paraId="0B4CCE8D" w14:textId="77777777" w:rsidR="00537E5F" w:rsidRPr="00507A31" w:rsidRDefault="00537E5F" w:rsidP="00507A31">
      <w:pPr>
        <w:autoSpaceDE w:val="0"/>
        <w:autoSpaceDN w:val="0"/>
        <w:adjustRightInd w:val="0"/>
        <w:jc w:val="both"/>
        <w:rPr>
          <w:color w:val="000000" w:themeColor="text1"/>
          <w:sz w:val="16"/>
          <w:szCs w:val="16"/>
        </w:rPr>
      </w:pPr>
    </w:p>
    <w:p w14:paraId="1C9CAA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июня 1930 - ВАО было подчинено Наркомвоенмору (173,238).</w:t>
      </w:r>
    </w:p>
    <w:p w14:paraId="413667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это произошло в конце июля.</w:t>
      </w:r>
    </w:p>
    <w:p w14:paraId="5F366B4A" w14:textId="77777777" w:rsidR="00537E5F" w:rsidRPr="00507A31" w:rsidRDefault="00537E5F" w:rsidP="00507A31">
      <w:pPr>
        <w:autoSpaceDE w:val="0"/>
        <w:autoSpaceDN w:val="0"/>
        <w:adjustRightInd w:val="0"/>
        <w:jc w:val="both"/>
        <w:rPr>
          <w:color w:val="000000" w:themeColor="text1"/>
          <w:sz w:val="16"/>
          <w:szCs w:val="16"/>
        </w:rPr>
      </w:pPr>
    </w:p>
    <w:p w14:paraId="45BEE7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июня 1930 года по февраль 1932 года испытаны 10 кг осколочные авиабомбы (3326).</w:t>
      </w:r>
    </w:p>
    <w:p w14:paraId="47C2F4E2" w14:textId="77777777" w:rsidR="00537E5F" w:rsidRPr="00507A31" w:rsidRDefault="00537E5F" w:rsidP="00507A31">
      <w:pPr>
        <w:autoSpaceDE w:val="0"/>
        <w:autoSpaceDN w:val="0"/>
        <w:adjustRightInd w:val="0"/>
        <w:jc w:val="both"/>
        <w:rPr>
          <w:color w:val="000000" w:themeColor="text1"/>
          <w:sz w:val="16"/>
          <w:szCs w:val="16"/>
        </w:rPr>
      </w:pPr>
    </w:p>
    <w:p w14:paraId="1D39597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C2A227E" w14:textId="77777777" w:rsidR="00537E5F" w:rsidRPr="00507A31" w:rsidRDefault="00537E5F" w:rsidP="00507A31">
      <w:pPr>
        <w:autoSpaceDE w:val="0"/>
        <w:autoSpaceDN w:val="0"/>
        <w:adjustRightInd w:val="0"/>
        <w:jc w:val="both"/>
        <w:rPr>
          <w:iCs/>
          <w:color w:val="000000" w:themeColor="text1"/>
          <w:sz w:val="16"/>
          <w:szCs w:val="16"/>
        </w:rPr>
      </w:pPr>
    </w:p>
    <w:p w14:paraId="377A03B5" w14:textId="77777777" w:rsidR="00975F75" w:rsidRPr="00507A31" w:rsidRDefault="00975F75" w:rsidP="00507A31">
      <w:pPr>
        <w:jc w:val="both"/>
        <w:rPr>
          <w:color w:val="000000" w:themeColor="text1"/>
          <w:sz w:val="16"/>
          <w:szCs w:val="16"/>
        </w:rPr>
      </w:pPr>
      <w:r w:rsidRPr="00507A31">
        <w:rPr>
          <w:color w:val="000000" w:themeColor="text1"/>
          <w:sz w:val="16"/>
          <w:szCs w:val="16"/>
        </w:rPr>
        <w:t>В июне-июле 1930 г. по распоряжению заместителя наркомвоенмора И.П. Убореви</w:t>
      </w:r>
      <w:r w:rsidRPr="00507A31">
        <w:rPr>
          <w:rStyle w:val="0pt0"/>
          <w:rFonts w:eastAsia="Arial Narrow"/>
          <w:b w:val="0"/>
          <w:color w:val="000000" w:themeColor="text1"/>
          <w:spacing w:val="0"/>
          <w:sz w:val="16"/>
          <w:szCs w:val="16"/>
        </w:rPr>
        <w:t>ча на</w:t>
      </w:r>
      <w:r w:rsidRPr="00507A31">
        <w:rPr>
          <w:color w:val="000000" w:themeColor="text1"/>
          <w:sz w:val="16"/>
          <w:szCs w:val="16"/>
        </w:rPr>
        <w:t xml:space="preserve"> Научно-испытательном оружейном полигоне прошли испытания опытные пистолеты-пулеметы В.А. Дегтярева и С.А. Коровина мпд7</w:t>
      </w:r>
      <w:r w:rsidRPr="00507A31">
        <w:rPr>
          <w:color w:val="000000" w:themeColor="text1"/>
          <w:sz w:val="16"/>
          <w:szCs w:val="16"/>
          <w:vertAlign w:val="subscript"/>
        </w:rPr>
        <w:t>:</w:t>
      </w:r>
      <w:r w:rsidRPr="00507A31">
        <w:rPr>
          <w:color w:val="000000" w:themeColor="text1"/>
          <w:sz w:val="16"/>
          <w:szCs w:val="16"/>
        </w:rPr>
        <w:t>62-мм пистолетный патрон и Ф.В. Тока</w:t>
      </w:r>
      <w:r w:rsidRPr="00507A31">
        <w:rPr>
          <w:color w:val="000000" w:themeColor="text1"/>
          <w:sz w:val="16"/>
          <w:szCs w:val="16"/>
        </w:rPr>
        <w:softHyphen/>
      </w:r>
      <w:r w:rsidRPr="00507A31">
        <w:rPr>
          <w:rStyle w:val="0pt0"/>
          <w:rFonts w:eastAsia="Arial Narrow"/>
          <w:b w:val="0"/>
          <w:color w:val="000000" w:themeColor="text1"/>
          <w:spacing w:val="0"/>
          <w:sz w:val="16"/>
          <w:szCs w:val="16"/>
        </w:rPr>
        <w:t>рева</w:t>
      </w:r>
      <w:r w:rsidRPr="00507A31">
        <w:rPr>
          <w:color w:val="000000" w:themeColor="text1"/>
          <w:sz w:val="16"/>
          <w:szCs w:val="16"/>
        </w:rPr>
        <w:t xml:space="preserve"> - под револьверный патрон «наган». Однов</w:t>
      </w:r>
      <w:r w:rsidRPr="00507A31">
        <w:rPr>
          <w:rStyle w:val="0pt0"/>
          <w:rFonts w:eastAsia="Arial Narrow"/>
          <w:b w:val="0"/>
          <w:color w:val="000000" w:themeColor="text1"/>
          <w:spacing w:val="0"/>
          <w:sz w:val="16"/>
          <w:szCs w:val="16"/>
        </w:rPr>
        <w:t>ременно</w:t>
      </w:r>
      <w:r w:rsidRPr="00507A31">
        <w:rPr>
          <w:color w:val="000000" w:themeColor="text1"/>
          <w:sz w:val="16"/>
          <w:szCs w:val="16"/>
        </w:rPr>
        <w:t xml:space="preserve"> испытывались зарубежные писто- вш-пулеметы - германские «Дрейзе» и аме</w:t>
      </w:r>
      <w:r w:rsidRPr="00507A31">
        <w:rPr>
          <w:rStyle w:val="0pt0"/>
          <w:rFonts w:eastAsia="Arial Narrow"/>
          <w:b w:val="0"/>
          <w:color w:val="000000" w:themeColor="text1"/>
          <w:spacing w:val="0"/>
          <w:sz w:val="16"/>
          <w:szCs w:val="16"/>
        </w:rPr>
        <w:t>риканские</w:t>
      </w:r>
      <w:r w:rsidRPr="00507A31">
        <w:rPr>
          <w:color w:val="000000" w:themeColor="text1"/>
          <w:sz w:val="16"/>
          <w:szCs w:val="16"/>
        </w:rPr>
        <w:t xml:space="preserve"> Томпсона. Испытания проводила та </w:t>
      </w:r>
      <w:r w:rsidRPr="00507A31">
        <w:rPr>
          <w:rStyle w:val="0pt0"/>
          <w:rFonts w:eastAsia="Arial Narrow"/>
          <w:b w:val="0"/>
          <w:color w:val="000000" w:themeColor="text1"/>
          <w:spacing w:val="0"/>
          <w:sz w:val="16"/>
          <w:szCs w:val="16"/>
        </w:rPr>
        <w:t>комиссия</w:t>
      </w:r>
      <w:r w:rsidRPr="00507A31">
        <w:rPr>
          <w:color w:val="000000" w:themeColor="text1"/>
          <w:sz w:val="16"/>
          <w:szCs w:val="16"/>
        </w:rPr>
        <w:t xml:space="preserve"> во главе с начдивом В.Ф. Грушецким,</w:t>
      </w:r>
      <w:r w:rsidRPr="00507A31">
        <w:rPr>
          <w:rStyle w:val="0pt0"/>
          <w:rFonts w:eastAsia="Arial Narrow"/>
          <w:b w:val="0"/>
          <w:color w:val="000000" w:themeColor="text1"/>
          <w:spacing w:val="0"/>
          <w:sz w:val="16"/>
          <w:szCs w:val="16"/>
        </w:rPr>
        <w:t xml:space="preserve"> которая</w:t>
      </w:r>
      <w:r w:rsidRPr="00507A31">
        <w:rPr>
          <w:color w:val="000000" w:themeColor="text1"/>
          <w:sz w:val="16"/>
          <w:szCs w:val="16"/>
        </w:rPr>
        <w:t xml:space="preserve"> вела полигонные испытания самоза</w:t>
      </w:r>
      <w:r w:rsidRPr="00507A31">
        <w:rPr>
          <w:rStyle w:val="0pt0"/>
          <w:rFonts w:eastAsia="Arial Narrow"/>
          <w:b w:val="0"/>
          <w:color w:val="000000" w:themeColor="text1"/>
          <w:spacing w:val="0"/>
          <w:sz w:val="16"/>
          <w:szCs w:val="16"/>
        </w:rPr>
        <w:t>рядных</w:t>
      </w:r>
      <w:r w:rsidRPr="00507A31">
        <w:rPr>
          <w:color w:val="000000" w:themeColor="text1"/>
          <w:sz w:val="16"/>
          <w:szCs w:val="16"/>
        </w:rPr>
        <w:t xml:space="preserve"> пистолетов. В целом результаты испыта</w:t>
      </w:r>
      <w:r w:rsidRPr="00507A31">
        <w:rPr>
          <w:rStyle w:val="0pt0"/>
          <w:rFonts w:eastAsia="Arial Narrow"/>
          <w:b w:val="0"/>
          <w:color w:val="000000" w:themeColor="text1"/>
          <w:spacing w:val="0"/>
          <w:sz w:val="16"/>
          <w:szCs w:val="16"/>
        </w:rPr>
        <w:t>ний</w:t>
      </w:r>
      <w:r w:rsidRPr="00507A31">
        <w:rPr>
          <w:color w:val="000000" w:themeColor="text1"/>
          <w:sz w:val="16"/>
          <w:szCs w:val="16"/>
        </w:rPr>
        <w:t xml:space="preserve"> первых отечественных пистолетов- </w:t>
      </w:r>
      <w:r w:rsidRPr="00507A31">
        <w:rPr>
          <w:rStyle w:val="0pt0"/>
          <w:rFonts w:eastAsia="Arial Narrow"/>
          <w:b w:val="0"/>
          <w:color w:val="000000" w:themeColor="text1"/>
          <w:spacing w:val="0"/>
          <w:sz w:val="16"/>
          <w:szCs w:val="16"/>
        </w:rPr>
        <w:t>рвктов</w:t>
      </w:r>
      <w:r w:rsidRPr="00507A31">
        <w:rPr>
          <w:color w:val="000000" w:themeColor="text1"/>
          <w:sz w:val="16"/>
          <w:szCs w:val="16"/>
        </w:rPr>
        <w:t xml:space="preserve"> признали неудачными. Среди примеров </w:t>
      </w:r>
      <w:r w:rsidRPr="00507A31">
        <w:rPr>
          <w:rStyle w:val="0pt0"/>
          <w:rFonts w:eastAsia="Arial Narrow"/>
          <w:b w:val="0"/>
          <w:color w:val="000000" w:themeColor="text1"/>
          <w:spacing w:val="0"/>
          <w:sz w:val="16"/>
          <w:szCs w:val="16"/>
        </w:rPr>
        <w:t>было</w:t>
      </w:r>
      <w:r w:rsidRPr="00507A31">
        <w:rPr>
          <w:color w:val="000000" w:themeColor="text1"/>
          <w:sz w:val="16"/>
          <w:szCs w:val="16"/>
        </w:rPr>
        <w:t xml:space="preserve"> названо несоответствие между мощ</w:t>
      </w:r>
      <w:r w:rsidRPr="00507A31">
        <w:rPr>
          <w:color w:val="000000" w:themeColor="text1"/>
          <w:sz w:val="16"/>
          <w:szCs w:val="16"/>
        </w:rPr>
        <w:softHyphen/>
        <w:t>ностью пистолетного патрона, высоким (около 1000 выстр./мин) темпом стрельбы и ограни</w:t>
      </w:r>
      <w:r w:rsidRPr="00507A31">
        <w:rPr>
          <w:color w:val="000000" w:themeColor="text1"/>
          <w:sz w:val="16"/>
          <w:szCs w:val="16"/>
        </w:rPr>
        <w:softHyphen/>
        <w:t>ченным весом образцов, что не позволяло до</w:t>
      </w:r>
      <w:r w:rsidRPr="00507A31">
        <w:rPr>
          <w:color w:val="000000" w:themeColor="text1"/>
          <w:sz w:val="16"/>
          <w:szCs w:val="16"/>
        </w:rPr>
        <w:softHyphen/>
        <w:t>стичь приемлемой кучности и давало непроиз</w:t>
      </w:r>
      <w:r w:rsidRPr="00507A31">
        <w:rPr>
          <w:color w:val="000000" w:themeColor="text1"/>
          <w:sz w:val="16"/>
          <w:szCs w:val="16"/>
        </w:rPr>
        <w:softHyphen/>
        <w:t>водительный расход патронов.</w:t>
      </w:r>
    </w:p>
    <w:p w14:paraId="5EECF89D" w14:textId="77777777" w:rsidR="00975F75" w:rsidRPr="00507A31" w:rsidRDefault="00975F75" w:rsidP="00507A31">
      <w:pPr>
        <w:jc w:val="both"/>
        <w:rPr>
          <w:color w:val="000000" w:themeColor="text1"/>
          <w:sz w:val="16"/>
          <w:szCs w:val="16"/>
        </w:rPr>
      </w:pPr>
      <w:r w:rsidRPr="00507A31">
        <w:rPr>
          <w:rStyle w:val="aff4"/>
          <w:rFonts w:ascii="Times New Roman" w:eastAsia="Arial Narrow" w:hAnsi="Times New Roman" w:cs="Times New Roman"/>
          <w:i w:val="0"/>
          <w:color w:val="000000" w:themeColor="text1"/>
        </w:rPr>
        <w:t>«Оружие при стрельбе сильно «подбра</w:t>
      </w:r>
      <w:r w:rsidRPr="00507A31">
        <w:rPr>
          <w:rStyle w:val="aff4"/>
          <w:rFonts w:ascii="Times New Roman" w:eastAsia="Arial Narrow" w:hAnsi="Times New Roman" w:cs="Times New Roman"/>
          <w:i w:val="0"/>
          <w:color w:val="000000" w:themeColor="text1"/>
        </w:rPr>
        <w:softHyphen/>
        <w:t>сывает», -</w:t>
      </w:r>
      <w:r w:rsidRPr="00507A31">
        <w:rPr>
          <w:color w:val="000000" w:themeColor="text1"/>
          <w:sz w:val="16"/>
          <w:szCs w:val="16"/>
        </w:rPr>
        <w:t xml:space="preserve"> отметила в своем акте комиссия и предложила изменить требования к пистолету- пулемету: калибр 9-мм «под патрон Борхард- Люгера» (т.е. «парабеллум»); вес при непод</w:t>
      </w:r>
      <w:r w:rsidRPr="00507A31">
        <w:rPr>
          <w:color w:val="000000" w:themeColor="text1"/>
          <w:sz w:val="16"/>
          <w:szCs w:val="16"/>
        </w:rPr>
        <w:softHyphen/>
        <w:t>вижном стволе - не более 2,5 кг; прицельная дальность стрельбы - 500 м; магазин на 25-30 патронов «не дисковый» (во избежание услож</w:t>
      </w:r>
      <w:r w:rsidRPr="00507A31">
        <w:rPr>
          <w:color w:val="000000" w:themeColor="text1"/>
          <w:sz w:val="16"/>
          <w:szCs w:val="16"/>
        </w:rPr>
        <w:softHyphen/>
        <w:t>нения), расположенный слева или снизу; темп стрельбы - не более 500 выстр./мин. (15766).</w:t>
      </w:r>
    </w:p>
    <w:p w14:paraId="440A9246" w14:textId="77777777" w:rsidR="00975F75" w:rsidRPr="00507A31" w:rsidRDefault="00975F75" w:rsidP="00507A31">
      <w:pPr>
        <w:jc w:val="both"/>
        <w:rPr>
          <w:color w:val="000000" w:themeColor="text1"/>
          <w:sz w:val="16"/>
          <w:szCs w:val="16"/>
        </w:rPr>
      </w:pPr>
    </w:p>
    <w:p w14:paraId="649A6F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г. произошла первая встреча Халепского (его сопровождали члены Комиссии Н.М. Тоскин и В.Д.Свиридов) с американским конструктором танков Кристи. Кристи демонстрировал свой колесно-гусенич-ный танк M1931, не произведший на Халепского особого впечатления. Тут сложились вместе сразу несколько негативных тенденций. Если авторитет танкостроения британского и французского после I Мировой войны был общепризнан, то Америку как великую танковую державу в те годы мало кто воспринимал. Несколько американских танков поддержки пехоты, закупленные Комиссией, показали себя с не лучшей стороны и по всем параметрам проигрывали английскому «Виккерсу б-тонному». Наконец, в «Системе танкового вооружения» попросту не предусматривались танки класса машин Кристи. Тем не менее, Халепский решился на покупку машины (5745, 37).</w:t>
      </w:r>
    </w:p>
    <w:p w14:paraId="13A90DB0" w14:textId="77777777" w:rsidR="00537E5F" w:rsidRPr="00507A31" w:rsidRDefault="00537E5F" w:rsidP="00507A31">
      <w:pPr>
        <w:autoSpaceDE w:val="0"/>
        <w:autoSpaceDN w:val="0"/>
        <w:adjustRightInd w:val="0"/>
        <w:jc w:val="both"/>
        <w:rPr>
          <w:color w:val="000000" w:themeColor="text1"/>
          <w:sz w:val="16"/>
          <w:szCs w:val="16"/>
        </w:rPr>
      </w:pPr>
    </w:p>
    <w:p w14:paraId="577ECC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И.А.Халепский представил в РВС отчет о заграничной командировке, в котором отмечал: “...Принимая во внимание, что танк Кристи по своим скоростям перекрывает все танки в мире, что его собираются строить поляки, мы можем попасть в очень невыгодное соотношение с т.з. тактического применения танковых частей. В связи с этим мною настоятельно предлагается форсировать организацию производства танка Кристи путем сохранения производства мотора Либерти на авиазаводах и подготовки производства прочих агрегатов на Ярославском автозаводе...Мною предлагается на текущий 1930-31 гг. дать промышленности задание построить не менее 100 шт. Танков Кристи” (3879,4).</w:t>
      </w:r>
    </w:p>
    <w:p w14:paraId="36804FAA" w14:textId="77777777" w:rsidR="00537E5F" w:rsidRPr="00507A31" w:rsidRDefault="00537E5F" w:rsidP="00507A31">
      <w:pPr>
        <w:autoSpaceDE w:val="0"/>
        <w:autoSpaceDN w:val="0"/>
        <w:adjustRightInd w:val="0"/>
        <w:jc w:val="both"/>
        <w:rPr>
          <w:color w:val="000000" w:themeColor="text1"/>
          <w:sz w:val="16"/>
          <w:szCs w:val="16"/>
        </w:rPr>
      </w:pPr>
    </w:p>
    <w:p w14:paraId="737CF5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и июне 1930 проводились испытания пробегом танкетки Т-17 или Лилипут. Показала лучшую подвижность, чем Т-18, но одноместный кузов был маловат. Решили сделать двухместную версию с резинометаллической гусеницей Кегресс. В серию не пошла и решили сделать двухместную на базе стандартных узлов Т-18 (4243,30).</w:t>
      </w:r>
    </w:p>
    <w:p w14:paraId="1BE94A7C" w14:textId="77777777" w:rsidR="00537E5F" w:rsidRPr="00507A31" w:rsidRDefault="00537E5F" w:rsidP="00507A31">
      <w:pPr>
        <w:autoSpaceDE w:val="0"/>
        <w:autoSpaceDN w:val="0"/>
        <w:adjustRightInd w:val="0"/>
        <w:jc w:val="both"/>
        <w:rPr>
          <w:color w:val="000000" w:themeColor="text1"/>
          <w:sz w:val="16"/>
          <w:szCs w:val="16"/>
        </w:rPr>
      </w:pPr>
    </w:p>
    <w:p w14:paraId="5FDB34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июне 1930 года второй вариант Т-17 показал лучшую подвиж</w:t>
      </w:r>
      <w:r w:rsidRPr="00507A31">
        <w:rPr>
          <w:color w:val="000000" w:themeColor="text1"/>
          <w:sz w:val="16"/>
          <w:szCs w:val="16"/>
        </w:rPr>
        <w:softHyphen/>
        <w:t>ность, чем Т-18, однако одним из наиболее крупных недо</w:t>
      </w:r>
      <w:r w:rsidRPr="00507A31">
        <w:rPr>
          <w:color w:val="000000" w:themeColor="text1"/>
          <w:sz w:val="16"/>
          <w:szCs w:val="16"/>
        </w:rPr>
        <w:softHyphen/>
        <w:t>статков танкетки стал одноместный кузов. Поэтому се</w:t>
      </w:r>
      <w:r w:rsidRPr="00507A31">
        <w:rPr>
          <w:color w:val="000000" w:themeColor="text1"/>
          <w:sz w:val="16"/>
          <w:szCs w:val="16"/>
        </w:rPr>
        <w:softHyphen/>
        <w:t>рийное производство Т-17, имевшей те же недостатки, что и танкетка Максимова 1919 г., сочли нецелесообразным и вскоре было принято решение о продолжении работ над двухместной танкеткой с использованием стандартных уз</w:t>
      </w:r>
      <w:r w:rsidRPr="00507A31">
        <w:rPr>
          <w:color w:val="000000" w:themeColor="text1"/>
          <w:sz w:val="16"/>
          <w:szCs w:val="16"/>
        </w:rPr>
        <w:softHyphen/>
        <w:t>лов танка Т-18 (10733,85).</w:t>
      </w:r>
    </w:p>
    <w:p w14:paraId="778216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4B01F37" w14:textId="77777777" w:rsidR="00975F75" w:rsidRPr="00507A31" w:rsidRDefault="00975F75" w:rsidP="00507A31">
      <w:pPr>
        <w:jc w:val="both"/>
        <w:rPr>
          <w:color w:val="000000" w:themeColor="text1"/>
          <w:sz w:val="16"/>
          <w:szCs w:val="16"/>
        </w:rPr>
      </w:pPr>
      <w:r w:rsidRPr="00507A31">
        <w:rPr>
          <w:color w:val="000000" w:themeColor="text1"/>
          <w:sz w:val="16"/>
          <w:szCs w:val="16"/>
        </w:rPr>
        <w:t xml:space="preserve">В июне 1930 года у Фольмера был принят Технический проект танка, который обошелся СССР в $70000,. На машине с противопульным бронированием, выполненным из 8-мм и 15-мм броневых листов, предусматривалась установка двигателя конструкции Фольмера мощностью 125 л.с. Он должен был обеспечить </w:t>
      </w:r>
      <w:hyperlink r:id="rId109" w:tgtFrame="_blank" w:history="1">
        <w:r w:rsidRPr="00507A31">
          <w:rPr>
            <w:color w:val="000000" w:themeColor="text1"/>
            <w:sz w:val="16"/>
            <w:szCs w:val="16"/>
          </w:rPr>
          <w:t>танк</w:t>
        </w:r>
      </w:hyperlink>
      <w:r w:rsidRPr="00507A31">
        <w:rPr>
          <w:color w:val="000000" w:themeColor="text1"/>
          <w:sz w:val="16"/>
          <w:szCs w:val="16"/>
        </w:rPr>
        <w:t xml:space="preserve">у максимальную скорость на колесном ходу 50 км/ч и на гусеничном 25 км/ч. Время перехода с гусеничного на колесный должно было составлять около 4 минут. Танк предполагалось вооружить модернизированной 37-мм пушкой и двумя пулеметами. Экипаж машины должен был состоять из трех человек. Поскольку чертежи </w:t>
      </w:r>
      <w:hyperlink r:id="rId110" w:tgtFrame="_blank" w:history="1">
        <w:r w:rsidRPr="00507A31">
          <w:rPr>
            <w:color w:val="000000" w:themeColor="text1"/>
            <w:sz w:val="16"/>
            <w:szCs w:val="16"/>
          </w:rPr>
          <w:t>танк</w:t>
        </w:r>
      </w:hyperlink>
      <w:r w:rsidRPr="00507A31">
        <w:rPr>
          <w:color w:val="000000" w:themeColor="text1"/>
          <w:sz w:val="16"/>
          <w:szCs w:val="16"/>
        </w:rPr>
        <w:t xml:space="preserve">а Фольмера были получены после подписания договора на приобретение двух колесно-гусеничных </w:t>
      </w:r>
      <w:hyperlink r:id="rId111" w:tgtFrame="_blank" w:history="1">
        <w:r w:rsidRPr="00507A31">
          <w:rPr>
            <w:color w:val="000000" w:themeColor="text1"/>
            <w:sz w:val="16"/>
            <w:szCs w:val="16"/>
          </w:rPr>
          <w:t>танк</w:t>
        </w:r>
      </w:hyperlink>
      <w:r w:rsidRPr="00507A31">
        <w:rPr>
          <w:color w:val="000000" w:themeColor="text1"/>
          <w:sz w:val="16"/>
          <w:szCs w:val="16"/>
        </w:rPr>
        <w:t xml:space="preserve">ов американского конструктора Дж.У.Кристи и предоставления всесторонней технической помощи по ним, от постройки </w:t>
      </w:r>
      <w:hyperlink r:id="rId112" w:tgtFrame="_blank" w:history="1">
        <w:r w:rsidRPr="00507A31">
          <w:rPr>
            <w:color w:val="000000" w:themeColor="text1"/>
            <w:sz w:val="16"/>
            <w:szCs w:val="16"/>
          </w:rPr>
          <w:t>танк</w:t>
        </w:r>
      </w:hyperlink>
      <w:r w:rsidRPr="00507A31">
        <w:rPr>
          <w:color w:val="000000" w:themeColor="text1"/>
          <w:sz w:val="16"/>
          <w:szCs w:val="16"/>
        </w:rPr>
        <w:t xml:space="preserve">а Фольмера отказались. Чертежи </w:t>
      </w:r>
      <w:hyperlink r:id="rId113" w:tgtFrame="_blank" w:history="1">
        <w:r w:rsidRPr="00507A31">
          <w:rPr>
            <w:color w:val="000000" w:themeColor="text1"/>
            <w:sz w:val="16"/>
            <w:szCs w:val="16"/>
          </w:rPr>
          <w:t>танк</w:t>
        </w:r>
      </w:hyperlink>
      <w:r w:rsidRPr="00507A31">
        <w:rPr>
          <w:color w:val="000000" w:themeColor="text1"/>
          <w:sz w:val="16"/>
          <w:szCs w:val="16"/>
        </w:rPr>
        <w:t xml:space="preserve">а были переданы в Опытно-конструкторское и испытательное бюро УММ РККА для дальнейшего использования, а массовыми колесно-гусеничными </w:t>
      </w:r>
      <w:hyperlink r:id="rId114" w:tgtFrame="_blank" w:history="1">
        <w:r w:rsidRPr="00507A31">
          <w:rPr>
            <w:color w:val="000000" w:themeColor="text1"/>
            <w:sz w:val="16"/>
            <w:szCs w:val="16"/>
          </w:rPr>
          <w:t>танк</w:t>
        </w:r>
      </w:hyperlink>
      <w:r w:rsidRPr="00507A31">
        <w:rPr>
          <w:color w:val="000000" w:themeColor="text1"/>
          <w:sz w:val="16"/>
          <w:szCs w:val="16"/>
        </w:rPr>
        <w:t xml:space="preserve">ами в СССР стали </w:t>
      </w:r>
      <w:hyperlink r:id="rId115" w:tgtFrame="_blank" w:history="1">
        <w:r w:rsidRPr="00507A31">
          <w:rPr>
            <w:color w:val="000000" w:themeColor="text1"/>
            <w:sz w:val="16"/>
            <w:szCs w:val="16"/>
          </w:rPr>
          <w:t>танк</w:t>
        </w:r>
      </w:hyperlink>
      <w:r w:rsidRPr="00507A31">
        <w:rPr>
          <w:color w:val="000000" w:themeColor="text1"/>
          <w:sz w:val="16"/>
          <w:szCs w:val="16"/>
        </w:rPr>
        <w:t>и с подвеской системы Кристи (15619).</w:t>
      </w:r>
    </w:p>
    <w:p w14:paraId="03AA5BDF" w14:textId="77777777" w:rsidR="00975F75" w:rsidRPr="00507A31" w:rsidRDefault="00975F75" w:rsidP="00507A31">
      <w:pPr>
        <w:jc w:val="both"/>
        <w:rPr>
          <w:color w:val="000000" w:themeColor="text1"/>
          <w:sz w:val="16"/>
          <w:szCs w:val="16"/>
        </w:rPr>
      </w:pPr>
    </w:p>
    <w:p w14:paraId="39933A27" w14:textId="77777777" w:rsidR="00975F75" w:rsidRPr="00507A31" w:rsidRDefault="00975F75" w:rsidP="00507A31">
      <w:pPr>
        <w:jc w:val="both"/>
        <w:rPr>
          <w:color w:val="000000" w:themeColor="text1"/>
          <w:sz w:val="16"/>
          <w:szCs w:val="16"/>
        </w:rPr>
      </w:pPr>
      <w:r w:rsidRPr="00507A31">
        <w:rPr>
          <w:color w:val="000000" w:themeColor="text1"/>
          <w:sz w:val="16"/>
          <w:szCs w:val="16"/>
        </w:rPr>
        <w:t>В июне 1930 г. прошли переговоры о приобретении «шестнадцатитонника» (вес А6~16т), испытания которого проходили во время посещения заводов фирмы «Виккерс» советскими специалисты и к которому проявляли интерес многие страны, в том числе СССР, Япония, Германия, Польша.. Фирма «Виккерс» заявила, что готова построить для правительства СССР 16-тонный танк по спецификации, разработанной ею самой, а продажа готового образца невозможна ввиду его секретности. Такое предложение фирмы не устроило советскую сторону. Во время пребывания на заводах фирмы представители закупочной комиссии старались собрать как можно больше сведений о новом танке. После возвращения в СССР вся полученная информация была обобщена и 2 декабря 1930 г. Гинзбург сделал подробное сообщение руководству РККА. Он отметил, что А6 представляет максимальный интерес для РККА как лучший современный тип манёвренного среднего танка (15132).</w:t>
      </w:r>
    </w:p>
    <w:p w14:paraId="602AB039" w14:textId="77777777" w:rsidR="00975F75" w:rsidRPr="00507A31" w:rsidRDefault="00975F75" w:rsidP="00507A31">
      <w:pPr>
        <w:jc w:val="both"/>
        <w:rPr>
          <w:color w:val="000000" w:themeColor="text1"/>
          <w:sz w:val="16"/>
          <w:szCs w:val="16"/>
        </w:rPr>
      </w:pPr>
    </w:p>
    <w:p w14:paraId="60B774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июне 1930 года 45-мм пушка Соколова была подана и установлена на Т-12, на котором ее опробование проходило 12 июля 1930 г. (10733).</w:t>
      </w:r>
    </w:p>
    <w:p w14:paraId="78FEB9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F17EA1B" w14:textId="77777777" w:rsidR="009B5211" w:rsidRPr="00507A31" w:rsidRDefault="009B5211" w:rsidP="00507A31">
      <w:pPr>
        <w:jc w:val="both"/>
        <w:rPr>
          <w:color w:val="000000" w:themeColor="text1"/>
          <w:sz w:val="16"/>
          <w:szCs w:val="16"/>
        </w:rPr>
      </w:pPr>
      <w:r w:rsidRPr="00507A31">
        <w:rPr>
          <w:color w:val="000000" w:themeColor="text1"/>
          <w:sz w:val="16"/>
          <w:szCs w:val="16"/>
        </w:rPr>
        <w:t>В июне 1930 г. на ХПЗ поступила 45-мм пушка конструкции Соколова с плечевым упором, которую сразу же установили в башне танка. До этого Т-12 испытывался только с пулеметным вооружением. По распоряжению заместителя председателя МПУ Машинообъединения Доценко 3 июля 1930 г. машину направили в Москву (через склад №37) для демонстрации военному командованию. Одновременно Машинообъединение дало согласие на проведение ответственных длительных испытаний. Однако дирекция ХПЗ выступила категорически против передачи машины УММ на испытания, к которым она еще была не готова. В письме завода сообщалось: «После демонстрации машина должна быть срочно возвращена на завод, где совместно с ГКБ ВООП должны быть произведены окончательные конструктивные изменения, после чего будут произведены заводские испытания и сдача артприемщику» (12303).</w:t>
      </w:r>
    </w:p>
    <w:p w14:paraId="337D08EB" w14:textId="77777777" w:rsidR="009B5211" w:rsidRPr="00507A31" w:rsidRDefault="009B5211" w:rsidP="00507A31">
      <w:pPr>
        <w:jc w:val="both"/>
        <w:rPr>
          <w:color w:val="000000" w:themeColor="text1"/>
          <w:sz w:val="16"/>
          <w:szCs w:val="16"/>
        </w:rPr>
      </w:pPr>
    </w:p>
    <w:p w14:paraId="5ECBE3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было принято решение о разработке САУ на основе шасси Т-19: 76-мм пушки, счетверенной 7.62 мм зенитной пулеметной установки, 37-мм зенитной спарки автоматов Рейнметалл и 37-мм и 45-мм противотанковых пушек. Так и не ясно, почему не стали делать (4243,27).</w:t>
      </w:r>
    </w:p>
    <w:p w14:paraId="4EE5A3AA" w14:textId="77777777" w:rsidR="00537E5F" w:rsidRPr="00507A31" w:rsidRDefault="00537E5F" w:rsidP="00507A31">
      <w:pPr>
        <w:autoSpaceDE w:val="0"/>
        <w:autoSpaceDN w:val="0"/>
        <w:adjustRightInd w:val="0"/>
        <w:jc w:val="both"/>
        <w:rPr>
          <w:color w:val="000000" w:themeColor="text1"/>
          <w:sz w:val="16"/>
          <w:szCs w:val="16"/>
        </w:rPr>
      </w:pPr>
    </w:p>
    <w:p w14:paraId="5AC48B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июне 1931 г. было начато изготовление прототипа Т-19, и к концу августа он был уже в основном готов (по плану же он должен был быть готов в марте 1931 г.). Однако характе</w:t>
      </w:r>
      <w:r w:rsidRPr="00507A31">
        <w:rPr>
          <w:color w:val="000000" w:themeColor="text1"/>
          <w:sz w:val="16"/>
          <w:szCs w:val="16"/>
        </w:rPr>
        <w:softHyphen/>
        <w:t>ристики танка были ниже запланированных, вес — больше (до 8 т), а производство — чудовищно сложным. Особо насто</w:t>
      </w:r>
      <w:r w:rsidRPr="00507A31">
        <w:rPr>
          <w:color w:val="000000" w:themeColor="text1"/>
          <w:sz w:val="16"/>
          <w:szCs w:val="16"/>
        </w:rPr>
        <w:softHyphen/>
        <w:t>раживал тот факт, что танк «съедал» громадное число под</w:t>
      </w:r>
      <w:r w:rsidRPr="00507A31">
        <w:rPr>
          <w:color w:val="000000" w:themeColor="text1"/>
          <w:sz w:val="16"/>
          <w:szCs w:val="16"/>
        </w:rPr>
        <w:softHyphen/>
        <w:t>шипников качения, которые все еще закупались за рубежом. Стоимость опытного образца без башни с вооружением и без КПП в ценах 1930 г. составляла 96 тыс. руб. Кроме того, несмотря на то что смета изготовления опытного образца была израсходована полностью, ряд уз</w:t>
      </w:r>
      <w:r w:rsidRPr="00507A31">
        <w:rPr>
          <w:color w:val="000000" w:themeColor="text1"/>
          <w:sz w:val="16"/>
          <w:szCs w:val="16"/>
        </w:rPr>
        <w:softHyphen/>
        <w:t>лов так и остался на бумаге. Например, коническую башню, предполагавшуюся к установке на танк, даже не начи</w:t>
      </w:r>
      <w:r w:rsidRPr="00507A31">
        <w:rPr>
          <w:color w:val="000000" w:themeColor="text1"/>
          <w:sz w:val="16"/>
          <w:szCs w:val="16"/>
        </w:rPr>
        <w:softHyphen/>
        <w:t>нали делать на Ижорском заводе и для испытаний опытно</w:t>
      </w:r>
      <w:r w:rsidRPr="00507A31">
        <w:rPr>
          <w:color w:val="000000" w:themeColor="text1"/>
          <w:sz w:val="16"/>
          <w:szCs w:val="16"/>
        </w:rPr>
        <w:softHyphen/>
        <w:t>го образца на Т-19 установили башню Т-18 на немного уширенном погоне. 37-мм танковая пушка обр. 1930 г. также не была закон</w:t>
      </w:r>
      <w:r w:rsidRPr="00507A31">
        <w:rPr>
          <w:color w:val="000000" w:themeColor="text1"/>
          <w:sz w:val="16"/>
          <w:szCs w:val="16"/>
        </w:rPr>
        <w:softHyphen/>
        <w:t>чена в срок и попала, таким образом, только на машины постройки 1932—33 гг. БТ, Т-26 и прототипы Т-28 и Т-35. Шестицилиндровый двигатель воздушного охлажде</w:t>
      </w:r>
      <w:r w:rsidRPr="00507A31">
        <w:rPr>
          <w:color w:val="000000" w:themeColor="text1"/>
          <w:sz w:val="16"/>
          <w:szCs w:val="16"/>
        </w:rPr>
        <w:softHyphen/>
        <w:t>ния мощностью 100 л.с. конструкции А. Микулина также не был доведен на «Большевике», а применение быстро-оборотного мотора «Франклин» мощностью 95 л.с. требо</w:t>
      </w:r>
      <w:r w:rsidRPr="00507A31">
        <w:rPr>
          <w:color w:val="000000" w:themeColor="text1"/>
          <w:sz w:val="16"/>
          <w:szCs w:val="16"/>
        </w:rPr>
        <w:softHyphen/>
        <w:t>вало применения новой КПП и даже переделки МТО тан</w:t>
      </w:r>
      <w:r w:rsidRPr="00507A31">
        <w:rPr>
          <w:color w:val="000000" w:themeColor="text1"/>
          <w:sz w:val="16"/>
          <w:szCs w:val="16"/>
        </w:rPr>
        <w:softHyphen/>
        <w:t>ка (мотор был больше по габаритам). Таким образом, изготовленный танк не мог быть испы</w:t>
      </w:r>
      <w:r w:rsidRPr="00507A31">
        <w:rPr>
          <w:color w:val="000000" w:themeColor="text1"/>
          <w:sz w:val="16"/>
          <w:szCs w:val="16"/>
        </w:rPr>
        <w:softHyphen/>
        <w:t>тан в установленном порядке, и в середине года страна вдруг оказалась без танков (10733,100).</w:t>
      </w:r>
    </w:p>
    <w:p w14:paraId="4136BF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C4C5C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Фольмер представил технический проект маневренного колесно-гусеничного танка, разработка которого обошлась в 70 тыс. дол.. Противопульное бронирование 8 мм и 15 мм. К этому времени уже заключили договор с Кристи и от услуг Фольмера отказались. Чертежи передали в ОК и испытательное Б УММ РККА Н.И.Дыренкова (9527,61).</w:t>
      </w:r>
    </w:p>
    <w:p w14:paraId="4877CC09" w14:textId="77777777" w:rsidR="00537E5F" w:rsidRPr="00507A31" w:rsidRDefault="00537E5F" w:rsidP="00507A31">
      <w:pPr>
        <w:autoSpaceDE w:val="0"/>
        <w:autoSpaceDN w:val="0"/>
        <w:adjustRightInd w:val="0"/>
        <w:jc w:val="both"/>
        <w:rPr>
          <w:color w:val="000000" w:themeColor="text1"/>
          <w:sz w:val="16"/>
          <w:szCs w:val="16"/>
        </w:rPr>
      </w:pPr>
    </w:p>
    <w:p w14:paraId="36DB51F5" w14:textId="77777777" w:rsidR="00637184" w:rsidRPr="00507A31" w:rsidRDefault="00637184" w:rsidP="00507A31">
      <w:pPr>
        <w:jc w:val="both"/>
        <w:rPr>
          <w:color w:val="000000" w:themeColor="text1"/>
          <w:sz w:val="16"/>
          <w:szCs w:val="16"/>
          <w:shd w:val="clear" w:color="auto" w:fill="FFFFFF"/>
        </w:rPr>
      </w:pPr>
      <w:r w:rsidRPr="00507A31">
        <w:rPr>
          <w:color w:val="000000" w:themeColor="text1"/>
          <w:sz w:val="16"/>
          <w:szCs w:val="16"/>
          <w:shd w:val="clear" w:color="auto" w:fill="FFFFFF"/>
        </w:rPr>
        <w:t>В июне 1930 года 45-мм пушка Соколова была подана на ХПЗ и установлена на Т-12, на котором ее опробование проходило 12 июля 1930 г. (19553).</w:t>
      </w:r>
    </w:p>
    <w:p w14:paraId="16E3F1EF" w14:textId="77777777" w:rsidR="00637184" w:rsidRPr="00507A31" w:rsidRDefault="00637184" w:rsidP="00507A31">
      <w:pPr>
        <w:jc w:val="both"/>
        <w:rPr>
          <w:color w:val="000000" w:themeColor="text1"/>
          <w:sz w:val="16"/>
          <w:szCs w:val="16"/>
          <w:shd w:val="clear" w:color="auto" w:fill="FFFFFF"/>
        </w:rPr>
      </w:pPr>
    </w:p>
    <w:p w14:paraId="41C50DB4" w14:textId="77777777" w:rsidR="00637184" w:rsidRPr="00507A31" w:rsidRDefault="00637184" w:rsidP="00507A31">
      <w:pPr>
        <w:jc w:val="both"/>
        <w:rPr>
          <w:color w:val="000000" w:themeColor="text1"/>
          <w:sz w:val="16"/>
          <w:szCs w:val="16"/>
          <w:shd w:val="clear" w:color="auto" w:fill="FFFFFF"/>
        </w:rPr>
      </w:pPr>
      <w:r w:rsidRPr="00507A31">
        <w:rPr>
          <w:color w:val="000000" w:themeColor="text1"/>
          <w:sz w:val="16"/>
          <w:szCs w:val="16"/>
          <w:shd w:val="clear" w:color="auto" w:fill="FFFFFF"/>
        </w:rPr>
        <w:t>В июне 1930 первый образец Т-17 был вновь испытан пробегом, а затем -,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"Кегресс".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3FAB8EDA" w14:textId="77777777" w:rsidR="00637184" w:rsidRPr="00507A31" w:rsidRDefault="00637184" w:rsidP="00507A31">
      <w:pPr>
        <w:jc w:val="both"/>
        <w:rPr>
          <w:color w:val="000000" w:themeColor="text1"/>
          <w:sz w:val="16"/>
          <w:szCs w:val="16"/>
          <w:shd w:val="clear" w:color="auto" w:fill="FFFFFF"/>
        </w:rPr>
      </w:pPr>
    </w:p>
    <w:p w14:paraId="33942095" w14:textId="77777777" w:rsidR="00637184" w:rsidRPr="00507A31" w:rsidRDefault="00637184" w:rsidP="00507A31">
      <w:pPr>
        <w:jc w:val="both"/>
        <w:rPr>
          <w:color w:val="000000" w:themeColor="text1"/>
          <w:sz w:val="16"/>
          <w:szCs w:val="16"/>
        </w:rPr>
      </w:pPr>
      <w:r w:rsidRPr="00507A31">
        <w:rPr>
          <w:color w:val="000000" w:themeColor="text1"/>
          <w:sz w:val="16"/>
          <w:szCs w:val="16"/>
        </w:rPr>
        <w:t>В июне 1930 г. Технический проект колесно-гусеничного танка Й. Фольмера массой 8 т был готов, а чертежи переданы в Опытно-конструкторское и испытательное бюро УММ РККА (многие технические решения этого проекта нашли свое применение при дальнейшем проектировании и строительстве отечественных танков). В сентябре 1929 г. Нарком Ворошилов и начальник штаба рейхсвера Хаммерштейн обсудили вопрос организации в СССР танкового КБ. В марте 1930 г. для оказания технической помощи в СССР были приглашены иностранные специалисты, в числе которых был талантливый и плодовитый немецкий инженер Э. Гротте. С апреля 1930 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 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54B2B05F" w14:textId="77777777" w:rsidR="00637184" w:rsidRPr="00507A31" w:rsidRDefault="00637184" w:rsidP="00507A31">
      <w:pPr>
        <w:jc w:val="both"/>
        <w:rPr>
          <w:color w:val="000000" w:themeColor="text1"/>
          <w:sz w:val="16"/>
          <w:szCs w:val="16"/>
        </w:rPr>
      </w:pPr>
      <w:r w:rsidRPr="00507A31">
        <w:rPr>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662507D9" w14:textId="77777777" w:rsidR="00637184" w:rsidRPr="00507A31" w:rsidRDefault="00637184" w:rsidP="00507A31">
      <w:pPr>
        <w:jc w:val="both"/>
        <w:rPr>
          <w:color w:val="000000" w:themeColor="text1"/>
          <w:sz w:val="16"/>
          <w:szCs w:val="16"/>
        </w:rPr>
      </w:pPr>
    </w:p>
    <w:p w14:paraId="35AAF9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на ХПЗ были собраны первые три танка Т-24. Потом пошла серия и выпустили 25 (9527,122).</w:t>
      </w:r>
    </w:p>
    <w:p w14:paraId="7B3D4159" w14:textId="77777777" w:rsidR="00537E5F" w:rsidRPr="00507A31" w:rsidRDefault="00537E5F" w:rsidP="00507A31">
      <w:pPr>
        <w:autoSpaceDE w:val="0"/>
        <w:autoSpaceDN w:val="0"/>
        <w:adjustRightInd w:val="0"/>
        <w:jc w:val="both"/>
        <w:rPr>
          <w:color w:val="000000" w:themeColor="text1"/>
          <w:sz w:val="16"/>
          <w:szCs w:val="16"/>
        </w:rPr>
      </w:pPr>
    </w:p>
    <w:p w14:paraId="7800EF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июне 1930 года, учитывая результаты испытаний вооруженных пулеме</w:t>
      </w:r>
      <w:r w:rsidRPr="00507A31">
        <w:rPr>
          <w:color w:val="000000" w:themeColor="text1"/>
          <w:sz w:val="16"/>
          <w:szCs w:val="16"/>
        </w:rPr>
        <w:softHyphen/>
        <w:t>тами «Форд-А» и требования военных об улучшении их за</w:t>
      </w:r>
      <w:r w:rsidRPr="00507A31">
        <w:rPr>
          <w:color w:val="000000" w:themeColor="text1"/>
          <w:sz w:val="16"/>
          <w:szCs w:val="16"/>
        </w:rPr>
        <w:softHyphen/>
        <w:t>щиты, член НТК А. Рожков (он являлся автором проекта бронеавтомобиля Б А-27) разработал проект полубронированной машины на том же шасси. Она представляла собой броневик без крыши, защи</w:t>
      </w:r>
      <w:r w:rsidRPr="00507A31">
        <w:rPr>
          <w:color w:val="000000" w:themeColor="text1"/>
          <w:sz w:val="16"/>
          <w:szCs w:val="16"/>
        </w:rPr>
        <w:softHyphen/>
        <w:t>щенной 4—6 мм бронелистами. Вооружение состояло из пу</w:t>
      </w:r>
      <w:r w:rsidRPr="00507A31">
        <w:rPr>
          <w:color w:val="000000" w:themeColor="text1"/>
          <w:sz w:val="16"/>
          <w:szCs w:val="16"/>
        </w:rPr>
        <w:softHyphen/>
        <w:t>лемета Максима на центральной стойке, обеспечивающей круговой обстрел и возможность ведения огня по самоле</w:t>
      </w:r>
      <w:r w:rsidRPr="00507A31">
        <w:rPr>
          <w:color w:val="000000" w:themeColor="text1"/>
          <w:sz w:val="16"/>
          <w:szCs w:val="16"/>
        </w:rPr>
        <w:softHyphen/>
        <w:t>там, и пулемета ДТ в лобовом листе корпуса. Экипаж ма</w:t>
      </w:r>
      <w:r w:rsidRPr="00507A31">
        <w:rPr>
          <w:color w:val="000000" w:themeColor="text1"/>
          <w:sz w:val="16"/>
          <w:szCs w:val="16"/>
        </w:rPr>
        <w:softHyphen/>
        <w:t>шины состоял из 3 человек — водителя, командира и пуле</w:t>
      </w:r>
      <w:r w:rsidRPr="00507A31">
        <w:rPr>
          <w:color w:val="000000" w:themeColor="text1"/>
          <w:sz w:val="16"/>
          <w:szCs w:val="16"/>
        </w:rPr>
        <w:softHyphen/>
        <w:t>метчика. После рассмотрения проекта в УММ РККА было принято решение об изготовлении опытных образцов «ко</w:t>
      </w:r>
      <w:r w:rsidRPr="00507A31">
        <w:rPr>
          <w:color w:val="000000" w:themeColor="text1"/>
          <w:sz w:val="16"/>
          <w:szCs w:val="16"/>
        </w:rPr>
        <w:softHyphen/>
        <w:t>лесных танкеток» и проведении их испытаний (11284).</w:t>
      </w:r>
    </w:p>
    <w:p w14:paraId="56ED87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17628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июне 1930 года было закон</w:t>
      </w:r>
      <w:r w:rsidRPr="00507A31">
        <w:rPr>
          <w:color w:val="000000" w:themeColor="text1"/>
          <w:sz w:val="16"/>
          <w:szCs w:val="16"/>
        </w:rPr>
        <w:softHyphen/>
        <w:t>чено эскизное проектирование легкого бронеавтомобиля с вращающей</w:t>
      </w:r>
      <w:r w:rsidRPr="00507A31">
        <w:rPr>
          <w:color w:val="000000" w:themeColor="text1"/>
          <w:sz w:val="16"/>
          <w:szCs w:val="16"/>
        </w:rPr>
        <w:softHyphen/>
        <w:t>ся башней, после чего Рожков — разработчик БА-27 и бронированного «Форд-А» - направил проект на рассмотрение научно-технического комитета управле</w:t>
      </w:r>
      <w:r w:rsidRPr="00507A31">
        <w:rPr>
          <w:color w:val="000000" w:themeColor="text1"/>
          <w:sz w:val="16"/>
          <w:szCs w:val="16"/>
        </w:rPr>
        <w:softHyphen/>
        <w:t>ния механизации и моторизации. Разработку машины он вел самостоя</w:t>
      </w:r>
      <w:r w:rsidRPr="00507A31">
        <w:rPr>
          <w:color w:val="000000" w:themeColor="text1"/>
          <w:sz w:val="16"/>
          <w:szCs w:val="16"/>
        </w:rPr>
        <w:softHyphen/>
        <w:t>тельно, не имея утвержденных УММ РККА тактико-техни</w:t>
      </w:r>
      <w:r w:rsidRPr="00507A31">
        <w:rPr>
          <w:color w:val="000000" w:themeColor="text1"/>
          <w:sz w:val="16"/>
          <w:szCs w:val="16"/>
        </w:rPr>
        <w:softHyphen/>
        <w:t>ческих требований (11284).</w:t>
      </w:r>
    </w:p>
    <w:p w14:paraId="5CFDA9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A6F654B" w14:textId="77777777" w:rsidR="001124DC" w:rsidRPr="00507A31" w:rsidRDefault="001124DC" w:rsidP="00507A31">
      <w:pPr>
        <w:jc w:val="both"/>
        <w:rPr>
          <w:color w:val="000000" w:themeColor="text1"/>
          <w:sz w:val="16"/>
          <w:szCs w:val="16"/>
        </w:rPr>
      </w:pPr>
      <w:r w:rsidRPr="00507A31">
        <w:rPr>
          <w:color w:val="000000" w:themeColor="text1"/>
          <w:sz w:val="16"/>
          <w:szCs w:val="16"/>
        </w:rPr>
        <w:t>В июне 1930 договор с фирмой «Брандт» на реконструкцию АМО был расторгнут по причине невыполнения американской стороной условий и сроков договора (17494).</w:t>
      </w:r>
    </w:p>
    <w:p w14:paraId="6E8DB6ED" w14:textId="77777777" w:rsidR="001124DC" w:rsidRPr="00507A31" w:rsidRDefault="001124DC" w:rsidP="00507A31">
      <w:pPr>
        <w:jc w:val="both"/>
        <w:rPr>
          <w:color w:val="000000" w:themeColor="text1"/>
          <w:sz w:val="16"/>
          <w:szCs w:val="16"/>
        </w:rPr>
      </w:pPr>
    </w:p>
    <w:p w14:paraId="4DAF83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года в Ленинграде в Тремасе изготовили легкий мотоцикл на основе "Тремасс-300", обозначенный "Тремасс-300". А серийное производство мотоциклов, которые назвали Л-300 (Ленинградские, с двигателем рабочим объёмом 300 смз), начали в январе 1931 г. на заводе "Красный Октябрь". На этом миссия Можарова в Ленинграде завершилась (11397).</w:t>
      </w:r>
    </w:p>
    <w:p w14:paraId="614C2B42" w14:textId="77777777" w:rsidR="00537E5F" w:rsidRPr="00507A31" w:rsidRDefault="00537E5F" w:rsidP="00507A31">
      <w:pPr>
        <w:autoSpaceDE w:val="0"/>
        <w:autoSpaceDN w:val="0"/>
        <w:adjustRightInd w:val="0"/>
        <w:jc w:val="both"/>
        <w:rPr>
          <w:color w:val="000000" w:themeColor="text1"/>
          <w:sz w:val="16"/>
          <w:szCs w:val="16"/>
        </w:rPr>
      </w:pPr>
    </w:p>
    <w:p w14:paraId="42247578"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 xml:space="preserve">В июне 1930 года в КБ ХАСЗ были изготовлены все чертежи на 6500 (!) деталей будущего национального грузовика </w:t>
      </w:r>
      <w:r w:rsidRPr="00507A31">
        <w:rPr>
          <w:color w:val="000000" w:themeColor="text1"/>
          <w:sz w:val="16"/>
          <w:szCs w:val="16"/>
          <w:lang w:val="en-US"/>
        </w:rPr>
        <w:t>E</w:t>
      </w:r>
      <w:r w:rsidRPr="00507A31">
        <w:rPr>
          <w:color w:val="000000" w:themeColor="text1"/>
          <w:sz w:val="16"/>
          <w:szCs w:val="16"/>
        </w:rPr>
        <w:t>-4. Грузовик "У-4" по заданию нужно было изготовить из отече-ственных материалов. А так как завод не числился в разнарядках на плановое снабжение, то в ход шли и утиль, и брак местных заводов-гигантов, в первую очередь - паровозостроительного завода им. Коминтерна (ныне завод им. Малышева) (11602).</w:t>
      </w:r>
    </w:p>
    <w:p w14:paraId="0BBB450E" w14:textId="77777777" w:rsidR="00537E5F" w:rsidRPr="00507A31" w:rsidRDefault="00537E5F" w:rsidP="00507A31">
      <w:pPr>
        <w:widowControl w:val="0"/>
        <w:autoSpaceDE w:val="0"/>
        <w:autoSpaceDN w:val="0"/>
        <w:adjustRightInd w:val="0"/>
        <w:jc w:val="both"/>
        <w:rPr>
          <w:color w:val="000000" w:themeColor="text1"/>
          <w:sz w:val="16"/>
          <w:szCs w:val="16"/>
        </w:rPr>
      </w:pPr>
    </w:p>
    <w:p w14:paraId="5827D2B9" w14:textId="77777777" w:rsidR="008F2905" w:rsidRPr="00507A31" w:rsidRDefault="008F2905" w:rsidP="00507A31">
      <w:pPr>
        <w:shd w:val="clear" w:color="auto" w:fill="FFFFFF"/>
        <w:jc w:val="both"/>
        <w:rPr>
          <w:color w:val="0070C0"/>
          <w:sz w:val="16"/>
          <w:szCs w:val="16"/>
        </w:rPr>
      </w:pPr>
      <w:r w:rsidRPr="00507A31">
        <w:rPr>
          <w:color w:val="0070C0"/>
          <w:sz w:val="16"/>
          <w:szCs w:val="16"/>
        </w:rPr>
        <w:t>В ию</w:t>
      </w:r>
      <w:r w:rsidRPr="00507A31">
        <w:rPr>
          <w:color w:val="0070C0"/>
          <w:sz w:val="16"/>
          <w:szCs w:val="16"/>
        </w:rPr>
        <w:softHyphen/>
        <w:t>не 1930 г. на базе Волховской ГЭС началось строительство Вол</w:t>
      </w:r>
      <w:r w:rsidRPr="00507A31">
        <w:rPr>
          <w:color w:val="0070C0"/>
          <w:sz w:val="16"/>
          <w:szCs w:val="16"/>
        </w:rPr>
        <w:softHyphen/>
        <w:t>ховского алюминиевого комбината. В 1932 г. на заводе прошла первая плавка, а в 1933 г. завод вышел на проектную мощность -6 тыс. т алюминия в год160. Надо отметить, что разработка техно</w:t>
      </w:r>
      <w:r w:rsidRPr="00507A31">
        <w:rPr>
          <w:color w:val="0070C0"/>
          <w:sz w:val="16"/>
          <w:szCs w:val="16"/>
        </w:rPr>
        <w:softHyphen/>
        <w:t>логии получения глинозема161 из тихвинских бокситов представ</w:t>
      </w:r>
      <w:r w:rsidRPr="00507A31">
        <w:rPr>
          <w:color w:val="0070C0"/>
          <w:sz w:val="16"/>
          <w:szCs w:val="16"/>
        </w:rPr>
        <w:softHyphen/>
        <w:t>ляла собой серьезную техническую проблему. Несмотря на то что наличие алюмоносной руды в окрестностях Тихвина было из</w:t>
      </w:r>
      <w:r w:rsidRPr="00507A31">
        <w:rPr>
          <w:color w:val="0070C0"/>
          <w:sz w:val="16"/>
          <w:szCs w:val="16"/>
        </w:rPr>
        <w:softHyphen/>
        <w:t>вестно с 1882 г.162, низкое содержание алюминия в ней долгое время ставило крест на всех попытках промышленного получе</w:t>
      </w:r>
      <w:r w:rsidRPr="00507A31">
        <w:rPr>
          <w:color w:val="0070C0"/>
          <w:sz w:val="16"/>
          <w:szCs w:val="16"/>
        </w:rPr>
        <w:softHyphen/>
        <w:t>ния алюминия из волховских бокситов. Специалисты Американ</w:t>
      </w:r>
      <w:r w:rsidRPr="00507A31">
        <w:rPr>
          <w:color w:val="0070C0"/>
          <w:sz w:val="16"/>
          <w:szCs w:val="16"/>
        </w:rPr>
        <w:softHyphen/>
        <w:t>ской алюминиевой компании (Алкоа), обследовавшие тихвинское месторождение, пришли к выводу, что низкое содержание алю</w:t>
      </w:r>
      <w:r w:rsidRPr="00507A31">
        <w:rPr>
          <w:color w:val="0070C0"/>
          <w:sz w:val="16"/>
          <w:szCs w:val="16"/>
        </w:rPr>
        <w:softHyphen/>
        <w:t>миния в руде не позволяет надеяться на эффективное производ</w:t>
      </w:r>
      <w:r w:rsidRPr="00507A31">
        <w:rPr>
          <w:color w:val="0070C0"/>
          <w:sz w:val="16"/>
          <w:szCs w:val="16"/>
        </w:rPr>
        <w:softHyphen/>
        <w:t>ство, и рекомендовали ориентироваться на импорт зарубежных бокситов163. Тем не менее, советским химикам удалось решить эту проблему. В конце 1930 г. около Днепрогэса началось строи</w:t>
      </w:r>
      <w:r w:rsidRPr="00507A31">
        <w:rPr>
          <w:color w:val="0070C0"/>
          <w:sz w:val="16"/>
          <w:szCs w:val="16"/>
        </w:rPr>
        <w:softHyphen/>
        <w:t>тельство Днепровского алюминиевого комбината, на который бокситы предполагалось доставлять с тихвинского и уральского месторождения. На проектную мощность - 20 тыс. т в год - завод вышел в 1934 г. (10788).</w:t>
      </w:r>
    </w:p>
    <w:p w14:paraId="0ACBEDE9" w14:textId="77777777" w:rsidR="008F2905" w:rsidRPr="00507A31" w:rsidRDefault="008F2905" w:rsidP="00507A31">
      <w:pPr>
        <w:jc w:val="both"/>
        <w:rPr>
          <w:color w:val="0070C0"/>
          <w:sz w:val="16"/>
          <w:szCs w:val="16"/>
        </w:rPr>
      </w:pPr>
    </w:p>
    <w:p w14:paraId="2A54D0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июне 1930 г. эксперты ко</w:t>
      </w:r>
      <w:r w:rsidRPr="00507A31">
        <w:rPr>
          <w:color w:val="000000" w:themeColor="text1"/>
          <w:sz w:val="16"/>
          <w:szCs w:val="16"/>
        </w:rPr>
        <w:softHyphen/>
        <w:t>миссии Центрального технико-экономического совета (ЦТЭС), входившего в Президиум ВСНХ СССР, дали заключение о том, что технически и экономически целесообразно строить мотоциклет</w:t>
      </w:r>
      <w:r w:rsidRPr="00507A31">
        <w:rPr>
          <w:color w:val="000000" w:themeColor="text1"/>
          <w:sz w:val="16"/>
          <w:szCs w:val="16"/>
        </w:rPr>
        <w:softHyphen/>
        <w:t>ный завод именно в Ижевске. Сначала предполагалось, что пред</w:t>
      </w:r>
      <w:r w:rsidRPr="00507A31">
        <w:rPr>
          <w:color w:val="000000" w:themeColor="text1"/>
          <w:sz w:val="16"/>
          <w:szCs w:val="16"/>
        </w:rPr>
        <w:softHyphen/>
        <w:t>приятие будет выпускать 50 тыс. мотоциклов ежегодно. Однако в октябре 1931 г. Главмашпром ВСНХ СССР увеличил проектную мощность завода до 120 тыс. Планировали изготавливать НАТИ-А-750 и НАТИ-Б-375 в пропорции 40% и 60% (11429).</w:t>
      </w:r>
    </w:p>
    <w:p w14:paraId="12BC66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0B0F4BA" w14:textId="77777777" w:rsidR="00595C14" w:rsidRPr="00507A31" w:rsidRDefault="00595C14"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июне </w:t>
      </w:r>
      <w:bookmarkStart w:id="62" w:name="YANDEX_47"/>
      <w:bookmarkEnd w:id="62"/>
      <w:r w:rsidRPr="00507A31">
        <w:rPr>
          <w:rStyle w:val="highlight"/>
          <w:color w:val="000000" w:themeColor="text1"/>
          <w:sz w:val="16"/>
          <w:szCs w:val="16"/>
        </w:rPr>
        <w:t> 1930 </w:t>
      </w:r>
      <w:r w:rsidRPr="00507A31">
        <w:rPr>
          <w:color w:val="000000" w:themeColor="text1"/>
          <w:sz w:val="16"/>
          <w:szCs w:val="16"/>
        </w:rPr>
        <w:t xml:space="preserve"> года секретариат Ленинградского обкома ВКП(б) принимает очень важное в тех непростых социально-политических условиях решение: «Составить записку в ЦК о числе специалистов, взятых из Ленинграда и арестованных ОГПУ, указав, что дальнейшее откомандирование специалистов из Ленинграда весьма отрицательно отразится на производстве» (17235).</w:t>
      </w:r>
    </w:p>
    <w:p w14:paraId="7FA95AB5" w14:textId="77777777" w:rsidR="00595C14" w:rsidRPr="00507A31" w:rsidRDefault="00595C14" w:rsidP="00507A31">
      <w:pPr>
        <w:autoSpaceDE w:val="0"/>
        <w:autoSpaceDN w:val="0"/>
        <w:adjustRightInd w:val="0"/>
        <w:jc w:val="both"/>
        <w:rPr>
          <w:color w:val="000000" w:themeColor="text1"/>
          <w:sz w:val="16"/>
          <w:szCs w:val="16"/>
        </w:rPr>
      </w:pPr>
    </w:p>
    <w:p w14:paraId="1F09DB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г. Завод им. Коминтерна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507A31">
        <w:rPr>
          <w:color w:val="000000" w:themeColor="text1"/>
          <w:sz w:val="16"/>
          <w:szCs w:val="16"/>
          <w:vertAlign w:val="superscript"/>
        </w:rPr>
        <w:t>101</w:t>
      </w:r>
      <w:r w:rsidRPr="00507A31">
        <w:rPr>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507A31">
        <w:rPr>
          <w:color w:val="000000" w:themeColor="text1"/>
          <w:sz w:val="16"/>
          <w:szCs w:val="16"/>
          <w:vertAlign w:val="superscript"/>
        </w:rPr>
        <w:t>39</w:t>
      </w:r>
      <w:r w:rsidRPr="00507A31">
        <w:rPr>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583585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184B8F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25BD5A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6C55C2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507A31">
        <w:rPr>
          <w:color w:val="000000" w:themeColor="text1"/>
          <w:sz w:val="16"/>
          <w:szCs w:val="16"/>
          <w:lang w:val="en-US"/>
        </w:rPr>
        <w:t>KB</w:t>
      </w:r>
      <w:r w:rsidRPr="00507A31">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312620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1EC072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57FC2A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00074B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32EADD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w:t>
      </w:r>
      <w:r w:rsidRPr="00507A31">
        <w:rPr>
          <w:color w:val="000000" w:themeColor="text1"/>
          <w:sz w:val="16"/>
          <w:szCs w:val="16"/>
        </w:rPr>
        <w:lastRenderedPageBreak/>
        <w:t>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507A31">
        <w:rPr>
          <w:color w:val="000000" w:themeColor="text1"/>
          <w:sz w:val="16"/>
          <w:szCs w:val="16"/>
          <w:vertAlign w:val="superscript"/>
        </w:rPr>
        <w:t>149</w:t>
      </w:r>
    </w:p>
    <w:p w14:paraId="773F8F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5C6E24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Ленинграде на базе оставшегося оборудования по пр. № 325с от 27.10.1941 г. организован новый завод</w:t>
      </w:r>
    </w:p>
    <w:p w14:paraId="087F50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№615.</w:t>
      </w:r>
    </w:p>
    <w:p w14:paraId="174445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соответствии с пост. ГКО № 3686сс от 4.07.1943 г. завод № 208 передан в ведение созданного ГУ </w:t>
      </w:r>
      <w:r w:rsidRPr="00507A31">
        <w:rPr>
          <w:color w:val="000000" w:themeColor="text1"/>
          <w:sz w:val="16"/>
          <w:szCs w:val="16"/>
          <w:lang w:val="en-US"/>
        </w:rPr>
        <w:t>PJI</w:t>
      </w:r>
      <w:r w:rsidRPr="00507A31">
        <w:rPr>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31307D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1960-е  г. выпускал станции обнаружения и целеуказания.</w:t>
      </w:r>
      <w:r w:rsidRPr="00507A31">
        <w:rPr>
          <w:color w:val="000000" w:themeColor="text1"/>
          <w:sz w:val="16"/>
          <w:szCs w:val="16"/>
          <w:vertAlign w:val="superscript"/>
        </w:rPr>
        <w:t>80</w:t>
      </w:r>
    </w:p>
    <w:p w14:paraId="2C51E1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1979 г. создан Тувинский филиал завода (с 1980-х  г. - Тувинский машиностроительный завод).</w:t>
      </w:r>
    </w:p>
    <w:p w14:paraId="5C51AA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41929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(1915 г.)- около 300 чел.</w:t>
      </w:r>
    </w:p>
    <w:p w14:paraId="146027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(-01-14.07.1937 г.)- М.А. Гущин, (14.07.1937-17.12.1938 г.)- А.И. Васильев, (17.12.1938 г.-)- В.П. Виноградов. И.О. Гендиректора (2007 г.)-  Г.Н. Голубев.</w:t>
      </w:r>
    </w:p>
    <w:p w14:paraId="47D2F5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Зам. директора (01.1937 г.)- </w:t>
      </w:r>
      <w:r w:rsidRPr="00507A31">
        <w:rPr>
          <w:color w:val="000000" w:themeColor="text1"/>
          <w:sz w:val="16"/>
          <w:szCs w:val="16"/>
          <w:lang w:val="en-US"/>
        </w:rPr>
        <w:t>A</w:t>
      </w:r>
      <w:r w:rsidRPr="00507A31">
        <w:rPr>
          <w:color w:val="000000" w:themeColor="text1"/>
          <w:sz w:val="16"/>
          <w:szCs w:val="16"/>
        </w:rPr>
        <w:t>.</w:t>
      </w:r>
      <w:r w:rsidRPr="00507A31">
        <w:rPr>
          <w:color w:val="000000" w:themeColor="text1"/>
          <w:sz w:val="16"/>
          <w:szCs w:val="16"/>
          <w:lang w:val="en-US"/>
        </w:rPr>
        <w:t>JI</w:t>
      </w:r>
      <w:r w:rsidRPr="00507A31">
        <w:rPr>
          <w:color w:val="000000" w:themeColor="text1"/>
          <w:sz w:val="16"/>
          <w:szCs w:val="16"/>
        </w:rPr>
        <w:t xml:space="preserve">. Минц, (-27.03.1937; 16.05.1937 г.-)-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C</w:t>
      </w:r>
      <w:r w:rsidRPr="00507A31">
        <w:rPr>
          <w:color w:val="000000" w:themeColor="text1"/>
          <w:sz w:val="16"/>
          <w:szCs w:val="16"/>
        </w:rPr>
        <w:t>. Курков. Помощник директора по найму и увольнению (28.09.1938 г.-)- А.Е. Фомичев.</w:t>
      </w:r>
    </w:p>
    <w:p w14:paraId="030DCF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(-01-27.03.1937 г.)- А.Л. Минц, (27.03-05.1937 г.-)- А.И. Васильев, (02.1938 г.)- Н.А. Романов, (1948-50 г.)- ЯЛ. Беликов.</w:t>
      </w:r>
    </w:p>
    <w:p w14:paraId="43D0CF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гл. инженера (1928 г.-)- А.Л. Минц, В.Е. Гайслер.</w:t>
      </w:r>
    </w:p>
    <w:p w14:paraId="3CC693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Заведующий производством (1930-е)- А. Г. Громов.</w:t>
      </w:r>
    </w:p>
    <w:p w14:paraId="291EB1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Научный руководитель (1936 г.-)- А.Л. Минц.</w:t>
      </w:r>
    </w:p>
    <w:p w14:paraId="197FB3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5327A9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цеха: (-1945 г.)- А.В. Загорянский.</w:t>
      </w:r>
    </w:p>
    <w:p w14:paraId="338E2D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707060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507A31">
        <w:rPr>
          <w:color w:val="000000" w:themeColor="text1"/>
          <w:sz w:val="16"/>
          <w:szCs w:val="16"/>
          <w:lang w:val="en-US"/>
        </w:rPr>
        <w:t>BOB</w:t>
      </w:r>
      <w:r w:rsidRPr="00507A31">
        <w:rPr>
          <w:color w:val="000000" w:themeColor="text1"/>
          <w:sz w:val="16"/>
          <w:szCs w:val="16"/>
        </w:rPr>
        <w:t>)- А.В. Загорянский, (1950-е; 1981-92 г.)- В.В. Райзберг, (-1941 г.)- И.Л. Эристов.</w:t>
      </w:r>
    </w:p>
    <w:p w14:paraId="222C01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бюро: проектно-монтажного (-1936 г.)- А.А. Пистолькорс.</w:t>
      </w:r>
    </w:p>
    <w:p w14:paraId="0D40AD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Руководители групп: по проектированию радиостанции им. Косиора (1937 г.)- В.Д. Селивохин.</w:t>
      </w:r>
    </w:p>
    <w:p w14:paraId="053C04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строительства радиостанции им. Косиора (1937 г.)- В.Д. Селивохин.</w:t>
      </w:r>
    </w:p>
    <w:p w14:paraId="6A79D3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строительства по техчасти радиостанции им. Косиора (1937 г.)- В.А. Енютин.</w:t>
      </w:r>
    </w:p>
    <w:p w14:paraId="5EB946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Создано: радиолокатор наведения луча прожектора на самолеты РАП-150 (1948).</w:t>
      </w:r>
    </w:p>
    <w:p w14:paraId="04DFA7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первый отечественный триод ЛЭ-1 (1922-);</w:t>
      </w:r>
      <w:r w:rsidRPr="00507A31">
        <w:rPr>
          <w:color w:val="000000" w:themeColor="text1"/>
          <w:sz w:val="16"/>
          <w:szCs w:val="16"/>
          <w:vertAlign w:val="superscript"/>
        </w:rPr>
        <w:t>103</w:t>
      </w:r>
      <w:r w:rsidRPr="00507A31">
        <w:rPr>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507A31">
        <w:rPr>
          <w:color w:val="000000" w:themeColor="text1"/>
          <w:sz w:val="16"/>
          <w:szCs w:val="16"/>
          <w:vertAlign w:val="superscript"/>
        </w:rPr>
        <w:t xml:space="preserve">130 </w:t>
      </w:r>
      <w:r w:rsidRPr="00507A31">
        <w:rPr>
          <w:color w:val="000000" w:themeColor="text1"/>
          <w:sz w:val="16"/>
          <w:szCs w:val="16"/>
        </w:rPr>
        <w:t>радиодальномер 1РЛ111Д; изделия 1Л23-6, 1Л24, 76Е6 системы опознавания «Пароль»; радиоприемник ФЭБ (11982).</w:t>
      </w:r>
    </w:p>
    <w:p w14:paraId="1329F44E" w14:textId="77777777" w:rsidR="00537E5F" w:rsidRPr="00507A31" w:rsidRDefault="00537E5F" w:rsidP="00507A31">
      <w:pPr>
        <w:autoSpaceDE w:val="0"/>
        <w:autoSpaceDN w:val="0"/>
        <w:adjustRightInd w:val="0"/>
        <w:jc w:val="both"/>
        <w:rPr>
          <w:color w:val="000000" w:themeColor="text1"/>
          <w:sz w:val="16"/>
          <w:szCs w:val="16"/>
        </w:rPr>
      </w:pPr>
    </w:p>
    <w:p w14:paraId="4B8E12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г., когда Реввоенсовет СССР дополнил программу первой пя</w:t>
      </w:r>
      <w:r w:rsidRPr="00507A31">
        <w:rPr>
          <w:color w:val="000000" w:themeColor="text1"/>
          <w:sz w:val="16"/>
          <w:szCs w:val="16"/>
        </w:rPr>
        <w:softHyphen/>
        <w:t>тилетки десятью тральщиками для Балтийского и Черного морей (по пять единиц на каждый театр), появилось новое оперативно-техническое задание, уточненное с учетом иностранного опыта. В частности, было решено усилить артиллерийское вооружение ору</w:t>
      </w:r>
      <w:r w:rsidRPr="00507A31">
        <w:rPr>
          <w:color w:val="000000" w:themeColor="text1"/>
          <w:sz w:val="16"/>
          <w:szCs w:val="16"/>
        </w:rPr>
        <w:softHyphen/>
        <w:t>дием среднего калибра (102 мм), а в отношении размеров (330 т стандартного водоизмещения) и главных двигателей (дизели) при</w:t>
      </w:r>
      <w:r w:rsidRPr="00507A31">
        <w:rPr>
          <w:color w:val="000000" w:themeColor="text1"/>
          <w:sz w:val="16"/>
          <w:szCs w:val="16"/>
        </w:rPr>
        <w:softHyphen/>
        <w:t>держиваться типа французского тральщика "Дилигент", спущенно</w:t>
      </w:r>
      <w:r w:rsidRPr="00507A31">
        <w:rPr>
          <w:color w:val="000000" w:themeColor="text1"/>
          <w:sz w:val="16"/>
          <w:szCs w:val="16"/>
        </w:rPr>
        <w:softHyphen/>
        <w:t>го на воду в 1916 г. ОТЗ 1930 г. предусматривало постройку "быст</w:t>
      </w:r>
      <w:r w:rsidRPr="00507A31">
        <w:rPr>
          <w:color w:val="000000" w:themeColor="text1"/>
          <w:sz w:val="16"/>
          <w:szCs w:val="16"/>
        </w:rPr>
        <w:softHyphen/>
        <w:t>роходного базового тральщика" для контрольного обследования фарватеров и маневренных районов, уничтожения обнаруженных заграждений, проводки через опасный (от мин) район подводных лодок, транспортов и боевых судов. Особо оговаривалось, что тральщик не должен быть универсальным кораблем, но, не в ущерб основному предназначению, мог бы решать задачи постановки мин и борьбы с подводными лодками. С корость хода без тралов назна</w:t>
      </w:r>
      <w:r w:rsidRPr="00507A31">
        <w:rPr>
          <w:color w:val="000000" w:themeColor="text1"/>
          <w:sz w:val="16"/>
          <w:szCs w:val="16"/>
        </w:rPr>
        <w:softHyphen/>
        <w:t>чалась в пределах 17—19 уз, с тралами— 12—15 уз при 400— 450-мильной дальности плавания полным ходом. Требования к ог</w:t>
      </w:r>
      <w:r w:rsidRPr="00507A31">
        <w:rPr>
          <w:color w:val="000000" w:themeColor="text1"/>
          <w:sz w:val="16"/>
          <w:szCs w:val="16"/>
        </w:rPr>
        <w:softHyphen/>
        <w:t>раничению осадки (1,9—2,4 м) сочетались с пожеланиями обеспе</w:t>
      </w:r>
      <w:r w:rsidRPr="00507A31">
        <w:rPr>
          <w:color w:val="000000" w:themeColor="text1"/>
          <w:sz w:val="16"/>
          <w:szCs w:val="16"/>
        </w:rPr>
        <w:softHyphen/>
        <w:t>чить "простоту и даже грубость постройки" при ее "надежности" и "дешевизне" с целью выполнения в военное время массовой по</w:t>
      </w:r>
      <w:r w:rsidRPr="00507A31">
        <w:rPr>
          <w:color w:val="000000" w:themeColor="text1"/>
          <w:sz w:val="16"/>
          <w:szCs w:val="16"/>
        </w:rPr>
        <w:softHyphen/>
        <w:t>стройки однотипных тральщиков (3898).</w:t>
      </w:r>
    </w:p>
    <w:p w14:paraId="245B3664" w14:textId="77777777" w:rsidR="00537E5F" w:rsidRPr="00507A31" w:rsidRDefault="00537E5F" w:rsidP="00507A31">
      <w:pPr>
        <w:autoSpaceDE w:val="0"/>
        <w:autoSpaceDN w:val="0"/>
        <w:adjustRightInd w:val="0"/>
        <w:jc w:val="both"/>
        <w:rPr>
          <w:color w:val="000000" w:themeColor="text1"/>
          <w:sz w:val="16"/>
          <w:szCs w:val="16"/>
        </w:rPr>
      </w:pPr>
    </w:p>
    <w:p w14:paraId="5A4254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года секретариат обкома партии решил "составить записку в ЦК о количестве специалистов, взятых из Ленинграда и арестованных ОГПУ", указав, что "дальнейшее откомандирование специалистов из Ленинграда весьма отрицательно отразится на производстве" (11025).</w:t>
      </w:r>
    </w:p>
    <w:p w14:paraId="3DA11EA5" w14:textId="77777777" w:rsidR="00537E5F" w:rsidRPr="00507A31" w:rsidRDefault="00537E5F" w:rsidP="00507A31">
      <w:pPr>
        <w:autoSpaceDE w:val="0"/>
        <w:autoSpaceDN w:val="0"/>
        <w:adjustRightInd w:val="0"/>
        <w:jc w:val="both"/>
        <w:rPr>
          <w:color w:val="000000" w:themeColor="text1"/>
          <w:sz w:val="16"/>
          <w:szCs w:val="16"/>
        </w:rPr>
      </w:pPr>
    </w:p>
    <w:p w14:paraId="2050B527" w14:textId="77777777" w:rsidR="008D2A90" w:rsidRPr="00507A31" w:rsidRDefault="008D2A90" w:rsidP="00507A31">
      <w:pPr>
        <w:jc w:val="both"/>
        <w:rPr>
          <w:color w:val="0070C0"/>
          <w:sz w:val="16"/>
          <w:szCs w:val="16"/>
          <w:shd w:val="clear" w:color="auto" w:fill="FFFFFF"/>
        </w:rPr>
      </w:pPr>
      <w:r w:rsidRPr="00507A31">
        <w:rPr>
          <w:color w:val="0070C0"/>
          <w:sz w:val="16"/>
          <w:szCs w:val="16"/>
          <w:shd w:val="clear" w:color="auto" w:fill="FFFFFF"/>
        </w:rPr>
        <w:t>В июне 1930 года В.Н. Ипатьев получил персональное приглашение на II Международный энергетический конгресс в Берлине. Оформление его документов задерживалось, но одного из делегатов арестовали, место в делегации СССР освободилось (было всего 10 мест) и было неудобно оставлять его незаполненным при наличии персонального приглашения Ипатьеву. Вместе с женой Варварой Дмитриевной Ипатьев выехал в Берлин для участия в конгрессе, после которого получил разрешение правительства и АН СССР задержаться на лечение сроком на 1 год. В июне-августе 1930 года он побывал во Франции и Англии, в сентябре прибыл в США, сначала в Нью-Йорк, затем в Чикаго, где ему была сделана сложная операция на горле. Здесь же, в Чикагском университете, он стал читать курс лекций по катализу и одновременно приступил к экспериментальным работам по контракту с фирмой «Universal Oil Products Co» (UOP) в прекрасно оборудованной для него лаборатории.</w:t>
      </w:r>
    </w:p>
    <w:p w14:paraId="53425F9A" w14:textId="77777777" w:rsidR="008D2A90" w:rsidRPr="00507A31" w:rsidRDefault="008D2A90" w:rsidP="00507A31">
      <w:pPr>
        <w:jc w:val="both"/>
        <w:rPr>
          <w:color w:val="0070C0"/>
          <w:sz w:val="16"/>
          <w:szCs w:val="16"/>
          <w:shd w:val="clear" w:color="auto" w:fill="FFFFFF"/>
        </w:rPr>
      </w:pPr>
      <w:r w:rsidRPr="00507A31">
        <w:rPr>
          <w:color w:val="0070C0"/>
          <w:sz w:val="16"/>
          <w:szCs w:val="16"/>
          <w:shd w:val="clear" w:color="auto" w:fill="FFFFFF"/>
        </w:rPr>
        <w:t>Вплоть до 1936 года он регулярно посылал в СССР результаты своих работ, выполненных в США, за свой счёт закупал и высылал в СССР научное оборудование для лаборатории высоких давлений, оплачивал зарубежные командировки сотрудников. В 1936 году в СССР и США одновременно вышла его фундаментальная монография «Каталитические реакции при высоких температурах и давлениях».</w:t>
      </w:r>
    </w:p>
    <w:p w14:paraId="345A66E5" w14:textId="77777777" w:rsidR="008D2A90" w:rsidRPr="00507A31" w:rsidRDefault="008D2A90" w:rsidP="00507A31">
      <w:pPr>
        <w:jc w:val="both"/>
        <w:rPr>
          <w:color w:val="0070C0"/>
          <w:sz w:val="16"/>
          <w:szCs w:val="16"/>
          <w:shd w:val="clear" w:color="auto" w:fill="FFFFFF"/>
        </w:rPr>
      </w:pPr>
      <w:r w:rsidRPr="00507A31">
        <w:rPr>
          <w:color w:val="0070C0"/>
          <w:sz w:val="16"/>
          <w:szCs w:val="16"/>
          <w:shd w:val="clear" w:color="auto" w:fill="FFFFFF"/>
        </w:rPr>
        <w:t>В 1931 году отпуск Ипатьева был продлён на три года, но с 1935 году Правительство СССР и Академия Наук требуют его возвращения. А приходящие из СССР сведения вызывают у Ипатьева страшную тревогу. Усиливаются репрессии, арестованы академики П.П. Лазарев, М.Н. Сперанский, подвергнут шельмованию академик Н.Н. Лузин. Друзья намекают о неизбежности и его ареста при возвращении. В своих ответах Ипатьев честно и откровенно излагает причины, мешающие его возвращению в СССР: невозможность нарушения обязательств перед фирмой, болезни и возраст, благоприятные условия для работы, результаты которых могут использоваться в СССР.</w:t>
      </w:r>
    </w:p>
    <w:p w14:paraId="0B2A31C4" w14:textId="77777777" w:rsidR="008D2A90" w:rsidRPr="00507A31" w:rsidRDefault="008D2A90" w:rsidP="00507A31">
      <w:pPr>
        <w:jc w:val="both"/>
        <w:rPr>
          <w:color w:val="0070C0"/>
          <w:sz w:val="16"/>
          <w:szCs w:val="16"/>
          <w:shd w:val="clear" w:color="auto" w:fill="FFFFFF"/>
        </w:rPr>
      </w:pPr>
      <w:r w:rsidRPr="00507A31">
        <w:rPr>
          <w:color w:val="0070C0"/>
          <w:sz w:val="16"/>
          <w:szCs w:val="16"/>
          <w:shd w:val="clear" w:color="auto" w:fill="FFFFFF"/>
        </w:rPr>
        <w:t>Но 29 декабря 1936 года на общем собрании АН СССР было принято постановление о лишении В.Н. Ипатьева и А.Е. Чичибабина звания академиков, а 05.01.1937 года ЦИК Союза СССР лишил их советского гражданства. Младший сын Ипатьева - Владимир, ставший химиком и сотрудником отца в Институте высоких давлений, был вынужден публично от него отречься. Это произошло в декабре 1936 на Общем собрании Академии наук СССР, когда В.Н. Ипатьева исключали из Академии. 05.07.1941, проф. В. В. Ипатьев был арестован, осужден на десять лет, освобожден лишь в 1952 году.</w:t>
      </w:r>
    </w:p>
    <w:p w14:paraId="6CC3E61F" w14:textId="77777777" w:rsidR="008D2A90" w:rsidRPr="00507A31" w:rsidRDefault="008D2A90" w:rsidP="00507A31">
      <w:pPr>
        <w:jc w:val="both"/>
        <w:rPr>
          <w:color w:val="0070C0"/>
          <w:sz w:val="16"/>
          <w:szCs w:val="16"/>
          <w:shd w:val="clear" w:color="auto" w:fill="FFFFFF"/>
        </w:rPr>
      </w:pPr>
      <w:r w:rsidRPr="00507A31">
        <w:rPr>
          <w:color w:val="0070C0"/>
          <w:sz w:val="16"/>
          <w:szCs w:val="16"/>
          <w:shd w:val="clear" w:color="auto" w:fill="FFFFFF"/>
        </w:rPr>
        <w:t>В 1938 году на свои сбережения Ипатьев в США основал Лабораторию катализа и высоких давлений при Нортуэстернском университете (городок Эванстоуне, недалеко от Чикаго). Здесь он продолжал начатые в России исследования. В 1936 году В.Н. Ипатьев первым предложил каталитический крекинг, позволивший намного увеличить выход бензина при переработке нефти.</w:t>
      </w:r>
    </w:p>
    <w:p w14:paraId="1EAB5357" w14:textId="77777777" w:rsidR="008D2A90" w:rsidRPr="00507A31" w:rsidRDefault="008D2A90" w:rsidP="00507A31">
      <w:pPr>
        <w:jc w:val="both"/>
        <w:rPr>
          <w:color w:val="0070C0"/>
          <w:sz w:val="16"/>
          <w:szCs w:val="16"/>
          <w:shd w:val="clear" w:color="auto" w:fill="FFFFFF"/>
        </w:rPr>
      </w:pPr>
      <w:r w:rsidRPr="00507A31">
        <w:rPr>
          <w:color w:val="0070C0"/>
          <w:sz w:val="16"/>
          <w:szCs w:val="16"/>
          <w:shd w:val="clear" w:color="auto" w:fill="FFFFFF"/>
        </w:rPr>
        <w:t>Вторым прославившим его изобретением стало получение высокооктанового бензина. И именно исследования Ипатьева позволили наладить производство всевозможных полимеров и пластмасс, без которых современная жизнь кажется невозможной.</w:t>
      </w:r>
    </w:p>
    <w:p w14:paraId="32601CC3" w14:textId="2DA8F76A" w:rsidR="008D2A90" w:rsidRPr="00507A31" w:rsidRDefault="008D2A90" w:rsidP="00507A31">
      <w:pPr>
        <w:jc w:val="both"/>
        <w:rPr>
          <w:color w:val="0070C0"/>
          <w:sz w:val="16"/>
          <w:szCs w:val="16"/>
          <w:shd w:val="clear" w:color="auto" w:fill="FFFFFF"/>
        </w:rPr>
      </w:pPr>
      <w:r w:rsidRPr="00507A31">
        <w:rPr>
          <w:color w:val="0070C0"/>
          <w:sz w:val="16"/>
          <w:szCs w:val="16"/>
          <w:shd w:val="clear" w:color="auto" w:fill="FFFFFF"/>
        </w:rPr>
        <w:t>Все заработанные деньги Владимир Николаевич вкладывал в развитие лаборатории, приглашая на работу только знающих русский язык. В 1937 году Ипатьев был назван в США «Человеком года» (выбран из 1000 претендентов на это звание). В 1939 году его избрали членом Национальной Академии США, и в том же году в Париже состоялось торжественное вручение ему высшей награды Французского химического общества - Медали имени А. Лавуазье.</w:t>
      </w:r>
    </w:p>
    <w:p w14:paraId="2C3C3517" w14:textId="77777777" w:rsidR="008D2A90" w:rsidRPr="00507A31" w:rsidRDefault="008D2A90" w:rsidP="00507A31">
      <w:pPr>
        <w:jc w:val="both"/>
        <w:rPr>
          <w:color w:val="0070C0"/>
          <w:sz w:val="16"/>
          <w:szCs w:val="16"/>
          <w:shd w:val="clear" w:color="auto" w:fill="FFFFFF"/>
        </w:rPr>
      </w:pPr>
      <w:r w:rsidRPr="00507A31">
        <w:rPr>
          <w:color w:val="0070C0"/>
          <w:sz w:val="16"/>
          <w:szCs w:val="16"/>
          <w:shd w:val="clear" w:color="auto" w:fill="FFFFFF"/>
        </w:rPr>
        <w:t>Начиная с 1944 года, Ипатьев трижды предпринимал попытки вернуться в СССР, но неизменно получал отказ от посла СССР в США А.А. Громыко.</w:t>
      </w:r>
    </w:p>
    <w:p w14:paraId="1CCD7B70" w14:textId="77777777" w:rsidR="008D2A90" w:rsidRPr="00507A31" w:rsidRDefault="008D2A90" w:rsidP="00507A31">
      <w:pPr>
        <w:jc w:val="both"/>
        <w:rPr>
          <w:color w:val="0070C0"/>
          <w:sz w:val="16"/>
          <w:szCs w:val="16"/>
        </w:rPr>
      </w:pPr>
      <w:r w:rsidRPr="00507A31">
        <w:rPr>
          <w:color w:val="0070C0"/>
          <w:sz w:val="16"/>
          <w:szCs w:val="16"/>
          <w:shd w:val="clear" w:color="auto" w:fill="FFFFFF"/>
        </w:rPr>
        <w:t>Последняя попытка вернуться была предпринята Ипатьевым в 1951 году, но её реализации помешала тяжёлая болезнь и смерть (22290).</w:t>
      </w:r>
    </w:p>
    <w:p w14:paraId="1205477D" w14:textId="77777777" w:rsidR="008D2A90" w:rsidRPr="00507A31" w:rsidRDefault="008D2A90" w:rsidP="00507A31">
      <w:pPr>
        <w:jc w:val="both"/>
        <w:rPr>
          <w:color w:val="0070C0"/>
          <w:sz w:val="16"/>
          <w:szCs w:val="16"/>
        </w:rPr>
      </w:pPr>
    </w:p>
    <w:p w14:paraId="6921786E" w14:textId="77777777" w:rsidR="007C27B8" w:rsidRPr="00507A31" w:rsidRDefault="007C27B8"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441601A8" w14:textId="77777777" w:rsidR="007C27B8" w:rsidRPr="00507A31" w:rsidRDefault="007C27B8" w:rsidP="00507A31">
      <w:pPr>
        <w:autoSpaceDE w:val="0"/>
        <w:autoSpaceDN w:val="0"/>
        <w:adjustRightInd w:val="0"/>
        <w:jc w:val="both"/>
        <w:rPr>
          <w:iCs/>
          <w:color w:val="000000" w:themeColor="text1"/>
          <w:sz w:val="16"/>
          <w:szCs w:val="16"/>
        </w:rPr>
      </w:pPr>
    </w:p>
    <w:p w14:paraId="1B4A60E0" w14:textId="77777777" w:rsidR="007C27B8" w:rsidRPr="00507A31" w:rsidRDefault="007C27B8" w:rsidP="00507A31">
      <w:pPr>
        <w:jc w:val="both"/>
        <w:rPr>
          <w:color w:val="000000" w:themeColor="text1"/>
          <w:sz w:val="16"/>
          <w:szCs w:val="16"/>
        </w:rPr>
      </w:pPr>
      <w:r w:rsidRPr="00507A31">
        <w:rPr>
          <w:color w:val="000000" w:themeColor="text1"/>
          <w:sz w:val="16"/>
          <w:szCs w:val="16"/>
        </w:rPr>
        <w:t xml:space="preserve">«__» июня 1930 «РВС СССР Начальник Военных Воздушных cил РККА № 31/048с </w:t>
      </w:r>
    </w:p>
    <w:p w14:paraId="0F7338DC" w14:textId="77777777" w:rsidR="007C27B8" w:rsidRPr="00507A31" w:rsidRDefault="007C27B8" w:rsidP="00507A31">
      <w:pPr>
        <w:jc w:val="both"/>
        <w:rPr>
          <w:color w:val="000000" w:themeColor="text1"/>
          <w:sz w:val="16"/>
          <w:szCs w:val="16"/>
        </w:rPr>
      </w:pPr>
      <w:r w:rsidRPr="00507A31">
        <w:rPr>
          <w:color w:val="000000" w:themeColor="text1"/>
          <w:sz w:val="16"/>
          <w:szCs w:val="16"/>
        </w:rPr>
        <w:t>Председателю Революционного Военного Совета Союза ССР</w:t>
      </w:r>
    </w:p>
    <w:p w14:paraId="52590E56" w14:textId="77777777" w:rsidR="007C27B8" w:rsidRPr="00507A31" w:rsidRDefault="007C27B8" w:rsidP="00507A31">
      <w:pPr>
        <w:jc w:val="both"/>
        <w:rPr>
          <w:color w:val="000000" w:themeColor="text1"/>
          <w:sz w:val="16"/>
          <w:szCs w:val="16"/>
        </w:rPr>
      </w:pPr>
      <w:r w:rsidRPr="00507A31">
        <w:rPr>
          <w:color w:val="000000" w:themeColor="text1"/>
          <w:sz w:val="16"/>
          <w:szCs w:val="16"/>
        </w:rPr>
        <w:t xml:space="preserve">Доклад О состоянии ВВС СКВО и ККА </w:t>
      </w:r>
    </w:p>
    <w:p w14:paraId="3D87DED8" w14:textId="77777777" w:rsidR="007C27B8" w:rsidRPr="00507A31" w:rsidRDefault="007C27B8" w:rsidP="00507A31">
      <w:pPr>
        <w:jc w:val="both"/>
        <w:rPr>
          <w:color w:val="000000" w:themeColor="text1"/>
          <w:sz w:val="16"/>
          <w:szCs w:val="16"/>
        </w:rPr>
      </w:pPr>
      <w:r w:rsidRPr="00507A31">
        <w:rPr>
          <w:color w:val="000000" w:themeColor="text1"/>
          <w:sz w:val="16"/>
          <w:szCs w:val="16"/>
        </w:rPr>
        <w:t>Комиссией Пом. Нач. 1-го управления УВВС РККА т. Хрипина было произведено Инспектирование ВВС СКВО и ККА в период 7 – 21 Мая с/г. По данным инспектирования установлено нижеследующее (…) По службе с войсками с наибольшим успехом из всех частей работает 44-й Авиаотряд ККА. В 70-м отряде в Баку на вооружении состоят новые самолеты И-4, полученные в начале 1930 года; в эксплуатации с ними трудностей не встретилось. Отмечались случаи сна на посту (31 парк СКВО) из-за переутомления красноармейцев (несут караул через день без надлежащего отдыха). [Далее В.В. Хрипин упоминает 7 и 10-й склады ККА и СКВО соответственно. – С.Е.].</w:t>
      </w:r>
    </w:p>
    <w:p w14:paraId="207CEA00" w14:textId="77777777" w:rsidR="007C27B8" w:rsidRPr="00507A31" w:rsidRDefault="007C27B8" w:rsidP="00507A31">
      <w:pPr>
        <w:jc w:val="both"/>
        <w:rPr>
          <w:color w:val="000000" w:themeColor="text1"/>
          <w:sz w:val="16"/>
          <w:szCs w:val="16"/>
        </w:rPr>
      </w:pPr>
      <w:r w:rsidRPr="00507A31">
        <w:rPr>
          <w:color w:val="000000" w:themeColor="text1"/>
          <w:sz w:val="16"/>
          <w:szCs w:val="16"/>
        </w:rPr>
        <w:lastRenderedPageBreak/>
        <w:t>Общие выводы</w:t>
      </w:r>
    </w:p>
    <w:p w14:paraId="7329BA32" w14:textId="77777777" w:rsidR="007C27B8" w:rsidRPr="00507A31" w:rsidRDefault="007C27B8" w:rsidP="00507A31">
      <w:pPr>
        <w:jc w:val="both"/>
        <w:rPr>
          <w:color w:val="000000" w:themeColor="text1"/>
          <w:sz w:val="16"/>
          <w:szCs w:val="16"/>
        </w:rPr>
      </w:pPr>
      <w:r w:rsidRPr="00507A31">
        <w:rPr>
          <w:color w:val="000000" w:themeColor="text1"/>
          <w:sz w:val="16"/>
          <w:szCs w:val="16"/>
        </w:rPr>
        <w:t>1. Большинство а/частей занимаются техникой, а не боевым применением (…).</w:t>
      </w:r>
    </w:p>
    <w:p w14:paraId="22D8F2D9" w14:textId="77777777" w:rsidR="007C27B8" w:rsidRPr="00507A31" w:rsidRDefault="007C27B8" w:rsidP="00507A31">
      <w:pPr>
        <w:jc w:val="both"/>
        <w:rPr>
          <w:color w:val="000000" w:themeColor="text1"/>
          <w:sz w:val="16"/>
          <w:szCs w:val="16"/>
        </w:rPr>
      </w:pPr>
      <w:r w:rsidRPr="00507A31">
        <w:rPr>
          <w:color w:val="000000" w:themeColor="text1"/>
          <w:sz w:val="16"/>
          <w:szCs w:val="16"/>
        </w:rPr>
        <w:t xml:space="preserve">2. (…) </w:t>
      </w:r>
    </w:p>
    <w:p w14:paraId="77E92AD9" w14:textId="77777777" w:rsidR="007C27B8" w:rsidRPr="00507A31" w:rsidRDefault="007C27B8" w:rsidP="00507A31">
      <w:pPr>
        <w:jc w:val="both"/>
        <w:rPr>
          <w:color w:val="000000" w:themeColor="text1"/>
          <w:sz w:val="16"/>
          <w:szCs w:val="16"/>
        </w:rPr>
      </w:pPr>
      <w:r w:rsidRPr="00507A31">
        <w:rPr>
          <w:color w:val="000000" w:themeColor="text1"/>
          <w:sz w:val="16"/>
          <w:szCs w:val="16"/>
        </w:rPr>
        <w:t xml:space="preserve">3. (…) </w:t>
      </w:r>
    </w:p>
    <w:p w14:paraId="471DB3A1" w14:textId="77777777" w:rsidR="007C27B8" w:rsidRPr="00507A31" w:rsidRDefault="007C27B8" w:rsidP="00507A31">
      <w:pPr>
        <w:jc w:val="both"/>
        <w:rPr>
          <w:color w:val="000000" w:themeColor="text1"/>
          <w:sz w:val="16"/>
          <w:szCs w:val="16"/>
        </w:rPr>
      </w:pPr>
      <w:r w:rsidRPr="00507A31">
        <w:rPr>
          <w:color w:val="000000" w:themeColor="text1"/>
          <w:sz w:val="16"/>
          <w:szCs w:val="16"/>
        </w:rPr>
        <w:t xml:space="preserve">4. Для обслуживания войск в СКВО и особенно в ККА авиации не хватает. На текущее лето пришлось из СКВО перебросить один отряд в ККА. </w:t>
      </w:r>
    </w:p>
    <w:p w14:paraId="5980F76F" w14:textId="77777777" w:rsidR="007C27B8" w:rsidRPr="00507A31" w:rsidRDefault="007C27B8" w:rsidP="00507A31">
      <w:pPr>
        <w:jc w:val="both"/>
        <w:rPr>
          <w:color w:val="000000" w:themeColor="text1"/>
          <w:sz w:val="16"/>
          <w:szCs w:val="16"/>
        </w:rPr>
      </w:pPr>
      <w:r w:rsidRPr="00507A31">
        <w:rPr>
          <w:color w:val="000000" w:themeColor="text1"/>
          <w:sz w:val="16"/>
          <w:szCs w:val="16"/>
        </w:rPr>
        <w:t>5. Авиация ККА не обеспечивает в должной мере оборону Баку. Англичане имеют в Ираке 70 боевых самолетов, значительная часть которых может долетать из Массула до Баку и Батума.</w:t>
      </w:r>
    </w:p>
    <w:p w14:paraId="43A15642" w14:textId="77777777" w:rsidR="007C27B8" w:rsidRPr="00507A31" w:rsidRDefault="007C27B8" w:rsidP="00507A31">
      <w:pPr>
        <w:jc w:val="both"/>
        <w:rPr>
          <w:color w:val="000000" w:themeColor="text1"/>
          <w:sz w:val="16"/>
          <w:szCs w:val="16"/>
        </w:rPr>
      </w:pPr>
      <w:r w:rsidRPr="00507A31">
        <w:rPr>
          <w:color w:val="000000" w:themeColor="text1"/>
          <w:sz w:val="16"/>
          <w:szCs w:val="16"/>
        </w:rPr>
        <w:t>Начальник Военных Воздушных сил РККА /Баранов/</w:t>
      </w:r>
    </w:p>
    <w:p w14:paraId="1F770243" w14:textId="77777777" w:rsidR="007C27B8" w:rsidRPr="00507A31" w:rsidRDefault="007C27B8" w:rsidP="00507A31">
      <w:pPr>
        <w:jc w:val="both"/>
        <w:rPr>
          <w:color w:val="000000" w:themeColor="text1"/>
          <w:sz w:val="16"/>
          <w:szCs w:val="16"/>
        </w:rPr>
      </w:pPr>
      <w:r w:rsidRPr="00507A31">
        <w:rPr>
          <w:color w:val="000000" w:themeColor="text1"/>
          <w:sz w:val="16"/>
          <w:szCs w:val="16"/>
        </w:rPr>
        <w:t>Отп. в 3-х экз.» (РГВА. Ф. 4. Оп. 1. Д. 1481. Л. 25 - 26 об.) (19566).</w:t>
      </w:r>
    </w:p>
    <w:p w14:paraId="339E877A" w14:textId="77777777" w:rsidR="007C27B8" w:rsidRPr="00507A31" w:rsidRDefault="007C27B8" w:rsidP="00507A31">
      <w:pPr>
        <w:jc w:val="both"/>
        <w:rPr>
          <w:color w:val="000000" w:themeColor="text1"/>
          <w:sz w:val="16"/>
          <w:szCs w:val="16"/>
        </w:rPr>
      </w:pPr>
    </w:p>
    <w:p w14:paraId="63C02391" w14:textId="77777777" w:rsidR="007C27B8" w:rsidRPr="00507A31" w:rsidRDefault="007C27B8"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В июне 1930 г. ВВС РККА располагали 58 новыми истребителями. Кроме 70-го отряда, И-4 поступили в 46-й отряд в Петергофе. Он относился к авиации Балтийского моря. Воздушные силы морей в то время входили в состав ВВС на правах округов, отдельный отряд по штату состоял из десяти самолетов. Но на 1 июня в 46-м отряде числился всего один И-4, еще один, неисправный, находился в ремонтных мастерских. За июнь туда по железной дороге доставили восемь машин. На 1 августа в Петергофе базировались уже девять новых истребителей, но пять из них в сводке значились как неисправные. В ходе недолгой эксплуатации И-4 в 46-м отряде произошли две аварии: 18 мая - у летчика А.В. Алексеева и 7 июля - у М. Артамонова (19100).</w:t>
      </w:r>
    </w:p>
    <w:p w14:paraId="5D21601E" w14:textId="77777777" w:rsidR="007C27B8" w:rsidRPr="00507A31" w:rsidRDefault="007C27B8" w:rsidP="00507A31">
      <w:pPr>
        <w:pStyle w:val="a8"/>
        <w:jc w:val="both"/>
        <w:rPr>
          <w:rFonts w:ascii="Times New Roman" w:hAnsi="Times New Roman" w:cs="Times New Roman"/>
          <w:color w:val="000000" w:themeColor="text1"/>
        </w:rPr>
      </w:pPr>
    </w:p>
    <w:p w14:paraId="6471550F" w14:textId="77777777" w:rsidR="007C27B8" w:rsidRPr="00507A31" w:rsidRDefault="007C27B8" w:rsidP="00507A31">
      <w:pPr>
        <w:jc w:val="both"/>
        <w:rPr>
          <w:color w:val="000000" w:themeColor="text1"/>
          <w:sz w:val="16"/>
          <w:szCs w:val="16"/>
        </w:rPr>
      </w:pPr>
      <w:r w:rsidRPr="00507A31">
        <w:rPr>
          <w:color w:val="000000" w:themeColor="text1"/>
          <w:sz w:val="16"/>
          <w:szCs w:val="16"/>
        </w:rPr>
        <w:t>В июне 1930 г. Начальник ВВС РККА Баранов направил Председателю РВС СССР доклад «О состоянии ВВС СКВО и ККА», в котором доложил о результатах инспектирования с 7 по 21 мая 1930 г. ВВС СКВО и ВВС ККА. В нем говорилось, что большинство авиачастей «занимаются техникой, а не боевым применением. (…)Для обслуживания войск в СКВО, и особенно в ККА, авиации не хватает. На текущее лето пришлось из СКВО перебросить один отряд в ККА». Авиация ККА не обеспечивает в должной мере оборону Баку (англичане имеют в Ираке 70 боевых самолетов, значительная часть которых может долетать из Массула до Баку и Батума) (приложение «С»). Для правильной организации боевой подготовки ВВС РККА и их организационного строительства необходимо было учитывать степень подготовленности к боевым действиям военной авиации вероятных противников и происходившие в ней организационные изменения (19566).</w:t>
      </w:r>
    </w:p>
    <w:p w14:paraId="6AD90B72" w14:textId="77777777" w:rsidR="007C27B8" w:rsidRPr="00507A31" w:rsidRDefault="007C27B8" w:rsidP="00507A31">
      <w:pPr>
        <w:jc w:val="both"/>
        <w:rPr>
          <w:color w:val="000000" w:themeColor="text1"/>
          <w:sz w:val="16"/>
          <w:szCs w:val="16"/>
        </w:rPr>
      </w:pPr>
    </w:p>
    <w:p w14:paraId="2398FCF1" w14:textId="77777777" w:rsidR="007C27B8" w:rsidRPr="00507A31" w:rsidRDefault="007C27B8"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В июне 1930 г. на Черном море новые истребители И-4 получила 29-я эскадрилья в Евпатории, ранее летавшая на самолетах Фоккер D.XI. Комэск Юнгмейстер исписал немало бумаги, жалуясь во все инстанции на ржавые пулеметы. Более того, на одном самолете пулемет выставили неправильно: в августе при попытке открыть огонь в воздухе он начал стрелять в капот мотора. Полетевшие в разные стороны обломки металла пробили маслобак и верхнее крыло.</w:t>
      </w:r>
    </w:p>
    <w:p w14:paraId="3F2C6C03" w14:textId="77777777" w:rsidR="007C27B8" w:rsidRPr="00507A31" w:rsidRDefault="007C27B8"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Сосредоточение основной массы И-4 близ побережья морей объясняли тем, что металлические самолеты меньше страдают от повышенной влажности, чем деревянные (19100).</w:t>
      </w:r>
    </w:p>
    <w:p w14:paraId="26388D5A" w14:textId="77777777" w:rsidR="007C27B8" w:rsidRPr="00507A31" w:rsidRDefault="007C27B8" w:rsidP="00507A31">
      <w:pPr>
        <w:pStyle w:val="a8"/>
        <w:jc w:val="both"/>
        <w:rPr>
          <w:rFonts w:ascii="Times New Roman" w:hAnsi="Times New Roman" w:cs="Times New Roman"/>
          <w:color w:val="000000" w:themeColor="text1"/>
        </w:rPr>
      </w:pPr>
    </w:p>
    <w:p w14:paraId="4482049B" w14:textId="77777777" w:rsidR="008F2905" w:rsidRPr="00507A31" w:rsidRDefault="008F2905" w:rsidP="00507A31">
      <w:pPr>
        <w:jc w:val="both"/>
        <w:rPr>
          <w:color w:val="0070C0"/>
          <w:sz w:val="16"/>
          <w:szCs w:val="16"/>
          <w:shd w:val="clear" w:color="auto" w:fill="FFFFFF"/>
        </w:rPr>
      </w:pPr>
      <w:r w:rsidRPr="00507A31">
        <w:rPr>
          <w:color w:val="0070C0"/>
          <w:sz w:val="16"/>
          <w:szCs w:val="16"/>
          <w:shd w:val="clear" w:color="auto" w:fill="FFFFFF"/>
        </w:rPr>
        <w:t xml:space="preserve">В июне 1930 т. РВС СССР утвердил уточненный план строительства РККА. В качестве первоочередной и главной задачи в нем предусматривалось полностью перевооружить армию и флот новейшими образцами военной техники; исходя из требований современной войны, создать и совершенствовать новые рода войск (авиацию, бронетанковые войска), специальные войска (химические, инженерные и другие), повысив их удельный вес в системе Вооруженных Сил страны; модернизировать старую технику; моторизовать и организационно перестроить пехоту, артиллерию, кавалерию; осуществить массовую подготовку технических кадров и всему личному составу армии овладеть новой техникой (9089). </w:t>
      </w:r>
    </w:p>
    <w:p w14:paraId="4AF77F4E" w14:textId="77777777" w:rsidR="008F2905" w:rsidRPr="00507A31" w:rsidRDefault="008F2905" w:rsidP="00507A31">
      <w:pPr>
        <w:jc w:val="both"/>
        <w:rPr>
          <w:color w:val="0070C0"/>
          <w:sz w:val="16"/>
          <w:szCs w:val="16"/>
          <w:shd w:val="clear" w:color="auto" w:fill="FFFFFF"/>
        </w:rPr>
      </w:pPr>
    </w:p>
    <w:p w14:paraId="62937C8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F1C2D4A" w14:textId="77777777" w:rsidR="00537E5F" w:rsidRPr="00507A31" w:rsidRDefault="00537E5F" w:rsidP="00507A31">
      <w:pPr>
        <w:autoSpaceDE w:val="0"/>
        <w:autoSpaceDN w:val="0"/>
        <w:adjustRightInd w:val="0"/>
        <w:jc w:val="both"/>
        <w:rPr>
          <w:iCs/>
          <w:color w:val="000000" w:themeColor="text1"/>
          <w:sz w:val="16"/>
          <w:szCs w:val="16"/>
        </w:rPr>
      </w:pPr>
    </w:p>
    <w:p w14:paraId="26767E36" w14:textId="77777777" w:rsidR="008F2905" w:rsidRPr="00507A31" w:rsidRDefault="008F2905" w:rsidP="00507A31">
      <w:pPr>
        <w:jc w:val="both"/>
        <w:rPr>
          <w:color w:val="0070C0"/>
          <w:sz w:val="16"/>
          <w:szCs w:val="16"/>
        </w:rPr>
      </w:pPr>
      <w:r w:rsidRPr="00507A31">
        <w:rPr>
          <w:color w:val="0070C0"/>
          <w:sz w:val="16"/>
          <w:szCs w:val="16"/>
          <w:shd w:val="clear" w:color="auto" w:fill="FFFFFF"/>
        </w:rPr>
        <w:t>В июне 1930 года началась, а 19 декабря завершилась серьезнейшая реорганизация правительства. Теперь возглавил его В.М. Молотов. В отставку отправили одного из трех заместителей председателя СНК СССР и четырех из девяти наркомов. Перемены эти были порождены грубейшими просчетами при разработке пятилетнего плана и ошибками при его осуществлении. Все вместе и привело не только к переформированию правительства, но и к радикальной смене курса страны (20467).</w:t>
      </w:r>
    </w:p>
    <w:p w14:paraId="2AD4A181" w14:textId="77777777" w:rsidR="008F2905" w:rsidRPr="00507A31" w:rsidRDefault="008F2905" w:rsidP="00507A31">
      <w:pPr>
        <w:jc w:val="both"/>
        <w:rPr>
          <w:color w:val="0070C0"/>
          <w:sz w:val="16"/>
          <w:szCs w:val="16"/>
        </w:rPr>
      </w:pPr>
    </w:p>
    <w:p w14:paraId="070254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года был составлен генеральный план челябинского тракторного завода. Месторасположение главной оси и координаты зданий первых цехов были отправлены из Детройта в Челябинск телеграммой, написанной по-русски латинскими буквами (11252).</w:t>
      </w:r>
    </w:p>
    <w:p w14:paraId="7F657DC5" w14:textId="77777777" w:rsidR="00537E5F" w:rsidRPr="00507A31" w:rsidRDefault="00537E5F" w:rsidP="00507A31">
      <w:pPr>
        <w:autoSpaceDE w:val="0"/>
        <w:autoSpaceDN w:val="0"/>
        <w:adjustRightInd w:val="0"/>
        <w:jc w:val="both"/>
        <w:rPr>
          <w:color w:val="000000" w:themeColor="text1"/>
          <w:sz w:val="16"/>
          <w:szCs w:val="16"/>
        </w:rPr>
      </w:pPr>
    </w:p>
    <w:p w14:paraId="7396ECD1" w14:textId="77777777" w:rsidR="00B947C7" w:rsidRPr="00507A31" w:rsidRDefault="00B947C7" w:rsidP="00507A31">
      <w:pPr>
        <w:widowControl w:val="0"/>
        <w:jc w:val="both"/>
        <w:rPr>
          <w:color w:val="000000" w:themeColor="text1"/>
          <w:sz w:val="16"/>
          <w:szCs w:val="16"/>
        </w:rPr>
      </w:pPr>
      <w:r w:rsidRPr="00507A31">
        <w:rPr>
          <w:color w:val="000000" w:themeColor="text1"/>
          <w:sz w:val="16"/>
          <w:szCs w:val="16"/>
        </w:rPr>
        <w:t xml:space="preserve">В июне </w:t>
      </w:r>
      <w:smartTag w:uri="urn:schemas-microsoft-com:office:smarttags" w:element="metricconverter">
        <w:smartTagPr>
          <w:attr w:name="ProductID" w:val="1945 г"/>
        </w:smartTagPr>
        <w:r w:rsidRPr="00507A31">
          <w:rPr>
            <w:color w:val="000000" w:themeColor="text1"/>
            <w:sz w:val="16"/>
            <w:szCs w:val="16"/>
          </w:rPr>
          <w:t>1930 г</w:t>
        </w:r>
      </w:smartTag>
      <w:r w:rsidRPr="00507A31">
        <w:rPr>
          <w:color w:val="000000" w:themeColor="text1"/>
          <w:sz w:val="16"/>
          <w:szCs w:val="16"/>
        </w:rPr>
        <w:t>. побывавший в Нижнем Новгороде, председатель ВСНХ В.В. Куйбышев отмечал, что, по его мнению, ни один город страны не может сравниться сейчас с Нижним Новгородом по количеству строящихся объектов и по размаху строительства (15218).</w:t>
      </w:r>
    </w:p>
    <w:p w14:paraId="000810AE" w14:textId="77777777" w:rsidR="00B947C7" w:rsidRPr="00507A31" w:rsidRDefault="00B947C7" w:rsidP="00507A31">
      <w:pPr>
        <w:widowControl w:val="0"/>
        <w:jc w:val="both"/>
        <w:rPr>
          <w:color w:val="000000" w:themeColor="text1"/>
          <w:sz w:val="16"/>
          <w:szCs w:val="16"/>
        </w:rPr>
      </w:pPr>
    </w:p>
    <w:p w14:paraId="50749556" w14:textId="77777777" w:rsidR="001124DC" w:rsidRPr="00507A31" w:rsidRDefault="001124DC"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391F1F1" w14:textId="77777777" w:rsidR="001124DC" w:rsidRPr="00507A31" w:rsidRDefault="001124DC" w:rsidP="00507A31">
      <w:pPr>
        <w:shd w:val="clear" w:color="auto" w:fill="FFFFFF"/>
        <w:jc w:val="both"/>
        <w:rPr>
          <w:color w:val="000000" w:themeColor="text1"/>
          <w:sz w:val="16"/>
          <w:szCs w:val="16"/>
        </w:rPr>
      </w:pPr>
    </w:p>
    <w:p w14:paraId="30FB68AB" w14:textId="77777777" w:rsidR="001124DC" w:rsidRPr="00507A31" w:rsidRDefault="001124DC" w:rsidP="00507A31">
      <w:pPr>
        <w:shd w:val="clear" w:color="auto" w:fill="FFFFFF"/>
        <w:jc w:val="both"/>
        <w:rPr>
          <w:color w:val="000000" w:themeColor="text1"/>
          <w:sz w:val="16"/>
          <w:szCs w:val="16"/>
        </w:rPr>
      </w:pPr>
      <w:r w:rsidRPr="00507A31">
        <w:rPr>
          <w:color w:val="000000" w:themeColor="text1"/>
          <w:sz w:val="16"/>
          <w:szCs w:val="16"/>
        </w:rPr>
        <w:t>В июне 1930 на ТОМКЕ начались испытания двух Rheinmetall Leichttraktor, которые совмещались с обучением личного состава. В общей сложности танк №39 прошёл 1865 километров, а танк №40 – 1735. Машины возвратились в Германию летом 1932 года. По ходу испытаний выяснилось, что резинометаллические гусеницы, разработанные Книпкампом, имеют массу недостатков. Один из этих недостатков заключался в том, что менять такую гусеничную ленту было очень сложно. Расположение ведущих колёс сзади тоже было признано не самым удачным решением, поскольку оно часто становилось причиной сброса гусениц. Были претензии и к конструкции подвески.</w:t>
      </w:r>
    </w:p>
    <w:p w14:paraId="37EB31DA" w14:textId="77777777" w:rsidR="001124DC" w:rsidRPr="00507A31" w:rsidRDefault="001124DC" w:rsidP="00507A31">
      <w:pPr>
        <w:shd w:val="clear" w:color="auto" w:fill="FFFFFF"/>
        <w:jc w:val="both"/>
        <w:rPr>
          <w:color w:val="000000" w:themeColor="text1"/>
          <w:sz w:val="16"/>
          <w:szCs w:val="16"/>
        </w:rPr>
      </w:pPr>
      <w:r w:rsidRPr="00507A31">
        <w:rPr>
          <w:color w:val="000000" w:themeColor="text1"/>
          <w:sz w:val="16"/>
          <w:szCs w:val="16"/>
        </w:rPr>
        <w:t>Имелись у танка проблемы и другого характера. Дело в том, что командир совмещал свои прямые функции с обязанностями заряжающего, причём как пушки, так и пулемёта. В виду наличия системы охлаждения пулемёт занимал много места, да и короб его ленты был немаленький. В результате в распоряжении у командира оставалось совсем немного места. Общий вывод оказался простым и бесхитростным: командир должен не совмещать должности, а заниматься своим делом. Вот только увеличить экипаж танка до 5 человек и добавить в конструкцию Rheinmetall Leichttraktor командирскую башенку с имевшейся башней было нереально (17654).</w:t>
      </w:r>
    </w:p>
    <w:p w14:paraId="54E447D8" w14:textId="77777777" w:rsidR="001124DC" w:rsidRPr="00507A31" w:rsidRDefault="001124DC" w:rsidP="00507A31">
      <w:pPr>
        <w:jc w:val="both"/>
        <w:rPr>
          <w:color w:val="000000" w:themeColor="text1"/>
          <w:sz w:val="16"/>
          <w:szCs w:val="16"/>
        </w:rPr>
      </w:pPr>
    </w:p>
    <w:p w14:paraId="54A5068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9F859CF" w14:textId="77777777" w:rsidR="00537E5F" w:rsidRPr="00507A31" w:rsidRDefault="00537E5F" w:rsidP="00507A31">
      <w:pPr>
        <w:autoSpaceDE w:val="0"/>
        <w:autoSpaceDN w:val="0"/>
        <w:adjustRightInd w:val="0"/>
        <w:jc w:val="both"/>
        <w:rPr>
          <w:iCs/>
          <w:color w:val="000000" w:themeColor="text1"/>
          <w:sz w:val="16"/>
          <w:szCs w:val="16"/>
        </w:rPr>
      </w:pPr>
    </w:p>
    <w:p w14:paraId="279A42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июне 1930 г. «План Юнга» вступил в силу,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63EA7CDC" w14:textId="77777777" w:rsidR="00537E5F" w:rsidRPr="00507A31" w:rsidRDefault="00537E5F" w:rsidP="00507A31">
      <w:pPr>
        <w:autoSpaceDE w:val="0"/>
        <w:autoSpaceDN w:val="0"/>
        <w:adjustRightInd w:val="0"/>
        <w:jc w:val="both"/>
        <w:rPr>
          <w:color w:val="000000" w:themeColor="text1"/>
          <w:sz w:val="16"/>
          <w:szCs w:val="16"/>
        </w:rPr>
      </w:pPr>
    </w:p>
    <w:p w14:paraId="35C4F810" w14:textId="77777777" w:rsidR="00A350A3" w:rsidRPr="00507A31" w:rsidRDefault="00A350A3" w:rsidP="00507A31">
      <w:pPr>
        <w:jc w:val="both"/>
        <w:rPr>
          <w:color w:val="000000" w:themeColor="text1"/>
          <w:sz w:val="16"/>
          <w:szCs w:val="16"/>
        </w:rPr>
      </w:pPr>
      <w:r w:rsidRPr="00507A31">
        <w:rPr>
          <w:color w:val="000000" w:themeColor="text1"/>
          <w:sz w:val="16"/>
          <w:szCs w:val="16"/>
        </w:rPr>
        <w:t>В июне 1930 г. «План Юнга» вступил в силу,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Вслед за этим в 1932–1933 гг. все страны — европейские должники США отказались оплачивать Соединенным Штатам военные долги.</w:t>
      </w:r>
    </w:p>
    <w:p w14:paraId="606D461E" w14:textId="77777777" w:rsidR="00A350A3" w:rsidRPr="00507A31" w:rsidRDefault="00A350A3" w:rsidP="00507A31">
      <w:pPr>
        <w:jc w:val="both"/>
        <w:rPr>
          <w:color w:val="000000" w:themeColor="text1"/>
          <w:sz w:val="16"/>
          <w:szCs w:val="16"/>
        </w:rPr>
      </w:pPr>
      <w:r w:rsidRPr="00507A31">
        <w:rPr>
          <w:color w:val="000000" w:themeColor="text1"/>
          <w:sz w:val="16"/>
          <w:szCs w:val="16"/>
        </w:rPr>
        <w:t>В 1929 г. мир оказался в тисках экономического кризиса, охватившего и Германию. Германия, обремененная репарациями, настояла на проведении в Париже международного совещания по пересмотру «плана Дауэса». Оно открылось 6 июня 1932 г. Председательствовал на нем американский финансист О. Юнг. Принятый в июне 1929 г. «план Юнга» предусматривал выплату Германией репараций в размере 113,9 млрд. марок на протяжении 59 лет, причем в течение 37 лет по 2 млрд. марок. По Сравнению с «планом Дауэса» размер ежегодных взносов был снижен на 20 %. Одновременно был решен вопрос о выводе союзных войск из Рейнской зоны, и 30 июня 1930 г. последние французские войска покинули Майнц (18265).</w:t>
      </w:r>
    </w:p>
    <w:p w14:paraId="5B27D19A" w14:textId="77777777" w:rsidR="00A350A3" w:rsidRPr="00507A31" w:rsidRDefault="00A350A3" w:rsidP="00507A31">
      <w:pPr>
        <w:jc w:val="both"/>
        <w:rPr>
          <w:color w:val="000000" w:themeColor="text1"/>
          <w:sz w:val="16"/>
          <w:szCs w:val="16"/>
        </w:rPr>
      </w:pPr>
    </w:p>
    <w:p w14:paraId="081A2613" w14:textId="77777777" w:rsidR="008D2A90" w:rsidRPr="00507A31" w:rsidRDefault="008D2A90"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E33634B" w14:textId="77777777" w:rsidR="008D2A90" w:rsidRPr="00507A31" w:rsidRDefault="008D2A90" w:rsidP="00507A31">
      <w:pPr>
        <w:autoSpaceDE w:val="0"/>
        <w:autoSpaceDN w:val="0"/>
        <w:adjustRightInd w:val="0"/>
        <w:jc w:val="both"/>
        <w:rPr>
          <w:iCs/>
          <w:color w:val="000000" w:themeColor="text1"/>
          <w:sz w:val="16"/>
          <w:szCs w:val="16"/>
        </w:rPr>
      </w:pPr>
    </w:p>
    <w:p w14:paraId="6F057ACD" w14:textId="77777777" w:rsidR="008D2A90" w:rsidRPr="00507A31" w:rsidRDefault="008D2A90" w:rsidP="00507A31">
      <w:pPr>
        <w:jc w:val="both"/>
        <w:rPr>
          <w:color w:val="0070C0"/>
          <w:sz w:val="16"/>
          <w:szCs w:val="16"/>
        </w:rPr>
      </w:pPr>
      <w:r w:rsidRPr="00507A31">
        <w:rPr>
          <w:color w:val="0070C0"/>
          <w:sz w:val="16"/>
          <w:szCs w:val="16"/>
        </w:rPr>
        <w:t>В июне – августе 1930 г. в Италии работала комиссия под руководством помощника начальника ВВС С.А. Меженинова, которая посетила «важнейшие авиационные промышленные предприятия и некоторое количество войсковых частей» (РГАСПИ. Ф. 558. Оп. 11. Д. 430. О реализации технической помощи Италии по военным вопросам. Л. 41. 30.11.1930.). Особое внимание комиссия уделила изучению самолета S.62. В докладе в ЦК ВКП(б) И.В. Сталину нарком обороны К.Е. Ворошилов рекомендовал даже «поднять вопрос перед итальянским правительством о допуске командиров РККА для совершенствования при частях итальянской армии (летчики, моряки, зенитчики, химики, радисты), а также о допуске на заводы (за плату) для изучения наших конструкторов» (21410).</w:t>
      </w:r>
    </w:p>
    <w:p w14:paraId="40450AC0" w14:textId="77777777" w:rsidR="008D2A90" w:rsidRPr="00507A31" w:rsidRDefault="008D2A90" w:rsidP="00507A31">
      <w:pPr>
        <w:jc w:val="both"/>
        <w:rPr>
          <w:color w:val="0070C0"/>
          <w:sz w:val="16"/>
          <w:szCs w:val="16"/>
        </w:rPr>
      </w:pPr>
    </w:p>
    <w:p w14:paraId="21A0DF9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3AE1A6A" w14:textId="77777777" w:rsidR="00537E5F" w:rsidRPr="00507A31" w:rsidRDefault="00537E5F" w:rsidP="00507A31">
      <w:pPr>
        <w:autoSpaceDE w:val="0"/>
        <w:autoSpaceDN w:val="0"/>
        <w:adjustRightInd w:val="0"/>
        <w:jc w:val="both"/>
        <w:rPr>
          <w:iCs/>
          <w:color w:val="000000" w:themeColor="text1"/>
          <w:sz w:val="16"/>
          <w:szCs w:val="16"/>
        </w:rPr>
      </w:pPr>
    </w:p>
    <w:p w14:paraId="393832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начала лета 1930-го началось сокращение количества ударных бригад и самих ударников и на отдельных предприятиях, и по стране в целом. Так, в Ленинграде количество ударников упало со 122 тысяч в марте до 100 тысяч в августе. И несмотря на то, что по официальным данным в 1932-м в числе «соревнующихся и ударников» (ловкая формулировка, а?) состояло около 75% рабочих, движение выхолостилось и изникло, не дав серьёзной экономической отдачи. Для основной массы не давали отдачи и скудные «привилегии», положенные ударникам: какими-либо льготами пользовались лишь 12% списочного состава их.</w:t>
      </w:r>
    </w:p>
    <w:p w14:paraId="3BFD96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советское руководство так удачно нащупанную жилу энтузиазма рабочих оставлять в покое не собиралось. Вскоре родилась новая инициатива — «хозрасчётные бригады». Правда, хозрасчёт тогда понимался своеобразно: предприятиям была поставлена цель снижения себестоимости продукции по сравнению с плановой, так что работа названных бригад заключалась, в основном, в выполнении планового задания при экономии материальных ресурсов, за что участники бригад премировались в зависимости от размеров экономии.</w:t>
      </w:r>
    </w:p>
    <w:p w14:paraId="0A83A3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Вроде бы движение стартовало неплохо: к концу 1931 по всему СС насчитывалось 155 тысяч хозрасчётных бригад, объединявших 1,5 миллиона рабочих. Однако нащупанная партгосхозаппаратом манера оказалась применена и здесь: часто бригады внедрялись приказным методом, без учёта специфики и реальных условий. Это бы полбеды — в конце концов, левые элементы отсеются, останутся передовые рабочие, которые будут работать… эээ… передово. Подтверждением тому действительно образцовые дисциплина и работа (на советском новоязе: «социалистическое отношение к труду»). Основная проблема состояла в другом: хозрасчёт оказывался действенным, лишь будучи распространён на все цепочки технологического цикла при чёткой организации его. Вот как объяснял схему старший сталевар с подмосковного завода «Электросталь» т-щ Михенчев: «Например, если бригада литейщиков работает на хозрасчёте, то и бригада канавщиков должна быть на хозрасчёте, а то у нас были случаи, что мы экономим время, выпускаем плавку раньше срока, а в результате её приходится задерживать на 2 часа, т.к. канава не готова, и вынужденный простой не списывается за счёт виновных задержки, а отсюда экономия идёт насмарку и нет заинтересованности в работе». Число же предприятий, полностью перешедших на хозрасчёт, было мизерным (55 на 01.01.1932, 64 на 01.01.1933, 74 на 01.01.1934, 50 на 01.01.1935). Неудивительно, что эффективность бригад оказалась скромной. Не смогли они выправить положение с планами первой пятилетки, не сыграли особой роли и в первые годы второй. В 1935 в статье, опубликованной в журнале «Предприятие», уже констатировалось, что хозрасчётный цех от нехозрасчётного «надо прямо сказать… ничем не отличается».</w:t>
      </w:r>
    </w:p>
    <w:p w14:paraId="7720D7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Историк В.А. Освянников выделяет несколько причин неудачи хозрасчётного движения: «Наиболее распространённая причина распада хозрасчётных бригад заключалась в неправильно (уклончиво-расплывчатом со стороны администрации) составленных договорах администрации с бригадами. На других предприятиях заключённый хоздоговор страдал излишней регламентацией. Нередко при организации хозрасчётных бригад была ничем не оправданная поспешность, приводившая к формальному решению вопроса, из-за желания отрапортовать перед вышестоящими органами, в конечном счёте дискредитирующая идею хозяйственного расчёта. Невыполнение взятых на себя обязательств в договоре также служило основанием для распада хозрасчётных бригад». Премирование участников бригад не получило нормального воплощения и в большинстве отраслей оказывалось во многом символическим (тем более что продукты всё равно распределялись по карточкам) (11562).</w:t>
      </w:r>
    </w:p>
    <w:p w14:paraId="41E8BFC3" w14:textId="77777777" w:rsidR="00537E5F" w:rsidRPr="00507A31" w:rsidRDefault="00537E5F" w:rsidP="00507A31">
      <w:pPr>
        <w:autoSpaceDE w:val="0"/>
        <w:autoSpaceDN w:val="0"/>
        <w:adjustRightInd w:val="0"/>
        <w:jc w:val="both"/>
        <w:rPr>
          <w:color w:val="000000" w:themeColor="text1"/>
          <w:sz w:val="16"/>
          <w:szCs w:val="16"/>
        </w:rPr>
      </w:pPr>
    </w:p>
    <w:p w14:paraId="1911620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AEB47C4" w14:textId="77777777" w:rsidR="00537E5F" w:rsidRPr="00507A31" w:rsidRDefault="00537E5F" w:rsidP="00507A31">
      <w:pPr>
        <w:autoSpaceDE w:val="0"/>
        <w:autoSpaceDN w:val="0"/>
        <w:adjustRightInd w:val="0"/>
        <w:jc w:val="both"/>
        <w:rPr>
          <w:iCs/>
          <w:color w:val="000000" w:themeColor="text1"/>
          <w:sz w:val="16"/>
          <w:szCs w:val="16"/>
        </w:rPr>
      </w:pPr>
    </w:p>
    <w:p w14:paraId="3F2D09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 головная серия поступила на войсковые испытания - четыре Р-5 пришли в Харьковскую авиабригаду, несколько машин в 20-ю авиабригаду в Белоруссии. Новые разведчики испытали в полевых условиях на летних маневрах округов. Учебные бои с одним из основных истребителей И-3 показали, что последний, по сравнению с Р-5, особых преимуществ не имеет. Проводились и другие испытания, в частности, опыты с «кошкой» - так назывался специальный опускаемый крючок, которым захватывали донесение с земли.</w:t>
      </w:r>
    </w:p>
    <w:p w14:paraId="3DC462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были выпущены первые тридцать серийных экземпляров Р-5. Поскольку освоение производства двигателей BMW-VI шло с определенными трудностями, эти машины оснащались «родными» немецкими двигателями. Вооружение самолетов состояло из курсового пулемета ПВ-1 с системой синхронизации ПУЛ-9 и спарки пулеметов ДА на турели ТУР-6 (часть разведчиков оборудовалась спарками «Льюис»). На подкрыльевых держателях Р-5 мог поднимать двенадцать двухпудовых (32 кг ) бомб системы Орановского.</w:t>
      </w:r>
    </w:p>
    <w:p w14:paraId="3211F9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том же 1930 г. в числе первых тридцати машин были построены пять самолетов, предназначенных для дальних перелетов. Эти Р-5 не имели специального военного оборудования, взамен устанавливались дополнительные топливные баки, при этом общий объем топлива составлял 1270 литров. В конце года дальние Р-5 предполагалось использовать в качестве воздушных танкеров для дозаправки в воздухе бомбовозов ТБ-1. При переливании из заправщика 1000 литров бензина время нахождения ТБ-1 в воздухе увеличивалось на 4 часа (5016).</w:t>
      </w:r>
    </w:p>
    <w:p w14:paraId="768D359A" w14:textId="77777777" w:rsidR="00537E5F" w:rsidRPr="00507A31" w:rsidRDefault="00537E5F" w:rsidP="00507A31">
      <w:pPr>
        <w:autoSpaceDE w:val="0"/>
        <w:autoSpaceDN w:val="0"/>
        <w:adjustRightInd w:val="0"/>
        <w:jc w:val="both"/>
        <w:rPr>
          <w:color w:val="000000" w:themeColor="text1"/>
          <w:sz w:val="16"/>
          <w:szCs w:val="16"/>
        </w:rPr>
      </w:pPr>
    </w:p>
    <w:p w14:paraId="224E3D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лета 1930 г. в сборочном цехе вместе с немецкими моторами BMW VI появились М-17. Наш двигатель оказался на 31 кг тяжелее немецкого, и летные данные ухудшились, особенно скороподъемность и потолок. Здесь сказалось также использование шасси с более тяжелыми отечественными колесами и осями. В целом масса пустого самолета возросла более чем на 50 кг. Изменилась и центровка, став более передней. Сдача самолетов заводом № 1 тормозилась нехваткой двигателей. В мае 1931 г. на предприятии скопилось 57 Р-5 без моторов. Самолет проходил облет, затем мотор с него снимали и переставляли на следующий. Двигатели были столь дефицитны, что их гнали из Рыбинска в Москву сразу после приемки, цепляя товарные вагоны к пассажирским поездам (11936).</w:t>
      </w:r>
    </w:p>
    <w:p w14:paraId="2EA48CE7" w14:textId="77777777" w:rsidR="00537E5F" w:rsidRPr="00507A31" w:rsidRDefault="00537E5F" w:rsidP="00507A31">
      <w:pPr>
        <w:autoSpaceDE w:val="0"/>
        <w:autoSpaceDN w:val="0"/>
        <w:adjustRightInd w:val="0"/>
        <w:jc w:val="both"/>
        <w:rPr>
          <w:color w:val="000000" w:themeColor="text1"/>
          <w:sz w:val="16"/>
          <w:szCs w:val="16"/>
        </w:rPr>
      </w:pPr>
    </w:p>
    <w:p w14:paraId="79BE47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лета 1930 г. в сборочном цехе завода № 1 вместе с немецкими моторами BMW VI появились их отечественные копии, M-I7. Правда, и их сначала собирали с использованием импортных деталей. Даже при этом наш двигатель оказался на 31 кг тяжелее исходного немецкого и летные данные самолета несколько ухудшились, особенно скороподъемность и потолок. Здесь сказалось и утяжеление отечественных колес и осей по сравнению с ранее применявшимися импортными. В целом вес пустого самолета возрос более чем на 50 кг. При этом также изменилась центровка, став более передней. Капотажный угол, однако, остался в пределах допустимого. В борьбе с перетяжелени- ем серийных машин и низкой технологической культурой УВВС в декабре 1931 г. было вынуждено ввести предварительную военную приемку отдельных узлов с обязательным взвешиванием.</w:t>
      </w:r>
    </w:p>
    <w:p w14:paraId="13D13F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Сдача самолетов заводом № 1 тормозилась нехваткой двигателей. "Недостаточная подача моторов" была объявлена основной причиной, сдерживавшей самолетостроителей. В мае 1931 г. на предприятии скопилось 57 Р-5 без моторов. УВВС (в обязанность которого входила поставка двигателей) было вынуждено разрешить приемку некомплектных (а стало быть, небоеспособных) машин. Самолет проходил облет, затем мотор с пего снимали и переставляли на следующий. М-17 были столь дефицитны, что их гнали из Рыбинска в Москву сразу после приемки, цепляя товарные вагоны к пассажирским поездам. При этом разрешили отправлять их даже поштучно, не обращая внимания на загрузку вагона.</w:t>
      </w:r>
    </w:p>
    <w:p w14:paraId="5D8FF1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этом в течение большей части 1931 г. продолжался импорт двигателей из Германии. Немецкие моторы ставились вперемешку с советскими, причем иногда монтировали и более высотные двигатели со степенью сжатия 7,3. В частности, такой стоял на Р-5 № 4601, объявленном головным для 4-й серии.</w:t>
      </w:r>
    </w:p>
    <w:p w14:paraId="763EDD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Объем производства быстро рос, но самолетостроители никак не могли угнаться за планом. За 1931 г. изготовили 336 самолетов (сдали 301) при плане 675. В феврале 1932 г. военные даже потребовали отдать в счет договора личный Р-5 начальника ГУАП.</w:t>
      </w:r>
    </w:p>
    <w:p w14:paraId="64C8B5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то время ВВС срочно требовались самолеты - разведчики, причем в больших количествах - на замену старым Р-1 и для формирования новых авиачастей. Простой и сравнительно дешевый Р-5 позволял выполнить эти задачи даже в условиях ограниченности выделенных средств. Закупочная цена деревянного разведчика Поликарпова тогда составляла 36 400 рублей (вместе с мотором) - примерно в шесть раз дешевле, чем у двухмоторного цельнометаллического Р-6.</w:t>
      </w:r>
    </w:p>
    <w:p w14:paraId="02EA33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Основное внимание работников завода было обращено на ликвидацию дефектов, выявленных на ранних сериях Р-5. С неэффективностью радиаторов уже справились, но самолеты продолжали страдать самопроизвольной перекачкой бензина из нижних баков в верхние, невзаимозаменяемостью основных узлов. Ненадежно работали замки бомбодержателей Дер-13, рвались тросы ограничителей хода радиаторов, лопались крепления капота, при запуске моторов ломались храповики на коках винтов. Имели также место неприятности с лыжным шасси.</w:t>
      </w:r>
    </w:p>
    <w:p w14:paraId="6DD7B4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Устранение всего этого планировали на 1932 г. Эталоном на тот год стал самолет № 4629. На нем предусмотрели замену четырех (из шести) подкрыльных бомбодержателей Дер-7 на пару Дер-13. Дело в том, что при установленных под фюзеляжем балках Дер-13 внутренней кассетой пользоваться было нельзя. Если необходимо было загрузить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должен был повысить гибкость боевого использования бомбардировщика. Варианты загрузки теперь можно было менять без монтажа или демонтажа держателей.</w:t>
      </w:r>
    </w:p>
    <w:p w14:paraId="0736D6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 (12034).</w:t>
      </w:r>
    </w:p>
    <w:p w14:paraId="5DCFC357" w14:textId="77777777" w:rsidR="00537E5F" w:rsidRPr="00507A31" w:rsidRDefault="00537E5F" w:rsidP="00507A31">
      <w:pPr>
        <w:autoSpaceDE w:val="0"/>
        <w:autoSpaceDN w:val="0"/>
        <w:adjustRightInd w:val="0"/>
        <w:jc w:val="both"/>
        <w:rPr>
          <w:color w:val="000000" w:themeColor="text1"/>
          <w:sz w:val="16"/>
          <w:szCs w:val="16"/>
        </w:rPr>
      </w:pPr>
    </w:p>
    <w:p w14:paraId="0685CE74" w14:textId="77777777" w:rsidR="00D551B1" w:rsidRPr="00507A31" w:rsidRDefault="00D551B1" w:rsidP="00507A31">
      <w:pPr>
        <w:jc w:val="both"/>
        <w:rPr>
          <w:color w:val="000000" w:themeColor="text1"/>
          <w:sz w:val="16"/>
          <w:szCs w:val="16"/>
        </w:rPr>
      </w:pPr>
      <w:r w:rsidRPr="00507A31">
        <w:rPr>
          <w:color w:val="000000" w:themeColor="text1"/>
          <w:sz w:val="16"/>
          <w:szCs w:val="16"/>
        </w:rPr>
        <w:t>Летом 1930 года на заводе № 39 с инспекционной проверкой побывал В.Р. Менжинский. На память об этом событии председатель ОГПУ решил сфотографироваться с сотрудниками ЦКБ-39 ОГПУ – руководством, охранниками и заключенными. На приведенном в работе фотоснимке, вместе с ним, на фоне ангара № 7 запечатлены начальник ЦКБ Горянов, директор завода Пауфлер, конструкторы Григорович, Поликарпов, Корвин, Михельсон, Майоранов, летчики Бухгольц, Пионтковский (18293).</w:t>
      </w:r>
    </w:p>
    <w:p w14:paraId="564DF68E" w14:textId="77777777" w:rsidR="00D551B1" w:rsidRPr="00507A31" w:rsidRDefault="00D551B1" w:rsidP="00507A31">
      <w:pPr>
        <w:jc w:val="both"/>
        <w:rPr>
          <w:color w:val="000000" w:themeColor="text1"/>
          <w:sz w:val="16"/>
          <w:szCs w:val="16"/>
        </w:rPr>
      </w:pPr>
    </w:p>
    <w:p w14:paraId="07F88B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Летом 1930 г. И-5 уже прошел испытания и был при</w:t>
      </w:r>
      <w:r w:rsidRPr="00507A31">
        <w:rPr>
          <w:color w:val="000000" w:themeColor="text1"/>
          <w:sz w:val="16"/>
          <w:szCs w:val="16"/>
        </w:rPr>
        <w:softHyphen/>
        <w:t>нят на вооружение. Интерес ВВС к И-6 снизился. Тем не менее, для подстраховки решили построить второй эк</w:t>
      </w:r>
      <w:r w:rsidRPr="00507A31">
        <w:rPr>
          <w:color w:val="000000" w:themeColor="text1"/>
          <w:sz w:val="16"/>
          <w:szCs w:val="16"/>
        </w:rPr>
        <w:softHyphen/>
        <w:t>земпляр самолета. Николай Николаевич, хотя и работал в то время на заводе № 39, заново пересчитал конструк</w:t>
      </w:r>
      <w:r w:rsidRPr="00507A31">
        <w:rPr>
          <w:color w:val="000000" w:themeColor="text1"/>
          <w:sz w:val="16"/>
          <w:szCs w:val="16"/>
        </w:rPr>
        <w:softHyphen/>
        <w:t>цию. Взлетный вес машины с мотором «Юпитер» VII по его расчетам должен быть равным 1300 кг. Второй экземпляр И-6 имел отличия от первого: на нем стояли крылья большего размаха, увеличенное ком</w:t>
      </w:r>
      <w:r w:rsidRPr="00507A31">
        <w:rPr>
          <w:color w:val="000000" w:themeColor="text1"/>
          <w:sz w:val="16"/>
          <w:szCs w:val="16"/>
        </w:rPr>
        <w:softHyphen/>
        <w:t>пенсированное хвостовое оперение. На экземплярах № 3 и № 4 была изменена форма и конструкция фюзеляжа. Она стала заметно сплюснутой ближе к хвостовому опе</w:t>
      </w:r>
      <w:r w:rsidRPr="00507A31">
        <w:rPr>
          <w:color w:val="000000" w:themeColor="text1"/>
          <w:sz w:val="16"/>
          <w:szCs w:val="16"/>
        </w:rPr>
        <w:softHyphen/>
        <w:t>рению, оперение сделали приподнятым. По указа</w:t>
      </w:r>
      <w:r w:rsidRPr="00507A31">
        <w:rPr>
          <w:color w:val="000000" w:themeColor="text1"/>
          <w:sz w:val="16"/>
          <w:szCs w:val="16"/>
        </w:rPr>
        <w:softHyphen/>
        <w:t>нию С.А.Кочеригина на самолете установили винт изменяемого шага конструкции ЦАГИ. Подмоторную раму выполнили из стальных стержней. Фактически это был уже другой самолет (10667).</w:t>
      </w:r>
    </w:p>
    <w:p w14:paraId="650095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286034A" w14:textId="77777777" w:rsidR="009B5211" w:rsidRPr="00507A31" w:rsidRDefault="009B5211" w:rsidP="00507A31">
      <w:pPr>
        <w:jc w:val="both"/>
        <w:rPr>
          <w:color w:val="000000" w:themeColor="text1"/>
          <w:sz w:val="16"/>
          <w:szCs w:val="16"/>
        </w:rPr>
      </w:pPr>
      <w:r w:rsidRPr="00507A31">
        <w:rPr>
          <w:color w:val="000000" w:themeColor="text1"/>
          <w:sz w:val="16"/>
          <w:szCs w:val="16"/>
        </w:rPr>
        <w:t>Летом 1930 года количество И-4 в войсках было заметным и составило порядка 60-ти самолетов. 11 И-4 числились в 29-й эскадри</w:t>
      </w:r>
      <w:r w:rsidRPr="00507A31">
        <w:rPr>
          <w:color w:val="000000" w:themeColor="text1"/>
          <w:sz w:val="16"/>
          <w:szCs w:val="16"/>
        </w:rPr>
        <w:softHyphen/>
        <w:t>лье ВВС Черного моря в Евпатории, 12 — в 70-м отдельном авиатряде Кавказской Кра</w:t>
      </w:r>
      <w:r w:rsidRPr="00507A31">
        <w:rPr>
          <w:color w:val="000000" w:themeColor="text1"/>
          <w:sz w:val="16"/>
          <w:szCs w:val="16"/>
        </w:rPr>
        <w:softHyphen/>
        <w:t>сной Армии в Баку, а также в 44-м авиаотря</w:t>
      </w:r>
      <w:r w:rsidRPr="00507A31">
        <w:rPr>
          <w:color w:val="000000" w:themeColor="text1"/>
          <w:sz w:val="16"/>
          <w:szCs w:val="16"/>
        </w:rPr>
        <w:softHyphen/>
        <w:t>де в Тифлисе, в 46-м авиаотряде, в 1-й и 11-й  эскадрильях. Далее их количество продолжа</w:t>
      </w:r>
      <w:r w:rsidRPr="00507A31">
        <w:rPr>
          <w:color w:val="000000" w:themeColor="text1"/>
          <w:sz w:val="16"/>
          <w:szCs w:val="16"/>
        </w:rPr>
        <w:softHyphen/>
        <w:t>ло увеличиваться. По состоянию на I января 1931 г. встрою находилось 150 И-4.</w:t>
      </w:r>
    </w:p>
    <w:p w14:paraId="4A391090" w14:textId="77777777" w:rsidR="009B5211" w:rsidRPr="00507A31" w:rsidRDefault="009B5211" w:rsidP="00507A31">
      <w:pPr>
        <w:jc w:val="both"/>
        <w:rPr>
          <w:color w:val="000000" w:themeColor="text1"/>
          <w:sz w:val="16"/>
          <w:szCs w:val="16"/>
        </w:rPr>
      </w:pPr>
      <w:r w:rsidRPr="00507A31">
        <w:rPr>
          <w:color w:val="000000" w:themeColor="text1"/>
          <w:sz w:val="16"/>
          <w:szCs w:val="16"/>
        </w:rPr>
        <w:t>Начальный период эксплуатации выявил множество мелких недостатков конструкции и оборудования. Плохо закрывались капоты, заедали пулеметы, особенно неудачным ока</w:t>
      </w:r>
      <w:r w:rsidRPr="00507A31">
        <w:rPr>
          <w:color w:val="000000" w:themeColor="text1"/>
          <w:sz w:val="16"/>
          <w:szCs w:val="16"/>
        </w:rPr>
        <w:softHyphen/>
        <w:t>зался кок воздушного винта. Однако в лет</w:t>
      </w:r>
      <w:r w:rsidRPr="00507A31">
        <w:rPr>
          <w:color w:val="000000" w:themeColor="text1"/>
          <w:sz w:val="16"/>
          <w:szCs w:val="16"/>
        </w:rPr>
        <w:softHyphen/>
        <w:t>ном отношении И-4 нравился летчикам, их оценки поведения истребителя в воздухе бы</w:t>
      </w:r>
      <w:r w:rsidRPr="00507A31">
        <w:rPr>
          <w:color w:val="000000" w:themeColor="text1"/>
          <w:sz w:val="16"/>
          <w:szCs w:val="16"/>
        </w:rPr>
        <w:softHyphen/>
        <w:t>ли в основном положительные.</w:t>
      </w:r>
    </w:p>
    <w:p w14:paraId="0A3D469F" w14:textId="77777777" w:rsidR="009B5211" w:rsidRPr="00507A31" w:rsidRDefault="009B5211" w:rsidP="00507A31">
      <w:pPr>
        <w:jc w:val="both"/>
        <w:rPr>
          <w:color w:val="000000" w:themeColor="text1"/>
          <w:sz w:val="16"/>
          <w:szCs w:val="16"/>
        </w:rPr>
      </w:pPr>
      <w:r w:rsidRPr="00507A31">
        <w:rPr>
          <w:color w:val="000000" w:themeColor="text1"/>
          <w:sz w:val="16"/>
          <w:szCs w:val="16"/>
        </w:rPr>
        <w:t>Впрочем, был один особенно неприятный момент, который поначалу коснулся не толь</w:t>
      </w:r>
      <w:r w:rsidRPr="00507A31">
        <w:rPr>
          <w:color w:val="000000" w:themeColor="text1"/>
          <w:sz w:val="16"/>
          <w:szCs w:val="16"/>
        </w:rPr>
        <w:softHyphen/>
        <w:t>ко И-4, но и всех первых советских цельно</w:t>
      </w:r>
      <w:r w:rsidRPr="00507A31">
        <w:rPr>
          <w:color w:val="000000" w:themeColor="text1"/>
          <w:sz w:val="16"/>
          <w:szCs w:val="16"/>
        </w:rPr>
        <w:softHyphen/>
        <w:t>металлических самолетов. Окраска внеш</w:t>
      </w:r>
      <w:r w:rsidRPr="00507A31">
        <w:rPr>
          <w:color w:val="000000" w:themeColor="text1"/>
          <w:sz w:val="16"/>
          <w:szCs w:val="16"/>
        </w:rPr>
        <w:softHyphen/>
        <w:t>них поверхностей И-4, а также Р-3 и ТБ-1, оказалась ненадежной и очень недолговеч</w:t>
      </w:r>
      <w:r w:rsidRPr="00507A31">
        <w:rPr>
          <w:color w:val="000000" w:themeColor="text1"/>
          <w:sz w:val="16"/>
          <w:szCs w:val="16"/>
        </w:rPr>
        <w:softHyphen/>
        <w:t xml:space="preserve">ной (12295). </w:t>
      </w:r>
    </w:p>
    <w:p w14:paraId="6BCB0139" w14:textId="77777777" w:rsidR="009B5211" w:rsidRPr="00507A31" w:rsidRDefault="009B5211" w:rsidP="00507A31">
      <w:pPr>
        <w:jc w:val="both"/>
        <w:rPr>
          <w:color w:val="000000" w:themeColor="text1"/>
          <w:sz w:val="16"/>
          <w:szCs w:val="16"/>
        </w:rPr>
      </w:pPr>
    </w:p>
    <w:p w14:paraId="65FAE2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1929 г. Поликарпов произвел первоначальные расчеты по истребителю И-9. включенному в план опытного строительства на 1930-33 гг. И-9 определялся как скоростной самолет, поэтому при его проектировании в одном из предложенных вариантов Николай Николаевич вновь избрал схему моноплана (12015).</w:t>
      </w:r>
    </w:p>
    <w:p w14:paraId="64C2516C" w14:textId="77777777" w:rsidR="00537E5F" w:rsidRPr="00507A31" w:rsidRDefault="00537E5F" w:rsidP="00507A31">
      <w:pPr>
        <w:autoSpaceDE w:val="0"/>
        <w:autoSpaceDN w:val="0"/>
        <w:adjustRightInd w:val="0"/>
        <w:jc w:val="both"/>
        <w:rPr>
          <w:color w:val="000000" w:themeColor="text1"/>
          <w:sz w:val="16"/>
          <w:szCs w:val="16"/>
        </w:rPr>
      </w:pPr>
    </w:p>
    <w:p w14:paraId="0DBA8D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с опозданием на 1.5 года ТБ-2 Н.Н.П. вышел на аэродром. На машину уже не обращали внимания, т.к. в 1931 в производство шел ТБ-3 (4621, 10).</w:t>
      </w:r>
    </w:p>
    <w:p w14:paraId="48E57F52" w14:textId="77777777" w:rsidR="00537E5F" w:rsidRPr="00507A31" w:rsidRDefault="00537E5F" w:rsidP="00507A31">
      <w:pPr>
        <w:autoSpaceDE w:val="0"/>
        <w:autoSpaceDN w:val="0"/>
        <w:adjustRightInd w:val="0"/>
        <w:jc w:val="both"/>
        <w:rPr>
          <w:color w:val="000000" w:themeColor="text1"/>
          <w:sz w:val="16"/>
          <w:szCs w:val="16"/>
        </w:rPr>
      </w:pPr>
    </w:p>
    <w:p w14:paraId="27523B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лету 1930 г. самолет МУ-2 был готов, но испытания задержались из-за того, что Управление морской авиации вовремя не откомандиро</w:t>
      </w:r>
      <w:r w:rsidRPr="00507A31">
        <w:rPr>
          <w:color w:val="000000" w:themeColor="text1"/>
          <w:sz w:val="16"/>
          <w:szCs w:val="16"/>
        </w:rPr>
        <w:softHyphen/>
        <w:t>вало для их проведения летчиков. В июле 1930 г. завод № 25 был закрыт. Осенью 1930 г. все построенные само</w:t>
      </w:r>
      <w:r w:rsidRPr="00507A31">
        <w:rPr>
          <w:color w:val="000000" w:themeColor="text1"/>
          <w:sz w:val="16"/>
          <w:szCs w:val="16"/>
        </w:rPr>
        <w:softHyphen/>
        <w:t>леты завода № 25 передавали для продолжения работ над ними заводу № 39. Из-за плохой погоды летные ис</w:t>
      </w:r>
      <w:r w:rsidRPr="00507A31">
        <w:rPr>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507A31">
        <w:rPr>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507A31">
        <w:rPr>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507A31">
        <w:rPr>
          <w:color w:val="000000" w:themeColor="text1"/>
          <w:sz w:val="16"/>
          <w:szCs w:val="16"/>
        </w:rPr>
        <w:softHyphen/>
        <w:t>просов зачастую выливалось в неразрешимую про</w:t>
      </w:r>
      <w:r w:rsidRPr="00507A31">
        <w:rPr>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507A31">
        <w:rPr>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507A31">
        <w:rPr>
          <w:color w:val="000000" w:themeColor="text1"/>
          <w:sz w:val="16"/>
          <w:szCs w:val="16"/>
        </w:rPr>
        <w:softHyphen/>
        <w:t>бири и Дальнем Востоке в 1940 г. В.Б.Шавров спроекти</w:t>
      </w:r>
      <w:r w:rsidRPr="00507A31">
        <w:rPr>
          <w:color w:val="000000" w:themeColor="text1"/>
          <w:sz w:val="16"/>
          <w:szCs w:val="16"/>
        </w:rPr>
        <w:softHyphen/>
        <w:t>ровал для У-2 двухпоплавковое шасси деревянной конструкции. Позже, в 1942 г. летал аналогичный двух-поплавковый У-2 по проекту А.Я.Щербакова (10667).</w:t>
      </w:r>
    </w:p>
    <w:p w14:paraId="18D152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15CB7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лета 1930 г. все работы над штурмовиками проводи</w:t>
      </w:r>
      <w:r w:rsidRPr="00507A31">
        <w:rPr>
          <w:color w:val="000000" w:themeColor="text1"/>
          <w:sz w:val="16"/>
          <w:szCs w:val="16"/>
        </w:rPr>
        <w:softHyphen/>
        <w:t>лись под руководством С.А.Кочеригина (10667).</w:t>
      </w:r>
    </w:p>
    <w:p w14:paraId="4D0897C0" w14:textId="77777777" w:rsidR="00537E5F" w:rsidRPr="00507A31" w:rsidRDefault="00537E5F" w:rsidP="00507A31">
      <w:pPr>
        <w:autoSpaceDE w:val="0"/>
        <w:autoSpaceDN w:val="0"/>
        <w:adjustRightInd w:val="0"/>
        <w:jc w:val="both"/>
        <w:rPr>
          <w:color w:val="000000" w:themeColor="text1"/>
          <w:sz w:val="16"/>
          <w:szCs w:val="16"/>
        </w:rPr>
      </w:pPr>
    </w:p>
    <w:p w14:paraId="5DB271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года завершились государственные испытания первого экземпляра К-5 с двигателем М-15. Они показали, что при полезной нагрузке 1600 кг максимальная скорость самолета достигала 198 км/ч. При уменьшении нагрузки на 200 кг значительно улучшались скороподъемность, управляемость и взлетно-посадочные характеристики – К-5 обходился посадкой в 140 м для посадки и чуть больше 100 м для взлета. К-5 был рекомендован к серийному производству, и до конца года было выпущено 25 машин, которые разлетелись по всей стране. Слабым местом советских самолетов, включая К-5, оставался двигатель. Моторы не отличались ни надежностью, ни долговечностью, и в течение всего 1931 года завод пытался исправить ситуацию. Работа шла по двум направлениям: дорабатывался двигатель М-15 и самолет был перепроектирован под новый М-22. В обоих случаях харьковские авиастроители добились успеха. Весь комплекс внесенных в конструкцию переделок и изменений улучшил летные качества К-5 и обеспечил безотказную работу его систем (10674).</w:t>
      </w:r>
    </w:p>
    <w:p w14:paraId="21B43470" w14:textId="77777777" w:rsidR="00537E5F" w:rsidRPr="00507A31" w:rsidRDefault="00537E5F" w:rsidP="00507A31">
      <w:pPr>
        <w:autoSpaceDE w:val="0"/>
        <w:autoSpaceDN w:val="0"/>
        <w:adjustRightInd w:val="0"/>
        <w:jc w:val="both"/>
        <w:rPr>
          <w:color w:val="000000" w:themeColor="text1"/>
          <w:sz w:val="16"/>
          <w:szCs w:val="16"/>
        </w:rPr>
      </w:pPr>
    </w:p>
    <w:p w14:paraId="194C67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лету 1930 г. начал активно летать истребитель И-5 (ВТ-11), постро</w:t>
      </w:r>
      <w:r w:rsidRPr="00507A31">
        <w:rPr>
          <w:color w:val="000000" w:themeColor="text1"/>
          <w:sz w:val="16"/>
          <w:szCs w:val="16"/>
        </w:rPr>
        <w:softHyphen/>
        <w:t>енный в ЦКБ-39 ОГПУ, поэтому необ</w:t>
      </w:r>
      <w:r w:rsidRPr="00507A31">
        <w:rPr>
          <w:color w:val="000000" w:themeColor="text1"/>
          <w:sz w:val="16"/>
          <w:szCs w:val="16"/>
        </w:rPr>
        <w:softHyphen/>
        <w:t>ходимость в еще одном таком аппарате отпала и И-5 (АНТ-12) ЦАГИ оконча</w:t>
      </w:r>
      <w:r w:rsidRPr="00507A31">
        <w:rPr>
          <w:color w:val="000000" w:themeColor="text1"/>
          <w:sz w:val="16"/>
          <w:szCs w:val="16"/>
        </w:rPr>
        <w:softHyphen/>
        <w:t>тельно сняли с плана (10729).</w:t>
      </w:r>
    </w:p>
    <w:p w14:paraId="233A0F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575AA98" w14:textId="77777777" w:rsidR="009B5211" w:rsidRPr="00507A31" w:rsidRDefault="009B5211" w:rsidP="00507A31">
      <w:pPr>
        <w:jc w:val="both"/>
        <w:rPr>
          <w:color w:val="000000" w:themeColor="text1"/>
          <w:sz w:val="16"/>
          <w:szCs w:val="16"/>
        </w:rPr>
      </w:pPr>
      <w:r w:rsidRPr="00507A31">
        <w:rPr>
          <w:color w:val="000000" w:themeColor="text1"/>
          <w:sz w:val="16"/>
          <w:szCs w:val="16"/>
        </w:rPr>
        <w:t>Летом 1930 г. АНТ- 12 конструкции ЦАГИ окончательно сняли с плана. Причин тому имелось множество (12295).</w:t>
      </w:r>
    </w:p>
    <w:p w14:paraId="0E1E314F" w14:textId="77777777" w:rsidR="009B5211" w:rsidRPr="00507A31" w:rsidRDefault="009B5211" w:rsidP="00507A31">
      <w:pPr>
        <w:jc w:val="both"/>
        <w:rPr>
          <w:color w:val="000000" w:themeColor="text1"/>
          <w:sz w:val="16"/>
          <w:szCs w:val="16"/>
        </w:rPr>
      </w:pPr>
    </w:p>
    <w:p w14:paraId="37565D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Летом 1930 на территории завода № 25 началось из</w:t>
      </w:r>
      <w:r w:rsidRPr="00507A31">
        <w:rPr>
          <w:color w:val="000000" w:themeColor="text1"/>
          <w:sz w:val="16"/>
          <w:szCs w:val="16"/>
        </w:rPr>
        <w:softHyphen/>
        <w:t>готовление самолета И-8 Н.Н.П., однако в связи с ликвидацией завода было пре</w:t>
      </w:r>
      <w:r w:rsidRPr="00507A31">
        <w:rPr>
          <w:color w:val="000000" w:themeColor="text1"/>
          <w:sz w:val="16"/>
          <w:szCs w:val="16"/>
        </w:rPr>
        <w:softHyphen/>
        <w:t>кращено (10729).</w:t>
      </w:r>
    </w:p>
    <w:p w14:paraId="0760BF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595DC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года АИР-3 испытывался с отечественным мотором НАМИ М-23 мощностью 65-75 л. с. конструкции В. А. Доллежаля. Об этом подробно рас- далее в главе, посвященной АИР-4 (11981).</w:t>
      </w:r>
    </w:p>
    <w:p w14:paraId="012F99EF" w14:textId="77777777" w:rsidR="00537E5F" w:rsidRPr="00507A31" w:rsidRDefault="00537E5F" w:rsidP="00507A31">
      <w:pPr>
        <w:autoSpaceDE w:val="0"/>
        <w:autoSpaceDN w:val="0"/>
        <w:adjustRightInd w:val="0"/>
        <w:jc w:val="both"/>
        <w:rPr>
          <w:color w:val="000000" w:themeColor="text1"/>
          <w:sz w:val="16"/>
          <w:szCs w:val="16"/>
        </w:rPr>
      </w:pPr>
    </w:p>
    <w:p w14:paraId="1A3124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на ЦА испытывали СК-4 С.П.К. (310).</w:t>
      </w:r>
    </w:p>
    <w:p w14:paraId="6A3F7E26" w14:textId="77777777" w:rsidR="00537E5F" w:rsidRPr="00507A31" w:rsidRDefault="00537E5F" w:rsidP="00507A31">
      <w:pPr>
        <w:autoSpaceDE w:val="0"/>
        <w:autoSpaceDN w:val="0"/>
        <w:adjustRightInd w:val="0"/>
        <w:jc w:val="both"/>
        <w:rPr>
          <w:color w:val="000000" w:themeColor="text1"/>
          <w:sz w:val="16"/>
          <w:szCs w:val="16"/>
        </w:rPr>
      </w:pPr>
    </w:p>
    <w:p w14:paraId="20D775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для Лавиля - одного из сотрудников Ришара- организовали небольшое БНК - бюро новых конструкций (92,379) на территории завода Моска (25) в Москве (директор - Гантман) и там был С.А.Л. (78,34). Лавиль здесь работал около 3-х лет (78,34) проектируя и строя ДИ-4 совместно с С.А.Л. и С.Н.Люшиным (78,35), а затем перешел в НИИ ГВФ, где был до 1935. После этого был корреспондентом французских газет в России и уехал в 1939 (92,380).</w:t>
      </w:r>
    </w:p>
    <w:p w14:paraId="04B7EB37" w14:textId="77777777" w:rsidR="00537E5F" w:rsidRPr="00507A31" w:rsidRDefault="00537E5F" w:rsidP="00507A31">
      <w:pPr>
        <w:autoSpaceDE w:val="0"/>
        <w:autoSpaceDN w:val="0"/>
        <w:adjustRightInd w:val="0"/>
        <w:jc w:val="both"/>
        <w:rPr>
          <w:color w:val="000000" w:themeColor="text1"/>
          <w:sz w:val="16"/>
          <w:szCs w:val="16"/>
        </w:rPr>
      </w:pPr>
    </w:p>
    <w:p w14:paraId="1EC74D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Д.П.Г. получил задание от Глававиапрома в срочном порядке разработать (97,22) истребитель-перехватчик Z (по плану ЦКБ - 7), оснащенный 76 мм АПК-4. Машина проектировалась и строилась в отдаленном ангаре по инициативе Д.П.Г., который хотел засекретить работу прежде всего от вольнонаемного начальства (79,126). В составе группы В.Коровин, А.Надашкевич, Е.Майоранов (97,22). Переднюю часть фюзеляжа взяли от И-5 (92,415).</w:t>
      </w:r>
    </w:p>
    <w:p w14:paraId="5EF92F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Кстати, отгораживание - опыт Н.Н.П. по И-1, но в данном случае оно, по-видимому, применялось в связи с тем, чтобы отойти от руководства ЦКБ.</w:t>
      </w:r>
    </w:p>
    <w:p w14:paraId="189061E5" w14:textId="77777777" w:rsidR="00537E5F" w:rsidRPr="00507A31" w:rsidRDefault="00537E5F" w:rsidP="00507A31">
      <w:pPr>
        <w:autoSpaceDE w:val="0"/>
        <w:autoSpaceDN w:val="0"/>
        <w:adjustRightInd w:val="0"/>
        <w:jc w:val="both"/>
        <w:rPr>
          <w:color w:val="000000" w:themeColor="text1"/>
          <w:sz w:val="16"/>
          <w:szCs w:val="16"/>
        </w:rPr>
      </w:pPr>
    </w:p>
    <w:p w14:paraId="76084E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с Д.П.Г. беседовал Г.К.Орджоникидзе и якобы именно тогда ему поручили истребитель в ДРП (455,25).</w:t>
      </w:r>
    </w:p>
    <w:p w14:paraId="37AC1932" w14:textId="77777777" w:rsidR="00537E5F" w:rsidRPr="00507A31" w:rsidRDefault="00537E5F" w:rsidP="00507A31">
      <w:pPr>
        <w:autoSpaceDE w:val="0"/>
        <w:autoSpaceDN w:val="0"/>
        <w:adjustRightInd w:val="0"/>
        <w:jc w:val="both"/>
        <w:rPr>
          <w:color w:val="000000" w:themeColor="text1"/>
          <w:sz w:val="16"/>
          <w:szCs w:val="16"/>
        </w:rPr>
      </w:pPr>
    </w:p>
    <w:p w14:paraId="1C8BD7BE" w14:textId="77777777" w:rsidR="00EA1E07" w:rsidRPr="00507A31" w:rsidRDefault="00EA1E07" w:rsidP="00507A31">
      <w:pPr>
        <w:jc w:val="both"/>
        <w:rPr>
          <w:color w:val="0070C0"/>
          <w:sz w:val="16"/>
          <w:szCs w:val="16"/>
        </w:rPr>
      </w:pPr>
      <w:bookmarkStart w:id="63" w:name="_Hlk56763439"/>
      <w:r w:rsidRPr="00507A31">
        <w:rPr>
          <w:color w:val="0070C0"/>
          <w:sz w:val="16"/>
          <w:szCs w:val="16"/>
        </w:rPr>
        <w:t>Летом 1930 г. постройка вертолета ЦАГИ 1-ЭА заверши</w:t>
      </w:r>
      <w:r w:rsidRPr="00507A31">
        <w:rPr>
          <w:color w:val="0070C0"/>
          <w:sz w:val="16"/>
          <w:szCs w:val="16"/>
        </w:rPr>
        <w:softHyphen/>
        <w:t>лась, затем его перевезли для проведения испытаний на подмосковный аэродром в районе станции Ухтомская. Раньше эта станция называлась «Подосинки», также назы</w:t>
      </w:r>
      <w:r w:rsidRPr="00507A31">
        <w:rPr>
          <w:color w:val="0070C0"/>
          <w:sz w:val="16"/>
          <w:szCs w:val="16"/>
        </w:rPr>
        <w:softHyphen/>
        <w:t>вался и один из первых российских аэродромов. В 1920</w:t>
      </w:r>
      <w:r w:rsidRPr="00507A31">
        <w:rPr>
          <w:color w:val="0070C0"/>
          <w:sz w:val="16"/>
          <w:szCs w:val="16"/>
        </w:rPr>
        <w:softHyphen/>
        <w:t>30 гг. в Подосинках базировались истребительные и раз</w:t>
      </w:r>
      <w:r w:rsidRPr="00507A31">
        <w:rPr>
          <w:color w:val="0070C0"/>
          <w:sz w:val="16"/>
          <w:szCs w:val="16"/>
        </w:rPr>
        <w:softHyphen/>
        <w:t>ведывательные эскадрильи. В 1930 г. аэродром Подо</w:t>
      </w:r>
      <w:r w:rsidRPr="00507A31">
        <w:rPr>
          <w:color w:val="0070C0"/>
          <w:sz w:val="16"/>
          <w:szCs w:val="16"/>
        </w:rPr>
        <w:softHyphen/>
        <w:t>синки, в отношении которого уже пользовались новым названием «Ухтомская», по распоряжению М.Н. Тухачевско</w:t>
      </w:r>
      <w:r w:rsidRPr="00507A31">
        <w:rPr>
          <w:color w:val="0070C0"/>
          <w:sz w:val="16"/>
          <w:szCs w:val="16"/>
        </w:rPr>
        <w:softHyphen/>
        <w:t>го передали ЗАО ЦАГИ для проведения испытаний винто</w:t>
      </w:r>
      <w:r w:rsidRPr="00507A31">
        <w:rPr>
          <w:color w:val="0070C0"/>
          <w:sz w:val="16"/>
          <w:szCs w:val="16"/>
        </w:rPr>
        <w:softHyphen/>
        <w:t>крылых аппаратов.</w:t>
      </w:r>
    </w:p>
    <w:p w14:paraId="3BE04D92" w14:textId="77777777" w:rsidR="00EA1E07" w:rsidRPr="00507A31" w:rsidRDefault="00EA1E07" w:rsidP="00507A31">
      <w:pPr>
        <w:jc w:val="both"/>
        <w:rPr>
          <w:color w:val="0070C0"/>
          <w:sz w:val="16"/>
          <w:szCs w:val="16"/>
        </w:rPr>
      </w:pPr>
      <w:r w:rsidRPr="00507A31">
        <w:rPr>
          <w:color w:val="0070C0"/>
          <w:sz w:val="16"/>
          <w:szCs w:val="16"/>
        </w:rPr>
        <w:t>Первоначально на ЦАГИ 1-ЭА отработали методику ис</w:t>
      </w:r>
      <w:r w:rsidRPr="00507A31">
        <w:rPr>
          <w:color w:val="0070C0"/>
          <w:sz w:val="16"/>
          <w:szCs w:val="16"/>
        </w:rPr>
        <w:softHyphen/>
        <w:t>пытаний аппарата на привязи. Затем начались свободные полеты, которые проводились систематически в период 1930-34 гг. Бессменным испытателем ЦАГИ 1-ЭА являлся А.М. Черемухин, бывший военный летчик 1-й Мировой войны, ставший затем одним из ведущих специалистов ЦАГИ в области аэродинамики (с 1934 г. профессор, с 1937 г. доктор технических наук). При проведении полетов на первом советском вертолете он проявил себя не толь</w:t>
      </w:r>
      <w:r w:rsidRPr="00507A31">
        <w:rPr>
          <w:color w:val="0070C0"/>
          <w:sz w:val="16"/>
          <w:szCs w:val="16"/>
        </w:rPr>
        <w:softHyphen/>
        <w:t>ко как талантливый конструктор и инженер, но и как бес</w:t>
      </w:r>
      <w:r w:rsidRPr="00507A31">
        <w:rPr>
          <w:color w:val="0070C0"/>
          <w:sz w:val="16"/>
          <w:szCs w:val="16"/>
        </w:rPr>
        <w:softHyphen/>
        <w:t>страшный пилот, благодаря опыту и хладнокровию кото</w:t>
      </w:r>
      <w:r w:rsidRPr="00507A31">
        <w:rPr>
          <w:color w:val="0070C0"/>
          <w:sz w:val="16"/>
          <w:szCs w:val="16"/>
        </w:rPr>
        <w:softHyphen/>
        <w:t>рого удалось провести эти испытания благополучно. Ма</w:t>
      </w:r>
      <w:r w:rsidRPr="00507A31">
        <w:rPr>
          <w:color w:val="0070C0"/>
          <w:sz w:val="16"/>
          <w:szCs w:val="16"/>
        </w:rPr>
        <w:softHyphen/>
        <w:t>шина отличалась значительной неустойчивостью, полеты на ней по выражению Черемухина напоминали балансиро</w:t>
      </w:r>
      <w:r w:rsidRPr="00507A31">
        <w:rPr>
          <w:color w:val="0070C0"/>
          <w:sz w:val="16"/>
          <w:szCs w:val="16"/>
        </w:rPr>
        <w:softHyphen/>
        <w:t>вание «на острие иглы». Летать на 1-ЭА пытался в частно</w:t>
      </w:r>
      <w:r w:rsidRPr="00507A31">
        <w:rPr>
          <w:color w:val="0070C0"/>
          <w:sz w:val="16"/>
          <w:szCs w:val="16"/>
        </w:rPr>
        <w:softHyphen/>
        <w:t>сти опытный испытатель Д.А. Кошиц, который после не</w:t>
      </w:r>
      <w:r w:rsidRPr="00507A31">
        <w:rPr>
          <w:color w:val="0070C0"/>
          <w:sz w:val="16"/>
          <w:szCs w:val="16"/>
        </w:rPr>
        <w:softHyphen/>
        <w:t>скольких неудачных попыток, намекая на звание Черему</w:t>
      </w:r>
      <w:r w:rsidRPr="00507A31">
        <w:rPr>
          <w:color w:val="0070C0"/>
          <w:sz w:val="16"/>
          <w:szCs w:val="16"/>
        </w:rPr>
        <w:softHyphen/>
        <w:t>хина, изрек: «На нем могут летать только профессора, а у меня среднее образование».</w:t>
      </w:r>
    </w:p>
    <w:p w14:paraId="270CA0B3" w14:textId="77777777" w:rsidR="00EA1E07" w:rsidRPr="00507A31" w:rsidRDefault="00EA1E07" w:rsidP="00507A31">
      <w:pPr>
        <w:shd w:val="clear" w:color="auto" w:fill="FFFFFF"/>
        <w:jc w:val="both"/>
        <w:rPr>
          <w:color w:val="0070C0"/>
          <w:sz w:val="16"/>
          <w:szCs w:val="16"/>
        </w:rPr>
      </w:pPr>
      <w:r w:rsidRPr="00507A31">
        <w:rPr>
          <w:color w:val="0070C0"/>
          <w:sz w:val="16"/>
          <w:szCs w:val="16"/>
        </w:rPr>
        <w:t>Нужно отметить, что полеты ЦАГИ 1-ЭА велись в обста</w:t>
      </w:r>
      <w:r w:rsidRPr="00507A31">
        <w:rPr>
          <w:color w:val="0070C0"/>
          <w:sz w:val="16"/>
          <w:szCs w:val="16"/>
        </w:rPr>
        <w:softHyphen/>
        <w:t>новке абсолютной секретности, не позволившей своевре</w:t>
      </w:r>
      <w:r w:rsidRPr="00507A31">
        <w:rPr>
          <w:color w:val="0070C0"/>
          <w:sz w:val="16"/>
          <w:szCs w:val="16"/>
        </w:rPr>
        <w:softHyphen/>
        <w:t>менно заявить об их приоритетности (20361).</w:t>
      </w:r>
    </w:p>
    <w:p w14:paraId="2A7DB185" w14:textId="77777777" w:rsidR="00EA1E07" w:rsidRPr="00507A31" w:rsidRDefault="00EA1E07" w:rsidP="00507A31">
      <w:pPr>
        <w:shd w:val="clear" w:color="auto" w:fill="FFFFFF"/>
        <w:jc w:val="both"/>
        <w:rPr>
          <w:color w:val="0070C0"/>
          <w:sz w:val="16"/>
          <w:szCs w:val="16"/>
        </w:rPr>
      </w:pPr>
    </w:p>
    <w:bookmarkEnd w:id="63"/>
    <w:p w14:paraId="33100186" w14:textId="77777777" w:rsidR="00EA1E07" w:rsidRPr="00507A31" w:rsidRDefault="00EA1E07" w:rsidP="00507A31">
      <w:pPr>
        <w:shd w:val="clear" w:color="auto" w:fill="FFFFFF"/>
        <w:jc w:val="both"/>
        <w:rPr>
          <w:color w:val="0070C0"/>
          <w:sz w:val="16"/>
          <w:szCs w:val="16"/>
        </w:rPr>
      </w:pPr>
      <w:r w:rsidRPr="00507A31">
        <w:rPr>
          <w:color w:val="0070C0"/>
          <w:sz w:val="16"/>
          <w:szCs w:val="16"/>
        </w:rPr>
        <w:t>Летом 1930 г. для Лавиля было образовано небольшое Бюро Новых Конструкций (БНК), расположенное на территории бывшего завода Моска в Москве. Лавочкин принимал участие в работе этого КБ над двухместным истребителем ДИ-4, который вышел на испытания в январе 1933 г. Увы, самолёт не оправдал надежд, и его разработка была прекращена (19876).</w:t>
      </w:r>
    </w:p>
    <w:p w14:paraId="08175317" w14:textId="77777777" w:rsidR="00EA1E07" w:rsidRPr="00507A31" w:rsidRDefault="00EA1E07" w:rsidP="00507A31">
      <w:pPr>
        <w:shd w:val="clear" w:color="auto" w:fill="FFFFFF"/>
        <w:jc w:val="both"/>
        <w:rPr>
          <w:color w:val="0070C0"/>
          <w:sz w:val="16"/>
          <w:szCs w:val="16"/>
        </w:rPr>
      </w:pPr>
    </w:p>
    <w:p w14:paraId="604F6E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Летом 1930 г. Президиум ВСНХ СССР решил передать начатую в конце 20-х гг. на пустыре в Лефортове, в районе Синичкиной улицы (там, где когда-то была снесенная ураганом Анненгофская роща) стройку первой очереди опытного завода и лабораторных корпусов для НАМИ. Всесоюзному автотракторному объединению (ВАТО) Главного управления автомобильной и тракторной промышленности (ГУТАП) для развития именно автотракторной техники. Авиационный </w:t>
      </w:r>
      <w:r w:rsidRPr="00507A31">
        <w:rPr>
          <w:color w:val="000000" w:themeColor="text1"/>
          <w:sz w:val="16"/>
          <w:szCs w:val="16"/>
        </w:rPr>
        <w:lastRenderedPageBreak/>
        <w:t>отдел НАМИ предполагали разместить вместе с Винтомоторным отделом ЦАГИ в помещении бывшей кирхи в Немецкой слободе (на нынешней ул. Радио). По существу, это было равносильно ликвидации авиационного отдела НАМИ, хотя именно в нем в то время собралась наиболее мощная группа разработчиков авиационного моторостроения, хотя вначале предполагалось, что новые мощности будут использоваться для разработки и испытаний опытных авиационных моторов. В сложившейся обстановке и появилось письмо от 13 августа 1930:</w:t>
      </w:r>
    </w:p>
    <w:p w14:paraId="62604D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ЦК ВКП(б)</w:t>
      </w:r>
    </w:p>
    <w:p w14:paraId="2390A0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Копия: К.Е. Ворошилову</w:t>
      </w:r>
    </w:p>
    <w:p w14:paraId="7E7649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П.И. Баранову</w:t>
      </w:r>
    </w:p>
    <w:p w14:paraId="1AFD93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Бауманский райком ВКП(б)</w:t>
      </w:r>
    </w:p>
    <w:p w14:paraId="0D0166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Дорогие товарищи,</w:t>
      </w:r>
    </w:p>
    <w:p w14:paraId="09C8E1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решением Президиума ВСНХ Научно-Автомоторный Институт (НАМИ) передается в ВАТО, при этом Опытный завод НАМИ также передается в ВАТО для автотракторного строительства. Здесь, по нашему мнению, сделана большая ошибка, и это вынуждает нас обратиться в ЦК ВКП(б) с просьбой о пересмотре решения. </w:t>
      </w:r>
    </w:p>
    <w:p w14:paraId="7A7567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Наше опытное строительство было исключительно бесплодно. Одной из основных причин надо считать отсутствие концентрированной базы опытного строительства. С огромными усилиями был построен при НАМИ опытный завод, пропускная способность которого ориентировочно равна 9 опытным машинам в год. Это является огромным достижением. Постройки опытного завода добивались и Реввоенсовет, и УВВС, и партийные организации… Теперь же, когда завод построен и в основном готов к выполнению директив Правительства и мы стоим накануне ликвидации прорывов, завод передается в ВАТО. Поэтому мы просим пересмотреть принятое решение.</w:t>
      </w:r>
    </w:p>
    <w:p w14:paraId="050BD1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Мы предлагаем следующее:</w:t>
      </w:r>
    </w:p>
    <w:p w14:paraId="315DC20B" w14:textId="77777777" w:rsidR="00537E5F" w:rsidRPr="00507A31" w:rsidRDefault="00537E5F" w:rsidP="00507A31">
      <w:pPr>
        <w:tabs>
          <w:tab w:val="left" w:pos="720"/>
        </w:tabs>
        <w:autoSpaceDE w:val="0"/>
        <w:autoSpaceDN w:val="0"/>
        <w:adjustRightInd w:val="0"/>
        <w:jc w:val="both"/>
        <w:rPr>
          <w:color w:val="000000" w:themeColor="text1"/>
          <w:sz w:val="16"/>
          <w:szCs w:val="16"/>
        </w:rPr>
      </w:pPr>
      <w:r w:rsidRPr="00507A31">
        <w:rPr>
          <w:color w:val="000000" w:themeColor="text1"/>
          <w:sz w:val="16"/>
          <w:szCs w:val="16"/>
        </w:rPr>
        <w:t xml:space="preserve">Автотракторная часть Научно-Автомоторного Института (НАМИ) передается в ВАТО со всем материальным оборудованием и личным составом. </w:t>
      </w:r>
    </w:p>
    <w:p w14:paraId="74EA000D" w14:textId="77777777" w:rsidR="00537E5F" w:rsidRPr="00507A31" w:rsidRDefault="00537E5F" w:rsidP="00507A31">
      <w:pPr>
        <w:tabs>
          <w:tab w:val="left" w:pos="720"/>
        </w:tabs>
        <w:autoSpaceDE w:val="0"/>
        <w:autoSpaceDN w:val="0"/>
        <w:adjustRightInd w:val="0"/>
        <w:jc w:val="both"/>
        <w:rPr>
          <w:color w:val="000000" w:themeColor="text1"/>
          <w:sz w:val="16"/>
          <w:szCs w:val="16"/>
        </w:rPr>
      </w:pPr>
      <w:r w:rsidRPr="00507A31">
        <w:rPr>
          <w:color w:val="000000" w:themeColor="text1"/>
          <w:sz w:val="16"/>
          <w:szCs w:val="16"/>
        </w:rPr>
        <w:t>Авиамоторная часть НАМИ вместе со всем законченным строительством первой очереди - Опытный завод, испытательная авиационная станция и авиационный отдел передаются Наркомвоенмору для объединения с Винтомоторным Отделом ЦАГИ и создания единого центрального Института по опытному строительству авиамоторов и самолетов.</w:t>
      </w:r>
    </w:p>
    <w:p w14:paraId="5010ED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А.Чаромский (НАМИ), чл. ВКП(б) с 1917 г.</w:t>
      </w:r>
    </w:p>
    <w:p w14:paraId="347B08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 Татко (ЦАГИ), чл. ВКП(б) с 1919 г. и др.</w:t>
      </w:r>
    </w:p>
    <w:p w14:paraId="6F112D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13 августа 1930 г., г. Москва" </w:t>
      </w:r>
    </w:p>
    <w:p w14:paraId="010A9D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авиационных специалистов, понимая всю важность и остроту момента, решились на очень рискованный шаг - обратиться в ЦК ВКП(б), к К.Е.Ворошилову, П.И.Баранову и в Бауманский райком ВКП(б) с письмом, в котором критиковалось ранее принятое решение ВСНХ, освещалось состояние отечественного авиационного моторостроения и обосновывалась необходимость создания центрального института авиационного моторостроения.</w:t>
      </w:r>
    </w:p>
    <w:p w14:paraId="0F5969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ни ЦК ВКП(б), ни другие инстанции не могли ничего изменить без решения высшего политического руководства страны. Откладывать более было нельзя, так как полным ходом началось освоение опытного завода для нужд автотракторной промышленности и сворачивание деятельности Авиационного отдела НАМИ. Поэтому один из инициаторов этого письма, начальник Авиационного отдела НАМИ Алексей Дмитриевич Чаромский (инженер и конструктор, а также - большевик с дореволюционным партийным стажем и однополчанин П.И. Баранова по Гражданской), решил действовать самостоятельно. Он повез подписанное письмо на прием к П.И. Баранову, а после полетел с его визой на письме в Сочи, где отдыхали Сталин и Ворошилов. Руководство страны согласилось с доводами авиастроителей (в № 4 "Двигателя" за 2005 год мы уже описывали эту рискованную "операцию". Окончилась она удачно, что было изначально не очевидно, о чем после рассказывал сам Чаромский - прим. редакции).</w:t>
      </w:r>
    </w:p>
    <w:p w14:paraId="743652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Сразу же после этого вышли постановление СНК СССР, в соответствии с которым опытный завод, авиаотдел и авиаиспытательная станция НАМИ передавались в ведение Наркомвоенмора. Позже было принято решение объединить Винтомоторный отдел ЦАГИ и Авиационный отдел НАМИ. Эта объединенная организация получила название ОАМ - ЦАГИ (отдел авиационных моторов ЦАГИ). Начальником ОАМ - ЦАГИ был назначен Б.С. Стечкин (11557).</w:t>
      </w:r>
    </w:p>
    <w:p w14:paraId="62FC7EE0" w14:textId="77777777" w:rsidR="00537E5F" w:rsidRPr="00507A31" w:rsidRDefault="00537E5F" w:rsidP="00507A31">
      <w:pPr>
        <w:autoSpaceDE w:val="0"/>
        <w:autoSpaceDN w:val="0"/>
        <w:adjustRightInd w:val="0"/>
        <w:jc w:val="both"/>
        <w:rPr>
          <w:color w:val="000000" w:themeColor="text1"/>
          <w:sz w:val="16"/>
          <w:szCs w:val="16"/>
        </w:rPr>
      </w:pPr>
    </w:p>
    <w:p w14:paraId="0B9C41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 по предложению руководства НАМИ, Президиум ВСНХ СССР решил передать стройку, начатую в конце 1920-х гг. на пустыре в Лефортове, Всесоюзному автотракторному объединению (ВАТО) Главного управления автомобильной и тракторной промышленности (ГУТАП) для развития именно автотракторной техники. Авиационный отдел НАМИ предполагали разместить вместе с Винтомоторным отделом ЦАГИ в помещении бывшей кирхи в Немецкой слободе (на нынешней ул. Радио). По существу, это было равносильно ликвидации авиационного отдела НАМИ, хотя именно в нем в то время собралась наиболее мощная группа разработчиков авиационного моторостроения.</w:t>
      </w:r>
    </w:p>
    <w:p w14:paraId="0496FF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сложившейся обстановке 19 авиационных специалистов, понимая всю важность и остроту момента, решились на очень рискованный шаг - обратиться в ЦК ВКП(б), к К.Е. Ворошилову, П.И. Баранову и в Бауманский райком ВКП(б) с письмом, в котором критиковалось ранее принятое решение ВСНХ, освещалось состояние отечественного авиационного моторостроения и обосновывалась необходимость создания центрального института авиационного моторостроения. </w:t>
      </w:r>
    </w:p>
    <w:p w14:paraId="2FE59F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ни ЦК ВКП(б), ни другие инстанции не могли ничего изменить без решения высшего политического руководства страны. Откладывать более было нельзя, так как полным ходом началось освоение опытного завода для нужд автотракторной промышленности и сворачивание деятельности Авиационного отдела НАМИ. Поэтому один из инициаторов этого письма, начальник Авиационного отдела НАМИ Алексей Дмитриевич Чаромский [инженер и конструктор, а также - большевик с дореволюционным партийным стажем и однополчанин П.И. Баранова по Гражданской], решил действовать самостоятельно. Он доставил подписанное письмо на прием к П.И. Баранову. Пётр Ионович, после положительного решения, распорядился послать самолёт с Чаромским, везущим письмо с его визой, в Сочи, где отдыхали Сталин и Ворошилов. Руководство страны согласилось с доводами авиастроителей.</w:t>
      </w:r>
    </w:p>
    <w:p w14:paraId="172FB6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Сразу же после этого вышли постановление СНК СССР от 5 сентября 1930 г. и приказ по ВСНХ СССР от 8 сентября 1930 г., в соответствии с которыми опытный завод, авиаотдел и авиаиспытательная станция НАМИ передавались в ведение Наркомвоенмора. На расширенном заседании РВС по вопросу создания нового института, где присутствовало много технических специалистов из армии, НАМИ, ЦАГИ, всё решилось в пользу предложения авторов письма.</w:t>
      </w:r>
    </w:p>
    <w:p w14:paraId="1C8061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начала было принято решение объединить под эгидой ЦАГИ Винтомоторный отдел ЦАГИ и Авиационный отдел НАМИ. Группа моторостроителей НАМИ влилась в коллектив нового института (а моторный автотракторный институт - НАТИ - был создан чуть позже). Эта объединенная организация получила название ОАМ - ЦАГИ (Отдел авиационных моторов ЦАГИ). Начальником ОАМ - ЦАГИ был назначен Б.С. Стечкин. ОАМ - первое из имен будущего ЦИАМ (12057).</w:t>
      </w:r>
    </w:p>
    <w:p w14:paraId="0429EE28" w14:textId="77777777" w:rsidR="00537E5F" w:rsidRPr="00507A31" w:rsidRDefault="00537E5F" w:rsidP="00507A31">
      <w:pPr>
        <w:autoSpaceDE w:val="0"/>
        <w:autoSpaceDN w:val="0"/>
        <w:adjustRightInd w:val="0"/>
        <w:jc w:val="both"/>
        <w:rPr>
          <w:color w:val="000000" w:themeColor="text1"/>
          <w:sz w:val="16"/>
          <w:szCs w:val="16"/>
        </w:rPr>
      </w:pPr>
    </w:p>
    <w:p w14:paraId="19A4B2FD" w14:textId="77777777" w:rsidR="00EA1E07" w:rsidRPr="00507A31" w:rsidRDefault="00EA1E07" w:rsidP="00507A31">
      <w:pPr>
        <w:jc w:val="both"/>
        <w:rPr>
          <w:color w:val="0070C0"/>
          <w:sz w:val="16"/>
          <w:szCs w:val="16"/>
        </w:rPr>
      </w:pPr>
      <w:r w:rsidRPr="00507A31">
        <w:rPr>
          <w:color w:val="0070C0"/>
          <w:sz w:val="16"/>
          <w:szCs w:val="16"/>
        </w:rPr>
        <w:t>Летом 1930 начато строительство первой очереди опытного завода и лабораторных корпусов НАМИ. Стройка развернулась на пустыре в Лефортове, в районе Синичкиной улицы (там, где когда-то была снесенная ураганом Анненгофская роща). Президи</w:t>
      </w:r>
      <w:r w:rsidRPr="00507A31">
        <w:rPr>
          <w:color w:val="0070C0"/>
          <w:sz w:val="16"/>
          <w:szCs w:val="16"/>
        </w:rPr>
        <w:softHyphen/>
        <w:t>ум ВСНХ передал институт Всесоюзному автотрак</w:t>
      </w:r>
      <w:r w:rsidRPr="00507A31">
        <w:rPr>
          <w:color w:val="0070C0"/>
          <w:sz w:val="16"/>
          <w:szCs w:val="16"/>
        </w:rPr>
        <w:softHyphen/>
        <w:t>торному объединению (ВАТО) Главного управления автомобильной и тракторной промышленности (ГУТАП) (22518).</w:t>
      </w:r>
    </w:p>
    <w:p w14:paraId="5E73571F" w14:textId="77777777" w:rsidR="00EA1E07" w:rsidRPr="00507A31" w:rsidRDefault="00EA1E07" w:rsidP="00507A31">
      <w:pPr>
        <w:jc w:val="both"/>
        <w:rPr>
          <w:color w:val="0070C0"/>
          <w:sz w:val="16"/>
          <w:szCs w:val="16"/>
        </w:rPr>
      </w:pPr>
    </w:p>
    <w:p w14:paraId="02AEA217" w14:textId="77777777" w:rsidR="00EA1E07" w:rsidRPr="00507A31" w:rsidRDefault="00EA1E07" w:rsidP="00507A31">
      <w:pPr>
        <w:jc w:val="both"/>
        <w:rPr>
          <w:color w:val="0070C0"/>
          <w:sz w:val="16"/>
          <w:szCs w:val="16"/>
        </w:rPr>
      </w:pPr>
      <w:r w:rsidRPr="00507A31">
        <w:rPr>
          <w:color w:val="0070C0"/>
          <w:sz w:val="16"/>
          <w:szCs w:val="16"/>
          <w:lang w:bidi="ru-RU"/>
        </w:rPr>
        <w:t>Летом 1930 года Задание на постройку И-5 выдали заводу № 1. Запуск в серию самолета И-5 на московском заводе № 1 шел трудно. В конце года заказчику не сдали ни одного самолета. Только год спустя истребители стали выходить из сбором ного цеха завода № 1 (21100).</w:t>
      </w:r>
    </w:p>
    <w:p w14:paraId="008CF14D" w14:textId="77777777" w:rsidR="00EA1E07" w:rsidRPr="00507A31" w:rsidRDefault="00EA1E07" w:rsidP="00507A31">
      <w:pPr>
        <w:jc w:val="both"/>
        <w:rPr>
          <w:color w:val="0070C0"/>
          <w:sz w:val="16"/>
          <w:szCs w:val="16"/>
          <w:lang w:bidi="ru-RU"/>
        </w:rPr>
      </w:pPr>
    </w:p>
    <w:p w14:paraId="57A228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Летом 1930 г. после удачной демонстрации истребителя И-5 с двигателем М-15 наркомвоенмору К.Е. Ворошилову, директор завода № 24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507A31">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w:t>
      </w:r>
      <w:r w:rsidRPr="00507A31">
        <w:rPr>
          <w:color w:val="000000" w:themeColor="text1"/>
          <w:sz w:val="16"/>
          <w:szCs w:val="16"/>
          <w:lang w:val="en-US"/>
        </w:rPr>
        <w:t>W</w:t>
      </w:r>
      <w:r w:rsidRPr="00507A31">
        <w:rPr>
          <w:color w:val="000000" w:themeColor="text1"/>
          <w:sz w:val="16"/>
          <w:szCs w:val="16"/>
        </w:rPr>
        <w:t xml:space="preserve"> У1Ь (новые седла клапанов, коленчатый вал с измененным хвостовиком, гофрированные ру</w:t>
      </w:r>
      <w:r w:rsidRPr="00507A31">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507A31">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07A31">
        <w:rPr>
          <w:color w:val="000000" w:themeColor="text1"/>
          <w:sz w:val="16"/>
          <w:szCs w:val="16"/>
        </w:rPr>
        <w:softHyphen/>
        <w:t>лись целые серии высотных двигателей. Например, все моторы, входив</w:t>
      </w:r>
      <w:r w:rsidRPr="00507A31">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07A31">
        <w:rPr>
          <w:color w:val="000000" w:themeColor="text1"/>
          <w:sz w:val="16"/>
          <w:szCs w:val="16"/>
        </w:rPr>
        <w:softHyphen/>
        <w:t>лись планы его последующей модернизации. При этом не только следова</w:t>
      </w:r>
      <w:r w:rsidRPr="00507A31">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07A31">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07A31">
        <w:rPr>
          <w:color w:val="000000" w:themeColor="text1"/>
          <w:sz w:val="16"/>
          <w:szCs w:val="16"/>
        </w:rPr>
        <w:softHyphen/>
        <w:t xml:space="preserve">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w:t>
      </w:r>
      <w:r w:rsidRPr="00507A31">
        <w:rPr>
          <w:color w:val="000000" w:themeColor="text1"/>
          <w:sz w:val="16"/>
          <w:szCs w:val="16"/>
        </w:rPr>
        <w:lastRenderedPageBreak/>
        <w:t>М-17 из за</w:t>
      </w:r>
      <w:r w:rsidRPr="00507A31">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07A31">
        <w:rPr>
          <w:color w:val="000000" w:themeColor="text1"/>
          <w:sz w:val="16"/>
          <w:szCs w:val="16"/>
        </w:rPr>
        <w:softHyphen/>
        <w:t>ны всего производства авиадвигателей в стране. Далее же начался спад (11852).</w:t>
      </w:r>
    </w:p>
    <w:p w14:paraId="030824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A7A67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под Пермью прямо в лесу начали строительство завода 19 (1133,7).</w:t>
      </w:r>
    </w:p>
    <w:p w14:paraId="74D35612" w14:textId="77777777" w:rsidR="00537E5F" w:rsidRPr="00507A31" w:rsidRDefault="00537E5F" w:rsidP="00507A31">
      <w:pPr>
        <w:autoSpaceDE w:val="0"/>
        <w:autoSpaceDN w:val="0"/>
        <w:adjustRightInd w:val="0"/>
        <w:jc w:val="both"/>
        <w:rPr>
          <w:color w:val="000000" w:themeColor="text1"/>
          <w:sz w:val="16"/>
          <w:szCs w:val="16"/>
        </w:rPr>
      </w:pPr>
    </w:p>
    <w:p w14:paraId="6A99F5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 на завод № 39 с инспекцией прибыл В.Р.Менжинский. В память об этом событии председа</w:t>
      </w:r>
      <w:r w:rsidRPr="00507A31">
        <w:rPr>
          <w:color w:val="000000" w:themeColor="text1"/>
          <w:sz w:val="16"/>
          <w:szCs w:val="16"/>
        </w:rPr>
        <w:softHyphen/>
        <w:t>тель ОГПУ решил сфотографироваться с руководством, охранниками и заключенными. На сохранившемся снимке мы видим начальника ЦКБ Горьянова, директо</w:t>
      </w:r>
      <w:r w:rsidRPr="00507A31">
        <w:rPr>
          <w:color w:val="000000" w:themeColor="text1"/>
          <w:sz w:val="16"/>
          <w:szCs w:val="16"/>
        </w:rPr>
        <w:softHyphen/>
        <w:t>ра завода Пауфлера, Григоровича, Корвина, Михельсона, Майоранова, других конструкторов и летчиков. Нико</w:t>
      </w:r>
      <w:r w:rsidRPr="00507A31">
        <w:rPr>
          <w:color w:val="000000" w:themeColor="text1"/>
          <w:sz w:val="16"/>
          <w:szCs w:val="16"/>
        </w:rPr>
        <w:softHyphen/>
        <w:t>лай Николаевич стоял сзади, за спинами. Его голова про</w:t>
      </w:r>
      <w:r w:rsidRPr="00507A31">
        <w:rPr>
          <w:color w:val="000000" w:themeColor="text1"/>
          <w:sz w:val="16"/>
          <w:szCs w:val="16"/>
        </w:rPr>
        <w:softHyphen/>
        <w:t>сматривается за Н.Г.Михельсоном и В.Л.Корвиным (10667).</w:t>
      </w:r>
    </w:p>
    <w:p w14:paraId="2F76122E" w14:textId="77777777" w:rsidR="00537E5F" w:rsidRPr="00507A31" w:rsidRDefault="00537E5F" w:rsidP="00507A31">
      <w:pPr>
        <w:autoSpaceDE w:val="0"/>
        <w:autoSpaceDN w:val="0"/>
        <w:adjustRightInd w:val="0"/>
        <w:jc w:val="both"/>
        <w:rPr>
          <w:color w:val="000000" w:themeColor="text1"/>
          <w:sz w:val="16"/>
          <w:szCs w:val="16"/>
        </w:rPr>
      </w:pPr>
    </w:p>
    <w:p w14:paraId="5FA44E78" w14:textId="77777777" w:rsidR="00EA2934" w:rsidRPr="00507A31" w:rsidRDefault="00EA2934" w:rsidP="00507A31">
      <w:pPr>
        <w:jc w:val="both"/>
        <w:rPr>
          <w:color w:val="000000" w:themeColor="text1"/>
          <w:sz w:val="16"/>
          <w:szCs w:val="16"/>
        </w:rPr>
      </w:pPr>
      <w:r w:rsidRPr="00507A31">
        <w:rPr>
          <w:color w:val="000000" w:themeColor="text1"/>
          <w:sz w:val="16"/>
          <w:szCs w:val="16"/>
        </w:rPr>
        <w:t>Летом 1930 г. немецкие дымовые приборы оп</w:t>
      </w:r>
      <w:r w:rsidRPr="00507A31">
        <w:rPr>
          <w:color w:val="000000" w:themeColor="text1"/>
          <w:sz w:val="16"/>
          <w:szCs w:val="16"/>
        </w:rPr>
        <w:softHyphen/>
        <w:t>робовали в ходе Горо- ховецких учений. Они ус</w:t>
      </w:r>
      <w:r w:rsidRPr="00507A31">
        <w:rPr>
          <w:color w:val="000000" w:themeColor="text1"/>
          <w:sz w:val="16"/>
          <w:szCs w:val="16"/>
        </w:rPr>
        <w:softHyphen/>
        <w:t>танавливались на само</w:t>
      </w:r>
      <w:r w:rsidRPr="00507A31">
        <w:rPr>
          <w:color w:val="000000" w:themeColor="text1"/>
          <w:sz w:val="16"/>
          <w:szCs w:val="16"/>
        </w:rPr>
        <w:softHyphen/>
        <w:t>летах Р-5, ТБ-1 и ЮГ-1. Эти машины ставили дымовые завесы над по</w:t>
      </w:r>
      <w:r w:rsidRPr="00507A31">
        <w:rPr>
          <w:color w:val="000000" w:themeColor="text1"/>
          <w:sz w:val="16"/>
          <w:szCs w:val="16"/>
        </w:rPr>
        <w:softHyphen/>
        <w:t>лем «боя» и достигли не</w:t>
      </w:r>
      <w:r w:rsidRPr="00507A31">
        <w:rPr>
          <w:color w:val="000000" w:themeColor="text1"/>
          <w:sz w:val="16"/>
          <w:szCs w:val="16"/>
        </w:rPr>
        <w:softHyphen/>
        <w:t>плохих результатов.</w:t>
      </w:r>
    </w:p>
    <w:p w14:paraId="3D6330AE" w14:textId="77777777" w:rsidR="00EA2934" w:rsidRPr="00507A31" w:rsidRDefault="00EA2934" w:rsidP="00507A31">
      <w:pPr>
        <w:jc w:val="both"/>
        <w:rPr>
          <w:color w:val="000000" w:themeColor="text1"/>
          <w:sz w:val="16"/>
          <w:szCs w:val="16"/>
        </w:rPr>
      </w:pPr>
      <w:r w:rsidRPr="00507A31">
        <w:rPr>
          <w:color w:val="000000" w:themeColor="text1"/>
          <w:sz w:val="16"/>
          <w:szCs w:val="16"/>
        </w:rPr>
        <w:t>Освоение производства дымо</w:t>
      </w:r>
      <w:r w:rsidRPr="00507A31">
        <w:rPr>
          <w:color w:val="000000" w:themeColor="text1"/>
          <w:sz w:val="16"/>
          <w:szCs w:val="16"/>
        </w:rPr>
        <w:softHyphen/>
        <w:t>вых приборов поручили заводу «Промет» в Москве. Их начали де</w:t>
      </w:r>
      <w:r w:rsidRPr="00507A31">
        <w:rPr>
          <w:color w:val="000000" w:themeColor="text1"/>
          <w:sz w:val="16"/>
          <w:szCs w:val="16"/>
        </w:rPr>
        <w:softHyphen/>
        <w:t>лать в больших количествах с 1932 г. Советский ДАП-100 имел рабочий объем 85 л и вес 155 кг. Смесь вы</w:t>
      </w:r>
      <w:r w:rsidRPr="00507A31">
        <w:rPr>
          <w:color w:val="000000" w:themeColor="text1"/>
          <w:sz w:val="16"/>
          <w:szCs w:val="16"/>
        </w:rPr>
        <w:softHyphen/>
        <w:t>ходила из него за 23—30 с. Внешне наше изделие можно было отличить по передней крышке, которую сде</w:t>
      </w:r>
      <w:r w:rsidRPr="00507A31">
        <w:rPr>
          <w:color w:val="000000" w:themeColor="text1"/>
          <w:sz w:val="16"/>
          <w:szCs w:val="16"/>
        </w:rPr>
        <w:softHyphen/>
        <w:t>лали не полусферической, а почти плоской. Эта копия Г-1 обходилась гораздо дешевле немецкого ориги</w:t>
      </w:r>
      <w:r w:rsidRPr="00507A31">
        <w:rPr>
          <w:color w:val="000000" w:themeColor="text1"/>
          <w:sz w:val="16"/>
          <w:szCs w:val="16"/>
        </w:rPr>
        <w:softHyphen/>
        <w:t>нала — 350 рублей (правда, цена рублю тогда была другая). Позже, с 1934 г., выпуск ДАП-200 начали на другом московском заводе — «Компрессор».</w:t>
      </w:r>
    </w:p>
    <w:p w14:paraId="214F49F2" w14:textId="77777777" w:rsidR="00EA2934" w:rsidRPr="00507A31" w:rsidRDefault="00EA2934" w:rsidP="00507A31">
      <w:pPr>
        <w:jc w:val="both"/>
        <w:rPr>
          <w:color w:val="000000" w:themeColor="text1"/>
          <w:sz w:val="16"/>
          <w:szCs w:val="16"/>
        </w:rPr>
      </w:pPr>
      <w:r w:rsidRPr="00507A31">
        <w:rPr>
          <w:color w:val="000000" w:themeColor="text1"/>
          <w:sz w:val="16"/>
          <w:szCs w:val="16"/>
        </w:rPr>
        <w:t>На Р-5 первоначально монтиро</w:t>
      </w:r>
      <w:r w:rsidRPr="00507A31">
        <w:rPr>
          <w:color w:val="000000" w:themeColor="text1"/>
          <w:sz w:val="16"/>
          <w:szCs w:val="16"/>
        </w:rPr>
        <w:softHyphen/>
        <w:t>вался один ДАП-100: резервуар со смесью размещался под фюзеляжем, а баллон со сжатым воздухом (на 25 л) — слева под нижним крылом. Выпускные трубы прибора шли че</w:t>
      </w:r>
      <w:r w:rsidRPr="00507A31">
        <w:rPr>
          <w:color w:val="000000" w:themeColor="text1"/>
          <w:sz w:val="16"/>
          <w:szCs w:val="16"/>
        </w:rPr>
        <w:softHyphen/>
        <w:t>рез фюзеляж и выходили под хвос</w:t>
      </w:r>
      <w:r w:rsidRPr="00507A31">
        <w:rPr>
          <w:color w:val="000000" w:themeColor="text1"/>
          <w:sz w:val="16"/>
          <w:szCs w:val="16"/>
        </w:rPr>
        <w:softHyphen/>
        <w:t>товым оперением. ТБ-1 нес два ДАП- 200 под центропланом, а два воз</w:t>
      </w:r>
      <w:r w:rsidRPr="00507A31">
        <w:rPr>
          <w:color w:val="000000" w:themeColor="text1"/>
          <w:sz w:val="16"/>
          <w:szCs w:val="16"/>
        </w:rPr>
        <w:softHyphen/>
        <w:t>душных баллона по 37 л размеща</w:t>
      </w:r>
      <w:r w:rsidRPr="00507A31">
        <w:rPr>
          <w:color w:val="000000" w:themeColor="text1"/>
          <w:sz w:val="16"/>
          <w:szCs w:val="16"/>
        </w:rPr>
        <w:softHyphen/>
        <w:t>лись в задней кабине. Трубы выводи</w:t>
      </w:r>
      <w:r w:rsidRPr="00507A31">
        <w:rPr>
          <w:color w:val="000000" w:themeColor="text1"/>
          <w:sz w:val="16"/>
          <w:szCs w:val="16"/>
        </w:rPr>
        <w:softHyphen/>
        <w:t>лись под стабилизатор. На трехмо</w:t>
      </w:r>
      <w:r w:rsidRPr="00507A31">
        <w:rPr>
          <w:color w:val="000000" w:themeColor="text1"/>
          <w:sz w:val="16"/>
          <w:szCs w:val="16"/>
        </w:rPr>
        <w:softHyphen/>
        <w:t>торном бомбардировщике ЮГ-1 — два ДАП-200 подвешивали под фю</w:t>
      </w:r>
      <w:r w:rsidRPr="00507A31">
        <w:rPr>
          <w:color w:val="000000" w:themeColor="text1"/>
          <w:sz w:val="16"/>
          <w:szCs w:val="16"/>
        </w:rPr>
        <w:softHyphen/>
        <w:t>зеляжем.</w:t>
      </w:r>
    </w:p>
    <w:p w14:paraId="79D48E5F" w14:textId="77777777" w:rsidR="00EA2934" w:rsidRPr="00507A31" w:rsidRDefault="00EA2934" w:rsidP="00507A31">
      <w:pPr>
        <w:jc w:val="both"/>
        <w:rPr>
          <w:color w:val="000000" w:themeColor="text1"/>
          <w:sz w:val="16"/>
          <w:szCs w:val="16"/>
        </w:rPr>
      </w:pPr>
      <w:r w:rsidRPr="00507A31">
        <w:rPr>
          <w:color w:val="000000" w:themeColor="text1"/>
          <w:sz w:val="16"/>
          <w:szCs w:val="16"/>
        </w:rPr>
        <w:t>По планам намечалось оснас</w:t>
      </w:r>
      <w:r w:rsidRPr="00507A31">
        <w:rPr>
          <w:color w:val="000000" w:themeColor="text1"/>
          <w:sz w:val="16"/>
          <w:szCs w:val="16"/>
        </w:rPr>
        <w:softHyphen/>
        <w:t>тить дымовыми приборами истре</w:t>
      </w:r>
      <w:r w:rsidRPr="00507A31">
        <w:rPr>
          <w:color w:val="000000" w:themeColor="text1"/>
          <w:sz w:val="16"/>
          <w:szCs w:val="16"/>
        </w:rPr>
        <w:softHyphen/>
        <w:t>битель И-5 (один ДАП-100) и лета</w:t>
      </w:r>
      <w:r w:rsidRPr="00507A31">
        <w:rPr>
          <w:color w:val="000000" w:themeColor="text1"/>
          <w:sz w:val="16"/>
          <w:szCs w:val="16"/>
        </w:rPr>
        <w:softHyphen/>
        <w:t>ющие лодки С-62Б и ДВ («Валь») — на обеих по одному ДАП-200. На «Воле» прибор хотели крепить сверху на фюзеляже под мотоуста</w:t>
      </w:r>
      <w:r w:rsidRPr="00507A31">
        <w:rPr>
          <w:color w:val="000000" w:themeColor="text1"/>
          <w:sz w:val="16"/>
          <w:szCs w:val="16"/>
        </w:rPr>
        <w:softHyphen/>
        <w:t>новкой, баллон уложить внутри лодки у задней турели, а трубы вести поверх палубы лодки к ста</w:t>
      </w:r>
      <w:r w:rsidRPr="00507A31">
        <w:rPr>
          <w:color w:val="000000" w:themeColor="text1"/>
          <w:sz w:val="16"/>
          <w:szCs w:val="16"/>
        </w:rPr>
        <w:softHyphen/>
        <w:t>билизатору. На С-62Б ДАП-200 со</w:t>
      </w:r>
      <w:r w:rsidRPr="00507A31">
        <w:rPr>
          <w:color w:val="000000" w:themeColor="text1"/>
          <w:sz w:val="16"/>
          <w:szCs w:val="16"/>
        </w:rPr>
        <w:softHyphen/>
        <w:t>бирались крепить сверху на ниж</w:t>
      </w:r>
      <w:r w:rsidRPr="00507A31">
        <w:rPr>
          <w:color w:val="000000" w:themeColor="text1"/>
          <w:sz w:val="16"/>
          <w:szCs w:val="16"/>
        </w:rPr>
        <w:softHyphen/>
        <w:t>нем крыле, под мотором.</w:t>
      </w:r>
    </w:p>
    <w:p w14:paraId="6A66BAF6" w14:textId="77777777" w:rsidR="00EA2934" w:rsidRPr="00507A31" w:rsidRDefault="00EA2934" w:rsidP="00507A31">
      <w:pPr>
        <w:jc w:val="both"/>
        <w:rPr>
          <w:color w:val="000000" w:themeColor="text1"/>
          <w:sz w:val="16"/>
          <w:szCs w:val="16"/>
        </w:rPr>
      </w:pPr>
      <w:r w:rsidRPr="00507A31">
        <w:rPr>
          <w:color w:val="000000" w:themeColor="text1"/>
          <w:sz w:val="16"/>
          <w:szCs w:val="16"/>
        </w:rPr>
        <w:t>Оба варианта дымового прибо</w:t>
      </w:r>
      <w:r w:rsidRPr="00507A31">
        <w:rPr>
          <w:color w:val="000000" w:themeColor="text1"/>
          <w:sz w:val="16"/>
          <w:szCs w:val="16"/>
        </w:rPr>
        <w:softHyphen/>
        <w:t>ра выпускались заводом «Промет» в больших количествах и стали обя</w:t>
      </w:r>
      <w:r w:rsidRPr="00507A31">
        <w:rPr>
          <w:color w:val="000000" w:themeColor="text1"/>
          <w:sz w:val="16"/>
          <w:szCs w:val="16"/>
        </w:rPr>
        <w:softHyphen/>
        <w:t>зательным элементом комплектации многих типов самолетов. Но вот размещение их на машинах сильно отличалось от первоначального. От проводки труб к хвосту самолета повсеместно отказались. Так, в 1931 —1933-х гг. спроектировали несколько вариантов подвески ДАП- 100 под разведчиком Р-5. Но окон</w:t>
      </w:r>
      <w:r w:rsidRPr="00507A31">
        <w:rPr>
          <w:color w:val="000000" w:themeColor="text1"/>
          <w:sz w:val="16"/>
          <w:szCs w:val="16"/>
        </w:rPr>
        <w:softHyphen/>
        <w:t>чательно утвержденного варианта довольно долго не было. Посколь</w:t>
      </w:r>
      <w:r w:rsidRPr="00507A31">
        <w:rPr>
          <w:color w:val="000000" w:themeColor="text1"/>
          <w:sz w:val="16"/>
          <w:szCs w:val="16"/>
        </w:rPr>
        <w:softHyphen/>
        <w:t>ку приборы уже направлялись в строевые части, то там поступали по-своему, множа количество вари</w:t>
      </w:r>
      <w:r w:rsidRPr="00507A31">
        <w:rPr>
          <w:color w:val="000000" w:themeColor="text1"/>
          <w:sz w:val="16"/>
          <w:szCs w:val="16"/>
        </w:rPr>
        <w:softHyphen/>
        <w:t>антов. То же происходило и с дру</w:t>
      </w:r>
      <w:r w:rsidRPr="00507A31">
        <w:rPr>
          <w:color w:val="000000" w:themeColor="text1"/>
          <w:sz w:val="16"/>
          <w:szCs w:val="16"/>
        </w:rPr>
        <w:softHyphen/>
        <w:t>гими типами самолетов.</w:t>
      </w:r>
    </w:p>
    <w:p w14:paraId="021F514D" w14:textId="77777777" w:rsidR="00EA2934" w:rsidRPr="00507A31" w:rsidRDefault="00EA2934" w:rsidP="00507A31">
      <w:pPr>
        <w:jc w:val="both"/>
        <w:rPr>
          <w:color w:val="000000" w:themeColor="text1"/>
          <w:sz w:val="16"/>
          <w:szCs w:val="16"/>
        </w:rPr>
      </w:pPr>
      <w:r w:rsidRPr="00507A31">
        <w:rPr>
          <w:color w:val="000000" w:themeColor="text1"/>
          <w:sz w:val="16"/>
          <w:szCs w:val="16"/>
        </w:rPr>
        <w:t>Так, в ВВС Балтийского флота по-своему оснастили летающую лодку С-62Б. Два ДАП-100 подве</w:t>
      </w:r>
      <w:r w:rsidRPr="00507A31">
        <w:rPr>
          <w:color w:val="000000" w:themeColor="text1"/>
          <w:sz w:val="16"/>
          <w:szCs w:val="16"/>
        </w:rPr>
        <w:softHyphen/>
        <w:t>сили под нижним крылом на держа</w:t>
      </w:r>
      <w:r w:rsidRPr="00507A31">
        <w:rPr>
          <w:color w:val="000000" w:themeColor="text1"/>
          <w:sz w:val="16"/>
          <w:szCs w:val="16"/>
        </w:rPr>
        <w:softHyphen/>
        <w:t>телях для 250-кг бомб с помощью тросовых бандажей. Два баллона сжатого воздуха по 24 л держались на деревянных кронштейнах на полу лодки за местами пилотов. Редук</w:t>
      </w:r>
      <w:r w:rsidRPr="00507A31">
        <w:rPr>
          <w:color w:val="000000" w:themeColor="text1"/>
          <w:sz w:val="16"/>
          <w:szCs w:val="16"/>
        </w:rPr>
        <w:softHyphen/>
        <w:t>торы закрепили на шпангоуте.</w:t>
      </w:r>
    </w:p>
    <w:p w14:paraId="067EB9F6" w14:textId="77777777" w:rsidR="00EA2934" w:rsidRPr="00507A31" w:rsidRDefault="00EA2934" w:rsidP="00507A31">
      <w:pPr>
        <w:jc w:val="both"/>
        <w:rPr>
          <w:color w:val="000000" w:themeColor="text1"/>
          <w:sz w:val="16"/>
          <w:szCs w:val="16"/>
        </w:rPr>
      </w:pPr>
      <w:r w:rsidRPr="00507A31">
        <w:rPr>
          <w:color w:val="000000" w:themeColor="text1"/>
          <w:sz w:val="16"/>
          <w:szCs w:val="16"/>
        </w:rPr>
        <w:t>На Черном море «Валь» стал не</w:t>
      </w:r>
      <w:r w:rsidRPr="00507A31">
        <w:rPr>
          <w:color w:val="000000" w:themeColor="text1"/>
          <w:sz w:val="16"/>
          <w:szCs w:val="16"/>
        </w:rPr>
        <w:softHyphen/>
        <w:t>сти два ДАП-200. Подробности кон</w:t>
      </w:r>
      <w:r w:rsidRPr="00507A31">
        <w:rPr>
          <w:color w:val="000000" w:themeColor="text1"/>
          <w:sz w:val="16"/>
          <w:szCs w:val="16"/>
        </w:rPr>
        <w:softHyphen/>
        <w:t>струкции этого варианта выяснить не удалось, но он проходил испы</w:t>
      </w:r>
      <w:r w:rsidRPr="00507A31">
        <w:rPr>
          <w:color w:val="000000" w:themeColor="text1"/>
          <w:sz w:val="16"/>
          <w:szCs w:val="16"/>
        </w:rPr>
        <w:softHyphen/>
        <w:t>тания в Севастополе осенью 1934 г. Летал экипаж пилота Михайлова. Результат оказался неудовлетвори</w:t>
      </w:r>
      <w:r w:rsidRPr="00507A31">
        <w:rPr>
          <w:color w:val="000000" w:themeColor="text1"/>
          <w:sz w:val="16"/>
          <w:szCs w:val="16"/>
        </w:rPr>
        <w:softHyphen/>
        <w:t>тельным: завеса оказалась неустой</w:t>
      </w:r>
      <w:r w:rsidRPr="00507A31">
        <w:rPr>
          <w:color w:val="000000" w:themeColor="text1"/>
          <w:sz w:val="16"/>
          <w:szCs w:val="16"/>
        </w:rPr>
        <w:softHyphen/>
        <w:t>чивой, ее маскирующие свойства — плохими.</w:t>
      </w:r>
    </w:p>
    <w:p w14:paraId="46B0D4AE" w14:textId="77777777" w:rsidR="00EA2934" w:rsidRPr="00507A31" w:rsidRDefault="00EA2934" w:rsidP="00507A31">
      <w:pPr>
        <w:jc w:val="both"/>
        <w:rPr>
          <w:color w:val="000000" w:themeColor="text1"/>
          <w:sz w:val="16"/>
          <w:szCs w:val="16"/>
        </w:rPr>
      </w:pPr>
      <w:r w:rsidRPr="00507A31">
        <w:rPr>
          <w:color w:val="000000" w:themeColor="text1"/>
          <w:sz w:val="16"/>
          <w:szCs w:val="16"/>
        </w:rPr>
        <w:t>Для Р-5 в конце концов остано</w:t>
      </w:r>
      <w:r w:rsidRPr="00507A31">
        <w:rPr>
          <w:color w:val="000000" w:themeColor="text1"/>
          <w:sz w:val="16"/>
          <w:szCs w:val="16"/>
        </w:rPr>
        <w:softHyphen/>
        <w:t>вились на подвеске двух ДАП-100 на поясной подвеске под нижним крылом (на большинстве машин — на Дер-7, на поздних сериях — на Дер-31), а общий баллон помести</w:t>
      </w:r>
      <w:r w:rsidRPr="00507A31">
        <w:rPr>
          <w:color w:val="000000" w:themeColor="text1"/>
          <w:sz w:val="16"/>
          <w:szCs w:val="16"/>
        </w:rPr>
        <w:softHyphen/>
        <w:t>ли под местом летчика на кронш</w:t>
      </w:r>
      <w:r w:rsidRPr="00507A31">
        <w:rPr>
          <w:color w:val="000000" w:themeColor="text1"/>
          <w:sz w:val="16"/>
          <w:szCs w:val="16"/>
        </w:rPr>
        <w:softHyphen/>
        <w:t>тейнах. Редуктор монтировали в задней кабине. Ни фюзеляж, ни оперение при этом смесью не заб</w:t>
      </w:r>
      <w:r w:rsidRPr="00507A31">
        <w:rPr>
          <w:color w:val="000000" w:themeColor="text1"/>
          <w:sz w:val="16"/>
          <w:szCs w:val="16"/>
        </w:rPr>
        <w:softHyphen/>
        <w:t>рызгивались. Открывание осуществ</w:t>
      </w:r>
      <w:r w:rsidRPr="00507A31">
        <w:rPr>
          <w:color w:val="000000" w:themeColor="text1"/>
          <w:sz w:val="16"/>
          <w:szCs w:val="16"/>
        </w:rPr>
        <w:softHyphen/>
        <w:t>лялось тросами. Можно было за</w:t>
      </w:r>
      <w:r w:rsidRPr="00507A31">
        <w:rPr>
          <w:color w:val="000000" w:themeColor="text1"/>
          <w:sz w:val="16"/>
          <w:szCs w:val="16"/>
        </w:rPr>
        <w:softHyphen/>
        <w:t>действовать один ДАП-100 или оба сразу. При необходимости прибор сбрасывался в полете. На штурмо</w:t>
      </w:r>
      <w:r w:rsidRPr="00507A31">
        <w:rPr>
          <w:color w:val="000000" w:themeColor="text1"/>
          <w:sz w:val="16"/>
          <w:szCs w:val="16"/>
        </w:rPr>
        <w:softHyphen/>
        <w:t>вике ССС (ЗС), являвшемся разви</w:t>
      </w:r>
      <w:r w:rsidRPr="00507A31">
        <w:rPr>
          <w:color w:val="000000" w:themeColor="text1"/>
          <w:sz w:val="16"/>
          <w:szCs w:val="16"/>
        </w:rPr>
        <w:softHyphen/>
        <w:t>тием Р-5, место в фюзеляже было занято бомбоотсеком. Поэтому баллоны (у каждого ДАП-100 — свой) перенесли под крыло, распо</w:t>
      </w:r>
      <w:r w:rsidRPr="00507A31">
        <w:rPr>
          <w:color w:val="000000" w:themeColor="text1"/>
          <w:sz w:val="16"/>
          <w:szCs w:val="16"/>
        </w:rPr>
        <w:softHyphen/>
        <w:t>ложив их ближе к оси самолета. Этот вариант опробовали в мае 1935 г. и сочли удовлетворитель</w:t>
      </w:r>
      <w:r w:rsidRPr="00507A31">
        <w:rPr>
          <w:color w:val="000000" w:themeColor="text1"/>
          <w:sz w:val="16"/>
          <w:szCs w:val="16"/>
        </w:rPr>
        <w:softHyphen/>
        <w:t>ным. А вот на поплавковом Р-5а один ДАП-100 крепился на держателях Дер-7 под фюзеляжем. Такой способ опробовался на испытани</w:t>
      </w:r>
      <w:r w:rsidRPr="00507A31">
        <w:rPr>
          <w:color w:val="000000" w:themeColor="text1"/>
          <w:sz w:val="16"/>
          <w:szCs w:val="16"/>
        </w:rPr>
        <w:softHyphen/>
        <w:t>ях в октябре 1 934 г. в Севастополе. В том же году испытывался и вари</w:t>
      </w:r>
      <w:r w:rsidRPr="00507A31">
        <w:rPr>
          <w:color w:val="000000" w:themeColor="text1"/>
          <w:sz w:val="16"/>
          <w:szCs w:val="16"/>
        </w:rPr>
        <w:softHyphen/>
        <w:t>ант с двумя ДАП-100, аналогичный применявшемуся на сухопутном Р-5.</w:t>
      </w:r>
    </w:p>
    <w:p w14:paraId="08DBFE88" w14:textId="77777777" w:rsidR="00EA2934" w:rsidRPr="00507A31" w:rsidRDefault="00EA2934" w:rsidP="00507A31">
      <w:pPr>
        <w:jc w:val="both"/>
        <w:rPr>
          <w:color w:val="000000" w:themeColor="text1"/>
          <w:sz w:val="16"/>
          <w:szCs w:val="16"/>
        </w:rPr>
      </w:pPr>
      <w:r w:rsidRPr="00507A31">
        <w:rPr>
          <w:color w:val="000000" w:themeColor="text1"/>
          <w:sz w:val="16"/>
          <w:szCs w:val="16"/>
        </w:rPr>
        <w:t>ДАП-100 стал самым массовым авиационным дымовым прибором довоенной поры. Больший по емко</w:t>
      </w:r>
      <w:r w:rsidRPr="00507A31">
        <w:rPr>
          <w:color w:val="000000" w:themeColor="text1"/>
          <w:sz w:val="16"/>
          <w:szCs w:val="16"/>
        </w:rPr>
        <w:softHyphen/>
        <w:t>сти ДАП-200 применялся на бом</w:t>
      </w:r>
      <w:r w:rsidRPr="00507A31">
        <w:rPr>
          <w:color w:val="000000" w:themeColor="text1"/>
          <w:sz w:val="16"/>
          <w:szCs w:val="16"/>
        </w:rPr>
        <w:softHyphen/>
        <w:t>бардировщиках ЮГ-1 и ТБ-1, но они довольно быстро «сошли со сцены» и были переданы в транспортные подразделения. Дольше продержал</w:t>
      </w:r>
      <w:r w:rsidRPr="00507A31">
        <w:rPr>
          <w:color w:val="000000" w:themeColor="text1"/>
          <w:sz w:val="16"/>
          <w:szCs w:val="16"/>
        </w:rPr>
        <w:softHyphen/>
        <w:t>ся «Валь», но и их все сняли с воо</w:t>
      </w:r>
      <w:r w:rsidRPr="00507A31">
        <w:rPr>
          <w:color w:val="000000" w:themeColor="text1"/>
          <w:sz w:val="16"/>
          <w:szCs w:val="16"/>
        </w:rPr>
        <w:softHyphen/>
        <w:t>ружения к концу 1937 г. Далее ДАП- 200 не применялись вообще. А вот ДАП-100 служили долго на многих типах самолетов (12269).</w:t>
      </w:r>
    </w:p>
    <w:p w14:paraId="7AC05E1A" w14:textId="77777777" w:rsidR="00EA2934" w:rsidRPr="00507A31" w:rsidRDefault="00EA2934" w:rsidP="00507A31">
      <w:pPr>
        <w:jc w:val="both"/>
        <w:rPr>
          <w:color w:val="000000" w:themeColor="text1"/>
          <w:sz w:val="16"/>
          <w:szCs w:val="16"/>
        </w:rPr>
      </w:pPr>
    </w:p>
    <w:p w14:paraId="40E6FC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 на перкалевых «эр</w:t>
      </w:r>
      <w:r w:rsidRPr="00507A31">
        <w:rPr>
          <w:color w:val="000000" w:themeColor="text1"/>
          <w:sz w:val="16"/>
          <w:szCs w:val="16"/>
        </w:rPr>
        <w:softHyphen/>
        <w:t>зац-парашютах» с ТБ-1 сбрасыва</w:t>
      </w:r>
      <w:r w:rsidRPr="00507A31">
        <w:rPr>
          <w:color w:val="000000" w:themeColor="text1"/>
          <w:sz w:val="16"/>
          <w:szCs w:val="16"/>
        </w:rPr>
        <w:softHyphen/>
        <w:t>ли манекены. Испытания прошли успешно (10690).</w:t>
      </w:r>
    </w:p>
    <w:p w14:paraId="78668BB1" w14:textId="77777777" w:rsidR="00537E5F" w:rsidRPr="00507A31" w:rsidRDefault="00537E5F" w:rsidP="00507A31">
      <w:pPr>
        <w:autoSpaceDE w:val="0"/>
        <w:autoSpaceDN w:val="0"/>
        <w:adjustRightInd w:val="0"/>
        <w:jc w:val="both"/>
        <w:rPr>
          <w:color w:val="000000" w:themeColor="text1"/>
          <w:sz w:val="16"/>
          <w:szCs w:val="16"/>
        </w:rPr>
      </w:pPr>
    </w:p>
    <w:p w14:paraId="1109EA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 Л.Г.Минов при</w:t>
      </w:r>
      <w:r w:rsidRPr="00507A31">
        <w:rPr>
          <w:color w:val="000000" w:themeColor="text1"/>
          <w:sz w:val="16"/>
          <w:szCs w:val="16"/>
        </w:rPr>
        <w:softHyphen/>
        <w:t>быв в Воронеж для обу</w:t>
      </w:r>
      <w:r w:rsidRPr="00507A31">
        <w:rPr>
          <w:color w:val="000000" w:themeColor="text1"/>
          <w:sz w:val="16"/>
          <w:szCs w:val="16"/>
        </w:rPr>
        <w:softHyphen/>
        <w:t>чения парашютным прыжкам экипа</w:t>
      </w:r>
      <w:r w:rsidRPr="00507A31">
        <w:rPr>
          <w:color w:val="000000" w:themeColor="text1"/>
          <w:sz w:val="16"/>
          <w:szCs w:val="16"/>
        </w:rPr>
        <w:softHyphen/>
        <w:t>жей 11 -и авиабригады, организо</w:t>
      </w:r>
      <w:r w:rsidRPr="00507A31">
        <w:rPr>
          <w:color w:val="000000" w:themeColor="text1"/>
          <w:sz w:val="16"/>
          <w:szCs w:val="16"/>
        </w:rPr>
        <w:softHyphen/>
        <w:t>вал небольшой десантный отряд из добровольцев (10690).</w:t>
      </w:r>
    </w:p>
    <w:p w14:paraId="447A05F7" w14:textId="77777777" w:rsidR="00537E5F" w:rsidRPr="00507A31" w:rsidRDefault="00537E5F" w:rsidP="00507A31">
      <w:pPr>
        <w:autoSpaceDE w:val="0"/>
        <w:autoSpaceDN w:val="0"/>
        <w:adjustRightInd w:val="0"/>
        <w:jc w:val="both"/>
        <w:rPr>
          <w:color w:val="000000" w:themeColor="text1"/>
          <w:sz w:val="16"/>
          <w:szCs w:val="16"/>
        </w:rPr>
      </w:pPr>
    </w:p>
    <w:p w14:paraId="18439D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после испытаний мин ВОМИЗА (воздушная мина заграждения) на ЮГ-1 они поступили на войсковые испытания в 62-ю эскадрилью ВВС Балтфлота, вооруженную ЮГ-1 (561,14).</w:t>
      </w:r>
    </w:p>
    <w:p w14:paraId="74FAA653" w14:textId="77777777" w:rsidR="00537E5F" w:rsidRPr="00507A31" w:rsidRDefault="00537E5F" w:rsidP="00507A31">
      <w:pPr>
        <w:autoSpaceDE w:val="0"/>
        <w:autoSpaceDN w:val="0"/>
        <w:adjustRightInd w:val="0"/>
        <w:jc w:val="both"/>
        <w:rPr>
          <w:color w:val="000000" w:themeColor="text1"/>
          <w:sz w:val="16"/>
          <w:szCs w:val="16"/>
        </w:rPr>
      </w:pPr>
    </w:p>
    <w:p w14:paraId="4ECBAE8B" w14:textId="77777777" w:rsidR="00D942D8" w:rsidRPr="00507A31" w:rsidRDefault="00D942D8" w:rsidP="00507A31">
      <w:pPr>
        <w:jc w:val="both"/>
        <w:rPr>
          <w:color w:val="000000" w:themeColor="text1"/>
          <w:sz w:val="16"/>
          <w:szCs w:val="16"/>
        </w:rPr>
      </w:pPr>
      <w:r w:rsidRPr="00507A31">
        <w:rPr>
          <w:color w:val="000000" w:themeColor="text1"/>
          <w:sz w:val="16"/>
          <w:szCs w:val="16"/>
        </w:rPr>
        <w:t>Летом 1930 года на самолете АНТ-9 были установлены более мощные моторы — каждый по 300 л. с. Самолет с этими более мощными моторами уже полностью прошел испытания, за исключением полета на предельную дальность. Однажды днем меня вызвали к телефону. Говорили из секретариата начальника ВВС П. И. Баранова: «Товарищ Громов, завтра утром вам необходимо вылететь с товарищем Барановым в Сочи. Приготовьте АНТ-9″»</w:t>
      </w:r>
    </w:p>
    <w:p w14:paraId="76F3F604" w14:textId="77777777" w:rsidR="00D942D8" w:rsidRPr="00507A31" w:rsidRDefault="00D942D8" w:rsidP="00507A31">
      <w:pPr>
        <w:jc w:val="both"/>
        <w:rPr>
          <w:color w:val="000000" w:themeColor="text1"/>
          <w:sz w:val="16"/>
          <w:szCs w:val="16"/>
        </w:rPr>
      </w:pPr>
      <w:r w:rsidRPr="00507A31">
        <w:rPr>
          <w:color w:val="000000" w:themeColor="text1"/>
          <w:sz w:val="16"/>
          <w:szCs w:val="16"/>
        </w:rPr>
        <w:t>Как оказалось, расход горючего у новых двигателей оказался выше расчетного, и Петра Баранова вместе с сопровождавшим его журналистом Михаилом Кольцовым спасло лишь мастерство летчиков и наличие места для вынужденной посадки.</w:t>
      </w:r>
    </w:p>
    <w:p w14:paraId="0831EA66" w14:textId="77777777" w:rsidR="00D942D8" w:rsidRPr="00507A31" w:rsidRDefault="00D942D8" w:rsidP="00507A31">
      <w:pPr>
        <w:jc w:val="both"/>
        <w:rPr>
          <w:color w:val="000000" w:themeColor="text1"/>
          <w:sz w:val="16"/>
          <w:szCs w:val="16"/>
        </w:rPr>
      </w:pPr>
      <w:r w:rsidRPr="00507A31">
        <w:rPr>
          <w:color w:val="000000" w:themeColor="text1"/>
          <w:sz w:val="16"/>
          <w:szCs w:val="16"/>
        </w:rPr>
        <w:t>«В самом начале полета Баранов,— писал Громов,— всегда читал газеты, а потом ложился спать. Так было и на этот раз. Погода была отличная. Выше 300 метров уже не болтало. Я поднялся на 1500 метров, где было совершенно спокойно… Летелось отлично. Я уже видел ростовский аэродром, до которого оставалось километра четыре. И вдруг все три мотора внезапно остановились. Я выбрал полоску (под нами был полигон) и благополучно сел» (12634).</w:t>
      </w:r>
    </w:p>
    <w:p w14:paraId="7DF9F0BD" w14:textId="77777777" w:rsidR="00D942D8" w:rsidRPr="00507A31" w:rsidRDefault="00D942D8" w:rsidP="00507A31">
      <w:pPr>
        <w:jc w:val="both"/>
        <w:rPr>
          <w:color w:val="000000" w:themeColor="text1"/>
          <w:sz w:val="16"/>
          <w:szCs w:val="16"/>
        </w:rPr>
      </w:pPr>
    </w:p>
    <w:p w14:paraId="4B3D5D79" w14:textId="77777777" w:rsidR="00EA1E07" w:rsidRPr="00507A31" w:rsidRDefault="00EA1E07" w:rsidP="00507A31">
      <w:pPr>
        <w:jc w:val="both"/>
        <w:rPr>
          <w:color w:val="0070C0"/>
          <w:sz w:val="16"/>
          <w:szCs w:val="16"/>
        </w:rPr>
      </w:pPr>
      <w:r w:rsidRPr="00507A31">
        <w:rPr>
          <w:color w:val="0070C0"/>
          <w:sz w:val="16"/>
          <w:szCs w:val="16"/>
          <w:shd w:val="clear" w:color="auto" w:fill="FFFFFF"/>
        </w:rPr>
        <w:t>Летом 1930 года, с близившимся завершением строительства авиазаводов в Москве, в Филях — под Москвой, в Ленинграде, Воронеже, Казани, Самаре, Нижнем Новгороде, Харькове, других городах, Политбюро приняло решение о передаче авиапромышленности из ВСНХ СССР в Наркомвоенмор42. Но это отнюдь не означало милитаризации отрасли, забвения интересов авиации гражданской. В октябре того же года было ликвидировано располагавшее всего несколькими самолетами иностранного производства акционерное общество «Добролет». Его функции передали одновременно образованному Всесоюзному объединению гражданской авиации (вскоре переименованному во Всесоюзное объединение гражданского воздушного флота, ВО ГВФ) при СТО. Начальником его, по предложению И.В. Сталина и В.М. Молотова, утвердили А.З. Гольцмана43, девять лет перед тем проработавшего на ответственных постах в ВСНХ СССР. О том, чем же предстояло в самое ближайшее время стать ГВФ, красноречиво говорило уже одним своим названием постановление СНК СССР от 11 января 1931 года — «О приравнивании гражданского воздушного флота к важнейшим внеочередным объектам капитального строительства» (20467).</w:t>
      </w:r>
    </w:p>
    <w:p w14:paraId="0C37C373" w14:textId="77777777" w:rsidR="00EA1E07" w:rsidRPr="00507A31" w:rsidRDefault="00EA1E07" w:rsidP="00507A31">
      <w:pPr>
        <w:jc w:val="both"/>
        <w:rPr>
          <w:color w:val="0070C0"/>
          <w:sz w:val="16"/>
          <w:szCs w:val="16"/>
        </w:rPr>
      </w:pPr>
    </w:p>
    <w:p w14:paraId="1B7BBB23"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Летом 1930 года специальная комиссия, созданная Главной инспекцией ГВФ, выбрала участок площадью около 500 гектаров на западном берегу Плещеева озера – пустынном, местами заболоченном и кочковатом. По ночам дирижабельную пустошь заволакивали туманы, а вдали то и дело проглядывало еле заметное свечение от вечно тлеющих торфяников: в районе велись крупные торфоразработки. Зато здешние зéмли считались бросовыми, и отвод на них получили легко.</w:t>
      </w:r>
    </w:p>
    <w:p w14:paraId="74C6EC47"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В тех же местах военные намечали создать гидроаэродром, а на северном берегу озера планировалась постройка электростанции – то и другое было весьма полезным соседством.</w:t>
      </w:r>
    </w:p>
    <w:p w14:paraId="0E635356"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Переславскому </w:t>
      </w:r>
      <w:r w:rsidRPr="00507A31">
        <w:rPr>
          <w:i/>
          <w:iCs/>
          <w:color w:val="0070C0"/>
          <w:sz w:val="16"/>
          <w:szCs w:val="16"/>
          <w:bdr w:val="none" w:sz="0" w:space="0" w:color="auto" w:frame="1"/>
          <w:shd w:val="clear" w:color="auto" w:fill="FFFFFF"/>
        </w:rPr>
        <w:t>«грандиозному воздухоплавательному городку, который явится советским Фридрихсгафеном»</w:t>
      </w:r>
      <w:r w:rsidRPr="00507A31">
        <w:rPr>
          <w:color w:val="0070C0"/>
          <w:sz w:val="16"/>
          <w:szCs w:val="16"/>
        </w:rPr>
        <w:t>, предстояло стать не только дирижаблестроительной верфью со всей инфраструктурой, но и верфью-втузом: туда намечали перевести ЦАГИ и Высшее аэромеханическое училище</w:t>
      </w:r>
      <w:bookmarkStart w:id="64" w:name="read_n_19_back"/>
      <w:r w:rsidRPr="00507A31">
        <w:rPr>
          <w:color w:val="0070C0"/>
          <w:sz w:val="16"/>
          <w:szCs w:val="16"/>
        </w:rPr>
        <w:t>.</w:t>
      </w:r>
      <w:bookmarkEnd w:id="64"/>
    </w:p>
    <w:p w14:paraId="1380C151"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На участке успели провести некоторые изыскания и начать подготовительное строительство, но история распорядилась иначе. Политбюро, из соображений лучшей защищённости от нападения, наметило устроить главную базу дирижаблестроения подальше от западных границ – в нижнем течении Волги, ориентировочно в районе Саратова. Отказываться от уже частично освоенной переславской площадки не хотелось, и несостоявшийся «советский Фридрихсхафен» сохранили в планах, понизив его статус до второстепенной, обычной базы – без верфи и втуза (20466).</w:t>
      </w:r>
    </w:p>
    <w:p w14:paraId="4D85074F" w14:textId="77777777" w:rsidR="00EA1E07" w:rsidRPr="00507A31" w:rsidRDefault="00EA1E07" w:rsidP="00507A31">
      <w:pPr>
        <w:pStyle w:val="ae"/>
        <w:shd w:val="clear" w:color="auto" w:fill="FFFFFF"/>
        <w:spacing w:before="0" w:after="0"/>
        <w:jc w:val="both"/>
        <w:textAlignment w:val="baseline"/>
        <w:rPr>
          <w:color w:val="0070C0"/>
          <w:sz w:val="16"/>
          <w:szCs w:val="16"/>
        </w:rPr>
      </w:pPr>
    </w:p>
    <w:p w14:paraId="78E1EC52" w14:textId="77777777" w:rsidR="008D2A90" w:rsidRPr="00507A31" w:rsidRDefault="008D2A90" w:rsidP="00507A31">
      <w:pPr>
        <w:jc w:val="both"/>
        <w:rPr>
          <w:color w:val="0070C0"/>
          <w:sz w:val="16"/>
          <w:szCs w:val="16"/>
        </w:rPr>
      </w:pPr>
      <w:r w:rsidRPr="00507A31">
        <w:rPr>
          <w:color w:val="0070C0"/>
          <w:sz w:val="16"/>
          <w:szCs w:val="16"/>
        </w:rPr>
        <w:t>Летом 1930 г. Тухачевский вошёл в состав комиссии Политбюро по вопросам развития гражданской авиации. Комиссию возглавлял Я. Э. Рудзутак (также в неё входили П. И. Баранов, А. Н. Туполев, С. П. Королев и И. П. Уборевич). С большой долей уверенности можно предположить, что Тухачевский стремился к широкому распространению своих идей о мобилизации промышленности (9089).</w:t>
      </w:r>
    </w:p>
    <w:p w14:paraId="0E34040C" w14:textId="77777777" w:rsidR="008D2A90" w:rsidRPr="00507A31" w:rsidRDefault="008D2A90" w:rsidP="00507A31">
      <w:pPr>
        <w:jc w:val="both"/>
        <w:rPr>
          <w:color w:val="0070C0"/>
          <w:sz w:val="16"/>
          <w:szCs w:val="16"/>
          <w:shd w:val="clear" w:color="auto" w:fill="FFFFFF"/>
        </w:rPr>
      </w:pPr>
    </w:p>
    <w:p w14:paraId="53B17D63" w14:textId="77777777" w:rsidR="00EA1E07" w:rsidRPr="00507A31" w:rsidRDefault="00EA1E07" w:rsidP="00507A31">
      <w:pPr>
        <w:jc w:val="both"/>
        <w:rPr>
          <w:color w:val="0070C0"/>
          <w:sz w:val="16"/>
          <w:szCs w:val="16"/>
        </w:rPr>
      </w:pPr>
      <w:r w:rsidRPr="00507A31">
        <w:rPr>
          <w:color w:val="0070C0"/>
          <w:sz w:val="16"/>
          <w:szCs w:val="16"/>
        </w:rPr>
        <w:lastRenderedPageBreak/>
        <w:t>Летом 1930 г. дирижабль Комсомольская правда перевезли по частям в овраг у р. Москва близ Кунцева, после чего приступили к его сборке и наполнению. Во всех работах принимали активное участие студенты, строившие дирижабль, и в особенности груп</w:t>
      </w:r>
      <w:r w:rsidRPr="00507A31">
        <w:rPr>
          <w:color w:val="0070C0"/>
          <w:sz w:val="16"/>
          <w:szCs w:val="16"/>
        </w:rPr>
        <w:softHyphen/>
        <w:t>па, выделенная ВАМУ для обучения пилотажу (С.С. Бенфельд, С.В. Демин, И.Д. Ободзинский, И.В. Паньков).</w:t>
      </w:r>
    </w:p>
    <w:p w14:paraId="5B241D86" w14:textId="77777777" w:rsidR="00EA1E07" w:rsidRPr="00507A31" w:rsidRDefault="00EA1E07" w:rsidP="00507A31">
      <w:pPr>
        <w:jc w:val="both"/>
        <w:rPr>
          <w:color w:val="0070C0"/>
          <w:sz w:val="16"/>
          <w:szCs w:val="16"/>
        </w:rPr>
      </w:pPr>
      <w:r w:rsidRPr="00507A31">
        <w:rPr>
          <w:color w:val="0070C0"/>
          <w:sz w:val="16"/>
          <w:szCs w:val="16"/>
        </w:rPr>
        <w:t>Довольно глубокий, окружённый со всех сто</w:t>
      </w:r>
      <w:r w:rsidRPr="00507A31">
        <w:rPr>
          <w:color w:val="0070C0"/>
          <w:sz w:val="16"/>
          <w:szCs w:val="16"/>
        </w:rPr>
        <w:softHyphen/>
        <w:t>рон густым лесом и расположенный на значи</w:t>
      </w:r>
      <w:r w:rsidRPr="00507A31">
        <w:rPr>
          <w:color w:val="0070C0"/>
          <w:sz w:val="16"/>
          <w:szCs w:val="16"/>
        </w:rPr>
        <w:softHyphen/>
        <w:t>тельном расстоянии от проезжей дороги овраг потребовал лишь небольших работ по расчистке, расширению и выравниванию его дна для стоян</w:t>
      </w:r>
      <w:r w:rsidRPr="00507A31">
        <w:rPr>
          <w:color w:val="0070C0"/>
          <w:sz w:val="16"/>
          <w:szCs w:val="16"/>
        </w:rPr>
        <w:softHyphen/>
        <w:t>ки гондолы. В остальном он представлял собой естественный эллинг, правда, без крыши. Стоян</w:t>
      </w:r>
      <w:r w:rsidRPr="00507A31">
        <w:rPr>
          <w:color w:val="0070C0"/>
          <w:sz w:val="16"/>
          <w:szCs w:val="16"/>
        </w:rPr>
        <w:softHyphen/>
        <w:t>ка в овраге, конечно, отразилась на ходе работ, так как частые дожди, ветры, осыпающийся с бо</w:t>
      </w:r>
      <w:r w:rsidRPr="00507A31">
        <w:rPr>
          <w:color w:val="0070C0"/>
          <w:sz w:val="16"/>
          <w:szCs w:val="16"/>
        </w:rPr>
        <w:softHyphen/>
        <w:t>ков оврага песок затрудняли монтажные работы. Для регулировки киля и стабилизаторов постро</w:t>
      </w:r>
      <w:r w:rsidRPr="00507A31">
        <w:rPr>
          <w:color w:val="0070C0"/>
          <w:sz w:val="16"/>
          <w:szCs w:val="16"/>
        </w:rPr>
        <w:softHyphen/>
        <w:t>или специальные помосты, без которых нельзя было добраться до верхних точек стабилизато</w:t>
      </w:r>
      <w:r w:rsidRPr="00507A31">
        <w:rPr>
          <w:color w:val="0070C0"/>
          <w:sz w:val="16"/>
          <w:szCs w:val="16"/>
        </w:rPr>
        <w:softHyphen/>
        <w:t>ров. Отсутствие транспорта также сказывалось на сроках выполнения работ. Водород переноси</w:t>
      </w:r>
      <w:r w:rsidRPr="00507A31">
        <w:rPr>
          <w:color w:val="0070C0"/>
          <w:sz w:val="16"/>
          <w:szCs w:val="16"/>
        </w:rPr>
        <w:softHyphen/>
        <w:t>ли из Москвы на место стоянки в газгольдерах (20120).</w:t>
      </w:r>
    </w:p>
    <w:p w14:paraId="138D805D" w14:textId="77777777" w:rsidR="00EA1E07" w:rsidRPr="00507A31" w:rsidRDefault="00EA1E07" w:rsidP="00507A31">
      <w:pPr>
        <w:jc w:val="both"/>
        <w:rPr>
          <w:color w:val="0070C0"/>
          <w:sz w:val="16"/>
          <w:szCs w:val="16"/>
        </w:rPr>
      </w:pPr>
    </w:p>
    <w:p w14:paraId="789590D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CE3B1ED" w14:textId="77777777" w:rsidR="00537E5F" w:rsidRPr="00507A31" w:rsidRDefault="00537E5F" w:rsidP="00507A31">
      <w:pPr>
        <w:autoSpaceDE w:val="0"/>
        <w:autoSpaceDN w:val="0"/>
        <w:adjustRightInd w:val="0"/>
        <w:jc w:val="both"/>
        <w:rPr>
          <w:iCs/>
          <w:color w:val="000000" w:themeColor="text1"/>
          <w:sz w:val="16"/>
          <w:szCs w:val="16"/>
        </w:rPr>
      </w:pPr>
    </w:p>
    <w:p w14:paraId="662D8E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была сделана попытка закупить у фирмы Виккерс-Армстронг 16-тонный многобашенный танк А.6, однако англичане отказали, т.к. танк считался секретным и состоял на вооружении (3547).</w:t>
      </w:r>
    </w:p>
    <w:p w14:paraId="7CCABB7C" w14:textId="77777777" w:rsidR="00537E5F" w:rsidRPr="00507A31" w:rsidRDefault="00537E5F" w:rsidP="00507A31">
      <w:pPr>
        <w:autoSpaceDE w:val="0"/>
        <w:autoSpaceDN w:val="0"/>
        <w:adjustRightInd w:val="0"/>
        <w:jc w:val="both"/>
        <w:rPr>
          <w:color w:val="000000" w:themeColor="text1"/>
          <w:sz w:val="16"/>
          <w:szCs w:val="16"/>
        </w:rPr>
      </w:pPr>
    </w:p>
    <w:p w14:paraId="08876C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Летом 1930 г., М. Тухачевский, который проявлял особое внимание к привезенным танкеткам, санкциониро</w:t>
      </w:r>
      <w:r w:rsidRPr="00507A31">
        <w:rPr>
          <w:color w:val="000000" w:themeColor="text1"/>
          <w:sz w:val="16"/>
          <w:szCs w:val="16"/>
        </w:rPr>
        <w:softHyphen/>
        <w:t>вал создание учебного фильма «Танкетка» для пропаганды нового оружия среди подрастающего поколения, и особен</w:t>
      </w:r>
      <w:r w:rsidRPr="00507A31">
        <w:rPr>
          <w:color w:val="000000" w:themeColor="text1"/>
          <w:sz w:val="16"/>
          <w:szCs w:val="16"/>
        </w:rPr>
        <w:softHyphen/>
        <w:t>но среди учащихся Осоавиахим. Он лично написал сцена</w:t>
      </w:r>
      <w:r w:rsidRPr="00507A31">
        <w:rPr>
          <w:color w:val="000000" w:themeColor="text1"/>
          <w:sz w:val="16"/>
          <w:szCs w:val="16"/>
        </w:rPr>
        <w:softHyphen/>
        <w:t>рий к фильму и добился выделения для его создания необ</w:t>
      </w:r>
      <w:r w:rsidRPr="00507A31">
        <w:rPr>
          <w:color w:val="000000" w:themeColor="text1"/>
          <w:sz w:val="16"/>
          <w:szCs w:val="16"/>
        </w:rPr>
        <w:softHyphen/>
        <w:t>ходимых денежных средств (10733,141).</w:t>
      </w:r>
    </w:p>
    <w:p w14:paraId="4E5746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529F9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года первый работоспособный образец полугученичного вездехода, разработанный под руководством Г.А.Сонкина по инициативе руководства войск ОГПК, проходил испытания в пустыне Кара-Кум. Периодически теряя отдельные детали, автомобиль преодолел пару сотен километров песков. После чего стало ясно, что конструкция хоть и перспективна, но в предъявленном виде несколько «сыровата» и не вполне надежна (9445).</w:t>
      </w:r>
    </w:p>
    <w:p w14:paraId="365F9A43" w14:textId="77777777" w:rsidR="00537E5F" w:rsidRPr="00507A31" w:rsidRDefault="00537E5F" w:rsidP="00507A31">
      <w:pPr>
        <w:autoSpaceDE w:val="0"/>
        <w:autoSpaceDN w:val="0"/>
        <w:adjustRightInd w:val="0"/>
        <w:jc w:val="both"/>
        <w:rPr>
          <w:color w:val="000000" w:themeColor="text1"/>
          <w:sz w:val="16"/>
          <w:szCs w:val="16"/>
        </w:rPr>
      </w:pPr>
    </w:p>
    <w:p w14:paraId="0CADCFD0" w14:textId="77777777" w:rsidR="00B947C7" w:rsidRPr="00507A31" w:rsidRDefault="00B947C7" w:rsidP="00507A31">
      <w:pPr>
        <w:jc w:val="both"/>
        <w:rPr>
          <w:color w:val="000000" w:themeColor="text1"/>
          <w:sz w:val="16"/>
          <w:szCs w:val="16"/>
        </w:rPr>
      </w:pPr>
      <w:r w:rsidRPr="00507A31">
        <w:rPr>
          <w:color w:val="000000" w:themeColor="text1"/>
          <w:sz w:val="16"/>
          <w:szCs w:val="16"/>
        </w:rPr>
        <w:t>Летом 1930 года первый относительно работоспособный образец полугусеничного автомобиля Сонкина прошел испытания в пустыне Кара-Кум. Периодически теряя отдельные детали, автомобиль преодолел пару сотен километров песков. После чего стало ясно, что работы хоть и идут но верному мути, поданная конструкция несколько «сыровата» и не вполне надежна.</w:t>
      </w:r>
    </w:p>
    <w:p w14:paraId="030A1F61" w14:textId="77777777" w:rsidR="00B947C7" w:rsidRPr="00507A31" w:rsidRDefault="00B947C7" w:rsidP="00507A31">
      <w:pPr>
        <w:jc w:val="both"/>
        <w:rPr>
          <w:color w:val="000000" w:themeColor="text1"/>
          <w:sz w:val="16"/>
          <w:szCs w:val="16"/>
        </w:rPr>
      </w:pPr>
      <w:r w:rsidRPr="00507A31">
        <w:rPr>
          <w:color w:val="000000" w:themeColor="text1"/>
          <w:sz w:val="16"/>
          <w:szCs w:val="16"/>
        </w:rPr>
        <w:t>«В результате данных полученных на испытаниях в соответствии с ТУ отдела вооружений ГУНО и В ОГПУ и по заданию последнего группой конструкторов бездорожного транспорта спецотдела НАТИ под руководством старшего инженера т. Сонкина Г. А. был спроектирован и построен в 2 экз., при реальном содействии отдела вооружений ГУНО и В ОГПУ, на средства I Центрального совета общества «Автодор» полугусеничный автомобиль НАТИ-2».</w:t>
      </w:r>
    </w:p>
    <w:p w14:paraId="36628449" w14:textId="77777777" w:rsidR="00B947C7" w:rsidRPr="00507A31" w:rsidRDefault="00B947C7" w:rsidP="00507A31">
      <w:pPr>
        <w:jc w:val="both"/>
        <w:rPr>
          <w:color w:val="000000" w:themeColor="text1"/>
          <w:sz w:val="16"/>
          <w:szCs w:val="16"/>
        </w:rPr>
      </w:pPr>
      <w:r w:rsidRPr="00507A31">
        <w:rPr>
          <w:color w:val="000000" w:themeColor="text1"/>
          <w:sz w:val="16"/>
          <w:szCs w:val="16"/>
        </w:rPr>
        <w:t>Прибывшие в Кара-Кумы отечественные вездеходы на «пустынные» и «снежные» не разделялись и имели следующее устройство:</w:t>
      </w:r>
    </w:p>
    <w:p w14:paraId="7C79B943" w14:textId="77777777" w:rsidR="00B947C7" w:rsidRPr="00507A31" w:rsidRDefault="00B947C7" w:rsidP="00507A31">
      <w:pPr>
        <w:jc w:val="both"/>
        <w:rPr>
          <w:color w:val="000000" w:themeColor="text1"/>
          <w:sz w:val="16"/>
          <w:szCs w:val="16"/>
        </w:rPr>
      </w:pPr>
      <w:r w:rsidRPr="00507A31">
        <w:rPr>
          <w:color w:val="000000" w:themeColor="text1"/>
          <w:sz w:val="16"/>
          <w:szCs w:val="16"/>
        </w:rPr>
        <w:t>«НАТИ-2 представляет из себя тип трехосного автомобиля «Форд-АА». Движитель НАТИ-2 имеет возможность неограниченного колебания вокруг своей оси. Сама конструкция движителя заключается в том, что она имеет два двойных ската и пневматических колес, между которыми в верхней и нижней частях имеются бегунки. По этим двойным скатам колес и бегункам идет мягкая резиновая лента, которая имеет реборду, проходящую между двумя скатами резины п не позволяющую ленте сползать в сторону.</w:t>
      </w:r>
    </w:p>
    <w:p w14:paraId="64C540E4" w14:textId="77777777" w:rsidR="00B947C7" w:rsidRPr="00507A31" w:rsidRDefault="00B947C7" w:rsidP="00507A31">
      <w:pPr>
        <w:jc w:val="both"/>
        <w:rPr>
          <w:color w:val="000000" w:themeColor="text1"/>
          <w:sz w:val="16"/>
          <w:szCs w:val="16"/>
        </w:rPr>
      </w:pPr>
      <w:r w:rsidRPr="00507A31">
        <w:rPr>
          <w:color w:val="000000" w:themeColor="text1"/>
          <w:sz w:val="16"/>
          <w:szCs w:val="16"/>
        </w:rPr>
        <w:t>Езда по размытому осенними дождями проселку и зимним сугробам требованиям всесторонности не отвечали. Поэтому чекисты решили отправиться в уже знакомые Кара-Кумы. Экспедиция проходила при материальном содействии общества «Автодор», которым боролся с одной из традиционных русских проблем, как постройкой дорог, так и созданием вездеходов, в дорогах не нуждавшихся. НАТИ-2 предстояло сравнить с иностранным вездеходом «Ситроен-Кегресс». «Кегрессов» было два «пустынных» и один... «снежный».</w:t>
      </w:r>
    </w:p>
    <w:p w14:paraId="7E5746E9" w14:textId="77777777" w:rsidR="00B947C7" w:rsidRPr="00507A31" w:rsidRDefault="00B947C7" w:rsidP="00507A31">
      <w:pPr>
        <w:jc w:val="both"/>
        <w:rPr>
          <w:color w:val="000000" w:themeColor="text1"/>
          <w:sz w:val="16"/>
          <w:szCs w:val="16"/>
        </w:rPr>
      </w:pPr>
      <w:r w:rsidRPr="00507A31">
        <w:rPr>
          <w:color w:val="000000" w:themeColor="text1"/>
          <w:sz w:val="16"/>
          <w:szCs w:val="16"/>
        </w:rPr>
        <w:t>Передняя ось машины имеет возможность колебаться, так как она имеет подвеску крепления к раме лишь в одной средней точке.</w:t>
      </w:r>
    </w:p>
    <w:p w14:paraId="754861E9" w14:textId="77777777" w:rsidR="00B947C7" w:rsidRPr="00507A31" w:rsidRDefault="00B947C7" w:rsidP="00507A31">
      <w:pPr>
        <w:jc w:val="both"/>
        <w:rPr>
          <w:color w:val="000000" w:themeColor="text1"/>
          <w:sz w:val="16"/>
          <w:szCs w:val="16"/>
        </w:rPr>
      </w:pPr>
      <w:r w:rsidRPr="00507A31">
        <w:rPr>
          <w:color w:val="000000" w:themeColor="text1"/>
          <w:sz w:val="16"/>
          <w:szCs w:val="16"/>
        </w:rPr>
        <w:t>...Скручивающие усилия не передаются раме, а все удары поглощаются и певматиками и смягчаются рессорами машины. НАТИ-2 имеют два радиатора нормального типа, стоящих один за другим и могут работать в условиях высокой температуры».</w:t>
      </w:r>
    </w:p>
    <w:p w14:paraId="74E11EDA" w14:textId="77777777" w:rsidR="00B947C7" w:rsidRPr="00507A31" w:rsidRDefault="00B947C7" w:rsidP="00507A31">
      <w:pPr>
        <w:jc w:val="both"/>
        <w:rPr>
          <w:color w:val="000000" w:themeColor="text1"/>
          <w:sz w:val="16"/>
          <w:szCs w:val="16"/>
        </w:rPr>
      </w:pPr>
      <w:r w:rsidRPr="00507A31">
        <w:rPr>
          <w:color w:val="000000" w:themeColor="text1"/>
          <w:sz w:val="16"/>
          <w:szCs w:val="16"/>
        </w:rPr>
        <w:t>В ходе испытаний НАТИ-2 оставили «снежный» «Кегресс» далеко позади, а вот с «пустынными» выступили почти на равных по проходимости. Надежность же иностранных машин была на порядок выше. Всего было пройдено 1450 км, из которых по местам, где не мог пройти пн один вид транспорта — 550 км (15593).</w:t>
      </w:r>
    </w:p>
    <w:p w14:paraId="7B699118" w14:textId="77777777" w:rsidR="00B947C7" w:rsidRPr="00507A31" w:rsidRDefault="00B947C7" w:rsidP="00507A31">
      <w:pPr>
        <w:jc w:val="both"/>
        <w:rPr>
          <w:color w:val="000000" w:themeColor="text1"/>
          <w:sz w:val="16"/>
          <w:szCs w:val="16"/>
        </w:rPr>
      </w:pPr>
    </w:p>
    <w:p w14:paraId="1BF048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в пустыне Кара-Кум прошел испытания автомобиль повышенной проходимости для ОГПУ, разработанный Г.А.Сонкиным (10536,34).</w:t>
      </w:r>
    </w:p>
    <w:p w14:paraId="6C133C57" w14:textId="77777777" w:rsidR="00537E5F" w:rsidRPr="00507A31" w:rsidRDefault="00537E5F" w:rsidP="00507A31">
      <w:pPr>
        <w:autoSpaceDE w:val="0"/>
        <w:autoSpaceDN w:val="0"/>
        <w:adjustRightInd w:val="0"/>
        <w:jc w:val="both"/>
        <w:rPr>
          <w:color w:val="000000" w:themeColor="text1"/>
          <w:sz w:val="16"/>
          <w:szCs w:val="16"/>
        </w:rPr>
      </w:pPr>
    </w:p>
    <w:p w14:paraId="38FECB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 крейсерскую лодку несколько меньшего водоизмещения предложил морской инженер А. Н. Асафов, который создавал свой проект в заключении, отбывая срок в специальной тюрьме ОГПУ.</w:t>
      </w:r>
    </w:p>
    <w:p w14:paraId="21D369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Эскизный проект Асафова при надводном водоизмещении 900 т предусматривал вооружение из шести торпедньис аппаратов (всего 10 торпед), двух 130-мм орудий в облегченных башенньис установках и одного 37-мм зенитного орудия. Дальность плавания надводным экономическим ходом (11 уз) предполагалась около 7000 миль, скорость полного надводного хода 23 уз, подводно</w:t>
      </w:r>
      <w:r w:rsidRPr="00507A31">
        <w:rPr>
          <w:color w:val="000000" w:themeColor="text1"/>
          <w:sz w:val="16"/>
          <w:szCs w:val="16"/>
        </w:rPr>
        <w:softHyphen/>
        <w:t>го— 11 уз.</w:t>
      </w:r>
    </w:p>
    <w:p w14:paraId="468C54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Помимо мощныхлегких дизелей фирмы МАН такую высокую скорость по замыслу Асафова обеспечивали обводы эскадренного миноносца: узкий длинный корпус при относительно небольшой осадке и значительной высоте надводного борта. В результате запас плавучести составил 92%, а большая масса легкого (наружного) корпуса лодки вызвала ограничение массы прочного корпуса, рас</w:t>
      </w:r>
      <w:r w:rsidRPr="00507A31">
        <w:rPr>
          <w:color w:val="000000" w:themeColor="text1"/>
          <w:sz w:val="16"/>
          <w:szCs w:val="16"/>
        </w:rPr>
        <w:softHyphen/>
        <w:t>считанного на рабочую глубину погружения всего 50 м. От лодки А. Н. Асафова следовало ожидать большого времени погружения, что в сочетании с высоким надводным бортом сводило на нет ос</w:t>
      </w:r>
      <w:r w:rsidRPr="00507A31">
        <w:rPr>
          <w:color w:val="000000" w:themeColor="text1"/>
          <w:sz w:val="16"/>
          <w:szCs w:val="16"/>
        </w:rPr>
        <w:softHyphen/>
        <w:t>новное тактическое свойство подводного корабля — его скрытность (3898).</w:t>
      </w:r>
    </w:p>
    <w:p w14:paraId="108408A6" w14:textId="406041D2" w:rsidR="00537E5F" w:rsidRPr="00507A31" w:rsidRDefault="00537E5F" w:rsidP="00507A31">
      <w:pPr>
        <w:autoSpaceDE w:val="0"/>
        <w:autoSpaceDN w:val="0"/>
        <w:adjustRightInd w:val="0"/>
        <w:jc w:val="both"/>
        <w:rPr>
          <w:color w:val="000000" w:themeColor="text1"/>
          <w:sz w:val="16"/>
          <w:szCs w:val="16"/>
        </w:rPr>
      </w:pPr>
    </w:p>
    <w:p w14:paraId="47C9E011" w14:textId="765692D0" w:rsidR="008D2A90" w:rsidRPr="00507A31" w:rsidRDefault="008D2A90" w:rsidP="00507A31">
      <w:pPr>
        <w:autoSpaceDE w:val="0"/>
        <w:autoSpaceDN w:val="0"/>
        <w:adjustRightInd w:val="0"/>
        <w:jc w:val="both"/>
        <w:rPr>
          <w:i/>
          <w:iCs/>
          <w:color w:val="000000" w:themeColor="text1"/>
          <w:sz w:val="16"/>
          <w:szCs w:val="16"/>
        </w:rPr>
      </w:pPr>
      <w:r w:rsidRPr="00507A31">
        <w:rPr>
          <w:i/>
          <w:iCs/>
          <w:color w:val="000000" w:themeColor="text1"/>
          <w:sz w:val="16"/>
          <w:szCs w:val="16"/>
        </w:rPr>
        <w:t>Армия:</w:t>
      </w:r>
    </w:p>
    <w:p w14:paraId="424286C3" w14:textId="77777777" w:rsidR="008D2A90" w:rsidRPr="00507A31" w:rsidRDefault="008D2A90" w:rsidP="00507A31">
      <w:pPr>
        <w:autoSpaceDE w:val="0"/>
        <w:autoSpaceDN w:val="0"/>
        <w:adjustRightInd w:val="0"/>
        <w:jc w:val="both"/>
        <w:rPr>
          <w:i/>
          <w:iCs/>
          <w:color w:val="000000" w:themeColor="text1"/>
          <w:sz w:val="16"/>
          <w:szCs w:val="16"/>
        </w:rPr>
      </w:pPr>
    </w:p>
    <w:p w14:paraId="2106BCF1" w14:textId="77777777" w:rsidR="008D2A90" w:rsidRPr="00507A31" w:rsidRDefault="008D2A90" w:rsidP="00507A31">
      <w:pPr>
        <w:jc w:val="both"/>
        <w:rPr>
          <w:color w:val="0070C0"/>
          <w:sz w:val="16"/>
          <w:szCs w:val="16"/>
          <w:shd w:val="clear" w:color="auto" w:fill="FFFFFF"/>
        </w:rPr>
      </w:pPr>
      <w:r w:rsidRPr="00507A31">
        <w:rPr>
          <w:color w:val="0070C0"/>
          <w:sz w:val="16"/>
          <w:szCs w:val="16"/>
          <w:shd w:val="clear" w:color="auto" w:fill="FFFFFF"/>
        </w:rPr>
        <w:t>Летом 1930 года Минов по указанию начальника ВВС РККА П. И. Баранова прибыл в 11-ю авиационную бригаду для обучения летно-подъемного состава ТБ-1 теоретическим и практическим вопросам использования спасательных парашютов. Минову предстояло провести ряд занятий с летчиками, штурманами, летчиками-наблюдателями, бортовыми техниками, механиками и воздушными стрелками. Вместе с Миновым в бригаду прибыл и укладчик парашютов красноармеец В. Баранов.</w:t>
      </w:r>
    </w:p>
    <w:p w14:paraId="1A8B3D66" w14:textId="77777777" w:rsidR="008D2A90" w:rsidRPr="00507A31" w:rsidRDefault="008D2A90" w:rsidP="00507A31">
      <w:pPr>
        <w:jc w:val="both"/>
        <w:rPr>
          <w:color w:val="0070C0"/>
          <w:sz w:val="16"/>
          <w:szCs w:val="16"/>
        </w:rPr>
      </w:pPr>
      <w:r w:rsidRPr="00507A31">
        <w:rPr>
          <w:color w:val="0070C0"/>
          <w:sz w:val="16"/>
          <w:szCs w:val="16"/>
          <w:shd w:val="clear" w:color="auto" w:fill="FFFFFF"/>
        </w:rPr>
        <w:t>В рамках этих занятий предусматривались и практические прыжки со спасательными парашютами. Помощником Минова в 11-й авиационной бригаде был назначен старший летчик Я. Д. Мошковский (21399). </w:t>
      </w:r>
    </w:p>
    <w:p w14:paraId="6ABF2F58" w14:textId="77777777" w:rsidR="008D2A90" w:rsidRPr="00507A31" w:rsidRDefault="008D2A90" w:rsidP="00507A31">
      <w:pPr>
        <w:jc w:val="both"/>
        <w:rPr>
          <w:color w:val="0070C0"/>
          <w:sz w:val="16"/>
          <w:szCs w:val="16"/>
        </w:rPr>
      </w:pPr>
    </w:p>
    <w:p w14:paraId="344C848C" w14:textId="77777777" w:rsidR="00D551B1" w:rsidRPr="00507A31" w:rsidRDefault="00D551B1"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 политика:</w:t>
      </w:r>
    </w:p>
    <w:p w14:paraId="7685CA32" w14:textId="77777777" w:rsidR="00D551B1" w:rsidRPr="00507A31" w:rsidRDefault="00D551B1" w:rsidP="00507A31">
      <w:pPr>
        <w:autoSpaceDE w:val="0"/>
        <w:autoSpaceDN w:val="0"/>
        <w:adjustRightInd w:val="0"/>
        <w:jc w:val="both"/>
        <w:rPr>
          <w:iCs/>
          <w:color w:val="000000" w:themeColor="text1"/>
          <w:sz w:val="16"/>
          <w:szCs w:val="16"/>
        </w:rPr>
      </w:pPr>
    </w:p>
    <w:p w14:paraId="05AACA1E" w14:textId="77777777" w:rsidR="00D551B1" w:rsidRPr="00507A31" w:rsidRDefault="00D551B1" w:rsidP="00507A31">
      <w:pPr>
        <w:jc w:val="both"/>
        <w:rPr>
          <w:color w:val="000000" w:themeColor="text1"/>
          <w:sz w:val="16"/>
          <w:szCs w:val="16"/>
        </w:rPr>
      </w:pPr>
      <w:r w:rsidRPr="00507A31">
        <w:rPr>
          <w:color w:val="000000" w:themeColor="text1"/>
          <w:sz w:val="16"/>
          <w:szCs w:val="16"/>
        </w:rPr>
        <w:t>Лето 1930. Москвич И. И. Шитц записывает о виденном в знаменитом Елисеевском гастрономе: "В отделе рыбном до недавнего времени торговали папиросами; теперь - пусто. В большом отделе фруктов теперь "весенний базар цветов". В отделе кондитерском - детские игрушки и изредка немного сквернейших конфет. В парфюмерном - одеколон, но нет мыла. Торгует один винный, ибо в колбасном изредка жареная птица по 6 руб. за кило. И только в задней комнате торгуют по карточкам хлебом, сахаром, когда он есть" (18725).</w:t>
      </w:r>
    </w:p>
    <w:p w14:paraId="04188E62" w14:textId="77777777" w:rsidR="00D551B1" w:rsidRPr="00507A31" w:rsidRDefault="00D551B1" w:rsidP="00507A31">
      <w:pPr>
        <w:jc w:val="both"/>
        <w:rPr>
          <w:color w:val="000000" w:themeColor="text1"/>
          <w:sz w:val="16"/>
          <w:szCs w:val="16"/>
        </w:rPr>
      </w:pPr>
    </w:p>
    <w:p w14:paraId="3D1B02E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504AD4FF" w14:textId="77777777" w:rsidR="00537E5F" w:rsidRPr="00507A31" w:rsidRDefault="00537E5F" w:rsidP="00507A31">
      <w:pPr>
        <w:autoSpaceDE w:val="0"/>
        <w:autoSpaceDN w:val="0"/>
        <w:adjustRightInd w:val="0"/>
        <w:jc w:val="both"/>
        <w:rPr>
          <w:iCs/>
          <w:color w:val="000000" w:themeColor="text1"/>
          <w:sz w:val="16"/>
          <w:szCs w:val="16"/>
        </w:rPr>
      </w:pPr>
    </w:p>
    <w:p w14:paraId="61DA11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1930 года на XVI съезде ВКП(б) было принято судьбоносное решение о расширении практики посылки советских специалистов за рубеж и о приглашение большого числа иностранных специалистов в СССР при условии «полного использования их опыта и знаний на предприятиях Советского Союза» (Журавлев С. В. «Маленькие люди» и «большая история»: Иностранцы Московского электрозавода в советском обществе 1920-1930 гг. — М„ 2000, с. 25-27.). Более того, съезд одобрил привлечение для работы в промышленности страны 40 тысяч человек. Отечественная экономика в тот период постепенно от НЭПа переходила к плановой экономике, вот поэтому и определили количество людей, которых необходимо было привлечь. Понятно, что план старались перевыполнить. Так, уже в 1932 году в СССР жили и трудились 9190 иноспециалистов и 10 655 инорабочих. О важности этого вопроса свидетельствует то, что в 1930—1931 годах эта тема обсуждалась четыре раза на заседаниях Политбюро ЦК ВКП(б): 15 и 25 марта, затем — 15 апреля 1930 года и 15 октября 1931 года. Кроме этого, вопрос «О порядке вербовки иноспециалистов и инорабочих» обсуждался 9 сентября 1931 года на заседании Оргбюро ЦК партии (11765).</w:t>
      </w:r>
    </w:p>
    <w:p w14:paraId="05D4C38F" w14:textId="77777777" w:rsidR="00537E5F" w:rsidRPr="00507A31" w:rsidRDefault="00537E5F" w:rsidP="00507A31">
      <w:pPr>
        <w:autoSpaceDE w:val="0"/>
        <w:autoSpaceDN w:val="0"/>
        <w:adjustRightInd w:val="0"/>
        <w:jc w:val="both"/>
        <w:rPr>
          <w:color w:val="000000" w:themeColor="text1"/>
          <w:sz w:val="16"/>
          <w:szCs w:val="16"/>
        </w:rPr>
      </w:pPr>
    </w:p>
    <w:p w14:paraId="4E5EE95D" w14:textId="77777777" w:rsidR="00DA1AA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A2B7944" w14:textId="77777777" w:rsidR="00DA1AA9" w:rsidRPr="00507A31" w:rsidRDefault="00DA1AA9" w:rsidP="00507A31">
      <w:pPr>
        <w:autoSpaceDE w:val="0"/>
        <w:autoSpaceDN w:val="0"/>
        <w:adjustRightInd w:val="0"/>
        <w:jc w:val="both"/>
        <w:rPr>
          <w:iCs/>
          <w:color w:val="000000" w:themeColor="text1"/>
          <w:sz w:val="16"/>
          <w:szCs w:val="16"/>
        </w:rPr>
      </w:pPr>
    </w:p>
    <w:p w14:paraId="60D7EF6E" w14:textId="77777777" w:rsidR="00DA1AA9" w:rsidRPr="00507A31" w:rsidRDefault="00DA1AA9" w:rsidP="00507A31">
      <w:pPr>
        <w:jc w:val="both"/>
        <w:rPr>
          <w:color w:val="000000" w:themeColor="text1"/>
          <w:sz w:val="16"/>
          <w:szCs w:val="16"/>
        </w:rPr>
      </w:pPr>
      <w:r w:rsidRPr="00507A31">
        <w:rPr>
          <w:color w:val="000000" w:themeColor="text1"/>
          <w:sz w:val="16"/>
          <w:szCs w:val="16"/>
        </w:rPr>
        <w:lastRenderedPageBreak/>
        <w:t>Ле</w:t>
      </w:r>
      <w:r w:rsidRPr="00507A31">
        <w:rPr>
          <w:color w:val="000000" w:themeColor="text1"/>
          <w:sz w:val="16"/>
          <w:szCs w:val="16"/>
        </w:rPr>
        <w:softHyphen/>
        <w:t xml:space="preserve">том 1930 года итальянцы. У. Маддалена (и. </w:t>
      </w:r>
      <w:r w:rsidRPr="00507A31">
        <w:rPr>
          <w:color w:val="000000" w:themeColor="text1"/>
          <w:sz w:val="16"/>
          <w:szCs w:val="16"/>
          <w:lang w:val="en-US"/>
        </w:rPr>
        <w:t>Maddalena</w:t>
      </w:r>
      <w:r w:rsidRPr="00507A31">
        <w:rPr>
          <w:color w:val="000000" w:themeColor="text1"/>
          <w:sz w:val="16"/>
          <w:szCs w:val="16"/>
        </w:rPr>
        <w:t>) и Ф. Цеццемини (</w:t>
      </w:r>
      <w:r w:rsidRPr="00507A31">
        <w:rPr>
          <w:color w:val="000000" w:themeColor="text1"/>
          <w:sz w:val="16"/>
          <w:szCs w:val="16"/>
          <w:lang w:val="en-US"/>
        </w:rPr>
        <w:t>F</w:t>
      </w:r>
      <w:r w:rsidRPr="00507A31">
        <w:rPr>
          <w:color w:val="000000" w:themeColor="text1"/>
          <w:sz w:val="16"/>
          <w:szCs w:val="16"/>
        </w:rPr>
        <w:t xml:space="preserve">. </w:t>
      </w:r>
      <w:r w:rsidRPr="00507A31">
        <w:rPr>
          <w:color w:val="000000" w:themeColor="text1"/>
          <w:sz w:val="16"/>
          <w:szCs w:val="16"/>
          <w:lang w:val="en-US"/>
        </w:rPr>
        <w:t>Ceccemini</w:t>
      </w:r>
      <w:r w:rsidRPr="00507A31">
        <w:rPr>
          <w:color w:val="000000" w:themeColor="text1"/>
          <w:sz w:val="16"/>
          <w:szCs w:val="16"/>
        </w:rPr>
        <w:t xml:space="preserve">) на самолете </w:t>
      </w:r>
      <w:r w:rsidRPr="00507A31">
        <w:rPr>
          <w:color w:val="000000" w:themeColor="text1"/>
          <w:sz w:val="16"/>
          <w:szCs w:val="16"/>
          <w:lang w:val="en-US"/>
        </w:rPr>
        <w:t>S</w:t>
      </w:r>
      <w:r w:rsidRPr="00507A31">
        <w:rPr>
          <w:color w:val="000000" w:themeColor="text1"/>
          <w:sz w:val="16"/>
          <w:szCs w:val="16"/>
        </w:rPr>
        <w:t xml:space="preserve">. 64 </w:t>
      </w:r>
      <w:r w:rsidRPr="00507A31">
        <w:rPr>
          <w:color w:val="000000" w:themeColor="text1"/>
          <w:sz w:val="16"/>
          <w:szCs w:val="16"/>
          <w:lang w:val="en-US"/>
        </w:rPr>
        <w:t>bis</w:t>
      </w:r>
      <w:r w:rsidRPr="00507A31">
        <w:rPr>
          <w:color w:val="000000" w:themeColor="text1"/>
          <w:sz w:val="16"/>
          <w:szCs w:val="16"/>
        </w:rPr>
        <w:t xml:space="preserve"> компании «Савойя маркетти» пролетели по замкнутому маршруту 8188,8 км. Спустя год, американ</w:t>
      </w:r>
      <w:r w:rsidRPr="00507A31">
        <w:rPr>
          <w:color w:val="000000" w:themeColor="text1"/>
          <w:sz w:val="16"/>
          <w:szCs w:val="16"/>
        </w:rPr>
        <w:softHyphen/>
        <w:t>цы Русселини-младший Бердмас (</w:t>
      </w:r>
      <w:r w:rsidRPr="00507A31">
        <w:rPr>
          <w:color w:val="000000" w:themeColor="text1"/>
          <w:sz w:val="16"/>
          <w:szCs w:val="16"/>
          <w:lang w:val="en-US"/>
        </w:rPr>
        <w:t>Rnsseli</w:t>
      </w:r>
      <w:r w:rsidRPr="00507A31">
        <w:rPr>
          <w:color w:val="000000" w:themeColor="text1"/>
          <w:sz w:val="16"/>
          <w:szCs w:val="16"/>
        </w:rPr>
        <w:t xml:space="preserve">- М. </w:t>
      </w:r>
      <w:r w:rsidRPr="00507A31">
        <w:rPr>
          <w:color w:val="000000" w:themeColor="text1"/>
          <w:sz w:val="16"/>
          <w:szCs w:val="16"/>
          <w:lang w:val="en-US"/>
        </w:rPr>
        <w:t>Beardmas</w:t>
      </w:r>
      <w:r w:rsidRPr="00507A31">
        <w:rPr>
          <w:color w:val="000000" w:themeColor="text1"/>
          <w:sz w:val="16"/>
          <w:szCs w:val="16"/>
        </w:rPr>
        <w:t>) и Дж. Пелэнде (</w:t>
      </w:r>
      <w:r w:rsidRPr="00507A31">
        <w:rPr>
          <w:color w:val="000000" w:themeColor="text1"/>
          <w:sz w:val="16"/>
          <w:szCs w:val="16"/>
          <w:lang w:val="en-US"/>
        </w:rPr>
        <w:t>J</w:t>
      </w:r>
      <w:r w:rsidRPr="00507A31">
        <w:rPr>
          <w:color w:val="000000" w:themeColor="text1"/>
          <w:sz w:val="16"/>
          <w:szCs w:val="16"/>
        </w:rPr>
        <w:t xml:space="preserve">. </w:t>
      </w:r>
      <w:r w:rsidRPr="00507A31">
        <w:rPr>
          <w:color w:val="000000" w:themeColor="text1"/>
          <w:sz w:val="16"/>
          <w:szCs w:val="16"/>
          <w:lang w:val="en-US"/>
        </w:rPr>
        <w:t>Pelande</w:t>
      </w:r>
      <w:r w:rsidRPr="00507A31">
        <w:rPr>
          <w:color w:val="000000" w:themeColor="text1"/>
          <w:sz w:val="16"/>
          <w:szCs w:val="16"/>
        </w:rPr>
        <w:t>) на моноплане «Белланка» (</w:t>
      </w:r>
      <w:r w:rsidRPr="00507A31">
        <w:rPr>
          <w:color w:val="000000" w:themeColor="text1"/>
          <w:sz w:val="16"/>
          <w:szCs w:val="16"/>
          <w:lang w:val="en-US"/>
        </w:rPr>
        <w:t>Bellanca</w:t>
      </w:r>
      <w:r w:rsidRPr="00507A31">
        <w:rPr>
          <w:color w:val="000000" w:themeColor="text1"/>
          <w:sz w:val="16"/>
          <w:szCs w:val="16"/>
        </w:rPr>
        <w:t>) пролете</w:t>
      </w:r>
      <w:r w:rsidRPr="00507A31">
        <w:rPr>
          <w:color w:val="000000" w:themeColor="text1"/>
          <w:sz w:val="16"/>
          <w:szCs w:val="16"/>
        </w:rPr>
        <w:softHyphen/>
        <w:t>ли по прямой 8065 км (12725).</w:t>
      </w:r>
    </w:p>
    <w:p w14:paraId="570944F9" w14:textId="77777777" w:rsidR="00DA1AA9" w:rsidRPr="00507A31" w:rsidRDefault="00DA1AA9" w:rsidP="00507A31">
      <w:pPr>
        <w:jc w:val="both"/>
        <w:rPr>
          <w:color w:val="000000" w:themeColor="text1"/>
          <w:sz w:val="16"/>
          <w:szCs w:val="16"/>
        </w:rPr>
      </w:pPr>
    </w:p>
    <w:p w14:paraId="19A7E18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88375B8" w14:textId="77777777" w:rsidR="00537E5F" w:rsidRPr="00507A31" w:rsidRDefault="00537E5F" w:rsidP="00507A31">
      <w:pPr>
        <w:autoSpaceDE w:val="0"/>
        <w:autoSpaceDN w:val="0"/>
        <w:adjustRightInd w:val="0"/>
        <w:jc w:val="both"/>
        <w:rPr>
          <w:iCs/>
          <w:color w:val="000000" w:themeColor="text1"/>
          <w:sz w:val="16"/>
          <w:szCs w:val="16"/>
        </w:rPr>
      </w:pPr>
    </w:p>
    <w:p w14:paraId="4647FBD8" w14:textId="77777777" w:rsidR="00EA2934" w:rsidRPr="00507A31" w:rsidRDefault="00EA2934" w:rsidP="00507A31">
      <w:pPr>
        <w:jc w:val="both"/>
        <w:rPr>
          <w:color w:val="000000" w:themeColor="text1"/>
          <w:sz w:val="16"/>
          <w:szCs w:val="16"/>
        </w:rPr>
      </w:pPr>
      <w:r w:rsidRPr="00507A31">
        <w:rPr>
          <w:color w:val="000000" w:themeColor="text1"/>
          <w:sz w:val="16"/>
          <w:szCs w:val="16"/>
        </w:rPr>
        <w:t>В середине 1930 г. начал летать третий опытный образец истребителя, известный как И-5 №3 «Подарок XVI съезду ВКП (б.)». Этот самолет с двигателем М-15 конструк</w:t>
      </w:r>
      <w:r w:rsidRPr="00507A31">
        <w:rPr>
          <w:color w:val="000000" w:themeColor="text1"/>
          <w:sz w:val="16"/>
          <w:szCs w:val="16"/>
        </w:rPr>
        <w:softHyphen/>
        <w:t>ции Бессонова, отличался наличием ци</w:t>
      </w:r>
      <w:r w:rsidRPr="00507A31">
        <w:rPr>
          <w:color w:val="000000" w:themeColor="text1"/>
          <w:sz w:val="16"/>
          <w:szCs w:val="16"/>
        </w:rPr>
        <w:softHyphen/>
        <w:t>линдрического капота типа 1МАСА. Государ</w:t>
      </w:r>
      <w:r w:rsidRPr="00507A31">
        <w:rPr>
          <w:color w:val="000000" w:themeColor="text1"/>
          <w:sz w:val="16"/>
          <w:szCs w:val="16"/>
        </w:rPr>
        <w:softHyphen/>
        <w:t>ственные испытания «подарка» в НИИ ВВС, начавшиеся 12 декабря 1930 г., спустя две недели прервали по причине неисправности двигателя М-15. Самолет доводился в течение года, однако заметного влияния на серийные образцы не оказал. Капот ЫАСА на И-5 не прижился, серия самолетов, по</w:t>
      </w:r>
      <w:r w:rsidRPr="00507A31">
        <w:rPr>
          <w:color w:val="000000" w:themeColor="text1"/>
          <w:sz w:val="16"/>
          <w:szCs w:val="16"/>
        </w:rPr>
        <w:softHyphen/>
        <w:t>строенная на авиазаводе №21 в Горьком (Нижний Новгород) отличалась наличием более узкого кольца Тауненда.</w:t>
      </w:r>
    </w:p>
    <w:p w14:paraId="52956BCD" w14:textId="77777777" w:rsidR="00EA2934" w:rsidRPr="00507A31" w:rsidRDefault="00EA2934" w:rsidP="00507A31">
      <w:pPr>
        <w:jc w:val="both"/>
        <w:rPr>
          <w:color w:val="000000" w:themeColor="text1"/>
          <w:sz w:val="16"/>
          <w:szCs w:val="16"/>
        </w:rPr>
      </w:pPr>
      <w:r w:rsidRPr="00507A31">
        <w:rPr>
          <w:color w:val="000000" w:themeColor="text1"/>
          <w:sz w:val="16"/>
          <w:szCs w:val="16"/>
        </w:rPr>
        <w:t>Всего авиазавод №21 в период 1932— 1934 гг. выпустил 661 И-5. В 1931-1932 гг. московские заводы №1 и №39 сдали 142 И-5. Эксплуатация истребителей продол</w:t>
      </w:r>
      <w:r w:rsidRPr="00507A31">
        <w:rPr>
          <w:color w:val="000000" w:themeColor="text1"/>
          <w:sz w:val="16"/>
          <w:szCs w:val="16"/>
        </w:rPr>
        <w:softHyphen/>
        <w:t>жалась вплоть до начала 1940-х гг. Отдель</w:t>
      </w:r>
      <w:r w:rsidRPr="00507A31">
        <w:rPr>
          <w:color w:val="000000" w:themeColor="text1"/>
          <w:sz w:val="16"/>
          <w:szCs w:val="16"/>
        </w:rPr>
        <w:softHyphen/>
        <w:t>ные экземпляры И-5 принимали участие в Великой Отечественной войне (12610).</w:t>
      </w:r>
    </w:p>
    <w:p w14:paraId="49558B9C" w14:textId="77777777" w:rsidR="00EA2934" w:rsidRPr="00507A31" w:rsidRDefault="00EA2934" w:rsidP="00507A31">
      <w:pPr>
        <w:jc w:val="both"/>
        <w:rPr>
          <w:color w:val="000000" w:themeColor="text1"/>
          <w:sz w:val="16"/>
          <w:szCs w:val="16"/>
        </w:rPr>
      </w:pPr>
    </w:p>
    <w:p w14:paraId="15997176" w14:textId="77777777" w:rsidR="00EA1E07" w:rsidRPr="00507A31" w:rsidRDefault="00EA1E07" w:rsidP="00507A31">
      <w:pPr>
        <w:jc w:val="both"/>
        <w:rPr>
          <w:color w:val="0070C0"/>
          <w:sz w:val="16"/>
          <w:szCs w:val="16"/>
        </w:rPr>
      </w:pPr>
      <w:r w:rsidRPr="00507A31">
        <w:rPr>
          <w:color w:val="0070C0"/>
          <w:sz w:val="16"/>
          <w:szCs w:val="16"/>
        </w:rPr>
        <w:t>До середины 1930 г. Кочеригин руково</w:t>
      </w:r>
      <w:r w:rsidRPr="00507A31">
        <w:rPr>
          <w:color w:val="0070C0"/>
          <w:sz w:val="16"/>
          <w:szCs w:val="16"/>
        </w:rPr>
        <w:softHyphen/>
        <w:t>дил строительством и доводкой двух экземпляров истре</w:t>
      </w:r>
      <w:r w:rsidRPr="00507A31">
        <w:rPr>
          <w:color w:val="0070C0"/>
          <w:sz w:val="16"/>
          <w:szCs w:val="16"/>
        </w:rPr>
        <w:softHyphen/>
        <w:t>бителей И-6 конструкции Поликарпова, выполненных по схеме полутораплана и оснащенных звездообразным дви</w:t>
      </w:r>
      <w:r w:rsidRPr="00507A31">
        <w:rPr>
          <w:color w:val="0070C0"/>
          <w:sz w:val="16"/>
          <w:szCs w:val="16"/>
        </w:rPr>
        <w:softHyphen/>
        <w:t>гателем Гном-Рон «Юпитер». К сожалению, И-6 не заин</w:t>
      </w:r>
      <w:r w:rsidRPr="00507A31">
        <w:rPr>
          <w:color w:val="0070C0"/>
          <w:sz w:val="16"/>
          <w:szCs w:val="16"/>
        </w:rPr>
        <w:softHyphen/>
        <w:t>тересовал ВВС, предпочтение отдали очень похожему на него истребителю И-5, созданному в ЦКБ-39 (20362).</w:t>
      </w:r>
    </w:p>
    <w:p w14:paraId="3AA270D8" w14:textId="77777777" w:rsidR="00EA1E07" w:rsidRPr="00507A31" w:rsidRDefault="00EA1E07" w:rsidP="00507A31">
      <w:pPr>
        <w:shd w:val="clear" w:color="auto" w:fill="FFFFFF"/>
        <w:jc w:val="both"/>
        <w:rPr>
          <w:color w:val="0070C0"/>
          <w:sz w:val="16"/>
          <w:szCs w:val="16"/>
        </w:rPr>
      </w:pPr>
    </w:p>
    <w:p w14:paraId="04CFD20F" w14:textId="77777777" w:rsidR="00EA1E07" w:rsidRPr="00507A31" w:rsidRDefault="00EA1E07" w:rsidP="00507A31">
      <w:pPr>
        <w:jc w:val="both"/>
        <w:rPr>
          <w:color w:val="0070C0"/>
          <w:sz w:val="16"/>
          <w:szCs w:val="16"/>
        </w:rPr>
      </w:pPr>
      <w:r w:rsidRPr="00507A31">
        <w:rPr>
          <w:color w:val="0070C0"/>
          <w:sz w:val="16"/>
          <w:szCs w:val="16"/>
        </w:rPr>
        <w:t>До середины 1930 г. Дмитрий Павлович Григорович значился консуль</w:t>
      </w:r>
      <w:r w:rsidRPr="00507A31">
        <w:rPr>
          <w:color w:val="0070C0"/>
          <w:sz w:val="16"/>
          <w:szCs w:val="16"/>
        </w:rPr>
        <w:softHyphen/>
        <w:t>тантом, которого привлекали при решении производственных вопросов. Главных конструкторов (или конструктора) не было, общее руководство ЦКБ вели чины из ОГПУ, которые привлекали консультантов. В ряде документов второй по</w:t>
      </w:r>
      <w:r w:rsidRPr="00507A31">
        <w:rPr>
          <w:color w:val="0070C0"/>
          <w:sz w:val="16"/>
          <w:szCs w:val="16"/>
        </w:rPr>
        <w:softHyphen/>
        <w:t>ловины 1930 г. Д.П.Г. уже значится помощником начальника ЦКБ за</w:t>
      </w:r>
      <w:r w:rsidRPr="00507A31">
        <w:rPr>
          <w:color w:val="0070C0"/>
          <w:sz w:val="16"/>
          <w:szCs w:val="16"/>
        </w:rPr>
        <w:softHyphen/>
        <w:t>вода №39 (заместителем начальника ЦКБ тогда называет</w:t>
      </w:r>
      <w:r w:rsidRPr="00507A31">
        <w:rPr>
          <w:color w:val="0070C0"/>
          <w:sz w:val="16"/>
          <w:szCs w:val="16"/>
        </w:rPr>
        <w:softHyphen/>
        <w:t>ся И.И. Артамонов) (20362).</w:t>
      </w:r>
    </w:p>
    <w:p w14:paraId="33BA36C8" w14:textId="77777777" w:rsidR="00EA1E07" w:rsidRPr="00507A31" w:rsidRDefault="00EA1E07" w:rsidP="00507A31">
      <w:pPr>
        <w:jc w:val="both"/>
        <w:rPr>
          <w:color w:val="0070C0"/>
          <w:sz w:val="16"/>
          <w:szCs w:val="16"/>
        </w:rPr>
      </w:pPr>
    </w:p>
    <w:p w14:paraId="71D9CE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середине 1930 - К.А.К. начал работать над К-10 (70,186).</w:t>
      </w:r>
    </w:p>
    <w:p w14:paraId="4BCDC44F" w14:textId="77777777" w:rsidR="00537E5F" w:rsidRPr="00507A31" w:rsidRDefault="00537E5F" w:rsidP="00507A31">
      <w:pPr>
        <w:autoSpaceDE w:val="0"/>
        <w:autoSpaceDN w:val="0"/>
        <w:adjustRightInd w:val="0"/>
        <w:jc w:val="both"/>
        <w:rPr>
          <w:color w:val="000000" w:themeColor="text1"/>
          <w:sz w:val="16"/>
          <w:szCs w:val="16"/>
        </w:rPr>
      </w:pPr>
    </w:p>
    <w:p w14:paraId="2FF0E9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середине 1930 началась разработка И-12 (АНТ-23) как тяжелого истребителя, способного вести бой на высотах до 5 км и на большом удалении (2693,14).</w:t>
      </w:r>
    </w:p>
    <w:p w14:paraId="48344B87" w14:textId="77777777" w:rsidR="00537E5F" w:rsidRPr="00507A31" w:rsidRDefault="00537E5F" w:rsidP="00507A31">
      <w:pPr>
        <w:autoSpaceDE w:val="0"/>
        <w:autoSpaceDN w:val="0"/>
        <w:adjustRightInd w:val="0"/>
        <w:jc w:val="both"/>
        <w:rPr>
          <w:color w:val="000000" w:themeColor="text1"/>
          <w:sz w:val="16"/>
          <w:szCs w:val="16"/>
        </w:rPr>
      </w:pPr>
    </w:p>
    <w:p w14:paraId="1942583B" w14:textId="77777777" w:rsidR="001C0A69" w:rsidRPr="00507A31" w:rsidRDefault="001C0A69" w:rsidP="00507A31">
      <w:pPr>
        <w:jc w:val="both"/>
        <w:rPr>
          <w:color w:val="000000" w:themeColor="text1"/>
          <w:sz w:val="16"/>
          <w:szCs w:val="16"/>
        </w:rPr>
      </w:pPr>
      <w:r w:rsidRPr="00507A31">
        <w:rPr>
          <w:color w:val="000000" w:themeColor="text1"/>
          <w:sz w:val="16"/>
          <w:szCs w:val="16"/>
        </w:rPr>
        <w:t>В середине 1930 г. в конструкторском бюро ЦАГИ началась Разработка истребителя И-12 (АНТ-23). Поначалу были составлены технические требования на тяжелый истребитель, вооруженный двумя пушками АПК калибра 76,2 мм, способный вести бой с воздушным противником на дальностях до 5 км. Снаряды при этом предполагалось начинять картечью.</w:t>
      </w:r>
    </w:p>
    <w:p w14:paraId="213F8F46" w14:textId="77777777" w:rsidR="001C0A69" w:rsidRPr="00507A31" w:rsidRDefault="001C0A69" w:rsidP="00507A31">
      <w:pPr>
        <w:jc w:val="both"/>
        <w:rPr>
          <w:color w:val="000000" w:themeColor="text1"/>
          <w:sz w:val="16"/>
          <w:szCs w:val="16"/>
        </w:rPr>
      </w:pPr>
      <w:r w:rsidRPr="00507A31">
        <w:rPr>
          <w:color w:val="000000" w:themeColor="text1"/>
          <w:sz w:val="16"/>
          <w:szCs w:val="16"/>
        </w:rPr>
        <w:t>5 ноября 1930 г. «лицо» нового самолета окончательно утвердилось. Было решено строить И-12 как одноместный истребитель с двумя двигателями воздушного охлаждения «Юпитер», мощностью 480 л. с. каждый. И-12 был выполнен по достаточно оригинальной тогда двухбалочной схеме, где балки из стальных труб были предназначены для установки пушек Курчевского.</w:t>
      </w:r>
    </w:p>
    <w:p w14:paraId="1E6840FB" w14:textId="77777777" w:rsidR="001C0A69" w:rsidRPr="00507A31" w:rsidRDefault="001C0A69" w:rsidP="00507A31">
      <w:pPr>
        <w:jc w:val="both"/>
        <w:rPr>
          <w:color w:val="000000" w:themeColor="text1"/>
          <w:sz w:val="16"/>
          <w:szCs w:val="16"/>
        </w:rPr>
      </w:pPr>
      <w:r w:rsidRPr="00507A31">
        <w:rPr>
          <w:color w:val="000000" w:themeColor="text1"/>
          <w:sz w:val="16"/>
          <w:szCs w:val="16"/>
        </w:rPr>
        <w:t>И-12 был закончен постройкой в начале лета 1931 г.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20919AC7" w14:textId="77777777" w:rsidR="001C0A69" w:rsidRPr="00507A31" w:rsidRDefault="001C0A69" w:rsidP="00507A31">
      <w:pPr>
        <w:jc w:val="both"/>
        <w:rPr>
          <w:color w:val="000000" w:themeColor="text1"/>
          <w:sz w:val="16"/>
          <w:szCs w:val="16"/>
        </w:rPr>
      </w:pPr>
      <w:r w:rsidRPr="00507A31">
        <w:rPr>
          <w:color w:val="000000" w:themeColor="text1"/>
          <w:sz w:val="16"/>
          <w:szCs w:val="16"/>
        </w:rPr>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НИАПе. Начальная скорость оказалась 397 м/с. Первые наземные стрельбы И-12 с АПК-5 состоялись 11 ноября 1931 г. на аэродроме НИИ ВВС.</w:t>
      </w:r>
    </w:p>
    <w:p w14:paraId="0CEB839C" w14:textId="77777777" w:rsidR="001C0A69" w:rsidRPr="00507A31" w:rsidRDefault="001C0A69" w:rsidP="00507A31">
      <w:pPr>
        <w:jc w:val="both"/>
        <w:rPr>
          <w:color w:val="000000" w:themeColor="text1"/>
          <w:sz w:val="16"/>
          <w:szCs w:val="16"/>
        </w:rPr>
      </w:pPr>
      <w:r w:rsidRPr="00507A31">
        <w:rPr>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w:t>
      </w:r>
    </w:p>
    <w:p w14:paraId="4224BDCE" w14:textId="77777777" w:rsidR="001C0A69" w:rsidRPr="00507A31" w:rsidRDefault="001C0A69" w:rsidP="00507A31">
      <w:pPr>
        <w:jc w:val="both"/>
        <w:rPr>
          <w:color w:val="000000" w:themeColor="text1"/>
          <w:sz w:val="16"/>
          <w:szCs w:val="16"/>
        </w:rPr>
      </w:pPr>
      <w:r w:rsidRPr="00507A31">
        <w:rPr>
          <w:color w:val="000000" w:themeColor="text1"/>
          <w:sz w:val="16"/>
          <w:szCs w:val="16"/>
        </w:rPr>
        <w:t>21 марта Козлов вылетел на Кунцевский полигон для опробования пушек в воздухе. Каждая АПК была снаряжена двумя снарядами — один находился в стволе, второй — в магазине. На высоте 1000 м после первого выстрела из левой пушки произошел разрыв сопла, сорвало обтекатели орудия, повредило проводку управления стабилизатором (стабилизатор на И-12 был управляемым, пилот мог в воздухе менять угол его установки). Во время происшествия пилот наблюдал разрыв снаряда на ожидаемой дистанции, одновременно автоматика подачи направила в ствол очередной снаряд. Разрыв сопла оказался совершенно неожиданным, до этого было проведено более 100 удачных выстрелов на земле.</w:t>
      </w:r>
    </w:p>
    <w:p w14:paraId="16926247" w14:textId="77777777" w:rsidR="001C0A69" w:rsidRPr="00507A31" w:rsidRDefault="001C0A69" w:rsidP="00507A31">
      <w:pPr>
        <w:jc w:val="both"/>
        <w:rPr>
          <w:color w:val="000000" w:themeColor="text1"/>
          <w:sz w:val="16"/>
          <w:szCs w:val="16"/>
        </w:rPr>
      </w:pPr>
      <w:r w:rsidRPr="00507A31">
        <w:rPr>
          <w:color w:val="000000" w:themeColor="text1"/>
          <w:sz w:val="16"/>
          <w:szCs w:val="16"/>
        </w:rPr>
        <w:t>Ситуация в воздухе складывалась угрожающая. Козлов, который видел развороченную обшивку и поврежденную хвостовую балку, понимал, что в любой момент машина может начать разрушаться. Прыгать с парашютом было опасно, не ровен час — угодишь в задний винт. Да и не принято было у испытателей покидать машину, которая держалась в воздухе. С величайшей осторожностью пилот развернулся и направил самолет в сторону Центрального аэродрома. При посадке хвостовая балка, выточенная из стальной трубы диаметром 170 мм, переломилась… За спасение И-12 Иван Фролович Козлов был награжден орденом Красной Звезды.</w:t>
      </w:r>
    </w:p>
    <w:p w14:paraId="08D0FA7D" w14:textId="77777777" w:rsidR="001C0A69" w:rsidRPr="00507A31" w:rsidRDefault="001C0A69" w:rsidP="00507A31">
      <w:pPr>
        <w:jc w:val="both"/>
        <w:rPr>
          <w:color w:val="000000" w:themeColor="text1"/>
          <w:sz w:val="16"/>
          <w:szCs w:val="16"/>
        </w:rPr>
      </w:pPr>
      <w:r w:rsidRPr="00507A31">
        <w:rPr>
          <w:color w:val="000000" w:themeColor="text1"/>
          <w:sz w:val="16"/>
          <w:szCs w:val="16"/>
        </w:rPr>
        <w:t>В связи с аварией состоялось специальное совещание у Тухачевского. Пушки было решено доработать, увеличить толщину стенок сопла, усилить эти стенки дополнительными ребрами жесткости.</w:t>
      </w:r>
    </w:p>
    <w:p w14:paraId="542645D5" w14:textId="77777777" w:rsidR="001C0A69" w:rsidRPr="00507A31" w:rsidRDefault="001C0A69" w:rsidP="00507A31">
      <w:pPr>
        <w:jc w:val="both"/>
        <w:rPr>
          <w:color w:val="000000" w:themeColor="text1"/>
          <w:sz w:val="16"/>
          <w:szCs w:val="16"/>
        </w:rPr>
      </w:pPr>
      <w:r w:rsidRPr="00507A31">
        <w:rPr>
          <w:color w:val="000000" w:themeColor="text1"/>
          <w:sz w:val="16"/>
          <w:szCs w:val="16"/>
        </w:rPr>
        <w:t>Однако в том же 1932 г. Курчевский создал для И-12 новую 76-мм пушку АПК-10. В июне 1932 г. для самолета И-12 (дублера) началось изготовление двух пушек АЛ К-10 с улучшенной баллистикой. Вес снаряда — 4,5 кг, заряд — 1,1 кг ПКО, начальная скорость — 400 м/с. Вес пушки — 85 кг. По плану они должны были быть закончены в сентябре 1932 г. Но тут возникли сложности с самолетом-носителем.</w:t>
      </w:r>
    </w:p>
    <w:p w14:paraId="5B51CD9A" w14:textId="77777777" w:rsidR="001C0A69" w:rsidRPr="00507A31" w:rsidRDefault="001C0A69" w:rsidP="00507A31">
      <w:pPr>
        <w:jc w:val="both"/>
        <w:rPr>
          <w:color w:val="000000" w:themeColor="text1"/>
          <w:sz w:val="16"/>
          <w:szCs w:val="16"/>
        </w:rPr>
      </w:pPr>
      <w:r w:rsidRPr="00507A31">
        <w:rPr>
          <w:color w:val="000000" w:themeColor="text1"/>
          <w:sz w:val="16"/>
          <w:szCs w:val="16"/>
        </w:rPr>
        <w:t>И-12 некоторое время спустя был отремонтирован и совершил еще ряд полетов. Всего, до последнего старта 28 сентября 1932 г., самолет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w:t>
      </w:r>
    </w:p>
    <w:p w14:paraId="6C4962E3" w14:textId="77777777" w:rsidR="001C0A69" w:rsidRPr="00507A31" w:rsidRDefault="001C0A69" w:rsidP="00507A31">
      <w:pPr>
        <w:jc w:val="both"/>
        <w:rPr>
          <w:color w:val="000000" w:themeColor="text1"/>
          <w:sz w:val="16"/>
          <w:szCs w:val="16"/>
        </w:rPr>
      </w:pPr>
      <w:r w:rsidRPr="00507A31">
        <w:rPr>
          <w:color w:val="000000" w:themeColor="text1"/>
          <w:sz w:val="16"/>
          <w:szCs w:val="16"/>
        </w:rPr>
        <w:t>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 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 г. работа по этому самолету велась от случая к случаю. Хотя машина в начале 1934 г. была практически готова (по состоянию на 1 января ее готовность определялась как 84,9 %),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(12705).</w:t>
      </w:r>
    </w:p>
    <w:p w14:paraId="5663856A" w14:textId="77777777" w:rsidR="001C0A69" w:rsidRPr="00507A31" w:rsidRDefault="001C0A69" w:rsidP="00507A31">
      <w:pPr>
        <w:jc w:val="both"/>
        <w:rPr>
          <w:color w:val="000000" w:themeColor="text1"/>
          <w:sz w:val="16"/>
          <w:szCs w:val="16"/>
        </w:rPr>
      </w:pPr>
    </w:p>
    <w:p w14:paraId="43022387" w14:textId="77777777" w:rsidR="00B947C7" w:rsidRPr="00507A31" w:rsidRDefault="00B947C7" w:rsidP="00507A31">
      <w:pPr>
        <w:jc w:val="both"/>
        <w:rPr>
          <w:color w:val="000000" w:themeColor="text1"/>
          <w:sz w:val="16"/>
          <w:szCs w:val="16"/>
        </w:rPr>
      </w:pPr>
      <w:r w:rsidRPr="00507A31">
        <w:rPr>
          <w:color w:val="000000" w:themeColor="text1"/>
          <w:sz w:val="16"/>
          <w:szCs w:val="16"/>
        </w:rPr>
        <w:t>В середине 1930 г. в конструкторском бюро ЦАГИ началась разработка истребителя И-12 (АНТ-23) Поначалу были составлены технические требования на тяжелый истребитель, вооруженный двумя пушками АПК калибра 76,2 мм, способный вести бой с воздушным противником на дальностях до 5 км. Снаряды при этом предполагалось начинять картечью. (Сх. 10)</w:t>
      </w:r>
    </w:p>
    <w:p w14:paraId="4419BAB9" w14:textId="77777777" w:rsidR="00B947C7" w:rsidRPr="00507A31" w:rsidRDefault="00B947C7" w:rsidP="00507A31">
      <w:pPr>
        <w:jc w:val="both"/>
        <w:rPr>
          <w:color w:val="000000" w:themeColor="text1"/>
          <w:sz w:val="16"/>
          <w:szCs w:val="16"/>
        </w:rPr>
      </w:pPr>
      <w:r w:rsidRPr="00507A31">
        <w:rPr>
          <w:color w:val="000000" w:themeColor="text1"/>
          <w:sz w:val="16"/>
          <w:szCs w:val="16"/>
        </w:rPr>
        <w:t>5 ноября 1930 г. «лицо» нового самолета окончательно утвердилось. Было решено строить И-12 как одноместный истребитель с двумя двигателями воздушного охлаждения «Юпитер», мощностью 480 л. с. каждый. И-12 был выполнен по достаточно оригинальной тогда двухбалочной схеме, где балки из стальных труб были предназначены для установки пушек Курчевского.</w:t>
      </w:r>
    </w:p>
    <w:p w14:paraId="2A1D2C64" w14:textId="77777777" w:rsidR="00B947C7" w:rsidRPr="00507A31" w:rsidRDefault="00B947C7" w:rsidP="00507A31">
      <w:pPr>
        <w:jc w:val="both"/>
        <w:rPr>
          <w:color w:val="000000" w:themeColor="text1"/>
          <w:sz w:val="16"/>
          <w:szCs w:val="16"/>
        </w:rPr>
      </w:pPr>
      <w:r w:rsidRPr="00507A31">
        <w:rPr>
          <w:color w:val="000000" w:themeColor="text1"/>
          <w:sz w:val="16"/>
          <w:szCs w:val="16"/>
        </w:rPr>
        <w:t>И-12 был закончен постройкой в начале лета 1931 г.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3C3CC25C" w14:textId="77777777" w:rsidR="00B947C7" w:rsidRPr="00507A31" w:rsidRDefault="00B947C7" w:rsidP="00507A31">
      <w:pPr>
        <w:jc w:val="both"/>
        <w:rPr>
          <w:color w:val="000000" w:themeColor="text1"/>
          <w:sz w:val="16"/>
          <w:szCs w:val="16"/>
        </w:rPr>
      </w:pPr>
      <w:r w:rsidRPr="00507A31">
        <w:rPr>
          <w:color w:val="000000" w:themeColor="text1"/>
          <w:sz w:val="16"/>
          <w:szCs w:val="16"/>
        </w:rPr>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НИАПе. Начальная скорость оказалась 397 м/с. Первые наземные стрельбы И-12 с АПК-5 состоялись 11 ноября 1931 г. на аэродроме НИИ ВВС.</w:t>
      </w:r>
    </w:p>
    <w:p w14:paraId="01F90896" w14:textId="77777777" w:rsidR="00B947C7" w:rsidRPr="00507A31" w:rsidRDefault="00B947C7" w:rsidP="00507A31">
      <w:pPr>
        <w:jc w:val="both"/>
        <w:rPr>
          <w:color w:val="000000" w:themeColor="text1"/>
          <w:sz w:val="16"/>
          <w:szCs w:val="16"/>
        </w:rPr>
      </w:pPr>
      <w:r w:rsidRPr="00507A31">
        <w:rPr>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 испытатель Иван Фролович Козлов перегнал И-12 на аэродром в Монино, где были продолжены наземные огневые испытания.</w:t>
      </w:r>
    </w:p>
    <w:p w14:paraId="49CB08B5" w14:textId="77777777" w:rsidR="00B947C7" w:rsidRPr="00507A31" w:rsidRDefault="00B947C7" w:rsidP="00507A31">
      <w:pPr>
        <w:jc w:val="both"/>
        <w:rPr>
          <w:color w:val="000000" w:themeColor="text1"/>
          <w:sz w:val="16"/>
          <w:szCs w:val="16"/>
        </w:rPr>
      </w:pPr>
      <w:r w:rsidRPr="00507A31">
        <w:rPr>
          <w:color w:val="000000" w:themeColor="text1"/>
          <w:sz w:val="16"/>
          <w:szCs w:val="16"/>
        </w:rPr>
        <w:lastRenderedPageBreak/>
        <w:t>21 марта Козлов вылетел на Кунцевский полигон для опробования пушек в воздухе. Каждая АПК была снаряжена двумя снарядами — один находился в стволе, второй в магазине. На высоте 1000 м, после первого выстрела из левой пушки произошел разрыв сопла, сорвало обтекатели орудия, повредило проводку управления стабилизатором (стабилизатор на И-12 был управляемым, пилот мог в воздухе менять угол его установки). Во время происшествия пилот наблюдал разрыв снаряда на ожидаемой дистанции, одновременно автоматика подачи направила в ствол очередной снаряд. Разрыв сопла оказался совершенно неожиданным, до этого было проведено более 100 удачных выстрелов на земле.</w:t>
      </w:r>
    </w:p>
    <w:p w14:paraId="0D19D3A9" w14:textId="77777777" w:rsidR="00B947C7" w:rsidRPr="00507A31" w:rsidRDefault="00B947C7" w:rsidP="00507A31">
      <w:pPr>
        <w:jc w:val="both"/>
        <w:rPr>
          <w:color w:val="000000" w:themeColor="text1"/>
          <w:sz w:val="16"/>
          <w:szCs w:val="16"/>
        </w:rPr>
      </w:pPr>
      <w:r w:rsidRPr="00507A31">
        <w:rPr>
          <w:color w:val="000000" w:themeColor="text1"/>
          <w:sz w:val="16"/>
          <w:szCs w:val="16"/>
        </w:rPr>
        <w:t>Ситуация в воздухе складывалась угрожающая. Козлов, который видел развороченную обшивку и поврежденную хвостовую балку, понимал, что в любой момент машина может начать разрушаться. Прыгать с парашютом было опасно, не ровен час — угодишь в задний винт. Да и не принято было у испытателей покидать машину, которая держалась в воздухе. С величайшей осторожностью пилот развернулся и направил самолет в сторону Центрального аэродрома. При посадке хвостовая балка, выточенная из стальной трубы диаметром 170 мм, переломилась… За спасение И-12 Иван Фролович Козлов был награжден орденом Красной Звезды.</w:t>
      </w:r>
    </w:p>
    <w:p w14:paraId="32D9C4F3" w14:textId="77777777" w:rsidR="00B947C7" w:rsidRPr="00507A31" w:rsidRDefault="00B947C7" w:rsidP="00507A31">
      <w:pPr>
        <w:jc w:val="both"/>
        <w:rPr>
          <w:color w:val="000000" w:themeColor="text1"/>
          <w:sz w:val="16"/>
          <w:szCs w:val="16"/>
        </w:rPr>
      </w:pPr>
      <w:r w:rsidRPr="00507A31">
        <w:rPr>
          <w:color w:val="000000" w:themeColor="text1"/>
          <w:sz w:val="16"/>
          <w:szCs w:val="16"/>
        </w:rPr>
        <w:t>В связи с аварией состоялось специальное совещание у Тухачевского. Пушки было решено доработать, увеличить толщину стенок сопла, усилить эти стенки дополнительными ребрами жесткости.</w:t>
      </w:r>
    </w:p>
    <w:p w14:paraId="67656DD9" w14:textId="77777777" w:rsidR="00B947C7" w:rsidRPr="00507A31" w:rsidRDefault="00B947C7" w:rsidP="00507A31">
      <w:pPr>
        <w:jc w:val="both"/>
        <w:rPr>
          <w:color w:val="000000" w:themeColor="text1"/>
          <w:sz w:val="16"/>
          <w:szCs w:val="16"/>
        </w:rPr>
      </w:pPr>
      <w:r w:rsidRPr="00507A31">
        <w:rPr>
          <w:color w:val="000000" w:themeColor="text1"/>
          <w:sz w:val="16"/>
          <w:szCs w:val="16"/>
        </w:rPr>
        <w:t>Однако в том же 1932 г. Курчевский создал для И-12 новую 76-мм пушку АПК-10. В июне 1932 г. для самолета И-12 (дублера) началось изготовление двух пушек АПК-10 с улучшенной баллистикой. Вес снаряда 4,5 кг, заряд — 1,1 кг ПКО, начальная скорость 400 м/с. Вес пушки 85 кг. По плану они должны были быть закончены в сентябре 1932 г. Но тут возникли сложности с самолетом-носителем.</w:t>
      </w:r>
    </w:p>
    <w:p w14:paraId="39341A4A" w14:textId="77777777" w:rsidR="00B947C7" w:rsidRPr="00507A31" w:rsidRDefault="00B947C7" w:rsidP="00507A31">
      <w:pPr>
        <w:jc w:val="both"/>
        <w:rPr>
          <w:color w:val="000000" w:themeColor="text1"/>
          <w:sz w:val="16"/>
          <w:szCs w:val="16"/>
        </w:rPr>
      </w:pPr>
      <w:r w:rsidRPr="00507A31">
        <w:rPr>
          <w:color w:val="000000" w:themeColor="text1"/>
          <w:sz w:val="16"/>
          <w:szCs w:val="16"/>
        </w:rPr>
        <w:t>И-12 некоторое время спустя был отремонтирован и совершил еще ряд полетов. Всего, до последнего старта 28 сентября 1932 г., самолет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w:t>
      </w:r>
    </w:p>
    <w:p w14:paraId="1EE15769" w14:textId="77777777" w:rsidR="00B947C7" w:rsidRPr="00507A31" w:rsidRDefault="00B947C7" w:rsidP="00507A31">
      <w:pPr>
        <w:jc w:val="both"/>
        <w:rPr>
          <w:color w:val="000000" w:themeColor="text1"/>
          <w:sz w:val="16"/>
          <w:szCs w:val="16"/>
        </w:rPr>
      </w:pPr>
      <w:r w:rsidRPr="00507A31">
        <w:rPr>
          <w:color w:val="000000" w:themeColor="text1"/>
          <w:sz w:val="16"/>
          <w:szCs w:val="16"/>
        </w:rPr>
        <w:t>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 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 г. работа по этому самолету велась от случая к случаю. Хотя машина в начале 1934 г. была практически готова (по состоянию на 1 января ее готовность определялась как 84,9%),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(15117).</w:t>
      </w:r>
    </w:p>
    <w:p w14:paraId="45E31868" w14:textId="77777777" w:rsidR="00B947C7" w:rsidRPr="00507A31" w:rsidRDefault="00B947C7" w:rsidP="00507A31">
      <w:pPr>
        <w:jc w:val="both"/>
        <w:rPr>
          <w:color w:val="000000" w:themeColor="text1"/>
          <w:sz w:val="16"/>
          <w:szCs w:val="16"/>
        </w:rPr>
      </w:pPr>
    </w:p>
    <w:p w14:paraId="342C2F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середине 1930 г. завод 29 перешел к серийному выпуску авиационного мотора М-22 (лицензионный Бристоль "Юпитер" VI). Этот звездообразный девятицилиндровый двигатель воздушного охлаждения мощностью 570 л.с. на взлетном режиме оказался весьма ценным приобретением для отечественной авиации. Мотор М-22 производился до 1935 г. Всего было выпущено более восьми тысяч моторов, которые устанавливались на 25 моделях самолетов военной и гражданской авиации. В их числе серийные истребители И-4 (АНТ-5) А.Н. Туполева, И-5 и первые серии истребителей И-15 и И-16 Н.Н. Поликарпова, пассажирские К-5 К.А. Калинина, "Сталь-3" А.И. Путилова, ХАИ-1 И.Г. Немана (9031).</w:t>
      </w:r>
    </w:p>
    <w:p w14:paraId="1E2C6299" w14:textId="77777777" w:rsidR="00537E5F" w:rsidRPr="00507A31" w:rsidRDefault="00537E5F" w:rsidP="00507A31">
      <w:pPr>
        <w:autoSpaceDE w:val="0"/>
        <w:autoSpaceDN w:val="0"/>
        <w:adjustRightInd w:val="0"/>
        <w:jc w:val="both"/>
        <w:rPr>
          <w:color w:val="000000" w:themeColor="text1"/>
          <w:sz w:val="16"/>
          <w:szCs w:val="16"/>
        </w:rPr>
      </w:pPr>
    </w:p>
    <w:p w14:paraId="27CF4E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середине 1930 г. работы по </w:t>
      </w:r>
      <w:r w:rsidRPr="00507A31">
        <w:rPr>
          <w:color w:val="000000" w:themeColor="text1"/>
          <w:sz w:val="16"/>
          <w:szCs w:val="16"/>
          <w:lang w:val="en-US"/>
        </w:rPr>
        <w:t>V</w:t>
      </w:r>
      <w:r w:rsidRPr="00507A31">
        <w:rPr>
          <w:color w:val="000000" w:themeColor="text1"/>
          <w:sz w:val="16"/>
          <w:szCs w:val="16"/>
        </w:rPr>
        <w:t xml:space="preserve">12 («КЕРТИС </w:t>
      </w:r>
      <w:r w:rsidRPr="00507A31">
        <w:rPr>
          <w:color w:val="000000" w:themeColor="text1"/>
          <w:sz w:val="16"/>
          <w:szCs w:val="16"/>
          <w:lang w:val="en-US"/>
        </w:rPr>
        <w:t>V</w:t>
      </w:r>
      <w:r w:rsidRPr="00507A31">
        <w:rPr>
          <w:color w:val="000000" w:themeColor="text1"/>
          <w:sz w:val="16"/>
          <w:szCs w:val="16"/>
        </w:rPr>
        <w:t>») были прекращены, т.к. двигатель уже не удовлетворял ВВС по мощности. Изготовлено 6 экз. Характеристики:</w:t>
      </w:r>
    </w:p>
    <w:p w14:paraId="56F0BF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12-цилиндровый, рядный У-образный, четырехтактный, водяного охлаждения;</w:t>
      </w:r>
    </w:p>
    <w:p w14:paraId="6CEBA4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27255E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125/160 мм;</w:t>
      </w:r>
    </w:p>
    <w:p w14:paraId="5F9B67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полный рабочий объем 23,55 л;</w:t>
      </w:r>
    </w:p>
    <w:p w14:paraId="67D9A5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5,5. Существовали два варианта:</w:t>
      </w:r>
    </w:p>
    <w:p w14:paraId="239F4D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У12-500 без ПЦН, мощность 450/503 л.с. (по другим данным — 450/530 л.с.), вес 435 кг (по проекту — 420 кг).</w:t>
      </w:r>
    </w:p>
    <w:p w14:paraId="3173DC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У12 с одноступенчатым одно скоростным ПЦН, мощность 590 л.с.,</w:t>
      </w:r>
    </w:p>
    <w:p w14:paraId="44DA83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 465 кг.</w:t>
      </w:r>
    </w:p>
    <w:p w14:paraId="0DE36A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Стал основой для разработки двигателя М-19. На самолетах не устанавливался (11852).</w:t>
      </w:r>
    </w:p>
    <w:p w14:paraId="686D77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A95D3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середине 1930 г. ЦКБ ГВФ, ОКБ-89 базировалось на заводе № 89. Спроектирован (под руководством А.В. Кулева) и строился серийно самолет ЗиГ-1 (ПС-89) (1935-37 г.). Проектировался СПС-89 (скоростной пассажирский самолет), но в связи с покупкой лицензии на выпуск </w:t>
      </w:r>
      <w:r w:rsidRPr="00507A31">
        <w:rPr>
          <w:color w:val="000000" w:themeColor="text1"/>
          <w:sz w:val="16"/>
          <w:szCs w:val="16"/>
          <w:lang w:val="en-US"/>
        </w:rPr>
        <w:t>DC</w:t>
      </w:r>
      <w:r w:rsidRPr="00507A31">
        <w:rPr>
          <w:color w:val="000000" w:themeColor="text1"/>
          <w:sz w:val="16"/>
          <w:szCs w:val="16"/>
        </w:rPr>
        <w:t>-3 работы заглохли.</w:t>
      </w:r>
    </w:p>
    <w:p w14:paraId="70E7C4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 правительства от 05.1939 г. весь коллектив ЦКБ, кроме трех руководителей, был переведен в ОКБ-240.</w:t>
      </w:r>
    </w:p>
    <w:p w14:paraId="065B3B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(1934-35 г.)- А. Лявиль, (02.1938 г.-)- Д.С. Максимов (11982).</w:t>
      </w:r>
    </w:p>
    <w:p w14:paraId="7509EC64" w14:textId="77777777" w:rsidR="00537E5F" w:rsidRPr="00507A31" w:rsidRDefault="00537E5F" w:rsidP="00507A31">
      <w:pPr>
        <w:autoSpaceDE w:val="0"/>
        <w:autoSpaceDN w:val="0"/>
        <w:adjustRightInd w:val="0"/>
        <w:jc w:val="both"/>
        <w:rPr>
          <w:color w:val="000000" w:themeColor="text1"/>
          <w:sz w:val="16"/>
          <w:szCs w:val="16"/>
        </w:rPr>
      </w:pPr>
    </w:p>
    <w:p w14:paraId="18BE9EA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3DA57D8" w14:textId="77777777" w:rsidR="00537E5F" w:rsidRPr="00507A31" w:rsidRDefault="00537E5F" w:rsidP="00507A31">
      <w:pPr>
        <w:autoSpaceDE w:val="0"/>
        <w:autoSpaceDN w:val="0"/>
        <w:adjustRightInd w:val="0"/>
        <w:jc w:val="both"/>
        <w:rPr>
          <w:iCs/>
          <w:color w:val="000000" w:themeColor="text1"/>
          <w:sz w:val="16"/>
          <w:szCs w:val="16"/>
        </w:rPr>
      </w:pPr>
    </w:p>
    <w:p w14:paraId="4A68E3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середины 1930 года велись стрельбы из двух 152-мм пушек обр. 1910 г., которые были лейнированы в 1930-1932 годах. В серию лейнированные стволы не запускались (3861).</w:t>
      </w:r>
    </w:p>
    <w:p w14:paraId="34DDD416" w14:textId="77777777" w:rsidR="00537E5F" w:rsidRPr="00507A31" w:rsidRDefault="00537E5F" w:rsidP="00507A31">
      <w:pPr>
        <w:autoSpaceDE w:val="0"/>
        <w:autoSpaceDN w:val="0"/>
        <w:adjustRightInd w:val="0"/>
        <w:jc w:val="both"/>
        <w:rPr>
          <w:color w:val="000000" w:themeColor="text1"/>
          <w:sz w:val="16"/>
          <w:szCs w:val="16"/>
        </w:rPr>
      </w:pPr>
    </w:p>
    <w:p w14:paraId="3D1E0F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середине 1930 года в Артиллерийском научно-исследовательском морском институте (АНИМИ) был заслушан доклад А. Г. Дукельского, в котором он обосновал главные конструктивные принципы установки на железнодорожные транспортеры 356-мм орудий длиной 52 калибра, изготовленных в Англии для заложенных в 1912 году и недостроенных русских линкоров типа «Измаил» [Здесь следует отметить, что русская промышленность сама обладала как творческой, так и производственной способностью, а также соответствующими кадрами рабочих, для того, чтобы самостоятельно изготовлять самые мощные орудийные стволы. Например, Обуховским заводом за период 1900—1917 гг. было изготовлено 198 12-дюймовых (305-мм калибра) орудийных стволов. Размещение заказов для русского флота на иностранных предприятиях объясняется прежде всего чрезвычайно высокими темпами развития военно-морского флота России в начале прошлого века.]. Эти установки получили шифр ТМ-1-14 (11454).</w:t>
      </w:r>
    </w:p>
    <w:p w14:paraId="45522EED" w14:textId="77777777" w:rsidR="00537E5F" w:rsidRPr="00507A31" w:rsidRDefault="00537E5F" w:rsidP="00507A31">
      <w:pPr>
        <w:autoSpaceDE w:val="0"/>
        <w:autoSpaceDN w:val="0"/>
        <w:adjustRightInd w:val="0"/>
        <w:jc w:val="both"/>
        <w:rPr>
          <w:color w:val="000000" w:themeColor="text1"/>
          <w:sz w:val="16"/>
          <w:szCs w:val="16"/>
        </w:rPr>
      </w:pPr>
    </w:p>
    <w:p w14:paraId="7CDF1E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середине 1930 г. А.Н. Асафов, работавший как репрессированный в Остехбюро ОГПУ, предложил эскизный проект подводной лодки для совместных действий с надводными кораблями, который уже 23 ноября того же года был утвержден Реввоенсоветом страны. Проект предусматривал вооружение подлодки шестью торпедными аппаратами с десятью торпедами, двумя 130-мм орудиями в башнях и 37-мм зенитным орудием. Она должна была развивать скорость до 24 узлов в надводном положении и иметь дальность плавания ходом 11 узлов 9650 миль над водой и 23 мили под водой. Из-за неясности в вопросе размещения заказа на главные дизели и отсутствия основных данных по ним, разработка общего проекта задержалась (10672).</w:t>
      </w:r>
    </w:p>
    <w:p w14:paraId="1690BE67" w14:textId="77777777" w:rsidR="00537E5F" w:rsidRPr="00507A31" w:rsidRDefault="00537E5F" w:rsidP="00507A31">
      <w:pPr>
        <w:autoSpaceDE w:val="0"/>
        <w:autoSpaceDN w:val="0"/>
        <w:adjustRightInd w:val="0"/>
        <w:jc w:val="both"/>
        <w:rPr>
          <w:color w:val="000000" w:themeColor="text1"/>
          <w:sz w:val="16"/>
          <w:szCs w:val="16"/>
        </w:rPr>
      </w:pPr>
    </w:p>
    <w:p w14:paraId="49E53BA0" w14:textId="77777777" w:rsidR="0013030E" w:rsidRPr="00507A31" w:rsidRDefault="0013030E" w:rsidP="00507A31">
      <w:pPr>
        <w:jc w:val="both"/>
        <w:rPr>
          <w:color w:val="000000" w:themeColor="text1"/>
          <w:sz w:val="16"/>
          <w:szCs w:val="16"/>
        </w:rPr>
      </w:pPr>
      <w:r w:rsidRPr="00507A31">
        <w:rPr>
          <w:color w:val="000000" w:themeColor="text1"/>
          <w:sz w:val="16"/>
          <w:szCs w:val="16"/>
        </w:rPr>
        <w:t>В середине 1930 года А. Н. Асафов заявил о готовности спроектировать подлодку с мощным вооружением (два 130-мм орудия и 6 торпедных аппаратов) и необычайно высокой скоростью надводного хода (23 узла). Для сравнения следует отметить, что уже строившиеся в то время лодки серий Д, Л и Щ не могли развивать более 15 узлов.</w:t>
      </w:r>
    </w:p>
    <w:p w14:paraId="7A2D4A87" w14:textId="77777777" w:rsidR="0013030E" w:rsidRPr="00507A31" w:rsidRDefault="0013030E" w:rsidP="00507A31">
      <w:pPr>
        <w:jc w:val="both"/>
        <w:rPr>
          <w:color w:val="000000" w:themeColor="text1"/>
          <w:sz w:val="16"/>
          <w:szCs w:val="16"/>
        </w:rPr>
      </w:pPr>
      <w:r w:rsidRPr="00507A31">
        <w:rPr>
          <w:color w:val="000000" w:themeColor="text1"/>
          <w:sz w:val="16"/>
          <w:szCs w:val="16"/>
        </w:rPr>
        <w:t xml:space="preserve">Асафов, по свидетельству современников (а частности, по мнению, будущего крупного кораблестроителя профессора С. А. Базилевского), был изобретателем-самоучкой. Он не имел ни достаточного специального образования, ни опыта самостоятельного проектирования кораблей. Главным его козырем считалась многолетняя работа в конструкторском бюро под руководством создателя первых русских субмарин И. Г. Бубнова. </w:t>
      </w:r>
    </w:p>
    <w:p w14:paraId="36912257" w14:textId="77777777" w:rsidR="0013030E" w:rsidRPr="00507A31" w:rsidRDefault="0013030E" w:rsidP="00507A31">
      <w:pPr>
        <w:jc w:val="both"/>
        <w:rPr>
          <w:color w:val="000000" w:themeColor="text1"/>
          <w:sz w:val="16"/>
          <w:szCs w:val="16"/>
        </w:rPr>
      </w:pPr>
      <w:r w:rsidRPr="00507A31">
        <w:rPr>
          <w:color w:val="000000" w:themeColor="text1"/>
          <w:sz w:val="16"/>
          <w:szCs w:val="16"/>
        </w:rPr>
        <w:t xml:space="preserve">Специалисты утверждают, что основой для “эскадренной лодки IV серии” (такое обозначение получила субмарина Асафова) послужил разработанный еще в 1914—1915 годах проект 950-тонной подлодки Бубнова. Разумеется, за прошедшие полтора десятилетия бубновские чертежи уже безнадежно устарели, однако Асафов пренебрег этим очевидным фактом, что и обусловило неудачу проекта в целом. </w:t>
      </w:r>
    </w:p>
    <w:p w14:paraId="78DF42D6" w14:textId="77777777" w:rsidR="0013030E" w:rsidRPr="00507A31" w:rsidRDefault="0013030E" w:rsidP="00507A31">
      <w:pPr>
        <w:jc w:val="both"/>
        <w:rPr>
          <w:color w:val="000000" w:themeColor="text1"/>
          <w:sz w:val="16"/>
          <w:szCs w:val="16"/>
        </w:rPr>
      </w:pPr>
      <w:r w:rsidRPr="00507A31">
        <w:rPr>
          <w:color w:val="000000" w:themeColor="text1"/>
          <w:sz w:val="16"/>
          <w:szCs w:val="16"/>
        </w:rPr>
        <w:t>По замыслу конструктора, высокая надводная скорость лодки должна была достигаться тем, что ее корпусу придавались обводы... обычного миноносца! В результате высокий борт превращал субмарину в прекрасную мишень для артиллерии, а огромный запас плавучести (около 80%) увеличивал время погружения до трех минут. Кроме того, в проекте была сохранена принятая еще 15 лет назад глубина погружения (45 м), явно не отвечающая современным требованиям. Тем не менее, и 21 мая 1931 года на Балтийском заводе в Ленинграде заложили головной подводный крейсер, а 19 декабря—еще два. Они получили названия в честь центральных газет: “Правда”, “Звезда” и “Искра”. Впоследствии к ним добавили и буквенно-цифровые обозначения: П-1, П-2, П-3 соответственно.</w:t>
      </w:r>
    </w:p>
    <w:p w14:paraId="281406C7" w14:textId="77777777" w:rsidR="0013030E" w:rsidRPr="00507A31" w:rsidRDefault="0013030E" w:rsidP="00507A31">
      <w:pPr>
        <w:jc w:val="both"/>
        <w:rPr>
          <w:color w:val="000000" w:themeColor="text1"/>
          <w:sz w:val="16"/>
          <w:szCs w:val="16"/>
        </w:rPr>
      </w:pPr>
      <w:r w:rsidRPr="00507A31">
        <w:rPr>
          <w:color w:val="000000" w:themeColor="text1"/>
          <w:sz w:val="16"/>
          <w:szCs w:val="16"/>
        </w:rPr>
        <w:t>Уже в ходе строительства лодок с критикой проекта выступила группа опытных инженеров-кораблестроителей, в том числе конструктор первых трех серий советских субмарин Б. М. Малинин. Компетентная комиссия выявила многочисленные недостатки, вызвавшие необходимость переработки проекта. Так, ценой огромных усилий глубину погружения удалось довести до 60 м, сняв при атом 800-сильный вспомогательный дизель-генератор. Главный калибр орудий уменьшили со 130 мм до 100 мм. Но наибольших затрат потребовала переделка носовой части корпуса, так как его чрезмерное удлинение при выстреле торпедой вызывало риск удара ее хвостовой части о волнорез (12718).</w:t>
      </w:r>
    </w:p>
    <w:p w14:paraId="2354BDA9" w14:textId="77777777" w:rsidR="0013030E" w:rsidRPr="00507A31" w:rsidRDefault="0013030E" w:rsidP="00507A31">
      <w:pPr>
        <w:jc w:val="both"/>
        <w:rPr>
          <w:color w:val="000000" w:themeColor="text1"/>
          <w:sz w:val="16"/>
          <w:szCs w:val="16"/>
        </w:rPr>
      </w:pPr>
    </w:p>
    <w:p w14:paraId="04FCCD2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Армия:</w:t>
      </w:r>
    </w:p>
    <w:p w14:paraId="7157BD1D" w14:textId="77777777" w:rsidR="00537E5F" w:rsidRPr="00507A31" w:rsidRDefault="00537E5F" w:rsidP="00507A31">
      <w:pPr>
        <w:autoSpaceDE w:val="0"/>
        <w:autoSpaceDN w:val="0"/>
        <w:adjustRightInd w:val="0"/>
        <w:jc w:val="both"/>
        <w:rPr>
          <w:iCs/>
          <w:color w:val="000000" w:themeColor="text1"/>
          <w:sz w:val="16"/>
          <w:szCs w:val="16"/>
        </w:rPr>
      </w:pPr>
    </w:p>
    <w:p w14:paraId="4DFF01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середине 1930 г. первые ТБ-1 полу</w:t>
      </w:r>
      <w:r w:rsidRPr="00507A31">
        <w:rPr>
          <w:color w:val="000000" w:themeColor="text1"/>
          <w:sz w:val="16"/>
          <w:szCs w:val="16"/>
        </w:rPr>
        <w:softHyphen/>
        <w:t>чил 1-й тяжелобомбардировочный корпус в Кречевицах. По состоянию на 1 января 1931 г. в составе ВВС числилось уже 52 ТБ-1, из которых 45 находились в летном состоянии. Летом самолеты приняли уча</w:t>
      </w:r>
      <w:r w:rsidRPr="00507A31">
        <w:rPr>
          <w:color w:val="000000" w:themeColor="text1"/>
          <w:sz w:val="16"/>
          <w:szCs w:val="16"/>
        </w:rPr>
        <w:softHyphen/>
        <w:t>стие в маневрах на Украине, а в октябре ТБ-1 с успехом продемонстрировали не</w:t>
      </w:r>
      <w:r w:rsidRPr="00507A31">
        <w:rPr>
          <w:color w:val="000000" w:themeColor="text1"/>
          <w:sz w:val="16"/>
          <w:szCs w:val="16"/>
        </w:rPr>
        <w:softHyphen/>
        <w:t>мецкой военной делегации. К концу года количество этих бомбардировщиков в стро</w:t>
      </w:r>
      <w:r w:rsidRPr="00507A31">
        <w:rPr>
          <w:color w:val="000000" w:themeColor="text1"/>
          <w:sz w:val="16"/>
          <w:szCs w:val="16"/>
        </w:rPr>
        <w:softHyphen/>
        <w:t>евых частях достигло 155 экземпляров (11286).</w:t>
      </w:r>
    </w:p>
    <w:p w14:paraId="4ADE62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06B8E0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934BADF" w14:textId="77777777" w:rsidR="00537E5F" w:rsidRPr="00507A31" w:rsidRDefault="00537E5F" w:rsidP="00507A31">
      <w:pPr>
        <w:autoSpaceDE w:val="0"/>
        <w:autoSpaceDN w:val="0"/>
        <w:adjustRightInd w:val="0"/>
        <w:jc w:val="both"/>
        <w:rPr>
          <w:iCs/>
          <w:color w:val="000000" w:themeColor="text1"/>
          <w:sz w:val="16"/>
          <w:szCs w:val="16"/>
        </w:rPr>
      </w:pPr>
    </w:p>
    <w:p w14:paraId="06F1E16B" w14:textId="77777777" w:rsidR="003547CE" w:rsidRPr="00507A31" w:rsidRDefault="003547CE" w:rsidP="00507A31">
      <w:pPr>
        <w:autoSpaceDE w:val="0"/>
        <w:autoSpaceDN w:val="0"/>
        <w:adjustRightInd w:val="0"/>
        <w:jc w:val="both"/>
        <w:rPr>
          <w:color w:val="000000" w:themeColor="text1"/>
          <w:sz w:val="16"/>
          <w:szCs w:val="16"/>
        </w:rPr>
      </w:pPr>
      <w:r w:rsidRPr="00507A31">
        <w:rPr>
          <w:color w:val="000000" w:themeColor="text1"/>
          <w:sz w:val="16"/>
          <w:szCs w:val="16"/>
        </w:rPr>
        <w:t>С</w:t>
      </w:r>
      <w:r w:rsidRPr="00507A31">
        <w:rPr>
          <w:color w:val="000000" w:themeColor="text1"/>
          <w:sz w:val="16"/>
          <w:szCs w:val="16"/>
          <w:lang w:val="en-US"/>
        </w:rPr>
        <w:t> </w:t>
      </w:r>
      <w:r w:rsidRPr="00507A31">
        <w:rPr>
          <w:color w:val="000000" w:themeColor="text1"/>
          <w:sz w:val="16"/>
          <w:szCs w:val="16"/>
        </w:rPr>
        <w:t xml:space="preserve">середины </w:t>
      </w:r>
      <w:bookmarkStart w:id="65" w:name="YANDEX_4"/>
      <w:bookmarkEnd w:id="65"/>
      <w:r w:rsidRPr="00507A31">
        <w:rPr>
          <w:rStyle w:val="highlight"/>
          <w:color w:val="000000" w:themeColor="text1"/>
          <w:sz w:val="16"/>
          <w:szCs w:val="16"/>
        </w:rPr>
        <w:t> 1930 </w:t>
      </w:r>
      <w:r w:rsidRPr="00507A31">
        <w:rPr>
          <w:color w:val="000000" w:themeColor="text1"/>
          <w:sz w:val="16"/>
          <w:szCs w:val="16"/>
          <w:lang w:val="en-US"/>
        </w:rPr>
        <w:t> </w:t>
      </w:r>
      <w:r w:rsidRPr="00507A31">
        <w:rPr>
          <w:color w:val="000000" w:themeColor="text1"/>
          <w:sz w:val="16"/>
          <w:szCs w:val="16"/>
        </w:rPr>
        <w:t>г. население практически перестало добровольно покупать облигации госзаймов. Денежно-кредитная политика государства в это время целиком подчинялась задаче изыскания средств для проведения индустриализации. Между тем уже к началу 1929</w:t>
      </w:r>
      <w:r w:rsidRPr="00507A31">
        <w:rPr>
          <w:color w:val="000000" w:themeColor="text1"/>
          <w:sz w:val="16"/>
          <w:szCs w:val="16"/>
          <w:lang w:val="en-US"/>
        </w:rPr>
        <w:t> </w:t>
      </w:r>
      <w:r w:rsidRPr="00507A31">
        <w:rPr>
          <w:color w:val="000000" w:themeColor="text1"/>
          <w:sz w:val="16"/>
          <w:szCs w:val="16"/>
        </w:rPr>
        <w:t>г. появились явные признаки недоверия населения к советской валюте и нежелания граждан участвовать в финансировании государственных программ индустриализации (17238).</w:t>
      </w:r>
    </w:p>
    <w:p w14:paraId="086188A3" w14:textId="77777777" w:rsidR="003547CE" w:rsidRPr="00507A31" w:rsidRDefault="003547CE" w:rsidP="00507A31">
      <w:pPr>
        <w:autoSpaceDE w:val="0"/>
        <w:autoSpaceDN w:val="0"/>
        <w:adjustRightInd w:val="0"/>
        <w:jc w:val="both"/>
        <w:rPr>
          <w:color w:val="000000" w:themeColor="text1"/>
          <w:sz w:val="16"/>
          <w:szCs w:val="16"/>
        </w:rPr>
      </w:pPr>
    </w:p>
    <w:p w14:paraId="20C382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середине 1930 года в лагерях ГУЛАГ было занято уже свыше 50 тыс. чел. и главной задачей для лагерей стало строительство (9042).</w:t>
      </w:r>
    </w:p>
    <w:p w14:paraId="0776EA74" w14:textId="77777777" w:rsidR="00537E5F" w:rsidRPr="00507A31" w:rsidRDefault="00537E5F" w:rsidP="00507A31">
      <w:pPr>
        <w:autoSpaceDE w:val="0"/>
        <w:autoSpaceDN w:val="0"/>
        <w:adjustRightInd w:val="0"/>
        <w:jc w:val="both"/>
        <w:rPr>
          <w:color w:val="000000" w:themeColor="text1"/>
          <w:sz w:val="16"/>
          <w:szCs w:val="16"/>
        </w:rPr>
      </w:pPr>
    </w:p>
    <w:p w14:paraId="780D0BB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786CEA3" w14:textId="77777777" w:rsidR="00537E5F" w:rsidRPr="00507A31" w:rsidRDefault="00537E5F" w:rsidP="00507A31">
      <w:pPr>
        <w:autoSpaceDE w:val="0"/>
        <w:autoSpaceDN w:val="0"/>
        <w:adjustRightInd w:val="0"/>
        <w:jc w:val="both"/>
        <w:rPr>
          <w:iCs/>
          <w:color w:val="000000" w:themeColor="text1"/>
          <w:sz w:val="16"/>
          <w:szCs w:val="16"/>
        </w:rPr>
      </w:pPr>
    </w:p>
    <w:p w14:paraId="79B1F9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середине 1930 года дополнительно закупили 6 учебных бипланов Консолидейтед N2Y-1, оборудованных стыковочным крюком и использовавшихся для обучения летчиков стыковочным и расстыковочным маневрам. Предполагалось, что они будут состоять на вооружении дирижаблей до тех пор, пока не появятся более подходящие самолеты. В конце 1930 года был объявлен прием летчиков для будущей дирижабельной авиации и набран 41 доброволец (11324).</w:t>
      </w:r>
    </w:p>
    <w:p w14:paraId="3BB93151" w14:textId="77777777" w:rsidR="00537E5F" w:rsidRPr="00507A31" w:rsidRDefault="00537E5F" w:rsidP="00507A31">
      <w:pPr>
        <w:autoSpaceDE w:val="0"/>
        <w:autoSpaceDN w:val="0"/>
        <w:adjustRightInd w:val="0"/>
        <w:jc w:val="both"/>
        <w:rPr>
          <w:color w:val="000000" w:themeColor="text1"/>
          <w:sz w:val="16"/>
          <w:szCs w:val="16"/>
        </w:rPr>
      </w:pPr>
    </w:p>
    <w:p w14:paraId="7D134936" w14:textId="77777777" w:rsidR="00EA1E07" w:rsidRPr="00507A31" w:rsidRDefault="00EA1E07"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7EC9FBD" w14:textId="77777777" w:rsidR="00EA1E07" w:rsidRPr="00507A31" w:rsidRDefault="00EA1E07" w:rsidP="00507A31">
      <w:pPr>
        <w:autoSpaceDE w:val="0"/>
        <w:autoSpaceDN w:val="0"/>
        <w:adjustRightInd w:val="0"/>
        <w:jc w:val="both"/>
        <w:rPr>
          <w:iCs/>
          <w:color w:val="000000" w:themeColor="text1"/>
          <w:sz w:val="16"/>
          <w:szCs w:val="16"/>
        </w:rPr>
      </w:pPr>
    </w:p>
    <w:p w14:paraId="7092B7D5" w14:textId="77777777" w:rsidR="00EA1E07" w:rsidRPr="00507A31" w:rsidRDefault="00EA1E07" w:rsidP="00507A31">
      <w:pPr>
        <w:shd w:val="clear" w:color="auto" w:fill="FFFFFF"/>
        <w:jc w:val="both"/>
        <w:textAlignment w:val="baseline"/>
        <w:rPr>
          <w:color w:val="0070C0"/>
          <w:sz w:val="16"/>
          <w:szCs w:val="16"/>
        </w:rPr>
      </w:pPr>
      <w:r w:rsidRPr="00507A31">
        <w:rPr>
          <w:color w:val="0070C0"/>
          <w:sz w:val="16"/>
          <w:szCs w:val="16"/>
        </w:rPr>
        <w:t>В первой половине 1930 года подготовили проект пятилетки опытно-промышленного дирижаблестроения, хорошо иллюстрирующий взгляды, преобладавшие тогда в советском авиационно-воздухоплавательном сообществе.</w:t>
      </w:r>
    </w:p>
    <w:p w14:paraId="47A3538D" w14:textId="77777777" w:rsidR="00EA1E07" w:rsidRPr="00507A31" w:rsidRDefault="00EA1E07" w:rsidP="00507A31">
      <w:pPr>
        <w:shd w:val="clear" w:color="auto" w:fill="FFFFFF"/>
        <w:jc w:val="both"/>
        <w:textAlignment w:val="baseline"/>
        <w:rPr>
          <w:color w:val="0070C0"/>
          <w:sz w:val="16"/>
          <w:szCs w:val="16"/>
        </w:rPr>
      </w:pPr>
      <w:r w:rsidRPr="00507A31">
        <w:rPr>
          <w:color w:val="0070C0"/>
          <w:sz w:val="16"/>
          <w:szCs w:val="16"/>
        </w:rPr>
        <w:t>В основе плана лежали представления о «неоспоримых» преимуществах дирижаблей перед самолётами при транспортировке на большие расстояния значительных грузов, способности принимать и сдавать их в любой точке без всяких наземных приспособлений и особой роли в освоении северных и северо-восточных районов страны.</w:t>
      </w:r>
    </w:p>
    <w:p w14:paraId="5FC914B9" w14:textId="77777777" w:rsidR="00EA1E07" w:rsidRPr="00507A31" w:rsidRDefault="00EA1E07" w:rsidP="00507A31">
      <w:pPr>
        <w:shd w:val="clear" w:color="auto" w:fill="FFFFFF"/>
        <w:jc w:val="both"/>
        <w:textAlignment w:val="baseline"/>
        <w:rPr>
          <w:color w:val="0070C0"/>
          <w:sz w:val="16"/>
          <w:szCs w:val="16"/>
        </w:rPr>
      </w:pPr>
      <w:r w:rsidRPr="00507A31">
        <w:rPr>
          <w:color w:val="0070C0"/>
          <w:sz w:val="16"/>
          <w:szCs w:val="16"/>
        </w:rPr>
        <w:t>До конца первой пятилетки, то есть в 1930–1933 годах, на воздухоплавание предлагалось выделить больше 60 млн рублей – почти десятую часть бюджетных капиталовложений по всему гражданскому воздушному флоту. Сумма не запредельная, но весьма приличная: примерно столько же государство намеревалось потратить на прокладку Беломорско-Балтийского канала, начатую летом того же года.</w:t>
      </w:r>
    </w:p>
    <w:p w14:paraId="402CE881"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На эти средства предстояло построить две дирижабельные базы – Московскую главную, на которой будут строиться корабли и выполняться научно-исследовательские работы, и Сибирскую эксплуатационную. В наземную инфраструктуру входили эллинги, газовые заводы, мастерские и лаборатории, радио- и метеостанции, а также швартовые точки с причальными мачтами в Туруханске на берегу Енисея, в Якутске и двух небольших якутских сёлах – Булуне на реке Лене и Нижнеколымске.</w:t>
      </w:r>
    </w:p>
    <w:p w14:paraId="15E07AE7"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Производственный график предусматривал выпуск в течение трёх лет семи дирижаблей:</w:t>
      </w:r>
    </w:p>
    <w:p w14:paraId="5FD7A1D2"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 двух небольших полужёстких по 7 тыс. кубометров – для подготовки лётного состава;</w:t>
      </w:r>
    </w:p>
    <w:p w14:paraId="6E67CE14"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 трёх крупных жёстких цеппелиновской конструкции по 80 тыс. кубометров – опытных и одновременно предназначенных для эксплуатации на грузо-пассажирских линиях;</w:t>
      </w:r>
    </w:p>
    <w:p w14:paraId="1F59B879"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 двух опытных цельнометаллических небольшого объёма по 10–15 тыс. кубометров</w:t>
      </w:r>
      <w:bookmarkStart w:id="66" w:name="read_n_15_back"/>
      <w:r w:rsidRPr="00507A31">
        <w:rPr>
          <w:color w:val="0070C0"/>
          <w:sz w:val="16"/>
          <w:szCs w:val="16"/>
          <w:u w:val="single"/>
          <w:bdr w:val="none" w:sz="0" w:space="0" w:color="auto" w:frame="1"/>
          <w:shd w:val="clear" w:color="auto" w:fill="FFFFFF"/>
        </w:rPr>
        <w:t>[15]</w:t>
      </w:r>
      <w:bookmarkEnd w:id="66"/>
      <w:r w:rsidRPr="00507A31">
        <w:rPr>
          <w:color w:val="0070C0"/>
          <w:sz w:val="16"/>
          <w:szCs w:val="16"/>
        </w:rPr>
        <w:t>.</w:t>
      </w:r>
    </w:p>
    <w:p w14:paraId="5006C050"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В этот же период планировалось приступить к проектированию и постройке ещё одного жёсткого дирижабля, </w:t>
      </w:r>
      <w:r w:rsidRPr="00507A31">
        <w:rPr>
          <w:i/>
          <w:iCs/>
          <w:color w:val="0070C0"/>
          <w:sz w:val="16"/>
          <w:szCs w:val="16"/>
          <w:bdr w:val="none" w:sz="0" w:space="0" w:color="auto" w:frame="1"/>
          <w:shd w:val="clear" w:color="auto" w:fill="FFFFFF"/>
        </w:rPr>
        <w:t>«объёмом превышающего современные заграничные».</w:t>
      </w:r>
    </w:p>
    <w:p w14:paraId="2E0CAC68"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В план заложили широкое использование иностранной техпомощи для постройки дирижаблей и основных наземных сооружений, однако без указания конкретных стран и фирм.</w:t>
      </w:r>
    </w:p>
    <w:p w14:paraId="373EE879"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Полужёсткие корабли предполагали выпускать своими силами. Будут ли они строиться по итальянскому, немецкому, советскому или какому-то другому проекту – не уточнялось. Впрочем, советского проекта на тот момент и не существовало: если с технологией постройки мягких дирижаблей наши инженеры были уже знакомы, то к разработке отечественной конструкции полужёсткого корабля ещё только приступали. В начале 1930 года экспериментальный отдел ЦАГИ занялся проектированием небольшого (2750 кубометров) дирижабля этого типа [35], однако до его постройки дело не дошло, а в 1931 году работы были прекращены.</w:t>
      </w:r>
    </w:p>
    <w:p w14:paraId="036949DF"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На иностранных специалистов и технологии рассчитывали в изготовлении первых жёстких кораблей. По всей видимости, речь шла о немцах, благо к этому времени опыт технического сотрудничества с Германией в авиационной отрасли уже имелся: Советский Союз закупал самолёты фирм Дорнье и Хейнкеля, получил лицензию на производство авиадвигателей БМВ [68, с. 82–97, 103–107].</w:t>
      </w:r>
    </w:p>
    <w:p w14:paraId="7943904D"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Иностранцы должны были помочь и с постройкой первого цельнометаллического дирижабля. О его конструкции не говорилось ничего.</w:t>
      </w:r>
    </w:p>
    <w:p w14:paraId="3003E531"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Предусматривалось выполнение исследовательских и опытных работ, а также создание воздухоплавательного вуза и школы для подготовки лётного состава и наземного персонала всех уровней.</w:t>
      </w:r>
    </w:p>
    <w:p w14:paraId="207C4F29"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Внешне план выгодно отличался от туполевского, однако в технологическом и экономическом отношениях был весьма далёк от действительности.</w:t>
      </w:r>
    </w:p>
    <w:p w14:paraId="5BF5A0E0"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Признавая тот факт, что в области воздухоплавания СССР отстал на 30 лет, авторы рассчитывали в рекордные сроки ликвидировать этот разрыв и полностью овладеть всеми технологиями, необходимыми для постройки дирижаблей. Но даже при самом масштабном заграничном участии нельзя было за два-три года пробежать тот путь, на который мировые лидеры – Германия и Италия – потратили четверть века.</w:t>
      </w:r>
    </w:p>
    <w:p w14:paraId="79298810" w14:textId="77777777" w:rsidR="00EA1E07" w:rsidRPr="00507A31" w:rsidRDefault="00EA1E07" w:rsidP="00507A31">
      <w:pPr>
        <w:pStyle w:val="ae"/>
        <w:shd w:val="clear" w:color="auto" w:fill="FFFFFF"/>
        <w:spacing w:before="0" w:after="0"/>
        <w:jc w:val="both"/>
        <w:textAlignment w:val="baseline"/>
        <w:rPr>
          <w:color w:val="0070C0"/>
          <w:sz w:val="16"/>
          <w:szCs w:val="16"/>
        </w:rPr>
      </w:pPr>
      <w:r w:rsidRPr="00507A31">
        <w:rPr>
          <w:color w:val="0070C0"/>
          <w:sz w:val="16"/>
          <w:szCs w:val="16"/>
        </w:rPr>
        <w:t>Советская верфь, летом 1930 года не намечавшаяся даже в проекте, должна была выпустить по одному полужёсткому, цеппелиновскому и цельнометаллическому дирижаблю уже к осени 1931 года.</w:t>
      </w:r>
    </w:p>
    <w:p w14:paraId="4955D415" w14:textId="77777777" w:rsidR="00EA1E07" w:rsidRPr="00507A31" w:rsidRDefault="00EA1E07" w:rsidP="00507A31">
      <w:pPr>
        <w:pStyle w:val="ae"/>
        <w:shd w:val="clear" w:color="auto" w:fill="FFFFFF"/>
        <w:spacing w:before="0" w:after="0"/>
        <w:jc w:val="both"/>
        <w:textAlignment w:val="baseline"/>
        <w:rPr>
          <w:color w:val="0070C0"/>
          <w:sz w:val="16"/>
          <w:szCs w:val="16"/>
          <w:shd w:val="clear" w:color="auto" w:fill="FFFFFF"/>
        </w:rPr>
      </w:pPr>
      <w:r w:rsidRPr="00507A31">
        <w:rPr>
          <w:color w:val="0070C0"/>
          <w:sz w:val="16"/>
          <w:szCs w:val="16"/>
          <w:shd w:val="clear" w:color="auto" w:fill="FFFFFF"/>
        </w:rPr>
        <w:t>В своей экономической части план содержал не менее оптимистические оценки. По мнению авторов, дирижабли должны были стать самым дешёвым из скоростных видов транспорта, причём даже перевозка ими малоценных грузов не влекла бы их значительного удорожания. Уже к 1933 году по стоимости одного тонно-километра дирижабль становился выгоднее самолёта, текущие расходы дирижабельных линий полностью покрывались доходами, и по итогам пятилетки их работа должна была оказаться безубыточной. В обоснование и здесь приводились зарубежные примеры: Англия, США и Германия собираются организовать ряд дирижабельных линий мирового значения, следовательно, эти перевозки будут рентабельны. Были явно занижены капиталовложения: на постройку всех запланированных дирижаблей отпускалось 17,3 млн рублей, тогда как Туполев закладывал именно такую сумму на одну только опытную программу</w:t>
      </w:r>
      <w:r w:rsidRPr="00507A31">
        <w:rPr>
          <w:color w:val="0070C0"/>
          <w:sz w:val="16"/>
          <w:szCs w:val="16"/>
        </w:rPr>
        <w:t xml:space="preserve"> (</w:t>
      </w:r>
      <w:r w:rsidRPr="00507A31">
        <w:rPr>
          <w:color w:val="0070C0"/>
          <w:sz w:val="16"/>
          <w:szCs w:val="16"/>
          <w:shd w:val="clear" w:color="auto" w:fill="FFFFFF"/>
        </w:rPr>
        <w:t>20466).</w:t>
      </w:r>
    </w:p>
    <w:p w14:paraId="7CB616A5" w14:textId="77777777" w:rsidR="00EA1E07" w:rsidRPr="00507A31" w:rsidRDefault="00EA1E07" w:rsidP="00507A31">
      <w:pPr>
        <w:jc w:val="both"/>
        <w:rPr>
          <w:color w:val="0070C0"/>
          <w:sz w:val="16"/>
          <w:szCs w:val="16"/>
          <w:shd w:val="clear" w:color="auto" w:fill="FFFFFF"/>
        </w:rPr>
      </w:pPr>
    </w:p>
    <w:p w14:paraId="2E93678B" w14:textId="77777777" w:rsidR="00EA1E07" w:rsidRPr="00507A31" w:rsidRDefault="00EA1E07" w:rsidP="00507A31">
      <w:pPr>
        <w:jc w:val="both"/>
        <w:rPr>
          <w:color w:val="0070C0"/>
          <w:sz w:val="16"/>
          <w:szCs w:val="16"/>
        </w:rPr>
      </w:pPr>
      <w:r w:rsidRPr="00507A31">
        <w:rPr>
          <w:color w:val="0070C0"/>
          <w:sz w:val="16"/>
          <w:szCs w:val="16"/>
          <w:lang w:bidi="ru-RU"/>
        </w:rPr>
        <w:t>В первой половине 1930 г. для практического применения качественных сталей и использованию их в самолетостроении при Инспекции ГВФ был создан Отдел опытного самолетост</w:t>
      </w:r>
      <w:r w:rsidRPr="00507A31">
        <w:rPr>
          <w:color w:val="0070C0"/>
          <w:sz w:val="16"/>
          <w:szCs w:val="16"/>
          <w:lang w:bidi="ru-RU"/>
        </w:rPr>
        <w:softHyphen/>
        <w:t>роения (ООС) под руководством Александра Ивановича Пу</w:t>
      </w:r>
      <w:r w:rsidRPr="00507A31">
        <w:rPr>
          <w:color w:val="0070C0"/>
          <w:sz w:val="16"/>
          <w:szCs w:val="16"/>
          <w:lang w:bidi="ru-RU"/>
        </w:rPr>
        <w:softHyphen/>
        <w:t>тилова — главного конструктора, откомандированного для этого из ЦАГИ. Поначалу в ООС собралось около 20 чело</w:t>
      </w:r>
      <w:r w:rsidRPr="00507A31">
        <w:rPr>
          <w:color w:val="0070C0"/>
          <w:sz w:val="16"/>
          <w:szCs w:val="16"/>
          <w:lang w:bidi="ru-RU"/>
        </w:rPr>
        <w:softHyphen/>
        <w:t>век, которые расположились в помещениях Военно-воз</w:t>
      </w:r>
      <w:r w:rsidRPr="00507A31">
        <w:rPr>
          <w:color w:val="0070C0"/>
          <w:sz w:val="16"/>
          <w:szCs w:val="16"/>
          <w:lang w:bidi="ru-RU"/>
        </w:rPr>
        <w:softHyphen/>
        <w:t>душной академии (20365).</w:t>
      </w:r>
    </w:p>
    <w:p w14:paraId="67F803AE" w14:textId="77777777" w:rsidR="00EA1E07" w:rsidRPr="00507A31" w:rsidRDefault="00EA1E07" w:rsidP="00507A31">
      <w:pPr>
        <w:jc w:val="both"/>
        <w:rPr>
          <w:color w:val="0070C0"/>
          <w:sz w:val="16"/>
          <w:szCs w:val="16"/>
        </w:rPr>
      </w:pPr>
    </w:p>
    <w:p w14:paraId="4AA5CF0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6055C19" w14:textId="77777777" w:rsidR="00537E5F" w:rsidRPr="00507A31" w:rsidRDefault="00537E5F" w:rsidP="00507A31">
      <w:pPr>
        <w:autoSpaceDE w:val="0"/>
        <w:autoSpaceDN w:val="0"/>
        <w:adjustRightInd w:val="0"/>
        <w:jc w:val="both"/>
        <w:rPr>
          <w:iCs/>
          <w:color w:val="000000" w:themeColor="text1"/>
          <w:sz w:val="16"/>
          <w:szCs w:val="16"/>
        </w:rPr>
      </w:pPr>
    </w:p>
    <w:p w14:paraId="26AB09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первой половине 1930 года были начаты испытания 107-мм орудий "Особой доставки", изготовленные на заводе Бофорс (3861).</w:t>
      </w:r>
    </w:p>
    <w:p w14:paraId="0A8F5BE9" w14:textId="77777777" w:rsidR="00537E5F" w:rsidRPr="00507A31" w:rsidRDefault="00537E5F" w:rsidP="00507A31">
      <w:pPr>
        <w:autoSpaceDE w:val="0"/>
        <w:autoSpaceDN w:val="0"/>
        <w:adjustRightInd w:val="0"/>
        <w:jc w:val="both"/>
        <w:rPr>
          <w:color w:val="000000" w:themeColor="text1"/>
          <w:sz w:val="16"/>
          <w:szCs w:val="16"/>
        </w:rPr>
      </w:pPr>
    </w:p>
    <w:p w14:paraId="6051B99C" w14:textId="77777777" w:rsidR="00C22E52" w:rsidRPr="00507A31" w:rsidRDefault="00C22E52"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A4A7E7F" w14:textId="77777777" w:rsidR="00C22E52" w:rsidRPr="00507A31" w:rsidRDefault="00C22E52" w:rsidP="00507A31">
      <w:pPr>
        <w:autoSpaceDE w:val="0"/>
        <w:autoSpaceDN w:val="0"/>
        <w:adjustRightInd w:val="0"/>
        <w:jc w:val="both"/>
        <w:rPr>
          <w:iCs/>
          <w:color w:val="000000" w:themeColor="text1"/>
          <w:sz w:val="16"/>
          <w:szCs w:val="16"/>
        </w:rPr>
      </w:pPr>
    </w:p>
    <w:p w14:paraId="4893E128" w14:textId="77777777" w:rsidR="00C22E52" w:rsidRPr="00507A31" w:rsidRDefault="00C22E52" w:rsidP="00507A31">
      <w:pPr>
        <w:jc w:val="both"/>
        <w:rPr>
          <w:color w:val="0070C0"/>
          <w:sz w:val="16"/>
          <w:szCs w:val="16"/>
        </w:rPr>
      </w:pPr>
      <w:r w:rsidRPr="00507A31">
        <w:rPr>
          <w:color w:val="0070C0"/>
          <w:sz w:val="16"/>
          <w:szCs w:val="16"/>
          <w:lang w:bidi="ru-RU"/>
        </w:rPr>
        <w:t>К июлю 1930 г. на ХПЗ были изготовлены первые три экземпляра танка Т-24. Испытания прошли, в общем, успеш</w:t>
      </w:r>
      <w:r w:rsidRPr="00507A31">
        <w:rPr>
          <w:color w:val="0070C0"/>
          <w:sz w:val="16"/>
          <w:szCs w:val="16"/>
          <w:lang w:bidi="ru-RU"/>
        </w:rPr>
        <w:softHyphen/>
        <w:t>но, и танк приняли на вооружение Красной армии. Кроме ХПЗ, Т-24 предполагалось выпускать и на Че</w:t>
      </w:r>
      <w:r w:rsidRPr="00507A31">
        <w:rPr>
          <w:color w:val="0070C0"/>
          <w:sz w:val="16"/>
          <w:szCs w:val="16"/>
          <w:lang w:bidi="ru-RU"/>
        </w:rPr>
        <w:softHyphen/>
        <w:t>лябинском тракторном заводе. Уже на 1930/31 операционный год (в то время операционный, или хозяйствен</w:t>
      </w:r>
      <w:r w:rsidRPr="00507A31">
        <w:rPr>
          <w:color w:val="0070C0"/>
          <w:sz w:val="16"/>
          <w:szCs w:val="16"/>
          <w:lang w:bidi="ru-RU"/>
        </w:rPr>
        <w:softHyphen/>
        <w:t>ный, год начинался в октябре) запланировали изготовление 300 танков Т-24. Но реально собрали лишь 25 машин, после чего производство пре</w:t>
      </w:r>
      <w:r w:rsidRPr="00507A31">
        <w:rPr>
          <w:color w:val="0070C0"/>
          <w:sz w:val="16"/>
          <w:szCs w:val="16"/>
          <w:lang w:bidi="ru-RU"/>
        </w:rPr>
        <w:softHyphen/>
        <w:t>кратили. Причиной такого решения стал выбор в качестве основы для перспективного маневренного танка изделия американского изобретателя Джона Уолтера Кристи. Начальник КБ И. Алексеенко пытался протестовать против такого решения, обосновывая необходимость дальнейшего совершенствования Т-24, но все его усилия были напрасны. Потерпев неудачу, он написал заявление на увольнение и переехал в Ленинград, где работал на танковом заводе № 174 (23180).</w:t>
      </w:r>
    </w:p>
    <w:p w14:paraId="6C3195F8" w14:textId="77777777" w:rsidR="00C22E52" w:rsidRPr="00507A31" w:rsidRDefault="00C22E52" w:rsidP="00507A31">
      <w:pPr>
        <w:jc w:val="both"/>
        <w:rPr>
          <w:color w:val="0070C0"/>
          <w:sz w:val="16"/>
          <w:szCs w:val="16"/>
        </w:rPr>
      </w:pPr>
    </w:p>
    <w:p w14:paraId="38C5A3D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12ADFF9" w14:textId="77777777" w:rsidR="00537E5F" w:rsidRPr="00507A31" w:rsidRDefault="00537E5F" w:rsidP="00507A31">
      <w:pPr>
        <w:autoSpaceDE w:val="0"/>
        <w:autoSpaceDN w:val="0"/>
        <w:adjustRightInd w:val="0"/>
        <w:jc w:val="both"/>
        <w:rPr>
          <w:iCs/>
          <w:color w:val="000000" w:themeColor="text1"/>
          <w:sz w:val="16"/>
          <w:szCs w:val="16"/>
        </w:rPr>
      </w:pPr>
    </w:p>
    <w:p w14:paraId="34DF12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 состоялся первый полет И-5 третьего - подарок XVI партсъезду (26 июня - 13 июля) с Таунендом и обтекателями на колесах (92,411).</w:t>
      </w:r>
    </w:p>
    <w:p w14:paraId="6CDFFC0F" w14:textId="77777777" w:rsidR="00537E5F" w:rsidRPr="00507A31" w:rsidRDefault="00537E5F" w:rsidP="00507A31">
      <w:pPr>
        <w:autoSpaceDE w:val="0"/>
        <w:autoSpaceDN w:val="0"/>
        <w:adjustRightInd w:val="0"/>
        <w:jc w:val="both"/>
        <w:rPr>
          <w:color w:val="000000" w:themeColor="text1"/>
          <w:sz w:val="16"/>
          <w:szCs w:val="16"/>
        </w:rPr>
      </w:pPr>
    </w:p>
    <w:p w14:paraId="67D5CC40" w14:textId="77777777" w:rsidR="00695503" w:rsidRPr="00507A31" w:rsidRDefault="00695503" w:rsidP="00507A31">
      <w:pPr>
        <w:jc w:val="both"/>
        <w:rPr>
          <w:color w:val="000000" w:themeColor="text1"/>
          <w:sz w:val="16"/>
          <w:szCs w:val="16"/>
        </w:rPr>
      </w:pPr>
      <w:r w:rsidRPr="00507A31">
        <w:rPr>
          <w:bCs/>
          <w:color w:val="000000" w:themeColor="text1"/>
          <w:sz w:val="16"/>
          <w:szCs w:val="16"/>
        </w:rPr>
        <w:lastRenderedPageBreak/>
        <w:t>1 июля</w:t>
      </w:r>
      <w:r w:rsidRPr="00507A31">
        <w:rPr>
          <w:color w:val="000000" w:themeColor="text1"/>
          <w:sz w:val="16"/>
          <w:szCs w:val="16"/>
        </w:rPr>
        <w:t xml:space="preserve"> в 1930 году совершил первый полет третий прототип самолета «И-5», названный "Подарок XVI партсъезду", или «ВТ-13», существенно отличавшийся от двух первых. На «ВТ-13» стоял опытный отечественный двигатель </w:t>
      </w:r>
      <w:hyperlink r:id="rId116" w:tgtFrame="_blank" w:history="1">
        <w:r w:rsidRPr="00507A31">
          <w:rPr>
            <w:color w:val="000000" w:themeColor="text1"/>
            <w:sz w:val="16"/>
            <w:szCs w:val="16"/>
          </w:rPr>
          <w:t xml:space="preserve">«И-5», </w:t>
        </w:r>
      </w:hyperlink>
      <w:r w:rsidRPr="00507A31">
        <w:rPr>
          <w:color w:val="000000" w:themeColor="text1"/>
          <w:sz w:val="16"/>
          <w:szCs w:val="16"/>
        </w:rPr>
        <w:t>«М-15» был еще более высотным, чем "Юпитер"VII. На высоте 5000 м он должен был развивать мощность 600 л. с. Доводку этого мотора, спроектированного А.А.Бессоновым и А.П.Островским, предполагалось завершить к декабрю 1930 г. Капотирование двигателя на третьем самолете также было иным - на нем стояло так называемое кольцо Тауненда, прикрывавшее верхушки цилиндров, и лобовой капот с жалюзи, регулирующим обдув. За кабиной пилота появился гаргрот, улучшающий обтекание и защищающий летчика при перевороте (14939).</w:t>
      </w:r>
    </w:p>
    <w:p w14:paraId="10099662" w14:textId="77777777" w:rsidR="00695503" w:rsidRPr="00507A31" w:rsidRDefault="00695503" w:rsidP="00507A31">
      <w:pPr>
        <w:jc w:val="both"/>
        <w:rPr>
          <w:color w:val="000000" w:themeColor="text1"/>
          <w:sz w:val="16"/>
          <w:szCs w:val="16"/>
        </w:rPr>
      </w:pPr>
    </w:p>
    <w:p w14:paraId="5ADAECF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BC29961" w14:textId="77777777" w:rsidR="00537E5F" w:rsidRPr="00507A31" w:rsidRDefault="00537E5F" w:rsidP="00507A31">
      <w:pPr>
        <w:autoSpaceDE w:val="0"/>
        <w:autoSpaceDN w:val="0"/>
        <w:adjustRightInd w:val="0"/>
        <w:jc w:val="both"/>
        <w:rPr>
          <w:iCs/>
          <w:color w:val="000000" w:themeColor="text1"/>
          <w:sz w:val="16"/>
          <w:szCs w:val="16"/>
        </w:rPr>
      </w:pPr>
    </w:p>
    <w:p w14:paraId="1382CE32" w14:textId="77777777" w:rsidR="00EC121C" w:rsidRPr="00507A31" w:rsidRDefault="00EC121C" w:rsidP="00507A31">
      <w:pPr>
        <w:jc w:val="both"/>
        <w:rPr>
          <w:color w:val="000000" w:themeColor="text1"/>
          <w:sz w:val="16"/>
          <w:szCs w:val="16"/>
        </w:rPr>
      </w:pPr>
      <w:r w:rsidRPr="00507A31">
        <w:rPr>
          <w:color w:val="000000" w:themeColor="text1"/>
          <w:sz w:val="16"/>
          <w:szCs w:val="16"/>
        </w:rPr>
        <w:t>К 1 июля 1930 года на заводе № 102 завершилось строительство установки по выпуску треххлористого мышьяка (сырья для люизита) мощностью 400 тонн в год. К 1931 году по производству иприта завод № 102 был выведен на мощность 5 тыс. тонн в год. Вскоре эта цифра выросла до 6 тыс. тонн, а в конце 30-х годов она увеличилась еще почти в два раза - до 11 тыс. тонн. Линии по выпуску люизита (XXI) по состоянию на 1 июня 1937 года имели мощность лишь в 500 тонн этого ОВ в год. Но после того, как в январе 1940 года на люизитном производстве закончилась реконструкция, мощность этих цехов уже в начале 1941 года составляла 4 тыс. тонн люизита в год.</w:t>
      </w:r>
    </w:p>
    <w:p w14:paraId="1C2D113C" w14:textId="77777777" w:rsidR="00EC121C" w:rsidRPr="00507A31" w:rsidRDefault="00EC121C" w:rsidP="00507A31">
      <w:pPr>
        <w:jc w:val="both"/>
        <w:rPr>
          <w:color w:val="000000" w:themeColor="text1"/>
          <w:sz w:val="16"/>
          <w:szCs w:val="16"/>
        </w:rPr>
      </w:pPr>
      <w:r w:rsidRPr="00507A31">
        <w:rPr>
          <w:color w:val="000000" w:themeColor="text1"/>
          <w:sz w:val="16"/>
          <w:szCs w:val="16"/>
        </w:rPr>
        <w:t>Также нужно отметить, что, кроме названных видов ОВ, на предприятии в Чапаевске в предвоенные годы также сохранялось и производство фосгена. В годы Великой Отечественной войны выпуском этого вещества и последующей его разливкой по химбоеприпасам занимались лишь два химических завода в СССР — в Чапаевске и в Дзержинске. Кстати, часть этих боеприпасов дожила в России до самого конца 2001 года, когда были уничтожены последние боеприпасы, содержавшие более 10 тонн фосгена (18649).</w:t>
      </w:r>
    </w:p>
    <w:p w14:paraId="07FADFB3" w14:textId="77777777" w:rsidR="00EC121C" w:rsidRPr="00507A31" w:rsidRDefault="00EC121C" w:rsidP="00507A31">
      <w:pPr>
        <w:jc w:val="both"/>
        <w:rPr>
          <w:color w:val="000000" w:themeColor="text1"/>
          <w:sz w:val="16"/>
          <w:szCs w:val="16"/>
        </w:rPr>
      </w:pPr>
    </w:p>
    <w:p w14:paraId="3E6492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 по 5 июля 1930 на расширенном заседании РВС с представителями правительство обсуждался вопрос о танках и в т.ч. о производстве Кристи на Ярославском автозаводе (3879,4).</w:t>
      </w:r>
    </w:p>
    <w:p w14:paraId="335A9BC2" w14:textId="77777777" w:rsidR="00537E5F" w:rsidRPr="00507A31" w:rsidRDefault="00537E5F" w:rsidP="00507A31">
      <w:pPr>
        <w:autoSpaceDE w:val="0"/>
        <w:autoSpaceDN w:val="0"/>
        <w:adjustRightInd w:val="0"/>
        <w:jc w:val="both"/>
        <w:rPr>
          <w:color w:val="000000" w:themeColor="text1"/>
          <w:sz w:val="16"/>
          <w:szCs w:val="16"/>
        </w:rPr>
      </w:pPr>
    </w:p>
    <w:p w14:paraId="361636D2" w14:textId="77777777" w:rsidR="003E5DD5" w:rsidRPr="00507A31" w:rsidRDefault="003E5DD5" w:rsidP="00507A31">
      <w:pPr>
        <w:jc w:val="both"/>
        <w:rPr>
          <w:color w:val="000000" w:themeColor="text1"/>
          <w:sz w:val="16"/>
          <w:szCs w:val="16"/>
        </w:rPr>
      </w:pPr>
      <w:r w:rsidRPr="00507A31">
        <w:rPr>
          <w:color w:val="000000" w:themeColor="text1"/>
          <w:sz w:val="16"/>
          <w:szCs w:val="16"/>
        </w:rPr>
        <w:t>С 1 по 5 июля 1930 года. вопрос о производстве танков Кристи на Ярославском автомобильном заводе, который обсуждался на расширенном совещании РВС с представителями промышленности "По вопросам о танках". Тем временем в Нью-Йорк, для изучения организации производства и контроля за выполнением заказа, прибыл представитель технического комитета Н.М.Тоскин. встреча с Кристи состоялась 14 мая (предположительно), после чего на имя Халепского было отправлено 127 листов чертежей опытного танка, а также уведомление о том, что конструктор сам собирается посетить Москву.</w:t>
      </w:r>
    </w:p>
    <w:p w14:paraId="0D41EBDC" w14:textId="77777777" w:rsidR="003E5DD5" w:rsidRPr="00507A31" w:rsidRDefault="003E5DD5" w:rsidP="00507A31">
      <w:pPr>
        <w:jc w:val="both"/>
        <w:rPr>
          <w:color w:val="000000" w:themeColor="text1"/>
          <w:sz w:val="16"/>
          <w:szCs w:val="16"/>
        </w:rPr>
      </w:pPr>
      <w:r w:rsidRPr="00507A31">
        <w:rPr>
          <w:color w:val="000000" w:themeColor="text1"/>
          <w:sz w:val="16"/>
          <w:szCs w:val="16"/>
        </w:rPr>
        <w:t>Спустя два месяца, 9 августа 1930 г., чертежи прибыли в Москву и попали в распоряжение главного конструкторского бюро при Государственном Всесоюзном орудийно-оружейно-пулеметном объединении под руководством С.П. Шукалова, и были возвращены в АБТУ только 13 октября после снятия копий. Не дожидаясь прибытия опытных образцов М1931 постановлением РВС СССР от 21 ноября 1930 года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35021B08" w14:textId="77777777" w:rsidR="003E5DD5" w:rsidRPr="00507A31" w:rsidRDefault="003E5DD5" w:rsidP="00507A31">
      <w:pPr>
        <w:jc w:val="both"/>
        <w:rPr>
          <w:color w:val="000000" w:themeColor="text1"/>
          <w:sz w:val="16"/>
          <w:szCs w:val="16"/>
        </w:rPr>
      </w:pPr>
    </w:p>
    <w:p w14:paraId="2CD3E005" w14:textId="77777777" w:rsidR="00EC121C" w:rsidRPr="00507A31" w:rsidRDefault="00EC121C" w:rsidP="00507A31">
      <w:pPr>
        <w:jc w:val="both"/>
        <w:rPr>
          <w:bCs/>
          <w:iCs/>
          <w:color w:val="000000" w:themeColor="text1"/>
          <w:sz w:val="16"/>
          <w:szCs w:val="16"/>
        </w:rPr>
      </w:pPr>
      <w:r w:rsidRPr="00507A31">
        <w:rPr>
          <w:color w:val="000000" w:themeColor="text1"/>
          <w:sz w:val="16"/>
          <w:szCs w:val="16"/>
        </w:rPr>
        <w:t>1/5 Июля 1930</w:t>
      </w:r>
    </w:p>
    <w:p w14:paraId="5745D8B0" w14:textId="77777777" w:rsidR="00EC121C" w:rsidRPr="00507A31" w:rsidRDefault="00EC121C" w:rsidP="00507A31">
      <w:pPr>
        <w:jc w:val="both"/>
        <w:rPr>
          <w:color w:val="000000" w:themeColor="text1"/>
          <w:sz w:val="16"/>
          <w:szCs w:val="16"/>
        </w:rPr>
      </w:pPr>
      <w:r w:rsidRPr="00507A31">
        <w:rPr>
          <w:bCs/>
          <w:iCs/>
          <w:color w:val="000000" w:themeColor="text1"/>
          <w:sz w:val="16"/>
          <w:szCs w:val="16"/>
        </w:rPr>
        <w:t>РГВА Фонд 31811 Опись 1 Дело 374 лист 29</w:t>
      </w:r>
      <w:r w:rsidRPr="00507A31">
        <w:rPr>
          <w:color w:val="000000" w:themeColor="text1"/>
          <w:sz w:val="16"/>
          <w:szCs w:val="16"/>
        </w:rPr>
        <w:t xml:space="preserve"> </w:t>
      </w:r>
    </w:p>
    <w:p w14:paraId="2D96AC9C" w14:textId="77777777" w:rsidR="00EC121C" w:rsidRPr="00507A31" w:rsidRDefault="00EC121C" w:rsidP="00507A31">
      <w:pPr>
        <w:jc w:val="both"/>
        <w:rPr>
          <w:color w:val="000000" w:themeColor="text1"/>
          <w:sz w:val="16"/>
          <w:szCs w:val="16"/>
        </w:rPr>
      </w:pPr>
      <w:r w:rsidRPr="00507A31">
        <w:rPr>
          <w:color w:val="000000" w:themeColor="text1"/>
          <w:sz w:val="16"/>
          <w:szCs w:val="16"/>
        </w:rPr>
        <w:t xml:space="preserve">Сов. секретно </w:t>
      </w:r>
    </w:p>
    <w:p w14:paraId="086899E4" w14:textId="77777777" w:rsidR="00EC121C" w:rsidRPr="00507A31" w:rsidRDefault="00EC121C" w:rsidP="00507A31">
      <w:pPr>
        <w:jc w:val="both"/>
        <w:rPr>
          <w:color w:val="000000" w:themeColor="text1"/>
          <w:sz w:val="16"/>
          <w:szCs w:val="16"/>
        </w:rPr>
      </w:pPr>
      <w:r w:rsidRPr="00507A31">
        <w:rPr>
          <w:color w:val="000000" w:themeColor="text1"/>
          <w:sz w:val="16"/>
          <w:szCs w:val="16"/>
        </w:rPr>
        <w:t>ВЫПИСКА ИЗ ПРОТОКОЛА</w:t>
      </w:r>
    </w:p>
    <w:p w14:paraId="2FE482AA" w14:textId="77777777" w:rsidR="00EC121C" w:rsidRPr="00507A31" w:rsidRDefault="00EC121C" w:rsidP="00507A31">
      <w:pPr>
        <w:jc w:val="both"/>
        <w:rPr>
          <w:color w:val="000000" w:themeColor="text1"/>
          <w:sz w:val="16"/>
          <w:szCs w:val="16"/>
        </w:rPr>
      </w:pPr>
      <w:r w:rsidRPr="00507A31">
        <w:rPr>
          <w:color w:val="000000" w:themeColor="text1"/>
          <w:sz w:val="16"/>
          <w:szCs w:val="16"/>
        </w:rPr>
        <w:t>Совещания с промышленностью по вопросу о танках.</w:t>
      </w:r>
    </w:p>
    <w:p w14:paraId="6C758E7E" w14:textId="77777777" w:rsidR="00EC121C" w:rsidRPr="00507A31" w:rsidRDefault="00EC121C" w:rsidP="00507A31">
      <w:pPr>
        <w:jc w:val="both"/>
        <w:rPr>
          <w:color w:val="000000" w:themeColor="text1"/>
          <w:sz w:val="16"/>
          <w:szCs w:val="16"/>
        </w:rPr>
      </w:pPr>
      <w:r w:rsidRPr="00507A31">
        <w:rPr>
          <w:color w:val="000000" w:themeColor="text1"/>
          <w:sz w:val="16"/>
          <w:szCs w:val="16"/>
        </w:rPr>
        <w:t>1/5 Июля 1930 г.</w:t>
      </w:r>
    </w:p>
    <w:p w14:paraId="74E876B3" w14:textId="77777777" w:rsidR="00EC121C" w:rsidRPr="00507A31" w:rsidRDefault="00EC121C" w:rsidP="00507A31">
      <w:pPr>
        <w:jc w:val="both"/>
        <w:rPr>
          <w:color w:val="000000" w:themeColor="text1"/>
          <w:sz w:val="16"/>
          <w:szCs w:val="16"/>
        </w:rPr>
      </w:pPr>
      <w:r w:rsidRPr="00507A31">
        <w:rPr>
          <w:color w:val="000000" w:themeColor="text1"/>
          <w:sz w:val="16"/>
          <w:szCs w:val="16"/>
        </w:rPr>
        <w:t>СЛУШАЛИ – ПОСТАНОВИЛИ</w:t>
      </w:r>
    </w:p>
    <w:p w14:paraId="151EA5D8" w14:textId="77777777" w:rsidR="00EC121C" w:rsidRPr="00507A31" w:rsidRDefault="00EC121C" w:rsidP="00507A31">
      <w:pPr>
        <w:jc w:val="both"/>
        <w:rPr>
          <w:color w:val="000000" w:themeColor="text1"/>
          <w:sz w:val="16"/>
          <w:szCs w:val="16"/>
        </w:rPr>
      </w:pPr>
      <w:r w:rsidRPr="00507A31">
        <w:rPr>
          <w:color w:val="000000" w:themeColor="text1"/>
          <w:sz w:val="16"/>
          <w:szCs w:val="16"/>
        </w:rPr>
        <w:t xml:space="preserve">I. О СОСТОЯНИИ КОНСТРУКТОРСКИХ РАБОТ ПО ТАНКОВОЙ ПРОГРАММЕ. </w:t>
      </w:r>
    </w:p>
    <w:p w14:paraId="53CD09D6" w14:textId="77777777" w:rsidR="00EC121C" w:rsidRPr="00507A31" w:rsidRDefault="00EC121C" w:rsidP="00507A31">
      <w:pPr>
        <w:jc w:val="both"/>
        <w:rPr>
          <w:color w:val="000000" w:themeColor="text1"/>
          <w:sz w:val="16"/>
          <w:szCs w:val="16"/>
        </w:rPr>
      </w:pPr>
      <w:r w:rsidRPr="00507A31">
        <w:rPr>
          <w:color w:val="000000" w:themeColor="text1"/>
          <w:sz w:val="16"/>
          <w:szCs w:val="16"/>
          <w:u w:val="single"/>
        </w:rPr>
        <w:t>Танки "Кристи".</w:t>
      </w:r>
      <w:r w:rsidRPr="00507A31">
        <w:rPr>
          <w:color w:val="000000" w:themeColor="text1"/>
          <w:sz w:val="16"/>
          <w:szCs w:val="16"/>
        </w:rPr>
        <w:t xml:space="preserve"> </w:t>
      </w:r>
    </w:p>
    <w:p w14:paraId="7BFF43AF" w14:textId="77777777" w:rsidR="00EC121C" w:rsidRPr="00507A31" w:rsidRDefault="00EC121C" w:rsidP="00507A31">
      <w:pPr>
        <w:jc w:val="both"/>
        <w:rPr>
          <w:color w:val="000000" w:themeColor="text1"/>
          <w:sz w:val="16"/>
          <w:szCs w:val="16"/>
        </w:rPr>
      </w:pPr>
      <w:r w:rsidRPr="00507A31">
        <w:rPr>
          <w:color w:val="000000" w:themeColor="text1"/>
          <w:sz w:val="16"/>
          <w:szCs w:val="16"/>
        </w:rPr>
        <w:t xml:space="preserve">По получении опытных образцов и их всестороннего испытания – признать необходимым ассимилировать их производство на Ярославском автозаводе, с целью выпуска 1-й опытной партии к весне 1931 г. </w:t>
      </w:r>
    </w:p>
    <w:p w14:paraId="0AD494D4" w14:textId="77777777" w:rsidR="00EC121C" w:rsidRPr="00507A31" w:rsidRDefault="00EC121C" w:rsidP="00507A31">
      <w:pPr>
        <w:jc w:val="both"/>
        <w:rPr>
          <w:color w:val="000000" w:themeColor="text1"/>
          <w:sz w:val="16"/>
          <w:szCs w:val="16"/>
        </w:rPr>
      </w:pPr>
      <w:r w:rsidRPr="00507A31">
        <w:rPr>
          <w:color w:val="000000" w:themeColor="text1"/>
          <w:sz w:val="16"/>
          <w:szCs w:val="16"/>
        </w:rPr>
        <w:t>п.п. Председатель – УБОРЕВИЧ Секретарь – КРЫЖАНОВСКИЙ</w:t>
      </w:r>
    </w:p>
    <w:p w14:paraId="185E2D0F" w14:textId="77777777" w:rsidR="00EC121C" w:rsidRPr="00507A31" w:rsidRDefault="00EC121C" w:rsidP="00507A31">
      <w:pPr>
        <w:jc w:val="both"/>
        <w:rPr>
          <w:color w:val="000000" w:themeColor="text1"/>
          <w:sz w:val="16"/>
          <w:szCs w:val="16"/>
        </w:rPr>
      </w:pPr>
      <w:r w:rsidRPr="00507A31">
        <w:rPr>
          <w:color w:val="000000" w:themeColor="text1"/>
          <w:sz w:val="16"/>
          <w:szCs w:val="16"/>
          <w:u w:val="single"/>
        </w:rPr>
        <w:t>Копия отпечатана в 1 экз.</w:t>
      </w:r>
      <w:r w:rsidRPr="00507A31">
        <w:rPr>
          <w:color w:val="000000" w:themeColor="text1"/>
          <w:sz w:val="16"/>
          <w:szCs w:val="16"/>
        </w:rPr>
        <w:t xml:space="preserve"> </w:t>
      </w:r>
    </w:p>
    <w:p w14:paraId="6FF35A15" w14:textId="77777777" w:rsidR="00EC121C" w:rsidRPr="00507A31" w:rsidRDefault="00EC121C" w:rsidP="00507A31">
      <w:pPr>
        <w:jc w:val="both"/>
        <w:rPr>
          <w:color w:val="000000" w:themeColor="text1"/>
          <w:sz w:val="16"/>
          <w:szCs w:val="16"/>
        </w:rPr>
      </w:pPr>
      <w:r w:rsidRPr="00507A31">
        <w:rPr>
          <w:color w:val="000000" w:themeColor="text1"/>
          <w:sz w:val="16"/>
          <w:szCs w:val="16"/>
        </w:rPr>
        <w:t xml:space="preserve">Верно: Секретарь НТК подпись </w:t>
      </w:r>
    </w:p>
    <w:p w14:paraId="65D3DC53" w14:textId="77777777" w:rsidR="00EC121C" w:rsidRPr="00507A31" w:rsidRDefault="00EC121C" w:rsidP="00507A31">
      <w:pPr>
        <w:jc w:val="both"/>
        <w:rPr>
          <w:color w:val="000000" w:themeColor="text1"/>
          <w:sz w:val="16"/>
          <w:szCs w:val="16"/>
        </w:rPr>
      </w:pPr>
      <w:r w:rsidRPr="00507A31">
        <w:rPr>
          <w:color w:val="000000" w:themeColor="text1"/>
          <w:sz w:val="16"/>
          <w:szCs w:val="16"/>
        </w:rPr>
        <w:t>"22" Июля 1930 г. (19758).</w:t>
      </w:r>
    </w:p>
    <w:p w14:paraId="0BB8505F" w14:textId="77777777" w:rsidR="00EC121C" w:rsidRPr="00507A31" w:rsidRDefault="00EC121C" w:rsidP="00507A31">
      <w:pPr>
        <w:jc w:val="both"/>
        <w:rPr>
          <w:color w:val="000000" w:themeColor="text1"/>
          <w:sz w:val="16"/>
          <w:szCs w:val="16"/>
        </w:rPr>
      </w:pPr>
    </w:p>
    <w:p w14:paraId="38EFF5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июля 1930 вышло решением комиссии т. Уборевич от, 13 августа РВС СССР, 6 сентября совещанием замов от и 2 октября 1930 с.г. и РВС СССР, которыми были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(10977).</w:t>
      </w:r>
    </w:p>
    <w:p w14:paraId="68A710D1" w14:textId="77777777" w:rsidR="00537E5F" w:rsidRPr="00507A31" w:rsidRDefault="00537E5F" w:rsidP="00507A31">
      <w:pPr>
        <w:autoSpaceDE w:val="0"/>
        <w:autoSpaceDN w:val="0"/>
        <w:adjustRightInd w:val="0"/>
        <w:jc w:val="both"/>
        <w:rPr>
          <w:color w:val="000000" w:themeColor="text1"/>
          <w:sz w:val="16"/>
          <w:szCs w:val="16"/>
        </w:rPr>
      </w:pPr>
    </w:p>
    <w:p w14:paraId="6C3D00EF" w14:textId="77777777" w:rsidR="00727C92" w:rsidRPr="00507A31" w:rsidRDefault="00727C92" w:rsidP="00507A31">
      <w:pPr>
        <w:jc w:val="both"/>
        <w:rPr>
          <w:color w:val="000000" w:themeColor="text1"/>
          <w:sz w:val="16"/>
          <w:szCs w:val="16"/>
        </w:rPr>
      </w:pPr>
      <w:r w:rsidRPr="00507A31">
        <w:rPr>
          <w:color w:val="000000" w:themeColor="text1"/>
          <w:sz w:val="16"/>
          <w:szCs w:val="16"/>
        </w:rPr>
        <w:t>1 июля 1930 г. — Донесение директора Сергиевского завода № 11 Н. Жиляева секретарю ЦК ВКП(б) И. П. Товстухе о мероприятиях по ликвидации последствий «вредительства» на заводе</w:t>
      </w:r>
    </w:p>
    <w:p w14:paraId="7B59B6F3" w14:textId="77777777" w:rsidR="00727C92" w:rsidRPr="00507A31" w:rsidRDefault="00727C92" w:rsidP="00507A31">
      <w:pPr>
        <w:jc w:val="both"/>
        <w:rPr>
          <w:color w:val="000000" w:themeColor="text1"/>
          <w:sz w:val="16"/>
          <w:szCs w:val="16"/>
        </w:rPr>
      </w:pPr>
      <w:r w:rsidRPr="00507A31">
        <w:rPr>
          <w:color w:val="000000" w:themeColor="text1"/>
          <w:sz w:val="16"/>
          <w:szCs w:val="16"/>
        </w:rPr>
        <w:t>Совершенно секретно.</w:t>
      </w:r>
    </w:p>
    <w:p w14:paraId="3BCC784C" w14:textId="77777777" w:rsidR="00727C92" w:rsidRPr="00507A31" w:rsidRDefault="00727C92" w:rsidP="00507A31">
      <w:pPr>
        <w:jc w:val="both"/>
        <w:rPr>
          <w:color w:val="000000" w:themeColor="text1"/>
          <w:sz w:val="16"/>
          <w:szCs w:val="16"/>
        </w:rPr>
      </w:pPr>
      <w:r w:rsidRPr="00507A31">
        <w:rPr>
          <w:color w:val="000000" w:themeColor="text1"/>
          <w:sz w:val="16"/>
          <w:szCs w:val="16"/>
        </w:rPr>
        <w:t>Лично.</w:t>
      </w:r>
    </w:p>
    <w:p w14:paraId="2E2FC45E" w14:textId="77777777" w:rsidR="00727C92" w:rsidRPr="00507A31" w:rsidRDefault="00727C92" w:rsidP="00507A31">
      <w:pPr>
        <w:jc w:val="both"/>
        <w:rPr>
          <w:color w:val="000000" w:themeColor="text1"/>
          <w:sz w:val="16"/>
          <w:szCs w:val="16"/>
        </w:rPr>
      </w:pPr>
      <w:r w:rsidRPr="00507A31">
        <w:rPr>
          <w:color w:val="000000" w:themeColor="text1"/>
          <w:sz w:val="16"/>
          <w:szCs w:val="16"/>
        </w:rPr>
        <w:t>На основании постановления Политбюро ЦК ВКП (б) от 25 февраля 1930 г.¹* директорам заводов военной промышленности предписывалось ежемесячно доносить Вам о мероприятиях заводов по ликвидации последствий вредительства. Данную директиву своевременно выполнить не мог в силу того, что в управление заводом вступил в ноябре месяце п[рошлого] г[ода], хотя регулярные отчеты об этой работе представлялись правлению ВХТ.</w:t>
      </w:r>
    </w:p>
    <w:p w14:paraId="798D0BEF" w14:textId="77777777" w:rsidR="00727C92" w:rsidRPr="00507A31" w:rsidRDefault="00727C92" w:rsidP="00507A31">
      <w:pPr>
        <w:jc w:val="both"/>
        <w:rPr>
          <w:color w:val="000000" w:themeColor="text1"/>
          <w:sz w:val="16"/>
          <w:szCs w:val="16"/>
        </w:rPr>
      </w:pPr>
      <w:r w:rsidRPr="00507A31">
        <w:rPr>
          <w:color w:val="000000" w:themeColor="text1"/>
          <w:sz w:val="16"/>
          <w:szCs w:val="16"/>
        </w:rPr>
        <w:t>Завод № 11 имеет в своем составе следующие основные производства. 1. Капсюльное производство, ведущее изготовление гремучей ртути и ударного состава для капсюлей; инструментальную мастерскую; снаряжение капсюлей; детонаторов; изготовление петард и т. д. 2. Производство аммоналов (аммоналы и состав Фавье). 3. Производство дымшашек (шашки для дымовой завесы). 4. Гранатный отдел (снаряжение ручных и ружейных гранат). 5. Ракетное производство (осветительные и сигнальные патроны, ракеты).</w:t>
      </w:r>
    </w:p>
    <w:p w14:paraId="330FBC19" w14:textId="77777777" w:rsidR="00727C92" w:rsidRPr="00507A31" w:rsidRDefault="00727C92" w:rsidP="00507A31">
      <w:pPr>
        <w:jc w:val="both"/>
        <w:rPr>
          <w:color w:val="000000" w:themeColor="text1"/>
          <w:sz w:val="16"/>
          <w:szCs w:val="16"/>
        </w:rPr>
      </w:pPr>
      <w:r w:rsidRPr="00507A31">
        <w:rPr>
          <w:color w:val="000000" w:themeColor="text1"/>
          <w:sz w:val="16"/>
          <w:szCs w:val="16"/>
        </w:rPr>
        <w:t>Вредительство по заводу № 11, как по признанию самих вредителей, так и на основании изучения этого завода, шло по следующим направлениям: 1. Длительная и почти полная консервация завода в течение 6</w:t>
      </w:r>
      <w:r w:rsidRPr="00507A31">
        <w:rPr>
          <w:color w:val="000000" w:themeColor="text1"/>
          <w:sz w:val="16"/>
          <w:szCs w:val="16"/>
        </w:rPr>
        <w:noBreakHyphen/>
        <w:t>ти лет и почти полное разоружение его; 2. Разоружение теплосилового хозяйства; 3. Постепенная ликвидация инструментальной мастерской капсюльного производства; 4. Срыв строительной программы и капитальных работ вообще 1928/29 г.; 5. Постепенное разбазаривание кадров как рабочих, так и инженерно-технического персонала.</w:t>
      </w:r>
    </w:p>
    <w:p w14:paraId="7DAFD0B0" w14:textId="77777777" w:rsidR="00727C92" w:rsidRPr="00507A31" w:rsidRDefault="00727C92" w:rsidP="00507A31">
      <w:pPr>
        <w:jc w:val="both"/>
        <w:rPr>
          <w:color w:val="000000" w:themeColor="text1"/>
          <w:sz w:val="16"/>
          <w:szCs w:val="16"/>
        </w:rPr>
      </w:pPr>
      <w:r w:rsidRPr="00507A31">
        <w:rPr>
          <w:color w:val="000000" w:themeColor="text1"/>
          <w:sz w:val="16"/>
          <w:szCs w:val="16"/>
        </w:rPr>
        <w:t>Исходя из этого и основываясь на присланном плане работ Центральной комиссией по ликвидации последствий вредительства, завод ведет работу по намеченному плану для ликвидации вышеуказанных последствий и приводит завод в состояние, необходимое для выполнения мобзаданий.</w:t>
      </w:r>
    </w:p>
    <w:p w14:paraId="5CE5E653" w14:textId="77777777" w:rsidR="00727C92" w:rsidRPr="00507A31" w:rsidRDefault="00727C92" w:rsidP="00507A31">
      <w:pPr>
        <w:jc w:val="both"/>
        <w:rPr>
          <w:color w:val="000000" w:themeColor="text1"/>
          <w:sz w:val="16"/>
          <w:szCs w:val="16"/>
        </w:rPr>
      </w:pPr>
      <w:r w:rsidRPr="00507A31">
        <w:rPr>
          <w:color w:val="000000" w:themeColor="text1"/>
          <w:sz w:val="16"/>
          <w:szCs w:val="16"/>
        </w:rPr>
        <w:t>Заводская комиссия по ликвидации последствий фактически приступила к работе с 31 марта с. г. За этот промежуток времени и до сегодняшнего дня комиссия просмотрела и провела в жизнь следующие мероприятия:</w:t>
      </w:r>
    </w:p>
    <w:p w14:paraId="7AC1D7B0" w14:textId="77777777" w:rsidR="00727C92" w:rsidRPr="00507A31" w:rsidRDefault="00727C92" w:rsidP="00507A31">
      <w:pPr>
        <w:jc w:val="both"/>
        <w:rPr>
          <w:color w:val="000000" w:themeColor="text1"/>
          <w:sz w:val="16"/>
          <w:szCs w:val="16"/>
        </w:rPr>
      </w:pPr>
      <w:r w:rsidRPr="00507A31">
        <w:rPr>
          <w:color w:val="000000" w:themeColor="text1"/>
          <w:sz w:val="16"/>
          <w:szCs w:val="16"/>
        </w:rPr>
        <w:t>По капсюльному пр[оизводству]</w:t>
      </w:r>
    </w:p>
    <w:p w14:paraId="797C7D76" w14:textId="77777777" w:rsidR="00727C92" w:rsidRPr="00507A31" w:rsidRDefault="00727C92" w:rsidP="00507A31">
      <w:pPr>
        <w:jc w:val="both"/>
        <w:rPr>
          <w:color w:val="000000" w:themeColor="text1"/>
          <w:sz w:val="16"/>
          <w:szCs w:val="16"/>
        </w:rPr>
      </w:pPr>
      <w:r w:rsidRPr="00507A31">
        <w:rPr>
          <w:color w:val="000000" w:themeColor="text1"/>
          <w:sz w:val="16"/>
          <w:szCs w:val="16"/>
        </w:rPr>
        <w:t>Инструментальная мастерская усилена двумя новыми токарными станками, одним строгальным и двумя сверлильными; доукомплектована пятью высококвалифицированными токарями и слесарями-инструментальщиками; приобретена и установлена калильная печь для калки инструмента. Изготовление инструмента изменено по принципу последовательного потока обработки через созданные ударные бригады. Эти мероприятия дали быстрый эффект как в смысле нормального снабжения производства необходимым инструментом (сборки, матрицы, стержни, пуансоны и т. д.), так и в смысле качества и стоимости его.</w:t>
      </w:r>
    </w:p>
    <w:p w14:paraId="37E601E4" w14:textId="77777777" w:rsidR="00727C92" w:rsidRPr="00507A31" w:rsidRDefault="00727C92" w:rsidP="00507A31">
      <w:pPr>
        <w:jc w:val="both"/>
        <w:rPr>
          <w:color w:val="000000" w:themeColor="text1"/>
          <w:sz w:val="16"/>
          <w:szCs w:val="16"/>
        </w:rPr>
      </w:pPr>
      <w:r w:rsidRPr="00507A31">
        <w:rPr>
          <w:color w:val="000000" w:themeColor="text1"/>
          <w:sz w:val="16"/>
          <w:szCs w:val="16"/>
        </w:rPr>
        <w:t>Составлен полный атлас чертежей инструмента. Промывка гремучей ртути переоборудована и пущена в эксплуатацию на основе проточного способа в стеклянных воронках (взамен ручной промывки). Мастерские ударного состава временно переоборудованы на сухой способ изготовления взамен мокрого способа, давно устаревшего. Заказаны и ожидаются к получению аппараты Пастбурга для окончательного перехода к изготовлению ударного состава по сухому способу. Проверено состояние всего оборудования этого производства, [проведен его] необходимый ремонт и введено постоянное наблюдение за состоянием такового. Ручное выталкивание гильзочек винчестера из сборок заменено механическим способом. Станки для механического выталкивания были обнаружены (импортные) неиспользованными на складах завода. Заканчиваем изготовление инструмента для перехода снаряжения капсюлей центрального боя на сборки в 104 отверстия взамен ранее существовавших в 50 отверстий. Калибровка гильзочек винчестера переделана на тряски в 250 отверстий, взамен существовавших трясок в 98 отверстий.</w:t>
      </w:r>
    </w:p>
    <w:p w14:paraId="0DE36292" w14:textId="77777777" w:rsidR="00727C92" w:rsidRPr="00507A31" w:rsidRDefault="00727C92" w:rsidP="00507A31">
      <w:pPr>
        <w:jc w:val="both"/>
        <w:rPr>
          <w:color w:val="000000" w:themeColor="text1"/>
          <w:sz w:val="16"/>
          <w:szCs w:val="16"/>
        </w:rPr>
      </w:pPr>
      <w:r w:rsidRPr="00507A31">
        <w:rPr>
          <w:color w:val="000000" w:themeColor="text1"/>
          <w:sz w:val="16"/>
          <w:szCs w:val="16"/>
        </w:rPr>
        <w:t xml:space="preserve">Проверены и пересчитаны мощности установленные ранее техническими комиссиями и внесены соответствующие изменения, о чем сообщено ВХТ. Проверено состояние размещения заказов на оборудование по гильзовой и снаряжательной мастерским, выстроенным в 1928/29 г., и приняты меры к понуждению Пресненского </w:t>
      </w:r>
      <w:r w:rsidRPr="00507A31">
        <w:rPr>
          <w:color w:val="000000" w:themeColor="text1"/>
          <w:sz w:val="16"/>
          <w:szCs w:val="16"/>
        </w:rPr>
        <w:lastRenderedPageBreak/>
        <w:t>механического завода ускорить изготовление станков. Размещается заказ на инструмент для гильзовой и снаряжательной мастерских на Подольском патроном заводе, каковой необходим для мобзапаса.</w:t>
      </w:r>
    </w:p>
    <w:p w14:paraId="67492D3D" w14:textId="77777777" w:rsidR="00727C92" w:rsidRPr="00507A31" w:rsidRDefault="00727C92" w:rsidP="00507A31">
      <w:pPr>
        <w:jc w:val="both"/>
        <w:rPr>
          <w:color w:val="000000" w:themeColor="text1"/>
          <w:sz w:val="16"/>
          <w:szCs w:val="16"/>
        </w:rPr>
      </w:pPr>
      <w:r w:rsidRPr="00507A31">
        <w:rPr>
          <w:color w:val="000000" w:themeColor="text1"/>
          <w:sz w:val="16"/>
          <w:szCs w:val="16"/>
        </w:rPr>
        <w:t>По аммоналовому производству</w:t>
      </w:r>
    </w:p>
    <w:p w14:paraId="7D5971D2" w14:textId="77777777" w:rsidR="00727C92" w:rsidRPr="00507A31" w:rsidRDefault="00727C92" w:rsidP="00507A31">
      <w:pPr>
        <w:jc w:val="both"/>
        <w:rPr>
          <w:color w:val="000000" w:themeColor="text1"/>
          <w:sz w:val="16"/>
          <w:szCs w:val="16"/>
        </w:rPr>
      </w:pPr>
      <w:r w:rsidRPr="00507A31">
        <w:rPr>
          <w:color w:val="000000" w:themeColor="text1"/>
          <w:sz w:val="16"/>
          <w:szCs w:val="16"/>
        </w:rPr>
        <w:t>Проверены и пересмотрены установленные ранее мощности этого производства. В связи с переходом на изготовление аммонала из отечественной селитры мощности по отдельным фазам производства, как-то: дробление и сушка селитры, существенно снизились, благодаря большому проценту влажности аммиачной селитры. Установлен дополнительно 1 меланжор для измельчения селитры и 1 механическое сито. Установлена и пущена в эксплуатацию дозированная машина, которая заменила ручное патронирование состава Фавье.</w:t>
      </w:r>
    </w:p>
    <w:p w14:paraId="6B707E5F" w14:textId="77777777" w:rsidR="00727C92" w:rsidRPr="00507A31" w:rsidRDefault="00727C92" w:rsidP="00507A31">
      <w:pPr>
        <w:jc w:val="both"/>
        <w:rPr>
          <w:color w:val="000000" w:themeColor="text1"/>
          <w:sz w:val="16"/>
          <w:szCs w:val="16"/>
        </w:rPr>
      </w:pPr>
      <w:r w:rsidRPr="00507A31">
        <w:rPr>
          <w:color w:val="000000" w:themeColor="text1"/>
          <w:sz w:val="16"/>
          <w:szCs w:val="16"/>
        </w:rPr>
        <w:t>По производству дымшашек</w:t>
      </w:r>
    </w:p>
    <w:p w14:paraId="55ACF0BB" w14:textId="77777777" w:rsidR="00727C92" w:rsidRPr="00507A31" w:rsidRDefault="00727C92" w:rsidP="00507A31">
      <w:pPr>
        <w:jc w:val="both"/>
        <w:rPr>
          <w:color w:val="000000" w:themeColor="text1"/>
          <w:sz w:val="16"/>
          <w:szCs w:val="16"/>
        </w:rPr>
      </w:pPr>
      <w:r w:rsidRPr="00507A31">
        <w:rPr>
          <w:color w:val="000000" w:themeColor="text1"/>
          <w:sz w:val="16"/>
          <w:szCs w:val="16"/>
        </w:rPr>
        <w:t>В момент пересчета мощностей (декабрь — январь 1930 г.) производство велось исключительно ручным способом. Комиссия коренным образом пересмотрела весь процесс производства, добиваясь возможно большей механизации его.</w:t>
      </w:r>
    </w:p>
    <w:p w14:paraId="669C1743" w14:textId="77777777" w:rsidR="00727C92" w:rsidRPr="00507A31" w:rsidRDefault="00727C92" w:rsidP="00507A31">
      <w:pPr>
        <w:jc w:val="both"/>
        <w:rPr>
          <w:color w:val="000000" w:themeColor="text1"/>
          <w:sz w:val="16"/>
          <w:szCs w:val="16"/>
        </w:rPr>
      </w:pPr>
      <w:r w:rsidRPr="00507A31">
        <w:rPr>
          <w:color w:val="000000" w:themeColor="text1"/>
          <w:sz w:val="16"/>
          <w:szCs w:val="16"/>
        </w:rPr>
        <w:t>В связи с этим на данное число мы провели следующие работы: ручная просевка нашатыря заменена механическим ситом. Ручные барабаны для смешения компонентов также заменены механическими. Установлен и действует закаточный станок для закатки крышек футляров, взамен ручной пайки. Оборудованы сушильные шкафы и установлен меланжор. Установлена дозировочная машина для насыпки состава. Заканчивается переоборудование всех мастерских с введением паропровода взамен печного отопления. В связи с вышеуказанными проделанными работами мощности этого производства значительно повысились, о чем также донесено в ВХТ.</w:t>
      </w:r>
    </w:p>
    <w:p w14:paraId="0D3563AC" w14:textId="77777777" w:rsidR="00727C92" w:rsidRPr="00507A31" w:rsidRDefault="00727C92" w:rsidP="00507A31">
      <w:pPr>
        <w:jc w:val="both"/>
        <w:rPr>
          <w:color w:val="000000" w:themeColor="text1"/>
          <w:sz w:val="16"/>
          <w:szCs w:val="16"/>
        </w:rPr>
      </w:pPr>
      <w:r w:rsidRPr="00507A31">
        <w:rPr>
          <w:color w:val="000000" w:themeColor="text1"/>
          <w:sz w:val="16"/>
          <w:szCs w:val="16"/>
        </w:rPr>
        <w:t>По пр[оизводству] снаряжения ручных и ружейных гранат</w:t>
      </w:r>
    </w:p>
    <w:p w14:paraId="543D7A66" w14:textId="77777777" w:rsidR="00727C92" w:rsidRPr="00507A31" w:rsidRDefault="00727C92" w:rsidP="00507A31">
      <w:pPr>
        <w:jc w:val="both"/>
        <w:rPr>
          <w:color w:val="000000" w:themeColor="text1"/>
          <w:sz w:val="16"/>
          <w:szCs w:val="16"/>
        </w:rPr>
      </w:pPr>
      <w:r w:rsidRPr="00507A31">
        <w:rPr>
          <w:color w:val="000000" w:themeColor="text1"/>
          <w:sz w:val="16"/>
          <w:szCs w:val="16"/>
        </w:rPr>
        <w:t>Это производство начато постройкой в 1928/29 г. и будет закончено не ранее октября 1929/30 г. с установкой оборудования. Шесть мастерских, выстроенных в 1928/29 г., отделкой закончены, в ближайшее время будет установлено оборудование.</w:t>
      </w:r>
    </w:p>
    <w:p w14:paraId="558D8EBE" w14:textId="77777777" w:rsidR="00727C92" w:rsidRPr="00507A31" w:rsidRDefault="00727C92" w:rsidP="00507A31">
      <w:pPr>
        <w:jc w:val="both"/>
        <w:rPr>
          <w:color w:val="000000" w:themeColor="text1"/>
          <w:sz w:val="16"/>
          <w:szCs w:val="16"/>
        </w:rPr>
      </w:pPr>
      <w:r w:rsidRPr="00507A31">
        <w:rPr>
          <w:color w:val="000000" w:themeColor="text1"/>
          <w:sz w:val="16"/>
          <w:szCs w:val="16"/>
        </w:rPr>
        <w:t>По ракетному производству</w:t>
      </w:r>
    </w:p>
    <w:p w14:paraId="32A9FA3F" w14:textId="77777777" w:rsidR="00727C92" w:rsidRPr="00507A31" w:rsidRDefault="00727C92" w:rsidP="00507A31">
      <w:pPr>
        <w:jc w:val="both"/>
        <w:rPr>
          <w:color w:val="000000" w:themeColor="text1"/>
          <w:sz w:val="16"/>
          <w:szCs w:val="16"/>
        </w:rPr>
      </w:pPr>
      <w:r w:rsidRPr="00507A31">
        <w:rPr>
          <w:color w:val="000000" w:themeColor="text1"/>
          <w:sz w:val="16"/>
          <w:szCs w:val="16"/>
        </w:rPr>
        <w:t>Ракетное производство было разоружено окончательно, и оборудование частью было увезено с завода, частью лежало на складах завода. В 1929/30 г. завод отремонтировал и привел в надлежащий порядок все здания этого производства. В данное время закончена подводка общего оборудования; специальное оборудование установкой задерживается за отсутствием на заводе электрических проводов и аккумулятора.</w:t>
      </w:r>
    </w:p>
    <w:p w14:paraId="3DF219F4" w14:textId="77777777" w:rsidR="00727C92" w:rsidRPr="00507A31" w:rsidRDefault="00727C92" w:rsidP="00507A31">
      <w:pPr>
        <w:jc w:val="both"/>
        <w:rPr>
          <w:color w:val="000000" w:themeColor="text1"/>
          <w:sz w:val="16"/>
          <w:szCs w:val="16"/>
        </w:rPr>
      </w:pPr>
      <w:r w:rsidRPr="00507A31">
        <w:rPr>
          <w:color w:val="000000" w:themeColor="text1"/>
          <w:sz w:val="16"/>
          <w:szCs w:val="16"/>
        </w:rPr>
        <w:t>По опытным работам</w:t>
      </w:r>
    </w:p>
    <w:p w14:paraId="0BDA8208" w14:textId="77777777" w:rsidR="00727C92" w:rsidRPr="00507A31" w:rsidRDefault="00727C92" w:rsidP="00507A31">
      <w:pPr>
        <w:jc w:val="both"/>
        <w:rPr>
          <w:color w:val="000000" w:themeColor="text1"/>
          <w:sz w:val="16"/>
          <w:szCs w:val="16"/>
        </w:rPr>
      </w:pPr>
      <w:r w:rsidRPr="00507A31">
        <w:rPr>
          <w:color w:val="000000" w:themeColor="text1"/>
          <w:sz w:val="16"/>
          <w:szCs w:val="16"/>
        </w:rPr>
        <w:t>За последние месяцы на заводе оживилась работа опытного порядка, дающая экономический эффект и положительные результаты.</w:t>
      </w:r>
    </w:p>
    <w:p w14:paraId="58BB1EF5" w14:textId="77777777" w:rsidR="00727C92" w:rsidRPr="00507A31" w:rsidRDefault="00727C92" w:rsidP="00507A31">
      <w:pPr>
        <w:jc w:val="both"/>
        <w:rPr>
          <w:color w:val="000000" w:themeColor="text1"/>
          <w:sz w:val="16"/>
          <w:szCs w:val="16"/>
        </w:rPr>
      </w:pPr>
      <w:r w:rsidRPr="00507A31">
        <w:rPr>
          <w:color w:val="000000" w:themeColor="text1"/>
          <w:sz w:val="16"/>
          <w:szCs w:val="16"/>
        </w:rPr>
        <w:t>В частности: закончены опыты по замене оловянной фольги в капсюлях центробоя на нитропленку. Опыты дали положительный результат, и вопрос о переходе на валовую продукцию находится на разрешении ВХТ. Закончены опыты по замене белой жести на черную для изготовления железнодорожных петард. Вопрос находится на разрешении НКПС. Проведен ряд опытов по изготовлению аммонала из отбросов взрывчатых веществ, причем оказалось, что качество аммонала и его бризантность при изготовлении из отбросов взрыввещесгв не снижаются. Закончены опыты по замене фильтра из хлористого аммония шлаком, давшие весьма положительные результаты, как-то: равномерное дымообразование, отсутствие срыва крышек и дна футляров дымшашек. Ведутся опыты по замене основного запала запалом накаливания. Проведен ряд опытных работ по изготовлению дымовых и святящихся патронов, сигнальных ракет красного и зеленого огней.</w:t>
      </w:r>
    </w:p>
    <w:p w14:paraId="1D9F83BC" w14:textId="77777777" w:rsidR="00727C92" w:rsidRPr="00507A31" w:rsidRDefault="00727C92" w:rsidP="00507A31">
      <w:pPr>
        <w:jc w:val="both"/>
        <w:rPr>
          <w:color w:val="000000" w:themeColor="text1"/>
          <w:sz w:val="16"/>
          <w:szCs w:val="16"/>
        </w:rPr>
      </w:pPr>
      <w:r w:rsidRPr="00507A31">
        <w:rPr>
          <w:color w:val="000000" w:themeColor="text1"/>
          <w:sz w:val="16"/>
          <w:szCs w:val="16"/>
        </w:rPr>
        <w:t>Что касается научно-исследовательских работ, то завод за отсутствием достаточного штата инженерно-технического персонала, а также из-за наблюдающейся инертности такового к этому вопросу, ведет эти работы весьма слабо: из 11 предложенных нам ВХТ тем, завод в данное время прорабатывает только 3. Примем меры к расширению этой работы.</w:t>
      </w:r>
    </w:p>
    <w:p w14:paraId="0B8D77E6" w14:textId="77777777" w:rsidR="00727C92" w:rsidRPr="00507A31" w:rsidRDefault="00727C92" w:rsidP="00507A31">
      <w:pPr>
        <w:jc w:val="both"/>
        <w:rPr>
          <w:color w:val="000000" w:themeColor="text1"/>
          <w:sz w:val="16"/>
          <w:szCs w:val="16"/>
        </w:rPr>
      </w:pPr>
      <w:r w:rsidRPr="00507A31">
        <w:rPr>
          <w:color w:val="000000" w:themeColor="text1"/>
          <w:sz w:val="16"/>
          <w:szCs w:val="16"/>
        </w:rPr>
        <w:t>По теплосиловому хозяйству</w:t>
      </w:r>
    </w:p>
    <w:p w14:paraId="4D3D79A9" w14:textId="77777777" w:rsidR="00727C92" w:rsidRPr="00507A31" w:rsidRDefault="00727C92" w:rsidP="00507A31">
      <w:pPr>
        <w:jc w:val="both"/>
        <w:rPr>
          <w:color w:val="000000" w:themeColor="text1"/>
          <w:sz w:val="16"/>
          <w:szCs w:val="16"/>
        </w:rPr>
      </w:pPr>
      <w:r w:rsidRPr="00507A31">
        <w:rPr>
          <w:color w:val="000000" w:themeColor="text1"/>
          <w:sz w:val="16"/>
          <w:szCs w:val="16"/>
        </w:rPr>
        <w:t>Теплосиловое хозяйство представляло на заводе исключительно узкое место: завод располагал всего двумя дизелями внутреннего сгорания мощностью по 110 НР. В данное время завод приобрел и установил дизель в 500 НР и, кроме того, приобрел и приступает монтажу 2</w:t>
      </w:r>
      <w:r w:rsidRPr="00507A31">
        <w:rPr>
          <w:color w:val="000000" w:themeColor="text1"/>
          <w:sz w:val="16"/>
          <w:szCs w:val="16"/>
        </w:rPr>
        <w:noBreakHyphen/>
        <w:t>го дизеля в 600 НР. Заканчивается оборудование центральной котельной, которое задерживалось за отсутствием водоочистителя и экономайзера. Закончена подводка паропровода к ракетному и гранатному производствам. Отсутствующие в заводе измерительные приборы по пару, воде и энергии в данное время заказаны.</w:t>
      </w:r>
    </w:p>
    <w:p w14:paraId="4A7130B2" w14:textId="77777777" w:rsidR="00727C92" w:rsidRPr="00507A31" w:rsidRDefault="00727C92" w:rsidP="00507A31">
      <w:pPr>
        <w:jc w:val="both"/>
        <w:rPr>
          <w:color w:val="000000" w:themeColor="text1"/>
          <w:sz w:val="16"/>
          <w:szCs w:val="16"/>
        </w:rPr>
      </w:pPr>
      <w:r w:rsidRPr="00507A31">
        <w:rPr>
          <w:color w:val="000000" w:themeColor="text1"/>
          <w:sz w:val="16"/>
          <w:szCs w:val="16"/>
        </w:rPr>
        <w:t>По снабжению</w:t>
      </w:r>
    </w:p>
    <w:p w14:paraId="7365F082" w14:textId="77777777" w:rsidR="00727C92" w:rsidRPr="00507A31" w:rsidRDefault="00727C92" w:rsidP="00507A31">
      <w:pPr>
        <w:jc w:val="both"/>
        <w:rPr>
          <w:color w:val="000000" w:themeColor="text1"/>
          <w:sz w:val="16"/>
          <w:szCs w:val="16"/>
        </w:rPr>
      </w:pPr>
      <w:r w:rsidRPr="00507A31">
        <w:rPr>
          <w:color w:val="000000" w:themeColor="text1"/>
          <w:sz w:val="16"/>
          <w:szCs w:val="16"/>
        </w:rPr>
        <w:t>Пересмотрено состояние переходящих запасов и даны указания по реализации излишков и срочному приобретению недостающих материалов.</w:t>
      </w:r>
    </w:p>
    <w:p w14:paraId="28C88EE2" w14:textId="77777777" w:rsidR="00727C92" w:rsidRPr="00507A31" w:rsidRDefault="00727C92" w:rsidP="00507A31">
      <w:pPr>
        <w:jc w:val="both"/>
        <w:rPr>
          <w:color w:val="000000" w:themeColor="text1"/>
          <w:sz w:val="16"/>
          <w:szCs w:val="16"/>
        </w:rPr>
      </w:pPr>
      <w:r w:rsidRPr="00507A31">
        <w:rPr>
          <w:color w:val="000000" w:themeColor="text1"/>
          <w:sz w:val="16"/>
          <w:szCs w:val="16"/>
        </w:rPr>
        <w:t>По кадрам</w:t>
      </w:r>
    </w:p>
    <w:p w14:paraId="311E3E0F" w14:textId="77777777" w:rsidR="00727C92" w:rsidRPr="00507A31" w:rsidRDefault="00727C92" w:rsidP="00507A31">
      <w:pPr>
        <w:pStyle w:val="rtejustify"/>
        <w:spacing w:before="0" w:after="0"/>
        <w:rPr>
          <w:color w:val="000000" w:themeColor="text1"/>
          <w:sz w:val="16"/>
          <w:szCs w:val="16"/>
        </w:rPr>
      </w:pPr>
      <w:r w:rsidRPr="00507A31">
        <w:rPr>
          <w:color w:val="000000" w:themeColor="text1"/>
          <w:sz w:val="16"/>
          <w:szCs w:val="16"/>
        </w:rPr>
        <w:t>Комиссия составила твердый календарный план командировок инженерно-технического персонала и рабочих на другие заводы для ознакомления с родственными производствами. Сроки командировок колеблются от 2 недель до 1,5 месяцев. Практика показывает, что такого рода командировки дают весьма положительные результаты.</w:t>
      </w:r>
    </w:p>
    <w:p w14:paraId="703F83A3" w14:textId="77777777" w:rsidR="00727C92" w:rsidRPr="00507A31" w:rsidRDefault="00727C92" w:rsidP="00507A31">
      <w:pPr>
        <w:pStyle w:val="rtejustify"/>
        <w:spacing w:before="0" w:after="0"/>
        <w:rPr>
          <w:color w:val="000000" w:themeColor="text1"/>
          <w:sz w:val="16"/>
          <w:szCs w:val="16"/>
        </w:rPr>
      </w:pPr>
      <w:r w:rsidRPr="00507A31">
        <w:rPr>
          <w:color w:val="000000" w:themeColor="text1"/>
          <w:sz w:val="16"/>
          <w:szCs w:val="16"/>
        </w:rPr>
        <w:t>К данному времени были командированы на срок 1,5 месяца 10 рабочих на завод № 5 в Ленинград для изучения процесса производства осветительных и сигнальных патронов. Туда же были командированы на срок 2 недели 5 чел. рабочих для ознакомления с производством снаряжения втулок. 5 чел. инженерно-технического персонала посылались на разные заводы для ознакомления с постановкой производств на других заводах. На заводе созданы профтехнические курсы на которых занимается 21 человек, преимущественно выдвиженцы — старшие рабочие, мастера и помощники заведующих цехами. Завод пополнен новыми силами ИТР до 25 чел.</w:t>
      </w:r>
    </w:p>
    <w:p w14:paraId="4FA9FB46" w14:textId="77777777" w:rsidR="00727C92" w:rsidRPr="00507A31" w:rsidRDefault="00727C92" w:rsidP="00507A31">
      <w:pPr>
        <w:pStyle w:val="rtejustify"/>
        <w:spacing w:before="0" w:after="0"/>
        <w:rPr>
          <w:color w:val="000000" w:themeColor="text1"/>
          <w:sz w:val="16"/>
          <w:szCs w:val="16"/>
        </w:rPr>
      </w:pPr>
      <w:r w:rsidRPr="00507A31">
        <w:rPr>
          <w:color w:val="000000" w:themeColor="text1"/>
          <w:sz w:val="16"/>
          <w:szCs w:val="16"/>
        </w:rPr>
        <w:t>Практически работу по ликвидации последствий вредительства комиссия вела при непосредственном участии как инженерно-технического персонала, так и всей общественности завода. В частности, на общих собраниях ИТС и рабочих были обсуждены доклады директора завода о вредительстве вообще, конкретно о вредительстве на нашем заводе, и борьбе с ним.</w:t>
      </w:r>
    </w:p>
    <w:p w14:paraId="47199E65" w14:textId="77777777" w:rsidR="00727C92" w:rsidRPr="00507A31" w:rsidRDefault="00727C92" w:rsidP="00507A31">
      <w:pPr>
        <w:pStyle w:val="rtejustify"/>
        <w:spacing w:before="0" w:after="0"/>
        <w:rPr>
          <w:color w:val="000000" w:themeColor="text1"/>
          <w:sz w:val="16"/>
          <w:szCs w:val="16"/>
        </w:rPr>
      </w:pPr>
      <w:r w:rsidRPr="00507A31">
        <w:rPr>
          <w:color w:val="000000" w:themeColor="text1"/>
          <w:sz w:val="16"/>
          <w:szCs w:val="16"/>
        </w:rPr>
        <w:t>При выполнении же в дальнейшем плана работ комиссии почти все вопросы, прорабатываемые отдельными докладчиками, предварительно обсуждались на цеховых производственных комиссиях и совещаниях. На заседания же заводской комиссии всегда приглашались как отдельные специалисты, так и хорошие производственники — рабочие.</w:t>
      </w:r>
    </w:p>
    <w:p w14:paraId="3CDE6D19" w14:textId="77777777" w:rsidR="00727C92" w:rsidRPr="00507A31" w:rsidRDefault="00727C92" w:rsidP="00507A31">
      <w:pPr>
        <w:pStyle w:val="rtejustify"/>
        <w:spacing w:before="0" w:after="0"/>
        <w:rPr>
          <w:color w:val="000000" w:themeColor="text1"/>
          <w:sz w:val="16"/>
          <w:szCs w:val="16"/>
        </w:rPr>
      </w:pPr>
      <w:r w:rsidRPr="00507A31">
        <w:rPr>
          <w:color w:val="000000" w:themeColor="text1"/>
          <w:sz w:val="16"/>
          <w:szCs w:val="16"/>
        </w:rPr>
        <w:t>Таким образом, в результате деятельности заводской комиссии за эти несколько месяцев можно с уверенностью сказать, что завод правильно идет по пути ликвидации последствий вредительства. Окончательная и более быстрая ликвидация этих последствий задерживается главным образом недостатком оборудования, отсутствием средств, оборудования, электропроводов и т. д., каковые в свое время были умышленно к сроку не заготовлены. За срыв этой работы были смещены и привлечены к судебной ответственности бывшие помощники директора по техчасти и заведующий техническим отделом.</w:t>
      </w:r>
    </w:p>
    <w:p w14:paraId="3C0C1AD8" w14:textId="77777777" w:rsidR="00727C92" w:rsidRPr="00507A31" w:rsidRDefault="00727C92" w:rsidP="00507A31">
      <w:pPr>
        <w:pStyle w:val="rtejustify"/>
        <w:spacing w:before="0" w:after="0"/>
        <w:rPr>
          <w:color w:val="000000" w:themeColor="text1"/>
          <w:sz w:val="16"/>
          <w:szCs w:val="16"/>
        </w:rPr>
      </w:pPr>
      <w:r w:rsidRPr="00507A31">
        <w:rPr>
          <w:color w:val="000000" w:themeColor="text1"/>
          <w:sz w:val="16"/>
          <w:szCs w:val="16"/>
        </w:rPr>
        <w:t>Суммируя всю деятельность комиссии, необходимо сказать, что в данное время завод совершенно твердо выявил, с каким мобилизационным заданием на 1 июля справится и с каким нет, о чем сообщено правлению Вохимтреста.</w:t>
      </w:r>
    </w:p>
    <w:p w14:paraId="376EA43D" w14:textId="77777777" w:rsidR="00727C92" w:rsidRPr="00507A31" w:rsidRDefault="00727C92" w:rsidP="00507A31">
      <w:pPr>
        <w:pStyle w:val="rtejustify"/>
        <w:spacing w:before="0" w:after="0"/>
        <w:rPr>
          <w:color w:val="000000" w:themeColor="text1"/>
          <w:sz w:val="16"/>
          <w:szCs w:val="16"/>
        </w:rPr>
      </w:pPr>
      <w:r w:rsidRPr="00507A31">
        <w:rPr>
          <w:color w:val="000000" w:themeColor="text1"/>
          <w:sz w:val="16"/>
          <w:szCs w:val="16"/>
        </w:rPr>
        <w:t>Работа комиссии продолжается, и Вам будут высылаться регулярно к 1 числу каждого месяца отчеты о деятельности этой комиссии.</w:t>
      </w:r>
    </w:p>
    <w:p w14:paraId="2A9F94D9" w14:textId="77777777" w:rsidR="00727C92" w:rsidRPr="00507A31" w:rsidRDefault="00727C92" w:rsidP="00507A31">
      <w:pPr>
        <w:pStyle w:val="ae"/>
        <w:spacing w:before="0" w:after="0"/>
        <w:jc w:val="both"/>
        <w:rPr>
          <w:color w:val="000000" w:themeColor="text1"/>
          <w:sz w:val="16"/>
          <w:szCs w:val="16"/>
        </w:rPr>
      </w:pPr>
      <w:r w:rsidRPr="00507A31">
        <w:rPr>
          <w:rStyle w:val="af0"/>
          <w:i w:val="0"/>
          <w:color w:val="000000" w:themeColor="text1"/>
          <w:sz w:val="16"/>
          <w:szCs w:val="16"/>
        </w:rPr>
        <w:t>Директор завода № 11 Н. Жиляев²*</w:t>
      </w:r>
    </w:p>
    <w:p w14:paraId="471E16C2" w14:textId="77777777" w:rsidR="00727C92" w:rsidRPr="00507A31" w:rsidRDefault="00727C92"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685BE6B8" w14:textId="77777777" w:rsidR="00727C92" w:rsidRPr="00507A31" w:rsidRDefault="00727C92"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См. документ от 25 февраля 1930 г. — Постановление Политбюро ЦК ВКП(б) «О ходе ликвидации вредительства на предприятиях военной промышленности»</w:t>
      </w:r>
    </w:p>
    <w:p w14:paraId="28AEFD4F" w14:textId="77777777" w:rsidR="00727C92" w:rsidRPr="00507A31" w:rsidRDefault="00727C92"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Жиляев Николай Данилович (1897—1938) хоз. работник. Род. в д. Вырки Курской обл. До ареста и привлечения к парт, ответственности работал зам. директора завода № 80 и начальником ОКСа этого завода в г. Дзержинске. 25 апреля 1937 г. исключен из членов партии «как троцкист-двурушник, проводивший вредительскую работу на заводе». В апреле 1937 г. арестован. Военной кол</w:t>
      </w:r>
      <w:r w:rsidRPr="00507A31">
        <w:rPr>
          <w:color w:val="000000" w:themeColor="text1"/>
          <w:sz w:val="16"/>
          <w:szCs w:val="16"/>
        </w:rPr>
        <w:softHyphen/>
        <w:t>легией Верховного суда СССР 2 апреля 1938 г. приговорен к высшей мере наказания — расстрелу. Он обвинялся в том, что «с 1933 г. являлся участником антисоветской правотроцкистской и диверсионно-вредительской органи</w:t>
      </w:r>
      <w:r w:rsidRPr="00507A31">
        <w:rPr>
          <w:color w:val="000000" w:themeColor="text1"/>
          <w:sz w:val="16"/>
          <w:szCs w:val="16"/>
        </w:rPr>
        <w:softHyphen/>
        <w:t>зации, по заданию которой проводил вредительскую деятельность в военно-химической промышленности» (ст. 17</w:t>
      </w:r>
      <w:r w:rsidRPr="00507A31">
        <w:rPr>
          <w:color w:val="000000" w:themeColor="text1"/>
          <w:sz w:val="16"/>
          <w:szCs w:val="16"/>
        </w:rPr>
        <w:noBreakHyphen/>
        <w:t>58</w:t>
      </w:r>
      <w:r w:rsidRPr="00507A31">
        <w:rPr>
          <w:color w:val="000000" w:themeColor="text1"/>
          <w:sz w:val="16"/>
          <w:szCs w:val="16"/>
        </w:rPr>
        <w:noBreakHyphen/>
        <w:t>8, 58</w:t>
      </w:r>
      <w:r w:rsidRPr="00507A31">
        <w:rPr>
          <w:color w:val="000000" w:themeColor="text1"/>
          <w:sz w:val="16"/>
          <w:szCs w:val="16"/>
        </w:rPr>
        <w:noBreakHyphen/>
        <w:t>9 58</w:t>
      </w:r>
      <w:r w:rsidRPr="00507A31">
        <w:rPr>
          <w:color w:val="000000" w:themeColor="text1"/>
          <w:sz w:val="16"/>
          <w:szCs w:val="16"/>
        </w:rPr>
        <w:noBreakHyphen/>
        <w:t>11 УК РСФСР). Источник: Забвению не подлежит. О репрессиях 30</w:t>
      </w:r>
      <w:r w:rsidRPr="00507A31">
        <w:rPr>
          <w:color w:val="000000" w:themeColor="text1"/>
          <w:sz w:val="16"/>
          <w:szCs w:val="16"/>
        </w:rPr>
        <w:noBreakHyphen/>
        <w:t>х — начала 50</w:t>
      </w:r>
      <w:r w:rsidRPr="00507A31">
        <w:rPr>
          <w:color w:val="000000" w:themeColor="text1"/>
          <w:sz w:val="16"/>
          <w:szCs w:val="16"/>
        </w:rPr>
        <w:noBreakHyphen/>
        <w:t>х годов в Нижегородской области. Кн. 1. Нижний Новгород: Волго-Вятское книжное издательство, 1993. 368 с.</w:t>
      </w:r>
    </w:p>
    <w:p w14:paraId="5C3878B8" w14:textId="77777777" w:rsidR="00727C92" w:rsidRPr="00507A31" w:rsidRDefault="00727C92" w:rsidP="00507A31">
      <w:pPr>
        <w:pStyle w:val="rtejustify"/>
        <w:spacing w:before="0" w:after="0"/>
        <w:rPr>
          <w:color w:val="000000" w:themeColor="text1"/>
          <w:sz w:val="16"/>
          <w:szCs w:val="16"/>
        </w:rPr>
      </w:pPr>
      <w:r w:rsidRPr="00507A31">
        <w:rPr>
          <w:color w:val="000000" w:themeColor="text1"/>
          <w:sz w:val="16"/>
          <w:szCs w:val="16"/>
        </w:rPr>
        <w:t>Проведенной проверкой было установлено, что Н. Д. Жиляев приписанных ему преступлений не совершал. Обвинения оказались вымышленными.</w:t>
      </w:r>
    </w:p>
    <w:p w14:paraId="7D7C0D72" w14:textId="77777777" w:rsidR="00727C92" w:rsidRPr="00507A31" w:rsidRDefault="00727C92" w:rsidP="00507A31">
      <w:pPr>
        <w:pStyle w:val="rtejustify"/>
        <w:spacing w:before="0" w:after="0"/>
        <w:rPr>
          <w:color w:val="000000" w:themeColor="text1"/>
          <w:sz w:val="16"/>
          <w:szCs w:val="16"/>
        </w:rPr>
      </w:pPr>
      <w:r w:rsidRPr="00507A31">
        <w:rPr>
          <w:color w:val="000000" w:themeColor="text1"/>
          <w:sz w:val="16"/>
          <w:szCs w:val="16"/>
        </w:rPr>
        <w:t>Определением военной коллегии Верховного суда СССР от 23 июня 1956 г. приговор в отношении Н. Д. Жиляева отменен и дело прекращено «за отсутствием состава преступления».</w:t>
      </w:r>
    </w:p>
    <w:p w14:paraId="1B1CD01E" w14:textId="77777777" w:rsidR="00727C92" w:rsidRPr="00507A31" w:rsidRDefault="00727C92" w:rsidP="00507A31">
      <w:pPr>
        <w:pStyle w:val="ae"/>
        <w:spacing w:before="0" w:after="0"/>
        <w:jc w:val="both"/>
        <w:rPr>
          <w:color w:val="000000" w:themeColor="text1"/>
          <w:sz w:val="16"/>
          <w:szCs w:val="16"/>
        </w:rPr>
      </w:pPr>
      <w:r w:rsidRPr="00507A31">
        <w:rPr>
          <w:color w:val="000000" w:themeColor="text1"/>
          <w:sz w:val="16"/>
          <w:szCs w:val="16"/>
        </w:rPr>
        <w:t>АП РФ. Ф. 3. Оп. 58. Д. 345. Л. 134-136. Подлинник.</w:t>
      </w:r>
    </w:p>
    <w:p w14:paraId="3B68D28F" w14:textId="77777777" w:rsidR="00727C92" w:rsidRPr="00507A31" w:rsidRDefault="00727C92" w:rsidP="00507A31">
      <w:pPr>
        <w:jc w:val="both"/>
        <w:rPr>
          <w:color w:val="000000" w:themeColor="text1"/>
          <w:sz w:val="16"/>
          <w:szCs w:val="16"/>
        </w:rPr>
      </w:pPr>
      <w:r w:rsidRPr="00507A31">
        <w:rPr>
          <w:color w:val="000000" w:themeColor="text1"/>
          <w:sz w:val="16"/>
          <w:szCs w:val="16"/>
        </w:rPr>
        <w:t xml:space="preserve">Архив: АП РФ. Ф. 3. Оп. 58. Д. 345. Л. 134-136. Подлинник. </w:t>
      </w:r>
    </w:p>
    <w:p w14:paraId="3F62929D" w14:textId="77777777" w:rsidR="00727C92" w:rsidRPr="00507A31" w:rsidRDefault="00727C92"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482-485 (12510).</w:t>
      </w:r>
    </w:p>
    <w:p w14:paraId="439F62A2" w14:textId="77777777" w:rsidR="00727C92" w:rsidRPr="00507A31" w:rsidRDefault="00727C92" w:rsidP="00507A31">
      <w:pPr>
        <w:jc w:val="both"/>
        <w:rPr>
          <w:color w:val="000000" w:themeColor="text1"/>
          <w:sz w:val="16"/>
          <w:szCs w:val="16"/>
        </w:rPr>
      </w:pPr>
    </w:p>
    <w:p w14:paraId="5497B346" w14:textId="77777777" w:rsidR="00AD2EC4" w:rsidRPr="00507A31" w:rsidRDefault="00AD2EC4"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июля 1930 в строй вступил первенец комбайностроения - завод Коммунар (3263,362), пионер советского комбайностроения (4962).</w:t>
      </w:r>
    </w:p>
    <w:p w14:paraId="5AC556C6" w14:textId="77777777" w:rsidR="00AD2EC4" w:rsidRPr="00507A31" w:rsidRDefault="00AD2EC4" w:rsidP="00507A31">
      <w:pPr>
        <w:tabs>
          <w:tab w:val="left" w:pos="11199"/>
        </w:tabs>
        <w:autoSpaceDE w:val="0"/>
        <w:autoSpaceDN w:val="0"/>
        <w:adjustRightInd w:val="0"/>
        <w:jc w:val="both"/>
        <w:rPr>
          <w:color w:val="000000" w:themeColor="text1"/>
          <w:sz w:val="16"/>
          <w:szCs w:val="16"/>
        </w:rPr>
      </w:pPr>
    </w:p>
    <w:p w14:paraId="5F9EDBAB" w14:textId="77777777" w:rsidR="00D0530D" w:rsidRPr="00507A31" w:rsidRDefault="00D0530D" w:rsidP="00507A31">
      <w:pPr>
        <w:jc w:val="both"/>
        <w:rPr>
          <w:color w:val="000000" w:themeColor="text1"/>
          <w:sz w:val="16"/>
          <w:szCs w:val="16"/>
        </w:rPr>
      </w:pPr>
      <w:r w:rsidRPr="00507A31">
        <w:rPr>
          <w:bCs/>
          <w:color w:val="000000" w:themeColor="text1"/>
          <w:sz w:val="16"/>
          <w:szCs w:val="16"/>
        </w:rPr>
        <w:t>1 июля</w:t>
      </w:r>
      <w:r w:rsidRPr="00507A31">
        <w:rPr>
          <w:color w:val="000000" w:themeColor="text1"/>
          <w:sz w:val="16"/>
          <w:szCs w:val="16"/>
        </w:rPr>
        <w:t xml:space="preserve"> в 1930 году вступает в строй первенец советского комбайностроения - завод "Коммунар" в городе Запорожье. С его конвейера сходят первые десять комбайнов (14939).</w:t>
      </w:r>
    </w:p>
    <w:p w14:paraId="6C5E24FB" w14:textId="77777777" w:rsidR="00D0530D" w:rsidRPr="00507A31" w:rsidRDefault="00D0530D" w:rsidP="00507A31">
      <w:pPr>
        <w:jc w:val="both"/>
        <w:rPr>
          <w:color w:val="000000" w:themeColor="text1"/>
          <w:sz w:val="16"/>
          <w:szCs w:val="16"/>
        </w:rPr>
      </w:pPr>
    </w:p>
    <w:p w14:paraId="72BDA6A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0AFE721" w14:textId="77777777" w:rsidR="00537E5F" w:rsidRPr="00507A31" w:rsidRDefault="00537E5F" w:rsidP="00507A31">
      <w:pPr>
        <w:autoSpaceDE w:val="0"/>
        <w:autoSpaceDN w:val="0"/>
        <w:adjustRightInd w:val="0"/>
        <w:jc w:val="both"/>
        <w:rPr>
          <w:iCs/>
          <w:color w:val="000000" w:themeColor="text1"/>
          <w:sz w:val="16"/>
          <w:szCs w:val="16"/>
        </w:rPr>
      </w:pPr>
    </w:p>
    <w:p w14:paraId="2742C451" w14:textId="77777777" w:rsidR="00AD2EC4" w:rsidRPr="00507A31" w:rsidRDefault="00AD2EC4"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К 1 июля </w:t>
      </w:r>
      <w:r w:rsidRPr="00507A31">
        <w:rPr>
          <w:rStyle w:val="highlight"/>
          <w:color w:val="000000" w:themeColor="text1"/>
          <w:sz w:val="16"/>
          <w:szCs w:val="16"/>
        </w:rPr>
        <w:t> 1930 </w:t>
      </w:r>
      <w:r w:rsidRPr="00507A31">
        <w:rPr>
          <w:color w:val="000000" w:themeColor="text1"/>
          <w:sz w:val="16"/>
          <w:szCs w:val="16"/>
        </w:rPr>
        <w:t xml:space="preserve"> г. в обращении находилось уже 3496,8 млн руб. Рост эмиссии продолжал значительно опережать рост объема товарооборота, что еще больше увеличило разрыв между покупательной способностью денег и предложением товаров. В январе 1931 г. в провинции рубль обладал покупательной способностью 8 довоенных копеек. Выступая с докладом в Свердловске на Втором всеуральском слете ударников финансового фронта Г.Ф. Гринько говорил о финансовых затруднениях </w:t>
      </w:r>
      <w:r w:rsidRPr="00507A31">
        <w:rPr>
          <w:rStyle w:val="highlight"/>
          <w:color w:val="000000" w:themeColor="text1"/>
          <w:sz w:val="16"/>
          <w:szCs w:val="16"/>
        </w:rPr>
        <w:t> 1930 </w:t>
      </w:r>
      <w:r w:rsidRPr="00507A31">
        <w:rPr>
          <w:color w:val="000000" w:themeColor="text1"/>
          <w:sz w:val="16"/>
          <w:szCs w:val="16"/>
        </w:rPr>
        <w:t xml:space="preserve"> г.: «Удар нашему финансовому хозяйству был нанесен тогда одновременно с двух сторон – во первых, со стороны автоматизма банковского кредитования и связанной с этим чрезмерной эмиссией, и во вторых, со стороны замораживания товарооборота» (17240).</w:t>
      </w:r>
    </w:p>
    <w:p w14:paraId="47721D7C" w14:textId="77777777" w:rsidR="00AD2EC4" w:rsidRPr="00507A31" w:rsidRDefault="00AD2EC4" w:rsidP="00507A31">
      <w:pPr>
        <w:autoSpaceDE w:val="0"/>
        <w:autoSpaceDN w:val="0"/>
        <w:adjustRightInd w:val="0"/>
        <w:jc w:val="both"/>
        <w:rPr>
          <w:color w:val="000000" w:themeColor="text1"/>
          <w:sz w:val="16"/>
          <w:szCs w:val="16"/>
        </w:rPr>
      </w:pPr>
    </w:p>
    <w:p w14:paraId="7FE1F1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состоянию на 1 июля 1930 всего по стране было раскулачено свыше 320 тыс.кулацких хозяйств (10687).</w:t>
      </w:r>
    </w:p>
    <w:p w14:paraId="19FB3C22" w14:textId="77777777" w:rsidR="00537E5F" w:rsidRPr="00507A31" w:rsidRDefault="00537E5F" w:rsidP="00507A31">
      <w:pPr>
        <w:autoSpaceDE w:val="0"/>
        <w:autoSpaceDN w:val="0"/>
        <w:adjustRightInd w:val="0"/>
        <w:jc w:val="both"/>
        <w:rPr>
          <w:color w:val="000000" w:themeColor="text1"/>
          <w:sz w:val="16"/>
          <w:szCs w:val="16"/>
        </w:rPr>
      </w:pPr>
    </w:p>
    <w:p w14:paraId="3BC3E522" w14:textId="77777777" w:rsidR="00D529FC" w:rsidRPr="00507A31" w:rsidRDefault="00D529FC" w:rsidP="00507A31">
      <w:pPr>
        <w:jc w:val="both"/>
        <w:rPr>
          <w:color w:val="0070C0"/>
          <w:sz w:val="16"/>
          <w:szCs w:val="16"/>
        </w:rPr>
      </w:pPr>
      <w:bookmarkStart w:id="67" w:name="_Hlk56763488"/>
      <w:r w:rsidRPr="00507A31">
        <w:rPr>
          <w:color w:val="0070C0"/>
          <w:sz w:val="16"/>
          <w:szCs w:val="16"/>
        </w:rPr>
        <w:t>1 июля 1930 года в присутствии 14 000 рабочих была произведена торжественная закладка первой доменной печи будущего гиганта черной металлургии. 26 июля 1930 года начались земляные работы на плотине, которая должна была обеспечить завод водой. Это сооружение (без водослива) было построено всего за 74 дня. В сентябре 1930 года был закончен фундамент домны № 1. Пуск первого магнитогорского металла приближался с каждым днем.</w:t>
      </w:r>
    </w:p>
    <w:p w14:paraId="653A1181" w14:textId="77777777" w:rsidR="00D529FC" w:rsidRPr="00507A31" w:rsidRDefault="00D529FC" w:rsidP="00507A31">
      <w:pPr>
        <w:jc w:val="both"/>
        <w:rPr>
          <w:color w:val="0070C0"/>
          <w:sz w:val="16"/>
          <w:szCs w:val="16"/>
        </w:rPr>
      </w:pPr>
      <w:r w:rsidRPr="00507A31">
        <w:rPr>
          <w:color w:val="0070C0"/>
          <w:sz w:val="16"/>
          <w:szCs w:val="16"/>
        </w:rPr>
        <w:t>В начале 1931 года Магнитострой возглавил Яков Семенович Гугель, до этого имевший большой опыт работы в металлургической промышленности. Ему удалось в кратчайшие сроки реорганизовать строительные участки, внедрив цеховой принцип. Были созданы доменный, мартеновский и прокатный цехи и, соответственно, объединены строители и будущие эксплуатационники. Во второй половине 1931 года вошло в строй несколько важных пусковых объектов будущего завода: 17 июля был запущен цех огнеупоров, 9 октября специалисты поставили на сушку 1-ю домну, 23 октября дала первый ток центральная электростанция, 28 декабря 8-я коксовая батарея, построенная первой, выдала первый кокс.</w:t>
      </w:r>
    </w:p>
    <w:p w14:paraId="7FBE7EFD" w14:textId="77777777" w:rsidR="00D529FC" w:rsidRPr="00507A31" w:rsidRDefault="00D529FC" w:rsidP="00507A31">
      <w:pPr>
        <w:jc w:val="both"/>
        <w:rPr>
          <w:color w:val="0070C0"/>
          <w:sz w:val="16"/>
          <w:szCs w:val="16"/>
        </w:rPr>
      </w:pPr>
      <w:r w:rsidRPr="00507A31">
        <w:rPr>
          <w:color w:val="0070C0"/>
          <w:sz w:val="16"/>
          <w:szCs w:val="16"/>
        </w:rPr>
        <w:t>31 января 1932 года, несмотря на протесты американских инженеров, считавших необходимым отложить пуск до весны, была задута первая домна, а 1 февраля был получен первый чугун. Рождение Магнитки состоялось. Летом 1932 года дала первый чугун домна № 2 "Комсомолка" (21167).</w:t>
      </w:r>
    </w:p>
    <w:p w14:paraId="4A1ABD26" w14:textId="77777777" w:rsidR="00D529FC" w:rsidRPr="00507A31" w:rsidRDefault="00D529FC" w:rsidP="00507A31">
      <w:pPr>
        <w:jc w:val="both"/>
        <w:rPr>
          <w:color w:val="0070C0"/>
          <w:sz w:val="16"/>
          <w:szCs w:val="16"/>
        </w:rPr>
      </w:pPr>
    </w:p>
    <w:bookmarkEnd w:id="67"/>
    <w:p w14:paraId="563E9C79" w14:textId="77777777" w:rsidR="00EC121C" w:rsidRPr="00507A31" w:rsidRDefault="00EC121C" w:rsidP="00507A31">
      <w:pPr>
        <w:jc w:val="both"/>
        <w:rPr>
          <w:color w:val="000000" w:themeColor="text1"/>
          <w:sz w:val="16"/>
          <w:szCs w:val="16"/>
        </w:rPr>
      </w:pPr>
      <w:r w:rsidRPr="00507A31">
        <w:rPr>
          <w:color w:val="000000" w:themeColor="text1"/>
          <w:sz w:val="16"/>
          <w:szCs w:val="16"/>
        </w:rPr>
        <w:t>1 июля 1930. На этот день в Москве имело" 4278 автомашин, 176 автобусов, 140ЭтраИ^ ее и 46 900 единиц гужтранспорта (18725).</w:t>
      </w:r>
    </w:p>
    <w:p w14:paraId="3B05A9AB" w14:textId="77777777" w:rsidR="00EC121C" w:rsidRPr="00507A31" w:rsidRDefault="00EC121C" w:rsidP="00507A31">
      <w:pPr>
        <w:jc w:val="both"/>
        <w:rPr>
          <w:color w:val="000000" w:themeColor="text1"/>
          <w:sz w:val="16"/>
          <w:szCs w:val="16"/>
        </w:rPr>
      </w:pPr>
    </w:p>
    <w:p w14:paraId="634AEB8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C3B3F50" w14:textId="77777777" w:rsidR="00537E5F" w:rsidRPr="00507A31" w:rsidRDefault="00537E5F" w:rsidP="00507A31">
      <w:pPr>
        <w:autoSpaceDE w:val="0"/>
        <w:autoSpaceDN w:val="0"/>
        <w:adjustRightInd w:val="0"/>
        <w:jc w:val="both"/>
        <w:rPr>
          <w:iCs/>
          <w:color w:val="000000" w:themeColor="text1"/>
          <w:sz w:val="16"/>
          <w:szCs w:val="16"/>
        </w:rPr>
      </w:pPr>
    </w:p>
    <w:p w14:paraId="17F8B7A8" w14:textId="77777777" w:rsidR="00695503" w:rsidRPr="00507A31" w:rsidRDefault="00695503" w:rsidP="00507A31">
      <w:pPr>
        <w:pStyle w:val="3a"/>
        <w:shd w:val="clear" w:color="auto" w:fill="auto"/>
        <w:spacing w:before="0" w:after="0" w:line="240" w:lineRule="auto"/>
        <w:jc w:val="both"/>
        <w:rPr>
          <w:color w:val="000000" w:themeColor="text1"/>
          <w:spacing w:val="0"/>
          <w:sz w:val="16"/>
          <w:szCs w:val="16"/>
        </w:rPr>
      </w:pPr>
      <w:r w:rsidRPr="00507A31">
        <w:rPr>
          <w:color w:val="000000" w:themeColor="text1"/>
          <w:spacing w:val="0"/>
          <w:sz w:val="16"/>
          <w:szCs w:val="16"/>
        </w:rPr>
        <w:t>2 июля 1930 г. Из отчета сотрудника НАМИ Черкасского (опечатка, предположительно А.Д. Чаромский) о командировке на авиационный завод «Сименс»</w:t>
      </w:r>
    </w:p>
    <w:p w14:paraId="3BAA6878" w14:textId="77777777" w:rsidR="00695503" w:rsidRPr="00507A31" w:rsidRDefault="00695503" w:rsidP="00507A31">
      <w:pPr>
        <w:tabs>
          <w:tab w:val="left" w:pos="5162"/>
        </w:tabs>
        <w:jc w:val="both"/>
        <w:rPr>
          <w:color w:val="000000" w:themeColor="text1"/>
          <w:sz w:val="16"/>
          <w:szCs w:val="16"/>
        </w:rPr>
      </w:pPr>
      <w:r w:rsidRPr="00507A31">
        <w:rPr>
          <w:color w:val="000000" w:themeColor="text1"/>
          <w:sz w:val="16"/>
          <w:szCs w:val="16"/>
        </w:rPr>
        <w:t>Берлин, Германия</w:t>
      </w:r>
    </w:p>
    <w:p w14:paraId="1376A587" w14:textId="77777777" w:rsidR="00695503" w:rsidRPr="00507A31" w:rsidRDefault="00695503" w:rsidP="00507A31">
      <w:pPr>
        <w:jc w:val="both"/>
        <w:rPr>
          <w:color w:val="000000" w:themeColor="text1"/>
          <w:sz w:val="16"/>
          <w:szCs w:val="16"/>
        </w:rPr>
      </w:pPr>
      <w:r w:rsidRPr="00507A31">
        <w:rPr>
          <w:color w:val="000000" w:themeColor="text1"/>
          <w:sz w:val="16"/>
          <w:szCs w:val="16"/>
        </w:rPr>
        <w:t>...Дифференциация производства в Германии развита значи</w:t>
      </w:r>
      <w:r w:rsidRPr="00507A31">
        <w:rPr>
          <w:color w:val="000000" w:themeColor="text1"/>
          <w:sz w:val="16"/>
          <w:szCs w:val="16"/>
        </w:rPr>
        <w:softHyphen/>
        <w:t>тельно, и особенно это видно из производства картеров.</w:t>
      </w:r>
    </w:p>
    <w:p w14:paraId="49B8EF07" w14:textId="77777777" w:rsidR="00695503" w:rsidRPr="00507A31" w:rsidRDefault="00695503" w:rsidP="00507A31">
      <w:pPr>
        <w:jc w:val="both"/>
        <w:rPr>
          <w:color w:val="000000" w:themeColor="text1"/>
          <w:sz w:val="16"/>
          <w:szCs w:val="16"/>
        </w:rPr>
      </w:pPr>
      <w:r w:rsidRPr="00507A31">
        <w:rPr>
          <w:color w:val="000000" w:themeColor="text1"/>
          <w:sz w:val="16"/>
          <w:szCs w:val="16"/>
        </w:rPr>
        <w:t>Алюминиевый завод Лаута-Верке в Лауте</w:t>
      </w:r>
      <w:r w:rsidRPr="00507A31">
        <w:rPr>
          <w:color w:val="000000" w:themeColor="text1"/>
          <w:sz w:val="16"/>
          <w:szCs w:val="16"/>
          <w:vertAlign w:val="superscript"/>
        </w:rPr>
        <w:t>89</w:t>
      </w:r>
      <w:r w:rsidRPr="00507A31">
        <w:rPr>
          <w:color w:val="000000" w:themeColor="text1"/>
          <w:sz w:val="16"/>
          <w:szCs w:val="16"/>
        </w:rPr>
        <w:t xml:space="preserve"> льет различной фор</w:t>
      </w:r>
      <w:r w:rsidRPr="00507A31">
        <w:rPr>
          <w:color w:val="000000" w:themeColor="text1"/>
          <w:sz w:val="16"/>
          <w:szCs w:val="16"/>
        </w:rPr>
        <w:softHyphen/>
        <w:t>мы отливки из лауталя. Этим и ограничивается участие завода в этом производстве.Дальше слиток попадает на завод «Рейнский Металл», где про</w:t>
      </w:r>
      <w:r w:rsidRPr="00507A31">
        <w:rPr>
          <w:color w:val="000000" w:themeColor="text1"/>
          <w:sz w:val="16"/>
          <w:szCs w:val="16"/>
        </w:rPr>
        <w:softHyphen/>
        <w:t>исходит штамповка картера. Этим и ограничивается участие «Рейн</w:t>
      </w:r>
      <w:r w:rsidRPr="00507A31">
        <w:rPr>
          <w:color w:val="000000" w:themeColor="text1"/>
          <w:sz w:val="16"/>
          <w:szCs w:val="16"/>
        </w:rPr>
        <w:softHyphen/>
        <w:t>ского Металла» в работе, и, наконец, штампованный картер идет на другой Дюралюминиевый завод в Бонне (Рейн), где происходит вся техническая обработка.</w:t>
      </w:r>
    </w:p>
    <w:p w14:paraId="56B6C837" w14:textId="77777777" w:rsidR="00695503" w:rsidRPr="00507A31" w:rsidRDefault="00695503" w:rsidP="00507A31">
      <w:pPr>
        <w:jc w:val="both"/>
        <w:rPr>
          <w:color w:val="000000" w:themeColor="text1"/>
          <w:sz w:val="16"/>
          <w:szCs w:val="16"/>
        </w:rPr>
      </w:pPr>
      <w:r w:rsidRPr="00507A31">
        <w:rPr>
          <w:color w:val="000000" w:themeColor="text1"/>
          <w:sz w:val="16"/>
          <w:szCs w:val="16"/>
        </w:rPr>
        <w:t>Надо сказать, что самым основным в производстве картеров и винтов является термическая обработка. Как она проводится нам вы</w:t>
      </w:r>
      <w:r w:rsidRPr="00507A31">
        <w:rPr>
          <w:color w:val="000000" w:themeColor="text1"/>
          <w:sz w:val="16"/>
          <w:szCs w:val="16"/>
        </w:rPr>
        <w:softHyphen/>
        <w:t>яснить не удалось. Наконец картер попадает на Моторостроительный завод, где он механически обрабатывается.</w:t>
      </w:r>
    </w:p>
    <w:p w14:paraId="3D2BDCAB" w14:textId="77777777" w:rsidR="00695503" w:rsidRPr="00507A31" w:rsidRDefault="00695503" w:rsidP="00507A31">
      <w:pPr>
        <w:jc w:val="both"/>
        <w:rPr>
          <w:color w:val="000000" w:themeColor="text1"/>
          <w:sz w:val="16"/>
          <w:szCs w:val="16"/>
        </w:rPr>
      </w:pPr>
      <w:r w:rsidRPr="00507A31">
        <w:rPr>
          <w:color w:val="000000" w:themeColor="text1"/>
          <w:sz w:val="16"/>
          <w:szCs w:val="16"/>
        </w:rPr>
        <w:t>Таким образом, в производстве картеров участвуют 4 фирмы.</w:t>
      </w:r>
    </w:p>
    <w:p w14:paraId="56BD5B2B" w14:textId="77777777" w:rsidR="00695503" w:rsidRPr="00507A31" w:rsidRDefault="00695503" w:rsidP="00507A31">
      <w:pPr>
        <w:jc w:val="both"/>
        <w:rPr>
          <w:color w:val="000000" w:themeColor="text1"/>
          <w:sz w:val="16"/>
          <w:szCs w:val="16"/>
        </w:rPr>
      </w:pPr>
      <w:r w:rsidRPr="00507A31">
        <w:rPr>
          <w:color w:val="000000" w:themeColor="text1"/>
          <w:sz w:val="16"/>
          <w:szCs w:val="16"/>
        </w:rPr>
        <w:t>Особенностью в производстве металлических винтов является то, что завод получает не литую, а уже предварительно прокованную круглую болванку диаметром около 16 см. Эта болванка изготовляет</w:t>
      </w:r>
      <w:r w:rsidRPr="00507A31">
        <w:rPr>
          <w:color w:val="000000" w:themeColor="text1"/>
          <w:sz w:val="16"/>
          <w:szCs w:val="16"/>
        </w:rPr>
        <w:softHyphen/>
        <w:t>ся в Бонне.</w:t>
      </w:r>
    </w:p>
    <w:p w14:paraId="395F72AA" w14:textId="77777777" w:rsidR="00695503" w:rsidRPr="00507A31" w:rsidRDefault="00695503" w:rsidP="00507A31">
      <w:pPr>
        <w:jc w:val="both"/>
        <w:rPr>
          <w:color w:val="000000" w:themeColor="text1"/>
          <w:sz w:val="16"/>
          <w:szCs w:val="16"/>
        </w:rPr>
      </w:pPr>
      <w:r w:rsidRPr="00507A31">
        <w:rPr>
          <w:color w:val="000000" w:themeColor="text1"/>
          <w:sz w:val="16"/>
          <w:szCs w:val="16"/>
        </w:rPr>
        <w:t>Отсюда мы видим, что элементы ковки дюралюминия имеются также и в Бонне. Болванка имеет по бокам швы, что говорит о штам</w:t>
      </w:r>
      <w:r w:rsidRPr="00507A31">
        <w:rPr>
          <w:color w:val="000000" w:themeColor="text1"/>
          <w:sz w:val="16"/>
          <w:szCs w:val="16"/>
        </w:rPr>
        <w:softHyphen/>
        <w:t>повке ее в двух обработанных полукругами штампах. Перед штампов</w:t>
      </w:r>
      <w:r w:rsidRPr="00507A31">
        <w:rPr>
          <w:color w:val="000000" w:themeColor="text1"/>
          <w:sz w:val="16"/>
          <w:szCs w:val="16"/>
        </w:rPr>
        <w:softHyphen/>
        <w:t>кой болванка для пропеллера предварительно проковывается сплю</w:t>
      </w:r>
      <w:r w:rsidRPr="00507A31">
        <w:rPr>
          <w:color w:val="000000" w:themeColor="text1"/>
          <w:sz w:val="16"/>
          <w:szCs w:val="16"/>
        </w:rPr>
        <w:softHyphen/>
        <w:t>щиванием лопастного конца.</w:t>
      </w:r>
    </w:p>
    <w:p w14:paraId="1DBEA8C5" w14:textId="77777777" w:rsidR="00695503" w:rsidRPr="00507A31" w:rsidRDefault="00695503" w:rsidP="00507A31">
      <w:pPr>
        <w:jc w:val="both"/>
        <w:rPr>
          <w:color w:val="000000" w:themeColor="text1"/>
          <w:sz w:val="16"/>
          <w:szCs w:val="16"/>
        </w:rPr>
      </w:pPr>
      <w:r w:rsidRPr="00507A31">
        <w:rPr>
          <w:color w:val="000000" w:themeColor="text1"/>
          <w:sz w:val="16"/>
          <w:szCs w:val="16"/>
        </w:rPr>
        <w:t>Кроме картеров и винтов, завод штампует шатуны для автомо</w:t>
      </w:r>
      <w:r w:rsidRPr="00507A31">
        <w:rPr>
          <w:color w:val="000000" w:themeColor="text1"/>
          <w:sz w:val="16"/>
          <w:szCs w:val="16"/>
        </w:rPr>
        <w:softHyphen/>
        <w:t>бильных моторов, трехлитровые баллоны для сжатого воздуха, голов</w:t>
      </w:r>
      <w:r w:rsidRPr="00507A31">
        <w:rPr>
          <w:color w:val="000000" w:themeColor="text1"/>
          <w:sz w:val="16"/>
          <w:szCs w:val="16"/>
        </w:rPr>
        <w:softHyphen/>
        <w:t>ки цилиндров для автомобильных моторов и поршни. Размеров про</w:t>
      </w:r>
      <w:r w:rsidRPr="00507A31">
        <w:rPr>
          <w:color w:val="000000" w:themeColor="text1"/>
          <w:sz w:val="16"/>
          <w:szCs w:val="16"/>
        </w:rPr>
        <w:softHyphen/>
        <w:t>изводства и прочих подробностей в отношении этих деталей выяснить не удалось. Что касается штамповки из стали, то видели главным обра</w:t>
      </w:r>
      <w:r w:rsidRPr="00507A31">
        <w:rPr>
          <w:color w:val="000000" w:themeColor="text1"/>
          <w:sz w:val="16"/>
          <w:szCs w:val="16"/>
        </w:rPr>
        <w:softHyphen/>
        <w:t>зом штамповку передних и задних осей для автомобилей.</w:t>
      </w:r>
    </w:p>
    <w:p w14:paraId="365D4C35" w14:textId="77777777" w:rsidR="00695503" w:rsidRPr="00507A31" w:rsidRDefault="00695503" w:rsidP="00507A31">
      <w:pPr>
        <w:jc w:val="both"/>
        <w:rPr>
          <w:color w:val="000000" w:themeColor="text1"/>
          <w:sz w:val="16"/>
          <w:szCs w:val="16"/>
        </w:rPr>
      </w:pPr>
      <w:r w:rsidRPr="00507A31">
        <w:rPr>
          <w:color w:val="000000" w:themeColor="text1"/>
          <w:sz w:val="16"/>
          <w:szCs w:val="16"/>
        </w:rPr>
        <w:t>Вообще можно сказать, что ковка фасонных штампов является одной из специальностей завода.</w:t>
      </w:r>
    </w:p>
    <w:p w14:paraId="34416166" w14:textId="77777777" w:rsidR="00695503" w:rsidRPr="00507A31" w:rsidRDefault="00695503" w:rsidP="00507A31">
      <w:pPr>
        <w:jc w:val="both"/>
        <w:rPr>
          <w:color w:val="000000" w:themeColor="text1"/>
          <w:sz w:val="16"/>
          <w:szCs w:val="16"/>
        </w:rPr>
      </w:pPr>
      <w:r w:rsidRPr="00507A31">
        <w:rPr>
          <w:color w:val="000000" w:themeColor="text1"/>
          <w:sz w:val="16"/>
          <w:szCs w:val="16"/>
        </w:rPr>
        <w:t>Выводы:</w:t>
      </w:r>
    </w:p>
    <w:p w14:paraId="4B425F38" w14:textId="77777777" w:rsidR="00695503" w:rsidRPr="00507A31" w:rsidRDefault="00695503" w:rsidP="00507A31">
      <w:pPr>
        <w:jc w:val="both"/>
        <w:rPr>
          <w:color w:val="000000" w:themeColor="text1"/>
          <w:sz w:val="16"/>
          <w:szCs w:val="16"/>
        </w:rPr>
      </w:pPr>
      <w:r w:rsidRPr="00507A31">
        <w:rPr>
          <w:color w:val="000000" w:themeColor="text1"/>
          <w:sz w:val="16"/>
          <w:szCs w:val="16"/>
        </w:rPr>
        <w:t>Получение техпомощи в части изготовления кованных дюра</w:t>
      </w:r>
      <w:r w:rsidRPr="00507A31">
        <w:rPr>
          <w:color w:val="000000" w:themeColor="text1"/>
          <w:sz w:val="16"/>
          <w:szCs w:val="16"/>
        </w:rPr>
        <w:softHyphen/>
        <w:t>люминиевых картеров и винтов мы считаем вполне вероятным, также как возможность выполнения наших заказов. Хотя получение техни</w:t>
      </w:r>
      <w:r w:rsidRPr="00507A31">
        <w:rPr>
          <w:color w:val="000000" w:themeColor="text1"/>
          <w:sz w:val="16"/>
          <w:szCs w:val="16"/>
        </w:rPr>
        <w:softHyphen/>
        <w:t>ческой помощи значительно осложняется тем, что пришлось бы иметь дело одновременно с тремя фирмами.</w:t>
      </w:r>
    </w:p>
    <w:p w14:paraId="4C4BC707" w14:textId="77777777" w:rsidR="00695503" w:rsidRPr="00507A31" w:rsidRDefault="00695503" w:rsidP="00507A31">
      <w:pPr>
        <w:jc w:val="both"/>
        <w:rPr>
          <w:color w:val="000000" w:themeColor="text1"/>
          <w:sz w:val="16"/>
          <w:szCs w:val="16"/>
        </w:rPr>
      </w:pPr>
      <w:r w:rsidRPr="00507A31">
        <w:rPr>
          <w:color w:val="000000" w:themeColor="text1"/>
          <w:sz w:val="16"/>
          <w:szCs w:val="16"/>
        </w:rPr>
        <w:t>Однако, независимо от этого, нам надлежало бы самим начать эту работу, поскольку непреодолимых препятствий нет; начать хотя бы с мелких деталей, затем перейти к поршням и, накопив некоторый опыт, перейти к картерам. Работа при этом должна вестись также по признаку дифференциации, т.е.:</w:t>
      </w:r>
    </w:p>
    <w:p w14:paraId="121F2FA9" w14:textId="77777777" w:rsidR="00695503" w:rsidRPr="00507A31" w:rsidRDefault="00695503" w:rsidP="00507A31">
      <w:pPr>
        <w:tabs>
          <w:tab w:val="left" w:pos="797"/>
        </w:tabs>
        <w:jc w:val="both"/>
        <w:rPr>
          <w:color w:val="000000" w:themeColor="text1"/>
          <w:sz w:val="16"/>
          <w:szCs w:val="16"/>
        </w:rPr>
      </w:pPr>
      <w:r w:rsidRPr="00507A31">
        <w:rPr>
          <w:color w:val="000000" w:themeColor="text1"/>
          <w:sz w:val="16"/>
          <w:szCs w:val="16"/>
        </w:rPr>
        <w:t>1) отливку производит завод, имеющий уже опыт по литью лег</w:t>
      </w:r>
      <w:r w:rsidRPr="00507A31">
        <w:rPr>
          <w:color w:val="000000" w:themeColor="text1"/>
          <w:sz w:val="16"/>
          <w:szCs w:val="16"/>
        </w:rPr>
        <w:softHyphen/>
        <w:t>ких сплавов;</w:t>
      </w:r>
    </w:p>
    <w:p w14:paraId="5174313F" w14:textId="77777777" w:rsidR="00695503" w:rsidRPr="00507A31" w:rsidRDefault="00695503" w:rsidP="00507A31">
      <w:pPr>
        <w:tabs>
          <w:tab w:val="left" w:pos="821"/>
        </w:tabs>
        <w:jc w:val="both"/>
        <w:rPr>
          <w:color w:val="000000" w:themeColor="text1"/>
          <w:sz w:val="16"/>
          <w:szCs w:val="16"/>
        </w:rPr>
      </w:pPr>
      <w:r w:rsidRPr="00507A31">
        <w:rPr>
          <w:color w:val="000000" w:themeColor="text1"/>
          <w:sz w:val="16"/>
          <w:szCs w:val="16"/>
        </w:rPr>
        <w:t>2) поковку и штамповку — завод, имеющий большой опыт по ковке фасонных штампов и имеющий для этого достаточно мощное оборудование;</w:t>
      </w:r>
    </w:p>
    <w:p w14:paraId="71922955" w14:textId="77777777" w:rsidR="00695503" w:rsidRPr="00507A31" w:rsidRDefault="00695503" w:rsidP="00507A31">
      <w:pPr>
        <w:tabs>
          <w:tab w:val="left" w:pos="811"/>
        </w:tabs>
        <w:jc w:val="both"/>
        <w:rPr>
          <w:color w:val="000000" w:themeColor="text1"/>
          <w:sz w:val="16"/>
          <w:szCs w:val="16"/>
        </w:rPr>
      </w:pPr>
      <w:r w:rsidRPr="00507A31">
        <w:rPr>
          <w:color w:val="000000" w:themeColor="text1"/>
          <w:sz w:val="16"/>
          <w:szCs w:val="16"/>
        </w:rPr>
        <w:t>3) термическую обработку — завод, имеющий опыт в термиче</w:t>
      </w:r>
      <w:r w:rsidRPr="00507A31">
        <w:rPr>
          <w:color w:val="000000" w:themeColor="text1"/>
          <w:sz w:val="16"/>
          <w:szCs w:val="16"/>
        </w:rPr>
        <w:softHyphen/>
        <w:t>ской обработке высокосортных сталей, так как по алюминиевым спла</w:t>
      </w:r>
      <w:r w:rsidRPr="00507A31">
        <w:rPr>
          <w:color w:val="000000" w:themeColor="text1"/>
          <w:sz w:val="16"/>
          <w:szCs w:val="16"/>
        </w:rPr>
        <w:softHyphen/>
        <w:t>вам такого опыта, как известно, нет.</w:t>
      </w:r>
    </w:p>
    <w:p w14:paraId="0F488DDB" w14:textId="77777777" w:rsidR="00695503" w:rsidRPr="00507A31" w:rsidRDefault="00695503" w:rsidP="00507A31">
      <w:pPr>
        <w:jc w:val="both"/>
        <w:rPr>
          <w:color w:val="000000" w:themeColor="text1"/>
          <w:sz w:val="16"/>
          <w:szCs w:val="16"/>
        </w:rPr>
      </w:pPr>
      <w:r w:rsidRPr="00507A31">
        <w:rPr>
          <w:color w:val="000000" w:themeColor="text1"/>
          <w:sz w:val="16"/>
          <w:szCs w:val="16"/>
        </w:rPr>
        <w:t>Само собой разумеется, если со второй и третьей задачей или со всеми тремя вместе справится какой-либо один завод, дело от это</w:t>
      </w:r>
      <w:r w:rsidRPr="00507A31">
        <w:rPr>
          <w:color w:val="000000" w:themeColor="text1"/>
          <w:sz w:val="16"/>
          <w:szCs w:val="16"/>
        </w:rPr>
        <w:softHyphen/>
        <w:t>го только выиграет.</w:t>
      </w:r>
    </w:p>
    <w:p w14:paraId="6D76B44B" w14:textId="77777777" w:rsidR="00695503" w:rsidRPr="00507A31" w:rsidRDefault="00695503" w:rsidP="00507A31">
      <w:pPr>
        <w:jc w:val="both"/>
        <w:rPr>
          <w:color w:val="000000" w:themeColor="text1"/>
          <w:sz w:val="16"/>
          <w:szCs w:val="16"/>
        </w:rPr>
      </w:pPr>
      <w:r w:rsidRPr="00507A31">
        <w:rPr>
          <w:color w:val="000000" w:themeColor="text1"/>
          <w:sz w:val="16"/>
          <w:szCs w:val="16"/>
        </w:rPr>
        <w:t>Филиал РГАНТД. Ф. Р-351. Оп. 2-1. Д. 76. Л. 37, 38. Копия (15633).</w:t>
      </w:r>
    </w:p>
    <w:p w14:paraId="7DEF81C0" w14:textId="77777777" w:rsidR="00695503" w:rsidRPr="00507A31" w:rsidRDefault="00695503" w:rsidP="00507A31">
      <w:pPr>
        <w:pStyle w:val="3a"/>
        <w:shd w:val="clear" w:color="auto" w:fill="auto"/>
        <w:spacing w:before="0" w:after="0" w:line="240" w:lineRule="auto"/>
        <w:jc w:val="both"/>
        <w:rPr>
          <w:rStyle w:val="31pt"/>
          <w:color w:val="000000" w:themeColor="text1"/>
          <w:spacing w:val="0"/>
          <w:sz w:val="16"/>
          <w:szCs w:val="16"/>
        </w:rPr>
      </w:pPr>
    </w:p>
    <w:p w14:paraId="6851A1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 по 24 июля 1930 года на химическом полигоне ВОХИМУ проводились испытания 10 кг осколочно-химических и осколочных бомб с корпусом стальным и корпусом железным с насыпными осколками (3326).</w:t>
      </w:r>
    </w:p>
    <w:p w14:paraId="1EA03F7E" w14:textId="77777777" w:rsidR="00537E5F" w:rsidRPr="00507A31" w:rsidRDefault="00537E5F" w:rsidP="00507A31">
      <w:pPr>
        <w:autoSpaceDE w:val="0"/>
        <w:autoSpaceDN w:val="0"/>
        <w:adjustRightInd w:val="0"/>
        <w:jc w:val="both"/>
        <w:rPr>
          <w:color w:val="000000" w:themeColor="text1"/>
          <w:sz w:val="16"/>
          <w:szCs w:val="16"/>
        </w:rPr>
      </w:pPr>
    </w:p>
    <w:p w14:paraId="04B094F3" w14:textId="77777777" w:rsidR="00537E5F" w:rsidRPr="00507A31" w:rsidRDefault="00AC7355" w:rsidP="00507A31">
      <w:pPr>
        <w:tabs>
          <w:tab w:val="left" w:pos="11199"/>
        </w:tabs>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54EEF65" w14:textId="77777777" w:rsidR="00537E5F" w:rsidRPr="00507A31" w:rsidRDefault="00537E5F" w:rsidP="00507A31">
      <w:pPr>
        <w:tabs>
          <w:tab w:val="left" w:pos="11199"/>
        </w:tabs>
        <w:autoSpaceDE w:val="0"/>
        <w:autoSpaceDN w:val="0"/>
        <w:adjustRightInd w:val="0"/>
        <w:jc w:val="both"/>
        <w:rPr>
          <w:iCs/>
          <w:color w:val="000000" w:themeColor="text1"/>
          <w:sz w:val="16"/>
          <w:szCs w:val="16"/>
        </w:rPr>
      </w:pPr>
    </w:p>
    <w:p w14:paraId="5DB5DB8F" w14:textId="77777777" w:rsidR="00D529FC" w:rsidRPr="00507A31" w:rsidRDefault="00D529FC" w:rsidP="00507A31">
      <w:pPr>
        <w:shd w:val="clear" w:color="auto" w:fill="FFFFFF"/>
        <w:jc w:val="both"/>
        <w:rPr>
          <w:color w:val="0070C0"/>
          <w:sz w:val="16"/>
          <w:szCs w:val="16"/>
        </w:rPr>
      </w:pPr>
      <w:r w:rsidRPr="00507A31">
        <w:rPr>
          <w:color w:val="0070C0"/>
          <w:sz w:val="16"/>
          <w:szCs w:val="16"/>
        </w:rPr>
        <w:t>2 июля 1930 года сверху прилетели новые указания: первый Т-20 теперь ожидался к 1 октября, к работам "Большевик" приступал немедленно. На заводе приняли это указание к сведению, так что работы по танку резко форсировали. Правда, пока по корпусным деталям, мотора от ГКБ ОАТ не пришло, причем работы по силовой установке шли совместно с НАМИ, который свою часть разработки задерживал. Кстати, в переписке от конца июля 1930 года было впервые сказано про "аварийный" корпус. Дело в том, что сроком изготовления мотора Т-20 значилось 15 октября, то есть на 2 недели позже первой опытной машины. Поэтому и появилась идея второго, "аварийного" варианта корпуса. Его ГКБ ОАТ разработало в августе-сентябре 1930 года. "Аварийный" вариант изготовлялся с мотором Т-18 и с иной конструкцией носовой части корпуса. Этот вариант также отличался установкой дополнительного опорного катка в носовой части машины (20852).</w:t>
      </w:r>
    </w:p>
    <w:p w14:paraId="24B4DC69" w14:textId="77777777" w:rsidR="00D529FC" w:rsidRPr="00507A31" w:rsidRDefault="00D529FC" w:rsidP="00507A31">
      <w:pPr>
        <w:shd w:val="clear" w:color="auto" w:fill="FFFFFF"/>
        <w:jc w:val="both"/>
        <w:rPr>
          <w:color w:val="0070C0"/>
          <w:sz w:val="16"/>
          <w:szCs w:val="16"/>
        </w:rPr>
      </w:pPr>
    </w:p>
    <w:p w14:paraId="49786B5B" w14:textId="77777777" w:rsidR="00D529FC" w:rsidRPr="00507A31" w:rsidRDefault="00D529FC" w:rsidP="00507A31">
      <w:pPr>
        <w:jc w:val="both"/>
        <w:rPr>
          <w:color w:val="0070C0"/>
          <w:sz w:val="16"/>
          <w:szCs w:val="16"/>
        </w:rPr>
      </w:pPr>
      <w:r w:rsidRPr="00507A31">
        <w:rPr>
          <w:color w:val="0070C0"/>
          <w:sz w:val="16"/>
          <w:szCs w:val="16"/>
        </w:rPr>
        <w:t>2 июля 1930 года И.П. Уборевич, заместитель председателя Реввоенсовета СССР, принял решение работы по Т-23 прекратить и сконцентрироваться на Т-20. "Большевик" с радостью отказался от работ по Т-23, танкетка на время исчезла из программы опытных работ. Но далее решение переиграли, после чего танкетка-переросток снова появилась в планах. К 15 декабря 1930 года ожидалось изготовить первый корпус. Далее сроки переиграли на март 1931 года, причем по ходу действа ставился, как и планировалось ранее, мотор Т-20. Сама танкетка выпускалась без мотора, его ставили потом (22492).</w:t>
      </w:r>
    </w:p>
    <w:p w14:paraId="2BBB5947" w14:textId="77777777" w:rsidR="00D529FC" w:rsidRPr="00507A31" w:rsidRDefault="00D529FC" w:rsidP="00507A31">
      <w:pPr>
        <w:shd w:val="clear" w:color="auto" w:fill="FFFFFF"/>
        <w:jc w:val="both"/>
        <w:rPr>
          <w:color w:val="0070C0"/>
          <w:sz w:val="16"/>
          <w:szCs w:val="16"/>
        </w:rPr>
      </w:pPr>
    </w:p>
    <w:p w14:paraId="4042A3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июля 1930 г. первым начальник строительства и директор завода «Сибкомбайн» А. И. Морин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 завода работали 3 000 рабочих, 30 % из них были квалифицированными. Рабочие-каменщики выполняли нормы выработки только на 40–50 % (11591).</w:t>
      </w:r>
    </w:p>
    <w:p w14:paraId="577D9282" w14:textId="77777777" w:rsidR="00537E5F" w:rsidRPr="00507A31" w:rsidRDefault="00537E5F" w:rsidP="00507A31">
      <w:pPr>
        <w:autoSpaceDE w:val="0"/>
        <w:autoSpaceDN w:val="0"/>
        <w:adjustRightInd w:val="0"/>
        <w:jc w:val="both"/>
        <w:rPr>
          <w:iCs/>
          <w:color w:val="000000" w:themeColor="text1"/>
          <w:sz w:val="16"/>
          <w:szCs w:val="16"/>
        </w:rPr>
      </w:pPr>
    </w:p>
    <w:p w14:paraId="076A7147" w14:textId="77777777" w:rsidR="005044CB" w:rsidRPr="00507A31" w:rsidRDefault="005044CB" w:rsidP="00507A31">
      <w:pPr>
        <w:jc w:val="both"/>
        <w:rPr>
          <w:color w:val="000000" w:themeColor="text1"/>
          <w:sz w:val="16"/>
          <w:szCs w:val="16"/>
        </w:rPr>
      </w:pPr>
      <w:r w:rsidRPr="00507A31">
        <w:rPr>
          <w:rStyle w:val="a7"/>
          <w:b w:val="0"/>
          <w:color w:val="000000" w:themeColor="text1"/>
          <w:sz w:val="16"/>
          <w:szCs w:val="16"/>
        </w:rPr>
        <w:t xml:space="preserve">2 июля 1930 </w:t>
      </w:r>
      <w:r w:rsidRPr="00507A31">
        <w:rPr>
          <w:color w:val="000000" w:themeColor="text1"/>
          <w:sz w:val="16"/>
          <w:szCs w:val="16"/>
        </w:rPr>
        <w:t>Политбюро ЦК ВКП (б) предложило ВСНХ созвать совещание ленинградских специалистов по. строительству электростанций для обсуждения проектов строительства Свирьстроя (12265).</w:t>
      </w:r>
    </w:p>
    <w:p w14:paraId="1988616D" w14:textId="77777777" w:rsidR="005044CB" w:rsidRPr="00507A31" w:rsidRDefault="005044CB" w:rsidP="00507A31">
      <w:pPr>
        <w:jc w:val="both"/>
        <w:rPr>
          <w:color w:val="000000" w:themeColor="text1"/>
          <w:sz w:val="16"/>
          <w:szCs w:val="16"/>
        </w:rPr>
      </w:pPr>
      <w:r w:rsidRPr="00507A31">
        <w:rPr>
          <w:color w:val="000000" w:themeColor="text1"/>
          <w:sz w:val="16"/>
          <w:szCs w:val="16"/>
        </w:rPr>
        <w:t> </w:t>
      </w:r>
    </w:p>
    <w:p w14:paraId="200E41A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DF98034" w14:textId="77777777" w:rsidR="00537E5F" w:rsidRPr="00507A31" w:rsidRDefault="00537E5F" w:rsidP="00507A31">
      <w:pPr>
        <w:autoSpaceDE w:val="0"/>
        <w:autoSpaceDN w:val="0"/>
        <w:adjustRightInd w:val="0"/>
        <w:jc w:val="both"/>
        <w:rPr>
          <w:iCs/>
          <w:color w:val="000000" w:themeColor="text1"/>
          <w:sz w:val="16"/>
          <w:szCs w:val="16"/>
        </w:rPr>
      </w:pPr>
    </w:p>
    <w:p w14:paraId="47B8313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июля 1930 на Украине введено государственное регулирование заработной платы (4962).</w:t>
      </w:r>
    </w:p>
    <w:p w14:paraId="0045F60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6FB8671" w14:textId="77777777" w:rsidR="00537E5F" w:rsidRPr="00507A31" w:rsidRDefault="00AC7355" w:rsidP="00507A31">
      <w:pPr>
        <w:tabs>
          <w:tab w:val="left" w:pos="11199"/>
        </w:tabs>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A615D1E" w14:textId="77777777" w:rsidR="00537E5F" w:rsidRPr="00507A31" w:rsidRDefault="00537E5F" w:rsidP="00507A31">
      <w:pPr>
        <w:tabs>
          <w:tab w:val="left" w:pos="11199"/>
        </w:tabs>
        <w:autoSpaceDE w:val="0"/>
        <w:autoSpaceDN w:val="0"/>
        <w:adjustRightInd w:val="0"/>
        <w:jc w:val="both"/>
        <w:rPr>
          <w:iCs/>
          <w:color w:val="000000" w:themeColor="text1"/>
          <w:sz w:val="16"/>
          <w:szCs w:val="16"/>
        </w:rPr>
      </w:pPr>
    </w:p>
    <w:p w14:paraId="143E155C" w14:textId="77777777" w:rsidR="005044CB" w:rsidRPr="00507A31" w:rsidRDefault="005044CB" w:rsidP="00507A31">
      <w:pPr>
        <w:jc w:val="both"/>
        <w:rPr>
          <w:color w:val="000000" w:themeColor="text1"/>
          <w:sz w:val="16"/>
          <w:szCs w:val="16"/>
        </w:rPr>
      </w:pPr>
      <w:r w:rsidRPr="00507A31">
        <w:rPr>
          <w:color w:val="000000" w:themeColor="text1"/>
          <w:sz w:val="16"/>
          <w:szCs w:val="16"/>
        </w:rPr>
        <w:lastRenderedPageBreak/>
        <w:t>3 июля 1930 г. по распоряжению заместителя председателя МПУ Машинообъединения Доценко Т-12 направили в Москву (через склад №37) для демонстрации военному командованию. Одновременно Машинообъединение дало согласие на проведение ответственных длительных испытаний. Однако дирекция ХПЗ выступила категорически против передачи машины УММ на испытания, к которым она еще была не готова. В письме завода сообщалось: «После демонстрации машина должна быть срочно возвращена на завод, где совместно с ГКБ ВООП должны быть произведены окончательные конструктивные изменения, после чего будут произведены заводские испытания и сдача артприемщику» (12303).</w:t>
      </w:r>
    </w:p>
    <w:p w14:paraId="2CC61EB9" w14:textId="77777777" w:rsidR="005044CB" w:rsidRPr="00507A31" w:rsidRDefault="005044CB" w:rsidP="00507A31">
      <w:pPr>
        <w:jc w:val="both"/>
        <w:rPr>
          <w:color w:val="000000" w:themeColor="text1"/>
          <w:sz w:val="16"/>
          <w:szCs w:val="16"/>
        </w:rPr>
      </w:pPr>
    </w:p>
    <w:p w14:paraId="479570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июля 1930 г. вышел ПРИКАЗ УММ О СОЗДАНИИ ГРУППЫ СОДЕЙСТВИЯ РАЦИОНАЛИЗАЦИИ РККА №55</w:t>
      </w:r>
    </w:p>
    <w:p w14:paraId="4B1561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0E40F3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w:t>
      </w:r>
    </w:p>
    <w:p w14:paraId="6CC382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Объявляю состав избранной общим собранием сотрудников УММ «группы содействия рацио</w:t>
      </w:r>
      <w:r w:rsidRPr="00507A31">
        <w:rPr>
          <w:color w:val="000000" w:themeColor="text1"/>
          <w:sz w:val="16"/>
          <w:szCs w:val="16"/>
        </w:rPr>
        <w:softHyphen/>
        <w:t>нализации РККА» и распределение обязанностей среди членов группы:</w:t>
      </w:r>
    </w:p>
    <w:p w14:paraId="23736A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-Члены:</w:t>
      </w:r>
    </w:p>
    <w:p w14:paraId="1DD915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Секретарь группы</w:t>
      </w:r>
    </w:p>
    <w:p w14:paraId="2C19E9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член НТК</w:t>
      </w:r>
    </w:p>
    <w:p w14:paraId="7917EB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Пом. начальника 2 отдела ТУ И.д. зав. делопроизводством Старший инженер 2 отдела УСУ Старший инженер 3 отдела ТУ</w:t>
      </w:r>
    </w:p>
    <w:p w14:paraId="25BB97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 Азбукин</w:t>
      </w:r>
    </w:p>
    <w:p w14:paraId="28AC8A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 Нифонтов т. Горина т. Васильев т. Лебедевский</w:t>
      </w:r>
    </w:p>
    <w:p w14:paraId="7E5418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И.д. зав. делопроизводством 2 отдела УСУ т. Грызлов</w:t>
      </w:r>
    </w:p>
    <w:p w14:paraId="7B4599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Основание: приказ РВС СССР 1930 г. № 57.</w:t>
      </w:r>
    </w:p>
    <w:p w14:paraId="381016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Справка: протокол № 1 заседания «группы содействия рационализации РККА».</w:t>
      </w:r>
    </w:p>
    <w:p w14:paraId="5C3637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II</w:t>
      </w:r>
    </w:p>
    <w:p w14:paraId="26F4CF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Задачи рационализации работы аппарата, борьба с бюрократизмом и волокитой, упрощение и удешевление аппарата управления не может быть решено без вовлечения в эту работу широкой об</w:t>
      </w:r>
      <w:r w:rsidRPr="00507A31">
        <w:rPr>
          <w:color w:val="000000" w:themeColor="text1"/>
          <w:sz w:val="16"/>
          <w:szCs w:val="16"/>
        </w:rPr>
        <w:softHyphen/>
        <w:t>щественности.</w:t>
      </w:r>
    </w:p>
    <w:p w14:paraId="18D7C0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Избранная общим собранием группа содействия рационализации РККА не сумеет справиться с возложенными на нее задачами без активного участия и помощи в ее работе со стороны всех работ</w:t>
      </w:r>
      <w:r w:rsidRPr="00507A31">
        <w:rPr>
          <w:color w:val="000000" w:themeColor="text1"/>
          <w:sz w:val="16"/>
          <w:szCs w:val="16"/>
        </w:rPr>
        <w:softHyphen/>
        <w:t>ников Управления.</w:t>
      </w:r>
    </w:p>
    <w:p w14:paraId="27F0BB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Дело улучшения работы аппарата Управления должно быть делом всех работников этого аппа</w:t>
      </w:r>
      <w:r w:rsidRPr="00507A31">
        <w:rPr>
          <w:color w:val="000000" w:themeColor="text1"/>
          <w:sz w:val="16"/>
          <w:szCs w:val="16"/>
        </w:rPr>
        <w:softHyphen/>
        <w:t>рата, каждый из сотрудников Управления, вне зависимости от занимаемой должности должен стре</w:t>
      </w:r>
      <w:r w:rsidRPr="00507A31">
        <w:rPr>
          <w:color w:val="000000" w:themeColor="text1"/>
          <w:sz w:val="16"/>
          <w:szCs w:val="16"/>
        </w:rPr>
        <w:softHyphen/>
        <w:t>миться к улучшению аппарата и на основе повседневной практики своей работы продумывать пути и способы улучшения своей работы и работы аппарата Управления в целом.</w:t>
      </w:r>
    </w:p>
    <w:p w14:paraId="594A57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Призываю весь начальствующий и вольнонаемный состав Управления на борьбу с конкретны</w:t>
      </w:r>
      <w:r w:rsidRPr="00507A31">
        <w:rPr>
          <w:color w:val="000000" w:themeColor="text1"/>
          <w:sz w:val="16"/>
          <w:szCs w:val="16"/>
        </w:rPr>
        <w:softHyphen/>
        <w:t>ми недочетами работы аппарата Управления, к активной работе по рационализации и помощи «группе содействия рационализации РККА» в ее работе, Начальникам отделов (подразделений) Уп</w:t>
      </w:r>
      <w:r w:rsidRPr="00507A31">
        <w:rPr>
          <w:color w:val="000000" w:themeColor="text1"/>
          <w:sz w:val="16"/>
          <w:szCs w:val="16"/>
        </w:rPr>
        <w:softHyphen/>
        <w:t>равления оказывать всяческое содействие группе в ее практической работе.</w:t>
      </w:r>
    </w:p>
    <w:p w14:paraId="1410E6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III</w:t>
      </w:r>
    </w:p>
    <w:p w14:paraId="6760DD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Председателю «группы содействия рационализации РККА» завести учет выносимых сотрудника</w:t>
      </w:r>
      <w:r w:rsidRPr="00507A31">
        <w:rPr>
          <w:color w:val="000000" w:themeColor="text1"/>
          <w:sz w:val="16"/>
          <w:szCs w:val="16"/>
        </w:rPr>
        <w:softHyphen/>
        <w:t>ми Управления предложений по рационализации и хода их выполнения на предмет их премирования, в порядке приказа РВС СССР 1927 г. № 333.</w:t>
      </w:r>
    </w:p>
    <w:p w14:paraId="0A19F3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Фамилии товарищей, внесших рационализаторские предложения, дающие реальную эконо</w:t>
      </w:r>
      <w:r w:rsidRPr="00507A31">
        <w:rPr>
          <w:color w:val="000000" w:themeColor="text1"/>
          <w:sz w:val="16"/>
          <w:szCs w:val="16"/>
        </w:rPr>
        <w:softHyphen/>
        <w:t>мию, докладывать мне.</w:t>
      </w:r>
    </w:p>
    <w:p w14:paraId="20A471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IV</w:t>
      </w:r>
    </w:p>
    <w:p w14:paraId="5FA072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связи с организацией «группы содействия рационализации РККА» принять к руководству сле</w:t>
      </w:r>
      <w:r w:rsidRPr="00507A31">
        <w:rPr>
          <w:color w:val="000000" w:themeColor="text1"/>
          <w:sz w:val="16"/>
          <w:szCs w:val="16"/>
        </w:rPr>
        <w:softHyphen/>
        <w:t>дующую организационную структуру участия, в порядке общественном, работников Управления в деле улучшения работы аппарата и его рационализации.</w:t>
      </w:r>
    </w:p>
    <w:p w14:paraId="294869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Основными низовыми ячейками по борьбе с недочетами и улучшению работы аппарата являют</w:t>
      </w:r>
      <w:r w:rsidRPr="00507A31">
        <w:rPr>
          <w:color w:val="000000" w:themeColor="text1"/>
          <w:sz w:val="16"/>
          <w:szCs w:val="16"/>
        </w:rPr>
        <w:softHyphen/>
        <w:t>ся технические (производственные) совещания в отделах (подразделениях), которые ведут свою ра</w:t>
      </w:r>
      <w:r w:rsidRPr="00507A31">
        <w:rPr>
          <w:color w:val="000000" w:themeColor="text1"/>
          <w:sz w:val="16"/>
          <w:szCs w:val="16"/>
        </w:rPr>
        <w:softHyphen/>
        <w:t>боту согласно основных положений, объявляемых при сем.</w:t>
      </w:r>
    </w:p>
    <w:p w14:paraId="5A0944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«Группа содействия рационализации» в своей работе опирается на технические совещания в отде</w:t>
      </w:r>
      <w:r w:rsidRPr="00507A31">
        <w:rPr>
          <w:color w:val="000000" w:themeColor="text1"/>
          <w:sz w:val="16"/>
          <w:szCs w:val="16"/>
        </w:rPr>
        <w:softHyphen/>
        <w:t>лах, держит тесную связь с секретарями технических совещаний.</w:t>
      </w:r>
    </w:p>
    <w:p w14:paraId="30928B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Вербует рационализаторский актив из числа участников технических совещаний.</w:t>
      </w:r>
    </w:p>
    <w:p w14:paraId="00F1E9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вопросы, требующие проработки в отделах, проводит на техническом совещании.</w:t>
      </w:r>
    </w:p>
    <w:p w14:paraId="5B9F8C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Управления по механизации и моторизации РККА</w:t>
      </w:r>
    </w:p>
    <w:p w14:paraId="12E21D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Халепский</w:t>
      </w:r>
    </w:p>
    <w:p w14:paraId="07A30F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w:t>
      </w:r>
    </w:p>
    <w:p w14:paraId="15A6B0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Основные положения о работе технических (производственных) совещаний в отделах (подразделениях)</w:t>
      </w:r>
    </w:p>
    <w:p w14:paraId="36BF51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Технические совещания имеют своей задачей вовлечение всех работников подразделения в дело улучшения работы аппарата и борьбы с его недочетами.</w:t>
      </w:r>
    </w:p>
    <w:p w14:paraId="64A69D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Технические совещания ведут свою работу путем широкого обсуждения сотрудниками мето</w:t>
      </w:r>
      <w:r w:rsidRPr="00507A31">
        <w:rPr>
          <w:color w:val="000000" w:themeColor="text1"/>
          <w:sz w:val="16"/>
          <w:szCs w:val="16"/>
        </w:rPr>
        <w:softHyphen/>
        <w:t>дом самокритики всех вопросов, выдвинутых практикой на основе повседневной работы, как по инициативе самих сотрудников, так и по усмотрению начальника отдела (подразделения).</w:t>
      </w:r>
    </w:p>
    <w:p w14:paraId="66E997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Общее руководство техническими совещаниями возлагается на начальника отдела (подразде</w:t>
      </w:r>
      <w:r w:rsidRPr="00507A31">
        <w:rPr>
          <w:color w:val="000000" w:themeColor="text1"/>
          <w:sz w:val="16"/>
          <w:szCs w:val="16"/>
        </w:rPr>
        <w:softHyphen/>
        <w:t>ления), который является постоянным председателем совещания. В помощь ему выбирается секре</w:t>
      </w:r>
      <w:r w:rsidRPr="00507A31">
        <w:rPr>
          <w:color w:val="000000" w:themeColor="text1"/>
          <w:sz w:val="16"/>
          <w:szCs w:val="16"/>
        </w:rPr>
        <w:softHyphen/>
        <w:t>тарь совещания.</w:t>
      </w:r>
    </w:p>
    <w:p w14:paraId="2A64F7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На обязанности секретаря совещания лежит:</w:t>
      </w:r>
    </w:p>
    <w:p w14:paraId="7E652A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сбор предложений от сотрудников по улучшению работы аппарата;</w:t>
      </w:r>
    </w:p>
    <w:p w14:paraId="0A0FAC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подготовка порядка дня совещаний;</w:t>
      </w:r>
    </w:p>
    <w:p w14:paraId="164784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ведение протоколов;</w:t>
      </w:r>
    </w:p>
    <w:p w14:paraId="50C05F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учет хода выполнения предложений сотрудников и постановлений совещания;</w:t>
      </w:r>
    </w:p>
    <w:p w14:paraId="7F276B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связь с выделенным бюро ячейки ВКП(б) товарищем по руководству работой технических со</w:t>
      </w:r>
      <w:r w:rsidRPr="00507A31">
        <w:rPr>
          <w:color w:val="000000" w:themeColor="text1"/>
          <w:sz w:val="16"/>
          <w:szCs w:val="16"/>
        </w:rPr>
        <w:softHyphen/>
        <w:t>вещаний.</w:t>
      </w:r>
    </w:p>
    <w:p w14:paraId="2654D4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Технические совещания собираются не реже одного раза в 2 месяца.</w:t>
      </w:r>
    </w:p>
    <w:p w14:paraId="1F740C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Общее руководство техническими совещаниями по Управлению осуществляется начальни</w:t>
      </w:r>
      <w:r w:rsidRPr="00507A31">
        <w:rPr>
          <w:color w:val="000000" w:themeColor="text1"/>
          <w:sz w:val="16"/>
          <w:szCs w:val="16"/>
        </w:rPr>
        <w:softHyphen/>
        <w:t>ком управления. В помощь ему выдвигается представитель бюро ячейки ВКП(б), при управлении.</w:t>
      </w:r>
    </w:p>
    <w:p w14:paraId="420E3A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Для обсуждения вопросов общего порядка, касающихся нескольких подразделений или всего уп</w:t>
      </w:r>
      <w:r w:rsidRPr="00507A31">
        <w:rPr>
          <w:color w:val="000000" w:themeColor="text1"/>
          <w:sz w:val="16"/>
          <w:szCs w:val="16"/>
        </w:rPr>
        <w:softHyphen/>
        <w:t>равления, собираются объединенные технические совещания.</w:t>
      </w:r>
    </w:p>
    <w:p w14:paraId="36EE8A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Такие совещания собираются по мере надобности, по инициативе участников совещаний и с разрешения начальника управления.</w:t>
      </w:r>
    </w:p>
    <w:p w14:paraId="785236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Решения технических совещаний проводятся в жизни по утверждении их начальником упра</w:t>
      </w:r>
      <w:r w:rsidRPr="00507A31">
        <w:rPr>
          <w:color w:val="000000" w:themeColor="text1"/>
          <w:sz w:val="16"/>
          <w:szCs w:val="16"/>
        </w:rPr>
        <w:softHyphen/>
        <w:t>вления.</w:t>
      </w:r>
    </w:p>
    <w:p w14:paraId="04F13F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17. Л. 53 - 54. Подлинник (11210).</w:t>
      </w:r>
    </w:p>
    <w:p w14:paraId="360CF94B" w14:textId="77777777" w:rsidR="00537E5F" w:rsidRPr="00507A31" w:rsidRDefault="00537E5F" w:rsidP="00507A31">
      <w:pPr>
        <w:autoSpaceDE w:val="0"/>
        <w:autoSpaceDN w:val="0"/>
        <w:adjustRightInd w:val="0"/>
        <w:jc w:val="both"/>
        <w:rPr>
          <w:color w:val="000000" w:themeColor="text1"/>
          <w:sz w:val="16"/>
          <w:szCs w:val="16"/>
        </w:rPr>
      </w:pPr>
    </w:p>
    <w:p w14:paraId="2AC479BB" w14:textId="77777777" w:rsidR="005044CB"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E7EB959" w14:textId="77777777" w:rsidR="005044CB" w:rsidRPr="00507A31" w:rsidRDefault="005044CB" w:rsidP="00507A31">
      <w:pPr>
        <w:autoSpaceDE w:val="0"/>
        <w:autoSpaceDN w:val="0"/>
        <w:adjustRightInd w:val="0"/>
        <w:jc w:val="both"/>
        <w:rPr>
          <w:iCs/>
          <w:color w:val="000000" w:themeColor="text1"/>
          <w:sz w:val="16"/>
          <w:szCs w:val="16"/>
        </w:rPr>
      </w:pPr>
    </w:p>
    <w:p w14:paraId="6E9970EF" w14:textId="77777777" w:rsidR="005044CB" w:rsidRPr="00507A31" w:rsidRDefault="005044CB" w:rsidP="00507A31">
      <w:pPr>
        <w:jc w:val="both"/>
        <w:rPr>
          <w:color w:val="000000" w:themeColor="text1"/>
          <w:sz w:val="16"/>
          <w:szCs w:val="16"/>
        </w:rPr>
      </w:pPr>
      <w:r w:rsidRPr="00507A31">
        <w:rPr>
          <w:rStyle w:val="a7"/>
          <w:b w:val="0"/>
          <w:color w:val="000000" w:themeColor="text1"/>
          <w:sz w:val="16"/>
          <w:szCs w:val="16"/>
        </w:rPr>
        <w:t>3 июля 1930</w:t>
      </w:r>
      <w:r w:rsidRPr="00507A31">
        <w:rPr>
          <w:color w:val="000000" w:themeColor="text1"/>
          <w:sz w:val="16"/>
          <w:szCs w:val="16"/>
        </w:rPr>
        <w:t>ЦИК и СНК приняли постановление «О выпуске государственного внутреннего выигрышного займа «Пятилетка в четыре года» (12265).</w:t>
      </w:r>
    </w:p>
    <w:p w14:paraId="0F8E665B" w14:textId="77777777" w:rsidR="005044CB" w:rsidRPr="00507A31" w:rsidRDefault="005044CB" w:rsidP="00507A31">
      <w:pPr>
        <w:jc w:val="both"/>
        <w:rPr>
          <w:color w:val="000000" w:themeColor="text1"/>
          <w:sz w:val="16"/>
          <w:szCs w:val="16"/>
        </w:rPr>
      </w:pPr>
      <w:r w:rsidRPr="00507A31">
        <w:rPr>
          <w:color w:val="000000" w:themeColor="text1"/>
          <w:sz w:val="16"/>
          <w:szCs w:val="16"/>
        </w:rPr>
        <w:t> </w:t>
      </w:r>
    </w:p>
    <w:p w14:paraId="2653B36B" w14:textId="77777777" w:rsidR="00D529FC" w:rsidRPr="00507A31" w:rsidRDefault="00D529FC"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416C837" w14:textId="77777777" w:rsidR="00D529FC" w:rsidRPr="00507A31" w:rsidRDefault="00D529FC" w:rsidP="00507A31">
      <w:pPr>
        <w:autoSpaceDE w:val="0"/>
        <w:autoSpaceDN w:val="0"/>
        <w:adjustRightInd w:val="0"/>
        <w:jc w:val="both"/>
        <w:rPr>
          <w:iCs/>
          <w:color w:val="000000" w:themeColor="text1"/>
          <w:sz w:val="16"/>
          <w:szCs w:val="16"/>
        </w:rPr>
      </w:pPr>
    </w:p>
    <w:p w14:paraId="67A8AB14" w14:textId="77777777" w:rsidR="00D529FC" w:rsidRPr="00507A31" w:rsidRDefault="00D529FC" w:rsidP="00507A31">
      <w:pPr>
        <w:jc w:val="both"/>
        <w:rPr>
          <w:color w:val="0070C0"/>
          <w:sz w:val="16"/>
          <w:szCs w:val="16"/>
        </w:rPr>
      </w:pPr>
      <w:r w:rsidRPr="00507A31">
        <w:rPr>
          <w:color w:val="0070C0"/>
          <w:sz w:val="16"/>
          <w:szCs w:val="16"/>
        </w:rPr>
        <w:t>4 июля 1930 года в объяснительной записке к ведомости поставки продукции текстильной и швейной промышленностью № 13604 указывался возможный объем выпускаемой парашютной продукции. На взгляд авторов записки, уровень организации производства, помещения и оборудование, а также качество выпуска опытных образцов авиационных парашютов дают основания считать, что на парашютной фабрике Мостекстильшвейсоюза в течение года можно достичь выпуска 3.240 парашютов. Однако здесь же указывалось, что полностью эта задача будет разрешена только тогда, когда будет разрешен положительно вопрос о ввозе импортного оборудования (Архив ЦДА и К. Ф. 50. Оп. 1. Д. 4. Л. 14.) (21402).</w:t>
      </w:r>
    </w:p>
    <w:p w14:paraId="4CB80631" w14:textId="77777777" w:rsidR="00D529FC" w:rsidRPr="00507A31" w:rsidRDefault="00D529FC" w:rsidP="00507A31">
      <w:pPr>
        <w:jc w:val="both"/>
        <w:rPr>
          <w:color w:val="0070C0"/>
          <w:sz w:val="16"/>
          <w:szCs w:val="16"/>
        </w:rPr>
      </w:pPr>
    </w:p>
    <w:p w14:paraId="64F96954" w14:textId="77777777" w:rsidR="005044CB"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F4AA52A" w14:textId="77777777" w:rsidR="005044CB" w:rsidRPr="00507A31" w:rsidRDefault="005044CB" w:rsidP="00507A31">
      <w:pPr>
        <w:autoSpaceDE w:val="0"/>
        <w:autoSpaceDN w:val="0"/>
        <w:adjustRightInd w:val="0"/>
        <w:jc w:val="both"/>
        <w:rPr>
          <w:iCs/>
          <w:color w:val="000000" w:themeColor="text1"/>
          <w:sz w:val="16"/>
          <w:szCs w:val="16"/>
        </w:rPr>
      </w:pPr>
    </w:p>
    <w:p w14:paraId="7DAF1A70" w14:textId="77777777" w:rsidR="005044CB" w:rsidRPr="00507A31" w:rsidRDefault="005044CB" w:rsidP="00507A31">
      <w:pPr>
        <w:jc w:val="both"/>
        <w:rPr>
          <w:color w:val="000000" w:themeColor="text1"/>
          <w:sz w:val="16"/>
          <w:szCs w:val="16"/>
        </w:rPr>
      </w:pPr>
      <w:r w:rsidRPr="00507A31">
        <w:rPr>
          <w:color w:val="000000" w:themeColor="text1"/>
          <w:sz w:val="16"/>
          <w:szCs w:val="16"/>
        </w:rPr>
        <w:t>4 июля 1930 г. Российское телеграфное агентство сообщило под заголовком "Свой алюминий" о торжественной закладке первого в стране алюминиевого завода в непосредственной близости от Волховской ГЭС. Строительство, которое курировал первый секретарь Ленинградского обкома Сергей Миронович Киров, шло стремительными темпами и, что характерно для многих больших строек той эпохи, с огромным энтузиазмом. Люди работали в тяжелейших условиях, но - как тут не вспомнить стихи Владимира Маяковского! - с прекрасной мечтой о будущем "городе-саде", который и в самом деле вскоре раскинулся на берегу реки Волхов, по соседству с основными градообразующими предприятиями: алюминиевым заводом и гидроэлектростанцией…</w:t>
      </w:r>
    </w:p>
    <w:p w14:paraId="41964741" w14:textId="77777777" w:rsidR="005044CB" w:rsidRPr="00507A31" w:rsidRDefault="005044CB" w:rsidP="00507A31">
      <w:pPr>
        <w:jc w:val="both"/>
        <w:rPr>
          <w:color w:val="000000" w:themeColor="text1"/>
          <w:sz w:val="16"/>
          <w:szCs w:val="16"/>
        </w:rPr>
      </w:pPr>
      <w:r w:rsidRPr="00507A31">
        <w:rPr>
          <w:color w:val="000000" w:themeColor="text1"/>
          <w:sz w:val="16"/>
          <w:szCs w:val="16"/>
        </w:rPr>
        <w:lastRenderedPageBreak/>
        <w:t>Как известно, строительству Волховского алюминиевого завода предшествовал запуск Волховской ГЭС, состоявшийся 22 декабря 1926 г. Гидроэлектростанция, построенная под руководством ранее уже упоминавшегося академика Г.О. Графтио, стала первым объектом в реализации плана ГОЭЛРО и надежной энергетической базой для "первенца" алюминиевой отрасли страны, Волховского завода. Для понимания четкой взаимосвязи этих событий следует напомнить, что технология промышленного получения алюминия путем электролиза требует высоких энергозатрат.</w:t>
      </w:r>
    </w:p>
    <w:p w14:paraId="3D385929" w14:textId="77777777" w:rsidR="005044CB" w:rsidRPr="00507A31" w:rsidRDefault="005044CB" w:rsidP="00507A31">
      <w:pPr>
        <w:jc w:val="both"/>
        <w:rPr>
          <w:color w:val="000000" w:themeColor="text1"/>
          <w:sz w:val="16"/>
          <w:szCs w:val="16"/>
        </w:rPr>
      </w:pPr>
      <w:r w:rsidRPr="00507A31">
        <w:rPr>
          <w:color w:val="000000" w:themeColor="text1"/>
          <w:sz w:val="16"/>
          <w:szCs w:val="16"/>
        </w:rPr>
        <w:t>Советский народ мог по праву гордиться своими свершениями. В то время электростанция на реке Волхов была самой мощной по выработке электроэнергии не только в масштабах страны, но и Европы. Вместе с алюминиевым заводом гидроэлектростанция оказала серьезное влияние на экономическое развитие Ленинградской области. Можно сказать, что именно благодаря промышленным объектам на Волхове Ленобласть с самого момента своего образования в августе 1927 г. приобрела статус индустриального региона, значимого для всей страны.</w:t>
      </w:r>
    </w:p>
    <w:p w14:paraId="35C15DDA" w14:textId="77777777" w:rsidR="005044CB" w:rsidRPr="00507A31" w:rsidRDefault="005044CB" w:rsidP="00507A31">
      <w:pPr>
        <w:jc w:val="both"/>
        <w:rPr>
          <w:color w:val="000000" w:themeColor="text1"/>
          <w:sz w:val="16"/>
          <w:szCs w:val="16"/>
        </w:rPr>
      </w:pPr>
      <w:r w:rsidRPr="00507A31">
        <w:rPr>
          <w:color w:val="000000" w:themeColor="text1"/>
          <w:sz w:val="16"/>
          <w:szCs w:val="16"/>
        </w:rPr>
        <w:t>Как свидетельствуют историки, 14 мая 1932 г. в 15 час.45 мин. на Волховском заводе был получен первый советский алюминий. Эта дата стала "днем рождения" всей алюминиевой отрасли. Уже через 2 года наша страна полностью прекратила импорт этого стратегического металла, а к началу Великой Отечественной войны Советский Союз по выпуску алюминия вышел на одно из первых мест в мире. Промышленность отрасли бурно развивалась, создавались новые предприятия, но Волховский алюминиевый по-прежнему вносил существенный вклад в объемы производства…(12249).</w:t>
      </w:r>
    </w:p>
    <w:p w14:paraId="563A3382" w14:textId="77777777" w:rsidR="005044CB" w:rsidRPr="00507A31" w:rsidRDefault="005044CB" w:rsidP="00507A31">
      <w:pPr>
        <w:jc w:val="both"/>
        <w:rPr>
          <w:color w:val="000000" w:themeColor="text1"/>
          <w:sz w:val="16"/>
          <w:szCs w:val="16"/>
        </w:rPr>
      </w:pPr>
    </w:p>
    <w:p w14:paraId="11D6EEBA" w14:textId="77777777" w:rsidR="00695503" w:rsidRPr="00507A31" w:rsidRDefault="00695503" w:rsidP="00507A31">
      <w:pPr>
        <w:shd w:val="clear" w:color="auto" w:fill="FFFFFF"/>
        <w:jc w:val="both"/>
        <w:rPr>
          <w:color w:val="000000" w:themeColor="text1"/>
          <w:sz w:val="16"/>
          <w:szCs w:val="16"/>
        </w:rPr>
      </w:pPr>
      <w:r w:rsidRPr="00507A31">
        <w:rPr>
          <w:bCs/>
          <w:iCs/>
          <w:color w:val="000000" w:themeColor="text1"/>
          <w:sz w:val="16"/>
          <w:szCs w:val="16"/>
        </w:rPr>
        <w:t>4 июля 1930 г.</w:t>
      </w:r>
      <w:r w:rsidRPr="00507A31">
        <w:rPr>
          <w:color w:val="000000" w:themeColor="text1"/>
          <w:sz w:val="16"/>
          <w:szCs w:val="16"/>
        </w:rPr>
        <w:t xml:space="preserve"> Приказ наркома обороны СССР с разбором дефектов в работе ИХО РККА, «</w:t>
      </w:r>
      <w:r w:rsidRPr="00507A31">
        <w:rPr>
          <w:iCs/>
          <w:color w:val="000000" w:themeColor="text1"/>
          <w:sz w:val="16"/>
          <w:szCs w:val="16"/>
        </w:rPr>
        <w:t>свидетельствующих о недостаточном руководстве институтом со стороны начальника ВОХИМУ т.Фишмана</w:t>
      </w:r>
      <w:r w:rsidRPr="00507A31">
        <w:rPr>
          <w:color w:val="000000" w:themeColor="text1"/>
          <w:sz w:val="16"/>
          <w:szCs w:val="16"/>
        </w:rPr>
        <w:t>». Как оказалось, «</w:t>
      </w:r>
      <w:r w:rsidRPr="00507A31">
        <w:rPr>
          <w:iCs/>
          <w:color w:val="000000" w:themeColor="text1"/>
          <w:sz w:val="16"/>
          <w:szCs w:val="16"/>
        </w:rPr>
        <w:t>Среди работников Института оказалось много лиц, которые ни по своей квалификации, ни по своим личным качествам не соответствовали той работе, которая была им в институте доверена</w:t>
      </w:r>
      <w:r w:rsidRPr="00507A31">
        <w:rPr>
          <w:color w:val="000000" w:themeColor="text1"/>
          <w:sz w:val="16"/>
          <w:szCs w:val="16"/>
        </w:rPr>
        <w:t>» (17133).</w:t>
      </w:r>
    </w:p>
    <w:p w14:paraId="7D9109A4" w14:textId="77777777" w:rsidR="00695503" w:rsidRPr="00507A31" w:rsidRDefault="00695503" w:rsidP="00507A31">
      <w:pPr>
        <w:shd w:val="clear" w:color="auto" w:fill="FFFFFF"/>
        <w:jc w:val="both"/>
        <w:rPr>
          <w:color w:val="000000" w:themeColor="text1"/>
          <w:sz w:val="16"/>
          <w:szCs w:val="16"/>
        </w:rPr>
      </w:pPr>
    </w:p>
    <w:p w14:paraId="402BE1FF" w14:textId="77777777" w:rsidR="00EA2934" w:rsidRPr="00507A31" w:rsidRDefault="00EA2934" w:rsidP="00507A31">
      <w:pPr>
        <w:pStyle w:val="ae"/>
        <w:shd w:val="clear" w:color="auto" w:fill="FFFFFF"/>
        <w:spacing w:before="0" w:after="0"/>
        <w:jc w:val="both"/>
        <w:rPr>
          <w:color w:val="000000" w:themeColor="text1"/>
          <w:sz w:val="16"/>
          <w:szCs w:val="16"/>
        </w:rPr>
      </w:pPr>
      <w:r w:rsidRPr="00507A31">
        <w:rPr>
          <w:color w:val="000000" w:themeColor="text1"/>
          <w:sz w:val="16"/>
          <w:szCs w:val="16"/>
        </w:rPr>
        <w:t>4 июля 1930 Сормовский и Балтийский заводы, которые заключили договор, подписали протокол на передачу подводной лодки, особо обговорив условия: Балтийский завод обязуется (за плату, конечно) обучить сормовичей монтажу механизмов и устройств, допустив их к цеховым («швартовным») испытаниям, включая четверых инженерно-технических работников и 42 рабочих (лучшие из них будут допущены к участию в сдаточных испытаниях).</w:t>
      </w:r>
    </w:p>
    <w:p w14:paraId="6E89D291" w14:textId="77777777" w:rsidR="00EA2934" w:rsidRPr="00507A31" w:rsidRDefault="00EA2934" w:rsidP="00507A31">
      <w:pPr>
        <w:pStyle w:val="ae"/>
        <w:shd w:val="clear" w:color="auto" w:fill="FFFFFF"/>
        <w:spacing w:before="0" w:after="0"/>
        <w:jc w:val="both"/>
        <w:rPr>
          <w:color w:val="000000" w:themeColor="text1"/>
          <w:sz w:val="16"/>
          <w:szCs w:val="16"/>
        </w:rPr>
      </w:pPr>
      <w:r w:rsidRPr="00507A31">
        <w:rPr>
          <w:color w:val="000000" w:themeColor="text1"/>
          <w:sz w:val="16"/>
          <w:szCs w:val="16"/>
        </w:rPr>
        <w:t>Этот труд и опыт сормовичей уже вскоре был востребован. Вторую подлодку — «Семга» («Щ-308») — сормовичи испытали и сдали самостоятельно в следующем году (14 ноября 1935г.). А спустя 25 лет завод особо подтвердил свое умение при массовом строительстве первого послевоенного проекта средней подводной лодки 613, когда за один год (1955) сормовичи сдали 37 подводных лодок (12188).</w:t>
      </w:r>
    </w:p>
    <w:p w14:paraId="38600A33" w14:textId="77777777" w:rsidR="00EA2934" w:rsidRPr="00507A31" w:rsidRDefault="00EA2934" w:rsidP="00507A31">
      <w:pPr>
        <w:pStyle w:val="ae"/>
        <w:shd w:val="clear" w:color="auto" w:fill="FFFFFF"/>
        <w:spacing w:before="0" w:after="0"/>
        <w:jc w:val="both"/>
        <w:rPr>
          <w:color w:val="000000" w:themeColor="text1"/>
          <w:sz w:val="16"/>
          <w:szCs w:val="16"/>
        </w:rPr>
      </w:pPr>
    </w:p>
    <w:p w14:paraId="57741460" w14:textId="77777777" w:rsidR="00124637" w:rsidRPr="00507A31" w:rsidRDefault="00124637" w:rsidP="00507A31">
      <w:pPr>
        <w:jc w:val="both"/>
        <w:rPr>
          <w:bCs/>
          <w:color w:val="000000" w:themeColor="text1"/>
          <w:sz w:val="16"/>
          <w:szCs w:val="16"/>
        </w:rPr>
      </w:pPr>
      <w:r w:rsidRPr="00507A31">
        <w:rPr>
          <w:color w:val="000000" w:themeColor="text1"/>
          <w:sz w:val="16"/>
          <w:szCs w:val="16"/>
        </w:rPr>
        <w:t>4 июля 1930 г.</w:t>
      </w:r>
    </w:p>
    <w:p w14:paraId="1B3E9C84" w14:textId="77777777" w:rsidR="00124637" w:rsidRPr="00507A31" w:rsidRDefault="00124637" w:rsidP="00507A31">
      <w:pPr>
        <w:jc w:val="both"/>
        <w:rPr>
          <w:bCs/>
          <w:color w:val="000000" w:themeColor="text1"/>
          <w:sz w:val="16"/>
          <w:szCs w:val="16"/>
        </w:rPr>
      </w:pPr>
      <w:r w:rsidRPr="00507A31">
        <w:rPr>
          <w:color w:val="000000" w:themeColor="text1"/>
          <w:sz w:val="16"/>
          <w:szCs w:val="16"/>
        </w:rPr>
        <w:t>«Вредительство в советском аппарате». Из выступления Г. К. Орджоникидзе на XVI съезде ВКП(б). 4 июля 1930 г.</w:t>
      </w:r>
    </w:p>
    <w:p w14:paraId="4C072E2C" w14:textId="77777777" w:rsidR="00124637" w:rsidRPr="00507A31" w:rsidRDefault="00124637" w:rsidP="00507A31">
      <w:pPr>
        <w:jc w:val="both"/>
        <w:rPr>
          <w:bCs/>
          <w:color w:val="000000" w:themeColor="text1"/>
          <w:sz w:val="16"/>
          <w:szCs w:val="16"/>
        </w:rPr>
      </w:pPr>
      <w:r w:rsidRPr="00507A31">
        <w:rPr>
          <w:bCs/>
          <w:color w:val="000000" w:themeColor="text1"/>
          <w:sz w:val="16"/>
          <w:szCs w:val="16"/>
        </w:rPr>
        <w:t>Источник: </w:t>
      </w:r>
    </w:p>
    <w:p w14:paraId="4A832CFE" w14:textId="77777777" w:rsidR="00124637" w:rsidRPr="00507A31" w:rsidRDefault="0012463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61F267" w14:textId="77777777" w:rsidR="00124637" w:rsidRPr="00507A31" w:rsidRDefault="00124637" w:rsidP="00507A31">
      <w:pPr>
        <w:pStyle w:val="rteright"/>
        <w:spacing w:before="0" w:after="0"/>
        <w:jc w:val="both"/>
        <w:rPr>
          <w:color w:val="000000" w:themeColor="text1"/>
          <w:sz w:val="16"/>
          <w:szCs w:val="16"/>
        </w:rPr>
      </w:pPr>
      <w:r w:rsidRPr="00507A31">
        <w:rPr>
          <w:color w:val="000000" w:themeColor="text1"/>
          <w:sz w:val="16"/>
          <w:szCs w:val="16"/>
        </w:rPr>
        <w:t>4 июля 1930 г.</w:t>
      </w:r>
    </w:p>
    <w:p w14:paraId="399D2300"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Несколько слов о роли вредителей в нашем народном хозяйстве. ГПУ выпустило брошюру — «Материалы к отчету ЦКК ВКП(б)». Кое-кому эта брошюра не нравится. Некоторые товарищи, упоминаемые в этой брошюре, обижаются, но, по-моему, они не правы. Личную обиду надо подчинить общим интересам, а общий интерес заключается в том, чтобы каждый коммунист, прочитав эту самую книжку, вник поглубже в ее содержание и добился бы того, чтобы в будущем его так не могли околпачивать.</w:t>
      </w:r>
    </w:p>
    <w:p w14:paraId="5C5478B6"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Незачем повторять, какую громадную роль сыграло ГПУ в раскрытии вредительства. Тов. Евдокимов, тогдашний председатель ГПУ на Сев. Кавказе, в этом отношении несомненно оказал большую услугу нашей партии, так же, как и другие наши работники ГПУ. То же самое было и на жел. дороге. Работники ГПУ на жел. дороге, тов. Благонравов и Кишкин, с невероятной смелостью раскопали всю эту шваль, а тогда было не так легко это сделать. Теперь мы привыкли и знаем, что таких вредителей много, и поэтому раскрывать их не так уж трудно. Но в то время громадное количество наших работников не верило этому, считало, что ГПУ перебарщивает и с большим трудом приходилось убеждать, что вредительство налицо. Нужно только удивляться тому, что, имея во главе промышленности в руководящем составе 75-80 % коммунистов, мы не сумели воспрепятствовать вредительству принять такие громадные размеры.</w:t>
      </w:r>
    </w:p>
    <w:p w14:paraId="2FA7C36C"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В свое время тов. Сталин дал исчерпывающую характеристику вредительству, как форме проявления классовой борьбы со стороны небольшой кучки буржуазных специалистов, этой агентуры международной буржуазии. Отсюда же он делал вывод, что нам надо взяться за подготовку своих красных специалистов из детей рабочих и что нынешним директорам заводов и фабрик необходимо, если они хотят действительно стать хозяевами положения, овладеть техникой. Как все это оказалось глубоко правильным! А ведь это же был вопрос спора между нами и правоуклонистами. Я уже говорил на одном из пленумов ЦК, как тов. Рыков во время шахтинского дела очень решительно выступал против той установки, которая тогда была дана Центральным Комитетом в отношении создания своих технических кадров. Он, помню, пришел на заседание Политбюро, принес целую кипу выдержек из писаний Владимира Ильича о специалистах и стал доказывать, что то, что мы предлагаем, неосуществимо, что Ильич указывал, что без буржуазных специалистов нам не обойтись, не устроить нам социализм и т. д. По-моему, никаких противоречий между тем, что говорил Владимир Ильич о буржуазных специалистах, и той установкой, которая дана партией в настоящее время, абсолютно нет. О чем говорил Владимир Ильич? Владимир Ильич говорил о том, что буржуазных специалистов надо привлекать, надо платить им как следует, чтобы они работали добросовестно, честно помогали нам строить социализм. Ну, а если кучка контрреволюционеров-вредителей из среды этих специалистов нам гадит, если они нам хотят подорвать нашу народно-хозяйственную мощь[?] Разве когда-нибудь Владимир Ильич говорил, чтобы таких не трогать? Конечно, нет. Само собой понятно, что, выкорчевывая вредителей, мы со всей бережностью должны относиться к тому громадному большинству буржуазных специалистов, которые работают у нас и работают честно, помогают нам, и наряду с этим усиленно готовить свои кадры, памятуя, что пролетариат должен создать свою техническую интеллигенцию. Одно другому абсолютно не противоречит.</w:t>
      </w:r>
    </w:p>
    <w:p w14:paraId="5200CFE3"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Я бы хотел процитировать вам несколько показаний этих вредителей, как они сами освещают свою вредительскую работу. Случайно ли было вредительство или оно было проявлением классовой борьбы? Послушайте самих вредителей. Вот что пишет Стрижев. Этот Стрижев являлся старшим директором нефтяной промышленности Главгортопа ВСНХ СССР и профессором Горной Академии. В прошлом, с 1898 года — управляющий дагестанскими предприятиями общества «Нобель», акционер общества «Нобель»; в 1919 г. состоял городским головой в Грозном при Деникине, тогда же был председателем комитета партии кадетов. Вот что он пишет: «Если в довоенное время инженер, вышедший из привилегированного учебного заведения, чувствовал себя членом определенной замкнутой касты, он еще больше держался за свои кастовые привилегии после революции. Революция отняла земли, фабрики, заводы, дома, капиталы, но она не отняла дипломы инженеров. Это — все, что осталось у инженеров, и за это, а также за все, что с этим было связано, инженеры сильно цеплялись. Ясно, что почти все старые кастовые инженеры не сочувствовали новому строю и сделались членами к.-р. вредительских организаций. На это их толкали экономические интересы. Им было выгодно возвращение старого порядка, и они очень желали, чтобы он вернулся. Кастовая замкнутость инженеров облегчала к.-р. вредительскую работу, требовавшую также замкнутости. Переход инженерных каст в контрреволюционные был естественный и понятный».</w:t>
      </w:r>
    </w:p>
    <w:p w14:paraId="04342683"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Вот что говорит классовый враг. Он никак не может примириться с тем, что пролетариат отнял заводы, фабрики, земли и капиталы у старых владельцев-капиталистов. Они, эти вредители, не хотят советской власти, а ждут не дождутся, чтобы вернулась старая капиталистическая власть. Мы можем утешить господина Стрижева, что он так и не дождется возвращения капиталистов в нашу страну.</w:t>
      </w:r>
    </w:p>
    <w:p w14:paraId="5FB62A68"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Вот вам еще показание инженера Калганова из Донугля: «Влияние имело и следующее обстоятельство: техническая интеллигенция, по сравнению с другими группами интеллигенции, была гораздо ближе к промышленному капиталу по самому своему положению: даже не имея собственных капиталов, мы все же как-то инстинктивно интересовались существом именно капиталистических отношений в тех предприятиях, в которых мы работали... При капиталистическом строе мы являлись, в известной степени, обер-офицерами капитала, если можно так выразиться. Именно через нас капитал осуществлял свойственную и неизбежную при капитализме эксплоатацию рабочих, а это в свою очередь порождало уже известную идеологию, которая резко отделяла нас от рабочих, противопоставляла нас им».</w:t>
      </w:r>
    </w:p>
    <w:p w14:paraId="6A85C82C"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Здесь прямо со всей откровенностью вредитель указывает, что они были врагами рабочего класса, были на стороне эксплоататоров и остаются такими же.</w:t>
      </w:r>
    </w:p>
    <w:p w14:paraId="295D2B82"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Верно, этого ни в коем случае нельзя сказать о громадном большинстве нашего инженерства, которое честно работает с нами. Если бы, товарищи, мы благодаря вот этой дряни поддались бы на такую удочку, что стали бы ко всем старым специалистам относиться отрицательно, это было бы грубейшей ошибкой. Это, конечно, не значит, что мы должны слепо им доверять. Нет, критическое отношение должно остаться, но на этом основании травля специалистов и спецеедство были бы грубейшей, непростительной и вреднейшей ошибкой.</w:t>
      </w:r>
    </w:p>
    <w:p w14:paraId="765AE6CD"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А теперь послушаем, как вредители всемерно задерживали рост нашей промышленности. Вы знаете, какое громадное значение имеет для нас трактор. Вы также знаете, какую громадную борьбу нам пришлось выдержать для того, чтобы раскачать наш Путиловский тракторный завод. Дрались за программу в 3.000, потом за 10 тысяч тракторов. При чем для того, чтобы добиться своевременного выпуска 10 тысяч тракторов, надо было тов. Сталину лично заняться этим вопросом и убеждать в этом хозяйственников.</w:t>
      </w:r>
    </w:p>
    <w:p w14:paraId="185538BE"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Вот что теперь показывает вредитель Стырикович: «Выпустив в 1927-28 г. около 1.000 тракторов, мною, Саблиным и Ивановым, согласно указаний Белоножкина и Кутского, решено было в следующие годы держаться темпа до 3.000 тракторов в последний год пятилетки. Когда в 1928 году была выдвинута программа 3.000 тракторов, Саблин и Иванов оказывали возможное сопротивление. То же произошло при задании 10.000 тракторов в 1929-1930 г. Приняв под приказом эти задания, Саблин и Иванов, Половко, Ветчинкин и Самойлов принимали, с моего ведома, по докладам Саблина меры к невыполнению заданий».</w:t>
      </w:r>
    </w:p>
    <w:p w14:paraId="186E84A7"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lastRenderedPageBreak/>
        <w:t>Вы видите, как они выполняли наши задания!</w:t>
      </w:r>
    </w:p>
    <w:p w14:paraId="62E3B3E9"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«В общем таковые сводились, — продолжает вредитель, — к медленному набору рабочих и техперсонала, малой сменности, отсутствию планирования, браку в поковках и литье, медленной установке и налаживанию в работу станков и во всяких вспомогательных строительных работах. Узкие места, как, например, изготовление штампов, умышленно не уничтожались.</w:t>
      </w:r>
    </w:p>
    <w:p w14:paraId="5479E927"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Я забыл упомянуть, что по указанию Кутского и Белоножкина следовало особенно задержать изготовление запасных частей, как главной базы эксплоатации трактора. Эта мера на заводе усиленно проводилась Саблиным и Ивановым. С моей же стороны через директоров заводов Трахтенберга и Вейса задерживалось развитие производства запасных частей на заводах им. Энгельса и К. Маркса. На заводе им. К. Либнехта в этом направлении работал Каргополов, который сам контрактировался с Путиловским заводом».</w:t>
      </w:r>
    </w:p>
    <w:p w14:paraId="63F27281"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Теперь же оказалось, что в этом году будет произведено 12 тыс. тракторов вместо запроектированных вредителями 3.000 тракторов в 1932— 33 г. Вот, как они околпачивали нашего брата. Послушаем дальше того же Стыриковича: «Чтобы провести вредительские мероприятия, мною и директорами заводов приводилась при каждом отдельном случае достаточная аргументация, могущая их убедить. Так, при разрушении военных мастерских указывалось, что вряд ли возможно развитие военного производства в пограничном городе и поэтому мастерская и оборудование будут стоять бесполезно, и их надо использовать для того или иного гражданского производства. При наборе многих типов машин (К. Маркс и Свердлов) указывалось, что большее количество изготовляемых типов дает гибкость заводу в отношении рынка. При ликвидации паровозостроения на “Красном Путиловце” — отдаленность Ленинграда от источников сырья и топлива и проч.».</w:t>
      </w:r>
    </w:p>
    <w:p w14:paraId="671FA9EF"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Таким образом, то одно говорили, то другое, то третье, а наш брат хлопал ушами и повторял то же самое. Ловко, нечего сказать. А вот как вредитель Стрижев отзывается о работе наших коммунистов: коммунисты-хозяйственники в большинстве случаев не умели работать и лишь учились работать, они недостаточно глубоко входили в дела и не все видели и знали, что нужно было знать. Прочитайте им все показания арестованных нефтяников, где развернута картина вредительства, и спросите: «как это могло быть, чтобы у них под носом, при их повседневной работе, все это произошло?» Вот где издевательство над нашим братом!</w:t>
      </w:r>
    </w:p>
    <w:p w14:paraId="44C72551"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Дальше он продолжает:</w:t>
      </w:r>
    </w:p>
    <w:p w14:paraId="26EF790E"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«После этого станет ясно, что они должны были глубже вникать в дело и ближе знакомиться с беспартийными инженерами. Отчуждение между коммунистами и беспартийными за последние годы было слишком велико. Коммунисты сидели в своих кабинетах, куда по разным вопросам вызывали инженеров и с ними говорили. Но они не ходили по другим комнатам своего учреждения, не знали второстепенных служащих, не имеющих у них доклада, и не видели, в каких условиях и как работают сотрудники данного учреждения. Я, когда был старшим директором нефтяной промышленности ВСНХ, не сидел все время в своем кабинете, а много раз ходил по комнатам своего директората, видел всех, кто что делает, нажимал на работу и знал, на что годен каждый сотрудник, а мой начальник в моем кабинете и в других комнатах директората за 9 лет ни разу не был. Когда до революции я был управляющим нефтяными промыслами, я каждый день ходил по промыслам и работал в конторе; я знал каждого рабочего и каждого служащего, видел работу и годных людей продвигал вперед по службе. Нынешние управляющие групп промыслов так глубоко в дела не входят. Их окружала бумажная волокита, бюрократизм и миллион заседаний, им некогда заниматься делом».</w:t>
      </w:r>
    </w:p>
    <w:p w14:paraId="4C03E5C0"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Конечно, далеко не все наши хозяйственники таковы, какими их рисует Стрижев. Ведь все-таки факт остается фактом, что, несмотря на вредительство Стрижевых, развитие нашего народного хозяйства идет вперед невиданными истории темпами. Но в то же время мы были бы слепцами и глупцами, если бы мы не вчитывались в эти слова классового врага, который так беспощадно, так откровенно критикует нас. Мы очень часто доверяем бумаге: подмахнул бумагу и считает, что все сделано.</w:t>
      </w:r>
    </w:p>
    <w:p w14:paraId="4C91E485"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И, наконец, показание Ларичева, бывшего работника Госплана, которому оказывалось безграничное доверие. Он показывает: «С планом и отчетами с мест приезжали главным образом члены вредительской организации (Бояршинов, Рубанович и др.). Перед официальными совещаниями они обыкновенно приходили в ВСНХ и Госплан, где с Назимовым и Скорутой (ВСНХ) и со мной, Рабиновичем и Федоровичем (в Госплане), в зависимости от вопросов, согласовывались отдельные элементы и устанавливались вредительские директивы по составлению планов и затушевыванию вредительской работы по отчету».</w:t>
      </w:r>
    </w:p>
    <w:p w14:paraId="13F8A021"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Вот тебе и на! Они приезжали, собирались преспокойно, подрабатывали все вопросы и проводили их так, как им этого хотелось</w:t>
      </w:r>
    </w:p>
    <w:p w14:paraId="4423D559" w14:textId="77777777" w:rsidR="00124637" w:rsidRPr="00507A31" w:rsidRDefault="00124637" w:rsidP="00507A31">
      <w:pPr>
        <w:pStyle w:val="rtejustify"/>
        <w:spacing w:before="0" w:after="0"/>
        <w:rPr>
          <w:color w:val="000000" w:themeColor="text1"/>
          <w:sz w:val="16"/>
          <w:szCs w:val="16"/>
        </w:rPr>
      </w:pPr>
      <w:r w:rsidRPr="00507A31">
        <w:rPr>
          <w:color w:val="000000" w:themeColor="text1"/>
          <w:sz w:val="16"/>
          <w:szCs w:val="16"/>
        </w:rPr>
        <w:t>О чем это говорит? Это говорит о том, что ты, коммунист, смотри, как следует, за делом и слепо не доверяй никому, вникай в дело по существу и изучай его со всей тщательностью.</w:t>
      </w:r>
    </w:p>
    <w:p w14:paraId="2DBC9C7D" w14:textId="77777777" w:rsidR="00124637" w:rsidRPr="00507A31" w:rsidRDefault="00124637" w:rsidP="00507A31">
      <w:pPr>
        <w:pStyle w:val="ae"/>
        <w:spacing w:before="0" w:after="0"/>
        <w:jc w:val="both"/>
        <w:rPr>
          <w:color w:val="000000" w:themeColor="text1"/>
          <w:sz w:val="16"/>
          <w:szCs w:val="16"/>
        </w:rPr>
      </w:pPr>
      <w:r w:rsidRPr="00507A31">
        <w:rPr>
          <w:rStyle w:val="af0"/>
          <w:i w:val="0"/>
          <w:color w:val="000000" w:themeColor="text1"/>
          <w:sz w:val="16"/>
          <w:szCs w:val="16"/>
        </w:rPr>
        <w:t>Опубликовано: газ. «Правда». 1930. 5 июля (19048).</w:t>
      </w:r>
    </w:p>
    <w:p w14:paraId="37CC2321" w14:textId="77777777" w:rsidR="00124637" w:rsidRPr="00507A31" w:rsidRDefault="00124637" w:rsidP="00507A31">
      <w:pPr>
        <w:jc w:val="both"/>
        <w:rPr>
          <w:color w:val="000000" w:themeColor="text1"/>
          <w:sz w:val="16"/>
          <w:szCs w:val="16"/>
        </w:rPr>
      </w:pPr>
    </w:p>
    <w:p w14:paraId="2D6C79E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58DC014" w14:textId="77777777" w:rsidR="00537E5F" w:rsidRPr="00507A31" w:rsidRDefault="00537E5F" w:rsidP="00507A31">
      <w:pPr>
        <w:autoSpaceDE w:val="0"/>
        <w:autoSpaceDN w:val="0"/>
        <w:adjustRightInd w:val="0"/>
        <w:jc w:val="both"/>
        <w:rPr>
          <w:iCs/>
          <w:color w:val="000000" w:themeColor="text1"/>
          <w:sz w:val="16"/>
          <w:szCs w:val="16"/>
        </w:rPr>
      </w:pPr>
    </w:p>
    <w:p w14:paraId="1A0E9057" w14:textId="77777777" w:rsidR="00695503" w:rsidRPr="00507A31" w:rsidRDefault="00695503" w:rsidP="00507A31">
      <w:pPr>
        <w:jc w:val="both"/>
        <w:rPr>
          <w:color w:val="000000" w:themeColor="text1"/>
          <w:sz w:val="16"/>
          <w:szCs w:val="16"/>
        </w:rPr>
      </w:pPr>
      <w:r w:rsidRPr="00507A31">
        <w:rPr>
          <w:bCs/>
          <w:color w:val="000000" w:themeColor="text1"/>
          <w:sz w:val="16"/>
          <w:szCs w:val="16"/>
        </w:rPr>
        <w:t>4 июля</w:t>
      </w:r>
      <w:r w:rsidRPr="00507A31">
        <w:rPr>
          <w:color w:val="000000" w:themeColor="text1"/>
          <w:sz w:val="16"/>
          <w:szCs w:val="16"/>
        </w:rPr>
        <w:t xml:space="preserve"> в 1930 году впервые поднялся в воздух четвертый прототип </w:t>
      </w:r>
      <w:hyperlink r:id="rId117" w:tgtFrame="_blank" w:history="1">
        <w:r w:rsidRPr="00507A31">
          <w:rPr>
            <w:color w:val="000000" w:themeColor="text1"/>
            <w:sz w:val="16"/>
            <w:szCs w:val="16"/>
          </w:rPr>
          <w:t xml:space="preserve">«S.91/4» </w:t>
        </w:r>
      </w:hyperlink>
      <w:r w:rsidRPr="00507A31">
        <w:rPr>
          <w:color w:val="000000" w:themeColor="text1"/>
          <w:sz w:val="16"/>
          <w:szCs w:val="16"/>
        </w:rPr>
        <w:t>французского истребителя «SPAD» «S.91» с двигателем «Hispano-Suiza» «12Mb» мощностью 500 л.с. (373 кВт) (14942).</w:t>
      </w:r>
    </w:p>
    <w:p w14:paraId="3BC4219D" w14:textId="77777777" w:rsidR="00695503" w:rsidRPr="00507A31" w:rsidRDefault="00695503" w:rsidP="00507A31">
      <w:pPr>
        <w:jc w:val="both"/>
        <w:rPr>
          <w:color w:val="000000" w:themeColor="text1"/>
          <w:sz w:val="16"/>
          <w:szCs w:val="16"/>
        </w:rPr>
      </w:pPr>
    </w:p>
    <w:p w14:paraId="6E4A4C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июля 1930 был переворот П.Свинсхувуда в Финляндии (2443,405).</w:t>
      </w:r>
    </w:p>
    <w:p w14:paraId="3373A968" w14:textId="77777777" w:rsidR="00537E5F" w:rsidRPr="00507A31" w:rsidRDefault="00537E5F" w:rsidP="00507A31">
      <w:pPr>
        <w:autoSpaceDE w:val="0"/>
        <w:autoSpaceDN w:val="0"/>
        <w:adjustRightInd w:val="0"/>
        <w:jc w:val="both"/>
        <w:rPr>
          <w:color w:val="000000" w:themeColor="text1"/>
          <w:sz w:val="16"/>
          <w:szCs w:val="16"/>
        </w:rPr>
      </w:pPr>
    </w:p>
    <w:p w14:paraId="7736BCA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 июля 1930 в Финляндии произошел правый переворот, приведший к власти режим П. Свинхувуда, парламент распущен, все левые депутаты арестованы (4962).</w:t>
      </w:r>
    </w:p>
    <w:p w14:paraId="09EFD2D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07783D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40A1991" w14:textId="77777777" w:rsidR="00537E5F" w:rsidRPr="00507A31" w:rsidRDefault="00537E5F" w:rsidP="00507A31">
      <w:pPr>
        <w:autoSpaceDE w:val="0"/>
        <w:autoSpaceDN w:val="0"/>
        <w:adjustRightInd w:val="0"/>
        <w:jc w:val="both"/>
        <w:rPr>
          <w:iCs/>
          <w:color w:val="000000" w:themeColor="text1"/>
          <w:sz w:val="16"/>
          <w:szCs w:val="16"/>
        </w:rPr>
      </w:pPr>
    </w:p>
    <w:p w14:paraId="62837B3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 июля 1930 года АГОС представил в НТК эскизный проект и несколько вариантов аэродинамических расчетов ТШ-1 (6925).</w:t>
      </w:r>
    </w:p>
    <w:p w14:paraId="691A8E8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ADB791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 июля 1930 года командир 51-ой эскадрильи (Воронеж) направил:</w:t>
      </w:r>
    </w:p>
    <w:p w14:paraId="10C10DD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Технические и эксплуатационные испытания самолета ТБ-1 № 602</w:t>
      </w:r>
    </w:p>
    <w:p w14:paraId="593DE56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До прибытия в эскадрилью самолет ТБ-1 № 602 совершил в НИИ с 14 августа по 20 сентября 1929 года 40 полетов, общей продолжительностью 31 час 38 минут. В эскадрильи с 20 ноября 1929 года по 31 марта 1930 года самолет совершил 78 полетов продолжительностью 20 часов 07 минут. Общий налет самолета до начала войсковых испытательных полетов: 118 полетов продолжительностью 51 час 45 минут (6842).</w:t>
      </w:r>
    </w:p>
    <w:p w14:paraId="36975007"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5E5F6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июля 1930 состоялось техническое совещание руководителей групп отдела АГОС, на котором В.М.П. сообщил, что все чертежи по крылу АНТ-10 сданы (1077,161), а П.О.С. сообщил, что все чертежи И-8 (АНТ-13) сданы и опять хотел назначение макетной комиссии (1102).</w:t>
      </w:r>
    </w:p>
    <w:p w14:paraId="42355EC2" w14:textId="77777777" w:rsidR="00537E5F" w:rsidRPr="00507A31" w:rsidRDefault="00537E5F" w:rsidP="00507A31">
      <w:pPr>
        <w:autoSpaceDE w:val="0"/>
        <w:autoSpaceDN w:val="0"/>
        <w:adjustRightInd w:val="0"/>
        <w:jc w:val="both"/>
        <w:rPr>
          <w:color w:val="000000" w:themeColor="text1"/>
          <w:sz w:val="16"/>
          <w:szCs w:val="16"/>
        </w:rPr>
      </w:pPr>
    </w:p>
    <w:p w14:paraId="148101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5 июля 1930 завод № 1 предъявил НИИ ВВС первые три самолета спецзаказа (для перелета в Анкару), четвертый же обещали только через месяц.</w:t>
      </w:r>
    </w:p>
    <w:p w14:paraId="341EDC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Практически сразу после принятия Р-5 на вооружение началась подготовка к осуществлению перелета в Турцию, Афганистан и Иран с целью продемонстрировать новинку там. Финансирование брат на себя Осоавиахим. Для перелета выбрали маршрут Москва - Кача - Ангора (Анкара) - Тифлис (Тбилиси) - Тегеран - Термез - Кабул - Термез - Ташкент - Оренбург - Москва.</w:t>
      </w:r>
    </w:p>
    <w:p w14:paraId="1EF740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УВВС П.И. Баранов предлагал более амбициозный проект: слетать в Италию эскадрильей Р-5. Но набрать эскадрилью новеньких самолетов (а хотели показать именно новые) можно было не ранее октября-ноября. Решили, что "синица в руке" лучше.</w:t>
      </w:r>
    </w:p>
    <w:p w14:paraId="0E6611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Заводу №1 дали срочное задание подготовить пять машин. Но оказалось, что можно использовать только четыре последних самолета 1-й серии, так как 2-я задерживалась. Два биплана были уже готовы, а два заканчивали. УВВС отдало распоряжение их никуда не отправлять. Эти Р-5 стали дорабатывать. От прочих они отличались отсутствием вооружения, дополнительными масло- и бензобаками, увеличивающими продолжительность полета до 10 ч, измененным комплектом приборов и увеличенными водяными радиаторами. На самолеты нанесли вместо красных звезд фиктивные гражданские обозначения, так как в письмах, отправленных правительствам соответствующих стран, они фигурировали как "почтово-пассажирские".</w:t>
      </w:r>
    </w:p>
    <w:p w14:paraId="7CB4B8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Далее почти два месяца эти три машины доводили "до ума", выявляя течи бензобаков, "врущие" приборы, дефекты агрегатов. Дважды сменили моторы, подбирая наиболее мощные. Перелет собирались начать 15 августа, но лишь через десять дней получили сообщение, что Р-5 "в основном готовы".</w:t>
      </w:r>
    </w:p>
    <w:p w14:paraId="3C1455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Экипажи первоначально хотели целиком взять из 20-й бригады, где проводили войсковые испытания, но потом список изменили. В результате летчиками трех Р-5 стали Ф.А. Ингаунис (начальник ВВС Украинского военного округа). Ф.С. Широкий (командир отряда 24-й эскадрильи) и Я.А. Шестель (командир звена из 20-й эскадрильи). В перелете также участвовали штурман И.Т. Спирин (из НИИ ВВС), инженер 58-й эскадрильи А.И. Мезинов и известный журналист М.Е. Кольцов. Ради последнего выкинули помполита 20-й бригады Закса. Из-за Кольцова, возвращавшегося из отпуска с юга, даже отложили вылет. Затем помешали туман и дождь.</w:t>
      </w:r>
    </w:p>
    <w:p w14:paraId="7312FF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этого момента расписанный на бумаге график рухнул в "тартарары". Вылет состоялся только 4 сентября. В тот же день самолеты сели в Каче. Заправившись, полетели в Турцию, но вернулись - показалось, что на одной машине сбоит мотор. На вторую заправку в Каче готовой бензин- бензольной смеси не нашлось; пришлось ждать специалиста, который ее приготовил. Баллоны для запуска двигателей пневмостартерами прислали из Москвы заблаговременно, но переходники оказались другого размера. Моторы раскручивали вручную.</w:t>
      </w:r>
    </w:p>
    <w:p w14:paraId="3AD704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 Анкаре сотрудники советского посольства дважды собирали местных чиновников на торжественную встречу. Не дождавшись самолетов, на закате все разъезжались, а в посольстве остывали блюда роскошного банкета. Позже наркомат иностранных дел потребовал у военных "самого строгого расследования", мотивируя это дискредитацией советской власти.</w:t>
      </w:r>
    </w:p>
    <w:p w14:paraId="65D1C3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Анкару в конце концов прилетели. Там летчиков задержал посол Суриц - 7 сентября туркам показали пилотаж и возили сановных пассажиров. В результате опоздали в Тифлис. Там заночевали, боясь лететь через горы ночью. Соответственно не вовремя прибыли и в Тегеран, где повторилась история с ожиданием прилета. Из Тегерана - в Термез, оттуда - в Кабул, но с полдороги летчики вернулись из-за неисправности мотора на одном Р-5. На следующий день в Кабул все-таки прилетели.</w:t>
      </w:r>
    </w:p>
    <w:p w14:paraId="3B3A9A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результате перелет занял значительно больше времени, чем намечалось. В Москву вернулись 18 сентября.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5246F1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Всех участников перелета наградили орденами "Красная звезда" (12034). </w:t>
      </w:r>
    </w:p>
    <w:p w14:paraId="06A9C2C4" w14:textId="77777777" w:rsidR="00537E5F" w:rsidRPr="00507A31" w:rsidRDefault="00537E5F" w:rsidP="00507A31">
      <w:pPr>
        <w:autoSpaceDE w:val="0"/>
        <w:autoSpaceDN w:val="0"/>
        <w:adjustRightInd w:val="0"/>
        <w:jc w:val="both"/>
        <w:rPr>
          <w:color w:val="000000" w:themeColor="text1"/>
          <w:sz w:val="16"/>
          <w:szCs w:val="16"/>
        </w:rPr>
      </w:pPr>
    </w:p>
    <w:p w14:paraId="39A1819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3F55407" w14:textId="77777777" w:rsidR="00537E5F" w:rsidRPr="00507A31" w:rsidRDefault="00537E5F" w:rsidP="00507A31">
      <w:pPr>
        <w:autoSpaceDE w:val="0"/>
        <w:autoSpaceDN w:val="0"/>
        <w:adjustRightInd w:val="0"/>
        <w:jc w:val="both"/>
        <w:rPr>
          <w:iCs/>
          <w:color w:val="000000" w:themeColor="text1"/>
          <w:sz w:val="16"/>
          <w:szCs w:val="16"/>
        </w:rPr>
      </w:pPr>
    </w:p>
    <w:p w14:paraId="75A53F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июля 1930,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5F888C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до 70 - 75°. Правда, при этом начинались небольшие вибрации концов крыла, но они оказались неопасными. Взлет был так же прост, как и посадка. При переходе с Р-1 на ТБ-1 летчику лишь требовалось привыкнуть к штурвальной колонке. Бомбардировщик успешно эксплуатировался на неровных площадках.</w:t>
      </w:r>
    </w:p>
    <w:p w14:paraId="1495A8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то, что слева, правый - что справа. Поэтому по аэродрому рулили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правый.</w:t>
      </w:r>
    </w:p>
    <w:p w14:paraId="4C604B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Кабины были тесноваты для работы в зимнем обмундировании, в которое входили меховая шуба, рукавицы и валенки. И вообще, в открытых кабинах в холодную погоду было очень неуютно. В мороз приходилось надевать на лицо шерстяную маску, а кожу смазывать гусиным жиром (12001).</w:t>
      </w:r>
    </w:p>
    <w:p w14:paraId="254E0E61" w14:textId="77777777" w:rsidR="00537E5F" w:rsidRPr="00507A31" w:rsidRDefault="00537E5F" w:rsidP="00507A31">
      <w:pPr>
        <w:autoSpaceDE w:val="0"/>
        <w:autoSpaceDN w:val="0"/>
        <w:adjustRightInd w:val="0"/>
        <w:jc w:val="both"/>
        <w:rPr>
          <w:color w:val="000000" w:themeColor="text1"/>
          <w:sz w:val="16"/>
          <w:szCs w:val="16"/>
        </w:rPr>
      </w:pPr>
    </w:p>
    <w:p w14:paraId="3E8A71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июля 1930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602033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 до 70-75 градусов. Правда, при этом начинались небольшие вибрации концов крыла, но они оказались неопасными. Взлет был так же прост, как и посадка. При переходе с одномоторного Р-1 на ТБ-1 летчику только нужно было привыкнуть к штурвальной колонке, да еще с существенно большим ходом. Бомбардировщик успешно эксплуатировался на неровных площадках.</w:t>
      </w:r>
    </w:p>
    <w:p w14:paraId="4E6F1F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влево, правый - только вправо. Поэтому рулили по аэродрому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 правый.</w:t>
      </w:r>
    </w:p>
    <w:p w14:paraId="180FB3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Кабины были тесноваты для работы в зимнем обмундировании того времени, в которое входили меховая шуба, рукавицы и валенки. Вообще, в открытых кабинах в холодную погоду было очень нежарко. В мороз приходилось надевать на лицо шерстяную маску, а кожу смазывали гусиным жиром (12024).</w:t>
      </w:r>
    </w:p>
    <w:p w14:paraId="2D5E2F8B" w14:textId="77777777" w:rsidR="00537E5F" w:rsidRPr="00507A31" w:rsidRDefault="00537E5F" w:rsidP="00507A31">
      <w:pPr>
        <w:autoSpaceDE w:val="0"/>
        <w:autoSpaceDN w:val="0"/>
        <w:adjustRightInd w:val="0"/>
        <w:jc w:val="both"/>
        <w:rPr>
          <w:color w:val="000000" w:themeColor="text1"/>
          <w:sz w:val="16"/>
          <w:szCs w:val="16"/>
        </w:rPr>
      </w:pPr>
    </w:p>
    <w:p w14:paraId="1152C589" w14:textId="77777777" w:rsidR="00695503" w:rsidRPr="00507A31" w:rsidRDefault="00695503" w:rsidP="00507A31">
      <w:pPr>
        <w:jc w:val="both"/>
        <w:rPr>
          <w:color w:val="000000" w:themeColor="text1"/>
          <w:sz w:val="16"/>
          <w:szCs w:val="16"/>
        </w:rPr>
      </w:pPr>
      <w:r w:rsidRPr="00507A31">
        <w:rPr>
          <w:bCs/>
          <w:color w:val="000000" w:themeColor="text1"/>
          <w:sz w:val="16"/>
          <w:szCs w:val="16"/>
        </w:rPr>
        <w:t>6 июля</w:t>
      </w:r>
      <w:r w:rsidRPr="00507A31">
        <w:rPr>
          <w:color w:val="000000" w:themeColor="text1"/>
          <w:sz w:val="16"/>
          <w:szCs w:val="16"/>
        </w:rPr>
        <w:t xml:space="preserve"> в 1930 году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 (14944).</w:t>
      </w:r>
    </w:p>
    <w:p w14:paraId="2F70CAAC" w14:textId="77777777" w:rsidR="00695503" w:rsidRPr="00507A31" w:rsidRDefault="00695503" w:rsidP="00507A31">
      <w:pPr>
        <w:jc w:val="both"/>
        <w:rPr>
          <w:color w:val="000000" w:themeColor="text1"/>
          <w:sz w:val="16"/>
          <w:szCs w:val="16"/>
        </w:rPr>
      </w:pPr>
    </w:p>
    <w:p w14:paraId="151C01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июля 1930 г. начальник УВВС приказал к Новому году вооружить ДРП 20 самолетов Р-ЗМ5 и передать их 30-й эскадрилье. Возможно, таким способом хотели продлить жизнь устаревшим разведчикам.</w:t>
      </w:r>
    </w:p>
    <w:p w14:paraId="6E69BD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23 октября при стрельбе на земле машина опять получила сильные повреждения. Из НИИ ВВС сообщили в УВВС: "Самолет разрушен".</w:t>
      </w:r>
    </w:p>
    <w:p w14:paraId="699CDC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41C6BC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0038B2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1A17D10C" w14:textId="77777777" w:rsidR="00537E5F" w:rsidRPr="00507A31" w:rsidRDefault="00537E5F" w:rsidP="00507A31">
      <w:pPr>
        <w:autoSpaceDE w:val="0"/>
        <w:autoSpaceDN w:val="0"/>
        <w:adjustRightInd w:val="0"/>
        <w:jc w:val="both"/>
        <w:rPr>
          <w:color w:val="000000" w:themeColor="text1"/>
          <w:sz w:val="16"/>
          <w:szCs w:val="16"/>
        </w:rPr>
      </w:pPr>
    </w:p>
    <w:p w14:paraId="1EBB80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июля 1930 К-5, второй с двигателем Хорнет, который назвали "Сталин" и который вылетел 25 мая (июня?) 1930 после завершения заводских испытаний в перелет К-5 по маршруту Харьков-Киев-Винница-Зиновьевское-Кривой Рог-Днепропетровск-Сталино-Луганск-Краматорск-Харьков, из Днепропетровска повернули в Москву, чтобы прибыть к открытию XVI съезда ВКП(б). Пилот М.А.Снегирев, мех. Кегелевич + К.А.К. и пассажиры. К.А.К. выступил на съезде 8 июня (июля) и потом перелет был продолжен (70,163).</w:t>
      </w:r>
    </w:p>
    <w:p w14:paraId="1A396C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В.Савин писал о 6 июня, но это не совпадает со сроками съезда.</w:t>
      </w:r>
    </w:p>
    <w:p w14:paraId="27F22395" w14:textId="77777777" w:rsidR="00537E5F" w:rsidRPr="00507A31" w:rsidRDefault="00537E5F" w:rsidP="00507A31">
      <w:pPr>
        <w:autoSpaceDE w:val="0"/>
        <w:autoSpaceDN w:val="0"/>
        <w:adjustRightInd w:val="0"/>
        <w:jc w:val="both"/>
        <w:rPr>
          <w:iCs/>
          <w:color w:val="000000" w:themeColor="text1"/>
          <w:sz w:val="16"/>
          <w:szCs w:val="16"/>
        </w:rPr>
      </w:pPr>
    </w:p>
    <w:p w14:paraId="0F4BD9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июля 1930 г. по приказу ГУАП НКТП № 148с был организован Опытно-конструкторский отдел (ОКО) под руководством А.С. Назарова.</w:t>
      </w:r>
    </w:p>
    <w:p w14:paraId="6BD884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по модификациям М-11: М-11В, М-11Д, М-48, М-49, М-51. Осуществлялось внедрение в серию М-22. Создан мотор М-58. Созданы модификации двигателя М-85: М-86 (1936 г.), М-87 (1937 г.), М-88 (1939 г.), опытные М-89 (1940 г.), М-90 (1941 г.).</w:t>
      </w:r>
    </w:p>
    <w:p w14:paraId="6C4F7A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240с от 8/10.07.1938 г. КО усилен 20 конструкторами (из ЦИАМ и выпускниками).</w:t>
      </w:r>
    </w:p>
    <w:p w14:paraId="402544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Приказом НКАП от 10.1940 г. за неудовлетворительные результаты по доводке М-88 С.К. Туманский был снят с должности и лишен звания Гл. конструктор.</w:t>
      </w:r>
      <w:r w:rsidRPr="00507A31">
        <w:rPr>
          <w:color w:val="000000" w:themeColor="text1"/>
          <w:sz w:val="16"/>
          <w:szCs w:val="16"/>
          <w:vertAlign w:val="superscript"/>
        </w:rPr>
        <w:t>87</w:t>
      </w:r>
    </w:p>
    <w:p w14:paraId="70C5F0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1941 г. ОКБ эвакуировано в Омск вместе с заводом.</w:t>
      </w:r>
    </w:p>
    <w:p w14:paraId="74A0E6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освобождения Запорожья с конца 1943 г. большая часть коллектива вернулась туда, где затем было образовано новое ОКБ завода № 478 под руководством А. Г. Ивченко.</w:t>
      </w:r>
    </w:p>
    <w:p w14:paraId="5BAA76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 193с от 5.05.1945 г. работы по серии и модификациям М-88 переданы во вновь образованное ОКБ завода № 478.</w:t>
      </w:r>
    </w:p>
    <w:p w14:paraId="358780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(1930-36 г.)- А.С. Назаров (репрессирован), Владимиров, Филин,</w:t>
      </w:r>
      <w:r w:rsidRPr="00507A31">
        <w:rPr>
          <w:color w:val="000000" w:themeColor="text1"/>
          <w:sz w:val="16"/>
          <w:szCs w:val="16"/>
          <w:vertAlign w:val="superscript"/>
        </w:rPr>
        <w:t>53</w:t>
      </w:r>
      <w:r w:rsidRPr="00507A31">
        <w:rPr>
          <w:color w:val="000000" w:themeColor="text1"/>
          <w:sz w:val="16"/>
          <w:szCs w:val="16"/>
        </w:rPr>
        <w:t xml:space="preserve"> (1937-10Л940 г.)- С.К. Туманский (М-88) (снят), (10.1940-44 г.)- Е.В. Урмин. Зам. гл. конструктора (10.1940 г.-)- С.К. Туманский.</w:t>
      </w:r>
    </w:p>
    <w:p w14:paraId="2A66A1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сборочного цеха (07.1938 г.)- Шибаев.</w:t>
      </w:r>
    </w:p>
    <w:p w14:paraId="3E4148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отделов: Опытного (07.1938 г.)- Ворожбеев. Начальник испытательной станции (07.1938 г.)- Костржевский.</w:t>
      </w:r>
    </w:p>
    <w:p w14:paraId="6980C5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групп: механической (07.1938 г.)- Павлюченко.</w:t>
      </w:r>
    </w:p>
    <w:p w14:paraId="0C2CBE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Ведущие конструкторы: (1930-е-41 г.-)- А.И. Ивченко (М-89), (1942 г.)- В. Г. Федичев (М-90), (1942 г.)- И. Г. Лысак (М-95) (11982).</w:t>
      </w:r>
    </w:p>
    <w:p w14:paraId="2B949B2D" w14:textId="77777777" w:rsidR="00537E5F" w:rsidRPr="00507A31" w:rsidRDefault="00537E5F" w:rsidP="00507A31">
      <w:pPr>
        <w:autoSpaceDE w:val="0"/>
        <w:autoSpaceDN w:val="0"/>
        <w:adjustRightInd w:val="0"/>
        <w:jc w:val="both"/>
        <w:rPr>
          <w:color w:val="000000" w:themeColor="text1"/>
          <w:sz w:val="16"/>
          <w:szCs w:val="16"/>
        </w:rPr>
      </w:pPr>
    </w:p>
    <w:p w14:paraId="43002B18" w14:textId="77777777" w:rsidR="00D529FC" w:rsidRPr="00507A31" w:rsidRDefault="00D529FC"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881FFDF" w14:textId="77777777" w:rsidR="00D529FC" w:rsidRPr="00507A31" w:rsidRDefault="00D529FC" w:rsidP="00507A31">
      <w:pPr>
        <w:autoSpaceDE w:val="0"/>
        <w:autoSpaceDN w:val="0"/>
        <w:adjustRightInd w:val="0"/>
        <w:jc w:val="both"/>
        <w:rPr>
          <w:iCs/>
          <w:color w:val="000000" w:themeColor="text1"/>
          <w:sz w:val="16"/>
          <w:szCs w:val="16"/>
        </w:rPr>
      </w:pPr>
    </w:p>
    <w:p w14:paraId="2AF7D59E" w14:textId="77777777" w:rsidR="00D529FC" w:rsidRPr="00507A31" w:rsidRDefault="00D529FC" w:rsidP="00507A31">
      <w:pPr>
        <w:jc w:val="both"/>
        <w:rPr>
          <w:color w:val="0070C0"/>
          <w:sz w:val="16"/>
          <w:szCs w:val="16"/>
        </w:rPr>
      </w:pPr>
      <w:r w:rsidRPr="00507A31">
        <w:rPr>
          <w:color w:val="0070C0"/>
          <w:sz w:val="16"/>
          <w:szCs w:val="16"/>
        </w:rPr>
        <w:t>6 июля 1930 года ВАТО (Всесоюзное Объединение Автотракторной Промышленности) приняло решение о лицензионном производстве танкетки Carden-Loyd Mk.VI.</w:t>
      </w:r>
    </w:p>
    <w:p w14:paraId="00CAD06A" w14:textId="77777777" w:rsidR="00D529FC" w:rsidRPr="00507A31" w:rsidRDefault="00D529FC" w:rsidP="00507A31">
      <w:pPr>
        <w:jc w:val="both"/>
        <w:rPr>
          <w:color w:val="0070C0"/>
          <w:sz w:val="16"/>
          <w:szCs w:val="16"/>
        </w:rPr>
      </w:pPr>
      <w:r w:rsidRPr="00507A31">
        <w:rPr>
          <w:color w:val="0070C0"/>
          <w:sz w:val="16"/>
          <w:szCs w:val="16"/>
        </w:rPr>
        <w:t>Образованное в ноябре 1929 года УММ КА зря время не теряло. Комиссия Халепского удачно съездила за границу, где договорилось о закупке танкеток Carden-Loyd Mk.VI. Изначально целью Халепского была колесно-гусеничная танкетка, но таковые Carden-Loyd и Vickers уже не производили. Тем не менее, Carden-Loyd Mk.VI оказалась тем самым, что требовалось УММ КА. Комиссия договорилась.</w:t>
      </w:r>
    </w:p>
    <w:p w14:paraId="7FAA26F4" w14:textId="77777777" w:rsidR="00D529FC" w:rsidRPr="00507A31" w:rsidRDefault="00D529FC" w:rsidP="00507A31">
      <w:pPr>
        <w:jc w:val="both"/>
        <w:rPr>
          <w:color w:val="0070C0"/>
          <w:sz w:val="16"/>
          <w:szCs w:val="16"/>
        </w:rPr>
      </w:pPr>
      <w:r w:rsidRPr="00507A31">
        <w:rPr>
          <w:color w:val="0070C0"/>
          <w:sz w:val="16"/>
          <w:szCs w:val="16"/>
        </w:rPr>
        <w:t xml:space="preserve">Изначально танкетку именовали как К-6, а позже доработанная версия стала известна как Т-27. Организовать производство К-6 предполагалось на 2-м заводе ВАТО, позже известном как Завод №37 (22482). </w:t>
      </w:r>
    </w:p>
    <w:p w14:paraId="3DA5648A" w14:textId="77777777" w:rsidR="00D529FC" w:rsidRPr="00507A31" w:rsidRDefault="00D529FC" w:rsidP="00507A31">
      <w:pPr>
        <w:jc w:val="both"/>
        <w:rPr>
          <w:color w:val="0070C0"/>
          <w:sz w:val="16"/>
          <w:szCs w:val="16"/>
        </w:rPr>
      </w:pPr>
    </w:p>
    <w:p w14:paraId="0D0ED7EE" w14:textId="77777777" w:rsidR="00D529FC" w:rsidRPr="00507A31" w:rsidRDefault="00D529FC" w:rsidP="00507A31">
      <w:pPr>
        <w:jc w:val="both"/>
        <w:rPr>
          <w:color w:val="0070C0"/>
          <w:sz w:val="16"/>
          <w:szCs w:val="16"/>
        </w:rPr>
      </w:pPr>
      <w:r w:rsidRPr="00507A31">
        <w:rPr>
          <w:color w:val="0070C0"/>
          <w:sz w:val="16"/>
          <w:szCs w:val="16"/>
          <w:shd w:val="clear" w:color="auto" w:fill="FFFFFF"/>
        </w:rPr>
        <w:t>6 июля 1930 года ВАТО (Всесоюзное Объединение Автотракторной Промышленности) приняло решение об организации выпуска танкеток К-27. Так именовались английские танкетки Carden-Loyd Mk.VI. После доработки (установка более мощного мотора и увеличения числа опорных катков до 6) танкетку приняли на вооружение Красной Армии как Т-27. Случилось это 13 февраля 1931 года (22724). </w:t>
      </w:r>
    </w:p>
    <w:p w14:paraId="0D7E781E" w14:textId="77777777" w:rsidR="00D529FC" w:rsidRPr="00507A31" w:rsidRDefault="00D529FC" w:rsidP="00507A31">
      <w:pPr>
        <w:jc w:val="both"/>
        <w:rPr>
          <w:color w:val="0070C0"/>
          <w:sz w:val="16"/>
          <w:szCs w:val="16"/>
        </w:rPr>
      </w:pPr>
    </w:p>
    <w:p w14:paraId="7F11D80C" w14:textId="77777777" w:rsidR="00695503"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Авиапромышленность:</w:t>
      </w:r>
    </w:p>
    <w:p w14:paraId="6A9A483B" w14:textId="77777777" w:rsidR="00695503" w:rsidRPr="00507A31" w:rsidRDefault="00695503" w:rsidP="00507A31">
      <w:pPr>
        <w:autoSpaceDE w:val="0"/>
        <w:autoSpaceDN w:val="0"/>
        <w:adjustRightInd w:val="0"/>
        <w:jc w:val="both"/>
        <w:rPr>
          <w:iCs/>
          <w:color w:val="000000" w:themeColor="text1"/>
          <w:sz w:val="16"/>
          <w:szCs w:val="16"/>
        </w:rPr>
      </w:pPr>
    </w:p>
    <w:p w14:paraId="3BD1F3A6" w14:textId="77777777" w:rsidR="00695503" w:rsidRPr="00507A31" w:rsidRDefault="00695503" w:rsidP="00507A31">
      <w:pPr>
        <w:jc w:val="both"/>
        <w:rPr>
          <w:color w:val="000000" w:themeColor="text1"/>
          <w:sz w:val="16"/>
          <w:szCs w:val="16"/>
        </w:rPr>
      </w:pPr>
      <w:r w:rsidRPr="00507A31">
        <w:rPr>
          <w:color w:val="000000" w:themeColor="text1"/>
          <w:sz w:val="16"/>
          <w:szCs w:val="16"/>
        </w:rPr>
        <w:t>В начале июля 1930 г. Л.В. Курчевский представил в УВВС свои предложения по ис</w:t>
      </w:r>
      <w:r w:rsidRPr="00507A31">
        <w:rPr>
          <w:color w:val="000000" w:themeColor="text1"/>
          <w:sz w:val="16"/>
          <w:szCs w:val="16"/>
        </w:rPr>
        <w:softHyphen/>
        <w:t>пользованию авиационных ДРП: «Артиллерия ДРП является новым видом вооружения. Для авиации особенности пушек ДРП, малый вес и отсутствие отката, (здесь и далее подчеркнуто в док) особенно ценны. В настоящее время, у нас, можно смело сказать, обычная артиллерия, за исключением самых малых калибров, как 37 мм, на самолётах установлена быть не может.</w:t>
      </w:r>
    </w:p>
    <w:p w14:paraId="007CF695" w14:textId="77777777" w:rsidR="00695503" w:rsidRPr="00507A31" w:rsidRDefault="00695503" w:rsidP="00507A31">
      <w:pPr>
        <w:tabs>
          <w:tab w:val="left" w:pos="428"/>
        </w:tabs>
        <w:jc w:val="both"/>
        <w:rPr>
          <w:color w:val="000000" w:themeColor="text1"/>
          <w:sz w:val="16"/>
          <w:szCs w:val="16"/>
        </w:rPr>
      </w:pPr>
      <w:r w:rsidRPr="00507A31">
        <w:rPr>
          <w:color w:val="000000" w:themeColor="text1"/>
          <w:sz w:val="16"/>
          <w:szCs w:val="16"/>
        </w:rPr>
        <w:t>1. Для наилучшего использования всех преимуществ, даваемых пушками средних и больших калибров, как оружия наступательного, необходимо спроектировать и постро</w:t>
      </w:r>
      <w:r w:rsidRPr="00507A31">
        <w:rPr>
          <w:color w:val="000000" w:themeColor="text1"/>
          <w:sz w:val="16"/>
          <w:szCs w:val="16"/>
        </w:rPr>
        <w:softHyphen/>
        <w:t>ить специальный самолёт для борьбы с авиацией противника, предусмотрев заранее установку на нём 2-х пушек 76,2 мм или одной 100-150 мм. Машина должна быть ис</w:t>
      </w:r>
      <w:r w:rsidRPr="00507A31">
        <w:rPr>
          <w:color w:val="000000" w:themeColor="text1"/>
          <w:sz w:val="16"/>
          <w:szCs w:val="16"/>
        </w:rPr>
        <w:softHyphen/>
        <w:t>требителем самолёта противника, летающей пушкой. В таком истребителе всё должно быть направлено для получения наибольшей скорости, маневренности, мощности и дальности огня. Необходимо отказаться от всякого универсализма, бомб, рации, фото, десятков пулемётов и т.п.</w:t>
      </w:r>
    </w:p>
    <w:p w14:paraId="550C6C59" w14:textId="77777777" w:rsidR="00695503" w:rsidRPr="00507A31" w:rsidRDefault="00695503" w:rsidP="00507A31">
      <w:pPr>
        <w:tabs>
          <w:tab w:val="left" w:pos="423"/>
        </w:tabs>
        <w:jc w:val="both"/>
        <w:rPr>
          <w:color w:val="000000" w:themeColor="text1"/>
          <w:sz w:val="16"/>
          <w:szCs w:val="16"/>
        </w:rPr>
      </w:pPr>
      <w:r w:rsidRPr="00507A31">
        <w:rPr>
          <w:color w:val="000000" w:themeColor="text1"/>
          <w:sz w:val="16"/>
          <w:szCs w:val="16"/>
        </w:rPr>
        <w:t>2. Предлагающаяся установка на ТШ (тяжёлый штурмовик), за счёт перегрузки, одной пушки 3 дм калибра не рациональна и никаких выгод не даст, излишне обременив и без того перегруженный до отказа самолёт. Значительные выгоды, даваемые пушкой, уста</w:t>
      </w:r>
      <w:r w:rsidRPr="00507A31">
        <w:rPr>
          <w:color w:val="000000" w:themeColor="text1"/>
          <w:sz w:val="16"/>
          <w:szCs w:val="16"/>
        </w:rPr>
        <w:softHyphen/>
        <w:t>новленной вертикально, для стрельбы по наземным и главным образом живым целям, как замена «бреющих» полётов, можно использовать и без постройки специальных машин, взяв для этой цели ТБ или Р-6. Орудие такого рода изготовлено и в самом непро</w:t>
      </w:r>
      <w:r w:rsidRPr="00507A31">
        <w:rPr>
          <w:color w:val="000000" w:themeColor="text1"/>
          <w:sz w:val="16"/>
          <w:szCs w:val="16"/>
        </w:rPr>
        <w:softHyphen/>
        <w:t>должительном времени может быть испытано. Следует запросить 3-ю Секцию НТК ВВС, каково её заключение по поводу исследования меткости стрельбы с самолёта по на</w:t>
      </w:r>
      <w:r w:rsidRPr="00507A31">
        <w:rPr>
          <w:color w:val="000000" w:themeColor="text1"/>
          <w:sz w:val="16"/>
          <w:szCs w:val="16"/>
        </w:rPr>
        <w:softHyphen/>
        <w:t>земным целям, сравнительно с обычным бомбометанием.</w:t>
      </w:r>
    </w:p>
    <w:p w14:paraId="58A57157" w14:textId="77777777" w:rsidR="00695503" w:rsidRPr="00507A31" w:rsidRDefault="00695503" w:rsidP="00507A31">
      <w:pPr>
        <w:jc w:val="both"/>
        <w:rPr>
          <w:color w:val="000000" w:themeColor="text1"/>
          <w:sz w:val="16"/>
          <w:szCs w:val="16"/>
        </w:rPr>
      </w:pPr>
      <w:r w:rsidRPr="00507A31">
        <w:rPr>
          <w:color w:val="000000" w:themeColor="text1"/>
          <w:sz w:val="16"/>
          <w:szCs w:val="16"/>
        </w:rPr>
        <w:t>Примечание: По последней стрельбе пушка 3-дм калибра, предназначенная к установ</w:t>
      </w:r>
      <w:r w:rsidRPr="00507A31">
        <w:rPr>
          <w:color w:val="000000" w:themeColor="text1"/>
          <w:sz w:val="16"/>
          <w:szCs w:val="16"/>
        </w:rPr>
        <w:softHyphen/>
        <w:t>ке на Р-3, при весе 40 кг, дала дальность 6 км». Через неделю в НТК ВВС поступило ука</w:t>
      </w:r>
      <w:r w:rsidRPr="00507A31">
        <w:rPr>
          <w:color w:val="000000" w:themeColor="text1"/>
          <w:sz w:val="16"/>
          <w:szCs w:val="16"/>
        </w:rPr>
        <w:softHyphen/>
        <w:t>зание: «...Необходимо поставить задание ЦАГИ на проработку проекта одноместного металлического истребителя, вооружённого пушкой ДРП.</w:t>
      </w:r>
    </w:p>
    <w:p w14:paraId="5DFA0832" w14:textId="77777777" w:rsidR="00695503" w:rsidRPr="00507A31" w:rsidRDefault="00695503" w:rsidP="00507A31">
      <w:pPr>
        <w:jc w:val="both"/>
        <w:rPr>
          <w:color w:val="000000" w:themeColor="text1"/>
          <w:sz w:val="16"/>
          <w:szCs w:val="16"/>
        </w:rPr>
      </w:pPr>
      <w:r w:rsidRPr="00507A31">
        <w:rPr>
          <w:color w:val="000000" w:themeColor="text1"/>
          <w:sz w:val="16"/>
          <w:szCs w:val="16"/>
        </w:rPr>
        <w:t>Этот самолет д.б. [должен быть] поставлен в план опытного строительства с по</w:t>
      </w:r>
      <w:r w:rsidRPr="00507A31">
        <w:rPr>
          <w:color w:val="000000" w:themeColor="text1"/>
          <w:sz w:val="16"/>
          <w:szCs w:val="16"/>
        </w:rPr>
        <w:softHyphen/>
        <w:t>стройкой его в первую очередь, даже может быть за счёт штурмового самолёта.</w:t>
      </w:r>
    </w:p>
    <w:p w14:paraId="5C194E17" w14:textId="77777777" w:rsidR="00695503" w:rsidRPr="00507A31" w:rsidRDefault="00695503" w:rsidP="00507A31">
      <w:pPr>
        <w:jc w:val="both"/>
        <w:rPr>
          <w:color w:val="000000" w:themeColor="text1"/>
          <w:sz w:val="16"/>
          <w:szCs w:val="16"/>
        </w:rPr>
      </w:pPr>
      <w:r w:rsidRPr="00507A31">
        <w:rPr>
          <w:color w:val="000000" w:themeColor="text1"/>
          <w:sz w:val="16"/>
          <w:szCs w:val="16"/>
        </w:rPr>
        <w:t>Ввиду того, что автор пушки ДРП т. Курчевский ещё не имеет окончательно разработан</w:t>
      </w:r>
      <w:r w:rsidRPr="00507A31">
        <w:rPr>
          <w:color w:val="000000" w:themeColor="text1"/>
          <w:sz w:val="16"/>
          <w:szCs w:val="16"/>
        </w:rPr>
        <w:softHyphen/>
        <w:t>ного типа орудия, то надлежит его связать непосредственно с т. Туполевым, для совме</w:t>
      </w:r>
      <w:r w:rsidRPr="00507A31">
        <w:rPr>
          <w:color w:val="000000" w:themeColor="text1"/>
          <w:sz w:val="16"/>
          <w:szCs w:val="16"/>
        </w:rPr>
        <w:softHyphen/>
        <w:t>стной увязки и разработки, как вопроса установки пушки, так и места её расположения.</w:t>
      </w:r>
    </w:p>
    <w:p w14:paraId="51D59FB9" w14:textId="77777777" w:rsidR="00695503" w:rsidRPr="00507A31" w:rsidRDefault="00695503" w:rsidP="00507A31">
      <w:pPr>
        <w:jc w:val="both"/>
        <w:rPr>
          <w:color w:val="000000" w:themeColor="text1"/>
          <w:sz w:val="16"/>
          <w:szCs w:val="16"/>
        </w:rPr>
      </w:pPr>
      <w:r w:rsidRPr="00507A31">
        <w:rPr>
          <w:color w:val="000000" w:themeColor="text1"/>
          <w:sz w:val="16"/>
          <w:szCs w:val="16"/>
        </w:rPr>
        <w:t>Тактико-технические требования на самолёт истребитель необходимо разработать срочно каждой секции по принадлежности. В дальнейшем для многоместных истреби</w:t>
      </w:r>
      <w:r w:rsidRPr="00507A31">
        <w:rPr>
          <w:color w:val="000000" w:themeColor="text1"/>
          <w:sz w:val="16"/>
          <w:szCs w:val="16"/>
        </w:rPr>
        <w:softHyphen/>
        <w:t>телей в тактико-технических требованиях предусмотреть установку пушки ДРП» (15823).</w:t>
      </w:r>
    </w:p>
    <w:p w14:paraId="0B5D4E1B" w14:textId="77777777" w:rsidR="00695503" w:rsidRPr="00507A31" w:rsidRDefault="00695503" w:rsidP="00507A31">
      <w:pPr>
        <w:jc w:val="both"/>
        <w:rPr>
          <w:color w:val="000000" w:themeColor="text1"/>
          <w:sz w:val="16"/>
          <w:szCs w:val="16"/>
        </w:rPr>
      </w:pPr>
    </w:p>
    <w:p w14:paraId="158A29BE" w14:textId="77777777" w:rsidR="0043766C" w:rsidRPr="00507A31" w:rsidRDefault="0043766C" w:rsidP="00507A31">
      <w:pPr>
        <w:pStyle w:val="rtejustify"/>
        <w:shd w:val="clear" w:color="auto" w:fill="FFFFFF"/>
        <w:spacing w:before="0" w:after="0"/>
        <w:rPr>
          <w:color w:val="000000" w:themeColor="text1"/>
          <w:sz w:val="16"/>
          <w:szCs w:val="16"/>
        </w:rPr>
      </w:pPr>
      <w:r w:rsidRPr="00507A31">
        <w:rPr>
          <w:color w:val="000000" w:themeColor="text1"/>
          <w:sz w:val="16"/>
          <w:szCs w:val="16"/>
        </w:rPr>
        <w:t>В начале июля 1930 года Л. В. Курчевский представил в УВВС свои предложения по использованию авиационных ДРП:</w:t>
      </w:r>
    </w:p>
    <w:p w14:paraId="70701FE2" w14:textId="77777777" w:rsidR="0043766C" w:rsidRPr="00507A31" w:rsidRDefault="0043766C"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«Артиллерия ДРП является новым видом вооружения. Для авиации особенности пушек ДРП, малый вес и отсутствие отката, особенно ценны. В настоящее время, у нас, можно смело сказать обычная артиллерия, за исключением самых малых калибров, как 37 мм, на самолетах установлена быть не может.</w:t>
      </w:r>
    </w:p>
    <w:p w14:paraId="18841458" w14:textId="77777777" w:rsidR="0043766C" w:rsidRPr="00507A31" w:rsidRDefault="0043766C"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1. Для наилучшего использования всех преимуществ, даваемых пушками средних и больших калибров, как оружия наступательного, необходимо спроектировать и построить специальный самолет для борьбы с авиацией противника, предусмотрев заранее установку на нем 2-х пушек 76,2 мм или одной 100-150 мм. Машина должна быть истребителем самолета противника, летающей пушкой. В таком истребителе все должно быть направлено для получения наибольшей скорости, маневренности, мощности и дальности огня. Необходимо отказаться от всякого универсализма, бомб, рации, фото, десятков пулеметов и т.п.</w:t>
      </w:r>
    </w:p>
    <w:p w14:paraId="1E0D3589" w14:textId="77777777" w:rsidR="0043766C" w:rsidRPr="00507A31" w:rsidRDefault="0043766C"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2. Предлагающаяся установка на ТШ, за счет перегрузки, одной пушки 3 дм калибра не рациональна и никаких выгод не даст, излишне обременив и без того перегруженный до отказа самолет. Значительные выгоды, даваемые пушкой, установленной вертикально, для стрельбы по наземным и главным образом живым целям, как замена «бреющих» полетов, можно использовать и без постройки специальных машин, взяв для этой цели ТБ или Р-6. Орудие такого рода изготовлено и в самом непродолжительном времени может быть испытано. Следует запросить 3-ю Секцию НТК ВВС, каково ее заключение по поводу исследования меткости стрельбы с самолета по наземным целям, сравнительно с обычным бомбометанием.</w:t>
      </w:r>
    </w:p>
    <w:p w14:paraId="7BCB79C5" w14:textId="77777777" w:rsidR="0043766C" w:rsidRPr="00507A31" w:rsidRDefault="0043766C" w:rsidP="00507A31">
      <w:pPr>
        <w:pStyle w:val="rtejustify"/>
        <w:shd w:val="clear" w:color="auto" w:fill="FFFFFF"/>
        <w:spacing w:before="0" w:after="0"/>
        <w:rPr>
          <w:rStyle w:val="af0"/>
          <w:i w:val="0"/>
          <w:color w:val="000000" w:themeColor="text1"/>
          <w:sz w:val="16"/>
          <w:szCs w:val="16"/>
          <w:bdr w:val="none" w:sz="0" w:space="0" w:color="auto" w:frame="1"/>
        </w:rPr>
      </w:pPr>
      <w:r w:rsidRPr="00507A31">
        <w:rPr>
          <w:rStyle w:val="af0"/>
          <w:i w:val="0"/>
          <w:color w:val="000000" w:themeColor="text1"/>
          <w:sz w:val="16"/>
          <w:szCs w:val="16"/>
          <w:bdr w:val="none" w:sz="0" w:space="0" w:color="auto" w:frame="1"/>
        </w:rPr>
        <w:t>Примечание: По последней стрельбе пушка 3 дм калибра, предназначенная к установке на Р-3, при весе 40 кг, дала дальность 6 км» (19172).</w:t>
      </w:r>
    </w:p>
    <w:p w14:paraId="480B72D3" w14:textId="044D4D1A" w:rsidR="0043766C" w:rsidRPr="00507A31" w:rsidRDefault="0043766C" w:rsidP="00507A31">
      <w:pPr>
        <w:pStyle w:val="rtejustify"/>
        <w:shd w:val="clear" w:color="auto" w:fill="FFFFFF"/>
        <w:spacing w:before="0" w:after="0"/>
        <w:rPr>
          <w:color w:val="000000" w:themeColor="text1"/>
          <w:sz w:val="16"/>
          <w:szCs w:val="16"/>
        </w:rPr>
      </w:pPr>
    </w:p>
    <w:p w14:paraId="24938ABB" w14:textId="3801CCFC" w:rsidR="00D529FC" w:rsidRPr="00507A31" w:rsidRDefault="00D529FC" w:rsidP="00507A31">
      <w:pPr>
        <w:pStyle w:val="rtejustify"/>
        <w:shd w:val="clear" w:color="auto" w:fill="FFFFFF"/>
        <w:spacing w:before="0" w:after="0"/>
        <w:rPr>
          <w:i/>
          <w:iCs/>
          <w:color w:val="000000" w:themeColor="text1"/>
          <w:sz w:val="16"/>
          <w:szCs w:val="16"/>
        </w:rPr>
      </w:pPr>
      <w:r w:rsidRPr="00507A31">
        <w:rPr>
          <w:i/>
          <w:iCs/>
          <w:color w:val="000000" w:themeColor="text1"/>
          <w:sz w:val="16"/>
          <w:szCs w:val="16"/>
        </w:rPr>
        <w:t>Армия:</w:t>
      </w:r>
    </w:p>
    <w:p w14:paraId="33B3A0F2" w14:textId="77777777" w:rsidR="00D529FC" w:rsidRPr="00507A31" w:rsidRDefault="00D529FC" w:rsidP="00507A31">
      <w:pPr>
        <w:pStyle w:val="rtejustify"/>
        <w:shd w:val="clear" w:color="auto" w:fill="FFFFFF"/>
        <w:spacing w:before="0" w:after="0"/>
        <w:rPr>
          <w:i/>
          <w:iCs/>
          <w:color w:val="000000" w:themeColor="text1"/>
          <w:sz w:val="16"/>
          <w:szCs w:val="16"/>
        </w:rPr>
      </w:pPr>
    </w:p>
    <w:p w14:paraId="78FC6044" w14:textId="77777777" w:rsidR="00D529FC" w:rsidRPr="00507A31" w:rsidRDefault="00D529FC" w:rsidP="00507A31">
      <w:pPr>
        <w:shd w:val="clear" w:color="auto" w:fill="FFFFFF"/>
        <w:jc w:val="both"/>
        <w:rPr>
          <w:color w:val="0070C0"/>
          <w:sz w:val="16"/>
          <w:szCs w:val="16"/>
        </w:rPr>
      </w:pPr>
      <w:bookmarkStart w:id="68" w:name="_Hlk57199707"/>
      <w:r w:rsidRPr="00507A31">
        <w:rPr>
          <w:color w:val="0070C0"/>
          <w:sz w:val="16"/>
          <w:szCs w:val="16"/>
        </w:rPr>
        <w:t>В начале июля 1930 года состоялось заседание Реввоенсовета СССР, на котором был заслушан доклад начальника Особого отдела ОГПУ Я. Ольского по указанному делу. С содокладом выступил начальник Военно-морских сил РККА Р. Муклевич. Из сохранившихся тезисов его выступления видно, что он часть вины за состояние береговой обороны взял на себя. «Мы сами себе достаточно „вредили“, — заявил Р. Муклевич, — это можно доказать документальными данными… Ассигнований флот получал в 10 раз больше береговой обороны и имел, что самое главное, утвержденную и ясную программу, что не имела береговая оборона».</w:t>
      </w:r>
    </w:p>
    <w:p w14:paraId="05060B24" w14:textId="77777777" w:rsidR="00D529FC" w:rsidRPr="00507A31" w:rsidRDefault="00D529FC" w:rsidP="00507A31">
      <w:pPr>
        <w:shd w:val="clear" w:color="auto" w:fill="FFFFFF"/>
        <w:jc w:val="both"/>
        <w:rPr>
          <w:color w:val="0070C0"/>
          <w:sz w:val="16"/>
          <w:szCs w:val="16"/>
        </w:rPr>
      </w:pPr>
      <w:r w:rsidRPr="00507A31">
        <w:rPr>
          <w:color w:val="0070C0"/>
          <w:sz w:val="16"/>
          <w:szCs w:val="16"/>
        </w:rPr>
        <w:t>После таких заявлений начальник ВМС РККА не мог долго оставаться на своем посту. Вскоре он был понижен в должности, а затем вообще выведен в резерв РККА (20268).</w:t>
      </w:r>
    </w:p>
    <w:p w14:paraId="53E6100F" w14:textId="77777777" w:rsidR="00D529FC" w:rsidRPr="00507A31" w:rsidRDefault="00D529FC" w:rsidP="00507A31">
      <w:pPr>
        <w:jc w:val="both"/>
        <w:rPr>
          <w:color w:val="0070C0"/>
          <w:sz w:val="16"/>
          <w:szCs w:val="16"/>
        </w:rPr>
      </w:pPr>
    </w:p>
    <w:bookmarkEnd w:id="68"/>
    <w:p w14:paraId="7A40F70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9516A03" w14:textId="77777777" w:rsidR="00537E5F" w:rsidRPr="00507A31" w:rsidRDefault="00537E5F" w:rsidP="00507A31">
      <w:pPr>
        <w:autoSpaceDE w:val="0"/>
        <w:autoSpaceDN w:val="0"/>
        <w:adjustRightInd w:val="0"/>
        <w:jc w:val="both"/>
        <w:rPr>
          <w:iCs/>
          <w:color w:val="000000" w:themeColor="text1"/>
          <w:sz w:val="16"/>
          <w:szCs w:val="16"/>
        </w:rPr>
      </w:pPr>
    </w:p>
    <w:p w14:paraId="335CBD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7 июля 1930 оборудования системы дозаправки в воздухе для Р-1 было готово, но пришлось ждать прибытия двух серийных Р-1 для переделки. 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бензосистемы. 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07EBEF9F" w14:textId="77777777" w:rsidR="00537E5F" w:rsidRPr="00507A31" w:rsidRDefault="00537E5F" w:rsidP="00507A31">
      <w:pPr>
        <w:autoSpaceDE w:val="0"/>
        <w:autoSpaceDN w:val="0"/>
        <w:adjustRightInd w:val="0"/>
        <w:jc w:val="both"/>
        <w:rPr>
          <w:color w:val="000000" w:themeColor="text1"/>
          <w:sz w:val="16"/>
          <w:szCs w:val="16"/>
        </w:rPr>
      </w:pPr>
    </w:p>
    <w:p w14:paraId="01546CA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ED9C805" w14:textId="77777777" w:rsidR="00537E5F" w:rsidRPr="00507A31" w:rsidRDefault="00537E5F" w:rsidP="00507A31">
      <w:pPr>
        <w:autoSpaceDE w:val="0"/>
        <w:autoSpaceDN w:val="0"/>
        <w:adjustRightInd w:val="0"/>
        <w:jc w:val="both"/>
        <w:rPr>
          <w:iCs/>
          <w:color w:val="000000" w:themeColor="text1"/>
          <w:sz w:val="16"/>
          <w:szCs w:val="16"/>
        </w:rPr>
      </w:pPr>
    </w:p>
    <w:p w14:paraId="23DB30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июля 1930 г. вышел ПРИКАЗ УММ О СИСТЕМАТИЗАЦИИ РЕЗУЛЬТАТОВ ИССЛЕДОВАТЕЛЬСКИХ РАБОТ №61</w:t>
      </w:r>
    </w:p>
    <w:p w14:paraId="2AEEC4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24E8B6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НТК УММ ведется ряд опытов и испытаний по автомашинам, арттягачам и танкам. За летний пе</w:t>
      </w:r>
      <w:r w:rsidRPr="00507A31">
        <w:rPr>
          <w:color w:val="000000" w:themeColor="text1"/>
          <w:sz w:val="16"/>
          <w:szCs w:val="16"/>
        </w:rPr>
        <w:softHyphen/>
        <w:t>риод накопится большой важности и ценности материал по определениям разного рода конструкций.</w:t>
      </w:r>
    </w:p>
    <w:p w14:paraId="0EAB14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Приказываю: Председателю НТК в установленной системе тщательно фиксировать результаты всех испытаний, исследований, пробегов и опытов.</w:t>
      </w:r>
    </w:p>
    <w:p w14:paraId="544525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данной цели инструктировать председателей всех испытательных комиссий и председателей секций, дабы материал подбирался и обрабатывался в таком порядке, чтобы можно было бы его издать как научный труд практической работы НТК по опытам, исследованиям и испытаниям.</w:t>
      </w:r>
    </w:p>
    <w:p w14:paraId="7BB5B5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Материал должен быть подготовлен к печати к декабрю месяцу сего года.</w:t>
      </w:r>
    </w:p>
    <w:p w14:paraId="0505ED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опытах, исследованиях и испытаниях надлежит использовать фотосъемку и, там где это необходимо, киносъемку.</w:t>
      </w:r>
    </w:p>
    <w:p w14:paraId="4F67E1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Управления по механизации и моторизации РККА</w:t>
      </w:r>
    </w:p>
    <w:p w14:paraId="5F36B7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Халепский</w:t>
      </w:r>
    </w:p>
    <w:p w14:paraId="511BDB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17. Л. 60. Подлинник (11210).</w:t>
      </w:r>
    </w:p>
    <w:p w14:paraId="34B07E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1F7DE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июля 1930 закончились испытания модернизации опытного легкого бронепоезда в составе одного бронепаровоза и двух бронеплощадок с 76 мм пушками образца 1902 г., которые проходили с 25 июня.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(10977).</w:t>
      </w:r>
    </w:p>
    <w:p w14:paraId="4D21BA2A" w14:textId="77777777" w:rsidR="00537E5F" w:rsidRPr="00507A31" w:rsidRDefault="00537E5F" w:rsidP="00507A31">
      <w:pPr>
        <w:autoSpaceDE w:val="0"/>
        <w:autoSpaceDN w:val="0"/>
        <w:adjustRightInd w:val="0"/>
        <w:jc w:val="both"/>
        <w:rPr>
          <w:color w:val="000000" w:themeColor="text1"/>
          <w:sz w:val="16"/>
          <w:szCs w:val="16"/>
        </w:rPr>
      </w:pPr>
    </w:p>
    <w:p w14:paraId="21EFA9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июля 1930 г. закончились испытания модернизированого опытного легкого бронепоезда в составе одного бронепаровоза и двух бронеплощадок с 76 мм пушками образца 1902 г., которые проходили с 25 июня и было дано заключение по акту комиссии 22 сентября.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(11210).</w:t>
      </w:r>
    </w:p>
    <w:p w14:paraId="023F238E" w14:textId="77777777" w:rsidR="00537E5F" w:rsidRPr="00507A31" w:rsidRDefault="00537E5F" w:rsidP="00507A31">
      <w:pPr>
        <w:autoSpaceDE w:val="0"/>
        <w:autoSpaceDN w:val="0"/>
        <w:adjustRightInd w:val="0"/>
        <w:jc w:val="both"/>
        <w:rPr>
          <w:color w:val="000000" w:themeColor="text1"/>
          <w:sz w:val="16"/>
          <w:szCs w:val="16"/>
        </w:rPr>
      </w:pPr>
    </w:p>
    <w:p w14:paraId="4B43A89F" w14:textId="77777777" w:rsidR="00695503"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DA8B1C7" w14:textId="77777777" w:rsidR="00695503" w:rsidRPr="00507A31" w:rsidRDefault="00695503" w:rsidP="00507A31">
      <w:pPr>
        <w:autoSpaceDE w:val="0"/>
        <w:autoSpaceDN w:val="0"/>
        <w:adjustRightInd w:val="0"/>
        <w:jc w:val="both"/>
        <w:rPr>
          <w:iCs/>
          <w:color w:val="000000" w:themeColor="text1"/>
          <w:sz w:val="16"/>
          <w:szCs w:val="16"/>
        </w:rPr>
      </w:pPr>
    </w:p>
    <w:p w14:paraId="4BB92437" w14:textId="77777777" w:rsidR="00695503" w:rsidRPr="00507A31" w:rsidRDefault="00695503" w:rsidP="00507A31">
      <w:pPr>
        <w:jc w:val="both"/>
        <w:rPr>
          <w:color w:val="000000" w:themeColor="text1"/>
          <w:sz w:val="16"/>
          <w:szCs w:val="16"/>
        </w:rPr>
      </w:pPr>
      <w:r w:rsidRPr="00507A31">
        <w:rPr>
          <w:color w:val="000000" w:themeColor="text1"/>
          <w:sz w:val="16"/>
          <w:szCs w:val="16"/>
        </w:rPr>
        <w:lastRenderedPageBreak/>
        <w:t>7 июля 1930 г. военного губернатора Синьцзяна Ян Цзяньсиня убили, и новым Пред</w:t>
      </w:r>
      <w:r w:rsidRPr="00507A31">
        <w:rPr>
          <w:color w:val="000000" w:themeColor="text1"/>
          <w:sz w:val="16"/>
          <w:szCs w:val="16"/>
        </w:rPr>
        <w:softHyphen/>
        <w:t>седателем Синьцзянского правительства (губернатором) стал Цзинь Шужэнь. Так за</w:t>
      </w:r>
      <w:r w:rsidRPr="00507A31">
        <w:rPr>
          <w:color w:val="000000" w:themeColor="text1"/>
          <w:sz w:val="16"/>
          <w:szCs w:val="16"/>
        </w:rPr>
        <w:softHyphen/>
        <w:t>кончился период недолгого политического затишья (15802).</w:t>
      </w:r>
    </w:p>
    <w:p w14:paraId="18AF34D0" w14:textId="77777777" w:rsidR="00695503" w:rsidRPr="00507A31" w:rsidRDefault="00695503" w:rsidP="00507A31">
      <w:pPr>
        <w:jc w:val="both"/>
        <w:rPr>
          <w:color w:val="000000" w:themeColor="text1"/>
          <w:sz w:val="16"/>
          <w:szCs w:val="16"/>
        </w:rPr>
      </w:pPr>
    </w:p>
    <w:p w14:paraId="1489D972" w14:textId="77777777" w:rsidR="00F203E9" w:rsidRPr="00507A31" w:rsidRDefault="00F203E9"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767A1A4" w14:textId="77777777" w:rsidR="00F203E9" w:rsidRPr="00507A31" w:rsidRDefault="00F203E9" w:rsidP="00507A31">
      <w:pPr>
        <w:autoSpaceDE w:val="0"/>
        <w:autoSpaceDN w:val="0"/>
        <w:adjustRightInd w:val="0"/>
        <w:jc w:val="both"/>
        <w:rPr>
          <w:iCs/>
          <w:color w:val="000000" w:themeColor="text1"/>
          <w:sz w:val="16"/>
          <w:szCs w:val="16"/>
        </w:rPr>
      </w:pPr>
    </w:p>
    <w:p w14:paraId="2DB0BF09" w14:textId="77777777" w:rsidR="00F203E9" w:rsidRPr="00507A31" w:rsidRDefault="00F203E9" w:rsidP="00507A31">
      <w:pPr>
        <w:jc w:val="both"/>
        <w:rPr>
          <w:color w:val="000000" w:themeColor="text1"/>
          <w:sz w:val="16"/>
          <w:szCs w:val="16"/>
        </w:rPr>
      </w:pPr>
      <w:r w:rsidRPr="00507A31">
        <w:rPr>
          <w:color w:val="000000" w:themeColor="text1"/>
          <w:sz w:val="16"/>
          <w:szCs w:val="16"/>
        </w:rPr>
        <w:t>Ранее 8 июля 1930 г</w:t>
      </w:r>
    </w:p>
    <w:p w14:paraId="709D876C" w14:textId="77777777" w:rsidR="00F203E9" w:rsidRPr="00507A31" w:rsidRDefault="00F203E9" w:rsidP="00507A31">
      <w:pPr>
        <w:jc w:val="both"/>
        <w:rPr>
          <w:color w:val="000000" w:themeColor="text1"/>
          <w:sz w:val="16"/>
          <w:szCs w:val="16"/>
        </w:rPr>
      </w:pPr>
      <w:r w:rsidRPr="00507A31">
        <w:rPr>
          <w:color w:val="000000" w:themeColor="text1"/>
          <w:sz w:val="16"/>
          <w:szCs w:val="16"/>
        </w:rPr>
        <w:t>Представление наркома по военным и морским делам СССР К.Е.Ворошилова и председателя ВСНХ СССР Г.К.Орджоникидзе в Президиум ЦИК СССР об освобождении и награждении группы арестованных инженеров</w:t>
      </w:r>
    </w:p>
    <w:p w14:paraId="66611B31"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Секретно</w:t>
      </w:r>
    </w:p>
    <w:p w14:paraId="365D0270"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ПРЕЗИДИУМ ЦИК СОЮЗА ССР</w:t>
      </w:r>
    </w:p>
    <w:p w14:paraId="29336226"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В марте месяце 1930 г. Совет Труда и Обороны, констатируя исключитель</w:t>
      </w:r>
      <w:r w:rsidRPr="00507A31">
        <w:rPr>
          <w:color w:val="000000" w:themeColor="text1"/>
          <w:sz w:val="16"/>
          <w:szCs w:val="16"/>
        </w:rPr>
        <w:softHyphen/>
        <w:t>но медленный темп конструирования постройки опытных образцов самолетов (от 2-х до 4-х лет) и недопустимо длительное внедрение их в серийное произ</w:t>
      </w:r>
      <w:r w:rsidRPr="00507A31">
        <w:rPr>
          <w:color w:val="000000" w:themeColor="text1"/>
          <w:sz w:val="16"/>
          <w:szCs w:val="16"/>
        </w:rPr>
        <w:softHyphen/>
        <w:t>водство (от 2-х до 3-х лет), обязал НКВМ и ВСНХ Союза добиться таких темпов в опытном строительстве, чтобы сроки проектирования, производства и введения новых образцов самолетов на вооружение не превышали 7—8 месяцев.</w:t>
      </w:r>
    </w:p>
    <w:p w14:paraId="33490F04"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Во исполнение этого решения опытный самолетный завод ВАО № 39 имени т. Менжинского с его Центральным конструкторским бюро, куда рас</w:t>
      </w:r>
      <w:r w:rsidRPr="00507A31">
        <w:rPr>
          <w:color w:val="000000" w:themeColor="text1"/>
          <w:sz w:val="16"/>
          <w:szCs w:val="16"/>
        </w:rPr>
        <w:softHyphen/>
        <w:t>поряжением ОГПУ были сосредоточены арестованные и приговоренные к раз</w:t>
      </w:r>
      <w:r w:rsidRPr="00507A31">
        <w:rPr>
          <w:color w:val="000000" w:themeColor="text1"/>
          <w:sz w:val="16"/>
          <w:szCs w:val="16"/>
        </w:rPr>
        <w:softHyphen/>
        <w:t>личным мерам социальной защиты инженеры-вредители самолетостроения и вооружения их во главе с конструкторами Григоровичем Д.П. и Надашкеви- чем А.В., выпустил с апреля 1930 г. по май 1931 года следующие опытные об</w:t>
      </w:r>
      <w:r w:rsidRPr="00507A31">
        <w:rPr>
          <w:color w:val="000000" w:themeColor="text1"/>
          <w:sz w:val="16"/>
          <w:szCs w:val="16"/>
        </w:rPr>
        <w:softHyphen/>
        <w:t>разцы новых самолетов</w:t>
      </w:r>
      <w:r w:rsidRPr="00507A31">
        <w:rPr>
          <w:color w:val="000000" w:themeColor="text1"/>
          <w:sz w:val="16"/>
          <w:szCs w:val="16"/>
          <w:vertAlign w:val="superscript"/>
        </w:rPr>
        <w:t>319</w:t>
      </w:r>
      <w:r w:rsidRPr="00507A31">
        <w:rPr>
          <w:color w:val="000000" w:themeColor="text1"/>
          <w:sz w:val="16"/>
          <w:szCs w:val="16"/>
        </w:rPr>
        <w:t>:</w:t>
      </w:r>
    </w:p>
    <w:p w14:paraId="14D1E3AC"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Срок проектирования и постройки нового образца:</w:t>
      </w:r>
    </w:p>
    <w:p w14:paraId="53180172" w14:textId="77777777" w:rsidR="00F203E9" w:rsidRPr="00507A31" w:rsidRDefault="00F203E9" w:rsidP="00507A31">
      <w:pPr>
        <w:pStyle w:val="213"/>
        <w:shd w:val="clear" w:color="auto" w:fill="auto"/>
        <w:tabs>
          <w:tab w:val="left" w:pos="6205"/>
        </w:tabs>
        <w:spacing w:before="0" w:after="0" w:line="240" w:lineRule="auto"/>
        <w:ind w:firstLine="0"/>
        <w:jc w:val="both"/>
        <w:rPr>
          <w:color w:val="000000" w:themeColor="text1"/>
          <w:sz w:val="16"/>
          <w:szCs w:val="16"/>
        </w:rPr>
      </w:pPr>
      <w:r w:rsidRPr="00507A31">
        <w:rPr>
          <w:color w:val="000000" w:themeColor="text1"/>
          <w:sz w:val="16"/>
          <w:szCs w:val="16"/>
        </w:rPr>
        <w:t>Одноместный истребитель И-5 под мотор Ю-6</w:t>
      </w:r>
      <w:r w:rsidRPr="00507A31">
        <w:rPr>
          <w:color w:val="000000" w:themeColor="text1"/>
          <w:sz w:val="16"/>
          <w:szCs w:val="16"/>
        </w:rPr>
        <w:tab/>
        <w:t>2 мес. 28 дней</w:t>
      </w:r>
    </w:p>
    <w:p w14:paraId="5AFC4296" w14:textId="77777777" w:rsidR="00F203E9" w:rsidRPr="00507A31" w:rsidRDefault="00F203E9" w:rsidP="00507A31">
      <w:pPr>
        <w:pStyle w:val="213"/>
        <w:shd w:val="clear" w:color="auto" w:fill="auto"/>
        <w:tabs>
          <w:tab w:val="left" w:pos="6185"/>
        </w:tabs>
        <w:spacing w:before="0" w:after="0" w:line="240" w:lineRule="auto"/>
        <w:ind w:firstLine="0"/>
        <w:jc w:val="both"/>
        <w:rPr>
          <w:color w:val="000000" w:themeColor="text1"/>
          <w:sz w:val="16"/>
          <w:szCs w:val="16"/>
        </w:rPr>
      </w:pPr>
      <w:r w:rsidRPr="00507A31">
        <w:rPr>
          <w:color w:val="000000" w:themeColor="text1"/>
          <w:sz w:val="16"/>
          <w:szCs w:val="16"/>
        </w:rPr>
        <w:t>2-х местный легкий штурмовик ЛШ под мотор М-17</w:t>
      </w:r>
      <w:r w:rsidRPr="00507A31">
        <w:rPr>
          <w:color w:val="000000" w:themeColor="text1"/>
          <w:sz w:val="16"/>
          <w:szCs w:val="16"/>
        </w:rPr>
        <w:tab/>
        <w:t>3 " 24 "</w:t>
      </w:r>
    </w:p>
    <w:p w14:paraId="1A935BF9" w14:textId="77777777" w:rsidR="00F203E9" w:rsidRPr="00507A31" w:rsidRDefault="00F203E9" w:rsidP="00507A31">
      <w:pPr>
        <w:pStyle w:val="213"/>
        <w:shd w:val="clear" w:color="auto" w:fill="auto"/>
        <w:tabs>
          <w:tab w:val="left" w:pos="6185"/>
        </w:tabs>
        <w:spacing w:before="0" w:after="0" w:line="240" w:lineRule="auto"/>
        <w:ind w:firstLine="0"/>
        <w:jc w:val="both"/>
        <w:rPr>
          <w:color w:val="000000" w:themeColor="text1"/>
          <w:sz w:val="16"/>
          <w:szCs w:val="16"/>
        </w:rPr>
      </w:pPr>
      <w:r w:rsidRPr="00507A31">
        <w:rPr>
          <w:color w:val="000000" w:themeColor="text1"/>
          <w:sz w:val="16"/>
          <w:szCs w:val="16"/>
        </w:rPr>
        <w:t xml:space="preserve">2-х местный тяжелый бронированный штурмовик </w:t>
      </w:r>
      <w:r w:rsidRPr="00507A31">
        <w:rPr>
          <w:color w:val="000000" w:themeColor="text1"/>
          <w:sz w:val="16"/>
          <w:szCs w:val="16"/>
          <w:lang w:val="en-US"/>
        </w:rPr>
        <w:t>T</w:t>
      </w:r>
      <w:r w:rsidRPr="00507A31">
        <w:rPr>
          <w:color w:val="000000" w:themeColor="text1"/>
          <w:sz w:val="16"/>
          <w:szCs w:val="16"/>
        </w:rPr>
        <w:t>Ш под мотор М-1</w:t>
      </w:r>
      <w:r w:rsidRPr="00507A31">
        <w:rPr>
          <w:color w:val="000000" w:themeColor="text1"/>
          <w:sz w:val="16"/>
          <w:szCs w:val="16"/>
        </w:rPr>
        <w:tab/>
        <w:t>3 " 5 "</w:t>
      </w:r>
    </w:p>
    <w:p w14:paraId="223C0D04" w14:textId="77777777" w:rsidR="00F203E9" w:rsidRPr="00507A31" w:rsidRDefault="00F203E9" w:rsidP="00507A31">
      <w:pPr>
        <w:pStyle w:val="213"/>
        <w:shd w:val="clear" w:color="auto" w:fill="auto"/>
        <w:tabs>
          <w:tab w:val="left" w:pos="6205"/>
        </w:tabs>
        <w:spacing w:before="0" w:after="0" w:line="240" w:lineRule="auto"/>
        <w:ind w:firstLine="0"/>
        <w:jc w:val="both"/>
        <w:rPr>
          <w:color w:val="000000" w:themeColor="text1"/>
          <w:sz w:val="16"/>
          <w:szCs w:val="16"/>
        </w:rPr>
      </w:pPr>
      <w:r w:rsidRPr="00507A31">
        <w:rPr>
          <w:color w:val="000000" w:themeColor="text1"/>
          <w:sz w:val="16"/>
          <w:szCs w:val="16"/>
        </w:rPr>
        <w:t>2-х местный истребитель ДИЗ под мотор М-17</w:t>
      </w:r>
      <w:r w:rsidRPr="00507A31">
        <w:rPr>
          <w:color w:val="000000" w:themeColor="text1"/>
          <w:sz w:val="16"/>
          <w:szCs w:val="16"/>
        </w:rPr>
        <w:tab/>
        <w:t>3 " 20 "</w:t>
      </w:r>
    </w:p>
    <w:p w14:paraId="74CC16B6" w14:textId="77777777" w:rsidR="00F203E9" w:rsidRPr="00507A31" w:rsidRDefault="00F203E9" w:rsidP="00507A31">
      <w:pPr>
        <w:pStyle w:val="213"/>
        <w:shd w:val="clear" w:color="auto" w:fill="auto"/>
        <w:tabs>
          <w:tab w:val="left" w:pos="6201"/>
        </w:tabs>
        <w:spacing w:before="0" w:after="0" w:line="240" w:lineRule="auto"/>
        <w:ind w:firstLine="0"/>
        <w:jc w:val="both"/>
        <w:rPr>
          <w:color w:val="000000" w:themeColor="text1"/>
          <w:sz w:val="16"/>
          <w:szCs w:val="16"/>
        </w:rPr>
      </w:pPr>
      <w:r w:rsidRPr="00507A31">
        <w:rPr>
          <w:color w:val="000000" w:themeColor="text1"/>
          <w:sz w:val="16"/>
          <w:szCs w:val="16"/>
        </w:rPr>
        <w:t>Штурмовик особого назначения ШОН под мотор М-17</w:t>
      </w:r>
      <w:r w:rsidRPr="00507A31">
        <w:rPr>
          <w:color w:val="000000" w:themeColor="text1"/>
          <w:sz w:val="16"/>
          <w:szCs w:val="16"/>
        </w:rPr>
        <w:tab/>
        <w:t>2 " 19 "</w:t>
      </w:r>
    </w:p>
    <w:p w14:paraId="5490302A" w14:textId="77777777" w:rsidR="00F203E9" w:rsidRPr="00507A31" w:rsidRDefault="00F203E9" w:rsidP="00507A31">
      <w:pPr>
        <w:pStyle w:val="213"/>
        <w:shd w:val="clear" w:color="auto" w:fill="auto"/>
        <w:tabs>
          <w:tab w:val="left" w:pos="6196"/>
        </w:tabs>
        <w:spacing w:before="0" w:after="0" w:line="240" w:lineRule="auto"/>
        <w:ind w:firstLine="0"/>
        <w:jc w:val="both"/>
        <w:rPr>
          <w:color w:val="000000" w:themeColor="text1"/>
          <w:sz w:val="16"/>
          <w:szCs w:val="16"/>
        </w:rPr>
      </w:pPr>
      <w:r w:rsidRPr="00507A31">
        <w:rPr>
          <w:color w:val="000000" w:themeColor="text1"/>
          <w:sz w:val="16"/>
          <w:szCs w:val="16"/>
        </w:rPr>
        <w:t>Особый истребит. № 7 под мотор ЮП-6</w:t>
      </w:r>
      <w:r w:rsidRPr="00507A31">
        <w:rPr>
          <w:color w:val="000000" w:themeColor="text1"/>
          <w:sz w:val="16"/>
          <w:szCs w:val="16"/>
        </w:rPr>
        <w:tab/>
        <w:t xml:space="preserve">5 </w:t>
      </w:r>
    </w:p>
    <w:p w14:paraId="3A949266" w14:textId="77777777" w:rsidR="00F203E9" w:rsidRPr="00507A31" w:rsidRDefault="00F203E9" w:rsidP="00507A31">
      <w:pPr>
        <w:pStyle w:val="213"/>
        <w:shd w:val="clear" w:color="auto" w:fill="auto"/>
        <w:tabs>
          <w:tab w:val="left" w:pos="6196"/>
        </w:tabs>
        <w:spacing w:before="0" w:after="0" w:line="240" w:lineRule="auto"/>
        <w:ind w:firstLine="0"/>
        <w:jc w:val="both"/>
        <w:rPr>
          <w:color w:val="000000" w:themeColor="text1"/>
          <w:sz w:val="16"/>
          <w:szCs w:val="16"/>
        </w:rPr>
      </w:pPr>
      <w:r w:rsidRPr="00507A31">
        <w:rPr>
          <w:color w:val="000000" w:themeColor="text1"/>
          <w:sz w:val="16"/>
          <w:szCs w:val="16"/>
        </w:rPr>
        <w:t>Тяжелый бомбардировщик ТБ-5 под 4 мотора ЮП-6 (заканчивается постройкой)</w:t>
      </w:r>
      <w:r w:rsidRPr="00507A31">
        <w:rPr>
          <w:color w:val="000000" w:themeColor="text1"/>
          <w:sz w:val="16"/>
          <w:szCs w:val="16"/>
        </w:rPr>
        <w:tab/>
        <w:t>6,5 мес.</w:t>
      </w:r>
    </w:p>
    <w:p w14:paraId="70C13668"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Помимо такого небывалого увеличения темпов и сокращения сроков опыт</w:t>
      </w:r>
      <w:r w:rsidRPr="00507A31">
        <w:rPr>
          <w:color w:val="000000" w:themeColor="text1"/>
          <w:sz w:val="16"/>
          <w:szCs w:val="16"/>
        </w:rPr>
        <w:softHyphen/>
        <w:t>ного строительства к большим достижениям завода № 39 и его Конструктор</w:t>
      </w:r>
      <w:r w:rsidRPr="00507A31">
        <w:rPr>
          <w:color w:val="000000" w:themeColor="text1"/>
          <w:sz w:val="16"/>
          <w:szCs w:val="16"/>
        </w:rPr>
        <w:softHyphen/>
        <w:t>ского бюро надо отнести:</w:t>
      </w:r>
    </w:p>
    <w:p w14:paraId="3F512E70"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переход на смешанную конструкцию, т. е. постройку опытных образцов из сварных стальных труб (дюраль с деревянной и полотняной обшивкой), что до весны 1930 г. в СССР не производилось; выпуск новых типов самолетов, сто</w:t>
      </w:r>
      <w:r w:rsidRPr="00507A31">
        <w:rPr>
          <w:color w:val="000000" w:themeColor="text1"/>
          <w:sz w:val="16"/>
          <w:szCs w:val="16"/>
        </w:rPr>
        <w:softHyphen/>
        <w:t>ящих на уровне лучших заграничных образцов по своим летно-тактическим данным и, особенно, по своему вооружению.</w:t>
      </w:r>
    </w:p>
    <w:p w14:paraId="286F65DE"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Революционный Военный Совет Союза и Президиум ВСНХ считают, что эта исключительная работа самолетостроительного завода № 39 по укрепле</w:t>
      </w:r>
      <w:r w:rsidRPr="00507A31">
        <w:rPr>
          <w:color w:val="000000" w:themeColor="text1"/>
          <w:sz w:val="16"/>
          <w:szCs w:val="16"/>
        </w:rPr>
        <w:softHyphen/>
        <w:t>нию мощи Военно-воздушных сил РККА, их исключительные реальные до</w:t>
      </w:r>
      <w:r w:rsidRPr="00507A31">
        <w:rPr>
          <w:color w:val="000000" w:themeColor="text1"/>
          <w:sz w:val="16"/>
          <w:szCs w:val="16"/>
        </w:rPr>
        <w:softHyphen/>
        <w:t>стижения заслуживают высокой награды. На основании этого РВСС и ВСНХ ходатайствуют:</w:t>
      </w:r>
    </w:p>
    <w:p w14:paraId="54A3ADB2" w14:textId="77777777" w:rsidR="00F203E9" w:rsidRPr="00507A31" w:rsidRDefault="00F203E9" w:rsidP="00507A31">
      <w:pPr>
        <w:pStyle w:val="213"/>
        <w:shd w:val="clear" w:color="auto" w:fill="auto"/>
        <w:tabs>
          <w:tab w:val="left" w:pos="714"/>
        </w:tabs>
        <w:spacing w:before="0" w:after="0" w:line="240" w:lineRule="auto"/>
        <w:ind w:firstLine="0"/>
        <w:jc w:val="both"/>
        <w:rPr>
          <w:color w:val="000000" w:themeColor="text1"/>
          <w:sz w:val="16"/>
          <w:szCs w:val="16"/>
        </w:rPr>
      </w:pPr>
      <w:r w:rsidRPr="00507A31">
        <w:rPr>
          <w:color w:val="000000" w:themeColor="text1"/>
          <w:sz w:val="16"/>
          <w:szCs w:val="16"/>
        </w:rPr>
        <w:t>1. Наградить завод № 39, уже имеющий орден «Красного Знамени и Труда», — орденом «Ленина» за выполнение и перевыполнение постановления правительства в отношении сроков опытного самолетостроения и в отношении качества и вооружения новых типов самолетов.</w:t>
      </w:r>
    </w:p>
    <w:p w14:paraId="264B5A69" w14:textId="77777777" w:rsidR="00F203E9" w:rsidRPr="00507A31" w:rsidRDefault="00F203E9" w:rsidP="00507A31">
      <w:pPr>
        <w:pStyle w:val="213"/>
        <w:shd w:val="clear" w:color="auto" w:fill="auto"/>
        <w:tabs>
          <w:tab w:val="left" w:pos="695"/>
        </w:tabs>
        <w:spacing w:before="0" w:after="0" w:line="240" w:lineRule="auto"/>
        <w:ind w:firstLine="0"/>
        <w:jc w:val="both"/>
        <w:rPr>
          <w:color w:val="000000" w:themeColor="text1"/>
          <w:sz w:val="16"/>
          <w:szCs w:val="16"/>
        </w:rPr>
      </w:pPr>
      <w:r w:rsidRPr="00507A31">
        <w:rPr>
          <w:color w:val="000000" w:themeColor="text1"/>
          <w:sz w:val="16"/>
          <w:szCs w:val="16"/>
        </w:rPr>
        <w:t>2. Полностью амнистировать нижеследующих конструкторов-вредителей, приговоренных коллегией ОГПУ к различным мерам социальной защиты, с одновременным их награждением.</w:t>
      </w:r>
    </w:p>
    <w:p w14:paraId="33D83255"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Главного конструктора по опытному самолетостроению Григоровича Дмит</w:t>
      </w:r>
      <w:r w:rsidRPr="00507A31">
        <w:rPr>
          <w:color w:val="000000" w:themeColor="text1"/>
          <w:sz w:val="16"/>
          <w:szCs w:val="16"/>
        </w:rPr>
        <w:softHyphen/>
        <w:t>рия Павловича, раскаявшегося в своих прежних поступках и годичной работой доказавшего на деле свое раскаяние, — грамотой ЦИК СССР и денежной на</w:t>
      </w:r>
      <w:r w:rsidRPr="00507A31">
        <w:rPr>
          <w:color w:val="000000" w:themeColor="text1"/>
          <w:sz w:val="16"/>
          <w:szCs w:val="16"/>
        </w:rPr>
        <w:softHyphen/>
        <w:t>градой в 10 ООО рублей.</w:t>
      </w:r>
    </w:p>
    <w:p w14:paraId="080FA599"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СССР и денежной наградой в 10 000 рублей.</w:t>
      </w:r>
    </w:p>
    <w:p w14:paraId="5B509355"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Технического директора завода № 1 Косткина Ивана Михайловича — де</w:t>
      </w:r>
      <w:r w:rsidRPr="00507A31">
        <w:rPr>
          <w:color w:val="000000" w:themeColor="text1"/>
          <w:sz w:val="16"/>
          <w:szCs w:val="16"/>
        </w:rPr>
        <w:softHyphen/>
        <w:t>нежной наградой в 3000 рублей.</w:t>
      </w:r>
    </w:p>
    <w:p w14:paraId="3D30F8EC"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Б[ывшего] постоянного члена НТК УВВС РККА Крейсона Павла Марты</w:t>
      </w:r>
      <w:r w:rsidRPr="00507A31">
        <w:rPr>
          <w:color w:val="000000" w:themeColor="text1"/>
          <w:sz w:val="16"/>
          <w:szCs w:val="16"/>
        </w:rPr>
        <w:softHyphen/>
        <w:t>новича — денежной наградой в 1000 рублей.</w:t>
      </w:r>
    </w:p>
    <w:p w14:paraId="1ACA55CC"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Быв[шего] инженера ВАО Корвика Виктора Львовича — денежной награ</w:t>
      </w:r>
      <w:r w:rsidRPr="00507A31">
        <w:rPr>
          <w:color w:val="000000" w:themeColor="text1"/>
          <w:sz w:val="16"/>
          <w:szCs w:val="16"/>
        </w:rPr>
        <w:softHyphen/>
        <w:t>дой в 1000 рублей.</w:t>
      </w:r>
    </w:p>
    <w:p w14:paraId="5F4A2157" w14:textId="77777777" w:rsidR="00F203E9" w:rsidRPr="00507A31" w:rsidRDefault="00F203E9" w:rsidP="00507A31">
      <w:pPr>
        <w:pStyle w:val="213"/>
        <w:shd w:val="clear" w:color="auto" w:fill="auto"/>
        <w:tabs>
          <w:tab w:val="left" w:pos="660"/>
        </w:tabs>
        <w:spacing w:before="0" w:after="0" w:line="240" w:lineRule="auto"/>
        <w:ind w:firstLine="0"/>
        <w:jc w:val="both"/>
        <w:rPr>
          <w:color w:val="000000" w:themeColor="text1"/>
          <w:sz w:val="16"/>
          <w:szCs w:val="16"/>
        </w:rPr>
      </w:pPr>
      <w:r w:rsidRPr="00507A31">
        <w:rPr>
          <w:color w:val="000000" w:themeColor="text1"/>
          <w:sz w:val="16"/>
          <w:szCs w:val="16"/>
        </w:rPr>
        <w:t>3. Наградить орденом «Красной Звезды» начальника завода № 39 т. Горянова Анатолия Григорьевича и его заместителя т. Пауфлера Николая Евгенье</w:t>
      </w:r>
      <w:r w:rsidRPr="00507A31">
        <w:rPr>
          <w:color w:val="000000" w:themeColor="text1"/>
          <w:sz w:val="16"/>
          <w:szCs w:val="16"/>
        </w:rPr>
        <w:softHyphen/>
        <w:t>вича за проявленную ими инициативу и упорство по созданию ЦКБ, умелой организации в нем работы, перевоспитанию инженеров-вредителей на практи</w:t>
      </w:r>
      <w:r w:rsidRPr="00507A31">
        <w:rPr>
          <w:color w:val="000000" w:themeColor="text1"/>
          <w:sz w:val="16"/>
          <w:szCs w:val="16"/>
        </w:rPr>
        <w:softHyphen/>
        <w:t>ческой работе и их использованию для усиления боевой мощи Военно-воздуш- ных сил РККА.</w:t>
      </w:r>
    </w:p>
    <w:p w14:paraId="39EDE338"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4) Наградить орденом «Красного Знамени Труда» за образцовую работу и примерность в деле усиления темпов и создания новых образцов самолетов и их вооружения нижеследующих работников завода № 39:</w:t>
      </w:r>
    </w:p>
    <w:p w14:paraId="7632A24C"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Рафалянца Рама Назаровича — молодого инженера-конструктора, члена ВКП(б) с 1920 г., являющегося ближайшим помощником главного конструк</w:t>
      </w:r>
      <w:r w:rsidRPr="00507A31">
        <w:rPr>
          <w:color w:val="000000" w:themeColor="text1"/>
          <w:sz w:val="16"/>
          <w:szCs w:val="16"/>
        </w:rPr>
        <w:softHyphen/>
        <w:t>тора Григоровича и умело воспринимающего его опыт и знания;</w:t>
      </w:r>
    </w:p>
    <w:p w14:paraId="0F893E57"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Башина Федора Федоровича — рабочего, члена партии с 1918 года, группо</w:t>
      </w:r>
      <w:r w:rsidRPr="00507A31">
        <w:rPr>
          <w:color w:val="000000" w:themeColor="text1"/>
          <w:sz w:val="16"/>
          <w:szCs w:val="16"/>
        </w:rPr>
        <w:softHyphen/>
        <w:t>вода по постройке истребителя И-5.</w:t>
      </w:r>
    </w:p>
    <w:p w14:paraId="1F29457B"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Шестера Леона Борисовича — рабочего-медника, члена партии с 1927 г., лучшего ударника;</w:t>
      </w:r>
    </w:p>
    <w:p w14:paraId="0D5B4A2A"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Игнатова Сергея Романовича — рабочего слесаря, беспартийного, лучшего ударника завода;</w:t>
      </w:r>
    </w:p>
    <w:p w14:paraId="0238F5DE"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Зуева Тимофея Арсеньевича — рабочего слесаря, беспартийного, лучшего ударника завода;</w:t>
      </w:r>
    </w:p>
    <w:p w14:paraId="5E3CF97F"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Крючкова Сергея Меркуловича — рабочего слесаря, беспартийного, лучше</w:t>
      </w:r>
      <w:r w:rsidRPr="00507A31">
        <w:rPr>
          <w:color w:val="000000" w:themeColor="text1"/>
          <w:sz w:val="16"/>
          <w:szCs w:val="16"/>
        </w:rPr>
        <w:softHyphen/>
        <w:t>го ударника завода;</w:t>
      </w:r>
    </w:p>
    <w:p w14:paraId="643C71A7"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Романцова Ивана Сергеевича — заместителя зав. производством, выдви</w:t>
      </w:r>
      <w:r w:rsidRPr="00507A31">
        <w:rPr>
          <w:color w:val="000000" w:themeColor="text1"/>
          <w:sz w:val="16"/>
          <w:szCs w:val="16"/>
        </w:rPr>
        <w:softHyphen/>
        <w:t>женца из рабочих, члена партии с 1924 года, обеспечивающего умелой органи</w:t>
      </w:r>
      <w:r w:rsidRPr="00507A31">
        <w:rPr>
          <w:color w:val="000000" w:themeColor="text1"/>
          <w:sz w:val="16"/>
          <w:szCs w:val="16"/>
        </w:rPr>
        <w:softHyphen/>
        <w:t>зацией указанные высокие темны постройки новых опытных типов самолетов.</w:t>
      </w:r>
    </w:p>
    <w:p w14:paraId="7DE0EF74"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Бухгольца Бенедикта Леоновича — беспартийного, летчика завода по испы</w:t>
      </w:r>
      <w:r w:rsidRPr="00507A31">
        <w:rPr>
          <w:color w:val="000000" w:themeColor="text1"/>
          <w:sz w:val="16"/>
          <w:szCs w:val="16"/>
        </w:rPr>
        <w:softHyphen/>
        <w:t>танию новых образцов самолетов и их вооружения.</w:t>
      </w:r>
    </w:p>
    <w:p w14:paraId="394F2289"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Председатель Революционного Военного Совета</w:t>
      </w:r>
    </w:p>
    <w:p w14:paraId="2BECC31A" w14:textId="77777777" w:rsidR="00F203E9" w:rsidRPr="00507A31" w:rsidRDefault="00F203E9" w:rsidP="00507A31">
      <w:pPr>
        <w:pStyle w:val="213"/>
        <w:shd w:val="clear" w:color="auto" w:fill="auto"/>
        <w:tabs>
          <w:tab w:val="left" w:pos="6550"/>
        </w:tabs>
        <w:spacing w:before="0" w:after="0" w:line="240" w:lineRule="auto"/>
        <w:ind w:firstLine="0"/>
        <w:jc w:val="both"/>
        <w:rPr>
          <w:color w:val="000000" w:themeColor="text1"/>
          <w:sz w:val="16"/>
          <w:szCs w:val="16"/>
        </w:rPr>
      </w:pPr>
      <w:r w:rsidRPr="00507A31">
        <w:rPr>
          <w:color w:val="000000" w:themeColor="text1"/>
          <w:sz w:val="16"/>
          <w:szCs w:val="16"/>
        </w:rPr>
        <w:t>Союза ССР</w:t>
      </w:r>
      <w:r w:rsidRPr="00507A31">
        <w:rPr>
          <w:color w:val="000000" w:themeColor="text1"/>
          <w:sz w:val="16"/>
          <w:szCs w:val="16"/>
        </w:rPr>
        <w:tab/>
        <w:t>К.Ворошилов</w:t>
      </w:r>
    </w:p>
    <w:p w14:paraId="3505946A"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Председатель Высшего Совета</w:t>
      </w:r>
    </w:p>
    <w:p w14:paraId="321B636D" w14:textId="77777777" w:rsidR="00F203E9" w:rsidRPr="00507A31" w:rsidRDefault="00F203E9" w:rsidP="00507A31">
      <w:pPr>
        <w:pStyle w:val="213"/>
        <w:shd w:val="clear" w:color="auto" w:fill="auto"/>
        <w:tabs>
          <w:tab w:val="left" w:pos="6432"/>
        </w:tabs>
        <w:spacing w:before="0" w:after="0" w:line="240" w:lineRule="auto"/>
        <w:ind w:firstLine="0"/>
        <w:jc w:val="both"/>
        <w:rPr>
          <w:color w:val="000000" w:themeColor="text1"/>
          <w:sz w:val="16"/>
          <w:szCs w:val="16"/>
        </w:rPr>
      </w:pPr>
      <w:r w:rsidRPr="00507A31">
        <w:rPr>
          <w:color w:val="000000" w:themeColor="text1"/>
          <w:sz w:val="16"/>
          <w:szCs w:val="16"/>
        </w:rPr>
        <w:t>Народного Хозяйства СССР</w:t>
      </w:r>
      <w:r w:rsidRPr="00507A31">
        <w:rPr>
          <w:color w:val="000000" w:themeColor="text1"/>
          <w:sz w:val="16"/>
          <w:szCs w:val="16"/>
        </w:rPr>
        <w:tab/>
        <w:t>Орджоникидзе</w:t>
      </w:r>
    </w:p>
    <w:p w14:paraId="5FC219EC" w14:textId="77777777" w:rsidR="00F203E9" w:rsidRPr="00507A31" w:rsidRDefault="00F203E9" w:rsidP="00507A31">
      <w:pPr>
        <w:pStyle w:val="213"/>
        <w:shd w:val="clear" w:color="auto" w:fill="auto"/>
        <w:spacing w:before="0" w:after="0" w:line="240" w:lineRule="auto"/>
        <w:ind w:firstLine="0"/>
        <w:jc w:val="both"/>
        <w:rPr>
          <w:color w:val="000000" w:themeColor="text1"/>
          <w:sz w:val="16"/>
          <w:szCs w:val="16"/>
        </w:rPr>
      </w:pPr>
      <w:r w:rsidRPr="00507A31">
        <w:rPr>
          <w:color w:val="000000" w:themeColor="text1"/>
          <w:sz w:val="16"/>
          <w:szCs w:val="16"/>
        </w:rPr>
        <w:t>Кроме поименованных здесь лиц (бывших вредителей) я считал бы вполне справедливым применить амнистию и ко всем другим, вместе с Григоровичем и Надашкевичем, работающим в Особом конструкторском бюро.</w:t>
      </w:r>
    </w:p>
    <w:p w14:paraId="34695DF5" w14:textId="77777777" w:rsidR="00F203E9" w:rsidRPr="00507A31" w:rsidRDefault="00F203E9" w:rsidP="00507A31">
      <w:pPr>
        <w:pStyle w:val="35"/>
        <w:shd w:val="clear" w:color="auto" w:fill="auto"/>
        <w:spacing w:line="240" w:lineRule="auto"/>
        <w:jc w:val="both"/>
        <w:rPr>
          <w:rFonts w:ascii="Times New Roman" w:cs="Times New Roman"/>
          <w:color w:val="000000" w:themeColor="text1"/>
          <w:spacing w:val="0"/>
          <w:sz w:val="16"/>
          <w:szCs w:val="16"/>
        </w:rPr>
      </w:pPr>
      <w:r w:rsidRPr="00507A31">
        <w:rPr>
          <w:rStyle w:val="3c"/>
          <w:rFonts w:ascii="Times New Roman" w:hAnsi="Times New Roman" w:cs="Times New Roman"/>
          <w:b w:val="0"/>
          <w:i w:val="0"/>
          <w:color w:val="000000" w:themeColor="text1"/>
          <w:spacing w:val="0"/>
          <w:sz w:val="16"/>
          <w:szCs w:val="16"/>
          <w:lang w:val="ru-RU"/>
        </w:rPr>
        <w:t>К.Ворошилов. Орджоникидзе</w:t>
      </w:r>
      <w:r w:rsidRPr="00507A31">
        <w:rPr>
          <w:rStyle w:val="3c"/>
          <w:rFonts w:ascii="Times New Roman" w:hAnsi="Times New Roman" w:cs="Times New Roman"/>
          <w:b w:val="0"/>
          <w:i w:val="0"/>
          <w:color w:val="000000" w:themeColor="text1"/>
          <w:spacing w:val="0"/>
          <w:sz w:val="16"/>
          <w:szCs w:val="16"/>
          <w:vertAlign w:val="superscript"/>
          <w:lang w:val="ru-RU"/>
        </w:rPr>
        <w:t>320</w:t>
      </w:r>
      <w:r w:rsidRPr="00507A31">
        <w:rPr>
          <w:rStyle w:val="3c"/>
          <w:rFonts w:ascii="Times New Roman" w:hAnsi="Times New Roman" w:cs="Times New Roman"/>
          <w:b w:val="0"/>
          <w:i w:val="0"/>
          <w:color w:val="000000" w:themeColor="text1"/>
          <w:spacing w:val="0"/>
          <w:sz w:val="16"/>
          <w:szCs w:val="16"/>
          <w:lang w:val="ru-RU"/>
        </w:rPr>
        <w:t xml:space="preserve">. </w:t>
      </w:r>
      <w:r w:rsidRPr="00507A31">
        <w:rPr>
          <w:rFonts w:ascii="Times New Roman" w:cs="Times New Roman"/>
          <w:color w:val="000000" w:themeColor="text1"/>
          <w:spacing w:val="0"/>
          <w:sz w:val="16"/>
          <w:szCs w:val="16"/>
        </w:rPr>
        <w:t xml:space="preserve">ГА РФ. Ф. Р-3316. </w:t>
      </w:r>
      <w:r w:rsidRPr="00507A31">
        <w:rPr>
          <w:rFonts w:ascii="Times New Roman" w:cs="Times New Roman"/>
          <w:color w:val="000000" w:themeColor="text1"/>
          <w:spacing w:val="0"/>
          <w:sz w:val="16"/>
          <w:szCs w:val="16"/>
          <w:lang w:val="en-US"/>
        </w:rPr>
        <w:t>On</w:t>
      </w:r>
      <w:r w:rsidRPr="00507A31">
        <w:rPr>
          <w:rFonts w:ascii="Times New Roman" w:cs="Times New Roman"/>
          <w:color w:val="000000" w:themeColor="text1"/>
          <w:spacing w:val="0"/>
          <w:sz w:val="16"/>
          <w:szCs w:val="16"/>
        </w:rPr>
        <w:t>. 64. Д. 1130. Л. 1-4. Заверенная копия (19097).</w:t>
      </w:r>
    </w:p>
    <w:p w14:paraId="49465712" w14:textId="77777777" w:rsidR="00F203E9" w:rsidRPr="00507A31" w:rsidRDefault="00F203E9" w:rsidP="00507A31">
      <w:pPr>
        <w:pStyle w:val="35"/>
        <w:shd w:val="clear" w:color="auto" w:fill="auto"/>
        <w:spacing w:line="240" w:lineRule="auto"/>
        <w:jc w:val="both"/>
        <w:rPr>
          <w:rFonts w:ascii="Times New Roman" w:cs="Times New Roman"/>
          <w:color w:val="000000" w:themeColor="text1"/>
          <w:spacing w:val="0"/>
          <w:sz w:val="16"/>
          <w:szCs w:val="16"/>
        </w:rPr>
      </w:pPr>
    </w:p>
    <w:p w14:paraId="7849EB4E" w14:textId="77777777" w:rsidR="00D529FC" w:rsidRPr="00507A31" w:rsidRDefault="00D529FC" w:rsidP="00507A31">
      <w:pPr>
        <w:jc w:val="both"/>
        <w:rPr>
          <w:color w:val="0070C0"/>
          <w:sz w:val="16"/>
          <w:szCs w:val="16"/>
        </w:rPr>
      </w:pPr>
      <w:r w:rsidRPr="00507A31">
        <w:rPr>
          <w:color w:val="0070C0"/>
          <w:sz w:val="16"/>
          <w:szCs w:val="16"/>
        </w:rPr>
        <w:t>Ранее 8 июля 1930 г.*</w:t>
      </w:r>
    </w:p>
    <w:p w14:paraId="46D51130" w14:textId="77777777" w:rsidR="00D529FC" w:rsidRPr="00507A31" w:rsidRDefault="00D529FC" w:rsidP="00507A31">
      <w:pPr>
        <w:jc w:val="both"/>
        <w:rPr>
          <w:color w:val="0070C0"/>
          <w:sz w:val="16"/>
          <w:szCs w:val="16"/>
        </w:rPr>
      </w:pPr>
      <w:r w:rsidRPr="00507A31">
        <w:rPr>
          <w:color w:val="0070C0"/>
          <w:sz w:val="16"/>
          <w:szCs w:val="16"/>
        </w:rPr>
        <w:t>Представление наркома по военным и морским делам СССР К.Е.Ворошилова и председателя ВСНХ СССР Г.К.Орджоникидзе в Президиум ЦИК СССР об освобождении и награждении группы арестованных инженеров</w:t>
      </w:r>
    </w:p>
    <w:p w14:paraId="77013008" w14:textId="77777777" w:rsidR="00D529FC" w:rsidRPr="00507A31" w:rsidRDefault="00D529FC" w:rsidP="00507A31">
      <w:pPr>
        <w:jc w:val="both"/>
        <w:rPr>
          <w:color w:val="0070C0"/>
          <w:sz w:val="16"/>
          <w:szCs w:val="16"/>
        </w:rPr>
      </w:pPr>
      <w:r w:rsidRPr="00507A31">
        <w:rPr>
          <w:color w:val="0070C0"/>
          <w:sz w:val="16"/>
          <w:szCs w:val="16"/>
        </w:rPr>
        <w:t>Секретно</w:t>
      </w:r>
    </w:p>
    <w:p w14:paraId="039C9BB2" w14:textId="77777777" w:rsidR="00D529FC" w:rsidRPr="00507A31" w:rsidRDefault="00D529FC" w:rsidP="00507A31">
      <w:pPr>
        <w:jc w:val="both"/>
        <w:rPr>
          <w:color w:val="0070C0"/>
          <w:sz w:val="16"/>
          <w:szCs w:val="16"/>
        </w:rPr>
      </w:pPr>
      <w:r w:rsidRPr="00507A31">
        <w:rPr>
          <w:color w:val="0070C0"/>
          <w:sz w:val="16"/>
          <w:szCs w:val="16"/>
        </w:rPr>
        <w:t>ПРЕЗИДИУМ ЦИК СОЮЗА ССР</w:t>
      </w:r>
    </w:p>
    <w:p w14:paraId="2A0DA7A6" w14:textId="77777777" w:rsidR="00D529FC" w:rsidRPr="00507A31" w:rsidRDefault="00D529FC" w:rsidP="00507A31">
      <w:pPr>
        <w:jc w:val="both"/>
        <w:rPr>
          <w:color w:val="0070C0"/>
          <w:sz w:val="16"/>
          <w:szCs w:val="16"/>
        </w:rPr>
      </w:pPr>
      <w:r w:rsidRPr="00507A31">
        <w:rPr>
          <w:color w:val="0070C0"/>
          <w:sz w:val="16"/>
          <w:szCs w:val="16"/>
        </w:rPr>
        <w:t>В марте месяце 1930 г. Совет Труда и Обороны, констатируя исключительно медленный темп конструирования постройки опытных образцов самолетов (от 2-х до 4-х лет) и недопустимо длительное внедрение их в серийное производство (от 2-х до 3-х лет), обязал НКВМ и ВСНХ Союза добиться таких темпов в опытном строительстве, чтобы сроки проектирования, производства и введения новых образцов самолетов на вооружение не превышали 7—8 месяцев.</w:t>
      </w:r>
    </w:p>
    <w:p w14:paraId="68E556AE" w14:textId="77777777" w:rsidR="00D529FC" w:rsidRPr="00507A31" w:rsidRDefault="00D529FC" w:rsidP="00507A31">
      <w:pPr>
        <w:jc w:val="both"/>
        <w:rPr>
          <w:color w:val="0070C0"/>
          <w:sz w:val="16"/>
          <w:szCs w:val="16"/>
        </w:rPr>
      </w:pPr>
      <w:r w:rsidRPr="00507A31">
        <w:rPr>
          <w:color w:val="0070C0"/>
          <w:sz w:val="16"/>
          <w:szCs w:val="16"/>
        </w:rPr>
        <w:t>Во исполнение этого решения опытный самолетный завод ВАО № 39 имени т. Менжинского с его Центральным конструкторским бюро, куда распоряжением ОГПУ были сосредоточены арестованные и приговоренные к различным мерам социальной защиты инженеры-вредители самолетостроения и 8 июля 1930 г. было принято постановление ЦИК СССР, удовлетворявшее данное ходатайств вооружения их во главе с конструкторами Григоровичем Д.П. и Надашкевичем А.В., выпустил с апреля 1930 г. по май 1931 года следующие опытные образцы новых самолетов:</w:t>
      </w:r>
    </w:p>
    <w:p w14:paraId="413B4713" w14:textId="77777777" w:rsidR="00D529FC" w:rsidRPr="00507A31" w:rsidRDefault="00D529FC" w:rsidP="00507A31">
      <w:pPr>
        <w:jc w:val="both"/>
        <w:rPr>
          <w:color w:val="0070C0"/>
          <w:sz w:val="16"/>
          <w:szCs w:val="16"/>
        </w:rPr>
      </w:pPr>
      <w:r w:rsidRPr="00507A31">
        <w:rPr>
          <w:color w:val="0070C0"/>
          <w:sz w:val="16"/>
          <w:szCs w:val="16"/>
        </w:rPr>
        <w:t>Срок проектирования и постройки нового образца:</w:t>
      </w:r>
    </w:p>
    <w:p w14:paraId="1A227307" w14:textId="77777777" w:rsidR="00D529FC" w:rsidRPr="00507A31" w:rsidRDefault="00D529FC" w:rsidP="00507A31">
      <w:pPr>
        <w:jc w:val="both"/>
        <w:rPr>
          <w:color w:val="0070C0"/>
          <w:sz w:val="16"/>
          <w:szCs w:val="16"/>
        </w:rPr>
      </w:pPr>
      <w:r w:rsidRPr="00507A31">
        <w:rPr>
          <w:color w:val="0070C0"/>
          <w:sz w:val="16"/>
          <w:szCs w:val="16"/>
        </w:rPr>
        <w:t>Одноместный истребитель И-5 под мотор Ю-6</w:t>
      </w:r>
      <w:r w:rsidRPr="00507A31">
        <w:rPr>
          <w:color w:val="0070C0"/>
          <w:sz w:val="16"/>
          <w:szCs w:val="16"/>
        </w:rPr>
        <w:tab/>
        <w:t>2 мес. 28 дней</w:t>
      </w:r>
    </w:p>
    <w:p w14:paraId="36A3A631" w14:textId="77777777" w:rsidR="00D529FC" w:rsidRPr="00507A31" w:rsidRDefault="00D529FC" w:rsidP="00507A31">
      <w:pPr>
        <w:jc w:val="both"/>
        <w:rPr>
          <w:color w:val="0070C0"/>
          <w:sz w:val="16"/>
          <w:szCs w:val="16"/>
        </w:rPr>
      </w:pPr>
      <w:r w:rsidRPr="00507A31">
        <w:rPr>
          <w:color w:val="0070C0"/>
          <w:sz w:val="16"/>
          <w:szCs w:val="16"/>
        </w:rPr>
        <w:t>2-х местный легкий штурмовик ЛШ под мотор М-17</w:t>
      </w:r>
      <w:r w:rsidRPr="00507A31">
        <w:rPr>
          <w:color w:val="0070C0"/>
          <w:sz w:val="16"/>
          <w:szCs w:val="16"/>
        </w:rPr>
        <w:tab/>
        <w:t>3 " 24 "</w:t>
      </w:r>
    </w:p>
    <w:p w14:paraId="3F2B66B0" w14:textId="77777777" w:rsidR="00D529FC" w:rsidRPr="00507A31" w:rsidRDefault="00D529FC" w:rsidP="00507A31">
      <w:pPr>
        <w:jc w:val="both"/>
        <w:rPr>
          <w:color w:val="0070C0"/>
          <w:sz w:val="16"/>
          <w:szCs w:val="16"/>
        </w:rPr>
      </w:pPr>
      <w:r w:rsidRPr="00507A31">
        <w:rPr>
          <w:color w:val="0070C0"/>
          <w:sz w:val="16"/>
          <w:szCs w:val="16"/>
        </w:rPr>
        <w:t>2-х местный тяжелый бронированный штурмовик ТШ под мотор М-1</w:t>
      </w:r>
      <w:r w:rsidRPr="00507A31">
        <w:rPr>
          <w:color w:val="0070C0"/>
          <w:sz w:val="16"/>
          <w:szCs w:val="16"/>
        </w:rPr>
        <w:tab/>
        <w:t>3 " 5 "</w:t>
      </w:r>
    </w:p>
    <w:p w14:paraId="7F0F5350" w14:textId="77777777" w:rsidR="00D529FC" w:rsidRPr="00507A31" w:rsidRDefault="00D529FC" w:rsidP="00507A31">
      <w:pPr>
        <w:jc w:val="both"/>
        <w:rPr>
          <w:color w:val="0070C0"/>
          <w:sz w:val="16"/>
          <w:szCs w:val="16"/>
        </w:rPr>
      </w:pPr>
      <w:r w:rsidRPr="00507A31">
        <w:rPr>
          <w:color w:val="0070C0"/>
          <w:sz w:val="16"/>
          <w:szCs w:val="16"/>
        </w:rPr>
        <w:t>2-х местный истребитель ДИЗ под мотор М-17</w:t>
      </w:r>
      <w:r w:rsidRPr="00507A31">
        <w:rPr>
          <w:color w:val="0070C0"/>
          <w:sz w:val="16"/>
          <w:szCs w:val="16"/>
        </w:rPr>
        <w:tab/>
        <w:t>3 " 20 "</w:t>
      </w:r>
    </w:p>
    <w:p w14:paraId="09FC1B0D" w14:textId="77777777" w:rsidR="00D529FC" w:rsidRPr="00507A31" w:rsidRDefault="00D529FC" w:rsidP="00507A31">
      <w:pPr>
        <w:jc w:val="both"/>
        <w:rPr>
          <w:color w:val="0070C0"/>
          <w:sz w:val="16"/>
          <w:szCs w:val="16"/>
        </w:rPr>
      </w:pPr>
      <w:r w:rsidRPr="00507A31">
        <w:rPr>
          <w:color w:val="0070C0"/>
          <w:sz w:val="16"/>
          <w:szCs w:val="16"/>
        </w:rPr>
        <w:t>Штурмовик особого назначения ШОН под мотор М-17</w:t>
      </w:r>
      <w:r w:rsidRPr="00507A31">
        <w:rPr>
          <w:color w:val="0070C0"/>
          <w:sz w:val="16"/>
          <w:szCs w:val="16"/>
        </w:rPr>
        <w:tab/>
        <w:t>2 " 19 ”</w:t>
      </w:r>
    </w:p>
    <w:p w14:paraId="27A68649" w14:textId="77777777" w:rsidR="00D529FC" w:rsidRPr="00507A31" w:rsidRDefault="00D529FC" w:rsidP="00507A31">
      <w:pPr>
        <w:jc w:val="both"/>
        <w:rPr>
          <w:color w:val="0070C0"/>
          <w:sz w:val="16"/>
          <w:szCs w:val="16"/>
        </w:rPr>
      </w:pPr>
      <w:r w:rsidRPr="00507A31">
        <w:rPr>
          <w:color w:val="0070C0"/>
          <w:sz w:val="16"/>
          <w:szCs w:val="16"/>
        </w:rPr>
        <w:t>Особый истребит. № 7 под мотор ЮП-6</w:t>
      </w:r>
      <w:r w:rsidRPr="00507A31">
        <w:rPr>
          <w:color w:val="0070C0"/>
          <w:sz w:val="16"/>
          <w:szCs w:val="16"/>
        </w:rPr>
        <w:tab/>
        <w:t>5 "</w:t>
      </w:r>
    </w:p>
    <w:p w14:paraId="3A7A59B7" w14:textId="77777777" w:rsidR="00D529FC" w:rsidRPr="00507A31" w:rsidRDefault="00D529FC" w:rsidP="00507A31">
      <w:pPr>
        <w:jc w:val="both"/>
        <w:rPr>
          <w:color w:val="0070C0"/>
          <w:sz w:val="16"/>
          <w:szCs w:val="16"/>
        </w:rPr>
      </w:pPr>
      <w:r w:rsidRPr="00507A31">
        <w:rPr>
          <w:color w:val="0070C0"/>
          <w:sz w:val="16"/>
          <w:szCs w:val="16"/>
        </w:rPr>
        <w:t>Тяжелый бомбардировщик ТБ-5 под 4 мотора ЮП-6 (заканчивается постройкой)</w:t>
      </w:r>
      <w:r w:rsidRPr="00507A31">
        <w:rPr>
          <w:color w:val="0070C0"/>
          <w:sz w:val="16"/>
          <w:szCs w:val="16"/>
        </w:rPr>
        <w:tab/>
        <w:t>6,5 мес.</w:t>
      </w:r>
    </w:p>
    <w:p w14:paraId="02D087FE" w14:textId="77777777" w:rsidR="00D529FC" w:rsidRPr="00507A31" w:rsidRDefault="00D529FC" w:rsidP="00507A31">
      <w:pPr>
        <w:jc w:val="both"/>
        <w:rPr>
          <w:color w:val="0070C0"/>
          <w:sz w:val="16"/>
          <w:szCs w:val="16"/>
        </w:rPr>
      </w:pPr>
      <w:r w:rsidRPr="00507A31">
        <w:rPr>
          <w:color w:val="0070C0"/>
          <w:sz w:val="16"/>
          <w:szCs w:val="16"/>
        </w:rPr>
        <w:lastRenderedPageBreak/>
        <w:t>Помимо такого небывалого увеличения темпов и сокращения сроков опытного строительства к большим достижениям завода № 39 и его Конструкторского бюро надо отнести:</w:t>
      </w:r>
    </w:p>
    <w:p w14:paraId="14FDCBD4" w14:textId="77777777" w:rsidR="00D529FC" w:rsidRPr="00507A31" w:rsidRDefault="00D529FC" w:rsidP="00507A31">
      <w:pPr>
        <w:jc w:val="both"/>
        <w:rPr>
          <w:color w:val="0070C0"/>
          <w:sz w:val="16"/>
          <w:szCs w:val="16"/>
        </w:rPr>
      </w:pPr>
      <w:r w:rsidRPr="00507A31">
        <w:rPr>
          <w:color w:val="0070C0"/>
          <w:sz w:val="16"/>
          <w:szCs w:val="16"/>
        </w:rPr>
        <w:t>переход на смешанную конструкцию, т. е. постройку опытных образцов из сварных стальных труб (дюраль с деревянной и полотняной обшивкой), что до весны 1930 г. в СССР не производилось; выпуск новых типов самолетов, стоящих на уровне лучших заграничных образцов по своим летно-тактическим данным и, особенно, по своему вооружению.</w:t>
      </w:r>
    </w:p>
    <w:p w14:paraId="67815277" w14:textId="77777777" w:rsidR="00D529FC" w:rsidRPr="00507A31" w:rsidRDefault="00D529FC" w:rsidP="00507A31">
      <w:pPr>
        <w:jc w:val="both"/>
        <w:rPr>
          <w:color w:val="0070C0"/>
          <w:sz w:val="16"/>
          <w:szCs w:val="16"/>
        </w:rPr>
      </w:pPr>
      <w:r w:rsidRPr="00507A31">
        <w:rPr>
          <w:color w:val="0070C0"/>
          <w:sz w:val="16"/>
          <w:szCs w:val="16"/>
        </w:rPr>
        <w:t>Революционный Военный Совет Союза и Президиум ВСНХ считают, что эта исключительная работа самолетостроительного завода № 39 по укреплению мощи Военно-воздушных сил РККА, их исключительные реальные достижения заслуживают высокой награды. На основании этого РВСС и ВСНХ ходатайствуют:</w:t>
      </w:r>
    </w:p>
    <w:p w14:paraId="674596E4" w14:textId="77777777" w:rsidR="00D529FC" w:rsidRPr="00507A31" w:rsidRDefault="00D529FC" w:rsidP="00507A31">
      <w:pPr>
        <w:jc w:val="both"/>
        <w:rPr>
          <w:color w:val="0070C0"/>
          <w:sz w:val="16"/>
          <w:szCs w:val="16"/>
        </w:rPr>
      </w:pPr>
      <w:r w:rsidRPr="00507A31">
        <w:rPr>
          <w:color w:val="0070C0"/>
          <w:sz w:val="16"/>
          <w:szCs w:val="16"/>
        </w:rPr>
        <w:t>1) Наградить завод № 39, уже имеющий орден «Красного Знамени и Труда», — орденом «Ленина» за выполнение и перевыполнение постановления правительства в отношении сроков опытного самолетостроения и в отношении качества и вооружения новых типов самолетов.</w:t>
      </w:r>
    </w:p>
    <w:p w14:paraId="73BA85BD" w14:textId="77777777" w:rsidR="00D529FC" w:rsidRPr="00507A31" w:rsidRDefault="00D529FC" w:rsidP="00507A31">
      <w:pPr>
        <w:jc w:val="both"/>
        <w:rPr>
          <w:color w:val="0070C0"/>
          <w:sz w:val="16"/>
          <w:szCs w:val="16"/>
        </w:rPr>
      </w:pPr>
      <w:r w:rsidRPr="00507A31">
        <w:rPr>
          <w:color w:val="0070C0"/>
          <w:sz w:val="16"/>
          <w:szCs w:val="16"/>
        </w:rPr>
        <w:t>2) Полностью амнистировать нижеследующих конструкторов-вредителей, приговоренных коллегией ОГПУ к различным мерам социальной защиты, с одновременным их награждением.</w:t>
      </w:r>
    </w:p>
    <w:p w14:paraId="55A9867D" w14:textId="77777777" w:rsidR="00D529FC" w:rsidRPr="00507A31" w:rsidRDefault="00D529FC" w:rsidP="00507A31">
      <w:pPr>
        <w:jc w:val="both"/>
        <w:rPr>
          <w:color w:val="0070C0"/>
          <w:sz w:val="16"/>
          <w:szCs w:val="16"/>
        </w:rPr>
      </w:pPr>
      <w:r w:rsidRPr="00507A31">
        <w:rPr>
          <w:color w:val="0070C0"/>
          <w:sz w:val="16"/>
          <w:szCs w:val="16"/>
        </w:rPr>
        <w:t>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СССР и денежной наградой в 10 000 рублей.</w:t>
      </w:r>
    </w:p>
    <w:p w14:paraId="639959BA" w14:textId="77777777" w:rsidR="00D529FC" w:rsidRPr="00507A31" w:rsidRDefault="00D529FC" w:rsidP="00507A31">
      <w:pPr>
        <w:jc w:val="both"/>
        <w:rPr>
          <w:color w:val="0070C0"/>
          <w:sz w:val="16"/>
          <w:szCs w:val="16"/>
        </w:rPr>
      </w:pPr>
      <w:r w:rsidRPr="00507A31">
        <w:rPr>
          <w:color w:val="0070C0"/>
          <w:sz w:val="16"/>
          <w:szCs w:val="16"/>
        </w:rPr>
        <w:t>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СССР и денежной наградой в 10 000 рублей.</w:t>
      </w:r>
    </w:p>
    <w:p w14:paraId="0D141921" w14:textId="77777777" w:rsidR="00D529FC" w:rsidRPr="00507A31" w:rsidRDefault="00D529FC" w:rsidP="00507A31">
      <w:pPr>
        <w:jc w:val="both"/>
        <w:rPr>
          <w:color w:val="0070C0"/>
          <w:sz w:val="16"/>
          <w:szCs w:val="16"/>
        </w:rPr>
      </w:pPr>
      <w:r w:rsidRPr="00507A31">
        <w:rPr>
          <w:color w:val="0070C0"/>
          <w:sz w:val="16"/>
          <w:szCs w:val="16"/>
        </w:rPr>
        <w:t>Технического директора завода № 1 Косткина Ивана Михайловича — денежной наградой в 3000 рублей.</w:t>
      </w:r>
    </w:p>
    <w:p w14:paraId="5714B152" w14:textId="77777777" w:rsidR="00D529FC" w:rsidRPr="00507A31" w:rsidRDefault="00D529FC" w:rsidP="00507A31">
      <w:pPr>
        <w:jc w:val="both"/>
        <w:rPr>
          <w:color w:val="0070C0"/>
          <w:sz w:val="16"/>
          <w:szCs w:val="16"/>
        </w:rPr>
      </w:pPr>
      <w:r w:rsidRPr="00507A31">
        <w:rPr>
          <w:color w:val="0070C0"/>
          <w:sz w:val="16"/>
          <w:szCs w:val="16"/>
        </w:rPr>
        <w:t>Б[ывшего] постоянного члена НТК УВВС РККА Крейсона Павла Мартыновича — денежной наградой в 1000 рублей.</w:t>
      </w:r>
    </w:p>
    <w:p w14:paraId="4FE388AE" w14:textId="77777777" w:rsidR="00D529FC" w:rsidRPr="00507A31" w:rsidRDefault="00D529FC" w:rsidP="00507A31">
      <w:pPr>
        <w:jc w:val="both"/>
        <w:rPr>
          <w:color w:val="0070C0"/>
          <w:sz w:val="16"/>
          <w:szCs w:val="16"/>
        </w:rPr>
      </w:pPr>
      <w:r w:rsidRPr="00507A31">
        <w:rPr>
          <w:color w:val="0070C0"/>
          <w:sz w:val="16"/>
          <w:szCs w:val="16"/>
        </w:rPr>
        <w:t>Быв[шего] инженера ВАО Корвина Виктора Львовича — денежной наградой в 1000 рублей.</w:t>
      </w:r>
    </w:p>
    <w:p w14:paraId="66FF58A5" w14:textId="77777777" w:rsidR="00D529FC" w:rsidRPr="00507A31" w:rsidRDefault="00D529FC" w:rsidP="00507A31">
      <w:pPr>
        <w:jc w:val="both"/>
        <w:rPr>
          <w:color w:val="0070C0"/>
          <w:sz w:val="16"/>
          <w:szCs w:val="16"/>
        </w:rPr>
      </w:pPr>
      <w:r w:rsidRPr="00507A31">
        <w:rPr>
          <w:color w:val="0070C0"/>
          <w:sz w:val="16"/>
          <w:szCs w:val="16"/>
        </w:rPr>
        <w:t>3) Наградить орденом «Красной Звезды» начальника завода № 39 т. Горянова Анатолия Григорьевича и его заместителя т. Пауфлера Николая Евгеньевича за проявленную ими инициативу и упорство по созданию ЦКБ, умелой организации в нем работы, перевоспитанию инженеров-вредителей на практической работе и их использованию для усиления боевой мощи Военно-воздушных сил РККА.</w:t>
      </w:r>
    </w:p>
    <w:p w14:paraId="6CF89F2F" w14:textId="77777777" w:rsidR="00D529FC" w:rsidRPr="00507A31" w:rsidRDefault="00D529FC" w:rsidP="00507A31">
      <w:pPr>
        <w:jc w:val="both"/>
        <w:rPr>
          <w:color w:val="0070C0"/>
          <w:sz w:val="16"/>
          <w:szCs w:val="16"/>
        </w:rPr>
      </w:pPr>
      <w:r w:rsidRPr="00507A31">
        <w:rPr>
          <w:color w:val="0070C0"/>
          <w:sz w:val="16"/>
          <w:szCs w:val="16"/>
        </w:rPr>
        <w:t>4) Наградить орденом «Красного Знамени Труда» за образцовую работу и примерность в деле усиления темпов и создания новых образцов самолетов и их вооружения нижеследующих работников завода № 39:</w:t>
      </w:r>
    </w:p>
    <w:p w14:paraId="18FFC7D6" w14:textId="77777777" w:rsidR="00D529FC" w:rsidRPr="00507A31" w:rsidRDefault="00D529FC" w:rsidP="00507A31">
      <w:pPr>
        <w:jc w:val="both"/>
        <w:rPr>
          <w:color w:val="0070C0"/>
          <w:sz w:val="16"/>
          <w:szCs w:val="16"/>
        </w:rPr>
      </w:pPr>
      <w:r w:rsidRPr="00507A31">
        <w:rPr>
          <w:color w:val="0070C0"/>
          <w:sz w:val="16"/>
          <w:szCs w:val="16"/>
        </w:rPr>
        <w:t>Рафалянца Рама Назаровича — молодого инженера-конструктора, члена ВКП(б) с 1920 г., являющегося ближайшим помощником главного конструктора Григоровича и умело воспринимающего его опыт и знания;</w:t>
      </w:r>
    </w:p>
    <w:p w14:paraId="27A216AA" w14:textId="77777777" w:rsidR="00D529FC" w:rsidRPr="00507A31" w:rsidRDefault="00D529FC" w:rsidP="00507A31">
      <w:pPr>
        <w:jc w:val="both"/>
        <w:rPr>
          <w:color w:val="0070C0"/>
          <w:sz w:val="16"/>
          <w:szCs w:val="16"/>
        </w:rPr>
      </w:pPr>
      <w:r w:rsidRPr="00507A31">
        <w:rPr>
          <w:color w:val="0070C0"/>
          <w:sz w:val="16"/>
          <w:szCs w:val="16"/>
        </w:rPr>
        <w:t>Башина Федора Федоровича — рабочего, члена партии с 1918 года, групповода по постройке истребителя И-5.</w:t>
      </w:r>
    </w:p>
    <w:p w14:paraId="104C3AE6" w14:textId="77777777" w:rsidR="00D529FC" w:rsidRPr="00507A31" w:rsidRDefault="00D529FC" w:rsidP="00507A31">
      <w:pPr>
        <w:jc w:val="both"/>
        <w:rPr>
          <w:color w:val="0070C0"/>
          <w:sz w:val="16"/>
          <w:szCs w:val="16"/>
        </w:rPr>
      </w:pPr>
      <w:r w:rsidRPr="00507A31">
        <w:rPr>
          <w:color w:val="0070C0"/>
          <w:sz w:val="16"/>
          <w:szCs w:val="16"/>
        </w:rPr>
        <w:t>Шестера Леона Борисовича — рабочего-медника, члена партии с 1927 г., лучшего ударника;</w:t>
      </w:r>
    </w:p>
    <w:p w14:paraId="577C3370" w14:textId="77777777" w:rsidR="00D529FC" w:rsidRPr="00507A31" w:rsidRDefault="00D529FC" w:rsidP="00507A31">
      <w:pPr>
        <w:jc w:val="both"/>
        <w:rPr>
          <w:color w:val="0070C0"/>
          <w:sz w:val="16"/>
          <w:szCs w:val="16"/>
        </w:rPr>
      </w:pPr>
      <w:r w:rsidRPr="00507A31">
        <w:rPr>
          <w:color w:val="0070C0"/>
          <w:sz w:val="16"/>
          <w:szCs w:val="16"/>
        </w:rPr>
        <w:t>Игнатова Сергея Романовича — рабочего слесаря, беспартийного, лучшего ударника завода;</w:t>
      </w:r>
    </w:p>
    <w:p w14:paraId="52CE3E22" w14:textId="77777777" w:rsidR="00D529FC" w:rsidRPr="00507A31" w:rsidRDefault="00D529FC" w:rsidP="00507A31">
      <w:pPr>
        <w:jc w:val="both"/>
        <w:rPr>
          <w:color w:val="0070C0"/>
          <w:sz w:val="16"/>
          <w:szCs w:val="16"/>
        </w:rPr>
      </w:pPr>
      <w:r w:rsidRPr="00507A31">
        <w:rPr>
          <w:color w:val="0070C0"/>
          <w:sz w:val="16"/>
          <w:szCs w:val="16"/>
        </w:rPr>
        <w:t>Зуева Тимофея Арсеньевича — рабочего слесаря, беспартийного, лучшего ударника завода;</w:t>
      </w:r>
    </w:p>
    <w:p w14:paraId="4D326E26" w14:textId="77777777" w:rsidR="00D529FC" w:rsidRPr="00507A31" w:rsidRDefault="00D529FC" w:rsidP="00507A31">
      <w:pPr>
        <w:jc w:val="both"/>
        <w:rPr>
          <w:color w:val="0070C0"/>
          <w:sz w:val="16"/>
          <w:szCs w:val="16"/>
        </w:rPr>
      </w:pPr>
      <w:r w:rsidRPr="00507A31">
        <w:rPr>
          <w:color w:val="0070C0"/>
          <w:sz w:val="16"/>
          <w:szCs w:val="16"/>
        </w:rPr>
        <w:t>Крючкова Сергея Меркуловича — рабочего слесаря, беспартийного, лучшего ударника завода;</w:t>
      </w:r>
    </w:p>
    <w:p w14:paraId="22B892CE" w14:textId="77777777" w:rsidR="00D529FC" w:rsidRPr="00507A31" w:rsidRDefault="00D529FC" w:rsidP="00507A31">
      <w:pPr>
        <w:jc w:val="both"/>
        <w:rPr>
          <w:color w:val="0070C0"/>
          <w:sz w:val="16"/>
          <w:szCs w:val="16"/>
        </w:rPr>
      </w:pPr>
      <w:r w:rsidRPr="00507A31">
        <w:rPr>
          <w:color w:val="0070C0"/>
          <w:sz w:val="16"/>
          <w:szCs w:val="16"/>
        </w:rPr>
        <w:t>Романцова Ивана Сергеевича — заместителя зав. производством, выдвиженца из рабочих, члена партии с 1924 года, обеспечивающего умелой организацией указанные высокие темны постройки новых опытных типов самолетов.</w:t>
      </w:r>
    </w:p>
    <w:p w14:paraId="1DE4AB00" w14:textId="77777777" w:rsidR="00D529FC" w:rsidRPr="00507A31" w:rsidRDefault="00D529FC" w:rsidP="00507A31">
      <w:pPr>
        <w:jc w:val="both"/>
        <w:rPr>
          <w:color w:val="0070C0"/>
          <w:sz w:val="16"/>
          <w:szCs w:val="16"/>
        </w:rPr>
      </w:pPr>
      <w:r w:rsidRPr="00507A31">
        <w:rPr>
          <w:color w:val="0070C0"/>
          <w:sz w:val="16"/>
          <w:szCs w:val="16"/>
        </w:rPr>
        <w:t>Бухгольца Бенедикта Леоновича — беспартийного, летчика завода по испытанию новых образцов самолетов и их вооружения.</w:t>
      </w:r>
    </w:p>
    <w:p w14:paraId="6880E162" w14:textId="77777777" w:rsidR="00D529FC" w:rsidRPr="00507A31" w:rsidRDefault="00D529FC" w:rsidP="00507A31">
      <w:pPr>
        <w:jc w:val="both"/>
        <w:rPr>
          <w:color w:val="0070C0"/>
          <w:sz w:val="16"/>
          <w:szCs w:val="16"/>
        </w:rPr>
      </w:pPr>
      <w:r w:rsidRPr="00507A31">
        <w:rPr>
          <w:color w:val="0070C0"/>
          <w:sz w:val="16"/>
          <w:szCs w:val="16"/>
        </w:rPr>
        <w:t xml:space="preserve">Председатель Революционного Военного Совета </w:t>
      </w:r>
    </w:p>
    <w:p w14:paraId="33536A42" w14:textId="77777777" w:rsidR="00D529FC" w:rsidRPr="00507A31" w:rsidRDefault="00D529FC" w:rsidP="00507A31">
      <w:pPr>
        <w:jc w:val="both"/>
        <w:rPr>
          <w:color w:val="0070C0"/>
          <w:sz w:val="16"/>
          <w:szCs w:val="16"/>
        </w:rPr>
      </w:pPr>
      <w:r w:rsidRPr="00507A31">
        <w:rPr>
          <w:color w:val="0070C0"/>
          <w:sz w:val="16"/>
          <w:szCs w:val="16"/>
        </w:rPr>
        <w:t>Союза ССР</w:t>
      </w:r>
      <w:r w:rsidRPr="00507A31">
        <w:rPr>
          <w:color w:val="0070C0"/>
          <w:sz w:val="16"/>
          <w:szCs w:val="16"/>
        </w:rPr>
        <w:tab/>
        <w:t>К. Ворошилов</w:t>
      </w:r>
    </w:p>
    <w:p w14:paraId="222030E8" w14:textId="77777777" w:rsidR="00D529FC" w:rsidRPr="00507A31" w:rsidRDefault="00D529FC" w:rsidP="00507A31">
      <w:pPr>
        <w:jc w:val="both"/>
        <w:rPr>
          <w:color w:val="0070C0"/>
          <w:sz w:val="16"/>
          <w:szCs w:val="16"/>
        </w:rPr>
      </w:pPr>
      <w:r w:rsidRPr="00507A31">
        <w:rPr>
          <w:color w:val="0070C0"/>
          <w:sz w:val="16"/>
          <w:szCs w:val="16"/>
        </w:rPr>
        <w:t>Председатель Высшего Совета</w:t>
      </w:r>
    </w:p>
    <w:p w14:paraId="48010055" w14:textId="77777777" w:rsidR="00D529FC" w:rsidRPr="00507A31" w:rsidRDefault="00D529FC" w:rsidP="00507A31">
      <w:pPr>
        <w:jc w:val="both"/>
        <w:rPr>
          <w:color w:val="0070C0"/>
          <w:sz w:val="16"/>
          <w:szCs w:val="16"/>
        </w:rPr>
      </w:pPr>
      <w:r w:rsidRPr="00507A31">
        <w:rPr>
          <w:color w:val="0070C0"/>
          <w:sz w:val="16"/>
          <w:szCs w:val="16"/>
        </w:rPr>
        <w:t>Народного Хозяйства СССР</w:t>
      </w:r>
      <w:r w:rsidRPr="00507A31">
        <w:rPr>
          <w:color w:val="0070C0"/>
          <w:sz w:val="16"/>
          <w:szCs w:val="16"/>
        </w:rPr>
        <w:tab/>
        <w:t>Орджоникидзе</w:t>
      </w:r>
    </w:p>
    <w:p w14:paraId="6976A4BA" w14:textId="77777777" w:rsidR="00D529FC" w:rsidRPr="00507A31" w:rsidRDefault="00D529FC" w:rsidP="00507A31">
      <w:pPr>
        <w:jc w:val="both"/>
        <w:rPr>
          <w:color w:val="0070C0"/>
          <w:sz w:val="16"/>
          <w:szCs w:val="16"/>
        </w:rPr>
      </w:pPr>
      <w:r w:rsidRPr="00507A31">
        <w:rPr>
          <w:color w:val="0070C0"/>
          <w:sz w:val="16"/>
          <w:szCs w:val="16"/>
        </w:rPr>
        <w:t>Кроме поименованных здесь лиц (бывших вредителей) я считал бы вполне справедливым применить амнистию и ко всем другим, вместе с Григоровичем и Надашкевичем, работающим в Особом конструкторском бюро.</w:t>
      </w:r>
    </w:p>
    <w:p w14:paraId="079A6A56" w14:textId="77777777" w:rsidR="00D529FC" w:rsidRPr="00507A31" w:rsidRDefault="00D529FC" w:rsidP="00507A31">
      <w:pPr>
        <w:jc w:val="both"/>
        <w:rPr>
          <w:color w:val="0070C0"/>
          <w:sz w:val="16"/>
          <w:szCs w:val="16"/>
        </w:rPr>
      </w:pPr>
      <w:r w:rsidRPr="00507A31">
        <w:rPr>
          <w:color w:val="0070C0"/>
          <w:sz w:val="16"/>
          <w:szCs w:val="16"/>
        </w:rPr>
        <w:t>К.Ворошилов. Орджоникидзе.</w:t>
      </w:r>
    </w:p>
    <w:p w14:paraId="49EE14E5" w14:textId="77777777" w:rsidR="00D529FC" w:rsidRPr="00507A31" w:rsidRDefault="00D529FC" w:rsidP="00507A31">
      <w:pPr>
        <w:jc w:val="both"/>
        <w:rPr>
          <w:color w:val="0070C0"/>
          <w:sz w:val="16"/>
          <w:szCs w:val="16"/>
        </w:rPr>
      </w:pPr>
      <w:r w:rsidRPr="00507A31">
        <w:rPr>
          <w:color w:val="0070C0"/>
          <w:sz w:val="16"/>
          <w:szCs w:val="16"/>
        </w:rPr>
        <w:t>ГА РФ. Ф. P-3316. On. 64. Д. ИЗО. Л. 1—4. Заверенная копия (20635).</w:t>
      </w:r>
    </w:p>
    <w:p w14:paraId="4DA4831C" w14:textId="77777777" w:rsidR="00D529FC" w:rsidRPr="00507A31" w:rsidRDefault="00D529FC" w:rsidP="00507A31">
      <w:pPr>
        <w:jc w:val="both"/>
        <w:rPr>
          <w:color w:val="0070C0"/>
          <w:sz w:val="16"/>
          <w:szCs w:val="16"/>
        </w:rPr>
      </w:pPr>
    </w:p>
    <w:p w14:paraId="2A8729E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E604184" w14:textId="77777777" w:rsidR="00537E5F" w:rsidRPr="00507A31" w:rsidRDefault="00537E5F" w:rsidP="00507A31">
      <w:pPr>
        <w:autoSpaceDE w:val="0"/>
        <w:autoSpaceDN w:val="0"/>
        <w:adjustRightInd w:val="0"/>
        <w:jc w:val="both"/>
        <w:rPr>
          <w:iCs/>
          <w:color w:val="000000" w:themeColor="text1"/>
          <w:sz w:val="16"/>
          <w:szCs w:val="16"/>
        </w:rPr>
      </w:pPr>
    </w:p>
    <w:p w14:paraId="6DBE2550" w14:textId="77777777" w:rsidR="00FA65DB" w:rsidRPr="00507A31" w:rsidRDefault="00FA65DB" w:rsidP="00507A31">
      <w:pPr>
        <w:jc w:val="both"/>
        <w:rPr>
          <w:color w:val="000000" w:themeColor="text1"/>
          <w:sz w:val="16"/>
          <w:szCs w:val="16"/>
        </w:rPr>
      </w:pPr>
      <w:r w:rsidRPr="00507A31">
        <w:rPr>
          <w:color w:val="000000" w:themeColor="text1"/>
          <w:sz w:val="16"/>
          <w:szCs w:val="16"/>
        </w:rPr>
        <w:t>8 июля 1930</w:t>
      </w:r>
    </w:p>
    <w:p w14:paraId="32AA6F64" w14:textId="77777777" w:rsidR="00FA65DB" w:rsidRPr="00507A31" w:rsidRDefault="00FA65DB" w:rsidP="00507A31">
      <w:pPr>
        <w:jc w:val="both"/>
        <w:rPr>
          <w:color w:val="000000" w:themeColor="text1"/>
          <w:sz w:val="16"/>
          <w:szCs w:val="16"/>
        </w:rPr>
      </w:pPr>
      <w:r w:rsidRPr="00507A31">
        <w:rPr>
          <w:color w:val="000000" w:themeColor="text1"/>
          <w:sz w:val="16"/>
          <w:szCs w:val="16"/>
        </w:rPr>
        <w:t>Дело: Фонд 6р, опись 1, ед.хр. 1109, Дело ?21. 'Подлинные журналы и протоколы'. Архив АртМузея. СПб.</w:t>
      </w:r>
    </w:p>
    <w:p w14:paraId="4F801696" w14:textId="77777777" w:rsidR="00FA65DB" w:rsidRPr="00507A31" w:rsidRDefault="00FA65DB" w:rsidP="00507A31">
      <w:pPr>
        <w:jc w:val="both"/>
        <w:rPr>
          <w:color w:val="000000" w:themeColor="text1"/>
          <w:sz w:val="16"/>
          <w:szCs w:val="16"/>
        </w:rPr>
      </w:pPr>
      <w:r w:rsidRPr="00507A31">
        <w:rPr>
          <w:color w:val="000000" w:themeColor="text1"/>
          <w:sz w:val="16"/>
          <w:szCs w:val="16"/>
        </w:rPr>
        <w:t>Лист 8-9.</w:t>
      </w:r>
    </w:p>
    <w:p w14:paraId="7FEF485D" w14:textId="77777777" w:rsidR="00FA65DB" w:rsidRPr="00507A31" w:rsidRDefault="00FA65DB" w:rsidP="00507A31">
      <w:pPr>
        <w:jc w:val="both"/>
        <w:rPr>
          <w:color w:val="000000" w:themeColor="text1"/>
          <w:sz w:val="16"/>
          <w:szCs w:val="16"/>
        </w:rPr>
      </w:pPr>
      <w:r w:rsidRPr="00507A31">
        <w:rPr>
          <w:color w:val="000000" w:themeColor="text1"/>
          <w:sz w:val="16"/>
          <w:szCs w:val="16"/>
        </w:rPr>
        <w:t>Протокол ?125сс исх. 5/11376сс от 8/VII-30г.</w:t>
      </w:r>
    </w:p>
    <w:p w14:paraId="19B809C1" w14:textId="77777777" w:rsidR="00FA65DB" w:rsidRPr="00507A31" w:rsidRDefault="00FA65DB" w:rsidP="00507A31">
      <w:pPr>
        <w:jc w:val="both"/>
        <w:rPr>
          <w:color w:val="000000" w:themeColor="text1"/>
          <w:sz w:val="16"/>
          <w:szCs w:val="16"/>
        </w:rPr>
      </w:pPr>
      <w:r w:rsidRPr="00507A31">
        <w:rPr>
          <w:color w:val="000000" w:themeColor="text1"/>
          <w:sz w:val="16"/>
          <w:szCs w:val="16"/>
        </w:rPr>
        <w:t>На Совещании присутствовали:</w:t>
      </w:r>
    </w:p>
    <w:p w14:paraId="445AEF3B" w14:textId="77777777" w:rsidR="00FA65DB" w:rsidRPr="00507A31" w:rsidRDefault="00FA65DB" w:rsidP="00507A31">
      <w:pPr>
        <w:jc w:val="both"/>
        <w:rPr>
          <w:color w:val="000000" w:themeColor="text1"/>
          <w:sz w:val="16"/>
          <w:szCs w:val="16"/>
        </w:rPr>
      </w:pPr>
      <w:r w:rsidRPr="00507A31">
        <w:rPr>
          <w:color w:val="000000" w:themeColor="text1"/>
          <w:sz w:val="16"/>
          <w:szCs w:val="16"/>
        </w:rPr>
        <w:t>Пред. 6 секции НТК АУ тов. ЦВЕТКОВСКИЙ, Член НТК т. Любимов и Смирнский.</w:t>
      </w:r>
    </w:p>
    <w:p w14:paraId="6F987429" w14:textId="77777777" w:rsidR="00FA65DB" w:rsidRPr="00507A31" w:rsidRDefault="00FA65DB" w:rsidP="00507A31">
      <w:pPr>
        <w:jc w:val="both"/>
        <w:rPr>
          <w:color w:val="000000" w:themeColor="text1"/>
          <w:sz w:val="16"/>
          <w:szCs w:val="16"/>
        </w:rPr>
      </w:pPr>
      <w:r w:rsidRPr="00507A31">
        <w:rPr>
          <w:color w:val="000000" w:themeColor="text1"/>
          <w:sz w:val="16"/>
          <w:szCs w:val="16"/>
        </w:rPr>
        <w:t>Председ. 5 Секции НТК тов. Жуковский,</w:t>
      </w:r>
    </w:p>
    <w:p w14:paraId="46AD3EE8" w14:textId="77777777" w:rsidR="00FA65DB" w:rsidRPr="00507A31" w:rsidRDefault="00FA65DB" w:rsidP="00507A31">
      <w:pPr>
        <w:jc w:val="both"/>
        <w:rPr>
          <w:color w:val="000000" w:themeColor="text1"/>
          <w:sz w:val="16"/>
          <w:szCs w:val="16"/>
        </w:rPr>
      </w:pPr>
      <w:r w:rsidRPr="00507A31">
        <w:rPr>
          <w:color w:val="000000" w:themeColor="text1"/>
          <w:sz w:val="16"/>
          <w:szCs w:val="16"/>
        </w:rPr>
        <w:t>Пом. Управделами НТК тов. Соболев.</w:t>
      </w:r>
    </w:p>
    <w:p w14:paraId="7F53276A" w14:textId="77777777" w:rsidR="00FA65DB" w:rsidRPr="00507A31" w:rsidRDefault="00FA65DB" w:rsidP="00507A31">
      <w:pPr>
        <w:jc w:val="both"/>
        <w:rPr>
          <w:color w:val="000000" w:themeColor="text1"/>
          <w:sz w:val="16"/>
          <w:szCs w:val="16"/>
        </w:rPr>
      </w:pPr>
      <w:r w:rsidRPr="00507A31">
        <w:rPr>
          <w:color w:val="000000" w:themeColor="text1"/>
          <w:sz w:val="16"/>
          <w:szCs w:val="16"/>
        </w:rPr>
        <w:t>Представитель 2 Упр. Штаба РККА т. Шаров.</w:t>
      </w:r>
    </w:p>
    <w:p w14:paraId="341C053F" w14:textId="77777777" w:rsidR="00FA65DB" w:rsidRPr="00507A31" w:rsidRDefault="00FA65DB" w:rsidP="00507A31">
      <w:pPr>
        <w:jc w:val="both"/>
        <w:rPr>
          <w:color w:val="000000" w:themeColor="text1"/>
          <w:sz w:val="16"/>
          <w:szCs w:val="16"/>
        </w:rPr>
      </w:pPr>
      <w:r w:rsidRPr="00507A31">
        <w:rPr>
          <w:color w:val="000000" w:themeColor="text1"/>
          <w:sz w:val="16"/>
          <w:szCs w:val="16"/>
        </w:rPr>
        <w:t>Представитель 4 упр. Штаба РККА т. Энвальд.</w:t>
      </w:r>
    </w:p>
    <w:p w14:paraId="3201FF8E" w14:textId="77777777" w:rsidR="00FA65DB" w:rsidRPr="00507A31" w:rsidRDefault="00FA65DB" w:rsidP="00507A31">
      <w:pPr>
        <w:jc w:val="both"/>
        <w:rPr>
          <w:color w:val="000000" w:themeColor="text1"/>
          <w:sz w:val="16"/>
          <w:szCs w:val="16"/>
        </w:rPr>
      </w:pPr>
      <w:r w:rsidRPr="00507A31">
        <w:rPr>
          <w:color w:val="000000" w:themeColor="text1"/>
          <w:sz w:val="16"/>
          <w:szCs w:val="16"/>
        </w:rPr>
        <w:t>Представитель Оруж. Оруд. Объединения т. Ступников и Миролюбов А.И.</w:t>
      </w:r>
    </w:p>
    <w:p w14:paraId="11B5B0DF" w14:textId="77777777" w:rsidR="00FA65DB" w:rsidRPr="00507A31" w:rsidRDefault="00FA65DB" w:rsidP="00507A31">
      <w:pPr>
        <w:jc w:val="both"/>
        <w:rPr>
          <w:color w:val="000000" w:themeColor="text1"/>
          <w:sz w:val="16"/>
          <w:szCs w:val="16"/>
        </w:rPr>
      </w:pPr>
      <w:r w:rsidRPr="00507A31">
        <w:rPr>
          <w:color w:val="000000" w:themeColor="text1"/>
          <w:sz w:val="16"/>
          <w:szCs w:val="16"/>
        </w:rPr>
        <w:t>Представитель Патр.Труб. Объединения т. И т. Эйхенбах.</w:t>
      </w:r>
    </w:p>
    <w:p w14:paraId="024F1D07" w14:textId="77777777" w:rsidR="00FA65DB" w:rsidRPr="00507A31" w:rsidRDefault="00FA65DB" w:rsidP="00507A31">
      <w:pPr>
        <w:jc w:val="both"/>
        <w:rPr>
          <w:color w:val="000000" w:themeColor="text1"/>
          <w:sz w:val="16"/>
          <w:szCs w:val="16"/>
        </w:rPr>
      </w:pPr>
      <w:r w:rsidRPr="00507A31">
        <w:rPr>
          <w:color w:val="000000" w:themeColor="text1"/>
          <w:sz w:val="16"/>
          <w:szCs w:val="16"/>
        </w:rPr>
        <w:t>Представители ТОЗа не прибыли на заседание и инж. Фёдоров вследствие позднего получения телеграммы прибыл с опозданием на 1 день.</w:t>
      </w:r>
    </w:p>
    <w:p w14:paraId="301949FE" w14:textId="77777777" w:rsidR="00FA65DB" w:rsidRPr="00507A31" w:rsidRDefault="00FA65DB" w:rsidP="00507A31">
      <w:pPr>
        <w:jc w:val="both"/>
        <w:rPr>
          <w:color w:val="000000" w:themeColor="text1"/>
          <w:sz w:val="16"/>
          <w:szCs w:val="16"/>
        </w:rPr>
      </w:pPr>
      <w:r w:rsidRPr="00507A31">
        <w:rPr>
          <w:color w:val="000000" w:themeColor="text1"/>
          <w:sz w:val="16"/>
          <w:szCs w:val="16"/>
        </w:rPr>
        <w:t>Председательствует тов. Цветковский.</w:t>
      </w:r>
    </w:p>
    <w:p w14:paraId="553874CF" w14:textId="77777777" w:rsidR="00FA65DB" w:rsidRPr="00507A31" w:rsidRDefault="00FA65DB" w:rsidP="00507A31">
      <w:pPr>
        <w:jc w:val="both"/>
        <w:rPr>
          <w:color w:val="000000" w:themeColor="text1"/>
          <w:sz w:val="16"/>
          <w:szCs w:val="16"/>
        </w:rPr>
      </w:pPr>
      <w:r w:rsidRPr="00507A31">
        <w:rPr>
          <w:color w:val="000000" w:themeColor="text1"/>
          <w:sz w:val="16"/>
          <w:szCs w:val="16"/>
        </w:rPr>
        <w:t>В связи с указанием Зам.Нач.Вооружения т. Ефимова на рассмотрение Совещания были поставлены вопросы:</w:t>
      </w:r>
    </w:p>
    <w:p w14:paraId="71E60A61" w14:textId="77777777" w:rsidR="00FA65DB" w:rsidRPr="00507A31" w:rsidRDefault="00FA65DB" w:rsidP="00507A31">
      <w:pPr>
        <w:jc w:val="both"/>
        <w:rPr>
          <w:color w:val="000000" w:themeColor="text1"/>
          <w:sz w:val="16"/>
          <w:szCs w:val="16"/>
        </w:rPr>
      </w:pPr>
      <w:r w:rsidRPr="00507A31">
        <w:rPr>
          <w:color w:val="000000" w:themeColor="text1"/>
          <w:sz w:val="16"/>
          <w:szCs w:val="16"/>
        </w:rPr>
        <w:t>1) О боевой выгоде и производственной возможности на переход к беззакрайному патрону существующего калибра и </w:t>
      </w:r>
    </w:p>
    <w:p w14:paraId="21291BA2" w14:textId="77777777" w:rsidR="00FA65DB" w:rsidRPr="00507A31" w:rsidRDefault="00FA65DB" w:rsidP="00507A31">
      <w:pPr>
        <w:jc w:val="both"/>
        <w:rPr>
          <w:color w:val="000000" w:themeColor="text1"/>
          <w:sz w:val="16"/>
          <w:szCs w:val="16"/>
        </w:rPr>
      </w:pPr>
      <w:r w:rsidRPr="00507A31">
        <w:rPr>
          <w:color w:val="000000" w:themeColor="text1"/>
          <w:sz w:val="16"/>
          <w:szCs w:val="16"/>
        </w:rPr>
        <w:t>2) Те же вопросы по отношению к оружию меньшего калибра.</w:t>
      </w:r>
    </w:p>
    <w:p w14:paraId="4115DB03" w14:textId="77777777" w:rsidR="00FA65DB" w:rsidRPr="00507A31" w:rsidRDefault="00FA65DB" w:rsidP="00507A31">
      <w:pPr>
        <w:jc w:val="both"/>
        <w:rPr>
          <w:color w:val="000000" w:themeColor="text1"/>
          <w:sz w:val="16"/>
          <w:szCs w:val="16"/>
        </w:rPr>
      </w:pPr>
      <w:r w:rsidRPr="00507A31">
        <w:rPr>
          <w:color w:val="000000" w:themeColor="text1"/>
          <w:sz w:val="16"/>
          <w:szCs w:val="16"/>
        </w:rPr>
        <w:t>Тов. Любимов - отмечает о том, что при введении безшляпного патрона, вследствие утолщения дна гильзы, последняя будет более прочной и поэтому будет возможно установить больший допуск в износе оружия, что увеличит его живучесть, безшляпный патрон уменьшит количество задержек, магазины будут более портативны и общий вес запаса патронов уменьшится и потому можно увеличить количество патронов, находящихся при стрелке. Последне в особенности будет при уменьшении калибра патрона.</w:t>
      </w:r>
    </w:p>
    <w:p w14:paraId="7E7FCEAA" w14:textId="77777777" w:rsidR="00FA65DB" w:rsidRPr="00507A31" w:rsidRDefault="00FA65DB" w:rsidP="00507A31">
      <w:pPr>
        <w:jc w:val="both"/>
        <w:rPr>
          <w:color w:val="000000" w:themeColor="text1"/>
          <w:sz w:val="16"/>
          <w:szCs w:val="16"/>
        </w:rPr>
      </w:pPr>
      <w:r w:rsidRPr="00507A31">
        <w:rPr>
          <w:color w:val="000000" w:themeColor="text1"/>
          <w:sz w:val="16"/>
          <w:szCs w:val="16"/>
        </w:rPr>
        <w:t>Тов. Смирнский - отмечает, что наш патрон плох и устарел, закраины не нужны, и конструкция патрона вызывает частые разрывы и затрудняет экстрактирование стреляной гильзы (цилиндрическая форма). [замечание о 'цилиндрической' форме совершенно непонятно, так же как о затруднённом экстрактировании]. </w:t>
      </w:r>
    </w:p>
    <w:p w14:paraId="08284207" w14:textId="77777777" w:rsidR="00FA65DB" w:rsidRPr="00507A31" w:rsidRDefault="00FA65DB" w:rsidP="00507A31">
      <w:pPr>
        <w:jc w:val="both"/>
        <w:rPr>
          <w:color w:val="000000" w:themeColor="text1"/>
          <w:sz w:val="16"/>
          <w:szCs w:val="16"/>
        </w:rPr>
      </w:pPr>
      <w:r w:rsidRPr="00507A31">
        <w:rPr>
          <w:color w:val="000000" w:themeColor="text1"/>
          <w:sz w:val="16"/>
          <w:szCs w:val="16"/>
        </w:rPr>
        <w:t>Тов. Жуковский информирует о работах баллистической Комиссии, причём отмечает, что эта Комиссия считает необходимым остаться на существующем калибре.</w:t>
      </w:r>
    </w:p>
    <w:p w14:paraId="0B79BA2C" w14:textId="77777777" w:rsidR="00FA65DB" w:rsidRPr="00507A31" w:rsidRDefault="00FA65DB" w:rsidP="00507A31">
      <w:pPr>
        <w:jc w:val="both"/>
        <w:rPr>
          <w:color w:val="000000" w:themeColor="text1"/>
          <w:sz w:val="16"/>
          <w:szCs w:val="16"/>
        </w:rPr>
      </w:pPr>
      <w:r w:rsidRPr="00507A31">
        <w:rPr>
          <w:color w:val="000000" w:themeColor="text1"/>
          <w:sz w:val="16"/>
          <w:szCs w:val="16"/>
        </w:rPr>
        <w:t>Тов. Энвальд информирует о мнениях по этому вопросу в заграничных армиях, причём останавливается на С.А.С.Ш., которые в настоящее время в отношении автоматической винтовки переходят на 7-мм патрон, причём вес автоматического ружья в этом случае достигает 4,0 кг с дальностью стрельбы около 2000 м; во Франции предполагают перейти на калибр 7,5-мм, причём под этот патрон уже принят на вооружение пулемёт Шатерло.</w:t>
      </w:r>
    </w:p>
    <w:p w14:paraId="57E7E33A" w14:textId="77777777" w:rsidR="00FA65DB" w:rsidRPr="00507A31" w:rsidRDefault="00FA65DB" w:rsidP="00507A31">
      <w:pPr>
        <w:jc w:val="both"/>
        <w:rPr>
          <w:color w:val="000000" w:themeColor="text1"/>
          <w:sz w:val="16"/>
          <w:szCs w:val="16"/>
        </w:rPr>
      </w:pPr>
      <w:r w:rsidRPr="00507A31">
        <w:rPr>
          <w:color w:val="000000" w:themeColor="text1"/>
          <w:sz w:val="16"/>
          <w:szCs w:val="16"/>
        </w:rPr>
        <w:t>Данных автоматических винтовок нет. По иностранным источникам уменьшение калибра, увеличив живучесть ствола, вследствие уменьшения его нагрева и увеличивает боевой запас примерно на 25%.</w:t>
      </w:r>
    </w:p>
    <w:p w14:paraId="76051F94" w14:textId="77777777" w:rsidR="00FA65DB" w:rsidRPr="00507A31" w:rsidRDefault="00FA65DB" w:rsidP="00507A31">
      <w:pPr>
        <w:jc w:val="both"/>
        <w:rPr>
          <w:color w:val="000000" w:themeColor="text1"/>
          <w:sz w:val="16"/>
          <w:szCs w:val="16"/>
        </w:rPr>
      </w:pPr>
      <w:r w:rsidRPr="00507A31">
        <w:rPr>
          <w:color w:val="000000" w:themeColor="text1"/>
          <w:sz w:val="16"/>
          <w:szCs w:val="16"/>
        </w:rPr>
        <w:t>Тов. Цветковский отмечает, что по данным сборника Стрелкового оружия (часть 1, прил.2) весовые данные обыкновенных винтовок почти не зависят от калибра, а именно: для калибра 6,5 мм вес винтовок колеблется от 3,8 кг до 4,2 кг в зависимости от начальной скорости и дальности, для 7-мм около 4 кг, для 7,5-7,6-мм от 3,9 до 4,3 кг. Что же касается нашего образца автоматической винтовки, то её вес около 4 кг.</w:t>
      </w:r>
    </w:p>
    <w:p w14:paraId="3D99661B" w14:textId="77777777" w:rsidR="00FA65DB" w:rsidRPr="00507A31" w:rsidRDefault="00FA65DB" w:rsidP="00507A31">
      <w:pPr>
        <w:jc w:val="both"/>
        <w:rPr>
          <w:color w:val="000000" w:themeColor="text1"/>
          <w:sz w:val="16"/>
          <w:szCs w:val="16"/>
        </w:rPr>
      </w:pPr>
      <w:r w:rsidRPr="00507A31">
        <w:rPr>
          <w:color w:val="000000" w:themeColor="text1"/>
          <w:sz w:val="16"/>
          <w:szCs w:val="16"/>
        </w:rPr>
        <w:t>Представитель Оруж.Орудийно-Объединения тов. Ступников:</w:t>
      </w:r>
    </w:p>
    <w:p w14:paraId="40EEDEAB" w14:textId="77777777" w:rsidR="00FA65DB" w:rsidRPr="00507A31" w:rsidRDefault="00FA65DB" w:rsidP="00507A31">
      <w:pPr>
        <w:jc w:val="both"/>
        <w:rPr>
          <w:color w:val="000000" w:themeColor="text1"/>
          <w:sz w:val="16"/>
          <w:szCs w:val="16"/>
        </w:rPr>
      </w:pPr>
      <w:r w:rsidRPr="00507A31">
        <w:rPr>
          <w:color w:val="000000" w:themeColor="text1"/>
          <w:sz w:val="16"/>
          <w:szCs w:val="16"/>
        </w:rPr>
        <w:t>Отмечает, что промышленность может перейти на любой калибр, но переход этот конечно потребует большего времени и затраты средств, так как необходимо изменение всего лекального и инструментального хозяйства.</w:t>
      </w:r>
    </w:p>
    <w:p w14:paraId="26E11D31" w14:textId="77777777" w:rsidR="00FA65DB" w:rsidRPr="00507A31" w:rsidRDefault="00FA65DB" w:rsidP="00507A31">
      <w:pPr>
        <w:jc w:val="both"/>
        <w:rPr>
          <w:color w:val="000000" w:themeColor="text1"/>
          <w:sz w:val="16"/>
          <w:szCs w:val="16"/>
        </w:rPr>
      </w:pPr>
      <w:r w:rsidRPr="00507A31">
        <w:rPr>
          <w:color w:val="000000" w:themeColor="text1"/>
          <w:sz w:val="16"/>
          <w:szCs w:val="16"/>
        </w:rPr>
        <w:t>По вопросу о переходе на беззакрайный патрон, то на 1-й взгляд этот вопрос потребует сравнительного незначительного времени, так как заменить повидимому придётся в винтовках: б.личинку, выбрасыватель и экстрактор, а может быть подающий магазин; в пулемёте - б.личинку, защёлки и приёмник.</w:t>
      </w:r>
    </w:p>
    <w:p w14:paraId="252996D3" w14:textId="77777777" w:rsidR="00FA65DB" w:rsidRPr="00507A31" w:rsidRDefault="00FA65DB" w:rsidP="00507A31">
      <w:pPr>
        <w:jc w:val="both"/>
        <w:rPr>
          <w:color w:val="000000" w:themeColor="text1"/>
          <w:sz w:val="16"/>
          <w:szCs w:val="16"/>
        </w:rPr>
      </w:pPr>
      <w:r w:rsidRPr="00507A31">
        <w:rPr>
          <w:color w:val="000000" w:themeColor="text1"/>
          <w:sz w:val="16"/>
          <w:szCs w:val="16"/>
        </w:rPr>
        <w:t>Отмечает, что лишь приблизительный поверхностный взгляд и возможно, что при подробной проработке потребуется изменить целый ряд других деталей. По его мнению необходимо поручить этот вопрос детально проработать заводом.</w:t>
      </w:r>
    </w:p>
    <w:p w14:paraId="478BF511" w14:textId="77777777" w:rsidR="00FA65DB" w:rsidRPr="00507A31" w:rsidRDefault="00FA65DB" w:rsidP="00507A31">
      <w:pPr>
        <w:jc w:val="both"/>
        <w:rPr>
          <w:color w:val="000000" w:themeColor="text1"/>
          <w:sz w:val="16"/>
          <w:szCs w:val="16"/>
        </w:rPr>
      </w:pPr>
      <w:r w:rsidRPr="00507A31">
        <w:rPr>
          <w:color w:val="000000" w:themeColor="text1"/>
          <w:sz w:val="16"/>
          <w:szCs w:val="16"/>
        </w:rPr>
        <w:t>Тов. Шитов докладывает, что организационная Комиссия и в частности он сам считает, что переход на новый патрон вызовет наличие армии двух патронов, что является недопустимым и сильно усложнит снабжение.</w:t>
      </w:r>
    </w:p>
    <w:p w14:paraId="5F4573E7" w14:textId="77777777" w:rsidR="00FA65DB" w:rsidRPr="00507A31" w:rsidRDefault="00FA65DB" w:rsidP="00507A31">
      <w:pPr>
        <w:jc w:val="both"/>
        <w:rPr>
          <w:color w:val="000000" w:themeColor="text1"/>
          <w:sz w:val="16"/>
          <w:szCs w:val="16"/>
        </w:rPr>
      </w:pPr>
      <w:r w:rsidRPr="00507A31">
        <w:rPr>
          <w:color w:val="000000" w:themeColor="text1"/>
          <w:sz w:val="16"/>
          <w:szCs w:val="16"/>
        </w:rPr>
        <w:lastRenderedPageBreak/>
        <w:t>Представитель 17 завода, тов. Эйхенбах отмечает, что переход на беззакрайный патрон для промышленности не представляет затруднений, однако переход на новый калибр потребует заведения сего нового инструмента и лекального хозяйства.</w:t>
      </w:r>
    </w:p>
    <w:p w14:paraId="067C3FE2" w14:textId="77777777" w:rsidR="00FA65DB" w:rsidRPr="00507A31" w:rsidRDefault="00FA65DB" w:rsidP="00507A31">
      <w:pPr>
        <w:jc w:val="both"/>
        <w:rPr>
          <w:color w:val="000000" w:themeColor="text1"/>
          <w:sz w:val="16"/>
          <w:szCs w:val="16"/>
        </w:rPr>
      </w:pPr>
      <w:r w:rsidRPr="00507A31">
        <w:rPr>
          <w:color w:val="000000" w:themeColor="text1"/>
          <w:sz w:val="16"/>
          <w:szCs w:val="16"/>
        </w:rPr>
        <w:t>При изготовлении в настоящее время опытного заказа на беззакрайные патроны заводу пришлось перейти на более толстую латунь (3,25 мт) [в тексте стоит "мт", но очеидно это опечатка и следует читать "мм"] так как существующей толщины латунь не давала прочного дна.</w:t>
      </w:r>
    </w:p>
    <w:p w14:paraId="67AB8835" w14:textId="77777777" w:rsidR="00FA65DB" w:rsidRPr="00507A31" w:rsidRDefault="00FA65DB" w:rsidP="00507A31">
      <w:pPr>
        <w:jc w:val="both"/>
        <w:rPr>
          <w:color w:val="000000" w:themeColor="text1"/>
          <w:sz w:val="16"/>
          <w:szCs w:val="16"/>
        </w:rPr>
      </w:pPr>
      <w:r w:rsidRPr="00507A31">
        <w:rPr>
          <w:color w:val="000000" w:themeColor="text1"/>
          <w:sz w:val="16"/>
          <w:szCs w:val="16"/>
        </w:rPr>
        <w:t>Новый патрон без закраины по своему весу будет тяжелее существующего, а именно 1000 патронов старых весом 9,438 кг - новых 10,274 кг. [(тяжелее на 8,85%)].</w:t>
      </w:r>
    </w:p>
    <w:p w14:paraId="3A95418E" w14:textId="77777777" w:rsidR="00FA65DB" w:rsidRPr="00507A31" w:rsidRDefault="00FA65DB" w:rsidP="00507A31">
      <w:pPr>
        <w:jc w:val="both"/>
        <w:rPr>
          <w:color w:val="000000" w:themeColor="text1"/>
          <w:sz w:val="16"/>
          <w:szCs w:val="16"/>
        </w:rPr>
      </w:pPr>
      <w:r w:rsidRPr="00507A31">
        <w:rPr>
          <w:color w:val="000000" w:themeColor="text1"/>
          <w:sz w:val="16"/>
          <w:szCs w:val="16"/>
        </w:rPr>
        <w:t>Кроме того, вследствие лишней обработки гильзы и утолщения латуни стоимость патронов возрастает примерно на 10%, т.е. на 1000 патронов будет стоить около 23 руб. место 21 руб., конечно в дальнейшем возможно несколько цену снизить.</w:t>
      </w:r>
    </w:p>
    <w:p w14:paraId="0B00B86F" w14:textId="77777777" w:rsidR="00FA65DB" w:rsidRPr="00507A31" w:rsidRDefault="00FA65DB" w:rsidP="00507A31">
      <w:pPr>
        <w:jc w:val="both"/>
        <w:rPr>
          <w:color w:val="000000" w:themeColor="text1"/>
          <w:sz w:val="16"/>
          <w:szCs w:val="16"/>
        </w:rPr>
      </w:pPr>
      <w:r w:rsidRPr="00507A31">
        <w:rPr>
          <w:color w:val="000000" w:themeColor="text1"/>
          <w:sz w:val="16"/>
          <w:szCs w:val="16"/>
        </w:rPr>
        <w:t>В порядке рассмотрения нового патрона обнаруживается несоответствие длины ската гильзы со скатом патронника, что фактически было и в старом патроне. Заводу указывается на необходимость исправления этого недостатка, так как стрельба этими патронами должна производиться из оружия с нормальной каморой (0,'180 а не 0,'225).</w:t>
      </w:r>
    </w:p>
    <w:p w14:paraId="35B0379E" w14:textId="77777777" w:rsidR="00FA65DB" w:rsidRPr="00507A31" w:rsidRDefault="00FA65DB" w:rsidP="00507A31">
      <w:pPr>
        <w:jc w:val="both"/>
        <w:rPr>
          <w:color w:val="000000" w:themeColor="text1"/>
          <w:sz w:val="16"/>
          <w:szCs w:val="16"/>
        </w:rPr>
      </w:pPr>
      <w:r w:rsidRPr="00507A31">
        <w:rPr>
          <w:color w:val="000000" w:themeColor="text1"/>
          <w:sz w:val="16"/>
          <w:szCs w:val="16"/>
        </w:rPr>
        <w:t>Тов. Жуковский предлагает облегчить оружие не за счёт уменьшения калибра, а за счёт уменьшения нач. скорости пули существующего патрона и уменьшения дальности полёта для стрельбы из винтовок, для стрельбы же из пулемёта оставить нормальный патрон с утяжелённой пулей. </w:t>
      </w:r>
    </w:p>
    <w:p w14:paraId="44527234" w14:textId="77777777" w:rsidR="00FA65DB" w:rsidRPr="00507A31" w:rsidRDefault="00FA65DB" w:rsidP="00507A31">
      <w:pPr>
        <w:jc w:val="both"/>
        <w:rPr>
          <w:color w:val="000000" w:themeColor="text1"/>
          <w:sz w:val="16"/>
          <w:szCs w:val="16"/>
        </w:rPr>
      </w:pPr>
      <w:r w:rsidRPr="00507A31">
        <w:rPr>
          <w:color w:val="000000" w:themeColor="text1"/>
          <w:sz w:val="16"/>
          <w:szCs w:val="16"/>
        </w:rPr>
        <w:t>Инж. Фёдоров. Опрос о выгодах перехода на новый патрон в отношении всего оружия нельзя решать на основании цифровых данных, помещённых в справочнике, так как там помещены данные винтовок совершенно различных конструкций - например 6,5-мм-овая винтовка системы Арисака 905 года, несмотря на малый калибр известна своим большим весом главным образом по весу своего ствола.</w:t>
      </w:r>
    </w:p>
    <w:p w14:paraId="29F40B82" w14:textId="77777777" w:rsidR="00FA65DB" w:rsidRPr="00507A31" w:rsidRDefault="00FA65DB" w:rsidP="00507A31">
      <w:pPr>
        <w:jc w:val="both"/>
        <w:rPr>
          <w:color w:val="000000" w:themeColor="text1"/>
          <w:sz w:val="16"/>
          <w:szCs w:val="16"/>
        </w:rPr>
      </w:pPr>
      <w:r w:rsidRPr="00507A31">
        <w:rPr>
          <w:color w:val="000000" w:themeColor="text1"/>
          <w:sz w:val="16"/>
          <w:szCs w:val="16"/>
        </w:rPr>
        <w:t>Само собой разумеется, что вопрос об изменении веса может быть решён лишь на основании сравнения подобных винтовок разных калибров - но одной и той же системы - для этой цели мною и были демонстрированы четыре экземпляра автоматических винтовок: два экземпляра системы Фёдорова с подвижным стволом - 3-х лин., весом 12,5 фунтов и 2,5 линейная - 10 фунтов при одинаковой длине ствола и да экземпляра системы Дегтярёва - 3-х лин., весом 12 фунтов и 2,5 линейная - 9 фунтов. (Такая же винтовка с длинным стволом весит 10 фунтов, она находится в нашем Бюро ИНЗ ? 2 и может быть доставленной в НТК АУ).</w:t>
      </w:r>
    </w:p>
    <w:p w14:paraId="126A532B" w14:textId="77777777" w:rsidR="00FA65DB" w:rsidRPr="00507A31" w:rsidRDefault="00FA65DB" w:rsidP="00507A31">
      <w:pPr>
        <w:jc w:val="both"/>
        <w:rPr>
          <w:color w:val="000000" w:themeColor="text1"/>
          <w:sz w:val="16"/>
          <w:szCs w:val="16"/>
        </w:rPr>
      </w:pPr>
      <w:r w:rsidRPr="00507A31">
        <w:rPr>
          <w:color w:val="000000" w:themeColor="text1"/>
          <w:sz w:val="16"/>
          <w:szCs w:val="16"/>
        </w:rPr>
        <w:t>Вопрос об изменении дальности не только до 2000, но даже и до 1500 метров, уже решён постановлением НТК при назначении требований к самозарядной винтовке, причём была назначена укороченная длина ствола в 630 мм, что и выполняется всеми конструкторами, разрабатывающими самозарядные винтовки.</w:t>
      </w:r>
    </w:p>
    <w:p w14:paraId="14056367" w14:textId="77777777" w:rsidR="00FA65DB" w:rsidRPr="00507A31" w:rsidRDefault="00FA65DB" w:rsidP="00507A31">
      <w:pPr>
        <w:jc w:val="both"/>
        <w:rPr>
          <w:color w:val="000000" w:themeColor="text1"/>
          <w:sz w:val="16"/>
          <w:szCs w:val="16"/>
        </w:rPr>
      </w:pPr>
      <w:r w:rsidRPr="00507A31">
        <w:rPr>
          <w:color w:val="000000" w:themeColor="text1"/>
          <w:sz w:val="16"/>
          <w:szCs w:val="16"/>
        </w:rPr>
        <w:t>ПОСТАНОВИЛИ:</w:t>
      </w:r>
    </w:p>
    <w:p w14:paraId="2DC32489" w14:textId="77777777" w:rsidR="00FA65DB" w:rsidRPr="00507A31" w:rsidRDefault="00FA65DB" w:rsidP="00507A31">
      <w:pPr>
        <w:jc w:val="both"/>
        <w:rPr>
          <w:color w:val="000000" w:themeColor="text1"/>
          <w:sz w:val="16"/>
          <w:szCs w:val="16"/>
        </w:rPr>
      </w:pPr>
      <w:r w:rsidRPr="00507A31">
        <w:rPr>
          <w:color w:val="000000" w:themeColor="text1"/>
          <w:sz w:val="16"/>
          <w:szCs w:val="16"/>
        </w:rPr>
        <w:t>В результате обмена мнений Совещание пришло к следующим выводам:</w:t>
      </w:r>
    </w:p>
    <w:p w14:paraId="325D6580" w14:textId="77777777" w:rsidR="00FA65DB" w:rsidRPr="00507A31" w:rsidRDefault="00FA65DB" w:rsidP="00507A31">
      <w:pPr>
        <w:jc w:val="both"/>
        <w:rPr>
          <w:color w:val="000000" w:themeColor="text1"/>
          <w:sz w:val="16"/>
          <w:szCs w:val="16"/>
        </w:rPr>
      </w:pPr>
      <w:r w:rsidRPr="00507A31">
        <w:rPr>
          <w:color w:val="000000" w:themeColor="text1"/>
          <w:sz w:val="16"/>
          <w:szCs w:val="16"/>
        </w:rPr>
        <w:t>1) При уменьшении калибра с 7,62-мм до 6,5 мм можно рассчитывать на незначительное уменьшение веса оружия в пределах 1 кг, но при этом мощность оружия сильно понизится.</w:t>
      </w:r>
    </w:p>
    <w:p w14:paraId="440BAF26" w14:textId="77777777" w:rsidR="00FA65DB" w:rsidRPr="00507A31" w:rsidRDefault="00FA65DB" w:rsidP="00507A31">
      <w:pPr>
        <w:jc w:val="both"/>
        <w:rPr>
          <w:color w:val="000000" w:themeColor="text1"/>
          <w:sz w:val="16"/>
          <w:szCs w:val="16"/>
        </w:rPr>
      </w:pPr>
      <w:r w:rsidRPr="00507A31">
        <w:rPr>
          <w:color w:val="000000" w:themeColor="text1"/>
          <w:sz w:val="16"/>
          <w:szCs w:val="16"/>
        </w:rPr>
        <w:t>2) Введение двух калибров отдельно для пулемётов и отдельного для винтовок недопустимо вследствие невозможности использования запасов одного оружия для другого.</w:t>
      </w:r>
    </w:p>
    <w:p w14:paraId="0F4B21DE" w14:textId="77777777" w:rsidR="00FA65DB" w:rsidRPr="00507A31" w:rsidRDefault="00FA65DB" w:rsidP="00507A31">
      <w:pPr>
        <w:jc w:val="both"/>
        <w:rPr>
          <w:color w:val="000000" w:themeColor="text1"/>
          <w:sz w:val="16"/>
          <w:szCs w:val="16"/>
        </w:rPr>
      </w:pPr>
      <w:r w:rsidRPr="00507A31">
        <w:rPr>
          <w:color w:val="000000" w:themeColor="text1"/>
          <w:sz w:val="16"/>
          <w:szCs w:val="16"/>
        </w:rPr>
        <w:t>3) Переход к новому калибру экономически невыгоден вследствие необходимости доведения нового инструментального и лекального хозяйства и невозможности использования существующих запасов.</w:t>
      </w:r>
    </w:p>
    <w:p w14:paraId="505F0C0D" w14:textId="77777777" w:rsidR="00FA65DB" w:rsidRPr="00507A31" w:rsidRDefault="00FA65DB" w:rsidP="00507A31">
      <w:pPr>
        <w:jc w:val="both"/>
        <w:rPr>
          <w:color w:val="000000" w:themeColor="text1"/>
          <w:sz w:val="16"/>
          <w:szCs w:val="16"/>
        </w:rPr>
      </w:pPr>
      <w:r w:rsidRPr="00507A31">
        <w:rPr>
          <w:color w:val="000000" w:themeColor="text1"/>
          <w:sz w:val="16"/>
          <w:szCs w:val="16"/>
        </w:rPr>
        <w:t>4) К беззакраинному патрону существующего калибра в боевом отношении и отчасти для оружейного производства, переход является выгодным и целесообразным.</w:t>
      </w:r>
    </w:p>
    <w:p w14:paraId="695E36B9" w14:textId="77777777" w:rsidR="00FA65DB" w:rsidRPr="00507A31" w:rsidRDefault="00FA65DB" w:rsidP="00507A31">
      <w:pPr>
        <w:jc w:val="both"/>
        <w:rPr>
          <w:color w:val="000000" w:themeColor="text1"/>
          <w:sz w:val="16"/>
          <w:szCs w:val="16"/>
        </w:rPr>
      </w:pPr>
      <w:r w:rsidRPr="00507A31">
        <w:rPr>
          <w:color w:val="000000" w:themeColor="text1"/>
          <w:sz w:val="16"/>
          <w:szCs w:val="16"/>
        </w:rPr>
        <w:t>5) С целью дать возможность уменьшить вес автоматической винтовки под 7,62-мм патрон необходимо: изготовить опытный образец винтовки Дегтярёва, но под 7,62-мм беззакраинный патрон с уменьшенным давлением и уменьшенной начальной скоростью полёта пули из расчёта предельной дальности полёта пули до 2500 м и дальностью действительного огня до 1500 м.</w:t>
      </w:r>
    </w:p>
    <w:p w14:paraId="5E66358A" w14:textId="77777777" w:rsidR="00FA65DB" w:rsidRPr="00507A31" w:rsidRDefault="00FA65DB" w:rsidP="00507A31">
      <w:pPr>
        <w:jc w:val="both"/>
        <w:rPr>
          <w:color w:val="000000" w:themeColor="text1"/>
          <w:sz w:val="16"/>
          <w:szCs w:val="16"/>
        </w:rPr>
      </w:pPr>
      <w:r w:rsidRPr="00507A31">
        <w:rPr>
          <w:color w:val="000000" w:themeColor="text1"/>
          <w:sz w:val="16"/>
          <w:szCs w:val="16"/>
        </w:rPr>
        <w:t>6) Для пулемётов дать тот же беззакрайный патрон, что и для винтовки, но с пулей утяжелённой с дальностью полёта до 5000 м.</w:t>
      </w:r>
    </w:p>
    <w:p w14:paraId="1220E346" w14:textId="77777777" w:rsidR="00FA65DB" w:rsidRPr="00507A31" w:rsidRDefault="00FA65DB" w:rsidP="00507A31">
      <w:pPr>
        <w:jc w:val="both"/>
        <w:rPr>
          <w:color w:val="000000" w:themeColor="text1"/>
          <w:sz w:val="16"/>
          <w:szCs w:val="16"/>
        </w:rPr>
      </w:pPr>
      <w:r w:rsidRPr="00507A31">
        <w:rPr>
          <w:color w:val="000000" w:themeColor="text1"/>
          <w:sz w:val="16"/>
          <w:szCs w:val="16"/>
        </w:rPr>
        <w:t>Эта мера может дать возможность взаимной заменяемости патронов.</w:t>
      </w:r>
    </w:p>
    <w:p w14:paraId="12BBBCBD" w14:textId="77777777" w:rsidR="00FA65DB" w:rsidRPr="00507A31" w:rsidRDefault="00FA65DB" w:rsidP="00507A31">
      <w:pPr>
        <w:jc w:val="both"/>
        <w:rPr>
          <w:color w:val="000000" w:themeColor="text1"/>
          <w:sz w:val="16"/>
          <w:szCs w:val="16"/>
        </w:rPr>
      </w:pPr>
      <w:r w:rsidRPr="00507A31">
        <w:rPr>
          <w:color w:val="000000" w:themeColor="text1"/>
          <w:sz w:val="16"/>
          <w:szCs w:val="16"/>
        </w:rPr>
        <w:t>7) Поручить промышленности разработать карабин-пулемёт типа пулемёта 'Д' под патрон 6,5-мм с магазином на 25-30 патронов и с дальностью стрельбы до 1000 м, это оружие может заменить поставленный по системе вооружений пистолет-пулемёт для вооружения артиллерии, войск связи, разведчиков и др. спец.войск.</w:t>
      </w:r>
    </w:p>
    <w:p w14:paraId="47445D00" w14:textId="77777777" w:rsidR="00FA65DB" w:rsidRPr="00507A31" w:rsidRDefault="00FA65DB" w:rsidP="00507A31">
      <w:pPr>
        <w:jc w:val="both"/>
        <w:rPr>
          <w:color w:val="000000" w:themeColor="text1"/>
          <w:sz w:val="16"/>
          <w:szCs w:val="16"/>
        </w:rPr>
      </w:pPr>
      <w:r w:rsidRPr="00507A31">
        <w:rPr>
          <w:color w:val="000000" w:themeColor="text1"/>
          <w:sz w:val="16"/>
          <w:szCs w:val="16"/>
        </w:rPr>
        <w:t>8) Предложить промышленности и НИОПу ускорить изготовление, изменённых деталей оружия под беззакраинный 7,62-мм патрон, изготовленный на заводе ?17.</w:t>
      </w:r>
    </w:p>
    <w:p w14:paraId="24B0A7A3" w14:textId="77777777" w:rsidR="00FA65DB" w:rsidRPr="00507A31" w:rsidRDefault="00FA65DB" w:rsidP="00507A31">
      <w:pPr>
        <w:jc w:val="both"/>
        <w:rPr>
          <w:color w:val="000000" w:themeColor="text1"/>
          <w:sz w:val="16"/>
          <w:szCs w:val="16"/>
        </w:rPr>
      </w:pPr>
      <w:r w:rsidRPr="00507A31">
        <w:rPr>
          <w:color w:val="000000" w:themeColor="text1"/>
          <w:sz w:val="16"/>
          <w:szCs w:val="16"/>
        </w:rPr>
        <w:t>ПРЕДСЕДАТЕЛЬ СОВЕЩАНИЯ В.Цветковский (18669).</w:t>
      </w:r>
    </w:p>
    <w:p w14:paraId="281BDB81" w14:textId="77777777" w:rsidR="00FA65DB" w:rsidRPr="00507A31" w:rsidRDefault="00FA65DB" w:rsidP="00507A31">
      <w:pPr>
        <w:jc w:val="both"/>
        <w:rPr>
          <w:color w:val="000000" w:themeColor="text1"/>
          <w:sz w:val="16"/>
          <w:szCs w:val="16"/>
        </w:rPr>
      </w:pPr>
    </w:p>
    <w:p w14:paraId="4FC09B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июля 1930 года начальник УММ РККА И. Халепский подписал по управлению приказ № 62, в котором говори</w:t>
      </w:r>
      <w:r w:rsidRPr="00507A31">
        <w:rPr>
          <w:color w:val="000000" w:themeColor="text1"/>
          <w:sz w:val="16"/>
          <w:szCs w:val="16"/>
        </w:rPr>
        <w:softHyphen/>
        <w:t>лось:</w:t>
      </w:r>
    </w:p>
    <w:p w14:paraId="2B216E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«Член НТК т.Рожков А.В. донес, что им в порядке вне</w:t>
      </w:r>
      <w:r w:rsidRPr="00507A31">
        <w:rPr>
          <w:color w:val="000000" w:themeColor="text1"/>
          <w:sz w:val="16"/>
          <w:szCs w:val="16"/>
        </w:rPr>
        <w:softHyphen/>
        <w:t>плановой работы в неурочное время выполнен проект боевой машины нового типа, который он передаст в подарок XXI съезду ВКП(б).</w:t>
      </w:r>
    </w:p>
    <w:p w14:paraId="3CA398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...Председателю НТК обеспечить срочную организа</w:t>
      </w:r>
      <w:r w:rsidRPr="00507A31">
        <w:rPr>
          <w:color w:val="000000" w:themeColor="text1"/>
          <w:sz w:val="16"/>
          <w:szCs w:val="16"/>
        </w:rPr>
        <w:softHyphen/>
        <w:t>цию рассмотрения предложенного т. Рожковым проекта и о результатах мне доложить».</w:t>
      </w:r>
    </w:p>
    <w:p w14:paraId="6B2B54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 Рожкова был рассмотрен в середине июля и получил одобрение - по сравнению с «колесными тан</w:t>
      </w:r>
      <w:r w:rsidRPr="00507A31">
        <w:rPr>
          <w:color w:val="000000" w:themeColor="text1"/>
          <w:sz w:val="16"/>
          <w:szCs w:val="16"/>
        </w:rPr>
        <w:softHyphen/>
        <w:t>кетками» новая машина имела вращающуюся башню, что обеспечивало большую маневренность огнем. В ходе об</w:t>
      </w:r>
      <w:r w:rsidRPr="00507A31">
        <w:rPr>
          <w:color w:val="000000" w:themeColor="text1"/>
          <w:sz w:val="16"/>
          <w:szCs w:val="16"/>
        </w:rPr>
        <w:softHyphen/>
        <w:t>суждения было принято решение о разработке чертежей и изготовлении опытного образца. Первоначально это планировалось поручить конструкторскому бюро Ижор</w:t>
      </w:r>
      <w:r w:rsidRPr="00507A31">
        <w:rPr>
          <w:color w:val="000000" w:themeColor="text1"/>
          <w:sz w:val="16"/>
          <w:szCs w:val="16"/>
        </w:rPr>
        <w:softHyphen/>
        <w:t>ского завода, но из-за загрузки предприятия в конце авгу</w:t>
      </w:r>
      <w:r w:rsidRPr="00507A31">
        <w:rPr>
          <w:color w:val="000000" w:themeColor="text1"/>
          <w:sz w:val="16"/>
          <w:szCs w:val="16"/>
        </w:rPr>
        <w:softHyphen/>
        <w:t>ста заказ поручили опытно-конструкторскому и испыта</w:t>
      </w:r>
      <w:r w:rsidRPr="00507A31">
        <w:rPr>
          <w:color w:val="000000" w:themeColor="text1"/>
          <w:sz w:val="16"/>
          <w:szCs w:val="16"/>
        </w:rPr>
        <w:softHyphen/>
        <w:t>тельному бюро Дыренкова. 15 сентября 1930 года пред</w:t>
      </w:r>
      <w:r w:rsidRPr="00507A31">
        <w:rPr>
          <w:color w:val="000000" w:themeColor="text1"/>
          <w:sz w:val="16"/>
          <w:szCs w:val="16"/>
        </w:rPr>
        <w:softHyphen/>
        <w:t>ставитель УММ РККА на заводе Можерез докладывал о работах КБ:</w:t>
      </w:r>
    </w:p>
    <w:p w14:paraId="7844A9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Бронеавтомобиль «Форд-А» с башней. Конструк</w:t>
      </w:r>
      <w:r w:rsidRPr="00507A31">
        <w:rPr>
          <w:color w:val="000000" w:themeColor="text1"/>
          <w:sz w:val="16"/>
          <w:szCs w:val="16"/>
        </w:rPr>
        <w:softHyphen/>
        <w:t>ция выполнена в порядке предложения НТК УММ РККА. Рабочие чертежи будут закончены к 25 октября. Изготовле</w:t>
      </w:r>
      <w:r w:rsidRPr="00507A31">
        <w:rPr>
          <w:color w:val="000000" w:themeColor="text1"/>
          <w:sz w:val="16"/>
          <w:szCs w:val="16"/>
        </w:rPr>
        <w:softHyphen/>
        <w:t>ние двух опытных образцов требует 3-3,5 месяца, т.е. к 15 февраля 1931 года при условии организации группы ра</w:t>
      </w:r>
      <w:r w:rsidRPr="00507A31">
        <w:rPr>
          <w:color w:val="000000" w:themeColor="text1"/>
          <w:sz w:val="16"/>
          <w:szCs w:val="16"/>
        </w:rPr>
        <w:softHyphen/>
        <w:t>бочих для опытных работ по бронированию бронемашины» (11284).</w:t>
      </w:r>
    </w:p>
    <w:p w14:paraId="7D191D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781E8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июля 1930 вышел ПРИКАЗ УММ О ПРОЕКТЕ ТОВ. РОЖКОВА БОЕВОЙ МАШИНЫ НОВОГО ТИПА №62</w:t>
      </w:r>
    </w:p>
    <w:p w14:paraId="5DC6E7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32BC04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Член НТК т. Рожков А.В. донес, что им в порядке внеплановой работы в неурочное время выполнен проект боевой машины нового типа, который он передает в подарок XVI съезду ВКП(б).</w:t>
      </w:r>
    </w:p>
    <w:p w14:paraId="7200C7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Отмечаю этот факт и ставлю его, как пример сознательного отношения к делу укрепления технической мощи РККА, обороноспособности нашего Союза ССР и доверия к политике Коммунис ческой партии — организатора и идейного руководителя РККА.</w:t>
      </w:r>
    </w:p>
    <w:p w14:paraId="22E687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Председателю НТК обеспечить срочную организацию рассмотрения представленного т. Рожк вым проекта и о результатах мне доложить.</w:t>
      </w:r>
    </w:p>
    <w:p w14:paraId="00E37E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Управления по механизации и моторизации</w:t>
      </w:r>
    </w:p>
    <w:p w14:paraId="328863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Халепский</w:t>
      </w:r>
    </w:p>
    <w:p w14:paraId="35676B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17. Л. 61. Подлинник (11210).</w:t>
      </w:r>
    </w:p>
    <w:p w14:paraId="5B970643" w14:textId="77777777" w:rsidR="00537E5F" w:rsidRPr="00507A31" w:rsidRDefault="00537E5F" w:rsidP="00507A31">
      <w:pPr>
        <w:autoSpaceDE w:val="0"/>
        <w:autoSpaceDN w:val="0"/>
        <w:adjustRightInd w:val="0"/>
        <w:jc w:val="both"/>
        <w:rPr>
          <w:color w:val="000000" w:themeColor="text1"/>
          <w:sz w:val="16"/>
          <w:szCs w:val="16"/>
        </w:rPr>
      </w:pPr>
    </w:p>
    <w:p w14:paraId="4BD813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июля 1930 г. Академик А.Н.Бах провозгласил на XVI съезде ВКП(б), что победу в будущей войне будет определять "не металл, а химическая продукция, не штыки и снаряды, а отравляющие газы" (9067).</w:t>
      </w:r>
    </w:p>
    <w:p w14:paraId="3B695E72" w14:textId="77777777" w:rsidR="00537E5F" w:rsidRPr="00507A31" w:rsidRDefault="00537E5F" w:rsidP="00507A31">
      <w:pPr>
        <w:autoSpaceDE w:val="0"/>
        <w:autoSpaceDN w:val="0"/>
        <w:adjustRightInd w:val="0"/>
        <w:jc w:val="both"/>
        <w:rPr>
          <w:color w:val="000000" w:themeColor="text1"/>
          <w:sz w:val="16"/>
          <w:szCs w:val="16"/>
        </w:rPr>
      </w:pPr>
    </w:p>
    <w:p w14:paraId="5458FD5A" w14:textId="77777777" w:rsidR="00695503" w:rsidRPr="00507A31" w:rsidRDefault="00695503" w:rsidP="00507A31">
      <w:pPr>
        <w:shd w:val="clear" w:color="auto" w:fill="FFFFFF"/>
        <w:jc w:val="both"/>
        <w:rPr>
          <w:color w:val="000000" w:themeColor="text1"/>
          <w:sz w:val="16"/>
          <w:szCs w:val="16"/>
        </w:rPr>
      </w:pPr>
      <w:r w:rsidRPr="00507A31">
        <w:rPr>
          <w:bCs/>
          <w:iCs/>
          <w:color w:val="000000" w:themeColor="text1"/>
          <w:sz w:val="16"/>
          <w:szCs w:val="16"/>
        </w:rPr>
        <w:t>8 июля 1930 г.</w:t>
      </w:r>
      <w:r w:rsidRPr="00507A31">
        <w:rPr>
          <w:color w:val="000000" w:themeColor="text1"/>
          <w:sz w:val="16"/>
          <w:szCs w:val="16"/>
        </w:rPr>
        <w:t xml:space="preserve"> Академик (с 1929 г.) А.Н.Бах провозгласил на XVI съезде ВКП(б), что победу в будущей войне будет определять «</w:t>
      </w:r>
      <w:r w:rsidRPr="00507A31">
        <w:rPr>
          <w:iCs/>
          <w:color w:val="000000" w:themeColor="text1"/>
          <w:sz w:val="16"/>
          <w:szCs w:val="16"/>
        </w:rPr>
        <w:t>не металл, а химическая продукция, не штыки и снаряды, а отравляющие газы</w:t>
      </w:r>
      <w:r w:rsidRPr="00507A31">
        <w:rPr>
          <w:color w:val="000000" w:themeColor="text1"/>
          <w:sz w:val="16"/>
          <w:szCs w:val="16"/>
        </w:rPr>
        <w:t>». В том же году спецотдел ОВ был переведен из руководимого А.Н.Бахом Физико-химического института им.В.Я.Карпова на Ольгинский завод (завод № 1 ВСНХ), где для выходцев из этого института был построен специальный корпус и где они продолжили химико-технологические работы по ОВ и химическому оружию на флагмане наступательной химической войны заводе-институте ГСНИИОХТ (17133).</w:t>
      </w:r>
    </w:p>
    <w:p w14:paraId="74FC398A" w14:textId="77777777" w:rsidR="00695503" w:rsidRPr="00507A31" w:rsidRDefault="00695503" w:rsidP="00507A31">
      <w:pPr>
        <w:shd w:val="clear" w:color="auto" w:fill="FFFFFF"/>
        <w:jc w:val="both"/>
        <w:rPr>
          <w:color w:val="000000" w:themeColor="text1"/>
          <w:sz w:val="16"/>
          <w:szCs w:val="16"/>
        </w:rPr>
      </w:pPr>
    </w:p>
    <w:p w14:paraId="0B3846CA" w14:textId="77777777" w:rsidR="00695503" w:rsidRPr="00507A31" w:rsidRDefault="00695503" w:rsidP="00507A31">
      <w:pPr>
        <w:autoSpaceDE w:val="0"/>
        <w:autoSpaceDN w:val="0"/>
        <w:adjustRightInd w:val="0"/>
        <w:jc w:val="both"/>
        <w:rPr>
          <w:i/>
          <w:iCs/>
          <w:color w:val="000000" w:themeColor="text1"/>
          <w:sz w:val="16"/>
          <w:szCs w:val="16"/>
        </w:rPr>
      </w:pPr>
      <w:r w:rsidRPr="00507A31">
        <w:rPr>
          <w:i/>
          <w:iCs/>
          <w:color w:val="000000" w:themeColor="text1"/>
          <w:sz w:val="16"/>
          <w:szCs w:val="16"/>
        </w:rPr>
        <w:t>Жизнь и внутре</w:t>
      </w:r>
      <w:r w:rsidR="0043766C" w:rsidRPr="00507A31">
        <w:rPr>
          <w:i/>
          <w:iCs/>
          <w:color w:val="000000" w:themeColor="text1"/>
          <w:sz w:val="16"/>
          <w:szCs w:val="16"/>
        </w:rPr>
        <w:t>н</w:t>
      </w:r>
      <w:r w:rsidRPr="00507A31">
        <w:rPr>
          <w:i/>
          <w:iCs/>
          <w:color w:val="000000" w:themeColor="text1"/>
          <w:sz w:val="16"/>
          <w:szCs w:val="16"/>
        </w:rPr>
        <w:t>няя политика:</w:t>
      </w:r>
    </w:p>
    <w:p w14:paraId="09007D57" w14:textId="77777777" w:rsidR="00695503" w:rsidRPr="00507A31" w:rsidRDefault="00695503" w:rsidP="00507A31">
      <w:pPr>
        <w:autoSpaceDE w:val="0"/>
        <w:autoSpaceDN w:val="0"/>
        <w:adjustRightInd w:val="0"/>
        <w:jc w:val="both"/>
        <w:rPr>
          <w:iCs/>
          <w:color w:val="000000" w:themeColor="text1"/>
          <w:sz w:val="16"/>
          <w:szCs w:val="16"/>
        </w:rPr>
      </w:pPr>
    </w:p>
    <w:p w14:paraId="72D530CB" w14:textId="77777777" w:rsidR="00695503" w:rsidRPr="00507A31" w:rsidRDefault="00695503" w:rsidP="00507A31">
      <w:pPr>
        <w:jc w:val="both"/>
        <w:rPr>
          <w:color w:val="000000" w:themeColor="text1"/>
          <w:sz w:val="16"/>
          <w:szCs w:val="16"/>
        </w:rPr>
      </w:pPr>
      <w:r w:rsidRPr="00507A31">
        <w:rPr>
          <w:bCs/>
          <w:color w:val="000000" w:themeColor="text1"/>
          <w:sz w:val="16"/>
          <w:szCs w:val="16"/>
        </w:rPr>
        <w:t>8 июля</w:t>
      </w:r>
      <w:r w:rsidRPr="00507A31">
        <w:rPr>
          <w:color w:val="000000" w:themeColor="text1"/>
          <w:sz w:val="16"/>
          <w:szCs w:val="16"/>
        </w:rPr>
        <w:t xml:space="preserve"> в 1930 году в Москве основан Институт экономики Академии Наук СССР; теперь ИЭ Российской Академии Наук. Институт экономики Российской Академии наук (ИНЭК, ИЭ РАН) — научно-исследовательское учреждение (Москва). Был создан на базе экономической и кооперативной секций и присоединенного к ней Института экономики Российской ассоциации научно-исследовательских институтов общественных наук (РАНИОН) в Коммунистической академии. Награжден орденом Трудового Красного Знамени (1980). С 1922 года в Социалистической академии действовал кабинет экономики, предшественник Института экономики Комакадемии. 10 августа 1931 г. Институт экономики Комакадемии объединён с Экономическим институтом красной профессуры. (директор экономического института Комакадемии в 1932—1936 Квиринг). 15 февраля 1936 г. реорганизация Экономического и Аграрного институтов Комакадемии в единый Институт экономики с включением его в систему Академии Наук СССР. В 1941—1943 гг. институт находился в эвакуации в Алма-Ате. 4 октября 1947 г. Институт мирового хозяйства и мировой политики и Институт экономики были объединены в единый Институт экономики в системе Академии Наук СССР. В структуру института входят: Центр политико-экономических исследований; Центр инвестиций и инноваций; Центр макроэкономической стратегии; Центр исследований рынка труда и социальных процессов; Центр социально-экономических проблем федерализма; Центр институциональных и микроэкономических исследований; Центр финансово-банковских исследований; Центр информации. В 2005 г. было осуществлено объединение Института экономики и Института международных экономических и политических исследований (ИМЭПИ РАН, бывший Институт экономики мировой социалистической системы Академии наук СССР) — последний вошел в структуру </w:t>
      </w:r>
      <w:r w:rsidRPr="00507A31">
        <w:rPr>
          <w:color w:val="000000" w:themeColor="text1"/>
          <w:sz w:val="16"/>
          <w:szCs w:val="16"/>
        </w:rPr>
        <w:lastRenderedPageBreak/>
        <w:t>Института экономики в качестве филиала под названием Отделение международных экономических и политических исследований (ОМЭПИ). В структуру отделения входит Центр внешнеэкономических исследований. Институт осуществляет подготовку аспирантов по специальностям: 08.00.01 — экономическая теория;08.00.05 — экономика и управление народным хозяйством; 08.00.10 — финансы, денежное обращение и кредит; 08.00.14 — мировая экономика и др. Институт является одним из учредителей журнала «Вопросы экономики» (14946).</w:t>
      </w:r>
    </w:p>
    <w:p w14:paraId="77BDD2CE" w14:textId="77777777" w:rsidR="00695503" w:rsidRPr="00507A31" w:rsidRDefault="00695503" w:rsidP="00507A31">
      <w:pPr>
        <w:jc w:val="both"/>
        <w:rPr>
          <w:color w:val="000000" w:themeColor="text1"/>
          <w:sz w:val="16"/>
          <w:szCs w:val="16"/>
        </w:rPr>
      </w:pPr>
    </w:p>
    <w:p w14:paraId="484D1AC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10A0EF3" w14:textId="77777777" w:rsidR="00537E5F" w:rsidRPr="00507A31" w:rsidRDefault="00537E5F" w:rsidP="00507A31">
      <w:pPr>
        <w:autoSpaceDE w:val="0"/>
        <w:autoSpaceDN w:val="0"/>
        <w:adjustRightInd w:val="0"/>
        <w:jc w:val="both"/>
        <w:rPr>
          <w:iCs/>
          <w:color w:val="000000" w:themeColor="text1"/>
          <w:sz w:val="16"/>
          <w:szCs w:val="16"/>
        </w:rPr>
      </w:pPr>
    </w:p>
    <w:p w14:paraId="083897A0" w14:textId="77777777" w:rsidR="00BE0911" w:rsidRPr="00507A31" w:rsidRDefault="00BE0911" w:rsidP="00507A31">
      <w:pPr>
        <w:jc w:val="both"/>
        <w:rPr>
          <w:color w:val="0070C0"/>
          <w:sz w:val="16"/>
          <w:szCs w:val="16"/>
        </w:rPr>
      </w:pPr>
      <w:r w:rsidRPr="00507A31">
        <w:rPr>
          <w:color w:val="0070C0"/>
          <w:sz w:val="16"/>
          <w:szCs w:val="16"/>
        </w:rPr>
        <w:t>С 9 по 11 июля 1930 года в НИИ ВВС прошел финальный этап испытаний «Фоккер» ДХI № 4777. В пяти полетах общей продолжительностью 3 часа 35 минут было выполнено 136 петель, переворотов, бочек и пикирований со средней перегрузкой 5-5,5g и максимальной 7,4g. Деформаций в местах крепления лент обнаружено не было. Военные посчитали новый вариант конструкции достаточно прочным и надежным (23030).</w:t>
      </w:r>
    </w:p>
    <w:p w14:paraId="7E1D82D4" w14:textId="77777777" w:rsidR="00BE0911" w:rsidRPr="00507A31" w:rsidRDefault="00BE0911" w:rsidP="00507A31">
      <w:pPr>
        <w:jc w:val="both"/>
        <w:rPr>
          <w:color w:val="0070C0"/>
          <w:sz w:val="16"/>
          <w:szCs w:val="16"/>
        </w:rPr>
      </w:pPr>
    </w:p>
    <w:p w14:paraId="09EC7060" w14:textId="77777777" w:rsidR="003F54B4" w:rsidRPr="00507A31" w:rsidRDefault="003F54B4" w:rsidP="00507A31">
      <w:pPr>
        <w:jc w:val="both"/>
        <w:rPr>
          <w:color w:val="000000" w:themeColor="text1"/>
          <w:sz w:val="16"/>
          <w:szCs w:val="16"/>
        </w:rPr>
      </w:pPr>
      <w:r w:rsidRPr="00507A31">
        <w:rPr>
          <w:color w:val="000000" w:themeColor="text1"/>
          <w:sz w:val="16"/>
          <w:szCs w:val="16"/>
        </w:rPr>
        <w:t>9-го июля 1930 года, начальник ВАО Михайлов, следуя указаниям «сверху», по согласованию с ОГПУ издает приказ следующего содержания (70):</w:t>
      </w:r>
    </w:p>
    <w:p w14:paraId="4E9FBC29" w14:textId="77777777" w:rsidR="003F54B4" w:rsidRPr="00507A31" w:rsidRDefault="003F54B4" w:rsidP="00507A31">
      <w:pPr>
        <w:jc w:val="both"/>
        <w:rPr>
          <w:color w:val="000000" w:themeColor="text1"/>
          <w:sz w:val="16"/>
          <w:szCs w:val="16"/>
        </w:rPr>
      </w:pPr>
      <w:r w:rsidRPr="00507A31">
        <w:rPr>
          <w:color w:val="000000" w:themeColor="text1"/>
          <w:sz w:val="16"/>
          <w:szCs w:val="16"/>
        </w:rPr>
        <w:t>Раскрытая Экономическим управлением ОГПУ вредительская к-р (контрреволюционная) организация в Авиационной промышленности имела своей целью разложение авиапромышленности, срыв мобилизационной готовности и тем самым подрыв обороноспособности нашей страны.</w:t>
      </w:r>
    </w:p>
    <w:p w14:paraId="61024DF4" w14:textId="77777777" w:rsidR="003F54B4" w:rsidRPr="00507A31" w:rsidRDefault="003F54B4" w:rsidP="00507A31">
      <w:pPr>
        <w:jc w:val="both"/>
        <w:rPr>
          <w:color w:val="000000" w:themeColor="text1"/>
          <w:sz w:val="16"/>
          <w:szCs w:val="16"/>
        </w:rPr>
      </w:pPr>
      <w:r w:rsidRPr="00507A31">
        <w:rPr>
          <w:color w:val="000000" w:themeColor="text1"/>
          <w:sz w:val="16"/>
          <w:szCs w:val="16"/>
        </w:rPr>
        <w:t>В настоящее время в значительной степени известна картина вредительской деятельности в авиапромышленности, и это позволяет со всей решительностью приступить к ликвидации последствий на заводах ВАО.</w:t>
      </w:r>
    </w:p>
    <w:p w14:paraId="30757A69" w14:textId="77777777" w:rsidR="003F54B4" w:rsidRPr="00507A31" w:rsidRDefault="003F54B4" w:rsidP="00507A31">
      <w:pPr>
        <w:jc w:val="both"/>
        <w:rPr>
          <w:color w:val="000000" w:themeColor="text1"/>
          <w:sz w:val="16"/>
          <w:szCs w:val="16"/>
        </w:rPr>
      </w:pPr>
      <w:r w:rsidRPr="00507A31">
        <w:rPr>
          <w:color w:val="000000" w:themeColor="text1"/>
          <w:sz w:val="16"/>
          <w:szCs w:val="16"/>
        </w:rPr>
        <w:t>На основании постановления Политбюро ЦК ВКП(б) при ВАО создана Центральная Комиссия по ликвидации последствий вредительства в авиапромышленности в составе:</w:t>
      </w:r>
    </w:p>
    <w:p w14:paraId="25E5CFC9" w14:textId="77777777" w:rsidR="003F54B4" w:rsidRPr="00507A31" w:rsidRDefault="003F54B4" w:rsidP="00507A31">
      <w:pPr>
        <w:jc w:val="both"/>
        <w:rPr>
          <w:color w:val="000000" w:themeColor="text1"/>
          <w:sz w:val="16"/>
          <w:szCs w:val="16"/>
        </w:rPr>
      </w:pPr>
      <w:r w:rsidRPr="00507A31">
        <w:rPr>
          <w:color w:val="000000" w:themeColor="text1"/>
          <w:sz w:val="16"/>
          <w:szCs w:val="16"/>
        </w:rPr>
        <w:t>Председателя Комиссии – меня.</w:t>
      </w:r>
    </w:p>
    <w:p w14:paraId="7C6109FD" w14:textId="77777777" w:rsidR="003F54B4" w:rsidRPr="00507A31" w:rsidRDefault="003F54B4" w:rsidP="00507A31">
      <w:pPr>
        <w:jc w:val="both"/>
        <w:rPr>
          <w:color w:val="000000" w:themeColor="text1"/>
          <w:sz w:val="16"/>
          <w:szCs w:val="16"/>
        </w:rPr>
      </w:pPr>
      <w:r w:rsidRPr="00507A31">
        <w:rPr>
          <w:color w:val="000000" w:themeColor="text1"/>
          <w:sz w:val="16"/>
          <w:szCs w:val="16"/>
        </w:rPr>
        <w:t>Заместителей Председателя – моих заместителей тт. Друян и Десятникова.</w:t>
      </w:r>
    </w:p>
    <w:p w14:paraId="31C9230D" w14:textId="77777777" w:rsidR="003F54B4" w:rsidRPr="00507A31" w:rsidRDefault="003F54B4" w:rsidP="00507A31">
      <w:pPr>
        <w:jc w:val="both"/>
        <w:rPr>
          <w:color w:val="000000" w:themeColor="text1"/>
          <w:sz w:val="16"/>
          <w:szCs w:val="16"/>
        </w:rPr>
      </w:pPr>
      <w:r w:rsidRPr="00507A31">
        <w:rPr>
          <w:color w:val="000000" w:themeColor="text1"/>
          <w:sz w:val="16"/>
          <w:szCs w:val="16"/>
        </w:rPr>
        <w:t>Членов: от ВАО т. Фролова;</w:t>
      </w:r>
    </w:p>
    <w:p w14:paraId="0C52722F" w14:textId="77777777" w:rsidR="003F54B4" w:rsidRPr="00507A31" w:rsidRDefault="003F54B4" w:rsidP="00507A31">
      <w:pPr>
        <w:jc w:val="both"/>
        <w:rPr>
          <w:color w:val="000000" w:themeColor="text1"/>
          <w:sz w:val="16"/>
          <w:szCs w:val="16"/>
        </w:rPr>
      </w:pPr>
      <w:r w:rsidRPr="00507A31">
        <w:rPr>
          <w:color w:val="000000" w:themeColor="text1"/>
          <w:sz w:val="16"/>
          <w:szCs w:val="16"/>
        </w:rPr>
        <w:t>от ОГПУ тт. Коновалова, Шалыт и Змуда;</w:t>
      </w:r>
    </w:p>
    <w:p w14:paraId="51F31AFD" w14:textId="77777777" w:rsidR="003F54B4" w:rsidRPr="00507A31" w:rsidRDefault="003F54B4" w:rsidP="00507A31">
      <w:pPr>
        <w:jc w:val="both"/>
        <w:rPr>
          <w:color w:val="000000" w:themeColor="text1"/>
          <w:sz w:val="16"/>
          <w:szCs w:val="16"/>
        </w:rPr>
      </w:pPr>
      <w:r w:rsidRPr="00507A31">
        <w:rPr>
          <w:color w:val="000000" w:themeColor="text1"/>
          <w:sz w:val="16"/>
          <w:szCs w:val="16"/>
        </w:rPr>
        <w:t>от УВВС т. Харламова,</w:t>
      </w:r>
    </w:p>
    <w:p w14:paraId="765F324D" w14:textId="77777777" w:rsidR="003F54B4" w:rsidRPr="00507A31" w:rsidRDefault="003F54B4" w:rsidP="00507A31">
      <w:pPr>
        <w:jc w:val="both"/>
        <w:rPr>
          <w:color w:val="000000" w:themeColor="text1"/>
          <w:sz w:val="16"/>
          <w:szCs w:val="16"/>
        </w:rPr>
      </w:pPr>
      <w:r w:rsidRPr="00507A31">
        <w:rPr>
          <w:color w:val="000000" w:themeColor="text1"/>
          <w:sz w:val="16"/>
          <w:szCs w:val="16"/>
        </w:rPr>
        <w:t>от ЦК Металлистов т. Гимерверт.</w:t>
      </w:r>
    </w:p>
    <w:p w14:paraId="3D199E5F" w14:textId="77777777" w:rsidR="003F54B4" w:rsidRPr="00507A31" w:rsidRDefault="003F54B4" w:rsidP="00507A31">
      <w:pPr>
        <w:jc w:val="both"/>
        <w:rPr>
          <w:color w:val="000000" w:themeColor="text1"/>
          <w:sz w:val="16"/>
          <w:szCs w:val="16"/>
        </w:rPr>
      </w:pPr>
      <w:r w:rsidRPr="00507A31">
        <w:rPr>
          <w:color w:val="000000" w:themeColor="text1"/>
          <w:sz w:val="16"/>
          <w:szCs w:val="16"/>
        </w:rPr>
        <w:t>В основу своей работы Комиссия кладет следственные материалы, имеющиеся в Экономическом управлении ОГПУ, а также при помощи рабочих бригад, производственных совещаний под руководством заводских комиссий по л/вредительства (ликвидации вредительства) ведет работу по выявлению тех последствий вредительства, которые со стороны вредителей указаны еще не были (были скрыты).</w:t>
      </w:r>
    </w:p>
    <w:p w14:paraId="1ADD79A8" w14:textId="77777777" w:rsidR="003F54B4" w:rsidRPr="00507A31" w:rsidRDefault="003F54B4" w:rsidP="00507A31">
      <w:pPr>
        <w:jc w:val="both"/>
        <w:rPr>
          <w:color w:val="000000" w:themeColor="text1"/>
          <w:sz w:val="16"/>
          <w:szCs w:val="16"/>
        </w:rPr>
      </w:pPr>
      <w:r w:rsidRPr="00507A31">
        <w:rPr>
          <w:color w:val="000000" w:themeColor="text1"/>
          <w:sz w:val="16"/>
          <w:szCs w:val="16"/>
        </w:rPr>
        <w:t>На основании вышеизложенного ПРИКАЗЫВАЮ:</w:t>
      </w:r>
    </w:p>
    <w:p w14:paraId="3D90DF06" w14:textId="77777777" w:rsidR="003F54B4" w:rsidRPr="00507A31" w:rsidRDefault="003F54B4" w:rsidP="00507A31">
      <w:pPr>
        <w:jc w:val="both"/>
        <w:rPr>
          <w:color w:val="000000" w:themeColor="text1"/>
          <w:sz w:val="16"/>
          <w:szCs w:val="16"/>
        </w:rPr>
      </w:pPr>
      <w:r w:rsidRPr="00507A31">
        <w:rPr>
          <w:color w:val="000000" w:themeColor="text1"/>
          <w:sz w:val="16"/>
          <w:szCs w:val="16"/>
        </w:rPr>
        <w:t>§1. Создать на авиазаводах № № 1, 22, 23, 24, 26, 28,29, 31 и Центральном опытном заводе (завод № 39) местные заводские комиссии по ликвидации последствий вредительства в составе:</w:t>
      </w:r>
    </w:p>
    <w:p w14:paraId="79C8BD79" w14:textId="77777777" w:rsidR="003F54B4" w:rsidRPr="00507A31" w:rsidRDefault="003F54B4" w:rsidP="00507A31">
      <w:pPr>
        <w:jc w:val="both"/>
        <w:rPr>
          <w:color w:val="000000" w:themeColor="text1"/>
          <w:sz w:val="16"/>
          <w:szCs w:val="16"/>
        </w:rPr>
      </w:pPr>
      <w:r w:rsidRPr="00507A31">
        <w:rPr>
          <w:color w:val="000000" w:themeColor="text1"/>
          <w:sz w:val="16"/>
          <w:szCs w:val="16"/>
        </w:rPr>
        <w:t>Председателя – директора завода и членов – секретаря ячейки или партийного комитета ВКП(б), председателя завкома, представитетеля соответствующего отдела ГПУ и представителя военной приемки, если имеются в таковой члены ВКП(б).</w:t>
      </w:r>
    </w:p>
    <w:p w14:paraId="2519B20F" w14:textId="77777777" w:rsidR="003F54B4" w:rsidRPr="00507A31" w:rsidRDefault="003F54B4" w:rsidP="00507A31">
      <w:pPr>
        <w:jc w:val="both"/>
        <w:rPr>
          <w:color w:val="000000" w:themeColor="text1"/>
          <w:sz w:val="16"/>
          <w:szCs w:val="16"/>
        </w:rPr>
      </w:pPr>
      <w:r w:rsidRPr="00507A31">
        <w:rPr>
          <w:color w:val="000000" w:themeColor="text1"/>
          <w:sz w:val="16"/>
          <w:szCs w:val="16"/>
        </w:rPr>
        <w:t>§2. Комиссии по ликвидации последствий вредительства приступить к работе в 2-дневный срок со дня получения настоящего приказа, разработать календарный план по ликвидации вредительства с указанием сроков их окончания.</w:t>
      </w:r>
    </w:p>
    <w:p w14:paraId="65D0C0E3" w14:textId="77777777" w:rsidR="003F54B4" w:rsidRPr="00507A31" w:rsidRDefault="003F54B4" w:rsidP="00507A31">
      <w:pPr>
        <w:jc w:val="both"/>
        <w:rPr>
          <w:color w:val="000000" w:themeColor="text1"/>
          <w:sz w:val="16"/>
          <w:szCs w:val="16"/>
        </w:rPr>
      </w:pPr>
      <w:r w:rsidRPr="00507A31">
        <w:rPr>
          <w:color w:val="000000" w:themeColor="text1"/>
          <w:sz w:val="16"/>
          <w:szCs w:val="16"/>
        </w:rPr>
        <w:t>§3. Для технического исполнения и наблюдения за выполнением постановлений комиссии, создать при местной заводской комиссии</w:t>
      </w:r>
    </w:p>
    <w:p w14:paraId="1484C3B2" w14:textId="77777777" w:rsidR="003F54B4" w:rsidRPr="00507A31" w:rsidRDefault="003F54B4" w:rsidP="00507A31">
      <w:pPr>
        <w:jc w:val="both"/>
        <w:rPr>
          <w:color w:val="000000" w:themeColor="text1"/>
          <w:sz w:val="16"/>
          <w:szCs w:val="16"/>
        </w:rPr>
      </w:pPr>
      <w:r w:rsidRPr="00507A31">
        <w:rPr>
          <w:color w:val="000000" w:themeColor="text1"/>
          <w:sz w:val="16"/>
          <w:szCs w:val="16"/>
        </w:rPr>
        <w:t>секретариат из 3 лиц.</w:t>
      </w:r>
    </w:p>
    <w:p w14:paraId="44544779" w14:textId="77777777" w:rsidR="003F54B4" w:rsidRPr="00507A31" w:rsidRDefault="003F54B4" w:rsidP="00507A31">
      <w:pPr>
        <w:jc w:val="both"/>
        <w:rPr>
          <w:color w:val="000000" w:themeColor="text1"/>
          <w:sz w:val="16"/>
          <w:szCs w:val="16"/>
        </w:rPr>
      </w:pPr>
      <w:r w:rsidRPr="00507A31">
        <w:rPr>
          <w:color w:val="000000" w:themeColor="text1"/>
          <w:sz w:val="16"/>
          <w:szCs w:val="16"/>
        </w:rPr>
        <w:t>§4. Председателям комиссий доносить мне о проделанной работе один раз в десятидневку 1, 10, 20 числа каждого месяца специальными докладами.</w:t>
      </w:r>
    </w:p>
    <w:p w14:paraId="7046D58E" w14:textId="77777777" w:rsidR="003F54B4" w:rsidRPr="00507A31" w:rsidRDefault="003F54B4" w:rsidP="00507A31">
      <w:pPr>
        <w:jc w:val="both"/>
        <w:rPr>
          <w:color w:val="000000" w:themeColor="text1"/>
          <w:sz w:val="16"/>
          <w:szCs w:val="16"/>
        </w:rPr>
      </w:pPr>
      <w:r w:rsidRPr="00507A31">
        <w:rPr>
          <w:color w:val="000000" w:themeColor="text1"/>
          <w:sz w:val="16"/>
          <w:szCs w:val="16"/>
        </w:rPr>
        <w:t>Вместе с этим приказом директорам авиационных заводов было разослано специальное информационное письмо с фактами «вредительства», выявленных Экономическим управлением ОГПУ, в котором изложены фрагменты многих следственных дел заключенных.</w:t>
      </w:r>
    </w:p>
    <w:p w14:paraId="687B984D" w14:textId="77777777" w:rsidR="003F54B4" w:rsidRPr="00507A31" w:rsidRDefault="003F54B4" w:rsidP="00507A31">
      <w:pPr>
        <w:jc w:val="both"/>
        <w:rPr>
          <w:color w:val="000000" w:themeColor="text1"/>
          <w:sz w:val="16"/>
          <w:szCs w:val="16"/>
        </w:rPr>
      </w:pPr>
      <w:r w:rsidRPr="00507A31">
        <w:rPr>
          <w:color w:val="000000" w:themeColor="text1"/>
          <w:sz w:val="16"/>
          <w:szCs w:val="16"/>
        </w:rPr>
        <w:t>Комиссия по ликвидации вредительства, которую чаще называли Комиссией по «чистке» личного состава, на заводе № 39 была создана 10-го июля. Кроме заводской комиссии, сюда прибыла и Комиссия по «чистке» ЦКК-РКИ (Центральная контрольная комиссия - Рабоче–крестьянской инспекции). В адрес Комиссии стали поступать обличительные письма и доносы «доброжелателей». В коллективе завода тотчас установилась тягостная, напряженная обстановка. Персонально разбирая дела каждого сотрудника завода, Комиссией устанавливалась следующая градация освобождения работников с занимаемой должности:</w:t>
      </w:r>
    </w:p>
    <w:p w14:paraId="688EBB94" w14:textId="77777777" w:rsidR="003F54B4" w:rsidRPr="00507A31" w:rsidRDefault="003F54B4" w:rsidP="00507A31">
      <w:pPr>
        <w:jc w:val="both"/>
        <w:rPr>
          <w:color w:val="000000" w:themeColor="text1"/>
          <w:sz w:val="16"/>
          <w:szCs w:val="16"/>
        </w:rPr>
      </w:pPr>
      <w:r w:rsidRPr="00507A31">
        <w:rPr>
          <w:color w:val="000000" w:themeColor="text1"/>
          <w:sz w:val="16"/>
          <w:szCs w:val="16"/>
        </w:rPr>
        <w:t>1-я категория – расстрел; 2-я категория – арест на срок от месяца до 10 лет; 3-я категория – увольнение с завода; вне категорий – понижение в должности, административный выговор и другое.</w:t>
      </w:r>
    </w:p>
    <w:p w14:paraId="46BF1566" w14:textId="77777777" w:rsidR="003F54B4" w:rsidRPr="00507A31" w:rsidRDefault="003F54B4" w:rsidP="00507A31">
      <w:pPr>
        <w:jc w:val="both"/>
        <w:rPr>
          <w:color w:val="000000" w:themeColor="text1"/>
          <w:sz w:val="16"/>
          <w:szCs w:val="16"/>
        </w:rPr>
      </w:pPr>
      <w:r w:rsidRPr="00507A31">
        <w:rPr>
          <w:color w:val="000000" w:themeColor="text1"/>
          <w:sz w:val="16"/>
          <w:szCs w:val="16"/>
        </w:rPr>
        <w:t>Ниже приведены выписки из протоколов работы этих Комиссий (71):</w:t>
      </w:r>
    </w:p>
    <w:p w14:paraId="2BA4D4D4" w14:textId="77777777" w:rsidR="003F54B4" w:rsidRPr="00507A31" w:rsidRDefault="003F54B4" w:rsidP="00507A31">
      <w:pPr>
        <w:jc w:val="both"/>
        <w:rPr>
          <w:color w:val="000000" w:themeColor="text1"/>
          <w:sz w:val="16"/>
          <w:szCs w:val="16"/>
        </w:rPr>
      </w:pPr>
      <w:r w:rsidRPr="00507A31">
        <w:rPr>
          <w:color w:val="000000" w:themeColor="text1"/>
          <w:sz w:val="16"/>
          <w:szCs w:val="16"/>
        </w:rPr>
        <w:t>Савельев Владимир Федорович, зав.отд. вооружения, родился в 1899 г... В авиапромышленности работает более 20 лет... Служил в армии </w:t>
      </w:r>
      <w:hyperlink r:id="rId118" w:tgtFrame="_blank" w:history="1">
        <w:r w:rsidRPr="00507A31">
          <w:rPr>
            <w:rStyle w:val="a5"/>
            <w:color w:val="000000" w:themeColor="text1"/>
            <w:sz w:val="16"/>
            <w:szCs w:val="16"/>
          </w:rPr>
          <w:t>Колчака</w:t>
        </w:r>
      </w:hyperlink>
      <w:r w:rsidRPr="00507A31">
        <w:rPr>
          <w:color w:val="000000" w:themeColor="text1"/>
          <w:sz w:val="16"/>
          <w:szCs w:val="16"/>
        </w:rPr>
        <w:t>. В Красной Армии служил 3 года... Имел связь с вредительскими элементами. Вредил. Скрыл в послужном списке службу у Колчака...</w:t>
      </w:r>
    </w:p>
    <w:p w14:paraId="6D859CA2" w14:textId="77777777" w:rsidR="003F54B4" w:rsidRPr="00507A31" w:rsidRDefault="003F54B4" w:rsidP="00507A31">
      <w:pPr>
        <w:jc w:val="both"/>
        <w:rPr>
          <w:color w:val="000000" w:themeColor="text1"/>
          <w:sz w:val="16"/>
          <w:szCs w:val="16"/>
        </w:rPr>
      </w:pPr>
      <w:r w:rsidRPr="00507A31">
        <w:rPr>
          <w:color w:val="000000" w:themeColor="text1"/>
          <w:sz w:val="16"/>
          <w:szCs w:val="16"/>
        </w:rPr>
        <w:t>Снять по 1-й категории».</w:t>
      </w:r>
    </w:p>
    <w:p w14:paraId="39D6E7F7" w14:textId="77777777" w:rsidR="003F54B4" w:rsidRPr="00507A31" w:rsidRDefault="003F54B4" w:rsidP="00507A31">
      <w:pPr>
        <w:jc w:val="both"/>
        <w:rPr>
          <w:color w:val="000000" w:themeColor="text1"/>
          <w:sz w:val="16"/>
          <w:szCs w:val="16"/>
        </w:rPr>
      </w:pPr>
      <w:r w:rsidRPr="00507A31">
        <w:rPr>
          <w:color w:val="000000" w:themeColor="text1"/>
          <w:sz w:val="16"/>
          <w:szCs w:val="16"/>
        </w:rPr>
        <w:t>Левашев Алексей Викторович, ВРИД секции шасси, родился в 1897 г., сын священника. В 1925 году закончил МВТУ...</w:t>
      </w:r>
    </w:p>
    <w:p w14:paraId="048DC4FA" w14:textId="77777777" w:rsidR="003F54B4" w:rsidRPr="00507A31" w:rsidRDefault="003F54B4" w:rsidP="00507A31">
      <w:pPr>
        <w:jc w:val="both"/>
        <w:rPr>
          <w:color w:val="000000" w:themeColor="text1"/>
          <w:sz w:val="16"/>
          <w:szCs w:val="16"/>
        </w:rPr>
      </w:pPr>
      <w:r w:rsidRPr="00507A31">
        <w:rPr>
          <w:color w:val="000000" w:themeColor="text1"/>
          <w:sz w:val="16"/>
          <w:szCs w:val="16"/>
        </w:rPr>
        <w:t>Снять по первой категории как чуждый элемент».</w:t>
      </w:r>
    </w:p>
    <w:p w14:paraId="4DCA60EB" w14:textId="77777777" w:rsidR="003F54B4" w:rsidRPr="00507A31" w:rsidRDefault="003F54B4" w:rsidP="00507A31">
      <w:pPr>
        <w:jc w:val="both"/>
        <w:rPr>
          <w:color w:val="000000" w:themeColor="text1"/>
          <w:sz w:val="16"/>
          <w:szCs w:val="16"/>
        </w:rPr>
      </w:pPr>
      <w:r w:rsidRPr="00507A31">
        <w:rPr>
          <w:color w:val="000000" w:themeColor="text1"/>
          <w:sz w:val="16"/>
          <w:szCs w:val="16"/>
        </w:rPr>
        <w:t>«Шереметьев Борис Николаевич, конструктор. Родился в 1891 г. Происходит из семьи дворян...</w:t>
      </w:r>
    </w:p>
    <w:p w14:paraId="67F4F6C1" w14:textId="77777777" w:rsidR="003F54B4" w:rsidRPr="00507A31" w:rsidRDefault="003F54B4" w:rsidP="00507A31">
      <w:pPr>
        <w:jc w:val="both"/>
        <w:rPr>
          <w:color w:val="000000" w:themeColor="text1"/>
          <w:sz w:val="16"/>
          <w:szCs w:val="16"/>
        </w:rPr>
      </w:pPr>
      <w:r w:rsidRPr="00507A31">
        <w:rPr>
          <w:color w:val="000000" w:themeColor="text1"/>
          <w:sz w:val="16"/>
          <w:szCs w:val="16"/>
        </w:rPr>
        <w:t>Снять по 2-й категории на 3 года, запретив работать в военной промышленности».</w:t>
      </w:r>
    </w:p>
    <w:p w14:paraId="3BAB2CB8" w14:textId="77777777" w:rsidR="003F54B4" w:rsidRPr="00507A31" w:rsidRDefault="003F54B4" w:rsidP="00507A31">
      <w:pPr>
        <w:jc w:val="both"/>
        <w:rPr>
          <w:color w:val="000000" w:themeColor="text1"/>
          <w:sz w:val="16"/>
          <w:szCs w:val="16"/>
        </w:rPr>
      </w:pPr>
      <w:r w:rsidRPr="00507A31">
        <w:rPr>
          <w:color w:val="000000" w:themeColor="text1"/>
          <w:sz w:val="16"/>
          <w:szCs w:val="16"/>
        </w:rPr>
        <w:t>«Яценко Владимир Панфилович, зав. Конструкторским отделом, родился в 1892 г. Сын земского врача. Высшее образование не закончено. В авиации работает с 1915 г. В 1919 году был арестован ОГПУ за спекуляцию (была продана кожа и спирт). На заводе работает с 1924 г. Общественной работой не интересуется. Муж сестры – агроном, арестован ОГПУ.</w:t>
      </w:r>
    </w:p>
    <w:p w14:paraId="30DF6A2F" w14:textId="77777777" w:rsidR="003F54B4" w:rsidRPr="00507A31" w:rsidRDefault="003F54B4" w:rsidP="00507A31">
      <w:pPr>
        <w:jc w:val="both"/>
        <w:rPr>
          <w:color w:val="000000" w:themeColor="text1"/>
          <w:sz w:val="16"/>
          <w:szCs w:val="16"/>
        </w:rPr>
      </w:pPr>
      <w:r w:rsidRPr="00507A31">
        <w:rPr>
          <w:color w:val="000000" w:themeColor="text1"/>
          <w:sz w:val="16"/>
          <w:szCs w:val="16"/>
        </w:rPr>
        <w:t>Снять по 3-й категории, запретив работать на руководящей работе в течение 3 лет ».</w:t>
      </w:r>
    </w:p>
    <w:p w14:paraId="05F950AA" w14:textId="77777777" w:rsidR="003F54B4" w:rsidRPr="00507A31" w:rsidRDefault="003F54B4" w:rsidP="00507A31">
      <w:pPr>
        <w:jc w:val="both"/>
        <w:rPr>
          <w:color w:val="000000" w:themeColor="text1"/>
          <w:sz w:val="16"/>
          <w:szCs w:val="16"/>
        </w:rPr>
      </w:pPr>
      <w:r w:rsidRPr="00507A31">
        <w:rPr>
          <w:color w:val="000000" w:themeColor="text1"/>
          <w:sz w:val="16"/>
          <w:szCs w:val="16"/>
        </w:rPr>
        <w:t>«Бакулин Михаил Павлович, конструктор, родился в 1911 г. Антиобщественник и антисемит. Снять по первой категории».</w:t>
      </w:r>
    </w:p>
    <w:p w14:paraId="48983717" w14:textId="77777777" w:rsidR="003F54B4" w:rsidRPr="00507A31" w:rsidRDefault="003F54B4" w:rsidP="00507A31">
      <w:pPr>
        <w:jc w:val="both"/>
        <w:rPr>
          <w:color w:val="000000" w:themeColor="text1"/>
          <w:sz w:val="16"/>
          <w:szCs w:val="16"/>
        </w:rPr>
      </w:pPr>
      <w:r w:rsidRPr="00507A31">
        <w:rPr>
          <w:color w:val="000000" w:themeColor="text1"/>
          <w:sz w:val="16"/>
          <w:szCs w:val="16"/>
        </w:rPr>
        <w:t>«Атрамонов Иван Иванович, пом. начальника ЦКБ, родился в 1891 г. Рабочий. В 1927 г. окончил Академию ВВФ. Член ВКП(б) с 1918 г...</w:t>
      </w:r>
    </w:p>
    <w:p w14:paraId="12864314" w14:textId="77777777" w:rsidR="003F54B4" w:rsidRPr="00507A31" w:rsidRDefault="003F54B4" w:rsidP="00507A31">
      <w:pPr>
        <w:jc w:val="both"/>
        <w:rPr>
          <w:color w:val="000000" w:themeColor="text1"/>
          <w:sz w:val="16"/>
          <w:szCs w:val="16"/>
        </w:rPr>
      </w:pPr>
      <w:r w:rsidRPr="00507A31">
        <w:rPr>
          <w:color w:val="000000" w:themeColor="text1"/>
          <w:sz w:val="16"/>
          <w:szCs w:val="16"/>
        </w:rPr>
        <w:t>Не показал себя твердым работником в смысле администратора...</w:t>
      </w:r>
    </w:p>
    <w:p w14:paraId="43C801F3" w14:textId="77777777" w:rsidR="003F54B4" w:rsidRPr="00507A31" w:rsidRDefault="003F54B4" w:rsidP="00507A31">
      <w:pPr>
        <w:jc w:val="both"/>
        <w:rPr>
          <w:color w:val="000000" w:themeColor="text1"/>
          <w:sz w:val="16"/>
          <w:szCs w:val="16"/>
        </w:rPr>
      </w:pPr>
      <w:r w:rsidRPr="00507A31">
        <w:rPr>
          <w:color w:val="000000" w:themeColor="text1"/>
          <w:sz w:val="16"/>
          <w:szCs w:val="16"/>
        </w:rPr>
        <w:t>Использовать на работе в качестве конструктора».</w:t>
      </w:r>
    </w:p>
    <w:p w14:paraId="6AFF9D25" w14:textId="77777777" w:rsidR="003F54B4" w:rsidRPr="00507A31" w:rsidRDefault="003F54B4" w:rsidP="00507A31">
      <w:pPr>
        <w:jc w:val="both"/>
        <w:rPr>
          <w:color w:val="000000" w:themeColor="text1"/>
          <w:sz w:val="16"/>
          <w:szCs w:val="16"/>
        </w:rPr>
      </w:pPr>
      <w:r w:rsidRPr="00507A31">
        <w:rPr>
          <w:color w:val="000000" w:themeColor="text1"/>
          <w:sz w:val="16"/>
          <w:szCs w:val="16"/>
        </w:rPr>
        <w:t>За каждым протоколом Комиссии – изломанные человеческие судьбы, человеческие трагедии.</w:t>
      </w:r>
    </w:p>
    <w:p w14:paraId="6B3C746C" w14:textId="77777777" w:rsidR="003F54B4" w:rsidRPr="00507A31" w:rsidRDefault="003F54B4" w:rsidP="00507A31">
      <w:pPr>
        <w:jc w:val="both"/>
        <w:rPr>
          <w:color w:val="000000" w:themeColor="text1"/>
          <w:sz w:val="16"/>
          <w:szCs w:val="16"/>
        </w:rPr>
      </w:pPr>
      <w:r w:rsidRPr="00507A31">
        <w:rPr>
          <w:color w:val="000000" w:themeColor="text1"/>
          <w:sz w:val="16"/>
          <w:szCs w:val="16"/>
        </w:rPr>
        <w:t>Под эту чистку попал и Н.Н. Поликарпов. В адрес Комиссии поступило несколько писем, раскрывающих его «преступную деятельность». К тому же 4-го августа 1930 года при проведении испытаний опытного истребителя Д-2 разбился летчик НИИ ВВС Чекарев. Все это послужило причиной отстранения Поликарпова от занимаемой должности в ЦКБ-39 и использованию его в качестве старшего инженера по расчетам. Только весной 1931 года, когда в ЦКБ были сформированы конструкторские бригады постоянного состава, Н.Н. Поликарпова назначили начальником бригады № 3 (18293).</w:t>
      </w:r>
    </w:p>
    <w:p w14:paraId="094B474D" w14:textId="77777777" w:rsidR="003F54B4" w:rsidRPr="00507A31" w:rsidRDefault="003F54B4" w:rsidP="00507A31">
      <w:pPr>
        <w:jc w:val="both"/>
        <w:rPr>
          <w:color w:val="000000" w:themeColor="text1"/>
          <w:sz w:val="16"/>
          <w:szCs w:val="16"/>
        </w:rPr>
      </w:pPr>
    </w:p>
    <w:p w14:paraId="27FB16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июля 1930 состоялось совещание представителей ЦАГИ, Авиаобъединения и завода п/я 747 об изготовлении чертежей АНТ-6 (ТБ-3) (1077,121).</w:t>
      </w:r>
    </w:p>
    <w:p w14:paraId="66969D64" w14:textId="77777777" w:rsidR="00537E5F" w:rsidRPr="00507A31" w:rsidRDefault="00537E5F" w:rsidP="00507A31">
      <w:pPr>
        <w:autoSpaceDE w:val="0"/>
        <w:autoSpaceDN w:val="0"/>
        <w:adjustRightInd w:val="0"/>
        <w:jc w:val="both"/>
        <w:rPr>
          <w:color w:val="000000" w:themeColor="text1"/>
          <w:sz w:val="16"/>
          <w:szCs w:val="16"/>
        </w:rPr>
      </w:pPr>
    </w:p>
    <w:p w14:paraId="3B2105D5" w14:textId="77777777" w:rsidR="005044CB" w:rsidRPr="00507A31" w:rsidRDefault="005044CB" w:rsidP="00507A31">
      <w:pPr>
        <w:jc w:val="both"/>
        <w:rPr>
          <w:color w:val="000000" w:themeColor="text1"/>
          <w:sz w:val="16"/>
          <w:szCs w:val="16"/>
        </w:rPr>
      </w:pPr>
      <w:r w:rsidRPr="00507A31">
        <w:rPr>
          <w:color w:val="000000" w:themeColor="text1"/>
          <w:sz w:val="16"/>
          <w:szCs w:val="16"/>
        </w:rPr>
        <w:t>9 июля 1930 г. специалисты «Добролета» изложили в письме, на</w:t>
      </w:r>
      <w:r w:rsidRPr="00507A31">
        <w:rPr>
          <w:color w:val="000000" w:themeColor="text1"/>
          <w:sz w:val="16"/>
          <w:szCs w:val="16"/>
        </w:rPr>
        <w:softHyphen/>
        <w:t>правленном в Управление ВВС, опасения в отношении приобретения амфибии Леонинг «Коммютер». В качестве альтернативы «Ком-мютеру» «добролетовцы» предложили голландский «Фоккер» с тремя вари</w:t>
      </w:r>
      <w:r w:rsidRPr="00507A31">
        <w:rPr>
          <w:color w:val="000000" w:themeColor="text1"/>
          <w:sz w:val="16"/>
          <w:szCs w:val="16"/>
        </w:rPr>
        <w:softHyphen/>
        <w:t>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на Камчатку предпочли более мореходный и надеж</w:t>
      </w:r>
      <w:r w:rsidRPr="00507A31">
        <w:rPr>
          <w:color w:val="000000" w:themeColor="text1"/>
          <w:sz w:val="16"/>
          <w:szCs w:val="16"/>
        </w:rPr>
        <w:softHyphen/>
        <w:t>ный двухмоторный «Валь» (РГАЭ, ф. 9527, оп. 1, д. 202, л. 22, 24) (12299) (12299).</w:t>
      </w:r>
    </w:p>
    <w:p w14:paraId="7CE9838F" w14:textId="77777777" w:rsidR="005044CB" w:rsidRPr="00507A31" w:rsidRDefault="005044CB" w:rsidP="00507A31">
      <w:pPr>
        <w:jc w:val="both"/>
        <w:rPr>
          <w:color w:val="000000" w:themeColor="text1"/>
          <w:sz w:val="16"/>
          <w:szCs w:val="16"/>
        </w:rPr>
      </w:pPr>
    </w:p>
    <w:p w14:paraId="3102D1E8" w14:textId="77777777" w:rsidR="007E6BEA" w:rsidRPr="00507A31" w:rsidRDefault="007E6BEA" w:rsidP="00507A31">
      <w:pPr>
        <w:jc w:val="both"/>
        <w:rPr>
          <w:color w:val="0070C0"/>
          <w:sz w:val="16"/>
          <w:szCs w:val="16"/>
        </w:rPr>
      </w:pPr>
      <w:r w:rsidRPr="00507A31">
        <w:rPr>
          <w:color w:val="0070C0"/>
          <w:sz w:val="16"/>
          <w:szCs w:val="16"/>
        </w:rPr>
        <w:t>9 июля 1930 г., после получения из США подробных материалов о конструкции и харак</w:t>
      </w:r>
      <w:r w:rsidRPr="00507A31">
        <w:rPr>
          <w:color w:val="0070C0"/>
          <w:sz w:val="16"/>
          <w:szCs w:val="16"/>
        </w:rPr>
        <w:softHyphen/>
        <w:t>теристиках амфибий в среде специалистов «Добролета» возникли сомнения в их пригодности для выполнения поставленных задач. Недостаточным сочли радиус действия и грузоподъемность. Весьма проблематичной казалась и мореходность. В Америке «Коммютеры» работали на реках и озерах, на Камчат</w:t>
      </w:r>
      <w:r w:rsidRPr="00507A31">
        <w:rPr>
          <w:color w:val="0070C0"/>
          <w:sz w:val="16"/>
          <w:szCs w:val="16"/>
        </w:rPr>
        <w:softHyphen/>
        <w:t>ке им предстояло садиться в бухтах морского побережья при сильном волне</w:t>
      </w:r>
      <w:r w:rsidRPr="00507A31">
        <w:rPr>
          <w:color w:val="0070C0"/>
          <w:sz w:val="16"/>
          <w:szCs w:val="16"/>
        </w:rPr>
        <w:softHyphen/>
        <w:t>нии моря. Боялись и коррозии дюралевого днища в соленой морской воде. Все эти сомнения и аргументы специалисты «Добролета» изложили в письме, на</w:t>
      </w:r>
      <w:r w:rsidRPr="00507A31">
        <w:rPr>
          <w:color w:val="0070C0"/>
          <w:sz w:val="16"/>
          <w:szCs w:val="16"/>
        </w:rPr>
        <w:softHyphen/>
        <w:t>правленном в Управление ВВС. В качестве альтернативы «Ком-мютеру» «добролетовцы» предложили голландский «Фоккер» с тремя вари</w:t>
      </w:r>
      <w:r w:rsidRPr="00507A31">
        <w:rPr>
          <w:color w:val="0070C0"/>
          <w:sz w:val="16"/>
          <w:szCs w:val="16"/>
        </w:rPr>
        <w:softHyphen/>
        <w:t>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на Камчатку предпочли более мореходный и надеж</w:t>
      </w:r>
      <w:r w:rsidRPr="00507A31">
        <w:rPr>
          <w:color w:val="0070C0"/>
          <w:sz w:val="16"/>
          <w:szCs w:val="16"/>
        </w:rPr>
        <w:softHyphen/>
        <w:t>ный двухмоторный «Валь» (РГАЭ, ф. 9527, оп. 1, д. 202, л. 22, 24) (20402).</w:t>
      </w:r>
    </w:p>
    <w:p w14:paraId="543B777D" w14:textId="77777777" w:rsidR="007E6BEA" w:rsidRPr="00507A31" w:rsidRDefault="007E6BEA" w:rsidP="00507A31">
      <w:pPr>
        <w:jc w:val="both"/>
        <w:rPr>
          <w:color w:val="0070C0"/>
          <w:sz w:val="16"/>
          <w:szCs w:val="16"/>
        </w:rPr>
      </w:pPr>
    </w:p>
    <w:p w14:paraId="2568F4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состоянию на 9 июля 1930 года были подготовлены Сведения об опытном моторостроении по состоянию (по пятилетнему плану).</w:t>
      </w:r>
    </w:p>
    <w:p w14:paraId="466DD82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М-32 – проект и постройка на заводе № 24 ГВАО.</w:t>
      </w:r>
    </w:p>
    <w:p w14:paraId="7F09C8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по пятилетнему плану 1 января 1931 года</w:t>
      </w:r>
    </w:p>
    <w:p w14:paraId="354D69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Опаздание против плана на 4 месяца.</w:t>
      </w:r>
    </w:p>
    <w:p w14:paraId="75D263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проектируется. Эскизная компановка закончена. Окончание проекта к 1 августа 1930 года.</w:t>
      </w:r>
    </w:p>
    <w:p w14:paraId="233D047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М-34. Проект НАМИ, постройка ГВАО.</w:t>
      </w:r>
    </w:p>
    <w:p w14:paraId="76E243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по пятилетнему плану 1 января 1931 года</w:t>
      </w:r>
    </w:p>
    <w:p w14:paraId="6134CA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 закончен. Рабочие чертежи изготовлены. Не заключен договор о постройке между НАМИ и ГВАО. НЕ определено место постройки. Предъявление на гос. испытания 1 мая 1931 года. Опаздание против плана на 4 месяца.</w:t>
      </w:r>
    </w:p>
    <w:p w14:paraId="413963DE"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М-35. К проектированию и постройке не принят ГВАО.</w:t>
      </w:r>
    </w:p>
    <w:p w14:paraId="51B9062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М-38. Проект и постройка на заводе № 24 ГВАО. Срок предъявления на гос. испытания по пятилетнему плану 1 января 1931 года. По расчетам завода срок предъявления 1 мая 1931 года. Опаздание на 4 месяца. Закончена эскизная компановка. Окончание проекта к 15 августа 1930 года. По расчетам завода номинальная мощность у земли 450-500 л.с. Вес – 420 кг, высотность – 5000 м.</w:t>
      </w:r>
    </w:p>
    <w:p w14:paraId="422CE89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М-26. Проект и постройка на заводе № 24 ГВАО. Проект для гражданской авиации. Предъявление на гос. испытания по плану 1 июня 1930 года. Мотор построен. Проходит заводские испытания. Предъявление на гос. испытания 1 августа 1930 года. Опаздание против плана на 2 месяца.</w:t>
      </w:r>
    </w:p>
    <w:p w14:paraId="4FE3E9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(председатель 2 секции НТК) (6998, 38).</w:t>
      </w:r>
    </w:p>
    <w:p w14:paraId="757F1579" w14:textId="77777777" w:rsidR="00537E5F" w:rsidRPr="00507A31" w:rsidRDefault="00537E5F" w:rsidP="00507A31">
      <w:pPr>
        <w:autoSpaceDE w:val="0"/>
        <w:autoSpaceDN w:val="0"/>
        <w:adjustRightInd w:val="0"/>
        <w:jc w:val="both"/>
        <w:rPr>
          <w:color w:val="000000" w:themeColor="text1"/>
          <w:sz w:val="16"/>
          <w:szCs w:val="16"/>
        </w:rPr>
      </w:pPr>
    </w:p>
    <w:p w14:paraId="2767AE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июля 1930 г. начальник ВАО Михайлов издал приказ:</w:t>
      </w:r>
    </w:p>
    <w:p w14:paraId="4F8F12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«Раскрытая Экономическим управлением ОГПУ вре</w:t>
      </w:r>
      <w:r w:rsidRPr="00507A31">
        <w:rPr>
          <w:color w:val="000000" w:themeColor="text1"/>
          <w:sz w:val="16"/>
          <w:szCs w:val="16"/>
        </w:rPr>
        <w:softHyphen/>
        <w:t>дительская к.-р. (контрреволюционная. - В.И.) органи</w:t>
      </w:r>
      <w:r w:rsidRPr="00507A31">
        <w:rPr>
          <w:color w:val="000000" w:themeColor="text1"/>
          <w:sz w:val="16"/>
          <w:szCs w:val="16"/>
        </w:rPr>
        <w:softHyphen/>
        <w:t>зация в Авиационной промышленности имела своей целью разложение авиапромышленности, срыв моби</w:t>
      </w:r>
      <w:r w:rsidRPr="00507A31">
        <w:rPr>
          <w:color w:val="000000" w:themeColor="text1"/>
          <w:sz w:val="16"/>
          <w:szCs w:val="16"/>
        </w:rPr>
        <w:softHyphen/>
        <w:t>лизационной готовности и тем самым подрыв обороно</w:t>
      </w:r>
      <w:r w:rsidRPr="00507A31">
        <w:rPr>
          <w:color w:val="000000" w:themeColor="text1"/>
          <w:sz w:val="16"/>
          <w:szCs w:val="16"/>
        </w:rPr>
        <w:softHyphen/>
        <w:t>способности нашей страны.</w:t>
      </w:r>
    </w:p>
    <w:p w14:paraId="3EB491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в значительной степени известна картина вредительской деятельности в авиапромыш</w:t>
      </w:r>
      <w:r w:rsidRPr="00507A31">
        <w:rPr>
          <w:color w:val="000000" w:themeColor="text1"/>
          <w:sz w:val="16"/>
          <w:szCs w:val="16"/>
        </w:rPr>
        <w:softHyphen/>
        <w:t>ленности, и это позволяет со всей решительностью при</w:t>
      </w:r>
      <w:r w:rsidRPr="00507A31">
        <w:rPr>
          <w:color w:val="000000" w:themeColor="text1"/>
          <w:sz w:val="16"/>
          <w:szCs w:val="16"/>
        </w:rPr>
        <w:softHyphen/>
        <w:t>ступить к ликвидации последствий на заводах ВАО.</w:t>
      </w:r>
    </w:p>
    <w:p w14:paraId="303FDE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основании постановления Политбюро ЦК ВКП(б) при ВАО создана Центральная Комиссия по ликвидации последствий вредительства в авиапромыш</w:t>
      </w:r>
      <w:r w:rsidRPr="00507A31">
        <w:rPr>
          <w:color w:val="000000" w:themeColor="text1"/>
          <w:sz w:val="16"/>
          <w:szCs w:val="16"/>
        </w:rPr>
        <w:softHyphen/>
        <w:t>ленности в составе:</w:t>
      </w:r>
    </w:p>
    <w:p w14:paraId="1D3C5B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Председателя Комиссии - меня.</w:t>
      </w:r>
    </w:p>
    <w:p w14:paraId="2F9DFB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Заместителей Председателя - моих заместителей</w:t>
      </w:r>
    </w:p>
    <w:p w14:paraId="5AD901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тт. Друян и Десятникова.</w:t>
      </w:r>
    </w:p>
    <w:p w14:paraId="522187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Членов: от ВАО - т.Фролова,</w:t>
      </w:r>
    </w:p>
    <w:p w14:paraId="6B5F35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ОГПУ - тт. Коновалова, Шалыт и Змуда,</w:t>
      </w:r>
    </w:p>
    <w:p w14:paraId="3EA251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УВВС - т. Харламова,</w:t>
      </w:r>
    </w:p>
    <w:p w14:paraId="742527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ЦК Металлистов - т. Гимерверт.</w:t>
      </w:r>
    </w:p>
    <w:p w14:paraId="507A93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основу своей работы Комиссия кладет следствен</w:t>
      </w:r>
      <w:r w:rsidRPr="00507A31">
        <w:rPr>
          <w:color w:val="000000" w:themeColor="text1"/>
          <w:sz w:val="16"/>
          <w:szCs w:val="16"/>
        </w:rPr>
        <w:softHyphen/>
        <w:t>ные материалы, имеющиеся в Экономическом управле</w:t>
      </w:r>
      <w:r w:rsidRPr="00507A31">
        <w:rPr>
          <w:color w:val="000000" w:themeColor="text1"/>
          <w:sz w:val="16"/>
          <w:szCs w:val="16"/>
        </w:rPr>
        <w:softHyphen/>
        <w:t>нии ОГПУ, а также при помощи рабочих бригад, производственных совещаний под руководством завод</w:t>
      </w:r>
      <w:r w:rsidRPr="00507A31">
        <w:rPr>
          <w:color w:val="000000" w:themeColor="text1"/>
          <w:sz w:val="16"/>
          <w:szCs w:val="16"/>
        </w:rPr>
        <w:softHyphen/>
        <w:t>ских комиссий по л/вредительства (ликвидации вреди</w:t>
      </w:r>
      <w:r w:rsidRPr="00507A31">
        <w:rPr>
          <w:color w:val="000000" w:themeColor="text1"/>
          <w:sz w:val="16"/>
          <w:szCs w:val="16"/>
        </w:rPr>
        <w:softHyphen/>
        <w:t>тельства. - В.И.) ведет работу по выявлению тех последствий вредительства, которые со стороны вреди</w:t>
      </w:r>
      <w:r w:rsidRPr="00507A31">
        <w:rPr>
          <w:color w:val="000000" w:themeColor="text1"/>
          <w:sz w:val="16"/>
          <w:szCs w:val="16"/>
        </w:rPr>
        <w:softHyphen/>
        <w:t>телей указаны еще не были (были скрыты).</w:t>
      </w:r>
    </w:p>
    <w:p w14:paraId="096685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основании вышеизложенного приказываю:</w:t>
      </w:r>
    </w:p>
    <w:p w14:paraId="3D26D2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Создать на авиазаводах №№ 1, 22, 23, 24, 26, 28, 29, 31 и Центрального опытного завода (№ 39. - В.И.) мест</w:t>
      </w:r>
      <w:r w:rsidRPr="00507A31">
        <w:rPr>
          <w:color w:val="000000" w:themeColor="text1"/>
          <w:sz w:val="16"/>
          <w:szCs w:val="16"/>
        </w:rPr>
        <w:softHyphen/>
        <w:t>ные заводские комиссии по ликвидации последствий вредительства в составе:</w:t>
      </w:r>
    </w:p>
    <w:p w14:paraId="1571BC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председателя - директора завода и членов - секрета</w:t>
      </w:r>
      <w:r w:rsidRPr="00507A31">
        <w:rPr>
          <w:color w:val="000000" w:themeColor="text1"/>
          <w:sz w:val="16"/>
          <w:szCs w:val="16"/>
        </w:rPr>
        <w:softHyphen/>
        <w:t>ря ячейки или партийного комитета ВКП(б), председа</w:t>
      </w:r>
      <w:r w:rsidRPr="00507A31">
        <w:rPr>
          <w:color w:val="000000" w:themeColor="text1"/>
          <w:sz w:val="16"/>
          <w:szCs w:val="16"/>
        </w:rPr>
        <w:softHyphen/>
        <w:t>теля завкома, представителя соответствующего отдела ГПУ и представителя военной приемки, если имеются в таковой члены ВКП(б).</w:t>
      </w:r>
    </w:p>
    <w:p w14:paraId="4749B2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Комиссии по ликвидации последствий вреди</w:t>
      </w:r>
      <w:r w:rsidRPr="00507A31">
        <w:rPr>
          <w:color w:val="000000" w:themeColor="text1"/>
          <w:sz w:val="16"/>
          <w:szCs w:val="16"/>
        </w:rPr>
        <w:softHyphen/>
        <w:t>тельства приступить к работе в 2-х дневный срок со дня получения настоящего приказа, разработав календар</w:t>
      </w:r>
      <w:r w:rsidRPr="00507A31">
        <w:rPr>
          <w:color w:val="000000" w:themeColor="text1"/>
          <w:sz w:val="16"/>
          <w:szCs w:val="16"/>
        </w:rPr>
        <w:softHyphen/>
        <w:t>ный план по ликвидации вредительства с указанием сроков их окончания.</w:t>
      </w:r>
    </w:p>
    <w:p w14:paraId="714BBA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Для технического исполнения и наблюдения за выполнением постановлений комиссии, создать при ме</w:t>
      </w:r>
      <w:r w:rsidRPr="00507A31">
        <w:rPr>
          <w:color w:val="000000" w:themeColor="text1"/>
          <w:sz w:val="16"/>
          <w:szCs w:val="16"/>
        </w:rPr>
        <w:softHyphen/>
        <w:t>стной заводской комиссии секретариат из 3-х лиц.</w:t>
      </w:r>
    </w:p>
    <w:p w14:paraId="014651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Председателям комиссий доносить мне о проде</w:t>
      </w:r>
      <w:r w:rsidRPr="00507A31">
        <w:rPr>
          <w:color w:val="000000" w:themeColor="text1"/>
          <w:sz w:val="16"/>
          <w:szCs w:val="16"/>
        </w:rPr>
        <w:softHyphen/>
        <w:t>ланной работе один раз в десятидневку 1, 10, 20 числа. каждого месяца специальными докладами» (10667).</w:t>
      </w:r>
    </w:p>
    <w:p w14:paraId="01C39B7F" w14:textId="77777777" w:rsidR="00537E5F" w:rsidRPr="00507A31" w:rsidRDefault="00537E5F" w:rsidP="00507A31">
      <w:pPr>
        <w:autoSpaceDE w:val="0"/>
        <w:autoSpaceDN w:val="0"/>
        <w:adjustRightInd w:val="0"/>
        <w:jc w:val="both"/>
        <w:rPr>
          <w:color w:val="000000" w:themeColor="text1"/>
          <w:sz w:val="16"/>
          <w:szCs w:val="16"/>
        </w:rPr>
      </w:pPr>
    </w:p>
    <w:p w14:paraId="4831090A" w14:textId="77777777" w:rsidR="003E580A" w:rsidRPr="00507A31" w:rsidRDefault="003E580A" w:rsidP="00507A31">
      <w:pPr>
        <w:shd w:val="clear" w:color="auto" w:fill="FFFFFF"/>
        <w:jc w:val="both"/>
        <w:rPr>
          <w:color w:val="000000" w:themeColor="text1"/>
          <w:sz w:val="16"/>
          <w:szCs w:val="16"/>
        </w:rPr>
      </w:pPr>
      <w:r w:rsidRPr="00507A31">
        <w:rPr>
          <w:color w:val="000000" w:themeColor="text1"/>
          <w:sz w:val="16"/>
          <w:szCs w:val="16"/>
        </w:rPr>
        <w:t>9-го июля 1930 года, начальник ВАО Михайлов, следуя указаниям «сверху», по согласованию с ОГПУ издает приказ следующего содержания:</w:t>
      </w:r>
    </w:p>
    <w:p w14:paraId="1C34A8ED"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Раскрытая Экономическим управлением ОГПУ вредительская к-р (контрреволюционная) организация в Авиационной промышленности имела своей целью разложение авиапромышленности, срыв мобилизационной готовности и тем самым подрыв обороноспособности нашей страны.</w:t>
      </w:r>
    </w:p>
    <w:p w14:paraId="2B4140A0"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В настоящее время в значительной степени известна картина вредительской деятельности в авиапромышленности, и это позволяет со всей решительностью приступить к ликвидации последствий на заводах ВАО.</w:t>
      </w:r>
    </w:p>
    <w:p w14:paraId="0158FA45"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На основании постановления Политбюро ЦК ВКП(б) при ВАО создана Центральная Комиссия по ликвидации последствий вредительства в авиапромышленности в составе:</w:t>
      </w:r>
    </w:p>
    <w:p w14:paraId="4D85C8C3"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Председателя Комиссии – меня.</w:t>
      </w:r>
    </w:p>
    <w:p w14:paraId="2073B450"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Заместителей Председателя – моих заместителей тт. Друян и Десятникова.</w:t>
      </w:r>
    </w:p>
    <w:p w14:paraId="11D92D58"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Членов: от ВАО т. Фролова;</w:t>
      </w:r>
    </w:p>
    <w:p w14:paraId="53AD38FF" w14:textId="77777777" w:rsidR="003E580A" w:rsidRPr="00507A31" w:rsidRDefault="003E580A" w:rsidP="00507A31">
      <w:pPr>
        <w:pStyle w:val="rteindent11"/>
        <w:shd w:val="clear" w:color="auto" w:fill="FFFFFF"/>
        <w:spacing w:before="0" w:beforeAutospacing="0" w:after="0"/>
        <w:ind w:left="0" w:firstLine="0"/>
        <w:rPr>
          <w:rStyle w:val="af0"/>
          <w:i w:val="0"/>
          <w:color w:val="000000" w:themeColor="text1"/>
          <w:sz w:val="16"/>
          <w:szCs w:val="16"/>
        </w:rPr>
      </w:pPr>
      <w:r w:rsidRPr="00507A31">
        <w:rPr>
          <w:rStyle w:val="af0"/>
          <w:i w:val="0"/>
          <w:color w:val="000000" w:themeColor="text1"/>
          <w:sz w:val="16"/>
          <w:szCs w:val="16"/>
        </w:rPr>
        <w:t>от ОГПУ тт. Коновалова, Шалыт и Змуда;</w:t>
      </w:r>
    </w:p>
    <w:p w14:paraId="37707909" w14:textId="77777777" w:rsidR="003E580A" w:rsidRPr="00507A31" w:rsidRDefault="003E580A" w:rsidP="00507A31">
      <w:pPr>
        <w:pStyle w:val="rteindent11"/>
        <w:shd w:val="clear" w:color="auto" w:fill="FFFFFF"/>
        <w:spacing w:before="0" w:beforeAutospacing="0" w:after="0"/>
        <w:ind w:left="0" w:firstLine="0"/>
        <w:rPr>
          <w:rStyle w:val="af0"/>
          <w:i w:val="0"/>
          <w:color w:val="000000" w:themeColor="text1"/>
          <w:sz w:val="16"/>
          <w:szCs w:val="16"/>
        </w:rPr>
      </w:pPr>
      <w:r w:rsidRPr="00507A31">
        <w:rPr>
          <w:rStyle w:val="af0"/>
          <w:i w:val="0"/>
          <w:color w:val="000000" w:themeColor="text1"/>
          <w:sz w:val="16"/>
          <w:szCs w:val="16"/>
        </w:rPr>
        <w:t>от УВВС т. Харламова,</w:t>
      </w:r>
    </w:p>
    <w:p w14:paraId="70E02569"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от ЦК Металлистов т. Гимерверт.</w:t>
      </w:r>
    </w:p>
    <w:p w14:paraId="6208107F"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В основу своей работы Комиссия кладет следственные материалы, имеющиеся в Экономическом управлении ОГПУ, а также при помощи рабочих бригад, производственных совещаний под руководством заводских комиссий по л/вредительства (ликвидации вредительства) ведет работу по выявлению тех последствий вредительства, которые со стороны вредителей указаны еще не были (были скрыты).</w:t>
      </w:r>
    </w:p>
    <w:p w14:paraId="6A6DD2F1"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На основании вышеизложенного ПРИКАЗЫВАЮ:</w:t>
      </w:r>
    </w:p>
    <w:p w14:paraId="12425C98"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§1. Создать на авиазаводах № № 1, 22, 23, 24, 26, 28,29, 31 и Центральном опытном заводе (завод № 39) местные заводские комиссии по ликвидации последствий вредительства в составе:</w:t>
      </w:r>
    </w:p>
    <w:p w14:paraId="16E6DC0F"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Председателя – директора завода и членов – секретаря ячейки или партийного комитета ВКП(б), председателя завкома, представитетеля соответствующего отдела ГПУ и представителя военной приемки, если имеются в таковой члены ВКП(б).</w:t>
      </w:r>
    </w:p>
    <w:p w14:paraId="3194DEB4" w14:textId="77777777" w:rsidR="003E580A" w:rsidRPr="00507A31" w:rsidRDefault="003E580A" w:rsidP="00507A31">
      <w:pPr>
        <w:pStyle w:val="rteindent11"/>
        <w:shd w:val="clear" w:color="auto" w:fill="FFFFFF"/>
        <w:spacing w:before="0" w:beforeAutospacing="0" w:after="0"/>
        <w:ind w:left="0" w:firstLine="0"/>
        <w:rPr>
          <w:rStyle w:val="af0"/>
          <w:i w:val="0"/>
          <w:color w:val="000000" w:themeColor="text1"/>
          <w:sz w:val="16"/>
          <w:szCs w:val="16"/>
        </w:rPr>
      </w:pPr>
      <w:r w:rsidRPr="00507A31">
        <w:rPr>
          <w:rStyle w:val="af0"/>
          <w:i w:val="0"/>
          <w:color w:val="000000" w:themeColor="text1"/>
          <w:sz w:val="16"/>
          <w:szCs w:val="16"/>
        </w:rPr>
        <w:t>§2. Комиссии по ликвидации последствий вредительства приступить к работе в 2-дневный срок со дня получения настоящего приказа, разработать календарный план по ликвидации вредительства с указанием сроков их окончания.</w:t>
      </w:r>
    </w:p>
    <w:p w14:paraId="37305C29" w14:textId="77777777" w:rsidR="003E580A" w:rsidRPr="00507A31" w:rsidRDefault="003E580A" w:rsidP="00507A31">
      <w:pPr>
        <w:pStyle w:val="rteindent11"/>
        <w:shd w:val="clear" w:color="auto" w:fill="FFFFFF"/>
        <w:spacing w:before="0" w:beforeAutospacing="0" w:after="0"/>
        <w:ind w:left="0" w:firstLine="0"/>
        <w:rPr>
          <w:rStyle w:val="af0"/>
          <w:i w:val="0"/>
          <w:color w:val="000000" w:themeColor="text1"/>
          <w:sz w:val="16"/>
          <w:szCs w:val="16"/>
        </w:rPr>
      </w:pPr>
      <w:r w:rsidRPr="00507A31">
        <w:rPr>
          <w:rStyle w:val="af0"/>
          <w:i w:val="0"/>
          <w:color w:val="000000" w:themeColor="text1"/>
          <w:sz w:val="16"/>
          <w:szCs w:val="16"/>
        </w:rPr>
        <w:t>§3. Для технического исполнения и наблюдения за выполнением постановлений комиссии, создать при местной заводской комиссии</w:t>
      </w:r>
    </w:p>
    <w:p w14:paraId="554C5048"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секретариат из 3 лиц.</w:t>
      </w:r>
    </w:p>
    <w:p w14:paraId="6BB0CD9E"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§4. Председателям комиссий доносить мне о проделанной работе один раз в десятидневку 1, 10, 20 числа каждого месяца специальными докладами.</w:t>
      </w:r>
    </w:p>
    <w:p w14:paraId="78CD2313" w14:textId="77777777" w:rsidR="003E580A" w:rsidRPr="00507A31" w:rsidRDefault="003E580A" w:rsidP="00507A31">
      <w:pPr>
        <w:shd w:val="clear" w:color="auto" w:fill="FFFFFF"/>
        <w:jc w:val="both"/>
        <w:rPr>
          <w:color w:val="000000" w:themeColor="text1"/>
          <w:sz w:val="16"/>
          <w:szCs w:val="16"/>
        </w:rPr>
      </w:pPr>
      <w:r w:rsidRPr="00507A31">
        <w:rPr>
          <w:color w:val="000000" w:themeColor="text1"/>
          <w:sz w:val="16"/>
          <w:szCs w:val="16"/>
        </w:rPr>
        <w:t>Вместе с этим приказом директорам авиационных заводов было разослано специальное информационное письмо с фактами «вредительства», выявленных Экономическим управлением ОГПУ, в котором изложены фрагменты многих следственных дел заключенных (15223).</w:t>
      </w:r>
    </w:p>
    <w:p w14:paraId="70C799B1" w14:textId="77777777" w:rsidR="003E580A" w:rsidRPr="00507A31" w:rsidRDefault="003E580A" w:rsidP="00507A31">
      <w:pPr>
        <w:shd w:val="clear" w:color="auto" w:fill="FFFFFF"/>
        <w:jc w:val="both"/>
        <w:rPr>
          <w:color w:val="000000" w:themeColor="text1"/>
          <w:sz w:val="16"/>
          <w:szCs w:val="16"/>
        </w:rPr>
      </w:pPr>
    </w:p>
    <w:p w14:paraId="34601D0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6457306" w14:textId="77777777" w:rsidR="00537E5F" w:rsidRPr="00507A31" w:rsidRDefault="00537E5F" w:rsidP="00507A31">
      <w:pPr>
        <w:autoSpaceDE w:val="0"/>
        <w:autoSpaceDN w:val="0"/>
        <w:adjustRightInd w:val="0"/>
        <w:jc w:val="both"/>
        <w:rPr>
          <w:iCs/>
          <w:color w:val="000000" w:themeColor="text1"/>
          <w:sz w:val="16"/>
          <w:szCs w:val="16"/>
        </w:rPr>
      </w:pPr>
    </w:p>
    <w:p w14:paraId="115A87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июля 1930 г. была создана Комиссия по ликвида</w:t>
      </w:r>
      <w:r w:rsidRPr="00507A31">
        <w:rPr>
          <w:color w:val="000000" w:themeColor="text1"/>
          <w:sz w:val="16"/>
          <w:szCs w:val="16"/>
        </w:rPr>
        <w:softHyphen/>
        <w:t>ции вредительства на заводе № 39 (ее называли еще Ко</w:t>
      </w:r>
      <w:r w:rsidRPr="00507A31">
        <w:rPr>
          <w:color w:val="000000" w:themeColor="text1"/>
          <w:sz w:val="16"/>
          <w:szCs w:val="16"/>
        </w:rPr>
        <w:softHyphen/>
        <w:t>миссией по чистке личного состава). В считанные дни на заводе создалась исключительно нервная обстановка. В подтверждение этому приведу выдержку из письма в Комиссию начальника конструк</w:t>
      </w:r>
      <w:r w:rsidRPr="00507A31">
        <w:rPr>
          <w:color w:val="000000" w:themeColor="text1"/>
          <w:sz w:val="16"/>
          <w:szCs w:val="16"/>
        </w:rPr>
        <w:softHyphen/>
        <w:t>торской бригады по морской авиации И.В.Четверикова: «Отношения инженеров в ЦКБ до сего времени прони</w:t>
      </w:r>
      <w:r w:rsidRPr="00507A31">
        <w:rPr>
          <w:color w:val="000000" w:themeColor="text1"/>
          <w:sz w:val="16"/>
          <w:szCs w:val="16"/>
        </w:rPr>
        <w:softHyphen/>
        <w:t>заны интригантством и какой-то скрытой борьбой. Об</w:t>
      </w:r>
      <w:r w:rsidRPr="00507A31">
        <w:rPr>
          <w:color w:val="000000" w:themeColor="text1"/>
          <w:sz w:val="16"/>
          <w:szCs w:val="16"/>
        </w:rPr>
        <w:softHyphen/>
        <w:t>становка до последнего времени продолжает оставаться неудовлетворительной. Мне кажется, что в ЦКБ нет та</w:t>
      </w:r>
      <w:r w:rsidRPr="00507A31">
        <w:rPr>
          <w:color w:val="000000" w:themeColor="text1"/>
          <w:sz w:val="16"/>
          <w:szCs w:val="16"/>
        </w:rPr>
        <w:softHyphen/>
        <w:t>кого инженера, который был бы доволен своей рабо</w:t>
      </w:r>
      <w:r w:rsidRPr="00507A31">
        <w:rPr>
          <w:color w:val="000000" w:themeColor="text1"/>
          <w:sz w:val="16"/>
          <w:szCs w:val="16"/>
        </w:rPr>
        <w:softHyphen/>
        <w:t>той...».</w:t>
      </w:r>
    </w:p>
    <w:p w14:paraId="591A3B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Персонально разбирая дела каждого сотрудника за</w:t>
      </w:r>
      <w:r w:rsidRPr="00507A31">
        <w:rPr>
          <w:color w:val="000000" w:themeColor="text1"/>
          <w:sz w:val="16"/>
          <w:szCs w:val="16"/>
        </w:rPr>
        <w:softHyphen/>
        <w:t>вода, Комиссией по чистке устанавливалась следующая градация освобождения работников с занимаемой должности: 1-я категория - расстрел; 2-я категория -арест на срок от месяца до 10 лет; 3-я категория - уволь</w:t>
      </w:r>
      <w:r w:rsidRPr="00507A31">
        <w:rPr>
          <w:color w:val="000000" w:themeColor="text1"/>
          <w:sz w:val="16"/>
          <w:szCs w:val="16"/>
        </w:rPr>
        <w:softHyphen/>
        <w:t>нение с завода; вне категорий - понижение в должности, административный выговор и др. За каждым протоко</w:t>
      </w:r>
      <w:r w:rsidRPr="00507A31">
        <w:rPr>
          <w:color w:val="000000" w:themeColor="text1"/>
          <w:sz w:val="16"/>
          <w:szCs w:val="16"/>
        </w:rPr>
        <w:softHyphen/>
        <w:t>лом Комиссии - человеческая судьба, человеческая тра</w:t>
      </w:r>
      <w:r w:rsidRPr="00507A31">
        <w:rPr>
          <w:color w:val="000000" w:themeColor="text1"/>
          <w:sz w:val="16"/>
          <w:szCs w:val="16"/>
        </w:rPr>
        <w:softHyphen/>
        <w:t>гедия...</w:t>
      </w:r>
    </w:p>
    <w:p w14:paraId="5E58CD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«Савельев Владимир Федорович, зав. отд. вооруже</w:t>
      </w:r>
      <w:r w:rsidRPr="00507A31">
        <w:rPr>
          <w:color w:val="000000" w:themeColor="text1"/>
          <w:sz w:val="16"/>
          <w:szCs w:val="16"/>
        </w:rPr>
        <w:softHyphen/>
        <w:t>ния, родился в 1899 г... В авиапромышленности работа</w:t>
      </w:r>
      <w:r w:rsidRPr="00507A31">
        <w:rPr>
          <w:color w:val="000000" w:themeColor="text1"/>
          <w:sz w:val="16"/>
          <w:szCs w:val="16"/>
        </w:rPr>
        <w:softHyphen/>
        <w:t>ет более 20 лет... Служил в армии Колчака. В Красной Армии служил 3 года... Имел связь с вредительскими элементами. Вредил. Скрыл в послужном списке службу у Колчака...</w:t>
      </w:r>
    </w:p>
    <w:p w14:paraId="0FD438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Снять по 1 категории».</w:t>
      </w:r>
    </w:p>
    <w:p w14:paraId="5B98CD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«Левашев Алексей Викторович, ВРИД секции шасси, родился в 1897 г., сын священника. В 1925 г. закончил МВТУ...</w:t>
      </w:r>
    </w:p>
    <w:p w14:paraId="101D80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Снять по 1 категории как чуждый элемент».</w:t>
      </w:r>
    </w:p>
    <w:p w14:paraId="56DB89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«Шереметьев Борис Николаевич, конструктор. Ро</w:t>
      </w:r>
      <w:r w:rsidRPr="00507A31">
        <w:rPr>
          <w:color w:val="000000" w:themeColor="text1"/>
          <w:sz w:val="16"/>
          <w:szCs w:val="16"/>
        </w:rPr>
        <w:softHyphen/>
        <w:t>дился в 1891 г. Происходит из семьи дворян...</w:t>
      </w:r>
    </w:p>
    <w:p w14:paraId="3F3439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Снять по 2 категории на 3 года, запретив работать в военной промышленности».</w:t>
      </w:r>
    </w:p>
    <w:p w14:paraId="51A0C6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«Яценко Владимир Панфилович, зав. конструктор</w:t>
      </w:r>
      <w:r w:rsidRPr="00507A31">
        <w:rPr>
          <w:color w:val="000000" w:themeColor="text1"/>
          <w:sz w:val="16"/>
          <w:szCs w:val="16"/>
        </w:rPr>
        <w:softHyphen/>
        <w:t>ским отделом, родился в 1892 г. Сын земского врача. Высшее образование не закончено. В авиации работает с 1915 г. В 1919 г. был арестован ОГПУ за спекуляцию (бы</w:t>
      </w:r>
      <w:r w:rsidRPr="00507A31">
        <w:rPr>
          <w:color w:val="000000" w:themeColor="text1"/>
          <w:sz w:val="16"/>
          <w:szCs w:val="16"/>
        </w:rPr>
        <w:softHyphen/>
        <w:t>ла продана кожа и спирт). На заводе работает с 1924 г. Общественной работой не интересуется. Муж сестры -агроном, арестован ОГПУ.</w:t>
      </w:r>
    </w:p>
    <w:p w14:paraId="1FE603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Снять по 3 категории, запретив работать на руково</w:t>
      </w:r>
      <w:r w:rsidRPr="00507A31">
        <w:rPr>
          <w:color w:val="000000" w:themeColor="text1"/>
          <w:sz w:val="16"/>
          <w:szCs w:val="16"/>
        </w:rPr>
        <w:softHyphen/>
        <w:t>дящей работе в течение 3-х лет».</w:t>
      </w:r>
    </w:p>
    <w:p w14:paraId="561B3D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«Атрамонов Иван Иванович, пом. начальника ЦКБ, родился в 1891 г. Рабочий. В 1927 г. окончил Академию ВВФ. Член ВКП(б) с 1918 г... Не показал себя твердым работником в смысле администратора...</w:t>
      </w:r>
    </w:p>
    <w:p w14:paraId="6E24A4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Использовать на работе в качестве конструктора» (10667).</w:t>
      </w:r>
    </w:p>
    <w:p w14:paraId="0ECA09DF" w14:textId="77777777" w:rsidR="00537E5F" w:rsidRPr="00507A31" w:rsidRDefault="00537E5F" w:rsidP="00507A31">
      <w:pPr>
        <w:autoSpaceDE w:val="0"/>
        <w:autoSpaceDN w:val="0"/>
        <w:adjustRightInd w:val="0"/>
        <w:jc w:val="both"/>
        <w:rPr>
          <w:color w:val="000000" w:themeColor="text1"/>
          <w:sz w:val="16"/>
          <w:szCs w:val="16"/>
        </w:rPr>
      </w:pPr>
    </w:p>
    <w:p w14:paraId="77E976AA" w14:textId="77777777" w:rsidR="003E580A" w:rsidRPr="00507A31" w:rsidRDefault="003E580A" w:rsidP="00507A31">
      <w:pPr>
        <w:shd w:val="clear" w:color="auto" w:fill="FFFFFF"/>
        <w:jc w:val="both"/>
        <w:rPr>
          <w:color w:val="000000" w:themeColor="text1"/>
          <w:sz w:val="16"/>
          <w:szCs w:val="16"/>
        </w:rPr>
      </w:pPr>
      <w:r w:rsidRPr="00507A31">
        <w:rPr>
          <w:color w:val="000000" w:themeColor="text1"/>
          <w:sz w:val="16"/>
          <w:szCs w:val="16"/>
        </w:rPr>
        <w:t>10 июля 1930 на заводе № 39 была создана Комиссия по ликвидации вредительства, которую чаще называли Комиссией по «чистке» личного состава. Кроме заводской комиссии, сюда прибыла и Комиссия по «чистке» ЦКК-РКИ (Центральная контрольная комиссия - Рабоче–крестьянской инспекции). В адрес Комиссии стали поступать обличительные письма и доносы «доброжелателей». В коллективе завода тотчас установилась тягостная, напряженная обстановка. Персонально разбирая дела каждого сотрудника завода, Комиссией устанавливалась следующая градация освобождения работников с занимаемой должности:</w:t>
      </w:r>
    </w:p>
    <w:p w14:paraId="527A62F9" w14:textId="77777777" w:rsidR="003E580A" w:rsidRPr="00507A31" w:rsidRDefault="003E580A" w:rsidP="00507A31">
      <w:pPr>
        <w:shd w:val="clear" w:color="auto" w:fill="FFFFFF"/>
        <w:jc w:val="both"/>
        <w:rPr>
          <w:color w:val="000000" w:themeColor="text1"/>
          <w:sz w:val="16"/>
          <w:szCs w:val="16"/>
        </w:rPr>
      </w:pPr>
      <w:r w:rsidRPr="00507A31">
        <w:rPr>
          <w:color w:val="000000" w:themeColor="text1"/>
          <w:sz w:val="16"/>
          <w:szCs w:val="16"/>
        </w:rPr>
        <w:t>1-я категория – расстрел; 2-я категория – арест на срок от месяца до 10 лет; 3-я категория – увольнение с завода; вне категорий – понижение в должности, административный выговор и другое.</w:t>
      </w:r>
    </w:p>
    <w:p w14:paraId="3C33D72E" w14:textId="77777777" w:rsidR="003E580A" w:rsidRPr="00507A31" w:rsidRDefault="003E580A" w:rsidP="00507A31">
      <w:pPr>
        <w:shd w:val="clear" w:color="auto" w:fill="FFFFFF"/>
        <w:jc w:val="both"/>
        <w:rPr>
          <w:color w:val="000000" w:themeColor="text1"/>
          <w:sz w:val="16"/>
          <w:szCs w:val="16"/>
        </w:rPr>
      </w:pPr>
      <w:r w:rsidRPr="00507A31">
        <w:rPr>
          <w:color w:val="000000" w:themeColor="text1"/>
          <w:sz w:val="16"/>
          <w:szCs w:val="16"/>
        </w:rPr>
        <w:t>Ниже приведены выписки из протоколов работы этих Комиссий:</w:t>
      </w:r>
    </w:p>
    <w:p w14:paraId="2BD2C8B1" w14:textId="77777777" w:rsidR="003E580A" w:rsidRPr="00507A31" w:rsidRDefault="003E580A" w:rsidP="00507A31">
      <w:pPr>
        <w:pStyle w:val="rteindent11"/>
        <w:shd w:val="clear" w:color="auto" w:fill="FFFFFF"/>
        <w:spacing w:before="0" w:beforeAutospacing="0" w:after="0"/>
        <w:ind w:left="0" w:firstLine="0"/>
        <w:rPr>
          <w:rStyle w:val="af0"/>
          <w:i w:val="0"/>
          <w:color w:val="000000" w:themeColor="text1"/>
          <w:sz w:val="16"/>
          <w:szCs w:val="16"/>
        </w:rPr>
      </w:pPr>
      <w:r w:rsidRPr="00507A31">
        <w:rPr>
          <w:rStyle w:val="af0"/>
          <w:i w:val="0"/>
          <w:color w:val="000000" w:themeColor="text1"/>
          <w:sz w:val="16"/>
          <w:szCs w:val="16"/>
        </w:rPr>
        <w:t>Савельев Владимир Федорович, зав.отд. вооружения, родился в 1899 г... В авиапромышленности работает более 20 лет... Служил в армии Колчака. В Красной Армии служил 3 года... Имел связь с вредительскими элементами. Вредил. Скрыл в послужном списке службу у Колчака...</w:t>
      </w:r>
    </w:p>
    <w:p w14:paraId="506A04FE" w14:textId="77777777" w:rsidR="003E580A" w:rsidRPr="00507A31" w:rsidRDefault="003E580A" w:rsidP="00507A31">
      <w:pPr>
        <w:pStyle w:val="rteindent11"/>
        <w:shd w:val="clear" w:color="auto" w:fill="FFFFFF"/>
        <w:spacing w:before="0" w:beforeAutospacing="0" w:after="0"/>
        <w:ind w:left="0" w:firstLine="0"/>
        <w:rPr>
          <w:rStyle w:val="af0"/>
          <w:i w:val="0"/>
          <w:color w:val="000000" w:themeColor="text1"/>
          <w:sz w:val="16"/>
          <w:szCs w:val="16"/>
        </w:rPr>
      </w:pPr>
      <w:r w:rsidRPr="00507A31">
        <w:rPr>
          <w:rStyle w:val="af0"/>
          <w:i w:val="0"/>
          <w:color w:val="000000" w:themeColor="text1"/>
          <w:sz w:val="16"/>
          <w:szCs w:val="16"/>
        </w:rPr>
        <w:t>Снять по 1-й категории».</w:t>
      </w:r>
    </w:p>
    <w:p w14:paraId="0E4E642F"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Левашев Алексей Викторович, ВРИД секции шасси, родился в 1897 г., сын священника. В 1925 году закончил МВТУ...</w:t>
      </w:r>
    </w:p>
    <w:p w14:paraId="706625BB"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Снять по первой категории как чуждый элемент».</w:t>
      </w:r>
    </w:p>
    <w:p w14:paraId="19C25BCA"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«Шереметьев Борис Николаевич, конструктор. Родился в 1891 г. Происходит из семьи дворян...</w:t>
      </w:r>
    </w:p>
    <w:p w14:paraId="50481ABD"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Снять по 2-й категории на 3 года, запретив работать в военной промышленности».</w:t>
      </w:r>
    </w:p>
    <w:p w14:paraId="7936B400"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«Яценко Владимир Панфилович, зав. Конструкторским отделом, родился в 1892 г. Сын земского врача. Высшее образование не закончено. В авиации работает с 1915 г. В 1919 году был арестован ОГПУ за спекуляцию (была продана кожа и спирт). На заводе работает с 1924 г. Общественной работой не интересуется. Муж сестры – агроном, арестован ОГПУ.</w:t>
      </w:r>
    </w:p>
    <w:p w14:paraId="42A4610E" w14:textId="77777777" w:rsidR="003E580A" w:rsidRPr="00507A31" w:rsidRDefault="003E580A" w:rsidP="00507A31">
      <w:pPr>
        <w:pStyle w:val="rteindent11"/>
        <w:shd w:val="clear" w:color="auto" w:fill="FFFFFF"/>
        <w:spacing w:before="0" w:beforeAutospacing="0" w:after="0"/>
        <w:ind w:left="0" w:firstLine="0"/>
        <w:rPr>
          <w:rStyle w:val="af0"/>
          <w:i w:val="0"/>
          <w:color w:val="000000" w:themeColor="text1"/>
          <w:sz w:val="16"/>
          <w:szCs w:val="16"/>
        </w:rPr>
      </w:pPr>
      <w:r w:rsidRPr="00507A31">
        <w:rPr>
          <w:rStyle w:val="af0"/>
          <w:i w:val="0"/>
          <w:color w:val="000000" w:themeColor="text1"/>
          <w:sz w:val="16"/>
          <w:szCs w:val="16"/>
        </w:rPr>
        <w:t>Снять по 3-й категории, запретив работать на руководящей работе в течение 3 лет ».</w:t>
      </w:r>
    </w:p>
    <w:p w14:paraId="372C3612"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«Бакулин Михаил Павлович, конструктор, родился в 1911 г. Антиобщественник и антисемит. Снять по первой категории».</w:t>
      </w:r>
    </w:p>
    <w:p w14:paraId="36231E2A"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«Атрамонов Иван Иванович, пом. начальника ЦКБ, родился в 1891 г. Рабочий. В 1927 г. окончил Академию ВВФ. Член ВКП(б) с 1918 г...</w:t>
      </w:r>
    </w:p>
    <w:p w14:paraId="7C4911FD"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Не показал себя твердым работником в смысле администратора...</w:t>
      </w:r>
    </w:p>
    <w:p w14:paraId="1A4403DC" w14:textId="77777777" w:rsidR="003E580A" w:rsidRPr="00507A31" w:rsidRDefault="003E580A" w:rsidP="00507A31">
      <w:pPr>
        <w:pStyle w:val="rteindent11"/>
        <w:shd w:val="clear" w:color="auto" w:fill="FFFFFF"/>
        <w:spacing w:before="0" w:beforeAutospacing="0" w:after="0"/>
        <w:ind w:left="0" w:firstLine="0"/>
        <w:rPr>
          <w:color w:val="000000" w:themeColor="text1"/>
          <w:sz w:val="16"/>
          <w:szCs w:val="16"/>
        </w:rPr>
      </w:pPr>
      <w:r w:rsidRPr="00507A31">
        <w:rPr>
          <w:rStyle w:val="af0"/>
          <w:i w:val="0"/>
          <w:color w:val="000000" w:themeColor="text1"/>
          <w:sz w:val="16"/>
          <w:szCs w:val="16"/>
        </w:rPr>
        <w:t>Использовать на работе в качестве конструктора».</w:t>
      </w:r>
    </w:p>
    <w:p w14:paraId="3E54C698" w14:textId="77777777" w:rsidR="003E580A" w:rsidRPr="00507A31" w:rsidRDefault="003E580A" w:rsidP="00507A31">
      <w:pPr>
        <w:shd w:val="clear" w:color="auto" w:fill="FFFFFF"/>
        <w:jc w:val="both"/>
        <w:rPr>
          <w:color w:val="000000" w:themeColor="text1"/>
          <w:sz w:val="16"/>
          <w:szCs w:val="16"/>
        </w:rPr>
      </w:pPr>
      <w:r w:rsidRPr="00507A31">
        <w:rPr>
          <w:color w:val="000000" w:themeColor="text1"/>
          <w:sz w:val="16"/>
          <w:szCs w:val="16"/>
        </w:rPr>
        <w:t>За каждым протоколом Комиссии – изломанные человеческие судьбы, человеческие трагедии.</w:t>
      </w:r>
    </w:p>
    <w:p w14:paraId="55538D7C" w14:textId="77777777" w:rsidR="003E580A" w:rsidRPr="00507A31" w:rsidRDefault="003E580A" w:rsidP="00507A31">
      <w:pPr>
        <w:shd w:val="clear" w:color="auto" w:fill="FFFFFF"/>
        <w:jc w:val="both"/>
        <w:rPr>
          <w:color w:val="000000" w:themeColor="text1"/>
          <w:sz w:val="16"/>
          <w:szCs w:val="16"/>
        </w:rPr>
      </w:pPr>
      <w:r w:rsidRPr="00507A31">
        <w:rPr>
          <w:color w:val="000000" w:themeColor="text1"/>
          <w:sz w:val="16"/>
          <w:szCs w:val="16"/>
        </w:rPr>
        <w:t>Под эту чистку попал и Н.Н. Поликарпов. В адрес Комиссии поступило несколько писем, раскрывающих его «преступную деятельность». К тому же 4-го августа 1930 года при проведении испытаний опытного истребителя Д-2 разбился летчик НИИ ВВС Чекарев. Все это послужило причиной отстранения Поликарпова от занимаемой должности в ЦКБ-39 и использованию его в качестве старшего инженера по расчетам. Только весной 1931 года, когда в ЦКБ были сформированы конструкторские бригады постоянного состава, Н.Н. Поликарпова назначили начальником бригады № 3 (15223).</w:t>
      </w:r>
    </w:p>
    <w:p w14:paraId="0167A6D7" w14:textId="77777777" w:rsidR="003E580A" w:rsidRPr="00507A31" w:rsidRDefault="003E580A" w:rsidP="00507A31">
      <w:pPr>
        <w:shd w:val="clear" w:color="auto" w:fill="FFFFFF"/>
        <w:jc w:val="both"/>
        <w:rPr>
          <w:color w:val="000000" w:themeColor="text1"/>
          <w:sz w:val="16"/>
          <w:szCs w:val="16"/>
        </w:rPr>
      </w:pPr>
    </w:p>
    <w:p w14:paraId="007842F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0AD2AA3" w14:textId="77777777" w:rsidR="00537E5F" w:rsidRPr="00507A31" w:rsidRDefault="00537E5F" w:rsidP="00507A31">
      <w:pPr>
        <w:autoSpaceDE w:val="0"/>
        <w:autoSpaceDN w:val="0"/>
        <w:adjustRightInd w:val="0"/>
        <w:jc w:val="both"/>
        <w:rPr>
          <w:iCs/>
          <w:color w:val="000000" w:themeColor="text1"/>
          <w:sz w:val="16"/>
          <w:szCs w:val="16"/>
        </w:rPr>
      </w:pPr>
    </w:p>
    <w:p w14:paraId="2E4983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июля 1930 г. в Москве открылась выставка отечественнх мотоциклов. В центре экспозиции располагались стенды треста ТРЕМАСС и Объединенных Ижевских заводов (ОИЗ). На первом – стояли рядом новейший отечественный мотоцикл «Тремасс-300» и его немецкий аналог Luxus-300 фирмы DKW. Наш мотоцикл отличался тщательностью изготовления каждой детали, исключительной внешней чистотой, а фирменный Luxus-300 сошел с конвейера массового производства и выглядел обыденной «рабочей лошадкой». На ижевском стенде располагались пять знаменитых машин: от ИЖ-1 до ИЖ-5. Получилось так, что шесть мотоциклов, спроектированных и сделанных под руководством П.В. Можарова, стояли в ряд, олицетворяя его успехи в отечественном мотоциклостроении. Здесь же демонстрировались и другие советские мотоциклы: «Союз» - И.Н. Львова, Э.М. III – Э.Г. Мауэра, МТ-2 – Н. Токарева, а также конструкции П. Лабура и Махурина. Для сравнения с ними представили несколько сделанных в 1930 г. иностранных мотоциклов…Выставка имела большой успех и вызвала широкий резонанс в обществе. За два месяца работы ее посетили более 100 тысяч москвичей и гостей столицы. Однако подлинному герою отечественного мотоциклостроения – П.В. Можарову не было суждено увидеть это интереснейшее собрание мототехники. В то время, как публика восхищалась удивительными конструкциями экспериментальных мотоциклов, Пётр Владимирович, как и в прежние годы, упорно трудился до поздней ночи, без выходных и очередного отпуска. Причина столь интенсивного труда заключалась в том, что требовалось как можно быстрее построить все 25 ленинградских мотоциклов. К началу же июля удалось сделать один экземпляр, так называемый промышленный образец, представленный на выставке. Заслуги П.В. Можарова перед страной были отмечены. Ему предоставили отпуск в санаторий ЦК партии в Сочи. Этот отпуск оказался роковым для него. Когда он уже заканчивался, жена П.В. Можарова Варвара Игнатьевна получила 11 марта 1934 года телеграмму о самоубийстве мужа. Родным и близким П.В. Можарова не верилось, что он сам «наложил на себя руки». На похоронах друзья сумели разглядеть на его руках и порезы на венах, и тампон на голове, закрывавший, похоже, пулевое отверстие. А возвратившись с похорон, Варвара Игнатьевна неожиданно получила от мужа письмо, написанное именно 11 марта 1934 г., в котором он жизнеутверждающе писал: «Как бы то ни было, мне дьявольски хочется работать в это время, когда мое кровное дело «Сов. мотоцикл» наконец красуется на выставке партсъезда.». Словом, в неожиданной его смерти для многих людей, знавших Можарова, немало странного и неясного. (11398).</w:t>
      </w:r>
    </w:p>
    <w:p w14:paraId="554E1200" w14:textId="77777777" w:rsidR="00537E5F" w:rsidRPr="00507A31" w:rsidRDefault="00537E5F" w:rsidP="00507A31">
      <w:pPr>
        <w:autoSpaceDE w:val="0"/>
        <w:autoSpaceDN w:val="0"/>
        <w:adjustRightInd w:val="0"/>
        <w:jc w:val="both"/>
        <w:rPr>
          <w:color w:val="000000" w:themeColor="text1"/>
          <w:sz w:val="16"/>
          <w:szCs w:val="16"/>
        </w:rPr>
      </w:pPr>
    </w:p>
    <w:p w14:paraId="2F1573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июля 1930 г. выставку открыли [4.11]. На ней предста</w:t>
      </w:r>
      <w:r w:rsidRPr="00507A31">
        <w:rPr>
          <w:color w:val="000000" w:themeColor="text1"/>
          <w:sz w:val="16"/>
          <w:szCs w:val="16"/>
        </w:rPr>
        <w:softHyphen/>
        <w:t xml:space="preserve">вили шесть мотоциклов П.В. Можарова: ленинградскую новинку и пять ижевских - ИЖ-1 - ИЖ-5, а также другие: «Союз» -П.Н. Львова, «Э.М. </w:t>
      </w:r>
      <w:r w:rsidRPr="00507A31">
        <w:rPr>
          <w:color w:val="000000" w:themeColor="text1"/>
          <w:sz w:val="16"/>
          <w:szCs w:val="16"/>
          <w:lang w:val="en-US"/>
        </w:rPr>
        <w:t>III</w:t>
      </w:r>
      <w:r w:rsidRPr="00507A31">
        <w:rPr>
          <w:color w:val="000000" w:themeColor="text1"/>
          <w:sz w:val="16"/>
          <w:szCs w:val="16"/>
        </w:rPr>
        <w:t xml:space="preserve">» - Э.Г. Мауэра, «МТ-2» - Н. Токарева, машины Махурина, Волкова, Неймана и др. Для сравнения с ними демонстрировали сделанные в 1930 г. иномарки: </w:t>
      </w:r>
      <w:r w:rsidRPr="00507A31">
        <w:rPr>
          <w:color w:val="000000" w:themeColor="text1"/>
          <w:sz w:val="16"/>
          <w:szCs w:val="16"/>
          <w:lang w:val="en-US"/>
        </w:rPr>
        <w:t>Harley</w:t>
      </w:r>
      <w:r w:rsidRPr="00507A31">
        <w:rPr>
          <w:color w:val="000000" w:themeColor="text1"/>
          <w:sz w:val="16"/>
          <w:szCs w:val="16"/>
        </w:rPr>
        <w:t>-</w:t>
      </w:r>
      <w:r w:rsidRPr="00507A31">
        <w:rPr>
          <w:color w:val="000000" w:themeColor="text1"/>
          <w:sz w:val="16"/>
          <w:szCs w:val="16"/>
          <w:lang w:val="en-US"/>
        </w:rPr>
        <w:t>Davidson</w:t>
      </w:r>
      <w:r w:rsidRPr="00507A31">
        <w:rPr>
          <w:color w:val="000000" w:themeColor="text1"/>
          <w:sz w:val="16"/>
          <w:szCs w:val="16"/>
        </w:rPr>
        <w:t xml:space="preserve">, </w:t>
      </w:r>
      <w:r w:rsidRPr="00507A31">
        <w:rPr>
          <w:color w:val="000000" w:themeColor="text1"/>
          <w:sz w:val="16"/>
          <w:szCs w:val="16"/>
          <w:lang w:val="en-US"/>
        </w:rPr>
        <w:t>CoventryEagle</w:t>
      </w:r>
      <w:r w:rsidRPr="00507A31">
        <w:rPr>
          <w:color w:val="000000" w:themeColor="text1"/>
          <w:sz w:val="16"/>
          <w:szCs w:val="16"/>
        </w:rPr>
        <w:t>, В</w:t>
      </w:r>
      <w:r w:rsidRPr="00507A31">
        <w:rPr>
          <w:color w:val="000000" w:themeColor="text1"/>
          <w:sz w:val="16"/>
          <w:szCs w:val="16"/>
          <w:lang w:val="en-US"/>
        </w:rPr>
        <w:t>S</w:t>
      </w:r>
      <w:r w:rsidRPr="00507A31">
        <w:rPr>
          <w:color w:val="000000" w:themeColor="text1"/>
          <w:sz w:val="16"/>
          <w:szCs w:val="16"/>
        </w:rPr>
        <w:t>А-500, ВМ</w:t>
      </w:r>
      <w:r w:rsidRPr="00507A31">
        <w:rPr>
          <w:color w:val="000000" w:themeColor="text1"/>
          <w:sz w:val="16"/>
          <w:szCs w:val="16"/>
          <w:lang w:val="en-US"/>
        </w:rPr>
        <w:t>W</w:t>
      </w:r>
      <w:r w:rsidRPr="00507A31">
        <w:rPr>
          <w:color w:val="000000" w:themeColor="text1"/>
          <w:sz w:val="16"/>
          <w:szCs w:val="16"/>
        </w:rPr>
        <w:t>-750 с прессованной рамой и др. На отдельном стенде выставили мотоциклетные агрегаты, сделанные нашими умельцами. Отечественные тре</w:t>
      </w:r>
      <w:r w:rsidRPr="00507A31">
        <w:rPr>
          <w:color w:val="000000" w:themeColor="text1"/>
          <w:sz w:val="16"/>
          <w:szCs w:val="16"/>
        </w:rPr>
        <w:softHyphen/>
        <w:t>сты представили выпускавшуюся на их заводах продукцию: «Союзнефть» - горючее и смазочные материалы, «Резинотрест» - шины, камеры и пр., Государственный электротехни</w:t>
      </w:r>
      <w:r w:rsidRPr="00507A31">
        <w:rPr>
          <w:color w:val="000000" w:themeColor="text1"/>
          <w:sz w:val="16"/>
          <w:szCs w:val="16"/>
        </w:rPr>
        <w:softHyphen/>
        <w:t>ческий трест (ГЭТ) - электрооборудование для мотоциклов и пр. [4.12,4.13] (11429).</w:t>
      </w:r>
    </w:p>
    <w:p w14:paraId="64F875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AD2EF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июля 1931 г. Научно-исследовательский институт машиностроения "НИИМАШ". Постановлением ВСНХ СССР преобразован в Центральный научно-исследовательский институт машиностроения и металлообработки (ЦНИИМАШ), объединенный приказом Наркомата машиностроения СССР от 27 декабря 1938 г. с Государственным трестом по рационализации производства в машиностроительной и металлообрабатывающей промышленности "Оргаметалл" в Центральный научно-исследовательский институт технологии и машиностроения (ЦНИИТМАШ). Решением Экономического совета при Совете Народных Комиссаров СССР от 8 мая 1939 г. в результате разукрупнения института были созданы Научно-исследовательский институт среднего машиностроения "НИИСРЕДМАШ" и Научно-исследовательский институт тяжелого машиностроения "НИИТЯЖМАШ", которые приказом Наркомата тяжелого машиностроения СССР от 24 января 1940 г. были объединены в Центральный научно-исследовательский институт технологии и машиностроения (ЦНИИТМАШ). В 1941 - 1943 гг. институт находился в эвакуации в городах Свердловске и Талый ключ Свердловской обл. В 1944 г. в институте было создано Центральное конструкторское бюро металлургического машиностроения (ЦКБ ММ), реорганизованное в 1959 г. во ВНИИметмаш. В декабре 1966 г. институт переименован в Центральный научно-исследовательский институт технологии машиностроения (ЦНИИТМАШ). Указом Президиума Верховного Совета СССР от 16 февраля 1976 г. награжден орденом Трудового Красного Знамени. Приказом Министерства энергетического машиностроения СССР от 9 июля 1976 г. образовано НПО "ЦНИИТМАШ", в состав которого вошел институт (12102).</w:t>
      </w:r>
    </w:p>
    <w:p w14:paraId="794B5DD1" w14:textId="77777777" w:rsidR="00695503" w:rsidRPr="00507A31" w:rsidRDefault="00695503" w:rsidP="00507A31">
      <w:pPr>
        <w:autoSpaceDE w:val="0"/>
        <w:autoSpaceDN w:val="0"/>
        <w:adjustRightInd w:val="0"/>
        <w:jc w:val="both"/>
        <w:rPr>
          <w:iCs/>
          <w:color w:val="000000" w:themeColor="text1"/>
          <w:sz w:val="16"/>
          <w:szCs w:val="16"/>
        </w:rPr>
      </w:pPr>
    </w:p>
    <w:p w14:paraId="5B5B0B64" w14:textId="77777777" w:rsidR="005044CB" w:rsidRPr="00507A31" w:rsidRDefault="005044CB" w:rsidP="00507A31">
      <w:pPr>
        <w:autoSpaceDE w:val="0"/>
        <w:autoSpaceDN w:val="0"/>
        <w:adjustRightInd w:val="0"/>
        <w:jc w:val="both"/>
        <w:rPr>
          <w:iCs/>
          <w:color w:val="000000" w:themeColor="text1"/>
          <w:sz w:val="16"/>
          <w:szCs w:val="16"/>
        </w:rPr>
      </w:pPr>
      <w:r w:rsidRPr="00507A31">
        <w:rPr>
          <w:iCs/>
          <w:color w:val="000000" w:themeColor="text1"/>
          <w:sz w:val="16"/>
          <w:szCs w:val="16"/>
        </w:rPr>
        <w:t>Жизнь и внутреняя политика:</w:t>
      </w:r>
    </w:p>
    <w:p w14:paraId="4ED0EDE5" w14:textId="77777777" w:rsidR="005044CB" w:rsidRPr="00507A31" w:rsidRDefault="005044CB" w:rsidP="00507A31">
      <w:pPr>
        <w:autoSpaceDE w:val="0"/>
        <w:autoSpaceDN w:val="0"/>
        <w:adjustRightInd w:val="0"/>
        <w:jc w:val="both"/>
        <w:rPr>
          <w:iCs/>
          <w:color w:val="000000" w:themeColor="text1"/>
          <w:sz w:val="16"/>
          <w:szCs w:val="16"/>
        </w:rPr>
      </w:pPr>
    </w:p>
    <w:p w14:paraId="4043399E" w14:textId="77777777" w:rsidR="005044CB" w:rsidRPr="00507A31" w:rsidRDefault="005044CB" w:rsidP="00507A31">
      <w:pPr>
        <w:jc w:val="both"/>
        <w:rPr>
          <w:color w:val="000000" w:themeColor="text1"/>
          <w:sz w:val="16"/>
          <w:szCs w:val="16"/>
        </w:rPr>
      </w:pPr>
      <w:r w:rsidRPr="00507A31">
        <w:rPr>
          <w:rStyle w:val="a7"/>
          <w:b w:val="0"/>
          <w:color w:val="000000" w:themeColor="text1"/>
          <w:sz w:val="16"/>
          <w:szCs w:val="16"/>
        </w:rPr>
        <w:t>10 июля 1930</w:t>
      </w:r>
      <w:r w:rsidRPr="00507A31">
        <w:rPr>
          <w:color w:val="000000" w:themeColor="text1"/>
          <w:sz w:val="16"/>
          <w:szCs w:val="16"/>
        </w:rPr>
        <w:t>СНК принял постановление «О сумме выпуска для размещения в 1930/31 г. государственного внутреннего выигрышного займа "Пятилетка в четыре года"» (12265).</w:t>
      </w:r>
    </w:p>
    <w:p w14:paraId="6E062A8D" w14:textId="77777777" w:rsidR="005044CB" w:rsidRPr="00507A31" w:rsidRDefault="005044CB" w:rsidP="00507A31">
      <w:pPr>
        <w:jc w:val="both"/>
        <w:rPr>
          <w:color w:val="000000" w:themeColor="text1"/>
          <w:sz w:val="16"/>
          <w:szCs w:val="16"/>
        </w:rPr>
      </w:pPr>
      <w:r w:rsidRPr="00507A31">
        <w:rPr>
          <w:color w:val="000000" w:themeColor="text1"/>
          <w:sz w:val="16"/>
          <w:szCs w:val="16"/>
        </w:rPr>
        <w:t> </w:t>
      </w:r>
    </w:p>
    <w:p w14:paraId="7D9B605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CCC43B9" w14:textId="77777777" w:rsidR="00537E5F" w:rsidRPr="00507A31" w:rsidRDefault="00537E5F" w:rsidP="00507A31">
      <w:pPr>
        <w:autoSpaceDE w:val="0"/>
        <w:autoSpaceDN w:val="0"/>
        <w:adjustRightInd w:val="0"/>
        <w:jc w:val="both"/>
        <w:rPr>
          <w:iCs/>
          <w:color w:val="000000" w:themeColor="text1"/>
          <w:sz w:val="16"/>
          <w:szCs w:val="16"/>
        </w:rPr>
      </w:pPr>
    </w:p>
    <w:p w14:paraId="534EE0C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июля 1930 года в ходе заводских испытаний на Р-6 состоялись 2 полета; 3-й потолок, 4-й – скорости у земли (6925).</w:t>
      </w:r>
    </w:p>
    <w:p w14:paraId="1411301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26DE1D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Другие оборонные отрасли:</w:t>
      </w:r>
    </w:p>
    <w:p w14:paraId="7C7E54B0" w14:textId="77777777" w:rsidR="00537E5F" w:rsidRPr="00507A31" w:rsidRDefault="00537E5F" w:rsidP="00507A31">
      <w:pPr>
        <w:autoSpaceDE w:val="0"/>
        <w:autoSpaceDN w:val="0"/>
        <w:adjustRightInd w:val="0"/>
        <w:jc w:val="both"/>
        <w:rPr>
          <w:iCs/>
          <w:color w:val="000000" w:themeColor="text1"/>
          <w:sz w:val="16"/>
          <w:szCs w:val="16"/>
        </w:rPr>
      </w:pPr>
    </w:p>
    <w:p w14:paraId="1583E4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июля 1930 на испытания Т-12 прибыл НКВоенмор К.Е.В., Нач. УММ Халепский и Нач. Техуправления УММ Бокис. От ХПЗ был Махонин и Владимиров. Легко достиг скорости 26 км/час и краткосрочно - 30 км/час. Преодолевал окопы шириной 2 м. На мягком грунте осилил подъем в 35-36 гр. Впервые вышел на испытания с пулеметом Кольт в шаровой установке Шпагина (ДТ не подали). Отметили хорошую меткость. Слетала гусеница, плохо работала коробка, но признали соответствующим требованиям (4243,21).</w:t>
      </w:r>
    </w:p>
    <w:p w14:paraId="7FEB09C9" w14:textId="77777777" w:rsidR="00537E5F" w:rsidRPr="00507A31" w:rsidRDefault="00537E5F" w:rsidP="00507A31">
      <w:pPr>
        <w:autoSpaceDE w:val="0"/>
        <w:autoSpaceDN w:val="0"/>
        <w:adjustRightInd w:val="0"/>
        <w:jc w:val="both"/>
        <w:rPr>
          <w:color w:val="000000" w:themeColor="text1"/>
          <w:sz w:val="16"/>
          <w:szCs w:val="16"/>
        </w:rPr>
      </w:pPr>
    </w:p>
    <w:p w14:paraId="76E370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июля 1930 года состоялся показ нового танка Т-12 ГХПЗ командованию РККА. На испытаниях присутствовали нарком К.Е. Ворошилов, начальник Управления механизации и моторизации РККА Халепский и начальник Технического управления УММ Бокис. От ГХПЗ на испытании присутствовали Махонин и Владимиров. Несмотря на присутствие высокого начальства, танк успешно выполнил дневную программу испытаний. Во время движения по твердому грунту танк легко развивал скорость 26 километров в час. Во время кратковременного повышения частоты вращения коленчатого вала двигателя до 2000 оборотов в минуту скорость движения танка достигала 30 километров в час. Танк легко преодолевал окопы шириной 2 метра, даже на песчаном грунте. На мягком грунте, двигаясь на первой передаче танк, преодолевал подъем 35-36 градусов. Кроме того, в этот день танк впервые вышел на испытания с вооружением: станковый пулемет Кольта в шаровой установке Шпагина был установлен в главной башне. Первая стрельба из пулемета прошла успешно: при движении танка в мишень попадало до 60% пуль. Правда, вопрос с вооружением опытного образца маневренного танка длительное время оставалось открытым: 45-мм танковая пушка конструкции Соколова не была своевременно доставлена на полигон, а вместо 6,5-мм пулеметов Федорова-Иванова было принято решение установить 7,62-мм танковые пулеметы ДТ, которые также на полигон не прибыли. Первая пробная стрельба из 45-мм пушки конструкции Соколова, установленной в башне танка Т-12, была проведена 12 июля 1930 года (10710).</w:t>
      </w:r>
    </w:p>
    <w:p w14:paraId="0E51BBF8" w14:textId="77777777" w:rsidR="00537E5F" w:rsidRPr="00507A31" w:rsidRDefault="00537E5F" w:rsidP="00507A31">
      <w:pPr>
        <w:autoSpaceDE w:val="0"/>
        <w:autoSpaceDN w:val="0"/>
        <w:adjustRightInd w:val="0"/>
        <w:jc w:val="both"/>
        <w:rPr>
          <w:iCs/>
          <w:color w:val="000000" w:themeColor="text1"/>
          <w:sz w:val="16"/>
          <w:szCs w:val="16"/>
        </w:rPr>
      </w:pPr>
    </w:p>
    <w:p w14:paraId="70A4D7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июля 1930 на испытания Т-12 прибыли Наркрмвоенмор Во</w:t>
      </w:r>
      <w:r w:rsidRPr="00507A31">
        <w:rPr>
          <w:color w:val="000000" w:themeColor="text1"/>
          <w:sz w:val="16"/>
          <w:szCs w:val="16"/>
        </w:rPr>
        <w:softHyphen/>
        <w:t>рошилов, начальник УММ Халепский и нач. Техническо</w:t>
      </w:r>
      <w:r w:rsidRPr="00507A31">
        <w:rPr>
          <w:color w:val="000000" w:themeColor="text1"/>
          <w:sz w:val="16"/>
          <w:szCs w:val="16"/>
        </w:rPr>
        <w:softHyphen/>
        <w:t>го управления УММ Бокис. От ХПЗ на испытаниях при</w:t>
      </w:r>
      <w:r w:rsidRPr="00507A31">
        <w:rPr>
          <w:color w:val="000000" w:themeColor="text1"/>
          <w:sz w:val="16"/>
          <w:szCs w:val="16"/>
        </w:rPr>
        <w:softHyphen/>
        <w:t>сутствовали С. Махонин и Владимиров. Несмотря на при</w:t>
      </w:r>
      <w:r w:rsidRPr="00507A31">
        <w:rPr>
          <w:color w:val="000000" w:themeColor="text1"/>
          <w:sz w:val="16"/>
          <w:szCs w:val="16"/>
        </w:rPr>
        <w:softHyphen/>
        <w:t>сутствие титулованных гостей, танк вел себя хорошо. От</w:t>
      </w:r>
      <w:r w:rsidRPr="00507A31">
        <w:rPr>
          <w:color w:val="000000" w:themeColor="text1"/>
          <w:sz w:val="16"/>
          <w:szCs w:val="16"/>
        </w:rPr>
        <w:softHyphen/>
        <w:t>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w:t>
      </w:r>
      <w:r w:rsidRPr="00507A31">
        <w:rPr>
          <w:color w:val="000000" w:themeColor="text1"/>
          <w:sz w:val="16"/>
          <w:szCs w:val="16"/>
        </w:rPr>
        <w:softHyphen/>
        <w:t>ем 35—36 град, на первой передаче. Кроме того, на эти испытания танк впервые вышел с пу</w:t>
      </w:r>
      <w:r w:rsidRPr="00507A31">
        <w:rPr>
          <w:color w:val="000000" w:themeColor="text1"/>
          <w:sz w:val="16"/>
          <w:szCs w:val="16"/>
        </w:rPr>
        <w:softHyphen/>
        <w:t>леметом. Поскольку пулемет ДТ подан вовремя не был, для танка приспособили станковый пулемет Кольта в шаровой установке Шпагина. При стрельбе из этого пулемета отмеча</w:t>
      </w:r>
      <w:r w:rsidRPr="00507A31">
        <w:rPr>
          <w:color w:val="000000" w:themeColor="text1"/>
          <w:sz w:val="16"/>
          <w:szCs w:val="16"/>
        </w:rPr>
        <w:softHyphen/>
        <w:t>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w:t>
      </w:r>
      <w:r w:rsidRPr="00507A31">
        <w:rPr>
          <w:color w:val="000000" w:themeColor="text1"/>
          <w:sz w:val="16"/>
          <w:szCs w:val="16"/>
        </w:rPr>
        <w:softHyphen/>
        <w:t>робка передач сбрасывала скорости, а также после расходо</w:t>
      </w:r>
      <w:r w:rsidRPr="00507A31">
        <w:rPr>
          <w:color w:val="000000" w:themeColor="text1"/>
          <w:sz w:val="16"/>
          <w:szCs w:val="16"/>
        </w:rPr>
        <w:softHyphen/>
        <w:t>вания 90 литров бензина он прекращал поступать к двигате</w:t>
      </w:r>
      <w:r w:rsidRPr="00507A31">
        <w:rPr>
          <w:color w:val="000000" w:themeColor="text1"/>
          <w:sz w:val="16"/>
          <w:szCs w:val="16"/>
        </w:rPr>
        <w:softHyphen/>
        <w:t>лю по непонятным причинам (хотя в баке еще находилось ок. 130 литров). Но в целом танк был признан соответствую</w:t>
      </w:r>
      <w:r w:rsidRPr="00507A31">
        <w:rPr>
          <w:color w:val="000000" w:themeColor="text1"/>
          <w:sz w:val="16"/>
          <w:szCs w:val="16"/>
        </w:rPr>
        <w:softHyphen/>
        <w:t>щим требованиям и рекомендован для принятия на воору</w:t>
      </w:r>
      <w:r w:rsidRPr="00507A31">
        <w:rPr>
          <w:color w:val="000000" w:themeColor="text1"/>
          <w:sz w:val="16"/>
          <w:szCs w:val="16"/>
        </w:rPr>
        <w:softHyphen/>
        <w:t>жение с учетом исправления замеченных недостатков. Вопреки высказываниям некоторых авторов, что ору</w:t>
      </w:r>
      <w:r w:rsidRPr="00507A31">
        <w:rPr>
          <w:color w:val="000000" w:themeColor="text1"/>
          <w:sz w:val="16"/>
          <w:szCs w:val="16"/>
        </w:rPr>
        <w:softHyphen/>
        <w:t>дие для маневренного танка было готово только к 1932 г., следует отметить, что 45-мм пушка Соколова была подана уже в июне 1930 года и установлена на Т-12, на котором ее опробование проходило 12 июля 1930 г. (10733,91).</w:t>
      </w:r>
    </w:p>
    <w:p w14:paraId="7EDB3C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BB0DE5A" w14:textId="77777777" w:rsidR="005044CB" w:rsidRPr="00507A31" w:rsidRDefault="005044CB" w:rsidP="00507A31">
      <w:pPr>
        <w:jc w:val="both"/>
        <w:rPr>
          <w:color w:val="000000" w:themeColor="text1"/>
          <w:sz w:val="16"/>
          <w:szCs w:val="16"/>
        </w:rPr>
      </w:pPr>
      <w:r w:rsidRPr="00507A31">
        <w:rPr>
          <w:color w:val="000000" w:themeColor="text1"/>
          <w:sz w:val="16"/>
          <w:szCs w:val="16"/>
        </w:rPr>
        <w:t>11 июля 1930 г. танк Т-12 осмотрели народный комиссар по военным и морским делам К.Е. Ворошилов, начальник УММ РККА И.А. Халепский и начальник научно-технического комитета УММ РККА Г.Г. Бокис. В целом новая машина получила высокую оценку и была оставлена в Москве для испытаний. 12 июля состоялись стрельбы из 45-мм пушки танка.Испытания Т-12 продлились до середины августа 1930 г., по результатам которых он был рекомендован для принятия на вооружение с учетом устранения выявленных недостатков. Всего по докладу начальника испытательной группы С.А. Гинзбурга на производственном совещании НТК УММ РККА 13 августа 1930 г. было отмечено 37 недостатков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0B4EE6A9" w14:textId="77777777" w:rsidR="005044CB" w:rsidRPr="00507A31" w:rsidRDefault="005044CB" w:rsidP="00507A31">
      <w:pPr>
        <w:jc w:val="both"/>
        <w:rPr>
          <w:color w:val="000000" w:themeColor="text1"/>
          <w:sz w:val="16"/>
          <w:szCs w:val="16"/>
        </w:rPr>
      </w:pPr>
    </w:p>
    <w:p w14:paraId="6CF38B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июля 1930 года с Ижорским заводом провели переговоры об изго</w:t>
      </w:r>
      <w:r w:rsidRPr="00507A31">
        <w:rPr>
          <w:color w:val="000000" w:themeColor="text1"/>
          <w:sz w:val="16"/>
          <w:szCs w:val="16"/>
        </w:rPr>
        <w:softHyphen/>
        <w:t>товлении «трех бронекорпусов для «Форд-А» из мягкой ста</w:t>
      </w:r>
      <w:r w:rsidRPr="00507A31">
        <w:rPr>
          <w:color w:val="000000" w:themeColor="text1"/>
          <w:sz w:val="16"/>
          <w:szCs w:val="16"/>
        </w:rPr>
        <w:softHyphen/>
        <w:t>ли» к 1 августа.</w:t>
      </w:r>
    </w:p>
    <w:p w14:paraId="563031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Однако выполнить это не удалось. Одной из причин была задержка с подачей управлением механизации и мото</w:t>
      </w:r>
      <w:r w:rsidRPr="00507A31">
        <w:rPr>
          <w:color w:val="000000" w:themeColor="text1"/>
          <w:sz w:val="16"/>
          <w:szCs w:val="16"/>
        </w:rPr>
        <w:softHyphen/>
        <w:t>ризации чертежей, но основная задержка произошла по ви</w:t>
      </w:r>
      <w:r w:rsidRPr="00507A31">
        <w:rPr>
          <w:color w:val="000000" w:themeColor="text1"/>
          <w:sz w:val="16"/>
          <w:szCs w:val="16"/>
        </w:rPr>
        <w:softHyphen/>
        <w:t>не предприятия. Так, 15 августа 1930 года спецотдел Ижорского завода направил в УММ РККА письмо следующего содержания:</w:t>
      </w:r>
    </w:p>
    <w:p w14:paraId="11E2B7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«Ижзавод принимает заказ на разработку рабочих чер</w:t>
      </w:r>
      <w:r w:rsidRPr="00507A31">
        <w:rPr>
          <w:color w:val="000000" w:themeColor="text1"/>
          <w:sz w:val="16"/>
          <w:szCs w:val="16"/>
        </w:rPr>
        <w:softHyphen/>
        <w:t>тежей и изготовление двух опытных образцов бронеавтомо</w:t>
      </w:r>
      <w:r w:rsidRPr="00507A31">
        <w:rPr>
          <w:color w:val="000000" w:themeColor="text1"/>
          <w:sz w:val="16"/>
          <w:szCs w:val="16"/>
        </w:rPr>
        <w:softHyphen/>
        <w:t>биля «Форд-А» по представленному Вами проекту со сро</w:t>
      </w:r>
      <w:r w:rsidRPr="00507A31">
        <w:rPr>
          <w:color w:val="000000" w:themeColor="text1"/>
          <w:sz w:val="16"/>
          <w:szCs w:val="16"/>
        </w:rPr>
        <w:softHyphen/>
        <w:t>ком выпуска образцов 1 марта 1931 года. Ранее этого срока завод, ввиду перегрузки спецзаказами, выполнить заказ не может».</w:t>
      </w:r>
    </w:p>
    <w:p w14:paraId="4198D1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Управлению механизации и моторизации Красной Ар</w:t>
      </w:r>
      <w:r w:rsidRPr="00507A31">
        <w:rPr>
          <w:color w:val="000000" w:themeColor="text1"/>
          <w:sz w:val="16"/>
          <w:szCs w:val="16"/>
        </w:rPr>
        <w:softHyphen/>
        <w:t>мии пришлось обратиться в «высшие инстанции», в Рево</w:t>
      </w:r>
      <w:r w:rsidRPr="00507A31">
        <w:rPr>
          <w:color w:val="000000" w:themeColor="text1"/>
          <w:sz w:val="16"/>
          <w:szCs w:val="16"/>
        </w:rPr>
        <w:softHyphen/>
        <w:t>люционно-военный совет СССР, но и это помогло мало (11284).</w:t>
      </w:r>
    </w:p>
    <w:p w14:paraId="1EB075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28724B9" w14:textId="77777777" w:rsidR="00537E5F" w:rsidRPr="00507A31" w:rsidRDefault="00537E5F" w:rsidP="00507A31">
      <w:pPr>
        <w:autoSpaceDE w:val="0"/>
        <w:autoSpaceDN w:val="0"/>
        <w:adjustRightInd w:val="0"/>
        <w:jc w:val="both"/>
        <w:rPr>
          <w:color w:val="000000" w:themeColor="text1"/>
          <w:sz w:val="16"/>
          <w:szCs w:val="16"/>
        </w:rPr>
      </w:pPr>
      <w:r w:rsidRPr="00507A31">
        <w:rPr>
          <w:smallCaps/>
          <w:color w:val="000000" w:themeColor="text1"/>
          <w:sz w:val="16"/>
          <w:szCs w:val="16"/>
        </w:rPr>
        <w:t>11 июля 1930 г.</w:t>
      </w:r>
      <w:r w:rsidRPr="00507A31">
        <w:rPr>
          <w:color w:val="000000" w:themeColor="text1"/>
          <w:sz w:val="16"/>
          <w:szCs w:val="16"/>
        </w:rPr>
        <w:t xml:space="preserve"> в ведении «Речсоюзверфи» основан Рыбинский судостроительный завод в Переборах (Завод № 341 НКСП, Рыбинский катерный завод, Рыбинский судостроительный завод «Вымпел», А-7333, Судостроительное общество «Вымпел», ОАО «Судостроительный завод «Вымпел» /г. Рыбинск,  г. Щербаков/ /152928 (152912)  г. Рыбинск Ярославской обл. ул. Новая, 4/). В 1937 г. продолжавшееся строительство завода законсервировано. В 1939 г. завод передан в НКСП и получил № 341.</w:t>
      </w:r>
    </w:p>
    <w:p w14:paraId="4598C5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начала войны на завод эвакуирована часть завода № 194 из Ленинграда. По распоряжению Совета по эвакуации № 14974 от 25.11.1941 г. завод частично эвакуирован на заводы № 639 (цех торпедных катеров) и № 344 НКСП.</w:t>
      </w:r>
    </w:p>
    <w:p w14:paraId="10DC54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1950-е  г. на завод из ЦКБ-20 передана вся документация на командирский катер пр. 371бис для серийного производства.</w:t>
      </w:r>
    </w:p>
    <w:p w14:paraId="6FA660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1985 г. начато производство речного буксира пр. 14701, для его постройки на заводе внедрен модульно- агрегатный метод.</w:t>
      </w:r>
    </w:p>
    <w:p w14:paraId="5CDB7B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1988 г. планировалось начать производство катеров пр. 14050 и 14051, но не было реализовано.</w:t>
      </w:r>
    </w:p>
    <w:p w14:paraId="6B0C63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1978 г. - Рыбинский ССЗ «Вымпел», имел наименование «п/я А-7333». В 1970-е  г. вошел в состав Рыбинского судостроительного ПО.</w:t>
      </w:r>
    </w:p>
    <w:p w14:paraId="55553E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2001 г. вошел в ОАО «Концерн средне- и малотоннажного кораблестроения» (КСМК). По решению правительства № 22-р от 9.01.2004 г. ОАО вошло в перечень стратегических предприятий.</w:t>
      </w:r>
    </w:p>
    <w:p w14:paraId="424684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(ВОВ)- Н.В. Щербина, (ВОВ)- Ф.С. Самсонов. Гендиректор (-2001-07 г.-&gt; В.Б. Доскин.</w:t>
      </w:r>
    </w:p>
    <w:p w14:paraId="2645A4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Технический директор (2007 г.)- Б.Р. Лапковский. Директор по маркетингу (2007 г.)- Д.А. Беляков.</w:t>
      </w:r>
    </w:p>
    <w:p w14:paraId="58BBBC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А.С. Станиславский.</w:t>
      </w:r>
    </w:p>
    <w:p w14:paraId="354D17AA"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w:t>
      </w:r>
      <w:r w:rsidRPr="00507A31">
        <w:rPr>
          <w:color w:val="000000" w:themeColor="text1"/>
          <w:sz w:val="16"/>
          <w:szCs w:val="16"/>
        </w:rPr>
        <w:t xml:space="preserve"> стальные баржи (1930-е);</w:t>
      </w:r>
      <w:r w:rsidRPr="00507A31">
        <w:rPr>
          <w:iCs/>
          <w:color w:val="000000" w:themeColor="text1"/>
          <w:sz w:val="16"/>
          <w:szCs w:val="16"/>
        </w:rPr>
        <w:t xml:space="preserve"> катера:</w:t>
      </w:r>
      <w:r w:rsidRPr="00507A31">
        <w:rPr>
          <w:color w:val="000000" w:themeColor="text1"/>
          <w:sz w:val="16"/>
          <w:szCs w:val="16"/>
        </w:rPr>
        <w:t xml:space="preserve"> разъездные, буксирные, пассажирские типа «Р» (1935-36-), (1942-45)- 581;</w:t>
      </w:r>
      <w:r w:rsidRPr="00507A31">
        <w:rPr>
          <w:color w:val="000000" w:themeColor="text1"/>
          <w:sz w:val="16"/>
          <w:szCs w:val="16"/>
          <w:vertAlign w:val="superscript"/>
        </w:rPr>
        <w:t>61</w:t>
      </w:r>
      <w:r w:rsidRPr="00507A31">
        <w:rPr>
          <w:color w:val="000000" w:themeColor="text1"/>
          <w:sz w:val="16"/>
          <w:szCs w:val="16"/>
        </w:rPr>
        <w:t xml:space="preserve"> торпедные: пр. ТМ-200 ТК-450 «Юнга» (1944-46)- 24, пр. 206М (1970-76)- 24 (вместе с заводами 5, 363 и 602); многоцелевые пр. 371 (1950-е), пр. 371У (1970-е), пр. 03712 (1990-е), большой командирский пр. 371бис (1950-е-70-е), спасательный пр. 03713 (1980-е-90-е); базовые противопожарные пр. 364 (1950-е), пр. 14611 (1981-), пожарный пр. 18604 (1986)- 1; ракетные: пр. 205, пр. 205У (1963-75)- всего 46, экспортные пр. 205ЭР (1973-84)- 87; пр. 1241РЭ (1980-)- 22 (вместе с заводом 345); малые буксирно-моторные типа БМК-90, БМК-130 (1970-е), БМК-130М (1970-е), пр. 1396 (БМК-Т) (1965-), пр. 14121; малые разъездные пр. 371, пр. 378 (1960-е); малый речной пограничный пр. 1207 «Пеликан» (1972-76); телеуправляемый катер-мишень пр. 1392 (1970-е-80- е); патрульный пр. 12300 «Скорпион»; МРК пр. 12418 для Вьетнама (-2006-04.2007)- 2; пр. 12421 «Молния» № 992 (-1999)- 1, ПСКА-601 пр. 12150 «Мангуст» (-07.2006)- 3, еще 3 заложены на 2006; пр. 14310 «Мираж»- 1, «Марс»;</w:t>
      </w:r>
      <w:r w:rsidRPr="00507A31">
        <w:rPr>
          <w:iCs/>
          <w:color w:val="000000" w:themeColor="text1"/>
          <w:sz w:val="16"/>
          <w:szCs w:val="16"/>
        </w:rPr>
        <w:t xml:space="preserve"> тральщики:</w:t>
      </w:r>
      <w:r w:rsidRPr="00507A31">
        <w:rPr>
          <w:color w:val="000000" w:themeColor="text1"/>
          <w:sz w:val="16"/>
          <w:szCs w:val="16"/>
        </w:rPr>
        <w:t xml:space="preserve"> пр. 255 (1947-), пр. 255К (1951-53)- всего 125 (вместе с заводом 189); пр. 265 (1949-51)- 2, пр. 265К (1957-59)- 13, пр. 265А (1959-62)- 24, пр. 265И (1960-е)- 3; пограничный сторожевик пр. 14310 «Мираж» ПСКР-401; малый разведывательный корабль пр. 1824Б (1976-89)- 4 (вместе с заводом «Балтия»); </w:t>
      </w:r>
      <w:r w:rsidRPr="00507A31">
        <w:rPr>
          <w:iCs/>
          <w:color w:val="000000" w:themeColor="text1"/>
          <w:sz w:val="16"/>
          <w:szCs w:val="16"/>
        </w:rPr>
        <w:t>гидрографические суда:</w:t>
      </w:r>
      <w:r w:rsidRPr="00507A31">
        <w:rPr>
          <w:color w:val="000000" w:themeColor="text1"/>
          <w:sz w:val="16"/>
          <w:szCs w:val="16"/>
        </w:rPr>
        <w:t xml:space="preserve"> малое «Вайгач» пр. 19910 (-2006), большой катер пр. 19920 (05.2004-), бот пр. 1896 (1966-77)- около 130 (вместе с Николаевским-на-Амуре ССЗ), бот пр. 16611 (1993)- 1; водолазное судно пр. 11980 ВМ-596 (2005)- 1; морская самоходная пристрелочная станция пр. 1824 (1966-74)- 7; дебаркадеры и плавдоки из железобетона (1929-35);</w:t>
      </w:r>
      <w:r w:rsidRPr="00507A31">
        <w:rPr>
          <w:iCs/>
          <w:color w:val="000000" w:themeColor="text1"/>
          <w:sz w:val="16"/>
          <w:szCs w:val="16"/>
        </w:rPr>
        <w:t xml:space="preserve"> буксиры:</w:t>
      </w:r>
      <w:r w:rsidRPr="00507A31">
        <w:rPr>
          <w:color w:val="000000" w:themeColor="text1"/>
          <w:sz w:val="16"/>
          <w:szCs w:val="16"/>
        </w:rPr>
        <w:t xml:space="preserve"> речные пр. 212 (1943)- 1, «Академик Тимирязев» (1948-), толкачи пр. 887 «Шлюзовой» (1960), пр. 947 «Маршал Блюхер» (1970), пр. 1606 (1970-е), пр. 14701 «Бурлак» (1985-); озерный пр. 574 типа БОР-450 «Георгий Седов» (1951); пожарный пр. 364 «Пламенный» (1956-63)- 9; танкеры пр. 866 типа «Дельфин» (-1969); сухогрузы; тунцеловное судно пр. 13321 «Тунцелов-1» (1980-)- около 10; противопожарные суда: пр. 14613 «Марс», малое пр. 16640 «Вьюн»; несамоходная плавучая электростанция пр. 813М (1977).</w:t>
      </w:r>
    </w:p>
    <w:p w14:paraId="699196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КБ завода № 341, СКБ-341 /г. Рыбинск/</w:t>
      </w:r>
    </w:p>
    <w:p w14:paraId="114C1E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1946 г. - проектирование тральщика пр. 265. В начале 1949 г. в КБ завода № 341 из ЦКБ-50 передано проектирование рейдовых тральщиков.</w:t>
      </w:r>
    </w:p>
    <w:p w14:paraId="30403A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1949 г. КБ завода преобразовано в самостоятельное СКБ-341. В 1954 г. оно влито в состав ЦКБ-363.</w:t>
      </w:r>
    </w:p>
    <w:p w14:paraId="2B23EB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конструкторы: (1948 г.)- Н. Г. Лощинский (пр. 265), (1950 г.)- В.И. Блинов (пр. 255К, 265).</w:t>
      </w:r>
    </w:p>
    <w:p w14:paraId="1C163288"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Создано:</w:t>
      </w:r>
      <w:r w:rsidRPr="00507A31">
        <w:rPr>
          <w:color w:val="000000" w:themeColor="text1"/>
          <w:sz w:val="16"/>
          <w:szCs w:val="16"/>
        </w:rPr>
        <w:t xml:space="preserve"> тральщики: рейдовый пр. 265 (1946-48), пр. 255К (1950); рейдовый буксир пр. 255Б на базе тральщика пр. 255 (1950-е, совместно с ЦКБ-50).</w:t>
      </w:r>
      <w:r w:rsidRPr="00507A31">
        <w:rPr>
          <w:color w:val="000000" w:themeColor="text1"/>
          <w:sz w:val="16"/>
          <w:szCs w:val="16"/>
          <w:vertAlign w:val="superscript"/>
        </w:rPr>
        <w:t>116</w:t>
      </w:r>
    </w:p>
    <w:p w14:paraId="1A9D52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КБ Рыбинского судостроительного завода «Вымпел» /г. Рыбинск/</w:t>
      </w:r>
    </w:p>
    <w:p w14:paraId="207633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1985 г. КБ завода, вероятно, преобразовано в филиал ЦКБ «Редан».</w:t>
      </w:r>
    </w:p>
    <w:p w14:paraId="71AC8F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базе строившегося на заводе командирского катера пр. 371бис разработаны модификации служебно- разъездных катеров для народного хозяйства пр. 371У, 03712, спасательный катер пр. 03713 (1978 г.).</w:t>
      </w:r>
    </w:p>
    <w:p w14:paraId="040C6B59"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lastRenderedPageBreak/>
        <w:t>Создано:</w:t>
      </w:r>
      <w:r w:rsidRPr="00507A31">
        <w:rPr>
          <w:color w:val="000000" w:themeColor="text1"/>
          <w:sz w:val="16"/>
          <w:szCs w:val="16"/>
        </w:rPr>
        <w:t xml:space="preserve"> малые буксирно-моторные катера: типа БМК-90, БМК-130 (1970), БМК-130М (1970-е), пр. 1396 (БМК-Т) (1965),</w:t>
      </w:r>
      <w:r w:rsidRPr="00507A31">
        <w:rPr>
          <w:color w:val="000000" w:themeColor="text1"/>
          <w:sz w:val="16"/>
          <w:szCs w:val="16"/>
          <w:vertAlign w:val="superscript"/>
        </w:rPr>
        <w:t>116</w:t>
      </w:r>
      <w:r w:rsidRPr="00507A31">
        <w:rPr>
          <w:color w:val="000000" w:themeColor="text1"/>
          <w:sz w:val="16"/>
          <w:szCs w:val="16"/>
        </w:rPr>
        <w:t xml:space="preserve"> речной пр. 1606 (1970-е) (11982).</w:t>
      </w:r>
    </w:p>
    <w:p w14:paraId="6B7ED553" w14:textId="77777777" w:rsidR="00537E5F" w:rsidRPr="00507A31" w:rsidRDefault="00537E5F" w:rsidP="00507A31">
      <w:pPr>
        <w:autoSpaceDE w:val="0"/>
        <w:autoSpaceDN w:val="0"/>
        <w:adjustRightInd w:val="0"/>
        <w:jc w:val="both"/>
        <w:rPr>
          <w:color w:val="000000" w:themeColor="text1"/>
          <w:sz w:val="16"/>
          <w:szCs w:val="16"/>
        </w:rPr>
      </w:pPr>
    </w:p>
    <w:p w14:paraId="7BCAC07E" w14:textId="77777777" w:rsidR="005044CB" w:rsidRPr="00507A31" w:rsidRDefault="00AC735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C479EFB" w14:textId="77777777" w:rsidR="005044CB" w:rsidRPr="00507A31" w:rsidRDefault="005044CB" w:rsidP="00507A31">
      <w:pPr>
        <w:shd w:val="clear" w:color="auto" w:fill="FFFFFF"/>
        <w:autoSpaceDE w:val="0"/>
        <w:autoSpaceDN w:val="0"/>
        <w:adjustRightInd w:val="0"/>
        <w:jc w:val="both"/>
        <w:rPr>
          <w:iCs/>
          <w:color w:val="000000" w:themeColor="text1"/>
          <w:sz w:val="16"/>
          <w:szCs w:val="16"/>
        </w:rPr>
      </w:pPr>
    </w:p>
    <w:p w14:paraId="52AACABD" w14:textId="77777777" w:rsidR="005044CB" w:rsidRPr="00507A31" w:rsidRDefault="005044CB" w:rsidP="00507A31">
      <w:pPr>
        <w:jc w:val="both"/>
        <w:rPr>
          <w:color w:val="000000" w:themeColor="text1"/>
          <w:sz w:val="16"/>
          <w:szCs w:val="16"/>
        </w:rPr>
      </w:pPr>
      <w:r w:rsidRPr="00507A31">
        <w:rPr>
          <w:color w:val="000000" w:themeColor="text1"/>
          <w:sz w:val="16"/>
          <w:szCs w:val="16"/>
        </w:rPr>
        <w:t>12 июля 1930 г. — Акт комиссии по ликвидации последствий «вредительства» на заводе № 29</w:t>
      </w:r>
    </w:p>
    <w:p w14:paraId="7D30A067" w14:textId="77777777" w:rsidR="005044CB" w:rsidRPr="00507A31" w:rsidRDefault="005044CB" w:rsidP="00507A31">
      <w:pPr>
        <w:jc w:val="both"/>
        <w:rPr>
          <w:color w:val="000000" w:themeColor="text1"/>
          <w:sz w:val="16"/>
          <w:szCs w:val="16"/>
        </w:rPr>
      </w:pPr>
      <w:r w:rsidRPr="00507A31">
        <w:rPr>
          <w:color w:val="000000" w:themeColor="text1"/>
          <w:sz w:val="16"/>
          <w:szCs w:val="16"/>
        </w:rPr>
        <w:t>Совершенно секретно.</w:t>
      </w:r>
    </w:p>
    <w:p w14:paraId="4D869743" w14:textId="77777777" w:rsidR="005044CB" w:rsidRPr="00507A31" w:rsidRDefault="005044CB" w:rsidP="00507A31">
      <w:pPr>
        <w:jc w:val="both"/>
        <w:rPr>
          <w:color w:val="000000" w:themeColor="text1"/>
          <w:sz w:val="16"/>
          <w:szCs w:val="16"/>
        </w:rPr>
      </w:pPr>
      <w:r w:rsidRPr="00507A31">
        <w:rPr>
          <w:color w:val="000000" w:themeColor="text1"/>
          <w:sz w:val="16"/>
          <w:szCs w:val="16"/>
        </w:rPr>
        <w:t>Вредительство на заводе № 29 в основном было направлено: 1) к срыву мобготовности завода; 2) к срыву выпуска моторов М</w:t>
      </w:r>
      <w:r w:rsidRPr="00507A31">
        <w:rPr>
          <w:color w:val="000000" w:themeColor="text1"/>
          <w:sz w:val="16"/>
          <w:szCs w:val="16"/>
        </w:rPr>
        <w:noBreakHyphen/>
        <w:t>22 как основной продукции и 3) к срыву реконструкции завода и т. п.</w:t>
      </w:r>
    </w:p>
    <w:p w14:paraId="3F65CB51" w14:textId="77777777" w:rsidR="005044CB" w:rsidRPr="00507A31" w:rsidRDefault="005044CB" w:rsidP="00507A31">
      <w:pPr>
        <w:jc w:val="both"/>
        <w:rPr>
          <w:color w:val="000000" w:themeColor="text1"/>
          <w:sz w:val="16"/>
          <w:szCs w:val="16"/>
        </w:rPr>
      </w:pPr>
      <w:r w:rsidRPr="00507A31">
        <w:rPr>
          <w:color w:val="000000" w:themeColor="text1"/>
          <w:sz w:val="16"/>
          <w:szCs w:val="16"/>
        </w:rPr>
        <w:t>Вредительство по капитальному строительству и оборудованию</w:t>
      </w:r>
    </w:p>
    <w:p w14:paraId="3F35C46F" w14:textId="77777777" w:rsidR="005044CB" w:rsidRPr="00507A31" w:rsidRDefault="005044CB" w:rsidP="00507A31">
      <w:pPr>
        <w:jc w:val="both"/>
        <w:rPr>
          <w:color w:val="000000" w:themeColor="text1"/>
          <w:sz w:val="16"/>
          <w:szCs w:val="16"/>
        </w:rPr>
      </w:pPr>
      <w:r w:rsidRPr="00507A31">
        <w:rPr>
          <w:color w:val="000000" w:themeColor="text1"/>
          <w:sz w:val="16"/>
          <w:szCs w:val="16"/>
        </w:rPr>
        <w:t>1. Завод, приспособленный для производства моторов блочных конструкций водяного охлаждения и на основе этого разработавший ориентировочный план расширения завода и уже частично приступивший к проведению его в жизнь, в 1928 г. получил задание для производства моторов воздушного охлаждения. Это свело на нет производимую до того времени работу.</w:t>
      </w:r>
    </w:p>
    <w:p w14:paraId="0CBDA048" w14:textId="77777777" w:rsidR="005044CB" w:rsidRPr="00507A31" w:rsidRDefault="005044CB" w:rsidP="00507A31">
      <w:pPr>
        <w:jc w:val="both"/>
        <w:rPr>
          <w:color w:val="000000" w:themeColor="text1"/>
          <w:sz w:val="16"/>
          <w:szCs w:val="16"/>
        </w:rPr>
      </w:pPr>
      <w:r w:rsidRPr="00507A31">
        <w:rPr>
          <w:color w:val="000000" w:themeColor="text1"/>
          <w:sz w:val="16"/>
          <w:szCs w:val="16"/>
        </w:rPr>
        <w:t>2. Накопленный опыт по постройке блочных моторов водяного охлаждения стараниями вредителей был сведен на нет.</w:t>
      </w:r>
    </w:p>
    <w:p w14:paraId="61BAA858" w14:textId="77777777" w:rsidR="005044CB" w:rsidRPr="00507A31" w:rsidRDefault="005044CB" w:rsidP="00507A31">
      <w:pPr>
        <w:jc w:val="both"/>
        <w:rPr>
          <w:color w:val="000000" w:themeColor="text1"/>
          <w:sz w:val="16"/>
          <w:szCs w:val="16"/>
        </w:rPr>
      </w:pPr>
      <w:r w:rsidRPr="00507A31">
        <w:rPr>
          <w:color w:val="000000" w:themeColor="text1"/>
          <w:sz w:val="16"/>
          <w:szCs w:val="16"/>
        </w:rPr>
        <w:t>3. Строительные работы велись без всякого плана, без разработки проектов, но с большим размахом и не считаясь с необходимостью сбалансировать мощности отдельных цехов. Чрезмерно большими размерами выделялись литейный цех, термический и сборочный.</w:t>
      </w:r>
    </w:p>
    <w:p w14:paraId="50D92F07" w14:textId="77777777" w:rsidR="005044CB" w:rsidRPr="00507A31" w:rsidRDefault="005044CB" w:rsidP="00507A31">
      <w:pPr>
        <w:jc w:val="both"/>
        <w:rPr>
          <w:color w:val="000000" w:themeColor="text1"/>
          <w:sz w:val="16"/>
          <w:szCs w:val="16"/>
        </w:rPr>
      </w:pPr>
      <w:r w:rsidRPr="00507A31">
        <w:rPr>
          <w:color w:val="000000" w:themeColor="text1"/>
          <w:sz w:val="16"/>
          <w:szCs w:val="16"/>
        </w:rPr>
        <w:t>4. Умышленно вредителями не задерживалось строительство испытательной станции, оборудованной для водяных моторов, несмотря на то что данными своевременными указаниями можно было бы при небольших затратах станцию приспособить под моторы воздушного охлаждения.</w:t>
      </w:r>
    </w:p>
    <w:p w14:paraId="36EE116F" w14:textId="77777777" w:rsidR="005044CB" w:rsidRPr="00507A31" w:rsidRDefault="005044CB" w:rsidP="00507A31">
      <w:pPr>
        <w:jc w:val="both"/>
        <w:rPr>
          <w:color w:val="000000" w:themeColor="text1"/>
          <w:sz w:val="16"/>
          <w:szCs w:val="16"/>
        </w:rPr>
      </w:pPr>
      <w:r w:rsidRPr="00507A31">
        <w:rPr>
          <w:color w:val="000000" w:themeColor="text1"/>
          <w:sz w:val="16"/>
          <w:szCs w:val="16"/>
        </w:rPr>
        <w:t>5. Проект испытательной станции, предложенный заводом, был намного лучше проекта, присланного из треста. Вредителями проект завода был забракован. Испытательные станки сконструированы недостаточно хорошо (рычаг управления 11 м), и точности станка может не быть.</w:t>
      </w:r>
    </w:p>
    <w:p w14:paraId="661FACC2" w14:textId="77777777" w:rsidR="005044CB" w:rsidRPr="00507A31" w:rsidRDefault="005044CB" w:rsidP="00507A31">
      <w:pPr>
        <w:jc w:val="both"/>
        <w:rPr>
          <w:color w:val="000000" w:themeColor="text1"/>
          <w:sz w:val="16"/>
          <w:szCs w:val="16"/>
        </w:rPr>
      </w:pPr>
      <w:r w:rsidRPr="00507A31">
        <w:rPr>
          <w:color w:val="000000" w:themeColor="text1"/>
          <w:sz w:val="16"/>
          <w:szCs w:val="16"/>
        </w:rPr>
        <w:t>Вредительство по качеству продукции</w:t>
      </w:r>
    </w:p>
    <w:p w14:paraId="68337BB8" w14:textId="77777777" w:rsidR="005044CB" w:rsidRPr="00507A31" w:rsidRDefault="005044CB" w:rsidP="00507A31">
      <w:pPr>
        <w:jc w:val="both"/>
        <w:rPr>
          <w:color w:val="000000" w:themeColor="text1"/>
          <w:sz w:val="16"/>
          <w:szCs w:val="16"/>
        </w:rPr>
      </w:pPr>
      <w:r w:rsidRPr="00507A31">
        <w:rPr>
          <w:color w:val="000000" w:themeColor="text1"/>
          <w:sz w:val="16"/>
          <w:szCs w:val="16"/>
        </w:rPr>
        <w:t>1. Не принимались меры к изучению технологии процессов литья, из-за чего был большой процент брака литья.</w:t>
      </w:r>
    </w:p>
    <w:p w14:paraId="1A1E3B9B" w14:textId="77777777" w:rsidR="005044CB" w:rsidRPr="00507A31" w:rsidRDefault="005044CB" w:rsidP="00507A31">
      <w:pPr>
        <w:jc w:val="both"/>
        <w:rPr>
          <w:color w:val="000000" w:themeColor="text1"/>
          <w:sz w:val="16"/>
          <w:szCs w:val="16"/>
        </w:rPr>
      </w:pPr>
      <w:r w:rsidRPr="00507A31">
        <w:rPr>
          <w:color w:val="000000" w:themeColor="text1"/>
          <w:sz w:val="16"/>
          <w:szCs w:val="16"/>
        </w:rPr>
        <w:t>2. Не принимались меры к уменьшению брака литья маслот для поршневых колец. Основная причина — кустарщина в работе, определение температуры «на глазок» без применения пирометров.</w:t>
      </w:r>
    </w:p>
    <w:p w14:paraId="14E16328" w14:textId="77777777" w:rsidR="005044CB" w:rsidRPr="00507A31" w:rsidRDefault="005044CB" w:rsidP="00507A31">
      <w:pPr>
        <w:jc w:val="both"/>
        <w:rPr>
          <w:color w:val="000000" w:themeColor="text1"/>
          <w:sz w:val="16"/>
          <w:szCs w:val="16"/>
        </w:rPr>
      </w:pPr>
      <w:r w:rsidRPr="00507A31">
        <w:rPr>
          <w:color w:val="000000" w:themeColor="text1"/>
          <w:sz w:val="16"/>
          <w:szCs w:val="16"/>
        </w:rPr>
        <w:t>3. Не принимались меры к проверке модельного хозяйства, в то время как изношенность его является одной из причин брака.</w:t>
      </w:r>
    </w:p>
    <w:p w14:paraId="25A5B1B3" w14:textId="77777777" w:rsidR="005044CB" w:rsidRPr="00507A31" w:rsidRDefault="005044CB" w:rsidP="00507A31">
      <w:pPr>
        <w:jc w:val="both"/>
        <w:rPr>
          <w:color w:val="000000" w:themeColor="text1"/>
          <w:sz w:val="16"/>
          <w:szCs w:val="16"/>
        </w:rPr>
      </w:pPr>
      <w:r w:rsidRPr="00507A31">
        <w:rPr>
          <w:color w:val="000000" w:themeColor="text1"/>
          <w:sz w:val="16"/>
          <w:szCs w:val="16"/>
        </w:rPr>
        <w:t>4. В сборочных чертежах указывались неверные допуски, из-за этого полной взаимозаменяемости частей моторов не было.</w:t>
      </w:r>
    </w:p>
    <w:p w14:paraId="609EF465" w14:textId="77777777" w:rsidR="005044CB" w:rsidRPr="00507A31" w:rsidRDefault="005044CB" w:rsidP="00507A31">
      <w:pPr>
        <w:jc w:val="both"/>
        <w:rPr>
          <w:color w:val="000000" w:themeColor="text1"/>
          <w:sz w:val="16"/>
          <w:szCs w:val="16"/>
        </w:rPr>
      </w:pPr>
      <w:r w:rsidRPr="00507A31">
        <w:rPr>
          <w:color w:val="000000" w:themeColor="text1"/>
          <w:sz w:val="16"/>
          <w:szCs w:val="16"/>
        </w:rPr>
        <w:t>5. Подготовительные работы для развертывания производства М</w:t>
      </w:r>
      <w:r w:rsidRPr="00507A31">
        <w:rPr>
          <w:color w:val="000000" w:themeColor="text1"/>
          <w:sz w:val="16"/>
          <w:szCs w:val="16"/>
        </w:rPr>
        <w:noBreakHyphen/>
        <w:t>22 не только не форсировались, а, наоборот, задерживались, например: чертежи, поставка литья и моделей из Франции и т. п.</w:t>
      </w:r>
    </w:p>
    <w:p w14:paraId="4D12B4C3" w14:textId="77777777" w:rsidR="005044CB" w:rsidRPr="00507A31" w:rsidRDefault="005044CB" w:rsidP="00507A31">
      <w:pPr>
        <w:jc w:val="both"/>
        <w:rPr>
          <w:color w:val="000000" w:themeColor="text1"/>
          <w:sz w:val="16"/>
          <w:szCs w:val="16"/>
        </w:rPr>
      </w:pPr>
      <w:r w:rsidRPr="00507A31">
        <w:rPr>
          <w:color w:val="000000" w:themeColor="text1"/>
          <w:sz w:val="16"/>
          <w:szCs w:val="16"/>
        </w:rPr>
        <w:t>6. Особое внимание уделялось вредителями на задержку развертывания инструментального цеха и на снабжение цехов приспособлениями.</w:t>
      </w:r>
    </w:p>
    <w:p w14:paraId="61AD7029" w14:textId="77777777" w:rsidR="005044CB" w:rsidRPr="00507A31" w:rsidRDefault="005044CB" w:rsidP="00507A31">
      <w:pPr>
        <w:jc w:val="both"/>
        <w:rPr>
          <w:color w:val="000000" w:themeColor="text1"/>
          <w:sz w:val="16"/>
          <w:szCs w:val="16"/>
        </w:rPr>
      </w:pPr>
      <w:r w:rsidRPr="00507A31">
        <w:rPr>
          <w:color w:val="000000" w:themeColor="text1"/>
          <w:sz w:val="16"/>
          <w:szCs w:val="16"/>
        </w:rPr>
        <w:t>Вредительство в мобготовности</w:t>
      </w:r>
    </w:p>
    <w:p w14:paraId="55B4AE22" w14:textId="77777777" w:rsidR="005044CB" w:rsidRPr="00507A31" w:rsidRDefault="005044CB" w:rsidP="00507A31">
      <w:pPr>
        <w:jc w:val="both"/>
        <w:rPr>
          <w:color w:val="000000" w:themeColor="text1"/>
          <w:sz w:val="16"/>
          <w:szCs w:val="16"/>
        </w:rPr>
      </w:pPr>
      <w:r w:rsidRPr="00507A31">
        <w:rPr>
          <w:color w:val="000000" w:themeColor="text1"/>
          <w:sz w:val="16"/>
          <w:szCs w:val="16"/>
        </w:rPr>
        <w:t>1. Завод просчитал свои мощности как для работы в одну смену, так и для работы в две — значительно меньше. Сбалансирования цехов не было. Избыточными являлись — литейная, термическая и сборочная.</w:t>
      </w:r>
    </w:p>
    <w:p w14:paraId="0F893502" w14:textId="77777777" w:rsidR="005044CB" w:rsidRPr="00507A31" w:rsidRDefault="005044CB" w:rsidP="00507A31">
      <w:pPr>
        <w:jc w:val="both"/>
        <w:rPr>
          <w:color w:val="000000" w:themeColor="text1"/>
          <w:sz w:val="16"/>
          <w:szCs w:val="16"/>
        </w:rPr>
      </w:pPr>
      <w:r w:rsidRPr="00507A31">
        <w:rPr>
          <w:color w:val="000000" w:themeColor="text1"/>
          <w:sz w:val="16"/>
          <w:szCs w:val="16"/>
        </w:rPr>
        <w:t>2. Производство учебных моторов М</w:t>
      </w:r>
      <w:r w:rsidRPr="00507A31">
        <w:rPr>
          <w:color w:val="000000" w:themeColor="text1"/>
          <w:sz w:val="16"/>
          <w:szCs w:val="16"/>
        </w:rPr>
        <w:noBreakHyphen/>
        <w:t>12 было организовано таким образом, что первый мотор должен был выйти на станок только через 2 года.</w:t>
      </w:r>
    </w:p>
    <w:p w14:paraId="1DC33B5C" w14:textId="77777777" w:rsidR="005044CB" w:rsidRPr="00507A31" w:rsidRDefault="005044CB" w:rsidP="00507A31">
      <w:pPr>
        <w:jc w:val="both"/>
        <w:rPr>
          <w:color w:val="000000" w:themeColor="text1"/>
          <w:sz w:val="16"/>
          <w:szCs w:val="16"/>
        </w:rPr>
      </w:pPr>
      <w:r w:rsidRPr="00507A31">
        <w:rPr>
          <w:color w:val="000000" w:themeColor="text1"/>
          <w:sz w:val="16"/>
          <w:szCs w:val="16"/>
        </w:rPr>
        <w:t>3. В мобплан был введен не существующий в производстве мотор М</w:t>
      </w:r>
      <w:r w:rsidRPr="00507A31">
        <w:rPr>
          <w:color w:val="000000" w:themeColor="text1"/>
          <w:sz w:val="16"/>
          <w:szCs w:val="16"/>
        </w:rPr>
        <w:noBreakHyphen/>
        <w:t>22; таким образом, в случае развертывания производства пуск других моторов не был просчитан (М</w:t>
      </w:r>
      <w:r w:rsidRPr="00507A31">
        <w:rPr>
          <w:color w:val="000000" w:themeColor="text1"/>
          <w:sz w:val="16"/>
          <w:szCs w:val="16"/>
        </w:rPr>
        <w:noBreakHyphen/>
        <w:t>6 и т. п.).</w:t>
      </w:r>
    </w:p>
    <w:p w14:paraId="65C903A6" w14:textId="77777777" w:rsidR="005044CB" w:rsidRPr="00507A31" w:rsidRDefault="005044CB" w:rsidP="00507A31">
      <w:pPr>
        <w:jc w:val="both"/>
        <w:rPr>
          <w:color w:val="000000" w:themeColor="text1"/>
          <w:sz w:val="16"/>
          <w:szCs w:val="16"/>
        </w:rPr>
      </w:pPr>
      <w:r w:rsidRPr="00507A31">
        <w:rPr>
          <w:color w:val="000000" w:themeColor="text1"/>
          <w:sz w:val="16"/>
          <w:szCs w:val="16"/>
        </w:rPr>
        <w:t>Вредительство с мотором М-12</w:t>
      </w:r>
    </w:p>
    <w:p w14:paraId="6B9DDF3A" w14:textId="77777777" w:rsidR="005044CB" w:rsidRPr="00507A31" w:rsidRDefault="005044CB" w:rsidP="00507A31">
      <w:pPr>
        <w:pStyle w:val="rtejustify"/>
        <w:spacing w:before="0" w:after="0"/>
        <w:rPr>
          <w:color w:val="000000" w:themeColor="text1"/>
          <w:sz w:val="16"/>
          <w:szCs w:val="16"/>
        </w:rPr>
      </w:pPr>
      <w:r w:rsidRPr="00507A31">
        <w:rPr>
          <w:color w:val="000000" w:themeColor="text1"/>
          <w:sz w:val="16"/>
          <w:szCs w:val="16"/>
        </w:rPr>
        <w:t xml:space="preserve">1. Была умышленно создана волокита </w:t>
      </w:r>
      <w:r w:rsidRPr="00507A31">
        <w:rPr>
          <w:rStyle w:val="af0"/>
          <w:i w:val="0"/>
          <w:color w:val="000000" w:themeColor="text1"/>
          <w:sz w:val="16"/>
          <w:szCs w:val="16"/>
        </w:rPr>
        <w:t>с</w:t>
      </w:r>
      <w:r w:rsidRPr="00507A31">
        <w:rPr>
          <w:color w:val="000000" w:themeColor="text1"/>
          <w:sz w:val="16"/>
          <w:szCs w:val="16"/>
        </w:rPr>
        <w:t xml:space="preserve"> получением и приемкой чертежей с требованием уточнения допусков, с требованием данных о качестве материала и т. п.; исключительная цель была оттянуть постройку мотора.</w:t>
      </w:r>
    </w:p>
    <w:p w14:paraId="2289B1CD" w14:textId="77777777" w:rsidR="005044CB" w:rsidRPr="00507A31" w:rsidRDefault="005044CB" w:rsidP="00507A31">
      <w:pPr>
        <w:pStyle w:val="rtejustify"/>
        <w:spacing w:before="0" w:after="0"/>
        <w:rPr>
          <w:color w:val="000000" w:themeColor="text1"/>
          <w:sz w:val="16"/>
          <w:szCs w:val="16"/>
        </w:rPr>
      </w:pPr>
      <w:r w:rsidRPr="00507A31">
        <w:rPr>
          <w:color w:val="000000" w:themeColor="text1"/>
          <w:sz w:val="16"/>
          <w:szCs w:val="16"/>
        </w:rPr>
        <w:t>2. Первый мотор, поставленный на испытание, его не прошел, так как коленчатый вал сломался; то же было со вторым и с третьим моторами, у которых вал был уже изменен в конструкции. Тогда провели постановление мотор снять со снабжения. Это обстоятельство внесло большое осложнение в производство завода № 29. Этих осложнений не было бы, если бы завод № 29 выполнил план 1927/28 г. и на 1 октября 1928 г. построил бы 10 пробных моторов М</w:t>
      </w:r>
      <w:r w:rsidRPr="00507A31">
        <w:rPr>
          <w:color w:val="000000" w:themeColor="text1"/>
          <w:sz w:val="16"/>
          <w:szCs w:val="16"/>
        </w:rPr>
        <w:noBreakHyphen/>
        <w:t>12.</w:t>
      </w:r>
    </w:p>
    <w:p w14:paraId="1776D786" w14:textId="77777777" w:rsidR="005044CB" w:rsidRPr="00507A31" w:rsidRDefault="005044CB" w:rsidP="00507A31">
      <w:pPr>
        <w:pStyle w:val="rtejustify"/>
        <w:spacing w:before="0" w:after="0"/>
        <w:rPr>
          <w:color w:val="000000" w:themeColor="text1"/>
          <w:sz w:val="16"/>
          <w:szCs w:val="16"/>
        </w:rPr>
      </w:pPr>
      <w:r w:rsidRPr="00507A31">
        <w:rPr>
          <w:color w:val="000000" w:themeColor="text1"/>
          <w:sz w:val="16"/>
          <w:szCs w:val="16"/>
        </w:rPr>
        <w:t>3. Знали, что коленчатый вал слаб. Этот мотор не прошел длительных испытаний в НИИ, так как коленчатый вал сломался. Стали доказывать, что вал сломался только потому, что материал плохого качества, после чего пустили мотор в серию; никого не смутило и то обстоятельство, что в серию дали вал переконструированный. Вредительство в данном случае следующее: ставят на снабжение мотор с заведомо слабой конструкцией коленчатого вала и производственно выясняют негодность конструкции очень поздно.</w:t>
      </w:r>
    </w:p>
    <w:p w14:paraId="4536DF2F" w14:textId="77777777" w:rsidR="005044CB" w:rsidRPr="00507A31" w:rsidRDefault="005044CB" w:rsidP="00507A31">
      <w:pPr>
        <w:pStyle w:val="ae"/>
        <w:spacing w:before="0" w:after="0"/>
        <w:jc w:val="both"/>
        <w:rPr>
          <w:color w:val="000000" w:themeColor="text1"/>
          <w:sz w:val="16"/>
          <w:szCs w:val="16"/>
        </w:rPr>
      </w:pPr>
      <w:r w:rsidRPr="00507A31">
        <w:rPr>
          <w:rStyle w:val="af0"/>
          <w:i w:val="0"/>
          <w:color w:val="000000" w:themeColor="text1"/>
          <w:sz w:val="16"/>
          <w:szCs w:val="16"/>
        </w:rPr>
        <w:t>Председатель комиссии по ликвидации последствий вредительства Михайлов</w:t>
      </w:r>
    </w:p>
    <w:p w14:paraId="651CEE0E" w14:textId="77777777" w:rsidR="005044CB" w:rsidRPr="00507A31" w:rsidRDefault="005044CB"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21E58314" w14:textId="77777777" w:rsidR="005044CB" w:rsidRPr="00507A31" w:rsidRDefault="005044CB"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xml:space="preserve">* В протоколе № 3 </w:t>
      </w:r>
      <w:r w:rsidRPr="00507A31">
        <w:rPr>
          <w:rStyle w:val="af0"/>
          <w:i w:val="0"/>
          <w:color w:val="000000" w:themeColor="text1"/>
          <w:sz w:val="16"/>
          <w:szCs w:val="16"/>
        </w:rPr>
        <w:t>заседания комиссии по ликвидации последствий вредительства на заводе № 29</w:t>
      </w:r>
      <w:r w:rsidRPr="00507A31">
        <w:rPr>
          <w:color w:val="000000" w:themeColor="text1"/>
          <w:sz w:val="16"/>
          <w:szCs w:val="16"/>
        </w:rPr>
        <w:t xml:space="preserve"> при обсуждении письма о вредительских актах указывалось: «завод действительно был приспособлен и имел опыт по постройке двигателей блочных, водяного охлаждения. Опыт завода по постройке этих двигателей в достаточной мере не был использован, но ввиду того, что в настоящее время моторы с воздушным охлаждением пущены в производство и завод соответствующим образом переоборудуется и перепланируется, вопрос о прекращении постройки мотора с воздушным охлаждением и перехода вновь на производство с водяным охлаждением поставлен быть не может». Обсуждая строительные работы на территории завода, комиссия отметила, что некоторые цеха были построены до революции, для других использованы старые фундаменты и стены. В целом констатировалось, что для программы 1930/31 производственного года площадей и оборудования вполне достаточно, но для выполнения задания по мобплану помещений будет не хватать. Была также создана комиссия для «проверки рациональности вводимых переделок и определения пропускной способности испытательной станции». Что касается качества, то комиссия отметила, что «на заводе плохо поставлено изучение технологического процесса брака по причине недостаточности техперсонала», обратила внимание на «ненормальные взаимоотношения между инженерами литейного цеха, выражающиеся в скрытии достижений по литью друг перед другом», а также на «невнимательное отношение к проверке выпускаемых чертежей в техническом отделе». Вопросы о вредительстве решено было обсудить позднее на специальном заседании комиссии. (РГАЭ. Ф. 8828. Оп. 1. Д. 561. Л. 13</w:t>
      </w:r>
      <w:r w:rsidRPr="00507A31">
        <w:rPr>
          <w:color w:val="000000" w:themeColor="text1"/>
          <w:sz w:val="16"/>
          <w:szCs w:val="16"/>
        </w:rPr>
        <w:noBreakHyphen/>
        <w:t>15 об.)</w:t>
      </w:r>
    </w:p>
    <w:p w14:paraId="7CE250A2" w14:textId="77777777" w:rsidR="005044CB" w:rsidRPr="00507A31" w:rsidRDefault="005044CB" w:rsidP="00507A31">
      <w:pPr>
        <w:pStyle w:val="ae"/>
        <w:spacing w:before="0" w:after="0"/>
        <w:jc w:val="both"/>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Датировано по входящему штампу.</w:t>
      </w:r>
    </w:p>
    <w:p w14:paraId="113C43CD" w14:textId="77777777" w:rsidR="005044CB" w:rsidRPr="00507A31" w:rsidRDefault="005044CB" w:rsidP="00507A31">
      <w:pPr>
        <w:pStyle w:val="ae"/>
        <w:spacing w:before="0" w:after="0"/>
        <w:jc w:val="both"/>
        <w:rPr>
          <w:color w:val="000000" w:themeColor="text1"/>
          <w:sz w:val="16"/>
          <w:szCs w:val="16"/>
        </w:rPr>
      </w:pPr>
      <w:r w:rsidRPr="00507A31">
        <w:rPr>
          <w:color w:val="000000" w:themeColor="text1"/>
          <w:sz w:val="16"/>
          <w:szCs w:val="16"/>
        </w:rPr>
        <w:t>РГАЭ. Ф. 8328. Оп. 1. Д. 564. Л. 23—25. Подлинник.</w:t>
      </w:r>
    </w:p>
    <w:p w14:paraId="5001C725" w14:textId="77777777" w:rsidR="005044CB" w:rsidRPr="00507A31" w:rsidRDefault="005044CB" w:rsidP="00507A31">
      <w:pPr>
        <w:jc w:val="both"/>
        <w:rPr>
          <w:color w:val="000000" w:themeColor="text1"/>
          <w:sz w:val="16"/>
          <w:szCs w:val="16"/>
        </w:rPr>
      </w:pPr>
      <w:r w:rsidRPr="00507A31">
        <w:rPr>
          <w:color w:val="000000" w:themeColor="text1"/>
          <w:sz w:val="16"/>
          <w:szCs w:val="16"/>
        </w:rPr>
        <w:t xml:space="preserve">Архив: РГАЭ. Ф. 8328. Оп. 1. Д. 564. Л. 23—25. Подлинник. </w:t>
      </w:r>
    </w:p>
    <w:p w14:paraId="6F41AEB4" w14:textId="77777777" w:rsidR="005044CB" w:rsidRPr="00507A31" w:rsidRDefault="005044CB"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485-487 (12511).</w:t>
      </w:r>
    </w:p>
    <w:p w14:paraId="45D82E8B" w14:textId="77777777" w:rsidR="005044CB" w:rsidRPr="00507A31" w:rsidRDefault="005044CB" w:rsidP="00507A31">
      <w:pPr>
        <w:jc w:val="both"/>
        <w:rPr>
          <w:color w:val="000000" w:themeColor="text1"/>
          <w:sz w:val="16"/>
          <w:szCs w:val="16"/>
        </w:rPr>
      </w:pPr>
    </w:p>
    <w:p w14:paraId="117E6DC7" w14:textId="77777777" w:rsidR="005044CB" w:rsidRPr="00507A31" w:rsidRDefault="00AC735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A46389F" w14:textId="77777777" w:rsidR="005044CB" w:rsidRPr="00507A31" w:rsidRDefault="005044CB" w:rsidP="00507A31">
      <w:pPr>
        <w:shd w:val="clear" w:color="auto" w:fill="FFFFFF"/>
        <w:autoSpaceDE w:val="0"/>
        <w:autoSpaceDN w:val="0"/>
        <w:adjustRightInd w:val="0"/>
        <w:jc w:val="both"/>
        <w:rPr>
          <w:iCs/>
          <w:color w:val="000000" w:themeColor="text1"/>
          <w:sz w:val="16"/>
          <w:szCs w:val="16"/>
        </w:rPr>
      </w:pPr>
    </w:p>
    <w:p w14:paraId="32F6F0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июля 1930 г. 45-мм пушка Соколова была опробована на танке Т-12 (10733,91).</w:t>
      </w:r>
    </w:p>
    <w:p w14:paraId="4679DA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BCCD3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июля 1930 прошло опробование 45-мм пушки Соколова на танке Т-12. Пушка была подана в июне (4243,21).</w:t>
      </w:r>
    </w:p>
    <w:p w14:paraId="0BD6EED6" w14:textId="77777777" w:rsidR="00537E5F" w:rsidRPr="00507A31" w:rsidRDefault="00537E5F" w:rsidP="00507A31">
      <w:pPr>
        <w:autoSpaceDE w:val="0"/>
        <w:autoSpaceDN w:val="0"/>
        <w:adjustRightInd w:val="0"/>
        <w:jc w:val="both"/>
        <w:rPr>
          <w:color w:val="000000" w:themeColor="text1"/>
          <w:sz w:val="16"/>
          <w:szCs w:val="16"/>
        </w:rPr>
      </w:pPr>
    </w:p>
    <w:p w14:paraId="4F9548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июля 1930 года была проведена первая пробная стрельба из 45-мм пушки конструкции Соколова, установленной в башне танка Т-12 (10710).</w:t>
      </w:r>
    </w:p>
    <w:p w14:paraId="2CFC0EC6" w14:textId="77777777" w:rsidR="00537E5F" w:rsidRPr="00507A31" w:rsidRDefault="00537E5F" w:rsidP="00507A31">
      <w:pPr>
        <w:autoSpaceDE w:val="0"/>
        <w:autoSpaceDN w:val="0"/>
        <w:adjustRightInd w:val="0"/>
        <w:jc w:val="both"/>
        <w:rPr>
          <w:iCs/>
          <w:color w:val="000000" w:themeColor="text1"/>
          <w:sz w:val="16"/>
          <w:szCs w:val="16"/>
        </w:rPr>
      </w:pPr>
    </w:p>
    <w:p w14:paraId="5CCF8909" w14:textId="77777777" w:rsidR="003F54B4" w:rsidRPr="00507A31" w:rsidRDefault="003F54B4" w:rsidP="00507A31">
      <w:pPr>
        <w:jc w:val="both"/>
        <w:rPr>
          <w:color w:val="000000" w:themeColor="text1"/>
          <w:sz w:val="16"/>
          <w:szCs w:val="16"/>
          <w:shd w:val="clear" w:color="auto" w:fill="FFFFFF"/>
        </w:rPr>
      </w:pPr>
      <w:r w:rsidRPr="00507A31">
        <w:rPr>
          <w:color w:val="000000" w:themeColor="text1"/>
          <w:sz w:val="16"/>
          <w:szCs w:val="16"/>
          <w:shd w:val="clear" w:color="auto" w:fill="FFFFFF"/>
        </w:rPr>
        <w:t>12 июля 1930 г. проходило опробование на Т-12 года 45-мм пушки Соколова (19553).</w:t>
      </w:r>
    </w:p>
    <w:p w14:paraId="20C90692" w14:textId="77777777" w:rsidR="003F54B4" w:rsidRPr="00507A31" w:rsidRDefault="003F54B4" w:rsidP="00507A31">
      <w:pPr>
        <w:jc w:val="both"/>
        <w:rPr>
          <w:color w:val="000000" w:themeColor="text1"/>
          <w:sz w:val="16"/>
          <w:szCs w:val="16"/>
          <w:shd w:val="clear" w:color="auto" w:fill="FFFFFF"/>
        </w:rPr>
      </w:pPr>
    </w:p>
    <w:p w14:paraId="5B0DE2E2" w14:textId="77777777" w:rsidR="005044CB" w:rsidRPr="00507A31" w:rsidRDefault="005044CB" w:rsidP="00507A31">
      <w:pPr>
        <w:jc w:val="both"/>
        <w:rPr>
          <w:color w:val="000000" w:themeColor="text1"/>
          <w:sz w:val="16"/>
          <w:szCs w:val="16"/>
        </w:rPr>
      </w:pPr>
      <w:r w:rsidRPr="00507A31">
        <w:rPr>
          <w:color w:val="000000" w:themeColor="text1"/>
          <w:sz w:val="16"/>
          <w:szCs w:val="16"/>
        </w:rPr>
        <w:t>12 июля 1930 состоялись стрельбы из 45-мм пушки танка. Испытания Т-12 продлились до середины августа 1930 г., по результатам которых он был рекомендован для принятия на вооружение с учетом устранения выявленных недостатков. Всего по докладу начальника испытательной группы С.А. Гинзбурга на производственном совещании НТК УММ РККА 13 августа 1930 г. было отмечено 37 недостатков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3EC5DBC2" w14:textId="77777777" w:rsidR="005044CB" w:rsidRPr="00507A31" w:rsidRDefault="005044CB" w:rsidP="00507A31">
      <w:pPr>
        <w:jc w:val="both"/>
        <w:rPr>
          <w:color w:val="000000" w:themeColor="text1"/>
          <w:sz w:val="16"/>
          <w:szCs w:val="16"/>
        </w:rPr>
      </w:pPr>
    </w:p>
    <w:p w14:paraId="478C6B4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0FC7FC5" w14:textId="77777777" w:rsidR="00537E5F" w:rsidRPr="00507A31" w:rsidRDefault="00537E5F" w:rsidP="00507A31">
      <w:pPr>
        <w:autoSpaceDE w:val="0"/>
        <w:autoSpaceDN w:val="0"/>
        <w:adjustRightInd w:val="0"/>
        <w:jc w:val="both"/>
        <w:rPr>
          <w:iCs/>
          <w:color w:val="000000" w:themeColor="text1"/>
          <w:sz w:val="16"/>
          <w:szCs w:val="16"/>
        </w:rPr>
      </w:pPr>
    </w:p>
    <w:p w14:paraId="21BEA7D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13 июля по 13 августа 1930 года состоялись гос. испытания самолета И5-ЮVI (6943, 26).</w:t>
      </w:r>
    </w:p>
    <w:p w14:paraId="2A3AE0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прошел только летно-тактические испытания, вооружение и оборудование не испытано, так заводом была представлена машина без вооружения и оборудования (6943, 26).</w:t>
      </w:r>
    </w:p>
    <w:p w14:paraId="2FD169B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FD216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В период 13 июля - 13 августа 1930 г. И-5-2, построенный на заводе № 39 и именовавшийся И-5 «Клим Ворошилов», оснащенный двигателем «Юпитер» </w:t>
      </w:r>
      <w:r w:rsidRPr="00507A31">
        <w:rPr>
          <w:color w:val="000000" w:themeColor="text1"/>
          <w:sz w:val="16"/>
          <w:szCs w:val="16"/>
          <w:lang w:val="en-US"/>
        </w:rPr>
        <w:t>V</w:t>
      </w:r>
      <w:r w:rsidRPr="00507A31">
        <w:rPr>
          <w:color w:val="000000" w:themeColor="text1"/>
          <w:sz w:val="16"/>
          <w:szCs w:val="16"/>
        </w:rPr>
        <w:t>1 с индивидуальными обтекателями головок ци</w:t>
      </w:r>
      <w:r w:rsidRPr="00507A31">
        <w:rPr>
          <w:color w:val="000000" w:themeColor="text1"/>
          <w:sz w:val="16"/>
          <w:szCs w:val="16"/>
        </w:rPr>
        <w:softHyphen/>
        <w:t>линдров двигателя, испытания в НИИ ВВС велись В отчете по испытаниям, утвержденным началь</w:t>
      </w:r>
      <w:r w:rsidRPr="00507A31">
        <w:rPr>
          <w:color w:val="000000" w:themeColor="text1"/>
          <w:sz w:val="16"/>
          <w:szCs w:val="16"/>
        </w:rPr>
        <w:softHyphen/>
        <w:t>ником 2-й (истребительной) бригады НИИ ВВС И.Ф. Петровым отмечалось, что самолет послу</w:t>
      </w:r>
      <w:r w:rsidRPr="00507A31">
        <w:rPr>
          <w:color w:val="000000" w:themeColor="text1"/>
          <w:sz w:val="16"/>
          <w:szCs w:val="16"/>
        </w:rPr>
        <w:softHyphen/>
        <w:t>шен в управлении на всем диапазоне скоро</w:t>
      </w:r>
      <w:r w:rsidRPr="00507A31">
        <w:rPr>
          <w:color w:val="000000" w:themeColor="text1"/>
          <w:sz w:val="16"/>
          <w:szCs w:val="16"/>
        </w:rPr>
        <w:softHyphen/>
        <w:t>стей, отсутствует инертность, в воздухе устой</w:t>
      </w:r>
      <w:r w:rsidRPr="00507A31">
        <w:rPr>
          <w:color w:val="000000" w:themeColor="text1"/>
          <w:sz w:val="16"/>
          <w:szCs w:val="16"/>
        </w:rPr>
        <w:softHyphen/>
        <w:t>чиво держится во всех положениях. Проведенные воздушные бои показали значи</w:t>
      </w:r>
      <w:r w:rsidRPr="00507A31">
        <w:rPr>
          <w:color w:val="000000" w:themeColor="text1"/>
          <w:sz w:val="16"/>
          <w:szCs w:val="16"/>
        </w:rPr>
        <w:softHyphen/>
        <w:t>тельное его преимущество перед истребителя</w:t>
      </w:r>
      <w:r w:rsidRPr="00507A31">
        <w:rPr>
          <w:color w:val="000000" w:themeColor="text1"/>
          <w:sz w:val="16"/>
          <w:szCs w:val="16"/>
        </w:rPr>
        <w:softHyphen/>
        <w:t>ми И-3 и И-4, и незначительное преимущество по сравнению с французским истребителем СПад-51 (</w:t>
      </w:r>
      <w:r w:rsidRPr="00507A31">
        <w:rPr>
          <w:color w:val="000000" w:themeColor="text1"/>
          <w:sz w:val="16"/>
          <w:szCs w:val="16"/>
          <w:lang w:val="en-US"/>
        </w:rPr>
        <w:t>SPAD</w:t>
      </w:r>
      <w:r w:rsidRPr="00507A31">
        <w:rPr>
          <w:color w:val="000000" w:themeColor="text1"/>
          <w:sz w:val="16"/>
          <w:szCs w:val="16"/>
        </w:rPr>
        <w:t xml:space="preserve"> 51С1). Дополнительно в отно</w:t>
      </w:r>
      <w:r w:rsidRPr="00507A31">
        <w:rPr>
          <w:color w:val="000000" w:themeColor="text1"/>
          <w:sz w:val="16"/>
          <w:szCs w:val="16"/>
        </w:rPr>
        <w:softHyphen/>
        <w:t>шении И-5 указывалось, что он не требует больших аэродромов и не сложен в производ</w:t>
      </w:r>
      <w:r w:rsidRPr="00507A31">
        <w:rPr>
          <w:color w:val="000000" w:themeColor="text1"/>
          <w:sz w:val="16"/>
          <w:szCs w:val="16"/>
        </w:rPr>
        <w:softHyphen/>
        <w:t>стве. Третий опытный образец истребителя, из</w:t>
      </w:r>
      <w:r w:rsidRPr="00507A31">
        <w:rPr>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507A31">
        <w:rPr>
          <w:color w:val="000000" w:themeColor="text1"/>
          <w:sz w:val="16"/>
          <w:szCs w:val="16"/>
        </w:rPr>
        <w:softHyphen/>
        <w:t xml:space="preserve">ского капота типа </w:t>
      </w:r>
      <w:r w:rsidRPr="00507A31">
        <w:rPr>
          <w:color w:val="000000" w:themeColor="text1"/>
          <w:sz w:val="16"/>
          <w:szCs w:val="16"/>
          <w:lang w:val="en-US"/>
        </w:rPr>
        <w:t>NACA</w:t>
      </w:r>
      <w:r w:rsidRPr="00507A31">
        <w:rPr>
          <w:color w:val="000000" w:themeColor="text1"/>
          <w:sz w:val="16"/>
          <w:szCs w:val="16"/>
        </w:rPr>
        <w:t>. Особыми его внешни</w:t>
      </w:r>
      <w:r w:rsidRPr="00507A31">
        <w:rPr>
          <w:color w:val="000000" w:themeColor="text1"/>
          <w:sz w:val="16"/>
          <w:szCs w:val="16"/>
        </w:rPr>
        <w:softHyphen/>
        <w:t>ми отличиями были: надпись на борту фюзе</w:t>
      </w:r>
      <w:r w:rsidRPr="00507A31">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?ояьзования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507A31">
        <w:rPr>
          <w:color w:val="000000" w:themeColor="text1"/>
          <w:sz w:val="16"/>
          <w:szCs w:val="16"/>
        </w:rPr>
        <w:softHyphen/>
        <w:t>рота (11974).</w:t>
      </w:r>
    </w:p>
    <w:p w14:paraId="09C5924F" w14:textId="77777777" w:rsidR="00537E5F" w:rsidRPr="00507A31" w:rsidRDefault="00537E5F" w:rsidP="00507A31">
      <w:pPr>
        <w:autoSpaceDE w:val="0"/>
        <w:autoSpaceDN w:val="0"/>
        <w:adjustRightInd w:val="0"/>
        <w:jc w:val="both"/>
        <w:rPr>
          <w:color w:val="000000" w:themeColor="text1"/>
          <w:sz w:val="16"/>
          <w:szCs w:val="16"/>
        </w:rPr>
      </w:pPr>
    </w:p>
    <w:p w14:paraId="7B8A93DF" w14:textId="77777777" w:rsidR="005044CB" w:rsidRPr="00507A31" w:rsidRDefault="005044CB" w:rsidP="00507A31">
      <w:pPr>
        <w:jc w:val="both"/>
        <w:rPr>
          <w:color w:val="000000" w:themeColor="text1"/>
          <w:sz w:val="16"/>
          <w:szCs w:val="16"/>
        </w:rPr>
      </w:pPr>
      <w:r w:rsidRPr="00507A31">
        <w:rPr>
          <w:color w:val="000000" w:themeColor="text1"/>
          <w:sz w:val="16"/>
          <w:szCs w:val="16"/>
        </w:rPr>
        <w:t>В период 13 июля - 13 ав</w:t>
      </w:r>
      <w:r w:rsidRPr="00507A31">
        <w:rPr>
          <w:color w:val="000000" w:themeColor="text1"/>
          <w:sz w:val="16"/>
          <w:szCs w:val="16"/>
        </w:rPr>
        <w:softHyphen/>
        <w:t>густа 1930 г. в НИИ ВВС испфытали второй И-5 “Клим Ворошилов”. В отчете по испытаниям, утвер</w:t>
      </w:r>
      <w:r w:rsidRPr="00507A31">
        <w:rPr>
          <w:color w:val="000000" w:themeColor="text1"/>
          <w:sz w:val="16"/>
          <w:szCs w:val="16"/>
        </w:rPr>
        <w:softHyphen/>
        <w:t>жденным начальником 2-й (истребительной) бригады НИИ ВВС И.Ф. Петровым отмеча</w:t>
      </w:r>
      <w:r w:rsidRPr="00507A31">
        <w:rPr>
          <w:color w:val="000000" w:themeColor="text1"/>
          <w:sz w:val="16"/>
          <w:szCs w:val="16"/>
        </w:rPr>
        <w:softHyphen/>
        <w:t>лось, что самолет послушен в управлении на всем диапазоне скоростей, отсутствует инер</w:t>
      </w:r>
      <w:r w:rsidRPr="00507A31">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507A31">
        <w:rPr>
          <w:color w:val="000000" w:themeColor="text1"/>
          <w:sz w:val="16"/>
          <w:szCs w:val="16"/>
        </w:rPr>
        <w:softHyphen/>
        <w:t>тельное преимущество по сравнению с фран</w:t>
      </w:r>
      <w:r w:rsidRPr="00507A31">
        <w:rPr>
          <w:color w:val="000000" w:themeColor="text1"/>
          <w:sz w:val="16"/>
          <w:szCs w:val="16"/>
        </w:rPr>
        <w:softHyphen/>
        <w:t>цузским истребителем Спад-51 (5РА0 51С1). Дополнительно, в отношении И-5 указыва</w:t>
      </w:r>
      <w:r w:rsidRPr="00507A31">
        <w:rPr>
          <w:color w:val="000000" w:themeColor="text1"/>
          <w:sz w:val="16"/>
          <w:szCs w:val="16"/>
        </w:rPr>
        <w:softHyphen/>
        <w:t>лось, что он не требует больших аэродромов и не сложен в производстве (12295).</w:t>
      </w:r>
    </w:p>
    <w:p w14:paraId="0E57D48A" w14:textId="77777777" w:rsidR="005044CB" w:rsidRPr="00507A31" w:rsidRDefault="005044CB" w:rsidP="00507A31">
      <w:pPr>
        <w:jc w:val="both"/>
        <w:rPr>
          <w:color w:val="000000" w:themeColor="text1"/>
          <w:sz w:val="16"/>
          <w:szCs w:val="16"/>
        </w:rPr>
      </w:pPr>
    </w:p>
    <w:p w14:paraId="5A8175CB" w14:textId="77777777" w:rsidR="003E580A" w:rsidRPr="00507A31" w:rsidRDefault="003E580A" w:rsidP="00507A31">
      <w:pPr>
        <w:jc w:val="both"/>
        <w:rPr>
          <w:color w:val="000000" w:themeColor="text1"/>
          <w:sz w:val="16"/>
          <w:szCs w:val="16"/>
        </w:rPr>
      </w:pPr>
      <w:r w:rsidRPr="00507A31">
        <w:rPr>
          <w:color w:val="000000" w:themeColor="text1"/>
          <w:sz w:val="16"/>
          <w:szCs w:val="16"/>
        </w:rPr>
        <w:t>13 июля в 1930 году закрывается XVI съезд Всесоюзной коммунистической партии (большевиков). Проходил в Москве с 26 июня по 13 июля 1930. На Съезде присутствовало 2159 делегатов, из их: 1268 делегатов с решающим и 891 с совещательным голосом. Делегаты ХVI съезда ВКП(б), 1930 г.</w:t>
      </w:r>
    </w:p>
    <w:p w14:paraId="3390C769" w14:textId="77777777" w:rsidR="003E580A" w:rsidRPr="00507A31" w:rsidRDefault="003E580A" w:rsidP="00507A31">
      <w:pPr>
        <w:jc w:val="both"/>
        <w:rPr>
          <w:color w:val="000000" w:themeColor="text1"/>
          <w:sz w:val="16"/>
          <w:szCs w:val="16"/>
        </w:rPr>
      </w:pPr>
      <w:r w:rsidRPr="00507A31">
        <w:rPr>
          <w:color w:val="000000" w:themeColor="text1"/>
          <w:sz w:val="16"/>
          <w:szCs w:val="16"/>
        </w:rPr>
        <w:t>Порядок дня</w:t>
      </w:r>
    </w:p>
    <w:p w14:paraId="543ED8BE" w14:textId="77777777" w:rsidR="003E580A" w:rsidRPr="00507A31" w:rsidRDefault="003E580A" w:rsidP="00507A31">
      <w:pPr>
        <w:jc w:val="both"/>
        <w:rPr>
          <w:color w:val="000000" w:themeColor="text1"/>
          <w:sz w:val="16"/>
          <w:szCs w:val="16"/>
        </w:rPr>
      </w:pPr>
      <w:r w:rsidRPr="00507A31">
        <w:rPr>
          <w:color w:val="000000" w:themeColor="text1"/>
          <w:sz w:val="16"/>
          <w:szCs w:val="16"/>
        </w:rPr>
        <w:t>1. Политический отчёт ЦК (И.В.Сталин)</w:t>
      </w:r>
    </w:p>
    <w:p w14:paraId="0A0DC373" w14:textId="77777777" w:rsidR="003E580A" w:rsidRPr="00507A31" w:rsidRDefault="003E580A" w:rsidP="00507A31">
      <w:pPr>
        <w:jc w:val="both"/>
        <w:rPr>
          <w:color w:val="000000" w:themeColor="text1"/>
          <w:sz w:val="16"/>
          <w:szCs w:val="16"/>
        </w:rPr>
      </w:pPr>
      <w:r w:rsidRPr="00507A31">
        <w:rPr>
          <w:color w:val="000000" w:themeColor="text1"/>
          <w:sz w:val="16"/>
          <w:szCs w:val="16"/>
        </w:rPr>
        <w:t>Сталин призвал выполнить пятилетку в четыре года и назвал главные задачи развития страны.</w:t>
      </w:r>
    </w:p>
    <w:p w14:paraId="4D0FBEC3" w14:textId="77777777" w:rsidR="003E580A" w:rsidRPr="00507A31" w:rsidRDefault="003E580A" w:rsidP="00507A31">
      <w:pPr>
        <w:jc w:val="both"/>
        <w:rPr>
          <w:color w:val="000000" w:themeColor="text1"/>
          <w:sz w:val="16"/>
          <w:szCs w:val="16"/>
        </w:rPr>
      </w:pPr>
      <w:r w:rsidRPr="00507A31">
        <w:rPr>
          <w:color w:val="000000" w:themeColor="text1"/>
          <w:sz w:val="16"/>
          <w:szCs w:val="16"/>
        </w:rPr>
        <w:t>Первое. Создание на Востоке второй угольно-металлургической базы, в рамках чего должны были быть возведены металлургические комбинаты на Урале и в Кузбассе. Освоен Кузбасс, построены тракторный завод в Челябинске, машиностроительный в Свердловске, автомобильный в Нижнем Новгороде, комбайновые в Новосибирске и Саратове и т. д.</w:t>
      </w:r>
    </w:p>
    <w:p w14:paraId="70160A37" w14:textId="77777777" w:rsidR="003E580A" w:rsidRPr="00507A31" w:rsidRDefault="003E580A" w:rsidP="00507A31">
      <w:pPr>
        <w:jc w:val="both"/>
        <w:rPr>
          <w:color w:val="000000" w:themeColor="text1"/>
          <w:sz w:val="16"/>
          <w:szCs w:val="16"/>
        </w:rPr>
      </w:pPr>
      <w:r w:rsidRPr="00507A31">
        <w:rPr>
          <w:color w:val="000000" w:themeColor="text1"/>
          <w:sz w:val="16"/>
          <w:szCs w:val="16"/>
        </w:rPr>
        <w:t>Второе. Создание крупных сельскохозяйственных предприятий.</w:t>
      </w:r>
    </w:p>
    <w:p w14:paraId="1892D5D8" w14:textId="77777777" w:rsidR="003E580A" w:rsidRPr="00507A31" w:rsidRDefault="003E580A" w:rsidP="00507A31">
      <w:pPr>
        <w:jc w:val="both"/>
        <w:rPr>
          <w:color w:val="000000" w:themeColor="text1"/>
          <w:sz w:val="16"/>
          <w:szCs w:val="16"/>
        </w:rPr>
      </w:pPr>
      <w:r w:rsidRPr="00507A31">
        <w:rPr>
          <w:color w:val="000000" w:themeColor="text1"/>
          <w:sz w:val="16"/>
          <w:szCs w:val="16"/>
        </w:rPr>
        <w:t>Третье. Решение кадровой проблемы.</w:t>
      </w:r>
    </w:p>
    <w:p w14:paraId="54228EAB" w14:textId="77777777" w:rsidR="003E580A" w:rsidRPr="00507A31" w:rsidRDefault="003E580A" w:rsidP="00507A31">
      <w:pPr>
        <w:jc w:val="both"/>
        <w:rPr>
          <w:color w:val="000000" w:themeColor="text1"/>
          <w:sz w:val="16"/>
          <w:szCs w:val="16"/>
        </w:rPr>
      </w:pPr>
      <w:r w:rsidRPr="00507A31">
        <w:rPr>
          <w:color w:val="000000" w:themeColor="text1"/>
          <w:sz w:val="16"/>
          <w:szCs w:val="16"/>
        </w:rPr>
        <w:t>Четвертое. Борьба с бюрократией.</w:t>
      </w:r>
    </w:p>
    <w:p w14:paraId="4CC80FBC" w14:textId="77777777" w:rsidR="003E580A" w:rsidRPr="00507A31" w:rsidRDefault="003E580A" w:rsidP="00507A31">
      <w:pPr>
        <w:jc w:val="both"/>
        <w:rPr>
          <w:color w:val="000000" w:themeColor="text1"/>
          <w:sz w:val="16"/>
          <w:szCs w:val="16"/>
        </w:rPr>
      </w:pPr>
      <w:r w:rsidRPr="00507A31">
        <w:rPr>
          <w:color w:val="000000" w:themeColor="text1"/>
          <w:sz w:val="16"/>
          <w:szCs w:val="16"/>
        </w:rPr>
        <w:t>Пятое. Систематическое повышение производительности труда.</w:t>
      </w:r>
    </w:p>
    <w:p w14:paraId="3210826E" w14:textId="77777777" w:rsidR="003E580A" w:rsidRPr="00507A31" w:rsidRDefault="003E580A" w:rsidP="00507A31">
      <w:pPr>
        <w:jc w:val="both"/>
        <w:rPr>
          <w:color w:val="000000" w:themeColor="text1"/>
          <w:sz w:val="16"/>
          <w:szCs w:val="16"/>
        </w:rPr>
      </w:pPr>
      <w:r w:rsidRPr="00507A31">
        <w:rPr>
          <w:color w:val="000000" w:themeColor="text1"/>
          <w:sz w:val="16"/>
          <w:szCs w:val="16"/>
        </w:rPr>
        <w:t>Шестое. Проблема снабжения.</w:t>
      </w:r>
    </w:p>
    <w:p w14:paraId="3E68755A" w14:textId="77777777" w:rsidR="003E580A" w:rsidRPr="00507A31" w:rsidRDefault="003E580A" w:rsidP="00507A31">
      <w:pPr>
        <w:jc w:val="both"/>
        <w:rPr>
          <w:color w:val="000000" w:themeColor="text1"/>
          <w:sz w:val="16"/>
          <w:szCs w:val="16"/>
        </w:rPr>
      </w:pPr>
      <w:r w:rsidRPr="00507A31">
        <w:rPr>
          <w:color w:val="000000" w:themeColor="text1"/>
          <w:sz w:val="16"/>
          <w:szCs w:val="16"/>
        </w:rPr>
        <w:t>Седьмое. Упорядочение всего кредитного дела.</w:t>
      </w:r>
    </w:p>
    <w:p w14:paraId="486ACACC" w14:textId="77777777" w:rsidR="003E580A" w:rsidRPr="00507A31" w:rsidRDefault="003E580A" w:rsidP="00507A31">
      <w:pPr>
        <w:jc w:val="both"/>
        <w:rPr>
          <w:color w:val="000000" w:themeColor="text1"/>
          <w:sz w:val="16"/>
          <w:szCs w:val="16"/>
        </w:rPr>
      </w:pPr>
      <w:r w:rsidRPr="00507A31">
        <w:rPr>
          <w:color w:val="000000" w:themeColor="text1"/>
          <w:sz w:val="16"/>
          <w:szCs w:val="16"/>
        </w:rPr>
        <w:t>Восьмое. Создание «солидных» резервов.</w:t>
      </w:r>
    </w:p>
    <w:p w14:paraId="43F2CA6D" w14:textId="77777777" w:rsidR="003E580A" w:rsidRPr="00507A31" w:rsidRDefault="003E580A" w:rsidP="00507A31">
      <w:pPr>
        <w:jc w:val="both"/>
        <w:rPr>
          <w:color w:val="000000" w:themeColor="text1"/>
          <w:sz w:val="16"/>
          <w:szCs w:val="16"/>
        </w:rPr>
      </w:pPr>
      <w:r w:rsidRPr="00507A31">
        <w:rPr>
          <w:color w:val="000000" w:themeColor="text1"/>
          <w:sz w:val="16"/>
          <w:szCs w:val="16"/>
        </w:rPr>
        <w:t>2. Организационный отчёт ЦК (Л.М.Каганович)</w:t>
      </w:r>
    </w:p>
    <w:p w14:paraId="544C9B07" w14:textId="77777777" w:rsidR="003E580A" w:rsidRPr="00507A31" w:rsidRDefault="003E580A" w:rsidP="00507A31">
      <w:pPr>
        <w:jc w:val="both"/>
        <w:rPr>
          <w:color w:val="000000" w:themeColor="text1"/>
          <w:sz w:val="16"/>
          <w:szCs w:val="16"/>
        </w:rPr>
      </w:pPr>
      <w:r w:rsidRPr="00507A31">
        <w:rPr>
          <w:color w:val="000000" w:themeColor="text1"/>
          <w:sz w:val="16"/>
          <w:szCs w:val="16"/>
        </w:rPr>
        <w:t>3. Отчётный доклад Центральной ревизионной комиссии (М.Ф.Владимирский)</w:t>
      </w:r>
    </w:p>
    <w:p w14:paraId="19E436CF" w14:textId="77777777" w:rsidR="003E580A" w:rsidRPr="00507A31" w:rsidRDefault="003E580A" w:rsidP="00507A31">
      <w:pPr>
        <w:jc w:val="both"/>
        <w:rPr>
          <w:color w:val="000000" w:themeColor="text1"/>
          <w:sz w:val="16"/>
          <w:szCs w:val="16"/>
        </w:rPr>
      </w:pPr>
      <w:r w:rsidRPr="00507A31">
        <w:rPr>
          <w:color w:val="000000" w:themeColor="text1"/>
          <w:sz w:val="16"/>
          <w:szCs w:val="16"/>
        </w:rPr>
        <w:t>4. Отчёт Центральной контрольной комиссии (Г.К.Орджоникидзе)</w:t>
      </w:r>
    </w:p>
    <w:p w14:paraId="63175FD0" w14:textId="77777777" w:rsidR="003E580A" w:rsidRPr="00507A31" w:rsidRDefault="003E580A" w:rsidP="00507A31">
      <w:pPr>
        <w:jc w:val="both"/>
        <w:rPr>
          <w:color w:val="000000" w:themeColor="text1"/>
          <w:sz w:val="16"/>
          <w:szCs w:val="16"/>
        </w:rPr>
      </w:pPr>
      <w:r w:rsidRPr="00507A31">
        <w:rPr>
          <w:color w:val="000000" w:themeColor="text1"/>
          <w:sz w:val="16"/>
          <w:szCs w:val="16"/>
        </w:rPr>
        <w:t>5. Отчёт делегации ВКП(б) в ИККИ (В.М.Молотов)</w:t>
      </w:r>
    </w:p>
    <w:p w14:paraId="12C3ACBF" w14:textId="77777777" w:rsidR="003E580A" w:rsidRPr="00507A31" w:rsidRDefault="003E580A" w:rsidP="00507A31">
      <w:pPr>
        <w:jc w:val="both"/>
        <w:rPr>
          <w:color w:val="000000" w:themeColor="text1"/>
          <w:sz w:val="16"/>
          <w:szCs w:val="16"/>
        </w:rPr>
      </w:pPr>
      <w:r w:rsidRPr="00507A31">
        <w:rPr>
          <w:color w:val="000000" w:themeColor="text1"/>
          <w:sz w:val="16"/>
          <w:szCs w:val="16"/>
        </w:rPr>
        <w:t>6. Выполнение пятилетнего плана промышленности (В.В.Куйбышев)</w:t>
      </w:r>
    </w:p>
    <w:p w14:paraId="77C6CA5D" w14:textId="77777777" w:rsidR="003E580A" w:rsidRPr="00507A31" w:rsidRDefault="003E580A" w:rsidP="00507A31">
      <w:pPr>
        <w:jc w:val="both"/>
        <w:rPr>
          <w:color w:val="000000" w:themeColor="text1"/>
          <w:sz w:val="16"/>
          <w:szCs w:val="16"/>
        </w:rPr>
      </w:pPr>
      <w:r w:rsidRPr="00507A31">
        <w:rPr>
          <w:color w:val="000000" w:themeColor="text1"/>
          <w:sz w:val="16"/>
          <w:szCs w:val="16"/>
        </w:rPr>
        <w:t>7. Колхозное движение и подъём сельского хозяйства (Я.А.Яковлев)</w:t>
      </w:r>
    </w:p>
    <w:p w14:paraId="204E4DB8" w14:textId="77777777" w:rsidR="003E580A" w:rsidRPr="00507A31" w:rsidRDefault="003E580A" w:rsidP="00507A31">
      <w:pPr>
        <w:jc w:val="both"/>
        <w:rPr>
          <w:color w:val="000000" w:themeColor="text1"/>
          <w:sz w:val="16"/>
          <w:szCs w:val="16"/>
        </w:rPr>
      </w:pPr>
      <w:r w:rsidRPr="00507A31">
        <w:rPr>
          <w:color w:val="000000" w:themeColor="text1"/>
          <w:sz w:val="16"/>
          <w:szCs w:val="16"/>
        </w:rPr>
        <w:t>8. Задачи профсоюзов в реконструктивный период (Н.М.Шверник)</w:t>
      </w:r>
    </w:p>
    <w:p w14:paraId="7708501A" w14:textId="77777777" w:rsidR="003E580A" w:rsidRPr="00507A31" w:rsidRDefault="003E580A" w:rsidP="00507A31">
      <w:pPr>
        <w:jc w:val="both"/>
        <w:rPr>
          <w:color w:val="000000" w:themeColor="text1"/>
          <w:sz w:val="16"/>
          <w:szCs w:val="16"/>
        </w:rPr>
      </w:pPr>
      <w:r w:rsidRPr="00507A31">
        <w:rPr>
          <w:color w:val="000000" w:themeColor="text1"/>
          <w:sz w:val="16"/>
          <w:szCs w:val="16"/>
        </w:rPr>
        <w:t>9. Выборы центральных учреждений партии</w:t>
      </w:r>
    </w:p>
    <w:p w14:paraId="14F5E17F" w14:textId="77777777" w:rsidR="003E580A" w:rsidRPr="00507A31" w:rsidRDefault="003E580A" w:rsidP="00507A31">
      <w:pPr>
        <w:jc w:val="both"/>
        <w:rPr>
          <w:color w:val="000000" w:themeColor="text1"/>
          <w:sz w:val="16"/>
          <w:szCs w:val="16"/>
        </w:rPr>
      </w:pPr>
      <w:r w:rsidRPr="00507A31">
        <w:rPr>
          <w:color w:val="000000" w:themeColor="text1"/>
          <w:sz w:val="16"/>
          <w:szCs w:val="16"/>
        </w:rPr>
        <w:t>В отчётном докладе ЦК и в принятой по этому вопросу резолюции съезда был дан анализ международного и внутреннего положения СССР, определены основные задачи нового этапа строительства социализма. Успехи строительства социализма в деревне выразились в массовом колхозном движении. К съезду в основных зерновых районах колхозы объединяли 40–50% крестьянских хозяйств. Съезд одобрил переход к политике ликвидации кулачества как класса на основе сплошной коллективизации. Съезд отметил, что успешное социалистическое строительство обеспечивалось решительной борьбой на два фронта — против троцкизма и против правого уклона в ВКП(б). Съезд объявил взгляды правой оппозиции несовместимыми с принадлежностью к ВКП(б). Съезд обратил внимание на необходимость дальнейшего улучшения и удешевления государственного аппарата, поставил задачу продолжить чистку органов управления, усилить борьбу с бюрократизмом, добиться точного выполнения постановлений партии и правительства. Одобрив деятельность делегации ВКП(б) в Исполкоме Коминтерна, съезд отметил большие заслуги Коминтерна в разгроме троцкизма и правого оппортунизма, поддержал выработанные Коминтерном организационные мероприятия, направленные на очищение компартий от правых и «левых» оппортунистов. Заслушав и обсудив доклад о выполнении пятилетнего плана промышленности, съезд отметил, что партия добилась перевыполнения плановых показателей, и увеличил первоначальные намётки плана. Особое внимание обращалось на всемерный подъём тяжёлой индустрии, ускорение темпов развития чёрной и цветной металлургии, внедрение передовой технологии, производство новых машин и оборудования, необходимых для технической реконструкции всех отраслей хозяйства. Съезд принял решение создать в ближайшее время на востоке вторую угольно-металлургическую базу страны — Урало-Кузнецкий комбинат. Съезд предложил форсировать развитие тех отраслей промышленности, которые связаны с укреплением обороноспособности СССР. На съезде всесторонне рассматривался вопрос о колхозном движении. Поскольку в области коллективизации пятилетка была перевыполнена, съезд признал необходимым пересмотреть пятилетний план развития сельского хозяйства. Главная задача заключалась в завершении (в основном) социалистического преобразования деревни, в хозяйственном укреплении колхозов. По вопросу о профсоюзах съезд подчеркнул необходимость повышения их роли в социалистическом строительстве, определил их очередные задачи: развернуть соцсоревнование и движение ударничества, повысить квалификацию рабочих, бороться с косностью и бюрократизмом. Съезд выдвинул лозунг «Профсоюзы лицом к производству!» XVI съезд ВКП(б) вошёл в историю как съезд развёрнутого наступления социализма по всему фронту. Он дал установку на форсирование темпов создания материально-технической базы социализма, на ликвидацию всех капиталистических элементов в стране. На съезде избраны: Центральный Комитет: 71 член, 67 кандидатов в члены ВКП(б); Центральная ревизионная комиссия: 13 членов; Центральная Контрольная Комиссия: 187 членов.</w:t>
      </w:r>
    </w:p>
    <w:p w14:paraId="37D875EA" w14:textId="77777777" w:rsidR="003E580A" w:rsidRPr="00507A31" w:rsidRDefault="003E580A" w:rsidP="00507A31">
      <w:pPr>
        <w:jc w:val="both"/>
        <w:rPr>
          <w:color w:val="000000" w:themeColor="text1"/>
          <w:sz w:val="16"/>
          <w:szCs w:val="16"/>
        </w:rPr>
      </w:pPr>
      <w:r w:rsidRPr="00507A31">
        <w:rPr>
          <w:color w:val="000000" w:themeColor="text1"/>
          <w:sz w:val="16"/>
          <w:szCs w:val="16"/>
        </w:rPr>
        <w:t>Основной итог съезда:</w:t>
      </w:r>
    </w:p>
    <w:p w14:paraId="0630755E" w14:textId="77777777" w:rsidR="003E580A" w:rsidRPr="00507A31" w:rsidRDefault="003E580A" w:rsidP="00507A31">
      <w:pPr>
        <w:jc w:val="both"/>
        <w:rPr>
          <w:color w:val="000000" w:themeColor="text1"/>
          <w:sz w:val="16"/>
          <w:szCs w:val="16"/>
        </w:rPr>
      </w:pPr>
      <w:r w:rsidRPr="00507A31">
        <w:rPr>
          <w:color w:val="000000" w:themeColor="text1"/>
          <w:sz w:val="16"/>
          <w:szCs w:val="16"/>
        </w:rPr>
        <w:t>Съезд поручил добиться выполнения пятилетки в 4 года;</w:t>
      </w:r>
    </w:p>
    <w:p w14:paraId="0C134515" w14:textId="77777777" w:rsidR="003E580A" w:rsidRPr="00507A31" w:rsidRDefault="003E580A" w:rsidP="00507A31">
      <w:pPr>
        <w:jc w:val="both"/>
        <w:rPr>
          <w:color w:val="000000" w:themeColor="text1"/>
          <w:sz w:val="16"/>
          <w:szCs w:val="16"/>
        </w:rPr>
      </w:pPr>
      <w:r w:rsidRPr="00507A31">
        <w:rPr>
          <w:color w:val="000000" w:themeColor="text1"/>
          <w:sz w:val="16"/>
          <w:szCs w:val="16"/>
        </w:rPr>
        <w:t>Вошёл в историю как съезд развёрнутого наступления социализма;</w:t>
      </w:r>
    </w:p>
    <w:p w14:paraId="5A4DF75E" w14:textId="77777777" w:rsidR="003E580A" w:rsidRPr="00507A31" w:rsidRDefault="003E580A" w:rsidP="00507A31">
      <w:pPr>
        <w:jc w:val="both"/>
        <w:rPr>
          <w:color w:val="000000" w:themeColor="text1"/>
          <w:sz w:val="16"/>
          <w:szCs w:val="16"/>
        </w:rPr>
      </w:pPr>
      <w:r w:rsidRPr="00507A31">
        <w:rPr>
          <w:color w:val="000000" w:themeColor="text1"/>
          <w:sz w:val="16"/>
          <w:szCs w:val="16"/>
        </w:rPr>
        <w:t>Зафиксировал факт, что СССР превратился из аграрной страны в индустриально-колхозную социалистическую державу (14951).</w:t>
      </w:r>
    </w:p>
    <w:p w14:paraId="7C17A896" w14:textId="77777777" w:rsidR="003E580A" w:rsidRPr="00507A31" w:rsidRDefault="003E580A" w:rsidP="00507A31">
      <w:pPr>
        <w:jc w:val="both"/>
        <w:rPr>
          <w:color w:val="000000" w:themeColor="text1"/>
          <w:sz w:val="16"/>
          <w:szCs w:val="16"/>
        </w:rPr>
      </w:pPr>
    </w:p>
    <w:p w14:paraId="32AB81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июля 1930 г. первый полет на Д-2 с V-образным оперением выполнил летчик Козлов, после чего самолет несколько дней доводился, а затем поступил для продол</w:t>
      </w:r>
      <w:r w:rsidRPr="00507A31">
        <w:rPr>
          <w:color w:val="000000" w:themeColor="text1"/>
          <w:sz w:val="16"/>
          <w:szCs w:val="16"/>
        </w:rPr>
        <w:softHyphen/>
        <w:t>жения испытаний в НИИ ВВС. Здесь са</w:t>
      </w:r>
      <w:r w:rsidRPr="00507A31">
        <w:rPr>
          <w:color w:val="000000" w:themeColor="text1"/>
          <w:sz w:val="16"/>
          <w:szCs w:val="16"/>
        </w:rPr>
        <w:softHyphen/>
        <w:t>молет последовательно облетал и Бухгольц, Жуков и Писарснко. Интересно, что каких-либо отзывов о новом оперении оставлено не было; известно лишь, что Бухгольц улучшений в технике пилотирования само</w:t>
      </w:r>
      <w:r w:rsidRPr="00507A31">
        <w:rPr>
          <w:color w:val="000000" w:themeColor="text1"/>
          <w:sz w:val="16"/>
          <w:szCs w:val="16"/>
        </w:rPr>
        <w:softHyphen/>
        <w:t>лета не отметил. В целом самолет оцени</w:t>
      </w:r>
      <w:r w:rsidRPr="00507A31">
        <w:rPr>
          <w:color w:val="000000" w:themeColor="text1"/>
          <w:sz w:val="16"/>
          <w:szCs w:val="16"/>
        </w:rPr>
        <w:softHyphen/>
        <w:t>вался очень хорошо, - как полноценный боевой аппарат (11134).</w:t>
      </w:r>
    </w:p>
    <w:p w14:paraId="789C5A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13BF3CC" w14:textId="77777777" w:rsidR="005044CB" w:rsidRPr="00507A31" w:rsidRDefault="005044CB" w:rsidP="00507A31">
      <w:pPr>
        <w:jc w:val="both"/>
        <w:rPr>
          <w:color w:val="000000" w:themeColor="text1"/>
          <w:sz w:val="16"/>
          <w:szCs w:val="16"/>
        </w:rPr>
      </w:pPr>
      <w:r w:rsidRPr="00507A31">
        <w:rPr>
          <w:color w:val="000000" w:themeColor="text1"/>
          <w:sz w:val="16"/>
          <w:szCs w:val="16"/>
        </w:rPr>
        <w:t>13 июля 1930 г. первый полет на Д-2 с V- образным оперением выполнил летчик Коз</w:t>
      </w:r>
      <w:r w:rsidRPr="00507A31">
        <w:rPr>
          <w:color w:val="000000" w:themeColor="text1"/>
          <w:sz w:val="16"/>
          <w:szCs w:val="16"/>
        </w:rPr>
        <w:softHyphen/>
        <w:t>лов, после чего самолет несколько дней до</w:t>
      </w:r>
      <w:r w:rsidRPr="00507A31">
        <w:rPr>
          <w:color w:val="000000" w:themeColor="text1"/>
          <w:sz w:val="16"/>
          <w:szCs w:val="16"/>
        </w:rPr>
        <w:softHyphen/>
        <w:t>водился, а затем поступил для продолжения испытаний в НИИ ВВС. Далее Д-2 последо</w:t>
      </w:r>
      <w:r w:rsidRPr="00507A31">
        <w:rPr>
          <w:color w:val="000000" w:themeColor="text1"/>
          <w:sz w:val="16"/>
          <w:szCs w:val="16"/>
        </w:rPr>
        <w:softHyphen/>
        <w:t>вательно облетали летчики Бухгольц, Жуков и Писаренко. Интересно, что каких-либо от</w:t>
      </w:r>
      <w:r w:rsidRPr="00507A31">
        <w:rPr>
          <w:color w:val="000000" w:themeColor="text1"/>
          <w:sz w:val="16"/>
          <w:szCs w:val="16"/>
        </w:rPr>
        <w:softHyphen/>
        <w:t>зывов о новом хвостовом оперении состав</w:t>
      </w:r>
      <w:r w:rsidRPr="00507A31">
        <w:rPr>
          <w:color w:val="000000" w:themeColor="text1"/>
          <w:sz w:val="16"/>
          <w:szCs w:val="16"/>
        </w:rPr>
        <w:softHyphen/>
        <w:t>лено не было, известно лишь, что Бухгольц улучшений в технике пилотирования само</w:t>
      </w:r>
      <w:r w:rsidRPr="00507A31">
        <w:rPr>
          <w:color w:val="000000" w:themeColor="text1"/>
          <w:sz w:val="16"/>
          <w:szCs w:val="16"/>
        </w:rPr>
        <w:softHyphen/>
        <w:t>лета не отметил. Одновременно Д-2 расце</w:t>
      </w:r>
      <w:r w:rsidRPr="00507A31">
        <w:rPr>
          <w:color w:val="000000" w:themeColor="text1"/>
          <w:sz w:val="16"/>
          <w:szCs w:val="16"/>
        </w:rPr>
        <w:softHyphen/>
        <w:t>нивался очень хорошо, как полноценный бо</w:t>
      </w:r>
      <w:r w:rsidRPr="00507A31">
        <w:rPr>
          <w:color w:val="000000" w:themeColor="text1"/>
          <w:sz w:val="16"/>
          <w:szCs w:val="16"/>
        </w:rPr>
        <w:softHyphen/>
        <w:t>евой истребитель.</w:t>
      </w:r>
    </w:p>
    <w:p w14:paraId="14049A60" w14:textId="77777777" w:rsidR="005044CB" w:rsidRPr="00507A31" w:rsidRDefault="005044CB" w:rsidP="00507A31">
      <w:pPr>
        <w:jc w:val="both"/>
        <w:rPr>
          <w:color w:val="000000" w:themeColor="text1"/>
          <w:sz w:val="16"/>
          <w:szCs w:val="16"/>
        </w:rPr>
      </w:pPr>
      <w:r w:rsidRPr="00507A31">
        <w:rPr>
          <w:color w:val="000000" w:themeColor="text1"/>
          <w:sz w:val="16"/>
          <w:szCs w:val="16"/>
        </w:rPr>
        <w:t>В конце июля 1930 г. к испытаниям Д-2 приступил летчик-испытатель Владимир Иванович Чекарев. Общий налет его на этом самолете составил 6 часов 48 минут. 4 авгу</w:t>
      </w:r>
      <w:r w:rsidRPr="00507A31">
        <w:rPr>
          <w:color w:val="000000" w:themeColor="text1"/>
          <w:sz w:val="16"/>
          <w:szCs w:val="16"/>
        </w:rPr>
        <w:softHyphen/>
        <w:t>ста 1930 г. Чекарев получил задание на про</w:t>
      </w:r>
      <w:r w:rsidRPr="00507A31">
        <w:rPr>
          <w:color w:val="000000" w:themeColor="text1"/>
          <w:sz w:val="16"/>
          <w:szCs w:val="16"/>
        </w:rPr>
        <w:softHyphen/>
        <w:t>верку управляемости Д-2 на высоте 3000 м. Однако первый полет в этот день он совмес</w:t>
      </w:r>
      <w:r w:rsidRPr="00507A31">
        <w:rPr>
          <w:color w:val="000000" w:themeColor="text1"/>
          <w:sz w:val="16"/>
          <w:szCs w:val="16"/>
        </w:rPr>
        <w:softHyphen/>
        <w:t>тно с наблюдателем Василием Ивановичем Благонадеждиным выполнил на достиже</w:t>
      </w:r>
      <w:r w:rsidRPr="00507A31">
        <w:rPr>
          <w:color w:val="000000" w:themeColor="text1"/>
          <w:sz w:val="16"/>
          <w:szCs w:val="16"/>
        </w:rPr>
        <w:softHyphen/>
        <w:t>ние максимального потолка самолета. Воо</w:t>
      </w:r>
      <w:r w:rsidRPr="00507A31">
        <w:rPr>
          <w:color w:val="000000" w:themeColor="text1"/>
          <w:sz w:val="16"/>
          <w:szCs w:val="16"/>
        </w:rPr>
        <w:softHyphen/>
        <w:t>ружившись кислородными приборами, пи</w:t>
      </w:r>
      <w:r w:rsidRPr="00507A31">
        <w:rPr>
          <w:color w:val="000000" w:themeColor="text1"/>
          <w:sz w:val="16"/>
          <w:szCs w:val="16"/>
        </w:rPr>
        <w:softHyphen/>
        <w:t>лоты «взяли» высоту 7170 метров. Затем, по</w:t>
      </w:r>
      <w:r w:rsidRPr="00507A31">
        <w:rPr>
          <w:color w:val="000000" w:themeColor="text1"/>
          <w:sz w:val="16"/>
          <w:szCs w:val="16"/>
        </w:rPr>
        <w:softHyphen/>
        <w:t>сле короткого отдыха, начали готовиться ко второму полету.</w:t>
      </w:r>
    </w:p>
    <w:p w14:paraId="0FA3105F" w14:textId="77777777" w:rsidR="005044CB" w:rsidRPr="00507A31" w:rsidRDefault="005044CB" w:rsidP="00507A31">
      <w:pPr>
        <w:jc w:val="both"/>
        <w:rPr>
          <w:color w:val="000000" w:themeColor="text1"/>
          <w:sz w:val="16"/>
          <w:szCs w:val="16"/>
        </w:rPr>
      </w:pPr>
      <w:r w:rsidRPr="00507A31">
        <w:rPr>
          <w:color w:val="000000" w:themeColor="text1"/>
          <w:sz w:val="16"/>
          <w:szCs w:val="16"/>
        </w:rPr>
        <w:t>Руководил полетами 4 августа начальник 1-й бригады истребительного отдела НИИ ВВС Николай Алексеевич Жемчужин. По его свидетельству Чекарев, отправляясь во вто</w:t>
      </w:r>
      <w:r w:rsidRPr="00507A31">
        <w:rPr>
          <w:color w:val="000000" w:themeColor="text1"/>
          <w:sz w:val="16"/>
          <w:szCs w:val="16"/>
        </w:rPr>
        <w:softHyphen/>
        <w:t>рой полет, сказал: «я его теперь поломаю, как следует». Под этими словами понималось, что летчик испробует самолет на максималь</w:t>
      </w:r>
      <w:r w:rsidRPr="00507A31">
        <w:rPr>
          <w:color w:val="000000" w:themeColor="text1"/>
          <w:sz w:val="16"/>
          <w:szCs w:val="16"/>
        </w:rPr>
        <w:softHyphen/>
        <w:t>ные перегрузки. Жемчужин в ответ заметил: «брось ерунду делать, это тебе не ВТ» (ВТ — это опытный истребитель И-5. — М.М.).</w:t>
      </w:r>
    </w:p>
    <w:p w14:paraId="7DB7C887" w14:textId="77777777" w:rsidR="005044CB" w:rsidRPr="00507A31" w:rsidRDefault="005044CB" w:rsidP="00507A31">
      <w:pPr>
        <w:jc w:val="both"/>
        <w:rPr>
          <w:color w:val="000000" w:themeColor="text1"/>
          <w:sz w:val="16"/>
          <w:szCs w:val="16"/>
        </w:rPr>
      </w:pPr>
      <w:r w:rsidRPr="00507A31">
        <w:rPr>
          <w:color w:val="000000" w:themeColor="text1"/>
          <w:sz w:val="16"/>
          <w:szCs w:val="16"/>
        </w:rPr>
        <w:t>Среди свидетелей, наблюдавших с земли полет самолета Д-2, находились помощник Начальника ЦКБ завода №39 Д.П. Григо</w:t>
      </w:r>
      <w:r w:rsidRPr="00507A31">
        <w:rPr>
          <w:color w:val="000000" w:themeColor="text1"/>
          <w:sz w:val="16"/>
          <w:szCs w:val="16"/>
        </w:rPr>
        <w:softHyphen/>
        <w:t>рович и заместитель Начальника ЦКБ И.М. Артамонов. По их показаниям, после выпол</w:t>
      </w:r>
      <w:r w:rsidRPr="00507A31">
        <w:rPr>
          <w:color w:val="000000" w:themeColor="text1"/>
          <w:sz w:val="16"/>
          <w:szCs w:val="16"/>
        </w:rPr>
        <w:softHyphen/>
        <w:t>нения задания самолет вышел из облаков на высоте 1200 м, затем снизился спиралью до высоты 300 м, далее продолжал снижаться на высокой скорости до высоты 100 метров. В этот период наблюдатели заметили сильную вибрацию хвостового оперения и последую</w:t>
      </w:r>
      <w:r w:rsidRPr="00507A31">
        <w:rPr>
          <w:color w:val="000000" w:themeColor="text1"/>
          <w:sz w:val="16"/>
          <w:szCs w:val="16"/>
        </w:rPr>
        <w:softHyphen/>
        <w:t xml:space="preserve">щее </w:t>
      </w:r>
      <w:r w:rsidRPr="00507A31">
        <w:rPr>
          <w:color w:val="000000" w:themeColor="text1"/>
          <w:sz w:val="16"/>
          <w:szCs w:val="16"/>
        </w:rPr>
        <w:lastRenderedPageBreak/>
        <w:t>разрушение правой его половины. Затем произошло разрушение коробки крыльев, и самолет врезался в землю. Экипаж погиб. Летчик Чекарев и наблюдатель Благонадеж- дин имели парашюты, однако воспользо</w:t>
      </w:r>
      <w:r w:rsidRPr="00507A31">
        <w:rPr>
          <w:color w:val="000000" w:themeColor="text1"/>
          <w:sz w:val="16"/>
          <w:szCs w:val="16"/>
        </w:rPr>
        <w:softHyphen/>
        <w:t>ваться ими не успели, т.к. высота была слиш</w:t>
      </w:r>
      <w:r w:rsidRPr="00507A31">
        <w:rPr>
          <w:color w:val="000000" w:themeColor="text1"/>
          <w:sz w:val="16"/>
          <w:szCs w:val="16"/>
        </w:rPr>
        <w:softHyphen/>
        <w:t>ком мала (12295).</w:t>
      </w:r>
    </w:p>
    <w:p w14:paraId="0E94CFD8" w14:textId="77777777" w:rsidR="005044CB" w:rsidRPr="00507A31" w:rsidRDefault="005044CB" w:rsidP="00507A31">
      <w:pPr>
        <w:pStyle w:val="59"/>
        <w:shd w:val="clear" w:color="auto" w:fill="auto"/>
        <w:spacing w:line="240" w:lineRule="auto"/>
        <w:jc w:val="both"/>
        <w:rPr>
          <w:color w:val="000000" w:themeColor="text1"/>
          <w:szCs w:val="16"/>
        </w:rPr>
      </w:pPr>
      <w:r w:rsidRPr="00507A31">
        <w:rPr>
          <w:rStyle w:val="50pt"/>
          <w:rFonts w:eastAsia="Arial Unicode MS"/>
          <w:color w:val="000000" w:themeColor="text1"/>
          <w:spacing w:val="0"/>
          <w:szCs w:val="16"/>
        </w:rPr>
        <w:t>Основные технические летные характеристики Д-2 и ДИ-2 (расчетные)</w:t>
      </w:r>
    </w:p>
    <w:tbl>
      <w:tblPr>
        <w:tblW w:w="0" w:type="auto"/>
        <w:tblLayout w:type="fixed"/>
        <w:tblCellMar>
          <w:left w:w="10" w:type="dxa"/>
          <w:right w:w="10" w:type="dxa"/>
        </w:tblCellMar>
        <w:tblLook w:val="0000" w:firstRow="0" w:lastRow="0" w:firstColumn="0" w:lastColumn="0" w:noHBand="0" w:noVBand="0"/>
      </w:tblPr>
      <w:tblGrid>
        <w:gridCol w:w="3928"/>
        <w:gridCol w:w="1822"/>
        <w:gridCol w:w="1829"/>
      </w:tblGrid>
      <w:tr w:rsidR="00E371BA" w:rsidRPr="00507A31" w14:paraId="29FC094E" w14:textId="77777777" w:rsidTr="005E17EC">
        <w:trPr>
          <w:trHeight w:val="252"/>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7DF63B0D" w14:textId="77777777" w:rsidR="005044CB" w:rsidRPr="00507A31" w:rsidRDefault="005044CB" w:rsidP="00507A31">
            <w:pPr>
              <w:jc w:val="both"/>
              <w:rPr>
                <w:color w:val="000000" w:themeColor="text1"/>
                <w:sz w:val="16"/>
                <w:szCs w:val="16"/>
              </w:rPr>
            </w:pP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6A445AA8"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Д-2</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5B56BF76"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ДИ-2</w:t>
            </w:r>
          </w:p>
        </w:tc>
      </w:tr>
      <w:tr w:rsidR="00E371BA" w:rsidRPr="00507A31" w14:paraId="4621DF38"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4FDBD58"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Длина в линии полета (м)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5555A1CC"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8,2</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512CFE3A"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7,66</w:t>
            </w:r>
          </w:p>
        </w:tc>
      </w:tr>
      <w:tr w:rsidR="00E371BA" w:rsidRPr="00507A31" w14:paraId="589E4B66" w14:textId="77777777" w:rsidTr="005E17EC">
        <w:trPr>
          <w:trHeight w:val="241"/>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1C7D539E"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Размах верхнего крыла (м)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EFD99EF"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II,8</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2072EE1"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11,8</w:t>
            </w:r>
          </w:p>
        </w:tc>
      </w:tr>
      <w:tr w:rsidR="00E371BA" w:rsidRPr="00507A31" w14:paraId="16E43259"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BBF63D7"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Плошадь крыльев (м</w:t>
            </w:r>
            <w:r w:rsidRPr="00507A31">
              <w:rPr>
                <w:rFonts w:ascii="Times New Roman" w:hAnsi="Times New Roman" w:cs="Times New Roman"/>
                <w:b w:val="0"/>
                <w:color w:val="000000" w:themeColor="text1"/>
                <w:sz w:val="16"/>
                <w:szCs w:val="16"/>
                <w:vertAlign w:val="superscript"/>
              </w:rPr>
              <w:t>2</w:t>
            </w:r>
            <w:r w:rsidRPr="00507A31">
              <w:rPr>
                <w:rFonts w:ascii="Times New Roman" w:hAnsi="Times New Roman" w:cs="Times New Roman"/>
                <w:b w:val="0"/>
                <w:color w:val="000000" w:themeColor="text1"/>
                <w:sz w:val="16"/>
                <w:szCs w:val="16"/>
              </w:rPr>
              <w:t>)</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8661C81"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31,8</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50603BD5"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30,33</w:t>
            </w:r>
          </w:p>
        </w:tc>
      </w:tr>
      <w:tr w:rsidR="00E371BA" w:rsidRPr="00507A31" w14:paraId="5EF07031" w14:textId="77777777" w:rsidTr="005E17EC">
        <w:trPr>
          <w:trHeight w:val="241"/>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B6C3D40"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Вес пустого (кг)</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12768D94"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1557</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9222B9F" w14:textId="77777777" w:rsidR="005044CB" w:rsidRPr="00507A31" w:rsidRDefault="005044CB" w:rsidP="00507A31">
            <w:pPr>
              <w:pStyle w:val="470"/>
              <w:shd w:val="clear" w:color="auto" w:fill="auto"/>
              <w:spacing w:before="0" w:after="0"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w:t>
            </w:r>
          </w:p>
        </w:tc>
      </w:tr>
      <w:tr w:rsidR="00E371BA" w:rsidRPr="00507A31" w14:paraId="6E046AB2"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90CE430"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Полетный вес (кг)</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E9ADDDB"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2122</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63DDAEC"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2214</w:t>
            </w:r>
          </w:p>
        </w:tc>
      </w:tr>
      <w:tr w:rsidR="00E371BA" w:rsidRPr="00507A31" w14:paraId="4DFBAD22"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3A7E1C23"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Нагрузка на крыло (кг/м</w:t>
            </w:r>
            <w:r w:rsidRPr="00507A31">
              <w:rPr>
                <w:rFonts w:ascii="Times New Roman" w:hAnsi="Times New Roman" w:cs="Times New Roman"/>
                <w:b w:val="0"/>
                <w:color w:val="000000" w:themeColor="text1"/>
                <w:sz w:val="16"/>
                <w:szCs w:val="16"/>
                <w:vertAlign w:val="superscript"/>
              </w:rPr>
              <w:t>2</w:t>
            </w:r>
            <w:r w:rsidRPr="00507A31">
              <w:rPr>
                <w:rFonts w:ascii="Times New Roman" w:hAnsi="Times New Roman" w:cs="Times New Roman"/>
                <w:b w:val="0"/>
                <w:color w:val="000000" w:themeColor="text1"/>
                <w:sz w:val="16"/>
                <w:szCs w:val="16"/>
              </w:rPr>
              <w:t>)</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130A2CBB"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66,7</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0862B663"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72,9</w:t>
            </w:r>
          </w:p>
        </w:tc>
      </w:tr>
      <w:tr w:rsidR="00E371BA" w:rsidRPr="00507A31" w14:paraId="418668FF"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B2DE1E5"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у земли (км/ч)</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3A3FE14A"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254</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FB29838"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278</w:t>
            </w:r>
          </w:p>
        </w:tc>
      </w:tr>
      <w:tr w:rsidR="00E371BA" w:rsidRPr="00507A31" w14:paraId="6F73A320"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5C76D182"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на на 3000 м (км/ч)</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55503E05"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274,5</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02681ED6"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268</w:t>
            </w:r>
          </w:p>
        </w:tc>
      </w:tr>
      <w:tr w:rsidR="00E371BA" w:rsidRPr="00507A31" w14:paraId="4B8329E4"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245E2FC"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Практический потолок (м)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E21BEBB"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6300</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F9ED5F7" w14:textId="77777777" w:rsidR="005044CB" w:rsidRPr="00507A31" w:rsidRDefault="005044CB" w:rsidP="00507A31">
            <w:pPr>
              <w:pStyle w:val="480"/>
              <w:shd w:val="clear" w:color="auto" w:fill="auto"/>
              <w:spacing w:after="0"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w:t>
            </w:r>
          </w:p>
        </w:tc>
      </w:tr>
      <w:tr w:rsidR="00E371BA" w:rsidRPr="00507A31" w14:paraId="3A7F070E" w14:textId="77777777" w:rsidTr="005E17EC">
        <w:trPr>
          <w:trHeight w:val="256"/>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01EADC69"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Дальность полета (км)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2A164DAF" w14:textId="77777777" w:rsidR="005044CB" w:rsidRPr="00507A31" w:rsidRDefault="005044CB"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510</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4AF0C7E" w14:textId="77777777" w:rsidR="005044CB" w:rsidRPr="00507A31" w:rsidRDefault="005044CB" w:rsidP="00507A31">
            <w:pPr>
              <w:pStyle w:val="480"/>
              <w:shd w:val="clear" w:color="auto" w:fill="auto"/>
              <w:spacing w:after="0"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w:t>
            </w:r>
          </w:p>
        </w:tc>
      </w:tr>
    </w:tbl>
    <w:p w14:paraId="363E704A" w14:textId="77777777" w:rsidR="005044CB" w:rsidRPr="00507A31" w:rsidRDefault="005044CB" w:rsidP="00507A31">
      <w:pPr>
        <w:pStyle w:val="aff0"/>
        <w:shd w:val="clear" w:color="auto" w:fill="auto"/>
        <w:spacing w:line="240" w:lineRule="auto"/>
        <w:rPr>
          <w:rFonts w:ascii="Times New Roman" w:hAnsi="Times New Roman" w:cs="Times New Roman"/>
          <w:i w:val="0"/>
          <w:color w:val="000000" w:themeColor="text1"/>
          <w:sz w:val="16"/>
          <w:szCs w:val="16"/>
        </w:rPr>
      </w:pPr>
      <w:r w:rsidRPr="00507A31">
        <w:rPr>
          <w:rFonts w:ascii="Times New Roman" w:hAnsi="Times New Roman" w:cs="Times New Roman"/>
          <w:i w:val="0"/>
          <w:color w:val="000000" w:themeColor="text1"/>
          <w:sz w:val="16"/>
          <w:szCs w:val="16"/>
          <w:lang w:val="ru-RU"/>
        </w:rPr>
        <w:t>(12295).</w:t>
      </w:r>
    </w:p>
    <w:p w14:paraId="1466964F" w14:textId="77777777" w:rsidR="005044CB" w:rsidRPr="00507A31" w:rsidRDefault="005044CB" w:rsidP="00507A31">
      <w:pPr>
        <w:jc w:val="both"/>
        <w:rPr>
          <w:color w:val="000000" w:themeColor="text1"/>
          <w:sz w:val="16"/>
          <w:szCs w:val="16"/>
        </w:rPr>
      </w:pPr>
    </w:p>
    <w:p w14:paraId="3EA11CDB" w14:textId="77777777" w:rsidR="003E580A" w:rsidRPr="00507A31" w:rsidRDefault="003E580A" w:rsidP="00507A31">
      <w:pPr>
        <w:jc w:val="both"/>
        <w:rPr>
          <w:color w:val="000000" w:themeColor="text1"/>
          <w:sz w:val="16"/>
          <w:szCs w:val="16"/>
        </w:rPr>
      </w:pPr>
      <w:r w:rsidRPr="00507A31">
        <w:rPr>
          <w:color w:val="000000" w:themeColor="text1"/>
          <w:sz w:val="16"/>
          <w:szCs w:val="16"/>
        </w:rPr>
        <w:t xml:space="preserve">13 июля в 1930 году состоялся первый полет на двухместном истребителе Поликарпова </w:t>
      </w:r>
      <w:hyperlink r:id="rId119" w:tgtFrame="_blank" w:history="1">
        <w:r w:rsidRPr="00507A31">
          <w:rPr>
            <w:color w:val="000000" w:themeColor="text1"/>
            <w:sz w:val="16"/>
            <w:szCs w:val="16"/>
          </w:rPr>
          <w:t xml:space="preserve">«Д-2» </w:t>
        </w:r>
      </w:hyperlink>
      <w:r w:rsidRPr="00507A31">
        <w:rPr>
          <w:color w:val="000000" w:themeColor="text1"/>
          <w:sz w:val="16"/>
          <w:szCs w:val="16"/>
        </w:rPr>
        <w:t>с V-образным оперением выполнил летчик Козлов, после чего самолет несколько дней доводился, а затем поступил для продолжения испытаний в НИИ ВВС. Здесь самолет последовательно облетали Бухгольц, Жуков и Писаренко. Интересно, что каких-либо отзывов о новом оперении оставлено не было; известно лишь, что Бухгольц улучшений в технике пилотирования самолета не отметил. В целом самолет оценивался очень хорошо, - как полноценный боевой аппарат. Весной 1930 года. для улучшения характеристик штопора на «Д-2» смонтировали новое V-образное хвостовое оперение, размещенное под углом 8 градусов к горизонту (подобная схема хвостового оперения использовалась в Советском Союзе впервые). Кроме того, на самолете установили оборонительную турель «ТУР-7» представляющую собой уменьшенную «ТУР-6» (внутренний диаметр турельного кольца уменьшился с 710 до 636 мм). Поначалу на «ТУР-7» стояла спарка пулеметов "Льюис", затем ее заменили одним пулеметом «ДА» (14951).</w:t>
      </w:r>
    </w:p>
    <w:p w14:paraId="45DCD453" w14:textId="77777777" w:rsidR="003E580A" w:rsidRPr="00507A31" w:rsidRDefault="003E580A" w:rsidP="00507A31">
      <w:pPr>
        <w:jc w:val="both"/>
        <w:rPr>
          <w:color w:val="000000" w:themeColor="text1"/>
          <w:sz w:val="16"/>
          <w:szCs w:val="16"/>
        </w:rPr>
      </w:pPr>
    </w:p>
    <w:p w14:paraId="451A8976" w14:textId="77777777" w:rsidR="00AF25DF" w:rsidRPr="00507A31" w:rsidRDefault="00AF25DF" w:rsidP="00507A31">
      <w:pPr>
        <w:pStyle w:val="ae"/>
        <w:shd w:val="clear" w:color="auto" w:fill="FFFFFF"/>
        <w:spacing w:before="0" w:after="0"/>
        <w:jc w:val="both"/>
        <w:textAlignment w:val="baseline"/>
        <w:rPr>
          <w:color w:val="0070C0"/>
          <w:sz w:val="16"/>
          <w:szCs w:val="16"/>
          <w:shd w:val="clear" w:color="auto" w:fill="FFFFFF"/>
        </w:rPr>
      </w:pPr>
      <w:r w:rsidRPr="00507A31">
        <w:rPr>
          <w:color w:val="0070C0"/>
          <w:sz w:val="16"/>
          <w:szCs w:val="16"/>
          <w:shd w:val="clear" w:color="auto" w:fill="FFFFFF"/>
        </w:rPr>
        <w:t>С 13 по 22 июля 1930 итальянские авиаторы: летчик Франческо Ломбарди (Carlo Francesco Lombardi) и бортмеханик Капанини (Capannini) на легкомоторном самолете «Фиат» AS.1 (Fiat) совершили перелет Верчелли (в 50 км к западу от Милана) – Токио.</w:t>
      </w:r>
    </w:p>
    <w:p w14:paraId="26184252" w14:textId="77777777" w:rsidR="00AF25DF" w:rsidRPr="00507A31" w:rsidRDefault="00AF25DF" w:rsidP="00507A31">
      <w:pPr>
        <w:pStyle w:val="ae"/>
        <w:shd w:val="clear" w:color="auto" w:fill="FFFFFF"/>
        <w:spacing w:before="0" w:after="0"/>
        <w:jc w:val="both"/>
        <w:textAlignment w:val="baseline"/>
        <w:rPr>
          <w:color w:val="0070C0"/>
          <w:sz w:val="16"/>
          <w:szCs w:val="16"/>
        </w:rPr>
      </w:pPr>
      <w:r w:rsidRPr="00507A31">
        <w:rPr>
          <w:color w:val="0070C0"/>
          <w:sz w:val="16"/>
          <w:szCs w:val="16"/>
          <w:shd w:val="clear" w:color="auto" w:fill="FFFFFF"/>
        </w:rPr>
        <w:t>Полет выполнялся по маршруту: Вена – Варшава – Смоленск – Москва (15 июля) – Казань (16 июля) – Свердловск (16 июля) – Курган (16 июля) – Омск (17 июля) – Новосибирск (17 июля) – Красноярск (18 июля) – Нижнеудинск – Иркутск – Верхнеудинск – Чита – Харбин – Мукден – Сеул – Хиросима – Токио (21238).</w:t>
      </w:r>
    </w:p>
    <w:p w14:paraId="0BB4FE16" w14:textId="77777777" w:rsidR="00AF25DF" w:rsidRPr="00507A31" w:rsidRDefault="00AF25DF" w:rsidP="00507A31">
      <w:pPr>
        <w:pStyle w:val="ae"/>
        <w:shd w:val="clear" w:color="auto" w:fill="FFFFFF"/>
        <w:spacing w:before="0" w:after="0"/>
        <w:jc w:val="both"/>
        <w:textAlignment w:val="baseline"/>
        <w:rPr>
          <w:color w:val="0070C0"/>
          <w:sz w:val="16"/>
          <w:szCs w:val="16"/>
        </w:rPr>
      </w:pPr>
    </w:p>
    <w:p w14:paraId="43CA5B0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5130471" w14:textId="77777777" w:rsidR="00537E5F" w:rsidRPr="00507A31" w:rsidRDefault="00537E5F" w:rsidP="00507A31">
      <w:pPr>
        <w:autoSpaceDE w:val="0"/>
        <w:autoSpaceDN w:val="0"/>
        <w:adjustRightInd w:val="0"/>
        <w:jc w:val="both"/>
        <w:rPr>
          <w:iCs/>
          <w:color w:val="000000" w:themeColor="text1"/>
          <w:sz w:val="16"/>
          <w:szCs w:val="16"/>
        </w:rPr>
      </w:pPr>
    </w:p>
    <w:p w14:paraId="059E48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июля 1930 г. вышла ИНСТРУКЦИЯ ДЛЯ ПОСТОЯННЫХ ЭКСПЕРТОВ</w:t>
      </w:r>
    </w:p>
    <w:p w14:paraId="2447B4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Утверждаю</w:t>
      </w:r>
    </w:p>
    <w:p w14:paraId="6DF18F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технического штаба НВ РККА Янсон</w:t>
      </w:r>
    </w:p>
    <w:p w14:paraId="67122A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Условия привлечения к работе</w:t>
      </w:r>
    </w:p>
    <w:p w14:paraId="3F03A0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Все эксперты привлекаются к работе на добровольных началах, независимо от занимаемой! должности, но с ведома начальников управлений по месту службы эксперта и утверждения начальника ТШ НВ РККА.</w:t>
      </w:r>
    </w:p>
    <w:p w14:paraId="09417D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Все эксперты принимают участие в работе по рассмотрению предложений во внеслужебное время. Примечание: В исключительных случаях вызываются в служебное время, но с согласия экспер</w:t>
      </w:r>
    </w:p>
    <w:p w14:paraId="308651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а) Все эксперты получают вознаграждение заданную исчерпывающую экспертизу, по каждому делу по 5 рублей за предложение.</w:t>
      </w:r>
    </w:p>
    <w:p w14:paraId="2C0434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Все сложные предложения, по заявлению эксперта, расцениваются отдельно, совместно с пом. начальника по технической части в пределах от 5 до 25 руб. за предложение и утверждения на</w:t>
      </w:r>
      <w:r w:rsidRPr="00507A31">
        <w:rPr>
          <w:color w:val="000000" w:themeColor="text1"/>
          <w:sz w:val="16"/>
          <w:szCs w:val="16"/>
        </w:rPr>
        <w:softHyphen/>
        <w:t>чальника отдела.</w:t>
      </w:r>
    </w:p>
    <w:p w14:paraId="385BE1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Все предложения, нуждающиеся в составлении эскизных чертежей и производстве расчетов, в целях дачи исчерпывающей экспертизы и консультации, расцениваются от 25 до 100 руб. и выше за предложение с заключением договора, - утверждаются начальником ТШ НВ РККА.</w:t>
      </w:r>
    </w:p>
    <w:p w14:paraId="37D6D8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Повторные экспертизы, в случае дачи авторами дополнительных материалов, доказывающих правоту первоначального своего предложения, - оплачиваются в половинном размере.</w:t>
      </w:r>
    </w:p>
    <w:p w14:paraId="483389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В случаях, если предложение требует экспертизы двух специалистов (например, в части артил</w:t>
      </w:r>
      <w:r w:rsidRPr="00507A31">
        <w:rPr>
          <w:color w:val="000000" w:themeColor="text1"/>
          <w:sz w:val="16"/>
          <w:szCs w:val="16"/>
        </w:rPr>
        <w:softHyphen/>
        <w:t>лерийской и авиационной) оба эксперта получают денежное вознаграждение в половинном размере.</w:t>
      </w:r>
    </w:p>
    <w:p w14:paraId="7C2694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Эксперт, после ознакомления с предложением, может отказаться отдачи экспертизы из-за не</w:t>
      </w:r>
      <w:r w:rsidRPr="00507A31">
        <w:rPr>
          <w:color w:val="000000" w:themeColor="text1"/>
          <w:sz w:val="16"/>
          <w:szCs w:val="16"/>
        </w:rPr>
        <w:softHyphen/>
        <w:t>достатка материала от автора или особой сложности предложения. В этих случаях он указывает на необходимое направление, которое должно получить предложение.</w:t>
      </w:r>
    </w:p>
    <w:p w14:paraId="6F1CE5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Эксперт дает экспертизу по каждому предложению исключительно в части, касающейся по</w:t>
      </w:r>
      <w:r w:rsidRPr="00507A31">
        <w:rPr>
          <w:color w:val="000000" w:themeColor="text1"/>
          <w:sz w:val="16"/>
          <w:szCs w:val="16"/>
        </w:rPr>
        <w:softHyphen/>
        <w:t>лезности предложения для РККА, в целях усиления боеспособности вооруженных сил СССР, ни в коем случае не ограничиваясь определением новизны предложения.</w:t>
      </w:r>
    </w:p>
    <w:p w14:paraId="429092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Эксперт при даче экспертизы является независимым гражданином и принимает решение, как военный специалист, судья рассматриваемого предложения, совершенно беспристрастно, несет полную ответственность по всем строгостям революционного закона за свое решение.</w:t>
      </w:r>
    </w:p>
    <w:p w14:paraId="3F5666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Соблюдение существующих положений при даче экспертизы</w:t>
      </w:r>
    </w:p>
    <w:p w14:paraId="70A0B3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Все эксперты при даче экспертизы по секретным и совершенно секретным предложениям не</w:t>
      </w:r>
      <w:r w:rsidRPr="00507A31">
        <w:rPr>
          <w:color w:val="000000" w:themeColor="text1"/>
          <w:sz w:val="16"/>
          <w:szCs w:val="16"/>
        </w:rPr>
        <w:softHyphen/>
        <w:t>сут полную ответственность за разглашение секретности и нарушение правил хранения и обраще</w:t>
      </w:r>
      <w:r w:rsidRPr="00507A31">
        <w:rPr>
          <w:color w:val="000000" w:themeColor="text1"/>
          <w:sz w:val="16"/>
          <w:szCs w:val="16"/>
        </w:rPr>
        <w:softHyphen/>
        <w:t>ния с секретными бумагами, согласно приказа РВС СССР.</w:t>
      </w:r>
    </w:p>
    <w:p w14:paraId="6000FF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Отношение к изобретателю и сущность экспертизы</w:t>
      </w:r>
    </w:p>
    <w:p w14:paraId="2162BA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Все эксперты при рассмотрении предложения, там, где это возможно, должны в первую оче</w:t>
      </w:r>
      <w:r w:rsidRPr="00507A31">
        <w:rPr>
          <w:color w:val="000000" w:themeColor="text1"/>
          <w:sz w:val="16"/>
          <w:szCs w:val="16"/>
        </w:rPr>
        <w:softHyphen/>
        <w:t>редь обратить внимание - кто автор по социальному положению, его специальность и теоретическая подготовка по военной и гражданской линиям, в целях дачи правильной установки при необходимо</w:t>
      </w:r>
      <w:r w:rsidRPr="00507A31">
        <w:rPr>
          <w:color w:val="000000" w:themeColor="text1"/>
          <w:sz w:val="16"/>
          <w:szCs w:val="16"/>
        </w:rPr>
        <w:softHyphen/>
        <w:t>сти дальнейшей разработки авторства своего предложения.</w:t>
      </w:r>
    </w:p>
    <w:p w14:paraId="639AE9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Ни в коем случае не допускать дачи отрицательной экспертизы по неразработанным предложе</w:t>
      </w:r>
      <w:r w:rsidRPr="00507A31">
        <w:rPr>
          <w:color w:val="000000" w:themeColor="text1"/>
          <w:sz w:val="16"/>
          <w:szCs w:val="16"/>
        </w:rPr>
        <w:softHyphen/>
        <w:t>ниям, при наличии правильного принципа предложения, в решении цели поставленной автором. Все-местно добиваться от авторов исчерпывающего материала по их предложениям посредством передачи конкретных указаний им. Если автор не может дать нужных расчетов и т. д., то в заключении указывать на необходимость привлечения соответствующих специалистов или НТК управлений.</w:t>
      </w:r>
    </w:p>
    <w:p w14:paraId="4907EA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В случае, если предложение полностью нереально, а имеет ценную часть или же его деталь, то необходимо указать в заключении какая именно часть или деталь приемлема.</w:t>
      </w:r>
    </w:p>
    <w:p w14:paraId="4FB3CE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 случае, если предложение ценно, но по целому ряду причин использовано, в данный момент, быть не может, ориентировочно указывать когда и кем может быть применено, подлежит ли взятию на учет, куда и кому послать для ознакомления.</w:t>
      </w:r>
    </w:p>
    <w:p w14:paraId="400CD3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Высокая стоимость реализации предложения или наличие аналогичной разработки в соответ</w:t>
      </w:r>
      <w:r w:rsidRPr="00507A31">
        <w:rPr>
          <w:color w:val="000000" w:themeColor="text1"/>
          <w:sz w:val="16"/>
          <w:szCs w:val="16"/>
        </w:rPr>
        <w:softHyphen/>
        <w:t>ствующем НТК не может служить причиной отклонения данного предложения; обязательно имее-мые ценные предложения вносить на обсуждение специального совещания под председательством начальника ТШ или начальника 2 отдела ТШ.</w:t>
      </w:r>
    </w:p>
    <w:p w14:paraId="470ABF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случае, если возникнут противоречия экспертизы по предложению, то эксперт первый, дав</w:t>
      </w:r>
      <w:r w:rsidRPr="00507A31">
        <w:rPr>
          <w:color w:val="000000" w:themeColor="text1"/>
          <w:sz w:val="16"/>
          <w:szCs w:val="16"/>
        </w:rPr>
        <w:softHyphen/>
        <w:t>ший экспертизу, отстаивает ее путем обоснованных доводов.</w:t>
      </w:r>
    </w:p>
    <w:p w14:paraId="0269CF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При даче экспертизы эксперт решает вопрос о снятии секретности с предложения, исходя из анализа, как самого предложения, так и материалов и сведений, приобщенных к нему в процессе экспертиз, указывает, какая часть заключения подлежит сообщению автору. Как общее правило -</w:t>
      </w:r>
    </w:p>
    <w:p w14:paraId="30513E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ответы авторам должны быть исчерпывающими.</w:t>
      </w:r>
    </w:p>
    <w:p w14:paraId="37CDD0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Примечание: Окончательное решение о снятии секретности принимает начальник.</w:t>
      </w:r>
    </w:p>
    <w:p w14:paraId="6DBC19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Как общее правило, лицо, давшее экспертизу на предложение, остается в секрете только для автора предложения.</w:t>
      </w:r>
    </w:p>
    <w:p w14:paraId="6418BD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Экспертиза не оплачивается: - в случаях, когда данное заключение (экспертиза) будет призна</w:t>
      </w:r>
      <w:r w:rsidRPr="00507A31">
        <w:rPr>
          <w:color w:val="000000" w:themeColor="text1"/>
          <w:sz w:val="16"/>
          <w:szCs w:val="16"/>
        </w:rPr>
        <w:softHyphen/>
        <w:t>но начальником отдела (ответственным исполнителем) неудовлетворительной и возвращена эксперту для переработки.</w:t>
      </w:r>
    </w:p>
    <w:p w14:paraId="2438BA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9. Сроки, в которые эксперт рассматривает дела, не должны превышать 10 дней, при необходи</w:t>
      </w:r>
      <w:r w:rsidRPr="00507A31">
        <w:rPr>
          <w:color w:val="000000" w:themeColor="text1"/>
          <w:sz w:val="16"/>
          <w:szCs w:val="16"/>
        </w:rPr>
        <w:softHyphen/>
        <w:t>мости более длительного срока - таковой устанавливается начальником отдела (зав. сектором) сов</w:t>
      </w:r>
      <w:r w:rsidRPr="00507A31">
        <w:rPr>
          <w:color w:val="000000" w:themeColor="text1"/>
          <w:sz w:val="16"/>
          <w:szCs w:val="16"/>
        </w:rPr>
        <w:softHyphen/>
        <w:t>местно с экспертом по согласованию.</w:t>
      </w:r>
    </w:p>
    <w:p w14:paraId="2F5B6E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Ввиду того, что заключение, данное экспертом является весьма ответственным документом, таковой должен быть обязательно построен по следующему плану (в приложении).</w:t>
      </w:r>
    </w:p>
    <w:p w14:paraId="61A451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w:t>
      </w:r>
    </w:p>
    <w:p w14:paraId="77E3E6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План даваемой экспертизы</w:t>
      </w:r>
    </w:p>
    <w:p w14:paraId="7D01C3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 дела.</w:t>
      </w:r>
    </w:p>
    <w:p w14:paraId="47AD7B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Фамилия, имя, отчество автора. Должность и где работает.</w:t>
      </w:r>
    </w:p>
    <w:p w14:paraId="6576D8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Сущность изобретения-предложения (кратко изложить картину вопроса).</w:t>
      </w:r>
    </w:p>
    <w:p w14:paraId="1B6938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Техническая оценка по деталям, техническая оценка общая.</w:t>
      </w:r>
    </w:p>
    <w:p w14:paraId="2EAF06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Оценка тактического значения и применения.</w:t>
      </w:r>
    </w:p>
    <w:p w14:paraId="0BA8BA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Общий вывод о:</w:t>
      </w:r>
    </w:p>
    <w:p w14:paraId="630811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ценности-полезности,</w:t>
      </w:r>
    </w:p>
    <w:p w14:paraId="478D7F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реализации,</w:t>
      </w:r>
    </w:p>
    <w:p w14:paraId="1A70D0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новизне,</w:t>
      </w:r>
    </w:p>
    <w:p w14:paraId="74FDB9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полном или частичном использовании,</w:t>
      </w:r>
    </w:p>
    <w:p w14:paraId="44BA46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сохранении секретности.</w:t>
      </w:r>
    </w:p>
    <w:p w14:paraId="3936C3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Конкретные практические предложения эксперта: как поступить с делом и с автором, куда направить и зачем и т.д.</w:t>
      </w:r>
    </w:p>
    <w:p w14:paraId="04E59F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Проект ответа автора: при составления ответа иметь в виду техническую подготовленность! общее развитие автора.</w:t>
      </w:r>
    </w:p>
    <w:p w14:paraId="7833C3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Подпись эксперта.</w:t>
      </w:r>
    </w:p>
    <w:p w14:paraId="74D904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255. Л. 50 - 51. Копия (11210).</w:t>
      </w:r>
    </w:p>
    <w:p w14:paraId="4486937A" w14:textId="77777777" w:rsidR="00537E5F" w:rsidRPr="00507A31" w:rsidRDefault="00537E5F" w:rsidP="00507A31">
      <w:pPr>
        <w:autoSpaceDE w:val="0"/>
        <w:autoSpaceDN w:val="0"/>
        <w:adjustRightInd w:val="0"/>
        <w:jc w:val="both"/>
        <w:rPr>
          <w:color w:val="000000" w:themeColor="text1"/>
          <w:sz w:val="16"/>
          <w:szCs w:val="16"/>
        </w:rPr>
      </w:pPr>
    </w:p>
    <w:p w14:paraId="79D48E40" w14:textId="77777777" w:rsidR="005E17EC" w:rsidRPr="00507A31" w:rsidRDefault="005E17EC" w:rsidP="00507A31">
      <w:pPr>
        <w:jc w:val="both"/>
        <w:rPr>
          <w:color w:val="000000" w:themeColor="text1"/>
          <w:sz w:val="16"/>
          <w:szCs w:val="16"/>
        </w:rPr>
      </w:pPr>
      <w:r w:rsidRPr="00507A31">
        <w:rPr>
          <w:rStyle w:val="a7"/>
          <w:b w:val="0"/>
          <w:color w:val="000000" w:themeColor="text1"/>
          <w:sz w:val="16"/>
          <w:szCs w:val="16"/>
        </w:rPr>
        <w:t>13 июля 1930</w:t>
      </w:r>
      <w:r w:rsidRPr="00507A31">
        <w:rPr>
          <w:color w:val="000000" w:themeColor="text1"/>
          <w:sz w:val="16"/>
          <w:szCs w:val="16"/>
        </w:rPr>
        <w:t>XVI съезд ВКП (б) принял резолюции: «По отчету Центрального Комитета ВКП (б)», «О выполнении пятилетнего плана промышленности», «О задачах профсоюзов в реконструктивный период» (12265).</w:t>
      </w:r>
    </w:p>
    <w:p w14:paraId="6A6232C5" w14:textId="77777777" w:rsidR="005E17EC" w:rsidRPr="00507A31" w:rsidRDefault="005E17EC" w:rsidP="00507A31">
      <w:pPr>
        <w:jc w:val="both"/>
        <w:rPr>
          <w:color w:val="000000" w:themeColor="text1"/>
          <w:sz w:val="16"/>
          <w:szCs w:val="16"/>
        </w:rPr>
      </w:pPr>
      <w:r w:rsidRPr="00507A31">
        <w:rPr>
          <w:color w:val="000000" w:themeColor="text1"/>
          <w:sz w:val="16"/>
          <w:szCs w:val="16"/>
        </w:rPr>
        <w:t>СНК принял постановление «О получении квалификации инженера узкой специальности лицами, окончившими техникумы и соответствующие им учебные заведения» (12265).</w:t>
      </w:r>
    </w:p>
    <w:p w14:paraId="5442A3C7" w14:textId="77777777" w:rsidR="005E17EC" w:rsidRPr="00507A31" w:rsidRDefault="005E17EC" w:rsidP="00507A31">
      <w:pPr>
        <w:jc w:val="both"/>
        <w:rPr>
          <w:color w:val="000000" w:themeColor="text1"/>
          <w:sz w:val="16"/>
          <w:szCs w:val="16"/>
        </w:rPr>
      </w:pPr>
      <w:r w:rsidRPr="00507A31">
        <w:rPr>
          <w:color w:val="000000" w:themeColor="text1"/>
          <w:sz w:val="16"/>
          <w:szCs w:val="16"/>
        </w:rPr>
        <w:t> </w:t>
      </w:r>
    </w:p>
    <w:p w14:paraId="1B91FEE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4AEDD10B" w14:textId="77777777" w:rsidR="00537E5F" w:rsidRPr="00507A31" w:rsidRDefault="00537E5F" w:rsidP="00507A31">
      <w:pPr>
        <w:autoSpaceDE w:val="0"/>
        <w:autoSpaceDN w:val="0"/>
        <w:adjustRightInd w:val="0"/>
        <w:jc w:val="both"/>
        <w:rPr>
          <w:iCs/>
          <w:color w:val="000000" w:themeColor="text1"/>
          <w:sz w:val="16"/>
          <w:szCs w:val="16"/>
        </w:rPr>
      </w:pPr>
    </w:p>
    <w:p w14:paraId="207972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июля 1930 г. Приказом РВС СССР No.045 руководство деятельностью Управления по механизации и моторизации РККА возлагалось на заместителя наркомвоенмора, одновременно являвшегося начальником вооружений РККА. Эта подчиненность Управления закреплена приказом РВС СССР No.067 от 22 ноября 1930 г.</w:t>
      </w:r>
    </w:p>
    <w:p w14:paraId="6E1776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положению об НКО СССР от 22 ноября 1934 г.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No.Ol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152989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758729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5D600F9C" w14:textId="77777777" w:rsidR="00537E5F" w:rsidRPr="00507A31" w:rsidRDefault="00537E5F" w:rsidP="00507A31">
      <w:pPr>
        <w:autoSpaceDE w:val="0"/>
        <w:autoSpaceDN w:val="0"/>
        <w:adjustRightInd w:val="0"/>
        <w:jc w:val="both"/>
        <w:rPr>
          <w:color w:val="000000" w:themeColor="text1"/>
          <w:sz w:val="16"/>
          <w:szCs w:val="16"/>
        </w:rPr>
      </w:pPr>
    </w:p>
    <w:p w14:paraId="4943BB9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680B3F3" w14:textId="77777777" w:rsidR="00537E5F" w:rsidRPr="00507A31" w:rsidRDefault="00537E5F" w:rsidP="00507A31">
      <w:pPr>
        <w:autoSpaceDE w:val="0"/>
        <w:autoSpaceDN w:val="0"/>
        <w:adjustRightInd w:val="0"/>
        <w:jc w:val="both"/>
        <w:rPr>
          <w:iCs/>
          <w:color w:val="000000" w:themeColor="text1"/>
          <w:sz w:val="16"/>
          <w:szCs w:val="16"/>
        </w:rPr>
      </w:pPr>
    </w:p>
    <w:p w14:paraId="528443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13-30 июля 1930 в Уругвае состоялся первый чемпионат мира по футболу и команда Уругвая стала победителем, обыграв аргентинцев 4:2 (3186).</w:t>
      </w:r>
    </w:p>
    <w:p w14:paraId="3711DD48" w14:textId="77777777" w:rsidR="00537E5F" w:rsidRPr="00507A31" w:rsidRDefault="00537E5F" w:rsidP="00507A31">
      <w:pPr>
        <w:autoSpaceDE w:val="0"/>
        <w:autoSpaceDN w:val="0"/>
        <w:adjustRightInd w:val="0"/>
        <w:jc w:val="both"/>
        <w:rPr>
          <w:color w:val="000000" w:themeColor="text1"/>
          <w:sz w:val="16"/>
          <w:szCs w:val="16"/>
        </w:rPr>
      </w:pPr>
    </w:p>
    <w:p w14:paraId="4362D50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13 июля 1930 в Монтевидео открылся первый чемпионат мира по футболу (4962).</w:t>
      </w:r>
    </w:p>
    <w:p w14:paraId="4192EDB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CB5871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13 июля 1930 турецкими войсками подавлено восстание курдов (4962).</w:t>
      </w:r>
    </w:p>
    <w:p w14:paraId="1B0BD3B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FC52DC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A7AFF05" w14:textId="77777777" w:rsidR="00537E5F" w:rsidRPr="00507A31" w:rsidRDefault="00537E5F" w:rsidP="00507A31">
      <w:pPr>
        <w:autoSpaceDE w:val="0"/>
        <w:autoSpaceDN w:val="0"/>
        <w:adjustRightInd w:val="0"/>
        <w:jc w:val="both"/>
        <w:rPr>
          <w:iCs/>
          <w:color w:val="000000" w:themeColor="text1"/>
          <w:sz w:val="16"/>
          <w:szCs w:val="16"/>
        </w:rPr>
      </w:pPr>
    </w:p>
    <w:p w14:paraId="1B962BB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14 июля 1930 состоялось повторное рассмотрение макета АНТ-8 и его утвердили. Первое рассмотрение было в апреле (7610, 33).</w:t>
      </w:r>
    </w:p>
    <w:p w14:paraId="6B1827E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8C0B97E" w14:textId="77777777" w:rsidR="003F54B4" w:rsidRPr="00507A31" w:rsidRDefault="003F54B4" w:rsidP="00507A31">
      <w:pPr>
        <w:pStyle w:val="rtejustify"/>
        <w:shd w:val="clear" w:color="auto" w:fill="FFFFFF"/>
        <w:spacing w:before="0" w:after="0"/>
        <w:rPr>
          <w:color w:val="000000" w:themeColor="text1"/>
          <w:sz w:val="16"/>
          <w:szCs w:val="16"/>
        </w:rPr>
      </w:pPr>
      <w:r w:rsidRPr="00507A31">
        <w:rPr>
          <w:color w:val="000000" w:themeColor="text1"/>
          <w:sz w:val="16"/>
          <w:szCs w:val="16"/>
        </w:rPr>
        <w:t>14 июля 1930 группа специалистов НТК УВВС, НИИ ВВС и ЦАГИ произвела дополнительный осмотр макета самолета И-8 с целью определения обзора вперед. В протоколе осмотра было отмечено:</w:t>
      </w:r>
    </w:p>
    <w:p w14:paraId="3498DD22" w14:textId="77777777" w:rsidR="003F54B4" w:rsidRPr="00507A31" w:rsidRDefault="003F54B4"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«После осмотра макета … и обмена мнениями, установлено, что при обзоре вперед через центральную часть верхних крыльев, имеется не просматриваемая полоса. Признать необходимым, принять меры со стороны ЦАГИ к изменению центральной части верхнего крыла самолета И-8, с целью получения наилучшей видимости, с устранением не просматриваемой полосы.</w:t>
      </w:r>
    </w:p>
    <w:p w14:paraId="67682A54" w14:textId="77777777" w:rsidR="003F54B4" w:rsidRPr="00507A31" w:rsidRDefault="003F54B4" w:rsidP="00507A31">
      <w:pPr>
        <w:pStyle w:val="rtejustify"/>
        <w:shd w:val="clear" w:color="auto" w:fill="FFFFFF"/>
        <w:spacing w:before="0" w:after="0"/>
        <w:rPr>
          <w:rStyle w:val="af0"/>
          <w:i w:val="0"/>
          <w:color w:val="000000" w:themeColor="text1"/>
          <w:sz w:val="16"/>
          <w:szCs w:val="16"/>
          <w:bdr w:val="none" w:sz="0" w:space="0" w:color="auto" w:frame="1"/>
        </w:rPr>
      </w:pPr>
      <w:r w:rsidRPr="00507A31">
        <w:rPr>
          <w:rStyle w:val="af0"/>
          <w:i w:val="0"/>
          <w:color w:val="000000" w:themeColor="text1"/>
          <w:sz w:val="16"/>
          <w:szCs w:val="16"/>
          <w:bdr w:val="none" w:sz="0" w:space="0" w:color="auto" w:frame="1"/>
        </w:rPr>
        <w:t>Совещание считает возможным предложить для улучшения видимости утоньшение центральной части верхних крыльев. …» (19171).</w:t>
      </w:r>
    </w:p>
    <w:p w14:paraId="222CD593" w14:textId="77777777" w:rsidR="003F54B4" w:rsidRPr="00507A31" w:rsidRDefault="003F54B4" w:rsidP="00507A31">
      <w:pPr>
        <w:pStyle w:val="rtejustify"/>
        <w:shd w:val="clear" w:color="auto" w:fill="FFFFFF"/>
        <w:spacing w:before="0" w:after="0"/>
        <w:rPr>
          <w:color w:val="000000" w:themeColor="text1"/>
          <w:sz w:val="16"/>
          <w:szCs w:val="16"/>
        </w:rPr>
      </w:pPr>
    </w:p>
    <w:p w14:paraId="2D0A21F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8C52DEE" w14:textId="77777777" w:rsidR="00537E5F" w:rsidRPr="00507A31" w:rsidRDefault="00537E5F" w:rsidP="00507A31">
      <w:pPr>
        <w:autoSpaceDE w:val="0"/>
        <w:autoSpaceDN w:val="0"/>
        <w:adjustRightInd w:val="0"/>
        <w:jc w:val="both"/>
        <w:rPr>
          <w:iCs/>
          <w:color w:val="000000" w:themeColor="text1"/>
          <w:sz w:val="16"/>
          <w:szCs w:val="16"/>
        </w:rPr>
      </w:pPr>
    </w:p>
    <w:p w14:paraId="3F800E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июля 1930 в Нью Йорк прибыл член НТК Н.М.Тоскин с целью изучения организации производства и контроля за выполнением заказа на два танка Кристи. Тут же направил в адрес И.А.Халепского 127 л чертежей опытного танка (3879,4).</w:t>
      </w:r>
    </w:p>
    <w:p w14:paraId="2EBFEF92" w14:textId="77777777" w:rsidR="00537E5F" w:rsidRPr="00507A31" w:rsidRDefault="00537E5F" w:rsidP="00507A31">
      <w:pPr>
        <w:autoSpaceDE w:val="0"/>
        <w:autoSpaceDN w:val="0"/>
        <w:adjustRightInd w:val="0"/>
        <w:jc w:val="both"/>
        <w:rPr>
          <w:color w:val="000000" w:themeColor="text1"/>
          <w:sz w:val="16"/>
          <w:szCs w:val="16"/>
        </w:rPr>
      </w:pPr>
    </w:p>
    <w:p w14:paraId="14567D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июля 1930 г. чтобы точнее определить трудоемкость производства танка Кристи член Научно-технического комитета (НТК) Н. Тоскин отбыл в Нью-Йорк и вскоре отправил на имя И. Халепского 127 листов чертежей опытной машины и уведомление, что изобретатель сам желает посетить вско</w:t>
      </w:r>
      <w:r w:rsidRPr="00507A31">
        <w:rPr>
          <w:color w:val="000000" w:themeColor="text1"/>
          <w:sz w:val="16"/>
          <w:szCs w:val="16"/>
        </w:rPr>
        <w:softHyphen/>
        <w:t>ре Советский Союз (10733,193).</w:t>
      </w:r>
    </w:p>
    <w:p w14:paraId="5506FF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884FE2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1164B5F" w14:textId="77777777" w:rsidR="00537E5F" w:rsidRPr="00507A31" w:rsidRDefault="00537E5F" w:rsidP="00507A31">
      <w:pPr>
        <w:autoSpaceDE w:val="0"/>
        <w:autoSpaceDN w:val="0"/>
        <w:adjustRightInd w:val="0"/>
        <w:jc w:val="both"/>
        <w:rPr>
          <w:iCs/>
          <w:color w:val="000000" w:themeColor="text1"/>
          <w:sz w:val="16"/>
          <w:szCs w:val="16"/>
        </w:rPr>
      </w:pPr>
    </w:p>
    <w:p w14:paraId="7F5660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июля 1930 И-6 Н.Н.П. разбился.</w:t>
      </w:r>
    </w:p>
    <w:p w14:paraId="2FBBBC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это было на месяц раньше.</w:t>
      </w:r>
    </w:p>
    <w:p w14:paraId="503B90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Н.Н.П. сместили с должности ведущего конструктора и перевели в расчетный отдел, организованный в мае 1930 и Н.Н.П. работал там до конца 1931 (191,20).</w:t>
      </w:r>
    </w:p>
    <w:p w14:paraId="181AF7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понятно за что (наверное, за И-6) и кто именно (наверное ОГПУ).</w:t>
      </w:r>
    </w:p>
    <w:p w14:paraId="5DA1E8B6" w14:textId="77777777" w:rsidR="00537E5F" w:rsidRPr="00507A31" w:rsidRDefault="00537E5F" w:rsidP="00507A31">
      <w:pPr>
        <w:autoSpaceDE w:val="0"/>
        <w:autoSpaceDN w:val="0"/>
        <w:adjustRightInd w:val="0"/>
        <w:jc w:val="both"/>
        <w:rPr>
          <w:color w:val="000000" w:themeColor="text1"/>
          <w:sz w:val="16"/>
          <w:szCs w:val="16"/>
        </w:rPr>
      </w:pPr>
    </w:p>
    <w:p w14:paraId="27697B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июля 1930 г. единственный построенный И-6 разбился, лётчик выпрыгнул с парашютом. И-6 был очень сходен с И-5 по своим лётным данным, немного превосходя его в скорости, но уступая по скороподъёмности и характеристикам манёвренности на горизонталях. Причиной этого был тот самый экспериментальный винт, недодававший тягу. В итоге первенство досталось И-5. Дальнейшую работу над И-6 прекратили, хотя первоначально именно ему отдавалось предпочтение, а на 1930 - 1931 гг. предполагалось заказать 30 экземпляров И-6 для расширенных испытаний (11997).</w:t>
      </w:r>
    </w:p>
    <w:p w14:paraId="14B431ED" w14:textId="77777777" w:rsidR="00537E5F" w:rsidRPr="00507A31" w:rsidRDefault="00537E5F" w:rsidP="00507A31">
      <w:pPr>
        <w:autoSpaceDE w:val="0"/>
        <w:autoSpaceDN w:val="0"/>
        <w:adjustRightInd w:val="0"/>
        <w:jc w:val="both"/>
        <w:rPr>
          <w:color w:val="000000" w:themeColor="text1"/>
          <w:sz w:val="16"/>
          <w:szCs w:val="16"/>
        </w:rPr>
      </w:pPr>
    </w:p>
    <w:p w14:paraId="5FEC02B3" w14:textId="77777777" w:rsidR="00A54027" w:rsidRPr="00507A31" w:rsidRDefault="00A54027" w:rsidP="00507A31">
      <w:pPr>
        <w:jc w:val="both"/>
        <w:rPr>
          <w:color w:val="000000" w:themeColor="text1"/>
          <w:sz w:val="16"/>
          <w:szCs w:val="16"/>
        </w:rPr>
      </w:pPr>
      <w:r w:rsidRPr="00507A31">
        <w:rPr>
          <w:color w:val="000000" w:themeColor="text1"/>
          <w:sz w:val="16"/>
          <w:szCs w:val="16"/>
        </w:rPr>
        <w:t>15 июля в 1930 году разбился единственный построенный «И-6», летчик выпрыгнул с парашютом. «И-6» был очень сходен с «И-5» по своим летным данным, немного превосходя его в скорости, но уступая по скороподъемности и характеристикам маневренности на горизонталях. Причиной этого был экспериментальный винт, недодававший тягу. В итоге первенство досталось «И-5». Дальнейшую работу над «И-6» прекратили, хотя первоначально предпочтение оказывалось последнему, и на 1930…1931 годы предполагалось заказать 30 экземпляров «И-6» для расширенных испытаний (14953).</w:t>
      </w:r>
    </w:p>
    <w:p w14:paraId="7C30704E" w14:textId="77777777" w:rsidR="00A54027" w:rsidRPr="00507A31" w:rsidRDefault="00A54027" w:rsidP="00507A31">
      <w:pPr>
        <w:jc w:val="both"/>
        <w:rPr>
          <w:color w:val="000000" w:themeColor="text1"/>
          <w:sz w:val="16"/>
          <w:szCs w:val="16"/>
        </w:rPr>
      </w:pPr>
    </w:p>
    <w:p w14:paraId="695154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15 июля 1930 в ЦАГИ поступили из НТК УВВС "Общие технические требования к самолетам пятилетнего плана" (исключая те, к которым уже даны технические требования). Они были исправлены согласно протоколу заседания НТК УВВС 26 марта 1930. Получили N 1076с (351).</w:t>
      </w:r>
    </w:p>
    <w:p w14:paraId="70115566" w14:textId="77777777" w:rsidR="00537E5F" w:rsidRPr="00507A31" w:rsidRDefault="00537E5F" w:rsidP="00507A31">
      <w:pPr>
        <w:autoSpaceDE w:val="0"/>
        <w:autoSpaceDN w:val="0"/>
        <w:adjustRightInd w:val="0"/>
        <w:jc w:val="both"/>
        <w:rPr>
          <w:color w:val="000000" w:themeColor="text1"/>
          <w:sz w:val="16"/>
          <w:szCs w:val="16"/>
        </w:rPr>
      </w:pPr>
    </w:p>
    <w:p w14:paraId="640627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июля 1930 г. в Харькове стартовал Всеукраинский мото</w:t>
      </w:r>
      <w:r w:rsidRPr="00507A31">
        <w:rPr>
          <w:color w:val="000000" w:themeColor="text1"/>
          <w:sz w:val="16"/>
          <w:szCs w:val="16"/>
        </w:rPr>
        <w:softHyphen/>
        <w:t>пробег, а 18 июля мотоциклисты с Украины прибыли в Москву. На следующий день мотоцикл П. Лабуры поместили на выставку, а остальные 20 июля отправились по маршруту: Ленин</w:t>
      </w:r>
      <w:r w:rsidRPr="00507A31">
        <w:rPr>
          <w:color w:val="000000" w:themeColor="text1"/>
          <w:sz w:val="16"/>
          <w:szCs w:val="16"/>
        </w:rPr>
        <w:softHyphen/>
        <w:t>град-Псков-Витебск-Киев-Харьков [3.107]. Выставка работала два месяца с большим успехом, её посе</w:t>
      </w:r>
      <w:r w:rsidRPr="00507A31">
        <w:rPr>
          <w:color w:val="000000" w:themeColor="text1"/>
          <w:sz w:val="16"/>
          <w:szCs w:val="16"/>
        </w:rPr>
        <w:softHyphen/>
        <w:t>тили более 100 тыс. человек. Она стала подлинным триумфом П.В. Можарова: на ней экспонировались шесть различных мо</w:t>
      </w:r>
      <w:r w:rsidRPr="00507A31">
        <w:rPr>
          <w:color w:val="000000" w:themeColor="text1"/>
          <w:sz w:val="16"/>
          <w:szCs w:val="16"/>
        </w:rPr>
        <w:softHyphen/>
        <w:t>тоциклов, изготовленных всего за два года под его руководст</w:t>
      </w:r>
      <w:r w:rsidRPr="00507A31">
        <w:rPr>
          <w:color w:val="000000" w:themeColor="text1"/>
          <w:sz w:val="16"/>
          <w:szCs w:val="16"/>
        </w:rPr>
        <w:softHyphen/>
        <w:t>вом. Однако он её не видел, поскольку выполнял задание ВСНХ по изготовлению опытной партии ленинградских мотоциклов [4.14], и не участвовал в обсуждениях, какие мотоциклы выпус</w:t>
      </w:r>
      <w:r w:rsidRPr="00507A31">
        <w:rPr>
          <w:color w:val="000000" w:themeColor="text1"/>
          <w:sz w:val="16"/>
          <w:szCs w:val="16"/>
        </w:rPr>
        <w:softHyphen/>
        <w:t>кать в СССР (11429).</w:t>
      </w:r>
    </w:p>
    <w:p w14:paraId="5B259C95" w14:textId="77777777" w:rsidR="00537E5F" w:rsidRPr="00507A31" w:rsidRDefault="00537E5F" w:rsidP="00507A31">
      <w:pPr>
        <w:autoSpaceDE w:val="0"/>
        <w:autoSpaceDN w:val="0"/>
        <w:adjustRightInd w:val="0"/>
        <w:jc w:val="both"/>
        <w:rPr>
          <w:iCs/>
          <w:color w:val="000000" w:themeColor="text1"/>
          <w:sz w:val="16"/>
          <w:szCs w:val="16"/>
        </w:rPr>
      </w:pPr>
    </w:p>
    <w:p w14:paraId="4CF4E6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июля 1930 года харьковские мотоциклы стартовали в пробеге : Харьков-Москва-Ленинград-Псков-Витебск-Гомель-Киев-Харьков. К восьми харьковским мотоциклам добавили семь ино</w:t>
      </w:r>
      <w:r w:rsidRPr="00507A31">
        <w:rPr>
          <w:color w:val="000000" w:themeColor="text1"/>
          <w:sz w:val="16"/>
          <w:szCs w:val="16"/>
        </w:rPr>
        <w:softHyphen/>
        <w:t>марок, и пять автомобилей сопровождения: четыре легковушки «Форд-А» и грузовик «АМО-Ф-15». Командором пробега назна</w:t>
      </w:r>
      <w:r w:rsidRPr="00507A31">
        <w:rPr>
          <w:color w:val="000000" w:themeColor="text1"/>
          <w:sz w:val="16"/>
          <w:szCs w:val="16"/>
        </w:rPr>
        <w:softHyphen/>
        <w:t>чили Унгера. Ехали под дождем, но в столицу СССР прибыли по графику, через три дня. Члены Мосавтоклуба торжественно встретили харьковчан [3.107]. Пер</w:t>
      </w:r>
      <w:r w:rsidRPr="00507A31">
        <w:rPr>
          <w:color w:val="000000" w:themeColor="text1"/>
          <w:sz w:val="16"/>
          <w:szCs w:val="16"/>
        </w:rPr>
        <w:softHyphen/>
        <w:t>вым делом в экспозицию выставки передали мотоцикл П. Лабу</w:t>
      </w:r>
      <w:r w:rsidRPr="00507A31">
        <w:rPr>
          <w:color w:val="000000" w:themeColor="text1"/>
          <w:sz w:val="16"/>
          <w:szCs w:val="16"/>
        </w:rPr>
        <w:softHyphen/>
        <w:t xml:space="preserve">ры [3.108]. Его место в мотоколонне занял </w:t>
      </w:r>
      <w:r w:rsidRPr="00507A31">
        <w:rPr>
          <w:color w:val="000000" w:themeColor="text1"/>
          <w:sz w:val="16"/>
          <w:szCs w:val="16"/>
          <w:lang w:val="en-US"/>
        </w:rPr>
        <w:t>HarleyDavidson</w:t>
      </w:r>
      <w:r w:rsidRPr="00507A31">
        <w:rPr>
          <w:color w:val="000000" w:themeColor="text1"/>
          <w:sz w:val="16"/>
          <w:szCs w:val="16"/>
        </w:rPr>
        <w:t xml:space="preserve"> с ко</w:t>
      </w:r>
      <w:r w:rsidRPr="00507A31">
        <w:rPr>
          <w:color w:val="000000" w:themeColor="text1"/>
          <w:sz w:val="16"/>
          <w:szCs w:val="16"/>
        </w:rPr>
        <w:softHyphen/>
        <w:t>ляской, предоставленный Московским автоклубом (11429).</w:t>
      </w:r>
    </w:p>
    <w:p w14:paraId="6A3ADB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EF6DC55" w14:textId="77777777" w:rsidR="005E17EC"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F6F8F4F" w14:textId="77777777" w:rsidR="005E17EC" w:rsidRPr="00507A31" w:rsidRDefault="005E17EC" w:rsidP="00507A31">
      <w:pPr>
        <w:autoSpaceDE w:val="0"/>
        <w:autoSpaceDN w:val="0"/>
        <w:adjustRightInd w:val="0"/>
        <w:jc w:val="both"/>
        <w:rPr>
          <w:iCs/>
          <w:color w:val="000000" w:themeColor="text1"/>
          <w:sz w:val="16"/>
          <w:szCs w:val="16"/>
        </w:rPr>
      </w:pPr>
    </w:p>
    <w:p w14:paraId="45D988DD" w14:textId="77777777" w:rsidR="005E17EC" w:rsidRPr="00507A31" w:rsidRDefault="005E17EC" w:rsidP="00507A31">
      <w:pPr>
        <w:jc w:val="both"/>
        <w:rPr>
          <w:color w:val="000000" w:themeColor="text1"/>
          <w:sz w:val="16"/>
          <w:szCs w:val="16"/>
        </w:rPr>
      </w:pPr>
      <w:r w:rsidRPr="00507A31">
        <w:rPr>
          <w:rStyle w:val="a7"/>
          <w:b w:val="0"/>
          <w:color w:val="000000" w:themeColor="text1"/>
          <w:sz w:val="16"/>
          <w:szCs w:val="16"/>
        </w:rPr>
        <w:t>15 июля 1930</w:t>
      </w:r>
      <w:r w:rsidRPr="00507A31">
        <w:rPr>
          <w:color w:val="000000" w:themeColor="text1"/>
          <w:sz w:val="16"/>
          <w:szCs w:val="16"/>
        </w:rPr>
        <w:t>Политбюро ЦК ВКП (б) предложило ВСНХ ограничить мощность нового турбогенераторного завода в Харькове за счет перенесения производства генераторов на Урал;, указало ВСНХ на необходимость расширения лесопильной промышленности Нижнего Поволжья; признало целесообразным разукрупнить объединения по руководству угольной промышленностью и черной металлургией, организовав самостоятельные объединения для предприятии Востока, Юга и Центра страны; одобрило решение комиссии специалистов о постройке плотины Свирьской ГЭС на основе проекта Свирьстроя (12265).</w:t>
      </w:r>
    </w:p>
    <w:p w14:paraId="456464D8" w14:textId="77777777" w:rsidR="005E17EC" w:rsidRPr="00507A31" w:rsidRDefault="005E17EC" w:rsidP="00507A31">
      <w:pPr>
        <w:jc w:val="both"/>
        <w:rPr>
          <w:color w:val="000000" w:themeColor="text1"/>
          <w:sz w:val="16"/>
          <w:szCs w:val="16"/>
        </w:rPr>
      </w:pPr>
      <w:r w:rsidRPr="00507A31">
        <w:rPr>
          <w:color w:val="000000" w:themeColor="text1"/>
          <w:sz w:val="16"/>
          <w:szCs w:val="16"/>
        </w:rPr>
        <w:t> </w:t>
      </w:r>
    </w:p>
    <w:p w14:paraId="377D9526" w14:textId="77777777" w:rsidR="00537E5F" w:rsidRPr="00507A31" w:rsidRDefault="00537E5F" w:rsidP="00507A31">
      <w:pPr>
        <w:autoSpaceDE w:val="0"/>
        <w:autoSpaceDN w:val="0"/>
        <w:adjustRightInd w:val="0"/>
        <w:jc w:val="both"/>
        <w:rPr>
          <w:i/>
          <w:iCs/>
          <w:color w:val="000000" w:themeColor="text1"/>
          <w:sz w:val="16"/>
          <w:szCs w:val="16"/>
        </w:rPr>
      </w:pPr>
      <w:r w:rsidRPr="00507A31">
        <w:rPr>
          <w:i/>
          <w:iCs/>
          <w:color w:val="000000" w:themeColor="text1"/>
          <w:sz w:val="16"/>
          <w:szCs w:val="16"/>
        </w:rPr>
        <w:t>Жизнь и внутрен</w:t>
      </w:r>
      <w:r w:rsidR="00EC6A53" w:rsidRPr="00507A31">
        <w:rPr>
          <w:i/>
          <w:iCs/>
          <w:color w:val="000000" w:themeColor="text1"/>
          <w:sz w:val="16"/>
          <w:szCs w:val="16"/>
        </w:rPr>
        <w:t>н</w:t>
      </w:r>
      <w:r w:rsidRPr="00507A31">
        <w:rPr>
          <w:i/>
          <w:iCs/>
          <w:color w:val="000000" w:themeColor="text1"/>
          <w:sz w:val="16"/>
          <w:szCs w:val="16"/>
        </w:rPr>
        <w:t>яя политика:</w:t>
      </w:r>
    </w:p>
    <w:p w14:paraId="67CFB51C" w14:textId="77777777" w:rsidR="00537E5F" w:rsidRPr="00507A31" w:rsidRDefault="00537E5F" w:rsidP="00507A31">
      <w:pPr>
        <w:autoSpaceDE w:val="0"/>
        <w:autoSpaceDN w:val="0"/>
        <w:adjustRightInd w:val="0"/>
        <w:jc w:val="both"/>
        <w:rPr>
          <w:i/>
          <w:iCs/>
          <w:color w:val="000000" w:themeColor="text1"/>
          <w:sz w:val="16"/>
          <w:szCs w:val="16"/>
        </w:rPr>
      </w:pPr>
    </w:p>
    <w:p w14:paraId="2663D9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июля 1930 началаст арктическая экспедиция на л/п «Георгий Седов».</w:t>
      </w:r>
    </w:p>
    <w:p w14:paraId="5F88A9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Перед экспедицией под руководством О. Ю. Шмидта и В. Ю. Визе ставились задачи по географическому и гидрометеорологическому изучению высокоширотных районов Карского моря. Кроме того, она должна была сменить состав зимовщиков на о. Гукера (Земля Франца-Иосифа), достичь западного берега Северной Земли и организовать там новую полярную станцию. </w:t>
      </w:r>
    </w:p>
    <w:p w14:paraId="18CAE9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июля экспедиция покинула Архангельск. В конце июля, пробившись через 90-мильный ледовый пояс, «Г. Седов» (капитан В. И. Воронин) подошел к о. Гукера. Часть экспедиции занялась строительными работами, остальные обследовали близлежащие острова. </w:t>
      </w:r>
    </w:p>
    <w:p w14:paraId="3B75B5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августа из б. Тихая «Г. Седов» вышел к Русской Гавани (Полая Земля). 11 августа после бункеровки он отправился дальше на северо-восток в неизученные районы Северного Ледовитого океана. 13 августа был открыт остров, названный в честь В. Ю. Визе, предсказавшего его существование в 1924. 22 августа экспедиция открыла новые острова, получившие названия в честь Б. А. Исаченко и В. И. Воронина, а 24 августа — арх. Седова (к западу от Северной Земли). На о. Домашний была построена полярная станция, где в течение двух лет четверо зимовщиков во главе с Г. А. Ушаковым вели исследования Северной Земли. </w:t>
      </w:r>
    </w:p>
    <w:p w14:paraId="2DB17E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Основные работы экспедиции были выполнены, но исследователи решили до конца использовать благоприятную ледовую обстановку. «Г. Седов» дошел почти до 81° с. ш. 31.8 был открыт остров, названный в честь Шмидта. Дальнейший путь был закрыт, и судно повернуло на юг. 14 сентября оно благополучно прибыло в Архангельск. </w:t>
      </w:r>
    </w:p>
    <w:p w14:paraId="0D42C5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Проделав путь около 10 тыс. км, экспедиция выполнила обширную программу комплексных научных наблюдений. Через три года на базе работ группы Г. А. Ушакова была составлена полная карта Северной Земли (11712).</w:t>
      </w:r>
    </w:p>
    <w:p w14:paraId="55AB9640" w14:textId="77777777" w:rsidR="00537E5F" w:rsidRPr="00507A31" w:rsidRDefault="00537E5F" w:rsidP="00507A31">
      <w:pPr>
        <w:autoSpaceDE w:val="0"/>
        <w:autoSpaceDN w:val="0"/>
        <w:adjustRightInd w:val="0"/>
        <w:jc w:val="both"/>
        <w:rPr>
          <w:color w:val="000000" w:themeColor="text1"/>
          <w:sz w:val="16"/>
          <w:szCs w:val="16"/>
        </w:rPr>
      </w:pPr>
    </w:p>
    <w:p w14:paraId="32AFFF59" w14:textId="77777777" w:rsidR="00A54027" w:rsidRPr="00507A31" w:rsidRDefault="00A54027" w:rsidP="00507A31">
      <w:pPr>
        <w:jc w:val="both"/>
        <w:rPr>
          <w:color w:val="000000" w:themeColor="text1"/>
          <w:sz w:val="16"/>
          <w:szCs w:val="16"/>
        </w:rPr>
      </w:pPr>
      <w:r w:rsidRPr="00507A31">
        <w:rPr>
          <w:color w:val="000000" w:themeColor="text1"/>
          <w:sz w:val="16"/>
          <w:szCs w:val="16"/>
        </w:rPr>
        <w:t>15 июля в 1930 году из Архангельска на ледоколе "Георгий Седов" выходит арктическая экспедиция под руководством Отто Шмидта и Владимира Визе. Ее задача - географическое и гидрометеорологическое изучение Карского моря. Кроме того, она должна сменить состав зимовщиков на острове Гукера (Земля Франца-Иосифа), достичь западного берега Северной Земли и организовать там новую полярную станцию (14953).</w:t>
      </w:r>
    </w:p>
    <w:p w14:paraId="24E3DAF7" w14:textId="77777777" w:rsidR="00A54027" w:rsidRPr="00507A31" w:rsidRDefault="00A54027" w:rsidP="00507A31">
      <w:pPr>
        <w:jc w:val="both"/>
        <w:rPr>
          <w:color w:val="000000" w:themeColor="text1"/>
          <w:sz w:val="16"/>
          <w:szCs w:val="16"/>
        </w:rPr>
      </w:pPr>
    </w:p>
    <w:p w14:paraId="54540335" w14:textId="77777777" w:rsidR="00A54027" w:rsidRPr="00507A31" w:rsidRDefault="00A54027" w:rsidP="00507A31">
      <w:pPr>
        <w:jc w:val="both"/>
        <w:rPr>
          <w:color w:val="000000" w:themeColor="text1"/>
          <w:sz w:val="16"/>
          <w:szCs w:val="16"/>
        </w:rPr>
      </w:pPr>
      <w:r w:rsidRPr="00507A31">
        <w:rPr>
          <w:color w:val="000000" w:themeColor="text1"/>
          <w:sz w:val="16"/>
          <w:szCs w:val="16"/>
        </w:rPr>
        <w:t>15 июля в 1930 году в СССР вводится карточная система на мясо. Ее трудно назвать всесоюзной, потому что лишь 14 млн. человек из более чем 160-миллионого населения СССР будут получать мясо по карточкам из государственных фондов. В наилучшем положении будут находиться рабочие Москвы и Ленинграда, шахтеры Донбасса, которым полагается по 200 г мяса в течение 20-22 дней в месяц, служащие наиважнейших промышленных предприятий, которым выдают по 100 г. Остальные города делятся по степени индустриальной важности. Мясные нормы для рабочих в них составляют от 150 г, выдаваемых 15 дней в месяц, до 100 г в течение 10 дней. Нормы служащих составляют от 100 до 75 г в течение 10 дней в месяц (14953).</w:t>
      </w:r>
    </w:p>
    <w:p w14:paraId="360BDB0D" w14:textId="77777777" w:rsidR="00A54027" w:rsidRPr="00507A31" w:rsidRDefault="00A54027" w:rsidP="00507A31">
      <w:pPr>
        <w:jc w:val="both"/>
        <w:rPr>
          <w:color w:val="000000" w:themeColor="text1"/>
          <w:sz w:val="16"/>
          <w:szCs w:val="16"/>
        </w:rPr>
      </w:pPr>
    </w:p>
    <w:p w14:paraId="7FDF508B" w14:textId="77777777" w:rsidR="00A54027"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521E7FF" w14:textId="77777777" w:rsidR="00A54027" w:rsidRPr="00507A31" w:rsidRDefault="00A54027" w:rsidP="00507A31">
      <w:pPr>
        <w:autoSpaceDE w:val="0"/>
        <w:autoSpaceDN w:val="0"/>
        <w:adjustRightInd w:val="0"/>
        <w:jc w:val="both"/>
        <w:rPr>
          <w:iCs/>
          <w:color w:val="000000" w:themeColor="text1"/>
          <w:sz w:val="16"/>
          <w:szCs w:val="16"/>
        </w:rPr>
      </w:pPr>
    </w:p>
    <w:p w14:paraId="70CDF315" w14:textId="77777777" w:rsidR="00A54027" w:rsidRPr="00507A31" w:rsidRDefault="00A54027" w:rsidP="00507A31">
      <w:pPr>
        <w:jc w:val="both"/>
        <w:rPr>
          <w:color w:val="000000" w:themeColor="text1"/>
          <w:sz w:val="16"/>
          <w:szCs w:val="16"/>
        </w:rPr>
      </w:pPr>
      <w:r w:rsidRPr="00507A31">
        <w:rPr>
          <w:color w:val="000000" w:themeColor="text1"/>
          <w:sz w:val="16"/>
          <w:szCs w:val="16"/>
        </w:rPr>
        <w:t>15 июля в 1930 году американка Эллен Черч (1904–1965), медсестра из штата Айова, стала первой в мире стюардессой. Заинтересовавшись авиацией, Эллен поступила на летные курсы, но когда она обратилась к одному из менеджеров авиакомпании Boeing Air Transport с вопросом: будет ли у нее возможность стать пилотом, тот ответил, что считает гораздо более перспективной другую ее идею — ввести на воздушных кораблях новую должность, аналогичную должности проводника на железной дороге. Руководство компании одобрило это предложение и заключило контракты с десятком энтузиасток. Черч первой совершила полет из Окленда (штат Калифорния) в Чикаго (штат Иллинойс). В последующие три года почти все американские авиакомпании обзавелись отрядами стюардесс. А Эллен Черч проработала в небе всего 18 месяцев и вернулась к прежней профессии (14953).</w:t>
      </w:r>
    </w:p>
    <w:p w14:paraId="27F3577A" w14:textId="77777777" w:rsidR="00A54027" w:rsidRPr="00507A31" w:rsidRDefault="00A54027" w:rsidP="00507A31">
      <w:pPr>
        <w:jc w:val="both"/>
        <w:rPr>
          <w:color w:val="000000" w:themeColor="text1"/>
          <w:sz w:val="16"/>
          <w:szCs w:val="16"/>
        </w:rPr>
      </w:pPr>
    </w:p>
    <w:p w14:paraId="3D6FBE0F" w14:textId="77777777" w:rsidR="00EC6A53" w:rsidRPr="00507A31" w:rsidRDefault="00EC6A53"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2DB1E05" w14:textId="77777777" w:rsidR="00EC6A53" w:rsidRPr="00507A31" w:rsidRDefault="00EC6A53" w:rsidP="00507A31">
      <w:pPr>
        <w:autoSpaceDE w:val="0"/>
        <w:autoSpaceDN w:val="0"/>
        <w:adjustRightInd w:val="0"/>
        <w:jc w:val="both"/>
        <w:rPr>
          <w:iCs/>
          <w:color w:val="000000" w:themeColor="text1"/>
          <w:sz w:val="16"/>
          <w:szCs w:val="16"/>
        </w:rPr>
      </w:pPr>
    </w:p>
    <w:p w14:paraId="2B1B4DC1" w14:textId="77777777" w:rsidR="00EC6A53" w:rsidRPr="00507A31" w:rsidRDefault="00EC6A53" w:rsidP="00507A31">
      <w:pPr>
        <w:pStyle w:val="rtejustify"/>
        <w:shd w:val="clear" w:color="auto" w:fill="FFFFFF"/>
        <w:spacing w:before="0" w:after="0"/>
        <w:rPr>
          <w:color w:val="000000" w:themeColor="text1"/>
          <w:sz w:val="16"/>
          <w:szCs w:val="16"/>
        </w:rPr>
      </w:pPr>
      <w:r w:rsidRPr="00507A31">
        <w:rPr>
          <w:color w:val="000000" w:themeColor="text1"/>
          <w:sz w:val="16"/>
          <w:szCs w:val="16"/>
        </w:rPr>
        <w:t>В середине июля 1930, через неделю посде письма КУрчевского, в НТК ВВС поступило указание:</w:t>
      </w:r>
    </w:p>
    <w:p w14:paraId="5182B7D6" w14:textId="77777777" w:rsidR="00EC6A53" w:rsidRPr="00507A31" w:rsidRDefault="00EC6A53"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 необходимо поставить задание ЦАГИ на проработку проекта одноместного металлического истребителя, вооруженного пушкой ДРП.</w:t>
      </w:r>
    </w:p>
    <w:p w14:paraId="1ED36B9B" w14:textId="77777777" w:rsidR="00EC6A53" w:rsidRPr="00507A31" w:rsidRDefault="00EC6A53"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Этот самолет д.б. поставлен в план опытного строительства с постройкой его в первую очередь, даже может быть за счет штурмового самолета.</w:t>
      </w:r>
    </w:p>
    <w:p w14:paraId="2FD3CB23" w14:textId="77777777" w:rsidR="00EC6A53" w:rsidRPr="00507A31" w:rsidRDefault="00EC6A53"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Ввиду того, что автор пушки ДРП т. Курчевский еще не имеет окончательно разработанного типа орудия, то надлежит его связать непосредственно с тов. Туполевым, для совместной увязки и разработки, как вопроса установки пушки, так и места ее расположения.</w:t>
      </w:r>
    </w:p>
    <w:p w14:paraId="6B24CF89" w14:textId="77777777" w:rsidR="00EC6A53" w:rsidRPr="00507A31" w:rsidRDefault="00EC6A53"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Тактико-технические требования на самолет истребитель необходимо разработать срочно каждой секции по принадлежности.</w:t>
      </w:r>
    </w:p>
    <w:p w14:paraId="7E3AA218" w14:textId="77777777" w:rsidR="00EC6A53" w:rsidRPr="00507A31" w:rsidRDefault="00EC6A53" w:rsidP="00507A31">
      <w:pPr>
        <w:pStyle w:val="rtejustify"/>
        <w:shd w:val="clear" w:color="auto" w:fill="FFFFFF"/>
        <w:spacing w:before="0" w:after="0"/>
        <w:rPr>
          <w:rStyle w:val="af0"/>
          <w:i w:val="0"/>
          <w:color w:val="000000" w:themeColor="text1"/>
          <w:sz w:val="16"/>
          <w:szCs w:val="16"/>
          <w:bdr w:val="none" w:sz="0" w:space="0" w:color="auto" w:frame="1"/>
        </w:rPr>
      </w:pPr>
      <w:r w:rsidRPr="00507A31">
        <w:rPr>
          <w:rStyle w:val="af0"/>
          <w:i w:val="0"/>
          <w:color w:val="000000" w:themeColor="text1"/>
          <w:sz w:val="16"/>
          <w:szCs w:val="16"/>
          <w:bdr w:val="none" w:sz="0" w:space="0" w:color="auto" w:frame="1"/>
        </w:rPr>
        <w:t>В дальнейшем для многоместных истребителей в тактико-технических требованиях предусмотреть установку пушки ДРП.» (19172).</w:t>
      </w:r>
    </w:p>
    <w:p w14:paraId="2A695F24" w14:textId="77777777" w:rsidR="00EC6A53" w:rsidRPr="00507A31" w:rsidRDefault="00EC6A53" w:rsidP="00507A31">
      <w:pPr>
        <w:pStyle w:val="rtejustify"/>
        <w:shd w:val="clear" w:color="auto" w:fill="FFFFFF"/>
        <w:spacing w:before="0" w:after="0"/>
        <w:rPr>
          <w:color w:val="000000" w:themeColor="text1"/>
          <w:sz w:val="16"/>
          <w:szCs w:val="16"/>
        </w:rPr>
      </w:pPr>
    </w:p>
    <w:p w14:paraId="2773BBA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DF1B0E9" w14:textId="77777777" w:rsidR="00537E5F" w:rsidRPr="00507A31" w:rsidRDefault="00537E5F" w:rsidP="00507A31">
      <w:pPr>
        <w:autoSpaceDE w:val="0"/>
        <w:autoSpaceDN w:val="0"/>
        <w:adjustRightInd w:val="0"/>
        <w:jc w:val="both"/>
        <w:rPr>
          <w:iCs/>
          <w:color w:val="000000" w:themeColor="text1"/>
          <w:sz w:val="16"/>
          <w:szCs w:val="16"/>
        </w:rPr>
      </w:pPr>
    </w:p>
    <w:p w14:paraId="5C1C8E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июля 1930 на техническом совещании руководителей групп отдела АГОС обсуждался ход проектирования и постройки АНТ-14 (1077,163), а П.О.С. говорил о ходе работ над Р-7 и сроке выхода машины на аэродром, а также о заключении макетной комиссии по И-8 (АНТ-13) (1102).</w:t>
      </w:r>
    </w:p>
    <w:p w14:paraId="4E964C28" w14:textId="77777777" w:rsidR="00537E5F" w:rsidRPr="00507A31" w:rsidRDefault="00537E5F" w:rsidP="00507A31">
      <w:pPr>
        <w:autoSpaceDE w:val="0"/>
        <w:autoSpaceDN w:val="0"/>
        <w:adjustRightInd w:val="0"/>
        <w:jc w:val="both"/>
        <w:rPr>
          <w:color w:val="000000" w:themeColor="text1"/>
          <w:sz w:val="16"/>
          <w:szCs w:val="16"/>
        </w:rPr>
      </w:pPr>
    </w:p>
    <w:p w14:paraId="76F4818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D1B1B6D" w14:textId="77777777" w:rsidR="00537E5F" w:rsidRPr="00507A31" w:rsidRDefault="00537E5F" w:rsidP="00507A31">
      <w:pPr>
        <w:autoSpaceDE w:val="0"/>
        <w:autoSpaceDN w:val="0"/>
        <w:adjustRightInd w:val="0"/>
        <w:jc w:val="both"/>
        <w:rPr>
          <w:iCs/>
          <w:color w:val="000000" w:themeColor="text1"/>
          <w:sz w:val="16"/>
          <w:szCs w:val="16"/>
        </w:rPr>
      </w:pPr>
    </w:p>
    <w:p w14:paraId="33F7DB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июля 1930 г. была подготовлена Служебная записка первого секретаря ВЦСПС в СНК СССР о необходимости своевременной выдачи заработной платы рабочим</w:t>
      </w:r>
    </w:p>
    <w:p w14:paraId="46A79C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 последнее время в ВЦСПС поступают сообщения от ряда совпрофов и ЦК союзов о том, что вследствие отсутствия дензнаков в отделениях Госбанка на местах задерживается своевременная выплата заработной платы рабочим. Так, по сообщению председателя Азербайджанского совпрофа тов. Чечеткина задерживается выплата заработной платы рабочим Баку, что вызывает недовольство рабочих и отрицательно сказывается на состоянии трудовой дисциплины. </w:t>
      </w:r>
    </w:p>
    <w:p w14:paraId="273A6D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сообщению ЦК Союза горняков от 23.VI. задерживается выплата зарплаты 40% Луганскугля, вследствие чего 25% рабочих Брянского рудника не выходят на работу; по Сталинуглю по этим же причинам сорвана программа добычи угля по 7-ми шахтам; по Уралуглю задолженность за первую половину июня составляет 420 тыс. руб. По сообщению ЦК ж. д. имеет место задержка в выплате зарплаты по отдельным участкам некоторых дорог (Екатерининская и др.). </w:t>
      </w:r>
    </w:p>
    <w:p w14:paraId="079A14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сообщению ЦК металлистов, задерживается выплата зарплаты по с.х. заводам Украины. О задержке зарплаты также сообщают Уральский, Средне-Азиатский и Крымский совпрофы, ЦК сахарников и с.х. рабочих сообщают о задержке зарплаты по совхозам и на лесозаготовках.</w:t>
      </w:r>
    </w:p>
    <w:p w14:paraId="3D205F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До сих пор по отдельным случаям несвоевременной выдачи зарплаты ВЦСПС обращался в Госбанк, и совместно разрешали тот или иной конкретный случай. Сейчас, поскольку случаи задержки выплаты зарплаты учащаются и затрагивают отдельные отрасли промышленности и районы, вопрос требует решения директивных органов.</w:t>
      </w:r>
    </w:p>
    <w:p w14:paraId="1DFA72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существующем напряжении со снабжением рабочих продуктами продовольствия, - несвоевременная выплата заработной платы отрицательно сказывается на состоянии трудовой дисциплины, производительности труда, и тем самым, на выполнении промфинплана в целом. Для предотвращения возможности прорывов в выполнении промфинплана на отдельных участках социалистического строительства необходимо принятие соответствующих мер к обеспечению своевременной выплаты заработной платы.</w:t>
      </w:r>
    </w:p>
    <w:p w14:paraId="2C0698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Учитывая напряженность финансового положения, переживаемого страной, Бюро фракции ВЦСПС все же считает необходимым обратиться в СНК с просьбой принять соответствующие меры к обеспечению своевременной выдачи зарплаты рабочим, дав одновременно директиву СТО об обеспечении выплаты заработной платы в первую очередь перед всеми другими платежами и расчетами.</w:t>
      </w:r>
    </w:p>
    <w:p w14:paraId="14247C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 Шверник Источник: ГАРФ. Ф.Р-5456. Оп.6. Д.654. Л.2 (11532).</w:t>
      </w:r>
    </w:p>
    <w:p w14:paraId="56CC2F7A" w14:textId="77777777" w:rsidR="00537E5F" w:rsidRPr="00507A31" w:rsidRDefault="00537E5F" w:rsidP="00507A31">
      <w:pPr>
        <w:autoSpaceDE w:val="0"/>
        <w:autoSpaceDN w:val="0"/>
        <w:adjustRightInd w:val="0"/>
        <w:jc w:val="both"/>
        <w:rPr>
          <w:color w:val="000000" w:themeColor="text1"/>
          <w:sz w:val="16"/>
          <w:szCs w:val="16"/>
        </w:rPr>
      </w:pPr>
    </w:p>
    <w:p w14:paraId="724642DE" w14:textId="77777777" w:rsidR="00A54027" w:rsidRPr="00507A31" w:rsidRDefault="00A54027" w:rsidP="00507A31">
      <w:pPr>
        <w:jc w:val="both"/>
        <w:rPr>
          <w:color w:val="000000" w:themeColor="text1"/>
          <w:sz w:val="16"/>
          <w:szCs w:val="16"/>
        </w:rPr>
      </w:pPr>
      <w:r w:rsidRPr="00507A31">
        <w:rPr>
          <w:color w:val="000000" w:themeColor="text1"/>
          <w:sz w:val="16"/>
          <w:szCs w:val="16"/>
        </w:rPr>
        <w:t>16 июля в 1930 году введено постановлением СНК СССР "Декретное время". Поясное время, переведенное на территории СССР на час вперед с целью более рационального использования населением светлой части суток (14954).</w:t>
      </w:r>
    </w:p>
    <w:p w14:paraId="0C803FE7" w14:textId="77777777" w:rsidR="00A54027" w:rsidRPr="00507A31" w:rsidRDefault="00A54027" w:rsidP="00507A31">
      <w:pPr>
        <w:jc w:val="both"/>
        <w:rPr>
          <w:color w:val="000000" w:themeColor="text1"/>
          <w:sz w:val="16"/>
          <w:szCs w:val="16"/>
        </w:rPr>
      </w:pPr>
    </w:p>
    <w:p w14:paraId="1918AD99" w14:textId="77777777" w:rsidR="00AF25DF" w:rsidRPr="00507A31" w:rsidRDefault="00AF25DF"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2C89122" w14:textId="77777777" w:rsidR="00AF25DF" w:rsidRPr="00507A31" w:rsidRDefault="00AF25DF" w:rsidP="00507A31">
      <w:pPr>
        <w:autoSpaceDE w:val="0"/>
        <w:autoSpaceDN w:val="0"/>
        <w:adjustRightInd w:val="0"/>
        <w:jc w:val="both"/>
        <w:rPr>
          <w:iCs/>
          <w:color w:val="000000" w:themeColor="text1"/>
          <w:sz w:val="16"/>
          <w:szCs w:val="16"/>
        </w:rPr>
      </w:pPr>
    </w:p>
    <w:p w14:paraId="42351501" w14:textId="77777777" w:rsidR="00AF25DF" w:rsidRPr="00507A31" w:rsidRDefault="00AF25DF" w:rsidP="00507A31">
      <w:pPr>
        <w:jc w:val="both"/>
        <w:rPr>
          <w:color w:val="0070C0"/>
          <w:sz w:val="16"/>
          <w:szCs w:val="16"/>
        </w:rPr>
      </w:pPr>
      <w:r w:rsidRPr="00507A31">
        <w:rPr>
          <w:color w:val="0070C0"/>
          <w:sz w:val="16"/>
          <w:szCs w:val="16"/>
        </w:rPr>
        <w:t>16 июля - 8 августа 1930 состоялся Второй Международный туристический Aircraft конкурс «Вызов 1930» в Берлине. Выиграл немецкий экипаж Фрица Morzik на BFW M.23 (29805).</w:t>
      </w:r>
    </w:p>
    <w:p w14:paraId="0973A673" w14:textId="77777777" w:rsidR="00AF25DF" w:rsidRPr="00507A31" w:rsidRDefault="00AF25DF" w:rsidP="00507A31">
      <w:pPr>
        <w:jc w:val="both"/>
        <w:rPr>
          <w:color w:val="0070C0"/>
          <w:sz w:val="16"/>
          <w:szCs w:val="16"/>
        </w:rPr>
      </w:pPr>
    </w:p>
    <w:p w14:paraId="2F204122" w14:textId="77777777" w:rsidR="00EA293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36F8262" w14:textId="77777777" w:rsidR="00EA2934" w:rsidRPr="00507A31" w:rsidRDefault="00EA2934" w:rsidP="00507A31">
      <w:pPr>
        <w:autoSpaceDE w:val="0"/>
        <w:autoSpaceDN w:val="0"/>
        <w:adjustRightInd w:val="0"/>
        <w:jc w:val="both"/>
        <w:rPr>
          <w:iCs/>
          <w:color w:val="000000" w:themeColor="text1"/>
          <w:sz w:val="16"/>
          <w:szCs w:val="16"/>
        </w:rPr>
      </w:pPr>
    </w:p>
    <w:p w14:paraId="67E99296" w14:textId="77777777" w:rsidR="00EA2934" w:rsidRPr="00507A31" w:rsidRDefault="00EA2934" w:rsidP="00507A31">
      <w:pPr>
        <w:pStyle w:val="rtejustify"/>
        <w:spacing w:before="0" w:after="0"/>
        <w:rPr>
          <w:color w:val="000000" w:themeColor="text1"/>
          <w:sz w:val="16"/>
          <w:szCs w:val="16"/>
        </w:rPr>
      </w:pPr>
      <w:r w:rsidRPr="00507A31">
        <w:rPr>
          <w:rStyle w:val="af0"/>
          <w:i w:val="0"/>
          <w:color w:val="000000" w:themeColor="text1"/>
          <w:sz w:val="16"/>
          <w:szCs w:val="16"/>
        </w:rPr>
        <w:t>17 июля 1930 г. Протокол Реввоенсовета № 15.</w:t>
      </w:r>
      <w:r w:rsidRPr="00507A31">
        <w:rPr>
          <w:color w:val="000000" w:themeColor="text1"/>
          <w:sz w:val="16"/>
          <w:szCs w:val="16"/>
        </w:rPr>
        <w:t xml:space="preserve"> 9. О введении на вооружение прибора для заражения без добавочного давления. (Фишман). 10. О введении на вооружение ядовито-дымных шашек малого размера Ям</w:t>
      </w:r>
      <w:r w:rsidRPr="00507A31">
        <w:rPr>
          <w:color w:val="000000" w:themeColor="text1"/>
          <w:sz w:val="16"/>
          <w:szCs w:val="16"/>
        </w:rPr>
        <w:noBreakHyphen/>
        <w:t>11 и Ям</w:t>
      </w:r>
      <w:r w:rsidRPr="00507A31">
        <w:rPr>
          <w:color w:val="000000" w:themeColor="text1"/>
          <w:sz w:val="16"/>
          <w:szCs w:val="16"/>
        </w:rPr>
        <w:noBreakHyphen/>
        <w:t>21 и снятии с вооружения ядовито-дымной шашки Яд</w:t>
      </w:r>
      <w:r w:rsidRPr="00507A31">
        <w:rPr>
          <w:color w:val="000000" w:themeColor="text1"/>
          <w:sz w:val="16"/>
          <w:szCs w:val="16"/>
        </w:rPr>
        <w:noBreakHyphen/>
        <w:t>1. (Фишман). 11. О введении на вооружение фильтропоглотителя марки «ФПМ»</w:t>
      </w:r>
      <w:r w:rsidRPr="00507A31">
        <w:rPr>
          <w:color w:val="000000" w:themeColor="text1"/>
          <w:sz w:val="16"/>
          <w:szCs w:val="16"/>
        </w:rPr>
        <w:noBreakHyphen/>
        <w:t>60. (Фишман). (РГВА. Ф. 4. Оп. 18. Д. 19. Л. 256</w:t>
      </w:r>
      <w:r w:rsidRPr="00507A31">
        <w:rPr>
          <w:color w:val="000000" w:themeColor="text1"/>
          <w:sz w:val="16"/>
          <w:szCs w:val="16"/>
        </w:rPr>
        <w:noBreakHyphen/>
        <w:t>257) (12342).</w:t>
      </w:r>
    </w:p>
    <w:p w14:paraId="06A96C0C" w14:textId="77777777" w:rsidR="00EA2934" w:rsidRPr="00507A31" w:rsidRDefault="00EA2934" w:rsidP="00507A31">
      <w:pPr>
        <w:pStyle w:val="rtejustify"/>
        <w:spacing w:before="0" w:after="0"/>
        <w:rPr>
          <w:color w:val="000000" w:themeColor="text1"/>
          <w:sz w:val="16"/>
          <w:szCs w:val="16"/>
        </w:rPr>
      </w:pPr>
    </w:p>
    <w:p w14:paraId="2CA2BCE3" w14:textId="77777777" w:rsidR="00A54027" w:rsidRPr="00507A31" w:rsidRDefault="00A54027" w:rsidP="00507A31">
      <w:pPr>
        <w:shd w:val="clear" w:color="auto" w:fill="FFFFFF"/>
        <w:jc w:val="both"/>
        <w:rPr>
          <w:color w:val="000000" w:themeColor="text1"/>
          <w:sz w:val="16"/>
          <w:szCs w:val="16"/>
        </w:rPr>
      </w:pPr>
      <w:r w:rsidRPr="00507A31">
        <w:rPr>
          <w:bCs/>
          <w:iCs/>
          <w:color w:val="000000" w:themeColor="text1"/>
          <w:sz w:val="16"/>
          <w:szCs w:val="16"/>
        </w:rPr>
        <w:t>17 июля 1930 г.</w:t>
      </w:r>
      <w:r w:rsidRPr="00507A31">
        <w:rPr>
          <w:color w:val="000000" w:themeColor="text1"/>
          <w:sz w:val="16"/>
          <w:szCs w:val="16"/>
        </w:rPr>
        <w:t xml:space="preserve"> Решение РВС СССР о принятии на вооружение РККА ядовито-дымных шашек ЯМ-11 (ОВ — хлорацетофенон) и ЯМ-21 (адамсит) и снятии с вооружения ядовито-дымной шашки ЯД-1. Шашки ЯМ-11 и ЯМ-21 были испытаны на артполигоне в г.Луга в феврале-марте 1930 г. Производство хлорацетофенона и адамсита для снаряжения шашек ЯМ-11 и ЯМ-21 было налажено на заводе № 1 (Москва). Запас шашек хранился на военно-химическом складе № 136 в Очаково (Москва) (17133).</w:t>
      </w:r>
    </w:p>
    <w:p w14:paraId="7A35109A" w14:textId="77777777" w:rsidR="00A54027" w:rsidRPr="00507A31" w:rsidRDefault="00A54027" w:rsidP="00507A31">
      <w:pPr>
        <w:shd w:val="clear" w:color="auto" w:fill="FFFFFF"/>
        <w:jc w:val="both"/>
        <w:rPr>
          <w:color w:val="000000" w:themeColor="text1"/>
          <w:sz w:val="16"/>
          <w:szCs w:val="16"/>
        </w:rPr>
      </w:pPr>
    </w:p>
    <w:p w14:paraId="60CAD05D" w14:textId="77777777" w:rsidR="00A54027" w:rsidRPr="00507A31" w:rsidRDefault="00A54027" w:rsidP="00507A31">
      <w:pPr>
        <w:shd w:val="clear" w:color="auto" w:fill="FFFFFF"/>
        <w:jc w:val="both"/>
        <w:rPr>
          <w:color w:val="000000" w:themeColor="text1"/>
          <w:sz w:val="16"/>
          <w:szCs w:val="16"/>
        </w:rPr>
      </w:pPr>
      <w:r w:rsidRPr="00507A31">
        <w:rPr>
          <w:bCs/>
          <w:iCs/>
          <w:color w:val="000000" w:themeColor="text1"/>
          <w:sz w:val="16"/>
          <w:szCs w:val="16"/>
        </w:rPr>
        <w:t>17 июля 1930 г.</w:t>
      </w:r>
      <w:r w:rsidRPr="00507A31">
        <w:rPr>
          <w:color w:val="000000" w:themeColor="text1"/>
          <w:sz w:val="16"/>
          <w:szCs w:val="16"/>
        </w:rPr>
        <w:t xml:space="preserve"> Решение РВС СССР о принятии на вооружение химических войск и полковых химических взводов ранцевого прибора для заражения местности НПЗ-2. Носимый прибор был испытан зимой-весной 1930 г. на полигоне в Кузьминках (Москва) в ходе опытных и войсковых испытаний (17133).</w:t>
      </w:r>
    </w:p>
    <w:p w14:paraId="5FA879B1" w14:textId="77777777" w:rsidR="00A54027" w:rsidRPr="00507A31" w:rsidRDefault="00A54027" w:rsidP="00507A31">
      <w:pPr>
        <w:shd w:val="clear" w:color="auto" w:fill="FFFFFF"/>
        <w:jc w:val="both"/>
        <w:rPr>
          <w:color w:val="000000" w:themeColor="text1"/>
          <w:sz w:val="16"/>
          <w:szCs w:val="16"/>
        </w:rPr>
      </w:pPr>
    </w:p>
    <w:p w14:paraId="5D516972" w14:textId="77777777" w:rsidR="00A54027" w:rsidRPr="00507A31" w:rsidRDefault="00A54027" w:rsidP="00507A31">
      <w:pPr>
        <w:shd w:val="clear" w:color="auto" w:fill="FFFFFF"/>
        <w:jc w:val="both"/>
        <w:rPr>
          <w:color w:val="000000" w:themeColor="text1"/>
          <w:sz w:val="16"/>
          <w:szCs w:val="16"/>
        </w:rPr>
      </w:pPr>
      <w:r w:rsidRPr="00507A31">
        <w:rPr>
          <w:bCs/>
          <w:iCs/>
          <w:color w:val="000000" w:themeColor="text1"/>
          <w:sz w:val="16"/>
          <w:szCs w:val="16"/>
        </w:rPr>
        <w:t>17 июля 1930 г. — 15 января 1931 г.</w:t>
      </w:r>
      <w:r w:rsidRPr="00507A31">
        <w:rPr>
          <w:color w:val="000000" w:themeColor="text1"/>
          <w:sz w:val="16"/>
          <w:szCs w:val="16"/>
        </w:rPr>
        <w:t xml:space="preserve"> Очередной сезон совместных советско-германских работ по испытанию химического оружия на военно-химическом полигоне Шиханы (Саратовская область). Экспедиция «гостей» включала около 30 человек, группы — артиллерийская, авиационная, по приборам заражения, биологическая. Всего было выполнено около 30 опытов, большая часть которых включала артиллерийские стрельбы, авиационное бомбометание и подрыв химических фугасов. Среди наиболее важных опытов укажем изучение важного для страны-обладательницы Сибири так называемого «зимнего иприта», в качестве которого был использован обычный иприт с добавлением хлорбензола. Именно в этой форме немцы использовали иприт еще в первую мировую войну, однако смысл идеи советские военные химики так и не поняли, хотя и вскрыли трофейные немецкие снаряды с ипритом еще в 1923 году. В сезон 1930-1931 годов был окончательно решен вопрос о конструкции химических фугасов, которые немецкая сторона считала удобным оружием для заражения местности при отступлении, в том числе пехотой. Были проведены стрельбы из гаубицы калибра 105 мм различными типами снарядов в снаряжении жидким ипритом. При изучении средств авиационно-химического нападения были выполнены две группы опытов — с бомбами и с ВАПами. Авиационные бомбы ударного действия были испытаны с различными разрывными зарядами и различными объемами иприта. Советских участников впечатлило устройство, «</w:t>
      </w:r>
      <w:r w:rsidRPr="00507A31">
        <w:rPr>
          <w:iCs/>
          <w:color w:val="000000" w:themeColor="text1"/>
          <w:sz w:val="16"/>
          <w:szCs w:val="16"/>
        </w:rPr>
        <w:t>при помощи которого дистанционный взрыватель можно устанавливать в воздухе во время полета</w:t>
      </w:r>
      <w:r w:rsidRPr="00507A31">
        <w:rPr>
          <w:color w:val="000000" w:themeColor="text1"/>
          <w:sz w:val="16"/>
          <w:szCs w:val="16"/>
        </w:rPr>
        <w:t>». Среди прочего укажем совместные испытания крупповской автоцистерны для заражения местности. По каждому опыту немецкая сторона составляла отчет, один экземпляр которого передавался советской стороне. Ей достались и все образцы немецкого имущества — артхимснаряды, авиахимбомбы, ВАПы, ручные приборы для наземного заражения местности, 7 автоцистерн для заражения, универсальная разливочная установка для иприта и даже прибор для установки дистанционного взрывателя авиабомб во время полета на самолете. В тот сезон состоялось и </w:t>
      </w:r>
      <w:r w:rsidRPr="00507A31">
        <w:rPr>
          <w:bCs/>
          <w:iCs/>
          <w:color w:val="000000" w:themeColor="text1"/>
          <w:sz w:val="16"/>
          <w:szCs w:val="16"/>
        </w:rPr>
        <w:t>совместное советско-немецкое испытание иприта на живых людях</w:t>
      </w:r>
      <w:r w:rsidRPr="00507A31">
        <w:rPr>
          <w:color w:val="000000" w:themeColor="text1"/>
          <w:sz w:val="16"/>
          <w:szCs w:val="16"/>
        </w:rPr>
        <w:t>. Советская сторона предоставила немецким химикам «</w:t>
      </w:r>
      <w:r w:rsidRPr="00507A31">
        <w:rPr>
          <w:iCs/>
          <w:color w:val="000000" w:themeColor="text1"/>
          <w:sz w:val="16"/>
          <w:szCs w:val="16"/>
        </w:rPr>
        <w:t>7 объектов</w:t>
      </w:r>
      <w:r w:rsidRPr="00507A31">
        <w:rPr>
          <w:color w:val="000000" w:themeColor="text1"/>
          <w:sz w:val="16"/>
          <w:szCs w:val="16"/>
        </w:rPr>
        <w:t>», на кожу которых наносились капли иприта. По окончании испытаний уже в Москве 19 января состоялась итоговая конференция, в которой участвовали 5 «гостей» (руководителей опытов), а также ответственные работники ВОХИМУ (17133).</w:t>
      </w:r>
    </w:p>
    <w:p w14:paraId="174714B5" w14:textId="77777777" w:rsidR="00A54027" w:rsidRPr="00507A31" w:rsidRDefault="00A54027" w:rsidP="00507A31">
      <w:pPr>
        <w:shd w:val="clear" w:color="auto" w:fill="FFFFFF"/>
        <w:jc w:val="both"/>
        <w:rPr>
          <w:color w:val="000000" w:themeColor="text1"/>
          <w:sz w:val="16"/>
          <w:szCs w:val="16"/>
        </w:rPr>
      </w:pPr>
    </w:p>
    <w:p w14:paraId="1CF21283" w14:textId="77777777" w:rsidR="00EC6A53" w:rsidRPr="00507A31" w:rsidRDefault="00EC6A53"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0DBCEC42" w14:textId="77777777" w:rsidR="00EC6A53" w:rsidRPr="00507A31" w:rsidRDefault="00EC6A53" w:rsidP="00507A31">
      <w:pPr>
        <w:autoSpaceDE w:val="0"/>
        <w:autoSpaceDN w:val="0"/>
        <w:adjustRightInd w:val="0"/>
        <w:jc w:val="both"/>
        <w:rPr>
          <w:iCs/>
          <w:color w:val="000000" w:themeColor="text1"/>
          <w:sz w:val="16"/>
          <w:szCs w:val="16"/>
        </w:rPr>
      </w:pPr>
    </w:p>
    <w:p w14:paraId="23C04A17"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17 июля 1930 г. на заседании РВС СССР снова вернулись к вопросу комплектования летных школ. </w:t>
      </w:r>
    </w:p>
    <w:p w14:paraId="22E70AFB" w14:textId="77777777" w:rsidR="00EC6A53" w:rsidRPr="00507A31" w:rsidRDefault="00EC6A53" w:rsidP="00507A31">
      <w:pPr>
        <w:jc w:val="both"/>
        <w:rPr>
          <w:color w:val="000000" w:themeColor="text1"/>
          <w:sz w:val="16"/>
          <w:szCs w:val="16"/>
        </w:rPr>
      </w:pPr>
      <w:r w:rsidRPr="00507A31">
        <w:rPr>
          <w:color w:val="000000" w:themeColor="text1"/>
          <w:sz w:val="16"/>
          <w:szCs w:val="16"/>
        </w:rPr>
        <w:t>Был заслушан доклад Начальника Командного управления РККА Н.В. Куйбышева и Начальника ВВС РККА П.И. Баранова «Обеспечение кадрами строительства РККА на вторую половину пятилетнего плана». В резолюции были намечены мероприятия по расширению действующих авиационных вузов и созданию новых (приложение «G»). В работе по совершенствованию и расширению подготовки авиакадров существенным недостатком в 1930 г. считалась недостаточная укомплектованность авиачастей авиатехниками. Управление ВВС признавало: «Самое слабое место – авиатехники, их большой некомплект. До получения продукции из новых школ некомплект изжить полностью не удастся».</w:t>
      </w:r>
    </w:p>
    <w:p w14:paraId="149D029F" w14:textId="77777777" w:rsidR="00EC6A53" w:rsidRPr="00507A31" w:rsidRDefault="00EC6A53" w:rsidP="00507A31">
      <w:pPr>
        <w:jc w:val="both"/>
        <w:rPr>
          <w:color w:val="000000" w:themeColor="text1"/>
          <w:sz w:val="16"/>
          <w:szCs w:val="16"/>
        </w:rPr>
      </w:pPr>
      <w:r w:rsidRPr="00507A31">
        <w:rPr>
          <w:color w:val="000000" w:themeColor="text1"/>
          <w:sz w:val="16"/>
          <w:szCs w:val="16"/>
        </w:rPr>
        <w:t>В 1930 г. в ВВС имелось четыре технических учебных заведения: ВВА им. проф. Н.Е. Жуковского и три авиационно-технические школы. Производительность их была достаточно высокая. Например, Московская школа спецслужб ВВС за 1925 – 1928 гг. подготовила более 500 специалистов. Однако с укомплектованностью курсантами летных школ не все обстояло благополучно (19566).</w:t>
      </w:r>
    </w:p>
    <w:p w14:paraId="667A5385" w14:textId="77777777" w:rsidR="00EC6A53" w:rsidRPr="00507A31" w:rsidRDefault="00EC6A53" w:rsidP="00507A31">
      <w:pPr>
        <w:jc w:val="both"/>
        <w:rPr>
          <w:color w:val="000000" w:themeColor="text1"/>
          <w:sz w:val="16"/>
          <w:szCs w:val="16"/>
        </w:rPr>
      </w:pPr>
    </w:p>
    <w:p w14:paraId="7DE2F34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69BBC18" w14:textId="77777777" w:rsidR="00537E5F" w:rsidRPr="00507A31" w:rsidRDefault="00537E5F" w:rsidP="00507A31">
      <w:pPr>
        <w:autoSpaceDE w:val="0"/>
        <w:autoSpaceDN w:val="0"/>
        <w:adjustRightInd w:val="0"/>
        <w:jc w:val="both"/>
        <w:rPr>
          <w:iCs/>
          <w:color w:val="000000" w:themeColor="text1"/>
          <w:sz w:val="16"/>
          <w:szCs w:val="16"/>
        </w:rPr>
      </w:pPr>
    </w:p>
    <w:p w14:paraId="1F8B9B5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18 июля 1930 года врид председателя НТК УВВС Харламов писал письмо:</w:t>
      </w:r>
    </w:p>
    <w:p w14:paraId="49D3426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распоряжению от 15 июня 1930 года Наркомвоенмора Ворошилова самолет ВТХ1 должен изготовляться в серии. Литерное обозначение его по номенклатуре ВВС будет И5-ЮпVI и И5-М15 (с мотором 2М15) (6943, 16).</w:t>
      </w:r>
    </w:p>
    <w:p w14:paraId="48A7558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6896D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C 18 июля по 14 августа 1930 проходили испытания самолета П2 М6 N 2284.</w:t>
      </w:r>
    </w:p>
    <w:p w14:paraId="712B03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Цель работы</w:t>
      </w:r>
    </w:p>
    <w:p w14:paraId="1A1F8D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серийного самолета.</w:t>
      </w:r>
    </w:p>
    <w:p w14:paraId="477F0B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Начало испытания - 18.07.1930 г.</w:t>
      </w:r>
    </w:p>
    <w:p w14:paraId="6FED76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Число дней испытания - 23</w:t>
      </w:r>
    </w:p>
    <w:p w14:paraId="03DF5F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Число полетов - 29</w:t>
      </w:r>
    </w:p>
    <w:p w14:paraId="2B5AE1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Летных дней - 13</w:t>
      </w:r>
    </w:p>
    <w:p w14:paraId="587BA7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1AD4A9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Как корпусной самолет П2 М6 применен быть не может так как вооружение и оборудование задней кабины снято из-за недопустимости центровки самолета превышающей 28%.</w:t>
      </w:r>
    </w:p>
    <w:p w14:paraId="6B82AC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Возможно применение как тренировочного в частях ВВС или в гражданской авиации при условии устранения недостатков (3278).</w:t>
      </w:r>
    </w:p>
    <w:p w14:paraId="0F24AAAD" w14:textId="77777777" w:rsidR="00537E5F" w:rsidRPr="00507A31" w:rsidRDefault="00537E5F" w:rsidP="00507A31">
      <w:pPr>
        <w:autoSpaceDE w:val="0"/>
        <w:autoSpaceDN w:val="0"/>
        <w:adjustRightInd w:val="0"/>
        <w:jc w:val="both"/>
        <w:rPr>
          <w:color w:val="000000" w:themeColor="text1"/>
          <w:sz w:val="16"/>
          <w:szCs w:val="16"/>
        </w:rPr>
      </w:pPr>
    </w:p>
    <w:p w14:paraId="0CB465C6" w14:textId="77777777" w:rsidR="00F313C4" w:rsidRPr="00507A31" w:rsidRDefault="00F313C4" w:rsidP="00507A31">
      <w:pPr>
        <w:jc w:val="both"/>
        <w:rPr>
          <w:color w:val="000000" w:themeColor="text1"/>
          <w:sz w:val="16"/>
          <w:szCs w:val="16"/>
        </w:rPr>
      </w:pPr>
      <w:r w:rsidRPr="00507A31">
        <w:rPr>
          <w:color w:val="000000" w:themeColor="text1"/>
          <w:sz w:val="16"/>
          <w:szCs w:val="16"/>
        </w:rPr>
        <w:t>18 июля 1930 ЭИ Бартини был вообще изъят из всяко</w:t>
      </w:r>
      <w:r w:rsidRPr="00507A31">
        <w:rPr>
          <w:color w:val="000000" w:themeColor="text1"/>
          <w:sz w:val="16"/>
          <w:szCs w:val="16"/>
        </w:rPr>
        <w:softHyphen/>
        <w:t xml:space="preserve">го плана и попросту перестал упоминаться даже где-либо», </w:t>
      </w:r>
      <w:r w:rsidRPr="00507A31">
        <w:rPr>
          <w:rStyle w:val="4c"/>
          <w:rFonts w:ascii="Times New Roman" w:hAnsi="Times New Roman" w:cs="Times New Roman"/>
          <w:i w:val="0"/>
          <w:color w:val="000000" w:themeColor="text1"/>
          <w:sz w:val="16"/>
          <w:szCs w:val="16"/>
        </w:rPr>
        <w:t>— писал в 1930 г. в Комиссию по чистке авиаконструктор В.Б. Шавров (15844).</w:t>
      </w:r>
    </w:p>
    <w:p w14:paraId="7FB115DF" w14:textId="77777777" w:rsidR="00F313C4" w:rsidRPr="00507A31" w:rsidRDefault="00F313C4" w:rsidP="00507A31">
      <w:pPr>
        <w:jc w:val="both"/>
        <w:rPr>
          <w:color w:val="000000" w:themeColor="text1"/>
          <w:sz w:val="16"/>
          <w:szCs w:val="16"/>
        </w:rPr>
      </w:pPr>
    </w:p>
    <w:p w14:paraId="47A10E03" w14:textId="77777777" w:rsidR="002921CC" w:rsidRPr="00507A31" w:rsidRDefault="002921CC" w:rsidP="00507A31">
      <w:pPr>
        <w:jc w:val="both"/>
        <w:rPr>
          <w:color w:val="000000" w:themeColor="text1"/>
          <w:sz w:val="16"/>
          <w:szCs w:val="16"/>
        </w:rPr>
      </w:pPr>
      <w:r w:rsidRPr="00507A31">
        <w:rPr>
          <w:color w:val="000000" w:themeColor="text1"/>
          <w:sz w:val="16"/>
          <w:szCs w:val="16"/>
        </w:rPr>
        <w:lastRenderedPageBreak/>
        <w:t xml:space="preserve">18 июля 1930 ЭИ был изъят из всякого плана и попросту перестал упоминаться даже где-либо», — писал в 1930 г. в Комиссию по чистке авиаконструктор В.Б. Шавров </w:t>
      </w:r>
      <w:hyperlink r:id="rId120" w:history="1">
        <w:r w:rsidRPr="00507A31">
          <w:rPr>
            <w:color w:val="000000" w:themeColor="text1"/>
            <w:sz w:val="16"/>
            <w:szCs w:val="16"/>
          </w:rPr>
          <w:t>[111]</w:t>
        </w:r>
      </w:hyperlink>
      <w:r w:rsidRPr="00507A31">
        <w:rPr>
          <w:color w:val="000000" w:themeColor="text1"/>
          <w:sz w:val="16"/>
          <w:szCs w:val="16"/>
        </w:rPr>
        <w:t>.</w:t>
      </w:r>
    </w:p>
    <w:p w14:paraId="08A368A1" w14:textId="77777777" w:rsidR="002921CC" w:rsidRPr="00507A31" w:rsidRDefault="002921CC" w:rsidP="00507A31">
      <w:pPr>
        <w:jc w:val="both"/>
        <w:rPr>
          <w:color w:val="000000" w:themeColor="text1"/>
          <w:sz w:val="16"/>
          <w:szCs w:val="16"/>
        </w:rPr>
      </w:pPr>
      <w:r w:rsidRPr="00507A31">
        <w:rPr>
          <w:color w:val="000000" w:themeColor="text1"/>
          <w:sz w:val="16"/>
          <w:szCs w:val="16"/>
        </w:rPr>
        <w:t>Понимая всю важность уменьшения аэродинамического сопротивления, Бартини решил устранить все выступающие из фюзеляжа части: сделать убирающееся в полёте шасси, убрать в поверхность крыла радиатор, закрыть лётчика прозрачным колпаком, не выступающим за обводы корпуса.</w:t>
      </w:r>
    </w:p>
    <w:p w14:paraId="7FF18C4D" w14:textId="77777777" w:rsidR="002921CC" w:rsidRPr="00507A31" w:rsidRDefault="002921CC" w:rsidP="00507A31">
      <w:pPr>
        <w:jc w:val="both"/>
        <w:rPr>
          <w:color w:val="000000" w:themeColor="text1"/>
          <w:sz w:val="16"/>
          <w:szCs w:val="16"/>
        </w:rPr>
      </w:pPr>
      <w:r w:rsidRPr="00507A31">
        <w:rPr>
          <w:color w:val="000000" w:themeColor="text1"/>
          <w:sz w:val="16"/>
          <w:szCs w:val="16"/>
        </w:rPr>
        <w:t>Проект такого самолёта Роберт Людвигович Бартини (так его звали в на шей стране) предложил в 1930 г., вскоре после устройства на работу в Центральное конструкторское бюро при заводе № 39 в Москве. Машине дали обозначение ЭИ (экспериментальный истребитель). С разрабатывавшимся в то время мотором водяного охлаждения М-32 мощностью 750 л. с. он должен был развивать скорость 450 км/ч и набирать высоту 5000 м всего за 3,5 минуты.</w:t>
      </w:r>
    </w:p>
    <w:p w14:paraId="70A05F6E" w14:textId="77777777" w:rsidR="002921CC" w:rsidRPr="00507A31" w:rsidRDefault="002921CC" w:rsidP="00507A31">
      <w:pPr>
        <w:jc w:val="both"/>
        <w:rPr>
          <w:color w:val="000000" w:themeColor="text1"/>
          <w:sz w:val="16"/>
          <w:szCs w:val="16"/>
        </w:rPr>
      </w:pPr>
      <w:r w:rsidRPr="00507A31">
        <w:rPr>
          <w:color w:val="000000" w:themeColor="text1"/>
          <w:sz w:val="16"/>
          <w:szCs w:val="16"/>
        </w:rPr>
        <w:t xml:space="preserve">Для отработки механизма уборки шасси и проверки общей концепции самолёта Бартини предложил использовать один из экземпляров ИЛ-400 — так назывался не пошедший в серию истребитель-моноплан Н.Н. Поликарпова. Но после смены руководства ЦКБ заместитель начальника бюро И.И. Артамонов начал тормозить работу над ЭИ. «Прежде всего он — именно он — задерживал под разными предлогами перевозку самолёта ИЛ с завода № 1 на завод № 39. Только после нескольких напоминаний т. Банникова ИЛ был наконец перевезён, и мы собрались уже заняться им вплотную, когда на известном заседании 18/VII ЭИ был вообще изъят из всякого плана и попросту перестал упоминаться даже где-либо», — писал в 1930 г. в Комиссию по чистке авиаконструктор В.Б. Шавров </w:t>
      </w:r>
      <w:hyperlink r:id="rId121" w:history="1">
        <w:r w:rsidRPr="00507A31">
          <w:rPr>
            <w:color w:val="000000" w:themeColor="text1"/>
            <w:sz w:val="16"/>
            <w:szCs w:val="16"/>
          </w:rPr>
          <w:t>[111]</w:t>
        </w:r>
      </w:hyperlink>
      <w:r w:rsidRPr="00507A31">
        <w:rPr>
          <w:color w:val="000000" w:themeColor="text1"/>
          <w:sz w:val="16"/>
          <w:szCs w:val="16"/>
        </w:rPr>
        <w:t xml:space="preserve"> (17489).</w:t>
      </w:r>
    </w:p>
    <w:p w14:paraId="5379E9BC" w14:textId="77777777" w:rsidR="002921CC" w:rsidRPr="00507A31" w:rsidRDefault="002921CC" w:rsidP="00507A31">
      <w:pPr>
        <w:jc w:val="both"/>
        <w:rPr>
          <w:color w:val="000000" w:themeColor="text1"/>
          <w:sz w:val="16"/>
          <w:szCs w:val="16"/>
        </w:rPr>
      </w:pPr>
    </w:p>
    <w:p w14:paraId="0708A4F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1AE79FD" w14:textId="77777777" w:rsidR="00537E5F" w:rsidRPr="00507A31" w:rsidRDefault="00537E5F" w:rsidP="00507A31">
      <w:pPr>
        <w:autoSpaceDE w:val="0"/>
        <w:autoSpaceDN w:val="0"/>
        <w:adjustRightInd w:val="0"/>
        <w:jc w:val="both"/>
        <w:rPr>
          <w:iCs/>
          <w:color w:val="000000" w:themeColor="text1"/>
          <w:sz w:val="16"/>
          <w:szCs w:val="16"/>
        </w:rPr>
      </w:pPr>
    </w:p>
    <w:p w14:paraId="4D8AD7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июля 1930 года была подготовлена «Справка по плану заказов Наркомвоенмора на 1930-1931 годы» (№ 17662), т.е. составле</w:t>
      </w:r>
      <w:r w:rsidRPr="00507A31">
        <w:rPr>
          <w:color w:val="000000" w:themeColor="text1"/>
          <w:sz w:val="16"/>
          <w:szCs w:val="16"/>
        </w:rPr>
        <w:softHyphen/>
        <w:t>на спустя полгода после написания письма Тухачевским Сталину и истече</w:t>
      </w:r>
      <w:r w:rsidRPr="00507A31">
        <w:rPr>
          <w:color w:val="000000" w:themeColor="text1"/>
          <w:sz w:val="16"/>
          <w:szCs w:val="16"/>
        </w:rPr>
        <w:softHyphen/>
        <w:t>ния одного года Первой пятилетки (1929-1932 г.г.), в программе которой решались и задачи укрепления обороноспособности страны. В этом доку</w:t>
      </w:r>
      <w:r w:rsidRPr="00507A31">
        <w:rPr>
          <w:color w:val="000000" w:themeColor="text1"/>
          <w:sz w:val="16"/>
          <w:szCs w:val="16"/>
        </w:rPr>
        <w:softHyphen/>
        <w:t>менте и говорится о том, что способна выполнить промышленность из зака</w:t>
      </w:r>
      <w:r w:rsidRPr="00507A31">
        <w:rPr>
          <w:color w:val="000000" w:themeColor="text1"/>
          <w:sz w:val="16"/>
          <w:szCs w:val="16"/>
        </w:rPr>
        <w:softHyphen/>
        <w:t>зов Наркомвоенмора и, в частности, Машобъединение НКТП (выпускав</w:t>
      </w:r>
      <w:r w:rsidRPr="00507A31">
        <w:rPr>
          <w:color w:val="000000" w:themeColor="text1"/>
          <w:sz w:val="16"/>
          <w:szCs w:val="16"/>
        </w:rPr>
        <w:softHyphen/>
        <w:t>шее военную продукцию), а что не может и по каким причинам.</w:t>
      </w:r>
    </w:p>
    <w:p w14:paraId="62733A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разделе «7. Танки» этого документа говорится:</w:t>
      </w:r>
    </w:p>
    <w:p w14:paraId="79A0FE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Т-12. Программа УММ РККА — 300 шт. Машобъединение прини</w:t>
      </w:r>
      <w:r w:rsidRPr="00507A31">
        <w:rPr>
          <w:color w:val="000000" w:themeColor="text1"/>
          <w:sz w:val="16"/>
          <w:szCs w:val="16"/>
        </w:rPr>
        <w:softHyphen/>
        <w:t>мает к исполнению только 200 танков. Выполнение (заказа) 300 танков потребует сокращения производства тракторов наполовину»*.</w:t>
      </w:r>
    </w:p>
    <w:p w14:paraId="305F13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Танки МС-1 — 720 шт. Принимается к исполнению полностью.</w:t>
      </w:r>
    </w:p>
    <w:p w14:paraId="4A8DF2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Танкетки— 290 шт. Из-за отсутствия образца в АТО (автотрактор</w:t>
      </w:r>
      <w:r w:rsidRPr="00507A31">
        <w:rPr>
          <w:color w:val="000000" w:themeColor="text1"/>
          <w:sz w:val="16"/>
          <w:szCs w:val="16"/>
        </w:rPr>
        <w:softHyphen/>
        <w:t>ном объединении) не принимается и заказ исключается совершенно.</w:t>
      </w:r>
    </w:p>
    <w:p w14:paraId="429457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Танк «Кристи» — до настоящего времени в МПУ еще не поступила заявка».</w:t>
      </w:r>
    </w:p>
    <w:p w14:paraId="4FF9FE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Как видим, даже увеличение выпуска новых танков Т-12 в 1930-1931 годах влекло за собой сокращение производства тракторов на ХПЗ им. Коминтерна наполовину. А что бы было на этом заводе, если заставить его коллектив изготовить 1000 танков, да не типа Т-12, а типа «Кристи», который был на порядок сложнее по конструкции и более трудоемким в производстве, чем МС-1 и Т-12?</w:t>
      </w:r>
    </w:p>
    <w:p w14:paraId="44B13E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Ранее уже указывалось, что в Ленинграде на заводе «Большевик» с кон</w:t>
      </w:r>
      <w:r w:rsidRPr="00507A31">
        <w:rPr>
          <w:color w:val="000000" w:themeColor="text1"/>
          <w:sz w:val="16"/>
          <w:szCs w:val="16"/>
        </w:rPr>
        <w:softHyphen/>
        <w:t>ца 1928 по 1931 год было выпущено танков типа МС-1 чуть больше 900 единиц (11504).</w:t>
      </w:r>
    </w:p>
    <w:p w14:paraId="5EA9B6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FDD9519" w14:textId="77777777" w:rsidR="00EA293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2ADB8B8" w14:textId="77777777" w:rsidR="00EA2934" w:rsidRPr="00507A31" w:rsidRDefault="00EA2934" w:rsidP="00507A31">
      <w:pPr>
        <w:autoSpaceDE w:val="0"/>
        <w:autoSpaceDN w:val="0"/>
        <w:adjustRightInd w:val="0"/>
        <w:jc w:val="both"/>
        <w:rPr>
          <w:iCs/>
          <w:color w:val="000000" w:themeColor="text1"/>
          <w:sz w:val="16"/>
          <w:szCs w:val="16"/>
        </w:rPr>
      </w:pPr>
    </w:p>
    <w:p w14:paraId="3D94667A" w14:textId="77777777" w:rsidR="00EA2934" w:rsidRPr="00507A31" w:rsidRDefault="00EA2934" w:rsidP="00507A31">
      <w:pPr>
        <w:jc w:val="both"/>
        <w:rPr>
          <w:color w:val="000000" w:themeColor="text1"/>
          <w:sz w:val="16"/>
          <w:szCs w:val="16"/>
        </w:rPr>
      </w:pPr>
      <w:r w:rsidRPr="00507A31">
        <w:rPr>
          <w:color w:val="000000" w:themeColor="text1"/>
          <w:sz w:val="16"/>
          <w:szCs w:val="16"/>
        </w:rPr>
        <w:t xml:space="preserve">18 июля 1930 г. Записка ОГПУ в ЦК ВКП(б) об авариях самолетов в РККА Особый отдел. </w:t>
      </w:r>
    </w:p>
    <w:p w14:paraId="012C24ED"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Особый отдел 18 июля 1930 г.</w:t>
      </w:r>
    </w:p>
    <w:p w14:paraId="159139F8"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 44646 Совершенно секретно</w:t>
      </w:r>
    </w:p>
    <w:p w14:paraId="7F699677" w14:textId="77777777" w:rsidR="00EA2934" w:rsidRPr="00507A31" w:rsidRDefault="00EA2934" w:rsidP="00507A31">
      <w:pPr>
        <w:pStyle w:val="ae"/>
        <w:spacing w:before="0" w:after="0"/>
        <w:jc w:val="both"/>
        <w:rPr>
          <w:color w:val="000000" w:themeColor="text1"/>
          <w:sz w:val="16"/>
          <w:szCs w:val="16"/>
        </w:rPr>
      </w:pPr>
      <w:r w:rsidRPr="00507A31">
        <w:rPr>
          <w:rStyle w:val="a7"/>
          <w:b w:val="0"/>
          <w:color w:val="000000" w:themeColor="text1"/>
          <w:sz w:val="16"/>
          <w:szCs w:val="16"/>
        </w:rPr>
        <w:t>ЦК ВКП(б) — тов. СТАЛИНУ</w:t>
      </w:r>
    </w:p>
    <w:p w14:paraId="10BE417E"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За 1928/29 год выбыло из строя вследствие аварий, пожаров и других причин 431 самолет, из них уничтожено полностью 164 самолета, т.е. 38% от общего числа выбывших.</w:t>
      </w:r>
    </w:p>
    <w:p w14:paraId="6DE32A01"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За 9 же месяцев 1929/30 года (до 1 июля с. г.) выбыло из строя 379 самолетов, из них уничтожено полностью 154 самолета (40%).</w:t>
      </w:r>
    </w:p>
    <w:p w14:paraId="3ECF6126"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Обращает особое внимание большое число погибших за 1928/29 и 1930 гг. летчиков при катастрофах: в 1928/29 г. — 61 человек; за 1930 г. (до 15 июля) — 54 человека (сюда не включены тяжело и легко раненые).</w:t>
      </w:r>
    </w:p>
    <w:p w14:paraId="34CEC127"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Основными причинами такого громадного количества потерь самолетов и гибели летного состава является в первую очередь:</w:t>
      </w:r>
    </w:p>
    <w:p w14:paraId="7AD4C08B"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а) недисциплинированность личного состава Воздушных Сил.</w:t>
      </w:r>
    </w:p>
    <w:p w14:paraId="4EEB8A5C"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Количество аварий самолетов по халатности личного состава за последние годы не только не уменьшилось, но возросло: в 1928/29 г. — 30,4% от общего числа аварий, в 1929/30 г. — 32,5%;</w:t>
      </w:r>
    </w:p>
    <w:p w14:paraId="3D27BA9F"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б) неудовлетворительный до сих пор подбор инструкторского состава в школах, как следствие — недостаточно удовлетворительная подготовка молодых летчиков: за 1928/29 г. и первую половину 1929/30 г. в школах было аварий:</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07"/>
        <w:gridCol w:w="1440"/>
        <w:gridCol w:w="3175"/>
      </w:tblGrid>
      <w:tr w:rsidR="00E371BA" w:rsidRPr="00507A31" w14:paraId="72D2D8FF"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382F3F60" w14:textId="77777777" w:rsidR="00EA2934" w:rsidRPr="00507A31" w:rsidRDefault="00EA2934" w:rsidP="00507A31">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9F2902" w14:textId="77777777" w:rsidR="00EA2934" w:rsidRPr="00507A31" w:rsidRDefault="00EA2934" w:rsidP="00507A31">
            <w:pPr>
              <w:pStyle w:val="rtecenter"/>
              <w:spacing w:before="0" w:after="0"/>
              <w:jc w:val="both"/>
              <w:rPr>
                <w:color w:val="000000" w:themeColor="text1"/>
                <w:sz w:val="16"/>
                <w:szCs w:val="16"/>
              </w:rPr>
            </w:pPr>
            <w:r w:rsidRPr="00507A31">
              <w:rPr>
                <w:rStyle w:val="a7"/>
                <w:b w:val="0"/>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4F11D" w14:textId="77777777" w:rsidR="00EA2934" w:rsidRPr="00507A31" w:rsidRDefault="00EA2934" w:rsidP="00507A31">
            <w:pPr>
              <w:pStyle w:val="rtecenter"/>
              <w:spacing w:before="0" w:after="0"/>
              <w:jc w:val="both"/>
              <w:rPr>
                <w:color w:val="000000" w:themeColor="text1"/>
                <w:sz w:val="16"/>
                <w:szCs w:val="16"/>
              </w:rPr>
            </w:pPr>
            <w:r w:rsidRPr="00507A31">
              <w:rPr>
                <w:rStyle w:val="a7"/>
                <w:b w:val="0"/>
                <w:color w:val="000000" w:themeColor="text1"/>
                <w:sz w:val="16"/>
                <w:szCs w:val="16"/>
              </w:rPr>
              <w:t>1929/30 г. (до 1 июля)</w:t>
            </w:r>
          </w:p>
        </w:tc>
      </w:tr>
      <w:tr w:rsidR="00E371BA" w:rsidRPr="00507A31" w14:paraId="11D49E5E"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1DDBAB65"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Инструкторских аварий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B05CE"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A6795"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27,9%</w:t>
            </w:r>
          </w:p>
        </w:tc>
      </w:tr>
      <w:tr w:rsidR="00E371BA" w:rsidRPr="00507A31" w14:paraId="70AD8BBB"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24CC2A75"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Аварий инструкторов совместно с курсантами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587B8"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4870A"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19,2%</w:t>
            </w:r>
          </w:p>
        </w:tc>
      </w:tr>
      <w:tr w:rsidR="00E371BA" w:rsidRPr="00507A31" w14:paraId="72B5AD9E"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4CD683DD"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Аварий курсантов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D83BC"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55,7%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3A3F4"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52,9%</w:t>
            </w:r>
          </w:p>
        </w:tc>
      </w:tr>
    </w:tbl>
    <w:p w14:paraId="3ED26868"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т.е. почти половина всех аварий в школах падает на инструкторский состав, летающий или самостоятельно, или совместно с курсантами, причем в 3-й Летной школе (в г. Оренбурге) процент инструкторских аварий доходит до 66,9% от общего числа аварий в школе.</w:t>
      </w:r>
    </w:p>
    <w:p w14:paraId="28FC27BD"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в) неудовлетворительное, в некоторых местах абсолютно недопустимое, состояние до сих пор как общего, так и особого противопожарного оборудования и охраны аэродромов и ангаров, в частности, отсутствие на большинстве аэродромов водопроводов.</w:t>
      </w:r>
    </w:p>
    <w:p w14:paraId="6C8D3BD9"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На протяжении последних лет состояние аэродромов и ангаров неоднократно обследовалось специальными комиссиями с нашими представителями, но процент установленных недочетов, выявляемых комиссиями, весьма незначительный.</w:t>
      </w:r>
    </w:p>
    <w:p w14:paraId="013DEAE6"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Указанное положение с общей и противопожарной охраной создает благоприятные условия для вредительско-диверсионных актов и чрезвычайно затрудняет выявление виновных (см. приложение).</w:t>
      </w:r>
    </w:p>
    <w:p w14:paraId="3F691ECB"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г) недостаточная площадь ангаров, вследствие чего ангары загромождены самолетами сверх нормы, а к 1 октября 1930 г. останутся совершенно необеспеченными ангарной площадью 513 самолетов (в учетных единицах);</w:t>
      </w:r>
    </w:p>
    <w:p w14:paraId="3ECF3627"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д) наличие до последнего времени в Воздушном Флоте значительного количества старых самолетов с пониженными техническими летными качествами.</w:t>
      </w:r>
    </w:p>
    <w:p w14:paraId="2E5D4465" w14:textId="77777777" w:rsidR="00EA2934" w:rsidRPr="00507A31" w:rsidRDefault="00EA2934" w:rsidP="00507A31">
      <w:pPr>
        <w:pStyle w:val="rtejustify"/>
        <w:spacing w:before="0" w:after="0"/>
        <w:rPr>
          <w:color w:val="000000" w:themeColor="text1"/>
          <w:sz w:val="16"/>
          <w:szCs w:val="16"/>
        </w:rPr>
      </w:pPr>
      <w:r w:rsidRPr="00507A31">
        <w:rPr>
          <w:color w:val="000000" w:themeColor="text1"/>
          <w:sz w:val="16"/>
          <w:szCs w:val="16"/>
        </w:rPr>
        <w:t>Вопросы аварий, мер борьбы с ними обсуждались 8 июля на специальном заседании с участием Командующих и Начальников Воздушных Сил Округов, созванном тов. Ворошиловым, на каковом разработан ряд мероприятий.</w:t>
      </w:r>
    </w:p>
    <w:p w14:paraId="4B15A272"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Заместитель председателя ОГПУ Ягода</w:t>
      </w:r>
    </w:p>
    <w:p w14:paraId="1805BB65"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Начальник Особотдела ОГПУ Ольский</w:t>
      </w:r>
    </w:p>
    <w:p w14:paraId="2EF2CC36" w14:textId="77777777" w:rsidR="00EA2934" w:rsidRPr="00507A31" w:rsidRDefault="00EA2934" w:rsidP="00507A31">
      <w:pPr>
        <w:pStyle w:val="ae"/>
        <w:spacing w:before="0" w:after="0"/>
        <w:jc w:val="both"/>
        <w:rPr>
          <w:color w:val="000000" w:themeColor="text1"/>
          <w:sz w:val="16"/>
          <w:szCs w:val="16"/>
        </w:rPr>
      </w:pPr>
      <w:r w:rsidRPr="00507A31">
        <w:rPr>
          <w:color w:val="000000" w:themeColor="text1"/>
          <w:sz w:val="16"/>
          <w:szCs w:val="16"/>
        </w:rPr>
        <w:t>Верно:</w:t>
      </w:r>
    </w:p>
    <w:p w14:paraId="33910823" w14:textId="77777777" w:rsidR="00EA2934" w:rsidRPr="00507A31" w:rsidRDefault="00EA2934" w:rsidP="00507A31">
      <w:pPr>
        <w:jc w:val="both"/>
        <w:rPr>
          <w:color w:val="000000" w:themeColor="text1"/>
          <w:sz w:val="16"/>
          <w:szCs w:val="16"/>
        </w:rPr>
      </w:pPr>
      <w:r w:rsidRPr="00507A31">
        <w:rPr>
          <w:color w:val="000000" w:themeColor="text1"/>
          <w:sz w:val="16"/>
          <w:szCs w:val="16"/>
        </w:rPr>
        <w:t xml:space="preserve">Архив: ЦА ФСБ Ф. 2. Оп. 8. Д. 16. Л. 492-494. Копия. </w:t>
      </w:r>
    </w:p>
    <w:p w14:paraId="5DF1FC5B" w14:textId="77777777" w:rsidR="00EA2934" w:rsidRPr="00507A31" w:rsidRDefault="00EA2934" w:rsidP="00507A31">
      <w:pPr>
        <w:jc w:val="both"/>
        <w:rPr>
          <w:color w:val="000000" w:themeColor="text1"/>
          <w:sz w:val="16"/>
          <w:szCs w:val="16"/>
        </w:rPr>
      </w:pPr>
      <w:r w:rsidRPr="00507A31">
        <w:rPr>
          <w:color w:val="000000" w:themeColor="text1"/>
          <w:sz w:val="16"/>
          <w:szCs w:val="16"/>
        </w:rPr>
        <w:t>Источник: "Совершенно Секретно": Лубянка Сталину о положении в стране (1922-1934 гг), т.8, ч.2, 1930 г., Москва, 2008 Стр. 1225-1226 (12321).</w:t>
      </w:r>
    </w:p>
    <w:p w14:paraId="276B2080" w14:textId="77777777" w:rsidR="00550121" w:rsidRPr="00507A31" w:rsidRDefault="00550121" w:rsidP="00507A31">
      <w:pPr>
        <w:autoSpaceDE w:val="0"/>
        <w:autoSpaceDN w:val="0"/>
        <w:adjustRightInd w:val="0"/>
        <w:jc w:val="both"/>
        <w:rPr>
          <w:iCs/>
          <w:color w:val="000000" w:themeColor="text1"/>
          <w:sz w:val="16"/>
          <w:szCs w:val="16"/>
        </w:rPr>
      </w:pPr>
    </w:p>
    <w:p w14:paraId="500B72E8" w14:textId="77777777" w:rsidR="00BC4658" w:rsidRPr="00507A31" w:rsidRDefault="00BC4658" w:rsidP="00507A31">
      <w:pPr>
        <w:jc w:val="both"/>
        <w:rPr>
          <w:color w:val="0070C0"/>
          <w:sz w:val="16"/>
          <w:szCs w:val="16"/>
        </w:rPr>
      </w:pPr>
      <w:r w:rsidRPr="00507A31">
        <w:rPr>
          <w:color w:val="0070C0"/>
          <w:sz w:val="16"/>
          <w:szCs w:val="16"/>
        </w:rPr>
        <w:t>18 июля 1930 г.</w:t>
      </w:r>
    </w:p>
    <w:p w14:paraId="62442198" w14:textId="77777777" w:rsidR="00BC4658" w:rsidRPr="00507A31" w:rsidRDefault="00BC4658" w:rsidP="00507A31">
      <w:pPr>
        <w:jc w:val="both"/>
        <w:rPr>
          <w:color w:val="0070C0"/>
          <w:sz w:val="16"/>
          <w:szCs w:val="16"/>
        </w:rPr>
      </w:pPr>
      <w:r w:rsidRPr="00507A31">
        <w:rPr>
          <w:color w:val="0070C0"/>
          <w:sz w:val="16"/>
          <w:szCs w:val="16"/>
        </w:rPr>
        <w:t>ЗАПИСКА ОГПУ В ЦК ВКП(б)</w:t>
      </w:r>
    </w:p>
    <w:p w14:paraId="6AC9B2F6" w14:textId="77777777" w:rsidR="00BC4658" w:rsidRPr="00507A31" w:rsidRDefault="00BC4658" w:rsidP="00507A31">
      <w:pPr>
        <w:jc w:val="both"/>
        <w:rPr>
          <w:color w:val="0070C0"/>
          <w:sz w:val="16"/>
          <w:szCs w:val="16"/>
        </w:rPr>
      </w:pPr>
      <w:r w:rsidRPr="00507A31">
        <w:rPr>
          <w:color w:val="0070C0"/>
          <w:sz w:val="16"/>
          <w:szCs w:val="16"/>
        </w:rPr>
        <w:t>об авариях самолетов в РККА</w:t>
      </w:r>
    </w:p>
    <w:p w14:paraId="56E3730A" w14:textId="77777777" w:rsidR="00BC4658" w:rsidRPr="00507A31" w:rsidRDefault="00BC4658" w:rsidP="00507A31">
      <w:pPr>
        <w:jc w:val="both"/>
        <w:rPr>
          <w:color w:val="0070C0"/>
          <w:sz w:val="16"/>
          <w:szCs w:val="16"/>
        </w:rPr>
      </w:pPr>
      <w:r w:rsidRPr="00507A31">
        <w:rPr>
          <w:color w:val="0070C0"/>
          <w:sz w:val="16"/>
          <w:szCs w:val="16"/>
        </w:rPr>
        <w:t>Особый отдел</w:t>
      </w:r>
    </w:p>
    <w:p w14:paraId="6EC12138" w14:textId="77777777" w:rsidR="00BC4658" w:rsidRPr="00507A31" w:rsidRDefault="00BC4658" w:rsidP="00507A31">
      <w:pPr>
        <w:jc w:val="both"/>
        <w:rPr>
          <w:color w:val="0070C0"/>
          <w:sz w:val="16"/>
          <w:szCs w:val="16"/>
        </w:rPr>
      </w:pPr>
      <w:r w:rsidRPr="00507A31">
        <w:rPr>
          <w:color w:val="0070C0"/>
          <w:sz w:val="16"/>
          <w:szCs w:val="16"/>
        </w:rPr>
        <w:t>18 июля 1930 г.</w:t>
      </w:r>
    </w:p>
    <w:p w14:paraId="02245257" w14:textId="77777777" w:rsidR="00BC4658" w:rsidRPr="00507A31" w:rsidRDefault="00BC4658" w:rsidP="00507A31">
      <w:pPr>
        <w:jc w:val="both"/>
        <w:rPr>
          <w:color w:val="0070C0"/>
          <w:sz w:val="16"/>
          <w:szCs w:val="16"/>
        </w:rPr>
      </w:pPr>
      <w:r w:rsidRPr="00507A31">
        <w:rPr>
          <w:color w:val="0070C0"/>
          <w:sz w:val="16"/>
          <w:szCs w:val="16"/>
        </w:rPr>
        <w:t>№ 44646</w:t>
      </w:r>
    </w:p>
    <w:p w14:paraId="467783C9" w14:textId="77777777" w:rsidR="00BC4658" w:rsidRPr="00507A31" w:rsidRDefault="00BC4658" w:rsidP="00507A31">
      <w:pPr>
        <w:jc w:val="both"/>
        <w:rPr>
          <w:color w:val="0070C0"/>
          <w:sz w:val="16"/>
          <w:szCs w:val="16"/>
        </w:rPr>
      </w:pPr>
      <w:r w:rsidRPr="00507A31">
        <w:rPr>
          <w:color w:val="0070C0"/>
          <w:sz w:val="16"/>
          <w:szCs w:val="16"/>
        </w:rPr>
        <w:t>Совершенно секретно</w:t>
      </w:r>
    </w:p>
    <w:p w14:paraId="720787FE" w14:textId="77777777" w:rsidR="00BC4658" w:rsidRPr="00507A31" w:rsidRDefault="00BC4658" w:rsidP="00507A31">
      <w:pPr>
        <w:jc w:val="both"/>
        <w:rPr>
          <w:color w:val="0070C0"/>
          <w:sz w:val="16"/>
          <w:szCs w:val="16"/>
        </w:rPr>
      </w:pPr>
      <w:r w:rsidRPr="00507A31">
        <w:rPr>
          <w:color w:val="0070C0"/>
          <w:sz w:val="16"/>
          <w:szCs w:val="16"/>
        </w:rPr>
        <w:t>ЦК ВКП(б) — тов. СТАЛИНУ</w:t>
      </w:r>
    </w:p>
    <w:p w14:paraId="25F9012E" w14:textId="77777777" w:rsidR="00BC4658" w:rsidRPr="00507A31" w:rsidRDefault="00BC4658" w:rsidP="00507A31">
      <w:pPr>
        <w:jc w:val="both"/>
        <w:rPr>
          <w:color w:val="0070C0"/>
          <w:sz w:val="16"/>
          <w:szCs w:val="16"/>
        </w:rPr>
      </w:pPr>
      <w:r w:rsidRPr="00507A31">
        <w:rPr>
          <w:color w:val="0070C0"/>
          <w:sz w:val="16"/>
          <w:szCs w:val="16"/>
        </w:rPr>
        <w:t>За 1928/29 год выбыло из строя вследствие аварий, пожаров и других причин 431 самолет, из них уничтожено полностью 164 самолета, т.е. 38% от общего числа выбывших.</w:t>
      </w:r>
    </w:p>
    <w:p w14:paraId="5CAEF662" w14:textId="77777777" w:rsidR="00BC4658" w:rsidRPr="00507A31" w:rsidRDefault="00BC4658" w:rsidP="00507A31">
      <w:pPr>
        <w:jc w:val="both"/>
        <w:rPr>
          <w:color w:val="0070C0"/>
          <w:sz w:val="16"/>
          <w:szCs w:val="16"/>
        </w:rPr>
      </w:pPr>
      <w:r w:rsidRPr="00507A31">
        <w:rPr>
          <w:color w:val="0070C0"/>
          <w:sz w:val="16"/>
          <w:szCs w:val="16"/>
        </w:rPr>
        <w:t>За 9 же месяцев 1929/30 года (до 1 июля с. г.) выбыло из строя 379 самолетов, из них уничтожено полностью 154 самолета (40%).</w:t>
      </w:r>
    </w:p>
    <w:p w14:paraId="3F2F020A" w14:textId="77777777" w:rsidR="00BC4658" w:rsidRPr="00507A31" w:rsidRDefault="00BC4658" w:rsidP="00507A31">
      <w:pPr>
        <w:jc w:val="both"/>
        <w:rPr>
          <w:color w:val="0070C0"/>
          <w:sz w:val="16"/>
          <w:szCs w:val="16"/>
        </w:rPr>
      </w:pPr>
      <w:r w:rsidRPr="00507A31">
        <w:rPr>
          <w:color w:val="0070C0"/>
          <w:sz w:val="16"/>
          <w:szCs w:val="16"/>
        </w:rPr>
        <w:t>Обращает особое внимание большое число погибших за 1928/29 и 1930 гг. летчиков при катастрофах: в 1928/29 г. — 61 человек; за 1930 г. (до 15 июля) — 54 человека (сюда не включены тяжело и легко раненые).</w:t>
      </w:r>
    </w:p>
    <w:p w14:paraId="096E1DD1" w14:textId="77777777" w:rsidR="00BC4658" w:rsidRPr="00507A31" w:rsidRDefault="00BC4658" w:rsidP="00507A31">
      <w:pPr>
        <w:jc w:val="both"/>
        <w:rPr>
          <w:color w:val="0070C0"/>
          <w:sz w:val="16"/>
          <w:szCs w:val="16"/>
        </w:rPr>
      </w:pPr>
      <w:r w:rsidRPr="00507A31">
        <w:rPr>
          <w:color w:val="0070C0"/>
          <w:sz w:val="16"/>
          <w:szCs w:val="16"/>
        </w:rPr>
        <w:t>Основными причинами такого громадного количества потерь самолетов и гибели летного состава является в первую очередь:</w:t>
      </w:r>
    </w:p>
    <w:p w14:paraId="607A88C8" w14:textId="77777777" w:rsidR="00BC4658" w:rsidRPr="00507A31" w:rsidRDefault="00BC4658" w:rsidP="00507A31">
      <w:pPr>
        <w:jc w:val="both"/>
        <w:rPr>
          <w:color w:val="0070C0"/>
          <w:sz w:val="16"/>
          <w:szCs w:val="16"/>
        </w:rPr>
      </w:pPr>
      <w:r w:rsidRPr="00507A31">
        <w:rPr>
          <w:color w:val="0070C0"/>
          <w:sz w:val="16"/>
          <w:szCs w:val="16"/>
        </w:rPr>
        <w:lastRenderedPageBreak/>
        <w:t>а) недисциплинированность личного состава Воздушных Сил.</w:t>
      </w:r>
    </w:p>
    <w:p w14:paraId="57DE40CA" w14:textId="77777777" w:rsidR="00BC4658" w:rsidRPr="00507A31" w:rsidRDefault="00BC4658" w:rsidP="00507A31">
      <w:pPr>
        <w:jc w:val="both"/>
        <w:rPr>
          <w:color w:val="0070C0"/>
          <w:sz w:val="16"/>
          <w:szCs w:val="16"/>
        </w:rPr>
      </w:pPr>
      <w:r w:rsidRPr="00507A31">
        <w:rPr>
          <w:color w:val="0070C0"/>
          <w:sz w:val="16"/>
          <w:szCs w:val="16"/>
        </w:rPr>
        <w:t>Количество аварий самолетов по халатности личного состава за последние годы не только не уменьшилось, но возросло: в 1928/29 г. — 30,4% от общего числа аварий, в 1929/30 г. — 32,5%;</w:t>
      </w:r>
    </w:p>
    <w:p w14:paraId="046860F3" w14:textId="77777777" w:rsidR="00BC4658" w:rsidRPr="00507A31" w:rsidRDefault="00BC4658" w:rsidP="00507A31">
      <w:pPr>
        <w:jc w:val="both"/>
        <w:rPr>
          <w:color w:val="0070C0"/>
          <w:sz w:val="16"/>
          <w:szCs w:val="16"/>
        </w:rPr>
      </w:pPr>
      <w:r w:rsidRPr="00507A31">
        <w:rPr>
          <w:color w:val="0070C0"/>
          <w:sz w:val="16"/>
          <w:szCs w:val="16"/>
        </w:rPr>
        <w:t>б) неудовлетворительный до сих пор подбор инструкторского состава в школах, как следствие — недостаточно удовлетворительная подготовка молодых летчиков: за 1928/29 г. и первую половину 1929/30 г. в школах было аварий: т.е. почти половина всех аварий в школах падает на инструкторский состав, летающий или самостоятельно, или совместно с курсантами, причем в 3-й Летной школе (в г. Оренбурге) процент инструкторских аварий доходит до 66,9% от общего числа аварий в школе.</w:t>
      </w:r>
    </w:p>
    <w:p w14:paraId="335BFC68" w14:textId="77777777" w:rsidR="00BC4658" w:rsidRPr="00507A31" w:rsidRDefault="00BC4658" w:rsidP="00507A31">
      <w:pPr>
        <w:jc w:val="both"/>
        <w:rPr>
          <w:color w:val="0070C0"/>
          <w:sz w:val="16"/>
          <w:szCs w:val="16"/>
        </w:rPr>
      </w:pPr>
      <w:r w:rsidRPr="00507A31">
        <w:rPr>
          <w:color w:val="0070C0"/>
          <w:sz w:val="16"/>
          <w:szCs w:val="16"/>
        </w:rPr>
        <w:t>в) неудовлетворительное, в некоторых местах абсолютно недопустимое, состояние до сих пор как общего, так и особого противопожарного оборудования и охраны аэродромов и ангаров, в частности, отсутствие на большинстве аэродромов водопроводов.</w:t>
      </w:r>
    </w:p>
    <w:p w14:paraId="6AEEE91C" w14:textId="77777777" w:rsidR="00BC4658" w:rsidRPr="00507A31" w:rsidRDefault="00BC4658" w:rsidP="00507A31">
      <w:pPr>
        <w:jc w:val="both"/>
        <w:rPr>
          <w:color w:val="0070C0"/>
          <w:sz w:val="16"/>
          <w:szCs w:val="16"/>
        </w:rPr>
      </w:pPr>
      <w:r w:rsidRPr="00507A31">
        <w:rPr>
          <w:color w:val="0070C0"/>
          <w:sz w:val="16"/>
          <w:szCs w:val="16"/>
        </w:rPr>
        <w:t>На протяжении последних лет состояние аэродромов и ангаров неоднократно обследовалось специальными комиссиями с нашими представителями, но процент установленных недочетов, выявляемых комиссиями, весьма незначительный.</w:t>
      </w:r>
    </w:p>
    <w:p w14:paraId="6A71D460" w14:textId="77777777" w:rsidR="00BC4658" w:rsidRPr="00507A31" w:rsidRDefault="00BC4658" w:rsidP="00507A31">
      <w:pPr>
        <w:jc w:val="both"/>
        <w:rPr>
          <w:color w:val="0070C0"/>
          <w:sz w:val="16"/>
          <w:szCs w:val="16"/>
        </w:rPr>
      </w:pPr>
      <w:r w:rsidRPr="00507A31">
        <w:rPr>
          <w:color w:val="0070C0"/>
          <w:sz w:val="16"/>
          <w:szCs w:val="16"/>
        </w:rPr>
        <w:t>Приведенные выше цифровые данные соответствуют данным Военведа (прим, документа).</w:t>
      </w:r>
    </w:p>
    <w:p w14:paraId="2BED54CC" w14:textId="77777777" w:rsidR="00BC4658" w:rsidRPr="00507A31" w:rsidRDefault="00BC4658" w:rsidP="00507A31">
      <w:pPr>
        <w:jc w:val="both"/>
        <w:rPr>
          <w:color w:val="0070C0"/>
          <w:sz w:val="16"/>
          <w:szCs w:val="16"/>
        </w:rPr>
      </w:pPr>
      <w:r w:rsidRPr="00507A31">
        <w:rPr>
          <w:color w:val="0070C0"/>
          <w:sz w:val="16"/>
          <w:szCs w:val="16"/>
        </w:rPr>
        <w:t>1928/29 г. 1929/30 г.</w:t>
      </w:r>
    </w:p>
    <w:p w14:paraId="4ADADB7E" w14:textId="77777777" w:rsidR="00BC4658" w:rsidRPr="00507A31" w:rsidRDefault="00BC4658" w:rsidP="00507A31">
      <w:pPr>
        <w:jc w:val="both"/>
        <w:rPr>
          <w:color w:val="0070C0"/>
          <w:sz w:val="16"/>
          <w:szCs w:val="16"/>
        </w:rPr>
      </w:pPr>
      <w:r w:rsidRPr="00507A31">
        <w:rPr>
          <w:color w:val="0070C0"/>
          <w:sz w:val="16"/>
          <w:szCs w:val="16"/>
        </w:rPr>
        <w:t>(до 1 июля)</w:t>
      </w:r>
    </w:p>
    <w:p w14:paraId="49235241" w14:textId="77777777" w:rsidR="00BC4658" w:rsidRPr="00507A31" w:rsidRDefault="00BC4658" w:rsidP="00507A31">
      <w:pPr>
        <w:jc w:val="both"/>
        <w:rPr>
          <w:color w:val="0070C0"/>
          <w:sz w:val="16"/>
          <w:szCs w:val="16"/>
        </w:rPr>
      </w:pPr>
      <w:r w:rsidRPr="00507A31">
        <w:rPr>
          <w:color w:val="0070C0"/>
          <w:sz w:val="16"/>
          <w:szCs w:val="16"/>
        </w:rPr>
        <w:t>Инструкторских аварий</w:t>
      </w:r>
    </w:p>
    <w:p w14:paraId="6B176D83" w14:textId="77777777" w:rsidR="00BC4658" w:rsidRPr="00507A31" w:rsidRDefault="00BC4658" w:rsidP="00507A31">
      <w:pPr>
        <w:jc w:val="both"/>
        <w:rPr>
          <w:color w:val="0070C0"/>
          <w:sz w:val="16"/>
          <w:szCs w:val="16"/>
        </w:rPr>
      </w:pPr>
      <w:r w:rsidRPr="00507A31">
        <w:rPr>
          <w:color w:val="0070C0"/>
          <w:sz w:val="16"/>
          <w:szCs w:val="16"/>
        </w:rPr>
        <w:t>Аварий инструкторов совместно с курсантами</w:t>
      </w:r>
    </w:p>
    <w:p w14:paraId="7CD13BFD" w14:textId="77777777" w:rsidR="00BC4658" w:rsidRPr="00507A31" w:rsidRDefault="00BC4658" w:rsidP="00507A31">
      <w:pPr>
        <w:jc w:val="both"/>
        <w:rPr>
          <w:color w:val="0070C0"/>
          <w:sz w:val="16"/>
          <w:szCs w:val="16"/>
        </w:rPr>
      </w:pPr>
      <w:r w:rsidRPr="00507A31">
        <w:rPr>
          <w:color w:val="0070C0"/>
          <w:sz w:val="16"/>
          <w:szCs w:val="16"/>
        </w:rPr>
        <w:t>Аварий курсантов</w:t>
      </w:r>
    </w:p>
    <w:p w14:paraId="01F74D6E" w14:textId="77777777" w:rsidR="00BC4658" w:rsidRPr="00507A31" w:rsidRDefault="00BC4658" w:rsidP="00507A31">
      <w:pPr>
        <w:jc w:val="both"/>
        <w:rPr>
          <w:color w:val="0070C0"/>
          <w:sz w:val="16"/>
          <w:szCs w:val="16"/>
        </w:rPr>
      </w:pPr>
      <w:r w:rsidRPr="00507A31">
        <w:rPr>
          <w:color w:val="0070C0"/>
          <w:sz w:val="16"/>
          <w:szCs w:val="16"/>
        </w:rPr>
        <w:t>24%</w:t>
      </w:r>
      <w:r w:rsidRPr="00507A31">
        <w:rPr>
          <w:color w:val="0070C0"/>
          <w:sz w:val="16"/>
          <w:szCs w:val="16"/>
        </w:rPr>
        <w:tab/>
        <w:t>27,9%</w:t>
      </w:r>
    </w:p>
    <w:p w14:paraId="07621376" w14:textId="77777777" w:rsidR="00BC4658" w:rsidRPr="00507A31" w:rsidRDefault="00BC4658" w:rsidP="00507A31">
      <w:pPr>
        <w:jc w:val="both"/>
        <w:rPr>
          <w:color w:val="0070C0"/>
          <w:sz w:val="16"/>
          <w:szCs w:val="16"/>
        </w:rPr>
      </w:pPr>
      <w:r w:rsidRPr="00507A31">
        <w:rPr>
          <w:color w:val="0070C0"/>
          <w:sz w:val="16"/>
          <w:szCs w:val="16"/>
        </w:rPr>
        <w:t>20,3%</w:t>
      </w:r>
      <w:r w:rsidRPr="00507A31">
        <w:rPr>
          <w:color w:val="0070C0"/>
          <w:sz w:val="16"/>
          <w:szCs w:val="16"/>
        </w:rPr>
        <w:tab/>
        <w:t>19,2%</w:t>
      </w:r>
    </w:p>
    <w:p w14:paraId="58914692" w14:textId="77777777" w:rsidR="00BC4658" w:rsidRPr="00507A31" w:rsidRDefault="00BC4658" w:rsidP="00507A31">
      <w:pPr>
        <w:jc w:val="both"/>
        <w:rPr>
          <w:color w:val="0070C0"/>
          <w:sz w:val="16"/>
          <w:szCs w:val="16"/>
        </w:rPr>
      </w:pPr>
      <w:r w:rsidRPr="00507A31">
        <w:rPr>
          <w:color w:val="0070C0"/>
          <w:sz w:val="16"/>
          <w:szCs w:val="16"/>
        </w:rPr>
        <w:t>55,7%</w:t>
      </w:r>
      <w:r w:rsidRPr="00507A31">
        <w:rPr>
          <w:color w:val="0070C0"/>
          <w:sz w:val="16"/>
          <w:szCs w:val="16"/>
        </w:rPr>
        <w:tab/>
        <w:t>52,9%</w:t>
      </w:r>
    </w:p>
    <w:p w14:paraId="584D426B" w14:textId="77777777" w:rsidR="00BC4658" w:rsidRPr="00507A31" w:rsidRDefault="00BC4658" w:rsidP="00507A31">
      <w:pPr>
        <w:jc w:val="both"/>
        <w:rPr>
          <w:color w:val="0070C0"/>
          <w:sz w:val="16"/>
          <w:szCs w:val="16"/>
        </w:rPr>
      </w:pPr>
      <w:r w:rsidRPr="00507A31">
        <w:rPr>
          <w:color w:val="0070C0"/>
          <w:sz w:val="16"/>
          <w:szCs w:val="16"/>
        </w:rPr>
        <w:t>Указанное положение с общей и противопожарной охраной создает благоприятные условия для вредительско-диверсионных актов и чрезвычайно затрудняет выявление виновных (см. приложение).</w:t>
      </w:r>
    </w:p>
    <w:p w14:paraId="26F9E94D" w14:textId="77777777" w:rsidR="00BC4658" w:rsidRPr="00507A31" w:rsidRDefault="00BC4658" w:rsidP="00507A31">
      <w:pPr>
        <w:jc w:val="both"/>
        <w:rPr>
          <w:color w:val="0070C0"/>
          <w:sz w:val="16"/>
          <w:szCs w:val="16"/>
        </w:rPr>
      </w:pPr>
      <w:r w:rsidRPr="00507A31">
        <w:rPr>
          <w:color w:val="0070C0"/>
          <w:sz w:val="16"/>
          <w:szCs w:val="16"/>
        </w:rPr>
        <w:t>г) недостаточная площадь ангаров, вследствие чего ангары загромождены самолетами сверх нормы, а к 1 октября 1930 г. останутся совершенно необеспеченными ангарной площадью 513 самолетов (в учетных единицах);</w:t>
      </w:r>
    </w:p>
    <w:p w14:paraId="5C77EE10" w14:textId="77777777" w:rsidR="00BC4658" w:rsidRPr="00507A31" w:rsidRDefault="00BC4658" w:rsidP="00507A31">
      <w:pPr>
        <w:jc w:val="both"/>
        <w:rPr>
          <w:color w:val="0070C0"/>
          <w:sz w:val="16"/>
          <w:szCs w:val="16"/>
        </w:rPr>
      </w:pPr>
      <w:r w:rsidRPr="00507A31">
        <w:rPr>
          <w:color w:val="0070C0"/>
          <w:sz w:val="16"/>
          <w:szCs w:val="16"/>
        </w:rPr>
        <w:t>д) наличие до последнего времени в Воздушном Флоте значительного количества старых самолетов с пониженными техническими летными качествами.</w:t>
      </w:r>
    </w:p>
    <w:p w14:paraId="7FF4B366" w14:textId="77777777" w:rsidR="00BC4658" w:rsidRPr="00507A31" w:rsidRDefault="00BC4658" w:rsidP="00507A31">
      <w:pPr>
        <w:jc w:val="both"/>
        <w:rPr>
          <w:color w:val="0070C0"/>
          <w:sz w:val="16"/>
          <w:szCs w:val="16"/>
        </w:rPr>
      </w:pPr>
      <w:r w:rsidRPr="00507A31">
        <w:rPr>
          <w:color w:val="0070C0"/>
          <w:sz w:val="16"/>
          <w:szCs w:val="16"/>
        </w:rPr>
        <w:t>Вопросы аварий, мер борьбы с ними обсуждались 8 июля на специальном заседании с участием Командующих и Начальников Воздушных Сил Округов, созванном тов. Ворошиловым, на каковом разработан ряд мероприятий.</w:t>
      </w:r>
    </w:p>
    <w:p w14:paraId="69935D38" w14:textId="77777777" w:rsidR="00BC4658" w:rsidRPr="00507A31" w:rsidRDefault="00BC4658" w:rsidP="00507A31">
      <w:pPr>
        <w:jc w:val="both"/>
        <w:rPr>
          <w:color w:val="0070C0"/>
          <w:sz w:val="16"/>
          <w:szCs w:val="16"/>
        </w:rPr>
      </w:pPr>
      <w:r w:rsidRPr="00507A31">
        <w:rPr>
          <w:color w:val="0070C0"/>
          <w:sz w:val="16"/>
          <w:szCs w:val="16"/>
        </w:rPr>
        <w:t>Заместитель председателя ОГПУ</w:t>
      </w:r>
    </w:p>
    <w:p w14:paraId="556C0F46" w14:textId="77777777" w:rsidR="00BC4658" w:rsidRPr="00507A31" w:rsidRDefault="00BC4658" w:rsidP="00507A31">
      <w:pPr>
        <w:jc w:val="both"/>
        <w:rPr>
          <w:color w:val="0070C0"/>
          <w:sz w:val="16"/>
          <w:szCs w:val="16"/>
        </w:rPr>
      </w:pPr>
      <w:r w:rsidRPr="00507A31">
        <w:rPr>
          <w:color w:val="0070C0"/>
          <w:sz w:val="16"/>
          <w:szCs w:val="16"/>
        </w:rPr>
        <w:t>Ягода</w:t>
      </w:r>
    </w:p>
    <w:p w14:paraId="2D92D9C8" w14:textId="77777777" w:rsidR="00BC4658" w:rsidRPr="00507A31" w:rsidRDefault="00BC4658" w:rsidP="00507A31">
      <w:pPr>
        <w:jc w:val="both"/>
        <w:rPr>
          <w:color w:val="0070C0"/>
          <w:sz w:val="16"/>
          <w:szCs w:val="16"/>
        </w:rPr>
      </w:pPr>
      <w:r w:rsidRPr="00507A31">
        <w:rPr>
          <w:color w:val="0070C0"/>
          <w:sz w:val="16"/>
          <w:szCs w:val="16"/>
        </w:rPr>
        <w:t>Начальник Особотдела ОГПУ</w:t>
      </w:r>
    </w:p>
    <w:p w14:paraId="75B98FF7" w14:textId="77777777" w:rsidR="00BC4658" w:rsidRPr="00507A31" w:rsidRDefault="00BC4658" w:rsidP="00507A31">
      <w:pPr>
        <w:jc w:val="both"/>
        <w:rPr>
          <w:color w:val="0070C0"/>
          <w:sz w:val="16"/>
          <w:szCs w:val="16"/>
        </w:rPr>
      </w:pPr>
      <w:r w:rsidRPr="00507A31">
        <w:rPr>
          <w:color w:val="0070C0"/>
          <w:sz w:val="16"/>
          <w:szCs w:val="16"/>
        </w:rPr>
        <w:t>Ольский</w:t>
      </w:r>
    </w:p>
    <w:p w14:paraId="6AD4ED6A" w14:textId="77777777" w:rsidR="00BC4658" w:rsidRPr="00507A31" w:rsidRDefault="00BC4658" w:rsidP="00507A31">
      <w:pPr>
        <w:jc w:val="both"/>
        <w:rPr>
          <w:color w:val="0070C0"/>
          <w:sz w:val="16"/>
          <w:szCs w:val="16"/>
        </w:rPr>
      </w:pPr>
      <w:r w:rsidRPr="00507A31">
        <w:rPr>
          <w:color w:val="0070C0"/>
          <w:sz w:val="16"/>
          <w:szCs w:val="16"/>
        </w:rPr>
        <w:t>Верно:</w:t>
      </w:r>
    </w:p>
    <w:p w14:paraId="05A4F0ED" w14:textId="77777777" w:rsidR="00BC4658" w:rsidRPr="00507A31" w:rsidRDefault="00BC4658" w:rsidP="00507A31">
      <w:pPr>
        <w:jc w:val="both"/>
        <w:rPr>
          <w:color w:val="0070C0"/>
          <w:sz w:val="16"/>
          <w:szCs w:val="16"/>
        </w:rPr>
      </w:pPr>
      <w:r w:rsidRPr="00507A31">
        <w:rPr>
          <w:color w:val="0070C0"/>
          <w:sz w:val="16"/>
          <w:szCs w:val="16"/>
        </w:rPr>
        <w:t>Ф. 2. Оп. 8. Д. 16. Л. 492-494. Копия (20558).</w:t>
      </w:r>
    </w:p>
    <w:p w14:paraId="23BB597D" w14:textId="77777777" w:rsidR="00BC4658" w:rsidRPr="00507A31" w:rsidRDefault="00BC4658" w:rsidP="00507A31">
      <w:pPr>
        <w:jc w:val="both"/>
        <w:rPr>
          <w:color w:val="0070C0"/>
          <w:sz w:val="16"/>
          <w:szCs w:val="16"/>
        </w:rPr>
      </w:pPr>
    </w:p>
    <w:p w14:paraId="2D7F3C6A" w14:textId="77777777" w:rsidR="00BC4658" w:rsidRPr="00507A31" w:rsidRDefault="00BC4658" w:rsidP="00507A31">
      <w:pPr>
        <w:shd w:val="clear" w:color="auto" w:fill="FFFFFF"/>
        <w:jc w:val="both"/>
        <w:rPr>
          <w:color w:val="0070C0"/>
          <w:sz w:val="16"/>
          <w:szCs w:val="16"/>
        </w:rPr>
      </w:pPr>
      <w:r w:rsidRPr="00507A31">
        <w:rPr>
          <w:color w:val="0070C0"/>
          <w:sz w:val="16"/>
          <w:szCs w:val="16"/>
        </w:rPr>
        <w:t>18 июля 1930 г.</w:t>
      </w:r>
    </w:p>
    <w:p w14:paraId="053D84CB" w14:textId="77777777" w:rsidR="00BC4658" w:rsidRPr="00507A31" w:rsidRDefault="00BC4658" w:rsidP="00507A31">
      <w:pPr>
        <w:shd w:val="clear" w:color="auto" w:fill="FFFFFF"/>
        <w:jc w:val="both"/>
        <w:rPr>
          <w:color w:val="0070C0"/>
          <w:sz w:val="16"/>
          <w:szCs w:val="16"/>
        </w:rPr>
      </w:pPr>
      <w:r w:rsidRPr="00507A31">
        <w:rPr>
          <w:color w:val="0070C0"/>
          <w:sz w:val="16"/>
          <w:szCs w:val="16"/>
          <w:bdr w:val="none" w:sz="0" w:space="0" w:color="auto" w:frame="1"/>
        </w:rPr>
        <w:t>ДОКЛАДНАЯ ЗАПИСКА ОГПУ В ЦК ВКП(б) (тов. СТАЛИНУ)</w:t>
      </w:r>
    </w:p>
    <w:p w14:paraId="241C0626" w14:textId="77777777" w:rsidR="00BC4658" w:rsidRPr="00507A31" w:rsidRDefault="00BC4658" w:rsidP="00507A31">
      <w:pPr>
        <w:shd w:val="clear" w:color="auto" w:fill="FFFFFF"/>
        <w:jc w:val="both"/>
        <w:rPr>
          <w:color w:val="0070C0"/>
          <w:sz w:val="16"/>
          <w:szCs w:val="16"/>
        </w:rPr>
      </w:pPr>
      <w:r w:rsidRPr="00507A31">
        <w:rPr>
          <w:color w:val="0070C0"/>
          <w:sz w:val="16"/>
          <w:szCs w:val="16"/>
        </w:rPr>
        <w:t>За 1928/29 год выбыло из строя вследствие аварий, пожаров и др. причин — 431 самолетов, из них уничтожено полностью 164 самолета, т. е. 38 % от общего числа выбывших.</w:t>
      </w:r>
    </w:p>
    <w:p w14:paraId="6224A9F2" w14:textId="77777777" w:rsidR="00BC4658" w:rsidRPr="00507A31" w:rsidRDefault="00BC4658" w:rsidP="00507A31">
      <w:pPr>
        <w:shd w:val="clear" w:color="auto" w:fill="FFFFFF"/>
        <w:jc w:val="both"/>
        <w:rPr>
          <w:color w:val="0070C0"/>
          <w:sz w:val="16"/>
          <w:szCs w:val="16"/>
        </w:rPr>
      </w:pPr>
      <w:r w:rsidRPr="00507A31">
        <w:rPr>
          <w:color w:val="0070C0"/>
          <w:sz w:val="16"/>
          <w:szCs w:val="16"/>
        </w:rPr>
        <w:t>За 9 же месяцев 1929-30 года (до 1 июля с. г.) выбыло из строя 379 самолетов, из них уничтожено полностью — 154 самолета (40 %).</w:t>
      </w:r>
    </w:p>
    <w:p w14:paraId="33988BB5" w14:textId="77777777" w:rsidR="00BC4658" w:rsidRPr="00507A31" w:rsidRDefault="00BC4658" w:rsidP="00507A31">
      <w:pPr>
        <w:shd w:val="clear" w:color="auto" w:fill="FFFFFF"/>
        <w:jc w:val="both"/>
        <w:rPr>
          <w:color w:val="0070C0"/>
          <w:sz w:val="16"/>
          <w:szCs w:val="16"/>
        </w:rPr>
      </w:pPr>
      <w:r w:rsidRPr="00507A31">
        <w:rPr>
          <w:color w:val="0070C0"/>
          <w:sz w:val="16"/>
          <w:szCs w:val="16"/>
        </w:rPr>
        <w:t>Обращает особое внимание большое число погибших за 1928-29 и 1930 гг. летчиков при катастрофах: в 1928/29 г. — 61 чел.; за 1930 г. (до 15 июля) — 54 чел. (сюда не включены тяжело и легко раненые).</w:t>
      </w:r>
    </w:p>
    <w:p w14:paraId="7E34785D" w14:textId="77777777" w:rsidR="00BC4658" w:rsidRPr="00507A31" w:rsidRDefault="00BC4658" w:rsidP="00507A31">
      <w:pPr>
        <w:shd w:val="clear" w:color="auto" w:fill="FFFFFF"/>
        <w:jc w:val="both"/>
        <w:rPr>
          <w:color w:val="0070C0"/>
          <w:sz w:val="16"/>
          <w:szCs w:val="16"/>
        </w:rPr>
      </w:pPr>
      <w:r w:rsidRPr="00507A31">
        <w:rPr>
          <w:color w:val="0070C0"/>
          <w:sz w:val="16"/>
          <w:szCs w:val="16"/>
        </w:rPr>
        <w:t>Основными причинами такого громадного количества потерь самолетов и гибели летного состава является в первую очередь:</w:t>
      </w:r>
    </w:p>
    <w:p w14:paraId="3DFA9147" w14:textId="77777777" w:rsidR="00BC4658" w:rsidRPr="00507A31" w:rsidRDefault="00BC4658" w:rsidP="00507A31">
      <w:pPr>
        <w:shd w:val="clear" w:color="auto" w:fill="FFFFFF"/>
        <w:jc w:val="both"/>
        <w:rPr>
          <w:color w:val="0070C0"/>
          <w:sz w:val="16"/>
          <w:szCs w:val="16"/>
        </w:rPr>
      </w:pPr>
      <w:r w:rsidRPr="00507A31">
        <w:rPr>
          <w:color w:val="0070C0"/>
          <w:sz w:val="16"/>
          <w:szCs w:val="16"/>
        </w:rPr>
        <w:t>А) недисциплинированность личного состава Воздушных сил.</w:t>
      </w:r>
    </w:p>
    <w:p w14:paraId="50A4369F" w14:textId="77777777" w:rsidR="00BC4658" w:rsidRPr="00507A31" w:rsidRDefault="00BC4658" w:rsidP="00507A31">
      <w:pPr>
        <w:shd w:val="clear" w:color="auto" w:fill="FFFFFF"/>
        <w:jc w:val="both"/>
        <w:rPr>
          <w:color w:val="0070C0"/>
          <w:sz w:val="16"/>
          <w:szCs w:val="16"/>
        </w:rPr>
      </w:pPr>
      <w:r w:rsidRPr="00507A31">
        <w:rPr>
          <w:color w:val="0070C0"/>
          <w:sz w:val="16"/>
          <w:szCs w:val="16"/>
        </w:rPr>
        <w:t>Количество аварий самолетов по халатности личного состава за последние годы не только не уменьшилось, но возросло: в 1928/29 гг. — 30,4 %, от общего числа аварий, в 1929/30 г. — 32,5 %.</w:t>
      </w:r>
    </w:p>
    <w:p w14:paraId="46D045D5" w14:textId="77777777" w:rsidR="00BC4658" w:rsidRPr="00507A31" w:rsidRDefault="00BC4658" w:rsidP="00507A31">
      <w:pPr>
        <w:shd w:val="clear" w:color="auto" w:fill="FFFFFF"/>
        <w:jc w:val="both"/>
        <w:rPr>
          <w:color w:val="0070C0"/>
          <w:sz w:val="16"/>
          <w:szCs w:val="16"/>
        </w:rPr>
      </w:pPr>
      <w:r w:rsidRPr="00507A31">
        <w:rPr>
          <w:color w:val="0070C0"/>
          <w:sz w:val="16"/>
          <w:szCs w:val="16"/>
        </w:rPr>
        <w:t>Б) Неудовлетворительный до сих пор подбор инструкторского состава в школах, как следствие — недостаточно удовлетворительная подготовка молодых летчиков: за 1928/29 гг. и первую половину 1929/30 гг. в школах аварий:</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3224"/>
        <w:gridCol w:w="962"/>
        <w:gridCol w:w="1529"/>
      </w:tblGrid>
      <w:tr w:rsidR="00BC4658" w:rsidRPr="00507A31" w14:paraId="70AC3616" w14:textId="77777777" w:rsidTr="00027DFA">
        <w:trPr>
          <w:tblCellSpacing w:w="15" w:type="dxa"/>
        </w:trPr>
        <w:tc>
          <w:tcPr>
            <w:tcW w:w="0" w:type="auto"/>
            <w:tcBorders>
              <w:top w:val="nil"/>
              <w:left w:val="nil"/>
              <w:bottom w:val="nil"/>
              <w:right w:val="nil"/>
            </w:tcBorders>
            <w:shd w:val="clear" w:color="auto" w:fill="FFFFFF"/>
            <w:hideMark/>
          </w:tcPr>
          <w:p w14:paraId="3F13CE93" w14:textId="77777777" w:rsidR="00BC4658" w:rsidRPr="00507A31" w:rsidRDefault="00BC4658" w:rsidP="00507A31">
            <w:pPr>
              <w:jc w:val="both"/>
              <w:rPr>
                <w:color w:val="0070C0"/>
                <w:sz w:val="16"/>
                <w:szCs w:val="16"/>
              </w:rPr>
            </w:pPr>
          </w:p>
        </w:tc>
        <w:tc>
          <w:tcPr>
            <w:tcW w:w="0" w:type="auto"/>
            <w:tcBorders>
              <w:top w:val="nil"/>
              <w:left w:val="nil"/>
              <w:bottom w:val="nil"/>
              <w:right w:val="nil"/>
            </w:tcBorders>
            <w:shd w:val="clear" w:color="auto" w:fill="FFFFFF"/>
            <w:hideMark/>
          </w:tcPr>
          <w:p w14:paraId="75E8C134" w14:textId="77777777" w:rsidR="00BC4658" w:rsidRPr="00507A31" w:rsidRDefault="00BC4658" w:rsidP="00507A31">
            <w:pPr>
              <w:jc w:val="both"/>
              <w:rPr>
                <w:color w:val="0070C0"/>
                <w:sz w:val="16"/>
                <w:szCs w:val="16"/>
              </w:rPr>
            </w:pPr>
            <w:r w:rsidRPr="00507A31">
              <w:rPr>
                <w:color w:val="0070C0"/>
                <w:sz w:val="16"/>
                <w:szCs w:val="16"/>
              </w:rPr>
              <w:t>1928–1929 гг.</w:t>
            </w:r>
          </w:p>
        </w:tc>
        <w:tc>
          <w:tcPr>
            <w:tcW w:w="0" w:type="auto"/>
            <w:tcBorders>
              <w:top w:val="nil"/>
              <w:left w:val="nil"/>
              <w:bottom w:val="nil"/>
              <w:right w:val="nil"/>
            </w:tcBorders>
            <w:shd w:val="clear" w:color="auto" w:fill="FFFFFF"/>
            <w:hideMark/>
          </w:tcPr>
          <w:p w14:paraId="7D48E5FE" w14:textId="77777777" w:rsidR="00BC4658" w:rsidRPr="00507A31" w:rsidRDefault="00BC4658" w:rsidP="00507A31">
            <w:pPr>
              <w:jc w:val="both"/>
              <w:rPr>
                <w:color w:val="0070C0"/>
                <w:sz w:val="16"/>
                <w:szCs w:val="16"/>
              </w:rPr>
            </w:pPr>
            <w:r w:rsidRPr="00507A31">
              <w:rPr>
                <w:color w:val="0070C0"/>
                <w:sz w:val="16"/>
                <w:szCs w:val="16"/>
              </w:rPr>
              <w:t>1929–1930 гг. (до 1/7)</w:t>
            </w:r>
          </w:p>
        </w:tc>
      </w:tr>
      <w:tr w:rsidR="00BC4658" w:rsidRPr="00507A31" w14:paraId="49A0B34E" w14:textId="77777777" w:rsidTr="00027DFA">
        <w:trPr>
          <w:tblCellSpacing w:w="15" w:type="dxa"/>
        </w:trPr>
        <w:tc>
          <w:tcPr>
            <w:tcW w:w="0" w:type="auto"/>
            <w:tcBorders>
              <w:top w:val="nil"/>
              <w:left w:val="nil"/>
              <w:bottom w:val="nil"/>
              <w:right w:val="nil"/>
            </w:tcBorders>
            <w:shd w:val="clear" w:color="auto" w:fill="FFFFFF"/>
            <w:hideMark/>
          </w:tcPr>
          <w:p w14:paraId="19A3CABA" w14:textId="77777777" w:rsidR="00BC4658" w:rsidRPr="00507A31" w:rsidRDefault="00BC4658" w:rsidP="00507A31">
            <w:pPr>
              <w:jc w:val="both"/>
              <w:rPr>
                <w:color w:val="0070C0"/>
                <w:sz w:val="16"/>
                <w:szCs w:val="16"/>
              </w:rPr>
            </w:pPr>
            <w:r w:rsidRPr="00507A31">
              <w:rPr>
                <w:color w:val="0070C0"/>
                <w:sz w:val="16"/>
                <w:szCs w:val="16"/>
              </w:rPr>
              <w:t>Инструкторских аварий</w:t>
            </w:r>
          </w:p>
        </w:tc>
        <w:tc>
          <w:tcPr>
            <w:tcW w:w="0" w:type="auto"/>
            <w:tcBorders>
              <w:top w:val="nil"/>
              <w:left w:val="nil"/>
              <w:bottom w:val="nil"/>
              <w:right w:val="nil"/>
            </w:tcBorders>
            <w:shd w:val="clear" w:color="auto" w:fill="FFFFFF"/>
            <w:hideMark/>
          </w:tcPr>
          <w:p w14:paraId="3BA5083A" w14:textId="77777777" w:rsidR="00BC4658" w:rsidRPr="00507A31" w:rsidRDefault="00BC4658" w:rsidP="00507A31">
            <w:pPr>
              <w:jc w:val="both"/>
              <w:rPr>
                <w:color w:val="0070C0"/>
                <w:sz w:val="16"/>
                <w:szCs w:val="16"/>
              </w:rPr>
            </w:pPr>
            <w:r w:rsidRPr="00507A31">
              <w:rPr>
                <w:color w:val="0070C0"/>
                <w:sz w:val="16"/>
                <w:szCs w:val="16"/>
              </w:rPr>
              <w:t>24%</w:t>
            </w:r>
          </w:p>
        </w:tc>
        <w:tc>
          <w:tcPr>
            <w:tcW w:w="0" w:type="auto"/>
            <w:tcBorders>
              <w:top w:val="nil"/>
              <w:left w:val="nil"/>
              <w:bottom w:val="nil"/>
              <w:right w:val="nil"/>
            </w:tcBorders>
            <w:shd w:val="clear" w:color="auto" w:fill="FFFFFF"/>
            <w:hideMark/>
          </w:tcPr>
          <w:p w14:paraId="45397DEC" w14:textId="77777777" w:rsidR="00BC4658" w:rsidRPr="00507A31" w:rsidRDefault="00BC4658" w:rsidP="00507A31">
            <w:pPr>
              <w:jc w:val="both"/>
              <w:rPr>
                <w:color w:val="0070C0"/>
                <w:sz w:val="16"/>
                <w:szCs w:val="16"/>
              </w:rPr>
            </w:pPr>
            <w:r w:rsidRPr="00507A31">
              <w:rPr>
                <w:color w:val="0070C0"/>
                <w:sz w:val="16"/>
                <w:szCs w:val="16"/>
              </w:rPr>
              <w:t>27,9 %</w:t>
            </w:r>
          </w:p>
        </w:tc>
      </w:tr>
      <w:tr w:rsidR="00BC4658" w:rsidRPr="00507A31" w14:paraId="7A04DDF5" w14:textId="77777777" w:rsidTr="00027DFA">
        <w:trPr>
          <w:tblCellSpacing w:w="15" w:type="dxa"/>
        </w:trPr>
        <w:tc>
          <w:tcPr>
            <w:tcW w:w="0" w:type="auto"/>
            <w:tcBorders>
              <w:top w:val="nil"/>
              <w:left w:val="nil"/>
              <w:bottom w:val="nil"/>
              <w:right w:val="nil"/>
            </w:tcBorders>
            <w:shd w:val="clear" w:color="auto" w:fill="FFFFFF"/>
            <w:hideMark/>
          </w:tcPr>
          <w:p w14:paraId="350B98BE" w14:textId="77777777" w:rsidR="00BC4658" w:rsidRPr="00507A31" w:rsidRDefault="00BC4658" w:rsidP="00507A31">
            <w:pPr>
              <w:jc w:val="both"/>
              <w:rPr>
                <w:color w:val="0070C0"/>
                <w:sz w:val="16"/>
                <w:szCs w:val="16"/>
              </w:rPr>
            </w:pPr>
            <w:r w:rsidRPr="00507A31">
              <w:rPr>
                <w:color w:val="0070C0"/>
                <w:sz w:val="16"/>
                <w:szCs w:val="16"/>
              </w:rPr>
              <w:t>Аварий инструкторов совместно с курсантами</w:t>
            </w:r>
          </w:p>
        </w:tc>
        <w:tc>
          <w:tcPr>
            <w:tcW w:w="0" w:type="auto"/>
            <w:tcBorders>
              <w:top w:val="nil"/>
              <w:left w:val="nil"/>
              <w:bottom w:val="nil"/>
              <w:right w:val="nil"/>
            </w:tcBorders>
            <w:shd w:val="clear" w:color="auto" w:fill="FFFFFF"/>
            <w:hideMark/>
          </w:tcPr>
          <w:p w14:paraId="18EF8FF6" w14:textId="77777777" w:rsidR="00BC4658" w:rsidRPr="00507A31" w:rsidRDefault="00BC4658" w:rsidP="00507A31">
            <w:pPr>
              <w:jc w:val="both"/>
              <w:rPr>
                <w:color w:val="0070C0"/>
                <w:sz w:val="16"/>
                <w:szCs w:val="16"/>
              </w:rPr>
            </w:pPr>
            <w:r w:rsidRPr="00507A31">
              <w:rPr>
                <w:color w:val="0070C0"/>
                <w:sz w:val="16"/>
                <w:szCs w:val="16"/>
              </w:rPr>
              <w:t>20,3 %</w:t>
            </w:r>
          </w:p>
        </w:tc>
        <w:tc>
          <w:tcPr>
            <w:tcW w:w="0" w:type="auto"/>
            <w:tcBorders>
              <w:top w:val="nil"/>
              <w:left w:val="nil"/>
              <w:bottom w:val="nil"/>
              <w:right w:val="nil"/>
            </w:tcBorders>
            <w:shd w:val="clear" w:color="auto" w:fill="FFFFFF"/>
            <w:hideMark/>
          </w:tcPr>
          <w:p w14:paraId="3972892A" w14:textId="77777777" w:rsidR="00BC4658" w:rsidRPr="00507A31" w:rsidRDefault="00BC4658" w:rsidP="00507A31">
            <w:pPr>
              <w:jc w:val="both"/>
              <w:rPr>
                <w:color w:val="0070C0"/>
                <w:sz w:val="16"/>
                <w:szCs w:val="16"/>
              </w:rPr>
            </w:pPr>
            <w:r w:rsidRPr="00507A31">
              <w:rPr>
                <w:color w:val="0070C0"/>
                <w:sz w:val="16"/>
                <w:szCs w:val="16"/>
              </w:rPr>
              <w:t>19,2 %</w:t>
            </w:r>
          </w:p>
        </w:tc>
      </w:tr>
      <w:tr w:rsidR="00BC4658" w:rsidRPr="00507A31" w14:paraId="2E5F3255" w14:textId="77777777" w:rsidTr="00027DFA">
        <w:trPr>
          <w:tblCellSpacing w:w="15" w:type="dxa"/>
        </w:trPr>
        <w:tc>
          <w:tcPr>
            <w:tcW w:w="0" w:type="auto"/>
            <w:tcBorders>
              <w:top w:val="nil"/>
              <w:left w:val="nil"/>
              <w:bottom w:val="nil"/>
              <w:right w:val="nil"/>
            </w:tcBorders>
            <w:shd w:val="clear" w:color="auto" w:fill="FFFFFF"/>
            <w:hideMark/>
          </w:tcPr>
          <w:p w14:paraId="27C3E7B5" w14:textId="77777777" w:rsidR="00BC4658" w:rsidRPr="00507A31" w:rsidRDefault="00BC4658" w:rsidP="00507A31">
            <w:pPr>
              <w:jc w:val="both"/>
              <w:rPr>
                <w:color w:val="0070C0"/>
                <w:sz w:val="16"/>
                <w:szCs w:val="16"/>
              </w:rPr>
            </w:pPr>
            <w:r w:rsidRPr="00507A31">
              <w:rPr>
                <w:color w:val="0070C0"/>
                <w:sz w:val="16"/>
                <w:szCs w:val="16"/>
              </w:rPr>
              <w:t>Аварий курсантов</w:t>
            </w:r>
          </w:p>
        </w:tc>
        <w:tc>
          <w:tcPr>
            <w:tcW w:w="0" w:type="auto"/>
            <w:tcBorders>
              <w:top w:val="nil"/>
              <w:left w:val="nil"/>
              <w:bottom w:val="nil"/>
              <w:right w:val="nil"/>
            </w:tcBorders>
            <w:shd w:val="clear" w:color="auto" w:fill="FFFFFF"/>
            <w:hideMark/>
          </w:tcPr>
          <w:p w14:paraId="219CCD38" w14:textId="77777777" w:rsidR="00BC4658" w:rsidRPr="00507A31" w:rsidRDefault="00BC4658" w:rsidP="00507A31">
            <w:pPr>
              <w:jc w:val="both"/>
              <w:rPr>
                <w:color w:val="0070C0"/>
                <w:sz w:val="16"/>
                <w:szCs w:val="16"/>
              </w:rPr>
            </w:pPr>
            <w:r w:rsidRPr="00507A31">
              <w:rPr>
                <w:color w:val="0070C0"/>
                <w:sz w:val="16"/>
                <w:szCs w:val="16"/>
              </w:rPr>
              <w:t>55,7 %</w:t>
            </w:r>
          </w:p>
        </w:tc>
        <w:tc>
          <w:tcPr>
            <w:tcW w:w="0" w:type="auto"/>
            <w:tcBorders>
              <w:top w:val="nil"/>
              <w:left w:val="nil"/>
              <w:bottom w:val="nil"/>
              <w:right w:val="nil"/>
            </w:tcBorders>
            <w:shd w:val="clear" w:color="auto" w:fill="FFFFFF"/>
            <w:hideMark/>
          </w:tcPr>
          <w:p w14:paraId="1779953E" w14:textId="77777777" w:rsidR="00BC4658" w:rsidRPr="00507A31" w:rsidRDefault="00BC4658" w:rsidP="00507A31">
            <w:pPr>
              <w:jc w:val="both"/>
              <w:rPr>
                <w:color w:val="0070C0"/>
                <w:sz w:val="16"/>
                <w:szCs w:val="16"/>
              </w:rPr>
            </w:pPr>
            <w:r w:rsidRPr="00507A31">
              <w:rPr>
                <w:color w:val="0070C0"/>
                <w:sz w:val="16"/>
                <w:szCs w:val="16"/>
              </w:rPr>
              <w:t>52,9 %</w:t>
            </w:r>
          </w:p>
        </w:tc>
      </w:tr>
    </w:tbl>
    <w:p w14:paraId="151AB34F" w14:textId="77777777" w:rsidR="00BC4658" w:rsidRPr="00507A31" w:rsidRDefault="00BC4658" w:rsidP="00507A31">
      <w:pPr>
        <w:jc w:val="both"/>
        <w:rPr>
          <w:color w:val="0070C0"/>
          <w:sz w:val="16"/>
          <w:szCs w:val="16"/>
        </w:rPr>
      </w:pPr>
      <w:r w:rsidRPr="00507A31">
        <w:rPr>
          <w:color w:val="0070C0"/>
          <w:sz w:val="16"/>
          <w:szCs w:val="16"/>
        </w:rPr>
        <w:t>т. е. почти половина всех аварий в школах падает на инструкторский состав, летающий или самостоятельно, или совместно с курсантами, причем в 3-й Летной школе (в г. Оренбурге) процент инструкторских аварий доходит до 66,9 % от общего числа аварий в школе [1348].</w:t>
      </w:r>
    </w:p>
    <w:p w14:paraId="3C5D9BAA" w14:textId="77777777" w:rsidR="00BC4658" w:rsidRPr="00507A31" w:rsidRDefault="00BC4658" w:rsidP="00507A31">
      <w:pPr>
        <w:jc w:val="both"/>
        <w:rPr>
          <w:color w:val="0070C0"/>
          <w:sz w:val="16"/>
          <w:szCs w:val="16"/>
        </w:rPr>
      </w:pPr>
      <w:r w:rsidRPr="00507A31">
        <w:rPr>
          <w:color w:val="0070C0"/>
          <w:sz w:val="16"/>
          <w:szCs w:val="16"/>
        </w:rPr>
        <w:t>В) Неудовлетворительное, в некоторых местах абсолютно недопустимое, состояние до сих пор как общего, так и, особенно, противопожарного оборудования и охраны аэродромов и ангаров, в частности отсутствие на большинстве аэродромов водопроводов.</w:t>
      </w:r>
    </w:p>
    <w:p w14:paraId="6E29AAE9" w14:textId="77777777" w:rsidR="00BC4658" w:rsidRPr="00507A31" w:rsidRDefault="00BC4658" w:rsidP="00507A31">
      <w:pPr>
        <w:shd w:val="clear" w:color="auto" w:fill="FFFFFF"/>
        <w:jc w:val="both"/>
        <w:rPr>
          <w:color w:val="0070C0"/>
          <w:sz w:val="16"/>
          <w:szCs w:val="16"/>
        </w:rPr>
      </w:pPr>
      <w:r w:rsidRPr="00507A31">
        <w:rPr>
          <w:color w:val="0070C0"/>
          <w:sz w:val="16"/>
          <w:szCs w:val="16"/>
        </w:rPr>
        <w:t>На протяжении последних лет состояние аэродромов и ангаров неоднократно обследовалось специальными комиссиями с нашими представителями, но процент установленных недочетов, выявляемых комиссиями, весьма незначительный.</w:t>
      </w:r>
    </w:p>
    <w:p w14:paraId="4F8EAAE6" w14:textId="77777777" w:rsidR="00BC4658" w:rsidRPr="00507A31" w:rsidRDefault="00BC4658" w:rsidP="00507A31">
      <w:pPr>
        <w:shd w:val="clear" w:color="auto" w:fill="FFFFFF"/>
        <w:jc w:val="both"/>
        <w:rPr>
          <w:color w:val="0070C0"/>
          <w:sz w:val="16"/>
          <w:szCs w:val="16"/>
        </w:rPr>
      </w:pPr>
      <w:r w:rsidRPr="00507A31">
        <w:rPr>
          <w:color w:val="0070C0"/>
          <w:sz w:val="16"/>
          <w:szCs w:val="16"/>
        </w:rPr>
        <w:t>Указанное положение с общей и противопожарной охраной создает благоприятные условия для вредительско-диверсионных актов и чрезвычайно затрудняет выявление виновных.</w:t>
      </w:r>
    </w:p>
    <w:p w14:paraId="2F3F15F1" w14:textId="77777777" w:rsidR="00BC4658" w:rsidRPr="00507A31" w:rsidRDefault="00BC4658" w:rsidP="00507A31">
      <w:pPr>
        <w:shd w:val="clear" w:color="auto" w:fill="FFFFFF"/>
        <w:jc w:val="both"/>
        <w:rPr>
          <w:color w:val="0070C0"/>
          <w:sz w:val="16"/>
          <w:szCs w:val="16"/>
        </w:rPr>
      </w:pPr>
      <w:r w:rsidRPr="00507A31">
        <w:rPr>
          <w:color w:val="0070C0"/>
          <w:sz w:val="16"/>
          <w:szCs w:val="16"/>
        </w:rPr>
        <w:t>Г) Недостаточная площадь ангаров, вследствие чего ангары загромождены самолетами сверх нормы, а к 1 октября 1930 г. останутся совершенно необеспеченными ангарной площадью 513 самолетов (в учетных единицах).</w:t>
      </w:r>
    </w:p>
    <w:p w14:paraId="223996F8" w14:textId="77777777" w:rsidR="00BC4658" w:rsidRPr="00507A31" w:rsidRDefault="00BC4658" w:rsidP="00507A31">
      <w:pPr>
        <w:shd w:val="clear" w:color="auto" w:fill="FFFFFF"/>
        <w:jc w:val="both"/>
        <w:rPr>
          <w:color w:val="0070C0"/>
          <w:sz w:val="16"/>
          <w:szCs w:val="16"/>
        </w:rPr>
      </w:pPr>
      <w:r w:rsidRPr="00507A31">
        <w:rPr>
          <w:color w:val="0070C0"/>
          <w:sz w:val="16"/>
          <w:szCs w:val="16"/>
        </w:rPr>
        <w:t>Д) Наличие до последнего времени в Воздушном флоте значительного количества старых самолетов с пониженными техническими летными качествами.</w:t>
      </w:r>
    </w:p>
    <w:p w14:paraId="16616876" w14:textId="77777777" w:rsidR="00BC4658" w:rsidRPr="00507A31" w:rsidRDefault="00BC4658" w:rsidP="00507A31">
      <w:pPr>
        <w:shd w:val="clear" w:color="auto" w:fill="FFFFFF"/>
        <w:jc w:val="both"/>
        <w:rPr>
          <w:color w:val="0070C0"/>
          <w:sz w:val="16"/>
          <w:szCs w:val="16"/>
        </w:rPr>
      </w:pPr>
      <w:r w:rsidRPr="00507A31">
        <w:rPr>
          <w:color w:val="0070C0"/>
          <w:sz w:val="16"/>
          <w:szCs w:val="16"/>
        </w:rPr>
        <w:t>Вопросы аварий, мер борьбы с ними обсуждались 8/VII-c. г. на специальном заседании с участием командующих и н-ков воздушных сил округов, созванном тов. Ворошиловым, на каковом разработан ряд мероприятий.</w:t>
      </w:r>
    </w:p>
    <w:p w14:paraId="31F12B78" w14:textId="77777777" w:rsidR="00BC4658" w:rsidRPr="00507A31" w:rsidRDefault="00BC4658" w:rsidP="00507A31">
      <w:pPr>
        <w:shd w:val="clear" w:color="auto" w:fill="FFFFFF"/>
        <w:jc w:val="both"/>
        <w:rPr>
          <w:color w:val="0070C0"/>
          <w:sz w:val="16"/>
          <w:szCs w:val="16"/>
        </w:rPr>
      </w:pPr>
      <w:r w:rsidRPr="00507A31">
        <w:rPr>
          <w:color w:val="0070C0"/>
          <w:sz w:val="16"/>
          <w:szCs w:val="16"/>
        </w:rPr>
        <w:t>Зампред ОГПУ Г. Ягода</w:t>
      </w:r>
    </w:p>
    <w:p w14:paraId="0C1D61B4" w14:textId="77777777" w:rsidR="00BC4658" w:rsidRPr="00507A31" w:rsidRDefault="00BC4658" w:rsidP="00507A31">
      <w:pPr>
        <w:shd w:val="clear" w:color="auto" w:fill="FFFFFF"/>
        <w:jc w:val="both"/>
        <w:rPr>
          <w:color w:val="0070C0"/>
          <w:sz w:val="16"/>
          <w:szCs w:val="16"/>
        </w:rPr>
      </w:pPr>
      <w:r w:rsidRPr="00507A31">
        <w:rPr>
          <w:color w:val="0070C0"/>
          <w:sz w:val="16"/>
          <w:szCs w:val="16"/>
        </w:rPr>
        <w:t>Нач. Особотдела ОГПУ Ольский</w:t>
      </w:r>
    </w:p>
    <w:p w14:paraId="5E39F853" w14:textId="77777777" w:rsidR="00BC4658" w:rsidRPr="00507A31" w:rsidRDefault="00BC4658" w:rsidP="00507A31">
      <w:pPr>
        <w:shd w:val="clear" w:color="auto" w:fill="FFFFFF"/>
        <w:jc w:val="both"/>
        <w:rPr>
          <w:color w:val="0070C0"/>
          <w:sz w:val="16"/>
          <w:szCs w:val="16"/>
        </w:rPr>
      </w:pPr>
      <w:r w:rsidRPr="00507A31">
        <w:rPr>
          <w:color w:val="0070C0"/>
          <w:sz w:val="16"/>
          <w:szCs w:val="16"/>
        </w:rPr>
        <w:t>ЦА ФСБ РФ. Ф. 2. Оп. 8. Д. 16. Л. 492–494 (20268).</w:t>
      </w:r>
    </w:p>
    <w:p w14:paraId="70F8825C" w14:textId="77777777" w:rsidR="00BC4658" w:rsidRPr="00507A31" w:rsidRDefault="00BC4658" w:rsidP="00507A31">
      <w:pPr>
        <w:jc w:val="both"/>
        <w:rPr>
          <w:color w:val="0070C0"/>
          <w:sz w:val="16"/>
          <w:szCs w:val="16"/>
        </w:rPr>
      </w:pPr>
    </w:p>
    <w:p w14:paraId="53CAA87D" w14:textId="77777777" w:rsidR="00550121"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0AEA305" w14:textId="77777777" w:rsidR="00550121" w:rsidRPr="00507A31" w:rsidRDefault="00550121" w:rsidP="00507A31">
      <w:pPr>
        <w:autoSpaceDE w:val="0"/>
        <w:autoSpaceDN w:val="0"/>
        <w:adjustRightInd w:val="0"/>
        <w:jc w:val="both"/>
        <w:rPr>
          <w:iCs/>
          <w:color w:val="000000" w:themeColor="text1"/>
          <w:sz w:val="16"/>
          <w:szCs w:val="16"/>
        </w:rPr>
      </w:pPr>
    </w:p>
    <w:p w14:paraId="66B0C7F6" w14:textId="77777777" w:rsidR="00550121" w:rsidRPr="00507A31" w:rsidRDefault="00550121" w:rsidP="00507A31">
      <w:pPr>
        <w:jc w:val="both"/>
        <w:rPr>
          <w:color w:val="000000" w:themeColor="text1"/>
          <w:sz w:val="16"/>
          <w:szCs w:val="16"/>
        </w:rPr>
      </w:pPr>
      <w:r w:rsidRPr="00507A31">
        <w:rPr>
          <w:color w:val="000000" w:themeColor="text1"/>
          <w:sz w:val="16"/>
          <w:szCs w:val="16"/>
        </w:rPr>
        <w:t xml:space="preserve">18 июля в 1930 году первый полет выполнила летающая лодка </w:t>
      </w:r>
      <w:hyperlink r:id="rId122" w:tgtFrame="_blank" w:history="1">
        <w:r w:rsidRPr="00507A31">
          <w:rPr>
            <w:color w:val="000000" w:themeColor="text1"/>
            <w:sz w:val="16"/>
            <w:szCs w:val="16"/>
          </w:rPr>
          <w:t xml:space="preserve">«RB.2» «Sydney». </w:t>
        </w:r>
      </w:hyperlink>
      <w:r w:rsidRPr="00507A31">
        <w:rPr>
          <w:color w:val="000000" w:themeColor="text1"/>
          <w:sz w:val="16"/>
          <w:szCs w:val="16"/>
        </w:rPr>
        <w:t>Самолет «Blackburn» «RB.2» «Sydney» разработан согласно спецификации R.5/27 Министерства авиации на основе «RB.1 Iris». Прототип этой летающей лодки - моноплана с тремя моторами «Rolls-Royce» «Falcon X» мощностью по 510 л. с. - был заказан в июне 1927 года, но вскоре фирма получила указание заменить эти двигатели на три Rolls-Royce F.XIIA мощностью по 525 л. с. В окончательном варианте установили три мотора «F. XIIMS». «RB.2» «Sydney» - летающая лодка цельнометаллической конструкции, корпус с закрытой кабиной выполнен по двухреданной схеме. Крыло установлено на мощном стальном пилоне с дюралюминиевой обшивкой над корпусом, дополнительную прочность крепления крыла к корпусу обеспечивают четыре подкоса, по два с каждого борта. Хвостовое оперение состоит из стабилизатора, усиленного подкосами, с рулями высоты и трех килей с рулями направления. Мотогондолы с двигателями смонтированы на центроплане крыла. Вооружение лодки состояло из трех 7,7-мм пулеметов Lewis (по одному на турелях в носовой, верхней и хвостовой частях корпуса) и двух 839-кг торпед «Mk VIII» или «Mk X» или до 500 кг бомб на внешней подвеске под крылом (14956).</w:t>
      </w:r>
    </w:p>
    <w:p w14:paraId="26F41DB5" w14:textId="77777777" w:rsidR="00550121" w:rsidRPr="00507A31" w:rsidRDefault="00550121" w:rsidP="00507A31">
      <w:pPr>
        <w:jc w:val="both"/>
        <w:rPr>
          <w:color w:val="000000" w:themeColor="text1"/>
          <w:sz w:val="16"/>
          <w:szCs w:val="16"/>
        </w:rPr>
      </w:pPr>
    </w:p>
    <w:p w14:paraId="1BAD545C" w14:textId="77777777" w:rsidR="005E2011" w:rsidRPr="00507A31" w:rsidRDefault="005E2011" w:rsidP="00507A31">
      <w:pPr>
        <w:jc w:val="both"/>
        <w:rPr>
          <w:color w:val="0070C0"/>
          <w:sz w:val="16"/>
          <w:szCs w:val="16"/>
        </w:rPr>
      </w:pPr>
      <w:r w:rsidRPr="00507A31">
        <w:rPr>
          <w:color w:val="0070C0"/>
          <w:sz w:val="16"/>
          <w:szCs w:val="16"/>
        </w:rPr>
        <w:t xml:space="preserve">18 июля 1930 первый полет Блэкберн Сидней Август (20805). </w:t>
      </w:r>
    </w:p>
    <w:p w14:paraId="638A10B5" w14:textId="77777777" w:rsidR="005E2011" w:rsidRPr="00507A31" w:rsidRDefault="005E2011" w:rsidP="00507A31">
      <w:pPr>
        <w:jc w:val="both"/>
        <w:rPr>
          <w:color w:val="0070C0"/>
          <w:sz w:val="16"/>
          <w:szCs w:val="16"/>
        </w:rPr>
      </w:pPr>
    </w:p>
    <w:p w14:paraId="7E246D76" w14:textId="77777777" w:rsidR="00EC6A53" w:rsidRPr="00507A31" w:rsidRDefault="00EC6A53"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688375C" w14:textId="77777777" w:rsidR="00EC6A53" w:rsidRPr="00507A31" w:rsidRDefault="00EC6A53" w:rsidP="00507A31">
      <w:pPr>
        <w:autoSpaceDE w:val="0"/>
        <w:autoSpaceDN w:val="0"/>
        <w:adjustRightInd w:val="0"/>
        <w:jc w:val="both"/>
        <w:rPr>
          <w:iCs/>
          <w:color w:val="000000" w:themeColor="text1"/>
          <w:sz w:val="16"/>
          <w:szCs w:val="16"/>
        </w:rPr>
      </w:pPr>
    </w:p>
    <w:p w14:paraId="42C0A90D" w14:textId="77777777" w:rsidR="00EC6A53" w:rsidRPr="00507A31" w:rsidRDefault="00EC6A53" w:rsidP="00507A31">
      <w:pPr>
        <w:jc w:val="both"/>
        <w:rPr>
          <w:color w:val="000000" w:themeColor="text1"/>
          <w:sz w:val="16"/>
          <w:szCs w:val="16"/>
        </w:rPr>
      </w:pPr>
      <w:r w:rsidRPr="00507A31">
        <w:rPr>
          <w:color w:val="000000" w:themeColor="text1"/>
          <w:sz w:val="16"/>
          <w:szCs w:val="16"/>
        </w:rPr>
        <w:lastRenderedPageBreak/>
        <w:t>19 июля 1930 г. выходит еще один приказ ВСНХ № 154 по вопросу создания КБ на предприятиях, осуществляющих выпуск оборонной продукции. В развитие предыдущих требований на сей раз ставится задача обеспечения военного производства опытной базой в виде специальных опытных заводов или цехов и опытных мастерских (18297).</w:t>
      </w:r>
    </w:p>
    <w:p w14:paraId="74222F63" w14:textId="77777777" w:rsidR="00EC6A53" w:rsidRPr="00507A31" w:rsidRDefault="00EC6A53" w:rsidP="00507A31">
      <w:pPr>
        <w:jc w:val="both"/>
        <w:rPr>
          <w:color w:val="000000" w:themeColor="text1"/>
          <w:sz w:val="16"/>
          <w:szCs w:val="16"/>
        </w:rPr>
      </w:pPr>
    </w:p>
    <w:p w14:paraId="5E80D6B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FBAC82F" w14:textId="77777777" w:rsidR="00537E5F" w:rsidRPr="00507A31" w:rsidRDefault="00537E5F" w:rsidP="00507A31">
      <w:pPr>
        <w:autoSpaceDE w:val="0"/>
        <w:autoSpaceDN w:val="0"/>
        <w:adjustRightInd w:val="0"/>
        <w:jc w:val="both"/>
        <w:rPr>
          <w:iCs/>
          <w:color w:val="000000" w:themeColor="text1"/>
          <w:sz w:val="16"/>
          <w:szCs w:val="16"/>
        </w:rPr>
      </w:pPr>
    </w:p>
    <w:p w14:paraId="0B9E7D6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19 июля 1930 правительство Финляндии депортировало лидеров финской компартии в СССР (4962).</w:t>
      </w:r>
    </w:p>
    <w:p w14:paraId="5A3DB97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D00533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6085F232" w14:textId="77777777" w:rsidR="00537E5F" w:rsidRPr="00507A31" w:rsidRDefault="00537E5F" w:rsidP="00507A31">
      <w:pPr>
        <w:autoSpaceDE w:val="0"/>
        <w:autoSpaceDN w:val="0"/>
        <w:adjustRightInd w:val="0"/>
        <w:jc w:val="both"/>
        <w:rPr>
          <w:iCs/>
          <w:color w:val="000000" w:themeColor="text1"/>
          <w:sz w:val="16"/>
          <w:szCs w:val="16"/>
        </w:rPr>
      </w:pPr>
    </w:p>
    <w:p w14:paraId="0DA95A5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19 июля 1930 наркомом иностранных дел СССР назначен Максим Литвинов (4962).</w:t>
      </w:r>
    </w:p>
    <w:p w14:paraId="34FC280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A318561" w14:textId="77777777" w:rsidR="005E2011" w:rsidRPr="00507A31" w:rsidRDefault="005E2011"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8D6BE7D" w14:textId="77777777" w:rsidR="005E2011" w:rsidRPr="00507A31" w:rsidRDefault="005E2011" w:rsidP="00507A31">
      <w:pPr>
        <w:autoSpaceDE w:val="0"/>
        <w:autoSpaceDN w:val="0"/>
        <w:adjustRightInd w:val="0"/>
        <w:jc w:val="both"/>
        <w:rPr>
          <w:iCs/>
          <w:color w:val="000000" w:themeColor="text1"/>
          <w:sz w:val="16"/>
          <w:szCs w:val="16"/>
        </w:rPr>
      </w:pPr>
    </w:p>
    <w:p w14:paraId="3F78DFEF" w14:textId="77777777" w:rsidR="005E2011" w:rsidRPr="00507A31" w:rsidRDefault="005E2011" w:rsidP="00507A31">
      <w:pPr>
        <w:jc w:val="both"/>
        <w:rPr>
          <w:color w:val="0070C0"/>
          <w:sz w:val="16"/>
          <w:szCs w:val="16"/>
        </w:rPr>
      </w:pPr>
      <w:r w:rsidRPr="00507A31">
        <w:rPr>
          <w:color w:val="0070C0"/>
          <w:sz w:val="16"/>
          <w:szCs w:val="16"/>
        </w:rPr>
        <w:t>19 июля 1930 летчик-рекордсмен Фрэнк Голдсборо погибает в авиакатастрофе в Вермонте в день своего 20-летия (20805).</w:t>
      </w:r>
    </w:p>
    <w:p w14:paraId="1B339E75" w14:textId="77777777" w:rsidR="005E2011" w:rsidRPr="00507A31" w:rsidRDefault="005E2011" w:rsidP="00507A31">
      <w:pPr>
        <w:jc w:val="both"/>
        <w:rPr>
          <w:color w:val="0070C0"/>
          <w:sz w:val="16"/>
          <w:szCs w:val="16"/>
        </w:rPr>
      </w:pPr>
    </w:p>
    <w:p w14:paraId="48978B2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8C11F84" w14:textId="77777777" w:rsidR="00537E5F" w:rsidRPr="00507A31" w:rsidRDefault="00537E5F" w:rsidP="00507A31">
      <w:pPr>
        <w:autoSpaceDE w:val="0"/>
        <w:autoSpaceDN w:val="0"/>
        <w:adjustRightInd w:val="0"/>
        <w:jc w:val="both"/>
        <w:rPr>
          <w:iCs/>
          <w:color w:val="000000" w:themeColor="text1"/>
          <w:sz w:val="16"/>
          <w:szCs w:val="16"/>
        </w:rPr>
      </w:pPr>
    </w:p>
    <w:p w14:paraId="23E303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июля 1930 г. в ЦАГИ поступили тактико-технические требования к истребителю с динамореактивной пушкой 150-мм калибра. По их замыслу, самолет ДИП (двухместный истребитель пушечный) должен был создаваться специально под применение на нем безоткатных динамореактивных пушек АПК. И, как следствие, превзойти по мощности артиллерийского огня все истребители, стоящие на вооружении отечественных и зарубежных ВВС. Из-за огромного количества различных заказов начало работ по данному истребителю все время откладывали (9538,22).</w:t>
      </w:r>
    </w:p>
    <w:p w14:paraId="5707BC86" w14:textId="77777777" w:rsidR="00537E5F" w:rsidRPr="00507A31" w:rsidRDefault="00537E5F" w:rsidP="00507A31">
      <w:pPr>
        <w:autoSpaceDE w:val="0"/>
        <w:autoSpaceDN w:val="0"/>
        <w:adjustRightInd w:val="0"/>
        <w:jc w:val="both"/>
        <w:rPr>
          <w:color w:val="000000" w:themeColor="text1"/>
          <w:sz w:val="16"/>
          <w:szCs w:val="16"/>
        </w:rPr>
      </w:pPr>
    </w:p>
    <w:p w14:paraId="5ED83C8A" w14:textId="77777777" w:rsidR="00EA2934" w:rsidRPr="00507A31" w:rsidRDefault="00EA2934" w:rsidP="00507A31">
      <w:pPr>
        <w:jc w:val="both"/>
        <w:rPr>
          <w:color w:val="000000" w:themeColor="text1"/>
          <w:sz w:val="16"/>
          <w:szCs w:val="16"/>
        </w:rPr>
      </w:pPr>
      <w:r w:rsidRPr="00507A31">
        <w:rPr>
          <w:color w:val="000000" w:themeColor="text1"/>
          <w:sz w:val="16"/>
          <w:szCs w:val="16"/>
        </w:rPr>
        <w:t>20 июля 1930 г. Совет Труда и Обороны отклонил ходатайство о выделении валюты на приобретение американских амфибий. Тем же решением Авиатресту предлагалось ускорить создание оте</w:t>
      </w:r>
      <w:r w:rsidRPr="00507A31">
        <w:rPr>
          <w:color w:val="000000" w:themeColor="text1"/>
          <w:sz w:val="16"/>
          <w:szCs w:val="16"/>
        </w:rPr>
        <w:softHyphen/>
        <w:t>чественной техники, пригодной для эксплуатации на Камчатке. Валюта в ко</w:t>
      </w:r>
      <w:r w:rsidRPr="00507A31">
        <w:rPr>
          <w:color w:val="000000" w:themeColor="text1"/>
          <w:sz w:val="16"/>
          <w:szCs w:val="16"/>
        </w:rPr>
        <w:softHyphen/>
        <w:t>нечном итоге в «Добролет» все-таки поступила, но была израсходована на за</w:t>
      </w:r>
      <w:r w:rsidRPr="00507A31">
        <w:rPr>
          <w:color w:val="000000" w:themeColor="text1"/>
          <w:sz w:val="16"/>
          <w:szCs w:val="16"/>
        </w:rPr>
        <w:softHyphen/>
        <w:t>купку моторов «Райт» к самолетам АНТ-9 (12299).</w:t>
      </w:r>
    </w:p>
    <w:p w14:paraId="28976E80" w14:textId="77777777" w:rsidR="00EA2934" w:rsidRPr="00507A31" w:rsidRDefault="00EA2934" w:rsidP="00507A31">
      <w:pPr>
        <w:jc w:val="both"/>
        <w:rPr>
          <w:color w:val="000000" w:themeColor="text1"/>
          <w:sz w:val="16"/>
          <w:szCs w:val="16"/>
        </w:rPr>
      </w:pPr>
    </w:p>
    <w:p w14:paraId="1C7584C3" w14:textId="77777777" w:rsidR="00A90D26" w:rsidRPr="00507A31" w:rsidRDefault="00A90D26" w:rsidP="00507A31">
      <w:pPr>
        <w:shd w:val="clear" w:color="auto" w:fill="FFFFFF"/>
        <w:jc w:val="both"/>
        <w:rPr>
          <w:color w:val="0070C0"/>
          <w:sz w:val="16"/>
          <w:szCs w:val="16"/>
        </w:rPr>
      </w:pPr>
      <w:bookmarkStart w:id="69" w:name="_Hlk83569509"/>
      <w:r w:rsidRPr="00507A31">
        <w:rPr>
          <w:color w:val="0070C0"/>
          <w:sz w:val="16"/>
          <w:szCs w:val="16"/>
        </w:rPr>
        <w:t>20 июля 1930 г. состоялось заседание РЗ СТО</w:t>
      </w:r>
    </w:p>
    <w:p w14:paraId="6372F67E" w14:textId="77777777" w:rsidR="00A90D26" w:rsidRPr="00507A31" w:rsidRDefault="00A90D26" w:rsidP="00507A31">
      <w:pPr>
        <w:shd w:val="clear" w:color="auto" w:fill="FFFFFF"/>
        <w:jc w:val="both"/>
        <w:rPr>
          <w:color w:val="0070C0"/>
          <w:sz w:val="16"/>
          <w:szCs w:val="16"/>
        </w:rPr>
      </w:pPr>
      <w:r w:rsidRPr="00507A31">
        <w:rPr>
          <w:color w:val="0070C0"/>
          <w:sz w:val="16"/>
          <w:szCs w:val="16"/>
        </w:rPr>
        <w:t>Протокол № 53 от 20 июля 1930 г.:</w:t>
      </w:r>
    </w:p>
    <w:p w14:paraId="4C672ED1" w14:textId="77777777" w:rsidR="00A90D26" w:rsidRPr="00507A31" w:rsidRDefault="00A90D26" w:rsidP="00507A31">
      <w:pPr>
        <w:shd w:val="clear" w:color="auto" w:fill="FFFFFF"/>
        <w:jc w:val="both"/>
        <w:rPr>
          <w:color w:val="0070C0"/>
          <w:sz w:val="16"/>
          <w:szCs w:val="16"/>
        </w:rPr>
      </w:pPr>
      <w:r w:rsidRPr="00507A31">
        <w:rPr>
          <w:color w:val="0070C0"/>
          <w:sz w:val="16"/>
          <w:szCs w:val="16"/>
        </w:rPr>
        <w:t>О приравнении заказов Осоавиахима к заказам НКВМ (постановление РЗ СТО от 20.7.1930 г. к протоколу РЗ СТО № 53 от 20.7.1930 г. по п. 26).</w:t>
      </w:r>
    </w:p>
    <w:p w14:paraId="2D7BE91C" w14:textId="77777777" w:rsidR="00A90D26" w:rsidRPr="00507A31" w:rsidRDefault="00A90D26" w:rsidP="00507A31">
      <w:pPr>
        <w:shd w:val="clear" w:color="auto" w:fill="FFFFFF"/>
        <w:jc w:val="both"/>
        <w:rPr>
          <w:color w:val="0070C0"/>
          <w:sz w:val="16"/>
          <w:szCs w:val="16"/>
        </w:rPr>
      </w:pPr>
      <w:r w:rsidRPr="00507A31">
        <w:rPr>
          <w:color w:val="0070C0"/>
          <w:sz w:val="16"/>
          <w:szCs w:val="16"/>
        </w:rPr>
        <w:t>О максимальной загрузке заводов Авиаобъединения №№ 26 и 29 (постановление РЗ СТО от 1.7.1930 г. к протоколу РЗ СТО № 53 от 20.7.1930 г. по п. 27) (21566).</w:t>
      </w:r>
    </w:p>
    <w:bookmarkEnd w:id="69"/>
    <w:p w14:paraId="05AAA134" w14:textId="77777777" w:rsidR="00A90D26" w:rsidRPr="00507A31" w:rsidRDefault="00A90D26" w:rsidP="00507A31">
      <w:pPr>
        <w:jc w:val="both"/>
        <w:rPr>
          <w:color w:val="0070C0"/>
          <w:sz w:val="16"/>
          <w:szCs w:val="16"/>
        </w:rPr>
      </w:pPr>
    </w:p>
    <w:p w14:paraId="7DF70D0C" w14:textId="77777777" w:rsidR="00A90D26" w:rsidRPr="00507A31" w:rsidRDefault="00A90D26" w:rsidP="00507A31">
      <w:pPr>
        <w:jc w:val="both"/>
        <w:rPr>
          <w:color w:val="0070C0"/>
          <w:sz w:val="16"/>
          <w:szCs w:val="16"/>
        </w:rPr>
      </w:pPr>
      <w:r w:rsidRPr="00507A31">
        <w:rPr>
          <w:color w:val="0070C0"/>
          <w:sz w:val="16"/>
          <w:szCs w:val="16"/>
        </w:rPr>
        <w:t>20 июля 1930 г. Совет Труда и Обороны отклонил ходатайство о выделении валюты на приобретение американских амфибий. Тем же решением Авиатресту предлагалось ускорить создание оте</w:t>
      </w:r>
      <w:r w:rsidRPr="00507A31">
        <w:rPr>
          <w:color w:val="0070C0"/>
          <w:sz w:val="16"/>
          <w:szCs w:val="16"/>
        </w:rPr>
        <w:softHyphen/>
        <w:t>чественной техники, пригодной для эксплуатации на Камчатке. Валюта в ко</w:t>
      </w:r>
      <w:r w:rsidRPr="00507A31">
        <w:rPr>
          <w:color w:val="0070C0"/>
          <w:sz w:val="16"/>
          <w:szCs w:val="16"/>
        </w:rPr>
        <w:softHyphen/>
        <w:t>нечном итоге в «Добролет» все-таки поступила, но была израсходована на за</w:t>
      </w:r>
      <w:r w:rsidRPr="00507A31">
        <w:rPr>
          <w:color w:val="0070C0"/>
          <w:sz w:val="16"/>
          <w:szCs w:val="16"/>
        </w:rPr>
        <w:softHyphen/>
        <w:t>купку моторов «Райт» к самолетам АНТ-9 (20402).</w:t>
      </w:r>
    </w:p>
    <w:p w14:paraId="09BC784E" w14:textId="77777777" w:rsidR="00A90D26" w:rsidRPr="00507A31" w:rsidRDefault="00A90D26" w:rsidP="00507A31">
      <w:pPr>
        <w:jc w:val="both"/>
        <w:rPr>
          <w:color w:val="0070C0"/>
          <w:sz w:val="16"/>
          <w:szCs w:val="16"/>
        </w:rPr>
      </w:pPr>
    </w:p>
    <w:p w14:paraId="1E5FEE07" w14:textId="77777777" w:rsidR="00A90D26" w:rsidRPr="00507A31" w:rsidRDefault="00A90D26" w:rsidP="00507A31">
      <w:pPr>
        <w:shd w:val="clear" w:color="auto" w:fill="FFFFFF"/>
        <w:jc w:val="both"/>
        <w:rPr>
          <w:color w:val="0070C0"/>
          <w:sz w:val="16"/>
          <w:szCs w:val="16"/>
        </w:rPr>
      </w:pPr>
      <w:r w:rsidRPr="00507A31">
        <w:rPr>
          <w:color w:val="0070C0"/>
          <w:sz w:val="16"/>
          <w:szCs w:val="16"/>
        </w:rPr>
        <w:t>20 июля 1930 г. на Политбюро был поставлен вопрос "о передаче авиапромышленности из ВСНХ в НКВМор" (Докладчиками по этому вопросу выступали Куйбышев и Ворошилов. М. Е. Урываев, в качестве начальника ГВПУ ВСНХ руководивший авиационной отраслью, в середине июля 1930 г. был снят со своего поста (STONE D. Hammer and Rifle. P. 161)). Передача военному ведомству права направлять развитие заново рождающейся авиаиндустрии (С 1925 г. предприятия самолетостроения контролировались государственным трестом "Авиатрест", подчиненным Главному управлению металлургической промышленности ВСНХ (1925-1928 IT.), Главному военно-промышленному управлению ВСНХ (1928-1930 гг.). В 1929 г. "Авиатрест" включал 15 предприятий (МУХИН М. IO. Эволюция системы управления советской оборонной промышленностью в 1921-1941 годах и смена приоритетов "оборонки" // ОИ. 2000. № 3. С. 7). В феврале 1930 г. "Авиатрест" был преобразован во Всесоюзное объединение авиационной промышленности (ВАО)) была беспрецедентным экспериментом, чреватым  распространением его контрольных функций на другие отрасли (В соответствии с "хартией" ВАО, утвержденной РВС СССР, ему следовало работать как самостоятельному хозяйственному объединению "на основе хозрасчета в соответствии с плановыми заданиями НКВМ". Эксперимент оказался крайне неудачным. В феврале 1931 г. по просьбе РВСС Политбюро приняло решение вернуть ВАО в Высший совет народного хозяйства (STONE D. Hammer and Rifle. P. 142). В последствии авиационная промышленносьть была подчинена Главному военно-мобилизационному управлению НКТП (1932 т.), а затем непосредственно Наркомату тяжелой промышленности (до вычленения из него Наркомата оборонной промышленности в декабре 1936 г.) (МУХИН М. Ю. Указ соч. С. 7)). Политбюро указывало, "что основой военной авиации должна быть развитая есть гражданской авиации". Для детального рассмотрения "вопросов о всемерном развитии гражданской авиации и формах связи гражданской авиации с военной" создавалась комиссия под председательством Рудзутака, представительство в ней НКВМ и РККА было возложено па Тухачевского (Протокол № 2 заседания Политбюро ЦК ВКП(б) от 25.07.1930 // РГА СПИ. Ф. 17. Оп. 3. Д 790. Л. 10. Фамилия Тухачевского в протоколе названа вслед за фамилией председателя. Этот документ развеивает сомнения относительно того, являлся ли Тухачевский членом комиссии Рудзутака (CM.:STOECKER S. W. Forging Stalin's Army: Mikhail Tukhachevsky and the Pol</w:t>
      </w:r>
      <w:r w:rsidRPr="00507A31">
        <w:rPr>
          <w:color w:val="0070C0"/>
          <w:sz w:val="16"/>
          <w:szCs w:val="16"/>
          <w:lang w:val="en-US"/>
        </w:rPr>
        <w:t>icy</w:t>
      </w:r>
      <w:r w:rsidRPr="00507A31">
        <w:rPr>
          <w:color w:val="0070C0"/>
          <w:sz w:val="16"/>
          <w:szCs w:val="16"/>
        </w:rPr>
        <w:t xml:space="preserve"> of Military Innovation. Boulder (CO), 1998. P. 178)). Он немедленно направил членам комиссии письмо, в котором были представлены аргументы в пользу создания независимого от ВСНХ органа гражданской авиации. Это необходимо, указывал Тухачевский, как для обороны страны, так и для борьбы с "саботажниками в сельском и лесном хозяйстве" (</w:t>
      </w:r>
      <w:r w:rsidRPr="00507A31">
        <w:rPr>
          <w:color w:val="0070C0"/>
          <w:sz w:val="16"/>
          <w:szCs w:val="16"/>
          <w:lang w:val="en-US"/>
        </w:rPr>
        <w:t>STOECKER</w:t>
      </w:r>
      <w:r w:rsidRPr="00507A31">
        <w:rPr>
          <w:color w:val="0070C0"/>
          <w:sz w:val="16"/>
          <w:szCs w:val="16"/>
        </w:rPr>
        <w:t xml:space="preserve"> </w:t>
      </w:r>
      <w:r w:rsidRPr="00507A31">
        <w:rPr>
          <w:color w:val="0070C0"/>
          <w:sz w:val="16"/>
          <w:szCs w:val="16"/>
          <w:lang w:val="en-US"/>
        </w:rPr>
        <w:t>S</w:t>
      </w:r>
      <w:r w:rsidRPr="00507A31">
        <w:rPr>
          <w:color w:val="0070C0"/>
          <w:sz w:val="16"/>
          <w:szCs w:val="16"/>
        </w:rPr>
        <w:t xml:space="preserve">. </w:t>
      </w:r>
      <w:r w:rsidRPr="00507A31">
        <w:rPr>
          <w:color w:val="0070C0"/>
          <w:sz w:val="16"/>
          <w:szCs w:val="16"/>
          <w:lang w:val="en-US"/>
        </w:rPr>
        <w:t>W</w:t>
      </w:r>
      <w:r w:rsidRPr="00507A31">
        <w:rPr>
          <w:color w:val="0070C0"/>
          <w:sz w:val="16"/>
          <w:szCs w:val="16"/>
        </w:rPr>
        <w:t xml:space="preserve">. </w:t>
      </w:r>
      <w:r w:rsidRPr="00507A31">
        <w:rPr>
          <w:color w:val="0070C0"/>
          <w:sz w:val="16"/>
          <w:szCs w:val="16"/>
          <w:lang w:val="en-US"/>
        </w:rPr>
        <w:t>Op</w:t>
      </w:r>
      <w:r w:rsidRPr="00507A31">
        <w:rPr>
          <w:color w:val="0070C0"/>
          <w:sz w:val="16"/>
          <w:szCs w:val="16"/>
        </w:rPr>
        <w:t xml:space="preserve">. </w:t>
      </w:r>
      <w:r w:rsidRPr="00507A31">
        <w:rPr>
          <w:color w:val="0070C0"/>
          <w:sz w:val="16"/>
          <w:szCs w:val="16"/>
          <w:lang w:val="en-US"/>
        </w:rPr>
        <w:t>cit</w:t>
      </w:r>
      <w:r w:rsidRPr="00507A31">
        <w:rPr>
          <w:color w:val="0070C0"/>
          <w:sz w:val="16"/>
          <w:szCs w:val="16"/>
        </w:rPr>
        <w:t>. P. 159-160 (архивное дело, в котором хранится переписка Тухачевского с Ворошиловым и Сталиным по проблеме гражданской авиации, переведено на секретное хранение). Вопреки собственной датировке этого письма (июль 1930 г.) автор представляет его как ответ на послание Сталина и Ворошилова от 16 aвгуста 1930 (см. ниже) и напрасно полемизирует по этому поводу с Л. Самуэльсоном (Ibid. Р. 178).).</w:t>
      </w:r>
    </w:p>
    <w:p w14:paraId="613B4407" w14:textId="77777777" w:rsidR="00A90D26" w:rsidRPr="00507A31" w:rsidRDefault="00A90D26" w:rsidP="00507A31">
      <w:pPr>
        <w:shd w:val="clear" w:color="auto" w:fill="FFFFFF"/>
        <w:jc w:val="both"/>
        <w:rPr>
          <w:color w:val="0070C0"/>
          <w:sz w:val="16"/>
          <w:szCs w:val="16"/>
          <w:lang w:val="en-US"/>
        </w:rPr>
      </w:pPr>
      <w:r w:rsidRPr="00507A31">
        <w:rPr>
          <w:color w:val="0070C0"/>
          <w:sz w:val="16"/>
          <w:szCs w:val="16"/>
        </w:rPr>
        <w:t>Через три недели после образования комиссии Сталин и Ворошилов, находившиеся в то время в Сочи, решили, что она медлит с представлением своих предложений по "организации мощного гражданского флота". Адресованное в Политбюро послание призывало учесть, что "военный воздушный флот крупнейших империалистических стран базируется в основном на мощности гражданского воздушного флота" и "без превосходного гражданского воздухфлота как базы военного воздухфлота мы не можем разрешить задачи обороны страны и ее жизненных центров вообще". Реагируя на сомнения в осуществимости крупных инвестиций, высказывавшиеся, в частности, заместителем начальника Главного Управления Воздушного Флота Анвельтом, Сталин и Ворошилов (соавторство которого, возможно, не было вполне добровольным) с жесткостью их отметали: "Разрешение этой задачи потребует, разумеется, сотен миллионов рублей, но останавливаться перед этим мы неc имеем возможности, и приходится действовать смелее... Разумеется, это повлечет за собой создание специального органа" (КАРДАШОВ В. Ворошилов. М</w:t>
      </w:r>
      <w:r w:rsidRPr="00507A31">
        <w:rPr>
          <w:color w:val="0070C0"/>
          <w:sz w:val="16"/>
          <w:szCs w:val="16"/>
          <w:lang w:val="en-US"/>
        </w:rPr>
        <w:t xml:space="preserve">., 1976. </w:t>
      </w:r>
      <w:r w:rsidRPr="00507A31">
        <w:rPr>
          <w:color w:val="0070C0"/>
          <w:sz w:val="16"/>
          <w:szCs w:val="16"/>
        </w:rPr>
        <w:t>С</w:t>
      </w:r>
      <w:r w:rsidRPr="00507A31">
        <w:rPr>
          <w:color w:val="0070C0"/>
          <w:sz w:val="16"/>
          <w:szCs w:val="16"/>
          <w:lang w:val="en-US"/>
        </w:rPr>
        <w:t xml:space="preserve">. 250-251. </w:t>
      </w:r>
      <w:r w:rsidRPr="00507A31">
        <w:rPr>
          <w:color w:val="0070C0"/>
          <w:sz w:val="16"/>
          <w:szCs w:val="16"/>
        </w:rPr>
        <w:t>См</w:t>
      </w:r>
      <w:r w:rsidRPr="00507A31">
        <w:rPr>
          <w:color w:val="0070C0"/>
          <w:sz w:val="16"/>
          <w:szCs w:val="16"/>
          <w:lang w:val="en-US"/>
        </w:rPr>
        <w:t>.</w:t>
      </w:r>
      <w:r w:rsidRPr="00507A31">
        <w:rPr>
          <w:color w:val="0070C0"/>
          <w:sz w:val="16"/>
          <w:szCs w:val="16"/>
        </w:rPr>
        <w:t>также</w:t>
      </w:r>
      <w:r w:rsidRPr="00507A31">
        <w:rPr>
          <w:color w:val="0070C0"/>
          <w:sz w:val="16"/>
          <w:szCs w:val="16"/>
          <w:lang w:val="en-US"/>
        </w:rPr>
        <w:t xml:space="preserve">: DAVIES </w:t>
      </w:r>
      <w:r w:rsidRPr="00507A31">
        <w:rPr>
          <w:color w:val="0070C0"/>
          <w:sz w:val="16"/>
          <w:szCs w:val="16"/>
        </w:rPr>
        <w:t>К</w:t>
      </w:r>
      <w:r w:rsidRPr="00507A31">
        <w:rPr>
          <w:color w:val="0070C0"/>
          <w:sz w:val="16"/>
          <w:szCs w:val="16"/>
          <w:lang w:val="en-US"/>
        </w:rPr>
        <w:t>. \\ The Soviet Economy in Turmoil, 1929-1930. Houndmills, etc., 1989 P. 450; STOECKER S. W. Op. cit. P. 160) (22725).</w:t>
      </w:r>
    </w:p>
    <w:p w14:paraId="39ADB74E" w14:textId="77777777" w:rsidR="00A90D26" w:rsidRPr="00507A31" w:rsidRDefault="00A90D26" w:rsidP="00507A31">
      <w:pPr>
        <w:jc w:val="both"/>
        <w:rPr>
          <w:color w:val="0070C0"/>
          <w:sz w:val="16"/>
          <w:szCs w:val="16"/>
          <w:lang w:val="en-US"/>
        </w:rPr>
      </w:pPr>
    </w:p>
    <w:p w14:paraId="5476DB59" w14:textId="77777777" w:rsidR="00537E5F" w:rsidRPr="00507A31" w:rsidRDefault="00AC7355" w:rsidP="00507A31">
      <w:pPr>
        <w:autoSpaceDE w:val="0"/>
        <w:autoSpaceDN w:val="0"/>
        <w:adjustRightInd w:val="0"/>
        <w:jc w:val="both"/>
        <w:rPr>
          <w:iCs/>
          <w:color w:val="000000" w:themeColor="text1"/>
          <w:sz w:val="16"/>
          <w:szCs w:val="16"/>
          <w:lang w:val="en-US"/>
        </w:rPr>
      </w:pPr>
      <w:r w:rsidRPr="00507A31">
        <w:rPr>
          <w:i/>
          <w:iCs/>
          <w:color w:val="000000" w:themeColor="text1"/>
          <w:sz w:val="16"/>
          <w:szCs w:val="16"/>
        </w:rPr>
        <w:t>Другие</w:t>
      </w:r>
      <w:r w:rsidRPr="00507A31">
        <w:rPr>
          <w:i/>
          <w:iCs/>
          <w:color w:val="000000" w:themeColor="text1"/>
          <w:sz w:val="16"/>
          <w:szCs w:val="16"/>
          <w:lang w:val="en-US"/>
        </w:rPr>
        <w:t xml:space="preserve"> </w:t>
      </w:r>
      <w:r w:rsidRPr="00507A31">
        <w:rPr>
          <w:i/>
          <w:iCs/>
          <w:color w:val="000000" w:themeColor="text1"/>
          <w:sz w:val="16"/>
          <w:szCs w:val="16"/>
        </w:rPr>
        <w:t>оборонные</w:t>
      </w:r>
      <w:r w:rsidRPr="00507A31">
        <w:rPr>
          <w:i/>
          <w:iCs/>
          <w:color w:val="000000" w:themeColor="text1"/>
          <w:sz w:val="16"/>
          <w:szCs w:val="16"/>
          <w:lang w:val="en-US"/>
        </w:rPr>
        <w:t xml:space="preserve"> </w:t>
      </w:r>
      <w:r w:rsidRPr="00507A31">
        <w:rPr>
          <w:i/>
          <w:iCs/>
          <w:color w:val="000000" w:themeColor="text1"/>
          <w:sz w:val="16"/>
          <w:szCs w:val="16"/>
        </w:rPr>
        <w:t>отрасли</w:t>
      </w:r>
      <w:r w:rsidRPr="00507A31">
        <w:rPr>
          <w:i/>
          <w:iCs/>
          <w:color w:val="000000" w:themeColor="text1"/>
          <w:sz w:val="16"/>
          <w:szCs w:val="16"/>
          <w:lang w:val="en-US"/>
        </w:rPr>
        <w:t>:</w:t>
      </w:r>
    </w:p>
    <w:p w14:paraId="6EC9BDAC" w14:textId="77777777" w:rsidR="00537E5F" w:rsidRPr="00507A31" w:rsidRDefault="00537E5F" w:rsidP="00507A31">
      <w:pPr>
        <w:autoSpaceDE w:val="0"/>
        <w:autoSpaceDN w:val="0"/>
        <w:adjustRightInd w:val="0"/>
        <w:jc w:val="both"/>
        <w:rPr>
          <w:iCs/>
          <w:color w:val="000000" w:themeColor="text1"/>
          <w:sz w:val="16"/>
          <w:szCs w:val="16"/>
          <w:lang w:val="en-US"/>
        </w:rPr>
      </w:pPr>
    </w:p>
    <w:p w14:paraId="766A1011" w14:textId="77777777" w:rsidR="00A90D26" w:rsidRPr="00507A31" w:rsidRDefault="00A90D26" w:rsidP="00507A31">
      <w:pPr>
        <w:jc w:val="both"/>
        <w:rPr>
          <w:color w:val="0070C0"/>
          <w:sz w:val="16"/>
          <w:szCs w:val="16"/>
        </w:rPr>
      </w:pPr>
      <w:r w:rsidRPr="00507A31">
        <w:rPr>
          <w:color w:val="0070C0"/>
          <w:sz w:val="16"/>
          <w:szCs w:val="16"/>
        </w:rPr>
        <w:t>20 июля 1930 опросом членов ПБ</w:t>
      </w:r>
    </w:p>
    <w:p w14:paraId="5DF740F4" w14:textId="77777777" w:rsidR="00A90D26" w:rsidRPr="00507A31" w:rsidRDefault="00A90D26" w:rsidP="00507A31">
      <w:pPr>
        <w:jc w:val="both"/>
        <w:rPr>
          <w:color w:val="0070C0"/>
          <w:sz w:val="16"/>
          <w:szCs w:val="16"/>
        </w:rPr>
      </w:pPr>
      <w:r w:rsidRPr="00507A31">
        <w:rPr>
          <w:color w:val="0070C0"/>
          <w:sz w:val="16"/>
          <w:szCs w:val="16"/>
        </w:rPr>
        <w:t>43.- О заказах Остехбюро.</w:t>
      </w:r>
    </w:p>
    <w:p w14:paraId="7183B651" w14:textId="77777777" w:rsidR="00A90D26" w:rsidRPr="00507A31" w:rsidRDefault="00A90D26" w:rsidP="00507A31">
      <w:pPr>
        <w:jc w:val="both"/>
        <w:rPr>
          <w:color w:val="0070C0"/>
          <w:sz w:val="16"/>
          <w:szCs w:val="16"/>
        </w:rPr>
      </w:pPr>
      <w:r w:rsidRPr="00507A31">
        <w:rPr>
          <w:color w:val="0070C0"/>
          <w:sz w:val="16"/>
          <w:szCs w:val="16"/>
        </w:rPr>
        <w:t>(т. т. Ворошилов, Жуков, Орджоникидзе).</w:t>
      </w:r>
    </w:p>
    <w:p w14:paraId="64F62DEC" w14:textId="77777777" w:rsidR="00A90D26" w:rsidRPr="00507A31" w:rsidRDefault="00A90D26" w:rsidP="00507A31">
      <w:pPr>
        <w:jc w:val="both"/>
        <w:rPr>
          <w:color w:val="0070C0"/>
          <w:sz w:val="16"/>
          <w:szCs w:val="16"/>
        </w:rPr>
      </w:pPr>
      <w:r w:rsidRPr="00507A31">
        <w:rPr>
          <w:color w:val="0070C0"/>
          <w:sz w:val="16"/>
          <w:szCs w:val="16"/>
        </w:rPr>
        <w:t>а) Обязатб Жукова выполнить выданный ему заказ</w:t>
      </w:r>
    </w:p>
    <w:p w14:paraId="534C912C" w14:textId="77777777" w:rsidR="00A90D26" w:rsidRPr="00507A31" w:rsidRDefault="00A90D26" w:rsidP="00507A31">
      <w:pPr>
        <w:jc w:val="both"/>
        <w:rPr>
          <w:color w:val="0070C0"/>
          <w:sz w:val="16"/>
          <w:szCs w:val="16"/>
        </w:rPr>
      </w:pPr>
      <w:r w:rsidRPr="00507A31">
        <w:rPr>
          <w:color w:val="0070C0"/>
          <w:sz w:val="16"/>
          <w:szCs w:val="16"/>
        </w:rPr>
        <w:t>б) Поручить т. Павнуковскому проверить: 1) причины невнподнения заказа военведа, 2) как пропзводится военведом приемка заказанных ни приборов.</w:t>
      </w:r>
    </w:p>
    <w:p w14:paraId="3B6A280A" w14:textId="77777777" w:rsidR="00A90D26" w:rsidRPr="00507A31" w:rsidRDefault="00A90D26" w:rsidP="00507A31">
      <w:pPr>
        <w:jc w:val="both"/>
        <w:rPr>
          <w:color w:val="0070C0"/>
          <w:sz w:val="16"/>
          <w:szCs w:val="16"/>
        </w:rPr>
      </w:pPr>
      <w:r w:rsidRPr="00507A31">
        <w:rPr>
          <w:color w:val="0070C0"/>
          <w:sz w:val="16"/>
          <w:szCs w:val="16"/>
        </w:rPr>
        <w:t>Выписки посланы: т.т. Жукову, Павлуновскому, Ворошилову.</w:t>
      </w:r>
    </w:p>
    <w:p w14:paraId="728EE66A" w14:textId="77777777" w:rsidR="00A90D26" w:rsidRPr="00507A31" w:rsidRDefault="00A90D26" w:rsidP="00507A31">
      <w:pPr>
        <w:jc w:val="both"/>
        <w:rPr>
          <w:color w:val="0070C0"/>
          <w:sz w:val="16"/>
          <w:szCs w:val="16"/>
        </w:rPr>
      </w:pPr>
      <w:r w:rsidRPr="00507A31">
        <w:rPr>
          <w:color w:val="0070C0"/>
          <w:sz w:val="16"/>
          <w:szCs w:val="16"/>
        </w:rPr>
        <w:t>47.- О катерпиллярах.</w:t>
      </w:r>
    </w:p>
    <w:p w14:paraId="6F2A6817" w14:textId="77777777" w:rsidR="00A90D26" w:rsidRPr="00507A31" w:rsidRDefault="00A90D26" w:rsidP="00507A31">
      <w:pPr>
        <w:jc w:val="both"/>
        <w:rPr>
          <w:color w:val="0070C0"/>
          <w:sz w:val="16"/>
          <w:szCs w:val="16"/>
        </w:rPr>
      </w:pPr>
      <w:r w:rsidRPr="00507A31">
        <w:rPr>
          <w:color w:val="0070C0"/>
          <w:sz w:val="16"/>
          <w:szCs w:val="16"/>
        </w:rPr>
        <w:t>(т.т. Микоян, Орджоникидзе).</w:t>
      </w:r>
    </w:p>
    <w:p w14:paraId="48E836A9" w14:textId="77777777" w:rsidR="00A90D26" w:rsidRPr="00507A31" w:rsidRDefault="00A90D26" w:rsidP="00507A31">
      <w:pPr>
        <w:jc w:val="both"/>
        <w:rPr>
          <w:color w:val="0070C0"/>
          <w:sz w:val="16"/>
          <w:szCs w:val="16"/>
        </w:rPr>
      </w:pPr>
      <w:r w:rsidRPr="00507A31">
        <w:rPr>
          <w:color w:val="0070C0"/>
          <w:sz w:val="16"/>
          <w:szCs w:val="16"/>
        </w:rPr>
        <w:t>Приобрести первую партию катерпилляров на старых усло</w:t>
      </w:r>
      <w:r w:rsidRPr="00507A31">
        <w:rPr>
          <w:color w:val="0070C0"/>
          <w:sz w:val="16"/>
          <w:szCs w:val="16"/>
        </w:rPr>
        <w:softHyphen/>
        <w:t>виях кредита. Что касается второй партии, отклонить ес по</w:t>
      </w:r>
      <w:r w:rsidRPr="00507A31">
        <w:rPr>
          <w:color w:val="0070C0"/>
          <w:sz w:val="16"/>
          <w:szCs w:val="16"/>
        </w:rPr>
        <w:softHyphen/>
        <w:t>купку, допустив последнюю лишь в тог случае, если будут да</w:t>
      </w:r>
      <w:r w:rsidRPr="00507A31">
        <w:rPr>
          <w:color w:val="0070C0"/>
          <w:sz w:val="16"/>
          <w:szCs w:val="16"/>
        </w:rPr>
        <w:softHyphen/>
        <w:t>ны американцами старые условия кредита.</w:t>
      </w:r>
    </w:p>
    <w:p w14:paraId="0F85D86D" w14:textId="77777777" w:rsidR="00A90D26" w:rsidRPr="00507A31" w:rsidRDefault="00A90D26" w:rsidP="00507A31">
      <w:pPr>
        <w:jc w:val="both"/>
        <w:rPr>
          <w:color w:val="0070C0"/>
          <w:sz w:val="16"/>
          <w:szCs w:val="16"/>
        </w:rPr>
      </w:pPr>
      <w:r w:rsidRPr="00507A31">
        <w:rPr>
          <w:color w:val="0070C0"/>
          <w:sz w:val="16"/>
          <w:szCs w:val="16"/>
        </w:rPr>
        <w:t>Выписки посланы т.т. Микояну, Яковлеву.</w:t>
      </w:r>
    </w:p>
    <w:p w14:paraId="1CCC77B6" w14:textId="77777777" w:rsidR="00A90D26" w:rsidRPr="00507A31" w:rsidRDefault="00A90D26" w:rsidP="00507A31">
      <w:pPr>
        <w:jc w:val="both"/>
        <w:rPr>
          <w:color w:val="0070C0"/>
          <w:sz w:val="16"/>
          <w:szCs w:val="16"/>
        </w:rPr>
      </w:pPr>
      <w:r w:rsidRPr="00507A31">
        <w:rPr>
          <w:color w:val="0070C0"/>
          <w:sz w:val="16"/>
          <w:szCs w:val="16"/>
        </w:rPr>
        <w:t>25 июля 1930 состоялось заседание ПБ (Протокол № 2) (23112).</w:t>
      </w:r>
    </w:p>
    <w:p w14:paraId="6B1937BD" w14:textId="77777777" w:rsidR="00A90D26" w:rsidRPr="00507A31" w:rsidRDefault="00A90D26" w:rsidP="00507A31">
      <w:pPr>
        <w:jc w:val="both"/>
        <w:rPr>
          <w:color w:val="0070C0"/>
          <w:sz w:val="16"/>
          <w:szCs w:val="16"/>
        </w:rPr>
      </w:pPr>
    </w:p>
    <w:p w14:paraId="4C7E4F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 июля 1930 отправились по маршруту: Ленин</w:t>
      </w:r>
      <w:r w:rsidRPr="00507A31">
        <w:rPr>
          <w:color w:val="000000" w:themeColor="text1"/>
          <w:sz w:val="16"/>
          <w:szCs w:val="16"/>
        </w:rPr>
        <w:softHyphen/>
        <w:t>град-Псков-Витебск-Киев-Харьков [3.107]. Выставка работала два месяца с большим успехом, её посе</w:t>
      </w:r>
      <w:r w:rsidRPr="00507A31">
        <w:rPr>
          <w:color w:val="000000" w:themeColor="text1"/>
          <w:sz w:val="16"/>
          <w:szCs w:val="16"/>
        </w:rPr>
        <w:softHyphen/>
        <w:t>тили более 100 тыс. человек. Она стала подлинным триумфом П.В. Можарова: на ней экспонировались шесть различных мо</w:t>
      </w:r>
      <w:r w:rsidRPr="00507A31">
        <w:rPr>
          <w:color w:val="000000" w:themeColor="text1"/>
          <w:sz w:val="16"/>
          <w:szCs w:val="16"/>
        </w:rPr>
        <w:softHyphen/>
        <w:t xml:space="preserve">тоциклов, изготовленных всего за два года под его </w:t>
      </w:r>
      <w:r w:rsidRPr="00507A31">
        <w:rPr>
          <w:color w:val="000000" w:themeColor="text1"/>
          <w:sz w:val="16"/>
          <w:szCs w:val="16"/>
        </w:rPr>
        <w:lastRenderedPageBreak/>
        <w:t>руководст</w:t>
      </w:r>
      <w:r w:rsidRPr="00507A31">
        <w:rPr>
          <w:color w:val="000000" w:themeColor="text1"/>
          <w:sz w:val="16"/>
          <w:szCs w:val="16"/>
        </w:rPr>
        <w:softHyphen/>
        <w:t>вом. Однако он её не видел, поскольку выполнял задание ВСНХ по изготовлению опытной партии ленинградских мотоциклов [4.14], и не участвовал в обсуждениях, какие мотоциклы выпус</w:t>
      </w:r>
      <w:r w:rsidRPr="00507A31">
        <w:rPr>
          <w:color w:val="000000" w:themeColor="text1"/>
          <w:sz w:val="16"/>
          <w:szCs w:val="16"/>
        </w:rPr>
        <w:softHyphen/>
        <w:t>кать в СССР (11429).</w:t>
      </w:r>
    </w:p>
    <w:p w14:paraId="24B2DCC2" w14:textId="77777777" w:rsidR="00537E5F" w:rsidRPr="00507A31" w:rsidRDefault="00537E5F" w:rsidP="00507A31">
      <w:pPr>
        <w:autoSpaceDE w:val="0"/>
        <w:autoSpaceDN w:val="0"/>
        <w:adjustRightInd w:val="0"/>
        <w:jc w:val="both"/>
        <w:rPr>
          <w:iCs/>
          <w:color w:val="000000" w:themeColor="text1"/>
          <w:sz w:val="16"/>
          <w:szCs w:val="16"/>
        </w:rPr>
      </w:pPr>
    </w:p>
    <w:p w14:paraId="7CCBD324" w14:textId="77777777" w:rsidR="00EA2934" w:rsidRPr="00507A31" w:rsidRDefault="00EA2934" w:rsidP="00507A31">
      <w:pPr>
        <w:pStyle w:val="ae"/>
        <w:shd w:val="clear" w:color="auto" w:fill="FFFFFF"/>
        <w:spacing w:before="0" w:after="0"/>
        <w:jc w:val="both"/>
        <w:rPr>
          <w:color w:val="000000" w:themeColor="text1"/>
          <w:sz w:val="16"/>
          <w:szCs w:val="16"/>
        </w:rPr>
      </w:pPr>
      <w:r w:rsidRPr="00507A31">
        <w:rPr>
          <w:color w:val="000000" w:themeColor="text1"/>
          <w:sz w:val="16"/>
          <w:szCs w:val="16"/>
        </w:rPr>
        <w:t>20 июня 1930 года по приказу Сормовской судоверфи № 28 отдел специального судостроения стал самостоятельной производственной и учетной единицей, при которой с 1 июня 1930 года организована производственная мастерская. К работе над подлодкой привлекли несколько десятков сормовичей (в 1931 году — 127 рабочих и 30 служащих).</w:t>
      </w:r>
    </w:p>
    <w:p w14:paraId="32701606" w14:textId="77777777" w:rsidR="00EA2934" w:rsidRPr="00507A31" w:rsidRDefault="00EA2934" w:rsidP="00507A31">
      <w:pPr>
        <w:pStyle w:val="ae"/>
        <w:shd w:val="clear" w:color="auto" w:fill="FFFFFF"/>
        <w:spacing w:before="0" w:after="0"/>
        <w:jc w:val="both"/>
        <w:rPr>
          <w:color w:val="000000" w:themeColor="text1"/>
          <w:sz w:val="16"/>
          <w:szCs w:val="16"/>
        </w:rPr>
      </w:pPr>
      <w:r w:rsidRPr="00507A31">
        <w:rPr>
          <w:color w:val="000000" w:themeColor="text1"/>
          <w:sz w:val="16"/>
          <w:szCs w:val="16"/>
        </w:rPr>
        <w:t>Состав технических служб был весьма примечателен. Два инженера — А. В. Кукин и А. П. Овчинников, три мастера — Л. В. Красильников, Ф. Ф. Привалов и А. Ф. Медов, два начальника бюро — И. Д. Игнатьев и М. И. Лернер, три конструктора — В. Г. Беляев, П. П. Киреев, Д. И. Красовский и чертежник — С. С. Прохоров, один весовщик — В. С. Пшеничников и заведующий конторой — М. В. Гершман. Весной прибыл первый военпред — инженер Г. С. Пахомов. 2 мая 1931 года во время весеннего половодья подводную лодку спустили — вернее, она всплыла и была выведена в затон завода. Построенный корпус подлодки долго плавал в затоне, тщетно дожидаясь поставки главных механизмов (дизелей) и корабельного оборудования. На 1 января 1932 года фактическая готовность подлодки составляла 44,13% при плане 84,40%.</w:t>
      </w:r>
    </w:p>
    <w:p w14:paraId="1109A718" w14:textId="77777777" w:rsidR="00EA2934" w:rsidRPr="00507A31" w:rsidRDefault="00EA2934" w:rsidP="00507A31">
      <w:pPr>
        <w:pStyle w:val="ae"/>
        <w:shd w:val="clear" w:color="auto" w:fill="FFFFFF"/>
        <w:spacing w:before="0" w:after="0"/>
        <w:jc w:val="both"/>
        <w:rPr>
          <w:color w:val="000000" w:themeColor="text1"/>
          <w:sz w:val="16"/>
          <w:szCs w:val="16"/>
        </w:rPr>
      </w:pPr>
      <w:r w:rsidRPr="00507A31">
        <w:rPr>
          <w:color w:val="000000" w:themeColor="text1"/>
          <w:sz w:val="16"/>
          <w:szCs w:val="16"/>
        </w:rPr>
        <w:t>Действительно, корпус лодки построили очень быстро, примерно в те же сроки, как и на хорошо оснащенных судостроительных заводах, а вот с комплектующими произошла задержка на годы (!). Тем не менее, сормовичи успели еще построить металлический плавучий док (проект молодого инженера В. В. Крылова, в будущем главного конструктора завода). К слову сказать, комплектованием рабочих чертежей занимались два конструктора-практика И. Д. Игнатьев и А. В. Бойцов, ранее участвующие в разработке рабочих чертежей для бубновской подлодки «Барс» в конструкторской фирме «Ноблесснер» в Ревеле (в Таллинне).</w:t>
      </w:r>
    </w:p>
    <w:p w14:paraId="3A5BFF10" w14:textId="77777777" w:rsidR="00EA2934" w:rsidRPr="00507A31" w:rsidRDefault="00EA2934" w:rsidP="00507A31">
      <w:pPr>
        <w:pStyle w:val="ae"/>
        <w:shd w:val="clear" w:color="auto" w:fill="FFFFFF"/>
        <w:spacing w:before="0" w:after="0"/>
        <w:jc w:val="both"/>
        <w:rPr>
          <w:color w:val="000000" w:themeColor="text1"/>
          <w:sz w:val="16"/>
          <w:szCs w:val="16"/>
        </w:rPr>
      </w:pPr>
      <w:r w:rsidRPr="00507A31">
        <w:rPr>
          <w:color w:val="000000" w:themeColor="text1"/>
          <w:sz w:val="16"/>
          <w:szCs w:val="16"/>
        </w:rPr>
        <w:t>Как пишут историки судостроения, «…у завода «Красное Сормово» не имелось достроечной базы ни в Ленинграде, ни в Кронштадте, и, учитывая недостаточность опыта завода в проведении испытаний подводных лодок, достройка и сдача «Комсомольца» были поручены Балтийскому заводу».</w:t>
      </w:r>
    </w:p>
    <w:p w14:paraId="7654DD41" w14:textId="77777777" w:rsidR="00EA2934" w:rsidRPr="00507A31" w:rsidRDefault="00EA2934" w:rsidP="00507A31">
      <w:pPr>
        <w:pStyle w:val="ae"/>
        <w:shd w:val="clear" w:color="auto" w:fill="FFFFFF"/>
        <w:spacing w:before="0" w:after="0"/>
        <w:jc w:val="both"/>
        <w:rPr>
          <w:color w:val="000000" w:themeColor="text1"/>
          <w:sz w:val="16"/>
          <w:szCs w:val="16"/>
        </w:rPr>
      </w:pPr>
      <w:r w:rsidRPr="00507A31">
        <w:rPr>
          <w:color w:val="000000" w:themeColor="text1"/>
          <w:sz w:val="16"/>
          <w:szCs w:val="16"/>
        </w:rPr>
        <w:t>Сормовичи не только не имели опыта в испытаниях подводных лодок, они даже ни разу в них не участвовали (12188).</w:t>
      </w:r>
    </w:p>
    <w:p w14:paraId="30B8FBA7" w14:textId="77777777" w:rsidR="00EA2934" w:rsidRPr="00507A31" w:rsidRDefault="00EA2934" w:rsidP="00507A31">
      <w:pPr>
        <w:jc w:val="both"/>
        <w:rPr>
          <w:color w:val="000000" w:themeColor="text1"/>
          <w:sz w:val="16"/>
          <w:szCs w:val="16"/>
          <w:u w:color="002060"/>
        </w:rPr>
      </w:pPr>
    </w:p>
    <w:p w14:paraId="439B050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2D1C5201" w14:textId="77777777" w:rsidR="00537E5F" w:rsidRPr="00507A31" w:rsidRDefault="00537E5F" w:rsidP="00507A31">
      <w:pPr>
        <w:autoSpaceDE w:val="0"/>
        <w:autoSpaceDN w:val="0"/>
        <w:adjustRightInd w:val="0"/>
        <w:jc w:val="both"/>
        <w:rPr>
          <w:iCs/>
          <w:color w:val="000000" w:themeColor="text1"/>
          <w:sz w:val="16"/>
          <w:szCs w:val="16"/>
        </w:rPr>
      </w:pPr>
    </w:p>
    <w:p w14:paraId="3282CB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июля 1930 г временно исполняющий должность начальника отряда 60-й авиаэскадрильи летчик Кржижевский отправился в Киев для подготовки места Дорнье Валь посадки на Днепре. 29 июля был произведен предварительный полет двух самолетов в Ейск с целью испытания пробега при взлете и посадке, работы моторов и расхода горючего с полной нагрузкой.</w:t>
      </w:r>
    </w:p>
    <w:p w14:paraId="5EBC3C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момента появления этих летающих лодок на вооружении морской авиации, при их ограниченном количестве, многократно ставился вопрос: где должны базироваться "Вали" - на Черном или Балтийском море? Окончательно решили оставить соединение таких лодок на Черном море, подразумевая, что в военное время в случае необходимости они перелетят на Балтику. Для подтверждения возможности такой передислокации в 1930 г. решено было произвести пробный перелет трех Дорнье "Валь" из состава 9-й авиабригады вдоль крупных рек на север и обратно.</w:t>
      </w:r>
    </w:p>
    <w:p w14:paraId="76737E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Подготовка к перелету началась в январе 1930 г. Поначалу маршрут прокладывали вплоть до Архангельска, т.е. решили охватить и северный театр возможных боевых действий. Однако в окончательном варианте остановились на маршруте Севастополь - Киев - Ленинград. К середине лета с вылетом окончательно определились.</w:t>
      </w:r>
    </w:p>
    <w:p w14:paraId="47BC31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августу подготовили три самолета: ДВ №2 60-й аэ, ДВ №8 63-й аэ и ДВ командира 9-й авиабригады (здесь указаны бортовые, или т.н. строевые номера самолетов). 1 августа с акватории бухты Голландия в 6.30 утра машины пошли на взлет. Впрочем, у ДВ №8 сдал кормовой двигатель, и начало старта на пару часов отложили. Вторично взлетели все трое в 9.11, набрали высоту и взяли курс на север. В 16.10 три летающие лодки при проливном дожде опустились на Днепре в Киеве. 2 августа в 5.47 утра стартовали на Ленинград, куда благополучно прибыли в середине дня. В 14 часов 08 минут, пробыв в воздухе 8 часов 21 минуту, все три "Валя" приводнились в акватории Гребного порта.</w:t>
      </w:r>
    </w:p>
    <w:p w14:paraId="19C216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двухдневного отдыха, утром 5 августа в 10 часов 54 минуты, три ДВ стартовали в обратный путь. Курс держали первоначально вдоль реки Волхов, затем довернули на Киев.</w:t>
      </w:r>
    </w:p>
    <w:p w14:paraId="45E4BF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73965D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6A84E5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07520F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7217A4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100FF490" w14:textId="77777777" w:rsidR="00537E5F" w:rsidRPr="00507A31" w:rsidRDefault="00537E5F" w:rsidP="00507A31">
      <w:pPr>
        <w:autoSpaceDE w:val="0"/>
        <w:autoSpaceDN w:val="0"/>
        <w:adjustRightInd w:val="0"/>
        <w:jc w:val="both"/>
        <w:rPr>
          <w:color w:val="000000" w:themeColor="text1"/>
          <w:sz w:val="16"/>
          <w:szCs w:val="16"/>
        </w:rPr>
      </w:pPr>
    </w:p>
    <w:p w14:paraId="4F25F53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7E3DA5C2" w14:textId="77777777" w:rsidR="00537E5F" w:rsidRPr="00507A31" w:rsidRDefault="00537E5F" w:rsidP="00507A31">
      <w:pPr>
        <w:autoSpaceDE w:val="0"/>
        <w:autoSpaceDN w:val="0"/>
        <w:adjustRightInd w:val="0"/>
        <w:jc w:val="both"/>
        <w:rPr>
          <w:iCs/>
          <w:color w:val="000000" w:themeColor="text1"/>
          <w:sz w:val="16"/>
          <w:szCs w:val="16"/>
        </w:rPr>
      </w:pPr>
    </w:p>
    <w:p w14:paraId="1E0CEEB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 июля 1930 наркомом иностранных дел СССР назначен Максим Литвинов (4962).</w:t>
      </w:r>
    </w:p>
    <w:p w14:paraId="712E202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B190EF7" w14:textId="77777777" w:rsidR="00A90D26" w:rsidRPr="00507A31" w:rsidRDefault="00A90D26"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B600B1A" w14:textId="77777777" w:rsidR="00A90D26" w:rsidRPr="00507A31" w:rsidRDefault="00A90D26" w:rsidP="00507A31">
      <w:pPr>
        <w:autoSpaceDE w:val="0"/>
        <w:autoSpaceDN w:val="0"/>
        <w:adjustRightInd w:val="0"/>
        <w:jc w:val="both"/>
        <w:rPr>
          <w:iCs/>
          <w:color w:val="000000" w:themeColor="text1"/>
          <w:sz w:val="16"/>
          <w:szCs w:val="16"/>
        </w:rPr>
      </w:pPr>
    </w:p>
    <w:p w14:paraId="5ECEC4A5" w14:textId="77777777" w:rsidR="00A90D26" w:rsidRPr="00507A31" w:rsidRDefault="00A90D26" w:rsidP="00507A31">
      <w:pPr>
        <w:jc w:val="both"/>
        <w:rPr>
          <w:color w:val="0070C0"/>
          <w:sz w:val="16"/>
          <w:szCs w:val="16"/>
        </w:rPr>
      </w:pPr>
      <w:r w:rsidRPr="00507A31">
        <w:rPr>
          <w:color w:val="0070C0"/>
          <w:sz w:val="16"/>
          <w:szCs w:val="16"/>
        </w:rPr>
        <w:t>20 июля - 1 августа 1930 гонка на 7 560 км (4695 миль) над Европой проходит в рамках конкурса Challenge 1930 (20805).</w:t>
      </w:r>
    </w:p>
    <w:p w14:paraId="3D5ACB87" w14:textId="77777777" w:rsidR="00A90D26" w:rsidRPr="00507A31" w:rsidRDefault="00A90D26" w:rsidP="00507A31">
      <w:pPr>
        <w:jc w:val="both"/>
        <w:rPr>
          <w:color w:val="0070C0"/>
          <w:sz w:val="16"/>
          <w:szCs w:val="16"/>
        </w:rPr>
      </w:pPr>
    </w:p>
    <w:p w14:paraId="5F3ECEDC" w14:textId="77777777" w:rsidR="00A90D26" w:rsidRPr="00507A31" w:rsidRDefault="00A90D26" w:rsidP="00507A31">
      <w:pPr>
        <w:jc w:val="both"/>
        <w:rPr>
          <w:color w:val="0070C0"/>
          <w:sz w:val="16"/>
          <w:szCs w:val="16"/>
        </w:rPr>
      </w:pPr>
      <w:r w:rsidRPr="00507A31">
        <w:rPr>
          <w:color w:val="0070C0"/>
          <w:sz w:val="16"/>
          <w:szCs w:val="16"/>
        </w:rPr>
        <w:t>20 июля 1930 – (20 июля-1 августа), гонка на 7560 км по Европе в рамках конкурса Challenge-1930. Это второй международный конкурс туристических самолётов FAI, проходивший с 18 июля по 8 августа 1930 года в Берлине, Германия. Большинство самолетов в конкурсе были популярными спортивными самолетами конца 1920-х годов, которые также принимали участие в предыдущем конкурсе. Старт в Берлине и после многочисленных перелетов по Европе финиш там же. Победитель гонки - Хьюберт Брод, Великобритания, на de Havilland DH.60 Moth (22424).</w:t>
      </w:r>
    </w:p>
    <w:p w14:paraId="0792BF71" w14:textId="77777777" w:rsidR="00A90D26" w:rsidRPr="00507A31" w:rsidRDefault="00A90D26" w:rsidP="00507A31">
      <w:pPr>
        <w:jc w:val="both"/>
        <w:rPr>
          <w:color w:val="0070C0"/>
          <w:sz w:val="16"/>
          <w:szCs w:val="16"/>
        </w:rPr>
      </w:pPr>
    </w:p>
    <w:p w14:paraId="1194F4F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A86EF44" w14:textId="77777777" w:rsidR="00537E5F" w:rsidRPr="00507A31" w:rsidRDefault="00537E5F" w:rsidP="00507A31">
      <w:pPr>
        <w:autoSpaceDE w:val="0"/>
        <w:autoSpaceDN w:val="0"/>
        <w:adjustRightInd w:val="0"/>
        <w:jc w:val="both"/>
        <w:rPr>
          <w:iCs/>
          <w:color w:val="000000" w:themeColor="text1"/>
          <w:sz w:val="16"/>
          <w:szCs w:val="16"/>
        </w:rPr>
      </w:pPr>
    </w:p>
    <w:p w14:paraId="4595D26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21 июля 1930 года самолет Р6 находился на испытании в НИИ ВВС (6925).</w:t>
      </w:r>
    </w:p>
    <w:p w14:paraId="1FB4A27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FC87C4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21 июля 1930 ЦАГИ в качестве завершения заводских испытаний произвел сдаточный полет и самолет Р6 был передан НИИ ВВС (6925).</w:t>
      </w:r>
    </w:p>
    <w:p w14:paraId="7955791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F13C0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июля 1930 года был предъявлен второй раз на испытание в НИИ Р6-2БМВVI Е=7,3 – ЦАГИ после переделок и улучшений (6998, 9-14).</w:t>
      </w:r>
    </w:p>
    <w:p w14:paraId="13C41194" w14:textId="77777777" w:rsidR="00537E5F" w:rsidRPr="00507A31" w:rsidRDefault="00537E5F" w:rsidP="00507A31">
      <w:pPr>
        <w:autoSpaceDE w:val="0"/>
        <w:autoSpaceDN w:val="0"/>
        <w:adjustRightInd w:val="0"/>
        <w:jc w:val="both"/>
        <w:rPr>
          <w:color w:val="000000" w:themeColor="text1"/>
          <w:sz w:val="16"/>
          <w:szCs w:val="16"/>
        </w:rPr>
      </w:pPr>
    </w:p>
    <w:p w14:paraId="63E30D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21 июля по 9 августа 1930 проходили испытания серийного АНТ-4 N 632 с БМВ-6 (1016,141).</w:t>
      </w:r>
    </w:p>
    <w:p w14:paraId="188C535D" w14:textId="77777777" w:rsidR="00537E5F" w:rsidRPr="00507A31" w:rsidRDefault="00537E5F" w:rsidP="00507A31">
      <w:pPr>
        <w:autoSpaceDE w:val="0"/>
        <w:autoSpaceDN w:val="0"/>
        <w:adjustRightInd w:val="0"/>
        <w:jc w:val="both"/>
        <w:rPr>
          <w:color w:val="000000" w:themeColor="text1"/>
          <w:sz w:val="16"/>
          <w:szCs w:val="16"/>
        </w:rPr>
      </w:pPr>
    </w:p>
    <w:p w14:paraId="5A66C88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42820FD" w14:textId="77777777" w:rsidR="00537E5F" w:rsidRPr="00507A31" w:rsidRDefault="00537E5F" w:rsidP="00507A31">
      <w:pPr>
        <w:autoSpaceDE w:val="0"/>
        <w:autoSpaceDN w:val="0"/>
        <w:adjustRightInd w:val="0"/>
        <w:jc w:val="both"/>
        <w:rPr>
          <w:iCs/>
          <w:color w:val="000000" w:themeColor="text1"/>
          <w:sz w:val="16"/>
          <w:szCs w:val="16"/>
        </w:rPr>
      </w:pPr>
    </w:p>
    <w:p w14:paraId="02864F00" w14:textId="77777777" w:rsidR="00EA2934" w:rsidRPr="00507A31" w:rsidRDefault="00EA2934" w:rsidP="00507A31">
      <w:pPr>
        <w:jc w:val="both"/>
        <w:rPr>
          <w:color w:val="000000" w:themeColor="text1"/>
          <w:sz w:val="16"/>
          <w:szCs w:val="16"/>
          <w:u w:color="002060"/>
        </w:rPr>
      </w:pPr>
      <w:r w:rsidRPr="00507A31">
        <w:rPr>
          <w:color w:val="000000" w:themeColor="text1"/>
          <w:sz w:val="16"/>
          <w:szCs w:val="16"/>
          <w:u w:color="002060"/>
        </w:rPr>
        <w:t>21 июля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ходе капитального строительства на Тамбовском пороховом заводе «Красный боевик» (ГА РФ. Ф. Р?8418. Оп. 4. Д. 177. Л. 2?4) (12415).</w:t>
      </w:r>
    </w:p>
    <w:p w14:paraId="7591523E" w14:textId="77777777" w:rsidR="00EA2934" w:rsidRPr="00507A31" w:rsidRDefault="00EA2934" w:rsidP="00507A31">
      <w:pPr>
        <w:jc w:val="both"/>
        <w:rPr>
          <w:color w:val="000000" w:themeColor="text1"/>
          <w:sz w:val="16"/>
          <w:szCs w:val="16"/>
          <w:u w:color="002060"/>
        </w:rPr>
      </w:pPr>
    </w:p>
    <w:p w14:paraId="630D0AE9" w14:textId="77777777" w:rsidR="00EC6A53" w:rsidRPr="00507A31" w:rsidRDefault="00EC6A53" w:rsidP="00507A31">
      <w:pPr>
        <w:jc w:val="both"/>
        <w:rPr>
          <w:bCs/>
          <w:iCs/>
          <w:color w:val="000000" w:themeColor="text1"/>
          <w:sz w:val="16"/>
          <w:szCs w:val="16"/>
        </w:rPr>
      </w:pPr>
      <w:r w:rsidRPr="00507A31">
        <w:rPr>
          <w:bCs/>
          <w:iCs/>
          <w:color w:val="000000" w:themeColor="text1"/>
          <w:sz w:val="16"/>
          <w:szCs w:val="16"/>
        </w:rPr>
        <w:t>21 июля 1930</w:t>
      </w:r>
    </w:p>
    <w:p w14:paraId="06687D44" w14:textId="77777777" w:rsidR="00EC6A53" w:rsidRPr="00507A31" w:rsidRDefault="00EC6A53" w:rsidP="00507A31">
      <w:pPr>
        <w:jc w:val="both"/>
        <w:rPr>
          <w:color w:val="000000" w:themeColor="text1"/>
          <w:sz w:val="16"/>
          <w:szCs w:val="16"/>
        </w:rPr>
      </w:pPr>
      <w:r w:rsidRPr="00507A31">
        <w:rPr>
          <w:bCs/>
          <w:iCs/>
          <w:color w:val="000000" w:themeColor="text1"/>
          <w:sz w:val="16"/>
          <w:szCs w:val="16"/>
        </w:rPr>
        <w:t>РГВА Фонд 31811 Опись 1 Дело 433 лист 3 – 9</w:t>
      </w:r>
    </w:p>
    <w:p w14:paraId="719A4D67" w14:textId="77777777" w:rsidR="00EC6A53" w:rsidRPr="00507A31" w:rsidRDefault="00EC6A53" w:rsidP="00507A31">
      <w:pPr>
        <w:jc w:val="both"/>
        <w:rPr>
          <w:iCs/>
          <w:color w:val="000000" w:themeColor="text1"/>
          <w:sz w:val="16"/>
          <w:szCs w:val="16"/>
        </w:rPr>
      </w:pPr>
      <w:r w:rsidRPr="00507A31">
        <w:rPr>
          <w:iCs/>
          <w:color w:val="000000" w:themeColor="text1"/>
          <w:sz w:val="16"/>
          <w:szCs w:val="16"/>
        </w:rPr>
        <w:t>[Рукописный документ]</w:t>
      </w:r>
    </w:p>
    <w:p w14:paraId="47984EFF" w14:textId="77777777" w:rsidR="00EC6A53" w:rsidRPr="00507A31" w:rsidRDefault="00EC6A53" w:rsidP="00507A31">
      <w:pPr>
        <w:jc w:val="both"/>
        <w:rPr>
          <w:color w:val="000000" w:themeColor="text1"/>
          <w:sz w:val="16"/>
          <w:szCs w:val="16"/>
        </w:rPr>
      </w:pPr>
      <w:r w:rsidRPr="00507A31">
        <w:rPr>
          <w:iCs/>
          <w:color w:val="000000" w:themeColor="text1"/>
          <w:sz w:val="16"/>
          <w:szCs w:val="16"/>
        </w:rPr>
        <w:lastRenderedPageBreak/>
        <w:t>На документе штамп Научно-Технического Комитета УММ РККА:</w:t>
      </w:r>
    </w:p>
    <w:p w14:paraId="391B59BD"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«Сов.Секретно. Вх. № 262 от 26 Сентября 1930 г.» </w:t>
      </w:r>
    </w:p>
    <w:p w14:paraId="694E7DFA"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New York </w:t>
      </w:r>
    </w:p>
    <w:p w14:paraId="0343C341"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23/VII </w:t>
      </w:r>
    </w:p>
    <w:p w14:paraId="59A64983" w14:textId="77777777" w:rsidR="00EC6A53" w:rsidRPr="00507A31" w:rsidRDefault="00EC6A53" w:rsidP="00507A31">
      <w:pPr>
        <w:jc w:val="both"/>
        <w:rPr>
          <w:color w:val="000000" w:themeColor="text1"/>
          <w:sz w:val="16"/>
          <w:szCs w:val="16"/>
        </w:rPr>
      </w:pPr>
      <w:r w:rsidRPr="00507A31">
        <w:rPr>
          <w:color w:val="000000" w:themeColor="text1"/>
          <w:sz w:val="16"/>
          <w:szCs w:val="16"/>
        </w:rPr>
        <w:t>Иннокентий Андреевич !!</w:t>
      </w:r>
    </w:p>
    <w:p w14:paraId="5B5F0992"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В Нью-Йорк приехал 14/VII, из Берлина выехал 5/VII по линии Берлин–Париж–Шербург. В Нью-Йорке продержали сутки на пароходе, не пустили на берег, а потом отвезли на остров слез, продержали там сутки; присягали, клялись и т.п. из СССР ехало 6 ч и допрашивали с 9 утра до 5 вечера, в результате конечно нас с миром отпустили под залог Амторга. В Нью-Йорке пробыл один день, с Кристи познакомился в Амторге. На другой день он прислал за мной свой автомобиль. Комнату снял в Линден (Linden), минут 15 ходом от завода, плачу 6 долларов в неделю и за завтрак 35 центов в день, в семье американского рабочего, языком усиленно занимаюсь, поддается туго, здесь очень жарко 30 – 35˚ по Цельсию в тени. </w:t>
      </w:r>
    </w:p>
    <w:p w14:paraId="67FF14DB"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В отношении выполнения договора с Кристи дело обстоит следующим образом: корпуса изготовлены на 50%. Корпус из железных листов толщиною 7 мм, носовая часть забронирована, корпус в большинстве своем сварен, носовая броня и сварена и склепана, по заявлению Кристи одной сварки недостаточно. Между прочим, одна из 4-х машин, изготовляющихся в мастерской целиком сварена, даже броня, только дно приклепано (по-видимому, она изготавливается для Америки как опытная машина и она больше других форсируется изготовлением); башни и боковой и верхней брони нет и в мастерской тоже нет. </w:t>
      </w:r>
    </w:p>
    <w:p w14:paraId="3FD00833"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Некоторые детали уже закончены, некоторые находятся в обработке в мастерской, но многих деталей еще нет. Выполнены и выполняются в мастерской следующие детали: </w:t>
      </w:r>
    </w:p>
    <w:p w14:paraId="2AD762EC"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1. Мотор отрегулирован и подготовлен к установке. </w:t>
      </w:r>
    </w:p>
    <w:p w14:paraId="23FABBC5"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2. Главное сцепление выполнено на 50%. </w:t>
      </w:r>
    </w:p>
    <w:p w14:paraId="65024BB5"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3. Вентилятор выполнен на 30%. </w:t>
      </w:r>
    </w:p>
    <w:p w14:paraId="241F421C"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4. Радиатор выполнен на 50%. </w:t>
      </w:r>
    </w:p>
    <w:p w14:paraId="5E380077"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5. Шестерни коробки скоростей выполнены на 100%. </w:t>
      </w:r>
    </w:p>
    <w:p w14:paraId="2576BC55"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6. Валы коробки скоростей выполнены на 60%. </w:t>
      </w:r>
    </w:p>
    <w:p w14:paraId="5723E052"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7. Шариковые и роликовые подшипники – 100%. </w:t>
      </w:r>
    </w:p>
    <w:p w14:paraId="166182A8"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8. Кожух коробки скоростей (картер) выполнен на 75%. </w:t>
      </w:r>
    </w:p>
    <w:p w14:paraId="35DE2AD8"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9. Механизм перемены скоростей выполнен на 30%. </w:t>
      </w:r>
    </w:p>
    <w:p w14:paraId="271E62B5"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Можно считать, что вся коробка скоростей выполнена на 75%. </w:t>
      </w:r>
    </w:p>
    <w:p w14:paraId="53BD831C"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10. Боковые фрикционы выполнены на 40%. </w:t>
      </w:r>
    </w:p>
    <w:p w14:paraId="285B9C58"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11. Задний мост выполнен на 40%. </w:t>
      </w:r>
    </w:p>
    <w:p w14:paraId="5D89A745"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12. Ходовая часть выполнена на 40%. </w:t>
      </w:r>
    </w:p>
    <w:p w14:paraId="04E2F0F7"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Звенья гусениц имеются необработанные, болты к ним не изготовлены, имеются диски колес, но нет бандажей, нет спиральных рессор и стержней (штоки) к ним; рулевое управление выполнено на 30%, а вся машина в законченном её виде можно считать выполнена на 40% максимум. </w:t>
      </w:r>
    </w:p>
    <w:p w14:paraId="1142E09E"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Чертежи общие сборочные имеются: коробки скоростей, главного сцепления, заднего моста, ходовая часть и подвеска (подрессоривание), общий сборочный чертеж корпуса находится в выполнении; детальные чертежи изготовлены на 60%, все чертежи изготовляются небрежно; в мастерской Кристи имеется один чертежник и инженер-конструктор, чертят оба очень плохо. Чертежи путанные, неясные, перечерчивают кальки раза по 2, очевидно в Америке на чертежи очень мало обращают внимания; спецификация материалов полностью взята по американским нормам за исключением специальных частей (как то броня, звенья гусениц, пальцы звеньев). </w:t>
      </w:r>
    </w:p>
    <w:p w14:paraId="4DAFB94E"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Кристи уверяет, что к концу сентября машины будут испытаны. Денег уплочено 15 000 долларов. Следующий платеж должен быть по выполнении 75% заказа, однако при мне уплочено еще 5 000 долларов, хотя на лицо имеется только 35 – 40% выполнения заказа. </w:t>
      </w:r>
    </w:p>
    <w:p w14:paraId="6964D01B"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Посылаю две схемы машины и одну схему, в карандаше, трансмиссии с приблизительными расчетными скоростями, причем по техническим условиям скорости должны быть на гусеницах до 60 км/час и на колесах до 96 км/час (60 миль/час). На гусеницах скорости выдержаны, на колесах же по моим подсчетам максимум можно получить 85 км/час при самых благоприятных условиях. Как видно скорости по техническим условиям не совсем выдержаны; в общем же конструкция во многих частях весьма интересна и остроумна, но только если считать вес машины в 10 тонн, то несколько высокое удельное давление на грунт при гусеничном ходе 0,65 кг/см² без погружения и при погружении на 100 мм 0,5 кг/см² для болотных мест несколько высоко; очень большая и сложная передача на ведущее колесо при колесном ходе, значительный радиус поворота на колесах. </w:t>
      </w:r>
    </w:p>
    <w:p w14:paraId="5B9095CA"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В Берлине я ознакомился с проектом трактора, заказанного машинообъединением конструкторскому бюро Фольмара с учетом требований военведа. Задание тождественное, что Г.Х.П.З., но быстроходный средний трактор; договор был заключен в октябре месяце 29 г. на 50.000 долларов за один проект со всеми рабочими чертежами. При заключении договора было уплочено 15.000 долларов. Фольмар обязан был представить общий проект в январе 30 г. Никакого контроля за выполнением договора со стороны машинообъединения не велось, проект до сих пор еще не готов. </w:t>
      </w:r>
    </w:p>
    <w:p w14:paraId="54CF5B7F"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С технической стороны Фольмаром внесено несколько изменений по сравнению с прежним типом Гономаг (тип Коммунара), а именно: гусеничные тележки выполнены отдельно от корпуса; корпус подвешен в передней части на солидную пластинчатую рессору, катки подрессорены, так же как и у Коммунара, гусеничные тележки клепанные из листового железа; управление при помощи фрикционов; коробка скоростей на 4 скорости вперед и одну назад. </w:t>
      </w:r>
    </w:p>
    <w:p w14:paraId="31F5ED4E"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Мощность мотора: на бензине при 1150 об/мин 90 HP, на керосине при 1000 об/мин 70 HP. Размер цилиндров 140 × 80, степень сжатия для бензина 4,8 и керосина 3,6. </w:t>
      </w:r>
    </w:p>
    <w:p w14:paraId="429D9ED4"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По произведенной проверке мощность, по моему мнению, преувеличена, на бензине не более 70 HP и на керосине не более 50 HP; проект двигателя представляет из себя схему совершенно не проработанную; по договору двигатель должен быть разработан на нефти. Эта часть проекта схематически представлена Фольмаром путем постановки новой головки к бензиновому двигателю; дизельная головка разработана и представляет некоторый интерес. </w:t>
      </w:r>
    </w:p>
    <w:p w14:paraId="33E30E85"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Остальные технические данные: вес 7 тонн в походном положении; база соприкосновения с грунтом без погружения 1,6 mt и при погружении на 100 мм 2,9 mt. Ширина звена 450 мм. Удельное давление без погружения 0,486 кг/см² и при погружении на 100 мм 0,3 кг/см². Трактор имеет приводной шкив и платформу длиной в 1,2 mt, на которой установлен бак для горючего, платформа служит для помещения добавочного балласта для увеличения [не читаемо] веса при малых скоростях; низкая точка от земли 350 мм, проходимость в брод ½ mt. </w:t>
      </w:r>
    </w:p>
    <w:p w14:paraId="28B0E68D"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Заключение: по моему мнению в таком виде проект для нас мало интересен, при дальнейшей его разработке необходимо внести следующие изменения: скорость при работе на бензине должна быть увеличена до 20 – 25 км/час по хорошей сухой грунтовой дороге с прицепным грузом, равным весу трактора, соответственно мощность на бензине не ниже 100 – 100 НР. </w:t>
      </w:r>
    </w:p>
    <w:p w14:paraId="258967B8"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Гусеница, а также и подвеска трактора (подрессоривание) должны удовлетворять требованиям скоростей до 25 км/час; площадка сзади длиной в 1,75 mt для полезного груза; перевод с бензина на керосин и обратно не должен требовать никакого дополнительного монтажа. </w:t>
      </w:r>
    </w:p>
    <w:p w14:paraId="235CD609"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Этот проект будет в качестве второго варианта среднего трактора, строящегося на Г.Х.П.З. </w:t>
      </w:r>
    </w:p>
    <w:p w14:paraId="3B8BE918"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Эти требования мною были сообщены в торгпредстве т. Матвееву, который передаст эти требования в комиссию по рассмотрению проекта трактора, кроме того комплект синекопий общих чертежей должен быть направлен к нам в НТК. </w:t>
      </w:r>
    </w:p>
    <w:p w14:paraId="0179FEB0"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т. Лебедев в Лос-Анджелесе, я его не застал, приедет после 1-го, я его поставил в известность, что приступил к работе, Гомбарг уезжает в Москву между 1 и 5/VIII. Кристи собирается вместе с машинами сам в Москву. </w:t>
      </w:r>
    </w:p>
    <w:p w14:paraId="402C458F" w14:textId="77777777" w:rsidR="00EC6A53" w:rsidRPr="00507A31" w:rsidRDefault="00EC6A53" w:rsidP="00507A31">
      <w:pPr>
        <w:jc w:val="both"/>
        <w:rPr>
          <w:color w:val="000000" w:themeColor="text1"/>
          <w:sz w:val="16"/>
          <w:szCs w:val="16"/>
        </w:rPr>
      </w:pPr>
      <w:r w:rsidRPr="00507A31">
        <w:rPr>
          <w:color w:val="000000" w:themeColor="text1"/>
          <w:sz w:val="16"/>
          <w:szCs w:val="16"/>
        </w:rPr>
        <w:t xml:space="preserve">Это все, что я имею Вам доложить, Иннокентий Андреевич. </w:t>
      </w:r>
    </w:p>
    <w:p w14:paraId="7D754B73" w14:textId="77777777" w:rsidR="00EC6A53" w:rsidRPr="00507A31" w:rsidRDefault="00EC6A53" w:rsidP="00507A31">
      <w:pPr>
        <w:jc w:val="both"/>
        <w:rPr>
          <w:color w:val="000000" w:themeColor="text1"/>
          <w:sz w:val="16"/>
          <w:szCs w:val="16"/>
        </w:rPr>
      </w:pPr>
      <w:r w:rsidRPr="00507A31">
        <w:rPr>
          <w:color w:val="000000" w:themeColor="text1"/>
          <w:sz w:val="16"/>
          <w:szCs w:val="16"/>
        </w:rPr>
        <w:t>С Ком Приветом Тоскин</w:t>
      </w:r>
    </w:p>
    <w:p w14:paraId="17DC718B" w14:textId="77777777" w:rsidR="00EC6A53" w:rsidRPr="00507A31" w:rsidRDefault="00EC6A53" w:rsidP="00507A31">
      <w:pPr>
        <w:jc w:val="both"/>
        <w:rPr>
          <w:color w:val="000000" w:themeColor="text1"/>
          <w:sz w:val="16"/>
          <w:szCs w:val="16"/>
        </w:rPr>
      </w:pPr>
      <w:r w:rsidRPr="00507A31">
        <w:rPr>
          <w:bCs/>
          <w:iCs/>
          <w:color w:val="000000" w:themeColor="text1"/>
          <w:sz w:val="16"/>
          <w:szCs w:val="16"/>
        </w:rPr>
        <w:t>РГВА Фонд 31811 Опись 1 Дело 433 лист 10 – 12</w:t>
      </w:r>
      <w:r w:rsidR="00FA2FAE" w:rsidRPr="00507A31">
        <w:rPr>
          <w:bCs/>
          <w:iCs/>
          <w:color w:val="000000" w:themeColor="text1"/>
          <w:sz w:val="16"/>
          <w:szCs w:val="16"/>
        </w:rPr>
        <w:t xml:space="preserve"> </w:t>
      </w:r>
      <w:r w:rsidRPr="00507A31">
        <w:rPr>
          <w:color w:val="000000" w:themeColor="text1"/>
          <w:sz w:val="16"/>
          <w:szCs w:val="16"/>
        </w:rPr>
        <w:t>(19759).</w:t>
      </w:r>
    </w:p>
    <w:p w14:paraId="7EFC9139" w14:textId="77777777" w:rsidR="00EC6A53" w:rsidRPr="00507A31" w:rsidRDefault="00EC6A53" w:rsidP="00507A31">
      <w:pPr>
        <w:jc w:val="both"/>
        <w:rPr>
          <w:color w:val="000000" w:themeColor="text1"/>
          <w:sz w:val="16"/>
          <w:szCs w:val="16"/>
        </w:rPr>
      </w:pPr>
    </w:p>
    <w:p w14:paraId="3A5C2C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июня 1930 г., отдохнув и полюбовавшись столицей, участни</w:t>
      </w:r>
      <w:r w:rsidRPr="00507A31">
        <w:rPr>
          <w:color w:val="000000" w:themeColor="text1"/>
          <w:sz w:val="16"/>
          <w:szCs w:val="16"/>
        </w:rPr>
        <w:softHyphen/>
        <w:t xml:space="preserve">ки мотопробега отправились в Ленинград. Ночевали в Торжке и Новгороде. В Ленинград </w:t>
      </w:r>
      <w:r w:rsidR="00EA2934" w:rsidRPr="00507A31">
        <w:rPr>
          <w:color w:val="000000" w:themeColor="text1"/>
          <w:sz w:val="16"/>
          <w:szCs w:val="16"/>
        </w:rPr>
        <w:t xml:space="preserve">мотоциклисты </w:t>
      </w:r>
      <w:r w:rsidRPr="00507A31">
        <w:rPr>
          <w:color w:val="000000" w:themeColor="text1"/>
          <w:sz w:val="16"/>
          <w:szCs w:val="16"/>
        </w:rPr>
        <w:t>прибыли 24 июня 1930 года. Дожди, сопро</w:t>
      </w:r>
      <w:r w:rsidRPr="00507A31">
        <w:rPr>
          <w:color w:val="000000" w:themeColor="text1"/>
          <w:sz w:val="16"/>
          <w:szCs w:val="16"/>
        </w:rPr>
        <w:softHyphen/>
        <w:t>вождавшие мотоциклистов на всём пути, вынудили предоставить им день для отдыха в Новгороде. Возвращались в Харьков через Псков, Витебск, Оршу, Минск, Слуцк, Бобруйск, Гомель, Киев.</w:t>
      </w:r>
    </w:p>
    <w:p w14:paraId="7D27AA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Дождей не было, а бытовые неурядицы скорее веселили, чем огор</w:t>
      </w:r>
      <w:r w:rsidRPr="00507A31">
        <w:rPr>
          <w:color w:val="000000" w:themeColor="text1"/>
          <w:sz w:val="16"/>
          <w:szCs w:val="16"/>
        </w:rPr>
        <w:softHyphen/>
        <w:t>чали. Интересно, что по всей трассе мотоколонну сопровождали мотолюбители, проезжавшие с ней кто сколько мог. 7 августа мо</w:t>
      </w:r>
      <w:r w:rsidRPr="00507A31">
        <w:rPr>
          <w:color w:val="000000" w:themeColor="text1"/>
          <w:sz w:val="16"/>
          <w:szCs w:val="16"/>
        </w:rPr>
        <w:softHyphen/>
        <w:t>топробег финишировал в Харькове и завершился торжественным вечером в городском клубе Объединенного государственного по</w:t>
      </w:r>
      <w:r w:rsidRPr="00507A31">
        <w:rPr>
          <w:color w:val="000000" w:themeColor="text1"/>
          <w:sz w:val="16"/>
          <w:szCs w:val="16"/>
        </w:rPr>
        <w:softHyphen/>
        <w:t>литического управления (ОГПУ). На следующий день московский «Харлей» выехал в столицу. Водитель под дождем вез в коляске немалый груз, и прибыл в Мосавтоклуб только 13 августа 1930 года. Во Всеукраинском мотопробеге испытали отечественные шины и камеры, и остались довольны их качеством [3.107].</w:t>
      </w:r>
    </w:p>
    <w:p w14:paraId="75D202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Всеукраинский мотопробег заставил правительство СССР об</w:t>
      </w:r>
      <w:r w:rsidRPr="00507A31">
        <w:rPr>
          <w:color w:val="000000" w:themeColor="text1"/>
          <w:sz w:val="16"/>
          <w:szCs w:val="16"/>
        </w:rPr>
        <w:softHyphen/>
        <w:t>ратить внимание на инициативу конструкторов ХАЗа.(11429).</w:t>
      </w:r>
    </w:p>
    <w:p w14:paraId="14B00C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0E36A0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F67107D" w14:textId="77777777" w:rsidR="00537E5F" w:rsidRPr="00507A31" w:rsidRDefault="00537E5F" w:rsidP="00507A31">
      <w:pPr>
        <w:autoSpaceDE w:val="0"/>
        <w:autoSpaceDN w:val="0"/>
        <w:adjustRightInd w:val="0"/>
        <w:jc w:val="both"/>
        <w:rPr>
          <w:iCs/>
          <w:color w:val="000000" w:themeColor="text1"/>
          <w:sz w:val="16"/>
          <w:szCs w:val="16"/>
        </w:rPr>
      </w:pPr>
    </w:p>
    <w:p w14:paraId="5FF080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21 июля 1930 комиссия т. Рудзутак окончательно определила количество автомобилей для НКВМ: 256 легковых и 1091 грузовых автомобилей. На 1 октября утвержденный т. Рудзутак план сдачи автомобилей Наркомвоенмору выполнен полностью (10977).</w:t>
      </w:r>
    </w:p>
    <w:p w14:paraId="2890AA26" w14:textId="77777777" w:rsidR="00537E5F" w:rsidRPr="00507A31" w:rsidRDefault="00537E5F" w:rsidP="00507A31">
      <w:pPr>
        <w:autoSpaceDE w:val="0"/>
        <w:autoSpaceDN w:val="0"/>
        <w:adjustRightInd w:val="0"/>
        <w:jc w:val="both"/>
        <w:rPr>
          <w:color w:val="000000" w:themeColor="text1"/>
          <w:sz w:val="16"/>
          <w:szCs w:val="16"/>
        </w:rPr>
      </w:pPr>
    </w:p>
    <w:p w14:paraId="50DC378A" w14:textId="77777777" w:rsidR="00A51B66" w:rsidRPr="00507A31" w:rsidRDefault="00A51B66" w:rsidP="00507A31">
      <w:pPr>
        <w:autoSpaceDE w:val="0"/>
        <w:autoSpaceDN w:val="0"/>
        <w:adjustRightInd w:val="0"/>
        <w:jc w:val="both"/>
        <w:rPr>
          <w:iCs/>
          <w:color w:val="000000" w:themeColor="text1"/>
          <w:sz w:val="16"/>
          <w:szCs w:val="16"/>
        </w:rPr>
      </w:pPr>
      <w:r w:rsidRPr="00507A31">
        <w:rPr>
          <w:iCs/>
          <w:color w:val="000000" w:themeColor="text1"/>
          <w:sz w:val="16"/>
          <w:szCs w:val="16"/>
        </w:rPr>
        <w:t>Жизнь и внутреняя политика:</w:t>
      </w:r>
    </w:p>
    <w:p w14:paraId="2B4B8AC4" w14:textId="77777777" w:rsidR="00A51B66" w:rsidRPr="00507A31" w:rsidRDefault="00A51B66" w:rsidP="00507A31">
      <w:pPr>
        <w:autoSpaceDE w:val="0"/>
        <w:autoSpaceDN w:val="0"/>
        <w:adjustRightInd w:val="0"/>
        <w:jc w:val="both"/>
        <w:rPr>
          <w:iCs/>
          <w:color w:val="000000" w:themeColor="text1"/>
          <w:sz w:val="16"/>
          <w:szCs w:val="16"/>
        </w:rPr>
      </w:pPr>
    </w:p>
    <w:p w14:paraId="0C174EAF" w14:textId="77777777" w:rsidR="00550121" w:rsidRPr="00507A31" w:rsidRDefault="00550121" w:rsidP="00507A31">
      <w:pPr>
        <w:jc w:val="both"/>
        <w:rPr>
          <w:color w:val="000000" w:themeColor="text1"/>
          <w:sz w:val="16"/>
          <w:szCs w:val="16"/>
        </w:rPr>
      </w:pPr>
      <w:r w:rsidRPr="00507A31">
        <w:rPr>
          <w:color w:val="000000" w:themeColor="text1"/>
          <w:sz w:val="16"/>
          <w:szCs w:val="16"/>
        </w:rPr>
        <w:t>21 июля в 1930 году по делу контрреволюционной организации "Трудовая крестьянская партия" арестовывается Александр Васильевич Чаянов, ученый-аграрник с мировым именем, основатель первого в стране Института сельскохозяйственной экономики и его первый директор, талантливый писатель, искусствовед и коллекционер, стоявший у истоков изучения музейного дела в России. Чаянова приговорят к 5-ти годам тюрьмы. Отсидев в Суздале, Александр Васильевич отправится в ссылку в Алма-Ату, где осенью 1937 будет арестован вторично и 3 октября расстрелян (14959).</w:t>
      </w:r>
    </w:p>
    <w:p w14:paraId="75323C01" w14:textId="77777777" w:rsidR="00550121" w:rsidRPr="00507A31" w:rsidRDefault="00550121" w:rsidP="00507A31">
      <w:pPr>
        <w:jc w:val="both"/>
        <w:rPr>
          <w:color w:val="000000" w:themeColor="text1"/>
          <w:sz w:val="16"/>
          <w:szCs w:val="16"/>
        </w:rPr>
      </w:pPr>
    </w:p>
    <w:p w14:paraId="2334E78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3FA3E95C" w14:textId="77777777" w:rsidR="00537E5F" w:rsidRPr="00507A31" w:rsidRDefault="00537E5F" w:rsidP="00507A31">
      <w:pPr>
        <w:autoSpaceDE w:val="0"/>
        <w:autoSpaceDN w:val="0"/>
        <w:adjustRightInd w:val="0"/>
        <w:jc w:val="both"/>
        <w:rPr>
          <w:iCs/>
          <w:color w:val="000000" w:themeColor="text1"/>
          <w:sz w:val="16"/>
          <w:szCs w:val="16"/>
        </w:rPr>
      </w:pPr>
    </w:p>
    <w:p w14:paraId="0E3C3FCC" w14:textId="77777777" w:rsidR="00550121" w:rsidRPr="00507A31" w:rsidRDefault="00550121" w:rsidP="00507A31">
      <w:pPr>
        <w:jc w:val="both"/>
        <w:rPr>
          <w:color w:val="000000" w:themeColor="text1"/>
          <w:sz w:val="16"/>
          <w:szCs w:val="16"/>
        </w:rPr>
      </w:pPr>
      <w:r w:rsidRPr="00507A31">
        <w:rPr>
          <w:color w:val="000000" w:themeColor="text1"/>
          <w:sz w:val="16"/>
          <w:szCs w:val="16"/>
        </w:rPr>
        <w:t>21 июля 1930 Литвинов стал министром иностранных дел. Г.Орджоникидзе возглавил ВСНХ (12629).</w:t>
      </w:r>
    </w:p>
    <w:p w14:paraId="386832A0" w14:textId="77777777" w:rsidR="00550121" w:rsidRPr="00507A31" w:rsidRDefault="00550121" w:rsidP="00507A31">
      <w:pPr>
        <w:autoSpaceDE w:val="0"/>
        <w:autoSpaceDN w:val="0"/>
        <w:adjustRightInd w:val="0"/>
        <w:jc w:val="both"/>
        <w:rPr>
          <w:iCs/>
          <w:color w:val="000000" w:themeColor="text1"/>
          <w:sz w:val="16"/>
          <w:szCs w:val="16"/>
        </w:rPr>
      </w:pPr>
    </w:p>
    <w:p w14:paraId="106B02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июля 1930 М.Литвинов стал Наркоминдел (1348,242) вместо Г.Чичерина (3908,334).</w:t>
      </w:r>
    </w:p>
    <w:p w14:paraId="745895FE" w14:textId="77777777" w:rsidR="00537E5F" w:rsidRPr="00507A31" w:rsidRDefault="00537E5F" w:rsidP="00507A31">
      <w:pPr>
        <w:autoSpaceDE w:val="0"/>
        <w:autoSpaceDN w:val="0"/>
        <w:adjustRightInd w:val="0"/>
        <w:jc w:val="both"/>
        <w:rPr>
          <w:color w:val="000000" w:themeColor="text1"/>
          <w:sz w:val="16"/>
          <w:szCs w:val="16"/>
        </w:rPr>
      </w:pPr>
    </w:p>
    <w:p w14:paraId="057F31B4" w14:textId="77777777" w:rsidR="00550121" w:rsidRPr="00507A31" w:rsidRDefault="00550121" w:rsidP="00507A31">
      <w:pPr>
        <w:jc w:val="both"/>
        <w:rPr>
          <w:color w:val="000000" w:themeColor="text1"/>
          <w:sz w:val="16"/>
          <w:szCs w:val="16"/>
        </w:rPr>
      </w:pPr>
      <w:r w:rsidRPr="00507A31">
        <w:rPr>
          <w:color w:val="000000" w:themeColor="text1"/>
          <w:sz w:val="16"/>
          <w:szCs w:val="16"/>
        </w:rPr>
        <w:t>21 июля в 1930 году наркомом иностранных дел СССР становится Максим Литвинов. Когда к власти в Германии придут нацисты, Литвинов, представляющий СССР в Совете Лиги наций, настойчиво будет выступать за выработку системы коллективной безопасности в Европе, но после начавшейся на Западе политики умиротворения Гитлера и в преддверии заключения СССР Пакта о ненападении с Германией будет снят со своего поста как придерживавшийся антифашистской позиции (14959).</w:t>
      </w:r>
    </w:p>
    <w:p w14:paraId="7BA286C0" w14:textId="77777777" w:rsidR="00550121" w:rsidRPr="00507A31" w:rsidRDefault="00550121" w:rsidP="00507A31">
      <w:pPr>
        <w:jc w:val="both"/>
        <w:rPr>
          <w:color w:val="000000" w:themeColor="text1"/>
          <w:sz w:val="16"/>
          <w:szCs w:val="16"/>
        </w:rPr>
      </w:pPr>
    </w:p>
    <w:p w14:paraId="2518751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6504786" w14:textId="77777777" w:rsidR="00537E5F" w:rsidRPr="00507A31" w:rsidRDefault="00537E5F" w:rsidP="00507A31">
      <w:pPr>
        <w:autoSpaceDE w:val="0"/>
        <w:autoSpaceDN w:val="0"/>
        <w:adjustRightInd w:val="0"/>
        <w:jc w:val="both"/>
        <w:rPr>
          <w:iCs/>
          <w:color w:val="000000" w:themeColor="text1"/>
          <w:sz w:val="16"/>
          <w:szCs w:val="16"/>
        </w:rPr>
      </w:pPr>
    </w:p>
    <w:p w14:paraId="40D4AF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июля 1930 Г. Оберт и VfR успешно испытали жидкостный ракетный двигатель на бензине, который проработал 90 сек. Демонстрация делалась перед директором Chemisch-technische Reichsanstalt для получения финансирования (3125).</w:t>
      </w:r>
    </w:p>
    <w:p w14:paraId="3A5FA630" w14:textId="77777777" w:rsidR="00537E5F" w:rsidRPr="00507A31" w:rsidRDefault="00537E5F" w:rsidP="00507A31">
      <w:pPr>
        <w:autoSpaceDE w:val="0"/>
        <w:autoSpaceDN w:val="0"/>
        <w:adjustRightInd w:val="0"/>
        <w:jc w:val="both"/>
        <w:rPr>
          <w:color w:val="000000" w:themeColor="text1"/>
          <w:sz w:val="16"/>
          <w:szCs w:val="16"/>
        </w:rPr>
      </w:pPr>
    </w:p>
    <w:p w14:paraId="027763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июля 1930 года, согласно официальный документ, подготовленного доктором Риттером выписал, двигатель «Kegelduse» «исправно работал в течение 90 секунд, израсходовав 6 кг жидкого кислорода и 1 кг бензина и развив при этом тягу около 7 кг».</w:t>
      </w:r>
    </w:p>
    <w:p w14:paraId="393E18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в Государственном институте явилось также испытанием и в другом отношении. Все чаще раздавались голоса, требовавшие запретить эксперименты с ракетами из-за несчастного случая с Максом Валье.</w:t>
      </w:r>
    </w:p>
    <w:p w14:paraId="1E3463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успеха с «Kegelduse» члены «Общества» взялись за отработку ракеты «Mirak» (11688).</w:t>
      </w:r>
    </w:p>
    <w:p w14:paraId="5ACEB594" w14:textId="77777777" w:rsidR="00537E5F" w:rsidRPr="00507A31" w:rsidRDefault="00537E5F" w:rsidP="00507A31">
      <w:pPr>
        <w:autoSpaceDE w:val="0"/>
        <w:autoSpaceDN w:val="0"/>
        <w:adjustRightInd w:val="0"/>
        <w:jc w:val="both"/>
        <w:rPr>
          <w:color w:val="000000" w:themeColor="text1"/>
          <w:sz w:val="16"/>
          <w:szCs w:val="16"/>
        </w:rPr>
      </w:pPr>
    </w:p>
    <w:p w14:paraId="06516DB9" w14:textId="77777777" w:rsidR="0067670C" w:rsidRPr="00507A31" w:rsidRDefault="0067670C" w:rsidP="00507A31">
      <w:pPr>
        <w:jc w:val="both"/>
        <w:rPr>
          <w:color w:val="0070C0"/>
          <w:sz w:val="16"/>
          <w:szCs w:val="16"/>
        </w:rPr>
      </w:pPr>
      <w:r w:rsidRPr="00507A31">
        <w:rPr>
          <w:color w:val="0070C0"/>
          <w:sz w:val="16"/>
          <w:szCs w:val="16"/>
        </w:rPr>
        <w:t>23 июля 1930 умирает пионер авиации Гленн Кертисс в 52 года (20805).</w:t>
      </w:r>
    </w:p>
    <w:p w14:paraId="7CEAF8F1" w14:textId="77777777" w:rsidR="0067670C" w:rsidRPr="00507A31" w:rsidRDefault="0067670C" w:rsidP="00507A31">
      <w:pPr>
        <w:jc w:val="both"/>
        <w:rPr>
          <w:color w:val="0070C0"/>
          <w:sz w:val="16"/>
          <w:szCs w:val="16"/>
        </w:rPr>
      </w:pPr>
    </w:p>
    <w:p w14:paraId="5D5D323B" w14:textId="77777777" w:rsidR="0067670C" w:rsidRPr="00507A31" w:rsidRDefault="0067670C" w:rsidP="00507A31">
      <w:pPr>
        <w:jc w:val="both"/>
        <w:rPr>
          <w:color w:val="0070C0"/>
          <w:sz w:val="16"/>
          <w:szCs w:val="16"/>
        </w:rPr>
      </w:pPr>
      <w:r w:rsidRPr="00507A31">
        <w:rPr>
          <w:color w:val="0070C0"/>
          <w:sz w:val="16"/>
          <w:szCs w:val="16"/>
        </w:rPr>
        <w:t>23 июля 1930 г. Государственный немецкий институт химии и технологии выдал «Немецкому ракетному обществу» официальный документ, удостоверяющий, что «двигатель «Кегельдюзе» исправно работал в течение 90 секунд, израсходовав 6 кг жидкого кислорода и 1 кг бензина и развив при этом тягу около 7 кг». В «Немецком ракетном обществе» считали, что честь запуска первой в Европе ракеты с жидкостным ракетным двигателем (ЖРД) принадлежит Иоганну Винклеру (1897-1947). Его ракета Н</w:t>
      </w:r>
      <w:r w:rsidRPr="00507A31">
        <w:rPr>
          <w:color w:val="0070C0"/>
          <w:sz w:val="16"/>
          <w:szCs w:val="16"/>
          <w:lang w:val="en-US"/>
        </w:rPr>
        <w:t>WR</w:t>
      </w:r>
      <w:r w:rsidRPr="00507A31">
        <w:rPr>
          <w:color w:val="0070C0"/>
          <w:sz w:val="16"/>
          <w:szCs w:val="16"/>
        </w:rPr>
        <w:t>-1 (Хюккель-Винклер-ракета) имела в длину около 60 см, весила 5 кг, имела три топливных бака с жидким метаном, жидким кислородом и сжатым азотом (22685).</w:t>
      </w:r>
    </w:p>
    <w:p w14:paraId="5B5CE4DD" w14:textId="77777777" w:rsidR="0067670C" w:rsidRPr="00507A31" w:rsidRDefault="0067670C" w:rsidP="00507A31">
      <w:pPr>
        <w:jc w:val="both"/>
        <w:rPr>
          <w:color w:val="0070C0"/>
          <w:sz w:val="16"/>
          <w:szCs w:val="16"/>
        </w:rPr>
      </w:pPr>
    </w:p>
    <w:p w14:paraId="15C4CD8D" w14:textId="77777777" w:rsidR="0067670C" w:rsidRPr="00507A31" w:rsidRDefault="0067670C" w:rsidP="00507A31">
      <w:pPr>
        <w:jc w:val="both"/>
        <w:rPr>
          <w:color w:val="0070C0"/>
          <w:sz w:val="16"/>
          <w:szCs w:val="16"/>
        </w:rPr>
      </w:pPr>
      <w:r w:rsidRPr="00507A31">
        <w:rPr>
          <w:color w:val="0070C0"/>
          <w:sz w:val="16"/>
          <w:szCs w:val="16"/>
        </w:rPr>
        <w:t>23 июля 1930 г. в Германии Герман Оберт, без помощи государства на средства Немецкого ракетного общества, испытывает свой двигатель «Кегельдюзе» на жидком кислороде и бензине, который развил тягу около 7 кг (22685).</w:t>
      </w:r>
    </w:p>
    <w:p w14:paraId="3A0E56D7" w14:textId="77777777" w:rsidR="0067670C" w:rsidRPr="00507A31" w:rsidRDefault="0067670C" w:rsidP="00507A31">
      <w:pPr>
        <w:jc w:val="both"/>
        <w:rPr>
          <w:color w:val="0070C0"/>
          <w:sz w:val="16"/>
          <w:szCs w:val="16"/>
        </w:rPr>
      </w:pPr>
    </w:p>
    <w:p w14:paraId="4718D9F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F6F95FB" w14:textId="77777777" w:rsidR="00537E5F" w:rsidRPr="00507A31" w:rsidRDefault="00537E5F" w:rsidP="00507A31">
      <w:pPr>
        <w:autoSpaceDE w:val="0"/>
        <w:autoSpaceDN w:val="0"/>
        <w:adjustRightInd w:val="0"/>
        <w:jc w:val="both"/>
        <w:rPr>
          <w:iCs/>
          <w:color w:val="000000" w:themeColor="text1"/>
          <w:sz w:val="16"/>
          <w:szCs w:val="16"/>
        </w:rPr>
      </w:pPr>
    </w:p>
    <w:p w14:paraId="16D974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24 июля по 1 сентября 1930 были завершены повторные гос. испытания Р-6 в двух вариантах: самолет воздушного боя и разведчик. заказчик признал только первый (346,35).</w:t>
      </w:r>
    </w:p>
    <w:p w14:paraId="2F4BED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испытания закончились 31 сентября и проходили с 11 марта 1930 с перерывом после 30 марта, а машины были с БМВ-6 NN 16580 и 16583 (1017,203).</w:t>
      </w:r>
    </w:p>
    <w:p w14:paraId="0EE99FDA" w14:textId="77777777" w:rsidR="00537E5F" w:rsidRPr="00507A31" w:rsidRDefault="00537E5F" w:rsidP="00507A31">
      <w:pPr>
        <w:autoSpaceDE w:val="0"/>
        <w:autoSpaceDN w:val="0"/>
        <w:adjustRightInd w:val="0"/>
        <w:jc w:val="both"/>
        <w:rPr>
          <w:color w:val="000000" w:themeColor="text1"/>
          <w:sz w:val="16"/>
          <w:szCs w:val="16"/>
        </w:rPr>
      </w:pPr>
    </w:p>
    <w:p w14:paraId="33A622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24 июля по 31 сентября 1930 прошли вторичные испытания самолета Р6 с 2-мя моторами БМВVI</w:t>
      </w:r>
    </w:p>
    <w:p w14:paraId="0791B3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Потом 1 секция НТК Постановила:</w:t>
      </w:r>
    </w:p>
    <w:p w14:paraId="7B952D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своим летным данным самолет по варианту "А" (многоместный истребитель) техническим требованиям удовлетворяет. Проверку выполнения самолетом боевых эволюций НИИ не произвел.</w:t>
      </w:r>
    </w:p>
    <w:p w14:paraId="24F6F7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Вопрос о принятии самолета на вооружение решить совместно с 1 Управлением УВВС по представлении НИИ дополнительных материалов (3273).</w:t>
      </w:r>
    </w:p>
    <w:p w14:paraId="316E9EBB" w14:textId="77777777" w:rsidR="00537E5F" w:rsidRPr="00507A31" w:rsidRDefault="00537E5F" w:rsidP="00507A31">
      <w:pPr>
        <w:autoSpaceDE w:val="0"/>
        <w:autoSpaceDN w:val="0"/>
        <w:adjustRightInd w:val="0"/>
        <w:jc w:val="both"/>
        <w:rPr>
          <w:color w:val="000000" w:themeColor="text1"/>
          <w:sz w:val="16"/>
          <w:szCs w:val="16"/>
        </w:rPr>
      </w:pPr>
    </w:p>
    <w:p w14:paraId="7BCC3C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июля 1930 г. Р-6 вновь предъявили на испытания в НИИ ВВС. Полеты продолжались более двух месяцев, до 31 сентября. На этот раз результаты оказались куда лучше. Поднялась скорость на высотах более 2000 м, значительно возрос потолок. С другой стороны, несколько увеличились посадочная скорость и время выполнения виражей и восьмерок (на 5 - 6 с). По отзывам летчиков, самолет стал проще и удобнее в эксплуатации, улучшился обзор для пилота. Тряска оперения исчезла. Общий вывод был таков: "По своим летным данным самолет техническим требованиям удовлетворяет". Это не значит, что туполевцам удалось устранить все недостатки машины. ВНИИ ВВС продолжали считать, что и после доработки конструкция Р-6 перетяжелена.</w:t>
      </w:r>
    </w:p>
    <w:p w14:paraId="6541BE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Нашли и новые недостатки. Моторы теперь забрызгивали радиаторы маслом, и охлаждение постепенно ухудшалось. Патрубки глушителей выбрасывали выхлопные газы в сторону открытой пилотской кабины, попутно оглушая летчика. Из-за плохой амортизации деформировались обтекатели осей шасси. Козырек пилотской кабины оказался слабоват - гнулся и трескался от напора воздуха. В кабину отчаянно задувало и спереди, и с боков, и даже изнутри самолета. Работники НИИ ВВС требовали усилить недостаточно жесткие моторамы, заменить в окошке у летнаба мутный целлулоид на триплекс, одеть чехол на гнездо костыля, поставить ограничитель на заднюю турель, предотвращающий прострел хвостового оперения, и радиостанцию ВОЗ IV, записанную в задании. Появилось предложение дополнить вооружение двумя неподвижными пулеметами ПВ-1, стреляющими вперед (12036).</w:t>
      </w:r>
    </w:p>
    <w:p w14:paraId="262C76A4" w14:textId="77777777" w:rsidR="00537E5F" w:rsidRPr="00507A31" w:rsidRDefault="00537E5F" w:rsidP="00507A31">
      <w:pPr>
        <w:autoSpaceDE w:val="0"/>
        <w:autoSpaceDN w:val="0"/>
        <w:adjustRightInd w:val="0"/>
        <w:jc w:val="both"/>
        <w:rPr>
          <w:color w:val="000000" w:themeColor="text1"/>
          <w:sz w:val="16"/>
          <w:szCs w:val="16"/>
        </w:rPr>
      </w:pPr>
    </w:p>
    <w:p w14:paraId="12D03FCE" w14:textId="77777777" w:rsidR="00EA2934" w:rsidRPr="00507A31" w:rsidRDefault="00EA2934" w:rsidP="00507A31">
      <w:pPr>
        <w:jc w:val="both"/>
        <w:rPr>
          <w:color w:val="000000" w:themeColor="text1"/>
          <w:sz w:val="16"/>
          <w:szCs w:val="16"/>
        </w:rPr>
      </w:pPr>
      <w:r w:rsidRPr="00507A31">
        <w:rPr>
          <w:color w:val="000000" w:themeColor="text1"/>
          <w:sz w:val="16"/>
          <w:szCs w:val="16"/>
        </w:rPr>
        <w:t>24 июля 1930 г. Р-6 вновь предъявили на испытания в НИИ ВВС.</w:t>
      </w:r>
    </w:p>
    <w:p w14:paraId="5A2C8D96" w14:textId="77777777" w:rsidR="00EA2934" w:rsidRPr="00507A31" w:rsidRDefault="00EA2934" w:rsidP="00507A31">
      <w:pPr>
        <w:jc w:val="both"/>
        <w:rPr>
          <w:color w:val="000000" w:themeColor="text1"/>
          <w:sz w:val="16"/>
          <w:szCs w:val="16"/>
        </w:rPr>
      </w:pPr>
      <w:r w:rsidRPr="00507A31">
        <w:rPr>
          <w:color w:val="000000" w:themeColor="text1"/>
          <w:sz w:val="16"/>
          <w:szCs w:val="16"/>
        </w:rPr>
        <w:t>Перед пилотской кабиной появился выступающий вверх гаргрот. Ввели козырёк перед задней турелью, увеличили вырез нижней выпускной башни и смонтировали в ней новую стрелковую установку</w:t>
      </w:r>
      <w:r w:rsidR="00691119" w:rsidRPr="00507A31">
        <w:rPr>
          <w:color w:val="000000" w:themeColor="text1"/>
          <w:sz w:val="16"/>
          <w:szCs w:val="16"/>
        </w:rPr>
        <w:t>, п</w:t>
      </w:r>
      <w:r w:rsidRPr="00507A31">
        <w:rPr>
          <w:color w:val="000000" w:themeColor="text1"/>
          <w:sz w:val="16"/>
          <w:szCs w:val="16"/>
        </w:rPr>
        <w:t>оставили новые колёса шасси - 1000x225 мм. После всех переделок машина не только не стала тяжелее, но конструкторам удалось даже «сбросить» около 80 кг.</w:t>
      </w:r>
    </w:p>
    <w:p w14:paraId="7A40A5D4" w14:textId="77777777" w:rsidR="00EA2934" w:rsidRPr="00507A31" w:rsidRDefault="00EA2934" w:rsidP="00507A31">
      <w:pPr>
        <w:jc w:val="both"/>
        <w:rPr>
          <w:color w:val="000000" w:themeColor="text1"/>
          <w:sz w:val="16"/>
          <w:szCs w:val="16"/>
        </w:rPr>
      </w:pPr>
      <w:r w:rsidRPr="00507A31">
        <w:rPr>
          <w:color w:val="000000" w:themeColor="text1"/>
          <w:sz w:val="16"/>
          <w:szCs w:val="16"/>
        </w:rPr>
        <w:t>Летали больше двух месяцев, до 31 сентября. На этот раз результаты оказались куда лучше. Поднялась скорость на высотах свыше 2000 м, значительно возрос потолок. С другой стороны, несколько увеличились посадочная скорость и время выполнения виражей и восьмёрок (на 5-6 с). По отзывам испытателей, самолёт стал проще и удобнее в эксплуатации, улучшился обзор для пилота. Тряска оперения исчезла.</w:t>
      </w:r>
    </w:p>
    <w:p w14:paraId="1D26BD43" w14:textId="77777777" w:rsidR="00EA2934" w:rsidRPr="00507A31" w:rsidRDefault="00EA2934" w:rsidP="00507A31">
      <w:pPr>
        <w:jc w:val="both"/>
        <w:rPr>
          <w:color w:val="000000" w:themeColor="text1"/>
          <w:sz w:val="16"/>
          <w:szCs w:val="16"/>
        </w:rPr>
      </w:pPr>
      <w:r w:rsidRPr="00507A31">
        <w:rPr>
          <w:color w:val="000000" w:themeColor="text1"/>
          <w:sz w:val="16"/>
          <w:szCs w:val="16"/>
        </w:rPr>
        <w:t>Общий вывод был таков: «По своим лётным данным самолёт техническим требованиям удовлетворяет». Это не значит, что туполевцам удалось устранить все огрехи. В НИИ ВВС продолжали считать, что и после доработки конструкция Р-6 перетяжелена. Недостаточно жёсткие моторамы являлись причиной значительных вибраций. Патрубки глушителей отбрасывали выхлопные газы в сторону пилотской кабины, оглушая лётчика.</w:t>
      </w:r>
    </w:p>
    <w:p w14:paraId="723787EE" w14:textId="77777777" w:rsidR="00EA2934" w:rsidRPr="00507A31" w:rsidRDefault="00EA2934" w:rsidP="00507A31">
      <w:pPr>
        <w:jc w:val="both"/>
        <w:rPr>
          <w:color w:val="000000" w:themeColor="text1"/>
          <w:sz w:val="16"/>
          <w:szCs w:val="16"/>
        </w:rPr>
      </w:pPr>
      <w:r w:rsidRPr="00507A31">
        <w:rPr>
          <w:color w:val="000000" w:themeColor="text1"/>
          <w:sz w:val="16"/>
          <w:szCs w:val="16"/>
        </w:rPr>
        <w:t>Всего в НИИ на этот раз насчитали 26 дефектов, выявился и ряд новых. Моторы забрызгивали маслом радиаторы и шасси. Из-за плохой амортизации деформировались обтекатели осей. Обнаружились прогрессирующие люфты в системе управления самолётом. Козырёк пилотской кабины оказался слабоват: гнулся и трескался. В кабину сильно задувало спереди, с боков и даже изнутри машины.</w:t>
      </w:r>
    </w:p>
    <w:p w14:paraId="5766B86F" w14:textId="77777777" w:rsidR="00EA2934" w:rsidRPr="00507A31" w:rsidRDefault="00EA2934" w:rsidP="00507A31">
      <w:pPr>
        <w:jc w:val="both"/>
        <w:rPr>
          <w:color w:val="000000" w:themeColor="text1"/>
          <w:sz w:val="16"/>
          <w:szCs w:val="16"/>
        </w:rPr>
      </w:pPr>
      <w:r w:rsidRPr="00507A31">
        <w:rPr>
          <w:color w:val="000000" w:themeColor="text1"/>
          <w:sz w:val="16"/>
          <w:szCs w:val="16"/>
        </w:rPr>
        <w:t>Работники НИИ ВВС требовали усилить моторамы, увеличить переднее окошко у летнаба и заменить в нём целлулоид триплексом, приклепать намертво переднюю кромку крыла, ввести чехол в гнезде костыля. Говорилось в отчёте и о недоработке вооружения: отсутствии ограничителей (защищающих от прострела хвостовое оперение) на задней турели Тур-5, некомплектности нижней установки. Не имелось запланированной радиостанции ВОЗ IV. Какая-либо связь между членами экипажа отсутствовала (12264).</w:t>
      </w:r>
    </w:p>
    <w:p w14:paraId="1ABE67A6" w14:textId="77777777" w:rsidR="00EA2934" w:rsidRPr="00507A31" w:rsidRDefault="00EA2934" w:rsidP="00507A31">
      <w:pPr>
        <w:jc w:val="both"/>
        <w:rPr>
          <w:color w:val="000000" w:themeColor="text1"/>
          <w:sz w:val="16"/>
          <w:szCs w:val="16"/>
        </w:rPr>
      </w:pPr>
    </w:p>
    <w:p w14:paraId="159AFF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июля 1930 года на химическом полигоне ВОХИМУ закончились испытания 10 кг осколочно-химических и осколочных бомб с корпусом стальным и корпусом железным с насыпными осколками, которые проводились с 2 июля (3326).</w:t>
      </w:r>
    </w:p>
    <w:p w14:paraId="76412F6B" w14:textId="77777777" w:rsidR="00537E5F" w:rsidRPr="00507A31" w:rsidRDefault="00537E5F" w:rsidP="00507A31">
      <w:pPr>
        <w:autoSpaceDE w:val="0"/>
        <w:autoSpaceDN w:val="0"/>
        <w:adjustRightInd w:val="0"/>
        <w:jc w:val="both"/>
        <w:rPr>
          <w:color w:val="000000" w:themeColor="text1"/>
          <w:sz w:val="16"/>
          <w:szCs w:val="16"/>
        </w:rPr>
      </w:pPr>
    </w:p>
    <w:p w14:paraId="3DC5252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F2EA6ED" w14:textId="77777777" w:rsidR="00537E5F" w:rsidRPr="00507A31" w:rsidRDefault="00537E5F" w:rsidP="00507A31">
      <w:pPr>
        <w:autoSpaceDE w:val="0"/>
        <w:autoSpaceDN w:val="0"/>
        <w:adjustRightInd w:val="0"/>
        <w:jc w:val="both"/>
        <w:rPr>
          <w:iCs/>
          <w:color w:val="000000" w:themeColor="text1"/>
          <w:sz w:val="16"/>
          <w:szCs w:val="16"/>
        </w:rPr>
      </w:pPr>
    </w:p>
    <w:p w14:paraId="4BC6AB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июля 1930 г. письмом «Оружобъединение» поставило в известность завод «Большевик» о предстоящем изготовлении 305-мм ДРП Курчевского и 50 снарядов.</w:t>
      </w:r>
    </w:p>
    <w:p w14:paraId="1FB088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Ствол без сопла и затвора завод «Большевик» закончил в мае 1931 г. 20 штук чугунных ядер весом 350 кг отправили на НИАП 17 июня 1931 г.</w:t>
      </w:r>
    </w:p>
    <w:p w14:paraId="5271AA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6DB486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марта 1932 г. на НИАПе было произведено испытание 305-мм мортиры ДРП. Результаты испытаний:</w:t>
      </w:r>
    </w:p>
    <w:p w14:paraId="419008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4DAE13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A3AD1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2D89CB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1A4789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457D7939" w14:textId="77777777" w:rsidR="00537E5F" w:rsidRPr="00507A31" w:rsidRDefault="00537E5F" w:rsidP="00507A31">
      <w:pPr>
        <w:autoSpaceDE w:val="0"/>
        <w:autoSpaceDN w:val="0"/>
        <w:adjustRightInd w:val="0"/>
        <w:jc w:val="both"/>
        <w:rPr>
          <w:color w:val="000000" w:themeColor="text1"/>
          <w:sz w:val="16"/>
          <w:szCs w:val="16"/>
        </w:rPr>
      </w:pPr>
    </w:p>
    <w:p w14:paraId="79A0690E" w14:textId="77777777" w:rsidR="00550121" w:rsidRPr="00507A31" w:rsidRDefault="00550121" w:rsidP="00507A31">
      <w:pPr>
        <w:jc w:val="both"/>
        <w:rPr>
          <w:color w:val="000000" w:themeColor="text1"/>
          <w:sz w:val="16"/>
          <w:szCs w:val="16"/>
        </w:rPr>
      </w:pPr>
      <w:r w:rsidRPr="00507A31">
        <w:rPr>
          <w:color w:val="000000" w:themeColor="text1"/>
          <w:sz w:val="16"/>
          <w:szCs w:val="16"/>
        </w:rPr>
        <w:t>24 июля 1930 г. «Оружобъединение» поставило в известность завод «Большевик» о предстоящем изготовлении 305-мм ДРП Курчевского и 50 снарядов.</w:t>
      </w:r>
    </w:p>
    <w:p w14:paraId="19EB26C3" w14:textId="77777777" w:rsidR="00550121" w:rsidRPr="00507A31" w:rsidRDefault="00550121" w:rsidP="00507A31">
      <w:pPr>
        <w:jc w:val="both"/>
        <w:rPr>
          <w:color w:val="000000" w:themeColor="text1"/>
          <w:sz w:val="16"/>
          <w:szCs w:val="16"/>
        </w:rPr>
      </w:pPr>
      <w:r w:rsidRPr="00507A31">
        <w:rPr>
          <w:color w:val="000000" w:themeColor="text1"/>
          <w:sz w:val="16"/>
          <w:szCs w:val="16"/>
        </w:rPr>
        <w:t>Ствол без сопла и затвора завод «Большевик» закончил в мае 1931 г. 20 штук чугунных ядер весом 350 кг отправили на НИАП 17 июня 1931 г.</w:t>
      </w:r>
    </w:p>
    <w:p w14:paraId="6D3AD73C" w14:textId="77777777" w:rsidR="00550121" w:rsidRPr="00507A31" w:rsidRDefault="00550121" w:rsidP="00507A31">
      <w:pPr>
        <w:jc w:val="both"/>
        <w:rPr>
          <w:color w:val="000000" w:themeColor="text1"/>
          <w:sz w:val="16"/>
          <w:szCs w:val="16"/>
        </w:rPr>
      </w:pPr>
      <w:r w:rsidRPr="00507A31">
        <w:rPr>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0560152F" w14:textId="77777777" w:rsidR="00550121" w:rsidRPr="00507A31" w:rsidRDefault="00550121" w:rsidP="00507A31">
      <w:pPr>
        <w:jc w:val="both"/>
        <w:rPr>
          <w:color w:val="000000" w:themeColor="text1"/>
          <w:sz w:val="16"/>
          <w:szCs w:val="16"/>
        </w:rPr>
      </w:pPr>
      <w:r w:rsidRPr="00507A31">
        <w:rPr>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507A31">
        <w:rPr>
          <w:color w:val="000000" w:themeColor="text1"/>
          <w:sz w:val="16"/>
          <w:szCs w:val="16"/>
          <w:vertAlign w:val="superscript"/>
        </w:rPr>
        <w:t>2</w:t>
      </w:r>
      <w:r w:rsidRPr="00507A31">
        <w:rPr>
          <w:color w:val="000000" w:themeColor="text1"/>
          <w:sz w:val="16"/>
          <w:szCs w:val="16"/>
        </w:rPr>
        <w:t>.</w:t>
      </w:r>
    </w:p>
    <w:p w14:paraId="52194D44" w14:textId="77777777" w:rsidR="00550121" w:rsidRPr="00507A31" w:rsidRDefault="00550121" w:rsidP="00507A31">
      <w:pPr>
        <w:jc w:val="both"/>
        <w:rPr>
          <w:color w:val="000000" w:themeColor="text1"/>
          <w:sz w:val="16"/>
          <w:szCs w:val="16"/>
        </w:rPr>
      </w:pPr>
      <w:r w:rsidRPr="00507A31">
        <w:rPr>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FB61574" w14:textId="77777777" w:rsidR="00550121" w:rsidRPr="00507A31" w:rsidRDefault="00550121" w:rsidP="00507A31">
      <w:pPr>
        <w:jc w:val="both"/>
        <w:rPr>
          <w:color w:val="000000" w:themeColor="text1"/>
          <w:sz w:val="16"/>
          <w:szCs w:val="16"/>
        </w:rPr>
      </w:pPr>
      <w:r w:rsidRPr="00507A31">
        <w:rPr>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7761BE42" w14:textId="77777777" w:rsidR="00550121" w:rsidRPr="00507A31" w:rsidRDefault="00550121" w:rsidP="00507A31">
      <w:pPr>
        <w:jc w:val="both"/>
        <w:rPr>
          <w:color w:val="000000" w:themeColor="text1"/>
          <w:sz w:val="16"/>
          <w:szCs w:val="16"/>
        </w:rPr>
      </w:pPr>
      <w:r w:rsidRPr="00507A31">
        <w:rPr>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7BCCCFE0" w14:textId="77777777" w:rsidR="00550121" w:rsidRPr="00507A31" w:rsidRDefault="00550121" w:rsidP="00507A31">
      <w:pPr>
        <w:jc w:val="both"/>
        <w:rPr>
          <w:color w:val="000000" w:themeColor="text1"/>
          <w:sz w:val="16"/>
          <w:szCs w:val="16"/>
        </w:rPr>
      </w:pPr>
      <w:r w:rsidRPr="00507A31">
        <w:rPr>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7B4FC5C6" w14:textId="77777777" w:rsidR="00550121" w:rsidRPr="00507A31" w:rsidRDefault="00550121" w:rsidP="00507A31">
      <w:pPr>
        <w:jc w:val="both"/>
        <w:rPr>
          <w:color w:val="000000" w:themeColor="text1"/>
          <w:sz w:val="16"/>
          <w:szCs w:val="16"/>
        </w:rPr>
      </w:pPr>
      <w:r w:rsidRPr="00507A31">
        <w:rPr>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3E633172" w14:textId="77777777" w:rsidR="00550121" w:rsidRPr="00507A31" w:rsidRDefault="00550121" w:rsidP="00507A31">
      <w:pPr>
        <w:jc w:val="both"/>
        <w:rPr>
          <w:color w:val="000000" w:themeColor="text1"/>
          <w:sz w:val="16"/>
          <w:szCs w:val="16"/>
        </w:rPr>
      </w:pPr>
      <w:r w:rsidRPr="00507A31">
        <w:rPr>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7E6CA745" w14:textId="77777777" w:rsidR="00550121" w:rsidRPr="00507A31" w:rsidRDefault="00550121" w:rsidP="00507A31">
      <w:pPr>
        <w:jc w:val="both"/>
        <w:rPr>
          <w:color w:val="000000" w:themeColor="text1"/>
          <w:sz w:val="16"/>
          <w:szCs w:val="16"/>
        </w:rPr>
      </w:pPr>
      <w:r w:rsidRPr="00507A31">
        <w:rPr>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959FF80" w14:textId="77777777" w:rsidR="00550121" w:rsidRPr="00507A31" w:rsidRDefault="00550121" w:rsidP="00507A31">
      <w:pPr>
        <w:jc w:val="both"/>
        <w:rPr>
          <w:color w:val="000000" w:themeColor="text1"/>
          <w:sz w:val="16"/>
          <w:szCs w:val="16"/>
        </w:rPr>
      </w:pPr>
      <w:r w:rsidRPr="00507A31">
        <w:rPr>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7CAB87AB" w14:textId="77777777" w:rsidR="00550121" w:rsidRPr="00507A31" w:rsidRDefault="00550121" w:rsidP="00507A31">
      <w:pPr>
        <w:jc w:val="both"/>
        <w:rPr>
          <w:color w:val="000000" w:themeColor="text1"/>
          <w:sz w:val="16"/>
          <w:szCs w:val="16"/>
        </w:rPr>
      </w:pPr>
      <w:r w:rsidRPr="00507A31">
        <w:rPr>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5B80B7D6" w14:textId="77777777" w:rsidR="00550121" w:rsidRPr="00507A31" w:rsidRDefault="00550121" w:rsidP="00507A31">
      <w:pPr>
        <w:jc w:val="both"/>
        <w:rPr>
          <w:color w:val="000000" w:themeColor="text1"/>
          <w:sz w:val="16"/>
          <w:szCs w:val="16"/>
        </w:rPr>
      </w:pPr>
      <w:r w:rsidRPr="00507A31">
        <w:rPr>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74196B60" w14:textId="77777777" w:rsidR="00550121" w:rsidRPr="00507A31" w:rsidRDefault="00550121" w:rsidP="00507A31">
      <w:pPr>
        <w:jc w:val="both"/>
        <w:rPr>
          <w:color w:val="000000" w:themeColor="text1"/>
          <w:sz w:val="16"/>
          <w:szCs w:val="16"/>
        </w:rPr>
      </w:pPr>
    </w:p>
    <w:p w14:paraId="0E392B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 июля 1930 г. первый день испытаний Т-24 не принес ни</w:t>
      </w:r>
      <w:r w:rsidRPr="00507A31">
        <w:rPr>
          <w:color w:val="000000" w:themeColor="text1"/>
          <w:sz w:val="16"/>
          <w:szCs w:val="16"/>
        </w:rPr>
        <w:softHyphen/>
        <w:t>каких неожиданностей, но и восторгов тоже. Танк вел себя почти так же, как и Т-12. Через три дня было назначено опробование орудия, которое вместе с башней переставили с Т-12, и тут случилось ЧП (10733,106).</w:t>
      </w:r>
    </w:p>
    <w:p w14:paraId="424792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EB9713A" w14:textId="77777777" w:rsidR="00FA2FAE" w:rsidRPr="00507A31" w:rsidRDefault="00FA2FAE" w:rsidP="00507A31">
      <w:pPr>
        <w:jc w:val="both"/>
        <w:rPr>
          <w:color w:val="000000" w:themeColor="text1"/>
          <w:sz w:val="16"/>
          <w:szCs w:val="16"/>
          <w:shd w:val="clear" w:color="auto" w:fill="FFFFFF"/>
        </w:rPr>
      </w:pPr>
      <w:r w:rsidRPr="00507A31">
        <w:rPr>
          <w:color w:val="000000" w:themeColor="text1"/>
          <w:sz w:val="16"/>
          <w:szCs w:val="16"/>
          <w:shd w:val="clear" w:color="auto" w:fill="FFFFFF"/>
        </w:rPr>
        <w:t>24 июля 1930 года - первый день испытаний Т-24 не принес никаких неожиданностей, но и восторгов тоже. Танк вел себя почти не отличаясь от Т-12. Через три дня было назначено опробование орудия, которое вместе с башней переставили с Т-12, и тут случилось ЧП. 26 июля 1930 года у танка, двигавшегося по мягкому грунту с орудием и боекомплектом в 10 снарядов, вдруг загорелся двигатель. "… тов. Владимиров остановил танк, помог экипажу покинуть машину, открыл мотор и сбил 75% пламени штатным огнетушителем, после чего одел противогаз и, забравшись в моторное отделение, полностью потушил огонь песком и собственной одеждой..." - так описывается этот случай в донесении о происшествии Наркомвоенмору тов. Ворошилову. Танк был спасен, но для дальнейших испытаний был необходим его ремонт. Башня с вооружением вновь вернулась на Т-12, где орудие было сломано. Кстати 45-мм пушка Соколова, установленная в 1930 г. в танке как временная мера до освоения 45-мм "системы ОАТ танковой полуавтоматической пушки ГУВП обр. 1925 г. утвержденной Журналом Арткома от 18.6.1926 №693", оказалась очень неудачной для танка и потому она практически не производилось (есть предположение, что было выпущено всего два 45-мм танковых орудия Соколова). Пушка же системы ОАТ осваивалась заводом №8 еще почти два года. Проектированием 57-мм гаубицы занимался П. Сячинтов. Он создал для своего времени революционную конструкцию, однако заказ на ее изготовление подтвержден не был и многие технические решения, заложенные в ней, увидели свет только в 76,2-мм пушке ПС-3. Серийным производством Т-24 должны были заниматься ХПЗ и ЧТЗ. На 1930/31 год был запланирован выпуск 200 машин, но как было модно в те годы, руководством ГУВП были приняты встречные обязательства и план вырос до 300. Произвели же их много меньше - 24 танка (28 шасси, 25 бронекорпусов и 26 башен) (19553).</w:t>
      </w:r>
    </w:p>
    <w:p w14:paraId="3B39ACBD" w14:textId="77777777" w:rsidR="00FA2FAE" w:rsidRPr="00507A31" w:rsidRDefault="00FA2FAE" w:rsidP="00507A31">
      <w:pPr>
        <w:jc w:val="both"/>
        <w:rPr>
          <w:color w:val="000000" w:themeColor="text1"/>
          <w:sz w:val="16"/>
          <w:szCs w:val="16"/>
          <w:shd w:val="clear" w:color="auto" w:fill="FFFFFF"/>
        </w:rPr>
      </w:pPr>
    </w:p>
    <w:p w14:paraId="2EA4B3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июля 1930 года, сразу же по прибытии опытного образца на кубинский полигон, начались войсковые испытания маневренного танка Т-24. Первый день испытаний не принес никаких неожиданностей. Однако и особых восторгов у военных новый танк не вызвал. Не смотря на меньшую боевую массу, максимальная скорость движения нового танка по сухому грунту составляла лишь 22 километра в час, против 26 километров в час у Т-12. По остальным показателям Т-24 существенно не отличался от Т-12. На протяжении следующего дня на танке установили 45-мм пушку Соколова, которую демонтировали с Т-12 (10710).</w:t>
      </w:r>
    </w:p>
    <w:p w14:paraId="7F81D56B" w14:textId="77777777" w:rsidR="00537E5F" w:rsidRPr="00507A31" w:rsidRDefault="00537E5F" w:rsidP="00507A31">
      <w:pPr>
        <w:autoSpaceDE w:val="0"/>
        <w:autoSpaceDN w:val="0"/>
        <w:adjustRightInd w:val="0"/>
        <w:jc w:val="both"/>
        <w:rPr>
          <w:color w:val="000000" w:themeColor="text1"/>
          <w:sz w:val="16"/>
          <w:szCs w:val="16"/>
        </w:rPr>
      </w:pPr>
    </w:p>
    <w:p w14:paraId="32E553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 июля 1930 г. вышел ПРИКАЗ НАЧАЛЬНИКА МЕХАНИЗИРОВАННЫХ ВОЙСК ОБ ИСПЫТАНИЯХ ВЕЗДЕХОДНЫХ ТИПОВ АВТОМАШИН, АВТОТЯГАЧЕЙ И ТРАКТОРОВ</w:t>
      </w:r>
    </w:p>
    <w:p w14:paraId="22C1F3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w:t>
      </w:r>
    </w:p>
    <w:p w14:paraId="05AD1B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5D02AC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Заместитель народного комиссара НКВМ т. Уборевич на 26 июля 1930 года, в 9 час. утра назначил демонстрацию и испытания по вездеходным типам автомашин, автотягачам и тракторам. На основании вышеизложенного приказываю:</w:t>
      </w:r>
    </w:p>
    <w:p w14:paraId="4AA8F3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Демонстрировать опытную автотракторную колонну.</w:t>
      </w:r>
    </w:p>
    <w:p w14:paraId="4E9420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Местом демонстрации назначаю территорию Научно-испытательного инженерного полигона ВТУ (ст. Нахабино).</w:t>
      </w:r>
    </w:p>
    <w:p w14:paraId="23AF6B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Место испытания - территория правой стороны шоссе, против базы Полигона.</w:t>
      </w:r>
    </w:p>
    <w:p w14:paraId="1BB8EC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На время демонстрации командующим колонной назначается Начальник 2 отдела Технического управления УММ т. Федотов, его помощником - т. Кульчицкий.</w:t>
      </w:r>
    </w:p>
    <w:p w14:paraId="2052AB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5) Члены технического комитета УММ т. Сквирский, т. Карачан должны прибыть к месту демонстрации и участвовать в демонстрации по подразделениям типа класса автомашин, автотягачей, тракторов,</w:t>
      </w:r>
    </w:p>
    <w:p w14:paraId="1E79C8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На демонстрации присутствовать начальнику 1 управления т. Окулич, начальнику 1 отдела 2 управления т. Моргунову, начальнику 2 отдела 1 управления т. Давыдову и пом. начальника 1 отдела 1 управления т. Пушкину.</w:t>
      </w:r>
    </w:p>
    <w:p w14:paraId="410BC7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Колонна должна быть построена к 8 часам утра в указанном выше месте; к этому же срок; прибыть всем поименованным лицам.</w:t>
      </w:r>
    </w:p>
    <w:p w14:paraId="7BFA36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Механизированных войск РР</w:t>
      </w:r>
    </w:p>
    <w:p w14:paraId="490DEB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Халепс</w:t>
      </w:r>
    </w:p>
    <w:p w14:paraId="3603AB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84. Л. 2. Копия (11210).</w:t>
      </w:r>
    </w:p>
    <w:p w14:paraId="45C64181" w14:textId="77777777" w:rsidR="00537E5F" w:rsidRPr="00507A31" w:rsidRDefault="00537E5F" w:rsidP="00507A31">
      <w:pPr>
        <w:autoSpaceDE w:val="0"/>
        <w:autoSpaceDN w:val="0"/>
        <w:adjustRightInd w:val="0"/>
        <w:jc w:val="both"/>
        <w:rPr>
          <w:color w:val="000000" w:themeColor="text1"/>
          <w:sz w:val="16"/>
          <w:szCs w:val="16"/>
        </w:rPr>
      </w:pPr>
    </w:p>
    <w:p w14:paraId="61CBD0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июля 1930 года харьковский пробег прибыл в Ленинград. Дожди, сопро</w:t>
      </w:r>
      <w:r w:rsidRPr="00507A31">
        <w:rPr>
          <w:color w:val="000000" w:themeColor="text1"/>
          <w:sz w:val="16"/>
          <w:szCs w:val="16"/>
        </w:rPr>
        <w:softHyphen/>
        <w:t>вождавшие мотоциклистов на всём пути, вынудили предоставить им день для отдыха в Новгороде. Возвращались в Харьков через Псков, Витебск, Оршу, Минск, Слуцк, Бобруйск, Гомель, Киев.</w:t>
      </w:r>
    </w:p>
    <w:p w14:paraId="631041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Дождей не было, а бытовые неурядицы скорее веселили, чем огор</w:t>
      </w:r>
      <w:r w:rsidRPr="00507A31">
        <w:rPr>
          <w:color w:val="000000" w:themeColor="text1"/>
          <w:sz w:val="16"/>
          <w:szCs w:val="16"/>
        </w:rPr>
        <w:softHyphen/>
        <w:t>чали. Интересно, что по всей трассе мотоколонну сопровождали мотолюбители, проезжавшие с ней кто сколько мог. 7 августа мо</w:t>
      </w:r>
      <w:r w:rsidRPr="00507A31">
        <w:rPr>
          <w:color w:val="000000" w:themeColor="text1"/>
          <w:sz w:val="16"/>
          <w:szCs w:val="16"/>
        </w:rPr>
        <w:softHyphen/>
        <w:t>топробег финишировал в Харькове и завершился торжественным вечером в городском клубе Объединенного государственного по</w:t>
      </w:r>
      <w:r w:rsidRPr="00507A31">
        <w:rPr>
          <w:color w:val="000000" w:themeColor="text1"/>
          <w:sz w:val="16"/>
          <w:szCs w:val="16"/>
        </w:rPr>
        <w:softHyphen/>
        <w:t>литического управления (ОГПУ). На следующий день московский «Харлей» выехал в столицу. Водитель под дождем вез в коляске немалый груз, и прибыл в Мосавтоклуб только 13 августа 1930 года. Во Всеукраинском мотопробеге испытали отечественные шины и камеры, и остались довольны их качеством [3.107].</w:t>
      </w:r>
    </w:p>
    <w:p w14:paraId="01AEAD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Всеукраинский мотопробег заставил правительство СССР об</w:t>
      </w:r>
      <w:r w:rsidRPr="00507A31">
        <w:rPr>
          <w:color w:val="000000" w:themeColor="text1"/>
          <w:sz w:val="16"/>
          <w:szCs w:val="16"/>
        </w:rPr>
        <w:softHyphen/>
        <w:t>ратить внимание на инициативу конструкторов ХАЗа.(11429).</w:t>
      </w:r>
    </w:p>
    <w:p w14:paraId="255583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CA28F0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3551179" w14:textId="77777777" w:rsidR="00537E5F" w:rsidRPr="00507A31" w:rsidRDefault="00537E5F" w:rsidP="00507A31">
      <w:pPr>
        <w:autoSpaceDE w:val="0"/>
        <w:autoSpaceDN w:val="0"/>
        <w:adjustRightInd w:val="0"/>
        <w:jc w:val="both"/>
        <w:rPr>
          <w:iCs/>
          <w:color w:val="000000" w:themeColor="text1"/>
          <w:sz w:val="16"/>
          <w:szCs w:val="16"/>
        </w:rPr>
      </w:pPr>
    </w:p>
    <w:p w14:paraId="518C2F50" w14:textId="77777777" w:rsidR="00FA2FAE" w:rsidRPr="00507A31" w:rsidRDefault="00FA2FAE" w:rsidP="00507A31">
      <w:pPr>
        <w:jc w:val="both"/>
        <w:rPr>
          <w:color w:val="000000" w:themeColor="text1"/>
          <w:sz w:val="16"/>
          <w:szCs w:val="16"/>
        </w:rPr>
      </w:pPr>
      <w:r w:rsidRPr="00507A31">
        <w:rPr>
          <w:color w:val="000000" w:themeColor="text1"/>
          <w:sz w:val="16"/>
          <w:szCs w:val="16"/>
        </w:rPr>
        <w:t>25 июля 1930</w:t>
      </w:r>
    </w:p>
    <w:p w14:paraId="0A000089" w14:textId="77777777" w:rsidR="00FA2FAE" w:rsidRPr="00507A31" w:rsidRDefault="00FA2FAE" w:rsidP="00507A31">
      <w:pPr>
        <w:jc w:val="both"/>
        <w:rPr>
          <w:color w:val="000000" w:themeColor="text1"/>
          <w:sz w:val="16"/>
          <w:szCs w:val="16"/>
        </w:rPr>
      </w:pPr>
      <w:r w:rsidRPr="00507A31">
        <w:rPr>
          <w:color w:val="000000" w:themeColor="text1"/>
          <w:sz w:val="16"/>
          <w:szCs w:val="16"/>
        </w:rPr>
        <w:t>Протокол № 2 от 25 июля 1930 года</w:t>
      </w:r>
    </w:p>
    <w:p w14:paraId="3D212D89" w14:textId="77777777" w:rsidR="00FA2FAE" w:rsidRPr="00507A31" w:rsidRDefault="00FA2FAE" w:rsidP="00507A31">
      <w:pPr>
        <w:jc w:val="both"/>
        <w:rPr>
          <w:color w:val="000000" w:themeColor="text1"/>
          <w:sz w:val="16"/>
          <w:szCs w:val="16"/>
        </w:rPr>
      </w:pPr>
      <w:r w:rsidRPr="00507A31">
        <w:rPr>
          <w:color w:val="000000" w:themeColor="text1"/>
          <w:sz w:val="16"/>
          <w:szCs w:val="16"/>
        </w:rPr>
        <w:t>Заседание Политбюро от 25 июля 1930 года</w:t>
      </w:r>
    </w:p>
    <w:p w14:paraId="3CDCA93A" w14:textId="77777777" w:rsidR="00FA2FAE" w:rsidRPr="00507A31" w:rsidRDefault="00FA2FAE" w:rsidP="00507A31">
      <w:pPr>
        <w:jc w:val="both"/>
        <w:rPr>
          <w:color w:val="000000" w:themeColor="text1"/>
          <w:sz w:val="16"/>
          <w:szCs w:val="16"/>
        </w:rPr>
      </w:pPr>
      <w:r w:rsidRPr="00507A31">
        <w:rPr>
          <w:color w:val="000000" w:themeColor="text1"/>
          <w:sz w:val="16"/>
          <w:szCs w:val="16"/>
        </w:rPr>
        <w:t>п. 44: О передаче авиапромышленности из ВСНХ в НКВМор</w:t>
      </w:r>
    </w:p>
    <w:p w14:paraId="7854E258" w14:textId="77777777" w:rsidR="00FA2FAE" w:rsidRPr="00507A31" w:rsidRDefault="00FA2FAE" w:rsidP="00507A31">
      <w:pPr>
        <w:jc w:val="both"/>
        <w:rPr>
          <w:color w:val="000000" w:themeColor="text1"/>
          <w:sz w:val="16"/>
          <w:szCs w:val="16"/>
        </w:rPr>
      </w:pPr>
      <w:r w:rsidRPr="00507A31">
        <w:rPr>
          <w:color w:val="000000" w:themeColor="text1"/>
          <w:sz w:val="16"/>
          <w:szCs w:val="16"/>
        </w:rPr>
        <w:t>(Ворошилов, Куйбышев).</w:t>
      </w:r>
    </w:p>
    <w:p w14:paraId="6B7C46B9" w14:textId="77777777" w:rsidR="00FA2FAE" w:rsidRPr="00507A31" w:rsidRDefault="00FA2FAE" w:rsidP="00507A31">
      <w:pPr>
        <w:jc w:val="both"/>
        <w:rPr>
          <w:color w:val="000000" w:themeColor="text1"/>
          <w:sz w:val="16"/>
          <w:szCs w:val="16"/>
        </w:rPr>
      </w:pPr>
      <w:r w:rsidRPr="00507A31">
        <w:rPr>
          <w:color w:val="000000" w:themeColor="text1"/>
          <w:sz w:val="16"/>
          <w:szCs w:val="16"/>
        </w:rPr>
        <w:t>а) Передать авиапромышленность из ведения ВСНХ в ведение НКВмора.</w:t>
      </w:r>
    </w:p>
    <w:p w14:paraId="19B211AF" w14:textId="77777777" w:rsidR="00FA2FAE" w:rsidRPr="00507A31" w:rsidRDefault="00FA2FAE" w:rsidP="00507A31">
      <w:pPr>
        <w:jc w:val="both"/>
        <w:rPr>
          <w:color w:val="000000" w:themeColor="text1"/>
          <w:sz w:val="16"/>
          <w:szCs w:val="16"/>
        </w:rPr>
      </w:pPr>
      <w:r w:rsidRPr="00507A31">
        <w:rPr>
          <w:color w:val="000000" w:themeColor="text1"/>
          <w:sz w:val="16"/>
          <w:szCs w:val="16"/>
        </w:rPr>
        <w:t>б) Передать вместе с авиапромышленностью в ведение Наркомвоенмора научный институт ЦАГИ, оставив НАМИ в ведении ВСНХ. Всех работников ЦАГИ по общему моторостроению, занятых другими работами по обще-гражданской промышленности, передать из ЦАГИ в ВСНХ. Всех работников НАМИ, занятых специально авиа-моторостроением, передать в Наркомвоенмор.</w:t>
      </w:r>
    </w:p>
    <w:p w14:paraId="5F5D1E65" w14:textId="77777777" w:rsidR="00FA2FAE" w:rsidRPr="00507A31" w:rsidRDefault="00FA2FAE" w:rsidP="00507A31">
      <w:pPr>
        <w:jc w:val="both"/>
        <w:rPr>
          <w:color w:val="000000" w:themeColor="text1"/>
          <w:sz w:val="16"/>
          <w:szCs w:val="16"/>
        </w:rPr>
      </w:pPr>
      <w:r w:rsidRPr="00507A31">
        <w:rPr>
          <w:color w:val="000000" w:themeColor="text1"/>
          <w:sz w:val="16"/>
          <w:szCs w:val="16"/>
        </w:rPr>
        <w:t>в) Признать, что основой военной авиации должна быть развитая сеть гражданской авиации.</w:t>
      </w:r>
    </w:p>
    <w:p w14:paraId="1263EEE6" w14:textId="77777777" w:rsidR="00FA2FAE" w:rsidRPr="00507A31" w:rsidRDefault="00FA2FAE" w:rsidP="00507A31">
      <w:pPr>
        <w:jc w:val="both"/>
        <w:rPr>
          <w:color w:val="000000" w:themeColor="text1"/>
          <w:sz w:val="16"/>
          <w:szCs w:val="16"/>
        </w:rPr>
      </w:pPr>
      <w:r w:rsidRPr="00507A31">
        <w:rPr>
          <w:color w:val="000000" w:themeColor="text1"/>
          <w:sz w:val="16"/>
          <w:szCs w:val="16"/>
        </w:rPr>
        <w:t>г) Поручить комиссии в составе: т.т. Рудзутак (председатель), Тухачевский, Микоян, Рухимович, Антипов, Лобов, Гринько — рассмотреть вопросы о всемерном развитии гражданской авиации и формах связи гражданской авиации с военной, с последующим внесением в десятидневный срок своих предложений на ПБ (18319).</w:t>
      </w:r>
    </w:p>
    <w:p w14:paraId="1ED097BE" w14:textId="77777777" w:rsidR="00FA2FAE" w:rsidRPr="00507A31" w:rsidRDefault="00FA2FAE" w:rsidP="00507A31">
      <w:pPr>
        <w:jc w:val="both"/>
        <w:rPr>
          <w:color w:val="000000" w:themeColor="text1"/>
          <w:sz w:val="16"/>
          <w:szCs w:val="16"/>
        </w:rPr>
      </w:pPr>
    </w:p>
    <w:p w14:paraId="435A119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 июля 1930 года самолет Р7 был перевезен на аэродром (6925).</w:t>
      </w:r>
    </w:p>
    <w:p w14:paraId="716299B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EAFC7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июля 1930 первые пять самолетов HD.55 погрузили в Ростоке на Шатурстрой для отправки в Россию, а также первую катапульту (1083,7).</w:t>
      </w:r>
    </w:p>
    <w:p w14:paraId="6889AC79" w14:textId="77777777" w:rsidR="00537E5F" w:rsidRPr="00507A31" w:rsidRDefault="00537E5F" w:rsidP="00507A31">
      <w:pPr>
        <w:autoSpaceDE w:val="0"/>
        <w:autoSpaceDN w:val="0"/>
        <w:adjustRightInd w:val="0"/>
        <w:jc w:val="both"/>
        <w:rPr>
          <w:color w:val="000000" w:themeColor="text1"/>
          <w:sz w:val="16"/>
          <w:szCs w:val="16"/>
        </w:rPr>
      </w:pPr>
    </w:p>
    <w:p w14:paraId="04AA81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июля 1930 года дирижабль Комсомольская правда наполнили газом, а 29 августа состоялся первый полет. Командиром дирижабля был Е. М. Опман. 31 августа дирижабль «Комсомольская правда» («КП») выполнил первый полет над Москвой, а 7 ноября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В связи с износом оболочки дирижабля осенью 1932 года было решено провести его модернизацию, после чего корабль получил наименование СССР В-4. Оставив без изменения основную конструктивную схему, объем и форму корпуса, инженеры разработали заново подвесную систему, оборудование оболочки, оперение, гондолу. Двумя последними агрегатами занимался АГОС. В носовой части гондолы были прорезаны окна, по левому борту сделана дверь. Над гондолой установили тент, натянутый на каркас. Трехплановое оперение изменили на четырехплановое. Конструкцию каркасов оперения сделали более жесткой. Первые полеты дирижабль В-4 совершил 6 и 7 ноября 1932 года. По сравнению с «Комсомольской правдой» скорость В-4 увеличилась, устойчивость полета улучшилась (10731).</w:t>
      </w:r>
    </w:p>
    <w:p w14:paraId="1C270EBF" w14:textId="77777777" w:rsidR="00537E5F" w:rsidRPr="00507A31" w:rsidRDefault="00537E5F" w:rsidP="00507A31">
      <w:pPr>
        <w:autoSpaceDE w:val="0"/>
        <w:autoSpaceDN w:val="0"/>
        <w:adjustRightInd w:val="0"/>
        <w:jc w:val="both"/>
        <w:rPr>
          <w:color w:val="000000" w:themeColor="text1"/>
          <w:sz w:val="16"/>
          <w:szCs w:val="16"/>
        </w:rPr>
      </w:pPr>
    </w:p>
    <w:p w14:paraId="216D82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25 июля 1930 года дирижабль «Комсомольская правда» наполнили газом, а 29 августа состоялся первый полет. Командиром дирижабля был Е. М. Опман. 31 августа дирижабль «Комсомольская правда» («КП») выполнил первый полет над Москвой, а 7 ноября участвовал в воздушном параде над Красной площадью. </w:t>
      </w:r>
    </w:p>
    <w:p w14:paraId="0133CB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3B1B8200" w14:textId="77777777" w:rsidR="00537E5F" w:rsidRPr="00507A31" w:rsidRDefault="00537E5F" w:rsidP="00507A31">
      <w:pPr>
        <w:autoSpaceDE w:val="0"/>
        <w:autoSpaceDN w:val="0"/>
        <w:adjustRightInd w:val="0"/>
        <w:jc w:val="both"/>
        <w:rPr>
          <w:color w:val="000000" w:themeColor="text1"/>
          <w:sz w:val="16"/>
          <w:szCs w:val="16"/>
        </w:rPr>
      </w:pPr>
    </w:p>
    <w:p w14:paraId="295715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июля 1930 г. Дирижабль, получивший обозначение «СССР В-4» был наполнен газом.</w:t>
      </w:r>
    </w:p>
    <w:p w14:paraId="0CD799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Известный воздухоплаватель профессор Н. В. Фомин возглавил на самолетостроительном факультете МАИ специализацию «Дирижаблестроение» .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463383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августа командир корабля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(12075).</w:t>
      </w:r>
    </w:p>
    <w:p w14:paraId="4154D3EC" w14:textId="77777777" w:rsidR="00537E5F" w:rsidRPr="00507A31" w:rsidRDefault="00537E5F" w:rsidP="00507A31">
      <w:pPr>
        <w:autoSpaceDE w:val="0"/>
        <w:autoSpaceDN w:val="0"/>
        <w:adjustRightInd w:val="0"/>
        <w:jc w:val="both"/>
        <w:rPr>
          <w:color w:val="000000" w:themeColor="text1"/>
          <w:sz w:val="16"/>
          <w:szCs w:val="16"/>
        </w:rPr>
      </w:pPr>
    </w:p>
    <w:p w14:paraId="6E52ED42" w14:textId="77777777" w:rsidR="007E1C12" w:rsidRPr="00507A31" w:rsidRDefault="007E1C12" w:rsidP="00507A31">
      <w:pPr>
        <w:jc w:val="both"/>
        <w:rPr>
          <w:color w:val="000000" w:themeColor="text1"/>
          <w:sz w:val="16"/>
          <w:szCs w:val="16"/>
        </w:rPr>
      </w:pPr>
      <w:r w:rsidRPr="00507A31">
        <w:rPr>
          <w:color w:val="000000" w:themeColor="text1"/>
          <w:sz w:val="16"/>
          <w:szCs w:val="16"/>
        </w:rPr>
        <w:t>25 июля 1930 г. дирижабль, получивший обозначение «СССР В-4», был наполнен газом, 29 августа командир корабля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7E64E5B9" w14:textId="77777777" w:rsidR="007E1C12" w:rsidRPr="00507A31" w:rsidRDefault="007E1C12" w:rsidP="00507A31">
      <w:pPr>
        <w:jc w:val="both"/>
        <w:rPr>
          <w:color w:val="000000" w:themeColor="text1"/>
          <w:sz w:val="16"/>
          <w:szCs w:val="16"/>
        </w:rPr>
      </w:pPr>
    </w:p>
    <w:p w14:paraId="43A96786" w14:textId="77777777" w:rsidR="00DD10A2" w:rsidRPr="00507A31" w:rsidRDefault="00DD10A2" w:rsidP="00507A31">
      <w:pPr>
        <w:jc w:val="both"/>
        <w:rPr>
          <w:color w:val="0070C0"/>
          <w:sz w:val="16"/>
          <w:szCs w:val="16"/>
        </w:rPr>
      </w:pPr>
      <w:r w:rsidRPr="00507A31">
        <w:rPr>
          <w:color w:val="0070C0"/>
          <w:sz w:val="16"/>
          <w:szCs w:val="16"/>
        </w:rPr>
        <w:t>25 июля 1930 г. дирижабль Комсомольская правда наполнили га</w:t>
      </w:r>
      <w:r w:rsidRPr="00507A31">
        <w:rPr>
          <w:color w:val="0070C0"/>
          <w:sz w:val="16"/>
          <w:szCs w:val="16"/>
        </w:rPr>
        <w:softHyphen/>
        <w:t>зом, а 29 августа состоялся первый полёт. В гон</w:t>
      </w:r>
      <w:r w:rsidRPr="00507A31">
        <w:rPr>
          <w:color w:val="0070C0"/>
          <w:sz w:val="16"/>
          <w:szCs w:val="16"/>
        </w:rPr>
        <w:softHyphen/>
        <w:t>доле дирижабля находились командир кора</w:t>
      </w:r>
      <w:r w:rsidRPr="00507A31">
        <w:rPr>
          <w:color w:val="0070C0"/>
          <w:sz w:val="16"/>
          <w:szCs w:val="16"/>
        </w:rPr>
        <w:softHyphen/>
        <w:t>бля Е.М. Оппман, начальник эксплуатации Ф.Ф. Ассберг, а также помощники пилота — М.М. Соколов и И.Я. Волхонский. Погода благо</w:t>
      </w:r>
      <w:r w:rsidRPr="00507A31">
        <w:rPr>
          <w:color w:val="0070C0"/>
          <w:sz w:val="16"/>
          <w:szCs w:val="16"/>
        </w:rPr>
        <w:softHyphen/>
        <w:t>приятствовала вылету. В 20.12 дирижабль плавно поднялся, взял направление на с. Крылатское — ст. Кунцево и через пруд пошёл на посадку. Полёт, в ходе которого проверялась правильности сбор</w:t>
      </w:r>
      <w:r w:rsidRPr="00507A31">
        <w:rPr>
          <w:color w:val="0070C0"/>
          <w:sz w:val="16"/>
          <w:szCs w:val="16"/>
        </w:rPr>
        <w:softHyphen/>
        <w:t>ки и регулировки дирижабля, продолжался всего 18 минут, так как корабль, вылетевший в сумер</w:t>
      </w:r>
      <w:r w:rsidRPr="00507A31">
        <w:rPr>
          <w:color w:val="0070C0"/>
          <w:sz w:val="16"/>
          <w:szCs w:val="16"/>
        </w:rPr>
        <w:softHyphen/>
        <w:t>ки, следовало посадить до наступления темноты. 30 августа последовали ещё два испытательных полёта. С этого времени дирижабль можно было считать готовым к учебным и агитационным по</w:t>
      </w:r>
      <w:r w:rsidRPr="00507A31">
        <w:rPr>
          <w:color w:val="0070C0"/>
          <w:sz w:val="16"/>
          <w:szCs w:val="16"/>
        </w:rPr>
        <w:softHyphen/>
        <w:t>лётам. 31 августа «Комсомольская правда» совер</w:t>
      </w:r>
      <w:r w:rsidRPr="00507A31">
        <w:rPr>
          <w:color w:val="0070C0"/>
          <w:sz w:val="16"/>
          <w:szCs w:val="16"/>
        </w:rPr>
        <w:softHyphen/>
        <w:t>шила полёт над Москвой продолжительностью 1 ч 20 мин, став первый дирижаблем, подняв</w:t>
      </w:r>
      <w:r w:rsidRPr="00507A31">
        <w:rPr>
          <w:color w:val="0070C0"/>
          <w:sz w:val="16"/>
          <w:szCs w:val="16"/>
        </w:rPr>
        <w:softHyphen/>
        <w:t>шимся над столицей СССР (20120).</w:t>
      </w:r>
    </w:p>
    <w:p w14:paraId="54F552C6" w14:textId="77777777" w:rsidR="00DD10A2" w:rsidRPr="00507A31" w:rsidRDefault="00DD10A2" w:rsidP="00507A31">
      <w:pPr>
        <w:jc w:val="both"/>
        <w:rPr>
          <w:color w:val="0070C0"/>
          <w:sz w:val="16"/>
          <w:szCs w:val="16"/>
        </w:rPr>
      </w:pPr>
    </w:p>
    <w:p w14:paraId="7FCDE802" w14:textId="77777777" w:rsidR="007E1C12" w:rsidRPr="00507A31" w:rsidRDefault="007E1C12" w:rsidP="00507A31">
      <w:pPr>
        <w:jc w:val="both"/>
        <w:rPr>
          <w:color w:val="000000" w:themeColor="text1"/>
          <w:sz w:val="16"/>
          <w:szCs w:val="16"/>
        </w:rPr>
      </w:pPr>
      <w:r w:rsidRPr="00507A31">
        <w:rPr>
          <w:color w:val="000000" w:themeColor="text1"/>
          <w:sz w:val="16"/>
          <w:szCs w:val="16"/>
        </w:rPr>
        <w:lastRenderedPageBreak/>
        <w:t>25 июля 1930 г. Протокол ПБ № 2 п.44: О передаче авиапромышленности из ВСНХ в НКВМ (Ворошилов, Куйбышев). Решено: а) передать авиапромышленность из ведения ВСНХ в ведение НКВМ; б) передать вместе с авиапромышленностью в ведение НКВМ научный институт ЦАГИ, оставив НАМИ в ведении ВСНХ, передав всех работников ЦАГИ по общему моторостроению, занятых другими работами по общегражданской промышленности, из ЦАГИ в ВСНХ, а всех работников НАМИ, занятых специально авиамоторостроением, передать в НКВМ; в) признать, что основой военной авиации должна быть развитая сеть гражданской авиации; г) поручить комиссии в составе: Рудзутака (председатель), Тухачевский, Микоян, Рухимович, Антипов, Лобов, Гринько рассмотреть вопросы о всемерном развитии гражданской авиации и формах связи гражданской авиации с военной, с последующим внесением в десятидневный срок своих предложений на ПБ (15935).</w:t>
      </w:r>
    </w:p>
    <w:p w14:paraId="194A9408" w14:textId="77777777" w:rsidR="007E1C12" w:rsidRPr="00507A31" w:rsidRDefault="007E1C12" w:rsidP="00507A31">
      <w:pPr>
        <w:jc w:val="both"/>
        <w:rPr>
          <w:color w:val="000000" w:themeColor="text1"/>
          <w:sz w:val="16"/>
          <w:szCs w:val="16"/>
        </w:rPr>
      </w:pPr>
    </w:p>
    <w:p w14:paraId="114DA0F4" w14:textId="77777777" w:rsidR="00DD10A2" w:rsidRPr="00507A31" w:rsidRDefault="00DD10A2" w:rsidP="00507A31">
      <w:pPr>
        <w:jc w:val="both"/>
        <w:rPr>
          <w:color w:val="000000" w:themeColor="text1"/>
          <w:sz w:val="16"/>
          <w:szCs w:val="16"/>
          <w:u w:color="002060"/>
        </w:rPr>
      </w:pPr>
      <w:r w:rsidRPr="00507A31">
        <w:rPr>
          <w:color w:val="000000" w:themeColor="text1"/>
          <w:sz w:val="16"/>
          <w:szCs w:val="16"/>
          <w:u w:color="002060"/>
        </w:rPr>
        <w:t>25 июля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2. Решения ПБ от 20 июля 1930 г. 35. О Туапсинских постройках. 37. Сообщение комиссии Ворошилова (ПБ от 20 мая 1930 г., пр. № 127, п. 41в) (Ворошилов, Павлуновский) [о средствах для военной промышленности]. — ОП. 43. О заказах Остехбюро ВЭО (Ворошилов, Жуков, Орджоникидзе). — ОП. 44. О передаче авиапромышленности из ВСНХ в НКВМор (Ворошилов, Куйбышев). (Политбюро... Т. 2. С. 60) (12416).</w:t>
      </w:r>
    </w:p>
    <w:p w14:paraId="6A2472A6" w14:textId="77777777" w:rsidR="00DD10A2" w:rsidRPr="00507A31" w:rsidRDefault="00DD10A2" w:rsidP="00507A31">
      <w:pPr>
        <w:jc w:val="both"/>
        <w:rPr>
          <w:color w:val="000000" w:themeColor="text1"/>
          <w:sz w:val="16"/>
          <w:szCs w:val="16"/>
          <w:u w:color="002060"/>
        </w:rPr>
      </w:pPr>
    </w:p>
    <w:p w14:paraId="5D1DC1C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99F1AEC" w14:textId="77777777" w:rsidR="00537E5F" w:rsidRPr="00507A31" w:rsidRDefault="00537E5F" w:rsidP="00507A31">
      <w:pPr>
        <w:autoSpaceDE w:val="0"/>
        <w:autoSpaceDN w:val="0"/>
        <w:adjustRightInd w:val="0"/>
        <w:jc w:val="both"/>
        <w:rPr>
          <w:iCs/>
          <w:color w:val="000000" w:themeColor="text1"/>
          <w:sz w:val="16"/>
          <w:szCs w:val="16"/>
        </w:rPr>
      </w:pPr>
    </w:p>
    <w:p w14:paraId="019439AB" w14:textId="77777777" w:rsidR="0067670C" w:rsidRPr="00507A31" w:rsidRDefault="0067670C" w:rsidP="00507A31">
      <w:pPr>
        <w:jc w:val="both"/>
        <w:rPr>
          <w:color w:val="0070C0"/>
          <w:sz w:val="16"/>
          <w:szCs w:val="16"/>
        </w:rPr>
      </w:pPr>
      <w:r w:rsidRPr="00507A31">
        <w:rPr>
          <w:color w:val="0070C0"/>
          <w:sz w:val="16"/>
          <w:szCs w:val="16"/>
        </w:rPr>
        <w:t>25 июля 1930 г., согласно приказу №129/53 Начальника Вооружений РККА Н. А. Ефимова, для комплексного решения задач по созданию минометного вооружения при ГДЛ была организована конструкторско-испытательная группа по газометам и минометам. Временно исполняющим должность (врид) начальника группы был назначен инженер II отдела АНИИ Н. А. Доровлев (поэтому в служебной переписке она стала именоваться «группа «Д»). При этом осуществление руководства работой нового подразделения было возложено на АНИИ (сама ГДЛ с 1 октября 1930 г. передавалась в ведение АНИИ). Также в распоряжение ГДЛ для работы по системам ближнего боя был направлен инженер НТК ВОХИМУ В. Н. Игнатенко.177.</w:t>
      </w:r>
    </w:p>
    <w:p w14:paraId="2E75176F" w14:textId="77777777" w:rsidR="0067670C" w:rsidRPr="00507A31" w:rsidRDefault="0067670C" w:rsidP="00507A31">
      <w:pPr>
        <w:jc w:val="both"/>
        <w:rPr>
          <w:color w:val="0070C0"/>
          <w:sz w:val="16"/>
          <w:szCs w:val="16"/>
        </w:rPr>
      </w:pPr>
      <w:r w:rsidRPr="00507A31">
        <w:rPr>
          <w:color w:val="0070C0"/>
          <w:sz w:val="16"/>
          <w:szCs w:val="16"/>
        </w:rPr>
        <w:t>Сразу после утверждения основных ТТТ к новым системам минометов, по распоряжению начальника АУ они были направлены группе «Д» для последующего проектирования с указанием необходимости соблюдения условий максимальной дальности и веса и предоставления нескольких проектов (с отдельной каморой и без нее). Эскизные проекты должны были быть рассмотрены в АНИИ и с заключением направлены в НТК АУ в следующие сроки: средний миномет – к 1 ноября 1930 г., тяжелый миномет – к 1 декабря 1930 г., легкий миномет – к 1 января 1931 г.17 (20074).</w:t>
      </w:r>
    </w:p>
    <w:p w14:paraId="5D10CDA6" w14:textId="77777777" w:rsidR="0067670C" w:rsidRPr="00507A31" w:rsidRDefault="0067670C" w:rsidP="00507A31">
      <w:pPr>
        <w:jc w:val="both"/>
        <w:rPr>
          <w:color w:val="0070C0"/>
          <w:sz w:val="16"/>
          <w:szCs w:val="16"/>
        </w:rPr>
      </w:pPr>
    </w:p>
    <w:p w14:paraId="68AE33DA" w14:textId="77777777" w:rsidR="0067670C" w:rsidRPr="00507A31" w:rsidRDefault="0067670C" w:rsidP="00507A31">
      <w:pPr>
        <w:autoSpaceDE w:val="0"/>
        <w:autoSpaceDN w:val="0"/>
        <w:adjustRightInd w:val="0"/>
        <w:jc w:val="both"/>
        <w:rPr>
          <w:color w:val="0070C0"/>
          <w:sz w:val="16"/>
          <w:szCs w:val="16"/>
        </w:rPr>
      </w:pPr>
      <w:r w:rsidRPr="00507A31">
        <w:rPr>
          <w:color w:val="0070C0"/>
          <w:sz w:val="16"/>
          <w:szCs w:val="16"/>
        </w:rPr>
        <w:t xml:space="preserve">После образования 25 июля 1930 г. при ГДЛ АНИИ РККА конструкторско-испытательной группы по газометам и минометам под руководством Н. А. Доровлева, работы по проектированию химических минометов были переданы в ее ведение.358 Концентрации вопросов создания опытных образцов данного вида вооружения в группе «Д» способствовало и то, что с ноября 1930 г. работы по проектированию химических минометов и боеприпасов к ним были переданы от ВОХИМУ к АУ РККА.359 </w:t>
      </w:r>
    </w:p>
    <w:p w14:paraId="7E0832EB" w14:textId="77777777" w:rsidR="0067670C" w:rsidRPr="00507A31" w:rsidRDefault="0067670C" w:rsidP="00507A31">
      <w:pPr>
        <w:jc w:val="both"/>
        <w:rPr>
          <w:rFonts w:eastAsia="TimesNewRomanPSMT"/>
          <w:color w:val="0070C0"/>
          <w:sz w:val="16"/>
          <w:szCs w:val="16"/>
        </w:rPr>
      </w:pPr>
      <w:r w:rsidRPr="00507A31">
        <w:rPr>
          <w:color w:val="0070C0"/>
          <w:sz w:val="16"/>
          <w:szCs w:val="16"/>
        </w:rPr>
        <w:t>В рамках передачи всей номенклатуры работ по проектированию и изготовлению химических минометов из ВОХИМУ в ведение АУ, с НИХПа на НИАП были направлены опытные образцы газометов, трофейные минометы Стокса и боеприпасы к ним.360 (20074).</w:t>
      </w:r>
    </w:p>
    <w:p w14:paraId="1B9663D3" w14:textId="77777777" w:rsidR="0067670C" w:rsidRPr="00507A31" w:rsidRDefault="0067670C" w:rsidP="00507A31">
      <w:pPr>
        <w:jc w:val="both"/>
        <w:rPr>
          <w:rFonts w:eastAsia="TimesNewRomanPSMT"/>
          <w:color w:val="0070C0"/>
          <w:sz w:val="16"/>
          <w:szCs w:val="16"/>
        </w:rPr>
      </w:pPr>
    </w:p>
    <w:p w14:paraId="47D8BB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июля 1930 на танке Т-24 установили 45-мм пушку Соколова, которую демонтировали с Т-12 (10710).</w:t>
      </w:r>
    </w:p>
    <w:p w14:paraId="60A5DEC7" w14:textId="77777777" w:rsidR="00537E5F" w:rsidRPr="00507A31" w:rsidRDefault="00537E5F" w:rsidP="00507A31">
      <w:pPr>
        <w:autoSpaceDE w:val="0"/>
        <w:autoSpaceDN w:val="0"/>
        <w:adjustRightInd w:val="0"/>
        <w:jc w:val="both"/>
        <w:rPr>
          <w:color w:val="000000" w:themeColor="text1"/>
          <w:sz w:val="16"/>
          <w:szCs w:val="16"/>
        </w:rPr>
      </w:pPr>
    </w:p>
    <w:p w14:paraId="1C4302E7" w14:textId="77777777" w:rsidR="00DD10A2" w:rsidRPr="00507A31" w:rsidRDefault="00DD10A2" w:rsidP="00507A31">
      <w:pPr>
        <w:jc w:val="both"/>
        <w:rPr>
          <w:color w:val="0070C0"/>
          <w:sz w:val="16"/>
          <w:szCs w:val="16"/>
        </w:rPr>
      </w:pPr>
      <w:r w:rsidRPr="00507A31">
        <w:rPr>
          <w:color w:val="0070C0"/>
          <w:sz w:val="16"/>
          <w:szCs w:val="16"/>
        </w:rPr>
        <w:t>25 июля 1930 состоялось заседание ПБ (Протокол № 2)</w:t>
      </w:r>
    </w:p>
    <w:p w14:paraId="51D31176" w14:textId="77777777" w:rsidR="00DD10A2" w:rsidRPr="00507A31" w:rsidRDefault="00DD10A2" w:rsidP="00507A31">
      <w:pPr>
        <w:jc w:val="both"/>
        <w:rPr>
          <w:color w:val="0070C0"/>
          <w:sz w:val="16"/>
          <w:szCs w:val="16"/>
        </w:rPr>
      </w:pPr>
      <w:r w:rsidRPr="00507A31">
        <w:rPr>
          <w:color w:val="0070C0"/>
          <w:sz w:val="16"/>
          <w:szCs w:val="16"/>
        </w:rPr>
        <w:t>20 июля 1930 опросом членов ПБ</w:t>
      </w:r>
    </w:p>
    <w:p w14:paraId="2951C8E4" w14:textId="77777777" w:rsidR="00DD10A2" w:rsidRPr="00507A31" w:rsidRDefault="00DD10A2" w:rsidP="00507A31">
      <w:pPr>
        <w:jc w:val="both"/>
        <w:rPr>
          <w:color w:val="0070C0"/>
          <w:sz w:val="16"/>
          <w:szCs w:val="16"/>
        </w:rPr>
      </w:pPr>
      <w:r w:rsidRPr="00507A31">
        <w:rPr>
          <w:color w:val="0070C0"/>
          <w:sz w:val="16"/>
          <w:szCs w:val="16"/>
        </w:rPr>
        <w:t>43.- О заказах Остехбюро.</w:t>
      </w:r>
    </w:p>
    <w:p w14:paraId="41949152" w14:textId="77777777" w:rsidR="00DD10A2" w:rsidRPr="00507A31" w:rsidRDefault="00DD10A2" w:rsidP="00507A31">
      <w:pPr>
        <w:jc w:val="both"/>
        <w:rPr>
          <w:color w:val="0070C0"/>
          <w:sz w:val="16"/>
          <w:szCs w:val="16"/>
        </w:rPr>
      </w:pPr>
      <w:r w:rsidRPr="00507A31">
        <w:rPr>
          <w:color w:val="0070C0"/>
          <w:sz w:val="16"/>
          <w:szCs w:val="16"/>
        </w:rPr>
        <w:t>(т. т. Ворошилов, Жуков, Орджоникидзе).</w:t>
      </w:r>
    </w:p>
    <w:p w14:paraId="7B97BCFE" w14:textId="77777777" w:rsidR="00DD10A2" w:rsidRPr="00507A31" w:rsidRDefault="00DD10A2" w:rsidP="00507A31">
      <w:pPr>
        <w:jc w:val="both"/>
        <w:rPr>
          <w:color w:val="0070C0"/>
          <w:sz w:val="16"/>
          <w:szCs w:val="16"/>
        </w:rPr>
      </w:pPr>
      <w:r w:rsidRPr="00507A31">
        <w:rPr>
          <w:color w:val="0070C0"/>
          <w:sz w:val="16"/>
          <w:szCs w:val="16"/>
        </w:rPr>
        <w:t>а) Обязатб Жукова выполнить выданный ему заказ</w:t>
      </w:r>
    </w:p>
    <w:p w14:paraId="073A640C" w14:textId="77777777" w:rsidR="00DD10A2" w:rsidRPr="00507A31" w:rsidRDefault="00DD10A2" w:rsidP="00507A31">
      <w:pPr>
        <w:jc w:val="both"/>
        <w:rPr>
          <w:color w:val="0070C0"/>
          <w:sz w:val="16"/>
          <w:szCs w:val="16"/>
        </w:rPr>
      </w:pPr>
      <w:r w:rsidRPr="00507A31">
        <w:rPr>
          <w:color w:val="0070C0"/>
          <w:sz w:val="16"/>
          <w:szCs w:val="16"/>
        </w:rPr>
        <w:t>б) Поручить т. Павнуковскому проверить: 1) причины невнподнения заказа военведа, 2) как пропзводится военведом приемка заказанных ни приборов.</w:t>
      </w:r>
    </w:p>
    <w:p w14:paraId="661CD8EE" w14:textId="77777777" w:rsidR="00DD10A2" w:rsidRPr="00507A31" w:rsidRDefault="00DD10A2" w:rsidP="00507A31">
      <w:pPr>
        <w:jc w:val="both"/>
        <w:rPr>
          <w:color w:val="0070C0"/>
          <w:sz w:val="16"/>
          <w:szCs w:val="16"/>
        </w:rPr>
      </w:pPr>
      <w:r w:rsidRPr="00507A31">
        <w:rPr>
          <w:color w:val="0070C0"/>
          <w:sz w:val="16"/>
          <w:szCs w:val="16"/>
        </w:rPr>
        <w:t>Выписки посланы: т.т. Жукову, Павлуновскому, Ворошилову.</w:t>
      </w:r>
    </w:p>
    <w:p w14:paraId="7BBB019E" w14:textId="77777777" w:rsidR="00DD10A2" w:rsidRPr="00507A31" w:rsidRDefault="00DD10A2" w:rsidP="00507A31">
      <w:pPr>
        <w:jc w:val="both"/>
        <w:rPr>
          <w:color w:val="0070C0"/>
          <w:sz w:val="16"/>
          <w:szCs w:val="16"/>
        </w:rPr>
      </w:pPr>
      <w:r w:rsidRPr="00507A31">
        <w:rPr>
          <w:color w:val="0070C0"/>
          <w:sz w:val="16"/>
          <w:szCs w:val="16"/>
        </w:rPr>
        <w:t>47.- О катерпиллярах.</w:t>
      </w:r>
    </w:p>
    <w:p w14:paraId="5039FE76" w14:textId="77777777" w:rsidR="00DD10A2" w:rsidRPr="00507A31" w:rsidRDefault="00DD10A2" w:rsidP="00507A31">
      <w:pPr>
        <w:jc w:val="both"/>
        <w:rPr>
          <w:color w:val="0070C0"/>
          <w:sz w:val="16"/>
          <w:szCs w:val="16"/>
        </w:rPr>
      </w:pPr>
      <w:r w:rsidRPr="00507A31">
        <w:rPr>
          <w:color w:val="0070C0"/>
          <w:sz w:val="16"/>
          <w:szCs w:val="16"/>
        </w:rPr>
        <w:t>(т.т. Микоян, Орджоникидзе).</w:t>
      </w:r>
    </w:p>
    <w:p w14:paraId="5BE3DCA4" w14:textId="77777777" w:rsidR="00DD10A2" w:rsidRPr="00507A31" w:rsidRDefault="00DD10A2" w:rsidP="00507A31">
      <w:pPr>
        <w:jc w:val="both"/>
        <w:rPr>
          <w:color w:val="0070C0"/>
          <w:sz w:val="16"/>
          <w:szCs w:val="16"/>
        </w:rPr>
      </w:pPr>
      <w:r w:rsidRPr="00507A31">
        <w:rPr>
          <w:color w:val="0070C0"/>
          <w:sz w:val="16"/>
          <w:szCs w:val="16"/>
        </w:rPr>
        <w:t>Приобрести первую партию катерпилляров на старых усло</w:t>
      </w:r>
      <w:r w:rsidRPr="00507A31">
        <w:rPr>
          <w:color w:val="0070C0"/>
          <w:sz w:val="16"/>
          <w:szCs w:val="16"/>
        </w:rPr>
        <w:softHyphen/>
        <w:t>виях кредита. Что касается второй партии, отклонить ес по</w:t>
      </w:r>
      <w:r w:rsidRPr="00507A31">
        <w:rPr>
          <w:color w:val="0070C0"/>
          <w:sz w:val="16"/>
          <w:szCs w:val="16"/>
        </w:rPr>
        <w:softHyphen/>
        <w:t>купку, допустив последнюю лишь в тог случае, если будут да</w:t>
      </w:r>
      <w:r w:rsidRPr="00507A31">
        <w:rPr>
          <w:color w:val="0070C0"/>
          <w:sz w:val="16"/>
          <w:szCs w:val="16"/>
        </w:rPr>
        <w:softHyphen/>
        <w:t>ны американцами старые условия кредита.</w:t>
      </w:r>
    </w:p>
    <w:p w14:paraId="4F946F5F" w14:textId="77777777" w:rsidR="00DD10A2" w:rsidRPr="00507A31" w:rsidRDefault="00DD10A2" w:rsidP="00507A31">
      <w:pPr>
        <w:jc w:val="both"/>
        <w:rPr>
          <w:color w:val="0070C0"/>
          <w:sz w:val="16"/>
          <w:szCs w:val="16"/>
        </w:rPr>
      </w:pPr>
      <w:r w:rsidRPr="00507A31">
        <w:rPr>
          <w:color w:val="0070C0"/>
          <w:sz w:val="16"/>
          <w:szCs w:val="16"/>
        </w:rPr>
        <w:t>Выписки посланы т.т. Микояну, Яковлеву (23112).</w:t>
      </w:r>
    </w:p>
    <w:p w14:paraId="0C8169A7" w14:textId="77777777" w:rsidR="00DD10A2" w:rsidRPr="00507A31" w:rsidRDefault="00DD10A2" w:rsidP="00507A31">
      <w:pPr>
        <w:jc w:val="both"/>
        <w:rPr>
          <w:color w:val="0070C0"/>
          <w:sz w:val="16"/>
          <w:szCs w:val="16"/>
        </w:rPr>
      </w:pPr>
    </w:p>
    <w:p w14:paraId="7C5C7C01" w14:textId="77777777" w:rsidR="00EA2934" w:rsidRPr="00507A31" w:rsidRDefault="00EA2934" w:rsidP="00507A31">
      <w:pPr>
        <w:jc w:val="both"/>
        <w:rPr>
          <w:color w:val="000000" w:themeColor="text1"/>
          <w:sz w:val="16"/>
          <w:szCs w:val="16"/>
        </w:rPr>
      </w:pPr>
      <w:r w:rsidRPr="00507A31">
        <w:rPr>
          <w:rStyle w:val="a7"/>
          <w:b w:val="0"/>
          <w:color w:val="000000" w:themeColor="text1"/>
          <w:sz w:val="16"/>
          <w:szCs w:val="16"/>
        </w:rPr>
        <w:t>25 июля 1930</w:t>
      </w:r>
      <w:r w:rsidRPr="00507A31">
        <w:rPr>
          <w:color w:val="000000" w:themeColor="text1"/>
          <w:sz w:val="16"/>
          <w:szCs w:val="16"/>
        </w:rPr>
        <w:t>Политбюро ЦК ВКП (б) предложило ВСНХ представить план реконструкции Московского завода «Серп и молот»; одобрило проекты директив по контрольным цифрам на 1930/31 г. и постановления СТО о строительстве электростанции на заводе им. Дзержинского; обратило внимание СНК и ВСНХ на необходимость расширить в контрольных цифрах на 1930/31 г. задания по капитальному строительству в лесной и угольной промышленности, а также усилить рыболовный флот на Дальнем Востоке (12265).</w:t>
      </w:r>
    </w:p>
    <w:p w14:paraId="030E2575" w14:textId="77777777" w:rsidR="00EA2934" w:rsidRPr="00507A31" w:rsidRDefault="00EA2934" w:rsidP="00507A31">
      <w:pPr>
        <w:jc w:val="both"/>
        <w:rPr>
          <w:color w:val="000000" w:themeColor="text1"/>
          <w:sz w:val="16"/>
          <w:szCs w:val="16"/>
        </w:rPr>
      </w:pPr>
      <w:r w:rsidRPr="00507A31">
        <w:rPr>
          <w:color w:val="000000" w:themeColor="text1"/>
          <w:sz w:val="16"/>
          <w:szCs w:val="16"/>
        </w:rPr>
        <w:t> </w:t>
      </w:r>
    </w:p>
    <w:p w14:paraId="50BFACF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45BEADB" w14:textId="77777777" w:rsidR="00537E5F" w:rsidRPr="00507A31" w:rsidRDefault="00537E5F" w:rsidP="00507A31">
      <w:pPr>
        <w:autoSpaceDE w:val="0"/>
        <w:autoSpaceDN w:val="0"/>
        <w:adjustRightInd w:val="0"/>
        <w:jc w:val="both"/>
        <w:rPr>
          <w:iCs/>
          <w:color w:val="000000" w:themeColor="text1"/>
          <w:sz w:val="16"/>
          <w:szCs w:val="16"/>
        </w:rPr>
      </w:pPr>
    </w:p>
    <w:p w14:paraId="354DC3F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 июля 1930 в СССР введено всеобщее начальное образование (4962).</w:t>
      </w:r>
    </w:p>
    <w:p w14:paraId="03632CC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EBA810D" w14:textId="77777777" w:rsidR="00161BA2" w:rsidRPr="00507A31" w:rsidRDefault="00161BA2" w:rsidP="00507A31">
      <w:pPr>
        <w:jc w:val="both"/>
        <w:rPr>
          <w:color w:val="000000" w:themeColor="text1"/>
          <w:sz w:val="16"/>
          <w:szCs w:val="16"/>
        </w:rPr>
      </w:pPr>
      <w:r w:rsidRPr="00507A31">
        <w:rPr>
          <w:color w:val="000000" w:themeColor="text1"/>
          <w:sz w:val="16"/>
          <w:szCs w:val="16"/>
        </w:rPr>
        <w:t>25 июля в 1930 году принято постановление ЦК ВКП(б) о введении всеобщего начального обучения. В октябре 1918 года ВЦИК утвердил «Положение о единой трудовой школе РСФСР», которое узаконивало обязательное бесплатное и совместное обучение всех детей школьного возраста от 8 до 17 лет в школах 1-й и 2-й ступеней. 8-й съезд РКП(б) (1919) принял программу партии, в которой ставилась задача проведения бесплатного и обязательного общего и политехнического образования для всех детей обоего пола до 17 лет и широкое развитие профессионального образования для лиц от 17-летнего возраста. 20 августа 1923 года СНК РСФСР принял решение приступить к разработке плана всеобщего обучения. ВЦИК и СНК РСФСР постановлением от 31 августа 1925 года определили конечный срок введения начального всеобщего обучения в РСФСР - 1933/1934 учебный год. В соответствии с решениями 16-го съезда партии (1930) и постановлением ЦК ВКП(б) от 25 июля 1930 года, ЦИК и СНК СССР приняли 14 августа 1930 года постановление «О всеобщем обязательном начальном обучении». К 1934 году начальное обучение было осуществлено повсеместно. В 1933-1937 годах в СССР было введено обязательное семилетнее обучение. В эпоху Брежнева вовсю пропагандировалось всеобщее среднее образование. Учиться дальше заставляли даже тех, кто не хотел или не мог окончить десятилетку (14963).</w:t>
      </w:r>
    </w:p>
    <w:p w14:paraId="23F59BA1" w14:textId="77777777" w:rsidR="00161BA2" w:rsidRPr="00507A31" w:rsidRDefault="00161BA2" w:rsidP="00507A31">
      <w:pPr>
        <w:jc w:val="both"/>
        <w:rPr>
          <w:color w:val="000000" w:themeColor="text1"/>
          <w:sz w:val="16"/>
          <w:szCs w:val="16"/>
        </w:rPr>
      </w:pPr>
    </w:p>
    <w:p w14:paraId="210FEE8D" w14:textId="77777777" w:rsidR="005F05C5" w:rsidRPr="00507A31" w:rsidRDefault="005F05C5" w:rsidP="00507A31">
      <w:pPr>
        <w:jc w:val="both"/>
        <w:rPr>
          <w:color w:val="0070C0"/>
          <w:sz w:val="16"/>
          <w:szCs w:val="16"/>
        </w:rPr>
      </w:pPr>
      <w:r w:rsidRPr="00507A31">
        <w:rPr>
          <w:color w:val="0070C0"/>
          <w:sz w:val="16"/>
          <w:szCs w:val="16"/>
        </w:rPr>
        <w:t>25 июля 1930 года вышло Постановление ЦК ВКП(б) о ВСЕОБЩЕМ ОБЯЗАТЕЛЬНОМ обучении. 14 августа 1930 г. такое же постановление были принято ЦИК и СНК СССР. Количество учащихся в начальных и средних школах сильно возросло, началось широкое строительство школ. Так, в 1928/29 учащихся в 1-4-х классах начальных, семилетних и средних школах насчитывалось 10 466 тыс. и в средних школах (5-10-е классы) 1 602 тыс.; в 1932/33 в 1-4-х классах обучалось уже 17 814 тыс. детей, в средних школах – 3 582 тыс. В 1939/40 г. в школах СССР обучалось 32 185 тыс. учащихся. Только за 1930/31 учебный год количество начальных школ только в РСФСР возросло на 10 700 (!) (212167).</w:t>
      </w:r>
    </w:p>
    <w:p w14:paraId="7B3F49CC" w14:textId="77777777" w:rsidR="005F05C5" w:rsidRPr="00507A31" w:rsidRDefault="005F05C5" w:rsidP="00507A31">
      <w:pPr>
        <w:jc w:val="both"/>
        <w:rPr>
          <w:color w:val="0070C0"/>
          <w:sz w:val="16"/>
          <w:szCs w:val="16"/>
        </w:rPr>
      </w:pPr>
    </w:p>
    <w:p w14:paraId="2060230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32D0F46" w14:textId="77777777" w:rsidR="00537E5F" w:rsidRPr="00507A31" w:rsidRDefault="00537E5F" w:rsidP="00507A31">
      <w:pPr>
        <w:autoSpaceDE w:val="0"/>
        <w:autoSpaceDN w:val="0"/>
        <w:adjustRightInd w:val="0"/>
        <w:jc w:val="both"/>
        <w:rPr>
          <w:iCs/>
          <w:color w:val="000000" w:themeColor="text1"/>
          <w:sz w:val="16"/>
          <w:szCs w:val="16"/>
        </w:rPr>
      </w:pPr>
    </w:p>
    <w:p w14:paraId="12AFC5B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 июля 1930 вместо Г. Чичерина, заболевшего острой формой диабета, наркомом иностранных дел СССР назначен М. Литвинов (4962).</w:t>
      </w:r>
    </w:p>
    <w:p w14:paraId="7C4032A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5E312B8" w14:textId="77777777" w:rsidR="00161BA2" w:rsidRPr="00507A31" w:rsidRDefault="00161BA2" w:rsidP="00507A31">
      <w:pPr>
        <w:jc w:val="both"/>
        <w:rPr>
          <w:color w:val="000000" w:themeColor="text1"/>
          <w:sz w:val="16"/>
          <w:szCs w:val="16"/>
        </w:rPr>
      </w:pPr>
      <w:r w:rsidRPr="00507A31">
        <w:rPr>
          <w:color w:val="000000" w:themeColor="text1"/>
          <w:sz w:val="16"/>
          <w:szCs w:val="16"/>
        </w:rPr>
        <w:t>25 июля в 1930 году вместо Г.Чичерина, заболевшего острой формой диабета, наркомом иностранных дел СССР назначается Максим Максимович Литвинов. Вступил на дипломатические поприще сразу после революции. В финале своей карьеры проявит принципиальность и мужество, не желая идти на альянс с гитлеровской Германией и до последнего пытаясь спасти англо-фpанко-советские переговоры о союзе. За это в 1939 и будет снят с поста наркома и заменен Молотовым (14963).</w:t>
      </w:r>
    </w:p>
    <w:p w14:paraId="3351FA95" w14:textId="77777777" w:rsidR="00161BA2" w:rsidRPr="00507A31" w:rsidRDefault="00161BA2" w:rsidP="00507A31">
      <w:pPr>
        <w:jc w:val="both"/>
        <w:rPr>
          <w:color w:val="000000" w:themeColor="text1"/>
          <w:sz w:val="16"/>
          <w:szCs w:val="16"/>
        </w:rPr>
      </w:pPr>
    </w:p>
    <w:p w14:paraId="6B06E285" w14:textId="77777777" w:rsidR="00161BA2" w:rsidRPr="00507A31" w:rsidRDefault="00161BA2" w:rsidP="00507A31">
      <w:pPr>
        <w:jc w:val="both"/>
        <w:rPr>
          <w:color w:val="000000" w:themeColor="text1"/>
          <w:sz w:val="16"/>
          <w:szCs w:val="16"/>
        </w:rPr>
      </w:pPr>
      <w:r w:rsidRPr="00507A31">
        <w:rPr>
          <w:color w:val="000000" w:themeColor="text1"/>
          <w:sz w:val="16"/>
          <w:szCs w:val="16"/>
        </w:rPr>
        <w:t xml:space="preserve">25 июля в 1930 году латвийские пилоты Енкевичс, Озолиньш, Граве, Сапратниекс, Шлейтерс и Крастиньш испытали построенные в Латвии </w:t>
      </w:r>
      <w:hyperlink r:id="rId123" w:tgtFrame="_blank" w:history="1">
        <w:r w:rsidRPr="00507A31">
          <w:rPr>
            <w:color w:val="000000" w:themeColor="text1"/>
            <w:sz w:val="16"/>
            <w:szCs w:val="16"/>
          </w:rPr>
          <w:t xml:space="preserve">«U-12» «Flamingo» </w:t>
        </w:r>
      </w:hyperlink>
      <w:r w:rsidRPr="00507A31">
        <w:rPr>
          <w:color w:val="000000" w:themeColor="text1"/>
          <w:sz w:val="16"/>
          <w:szCs w:val="16"/>
        </w:rPr>
        <w:t>- самолет первоначального обучения летчиков, сконструирован «Udet-Flugzeugbau GmbH Munchen-Ramensdorf» в 1925 году. Использовался знаменитым асом I Мировой Эрнестом Удетом для высшего пилотажа - коронный трюк - поднятие крылом платочка с земли. Серийное производство было начато в 1927 году на заводе «Bayerischen Flugzeugwerken» («BFW») при поддержке фирмы «Messerschmitt». Самолет оказался очень востребован летными школами и к концу 1930-х было построено около 200 экземпляров самолета. Кроме Германии самолеты U-12 производились и за границей. Один самолет был закуплен Латвией, затем производился в 1930 году по лицензии на заводе К.Бакман, затем на военном заводе "Арсенал" и в мастерских авиаполка. Всего построено 7 машин - вместе с закупленным экземпляром эксплуатировались под номерами 76, 77, 86, 87, 89, 95, 96 (14963).</w:t>
      </w:r>
    </w:p>
    <w:p w14:paraId="022CF198" w14:textId="77777777" w:rsidR="00161BA2" w:rsidRPr="00507A31" w:rsidRDefault="00161BA2" w:rsidP="00507A31">
      <w:pPr>
        <w:jc w:val="both"/>
        <w:rPr>
          <w:color w:val="000000" w:themeColor="text1"/>
          <w:sz w:val="16"/>
          <w:szCs w:val="16"/>
        </w:rPr>
      </w:pPr>
    </w:p>
    <w:p w14:paraId="113D0FA4" w14:textId="77777777" w:rsidR="00DD22BD"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E8DBBA1" w14:textId="77777777" w:rsidR="00DD22BD" w:rsidRPr="00507A31" w:rsidRDefault="00DD22BD" w:rsidP="00507A31">
      <w:pPr>
        <w:autoSpaceDE w:val="0"/>
        <w:autoSpaceDN w:val="0"/>
        <w:adjustRightInd w:val="0"/>
        <w:jc w:val="both"/>
        <w:rPr>
          <w:iCs/>
          <w:color w:val="000000" w:themeColor="text1"/>
          <w:sz w:val="16"/>
          <w:szCs w:val="16"/>
        </w:rPr>
      </w:pPr>
    </w:p>
    <w:p w14:paraId="4E63F10B" w14:textId="77777777" w:rsidR="00DD22BD" w:rsidRPr="00507A31" w:rsidRDefault="00DD22BD" w:rsidP="00507A31">
      <w:pPr>
        <w:jc w:val="both"/>
        <w:rPr>
          <w:color w:val="000000" w:themeColor="text1"/>
          <w:sz w:val="16"/>
          <w:szCs w:val="16"/>
        </w:rPr>
      </w:pPr>
      <w:r w:rsidRPr="00507A31">
        <w:rPr>
          <w:color w:val="000000" w:themeColor="text1"/>
          <w:sz w:val="16"/>
          <w:szCs w:val="16"/>
        </w:rPr>
        <w:t xml:space="preserve">25 июля в 1930 году латвийские пилоты Енкевичс, Озолиньш, Граве, Сапратниекс, Шлейтерс и Крастиньш испытали построенные в Латвии </w:t>
      </w:r>
      <w:hyperlink r:id="rId124" w:tgtFrame="_blank" w:history="1">
        <w:r w:rsidRPr="00507A31">
          <w:rPr>
            <w:color w:val="000000" w:themeColor="text1"/>
            <w:sz w:val="16"/>
            <w:szCs w:val="16"/>
          </w:rPr>
          <w:t xml:space="preserve">«U-12» «Flamingo» </w:t>
        </w:r>
      </w:hyperlink>
      <w:r w:rsidRPr="00507A31">
        <w:rPr>
          <w:color w:val="000000" w:themeColor="text1"/>
          <w:sz w:val="16"/>
          <w:szCs w:val="16"/>
        </w:rPr>
        <w:t>- самолет первоначального обучения летчиков, сконструирован «Udet-Flugzeugbau GmbH Munchen-Ramensdorf» в 1925 году. Использовался знаменитым асом I Мировой Эрнестом Удетом для высшего пилотажа - коронный трюк - поднятие крылом платочка с земли. Серийное производство было начато в 1927 году на заводе «Bayerischen Flugzeugwerken» («BFW») при поддержке фирмы «Messerschmitt». Самолет оказался очень востребован летными школами и к концу 1930-х было построено около 200 экземпляров самолета. Кроме Германии самолеты U-12 производились и за границей. Один самолет был закуплен Латвией, затем производился в 1930 году по лицензии на заводе К.Бакман, затем на военном заводе "Арсенал" и в мастерских авиаполка. Всего построено 7 машин - вместе с закупленным экземпляром эксплуатировались под номерами 76, 77, 86, 87, 89, 95, 96 (14963).</w:t>
      </w:r>
    </w:p>
    <w:p w14:paraId="6B232004" w14:textId="77777777" w:rsidR="00DD22BD" w:rsidRPr="00507A31" w:rsidRDefault="00DD22BD" w:rsidP="00507A31">
      <w:pPr>
        <w:jc w:val="both"/>
        <w:rPr>
          <w:color w:val="000000" w:themeColor="text1"/>
          <w:sz w:val="16"/>
          <w:szCs w:val="16"/>
        </w:rPr>
      </w:pPr>
    </w:p>
    <w:p w14:paraId="3D901E4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CE7830E" w14:textId="77777777" w:rsidR="00537E5F" w:rsidRPr="00507A31" w:rsidRDefault="00537E5F" w:rsidP="00507A31">
      <w:pPr>
        <w:autoSpaceDE w:val="0"/>
        <w:autoSpaceDN w:val="0"/>
        <w:adjustRightInd w:val="0"/>
        <w:jc w:val="both"/>
        <w:rPr>
          <w:iCs/>
          <w:color w:val="000000" w:themeColor="text1"/>
          <w:sz w:val="16"/>
          <w:szCs w:val="16"/>
        </w:rPr>
      </w:pPr>
    </w:p>
    <w:p w14:paraId="389B9F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июля 1930 г. в конструкторское бюро ЦАГИ от Управления ВВС поступили Ориентировочные требования на двухместный пушечный истребитель И-12 (АНТ-23), вооруженный двумя 76-мм пушками АПК-4. Позже решено было устанавливать на И-12 100-мм пушки АПК-8.</w:t>
      </w:r>
    </w:p>
    <w:p w14:paraId="454015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проектированию 100-мм пушки АПК-8 Курчевский приступил в начале 1932 г. В некоторых документах ее калибр указывается — 102 мм. Это связано с тем, что в это время в СССР происходил переход с 4-дюймового (102-мм) дореволюционного калибра на калибр закупленных итальянских пушек «Минизини» (100-мм). По устройству АПК-8 мало отличалась от АПК-4. К февралю 1933 г. был изготовлен опытный образец пушки АПК-8. Вес различных вариантов пушки без боекомплекта составлял 375–400 кг. Основным выстрелом пушки была стержневая шрапнель весом 8,0–8,2 кг, но мог применяться и осколочный снаряд. Выстрел унитарный, гильза из нитроткани. Заряд 2,1 кг пороха Г248. Практическая скорострельность 25 выстр/мин. Курчевский в проекте указывал дальность стрельбы 8 км, а в другом месте — 10 км. Естественно, что при стрельбе с самолета по воздушным целям на таких дистанциях вероятность попадания была равна нулю. Кроме дальнего пушечного истребителя (ДИПа), предполагалась установка двух АПК-8 под крылом ТБ-3. Разработка ДИПа началась лишь в 1933 г., после получения в декабре 1932 г. уточненных тактико-технических требований от ВВС.</w:t>
      </w:r>
    </w:p>
    <w:p w14:paraId="468B87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велись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w:t>
      </w:r>
    </w:p>
    <w:p w14:paraId="71DCFF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 (12091).</w:t>
      </w:r>
    </w:p>
    <w:p w14:paraId="463FB716" w14:textId="77777777" w:rsidR="00537E5F" w:rsidRPr="00507A31" w:rsidRDefault="00537E5F" w:rsidP="00507A31">
      <w:pPr>
        <w:autoSpaceDE w:val="0"/>
        <w:autoSpaceDN w:val="0"/>
        <w:adjustRightInd w:val="0"/>
        <w:jc w:val="both"/>
        <w:rPr>
          <w:color w:val="000000" w:themeColor="text1"/>
          <w:sz w:val="16"/>
          <w:szCs w:val="16"/>
        </w:rPr>
      </w:pPr>
    </w:p>
    <w:p w14:paraId="155FB3B7"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color w:val="000000" w:themeColor="text1"/>
          <w:sz w:val="16"/>
          <w:szCs w:val="16"/>
        </w:rPr>
        <w:t>26 июля 1930 Председатель I секции НТК С. В. Ильюшин направил в ЦАГИ летно-тактические требования к самолету И-12, разработанные в двух вариантах:</w:t>
      </w:r>
    </w:p>
    <w:p w14:paraId="137E3C77"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«1-й вариант – одноместный металлический истребитель, вооруженный пушками ДРП.</w:t>
      </w:r>
    </w:p>
    <w:p w14:paraId="6CE2518F"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1. Основное назначение – наступательный воздушный бой со всеми типами неприятельских самолетов, как в своем тылу (оборона пунктов), так и на фронте.</w:t>
      </w:r>
    </w:p>
    <w:p w14:paraId="415FBADC"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2. Метод применения. Полет одиночный. Воздушный бой, основанный на сочетании дальнобойности и мощности артиллерийского огня, скорости и маневре самолета. Боевая высота полета 5000 метров.</w:t>
      </w:r>
    </w:p>
    <w:p w14:paraId="10905095"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3. Требования к самолету:</w:t>
      </w:r>
    </w:p>
    <w:p w14:paraId="0B70229F"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а) Горизонтальная скорость на Н=5000 м – 300 км/ч</w:t>
      </w:r>
    </w:p>
    <w:p w14:paraId="67ECF3F8"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б) Время подъема на Н=5000 м – 10-12 мин</w:t>
      </w:r>
    </w:p>
    <w:p w14:paraId="08585281"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 Практический потолок – не устанавливается</w:t>
      </w:r>
    </w:p>
    <w:p w14:paraId="3F61D76F"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г) Посадочная скорость – ≤ 100 км/ч</w:t>
      </w:r>
    </w:p>
    <w:p w14:paraId="27929C7C"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д) Запас горючего на 0,9 ном. мощн. – 1,5 ч</w:t>
      </w:r>
    </w:p>
    <w:p w14:paraId="3E8A0EBF"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е) Фигурность – как для одноместного истребителя, исключая мертвую петлю и перевороты.</w:t>
      </w:r>
    </w:p>
    <w:p w14:paraId="51649D16"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Вместо отвесного пикирования – крутое до 60° планирование. Штопор не требуется, но вывод из вынужденного (случайного) – обязателен.</w:t>
      </w:r>
    </w:p>
    <w:p w14:paraId="1BEB3DD2"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4. Последовательность требований:</w:t>
      </w:r>
    </w:p>
    <w:p w14:paraId="2AAF5930"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а) скороподъемность;</w:t>
      </w:r>
    </w:p>
    <w:p w14:paraId="23FD4D3F"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б) горизонтальная скорость;</w:t>
      </w:r>
    </w:p>
    <w:p w14:paraId="47893650"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 маневренность.</w:t>
      </w:r>
    </w:p>
    <w:p w14:paraId="75F57F63"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5. Вооружение. Две пушки ДРП – 76,2 мм калибра. Место установки пушки разрабатывается конструктором и согласовывается с НТК УВВС. Количество зарядов – по 24 заряда на пушку, картечного действия. На самолете должен быть прицел по указанию конструктора Курчевского.</w:t>
      </w:r>
    </w:p>
    <w:p w14:paraId="6625017B"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2-й вариант – двухместный металлический истребитель, вооруженный пушкой ДРП.</w:t>
      </w:r>
    </w:p>
    <w:p w14:paraId="34B6CA17"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1. Назначение – наступательный воздушный бой со всеми типами неприятельских самолетов на фронте, в своем и тылу противника. Сопровождение тяжелой бомбардировочной авиации.</w:t>
      </w:r>
    </w:p>
    <w:p w14:paraId="6373983D"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2. Метод применения. Полет одиночный или в строю. Воздушный наступательный или оборонительный бой, основанный на сочетании дальности и мощности артиллерийского огня, скорости и взаимодействии артиллерийского и пулеметного огня.</w:t>
      </w:r>
    </w:p>
    <w:p w14:paraId="64A44BBA"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3. Требования к самолету:</w:t>
      </w:r>
    </w:p>
    <w:p w14:paraId="0DFA0A2C"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а) Горизонтальная скорость на Н=5000 м – 250 км/ч</w:t>
      </w:r>
    </w:p>
    <w:p w14:paraId="4C64E72A"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б) Время подъема на Н=5000 м – 15-20 мин</w:t>
      </w:r>
    </w:p>
    <w:p w14:paraId="56052467"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 Практический потолок – не устанавливается</w:t>
      </w:r>
    </w:p>
    <w:p w14:paraId="1E525DB5"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г) Запас горючего на экспл. скорости 0,8 макс, для дальности полета – 1 000 км</w:t>
      </w:r>
    </w:p>
    <w:p w14:paraId="58E1BDDF"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д) Посадочная скорость – ≤ 100 км/ч</w:t>
      </w:r>
    </w:p>
    <w:p w14:paraId="673DFB09"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е) Фигурность – как для многоместного истребителя, за исключением мертвой петли, переворота и пикирования.</w:t>
      </w:r>
    </w:p>
    <w:p w14:paraId="4FD47F1B"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4. Последовательность требований:</w:t>
      </w:r>
    </w:p>
    <w:p w14:paraId="261D0BCC"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а) грузоподъемность;</w:t>
      </w:r>
    </w:p>
    <w:p w14:paraId="435A548C"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б) горизонтальная скорость;</w:t>
      </w:r>
    </w:p>
    <w:p w14:paraId="7B6A449D"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 маневренность</w:t>
      </w:r>
    </w:p>
    <w:p w14:paraId="36D73F5C"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5. Вооружение:</w:t>
      </w:r>
    </w:p>
    <w:p w14:paraId="7AA67DDE"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а) Одна пушка ДРП калибра 150 мм, устанавливаемая на месте, определенном конструктором и согласованном с НТК УВВС. Наводка на цель всем корпусом самолета. Прицел по указанию конструктора. Количество зарядов 10-15 картечного или бризантного действия.</w:t>
      </w:r>
    </w:p>
    <w:p w14:paraId="6037987F" w14:textId="77777777" w:rsidR="00FA2FAE" w:rsidRPr="00507A31" w:rsidRDefault="00FA2FA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б) Два спаренных пулемета на турели. …» (19172).</w:t>
      </w:r>
    </w:p>
    <w:p w14:paraId="4FE21AE0" w14:textId="77777777" w:rsidR="00FA2FAE" w:rsidRPr="00507A31" w:rsidRDefault="00FA2FAE" w:rsidP="00507A31">
      <w:pPr>
        <w:pStyle w:val="rtejustify"/>
        <w:shd w:val="clear" w:color="auto" w:fill="FFFFFF"/>
        <w:spacing w:before="0" w:after="0"/>
        <w:rPr>
          <w:color w:val="000000" w:themeColor="text1"/>
          <w:sz w:val="16"/>
          <w:szCs w:val="16"/>
        </w:rPr>
      </w:pPr>
    </w:p>
    <w:p w14:paraId="302DDBF1" w14:textId="77777777" w:rsidR="00DD22BD" w:rsidRPr="00507A31" w:rsidRDefault="00DD22BD" w:rsidP="00507A31">
      <w:pPr>
        <w:jc w:val="both"/>
        <w:rPr>
          <w:color w:val="000000" w:themeColor="text1"/>
          <w:sz w:val="16"/>
          <w:szCs w:val="16"/>
        </w:rPr>
      </w:pPr>
      <w:r w:rsidRPr="00507A31">
        <w:rPr>
          <w:color w:val="000000" w:themeColor="text1"/>
          <w:sz w:val="16"/>
          <w:szCs w:val="16"/>
        </w:rPr>
        <w:t>26 июля 1930 Председатель I секции НТК С.В. Ильюшин направил в ЦАГИ лётно-тактиче- ские требования к самолёту И-12, разработанные в двух вариантах:</w:t>
      </w:r>
    </w:p>
    <w:p w14:paraId="6A5B7AD9" w14:textId="77777777" w:rsidR="00DD22BD" w:rsidRPr="00507A31" w:rsidRDefault="00DD22BD" w:rsidP="00507A31">
      <w:pPr>
        <w:jc w:val="both"/>
        <w:rPr>
          <w:color w:val="000000" w:themeColor="text1"/>
          <w:sz w:val="16"/>
          <w:szCs w:val="16"/>
        </w:rPr>
      </w:pPr>
      <w:r w:rsidRPr="00507A31">
        <w:rPr>
          <w:color w:val="000000" w:themeColor="text1"/>
          <w:sz w:val="16"/>
          <w:szCs w:val="16"/>
        </w:rPr>
        <w:t>«1-й вариант — одноместный металлический истребитель, вооружённый пушками ДРП.</w:t>
      </w:r>
    </w:p>
    <w:p w14:paraId="5284CFEA" w14:textId="77777777" w:rsidR="00DD22BD" w:rsidRPr="00507A31" w:rsidRDefault="00DD22BD" w:rsidP="00507A31">
      <w:pPr>
        <w:tabs>
          <w:tab w:val="left" w:pos="503"/>
        </w:tabs>
        <w:jc w:val="both"/>
        <w:rPr>
          <w:color w:val="000000" w:themeColor="text1"/>
          <w:sz w:val="16"/>
          <w:szCs w:val="16"/>
        </w:rPr>
      </w:pPr>
      <w:r w:rsidRPr="00507A31">
        <w:rPr>
          <w:color w:val="000000" w:themeColor="text1"/>
          <w:sz w:val="16"/>
          <w:szCs w:val="16"/>
        </w:rPr>
        <w:t>1. Основное назначение — наступательный воздушный бой со всеми типами непри</w:t>
      </w:r>
      <w:r w:rsidRPr="00507A31">
        <w:rPr>
          <w:color w:val="000000" w:themeColor="text1"/>
          <w:sz w:val="16"/>
          <w:szCs w:val="16"/>
        </w:rPr>
        <w:softHyphen/>
        <w:t>ятельских самолётов, как в своем тылу (оборона пунктов), так и на фронте.</w:t>
      </w:r>
    </w:p>
    <w:p w14:paraId="4C29323A" w14:textId="77777777" w:rsidR="00DD22BD" w:rsidRPr="00507A31" w:rsidRDefault="00DD22BD" w:rsidP="00507A31">
      <w:pPr>
        <w:tabs>
          <w:tab w:val="left" w:pos="518"/>
        </w:tabs>
        <w:jc w:val="both"/>
        <w:rPr>
          <w:color w:val="000000" w:themeColor="text1"/>
          <w:sz w:val="16"/>
          <w:szCs w:val="16"/>
        </w:rPr>
      </w:pPr>
      <w:r w:rsidRPr="00507A31">
        <w:rPr>
          <w:color w:val="000000" w:themeColor="text1"/>
          <w:sz w:val="16"/>
          <w:szCs w:val="16"/>
        </w:rPr>
        <w:t>2. Метод применения. Полёт одиночный. Воздушный бой, основанный на сочетании дальнобойности и мощности артиллерийского огня, скорости и маневре самолёта. Бо</w:t>
      </w:r>
      <w:r w:rsidRPr="00507A31">
        <w:rPr>
          <w:color w:val="000000" w:themeColor="text1"/>
          <w:sz w:val="16"/>
          <w:szCs w:val="16"/>
        </w:rPr>
        <w:softHyphen/>
        <w:t>евая высота полёта 5000 метров.</w:t>
      </w:r>
    </w:p>
    <w:p w14:paraId="6378BC53" w14:textId="77777777" w:rsidR="00DD22BD" w:rsidRPr="00507A31" w:rsidRDefault="00DD22BD" w:rsidP="00507A31">
      <w:pPr>
        <w:tabs>
          <w:tab w:val="left" w:pos="330"/>
        </w:tabs>
        <w:jc w:val="both"/>
        <w:rPr>
          <w:color w:val="000000" w:themeColor="text1"/>
          <w:sz w:val="16"/>
          <w:szCs w:val="16"/>
        </w:rPr>
      </w:pPr>
      <w:r w:rsidRPr="00507A31">
        <w:rPr>
          <w:color w:val="000000" w:themeColor="text1"/>
          <w:sz w:val="16"/>
          <w:szCs w:val="16"/>
        </w:rPr>
        <w:t>3. Требования к самолёту:</w:t>
      </w:r>
    </w:p>
    <w:p w14:paraId="29DDB384" w14:textId="77777777" w:rsidR="00DD22BD" w:rsidRPr="00507A31" w:rsidRDefault="00DD22BD" w:rsidP="00507A31">
      <w:pPr>
        <w:tabs>
          <w:tab w:val="left" w:pos="350"/>
          <w:tab w:val="left" w:pos="5649"/>
        </w:tabs>
        <w:jc w:val="both"/>
        <w:rPr>
          <w:color w:val="000000" w:themeColor="text1"/>
          <w:sz w:val="16"/>
          <w:szCs w:val="16"/>
        </w:rPr>
      </w:pPr>
      <w:r w:rsidRPr="00507A31">
        <w:rPr>
          <w:color w:val="000000" w:themeColor="text1"/>
          <w:sz w:val="16"/>
          <w:szCs w:val="16"/>
        </w:rPr>
        <w:t>а) Горизонтальная скорость на Н=5000 м</w:t>
      </w:r>
      <w:r w:rsidRPr="00507A31">
        <w:rPr>
          <w:color w:val="000000" w:themeColor="text1"/>
          <w:sz w:val="16"/>
          <w:szCs w:val="16"/>
        </w:rPr>
        <w:tab/>
        <w:t>— 300 км/ч</w:t>
      </w:r>
    </w:p>
    <w:p w14:paraId="393C8FFE" w14:textId="77777777" w:rsidR="00DD22BD" w:rsidRPr="00507A31" w:rsidRDefault="00DD22BD" w:rsidP="00507A31">
      <w:pPr>
        <w:tabs>
          <w:tab w:val="left" w:pos="354"/>
          <w:tab w:val="left" w:pos="5644"/>
        </w:tabs>
        <w:jc w:val="both"/>
        <w:rPr>
          <w:color w:val="000000" w:themeColor="text1"/>
          <w:sz w:val="16"/>
          <w:szCs w:val="16"/>
        </w:rPr>
      </w:pPr>
      <w:r w:rsidRPr="00507A31">
        <w:rPr>
          <w:color w:val="000000" w:themeColor="text1"/>
          <w:sz w:val="16"/>
          <w:szCs w:val="16"/>
        </w:rPr>
        <w:t>б) Время подъёма на Н=5000 м</w:t>
      </w:r>
      <w:r w:rsidRPr="00507A31">
        <w:rPr>
          <w:color w:val="000000" w:themeColor="text1"/>
          <w:sz w:val="16"/>
          <w:szCs w:val="16"/>
        </w:rPr>
        <w:tab/>
        <w:t>— 10-12 мин</w:t>
      </w:r>
    </w:p>
    <w:p w14:paraId="636CD039" w14:textId="77777777" w:rsidR="00DD22BD" w:rsidRPr="00507A31" w:rsidRDefault="00DD22BD" w:rsidP="00507A31">
      <w:pPr>
        <w:tabs>
          <w:tab w:val="left" w:pos="335"/>
          <w:tab w:val="left" w:pos="5639"/>
        </w:tabs>
        <w:jc w:val="both"/>
        <w:rPr>
          <w:color w:val="000000" w:themeColor="text1"/>
          <w:sz w:val="16"/>
          <w:szCs w:val="16"/>
        </w:rPr>
      </w:pPr>
      <w:r w:rsidRPr="00507A31">
        <w:rPr>
          <w:color w:val="000000" w:themeColor="text1"/>
          <w:sz w:val="16"/>
          <w:szCs w:val="16"/>
        </w:rPr>
        <w:t>в) Практический потолок</w:t>
      </w:r>
      <w:r w:rsidRPr="00507A31">
        <w:rPr>
          <w:color w:val="000000" w:themeColor="text1"/>
          <w:sz w:val="16"/>
          <w:szCs w:val="16"/>
        </w:rPr>
        <w:tab/>
        <w:t>— не устанавливается</w:t>
      </w:r>
    </w:p>
    <w:p w14:paraId="607D0973" w14:textId="77777777" w:rsidR="00DD22BD" w:rsidRPr="00507A31" w:rsidRDefault="00DD22BD" w:rsidP="00507A31">
      <w:pPr>
        <w:tabs>
          <w:tab w:val="left" w:pos="316"/>
          <w:tab w:val="left" w:pos="5639"/>
        </w:tabs>
        <w:jc w:val="both"/>
        <w:rPr>
          <w:color w:val="000000" w:themeColor="text1"/>
          <w:sz w:val="16"/>
          <w:szCs w:val="16"/>
        </w:rPr>
      </w:pPr>
      <w:r w:rsidRPr="00507A31">
        <w:rPr>
          <w:color w:val="000000" w:themeColor="text1"/>
          <w:sz w:val="16"/>
          <w:szCs w:val="16"/>
        </w:rPr>
        <w:t>г) Посадочная скорость</w:t>
      </w:r>
      <w:r w:rsidRPr="00507A31">
        <w:rPr>
          <w:color w:val="000000" w:themeColor="text1"/>
          <w:sz w:val="16"/>
          <w:szCs w:val="16"/>
        </w:rPr>
        <w:tab/>
        <w:t>—&lt;100 км/ч</w:t>
      </w:r>
    </w:p>
    <w:p w14:paraId="37E06C73" w14:textId="77777777" w:rsidR="00DD22BD" w:rsidRPr="00507A31" w:rsidRDefault="00DD22BD" w:rsidP="00507A31">
      <w:pPr>
        <w:tabs>
          <w:tab w:val="left" w:pos="359"/>
          <w:tab w:val="left" w:pos="5654"/>
        </w:tabs>
        <w:jc w:val="both"/>
        <w:rPr>
          <w:color w:val="000000" w:themeColor="text1"/>
          <w:sz w:val="16"/>
          <w:szCs w:val="16"/>
        </w:rPr>
      </w:pPr>
      <w:r w:rsidRPr="00507A31">
        <w:rPr>
          <w:color w:val="000000" w:themeColor="text1"/>
          <w:sz w:val="16"/>
          <w:szCs w:val="16"/>
        </w:rPr>
        <w:t>д) Запас горючего на 0,9 номинальной мощности</w:t>
      </w:r>
      <w:r w:rsidRPr="00507A31">
        <w:rPr>
          <w:color w:val="000000" w:themeColor="text1"/>
          <w:sz w:val="16"/>
          <w:szCs w:val="16"/>
        </w:rPr>
        <w:tab/>
        <w:t>— 1,5 ч</w:t>
      </w:r>
    </w:p>
    <w:p w14:paraId="37AD524B" w14:textId="77777777" w:rsidR="00DD22BD" w:rsidRPr="00507A31" w:rsidRDefault="00DD22BD" w:rsidP="00507A31">
      <w:pPr>
        <w:tabs>
          <w:tab w:val="left" w:pos="503"/>
        </w:tabs>
        <w:jc w:val="both"/>
        <w:rPr>
          <w:color w:val="000000" w:themeColor="text1"/>
          <w:sz w:val="16"/>
          <w:szCs w:val="16"/>
        </w:rPr>
      </w:pPr>
      <w:r w:rsidRPr="00507A31">
        <w:rPr>
          <w:color w:val="000000" w:themeColor="text1"/>
          <w:sz w:val="16"/>
          <w:szCs w:val="16"/>
        </w:rPr>
        <w:lastRenderedPageBreak/>
        <w:t>е) Фигурность — как для одноместного истребителя, исключая мёртвую петлю и пе</w:t>
      </w:r>
      <w:r w:rsidRPr="00507A31">
        <w:rPr>
          <w:color w:val="000000" w:themeColor="text1"/>
          <w:sz w:val="16"/>
          <w:szCs w:val="16"/>
        </w:rPr>
        <w:softHyphen/>
        <w:t>ревороты. Вместо отвесного пикирования — крутое планирование до 60°, планирова</w:t>
      </w:r>
      <w:r w:rsidRPr="00507A31">
        <w:rPr>
          <w:color w:val="000000" w:themeColor="text1"/>
          <w:sz w:val="16"/>
          <w:szCs w:val="16"/>
        </w:rPr>
        <w:softHyphen/>
        <w:t>ние. Штопор не требуется, но вывод из вынужденного (случайного) — обязателен.</w:t>
      </w:r>
    </w:p>
    <w:p w14:paraId="0F3ACAE9" w14:textId="77777777" w:rsidR="00DD22BD" w:rsidRPr="00507A31" w:rsidRDefault="00DD22BD" w:rsidP="00507A31">
      <w:pPr>
        <w:tabs>
          <w:tab w:val="left" w:pos="345"/>
        </w:tabs>
        <w:jc w:val="both"/>
        <w:rPr>
          <w:color w:val="000000" w:themeColor="text1"/>
          <w:sz w:val="16"/>
          <w:szCs w:val="16"/>
        </w:rPr>
      </w:pPr>
      <w:r w:rsidRPr="00507A31">
        <w:rPr>
          <w:color w:val="000000" w:themeColor="text1"/>
          <w:sz w:val="16"/>
          <w:szCs w:val="16"/>
        </w:rPr>
        <w:t>4. Последовательность требований:</w:t>
      </w:r>
    </w:p>
    <w:p w14:paraId="5D8700F1" w14:textId="77777777" w:rsidR="00DD22BD" w:rsidRPr="00507A31" w:rsidRDefault="00DD22BD" w:rsidP="00507A31">
      <w:pPr>
        <w:jc w:val="both"/>
        <w:rPr>
          <w:color w:val="000000" w:themeColor="text1"/>
          <w:sz w:val="16"/>
          <w:szCs w:val="16"/>
        </w:rPr>
      </w:pPr>
      <w:r w:rsidRPr="00507A31">
        <w:rPr>
          <w:color w:val="000000" w:themeColor="text1"/>
          <w:sz w:val="16"/>
          <w:szCs w:val="16"/>
        </w:rPr>
        <w:t>а) скороподъёмность;</w:t>
      </w:r>
    </w:p>
    <w:p w14:paraId="1F3C1583" w14:textId="77777777" w:rsidR="00DD22BD" w:rsidRPr="00507A31" w:rsidRDefault="00DD22BD" w:rsidP="00507A31">
      <w:pPr>
        <w:jc w:val="both"/>
        <w:rPr>
          <w:color w:val="000000" w:themeColor="text1"/>
          <w:sz w:val="16"/>
          <w:szCs w:val="16"/>
        </w:rPr>
      </w:pPr>
      <w:r w:rsidRPr="00507A31">
        <w:rPr>
          <w:color w:val="000000" w:themeColor="text1"/>
          <w:sz w:val="16"/>
          <w:szCs w:val="16"/>
        </w:rPr>
        <w:t>б) горизонтальная скорость;</w:t>
      </w:r>
    </w:p>
    <w:p w14:paraId="5F121502" w14:textId="77777777" w:rsidR="00DD22BD" w:rsidRPr="00507A31" w:rsidRDefault="00DD22BD" w:rsidP="00507A31">
      <w:pPr>
        <w:jc w:val="both"/>
        <w:rPr>
          <w:color w:val="000000" w:themeColor="text1"/>
          <w:sz w:val="16"/>
          <w:szCs w:val="16"/>
        </w:rPr>
      </w:pPr>
      <w:r w:rsidRPr="00507A31">
        <w:rPr>
          <w:color w:val="000000" w:themeColor="text1"/>
          <w:sz w:val="16"/>
          <w:szCs w:val="16"/>
        </w:rPr>
        <w:t>в) маневренность.</w:t>
      </w:r>
    </w:p>
    <w:p w14:paraId="53BCE66F" w14:textId="77777777" w:rsidR="00DD22BD" w:rsidRPr="00507A31" w:rsidRDefault="00DD22BD" w:rsidP="00507A31">
      <w:pPr>
        <w:tabs>
          <w:tab w:val="left" w:pos="513"/>
        </w:tabs>
        <w:jc w:val="both"/>
        <w:rPr>
          <w:color w:val="000000" w:themeColor="text1"/>
          <w:sz w:val="16"/>
          <w:szCs w:val="16"/>
        </w:rPr>
      </w:pPr>
      <w:r w:rsidRPr="00507A31">
        <w:rPr>
          <w:color w:val="000000" w:themeColor="text1"/>
          <w:sz w:val="16"/>
          <w:szCs w:val="16"/>
        </w:rPr>
        <w:t>5. Вооружение. Две пушки ДРП — 76,2 мм калибра. Место установки пушки разра</w:t>
      </w:r>
      <w:r w:rsidRPr="00507A31">
        <w:rPr>
          <w:color w:val="000000" w:themeColor="text1"/>
          <w:sz w:val="16"/>
          <w:szCs w:val="16"/>
        </w:rPr>
        <w:softHyphen/>
        <w:t>батывается конструктором и согласовывается с НТК УВВС. Количество зарядов — по 24 заряда на пушку картечного действия. На самолёте должен быть прицел по указа</w:t>
      </w:r>
      <w:r w:rsidRPr="00507A31">
        <w:rPr>
          <w:color w:val="000000" w:themeColor="text1"/>
          <w:sz w:val="16"/>
          <w:szCs w:val="16"/>
        </w:rPr>
        <w:softHyphen/>
        <w:t>нию конструктора Курчевского.</w:t>
      </w:r>
    </w:p>
    <w:p w14:paraId="10E12212" w14:textId="77777777" w:rsidR="00DD22BD" w:rsidRPr="00507A31" w:rsidRDefault="00DD22BD" w:rsidP="00507A31">
      <w:pPr>
        <w:jc w:val="both"/>
        <w:rPr>
          <w:color w:val="000000" w:themeColor="text1"/>
          <w:sz w:val="16"/>
          <w:szCs w:val="16"/>
        </w:rPr>
      </w:pPr>
      <w:r w:rsidRPr="00507A31">
        <w:rPr>
          <w:color w:val="000000" w:themeColor="text1"/>
          <w:sz w:val="16"/>
          <w:szCs w:val="16"/>
        </w:rPr>
        <w:t>2-й вариант — двухместный металлический истребитель, вооружённый пушкой ДРП.</w:t>
      </w:r>
    </w:p>
    <w:p w14:paraId="27E4B5AD" w14:textId="77777777" w:rsidR="00DD22BD" w:rsidRPr="00507A31" w:rsidRDefault="00DD22BD" w:rsidP="00507A31">
      <w:pPr>
        <w:tabs>
          <w:tab w:val="left" w:pos="732"/>
        </w:tabs>
        <w:jc w:val="both"/>
        <w:rPr>
          <w:color w:val="000000" w:themeColor="text1"/>
          <w:sz w:val="16"/>
          <w:szCs w:val="16"/>
        </w:rPr>
      </w:pPr>
      <w:r w:rsidRPr="00507A31">
        <w:rPr>
          <w:color w:val="000000" w:themeColor="text1"/>
          <w:sz w:val="16"/>
          <w:szCs w:val="16"/>
        </w:rPr>
        <w:t>1. Назначение — наступательный воздушный бой со всеми типами неприятельских самолётов на фронте, в своем и тылу противника. Сопровождение тяжёлой бомбарди</w:t>
      </w:r>
      <w:r w:rsidRPr="00507A31">
        <w:rPr>
          <w:color w:val="000000" w:themeColor="text1"/>
          <w:sz w:val="16"/>
          <w:szCs w:val="16"/>
        </w:rPr>
        <w:softHyphen/>
        <w:t>ровочной авиации.</w:t>
      </w:r>
    </w:p>
    <w:p w14:paraId="0C1A7CFA" w14:textId="77777777" w:rsidR="00DD22BD" w:rsidRPr="00507A31" w:rsidRDefault="00DD22BD" w:rsidP="00507A31">
      <w:pPr>
        <w:tabs>
          <w:tab w:val="left" w:pos="713"/>
        </w:tabs>
        <w:jc w:val="both"/>
        <w:rPr>
          <w:color w:val="000000" w:themeColor="text1"/>
          <w:sz w:val="16"/>
          <w:szCs w:val="16"/>
        </w:rPr>
      </w:pPr>
      <w:r w:rsidRPr="00507A31">
        <w:rPr>
          <w:color w:val="000000" w:themeColor="text1"/>
          <w:sz w:val="16"/>
          <w:szCs w:val="16"/>
        </w:rPr>
        <w:t>2. Метод применения. Полёт одиночный или в строю. Воздушный наступательный или оборонительный бой, основанный на сочетании дальности и мощности артиллерийского огня, скорости и взаимодействии артиллерийского и пулемётного огня.</w:t>
      </w:r>
    </w:p>
    <w:p w14:paraId="6F392F1A" w14:textId="77777777" w:rsidR="00DD22BD" w:rsidRPr="00507A31" w:rsidRDefault="00DD22BD" w:rsidP="00507A31">
      <w:pPr>
        <w:tabs>
          <w:tab w:val="left" w:pos="626"/>
        </w:tabs>
        <w:jc w:val="both"/>
        <w:rPr>
          <w:color w:val="000000" w:themeColor="text1"/>
          <w:sz w:val="16"/>
          <w:szCs w:val="16"/>
        </w:rPr>
      </w:pPr>
      <w:r w:rsidRPr="00507A31">
        <w:rPr>
          <w:color w:val="000000" w:themeColor="text1"/>
          <w:sz w:val="16"/>
          <w:szCs w:val="16"/>
        </w:rPr>
        <w:t>3. Требования к самолёту:</w:t>
      </w:r>
    </w:p>
    <w:p w14:paraId="7FD0DFB1" w14:textId="77777777" w:rsidR="00DD22BD" w:rsidRPr="00507A31" w:rsidRDefault="00DD22BD" w:rsidP="00507A31">
      <w:pPr>
        <w:tabs>
          <w:tab w:val="left" w:pos="645"/>
          <w:tab w:val="left" w:pos="5944"/>
        </w:tabs>
        <w:jc w:val="both"/>
        <w:rPr>
          <w:color w:val="000000" w:themeColor="text1"/>
          <w:sz w:val="16"/>
          <w:szCs w:val="16"/>
        </w:rPr>
      </w:pPr>
      <w:r w:rsidRPr="00507A31">
        <w:rPr>
          <w:color w:val="000000" w:themeColor="text1"/>
          <w:sz w:val="16"/>
          <w:szCs w:val="16"/>
        </w:rPr>
        <w:t>а) Горизонтальная скорость на Н=5000 м</w:t>
      </w:r>
      <w:r w:rsidRPr="00507A31">
        <w:rPr>
          <w:color w:val="000000" w:themeColor="text1"/>
          <w:sz w:val="16"/>
          <w:szCs w:val="16"/>
        </w:rPr>
        <w:tab/>
        <w:t>— 250 км/ч</w:t>
      </w:r>
    </w:p>
    <w:p w14:paraId="0B229532" w14:textId="77777777" w:rsidR="00DD22BD" w:rsidRPr="00507A31" w:rsidRDefault="00DD22BD" w:rsidP="00507A31">
      <w:pPr>
        <w:tabs>
          <w:tab w:val="left" w:pos="654"/>
          <w:tab w:val="left" w:pos="5949"/>
        </w:tabs>
        <w:jc w:val="both"/>
        <w:rPr>
          <w:color w:val="000000" w:themeColor="text1"/>
          <w:sz w:val="16"/>
          <w:szCs w:val="16"/>
        </w:rPr>
      </w:pPr>
      <w:r w:rsidRPr="00507A31">
        <w:rPr>
          <w:color w:val="000000" w:themeColor="text1"/>
          <w:sz w:val="16"/>
          <w:szCs w:val="16"/>
        </w:rPr>
        <w:t>б) Время подъёма на Н=5000 м</w:t>
      </w:r>
      <w:r w:rsidRPr="00507A31">
        <w:rPr>
          <w:color w:val="000000" w:themeColor="text1"/>
          <w:sz w:val="16"/>
          <w:szCs w:val="16"/>
        </w:rPr>
        <w:tab/>
        <w:t>— 15-20 мин</w:t>
      </w:r>
    </w:p>
    <w:p w14:paraId="48C2576F" w14:textId="77777777" w:rsidR="00DD22BD" w:rsidRPr="00507A31" w:rsidRDefault="00DD22BD" w:rsidP="00507A31">
      <w:pPr>
        <w:tabs>
          <w:tab w:val="left" w:pos="640"/>
          <w:tab w:val="left" w:pos="5944"/>
        </w:tabs>
        <w:jc w:val="both"/>
        <w:rPr>
          <w:color w:val="000000" w:themeColor="text1"/>
          <w:sz w:val="16"/>
          <w:szCs w:val="16"/>
        </w:rPr>
      </w:pPr>
      <w:r w:rsidRPr="00507A31">
        <w:rPr>
          <w:color w:val="000000" w:themeColor="text1"/>
          <w:sz w:val="16"/>
          <w:szCs w:val="16"/>
        </w:rPr>
        <w:t>в) Практический потолок</w:t>
      </w:r>
      <w:r w:rsidRPr="00507A31">
        <w:rPr>
          <w:color w:val="000000" w:themeColor="text1"/>
          <w:sz w:val="16"/>
          <w:szCs w:val="16"/>
        </w:rPr>
        <w:tab/>
        <w:t>— не устанавливается</w:t>
      </w:r>
    </w:p>
    <w:p w14:paraId="62A126F9" w14:textId="77777777" w:rsidR="00DD22BD" w:rsidRPr="00507A31" w:rsidRDefault="00DD22BD" w:rsidP="00507A31">
      <w:pPr>
        <w:tabs>
          <w:tab w:val="left" w:pos="502"/>
        </w:tabs>
        <w:jc w:val="both"/>
        <w:rPr>
          <w:color w:val="000000" w:themeColor="text1"/>
          <w:sz w:val="16"/>
          <w:szCs w:val="16"/>
        </w:rPr>
      </w:pPr>
      <w:r w:rsidRPr="00507A31">
        <w:rPr>
          <w:color w:val="000000" w:themeColor="text1"/>
          <w:sz w:val="16"/>
          <w:szCs w:val="16"/>
        </w:rPr>
        <w:t>г) Запас горючего на экспл. скорости 0,8</w:t>
      </w:r>
      <w:r w:rsidRPr="00507A31">
        <w:rPr>
          <w:color w:val="000000" w:themeColor="text1"/>
          <w:sz w:val="16"/>
          <w:szCs w:val="16"/>
          <w:vertAlign w:val="subscript"/>
        </w:rPr>
        <w:t>макс</w:t>
      </w:r>
      <w:r w:rsidRPr="00507A31">
        <w:rPr>
          <w:color w:val="000000" w:themeColor="text1"/>
          <w:sz w:val="16"/>
          <w:szCs w:val="16"/>
        </w:rPr>
        <w:t xml:space="preserve"> для дальности полёта — 1000 км</w:t>
      </w:r>
    </w:p>
    <w:p w14:paraId="5B60FCA4" w14:textId="77777777" w:rsidR="00DD22BD" w:rsidRPr="00507A31" w:rsidRDefault="00DD22BD" w:rsidP="00507A31">
      <w:pPr>
        <w:tabs>
          <w:tab w:val="left" w:pos="576"/>
        </w:tabs>
        <w:jc w:val="both"/>
        <w:rPr>
          <w:color w:val="000000" w:themeColor="text1"/>
          <w:sz w:val="16"/>
          <w:szCs w:val="16"/>
        </w:rPr>
      </w:pPr>
      <w:r w:rsidRPr="00507A31">
        <w:rPr>
          <w:color w:val="000000" w:themeColor="text1"/>
          <w:sz w:val="16"/>
          <w:szCs w:val="16"/>
        </w:rPr>
        <w:t>д) Посадочная ско</w:t>
      </w:r>
      <w:r w:rsidRPr="00507A31">
        <w:rPr>
          <w:color w:val="000000" w:themeColor="text1"/>
          <w:sz w:val="16"/>
          <w:szCs w:val="16"/>
        </w:rPr>
        <w:softHyphen/>
        <w:t>рость — 1100 км/ч</w:t>
      </w:r>
    </w:p>
    <w:p w14:paraId="32C905C8" w14:textId="77777777" w:rsidR="00DD22BD" w:rsidRPr="00507A31" w:rsidRDefault="00DD22BD" w:rsidP="00507A31">
      <w:pPr>
        <w:tabs>
          <w:tab w:val="left" w:pos="504"/>
        </w:tabs>
        <w:jc w:val="both"/>
        <w:rPr>
          <w:color w:val="000000" w:themeColor="text1"/>
          <w:sz w:val="16"/>
          <w:szCs w:val="16"/>
        </w:rPr>
      </w:pPr>
      <w:r w:rsidRPr="00507A31">
        <w:rPr>
          <w:color w:val="000000" w:themeColor="text1"/>
          <w:sz w:val="16"/>
          <w:szCs w:val="16"/>
        </w:rPr>
        <w:t>е) Фигурность — как для многоместного ис</w:t>
      </w:r>
      <w:r w:rsidRPr="00507A31">
        <w:rPr>
          <w:color w:val="000000" w:themeColor="text1"/>
          <w:sz w:val="16"/>
          <w:szCs w:val="16"/>
        </w:rPr>
        <w:softHyphen/>
        <w:t>требителя, за исключе</w:t>
      </w:r>
      <w:r w:rsidRPr="00507A31">
        <w:rPr>
          <w:color w:val="000000" w:themeColor="text1"/>
          <w:sz w:val="16"/>
          <w:szCs w:val="16"/>
        </w:rPr>
        <w:softHyphen/>
        <w:t>нием мёртвой петли, переворота и пикирова</w:t>
      </w:r>
      <w:r w:rsidRPr="00507A31">
        <w:rPr>
          <w:color w:val="000000" w:themeColor="text1"/>
          <w:sz w:val="16"/>
          <w:szCs w:val="16"/>
        </w:rPr>
        <w:softHyphen/>
        <w:t>ния.</w:t>
      </w:r>
    </w:p>
    <w:p w14:paraId="64EF9A34" w14:textId="77777777" w:rsidR="00DD22BD" w:rsidRPr="00507A31" w:rsidRDefault="00DD22BD" w:rsidP="00507A31">
      <w:pPr>
        <w:tabs>
          <w:tab w:val="left" w:pos="408"/>
        </w:tabs>
        <w:jc w:val="both"/>
        <w:rPr>
          <w:color w:val="000000" w:themeColor="text1"/>
          <w:sz w:val="16"/>
          <w:szCs w:val="16"/>
        </w:rPr>
      </w:pPr>
      <w:r w:rsidRPr="00507A31">
        <w:rPr>
          <w:color w:val="000000" w:themeColor="text1"/>
          <w:sz w:val="16"/>
          <w:szCs w:val="16"/>
        </w:rPr>
        <w:t>4. Последовательность требований:</w:t>
      </w:r>
    </w:p>
    <w:p w14:paraId="56FBA0D8" w14:textId="77777777" w:rsidR="00DD22BD" w:rsidRPr="00507A31" w:rsidRDefault="00DD22BD" w:rsidP="00507A31">
      <w:pPr>
        <w:tabs>
          <w:tab w:val="left" w:pos="245"/>
        </w:tabs>
        <w:jc w:val="both"/>
        <w:rPr>
          <w:color w:val="000000" w:themeColor="text1"/>
          <w:sz w:val="16"/>
          <w:szCs w:val="16"/>
        </w:rPr>
      </w:pPr>
      <w:r w:rsidRPr="00507A31">
        <w:rPr>
          <w:color w:val="000000" w:themeColor="text1"/>
          <w:sz w:val="16"/>
          <w:szCs w:val="16"/>
        </w:rPr>
        <w:t>а) грузоподъёмность;</w:t>
      </w:r>
    </w:p>
    <w:p w14:paraId="0E566426" w14:textId="77777777" w:rsidR="00DD22BD" w:rsidRPr="00507A31" w:rsidRDefault="00DD22BD" w:rsidP="00507A31">
      <w:pPr>
        <w:tabs>
          <w:tab w:val="left" w:pos="1901"/>
        </w:tabs>
        <w:jc w:val="both"/>
        <w:rPr>
          <w:color w:val="000000" w:themeColor="text1"/>
          <w:sz w:val="16"/>
          <w:szCs w:val="16"/>
        </w:rPr>
      </w:pPr>
      <w:r w:rsidRPr="00507A31">
        <w:rPr>
          <w:color w:val="000000" w:themeColor="text1"/>
          <w:sz w:val="16"/>
          <w:szCs w:val="16"/>
        </w:rPr>
        <w:t>б) горизонтальная ско</w:t>
      </w:r>
      <w:r w:rsidRPr="00507A31">
        <w:rPr>
          <w:color w:val="000000" w:themeColor="text1"/>
          <w:sz w:val="16"/>
          <w:szCs w:val="16"/>
        </w:rPr>
        <w:softHyphen/>
        <w:t>рость;</w:t>
      </w:r>
    </w:p>
    <w:p w14:paraId="234CCBF1" w14:textId="77777777" w:rsidR="00DD22BD" w:rsidRPr="00507A31" w:rsidRDefault="00DD22BD" w:rsidP="00507A31">
      <w:pPr>
        <w:tabs>
          <w:tab w:val="left" w:pos="1901"/>
        </w:tabs>
        <w:jc w:val="both"/>
        <w:rPr>
          <w:color w:val="000000" w:themeColor="text1"/>
          <w:sz w:val="16"/>
          <w:szCs w:val="16"/>
        </w:rPr>
      </w:pPr>
      <w:r w:rsidRPr="00507A31">
        <w:rPr>
          <w:color w:val="000000" w:themeColor="text1"/>
          <w:sz w:val="16"/>
          <w:szCs w:val="16"/>
        </w:rPr>
        <w:t>в) маневренность</w:t>
      </w:r>
    </w:p>
    <w:p w14:paraId="543890A0" w14:textId="77777777" w:rsidR="00DD22BD" w:rsidRPr="00507A31" w:rsidRDefault="00DD22BD" w:rsidP="00507A31">
      <w:pPr>
        <w:tabs>
          <w:tab w:val="left" w:pos="240"/>
        </w:tabs>
        <w:jc w:val="both"/>
        <w:rPr>
          <w:color w:val="000000" w:themeColor="text1"/>
          <w:sz w:val="16"/>
          <w:szCs w:val="16"/>
        </w:rPr>
      </w:pPr>
      <w:r w:rsidRPr="00507A31">
        <w:rPr>
          <w:color w:val="000000" w:themeColor="text1"/>
          <w:sz w:val="16"/>
          <w:szCs w:val="16"/>
        </w:rPr>
        <w:t>5. Вооружение:</w:t>
      </w:r>
    </w:p>
    <w:p w14:paraId="19112D2F" w14:textId="77777777" w:rsidR="00DD22BD" w:rsidRPr="00507A31" w:rsidRDefault="00DD22BD" w:rsidP="00507A31">
      <w:pPr>
        <w:tabs>
          <w:tab w:val="left" w:pos="446"/>
        </w:tabs>
        <w:jc w:val="both"/>
        <w:rPr>
          <w:color w:val="000000" w:themeColor="text1"/>
          <w:sz w:val="16"/>
          <w:szCs w:val="16"/>
        </w:rPr>
      </w:pPr>
      <w:r w:rsidRPr="00507A31">
        <w:rPr>
          <w:color w:val="000000" w:themeColor="text1"/>
          <w:sz w:val="16"/>
          <w:szCs w:val="16"/>
        </w:rPr>
        <w:t>а) Одна пушка ДРП ка</w:t>
      </w:r>
      <w:r w:rsidRPr="00507A31">
        <w:rPr>
          <w:color w:val="000000" w:themeColor="text1"/>
          <w:sz w:val="16"/>
          <w:szCs w:val="16"/>
        </w:rPr>
        <w:softHyphen/>
        <w:t>либра 150 мм, устанав</w:t>
      </w:r>
      <w:r w:rsidRPr="00507A31">
        <w:rPr>
          <w:color w:val="000000" w:themeColor="text1"/>
          <w:sz w:val="16"/>
          <w:szCs w:val="16"/>
        </w:rPr>
        <w:softHyphen/>
        <w:t>ливаемая на месте, оп</w:t>
      </w:r>
      <w:r w:rsidRPr="00507A31">
        <w:rPr>
          <w:color w:val="000000" w:themeColor="text1"/>
          <w:sz w:val="16"/>
          <w:szCs w:val="16"/>
        </w:rPr>
        <w:softHyphen/>
        <w:t>ределённым конструкто</w:t>
      </w:r>
      <w:r w:rsidRPr="00507A31">
        <w:rPr>
          <w:color w:val="000000" w:themeColor="text1"/>
          <w:sz w:val="16"/>
          <w:szCs w:val="16"/>
        </w:rPr>
        <w:softHyphen/>
        <w:t>ром и согласованном с НТК УВВС. Наводка на цель всем корпусом са</w:t>
      </w:r>
      <w:r w:rsidRPr="00507A31">
        <w:rPr>
          <w:color w:val="000000" w:themeColor="text1"/>
          <w:sz w:val="16"/>
          <w:szCs w:val="16"/>
        </w:rPr>
        <w:softHyphen/>
        <w:t>молёта. Прицел по ука</w:t>
      </w:r>
      <w:r w:rsidRPr="00507A31">
        <w:rPr>
          <w:color w:val="000000" w:themeColor="text1"/>
          <w:sz w:val="16"/>
          <w:szCs w:val="16"/>
        </w:rPr>
        <w:softHyphen/>
        <w:t>занию конструктора. Ко</w:t>
      </w:r>
      <w:r w:rsidRPr="00507A31">
        <w:rPr>
          <w:color w:val="000000" w:themeColor="text1"/>
          <w:sz w:val="16"/>
          <w:szCs w:val="16"/>
        </w:rPr>
        <w:softHyphen/>
        <w:t>личество зарядов 10-15 картечного или бризант</w:t>
      </w:r>
      <w:r w:rsidRPr="00507A31">
        <w:rPr>
          <w:color w:val="000000" w:themeColor="text1"/>
          <w:sz w:val="16"/>
          <w:szCs w:val="16"/>
        </w:rPr>
        <w:softHyphen/>
        <w:t>ного действия.</w:t>
      </w:r>
    </w:p>
    <w:p w14:paraId="42FF1C7F" w14:textId="77777777" w:rsidR="00DD22BD" w:rsidRPr="00507A31" w:rsidRDefault="00DD22BD" w:rsidP="00507A31">
      <w:pPr>
        <w:tabs>
          <w:tab w:val="left" w:pos="456"/>
        </w:tabs>
        <w:jc w:val="both"/>
        <w:rPr>
          <w:color w:val="000000" w:themeColor="text1"/>
          <w:sz w:val="16"/>
          <w:szCs w:val="16"/>
        </w:rPr>
      </w:pPr>
      <w:r w:rsidRPr="00507A31">
        <w:rPr>
          <w:color w:val="000000" w:themeColor="text1"/>
          <w:sz w:val="16"/>
          <w:szCs w:val="16"/>
        </w:rPr>
        <w:t>б) Два спаренных пу</w:t>
      </w:r>
      <w:r w:rsidRPr="00507A31">
        <w:rPr>
          <w:color w:val="000000" w:themeColor="text1"/>
          <w:sz w:val="16"/>
          <w:szCs w:val="16"/>
        </w:rPr>
        <w:softHyphen/>
        <w:t>лемёта на турели...» (15823).</w:t>
      </w:r>
    </w:p>
    <w:p w14:paraId="4FF5055C" w14:textId="77777777" w:rsidR="00DD22BD" w:rsidRPr="00507A31" w:rsidRDefault="00DD22BD" w:rsidP="00507A31">
      <w:pPr>
        <w:jc w:val="both"/>
        <w:rPr>
          <w:color w:val="000000" w:themeColor="text1"/>
          <w:sz w:val="16"/>
          <w:szCs w:val="16"/>
        </w:rPr>
      </w:pPr>
    </w:p>
    <w:p w14:paraId="05DB70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июля 1930 утвердили макет МДР-2 (92,355). После доработок, так как первое рассмотрение было 4 апреля 1929 (1076,885). Крыло и ГО были от АНТ-9 (71,198).</w:t>
      </w:r>
    </w:p>
    <w:p w14:paraId="4E7286BC" w14:textId="77777777" w:rsidR="00537E5F" w:rsidRPr="00507A31" w:rsidRDefault="00537E5F" w:rsidP="00507A31">
      <w:pPr>
        <w:autoSpaceDE w:val="0"/>
        <w:autoSpaceDN w:val="0"/>
        <w:adjustRightInd w:val="0"/>
        <w:jc w:val="both"/>
        <w:rPr>
          <w:color w:val="000000" w:themeColor="text1"/>
          <w:sz w:val="16"/>
          <w:szCs w:val="16"/>
        </w:rPr>
      </w:pPr>
    </w:p>
    <w:p w14:paraId="1AA7CA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июля 1930 НТК ВВС утвердил первые требования к ДИП (АНТ-29) с 102 мм АПК-8 (1454,22).</w:t>
      </w:r>
    </w:p>
    <w:p w14:paraId="32038E5E" w14:textId="77777777" w:rsidR="00537E5F" w:rsidRPr="00507A31" w:rsidRDefault="00537E5F" w:rsidP="00507A31">
      <w:pPr>
        <w:autoSpaceDE w:val="0"/>
        <w:autoSpaceDN w:val="0"/>
        <w:adjustRightInd w:val="0"/>
        <w:jc w:val="both"/>
        <w:rPr>
          <w:color w:val="000000" w:themeColor="text1"/>
          <w:sz w:val="16"/>
          <w:szCs w:val="16"/>
        </w:rPr>
      </w:pPr>
    </w:p>
    <w:p w14:paraId="4D796F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июля 1930 начали огневые испытания ДРП АПК-1 на Р-1. пушку закрепили на стойках бипланной коробки под углом 11 гр. 45 сек. После первого же выстрела лопнуло полотно на стабилизаторе, а после второго - обшивка в районе кабины наблюдателя и появились трещины в деревянной конструкции. 4-й выстрел привел самолет в полную непригодность и потом испытали на Р-3 N 4052, также с повреждениями самолета (2693,13).</w:t>
      </w:r>
    </w:p>
    <w:p w14:paraId="46AC33E6" w14:textId="77777777" w:rsidR="00537E5F" w:rsidRPr="00507A31" w:rsidRDefault="00537E5F" w:rsidP="00507A31">
      <w:pPr>
        <w:autoSpaceDE w:val="0"/>
        <w:autoSpaceDN w:val="0"/>
        <w:adjustRightInd w:val="0"/>
        <w:jc w:val="both"/>
        <w:rPr>
          <w:color w:val="000000" w:themeColor="text1"/>
          <w:sz w:val="16"/>
          <w:szCs w:val="16"/>
        </w:rPr>
      </w:pPr>
    </w:p>
    <w:p w14:paraId="574FCA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июля 1931 г. приступили к огневым испытаниям АПК-1. Для проведения наземных испытаний установили АПК-1, стал старенький деревянный разведчик Р-1. Пушку закрепили на средних стойках бипланной коробки под углом 11 °45' к горизонтали. После первого же выстрела лопнула полотняная обшивка на стабилизаторе, после второго выстрела обшивка разорвалась в районе кабины лётнаба, после третьего - появились трещины в деревянной конструкции самолёта. Четвёртый выстрел из АПК-1, по отзыву присутствующих, привёл машину в "безусловную негодность". Затем эту пушку установили и испытали на разведчике Р-3 (заводской № 4052), что также привело к заметным повреждениям его конструктивных элементов (12005).</w:t>
      </w:r>
    </w:p>
    <w:p w14:paraId="2B2243E7" w14:textId="77777777" w:rsidR="00537E5F" w:rsidRPr="00507A31" w:rsidRDefault="00537E5F" w:rsidP="00507A31">
      <w:pPr>
        <w:autoSpaceDE w:val="0"/>
        <w:autoSpaceDN w:val="0"/>
        <w:adjustRightInd w:val="0"/>
        <w:jc w:val="both"/>
        <w:rPr>
          <w:color w:val="000000" w:themeColor="text1"/>
          <w:sz w:val="16"/>
          <w:szCs w:val="16"/>
        </w:rPr>
      </w:pPr>
    </w:p>
    <w:p w14:paraId="5C93BD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июля 1930 года была подготовлена выписка из ТЭИ/346/с завода N 22.</w:t>
      </w:r>
    </w:p>
    <w:p w14:paraId="2AC958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Предварительная подготовка для окраски.</w:t>
      </w:r>
    </w:p>
    <w:p w14:paraId="095B7F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Хорошо промыть.</w:t>
      </w:r>
    </w:p>
    <w:p w14:paraId="1623E5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Грунтовку производить полужирной масляной краской со сроком просушки 2-3 дня.</w:t>
      </w:r>
    </w:p>
    <w:p w14:paraId="7A299D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Вторую окраску производить жирной, первосортной лаковой краской, содержащей сиккатив, но м.б. и масляная краска</w:t>
      </w:r>
    </w:p>
    <w:p w14:paraId="299F28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Составы краски.</w:t>
      </w:r>
    </w:p>
    <w:p w14:paraId="59E8B4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Верхняя сторона - темная краска: умбра густо растертая в масле смешанная с зеленой краской и охрой с добавлением 1/3 масляного лака и 2/3 олифы и скипидара и сиккатива.</w:t>
      </w:r>
    </w:p>
    <w:p w14:paraId="4F7057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Нижняя сторона - светлая краска: свинцовые белила густо растворяются в масле, смешиваются с синей и с зеленой краской с добавлением 1/3 масляного лака и 2/3 олифы и скипидара.</w:t>
      </w:r>
    </w:p>
    <w:p w14:paraId="23CE77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Опознавательные знаки: краска составляется из киновари растворенной в масле с незначительным добавлением масляного лака (наносится за 2 раза).</w:t>
      </w:r>
    </w:p>
    <w:p w14:paraId="42DB99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Шасси - черная окраска: первая окраска производится масляной краской, 2-я черной эмалевой.</w:t>
      </w:r>
    </w:p>
    <w:p w14:paraId="7DA0DF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Обтекатели колес окрашиваются обычно авиационной смолой.</w:t>
      </w:r>
    </w:p>
    <w:p w14:paraId="1FB28A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отсутствием планомерности в обеспечении частей красками, заготовленными центром, на местах явочным порядком стали применять разные способы и рецептуры окраски.</w:t>
      </w:r>
    </w:p>
    <w:p w14:paraId="1F718A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окраски самолетов "Дорнье-Валь" - "ЛД" применяется краска следующей рецептуры:</w:t>
      </w:r>
    </w:p>
    <w:p w14:paraId="61D20C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1-ое покрытие - грунтовка цинковыми белилами с олифой</w:t>
      </w:r>
    </w:p>
    <w:p w14:paraId="523DF9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2-ое покрытие - светло-серая краска; белила цинковые - 60%, сажи голландской 1%, ультрамарину - 1,5%, киновари 0,5% и олифы 37% (3232,203-206).</w:t>
      </w:r>
    </w:p>
    <w:p w14:paraId="2E8B597B" w14:textId="77777777" w:rsidR="00537E5F" w:rsidRPr="00507A31" w:rsidRDefault="00537E5F" w:rsidP="00507A31">
      <w:pPr>
        <w:autoSpaceDE w:val="0"/>
        <w:autoSpaceDN w:val="0"/>
        <w:adjustRightInd w:val="0"/>
        <w:jc w:val="both"/>
        <w:rPr>
          <w:color w:val="000000" w:themeColor="text1"/>
          <w:sz w:val="16"/>
          <w:szCs w:val="16"/>
        </w:rPr>
      </w:pPr>
    </w:p>
    <w:p w14:paraId="32F48C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июля 1930 состоялся первый в СССР групповой прыжок 12 парашютистов с Фарман-Голиаф под руководством Л.Г.Минова (438,610).</w:t>
      </w:r>
    </w:p>
    <w:p w14:paraId="6AB10D5A" w14:textId="77777777" w:rsidR="00537E5F" w:rsidRPr="00507A31" w:rsidRDefault="00537E5F" w:rsidP="00507A31">
      <w:pPr>
        <w:autoSpaceDE w:val="0"/>
        <w:autoSpaceDN w:val="0"/>
        <w:adjustRightInd w:val="0"/>
        <w:jc w:val="both"/>
        <w:rPr>
          <w:color w:val="000000" w:themeColor="text1"/>
          <w:sz w:val="16"/>
          <w:szCs w:val="16"/>
        </w:rPr>
      </w:pPr>
    </w:p>
    <w:p w14:paraId="255A3274" w14:textId="77777777" w:rsidR="00DD22BD" w:rsidRPr="00507A31" w:rsidRDefault="00DD22BD" w:rsidP="00507A31">
      <w:pPr>
        <w:jc w:val="both"/>
        <w:rPr>
          <w:color w:val="000000" w:themeColor="text1"/>
          <w:sz w:val="16"/>
          <w:szCs w:val="16"/>
        </w:rPr>
      </w:pPr>
      <w:r w:rsidRPr="00507A31">
        <w:rPr>
          <w:color w:val="000000" w:themeColor="text1"/>
          <w:sz w:val="16"/>
          <w:szCs w:val="16"/>
        </w:rPr>
        <w:t>26 июля в 1930 году участники сбора ВВС под руководством военного летчика Л.Минова в Воронеже совершили первые тренировочные прыжки. Этот день принято считать Днем рождения массового парашютизма (14964).</w:t>
      </w:r>
    </w:p>
    <w:p w14:paraId="104E502E" w14:textId="77777777" w:rsidR="00DD22BD" w:rsidRPr="00507A31" w:rsidRDefault="00DD22BD" w:rsidP="00507A31">
      <w:pPr>
        <w:jc w:val="both"/>
        <w:rPr>
          <w:color w:val="000000" w:themeColor="text1"/>
          <w:sz w:val="16"/>
          <w:szCs w:val="16"/>
        </w:rPr>
      </w:pPr>
    </w:p>
    <w:p w14:paraId="2766A57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7E78FC4" w14:textId="77777777" w:rsidR="00537E5F" w:rsidRPr="00507A31" w:rsidRDefault="00537E5F" w:rsidP="00507A31">
      <w:pPr>
        <w:autoSpaceDE w:val="0"/>
        <w:autoSpaceDN w:val="0"/>
        <w:adjustRightInd w:val="0"/>
        <w:jc w:val="both"/>
        <w:rPr>
          <w:iCs/>
          <w:color w:val="000000" w:themeColor="text1"/>
          <w:sz w:val="16"/>
          <w:szCs w:val="16"/>
        </w:rPr>
      </w:pPr>
    </w:p>
    <w:p w14:paraId="798326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26 июля 1930 было назначено опробование стрельбой вооружения танка. Однако во время движения танка на артиллерийский полигон с боекомплектом 10 снарядов произошел пожар в моторном отделении: загорелся пожароопасный авиационный двигатель М-6. Механик-водитель танка Владимиров остановил машину, помог артиллеристам разгрузить боекомплект, после чего, с помощью ручного огнетушителя сбил пламеня с двигателя, и с помощью песка и собственной одежды погасил пожар. Танк был спасён, однако для продолжения испытаний был необходим ремонт двигателя. После пожара вооружение с танка было демонтировано и снова установлено на Т-12, а испытания Т-24 были временно прекращены (10710).</w:t>
      </w:r>
    </w:p>
    <w:p w14:paraId="3768BD3D" w14:textId="77777777" w:rsidR="00537E5F" w:rsidRPr="00507A31" w:rsidRDefault="00537E5F" w:rsidP="00507A31">
      <w:pPr>
        <w:autoSpaceDE w:val="0"/>
        <w:autoSpaceDN w:val="0"/>
        <w:adjustRightInd w:val="0"/>
        <w:jc w:val="both"/>
        <w:rPr>
          <w:iCs/>
          <w:color w:val="000000" w:themeColor="text1"/>
          <w:sz w:val="16"/>
          <w:szCs w:val="16"/>
        </w:rPr>
      </w:pPr>
    </w:p>
    <w:p w14:paraId="4830A4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 июля 1930 г. у танка Т-24, двигав</w:t>
      </w:r>
      <w:r w:rsidRPr="00507A31">
        <w:rPr>
          <w:color w:val="000000" w:themeColor="text1"/>
          <w:sz w:val="16"/>
          <w:szCs w:val="16"/>
        </w:rPr>
        <w:softHyphen/>
        <w:t>шегося по мягкому грунту с орудием и боекомплектом в 10 снарядов, вдруг загорелся двигатель. «...Тов. Владимиров остановил танк, помог экипажу покинуть машину, открыл мотор и сбил 75% пламени штатным огнетушителем, после чего одел противогаз и, забравшись в моторное отделение, полностью потушил огонь песком и собственной одеждой...» — так описывается этот случай в донесении о происшествии Наркомвоенмору тов. Ворошилову. Танк спасли, но для даль</w:t>
      </w:r>
      <w:r w:rsidRPr="00507A31">
        <w:rPr>
          <w:color w:val="000000" w:themeColor="text1"/>
          <w:sz w:val="16"/>
          <w:szCs w:val="16"/>
        </w:rPr>
        <w:softHyphen/>
        <w:t>нейших испытаний требовался его ремонт. Башня с вооружением вновь вернулась на Т-12, где орудие было благополучно сломано. Кстати, 45-мм пушка Соколова, установленная в 1930 г. в танке как временная мера до освоения 45-мм «системы ОАТ танковой полуавто</w:t>
      </w:r>
      <w:r w:rsidRPr="00507A31">
        <w:rPr>
          <w:color w:val="000000" w:themeColor="text1"/>
          <w:sz w:val="16"/>
          <w:szCs w:val="16"/>
        </w:rPr>
        <w:softHyphen/>
        <w:t>матической пушки ГУВП обр. 1925 г.», утвержденной Жур</w:t>
      </w:r>
      <w:r w:rsidRPr="00507A31">
        <w:rPr>
          <w:color w:val="000000" w:themeColor="text1"/>
          <w:sz w:val="16"/>
          <w:szCs w:val="16"/>
        </w:rPr>
        <w:softHyphen/>
        <w:t>налом Арткома от 18.6.1926 № 693, оказалась очень неудач</w:t>
      </w:r>
      <w:r w:rsidRPr="00507A31">
        <w:rPr>
          <w:color w:val="000000" w:themeColor="text1"/>
          <w:sz w:val="16"/>
          <w:szCs w:val="16"/>
        </w:rPr>
        <w:softHyphen/>
        <w:t>ной для танка, и потому практически не производилась (есть предположение, что было выпущено всего два 45-мм танковых орудия Соколова). Пушка же системы ОАТ осва</w:t>
      </w:r>
      <w:r w:rsidRPr="00507A31">
        <w:rPr>
          <w:color w:val="000000" w:themeColor="text1"/>
          <w:sz w:val="16"/>
          <w:szCs w:val="16"/>
        </w:rPr>
        <w:softHyphen/>
        <w:t>ивалась заводом № 8 еще почти два года. Проектировани</w:t>
      </w:r>
      <w:r w:rsidRPr="00507A31">
        <w:rPr>
          <w:color w:val="000000" w:themeColor="text1"/>
          <w:sz w:val="16"/>
          <w:szCs w:val="16"/>
        </w:rPr>
        <w:softHyphen/>
        <w:t>ем же 57-мм (или 60-мм) танковой гаубицы занимался П. Сячинтов. Он создал революционную для своего време</w:t>
      </w:r>
      <w:r w:rsidRPr="00507A31">
        <w:rPr>
          <w:color w:val="000000" w:themeColor="text1"/>
          <w:sz w:val="16"/>
          <w:szCs w:val="16"/>
        </w:rPr>
        <w:softHyphen/>
        <w:t>ни конструкцию, однако заказ на ее изготовление подтвер</w:t>
      </w:r>
      <w:r w:rsidRPr="00507A31">
        <w:rPr>
          <w:color w:val="000000" w:themeColor="text1"/>
          <w:sz w:val="16"/>
          <w:szCs w:val="16"/>
        </w:rPr>
        <w:softHyphen/>
        <w:t>жден не был и многие технические решения, заложенные в ней, увидели свет только в 76,2-мм пушке ПС-3. Серийным производством Т-24 должны были занимать</w:t>
      </w:r>
      <w:r w:rsidRPr="00507A31">
        <w:rPr>
          <w:color w:val="000000" w:themeColor="text1"/>
          <w:sz w:val="16"/>
          <w:szCs w:val="16"/>
        </w:rPr>
        <w:softHyphen/>
        <w:t xml:space="preserve">ся ХПЗ и ЧТЗ. На 1930—31 г. был запланирован выпуск 200 машин, но, как было модно в те годы, руководством ГУВП были приняты встречные обязательства, и план вырос до </w:t>
      </w:r>
      <w:r w:rsidRPr="00507A31">
        <w:rPr>
          <w:color w:val="000000" w:themeColor="text1"/>
          <w:sz w:val="16"/>
          <w:szCs w:val="16"/>
        </w:rPr>
        <w:lastRenderedPageBreak/>
        <w:t>300. Произвели же их много меньше — 25 шт. (28 шасси, 25 броне-корпусов и 26 башен). Почему? Принято считать, что танк обладал рядом серьезных недостатков, помешавших его мас</w:t>
      </w:r>
      <w:r w:rsidRPr="00507A31">
        <w:rPr>
          <w:color w:val="000000" w:themeColor="text1"/>
          <w:sz w:val="16"/>
          <w:szCs w:val="16"/>
        </w:rPr>
        <w:softHyphen/>
        <w:t>совому производству, но дело скорее всего том, что в высо</w:t>
      </w:r>
      <w:r w:rsidRPr="00507A31">
        <w:rPr>
          <w:color w:val="000000" w:themeColor="text1"/>
          <w:sz w:val="16"/>
          <w:szCs w:val="16"/>
        </w:rPr>
        <w:softHyphen/>
        <w:t>кой степени готовности уже был танк Эдварда Гроте ТГ, счи</w:t>
      </w:r>
      <w:r w:rsidRPr="00507A31">
        <w:rPr>
          <w:color w:val="000000" w:themeColor="text1"/>
          <w:sz w:val="16"/>
          <w:szCs w:val="16"/>
        </w:rPr>
        <w:softHyphen/>
        <w:t>тавшийся более предпочтительным (10733,107).</w:t>
      </w:r>
    </w:p>
    <w:p w14:paraId="0D2780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F856F5F" w14:textId="77777777" w:rsidR="00580BBE" w:rsidRPr="00507A31" w:rsidRDefault="00580BBE" w:rsidP="00507A31">
      <w:pPr>
        <w:jc w:val="both"/>
        <w:rPr>
          <w:color w:val="000000" w:themeColor="text1"/>
          <w:sz w:val="16"/>
          <w:szCs w:val="16"/>
          <w:shd w:val="clear" w:color="auto" w:fill="FFFFFF"/>
        </w:rPr>
      </w:pPr>
      <w:r w:rsidRPr="00507A31">
        <w:rPr>
          <w:color w:val="000000" w:themeColor="text1"/>
          <w:sz w:val="16"/>
          <w:szCs w:val="16"/>
          <w:shd w:val="clear" w:color="auto" w:fill="FFFFFF"/>
        </w:rPr>
        <w:t>26 июля 1930 года у танка Т-24, двигавшегося по мягкому грунту с орудием и боекомплектом в 10 снарядов, вдруг загорелся двигатель. "… тов. Владимиров остановил танк, помог экипажу покинуть машину, открыл мотор и сбил 75% пламени штатным огнетушителем, после чего одел противогаз и, забравшись в моторное отделение, полностью потушил огонь песком и собственной одеждой..." - так описывается этот случай в донесении о происшествии Наркомвоенмору тов. Ворошилову. Танк был спасен, но для дальнейших испытаний был необходим его ремонт. Башня с вооружением вновь вернулась на Т-12, где орудие было сломано. Кстати 45-мм пушка Соколова, установленная в 1930 г. в танке как временная мера до освоения 45-мм "системы ОАТ танковой полуавтоматической пушки ГУВП обр. 1925 г. утвержденной Журналом Арткома от 18.6.1926 №693", оказалась очень неудачной для танка и потому она практически не производилось (есть предположение, что было выпущено всего два 45-мм танковых орудия Соколова). Пушка же системы ОАТ осваивалась заводом №8 еще почти два года. Проектированием 57-мм гаубицы занимался П. Сячинтов. Он создал для своего времени революционную конструкцию, однако заказ на ее изготовление подтвержден не был и многие технические решения, заложенные в ней, увидели свет только в 76,2-мм пушке ПС-3. Серийным производством Т-24 должны были заниматься ХПЗ и ЧТЗ. На 1930/31 год был запланирован выпуск 200 машин, но как было модно в те годы, руководством ГУВП были приняты встречные обязательства и план вырос до 300. Произвели же их много меньше - 24 танка (28 шасси, 25 бронекорпусов и 26 башен) (19553).</w:t>
      </w:r>
    </w:p>
    <w:p w14:paraId="7D0E781C" w14:textId="77777777" w:rsidR="00580BBE" w:rsidRPr="00507A31" w:rsidRDefault="00580BBE" w:rsidP="00507A31">
      <w:pPr>
        <w:jc w:val="both"/>
        <w:rPr>
          <w:color w:val="000000" w:themeColor="text1"/>
          <w:sz w:val="16"/>
          <w:szCs w:val="16"/>
          <w:shd w:val="clear" w:color="auto" w:fill="FFFFFF"/>
        </w:rPr>
      </w:pPr>
    </w:p>
    <w:p w14:paraId="2F22B9E4" w14:textId="77777777" w:rsidR="00661719" w:rsidRPr="00507A31" w:rsidRDefault="00661719" w:rsidP="00507A31">
      <w:pPr>
        <w:jc w:val="both"/>
        <w:rPr>
          <w:color w:val="000000" w:themeColor="text1"/>
          <w:sz w:val="16"/>
          <w:szCs w:val="16"/>
        </w:rPr>
      </w:pPr>
      <w:r w:rsidRPr="00507A31">
        <w:rPr>
          <w:color w:val="000000" w:themeColor="text1"/>
          <w:sz w:val="16"/>
          <w:szCs w:val="16"/>
        </w:rPr>
        <w:t>26 июля 1930 г. были направлены указания начальника 1 -го отдела ТУ УММ Моргунова председателю правления Машино-объединения и военпреду ХПЗ, которыми предписывалось: «Одному из танков Т-24 - Т-12) первой партии в 15 штук надлежит присвоить наименование «имени Лепсе».О дне готовности первого танка. С указанием его номера, из пятнадцати, к сдаче его в часть прошу меня уведомить.Надпись «имени Лепсе» сделать на башне танка красной краской».К 1938 г. танки Т-24 как устаревшие передали на склады. В апреле 1938 г., согласно проекту постановления Главного совета РККА «Об использовании имеющихся в РККА несерийных старых типов танков», в отношении танков Т-24 говорилось: «3. Передать Укрепрайонам Округов и НКВМФ для использования на огневых точках танков: Т-18 - 860 шт., Т-24 -22шт., втомчисле 160танков Т-18, использо-ванных на это дело в 1936 г. вЛВО». Таким образом, танки Т-24 предписывалось использовать для создания неподвижных огневых точек. К началу Великой Отечественной войны большая часть этих машин была переоборудована согласно своему новому назначению. Однако установить их в укрепрайонах не успели, и все эти машины вместе другими аналогичными огневыми точками из танков МС-1 были захвачены в местах их последней дислокации.Танк Т-24 оказался довольно сложной и дорогой машиной с большим количеством недостатков. Тем не менее он сыграл важную роль в становлении отечественного танкостроения, став своеобразной школой по подготовке кадров конструкторов, технологов и производственников, обеспечивших создание одного из ведущих конструкторских бюро отрасли и танкового производства на ХПЗ в предвоенные годы (12303).</w:t>
      </w:r>
    </w:p>
    <w:p w14:paraId="62423312" w14:textId="77777777" w:rsidR="00661719" w:rsidRPr="00507A31" w:rsidRDefault="00661719" w:rsidP="00507A31">
      <w:pPr>
        <w:jc w:val="both"/>
        <w:rPr>
          <w:color w:val="000000" w:themeColor="text1"/>
          <w:sz w:val="16"/>
          <w:szCs w:val="16"/>
        </w:rPr>
      </w:pPr>
    </w:p>
    <w:p w14:paraId="20AE32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26 июля 1930 года, в 9 час. утра Заместитель народного комиссара НКВМ т. Уборевич назначил демонстрацию и испытания по вездеходным типам автомашин, автотягачам и тракторам. На основании вышеизложенного приказываю:</w:t>
      </w:r>
    </w:p>
    <w:p w14:paraId="55C7AC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Демонстрировать опытную автотракторную колонну.</w:t>
      </w:r>
    </w:p>
    <w:p w14:paraId="683B62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Местом демонстрации назначаю территорию Научно-испытательного инженерного полигона ВТУ (ст. Нахабино).</w:t>
      </w:r>
    </w:p>
    <w:p w14:paraId="492F27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Место испытания - территория правой стороны шоссе, против базы Полигона.</w:t>
      </w:r>
    </w:p>
    <w:p w14:paraId="3117EC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На время демонстрации командующим колонной назначается Начальник 2 отдела Технического управления УММ т. Федотов, его помощником - т. Кульчицкий.</w:t>
      </w:r>
    </w:p>
    <w:p w14:paraId="7DDA8C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Члены технического комитета УММ т. Сквирский, т. Карачан должны прибыть к месту демонстрации и участвовать в демонстрации по подразделениям типа класса автомашин, автотягачей, тракторов,</w:t>
      </w:r>
    </w:p>
    <w:p w14:paraId="44473C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На демонстрации присутствовать начальнику 1 управления т. Окулич, начальнику 1 отдела 2 управления т. Моргунову, начальнику 2 отдела 1 управления т. Давыдову и пом. начальника 1 отдела 1 управления т. Пушкину.</w:t>
      </w:r>
    </w:p>
    <w:p w14:paraId="7BDD52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Колонна должна быть построена к 8 часам утра в указанном выше месте; к этому же срок; прибыть всем поименованным лицам.</w:t>
      </w:r>
    </w:p>
    <w:p w14:paraId="74BCBB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Механизированных войск РР</w:t>
      </w:r>
    </w:p>
    <w:p w14:paraId="076BAA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Халепс</w:t>
      </w:r>
    </w:p>
    <w:p w14:paraId="487BF5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84. Л. 2. Копия (11210).</w:t>
      </w:r>
    </w:p>
    <w:p w14:paraId="5697C46B" w14:textId="77777777" w:rsidR="00537E5F" w:rsidRPr="00507A31" w:rsidRDefault="00537E5F" w:rsidP="00507A31">
      <w:pPr>
        <w:autoSpaceDE w:val="0"/>
        <w:autoSpaceDN w:val="0"/>
        <w:adjustRightInd w:val="0"/>
        <w:jc w:val="both"/>
        <w:rPr>
          <w:color w:val="000000" w:themeColor="text1"/>
          <w:sz w:val="16"/>
          <w:szCs w:val="16"/>
        </w:rPr>
      </w:pPr>
    </w:p>
    <w:p w14:paraId="175725D9" w14:textId="77777777" w:rsidR="00661719" w:rsidRPr="00507A31" w:rsidRDefault="00661719" w:rsidP="00507A31">
      <w:pPr>
        <w:jc w:val="both"/>
        <w:rPr>
          <w:color w:val="000000" w:themeColor="text1"/>
          <w:sz w:val="16"/>
          <w:szCs w:val="16"/>
          <w:u w:color="002060"/>
        </w:rPr>
      </w:pPr>
      <w:r w:rsidRPr="00507A31">
        <w:rPr>
          <w:color w:val="000000" w:themeColor="text1"/>
          <w:sz w:val="16"/>
          <w:szCs w:val="16"/>
          <w:u w:color="002060"/>
        </w:rPr>
        <w:t>26 июля</w:t>
      </w:r>
      <w:r w:rsidRPr="00507A31">
        <w:rPr>
          <w:color w:val="000000" w:themeColor="text1"/>
          <w:sz w:val="16"/>
          <w:szCs w:val="16"/>
        </w:rPr>
        <w:t xml:space="preserve"> 1930 г</w:t>
      </w:r>
      <w:r w:rsidRPr="00507A31">
        <w:rPr>
          <w:color w:val="000000" w:themeColor="text1"/>
          <w:sz w:val="16"/>
          <w:szCs w:val="16"/>
          <w:u w:color="002060"/>
        </w:rPr>
        <w:t>. Постановление № 113 СТО СССР о ввозе машин, механизмов, двигателей и металлов для судостроения (ГА РФ. Ф. 5674. Оп. 1. Д. 42. Л. 161) (12415).</w:t>
      </w:r>
    </w:p>
    <w:p w14:paraId="0553BBAB" w14:textId="77777777" w:rsidR="00661719" w:rsidRPr="00507A31" w:rsidRDefault="00661719" w:rsidP="00507A31">
      <w:pPr>
        <w:jc w:val="both"/>
        <w:rPr>
          <w:color w:val="000000" w:themeColor="text1"/>
          <w:sz w:val="16"/>
          <w:szCs w:val="16"/>
          <w:u w:color="002060"/>
        </w:rPr>
      </w:pPr>
      <w:r w:rsidRPr="00507A31">
        <w:rPr>
          <w:color w:val="000000" w:themeColor="text1"/>
          <w:sz w:val="16"/>
          <w:szCs w:val="16"/>
          <w:u w:color="002060"/>
        </w:rPr>
        <w:t>Постановление РЗ СТО СССР о директивах и лимитах к построению оборонных контрольных цифр промышленности на 1930/31 г. (РГАЭ. Ф. 4372. Оп. 91. Д. 555. Л. 126?120) (12415).</w:t>
      </w:r>
    </w:p>
    <w:p w14:paraId="78534DAF" w14:textId="77777777" w:rsidR="00661719" w:rsidRPr="00507A31" w:rsidRDefault="00661719" w:rsidP="00507A31">
      <w:pPr>
        <w:jc w:val="both"/>
        <w:rPr>
          <w:color w:val="000000" w:themeColor="text1"/>
          <w:sz w:val="16"/>
          <w:szCs w:val="16"/>
          <w:u w:color="002060"/>
        </w:rPr>
      </w:pPr>
    </w:p>
    <w:p w14:paraId="2ED8261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53B03F9" w14:textId="77777777" w:rsidR="00537E5F" w:rsidRPr="00507A31" w:rsidRDefault="00537E5F" w:rsidP="00507A31">
      <w:pPr>
        <w:autoSpaceDE w:val="0"/>
        <w:autoSpaceDN w:val="0"/>
        <w:adjustRightInd w:val="0"/>
        <w:jc w:val="both"/>
        <w:rPr>
          <w:iCs/>
          <w:color w:val="000000" w:themeColor="text1"/>
          <w:sz w:val="16"/>
          <w:szCs w:val="16"/>
        </w:rPr>
      </w:pPr>
    </w:p>
    <w:p w14:paraId="34142E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июля 1930 Алтайский край. Провал новой попытки кулацкого мятежа в с.Усть-Пристань под руководством Т.Геримовича. В ночь на 27 июля ОГПУ было арестовано 310 человек: 150 кулаков, 83 середняка, 23 бедняка, 2 батрака, 27 служащих, 8 кустарей; среди арестованных - 35 бывших красных партизан, 9 членов ВКП(б), 3 комсомольца (10687).</w:t>
      </w:r>
    </w:p>
    <w:p w14:paraId="05429301" w14:textId="77777777" w:rsidR="00537E5F" w:rsidRPr="00507A31" w:rsidRDefault="00537E5F" w:rsidP="00507A31">
      <w:pPr>
        <w:autoSpaceDE w:val="0"/>
        <w:autoSpaceDN w:val="0"/>
        <w:adjustRightInd w:val="0"/>
        <w:jc w:val="both"/>
        <w:rPr>
          <w:color w:val="000000" w:themeColor="text1"/>
          <w:sz w:val="16"/>
          <w:szCs w:val="16"/>
        </w:rPr>
      </w:pPr>
    </w:p>
    <w:p w14:paraId="660E473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CCE9EC9" w14:textId="77777777" w:rsidR="00537E5F" w:rsidRPr="00507A31" w:rsidRDefault="00537E5F" w:rsidP="00507A31">
      <w:pPr>
        <w:autoSpaceDE w:val="0"/>
        <w:autoSpaceDN w:val="0"/>
        <w:adjustRightInd w:val="0"/>
        <w:jc w:val="both"/>
        <w:rPr>
          <w:iCs/>
          <w:color w:val="000000" w:themeColor="text1"/>
          <w:sz w:val="16"/>
          <w:szCs w:val="16"/>
        </w:rPr>
      </w:pPr>
    </w:p>
    <w:p w14:paraId="2DAE59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июля 1930 у И.П.Уборевича состоялось совещание "Об авиапромышленности". Еще рассматривали вопрос "О структуре ВАО без коренной ломки" (1028,94).</w:t>
      </w:r>
    </w:p>
    <w:p w14:paraId="14A8190A" w14:textId="77777777" w:rsidR="00537E5F" w:rsidRPr="00507A31" w:rsidRDefault="00537E5F" w:rsidP="00507A31">
      <w:pPr>
        <w:autoSpaceDE w:val="0"/>
        <w:autoSpaceDN w:val="0"/>
        <w:adjustRightInd w:val="0"/>
        <w:jc w:val="both"/>
        <w:rPr>
          <w:color w:val="000000" w:themeColor="text1"/>
          <w:sz w:val="16"/>
          <w:szCs w:val="16"/>
        </w:rPr>
      </w:pPr>
    </w:p>
    <w:p w14:paraId="0FD5419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3421719" w14:textId="77777777" w:rsidR="00537E5F" w:rsidRPr="00507A31" w:rsidRDefault="00537E5F" w:rsidP="00507A31">
      <w:pPr>
        <w:autoSpaceDE w:val="0"/>
        <w:autoSpaceDN w:val="0"/>
        <w:adjustRightInd w:val="0"/>
        <w:jc w:val="both"/>
        <w:rPr>
          <w:iCs/>
          <w:color w:val="000000" w:themeColor="text1"/>
          <w:sz w:val="16"/>
          <w:szCs w:val="16"/>
        </w:rPr>
      </w:pPr>
    </w:p>
    <w:p w14:paraId="197CDA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июля как и 24 мая 1930 г. в Берлине состоялась передача рабочих чертежей колесно-гусеничного танка;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(11784).</w:t>
      </w:r>
    </w:p>
    <w:p w14:paraId="65D24282" w14:textId="77777777" w:rsidR="00537E5F" w:rsidRPr="00507A31" w:rsidRDefault="00537E5F" w:rsidP="00507A31">
      <w:pPr>
        <w:autoSpaceDE w:val="0"/>
        <w:autoSpaceDN w:val="0"/>
        <w:adjustRightInd w:val="0"/>
        <w:jc w:val="both"/>
        <w:rPr>
          <w:color w:val="000000" w:themeColor="text1"/>
          <w:sz w:val="16"/>
          <w:szCs w:val="16"/>
        </w:rPr>
      </w:pPr>
    </w:p>
    <w:p w14:paraId="4E4E577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E7E025D" w14:textId="77777777" w:rsidR="00537E5F" w:rsidRPr="00507A31" w:rsidRDefault="00537E5F" w:rsidP="00507A31">
      <w:pPr>
        <w:autoSpaceDE w:val="0"/>
        <w:autoSpaceDN w:val="0"/>
        <w:adjustRightInd w:val="0"/>
        <w:jc w:val="both"/>
        <w:rPr>
          <w:iCs/>
          <w:color w:val="000000" w:themeColor="text1"/>
          <w:sz w:val="16"/>
          <w:szCs w:val="16"/>
        </w:rPr>
      </w:pPr>
    </w:p>
    <w:p w14:paraId="332D81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июля 1930 Алтайский край. В перестрелке с отрядом милиции у с.Усть-Пристань погибли руководители восстания Т.Геримович, И.Сериков и А.Чуриков. В этом бою был убит и помощник уполномоченного ОГПУ по Усть-Пристанскому району Левачев (10687).</w:t>
      </w:r>
    </w:p>
    <w:p w14:paraId="73E025A4" w14:textId="77777777" w:rsidR="00537E5F" w:rsidRPr="00507A31" w:rsidRDefault="00537E5F" w:rsidP="00507A31">
      <w:pPr>
        <w:autoSpaceDE w:val="0"/>
        <w:autoSpaceDN w:val="0"/>
        <w:adjustRightInd w:val="0"/>
        <w:jc w:val="both"/>
        <w:rPr>
          <w:color w:val="000000" w:themeColor="text1"/>
          <w:sz w:val="16"/>
          <w:szCs w:val="16"/>
        </w:rPr>
      </w:pPr>
    </w:p>
    <w:p w14:paraId="7910EBE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936E958" w14:textId="77777777" w:rsidR="00537E5F" w:rsidRPr="00507A31" w:rsidRDefault="00537E5F" w:rsidP="00507A31">
      <w:pPr>
        <w:autoSpaceDE w:val="0"/>
        <w:autoSpaceDN w:val="0"/>
        <w:adjustRightInd w:val="0"/>
        <w:jc w:val="both"/>
        <w:rPr>
          <w:iCs/>
          <w:color w:val="000000" w:themeColor="text1"/>
          <w:sz w:val="16"/>
          <w:szCs w:val="16"/>
        </w:rPr>
      </w:pPr>
    </w:p>
    <w:p w14:paraId="6AA28226" w14:textId="77777777" w:rsidR="00DD22BD" w:rsidRPr="00507A31" w:rsidRDefault="00DD22BD" w:rsidP="00507A31">
      <w:pPr>
        <w:jc w:val="both"/>
        <w:rPr>
          <w:color w:val="000000" w:themeColor="text1"/>
          <w:sz w:val="16"/>
          <w:szCs w:val="16"/>
        </w:rPr>
      </w:pPr>
      <w:r w:rsidRPr="00507A31">
        <w:rPr>
          <w:color w:val="000000" w:themeColor="text1"/>
          <w:sz w:val="16"/>
          <w:szCs w:val="16"/>
        </w:rPr>
        <w:t xml:space="preserve">27 июля в 1930 году начались испытания первого прототипа «S-616.1.» нового чешского легкого разведчика-бомбардировщика </w:t>
      </w:r>
      <w:hyperlink r:id="rId125" w:tgtFrame="_blank" w:history="1">
        <w:r w:rsidRPr="00507A31">
          <w:rPr>
            <w:color w:val="000000" w:themeColor="text1"/>
            <w:sz w:val="16"/>
            <w:szCs w:val="16"/>
          </w:rPr>
          <w:t xml:space="preserve">«LETOV SMOLIK»» S.16». </w:t>
        </w:r>
      </w:hyperlink>
      <w:r w:rsidRPr="00507A31">
        <w:rPr>
          <w:color w:val="000000" w:themeColor="text1"/>
          <w:sz w:val="16"/>
          <w:szCs w:val="16"/>
        </w:rPr>
        <w:t>Ничего неординарного в самолёте не было - по схеме он представлял собой обычный расчалочный биплан деревянной конструкции, двухместной кабиной пилотов и неубираемым шасси. Никаких существенных переделок в хорошо себя зарекомендовавшей конструкции проводить не стали. Изменения коснулись в первую очередь винтомоторной группы, так как "родной" двигатель от S-16 заменили на «Hispano-Suisa» «HS 12Nbr». При испытаниях прототипа «SB-16.3» дефектов, которые могли повлиять эксплуатацию самолёта, выявлено не было. Разведчиком заинтересовались поляки, но в последний момент заказ был отменен, а опытную машину передали ВВС Чехословакии, присвоив ей обозначение «S-616.1». С бортовым кодом OK-AAQ этот самолёт достаточно долго летал в составе 6 LP, базировавшейся на одном из аэродромов под Прагой. Забегая вперед скажем, что впоследствии почти все выпущенные «S-616» попали именно в этот полк (14965).</w:t>
      </w:r>
    </w:p>
    <w:p w14:paraId="7767D9F2" w14:textId="77777777" w:rsidR="00DD22BD" w:rsidRPr="00507A31" w:rsidRDefault="00DD22BD" w:rsidP="00507A31">
      <w:pPr>
        <w:jc w:val="both"/>
        <w:rPr>
          <w:color w:val="000000" w:themeColor="text1"/>
          <w:sz w:val="16"/>
          <w:szCs w:val="16"/>
        </w:rPr>
      </w:pPr>
    </w:p>
    <w:p w14:paraId="6621199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27 июля 1930 лидеры американских профсоюзов призвали к запрету всех товаров из СССР (4962).</w:t>
      </w:r>
    </w:p>
    <w:p w14:paraId="1EDEA4D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E67C6A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E3C744B" w14:textId="77777777" w:rsidR="00537E5F" w:rsidRPr="00507A31" w:rsidRDefault="00537E5F" w:rsidP="00507A31">
      <w:pPr>
        <w:autoSpaceDE w:val="0"/>
        <w:autoSpaceDN w:val="0"/>
        <w:adjustRightInd w:val="0"/>
        <w:jc w:val="both"/>
        <w:rPr>
          <w:iCs/>
          <w:color w:val="000000" w:themeColor="text1"/>
          <w:sz w:val="16"/>
          <w:szCs w:val="16"/>
        </w:rPr>
      </w:pPr>
    </w:p>
    <w:p w14:paraId="00463E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июля 1930 на техническом совещании руководителей групп отдела АГОС П.О.С. докладывал о полетах на Р-7 (АНТ-10) (1102).</w:t>
      </w:r>
    </w:p>
    <w:p w14:paraId="21DCA696" w14:textId="77777777" w:rsidR="00537E5F" w:rsidRPr="00507A31" w:rsidRDefault="00537E5F" w:rsidP="00507A31">
      <w:pPr>
        <w:autoSpaceDE w:val="0"/>
        <w:autoSpaceDN w:val="0"/>
        <w:adjustRightInd w:val="0"/>
        <w:jc w:val="both"/>
        <w:rPr>
          <w:color w:val="000000" w:themeColor="text1"/>
          <w:sz w:val="16"/>
          <w:szCs w:val="16"/>
        </w:rPr>
      </w:pPr>
    </w:p>
    <w:p w14:paraId="28EFA0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28 июля 1930 г. появилось постановление о передаче ВАО в ведение Наркомата по военным и морским делам (НКВМ). Хотя военные являлись основным заказчиком ВАО, ничего хорошего из подчинения авиазаводов НКВМ не вышло. 7 февраля 1931 г. объединение вернули в систему ВСНХ (11852).</w:t>
      </w:r>
    </w:p>
    <w:p w14:paraId="0BDA5A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2DFD7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июля 1930 вышло постановление СНК N 42 "О передаче авиапромышленности из ведения ВСНХ в ведение НКВоенмор" (2352,24).</w:t>
      </w:r>
    </w:p>
    <w:p w14:paraId="704E83FB" w14:textId="77777777" w:rsidR="00537E5F" w:rsidRPr="00507A31" w:rsidRDefault="00537E5F" w:rsidP="00507A31">
      <w:pPr>
        <w:autoSpaceDE w:val="0"/>
        <w:autoSpaceDN w:val="0"/>
        <w:adjustRightInd w:val="0"/>
        <w:jc w:val="both"/>
        <w:rPr>
          <w:color w:val="000000" w:themeColor="text1"/>
          <w:sz w:val="16"/>
          <w:szCs w:val="16"/>
        </w:rPr>
      </w:pPr>
    </w:p>
    <w:p w14:paraId="0F2A1B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июля 1930 по инициативе П.И.Баранова - начальника УВВС - ВАО было передано из ВСНХ в Наркомвоенмор (80,414).</w:t>
      </w:r>
    </w:p>
    <w:p w14:paraId="5D7116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Это было сделано постановлением СНК СССР N 42 и приказ ВСНХ N 056 от 8 августа 1930 (1647,5).</w:t>
      </w:r>
    </w:p>
    <w:p w14:paraId="5676DB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это произошло еще в июне 1930, но июль, имея в виду перевод туда и ЦАГИ, кажется более вероятным.</w:t>
      </w:r>
    </w:p>
    <w:p w14:paraId="28DAE66B" w14:textId="77777777" w:rsidR="00537E5F" w:rsidRPr="00507A31" w:rsidRDefault="00537E5F" w:rsidP="00507A31">
      <w:pPr>
        <w:autoSpaceDE w:val="0"/>
        <w:autoSpaceDN w:val="0"/>
        <w:adjustRightInd w:val="0"/>
        <w:jc w:val="both"/>
        <w:rPr>
          <w:color w:val="000000" w:themeColor="text1"/>
          <w:sz w:val="16"/>
          <w:szCs w:val="16"/>
        </w:rPr>
      </w:pPr>
    </w:p>
    <w:p w14:paraId="70C671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 июля 1930 г. ПОСТАНОВЛЕНИЕ № 42 Совета Народных Комиссаров Союза ССР, Москва, Кремль.</w:t>
      </w:r>
    </w:p>
    <w:p w14:paraId="07F8A6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 передаче авиационной промышленности из ведения ВСНХ СССР в ведение НКВМора.</w:t>
      </w:r>
    </w:p>
    <w:p w14:paraId="691D22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СНК Союза ССР постановляет :</w:t>
      </w:r>
    </w:p>
    <w:p w14:paraId="1DCF50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Передать авиапромышленность из ведения ВСНХ СССР в ведение НКВМ.</w:t>
      </w:r>
    </w:p>
    <w:p w14:paraId="355D89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Вместе с авиапромышленностью передать НКВМору науч</w:t>
      </w:r>
      <w:r w:rsidRPr="00507A31">
        <w:rPr>
          <w:color w:val="000000" w:themeColor="text1"/>
          <w:sz w:val="16"/>
          <w:szCs w:val="16"/>
        </w:rPr>
        <w:softHyphen/>
        <w:t>ный институт ЦАГИ и всех работников НАМИ, занятых специально авиа-моторо-строением.</w:t>
      </w:r>
    </w:p>
    <w:p w14:paraId="60709F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НАМИ и всех работников ЦАГИ по общему моторостроению, занятых другими работами по общегражданской промышленности, оставлять в ведении ВСНХ СССР,</w:t>
      </w:r>
    </w:p>
    <w:p w14:paraId="5BB182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Признать, что основой военной авиации должна быть развитая сеть гражданской авиации.</w:t>
      </w:r>
    </w:p>
    <w:p w14:paraId="43F2ED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СНК Союза ССР</w:t>
      </w:r>
    </w:p>
    <w:p w14:paraId="59900B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ЦГАСА, ф.4, оп. 1, д. 1217, л. 41 (1026,106).</w:t>
      </w:r>
    </w:p>
    <w:p w14:paraId="060B4A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A3F4E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июля 1930 вышло постановление СНК N 42, которым ВАО было предложено передать из НАМИ авиамоторостроение в УВВС (1028,105).</w:t>
      </w:r>
    </w:p>
    <w:p w14:paraId="69AD27FC" w14:textId="77777777" w:rsidR="00537E5F" w:rsidRPr="00507A31" w:rsidRDefault="00537E5F" w:rsidP="00507A31">
      <w:pPr>
        <w:autoSpaceDE w:val="0"/>
        <w:autoSpaceDN w:val="0"/>
        <w:adjustRightInd w:val="0"/>
        <w:jc w:val="both"/>
        <w:rPr>
          <w:color w:val="000000" w:themeColor="text1"/>
          <w:sz w:val="16"/>
          <w:szCs w:val="16"/>
        </w:rPr>
      </w:pPr>
    </w:p>
    <w:p w14:paraId="32E3DA5F" w14:textId="77777777" w:rsidR="001C0A69" w:rsidRPr="00507A31" w:rsidRDefault="001C0A69" w:rsidP="00507A31">
      <w:pPr>
        <w:shd w:val="clear" w:color="auto" w:fill="FFFFFF"/>
        <w:jc w:val="both"/>
        <w:rPr>
          <w:color w:val="000000" w:themeColor="text1"/>
          <w:sz w:val="16"/>
          <w:szCs w:val="16"/>
        </w:rPr>
      </w:pPr>
      <w:r w:rsidRPr="00507A31">
        <w:rPr>
          <w:color w:val="000000" w:themeColor="text1"/>
          <w:sz w:val="16"/>
          <w:szCs w:val="16"/>
        </w:rPr>
        <w:t>28 июля 1930 года ВАО было переподчинено народному комиссариату по военным и морским делам (НКВМ). ВАО подчинялись семь авиастроительных, четыре моторостроительных, шесть ремонтных, пять подсобных и три опытных завода. Образование ВАО было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(12704).</w:t>
      </w:r>
    </w:p>
    <w:p w14:paraId="6A3D3099" w14:textId="77777777" w:rsidR="001C0A69" w:rsidRPr="00507A31" w:rsidRDefault="001C0A69" w:rsidP="00507A31">
      <w:pPr>
        <w:shd w:val="clear" w:color="auto" w:fill="FFFFFF"/>
        <w:jc w:val="both"/>
        <w:rPr>
          <w:color w:val="000000" w:themeColor="text1"/>
          <w:sz w:val="16"/>
          <w:szCs w:val="16"/>
        </w:rPr>
      </w:pPr>
    </w:p>
    <w:p w14:paraId="487E3F5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E51AE33" w14:textId="77777777" w:rsidR="00537E5F" w:rsidRPr="00507A31" w:rsidRDefault="00537E5F" w:rsidP="00507A31">
      <w:pPr>
        <w:autoSpaceDE w:val="0"/>
        <w:autoSpaceDN w:val="0"/>
        <w:adjustRightInd w:val="0"/>
        <w:jc w:val="both"/>
        <w:rPr>
          <w:iCs/>
          <w:color w:val="000000" w:themeColor="text1"/>
          <w:sz w:val="16"/>
          <w:szCs w:val="16"/>
        </w:rPr>
      </w:pPr>
    </w:p>
    <w:p w14:paraId="0E94A5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июля 1930 г. на заводе № 180 создан станкостроительный отдел, в 1955 г. на его базе образовано специальное конструкторское бюро № 62 по проектированию станков.</w:t>
      </w:r>
    </w:p>
    <w:p w14:paraId="778DE6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по 1940 г. освоено 72 типа металлорежущего оборудования. В 1950-х  г. созданы станки ИЖ-Т-400, ИЖ- 250. В 1960-е  г.- 1И611П, 1980-е  г.- 250ИТ, ИТ-42, робототехнические комплексы 7800ИТФЗ, ТМ500ФЗ. В 1990-е  г. создан ИТ-51.</w:t>
      </w:r>
    </w:p>
    <w:p w14:paraId="19C52E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СКБ (1955 г.-)- С.И. Чечурин, (1960 г.-)- А.А. Модзелевский, (1964 г.-)- Н.К. Остроумов, (1976 г.-)- М.И. Сущев, (1993 г.-)- В.Т. Андреев.</w:t>
      </w:r>
    </w:p>
    <w:p w14:paraId="3CA848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КБ отдела (1990-е)- А.А. Анисимов (11982).</w:t>
      </w:r>
    </w:p>
    <w:p w14:paraId="1EE4A20A" w14:textId="77777777" w:rsidR="00537E5F" w:rsidRPr="00507A31" w:rsidRDefault="00537E5F" w:rsidP="00507A31">
      <w:pPr>
        <w:autoSpaceDE w:val="0"/>
        <w:autoSpaceDN w:val="0"/>
        <w:adjustRightInd w:val="0"/>
        <w:jc w:val="both"/>
        <w:rPr>
          <w:color w:val="000000" w:themeColor="text1"/>
          <w:sz w:val="16"/>
          <w:szCs w:val="16"/>
        </w:rPr>
      </w:pPr>
    </w:p>
    <w:p w14:paraId="44291101" w14:textId="77777777" w:rsidR="00DD22BD" w:rsidRPr="00507A31" w:rsidRDefault="00DD22BD" w:rsidP="00507A31">
      <w:pPr>
        <w:jc w:val="both"/>
        <w:rPr>
          <w:color w:val="000000" w:themeColor="text1"/>
          <w:sz w:val="16"/>
          <w:szCs w:val="16"/>
        </w:rPr>
      </w:pPr>
      <w:r w:rsidRPr="00507A31">
        <w:rPr>
          <w:color w:val="000000" w:themeColor="text1"/>
          <w:sz w:val="16"/>
          <w:szCs w:val="16"/>
        </w:rPr>
        <w:t>28 июля в 1930 году образован "Ижмашстанко", дочернее предприятие группы "Ижмаш". Основанный при Ижстальзаводах, ижевский станкострой стал первым станкостроительным предприятием в Советском Союзе, и долгое время оставался единственным в стране по выпуску высокоточных токарно-винторезных станков. Уже его первая самостоятельная разработка - станок “Удмурт” - стала на долгие годы самым популярным оборудованием в советской промышленности. На ижевском станкострое было положено и начало развития спецстанкостроения: в октябре 1940 года здесь была изготовлена и смонтирована первая автоматическая линия. Производство станков не прекращалось на “Ижмаше” и в годы войны - в период с 1941 по 1945 год здесь было выпущено 40 видов оборудования для оборонной промышленности. Свой вклад внес станкострой и в создание оружия - здесь был освоен выпуск противотанковых ружей Дегтярева и Симонова, пулемета Березина, самых сложных деталей к 37 миллиметровой авиапушке Нудельмана-Суранова, легендарному пулемету “Максим” и другим видам оружия. В послевоенные годы станкострой продолжал работать в том темпе, который был задан в годы Великой Отечественной. Здесь разрабатываются новое передовое оборудование, уже в 60-е годы предпринимаются попытки создать станки с ЧПУ. Наибольшую известность ижевскому станкострою принес вышедший в серию в 1964 году станок повышенной точности 1И611П. Благодаря своим характеристикам он получил мировое признание и в течение многих лет пользовался спросом в 55 странах мира. Этот станок один из немногих в СССР был трижды удостоен “Знака качества”. За всю свою историю станкострой выпустил более 1500 моделей разнообразного оборудования - всего более 128 тысяч единиц станков. “Ижмашстанко” сегодня продолжает производить современную продукцию самого высокого качества (14966).</w:t>
      </w:r>
    </w:p>
    <w:p w14:paraId="767E361E" w14:textId="77777777" w:rsidR="00DD22BD" w:rsidRPr="00507A31" w:rsidRDefault="00DD22BD" w:rsidP="00507A31">
      <w:pPr>
        <w:jc w:val="both"/>
        <w:rPr>
          <w:color w:val="000000" w:themeColor="text1"/>
          <w:sz w:val="16"/>
          <w:szCs w:val="16"/>
        </w:rPr>
      </w:pPr>
    </w:p>
    <w:p w14:paraId="62EF06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июля 1930 г. на заводе ГС завод № 180 НКОП, НКВ, Ижевский железоделательный завод, Императорский оружейный завод, Ижевские Оружейный и Сталелитейный заводы ВСНХ, Сталелитейный завод № ю ВСНХ, «Ижстальзавод» НКТП, Ижевский оружейный завод (ИОЗ) НКТП /г. Ижевск Вотской обл. (1927 г.)/ создан станкостроительный отдел. Началось производство токарного станка «Леве». Приказом № 0217 от 28.09.1937 г. было утверждено разработанное Станкинпроектом проектное задание строительства станкостроительного комбината на заводе № 180 на выпуск 4000 станков в год. Этим же приказом предписывалось в 10-дневный срок выбрать окончательную площадку Станкокомбината в Ижевске. Приказом № 0221 от 28.09.1937 г. заводу была установлена программа по выпуску в 1938 г. станков: токарно-винторезный 161- А - 300, специальный токарно-операционный для оружейного производства - 600, револьверные типа 1336 и 1338 - 200, комбинированные агрегатные сверлильно-фрезерные - 100. В 1955 г. на базе станкостроительного отдела образовано специальное КБ № 62 по проектированию станков.</w:t>
      </w:r>
    </w:p>
    <w:p w14:paraId="06CCA7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5.05.1931 г. вышло постановление СТО № 80сс о реконструкции завода. Приказом № 0054 от 20.03.1937 г. заводу предписано закончить реконструкцию кузнечно-термического цеха к 1.09.1937 г.</w:t>
      </w:r>
    </w:p>
    <w:p w14:paraId="744CE5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директора завода от 30.05.1933 г. создано Бюро конструирования объектов нового вооружения.</w:t>
      </w:r>
    </w:p>
    <w:p w14:paraId="4511A8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 НКТП № 102с от 21/28.06.1934 г. установлена мощность цеха холодной прокатки завода - 3500 т ленты в год. В 1936 г. построены 2 стана, мощность доведена до 6000 т. Пост. СТО от 15.01.1937 г. и пр. № 0026 от 4.02.1937 г. заводу поручено изготовить в 1937 г. 175 т прутковой тигельной стали ЭИ-161. Приказом № 00102 от 8.05.1937 г. предписывалось ввести в эксплуатацию в 1937 г. цех </w:t>
      </w:r>
      <w:r w:rsidRPr="00507A31">
        <w:rPr>
          <w:color w:val="000000" w:themeColor="text1"/>
          <w:sz w:val="16"/>
          <w:szCs w:val="16"/>
          <w:lang w:val="en-US"/>
        </w:rPr>
        <w:t>ABC</w:t>
      </w:r>
      <w:r w:rsidRPr="00507A31">
        <w:rPr>
          <w:color w:val="000000" w:themeColor="text1"/>
          <w:sz w:val="16"/>
          <w:szCs w:val="16"/>
        </w:rPr>
        <w:t>, молотовую, цех холодного проката ленты. Приказом № 0285 от 27.12.1937 г. заводу предписано создать производство стальной пружинной ленты с освоением ее выпуска в 1-м полугодии 1938 г. Во исполнение решения правительства № 163сс от 23.07.1938 г. «о расширении металлургических цехов завода № 180 с доведением мощностей: по литой стали - 500 тыс. т, товарного проката - 260 тыс. т, авиапоковок - 30 тыс. т в год» приказом № 273сс от 3.08.1938 г. требовалось: приступить к строительству: двух мартеновских печей на 140 тыс. т в год с вводом 1-й - в 1-м квартале, второй- в 4-м квартале 1939 г.; двух электропечей на 40 тыс. т стали с вводом в 3-м квартале 1940 г.; цеха авиапоковок (кузнечно-прессовый, термический, обдирочный и штамповочный) с вводом в 3-м квартале 1940 г.; установить два сортопрокатных стана со сроком ввода первого к 1.01.1940 г.; установить прокатный стан на 6 тыс. т холодно</w:t>
      </w:r>
      <w:r w:rsidRPr="00507A31">
        <w:rPr>
          <w:color w:val="000000" w:themeColor="text1"/>
          <w:sz w:val="16"/>
          <w:szCs w:val="16"/>
        </w:rPr>
        <w:softHyphen/>
        <w:t>катаных листов со сроком ввода в 4-м квартале 1939 г.</w:t>
      </w:r>
    </w:p>
    <w:p w14:paraId="518B68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Приказом № 0031 от 8.02.1937 г. заводу предписано создать к 1.01.1938 г. мощности по выпуску 120 тыс. автоматических винтовок </w:t>
      </w:r>
      <w:r w:rsidRPr="00507A31">
        <w:rPr>
          <w:color w:val="000000" w:themeColor="text1"/>
          <w:sz w:val="16"/>
          <w:szCs w:val="16"/>
          <w:lang w:val="en-US"/>
        </w:rPr>
        <w:t>ABC</w:t>
      </w:r>
      <w:r w:rsidRPr="00507A31">
        <w:rPr>
          <w:color w:val="000000" w:themeColor="text1"/>
          <w:sz w:val="16"/>
          <w:szCs w:val="16"/>
        </w:rPr>
        <w:t xml:space="preserve"> в год. В соответствии с пост. СНК № 175сс от 11.11.1937 г. и пр. № 00248 от 19.11.1937 г. было необходимо обеспечить к 1.12.1937 г. набор 4 тыс. рабочих, а к 1.02.1938 г. - еще 4 тыс. чел.</w:t>
      </w:r>
    </w:p>
    <w:p w14:paraId="6C2CBB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завода (1937 г.) цехи: № 55 сборка винтовок.</w:t>
      </w:r>
    </w:p>
    <w:p w14:paraId="0B32FD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53с от 10.02.1938 г. на заводе создано технологическое бюро под руководством гл. технолога для технологического перевооружения производства. В 1938 г. при заводе действовало КБ охотничьих ружей.</w:t>
      </w:r>
    </w:p>
    <w:p w14:paraId="3E2CF4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167сс от 17.05.1938 г. требовалось провести испытания самозарядной винтовки, разработанной на заводе (конструкторы Федоров, Симонов, Раков).</w:t>
      </w:r>
    </w:p>
    <w:p w14:paraId="5DACB7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 исполнение решения правительства № 91сс от 27.05.1938 г. о строительстве нового завода на Урале по производству винтовок (№ 54) со сроком разработки техпроекта к 1.08.1938 г. и окончания строительства к концу 1939 г. по пр. № 208сс от 13.06.1938 г. при заводе № 180 было организовано бюро по проектированию нового завода, гл. инженером проекта назначен А.И. Милехин. В 20-дневный срок требовалось выбрать площадку для строительства. Приказом № 382сс от 29.09.1938 г. срок завершения техпроекта завода перенесен на 5.03.1939 г.</w:t>
      </w:r>
    </w:p>
    <w:p w14:paraId="461423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Приказом № 272сс от 3.08.1938 г. заводу поручено выпустить в 1938 г. 15 тыс. винтовок со стволами, изготовленными методом протяжки.</w:t>
      </w:r>
    </w:p>
    <w:p w14:paraId="0DA261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1939 г. завод № 180 НКОП был передан во вновь созданный НКВ и разделен на два самостоятельных предприятия: Ижевский машиностроительный, получивший наименование завод № 74 НКВ и Ижевский металлургический завод № 71.</w:t>
      </w:r>
    </w:p>
    <w:p w14:paraId="298180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Количество оборудования: (1.01.1938 г.)- 9782 ед., (1.01.1939 г.)- 11082 ед.</w:t>
      </w:r>
    </w:p>
    <w:p w14:paraId="6824BA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Руководитель (1807 г.-)- А.Ф. Дерябин, генерал Грен, Бильдеринг, </w:t>
      </w:r>
      <w:r w:rsidRPr="00507A31">
        <w:rPr>
          <w:color w:val="000000" w:themeColor="text1"/>
          <w:sz w:val="16"/>
          <w:szCs w:val="16"/>
          <w:lang w:val="en-US"/>
        </w:rPr>
        <w:t>JI</w:t>
      </w:r>
      <w:r w:rsidRPr="00507A31">
        <w:rPr>
          <w:color w:val="000000" w:themeColor="text1"/>
          <w:sz w:val="16"/>
          <w:szCs w:val="16"/>
        </w:rPr>
        <w:t>. Нобель, г-м Попов, (начало XX в.)- г Дубницкий. Директор (1935-39 г.)- А.И. Быховский, (-1941 г.)- В.Н. Новиков.</w:t>
      </w:r>
    </w:p>
    <w:p w14:paraId="640762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1-й зам. директора (22.10.1938 г.-)- В.Н. Новиков. Зам. директора (06.1937 г.)- И.И. Логунов; по комерческо- финансовой части (-06.1937-1.10.1938 г.)- Б.Л. Ружилов, (31.10.1938 г.-)- М. Г. Шестаков; по капстроительству (5.11.1938 г.-)- Н.Н. Привалов. Помощник директора по найму и увольнению (-29.11.1937 г.)- Н.П. Конюхов, (8.03.1938 г.-)- К.И. Тарановский.</w:t>
      </w:r>
    </w:p>
    <w:p w14:paraId="0A5064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(-06.1937-21.11.1938 г.)- И.И. Логунов (снят), (22.10.1938-39 г.)- В.Н. Новиков.</w:t>
      </w:r>
    </w:p>
    <w:p w14:paraId="492782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сталелитейного производства (-1939 г.)- Дворецкий. Начальники: УЛХ (08.1937 г.)- Туров; УКС (5.11.1938 г.-)- Н.Н. Привалов. Зам. гл. инженера машиностроительного производства (07.1937 г.)- А.О. Карпин.</w:t>
      </w:r>
    </w:p>
    <w:p w14:paraId="0BD0E6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отделов: станкостроительного (1930 г.-)- М.А. Новожилов; технического (1937-38 г.)- В.Н. Новиков; планового (01.1937 г.)- Сагомонян; ОТК (08.1937 г.)- Н.И. Бухтеев.</w:t>
      </w:r>
    </w:p>
    <w:p w14:paraId="681C57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термической мастерской (-11.08.1937 г.)- Сазонов (снят).</w:t>
      </w:r>
    </w:p>
    <w:p w14:paraId="2264C1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лабораторий: по обработке металла (-1937 г.)- В.Н. Новиков.</w:t>
      </w:r>
    </w:p>
    <w:p w14:paraId="0E5E9A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бюро: технического машиностроительного цеха (07.1937 г.)- А.С. Бутаков.</w:t>
      </w:r>
    </w:p>
    <w:p w14:paraId="5E58B5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Производство: винтовки: 7,62-мм Мосина (1891-1939); самозарядные СВД-32 (1932)- 330, </w:t>
      </w:r>
      <w:r w:rsidRPr="00507A31">
        <w:rPr>
          <w:color w:val="000000" w:themeColor="text1"/>
          <w:sz w:val="16"/>
          <w:szCs w:val="16"/>
          <w:lang w:val="en-US"/>
        </w:rPr>
        <w:t>ABC</w:t>
      </w:r>
      <w:r w:rsidRPr="00507A31">
        <w:rPr>
          <w:color w:val="000000" w:themeColor="text1"/>
          <w:sz w:val="16"/>
          <w:szCs w:val="16"/>
        </w:rPr>
        <w:t xml:space="preserve"> (1936-39);</w:t>
      </w:r>
      <w:r w:rsidRPr="00507A31">
        <w:rPr>
          <w:color w:val="000000" w:themeColor="text1"/>
          <w:sz w:val="16"/>
          <w:szCs w:val="16"/>
          <w:vertAlign w:val="superscript"/>
        </w:rPr>
        <w:t xml:space="preserve">4 </w:t>
      </w:r>
      <w:r w:rsidRPr="00507A31">
        <w:rPr>
          <w:color w:val="000000" w:themeColor="text1"/>
          <w:sz w:val="16"/>
          <w:szCs w:val="16"/>
        </w:rPr>
        <w:t>поковки авиационных моторов АМ-34, М-100, в/винтов (1937); мотоцикл ИЖ-1 (1928-); станок токарно- винторезный 161А (1938) (11982).</w:t>
      </w:r>
    </w:p>
    <w:p w14:paraId="0C443D64" w14:textId="77777777" w:rsidR="00161BA2" w:rsidRPr="00507A31" w:rsidRDefault="00161BA2" w:rsidP="00507A31">
      <w:pPr>
        <w:autoSpaceDE w:val="0"/>
        <w:autoSpaceDN w:val="0"/>
        <w:adjustRightInd w:val="0"/>
        <w:jc w:val="both"/>
        <w:rPr>
          <w:iCs/>
          <w:color w:val="000000" w:themeColor="text1"/>
          <w:sz w:val="16"/>
          <w:szCs w:val="16"/>
        </w:rPr>
      </w:pPr>
    </w:p>
    <w:p w14:paraId="30F3E1B9" w14:textId="77777777" w:rsidR="00580BBE" w:rsidRPr="00507A31" w:rsidRDefault="00580BBE"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727391F" w14:textId="77777777" w:rsidR="00580BBE" w:rsidRPr="00507A31" w:rsidRDefault="00580BBE" w:rsidP="00507A31">
      <w:pPr>
        <w:autoSpaceDE w:val="0"/>
        <w:autoSpaceDN w:val="0"/>
        <w:adjustRightInd w:val="0"/>
        <w:jc w:val="both"/>
        <w:rPr>
          <w:iCs/>
          <w:color w:val="000000" w:themeColor="text1"/>
          <w:sz w:val="16"/>
          <w:szCs w:val="16"/>
        </w:rPr>
      </w:pPr>
    </w:p>
    <w:p w14:paraId="56C7159B" w14:textId="77777777" w:rsidR="00580BBE" w:rsidRPr="00507A31" w:rsidRDefault="00580BBE" w:rsidP="00507A31">
      <w:pPr>
        <w:jc w:val="both"/>
        <w:rPr>
          <w:color w:val="000000" w:themeColor="text1"/>
          <w:sz w:val="16"/>
          <w:szCs w:val="16"/>
        </w:rPr>
      </w:pPr>
      <w:r w:rsidRPr="00507A31">
        <w:rPr>
          <w:color w:val="000000" w:themeColor="text1"/>
          <w:sz w:val="16"/>
          <w:szCs w:val="16"/>
        </w:rPr>
        <w:t>28 июля 1930. Газета "Вечерняя Москва" сообщала: "В связи с благоустройством Красной площади решен вопрос о ее освобождении от трамвайных путей. Временно трамваи, пересекающие Красную площадь, будут направлены с Варварки по Рыбному и Богоявленскому переулкам и по Никольской улице. В ближайшие дни начнется прокладка новых трамвайных путей с тем, чтобы Красная площадь была освобождена от трамвая уже через три недели" (18725).</w:t>
      </w:r>
    </w:p>
    <w:p w14:paraId="2E94AFC1" w14:textId="77777777" w:rsidR="00580BBE" w:rsidRPr="00507A31" w:rsidRDefault="00580BBE" w:rsidP="00507A31">
      <w:pPr>
        <w:jc w:val="both"/>
        <w:rPr>
          <w:color w:val="000000" w:themeColor="text1"/>
          <w:sz w:val="16"/>
          <w:szCs w:val="16"/>
        </w:rPr>
      </w:pPr>
    </w:p>
    <w:p w14:paraId="19274DCA" w14:textId="77777777" w:rsidR="00BE3CFC"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3E00D96" w14:textId="77777777" w:rsidR="00BE3CFC" w:rsidRPr="00507A31" w:rsidRDefault="00BE3CFC" w:rsidP="00507A31">
      <w:pPr>
        <w:autoSpaceDE w:val="0"/>
        <w:autoSpaceDN w:val="0"/>
        <w:adjustRightInd w:val="0"/>
        <w:jc w:val="both"/>
        <w:rPr>
          <w:iCs/>
          <w:color w:val="000000" w:themeColor="text1"/>
          <w:sz w:val="16"/>
          <w:szCs w:val="16"/>
        </w:rPr>
      </w:pPr>
    </w:p>
    <w:p w14:paraId="1575E6BF" w14:textId="77777777" w:rsidR="00BE3CFC" w:rsidRPr="00507A31" w:rsidRDefault="00BE3CFC" w:rsidP="00507A31">
      <w:pPr>
        <w:jc w:val="both"/>
        <w:rPr>
          <w:color w:val="000000" w:themeColor="text1"/>
          <w:sz w:val="16"/>
          <w:szCs w:val="16"/>
        </w:rPr>
      </w:pPr>
      <w:r w:rsidRPr="00507A31">
        <w:rPr>
          <w:color w:val="000000" w:themeColor="text1"/>
          <w:sz w:val="16"/>
          <w:szCs w:val="16"/>
        </w:rPr>
        <w:t xml:space="preserve">28 июля в 1930 году на аэродроме "Раковице" в Кракове впервые поднялся в воздух первый экземпляр польского двухместного школьно-спортивного самолета </w:t>
      </w:r>
      <w:hyperlink r:id="rId126" w:tgtFrame="_blank" w:history="1">
        <w:r w:rsidRPr="00507A31">
          <w:rPr>
            <w:color w:val="000000" w:themeColor="text1"/>
            <w:sz w:val="16"/>
            <w:szCs w:val="16"/>
          </w:rPr>
          <w:t xml:space="preserve">«Sido» «S-1» </w:t>
        </w:r>
      </w:hyperlink>
      <w:r w:rsidRPr="00507A31">
        <w:rPr>
          <w:color w:val="000000" w:themeColor="text1"/>
          <w:sz w:val="16"/>
          <w:szCs w:val="16"/>
        </w:rPr>
        <w:t>с двигателем «Cirrus III». Студент горной академии в Кракове Йозеф Сидо в 1929-30 гг. спроектировал как самолет для аэроклуба. Конструктор построил три экземпляра своего самолета. Самолет получил обозначения «SP-ACZ». «S-1» должен был участвовать в «Chailenge 1930», но в самом конкурсе не участвовал из-за дефекта двигателя (14966).</w:t>
      </w:r>
    </w:p>
    <w:p w14:paraId="6721EA27" w14:textId="77777777" w:rsidR="00BE3CFC" w:rsidRPr="00507A31" w:rsidRDefault="00BE3CFC" w:rsidP="00507A31">
      <w:pPr>
        <w:jc w:val="both"/>
        <w:rPr>
          <w:color w:val="000000" w:themeColor="text1"/>
          <w:sz w:val="16"/>
          <w:szCs w:val="16"/>
        </w:rPr>
      </w:pPr>
    </w:p>
    <w:p w14:paraId="1B20BFE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26F8DD6" w14:textId="77777777" w:rsidR="00537E5F" w:rsidRPr="00507A31" w:rsidRDefault="00537E5F" w:rsidP="00507A31">
      <w:pPr>
        <w:autoSpaceDE w:val="0"/>
        <w:autoSpaceDN w:val="0"/>
        <w:adjustRightInd w:val="0"/>
        <w:jc w:val="both"/>
        <w:rPr>
          <w:iCs/>
          <w:color w:val="000000" w:themeColor="text1"/>
          <w:sz w:val="16"/>
          <w:szCs w:val="16"/>
        </w:rPr>
      </w:pPr>
    </w:p>
    <w:p w14:paraId="1CA121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июля 1930 года врид начальника ВАО Десятников писал письмо N 126 в 3-й отдел УСС УВВС.</w:t>
      </w:r>
    </w:p>
    <w:p w14:paraId="6C7E1F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вопросу: о серийном испытании самолета П-2 М-6.</w:t>
      </w:r>
    </w:p>
    <w:p w14:paraId="3D99D6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НИИ УВВС заканчиваются серийные испытания самолета П-2 N 2284 с мотором М-6 постройки завода N 23, испытание самолета происходит на основании постановления НТК от 1.04. 1930 г. (3278).</w:t>
      </w:r>
    </w:p>
    <w:p w14:paraId="51B3A121" w14:textId="77777777" w:rsidR="00537E5F" w:rsidRPr="00507A31" w:rsidRDefault="00537E5F" w:rsidP="00507A31">
      <w:pPr>
        <w:autoSpaceDE w:val="0"/>
        <w:autoSpaceDN w:val="0"/>
        <w:adjustRightInd w:val="0"/>
        <w:jc w:val="both"/>
        <w:rPr>
          <w:color w:val="000000" w:themeColor="text1"/>
          <w:sz w:val="16"/>
          <w:szCs w:val="16"/>
        </w:rPr>
      </w:pPr>
    </w:p>
    <w:p w14:paraId="733954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июля 1930 на совещании по авиапромышленности в РВС (К.Е.В.) выступили с докладами о состоянии авиапромышленности и работах ЦАГИ и ВАО директор ЦАГИ С.А.Чаплыгин и зам. нач. ВАО В.М.Десятников (273,291).</w:t>
      </w:r>
    </w:p>
    <w:p w14:paraId="7974CA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Был и А.Н.Т. Все требовали помощи (1028,98).</w:t>
      </w:r>
    </w:p>
    <w:p w14:paraId="107B0405" w14:textId="77777777" w:rsidR="00537E5F" w:rsidRPr="00507A31" w:rsidRDefault="00537E5F" w:rsidP="00507A31">
      <w:pPr>
        <w:autoSpaceDE w:val="0"/>
        <w:autoSpaceDN w:val="0"/>
        <w:adjustRightInd w:val="0"/>
        <w:jc w:val="both"/>
        <w:rPr>
          <w:color w:val="000000" w:themeColor="text1"/>
          <w:sz w:val="16"/>
          <w:szCs w:val="16"/>
        </w:rPr>
      </w:pPr>
    </w:p>
    <w:p w14:paraId="5A55F7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 июля 1930 ПРОТОКОЛ Совещания по авиапромышленности</w:t>
      </w:r>
    </w:p>
    <w:p w14:paraId="2F151D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Присутствует: т:т. Ворошилов,Каменев, Уборевич, Баранов, Левичев, Алкенис, Харламов, Ветрожицкий. Чаплыгин /директор ЦАГИ/, Петренко /зам. дир. ЦАГИ/, Туполев /зав АТО ЦАГИ/, Урываев, Десятников /зам. нач. ВАО/, Фролов /пом. нач. ВАО/, Кринкин /директор завода № 1 "Авиахим"/, Малахов /директор завода № 22/, Соколов /зам. директора завода № 22/» Королев /директор завода № 24/, Благов /директор завода № 26/, Шартыненко /директор завода № 29/, Лысенко /директор завода № 31/, Евстигнеев /директор завода № 39/</w:t>
      </w:r>
    </w:p>
    <w:p w14:paraId="580E59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Председательствует тов. ВОРОШИЛОВ*</w:t>
      </w:r>
    </w:p>
    <w:p w14:paraId="398BE5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СЛУШАЛИ;</w:t>
      </w:r>
    </w:p>
    <w:p w14:paraId="46E013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 состоянии авиапромышленности и работе ВАО и ЦАГИ.</w:t>
      </w:r>
    </w:p>
    <w:p w14:paraId="1D662E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Докл. т.т. Десятникова и Чаплыгина.</w:t>
      </w:r>
    </w:p>
    <w:p w14:paraId="741930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прениях выступали: т.т. Баранов, Туполев, Королев, Благов, Мартыненко, Малахов, Кринин, Ворошилов.</w:t>
      </w:r>
    </w:p>
    <w:p w14:paraId="057440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ПОСТАНОВИЛИ:</w:t>
      </w:r>
    </w:p>
    <w:p w14:paraId="57DAC9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Принять к сведению и руководству, что:</w:t>
      </w:r>
    </w:p>
    <w:p w14:paraId="7F7EDD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ВАО и ЦАГИ вводят самостоятельными органами в состав НКВМ;</w:t>
      </w:r>
    </w:p>
    <w:p w14:paraId="41075C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на тов. Баранова, как члена РВС СССР возлагается руководство работой ЦАГИ.</w:t>
      </w:r>
    </w:p>
    <w:p w14:paraId="527DC7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Признать необходимым просить РЗ СТО:</w:t>
      </w:r>
    </w:p>
    <w:p w14:paraId="3E4C27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обещать ВСНХ обеспечить поставку для заводов ВАО и ЦАГИ полуфабрикатов /поковки и др./ надлежащего ка</w:t>
      </w:r>
      <w:r w:rsidRPr="00507A31">
        <w:rPr>
          <w:color w:val="000000" w:themeColor="text1"/>
          <w:sz w:val="16"/>
          <w:szCs w:val="16"/>
        </w:rPr>
        <w:softHyphen/>
        <w:t>чества и в первую очередь перед другими заказами;</w:t>
      </w:r>
    </w:p>
    <w:p w14:paraId="0A9D11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включить в состав ВАО завод Электросталь, как спе</w:t>
      </w:r>
      <w:r w:rsidRPr="00507A31">
        <w:rPr>
          <w:color w:val="000000" w:themeColor="text1"/>
          <w:sz w:val="16"/>
          <w:szCs w:val="16"/>
        </w:rPr>
        <w:softHyphen/>
        <w:t>циальную базу по авиационным сталям;</w:t>
      </w:r>
    </w:p>
    <w:p w14:paraId="46B014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обязать Наркомторг Союза в кратчайший срок реализо</w:t>
      </w:r>
      <w:r w:rsidRPr="00507A31">
        <w:rPr>
          <w:color w:val="000000" w:themeColor="text1"/>
          <w:sz w:val="16"/>
          <w:szCs w:val="16"/>
        </w:rPr>
        <w:softHyphen/>
        <w:t>вать нереализованное до сих пор импортное оборудова</w:t>
      </w:r>
      <w:r w:rsidRPr="00507A31">
        <w:rPr>
          <w:color w:val="000000" w:themeColor="text1"/>
          <w:sz w:val="16"/>
          <w:szCs w:val="16"/>
        </w:rPr>
        <w:softHyphen/>
        <w:t>ние для заводов ВАО;</w:t>
      </w:r>
    </w:p>
    <w:p w14:paraId="6C0496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обязать Наркомтруд принять меры к организации под</w:t>
      </w:r>
      <w:r w:rsidRPr="00507A31">
        <w:rPr>
          <w:color w:val="000000" w:themeColor="text1"/>
          <w:sz w:val="16"/>
          <w:szCs w:val="16"/>
        </w:rPr>
        <w:softHyphen/>
        <w:t>готовки квалифицированной рабочей силы для заводов ВАО и, в частности, обязать к скорейшему выполнению постановления РЗ СТО 1/УШ-30 г. о квалифицированной рабочей силе для 26-го и 29-го авиазаводов.</w:t>
      </w:r>
    </w:p>
    <w:p w14:paraId="0716B3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Начальнику ВАО т. Урываеву и Нач. ВВС РККА т. Баранову П.И.</w:t>
      </w:r>
    </w:p>
    <w:p w14:paraId="0CE9CC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проработать вопрос о перераспределении кадров /рабсила и техн. персонал/ по заводам ВАО, с целью наи</w:t>
      </w:r>
      <w:r w:rsidRPr="00507A31">
        <w:rPr>
          <w:color w:val="000000" w:themeColor="text1"/>
          <w:sz w:val="16"/>
          <w:szCs w:val="16"/>
        </w:rPr>
        <w:softHyphen/>
        <w:t>лучшего их использования;</w:t>
      </w:r>
    </w:p>
    <w:p w14:paraId="006356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рассмотреть производственные программы заводов ВАО с точки зрения наиболее полного использования имею</w:t>
      </w:r>
      <w:r w:rsidRPr="00507A31">
        <w:rPr>
          <w:color w:val="000000" w:themeColor="text1"/>
          <w:sz w:val="16"/>
          <w:szCs w:val="16"/>
        </w:rPr>
        <w:softHyphen/>
        <w:t>щихся мощностей /станки, оборудование/;</w:t>
      </w:r>
    </w:p>
    <w:p w14:paraId="7DEA03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принять меры к изжитию такого перенапряжения программ отдельных заводов в мирное время, которое могло бы отразиться на возможностях мобразвертывания;</w:t>
      </w:r>
    </w:p>
    <w:p w14:paraId="15889A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разрешить конкретно вопрос о внесении последователь</w:t>
      </w:r>
      <w:r w:rsidRPr="00507A31">
        <w:rPr>
          <w:color w:val="000000" w:themeColor="text1"/>
          <w:sz w:val="16"/>
          <w:szCs w:val="16"/>
        </w:rPr>
        <w:softHyphen/>
        <w:t>ных конструктивных улучшений в малые группы заказов /самолетов и моторов/ в пределах одной серии, чтобы выпускаемые образцы не успевали в какой бы то нибыло мере устареть уже в производстве;</w:t>
      </w:r>
    </w:p>
    <w:p w14:paraId="34AAA7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проработать все практические предложении и заявки директоров заводов ВАС и директора ЦАГИ и обеспечить разрешение их в кратчайший срок.</w:t>
      </w:r>
    </w:p>
    <w:p w14:paraId="11EA58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Начальнику ГУ РККА проработать вопросы:</w:t>
      </w:r>
    </w:p>
    <w:p w14:paraId="664CAB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об оставлении на заводах ЗАО рабочей силы из числа подлежащих призыву в ряды РККА в 1930 г.</w:t>
      </w:r>
    </w:p>
    <w:p w14:paraId="265FCE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о направлении, на заводы ВАС рабочей силы из числа увольняемых из РККА;</w:t>
      </w:r>
    </w:p>
    <w:p w14:paraId="448E17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 выделении из технических войск РККА квалифицирован</w:t>
      </w:r>
      <w:r w:rsidRPr="00507A31">
        <w:rPr>
          <w:color w:val="000000" w:themeColor="text1"/>
          <w:sz w:val="16"/>
          <w:szCs w:val="16"/>
        </w:rPr>
        <w:softHyphen/>
        <w:t>ных рабочих для заводов .ВАС» Срок - 1 декада.</w:t>
      </w:r>
    </w:p>
    <w:p w14:paraId="1A2DE8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Возложить на Зам. Пред./а/ РВС СССР ответственность за про</w:t>
      </w:r>
      <w:r w:rsidRPr="00507A31">
        <w:rPr>
          <w:color w:val="000000" w:themeColor="text1"/>
          <w:sz w:val="16"/>
          <w:szCs w:val="16"/>
        </w:rPr>
        <w:softHyphen/>
        <w:t>ведение в жизнь настоящего постановления, чтобы с переходом авиапромышленности в ведение НКВМ добиться решительного пе</w:t>
      </w:r>
      <w:r w:rsidRPr="00507A31">
        <w:rPr>
          <w:color w:val="000000" w:themeColor="text1"/>
          <w:sz w:val="16"/>
          <w:szCs w:val="16"/>
        </w:rPr>
        <w:softHyphen/>
        <w:t>релома в выполнении заводами ЗАО заказов ВВС РККА.</w:t>
      </w:r>
    </w:p>
    <w:p w14:paraId="6E2E6B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ВОРОШИЛОВ Секретарь ОРЛОВ.</w:t>
      </w:r>
    </w:p>
    <w:p w14:paraId="05EBDF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ЦАСА. Ф. 4, оп. 1, д. 1227, лл. 95-96 (1026,107).</w:t>
      </w:r>
    </w:p>
    <w:p w14:paraId="44EF43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9FBD8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июля 1930 ЦАГИ был подчинен НКВМД (71,243).</w:t>
      </w:r>
    </w:p>
    <w:p w14:paraId="3D9FA17D" w14:textId="77777777" w:rsidR="00537E5F" w:rsidRPr="00507A31" w:rsidRDefault="00537E5F" w:rsidP="00507A31">
      <w:pPr>
        <w:autoSpaceDE w:val="0"/>
        <w:autoSpaceDN w:val="0"/>
        <w:adjustRightInd w:val="0"/>
        <w:jc w:val="both"/>
        <w:rPr>
          <w:color w:val="000000" w:themeColor="text1"/>
          <w:sz w:val="16"/>
          <w:szCs w:val="16"/>
        </w:rPr>
      </w:pPr>
    </w:p>
    <w:p w14:paraId="30030C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29-30 июля 1930 А.Д.Алексеев, полярный летчик, вместе с итальянцем де-Бриганти на Дорнье-Валь совершили перелет из Пизы в Одессу с посадкой в Константинополе. Самолет был закуплен для Севморпути (438,610) и назывался Комсеверпуть-2. В августе прилетела вторая из заказанных 2-х машин. Итальянцы довели машину до Севастополя, а из Севастополя через Таганрог - Самару - Архангельск в Колгуев вели наши. Комсеверпуть - 1 фотографировал Ангарстрой и исследовал район падения Тунгусского метеорита. В 1930 провел 46 судов (2543,14).</w:t>
      </w:r>
    </w:p>
    <w:p w14:paraId="7FF15DA7" w14:textId="77777777" w:rsidR="00537E5F" w:rsidRPr="00507A31" w:rsidRDefault="00537E5F" w:rsidP="00507A31">
      <w:pPr>
        <w:autoSpaceDE w:val="0"/>
        <w:autoSpaceDN w:val="0"/>
        <w:adjustRightInd w:val="0"/>
        <w:jc w:val="both"/>
        <w:rPr>
          <w:color w:val="000000" w:themeColor="text1"/>
          <w:sz w:val="16"/>
          <w:szCs w:val="16"/>
        </w:rPr>
      </w:pPr>
    </w:p>
    <w:p w14:paraId="69A2CC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C 29 июля по 7 августа 1930 был произведен перелет 2-х ДВ.</w:t>
      </w:r>
    </w:p>
    <w:p w14:paraId="258096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июля 1930 состоялся предварительный полет в Ейск в целях испытания пробега самолета при взлете, работы моторов и расхода горючего с полной нагрузкой двумя самолетами.</w:t>
      </w:r>
    </w:p>
    <w:p w14:paraId="510DE1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6 часов 07 минут 1 августа с.г. 2 самолета взлетели для полета в Киев.</w:t>
      </w:r>
    </w:p>
    <w:p w14:paraId="1C7FFC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 самолет не взлетел вследствие поломки.</w:t>
      </w:r>
    </w:p>
    <w:p w14:paraId="751224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взлетевших самолета сделали посадку.</w:t>
      </w:r>
    </w:p>
    <w:p w14:paraId="53FF0A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9 часов 11 минут 1 августа 3 самолета взлетели по маршруту Севастополь-Киев и в 19 часов 10 минут сделали посадку в Киеве на Днепре, пробыв в воздухе 6 часов 59 минут. Полет проводился на высоте 400-1000 метров.</w:t>
      </w:r>
    </w:p>
    <w:p w14:paraId="7A4D43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августа 3 самолета вылетели в Ленинград в 5 часов 47 минут. Посадка в Ленинграде была произведена в 14 часов 08 минут, пробыв в воздухе 8 часов 21 минуту.</w:t>
      </w:r>
    </w:p>
    <w:p w14:paraId="011D52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Вылетели из Ленинграда в 10 часов 54 минуты в Киев 5 августа.</w:t>
      </w:r>
    </w:p>
    <w:p w14:paraId="5CF86F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Вылетели из Киева 7 августа в 5 часов 50 минут. За это время двумя самолетами были совершены вынужденные посадки.</w:t>
      </w:r>
    </w:p>
    <w:p w14:paraId="41D8F4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августа 2 самолета в 18 часов 45 минут вернулись в Севастополь.</w:t>
      </w:r>
    </w:p>
    <w:p w14:paraId="3B3480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Таким образом весь перелет от Севастополя до Ленинграда и обратно совершен в 30 часов 53 минуты.</w:t>
      </w:r>
    </w:p>
    <w:p w14:paraId="68350C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Полет проходил на максимальных высотах 1700 метров, минимальных 100 метров.</w:t>
      </w:r>
    </w:p>
    <w:p w14:paraId="56302B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 летели все время в строю разомкнутого клина, что наиболее приемлемо. (2978,1-9).</w:t>
      </w:r>
    </w:p>
    <w:p w14:paraId="10FB441B" w14:textId="77777777" w:rsidR="00537E5F" w:rsidRPr="00507A31" w:rsidRDefault="00537E5F" w:rsidP="00507A31">
      <w:pPr>
        <w:autoSpaceDE w:val="0"/>
        <w:autoSpaceDN w:val="0"/>
        <w:adjustRightInd w:val="0"/>
        <w:jc w:val="both"/>
        <w:rPr>
          <w:color w:val="000000" w:themeColor="text1"/>
          <w:sz w:val="16"/>
          <w:szCs w:val="16"/>
        </w:rPr>
      </w:pPr>
    </w:p>
    <w:p w14:paraId="12708C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29-30 июля 1930 г. итальянец де Бриганти совместно с А.Д.Алексеевым перегнали ДВ № 142 перегнал из Италии в Севастополь. Далее самолет, получивший название "Комсеверпуть-2", направился на остров Колгуев через Таганрог, Самару и Архангельск для участия в ледовых разведках. Командир экипажа - И.К.Иванов. До окончания навигации "Комсеверпуть-2" выполнил 12 полетов, покрыв в общей сложности 10600 км, базировался на острове Вайгач, в бухте Варнека и на острове Диксон (11970).</w:t>
      </w:r>
    </w:p>
    <w:p w14:paraId="02D1FD5B" w14:textId="77777777" w:rsidR="00537E5F" w:rsidRPr="00507A31" w:rsidRDefault="00537E5F" w:rsidP="00507A31">
      <w:pPr>
        <w:autoSpaceDE w:val="0"/>
        <w:autoSpaceDN w:val="0"/>
        <w:adjustRightInd w:val="0"/>
        <w:jc w:val="both"/>
        <w:rPr>
          <w:color w:val="000000" w:themeColor="text1"/>
          <w:sz w:val="16"/>
          <w:szCs w:val="16"/>
        </w:rPr>
      </w:pPr>
    </w:p>
    <w:p w14:paraId="4CF12F2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BA9B8C4" w14:textId="77777777" w:rsidR="00537E5F" w:rsidRPr="00507A31" w:rsidRDefault="00537E5F" w:rsidP="00507A31">
      <w:pPr>
        <w:autoSpaceDE w:val="0"/>
        <w:autoSpaceDN w:val="0"/>
        <w:adjustRightInd w:val="0"/>
        <w:jc w:val="both"/>
        <w:rPr>
          <w:iCs/>
          <w:color w:val="000000" w:themeColor="text1"/>
          <w:sz w:val="16"/>
          <w:szCs w:val="16"/>
        </w:rPr>
      </w:pPr>
    </w:p>
    <w:p w14:paraId="192215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июля 1930 был произведен предварительный полет двух самолетов Дорнье Валь в Ейск с целью испытания пробега при взлете и посадке, работы моторов и расхода горючего с полной нагрузкой.</w:t>
      </w:r>
    </w:p>
    <w:p w14:paraId="4B9B5D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момента появления этих летающих лодок на вооружении морской авиации, при их ограниченном количестве, многократно ставился вопрос: где должны базироваться "Вали" - на Черном или Балтийском море? Окончательно решили оставить соединение таких лодок на Черном море, подразумевая, что в военное время в случае необходимости они перелетят на Балтику. Для подтверждения возможности такой передислокации в 1930 г. решено было произвести пробный перелет трех Дорнье "Валь" из состава 9-й авиабригады вдоль крупных рек на север и обратно.</w:t>
      </w:r>
    </w:p>
    <w:p w14:paraId="22520B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Подготовка к перелету началась в январе 1930 г. Поначалу маршрут прокладывали вплоть до Архангельска, т.е. решили охватить и северный театр возможных боевых действий. Однако в окончательном варианте остановились на маршруте Севастополь - Киев - Ленинград. К середине лета с вылетом окончательно определились.</w:t>
      </w:r>
    </w:p>
    <w:p w14:paraId="408354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августу подготовили три самолета: ДВ №2 60-й аэ, ДВ №8 63-й аэ и ДВ командира 9-й авиабригады (здесь указаны бортовые, или т.н. строевые номера самолетов). 1 августа с акватории бухты Голландия в 6.30 утра машины пошли на взлет. Впрочем, у ДВ №8 сдал кормовой двигатель, и начало старта на пару часов отложили. Вторично взлетели все трое в 9.11, набрали высоту и взяли курс на север. В 16.10 три летающие лодки при проливном дожде опустились на Днепре в Киеве. 2 августа в 5.47 утра стартовали на Ленинград, куда благополучно прибыли в середине дня. В 14 часов 08 минут, пробыв в воздухе 8 часов 21 минуту, все три "Валя" приводнились в акватории Гребного порта.</w:t>
      </w:r>
    </w:p>
    <w:p w14:paraId="095071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двухдневного отдыха, утром 5 августа в 10 часов 54 минуты, три ДВ стартовали в обратный путь. Курс держали первоначально вдоль реки Волхов, затем довернули на Киев.</w:t>
      </w:r>
    </w:p>
    <w:p w14:paraId="6E0EF8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4F6A2B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370B25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41BAB4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32AAEC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624033E8" w14:textId="77777777" w:rsidR="00537E5F" w:rsidRPr="00507A31" w:rsidRDefault="00537E5F" w:rsidP="00507A31">
      <w:pPr>
        <w:autoSpaceDE w:val="0"/>
        <w:autoSpaceDN w:val="0"/>
        <w:adjustRightInd w:val="0"/>
        <w:jc w:val="both"/>
        <w:rPr>
          <w:color w:val="000000" w:themeColor="text1"/>
          <w:sz w:val="16"/>
          <w:szCs w:val="16"/>
        </w:rPr>
      </w:pPr>
    </w:p>
    <w:p w14:paraId="54142EB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550D762" w14:textId="77777777" w:rsidR="00537E5F" w:rsidRPr="00507A31" w:rsidRDefault="00537E5F" w:rsidP="00507A31">
      <w:pPr>
        <w:autoSpaceDE w:val="0"/>
        <w:autoSpaceDN w:val="0"/>
        <w:adjustRightInd w:val="0"/>
        <w:jc w:val="both"/>
        <w:rPr>
          <w:iCs/>
          <w:color w:val="000000" w:themeColor="text1"/>
          <w:sz w:val="16"/>
          <w:szCs w:val="16"/>
        </w:rPr>
      </w:pPr>
    </w:p>
    <w:p w14:paraId="29638738" w14:textId="77777777" w:rsidR="00BE3CFC" w:rsidRPr="00507A31" w:rsidRDefault="00BE3CFC" w:rsidP="00507A31">
      <w:pPr>
        <w:jc w:val="both"/>
        <w:rPr>
          <w:color w:val="000000" w:themeColor="text1"/>
          <w:sz w:val="16"/>
          <w:szCs w:val="16"/>
        </w:rPr>
      </w:pPr>
      <w:r w:rsidRPr="00507A31">
        <w:rPr>
          <w:color w:val="000000" w:themeColor="text1"/>
          <w:sz w:val="16"/>
          <w:szCs w:val="16"/>
        </w:rPr>
        <w:t xml:space="preserve">29 июля в 1930 году из Пизы вылетела первая летающая лодка </w:t>
      </w:r>
      <w:hyperlink r:id="rId127" w:tgtFrame="_blank" w:history="1">
        <w:r w:rsidRPr="00507A31">
          <w:rPr>
            <w:color w:val="000000" w:themeColor="text1"/>
            <w:sz w:val="16"/>
            <w:szCs w:val="16"/>
          </w:rPr>
          <w:t xml:space="preserve">«Dornier» «Do.J Wal», </w:t>
        </w:r>
      </w:hyperlink>
      <w:r w:rsidRPr="00507A31">
        <w:rPr>
          <w:color w:val="000000" w:themeColor="text1"/>
          <w:sz w:val="16"/>
          <w:szCs w:val="16"/>
        </w:rPr>
        <w:t>получившая название "Комсеверопуть-2". До Севастополя его вел итальянский экипаж. В августе прилетела и вторая машина. Из Севастополя уже советские пилоты повели «ДВ» по маршруту Севастополь - Таганрог - Самара - Архангельск - остров Колгуев. В феврале 1930 года руководство "Комсеверопути" заказало в Италии две машины с моторами «BMW VI». С военного варианта самолета убрали турели, пилоны бомбодержателей, зашили люк задней стрелковой точки, усилили набор и утолщили обшивку в задней части лодки. Круглый люк в носовом отсеке оставили, но снабдили его козырьком для защиты от ветра и съемной крышкой. Предусмотрели аварийный слив горючего в воздухе и установку радиопеленгатора. Радиостанция теперь питалась не от ветрянки, а от привода компрессора. Заказ был выполнен заводом в Финале-Марина, машины получили номера 142 и 143. Приемкой самолетов в Италии занимались будущие командиры экипажей И.К.Иванов и А.Д.Алексеев (последний до этого был штурманом у Б.Г.Чухновского) (14967).</w:t>
      </w:r>
    </w:p>
    <w:p w14:paraId="6A474728" w14:textId="77777777" w:rsidR="00BE3CFC" w:rsidRPr="00507A31" w:rsidRDefault="00BE3CFC" w:rsidP="00507A31">
      <w:pPr>
        <w:jc w:val="both"/>
        <w:rPr>
          <w:color w:val="000000" w:themeColor="text1"/>
          <w:sz w:val="16"/>
          <w:szCs w:val="16"/>
        </w:rPr>
      </w:pPr>
    </w:p>
    <w:p w14:paraId="1D00C615" w14:textId="77777777" w:rsidR="005F05C5" w:rsidRPr="00507A31" w:rsidRDefault="005F05C5" w:rsidP="00507A31">
      <w:pPr>
        <w:jc w:val="both"/>
        <w:rPr>
          <w:color w:val="0070C0"/>
          <w:sz w:val="16"/>
          <w:szCs w:val="16"/>
        </w:rPr>
      </w:pPr>
      <w:r w:rsidRPr="00507A31">
        <w:rPr>
          <w:color w:val="0070C0"/>
          <w:sz w:val="16"/>
          <w:szCs w:val="16"/>
        </w:rPr>
        <w:t>29 июля 1930 британский дирижабль R100 отправляется в испытательный полет из Великобритании в Монреаль, Квебек, Канада и обратно. Она прибудет в Монреаль через 78 часов, пробудет там 12 дней, затем 13 августа отправится в обратный путь в Соединенное Королевство и прибудет в Лондон 16 августа после полета продолжительностью 57,5 часов (20805).</w:t>
      </w:r>
    </w:p>
    <w:p w14:paraId="41BBD005" w14:textId="77777777" w:rsidR="005F05C5" w:rsidRPr="00507A31" w:rsidRDefault="005F05C5" w:rsidP="00507A31">
      <w:pPr>
        <w:jc w:val="both"/>
        <w:rPr>
          <w:color w:val="0070C0"/>
          <w:sz w:val="16"/>
          <w:szCs w:val="16"/>
        </w:rPr>
      </w:pPr>
    </w:p>
    <w:p w14:paraId="5D283917" w14:textId="77777777" w:rsidR="005F05C5" w:rsidRPr="00507A31" w:rsidRDefault="005F05C5" w:rsidP="00507A31">
      <w:pPr>
        <w:jc w:val="both"/>
        <w:rPr>
          <w:color w:val="0070C0"/>
          <w:sz w:val="16"/>
          <w:szCs w:val="16"/>
        </w:rPr>
      </w:pPr>
      <w:r w:rsidRPr="00507A31">
        <w:rPr>
          <w:color w:val="0070C0"/>
          <w:sz w:val="16"/>
          <w:szCs w:val="16"/>
        </w:rPr>
        <w:t>29 июля 1930 года — дирижабль R100 отправился в трансатлантический перелёт. /Великобритания/</w:t>
      </w:r>
    </w:p>
    <w:p w14:paraId="6B23090F" w14:textId="77777777" w:rsidR="005F05C5" w:rsidRPr="00507A31" w:rsidRDefault="005F05C5" w:rsidP="00507A31">
      <w:pPr>
        <w:jc w:val="both"/>
        <w:rPr>
          <w:color w:val="0070C0"/>
          <w:sz w:val="16"/>
          <w:szCs w:val="16"/>
        </w:rPr>
      </w:pPr>
      <w:r w:rsidRPr="00507A31">
        <w:rPr>
          <w:color w:val="0070C0"/>
          <w:sz w:val="16"/>
          <w:szCs w:val="16"/>
        </w:rPr>
        <w:t>В декабре 1929 года первый полёт совершил жёсткий дирижабль R100. Он строился в рамках проекта Imperial Airship Scheme — всемирной сети грузопассажирских перевозок на дирижаблях, призванной улучшить связь между Великобританией и её доминионами.</w:t>
      </w:r>
    </w:p>
    <w:p w14:paraId="3A1F7F42" w14:textId="77777777" w:rsidR="005F05C5" w:rsidRPr="00507A31" w:rsidRDefault="005F05C5" w:rsidP="00507A31">
      <w:pPr>
        <w:jc w:val="both"/>
        <w:rPr>
          <w:color w:val="0070C0"/>
          <w:sz w:val="16"/>
          <w:szCs w:val="16"/>
        </w:rPr>
      </w:pPr>
      <w:r w:rsidRPr="00507A31">
        <w:rPr>
          <w:color w:val="0070C0"/>
          <w:sz w:val="16"/>
          <w:szCs w:val="16"/>
        </w:rPr>
        <w:t>R100 хорошо показал себя во время испытаний. Но реальной проверкой для нового дирижабля должен был стать перелёт через Атлантику. В полёт из Кардингтона в Монреаль на борту R100 отправилось 44 пассажира и 38 членов экипажа.</w:t>
      </w:r>
    </w:p>
    <w:p w14:paraId="6561D5B9" w14:textId="77777777" w:rsidR="005F05C5" w:rsidRPr="00507A31" w:rsidRDefault="005F05C5" w:rsidP="00507A31">
      <w:pPr>
        <w:jc w:val="both"/>
        <w:rPr>
          <w:color w:val="0070C0"/>
          <w:sz w:val="16"/>
          <w:szCs w:val="16"/>
        </w:rPr>
      </w:pPr>
      <w:r w:rsidRPr="00507A31">
        <w:rPr>
          <w:color w:val="0070C0"/>
          <w:sz w:val="16"/>
          <w:szCs w:val="16"/>
        </w:rPr>
        <w:t>Путешествие в Канаду оказалось успешным. Расстояние в 5300 км R100 преодолел за 78 часов (58 часов на обратном пути). Во время пребывания в Канаде дирижабль выполнял демонстрационные полёты и был открыт для экскурсий. После триумфального возвращения на Британские острова его поставили на ремонт. Но, увы, больше он никогда не летал — через год потерпит катастрофу однотипный дирижабль R101 и R100 разберут на металл (22300).</w:t>
      </w:r>
    </w:p>
    <w:p w14:paraId="755116BC" w14:textId="77777777" w:rsidR="005F05C5" w:rsidRPr="00507A31" w:rsidRDefault="005F05C5" w:rsidP="00507A31">
      <w:pPr>
        <w:jc w:val="both"/>
        <w:rPr>
          <w:color w:val="0070C0"/>
          <w:sz w:val="16"/>
          <w:szCs w:val="16"/>
        </w:rPr>
      </w:pPr>
    </w:p>
    <w:p w14:paraId="4B81C5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июля 1930 дирижабль R-100 совершил первый пассажирский полет из Англии в Канаду (3481).</w:t>
      </w:r>
    </w:p>
    <w:p w14:paraId="4C788ABA" w14:textId="77777777" w:rsidR="00537E5F" w:rsidRPr="00507A31" w:rsidRDefault="00537E5F" w:rsidP="00507A31">
      <w:pPr>
        <w:autoSpaceDE w:val="0"/>
        <w:autoSpaceDN w:val="0"/>
        <w:adjustRightInd w:val="0"/>
        <w:jc w:val="both"/>
        <w:rPr>
          <w:color w:val="000000" w:themeColor="text1"/>
          <w:sz w:val="16"/>
          <w:szCs w:val="16"/>
        </w:rPr>
      </w:pPr>
    </w:p>
    <w:p w14:paraId="476EEC0B" w14:textId="77777777" w:rsidR="00BE3CFC" w:rsidRPr="00507A31" w:rsidRDefault="00BE3CFC" w:rsidP="00507A31">
      <w:pPr>
        <w:jc w:val="both"/>
        <w:rPr>
          <w:color w:val="000000" w:themeColor="text1"/>
          <w:sz w:val="16"/>
          <w:szCs w:val="16"/>
        </w:rPr>
      </w:pPr>
      <w:r w:rsidRPr="00507A31">
        <w:rPr>
          <w:color w:val="000000" w:themeColor="text1"/>
          <w:sz w:val="16"/>
          <w:szCs w:val="16"/>
        </w:rPr>
        <w:t xml:space="preserve">29 июля в 1930 году </w:t>
      </w:r>
      <w:hyperlink r:id="rId128" w:tgtFrame="_blank" w:history="1">
        <w:r w:rsidRPr="00507A31">
          <w:rPr>
            <w:color w:val="000000" w:themeColor="text1"/>
            <w:sz w:val="16"/>
            <w:szCs w:val="16"/>
          </w:rPr>
          <w:t xml:space="preserve">дирижабль «R100» </w:t>
        </w:r>
      </w:hyperlink>
      <w:r w:rsidRPr="00507A31">
        <w:rPr>
          <w:color w:val="000000" w:themeColor="text1"/>
          <w:sz w:val="16"/>
          <w:szCs w:val="16"/>
        </w:rPr>
        <w:t>совершает первый пассажирский полет из Англии в Канаду. Дирижабль долетел до Монреаля за 78 часов (14967).</w:t>
      </w:r>
    </w:p>
    <w:p w14:paraId="0562401C" w14:textId="77777777" w:rsidR="00BE3CFC" w:rsidRPr="00507A31" w:rsidRDefault="00BE3CFC" w:rsidP="00507A31">
      <w:pPr>
        <w:jc w:val="both"/>
        <w:rPr>
          <w:color w:val="000000" w:themeColor="text1"/>
          <w:sz w:val="16"/>
          <w:szCs w:val="16"/>
        </w:rPr>
      </w:pPr>
    </w:p>
    <w:p w14:paraId="25422B0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29 июля 1930 совершен первый пассажирский полет из Англии в Канаду (4962).</w:t>
      </w:r>
    </w:p>
    <w:p w14:paraId="767A19A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1CAD299" w14:textId="77777777" w:rsidR="002A436D" w:rsidRPr="00507A31" w:rsidRDefault="002A436D" w:rsidP="00507A31">
      <w:pPr>
        <w:autoSpaceDE w:val="0"/>
        <w:autoSpaceDN w:val="0"/>
        <w:adjustRightInd w:val="0"/>
        <w:jc w:val="both"/>
        <w:rPr>
          <w:iCs/>
          <w:color w:val="000000" w:themeColor="text1"/>
          <w:sz w:val="16"/>
          <w:szCs w:val="16"/>
        </w:rPr>
      </w:pPr>
      <w:bookmarkStart w:id="70" w:name="_Hlk83569794"/>
      <w:r w:rsidRPr="00507A31">
        <w:rPr>
          <w:i/>
          <w:iCs/>
          <w:color w:val="000000" w:themeColor="text1"/>
          <w:sz w:val="16"/>
          <w:szCs w:val="16"/>
        </w:rPr>
        <w:t>Авиапромышленность:</w:t>
      </w:r>
    </w:p>
    <w:p w14:paraId="3CFE1851" w14:textId="77777777" w:rsidR="002A436D" w:rsidRPr="00507A31" w:rsidRDefault="002A436D" w:rsidP="00507A31">
      <w:pPr>
        <w:autoSpaceDE w:val="0"/>
        <w:autoSpaceDN w:val="0"/>
        <w:adjustRightInd w:val="0"/>
        <w:jc w:val="both"/>
        <w:rPr>
          <w:iCs/>
          <w:color w:val="000000" w:themeColor="text1"/>
          <w:sz w:val="16"/>
          <w:szCs w:val="16"/>
        </w:rPr>
      </w:pPr>
    </w:p>
    <w:p w14:paraId="45D78B51" w14:textId="77777777" w:rsidR="002A436D" w:rsidRPr="00507A31" w:rsidRDefault="002A436D" w:rsidP="00507A31">
      <w:pPr>
        <w:shd w:val="clear" w:color="auto" w:fill="FFFFFF"/>
        <w:jc w:val="both"/>
        <w:rPr>
          <w:color w:val="0070C0"/>
          <w:sz w:val="16"/>
          <w:szCs w:val="16"/>
        </w:rPr>
      </w:pPr>
      <w:r w:rsidRPr="00507A31">
        <w:rPr>
          <w:color w:val="0070C0"/>
          <w:sz w:val="16"/>
          <w:szCs w:val="16"/>
        </w:rPr>
        <w:t>30 июля 1930 г. состоялось заседание РЗ СТО</w:t>
      </w:r>
    </w:p>
    <w:p w14:paraId="79086D5A" w14:textId="77777777" w:rsidR="002A436D" w:rsidRPr="00507A31" w:rsidRDefault="002A436D" w:rsidP="00507A31">
      <w:pPr>
        <w:shd w:val="clear" w:color="auto" w:fill="FFFFFF"/>
        <w:jc w:val="both"/>
        <w:rPr>
          <w:color w:val="0070C0"/>
          <w:sz w:val="16"/>
          <w:szCs w:val="16"/>
        </w:rPr>
      </w:pPr>
      <w:r w:rsidRPr="00507A31">
        <w:rPr>
          <w:color w:val="0070C0"/>
          <w:sz w:val="16"/>
          <w:szCs w:val="16"/>
        </w:rPr>
        <w:t>Протокол № 54 от 30 июля 1930 г.:</w:t>
      </w:r>
    </w:p>
    <w:p w14:paraId="5358081C" w14:textId="77777777" w:rsidR="002A436D" w:rsidRPr="00507A31" w:rsidRDefault="002A436D" w:rsidP="00507A31">
      <w:pPr>
        <w:shd w:val="clear" w:color="auto" w:fill="FFFFFF"/>
        <w:jc w:val="both"/>
        <w:rPr>
          <w:color w:val="0070C0"/>
          <w:sz w:val="16"/>
          <w:szCs w:val="16"/>
        </w:rPr>
      </w:pPr>
      <w:r w:rsidRPr="00507A31">
        <w:rPr>
          <w:color w:val="0070C0"/>
          <w:sz w:val="16"/>
          <w:szCs w:val="16"/>
        </w:rPr>
        <w:lastRenderedPageBreak/>
        <w:t>…О передаче авиационной промышленности из ведения ВСНХ СССР в ведение НКВМ (постановление СНК СССР № 42 от 28.7.1930 г. к протоколу РЗ СТО № 54 от 30.7.1930 г. по п. 13) (21566).</w:t>
      </w:r>
    </w:p>
    <w:p w14:paraId="733C0218" w14:textId="77777777" w:rsidR="002A436D" w:rsidRPr="00507A31" w:rsidRDefault="002A436D" w:rsidP="00507A31">
      <w:pPr>
        <w:jc w:val="both"/>
        <w:rPr>
          <w:color w:val="0070C0"/>
          <w:sz w:val="16"/>
          <w:szCs w:val="16"/>
        </w:rPr>
      </w:pPr>
    </w:p>
    <w:bookmarkEnd w:id="70"/>
    <w:p w14:paraId="45377256" w14:textId="77777777" w:rsidR="00537E5F" w:rsidRPr="00507A31" w:rsidRDefault="00AC7355" w:rsidP="00507A31">
      <w:pPr>
        <w:tabs>
          <w:tab w:val="left" w:pos="11199"/>
        </w:tabs>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B2A3683" w14:textId="77777777" w:rsidR="00537E5F" w:rsidRPr="00507A31" w:rsidRDefault="00537E5F" w:rsidP="00507A31">
      <w:pPr>
        <w:tabs>
          <w:tab w:val="left" w:pos="11199"/>
        </w:tabs>
        <w:autoSpaceDE w:val="0"/>
        <w:autoSpaceDN w:val="0"/>
        <w:adjustRightInd w:val="0"/>
        <w:jc w:val="both"/>
        <w:rPr>
          <w:iCs/>
          <w:color w:val="000000" w:themeColor="text1"/>
          <w:sz w:val="16"/>
          <w:szCs w:val="16"/>
        </w:rPr>
      </w:pPr>
    </w:p>
    <w:p w14:paraId="1D7A47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июля 1930 г. был ЗАПРОС УММ НА ЗАВОД "БОЛЬШЕВИК" О ТЕХНИЧЕСКОМ ОБСЛУЖИВАНИИ ТАНКА МС-1</w:t>
      </w:r>
    </w:p>
    <w:p w14:paraId="771BF2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063FF0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заливке в картер МС-1 масла согласно инструкции на 80 - 100 делений по измерителю про-1 исходит выбивание масла, что резко повышает расход его против нормы.</w:t>
      </w:r>
    </w:p>
    <w:p w14:paraId="5E04F8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Механизированная бригада, ссылаясь на имеющийся, якобы, у завода опыт, просит разрешения ] производить заливку масла только до 40 - 50 делений по измерителю.</w:t>
      </w:r>
    </w:p>
    <w:p w14:paraId="7FAB25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Прошу срочно сообщить о возможности удовлетворения этой просьбы, т.к. без заключения за</w:t>
      </w:r>
      <w:r w:rsidRPr="00507A31">
        <w:rPr>
          <w:color w:val="000000" w:themeColor="text1"/>
          <w:sz w:val="16"/>
          <w:szCs w:val="16"/>
        </w:rPr>
        <w:softHyphen/>
        <w:t>вода вопрос этот разрешить нельзя.</w:t>
      </w:r>
    </w:p>
    <w:p w14:paraId="63DA5C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1 отдела ТУ УММ РККА I</w:t>
      </w:r>
    </w:p>
    <w:p w14:paraId="4B2AA3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Моргунов 1</w:t>
      </w:r>
    </w:p>
    <w:p w14:paraId="3DD989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70. Л. 74. Подлинник (11210).</w:t>
      </w:r>
    </w:p>
    <w:p w14:paraId="5D805B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AAB12A0" w14:textId="77777777" w:rsidR="002A436D" w:rsidRPr="00507A31" w:rsidRDefault="002A436D" w:rsidP="00507A31">
      <w:pPr>
        <w:jc w:val="both"/>
        <w:rPr>
          <w:color w:val="0070C0"/>
          <w:sz w:val="16"/>
          <w:szCs w:val="16"/>
        </w:rPr>
      </w:pPr>
      <w:r w:rsidRPr="00507A31">
        <w:rPr>
          <w:color w:val="0070C0"/>
          <w:sz w:val="16"/>
          <w:szCs w:val="16"/>
        </w:rPr>
        <w:t>30 июля 1930 опросом членов ПБ</w:t>
      </w:r>
    </w:p>
    <w:p w14:paraId="2FF64517" w14:textId="77777777" w:rsidR="002A436D" w:rsidRPr="00507A31" w:rsidRDefault="002A436D" w:rsidP="00507A31">
      <w:pPr>
        <w:jc w:val="both"/>
        <w:rPr>
          <w:color w:val="0070C0"/>
          <w:sz w:val="16"/>
          <w:szCs w:val="16"/>
        </w:rPr>
      </w:pPr>
      <w:r w:rsidRPr="00507A31">
        <w:rPr>
          <w:color w:val="0070C0"/>
          <w:sz w:val="16"/>
          <w:szCs w:val="16"/>
        </w:rPr>
        <w:t>14/34 – О тракторах их Америки</w:t>
      </w:r>
    </w:p>
    <w:p w14:paraId="15C54957" w14:textId="77777777" w:rsidR="002A436D" w:rsidRPr="00507A31" w:rsidRDefault="002A436D" w:rsidP="00507A31">
      <w:pPr>
        <w:jc w:val="both"/>
        <w:rPr>
          <w:color w:val="0070C0"/>
          <w:sz w:val="16"/>
          <w:szCs w:val="16"/>
        </w:rPr>
      </w:pPr>
      <w:r w:rsidRPr="00507A31">
        <w:rPr>
          <w:color w:val="0070C0"/>
          <w:sz w:val="16"/>
          <w:szCs w:val="16"/>
        </w:rPr>
        <w:t>(т. МИКОЯН).</w:t>
      </w:r>
    </w:p>
    <w:p w14:paraId="4C9B5B1B" w14:textId="77777777" w:rsidR="002A436D" w:rsidRPr="00507A31" w:rsidRDefault="002A436D" w:rsidP="00507A31">
      <w:pPr>
        <w:jc w:val="both"/>
        <w:rPr>
          <w:color w:val="0070C0"/>
          <w:sz w:val="16"/>
          <w:szCs w:val="16"/>
        </w:rPr>
      </w:pPr>
      <w:r w:rsidRPr="00507A31">
        <w:rPr>
          <w:color w:val="0070C0"/>
          <w:sz w:val="16"/>
          <w:szCs w:val="16"/>
        </w:rPr>
        <w:t>Обязать т.т. Калмановича, Юркина, Богданова установить такие сроки отгрузок тракторов, чтобы расход валюты в первом квартале составил не более 14 миллионов рублей.</w:t>
      </w:r>
    </w:p>
    <w:p w14:paraId="7F03061A" w14:textId="77777777" w:rsidR="002A436D" w:rsidRPr="00507A31" w:rsidRDefault="002A436D" w:rsidP="00507A31">
      <w:pPr>
        <w:jc w:val="both"/>
        <w:rPr>
          <w:color w:val="0070C0"/>
          <w:sz w:val="16"/>
          <w:szCs w:val="16"/>
        </w:rPr>
      </w:pPr>
      <w:r w:rsidRPr="00507A31">
        <w:rPr>
          <w:color w:val="0070C0"/>
          <w:sz w:val="16"/>
          <w:szCs w:val="16"/>
        </w:rPr>
        <w:t>Выписки посланы: т. Микояну</w:t>
      </w:r>
    </w:p>
    <w:p w14:paraId="320E17D8" w14:textId="77777777" w:rsidR="002A436D" w:rsidRPr="00507A31" w:rsidRDefault="002A436D" w:rsidP="00507A31">
      <w:pPr>
        <w:jc w:val="both"/>
        <w:rPr>
          <w:color w:val="0070C0"/>
          <w:sz w:val="16"/>
          <w:szCs w:val="16"/>
        </w:rPr>
      </w:pPr>
      <w:r w:rsidRPr="00507A31">
        <w:rPr>
          <w:color w:val="0070C0"/>
          <w:sz w:val="16"/>
          <w:szCs w:val="16"/>
        </w:rPr>
        <w:t>5 августа 1930 состоялось заседание ПБ (Протокол № 3) (23113).</w:t>
      </w:r>
    </w:p>
    <w:p w14:paraId="61B591CF" w14:textId="77777777" w:rsidR="002A436D" w:rsidRPr="00507A31" w:rsidRDefault="002A436D" w:rsidP="00507A31">
      <w:pPr>
        <w:jc w:val="both"/>
        <w:rPr>
          <w:color w:val="0070C0"/>
          <w:sz w:val="16"/>
          <w:szCs w:val="16"/>
        </w:rPr>
      </w:pPr>
    </w:p>
    <w:p w14:paraId="2045B13B" w14:textId="77777777" w:rsidR="00EA2934" w:rsidRPr="00507A31" w:rsidRDefault="00EA2934" w:rsidP="00507A31">
      <w:pPr>
        <w:jc w:val="both"/>
        <w:rPr>
          <w:color w:val="000000" w:themeColor="text1"/>
          <w:sz w:val="16"/>
          <w:szCs w:val="16"/>
        </w:rPr>
      </w:pPr>
      <w:r w:rsidRPr="00507A31">
        <w:rPr>
          <w:rStyle w:val="a7"/>
          <w:b w:val="0"/>
          <w:color w:val="000000" w:themeColor="text1"/>
          <w:sz w:val="16"/>
          <w:szCs w:val="16"/>
        </w:rPr>
        <w:t>30 июля 1930</w:t>
      </w:r>
      <w:r w:rsidRPr="00507A31">
        <w:rPr>
          <w:color w:val="000000" w:themeColor="text1"/>
          <w:sz w:val="16"/>
          <w:szCs w:val="16"/>
        </w:rPr>
        <w:t>Политбюро ЦК ВКП (б) указало на необходимость ускоренного развития металлургии на Урале и пуске нового Нижне-Тагильского металлургического завода в 1930/31 г. в соответствии с решениями XVI съезда ВКП (б) (12265).</w:t>
      </w:r>
    </w:p>
    <w:p w14:paraId="2CACD8F6" w14:textId="77777777" w:rsidR="00EA2934" w:rsidRPr="00507A31" w:rsidRDefault="00EA2934" w:rsidP="00507A31">
      <w:pPr>
        <w:jc w:val="both"/>
        <w:rPr>
          <w:color w:val="000000" w:themeColor="text1"/>
          <w:sz w:val="16"/>
          <w:szCs w:val="16"/>
        </w:rPr>
      </w:pPr>
      <w:r w:rsidRPr="00507A31">
        <w:rPr>
          <w:color w:val="000000" w:themeColor="text1"/>
          <w:sz w:val="16"/>
          <w:szCs w:val="16"/>
        </w:rPr>
        <w:t> </w:t>
      </w:r>
    </w:p>
    <w:p w14:paraId="7E0C158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0A1E249" w14:textId="77777777" w:rsidR="00537E5F" w:rsidRPr="00507A31" w:rsidRDefault="00537E5F" w:rsidP="00507A31">
      <w:pPr>
        <w:autoSpaceDE w:val="0"/>
        <w:autoSpaceDN w:val="0"/>
        <w:adjustRightInd w:val="0"/>
        <w:jc w:val="both"/>
        <w:rPr>
          <w:iCs/>
          <w:color w:val="000000" w:themeColor="text1"/>
          <w:sz w:val="16"/>
          <w:szCs w:val="16"/>
        </w:rPr>
      </w:pPr>
    </w:p>
    <w:p w14:paraId="4D72DE1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30 июля 1930 в районах сплошной коллективизации в СССР упразднена крестьянская община (4962).</w:t>
      </w:r>
    </w:p>
    <w:p w14:paraId="4ABDF9F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52B064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E9D405E" w14:textId="77777777" w:rsidR="00537E5F" w:rsidRPr="00507A31" w:rsidRDefault="00537E5F" w:rsidP="00507A31">
      <w:pPr>
        <w:autoSpaceDE w:val="0"/>
        <w:autoSpaceDN w:val="0"/>
        <w:adjustRightInd w:val="0"/>
        <w:jc w:val="both"/>
        <w:rPr>
          <w:iCs/>
          <w:color w:val="000000" w:themeColor="text1"/>
          <w:sz w:val="16"/>
          <w:szCs w:val="16"/>
        </w:rPr>
      </w:pPr>
    </w:p>
    <w:p w14:paraId="41BB16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июля 1930 в Португалии была создана неонацистская Партия национального союза (3907,162).</w:t>
      </w:r>
    </w:p>
    <w:p w14:paraId="4166FA09" w14:textId="77777777" w:rsidR="00537E5F" w:rsidRPr="00507A31" w:rsidRDefault="00537E5F" w:rsidP="00507A31">
      <w:pPr>
        <w:autoSpaceDE w:val="0"/>
        <w:autoSpaceDN w:val="0"/>
        <w:adjustRightInd w:val="0"/>
        <w:jc w:val="both"/>
        <w:rPr>
          <w:color w:val="000000" w:themeColor="text1"/>
          <w:sz w:val="16"/>
          <w:szCs w:val="16"/>
        </w:rPr>
      </w:pPr>
    </w:p>
    <w:p w14:paraId="2693084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30 июля 1930 первым чемпионом мира по футболу стала сборная Уругвая, победившая в финале 4:2 Аргентину (4962).</w:t>
      </w:r>
    </w:p>
    <w:p w14:paraId="71B08F6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D7A9B4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3A35DBE" w14:textId="77777777" w:rsidR="00537E5F" w:rsidRPr="00507A31" w:rsidRDefault="00537E5F" w:rsidP="00507A31">
      <w:pPr>
        <w:autoSpaceDE w:val="0"/>
        <w:autoSpaceDN w:val="0"/>
        <w:adjustRightInd w:val="0"/>
        <w:jc w:val="both"/>
        <w:rPr>
          <w:iCs/>
          <w:color w:val="000000" w:themeColor="text1"/>
          <w:sz w:val="16"/>
          <w:szCs w:val="16"/>
        </w:rPr>
      </w:pPr>
    </w:p>
    <w:p w14:paraId="2D4FF3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31 июля 1930 г. изготовили устройство для дозаправки в воздухе применительно к самолету Р-1,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6F4DA3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10951E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43C672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2F309173" w14:textId="77777777" w:rsidR="00537E5F" w:rsidRPr="00507A31" w:rsidRDefault="00537E5F" w:rsidP="00507A31">
      <w:pPr>
        <w:autoSpaceDE w:val="0"/>
        <w:autoSpaceDN w:val="0"/>
        <w:adjustRightInd w:val="0"/>
        <w:jc w:val="both"/>
        <w:rPr>
          <w:color w:val="000000" w:themeColor="text1"/>
          <w:sz w:val="16"/>
          <w:szCs w:val="16"/>
        </w:rPr>
      </w:pPr>
    </w:p>
    <w:p w14:paraId="7548BF77" w14:textId="77777777" w:rsidR="008F19E9" w:rsidRPr="00507A31" w:rsidRDefault="008F19E9" w:rsidP="00507A31">
      <w:pPr>
        <w:jc w:val="both"/>
        <w:rPr>
          <w:color w:val="000000" w:themeColor="text1"/>
          <w:sz w:val="16"/>
          <w:szCs w:val="16"/>
        </w:rPr>
      </w:pPr>
      <w:r w:rsidRPr="00507A31">
        <w:rPr>
          <w:color w:val="000000" w:themeColor="text1"/>
          <w:sz w:val="16"/>
          <w:szCs w:val="16"/>
        </w:rPr>
        <w:t>К 31 июля 1930 г. оборудование для дозаправки в воздухе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2E63E82" w14:textId="77777777" w:rsidR="008F19E9" w:rsidRPr="00507A31" w:rsidRDefault="008F19E9" w:rsidP="00507A31">
      <w:pPr>
        <w:jc w:val="both"/>
        <w:rPr>
          <w:color w:val="000000" w:themeColor="text1"/>
          <w:sz w:val="16"/>
          <w:szCs w:val="16"/>
        </w:rPr>
      </w:pPr>
      <w:r w:rsidRPr="00507A31">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55F8A185" w14:textId="77777777" w:rsidR="008F19E9" w:rsidRPr="00507A31" w:rsidRDefault="008F19E9" w:rsidP="00507A31">
      <w:pPr>
        <w:jc w:val="both"/>
        <w:rPr>
          <w:color w:val="000000" w:themeColor="text1"/>
          <w:sz w:val="16"/>
          <w:szCs w:val="16"/>
        </w:rPr>
      </w:pPr>
      <w:r w:rsidRPr="00507A31">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29" w:history="1">
        <w:r w:rsidRPr="00507A31">
          <w:rPr>
            <w:color w:val="000000" w:themeColor="text1"/>
            <w:sz w:val="16"/>
            <w:szCs w:val="16"/>
          </w:rPr>
          <w:t>[55]</w:t>
        </w:r>
      </w:hyperlink>
      <w:r w:rsidRPr="00507A31">
        <w:rPr>
          <w:color w:val="000000" w:themeColor="text1"/>
          <w:sz w:val="16"/>
          <w:szCs w:val="16"/>
        </w:rPr>
        <w:t xml:space="preserve"> .</w:t>
      </w:r>
    </w:p>
    <w:p w14:paraId="3E59502C" w14:textId="77777777" w:rsidR="008F19E9" w:rsidRPr="00507A31" w:rsidRDefault="008F19E9" w:rsidP="00507A31">
      <w:pPr>
        <w:jc w:val="both"/>
        <w:rPr>
          <w:color w:val="000000" w:themeColor="text1"/>
          <w:sz w:val="16"/>
          <w:szCs w:val="16"/>
        </w:rPr>
      </w:pPr>
      <w:r w:rsidRPr="00507A31">
        <w:rPr>
          <w:color w:val="000000" w:themeColor="text1"/>
          <w:sz w:val="16"/>
          <w:szCs w:val="16"/>
        </w:rPr>
        <w:t>Эти эксперименты были не больше, чем повторением американских опытов 1923 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03658533" w14:textId="77777777" w:rsidR="008F19E9" w:rsidRPr="00507A31" w:rsidRDefault="008F19E9" w:rsidP="00507A31">
      <w:pPr>
        <w:jc w:val="both"/>
        <w:rPr>
          <w:color w:val="000000" w:themeColor="text1"/>
          <w:sz w:val="16"/>
          <w:szCs w:val="16"/>
        </w:rPr>
      </w:pPr>
    </w:p>
    <w:p w14:paraId="68B3A7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июля 1930 вышел приказ РВС N 052 о том, что ВАО ВСНХ и ЦАГИ НТУ ВСНХ переходят в подчинение Наркомвоенмора. Назначили приемочную комиссию и хотели закончить работу 20 августа (1026,111).</w:t>
      </w:r>
    </w:p>
    <w:p w14:paraId="4F2DDF9F" w14:textId="77777777" w:rsidR="00537E5F" w:rsidRPr="00507A31" w:rsidRDefault="00537E5F" w:rsidP="00507A31">
      <w:pPr>
        <w:autoSpaceDE w:val="0"/>
        <w:autoSpaceDN w:val="0"/>
        <w:adjustRightInd w:val="0"/>
        <w:jc w:val="both"/>
        <w:rPr>
          <w:color w:val="000000" w:themeColor="text1"/>
          <w:sz w:val="16"/>
          <w:szCs w:val="16"/>
        </w:rPr>
      </w:pPr>
    </w:p>
    <w:p w14:paraId="2DE8B5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31 июля 1930 г. вышел ПРИКАЗ Революционного Военного Совета Союза ССР № 052, г.Москва.</w:t>
      </w:r>
    </w:p>
    <w:p w14:paraId="53950C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Всесоюзное Авиационное Об"единение ВСНХ СССР /ВАО/ и Центральный Аэро-Гидродинамический Институт НТУ ВСНХ СССР /ЦАГИ/ переходит в подчинение Наркомвоенмора.</w:t>
      </w:r>
    </w:p>
    <w:p w14:paraId="180FDC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передачи и приема ВАО в ЦАГИ назначаю Комиссию под председательством Зам. НКВМ и пред. РВСС т. Каменева С.С. и членов: от ВСНХ СССР - т. Кононенко - нач. 10 отд. МПУ ВСНХ от ВАО - т. Десятников - зам. нач. ВАО и от УВВС РККА - зам. нач. УВВС РККА т. Алкснис.</w:t>
      </w:r>
    </w:p>
    <w:p w14:paraId="337CEC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Комиссии закончить работу к 20-ому августа с.г. и все материалы представить мне.</w:t>
      </w:r>
    </w:p>
    <w:p w14:paraId="5A9556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НКВ и М делам и пред.РВС СССР УНШЛИХТ</w:t>
      </w:r>
    </w:p>
    <w:p w14:paraId="2E1AD7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/Приказ по ВСНХ СССР и НКВМД № 17с, от 12 августа 1930 г./</w:t>
      </w:r>
    </w:p>
    <w:p w14:paraId="56B7F2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ЦГАСА, ф. 4,оп. 1, д. 1227, л. 119 (1026,111).</w:t>
      </w:r>
    </w:p>
    <w:p w14:paraId="69CF78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7549B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июля 1930 г., согласно приказу Революционного военного совета (</w:t>
      </w:r>
      <w:r w:rsidRPr="00507A31">
        <w:rPr>
          <w:color w:val="000000" w:themeColor="text1"/>
          <w:sz w:val="16"/>
          <w:szCs w:val="16"/>
          <w:lang w:val="en-US"/>
        </w:rPr>
        <w:t>P</w:t>
      </w:r>
      <w:r w:rsidRPr="00507A31">
        <w:rPr>
          <w:color w:val="000000" w:themeColor="text1"/>
          <w:sz w:val="16"/>
          <w:szCs w:val="16"/>
        </w:rPr>
        <w:t>В</w:t>
      </w:r>
      <w:r w:rsidRPr="00507A31">
        <w:rPr>
          <w:color w:val="000000" w:themeColor="text1"/>
          <w:sz w:val="16"/>
          <w:szCs w:val="16"/>
          <w:lang w:val="en-US"/>
        </w:rPr>
        <w:t>C</w:t>
      </w:r>
      <w:r w:rsidRPr="00507A31">
        <w:rPr>
          <w:color w:val="000000" w:themeColor="text1"/>
          <w:sz w:val="16"/>
          <w:szCs w:val="16"/>
        </w:rPr>
        <w:t>) №052 ВАО и Центральный аэрогидродинамический институт (ЦАГИ) перешли в под</w:t>
      </w:r>
      <w:r w:rsidRPr="00507A31">
        <w:rPr>
          <w:color w:val="000000" w:themeColor="text1"/>
          <w:sz w:val="16"/>
          <w:szCs w:val="16"/>
        </w:rPr>
        <w:softHyphen/>
        <w:t>чинение Наркомата по военным и морским делам СССР. То есть, как тогда говорили, в ве</w:t>
      </w:r>
      <w:r w:rsidRPr="00507A31">
        <w:rPr>
          <w:color w:val="000000" w:themeColor="text1"/>
          <w:sz w:val="16"/>
          <w:szCs w:val="16"/>
        </w:rPr>
        <w:softHyphen/>
        <w:t>дение Наркомвоенмора Климента Ефре</w:t>
      </w:r>
      <w:r w:rsidRPr="00507A31">
        <w:rPr>
          <w:color w:val="000000" w:themeColor="text1"/>
          <w:sz w:val="16"/>
          <w:szCs w:val="16"/>
        </w:rPr>
        <w:softHyphen/>
        <w:t>мовича Ворошилова. Поэтому неудивитель</w:t>
      </w:r>
      <w:r w:rsidRPr="00507A31">
        <w:rPr>
          <w:color w:val="000000" w:themeColor="text1"/>
          <w:sz w:val="16"/>
          <w:szCs w:val="16"/>
        </w:rPr>
        <w:softHyphen/>
        <w:t>но, что второй опытный И-5, построенный в середине года, стал именным самолетом - на борту его ярко красного фюзеляжа нанесли иадпись «Клим Ворошилов». Именно этот именной экземпляр стал эталоном для первых серий И-5, выпускаемых на московских заводах № 1 и № 39 начиная с 1930 г. Поначалу количество заказанных истребителей определили в 100 экземпляров, причем первые 34 машины требовалось по</w:t>
      </w:r>
      <w:r w:rsidRPr="00507A31">
        <w:rPr>
          <w:color w:val="000000" w:themeColor="text1"/>
          <w:sz w:val="16"/>
          <w:szCs w:val="16"/>
        </w:rPr>
        <w:softHyphen/>
        <w:t>строить уже в октябре текущего года (11974).</w:t>
      </w:r>
    </w:p>
    <w:p w14:paraId="63CFE926" w14:textId="77777777" w:rsidR="00537E5F" w:rsidRPr="00507A31" w:rsidRDefault="00537E5F" w:rsidP="00507A31">
      <w:pPr>
        <w:autoSpaceDE w:val="0"/>
        <w:autoSpaceDN w:val="0"/>
        <w:adjustRightInd w:val="0"/>
        <w:jc w:val="both"/>
        <w:rPr>
          <w:color w:val="000000" w:themeColor="text1"/>
          <w:sz w:val="16"/>
          <w:szCs w:val="16"/>
        </w:rPr>
      </w:pPr>
    </w:p>
    <w:p w14:paraId="3A303E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31 июля 1930 г. Зам. Наркомвоенмор"а и пред. РВС СССР т. УБОРЕВИЧ писал письмо № 0368/се Начальнику штаба РККА тов, Шапошникову, Начальнику УВВС РККА тов. Баранову, Зам. Начальника ВАО тов. Десятникову</w:t>
      </w:r>
    </w:p>
    <w:p w14:paraId="67D7E3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разработки плана опытного строительства ВВС РККА в смысле скорейшего практического его выполнения, назначаю Комиссию в составе: Начальника штаба РККА т. Шапошникова, На</w:t>
      </w:r>
      <w:r w:rsidRPr="00507A31">
        <w:rPr>
          <w:color w:val="000000" w:themeColor="text1"/>
          <w:sz w:val="16"/>
          <w:szCs w:val="16"/>
        </w:rPr>
        <w:softHyphen/>
        <w:t>чальника УВВС РККА т. Баранова и представителя ВАО пом. нач-ка ВАО т. Метло.</w:t>
      </w:r>
    </w:p>
    <w:p w14:paraId="604BAB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Созыв Комиссии за начальником Штаба РККА,</w:t>
      </w:r>
    </w:p>
    <w:p w14:paraId="51F7BC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Срок работы - 10 дней.</w:t>
      </w:r>
    </w:p>
    <w:p w14:paraId="27F934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ЦГАСА, ф.4, оп. 1, д.1227, л.93 (1026,110).</w:t>
      </w:r>
    </w:p>
    <w:p w14:paraId="1E5840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AB0F4C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1AB5FCB" w14:textId="77777777" w:rsidR="00537E5F" w:rsidRPr="00507A31" w:rsidRDefault="00537E5F" w:rsidP="00507A31">
      <w:pPr>
        <w:autoSpaceDE w:val="0"/>
        <w:autoSpaceDN w:val="0"/>
        <w:adjustRightInd w:val="0"/>
        <w:jc w:val="both"/>
        <w:rPr>
          <w:iCs/>
          <w:color w:val="000000" w:themeColor="text1"/>
          <w:sz w:val="16"/>
          <w:szCs w:val="16"/>
        </w:rPr>
      </w:pPr>
    </w:p>
    <w:p w14:paraId="1686BE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31 июля 1930 г. в записке Замнаркомвоенмора И.П.Уборевича в Политбюро ЦК ВКП(б) отмечалось, что, план заказа выполняется едва не 10-15% (1566,73).</w:t>
      </w:r>
    </w:p>
    <w:p w14:paraId="4A5A04B8" w14:textId="77777777" w:rsidR="00537E5F" w:rsidRPr="00507A31" w:rsidRDefault="00537E5F" w:rsidP="00507A31">
      <w:pPr>
        <w:autoSpaceDE w:val="0"/>
        <w:autoSpaceDN w:val="0"/>
        <w:adjustRightInd w:val="0"/>
        <w:jc w:val="both"/>
        <w:rPr>
          <w:iCs/>
          <w:color w:val="000000" w:themeColor="text1"/>
          <w:sz w:val="16"/>
          <w:szCs w:val="16"/>
        </w:rPr>
      </w:pPr>
    </w:p>
    <w:p w14:paraId="5C79C926" w14:textId="77777777" w:rsidR="002A436D" w:rsidRPr="00507A31" w:rsidRDefault="002A436D" w:rsidP="00507A31">
      <w:pPr>
        <w:shd w:val="clear" w:color="auto" w:fill="FFFFFF"/>
        <w:jc w:val="both"/>
        <w:rPr>
          <w:color w:val="0070C0"/>
          <w:sz w:val="16"/>
          <w:szCs w:val="16"/>
        </w:rPr>
      </w:pPr>
      <w:bookmarkStart w:id="71" w:name="_Hlk57193379"/>
      <w:r w:rsidRPr="00507A31">
        <w:rPr>
          <w:color w:val="0070C0"/>
          <w:sz w:val="16"/>
          <w:szCs w:val="16"/>
        </w:rPr>
        <w:t>31 июля 1930 г.</w:t>
      </w:r>
    </w:p>
    <w:p w14:paraId="47269BBC" w14:textId="77777777" w:rsidR="002A436D" w:rsidRPr="00507A31" w:rsidRDefault="002A436D" w:rsidP="00507A31">
      <w:pPr>
        <w:shd w:val="clear" w:color="auto" w:fill="FFFFFF"/>
        <w:jc w:val="both"/>
        <w:rPr>
          <w:color w:val="0070C0"/>
          <w:sz w:val="16"/>
          <w:szCs w:val="16"/>
        </w:rPr>
      </w:pPr>
      <w:r w:rsidRPr="00507A31">
        <w:rPr>
          <w:color w:val="0070C0"/>
          <w:sz w:val="16"/>
          <w:szCs w:val="16"/>
          <w:bdr w:val="none" w:sz="0" w:space="0" w:color="auto" w:frame="1"/>
        </w:rPr>
        <w:t>ВЫПИСКА ИЗ ОПЕРАТИВНОЙ СВОДКИ ОСОБОГО ОТДЕЛА ОГПУ</w:t>
      </w:r>
    </w:p>
    <w:p w14:paraId="2F314879" w14:textId="77777777" w:rsidR="002A436D" w:rsidRPr="00507A31" w:rsidRDefault="002A436D" w:rsidP="00507A31">
      <w:pPr>
        <w:shd w:val="clear" w:color="auto" w:fill="FFFFFF"/>
        <w:jc w:val="both"/>
        <w:rPr>
          <w:color w:val="0070C0"/>
          <w:sz w:val="16"/>
          <w:szCs w:val="16"/>
        </w:rPr>
      </w:pPr>
      <w:r w:rsidRPr="00507A31">
        <w:rPr>
          <w:color w:val="0070C0"/>
          <w:sz w:val="16"/>
          <w:szCs w:val="16"/>
        </w:rPr>
        <w:t>31 июля 1930 г.</w:t>
      </w:r>
    </w:p>
    <w:p w14:paraId="10B6273F" w14:textId="77777777" w:rsidR="002A436D" w:rsidRPr="00507A31" w:rsidRDefault="002A436D" w:rsidP="00507A31">
      <w:pPr>
        <w:shd w:val="clear" w:color="auto" w:fill="FFFFFF"/>
        <w:jc w:val="both"/>
        <w:rPr>
          <w:color w:val="0070C0"/>
          <w:sz w:val="16"/>
          <w:szCs w:val="16"/>
        </w:rPr>
      </w:pPr>
      <w:r w:rsidRPr="00507A31">
        <w:rPr>
          <w:color w:val="0070C0"/>
          <w:sz w:val="16"/>
          <w:szCs w:val="16"/>
        </w:rPr>
        <w:t>На нормальный ход работы инженерного отдела нашего берлинского торгпредства в значительной мере отражаются выезды из Москвы за границу специальных комиссий от разных управлений Военведа, которые непосредственно связывается с иностранными фирмами и самостоятельно размещают наши заказы.</w:t>
      </w:r>
    </w:p>
    <w:p w14:paraId="370C54D5" w14:textId="77777777" w:rsidR="002A436D" w:rsidRPr="00507A31" w:rsidRDefault="002A436D" w:rsidP="00507A31">
      <w:pPr>
        <w:shd w:val="clear" w:color="auto" w:fill="FFFFFF"/>
        <w:jc w:val="both"/>
        <w:rPr>
          <w:color w:val="0070C0"/>
          <w:sz w:val="16"/>
          <w:szCs w:val="16"/>
        </w:rPr>
      </w:pPr>
      <w:r w:rsidRPr="00507A31">
        <w:rPr>
          <w:color w:val="0070C0"/>
          <w:sz w:val="16"/>
          <w:szCs w:val="16"/>
        </w:rPr>
        <w:t>Часто заключенные этими комиссиями сделки являются явно убыточными и нередко через отдельных членов этих комиссий фирмы выявляют степень нашей заинтересованности, что также влияет на повышение цен на заказах.</w:t>
      </w:r>
    </w:p>
    <w:p w14:paraId="6F1F4B03" w14:textId="77777777" w:rsidR="002A436D" w:rsidRPr="00507A31" w:rsidRDefault="002A436D" w:rsidP="00507A31">
      <w:pPr>
        <w:shd w:val="clear" w:color="auto" w:fill="FFFFFF"/>
        <w:jc w:val="both"/>
        <w:rPr>
          <w:color w:val="0070C0"/>
          <w:sz w:val="16"/>
          <w:szCs w:val="16"/>
        </w:rPr>
      </w:pPr>
      <w:r w:rsidRPr="00507A31">
        <w:rPr>
          <w:color w:val="0070C0"/>
          <w:sz w:val="16"/>
          <w:szCs w:val="16"/>
        </w:rPr>
        <w:t>Так, например:</w:t>
      </w:r>
    </w:p>
    <w:p w14:paraId="1E8DB7EA" w14:textId="77777777" w:rsidR="002A436D" w:rsidRPr="00507A31" w:rsidRDefault="002A436D" w:rsidP="00507A31">
      <w:pPr>
        <w:shd w:val="clear" w:color="auto" w:fill="FFFFFF"/>
        <w:jc w:val="both"/>
        <w:rPr>
          <w:color w:val="0070C0"/>
          <w:sz w:val="16"/>
          <w:szCs w:val="16"/>
        </w:rPr>
      </w:pPr>
      <w:r w:rsidRPr="00507A31">
        <w:rPr>
          <w:color w:val="0070C0"/>
          <w:sz w:val="16"/>
          <w:szCs w:val="16"/>
        </w:rPr>
        <w:t>1. Для размещения заказа у фирм «Юнкерс» и БМВ от Военведа выезжали спецкомиссии, которыми были заключены сделки. При последующих заказах инженерным отделом берлинского торгпредства цены были пересмотрены и снижены, что дало чистой экономии около 2 900 000 марок.</w:t>
      </w:r>
    </w:p>
    <w:p w14:paraId="3DD54F5E" w14:textId="77777777" w:rsidR="002A436D" w:rsidRPr="00507A31" w:rsidRDefault="002A436D" w:rsidP="00507A31">
      <w:pPr>
        <w:shd w:val="clear" w:color="auto" w:fill="FFFFFF"/>
        <w:jc w:val="both"/>
        <w:rPr>
          <w:color w:val="0070C0"/>
          <w:sz w:val="16"/>
          <w:szCs w:val="16"/>
        </w:rPr>
      </w:pPr>
      <w:r w:rsidRPr="00507A31">
        <w:rPr>
          <w:color w:val="0070C0"/>
          <w:sz w:val="16"/>
          <w:szCs w:val="16"/>
        </w:rPr>
        <w:t>2. В переговорах с инженерным отделом фирма Крупп, чтобы получить дополнительный заказ, заявила, что цена на коленчатые валы повышена не будет. Однако Авиотрест повел переговоры в Москве с представителем Круппа непосредственно, коим была прощупана степень нашей заинтересованности, и в результате на валы цена повышена, что даст на предстоящем заказе убытку около 200 000 марок.</w:t>
      </w:r>
    </w:p>
    <w:p w14:paraId="3B52AE4D" w14:textId="77777777" w:rsidR="002A436D" w:rsidRPr="00507A31" w:rsidRDefault="002A436D" w:rsidP="00507A31">
      <w:pPr>
        <w:shd w:val="clear" w:color="auto" w:fill="FFFFFF"/>
        <w:jc w:val="both"/>
        <w:rPr>
          <w:color w:val="0070C0"/>
          <w:sz w:val="16"/>
          <w:szCs w:val="16"/>
        </w:rPr>
      </w:pPr>
      <w:r w:rsidRPr="00507A31">
        <w:rPr>
          <w:color w:val="0070C0"/>
          <w:sz w:val="16"/>
          <w:szCs w:val="16"/>
        </w:rPr>
        <w:t>3. Для размещения в прошлом крупного заказа у фирмы «Босфорс» также непосредственно выступила специальная комиссия, которой был вложен аванс несколько сот тысяч марок на таких условиях, что дала возможность фирме в течении более двух лет безвозмездно пользоваться авансом, т. к. заказ вывезти оказалось невозможным.</w:t>
      </w:r>
    </w:p>
    <w:p w14:paraId="6DF5A20D" w14:textId="77777777" w:rsidR="002A436D" w:rsidRPr="00507A31" w:rsidRDefault="002A436D" w:rsidP="00507A31">
      <w:pPr>
        <w:shd w:val="clear" w:color="auto" w:fill="FFFFFF"/>
        <w:jc w:val="both"/>
        <w:rPr>
          <w:color w:val="0070C0"/>
          <w:sz w:val="16"/>
          <w:szCs w:val="16"/>
        </w:rPr>
      </w:pPr>
      <w:r w:rsidRPr="00507A31">
        <w:rPr>
          <w:color w:val="0070C0"/>
          <w:sz w:val="16"/>
          <w:szCs w:val="16"/>
        </w:rPr>
        <w:t>4. Для закупки несколько сот моторов во Франции у фирмы «Гном и Рон» также выезжала из Москвы специальная комиссия, которая заключила сделку на эти моторы по цене, превышающей действительную стоимость, т. к. те же моторы в гораздо меньшем количестве куплены инженерным отделом берлинского торгпредства у Сименса дешевле, несмотря на то что Сименс уплатил фирме «Гном-Рон» лицензию.</w:t>
      </w:r>
    </w:p>
    <w:p w14:paraId="0356C403" w14:textId="77777777" w:rsidR="002A436D" w:rsidRPr="00507A31" w:rsidRDefault="002A436D" w:rsidP="00507A31">
      <w:pPr>
        <w:shd w:val="clear" w:color="auto" w:fill="FFFFFF"/>
        <w:jc w:val="both"/>
        <w:rPr>
          <w:color w:val="0070C0"/>
          <w:sz w:val="16"/>
          <w:szCs w:val="16"/>
        </w:rPr>
      </w:pPr>
      <w:r w:rsidRPr="00507A31">
        <w:rPr>
          <w:color w:val="0070C0"/>
          <w:sz w:val="16"/>
          <w:szCs w:val="16"/>
        </w:rPr>
        <w:t>5. С закупкой партии огнестрельных патронов «Манделл» имело место аналогичное явление. Через отдельных лиц выезжавших комиссий фирмы выявили степень нашей заинтересованности и предъявили совершенно неприемлемые условия. Только после перехода всего этого дела в руки инженерного отдела торгпредства последним патроны куплены на выгодных для нас условиях.</w:t>
      </w:r>
    </w:p>
    <w:p w14:paraId="32AA6129" w14:textId="77777777" w:rsidR="002A436D" w:rsidRPr="00507A31" w:rsidRDefault="002A436D" w:rsidP="00507A31">
      <w:pPr>
        <w:shd w:val="clear" w:color="auto" w:fill="FFFFFF"/>
        <w:jc w:val="both"/>
        <w:rPr>
          <w:color w:val="0070C0"/>
          <w:sz w:val="16"/>
          <w:szCs w:val="16"/>
        </w:rPr>
      </w:pPr>
      <w:r w:rsidRPr="00507A31">
        <w:rPr>
          <w:color w:val="0070C0"/>
          <w:sz w:val="16"/>
          <w:szCs w:val="16"/>
        </w:rPr>
        <w:t>6. 20 самолетов у «Дарнье-Валь» куплены помимо инженерного отдела торгпредства на условиях гораздо худших, чем инжотделом у той же фирмы только 2 таких же самолета.</w:t>
      </w:r>
    </w:p>
    <w:p w14:paraId="4D5E32F7" w14:textId="77777777" w:rsidR="002A436D" w:rsidRPr="00507A31" w:rsidRDefault="002A436D" w:rsidP="00507A31">
      <w:pPr>
        <w:shd w:val="clear" w:color="auto" w:fill="FFFFFF"/>
        <w:jc w:val="both"/>
        <w:rPr>
          <w:color w:val="0070C0"/>
          <w:sz w:val="16"/>
          <w:szCs w:val="16"/>
        </w:rPr>
      </w:pPr>
      <w:r w:rsidRPr="00507A31">
        <w:rPr>
          <w:color w:val="0070C0"/>
          <w:sz w:val="16"/>
          <w:szCs w:val="16"/>
        </w:rPr>
        <w:t>Наряду с этим необходимо отметить ненормальное происхождение заданий, даваемых из Москвы за границу на проработку разных вопросов. Часть заданий мимо уполномоченного наркомвоенмора при Наркомторге непосредственно нашему военному атташе в Берлине, а через некоторое время такое же задание поступает в инженерный отдел торгпредства, что вносит разнобой в работе.</w:t>
      </w:r>
    </w:p>
    <w:p w14:paraId="31D61C1A" w14:textId="77777777" w:rsidR="002A436D" w:rsidRPr="00507A31" w:rsidRDefault="002A436D" w:rsidP="00507A31">
      <w:pPr>
        <w:shd w:val="clear" w:color="auto" w:fill="FFFFFF"/>
        <w:jc w:val="both"/>
        <w:rPr>
          <w:color w:val="0070C0"/>
          <w:sz w:val="16"/>
          <w:szCs w:val="16"/>
        </w:rPr>
      </w:pPr>
      <w:r w:rsidRPr="00507A31">
        <w:rPr>
          <w:color w:val="0070C0"/>
          <w:sz w:val="16"/>
          <w:szCs w:val="16"/>
        </w:rPr>
        <w:t>Кроме того, крайне отрицательно на работе инженерного отдела германского торгпредства отражается роль посредника между фирмами и инженерным отделом, которую занимает приглашенный на работу по инициативе Управления вооружения РККА немецкий генерал в отставке Людвиг, который по поручению нашего военного атташе завязывает коммерческие переговоры с фирмами, тем самым мешает работе инж[енерного] отдела и может повести к удорожанию заказов.</w:t>
      </w:r>
    </w:p>
    <w:p w14:paraId="7E00DA46" w14:textId="77777777" w:rsidR="002A436D" w:rsidRPr="00507A31" w:rsidRDefault="002A436D" w:rsidP="00507A31">
      <w:pPr>
        <w:shd w:val="clear" w:color="auto" w:fill="FFFFFF"/>
        <w:jc w:val="both"/>
        <w:rPr>
          <w:color w:val="0070C0"/>
          <w:sz w:val="16"/>
          <w:szCs w:val="16"/>
        </w:rPr>
      </w:pPr>
      <w:r w:rsidRPr="00507A31">
        <w:rPr>
          <w:color w:val="0070C0"/>
          <w:sz w:val="16"/>
          <w:szCs w:val="16"/>
        </w:rPr>
        <w:t>ЦА ФСБ РФ. Ф. 2. Оп. 8. Д. 863. Л. 501–502 (20268).</w:t>
      </w:r>
    </w:p>
    <w:p w14:paraId="01C29E8D" w14:textId="77777777" w:rsidR="002A436D" w:rsidRPr="00507A31" w:rsidRDefault="002A436D" w:rsidP="00507A31">
      <w:pPr>
        <w:jc w:val="both"/>
        <w:rPr>
          <w:color w:val="0070C0"/>
          <w:sz w:val="16"/>
          <w:szCs w:val="16"/>
        </w:rPr>
      </w:pPr>
    </w:p>
    <w:bookmarkEnd w:id="71"/>
    <w:p w14:paraId="7A73D6A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8FE3C93" w14:textId="77777777" w:rsidR="00537E5F" w:rsidRPr="00507A31" w:rsidRDefault="00537E5F" w:rsidP="00507A31">
      <w:pPr>
        <w:autoSpaceDE w:val="0"/>
        <w:autoSpaceDN w:val="0"/>
        <w:adjustRightInd w:val="0"/>
        <w:jc w:val="both"/>
        <w:rPr>
          <w:iCs/>
          <w:color w:val="000000" w:themeColor="text1"/>
          <w:sz w:val="16"/>
          <w:szCs w:val="16"/>
        </w:rPr>
      </w:pPr>
    </w:p>
    <w:p w14:paraId="5C66BB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июля 1930 после повторного осмотра был утвержден макет АНТ-8 (346,40).</w:t>
      </w:r>
    </w:p>
    <w:p w14:paraId="6C445BD8" w14:textId="77777777" w:rsidR="00537E5F" w:rsidRPr="00507A31" w:rsidRDefault="00537E5F" w:rsidP="00507A31">
      <w:pPr>
        <w:autoSpaceDE w:val="0"/>
        <w:autoSpaceDN w:val="0"/>
        <w:adjustRightInd w:val="0"/>
        <w:jc w:val="both"/>
        <w:rPr>
          <w:color w:val="000000" w:themeColor="text1"/>
          <w:sz w:val="16"/>
          <w:szCs w:val="16"/>
        </w:rPr>
      </w:pPr>
    </w:p>
    <w:p w14:paraId="15846B20" w14:textId="77777777" w:rsidR="00661719" w:rsidRPr="00507A31" w:rsidRDefault="00661719" w:rsidP="00507A31">
      <w:pPr>
        <w:jc w:val="both"/>
        <w:rPr>
          <w:color w:val="000000" w:themeColor="text1"/>
          <w:sz w:val="16"/>
          <w:szCs w:val="16"/>
        </w:rPr>
      </w:pPr>
      <w:r w:rsidRPr="00507A31">
        <w:rPr>
          <w:color w:val="000000" w:themeColor="text1"/>
          <w:sz w:val="16"/>
          <w:szCs w:val="16"/>
        </w:rPr>
        <w:t>В конце июля 1930 г. к испытаниям Д-2 приступил летчик-испытатель Владимир Иванович Чекарев. Общий налет его на этом самолете составил 6 часов 48 минут. 4 авгу</w:t>
      </w:r>
      <w:r w:rsidRPr="00507A31">
        <w:rPr>
          <w:color w:val="000000" w:themeColor="text1"/>
          <w:sz w:val="16"/>
          <w:szCs w:val="16"/>
        </w:rPr>
        <w:softHyphen/>
        <w:t>ста 1930 г. Чекарев получил задание на про</w:t>
      </w:r>
      <w:r w:rsidRPr="00507A31">
        <w:rPr>
          <w:color w:val="000000" w:themeColor="text1"/>
          <w:sz w:val="16"/>
          <w:szCs w:val="16"/>
        </w:rPr>
        <w:softHyphen/>
        <w:t>верку управляемости Д-2 на высоте 3000 м. Однако первый полет в этот день он совмес</w:t>
      </w:r>
      <w:r w:rsidRPr="00507A31">
        <w:rPr>
          <w:color w:val="000000" w:themeColor="text1"/>
          <w:sz w:val="16"/>
          <w:szCs w:val="16"/>
        </w:rPr>
        <w:softHyphen/>
        <w:t>тно с наблюдателем Василием Ивановичем Благонадеждиным выполнил на достиже</w:t>
      </w:r>
      <w:r w:rsidRPr="00507A31">
        <w:rPr>
          <w:color w:val="000000" w:themeColor="text1"/>
          <w:sz w:val="16"/>
          <w:szCs w:val="16"/>
        </w:rPr>
        <w:softHyphen/>
        <w:t>ние максимального потолка самолета. Воо</w:t>
      </w:r>
      <w:r w:rsidRPr="00507A31">
        <w:rPr>
          <w:color w:val="000000" w:themeColor="text1"/>
          <w:sz w:val="16"/>
          <w:szCs w:val="16"/>
        </w:rPr>
        <w:softHyphen/>
        <w:t>ружившись кислородными приборами, пи</w:t>
      </w:r>
      <w:r w:rsidRPr="00507A31">
        <w:rPr>
          <w:color w:val="000000" w:themeColor="text1"/>
          <w:sz w:val="16"/>
          <w:szCs w:val="16"/>
        </w:rPr>
        <w:softHyphen/>
        <w:t>лоты «взяли» высоту 7170 метров. Затем, по</w:t>
      </w:r>
      <w:r w:rsidRPr="00507A31">
        <w:rPr>
          <w:color w:val="000000" w:themeColor="text1"/>
          <w:sz w:val="16"/>
          <w:szCs w:val="16"/>
        </w:rPr>
        <w:softHyphen/>
        <w:t>сле короткого отдыха, начали готовиться ко второму полету.</w:t>
      </w:r>
    </w:p>
    <w:p w14:paraId="140E75A2" w14:textId="77777777" w:rsidR="00661719" w:rsidRPr="00507A31" w:rsidRDefault="00661719" w:rsidP="00507A31">
      <w:pPr>
        <w:jc w:val="both"/>
        <w:rPr>
          <w:color w:val="000000" w:themeColor="text1"/>
          <w:sz w:val="16"/>
          <w:szCs w:val="16"/>
        </w:rPr>
      </w:pPr>
      <w:r w:rsidRPr="00507A31">
        <w:rPr>
          <w:color w:val="000000" w:themeColor="text1"/>
          <w:sz w:val="16"/>
          <w:szCs w:val="16"/>
        </w:rPr>
        <w:t>Руководил полетами 4 августа начальник 1-й бригады истребительного отдела НИИ ВВС Николай Алексеевич Жемчужин. По его свидетельству Чекарев, отправляясь во вто</w:t>
      </w:r>
      <w:r w:rsidRPr="00507A31">
        <w:rPr>
          <w:color w:val="000000" w:themeColor="text1"/>
          <w:sz w:val="16"/>
          <w:szCs w:val="16"/>
        </w:rPr>
        <w:softHyphen/>
        <w:t>рой полет, сказал: «я его теперь поломаю, как следует». Под этими словами понималось, что летчик испробует самолет на максималь</w:t>
      </w:r>
      <w:r w:rsidRPr="00507A31">
        <w:rPr>
          <w:color w:val="000000" w:themeColor="text1"/>
          <w:sz w:val="16"/>
          <w:szCs w:val="16"/>
        </w:rPr>
        <w:softHyphen/>
        <w:t>ные перегрузки. Жемчужин в ответ заметил: «брось ерунду делать, это тебе не ВТ» (ВТ — это опытный истребитель И-5. — М.М.).</w:t>
      </w:r>
    </w:p>
    <w:p w14:paraId="09C37483" w14:textId="77777777" w:rsidR="00661719" w:rsidRPr="00507A31" w:rsidRDefault="00661719" w:rsidP="00507A31">
      <w:pPr>
        <w:jc w:val="both"/>
        <w:rPr>
          <w:color w:val="000000" w:themeColor="text1"/>
          <w:sz w:val="16"/>
          <w:szCs w:val="16"/>
        </w:rPr>
      </w:pPr>
      <w:r w:rsidRPr="00507A31">
        <w:rPr>
          <w:color w:val="000000" w:themeColor="text1"/>
          <w:sz w:val="16"/>
          <w:szCs w:val="16"/>
        </w:rPr>
        <w:t>Среди свидетелей, наблюдавших с земли полет самолета Д-2, находились помощник Начальника ЦКБ завода №39 Д.П. Григо</w:t>
      </w:r>
      <w:r w:rsidRPr="00507A31">
        <w:rPr>
          <w:color w:val="000000" w:themeColor="text1"/>
          <w:sz w:val="16"/>
          <w:szCs w:val="16"/>
        </w:rPr>
        <w:softHyphen/>
        <w:t>рович и заместитель Начальника ЦКБ И.М. Артамонов. По их показаниям, после выпол</w:t>
      </w:r>
      <w:r w:rsidRPr="00507A31">
        <w:rPr>
          <w:color w:val="000000" w:themeColor="text1"/>
          <w:sz w:val="16"/>
          <w:szCs w:val="16"/>
        </w:rPr>
        <w:softHyphen/>
        <w:t>нения задания самолет вышел из облаков на высоте 1200 м, затем снизился спиралью до высоты 300 м, далее продолжал снижаться на высокой скорости до высоты 100 метров. В этот период наблюдатели заметили сильную вибрацию хвостового оперения и последую</w:t>
      </w:r>
      <w:r w:rsidRPr="00507A31">
        <w:rPr>
          <w:color w:val="000000" w:themeColor="text1"/>
          <w:sz w:val="16"/>
          <w:szCs w:val="16"/>
        </w:rPr>
        <w:softHyphen/>
        <w:t>щее разрушение правой его половины. Затем произошло разрушение коробки крыльев, и самолет врезался в землю. Экипаж погиб. Летчик Чекарев и наблюдатель Благонадеж- дин имели парашюты, однако воспользо</w:t>
      </w:r>
      <w:r w:rsidRPr="00507A31">
        <w:rPr>
          <w:color w:val="000000" w:themeColor="text1"/>
          <w:sz w:val="16"/>
          <w:szCs w:val="16"/>
        </w:rPr>
        <w:softHyphen/>
        <w:t>ваться ими не успели, т.к. высота была слиш</w:t>
      </w:r>
      <w:r w:rsidRPr="00507A31">
        <w:rPr>
          <w:color w:val="000000" w:themeColor="text1"/>
          <w:sz w:val="16"/>
          <w:szCs w:val="16"/>
        </w:rPr>
        <w:softHyphen/>
        <w:t>ком мала (12295).</w:t>
      </w:r>
    </w:p>
    <w:p w14:paraId="2A5982F5" w14:textId="77777777" w:rsidR="00661719" w:rsidRPr="00507A31" w:rsidRDefault="00661719" w:rsidP="00507A31">
      <w:pPr>
        <w:jc w:val="both"/>
        <w:rPr>
          <w:color w:val="000000" w:themeColor="text1"/>
          <w:sz w:val="16"/>
          <w:szCs w:val="16"/>
        </w:rPr>
      </w:pPr>
    </w:p>
    <w:p w14:paraId="4701C1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конце июля 1930 г. к испытаниям Д-2 приступил летчик-испытатель Владимир Иванович Чекарев. Общий налет его на этом самолете составил б часов 48 минут. 4 августа 1930 г.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w:t>
      </w:r>
      <w:r w:rsidRPr="00507A31">
        <w:rPr>
          <w:color w:val="000000" w:themeColor="text1"/>
          <w:sz w:val="16"/>
          <w:szCs w:val="16"/>
        </w:rPr>
        <w:softHyphen/>
        <w:t>молета. Вооружившись кислородными приборами, пилоты «взяли» высоту 7170 метров. Затем после короткого отдыха на</w:t>
      </w:r>
      <w:r w:rsidRPr="00507A31">
        <w:rPr>
          <w:color w:val="000000" w:themeColor="text1"/>
          <w:sz w:val="16"/>
          <w:szCs w:val="16"/>
        </w:rPr>
        <w:softHyphen/>
        <w:t xml:space="preserve">чали готовиться ко второму полету. В этот день полетами руководил начальник 1-й </w:t>
      </w:r>
      <w:r w:rsidRPr="00507A31">
        <w:rPr>
          <w:iCs/>
          <w:color w:val="000000" w:themeColor="text1"/>
          <w:sz w:val="16"/>
          <w:szCs w:val="16"/>
        </w:rPr>
        <w:t xml:space="preserve">бригады </w:t>
      </w:r>
      <w:r w:rsidRPr="00507A31">
        <w:rPr>
          <w:color w:val="000000" w:themeColor="text1"/>
          <w:sz w:val="16"/>
          <w:szCs w:val="16"/>
        </w:rPr>
        <w:t xml:space="preserve">истребительного отдела НИИ ВВС Николай Алексеевич Жемчужин; по его свидетельству, Чекарев, отправляясь во второй полет, </w:t>
      </w:r>
      <w:r w:rsidRPr="00507A31">
        <w:rPr>
          <w:iCs/>
          <w:color w:val="000000" w:themeColor="text1"/>
          <w:sz w:val="16"/>
          <w:szCs w:val="16"/>
        </w:rPr>
        <w:t xml:space="preserve">сказал: </w:t>
      </w:r>
      <w:r w:rsidRPr="00507A31">
        <w:rPr>
          <w:color w:val="000000" w:themeColor="text1"/>
          <w:sz w:val="16"/>
          <w:szCs w:val="16"/>
        </w:rPr>
        <w:t>«Я его теперь по</w:t>
      </w:r>
      <w:r w:rsidRPr="00507A31">
        <w:rPr>
          <w:color w:val="000000" w:themeColor="text1"/>
          <w:sz w:val="16"/>
          <w:szCs w:val="16"/>
        </w:rPr>
        <w:softHyphen/>
        <w:t>ломаю как следует». Имелось в виду, что летчик испробует самолет на максималь</w:t>
      </w:r>
      <w:r w:rsidRPr="00507A31">
        <w:rPr>
          <w:color w:val="000000" w:themeColor="text1"/>
          <w:sz w:val="16"/>
          <w:szCs w:val="16"/>
        </w:rPr>
        <w:softHyphen/>
        <w:t>ные перегрузки. Жемчужин в ответ заме</w:t>
      </w:r>
      <w:r w:rsidRPr="00507A31">
        <w:rPr>
          <w:color w:val="000000" w:themeColor="text1"/>
          <w:sz w:val="16"/>
          <w:szCs w:val="16"/>
        </w:rPr>
        <w:softHyphen/>
        <w:t>тил: «Брось ерунду делать, это тебе не ВТ» (ВТ - опытный истребитель И-5). Среди свидетелей, наблюдавших с земли полет самолета Д-2, находились помощник На</w:t>
      </w:r>
      <w:r w:rsidRPr="00507A31">
        <w:rPr>
          <w:color w:val="000000" w:themeColor="text1"/>
          <w:sz w:val="16"/>
          <w:szCs w:val="16"/>
        </w:rPr>
        <w:softHyphen/>
        <w:t>чальника ЦКБ завода № 39 Д. П. Григоро</w:t>
      </w:r>
      <w:r w:rsidRPr="00507A31">
        <w:rPr>
          <w:color w:val="000000" w:themeColor="text1"/>
          <w:sz w:val="16"/>
          <w:szCs w:val="16"/>
        </w:rPr>
        <w:softHyphen/>
        <w:t>вич и заместитель Начальника ЦКБ И. М. Артамонов. По их показаниям, после вы</w:t>
      </w:r>
      <w:r w:rsidRPr="00507A31">
        <w:rPr>
          <w:color w:val="000000" w:themeColor="text1"/>
          <w:sz w:val="16"/>
          <w:szCs w:val="16"/>
        </w:rPr>
        <w:softHyphen/>
        <w:t xml:space="preserve">полнения </w:t>
      </w:r>
      <w:r w:rsidRPr="00507A31">
        <w:rPr>
          <w:iCs/>
          <w:color w:val="000000" w:themeColor="text1"/>
          <w:sz w:val="16"/>
          <w:szCs w:val="16"/>
        </w:rPr>
        <w:t xml:space="preserve">задания </w:t>
      </w:r>
      <w:r w:rsidRPr="00507A31">
        <w:rPr>
          <w:color w:val="000000" w:themeColor="text1"/>
          <w:sz w:val="16"/>
          <w:szCs w:val="16"/>
        </w:rPr>
        <w:t>самолет вышел из обла</w:t>
      </w:r>
      <w:r w:rsidRPr="00507A31">
        <w:rPr>
          <w:color w:val="000000" w:themeColor="text1"/>
          <w:sz w:val="16"/>
          <w:szCs w:val="16"/>
        </w:rPr>
        <w:softHyphen/>
        <w:t>ков на высоте 1200 м, затем снизился спи</w:t>
      </w:r>
      <w:r w:rsidRPr="00507A31">
        <w:rPr>
          <w:color w:val="000000" w:themeColor="text1"/>
          <w:sz w:val="16"/>
          <w:szCs w:val="16"/>
        </w:rPr>
        <w:softHyphen/>
        <w:t>ралью до высоты 300 м и продолжал сни</w:t>
      </w:r>
      <w:r w:rsidRPr="00507A31">
        <w:rPr>
          <w:color w:val="000000" w:themeColor="text1"/>
          <w:sz w:val="16"/>
          <w:szCs w:val="16"/>
        </w:rPr>
        <w:softHyphen/>
        <w:t>жаться на высокой скорости до высоты 100 метров. Наблюдатели заметили сильную вибрацию хвостового оперения и последу</w:t>
      </w:r>
      <w:r w:rsidRPr="00507A31">
        <w:rPr>
          <w:color w:val="000000" w:themeColor="text1"/>
          <w:sz w:val="16"/>
          <w:szCs w:val="16"/>
        </w:rPr>
        <w:softHyphen/>
        <w:t>ющее разрушение правой его половины; вслед за этим разрушилась коробка крыль</w:t>
      </w:r>
      <w:r w:rsidRPr="00507A31">
        <w:rPr>
          <w:color w:val="000000" w:themeColor="text1"/>
          <w:sz w:val="16"/>
          <w:szCs w:val="16"/>
        </w:rPr>
        <w:softHyphen/>
        <w:t>ев, и самолет врезался в землю. Экипаж погиб. Летчик Чекарев и наблюдатель Благонадеждин имели парашюты, однако воспользоваться ими не успели: высота была слишком мала.</w:t>
      </w:r>
    </w:p>
    <w:p w14:paraId="2973C1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Вибрацию оперения испытатели отме</w:t>
      </w:r>
      <w:r w:rsidRPr="00507A31">
        <w:rPr>
          <w:color w:val="000000" w:themeColor="text1"/>
          <w:sz w:val="16"/>
          <w:szCs w:val="16"/>
        </w:rPr>
        <w:softHyphen/>
        <w:t>чали и ранее, однако серьезного значения этому не придавалось: считалось, что подъ</w:t>
      </w:r>
      <w:r w:rsidRPr="00507A31">
        <w:rPr>
          <w:color w:val="000000" w:themeColor="text1"/>
          <w:sz w:val="16"/>
          <w:szCs w:val="16"/>
        </w:rPr>
        <w:softHyphen/>
        <w:t>ем оперения вверх привел к тому, что оно попало в возмущенную зону от крыла са</w:t>
      </w:r>
      <w:r w:rsidRPr="00507A31">
        <w:rPr>
          <w:color w:val="000000" w:themeColor="text1"/>
          <w:sz w:val="16"/>
          <w:szCs w:val="16"/>
        </w:rPr>
        <w:softHyphen/>
        <w:t xml:space="preserve">молета. Резкое пилотирование самолета привело к частичному разрушению узлов крепления оперения, а продолжающиеся </w:t>
      </w:r>
      <w:r w:rsidRPr="00507A31">
        <w:rPr>
          <w:iCs/>
          <w:color w:val="000000" w:themeColor="text1"/>
          <w:sz w:val="16"/>
          <w:szCs w:val="16"/>
        </w:rPr>
        <w:t xml:space="preserve">вибрации </w:t>
      </w:r>
      <w:r w:rsidRPr="00507A31">
        <w:rPr>
          <w:color w:val="000000" w:themeColor="text1"/>
          <w:sz w:val="16"/>
          <w:szCs w:val="16"/>
        </w:rPr>
        <w:t>довершили его поломку, что и привело к катастрофе.</w:t>
      </w:r>
    </w:p>
    <w:p w14:paraId="58DE3B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Несмотря на потерю опытного экземп</w:t>
      </w:r>
      <w:r w:rsidRPr="00507A31">
        <w:rPr>
          <w:color w:val="000000" w:themeColor="text1"/>
          <w:sz w:val="16"/>
          <w:szCs w:val="16"/>
        </w:rPr>
        <w:softHyphen/>
        <w:t>ляра Д-2, работы по двухместным истребителям продолжились. В соответствии с тре</w:t>
      </w:r>
      <w:r w:rsidRPr="00507A31">
        <w:rPr>
          <w:color w:val="000000" w:themeColor="text1"/>
          <w:sz w:val="16"/>
          <w:szCs w:val="16"/>
        </w:rPr>
        <w:softHyphen/>
        <w:t>бованиями ВВС началась разработка само</w:t>
      </w:r>
      <w:r w:rsidRPr="00507A31">
        <w:rPr>
          <w:color w:val="000000" w:themeColor="text1"/>
          <w:sz w:val="16"/>
          <w:szCs w:val="16"/>
        </w:rPr>
        <w:softHyphen/>
        <w:t>лета ДИ-2 (иногда обозначался ИД-БМВУ1), предназначенного для воздушно</w:t>
      </w:r>
      <w:r w:rsidRPr="00507A31">
        <w:rPr>
          <w:color w:val="000000" w:themeColor="text1"/>
          <w:sz w:val="16"/>
          <w:szCs w:val="16"/>
        </w:rPr>
        <w:softHyphen/>
        <w:t>го боя и разведки. Первоначально его воо</w:t>
      </w:r>
      <w:r w:rsidRPr="00507A31">
        <w:rPr>
          <w:color w:val="000000" w:themeColor="text1"/>
          <w:sz w:val="16"/>
          <w:szCs w:val="16"/>
        </w:rPr>
        <w:softHyphen/>
        <w:t>ружение состояло из двух синхронных пу</w:t>
      </w:r>
      <w:r w:rsidRPr="00507A31">
        <w:rPr>
          <w:color w:val="000000" w:themeColor="text1"/>
          <w:sz w:val="16"/>
          <w:szCs w:val="16"/>
        </w:rPr>
        <w:softHyphen/>
        <w:t>леметов; еще два были установлены на ту</w:t>
      </w:r>
      <w:r w:rsidRPr="00507A31">
        <w:rPr>
          <w:color w:val="000000" w:themeColor="text1"/>
          <w:sz w:val="16"/>
          <w:szCs w:val="16"/>
        </w:rPr>
        <w:softHyphen/>
        <w:t>рели для защиты задней полусферы. Пол</w:t>
      </w:r>
      <w:r w:rsidRPr="00507A31">
        <w:rPr>
          <w:color w:val="000000" w:themeColor="text1"/>
          <w:sz w:val="16"/>
          <w:szCs w:val="16"/>
        </w:rPr>
        <w:softHyphen/>
        <w:t>норазмерный макет был представлен к ос</w:t>
      </w:r>
      <w:r w:rsidRPr="00507A31">
        <w:rPr>
          <w:color w:val="000000" w:themeColor="text1"/>
          <w:sz w:val="16"/>
          <w:szCs w:val="16"/>
        </w:rPr>
        <w:softHyphen/>
        <w:t xml:space="preserve">мотру 8 октября 1930 г., однако самолет все же не был построен: на очереди был уже следующий вариант </w:t>
      </w:r>
      <w:r w:rsidRPr="00507A31">
        <w:rPr>
          <w:iCs/>
          <w:color w:val="000000" w:themeColor="text1"/>
          <w:sz w:val="16"/>
          <w:szCs w:val="16"/>
        </w:rPr>
        <w:t xml:space="preserve">- </w:t>
      </w:r>
      <w:r w:rsidRPr="00507A31">
        <w:rPr>
          <w:color w:val="000000" w:themeColor="text1"/>
          <w:sz w:val="16"/>
          <w:szCs w:val="16"/>
        </w:rPr>
        <w:t>ДИ-3, с которым связывались определенные надежды (11134).</w:t>
      </w:r>
    </w:p>
    <w:p w14:paraId="60A509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Летные и технические характеристики самолетов Д-2 и ДИ-2 (расчетные)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E371BA" w:rsidRPr="00507A31" w14:paraId="4445BD6E" w14:textId="77777777">
        <w:tc>
          <w:tcPr>
            <w:tcW w:w="3192" w:type="dxa"/>
            <w:tcBorders>
              <w:top w:val="single" w:sz="12" w:space="0" w:color="auto"/>
            </w:tcBorders>
            <w:shd w:val="clear" w:color="auto" w:fill="FFFFFF"/>
          </w:tcPr>
          <w:p w14:paraId="36620565" w14:textId="77777777" w:rsidR="00537E5F" w:rsidRPr="00507A31" w:rsidRDefault="00537E5F" w:rsidP="00507A31">
            <w:pPr>
              <w:autoSpaceDE w:val="0"/>
              <w:autoSpaceDN w:val="0"/>
              <w:adjustRightInd w:val="0"/>
              <w:jc w:val="both"/>
              <w:rPr>
                <w:color w:val="000000" w:themeColor="text1"/>
                <w:sz w:val="16"/>
                <w:szCs w:val="16"/>
              </w:rPr>
            </w:pPr>
          </w:p>
        </w:tc>
        <w:tc>
          <w:tcPr>
            <w:tcW w:w="3192" w:type="dxa"/>
            <w:tcBorders>
              <w:top w:val="single" w:sz="12" w:space="0" w:color="auto"/>
            </w:tcBorders>
            <w:shd w:val="clear" w:color="auto" w:fill="FFFFFF"/>
          </w:tcPr>
          <w:p w14:paraId="6975BF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Д-2</w:t>
            </w:r>
          </w:p>
        </w:tc>
        <w:tc>
          <w:tcPr>
            <w:tcW w:w="3192" w:type="dxa"/>
            <w:tcBorders>
              <w:top w:val="single" w:sz="12" w:space="0" w:color="auto"/>
            </w:tcBorders>
            <w:shd w:val="clear" w:color="auto" w:fill="FFFFFF"/>
          </w:tcPr>
          <w:p w14:paraId="653884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ДИ-2</w:t>
            </w:r>
          </w:p>
        </w:tc>
      </w:tr>
      <w:tr w:rsidR="00E371BA" w:rsidRPr="00507A31" w14:paraId="7D93FD2D" w14:textId="77777777">
        <w:tc>
          <w:tcPr>
            <w:tcW w:w="3192" w:type="dxa"/>
            <w:shd w:val="clear" w:color="auto" w:fill="FFFFFF"/>
          </w:tcPr>
          <w:p w14:paraId="4280F8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Длина в линии полета (м)</w:t>
            </w:r>
          </w:p>
        </w:tc>
        <w:tc>
          <w:tcPr>
            <w:tcW w:w="3192" w:type="dxa"/>
            <w:shd w:val="clear" w:color="auto" w:fill="FFFFFF"/>
          </w:tcPr>
          <w:p w14:paraId="68D2FA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8,2</w:t>
            </w:r>
          </w:p>
        </w:tc>
        <w:tc>
          <w:tcPr>
            <w:tcW w:w="3192" w:type="dxa"/>
            <w:shd w:val="clear" w:color="auto" w:fill="FFFFFF"/>
          </w:tcPr>
          <w:p w14:paraId="00E573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7,66</w:t>
            </w:r>
          </w:p>
        </w:tc>
      </w:tr>
      <w:tr w:rsidR="00E371BA" w:rsidRPr="00507A31" w14:paraId="6F0C53C3" w14:textId="77777777">
        <w:tc>
          <w:tcPr>
            <w:tcW w:w="3192" w:type="dxa"/>
            <w:shd w:val="clear" w:color="auto" w:fill="FFFFFF"/>
          </w:tcPr>
          <w:p w14:paraId="3164AA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Размах верхнего крыла (м)</w:t>
            </w:r>
          </w:p>
        </w:tc>
        <w:tc>
          <w:tcPr>
            <w:tcW w:w="3192" w:type="dxa"/>
            <w:shd w:val="clear" w:color="auto" w:fill="FFFFFF"/>
          </w:tcPr>
          <w:p w14:paraId="7DE144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11,8</w:t>
            </w:r>
          </w:p>
        </w:tc>
        <w:tc>
          <w:tcPr>
            <w:tcW w:w="3192" w:type="dxa"/>
            <w:shd w:val="clear" w:color="auto" w:fill="FFFFFF"/>
          </w:tcPr>
          <w:p w14:paraId="461D59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11,8</w:t>
            </w:r>
          </w:p>
        </w:tc>
      </w:tr>
      <w:tr w:rsidR="00E371BA" w:rsidRPr="00507A31" w14:paraId="09D52DBD" w14:textId="77777777">
        <w:tc>
          <w:tcPr>
            <w:tcW w:w="3192" w:type="dxa"/>
            <w:shd w:val="clear" w:color="auto" w:fill="FFFFFF"/>
          </w:tcPr>
          <w:p w14:paraId="46F644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Площадь крыльев (м</w:t>
            </w:r>
            <w:r w:rsidRPr="00507A31">
              <w:rPr>
                <w:color w:val="000000" w:themeColor="text1"/>
                <w:sz w:val="16"/>
                <w:szCs w:val="16"/>
                <w:vertAlign w:val="superscript"/>
              </w:rPr>
              <w:t>2</w:t>
            </w:r>
            <w:r w:rsidRPr="00507A31">
              <w:rPr>
                <w:color w:val="000000" w:themeColor="text1"/>
                <w:sz w:val="16"/>
                <w:szCs w:val="16"/>
              </w:rPr>
              <w:t>)</w:t>
            </w:r>
          </w:p>
        </w:tc>
        <w:tc>
          <w:tcPr>
            <w:tcW w:w="3192" w:type="dxa"/>
            <w:shd w:val="clear" w:color="auto" w:fill="FFFFFF"/>
          </w:tcPr>
          <w:p w14:paraId="70B627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31,8</w:t>
            </w:r>
          </w:p>
        </w:tc>
        <w:tc>
          <w:tcPr>
            <w:tcW w:w="3192" w:type="dxa"/>
            <w:shd w:val="clear" w:color="auto" w:fill="FFFFFF"/>
          </w:tcPr>
          <w:p w14:paraId="1703DA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30,33</w:t>
            </w:r>
          </w:p>
        </w:tc>
      </w:tr>
      <w:tr w:rsidR="00E371BA" w:rsidRPr="00507A31" w14:paraId="7A5B156B" w14:textId="77777777">
        <w:tc>
          <w:tcPr>
            <w:tcW w:w="3192" w:type="dxa"/>
            <w:shd w:val="clear" w:color="auto" w:fill="FFFFFF"/>
          </w:tcPr>
          <w:p w14:paraId="524873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Вес пустого (кг)</w:t>
            </w:r>
          </w:p>
        </w:tc>
        <w:tc>
          <w:tcPr>
            <w:tcW w:w="3192" w:type="dxa"/>
            <w:shd w:val="clear" w:color="auto" w:fill="FFFFFF"/>
          </w:tcPr>
          <w:p w14:paraId="407610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1557</w:t>
            </w:r>
          </w:p>
        </w:tc>
        <w:tc>
          <w:tcPr>
            <w:tcW w:w="3192" w:type="dxa"/>
            <w:shd w:val="clear" w:color="auto" w:fill="FFFFFF"/>
          </w:tcPr>
          <w:p w14:paraId="0C71872A"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1A1F687" w14:textId="77777777">
        <w:tc>
          <w:tcPr>
            <w:tcW w:w="3192" w:type="dxa"/>
            <w:shd w:val="clear" w:color="auto" w:fill="FFFFFF"/>
          </w:tcPr>
          <w:p w14:paraId="1351AE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Полетный вес (кг)</w:t>
            </w:r>
          </w:p>
        </w:tc>
        <w:tc>
          <w:tcPr>
            <w:tcW w:w="3192" w:type="dxa"/>
            <w:shd w:val="clear" w:color="auto" w:fill="FFFFFF"/>
          </w:tcPr>
          <w:p w14:paraId="3FAB84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2122</w:t>
            </w:r>
          </w:p>
        </w:tc>
        <w:tc>
          <w:tcPr>
            <w:tcW w:w="3192" w:type="dxa"/>
            <w:shd w:val="clear" w:color="auto" w:fill="FFFFFF"/>
          </w:tcPr>
          <w:p w14:paraId="3209EB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2214</w:t>
            </w:r>
          </w:p>
        </w:tc>
      </w:tr>
      <w:tr w:rsidR="00E371BA" w:rsidRPr="00507A31" w14:paraId="26A6EC4E" w14:textId="77777777">
        <w:tc>
          <w:tcPr>
            <w:tcW w:w="3192" w:type="dxa"/>
            <w:shd w:val="clear" w:color="auto" w:fill="FFFFFF"/>
          </w:tcPr>
          <w:p w14:paraId="7D7B6D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Нагрузка на крыло (кг/м2)</w:t>
            </w:r>
          </w:p>
        </w:tc>
        <w:tc>
          <w:tcPr>
            <w:tcW w:w="3192" w:type="dxa"/>
            <w:shd w:val="clear" w:color="auto" w:fill="FFFFFF"/>
          </w:tcPr>
          <w:p w14:paraId="033282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66,7</w:t>
            </w:r>
          </w:p>
        </w:tc>
        <w:tc>
          <w:tcPr>
            <w:tcW w:w="3192" w:type="dxa"/>
            <w:shd w:val="clear" w:color="auto" w:fill="FFFFFF"/>
          </w:tcPr>
          <w:p w14:paraId="43C2E3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72,9</w:t>
            </w:r>
          </w:p>
        </w:tc>
      </w:tr>
      <w:tr w:rsidR="00E371BA" w:rsidRPr="00507A31" w14:paraId="7857671F" w14:textId="77777777">
        <w:tc>
          <w:tcPr>
            <w:tcW w:w="3192" w:type="dxa"/>
            <w:shd w:val="clear" w:color="auto" w:fill="FFFFFF"/>
          </w:tcPr>
          <w:p w14:paraId="6CC42A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Скорость максимальная у земли (км/ч)</w:t>
            </w:r>
          </w:p>
        </w:tc>
        <w:tc>
          <w:tcPr>
            <w:tcW w:w="3192" w:type="dxa"/>
            <w:shd w:val="clear" w:color="auto" w:fill="FFFFFF"/>
          </w:tcPr>
          <w:p w14:paraId="3C9A8E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254</w:t>
            </w:r>
          </w:p>
        </w:tc>
        <w:tc>
          <w:tcPr>
            <w:tcW w:w="3192" w:type="dxa"/>
            <w:shd w:val="clear" w:color="auto" w:fill="FFFFFF"/>
          </w:tcPr>
          <w:p w14:paraId="104669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278</w:t>
            </w:r>
          </w:p>
        </w:tc>
      </w:tr>
      <w:tr w:rsidR="00E371BA" w:rsidRPr="00507A31" w14:paraId="1226E46D" w14:textId="77777777">
        <w:tc>
          <w:tcPr>
            <w:tcW w:w="3192" w:type="dxa"/>
            <w:shd w:val="clear" w:color="auto" w:fill="FFFFFF"/>
          </w:tcPr>
          <w:p w14:paraId="4C1C00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Скорость максимальная на 3000м на высоте 5000 метров (км/ч)</w:t>
            </w:r>
          </w:p>
        </w:tc>
        <w:tc>
          <w:tcPr>
            <w:tcW w:w="3192" w:type="dxa"/>
            <w:shd w:val="clear" w:color="auto" w:fill="FFFFFF"/>
          </w:tcPr>
          <w:p w14:paraId="694952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274,5</w:t>
            </w:r>
          </w:p>
        </w:tc>
        <w:tc>
          <w:tcPr>
            <w:tcW w:w="3192" w:type="dxa"/>
            <w:shd w:val="clear" w:color="auto" w:fill="FFFFFF"/>
          </w:tcPr>
          <w:p w14:paraId="3CF4B0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268</w:t>
            </w:r>
          </w:p>
        </w:tc>
      </w:tr>
      <w:tr w:rsidR="00E371BA" w:rsidRPr="00507A31" w14:paraId="47CF52A6" w14:textId="77777777">
        <w:tc>
          <w:tcPr>
            <w:tcW w:w="3192" w:type="dxa"/>
            <w:tcBorders>
              <w:bottom w:val="single" w:sz="12" w:space="0" w:color="auto"/>
            </w:tcBorders>
            <w:shd w:val="clear" w:color="auto" w:fill="FFFFFF"/>
          </w:tcPr>
          <w:p w14:paraId="7915E8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Дальность полета (км)</w:t>
            </w:r>
          </w:p>
        </w:tc>
        <w:tc>
          <w:tcPr>
            <w:tcW w:w="3192" w:type="dxa"/>
            <w:tcBorders>
              <w:bottom w:val="single" w:sz="12" w:space="0" w:color="auto"/>
            </w:tcBorders>
            <w:shd w:val="clear" w:color="auto" w:fill="FFFFFF"/>
          </w:tcPr>
          <w:p w14:paraId="587580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510 (11134).</w:t>
            </w:r>
          </w:p>
        </w:tc>
        <w:tc>
          <w:tcPr>
            <w:tcW w:w="3192" w:type="dxa"/>
            <w:tcBorders>
              <w:bottom w:val="single" w:sz="12" w:space="0" w:color="auto"/>
            </w:tcBorders>
            <w:shd w:val="clear" w:color="auto" w:fill="FFFFFF"/>
          </w:tcPr>
          <w:p w14:paraId="2ED1F5CC" w14:textId="77777777" w:rsidR="00537E5F" w:rsidRPr="00507A31" w:rsidRDefault="00537E5F" w:rsidP="00507A31">
            <w:pPr>
              <w:autoSpaceDE w:val="0"/>
              <w:autoSpaceDN w:val="0"/>
              <w:adjustRightInd w:val="0"/>
              <w:jc w:val="both"/>
              <w:rPr>
                <w:color w:val="000000" w:themeColor="text1"/>
                <w:sz w:val="16"/>
                <w:szCs w:val="16"/>
              </w:rPr>
            </w:pPr>
          </w:p>
        </w:tc>
      </w:tr>
    </w:tbl>
    <w:p w14:paraId="77A285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0E24F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кон</w:t>
      </w:r>
      <w:r w:rsidRPr="00507A31">
        <w:rPr>
          <w:color w:val="000000" w:themeColor="text1"/>
          <w:sz w:val="16"/>
          <w:szCs w:val="16"/>
        </w:rPr>
        <w:softHyphen/>
        <w:t>це июля 1930 г. последовало закрытие завода №25 (слияние №25 с №39), все доводки самолета И-6 в дальнейшем осуще</w:t>
      </w:r>
      <w:r w:rsidRPr="00507A31">
        <w:rPr>
          <w:color w:val="000000" w:themeColor="text1"/>
          <w:sz w:val="16"/>
          <w:szCs w:val="16"/>
        </w:rPr>
        <w:softHyphen/>
        <w:t>ствлялись на заводе №°39 (10729).</w:t>
      </w:r>
    </w:p>
    <w:p w14:paraId="74FF3D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EE07B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июля 1930 И.П.Уборевич дал Указание. Начальником ВАО назначил Урываева и дали ему помошников, в т.ч. Н.М.Харламова замом. ВАО оставили в непосредственном подчинении Пред. РВС. ЦАГИ подчинили П.И.Б. как члену РВС (1026,115).</w:t>
      </w:r>
    </w:p>
    <w:p w14:paraId="04E75DBE" w14:textId="77777777" w:rsidR="00537E5F" w:rsidRPr="00507A31" w:rsidRDefault="00537E5F" w:rsidP="00507A31">
      <w:pPr>
        <w:autoSpaceDE w:val="0"/>
        <w:autoSpaceDN w:val="0"/>
        <w:adjustRightInd w:val="0"/>
        <w:jc w:val="both"/>
        <w:rPr>
          <w:color w:val="000000" w:themeColor="text1"/>
          <w:sz w:val="16"/>
          <w:szCs w:val="16"/>
        </w:rPr>
      </w:pPr>
    </w:p>
    <w:p w14:paraId="3B0405F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46664B9" w14:textId="77777777" w:rsidR="00537E5F" w:rsidRPr="00507A31" w:rsidRDefault="00537E5F" w:rsidP="00507A31">
      <w:pPr>
        <w:autoSpaceDE w:val="0"/>
        <w:autoSpaceDN w:val="0"/>
        <w:adjustRightInd w:val="0"/>
        <w:jc w:val="both"/>
        <w:rPr>
          <w:iCs/>
          <w:color w:val="000000" w:themeColor="text1"/>
          <w:sz w:val="16"/>
          <w:szCs w:val="16"/>
        </w:rPr>
      </w:pPr>
    </w:p>
    <w:p w14:paraId="0732CE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исходу июля 1930 г. были изготовлены Первые три Т-24 и один из них был отправлен на сравнительные испытания в Кубинку, где уже испытывался Т-12. Решение о том, что Т-12 не отвечает требованиям «Системы...» и необходимо создание нового маневренного танка, было принято уже в 1929 г. Главным аргументом не</w:t>
      </w:r>
      <w:r w:rsidRPr="00507A31">
        <w:rPr>
          <w:color w:val="000000" w:themeColor="text1"/>
          <w:sz w:val="16"/>
          <w:szCs w:val="16"/>
        </w:rPr>
        <w:softHyphen/>
        <w:t>годности Т-12 стал недостаточный запас хода, не позволяв</w:t>
      </w:r>
      <w:r w:rsidRPr="00507A31">
        <w:rPr>
          <w:color w:val="000000" w:themeColor="text1"/>
          <w:sz w:val="16"/>
          <w:szCs w:val="16"/>
        </w:rPr>
        <w:softHyphen/>
        <w:t>ший применять танк для операций на вражеских коммуни</w:t>
      </w:r>
      <w:r w:rsidRPr="00507A31">
        <w:rPr>
          <w:color w:val="000000" w:themeColor="text1"/>
          <w:sz w:val="16"/>
          <w:szCs w:val="16"/>
        </w:rPr>
        <w:softHyphen/>
        <w:t>кациях, при чрезмерно высокой цене. В частности, реко</w:t>
      </w:r>
      <w:r w:rsidRPr="00507A31">
        <w:rPr>
          <w:color w:val="000000" w:themeColor="text1"/>
          <w:sz w:val="16"/>
          <w:szCs w:val="16"/>
        </w:rPr>
        <w:softHyphen/>
        <w:t>мендовалось изготовить для танка новый бронекорпус, до</w:t>
      </w:r>
      <w:r w:rsidRPr="00507A31">
        <w:rPr>
          <w:color w:val="000000" w:themeColor="text1"/>
          <w:sz w:val="16"/>
          <w:szCs w:val="16"/>
        </w:rPr>
        <w:softHyphen/>
        <w:t>ведя его боевой вес до 17,5 т, уменьшить толщину брони борта до 20 мм, а брюха и крыши — до 8 мм, резко увеличив запас бензина и усилив вооружение. Изготовление нового корпуса было поручено Ижорскому заводу. В техзадании на переработку конструкции танка было указано и его новое имя — Т-24. Помимо установки новых бензобаков, которые размес</w:t>
      </w:r>
      <w:r w:rsidRPr="00507A31">
        <w:rPr>
          <w:color w:val="000000" w:themeColor="text1"/>
          <w:sz w:val="16"/>
          <w:szCs w:val="16"/>
        </w:rPr>
        <w:softHyphen/>
        <w:t>тили в надгусеничных полках (подобно Т-18), танк был до</w:t>
      </w:r>
      <w:r w:rsidRPr="00507A31">
        <w:rPr>
          <w:color w:val="000000" w:themeColor="text1"/>
          <w:sz w:val="16"/>
          <w:szCs w:val="16"/>
        </w:rPr>
        <w:softHyphen/>
        <w:t>полнен курсовым пулеметом в передней части корпуса, слева от водителя; таким образом его экипаж увеличился на одного человека. Подшипники качения в подвеске были заменены под</w:t>
      </w:r>
      <w:r w:rsidRPr="00507A31">
        <w:rPr>
          <w:color w:val="000000" w:themeColor="text1"/>
          <w:sz w:val="16"/>
          <w:szCs w:val="16"/>
        </w:rPr>
        <w:softHyphen/>
        <w:t>шипниками скольжения (10733,105).</w:t>
      </w:r>
    </w:p>
    <w:p w14:paraId="4321F3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88F51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июля 1930 года на кубинский полигон из Харькова был доставлен опытный образец нового маневренного танка Т-24. Все роботы над Т-12 были прекращены (10710).</w:t>
      </w:r>
    </w:p>
    <w:p w14:paraId="7D31BBEB" w14:textId="77777777" w:rsidR="00537E5F" w:rsidRPr="00507A31" w:rsidRDefault="00537E5F" w:rsidP="00507A31">
      <w:pPr>
        <w:autoSpaceDE w:val="0"/>
        <w:autoSpaceDN w:val="0"/>
        <w:adjustRightInd w:val="0"/>
        <w:jc w:val="both"/>
        <w:rPr>
          <w:color w:val="000000" w:themeColor="text1"/>
          <w:sz w:val="16"/>
          <w:szCs w:val="16"/>
        </w:rPr>
      </w:pPr>
    </w:p>
    <w:p w14:paraId="780323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июля 1930 года были изготовлены первые три экземпляра нового танка. Один из первых танков Т-24 был срочно направлен в Кубинку для сравнительных испытаний с Т-12. Внешне новый танк существенно отличался от своего предшественника. Новый, более просторный корпус танка, имел развитые броневые ниши над надгусеничными полками. В них, подобно МС-1, были расположены дополнительные топливные баки. В связи с этим была уменьшена высота обвода гусеничных лент. В специальном выступе подбашенной коробки, слева от люка механика-водителя, была расположена шаровая установка лобового пулемета ДТ. Претерпела изменения конструкция люка механика-водителя и бортового люка для посадки экипажа. В связи с установкой нового двигателя и изменением конструкции отдельных элементов трансмиссии была изменена конструкция кормовой части корпуса танка (10710).</w:t>
      </w:r>
    </w:p>
    <w:p w14:paraId="2B7E6C11" w14:textId="77777777" w:rsidR="00537E5F" w:rsidRPr="00507A31" w:rsidRDefault="00537E5F" w:rsidP="00507A31">
      <w:pPr>
        <w:autoSpaceDE w:val="0"/>
        <w:autoSpaceDN w:val="0"/>
        <w:adjustRightInd w:val="0"/>
        <w:jc w:val="both"/>
        <w:rPr>
          <w:color w:val="000000" w:themeColor="text1"/>
          <w:sz w:val="16"/>
          <w:szCs w:val="16"/>
        </w:rPr>
      </w:pPr>
    </w:p>
    <w:p w14:paraId="2C048565" w14:textId="77777777" w:rsidR="00580BBE" w:rsidRPr="00507A31" w:rsidRDefault="00580BBE" w:rsidP="00507A31">
      <w:pPr>
        <w:jc w:val="both"/>
        <w:rPr>
          <w:color w:val="000000" w:themeColor="text1"/>
          <w:sz w:val="16"/>
          <w:szCs w:val="16"/>
          <w:shd w:val="clear" w:color="auto" w:fill="FFFFFF"/>
        </w:rPr>
      </w:pPr>
      <w:r w:rsidRPr="00507A31">
        <w:rPr>
          <w:color w:val="000000" w:themeColor="text1"/>
          <w:sz w:val="16"/>
          <w:szCs w:val="16"/>
          <w:shd w:val="clear" w:color="auto" w:fill="FFFFFF"/>
        </w:rPr>
        <w:t>К исходу июля 1930 года были изготовлены первые три Т-24 и один из них был отправлен на испытания для сравнения с Т-12 (19553).</w:t>
      </w:r>
    </w:p>
    <w:p w14:paraId="447E3687" w14:textId="77777777" w:rsidR="00580BBE" w:rsidRPr="00507A31" w:rsidRDefault="00580BBE" w:rsidP="00507A31">
      <w:pPr>
        <w:jc w:val="both"/>
        <w:rPr>
          <w:color w:val="000000" w:themeColor="text1"/>
          <w:sz w:val="16"/>
          <w:szCs w:val="16"/>
          <w:shd w:val="clear" w:color="auto" w:fill="FFFFFF"/>
        </w:rPr>
      </w:pPr>
    </w:p>
    <w:p w14:paraId="38FEB3C8" w14:textId="77777777" w:rsidR="00580BBE" w:rsidRPr="00507A31" w:rsidRDefault="00580BBE" w:rsidP="00507A31">
      <w:pPr>
        <w:jc w:val="both"/>
        <w:rPr>
          <w:color w:val="000000" w:themeColor="text1"/>
          <w:sz w:val="16"/>
          <w:szCs w:val="16"/>
          <w:shd w:val="clear" w:color="auto" w:fill="FFFFFF"/>
        </w:rPr>
      </w:pPr>
      <w:r w:rsidRPr="00507A31">
        <w:rPr>
          <w:color w:val="000000" w:themeColor="text1"/>
          <w:sz w:val="16"/>
          <w:szCs w:val="16"/>
          <w:shd w:val="clear" w:color="auto" w:fill="FFFFFF"/>
        </w:rPr>
        <w:t>К концу июльских 1930 г. испытаний Т-12 на полигон был доставлен и новый маневренный танк Т-24, решение об изготовлении которого было принято еще в 1929 г. Главным аргументом создания этого танка стал недостаточный запас хода Т-12, не позволявший применять его для операций на вражеских коммуникациях, а также высокая цена. В частности рекомендовалось изготовить для танка новый бронекорпус; довести его боевой вес до 17,5 т.; уменьшить толщину брони борта до 20 мм, а брюха и крыши - до 8 мм, резко увеличив запас бензина и усилив вооружение. Изготовление нового корпуса было поручено Ижорскому заводу. В техзадании на переработку конструкции танка было указано и его новое имя - Т-24. Помимо установки новых бензобаков, которые разместили в надгусеничных полках (подобно Т-18), танк был дополнен курсовым пулеметом в передней части корпуса, слева от водителя; таким образом, его экипаж увеличился на одного человека (19553).</w:t>
      </w:r>
    </w:p>
    <w:p w14:paraId="1E43D839" w14:textId="77777777" w:rsidR="00580BBE" w:rsidRPr="00507A31" w:rsidRDefault="00580BBE" w:rsidP="00507A31">
      <w:pPr>
        <w:jc w:val="both"/>
        <w:rPr>
          <w:color w:val="000000" w:themeColor="text1"/>
          <w:sz w:val="16"/>
          <w:szCs w:val="16"/>
          <w:shd w:val="clear" w:color="auto" w:fill="FFFFFF"/>
        </w:rPr>
      </w:pPr>
    </w:p>
    <w:p w14:paraId="2BCAD102" w14:textId="77777777" w:rsidR="00580BBE" w:rsidRPr="00507A31" w:rsidRDefault="00580BBE" w:rsidP="00507A31">
      <w:pPr>
        <w:jc w:val="both"/>
        <w:rPr>
          <w:color w:val="000000" w:themeColor="text1"/>
          <w:sz w:val="16"/>
          <w:szCs w:val="16"/>
          <w:shd w:val="clear" w:color="auto" w:fill="FFFFFF"/>
        </w:rPr>
      </w:pPr>
      <w:r w:rsidRPr="00507A31">
        <w:rPr>
          <w:color w:val="000000" w:themeColor="text1"/>
          <w:sz w:val="16"/>
          <w:szCs w:val="16"/>
          <w:shd w:val="clear" w:color="auto" w:fill="FFFFFF"/>
        </w:rPr>
        <w:t>? июля 1930 на испытания Т-12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1EC10C73" w14:textId="77777777" w:rsidR="00580BBE" w:rsidRPr="00507A31" w:rsidRDefault="00580BBE" w:rsidP="00507A31">
      <w:pPr>
        <w:jc w:val="both"/>
        <w:rPr>
          <w:color w:val="000000" w:themeColor="text1"/>
          <w:sz w:val="16"/>
          <w:szCs w:val="16"/>
          <w:shd w:val="clear" w:color="auto" w:fill="FFFFFF"/>
        </w:rPr>
      </w:pPr>
    </w:p>
    <w:p w14:paraId="6F075FA2" w14:textId="77777777" w:rsidR="00AF5A44" w:rsidRPr="00507A31" w:rsidRDefault="00AF5A44" w:rsidP="00507A31">
      <w:pPr>
        <w:jc w:val="both"/>
        <w:rPr>
          <w:color w:val="000000" w:themeColor="text1"/>
          <w:sz w:val="16"/>
          <w:szCs w:val="16"/>
        </w:rPr>
      </w:pPr>
      <w:r w:rsidRPr="00507A31">
        <w:rPr>
          <w:color w:val="000000" w:themeColor="text1"/>
          <w:sz w:val="16"/>
          <w:szCs w:val="16"/>
        </w:rPr>
        <w:t>В конце июля 1930 бронепаровоз сормовского бронепоезда отправили в Нижний Новгород, в Центральную индустриальную лабораторию «для установки приемо-передающей радиостанции и упрощения схемы связи и освещения» (15218).</w:t>
      </w:r>
    </w:p>
    <w:p w14:paraId="08ECAB1D" w14:textId="77777777" w:rsidR="00AF5A44" w:rsidRPr="00507A31" w:rsidRDefault="00AF5A44" w:rsidP="00507A31">
      <w:pPr>
        <w:jc w:val="both"/>
        <w:rPr>
          <w:color w:val="000000" w:themeColor="text1"/>
          <w:sz w:val="16"/>
          <w:szCs w:val="16"/>
        </w:rPr>
      </w:pPr>
    </w:p>
    <w:p w14:paraId="7A6D225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7CA72C3" w14:textId="77777777" w:rsidR="00537E5F" w:rsidRPr="00507A31" w:rsidRDefault="00537E5F" w:rsidP="00507A31">
      <w:pPr>
        <w:autoSpaceDE w:val="0"/>
        <w:autoSpaceDN w:val="0"/>
        <w:adjustRightInd w:val="0"/>
        <w:jc w:val="both"/>
        <w:rPr>
          <w:iCs/>
          <w:color w:val="000000" w:themeColor="text1"/>
          <w:sz w:val="16"/>
          <w:szCs w:val="16"/>
        </w:rPr>
      </w:pPr>
    </w:p>
    <w:p w14:paraId="62104870" w14:textId="77777777" w:rsidR="00A10143" w:rsidRPr="00507A31" w:rsidRDefault="00A10143" w:rsidP="00507A31">
      <w:pPr>
        <w:pStyle w:val="ae"/>
        <w:shd w:val="clear" w:color="auto" w:fill="FFFFFF"/>
        <w:spacing w:before="0" w:after="0"/>
        <w:jc w:val="both"/>
        <w:textAlignment w:val="baseline"/>
        <w:rPr>
          <w:color w:val="0070C0"/>
          <w:sz w:val="16"/>
          <w:szCs w:val="16"/>
        </w:rPr>
      </w:pPr>
      <w:r w:rsidRPr="00507A31">
        <w:rPr>
          <w:color w:val="0070C0"/>
          <w:sz w:val="16"/>
          <w:szCs w:val="16"/>
        </w:rPr>
        <w:t>В июле 1930 года, когда Политбюро признало, что </w:t>
      </w:r>
      <w:r w:rsidRPr="00507A31">
        <w:rPr>
          <w:color w:val="0070C0"/>
          <w:sz w:val="16"/>
          <w:szCs w:val="16"/>
          <w:bdr w:val="none" w:sz="0" w:space="0" w:color="auto" w:frame="1"/>
          <w:shd w:val="clear" w:color="auto" w:fill="FFFFFF"/>
        </w:rPr>
        <w:t>«основой военной авиации должна быть развитая сеть гражданской авиации»</w:t>
      </w:r>
      <w:r w:rsidRPr="00507A31">
        <w:rPr>
          <w:color w:val="0070C0"/>
          <w:sz w:val="16"/>
          <w:szCs w:val="16"/>
        </w:rPr>
        <w:t>. Тогда же партийное руководство создало комиссию по гражданской авиации под руководством члена Политбюро, зампредседателя союзного Совнаркома Яна Рудзутака. В неё вошли командующий войсками Ленинградского военного округа Тухачевский, три наркома: внутренней и внешней торговли Анастас Микоян, путей сообщения Моисей Рухимович, почт и телеграфов Николай Антипов, а также член ЦК и зампредседателя ВСНХ СССР Семён Лобов и Григорий Гринько, которого вскоре назначили наркомом финансов СССР.</w:t>
      </w:r>
    </w:p>
    <w:p w14:paraId="25B7CF79" w14:textId="77777777" w:rsidR="00A10143" w:rsidRPr="00507A31" w:rsidRDefault="00A10143" w:rsidP="00507A31">
      <w:pPr>
        <w:pStyle w:val="ae"/>
        <w:shd w:val="clear" w:color="auto" w:fill="FFFFFF"/>
        <w:spacing w:before="0" w:after="0"/>
        <w:jc w:val="both"/>
        <w:textAlignment w:val="baseline"/>
        <w:rPr>
          <w:color w:val="0070C0"/>
          <w:sz w:val="16"/>
          <w:szCs w:val="16"/>
        </w:rPr>
      </w:pPr>
      <w:r w:rsidRPr="00507A31">
        <w:rPr>
          <w:color w:val="0070C0"/>
          <w:sz w:val="16"/>
          <w:szCs w:val="16"/>
        </w:rPr>
        <w:t>В работе комиссии участвовали Баранов, начальник Военно-морской инспекции Наркомата рабоче-крестьянской инспекции (НК РКИ) Ксенофонт Мартинович, Королёв, начальник вооружений РККА Иероним Уборевич, главный инспектор ГВФ Анвельт и другие военные и хозяйственные деятели.</w:t>
      </w:r>
    </w:p>
    <w:p w14:paraId="179F262F" w14:textId="77777777" w:rsidR="00A10143" w:rsidRPr="00507A31" w:rsidRDefault="00A10143" w:rsidP="00507A31">
      <w:pPr>
        <w:pStyle w:val="ae"/>
        <w:shd w:val="clear" w:color="auto" w:fill="FFFFFF"/>
        <w:spacing w:before="0" w:after="0"/>
        <w:jc w:val="both"/>
        <w:textAlignment w:val="baseline"/>
        <w:rPr>
          <w:color w:val="0070C0"/>
          <w:sz w:val="16"/>
          <w:szCs w:val="16"/>
        </w:rPr>
      </w:pPr>
      <w:r w:rsidRPr="00507A31">
        <w:rPr>
          <w:color w:val="0070C0"/>
          <w:sz w:val="16"/>
          <w:szCs w:val="16"/>
        </w:rPr>
        <w:t>Рудзутаку дали 10 дней, чтобы </w:t>
      </w:r>
      <w:r w:rsidRPr="00507A31">
        <w:rPr>
          <w:color w:val="0070C0"/>
          <w:sz w:val="16"/>
          <w:szCs w:val="16"/>
          <w:bdr w:val="none" w:sz="0" w:space="0" w:color="auto" w:frame="1"/>
          <w:shd w:val="clear" w:color="auto" w:fill="FFFFFF"/>
        </w:rPr>
        <w:t>«рассмотреть вопросы о всемерном развитии гражданской авиации и формах связи гражданской авиации с военной»</w:t>
      </w:r>
      <w:r w:rsidRPr="00507A31">
        <w:rPr>
          <w:color w:val="0070C0"/>
          <w:sz w:val="16"/>
          <w:szCs w:val="16"/>
        </w:rPr>
        <w:t> и внести соответствующие предложения на рассмотрение Политбюро. Однако по прошествии трёх недель этого не произошло (20466).</w:t>
      </w:r>
    </w:p>
    <w:p w14:paraId="4F8888A7" w14:textId="77777777" w:rsidR="00A10143" w:rsidRPr="00507A31" w:rsidRDefault="00A10143" w:rsidP="00507A31">
      <w:pPr>
        <w:pStyle w:val="ae"/>
        <w:shd w:val="clear" w:color="auto" w:fill="FFFFFF"/>
        <w:spacing w:before="0" w:after="0"/>
        <w:jc w:val="both"/>
        <w:textAlignment w:val="baseline"/>
        <w:rPr>
          <w:color w:val="0070C0"/>
          <w:sz w:val="16"/>
          <w:szCs w:val="16"/>
        </w:rPr>
      </w:pPr>
    </w:p>
    <w:p w14:paraId="3CA18E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в НИИ АФС был рассмотрен и утвержден макет весовой кабины самолета ФС (фотосамолета) с размещением оборудования. Проект ФС-1 сухопутного и ФС-2 амфибии под два мотора в 300 л.с. были выполнены В.Б.Шаврова - по совместительству ст. н. сотр. НИИ АФС и К.А.Вигандом (расчеты) (1076,916).</w:t>
      </w:r>
    </w:p>
    <w:p w14:paraId="1CD3D2E2" w14:textId="77777777" w:rsidR="00537E5F" w:rsidRPr="00507A31" w:rsidRDefault="00537E5F" w:rsidP="00507A31">
      <w:pPr>
        <w:autoSpaceDE w:val="0"/>
        <w:autoSpaceDN w:val="0"/>
        <w:adjustRightInd w:val="0"/>
        <w:jc w:val="both"/>
        <w:rPr>
          <w:color w:val="000000" w:themeColor="text1"/>
          <w:sz w:val="16"/>
          <w:szCs w:val="16"/>
        </w:rPr>
      </w:pPr>
    </w:p>
    <w:p w14:paraId="054DDE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был построен макет ТШ-2 был построен, однако 30 ноября НТК ВВС КА утвердило новые ТТТ к самолету-штурмовику этого класса. В конструкцию ТШ-2 пришлось вносить определенные коррективы (9649).</w:t>
      </w:r>
    </w:p>
    <w:p w14:paraId="174F4A0B" w14:textId="77777777" w:rsidR="00537E5F" w:rsidRPr="00507A31" w:rsidRDefault="00537E5F" w:rsidP="00507A31">
      <w:pPr>
        <w:autoSpaceDE w:val="0"/>
        <w:autoSpaceDN w:val="0"/>
        <w:adjustRightInd w:val="0"/>
        <w:jc w:val="both"/>
        <w:rPr>
          <w:color w:val="000000" w:themeColor="text1"/>
          <w:sz w:val="16"/>
          <w:szCs w:val="16"/>
        </w:rPr>
      </w:pPr>
    </w:p>
    <w:p w14:paraId="57D8485C" w14:textId="77777777" w:rsidR="00D64149" w:rsidRPr="00507A31" w:rsidRDefault="00D64149" w:rsidP="00507A31">
      <w:pPr>
        <w:jc w:val="both"/>
        <w:rPr>
          <w:color w:val="000000" w:themeColor="text1"/>
          <w:sz w:val="16"/>
          <w:szCs w:val="16"/>
        </w:rPr>
      </w:pPr>
      <w:r w:rsidRPr="00507A31">
        <w:rPr>
          <w:color w:val="000000" w:themeColor="text1"/>
          <w:sz w:val="16"/>
          <w:szCs w:val="16"/>
        </w:rPr>
        <w:t>В июле 1930 года был построен Макет ТШ-1 (ЦКБ № 6), однако 30 ноября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w:t>
      </w:r>
    </w:p>
    <w:p w14:paraId="1F5CCC63" w14:textId="77777777" w:rsidR="00D64149" w:rsidRPr="00507A31" w:rsidRDefault="00D64149" w:rsidP="00507A31">
      <w:pPr>
        <w:jc w:val="both"/>
        <w:rPr>
          <w:color w:val="000000" w:themeColor="text1"/>
          <w:sz w:val="16"/>
          <w:szCs w:val="16"/>
        </w:rPr>
      </w:pPr>
      <w:r w:rsidRPr="00507A31">
        <w:rPr>
          <w:color w:val="000000" w:themeColor="text1"/>
          <w:sz w:val="16"/>
          <w:szCs w:val="16"/>
        </w:rPr>
        <w:t xml:space="preserve">Бронекоробка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у края кабины летчика, борт бронекоробки мог открываться на шарнирах. Толщина брони: по низу 6 мм, по бортам 5 мм, по верху 4 мм. Броня для штурмовиков изготовлялась на Ижорском заводе под </w:t>
      </w:r>
      <w:r w:rsidRPr="00507A31">
        <w:rPr>
          <w:color w:val="000000" w:themeColor="text1"/>
          <w:sz w:val="16"/>
          <w:szCs w:val="16"/>
        </w:rPr>
        <w:lastRenderedPageBreak/>
        <w:t>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w:t>
      </w:r>
    </w:p>
    <w:p w14:paraId="4619B912" w14:textId="77777777" w:rsidR="00D64149" w:rsidRPr="00507A31" w:rsidRDefault="00D64149" w:rsidP="00507A31">
      <w:pPr>
        <w:jc w:val="both"/>
        <w:rPr>
          <w:color w:val="000000" w:themeColor="text1"/>
          <w:sz w:val="16"/>
          <w:szCs w:val="16"/>
        </w:rPr>
      </w:pPr>
      <w:r w:rsidRPr="00507A31">
        <w:rPr>
          <w:color w:val="000000" w:themeColor="text1"/>
          <w:sz w:val="16"/>
          <w:szCs w:val="16"/>
        </w:rPr>
        <w:t>Сварка брони (автогенная) оказалась не простым делом. При ее выполнении нарушалась строгая геометрия бронекоробки, иногда появлялись трещины. После изготовления первого экземпляра самолета со сварной бронекоробкой,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бронекоробку на 6-мм болтах с потайной головкой и шагом 25-30 мм. На болтах (винтах) крепились и все узлы бронекоробки. Масса бронекоробки составляла около 520 кг.</w:t>
      </w:r>
    </w:p>
    <w:p w14:paraId="63DDCFD6" w14:textId="77777777" w:rsidR="00D64149" w:rsidRPr="00507A31" w:rsidRDefault="00D64149" w:rsidP="00507A31">
      <w:pPr>
        <w:jc w:val="both"/>
        <w:rPr>
          <w:color w:val="000000" w:themeColor="text1"/>
          <w:sz w:val="16"/>
          <w:szCs w:val="16"/>
        </w:rPr>
      </w:pPr>
      <w:r w:rsidRPr="00507A31">
        <w:rPr>
          <w:color w:val="000000" w:themeColor="text1"/>
          <w:sz w:val="16"/>
          <w:szCs w:val="16"/>
        </w:rPr>
        <w:t>Конструкция ТШ-1 была смешанной. В бронекоробке размещались кабины летчика и стрелка, двигатель ВМW-6, радиатор и основной бензобак. К бронекоробке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пулемеметов ПВ-1 под нижним крылом. Вместо этих пулеметов могла подвешиваться «гранатница»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Надашкевич, отличавшийся творческим подходом, изобретательностью и достижением хороших результатов работ (18293).</w:t>
      </w:r>
    </w:p>
    <w:p w14:paraId="4F7B3EF3" w14:textId="77777777" w:rsidR="00D64149" w:rsidRPr="00507A31" w:rsidRDefault="00D64149" w:rsidP="00507A31">
      <w:pPr>
        <w:jc w:val="both"/>
        <w:rPr>
          <w:color w:val="000000" w:themeColor="text1"/>
          <w:sz w:val="16"/>
          <w:szCs w:val="16"/>
        </w:rPr>
      </w:pPr>
    </w:p>
    <w:p w14:paraId="462AD3EF" w14:textId="77777777" w:rsidR="00AF5A44" w:rsidRPr="00507A31" w:rsidRDefault="00AF5A44" w:rsidP="00507A31">
      <w:pPr>
        <w:shd w:val="clear" w:color="auto" w:fill="FFFFFF"/>
        <w:jc w:val="both"/>
        <w:rPr>
          <w:color w:val="000000" w:themeColor="text1"/>
          <w:sz w:val="16"/>
          <w:szCs w:val="16"/>
        </w:rPr>
      </w:pPr>
      <w:r w:rsidRPr="00507A31">
        <w:rPr>
          <w:color w:val="000000" w:themeColor="text1"/>
          <w:sz w:val="16"/>
          <w:szCs w:val="16"/>
        </w:rPr>
        <w:t>В июле 1930 года был построен макет ТШ-1, однако 30 ноября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 Бронекоробка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у края кабины летчика, борт бронекоробки мог открываться на шарнирах. Толщина брони: по низу 6 мм, по бортам 5 мм, по верху 4 мм. Броня для штурмовиков изготовлялась на Ижорском заводе под 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 Сварка брони (автогенная) оказалась не простым делом. При ее выполнении нарушалась строгая геометрия бронекоробки, иногда появлялись трещины. После изготовления первого экземпляра самолета со сварной бронекоробкой,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бронекоробку на 6-мм болтах с потайной головкой и шагом 25-30 мм. На болтах (винтах) крепились и все узлы бронекоробки. Масса бронекоробки составляла около 520 кг. Конструкция ТШ-1 была смешанной. В бронекоробке размещались кабины летчика и стрелка, двигатель ВМW-6, радиатор и основной бензобак. К бронекоробке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пулемеметов ПВ-1 под нижним крылом. Вместо этих пулеметов могла подвешиваться «гранатница»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Надашкевич, отличавшийся творческим подходом, изобретательностью и достижением хороших результатов работ (15223).</w:t>
      </w:r>
    </w:p>
    <w:p w14:paraId="741141A0" w14:textId="77777777" w:rsidR="00AF5A44" w:rsidRPr="00507A31" w:rsidRDefault="00AF5A44" w:rsidP="00507A31">
      <w:pPr>
        <w:shd w:val="clear" w:color="auto" w:fill="FFFFFF"/>
        <w:jc w:val="both"/>
        <w:rPr>
          <w:color w:val="000000" w:themeColor="text1"/>
          <w:sz w:val="16"/>
          <w:szCs w:val="16"/>
        </w:rPr>
      </w:pPr>
    </w:p>
    <w:p w14:paraId="550F941B" w14:textId="77777777" w:rsidR="00D64149" w:rsidRPr="00507A31" w:rsidRDefault="00D64149"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В июле 1930 г. закончили проект И-4 с разрезныи крылом (19100).</w:t>
      </w:r>
    </w:p>
    <w:p w14:paraId="51B1A8BF" w14:textId="77777777" w:rsidR="00D64149" w:rsidRPr="00507A31" w:rsidRDefault="00D64149" w:rsidP="00507A31">
      <w:pPr>
        <w:pStyle w:val="a8"/>
        <w:jc w:val="both"/>
        <w:rPr>
          <w:rFonts w:ascii="Times New Roman" w:hAnsi="Times New Roman" w:cs="Times New Roman"/>
          <w:color w:val="000000" w:themeColor="text1"/>
        </w:rPr>
      </w:pPr>
    </w:p>
    <w:p w14:paraId="27A398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июле 1930 г. самолет АНТ-4 передали в качестве учебного пособия в Ле</w:t>
      </w:r>
      <w:r w:rsidRPr="00507A31">
        <w:rPr>
          <w:color w:val="000000" w:themeColor="text1"/>
          <w:sz w:val="16"/>
          <w:szCs w:val="16"/>
        </w:rPr>
        <w:softHyphen/>
        <w:t>нинградскую военно-теоретическую авиа</w:t>
      </w:r>
      <w:r w:rsidRPr="00507A31">
        <w:rPr>
          <w:color w:val="000000" w:themeColor="text1"/>
          <w:sz w:val="16"/>
          <w:szCs w:val="16"/>
        </w:rPr>
        <w:softHyphen/>
        <w:t>школу, с пометкой «так как для других нужд не пригоден». Тогда же с Остехбюро сняли тематику исследований перевозки боевых грузов по воздуху, а в сентябре 1930 г. по</w:t>
      </w:r>
      <w:r w:rsidRPr="00507A31">
        <w:rPr>
          <w:color w:val="000000" w:themeColor="text1"/>
          <w:sz w:val="16"/>
          <w:szCs w:val="16"/>
        </w:rPr>
        <w:softHyphen/>
        <w:t>добной деятельностью обязали заниматься ВВС (11286).</w:t>
      </w:r>
    </w:p>
    <w:p w14:paraId="4A1F57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F6D79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 Поликарпова сместили с должности ведущего конструктора и перевели в организованный в мае расчётный отдел, где он и проработал до конца 1931 г. В итоге И-6 остался без "хозяина". И-6 облетывали почти параллельно с тремя И-5. Вышедшая на испытания в 1930 г. машина существенно отличалась от проекта 1929 г., впитав в себя опыт работы над И-5. Конструктор улучшил аэродинамику самолёта, изменил шасси и фюзеляж, но главной новинкой являлся первый отечественный винт изменяемого шага, изготовленный в ЦАГИ (11997).</w:t>
      </w:r>
    </w:p>
    <w:p w14:paraId="15D780CC" w14:textId="77777777" w:rsidR="00537E5F" w:rsidRPr="00507A31" w:rsidRDefault="00537E5F" w:rsidP="00507A31">
      <w:pPr>
        <w:autoSpaceDE w:val="0"/>
        <w:autoSpaceDN w:val="0"/>
        <w:adjustRightInd w:val="0"/>
        <w:jc w:val="both"/>
        <w:rPr>
          <w:color w:val="000000" w:themeColor="text1"/>
          <w:sz w:val="16"/>
          <w:szCs w:val="16"/>
        </w:rPr>
      </w:pPr>
    </w:p>
    <w:p w14:paraId="0774C8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июле 1930 г. самолет ТБ-2 выкатили из цеха. Первый полет выполнил Б.Л.Бухгольц. Несмотря на бипланную схему, ТБ-2 показал преимущества перед ТБ-1 с тем же двигателем в скорости, скороподъемности и максимальной высоте полета. Но после начала постройки первого экземпляра тя</w:t>
      </w:r>
      <w:r w:rsidRPr="00507A31">
        <w:rPr>
          <w:color w:val="000000" w:themeColor="text1"/>
          <w:sz w:val="16"/>
          <w:szCs w:val="16"/>
        </w:rPr>
        <w:softHyphen/>
        <w:t>желого четырехмоторного бомбардировщика ТБ-3 ле</w:t>
      </w:r>
      <w:r w:rsidRPr="00507A31">
        <w:rPr>
          <w:color w:val="000000" w:themeColor="text1"/>
          <w:sz w:val="16"/>
          <w:szCs w:val="16"/>
        </w:rPr>
        <w:softHyphen/>
        <w:t>том того же года (первый полет 22 декабря 1930 г.) ТБ-1 и ТБ-2 уже не имели перспектив дальнейшего развития как боевые самолеты. Дешевый в постройке и эксплуатации ТБ-2 мог бы послужить основой для создания транспортно-пасса-жирского самолета. Но отстранение Поликарпова от ак</w:t>
      </w:r>
      <w:r w:rsidRPr="00507A31">
        <w:rPr>
          <w:color w:val="000000" w:themeColor="text1"/>
          <w:sz w:val="16"/>
          <w:szCs w:val="16"/>
        </w:rPr>
        <w:softHyphen/>
        <w:t>тивной конструкторской деятельности в октябре 1929 г. повлияло на судьбу этой машины. Вообще, Николая Николаевича всегда интересовали проблемы разработки пассажирского самолета. Увязы</w:t>
      </w:r>
      <w:r w:rsidRPr="00507A31">
        <w:rPr>
          <w:color w:val="000000" w:themeColor="text1"/>
          <w:sz w:val="16"/>
          <w:szCs w:val="16"/>
        </w:rPr>
        <w:softHyphen/>
        <w:t>вая свою деятельность с запросами общества и эконо</w:t>
      </w:r>
      <w:r w:rsidRPr="00507A31">
        <w:rPr>
          <w:color w:val="000000" w:themeColor="text1"/>
          <w:sz w:val="16"/>
          <w:szCs w:val="16"/>
        </w:rPr>
        <w:softHyphen/>
        <w:t>мическими возможностями государства, он с начала 20-х годов и до конца жизни вынашивал идею создания пассажирского самолета для авиалиний небольшой протяженности. Как указывалось выше, первый проект такой маши</w:t>
      </w:r>
      <w:r w:rsidRPr="00507A31">
        <w:rPr>
          <w:color w:val="000000" w:themeColor="text1"/>
          <w:sz w:val="16"/>
          <w:szCs w:val="16"/>
        </w:rPr>
        <w:softHyphen/>
        <w:t>ны появился в 1920 г. После завершения гражданской войны и некоторого периода стабилизации экономики в 1924 г. в СССР открылось несколько воздушных линий. Потребовались самолеты для их эксплуатации. Истин</w:t>
      </w:r>
      <w:r w:rsidRPr="00507A31">
        <w:rPr>
          <w:color w:val="000000" w:themeColor="text1"/>
          <w:sz w:val="16"/>
          <w:szCs w:val="16"/>
        </w:rPr>
        <w:softHyphen/>
        <w:t>ное положение дел в гражданской авиации Николай Ни</w:t>
      </w:r>
      <w:r w:rsidRPr="00507A31">
        <w:rPr>
          <w:color w:val="000000" w:themeColor="text1"/>
          <w:sz w:val="16"/>
          <w:szCs w:val="16"/>
        </w:rPr>
        <w:softHyphen/>
        <w:t>колаевич хорошо знал, поскольку по совместительству работал главным инженером акционерного общества «Промвоздух». В октябре 1924 г., после возвращения на завод № 1, он, как только представилась возможность, начал работать в инициативном порядке над пассажир</w:t>
      </w:r>
      <w:r w:rsidRPr="00507A31">
        <w:rPr>
          <w:color w:val="000000" w:themeColor="text1"/>
          <w:sz w:val="16"/>
          <w:szCs w:val="16"/>
        </w:rPr>
        <w:softHyphen/>
        <w:t>ским самолетом П-2 (другое обозначение ПП) с мото</w:t>
      </w:r>
      <w:r w:rsidRPr="00507A31">
        <w:rPr>
          <w:color w:val="000000" w:themeColor="text1"/>
          <w:sz w:val="16"/>
          <w:szCs w:val="16"/>
        </w:rPr>
        <w:softHyphen/>
        <w:t>ром «Майбах» мощностью 260 л.с.. Формально работа выполнялась по заданию заводоуправления. Ве</w:t>
      </w:r>
      <w:r w:rsidRPr="00507A31">
        <w:rPr>
          <w:color w:val="000000" w:themeColor="text1"/>
          <w:sz w:val="16"/>
          <w:szCs w:val="16"/>
        </w:rPr>
        <w:softHyphen/>
        <w:t>дущим конструктором по самолету назначили А.А.Се</w:t>
      </w:r>
      <w:r w:rsidRPr="00507A31">
        <w:rPr>
          <w:color w:val="000000" w:themeColor="text1"/>
          <w:sz w:val="16"/>
          <w:szCs w:val="16"/>
        </w:rPr>
        <w:softHyphen/>
        <w:t>менова. Машина создавалась по схеме полутораплана и имела выклеенный из шпона фюзеляж-полумонокок, внутри которого располагалась пассажирская кабина на пять человек: одно сиденье было установлено напротив двери, справа и слева от него - два дивана на двух пасса-жиров. В каждом борту - по три окна. Летчик и механик находились в другой кабине сразу за двигателем. Само</w:t>
      </w:r>
      <w:r w:rsidRPr="00507A31">
        <w:rPr>
          <w:color w:val="000000" w:themeColor="text1"/>
          <w:sz w:val="16"/>
          <w:szCs w:val="16"/>
        </w:rPr>
        <w:softHyphen/>
        <w:t>лет мог держаться в воздухе три часа, что являлось до</w:t>
      </w:r>
      <w:r w:rsidRPr="00507A31">
        <w:rPr>
          <w:color w:val="000000" w:themeColor="text1"/>
          <w:sz w:val="16"/>
          <w:szCs w:val="16"/>
        </w:rPr>
        <w:softHyphen/>
        <w:t>статочным для использования его на местных воздушных линиях - машина создавалась для «межгу</w:t>
      </w:r>
      <w:r w:rsidRPr="00507A31">
        <w:rPr>
          <w:color w:val="000000" w:themeColor="text1"/>
          <w:sz w:val="16"/>
          <w:szCs w:val="16"/>
        </w:rPr>
        <w:softHyphen/>
        <w:t>бернских перевозок». В феврале 1925 г., когда постройка П-2 была выполнена примерно на 50%, последовал при</w:t>
      </w:r>
      <w:r w:rsidRPr="00507A31">
        <w:rPr>
          <w:color w:val="000000" w:themeColor="text1"/>
          <w:sz w:val="16"/>
          <w:szCs w:val="16"/>
        </w:rPr>
        <w:softHyphen/>
        <w:t>каз Главкоавиа о прекращении работ, так как проекти</w:t>
      </w:r>
      <w:r w:rsidRPr="00507A31">
        <w:rPr>
          <w:color w:val="000000" w:themeColor="text1"/>
          <w:sz w:val="16"/>
          <w:szCs w:val="16"/>
        </w:rPr>
        <w:softHyphen/>
        <w:t>рование машины осуществлялось без задания и без санкции вышестоящей организации (10667).</w:t>
      </w:r>
    </w:p>
    <w:p w14:paraId="264877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 самолетов ТБ-1 и ТБ-2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389"/>
        <w:gridCol w:w="1680"/>
        <w:gridCol w:w="1738"/>
        <w:gridCol w:w="1680"/>
        <w:gridCol w:w="1718"/>
      </w:tblGrid>
      <w:tr w:rsidR="00E371BA" w:rsidRPr="00507A31" w14:paraId="6C1FB867" w14:textId="77777777">
        <w:trPr>
          <w:trHeight w:val="288"/>
        </w:trPr>
        <w:tc>
          <w:tcPr>
            <w:tcW w:w="3389" w:type="dxa"/>
            <w:tcBorders>
              <w:top w:val="single" w:sz="12" w:space="0" w:color="auto"/>
            </w:tcBorders>
          </w:tcPr>
          <w:p w14:paraId="452136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680" w:type="dxa"/>
            <w:tcBorders>
              <w:top w:val="single" w:sz="12" w:space="0" w:color="auto"/>
            </w:tcBorders>
          </w:tcPr>
          <w:p w14:paraId="2645C0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АНТ-4 экз. № 1</w:t>
            </w:r>
          </w:p>
        </w:tc>
        <w:tc>
          <w:tcPr>
            <w:tcW w:w="1738" w:type="dxa"/>
            <w:tcBorders>
              <w:top w:val="single" w:sz="12" w:space="0" w:color="auto"/>
            </w:tcBorders>
          </w:tcPr>
          <w:p w14:paraId="5CED25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АНТ-4бис дублер</w:t>
            </w:r>
          </w:p>
        </w:tc>
        <w:tc>
          <w:tcPr>
            <w:tcW w:w="1680" w:type="dxa"/>
            <w:tcBorders>
              <w:top w:val="single" w:sz="12" w:space="0" w:color="auto"/>
            </w:tcBorders>
          </w:tcPr>
          <w:p w14:paraId="10B245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ТБ-1 серийный</w:t>
            </w:r>
          </w:p>
        </w:tc>
        <w:tc>
          <w:tcPr>
            <w:tcW w:w="1718" w:type="dxa"/>
            <w:tcBorders>
              <w:top w:val="single" w:sz="12" w:space="0" w:color="auto"/>
            </w:tcBorders>
          </w:tcPr>
          <w:p w14:paraId="222E7A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ТБ-2</w:t>
            </w:r>
          </w:p>
        </w:tc>
      </w:tr>
      <w:tr w:rsidR="00E371BA" w:rsidRPr="00507A31" w14:paraId="6F580B1A" w14:textId="77777777">
        <w:trPr>
          <w:trHeight w:val="269"/>
        </w:trPr>
        <w:tc>
          <w:tcPr>
            <w:tcW w:w="3389" w:type="dxa"/>
          </w:tcPr>
          <w:p w14:paraId="17F231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w:t>
            </w:r>
          </w:p>
        </w:tc>
        <w:tc>
          <w:tcPr>
            <w:tcW w:w="1680" w:type="dxa"/>
          </w:tcPr>
          <w:p w14:paraId="415137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Нэпир «Лайон»</w:t>
            </w:r>
          </w:p>
        </w:tc>
        <w:tc>
          <w:tcPr>
            <w:tcW w:w="1738" w:type="dxa"/>
          </w:tcPr>
          <w:p w14:paraId="63CB6A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БМВ-У1</w:t>
            </w:r>
          </w:p>
        </w:tc>
        <w:tc>
          <w:tcPr>
            <w:tcW w:w="1680" w:type="dxa"/>
          </w:tcPr>
          <w:p w14:paraId="0DBC60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БМВ-У1</w:t>
            </w:r>
          </w:p>
        </w:tc>
        <w:tc>
          <w:tcPr>
            <w:tcW w:w="1718" w:type="dxa"/>
          </w:tcPr>
          <w:p w14:paraId="0ECD26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БМВ-У1</w:t>
            </w:r>
          </w:p>
        </w:tc>
      </w:tr>
      <w:tr w:rsidR="00E371BA" w:rsidRPr="00507A31" w14:paraId="1E08A597" w14:textId="77777777">
        <w:trPr>
          <w:trHeight w:val="230"/>
        </w:trPr>
        <w:tc>
          <w:tcPr>
            <w:tcW w:w="3389" w:type="dxa"/>
          </w:tcPr>
          <w:p w14:paraId="1FAECE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Мощность, л.с.</w:t>
            </w:r>
          </w:p>
        </w:tc>
        <w:tc>
          <w:tcPr>
            <w:tcW w:w="1680" w:type="dxa"/>
          </w:tcPr>
          <w:p w14:paraId="10254D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450</w:t>
            </w:r>
          </w:p>
        </w:tc>
        <w:tc>
          <w:tcPr>
            <w:tcW w:w="1738" w:type="dxa"/>
          </w:tcPr>
          <w:p w14:paraId="0209DF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500/680</w:t>
            </w:r>
          </w:p>
        </w:tc>
        <w:tc>
          <w:tcPr>
            <w:tcW w:w="1680" w:type="dxa"/>
          </w:tcPr>
          <w:p w14:paraId="4FDDE9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500/680</w:t>
            </w:r>
          </w:p>
        </w:tc>
        <w:tc>
          <w:tcPr>
            <w:tcW w:w="1718" w:type="dxa"/>
          </w:tcPr>
          <w:p w14:paraId="0F572A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500/680</w:t>
            </w:r>
          </w:p>
        </w:tc>
      </w:tr>
      <w:tr w:rsidR="00E371BA" w:rsidRPr="00507A31" w14:paraId="77A11646" w14:textId="77777777">
        <w:trPr>
          <w:trHeight w:val="240"/>
        </w:trPr>
        <w:tc>
          <w:tcPr>
            <w:tcW w:w="3389" w:type="dxa"/>
          </w:tcPr>
          <w:p w14:paraId="4CC54C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Длина, м</w:t>
            </w:r>
          </w:p>
        </w:tc>
        <w:tc>
          <w:tcPr>
            <w:tcW w:w="1680" w:type="dxa"/>
          </w:tcPr>
          <w:p w14:paraId="480453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17,3</w:t>
            </w:r>
          </w:p>
        </w:tc>
        <w:tc>
          <w:tcPr>
            <w:tcW w:w="1738" w:type="dxa"/>
          </w:tcPr>
          <w:p w14:paraId="6913F7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18,0</w:t>
            </w:r>
          </w:p>
        </w:tc>
        <w:tc>
          <w:tcPr>
            <w:tcW w:w="1680" w:type="dxa"/>
          </w:tcPr>
          <w:p w14:paraId="3E1530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18,0</w:t>
            </w:r>
          </w:p>
        </w:tc>
        <w:tc>
          <w:tcPr>
            <w:tcW w:w="1718" w:type="dxa"/>
          </w:tcPr>
          <w:p w14:paraId="4DF2D3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17,6</w:t>
            </w:r>
          </w:p>
        </w:tc>
      </w:tr>
      <w:tr w:rsidR="00E371BA" w:rsidRPr="00507A31" w14:paraId="2ABA15C3" w14:textId="77777777">
        <w:trPr>
          <w:trHeight w:val="240"/>
        </w:trPr>
        <w:tc>
          <w:tcPr>
            <w:tcW w:w="3389" w:type="dxa"/>
          </w:tcPr>
          <w:p w14:paraId="79E06B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Размах, м</w:t>
            </w:r>
          </w:p>
        </w:tc>
        <w:tc>
          <w:tcPr>
            <w:tcW w:w="1680" w:type="dxa"/>
          </w:tcPr>
          <w:p w14:paraId="3186E3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29,6</w:t>
            </w:r>
          </w:p>
        </w:tc>
        <w:tc>
          <w:tcPr>
            <w:tcW w:w="1738" w:type="dxa"/>
          </w:tcPr>
          <w:p w14:paraId="1ED3C0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28,7</w:t>
            </w:r>
          </w:p>
        </w:tc>
        <w:tc>
          <w:tcPr>
            <w:tcW w:w="1680" w:type="dxa"/>
          </w:tcPr>
          <w:p w14:paraId="3C91D3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28,7</w:t>
            </w:r>
          </w:p>
        </w:tc>
        <w:tc>
          <w:tcPr>
            <w:tcW w:w="1718" w:type="dxa"/>
          </w:tcPr>
          <w:p w14:paraId="41746E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27,0</w:t>
            </w:r>
          </w:p>
        </w:tc>
      </w:tr>
      <w:tr w:rsidR="00E371BA" w:rsidRPr="00507A31" w14:paraId="312020B8" w14:textId="77777777">
        <w:trPr>
          <w:trHeight w:val="250"/>
        </w:trPr>
        <w:tc>
          <w:tcPr>
            <w:tcW w:w="3389" w:type="dxa"/>
          </w:tcPr>
          <w:p w14:paraId="3FE1B3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Площадь крыла, м</w:t>
            </w:r>
            <w:r w:rsidRPr="00507A31">
              <w:rPr>
                <w:color w:val="000000" w:themeColor="text1"/>
                <w:sz w:val="16"/>
                <w:szCs w:val="16"/>
                <w:vertAlign w:val="superscript"/>
              </w:rPr>
              <w:t>2</w:t>
            </w:r>
          </w:p>
        </w:tc>
        <w:tc>
          <w:tcPr>
            <w:tcW w:w="1680" w:type="dxa"/>
          </w:tcPr>
          <w:p w14:paraId="50C26B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121,5</w:t>
            </w:r>
          </w:p>
        </w:tc>
        <w:tc>
          <w:tcPr>
            <w:tcW w:w="1738" w:type="dxa"/>
          </w:tcPr>
          <w:p w14:paraId="4D9DBE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w:t>
            </w:r>
          </w:p>
        </w:tc>
        <w:tc>
          <w:tcPr>
            <w:tcW w:w="1680" w:type="dxa"/>
          </w:tcPr>
          <w:p w14:paraId="3790EE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w:t>
            </w:r>
          </w:p>
        </w:tc>
        <w:tc>
          <w:tcPr>
            <w:tcW w:w="1718" w:type="dxa"/>
          </w:tcPr>
          <w:p w14:paraId="4E265F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128,0</w:t>
            </w:r>
          </w:p>
        </w:tc>
      </w:tr>
      <w:tr w:rsidR="00E371BA" w:rsidRPr="00507A31" w14:paraId="16ACDA83" w14:textId="77777777">
        <w:trPr>
          <w:trHeight w:val="221"/>
        </w:trPr>
        <w:tc>
          <w:tcPr>
            <w:tcW w:w="3389" w:type="dxa"/>
          </w:tcPr>
          <w:p w14:paraId="3893F4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Полетная масса, кг</w:t>
            </w:r>
          </w:p>
        </w:tc>
        <w:tc>
          <w:tcPr>
            <w:tcW w:w="1680" w:type="dxa"/>
          </w:tcPr>
          <w:p w14:paraId="1F2550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6200</w:t>
            </w:r>
          </w:p>
        </w:tc>
        <w:tc>
          <w:tcPr>
            <w:tcW w:w="1738" w:type="dxa"/>
          </w:tcPr>
          <w:p w14:paraId="75892C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6722</w:t>
            </w:r>
          </w:p>
        </w:tc>
        <w:tc>
          <w:tcPr>
            <w:tcW w:w="1680" w:type="dxa"/>
          </w:tcPr>
          <w:p w14:paraId="2A6B92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6762</w:t>
            </w:r>
          </w:p>
        </w:tc>
        <w:tc>
          <w:tcPr>
            <w:tcW w:w="1718" w:type="dxa"/>
          </w:tcPr>
          <w:p w14:paraId="7BE18B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6740</w:t>
            </w:r>
          </w:p>
        </w:tc>
      </w:tr>
      <w:tr w:rsidR="00E371BA" w:rsidRPr="00507A31" w14:paraId="75357D6A" w14:textId="77777777">
        <w:trPr>
          <w:trHeight w:val="250"/>
        </w:trPr>
        <w:tc>
          <w:tcPr>
            <w:tcW w:w="3389" w:type="dxa"/>
          </w:tcPr>
          <w:p w14:paraId="004798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Масса пустого, кг</w:t>
            </w:r>
          </w:p>
        </w:tc>
        <w:tc>
          <w:tcPr>
            <w:tcW w:w="1680" w:type="dxa"/>
          </w:tcPr>
          <w:p w14:paraId="55A4CB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4014</w:t>
            </w:r>
          </w:p>
        </w:tc>
        <w:tc>
          <w:tcPr>
            <w:tcW w:w="1738" w:type="dxa"/>
          </w:tcPr>
          <w:p w14:paraId="2E1A75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4435</w:t>
            </w:r>
          </w:p>
        </w:tc>
        <w:tc>
          <w:tcPr>
            <w:tcW w:w="1680" w:type="dxa"/>
          </w:tcPr>
          <w:p w14:paraId="4812A3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4427</w:t>
            </w:r>
          </w:p>
        </w:tc>
        <w:tc>
          <w:tcPr>
            <w:tcW w:w="1718" w:type="dxa"/>
          </w:tcPr>
          <w:p w14:paraId="0E1921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4220</w:t>
            </w:r>
          </w:p>
        </w:tc>
      </w:tr>
      <w:tr w:rsidR="00E371BA" w:rsidRPr="00507A31" w14:paraId="11DE0892" w14:textId="77777777">
        <w:trPr>
          <w:trHeight w:val="240"/>
        </w:trPr>
        <w:tc>
          <w:tcPr>
            <w:tcW w:w="3389" w:type="dxa"/>
          </w:tcPr>
          <w:p w14:paraId="201953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Максимальная скорость у земли, км/ч</w:t>
            </w:r>
          </w:p>
        </w:tc>
        <w:tc>
          <w:tcPr>
            <w:tcW w:w="1680" w:type="dxa"/>
          </w:tcPr>
          <w:p w14:paraId="06940A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196</w:t>
            </w:r>
          </w:p>
        </w:tc>
        <w:tc>
          <w:tcPr>
            <w:tcW w:w="1738" w:type="dxa"/>
          </w:tcPr>
          <w:p w14:paraId="7857C5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202</w:t>
            </w:r>
          </w:p>
        </w:tc>
        <w:tc>
          <w:tcPr>
            <w:tcW w:w="1680" w:type="dxa"/>
          </w:tcPr>
          <w:p w14:paraId="5A5103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184</w:t>
            </w:r>
          </w:p>
        </w:tc>
        <w:tc>
          <w:tcPr>
            <w:tcW w:w="1718" w:type="dxa"/>
          </w:tcPr>
          <w:p w14:paraId="71101A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216</w:t>
            </w:r>
          </w:p>
        </w:tc>
      </w:tr>
      <w:tr w:rsidR="00E371BA" w:rsidRPr="00507A31" w14:paraId="2773137E" w14:textId="77777777">
        <w:trPr>
          <w:trHeight w:val="240"/>
        </w:trPr>
        <w:tc>
          <w:tcPr>
            <w:tcW w:w="3389" w:type="dxa"/>
          </w:tcPr>
          <w:p w14:paraId="0DFB89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Время набора высоты 3000 м, мин.</w:t>
            </w:r>
          </w:p>
        </w:tc>
        <w:tc>
          <w:tcPr>
            <w:tcW w:w="1680" w:type="dxa"/>
          </w:tcPr>
          <w:p w14:paraId="05C78F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23,2</w:t>
            </w:r>
          </w:p>
        </w:tc>
        <w:tc>
          <w:tcPr>
            <w:tcW w:w="1738" w:type="dxa"/>
          </w:tcPr>
          <w:p w14:paraId="53E842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19,5</w:t>
            </w:r>
          </w:p>
        </w:tc>
        <w:tc>
          <w:tcPr>
            <w:tcW w:w="1680" w:type="dxa"/>
          </w:tcPr>
          <w:p w14:paraId="103E6C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19,5</w:t>
            </w:r>
          </w:p>
        </w:tc>
        <w:tc>
          <w:tcPr>
            <w:tcW w:w="1718" w:type="dxa"/>
          </w:tcPr>
          <w:p w14:paraId="45CB68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w:t>
            </w:r>
          </w:p>
        </w:tc>
      </w:tr>
      <w:tr w:rsidR="00E371BA" w:rsidRPr="00507A31" w14:paraId="1478BBCF" w14:textId="77777777">
        <w:trPr>
          <w:trHeight w:val="240"/>
        </w:trPr>
        <w:tc>
          <w:tcPr>
            <w:tcW w:w="3389" w:type="dxa"/>
          </w:tcPr>
          <w:p w14:paraId="04BF8B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Практический потолок, м</w:t>
            </w:r>
          </w:p>
        </w:tc>
        <w:tc>
          <w:tcPr>
            <w:tcW w:w="1680" w:type="dxa"/>
          </w:tcPr>
          <w:p w14:paraId="43479B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4163</w:t>
            </w:r>
          </w:p>
        </w:tc>
        <w:tc>
          <w:tcPr>
            <w:tcW w:w="1738" w:type="dxa"/>
          </w:tcPr>
          <w:p w14:paraId="2D1E41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4700</w:t>
            </w:r>
          </w:p>
        </w:tc>
        <w:tc>
          <w:tcPr>
            <w:tcW w:w="1680" w:type="dxa"/>
          </w:tcPr>
          <w:p w14:paraId="7CC2B0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4920</w:t>
            </w:r>
          </w:p>
        </w:tc>
        <w:tc>
          <w:tcPr>
            <w:tcW w:w="1718" w:type="dxa"/>
          </w:tcPr>
          <w:p w14:paraId="540D12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6800</w:t>
            </w:r>
          </w:p>
        </w:tc>
      </w:tr>
      <w:tr w:rsidR="00E371BA" w:rsidRPr="00507A31" w14:paraId="23DBFDC7" w14:textId="77777777">
        <w:trPr>
          <w:trHeight w:val="230"/>
        </w:trPr>
        <w:tc>
          <w:tcPr>
            <w:tcW w:w="3389" w:type="dxa"/>
          </w:tcPr>
          <w:p w14:paraId="76C9A8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Разбег, м</w:t>
            </w:r>
          </w:p>
        </w:tc>
        <w:tc>
          <w:tcPr>
            <w:tcW w:w="1680" w:type="dxa"/>
          </w:tcPr>
          <w:p w14:paraId="316347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260</w:t>
            </w:r>
          </w:p>
        </w:tc>
        <w:tc>
          <w:tcPr>
            <w:tcW w:w="1738" w:type="dxa"/>
          </w:tcPr>
          <w:p w14:paraId="48B3F4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w:t>
            </w:r>
          </w:p>
        </w:tc>
        <w:tc>
          <w:tcPr>
            <w:tcW w:w="1680" w:type="dxa"/>
          </w:tcPr>
          <w:p w14:paraId="3AC7DD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718" w:type="dxa"/>
          </w:tcPr>
          <w:p w14:paraId="208185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210</w:t>
            </w:r>
          </w:p>
        </w:tc>
      </w:tr>
      <w:tr w:rsidR="00E371BA" w:rsidRPr="00507A31" w14:paraId="5A738939" w14:textId="77777777">
        <w:trPr>
          <w:trHeight w:val="278"/>
        </w:trPr>
        <w:tc>
          <w:tcPr>
            <w:tcW w:w="3389" w:type="dxa"/>
            <w:tcBorders>
              <w:bottom w:val="single" w:sz="12" w:space="0" w:color="auto"/>
            </w:tcBorders>
          </w:tcPr>
          <w:p w14:paraId="49A392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Пробег, м</w:t>
            </w:r>
          </w:p>
        </w:tc>
        <w:tc>
          <w:tcPr>
            <w:tcW w:w="1680" w:type="dxa"/>
            <w:tcBorders>
              <w:bottom w:val="single" w:sz="12" w:space="0" w:color="auto"/>
            </w:tcBorders>
          </w:tcPr>
          <w:p w14:paraId="232A10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350</w:t>
            </w:r>
          </w:p>
        </w:tc>
        <w:tc>
          <w:tcPr>
            <w:tcW w:w="1738" w:type="dxa"/>
            <w:tcBorders>
              <w:bottom w:val="single" w:sz="12" w:space="0" w:color="auto"/>
            </w:tcBorders>
          </w:tcPr>
          <w:p w14:paraId="1FBC32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170</w:t>
            </w:r>
          </w:p>
        </w:tc>
        <w:tc>
          <w:tcPr>
            <w:tcW w:w="1680" w:type="dxa"/>
            <w:tcBorders>
              <w:bottom w:val="single" w:sz="12" w:space="0" w:color="auto"/>
            </w:tcBorders>
          </w:tcPr>
          <w:p w14:paraId="11FB2D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1718" w:type="dxa"/>
            <w:tcBorders>
              <w:bottom w:val="single" w:sz="12" w:space="0" w:color="auto"/>
            </w:tcBorders>
          </w:tcPr>
          <w:p w14:paraId="6C0016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170</w:t>
            </w:r>
          </w:p>
        </w:tc>
      </w:tr>
    </w:tbl>
    <w:p w14:paraId="1D6432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(10667).</w:t>
      </w:r>
    </w:p>
    <w:p w14:paraId="27F3A204" w14:textId="77777777" w:rsidR="00537E5F" w:rsidRPr="00507A31" w:rsidRDefault="00537E5F" w:rsidP="00507A31">
      <w:pPr>
        <w:autoSpaceDE w:val="0"/>
        <w:autoSpaceDN w:val="0"/>
        <w:adjustRightInd w:val="0"/>
        <w:jc w:val="both"/>
        <w:rPr>
          <w:color w:val="000000" w:themeColor="text1"/>
          <w:sz w:val="16"/>
          <w:szCs w:val="16"/>
        </w:rPr>
      </w:pPr>
    </w:p>
    <w:p w14:paraId="489B2A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июле 1930 г. начались испытания Д-2 в НИИ ВВС. По первым положительным результатам приняли решение о запуске машины в производство, и в программу ГАЗ № 1 на 1930 г. вписали задание на постройку первой се</w:t>
      </w:r>
      <w:r w:rsidRPr="00507A31">
        <w:rPr>
          <w:color w:val="000000" w:themeColor="text1"/>
          <w:sz w:val="16"/>
          <w:szCs w:val="16"/>
        </w:rPr>
        <w:softHyphen/>
        <w:t>рии из 30 Д-2. Однако отзывы о самолете летчика НИИ А.В.Чекарева разительно отличались в худшую сторону от отзывов Б.Л.Бухгольца. Вновь была отмече</w:t>
      </w:r>
      <w:r w:rsidRPr="00507A31">
        <w:rPr>
          <w:color w:val="000000" w:themeColor="text1"/>
          <w:sz w:val="16"/>
          <w:szCs w:val="16"/>
        </w:rPr>
        <w:softHyphen/>
        <w:t>на небольшая вибрация оперения. 4 августа 1930 г., ког</w:t>
      </w:r>
      <w:r w:rsidRPr="00507A31">
        <w:rPr>
          <w:color w:val="000000" w:themeColor="text1"/>
          <w:sz w:val="16"/>
          <w:szCs w:val="16"/>
        </w:rPr>
        <w:softHyphen/>
        <w:t>да над Центральным аэродромом на Д-2 выполнялось пикирование с последующим выходом на горизонталь</w:t>
      </w:r>
      <w:r w:rsidRPr="00507A31">
        <w:rPr>
          <w:color w:val="000000" w:themeColor="text1"/>
          <w:sz w:val="16"/>
          <w:szCs w:val="16"/>
        </w:rPr>
        <w:softHyphen/>
        <w:t>ную площадку, отвалилось оперение и произошла ката</w:t>
      </w:r>
      <w:r w:rsidRPr="00507A31">
        <w:rPr>
          <w:color w:val="000000" w:themeColor="text1"/>
          <w:sz w:val="16"/>
          <w:szCs w:val="16"/>
        </w:rPr>
        <w:softHyphen/>
        <w:t>строфа. Экипаж погиб. Выдвигались две наиболее вероятные причины случившегося: 1) нарастающие ви</w:t>
      </w:r>
      <w:r w:rsidRPr="00507A31">
        <w:rPr>
          <w:color w:val="000000" w:themeColor="text1"/>
          <w:sz w:val="16"/>
          <w:szCs w:val="16"/>
        </w:rPr>
        <w:softHyphen/>
        <w:t>брации хвостового оперения, которые привели к его разрушению, 2) недостаточно прочная конструкция его крепления после переделки для увеличения поперечно</w:t>
      </w:r>
      <w:r w:rsidRPr="00507A31">
        <w:rPr>
          <w:color w:val="000000" w:themeColor="text1"/>
          <w:sz w:val="16"/>
          <w:szCs w:val="16"/>
        </w:rPr>
        <w:softHyphen/>
        <w:t>го угла установки. Еще одной причиной могло быть ос</w:t>
      </w:r>
      <w:r w:rsidRPr="00507A31">
        <w:rPr>
          <w:color w:val="000000" w:themeColor="text1"/>
          <w:sz w:val="16"/>
          <w:szCs w:val="16"/>
        </w:rPr>
        <w:softHyphen/>
        <w:t>лабление затяжки крепежных соединений оперения, что привело к люфтам в узлах крепления, вибрациям опере</w:t>
      </w:r>
      <w:r w:rsidRPr="00507A31">
        <w:rPr>
          <w:color w:val="000000" w:themeColor="text1"/>
          <w:sz w:val="16"/>
          <w:szCs w:val="16"/>
        </w:rPr>
        <w:softHyphen/>
        <w:t>ния и его отделению от самолета. Резолюция временно исполняющего обязанности начальника ВВС Я.И.Алксниса в материалах по рассле</w:t>
      </w:r>
      <w:r w:rsidRPr="00507A31">
        <w:rPr>
          <w:color w:val="000000" w:themeColor="text1"/>
          <w:sz w:val="16"/>
          <w:szCs w:val="16"/>
        </w:rPr>
        <w:softHyphen/>
        <w:t>дованию катастрофы была своеобразной и предельно жесткой: «НТК дать конкретный материал по всем но</w:t>
      </w:r>
      <w:r w:rsidRPr="00507A31">
        <w:rPr>
          <w:color w:val="000000" w:themeColor="text1"/>
          <w:sz w:val="16"/>
          <w:szCs w:val="16"/>
        </w:rPr>
        <w:softHyphen/>
        <w:t>вым самолетам, по коим получились сильные расхожде</w:t>
      </w:r>
      <w:r w:rsidRPr="00507A31">
        <w:rPr>
          <w:color w:val="000000" w:themeColor="text1"/>
          <w:sz w:val="16"/>
          <w:szCs w:val="16"/>
        </w:rPr>
        <w:softHyphen/>
        <w:t>ния между заводскими испытаниями и испытаниями в НИИ, с указанием фамилий тех летчиков завода, кото</w:t>
      </w:r>
      <w:r w:rsidRPr="00507A31">
        <w:rPr>
          <w:color w:val="000000" w:themeColor="text1"/>
          <w:sz w:val="16"/>
          <w:szCs w:val="16"/>
        </w:rPr>
        <w:softHyphen/>
        <w:t>рые дали неправильные сведения, на предмет привлече</w:t>
      </w:r>
      <w:r w:rsidRPr="00507A31">
        <w:rPr>
          <w:color w:val="000000" w:themeColor="text1"/>
          <w:sz w:val="16"/>
          <w:szCs w:val="16"/>
        </w:rPr>
        <w:softHyphen/>
        <w:t>ния их к заслуженной ответственности» (10667).</w:t>
      </w:r>
    </w:p>
    <w:p w14:paraId="03C103AC" w14:textId="77777777" w:rsidR="00537E5F" w:rsidRPr="00507A31" w:rsidRDefault="00537E5F" w:rsidP="00507A31">
      <w:pPr>
        <w:autoSpaceDE w:val="0"/>
        <w:autoSpaceDN w:val="0"/>
        <w:adjustRightInd w:val="0"/>
        <w:jc w:val="both"/>
        <w:rPr>
          <w:color w:val="000000" w:themeColor="text1"/>
          <w:sz w:val="16"/>
          <w:szCs w:val="16"/>
        </w:rPr>
      </w:pPr>
    </w:p>
    <w:p w14:paraId="1EB682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июля 1930 г. освоением ТБ-3 занялся авиазавод №22, располагавшийся в подмосковных Филях. В то время это отечественное предприятие имело наибольший в стране опыт постройки цельнометаллических самолетов и выпускало двухмоторный бомбардировщик ТБ-1 (7668).</w:t>
      </w:r>
    </w:p>
    <w:p w14:paraId="5AB09863" w14:textId="77777777" w:rsidR="00537E5F" w:rsidRPr="00507A31" w:rsidRDefault="00537E5F" w:rsidP="00507A31">
      <w:pPr>
        <w:autoSpaceDE w:val="0"/>
        <w:autoSpaceDN w:val="0"/>
        <w:adjustRightInd w:val="0"/>
        <w:jc w:val="both"/>
        <w:rPr>
          <w:color w:val="000000" w:themeColor="text1"/>
          <w:sz w:val="16"/>
          <w:szCs w:val="16"/>
        </w:rPr>
      </w:pPr>
    </w:p>
    <w:p w14:paraId="43D2E9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июля 1930 завод 22 начал освоение ТБ-3 (1854,7).</w:t>
      </w:r>
    </w:p>
    <w:p w14:paraId="0D52D8AB" w14:textId="77777777" w:rsidR="00537E5F" w:rsidRPr="00507A31" w:rsidRDefault="00537E5F" w:rsidP="00507A31">
      <w:pPr>
        <w:autoSpaceDE w:val="0"/>
        <w:autoSpaceDN w:val="0"/>
        <w:adjustRightInd w:val="0"/>
        <w:jc w:val="both"/>
        <w:rPr>
          <w:color w:val="000000" w:themeColor="text1"/>
          <w:sz w:val="16"/>
          <w:szCs w:val="16"/>
        </w:rPr>
      </w:pPr>
    </w:p>
    <w:p w14:paraId="3E4EBD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 на заводе № 29 был организовали опытно-конструкторский отдел под руководством Назарова А.С. Конструкторы проделали большую работу по усовершенствованию мотора. Был переделан полностью кривошипно-шатунный механизм на подшипники скольжения, что увеличило ресурс мотора, а также проведены изменения в цилиндропоршневой группе; значительно усовершенствована технология производства и сборки мотора. Ресурс мотора с начальных 50 часов к 1932 г. достиг 200 часов на модификации М-11В и к 1936 г. 400 часов на М-11Д.</w:t>
      </w:r>
    </w:p>
    <w:p w14:paraId="6DBD97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1934 г. на заводе № 29 начинается освоение созданного на базе французского мотора Гном-Рон «Мистраль-Мажор» советского двигателя М-85, а производство моторов М-11 передается в Воронеж на завод № 16. В дальнейшем завод № 16 больше не работал с моторами Швецова, а вот казанские авиастроители устанавливали швецовские АШ-82 на Пе-2 и Пе-8, АШ-73 на «летающие крепости» Ту-4, вертолет Ми-4 оснащался мотором АШ-82В.</w:t>
      </w:r>
    </w:p>
    <w:p w14:paraId="1D59F1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Освоение новой продукции было осуществлено на заводе всего за шесть месяцев. Огромная заслуга в этом принадлежит главному инженеру завода № 16 Макаруку Михаилу Павловичу. В 1923 г. он принимал активное участие в освоении производства американского двигателя «Либерти-12» мощностью 400 л.с. на московском заводе № 2 «Икар». Серийный выпуск этого мотора, получившего обозначение М-5, помимо завода № 2, проходил в Ленинграде на заводе «Большевик» (бывший Обуховский). Там под руководством главного инженера Макарука проводились пуско-наладочные работы. Выпуск М-5 продолжался до 1930 г.</w:t>
      </w:r>
    </w:p>
    <w:p w14:paraId="1EA596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16-м заводе устанавливалось самое современное оборудование. Механический цех был оснащен высокопроизводительными импортными металлорежущими станками. Были освоены новые процессы силуминового литья, термообработки деталей из высоколегированных сталей, налажена кузнечная штамповка с малыми припусками на стальные и алюминиевые детали (12049).</w:t>
      </w:r>
    </w:p>
    <w:p w14:paraId="51946EA1" w14:textId="77777777" w:rsidR="00537E5F" w:rsidRPr="00507A31" w:rsidRDefault="00537E5F" w:rsidP="00507A31">
      <w:pPr>
        <w:autoSpaceDE w:val="0"/>
        <w:autoSpaceDN w:val="0"/>
        <w:adjustRightInd w:val="0"/>
        <w:jc w:val="both"/>
        <w:rPr>
          <w:color w:val="000000" w:themeColor="text1"/>
          <w:sz w:val="16"/>
          <w:szCs w:val="16"/>
        </w:rPr>
      </w:pPr>
    </w:p>
    <w:p w14:paraId="466509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 испытали дополнительные радиаторы ЦАГИ для Р-3ЛД. Две секции ромбической формы (общей площадью 0,11 м2) устанавливались под нижней частью капота. Разрабатывались два варианта их подвески: первый (радиатор ЦАГИ) подвешивался на N-образных фермах к мотораме, а второй (радиатор завода "Промвоздух") крепился также к нижней секции капота. Работал радиатор ЦАГИ хорошо, но в эксплуатации оказался очень неудобен. Нижнюю часть капота нельзя было снять, не сняв радиатор. При откидывании боковых створок, они упирались в тот же самый радиатор, мешая подходу к двигателю.</w:t>
      </w:r>
    </w:p>
    <w:p w14:paraId="2D2A6C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Гораздо удачнее оказался радиатор, изготовленный в мастерских 16-й авиабригады в Ташкенте. Он состоял из двух поворотных выдвижных секторов, размещенных в задней части капота. Когда в них не было необходимости, они укладывались внутрь фюзеляжа и не создавали дополнительного сопротивления. Когда требовалось усилить охлаждение, достаточно было повернуть радиаторы на оси, и они выдвигались в набегающий поток, своеобразными "ушами" торча перед стойками шасси.</w:t>
      </w:r>
    </w:p>
    <w:p w14:paraId="4F9A3E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войсках осуществляли и другую доработку Р-ЗЛД. Например, в 44-м ао на одном из самолетов, кроме обычного бомбового прицела АП-2, снаружи ставили оптический прицел "Герц" для ночного бомбометания, а на другом установили устройство для буксировки конусных мишеней для воздушной стрельбы. В 35-м ао оборудовали часть машин сигнальными огнями и аккумуляторами (которых исходно на Р-3 не было). Вновь появились планы поставить на Р-ЗЛД радиостанцию, но они не были осуществлены.</w:t>
      </w:r>
    </w:p>
    <w:p w14:paraId="6B4CD1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Интересно, что в военных школах летчиков Р-3 не применялся совсем - там предпочитали простые и дешевые, хотя и более сложные в пилотировании, деревянные Р-1. Дольше всего Р-3 задержались в Средней Азии, где их использовали в борьбе с басмачами (11985).</w:t>
      </w:r>
    </w:p>
    <w:p w14:paraId="7D08FB41" w14:textId="77777777" w:rsidR="00537E5F" w:rsidRPr="00507A31" w:rsidRDefault="00537E5F" w:rsidP="00507A31">
      <w:pPr>
        <w:autoSpaceDE w:val="0"/>
        <w:autoSpaceDN w:val="0"/>
        <w:adjustRightInd w:val="0"/>
        <w:jc w:val="both"/>
        <w:rPr>
          <w:color w:val="000000" w:themeColor="text1"/>
          <w:sz w:val="16"/>
          <w:szCs w:val="16"/>
        </w:rPr>
      </w:pPr>
    </w:p>
    <w:p w14:paraId="5C9BF3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 завод № 25 был закрыт (10667).</w:t>
      </w:r>
    </w:p>
    <w:p w14:paraId="65D5D44A" w14:textId="77777777" w:rsidR="00537E5F" w:rsidRPr="00507A31" w:rsidRDefault="00537E5F" w:rsidP="00507A31">
      <w:pPr>
        <w:autoSpaceDE w:val="0"/>
        <w:autoSpaceDN w:val="0"/>
        <w:adjustRightInd w:val="0"/>
        <w:jc w:val="both"/>
        <w:rPr>
          <w:color w:val="000000" w:themeColor="text1"/>
          <w:sz w:val="16"/>
          <w:szCs w:val="16"/>
        </w:rPr>
      </w:pPr>
    </w:p>
    <w:p w14:paraId="573E10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июле 1930 были подготовлены Сведения о ходе работ по опытному самолетостроению завода № 25 по состоянию на 1 июля 1930 года</w:t>
      </w:r>
    </w:p>
    <w:p w14:paraId="03011F6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И6 ЮП VI (2-й экземпляр).</w:t>
      </w:r>
    </w:p>
    <w:p w14:paraId="5D1F150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произвел два полета. Находится в стадии заводских испытаний. Вооружение на самолете не смонтировано.</w:t>
      </w:r>
    </w:p>
    <w:p w14:paraId="0C7585A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ТБII БМVI</w:t>
      </w:r>
    </w:p>
    <w:p w14:paraId="1394602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представляет конструкцию образца 1926 года и особого боевого интереса не представляет.</w:t>
      </w:r>
    </w:p>
    <w:p w14:paraId="3E39C33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Д-2 БМВ VI</w:t>
      </w:r>
    </w:p>
    <w:p w14:paraId="4903B36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Необходимо решить представляет ли самолет интерес как образец двухместного истребителя, так как современный двухместный истребитель К 47 при испытаниях в НИИ дал гораздо лучшие показатели.</w:t>
      </w:r>
    </w:p>
    <w:p w14:paraId="2E076C9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У-2 с М11 НР 100 л.с.</w:t>
      </w:r>
    </w:p>
    <w:p w14:paraId="6DDE7AD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продолжает стоять в готовом состоянии в сборочном цеху из-за отсутствия летчика заводские испытания не производятся.</w:t>
      </w:r>
    </w:p>
    <w:p w14:paraId="0B1C09C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И-7 с БМВVI с электронным картером</w:t>
      </w:r>
    </w:p>
    <w:p w14:paraId="4DAF4E6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разработкой конструкции закончен и передан в производство.</w:t>
      </w:r>
    </w:p>
    <w:p w14:paraId="595F0FE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И-9 с М-19</w:t>
      </w:r>
    </w:p>
    <w:p w14:paraId="2EF2900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Эскизный проект закончен и макет построен.</w:t>
      </w:r>
    </w:p>
    <w:p w14:paraId="2A8D08D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Р-8</w:t>
      </w:r>
    </w:p>
    <w:p w14:paraId="7F9993F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Производится разработка эскизного проекта и подлежит передаче на 39 завод (6925, 29-30).</w:t>
      </w:r>
    </w:p>
    <w:p w14:paraId="41CF80B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088E53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июле 1930 была подготовлена Сводка о состоянии опытного самолетостроения в ЦАГИ на 1 июля 1930 года</w:t>
      </w:r>
    </w:p>
    <w:p w14:paraId="2ECF0DF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Р6</w:t>
      </w:r>
    </w:p>
    <w:p w14:paraId="58573DB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29 июня 1930 года состоялись два первых полета: 1-й – ознакомительный, второй на управляемость. 1 июля 1930 года был произведен третий полет на потолок.</w:t>
      </w:r>
    </w:p>
    <w:p w14:paraId="25E70A1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Р7</w:t>
      </w:r>
    </w:p>
    <w:p w14:paraId="2B7AFD2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Предполагается закончить самолет к 10 июля 1930 года.</w:t>
      </w:r>
    </w:p>
    <w:p w14:paraId="284FABF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И4 (моноплан).</w:t>
      </w:r>
    </w:p>
    <w:p w14:paraId="1385364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Работы по самолету не ведутся.</w:t>
      </w:r>
    </w:p>
    <w:p w14:paraId="787F9B2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И8</w:t>
      </w:r>
    </w:p>
    <w:p w14:paraId="526F255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65%. Срок окончания 1 сентября 1930 года.</w:t>
      </w:r>
    </w:p>
    <w:p w14:paraId="0CF776A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ДИ3</w:t>
      </w:r>
    </w:p>
    <w:p w14:paraId="0C8FE9E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Первый вариант макета был отставлен.</w:t>
      </w:r>
    </w:p>
    <w:p w14:paraId="080CA80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ТБ3</w:t>
      </w:r>
    </w:p>
    <w:p w14:paraId="689699A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71%. Срок окончания 1 августа 1930 года.</w:t>
      </w:r>
    </w:p>
    <w:p w14:paraId="7490E98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МДР-2 (ЭРОМ).</w:t>
      </w:r>
    </w:p>
    <w:p w14:paraId="765C3F7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60%. Макет будет предъявлен к 5 июля 1930 года.</w:t>
      </w:r>
    </w:p>
    <w:p w14:paraId="4BFC1E5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ТШ1</w:t>
      </w:r>
    </w:p>
    <w:p w14:paraId="22249C3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выпуска 1 мая 1931 года.</w:t>
      </w:r>
    </w:p>
    <w:p w14:paraId="7188BA3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ТБ-4</w:t>
      </w:r>
    </w:p>
    <w:p w14:paraId="255C0B6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к гос. испытаниям 1 мая 1931 года.</w:t>
      </w:r>
    </w:p>
    <w:p w14:paraId="572F006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1-ВГ</w:t>
      </w:r>
    </w:p>
    <w:p w14:paraId="41305FC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95-97%. Окончание намечено 15 июля 1930 года (6925, 31-35).</w:t>
      </w:r>
    </w:p>
    <w:p w14:paraId="77D6B9F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3A8474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июле 1930 была подготовлена Сводка о состоянии опытного самолетостроения в ЦАГИ на 15 июля 1930 года</w:t>
      </w:r>
    </w:p>
    <w:p w14:paraId="69C3BBB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Р6</w:t>
      </w:r>
    </w:p>
    <w:p w14:paraId="150579E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июля 1930 года состоялись 2 полета; 3-й потолок, 4-й – скорости у земли.</w:t>
      </w:r>
    </w:p>
    <w:p w14:paraId="0E21862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Р7</w:t>
      </w:r>
    </w:p>
    <w:p w14:paraId="37236E3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окончания был намечен 10 июля, но и на 15 июля 1930 года не закончен. Предполагается выпустить 20 июля 1930 года.</w:t>
      </w:r>
    </w:p>
    <w:p w14:paraId="6547FFB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И-4 моноплан</w:t>
      </w:r>
    </w:p>
    <w:p w14:paraId="162A9B4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Работы не ведутся предполагается приступить к нему после выпуска Р-7.</w:t>
      </w:r>
    </w:p>
    <w:p w14:paraId="7B93AD4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И-8</w:t>
      </w:r>
    </w:p>
    <w:p w14:paraId="6B6CAA9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67%. Окончание намечено 1 сентября 1930 года.</w:t>
      </w:r>
    </w:p>
    <w:p w14:paraId="42D8EBC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ДИ3</w:t>
      </w:r>
    </w:p>
    <w:p w14:paraId="16D9D61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 1 февраля 1931 года</w:t>
      </w:r>
    </w:p>
    <w:p w14:paraId="3DF6C49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ТБ-3</w:t>
      </w:r>
    </w:p>
    <w:p w14:paraId="3EE089F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77%. Срок окончания – 1 августа 1930 года.</w:t>
      </w:r>
    </w:p>
    <w:p w14:paraId="471A33B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МДР-2</w:t>
      </w:r>
    </w:p>
    <w:p w14:paraId="533E723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14 июля состоялась макетная комиссия, утвердившая макет с изменением.</w:t>
      </w:r>
    </w:p>
    <w:p w14:paraId="1DB031B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ТШ1</w:t>
      </w:r>
    </w:p>
    <w:p w14:paraId="0B70513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мая 1931 года.</w:t>
      </w:r>
    </w:p>
    <w:p w14:paraId="6EE857A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ТБ-4</w:t>
      </w:r>
    </w:p>
    <w:p w14:paraId="6276EBF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31 мая 1931 года.</w:t>
      </w:r>
    </w:p>
    <w:p w14:paraId="074673C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1-ВГ</w:t>
      </w:r>
    </w:p>
    <w:p w14:paraId="34D3D94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97-98%. Предполагалось закончить к 15 июля 1930 года, сейчас предположено выпустить 25 июля 1930 года (6925, 43-49).</w:t>
      </w:r>
    </w:p>
    <w:p w14:paraId="3E445A88"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F51DB0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июле 1930 были подготовлены Сведения о ходе работ по морскому опытному строительству на заводах №№ 39, 22 и ЦАГИ по состоянию на 21 июля 1930 года (6954).</w:t>
      </w:r>
    </w:p>
    <w:p w14:paraId="624CDAF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заводу № 39</w:t>
      </w:r>
    </w:p>
    <w:p w14:paraId="3979D2E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МУ-2 М-11</w:t>
      </w:r>
    </w:p>
    <w:p w14:paraId="119CF49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Произведены заводские испытания на Москве-реке. Испытания заключались в выявлении качеств поплавков. Первые испытания показали полную непригодность первого варианта боковых поплавков. Вторые испытания – со вторым вариантом боковых поплавков. На основной поплавок поставлены отражатели. Второй вариант основного поплавка с меньшей килеватостью будет готов примерно к 4 августа 1930 года. Завод считает необходимым сдать самолет в НИИ.</w:t>
      </w:r>
    </w:p>
    <w:p w14:paraId="4D5EE97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МДР-1 [бывший Ром2]</w:t>
      </w:r>
    </w:p>
    <w:p w14:paraId="4D2F5A1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Полностью закончены расчеты: аэродинамический, устойчивости, гидростатический и гидродинамический ……………..</w:t>
      </w:r>
    </w:p>
    <w:p w14:paraId="2C9EFD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настоящее время лодка находится в Филях и поднят вопрос о скорейшей переброске ее на завод № 39, но для этого ее надо окончательно зашить.</w:t>
      </w:r>
    </w:p>
    <w:p w14:paraId="6A7DF04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МБР-1 [бывший МР5]</w:t>
      </w:r>
    </w:p>
    <w:p w14:paraId="7C77002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Все расчеты по МБР-1 есть. В настоящее время работа ведется над обеими лодками.</w:t>
      </w:r>
    </w:p>
    <w:p w14:paraId="7C4E7CE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Первый вариант (РИШАРА) [МБР1а]</w:t>
      </w:r>
    </w:p>
    <w:p w14:paraId="6A1AEA4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Нет полной обшивки сверху, лодка не оборудована внутри.</w:t>
      </w:r>
    </w:p>
    <w:p w14:paraId="2599CA4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Второй вариант [МБР-1в, лодка новая]</w:t>
      </w:r>
    </w:p>
    <w:p w14:paraId="17F2F47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Установлен на стапель. Приступлено к обшивке днища.</w:t>
      </w:r>
    </w:p>
    <w:p w14:paraId="5E9A5DA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Общее состояние</w:t>
      </w:r>
    </w:p>
    <w:p w14:paraId="63081F1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планировке завода самолет должен быть готов к 1 октября 1930 года.</w:t>
      </w:r>
    </w:p>
    <w:p w14:paraId="499CC6F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Общая готовность 55-60%.</w:t>
      </w:r>
    </w:p>
    <w:p w14:paraId="1E8A9C6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МДР-3</w:t>
      </w:r>
    </w:p>
    <w:p w14:paraId="469EA94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Намечены сроки: разработка конструкции с 20 июля 1930 года по 15 декабря 1930 года. Производство с 1 декабря 1930 года по 1 мая 1931 года..</w:t>
      </w:r>
    </w:p>
    <w:p w14:paraId="4FD0F9C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МУ-3</w:t>
      </w:r>
    </w:p>
    <w:p w14:paraId="1F0B6A9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Под руководством Григоровича самолет поведут 7 студентов-дипломников. Сроки: разработка конструкции с 21 июля 1930 года по 15 ноября 1930 года и производство с 15 октября 1930 года по 15 марта 1931 года.</w:t>
      </w:r>
    </w:p>
    <w:p w14:paraId="1403E84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МБР-2 [развитие МБР-1]</w:t>
      </w:r>
    </w:p>
    <w:p w14:paraId="74F3076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Конструкция разрабатывается с 1 января 1931 года по 1 марта 1931 года, а в производстве – с 15 марта 1931 года по 1 июля 1931 года. До 1 января 1931 года будут вестись работы исследовательского порядка.</w:t>
      </w:r>
    </w:p>
    <w:p w14:paraId="2A7077F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МТБ-2</w:t>
      </w:r>
    </w:p>
    <w:p w14:paraId="37B77F1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плану: конструкция с 1 января 1931 года по 1 августа 1931 года, а производство с 1 мая 1931 года по 1 марта 1932 года. До 1 января 1931 года будут под руководством инженера Бартини вестись работы исследовательского порядка.</w:t>
      </w:r>
    </w:p>
    <w:p w14:paraId="1592B9C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заводу № 22</w:t>
      </w:r>
    </w:p>
    <w:p w14:paraId="38EE7BE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МТБ-1 (группа Ришара).</w:t>
      </w:r>
    </w:p>
    <w:p w14:paraId="30155BD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процессе строительства.</w:t>
      </w:r>
    </w:p>
    <w:p w14:paraId="3E70FCA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w:t>
      </w:r>
    </w:p>
    <w:p w14:paraId="0F9A742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МДР-2</w:t>
      </w:r>
    </w:p>
    <w:p w14:paraId="3367E1C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процессе строительства. Общий процент готовности 55-60% (6954, 1-5).</w:t>
      </w:r>
    </w:p>
    <w:p w14:paraId="334E4E3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E1A63AC" w14:textId="77777777" w:rsidR="00D64149" w:rsidRPr="00507A31" w:rsidRDefault="00D64149" w:rsidP="00507A31">
      <w:pPr>
        <w:jc w:val="both"/>
        <w:rPr>
          <w:color w:val="000000" w:themeColor="text1"/>
          <w:sz w:val="16"/>
          <w:szCs w:val="16"/>
        </w:rPr>
      </w:pPr>
      <w:r w:rsidRPr="00507A31">
        <w:rPr>
          <w:color w:val="000000" w:themeColor="text1"/>
          <w:sz w:val="16"/>
          <w:szCs w:val="16"/>
        </w:rPr>
        <w:t>В июле 1930 года работы по сборке геликоптера 1-ЭА были завершены. Успешно прошел начальный заводской этап испытания машины, связанный с запусками двигателей, обкаткой трансмиссии, подтверждением работоспособности систем и агрегатов. В августе 1930 года вертолет перебазировали на Ухтомский аэродром (ныне – территория ОКБ им. Н.И.Камова), где испытания продолжились на якорной стоянке. Данная стоянка была оборудована привязью, позволявшей аппарату осуществлять висение на высоте около полуметра над ней. Это позволяло осуществлять систематическую тренировку летчика, производить контрольную проверку машины после любых доработок и переделок перед каждым свободным полетом. Первым пилотом далекого от совершенства геликоптера мог стать именно Черемухин, профессиональный летчик времен империалистической войны, инструктор Качинской авиационной школы в Севастополе, ученик Н.Е.Жуковского, успешно окончивший механический факультет МВТУ. Следует отметить, что пониманию физической сути поведения машины в процессе наземных и предстоящих летных испытаний, безусловно, способствовали глубокие знания, приобретенные им в МВТУ и ВВИА им. Н.Е. Жуковского, где он преподавал с 1924 года. Александр Михайлович Черемухин вспоминает: «Первая задача была – суметь держаться на аппарате с работающим винтом в пределах ограничений привязи. Конечно, это далось не сразу. Системы управления общим шагом и автоматом перекоса сразу не работали, как следовало. Их приходилось доводить и ставить пружины, чтобы сделать усилия на ручке приемлемыми. Приходилось также учиться управлять этой новой машиной. С общим шагом у нас был целый ряд затруднений. Затруднения были и с начальной регулировкой положения ручки. Эти пробы на месте научили нас многому и через некоторое время позволили перейти к свободным полетам» (19010).</w:t>
      </w:r>
    </w:p>
    <w:p w14:paraId="356EAE54" w14:textId="77777777" w:rsidR="00D64149" w:rsidRPr="00507A31" w:rsidRDefault="00D64149" w:rsidP="00507A31">
      <w:pPr>
        <w:jc w:val="both"/>
        <w:rPr>
          <w:color w:val="000000" w:themeColor="text1"/>
          <w:sz w:val="16"/>
          <w:szCs w:val="16"/>
        </w:rPr>
      </w:pPr>
    </w:p>
    <w:p w14:paraId="722295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июле 1930 г. на опыт</w:t>
      </w:r>
      <w:r w:rsidRPr="00507A31">
        <w:rPr>
          <w:color w:val="000000" w:themeColor="text1"/>
          <w:sz w:val="16"/>
          <w:szCs w:val="16"/>
        </w:rPr>
        <w:softHyphen/>
        <w:t>ном заводе ЦАГИ была завершена постройка геликоптера ЦАГИ-1ЭА, и сразу же было решено в недостроенном еще здании на втором этаже провести наземные испытания с запуском одного и затем второго двигателей, а потом — испытания на при</w:t>
      </w:r>
      <w:r w:rsidRPr="00507A31">
        <w:rPr>
          <w:color w:val="000000" w:themeColor="text1"/>
          <w:sz w:val="16"/>
          <w:szCs w:val="16"/>
        </w:rPr>
        <w:softHyphen/>
        <w:t>вязи, в которых впервые в мировой практике была использована разработанная А. М. Черемухиным методика таких испытаний. В летных испытаниях геликоптера ЦАГИ-1ЭА, проводившихся в 1931 — 1934 гг., бессменным летчиком-испытателем был Алексей Михайлович Черемухин (1895—1958) (10736).</w:t>
      </w:r>
    </w:p>
    <w:p w14:paraId="33BFA0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97C36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в ЦАГИ был практически готов первый вертолет ВГ-1 (1-ЭА) и в июле-августе провели испытания прямо в цехе строящегося ЗОК (2666,78).</w:t>
      </w:r>
    </w:p>
    <w:p w14:paraId="0D4284BF" w14:textId="77777777" w:rsidR="00537E5F" w:rsidRPr="00507A31" w:rsidRDefault="00537E5F" w:rsidP="00507A31">
      <w:pPr>
        <w:autoSpaceDE w:val="0"/>
        <w:autoSpaceDN w:val="0"/>
        <w:adjustRightInd w:val="0"/>
        <w:jc w:val="both"/>
        <w:rPr>
          <w:color w:val="000000" w:themeColor="text1"/>
          <w:sz w:val="16"/>
          <w:szCs w:val="16"/>
        </w:rPr>
      </w:pPr>
    </w:p>
    <w:p w14:paraId="4BEB3D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июле 1930 года работы по сбор</w:t>
      </w:r>
      <w:r w:rsidRPr="00507A31">
        <w:rPr>
          <w:color w:val="000000" w:themeColor="text1"/>
          <w:sz w:val="16"/>
          <w:szCs w:val="16"/>
        </w:rPr>
        <w:softHyphen/>
        <w:t>ке геликоптера были завершены. Ус</w:t>
      </w:r>
      <w:r w:rsidRPr="00507A31">
        <w:rPr>
          <w:color w:val="000000" w:themeColor="text1"/>
          <w:sz w:val="16"/>
          <w:szCs w:val="16"/>
        </w:rPr>
        <w:softHyphen/>
        <w:t>пешно прошел начальный заводской этап испытания машины, связанный с запусками двигателей, обкаткой транс</w:t>
      </w:r>
      <w:r w:rsidRPr="00507A31">
        <w:rPr>
          <w:color w:val="000000" w:themeColor="text1"/>
          <w:sz w:val="16"/>
          <w:szCs w:val="16"/>
        </w:rPr>
        <w:softHyphen/>
        <w:t>миссии, подтверждением работоспо</w:t>
      </w:r>
      <w:r w:rsidRPr="00507A31">
        <w:rPr>
          <w:color w:val="000000" w:themeColor="text1"/>
          <w:sz w:val="16"/>
          <w:szCs w:val="16"/>
        </w:rPr>
        <w:softHyphen/>
        <w:t>собности систем и агрегатов (10735).</w:t>
      </w:r>
    </w:p>
    <w:p w14:paraId="1A94AE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501939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В июле 1930 был группой работников экспериментально-аэродинамического отдела ЦАГИ в лице Секции особых конструкций работает был построен геликоптер. Построенный аппарат представлял собой одновинтовой геликоптер с винтом диаметром Д-11 м, приводимым во вращение от двух моторов РОН по 120 л.с. Аппарат одноместный и имел запас горючего примерно на час полета (6926, 4а-5).</w:t>
      </w:r>
    </w:p>
    <w:p w14:paraId="38888B8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95EB6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Госдепартамент США запретил контракт между фирмой Глен Мартин и СССР. Была попытка поставки в СССР 20 цельнометаллических лл - ближних морских разведчиков по 55 тыс. долл., которые были лучше Савойи S.62bis (3457,23).</w:t>
      </w:r>
    </w:p>
    <w:p w14:paraId="717EE1C3" w14:textId="77777777" w:rsidR="00537E5F" w:rsidRPr="00507A31" w:rsidRDefault="00537E5F" w:rsidP="00507A31">
      <w:pPr>
        <w:autoSpaceDE w:val="0"/>
        <w:autoSpaceDN w:val="0"/>
        <w:adjustRightInd w:val="0"/>
        <w:jc w:val="both"/>
        <w:rPr>
          <w:color w:val="000000" w:themeColor="text1"/>
          <w:sz w:val="16"/>
          <w:szCs w:val="16"/>
        </w:rPr>
      </w:pPr>
    </w:p>
    <w:p w14:paraId="2BA7EF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CASA (Испания) предложила УВВС Дорнье Вали по цене на треть дешевле, чем итальянские, но машина уже устарела и отказались. Отказались и от 4-х и 2-х моторного Суперваля (2543,12).</w:t>
      </w:r>
    </w:p>
    <w:p w14:paraId="64A5609B" w14:textId="77777777" w:rsidR="00537E5F" w:rsidRPr="00507A31" w:rsidRDefault="00537E5F" w:rsidP="00507A31">
      <w:pPr>
        <w:autoSpaceDE w:val="0"/>
        <w:autoSpaceDN w:val="0"/>
        <w:adjustRightInd w:val="0"/>
        <w:jc w:val="both"/>
        <w:rPr>
          <w:color w:val="000000" w:themeColor="text1"/>
          <w:sz w:val="16"/>
          <w:szCs w:val="16"/>
        </w:rPr>
      </w:pPr>
    </w:p>
    <w:p w14:paraId="3777FB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ию</w:t>
      </w:r>
      <w:r w:rsidRPr="00507A31">
        <w:rPr>
          <w:color w:val="000000" w:themeColor="text1"/>
          <w:sz w:val="16"/>
          <w:szCs w:val="16"/>
        </w:rPr>
        <w:softHyphen/>
        <w:t>ле 1930 начались поставки НD.55 в Советский Союз, первые пять самолетов прибыли в Ленинград до осе</w:t>
      </w:r>
      <w:r w:rsidRPr="00507A31">
        <w:rPr>
          <w:color w:val="000000" w:themeColor="text1"/>
          <w:sz w:val="16"/>
          <w:szCs w:val="16"/>
        </w:rPr>
        <w:softHyphen/>
        <w:t>ни 1930 г. (11107).</w:t>
      </w:r>
    </w:p>
    <w:p w14:paraId="10FABA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DD83F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 из Москвы на завод № 29 был переведен А.С. Назаров, который организовал и возглавил конструкторское бюро. Дело в том, что конструктивная доводка двигателя М-11 по устранению выявленных в эксплуатации дефектов затягивалась и поэтому в 1930 г. Государственная комиссия и командование ВВС потребовали организовать на заводе конструкторский отдел В результате большой работы, проведенной под руководством А.С. Назарова, конструкторами завода был фактически создан новый двигатель, обладающий более высокими техническими характеристиками. Были созданы и запущены в производство несколько модификаций двигателя, в которых мощность увеличили до 150 л.с. Производство двигателей семейства М-11 продолжалось на различных заводах более 30 лет, было выпущено свыше 120 тыс. моторов, которые устанавливались более чем на 80 типах летательных аппаратов (11478).</w:t>
      </w:r>
    </w:p>
    <w:p w14:paraId="6C17B46A" w14:textId="77777777" w:rsidR="00537E5F" w:rsidRPr="00507A31" w:rsidRDefault="00537E5F" w:rsidP="00507A31">
      <w:pPr>
        <w:autoSpaceDE w:val="0"/>
        <w:autoSpaceDN w:val="0"/>
        <w:adjustRightInd w:val="0"/>
        <w:jc w:val="both"/>
        <w:rPr>
          <w:color w:val="000000" w:themeColor="text1"/>
          <w:sz w:val="16"/>
          <w:szCs w:val="16"/>
        </w:rPr>
      </w:pPr>
    </w:p>
    <w:p w14:paraId="647135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 из Москвы на завод был переведен А.С. Назаров, который организовал и возглавил конструкторское бюро. В результате большой работы, проведенной под руководством А.С. Назарова, конструкторами завода был фактически создан новый двигатель, обладающий более высокими техническими характеристиками. Были созданы и запущены в производство несколько модификаций двигателя, в которых мощность увеличили до 150 л.с. Производство двигателей семейства М-11 продолжалось на различных заводах более 30 лет, было выпущено свыше 120 тыс. моторов, которые устанавливались более чем на 80 типах летательных аппаратов. (11559).</w:t>
      </w:r>
    </w:p>
    <w:p w14:paraId="6617A3DE" w14:textId="77777777" w:rsidR="00537E5F" w:rsidRPr="00507A31" w:rsidRDefault="00537E5F" w:rsidP="00507A31">
      <w:pPr>
        <w:autoSpaceDE w:val="0"/>
        <w:autoSpaceDN w:val="0"/>
        <w:adjustRightInd w:val="0"/>
        <w:jc w:val="both"/>
        <w:rPr>
          <w:color w:val="000000" w:themeColor="text1"/>
          <w:sz w:val="16"/>
          <w:szCs w:val="16"/>
        </w:rPr>
      </w:pPr>
    </w:p>
    <w:p w14:paraId="33F659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года первый экземпляр М-23 прошел испытания на земле на АИР-3 - сначала на фюзеляже без крыла, затем с установленным крылом. Как отмечено выше, АИР-3 с самого начала был спроектирован так, что допускал установку этого мотора. Поэтому доработка самолета не была значительной. В 1930 году в НАМИ под руководством В. А. Доллежаля на базе пятицилиндрового двигателя М-12 (НАМИ-100) был создан маломощный мотор М-23 (НАМИ-65), трехцилиндровый мощностью 65-75 л. с. Изготовили новую мотораму, несколько отличающуюся по схеме, новые капоты и арматуру управления мотором, специально спроектированный винт; несколько изменили бензо- и маслопроводку, дополнительно установили сектор высотного корректора (11981)</w:t>
      </w:r>
    </w:p>
    <w:p w14:paraId="0CC18802" w14:textId="77777777" w:rsidR="00537E5F" w:rsidRPr="00507A31" w:rsidRDefault="00537E5F" w:rsidP="00507A31">
      <w:pPr>
        <w:autoSpaceDE w:val="0"/>
        <w:autoSpaceDN w:val="0"/>
        <w:adjustRightInd w:val="0"/>
        <w:jc w:val="both"/>
        <w:rPr>
          <w:color w:val="000000" w:themeColor="text1"/>
          <w:sz w:val="16"/>
          <w:szCs w:val="16"/>
        </w:rPr>
      </w:pPr>
    </w:p>
    <w:p w14:paraId="778B65E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июле 1930 года прошел гос. испытание индивидуальный парашют Гроховского типа «ИРВИН» из хлопчатобумажной ткани. Признан негодным вследствие большого веса и большой скорости снижения и замедленного раскрытия (6770).</w:t>
      </w:r>
    </w:p>
    <w:p w14:paraId="39D0489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67CEF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 на заводе 29 был организован опытно-конструкторский отдел под руководством главного конструктора А.С. Назарова. Этот коллектив создал ряд модификаций двигателя М-11, последовательно добившись повышения его мощности со 100 до 150 л.с., при этом ресурс довели до 400 ч. Производство М-11 продолжалось более 30 лет, всего было изготовлено свыше 120 тысяч таких моторов. Высокие качества двигателя М-11 позволили ему стать основным двигателем отечественной учебной и легкомоторной авиации. Он эксплуатировался на летательных аппаратах 88 типов, как серийно выпускавшихся (У-2 (По-2), Ш-2, УТ-1, УТ-2, Як-18, Як-6 и т.д.), так и экспериментальных и опытных. Помимо самолетов мотором М-11 оснащали планерлеты (ныне именуемые мотопланерами) и автожиры. Бесценный опыт, приобретенный в ходе производства и доводки двигателя М-11, позволил в середине 1930 г. перейти к серийному выпуску более мощного авиационного мотора М-22 (лицензионный Бристоль "Юпитер" VI). Этот звездообразный девятицилиндровый двигатель воздушного охлаждения мощностью 570 л.с. на взлетном режиме оказался весьма ценным приобретением для отечественной авиации. Мотор М-22 производился до 1935 г. Всего было выпущено более восьми тысяч моторов, которые устанавливались на 25 моделях самолетов военной и гражданской авиации. В их числе серийные истребители И-4 (АНТ-5) А.Н. Туполева, И-5 и первые серии истребителей И-15 и И-16 Н.Н. Поликарпова, пассажирские К-5 К.А. Калинина, "Сталь-3" А.И. Путилова, ХАИ-1 И.Г. Немана (9031).</w:t>
      </w:r>
    </w:p>
    <w:p w14:paraId="01F00E34" w14:textId="77777777" w:rsidR="00537E5F" w:rsidRPr="00507A31" w:rsidRDefault="00537E5F" w:rsidP="00507A31">
      <w:pPr>
        <w:autoSpaceDE w:val="0"/>
        <w:autoSpaceDN w:val="0"/>
        <w:adjustRightInd w:val="0"/>
        <w:jc w:val="both"/>
        <w:rPr>
          <w:color w:val="000000" w:themeColor="text1"/>
          <w:sz w:val="16"/>
          <w:szCs w:val="16"/>
        </w:rPr>
      </w:pPr>
    </w:p>
    <w:p w14:paraId="715DA2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июлю 1930 г. А.М.М. закончил разработку рабочих чертежей будущего М-34 (9028).</w:t>
      </w:r>
    </w:p>
    <w:p w14:paraId="3033D341" w14:textId="77777777" w:rsidR="00537E5F" w:rsidRPr="00507A31" w:rsidRDefault="00537E5F" w:rsidP="00507A31">
      <w:pPr>
        <w:autoSpaceDE w:val="0"/>
        <w:autoSpaceDN w:val="0"/>
        <w:adjustRightInd w:val="0"/>
        <w:jc w:val="both"/>
        <w:rPr>
          <w:color w:val="000000" w:themeColor="text1"/>
          <w:sz w:val="16"/>
          <w:szCs w:val="16"/>
        </w:rPr>
      </w:pPr>
    </w:p>
    <w:p w14:paraId="5A2E649C" w14:textId="77777777" w:rsidR="00A10143" w:rsidRPr="00507A31" w:rsidRDefault="00A10143" w:rsidP="00507A31">
      <w:pPr>
        <w:jc w:val="both"/>
        <w:rPr>
          <w:color w:val="0070C0"/>
          <w:sz w:val="16"/>
          <w:szCs w:val="16"/>
        </w:rPr>
      </w:pPr>
      <w:r w:rsidRPr="00507A31">
        <w:rPr>
          <w:color w:val="0070C0"/>
          <w:sz w:val="16"/>
          <w:szCs w:val="16"/>
        </w:rPr>
        <w:t>В июле 1930 первый двигатель М-23 (НАМИ М-65) прошел испытания на земле на легком самолете АИР-3 конструкции А.С. Яковлева - сначала на фю</w:t>
      </w:r>
      <w:r w:rsidRPr="00507A31">
        <w:rPr>
          <w:color w:val="0070C0"/>
          <w:sz w:val="16"/>
          <w:szCs w:val="16"/>
        </w:rPr>
        <w:softHyphen/>
        <w:t>зеляже без крыла, затем с установленным крылом. АИР-3 был спроектирован так, что допускал уста</w:t>
      </w:r>
      <w:r w:rsidRPr="00507A31">
        <w:rPr>
          <w:color w:val="0070C0"/>
          <w:sz w:val="16"/>
          <w:szCs w:val="16"/>
        </w:rPr>
        <w:softHyphen/>
        <w:t>новку этого мотора. В сентябре закончились летные испытания. Скорость АИР-3 возросла до 165 км/ч против 146 км/ч с двигателем Вальтер. Мотор НАМИ при превосходстве в мощности на 15 л.с. весил всего 107 кг против 104 кг у Вальтера. М-23 отличала бо</w:t>
      </w:r>
      <w:r w:rsidRPr="00507A31">
        <w:rPr>
          <w:color w:val="0070C0"/>
          <w:sz w:val="16"/>
          <w:szCs w:val="16"/>
        </w:rPr>
        <w:softHyphen/>
        <w:t>лее спокойная работа на эксплуатационных оборо</w:t>
      </w:r>
      <w:r w:rsidRPr="00507A31">
        <w:rPr>
          <w:color w:val="0070C0"/>
          <w:sz w:val="16"/>
          <w:szCs w:val="16"/>
        </w:rPr>
        <w:softHyphen/>
        <w:t>тах, чем у Вальтера, чрезвычайная простота конст</w:t>
      </w:r>
      <w:r w:rsidRPr="00507A31">
        <w:rPr>
          <w:color w:val="0070C0"/>
          <w:sz w:val="16"/>
          <w:szCs w:val="16"/>
        </w:rPr>
        <w:softHyphen/>
        <w:t>рукции и свободный доступ ко всем ответственным деталям.</w:t>
      </w:r>
    </w:p>
    <w:p w14:paraId="40D68E96" w14:textId="77777777" w:rsidR="00A10143" w:rsidRPr="00507A31" w:rsidRDefault="00A10143" w:rsidP="00507A31">
      <w:pPr>
        <w:jc w:val="both"/>
        <w:rPr>
          <w:color w:val="0070C0"/>
          <w:sz w:val="16"/>
          <w:szCs w:val="16"/>
        </w:rPr>
      </w:pPr>
      <w:r w:rsidRPr="00507A31">
        <w:rPr>
          <w:color w:val="0070C0"/>
          <w:sz w:val="16"/>
          <w:szCs w:val="16"/>
        </w:rPr>
        <w:t>В руководстве Осоавиахима считали, что в на</w:t>
      </w:r>
      <w:r w:rsidRPr="00507A31">
        <w:rPr>
          <w:color w:val="0070C0"/>
          <w:sz w:val="16"/>
          <w:szCs w:val="16"/>
        </w:rPr>
        <w:softHyphen/>
        <w:t>шей легкомоторной авиации еще не было такого яркого успеха, как выпуск отечественного самолета с отечественным двигателем (22518).</w:t>
      </w:r>
    </w:p>
    <w:p w14:paraId="0228E923" w14:textId="77777777" w:rsidR="00A10143" w:rsidRPr="00507A31" w:rsidRDefault="00A10143" w:rsidP="00507A31">
      <w:pPr>
        <w:jc w:val="both"/>
        <w:rPr>
          <w:color w:val="0070C0"/>
          <w:sz w:val="16"/>
          <w:szCs w:val="16"/>
        </w:rPr>
      </w:pPr>
    </w:p>
    <w:p w14:paraId="4F3C1E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 на Р-1 испытывали 76-мм динамореактивную (безоткатную) пушку АПК-1 конструкции Курчевского. Ее поставили на нижнем крыле. Возле дула размещался магазин на 10 снарядов. Перезарядка осуществлялась тросом из кабины. Поднять машину в воздух не решились, стреляли на земле - и правильно поступили. После первого же выстрела лопнуло полотно на стабилизаторе и фюзеляже, после второго расщепилась стойка стабилизатора, треснула его нервюра, и получил повреждения руль высоты (11923).</w:t>
      </w:r>
    </w:p>
    <w:p w14:paraId="507D7021" w14:textId="77777777" w:rsidR="00537E5F" w:rsidRPr="00507A31" w:rsidRDefault="00537E5F" w:rsidP="00507A31">
      <w:pPr>
        <w:autoSpaceDE w:val="0"/>
        <w:autoSpaceDN w:val="0"/>
        <w:adjustRightInd w:val="0"/>
        <w:jc w:val="both"/>
        <w:rPr>
          <w:color w:val="000000" w:themeColor="text1"/>
          <w:sz w:val="16"/>
          <w:szCs w:val="16"/>
        </w:rPr>
      </w:pPr>
    </w:p>
    <w:p w14:paraId="77437F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ВАО подчинили НКВМД (7383, 4).</w:t>
      </w:r>
    </w:p>
    <w:p w14:paraId="738D7EB3" w14:textId="77777777" w:rsidR="00537E5F" w:rsidRPr="00507A31" w:rsidRDefault="00537E5F" w:rsidP="00507A31">
      <w:pPr>
        <w:autoSpaceDE w:val="0"/>
        <w:autoSpaceDN w:val="0"/>
        <w:adjustRightInd w:val="0"/>
        <w:jc w:val="both"/>
        <w:rPr>
          <w:color w:val="000000" w:themeColor="text1"/>
          <w:sz w:val="16"/>
          <w:szCs w:val="16"/>
        </w:rPr>
      </w:pPr>
    </w:p>
    <w:p w14:paraId="1642A0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была написана первая редакция книги Ф.А.Цандера "Проблема полета при помощи реактивных аппаратов" (356,369).</w:t>
      </w:r>
    </w:p>
    <w:p w14:paraId="151131C5" w14:textId="77777777" w:rsidR="00537E5F" w:rsidRPr="00507A31" w:rsidRDefault="00537E5F" w:rsidP="00507A31">
      <w:pPr>
        <w:autoSpaceDE w:val="0"/>
        <w:autoSpaceDN w:val="0"/>
        <w:adjustRightInd w:val="0"/>
        <w:jc w:val="both"/>
        <w:rPr>
          <w:color w:val="000000" w:themeColor="text1"/>
          <w:sz w:val="16"/>
          <w:szCs w:val="16"/>
        </w:rPr>
      </w:pPr>
    </w:p>
    <w:p w14:paraId="4FAF009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7B5CF1D" w14:textId="77777777" w:rsidR="00537E5F" w:rsidRPr="00507A31" w:rsidRDefault="00537E5F" w:rsidP="00507A31">
      <w:pPr>
        <w:autoSpaceDE w:val="0"/>
        <w:autoSpaceDN w:val="0"/>
        <w:adjustRightInd w:val="0"/>
        <w:jc w:val="both"/>
        <w:rPr>
          <w:iCs/>
          <w:color w:val="000000" w:themeColor="text1"/>
          <w:sz w:val="16"/>
          <w:szCs w:val="16"/>
        </w:rPr>
      </w:pPr>
    </w:p>
    <w:p w14:paraId="60B5108A" w14:textId="77777777" w:rsidR="00A10143" w:rsidRPr="00507A31" w:rsidRDefault="00A10143" w:rsidP="00507A31">
      <w:pPr>
        <w:pStyle w:val="ae"/>
        <w:shd w:val="clear" w:color="auto" w:fill="FFFFFF"/>
        <w:spacing w:before="0" w:after="0"/>
        <w:jc w:val="both"/>
        <w:rPr>
          <w:color w:val="0070C0"/>
          <w:sz w:val="16"/>
          <w:szCs w:val="16"/>
        </w:rPr>
      </w:pPr>
      <w:r w:rsidRPr="00507A31">
        <w:rPr>
          <w:color w:val="0070C0"/>
          <w:sz w:val="16"/>
          <w:szCs w:val="16"/>
        </w:rPr>
        <w:t>В июле 1930 года издается приказ по ВСНХ СССР № 154сс, в котором подводились неутешительные итоги работы по перевооружению армии и флота с целью усиления их технической мощи. Основной причиной этого была признана недооценка опытно-конструкторских работ на военных заводах. Четко определялось, почему неудовлетворительно проводятся ОКР: «Недопустимо медленно выполняется приказ ВСНХ № 30сс о создании конструкторских бюро, особенно в части укомплектования личным составом». Руководителям оборонной промышленности всех рангов еще раз предписывалось обратить исключительное внимание на укомплектование КБ специалистами и оснащение современным оборудованием (20981).</w:t>
      </w:r>
    </w:p>
    <w:p w14:paraId="1D486F47" w14:textId="77777777" w:rsidR="00A10143" w:rsidRPr="00507A31" w:rsidRDefault="00A10143" w:rsidP="00507A31">
      <w:pPr>
        <w:pStyle w:val="ae"/>
        <w:shd w:val="clear" w:color="auto" w:fill="FFFFFF"/>
        <w:spacing w:before="0" w:after="0"/>
        <w:jc w:val="both"/>
        <w:rPr>
          <w:color w:val="0070C0"/>
          <w:sz w:val="16"/>
          <w:szCs w:val="16"/>
        </w:rPr>
      </w:pPr>
    </w:p>
    <w:p w14:paraId="7EE1B4E8" w14:textId="77777777" w:rsidR="00A10143" w:rsidRPr="00507A31" w:rsidRDefault="00A10143" w:rsidP="00507A31">
      <w:pPr>
        <w:jc w:val="both"/>
        <w:rPr>
          <w:color w:val="0070C0"/>
          <w:sz w:val="16"/>
          <w:szCs w:val="16"/>
        </w:rPr>
      </w:pPr>
      <w:r w:rsidRPr="00507A31">
        <w:rPr>
          <w:color w:val="0070C0"/>
          <w:sz w:val="16"/>
          <w:szCs w:val="16"/>
        </w:rPr>
        <w:t>В июле 1930 г. с полигона ВОХИМУ на НИАП для проведения стрельб, согласно приказания Начальника АУ, был направлен 152-мм «китайский» (или «японский») миномет. Надлежало выяснить основные баллистические данные миномета, досягаемость мины и ее действие, меткость стрельбы на разные дистанции и качество материальной части, и представить их в соответствующем заключении во II секцию НТК АУ. При этом, по сообщению начальника АНИИ Е. А. Беркалова, данный миномет был получен 3 мая 1930 г. с одного из складов и 16 июня направлен по запросу на НИХП, как представлявший интерес для использования в интересах ВОХИМУ, после чего обратно получен не был.382 Опытные стрельбы со 152-мм трофейным минометом были проведены, начиная с апреля 1931 г., также группой «Д» были составлены чертежи системы.383</w:t>
      </w:r>
    </w:p>
    <w:p w14:paraId="33E61860" w14:textId="77777777" w:rsidR="00A10143" w:rsidRPr="00507A31" w:rsidRDefault="00A10143" w:rsidP="00507A31">
      <w:pPr>
        <w:jc w:val="both"/>
        <w:rPr>
          <w:rFonts w:eastAsia="TimesNewRomanPSMT"/>
          <w:color w:val="0070C0"/>
          <w:sz w:val="16"/>
          <w:szCs w:val="16"/>
        </w:rPr>
      </w:pPr>
      <w:r w:rsidRPr="00507A31">
        <w:rPr>
          <w:color w:val="0070C0"/>
          <w:sz w:val="16"/>
          <w:szCs w:val="16"/>
        </w:rPr>
        <w:t>Изучение боевых качеств трофейных минометов проводилось и путем отстрела их на НИХПе и НИАПе, причем ввиду единичности имевшихся образцов они неоднократно пересылались с одного полигона на другой. (20074).</w:t>
      </w:r>
    </w:p>
    <w:p w14:paraId="1D41EA87" w14:textId="77777777" w:rsidR="00A10143" w:rsidRPr="00507A31" w:rsidRDefault="00A10143" w:rsidP="00507A31">
      <w:pPr>
        <w:jc w:val="both"/>
        <w:rPr>
          <w:rFonts w:eastAsia="TimesNewRomanPSMT"/>
          <w:color w:val="0070C0"/>
          <w:sz w:val="16"/>
          <w:szCs w:val="16"/>
        </w:rPr>
      </w:pPr>
    </w:p>
    <w:p w14:paraId="64D7387D" w14:textId="77777777" w:rsidR="0083258D" w:rsidRPr="00507A31" w:rsidRDefault="0083258D" w:rsidP="00507A31">
      <w:pPr>
        <w:jc w:val="both"/>
        <w:rPr>
          <w:color w:val="000000" w:themeColor="text1"/>
          <w:sz w:val="16"/>
          <w:szCs w:val="16"/>
        </w:rPr>
      </w:pPr>
      <w:r w:rsidRPr="00507A31">
        <w:rPr>
          <w:color w:val="000000" w:themeColor="text1"/>
          <w:sz w:val="16"/>
          <w:szCs w:val="16"/>
        </w:rPr>
        <w:t>В июле 1930 г., И.П. Уборевич приказал кроме пи</w:t>
      </w:r>
      <w:r w:rsidRPr="00507A31">
        <w:rPr>
          <w:color w:val="000000" w:themeColor="text1"/>
          <w:sz w:val="16"/>
          <w:szCs w:val="16"/>
        </w:rPr>
        <w:softHyphen/>
        <w:t>столета-пулемета карабинного типа («весом 3,3-3,5 кг с прикладом») разработать также пистолет-пулемет «весом 3,2 кг в кобуре» (15766).</w:t>
      </w:r>
    </w:p>
    <w:p w14:paraId="2F9F1304" w14:textId="77777777" w:rsidR="0083258D" w:rsidRPr="00507A31" w:rsidRDefault="0083258D" w:rsidP="00507A31">
      <w:pPr>
        <w:jc w:val="both"/>
        <w:rPr>
          <w:color w:val="000000" w:themeColor="text1"/>
          <w:sz w:val="16"/>
          <w:szCs w:val="16"/>
        </w:rPr>
      </w:pPr>
    </w:p>
    <w:p w14:paraId="04A940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июле 1930 из Детройта была получена телеграмма: "Передаю окончательный генеральный план завода (ЧТЗ). Первое: главным корпусом является механический, включающий собственно механический, вторую термическую, холодноштамповочную, склад запасных частей и готовых тракторов, главный магазин. Второе: размеры этого корпуса – длина 458, ширина 156. Третье: направление большой оси главного корпуса параллельно оси Омской на расстоянии 600 метров..."9 и т.д. План разбивки будущего предприятия оказался настолько точен, что произведенная по нему закладка фундамента в дальнейшем не потребовала изменений (11557).</w:t>
      </w:r>
    </w:p>
    <w:p w14:paraId="6C258D04" w14:textId="77777777" w:rsidR="00537E5F" w:rsidRPr="00507A31" w:rsidRDefault="00537E5F" w:rsidP="00507A31">
      <w:pPr>
        <w:autoSpaceDE w:val="0"/>
        <w:autoSpaceDN w:val="0"/>
        <w:adjustRightInd w:val="0"/>
        <w:jc w:val="both"/>
        <w:rPr>
          <w:color w:val="000000" w:themeColor="text1"/>
          <w:sz w:val="16"/>
          <w:szCs w:val="16"/>
        </w:rPr>
      </w:pPr>
    </w:p>
    <w:p w14:paraId="779FC4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 вскоре после образования ЦРЛЗ Специальное управление ВЭО ставит перед предприятием целый ряд исследовательских задач. Это бы ли исследования в области УКВ (в интересах ВМФ); разработка и постройка полевых самолетных и военно-морских радиостанций в КВ диапазоне; улуч шение существовавших и разработка новых образцов полевых, авиационных и военно-морских радиостанций в ДВ диапазоне; совершенствование пеленга торов в СВ диапазоне и разработка аналогичных аппаратов на КВ (ЦГА СПб., ф. 945, оп. 4, д. 5, л. 189-191.). Отдельной областью исследований становятся инфракрасные и ультра фиолетовые лучи. Работы в этой области начались в Морском отделе на заводе им. Коминтерна еще в 1927 г. По результатам заграничной командировки на чальника ВТУ И.А. Халепского и заместителя председателя Правления ЭТЗСТ В.И. Романовского в мае 1928 г. заводу была поставлена задача форсировать эти работы (ЦГА СПб., ф. 945, оп. 3, д. 97, л. 58.). И уже в сентябре 1928 г. в ВТУ была проведена демонстрация приборов для телеграфирования с использованием ИК-лучей (ЦГА СПб., ф. 945, оп. 3, д. 97, л. 155.). В конце 1929 г. Техническим комитетом ВТУ в итоге всестороннего рассмотрения результа тов проведенных работ были выработаны ТТТ, а в начале 1930 г. ЦРЛЗ выда ны наряды на разработку и изготовление образцов следующей аппаратуры на ИК-лучах: - установка легкого типа для блокировки (сигнализации о несанкциони рованном прохождении) дефиле рек, дорог и т.п. – шифр БЛОК2; - аналогичная установка тяжелого типа – БЛОК1 (ЦГА СПб., ф. 945, оп. 4, д. 5, л. 54-56.); - установка для телеграфирования легкого и тяжелого типов – ИКА1 и ИКА2 (ЦГА СПб., ф. 945, оп. 4, д. 5, л. 58-60.). Для проведения этих работ на заводе был создан отдел специальных ап паратов (ОСА), возглавляемый инженером Груздевым (Не путать с Отделом специальных аппаратов (ОСА), существовавшим в ЦРЛ в 1925 1928 гг. и возглавляемым А.Ф. Шориным, на основе которого была организована ЦЛПС.). Проведение работ с ИК-лучами было сопряжено со значительными проблемами. Ввиду новизны темы и крайней скудости информации, поступающей из-за границы в откры тых источниках и по каналам разведывательных органов, сотрудникам ОСА для выполнения полученных заданий приходилось проводить научно теоретические исследования. Между тем количество этих сотрудников (три лаборанта и один старший инженер), степень их загруженности (48 видов ра бот по нарядам) и качество оборудования отдела (размещавшегося на правах «пасынка» в помещениях ЦРЛ) не позволяли надеяться на какие-либо значи тельные результаты без принятия экстренных мер. О критическом состоянии работ в области ИК-лучей директор ЦРЛЗ В.П. Виноградов докладывал в Правление ВЭО в сентябре 1930 г (ЦГА СПб., ф. 945, оп. 4, д. 5, л. 210-218.). А уже 30 декабря того же года, по указа нию начальника Специального управления ВЭО, он представил на утвержде ние руководства ВЭО план расширения ОСА. Предусматривалось увеличение численности персонала отдела до шестнадцати сотрудников, образование в нем конструкторского бюро, испытательной подстанции на Комендантском аэродроме. Вне рамок выполняемых нарядов требовалось развертывание на учно-теоретических работ по исследованию свойств ИК-лучей и других видов специальных излучений, а также разработка специальных приборов. Кроме то го, крайне необходимым было направление отечественных специалистов для ознакомления с иностранным опытом, в первую очередь, в Германии, закупки там доступного оборудования и необходимых материалов (ЦГА СПб., ф. 945, оп. 4, д. 5, л. 264.). Об объеме и спектре выполняемых в начале 30-х гг. на ЦРЛЗ заказов для РККА говорит серия договоров, заключенных между предприятием и ВТУ в мае 1931 г. В соответствии с ними были изготовлены: одна фронтовая радио станция 1ВФ; по тринадцать комплектов специальных передатчиков типа 44ПА, 45ПА, 46ПД, 47ПД; 206 артиллерийских радиостанций 31ДП (ЦГА СПб., ф. 945, оп. 3, д. 146, л. 53, 39, 32.); упоми навшиеся станции на ИК-лучах (БЛОК1, ИКА1, ИКА2) (ЦГА СПб., ф. 945, оп. 3, д. 146, л. 20-23.); два опытных образца полевых радиомаяков для ВВС типа 13А (ЦГА СПб., ф. 945, оп. 3, д. 146, л. 11.) (11870).</w:t>
      </w:r>
    </w:p>
    <w:p w14:paraId="4730C1EC" w14:textId="77777777" w:rsidR="00537E5F" w:rsidRPr="00507A31" w:rsidRDefault="00537E5F" w:rsidP="00507A31">
      <w:pPr>
        <w:autoSpaceDE w:val="0"/>
        <w:autoSpaceDN w:val="0"/>
        <w:adjustRightInd w:val="0"/>
        <w:jc w:val="both"/>
        <w:rPr>
          <w:color w:val="000000" w:themeColor="text1"/>
          <w:sz w:val="16"/>
          <w:szCs w:val="16"/>
        </w:rPr>
      </w:pPr>
    </w:p>
    <w:p w14:paraId="348C522D" w14:textId="77777777" w:rsidR="00542B05" w:rsidRPr="00507A31" w:rsidRDefault="00542B05" w:rsidP="00507A31">
      <w:pPr>
        <w:jc w:val="both"/>
        <w:rPr>
          <w:color w:val="000000" w:themeColor="text1"/>
          <w:sz w:val="16"/>
          <w:szCs w:val="16"/>
        </w:rPr>
      </w:pPr>
      <w:r w:rsidRPr="00507A31">
        <w:rPr>
          <w:color w:val="000000" w:themeColor="text1"/>
          <w:sz w:val="16"/>
          <w:szCs w:val="16"/>
        </w:rPr>
        <w:t>В июле 1930:</w:t>
      </w:r>
    </w:p>
    <w:p w14:paraId="06396137" w14:textId="77777777" w:rsidR="00542B05" w:rsidRPr="00507A31" w:rsidRDefault="00542B05" w:rsidP="00507A31">
      <w:pPr>
        <w:jc w:val="both"/>
        <w:rPr>
          <w:color w:val="000000" w:themeColor="text1"/>
          <w:sz w:val="16"/>
          <w:szCs w:val="16"/>
        </w:rPr>
      </w:pPr>
      <w:r w:rsidRPr="00507A31">
        <w:rPr>
          <w:color w:val="000000" w:themeColor="text1"/>
          <w:sz w:val="16"/>
          <w:szCs w:val="16"/>
        </w:rPr>
        <w:t>Горбунов Н.П - председатель комиссии Вайнштейн А.И от НКФина СССР Каменев С.С от Реввоенсовета Флаксерман Ю.Н от НТО ВСНХ Бекаури от ОсТехБюро Муклевич вместо Зофа от МорВеда Муратов работает в качестве начальника Военно-морской инспекции</w:t>
      </w:r>
    </w:p>
    <w:p w14:paraId="62533ECA" w14:textId="77777777" w:rsidR="00542B05" w:rsidRPr="00507A31" w:rsidRDefault="00542B05" w:rsidP="00507A31">
      <w:pPr>
        <w:jc w:val="both"/>
        <w:rPr>
          <w:color w:val="000000" w:themeColor="text1"/>
          <w:sz w:val="16"/>
          <w:szCs w:val="16"/>
        </w:rPr>
      </w:pPr>
      <w:r w:rsidRPr="00507A31">
        <w:rPr>
          <w:color w:val="000000" w:themeColor="text1"/>
          <w:sz w:val="16"/>
          <w:szCs w:val="16"/>
        </w:rPr>
        <w:t>О работе Остехбюро</w:t>
      </w:r>
    </w:p>
    <w:p w14:paraId="2E9CB3FC" w14:textId="77777777" w:rsidR="00542B05" w:rsidRPr="00507A31" w:rsidRDefault="00542B05" w:rsidP="00507A31">
      <w:pPr>
        <w:jc w:val="both"/>
        <w:rPr>
          <w:color w:val="000000" w:themeColor="text1"/>
          <w:sz w:val="16"/>
          <w:szCs w:val="16"/>
        </w:rPr>
      </w:pPr>
      <w:r w:rsidRPr="00507A31">
        <w:rPr>
          <w:color w:val="000000" w:themeColor="text1"/>
          <w:sz w:val="16"/>
          <w:szCs w:val="16"/>
        </w:rPr>
        <w:t>Положение в Остехбюро, создавшееся за последнее время, и состояние его работы признать нормыльным нельзя.</w:t>
      </w:r>
    </w:p>
    <w:p w14:paraId="4CB193E7" w14:textId="77777777" w:rsidR="00542B05" w:rsidRPr="00507A31" w:rsidRDefault="00542B05" w:rsidP="00507A31">
      <w:pPr>
        <w:jc w:val="both"/>
        <w:rPr>
          <w:color w:val="000000" w:themeColor="text1"/>
          <w:sz w:val="16"/>
          <w:szCs w:val="16"/>
        </w:rPr>
      </w:pPr>
      <w:r w:rsidRPr="00507A31">
        <w:rPr>
          <w:color w:val="000000" w:themeColor="text1"/>
          <w:sz w:val="16"/>
          <w:szCs w:val="16"/>
        </w:rPr>
        <w:t>Основными недостатками, которые удалось обнаружить при ознакомлении с деятельностью ОТБ, являются: 1) Остехбюро из учреждения изобретательского превратилось, до известной степени, в производственную единицу; 2) в работе Остехбюро за все время его существования не чувствовалось необоходимых усиленных темповпо окончательной разработке конструкци и отдельных идей; 3) на вооружение армии до сего времени поступило небольшое количество образцов вооружение, предложенных ОТБ; 4) денежные затраты, производимые государством на работы ОТБ, весьма значительны, что принимая во внимание необольшое количество образцов, принятых на вооружение, естественно, вызывает сомнения в отношении целесообразности их использования; 5) чрезмерное засекречивание, порой совершенно излишнее и вредно, той работы, которую проиводит ОТБ; 6) несомненно вредительство на заводе "Двигатель", подчиненном ОТБ; не исключена возможность, что вредительство имело место и в самом ОТБ; 7) безконтрольность деятельности зав. ОТБ т. Бекаури со стороны общественности (партийной и профсоюзной) Остехбюро и завода "Двигатель".</w:t>
      </w:r>
    </w:p>
    <w:p w14:paraId="5383D816" w14:textId="77777777" w:rsidR="00542B05" w:rsidRPr="00507A31" w:rsidRDefault="00542B05" w:rsidP="00507A31">
      <w:pPr>
        <w:jc w:val="both"/>
        <w:rPr>
          <w:color w:val="000000" w:themeColor="text1"/>
          <w:sz w:val="16"/>
          <w:szCs w:val="16"/>
        </w:rPr>
      </w:pPr>
      <w:r w:rsidRPr="00507A31">
        <w:rPr>
          <w:color w:val="000000" w:themeColor="text1"/>
          <w:sz w:val="16"/>
          <w:szCs w:val="16"/>
        </w:rPr>
        <w:t>По заводу "Двигатель". Завод до сих пор не является самостоятельной производственно-хозяйственной единицей, несмотря на то, что завод этот из экспериментального уже на 80% превратился в завод серийной продукции. Завод не имеет ни промфинплана, ни своего конструкторского бюро, ни фин части. На заводе раскрыто вредительство (технический директор завода Пшенецкий) и шпионаж.</w:t>
      </w:r>
    </w:p>
    <w:p w14:paraId="0405B5AA" w14:textId="77777777" w:rsidR="00542B05" w:rsidRPr="00507A31" w:rsidRDefault="00542B05" w:rsidP="00507A31">
      <w:pPr>
        <w:jc w:val="both"/>
        <w:rPr>
          <w:color w:val="000000" w:themeColor="text1"/>
          <w:sz w:val="16"/>
          <w:szCs w:val="16"/>
        </w:rPr>
      </w:pPr>
      <w:r w:rsidRPr="00507A31">
        <w:rPr>
          <w:color w:val="000000" w:themeColor="text1"/>
          <w:sz w:val="16"/>
          <w:szCs w:val="16"/>
        </w:rPr>
        <w:t>По Остехбюро. Партийная и профсоюзная организации никакого участия в производственной жизни ОТБ не принимали. Отдельные недостатки, обнаруженные парторганизацией и отдельными партийцами не устранялись (неправильное использование в отдельных случаях плавсрадств (правсредств? главсредств?) для произвосдтва опытов, недостатки в работе бухгатерии, бесхозяйственное использование самолетов и т.д.). Чрезмерное засекречивание привело к невозможности самоконтроля и самокритики и не дает возможности принять соответсвующие меры как в отношении работы отдельных лиц, так и и всего ОТБ. Отмечаются случаи параллелизма в работе отдельных групп и сотрудников. За последнее время щначительная часть научных сотрудников занята производственными задачами, что вызывает у них недовольство. Сосредоточение всей "власти" в руках Зав. ОТБ Бекаури привело к тому, что нет четкого разграничения функций между отдельными администраторами ОТБ, к бесправию и, следовательно, создало безинициативность со стороны высшего руководящего состава (за исключением Бекаури) ОТБ.</w:t>
      </w:r>
    </w:p>
    <w:p w14:paraId="6A16DCEC" w14:textId="77777777" w:rsidR="00542B05" w:rsidRPr="00507A31" w:rsidRDefault="00542B05" w:rsidP="00507A31">
      <w:pPr>
        <w:jc w:val="both"/>
        <w:rPr>
          <w:color w:val="000000" w:themeColor="text1"/>
          <w:sz w:val="16"/>
          <w:szCs w:val="16"/>
        </w:rPr>
      </w:pPr>
      <w:r w:rsidRPr="00507A31">
        <w:rPr>
          <w:color w:val="000000" w:themeColor="text1"/>
          <w:sz w:val="16"/>
          <w:szCs w:val="16"/>
        </w:rPr>
        <w:t>&lt;...&gt;</w:t>
      </w:r>
    </w:p>
    <w:p w14:paraId="0A264359" w14:textId="77777777" w:rsidR="00542B05" w:rsidRPr="00507A31" w:rsidRDefault="00542B05" w:rsidP="00507A31">
      <w:pPr>
        <w:jc w:val="both"/>
        <w:rPr>
          <w:color w:val="000000" w:themeColor="text1"/>
          <w:sz w:val="16"/>
          <w:szCs w:val="16"/>
        </w:rPr>
      </w:pPr>
      <w:r w:rsidRPr="00507A31">
        <w:rPr>
          <w:color w:val="000000" w:themeColor="text1"/>
          <w:sz w:val="16"/>
          <w:szCs w:val="16"/>
        </w:rPr>
        <w:t>Необходимо добавить, что Остехбюро загружалось (оно не отказывалось) целым рядом заданий, не соотвествующи по своему характеру основному назначению Остехбюро 9воздушные бомбы, сухопутная дымовая аппаратура).</w:t>
      </w:r>
    </w:p>
    <w:p w14:paraId="78F2593D" w14:textId="77777777" w:rsidR="00542B05" w:rsidRPr="00507A31" w:rsidRDefault="00542B05" w:rsidP="00507A31">
      <w:pPr>
        <w:jc w:val="both"/>
        <w:rPr>
          <w:color w:val="000000" w:themeColor="text1"/>
          <w:sz w:val="16"/>
          <w:szCs w:val="16"/>
        </w:rPr>
      </w:pPr>
      <w:r w:rsidRPr="00507A31">
        <w:rPr>
          <w:color w:val="000000" w:themeColor="text1"/>
          <w:sz w:val="16"/>
          <w:szCs w:val="16"/>
        </w:rPr>
        <w:t>2-го марта 1930 решением Правительственной Комиссии по работам Остехбюро была назначени Комиссия под моим председательством (Аппоги) в составе т. Бекаури и представителя ОГПУ. ...</w:t>
      </w:r>
    </w:p>
    <w:p w14:paraId="045663F0" w14:textId="77777777" w:rsidR="00542B05" w:rsidRPr="00507A31" w:rsidRDefault="00542B05" w:rsidP="00507A31">
      <w:pPr>
        <w:jc w:val="both"/>
        <w:rPr>
          <w:color w:val="000000" w:themeColor="text1"/>
          <w:sz w:val="16"/>
          <w:szCs w:val="16"/>
        </w:rPr>
      </w:pPr>
      <w:r w:rsidRPr="00507A31">
        <w:rPr>
          <w:color w:val="000000" w:themeColor="text1"/>
          <w:sz w:val="16"/>
          <w:szCs w:val="16"/>
        </w:rPr>
        <w:t>Если партпрослойку в масштабе Остехбюро в целом можно признать удовлетворительной, то в отношени квалифицированной части прослойка является недостаточной. Особенно это касается конструкторскойй части, в составе которой членов партии 3 чел (на 113 чел). В конструкторской асти имеются отдельные группы, в составе которых членов партии и комсомольцев нет совершенно (торпедная группа). Комиссией подробно был изучен лишь состав научных работников. Наиболее удачно подобрны работники по группе ОВУ (отдел волнового управления), эта группа работников работает наиболее интенсивно, сотрудники конструкторской части, как по своему происхождению образовательному цензу, так и настроениям, заставляют желать много лучшего. ... В общественную работу научные работники, как правило, не втянуты, и желания участвовать в этой работе не проявляют. Такое положние, естественно, крайне неблагоприятно отражается как на качестве, так и на темпах работы. Некоторые из научных работников полностью подчеркивают свою "полную беспартийность", есть и такие, которые открыто высказывают свое несогласие с политикой советской власти и компартии.</w:t>
      </w:r>
    </w:p>
    <w:p w14:paraId="01449B86" w14:textId="77777777" w:rsidR="00542B05" w:rsidRPr="00507A31" w:rsidRDefault="00542B05" w:rsidP="00507A31">
      <w:pPr>
        <w:jc w:val="both"/>
        <w:rPr>
          <w:color w:val="000000" w:themeColor="text1"/>
          <w:sz w:val="16"/>
          <w:szCs w:val="16"/>
        </w:rPr>
      </w:pPr>
      <w:r w:rsidRPr="00507A31">
        <w:rPr>
          <w:color w:val="000000" w:themeColor="text1"/>
          <w:sz w:val="16"/>
          <w:szCs w:val="16"/>
        </w:rPr>
        <w:t>Л. 9</w:t>
      </w:r>
    </w:p>
    <w:p w14:paraId="400F1309" w14:textId="77777777" w:rsidR="00542B05" w:rsidRPr="00507A31" w:rsidRDefault="00542B05" w:rsidP="00507A31">
      <w:pPr>
        <w:jc w:val="both"/>
        <w:rPr>
          <w:color w:val="000000" w:themeColor="text1"/>
          <w:sz w:val="16"/>
          <w:szCs w:val="16"/>
        </w:rPr>
      </w:pPr>
      <w:r w:rsidRPr="00507A31">
        <w:rPr>
          <w:color w:val="000000" w:themeColor="text1"/>
          <w:sz w:val="16"/>
          <w:szCs w:val="16"/>
        </w:rPr>
        <w:t>Список сотрудников Остехбюро, представляемых к премированию</w:t>
      </w:r>
    </w:p>
    <w:p w14:paraId="1D5A1252" w14:textId="77777777" w:rsidR="00542B05" w:rsidRPr="00507A31" w:rsidRDefault="00542B05" w:rsidP="00507A31">
      <w:pPr>
        <w:jc w:val="both"/>
        <w:rPr>
          <w:color w:val="000000" w:themeColor="text1"/>
          <w:sz w:val="16"/>
          <w:szCs w:val="16"/>
        </w:rPr>
      </w:pPr>
      <w:r w:rsidRPr="00507A31">
        <w:rPr>
          <w:color w:val="000000" w:themeColor="text1"/>
          <w:sz w:val="16"/>
          <w:szCs w:val="16"/>
        </w:rPr>
        <w:t>(ГАРФ, Фонд №: Р8425, Название фонда: Остехбюро, Опись №: 1, Дело №: 38 (январь 1927- июль 1930), Л. 19) (15251).</w:t>
      </w:r>
    </w:p>
    <w:p w14:paraId="237D8EC2" w14:textId="77777777" w:rsidR="00542B05" w:rsidRPr="00507A31" w:rsidRDefault="00542B05" w:rsidP="00507A31">
      <w:pPr>
        <w:shd w:val="clear" w:color="auto" w:fill="FFFFFF"/>
        <w:jc w:val="both"/>
        <w:rPr>
          <w:color w:val="000000" w:themeColor="text1"/>
          <w:sz w:val="16"/>
          <w:szCs w:val="16"/>
        </w:rPr>
      </w:pPr>
    </w:p>
    <w:p w14:paraId="22DA80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 Решением ВСНХ СССР Сормовское отделение Государственной конторы по проектированию судов "Судопроект" было преобразовано в Контору по проектированию речных и морских судов "Речсудопроект". В ноябре 1931 г. Решением ВСНХ СССР Контора по проектированию речных и морских судов "Речсудопроект" преобразована в Проектное бюро металлических судов речного, внутреннего морского и озерного флотов "Речсудопроект". В марте 1934 г.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337E5255" w14:textId="77777777" w:rsidR="00595C14" w:rsidRPr="00507A31" w:rsidRDefault="00595C14" w:rsidP="00507A31">
      <w:pPr>
        <w:autoSpaceDE w:val="0"/>
        <w:autoSpaceDN w:val="0"/>
        <w:adjustRightInd w:val="0"/>
        <w:jc w:val="both"/>
        <w:rPr>
          <w:color w:val="000000" w:themeColor="text1"/>
          <w:sz w:val="16"/>
          <w:szCs w:val="16"/>
        </w:rPr>
      </w:pPr>
    </w:p>
    <w:p w14:paraId="10295435" w14:textId="77777777" w:rsidR="00F633FF" w:rsidRPr="00507A31" w:rsidRDefault="00F633FF" w:rsidP="00507A31">
      <w:pPr>
        <w:jc w:val="both"/>
        <w:rPr>
          <w:color w:val="000000" w:themeColor="text1"/>
          <w:sz w:val="16"/>
          <w:szCs w:val="16"/>
        </w:rPr>
      </w:pPr>
      <w:r w:rsidRPr="00507A31">
        <w:rPr>
          <w:color w:val="000000" w:themeColor="text1"/>
          <w:sz w:val="16"/>
          <w:szCs w:val="16"/>
        </w:rPr>
        <w:lastRenderedPageBreak/>
        <w:t>В июле 1930 года СУ ВЭО ставит перед ЦРЛЗ целый ряд исследовательских задач новаторского характера. Это были исследования в области УКВ (в интересах ВМФ); разработка и постройка полевых самолетных и военно-морских радиостанций в КВ диапазоне; улучшение существовавших и разработка новых образцов полевых, авиационных и военно-морских радиостанций в ДВ диапазоне; совершенствование пеленгаторов в СВ диапазоне и разработка аналогичных аппаратов на КВ (18297).</w:t>
      </w:r>
    </w:p>
    <w:p w14:paraId="1C903A1E" w14:textId="77777777" w:rsidR="00F633FF" w:rsidRPr="00507A31" w:rsidRDefault="00F633FF" w:rsidP="00507A31">
      <w:pPr>
        <w:jc w:val="both"/>
        <w:rPr>
          <w:color w:val="000000" w:themeColor="text1"/>
          <w:sz w:val="16"/>
          <w:szCs w:val="16"/>
        </w:rPr>
      </w:pPr>
    </w:p>
    <w:p w14:paraId="6412419A" w14:textId="77777777" w:rsidR="00595C14" w:rsidRPr="00507A31" w:rsidRDefault="00595C14"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июле </w:t>
      </w:r>
      <w:bookmarkStart w:id="72" w:name="YANDEX_42"/>
      <w:bookmarkEnd w:id="72"/>
      <w:r w:rsidRPr="00507A31">
        <w:rPr>
          <w:rStyle w:val="highlight"/>
          <w:color w:val="000000" w:themeColor="text1"/>
          <w:sz w:val="16"/>
          <w:szCs w:val="16"/>
        </w:rPr>
        <w:t> 1930 </w:t>
      </w:r>
      <w:r w:rsidRPr="00507A31">
        <w:rPr>
          <w:color w:val="000000" w:themeColor="text1"/>
          <w:sz w:val="16"/>
          <w:szCs w:val="16"/>
        </w:rPr>
        <w:t xml:space="preserve"> года издается приказ по ВСНХ № 154сс, в котором подводились неутешительные итоги работы по перевооружению армии и флота с целью усиления их технической мощи. Основной причиной этого была признана недооценка опытно-конструкторских работ на военных </w:t>
      </w:r>
      <w:bookmarkStart w:id="73" w:name="YANDEX_43"/>
      <w:bookmarkEnd w:id="73"/>
      <w:r w:rsidRPr="00507A31">
        <w:rPr>
          <w:rStyle w:val="highlight"/>
          <w:color w:val="000000" w:themeColor="text1"/>
          <w:sz w:val="16"/>
          <w:szCs w:val="16"/>
        </w:rPr>
        <w:t> заводах </w:t>
      </w:r>
      <w:r w:rsidRPr="00507A31">
        <w:rPr>
          <w:color w:val="000000" w:themeColor="text1"/>
          <w:sz w:val="16"/>
          <w:szCs w:val="16"/>
        </w:rPr>
        <w:t xml:space="preserve">. Четко определялось, почему неудовлетворительно проводятся ОКР: «Недопустимо медленно выполняется приказ ВСНХ № 30сс о создании конструкторских бюро, особенно в части укомплектования личным составом». Руководителям </w:t>
      </w:r>
      <w:bookmarkStart w:id="74" w:name="YANDEX_44"/>
      <w:bookmarkEnd w:id="74"/>
      <w:r w:rsidRPr="00507A31">
        <w:rPr>
          <w:rStyle w:val="highlight"/>
          <w:color w:val="000000" w:themeColor="text1"/>
          <w:sz w:val="16"/>
          <w:szCs w:val="16"/>
        </w:rPr>
        <w:t> оборонной </w:t>
      </w:r>
      <w:r w:rsidRPr="00507A31">
        <w:rPr>
          <w:color w:val="000000" w:themeColor="text1"/>
          <w:sz w:val="16"/>
          <w:szCs w:val="16"/>
        </w:rPr>
        <w:t xml:space="preserve"> промышленности всех рангов еще раз предписывалось обратить исключительное внимание на укомплектование КБ специалистами и оснащение современным оборудованием (17235).</w:t>
      </w:r>
    </w:p>
    <w:p w14:paraId="2B6B8D55" w14:textId="77777777" w:rsidR="00595C14" w:rsidRPr="00507A31" w:rsidRDefault="00595C14" w:rsidP="00507A31">
      <w:pPr>
        <w:autoSpaceDE w:val="0"/>
        <w:autoSpaceDN w:val="0"/>
        <w:adjustRightInd w:val="0"/>
        <w:jc w:val="both"/>
        <w:rPr>
          <w:iCs/>
          <w:color w:val="000000" w:themeColor="text1"/>
          <w:sz w:val="16"/>
          <w:szCs w:val="16"/>
        </w:rPr>
      </w:pPr>
    </w:p>
    <w:p w14:paraId="5819CE4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710BF9F8" w14:textId="77777777" w:rsidR="00537E5F" w:rsidRPr="00507A31" w:rsidRDefault="00537E5F" w:rsidP="00507A31">
      <w:pPr>
        <w:autoSpaceDE w:val="0"/>
        <w:autoSpaceDN w:val="0"/>
        <w:adjustRightInd w:val="0"/>
        <w:jc w:val="both"/>
        <w:rPr>
          <w:iCs/>
          <w:color w:val="000000" w:themeColor="text1"/>
          <w:sz w:val="16"/>
          <w:szCs w:val="16"/>
        </w:rPr>
      </w:pPr>
    </w:p>
    <w:p w14:paraId="7381A0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г. в Воронеж прибыла группа под руководством Л.Г. Минова, приступившая к обучению парашютным прыжкам экипажей 11-й авиабригады. Для этой цели выбрали ФГ-62 из 3-го отряда 59-й эскадрильи. Служивший тогда в Воронеже Л.В. Кондратьев позднее вспоминал: "Фарман-Голиаф" был очень удобен для парашютных прыжков. Скорость он имел небольшую, а дверь с правой стороны фюзеляжа давала возможность удобно покидать самолёт".</w:t>
      </w:r>
    </w:p>
    <w:p w14:paraId="4EF416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Именно с этой машины сбросили первый в мире парашютный десант. Произошло это на учениях ВВС Московского военного округа 2 августа 1930 г. под Воронежем, в районе хутора Клочково. Минов получил из Москвы распоряжение: "Старшему лётчику КИЛРа т. Минову поставлена задача... подготовить высадку "воздушного дессанта" на парашютах".</w:t>
      </w:r>
    </w:p>
    <w:p w14:paraId="050FAF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сценарию учений "красные" наносили удар по силам "синих". Требовалось пресечь подвоз к "синим" подкреплений. В тылу у них действовали партизаны. Чтобы повысить их боеспособность, требовалось доставить вооружение,боеприпасы, а также "организаторов и руководителей повстанческого движения". Предполагалось, что группа из четырёх бомбардировщиков ТБ-1 сбросит на одной площадке два отряда парашютистов (всего 12-15 человек), а также оружие, в том числе пулемёты, в парашютных мешках. На парашюте должна была приземлиться и 76-мм горная пушка. После этого "партизанам" и парашютистам требовалось атаковать охрану моста через Дон южнее станции Лиски. По сценарию, у моста на железной дороге Воронеж - Задонск находились 60 - 70 солдат противника с тремя 75-мм пушками и четырьмя пулемётами. Уничтожив охрану, планировалось "взорвать" мост.</w:t>
      </w:r>
    </w:p>
    <w:p w14:paraId="45D51E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Десантников набрали из лётного и технического состава 11 -й авиабригады, согласно распоряжению "в первую очередь из числа желающих". Они получили американские парашюты "Ирвин". Командовал импровизированным отрядом Л.Г. Минов. Но бомбардировщиков ТБ-1 на учениях задействовали всего четыре, один из них вышел из строя. Они изображали тяжёлые бомбардировщики и у "красных", и у "синих". Использовать их для десанта командование запретило. Пришлось привлечь "Голиаф" из 59-й эскадрильи, который пилотировал лётчик Громов (однофамилец знаменитого испытателя). Интересно, что членам экипажа тогда впервые выдали парашюты, с которыми они чувствовали себя очень неуютно, поскольку кресла не были к ним приспособлены.</w:t>
      </w:r>
    </w:p>
    <w:p w14:paraId="1C0A98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два рейса с ФГ-62 высадили 12 человек. С трёх Р-1 в шести мешках им сбросили вооружение и боеприпасы. Прикрытие осуществляли три истребителя И-3. От условленного места лётчики ошиблись примерно на километр. У земли дул сильный ветер, но парашютисты приземлились без повреждений и ушибов (11984).</w:t>
      </w:r>
    </w:p>
    <w:p w14:paraId="5D8C28E6" w14:textId="77777777" w:rsidR="00537E5F" w:rsidRPr="00507A31" w:rsidRDefault="00537E5F" w:rsidP="00507A31">
      <w:pPr>
        <w:autoSpaceDE w:val="0"/>
        <w:autoSpaceDN w:val="0"/>
        <w:adjustRightInd w:val="0"/>
        <w:jc w:val="both"/>
        <w:rPr>
          <w:color w:val="000000" w:themeColor="text1"/>
          <w:sz w:val="16"/>
          <w:szCs w:val="16"/>
        </w:rPr>
      </w:pPr>
    </w:p>
    <w:p w14:paraId="6509F62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A3597B4" w14:textId="77777777" w:rsidR="00537E5F" w:rsidRPr="00507A31" w:rsidRDefault="00537E5F" w:rsidP="00507A31">
      <w:pPr>
        <w:autoSpaceDE w:val="0"/>
        <w:autoSpaceDN w:val="0"/>
        <w:adjustRightInd w:val="0"/>
        <w:jc w:val="both"/>
        <w:rPr>
          <w:iCs/>
          <w:color w:val="000000" w:themeColor="text1"/>
          <w:sz w:val="16"/>
          <w:szCs w:val="16"/>
        </w:rPr>
      </w:pPr>
    </w:p>
    <w:p w14:paraId="0509A431" w14:textId="77777777" w:rsidR="00F633FF" w:rsidRPr="00507A31" w:rsidRDefault="00F633FF" w:rsidP="00507A31">
      <w:pPr>
        <w:pStyle w:val="b-articletext"/>
        <w:shd w:val="clear" w:color="auto" w:fill="FFFFFF"/>
        <w:spacing w:before="0" w:beforeAutospacing="0" w:after="0" w:afterAutospacing="0"/>
        <w:jc w:val="both"/>
        <w:textAlignment w:val="baseline"/>
        <w:rPr>
          <w:color w:val="000000" w:themeColor="text1"/>
          <w:sz w:val="16"/>
          <w:szCs w:val="16"/>
        </w:rPr>
      </w:pPr>
      <w:r w:rsidRPr="00507A31">
        <w:rPr>
          <w:color w:val="000000" w:themeColor="text1"/>
          <w:sz w:val="16"/>
          <w:szCs w:val="16"/>
        </w:rPr>
        <w:t>В июле 1930 года было принято решение о создании сети прямого снабжения населения. Речь шла о специальных закрытых кооперативах-распределителях, к которым были бы прикреплены рабочий и служащий. В прессе развернулась широкая кампания по агитации за создание закрытых распределителей при крупных предприятиях.</w:t>
      </w:r>
    </w:p>
    <w:p w14:paraId="5DECB06F" w14:textId="77777777" w:rsidR="00F633FF" w:rsidRPr="00507A31" w:rsidRDefault="00F633FF" w:rsidP="00507A31">
      <w:pPr>
        <w:pStyle w:val="b-articletext"/>
        <w:shd w:val="clear" w:color="auto" w:fill="FFFFFF"/>
        <w:spacing w:before="0" w:beforeAutospacing="0" w:after="0" w:afterAutospacing="0"/>
        <w:jc w:val="both"/>
        <w:textAlignment w:val="baseline"/>
        <w:rPr>
          <w:color w:val="000000" w:themeColor="text1"/>
          <w:sz w:val="16"/>
          <w:szCs w:val="16"/>
        </w:rPr>
      </w:pPr>
      <w:r w:rsidRPr="00507A31">
        <w:rPr>
          <w:color w:val="000000" w:themeColor="text1"/>
          <w:sz w:val="16"/>
          <w:szCs w:val="16"/>
        </w:rPr>
        <w:t>«Закрытый распределитель — основа классового снабжения,— писала “Правда” в августе 1930 года.— Рабочего потребителя стоит снабжать в первую очередь. “Правда” вторично настаивает на реорганизации торговой сети! Доведение продуктов до рабочего потребителя, превращение торгующей лавочки в пункт классово-правильного распределения продуктов, без затраты для получения их бесконечного количества часов, энергии и нервов — вот задача закрытого распределителя».</w:t>
      </w:r>
    </w:p>
    <w:p w14:paraId="5C397AD9" w14:textId="77777777" w:rsidR="00F633FF" w:rsidRPr="00507A31" w:rsidRDefault="00F633FF" w:rsidP="00507A31">
      <w:pPr>
        <w:pStyle w:val="b-articletext"/>
        <w:shd w:val="clear" w:color="auto" w:fill="FFFFFF"/>
        <w:spacing w:before="0" w:beforeAutospacing="0" w:after="0" w:afterAutospacing="0"/>
        <w:jc w:val="both"/>
        <w:textAlignment w:val="baseline"/>
        <w:rPr>
          <w:color w:val="000000" w:themeColor="text1"/>
          <w:sz w:val="16"/>
          <w:szCs w:val="16"/>
        </w:rPr>
      </w:pPr>
      <w:r w:rsidRPr="00507A31">
        <w:rPr>
          <w:color w:val="000000" w:themeColor="text1"/>
          <w:sz w:val="16"/>
          <w:szCs w:val="16"/>
        </w:rPr>
        <w:t>На всех крупных предприятиях столицы партийные ячейки провели собрания, на которых рабочих агитировали выступать за создание закрытых распределителей (19550).</w:t>
      </w:r>
    </w:p>
    <w:p w14:paraId="242ABF95" w14:textId="77777777" w:rsidR="00F633FF" w:rsidRPr="00507A31" w:rsidRDefault="00F633FF" w:rsidP="00507A31">
      <w:pPr>
        <w:jc w:val="both"/>
        <w:rPr>
          <w:color w:val="000000" w:themeColor="text1"/>
          <w:sz w:val="16"/>
          <w:szCs w:val="16"/>
        </w:rPr>
      </w:pPr>
    </w:p>
    <w:p w14:paraId="17048E6C" w14:textId="77777777" w:rsidR="000C704C" w:rsidRPr="00507A31" w:rsidRDefault="000C704C" w:rsidP="00507A31">
      <w:pPr>
        <w:jc w:val="both"/>
        <w:rPr>
          <w:color w:val="000000" w:themeColor="text1"/>
          <w:sz w:val="16"/>
          <w:szCs w:val="16"/>
        </w:rPr>
      </w:pPr>
      <w:r w:rsidRPr="00507A31">
        <w:rPr>
          <w:color w:val="000000" w:themeColor="text1"/>
          <w:sz w:val="16"/>
          <w:szCs w:val="16"/>
        </w:rPr>
        <w:t>В июле 1930 председатель правления Госбанка Г.Л. Пятаков (после обстоятельного разговора с С. Орджоникидзе) направил  письмо Сталину, в котором  дал анализ болезненного состояния денежного обращения в стране. Он писал: «Состояние денежного обращения и ближайшие перспективы его, если не будут приняты необходимые меры, внушают тревогу. Если возможности пролетарского государства в деле регулирования денежного обращения неизмеримо выше, чем в условиях частно-капиталистического хозяйства, то все же эти возможности не беспредельны и мы должны очень внимательно и решительно реагировать на те явления, которые имеют место  в настоящее время в области денежного обращения». Г.Л. Пятаков отмечал, что уже в 1928/29 гг. прирост денежной массы в обращении составил 186% от плана. С конца 1928 г. по июль  1930  г. в обращение было выпущено 1556 млн рублей, в то время как  за всю пятилетку планировалось выпустить 1250 млн рублей. «Эмиссионную пятилетку», таким образом, страна выполнила менее чем за два года. Кризисные явления в области денежного обращения породили расхождение рыночных и государственных  цен  на товары, что привело к сокращению торговых операций. Свертывание торговли, накопление и обесценивание денег имели тяжелые последствия для  потребительского  рынка. Началось расхватывание населением товаров. В письме Сталину Г.Л. Пятаков указывал: «Мануфактура по двойным  ценам  до середины марта шла туго. После этого, в особенности  в мае и июне, она расхватана вся. Из продажи исчез шелк, расхватываются примуса, швейные машинки и т.п. Из Нижнего Новгорода, из Чернигова пишут, что крестьяне в стремлении сбыть бумажные деньги покупают все, что попадает под руку. Характерно сообщение из Харькова о том, что в короткий срок был совершенно раскуплен магазин антикварных вещей» [21, с.117-129]. Население, кооперативы, предприятия переходили к натуральному обмену. Таким образом, инфляция привела к стремлению приобрести товары впрок и натурализации обмена.</w:t>
      </w:r>
    </w:p>
    <w:p w14:paraId="24D8902A" w14:textId="77777777" w:rsidR="000C704C" w:rsidRPr="00507A31" w:rsidRDefault="000C704C" w:rsidP="00507A31">
      <w:pPr>
        <w:jc w:val="both"/>
        <w:rPr>
          <w:color w:val="000000" w:themeColor="text1"/>
          <w:sz w:val="16"/>
          <w:szCs w:val="16"/>
        </w:rPr>
      </w:pPr>
      <w:r w:rsidRPr="00507A31">
        <w:rPr>
          <w:color w:val="000000" w:themeColor="text1"/>
          <w:sz w:val="16"/>
          <w:szCs w:val="16"/>
        </w:rPr>
        <w:t xml:space="preserve">В своем письме Г.Л. Пятаков рискнул дать Сталину рекомендации по оздоровлению денежного обращения и потребительского рынка. Среди них: увеличение производства и импорта предметов потребления, сокращение и даже полный отказ от экспорта продуктов, помощь сельскому хозяйству [18, с.74-75]. Генеральный секретарь ЦК никак не отреагировал на письмо руководителя Госбанка. Возможно, Сталин не доверял Г.Л. Пятакову, т.к. последний в свое время активно поддерживал Л.Д. Троцкого (17240). </w:t>
      </w:r>
    </w:p>
    <w:p w14:paraId="231F6750" w14:textId="77777777" w:rsidR="000C704C" w:rsidRPr="00507A31" w:rsidRDefault="000C704C" w:rsidP="00507A31">
      <w:pPr>
        <w:jc w:val="both"/>
        <w:rPr>
          <w:color w:val="000000" w:themeColor="text1"/>
          <w:sz w:val="16"/>
          <w:szCs w:val="16"/>
        </w:rPr>
      </w:pPr>
    </w:p>
    <w:p w14:paraId="06CB298E" w14:textId="77777777" w:rsidR="000C704C" w:rsidRPr="00507A31" w:rsidRDefault="000C704C" w:rsidP="00507A31">
      <w:pPr>
        <w:autoSpaceDE w:val="0"/>
        <w:autoSpaceDN w:val="0"/>
        <w:adjustRightInd w:val="0"/>
        <w:jc w:val="both"/>
        <w:rPr>
          <w:color w:val="000000" w:themeColor="text1"/>
          <w:sz w:val="16"/>
          <w:szCs w:val="16"/>
        </w:rPr>
      </w:pPr>
      <w:r w:rsidRPr="00507A31">
        <w:rPr>
          <w:color w:val="000000" w:themeColor="text1"/>
          <w:sz w:val="16"/>
          <w:szCs w:val="16"/>
        </w:rPr>
        <w:t>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 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3B05D69F" w14:textId="77777777" w:rsidR="000C704C" w:rsidRPr="00507A31" w:rsidRDefault="000C704C" w:rsidP="00507A31">
      <w:pPr>
        <w:autoSpaceDE w:val="0"/>
        <w:autoSpaceDN w:val="0"/>
        <w:adjustRightInd w:val="0"/>
        <w:jc w:val="both"/>
        <w:rPr>
          <w:color w:val="000000" w:themeColor="text1"/>
          <w:sz w:val="16"/>
          <w:szCs w:val="16"/>
        </w:rPr>
      </w:pPr>
    </w:p>
    <w:p w14:paraId="6A0767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в СССР было объявлено о раскрытии контрреволюционной организации Трудовая крестьянская партия, руководителями которой были названы экономисты Н.Д.Кондратьев, А.В.Чаянов и др. (3186).</w:t>
      </w:r>
    </w:p>
    <w:p w14:paraId="39252B37" w14:textId="77777777" w:rsidR="00537E5F" w:rsidRPr="00507A31" w:rsidRDefault="00537E5F" w:rsidP="00507A31">
      <w:pPr>
        <w:autoSpaceDE w:val="0"/>
        <w:autoSpaceDN w:val="0"/>
        <w:adjustRightInd w:val="0"/>
        <w:jc w:val="both"/>
        <w:rPr>
          <w:color w:val="000000" w:themeColor="text1"/>
          <w:sz w:val="16"/>
          <w:szCs w:val="16"/>
        </w:rPr>
      </w:pPr>
    </w:p>
    <w:p w14:paraId="61F7A2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1930 было объявлено о раскрытии контрреволюционной организации “Трудовая крестьянская партия, руководителями которой назвали Н.Кондратьева, А.Чаянова, А.Доренко (3908,334).</w:t>
      </w:r>
    </w:p>
    <w:p w14:paraId="741CAB44" w14:textId="77777777" w:rsidR="00537E5F" w:rsidRPr="00507A31" w:rsidRDefault="00537E5F" w:rsidP="00507A31">
      <w:pPr>
        <w:autoSpaceDE w:val="0"/>
        <w:autoSpaceDN w:val="0"/>
        <w:adjustRightInd w:val="0"/>
        <w:jc w:val="both"/>
        <w:rPr>
          <w:color w:val="000000" w:themeColor="text1"/>
          <w:sz w:val="16"/>
          <w:szCs w:val="16"/>
        </w:rPr>
      </w:pPr>
    </w:p>
    <w:p w14:paraId="0AE3359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98C5659" w14:textId="77777777" w:rsidR="00537E5F" w:rsidRPr="00507A31" w:rsidRDefault="00537E5F" w:rsidP="00507A31">
      <w:pPr>
        <w:autoSpaceDE w:val="0"/>
        <w:autoSpaceDN w:val="0"/>
        <w:adjustRightInd w:val="0"/>
        <w:jc w:val="both"/>
        <w:rPr>
          <w:iCs/>
          <w:color w:val="000000" w:themeColor="text1"/>
          <w:sz w:val="16"/>
          <w:szCs w:val="16"/>
        </w:rPr>
      </w:pPr>
    </w:p>
    <w:p w14:paraId="27D962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 августе 1930 г. одну машину из серии ТБ-1 с модернизированным BMW VI с той же степенью сжатия 6,0, но дававшем 500/680 л.с., на котором монтировались французские карбюраторы "Зенит", № 632, подвергли контрольным испытаниям в НИИ ВВС. Увеличение тяги привело к росту максимальной скорости, которая достигла 206 км/ч, повышению потолка (более, чем на 200 м), улучшению скороподъемности и маневренности (12001).</w:t>
      </w:r>
    </w:p>
    <w:p w14:paraId="59A113F6" w14:textId="77777777" w:rsidR="00537E5F" w:rsidRPr="00507A31" w:rsidRDefault="00537E5F" w:rsidP="00507A31">
      <w:pPr>
        <w:autoSpaceDE w:val="0"/>
        <w:autoSpaceDN w:val="0"/>
        <w:adjustRightInd w:val="0"/>
        <w:jc w:val="both"/>
        <w:rPr>
          <w:color w:val="000000" w:themeColor="text1"/>
          <w:sz w:val="16"/>
          <w:szCs w:val="16"/>
        </w:rPr>
      </w:pPr>
    </w:p>
    <w:p w14:paraId="1387989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3F592A0" w14:textId="77777777" w:rsidR="00537E5F" w:rsidRPr="00507A31" w:rsidRDefault="00537E5F" w:rsidP="00507A31">
      <w:pPr>
        <w:autoSpaceDE w:val="0"/>
        <w:autoSpaceDN w:val="0"/>
        <w:adjustRightInd w:val="0"/>
        <w:jc w:val="both"/>
        <w:rPr>
          <w:iCs/>
          <w:color w:val="000000" w:themeColor="text1"/>
          <w:sz w:val="16"/>
          <w:szCs w:val="16"/>
        </w:rPr>
      </w:pPr>
    </w:p>
    <w:p w14:paraId="0F06DF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июле августе 1930 прошли совместные испытания средних танков Т-12 и первого образца танка Т-24, который с мая 1930 разрабатывался в ГКБ ОАТ под руководством С.П.Шукалова при участии конструкторов ХПЗ из-за провала заводских испытаний Т-12, законченных 25 февраля 1930. Предпочли Т-24 (9527,117).</w:t>
      </w:r>
    </w:p>
    <w:p w14:paraId="15C03B6E" w14:textId="77777777" w:rsidR="00537E5F" w:rsidRPr="00507A31" w:rsidRDefault="00537E5F" w:rsidP="00507A31">
      <w:pPr>
        <w:autoSpaceDE w:val="0"/>
        <w:autoSpaceDN w:val="0"/>
        <w:adjustRightInd w:val="0"/>
        <w:jc w:val="both"/>
        <w:rPr>
          <w:color w:val="000000" w:themeColor="text1"/>
          <w:sz w:val="16"/>
          <w:szCs w:val="16"/>
        </w:rPr>
      </w:pPr>
    </w:p>
    <w:p w14:paraId="0AB4B24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Внешняя политика:</w:t>
      </w:r>
    </w:p>
    <w:p w14:paraId="5128BE16" w14:textId="77777777" w:rsidR="00537E5F" w:rsidRPr="00507A31" w:rsidRDefault="00537E5F" w:rsidP="00507A31">
      <w:pPr>
        <w:autoSpaceDE w:val="0"/>
        <w:autoSpaceDN w:val="0"/>
        <w:adjustRightInd w:val="0"/>
        <w:jc w:val="both"/>
        <w:rPr>
          <w:iCs/>
          <w:color w:val="000000" w:themeColor="text1"/>
          <w:sz w:val="16"/>
          <w:szCs w:val="16"/>
        </w:rPr>
      </w:pPr>
    </w:p>
    <w:p w14:paraId="23113F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июле-августе 1930 г. состоялся ответный визит германского флота. В состав германской делегации вошли адмирал Ф. Брутцер, капитаны 1-го ранга К. Витцель, X. Зибург и Р. фон Бонин. Они произвели осмотр Балтийского и Черноморского флотов, а также части их военно-морской авиации, наблюдали за учениями Балтфлота. Сделанный ими общий вывод о боеспособности советского флота был негативным. Этот визит явился последним крупным событием во взаимоотношениях лидеров флотов обеих стран, наивысшей точкой сотрудничества флотов, в рамках которого советской стороне все же была предоставлена инженерно-техническая помощь по обновлению советского военно-морского флота. Желанию руководства советского ВМФ установить отношения с ВМС Германии по примеру отношений между РККА и райхсвером не суждено было сбыться в силу как слишком большого разрыва по всем показателям (традиции, уровень образованности морских офицеров, техническая оснащенность флота и т. д. и т. п. ), так и в силу ориентации руководителей «райхсмарине» на тесные отношения с законодателями мод во флоте Великобританией и США. Не помогли и усилия офицеров райхсвера, пытавшихся оказывать влияние на «райхсмарине» с целью сохранить все же определенный уровень взаимоотношений флотов. В декабре 1930 г. полковник Фишер, выступая перед офицерами германского флота о целях и задачах политики райхсвера, назвал Россию в числе приоритетных партнеров Германии. За ней шли Литва и Финляндия. Главные противники — Польша и Франция (11784). </w:t>
      </w:r>
    </w:p>
    <w:p w14:paraId="67CAD985" w14:textId="77777777" w:rsidR="00537E5F" w:rsidRPr="00507A31" w:rsidRDefault="00537E5F" w:rsidP="00507A31">
      <w:pPr>
        <w:autoSpaceDE w:val="0"/>
        <w:autoSpaceDN w:val="0"/>
        <w:adjustRightInd w:val="0"/>
        <w:jc w:val="both"/>
        <w:rPr>
          <w:color w:val="000000" w:themeColor="text1"/>
          <w:sz w:val="16"/>
          <w:szCs w:val="16"/>
        </w:rPr>
      </w:pPr>
    </w:p>
    <w:p w14:paraId="6C07A8EB" w14:textId="77777777" w:rsidR="00F633FF" w:rsidRPr="00507A31" w:rsidRDefault="00F633FF" w:rsidP="00507A31">
      <w:pPr>
        <w:jc w:val="both"/>
        <w:rPr>
          <w:color w:val="000000" w:themeColor="text1"/>
          <w:sz w:val="16"/>
          <w:szCs w:val="16"/>
        </w:rPr>
      </w:pPr>
      <w:r w:rsidRPr="00507A31">
        <w:rPr>
          <w:color w:val="000000" w:themeColor="text1"/>
          <w:sz w:val="16"/>
          <w:szCs w:val="16"/>
        </w:rPr>
        <w:t>В июле-августе 1930 г. состоялся ответный визит. В состав германской делегации вошли адмирал Ф. Брутцер, капитаны 1-го ранга К. Витцель, X. Зибург и Р. фон Бонин. Они произвели осмотр Балтийского и Черноморского флотов, а также части их военно-морской авиации, наблюдали за учениями Балтфлота. Сделанный ими общий вывод о боеспособности советского флота был негативным. Этот визит явился последним крупным событием во взаимоотношениях лидеров флотов обеих стран, наивысшей точкой сотрудничества флотов, в рамках которого советской стороне все же была предоставлена инженерно-техническая помощь по обновлению советского военно-морского флота.</w:t>
      </w:r>
    </w:p>
    <w:p w14:paraId="7CE824E5" w14:textId="77777777" w:rsidR="00F633FF" w:rsidRPr="00507A31" w:rsidRDefault="00F633FF" w:rsidP="00507A31">
      <w:pPr>
        <w:jc w:val="both"/>
        <w:rPr>
          <w:color w:val="000000" w:themeColor="text1"/>
          <w:sz w:val="16"/>
          <w:szCs w:val="16"/>
        </w:rPr>
      </w:pPr>
      <w:r w:rsidRPr="00507A31">
        <w:rPr>
          <w:color w:val="000000" w:themeColor="text1"/>
          <w:sz w:val="16"/>
          <w:szCs w:val="16"/>
        </w:rPr>
        <w:t>Желанию руководства советского ВМФ установить отношения с ВМС Германии по примеру отношений между РККА и райхсвером не суждено было сбыться в силу как слишком большого разрыва по всем показателям (традиции, уровень образованности морских офицеров, техническая оснащенность флота и т. д. и т. п.), так и в силу ориентации руководителей «райхсмарине» на тесные отношения с законодателями мод во флоте Великобританией и США. Не помогли и усилия офицеров райхсвера, пытавшихся оказывать влияние на «райхсмарине» с целью сохранить все же определенный уровень взаимоотношений флотов. В декабре 1930 г. полковник Фишер, выступая перед офицерами германского флота о целях и задачах политики райхсвера, назвал Россию в числе приоритетных партнеров Германии. За ней шли Литва и Финляндия. Главные противники — Польша и Франция (18265).</w:t>
      </w:r>
    </w:p>
    <w:p w14:paraId="70DC6A30" w14:textId="77777777" w:rsidR="00F633FF" w:rsidRPr="00507A31" w:rsidRDefault="00F633FF" w:rsidP="00507A31">
      <w:pPr>
        <w:jc w:val="both"/>
        <w:rPr>
          <w:color w:val="000000" w:themeColor="text1"/>
          <w:sz w:val="16"/>
          <w:szCs w:val="16"/>
        </w:rPr>
      </w:pPr>
    </w:p>
    <w:p w14:paraId="52E29D2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AB4131F" w14:textId="77777777" w:rsidR="00537E5F" w:rsidRPr="00507A31" w:rsidRDefault="00537E5F" w:rsidP="00507A31">
      <w:pPr>
        <w:autoSpaceDE w:val="0"/>
        <w:autoSpaceDN w:val="0"/>
        <w:adjustRightInd w:val="0"/>
        <w:jc w:val="both"/>
        <w:rPr>
          <w:iCs/>
          <w:color w:val="000000" w:themeColor="text1"/>
          <w:sz w:val="16"/>
          <w:szCs w:val="16"/>
        </w:rPr>
      </w:pPr>
    </w:p>
    <w:p w14:paraId="494E75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августу 1930 образец автопилота для Р-1 был изготовлен, смонтирован и опробован. Выполнили перелет из Ленинграда в Москву в НИИ ВВС с включенным (390,122).</w:t>
      </w:r>
    </w:p>
    <w:p w14:paraId="61F74ADD" w14:textId="77777777" w:rsidR="00537E5F" w:rsidRPr="00507A31" w:rsidRDefault="00537E5F" w:rsidP="00507A31">
      <w:pPr>
        <w:autoSpaceDE w:val="0"/>
        <w:autoSpaceDN w:val="0"/>
        <w:adjustRightInd w:val="0"/>
        <w:jc w:val="both"/>
        <w:rPr>
          <w:color w:val="000000" w:themeColor="text1"/>
          <w:sz w:val="16"/>
          <w:szCs w:val="16"/>
        </w:rPr>
      </w:pPr>
    </w:p>
    <w:p w14:paraId="616400BF" w14:textId="77777777" w:rsidR="00A10143" w:rsidRPr="00507A31" w:rsidRDefault="00A10143"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47D77CD" w14:textId="77777777" w:rsidR="00A10143" w:rsidRPr="00507A31" w:rsidRDefault="00A10143" w:rsidP="00507A31">
      <w:pPr>
        <w:autoSpaceDE w:val="0"/>
        <w:autoSpaceDN w:val="0"/>
        <w:adjustRightInd w:val="0"/>
        <w:jc w:val="both"/>
        <w:rPr>
          <w:iCs/>
          <w:color w:val="000000" w:themeColor="text1"/>
          <w:sz w:val="16"/>
          <w:szCs w:val="16"/>
        </w:rPr>
      </w:pPr>
    </w:p>
    <w:p w14:paraId="21C7DFFE" w14:textId="77777777" w:rsidR="00A10143" w:rsidRPr="00507A31" w:rsidRDefault="00A10143" w:rsidP="00507A31">
      <w:pPr>
        <w:jc w:val="both"/>
        <w:rPr>
          <w:color w:val="0070C0"/>
          <w:sz w:val="16"/>
          <w:szCs w:val="16"/>
        </w:rPr>
      </w:pPr>
      <w:r w:rsidRPr="00507A31">
        <w:rPr>
          <w:color w:val="0070C0"/>
          <w:sz w:val="16"/>
          <w:szCs w:val="16"/>
          <w:lang w:bidi="ru-RU"/>
        </w:rPr>
        <w:t>К началу августа 1930 согласовали окон</w:t>
      </w:r>
      <w:r w:rsidRPr="00507A31">
        <w:rPr>
          <w:color w:val="0070C0"/>
          <w:sz w:val="16"/>
          <w:szCs w:val="16"/>
          <w:lang w:bidi="ru-RU"/>
        </w:rPr>
        <w:softHyphen/>
        <w:t>чательную дату выпуска самолета ТШ-1 на государственные испытания 1 ян</w:t>
      </w:r>
      <w:r w:rsidRPr="00507A31">
        <w:rPr>
          <w:color w:val="0070C0"/>
          <w:sz w:val="16"/>
          <w:szCs w:val="16"/>
          <w:lang w:bidi="ru-RU"/>
        </w:rPr>
        <w:softHyphen/>
        <w:t>варя 1932 г.</w:t>
      </w:r>
    </w:p>
    <w:p w14:paraId="0BE8E5FF" w14:textId="77777777" w:rsidR="00A10143" w:rsidRPr="00507A31" w:rsidRDefault="00A10143" w:rsidP="00507A31">
      <w:pPr>
        <w:jc w:val="both"/>
        <w:rPr>
          <w:color w:val="0070C0"/>
          <w:sz w:val="16"/>
          <w:szCs w:val="16"/>
        </w:rPr>
      </w:pPr>
      <w:r w:rsidRPr="00507A31">
        <w:rPr>
          <w:color w:val="0070C0"/>
          <w:sz w:val="16"/>
          <w:szCs w:val="16"/>
          <w:lang w:bidi="ru-RU"/>
        </w:rPr>
        <w:t>К этому времени ВВС согласились со</w:t>
      </w:r>
      <w:r w:rsidRPr="00507A31">
        <w:rPr>
          <w:color w:val="0070C0"/>
          <w:sz w:val="16"/>
          <w:szCs w:val="16"/>
          <w:lang w:bidi="ru-RU"/>
        </w:rPr>
        <w:softHyphen/>
        <w:t>кратить до 800 кг бомбовую нагрузку и до 4-6 количество пулеметов. Максимальная скорость полета на высоте 1000 м устанавливалась на уровне 250 км/ч. Эки</w:t>
      </w:r>
      <w:r w:rsidRPr="00507A31">
        <w:rPr>
          <w:color w:val="0070C0"/>
          <w:sz w:val="16"/>
          <w:szCs w:val="16"/>
          <w:lang w:bidi="ru-RU"/>
        </w:rPr>
        <w:softHyphen/>
        <w:t>паж - три человека (летчик и летнаб - в передней кабине, стрелок-радист- в задней). Броней защищались экипаж и моторы. Толщина брони - от 3,5 до 8 мм. Суммарный вес бронедеталей - около 850 кг (в том числе, «36% в счет конструк</w:t>
      </w:r>
      <w:r w:rsidRPr="00507A31">
        <w:rPr>
          <w:color w:val="0070C0"/>
          <w:sz w:val="16"/>
          <w:szCs w:val="16"/>
          <w:lang w:bidi="ru-RU"/>
        </w:rPr>
        <w:softHyphen/>
        <w:t>ции самолета»). Вместо заграничных мо</w:t>
      </w:r>
      <w:r w:rsidRPr="00507A31">
        <w:rPr>
          <w:color w:val="0070C0"/>
          <w:sz w:val="16"/>
          <w:szCs w:val="16"/>
          <w:lang w:bidi="ru-RU"/>
        </w:rPr>
        <w:softHyphen/>
        <w:t>торов предлагалось ориентироваться на отечественный мотор М-34.</w:t>
      </w:r>
    </w:p>
    <w:p w14:paraId="00CC2F7F" w14:textId="77777777" w:rsidR="00A10143" w:rsidRPr="00507A31" w:rsidRDefault="00A10143" w:rsidP="00507A31">
      <w:pPr>
        <w:jc w:val="both"/>
        <w:rPr>
          <w:color w:val="0070C0"/>
          <w:sz w:val="16"/>
          <w:szCs w:val="16"/>
        </w:rPr>
      </w:pPr>
      <w:r w:rsidRPr="00507A31">
        <w:rPr>
          <w:color w:val="0070C0"/>
          <w:sz w:val="16"/>
          <w:szCs w:val="16"/>
          <w:lang w:bidi="ru-RU"/>
        </w:rPr>
        <w:t>Оборонительное вооружение пред</w:t>
      </w:r>
      <w:r w:rsidRPr="00507A31">
        <w:rPr>
          <w:color w:val="0070C0"/>
          <w:sz w:val="16"/>
          <w:szCs w:val="16"/>
          <w:lang w:bidi="ru-RU"/>
        </w:rPr>
        <w:softHyphen/>
        <w:t>усматривало два пулемета ДА калибра 7,62 мм, размещенных по одному на пе</w:t>
      </w:r>
      <w:r w:rsidRPr="00507A31">
        <w:rPr>
          <w:color w:val="0070C0"/>
          <w:sz w:val="16"/>
          <w:szCs w:val="16"/>
          <w:lang w:bidi="ru-RU"/>
        </w:rPr>
        <w:softHyphen/>
        <w:t>редней и задней турелях.</w:t>
      </w:r>
    </w:p>
    <w:p w14:paraId="3446D608" w14:textId="77777777" w:rsidR="00A10143" w:rsidRPr="00507A31" w:rsidRDefault="00A10143" w:rsidP="00507A31">
      <w:pPr>
        <w:jc w:val="both"/>
        <w:rPr>
          <w:color w:val="0070C0"/>
          <w:sz w:val="16"/>
          <w:szCs w:val="16"/>
        </w:rPr>
      </w:pPr>
      <w:r w:rsidRPr="00507A31">
        <w:rPr>
          <w:color w:val="0070C0"/>
          <w:sz w:val="16"/>
          <w:szCs w:val="16"/>
          <w:lang w:bidi="ru-RU"/>
        </w:rPr>
        <w:t>Вопрос о типе и калибре пушки для ТШ-1 оставался открытым. Рассматри</w:t>
      </w:r>
      <w:r w:rsidRPr="00507A31">
        <w:rPr>
          <w:color w:val="0070C0"/>
          <w:sz w:val="16"/>
          <w:szCs w:val="16"/>
          <w:lang w:bidi="ru-RU"/>
        </w:rPr>
        <w:softHyphen/>
        <w:t>вались перспективные автоматические пушки калибра 20-37 мм с высоким тем</w:t>
      </w:r>
      <w:r w:rsidRPr="00507A31">
        <w:rPr>
          <w:color w:val="0070C0"/>
          <w:sz w:val="16"/>
          <w:szCs w:val="16"/>
          <w:lang w:bidi="ru-RU"/>
        </w:rPr>
        <w:softHyphen/>
        <w:t>пом стрельбы и небольшой силой отдачи и безоткатные пушки Курчевского кали</w:t>
      </w:r>
      <w:r w:rsidRPr="00507A31">
        <w:rPr>
          <w:color w:val="0070C0"/>
          <w:sz w:val="16"/>
          <w:szCs w:val="16"/>
          <w:lang w:bidi="ru-RU"/>
        </w:rPr>
        <w:softHyphen/>
        <w:t>бра 76,2 мм. При этом основное внима</w:t>
      </w:r>
      <w:r w:rsidRPr="00507A31">
        <w:rPr>
          <w:color w:val="0070C0"/>
          <w:sz w:val="16"/>
          <w:szCs w:val="16"/>
          <w:lang w:bidi="ru-RU"/>
        </w:rPr>
        <w:softHyphen/>
        <w:t>ние уделялось именно пушкам Курчев- ского, имевшим боеприпасы большой разрушительной силы.</w:t>
      </w:r>
    </w:p>
    <w:p w14:paraId="1C8DC1E8" w14:textId="77777777" w:rsidR="00A10143" w:rsidRPr="00507A31" w:rsidRDefault="00A10143" w:rsidP="00507A31">
      <w:pPr>
        <w:jc w:val="both"/>
        <w:rPr>
          <w:color w:val="0070C0"/>
          <w:sz w:val="16"/>
          <w:szCs w:val="16"/>
          <w:lang w:bidi="ru-RU"/>
        </w:rPr>
      </w:pPr>
      <w:r w:rsidRPr="00507A31">
        <w:rPr>
          <w:color w:val="0070C0"/>
          <w:sz w:val="16"/>
          <w:szCs w:val="16"/>
          <w:lang w:bidi="ru-RU"/>
        </w:rPr>
        <w:t>Надо признать, выбор безоткатных пушек в качестве вооружения штурмо</w:t>
      </w:r>
      <w:r w:rsidRPr="00507A31">
        <w:rPr>
          <w:color w:val="0070C0"/>
          <w:sz w:val="16"/>
          <w:szCs w:val="16"/>
          <w:lang w:bidi="ru-RU"/>
        </w:rPr>
        <w:softHyphen/>
        <w:t>вика был все же неудачным. Пушки Кур чевского имели низкую начальную ско</w:t>
      </w:r>
      <w:r w:rsidRPr="00507A31">
        <w:rPr>
          <w:color w:val="0070C0"/>
          <w:sz w:val="16"/>
          <w:szCs w:val="16"/>
          <w:lang w:bidi="ru-RU"/>
        </w:rPr>
        <w:softHyphen/>
        <w:t>рость снаряда, что неизбежно сказыва</w:t>
      </w:r>
      <w:r w:rsidRPr="00507A31">
        <w:rPr>
          <w:color w:val="0070C0"/>
          <w:sz w:val="16"/>
          <w:szCs w:val="16"/>
          <w:lang w:bidi="ru-RU"/>
        </w:rPr>
        <w:softHyphen/>
        <w:t>лось на точности стрельбы. Кроме того, боекомплект к пушкам был мал, а авто</w:t>
      </w:r>
      <w:r w:rsidRPr="00507A31">
        <w:rPr>
          <w:color w:val="0070C0"/>
          <w:sz w:val="16"/>
          <w:szCs w:val="16"/>
          <w:lang w:bidi="ru-RU"/>
        </w:rPr>
        <w:softHyphen/>
        <w:t>мат подачи патрон при перезарядке часто отказывал. К тому же при стрельбе из этих пушек иногда разрывались стволы и от пороховых газов разруша</w:t>
      </w:r>
      <w:r w:rsidRPr="00507A31">
        <w:rPr>
          <w:color w:val="0070C0"/>
          <w:sz w:val="16"/>
          <w:szCs w:val="16"/>
          <w:lang w:bidi="ru-RU"/>
        </w:rPr>
        <w:softHyphen/>
        <w:t>лись элементы конструкции самолета. Впоследствии все это привело к отказу от использования безоткатных пушек в авиации (21062).</w:t>
      </w:r>
    </w:p>
    <w:p w14:paraId="0554ADD3" w14:textId="77777777" w:rsidR="00A10143" w:rsidRPr="00507A31" w:rsidRDefault="00A10143" w:rsidP="00507A31">
      <w:pPr>
        <w:jc w:val="both"/>
        <w:rPr>
          <w:color w:val="0070C0"/>
          <w:sz w:val="16"/>
          <w:szCs w:val="16"/>
        </w:rPr>
      </w:pPr>
    </w:p>
    <w:p w14:paraId="4A7C940B" w14:textId="77777777" w:rsidR="005F3A58" w:rsidRPr="00507A31" w:rsidRDefault="005F3A58"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848396C" w14:textId="77777777" w:rsidR="005F3A58" w:rsidRPr="00507A31" w:rsidRDefault="005F3A58" w:rsidP="00507A31">
      <w:pPr>
        <w:autoSpaceDE w:val="0"/>
        <w:autoSpaceDN w:val="0"/>
        <w:adjustRightInd w:val="0"/>
        <w:jc w:val="both"/>
        <w:rPr>
          <w:iCs/>
          <w:color w:val="000000" w:themeColor="text1"/>
          <w:sz w:val="16"/>
          <w:szCs w:val="16"/>
        </w:rPr>
      </w:pPr>
    </w:p>
    <w:p w14:paraId="75DAB01A" w14:textId="77777777" w:rsidR="005F3A58" w:rsidRPr="00507A31" w:rsidRDefault="005F3A58" w:rsidP="00507A31">
      <w:pPr>
        <w:jc w:val="both"/>
        <w:rPr>
          <w:color w:val="0070C0"/>
          <w:sz w:val="16"/>
          <w:szCs w:val="16"/>
        </w:rPr>
      </w:pPr>
      <w:r w:rsidRPr="00507A31">
        <w:rPr>
          <w:color w:val="0070C0"/>
          <w:sz w:val="16"/>
          <w:szCs w:val="16"/>
          <w:lang w:bidi="ru-RU"/>
        </w:rPr>
        <w:t>1 августа 1930 г. ЦКБ официально предъявила комиссии ВВС (от НТК УВВС и НИИ ВВС) макет легкого бронирован</w:t>
      </w:r>
      <w:r w:rsidRPr="00507A31">
        <w:rPr>
          <w:color w:val="0070C0"/>
          <w:sz w:val="16"/>
          <w:szCs w:val="16"/>
          <w:lang w:bidi="ru-RU"/>
        </w:rPr>
        <w:softHyphen/>
        <w:t>ного штурмовика типа Ш с мотором М-27. После обмена мнениями решили еще раз провести осмотр макета, но расширенным составом с привлечением представителей от УВВС и строевых частей. К этому дню НТК УВВС должен был отработать так</w:t>
      </w:r>
      <w:r w:rsidRPr="00507A31">
        <w:rPr>
          <w:color w:val="0070C0"/>
          <w:sz w:val="16"/>
          <w:szCs w:val="16"/>
          <w:lang w:bidi="ru-RU"/>
        </w:rPr>
        <w:softHyphen/>
        <w:t>тико-технические требования к самолету и доложить их на совещании.</w:t>
      </w:r>
    </w:p>
    <w:p w14:paraId="61A2C5FC" w14:textId="77777777" w:rsidR="005F3A58" w:rsidRPr="00507A31" w:rsidRDefault="005F3A58" w:rsidP="00507A31">
      <w:pPr>
        <w:jc w:val="both"/>
        <w:rPr>
          <w:color w:val="0070C0"/>
          <w:sz w:val="16"/>
          <w:szCs w:val="16"/>
        </w:rPr>
      </w:pPr>
      <w:r w:rsidRPr="00507A31">
        <w:rPr>
          <w:color w:val="0070C0"/>
          <w:sz w:val="16"/>
          <w:szCs w:val="16"/>
          <w:lang w:bidi="ru-RU"/>
        </w:rPr>
        <w:t>Повторный осмотр макета самолета на заводе №39 состоялся уже 6 августа. В состав комиссии вошли: от НТК - Хан- дожко (председатель), Соколов-Соколенок, Шевченко, от НИИ ВВС - Волковойнов, Писаренко, Шарапов, Юмашев, Б.С. Вах</w:t>
      </w:r>
      <w:r w:rsidRPr="00507A31">
        <w:rPr>
          <w:color w:val="0070C0"/>
          <w:sz w:val="16"/>
          <w:szCs w:val="16"/>
          <w:lang w:bidi="ru-RU"/>
        </w:rPr>
        <w:softHyphen/>
        <w:t>мистров, Козлов, В.С. Вахмистров, Мер</w:t>
      </w:r>
      <w:r w:rsidRPr="00507A31">
        <w:rPr>
          <w:color w:val="0070C0"/>
          <w:sz w:val="16"/>
          <w:szCs w:val="16"/>
          <w:lang w:bidi="ru-RU"/>
        </w:rPr>
        <w:softHyphen/>
        <w:t>кулов, Полехин, Петров, от УВВС - Вой- шицкий, Миронов, а также комбриг Скро- бук и командиры 50-й и 52-й штурмовых авиаэскадрилий Туржанский и Головизин. От ЦКБ и завода № 39 в работе комис</w:t>
      </w:r>
      <w:r w:rsidRPr="00507A31">
        <w:rPr>
          <w:color w:val="0070C0"/>
          <w:sz w:val="16"/>
          <w:szCs w:val="16"/>
          <w:lang w:bidi="ru-RU"/>
        </w:rPr>
        <w:softHyphen/>
        <w:t>сии участвовали Григорович, Надашкевич, Крейсон и Савельев.</w:t>
      </w:r>
    </w:p>
    <w:p w14:paraId="3C924E28" w14:textId="77777777" w:rsidR="005F3A58" w:rsidRPr="00507A31" w:rsidRDefault="005F3A58" w:rsidP="00507A31">
      <w:pPr>
        <w:jc w:val="both"/>
        <w:rPr>
          <w:color w:val="0070C0"/>
          <w:sz w:val="16"/>
          <w:szCs w:val="16"/>
        </w:rPr>
      </w:pPr>
      <w:r w:rsidRPr="00507A31">
        <w:rPr>
          <w:color w:val="0070C0"/>
          <w:sz w:val="16"/>
          <w:szCs w:val="16"/>
          <w:lang w:bidi="ru-RU"/>
        </w:rPr>
        <w:t>Макет самолета Ш-М27 включал вы</w:t>
      </w:r>
      <w:r w:rsidRPr="00507A31">
        <w:rPr>
          <w:color w:val="0070C0"/>
          <w:sz w:val="16"/>
          <w:szCs w:val="16"/>
          <w:lang w:bidi="ru-RU"/>
        </w:rPr>
        <w:softHyphen/>
        <w:t>полненные из дерева фюзеляж с мото</w:t>
      </w:r>
      <w:r w:rsidRPr="00507A31">
        <w:rPr>
          <w:color w:val="0070C0"/>
          <w:sz w:val="16"/>
          <w:szCs w:val="16"/>
          <w:lang w:bidi="ru-RU"/>
        </w:rPr>
        <w:softHyphen/>
        <w:t>ром, центроплан, коробку плоскостей и левую часть хвостового оперения.</w:t>
      </w:r>
    </w:p>
    <w:p w14:paraId="53CD26CD" w14:textId="77777777" w:rsidR="005F3A58" w:rsidRPr="00507A31" w:rsidRDefault="005F3A58" w:rsidP="00507A31">
      <w:pPr>
        <w:jc w:val="both"/>
        <w:rPr>
          <w:color w:val="0070C0"/>
          <w:sz w:val="16"/>
          <w:szCs w:val="16"/>
        </w:rPr>
      </w:pPr>
      <w:r w:rsidRPr="00507A31">
        <w:rPr>
          <w:color w:val="0070C0"/>
          <w:sz w:val="16"/>
          <w:szCs w:val="16"/>
          <w:lang w:bidi="ru-RU"/>
        </w:rPr>
        <w:t>На макете были установлены макеты двух синхронных пулеметов ПВ-1 на фю</w:t>
      </w:r>
      <w:r w:rsidRPr="00507A31">
        <w:rPr>
          <w:color w:val="0070C0"/>
          <w:sz w:val="16"/>
          <w:szCs w:val="16"/>
          <w:lang w:bidi="ru-RU"/>
        </w:rPr>
        <w:softHyphen/>
        <w:t>зеляже и четырех ПВ-1 под левой пло</w:t>
      </w:r>
      <w:r w:rsidRPr="00507A31">
        <w:rPr>
          <w:color w:val="0070C0"/>
          <w:sz w:val="16"/>
          <w:szCs w:val="16"/>
          <w:lang w:bidi="ru-RU"/>
        </w:rPr>
        <w:softHyphen/>
        <w:t>скостью («такая же установка из четырех пулеметов будет на самолете и под пра</w:t>
      </w:r>
      <w:r w:rsidRPr="00507A31">
        <w:rPr>
          <w:color w:val="0070C0"/>
          <w:sz w:val="16"/>
          <w:szCs w:val="16"/>
          <w:lang w:bidi="ru-RU"/>
        </w:rPr>
        <w:softHyphen/>
        <w:t>вой плоскостью»). Бомбардировочное во</w:t>
      </w:r>
      <w:r w:rsidRPr="00507A31">
        <w:rPr>
          <w:color w:val="0070C0"/>
          <w:sz w:val="16"/>
          <w:szCs w:val="16"/>
          <w:lang w:bidi="ru-RU"/>
        </w:rPr>
        <w:softHyphen/>
        <w:t>оружение для осмотра не предъявлялось, но был продемонстрирован отсек в фю</w:t>
      </w:r>
      <w:r w:rsidRPr="00507A31">
        <w:rPr>
          <w:color w:val="0070C0"/>
          <w:sz w:val="16"/>
          <w:szCs w:val="16"/>
          <w:lang w:bidi="ru-RU"/>
        </w:rPr>
        <w:softHyphen/>
        <w:t>зеляже под сиденьем летчика для кассет</w:t>
      </w:r>
      <w:r w:rsidRPr="00507A31">
        <w:rPr>
          <w:color w:val="0070C0"/>
          <w:sz w:val="16"/>
          <w:szCs w:val="16"/>
          <w:lang w:bidi="ru-RU"/>
        </w:rPr>
        <w:softHyphen/>
        <w:t>ных держателей мелкокалиберных бомб.</w:t>
      </w:r>
    </w:p>
    <w:p w14:paraId="00567140" w14:textId="77777777" w:rsidR="005F3A58" w:rsidRPr="00507A31" w:rsidRDefault="005F3A58" w:rsidP="00507A31">
      <w:pPr>
        <w:jc w:val="both"/>
        <w:rPr>
          <w:color w:val="0070C0"/>
          <w:sz w:val="16"/>
          <w:szCs w:val="16"/>
        </w:rPr>
      </w:pPr>
      <w:r w:rsidRPr="00507A31">
        <w:rPr>
          <w:color w:val="0070C0"/>
          <w:sz w:val="16"/>
          <w:szCs w:val="16"/>
          <w:lang w:bidi="ru-RU"/>
        </w:rPr>
        <w:t>Судя по стенограмме совещания, об</w:t>
      </w:r>
      <w:r w:rsidRPr="00507A31">
        <w:rPr>
          <w:color w:val="0070C0"/>
          <w:sz w:val="16"/>
          <w:szCs w:val="16"/>
          <w:lang w:bidi="ru-RU"/>
        </w:rPr>
        <w:softHyphen/>
        <w:t>суждение макета самолета и требова</w:t>
      </w:r>
      <w:r w:rsidRPr="00507A31">
        <w:rPr>
          <w:color w:val="0070C0"/>
          <w:sz w:val="16"/>
          <w:szCs w:val="16"/>
          <w:lang w:bidi="ru-RU"/>
        </w:rPr>
        <w:softHyphen/>
        <w:t>ний к нему было весьма эмоциональным. При этом наибольшую активность про</w:t>
      </w:r>
      <w:r w:rsidRPr="00507A31">
        <w:rPr>
          <w:color w:val="0070C0"/>
          <w:sz w:val="16"/>
          <w:szCs w:val="16"/>
          <w:lang w:bidi="ru-RU"/>
        </w:rPr>
        <w:softHyphen/>
        <w:t>являли офицеры из войск. В ходе дис</w:t>
      </w:r>
      <w:r w:rsidRPr="00507A31">
        <w:rPr>
          <w:color w:val="0070C0"/>
          <w:sz w:val="16"/>
          <w:szCs w:val="16"/>
          <w:lang w:bidi="ru-RU"/>
        </w:rPr>
        <w:softHyphen/>
        <w:t>куссии высказывались настолько проти</w:t>
      </w:r>
      <w:r w:rsidRPr="00507A31">
        <w:rPr>
          <w:color w:val="0070C0"/>
          <w:sz w:val="16"/>
          <w:szCs w:val="16"/>
          <w:lang w:bidi="ru-RU"/>
        </w:rPr>
        <w:softHyphen/>
        <w:t>воположные суждения о тех или иных свойствах и конструктивных решениях машины, что Григорович был вынуж</w:t>
      </w:r>
      <w:r w:rsidRPr="00507A31">
        <w:rPr>
          <w:color w:val="0070C0"/>
          <w:sz w:val="16"/>
          <w:szCs w:val="16"/>
          <w:lang w:bidi="ru-RU"/>
        </w:rPr>
        <w:softHyphen/>
        <w:t>ден заявить: «Здесь предлагают нам по</w:t>
      </w:r>
      <w:r w:rsidRPr="00507A31">
        <w:rPr>
          <w:color w:val="0070C0"/>
          <w:sz w:val="16"/>
          <w:szCs w:val="16"/>
          <w:lang w:bidi="ru-RU"/>
        </w:rPr>
        <w:softHyphen/>
        <w:t>чти совершенно новые требования к са</w:t>
      </w:r>
      <w:r w:rsidRPr="00507A31">
        <w:rPr>
          <w:color w:val="0070C0"/>
          <w:sz w:val="16"/>
          <w:szCs w:val="16"/>
          <w:lang w:bidi="ru-RU"/>
        </w:rPr>
        <w:softHyphen/>
        <w:t>молету, а если это так, то нужно эти тре</w:t>
      </w:r>
      <w:r w:rsidRPr="00507A31">
        <w:rPr>
          <w:color w:val="0070C0"/>
          <w:sz w:val="16"/>
          <w:szCs w:val="16"/>
          <w:lang w:bidi="ru-RU"/>
        </w:rPr>
        <w:softHyphen/>
        <w:t>бования, определенные и ясные, дать сразу, и вариант, предложенный нами, в постройке прекратить».</w:t>
      </w:r>
    </w:p>
    <w:p w14:paraId="0F435183" w14:textId="77777777" w:rsidR="005F3A58" w:rsidRPr="00507A31" w:rsidRDefault="005F3A58" w:rsidP="00507A31">
      <w:pPr>
        <w:jc w:val="both"/>
        <w:rPr>
          <w:color w:val="0070C0"/>
          <w:sz w:val="16"/>
          <w:szCs w:val="16"/>
        </w:rPr>
      </w:pPr>
      <w:r w:rsidRPr="00507A31">
        <w:rPr>
          <w:color w:val="0070C0"/>
          <w:sz w:val="16"/>
          <w:szCs w:val="16"/>
          <w:lang w:bidi="ru-RU"/>
        </w:rPr>
        <w:t>Главным образом все сводилось к тому, чтобы Ш-М27 строить цельнометал</w:t>
      </w:r>
      <w:r w:rsidRPr="00507A31">
        <w:rPr>
          <w:color w:val="0070C0"/>
          <w:sz w:val="16"/>
          <w:szCs w:val="16"/>
          <w:lang w:bidi="ru-RU"/>
        </w:rPr>
        <w:softHyphen/>
        <w:t>лическим повышенной прочности, усилить бронирование мотора и летнаба (в том числе «путем постановки дополнительной съемной брони» и козырька летчика «из толстого бронированного стекла для об</w:t>
      </w:r>
      <w:r w:rsidRPr="00507A31">
        <w:rPr>
          <w:color w:val="0070C0"/>
          <w:sz w:val="16"/>
          <w:szCs w:val="16"/>
          <w:lang w:bidi="ru-RU"/>
        </w:rPr>
        <w:softHyphen/>
        <w:t>зора вперед»), обеспечить самолету вы</w:t>
      </w:r>
      <w:r w:rsidRPr="00507A31">
        <w:rPr>
          <w:color w:val="0070C0"/>
          <w:sz w:val="16"/>
          <w:szCs w:val="16"/>
          <w:lang w:bidi="ru-RU"/>
        </w:rPr>
        <w:softHyphen/>
        <w:t>сокую маневренность и скорость полета порядка 250-300 км/ч у земли. Кроме того, требовались «максимальная легкость в управлении самолетом («управляе</w:t>
      </w:r>
      <w:r w:rsidRPr="00507A31">
        <w:rPr>
          <w:color w:val="0070C0"/>
          <w:sz w:val="16"/>
          <w:szCs w:val="16"/>
          <w:lang w:bidi="ru-RU"/>
        </w:rPr>
        <w:softHyphen/>
        <w:t>мость близкая к истребителю»)», отличные взлетно-посадочные свойства («чтобы мог взлетать и садиться на площадке 400 х400 м») и неприхотливость к каче</w:t>
      </w:r>
      <w:r w:rsidRPr="00507A31">
        <w:rPr>
          <w:color w:val="0070C0"/>
          <w:sz w:val="16"/>
          <w:szCs w:val="16"/>
          <w:lang w:bidi="ru-RU"/>
        </w:rPr>
        <w:softHyphen/>
        <w:t>ству летной площадки аэродрома («взлет и посадка на вспаханное поле»), а также боевой радиус - не менее 200 км.</w:t>
      </w:r>
    </w:p>
    <w:p w14:paraId="249AB6FB" w14:textId="77777777" w:rsidR="005F3A58" w:rsidRPr="00507A31" w:rsidRDefault="005F3A58" w:rsidP="00507A31">
      <w:pPr>
        <w:jc w:val="both"/>
        <w:rPr>
          <w:color w:val="0070C0"/>
          <w:sz w:val="16"/>
          <w:szCs w:val="16"/>
        </w:rPr>
      </w:pPr>
      <w:r w:rsidRPr="00507A31">
        <w:rPr>
          <w:color w:val="0070C0"/>
          <w:sz w:val="16"/>
          <w:szCs w:val="16"/>
          <w:lang w:bidi="ru-RU"/>
        </w:rPr>
        <w:t>Считалось, что основным средством поражения живой силы противника бу</w:t>
      </w:r>
      <w:r w:rsidRPr="00507A31">
        <w:rPr>
          <w:color w:val="0070C0"/>
          <w:sz w:val="16"/>
          <w:szCs w:val="16"/>
          <w:lang w:bidi="ru-RU"/>
        </w:rPr>
        <w:softHyphen/>
        <w:t>дут «осколочные 2-х и 10 кг бомбы или обычные гранаты пехотного образца», а бронированной и другой военной тех</w:t>
      </w:r>
      <w:r w:rsidRPr="00507A31">
        <w:rPr>
          <w:color w:val="0070C0"/>
          <w:sz w:val="16"/>
          <w:szCs w:val="16"/>
          <w:lang w:bidi="ru-RU"/>
        </w:rPr>
        <w:softHyphen/>
        <w:t>ники противника - автоматическая пушка калибра 20 или 37 мм. Нормальный вес бомбовой нагрузки определялся в 400 кг (в перегрузку до 600 кг). Для защиты от нападения воздушного противника пред</w:t>
      </w:r>
      <w:r w:rsidRPr="00507A31">
        <w:rPr>
          <w:color w:val="0070C0"/>
          <w:sz w:val="16"/>
          <w:szCs w:val="16"/>
          <w:lang w:bidi="ru-RU"/>
        </w:rPr>
        <w:softHyphen/>
        <w:t>полагалось иметь 1-2 пулемета на турели у летнаба.</w:t>
      </w:r>
    </w:p>
    <w:p w14:paraId="5E6A795B" w14:textId="77777777" w:rsidR="005F3A58" w:rsidRPr="00507A31" w:rsidRDefault="005F3A58" w:rsidP="00507A31">
      <w:pPr>
        <w:jc w:val="both"/>
        <w:rPr>
          <w:color w:val="0070C0"/>
          <w:sz w:val="16"/>
          <w:szCs w:val="16"/>
        </w:rPr>
      </w:pPr>
      <w:r w:rsidRPr="00507A31">
        <w:rPr>
          <w:color w:val="0070C0"/>
          <w:sz w:val="16"/>
          <w:szCs w:val="16"/>
          <w:lang w:bidi="ru-RU"/>
        </w:rPr>
        <w:t>«Пулеметная батарея в 8 пулеметов для стрельбы вперед по живым целям» должна была иметь приспособления для изменения в полете углов установки пу</w:t>
      </w:r>
      <w:r w:rsidRPr="00507A31">
        <w:rPr>
          <w:color w:val="0070C0"/>
          <w:sz w:val="16"/>
          <w:szCs w:val="16"/>
          <w:lang w:bidi="ru-RU"/>
        </w:rPr>
        <w:softHyphen/>
        <w:t>леметов вниз (от 13 до 30°) и в стороны (до ±30° от оси самолета) дистанционно из кабины летнаба.</w:t>
      </w:r>
    </w:p>
    <w:p w14:paraId="35BE70A0" w14:textId="77777777" w:rsidR="005F3A58" w:rsidRPr="00507A31" w:rsidRDefault="005F3A58" w:rsidP="00507A31">
      <w:pPr>
        <w:jc w:val="both"/>
        <w:rPr>
          <w:color w:val="0070C0"/>
          <w:sz w:val="16"/>
          <w:szCs w:val="16"/>
        </w:rPr>
      </w:pPr>
      <w:r w:rsidRPr="00507A31">
        <w:rPr>
          <w:color w:val="0070C0"/>
          <w:sz w:val="16"/>
          <w:szCs w:val="16"/>
          <w:lang w:bidi="ru-RU"/>
        </w:rPr>
        <w:t>Необходимо было предусмотреть установку оборудования для полетов но</w:t>
      </w:r>
      <w:r w:rsidRPr="00507A31">
        <w:rPr>
          <w:color w:val="0070C0"/>
          <w:sz w:val="16"/>
          <w:szCs w:val="16"/>
          <w:lang w:bidi="ru-RU"/>
        </w:rPr>
        <w:softHyphen/>
        <w:t>чью, истребительную радиостанцию, все остальное - «как для двухместного истре</w:t>
      </w:r>
      <w:r w:rsidRPr="00507A31">
        <w:rPr>
          <w:color w:val="0070C0"/>
          <w:sz w:val="16"/>
          <w:szCs w:val="16"/>
          <w:lang w:bidi="ru-RU"/>
        </w:rPr>
        <w:softHyphen/>
        <w:t>бителя».</w:t>
      </w:r>
    </w:p>
    <w:p w14:paraId="65F3786C" w14:textId="77777777" w:rsidR="005F3A58" w:rsidRPr="00507A31" w:rsidRDefault="005F3A58" w:rsidP="00507A31">
      <w:pPr>
        <w:jc w:val="both"/>
        <w:rPr>
          <w:color w:val="0070C0"/>
          <w:sz w:val="16"/>
          <w:szCs w:val="16"/>
        </w:rPr>
      </w:pPr>
      <w:r w:rsidRPr="00507A31">
        <w:rPr>
          <w:color w:val="0070C0"/>
          <w:sz w:val="16"/>
          <w:szCs w:val="16"/>
          <w:lang w:bidi="ru-RU"/>
        </w:rPr>
        <w:t>Спарку пулеметов ПВ-1 у летнаба во</w:t>
      </w:r>
      <w:r w:rsidRPr="00507A31">
        <w:rPr>
          <w:color w:val="0070C0"/>
          <w:sz w:val="16"/>
          <w:szCs w:val="16"/>
          <w:lang w:bidi="ru-RU"/>
        </w:rPr>
        <w:softHyphen/>
        <w:t>енные раскритиковали: «Установка спа</w:t>
      </w:r>
      <w:r w:rsidRPr="00507A31">
        <w:rPr>
          <w:color w:val="0070C0"/>
          <w:sz w:val="16"/>
          <w:szCs w:val="16"/>
          <w:lang w:bidi="ru-RU"/>
        </w:rPr>
        <w:softHyphen/>
        <w:t>ренных пулеметов в кабине стрелка не</w:t>
      </w:r>
      <w:r w:rsidRPr="00507A31">
        <w:rPr>
          <w:color w:val="0070C0"/>
          <w:sz w:val="16"/>
          <w:szCs w:val="16"/>
          <w:lang w:bidi="ru-RU"/>
        </w:rPr>
        <w:softHyphen/>
        <w:t>целесообразна, а особенно спаренных ПВ-1, так как на больших скоростях со</w:t>
      </w:r>
      <w:r w:rsidRPr="00507A31">
        <w:rPr>
          <w:color w:val="0070C0"/>
          <w:sz w:val="16"/>
          <w:szCs w:val="16"/>
          <w:lang w:bidi="ru-RU"/>
        </w:rPr>
        <w:softHyphen/>
        <w:t>вершенно будет невозможно провернуть пулеметы. Это видно из опыта». Вместо них предлагалось смонтировать спарку пулеметов ДА или («что лучше всего») установить один пулемет ПВ-1 с боеком</w:t>
      </w:r>
      <w:r w:rsidRPr="00507A31">
        <w:rPr>
          <w:color w:val="0070C0"/>
          <w:sz w:val="16"/>
          <w:szCs w:val="16"/>
          <w:lang w:bidi="ru-RU"/>
        </w:rPr>
        <w:softHyphen/>
        <w:t>плектом не менее 200-250 патрон. При этом следовало «турельную дугу /.../ уси</w:t>
      </w:r>
      <w:r w:rsidRPr="00507A31">
        <w:rPr>
          <w:color w:val="0070C0"/>
          <w:sz w:val="16"/>
          <w:szCs w:val="16"/>
          <w:lang w:bidi="ru-RU"/>
        </w:rPr>
        <w:softHyphen/>
        <w:t>лить, так как при такой дуге пулеметы бу</w:t>
      </w:r>
      <w:r w:rsidRPr="00507A31">
        <w:rPr>
          <w:color w:val="0070C0"/>
          <w:sz w:val="16"/>
          <w:szCs w:val="16"/>
          <w:lang w:bidi="ru-RU"/>
        </w:rPr>
        <w:softHyphen/>
        <w:t>дут сильно качаться при стрельбе».</w:t>
      </w:r>
    </w:p>
    <w:p w14:paraId="485FC051" w14:textId="77777777" w:rsidR="005F3A58" w:rsidRPr="00507A31" w:rsidRDefault="005F3A58" w:rsidP="00507A31">
      <w:pPr>
        <w:jc w:val="both"/>
        <w:rPr>
          <w:color w:val="0070C0"/>
          <w:sz w:val="16"/>
          <w:szCs w:val="16"/>
        </w:rPr>
      </w:pPr>
      <w:r w:rsidRPr="00507A31">
        <w:rPr>
          <w:color w:val="0070C0"/>
          <w:sz w:val="16"/>
          <w:szCs w:val="16"/>
          <w:lang w:bidi="ru-RU"/>
        </w:rPr>
        <w:t>Установку пулеметных батарей под крылом предлагалось «произвести по двум вариантам: 1-й - установить обе ба</w:t>
      </w:r>
      <w:r w:rsidRPr="00507A31">
        <w:rPr>
          <w:color w:val="0070C0"/>
          <w:sz w:val="16"/>
          <w:szCs w:val="16"/>
          <w:lang w:bidi="ru-RU"/>
        </w:rPr>
        <w:softHyphen/>
        <w:t>тареи параллельно, 2-й - установить так, чтобы пулеметы обеих батарей своди</w:t>
      </w:r>
      <w:r w:rsidRPr="00507A31">
        <w:rPr>
          <w:color w:val="0070C0"/>
          <w:sz w:val="16"/>
          <w:szCs w:val="16"/>
          <w:lang w:bidi="ru-RU"/>
        </w:rPr>
        <w:softHyphen/>
        <w:t>лись в одну точку на определенной ди</w:t>
      </w:r>
      <w:r w:rsidRPr="00507A31">
        <w:rPr>
          <w:color w:val="0070C0"/>
          <w:sz w:val="16"/>
          <w:szCs w:val="16"/>
          <w:lang w:bidi="ru-RU"/>
        </w:rPr>
        <w:softHyphen/>
        <w:t>станции».</w:t>
      </w:r>
    </w:p>
    <w:p w14:paraId="1C61D1A6" w14:textId="77777777" w:rsidR="005F3A58" w:rsidRPr="00507A31" w:rsidRDefault="005F3A58" w:rsidP="00507A31">
      <w:pPr>
        <w:jc w:val="both"/>
        <w:rPr>
          <w:color w:val="0070C0"/>
          <w:sz w:val="16"/>
          <w:szCs w:val="16"/>
        </w:rPr>
      </w:pPr>
      <w:r w:rsidRPr="00507A31">
        <w:rPr>
          <w:color w:val="0070C0"/>
          <w:sz w:val="16"/>
          <w:szCs w:val="16"/>
          <w:lang w:bidi="ru-RU"/>
        </w:rPr>
        <w:t>Рекомендовалось поставить тормоз</w:t>
      </w:r>
      <w:r w:rsidRPr="00507A31">
        <w:rPr>
          <w:color w:val="0070C0"/>
          <w:sz w:val="16"/>
          <w:szCs w:val="16"/>
          <w:lang w:bidi="ru-RU"/>
        </w:rPr>
        <w:softHyphen/>
        <w:t>ные колеса, обеспечить легкий доступ к мотору для обслуживания («сделать бро</w:t>
      </w:r>
      <w:r w:rsidRPr="00507A31">
        <w:rPr>
          <w:color w:val="0070C0"/>
          <w:sz w:val="16"/>
          <w:szCs w:val="16"/>
          <w:lang w:bidi="ru-RU"/>
        </w:rPr>
        <w:softHyphen/>
        <w:t>нированные лючки»), до постройки само</w:t>
      </w:r>
      <w:r w:rsidRPr="00507A31">
        <w:rPr>
          <w:color w:val="0070C0"/>
          <w:sz w:val="16"/>
          <w:szCs w:val="16"/>
          <w:lang w:bidi="ru-RU"/>
        </w:rPr>
        <w:softHyphen/>
        <w:t>лета проверить работоспособность схемы втягивания радиатора внутрь бронекор- пуса при атаке цели («полет в таком со</w:t>
      </w:r>
      <w:r w:rsidRPr="00507A31">
        <w:rPr>
          <w:color w:val="0070C0"/>
          <w:sz w:val="16"/>
          <w:szCs w:val="16"/>
          <w:lang w:bidi="ru-RU"/>
        </w:rPr>
        <w:softHyphen/>
        <w:t>стоянии до 10 км будет давать перегрев радиатора, необходимо теперь же это ис</w:t>
      </w:r>
      <w:r w:rsidRPr="00507A31">
        <w:rPr>
          <w:color w:val="0070C0"/>
          <w:sz w:val="16"/>
          <w:szCs w:val="16"/>
          <w:lang w:bidi="ru-RU"/>
        </w:rPr>
        <w:softHyphen/>
        <w:t>пытать на каком-нибудь самолете»).</w:t>
      </w:r>
    </w:p>
    <w:p w14:paraId="6FB48832" w14:textId="77777777" w:rsidR="005F3A58" w:rsidRPr="00507A31" w:rsidRDefault="005F3A58" w:rsidP="00507A31">
      <w:pPr>
        <w:jc w:val="both"/>
        <w:rPr>
          <w:color w:val="0070C0"/>
          <w:sz w:val="16"/>
          <w:szCs w:val="16"/>
        </w:rPr>
      </w:pPr>
      <w:r w:rsidRPr="00507A31">
        <w:rPr>
          <w:color w:val="0070C0"/>
          <w:sz w:val="16"/>
          <w:szCs w:val="16"/>
          <w:lang w:bidi="ru-RU"/>
        </w:rPr>
        <w:lastRenderedPageBreak/>
        <w:t>Строевыми летчиками высказывались вполне обоснованные сомнения в воз</w:t>
      </w:r>
      <w:r w:rsidRPr="00507A31">
        <w:rPr>
          <w:color w:val="0070C0"/>
          <w:sz w:val="16"/>
          <w:szCs w:val="16"/>
          <w:lang w:bidi="ru-RU"/>
        </w:rPr>
        <w:softHyphen/>
        <w:t>можности сочетания «штурмовика и лег</w:t>
      </w:r>
      <w:r w:rsidRPr="00507A31">
        <w:rPr>
          <w:color w:val="0070C0"/>
          <w:sz w:val="16"/>
          <w:szCs w:val="16"/>
          <w:lang w:bidi="ru-RU"/>
        </w:rPr>
        <w:softHyphen/>
        <w:t>кого бомбардировщика в одном само</w:t>
      </w:r>
      <w:r w:rsidRPr="00507A31">
        <w:rPr>
          <w:color w:val="0070C0"/>
          <w:sz w:val="16"/>
          <w:szCs w:val="16"/>
          <w:lang w:bidi="ru-RU"/>
        </w:rPr>
        <w:softHyphen/>
        <w:t>лете». На первый план выдвигалось тре</w:t>
      </w:r>
      <w:r w:rsidRPr="00507A31">
        <w:rPr>
          <w:color w:val="0070C0"/>
          <w:sz w:val="16"/>
          <w:szCs w:val="16"/>
          <w:lang w:bidi="ru-RU"/>
        </w:rPr>
        <w:softHyphen/>
        <w:t>бование высокой маневренности для штурмовика, даже в ущерб его защи</w:t>
      </w:r>
      <w:r w:rsidRPr="00507A31">
        <w:rPr>
          <w:color w:val="0070C0"/>
          <w:sz w:val="16"/>
          <w:szCs w:val="16"/>
          <w:lang w:bidi="ru-RU"/>
        </w:rPr>
        <w:softHyphen/>
        <w:t>щенности броней: ««Основное требова</w:t>
      </w:r>
      <w:r w:rsidRPr="00507A31">
        <w:rPr>
          <w:color w:val="0070C0"/>
          <w:sz w:val="16"/>
          <w:szCs w:val="16"/>
          <w:lang w:bidi="ru-RU"/>
        </w:rPr>
        <w:softHyphen/>
        <w:t>ние к штурмовику - это маневренность. Если все забронировать - маневренность сильно падает, а отсюда подход и уход за</w:t>
      </w:r>
      <w:r w:rsidRPr="00507A31">
        <w:rPr>
          <w:color w:val="0070C0"/>
          <w:sz w:val="16"/>
          <w:szCs w:val="16"/>
          <w:lang w:bidi="ru-RU"/>
        </w:rPr>
        <w:softHyphen/>
        <w:t>труднится».</w:t>
      </w:r>
    </w:p>
    <w:p w14:paraId="7BD9DD86" w14:textId="77777777" w:rsidR="005F3A58" w:rsidRPr="00507A31" w:rsidRDefault="005F3A58" w:rsidP="00507A31">
      <w:pPr>
        <w:jc w:val="both"/>
        <w:rPr>
          <w:color w:val="0070C0"/>
          <w:sz w:val="16"/>
          <w:szCs w:val="16"/>
        </w:rPr>
      </w:pPr>
      <w:r w:rsidRPr="00507A31">
        <w:rPr>
          <w:color w:val="0070C0"/>
          <w:sz w:val="16"/>
          <w:szCs w:val="16"/>
          <w:lang w:bidi="ru-RU"/>
        </w:rPr>
        <w:t>Черту дискуссии подвел председатель комиссии Хандожко: «Так как макет са</w:t>
      </w:r>
      <w:r w:rsidRPr="00507A31">
        <w:rPr>
          <w:color w:val="0070C0"/>
          <w:sz w:val="16"/>
          <w:szCs w:val="16"/>
          <w:lang w:bidi="ru-RU"/>
        </w:rPr>
        <w:softHyphen/>
        <w:t>молета уже построен и самолет должен быть выпущен в сентябре месяце, то мы должны исходить из уже существующих составленных ЦКБ технических требова</w:t>
      </w:r>
      <w:r w:rsidRPr="00507A31">
        <w:rPr>
          <w:color w:val="0070C0"/>
          <w:sz w:val="16"/>
          <w:szCs w:val="16"/>
          <w:lang w:bidi="ru-RU"/>
        </w:rPr>
        <w:softHyphen/>
        <w:t>ний. /.../ Так как самолет является опыт</w:t>
      </w:r>
      <w:r w:rsidRPr="00507A31">
        <w:rPr>
          <w:color w:val="0070C0"/>
          <w:sz w:val="16"/>
          <w:szCs w:val="16"/>
          <w:lang w:bidi="ru-RU"/>
        </w:rPr>
        <w:softHyphen/>
        <w:t>ным, нужно его строить в таком виде, как предлагает ЦКБ с минимальными измене</w:t>
      </w:r>
      <w:r w:rsidRPr="00507A31">
        <w:rPr>
          <w:color w:val="0070C0"/>
          <w:sz w:val="16"/>
          <w:szCs w:val="16"/>
          <w:lang w:bidi="ru-RU"/>
        </w:rPr>
        <w:softHyphen/>
        <w:t>ниями». При этом если «ЦАГИ будет стро</w:t>
      </w:r>
      <w:r w:rsidRPr="00507A31">
        <w:rPr>
          <w:color w:val="0070C0"/>
          <w:sz w:val="16"/>
          <w:szCs w:val="16"/>
          <w:lang w:bidi="ru-RU"/>
        </w:rPr>
        <w:softHyphen/>
        <w:t>ить тяжелый штурмовик, то /.../ этот са</w:t>
      </w:r>
      <w:r w:rsidRPr="00507A31">
        <w:rPr>
          <w:color w:val="0070C0"/>
          <w:sz w:val="16"/>
          <w:szCs w:val="16"/>
          <w:lang w:bidi="ru-RU"/>
        </w:rPr>
        <w:softHyphen/>
        <w:t>молет будем рассматривать, как легкий штурмовик и оставим его в таком виде, как предлагает ЦКБ», если же «ЦАГИ не будет строить тяжелый штурмовик, тогда дело меняется, /.../ он станет тяжелым штурмовиком» и бронирование самолета следует усилить. С предложением Хан- дожко члены комиссии согласились.</w:t>
      </w:r>
    </w:p>
    <w:p w14:paraId="70144527" w14:textId="77777777" w:rsidR="005F3A58" w:rsidRPr="00507A31" w:rsidRDefault="005F3A58" w:rsidP="00507A31">
      <w:pPr>
        <w:jc w:val="both"/>
        <w:rPr>
          <w:color w:val="0070C0"/>
          <w:sz w:val="16"/>
          <w:szCs w:val="16"/>
        </w:rPr>
      </w:pPr>
      <w:r w:rsidRPr="00507A31">
        <w:rPr>
          <w:color w:val="0070C0"/>
          <w:sz w:val="16"/>
          <w:szCs w:val="16"/>
          <w:lang w:bidi="ru-RU"/>
        </w:rPr>
        <w:t>В заключительной части протокола записали:</w:t>
      </w:r>
    </w:p>
    <w:p w14:paraId="54ADE386" w14:textId="77777777" w:rsidR="005F3A58" w:rsidRPr="00507A31" w:rsidRDefault="005F3A58" w:rsidP="00507A31">
      <w:pPr>
        <w:jc w:val="both"/>
        <w:rPr>
          <w:color w:val="0070C0"/>
          <w:sz w:val="16"/>
          <w:szCs w:val="16"/>
        </w:rPr>
      </w:pPr>
      <w:r w:rsidRPr="00507A31">
        <w:rPr>
          <w:color w:val="0070C0"/>
          <w:sz w:val="16"/>
          <w:szCs w:val="16"/>
          <w:lang w:bidi="ru-RU"/>
        </w:rPr>
        <w:t>«1. Принципиально считать обязатель</w:t>
      </w:r>
      <w:r w:rsidRPr="00507A31">
        <w:rPr>
          <w:color w:val="0070C0"/>
          <w:sz w:val="16"/>
          <w:szCs w:val="16"/>
          <w:lang w:bidi="ru-RU"/>
        </w:rPr>
        <w:softHyphen/>
        <w:t>ным, чтобы штурмовик имел металличе</w:t>
      </w:r>
      <w:r w:rsidRPr="00507A31">
        <w:rPr>
          <w:color w:val="0070C0"/>
          <w:sz w:val="16"/>
          <w:szCs w:val="16"/>
          <w:lang w:bidi="ru-RU"/>
        </w:rPr>
        <w:softHyphen/>
        <w:t>ский остов как фюзеляжа, так и плоско</w:t>
      </w:r>
      <w:r w:rsidRPr="00507A31">
        <w:rPr>
          <w:color w:val="0070C0"/>
          <w:sz w:val="16"/>
          <w:szCs w:val="16"/>
          <w:lang w:bidi="ru-RU"/>
        </w:rPr>
        <w:softHyphen/>
        <w:t>стей, с многолонжеронным крылом. В слу</w:t>
      </w:r>
      <w:r w:rsidRPr="00507A31">
        <w:rPr>
          <w:color w:val="0070C0"/>
          <w:sz w:val="16"/>
          <w:szCs w:val="16"/>
          <w:lang w:bidi="ru-RU"/>
        </w:rPr>
        <w:softHyphen/>
        <w:t>чае невозможности, применительно к данному типу самолета, в производствен</w:t>
      </w:r>
      <w:r w:rsidRPr="00507A31">
        <w:rPr>
          <w:color w:val="0070C0"/>
          <w:sz w:val="16"/>
          <w:szCs w:val="16"/>
          <w:lang w:bidi="ru-RU"/>
        </w:rPr>
        <w:softHyphen/>
        <w:t>ном отношении осуществить обшивку са</w:t>
      </w:r>
      <w:r w:rsidRPr="00507A31">
        <w:rPr>
          <w:color w:val="0070C0"/>
          <w:sz w:val="16"/>
          <w:szCs w:val="16"/>
          <w:lang w:bidi="ru-RU"/>
        </w:rPr>
        <w:softHyphen/>
        <w:t>молета металлом, допустить полотняную огнеупорную обшивку.</w:t>
      </w:r>
    </w:p>
    <w:p w14:paraId="2DFE7D59" w14:textId="77777777" w:rsidR="005F3A58" w:rsidRPr="00507A31" w:rsidRDefault="005F3A58" w:rsidP="00507A31">
      <w:pPr>
        <w:jc w:val="both"/>
        <w:rPr>
          <w:color w:val="0070C0"/>
          <w:sz w:val="16"/>
          <w:szCs w:val="16"/>
        </w:rPr>
      </w:pPr>
      <w:r w:rsidRPr="00507A31">
        <w:rPr>
          <w:color w:val="0070C0"/>
          <w:sz w:val="16"/>
          <w:szCs w:val="16"/>
          <w:lang w:bidi="ru-RU"/>
        </w:rPr>
        <w:t>2. Так как по заявлению ЦКБ осущест</w:t>
      </w:r>
      <w:r w:rsidRPr="00507A31">
        <w:rPr>
          <w:color w:val="0070C0"/>
          <w:sz w:val="16"/>
          <w:szCs w:val="16"/>
          <w:lang w:bidi="ru-RU"/>
        </w:rPr>
        <w:softHyphen/>
        <w:t>вление металлических крыльев на первых двух опытных самолетах вызовет задер</w:t>
      </w:r>
      <w:r w:rsidRPr="00507A31">
        <w:rPr>
          <w:color w:val="0070C0"/>
          <w:sz w:val="16"/>
          <w:szCs w:val="16"/>
          <w:lang w:bidi="ru-RU"/>
        </w:rPr>
        <w:softHyphen/>
        <w:t>жку в выпуске этих самолетов в пределах до 1-го месяца /.../, считать необходимым вопрос о металлических крыльях на пер</w:t>
      </w:r>
      <w:r w:rsidRPr="00507A31">
        <w:rPr>
          <w:color w:val="0070C0"/>
          <w:sz w:val="16"/>
          <w:szCs w:val="16"/>
          <w:lang w:bidi="ru-RU"/>
        </w:rPr>
        <w:softHyphen/>
        <w:t>вых 2-х опытных самолетах поставить на разрешение начальника ВВС КА.</w:t>
      </w:r>
    </w:p>
    <w:p w14:paraId="171B87DE" w14:textId="77777777" w:rsidR="005F3A58" w:rsidRPr="00507A31" w:rsidRDefault="005F3A58" w:rsidP="00507A31">
      <w:pPr>
        <w:jc w:val="both"/>
        <w:rPr>
          <w:color w:val="0070C0"/>
          <w:sz w:val="16"/>
          <w:szCs w:val="16"/>
        </w:rPr>
      </w:pPr>
      <w:r w:rsidRPr="00507A31">
        <w:rPr>
          <w:color w:val="0070C0"/>
          <w:sz w:val="16"/>
          <w:szCs w:val="16"/>
          <w:lang w:bidi="ru-RU"/>
        </w:rPr>
        <w:t>3. Схему самолета и макет утвердить со следующими изменениями:</w:t>
      </w:r>
    </w:p>
    <w:p w14:paraId="1637FC89" w14:textId="77777777" w:rsidR="005F3A58" w:rsidRPr="00507A31" w:rsidRDefault="005F3A58" w:rsidP="00507A31">
      <w:pPr>
        <w:widowControl w:val="0"/>
        <w:tabs>
          <w:tab w:val="left" w:pos="534"/>
        </w:tabs>
        <w:jc w:val="both"/>
        <w:rPr>
          <w:color w:val="0070C0"/>
          <w:sz w:val="16"/>
          <w:szCs w:val="16"/>
        </w:rPr>
      </w:pPr>
      <w:r w:rsidRPr="00507A31">
        <w:rPr>
          <w:color w:val="0070C0"/>
          <w:sz w:val="16"/>
          <w:szCs w:val="16"/>
          <w:lang w:bidi="ru-RU"/>
        </w:rPr>
        <w:t>а) Считать необходимым заброниро</w:t>
      </w:r>
      <w:r w:rsidRPr="00507A31">
        <w:rPr>
          <w:color w:val="0070C0"/>
          <w:sz w:val="16"/>
          <w:szCs w:val="16"/>
          <w:lang w:bidi="ru-RU"/>
        </w:rPr>
        <w:softHyphen/>
        <w:t>вать летнаба в сидячем положении от по</w:t>
      </w:r>
      <w:r w:rsidRPr="00507A31">
        <w:rPr>
          <w:color w:val="0070C0"/>
          <w:sz w:val="16"/>
          <w:szCs w:val="16"/>
          <w:lang w:bidi="ru-RU"/>
        </w:rPr>
        <w:softHyphen/>
        <w:t>ражении с земли, предоставив ему пол</w:t>
      </w:r>
      <w:r w:rsidRPr="00507A31">
        <w:rPr>
          <w:color w:val="0070C0"/>
          <w:sz w:val="16"/>
          <w:szCs w:val="16"/>
          <w:lang w:bidi="ru-RU"/>
        </w:rPr>
        <w:softHyphen/>
        <w:t>ную свободу действий пулеметом для воздушного боя;</w:t>
      </w:r>
    </w:p>
    <w:p w14:paraId="7CDFBFAD" w14:textId="77777777" w:rsidR="005F3A58" w:rsidRPr="00507A31" w:rsidRDefault="005F3A58" w:rsidP="00507A31">
      <w:pPr>
        <w:widowControl w:val="0"/>
        <w:tabs>
          <w:tab w:val="left" w:pos="543"/>
        </w:tabs>
        <w:jc w:val="both"/>
        <w:rPr>
          <w:color w:val="0070C0"/>
          <w:sz w:val="16"/>
          <w:szCs w:val="16"/>
        </w:rPr>
      </w:pPr>
      <w:r w:rsidRPr="00507A31">
        <w:rPr>
          <w:color w:val="0070C0"/>
          <w:sz w:val="16"/>
          <w:szCs w:val="16"/>
          <w:lang w:bidi="ru-RU"/>
        </w:rPr>
        <w:t>б) Считать необходимым поднять броню насколько возможно кверху (с бо</w:t>
      </w:r>
      <w:r w:rsidRPr="00507A31">
        <w:rPr>
          <w:color w:val="0070C0"/>
          <w:sz w:val="16"/>
          <w:szCs w:val="16"/>
          <w:lang w:bidi="ru-RU"/>
        </w:rPr>
        <w:softHyphen/>
        <w:t>ков) с целью защиты распределительных валиков;</w:t>
      </w:r>
    </w:p>
    <w:p w14:paraId="2EC93A9F" w14:textId="77777777" w:rsidR="005F3A58" w:rsidRPr="00507A31" w:rsidRDefault="005F3A58" w:rsidP="00507A31">
      <w:pPr>
        <w:widowControl w:val="0"/>
        <w:tabs>
          <w:tab w:val="left" w:pos="548"/>
        </w:tabs>
        <w:jc w:val="both"/>
        <w:rPr>
          <w:color w:val="0070C0"/>
          <w:sz w:val="16"/>
          <w:szCs w:val="16"/>
        </w:rPr>
      </w:pPr>
      <w:r w:rsidRPr="00507A31">
        <w:rPr>
          <w:color w:val="0070C0"/>
          <w:sz w:val="16"/>
          <w:szCs w:val="16"/>
          <w:lang w:bidi="ru-RU"/>
        </w:rPr>
        <w:t>в) В кабине стрелка поставить пуле</w:t>
      </w:r>
      <w:r w:rsidRPr="00507A31">
        <w:rPr>
          <w:color w:val="0070C0"/>
          <w:sz w:val="16"/>
          <w:szCs w:val="16"/>
          <w:lang w:bidi="ru-RU"/>
        </w:rPr>
        <w:softHyphen/>
        <w:t>мет ПВ-1. Количество патрон к нему 600</w:t>
      </w:r>
      <w:r w:rsidRPr="00507A31">
        <w:rPr>
          <w:color w:val="0070C0"/>
          <w:sz w:val="16"/>
          <w:szCs w:val="16"/>
          <w:lang w:bidi="ru-RU"/>
        </w:rPr>
        <w:softHyphen/>
        <w:t>750 с допуском не более 3-х зарядов (три ленты по 200-250 патронов - прим. авт.);</w:t>
      </w:r>
    </w:p>
    <w:p w14:paraId="78DAB974" w14:textId="77777777" w:rsidR="005F3A58" w:rsidRPr="00507A31" w:rsidRDefault="005F3A58" w:rsidP="00507A31">
      <w:pPr>
        <w:widowControl w:val="0"/>
        <w:tabs>
          <w:tab w:val="left" w:pos="524"/>
        </w:tabs>
        <w:jc w:val="both"/>
        <w:rPr>
          <w:color w:val="0070C0"/>
          <w:sz w:val="16"/>
          <w:szCs w:val="16"/>
        </w:rPr>
      </w:pPr>
      <w:r w:rsidRPr="00507A31">
        <w:rPr>
          <w:color w:val="0070C0"/>
          <w:sz w:val="16"/>
          <w:szCs w:val="16"/>
          <w:lang w:bidi="ru-RU"/>
        </w:rPr>
        <w:t>г) Предусмотреть возможность предо</w:t>
      </w:r>
      <w:r w:rsidRPr="00507A31">
        <w:rPr>
          <w:color w:val="0070C0"/>
          <w:sz w:val="16"/>
          <w:szCs w:val="16"/>
          <w:lang w:bidi="ru-RU"/>
        </w:rPr>
        <w:softHyphen/>
        <w:t>хранения пулеметов под крыльями при авариях и легкую съемку и подвеску их;</w:t>
      </w:r>
    </w:p>
    <w:p w14:paraId="7A099338" w14:textId="77777777" w:rsidR="005F3A58" w:rsidRPr="00507A31" w:rsidRDefault="005F3A58" w:rsidP="00507A31">
      <w:pPr>
        <w:widowControl w:val="0"/>
        <w:tabs>
          <w:tab w:val="left" w:pos="543"/>
        </w:tabs>
        <w:jc w:val="both"/>
        <w:rPr>
          <w:color w:val="0070C0"/>
          <w:sz w:val="16"/>
          <w:szCs w:val="16"/>
        </w:rPr>
      </w:pPr>
      <w:r w:rsidRPr="00507A31">
        <w:rPr>
          <w:color w:val="0070C0"/>
          <w:sz w:val="16"/>
          <w:szCs w:val="16"/>
          <w:lang w:bidi="ru-RU"/>
        </w:rPr>
        <w:t>д) Считать необходимым осуществить конструкцию бензиновых баков, позволя</w:t>
      </w:r>
      <w:r w:rsidRPr="00507A31">
        <w:rPr>
          <w:color w:val="0070C0"/>
          <w:sz w:val="16"/>
          <w:szCs w:val="16"/>
          <w:lang w:bidi="ru-RU"/>
        </w:rPr>
        <w:softHyphen/>
        <w:t>ющую возможно легкое сбрасывание их;</w:t>
      </w:r>
    </w:p>
    <w:p w14:paraId="5C61C3C1" w14:textId="77777777" w:rsidR="005F3A58" w:rsidRPr="00507A31" w:rsidRDefault="005F3A58" w:rsidP="00507A31">
      <w:pPr>
        <w:widowControl w:val="0"/>
        <w:tabs>
          <w:tab w:val="left" w:pos="534"/>
        </w:tabs>
        <w:jc w:val="both"/>
        <w:rPr>
          <w:color w:val="0070C0"/>
          <w:sz w:val="16"/>
          <w:szCs w:val="16"/>
        </w:rPr>
      </w:pPr>
      <w:r w:rsidRPr="00507A31">
        <w:rPr>
          <w:color w:val="0070C0"/>
          <w:sz w:val="16"/>
          <w:szCs w:val="16"/>
          <w:lang w:bidi="ru-RU"/>
        </w:rPr>
        <w:t>е) В связи с затруднениями, вызы</w:t>
      </w:r>
      <w:r w:rsidRPr="00507A31">
        <w:rPr>
          <w:color w:val="0070C0"/>
          <w:sz w:val="16"/>
          <w:szCs w:val="16"/>
          <w:lang w:bidi="ru-RU"/>
        </w:rPr>
        <w:softHyphen/>
        <w:t>ваемыми бронированием кабины лет- наба, а также малой вероятности исполь</w:t>
      </w:r>
      <w:r w:rsidRPr="00507A31">
        <w:rPr>
          <w:color w:val="0070C0"/>
          <w:sz w:val="16"/>
          <w:szCs w:val="16"/>
          <w:lang w:bidi="ru-RU"/>
        </w:rPr>
        <w:softHyphen/>
        <w:t>зования им двойного управления, считать двойное управление не нужным;</w:t>
      </w:r>
    </w:p>
    <w:p w14:paraId="2D9F990F" w14:textId="77777777" w:rsidR="005F3A58" w:rsidRPr="00507A31" w:rsidRDefault="005F3A58" w:rsidP="00507A31">
      <w:pPr>
        <w:widowControl w:val="0"/>
        <w:tabs>
          <w:tab w:val="left" w:pos="562"/>
        </w:tabs>
        <w:jc w:val="both"/>
        <w:rPr>
          <w:color w:val="0070C0"/>
          <w:sz w:val="16"/>
          <w:szCs w:val="16"/>
          <w:lang w:bidi="ru-RU"/>
        </w:rPr>
      </w:pPr>
      <w:r w:rsidRPr="00507A31">
        <w:rPr>
          <w:color w:val="0070C0"/>
          <w:sz w:val="16"/>
          <w:szCs w:val="16"/>
          <w:lang w:bidi="ru-RU"/>
        </w:rPr>
        <w:t>ж) Считать крайне желательным иметь на данном типе самолета тормоз</w:t>
      </w:r>
      <w:r w:rsidRPr="00507A31">
        <w:rPr>
          <w:color w:val="0070C0"/>
          <w:sz w:val="16"/>
          <w:szCs w:val="16"/>
          <w:lang w:bidi="ru-RU"/>
        </w:rPr>
        <w:softHyphen/>
        <w:t>ные колеса» (21062).</w:t>
      </w:r>
    </w:p>
    <w:p w14:paraId="5EBF9509" w14:textId="77777777" w:rsidR="005F3A58" w:rsidRPr="00507A31" w:rsidRDefault="005F3A58" w:rsidP="00507A31">
      <w:pPr>
        <w:widowControl w:val="0"/>
        <w:tabs>
          <w:tab w:val="left" w:pos="562"/>
        </w:tabs>
        <w:jc w:val="both"/>
        <w:rPr>
          <w:color w:val="0070C0"/>
          <w:sz w:val="16"/>
          <w:szCs w:val="16"/>
        </w:rPr>
      </w:pPr>
    </w:p>
    <w:p w14:paraId="4EF61432" w14:textId="77777777" w:rsidR="00BA5FB9" w:rsidRPr="00507A31" w:rsidRDefault="00BA5FB9" w:rsidP="00507A31">
      <w:pPr>
        <w:jc w:val="both"/>
        <w:rPr>
          <w:color w:val="0070C0"/>
          <w:sz w:val="16"/>
          <w:szCs w:val="16"/>
        </w:rPr>
      </w:pPr>
      <w:r w:rsidRPr="00507A31">
        <w:rPr>
          <w:color w:val="0070C0"/>
          <w:sz w:val="16"/>
          <w:szCs w:val="16"/>
          <w:lang w:bidi="ru-RU"/>
        </w:rPr>
        <w:t>1 августа 1930 г. ЦКБ официально предъявила комиссии ВВС (от НТК УВВС и НИИ ВВС) макет легкого бронирован</w:t>
      </w:r>
      <w:r w:rsidRPr="00507A31">
        <w:rPr>
          <w:color w:val="0070C0"/>
          <w:sz w:val="16"/>
          <w:szCs w:val="16"/>
          <w:lang w:bidi="ru-RU"/>
        </w:rPr>
        <w:softHyphen/>
        <w:t>ного штурмовика типа Ш с мотором М-27. После обмена мнениями решили еще раз провести осмотр макета, но расширенным составом с привлечением представителей от УВВС и строевых частей. К этому дню НТК УВВС должен был отработать так</w:t>
      </w:r>
      <w:r w:rsidRPr="00507A31">
        <w:rPr>
          <w:color w:val="0070C0"/>
          <w:sz w:val="16"/>
          <w:szCs w:val="16"/>
          <w:lang w:bidi="ru-RU"/>
        </w:rPr>
        <w:softHyphen/>
        <w:t>тико-технические требования к самолету и доложить их на совещании.</w:t>
      </w:r>
    </w:p>
    <w:p w14:paraId="5171A418" w14:textId="77777777" w:rsidR="00BA5FB9" w:rsidRPr="00507A31" w:rsidRDefault="00BA5FB9" w:rsidP="00507A31">
      <w:pPr>
        <w:jc w:val="both"/>
        <w:rPr>
          <w:color w:val="0070C0"/>
          <w:sz w:val="16"/>
          <w:szCs w:val="16"/>
          <w:lang w:bidi="ru-RU"/>
        </w:rPr>
      </w:pPr>
      <w:r w:rsidRPr="00507A31">
        <w:rPr>
          <w:color w:val="0070C0"/>
          <w:sz w:val="16"/>
          <w:szCs w:val="16"/>
          <w:lang w:bidi="ru-RU"/>
        </w:rPr>
        <w:t xml:space="preserve">состоялся уже </w:t>
      </w:r>
    </w:p>
    <w:p w14:paraId="0FB11612" w14:textId="77777777" w:rsidR="00BA5FB9" w:rsidRPr="00507A31" w:rsidRDefault="00BA5FB9" w:rsidP="00507A31">
      <w:pPr>
        <w:jc w:val="both"/>
        <w:rPr>
          <w:color w:val="0070C0"/>
          <w:sz w:val="16"/>
          <w:szCs w:val="16"/>
          <w:lang w:bidi="ru-RU"/>
        </w:rPr>
      </w:pPr>
    </w:p>
    <w:p w14:paraId="17A872DA" w14:textId="77777777" w:rsidR="00BA5FB9" w:rsidRPr="00507A31" w:rsidRDefault="00BA5FB9" w:rsidP="00507A31">
      <w:pPr>
        <w:shd w:val="clear" w:color="auto" w:fill="FFFFFF"/>
        <w:jc w:val="both"/>
        <w:textAlignment w:val="baseline"/>
        <w:rPr>
          <w:color w:val="0070C0"/>
          <w:sz w:val="16"/>
          <w:szCs w:val="16"/>
        </w:rPr>
      </w:pPr>
      <w:r w:rsidRPr="00507A31">
        <w:rPr>
          <w:color w:val="0070C0"/>
          <w:sz w:val="16"/>
          <w:szCs w:val="16"/>
        </w:rPr>
        <w:t>1 августа 1930 в 9 часов 11 минут из севастопольской бухты Голландия «Дорнье Валь» 9-й авиабригады, за штурвалами которых находились летчики А.В. Кржижевский и Рутковский отправились по маршруту Севастополь – Киев – Ленинград и обратно. В 16 часов 10 минут гидросамолеты при проливном дожде опустились на Днепре в Киеве. 2 августа в 5 часов 47 минут утра стартовали на Ленинград, куда благополучно прибыли в середине дня. В 14 часов 8 минут, пробыв в воздухе 8 часов 21 минуту, все три «Валя» приводнились в акватории Гребного порта.</w:t>
      </w:r>
    </w:p>
    <w:p w14:paraId="344AE585" w14:textId="77777777" w:rsidR="00BA5FB9" w:rsidRPr="00507A31" w:rsidRDefault="00BA5FB9" w:rsidP="00507A31">
      <w:pPr>
        <w:shd w:val="clear" w:color="auto" w:fill="FFFFFF"/>
        <w:jc w:val="both"/>
        <w:textAlignment w:val="baseline"/>
        <w:rPr>
          <w:color w:val="0070C0"/>
          <w:sz w:val="16"/>
          <w:szCs w:val="16"/>
        </w:rPr>
      </w:pPr>
      <w:r w:rsidRPr="00507A31">
        <w:rPr>
          <w:color w:val="0070C0"/>
          <w:sz w:val="16"/>
          <w:szCs w:val="16"/>
        </w:rPr>
        <w:t>После двухдневного отдыха, утром 5 августа в 10 часов 54 минуты, самолеты стартовали в обратный путь. Курс держали первоначально вдоль реки Волхов, затем довернули на Киев.</w:t>
      </w:r>
    </w:p>
    <w:p w14:paraId="3853EE5E" w14:textId="77777777" w:rsidR="00BA5FB9" w:rsidRPr="00507A31" w:rsidRDefault="00BA5FB9" w:rsidP="00507A31">
      <w:pPr>
        <w:shd w:val="clear" w:color="auto" w:fill="FFFFFF"/>
        <w:jc w:val="both"/>
        <w:textAlignment w:val="baseline"/>
        <w:rPr>
          <w:color w:val="0070C0"/>
          <w:sz w:val="16"/>
          <w:szCs w:val="16"/>
        </w:rPr>
      </w:pPr>
      <w:r w:rsidRPr="00507A31">
        <w:rPr>
          <w:color w:val="0070C0"/>
          <w:sz w:val="16"/>
          <w:szCs w:val="16"/>
        </w:rPr>
        <w:t>Из Киева вылетели утром 7 августа в 5 часов 50 минут, а в 8 часов 5 минут утра самолет летчика Кржижевского, в результате отказа двигателей (механик своевременно не переключил баки с горючим), совершил вынужденную посадку на сушу у села Акимовка вблизи Верхне-Днепровска. Две других лодки приводнились поблизости на Днепре. После того как выяснилось, что гидросамолет не пострадал, два «Валя» в тот же день в 18 часов 45 минут вернулись в Севастополь.</w:t>
      </w:r>
    </w:p>
    <w:p w14:paraId="06EC57D4" w14:textId="77777777" w:rsidR="00BA5FB9" w:rsidRPr="00507A31" w:rsidRDefault="00BA5FB9" w:rsidP="00507A31">
      <w:pPr>
        <w:shd w:val="clear" w:color="auto" w:fill="FFFFFF"/>
        <w:jc w:val="both"/>
        <w:textAlignment w:val="baseline"/>
        <w:rPr>
          <w:color w:val="0070C0"/>
          <w:sz w:val="16"/>
          <w:szCs w:val="16"/>
        </w:rPr>
      </w:pPr>
      <w:r w:rsidRPr="00507A31">
        <w:rPr>
          <w:color w:val="0070C0"/>
          <w:sz w:val="16"/>
          <w:szCs w:val="16"/>
        </w:rPr>
        <w:t>Весь перелет от Севастополя до Ленинграда и обратно был совершен за 30 часов 53 минуты полетного времени. Полет проходил на высотах от 10 до 1700 метров (21249).</w:t>
      </w:r>
    </w:p>
    <w:p w14:paraId="33F22507" w14:textId="77777777" w:rsidR="00BA5FB9" w:rsidRPr="00507A31" w:rsidRDefault="00BA5FB9" w:rsidP="00507A31">
      <w:pPr>
        <w:jc w:val="both"/>
        <w:rPr>
          <w:color w:val="0070C0"/>
          <w:sz w:val="16"/>
          <w:szCs w:val="16"/>
          <w:lang w:bidi="ru-RU"/>
        </w:rPr>
      </w:pPr>
    </w:p>
    <w:p w14:paraId="66FFE117" w14:textId="77777777" w:rsidR="0066171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16B2346" w14:textId="77777777" w:rsidR="00661719" w:rsidRPr="00507A31" w:rsidRDefault="00661719" w:rsidP="00507A31">
      <w:pPr>
        <w:autoSpaceDE w:val="0"/>
        <w:autoSpaceDN w:val="0"/>
        <w:adjustRightInd w:val="0"/>
        <w:jc w:val="both"/>
        <w:rPr>
          <w:iCs/>
          <w:color w:val="000000" w:themeColor="text1"/>
          <w:sz w:val="16"/>
          <w:szCs w:val="16"/>
        </w:rPr>
      </w:pPr>
    </w:p>
    <w:p w14:paraId="0634E7D6" w14:textId="77777777" w:rsidR="00FA5F0C" w:rsidRPr="00507A31" w:rsidRDefault="00FA5F0C" w:rsidP="00507A31">
      <w:pPr>
        <w:widowControl w:val="0"/>
        <w:jc w:val="both"/>
        <w:rPr>
          <w:color w:val="000000" w:themeColor="text1"/>
          <w:sz w:val="16"/>
          <w:szCs w:val="16"/>
        </w:rPr>
      </w:pPr>
      <w:r w:rsidRPr="00507A31">
        <w:rPr>
          <w:color w:val="000000" w:themeColor="text1"/>
          <w:sz w:val="16"/>
          <w:szCs w:val="16"/>
        </w:rPr>
        <w:t xml:space="preserve">К 1 августа </w:t>
      </w:r>
      <w:smartTag w:uri="urn:schemas-microsoft-com:office:smarttags" w:element="metricconverter">
        <w:smartTagPr>
          <w:attr w:name="ProductID" w:val="1945 г"/>
        </w:smartTagPr>
        <w:r w:rsidRPr="00507A31">
          <w:rPr>
            <w:color w:val="000000" w:themeColor="text1"/>
            <w:sz w:val="16"/>
            <w:szCs w:val="16"/>
          </w:rPr>
          <w:t>1930 г</w:t>
        </w:r>
      </w:smartTag>
      <w:r w:rsidRPr="00507A31">
        <w:rPr>
          <w:color w:val="000000" w:themeColor="text1"/>
          <w:sz w:val="16"/>
          <w:szCs w:val="16"/>
        </w:rPr>
        <w:t xml:space="preserve">. на стройке ГАЗ насчитывалось 9130 человек, а требовалось по крайней мере в 2 раза больше. Не хватало каменщиков, плотников, бетонщиков, штукатуров, землекопов. Имелось всего 10 экскаваторов с ковшом емкостью в </w:t>
      </w:r>
      <w:smartTag w:uri="urn:schemas-microsoft-com:office:smarttags" w:element="metricconverter">
        <w:smartTagPr>
          <w:attr w:name="ProductID" w:val="1945 г"/>
        </w:smartTagPr>
        <w:r w:rsidRPr="00507A31">
          <w:rPr>
            <w:color w:val="000000" w:themeColor="text1"/>
            <w:sz w:val="16"/>
            <w:szCs w:val="16"/>
          </w:rPr>
          <w:t>0,57 куб. м</w:t>
        </w:r>
      </w:smartTag>
      <w:r w:rsidRPr="00507A31">
        <w:rPr>
          <w:color w:val="000000" w:themeColor="text1"/>
          <w:sz w:val="16"/>
          <w:szCs w:val="16"/>
        </w:rPr>
        <w:t>. На 88% земляные работы выполнялись конно-ручным способом. К 1 августа годовая программа по промышленному строительству была выполнена лишь на 15,5%, по жилищному (Соцгород) – только на 9,5%. Трудности пытались использовать проникшие на стройку антисоветские элементы. Преднамеренной поломкой выводились из строя гравиемойки и транспортеры. Остродефицитные материалы использовались на второстепенные объекты: например, каркасные доски для постройки домов расходовались на чаны, корыта и т.п (15218).</w:t>
      </w:r>
    </w:p>
    <w:p w14:paraId="36AEA116" w14:textId="77777777" w:rsidR="00FA5F0C" w:rsidRPr="00507A31" w:rsidRDefault="00FA5F0C" w:rsidP="00507A31">
      <w:pPr>
        <w:widowControl w:val="0"/>
        <w:jc w:val="both"/>
        <w:rPr>
          <w:color w:val="000000" w:themeColor="text1"/>
          <w:sz w:val="16"/>
          <w:szCs w:val="16"/>
        </w:rPr>
      </w:pPr>
    </w:p>
    <w:p w14:paraId="64668BA2" w14:textId="77777777" w:rsidR="00FA5F0C" w:rsidRPr="00507A31" w:rsidRDefault="00FA5F0C" w:rsidP="00507A31">
      <w:pPr>
        <w:jc w:val="both"/>
        <w:rPr>
          <w:color w:val="000000" w:themeColor="text1"/>
          <w:sz w:val="16"/>
          <w:szCs w:val="16"/>
        </w:rPr>
      </w:pPr>
      <w:r w:rsidRPr="00507A31">
        <w:rPr>
          <w:color w:val="000000" w:themeColor="text1"/>
          <w:sz w:val="16"/>
          <w:szCs w:val="16"/>
        </w:rPr>
        <w:t>1 августа в 1930 году в Москве организован Научно-исследовательский институт питания (с 1944 г. – НИИ Академии Медицинских Наук СССР (Российской Академии Медицинских Наук) (14970).</w:t>
      </w:r>
    </w:p>
    <w:p w14:paraId="4D07C11C" w14:textId="77777777" w:rsidR="00FA5F0C" w:rsidRPr="00507A31" w:rsidRDefault="00FA5F0C" w:rsidP="00507A31">
      <w:pPr>
        <w:jc w:val="both"/>
        <w:rPr>
          <w:color w:val="000000" w:themeColor="text1"/>
          <w:sz w:val="16"/>
          <w:szCs w:val="16"/>
        </w:rPr>
      </w:pPr>
    </w:p>
    <w:p w14:paraId="3D88214B" w14:textId="77777777" w:rsidR="00661719" w:rsidRPr="00507A31" w:rsidRDefault="00661719" w:rsidP="00507A31">
      <w:pPr>
        <w:jc w:val="both"/>
        <w:rPr>
          <w:color w:val="000000" w:themeColor="text1"/>
          <w:sz w:val="16"/>
          <w:szCs w:val="16"/>
        </w:rPr>
      </w:pPr>
      <w:r w:rsidRPr="00507A31">
        <w:rPr>
          <w:color w:val="000000" w:themeColor="text1"/>
          <w:sz w:val="16"/>
          <w:szCs w:val="16"/>
        </w:rPr>
        <w:t>Не ранее 1 августа 1930 г. — Доклад начальника ВМС РККА Р. А. Муклевича наркому по военным и морским делам СССР и председателю Реввоенсовета СССР К. Е. Ворошилову о необходимости создания института военного кораблестроения</w:t>
      </w:r>
    </w:p>
    <w:p w14:paraId="2A721715" w14:textId="77777777" w:rsidR="00661719" w:rsidRPr="00507A31" w:rsidRDefault="00661719" w:rsidP="00507A31">
      <w:pPr>
        <w:pStyle w:val="rtejustify"/>
        <w:spacing w:before="0" w:after="0"/>
        <w:rPr>
          <w:color w:val="000000" w:themeColor="text1"/>
          <w:sz w:val="16"/>
          <w:szCs w:val="16"/>
        </w:rPr>
      </w:pPr>
      <w:r w:rsidRPr="00507A31">
        <w:rPr>
          <w:color w:val="000000" w:themeColor="text1"/>
          <w:sz w:val="16"/>
          <w:szCs w:val="16"/>
        </w:rPr>
        <w:t>Эффективная и успешная постройка военных кораблей возможна лишь на базе достаточно развернутой научно-исследовательской работы в области кораблестроения. Каждый военный корабль должен представлять из себя продукт специального исследования. Стандарт здесь не применим, все элементы военного корабля должны быть «на пределе» возможностей техники, на ее современном уровне, или, вернее, каждый новый корабль является новой ступенью в технике кораблестроения. С этой точки зрения военное кораблестроение сильно отличается от коммерческого. С другой стороны, именно кораблестроение (по сравнению с другими областями техники) является отраслью, требующей особенно большой исследовательской работы. Ни в какой другой отрасли техники эксперимент и исследование не должны являться в такой степени повседневными. Причина этого в том, что наука о корабле до сих пор не имеет еще достаточно надежных теоретических оснований для проектирования. Чтобы определить потребную мощность механизмов проектируемого корабля, необходимо произвести соответствующие испытания его модели, без которых нельзя говорить о точном проекте.</w:t>
      </w:r>
    </w:p>
    <w:p w14:paraId="75EC5C7D" w14:textId="77777777" w:rsidR="00661719" w:rsidRPr="00507A31" w:rsidRDefault="00661719" w:rsidP="00507A31">
      <w:pPr>
        <w:pStyle w:val="rtejustify"/>
        <w:spacing w:before="0" w:after="0"/>
        <w:rPr>
          <w:color w:val="000000" w:themeColor="text1"/>
          <w:sz w:val="16"/>
          <w:szCs w:val="16"/>
        </w:rPr>
      </w:pPr>
      <w:r w:rsidRPr="00507A31">
        <w:rPr>
          <w:color w:val="000000" w:themeColor="text1"/>
          <w:sz w:val="16"/>
          <w:szCs w:val="16"/>
        </w:rPr>
        <w:t>Кораблестроение имеет ряд отраслей, важнейшие из которых: корабельная теплотехника (корабельные котлы, корабельные паровые турбины, корабельные дизельмашины), корабельная электротехника, корпус корабля (теория корабля и строительная механика).</w:t>
      </w:r>
    </w:p>
    <w:p w14:paraId="07A51BC7" w14:textId="77777777" w:rsidR="00661719" w:rsidRPr="00507A31" w:rsidRDefault="00661719" w:rsidP="00507A31">
      <w:pPr>
        <w:pStyle w:val="rtejustify"/>
        <w:spacing w:before="0" w:after="0"/>
        <w:rPr>
          <w:color w:val="000000" w:themeColor="text1"/>
          <w:sz w:val="16"/>
          <w:szCs w:val="16"/>
        </w:rPr>
      </w:pPr>
      <w:r w:rsidRPr="00507A31">
        <w:rPr>
          <w:color w:val="000000" w:themeColor="text1"/>
          <w:sz w:val="16"/>
          <w:szCs w:val="16"/>
        </w:rPr>
        <w:t>До настоящего времени не имеется научно-исследовательского органа, занятого работой в области кораблестроения. В области коммерческого кораблестроения также пока еще не имеется соответствующего учреждения.</w:t>
      </w:r>
    </w:p>
    <w:p w14:paraId="64275837" w14:textId="77777777" w:rsidR="00661719" w:rsidRPr="00507A31" w:rsidRDefault="00661719" w:rsidP="00507A31">
      <w:pPr>
        <w:pStyle w:val="rtejustify"/>
        <w:spacing w:before="0" w:after="0"/>
        <w:rPr>
          <w:color w:val="000000" w:themeColor="text1"/>
          <w:sz w:val="16"/>
          <w:szCs w:val="16"/>
        </w:rPr>
      </w:pPr>
      <w:r w:rsidRPr="00507A31">
        <w:rPr>
          <w:color w:val="000000" w:themeColor="text1"/>
          <w:sz w:val="16"/>
          <w:szCs w:val="16"/>
        </w:rPr>
        <w:t>Хотя в настоящее время и организовались институты (НИСС в ВСНХ, ЦИМТ в НКПС), но все эти институты: 1) не ставят своей целью обслуживание военного кораблестроения; 2) в настоящее время не имеют вовсе никаких лабораторий, их исследовательская роль сводится по этой причине почти к нулю.</w:t>
      </w:r>
    </w:p>
    <w:p w14:paraId="5470154A" w14:textId="77777777" w:rsidR="00661719" w:rsidRPr="00507A31" w:rsidRDefault="00661719" w:rsidP="00507A31">
      <w:pPr>
        <w:pStyle w:val="rtejustify"/>
        <w:spacing w:before="0" w:after="0"/>
        <w:rPr>
          <w:color w:val="000000" w:themeColor="text1"/>
          <w:sz w:val="16"/>
          <w:szCs w:val="16"/>
        </w:rPr>
      </w:pPr>
      <w:r w:rsidRPr="00507A31">
        <w:rPr>
          <w:color w:val="000000" w:themeColor="text1"/>
          <w:sz w:val="16"/>
          <w:szCs w:val="16"/>
        </w:rPr>
        <w:t>Учитывая эти соображения, а также: 1) развертывание научно-исследовательской работы у нас отстало от кораблестроения, между тем как оно должно не только сопутствовать, но даже в известной степени и опережать таковое; 2) спешность и серьезность вопроса; 3) сложность задач военного кораблестроения, нужно признать необходимой организацию собственного института военного кораблестроения, тем более, что материальная база для такого учреждения имеется — это опытовый судостроительный бассейн УВМС и теплотехническая лаборатория Военно-морского инженерного училища им. Дзержинского.</w:t>
      </w:r>
    </w:p>
    <w:p w14:paraId="6AED9385" w14:textId="77777777" w:rsidR="00661719" w:rsidRPr="00507A31" w:rsidRDefault="00661719" w:rsidP="00507A31">
      <w:pPr>
        <w:pStyle w:val="rtejustify"/>
        <w:spacing w:before="0" w:after="0"/>
        <w:rPr>
          <w:color w:val="000000" w:themeColor="text1"/>
          <w:sz w:val="16"/>
          <w:szCs w:val="16"/>
        </w:rPr>
      </w:pPr>
      <w:r w:rsidRPr="00507A31">
        <w:rPr>
          <w:color w:val="000000" w:themeColor="text1"/>
          <w:sz w:val="16"/>
          <w:szCs w:val="16"/>
        </w:rPr>
        <w:t>Опытовый судостроительный бассейн имеет в своем составе: 1) собственно бассейн (гидродинамическую лабораторию) по исследованиям сопротивления корабля и движителям (гребные винты, колеса); 2) механическую лабораторию по исследованию металлов и дерева; 3) физико-химическую лабораторию по исследованию металлов, топлива, смазочных материалов, красок и пр. Теплотехническая лаборатория Военно-морского инженерного училища им. Дзержинского состоит из лабораторий: 1) двигателей внутреннего сгорания и 2) паровых корабельных установок (не закончено).</w:t>
      </w:r>
    </w:p>
    <w:p w14:paraId="374134C7" w14:textId="77777777" w:rsidR="00661719" w:rsidRPr="00507A31" w:rsidRDefault="00661719" w:rsidP="00507A31">
      <w:pPr>
        <w:pStyle w:val="rtejustify"/>
        <w:spacing w:before="0" w:after="0"/>
        <w:rPr>
          <w:color w:val="000000" w:themeColor="text1"/>
          <w:sz w:val="16"/>
          <w:szCs w:val="16"/>
        </w:rPr>
      </w:pPr>
      <w:r w:rsidRPr="00507A31">
        <w:rPr>
          <w:color w:val="000000" w:themeColor="text1"/>
          <w:sz w:val="16"/>
          <w:szCs w:val="16"/>
        </w:rPr>
        <w:t>Опытовый бассейн до сих пор не имел достаточно ясной установки в качестве исследовательского органа, но имел личный состав с большой эрудицией. Самое название бассейна далеко не соответствует ни содержанию работы, ни составу лаборатории этого учреждения. Теплотехническая лаборатория ВМИУ еще не закончена оборудованием, но ее состав достаточно мощен, чтобы удовлетворять на первых порах задачам научного исследования. Объединение этих двух органов в один образует достаточно сильную базу для развертывания института военного кораблестроения.</w:t>
      </w:r>
    </w:p>
    <w:p w14:paraId="5B9279A7" w14:textId="77777777" w:rsidR="00661719" w:rsidRPr="00507A31" w:rsidRDefault="00661719" w:rsidP="00507A31">
      <w:pPr>
        <w:pStyle w:val="rtejustify"/>
        <w:spacing w:before="0" w:after="0"/>
        <w:rPr>
          <w:color w:val="000000" w:themeColor="text1"/>
          <w:sz w:val="16"/>
          <w:szCs w:val="16"/>
        </w:rPr>
      </w:pPr>
      <w:r w:rsidRPr="00507A31">
        <w:rPr>
          <w:color w:val="000000" w:themeColor="text1"/>
          <w:sz w:val="16"/>
          <w:szCs w:val="16"/>
        </w:rPr>
        <w:t>Задачей института явится: 1) экспериментальные и теоретические исследования в области корабельной техники (не боевой); 2) наблюдения на кораблях и изучение опыта службы корабельных корпусов, механизмов и устройств. Экономия, получаемая, благодаря работе научно-исследовательского органа, при постройке корабля, исчисляется весьма значительной суммой. Эта экономия очень сильно возрастает при постройке серии однотипных кораблей.</w:t>
      </w:r>
    </w:p>
    <w:p w14:paraId="1D51E0D3" w14:textId="77777777" w:rsidR="00661719" w:rsidRPr="00507A31" w:rsidRDefault="00661719" w:rsidP="00507A31">
      <w:pPr>
        <w:pStyle w:val="rtejustify"/>
        <w:spacing w:before="0" w:after="0"/>
        <w:rPr>
          <w:color w:val="000000" w:themeColor="text1"/>
          <w:sz w:val="16"/>
          <w:szCs w:val="16"/>
        </w:rPr>
      </w:pPr>
      <w:r w:rsidRPr="00507A31">
        <w:rPr>
          <w:color w:val="000000" w:themeColor="text1"/>
          <w:sz w:val="16"/>
          <w:szCs w:val="16"/>
        </w:rPr>
        <w:lastRenderedPageBreak/>
        <w:t>Без надлежаще поставленной научно-исследовательской работы кораблестроение идет вслепую, неизбежны ошибки весьма серьезного характера. С другой стороны, без исследовательской работы в военном кораблестроении совершенно не достижимы те эффекты в отношении тактических элементов, те достижения, которые только и могут дать техническое превосходство нашему оружию. Постройка нового корабля потеряет смысл, если в этом новом корабле не будет воплощена новая идея, не будут побиты прежние рекорды. Это может дать только соответствующая научно-исследовательская работа.</w:t>
      </w:r>
    </w:p>
    <w:p w14:paraId="692ABA5E" w14:textId="77777777" w:rsidR="00661719" w:rsidRPr="00507A31" w:rsidRDefault="00661719" w:rsidP="00507A31">
      <w:pPr>
        <w:pStyle w:val="rtejustify"/>
        <w:spacing w:before="0" w:after="0"/>
        <w:rPr>
          <w:color w:val="000000" w:themeColor="text1"/>
          <w:sz w:val="16"/>
          <w:szCs w:val="16"/>
        </w:rPr>
      </w:pPr>
      <w:r w:rsidRPr="00507A31">
        <w:rPr>
          <w:color w:val="000000" w:themeColor="text1"/>
          <w:sz w:val="16"/>
          <w:szCs w:val="16"/>
        </w:rPr>
        <w:t>Прошу Вашего распоряжения об организации института военного кораблестроения в составе Военно-морских сил РККА.</w:t>
      </w:r>
    </w:p>
    <w:p w14:paraId="273C9F70" w14:textId="77777777" w:rsidR="00661719" w:rsidRPr="00507A31" w:rsidRDefault="00661719"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Начальник Военно-морских сил РККА </w:t>
      </w:r>
      <w:hyperlink r:id="rId130" w:history="1">
        <w:r w:rsidRPr="00507A31">
          <w:rPr>
            <w:rStyle w:val="af0"/>
            <w:i w:val="0"/>
            <w:color w:val="000000" w:themeColor="text1"/>
            <w:sz w:val="16"/>
            <w:szCs w:val="16"/>
          </w:rPr>
          <w:t>Муклевич</w:t>
        </w:r>
      </w:hyperlink>
    </w:p>
    <w:p w14:paraId="5BBD45C1" w14:textId="77777777" w:rsidR="00661719" w:rsidRPr="00507A31" w:rsidRDefault="00661719"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Примечание</w:t>
      </w:r>
      <w:r w:rsidRPr="00507A31">
        <w:rPr>
          <w:color w:val="000000" w:themeColor="text1"/>
          <w:sz w:val="16"/>
          <w:szCs w:val="16"/>
        </w:rPr>
        <w:t>:</w:t>
      </w:r>
    </w:p>
    <w:p w14:paraId="0729F48E" w14:textId="77777777" w:rsidR="00661719" w:rsidRPr="00507A31" w:rsidRDefault="00661719" w:rsidP="00507A31">
      <w:pPr>
        <w:pStyle w:val="ae"/>
        <w:spacing w:before="0" w:after="0"/>
        <w:jc w:val="both"/>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Датируется по штампу.</w:t>
      </w:r>
    </w:p>
    <w:p w14:paraId="6F978D3A" w14:textId="77777777" w:rsidR="00661719" w:rsidRPr="00507A31" w:rsidRDefault="00661719" w:rsidP="00507A31">
      <w:pPr>
        <w:pStyle w:val="ae"/>
        <w:spacing w:before="0" w:after="0"/>
        <w:jc w:val="both"/>
        <w:rPr>
          <w:color w:val="000000" w:themeColor="text1"/>
          <w:sz w:val="16"/>
          <w:szCs w:val="16"/>
        </w:rPr>
      </w:pPr>
      <w:r w:rsidRPr="00507A31">
        <w:rPr>
          <w:color w:val="000000" w:themeColor="text1"/>
          <w:sz w:val="16"/>
          <w:szCs w:val="16"/>
        </w:rPr>
        <w:t>РГАВМФ. Ф. р-360. Оп. 2. Д. 297. Л. 270-270 об. Копия.</w:t>
      </w:r>
    </w:p>
    <w:p w14:paraId="2411D944" w14:textId="77777777" w:rsidR="00661719" w:rsidRPr="00507A31" w:rsidRDefault="00661719" w:rsidP="00507A31">
      <w:pPr>
        <w:jc w:val="both"/>
        <w:rPr>
          <w:color w:val="000000" w:themeColor="text1"/>
          <w:sz w:val="16"/>
          <w:szCs w:val="16"/>
        </w:rPr>
      </w:pPr>
      <w:r w:rsidRPr="00507A31">
        <w:rPr>
          <w:color w:val="000000" w:themeColor="text1"/>
          <w:sz w:val="16"/>
          <w:szCs w:val="16"/>
        </w:rPr>
        <w:t xml:space="preserve">Архив: РГАВМФ. Ф. р-360. Оп. 2. Д. 297. Л. 270-270 об. Копия. </w:t>
      </w:r>
    </w:p>
    <w:p w14:paraId="5BC8CE75" w14:textId="77777777" w:rsidR="00661719" w:rsidRPr="00507A31" w:rsidRDefault="00661719"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487-488 (12512).</w:t>
      </w:r>
    </w:p>
    <w:p w14:paraId="41A546A8" w14:textId="77777777" w:rsidR="00661719" w:rsidRPr="00507A31" w:rsidRDefault="00661719" w:rsidP="00507A31">
      <w:pPr>
        <w:jc w:val="both"/>
        <w:rPr>
          <w:color w:val="000000" w:themeColor="text1"/>
          <w:sz w:val="16"/>
          <w:szCs w:val="16"/>
        </w:rPr>
      </w:pPr>
    </w:p>
    <w:p w14:paraId="7C9460F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357C315" w14:textId="77777777" w:rsidR="00537E5F" w:rsidRPr="00507A31" w:rsidRDefault="00537E5F" w:rsidP="00507A31">
      <w:pPr>
        <w:autoSpaceDE w:val="0"/>
        <w:autoSpaceDN w:val="0"/>
        <w:adjustRightInd w:val="0"/>
        <w:jc w:val="both"/>
        <w:rPr>
          <w:iCs/>
          <w:color w:val="000000" w:themeColor="text1"/>
          <w:sz w:val="16"/>
          <w:szCs w:val="16"/>
        </w:rPr>
      </w:pPr>
    </w:p>
    <w:p w14:paraId="38E3EC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 с акватории бухты Голландия в 6.30 утра ДВ №2 60-й аэ, ДВ №8 63-й аэ и ДВ командира 9-й авиабригады (здесь указаны бортовые, или т.н. строевые номера самолетов) пошли на взлет. Впрочем, у ДВ №8 сдал кормовой двигатель, и начало старта на пару часов отложили. Вторично взлетели все трое в 9.11, набрали высоту и взяли курс на север. В 16.10 три летающие лодки при проливном дожде опустились на Днепре в Киеве. 2 августа в 5.47 утра стартовали на Ленинград, куда благополучно прибыли в середине дня. В 14 часов 08 минут, пробыв в воздухе 8 часов 21 минуту, все три "Валя" приводнились в акватории Гребного порта.</w:t>
      </w:r>
    </w:p>
    <w:p w14:paraId="1AE366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двухдневного отдыха, утром 5 августа в 10 часов 54 минуты, три ДВ стартовали в обратный путь. Курс держали первоначально вдоль реки Волхов, затем довернули на Киев.</w:t>
      </w:r>
    </w:p>
    <w:p w14:paraId="20CDA9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0CF066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7D92F8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0A64E7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5C04A6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397816D8" w14:textId="77777777" w:rsidR="00537E5F" w:rsidRPr="00507A31" w:rsidRDefault="00537E5F" w:rsidP="00507A31">
      <w:pPr>
        <w:autoSpaceDE w:val="0"/>
        <w:autoSpaceDN w:val="0"/>
        <w:adjustRightInd w:val="0"/>
        <w:jc w:val="both"/>
        <w:rPr>
          <w:color w:val="000000" w:themeColor="text1"/>
          <w:sz w:val="16"/>
          <w:szCs w:val="16"/>
        </w:rPr>
      </w:pPr>
    </w:p>
    <w:p w14:paraId="3D5443C5" w14:textId="77777777" w:rsidR="00BA5FB9" w:rsidRPr="00507A31" w:rsidRDefault="00BA5FB9" w:rsidP="00507A31">
      <w:pPr>
        <w:jc w:val="both"/>
        <w:rPr>
          <w:color w:val="0070C0"/>
          <w:sz w:val="16"/>
          <w:szCs w:val="16"/>
        </w:rPr>
      </w:pPr>
      <w:bookmarkStart w:id="75" w:name="_Hlk78641073"/>
      <w:r w:rsidRPr="00507A31">
        <w:rPr>
          <w:color w:val="0070C0"/>
          <w:sz w:val="16"/>
          <w:szCs w:val="16"/>
        </w:rPr>
        <w:t>2 августа 1930 года в 9 часов утра самолет "Фарман-Голиаф" под управлением летчика Громова поднялся в воздух. На борту самолета находилась первая группа десантников во главе с Миновым, а так же Мошковский, вылетевший с целью уточнения места выброски десанта. В качестве места высадки было выбрано свободное от посевов поле размером 600 на 800 метров вблизи хутора Клочково, в двух километрах от Воронежа. Первая группа была десантирована с высоты 350 метров. Вся группа покинула борт в течение пяти секунд. Самолет развернулся и лег на обратный курс. Тем временем над площадкой на высоте 150 м прошла тройка самолетов Р-1 и сбросили два мягких почтовых мешка, и четыре полутяжелых короба конструкции Н.П. Благина, в которых находились винтовки и два ручных пулемета, снаряжение и боеприпасы, необходимые для выполнения боевой задачи. Подбежав к ним, парашютисты приступили к распаковке грузовых мешков.</w:t>
      </w:r>
    </w:p>
    <w:p w14:paraId="64B8B0B5" w14:textId="77777777" w:rsidR="00BA5FB9" w:rsidRPr="00507A31" w:rsidRDefault="00BA5FB9" w:rsidP="00507A31">
      <w:pPr>
        <w:jc w:val="both"/>
        <w:rPr>
          <w:color w:val="0070C0"/>
          <w:sz w:val="16"/>
          <w:szCs w:val="16"/>
        </w:rPr>
      </w:pPr>
      <w:r w:rsidRPr="00507A31">
        <w:rPr>
          <w:color w:val="0070C0"/>
          <w:sz w:val="16"/>
          <w:szCs w:val="16"/>
        </w:rPr>
        <w:t>Вернувшийся на аэродром "Фарман-Голиаф" забрал остальных участников десанта, и через несколько минут с высоты 500 метров выбросил вторую группу над площадкой десантирования. Приземление второй группы произошло в непосредственной близости от того места, где в это время находилась первая группа. Еще через несколько минут оба подразделения собрались вместе, привели оружие в боевую готовность и выдвинулись в исходный район для выполнения боевой задачи. В исходном районе их ждал грузовик, который доставил парашютистов на аэродром. Задача первого воздушного десанта была выполнена.</w:t>
      </w:r>
    </w:p>
    <w:p w14:paraId="1C600F49" w14:textId="77777777" w:rsidR="00BA5FB9" w:rsidRPr="00507A31" w:rsidRDefault="00BA5FB9" w:rsidP="00507A31">
      <w:pPr>
        <w:jc w:val="both"/>
        <w:rPr>
          <w:color w:val="0070C0"/>
          <w:sz w:val="16"/>
          <w:szCs w:val="16"/>
        </w:rPr>
      </w:pPr>
      <w:r w:rsidRPr="00507A31">
        <w:rPr>
          <w:color w:val="0070C0"/>
          <w:sz w:val="16"/>
          <w:szCs w:val="16"/>
        </w:rPr>
        <w:t>В результате проведения учебных сборов была показана возможность парашютного десантирования вооруженного личного состава, а так же была проверена техника выброски людей и грузов. Была определена величина рассеивания группы парашютистов в зависимости от высоты выброски, определено время сбора парашютистов и груза, и время, необходимое для приведения группы в боевую готовность. Выработанные правила и методические рекомендации по производству парашютных прыжков были опубликованы в 1930 году в "Бюллетене научно-технического комитета управления ВВС РККА" и в журнале "Вестник воздушного флота". Во время проведения сборов был отснят документальный фильм — "Парашют". Этот фильм стал наглядным учебным пособием для подготовки парашютистов на многие годы. Собственно, само задание и работа по его исполнению положили практическое начало воздушно-десантному делу в нашей стране (21398).</w:t>
      </w:r>
    </w:p>
    <w:bookmarkEnd w:id="75"/>
    <w:p w14:paraId="2C371CD7" w14:textId="77777777" w:rsidR="00BA5FB9" w:rsidRPr="00507A31" w:rsidRDefault="00BA5FB9" w:rsidP="00507A31">
      <w:pPr>
        <w:jc w:val="both"/>
        <w:rPr>
          <w:color w:val="0070C0"/>
          <w:sz w:val="16"/>
          <w:szCs w:val="16"/>
        </w:rPr>
      </w:pPr>
    </w:p>
    <w:p w14:paraId="4F113F7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3BBF697" w14:textId="77777777" w:rsidR="00537E5F" w:rsidRPr="00507A31" w:rsidRDefault="00537E5F" w:rsidP="00507A31">
      <w:pPr>
        <w:autoSpaceDE w:val="0"/>
        <w:autoSpaceDN w:val="0"/>
        <w:adjustRightInd w:val="0"/>
        <w:jc w:val="both"/>
        <w:rPr>
          <w:iCs/>
          <w:color w:val="000000" w:themeColor="text1"/>
          <w:sz w:val="16"/>
          <w:szCs w:val="16"/>
        </w:rPr>
      </w:pPr>
    </w:p>
    <w:p w14:paraId="3CEFFA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августа 1930 в районе Воронежа в зоне опытно-показательного учения ВВС МВО впервые был выполнен парашютный десант с Фарман-Голиаф. Прыгало 12 человек в два приема по 6. Использовали импортные парашюты Ирвина. C 2-х Р-5 сбросили оружие и боеприпасы (3200,19). В это время П.И.Гроховский работал зав. небольшим отделом НИИ ВВС, куда был приглашен из 44 эскадрильи П.И.Барановым, заметившим его изобретательские таланты - глиняные бомбы, буксируемые конусы (83,158).</w:t>
      </w:r>
    </w:p>
    <w:p w14:paraId="5D6C3BE1" w14:textId="77777777" w:rsidR="00537E5F" w:rsidRPr="00507A31" w:rsidRDefault="00537E5F" w:rsidP="00507A31">
      <w:pPr>
        <w:autoSpaceDE w:val="0"/>
        <w:autoSpaceDN w:val="0"/>
        <w:adjustRightInd w:val="0"/>
        <w:jc w:val="both"/>
        <w:rPr>
          <w:color w:val="000000" w:themeColor="text1"/>
          <w:sz w:val="16"/>
          <w:szCs w:val="16"/>
        </w:rPr>
      </w:pPr>
    </w:p>
    <w:p w14:paraId="1C421137" w14:textId="77777777" w:rsidR="00977874" w:rsidRPr="00507A31" w:rsidRDefault="00977874" w:rsidP="00507A31">
      <w:pPr>
        <w:jc w:val="both"/>
        <w:rPr>
          <w:color w:val="000000" w:themeColor="text1"/>
          <w:sz w:val="16"/>
          <w:szCs w:val="16"/>
        </w:rPr>
      </w:pPr>
      <w:r w:rsidRPr="00507A31">
        <w:rPr>
          <w:color w:val="000000" w:themeColor="text1"/>
          <w:sz w:val="16"/>
          <w:szCs w:val="16"/>
        </w:rPr>
        <w:t>2 августа 1930 г. впервые на учениях ВВС Московского военного округа под Воронежем по инициативе Начальника ВВС П.И. Баранова было продемонстрировано опытное десантирование вооруженной группы летнотехнического состава численностью 30 человек с трех самолетов 11-й авиабригады ВВС МВО под руководством и при участии старшего летчика Л.Г. Минова. Одновременно на шести парашютах было сброшено для этой группы вооружение. Позднее 2 августа стало отмечаться как День создания Воздушно-десантных войск (19566).</w:t>
      </w:r>
    </w:p>
    <w:p w14:paraId="2D9B22BB" w14:textId="77777777" w:rsidR="00977874" w:rsidRPr="00507A31" w:rsidRDefault="00977874" w:rsidP="00507A31">
      <w:pPr>
        <w:jc w:val="both"/>
        <w:rPr>
          <w:color w:val="000000" w:themeColor="text1"/>
          <w:sz w:val="16"/>
          <w:szCs w:val="16"/>
        </w:rPr>
      </w:pPr>
    </w:p>
    <w:p w14:paraId="339018CE" w14:textId="77777777" w:rsidR="00FA5F0C" w:rsidRPr="00507A31" w:rsidRDefault="00FA5F0C" w:rsidP="00507A31">
      <w:pPr>
        <w:jc w:val="both"/>
        <w:rPr>
          <w:color w:val="000000" w:themeColor="text1"/>
          <w:sz w:val="16"/>
          <w:szCs w:val="16"/>
        </w:rPr>
      </w:pPr>
      <w:r w:rsidRPr="00507A31">
        <w:rPr>
          <w:color w:val="000000" w:themeColor="text1"/>
          <w:sz w:val="16"/>
          <w:szCs w:val="16"/>
        </w:rPr>
        <w:t xml:space="preserve">2 августа в 1930 году во время опытно-показательных учений ВВС Московского военного округа на окраине города Воронежа, впервые в СССР, осуществлено полноценное </w:t>
      </w:r>
      <w:hyperlink r:id="rId131" w:tgtFrame="_blank" w:history="1">
        <w:r w:rsidRPr="00507A31">
          <w:rPr>
            <w:color w:val="000000" w:themeColor="text1"/>
            <w:sz w:val="16"/>
            <w:szCs w:val="16"/>
          </w:rPr>
          <w:t xml:space="preserve">десантирование </w:t>
        </w:r>
      </w:hyperlink>
      <w:r w:rsidRPr="00507A31">
        <w:rPr>
          <w:color w:val="000000" w:themeColor="text1"/>
          <w:sz w:val="16"/>
          <w:szCs w:val="16"/>
        </w:rPr>
        <w:t xml:space="preserve">боевой группы (12 человек) парашютистов во главе с Леонидом Григорьевичем Миновым (1898–1978). Затем с самолетов «Р-1» десантированы пулеметы, винтовки и боеприпасы. Следом была выброшена группа парашютистов во главе с Яковом Давыдовичем Мошковским (1905–1939). Этот эксперимент позволил военным теоретикам увидеть перспективу преимущества парашютно-десантных частей, их огромные возможности, связанные с быстрым охватом противника по воздуху. С этого времени отмечается День Воздушно-десантных войск. Первым подразделением ВДВ стал сформированный в 1931 году в Ленинградском военном округе авиамотодесантный отряд, насчитывавший 164 человека. Начало созданию массовых воздушно-десантных войск положило постановление Реввоенсовета СССР, принятое 11 декабря 1932 года. В целях развития воздушно-десантного дела в РККА, подготовки соответствующих кадров и подразделений Реввоенсовет постановил развернуть на базе авиадесантного отряда Ленинградского военного округа бригаду, возложив на нее обучение инструкторов по воздушно-десантной подготовке и отработку оперативно-тактических нормативов. Одновременно намечалось сформировать к марту 1933 года по одному авиадесантному отряду в Белорусском, Украинском, Московском и Приволжском военных округах. Начался новый этап в развитии воздушно-десантных войск. А уже в начале 1933 года в этих округах были сформированы авиационные батальоны особого назначения. К лету 1941 года закончилось укомплектование личным составом пяти воздушно-десантных корпусов численностью 10 тысяч человек каждый. Боевой путь ВДВ отмечен многими памятными датами. Так, в вооруженном конфликте на Халхин-Голе приняла участие 212-я воздушно-десантная бригада. Во время советско-финляндской войны (1939-1940) вместе со стрелковыми частями сражались 201-я, 204-я и 214-я воздушно-десантные бригады. Десантники совершали рейды в глубокий тыл противника, нападали на гарнизоны, штабы, узлы связи, нарушали управление войсками, наносили удары по опорным пунктам. С началом Великой Отечественной войны все пять воздушно-десантных корпусов участвовали в боях с захватчиками на территории Латвии, Белоруссии, Украины. В ходе контрнаступления под Москвой для содействия войскам Западного и Калининградского фронтов в окружении и разгроме вяземско-ржевско-юхновской группировки немцев в начале 1942 года была проведена Вяземская воздушно-десантная операция с десантированием 4-го ВДК. Это наиболее крупная операция ВДВ в годы войны. Великая Отечественная война для ВДВ закончилась только в августе 1945 года, когда более 4 тысяч десантников после высадки на аэродромах Харбина, Гирина, в Порт-Артуре и на Южном Сахалине полностью парализовали действия японской армии. За боевые заслуги десантников в ходе Великой Отечественной войны всем воздушно-десантным соединениям было присвоено звание гвардейских. Тысячи солдат, </w:t>
      </w:r>
      <w:r w:rsidRPr="00507A31">
        <w:rPr>
          <w:color w:val="000000" w:themeColor="text1"/>
          <w:sz w:val="16"/>
          <w:szCs w:val="16"/>
        </w:rPr>
        <w:lastRenderedPageBreak/>
        <w:t>сержантов и офицеров ВДВ награждены орденами и медалями, 296 человек удостоены звания Героя Советского Союза. В настоящее время Воздушно-десантные войска составляют резерв Верховного Главнокомандующего Вооруженными Силами России (14971).</w:t>
      </w:r>
    </w:p>
    <w:p w14:paraId="3A146B81" w14:textId="77777777" w:rsidR="00FA5F0C" w:rsidRPr="00507A31" w:rsidRDefault="00FA5F0C" w:rsidP="00507A31">
      <w:pPr>
        <w:jc w:val="both"/>
        <w:rPr>
          <w:color w:val="000000" w:themeColor="text1"/>
          <w:sz w:val="16"/>
          <w:szCs w:val="16"/>
        </w:rPr>
      </w:pPr>
    </w:p>
    <w:p w14:paraId="3C6D17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августа 1930 в ходе уче</w:t>
      </w:r>
      <w:r w:rsidRPr="00507A31">
        <w:rPr>
          <w:color w:val="000000" w:themeColor="text1"/>
          <w:sz w:val="16"/>
          <w:szCs w:val="16"/>
        </w:rPr>
        <w:softHyphen/>
        <w:t>ний Московского военного округа с самолета Фарман «Голиаф» в два приема выбросили десант из 12 че</w:t>
      </w:r>
      <w:r w:rsidRPr="00507A31">
        <w:rPr>
          <w:color w:val="000000" w:themeColor="text1"/>
          <w:sz w:val="16"/>
          <w:szCs w:val="16"/>
        </w:rPr>
        <w:softHyphen/>
        <w:t>ловек. Командовал группой сам Минов, самолет пилотировал летчик Громов (однофамилец знаменитого испытателя). Высадка происходила в районе хутора Клочково. После приземления парашюти</w:t>
      </w:r>
      <w:r w:rsidRPr="00507A31">
        <w:rPr>
          <w:color w:val="000000" w:themeColor="text1"/>
          <w:sz w:val="16"/>
          <w:szCs w:val="16"/>
        </w:rPr>
        <w:softHyphen/>
        <w:t>стов три биплана Р-1 сбросили им оружие и боеприпасы в специальных контейнерах. Десантники были во</w:t>
      </w:r>
      <w:r w:rsidRPr="00507A31">
        <w:rPr>
          <w:color w:val="000000" w:themeColor="text1"/>
          <w:sz w:val="16"/>
          <w:szCs w:val="16"/>
        </w:rPr>
        <w:softHyphen/>
        <w:t>оружены револьверами, карабина</w:t>
      </w:r>
      <w:r w:rsidRPr="00507A31">
        <w:rPr>
          <w:color w:val="000000" w:themeColor="text1"/>
          <w:sz w:val="16"/>
          <w:szCs w:val="16"/>
        </w:rPr>
        <w:softHyphen/>
        <w:t>ми и гранатами, а в состав сброшен</w:t>
      </w:r>
      <w:r w:rsidRPr="00507A31">
        <w:rPr>
          <w:color w:val="000000" w:themeColor="text1"/>
          <w:sz w:val="16"/>
          <w:szCs w:val="16"/>
        </w:rPr>
        <w:softHyphen/>
        <w:t>ного груза входили два ручных пуле</w:t>
      </w:r>
      <w:r w:rsidRPr="00507A31">
        <w:rPr>
          <w:color w:val="000000" w:themeColor="text1"/>
          <w:sz w:val="16"/>
          <w:szCs w:val="16"/>
        </w:rPr>
        <w:softHyphen/>
        <w:t>мета. Это был первый в мире пара</w:t>
      </w:r>
      <w:r w:rsidRPr="00507A31">
        <w:rPr>
          <w:color w:val="000000" w:themeColor="text1"/>
          <w:sz w:val="16"/>
          <w:szCs w:val="16"/>
        </w:rPr>
        <w:softHyphen/>
        <w:t>шютный десант (10690).</w:t>
      </w:r>
    </w:p>
    <w:p w14:paraId="40293340" w14:textId="77777777" w:rsidR="00537E5F" w:rsidRPr="00507A31" w:rsidRDefault="00537E5F" w:rsidP="00507A31">
      <w:pPr>
        <w:autoSpaceDE w:val="0"/>
        <w:autoSpaceDN w:val="0"/>
        <w:adjustRightInd w:val="0"/>
        <w:jc w:val="both"/>
        <w:rPr>
          <w:color w:val="000000" w:themeColor="text1"/>
          <w:sz w:val="16"/>
          <w:szCs w:val="16"/>
        </w:rPr>
      </w:pPr>
    </w:p>
    <w:p w14:paraId="079FF8FE" w14:textId="77777777" w:rsidR="00661719" w:rsidRPr="00507A31" w:rsidRDefault="00661719" w:rsidP="00507A31">
      <w:pPr>
        <w:jc w:val="both"/>
        <w:rPr>
          <w:color w:val="000000" w:themeColor="text1"/>
          <w:sz w:val="16"/>
          <w:szCs w:val="16"/>
        </w:rPr>
      </w:pPr>
      <w:r w:rsidRPr="00507A31">
        <w:rPr>
          <w:color w:val="000000" w:themeColor="text1"/>
          <w:sz w:val="16"/>
          <w:szCs w:val="16"/>
        </w:rPr>
        <w:t>2 августа 1930 года в ходе учений Московского военного округа. Под руководством летчика Леонида Минова в районе Воронежа с бомбардировщика «Фарман-Голиаф» опустились двенадцать десантников. Следом за ними с трех бипланов Р- 1 были сброшены контейнеры со стрелковым оружием и боеприпасами. Стало ясно, что парашютные десанты - не фантазия. Они возможны. А увеличение их состава — лишь дело времени и техники (12254).</w:t>
      </w:r>
    </w:p>
    <w:p w14:paraId="1F1FDA7A" w14:textId="77777777" w:rsidR="00661719" w:rsidRPr="00507A31" w:rsidRDefault="00661719" w:rsidP="00507A31">
      <w:pPr>
        <w:jc w:val="both"/>
        <w:rPr>
          <w:color w:val="000000" w:themeColor="text1"/>
          <w:sz w:val="16"/>
          <w:szCs w:val="16"/>
        </w:rPr>
      </w:pPr>
    </w:p>
    <w:p w14:paraId="240D48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августа 1930 г. под Воронежем, в районе хутора Клочково именно с Фармана “Голиаф” сбросили первый в мире парашютный десант. Произошло это на учениях ВВС Московского военного округа. Минов получил из Москвы распоряжение: "Старшему лётчику КИЛРа т. Минову поставлена задача... подготовить высадку "воздушного дессанта" на парашютах".</w:t>
      </w:r>
    </w:p>
    <w:p w14:paraId="2CA7CE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сценарию учений "красные" наносили удар по силам "синих". Требовалось пресечь подвоз к "синим" подкреплений. В тылу у них действовали партизаны. Чтобы повысить их боеспособность, требовалось доставить вооружение,боеприпасы, а также "организаторов и руководителей повстанческого движения". Предполагалось, что группа из четырёх бомбардировщиков ТБ-1 сбросит на одной площадке два отряда парашютистов (всего 12-15 человек), а также оружие, в том числе пулемёты, в парашютных мешках. На парашюте должна была приземлиться и 76-мм горная пушка. После этого "партизанам" и парашютистам требовалось атаковать охрану моста через Дон южнее станции Лиски. По сценарию, у моста на железной дороге Воронеж - Задонск находились 60 - 70 солдат противника с тремя 75-мм пушками и четырьмя пулемётами. Уничтожив охрану, планировалось "взорвать" мост.</w:t>
      </w:r>
    </w:p>
    <w:p w14:paraId="3CA932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Десантников набрали из лётного и технического состава 11 -й авиабригады, согласно распоряжению "в первую очередь из числа желающих". Они получили американские парашюты "Ирвин". Командовал импровизированным отрядом Л.Г. Минов. Но бомбардировщиков ТБ-1 на учениях задействовали всего четыре, один из них вышел из строя. Они изображали тяжёлые бомбардировщики и у "красных", и у "синих". Использовать их для десанта командование запретило. Пришлось привлечь "Голиаф" из 59-й эскадрильи, который пилотировал лётчик Громов (однофамилец знаменитого испытателя). Интересно, что членам экипажа тогда впервые выдали парашюты, с которыми они чувствовали себя очень неуютно, поскольку кресла не были к ним приспособлены.</w:t>
      </w:r>
    </w:p>
    <w:p w14:paraId="4212A9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два рейса с ФГ-62 высадили 12 человек. С трёх Р-1 в шести мешках им сбросили вооружение и боеприпасы. Прикрытие осуществляли три истребителя И-3. От условленного места лётчики ошиблись примерно на километр. У земли дул сильный ветер, но парашютисты приземлились без повреждений и ушибов (11984).</w:t>
      </w:r>
    </w:p>
    <w:p w14:paraId="60F0F458" w14:textId="77777777" w:rsidR="00537E5F" w:rsidRPr="00507A31" w:rsidRDefault="00537E5F" w:rsidP="00507A31">
      <w:pPr>
        <w:autoSpaceDE w:val="0"/>
        <w:autoSpaceDN w:val="0"/>
        <w:adjustRightInd w:val="0"/>
        <w:jc w:val="both"/>
        <w:rPr>
          <w:color w:val="000000" w:themeColor="text1"/>
          <w:sz w:val="16"/>
          <w:szCs w:val="16"/>
        </w:rPr>
      </w:pPr>
    </w:p>
    <w:p w14:paraId="16DABB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августа 1930 г. три Р-1 участвовали в высадке первого в мире воздушного десанта у хутора Клочково под Воронежем. Парашютистов выбросили с бомбардировщика «Голиаф», а одномоторные бипланы доставили упаковки с оружием и боеприпасами, тоже сброшенные с парашютами (11923).</w:t>
      </w:r>
    </w:p>
    <w:p w14:paraId="6052F876" w14:textId="77777777" w:rsidR="00537E5F" w:rsidRPr="00507A31" w:rsidRDefault="00537E5F" w:rsidP="00507A31">
      <w:pPr>
        <w:autoSpaceDE w:val="0"/>
        <w:autoSpaceDN w:val="0"/>
        <w:adjustRightInd w:val="0"/>
        <w:jc w:val="both"/>
        <w:rPr>
          <w:color w:val="000000" w:themeColor="text1"/>
          <w:sz w:val="16"/>
          <w:szCs w:val="16"/>
        </w:rPr>
      </w:pPr>
    </w:p>
    <w:p w14:paraId="6A12B5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августа 1930 г. в ходе учений Московского военного округа с самолета Фарман "Голиаф" был выброшен первый в мире парашютный десант; с него в два приема сбросили десант из 12 человек. Командовал группой Л.Г. Минов, самолет пилотировал летчик Громов (однофамилец знаменитого испытателя). Высадка происходила в районе хутора Клочково. После приземления парашютистов три биплана Р-1 сбросили им оружие и боеприпасы в специальных контейнерах. Десантники были вооружены револьверами, карабинами и гранатами; в состав сброшенного груза входили два ручных пулемета (12036).</w:t>
      </w:r>
    </w:p>
    <w:p w14:paraId="6ACE0D57" w14:textId="77777777" w:rsidR="00977874" w:rsidRPr="00507A31" w:rsidRDefault="00977874" w:rsidP="00507A31">
      <w:pPr>
        <w:autoSpaceDE w:val="0"/>
        <w:autoSpaceDN w:val="0"/>
        <w:adjustRightInd w:val="0"/>
        <w:jc w:val="both"/>
        <w:rPr>
          <w:i/>
          <w:iCs/>
          <w:color w:val="000000" w:themeColor="text1"/>
          <w:sz w:val="16"/>
          <w:szCs w:val="16"/>
        </w:rPr>
      </w:pPr>
    </w:p>
    <w:p w14:paraId="366D11BB" w14:textId="77777777" w:rsidR="00BA5FB9" w:rsidRPr="00507A31" w:rsidRDefault="00BA5FB9" w:rsidP="00507A31">
      <w:pPr>
        <w:jc w:val="both"/>
        <w:rPr>
          <w:color w:val="0070C0"/>
          <w:sz w:val="16"/>
          <w:szCs w:val="16"/>
        </w:rPr>
      </w:pPr>
      <w:r w:rsidRPr="00507A31">
        <w:rPr>
          <w:color w:val="0070C0"/>
          <w:sz w:val="16"/>
          <w:szCs w:val="16"/>
        </w:rPr>
        <w:t>2 августа 1930 года в 9 часов утра самолет "Фарман-Голиаф" под управлением летчика Громова поднялся в воздух. На борту самолета находилась первая группа десантников во главе с Миновым, а так же Мошковский, вылетевший с целью уточнения места выброски десанта. В качестве места высадки было выбрано свободное от посевов поле размером 600 на 800 метров вблизи хутора Клочково, в двух километрах от Воронежа. Первая группа была десантирована с высоты 350 метров. Вся группа покинула борт в течение пяти секунд. Самолет развернулся и лег на обратный курс. Тем временем над площадкой на высоте 150 м прошла тройка самолетов Р-1 и сбросили два мягких почтовых мешка, и четыре полутяжелых короба конструкции Н.П. Благина, в которых находились винтовки и два ручных пулемета, снаряжение и боеприпасы, необходимые для выполнения боевой задачи. Подбежав к ним, парашютисты приступили к распаковке грузовых мешков.</w:t>
      </w:r>
    </w:p>
    <w:p w14:paraId="114E15C4" w14:textId="77777777" w:rsidR="00BA5FB9" w:rsidRPr="00507A31" w:rsidRDefault="00BA5FB9" w:rsidP="00507A31">
      <w:pPr>
        <w:jc w:val="both"/>
        <w:rPr>
          <w:color w:val="0070C0"/>
          <w:sz w:val="16"/>
          <w:szCs w:val="16"/>
        </w:rPr>
      </w:pPr>
      <w:r w:rsidRPr="00507A31">
        <w:rPr>
          <w:color w:val="0070C0"/>
          <w:sz w:val="16"/>
          <w:szCs w:val="16"/>
        </w:rPr>
        <w:t>Вернувшийся на аэродром "Фарман-Голиаф" забрал остальных участников десанта, и через несколько минут с высоты 500 метров выбросил вторую группу над площадкой десантирования. Приземление второй группы произошло в непосредственной близости от того места, где в это время находилась первая группа. Еще через несколько минут оба подразделения собрались вместе, привели оружие в боевую готовность и выдвинулись в исходный район для выполнения боевой задачи. В исходном районе их ждал грузовик, который доставил парашютистов на аэродром. Задача первого воздушного десанта была выполнена.</w:t>
      </w:r>
    </w:p>
    <w:p w14:paraId="7BA5CA14" w14:textId="77777777" w:rsidR="00BA5FB9" w:rsidRPr="00507A31" w:rsidRDefault="00BA5FB9" w:rsidP="00507A31">
      <w:pPr>
        <w:jc w:val="both"/>
        <w:rPr>
          <w:color w:val="0070C0"/>
          <w:sz w:val="16"/>
          <w:szCs w:val="16"/>
        </w:rPr>
      </w:pPr>
      <w:r w:rsidRPr="00507A31">
        <w:rPr>
          <w:color w:val="0070C0"/>
          <w:sz w:val="16"/>
          <w:szCs w:val="16"/>
        </w:rPr>
        <w:t>В результате проведения учебных сборов была показана возможность парашютного десантирования вооруженного личного состава, а так же была проверена техника выброски людей и грузов. Была определена величина рассеивания группы парашютистов в зависимости от высоты выброски, определено время сбора парашютистов и груза, и время, необходимое для приведения группы в боевую готовность. Выработанные правила и методические рекомендации по производству парашютных прыжков были опубликованы в 1930 году в "Бюллетене научно-технического комитета управления ВВС РККА" и в журнале "Вестник воздушного флота". Во время проведения сборов был отснят документальный фильм — "Парашют". Этот фильм стал наглядным учебным пособием для подготовки парашютистов на многие годы. Собственно, само задание и работа по его исполнению положили практическое начало воздушно-десантному делу в нашей стране (21398).</w:t>
      </w:r>
    </w:p>
    <w:p w14:paraId="22466537" w14:textId="77777777" w:rsidR="00BA5FB9" w:rsidRPr="00507A31" w:rsidRDefault="00BA5FB9" w:rsidP="00507A31">
      <w:pPr>
        <w:jc w:val="both"/>
        <w:rPr>
          <w:color w:val="0070C0"/>
          <w:sz w:val="16"/>
          <w:szCs w:val="16"/>
        </w:rPr>
      </w:pPr>
    </w:p>
    <w:p w14:paraId="7DE2C37B" w14:textId="77777777" w:rsidR="00977874" w:rsidRPr="00507A31" w:rsidRDefault="00977874"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F722FB4" w14:textId="77777777" w:rsidR="00977874" w:rsidRPr="00507A31" w:rsidRDefault="00977874" w:rsidP="00507A31">
      <w:pPr>
        <w:autoSpaceDE w:val="0"/>
        <w:autoSpaceDN w:val="0"/>
        <w:adjustRightInd w:val="0"/>
        <w:jc w:val="both"/>
        <w:rPr>
          <w:iCs/>
          <w:color w:val="000000" w:themeColor="text1"/>
          <w:sz w:val="16"/>
          <w:szCs w:val="16"/>
        </w:rPr>
      </w:pPr>
    </w:p>
    <w:p w14:paraId="5A9D0D7E" w14:textId="77777777" w:rsidR="00977874" w:rsidRPr="00507A31" w:rsidRDefault="00977874" w:rsidP="00507A31">
      <w:pPr>
        <w:jc w:val="both"/>
        <w:rPr>
          <w:color w:val="000000" w:themeColor="text1"/>
          <w:sz w:val="16"/>
          <w:szCs w:val="16"/>
        </w:rPr>
      </w:pPr>
      <w:r w:rsidRPr="00507A31">
        <w:rPr>
          <w:color w:val="000000" w:themeColor="text1"/>
          <w:sz w:val="16"/>
          <w:szCs w:val="16"/>
        </w:rPr>
        <w:t>2 августа 1930. Служащий МГК ВКП(б) А. Г. Соловьев записывает: "В Москве, да и во всей стране, очень большие трудности. Не хватает сырья, продовольствия. В магазинах и на рынках ничего не стало. Вводятся закрытые распределители для сокращенной и ограниченной выдачи пайков работникам" (18725).</w:t>
      </w:r>
    </w:p>
    <w:p w14:paraId="561B736A" w14:textId="77777777" w:rsidR="00537E5F" w:rsidRPr="00507A31" w:rsidRDefault="00537E5F" w:rsidP="00507A31">
      <w:pPr>
        <w:autoSpaceDE w:val="0"/>
        <w:autoSpaceDN w:val="0"/>
        <w:adjustRightInd w:val="0"/>
        <w:jc w:val="both"/>
        <w:rPr>
          <w:color w:val="000000" w:themeColor="text1"/>
          <w:sz w:val="16"/>
          <w:szCs w:val="16"/>
        </w:rPr>
      </w:pPr>
    </w:p>
    <w:p w14:paraId="2E877DE6" w14:textId="77777777" w:rsidR="001248B3" w:rsidRPr="00507A31" w:rsidRDefault="001248B3"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1EF5B54D" w14:textId="77777777" w:rsidR="001248B3" w:rsidRPr="00507A31" w:rsidRDefault="001248B3" w:rsidP="00507A31">
      <w:pPr>
        <w:autoSpaceDE w:val="0"/>
        <w:autoSpaceDN w:val="0"/>
        <w:adjustRightInd w:val="0"/>
        <w:jc w:val="both"/>
        <w:rPr>
          <w:iCs/>
          <w:color w:val="000000" w:themeColor="text1"/>
          <w:sz w:val="16"/>
          <w:szCs w:val="16"/>
        </w:rPr>
      </w:pPr>
    </w:p>
    <w:p w14:paraId="5E95E18F" w14:textId="77777777" w:rsidR="001248B3" w:rsidRPr="00507A31" w:rsidRDefault="001248B3" w:rsidP="00507A31">
      <w:pPr>
        <w:jc w:val="both"/>
        <w:rPr>
          <w:color w:val="0070C0"/>
          <w:sz w:val="16"/>
          <w:szCs w:val="16"/>
        </w:rPr>
      </w:pPr>
      <w:r w:rsidRPr="00507A31">
        <w:rPr>
          <w:color w:val="0070C0"/>
          <w:sz w:val="16"/>
          <w:szCs w:val="16"/>
        </w:rPr>
        <w:t>2 августа 1930 г. было подписано «Соглашение между Правительством Союза Советских Социалистических Республик и Правительством Италии о закупках продуктов итальянской промышленности на условиях благоприятствования», а 6 мая 1933 г. - таможенная конвенция (21410).</w:t>
      </w:r>
    </w:p>
    <w:p w14:paraId="36FB01A4" w14:textId="77777777" w:rsidR="001248B3" w:rsidRPr="00507A31" w:rsidRDefault="001248B3" w:rsidP="00507A31">
      <w:pPr>
        <w:jc w:val="both"/>
        <w:rPr>
          <w:color w:val="0070C0"/>
          <w:sz w:val="16"/>
          <w:szCs w:val="16"/>
        </w:rPr>
      </w:pPr>
    </w:p>
    <w:p w14:paraId="567AD07C" w14:textId="77777777" w:rsidR="001248B3" w:rsidRPr="00507A31" w:rsidRDefault="001248B3" w:rsidP="00507A31">
      <w:pPr>
        <w:jc w:val="both"/>
        <w:rPr>
          <w:color w:val="0070C0"/>
          <w:sz w:val="16"/>
          <w:szCs w:val="16"/>
        </w:rPr>
      </w:pPr>
      <w:r w:rsidRPr="00507A31">
        <w:rPr>
          <w:color w:val="0070C0"/>
          <w:sz w:val="16"/>
          <w:szCs w:val="16"/>
        </w:rPr>
        <w:t>2 августа 1930 г.</w:t>
      </w:r>
    </w:p>
    <w:p w14:paraId="409D1211" w14:textId="77777777" w:rsidR="001248B3" w:rsidRPr="00507A31" w:rsidRDefault="001248B3" w:rsidP="00507A31">
      <w:pPr>
        <w:jc w:val="both"/>
        <w:rPr>
          <w:color w:val="0070C0"/>
          <w:sz w:val="16"/>
          <w:szCs w:val="16"/>
        </w:rPr>
      </w:pPr>
      <w:r w:rsidRPr="00507A31">
        <w:rPr>
          <w:color w:val="0070C0"/>
          <w:sz w:val="16"/>
          <w:szCs w:val="16"/>
        </w:rPr>
        <w:t>Приложение к соглашению между правительством СССР и правительством Италии о торговле и платежах. </w:t>
      </w:r>
    </w:p>
    <w:p w14:paraId="64CAFB07" w14:textId="77777777" w:rsidR="001248B3" w:rsidRPr="00507A31" w:rsidRDefault="001248B3" w:rsidP="00507A31">
      <w:pPr>
        <w:jc w:val="both"/>
        <w:rPr>
          <w:color w:val="0070C0"/>
          <w:sz w:val="16"/>
          <w:szCs w:val="16"/>
        </w:rPr>
      </w:pPr>
      <w:r w:rsidRPr="00507A31">
        <w:rPr>
          <w:color w:val="0070C0"/>
          <w:sz w:val="16"/>
          <w:szCs w:val="16"/>
        </w:rPr>
        <w:t>Таблица А</w:t>
      </w:r>
    </w:p>
    <w:p w14:paraId="5A0D281D" w14:textId="77777777" w:rsidR="001248B3" w:rsidRPr="00507A31" w:rsidRDefault="001248B3" w:rsidP="00507A31">
      <w:pPr>
        <w:jc w:val="both"/>
        <w:rPr>
          <w:color w:val="0070C0"/>
          <w:sz w:val="16"/>
          <w:szCs w:val="16"/>
        </w:rPr>
      </w:pPr>
      <w:r w:rsidRPr="00507A31">
        <w:rPr>
          <w:color w:val="0070C0"/>
          <w:sz w:val="16"/>
          <w:szCs w:val="16"/>
        </w:rPr>
        <w:t>Категории продуктов и их приблизительное распределение по стоимости</w:t>
      </w:r>
    </w:p>
    <w:p w14:paraId="45C8C1F1" w14:textId="77777777" w:rsidR="001248B3" w:rsidRPr="00507A31" w:rsidRDefault="001248B3" w:rsidP="00507A31">
      <w:pPr>
        <w:jc w:val="both"/>
        <w:rPr>
          <w:color w:val="0070C0"/>
          <w:sz w:val="16"/>
          <w:szCs w:val="16"/>
        </w:rPr>
      </w:pPr>
      <w:r w:rsidRPr="00507A31">
        <w:rPr>
          <w:color w:val="0070C0"/>
          <w:sz w:val="16"/>
          <w:szCs w:val="16"/>
        </w:rPr>
        <w:tab/>
        <w:t>Наименование товаров</w:t>
      </w:r>
      <w:r w:rsidRPr="00507A31">
        <w:rPr>
          <w:color w:val="0070C0"/>
          <w:sz w:val="16"/>
          <w:szCs w:val="16"/>
        </w:rPr>
        <w:tab/>
        <w:t>Стоимость в итальянских лирах</w:t>
      </w:r>
    </w:p>
    <w:p w14:paraId="41C5197C" w14:textId="77777777" w:rsidR="001248B3" w:rsidRPr="00507A31" w:rsidRDefault="001248B3" w:rsidP="00507A31">
      <w:pPr>
        <w:jc w:val="both"/>
        <w:rPr>
          <w:color w:val="0070C0"/>
          <w:sz w:val="16"/>
          <w:szCs w:val="16"/>
        </w:rPr>
      </w:pPr>
      <w:r w:rsidRPr="00507A31">
        <w:rPr>
          <w:color w:val="0070C0"/>
          <w:sz w:val="16"/>
          <w:szCs w:val="16"/>
        </w:rPr>
        <w:t>1. Суда и полное судовое снабжение</w:t>
      </w:r>
      <w:r w:rsidRPr="00507A31">
        <w:rPr>
          <w:color w:val="0070C0"/>
          <w:sz w:val="16"/>
          <w:szCs w:val="16"/>
        </w:rPr>
        <w:tab/>
        <w:t>50 миллионов</w:t>
      </w:r>
    </w:p>
    <w:p w14:paraId="416F8935" w14:textId="77777777" w:rsidR="001248B3" w:rsidRPr="00507A31" w:rsidRDefault="001248B3" w:rsidP="00507A31">
      <w:pPr>
        <w:jc w:val="both"/>
        <w:rPr>
          <w:color w:val="0070C0"/>
          <w:sz w:val="16"/>
          <w:szCs w:val="16"/>
        </w:rPr>
      </w:pPr>
      <w:r w:rsidRPr="00507A31">
        <w:rPr>
          <w:color w:val="0070C0"/>
          <w:sz w:val="16"/>
          <w:szCs w:val="16"/>
        </w:rPr>
        <w:t>2. Шариковые и роликовые подшипники, буксы для желдор- и трамвайных вагонов (твердые продажи)</w:t>
      </w:r>
      <w:r w:rsidRPr="00507A31">
        <w:rPr>
          <w:color w:val="0070C0"/>
          <w:sz w:val="16"/>
          <w:szCs w:val="16"/>
        </w:rPr>
        <w:tab/>
        <w:t>25</w:t>
      </w:r>
    </w:p>
    <w:p w14:paraId="6EEF83F4" w14:textId="77777777" w:rsidR="001248B3" w:rsidRPr="00507A31" w:rsidRDefault="001248B3" w:rsidP="00507A31">
      <w:pPr>
        <w:jc w:val="both"/>
        <w:rPr>
          <w:color w:val="0070C0"/>
          <w:sz w:val="16"/>
          <w:szCs w:val="16"/>
        </w:rPr>
      </w:pPr>
      <w:r w:rsidRPr="00507A31">
        <w:rPr>
          <w:color w:val="0070C0"/>
          <w:sz w:val="16"/>
          <w:szCs w:val="16"/>
        </w:rPr>
        <w:t>2 бис. Подшипники и принадлежности, продаваемые с консигнационных складов в СССР</w:t>
      </w:r>
      <w:r w:rsidRPr="00507A31">
        <w:rPr>
          <w:color w:val="0070C0"/>
          <w:sz w:val="16"/>
          <w:szCs w:val="16"/>
        </w:rPr>
        <w:tab/>
      </w:r>
    </w:p>
    <w:p w14:paraId="75A60F57" w14:textId="77777777" w:rsidR="001248B3" w:rsidRPr="00507A31" w:rsidRDefault="001248B3" w:rsidP="00507A31">
      <w:pPr>
        <w:jc w:val="both"/>
        <w:rPr>
          <w:color w:val="0070C0"/>
          <w:sz w:val="16"/>
          <w:szCs w:val="16"/>
        </w:rPr>
      </w:pPr>
      <w:r w:rsidRPr="00507A31">
        <w:rPr>
          <w:color w:val="0070C0"/>
          <w:sz w:val="16"/>
          <w:szCs w:val="16"/>
        </w:rPr>
        <w:t>3. Машины и оборудование для механической, металлургической, горной и подобных отраслей промыш- ленности</w:t>
      </w:r>
      <w:r w:rsidRPr="00507A31">
        <w:rPr>
          <w:color w:val="0070C0"/>
          <w:sz w:val="16"/>
          <w:szCs w:val="16"/>
        </w:rPr>
        <w:tab/>
        <w:t>20</w:t>
      </w:r>
    </w:p>
    <w:p w14:paraId="7EA7656D" w14:textId="77777777" w:rsidR="001248B3" w:rsidRPr="00507A31" w:rsidRDefault="001248B3" w:rsidP="00507A31">
      <w:pPr>
        <w:jc w:val="both"/>
        <w:rPr>
          <w:color w:val="0070C0"/>
          <w:sz w:val="16"/>
          <w:szCs w:val="16"/>
        </w:rPr>
      </w:pPr>
      <w:r w:rsidRPr="00507A31">
        <w:rPr>
          <w:color w:val="0070C0"/>
          <w:sz w:val="16"/>
          <w:szCs w:val="16"/>
        </w:rPr>
        <w:t>4. Электрические машины, аппаратура и электрооборудование. включая кабели</w:t>
      </w:r>
      <w:r w:rsidRPr="00507A31">
        <w:rPr>
          <w:color w:val="0070C0"/>
          <w:sz w:val="16"/>
          <w:szCs w:val="16"/>
        </w:rPr>
        <w:tab/>
        <w:t>25</w:t>
      </w:r>
    </w:p>
    <w:p w14:paraId="76EB0B4B" w14:textId="77777777" w:rsidR="001248B3" w:rsidRPr="00507A31" w:rsidRDefault="001248B3" w:rsidP="00507A31">
      <w:pPr>
        <w:jc w:val="both"/>
        <w:rPr>
          <w:color w:val="0070C0"/>
          <w:sz w:val="16"/>
          <w:szCs w:val="16"/>
        </w:rPr>
      </w:pPr>
      <w:r w:rsidRPr="00507A31">
        <w:rPr>
          <w:color w:val="0070C0"/>
          <w:sz w:val="16"/>
          <w:szCs w:val="16"/>
        </w:rPr>
        <w:t>5. Машины и принадлежности для оборудования химической промышленности</w:t>
      </w:r>
      <w:r w:rsidRPr="00507A31">
        <w:rPr>
          <w:color w:val="0070C0"/>
          <w:sz w:val="16"/>
          <w:szCs w:val="16"/>
        </w:rPr>
        <w:tab/>
        <w:t>5</w:t>
      </w:r>
    </w:p>
    <w:p w14:paraId="321D3076" w14:textId="77777777" w:rsidR="001248B3" w:rsidRPr="00507A31" w:rsidRDefault="001248B3" w:rsidP="00507A31">
      <w:pPr>
        <w:jc w:val="both"/>
        <w:rPr>
          <w:color w:val="0070C0"/>
          <w:sz w:val="16"/>
          <w:szCs w:val="16"/>
        </w:rPr>
      </w:pPr>
      <w:r w:rsidRPr="00507A31">
        <w:rPr>
          <w:color w:val="0070C0"/>
          <w:sz w:val="16"/>
          <w:szCs w:val="16"/>
        </w:rPr>
        <w:t>6. Машины и принадлежности для оборудования других видов промышленности, не предусмотренных выше</w:t>
      </w:r>
      <w:r w:rsidRPr="00507A31">
        <w:rPr>
          <w:color w:val="0070C0"/>
          <w:sz w:val="16"/>
          <w:szCs w:val="16"/>
        </w:rPr>
        <w:tab/>
        <w:t>5</w:t>
      </w:r>
    </w:p>
    <w:p w14:paraId="24D8EE38" w14:textId="77777777" w:rsidR="001248B3" w:rsidRPr="00507A31" w:rsidRDefault="001248B3" w:rsidP="00507A31">
      <w:pPr>
        <w:jc w:val="both"/>
        <w:rPr>
          <w:color w:val="0070C0"/>
          <w:sz w:val="16"/>
          <w:szCs w:val="16"/>
        </w:rPr>
      </w:pPr>
      <w:r w:rsidRPr="00507A31">
        <w:rPr>
          <w:color w:val="0070C0"/>
          <w:sz w:val="16"/>
          <w:szCs w:val="16"/>
        </w:rPr>
        <w:t>7. Автотранспорт, шасси, кузова, тракторы (твердые продажи)</w:t>
      </w:r>
      <w:r w:rsidRPr="00507A31">
        <w:rPr>
          <w:color w:val="0070C0"/>
          <w:sz w:val="16"/>
          <w:szCs w:val="16"/>
        </w:rPr>
        <w:tab/>
        <w:t>20</w:t>
      </w:r>
    </w:p>
    <w:p w14:paraId="31379B88" w14:textId="77777777" w:rsidR="001248B3" w:rsidRPr="00507A31" w:rsidRDefault="001248B3" w:rsidP="00507A31">
      <w:pPr>
        <w:jc w:val="both"/>
        <w:rPr>
          <w:color w:val="0070C0"/>
          <w:sz w:val="16"/>
          <w:szCs w:val="16"/>
        </w:rPr>
      </w:pPr>
      <w:r w:rsidRPr="00507A31">
        <w:rPr>
          <w:color w:val="0070C0"/>
          <w:sz w:val="16"/>
          <w:szCs w:val="16"/>
        </w:rPr>
        <w:t>7 бис. Запчасти для автотранспорта, продаваемые с консигнационных складов в СССР</w:t>
      </w:r>
      <w:r w:rsidRPr="00507A31">
        <w:rPr>
          <w:color w:val="0070C0"/>
          <w:sz w:val="16"/>
          <w:szCs w:val="16"/>
        </w:rPr>
        <w:tab/>
      </w:r>
    </w:p>
    <w:p w14:paraId="3D568B4B" w14:textId="77777777" w:rsidR="001248B3" w:rsidRPr="00507A31" w:rsidRDefault="001248B3" w:rsidP="00507A31">
      <w:pPr>
        <w:jc w:val="both"/>
        <w:rPr>
          <w:color w:val="0070C0"/>
          <w:sz w:val="16"/>
          <w:szCs w:val="16"/>
        </w:rPr>
      </w:pPr>
      <w:r w:rsidRPr="00507A31">
        <w:rPr>
          <w:color w:val="0070C0"/>
          <w:sz w:val="16"/>
          <w:szCs w:val="16"/>
        </w:rPr>
        <w:t>8. Самолеты, авиационные моторы и авиаимущество</w:t>
      </w:r>
      <w:r w:rsidRPr="00507A31">
        <w:rPr>
          <w:color w:val="0070C0"/>
          <w:sz w:val="16"/>
          <w:szCs w:val="16"/>
        </w:rPr>
        <w:tab/>
        <w:t>30</w:t>
      </w:r>
    </w:p>
    <w:p w14:paraId="3C2AA2C0" w14:textId="77777777" w:rsidR="001248B3" w:rsidRPr="00507A31" w:rsidRDefault="001248B3" w:rsidP="00507A31">
      <w:pPr>
        <w:jc w:val="both"/>
        <w:rPr>
          <w:color w:val="0070C0"/>
          <w:sz w:val="16"/>
          <w:szCs w:val="16"/>
        </w:rPr>
      </w:pPr>
      <w:r w:rsidRPr="00507A31">
        <w:rPr>
          <w:color w:val="0070C0"/>
          <w:sz w:val="16"/>
          <w:szCs w:val="16"/>
        </w:rPr>
        <w:t>9. Приборы измерительные и точной механики, опти ческие приборы и инструменты</w:t>
      </w:r>
      <w:r w:rsidRPr="00507A31">
        <w:rPr>
          <w:color w:val="0070C0"/>
          <w:sz w:val="16"/>
          <w:szCs w:val="16"/>
        </w:rPr>
        <w:tab/>
        <w:t>5</w:t>
      </w:r>
    </w:p>
    <w:p w14:paraId="4AB265CF" w14:textId="77777777" w:rsidR="001248B3" w:rsidRPr="00507A31" w:rsidRDefault="001248B3" w:rsidP="00507A31">
      <w:pPr>
        <w:jc w:val="both"/>
        <w:rPr>
          <w:color w:val="0070C0"/>
          <w:sz w:val="16"/>
          <w:szCs w:val="16"/>
        </w:rPr>
      </w:pPr>
      <w:r w:rsidRPr="00507A31">
        <w:rPr>
          <w:color w:val="0070C0"/>
          <w:sz w:val="16"/>
          <w:szCs w:val="16"/>
        </w:rPr>
        <w:t>10. Металлы</w:t>
      </w:r>
      <w:r w:rsidRPr="00507A31">
        <w:rPr>
          <w:color w:val="0070C0"/>
          <w:sz w:val="16"/>
          <w:szCs w:val="16"/>
        </w:rPr>
        <w:tab/>
        <w:t>5</w:t>
      </w:r>
    </w:p>
    <w:p w14:paraId="38F889AC" w14:textId="77777777" w:rsidR="001248B3" w:rsidRPr="00507A31" w:rsidRDefault="001248B3" w:rsidP="00507A31">
      <w:pPr>
        <w:jc w:val="both"/>
        <w:rPr>
          <w:color w:val="0070C0"/>
          <w:sz w:val="16"/>
          <w:szCs w:val="16"/>
        </w:rPr>
      </w:pPr>
      <w:r w:rsidRPr="00507A31">
        <w:rPr>
          <w:color w:val="0070C0"/>
          <w:sz w:val="16"/>
          <w:szCs w:val="16"/>
        </w:rPr>
        <w:t>11. Химические продукты и красители</w:t>
      </w:r>
      <w:r w:rsidRPr="00507A31">
        <w:rPr>
          <w:color w:val="0070C0"/>
          <w:sz w:val="16"/>
          <w:szCs w:val="16"/>
        </w:rPr>
        <w:tab/>
        <w:t>5</w:t>
      </w:r>
    </w:p>
    <w:p w14:paraId="31C64C4C" w14:textId="77777777" w:rsidR="001248B3" w:rsidRPr="00507A31" w:rsidRDefault="001248B3" w:rsidP="00507A31">
      <w:pPr>
        <w:jc w:val="both"/>
        <w:rPr>
          <w:color w:val="0070C0"/>
          <w:sz w:val="16"/>
          <w:szCs w:val="16"/>
        </w:rPr>
      </w:pPr>
      <w:r w:rsidRPr="00507A31">
        <w:rPr>
          <w:color w:val="0070C0"/>
          <w:sz w:val="16"/>
          <w:szCs w:val="16"/>
        </w:rPr>
        <w:t>12. Удобрители</w:t>
      </w:r>
      <w:r w:rsidRPr="00507A31">
        <w:rPr>
          <w:color w:val="0070C0"/>
          <w:sz w:val="16"/>
          <w:szCs w:val="16"/>
        </w:rPr>
        <w:tab/>
        <w:t>5</w:t>
      </w:r>
    </w:p>
    <w:p w14:paraId="1F69DE05" w14:textId="77777777" w:rsidR="001248B3" w:rsidRPr="00507A31" w:rsidRDefault="001248B3" w:rsidP="00507A31">
      <w:pPr>
        <w:jc w:val="both"/>
        <w:rPr>
          <w:color w:val="0070C0"/>
          <w:sz w:val="16"/>
          <w:szCs w:val="16"/>
        </w:rPr>
      </w:pPr>
      <w:r w:rsidRPr="00507A31">
        <w:rPr>
          <w:color w:val="0070C0"/>
          <w:sz w:val="16"/>
          <w:szCs w:val="16"/>
        </w:rPr>
        <w:t>АП РФ. Ф. 3. Оп. 65. Д. 241. Л. 151-152. Копия (21023).</w:t>
      </w:r>
    </w:p>
    <w:p w14:paraId="3B773A90" w14:textId="77777777" w:rsidR="001248B3" w:rsidRPr="00507A31" w:rsidRDefault="001248B3" w:rsidP="00507A31">
      <w:pPr>
        <w:jc w:val="both"/>
        <w:rPr>
          <w:color w:val="0070C0"/>
          <w:sz w:val="16"/>
          <w:szCs w:val="16"/>
        </w:rPr>
      </w:pPr>
    </w:p>
    <w:p w14:paraId="76277EC6" w14:textId="77777777" w:rsidR="00977874" w:rsidRPr="00507A31" w:rsidRDefault="00977874"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Авиапромышленность:</w:t>
      </w:r>
    </w:p>
    <w:p w14:paraId="643766E4" w14:textId="77777777" w:rsidR="00977874" w:rsidRPr="00507A31" w:rsidRDefault="00977874" w:rsidP="00507A31">
      <w:pPr>
        <w:autoSpaceDE w:val="0"/>
        <w:autoSpaceDN w:val="0"/>
        <w:adjustRightInd w:val="0"/>
        <w:jc w:val="both"/>
        <w:rPr>
          <w:iCs/>
          <w:color w:val="000000" w:themeColor="text1"/>
          <w:sz w:val="16"/>
          <w:szCs w:val="16"/>
        </w:rPr>
      </w:pPr>
    </w:p>
    <w:p w14:paraId="3C73277F" w14:textId="77777777" w:rsidR="00977874" w:rsidRPr="00507A31" w:rsidRDefault="00977874" w:rsidP="00507A31">
      <w:pPr>
        <w:pStyle w:val="rtejustify"/>
        <w:shd w:val="clear" w:color="auto" w:fill="FFFFFF"/>
        <w:spacing w:before="0" w:after="0"/>
        <w:rPr>
          <w:color w:val="000000" w:themeColor="text1"/>
          <w:sz w:val="16"/>
          <w:szCs w:val="16"/>
        </w:rPr>
      </w:pPr>
      <w:r w:rsidRPr="00507A31">
        <w:rPr>
          <w:color w:val="000000" w:themeColor="text1"/>
          <w:sz w:val="16"/>
          <w:szCs w:val="16"/>
        </w:rPr>
        <w:t>3 августа 1930 года заведующий отделом АГОС ЦАГИ А. Н. Туполев направил на заключение в НТК УВВС «Предварительный проект самолета И-8, Кертис Конкверор 600РН» (19171).</w:t>
      </w:r>
    </w:p>
    <w:p w14:paraId="28BF17D8" w14:textId="77777777" w:rsidR="00977874" w:rsidRPr="00507A31" w:rsidRDefault="00977874" w:rsidP="00507A31">
      <w:pPr>
        <w:pStyle w:val="rtejustify"/>
        <w:shd w:val="clear" w:color="auto" w:fill="FFFFFF"/>
        <w:spacing w:before="0" w:after="0"/>
        <w:rPr>
          <w:color w:val="000000" w:themeColor="text1"/>
          <w:sz w:val="16"/>
          <w:szCs w:val="16"/>
        </w:rPr>
      </w:pPr>
    </w:p>
    <w:p w14:paraId="460271BD" w14:textId="77777777" w:rsidR="0066171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6D2494F" w14:textId="77777777" w:rsidR="00661719" w:rsidRPr="00507A31" w:rsidRDefault="00661719" w:rsidP="00507A31">
      <w:pPr>
        <w:autoSpaceDE w:val="0"/>
        <w:autoSpaceDN w:val="0"/>
        <w:adjustRightInd w:val="0"/>
        <w:jc w:val="both"/>
        <w:rPr>
          <w:iCs/>
          <w:color w:val="000000" w:themeColor="text1"/>
          <w:sz w:val="16"/>
          <w:szCs w:val="16"/>
        </w:rPr>
      </w:pPr>
    </w:p>
    <w:p w14:paraId="2C5339E3" w14:textId="77777777" w:rsidR="00661719" w:rsidRPr="00507A31" w:rsidRDefault="00661719" w:rsidP="00507A31">
      <w:pPr>
        <w:pStyle w:val="rtejustify"/>
        <w:spacing w:before="0" w:after="0"/>
        <w:rPr>
          <w:color w:val="000000" w:themeColor="text1"/>
          <w:sz w:val="16"/>
          <w:szCs w:val="16"/>
        </w:rPr>
      </w:pPr>
      <w:r w:rsidRPr="00507A31">
        <w:rPr>
          <w:rStyle w:val="af0"/>
          <w:i w:val="0"/>
          <w:color w:val="000000" w:themeColor="text1"/>
          <w:sz w:val="16"/>
          <w:szCs w:val="16"/>
        </w:rPr>
        <w:t>3 августа 1930 г</w:t>
      </w:r>
      <w:r w:rsidRPr="00507A31">
        <w:rPr>
          <w:color w:val="000000" w:themeColor="text1"/>
          <w:sz w:val="16"/>
          <w:szCs w:val="16"/>
        </w:rPr>
        <w:t xml:space="preserve">. </w:t>
      </w:r>
      <w:r w:rsidRPr="00507A31">
        <w:rPr>
          <w:rStyle w:val="af0"/>
          <w:i w:val="0"/>
          <w:color w:val="000000" w:themeColor="text1"/>
          <w:sz w:val="16"/>
          <w:szCs w:val="16"/>
        </w:rPr>
        <w:t>Протокол Реввоенсовета № 16</w:t>
      </w:r>
      <w:r w:rsidRPr="00507A31">
        <w:rPr>
          <w:color w:val="000000" w:themeColor="text1"/>
          <w:sz w:val="16"/>
          <w:szCs w:val="16"/>
        </w:rPr>
        <w:t>. 1. О ходе работ по осуществлению опытных образцов системы авто-броне-танко-тракторного вооружения. (Халепский,). 2. О состоянии военного изобретательства. (Янсон). 4. Результаты проверки мобзапасов химического вооружения. (Жигур). 6. Об исполнительной смете НКВМ на 1928/29 г. и за первую половину 1929/30 г. (Хрулев, Лукин). 7. О работе Осоавиахима. (Малиновский). 13. Рассмотрение эскизного проекта эсминца. (Орас). (РГВА. Ф. 4. Оп. 18. Д. 19. Л. 260</w:t>
      </w:r>
      <w:r w:rsidRPr="00507A31">
        <w:rPr>
          <w:color w:val="000000" w:themeColor="text1"/>
          <w:sz w:val="16"/>
          <w:szCs w:val="16"/>
        </w:rPr>
        <w:noBreakHyphen/>
        <w:t>261, 264</w:t>
      </w:r>
      <w:r w:rsidRPr="00507A31">
        <w:rPr>
          <w:color w:val="000000" w:themeColor="text1"/>
          <w:sz w:val="16"/>
          <w:szCs w:val="16"/>
        </w:rPr>
        <w:noBreakHyphen/>
        <w:t>265, 266</w:t>
      </w:r>
      <w:r w:rsidRPr="00507A31">
        <w:rPr>
          <w:color w:val="000000" w:themeColor="text1"/>
          <w:sz w:val="16"/>
          <w:szCs w:val="16"/>
        </w:rPr>
        <w:noBreakHyphen/>
        <w:t>267) (12342).</w:t>
      </w:r>
    </w:p>
    <w:p w14:paraId="0FE0794F" w14:textId="77777777" w:rsidR="00661719" w:rsidRPr="00507A31" w:rsidRDefault="00661719" w:rsidP="00507A31">
      <w:pPr>
        <w:pStyle w:val="rtejustify"/>
        <w:spacing w:before="0" w:after="0"/>
        <w:rPr>
          <w:color w:val="000000" w:themeColor="text1"/>
          <w:sz w:val="16"/>
          <w:szCs w:val="16"/>
        </w:rPr>
      </w:pPr>
    </w:p>
    <w:p w14:paraId="319A75E3" w14:textId="77777777" w:rsidR="007003E0" w:rsidRPr="00507A31" w:rsidRDefault="007003E0" w:rsidP="00507A31">
      <w:pPr>
        <w:shd w:val="clear" w:color="auto" w:fill="FFFFFF"/>
        <w:jc w:val="both"/>
        <w:rPr>
          <w:color w:val="000000" w:themeColor="text1"/>
          <w:sz w:val="16"/>
          <w:szCs w:val="16"/>
        </w:rPr>
      </w:pPr>
      <w:r w:rsidRPr="00507A31">
        <w:rPr>
          <w:bCs/>
          <w:iCs/>
          <w:color w:val="000000" w:themeColor="text1"/>
          <w:sz w:val="16"/>
          <w:szCs w:val="16"/>
        </w:rPr>
        <w:t>3 августа 1930 г.</w:t>
      </w:r>
      <w:r w:rsidRPr="00507A31">
        <w:rPr>
          <w:color w:val="000000" w:themeColor="text1"/>
          <w:sz w:val="16"/>
          <w:szCs w:val="16"/>
        </w:rPr>
        <w:t xml:space="preserve"> Рассмотрение на РВС СССР результатов проверки запасов химического оружия. Принято решение о ежегодном переснаряжении артхимснарядов с разложившимися ОВ. Решено также провести разрядку старых английских химснарядов и пересортировку французских химснарядов (17133).</w:t>
      </w:r>
    </w:p>
    <w:p w14:paraId="0DA9430F" w14:textId="77777777" w:rsidR="007003E0" w:rsidRPr="00507A31" w:rsidRDefault="007003E0" w:rsidP="00507A31">
      <w:pPr>
        <w:shd w:val="clear" w:color="auto" w:fill="FFFFFF"/>
        <w:jc w:val="both"/>
        <w:rPr>
          <w:color w:val="000000" w:themeColor="text1"/>
          <w:sz w:val="16"/>
          <w:szCs w:val="16"/>
        </w:rPr>
      </w:pPr>
    </w:p>
    <w:p w14:paraId="317E55C4" w14:textId="77777777" w:rsidR="00977874" w:rsidRPr="00507A31" w:rsidRDefault="00977874" w:rsidP="00507A31">
      <w:pPr>
        <w:jc w:val="both"/>
        <w:rPr>
          <w:color w:val="000000" w:themeColor="text1"/>
          <w:sz w:val="16"/>
          <w:szCs w:val="16"/>
        </w:rPr>
      </w:pPr>
      <w:r w:rsidRPr="00507A31">
        <w:rPr>
          <w:color w:val="000000" w:themeColor="text1"/>
          <w:sz w:val="16"/>
          <w:szCs w:val="16"/>
        </w:rPr>
        <w:t>3 августа 1930 г. Президиум ВСНХ СССР предложил Резинообъединению, в целях использования строительного сезона 1931 г., немедленно приступить к проработке вопроса о месте строительства и проектированию завода синтетического каучука мощностью 10 тыс. тонн в год и резервирования в контрольных цифрах на 1932 г. 10 млн. рублей.</w:t>
      </w:r>
    </w:p>
    <w:p w14:paraId="56AD0656" w14:textId="77777777" w:rsidR="00977874" w:rsidRPr="00507A31" w:rsidRDefault="00977874" w:rsidP="00507A31">
      <w:pPr>
        <w:jc w:val="both"/>
        <w:rPr>
          <w:color w:val="000000" w:themeColor="text1"/>
          <w:sz w:val="16"/>
          <w:szCs w:val="16"/>
        </w:rPr>
      </w:pPr>
      <w:r w:rsidRPr="00507A31">
        <w:rPr>
          <w:color w:val="000000" w:themeColor="text1"/>
          <w:sz w:val="16"/>
          <w:szCs w:val="16"/>
        </w:rPr>
        <w:t>Проектирование промышленного завода было поручено группе московских инженеров под руководством А.Н. Карцева, С.Л. Либинсона, Л.М. Карзанова, которая вела проектирование опытного завода «Литер Б». К проектированию приступили 1 октября 1930 г.</w:t>
      </w:r>
    </w:p>
    <w:p w14:paraId="46D8EBAE" w14:textId="77777777" w:rsidR="00977874" w:rsidRPr="00507A31" w:rsidRDefault="00977874" w:rsidP="00507A31">
      <w:pPr>
        <w:jc w:val="both"/>
        <w:rPr>
          <w:color w:val="000000" w:themeColor="text1"/>
          <w:sz w:val="16"/>
          <w:szCs w:val="16"/>
        </w:rPr>
      </w:pPr>
      <w:r w:rsidRPr="00507A31">
        <w:rPr>
          <w:color w:val="000000" w:themeColor="text1"/>
          <w:sz w:val="16"/>
          <w:szCs w:val="16"/>
        </w:rPr>
        <w:t>На основании лабораторных данных, полученных в лаборатории С.В. Лебедева, и нескольких опытов по контактному разложению спирта на «опытной станции» завода «Литер Б», проведенных летом 1930 г. «Опытной станцией» была названа временная установка по испытанию контактного аппарата с селитренным обогревом (18298).</w:t>
      </w:r>
    </w:p>
    <w:p w14:paraId="0AD65545" w14:textId="77777777" w:rsidR="00977874" w:rsidRPr="00507A31" w:rsidRDefault="00977874" w:rsidP="00507A31">
      <w:pPr>
        <w:jc w:val="both"/>
        <w:rPr>
          <w:color w:val="000000" w:themeColor="text1"/>
          <w:sz w:val="16"/>
          <w:szCs w:val="16"/>
        </w:rPr>
      </w:pPr>
    </w:p>
    <w:p w14:paraId="5B91F07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08C3BCA3" w14:textId="77777777" w:rsidR="00537E5F" w:rsidRPr="00507A31" w:rsidRDefault="00537E5F" w:rsidP="00507A31">
      <w:pPr>
        <w:autoSpaceDE w:val="0"/>
        <w:autoSpaceDN w:val="0"/>
        <w:adjustRightInd w:val="0"/>
        <w:jc w:val="both"/>
        <w:rPr>
          <w:iCs/>
          <w:color w:val="000000" w:themeColor="text1"/>
          <w:sz w:val="16"/>
          <w:szCs w:val="16"/>
        </w:rPr>
      </w:pPr>
    </w:p>
    <w:p w14:paraId="582868C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 августа 1930 СССР и Италия подписали торговое соглашение (4962).</w:t>
      </w:r>
    </w:p>
    <w:p w14:paraId="21491AB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EE11B49" w14:textId="77777777" w:rsidR="000C45DF" w:rsidRPr="00507A31" w:rsidRDefault="000C45DF"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CE0873A" w14:textId="77777777" w:rsidR="000C45DF" w:rsidRPr="00507A31" w:rsidRDefault="000C45DF" w:rsidP="00507A31">
      <w:pPr>
        <w:autoSpaceDE w:val="0"/>
        <w:autoSpaceDN w:val="0"/>
        <w:adjustRightInd w:val="0"/>
        <w:jc w:val="both"/>
        <w:rPr>
          <w:iCs/>
          <w:color w:val="000000" w:themeColor="text1"/>
          <w:sz w:val="16"/>
          <w:szCs w:val="16"/>
        </w:rPr>
      </w:pPr>
    </w:p>
    <w:p w14:paraId="3886BD84" w14:textId="77777777" w:rsidR="000C45DF" w:rsidRPr="00507A31" w:rsidRDefault="000C45DF" w:rsidP="00507A31">
      <w:pPr>
        <w:jc w:val="both"/>
        <w:rPr>
          <w:color w:val="0070C0"/>
          <w:sz w:val="16"/>
          <w:szCs w:val="16"/>
        </w:rPr>
      </w:pPr>
      <w:r w:rsidRPr="00507A31">
        <w:rPr>
          <w:color w:val="0070C0"/>
          <w:sz w:val="16"/>
          <w:szCs w:val="16"/>
        </w:rPr>
        <w:t>3 августа 1930 Императорский флот Японии впервые практикует бомбометание с пикирования, используя истребители для потопления старого броненосного крейсера «Акаси» с 4-килограммовыми (8,8 фунтами) учебными бомбами в Токийском заливе (20805).</w:t>
      </w:r>
    </w:p>
    <w:p w14:paraId="24214B52" w14:textId="77777777" w:rsidR="000C45DF" w:rsidRPr="00507A31" w:rsidRDefault="000C45DF" w:rsidP="00507A31">
      <w:pPr>
        <w:jc w:val="both"/>
        <w:rPr>
          <w:color w:val="0070C0"/>
          <w:sz w:val="16"/>
          <w:szCs w:val="16"/>
        </w:rPr>
      </w:pPr>
    </w:p>
    <w:p w14:paraId="0C920E8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A445883" w14:textId="77777777" w:rsidR="00537E5F" w:rsidRPr="00507A31" w:rsidRDefault="00537E5F" w:rsidP="00507A31">
      <w:pPr>
        <w:autoSpaceDE w:val="0"/>
        <w:autoSpaceDN w:val="0"/>
        <w:adjustRightInd w:val="0"/>
        <w:jc w:val="both"/>
        <w:rPr>
          <w:iCs/>
          <w:color w:val="000000" w:themeColor="text1"/>
          <w:sz w:val="16"/>
          <w:szCs w:val="16"/>
        </w:rPr>
      </w:pPr>
    </w:p>
    <w:p w14:paraId="0B0483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августа 1930 г. было проведено испытание на скорость по мерному километру самолета АНТ-9 с моторами Райт 320 НР (3 мотора).</w:t>
      </w:r>
    </w:p>
    <w:p w14:paraId="4722F9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Пилотировал летчик Громов.</w:t>
      </w:r>
    </w:p>
    <w:p w14:paraId="23D36D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Высота полета - 100 м</w:t>
      </w:r>
    </w:p>
    <w:p w14:paraId="011C96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Результаты испытаний:</w:t>
      </w:r>
    </w:p>
    <w:p w14:paraId="40D6CA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Скорость на полной мощности</w:t>
      </w:r>
      <w:r w:rsidRPr="00507A31">
        <w:rPr>
          <w:color w:val="000000" w:themeColor="text1"/>
          <w:sz w:val="16"/>
          <w:szCs w:val="16"/>
        </w:rPr>
        <w:tab/>
        <w:t>230,5 км/час</w:t>
      </w:r>
    </w:p>
    <w:p w14:paraId="0B19F6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Скорость на нормальной мощности</w:t>
      </w:r>
      <w:r w:rsidRPr="00507A31">
        <w:rPr>
          <w:color w:val="000000" w:themeColor="text1"/>
          <w:sz w:val="16"/>
          <w:szCs w:val="16"/>
        </w:rPr>
        <w:tab/>
        <w:t>212,2 км/час (3250,3).</w:t>
      </w:r>
    </w:p>
    <w:p w14:paraId="7E0DD993" w14:textId="77777777" w:rsidR="00537E5F" w:rsidRPr="00507A31" w:rsidRDefault="00537E5F" w:rsidP="00507A31">
      <w:pPr>
        <w:autoSpaceDE w:val="0"/>
        <w:autoSpaceDN w:val="0"/>
        <w:adjustRightInd w:val="0"/>
        <w:jc w:val="both"/>
        <w:rPr>
          <w:color w:val="000000" w:themeColor="text1"/>
          <w:sz w:val="16"/>
          <w:szCs w:val="16"/>
        </w:rPr>
      </w:pPr>
    </w:p>
    <w:p w14:paraId="7460E3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августа 1930 А.В.Чекарев разбил Ди-2 - двухместную версию И-3 Н.Н.П. и погиб. Это сказалось на положении арестованных и прежде всего самого Н.Н.П. (3410,14).</w:t>
      </w:r>
    </w:p>
    <w:p w14:paraId="440A2BE6" w14:textId="77777777" w:rsidR="00537E5F" w:rsidRPr="00507A31" w:rsidRDefault="00537E5F" w:rsidP="00507A31">
      <w:pPr>
        <w:autoSpaceDE w:val="0"/>
        <w:autoSpaceDN w:val="0"/>
        <w:adjustRightInd w:val="0"/>
        <w:jc w:val="both"/>
        <w:rPr>
          <w:color w:val="000000" w:themeColor="text1"/>
          <w:sz w:val="16"/>
          <w:szCs w:val="16"/>
        </w:rPr>
      </w:pPr>
    </w:p>
    <w:p w14:paraId="5542F33D" w14:textId="77777777" w:rsidR="007003E0" w:rsidRPr="00507A31" w:rsidRDefault="007003E0" w:rsidP="00507A31">
      <w:pPr>
        <w:jc w:val="both"/>
        <w:rPr>
          <w:color w:val="000000" w:themeColor="text1"/>
          <w:sz w:val="16"/>
          <w:szCs w:val="16"/>
        </w:rPr>
      </w:pPr>
      <w:r w:rsidRPr="00507A31">
        <w:rPr>
          <w:color w:val="000000" w:themeColor="text1"/>
          <w:sz w:val="16"/>
          <w:szCs w:val="16"/>
        </w:rPr>
        <w:t>4 августа в 1930 году катастрофа самолёта «Д-2» («Ди-2») с V-образным оперением, командир экипажа Владимир Иванович Чекарев. 4 августа 1930 года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самолета. Вооружившись кислородными приборами, пилоты "взяли" высоту 7170 метров. Затем после короткого отдыха начали готовиться ко второму полету. В этот день полетами руководил начальник 1-й бригады истребительного отдела НИИ ВВС Николай Алексеевич Жемчужин; по его свидетельству, Чекарев, отправляясь во второй полет, сказал: "Я его теперь поломаю как следует". Имелось в виду, что летчик испробует самолет на максимальные перегрузки. Жемчужин в ответ заметил: "Брось ерунду делать, это тебе не ВТ" (ВТ - опытный истребитель «И-5»). Среди свидетелей, наблюдавших с земли полет самолета «Д-2», находились помощник Начальника ЦКБ завода № 39 Д.П.Григорович и заместитель Начальника ЦКБ И.М.Артамонов. По их показаниям, после выполнения задания самолет вышел из облаков на высоте 1200 м, затем снизился спиралью до высоты 300 м и продолжал снижаться на высокой скорости до высоты 100 метров. Наблюдатели заметили сильную вибрацию хвостового оперения и последующее разрушение правой его половины; вслед за этим разрушилась коробка крыльев, и самолет врезался в землю. Летчик Чекарев и наблюдатель Благонадеждин имели парашюты, однако воспользоваться ими не успели: высота была слишком мала (14973).</w:t>
      </w:r>
    </w:p>
    <w:p w14:paraId="047A5F74" w14:textId="77777777" w:rsidR="007003E0" w:rsidRPr="00507A31" w:rsidRDefault="007003E0" w:rsidP="00507A31">
      <w:pPr>
        <w:jc w:val="both"/>
        <w:rPr>
          <w:color w:val="000000" w:themeColor="text1"/>
          <w:sz w:val="16"/>
          <w:szCs w:val="16"/>
        </w:rPr>
      </w:pPr>
    </w:p>
    <w:p w14:paraId="767BEFCF" w14:textId="77777777" w:rsidR="00B73459" w:rsidRPr="00507A31" w:rsidRDefault="00B73459" w:rsidP="00507A31">
      <w:pPr>
        <w:jc w:val="both"/>
        <w:rPr>
          <w:color w:val="0070C0"/>
          <w:sz w:val="16"/>
          <w:szCs w:val="16"/>
        </w:rPr>
      </w:pPr>
      <w:r w:rsidRPr="00507A31">
        <w:rPr>
          <w:color w:val="0070C0"/>
          <w:sz w:val="16"/>
          <w:szCs w:val="16"/>
        </w:rPr>
        <w:t>4 августа 1930 - Катастрофа самолёта Д-2 (Ди-2) с V-образным оперением, лётчик-испытатель НИИ ВВС Владимир Иванович Чекарев.</w:t>
      </w:r>
    </w:p>
    <w:p w14:paraId="0BABCCB7" w14:textId="77777777" w:rsidR="00B73459" w:rsidRPr="00507A31" w:rsidRDefault="00B73459" w:rsidP="00507A31">
      <w:pPr>
        <w:jc w:val="both"/>
        <w:rPr>
          <w:color w:val="0070C0"/>
          <w:sz w:val="16"/>
          <w:szCs w:val="16"/>
        </w:rPr>
      </w:pPr>
      <w:r w:rsidRPr="00507A31">
        <w:rPr>
          <w:color w:val="0070C0"/>
          <w:sz w:val="16"/>
          <w:szCs w:val="16"/>
        </w:rPr>
        <w:t>4 августа 1930 года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самолёта. Вооружившись кислородными приборами, пилоты "взяли" высоту 7170 метров. Затем после короткого отдыха начали готовиться ко второму полёту. В этот день полётами руководил начальник 1-й бригады истребительного отдела НИИ ВВС Николай Алексеевич Жемчужин; по его свидетельству, Чекарев, отправляясь во второй полёт, сказал: "Я его теперь поломаю как следует". Имелось в виду, что летчик испробует самолёт на максимальные перегрузки. Жемчужин в ответ заметил: "Брось ерунду делать, это тебе не ВТ" (ВТ - опытный истребитель И-5). Среди свидетелей, наблюдавших с земли полет самолета Д-2, находились помощник Начальника ЦКБ завода № 39 Д. П. Григорович и заместитель Начальника ЦКБ И. М. Артамонов. По их показаниям, после выполнения задания самолёт вышел из облаков на высоте 1200 м, затем снизился спиралью до высоты 300 м и продолжал снижаться на высокой скорости до высоты 100 метров. Наблюдатели заметили сильную вибрацию хвостового оперения и последующее разрушение правой его половины; вслед за этим разрушилась коробка крыльев, и самолёт врезался в землю. Летчик Чекарев и наблюдатель Благонадеждин имели парашюты, однако воспользоваться ими не успели: высота была слишком мала. В.И.Чекарев похоронен в колумбарии Донского кладбища (г. Москва) (22409).</w:t>
      </w:r>
    </w:p>
    <w:p w14:paraId="58D94D57" w14:textId="77777777" w:rsidR="00B73459" w:rsidRPr="00507A31" w:rsidRDefault="00B73459" w:rsidP="00507A31">
      <w:pPr>
        <w:jc w:val="both"/>
        <w:rPr>
          <w:color w:val="0070C0"/>
          <w:sz w:val="16"/>
          <w:szCs w:val="16"/>
        </w:rPr>
      </w:pPr>
    </w:p>
    <w:p w14:paraId="65AC95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августа 1930 г.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w:t>
      </w:r>
      <w:r w:rsidRPr="00507A31">
        <w:rPr>
          <w:color w:val="000000" w:themeColor="text1"/>
          <w:sz w:val="16"/>
          <w:szCs w:val="16"/>
        </w:rPr>
        <w:softHyphen/>
        <w:t>молета. Вооружившись кислородными приборами, пилоты «взяли» высоту 7170 метров. Затем после короткого отдыха на</w:t>
      </w:r>
      <w:r w:rsidRPr="00507A31">
        <w:rPr>
          <w:color w:val="000000" w:themeColor="text1"/>
          <w:sz w:val="16"/>
          <w:szCs w:val="16"/>
        </w:rPr>
        <w:softHyphen/>
        <w:t xml:space="preserve">чали готовиться ко второму полету. В этот день полетами руководил начальник 1-й </w:t>
      </w:r>
      <w:r w:rsidRPr="00507A31">
        <w:rPr>
          <w:iCs/>
          <w:color w:val="000000" w:themeColor="text1"/>
          <w:sz w:val="16"/>
          <w:szCs w:val="16"/>
        </w:rPr>
        <w:t xml:space="preserve">бригады </w:t>
      </w:r>
      <w:r w:rsidRPr="00507A31">
        <w:rPr>
          <w:color w:val="000000" w:themeColor="text1"/>
          <w:sz w:val="16"/>
          <w:szCs w:val="16"/>
        </w:rPr>
        <w:t xml:space="preserve">истребительного отдела НИИ ВВС Николай Алексеевич Жемчужин; по его свидетельству, Чекарев, отправляясь во второй полет, </w:t>
      </w:r>
      <w:r w:rsidRPr="00507A31">
        <w:rPr>
          <w:iCs/>
          <w:color w:val="000000" w:themeColor="text1"/>
          <w:sz w:val="16"/>
          <w:szCs w:val="16"/>
        </w:rPr>
        <w:t xml:space="preserve">сказал: </w:t>
      </w:r>
      <w:r w:rsidRPr="00507A31">
        <w:rPr>
          <w:color w:val="000000" w:themeColor="text1"/>
          <w:sz w:val="16"/>
          <w:szCs w:val="16"/>
        </w:rPr>
        <w:t>«Я его теперь по</w:t>
      </w:r>
      <w:r w:rsidRPr="00507A31">
        <w:rPr>
          <w:color w:val="000000" w:themeColor="text1"/>
          <w:sz w:val="16"/>
          <w:szCs w:val="16"/>
        </w:rPr>
        <w:softHyphen/>
        <w:t>ломаю как следует». Имелось в виду, что летчик испробует самолет на максималь</w:t>
      </w:r>
      <w:r w:rsidRPr="00507A31">
        <w:rPr>
          <w:color w:val="000000" w:themeColor="text1"/>
          <w:sz w:val="16"/>
          <w:szCs w:val="16"/>
        </w:rPr>
        <w:softHyphen/>
        <w:t>ные перегрузки. Жемчужин в ответ заме</w:t>
      </w:r>
      <w:r w:rsidRPr="00507A31">
        <w:rPr>
          <w:color w:val="000000" w:themeColor="text1"/>
          <w:sz w:val="16"/>
          <w:szCs w:val="16"/>
        </w:rPr>
        <w:softHyphen/>
        <w:t>тил: «Брось ерунду делать, это тебе не ВТ» (ВТ - опытный истребитель И-5). Среди свидетелей, наблюдавших с земли полет самолета Д-2, находились помощник На</w:t>
      </w:r>
      <w:r w:rsidRPr="00507A31">
        <w:rPr>
          <w:color w:val="000000" w:themeColor="text1"/>
          <w:sz w:val="16"/>
          <w:szCs w:val="16"/>
        </w:rPr>
        <w:softHyphen/>
        <w:t>чальника ЦКБ завода № 39 Д. П. Григоро</w:t>
      </w:r>
      <w:r w:rsidRPr="00507A31">
        <w:rPr>
          <w:color w:val="000000" w:themeColor="text1"/>
          <w:sz w:val="16"/>
          <w:szCs w:val="16"/>
        </w:rPr>
        <w:softHyphen/>
        <w:t>вич и заместитель Начальника ЦКБ И. М. Артамонов. По их показаниям, после вы</w:t>
      </w:r>
      <w:r w:rsidRPr="00507A31">
        <w:rPr>
          <w:color w:val="000000" w:themeColor="text1"/>
          <w:sz w:val="16"/>
          <w:szCs w:val="16"/>
        </w:rPr>
        <w:softHyphen/>
        <w:t xml:space="preserve">полнения </w:t>
      </w:r>
      <w:r w:rsidRPr="00507A31">
        <w:rPr>
          <w:iCs/>
          <w:color w:val="000000" w:themeColor="text1"/>
          <w:sz w:val="16"/>
          <w:szCs w:val="16"/>
        </w:rPr>
        <w:t xml:space="preserve">задания </w:t>
      </w:r>
      <w:r w:rsidRPr="00507A31">
        <w:rPr>
          <w:color w:val="000000" w:themeColor="text1"/>
          <w:sz w:val="16"/>
          <w:szCs w:val="16"/>
        </w:rPr>
        <w:t>самолет вышел из обла</w:t>
      </w:r>
      <w:r w:rsidRPr="00507A31">
        <w:rPr>
          <w:color w:val="000000" w:themeColor="text1"/>
          <w:sz w:val="16"/>
          <w:szCs w:val="16"/>
        </w:rPr>
        <w:softHyphen/>
        <w:t>ков на высоте 1200 м, затем снизился спи</w:t>
      </w:r>
      <w:r w:rsidRPr="00507A31">
        <w:rPr>
          <w:color w:val="000000" w:themeColor="text1"/>
          <w:sz w:val="16"/>
          <w:szCs w:val="16"/>
        </w:rPr>
        <w:softHyphen/>
        <w:t>ралью до высоты 300 м и продолжал сни</w:t>
      </w:r>
      <w:r w:rsidRPr="00507A31">
        <w:rPr>
          <w:color w:val="000000" w:themeColor="text1"/>
          <w:sz w:val="16"/>
          <w:szCs w:val="16"/>
        </w:rPr>
        <w:softHyphen/>
        <w:t>жаться на высокой скорости до высоты 100 метров. Наблюдатели заметили сильную вибрацию хвостового оперения и последу</w:t>
      </w:r>
      <w:r w:rsidRPr="00507A31">
        <w:rPr>
          <w:color w:val="000000" w:themeColor="text1"/>
          <w:sz w:val="16"/>
          <w:szCs w:val="16"/>
        </w:rPr>
        <w:softHyphen/>
        <w:t>ющее разрушение правой его половины; вслед за этим разрушилась коробка крыль</w:t>
      </w:r>
      <w:r w:rsidRPr="00507A31">
        <w:rPr>
          <w:color w:val="000000" w:themeColor="text1"/>
          <w:sz w:val="16"/>
          <w:szCs w:val="16"/>
        </w:rPr>
        <w:softHyphen/>
        <w:t>ев, и самолет врезался в землю. Экипаж погиб. Летчик Чекарев и наблюдатель Благонадеждин имели парашюты, однако воспользоваться ими не успели: высота была слишком мала.</w:t>
      </w:r>
    </w:p>
    <w:p w14:paraId="28DDBD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Вибрацию оперения испытатели отме</w:t>
      </w:r>
      <w:r w:rsidRPr="00507A31">
        <w:rPr>
          <w:color w:val="000000" w:themeColor="text1"/>
          <w:sz w:val="16"/>
          <w:szCs w:val="16"/>
        </w:rPr>
        <w:softHyphen/>
        <w:t>чали и ранее, однако серьезного значения этому не придавалось: считалось, что подъ</w:t>
      </w:r>
      <w:r w:rsidRPr="00507A31">
        <w:rPr>
          <w:color w:val="000000" w:themeColor="text1"/>
          <w:sz w:val="16"/>
          <w:szCs w:val="16"/>
        </w:rPr>
        <w:softHyphen/>
        <w:t>ем оперения вверх привел к тому, что оно попало в возмущенную зону от крыла са</w:t>
      </w:r>
      <w:r w:rsidRPr="00507A31">
        <w:rPr>
          <w:color w:val="000000" w:themeColor="text1"/>
          <w:sz w:val="16"/>
          <w:szCs w:val="16"/>
        </w:rPr>
        <w:softHyphen/>
        <w:t xml:space="preserve">молета. Резкое пилотирование самолета привело к частичному разрушению узлов крепления оперения, а продолжающиеся </w:t>
      </w:r>
      <w:r w:rsidRPr="00507A31">
        <w:rPr>
          <w:iCs/>
          <w:color w:val="000000" w:themeColor="text1"/>
          <w:sz w:val="16"/>
          <w:szCs w:val="16"/>
        </w:rPr>
        <w:t xml:space="preserve">вибрации </w:t>
      </w:r>
      <w:r w:rsidRPr="00507A31">
        <w:rPr>
          <w:color w:val="000000" w:themeColor="text1"/>
          <w:sz w:val="16"/>
          <w:szCs w:val="16"/>
        </w:rPr>
        <w:t>довершили его поломку, что и привело к катастрофе.</w:t>
      </w:r>
    </w:p>
    <w:p w14:paraId="5DB32C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Несмотря на потерю опытного экземп</w:t>
      </w:r>
      <w:r w:rsidRPr="00507A31">
        <w:rPr>
          <w:color w:val="000000" w:themeColor="text1"/>
          <w:sz w:val="16"/>
          <w:szCs w:val="16"/>
        </w:rPr>
        <w:softHyphen/>
        <w:t>ляра Д-2, работы по двухместным истребителям продолжились. В соответствии с тре</w:t>
      </w:r>
      <w:r w:rsidRPr="00507A31">
        <w:rPr>
          <w:color w:val="000000" w:themeColor="text1"/>
          <w:sz w:val="16"/>
          <w:szCs w:val="16"/>
        </w:rPr>
        <w:softHyphen/>
        <w:t>бованиями ВВС началась разработка само</w:t>
      </w:r>
      <w:r w:rsidRPr="00507A31">
        <w:rPr>
          <w:color w:val="000000" w:themeColor="text1"/>
          <w:sz w:val="16"/>
          <w:szCs w:val="16"/>
        </w:rPr>
        <w:softHyphen/>
        <w:t>лета ДИ-2 (иногда обозначался ИД-БМВУ1), предназначенного для воздушно</w:t>
      </w:r>
      <w:r w:rsidRPr="00507A31">
        <w:rPr>
          <w:color w:val="000000" w:themeColor="text1"/>
          <w:sz w:val="16"/>
          <w:szCs w:val="16"/>
        </w:rPr>
        <w:softHyphen/>
        <w:t>го боя и разведки. Первоначально его воо</w:t>
      </w:r>
      <w:r w:rsidRPr="00507A31">
        <w:rPr>
          <w:color w:val="000000" w:themeColor="text1"/>
          <w:sz w:val="16"/>
          <w:szCs w:val="16"/>
        </w:rPr>
        <w:softHyphen/>
        <w:t>ружение состояло из двух синхронных пу</w:t>
      </w:r>
      <w:r w:rsidRPr="00507A31">
        <w:rPr>
          <w:color w:val="000000" w:themeColor="text1"/>
          <w:sz w:val="16"/>
          <w:szCs w:val="16"/>
        </w:rPr>
        <w:softHyphen/>
        <w:t>леметов; еще два были установлены на ту</w:t>
      </w:r>
      <w:r w:rsidRPr="00507A31">
        <w:rPr>
          <w:color w:val="000000" w:themeColor="text1"/>
          <w:sz w:val="16"/>
          <w:szCs w:val="16"/>
        </w:rPr>
        <w:softHyphen/>
        <w:t>рели для защиты задней полусферы. Пол</w:t>
      </w:r>
      <w:r w:rsidRPr="00507A31">
        <w:rPr>
          <w:color w:val="000000" w:themeColor="text1"/>
          <w:sz w:val="16"/>
          <w:szCs w:val="16"/>
        </w:rPr>
        <w:softHyphen/>
        <w:t>норазмерный макет был представлен к ос</w:t>
      </w:r>
      <w:r w:rsidRPr="00507A31">
        <w:rPr>
          <w:color w:val="000000" w:themeColor="text1"/>
          <w:sz w:val="16"/>
          <w:szCs w:val="16"/>
        </w:rPr>
        <w:softHyphen/>
        <w:t xml:space="preserve">мотру 8 октября 1930 г., однако самолет все же не был построен: на очереди был уже следующий вариант </w:t>
      </w:r>
      <w:r w:rsidRPr="00507A31">
        <w:rPr>
          <w:iCs/>
          <w:color w:val="000000" w:themeColor="text1"/>
          <w:sz w:val="16"/>
          <w:szCs w:val="16"/>
        </w:rPr>
        <w:t xml:space="preserve">- </w:t>
      </w:r>
      <w:r w:rsidRPr="00507A31">
        <w:rPr>
          <w:color w:val="000000" w:themeColor="text1"/>
          <w:sz w:val="16"/>
          <w:szCs w:val="16"/>
        </w:rPr>
        <w:t>ДИ-3, с которым связывались определенные надежды (11134).</w:t>
      </w:r>
    </w:p>
    <w:p w14:paraId="3DB29C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Летные и технические характеристики самолетов Д-2 и ДИ-2 (расчетные)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E371BA" w:rsidRPr="00507A31" w14:paraId="7E41080E" w14:textId="77777777">
        <w:tc>
          <w:tcPr>
            <w:tcW w:w="3192" w:type="dxa"/>
            <w:tcBorders>
              <w:top w:val="single" w:sz="12" w:space="0" w:color="auto"/>
            </w:tcBorders>
            <w:shd w:val="clear" w:color="auto" w:fill="FFFFFF"/>
          </w:tcPr>
          <w:p w14:paraId="083C17FB" w14:textId="77777777" w:rsidR="00537E5F" w:rsidRPr="00507A31" w:rsidRDefault="00537E5F" w:rsidP="00507A31">
            <w:pPr>
              <w:autoSpaceDE w:val="0"/>
              <w:autoSpaceDN w:val="0"/>
              <w:adjustRightInd w:val="0"/>
              <w:jc w:val="both"/>
              <w:rPr>
                <w:color w:val="000000" w:themeColor="text1"/>
                <w:sz w:val="16"/>
                <w:szCs w:val="16"/>
              </w:rPr>
            </w:pPr>
          </w:p>
        </w:tc>
        <w:tc>
          <w:tcPr>
            <w:tcW w:w="3192" w:type="dxa"/>
            <w:tcBorders>
              <w:top w:val="single" w:sz="12" w:space="0" w:color="auto"/>
            </w:tcBorders>
            <w:shd w:val="clear" w:color="auto" w:fill="FFFFFF"/>
          </w:tcPr>
          <w:p w14:paraId="0470BB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Д-2</w:t>
            </w:r>
          </w:p>
        </w:tc>
        <w:tc>
          <w:tcPr>
            <w:tcW w:w="3192" w:type="dxa"/>
            <w:tcBorders>
              <w:top w:val="single" w:sz="12" w:space="0" w:color="auto"/>
            </w:tcBorders>
            <w:shd w:val="clear" w:color="auto" w:fill="FFFFFF"/>
          </w:tcPr>
          <w:p w14:paraId="73E048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ДИ-2</w:t>
            </w:r>
          </w:p>
        </w:tc>
      </w:tr>
      <w:tr w:rsidR="00E371BA" w:rsidRPr="00507A31" w14:paraId="4DCDE6D9" w14:textId="77777777">
        <w:tc>
          <w:tcPr>
            <w:tcW w:w="3192" w:type="dxa"/>
            <w:shd w:val="clear" w:color="auto" w:fill="FFFFFF"/>
          </w:tcPr>
          <w:p w14:paraId="1FDEF9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Длина в линии полета (м)</w:t>
            </w:r>
          </w:p>
        </w:tc>
        <w:tc>
          <w:tcPr>
            <w:tcW w:w="3192" w:type="dxa"/>
            <w:shd w:val="clear" w:color="auto" w:fill="FFFFFF"/>
          </w:tcPr>
          <w:p w14:paraId="481653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8,2</w:t>
            </w:r>
          </w:p>
        </w:tc>
        <w:tc>
          <w:tcPr>
            <w:tcW w:w="3192" w:type="dxa"/>
            <w:shd w:val="clear" w:color="auto" w:fill="FFFFFF"/>
          </w:tcPr>
          <w:p w14:paraId="1B7E0D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7,66</w:t>
            </w:r>
          </w:p>
        </w:tc>
      </w:tr>
      <w:tr w:rsidR="00E371BA" w:rsidRPr="00507A31" w14:paraId="445A7E93" w14:textId="77777777">
        <w:tc>
          <w:tcPr>
            <w:tcW w:w="3192" w:type="dxa"/>
            <w:shd w:val="clear" w:color="auto" w:fill="FFFFFF"/>
          </w:tcPr>
          <w:p w14:paraId="6F1DF3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Размах верхнего крыла (м)</w:t>
            </w:r>
          </w:p>
        </w:tc>
        <w:tc>
          <w:tcPr>
            <w:tcW w:w="3192" w:type="dxa"/>
            <w:shd w:val="clear" w:color="auto" w:fill="FFFFFF"/>
          </w:tcPr>
          <w:p w14:paraId="6B2427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11,8</w:t>
            </w:r>
          </w:p>
        </w:tc>
        <w:tc>
          <w:tcPr>
            <w:tcW w:w="3192" w:type="dxa"/>
            <w:shd w:val="clear" w:color="auto" w:fill="FFFFFF"/>
          </w:tcPr>
          <w:p w14:paraId="65107B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11,8</w:t>
            </w:r>
          </w:p>
        </w:tc>
      </w:tr>
      <w:tr w:rsidR="00E371BA" w:rsidRPr="00507A31" w14:paraId="55654B55" w14:textId="77777777">
        <w:tc>
          <w:tcPr>
            <w:tcW w:w="3192" w:type="dxa"/>
            <w:shd w:val="clear" w:color="auto" w:fill="FFFFFF"/>
          </w:tcPr>
          <w:p w14:paraId="5EB69F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Площадь крыльев (м</w:t>
            </w:r>
            <w:r w:rsidRPr="00507A31">
              <w:rPr>
                <w:color w:val="000000" w:themeColor="text1"/>
                <w:sz w:val="16"/>
                <w:szCs w:val="16"/>
                <w:vertAlign w:val="superscript"/>
              </w:rPr>
              <w:t>2</w:t>
            </w:r>
            <w:r w:rsidRPr="00507A31">
              <w:rPr>
                <w:color w:val="000000" w:themeColor="text1"/>
                <w:sz w:val="16"/>
                <w:szCs w:val="16"/>
              </w:rPr>
              <w:t>)</w:t>
            </w:r>
          </w:p>
        </w:tc>
        <w:tc>
          <w:tcPr>
            <w:tcW w:w="3192" w:type="dxa"/>
            <w:shd w:val="clear" w:color="auto" w:fill="FFFFFF"/>
          </w:tcPr>
          <w:p w14:paraId="1F1874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31,8</w:t>
            </w:r>
          </w:p>
        </w:tc>
        <w:tc>
          <w:tcPr>
            <w:tcW w:w="3192" w:type="dxa"/>
            <w:shd w:val="clear" w:color="auto" w:fill="FFFFFF"/>
          </w:tcPr>
          <w:p w14:paraId="0830DB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30,33</w:t>
            </w:r>
          </w:p>
        </w:tc>
      </w:tr>
      <w:tr w:rsidR="00E371BA" w:rsidRPr="00507A31" w14:paraId="6C58CE42" w14:textId="77777777">
        <w:tc>
          <w:tcPr>
            <w:tcW w:w="3192" w:type="dxa"/>
            <w:shd w:val="clear" w:color="auto" w:fill="FFFFFF"/>
          </w:tcPr>
          <w:p w14:paraId="2A07D2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 пустого (кг)</w:t>
            </w:r>
          </w:p>
        </w:tc>
        <w:tc>
          <w:tcPr>
            <w:tcW w:w="3192" w:type="dxa"/>
            <w:shd w:val="clear" w:color="auto" w:fill="FFFFFF"/>
          </w:tcPr>
          <w:p w14:paraId="0911EB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1557</w:t>
            </w:r>
          </w:p>
        </w:tc>
        <w:tc>
          <w:tcPr>
            <w:tcW w:w="3192" w:type="dxa"/>
            <w:shd w:val="clear" w:color="auto" w:fill="FFFFFF"/>
          </w:tcPr>
          <w:p w14:paraId="0F91EDB4"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0A15380D" w14:textId="77777777">
        <w:tc>
          <w:tcPr>
            <w:tcW w:w="3192" w:type="dxa"/>
            <w:shd w:val="clear" w:color="auto" w:fill="FFFFFF"/>
          </w:tcPr>
          <w:p w14:paraId="25ED98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Полетный вес (кг)</w:t>
            </w:r>
          </w:p>
        </w:tc>
        <w:tc>
          <w:tcPr>
            <w:tcW w:w="3192" w:type="dxa"/>
            <w:shd w:val="clear" w:color="auto" w:fill="FFFFFF"/>
          </w:tcPr>
          <w:p w14:paraId="270D22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2122</w:t>
            </w:r>
          </w:p>
        </w:tc>
        <w:tc>
          <w:tcPr>
            <w:tcW w:w="3192" w:type="dxa"/>
            <w:shd w:val="clear" w:color="auto" w:fill="FFFFFF"/>
          </w:tcPr>
          <w:p w14:paraId="3DE15F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2214</w:t>
            </w:r>
          </w:p>
        </w:tc>
      </w:tr>
      <w:tr w:rsidR="00E371BA" w:rsidRPr="00507A31" w14:paraId="43D16EA7" w14:textId="77777777">
        <w:tc>
          <w:tcPr>
            <w:tcW w:w="3192" w:type="dxa"/>
            <w:shd w:val="clear" w:color="auto" w:fill="FFFFFF"/>
          </w:tcPr>
          <w:p w14:paraId="6B1411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Нагрузка на крыло (кг/м2)</w:t>
            </w:r>
          </w:p>
        </w:tc>
        <w:tc>
          <w:tcPr>
            <w:tcW w:w="3192" w:type="dxa"/>
            <w:shd w:val="clear" w:color="auto" w:fill="FFFFFF"/>
          </w:tcPr>
          <w:p w14:paraId="7BEE7A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66,7</w:t>
            </w:r>
          </w:p>
        </w:tc>
        <w:tc>
          <w:tcPr>
            <w:tcW w:w="3192" w:type="dxa"/>
            <w:shd w:val="clear" w:color="auto" w:fill="FFFFFF"/>
          </w:tcPr>
          <w:p w14:paraId="06F017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72,9</w:t>
            </w:r>
          </w:p>
        </w:tc>
      </w:tr>
      <w:tr w:rsidR="00E371BA" w:rsidRPr="00507A31" w14:paraId="3C49781A" w14:textId="77777777">
        <w:tc>
          <w:tcPr>
            <w:tcW w:w="3192" w:type="dxa"/>
            <w:shd w:val="clear" w:color="auto" w:fill="FFFFFF"/>
          </w:tcPr>
          <w:p w14:paraId="548EDA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Скорость максимальная у земли (км/ч)</w:t>
            </w:r>
          </w:p>
        </w:tc>
        <w:tc>
          <w:tcPr>
            <w:tcW w:w="3192" w:type="dxa"/>
            <w:shd w:val="clear" w:color="auto" w:fill="FFFFFF"/>
          </w:tcPr>
          <w:p w14:paraId="0771A3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254</w:t>
            </w:r>
          </w:p>
        </w:tc>
        <w:tc>
          <w:tcPr>
            <w:tcW w:w="3192" w:type="dxa"/>
            <w:shd w:val="clear" w:color="auto" w:fill="FFFFFF"/>
          </w:tcPr>
          <w:p w14:paraId="2D915A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278</w:t>
            </w:r>
          </w:p>
        </w:tc>
      </w:tr>
      <w:tr w:rsidR="00E371BA" w:rsidRPr="00507A31" w14:paraId="3D76BE89" w14:textId="77777777">
        <w:tc>
          <w:tcPr>
            <w:tcW w:w="3192" w:type="dxa"/>
            <w:shd w:val="clear" w:color="auto" w:fill="FFFFFF"/>
          </w:tcPr>
          <w:p w14:paraId="69915F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Скорость максимальная на 3000м на высоте 5000 метров (км/ч)</w:t>
            </w:r>
          </w:p>
        </w:tc>
        <w:tc>
          <w:tcPr>
            <w:tcW w:w="3192" w:type="dxa"/>
            <w:shd w:val="clear" w:color="auto" w:fill="FFFFFF"/>
          </w:tcPr>
          <w:p w14:paraId="090D6E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274,5</w:t>
            </w:r>
          </w:p>
        </w:tc>
        <w:tc>
          <w:tcPr>
            <w:tcW w:w="3192" w:type="dxa"/>
            <w:shd w:val="clear" w:color="auto" w:fill="FFFFFF"/>
          </w:tcPr>
          <w:p w14:paraId="6361E4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268</w:t>
            </w:r>
          </w:p>
        </w:tc>
      </w:tr>
      <w:tr w:rsidR="00E371BA" w:rsidRPr="00507A31" w14:paraId="3E17D7DC" w14:textId="77777777">
        <w:tc>
          <w:tcPr>
            <w:tcW w:w="3192" w:type="dxa"/>
            <w:tcBorders>
              <w:bottom w:val="single" w:sz="12" w:space="0" w:color="auto"/>
            </w:tcBorders>
            <w:shd w:val="clear" w:color="auto" w:fill="FFFFFF"/>
          </w:tcPr>
          <w:p w14:paraId="0F7852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Дальность полета (км)</w:t>
            </w:r>
          </w:p>
        </w:tc>
        <w:tc>
          <w:tcPr>
            <w:tcW w:w="3192" w:type="dxa"/>
            <w:tcBorders>
              <w:bottom w:val="single" w:sz="12" w:space="0" w:color="auto"/>
            </w:tcBorders>
            <w:shd w:val="clear" w:color="auto" w:fill="FFFFFF"/>
          </w:tcPr>
          <w:p w14:paraId="15F862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510 (11134).</w:t>
            </w:r>
          </w:p>
        </w:tc>
        <w:tc>
          <w:tcPr>
            <w:tcW w:w="3192" w:type="dxa"/>
            <w:tcBorders>
              <w:bottom w:val="single" w:sz="12" w:space="0" w:color="auto"/>
            </w:tcBorders>
            <w:shd w:val="clear" w:color="auto" w:fill="FFFFFF"/>
          </w:tcPr>
          <w:p w14:paraId="74DC2F84" w14:textId="77777777" w:rsidR="00537E5F" w:rsidRPr="00507A31" w:rsidRDefault="00537E5F" w:rsidP="00507A31">
            <w:pPr>
              <w:autoSpaceDE w:val="0"/>
              <w:autoSpaceDN w:val="0"/>
              <w:adjustRightInd w:val="0"/>
              <w:jc w:val="both"/>
              <w:rPr>
                <w:color w:val="000000" w:themeColor="text1"/>
                <w:sz w:val="16"/>
                <w:szCs w:val="16"/>
              </w:rPr>
            </w:pPr>
          </w:p>
        </w:tc>
      </w:tr>
    </w:tbl>
    <w:p w14:paraId="33C0E4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A1CD3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августа 1930 г., ког</w:t>
      </w:r>
      <w:r w:rsidRPr="00507A31">
        <w:rPr>
          <w:color w:val="000000" w:themeColor="text1"/>
          <w:sz w:val="16"/>
          <w:szCs w:val="16"/>
        </w:rPr>
        <w:softHyphen/>
        <w:t>да над Центральным аэродромом на Д-2 выполнялось пикирование с последующим выходом на горизонталь</w:t>
      </w:r>
      <w:r w:rsidRPr="00507A31">
        <w:rPr>
          <w:color w:val="000000" w:themeColor="text1"/>
          <w:sz w:val="16"/>
          <w:szCs w:val="16"/>
        </w:rPr>
        <w:softHyphen/>
        <w:t>ную площадку, отвалилось оперение и произошла ката</w:t>
      </w:r>
      <w:r w:rsidRPr="00507A31">
        <w:rPr>
          <w:color w:val="000000" w:themeColor="text1"/>
          <w:sz w:val="16"/>
          <w:szCs w:val="16"/>
        </w:rPr>
        <w:softHyphen/>
        <w:t>строфа. Экипаж погиб. Выдвигались две наиболее вероятные причины случившегося: 1) нарастающие ви</w:t>
      </w:r>
      <w:r w:rsidRPr="00507A31">
        <w:rPr>
          <w:color w:val="000000" w:themeColor="text1"/>
          <w:sz w:val="16"/>
          <w:szCs w:val="16"/>
        </w:rPr>
        <w:softHyphen/>
        <w:t>брации хвостового оперения, которые привели к его разрушению, 2) недостаточно прочная конструкция его крепления после переделки для увеличения поперечно</w:t>
      </w:r>
      <w:r w:rsidRPr="00507A31">
        <w:rPr>
          <w:color w:val="000000" w:themeColor="text1"/>
          <w:sz w:val="16"/>
          <w:szCs w:val="16"/>
        </w:rPr>
        <w:softHyphen/>
        <w:t>го угла установки. Еще одной причиной могло быть ос</w:t>
      </w:r>
      <w:r w:rsidRPr="00507A31">
        <w:rPr>
          <w:color w:val="000000" w:themeColor="text1"/>
          <w:sz w:val="16"/>
          <w:szCs w:val="16"/>
        </w:rPr>
        <w:softHyphen/>
        <w:t>лабление затяжки крепежных соединений оперения, что привело к люфтам в узлах крепления, вибрациям опере</w:t>
      </w:r>
      <w:r w:rsidRPr="00507A31">
        <w:rPr>
          <w:color w:val="000000" w:themeColor="text1"/>
          <w:sz w:val="16"/>
          <w:szCs w:val="16"/>
        </w:rPr>
        <w:softHyphen/>
        <w:t>ния и его отделению от самолета. Резолюция временно исполняющего обязанности начальника ВВС Я.И.Алксниса в материалах по рассле</w:t>
      </w:r>
      <w:r w:rsidRPr="00507A31">
        <w:rPr>
          <w:color w:val="000000" w:themeColor="text1"/>
          <w:sz w:val="16"/>
          <w:szCs w:val="16"/>
        </w:rPr>
        <w:softHyphen/>
        <w:t>дованию катастрофы была своеобразной и предельно жесткой: «НТК дать конкретный материал по всем но</w:t>
      </w:r>
      <w:r w:rsidRPr="00507A31">
        <w:rPr>
          <w:color w:val="000000" w:themeColor="text1"/>
          <w:sz w:val="16"/>
          <w:szCs w:val="16"/>
        </w:rPr>
        <w:softHyphen/>
        <w:t>вым самолетам, по коим получились сильные расхожде</w:t>
      </w:r>
      <w:r w:rsidRPr="00507A31">
        <w:rPr>
          <w:color w:val="000000" w:themeColor="text1"/>
          <w:sz w:val="16"/>
          <w:szCs w:val="16"/>
        </w:rPr>
        <w:softHyphen/>
        <w:t>ния между заводскими испытаниями и испытаниями в НИИ, с указанием фамилий тех летчиков завода, кото</w:t>
      </w:r>
      <w:r w:rsidRPr="00507A31">
        <w:rPr>
          <w:color w:val="000000" w:themeColor="text1"/>
          <w:sz w:val="16"/>
          <w:szCs w:val="16"/>
        </w:rPr>
        <w:softHyphen/>
        <w:t>рые дали неправильные сведения, на предмет привлече</w:t>
      </w:r>
      <w:r w:rsidRPr="00507A31">
        <w:rPr>
          <w:color w:val="000000" w:themeColor="text1"/>
          <w:sz w:val="16"/>
          <w:szCs w:val="16"/>
        </w:rPr>
        <w:softHyphen/>
        <w:t>ния их к заслуженной ответственности» (10667).</w:t>
      </w:r>
    </w:p>
    <w:p w14:paraId="0EFC64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3A29E53" w14:textId="77777777" w:rsidR="00661719" w:rsidRPr="00507A31" w:rsidRDefault="00661719" w:rsidP="00507A31">
      <w:pPr>
        <w:jc w:val="both"/>
        <w:rPr>
          <w:color w:val="000000" w:themeColor="text1"/>
          <w:sz w:val="16"/>
          <w:szCs w:val="16"/>
        </w:rPr>
      </w:pPr>
      <w:r w:rsidRPr="00507A31">
        <w:rPr>
          <w:color w:val="000000" w:themeColor="text1"/>
          <w:sz w:val="16"/>
          <w:szCs w:val="16"/>
        </w:rPr>
        <w:t>4 авгу</w:t>
      </w:r>
      <w:r w:rsidRPr="00507A31">
        <w:rPr>
          <w:color w:val="000000" w:themeColor="text1"/>
          <w:sz w:val="16"/>
          <w:szCs w:val="16"/>
        </w:rPr>
        <w:softHyphen/>
        <w:t>ста 1930 г. Чекарев получил задание на про</w:t>
      </w:r>
      <w:r w:rsidRPr="00507A31">
        <w:rPr>
          <w:color w:val="000000" w:themeColor="text1"/>
          <w:sz w:val="16"/>
          <w:szCs w:val="16"/>
        </w:rPr>
        <w:softHyphen/>
        <w:t>верку управляемости Д-2 на высоте 3000 м. Однако первый полет в этот день он совмес</w:t>
      </w:r>
      <w:r w:rsidRPr="00507A31">
        <w:rPr>
          <w:color w:val="000000" w:themeColor="text1"/>
          <w:sz w:val="16"/>
          <w:szCs w:val="16"/>
        </w:rPr>
        <w:softHyphen/>
        <w:t>тно с наблюдателем Василием Ивановичем Благонадеждиным выполнил на достиже</w:t>
      </w:r>
      <w:r w:rsidRPr="00507A31">
        <w:rPr>
          <w:color w:val="000000" w:themeColor="text1"/>
          <w:sz w:val="16"/>
          <w:szCs w:val="16"/>
        </w:rPr>
        <w:softHyphen/>
        <w:t>ние максимального потолка самолета. Воо</w:t>
      </w:r>
      <w:r w:rsidRPr="00507A31">
        <w:rPr>
          <w:color w:val="000000" w:themeColor="text1"/>
          <w:sz w:val="16"/>
          <w:szCs w:val="16"/>
        </w:rPr>
        <w:softHyphen/>
        <w:t>ружившись кислородными приборами, пи</w:t>
      </w:r>
      <w:r w:rsidRPr="00507A31">
        <w:rPr>
          <w:color w:val="000000" w:themeColor="text1"/>
          <w:sz w:val="16"/>
          <w:szCs w:val="16"/>
        </w:rPr>
        <w:softHyphen/>
        <w:t>лоты «взяли» высоту 7170 метров. Затем, по</w:t>
      </w:r>
      <w:r w:rsidRPr="00507A31">
        <w:rPr>
          <w:color w:val="000000" w:themeColor="text1"/>
          <w:sz w:val="16"/>
          <w:szCs w:val="16"/>
        </w:rPr>
        <w:softHyphen/>
        <w:t>сле короткого отдыха, начали готовиться ко второму полету.</w:t>
      </w:r>
    </w:p>
    <w:p w14:paraId="10A09086" w14:textId="77777777" w:rsidR="00661719" w:rsidRPr="00507A31" w:rsidRDefault="00661719" w:rsidP="00507A31">
      <w:pPr>
        <w:jc w:val="both"/>
        <w:rPr>
          <w:color w:val="000000" w:themeColor="text1"/>
          <w:sz w:val="16"/>
          <w:szCs w:val="16"/>
        </w:rPr>
      </w:pPr>
      <w:r w:rsidRPr="00507A31">
        <w:rPr>
          <w:color w:val="000000" w:themeColor="text1"/>
          <w:sz w:val="16"/>
          <w:szCs w:val="16"/>
        </w:rPr>
        <w:t>Руководил полетами 4 августа начальник 1-й бригады истребительного отдела НИИ ВВС Николай Алексеевич Жемчужин. По его свидетельству Чекарев, отправляясь во вто</w:t>
      </w:r>
      <w:r w:rsidRPr="00507A31">
        <w:rPr>
          <w:color w:val="000000" w:themeColor="text1"/>
          <w:sz w:val="16"/>
          <w:szCs w:val="16"/>
        </w:rPr>
        <w:softHyphen/>
        <w:t>рой полет, сказал: «я его теперь поломаю, как следует». Под этими словами понималось, что летчик испробует самолет на максималь</w:t>
      </w:r>
      <w:r w:rsidRPr="00507A31">
        <w:rPr>
          <w:color w:val="000000" w:themeColor="text1"/>
          <w:sz w:val="16"/>
          <w:szCs w:val="16"/>
        </w:rPr>
        <w:softHyphen/>
        <w:t>ные перегрузки. Жемчужин в ответ заметил: «брось ерунду делать, это тебе не ВТ» (ВТ — это опытный истребитель И-5).</w:t>
      </w:r>
    </w:p>
    <w:p w14:paraId="7AD52B42" w14:textId="77777777" w:rsidR="00661719" w:rsidRPr="00507A31" w:rsidRDefault="00661719" w:rsidP="00507A31">
      <w:pPr>
        <w:jc w:val="both"/>
        <w:rPr>
          <w:color w:val="000000" w:themeColor="text1"/>
          <w:sz w:val="16"/>
          <w:szCs w:val="16"/>
        </w:rPr>
      </w:pPr>
      <w:r w:rsidRPr="00507A31">
        <w:rPr>
          <w:color w:val="000000" w:themeColor="text1"/>
          <w:sz w:val="16"/>
          <w:szCs w:val="16"/>
        </w:rPr>
        <w:t>Среди свидетелей, наблюдавших с земли полет самолета Д-2, находились помощник Начальника ЦКБ завода №39 Д.П. Григо</w:t>
      </w:r>
      <w:r w:rsidRPr="00507A31">
        <w:rPr>
          <w:color w:val="000000" w:themeColor="text1"/>
          <w:sz w:val="16"/>
          <w:szCs w:val="16"/>
        </w:rPr>
        <w:softHyphen/>
        <w:t>рович и заместитель Начальника ЦКБ И.М. Артамонов. По их показаниям, после выпол</w:t>
      </w:r>
      <w:r w:rsidRPr="00507A31">
        <w:rPr>
          <w:color w:val="000000" w:themeColor="text1"/>
          <w:sz w:val="16"/>
          <w:szCs w:val="16"/>
        </w:rPr>
        <w:softHyphen/>
        <w:t>нения задания самолет вышел из облаков на высоте 1200 м, затем снизился спиралью до высоты 300 м, далее продолжал снижаться на высокой скорости до высоты 100 метров. В этот период наблюдатели заметили сильную вибрацию хвостового оперения и последую</w:t>
      </w:r>
      <w:r w:rsidRPr="00507A31">
        <w:rPr>
          <w:color w:val="000000" w:themeColor="text1"/>
          <w:sz w:val="16"/>
          <w:szCs w:val="16"/>
        </w:rPr>
        <w:softHyphen/>
        <w:t>щее разрушение правой его половины. Затем произошло разрушение коробки крыльев, и самолет врезался в землю. Экипаж погиб. Летчик Чекарев и наблюдатель Благонадеж- дин имели парашюты, однако воспользо</w:t>
      </w:r>
      <w:r w:rsidRPr="00507A31">
        <w:rPr>
          <w:color w:val="000000" w:themeColor="text1"/>
          <w:sz w:val="16"/>
          <w:szCs w:val="16"/>
        </w:rPr>
        <w:softHyphen/>
        <w:t>ваться ими не успели, т.к. высота была слиш</w:t>
      </w:r>
      <w:r w:rsidRPr="00507A31">
        <w:rPr>
          <w:color w:val="000000" w:themeColor="text1"/>
          <w:sz w:val="16"/>
          <w:szCs w:val="16"/>
        </w:rPr>
        <w:softHyphen/>
        <w:t>ком мала.</w:t>
      </w:r>
    </w:p>
    <w:p w14:paraId="5EE98739" w14:textId="77777777" w:rsidR="00661719" w:rsidRPr="00507A31" w:rsidRDefault="00661719" w:rsidP="00507A31">
      <w:pPr>
        <w:jc w:val="both"/>
        <w:rPr>
          <w:color w:val="000000" w:themeColor="text1"/>
          <w:sz w:val="16"/>
          <w:szCs w:val="16"/>
        </w:rPr>
      </w:pPr>
      <w:r w:rsidRPr="00507A31">
        <w:rPr>
          <w:color w:val="000000" w:themeColor="text1"/>
          <w:sz w:val="16"/>
          <w:szCs w:val="16"/>
        </w:rPr>
        <w:t>Вибрации оперения испытатели отмечали и ранее, однако серьезного значения им не придавали. Считалось, что подъем оперения вверх привел к тому, что оно попало в возму</w:t>
      </w:r>
      <w:r w:rsidRPr="00507A31">
        <w:rPr>
          <w:color w:val="000000" w:themeColor="text1"/>
          <w:sz w:val="16"/>
          <w:szCs w:val="16"/>
        </w:rPr>
        <w:softHyphen/>
        <w:t>щенную зону от крыла самолета. Резкое пи</w:t>
      </w:r>
      <w:r w:rsidRPr="00507A31">
        <w:rPr>
          <w:color w:val="000000" w:themeColor="text1"/>
          <w:sz w:val="16"/>
          <w:szCs w:val="16"/>
        </w:rPr>
        <w:softHyphen/>
        <w:t>лотирование Д-2 4 августа привело к частич</w:t>
      </w:r>
      <w:r w:rsidRPr="00507A31">
        <w:rPr>
          <w:color w:val="000000" w:themeColor="text1"/>
          <w:sz w:val="16"/>
          <w:szCs w:val="16"/>
        </w:rPr>
        <w:softHyphen/>
        <w:t>ному разрушению узлов крепления опере</w:t>
      </w:r>
      <w:r w:rsidRPr="00507A31">
        <w:rPr>
          <w:color w:val="000000" w:themeColor="text1"/>
          <w:sz w:val="16"/>
          <w:szCs w:val="16"/>
        </w:rPr>
        <w:softHyphen/>
        <w:t>ния, а продолжающиеся вибрации доверши</w:t>
      </w:r>
      <w:r w:rsidRPr="00507A31">
        <w:rPr>
          <w:color w:val="000000" w:themeColor="text1"/>
          <w:sz w:val="16"/>
          <w:szCs w:val="16"/>
        </w:rPr>
        <w:softHyphen/>
        <w:t>ли его поломку на малой высоте, что и приве</w:t>
      </w:r>
      <w:r w:rsidRPr="00507A31">
        <w:rPr>
          <w:color w:val="000000" w:themeColor="text1"/>
          <w:sz w:val="16"/>
          <w:szCs w:val="16"/>
        </w:rPr>
        <w:softHyphen/>
        <w:t>ло к катастрофе.</w:t>
      </w:r>
    </w:p>
    <w:p w14:paraId="3FF58679" w14:textId="77777777" w:rsidR="00661719" w:rsidRPr="00507A31" w:rsidRDefault="00661719" w:rsidP="00507A31">
      <w:pPr>
        <w:jc w:val="both"/>
        <w:rPr>
          <w:color w:val="000000" w:themeColor="text1"/>
          <w:sz w:val="16"/>
          <w:szCs w:val="16"/>
        </w:rPr>
      </w:pPr>
      <w:r w:rsidRPr="00507A31">
        <w:rPr>
          <w:color w:val="000000" w:themeColor="text1"/>
          <w:sz w:val="16"/>
          <w:szCs w:val="16"/>
        </w:rPr>
        <w:t>После потери опытного экземпляра Д-2 работы по двухместным истребителям про</w:t>
      </w:r>
      <w:r w:rsidRPr="00507A31">
        <w:rPr>
          <w:color w:val="000000" w:themeColor="text1"/>
          <w:sz w:val="16"/>
          <w:szCs w:val="16"/>
        </w:rPr>
        <w:softHyphen/>
        <w:t>должились. Самолет ДИ-2 (иногда обозна</w:t>
      </w:r>
      <w:r w:rsidRPr="00507A31">
        <w:rPr>
          <w:color w:val="000000" w:themeColor="text1"/>
          <w:sz w:val="16"/>
          <w:szCs w:val="16"/>
        </w:rPr>
        <w:softHyphen/>
        <w:t>чался ИД - БМВУ1) разрабатывался в соот</w:t>
      </w:r>
      <w:r w:rsidRPr="00507A31">
        <w:rPr>
          <w:color w:val="000000" w:themeColor="text1"/>
          <w:sz w:val="16"/>
          <w:szCs w:val="16"/>
        </w:rPr>
        <w:softHyphen/>
        <w:t>ветствии с требованиями ВВС как двухмест</w:t>
      </w:r>
      <w:r w:rsidRPr="00507A31">
        <w:rPr>
          <w:color w:val="000000" w:themeColor="text1"/>
          <w:sz w:val="16"/>
          <w:szCs w:val="16"/>
        </w:rPr>
        <w:softHyphen/>
        <w:t>ный истребитель, предназначенный для воз</w:t>
      </w:r>
      <w:r w:rsidRPr="00507A31">
        <w:rPr>
          <w:color w:val="000000" w:themeColor="text1"/>
          <w:sz w:val="16"/>
          <w:szCs w:val="16"/>
        </w:rPr>
        <w:softHyphen/>
        <w:t>душного боя и разведки. Вооружение по за</w:t>
      </w:r>
      <w:r w:rsidRPr="00507A31">
        <w:rPr>
          <w:color w:val="000000" w:themeColor="text1"/>
          <w:sz w:val="16"/>
          <w:szCs w:val="16"/>
        </w:rPr>
        <w:softHyphen/>
        <w:t>данию первоначально составляло два син</w:t>
      </w:r>
      <w:r w:rsidRPr="00507A31">
        <w:rPr>
          <w:color w:val="000000" w:themeColor="text1"/>
          <w:sz w:val="16"/>
          <w:szCs w:val="16"/>
        </w:rPr>
        <w:softHyphen/>
        <w:t>хронных пулемета вперед и два пулемета на турели назад. Осмотр полноразмерного ма</w:t>
      </w:r>
      <w:r w:rsidRPr="00507A31">
        <w:rPr>
          <w:color w:val="000000" w:themeColor="text1"/>
          <w:sz w:val="16"/>
          <w:szCs w:val="16"/>
        </w:rPr>
        <w:softHyphen/>
        <w:t>кета состоялся 8 октября 1930 г. Однако са</w:t>
      </w:r>
      <w:r w:rsidRPr="00507A31">
        <w:rPr>
          <w:color w:val="000000" w:themeColor="text1"/>
          <w:sz w:val="16"/>
          <w:szCs w:val="16"/>
        </w:rPr>
        <w:softHyphen/>
        <w:t>молет построен не был, так как предпочтение отдал и следующему типу — двухместному ис</w:t>
      </w:r>
      <w:r w:rsidRPr="00507A31">
        <w:rPr>
          <w:color w:val="000000" w:themeColor="text1"/>
          <w:sz w:val="16"/>
          <w:szCs w:val="16"/>
        </w:rPr>
        <w:softHyphen/>
        <w:t>требителю Д И-3 (12295).</w:t>
      </w:r>
    </w:p>
    <w:p w14:paraId="4934B7F5" w14:textId="77777777" w:rsidR="00661719" w:rsidRPr="00507A31" w:rsidRDefault="00661719" w:rsidP="00507A31">
      <w:pPr>
        <w:jc w:val="both"/>
        <w:rPr>
          <w:color w:val="000000" w:themeColor="text1"/>
          <w:sz w:val="16"/>
          <w:szCs w:val="16"/>
        </w:rPr>
      </w:pPr>
    </w:p>
    <w:p w14:paraId="068210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августа 1930 г. на опытном истребителе Д-2 при прове</w:t>
      </w:r>
      <w:r w:rsidRPr="00507A31">
        <w:rPr>
          <w:color w:val="000000" w:themeColor="text1"/>
          <w:sz w:val="16"/>
          <w:szCs w:val="16"/>
        </w:rPr>
        <w:softHyphen/>
        <w:t>дении испытаний разбился летчик НИИ ВВС Чекарев. И хотя в катастрофе осталось много невыясненно</w:t>
      </w:r>
      <w:r w:rsidRPr="00507A31">
        <w:rPr>
          <w:color w:val="000000" w:themeColor="text1"/>
          <w:sz w:val="16"/>
          <w:szCs w:val="16"/>
        </w:rPr>
        <w:softHyphen/>
        <w:t>го, Комиссия по чистке занялась анализом деятельности Поликар</w:t>
      </w:r>
      <w:r w:rsidRPr="00507A31">
        <w:rPr>
          <w:color w:val="000000" w:themeColor="text1"/>
          <w:sz w:val="16"/>
          <w:szCs w:val="16"/>
        </w:rPr>
        <w:softHyphen/>
        <w:t>пова. В это же время в адрес Комиссии поступили несколько писем, раскрывающих его «преступную дея</w:t>
      </w:r>
      <w:r w:rsidRPr="00507A31">
        <w:rPr>
          <w:color w:val="000000" w:themeColor="text1"/>
          <w:sz w:val="16"/>
          <w:szCs w:val="16"/>
        </w:rPr>
        <w:softHyphen/>
        <w:t>тельность». Дело заключалось в следующем. Успешно руководя (несмотря на заключение) конструкторской бригадой, Николай Николаевич не мог спокойно наблюдать, как посредственный инженер К.А.Петров, перешедший с завода N 25 в ЦКБ на должность заведующего секцией фюзеляжа, неумелыми действиями губит ее работу. По взаимной договоренности с работающим там персона</w:t>
      </w:r>
      <w:r w:rsidRPr="00507A31">
        <w:rPr>
          <w:color w:val="000000" w:themeColor="text1"/>
          <w:sz w:val="16"/>
          <w:szCs w:val="16"/>
        </w:rPr>
        <w:softHyphen/>
        <w:t>лом, Поликарпов перед началом рабочего дня прихо</w:t>
      </w:r>
      <w:r w:rsidRPr="00507A31">
        <w:rPr>
          <w:color w:val="000000" w:themeColor="text1"/>
          <w:sz w:val="16"/>
          <w:szCs w:val="16"/>
        </w:rPr>
        <w:softHyphen/>
        <w:t>дил в секцию фюзеляжа, заслушивал сообщения по текущим вопросам, давал руководящие указания. Во время официальных оперативок, проводимых Петро</w:t>
      </w:r>
      <w:r w:rsidRPr="00507A31">
        <w:rPr>
          <w:color w:val="000000" w:themeColor="text1"/>
          <w:sz w:val="16"/>
          <w:szCs w:val="16"/>
        </w:rPr>
        <w:softHyphen/>
        <w:t>вым, коллектив секции молча пропускал его задания мимо ушей, выполняя лишь то, что было согласовано с Поликарповым. В один прекрасный день все раскры</w:t>
      </w:r>
      <w:r w:rsidRPr="00507A31">
        <w:rPr>
          <w:color w:val="000000" w:themeColor="text1"/>
          <w:sz w:val="16"/>
          <w:szCs w:val="16"/>
        </w:rPr>
        <w:softHyphen/>
        <w:t>лось. После разгоревшегося скандала в самом конце сентября 1930 г. Николай Николаевич был смещен с за</w:t>
      </w:r>
      <w:r w:rsidRPr="00507A31">
        <w:rPr>
          <w:color w:val="000000" w:themeColor="text1"/>
          <w:sz w:val="16"/>
          <w:szCs w:val="16"/>
        </w:rPr>
        <w:softHyphen/>
        <w:t>нимаемой должности и переведен на должность стар</w:t>
      </w:r>
      <w:r w:rsidRPr="00507A31">
        <w:rPr>
          <w:color w:val="000000" w:themeColor="text1"/>
          <w:sz w:val="16"/>
          <w:szCs w:val="16"/>
        </w:rPr>
        <w:softHyphen/>
        <w:t>шего инженера по расчетам. Его бригадой стал руководить С.А.Кочеригин. Вот как это событие описывает Петров в своей до</w:t>
      </w:r>
      <w:r w:rsidRPr="00507A31">
        <w:rPr>
          <w:color w:val="000000" w:themeColor="text1"/>
          <w:sz w:val="16"/>
          <w:szCs w:val="16"/>
        </w:rPr>
        <w:softHyphen/>
        <w:t>кладной записке в Комиссию по чистке:</w:t>
      </w:r>
    </w:p>
    <w:p w14:paraId="46B9A7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«...Утром рано прихожу на работу и вижу, что рабо</w:t>
      </w:r>
      <w:r w:rsidRPr="00507A31">
        <w:rPr>
          <w:color w:val="000000" w:themeColor="text1"/>
          <w:sz w:val="16"/>
          <w:szCs w:val="16"/>
        </w:rPr>
        <w:softHyphen/>
        <w:t>тами секции руководит Поликарпов, распределяя зада</w:t>
      </w:r>
      <w:r w:rsidRPr="00507A31">
        <w:rPr>
          <w:color w:val="000000" w:themeColor="text1"/>
          <w:sz w:val="16"/>
          <w:szCs w:val="16"/>
        </w:rPr>
        <w:softHyphen/>
        <w:t>ния. Я выслушал, немедленно пошел к Яценко (в то время зав. Конструкторским отделом. - В.И.) и поставил вопрос ребром: «Кто ответственен за работу секции, я или Поликарпов?»... Очевидно, этот разговор пошел вверх по начальству и вскоре инж. Поликарпов очутил</w:t>
      </w:r>
      <w:r w:rsidRPr="00507A31">
        <w:rPr>
          <w:color w:val="000000" w:themeColor="text1"/>
          <w:sz w:val="16"/>
          <w:szCs w:val="16"/>
        </w:rPr>
        <w:softHyphen/>
        <w:t>ся в Расчетном отделе.</w:t>
      </w:r>
    </w:p>
    <w:p w14:paraId="5B5722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сейчас пошла работа по старинке, как она дела</w:t>
      </w:r>
      <w:r w:rsidRPr="00507A31">
        <w:rPr>
          <w:color w:val="000000" w:themeColor="text1"/>
          <w:sz w:val="16"/>
          <w:szCs w:val="16"/>
        </w:rPr>
        <w:softHyphen/>
        <w:t>лась до момента ареста того же инженера Поликарпова; нет-нет, да маска спадает: «Я арестант - мое дело ма-ленькое». Фраза, которая изредка срывается с языка, -писал в Комиссию К.А.Петров. - Когда я принял работы по сам[олету] «III» и когда в первые дни дальнейшей проработки я натолкнулся на кучу детских ошибок в конструкции, когда обнаружилось, что отдельные узлы самолета не увязаны с каркасом его между собой и ког</w:t>
      </w:r>
      <w:r w:rsidRPr="00507A31">
        <w:rPr>
          <w:color w:val="000000" w:themeColor="text1"/>
          <w:sz w:val="16"/>
          <w:szCs w:val="16"/>
        </w:rPr>
        <w:softHyphen/>
        <w:t>да я узнал, что почти все эти чертежи находятся в про</w:t>
      </w:r>
      <w:r w:rsidRPr="00507A31">
        <w:rPr>
          <w:color w:val="000000" w:themeColor="text1"/>
          <w:sz w:val="16"/>
          <w:szCs w:val="16"/>
        </w:rPr>
        <w:softHyphen/>
        <w:t>изводстве в работе, я обратился к инж. Поликарпову и сказал: «Николай Николаевич, ведь эти работы надо приостановить, пока мы не выверили всего». Ответ был прост: «А, ерунда, сделают и выбросят, а потом ты дашь новые чертежи»» (10667).</w:t>
      </w:r>
    </w:p>
    <w:p w14:paraId="38E302FC" w14:textId="77777777" w:rsidR="00537E5F" w:rsidRPr="00507A31" w:rsidRDefault="00537E5F" w:rsidP="00507A31">
      <w:pPr>
        <w:autoSpaceDE w:val="0"/>
        <w:autoSpaceDN w:val="0"/>
        <w:adjustRightInd w:val="0"/>
        <w:jc w:val="both"/>
        <w:rPr>
          <w:color w:val="000000" w:themeColor="text1"/>
          <w:sz w:val="16"/>
          <w:szCs w:val="16"/>
        </w:rPr>
      </w:pPr>
    </w:p>
    <w:p w14:paraId="77F65C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августа 1930 П.И.Гроховский провел совещание руководителей групп КО, будущего Осконбюро. Работали над картонажными мешками для десантирования, подвесками разных грузов, подкрыльными люльками, двумя малыми авиабусами (беспарашютный сброс), парашютами, модернизацией Р-5 в 10-12 местную транспортную машину. В этот день пришел Б.Д.Урлапов из Саратова (1101,62).</w:t>
      </w:r>
    </w:p>
    <w:p w14:paraId="413B3A5C" w14:textId="77777777" w:rsidR="00537E5F" w:rsidRPr="00507A31" w:rsidRDefault="00537E5F" w:rsidP="00507A31">
      <w:pPr>
        <w:autoSpaceDE w:val="0"/>
        <w:autoSpaceDN w:val="0"/>
        <w:adjustRightInd w:val="0"/>
        <w:jc w:val="both"/>
        <w:rPr>
          <w:color w:val="000000" w:themeColor="text1"/>
          <w:sz w:val="16"/>
          <w:szCs w:val="16"/>
        </w:rPr>
      </w:pPr>
    </w:p>
    <w:p w14:paraId="183AB9C2" w14:textId="77777777" w:rsidR="0066171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FF51541" w14:textId="77777777" w:rsidR="00661719" w:rsidRPr="00507A31" w:rsidRDefault="00661719" w:rsidP="00507A31">
      <w:pPr>
        <w:autoSpaceDE w:val="0"/>
        <w:autoSpaceDN w:val="0"/>
        <w:adjustRightInd w:val="0"/>
        <w:jc w:val="both"/>
        <w:rPr>
          <w:iCs/>
          <w:color w:val="000000" w:themeColor="text1"/>
          <w:sz w:val="16"/>
          <w:szCs w:val="16"/>
        </w:rPr>
      </w:pPr>
    </w:p>
    <w:p w14:paraId="183D26EC" w14:textId="77777777" w:rsidR="00661719" w:rsidRPr="00507A31" w:rsidRDefault="00661719" w:rsidP="00507A31">
      <w:pPr>
        <w:jc w:val="both"/>
        <w:rPr>
          <w:color w:val="000000" w:themeColor="text1"/>
          <w:sz w:val="16"/>
          <w:szCs w:val="16"/>
          <w:u w:color="002060"/>
        </w:rPr>
      </w:pPr>
      <w:r w:rsidRPr="00507A31">
        <w:rPr>
          <w:color w:val="000000" w:themeColor="text1"/>
          <w:sz w:val="16"/>
          <w:szCs w:val="16"/>
          <w:u w:color="002060"/>
        </w:rPr>
        <w:t>4 августа</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военно-конской и повозочной повинности (РГАЭ. Ф. 4372. Оп. 91. Д. 469. Л. 93?99) (12415).</w:t>
      </w:r>
    </w:p>
    <w:p w14:paraId="7D0AEA12" w14:textId="77777777" w:rsidR="00661719" w:rsidRPr="00507A31" w:rsidRDefault="00661719" w:rsidP="00507A31">
      <w:pPr>
        <w:jc w:val="both"/>
        <w:rPr>
          <w:color w:val="000000" w:themeColor="text1"/>
          <w:sz w:val="16"/>
          <w:szCs w:val="16"/>
          <w:u w:color="002060"/>
        </w:rPr>
      </w:pPr>
    </w:p>
    <w:p w14:paraId="26C2B98A" w14:textId="77777777" w:rsidR="0066171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754A67F" w14:textId="77777777" w:rsidR="00661719" w:rsidRPr="00507A31" w:rsidRDefault="00661719" w:rsidP="00507A31">
      <w:pPr>
        <w:autoSpaceDE w:val="0"/>
        <w:autoSpaceDN w:val="0"/>
        <w:adjustRightInd w:val="0"/>
        <w:jc w:val="both"/>
        <w:rPr>
          <w:iCs/>
          <w:color w:val="000000" w:themeColor="text1"/>
          <w:sz w:val="16"/>
          <w:szCs w:val="16"/>
        </w:rPr>
      </w:pPr>
    </w:p>
    <w:p w14:paraId="258414EE" w14:textId="77777777" w:rsidR="00661719" w:rsidRPr="00507A31" w:rsidRDefault="00661719" w:rsidP="00507A31">
      <w:pPr>
        <w:jc w:val="both"/>
        <w:rPr>
          <w:color w:val="000000" w:themeColor="text1"/>
          <w:sz w:val="16"/>
          <w:szCs w:val="16"/>
          <w:u w:color="002060"/>
        </w:rPr>
      </w:pPr>
      <w:r w:rsidRPr="00507A31">
        <w:rPr>
          <w:color w:val="000000" w:themeColor="text1"/>
          <w:sz w:val="16"/>
          <w:szCs w:val="16"/>
          <w:u w:color="002060"/>
        </w:rPr>
        <w:t>5 августа</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3. Опросом членов ПБ от 29 июля 1930 г. 52/32. О передаче авиапромышленности из ВСНХ в НКВМор (ПБ от 25 июля 1930 г., пр. № 2, п. 44г) (Рудзутак). (Политбюро... Т. 2. С. 65) (12416).</w:t>
      </w:r>
    </w:p>
    <w:p w14:paraId="5723AA2D" w14:textId="77777777" w:rsidR="00661719" w:rsidRPr="00507A31" w:rsidRDefault="00661719" w:rsidP="00507A31">
      <w:pPr>
        <w:jc w:val="both"/>
        <w:rPr>
          <w:color w:val="000000" w:themeColor="text1"/>
          <w:sz w:val="16"/>
          <w:szCs w:val="16"/>
          <w:u w:color="002060"/>
        </w:rPr>
      </w:pPr>
    </w:p>
    <w:p w14:paraId="0E4477A3" w14:textId="77777777" w:rsidR="0066171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3AE6248" w14:textId="77777777" w:rsidR="00661719" w:rsidRPr="00507A31" w:rsidRDefault="00661719" w:rsidP="00507A31">
      <w:pPr>
        <w:autoSpaceDE w:val="0"/>
        <w:autoSpaceDN w:val="0"/>
        <w:adjustRightInd w:val="0"/>
        <w:jc w:val="both"/>
        <w:rPr>
          <w:iCs/>
          <w:color w:val="000000" w:themeColor="text1"/>
          <w:sz w:val="16"/>
          <w:szCs w:val="16"/>
        </w:rPr>
      </w:pPr>
    </w:p>
    <w:p w14:paraId="2E0BC3F0" w14:textId="77777777" w:rsidR="00294C59" w:rsidRPr="00507A31" w:rsidRDefault="00294C59" w:rsidP="00507A31">
      <w:pPr>
        <w:jc w:val="both"/>
        <w:rPr>
          <w:color w:val="0070C0"/>
          <w:sz w:val="16"/>
          <w:szCs w:val="16"/>
        </w:rPr>
      </w:pPr>
      <w:r w:rsidRPr="00507A31">
        <w:rPr>
          <w:color w:val="0070C0"/>
          <w:sz w:val="16"/>
          <w:szCs w:val="16"/>
        </w:rPr>
        <w:t>5 августа 1930 состоялось заседание ПБ (Протокол № 3)</w:t>
      </w:r>
    </w:p>
    <w:p w14:paraId="1468905A" w14:textId="77777777" w:rsidR="00294C59" w:rsidRPr="00507A31" w:rsidRDefault="00294C59" w:rsidP="00507A31">
      <w:pPr>
        <w:jc w:val="both"/>
        <w:rPr>
          <w:color w:val="0070C0"/>
          <w:sz w:val="16"/>
          <w:szCs w:val="16"/>
        </w:rPr>
      </w:pPr>
      <w:r w:rsidRPr="00507A31">
        <w:rPr>
          <w:color w:val="0070C0"/>
          <w:sz w:val="16"/>
          <w:szCs w:val="16"/>
        </w:rPr>
        <w:t>.-О предложении Форда</w:t>
      </w:r>
    </w:p>
    <w:p w14:paraId="0A768F16" w14:textId="77777777" w:rsidR="00294C59" w:rsidRPr="00507A31" w:rsidRDefault="00294C59" w:rsidP="00507A31">
      <w:pPr>
        <w:jc w:val="both"/>
        <w:rPr>
          <w:color w:val="0070C0"/>
          <w:sz w:val="16"/>
          <w:szCs w:val="16"/>
        </w:rPr>
      </w:pPr>
      <w:r w:rsidRPr="00507A31">
        <w:rPr>
          <w:color w:val="0070C0"/>
          <w:sz w:val="16"/>
          <w:szCs w:val="16"/>
        </w:rPr>
        <w:t>(т.т. Осинский, Куйбышев, Микоян, Акулов).</w:t>
      </w:r>
    </w:p>
    <w:p w14:paraId="015BEFED" w14:textId="77777777" w:rsidR="00294C59" w:rsidRPr="00507A31" w:rsidRDefault="00294C59" w:rsidP="00507A31">
      <w:pPr>
        <w:jc w:val="both"/>
        <w:rPr>
          <w:color w:val="0070C0"/>
          <w:sz w:val="16"/>
          <w:szCs w:val="16"/>
        </w:rPr>
      </w:pPr>
      <w:r w:rsidRPr="00507A31">
        <w:rPr>
          <w:color w:val="0070C0"/>
          <w:sz w:val="16"/>
          <w:szCs w:val="16"/>
        </w:rPr>
        <w:t>а) Признать в принципе приемлемыми предложение Форда о покупке у него комплектов оборудования, при условии, если этим будет достигнуто сокращение валютных расходов по закупке в Америке оборудования для автозавода, а также при условии предоставления нам соответсмтвующего кредита.</w:t>
      </w:r>
    </w:p>
    <w:p w14:paraId="3F0FFBAA" w14:textId="77777777" w:rsidR="00294C59" w:rsidRPr="00507A31" w:rsidRDefault="00294C59" w:rsidP="00507A31">
      <w:pPr>
        <w:jc w:val="both"/>
        <w:rPr>
          <w:color w:val="0070C0"/>
          <w:sz w:val="16"/>
          <w:szCs w:val="16"/>
        </w:rPr>
      </w:pPr>
      <w:r w:rsidRPr="00507A31">
        <w:rPr>
          <w:color w:val="0070C0"/>
          <w:sz w:val="16"/>
          <w:szCs w:val="16"/>
        </w:rPr>
        <w:t>б) Командирвать в Америку т. Н.Я. Зива (б. Председателя Амторга), которому поручить ведение переговоров.</w:t>
      </w:r>
    </w:p>
    <w:p w14:paraId="633674CF" w14:textId="77777777" w:rsidR="00294C59" w:rsidRPr="00507A31" w:rsidRDefault="00294C59" w:rsidP="00507A31">
      <w:pPr>
        <w:jc w:val="both"/>
        <w:rPr>
          <w:color w:val="0070C0"/>
          <w:sz w:val="16"/>
          <w:szCs w:val="16"/>
        </w:rPr>
      </w:pPr>
      <w:r w:rsidRPr="00507A31">
        <w:rPr>
          <w:color w:val="0070C0"/>
          <w:sz w:val="16"/>
          <w:szCs w:val="16"/>
        </w:rPr>
        <w:t>в) Опручить т.т. Микояну и Осинскому дать т. Зиву необходимые директивы.</w:t>
      </w:r>
    </w:p>
    <w:p w14:paraId="3B2C1C84" w14:textId="77777777" w:rsidR="00294C59" w:rsidRPr="00507A31" w:rsidRDefault="00294C59" w:rsidP="00507A31">
      <w:pPr>
        <w:jc w:val="both"/>
        <w:rPr>
          <w:color w:val="0070C0"/>
          <w:sz w:val="16"/>
          <w:szCs w:val="16"/>
        </w:rPr>
      </w:pPr>
      <w:r w:rsidRPr="00507A31">
        <w:rPr>
          <w:color w:val="0070C0"/>
          <w:sz w:val="16"/>
          <w:szCs w:val="16"/>
        </w:rPr>
        <w:t>Выписки посланы: т.т. Микояну, Осинскому - все; Мессингу - п.б.</w:t>
      </w:r>
    </w:p>
    <w:p w14:paraId="264EBC56" w14:textId="77777777" w:rsidR="00294C59" w:rsidRPr="00507A31" w:rsidRDefault="00294C59" w:rsidP="00507A31">
      <w:pPr>
        <w:jc w:val="both"/>
        <w:rPr>
          <w:color w:val="0070C0"/>
          <w:sz w:val="16"/>
          <w:szCs w:val="16"/>
        </w:rPr>
      </w:pPr>
      <w:r w:rsidRPr="00507A31">
        <w:rPr>
          <w:color w:val="0070C0"/>
          <w:sz w:val="16"/>
          <w:szCs w:val="16"/>
        </w:rPr>
        <w:t>30 июля 1930 опросом членов ПБ</w:t>
      </w:r>
    </w:p>
    <w:p w14:paraId="359BF48D" w14:textId="77777777" w:rsidR="00294C59" w:rsidRPr="00507A31" w:rsidRDefault="00294C59" w:rsidP="00507A31">
      <w:pPr>
        <w:jc w:val="both"/>
        <w:rPr>
          <w:color w:val="0070C0"/>
          <w:sz w:val="16"/>
          <w:szCs w:val="16"/>
        </w:rPr>
      </w:pPr>
      <w:r w:rsidRPr="00507A31">
        <w:rPr>
          <w:color w:val="0070C0"/>
          <w:sz w:val="16"/>
          <w:szCs w:val="16"/>
        </w:rPr>
        <w:t>14/34 – О тракторах их Америки</w:t>
      </w:r>
    </w:p>
    <w:p w14:paraId="3B019FBD" w14:textId="77777777" w:rsidR="00294C59" w:rsidRPr="00507A31" w:rsidRDefault="00294C59" w:rsidP="00507A31">
      <w:pPr>
        <w:jc w:val="both"/>
        <w:rPr>
          <w:color w:val="0070C0"/>
          <w:sz w:val="16"/>
          <w:szCs w:val="16"/>
        </w:rPr>
      </w:pPr>
      <w:r w:rsidRPr="00507A31">
        <w:rPr>
          <w:color w:val="0070C0"/>
          <w:sz w:val="16"/>
          <w:szCs w:val="16"/>
        </w:rPr>
        <w:t>(т. МИКОЯН).</w:t>
      </w:r>
    </w:p>
    <w:p w14:paraId="4859D952" w14:textId="77777777" w:rsidR="00294C59" w:rsidRPr="00507A31" w:rsidRDefault="00294C59" w:rsidP="00507A31">
      <w:pPr>
        <w:jc w:val="both"/>
        <w:rPr>
          <w:color w:val="0070C0"/>
          <w:sz w:val="16"/>
          <w:szCs w:val="16"/>
        </w:rPr>
      </w:pPr>
      <w:r w:rsidRPr="00507A31">
        <w:rPr>
          <w:color w:val="0070C0"/>
          <w:sz w:val="16"/>
          <w:szCs w:val="16"/>
        </w:rPr>
        <w:lastRenderedPageBreak/>
        <w:t>Обязать т.т. Калмановича, Юркина, Богданова установить такие сроки отгрузок тракторов, чтобы расход валюты в первом квартале составил не более 14 миллионов рублей.</w:t>
      </w:r>
    </w:p>
    <w:p w14:paraId="39F2F974" w14:textId="77777777" w:rsidR="00294C59" w:rsidRPr="00507A31" w:rsidRDefault="00294C59" w:rsidP="00507A31">
      <w:pPr>
        <w:jc w:val="both"/>
        <w:rPr>
          <w:color w:val="0070C0"/>
          <w:sz w:val="16"/>
          <w:szCs w:val="16"/>
        </w:rPr>
      </w:pPr>
      <w:r w:rsidRPr="00507A31">
        <w:rPr>
          <w:color w:val="0070C0"/>
          <w:sz w:val="16"/>
          <w:szCs w:val="16"/>
        </w:rPr>
        <w:t>Выписки посланы: т. Микояну (23113).</w:t>
      </w:r>
    </w:p>
    <w:p w14:paraId="3958A8BD" w14:textId="77777777" w:rsidR="00294C59" w:rsidRPr="00507A31" w:rsidRDefault="00294C59" w:rsidP="00507A31">
      <w:pPr>
        <w:jc w:val="both"/>
        <w:rPr>
          <w:color w:val="0070C0"/>
          <w:sz w:val="16"/>
          <w:szCs w:val="16"/>
        </w:rPr>
      </w:pPr>
    </w:p>
    <w:p w14:paraId="03FD5B99" w14:textId="77777777" w:rsidR="00661719" w:rsidRPr="00507A31" w:rsidRDefault="00661719" w:rsidP="00507A31">
      <w:pPr>
        <w:jc w:val="both"/>
        <w:rPr>
          <w:color w:val="000000" w:themeColor="text1"/>
          <w:sz w:val="16"/>
          <w:szCs w:val="16"/>
        </w:rPr>
      </w:pPr>
      <w:r w:rsidRPr="00507A31">
        <w:rPr>
          <w:rStyle w:val="a7"/>
          <w:b w:val="0"/>
          <w:color w:val="000000" w:themeColor="text1"/>
          <w:sz w:val="16"/>
          <w:szCs w:val="16"/>
        </w:rPr>
        <w:t xml:space="preserve">5 августа 1930 </w:t>
      </w:r>
      <w:r w:rsidRPr="00507A31">
        <w:rPr>
          <w:color w:val="000000" w:themeColor="text1"/>
          <w:sz w:val="16"/>
          <w:szCs w:val="16"/>
        </w:rPr>
        <w:t>Политбюро ЦК ВКП(б) признало необходимым заказать в Европе блюминги для Магнитогорского и Кузнецкого заводов; одобрило план строительства в 1931/32 г. Липецкого металлургического завода; предложило ВСНХ рассмотреть вопрос о строительстве Хоперского металлургического завода; признало необходимым форсировать производство каучука из каучуконосов; одобрило мероприятия ВСНХ по развитию производства синтетического каучука (12265).</w:t>
      </w:r>
    </w:p>
    <w:p w14:paraId="29AF9E60" w14:textId="77777777" w:rsidR="00661719" w:rsidRPr="00507A31" w:rsidRDefault="00661719" w:rsidP="00507A31">
      <w:pPr>
        <w:jc w:val="both"/>
        <w:rPr>
          <w:color w:val="000000" w:themeColor="text1"/>
          <w:sz w:val="16"/>
          <w:szCs w:val="16"/>
        </w:rPr>
      </w:pPr>
      <w:r w:rsidRPr="00507A31">
        <w:rPr>
          <w:color w:val="000000" w:themeColor="text1"/>
          <w:sz w:val="16"/>
          <w:szCs w:val="16"/>
        </w:rPr>
        <w:t> </w:t>
      </w:r>
    </w:p>
    <w:p w14:paraId="515B9FA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43083D74" w14:textId="77777777" w:rsidR="00537E5F" w:rsidRPr="00507A31" w:rsidRDefault="00537E5F" w:rsidP="00507A31">
      <w:pPr>
        <w:autoSpaceDE w:val="0"/>
        <w:autoSpaceDN w:val="0"/>
        <w:adjustRightInd w:val="0"/>
        <w:jc w:val="both"/>
        <w:rPr>
          <w:iCs/>
          <w:color w:val="000000" w:themeColor="text1"/>
          <w:sz w:val="16"/>
          <w:szCs w:val="16"/>
        </w:rPr>
      </w:pPr>
    </w:p>
    <w:p w14:paraId="2E5C5EB3" w14:textId="77777777" w:rsidR="00296600" w:rsidRPr="00507A31" w:rsidRDefault="00296600" w:rsidP="00507A31">
      <w:pPr>
        <w:shd w:val="clear" w:color="auto" w:fill="FFFFFF"/>
        <w:jc w:val="both"/>
        <w:rPr>
          <w:color w:val="0070C0"/>
          <w:sz w:val="16"/>
          <w:szCs w:val="16"/>
        </w:rPr>
      </w:pPr>
      <w:r w:rsidRPr="00507A31">
        <w:rPr>
          <w:color w:val="0070C0"/>
          <w:sz w:val="16"/>
          <w:szCs w:val="16"/>
        </w:rPr>
        <w:t>5 августа 1930 г. вышел совершенно секретный приказ Реввоенсовета СССР № 0012, изданный по результатам инспектирования ВВС РККА[1155].</w:t>
      </w:r>
    </w:p>
    <w:p w14:paraId="28A9C71B" w14:textId="77777777" w:rsidR="00296600" w:rsidRPr="00507A31" w:rsidRDefault="00296600" w:rsidP="00507A31">
      <w:pPr>
        <w:shd w:val="clear" w:color="auto" w:fill="FFFFFF"/>
        <w:jc w:val="both"/>
        <w:rPr>
          <w:color w:val="0070C0"/>
          <w:sz w:val="16"/>
          <w:szCs w:val="16"/>
        </w:rPr>
      </w:pPr>
      <w:r w:rsidRPr="00507A31">
        <w:rPr>
          <w:color w:val="0070C0"/>
          <w:sz w:val="16"/>
          <w:szCs w:val="16"/>
        </w:rPr>
        <w:t>Интересно отметить, что данный приказ написан от первого лица (К. Ворошилова) и отражает его отношение к происходящему в военно-воздушных силах.</w:t>
      </w:r>
    </w:p>
    <w:p w14:paraId="144814A1" w14:textId="77777777" w:rsidR="00296600" w:rsidRPr="00507A31" w:rsidRDefault="00296600" w:rsidP="00507A31">
      <w:pPr>
        <w:shd w:val="clear" w:color="auto" w:fill="FFFFFF"/>
        <w:jc w:val="both"/>
        <w:rPr>
          <w:color w:val="0070C0"/>
          <w:sz w:val="16"/>
          <w:szCs w:val="16"/>
        </w:rPr>
      </w:pPr>
      <w:r w:rsidRPr="00507A31">
        <w:rPr>
          <w:color w:val="0070C0"/>
          <w:sz w:val="16"/>
          <w:szCs w:val="16"/>
        </w:rPr>
        <w:t>Нарком писал, что, исходя из личного ознакомления с жизнью, учебой и бытом авиачастей, может сделать «со всей большевистской решительностью и прямотой» неутешительный вывод: «…на этом общем благополучном фоне роста и совершенствования еще более мрачным пятном выделяется ряд крупнейших недостатков, следствием которых является очень высокая аварийность с большим количеством катастроф»[1156].</w:t>
      </w:r>
    </w:p>
    <w:p w14:paraId="2C4C1259" w14:textId="77777777" w:rsidR="00296600" w:rsidRPr="00507A31" w:rsidRDefault="00296600" w:rsidP="00507A31">
      <w:pPr>
        <w:shd w:val="clear" w:color="auto" w:fill="FFFFFF"/>
        <w:jc w:val="both"/>
        <w:rPr>
          <w:color w:val="0070C0"/>
          <w:sz w:val="16"/>
          <w:szCs w:val="16"/>
        </w:rPr>
      </w:pPr>
      <w:r w:rsidRPr="00507A31">
        <w:rPr>
          <w:color w:val="0070C0"/>
          <w:sz w:val="16"/>
          <w:szCs w:val="16"/>
        </w:rPr>
        <w:t>Одной из основных причин аварийности К. Ворошилов (так же как и особисты) назвал низкую дисциплинированность личного состава, разгильдяйство, расхлябанность, воздушное хулиганство, пижонство и авиачванство. Он призвал командиров всех степеней более разумно подходить к развитию в авиачастях движения ударничества и социалистического соревнования. Обращаясь в приказе к работникам судебно-следственных органов, нарком заявил о недопустимой мягкости, проявляемой к виновникам аварий[1157].</w:t>
      </w:r>
    </w:p>
    <w:p w14:paraId="7D689A19" w14:textId="77777777" w:rsidR="00296600" w:rsidRPr="00507A31" w:rsidRDefault="00296600" w:rsidP="00507A31">
      <w:pPr>
        <w:shd w:val="clear" w:color="auto" w:fill="FFFFFF"/>
        <w:jc w:val="both"/>
        <w:rPr>
          <w:color w:val="0070C0"/>
          <w:sz w:val="16"/>
          <w:szCs w:val="16"/>
        </w:rPr>
      </w:pPr>
      <w:r w:rsidRPr="00507A31">
        <w:rPr>
          <w:color w:val="0070C0"/>
          <w:sz w:val="16"/>
          <w:szCs w:val="16"/>
        </w:rPr>
        <w:t>Наряду с контролем за личным составом ВВС, участием в периодических его чистках и в отборе будущих курсантов авиашкол, информированием командования о предпосылках к чрезвычайным происшествиям, о фактах очковтирательства (в том числе и при расследовании конкретных аварий и катастроф) и о недостатках в состоянии авиатехники, органы госбезопасности самое серьезное внимание уделяли выявлению дефектов и преступлений в процессе создания новой авиационной техники, закупки за границей самолетов и авиамоторов, а также вскрытию причин срывов сроков поставки их в войска (20268).</w:t>
      </w:r>
    </w:p>
    <w:p w14:paraId="30ECB302" w14:textId="77777777" w:rsidR="00296600" w:rsidRPr="00507A31" w:rsidRDefault="00296600" w:rsidP="00507A31">
      <w:pPr>
        <w:shd w:val="clear" w:color="auto" w:fill="FFFFFF"/>
        <w:jc w:val="both"/>
        <w:rPr>
          <w:color w:val="0070C0"/>
          <w:sz w:val="16"/>
          <w:szCs w:val="16"/>
        </w:rPr>
      </w:pPr>
    </w:p>
    <w:p w14:paraId="2E2A74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августа 1930 в 10 часов 54 минуты, три ДВ стартовали в обратный путь из Ленинграда в Севастополь. Курс держали первоначально вдоль реки Волхов, затем довернули на Киев.</w:t>
      </w:r>
    </w:p>
    <w:p w14:paraId="2DB288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353948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71B145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38BAD5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72A84D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3DB4B3CE" w14:textId="77777777" w:rsidR="00537E5F" w:rsidRPr="00507A31" w:rsidRDefault="00537E5F" w:rsidP="00507A31">
      <w:pPr>
        <w:autoSpaceDE w:val="0"/>
        <w:autoSpaceDN w:val="0"/>
        <w:adjustRightInd w:val="0"/>
        <w:jc w:val="both"/>
        <w:rPr>
          <w:color w:val="000000" w:themeColor="text1"/>
          <w:sz w:val="16"/>
          <w:szCs w:val="16"/>
        </w:rPr>
      </w:pPr>
    </w:p>
    <w:p w14:paraId="5862B0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августа 1930 в приказе РВС отмечалось "Как правило, в авиачастях отсутствует здоровое общественное мнение о необходимости высокой воинской дисциплины. Есть даже отдельные командиры и отдельные политработники, придерживающиеся теории исключительного положения летно-подъемного состава, определяемого его особой службой (66,191).</w:t>
      </w:r>
    </w:p>
    <w:p w14:paraId="5D213B62" w14:textId="77777777" w:rsidR="00537E5F" w:rsidRPr="00507A31" w:rsidRDefault="00537E5F" w:rsidP="00507A31">
      <w:pPr>
        <w:autoSpaceDE w:val="0"/>
        <w:autoSpaceDN w:val="0"/>
        <w:adjustRightInd w:val="0"/>
        <w:jc w:val="both"/>
        <w:rPr>
          <w:color w:val="000000" w:themeColor="text1"/>
          <w:sz w:val="16"/>
          <w:szCs w:val="16"/>
        </w:rPr>
      </w:pPr>
    </w:p>
    <w:p w14:paraId="5EF00A92" w14:textId="77777777" w:rsidR="00931048"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9D2796D" w14:textId="77777777" w:rsidR="00931048" w:rsidRPr="00507A31" w:rsidRDefault="00931048" w:rsidP="00507A31">
      <w:pPr>
        <w:autoSpaceDE w:val="0"/>
        <w:autoSpaceDN w:val="0"/>
        <w:adjustRightInd w:val="0"/>
        <w:jc w:val="both"/>
        <w:rPr>
          <w:iCs/>
          <w:color w:val="000000" w:themeColor="text1"/>
          <w:sz w:val="16"/>
          <w:szCs w:val="16"/>
        </w:rPr>
      </w:pPr>
    </w:p>
    <w:p w14:paraId="5A892423" w14:textId="77777777" w:rsidR="00931048" w:rsidRPr="00507A31" w:rsidRDefault="00931048" w:rsidP="00507A31">
      <w:pPr>
        <w:jc w:val="both"/>
        <w:rPr>
          <w:color w:val="000000" w:themeColor="text1"/>
          <w:sz w:val="16"/>
          <w:szCs w:val="16"/>
        </w:rPr>
      </w:pPr>
      <w:r w:rsidRPr="00507A31">
        <w:rPr>
          <w:color w:val="000000" w:themeColor="text1"/>
          <w:sz w:val="16"/>
          <w:szCs w:val="16"/>
        </w:rPr>
        <w:t xml:space="preserve">5 августа в 1930 году польский пилот Росинский разбил самолет </w:t>
      </w:r>
      <w:hyperlink r:id="rId132" w:tgtFrame="_blank" w:history="1">
        <w:r w:rsidRPr="00507A31">
          <w:rPr>
            <w:color w:val="000000" w:themeColor="text1"/>
            <w:sz w:val="16"/>
            <w:szCs w:val="16"/>
          </w:rPr>
          <w:t xml:space="preserve">«Woroniecki Samolot» </w:t>
        </w:r>
      </w:hyperlink>
      <w:r w:rsidRPr="00507A31">
        <w:rPr>
          <w:color w:val="000000" w:themeColor="text1"/>
          <w:sz w:val="16"/>
          <w:szCs w:val="16"/>
        </w:rPr>
        <w:t>и сам погиб. В 1928 году преподаватель «Szkoly Podchorazych Lotnictwa» в Деблине инженер Ришард Воронецкий построил двухместный спортивный самолет собственной конструкции. Самолет был облетан в июле 1928 года на аэродроме Деблина (14974).</w:t>
      </w:r>
    </w:p>
    <w:p w14:paraId="5A3C2EE0" w14:textId="77777777" w:rsidR="00931048" w:rsidRPr="00507A31" w:rsidRDefault="00931048" w:rsidP="00507A31">
      <w:pPr>
        <w:jc w:val="both"/>
        <w:rPr>
          <w:color w:val="000000" w:themeColor="text1"/>
          <w:sz w:val="16"/>
          <w:szCs w:val="16"/>
        </w:rPr>
      </w:pPr>
    </w:p>
    <w:p w14:paraId="51DF313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A7130F9" w14:textId="77777777" w:rsidR="00537E5F" w:rsidRPr="00507A31" w:rsidRDefault="00537E5F" w:rsidP="00507A31">
      <w:pPr>
        <w:autoSpaceDE w:val="0"/>
        <w:autoSpaceDN w:val="0"/>
        <w:adjustRightInd w:val="0"/>
        <w:jc w:val="both"/>
        <w:rPr>
          <w:iCs/>
          <w:color w:val="000000" w:themeColor="text1"/>
          <w:sz w:val="16"/>
          <w:szCs w:val="16"/>
        </w:rPr>
      </w:pPr>
    </w:p>
    <w:p w14:paraId="0C0DC25B" w14:textId="77777777" w:rsidR="000F77CE" w:rsidRPr="00507A31" w:rsidRDefault="000F77CE" w:rsidP="00507A31">
      <w:pPr>
        <w:jc w:val="both"/>
        <w:rPr>
          <w:color w:val="0070C0"/>
          <w:sz w:val="16"/>
          <w:szCs w:val="16"/>
        </w:rPr>
      </w:pPr>
      <w:r w:rsidRPr="00507A31">
        <w:rPr>
          <w:color w:val="0070C0"/>
          <w:sz w:val="16"/>
          <w:szCs w:val="16"/>
          <w:lang w:bidi="ru-RU"/>
        </w:rPr>
        <w:t>6 августа 1930 состоялся повторный осмотр макета легкого бронирован</w:t>
      </w:r>
      <w:r w:rsidRPr="00507A31">
        <w:rPr>
          <w:color w:val="0070C0"/>
          <w:sz w:val="16"/>
          <w:szCs w:val="16"/>
          <w:lang w:bidi="ru-RU"/>
        </w:rPr>
        <w:softHyphen/>
        <w:t>ного штурмовика типа Ш с мотором М-27 на заводе №39. В состав комиссии вошли: от НТК - Хандожко (председатель), Соколов-Соколенок, Шевченко, от НИИ ВВС - Волковойнов, Писаренко, Шарапов, Юмашев, Б.С. Вах</w:t>
      </w:r>
      <w:r w:rsidRPr="00507A31">
        <w:rPr>
          <w:color w:val="0070C0"/>
          <w:sz w:val="16"/>
          <w:szCs w:val="16"/>
          <w:lang w:bidi="ru-RU"/>
        </w:rPr>
        <w:softHyphen/>
        <w:t>мистров, Козлов, В.С. Вахмистров, Мер</w:t>
      </w:r>
      <w:r w:rsidRPr="00507A31">
        <w:rPr>
          <w:color w:val="0070C0"/>
          <w:sz w:val="16"/>
          <w:szCs w:val="16"/>
          <w:lang w:bidi="ru-RU"/>
        </w:rPr>
        <w:softHyphen/>
        <w:t>кулов, Полехин, Петров, от УВВС - Вой- шицкий, Миронов, а также комбриг Скро- бук и командиры 50-й и 52-й штурмовых авиаэскадрилий Туржанский и Головизин. От ЦКБ и завода № 39 в работе комис</w:t>
      </w:r>
      <w:r w:rsidRPr="00507A31">
        <w:rPr>
          <w:color w:val="0070C0"/>
          <w:sz w:val="16"/>
          <w:szCs w:val="16"/>
          <w:lang w:bidi="ru-RU"/>
        </w:rPr>
        <w:softHyphen/>
        <w:t>сии участвовали Григорович, Надашкевич, Крейсон и Савельев.</w:t>
      </w:r>
    </w:p>
    <w:p w14:paraId="06E5E48B" w14:textId="77777777" w:rsidR="000F77CE" w:rsidRPr="00507A31" w:rsidRDefault="000F77CE" w:rsidP="00507A31">
      <w:pPr>
        <w:jc w:val="both"/>
        <w:rPr>
          <w:color w:val="0070C0"/>
          <w:sz w:val="16"/>
          <w:szCs w:val="16"/>
        </w:rPr>
      </w:pPr>
      <w:r w:rsidRPr="00507A31">
        <w:rPr>
          <w:color w:val="0070C0"/>
          <w:sz w:val="16"/>
          <w:szCs w:val="16"/>
          <w:lang w:bidi="ru-RU"/>
        </w:rPr>
        <w:t>Макет самолета Ш-М27 включал вы</w:t>
      </w:r>
      <w:r w:rsidRPr="00507A31">
        <w:rPr>
          <w:color w:val="0070C0"/>
          <w:sz w:val="16"/>
          <w:szCs w:val="16"/>
          <w:lang w:bidi="ru-RU"/>
        </w:rPr>
        <w:softHyphen/>
        <w:t>полненные из дерева фюзеляж с мото</w:t>
      </w:r>
      <w:r w:rsidRPr="00507A31">
        <w:rPr>
          <w:color w:val="0070C0"/>
          <w:sz w:val="16"/>
          <w:szCs w:val="16"/>
          <w:lang w:bidi="ru-RU"/>
        </w:rPr>
        <w:softHyphen/>
        <w:t>ром, центроплан, коробку плоскостей и левую часть хвостового оперения.</w:t>
      </w:r>
    </w:p>
    <w:p w14:paraId="3C7D66E9" w14:textId="77777777" w:rsidR="000F77CE" w:rsidRPr="00507A31" w:rsidRDefault="000F77CE" w:rsidP="00507A31">
      <w:pPr>
        <w:jc w:val="both"/>
        <w:rPr>
          <w:color w:val="0070C0"/>
          <w:sz w:val="16"/>
          <w:szCs w:val="16"/>
        </w:rPr>
      </w:pPr>
      <w:r w:rsidRPr="00507A31">
        <w:rPr>
          <w:color w:val="0070C0"/>
          <w:sz w:val="16"/>
          <w:szCs w:val="16"/>
          <w:lang w:bidi="ru-RU"/>
        </w:rPr>
        <w:t>На макете были установлены макеты двух синхронных пулеметов ПВ-1 на фю</w:t>
      </w:r>
      <w:r w:rsidRPr="00507A31">
        <w:rPr>
          <w:color w:val="0070C0"/>
          <w:sz w:val="16"/>
          <w:szCs w:val="16"/>
          <w:lang w:bidi="ru-RU"/>
        </w:rPr>
        <w:softHyphen/>
        <w:t>зеляже и четырех ПВ-1 под левой пло</w:t>
      </w:r>
      <w:r w:rsidRPr="00507A31">
        <w:rPr>
          <w:color w:val="0070C0"/>
          <w:sz w:val="16"/>
          <w:szCs w:val="16"/>
          <w:lang w:bidi="ru-RU"/>
        </w:rPr>
        <w:softHyphen/>
        <w:t>скостью («такая же установка из четырех пулеметов будет на самолете и под пра</w:t>
      </w:r>
      <w:r w:rsidRPr="00507A31">
        <w:rPr>
          <w:color w:val="0070C0"/>
          <w:sz w:val="16"/>
          <w:szCs w:val="16"/>
          <w:lang w:bidi="ru-RU"/>
        </w:rPr>
        <w:softHyphen/>
        <w:t>вой плоскостью»). Бомбардировочное во</w:t>
      </w:r>
      <w:r w:rsidRPr="00507A31">
        <w:rPr>
          <w:color w:val="0070C0"/>
          <w:sz w:val="16"/>
          <w:szCs w:val="16"/>
          <w:lang w:bidi="ru-RU"/>
        </w:rPr>
        <w:softHyphen/>
        <w:t>оружение для осмотра не предъявлялось, но был продемонстрирован отсек в фю</w:t>
      </w:r>
      <w:r w:rsidRPr="00507A31">
        <w:rPr>
          <w:color w:val="0070C0"/>
          <w:sz w:val="16"/>
          <w:szCs w:val="16"/>
          <w:lang w:bidi="ru-RU"/>
        </w:rPr>
        <w:softHyphen/>
        <w:t>зеляже под сиденьем летчика для кассет</w:t>
      </w:r>
      <w:r w:rsidRPr="00507A31">
        <w:rPr>
          <w:color w:val="0070C0"/>
          <w:sz w:val="16"/>
          <w:szCs w:val="16"/>
          <w:lang w:bidi="ru-RU"/>
        </w:rPr>
        <w:softHyphen/>
        <w:t>ных держателей мелкокалиберных бомб.</w:t>
      </w:r>
    </w:p>
    <w:p w14:paraId="31E1DE40" w14:textId="77777777" w:rsidR="000F77CE" w:rsidRPr="00507A31" w:rsidRDefault="000F77CE" w:rsidP="00507A31">
      <w:pPr>
        <w:jc w:val="both"/>
        <w:rPr>
          <w:color w:val="0070C0"/>
          <w:sz w:val="16"/>
          <w:szCs w:val="16"/>
        </w:rPr>
      </w:pPr>
      <w:r w:rsidRPr="00507A31">
        <w:rPr>
          <w:color w:val="0070C0"/>
          <w:sz w:val="16"/>
          <w:szCs w:val="16"/>
          <w:lang w:bidi="ru-RU"/>
        </w:rPr>
        <w:t>Судя по стенограмме совещания, об</w:t>
      </w:r>
      <w:r w:rsidRPr="00507A31">
        <w:rPr>
          <w:color w:val="0070C0"/>
          <w:sz w:val="16"/>
          <w:szCs w:val="16"/>
          <w:lang w:bidi="ru-RU"/>
        </w:rPr>
        <w:softHyphen/>
        <w:t>суждение макета самолета и требова</w:t>
      </w:r>
      <w:r w:rsidRPr="00507A31">
        <w:rPr>
          <w:color w:val="0070C0"/>
          <w:sz w:val="16"/>
          <w:szCs w:val="16"/>
          <w:lang w:bidi="ru-RU"/>
        </w:rPr>
        <w:softHyphen/>
        <w:t>ний к нему было весьма эмоциональным. При этом наибольшую активность про</w:t>
      </w:r>
      <w:r w:rsidRPr="00507A31">
        <w:rPr>
          <w:color w:val="0070C0"/>
          <w:sz w:val="16"/>
          <w:szCs w:val="16"/>
          <w:lang w:bidi="ru-RU"/>
        </w:rPr>
        <w:softHyphen/>
        <w:t>являли офицеры из войск. В ходе дис</w:t>
      </w:r>
      <w:r w:rsidRPr="00507A31">
        <w:rPr>
          <w:color w:val="0070C0"/>
          <w:sz w:val="16"/>
          <w:szCs w:val="16"/>
          <w:lang w:bidi="ru-RU"/>
        </w:rPr>
        <w:softHyphen/>
        <w:t>куссии высказывались настолько проти</w:t>
      </w:r>
      <w:r w:rsidRPr="00507A31">
        <w:rPr>
          <w:color w:val="0070C0"/>
          <w:sz w:val="16"/>
          <w:szCs w:val="16"/>
          <w:lang w:bidi="ru-RU"/>
        </w:rPr>
        <w:softHyphen/>
        <w:t>воположные суждения о тех или иных свойствах и конструктивных решениях машины, что Григорович был вынуж</w:t>
      </w:r>
      <w:r w:rsidRPr="00507A31">
        <w:rPr>
          <w:color w:val="0070C0"/>
          <w:sz w:val="16"/>
          <w:szCs w:val="16"/>
          <w:lang w:bidi="ru-RU"/>
        </w:rPr>
        <w:softHyphen/>
        <w:t>ден заявить: «Здесь предлагают нам по</w:t>
      </w:r>
      <w:r w:rsidRPr="00507A31">
        <w:rPr>
          <w:color w:val="0070C0"/>
          <w:sz w:val="16"/>
          <w:szCs w:val="16"/>
          <w:lang w:bidi="ru-RU"/>
        </w:rPr>
        <w:softHyphen/>
        <w:t>чти совершенно новые требования к са</w:t>
      </w:r>
      <w:r w:rsidRPr="00507A31">
        <w:rPr>
          <w:color w:val="0070C0"/>
          <w:sz w:val="16"/>
          <w:szCs w:val="16"/>
          <w:lang w:bidi="ru-RU"/>
        </w:rPr>
        <w:softHyphen/>
        <w:t>молету, а если это так, то нужно эти тре</w:t>
      </w:r>
      <w:r w:rsidRPr="00507A31">
        <w:rPr>
          <w:color w:val="0070C0"/>
          <w:sz w:val="16"/>
          <w:szCs w:val="16"/>
          <w:lang w:bidi="ru-RU"/>
        </w:rPr>
        <w:softHyphen/>
        <w:t>бования, определенные и ясные, дать сразу, и вариант, предложенный нами, в постройке прекратить».</w:t>
      </w:r>
    </w:p>
    <w:p w14:paraId="4117FC6A" w14:textId="77777777" w:rsidR="000F77CE" w:rsidRPr="00507A31" w:rsidRDefault="000F77CE" w:rsidP="00507A31">
      <w:pPr>
        <w:jc w:val="both"/>
        <w:rPr>
          <w:color w:val="0070C0"/>
          <w:sz w:val="16"/>
          <w:szCs w:val="16"/>
        </w:rPr>
      </w:pPr>
      <w:r w:rsidRPr="00507A31">
        <w:rPr>
          <w:color w:val="0070C0"/>
          <w:sz w:val="16"/>
          <w:szCs w:val="16"/>
          <w:lang w:bidi="ru-RU"/>
        </w:rPr>
        <w:t>Главным образом все сводилось к тому, чтобы Ш-М27 строить цельнометал</w:t>
      </w:r>
      <w:r w:rsidRPr="00507A31">
        <w:rPr>
          <w:color w:val="0070C0"/>
          <w:sz w:val="16"/>
          <w:szCs w:val="16"/>
          <w:lang w:bidi="ru-RU"/>
        </w:rPr>
        <w:softHyphen/>
        <w:t>лическим повышенной прочности, усилить бронирование мотора и летнаба (в том числе «путем постановки дополнительной съемной брони» и козырька летчика «из толстого бронированного стекла для об</w:t>
      </w:r>
      <w:r w:rsidRPr="00507A31">
        <w:rPr>
          <w:color w:val="0070C0"/>
          <w:sz w:val="16"/>
          <w:szCs w:val="16"/>
          <w:lang w:bidi="ru-RU"/>
        </w:rPr>
        <w:softHyphen/>
        <w:t>зора вперед»), обеспечить самолету вы</w:t>
      </w:r>
      <w:r w:rsidRPr="00507A31">
        <w:rPr>
          <w:color w:val="0070C0"/>
          <w:sz w:val="16"/>
          <w:szCs w:val="16"/>
          <w:lang w:bidi="ru-RU"/>
        </w:rPr>
        <w:softHyphen/>
        <w:t>сокую маневренность и скорость полета порядка 250-300 км/ч у земли. Кроме того, требовались «максимальная легкость в управлении самолетом («управляе</w:t>
      </w:r>
      <w:r w:rsidRPr="00507A31">
        <w:rPr>
          <w:color w:val="0070C0"/>
          <w:sz w:val="16"/>
          <w:szCs w:val="16"/>
          <w:lang w:bidi="ru-RU"/>
        </w:rPr>
        <w:softHyphen/>
        <w:t>мость близкая к истребителю»)», отличные взлетно-посадочные свойства («чтобы мог взлетать и садиться на площадке 400 х400 м») и неприхотливость к каче</w:t>
      </w:r>
      <w:r w:rsidRPr="00507A31">
        <w:rPr>
          <w:color w:val="0070C0"/>
          <w:sz w:val="16"/>
          <w:szCs w:val="16"/>
          <w:lang w:bidi="ru-RU"/>
        </w:rPr>
        <w:softHyphen/>
        <w:t>ству летной площадки аэродрома («взлет и посадка на вспаханное поле»), а также боевой радиус - не менее 200 км.</w:t>
      </w:r>
    </w:p>
    <w:p w14:paraId="503B4D11" w14:textId="77777777" w:rsidR="000F77CE" w:rsidRPr="00507A31" w:rsidRDefault="000F77CE" w:rsidP="00507A31">
      <w:pPr>
        <w:jc w:val="both"/>
        <w:rPr>
          <w:color w:val="0070C0"/>
          <w:sz w:val="16"/>
          <w:szCs w:val="16"/>
        </w:rPr>
      </w:pPr>
      <w:r w:rsidRPr="00507A31">
        <w:rPr>
          <w:color w:val="0070C0"/>
          <w:sz w:val="16"/>
          <w:szCs w:val="16"/>
          <w:lang w:bidi="ru-RU"/>
        </w:rPr>
        <w:t>Считалось, что основным средством поражения живой силы противника бу</w:t>
      </w:r>
      <w:r w:rsidRPr="00507A31">
        <w:rPr>
          <w:color w:val="0070C0"/>
          <w:sz w:val="16"/>
          <w:szCs w:val="16"/>
          <w:lang w:bidi="ru-RU"/>
        </w:rPr>
        <w:softHyphen/>
        <w:t>дут «осколочные 2-х и 10 кг бомбы или обычные гранаты пехотного образца», а бронированной и другой военной тех</w:t>
      </w:r>
      <w:r w:rsidRPr="00507A31">
        <w:rPr>
          <w:color w:val="0070C0"/>
          <w:sz w:val="16"/>
          <w:szCs w:val="16"/>
          <w:lang w:bidi="ru-RU"/>
        </w:rPr>
        <w:softHyphen/>
        <w:t>ники противника - автоматическая пушка калибра 20 или 37 мм. Нормальный вес бомбовой нагрузки определялся в 400 кг (в перегрузку до 600 кг). Для защиты от нападения воздушного противника пред</w:t>
      </w:r>
      <w:r w:rsidRPr="00507A31">
        <w:rPr>
          <w:color w:val="0070C0"/>
          <w:sz w:val="16"/>
          <w:szCs w:val="16"/>
          <w:lang w:bidi="ru-RU"/>
        </w:rPr>
        <w:softHyphen/>
        <w:t>полагалось иметь 1-2 пулемета на турели у летнаба.</w:t>
      </w:r>
    </w:p>
    <w:p w14:paraId="0E0867DC" w14:textId="77777777" w:rsidR="000F77CE" w:rsidRPr="00507A31" w:rsidRDefault="000F77CE" w:rsidP="00507A31">
      <w:pPr>
        <w:jc w:val="both"/>
        <w:rPr>
          <w:color w:val="0070C0"/>
          <w:sz w:val="16"/>
          <w:szCs w:val="16"/>
        </w:rPr>
      </w:pPr>
      <w:r w:rsidRPr="00507A31">
        <w:rPr>
          <w:color w:val="0070C0"/>
          <w:sz w:val="16"/>
          <w:szCs w:val="16"/>
          <w:lang w:bidi="ru-RU"/>
        </w:rPr>
        <w:t>«Пулеметная батарея в 8 пулеметов для стрельбы вперед по живым целям» должна была иметь приспособления для изменения в полете углов установки пу</w:t>
      </w:r>
      <w:r w:rsidRPr="00507A31">
        <w:rPr>
          <w:color w:val="0070C0"/>
          <w:sz w:val="16"/>
          <w:szCs w:val="16"/>
          <w:lang w:bidi="ru-RU"/>
        </w:rPr>
        <w:softHyphen/>
        <w:t>леметов вниз (от 13 до 30°) и в стороны (до ±30° от оси самолета) дистанционно из кабины летнаба.</w:t>
      </w:r>
    </w:p>
    <w:p w14:paraId="73851EDD" w14:textId="77777777" w:rsidR="000F77CE" w:rsidRPr="00507A31" w:rsidRDefault="000F77CE" w:rsidP="00507A31">
      <w:pPr>
        <w:jc w:val="both"/>
        <w:rPr>
          <w:color w:val="0070C0"/>
          <w:sz w:val="16"/>
          <w:szCs w:val="16"/>
        </w:rPr>
      </w:pPr>
      <w:r w:rsidRPr="00507A31">
        <w:rPr>
          <w:color w:val="0070C0"/>
          <w:sz w:val="16"/>
          <w:szCs w:val="16"/>
          <w:lang w:bidi="ru-RU"/>
        </w:rPr>
        <w:t>Необходимо было предусмотреть установку оборудования для полетов но</w:t>
      </w:r>
      <w:r w:rsidRPr="00507A31">
        <w:rPr>
          <w:color w:val="0070C0"/>
          <w:sz w:val="16"/>
          <w:szCs w:val="16"/>
          <w:lang w:bidi="ru-RU"/>
        </w:rPr>
        <w:softHyphen/>
        <w:t>чью, истребительную радиостанцию, все остальное - «как для двухместного истре</w:t>
      </w:r>
      <w:r w:rsidRPr="00507A31">
        <w:rPr>
          <w:color w:val="0070C0"/>
          <w:sz w:val="16"/>
          <w:szCs w:val="16"/>
          <w:lang w:bidi="ru-RU"/>
        </w:rPr>
        <w:softHyphen/>
        <w:t>бителя».</w:t>
      </w:r>
    </w:p>
    <w:p w14:paraId="54FDEA1D" w14:textId="77777777" w:rsidR="000F77CE" w:rsidRPr="00507A31" w:rsidRDefault="000F77CE" w:rsidP="00507A31">
      <w:pPr>
        <w:jc w:val="both"/>
        <w:rPr>
          <w:color w:val="0070C0"/>
          <w:sz w:val="16"/>
          <w:szCs w:val="16"/>
        </w:rPr>
      </w:pPr>
      <w:r w:rsidRPr="00507A31">
        <w:rPr>
          <w:color w:val="0070C0"/>
          <w:sz w:val="16"/>
          <w:szCs w:val="16"/>
          <w:lang w:bidi="ru-RU"/>
        </w:rPr>
        <w:t>Спарку пулеметов ПВ-1 у летнаба во</w:t>
      </w:r>
      <w:r w:rsidRPr="00507A31">
        <w:rPr>
          <w:color w:val="0070C0"/>
          <w:sz w:val="16"/>
          <w:szCs w:val="16"/>
          <w:lang w:bidi="ru-RU"/>
        </w:rPr>
        <w:softHyphen/>
        <w:t>енные раскритиковали: «Установка спа</w:t>
      </w:r>
      <w:r w:rsidRPr="00507A31">
        <w:rPr>
          <w:color w:val="0070C0"/>
          <w:sz w:val="16"/>
          <w:szCs w:val="16"/>
          <w:lang w:bidi="ru-RU"/>
        </w:rPr>
        <w:softHyphen/>
        <w:t>ренных пулеметов в кабине стрелка не</w:t>
      </w:r>
      <w:r w:rsidRPr="00507A31">
        <w:rPr>
          <w:color w:val="0070C0"/>
          <w:sz w:val="16"/>
          <w:szCs w:val="16"/>
          <w:lang w:bidi="ru-RU"/>
        </w:rPr>
        <w:softHyphen/>
        <w:t>целесообразна, а особенно спаренных ПВ-1, так как на больших скоростях со</w:t>
      </w:r>
      <w:r w:rsidRPr="00507A31">
        <w:rPr>
          <w:color w:val="0070C0"/>
          <w:sz w:val="16"/>
          <w:szCs w:val="16"/>
          <w:lang w:bidi="ru-RU"/>
        </w:rPr>
        <w:softHyphen/>
        <w:t>вершенно будет невозможно провернуть пулеметы. Это видно из опыта». Вместо них предлагалось смонтировать спарку пулеметов ДА или («что лучше всего») установить один пулемет ПВ-1 с боеком</w:t>
      </w:r>
      <w:r w:rsidRPr="00507A31">
        <w:rPr>
          <w:color w:val="0070C0"/>
          <w:sz w:val="16"/>
          <w:szCs w:val="16"/>
          <w:lang w:bidi="ru-RU"/>
        </w:rPr>
        <w:softHyphen/>
        <w:t>плектом не менее 200-250 патрон. При этом следовало «турельную дугу /.../ уси</w:t>
      </w:r>
      <w:r w:rsidRPr="00507A31">
        <w:rPr>
          <w:color w:val="0070C0"/>
          <w:sz w:val="16"/>
          <w:szCs w:val="16"/>
          <w:lang w:bidi="ru-RU"/>
        </w:rPr>
        <w:softHyphen/>
        <w:t>лить, так как при такой дуге пулеметы бу</w:t>
      </w:r>
      <w:r w:rsidRPr="00507A31">
        <w:rPr>
          <w:color w:val="0070C0"/>
          <w:sz w:val="16"/>
          <w:szCs w:val="16"/>
          <w:lang w:bidi="ru-RU"/>
        </w:rPr>
        <w:softHyphen/>
        <w:t>дут сильно качаться при стрельбе».</w:t>
      </w:r>
    </w:p>
    <w:p w14:paraId="2C0B2EAE" w14:textId="77777777" w:rsidR="000F77CE" w:rsidRPr="00507A31" w:rsidRDefault="000F77CE" w:rsidP="00507A31">
      <w:pPr>
        <w:jc w:val="both"/>
        <w:rPr>
          <w:color w:val="0070C0"/>
          <w:sz w:val="16"/>
          <w:szCs w:val="16"/>
        </w:rPr>
      </w:pPr>
      <w:r w:rsidRPr="00507A31">
        <w:rPr>
          <w:color w:val="0070C0"/>
          <w:sz w:val="16"/>
          <w:szCs w:val="16"/>
          <w:lang w:bidi="ru-RU"/>
        </w:rPr>
        <w:t>Установку пулеметных батарей под крылом предлагалось «произвести по двум вариантам: 1-й - установить обе ба</w:t>
      </w:r>
      <w:r w:rsidRPr="00507A31">
        <w:rPr>
          <w:color w:val="0070C0"/>
          <w:sz w:val="16"/>
          <w:szCs w:val="16"/>
          <w:lang w:bidi="ru-RU"/>
        </w:rPr>
        <w:softHyphen/>
        <w:t>тареи параллельно, 2-й - установить так, чтобы пулеметы обеих батарей своди</w:t>
      </w:r>
      <w:r w:rsidRPr="00507A31">
        <w:rPr>
          <w:color w:val="0070C0"/>
          <w:sz w:val="16"/>
          <w:szCs w:val="16"/>
          <w:lang w:bidi="ru-RU"/>
        </w:rPr>
        <w:softHyphen/>
        <w:t>лись в одну точку на определенной ди</w:t>
      </w:r>
      <w:r w:rsidRPr="00507A31">
        <w:rPr>
          <w:color w:val="0070C0"/>
          <w:sz w:val="16"/>
          <w:szCs w:val="16"/>
          <w:lang w:bidi="ru-RU"/>
        </w:rPr>
        <w:softHyphen/>
        <w:t>станции».</w:t>
      </w:r>
    </w:p>
    <w:p w14:paraId="440AA260" w14:textId="77777777" w:rsidR="000F77CE" w:rsidRPr="00507A31" w:rsidRDefault="000F77CE" w:rsidP="00507A31">
      <w:pPr>
        <w:jc w:val="both"/>
        <w:rPr>
          <w:color w:val="0070C0"/>
          <w:sz w:val="16"/>
          <w:szCs w:val="16"/>
        </w:rPr>
      </w:pPr>
      <w:r w:rsidRPr="00507A31">
        <w:rPr>
          <w:color w:val="0070C0"/>
          <w:sz w:val="16"/>
          <w:szCs w:val="16"/>
          <w:lang w:bidi="ru-RU"/>
        </w:rPr>
        <w:lastRenderedPageBreak/>
        <w:t>Рекомендовалось поставить тормоз</w:t>
      </w:r>
      <w:r w:rsidRPr="00507A31">
        <w:rPr>
          <w:color w:val="0070C0"/>
          <w:sz w:val="16"/>
          <w:szCs w:val="16"/>
          <w:lang w:bidi="ru-RU"/>
        </w:rPr>
        <w:softHyphen/>
        <w:t>ные колеса, обеспечить легкий доступ к мотору для обслуживания («сделать бро</w:t>
      </w:r>
      <w:r w:rsidRPr="00507A31">
        <w:rPr>
          <w:color w:val="0070C0"/>
          <w:sz w:val="16"/>
          <w:szCs w:val="16"/>
          <w:lang w:bidi="ru-RU"/>
        </w:rPr>
        <w:softHyphen/>
        <w:t>нированные лючки»), до постройки само</w:t>
      </w:r>
      <w:r w:rsidRPr="00507A31">
        <w:rPr>
          <w:color w:val="0070C0"/>
          <w:sz w:val="16"/>
          <w:szCs w:val="16"/>
          <w:lang w:bidi="ru-RU"/>
        </w:rPr>
        <w:softHyphen/>
        <w:t>лета проверить работоспособность схемы втягивания радиатора внутрь бронекор- пуса при атаке цели («полет в таком со</w:t>
      </w:r>
      <w:r w:rsidRPr="00507A31">
        <w:rPr>
          <w:color w:val="0070C0"/>
          <w:sz w:val="16"/>
          <w:szCs w:val="16"/>
          <w:lang w:bidi="ru-RU"/>
        </w:rPr>
        <w:softHyphen/>
        <w:t>стоянии до 10 км будет давать перегрев радиатора, необходимо теперь же это ис</w:t>
      </w:r>
      <w:r w:rsidRPr="00507A31">
        <w:rPr>
          <w:color w:val="0070C0"/>
          <w:sz w:val="16"/>
          <w:szCs w:val="16"/>
          <w:lang w:bidi="ru-RU"/>
        </w:rPr>
        <w:softHyphen/>
        <w:t>пытать на каком-нибудь самолете»).</w:t>
      </w:r>
    </w:p>
    <w:p w14:paraId="67041C8E" w14:textId="77777777" w:rsidR="000F77CE" w:rsidRPr="00507A31" w:rsidRDefault="000F77CE" w:rsidP="00507A31">
      <w:pPr>
        <w:jc w:val="both"/>
        <w:rPr>
          <w:color w:val="0070C0"/>
          <w:sz w:val="16"/>
          <w:szCs w:val="16"/>
        </w:rPr>
      </w:pPr>
      <w:r w:rsidRPr="00507A31">
        <w:rPr>
          <w:color w:val="0070C0"/>
          <w:sz w:val="16"/>
          <w:szCs w:val="16"/>
          <w:lang w:bidi="ru-RU"/>
        </w:rPr>
        <w:t>Строевыми летчиками высказывались вполне обоснованные сомнения в воз</w:t>
      </w:r>
      <w:r w:rsidRPr="00507A31">
        <w:rPr>
          <w:color w:val="0070C0"/>
          <w:sz w:val="16"/>
          <w:szCs w:val="16"/>
          <w:lang w:bidi="ru-RU"/>
        </w:rPr>
        <w:softHyphen/>
        <w:t>можности сочетания «штурмовика и лег</w:t>
      </w:r>
      <w:r w:rsidRPr="00507A31">
        <w:rPr>
          <w:color w:val="0070C0"/>
          <w:sz w:val="16"/>
          <w:szCs w:val="16"/>
          <w:lang w:bidi="ru-RU"/>
        </w:rPr>
        <w:softHyphen/>
        <w:t>кого бомбардировщика в одном само</w:t>
      </w:r>
      <w:r w:rsidRPr="00507A31">
        <w:rPr>
          <w:color w:val="0070C0"/>
          <w:sz w:val="16"/>
          <w:szCs w:val="16"/>
          <w:lang w:bidi="ru-RU"/>
        </w:rPr>
        <w:softHyphen/>
        <w:t>лете». На первый план выдвигалось тре</w:t>
      </w:r>
      <w:r w:rsidRPr="00507A31">
        <w:rPr>
          <w:color w:val="0070C0"/>
          <w:sz w:val="16"/>
          <w:szCs w:val="16"/>
          <w:lang w:bidi="ru-RU"/>
        </w:rPr>
        <w:softHyphen/>
        <w:t>бование высокой маневренности для штурмовика, даже в ущерб его защи</w:t>
      </w:r>
      <w:r w:rsidRPr="00507A31">
        <w:rPr>
          <w:color w:val="0070C0"/>
          <w:sz w:val="16"/>
          <w:szCs w:val="16"/>
          <w:lang w:bidi="ru-RU"/>
        </w:rPr>
        <w:softHyphen/>
        <w:t>щенности броней: ««Основное требова</w:t>
      </w:r>
      <w:r w:rsidRPr="00507A31">
        <w:rPr>
          <w:color w:val="0070C0"/>
          <w:sz w:val="16"/>
          <w:szCs w:val="16"/>
          <w:lang w:bidi="ru-RU"/>
        </w:rPr>
        <w:softHyphen/>
        <w:t>ние к штурмовику - это маневренность. Если все забронировать - маневренность сильно падает, а отсюда подход и уход за</w:t>
      </w:r>
      <w:r w:rsidRPr="00507A31">
        <w:rPr>
          <w:color w:val="0070C0"/>
          <w:sz w:val="16"/>
          <w:szCs w:val="16"/>
          <w:lang w:bidi="ru-RU"/>
        </w:rPr>
        <w:softHyphen/>
        <w:t>труднится».</w:t>
      </w:r>
    </w:p>
    <w:p w14:paraId="23C87211" w14:textId="77777777" w:rsidR="000F77CE" w:rsidRPr="00507A31" w:rsidRDefault="000F77CE" w:rsidP="00507A31">
      <w:pPr>
        <w:jc w:val="both"/>
        <w:rPr>
          <w:color w:val="0070C0"/>
          <w:sz w:val="16"/>
          <w:szCs w:val="16"/>
        </w:rPr>
      </w:pPr>
      <w:r w:rsidRPr="00507A31">
        <w:rPr>
          <w:color w:val="0070C0"/>
          <w:sz w:val="16"/>
          <w:szCs w:val="16"/>
          <w:lang w:bidi="ru-RU"/>
        </w:rPr>
        <w:t>Черту дискуссии подвел председатель комиссии Хандожко: «Так как макет са</w:t>
      </w:r>
      <w:r w:rsidRPr="00507A31">
        <w:rPr>
          <w:color w:val="0070C0"/>
          <w:sz w:val="16"/>
          <w:szCs w:val="16"/>
          <w:lang w:bidi="ru-RU"/>
        </w:rPr>
        <w:softHyphen/>
        <w:t>молета уже построен и самолет должен быть выпущен в сентябре месяце, то мы должны исходить из уже существующих составленных ЦКБ технических требова</w:t>
      </w:r>
      <w:r w:rsidRPr="00507A31">
        <w:rPr>
          <w:color w:val="0070C0"/>
          <w:sz w:val="16"/>
          <w:szCs w:val="16"/>
          <w:lang w:bidi="ru-RU"/>
        </w:rPr>
        <w:softHyphen/>
        <w:t>ний. /.../ Так как самолет является опыт</w:t>
      </w:r>
      <w:r w:rsidRPr="00507A31">
        <w:rPr>
          <w:color w:val="0070C0"/>
          <w:sz w:val="16"/>
          <w:szCs w:val="16"/>
          <w:lang w:bidi="ru-RU"/>
        </w:rPr>
        <w:softHyphen/>
        <w:t>ным, нужно его строить в таком виде, как предлагает ЦКБ с минимальными измене</w:t>
      </w:r>
      <w:r w:rsidRPr="00507A31">
        <w:rPr>
          <w:color w:val="0070C0"/>
          <w:sz w:val="16"/>
          <w:szCs w:val="16"/>
          <w:lang w:bidi="ru-RU"/>
        </w:rPr>
        <w:softHyphen/>
        <w:t>ниями». При этом если «ЦАГИ будет стро</w:t>
      </w:r>
      <w:r w:rsidRPr="00507A31">
        <w:rPr>
          <w:color w:val="0070C0"/>
          <w:sz w:val="16"/>
          <w:szCs w:val="16"/>
          <w:lang w:bidi="ru-RU"/>
        </w:rPr>
        <w:softHyphen/>
        <w:t>ить тяжелый штурмовик, то /.../ этот са</w:t>
      </w:r>
      <w:r w:rsidRPr="00507A31">
        <w:rPr>
          <w:color w:val="0070C0"/>
          <w:sz w:val="16"/>
          <w:szCs w:val="16"/>
          <w:lang w:bidi="ru-RU"/>
        </w:rPr>
        <w:softHyphen/>
        <w:t>молет будем рассматривать, как легкий штурмовик и оставим его в таком виде, как предлагает ЦКБ», если же «ЦАГИ не будет строить тяжелый штурмовик, тогда дело меняется, /.../ он станет тяжелым штурмовиком» и бронирование самолета следует усилить. С предложением Хан- дожко члены комиссии согласились.</w:t>
      </w:r>
    </w:p>
    <w:p w14:paraId="5BCCC107" w14:textId="77777777" w:rsidR="000F77CE" w:rsidRPr="00507A31" w:rsidRDefault="000F77CE" w:rsidP="00507A31">
      <w:pPr>
        <w:jc w:val="both"/>
        <w:rPr>
          <w:color w:val="0070C0"/>
          <w:sz w:val="16"/>
          <w:szCs w:val="16"/>
        </w:rPr>
      </w:pPr>
      <w:r w:rsidRPr="00507A31">
        <w:rPr>
          <w:color w:val="0070C0"/>
          <w:sz w:val="16"/>
          <w:szCs w:val="16"/>
          <w:lang w:bidi="ru-RU"/>
        </w:rPr>
        <w:t>В заключительной части протокола записали:</w:t>
      </w:r>
    </w:p>
    <w:p w14:paraId="591614FD" w14:textId="77777777" w:rsidR="000F77CE" w:rsidRPr="00507A31" w:rsidRDefault="000F77CE" w:rsidP="00507A31">
      <w:pPr>
        <w:jc w:val="both"/>
        <w:rPr>
          <w:color w:val="0070C0"/>
          <w:sz w:val="16"/>
          <w:szCs w:val="16"/>
        </w:rPr>
      </w:pPr>
      <w:r w:rsidRPr="00507A31">
        <w:rPr>
          <w:color w:val="0070C0"/>
          <w:sz w:val="16"/>
          <w:szCs w:val="16"/>
          <w:lang w:bidi="ru-RU"/>
        </w:rPr>
        <w:t>«1. Принципиально считать обязатель</w:t>
      </w:r>
      <w:r w:rsidRPr="00507A31">
        <w:rPr>
          <w:color w:val="0070C0"/>
          <w:sz w:val="16"/>
          <w:szCs w:val="16"/>
          <w:lang w:bidi="ru-RU"/>
        </w:rPr>
        <w:softHyphen/>
        <w:t>ным, чтобы штурмовик имел металличе</w:t>
      </w:r>
      <w:r w:rsidRPr="00507A31">
        <w:rPr>
          <w:color w:val="0070C0"/>
          <w:sz w:val="16"/>
          <w:szCs w:val="16"/>
          <w:lang w:bidi="ru-RU"/>
        </w:rPr>
        <w:softHyphen/>
        <w:t>ский остов как фюзеляжа, так и плоско</w:t>
      </w:r>
      <w:r w:rsidRPr="00507A31">
        <w:rPr>
          <w:color w:val="0070C0"/>
          <w:sz w:val="16"/>
          <w:szCs w:val="16"/>
          <w:lang w:bidi="ru-RU"/>
        </w:rPr>
        <w:softHyphen/>
        <w:t>стей, с многолонжеронным крылом. В слу</w:t>
      </w:r>
      <w:r w:rsidRPr="00507A31">
        <w:rPr>
          <w:color w:val="0070C0"/>
          <w:sz w:val="16"/>
          <w:szCs w:val="16"/>
          <w:lang w:bidi="ru-RU"/>
        </w:rPr>
        <w:softHyphen/>
        <w:t>чае невозможности, применительно к данному типу самолета, в производствен</w:t>
      </w:r>
      <w:r w:rsidRPr="00507A31">
        <w:rPr>
          <w:color w:val="0070C0"/>
          <w:sz w:val="16"/>
          <w:szCs w:val="16"/>
          <w:lang w:bidi="ru-RU"/>
        </w:rPr>
        <w:softHyphen/>
        <w:t>ном отношении осуществить обшивку са</w:t>
      </w:r>
      <w:r w:rsidRPr="00507A31">
        <w:rPr>
          <w:color w:val="0070C0"/>
          <w:sz w:val="16"/>
          <w:szCs w:val="16"/>
          <w:lang w:bidi="ru-RU"/>
        </w:rPr>
        <w:softHyphen/>
        <w:t>молета металлом, допустить полотняную огнеупорную обшивку.</w:t>
      </w:r>
    </w:p>
    <w:p w14:paraId="3F3019E2" w14:textId="77777777" w:rsidR="000F77CE" w:rsidRPr="00507A31" w:rsidRDefault="000F77CE" w:rsidP="00507A31">
      <w:pPr>
        <w:jc w:val="both"/>
        <w:rPr>
          <w:color w:val="0070C0"/>
          <w:sz w:val="16"/>
          <w:szCs w:val="16"/>
        </w:rPr>
      </w:pPr>
      <w:r w:rsidRPr="00507A31">
        <w:rPr>
          <w:color w:val="0070C0"/>
          <w:sz w:val="16"/>
          <w:szCs w:val="16"/>
          <w:lang w:bidi="ru-RU"/>
        </w:rPr>
        <w:t>2. Так как по заявлению ЦКБ осущест</w:t>
      </w:r>
      <w:r w:rsidRPr="00507A31">
        <w:rPr>
          <w:color w:val="0070C0"/>
          <w:sz w:val="16"/>
          <w:szCs w:val="16"/>
          <w:lang w:bidi="ru-RU"/>
        </w:rPr>
        <w:softHyphen/>
        <w:t>вление металлических крыльев на первых двух опытных самолетах вызовет задер</w:t>
      </w:r>
      <w:r w:rsidRPr="00507A31">
        <w:rPr>
          <w:color w:val="0070C0"/>
          <w:sz w:val="16"/>
          <w:szCs w:val="16"/>
          <w:lang w:bidi="ru-RU"/>
        </w:rPr>
        <w:softHyphen/>
        <w:t>жку в выпуске этих самолетов в пределах до 1-го месяца /.../, считать необходимым вопрос о металлических крыльях на пер</w:t>
      </w:r>
      <w:r w:rsidRPr="00507A31">
        <w:rPr>
          <w:color w:val="0070C0"/>
          <w:sz w:val="16"/>
          <w:szCs w:val="16"/>
          <w:lang w:bidi="ru-RU"/>
        </w:rPr>
        <w:softHyphen/>
        <w:t>вых 2-х опытных самолетах поставить на разрешение начальника ВВС КА.</w:t>
      </w:r>
    </w:p>
    <w:p w14:paraId="335DC320" w14:textId="77777777" w:rsidR="000F77CE" w:rsidRPr="00507A31" w:rsidRDefault="000F77CE" w:rsidP="00507A31">
      <w:pPr>
        <w:jc w:val="both"/>
        <w:rPr>
          <w:color w:val="0070C0"/>
          <w:sz w:val="16"/>
          <w:szCs w:val="16"/>
        </w:rPr>
      </w:pPr>
      <w:r w:rsidRPr="00507A31">
        <w:rPr>
          <w:color w:val="0070C0"/>
          <w:sz w:val="16"/>
          <w:szCs w:val="16"/>
          <w:lang w:bidi="ru-RU"/>
        </w:rPr>
        <w:t>3. Схему самолета и макет утвердить со следующими изменениями:</w:t>
      </w:r>
    </w:p>
    <w:p w14:paraId="2F137C2A" w14:textId="77777777" w:rsidR="000F77CE" w:rsidRPr="00507A31" w:rsidRDefault="000F77CE" w:rsidP="00507A31">
      <w:pPr>
        <w:widowControl w:val="0"/>
        <w:tabs>
          <w:tab w:val="left" w:pos="534"/>
        </w:tabs>
        <w:jc w:val="both"/>
        <w:rPr>
          <w:color w:val="0070C0"/>
          <w:sz w:val="16"/>
          <w:szCs w:val="16"/>
        </w:rPr>
      </w:pPr>
      <w:r w:rsidRPr="00507A31">
        <w:rPr>
          <w:color w:val="0070C0"/>
          <w:sz w:val="16"/>
          <w:szCs w:val="16"/>
          <w:lang w:bidi="ru-RU"/>
        </w:rPr>
        <w:t>а) Считать необходимым заброниро</w:t>
      </w:r>
      <w:r w:rsidRPr="00507A31">
        <w:rPr>
          <w:color w:val="0070C0"/>
          <w:sz w:val="16"/>
          <w:szCs w:val="16"/>
          <w:lang w:bidi="ru-RU"/>
        </w:rPr>
        <w:softHyphen/>
        <w:t>вать летнаба в сидячем положении от по</w:t>
      </w:r>
      <w:r w:rsidRPr="00507A31">
        <w:rPr>
          <w:color w:val="0070C0"/>
          <w:sz w:val="16"/>
          <w:szCs w:val="16"/>
          <w:lang w:bidi="ru-RU"/>
        </w:rPr>
        <w:softHyphen/>
        <w:t>ражении с земли, предоставив ему пол</w:t>
      </w:r>
      <w:r w:rsidRPr="00507A31">
        <w:rPr>
          <w:color w:val="0070C0"/>
          <w:sz w:val="16"/>
          <w:szCs w:val="16"/>
          <w:lang w:bidi="ru-RU"/>
        </w:rPr>
        <w:softHyphen/>
        <w:t>ную свободу действий пулеметом для воздушного боя;</w:t>
      </w:r>
    </w:p>
    <w:p w14:paraId="198F336C" w14:textId="77777777" w:rsidR="000F77CE" w:rsidRPr="00507A31" w:rsidRDefault="000F77CE" w:rsidP="00507A31">
      <w:pPr>
        <w:widowControl w:val="0"/>
        <w:tabs>
          <w:tab w:val="left" w:pos="543"/>
        </w:tabs>
        <w:jc w:val="both"/>
        <w:rPr>
          <w:color w:val="0070C0"/>
          <w:sz w:val="16"/>
          <w:szCs w:val="16"/>
        </w:rPr>
      </w:pPr>
      <w:r w:rsidRPr="00507A31">
        <w:rPr>
          <w:color w:val="0070C0"/>
          <w:sz w:val="16"/>
          <w:szCs w:val="16"/>
          <w:lang w:bidi="ru-RU"/>
        </w:rPr>
        <w:t>б) Считать необходимым поднять броню насколько возможно кверху (с бо</w:t>
      </w:r>
      <w:r w:rsidRPr="00507A31">
        <w:rPr>
          <w:color w:val="0070C0"/>
          <w:sz w:val="16"/>
          <w:szCs w:val="16"/>
          <w:lang w:bidi="ru-RU"/>
        </w:rPr>
        <w:softHyphen/>
        <w:t>ков) с целью защиты распределительных валиков;</w:t>
      </w:r>
    </w:p>
    <w:p w14:paraId="25B479BF" w14:textId="77777777" w:rsidR="000F77CE" w:rsidRPr="00507A31" w:rsidRDefault="000F77CE" w:rsidP="00507A31">
      <w:pPr>
        <w:widowControl w:val="0"/>
        <w:tabs>
          <w:tab w:val="left" w:pos="548"/>
        </w:tabs>
        <w:jc w:val="both"/>
        <w:rPr>
          <w:color w:val="0070C0"/>
          <w:sz w:val="16"/>
          <w:szCs w:val="16"/>
        </w:rPr>
      </w:pPr>
      <w:r w:rsidRPr="00507A31">
        <w:rPr>
          <w:color w:val="0070C0"/>
          <w:sz w:val="16"/>
          <w:szCs w:val="16"/>
          <w:lang w:bidi="ru-RU"/>
        </w:rPr>
        <w:t>в) В кабине стрелка поставить пуле</w:t>
      </w:r>
      <w:r w:rsidRPr="00507A31">
        <w:rPr>
          <w:color w:val="0070C0"/>
          <w:sz w:val="16"/>
          <w:szCs w:val="16"/>
          <w:lang w:bidi="ru-RU"/>
        </w:rPr>
        <w:softHyphen/>
        <w:t>мет ПВ-1. Количество патрон к нему 600</w:t>
      </w:r>
      <w:r w:rsidRPr="00507A31">
        <w:rPr>
          <w:color w:val="0070C0"/>
          <w:sz w:val="16"/>
          <w:szCs w:val="16"/>
          <w:lang w:bidi="ru-RU"/>
        </w:rPr>
        <w:softHyphen/>
        <w:t>750 с допуском не более 3-х зарядов (три ленты по 200-250 патронов - прим. авт.);</w:t>
      </w:r>
    </w:p>
    <w:p w14:paraId="17AF611E" w14:textId="77777777" w:rsidR="000F77CE" w:rsidRPr="00507A31" w:rsidRDefault="000F77CE" w:rsidP="00507A31">
      <w:pPr>
        <w:widowControl w:val="0"/>
        <w:tabs>
          <w:tab w:val="left" w:pos="524"/>
        </w:tabs>
        <w:jc w:val="both"/>
        <w:rPr>
          <w:color w:val="0070C0"/>
          <w:sz w:val="16"/>
          <w:szCs w:val="16"/>
        </w:rPr>
      </w:pPr>
      <w:r w:rsidRPr="00507A31">
        <w:rPr>
          <w:color w:val="0070C0"/>
          <w:sz w:val="16"/>
          <w:szCs w:val="16"/>
          <w:lang w:bidi="ru-RU"/>
        </w:rPr>
        <w:t>г) Предусмотреть возможность предо</w:t>
      </w:r>
      <w:r w:rsidRPr="00507A31">
        <w:rPr>
          <w:color w:val="0070C0"/>
          <w:sz w:val="16"/>
          <w:szCs w:val="16"/>
          <w:lang w:bidi="ru-RU"/>
        </w:rPr>
        <w:softHyphen/>
        <w:t>хранения пулеметов под крыльями при авариях и легкую съемку и подвеску их;</w:t>
      </w:r>
    </w:p>
    <w:p w14:paraId="3E2D6F60" w14:textId="77777777" w:rsidR="000F77CE" w:rsidRPr="00507A31" w:rsidRDefault="000F77CE" w:rsidP="00507A31">
      <w:pPr>
        <w:widowControl w:val="0"/>
        <w:tabs>
          <w:tab w:val="left" w:pos="543"/>
        </w:tabs>
        <w:jc w:val="both"/>
        <w:rPr>
          <w:color w:val="0070C0"/>
          <w:sz w:val="16"/>
          <w:szCs w:val="16"/>
        </w:rPr>
      </w:pPr>
      <w:r w:rsidRPr="00507A31">
        <w:rPr>
          <w:color w:val="0070C0"/>
          <w:sz w:val="16"/>
          <w:szCs w:val="16"/>
          <w:lang w:bidi="ru-RU"/>
        </w:rPr>
        <w:t>д) Считать необходимым осуществить конструкцию бензиновых баков, позволя</w:t>
      </w:r>
      <w:r w:rsidRPr="00507A31">
        <w:rPr>
          <w:color w:val="0070C0"/>
          <w:sz w:val="16"/>
          <w:szCs w:val="16"/>
          <w:lang w:bidi="ru-RU"/>
        </w:rPr>
        <w:softHyphen/>
        <w:t>ющую возможно легкое сбрасывание их;</w:t>
      </w:r>
    </w:p>
    <w:p w14:paraId="7016878B" w14:textId="77777777" w:rsidR="000F77CE" w:rsidRPr="00507A31" w:rsidRDefault="000F77CE" w:rsidP="00507A31">
      <w:pPr>
        <w:widowControl w:val="0"/>
        <w:tabs>
          <w:tab w:val="left" w:pos="534"/>
        </w:tabs>
        <w:jc w:val="both"/>
        <w:rPr>
          <w:color w:val="0070C0"/>
          <w:sz w:val="16"/>
          <w:szCs w:val="16"/>
        </w:rPr>
      </w:pPr>
      <w:r w:rsidRPr="00507A31">
        <w:rPr>
          <w:color w:val="0070C0"/>
          <w:sz w:val="16"/>
          <w:szCs w:val="16"/>
          <w:lang w:bidi="ru-RU"/>
        </w:rPr>
        <w:t>е) В связи с затруднениями, вызы</w:t>
      </w:r>
      <w:r w:rsidRPr="00507A31">
        <w:rPr>
          <w:color w:val="0070C0"/>
          <w:sz w:val="16"/>
          <w:szCs w:val="16"/>
          <w:lang w:bidi="ru-RU"/>
        </w:rPr>
        <w:softHyphen/>
        <w:t>ваемыми бронированием кабины лет- наба, а также малой вероятности исполь</w:t>
      </w:r>
      <w:r w:rsidRPr="00507A31">
        <w:rPr>
          <w:color w:val="0070C0"/>
          <w:sz w:val="16"/>
          <w:szCs w:val="16"/>
          <w:lang w:bidi="ru-RU"/>
        </w:rPr>
        <w:softHyphen/>
        <w:t>зования им двойного управления, считать двойное управление не нужным;</w:t>
      </w:r>
    </w:p>
    <w:p w14:paraId="2B5ADF40" w14:textId="77777777" w:rsidR="000F77CE" w:rsidRPr="00507A31" w:rsidRDefault="000F77CE" w:rsidP="00507A31">
      <w:pPr>
        <w:widowControl w:val="0"/>
        <w:tabs>
          <w:tab w:val="left" w:pos="562"/>
        </w:tabs>
        <w:jc w:val="both"/>
        <w:rPr>
          <w:color w:val="0070C0"/>
          <w:sz w:val="16"/>
          <w:szCs w:val="16"/>
          <w:lang w:bidi="ru-RU"/>
        </w:rPr>
      </w:pPr>
      <w:r w:rsidRPr="00507A31">
        <w:rPr>
          <w:color w:val="0070C0"/>
          <w:sz w:val="16"/>
          <w:szCs w:val="16"/>
          <w:lang w:bidi="ru-RU"/>
        </w:rPr>
        <w:t>ж) Считать крайне желательным иметь на данном типе самолета тормоз</w:t>
      </w:r>
      <w:r w:rsidRPr="00507A31">
        <w:rPr>
          <w:color w:val="0070C0"/>
          <w:sz w:val="16"/>
          <w:szCs w:val="16"/>
          <w:lang w:bidi="ru-RU"/>
        </w:rPr>
        <w:softHyphen/>
        <w:t>ные колеса» (21062).</w:t>
      </w:r>
    </w:p>
    <w:p w14:paraId="5833688D" w14:textId="77777777" w:rsidR="000F77CE" w:rsidRPr="00507A31" w:rsidRDefault="000F77CE" w:rsidP="00507A31">
      <w:pPr>
        <w:widowControl w:val="0"/>
        <w:tabs>
          <w:tab w:val="left" w:pos="562"/>
        </w:tabs>
        <w:jc w:val="both"/>
        <w:rPr>
          <w:color w:val="0070C0"/>
          <w:sz w:val="16"/>
          <w:szCs w:val="16"/>
        </w:rPr>
      </w:pPr>
    </w:p>
    <w:p w14:paraId="6370C0A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6 августа 1930 года начались испытания геликоптера СОК ЭАО ЦАГИ на открытом воздухе на Ухтомском аэродроме. С июля испытания вначале велись в помещении на территории ЦАГИ. Испытания машины проводились сначала на привязи, причем при первых испытаниях машина была крепко притянута к земле, а при последующих она имела возможность совершать подъемы примерно на 300 м (6926, 5).</w:t>
      </w:r>
    </w:p>
    <w:p w14:paraId="779BE52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2B276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августа 1930 года было приступлено к испытаниям геликоптера 1-ЭА.</w:t>
      </w:r>
    </w:p>
    <w:p w14:paraId="037670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произведено свободных полетных испытаний - 21.</w:t>
      </w:r>
    </w:p>
    <w:p w14:paraId="71D7A7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сегодняшний день мы имеем следующие результаты летных испытаний этого геликоптера:</w:t>
      </w:r>
    </w:p>
    <w:p w14:paraId="794618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Наибольшая достигнутая высота полета 600 м.</w:t>
      </w:r>
    </w:p>
    <w:p w14:paraId="112B0C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Результаты летных испытаний от испытания к испытанию все время улучшались:</w:t>
      </w:r>
    </w:p>
    <w:p w14:paraId="3B7D71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12.12.30 г. - высота 2 м</w:t>
      </w:r>
    </w:p>
    <w:p w14:paraId="566903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13.05.31 г. - высота 12 м</w:t>
      </w:r>
    </w:p>
    <w:p w14:paraId="15ACDF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26.06.32 г. - высота 25 м</w:t>
      </w:r>
    </w:p>
    <w:p w14:paraId="240309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30.06.32 г. - высота 60 м</w:t>
      </w:r>
    </w:p>
    <w:p w14:paraId="237EE5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28.07.32 г. - высота 90 м</w:t>
      </w:r>
    </w:p>
    <w:p w14:paraId="563D1E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1.08.32 г. - высота 160 м</w:t>
      </w:r>
    </w:p>
    <w:p w14:paraId="01D243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3.08.32 г. - высота 230 м</w:t>
      </w:r>
    </w:p>
    <w:p w14:paraId="7A617C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5.08.32 г. - высота 285 м</w:t>
      </w:r>
    </w:p>
    <w:p w14:paraId="08F597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14.08.32 г. - высота 600 м</w:t>
      </w:r>
    </w:p>
    <w:p w14:paraId="50AFE7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Наибольшая продолжительность пребывания в воздухе 13 мин.</w:t>
      </w:r>
    </w:p>
    <w:p w14:paraId="07435D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Наибольшая длина пройденного пути около 3 км.</w:t>
      </w:r>
    </w:p>
    <w:p w14:paraId="3E5735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Скорость горизонтального перемещения 25 км/час.</w:t>
      </w:r>
    </w:p>
    <w:p w14:paraId="32B478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процессе испытаний были выявлены следующие летные возможности данного геликоптера:</w:t>
      </w:r>
    </w:p>
    <w:p w14:paraId="50879F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Вертикальный взлет прямо с места.</w:t>
      </w:r>
    </w:p>
    <w:p w14:paraId="7E05AD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Неподвижное висение в воздухе на одном месте.</w:t>
      </w:r>
    </w:p>
    <w:p w14:paraId="3AE0D8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Поступательное передвижение вперед и назад.</w:t>
      </w:r>
    </w:p>
    <w:p w14:paraId="5EE4B9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Поворот на любой угол на месте.</w:t>
      </w:r>
    </w:p>
    <w:p w14:paraId="07B75D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 Совершенно вертикальная посадка.</w:t>
      </w:r>
    </w:p>
    <w:p w14:paraId="2078EB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всех летных испытаниях управлял машиной инженер секции Особых конструкций Черемухин А.М.</w:t>
      </w:r>
    </w:p>
    <w:p w14:paraId="59DD2D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Над проблемой геликоптера Секции особых конструкций работают следующие лица:</w:t>
      </w:r>
    </w:p>
    <w:p w14:paraId="1520DB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Инженер Изаксон А.М. - начальник Секции особых конструкций. Работает с 1925 года. Общее руководство всеми работами. Работы в части экспериментально-аэродинамической, общее наблюдении за производством и участие во всех испытаниях.</w:t>
      </w:r>
    </w:p>
    <w:p w14:paraId="289C99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Инженер Черемухин А.М. - зам. нач. Секции особых конструкций. Работает с 1926 года. Работы конструкторские, наблюдение за конструированием и производством и управление аппаратом при всех испытаниях (на земле и в воздухе).</w:t>
      </w:r>
    </w:p>
    <w:p w14:paraId="1AC995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Инженер Бункин К.А. Инженер Секции особых конструкций. Работает с 1926 года. Конструирование всей механической части, наблюдение за производством и участие во всех испытаниях.</w:t>
      </w:r>
    </w:p>
    <w:p w14:paraId="427654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Профессор Юрьев Б.Н. - принимал участие в этих работах в период с 1925 по начало 1930 г.</w:t>
      </w:r>
    </w:p>
    <w:p w14:paraId="508B43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Инженер Братухин И.П. Работает с 1926 г. Работы расчетно-конструкторские и разработка аэродинамики винта.</w:t>
      </w:r>
    </w:p>
    <w:p w14:paraId="09B37D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Инженер Солнцев Г.И. Работает с 1926 г. Работы конструкторские.</w:t>
      </w:r>
    </w:p>
    <w:p w14:paraId="45D848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Инженер Маурин А. Работает с 1926 г. Работы конструкторские.</w:t>
      </w:r>
    </w:p>
    <w:p w14:paraId="1553F1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Инженер Кононов Н.Х. Работы чертежно-конструкторские (3082,37-39).</w:t>
      </w:r>
    </w:p>
    <w:p w14:paraId="507600EC" w14:textId="77777777" w:rsidR="00537E5F" w:rsidRPr="00507A31" w:rsidRDefault="00537E5F" w:rsidP="00507A31">
      <w:pPr>
        <w:autoSpaceDE w:val="0"/>
        <w:autoSpaceDN w:val="0"/>
        <w:adjustRightInd w:val="0"/>
        <w:jc w:val="both"/>
        <w:rPr>
          <w:color w:val="000000" w:themeColor="text1"/>
          <w:sz w:val="16"/>
          <w:szCs w:val="16"/>
        </w:rPr>
      </w:pPr>
    </w:p>
    <w:p w14:paraId="5A0E2B0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C96C9AB" w14:textId="77777777" w:rsidR="00537E5F" w:rsidRPr="00507A31" w:rsidRDefault="00537E5F" w:rsidP="00507A31">
      <w:pPr>
        <w:autoSpaceDE w:val="0"/>
        <w:autoSpaceDN w:val="0"/>
        <w:adjustRightInd w:val="0"/>
        <w:jc w:val="both"/>
        <w:rPr>
          <w:iCs/>
          <w:color w:val="000000" w:themeColor="text1"/>
          <w:sz w:val="16"/>
          <w:szCs w:val="16"/>
        </w:rPr>
      </w:pPr>
    </w:p>
    <w:p w14:paraId="6FC3A2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августа 1930 года на НИАПе состоялось испытание 8 дюймовой пушки №1203, перестволенной в 180-мм, хотя заказ на перестволение 8/50-дюймовой пушки 180-мм трубой из легированной стали (с молибденом и никелем) для предварительных испытаний Обуховский завод получил еще в 1926 году. Пушка №1203 стреляла с "родного" корабельного лафета с углом возвышения +18. После интенсивных испытаний 180-мм пушка №1203 была расстреляна, и в 1933 году инженер Упорников предложил проект переделки ее в полигональную, что и было сделано на Обуховском заводе. Сечение канала имело 8 граней с крутизной наклона 20 калибров. Диаметр по вершинам граней был 200 мм, а по серединам 190 мм. Вес снаряда 100 кг, начальная скорость 940 м/с, максимальное давление в канале 3200 кг/см2. Однако из-за сложности изготовления и эксплуатации полигональных орудий на вооружение они приняты не были. Испытания пушки №1203 и теоретические расчеты показали, что чудес на свете не бывает и 180-мм суперпушки не получится, а если бы и удалось сделать таковую с давлением в патроннике 4000 кг/см2, то ее живучесть вряд ли бы достигла и десятка выстрелов. Фактически при весе снаряда 97,5 кг начальная скорость составила 920 м/с, давление в канале 3200 кг/см2, а живучесть около 70 выстрелов (3861).</w:t>
      </w:r>
    </w:p>
    <w:p w14:paraId="3F3FD7C2" w14:textId="77777777" w:rsidR="00537E5F" w:rsidRPr="00507A31" w:rsidRDefault="00537E5F" w:rsidP="00507A31">
      <w:pPr>
        <w:autoSpaceDE w:val="0"/>
        <w:autoSpaceDN w:val="0"/>
        <w:adjustRightInd w:val="0"/>
        <w:jc w:val="both"/>
        <w:rPr>
          <w:color w:val="000000" w:themeColor="text1"/>
          <w:sz w:val="16"/>
          <w:szCs w:val="16"/>
        </w:rPr>
      </w:pPr>
    </w:p>
    <w:p w14:paraId="0F4513E8" w14:textId="77777777" w:rsidR="00977874" w:rsidRPr="00507A31" w:rsidRDefault="00977874" w:rsidP="00507A31">
      <w:pPr>
        <w:jc w:val="both"/>
        <w:rPr>
          <w:color w:val="000000" w:themeColor="text1"/>
          <w:sz w:val="16"/>
          <w:szCs w:val="16"/>
        </w:rPr>
      </w:pPr>
      <w:r w:rsidRPr="00507A31">
        <w:rPr>
          <w:color w:val="000000" w:themeColor="text1"/>
          <w:sz w:val="16"/>
          <w:szCs w:val="16"/>
        </w:rPr>
        <w:t xml:space="preserve">6 августа 1930 г. согласно постановлению Совнаркома от, начальник Государственного орудийно-пулеметного объединения Будняк и глава БЮТАСТа Гуго Фройденштейн подписали в Берлине секретный договор. Согласно ему, фирма БЮТАСТ должна была помочь СССР организовать валовое производство шести артиллерийских систем: 7,62-см зенитной пушки; 15,2-см мортиры; 3,7-см противотанковой пушки; 2-см и 3,7-см зенитных автоматов и 15,2-см гаубицы. Все орудия были, естественно, конструкции фирмы «Рейнметалл». Таким образом, немцы предоставили СССР лучшие опытные образцы своих артиллерийских систем. Кстати, </w:t>
      </w:r>
      <w:r w:rsidRPr="00507A31">
        <w:rPr>
          <w:color w:val="000000" w:themeColor="text1"/>
          <w:sz w:val="16"/>
          <w:szCs w:val="16"/>
        </w:rPr>
        <w:lastRenderedPageBreak/>
        <w:t>все эти артсистемы, кроме 7,62-см зенитной пушки (немцы перешли вскоре на калибр 88 мм для зенитных орудий), были запущены в Германии в массовое производство в середине 1930-х гг. и успешно действовали на всех фронтах Второй мировой войны.</w:t>
      </w:r>
    </w:p>
    <w:p w14:paraId="68196A5E" w14:textId="77777777" w:rsidR="00977874" w:rsidRPr="00507A31" w:rsidRDefault="00977874" w:rsidP="00507A31">
      <w:pPr>
        <w:jc w:val="both"/>
        <w:rPr>
          <w:color w:val="000000" w:themeColor="text1"/>
          <w:sz w:val="16"/>
          <w:szCs w:val="16"/>
        </w:rPr>
      </w:pPr>
      <w:r w:rsidRPr="00507A31">
        <w:rPr>
          <w:color w:val="000000" w:themeColor="text1"/>
          <w:sz w:val="16"/>
          <w:szCs w:val="16"/>
        </w:rPr>
        <w:t>На базе германских орудий были созданы 37-мм и 45-мм танковые пушки, 76-мм и 85-мм зенитные пушки. По вине бюрократов завода № 8 (им. Калинина) было сорвано производство 20-мм и 37-мм зенитных автоматов «Рейнметалла». У нас их выпускали под названиями 2К и 4К (18264).</w:t>
      </w:r>
    </w:p>
    <w:p w14:paraId="3212961B" w14:textId="77777777" w:rsidR="00977874" w:rsidRPr="00507A31" w:rsidRDefault="00977874" w:rsidP="00507A31">
      <w:pPr>
        <w:jc w:val="both"/>
        <w:rPr>
          <w:color w:val="000000" w:themeColor="text1"/>
          <w:sz w:val="16"/>
          <w:szCs w:val="16"/>
        </w:rPr>
      </w:pPr>
    </w:p>
    <w:p w14:paraId="0E154A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августа 1930 г. Согласно постановлению Совнаркома начальник Государственного Орудийно-Пулеметного объеди</w:t>
      </w:r>
      <w:r w:rsidRPr="00507A31">
        <w:rPr>
          <w:color w:val="000000" w:themeColor="text1"/>
          <w:sz w:val="16"/>
          <w:szCs w:val="16"/>
        </w:rPr>
        <w:softHyphen/>
        <w:t>нения Будняк и глава БЮТАСТа Гуго Фройденштейн подписали в Берлине секретный договор. Согласно ему фирма БЮТАСТ должна была помочь СССР организовать валовое производство 6 артиллерийских систем: 7,62-см зенитной пуш</w:t>
      </w:r>
      <w:r w:rsidRPr="00507A31">
        <w:rPr>
          <w:color w:val="000000" w:themeColor="text1"/>
          <w:sz w:val="16"/>
          <w:szCs w:val="16"/>
        </w:rPr>
        <w:softHyphen/>
        <w:t>ки; 15,2-см мортиры; 3,7-см противотанковой пушки; 2-см и 3,7-см зенитных автоматов и 15,2-см гаубицы. Все орудия были, естественно, конструкции фирмы «Рейнметалл». За все услуги СССР должен был выплатить БЮТАСТу 1125 000 американских долларов. В договоре были специальные статьи, согласно которым СССР не должен был оглашать ни условий сделки, ни данных германских орудий, а Германия соответственно должна молчать о советских артиллерийских аадодах. (10370,208).</w:t>
      </w:r>
    </w:p>
    <w:p w14:paraId="61CE34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ECD1F46" w14:textId="77777777" w:rsidR="00977874" w:rsidRPr="00507A31" w:rsidRDefault="00977874"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E35A91A" w14:textId="77777777" w:rsidR="00977874" w:rsidRPr="00507A31" w:rsidRDefault="00977874" w:rsidP="00507A31">
      <w:pPr>
        <w:autoSpaceDE w:val="0"/>
        <w:autoSpaceDN w:val="0"/>
        <w:adjustRightInd w:val="0"/>
        <w:jc w:val="both"/>
        <w:rPr>
          <w:iCs/>
          <w:color w:val="000000" w:themeColor="text1"/>
          <w:sz w:val="16"/>
          <w:szCs w:val="16"/>
        </w:rPr>
      </w:pPr>
    </w:p>
    <w:p w14:paraId="4BA54122" w14:textId="77777777" w:rsidR="00977874" w:rsidRPr="00507A31" w:rsidRDefault="00977874" w:rsidP="00507A31">
      <w:pPr>
        <w:jc w:val="both"/>
        <w:rPr>
          <w:color w:val="000000" w:themeColor="text1"/>
          <w:sz w:val="16"/>
          <w:szCs w:val="16"/>
        </w:rPr>
      </w:pPr>
      <w:r w:rsidRPr="00507A31">
        <w:rPr>
          <w:color w:val="000000" w:themeColor="text1"/>
          <w:sz w:val="16"/>
          <w:szCs w:val="16"/>
        </w:rPr>
        <w:t>6 августа 1930 года издал приказ, утвердивший «Положение о бюро реализации изобретений и рабочих предложений и содействия фабрично-заводскому изобретательству при производственных предприятиях» (БРИЗ). С созданием БРИЗов ЦБРИЗ был реорганизован (19546).</w:t>
      </w:r>
    </w:p>
    <w:p w14:paraId="1DC08467" w14:textId="77777777" w:rsidR="00977874" w:rsidRPr="00507A31" w:rsidRDefault="00977874" w:rsidP="00507A31">
      <w:pPr>
        <w:jc w:val="both"/>
        <w:rPr>
          <w:color w:val="000000" w:themeColor="text1"/>
          <w:sz w:val="16"/>
          <w:szCs w:val="16"/>
        </w:rPr>
      </w:pPr>
    </w:p>
    <w:p w14:paraId="7DA42F1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EAF9718" w14:textId="77777777" w:rsidR="00537E5F" w:rsidRPr="00507A31" w:rsidRDefault="00537E5F" w:rsidP="00507A31">
      <w:pPr>
        <w:autoSpaceDE w:val="0"/>
        <w:autoSpaceDN w:val="0"/>
        <w:adjustRightInd w:val="0"/>
        <w:jc w:val="both"/>
        <w:rPr>
          <w:iCs/>
          <w:color w:val="000000" w:themeColor="text1"/>
          <w:sz w:val="16"/>
          <w:szCs w:val="16"/>
        </w:rPr>
      </w:pPr>
    </w:p>
    <w:p w14:paraId="514432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августа 1930 на АНТ-9 поставили двигатели Wright J-6 Whirlwind c металлическим трехлопастными винтами ВИШ. испытывал М.М.Громов. Завод 22 построил небольшую серию. Несколько попали в ВВС в качестве штабных. Две применялись Deruluft на трасе Москва-Кенигсберг-Берлин. Обтянули полотном и сделали обтекатели на колеса (346,43).</w:t>
      </w:r>
    </w:p>
    <w:p w14:paraId="404FA770" w14:textId="77777777" w:rsidR="00537E5F" w:rsidRPr="00507A31" w:rsidRDefault="00537E5F" w:rsidP="00507A31">
      <w:pPr>
        <w:autoSpaceDE w:val="0"/>
        <w:autoSpaceDN w:val="0"/>
        <w:adjustRightInd w:val="0"/>
        <w:jc w:val="both"/>
        <w:rPr>
          <w:color w:val="000000" w:themeColor="text1"/>
          <w:sz w:val="16"/>
          <w:szCs w:val="16"/>
        </w:rPr>
      </w:pPr>
    </w:p>
    <w:p w14:paraId="4AD748B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00E0DFE" w14:textId="77777777" w:rsidR="00537E5F" w:rsidRPr="00507A31" w:rsidRDefault="00537E5F" w:rsidP="00507A31">
      <w:pPr>
        <w:autoSpaceDE w:val="0"/>
        <w:autoSpaceDN w:val="0"/>
        <w:adjustRightInd w:val="0"/>
        <w:jc w:val="both"/>
        <w:rPr>
          <w:iCs/>
          <w:color w:val="000000" w:themeColor="text1"/>
          <w:sz w:val="16"/>
          <w:szCs w:val="16"/>
        </w:rPr>
      </w:pPr>
    </w:p>
    <w:p w14:paraId="763B9D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начале августа 1930 состоялся первый показ танкетки на ходу представителям командования РККА в присутствии М. Тухачевского (10733,141).</w:t>
      </w:r>
    </w:p>
    <w:p w14:paraId="68242A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E7613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августа 1930 года секретариат Ленинградского обкома партии повторно поставил на обсуждение вопрос "О вредительстве на военных заводах", отметив не только ослабление борьбы с ним в ряде мест, но и прекращение всякой деятельности соответствующих комиссий. В одном из пунктов постановления секретариата обкома указывалось, что "темп выполнения плана борьбы с вредительством явно недостаточен" (11025).</w:t>
      </w:r>
    </w:p>
    <w:p w14:paraId="22CF24FA" w14:textId="77777777" w:rsidR="00537E5F" w:rsidRPr="00507A31" w:rsidRDefault="00537E5F" w:rsidP="00507A31">
      <w:pPr>
        <w:autoSpaceDE w:val="0"/>
        <w:autoSpaceDN w:val="0"/>
        <w:adjustRightInd w:val="0"/>
        <w:jc w:val="both"/>
        <w:rPr>
          <w:color w:val="000000" w:themeColor="text1"/>
          <w:sz w:val="16"/>
          <w:szCs w:val="16"/>
        </w:rPr>
      </w:pPr>
    </w:p>
    <w:p w14:paraId="7FCA408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D1AF768" w14:textId="77777777" w:rsidR="00537E5F" w:rsidRPr="00507A31" w:rsidRDefault="00537E5F" w:rsidP="00507A31">
      <w:pPr>
        <w:autoSpaceDE w:val="0"/>
        <w:autoSpaceDN w:val="0"/>
        <w:adjustRightInd w:val="0"/>
        <w:jc w:val="both"/>
        <w:rPr>
          <w:iCs/>
          <w:color w:val="000000" w:themeColor="text1"/>
          <w:sz w:val="16"/>
          <w:szCs w:val="16"/>
        </w:rPr>
      </w:pPr>
    </w:p>
    <w:p w14:paraId="5E91FB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августа 1930 г. на совещании у Зампреда ВСНХ т. Уншлихта были приняты следующие решения:</w:t>
      </w:r>
    </w:p>
    <w:p w14:paraId="216139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о производстве танкеток с доведением до 4000 шт. в год при мобилизации в 1932/33 г. Для этого производства приспособить автозавод №2.</w:t>
      </w:r>
    </w:p>
    <w:p w14:paraId="29DAFB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настоящее время приступлено к работам по осуществлению данного мероприятия.</w:t>
      </w:r>
    </w:p>
    <w:p w14:paraId="50FB48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по среднему танку.</w:t>
      </w:r>
    </w:p>
    <w:p w14:paraId="531B62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 моторному заводу.</w:t>
      </w:r>
    </w:p>
    <w:p w14:paraId="5C9701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по броне.</w:t>
      </w:r>
    </w:p>
    <w:p w14:paraId="281B00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эти три вопроса не разрешены, так как комиссией инстанции, а также Правительством не приняты решения по докладу комиссии т. Смилги о создании танковой и броневой производственной базы в Сталинграде.</w:t>
      </w:r>
    </w:p>
    <w:p w14:paraId="2EE1D6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 немедленного решения этого вопроса зависило обеспечение мобпотребности РККА и выполнение производственной программы по танкостроению 1932/33 г. (10977).</w:t>
      </w:r>
    </w:p>
    <w:p w14:paraId="28DD6A32" w14:textId="77777777" w:rsidR="00537E5F" w:rsidRPr="00507A31" w:rsidRDefault="00537E5F" w:rsidP="00507A31">
      <w:pPr>
        <w:autoSpaceDE w:val="0"/>
        <w:autoSpaceDN w:val="0"/>
        <w:adjustRightInd w:val="0"/>
        <w:jc w:val="both"/>
        <w:rPr>
          <w:color w:val="000000" w:themeColor="text1"/>
          <w:sz w:val="16"/>
          <w:szCs w:val="16"/>
        </w:rPr>
      </w:pPr>
    </w:p>
    <w:p w14:paraId="513FBF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августа 1930 мо</w:t>
      </w:r>
      <w:r w:rsidRPr="00507A31">
        <w:rPr>
          <w:color w:val="000000" w:themeColor="text1"/>
          <w:sz w:val="16"/>
          <w:szCs w:val="16"/>
        </w:rPr>
        <w:softHyphen/>
        <w:t>топробег финишировал в Харькове и завершился торжественным вечером в городском клубе Объединенного государственного по</w:t>
      </w:r>
      <w:r w:rsidRPr="00507A31">
        <w:rPr>
          <w:color w:val="000000" w:themeColor="text1"/>
          <w:sz w:val="16"/>
          <w:szCs w:val="16"/>
        </w:rPr>
        <w:softHyphen/>
        <w:t>литического управления (ОГПУ). На следующий день московский «Харлей» выехал в столицу. Водитель под дождем вез в коляске немалый груз, и прибыл в Мосавтоклуб только 13 августа 1930 года. Во Всеукраинском мотопробеге испытали отечественные шины и камеры, и остались довольны их качеством [3.107].</w:t>
      </w:r>
    </w:p>
    <w:p w14:paraId="15AFF7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Всеукраинский мотопробег заставил правительство СССР об</w:t>
      </w:r>
      <w:r w:rsidRPr="00507A31">
        <w:rPr>
          <w:color w:val="000000" w:themeColor="text1"/>
          <w:sz w:val="16"/>
          <w:szCs w:val="16"/>
        </w:rPr>
        <w:softHyphen/>
        <w:t>ратить внимание на инициативу конструкторов ХАЗа.(11429).</w:t>
      </w:r>
    </w:p>
    <w:p w14:paraId="1AAA18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A86EEDC" w14:textId="77777777" w:rsidR="00931048"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58614BB" w14:textId="77777777" w:rsidR="00931048" w:rsidRPr="00507A31" w:rsidRDefault="00931048" w:rsidP="00507A31">
      <w:pPr>
        <w:autoSpaceDE w:val="0"/>
        <w:autoSpaceDN w:val="0"/>
        <w:adjustRightInd w:val="0"/>
        <w:jc w:val="both"/>
        <w:rPr>
          <w:iCs/>
          <w:color w:val="000000" w:themeColor="text1"/>
          <w:sz w:val="16"/>
          <w:szCs w:val="16"/>
        </w:rPr>
      </w:pPr>
    </w:p>
    <w:p w14:paraId="33D64D95" w14:textId="77777777" w:rsidR="00931048" w:rsidRPr="00507A31" w:rsidRDefault="00931048" w:rsidP="00507A31">
      <w:pPr>
        <w:jc w:val="both"/>
        <w:rPr>
          <w:color w:val="000000" w:themeColor="text1"/>
          <w:sz w:val="16"/>
          <w:szCs w:val="16"/>
        </w:rPr>
      </w:pPr>
      <w:r w:rsidRPr="00507A31">
        <w:rPr>
          <w:color w:val="000000" w:themeColor="text1"/>
          <w:sz w:val="16"/>
          <w:szCs w:val="16"/>
        </w:rPr>
        <w:t xml:space="preserve">7 августа в 1930 году совершил первый полет опытный самолет </w:t>
      </w:r>
      <w:hyperlink r:id="rId133" w:tgtFrame="_blank" w:history="1">
        <w:r w:rsidRPr="00507A31">
          <w:rPr>
            <w:color w:val="000000" w:themeColor="text1"/>
            <w:sz w:val="16"/>
            <w:szCs w:val="16"/>
          </w:rPr>
          <w:t xml:space="preserve">«Potez 42». </w:t>
        </w:r>
      </w:hyperlink>
      <w:r w:rsidRPr="00507A31">
        <w:rPr>
          <w:color w:val="000000" w:themeColor="text1"/>
          <w:sz w:val="16"/>
          <w:szCs w:val="16"/>
        </w:rPr>
        <w:t>«Potez 422 - легкий санитарный самолет, разработанный французской фирмой Societe des Avions Henri Potez. Участвовал в конкурсе Министерства авиации Франции на лучший специальный санитарный самолет. Проиграл в нем легкому санитарному самолету «Bloch» «MB.80» (14976).</w:t>
      </w:r>
    </w:p>
    <w:p w14:paraId="3F6B2C83" w14:textId="77777777" w:rsidR="00931048" w:rsidRPr="00507A31" w:rsidRDefault="00931048" w:rsidP="00507A31">
      <w:pPr>
        <w:jc w:val="both"/>
        <w:rPr>
          <w:color w:val="000000" w:themeColor="text1"/>
          <w:sz w:val="16"/>
          <w:szCs w:val="16"/>
        </w:rPr>
      </w:pPr>
    </w:p>
    <w:p w14:paraId="0D97803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81DD981" w14:textId="77777777" w:rsidR="00537E5F" w:rsidRPr="00507A31" w:rsidRDefault="00537E5F" w:rsidP="00507A31">
      <w:pPr>
        <w:autoSpaceDE w:val="0"/>
        <w:autoSpaceDN w:val="0"/>
        <w:adjustRightInd w:val="0"/>
        <w:jc w:val="both"/>
        <w:rPr>
          <w:iCs/>
          <w:color w:val="000000" w:themeColor="text1"/>
          <w:sz w:val="16"/>
          <w:szCs w:val="16"/>
        </w:rPr>
      </w:pPr>
    </w:p>
    <w:p w14:paraId="7C2DED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августа 1930 л Бабушкин совершил первый полет на К-4 с пассажирами по маршруту Москва-Ташкент (70,157).</w:t>
      </w:r>
    </w:p>
    <w:p w14:paraId="08FB287A" w14:textId="77777777" w:rsidR="00537E5F" w:rsidRPr="00507A31" w:rsidRDefault="00537E5F" w:rsidP="00507A31">
      <w:pPr>
        <w:autoSpaceDE w:val="0"/>
        <w:autoSpaceDN w:val="0"/>
        <w:adjustRightInd w:val="0"/>
        <w:jc w:val="both"/>
        <w:rPr>
          <w:color w:val="000000" w:themeColor="text1"/>
          <w:sz w:val="16"/>
          <w:szCs w:val="16"/>
        </w:rPr>
      </w:pPr>
    </w:p>
    <w:p w14:paraId="264C7F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августа 1930 вышел приказ ВСНХ N 056, который реализовал постановление СНК СССР N 42 о передаче ВАО в ведение Наркомвоенмора (1647,5).</w:t>
      </w:r>
    </w:p>
    <w:p w14:paraId="5FCDC1C3" w14:textId="77777777" w:rsidR="00537E5F" w:rsidRPr="00507A31" w:rsidRDefault="00537E5F" w:rsidP="00507A31">
      <w:pPr>
        <w:autoSpaceDE w:val="0"/>
        <w:autoSpaceDN w:val="0"/>
        <w:adjustRightInd w:val="0"/>
        <w:jc w:val="both"/>
        <w:rPr>
          <w:color w:val="000000" w:themeColor="text1"/>
          <w:sz w:val="16"/>
          <w:szCs w:val="16"/>
        </w:rPr>
      </w:pPr>
    </w:p>
    <w:p w14:paraId="738F4D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августа 1929 вышел приказ РВС с ВСНХ N 056:</w:t>
      </w:r>
    </w:p>
    <w:p w14:paraId="5BAE43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На основании постановления СНК от 28 июля 1930 N 42 "О передаче авиапромышленности из ведения ВСНХ в ведение НКвоенмора", ВСНХ СССР передать, а Наркомвоенмору принять:</w:t>
      </w:r>
    </w:p>
    <w:p w14:paraId="47658E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Гос. всесоюзное объединение Авиапром ВАО</w:t>
      </w:r>
    </w:p>
    <w:p w14:paraId="1E176B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ЦАГИ</w:t>
      </w:r>
    </w:p>
    <w:p w14:paraId="0389F2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Передачу закончить не позднее 20 августа с.г. Зам. НКвоенмор Уборевич, Зам. пред. ВСНХ Уншлихт (2352,24).</w:t>
      </w:r>
    </w:p>
    <w:p w14:paraId="5E2D17B2" w14:textId="77777777" w:rsidR="00537E5F" w:rsidRPr="00507A31" w:rsidRDefault="00537E5F" w:rsidP="00507A31">
      <w:pPr>
        <w:autoSpaceDE w:val="0"/>
        <w:autoSpaceDN w:val="0"/>
        <w:adjustRightInd w:val="0"/>
        <w:jc w:val="both"/>
        <w:rPr>
          <w:color w:val="000000" w:themeColor="text1"/>
          <w:sz w:val="16"/>
          <w:szCs w:val="16"/>
        </w:rPr>
      </w:pPr>
    </w:p>
    <w:p w14:paraId="6954A649" w14:textId="77777777" w:rsidR="00DD1E25" w:rsidRPr="00507A31" w:rsidRDefault="00DD1E2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F7C3B33" w14:textId="77777777" w:rsidR="00DD1E25" w:rsidRPr="00507A31" w:rsidRDefault="00DD1E25" w:rsidP="00507A31">
      <w:pPr>
        <w:autoSpaceDE w:val="0"/>
        <w:autoSpaceDN w:val="0"/>
        <w:adjustRightInd w:val="0"/>
        <w:jc w:val="both"/>
        <w:rPr>
          <w:iCs/>
          <w:color w:val="000000" w:themeColor="text1"/>
          <w:sz w:val="16"/>
          <w:szCs w:val="16"/>
        </w:rPr>
      </w:pPr>
    </w:p>
    <w:p w14:paraId="4FA4A138" w14:textId="77777777" w:rsidR="00DD1E25" w:rsidRPr="00507A31" w:rsidRDefault="00DD1E25" w:rsidP="00507A31">
      <w:pPr>
        <w:jc w:val="both"/>
        <w:rPr>
          <w:color w:val="0070C0"/>
          <w:sz w:val="16"/>
          <w:szCs w:val="16"/>
        </w:rPr>
      </w:pPr>
      <w:r w:rsidRPr="00507A31">
        <w:rPr>
          <w:color w:val="0070C0"/>
          <w:sz w:val="16"/>
          <w:szCs w:val="16"/>
        </w:rPr>
        <w:t>8 августа 1931 г. в городе Акрон штата Огайо состоялось крещение дири</w:t>
      </w:r>
      <w:r w:rsidRPr="00507A31">
        <w:rPr>
          <w:color w:val="0070C0"/>
          <w:sz w:val="16"/>
          <w:szCs w:val="16"/>
        </w:rPr>
        <w:softHyphen/>
        <w:t>жабля ZRS-4 «Акрон» - воздушного авианосца. «Крестной» выступала Лу Генри Гувер (Lou Henry Hoover; 1874-1944), жена президента США Герберта К. Гувера (Herbert Clark Hoover; 1874-1964).</w:t>
      </w:r>
    </w:p>
    <w:p w14:paraId="79C9B08B" w14:textId="77777777" w:rsidR="00DD1E25" w:rsidRPr="00507A31" w:rsidRDefault="00DD1E25" w:rsidP="00507A31">
      <w:pPr>
        <w:jc w:val="both"/>
        <w:rPr>
          <w:color w:val="0070C0"/>
          <w:sz w:val="16"/>
          <w:szCs w:val="16"/>
        </w:rPr>
      </w:pPr>
      <w:r w:rsidRPr="00507A31">
        <w:rPr>
          <w:color w:val="0070C0"/>
          <w:sz w:val="16"/>
          <w:szCs w:val="16"/>
        </w:rPr>
        <w:t>По тем временам дирижабль имел действи</w:t>
      </w:r>
      <w:r w:rsidRPr="00507A31">
        <w:rPr>
          <w:color w:val="0070C0"/>
          <w:sz w:val="16"/>
          <w:szCs w:val="16"/>
        </w:rPr>
        <w:softHyphen/>
        <w:t>тельно колоссальные размеры: длину 239 м, диаметр 40 м, номинальный объем (95 % от мак</w:t>
      </w:r>
      <w:r w:rsidRPr="00507A31">
        <w:rPr>
          <w:color w:val="0070C0"/>
          <w:sz w:val="16"/>
          <w:szCs w:val="16"/>
        </w:rPr>
        <w:softHyphen/>
        <w:t>симального, ибо следует помнить, что объем газового отсека мог меняться в зависимости от высоты подъема дирижабля и атмосферных условий) 184000 м3 Полезная нагрузка около 75 т. Силовая установка — восемь бензино</w:t>
      </w:r>
      <w:r w:rsidRPr="00507A31">
        <w:rPr>
          <w:color w:val="0070C0"/>
          <w:sz w:val="16"/>
          <w:szCs w:val="16"/>
        </w:rPr>
        <w:softHyphen/>
        <w:t>вых двигателей Maybach VL-2 по 560 л. с. каж</w:t>
      </w:r>
      <w:r w:rsidRPr="00507A31">
        <w:rPr>
          <w:color w:val="0070C0"/>
          <w:sz w:val="16"/>
          <w:szCs w:val="16"/>
        </w:rPr>
        <w:softHyphen/>
        <w:t>дый, скорость максимальная 128 км/ч, крей</w:t>
      </w:r>
      <w:r w:rsidRPr="00507A31">
        <w:rPr>
          <w:color w:val="0070C0"/>
          <w:sz w:val="16"/>
          <w:szCs w:val="16"/>
        </w:rPr>
        <w:softHyphen/>
        <w:t>серская — 90 км/ч. Дальность полета 17 000 км (на скорости 90 км/ч). Штатный экипаж состоял из 16 офицеров и 75 матросов и старшин, но обычно летало не более 50 человек. В слу чае наличия на борту самолетов экипаж увеличивался на пять летчи</w:t>
      </w:r>
      <w:r w:rsidRPr="00507A31">
        <w:rPr>
          <w:color w:val="0070C0"/>
          <w:sz w:val="16"/>
          <w:szCs w:val="16"/>
        </w:rPr>
        <w:softHyphen/>
        <w:t>ков и 15 человек технического персонала, обслуживающих самолеты, и сопутствующее оборудование. Вооружение — четыре самолета (хотя на практике дело ограничивалось тремя машинами) и пять 12,7-мм пуле</w:t>
      </w:r>
      <w:r w:rsidRPr="00507A31">
        <w:rPr>
          <w:color w:val="0070C0"/>
          <w:sz w:val="16"/>
          <w:szCs w:val="16"/>
        </w:rPr>
        <w:softHyphen/>
        <w:t>метов. И, что весьма немаловажно, стоимость такого боевого комплекса была во много раз меньше, чем стоимость кораблей, необходимых для выполнения аналогичного задания.</w:t>
      </w:r>
    </w:p>
    <w:p w14:paraId="4986B51D" w14:textId="77777777" w:rsidR="00DD1E25" w:rsidRPr="00507A31" w:rsidRDefault="00DD1E25" w:rsidP="00507A31">
      <w:pPr>
        <w:jc w:val="both"/>
        <w:rPr>
          <w:color w:val="0070C0"/>
          <w:sz w:val="16"/>
          <w:szCs w:val="16"/>
        </w:rPr>
      </w:pPr>
      <w:r w:rsidRPr="00507A31">
        <w:rPr>
          <w:color w:val="0070C0"/>
          <w:sz w:val="16"/>
          <w:szCs w:val="16"/>
        </w:rPr>
        <w:t>Конструкция ZRS-4 содержала несколько интересных новинок. Метал</w:t>
      </w:r>
      <w:r w:rsidRPr="00507A31">
        <w:rPr>
          <w:color w:val="0070C0"/>
          <w:sz w:val="16"/>
          <w:szCs w:val="16"/>
        </w:rPr>
        <w:softHyphen/>
        <w:t>лический каркас корпуса состоял из 12 основных и 33 вспомогательных жестких переборок, 36 вертикальных профилей и 3 килей. Конструкция в целом была весьма прочной и могла выдерживать большие нагрузки (увы, прочность все же имела предел). Внутри жесткого корпуса раз</w:t>
      </w:r>
      <w:r w:rsidRPr="00507A31">
        <w:rPr>
          <w:color w:val="0070C0"/>
          <w:sz w:val="16"/>
          <w:szCs w:val="16"/>
        </w:rPr>
        <w:softHyphen/>
        <w:t>мещались 12 газовых отсеков, заполненных гелием. Благодаря уста</w:t>
      </w:r>
      <w:r w:rsidRPr="00507A31">
        <w:rPr>
          <w:color w:val="0070C0"/>
          <w:sz w:val="16"/>
          <w:szCs w:val="16"/>
        </w:rPr>
        <w:softHyphen/>
        <w:t>новке двигателей внутри каркаса удачно были решены вопросы аэро</w:t>
      </w:r>
      <w:r w:rsidRPr="00507A31">
        <w:rPr>
          <w:color w:val="0070C0"/>
          <w:sz w:val="16"/>
          <w:szCs w:val="16"/>
        </w:rPr>
        <w:softHyphen/>
        <w:t>динамики, поэтому у американского дирижабля скорость была выше, чем у английских и немецких при равной с ними мощности двигателей. Каждый мотор вращал один двухлопастной винт диаметром 5 м. Винты были реверсивными, как тянущими, так и толкающим, они могли разво</w:t>
      </w:r>
      <w:r w:rsidRPr="00507A31">
        <w:rPr>
          <w:color w:val="0070C0"/>
          <w:sz w:val="16"/>
          <w:szCs w:val="16"/>
        </w:rPr>
        <w:softHyphen/>
        <w:t>рачиваться в горизонтальной плоскости, что давало возможность опу</w:t>
      </w:r>
      <w:r w:rsidRPr="00507A31">
        <w:rPr>
          <w:color w:val="0070C0"/>
          <w:sz w:val="16"/>
          <w:szCs w:val="16"/>
        </w:rPr>
        <w:softHyphen/>
        <w:t>скаться или подниматься, лететь вперед или назад. В корпусе размеща</w:t>
      </w:r>
      <w:r w:rsidRPr="00507A31">
        <w:rPr>
          <w:color w:val="0070C0"/>
          <w:sz w:val="16"/>
          <w:szCs w:val="16"/>
        </w:rPr>
        <w:softHyphen/>
        <w:t>лось 110 баков, способных сместить 57 т топлива и до 5 т масла. Глав</w:t>
      </w:r>
      <w:r w:rsidRPr="00507A31">
        <w:rPr>
          <w:color w:val="0070C0"/>
          <w:sz w:val="16"/>
          <w:szCs w:val="16"/>
        </w:rPr>
        <w:softHyphen/>
        <w:t xml:space="preserve">ная </w:t>
      </w:r>
      <w:r w:rsidRPr="00507A31">
        <w:rPr>
          <w:color w:val="0070C0"/>
          <w:sz w:val="16"/>
          <w:szCs w:val="16"/>
        </w:rPr>
        <w:lastRenderedPageBreak/>
        <w:t>гондола управления «Акрона» располагалась впереди нижней части фюзеляжа, но в случае необходимости можно было управлять дирижа</w:t>
      </w:r>
      <w:r w:rsidRPr="00507A31">
        <w:rPr>
          <w:color w:val="0070C0"/>
          <w:sz w:val="16"/>
          <w:szCs w:val="16"/>
        </w:rPr>
        <w:softHyphen/>
        <w:t>блем из резервной кабины, расположенной в нижней части вертикаль</w:t>
      </w:r>
      <w:r w:rsidRPr="00507A31">
        <w:rPr>
          <w:color w:val="0070C0"/>
          <w:sz w:val="16"/>
          <w:szCs w:val="16"/>
        </w:rPr>
        <w:softHyphen/>
        <w:t>ного хвостового оперения. Каюты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в оконечности хвостовой части корабля.</w:t>
      </w:r>
    </w:p>
    <w:p w14:paraId="4FDEF3AC" w14:textId="77777777" w:rsidR="00DD1E25" w:rsidRPr="00507A31" w:rsidRDefault="00DD1E25" w:rsidP="00507A31">
      <w:pPr>
        <w:jc w:val="both"/>
        <w:rPr>
          <w:color w:val="0070C0"/>
          <w:sz w:val="16"/>
          <w:szCs w:val="16"/>
        </w:rPr>
      </w:pPr>
      <w:r w:rsidRPr="00507A31">
        <w:rPr>
          <w:color w:val="0070C0"/>
          <w:sz w:val="16"/>
          <w:szCs w:val="16"/>
        </w:rPr>
        <w:t>Прием на борт самолетов осуществлялся прямо в полете с помо</w:t>
      </w:r>
      <w:r w:rsidRPr="00507A31">
        <w:rPr>
          <w:color w:val="0070C0"/>
          <w:sz w:val="16"/>
          <w:szCs w:val="16"/>
        </w:rPr>
        <w:softHyphen/>
        <w:t>щью специальной выдвижной трапеции. Истребители цеплялись за нее, через специальный проем в днище втягивались внутрь и размещались в просторном отсеке-ангаре, где легко помещались четыре машины типа F9C-2 «Сперроухоук» фирмы «Кертисс», а также находилось оборудова</w:t>
      </w:r>
      <w:r w:rsidRPr="00507A31">
        <w:rPr>
          <w:color w:val="0070C0"/>
          <w:sz w:val="16"/>
          <w:szCs w:val="16"/>
        </w:rPr>
        <w:softHyphen/>
        <w:t>ние для их обслуживания. При необходимости, пятый самолет мог оста</w:t>
      </w:r>
      <w:r w:rsidRPr="00507A31">
        <w:rPr>
          <w:color w:val="0070C0"/>
          <w:sz w:val="16"/>
          <w:szCs w:val="16"/>
        </w:rPr>
        <w:softHyphen/>
        <w:t>ваться на внешней подвеске. Выпуск крылатых машин осуществлялся в обратном порядке: аэроплан выдвигался из ангара, запускался дви</w:t>
      </w:r>
      <w:r w:rsidRPr="00507A31">
        <w:rPr>
          <w:color w:val="0070C0"/>
          <w:sz w:val="16"/>
          <w:szCs w:val="16"/>
        </w:rPr>
        <w:softHyphen/>
        <w:t>гатель, и летчик уходил в свободный полет. Как ни странно, «садиться» на дирижабль было не сложнее, чем на аэродром. Крюк и «трапеция» были небольшими, но и скорость бипланов 1920-х гг. была невелика и легко уравновешивалась скоростью дирижабля. А самое приятное — процедура была куда безопаснее, чем в случае с взлетно-посадочной полосой. Промахнись пилот или попади в сваливание, он просто уходил вниз и повторял попытку, а на обычном аэродроме была бы авария.</w:t>
      </w:r>
    </w:p>
    <w:p w14:paraId="3736FB08" w14:textId="77777777" w:rsidR="00DD1E25" w:rsidRPr="00507A31" w:rsidRDefault="00DD1E25" w:rsidP="00507A31">
      <w:pPr>
        <w:jc w:val="both"/>
        <w:rPr>
          <w:color w:val="0070C0"/>
          <w:sz w:val="16"/>
          <w:szCs w:val="16"/>
        </w:rPr>
      </w:pPr>
      <w:r w:rsidRPr="00507A31">
        <w:rPr>
          <w:color w:val="0070C0"/>
          <w:sz w:val="16"/>
          <w:szCs w:val="16"/>
        </w:rPr>
        <w:t>Так как F9 были самолетами-истребителями, обычно считается, что их единственной задачей была защита дирижабля. Однако это не так: машины применялись и для ведения воздушной разведки, что позво</w:t>
      </w:r>
      <w:r w:rsidRPr="00507A31">
        <w:rPr>
          <w:color w:val="0070C0"/>
          <w:sz w:val="16"/>
          <w:szCs w:val="16"/>
        </w:rPr>
        <w:softHyphen/>
        <w:t>ляло значительно расширить зону патрулирования, и для передачи срочных депеш на базу (ведь их скорость была почти в три раза выше, чем у авиаматки). Поэтому «Сперроухоуки» сохранили шасси и были оснащены соответствующей аппаратурой для ведения разведки. Выбор именно этих истребителей, скорее всего, был обусловлен тем, что из-за жестких габаритных ограничений на борту дирижабля решили использовать самые маленькие боевые машины из производи</w:t>
      </w:r>
      <w:r w:rsidRPr="00507A31">
        <w:rPr>
          <w:color w:val="0070C0"/>
          <w:sz w:val="16"/>
          <w:szCs w:val="16"/>
        </w:rPr>
        <w:softHyphen/>
        <w:t>мых в Америке. За 1932 г. самолеты выполнили 401 стыковку с «Акро</w:t>
      </w:r>
      <w:r w:rsidRPr="00507A31">
        <w:rPr>
          <w:color w:val="0070C0"/>
          <w:sz w:val="16"/>
          <w:szCs w:val="16"/>
        </w:rPr>
        <w:softHyphen/>
        <w:t>ном» без каких-либо происшествий. Американцы сформировали спе</w:t>
      </w:r>
      <w:r w:rsidRPr="00507A31">
        <w:rPr>
          <w:color w:val="0070C0"/>
          <w:sz w:val="16"/>
          <w:szCs w:val="16"/>
        </w:rPr>
        <w:softHyphen/>
        <w:t>циальную эскадрилью для этих двух исполинов, ее возглавил лейте</w:t>
      </w:r>
      <w:r w:rsidRPr="00507A31">
        <w:rPr>
          <w:color w:val="0070C0"/>
          <w:sz w:val="16"/>
          <w:szCs w:val="16"/>
        </w:rPr>
        <w:softHyphen/>
        <w:t>нант Дэниел Уорд Харриган (Daniel Ward Harrigan; 1900-1980), опыт</w:t>
      </w:r>
      <w:r w:rsidRPr="00507A31">
        <w:rPr>
          <w:color w:val="0070C0"/>
          <w:sz w:val="16"/>
          <w:szCs w:val="16"/>
        </w:rPr>
        <w:softHyphen/>
        <w:t>ный пилот-испытатель. Первая историческая «посадка» на «Акрон» была выполнены лейтенантами Дэниел У. Харриган и Ховард Л. Янг (Howard L. Young; 1906-1989) на учебном двухместном «Консолидэй- тед» N2Y (Consolidated N2Y) (22730).</w:t>
      </w:r>
    </w:p>
    <w:p w14:paraId="53492AD0" w14:textId="77777777" w:rsidR="00DD1E25" w:rsidRPr="00507A31" w:rsidRDefault="00DD1E25" w:rsidP="00507A31">
      <w:pPr>
        <w:jc w:val="both"/>
        <w:rPr>
          <w:color w:val="0070C0"/>
          <w:sz w:val="16"/>
          <w:szCs w:val="16"/>
        </w:rPr>
      </w:pPr>
    </w:p>
    <w:p w14:paraId="38FC3D49" w14:textId="77777777" w:rsidR="00DD1E25" w:rsidRPr="00507A31" w:rsidRDefault="00DD1E25" w:rsidP="00507A31">
      <w:pPr>
        <w:jc w:val="both"/>
        <w:rPr>
          <w:color w:val="0070C0"/>
          <w:sz w:val="16"/>
          <w:szCs w:val="16"/>
        </w:rPr>
      </w:pPr>
      <w:r w:rsidRPr="00507A31">
        <w:rPr>
          <w:color w:val="0070C0"/>
          <w:sz w:val="16"/>
          <w:szCs w:val="16"/>
        </w:rPr>
        <w:t>8 августа 1930 завершение конкурса «Вызов 1930», в котором победил Фриц Морзик (20805).</w:t>
      </w:r>
    </w:p>
    <w:p w14:paraId="3FC7FD8D" w14:textId="77777777" w:rsidR="00DD1E25" w:rsidRPr="00507A31" w:rsidRDefault="00DD1E25" w:rsidP="00507A31">
      <w:pPr>
        <w:jc w:val="both"/>
        <w:rPr>
          <w:color w:val="0070C0"/>
          <w:sz w:val="16"/>
          <w:szCs w:val="16"/>
        </w:rPr>
      </w:pPr>
    </w:p>
    <w:p w14:paraId="02F2FD6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EEF336D" w14:textId="77777777" w:rsidR="00537E5F" w:rsidRPr="00507A31" w:rsidRDefault="00537E5F" w:rsidP="00507A31">
      <w:pPr>
        <w:autoSpaceDE w:val="0"/>
        <w:autoSpaceDN w:val="0"/>
        <w:adjustRightInd w:val="0"/>
        <w:jc w:val="both"/>
        <w:rPr>
          <w:iCs/>
          <w:color w:val="000000" w:themeColor="text1"/>
          <w:sz w:val="16"/>
          <w:szCs w:val="16"/>
        </w:rPr>
      </w:pPr>
    </w:p>
    <w:p w14:paraId="7994B7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августа 1930 закончились испытания серийного АНТ-4 N 632 с БМВ-6, которые проходили с 21 июля 1930 (1016,141).</w:t>
      </w:r>
    </w:p>
    <w:p w14:paraId="59500D8D" w14:textId="77777777" w:rsidR="00537E5F" w:rsidRPr="00507A31" w:rsidRDefault="00537E5F" w:rsidP="00507A31">
      <w:pPr>
        <w:autoSpaceDE w:val="0"/>
        <w:autoSpaceDN w:val="0"/>
        <w:adjustRightInd w:val="0"/>
        <w:jc w:val="both"/>
        <w:rPr>
          <w:color w:val="000000" w:themeColor="text1"/>
          <w:sz w:val="16"/>
          <w:szCs w:val="16"/>
        </w:rPr>
      </w:pPr>
    </w:p>
    <w:p w14:paraId="6F24BDA6" w14:textId="77777777" w:rsidR="00931048" w:rsidRPr="00507A31" w:rsidRDefault="00931048" w:rsidP="00507A31">
      <w:pPr>
        <w:jc w:val="both"/>
        <w:rPr>
          <w:color w:val="000000" w:themeColor="text1"/>
          <w:sz w:val="16"/>
          <w:szCs w:val="16"/>
        </w:rPr>
      </w:pPr>
      <w:r w:rsidRPr="00507A31">
        <w:rPr>
          <w:color w:val="000000" w:themeColor="text1"/>
          <w:sz w:val="16"/>
          <w:szCs w:val="16"/>
        </w:rPr>
        <w:t xml:space="preserve">9 августа в 1930 году закончились испытания серийного </w:t>
      </w:r>
      <w:hyperlink r:id="rId134" w:tgtFrame="_blank" w:history="1">
        <w:r w:rsidRPr="00507A31">
          <w:rPr>
            <w:color w:val="000000" w:themeColor="text1"/>
            <w:sz w:val="16"/>
            <w:szCs w:val="16"/>
          </w:rPr>
          <w:t xml:space="preserve">«ТБ-1» («АНТ-4») </w:t>
        </w:r>
      </w:hyperlink>
      <w:r w:rsidRPr="00507A31">
        <w:rPr>
          <w:color w:val="000000" w:themeColor="text1"/>
          <w:sz w:val="16"/>
          <w:szCs w:val="16"/>
        </w:rPr>
        <w:t>№632 с «БМВ-6», которые проходили с 21 июля 1930 года (14978).</w:t>
      </w:r>
    </w:p>
    <w:p w14:paraId="6F8C8AEE" w14:textId="77777777" w:rsidR="00931048" w:rsidRPr="00507A31" w:rsidRDefault="00931048" w:rsidP="00507A31">
      <w:pPr>
        <w:jc w:val="both"/>
        <w:rPr>
          <w:color w:val="000000" w:themeColor="text1"/>
          <w:sz w:val="16"/>
          <w:szCs w:val="16"/>
        </w:rPr>
      </w:pPr>
    </w:p>
    <w:p w14:paraId="7DBAAF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августа 1930 состоялся первый полет самолета К-6 К.А.Калинина (274). Летал л М.А.Снегирев, а м - Кеглевич (70,181).</w:t>
      </w:r>
    </w:p>
    <w:p w14:paraId="7DEF19AE" w14:textId="77777777" w:rsidR="00537E5F" w:rsidRPr="00507A31" w:rsidRDefault="00537E5F" w:rsidP="00507A31">
      <w:pPr>
        <w:autoSpaceDE w:val="0"/>
        <w:autoSpaceDN w:val="0"/>
        <w:adjustRightInd w:val="0"/>
        <w:jc w:val="both"/>
        <w:rPr>
          <w:color w:val="000000" w:themeColor="text1"/>
          <w:sz w:val="16"/>
          <w:szCs w:val="16"/>
        </w:rPr>
      </w:pPr>
    </w:p>
    <w:p w14:paraId="58B922B8" w14:textId="77777777" w:rsidR="00931048" w:rsidRPr="00507A31" w:rsidRDefault="00931048" w:rsidP="00507A31">
      <w:pPr>
        <w:jc w:val="both"/>
        <w:rPr>
          <w:color w:val="000000" w:themeColor="text1"/>
          <w:sz w:val="16"/>
          <w:szCs w:val="16"/>
        </w:rPr>
      </w:pPr>
      <w:r w:rsidRPr="00507A31">
        <w:rPr>
          <w:color w:val="000000" w:themeColor="text1"/>
          <w:sz w:val="16"/>
          <w:szCs w:val="16"/>
        </w:rPr>
        <w:t xml:space="preserve">9 августа в 1930 году начались летные испытания специализированного почтового самолета </w:t>
      </w:r>
      <w:hyperlink r:id="rId135" w:tgtFrame="_blank" w:history="1">
        <w:r w:rsidRPr="00507A31">
          <w:rPr>
            <w:color w:val="000000" w:themeColor="text1"/>
            <w:sz w:val="16"/>
            <w:szCs w:val="16"/>
          </w:rPr>
          <w:t xml:space="preserve">«К-6» </w:t>
        </w:r>
      </w:hyperlink>
      <w:r w:rsidRPr="00507A31">
        <w:rPr>
          <w:color w:val="000000" w:themeColor="text1"/>
          <w:sz w:val="16"/>
          <w:szCs w:val="16"/>
        </w:rPr>
        <w:t>К.Калинина для перевозки матриц и почты. Но эта машина не оправдала возлагавшихся на нее надежд: не достигла заявленной скорости 240 км/ч и имела весьма скромную крейсерскую скорость - всего 166 км/ч. Конструктор К.А.Калинин, пилот М.А.Снегирев и А.М. Кеглевич (14978).</w:t>
      </w:r>
    </w:p>
    <w:p w14:paraId="5175C615" w14:textId="77777777" w:rsidR="00931048" w:rsidRPr="00507A31" w:rsidRDefault="00931048" w:rsidP="00507A31">
      <w:pPr>
        <w:jc w:val="both"/>
        <w:rPr>
          <w:color w:val="000000" w:themeColor="text1"/>
          <w:sz w:val="16"/>
          <w:szCs w:val="16"/>
        </w:rPr>
      </w:pPr>
    </w:p>
    <w:p w14:paraId="2E3CFA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августа 1930 состоялся Первый полет почтового самолета К-6 (10674).</w:t>
      </w:r>
    </w:p>
    <w:p w14:paraId="745A7026" w14:textId="77777777" w:rsidR="00537E5F" w:rsidRPr="00507A31" w:rsidRDefault="00537E5F" w:rsidP="00507A31">
      <w:pPr>
        <w:autoSpaceDE w:val="0"/>
        <w:autoSpaceDN w:val="0"/>
        <w:adjustRightInd w:val="0"/>
        <w:jc w:val="both"/>
        <w:rPr>
          <w:color w:val="000000" w:themeColor="text1"/>
          <w:sz w:val="16"/>
          <w:szCs w:val="16"/>
        </w:rPr>
      </w:pPr>
    </w:p>
    <w:p w14:paraId="5816238E" w14:textId="77777777" w:rsidR="00DD1E25" w:rsidRPr="00507A31" w:rsidRDefault="00DD1E25" w:rsidP="00507A31">
      <w:pPr>
        <w:shd w:val="clear" w:color="auto" w:fill="FFFFFF"/>
        <w:jc w:val="both"/>
        <w:rPr>
          <w:color w:val="0070C0"/>
          <w:sz w:val="16"/>
          <w:szCs w:val="16"/>
        </w:rPr>
      </w:pPr>
      <w:r w:rsidRPr="00507A31">
        <w:rPr>
          <w:color w:val="0070C0"/>
          <w:sz w:val="16"/>
          <w:szCs w:val="16"/>
        </w:rPr>
        <w:t>9 августа 1930 г. Снегирев испытал К-6. Первый полет длился 40 минут и показал неплохие летные качества новой машины. В июне 1931 г. самолет К-6 получил регистрационный номер СССР-99 и начал доставлять из Москвы в Харьков матрицы газеты «Правда», покрывая расстояние за 3 часа 20 минут. Разрабатывалась и бомбардировочная модификация самолёта (23072).</w:t>
      </w:r>
    </w:p>
    <w:p w14:paraId="645ED247" w14:textId="77777777" w:rsidR="00DD1E25" w:rsidRPr="00507A31" w:rsidRDefault="00DD1E25" w:rsidP="00507A31">
      <w:pPr>
        <w:jc w:val="both"/>
        <w:rPr>
          <w:color w:val="0070C0"/>
          <w:sz w:val="16"/>
          <w:szCs w:val="16"/>
        </w:rPr>
      </w:pPr>
    </w:p>
    <w:p w14:paraId="4C8D536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4C5319D" w14:textId="77777777" w:rsidR="00537E5F" w:rsidRPr="00507A31" w:rsidRDefault="00537E5F" w:rsidP="00507A31">
      <w:pPr>
        <w:autoSpaceDE w:val="0"/>
        <w:autoSpaceDN w:val="0"/>
        <w:adjustRightInd w:val="0"/>
        <w:jc w:val="both"/>
        <w:rPr>
          <w:iCs/>
          <w:color w:val="000000" w:themeColor="text1"/>
          <w:sz w:val="16"/>
          <w:szCs w:val="16"/>
        </w:rPr>
      </w:pPr>
    </w:p>
    <w:p w14:paraId="7C0D51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августа 1930 в Москву прибыло 127 л чертежей танка Кристи, которые были тут же направлены ГК ГКБ при Государственном Всесоюзном орудийно-оружейном-пулеметном объединении С.П.Шукалову и после снятия копий 13 октября 1930 чертежи вернули АБТУ (3879,4).</w:t>
      </w:r>
    </w:p>
    <w:p w14:paraId="26069E1A" w14:textId="77777777" w:rsidR="00537E5F" w:rsidRPr="00507A31" w:rsidRDefault="00537E5F" w:rsidP="00507A31">
      <w:pPr>
        <w:autoSpaceDE w:val="0"/>
        <w:autoSpaceDN w:val="0"/>
        <w:adjustRightInd w:val="0"/>
        <w:jc w:val="both"/>
        <w:rPr>
          <w:color w:val="000000" w:themeColor="text1"/>
          <w:sz w:val="16"/>
          <w:szCs w:val="16"/>
        </w:rPr>
      </w:pPr>
    </w:p>
    <w:p w14:paraId="66EC1373"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9-го Августа 1930 г. при № 549/с от ОВЗ Наркомторга СССР на имя т. Халепского получено по проверке 127 листов чертежей танка Кристи. Опись прилагается к акту. Проверку по количеству производили: </w:t>
      </w:r>
    </w:p>
    <w:p w14:paraId="09B311F9"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От Секретариата УММ РККА – т. ЗИМИНА </w:t>
      </w:r>
    </w:p>
    <w:p w14:paraId="35C54637"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от НТК УММ – Управделами НТК – т. НЕПОМНЯЩИЙ </w:t>
      </w:r>
    </w:p>
    <w:p w14:paraId="6C236DC4"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Опись составлял Управделами НТК – Непомнящий. </w:t>
      </w:r>
    </w:p>
    <w:p w14:paraId="2636E47A"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Указанное удостоверяется подписями. </w:t>
      </w:r>
    </w:p>
    <w:p w14:paraId="22E7E1EE"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ПРИЛОЖЕНИЕ: опись на "1" листе. </w:t>
      </w:r>
    </w:p>
    <w:p w14:paraId="34D3377C" w14:textId="77777777" w:rsidR="00533EE8" w:rsidRPr="00507A31" w:rsidRDefault="00533EE8" w:rsidP="00507A31">
      <w:pPr>
        <w:jc w:val="both"/>
        <w:rPr>
          <w:color w:val="000000" w:themeColor="text1"/>
          <w:sz w:val="16"/>
          <w:szCs w:val="16"/>
        </w:rPr>
      </w:pPr>
      <w:r w:rsidRPr="00507A31">
        <w:rPr>
          <w:color w:val="000000" w:themeColor="text1"/>
          <w:sz w:val="16"/>
          <w:szCs w:val="16"/>
        </w:rPr>
        <w:t>подпись (Непомнящий)</w:t>
      </w:r>
    </w:p>
    <w:p w14:paraId="26046997" w14:textId="77777777" w:rsidR="00533EE8" w:rsidRPr="00507A31" w:rsidRDefault="00533EE8" w:rsidP="00507A31">
      <w:pPr>
        <w:jc w:val="both"/>
        <w:rPr>
          <w:color w:val="000000" w:themeColor="text1"/>
          <w:sz w:val="16"/>
          <w:szCs w:val="16"/>
        </w:rPr>
      </w:pPr>
      <w:r w:rsidRPr="00507A31">
        <w:rPr>
          <w:color w:val="000000" w:themeColor="text1"/>
          <w:sz w:val="16"/>
          <w:szCs w:val="16"/>
        </w:rPr>
        <w:t>подпись (Зимина)</w:t>
      </w:r>
    </w:p>
    <w:p w14:paraId="12537BA8"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"10" Сентября 1930 г. </w:t>
      </w:r>
    </w:p>
    <w:p w14:paraId="27BB9F8B"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Отпечатано в 3 экз. </w:t>
      </w:r>
    </w:p>
    <w:p w14:paraId="63E46439" w14:textId="77777777" w:rsidR="00533EE8" w:rsidRPr="00507A31" w:rsidRDefault="00533EE8" w:rsidP="00507A31">
      <w:pPr>
        <w:jc w:val="both"/>
        <w:rPr>
          <w:color w:val="000000" w:themeColor="text1"/>
          <w:sz w:val="16"/>
          <w:szCs w:val="16"/>
        </w:rPr>
      </w:pPr>
      <w:r w:rsidRPr="00507A31">
        <w:rPr>
          <w:bCs/>
          <w:iCs/>
          <w:color w:val="000000" w:themeColor="text1"/>
          <w:sz w:val="16"/>
          <w:szCs w:val="16"/>
        </w:rPr>
        <w:t>РГВА Фонд 31811 Опись 1 Дело 435 лист 2</w:t>
      </w:r>
      <w:r w:rsidRPr="00507A31">
        <w:rPr>
          <w:color w:val="000000" w:themeColor="text1"/>
          <w:sz w:val="16"/>
          <w:szCs w:val="16"/>
        </w:rPr>
        <w:t xml:space="preserve"> </w:t>
      </w:r>
    </w:p>
    <w:p w14:paraId="4BE5B88C"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Секретно. </w:t>
      </w:r>
    </w:p>
    <w:p w14:paraId="46E5A488"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Экз. № 1 </w:t>
      </w:r>
    </w:p>
    <w:p w14:paraId="72E5CECB" w14:textId="77777777" w:rsidR="00533EE8" w:rsidRPr="00507A31" w:rsidRDefault="00533EE8" w:rsidP="00507A31">
      <w:pPr>
        <w:jc w:val="both"/>
        <w:rPr>
          <w:color w:val="000000" w:themeColor="text1"/>
          <w:sz w:val="16"/>
          <w:szCs w:val="16"/>
        </w:rPr>
      </w:pPr>
      <w:r w:rsidRPr="00507A31">
        <w:rPr>
          <w:color w:val="000000" w:themeColor="text1"/>
          <w:sz w:val="16"/>
          <w:szCs w:val="16"/>
        </w:rPr>
        <w:t>ОПИСЬ</w:t>
      </w:r>
    </w:p>
    <w:p w14:paraId="753B3655" w14:textId="77777777" w:rsidR="00533EE8" w:rsidRPr="00507A31" w:rsidRDefault="00533EE8" w:rsidP="00507A31">
      <w:pPr>
        <w:jc w:val="both"/>
        <w:rPr>
          <w:color w:val="000000" w:themeColor="text1"/>
          <w:sz w:val="16"/>
          <w:szCs w:val="16"/>
        </w:rPr>
      </w:pPr>
      <w:r w:rsidRPr="00507A31">
        <w:rPr>
          <w:color w:val="000000" w:themeColor="text1"/>
          <w:sz w:val="16"/>
          <w:szCs w:val="16"/>
        </w:rPr>
        <w:t>чертежам танка КРИСТИ, полученных от ОВЗ при № 549</w:t>
      </w:r>
    </w:p>
    <w:p w14:paraId="7BA04CFE"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от 2-го Августа 1930 г. </w:t>
      </w:r>
    </w:p>
    <w:p w14:paraId="4FB69EB0" w14:textId="77777777" w:rsidR="00533EE8" w:rsidRPr="00507A31" w:rsidRDefault="00533EE8" w:rsidP="00507A31">
      <w:pPr>
        <w:jc w:val="both"/>
        <w:rPr>
          <w:color w:val="000000" w:themeColor="text1"/>
          <w:sz w:val="16"/>
          <w:szCs w:val="16"/>
        </w:rPr>
      </w:pPr>
      <w:r w:rsidRPr="00507A31">
        <w:rPr>
          <w:color w:val="000000" w:themeColor="text1"/>
          <w:sz w:val="16"/>
          <w:szCs w:val="16"/>
        </w:rPr>
        <w:t xml:space="preserve">"10" Сентября 1930 г. </w:t>
      </w:r>
    </w:p>
    <w:p w14:paraId="2BF2ADDD" w14:textId="77777777" w:rsidR="00533EE8" w:rsidRPr="00507A31" w:rsidRDefault="00533EE8" w:rsidP="00507A31">
      <w:pPr>
        <w:jc w:val="both"/>
        <w:rPr>
          <w:color w:val="000000" w:themeColor="text1"/>
          <w:sz w:val="16"/>
          <w:szCs w:val="16"/>
        </w:rPr>
      </w:pPr>
      <w:r w:rsidRPr="00507A31">
        <w:rPr>
          <w:color w:val="000000" w:themeColor="text1"/>
          <w:sz w:val="16"/>
          <w:szCs w:val="16"/>
        </w:rPr>
        <w:t>УПРАВДЕЛАМИ НТК УММ РККА подпись (Непомнящий)</w:t>
      </w:r>
    </w:p>
    <w:p w14:paraId="1804CEA8" w14:textId="77777777" w:rsidR="00533EE8" w:rsidRPr="00507A31" w:rsidRDefault="00533EE8" w:rsidP="00507A31">
      <w:pPr>
        <w:jc w:val="both"/>
        <w:rPr>
          <w:color w:val="000000" w:themeColor="text1"/>
          <w:sz w:val="16"/>
          <w:szCs w:val="16"/>
        </w:rPr>
      </w:pPr>
      <w:r w:rsidRPr="00507A31">
        <w:rPr>
          <w:color w:val="000000" w:themeColor="text1"/>
          <w:sz w:val="16"/>
          <w:szCs w:val="16"/>
        </w:rPr>
        <w:t>Отпечатано в 3 экз. (19760).</w:t>
      </w:r>
    </w:p>
    <w:p w14:paraId="0B78AE91" w14:textId="77777777" w:rsidR="00533EE8" w:rsidRPr="00507A31" w:rsidRDefault="00533EE8" w:rsidP="00507A31">
      <w:pPr>
        <w:jc w:val="both"/>
        <w:rPr>
          <w:color w:val="000000" w:themeColor="text1"/>
          <w:sz w:val="16"/>
          <w:szCs w:val="16"/>
        </w:rPr>
      </w:pPr>
    </w:p>
    <w:p w14:paraId="2FCDB8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августа 1930 127 листов чертежей танка Кристи были получены и переданы главному конструктору ГКБ ОАТ С. Шукалову (10733,193).</w:t>
      </w:r>
    </w:p>
    <w:p w14:paraId="022FFA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5AB26A6" w14:textId="77777777" w:rsidR="003E5DD5" w:rsidRPr="00507A31" w:rsidRDefault="003E5DD5" w:rsidP="00507A31">
      <w:pPr>
        <w:jc w:val="both"/>
        <w:rPr>
          <w:color w:val="000000" w:themeColor="text1"/>
          <w:sz w:val="16"/>
          <w:szCs w:val="16"/>
        </w:rPr>
      </w:pPr>
      <w:r w:rsidRPr="00507A31">
        <w:rPr>
          <w:color w:val="000000" w:themeColor="text1"/>
          <w:sz w:val="16"/>
          <w:szCs w:val="16"/>
        </w:rPr>
        <w:t>9 августа 1930 г., чертежи танка Кристи прибыли в Москву и попали в распоряжение главного конструкторского бюро при Государственном Всесоюзном орудийно-оружейно-пулеметном объединении под руководством С.П. Шукалова, и были возвращены в АБТУ только 13 октября после снятия копий. Не дожидаясь прибытия опытных образцов М1931 постановлением РВС СССР от 21 ноября 1930 года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11F66FB9" w14:textId="77777777" w:rsidR="003E5DD5" w:rsidRPr="00507A31" w:rsidRDefault="003E5DD5" w:rsidP="00507A31">
      <w:pPr>
        <w:jc w:val="both"/>
        <w:rPr>
          <w:color w:val="000000" w:themeColor="text1"/>
          <w:sz w:val="16"/>
          <w:szCs w:val="16"/>
        </w:rPr>
      </w:pPr>
    </w:p>
    <w:p w14:paraId="3628C6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августа 1930 года Директор завода № 11 г. Загорска писал, что при ликвидации вредительства было вывезено до 2000 возов мусора, прочищено оборудование, приведена в порядок пожарная сигнализация, проверены строящиеся или проектирующиеся здания в 1929-1936 г.г. под углом зрения соответствия их с мобилизационным заданиям (11248).</w:t>
      </w:r>
    </w:p>
    <w:p w14:paraId="554B06E4" w14:textId="77777777" w:rsidR="00537E5F" w:rsidRPr="00507A31" w:rsidRDefault="00537E5F" w:rsidP="00507A31">
      <w:pPr>
        <w:autoSpaceDE w:val="0"/>
        <w:autoSpaceDN w:val="0"/>
        <w:adjustRightInd w:val="0"/>
        <w:jc w:val="both"/>
        <w:rPr>
          <w:color w:val="000000" w:themeColor="text1"/>
          <w:sz w:val="16"/>
          <w:szCs w:val="16"/>
        </w:rPr>
      </w:pPr>
    </w:p>
    <w:p w14:paraId="3A5435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августа 1930 г. Государственный (Московский) завод счетных и пишущих машин (СПМ), созданный 5 июня 1925, был преобразован в Ремонтные мастерские Треста точной механики, а 17 мая 1931 г. -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4B92F702" w14:textId="77777777" w:rsidR="00537E5F" w:rsidRPr="00507A31" w:rsidRDefault="00537E5F" w:rsidP="00507A31">
      <w:pPr>
        <w:autoSpaceDE w:val="0"/>
        <w:autoSpaceDN w:val="0"/>
        <w:adjustRightInd w:val="0"/>
        <w:jc w:val="both"/>
        <w:rPr>
          <w:color w:val="000000" w:themeColor="text1"/>
          <w:sz w:val="16"/>
          <w:szCs w:val="16"/>
        </w:rPr>
      </w:pPr>
    </w:p>
    <w:p w14:paraId="601AE217" w14:textId="77777777" w:rsidR="00CE1199" w:rsidRPr="00507A31" w:rsidRDefault="00CE1199" w:rsidP="00507A31">
      <w:pPr>
        <w:shd w:val="clear" w:color="auto" w:fill="FFFFFF"/>
        <w:jc w:val="both"/>
        <w:rPr>
          <w:color w:val="000000" w:themeColor="text1"/>
          <w:sz w:val="16"/>
          <w:szCs w:val="16"/>
        </w:rPr>
      </w:pPr>
      <w:r w:rsidRPr="00507A31">
        <w:rPr>
          <w:color w:val="000000" w:themeColor="text1"/>
          <w:sz w:val="16"/>
          <w:szCs w:val="16"/>
        </w:rPr>
        <w:t xml:space="preserve">9 августа </w:t>
      </w:r>
      <w:bookmarkStart w:id="76" w:name="YANDEX_16"/>
      <w:bookmarkEnd w:id="76"/>
      <w:r w:rsidRPr="00507A31">
        <w:rPr>
          <w:color w:val="000000" w:themeColor="text1"/>
          <w:sz w:val="16"/>
          <w:szCs w:val="16"/>
        </w:rPr>
        <w:t xml:space="preserve"> 1930  года секретариат Ленинградского обкома ВКП(б) на заседании снова рассмотрел вопрос «О вредительстве на военных </w:t>
      </w:r>
      <w:bookmarkStart w:id="77" w:name="YANDEX_17"/>
      <w:bookmarkEnd w:id="77"/>
      <w:r w:rsidRPr="00507A31">
        <w:rPr>
          <w:color w:val="000000" w:themeColor="text1"/>
          <w:sz w:val="16"/>
          <w:szCs w:val="16"/>
        </w:rPr>
        <w:t xml:space="preserve"> заводах ». В постановлении ленинградского партийного ареопага уже напрямую указывалось, что борьба с вредительством ослаблена и темп выполнения плана пресечения преступной деятельности вредителей явно недостаточен, на некоторых же </w:t>
      </w:r>
      <w:bookmarkStart w:id="78" w:name="YANDEX_18"/>
      <w:bookmarkEnd w:id="78"/>
      <w:r w:rsidRPr="00507A31">
        <w:rPr>
          <w:color w:val="000000" w:themeColor="text1"/>
          <w:sz w:val="16"/>
          <w:szCs w:val="16"/>
        </w:rPr>
        <w:t> оборонных  предприятиях комиссии по борьбе с вредительством вообще прекратили работу.</w:t>
      </w:r>
    </w:p>
    <w:p w14:paraId="02606872" w14:textId="77777777" w:rsidR="00CE1199" w:rsidRPr="00507A31" w:rsidRDefault="00CE1199" w:rsidP="00507A31">
      <w:pPr>
        <w:shd w:val="clear" w:color="auto" w:fill="FFFFFF"/>
        <w:jc w:val="both"/>
        <w:rPr>
          <w:color w:val="000000" w:themeColor="text1"/>
          <w:sz w:val="16"/>
          <w:szCs w:val="16"/>
        </w:rPr>
      </w:pPr>
      <w:r w:rsidRPr="00507A31">
        <w:rPr>
          <w:color w:val="000000" w:themeColor="text1"/>
          <w:sz w:val="16"/>
          <w:szCs w:val="16"/>
        </w:rPr>
        <w:t xml:space="preserve">Чтобы придать этому процессу новый импульс, было решено провести 5 сентября </w:t>
      </w:r>
      <w:bookmarkStart w:id="79" w:name="YANDEX_19"/>
      <w:bookmarkEnd w:id="79"/>
      <w:r w:rsidRPr="00507A31">
        <w:rPr>
          <w:color w:val="000000" w:themeColor="text1"/>
          <w:sz w:val="16"/>
          <w:szCs w:val="16"/>
        </w:rPr>
        <w:t xml:space="preserve"> 1930  года при областном комитете ВКП(б) совещание с участием </w:t>
      </w:r>
      <w:bookmarkStart w:id="80" w:name="YANDEX_20"/>
      <w:bookmarkEnd w:id="80"/>
      <w:r w:rsidRPr="00507A31">
        <w:rPr>
          <w:color w:val="000000" w:themeColor="text1"/>
          <w:sz w:val="16"/>
          <w:szCs w:val="16"/>
        </w:rPr>
        <w:t xml:space="preserve"> директоров  военных </w:t>
      </w:r>
      <w:bookmarkStart w:id="81" w:name="YANDEX_21"/>
      <w:bookmarkEnd w:id="81"/>
      <w:r w:rsidRPr="00507A31">
        <w:rPr>
          <w:color w:val="000000" w:themeColor="text1"/>
          <w:sz w:val="16"/>
          <w:szCs w:val="16"/>
        </w:rPr>
        <w:t xml:space="preserve"> заводов  и секретарей партийных комитетов. По результатам форума 24 сентября </w:t>
      </w:r>
      <w:bookmarkStart w:id="82" w:name="YANDEX_22"/>
      <w:bookmarkEnd w:id="82"/>
      <w:r w:rsidRPr="00507A31">
        <w:rPr>
          <w:color w:val="000000" w:themeColor="text1"/>
          <w:sz w:val="16"/>
          <w:szCs w:val="16"/>
        </w:rPr>
        <w:t xml:space="preserve"> 1930  года обком партии принял специальное постановление «О ходе борьбы с последствиями вредительства и выполнении промфинплана за 10 месяцев в ленинградской военной промышленности и на гражданских </w:t>
      </w:r>
      <w:bookmarkStart w:id="83" w:name="YANDEX_23"/>
      <w:bookmarkEnd w:id="83"/>
      <w:r w:rsidRPr="00507A31">
        <w:rPr>
          <w:color w:val="000000" w:themeColor="text1"/>
          <w:sz w:val="16"/>
          <w:szCs w:val="16"/>
        </w:rPr>
        <w:t xml:space="preserve"> заводах , выполняющих военные заказы». В документе подводились итоги репрессивной кампании и указывалось на то, что несмотря на директиву обкома партии от 7 марта </w:t>
      </w:r>
      <w:bookmarkStart w:id="84" w:name="YANDEX_24"/>
      <w:bookmarkEnd w:id="84"/>
      <w:r w:rsidRPr="00507A31">
        <w:rPr>
          <w:color w:val="000000" w:themeColor="text1"/>
          <w:sz w:val="16"/>
          <w:szCs w:val="16"/>
        </w:rPr>
        <w:t xml:space="preserve"> 1930  года, борьба с вредительством ведется слабо и </w:t>
      </w:r>
      <w:bookmarkStart w:id="85" w:name="YANDEX_25"/>
      <w:bookmarkEnd w:id="85"/>
      <w:r w:rsidRPr="00507A31">
        <w:rPr>
          <w:color w:val="000000" w:themeColor="text1"/>
          <w:sz w:val="16"/>
          <w:szCs w:val="16"/>
        </w:rPr>
        <w:t xml:space="preserve"> директора  </w:t>
      </w:r>
      <w:bookmarkStart w:id="86" w:name="YANDEX_26"/>
      <w:bookmarkEnd w:id="86"/>
      <w:r w:rsidRPr="00507A31">
        <w:rPr>
          <w:color w:val="000000" w:themeColor="text1"/>
          <w:sz w:val="16"/>
          <w:szCs w:val="16"/>
        </w:rPr>
        <w:t> оборонных  предприятий совместно с парторганизациями не могут добиться запланированных темпов роста производства (17235).</w:t>
      </w:r>
    </w:p>
    <w:p w14:paraId="479399F5" w14:textId="77777777" w:rsidR="00CE1199" w:rsidRPr="00507A31" w:rsidRDefault="00CE1199" w:rsidP="00507A31">
      <w:pPr>
        <w:autoSpaceDE w:val="0"/>
        <w:autoSpaceDN w:val="0"/>
        <w:adjustRightInd w:val="0"/>
        <w:jc w:val="both"/>
        <w:rPr>
          <w:iCs/>
          <w:color w:val="000000" w:themeColor="text1"/>
          <w:sz w:val="16"/>
          <w:szCs w:val="16"/>
        </w:rPr>
      </w:pPr>
    </w:p>
    <w:p w14:paraId="45770202" w14:textId="77777777" w:rsidR="00DD1E25" w:rsidRPr="00507A31" w:rsidRDefault="00DD1E25" w:rsidP="00507A31">
      <w:pPr>
        <w:pStyle w:val="ae"/>
        <w:shd w:val="clear" w:color="auto" w:fill="FFFFFF"/>
        <w:spacing w:before="0" w:after="0"/>
        <w:jc w:val="both"/>
        <w:rPr>
          <w:color w:val="0070C0"/>
          <w:sz w:val="16"/>
          <w:szCs w:val="16"/>
        </w:rPr>
      </w:pPr>
      <w:r w:rsidRPr="00507A31">
        <w:rPr>
          <w:color w:val="0070C0"/>
          <w:sz w:val="16"/>
          <w:szCs w:val="16"/>
        </w:rPr>
        <w:t>9 августа 1930 года секретариат обкома ВКП(б) Ленинграда снова рассмотрел вопрос «О вредительстве на военных заводах». В постановлении ленинградского партийного ареопага уже напрямую указывалось, что борьба с вредительством ослаблена и темп выполнения плана пресечения преступной деятельности вредителей явно недостаточен, на некоторых же оборонных предприятиях комиссии по борьбе с вредительством вообще прекратили работу.</w:t>
      </w:r>
    </w:p>
    <w:p w14:paraId="0194CE10" w14:textId="77777777" w:rsidR="00DD1E25" w:rsidRPr="00507A31" w:rsidRDefault="00DD1E25" w:rsidP="00507A31">
      <w:pPr>
        <w:pStyle w:val="ae"/>
        <w:shd w:val="clear" w:color="auto" w:fill="FFFFFF"/>
        <w:spacing w:before="0" w:after="0"/>
        <w:jc w:val="both"/>
        <w:rPr>
          <w:color w:val="0070C0"/>
          <w:sz w:val="16"/>
          <w:szCs w:val="16"/>
        </w:rPr>
      </w:pPr>
      <w:r w:rsidRPr="00507A31">
        <w:rPr>
          <w:color w:val="0070C0"/>
          <w:sz w:val="16"/>
          <w:szCs w:val="16"/>
        </w:rPr>
        <w:t>Чтобы придать этому процессу новый импульс, было решено провести 5 сентября 1930 года при областном комитете ВКП(б) совещание с участием директоров военных заводов и секретарей партийных комитетов (20981).</w:t>
      </w:r>
    </w:p>
    <w:p w14:paraId="44B1EC4B" w14:textId="77777777" w:rsidR="00DD1E25" w:rsidRPr="00507A31" w:rsidRDefault="00DD1E25" w:rsidP="00507A31">
      <w:pPr>
        <w:pStyle w:val="ae"/>
        <w:shd w:val="clear" w:color="auto" w:fill="FFFFFF"/>
        <w:spacing w:before="0" w:after="0"/>
        <w:jc w:val="both"/>
        <w:rPr>
          <w:color w:val="0070C0"/>
          <w:sz w:val="16"/>
          <w:szCs w:val="16"/>
        </w:rPr>
      </w:pPr>
    </w:p>
    <w:p w14:paraId="04861CD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80DC7AA" w14:textId="77777777" w:rsidR="00537E5F" w:rsidRPr="00507A31" w:rsidRDefault="00537E5F" w:rsidP="00507A31">
      <w:pPr>
        <w:autoSpaceDE w:val="0"/>
        <w:autoSpaceDN w:val="0"/>
        <w:adjustRightInd w:val="0"/>
        <w:jc w:val="both"/>
        <w:rPr>
          <w:iCs/>
          <w:color w:val="000000" w:themeColor="text1"/>
          <w:sz w:val="16"/>
          <w:szCs w:val="16"/>
        </w:rPr>
      </w:pPr>
    </w:p>
    <w:p w14:paraId="33B190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августа 1930 года происходит торжественная закладка Челябинского тракторного завода имени В. И. Ленина. 7 ноября вводится в строй опытный завод, из ворот которого спустя три месяца выходит новый трактор. 1 июня 1933 года ЧТЗ вступает в строй действующих. Полтора года спустя рабочие завода отмечают первый юбилей — с конвейера сходит 10-тысячный трактор. До 31 марта 1937 года страна получила 69 тыс. С-60. Вскоре на международной выставке 1937 года в Париже их отметили высшей наградой — «Гран-При» (11251).</w:t>
      </w:r>
    </w:p>
    <w:p w14:paraId="3E101CEC" w14:textId="77777777" w:rsidR="00537E5F" w:rsidRPr="00507A31" w:rsidRDefault="00537E5F" w:rsidP="00507A31">
      <w:pPr>
        <w:autoSpaceDE w:val="0"/>
        <w:autoSpaceDN w:val="0"/>
        <w:adjustRightInd w:val="0"/>
        <w:jc w:val="both"/>
        <w:rPr>
          <w:color w:val="000000" w:themeColor="text1"/>
          <w:sz w:val="16"/>
          <w:szCs w:val="16"/>
        </w:rPr>
      </w:pPr>
    </w:p>
    <w:p w14:paraId="0B325604" w14:textId="77777777" w:rsidR="00E224B9" w:rsidRPr="00507A31" w:rsidRDefault="00E224B9" w:rsidP="00507A31">
      <w:pPr>
        <w:jc w:val="both"/>
        <w:rPr>
          <w:color w:val="000000" w:themeColor="text1"/>
          <w:sz w:val="16"/>
          <w:szCs w:val="16"/>
        </w:rPr>
      </w:pPr>
      <w:r w:rsidRPr="00507A31">
        <w:rPr>
          <w:rStyle w:val="a7"/>
          <w:b w:val="0"/>
          <w:color w:val="000000" w:themeColor="text1"/>
          <w:sz w:val="16"/>
          <w:szCs w:val="16"/>
        </w:rPr>
        <w:t xml:space="preserve">10 августа 1930 </w:t>
      </w:r>
      <w:r w:rsidRPr="00507A31">
        <w:rPr>
          <w:color w:val="000000" w:themeColor="text1"/>
          <w:sz w:val="16"/>
          <w:szCs w:val="16"/>
        </w:rPr>
        <w:t>Политбюро ЦК ВКП (б) приняло решение о проектировании Челябинского тракторного завода и изготовлении для него металлоконструкций в СССР; предложило ВСНХ выделить члена президиума специально для наблюдения за крупными строительствами и ускорить проектирование заводов Днепровского комбината; Наркомтруду предложило обеспечить строительство Челябинского тракторного завода рабочей силой до 15 августа (12265).</w:t>
      </w:r>
    </w:p>
    <w:p w14:paraId="251A877C" w14:textId="77777777" w:rsidR="00E224B9" w:rsidRPr="00507A31" w:rsidRDefault="00E224B9" w:rsidP="00507A31">
      <w:pPr>
        <w:jc w:val="both"/>
        <w:rPr>
          <w:color w:val="000000" w:themeColor="text1"/>
          <w:sz w:val="16"/>
          <w:szCs w:val="16"/>
        </w:rPr>
      </w:pPr>
      <w:r w:rsidRPr="00507A31">
        <w:rPr>
          <w:color w:val="000000" w:themeColor="text1"/>
          <w:sz w:val="16"/>
          <w:szCs w:val="16"/>
        </w:rPr>
        <w:t> </w:t>
      </w:r>
    </w:p>
    <w:p w14:paraId="05CC64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августа 1930 был заложен завод ЧТЗ. Поначалу строительство финансировалось плохо. Дела пошли лучше, когда был выдвинут лозунг: "ЧТЗ строит вся страна!" - и Челябтракторострой приравняли к таким важнейшим объектам 1-й пятилетки, как Магнитка, Кузнецк и Днепрострой (11252).</w:t>
      </w:r>
    </w:p>
    <w:p w14:paraId="0D2850C6" w14:textId="77777777" w:rsidR="00537E5F" w:rsidRPr="00507A31" w:rsidRDefault="00537E5F" w:rsidP="00507A31">
      <w:pPr>
        <w:autoSpaceDE w:val="0"/>
        <w:autoSpaceDN w:val="0"/>
        <w:adjustRightInd w:val="0"/>
        <w:jc w:val="both"/>
        <w:rPr>
          <w:color w:val="000000" w:themeColor="text1"/>
          <w:sz w:val="16"/>
          <w:szCs w:val="16"/>
        </w:rPr>
      </w:pPr>
    </w:p>
    <w:p w14:paraId="5EAF78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августа 1930 г. под звуки оркестра был заложен литейный цех. Здесь же состоялся и один из первых субботников с участием более 5 тыс. рабочих города. По решению ВСНХ СССР ЧТЗ заносился в ударную группу крупнейших новостроек страны. Путь создания предприятий отечественного машиностроения, как и других отраслей промышленности, оказался нелёгким. С большими трудностями встретились и строители ЧТЗ: отсутствие в первое время техники, жилья и медицинской помощи; обеспеченность кадрами в 1929–1930 гг. составила всего 60% к плану; местная кооперация оказалась не в состоянии обслуживать рабочих; не хватало стройматериалов; обнаруживались неувязки в проектировании; выявлялись и факты вредительства; в конце года резко сократилось финансирование. Стройка оказалась под угрозой срыва (11557).</w:t>
      </w:r>
    </w:p>
    <w:p w14:paraId="0CBECA08" w14:textId="77777777" w:rsidR="00537E5F" w:rsidRPr="00507A31" w:rsidRDefault="00537E5F" w:rsidP="00507A31">
      <w:pPr>
        <w:autoSpaceDE w:val="0"/>
        <w:autoSpaceDN w:val="0"/>
        <w:adjustRightInd w:val="0"/>
        <w:jc w:val="both"/>
        <w:rPr>
          <w:color w:val="000000" w:themeColor="text1"/>
          <w:sz w:val="16"/>
          <w:szCs w:val="16"/>
        </w:rPr>
      </w:pPr>
    </w:p>
    <w:p w14:paraId="0E5955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августа 1930 г. Политбюро ЦК ВКП(б) заслушало вопрос о пожаре в Майкопе. По мнению Политбюро, «Грознефть», куда входили Майкопские промыслы, не уделяла последним должного внимания, поэтому они были выделены в самостоятельный трест «Майнефть» (11522).</w:t>
      </w:r>
    </w:p>
    <w:p w14:paraId="14377263" w14:textId="77777777" w:rsidR="00537E5F" w:rsidRPr="00507A31" w:rsidRDefault="00537E5F" w:rsidP="00507A31">
      <w:pPr>
        <w:autoSpaceDE w:val="0"/>
        <w:autoSpaceDN w:val="0"/>
        <w:adjustRightInd w:val="0"/>
        <w:jc w:val="both"/>
        <w:rPr>
          <w:color w:val="000000" w:themeColor="text1"/>
          <w:sz w:val="16"/>
          <w:szCs w:val="16"/>
        </w:rPr>
      </w:pPr>
    </w:p>
    <w:p w14:paraId="2E2BF27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701A967" w14:textId="77777777" w:rsidR="00537E5F" w:rsidRPr="00507A31" w:rsidRDefault="00537E5F" w:rsidP="00507A31">
      <w:pPr>
        <w:autoSpaceDE w:val="0"/>
        <w:autoSpaceDN w:val="0"/>
        <w:adjustRightInd w:val="0"/>
        <w:jc w:val="both"/>
        <w:rPr>
          <w:iCs/>
          <w:color w:val="000000" w:themeColor="text1"/>
          <w:sz w:val="16"/>
          <w:szCs w:val="16"/>
        </w:rPr>
      </w:pPr>
    </w:p>
    <w:p w14:paraId="45CCBD0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 августа 1930 согласно И. Ильфу и Е. Петрову, Остап Бендер завершил дело А. Корейко (4962).</w:t>
      </w:r>
    </w:p>
    <w:p w14:paraId="5A7C322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99D952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D6FEAD5" w14:textId="77777777" w:rsidR="00537E5F" w:rsidRPr="00507A31" w:rsidRDefault="00537E5F" w:rsidP="00507A31">
      <w:pPr>
        <w:autoSpaceDE w:val="0"/>
        <w:autoSpaceDN w:val="0"/>
        <w:adjustRightInd w:val="0"/>
        <w:jc w:val="both"/>
        <w:rPr>
          <w:iCs/>
          <w:color w:val="000000" w:themeColor="text1"/>
          <w:sz w:val="16"/>
          <w:szCs w:val="16"/>
        </w:rPr>
      </w:pPr>
    </w:p>
    <w:p w14:paraId="2990DC4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 августа 1930 магистрат города Гунтур (Индия) запретил ношение одежды стиля Махатмы Ганди в радиусе пяти миль вокруг города (4962).</w:t>
      </w:r>
    </w:p>
    <w:p w14:paraId="355F3CA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1A78B1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390E8AC" w14:textId="77777777" w:rsidR="00537E5F" w:rsidRPr="00507A31" w:rsidRDefault="00537E5F" w:rsidP="00507A31">
      <w:pPr>
        <w:autoSpaceDE w:val="0"/>
        <w:autoSpaceDN w:val="0"/>
        <w:adjustRightInd w:val="0"/>
        <w:jc w:val="both"/>
        <w:rPr>
          <w:iCs/>
          <w:color w:val="000000" w:themeColor="text1"/>
          <w:sz w:val="16"/>
          <w:szCs w:val="16"/>
        </w:rPr>
      </w:pPr>
    </w:p>
    <w:p w14:paraId="593AE2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11 августа 1930 все 15 машин Р-5 первого заказа прошли приемку на заводе № 1. На всех машинах стояли импортные моторы BMW VI и пулеметы "Льюис" на турели (кроме самолета, сданного в НИИ ВВС). Подфюзеляжные бомбодержатели отсутствовали, комплектация приборами была неполной. После поступления сообщения из НИИ ВВС о проблемах с охлаждением приемка успела задержать две машины, на которых поставили радиаторы с шестигранными трубками. С восьмой машины 1-й серии начали монтировать навигационные огни и подсветку кабин. Генератор работал от ветрянки, т.е. мог использоваться только в полете. Все электрооборудование было импортным (11936).</w:t>
      </w:r>
    </w:p>
    <w:p w14:paraId="4300F48F" w14:textId="77777777" w:rsidR="00537E5F" w:rsidRPr="00507A31" w:rsidRDefault="00537E5F" w:rsidP="00507A31">
      <w:pPr>
        <w:autoSpaceDE w:val="0"/>
        <w:autoSpaceDN w:val="0"/>
        <w:adjustRightInd w:val="0"/>
        <w:jc w:val="both"/>
        <w:rPr>
          <w:color w:val="000000" w:themeColor="text1"/>
          <w:sz w:val="16"/>
          <w:szCs w:val="16"/>
        </w:rPr>
      </w:pPr>
    </w:p>
    <w:p w14:paraId="16B2E8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11 августа 1030 завершили всю 1-ю серию Р-5 из 15 машин. На всех машинах стояли импортные моторы BMW VI и пулеметы "Лыоис" на задней турели (кроме самолета, сданного в НИИ ВВС). Подфюзеляжныс бомбодержатели Дер-13 отсутствовали, комплектация приборами была неполной. После поступления сообщения из НИИ ВВС о перегреве воды в моторе военная приемка успела задержать две машины, с № 4146 и № 4147. На них поставили радиаторы с шестигранными трубками. Эти самолеты потом очень хорошо проявили себя на войсковых испытаниях. С восьмой машины 1-й серии начали монтировать навигационные огни и подсветку кабин для ночных полетов. Генератор работал от ветрянки, то есть мог использоваться только в полете. Все электрооборудование было импортным. в основном,немецким.</w:t>
      </w:r>
    </w:p>
    <w:p w14:paraId="687F9C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Головным образцом 2-й серии стала машина № 4151. 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бал- ки Дер-13 rio-прежнему отсутствовали. Эта машина 15-25 июня 1930 г.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029F8B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3DC44C9C" w14:textId="77777777" w:rsidR="00537E5F" w:rsidRPr="00507A31" w:rsidRDefault="00537E5F" w:rsidP="00507A31">
      <w:pPr>
        <w:autoSpaceDE w:val="0"/>
        <w:autoSpaceDN w:val="0"/>
        <w:adjustRightInd w:val="0"/>
        <w:jc w:val="both"/>
        <w:rPr>
          <w:color w:val="000000" w:themeColor="text1"/>
          <w:sz w:val="16"/>
          <w:szCs w:val="16"/>
        </w:rPr>
      </w:pPr>
    </w:p>
    <w:p w14:paraId="2EBBDB8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7E1DF99" w14:textId="77777777" w:rsidR="00537E5F" w:rsidRPr="00507A31" w:rsidRDefault="00537E5F" w:rsidP="00507A31">
      <w:pPr>
        <w:autoSpaceDE w:val="0"/>
        <w:autoSpaceDN w:val="0"/>
        <w:adjustRightInd w:val="0"/>
        <w:jc w:val="both"/>
        <w:rPr>
          <w:iCs/>
          <w:color w:val="000000" w:themeColor="text1"/>
          <w:sz w:val="16"/>
          <w:szCs w:val="16"/>
        </w:rPr>
      </w:pPr>
    </w:p>
    <w:p w14:paraId="2F4BDF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11 августа 1930 по состоянию опытных работ на базе Т-19 проектировали самоходные: 76-мм пушку для механизированных частей; спаренную 37-мм зенитную установку; зенитную счетверенную 7,62-мм пулеметную установку. Тему вскоре свернули - УММ КА ориентировало танкостроение на освоение приобретенной за рубежом техники (9641).</w:t>
      </w:r>
    </w:p>
    <w:p w14:paraId="0CD1BE42" w14:textId="77777777" w:rsidR="00537E5F" w:rsidRPr="00507A31" w:rsidRDefault="00537E5F" w:rsidP="00507A31">
      <w:pPr>
        <w:autoSpaceDE w:val="0"/>
        <w:autoSpaceDN w:val="0"/>
        <w:adjustRightInd w:val="0"/>
        <w:jc w:val="both"/>
        <w:rPr>
          <w:color w:val="000000" w:themeColor="text1"/>
          <w:sz w:val="16"/>
          <w:szCs w:val="16"/>
        </w:rPr>
      </w:pPr>
    </w:p>
    <w:p w14:paraId="657C907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6BFF32F" w14:textId="77777777" w:rsidR="00537E5F" w:rsidRPr="00507A31" w:rsidRDefault="00537E5F" w:rsidP="00507A31">
      <w:pPr>
        <w:autoSpaceDE w:val="0"/>
        <w:autoSpaceDN w:val="0"/>
        <w:adjustRightInd w:val="0"/>
        <w:jc w:val="both"/>
        <w:rPr>
          <w:iCs/>
          <w:color w:val="000000" w:themeColor="text1"/>
          <w:sz w:val="16"/>
          <w:szCs w:val="16"/>
        </w:rPr>
      </w:pPr>
    </w:p>
    <w:p w14:paraId="3CE141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августа 1930 вышел приказ ВСНХ и НКВМД N 17с о том, что ВАО ВСНХ и ЦАГИ НТУ ВСНХ переходят в подчинение Наркомвоенмора (1026,111).</w:t>
      </w:r>
    </w:p>
    <w:p w14:paraId="28A8BBCA" w14:textId="77777777" w:rsidR="00537E5F" w:rsidRPr="00507A31" w:rsidRDefault="00537E5F" w:rsidP="00507A31">
      <w:pPr>
        <w:autoSpaceDE w:val="0"/>
        <w:autoSpaceDN w:val="0"/>
        <w:adjustRightInd w:val="0"/>
        <w:jc w:val="both"/>
        <w:rPr>
          <w:color w:val="000000" w:themeColor="text1"/>
          <w:sz w:val="16"/>
          <w:szCs w:val="16"/>
        </w:rPr>
      </w:pPr>
    </w:p>
    <w:p w14:paraId="6C38FB9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117B294" w14:textId="77777777" w:rsidR="00537E5F" w:rsidRPr="00507A31" w:rsidRDefault="00537E5F" w:rsidP="00507A31">
      <w:pPr>
        <w:autoSpaceDE w:val="0"/>
        <w:autoSpaceDN w:val="0"/>
        <w:adjustRightInd w:val="0"/>
        <w:jc w:val="both"/>
        <w:rPr>
          <w:iCs/>
          <w:color w:val="000000" w:themeColor="text1"/>
          <w:sz w:val="16"/>
          <w:szCs w:val="16"/>
        </w:rPr>
      </w:pPr>
    </w:p>
    <w:p w14:paraId="652ACD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августа 1930 года на полигоне в районе Гороховец-Фролищи во время опытных стрельб с использованием артхимснарядов с целью "проверить токсичность облака, созданного в короткий срок 10-13 минут с последующим его поддержанием методичным огнем" велся масштабный обстрел орудиями 76 мм, 122 мм и 152 мм калибра, ОВ - фосген и дифосген. При одновременной стрельбе силами 14 батарей "в конце первой минуты сформировалось плотное густое облако шириной до 150 м, в глубину 100-120 м при высоте 8-9 м", и устроители стрельб были этому боевому результату рады. Поражения среди подопытных животных в этом месте были максимальными - 100%, а смертность - 60%. Однако далее события развивались не по сценарию - облако "компактной массой" двинулось "по ветру... и через 10 минут головой своей достигло рубежа у дома лесника Осипова, где находилась команда полигона". Полигонная команда то облако ОВ не ожидала, потому что дом лесника находился в 3,5 км от настоящей цели (в районе которой и были размещены подопытные животные). Впрочем, люди - невольные участники опыта - остались живы: у них были при себе противогазы (9065).</w:t>
      </w:r>
    </w:p>
    <w:p w14:paraId="362AE819" w14:textId="77777777" w:rsidR="00537E5F" w:rsidRPr="00507A31" w:rsidRDefault="00537E5F" w:rsidP="00507A31">
      <w:pPr>
        <w:autoSpaceDE w:val="0"/>
        <w:autoSpaceDN w:val="0"/>
        <w:adjustRightInd w:val="0"/>
        <w:jc w:val="both"/>
        <w:rPr>
          <w:color w:val="000000" w:themeColor="text1"/>
          <w:sz w:val="16"/>
          <w:szCs w:val="16"/>
        </w:rPr>
      </w:pPr>
    </w:p>
    <w:p w14:paraId="2716C93F" w14:textId="683AC90E" w:rsidR="00E224B9" w:rsidRPr="00507A31" w:rsidRDefault="00E224B9" w:rsidP="00507A31">
      <w:pPr>
        <w:autoSpaceDE w:val="0"/>
        <w:autoSpaceDN w:val="0"/>
        <w:adjustRightInd w:val="0"/>
        <w:jc w:val="both"/>
        <w:rPr>
          <w:i/>
          <w:color w:val="000000" w:themeColor="text1"/>
          <w:sz w:val="16"/>
          <w:szCs w:val="16"/>
        </w:rPr>
      </w:pPr>
      <w:r w:rsidRPr="00507A31">
        <w:rPr>
          <w:i/>
          <w:color w:val="000000" w:themeColor="text1"/>
          <w:sz w:val="16"/>
          <w:szCs w:val="16"/>
        </w:rPr>
        <w:t>Другие оборонные отр</w:t>
      </w:r>
      <w:r w:rsidR="00DD1E25" w:rsidRPr="00507A31">
        <w:rPr>
          <w:i/>
          <w:color w:val="000000" w:themeColor="text1"/>
          <w:sz w:val="16"/>
          <w:szCs w:val="16"/>
        </w:rPr>
        <w:t>а</w:t>
      </w:r>
      <w:r w:rsidRPr="00507A31">
        <w:rPr>
          <w:i/>
          <w:color w:val="000000" w:themeColor="text1"/>
          <w:sz w:val="16"/>
          <w:szCs w:val="16"/>
        </w:rPr>
        <w:t>сли:</w:t>
      </w:r>
    </w:p>
    <w:p w14:paraId="30333846" w14:textId="77777777" w:rsidR="00E224B9" w:rsidRPr="00507A31" w:rsidRDefault="00E224B9" w:rsidP="00507A31">
      <w:pPr>
        <w:autoSpaceDE w:val="0"/>
        <w:autoSpaceDN w:val="0"/>
        <w:adjustRightInd w:val="0"/>
        <w:jc w:val="both"/>
        <w:rPr>
          <w:i/>
          <w:color w:val="000000" w:themeColor="text1"/>
          <w:sz w:val="16"/>
          <w:szCs w:val="16"/>
        </w:rPr>
      </w:pPr>
    </w:p>
    <w:p w14:paraId="3802ACB9" w14:textId="77777777" w:rsidR="00E224B9" w:rsidRPr="00507A31" w:rsidRDefault="00E224B9" w:rsidP="00507A31">
      <w:pPr>
        <w:jc w:val="both"/>
        <w:rPr>
          <w:color w:val="000000" w:themeColor="text1"/>
          <w:sz w:val="16"/>
          <w:szCs w:val="16"/>
        </w:rPr>
      </w:pPr>
      <w:r w:rsidRPr="00507A31">
        <w:rPr>
          <w:color w:val="000000" w:themeColor="text1"/>
          <w:sz w:val="16"/>
          <w:szCs w:val="16"/>
        </w:rPr>
        <w:t>12 августа 1930 г. — Из протокола заседания Постоянной комиссии по приему вновь построенных и капитально отремонтированных кораблей у начальника ВМС РККА Р. А. Муклевича о выполнении программы судостроения</w:t>
      </w:r>
    </w:p>
    <w:p w14:paraId="59A90022" w14:textId="77777777" w:rsidR="00E224B9" w:rsidRPr="00507A31" w:rsidRDefault="00E224B9"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43770AC4" w14:textId="77777777" w:rsidR="00E224B9" w:rsidRPr="00507A31" w:rsidRDefault="00E224B9" w:rsidP="00507A31">
      <w:pPr>
        <w:pStyle w:val="rtejustify"/>
        <w:spacing w:before="0" w:after="0"/>
        <w:rPr>
          <w:color w:val="000000" w:themeColor="text1"/>
          <w:sz w:val="16"/>
          <w:szCs w:val="16"/>
        </w:rPr>
      </w:pPr>
      <w:r w:rsidRPr="00507A31">
        <w:rPr>
          <w:rStyle w:val="af0"/>
          <w:i w:val="0"/>
          <w:color w:val="000000" w:themeColor="text1"/>
          <w:sz w:val="16"/>
          <w:szCs w:val="16"/>
        </w:rPr>
        <w:t>Слушали</w:t>
      </w:r>
      <w:r w:rsidRPr="00507A31">
        <w:rPr>
          <w:color w:val="000000" w:themeColor="text1"/>
          <w:sz w:val="16"/>
          <w:szCs w:val="16"/>
        </w:rPr>
        <w:t>: I. Судостроение на Севере.</w:t>
      </w:r>
    </w:p>
    <w:p w14:paraId="48E4E90E" w14:textId="77777777" w:rsidR="00E224B9" w:rsidRPr="00507A31" w:rsidRDefault="00E224B9" w:rsidP="00507A31">
      <w:pPr>
        <w:pStyle w:val="rtejustify"/>
        <w:spacing w:before="0" w:after="0"/>
        <w:rPr>
          <w:color w:val="000000" w:themeColor="text1"/>
          <w:sz w:val="16"/>
          <w:szCs w:val="16"/>
        </w:rPr>
      </w:pPr>
      <w:r w:rsidRPr="00507A31">
        <w:rPr>
          <w:rStyle w:val="af0"/>
          <w:i w:val="0"/>
          <w:color w:val="000000" w:themeColor="text1"/>
          <w:sz w:val="16"/>
          <w:szCs w:val="16"/>
        </w:rPr>
        <w:t>Постановили</w:t>
      </w:r>
      <w:r w:rsidRPr="00507A31">
        <w:rPr>
          <w:color w:val="000000" w:themeColor="text1"/>
          <w:sz w:val="16"/>
          <w:szCs w:val="16"/>
        </w:rPr>
        <w:t>: 1. О готовности «Марата».</w:t>
      </w:r>
    </w:p>
    <w:p w14:paraId="10CD8E7D"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1) Довести до сведения правления «Союзверфи» опасения УВМС о сроках готовности «Марата», которые вызываются полученными сведениями о сокращении темпов благодаря переброске части рабочих на другие работы.</w:t>
      </w:r>
    </w:p>
    <w:p w14:paraId="38E00111"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2) Отметить заявление т. Самцова и т. Коршунова, что допущенный заводом маневр с рабочей силой ни в какой степени не отразится на взятых заводом обязательствах о готовности «Марата». 1 октября с. г. «Марат» начнет ходовые испытания, а к началу мая 1931 г. войдет в строй, т. е. все обязательства, принятые промышленностью по протоколу от 10 апреля остаются в силе и будут выполнены.</w:t>
      </w:r>
    </w:p>
    <w:p w14:paraId="0495B0BC"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3) Считать настоятельно необходимым твердое проведение заводом намеченного плана ввода в действие кочегарок. Ленкомнабу наблюсти за этим, периодически донося Техупру.</w:t>
      </w:r>
    </w:p>
    <w:p w14:paraId="7DA9E1AD"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2. О сторожевиках.</w:t>
      </w:r>
    </w:p>
    <w:p w14:paraId="7943B1B1"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1) Считать окончательно согласованными и твердыми следующие сроки готовности: а) «Ураган» — в первых числах сентября разводка паров. Предъявление к сдаточным ходовым испытаниям 15</w:t>
      </w:r>
      <w:r w:rsidRPr="00507A31">
        <w:rPr>
          <w:color w:val="000000" w:themeColor="text1"/>
          <w:sz w:val="16"/>
          <w:szCs w:val="16"/>
        </w:rPr>
        <w:noBreakHyphen/>
        <w:t>го сентября; 20 сентября окончательная сдача и подъем флага в Кронштадте; б) «Тайфун» — та же постепенность сдачи через месяц; в) «Смерч» и «Циклон» — остаются в силе сроки 1 и 20 ноября; г) «Гром» и «Вихрь» — остаются прежние сроки — 1 мая 1931 г.</w:t>
      </w:r>
    </w:p>
    <w:p w14:paraId="3504B947"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2) Заводу и Техупру обратить особое внимание на проверку и испытание котлов и турбин еще в навигацию текущего года. Под этим углом зрения заводоуправлению теперь же составить и согласовать с председателем постоянной приемной комиссии и Комнабом календарную программу ходовых испытаний.</w:t>
      </w:r>
    </w:p>
    <w:p w14:paraId="1144BAE1"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3) «Союзверфи» обратить настоящее и действенное внимание на устранение задержек с изготовлением роторов для трех последних сторожевиков, в том числе для двух строящихся на Севере.</w:t>
      </w:r>
    </w:p>
    <w:p w14:paraId="14C1F44D"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4) Твердо гарантировать промышленности заказ еще 4 сторожевых кораблей. Начальнику Техупра не позже 20 августа выдать «Союзверфи» соответствующий наряд.</w:t>
      </w:r>
    </w:p>
    <w:p w14:paraId="6FC5E80A"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3. О подлодках первой серии.</w:t>
      </w:r>
    </w:p>
    <w:p w14:paraId="1663BF12"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1) Предложенный Балтийским заводом вариант исправления подлодок первой серии путем увеличения их остойчивости и плавучести возражений со стороны начальника Морских сил не встречает.</w:t>
      </w:r>
    </w:p>
    <w:p w14:paraId="0BA5DDB3"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2) Заводу при содействии Техупра принять все меры к тому, чтобы первая подлодка № 177 была исправлена с таким расчетом, чтобы еще в кампанию текущего года можно было ее подвергнуть всестороннему испытанию, что означает необходимость окончания заводских работ по ней не позже 1 октября.</w:t>
      </w:r>
    </w:p>
    <w:p w14:paraId="7536CC6E"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 xml:space="preserve">3) Независимо от вышеизложенного начальнику Техупра со своими специалистами заслушать отдельно доклад </w:t>
      </w:r>
      <w:hyperlink r:id="rId136" w:history="1">
        <w:r w:rsidRPr="00507A31">
          <w:rPr>
            <w:color w:val="000000" w:themeColor="text1"/>
            <w:sz w:val="16"/>
            <w:szCs w:val="16"/>
          </w:rPr>
          <w:t>т. Алякрицкого</w:t>
        </w:r>
      </w:hyperlink>
      <w:r w:rsidRPr="00507A31">
        <w:rPr>
          <w:color w:val="000000" w:themeColor="text1"/>
          <w:sz w:val="16"/>
          <w:szCs w:val="16"/>
        </w:rPr>
        <w:t>, ознакомиться с имеющимися у него материалами и составить свое заключение. Срок — 3 дня.</w:t>
      </w:r>
    </w:p>
    <w:p w14:paraId="524D7ED6"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4) Принять к сведению заявление директора Балтвода, что стоимость переделки каждой лодки обойдется ориентировочно не свыше 40 тыс. руб. Продолжительность работы — 1 месяц и 12 дней.</w:t>
      </w:r>
    </w:p>
    <w:p w14:paraId="0207C0B9"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5) Подлодки № 178 и 179 переделываются после получения результатов испытаний по первой подлодке, т. е. в течение зимнего периода 1930/31 г. В течение же сентября и октября месяца означенные лодки проходят программу испытания в нынешнем их виде по особой программе.</w:t>
      </w:r>
    </w:p>
    <w:p w14:paraId="7E7918AC"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6) Считать окончательным срок ввода в строй подлодки № 177 1 декабря 1930 г. Двух же последующих лодок — в течение мая будущего года.</w:t>
      </w:r>
    </w:p>
    <w:p w14:paraId="06B489C8"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4. О подлодке «Л</w:t>
      </w:r>
      <w:r w:rsidRPr="00507A31">
        <w:rPr>
          <w:color w:val="000000" w:themeColor="text1"/>
          <w:sz w:val="16"/>
          <w:szCs w:val="16"/>
        </w:rPr>
        <w:noBreakHyphen/>
        <w:t>55».</w:t>
      </w:r>
    </w:p>
    <w:p w14:paraId="57167B79"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Заводские испытания подлодка проходит в течение октября месяца, к сдаче предъявляется 1 октября, в строй входит 1 ноября. Относительно подлодок II серии и малых подтвердить решение «Союзверфи» от 25 июля с. г., что Балтвод ведет все работы как производственные, так и поверочные, с таким расчетом, чтобы две подлодки, по одной из каждой очереди, были осенью сего года спущены на воду.</w:t>
      </w:r>
    </w:p>
    <w:p w14:paraId="148BA52E"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5. О положении дела со стальным литьем для военного судостроения.</w:t>
      </w:r>
    </w:p>
    <w:p w14:paraId="4C4C8F7B"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Констатировать весьма тяжелое положение «Союзверфи» по выполнению заказов по судостроению из-за загрузки электропечи, построенной в целях обеспечения военного судостроения, заказами посторонними, как-то: завода «Большевик», «Электросила» и других, вследствие чего «Союзверфь» вынуждена свои заказы на стальное литье передавать другим заводам, что связано с почти непреодолимыми затруднениями.</w:t>
      </w:r>
    </w:p>
    <w:p w14:paraId="30293D3F"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Начальнику Морских сил совместно с председателем правления «Союзверфи» выступить с категорическим требованием перед Президиумом ВСНХ и МПУ о предоставлении полностью сталелитейной печи Балтийского завода на обслуживание специального судостроения. Проект представления составить начальнику Техупра, согласовав его с т. Коршуновым.</w:t>
      </w:r>
    </w:p>
    <w:p w14:paraId="391F7261" w14:textId="77777777" w:rsidR="00E224B9" w:rsidRPr="00507A31" w:rsidRDefault="00E224B9" w:rsidP="00507A31">
      <w:pPr>
        <w:pStyle w:val="rtejustify"/>
        <w:spacing w:before="0" w:after="0"/>
        <w:rPr>
          <w:color w:val="000000" w:themeColor="text1"/>
          <w:sz w:val="16"/>
          <w:szCs w:val="16"/>
        </w:rPr>
      </w:pPr>
      <w:r w:rsidRPr="00507A31">
        <w:rPr>
          <w:rStyle w:val="af0"/>
          <w:i w:val="0"/>
          <w:color w:val="000000" w:themeColor="text1"/>
          <w:sz w:val="16"/>
          <w:szCs w:val="16"/>
        </w:rPr>
        <w:t>Слушали</w:t>
      </w:r>
      <w:r w:rsidRPr="00507A31">
        <w:rPr>
          <w:color w:val="000000" w:themeColor="text1"/>
          <w:sz w:val="16"/>
          <w:szCs w:val="16"/>
        </w:rPr>
        <w:t>: II. Судостроение на Юге.</w:t>
      </w:r>
    </w:p>
    <w:p w14:paraId="0673BA93" w14:textId="77777777" w:rsidR="00E224B9" w:rsidRPr="00507A31" w:rsidRDefault="00E224B9" w:rsidP="00507A31">
      <w:pPr>
        <w:pStyle w:val="rtejustify"/>
        <w:spacing w:before="0" w:after="0"/>
        <w:rPr>
          <w:color w:val="000000" w:themeColor="text1"/>
          <w:sz w:val="16"/>
          <w:szCs w:val="16"/>
        </w:rPr>
      </w:pPr>
      <w:r w:rsidRPr="00507A31">
        <w:rPr>
          <w:rStyle w:val="af0"/>
          <w:i w:val="0"/>
          <w:color w:val="000000" w:themeColor="text1"/>
          <w:sz w:val="16"/>
          <w:szCs w:val="16"/>
        </w:rPr>
        <w:t>Постановили</w:t>
      </w:r>
      <w:r w:rsidRPr="00507A31">
        <w:rPr>
          <w:color w:val="000000" w:themeColor="text1"/>
          <w:sz w:val="16"/>
          <w:szCs w:val="16"/>
        </w:rPr>
        <w:t>: 1. О подлодках.</w:t>
      </w:r>
    </w:p>
    <w:p w14:paraId="20C949E2"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1) По первой подлодке заводские испытания следует закончить к 10 сентября, после чего в зависимости от результатов испытаний решить вопрос о целесообразности таких же исправлений, какие намечены и на Севере.</w:t>
      </w:r>
    </w:p>
    <w:p w14:paraId="65242A95"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2) В случае если испытания покажут удовлетворительные результаты, чего на основании имеемых данных можно ожидать, с 10 сентября начать официальные сдаточные испытания, каковые закончить не позже чем в месячный срок. Ввод подлодки в строй в этом случае наметить на 1 ноября. Если исправления все же потребуется сделать, то они должны быть выполнены в срок не более 1,5 месяца, после чего подлодка в конце октября предъявляется к сдаче.</w:t>
      </w:r>
    </w:p>
    <w:p w14:paraId="37827AE9"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3) На второй подлодке заводские испытания будут начаты 1 октября. Окончание заводских и сдаточных испытаний и вступление в строй наметить на 1 декабря.</w:t>
      </w:r>
    </w:p>
    <w:p w14:paraId="23B1FBE3"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4) Третья подлодка проходит испытания и сдачу в такой же постепенности, с промежутком в 1 месяц, т. е. сдача происходит к 1 января 1931 г.</w:t>
      </w:r>
    </w:p>
    <w:p w14:paraId="7E18F2A0"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5) Начальнику Техупра выяснить возможность оказания содействия заводу путем предоставления заимообразно некоторого количества олова для наших специальных заказов, чтобы облегчить возможность заводу выполнить взятые на себя обязательства по 2 и 3 подлодке и «Красному Кавказу».</w:t>
      </w:r>
    </w:p>
    <w:p w14:paraId="1E20E90D"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6) По подлодкам II серии принять к сведению заявление т. Кухты, что работа по подлодкам идет нормально, неясности, задержек и «узких» мест не замечается, что обязательства будут выполнены в срок. Первая лодка будет спущена на воду в апреле 1931 г., вторая в мае и третья в июне.</w:t>
      </w:r>
    </w:p>
    <w:p w14:paraId="6F995430"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7) Обратить внимание правления «Союзверфи» на продолжающиеся неувязки со своевременным представлением чертежей и технических указаний, что свидетельствует о невыполнении «Союзверфью» постановления РЗ СТО от 19 марта с. г.²*</w:t>
      </w:r>
    </w:p>
    <w:p w14:paraId="683FA5AE"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2. О крейсере «Красный Кавказ»³*.</w:t>
      </w:r>
    </w:p>
    <w:p w14:paraId="6CC3E1F2"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1) Установленный ранее срок входа в строй крейсера «Красный Кавказ», 1 октября 1931 г., считать твердым и не подлежащим ни в коем случае изменениям в сторону удлинения.</w:t>
      </w:r>
    </w:p>
    <w:p w14:paraId="31BFE3AC"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2) Техупру, в частности т. Леонову, держать под неослабным вниманием вопрос снабжения корабля своевременно артиллерийским вооружением, точно соблюдая намеченный срок, стремясь к тому, чтобы намеченный план был выполнен по возможности с опережением в главных частях, по крайней мере, на месяц.</w:t>
      </w:r>
    </w:p>
    <w:p w14:paraId="298E008C"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3) Заявленный т. Кухтой срок начала заводских испытаний, 1 августа 1931 г., абсолютно неприемлем, так как он доказывает нежелание завода считаться с оперативными требованиями Морских сил Черного моря. Заводские испытания должны быть начаты с таким расчетом, чтобы выдержать срок, намеченный для ввода корабля в строй, т. е. не позже 1 июня (испытание механизмов, ходовые испытания и др.).</w:t>
      </w:r>
    </w:p>
    <w:p w14:paraId="47B7C424"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4) Отметить заявление т. Кухты, что завод нажимает и ведет все расчеты к тому, чтобы выдержать срок начала заводских испытаний с 1 мая.</w:t>
      </w:r>
    </w:p>
    <w:p w14:paraId="6FEC6547"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5) Обратить внимание председателя НТК на медлительность работ артиллерийской секции НТК по вопросам, связанным с «Красным Кавказом», и потребовать от него прекращения систематических добавлений и изменений в артиллерийские схемы.</w:t>
      </w:r>
    </w:p>
    <w:p w14:paraId="5AF64A94"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3. По сторожевикам.</w:t>
      </w:r>
    </w:p>
    <w:p w14:paraId="3597FE49"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Установленный правительством срок готовности сторожевиков, первого в октябре и второго в декабре текущего года, завод выполнить не может и берет обязательство предъявить к сдаче первого корабля 1 февраля 1931 г. и второго — 1 марта 1931 г.</w:t>
      </w:r>
    </w:p>
    <w:p w14:paraId="23030D4A" w14:textId="77777777" w:rsidR="00E224B9" w:rsidRPr="00507A31" w:rsidRDefault="00E224B9" w:rsidP="00507A31">
      <w:pPr>
        <w:pStyle w:val="ae"/>
        <w:spacing w:before="0" w:after="0"/>
        <w:jc w:val="both"/>
        <w:rPr>
          <w:color w:val="000000" w:themeColor="text1"/>
          <w:sz w:val="16"/>
          <w:szCs w:val="16"/>
        </w:rPr>
      </w:pPr>
      <w:r w:rsidRPr="00507A31">
        <w:rPr>
          <w:rStyle w:val="af0"/>
          <w:i w:val="0"/>
          <w:color w:val="000000" w:themeColor="text1"/>
          <w:sz w:val="16"/>
          <w:szCs w:val="16"/>
        </w:rPr>
        <w:lastRenderedPageBreak/>
        <w:t xml:space="preserve">Председатель </w:t>
      </w:r>
      <w:hyperlink r:id="rId137" w:history="1">
        <w:r w:rsidRPr="00507A31">
          <w:rPr>
            <w:rStyle w:val="af0"/>
            <w:i w:val="0"/>
            <w:color w:val="000000" w:themeColor="text1"/>
            <w:sz w:val="16"/>
            <w:szCs w:val="16"/>
          </w:rPr>
          <w:t>Р. Муклевич</w:t>
        </w:r>
      </w:hyperlink>
    </w:p>
    <w:p w14:paraId="47219065" w14:textId="77777777" w:rsidR="00E224B9" w:rsidRPr="00507A31" w:rsidRDefault="00E224B9"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Секретарь </w:t>
      </w:r>
      <w:hyperlink r:id="rId138" w:history="1">
        <w:r w:rsidRPr="00507A31">
          <w:rPr>
            <w:rStyle w:val="af0"/>
            <w:i w:val="0"/>
            <w:color w:val="000000" w:themeColor="text1"/>
            <w:sz w:val="16"/>
            <w:szCs w:val="16"/>
          </w:rPr>
          <w:t>А. Посаженников</w:t>
        </w:r>
      </w:hyperlink>
    </w:p>
    <w:p w14:paraId="6DAD5B97" w14:textId="77777777" w:rsidR="00E224B9" w:rsidRPr="00507A31" w:rsidRDefault="00E224B9"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2E9F9516"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Опущен список присутствующих.</w:t>
      </w:r>
    </w:p>
    <w:p w14:paraId="3B272FC1"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 xml:space="preserve">2* См. документ от </w:t>
      </w:r>
      <w:r w:rsidRPr="00507A31">
        <w:rPr>
          <w:rStyle w:val="af0"/>
          <w:i w:val="0"/>
          <w:color w:val="000000" w:themeColor="text1"/>
          <w:sz w:val="16"/>
          <w:szCs w:val="16"/>
        </w:rPr>
        <w:t xml:space="preserve">19 марта 1930 г. — </w:t>
      </w:r>
      <w:r w:rsidRPr="00507A31">
        <w:rPr>
          <w:color w:val="000000" w:themeColor="text1"/>
          <w:sz w:val="16"/>
          <w:szCs w:val="16"/>
        </w:rPr>
        <w:t>Постановление РЗ СТО СССР «О базах судостроения и судоремонта для Военно-морских сил Черного моря»</w:t>
      </w:r>
    </w:p>
    <w:p w14:paraId="695FD2E2" w14:textId="77777777" w:rsidR="00E224B9" w:rsidRPr="00507A31" w:rsidRDefault="00E224B9" w:rsidP="00507A31">
      <w:pPr>
        <w:pStyle w:val="rtejustify"/>
        <w:spacing w:before="0" w:after="0"/>
        <w:rPr>
          <w:color w:val="000000" w:themeColor="text1"/>
          <w:sz w:val="16"/>
          <w:szCs w:val="16"/>
        </w:rPr>
      </w:pPr>
      <w:r w:rsidRPr="00507A31">
        <w:rPr>
          <w:color w:val="000000" w:themeColor="text1"/>
          <w:sz w:val="16"/>
          <w:szCs w:val="16"/>
        </w:rPr>
        <w:t xml:space="preserve">3* Достройка и модернизация крейсера «Адмирал Лазарев» (с 14 декабря 1926 г. — </w:t>
      </w:r>
      <w:r w:rsidRPr="00507A31">
        <w:rPr>
          <w:rStyle w:val="af0"/>
          <w:i w:val="0"/>
          <w:color w:val="000000" w:themeColor="text1"/>
          <w:sz w:val="16"/>
          <w:szCs w:val="16"/>
        </w:rPr>
        <w:t>«Красный Кавказ»)</w:t>
      </w:r>
      <w:r w:rsidRPr="00507A31">
        <w:rPr>
          <w:color w:val="000000" w:themeColor="text1"/>
          <w:sz w:val="16"/>
          <w:szCs w:val="16"/>
        </w:rPr>
        <w:t xml:space="preserve"> была запланирована еще в 1924 г., но начата только в марте 1926 г. Общий проект разрабатывался Николаевским заводом им. А. Марти с использованием проработок по крейсеру «Ворошилов». Работы начались осенью 1927 г. и продолжались 4 года. В сентябре 1931 г. «Красный Кавказ» был предъявлен государственной комиссии, прошел пятимесячные испытания и 25 января 1932 г. вступил в строй морских сил Черного моря.</w:t>
      </w:r>
    </w:p>
    <w:p w14:paraId="1C2A04CA" w14:textId="77777777" w:rsidR="00E224B9" w:rsidRPr="00507A31" w:rsidRDefault="00E224B9" w:rsidP="00507A31">
      <w:pPr>
        <w:pStyle w:val="ae"/>
        <w:spacing w:before="0" w:after="0"/>
        <w:jc w:val="both"/>
        <w:rPr>
          <w:color w:val="000000" w:themeColor="text1"/>
          <w:sz w:val="16"/>
          <w:szCs w:val="16"/>
        </w:rPr>
      </w:pPr>
      <w:r w:rsidRPr="00507A31">
        <w:rPr>
          <w:color w:val="000000" w:themeColor="text1"/>
          <w:sz w:val="16"/>
          <w:szCs w:val="16"/>
        </w:rPr>
        <w:t>РГАВМФ. Ф. р-890. Оп. 1. Д. 2. Л. 13—15. Заверенная копия.</w:t>
      </w:r>
    </w:p>
    <w:p w14:paraId="13068750" w14:textId="77777777" w:rsidR="00E224B9" w:rsidRPr="00507A31" w:rsidRDefault="00E224B9" w:rsidP="00507A31">
      <w:pPr>
        <w:jc w:val="both"/>
        <w:rPr>
          <w:color w:val="000000" w:themeColor="text1"/>
          <w:sz w:val="16"/>
          <w:szCs w:val="16"/>
        </w:rPr>
      </w:pPr>
      <w:r w:rsidRPr="00507A31">
        <w:rPr>
          <w:color w:val="000000" w:themeColor="text1"/>
          <w:sz w:val="16"/>
          <w:szCs w:val="16"/>
        </w:rPr>
        <w:t xml:space="preserve">Архив: РГАВМФ. Ф. р-890. Оп. 1. Д. 2. Л. 13—15. Заверенная копия. </w:t>
      </w:r>
    </w:p>
    <w:p w14:paraId="7C81B7F0" w14:textId="77777777" w:rsidR="00E224B9" w:rsidRPr="00507A31" w:rsidRDefault="00E224B9"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489-491 (12513).</w:t>
      </w:r>
    </w:p>
    <w:p w14:paraId="177A7504" w14:textId="77777777" w:rsidR="00E224B9" w:rsidRPr="00507A31" w:rsidRDefault="00E224B9" w:rsidP="00507A31">
      <w:pPr>
        <w:jc w:val="both"/>
        <w:rPr>
          <w:color w:val="000000" w:themeColor="text1"/>
          <w:sz w:val="16"/>
          <w:szCs w:val="16"/>
        </w:rPr>
      </w:pPr>
    </w:p>
    <w:p w14:paraId="4FE7D39F" w14:textId="77777777" w:rsidR="00F10C6B" w:rsidRPr="00507A31" w:rsidRDefault="00F10C6B" w:rsidP="00507A31">
      <w:pPr>
        <w:shd w:val="clear" w:color="auto" w:fill="FFFFFF"/>
        <w:jc w:val="both"/>
        <w:rPr>
          <w:color w:val="000000" w:themeColor="text1"/>
          <w:sz w:val="16"/>
          <w:szCs w:val="16"/>
        </w:rPr>
      </w:pPr>
      <w:r w:rsidRPr="00507A31">
        <w:rPr>
          <w:bCs/>
          <w:iCs/>
          <w:color w:val="000000" w:themeColor="text1"/>
          <w:sz w:val="16"/>
          <w:szCs w:val="16"/>
        </w:rPr>
        <w:t>12 августа 1930 г.</w:t>
      </w:r>
      <w:r w:rsidRPr="00507A31">
        <w:rPr>
          <w:color w:val="000000" w:themeColor="text1"/>
          <w:sz w:val="16"/>
          <w:szCs w:val="16"/>
        </w:rPr>
        <w:t xml:space="preserve"> Опытные показательные стрельбы артхимснарядами во время Гороховецкого лагерного сбора. Цель стрельб — «</w:t>
      </w:r>
      <w:r w:rsidRPr="00507A31">
        <w:rPr>
          <w:iCs/>
          <w:color w:val="000000" w:themeColor="text1"/>
          <w:sz w:val="16"/>
          <w:szCs w:val="16"/>
        </w:rPr>
        <w:t>проверить токсичность облака, созданного в короткий срок 10-13 минут с последующим его поддержанием методичным огнем</w:t>
      </w:r>
      <w:r w:rsidRPr="00507A31">
        <w:rPr>
          <w:color w:val="000000" w:themeColor="text1"/>
          <w:sz w:val="16"/>
          <w:szCs w:val="16"/>
        </w:rPr>
        <w:t>». При одновременной стрельбе 14-ю батареями «</w:t>
      </w:r>
      <w:r w:rsidRPr="00507A31">
        <w:rPr>
          <w:iCs/>
          <w:color w:val="000000" w:themeColor="text1"/>
          <w:sz w:val="16"/>
          <w:szCs w:val="16"/>
        </w:rPr>
        <w:t>в конце первой минуты сформировалось плотное густое облако шириной до 150 м, в глубину 100-120 м при высоте 8-9 м</w:t>
      </w:r>
      <w:r w:rsidRPr="00507A31">
        <w:rPr>
          <w:color w:val="000000" w:themeColor="text1"/>
          <w:sz w:val="16"/>
          <w:szCs w:val="16"/>
        </w:rPr>
        <w:t>», которое «</w:t>
      </w:r>
      <w:r w:rsidRPr="00507A31">
        <w:rPr>
          <w:iCs/>
          <w:color w:val="000000" w:themeColor="text1"/>
          <w:sz w:val="16"/>
          <w:szCs w:val="16"/>
        </w:rPr>
        <w:t>компактной массой двигалось по ветру… и через 10 минут головой своей достигло рубежа у дома лесника Осипова, где находилась команда полигона</w:t>
      </w:r>
      <w:r w:rsidRPr="00507A31">
        <w:rPr>
          <w:color w:val="000000" w:themeColor="text1"/>
          <w:sz w:val="16"/>
          <w:szCs w:val="16"/>
        </w:rPr>
        <w:t>» и где облако ОВ не ожидалось — в 3,5 км от цели, в районе которой размещались подопытные животные (поражения среди животных — 100%, смертность — 60%). Обстрел велся орудиями 76 мм, 122 мм и 152 мм калибра, ОВ — фосген и дифосген (17133).</w:t>
      </w:r>
    </w:p>
    <w:p w14:paraId="0BAE6B4F" w14:textId="77777777" w:rsidR="00F10C6B" w:rsidRPr="00507A31" w:rsidRDefault="00F10C6B" w:rsidP="00507A31">
      <w:pPr>
        <w:shd w:val="clear" w:color="auto" w:fill="FFFFFF"/>
        <w:jc w:val="both"/>
        <w:rPr>
          <w:color w:val="000000" w:themeColor="text1"/>
          <w:sz w:val="16"/>
          <w:szCs w:val="16"/>
        </w:rPr>
      </w:pPr>
    </w:p>
    <w:p w14:paraId="3D57626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C6800A8" w14:textId="77777777" w:rsidR="00537E5F" w:rsidRPr="00507A31" w:rsidRDefault="00537E5F" w:rsidP="00507A31">
      <w:pPr>
        <w:autoSpaceDE w:val="0"/>
        <w:autoSpaceDN w:val="0"/>
        <w:adjustRightInd w:val="0"/>
        <w:jc w:val="both"/>
        <w:rPr>
          <w:iCs/>
          <w:color w:val="000000" w:themeColor="text1"/>
          <w:sz w:val="16"/>
          <w:szCs w:val="16"/>
        </w:rPr>
      </w:pPr>
    </w:p>
    <w:p w14:paraId="1CEE20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августа 1930 в Москве открылся ЦПКиО им. Горького (3481).</w:t>
      </w:r>
    </w:p>
    <w:p w14:paraId="76503F3A" w14:textId="77777777" w:rsidR="00537E5F" w:rsidRPr="00507A31" w:rsidRDefault="00537E5F" w:rsidP="00507A31">
      <w:pPr>
        <w:autoSpaceDE w:val="0"/>
        <w:autoSpaceDN w:val="0"/>
        <w:adjustRightInd w:val="0"/>
        <w:jc w:val="both"/>
        <w:rPr>
          <w:color w:val="000000" w:themeColor="text1"/>
          <w:sz w:val="16"/>
          <w:szCs w:val="16"/>
        </w:rPr>
      </w:pPr>
    </w:p>
    <w:p w14:paraId="7F96903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E27DA29" w14:textId="77777777" w:rsidR="00537E5F" w:rsidRPr="00507A31" w:rsidRDefault="00537E5F" w:rsidP="00507A31">
      <w:pPr>
        <w:autoSpaceDE w:val="0"/>
        <w:autoSpaceDN w:val="0"/>
        <w:adjustRightInd w:val="0"/>
        <w:jc w:val="both"/>
        <w:rPr>
          <w:iCs/>
          <w:color w:val="000000" w:themeColor="text1"/>
          <w:sz w:val="16"/>
          <w:szCs w:val="16"/>
        </w:rPr>
      </w:pPr>
    </w:p>
    <w:p w14:paraId="69E92FA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13 августа 1930 года закончились гос. испытания самолета И5-ЮVI, которые проходили с 13 июля 1930 (6943, 26).</w:t>
      </w:r>
    </w:p>
    <w:p w14:paraId="31D72FC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прошел только летно-тактические испытания, вооружение и оборудование не испытано, так заводом была представлена машина без вооружения и оборудования (6943, 26).</w:t>
      </w:r>
    </w:p>
    <w:p w14:paraId="2750D20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295AC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августа 1930 ряд ведущих авиаспециалистов и руководителей обратились в правительство с письмом о необходимости организации НИР в области моторостроения. Из 40 проектов, разработанных к 1930 лишь 30 приняли к производству, 15 построили и ни один не довели до практики (80,45).</w:t>
      </w:r>
    </w:p>
    <w:p w14:paraId="2304F505" w14:textId="77777777" w:rsidR="00537E5F" w:rsidRPr="00507A31" w:rsidRDefault="00537E5F" w:rsidP="00507A31">
      <w:pPr>
        <w:autoSpaceDE w:val="0"/>
        <w:autoSpaceDN w:val="0"/>
        <w:adjustRightInd w:val="0"/>
        <w:jc w:val="both"/>
        <w:rPr>
          <w:iCs/>
          <w:color w:val="000000" w:themeColor="text1"/>
          <w:sz w:val="16"/>
          <w:szCs w:val="16"/>
        </w:rPr>
      </w:pPr>
    </w:p>
    <w:p w14:paraId="10387A5D" w14:textId="77777777" w:rsidR="001C0A69" w:rsidRPr="00507A31" w:rsidRDefault="001C0A69" w:rsidP="00507A31">
      <w:pPr>
        <w:autoSpaceDE w:val="0"/>
        <w:autoSpaceDN w:val="0"/>
        <w:adjustRightInd w:val="0"/>
        <w:jc w:val="both"/>
        <w:rPr>
          <w:color w:val="000000" w:themeColor="text1"/>
          <w:sz w:val="16"/>
          <w:szCs w:val="16"/>
        </w:rPr>
      </w:pPr>
      <w:r w:rsidRPr="00507A31">
        <w:rPr>
          <w:color w:val="000000" w:themeColor="text1"/>
          <w:sz w:val="16"/>
          <w:szCs w:val="16"/>
        </w:rPr>
        <w:t>13 августа 1930 года ведущие специалисты авиапромышленности писали в обращении к Сталину:</w:t>
      </w:r>
    </w:p>
    <w:p w14:paraId="61BB0871" w14:textId="77777777" w:rsidR="001C0A69" w:rsidRPr="00507A31" w:rsidRDefault="001C0A69" w:rsidP="00507A31">
      <w:pPr>
        <w:autoSpaceDE w:val="0"/>
        <w:autoSpaceDN w:val="0"/>
        <w:adjustRightInd w:val="0"/>
        <w:jc w:val="both"/>
        <w:rPr>
          <w:color w:val="000000" w:themeColor="text1"/>
          <w:sz w:val="16"/>
          <w:szCs w:val="16"/>
        </w:rPr>
      </w:pPr>
      <w:r w:rsidRPr="00507A31">
        <w:rPr>
          <w:color w:val="000000" w:themeColor="text1"/>
          <w:sz w:val="16"/>
          <w:szCs w:val="16"/>
        </w:rPr>
        <w:t>«Известно, что за все 13 лет мы не создали ни одного законченного своего авиадвигателя, который стоял бы на наших самолетах. За все время в Союзе разными организациями было запроектировано более 40 авиадвигателей, 30 из них было сдано в производство, около 15 построено, но ни один из них не стоит и, вероятно, не будет стоять на самолетах... Наше опытное строительство исключительно бесплодно...» (11456).</w:t>
      </w:r>
    </w:p>
    <w:p w14:paraId="5F3FBBE7" w14:textId="77777777" w:rsidR="001C0A69" w:rsidRPr="00507A31" w:rsidRDefault="001C0A69" w:rsidP="00507A31">
      <w:pPr>
        <w:autoSpaceDE w:val="0"/>
        <w:autoSpaceDN w:val="0"/>
        <w:adjustRightInd w:val="0"/>
        <w:jc w:val="both"/>
        <w:rPr>
          <w:color w:val="000000" w:themeColor="text1"/>
          <w:sz w:val="16"/>
          <w:szCs w:val="16"/>
        </w:rPr>
      </w:pPr>
    </w:p>
    <w:p w14:paraId="59537C2F" w14:textId="77777777" w:rsidR="00DD1E25" w:rsidRPr="00507A31" w:rsidRDefault="00DD1E25" w:rsidP="00507A31">
      <w:pPr>
        <w:jc w:val="both"/>
        <w:rPr>
          <w:color w:val="0070C0"/>
          <w:sz w:val="16"/>
          <w:szCs w:val="16"/>
        </w:rPr>
      </w:pPr>
      <w:r w:rsidRPr="00507A31">
        <w:rPr>
          <w:color w:val="0070C0"/>
          <w:sz w:val="16"/>
          <w:szCs w:val="16"/>
        </w:rPr>
        <w:t>13 августа 1930 группа авиационных специалис</w:t>
      </w:r>
      <w:r w:rsidRPr="00507A31">
        <w:rPr>
          <w:color w:val="0070C0"/>
          <w:sz w:val="16"/>
          <w:szCs w:val="16"/>
        </w:rPr>
        <w:softHyphen/>
        <w:t>тов (19 человек), которую возглавил А.Д. Чаромский, обратилась с письмом к начальнику ВВС РККА П.Й. Баранову, а также в Бауманский РК ВКП (б) г. Москвы (для передачи копии К.Е. Ворошилову), в котором освещалось состояние авиамоторострое</w:t>
      </w:r>
      <w:r w:rsidRPr="00507A31">
        <w:rPr>
          <w:color w:val="0070C0"/>
          <w:sz w:val="16"/>
          <w:szCs w:val="16"/>
        </w:rPr>
        <w:softHyphen/>
        <w:t>ния и обосновывалась необходимость создания Ин</w:t>
      </w:r>
      <w:r w:rsidRPr="00507A31">
        <w:rPr>
          <w:color w:val="0070C0"/>
          <w:sz w:val="16"/>
          <w:szCs w:val="16"/>
        </w:rPr>
        <w:softHyphen/>
        <w:t>ститута авиационного моторостроения:</w:t>
      </w:r>
    </w:p>
    <w:p w14:paraId="72CFF987" w14:textId="77777777" w:rsidR="00DD1E25" w:rsidRPr="00507A31" w:rsidRDefault="00DD1E25" w:rsidP="00507A31">
      <w:pPr>
        <w:jc w:val="both"/>
        <w:rPr>
          <w:color w:val="0070C0"/>
          <w:sz w:val="16"/>
          <w:szCs w:val="16"/>
        </w:rPr>
      </w:pPr>
      <w:r w:rsidRPr="00507A31">
        <w:rPr>
          <w:color w:val="0070C0"/>
          <w:sz w:val="16"/>
          <w:szCs w:val="16"/>
        </w:rPr>
        <w:t>«Дорогие товарищи, решением Президиума ВСНХ научно-автомоторный институт (НАМИ) пере</w:t>
      </w:r>
      <w:r w:rsidRPr="00507A31">
        <w:rPr>
          <w:color w:val="0070C0"/>
          <w:sz w:val="16"/>
          <w:szCs w:val="16"/>
        </w:rPr>
        <w:softHyphen/>
        <w:t>дается в ВАТО, при этом Опытный завод НАМИ так</w:t>
      </w:r>
      <w:r w:rsidRPr="00507A31">
        <w:rPr>
          <w:color w:val="0070C0"/>
          <w:sz w:val="16"/>
          <w:szCs w:val="16"/>
        </w:rPr>
        <w:softHyphen/>
        <w:t>же передается в ВАТО для автотракторного строи</w:t>
      </w:r>
      <w:r w:rsidRPr="00507A31">
        <w:rPr>
          <w:color w:val="0070C0"/>
          <w:sz w:val="16"/>
          <w:szCs w:val="16"/>
        </w:rPr>
        <w:softHyphen/>
        <w:t>тельства. Здесь, по нашему мнению, сделана боль</w:t>
      </w:r>
      <w:r w:rsidRPr="00507A31">
        <w:rPr>
          <w:color w:val="0070C0"/>
          <w:sz w:val="16"/>
          <w:szCs w:val="16"/>
        </w:rPr>
        <w:softHyphen/>
        <w:t>шая ошибка, и это вынуждает нас обратиться в ЦК ВКП(б) с просьбой о пересмотре решения.</w:t>
      </w:r>
    </w:p>
    <w:p w14:paraId="2FA4A3CF" w14:textId="77777777" w:rsidR="00DD1E25" w:rsidRPr="00507A31" w:rsidRDefault="00DD1E25" w:rsidP="00507A31">
      <w:pPr>
        <w:jc w:val="both"/>
        <w:rPr>
          <w:color w:val="0070C0"/>
          <w:sz w:val="16"/>
          <w:szCs w:val="16"/>
        </w:rPr>
      </w:pPr>
      <w:r w:rsidRPr="00507A31">
        <w:rPr>
          <w:color w:val="0070C0"/>
          <w:sz w:val="16"/>
          <w:szCs w:val="16"/>
        </w:rPr>
        <w:t>... Известно, что за все 13 лет мы не создали ни одного законченного своего авиационного двигате</w:t>
      </w:r>
      <w:r w:rsidRPr="00507A31">
        <w:rPr>
          <w:color w:val="0070C0"/>
          <w:sz w:val="16"/>
          <w:szCs w:val="16"/>
        </w:rPr>
        <w:softHyphen/>
        <w:t>ля, который стоял бы на наших самолетах. Известно также, что за все время в Союзе разными организа</w:t>
      </w:r>
      <w:r w:rsidRPr="00507A31">
        <w:rPr>
          <w:color w:val="0070C0"/>
          <w:sz w:val="16"/>
          <w:szCs w:val="16"/>
        </w:rPr>
        <w:softHyphen/>
        <w:t>циями было запроектировано больше 40 авиацион</w:t>
      </w:r>
      <w:r w:rsidRPr="00507A31">
        <w:rPr>
          <w:color w:val="0070C0"/>
          <w:sz w:val="16"/>
          <w:szCs w:val="16"/>
        </w:rPr>
        <w:softHyphen/>
        <w:t>ных двигателей, 30 из них было сдано в произво</w:t>
      </w:r>
      <w:r w:rsidRPr="00507A31">
        <w:rPr>
          <w:color w:val="0070C0"/>
          <w:sz w:val="16"/>
          <w:szCs w:val="16"/>
        </w:rPr>
        <w:softHyphen/>
        <w:t>дство, около 15 построено, но ни один из них не стоит и, вероятно, не будет стоять на самолетах. Вместе с тем, наша промышленность строит иностранные об</w:t>
      </w:r>
      <w:r w:rsidRPr="00507A31">
        <w:rPr>
          <w:color w:val="0070C0"/>
          <w:sz w:val="16"/>
          <w:szCs w:val="16"/>
        </w:rPr>
        <w:softHyphen/>
        <w:t>разцы, двигатели, а наша авиация летает на уста</w:t>
      </w:r>
      <w:r w:rsidRPr="00507A31">
        <w:rPr>
          <w:color w:val="0070C0"/>
          <w:sz w:val="16"/>
          <w:szCs w:val="16"/>
        </w:rPr>
        <w:softHyphen/>
        <w:t>ревших машинах. Наше опытное производство было исключительно бесплодно. Одной из основных при</w:t>
      </w:r>
      <w:r w:rsidRPr="00507A31">
        <w:rPr>
          <w:color w:val="0070C0"/>
          <w:sz w:val="16"/>
          <w:szCs w:val="16"/>
        </w:rPr>
        <w:softHyphen/>
        <w:t>чин надо считать отсутствие концентрированной базы опытного строительства...</w:t>
      </w:r>
    </w:p>
    <w:p w14:paraId="5A2D081A" w14:textId="77777777" w:rsidR="00DD1E25" w:rsidRPr="00507A31" w:rsidRDefault="00DD1E25" w:rsidP="00507A31">
      <w:pPr>
        <w:jc w:val="both"/>
        <w:rPr>
          <w:color w:val="0070C0"/>
          <w:sz w:val="16"/>
          <w:szCs w:val="16"/>
        </w:rPr>
      </w:pPr>
      <w:r w:rsidRPr="00507A31">
        <w:rPr>
          <w:color w:val="0070C0"/>
          <w:sz w:val="16"/>
          <w:szCs w:val="16"/>
        </w:rPr>
        <w:t>С огромными усилиями был построен при НАМИ опытный завод, пропускная способность которого ориентировочно равна 9 опытным машинам в год. Это является огромным достижением. Постройки опытного завода добивались и Реввоенсовет, и УВВС, и партийные организации... Теперь же, когда завод построен и в основном готов к выполнению ди</w:t>
      </w:r>
      <w:r w:rsidRPr="00507A31">
        <w:rPr>
          <w:color w:val="0070C0"/>
          <w:sz w:val="16"/>
          <w:szCs w:val="16"/>
        </w:rPr>
        <w:softHyphen/>
        <w:t>ректив Правительства, мы стоим накануне ликвида</w:t>
      </w:r>
      <w:r w:rsidRPr="00507A31">
        <w:rPr>
          <w:color w:val="0070C0"/>
          <w:sz w:val="16"/>
          <w:szCs w:val="16"/>
        </w:rPr>
        <w:softHyphen/>
        <w:t>ции прорывов, завод передается в ВАТО. Поэтому мы просим пересмотреть принятое решение.</w:t>
      </w:r>
    </w:p>
    <w:p w14:paraId="0C9CA75D" w14:textId="77777777" w:rsidR="00DD1E25" w:rsidRPr="00507A31" w:rsidRDefault="00DD1E25" w:rsidP="00507A31">
      <w:pPr>
        <w:jc w:val="both"/>
        <w:rPr>
          <w:color w:val="0070C0"/>
          <w:sz w:val="16"/>
          <w:szCs w:val="16"/>
        </w:rPr>
      </w:pPr>
      <w:r w:rsidRPr="00507A31">
        <w:rPr>
          <w:color w:val="0070C0"/>
          <w:sz w:val="16"/>
          <w:szCs w:val="16"/>
        </w:rPr>
        <w:t>Мы предлагаем следующее:</w:t>
      </w:r>
    </w:p>
    <w:p w14:paraId="70CD4D0F" w14:textId="77777777" w:rsidR="00DD1E25" w:rsidRPr="00507A31" w:rsidRDefault="00DD1E25" w:rsidP="00507A31">
      <w:pPr>
        <w:jc w:val="both"/>
        <w:rPr>
          <w:color w:val="0070C0"/>
          <w:sz w:val="16"/>
          <w:szCs w:val="16"/>
        </w:rPr>
      </w:pPr>
      <w:r w:rsidRPr="00507A31">
        <w:rPr>
          <w:color w:val="0070C0"/>
          <w:sz w:val="16"/>
          <w:szCs w:val="16"/>
        </w:rPr>
        <w:t>1. Автотракторная часть научно-автомоторного института (НАМИ) передается в ВАТО со всем мате</w:t>
      </w:r>
      <w:r w:rsidRPr="00507A31">
        <w:rPr>
          <w:color w:val="0070C0"/>
          <w:sz w:val="16"/>
          <w:szCs w:val="16"/>
        </w:rPr>
        <w:softHyphen/>
        <w:t>риальным оборудованием и личным составом.</w:t>
      </w:r>
    </w:p>
    <w:p w14:paraId="0F123416" w14:textId="77777777" w:rsidR="00DD1E25" w:rsidRPr="00507A31" w:rsidRDefault="00DD1E25" w:rsidP="00507A31">
      <w:pPr>
        <w:jc w:val="both"/>
        <w:rPr>
          <w:color w:val="0070C0"/>
          <w:sz w:val="16"/>
          <w:szCs w:val="16"/>
        </w:rPr>
      </w:pPr>
      <w:r w:rsidRPr="00507A31">
        <w:rPr>
          <w:color w:val="0070C0"/>
          <w:sz w:val="16"/>
          <w:szCs w:val="16"/>
        </w:rPr>
        <w:t>2. Авиамоторная часть НАМИ вместе со всем за</w:t>
      </w:r>
      <w:r w:rsidRPr="00507A31">
        <w:rPr>
          <w:color w:val="0070C0"/>
          <w:sz w:val="16"/>
          <w:szCs w:val="16"/>
        </w:rPr>
        <w:softHyphen/>
        <w:t>конченным строительством первой очереди - Опыт</w:t>
      </w:r>
      <w:r w:rsidRPr="00507A31">
        <w:rPr>
          <w:color w:val="0070C0"/>
          <w:sz w:val="16"/>
          <w:szCs w:val="16"/>
        </w:rPr>
        <w:softHyphen/>
        <w:t>ный завод, испытательная авиационная станция и авиационный отдел передаются Наркомвоенмору для объединения с Винтомоторным отделом ЦАГИ и создания единого центрального Института по опыт</w:t>
      </w:r>
      <w:r w:rsidRPr="00507A31">
        <w:rPr>
          <w:color w:val="0070C0"/>
          <w:sz w:val="16"/>
          <w:szCs w:val="16"/>
        </w:rPr>
        <w:softHyphen/>
        <w:t>ному строительству авиамоторов и самолетов.»</w:t>
      </w:r>
    </w:p>
    <w:p w14:paraId="4864D861" w14:textId="77777777" w:rsidR="00DD1E25" w:rsidRPr="00507A31" w:rsidRDefault="00DD1E25" w:rsidP="00507A31">
      <w:pPr>
        <w:jc w:val="both"/>
        <w:rPr>
          <w:color w:val="0070C0"/>
          <w:sz w:val="16"/>
          <w:szCs w:val="16"/>
        </w:rPr>
      </w:pPr>
      <w:r w:rsidRPr="00507A31">
        <w:rPr>
          <w:color w:val="0070C0"/>
          <w:sz w:val="16"/>
          <w:szCs w:val="16"/>
        </w:rPr>
        <w:t>Один из инициаторов письма, начальник Авиационного отдела НАМИ А.Д. Чаромский, боль</w:t>
      </w:r>
      <w:r w:rsidRPr="00507A31">
        <w:rPr>
          <w:color w:val="0070C0"/>
          <w:sz w:val="16"/>
          <w:szCs w:val="16"/>
        </w:rPr>
        <w:softHyphen/>
        <w:t>шевик с дореволюционным партийным стажем и од</w:t>
      </w:r>
      <w:r w:rsidRPr="00507A31">
        <w:rPr>
          <w:color w:val="0070C0"/>
          <w:sz w:val="16"/>
          <w:szCs w:val="16"/>
        </w:rPr>
        <w:softHyphen/>
        <w:t>нополчанин П.И. Баранова по гражданской войне, повез подписанное письмо на прием к П.И. Баранову, а после с его визой на письме полетел в Сочи, где от</w:t>
      </w:r>
      <w:r w:rsidRPr="00507A31">
        <w:rPr>
          <w:color w:val="0070C0"/>
          <w:sz w:val="16"/>
          <w:szCs w:val="16"/>
        </w:rPr>
        <w:softHyphen/>
        <w:t>дыхали Сталин и Ворошилов. Руководство страны согласилось с доводами авиастроителей (22518).</w:t>
      </w:r>
    </w:p>
    <w:p w14:paraId="5FCDD767" w14:textId="77777777" w:rsidR="00DD1E25" w:rsidRPr="00507A31" w:rsidRDefault="00DD1E25" w:rsidP="00507A31">
      <w:pPr>
        <w:jc w:val="both"/>
        <w:rPr>
          <w:color w:val="0070C0"/>
          <w:sz w:val="16"/>
          <w:szCs w:val="16"/>
        </w:rPr>
      </w:pPr>
    </w:p>
    <w:p w14:paraId="2B18797E" w14:textId="77777777" w:rsidR="001C0A69" w:rsidRPr="00507A31" w:rsidRDefault="001C0A69" w:rsidP="00507A31">
      <w:pPr>
        <w:jc w:val="both"/>
        <w:rPr>
          <w:rFonts w:eastAsia="TimesNewRoman"/>
          <w:color w:val="000000" w:themeColor="text1"/>
          <w:sz w:val="16"/>
          <w:szCs w:val="16"/>
        </w:rPr>
      </w:pPr>
      <w:r w:rsidRPr="00507A31">
        <w:rPr>
          <w:rFonts w:eastAsia="TimesNewRoman"/>
          <w:color w:val="000000" w:themeColor="text1"/>
          <w:sz w:val="16"/>
          <w:szCs w:val="16"/>
        </w:rPr>
        <w:t>13 августа 1930 г. на заседании Революционного Военного Совета (РВС) СССР был заслушан доклад о поездке в Италию специалистов технического управления МС РККА В. Н. Меженова и С. А. Федорова.</w:t>
      </w:r>
    </w:p>
    <w:p w14:paraId="64F991D1" w14:textId="77777777" w:rsidR="001C0A69" w:rsidRPr="00507A31" w:rsidRDefault="001C0A69" w:rsidP="00507A31">
      <w:pPr>
        <w:jc w:val="both"/>
        <w:rPr>
          <w:rFonts w:eastAsia="TimesNewRoman"/>
          <w:color w:val="000000" w:themeColor="text1"/>
          <w:sz w:val="16"/>
          <w:szCs w:val="16"/>
        </w:rPr>
      </w:pPr>
      <w:r w:rsidRPr="00507A31">
        <w:rPr>
          <w:rFonts w:eastAsia="TimesNewRoman"/>
          <w:color w:val="000000" w:themeColor="text1"/>
          <w:sz w:val="16"/>
          <w:szCs w:val="16"/>
        </w:rPr>
        <w:t>По вопросу «Заказ вооружений итальянской промышленности; привлечение технической итальянской помощи» [Там же, л. 1-9] РВС постановил:</w:t>
      </w:r>
    </w:p>
    <w:p w14:paraId="555BDDDC" w14:textId="77777777" w:rsidR="001C0A69" w:rsidRPr="00507A31" w:rsidRDefault="001C0A69" w:rsidP="00507A31">
      <w:pPr>
        <w:jc w:val="both"/>
        <w:rPr>
          <w:rFonts w:eastAsia="TimesNewRoman"/>
          <w:color w:val="000000" w:themeColor="text1"/>
          <w:sz w:val="16"/>
          <w:szCs w:val="16"/>
        </w:rPr>
      </w:pPr>
      <w:r w:rsidRPr="00507A31">
        <w:rPr>
          <w:rFonts w:eastAsia="TimesNewRoman"/>
          <w:color w:val="000000" w:themeColor="text1"/>
          <w:sz w:val="16"/>
          <w:szCs w:val="16"/>
        </w:rPr>
        <w:t>1. провести оптовые закупки моторов «Изотто-Фраскини» (для торпедных катеров) – 125 шт., торпед (для катеров и эсминцев) – 100 шт., (для подводных лодок) – 50 шт.;</w:t>
      </w:r>
    </w:p>
    <w:p w14:paraId="405B2015" w14:textId="77777777" w:rsidR="001C0A69" w:rsidRPr="00507A31" w:rsidRDefault="001C0A69" w:rsidP="00507A31">
      <w:pPr>
        <w:jc w:val="both"/>
        <w:rPr>
          <w:rFonts w:eastAsia="TimesNewRoman"/>
          <w:color w:val="000000" w:themeColor="text1"/>
          <w:sz w:val="16"/>
          <w:szCs w:val="16"/>
        </w:rPr>
      </w:pPr>
      <w:r w:rsidRPr="00507A31">
        <w:rPr>
          <w:rFonts w:eastAsia="TimesNewRoman"/>
          <w:color w:val="000000" w:themeColor="text1"/>
          <w:sz w:val="16"/>
          <w:szCs w:val="16"/>
        </w:rPr>
        <w:t>2. провести закупки в качестве образцов: гидроакустических приборов, оборудования и вооружения подводных лодок, приборов управления артиллерийским огнѐ</w:t>
      </w:r>
      <w:r w:rsidRPr="00507A31">
        <w:rPr>
          <w:rFonts w:eastAsia="MS Mincho"/>
          <w:color w:val="000000" w:themeColor="text1"/>
          <w:sz w:val="16"/>
          <w:szCs w:val="16"/>
        </w:rPr>
        <w:t>м</w:t>
      </w:r>
      <w:r w:rsidRPr="00507A31">
        <w:rPr>
          <w:rFonts w:eastAsia="TimesNewRoman"/>
          <w:color w:val="000000" w:themeColor="text1"/>
          <w:sz w:val="16"/>
          <w:szCs w:val="16"/>
        </w:rPr>
        <w:t>, прицелов;</w:t>
      </w:r>
    </w:p>
    <w:p w14:paraId="02EA9355" w14:textId="77777777" w:rsidR="001C0A69" w:rsidRPr="00507A31" w:rsidRDefault="001C0A69" w:rsidP="00507A31">
      <w:pPr>
        <w:jc w:val="both"/>
        <w:rPr>
          <w:rFonts w:eastAsia="TimesNewRoman"/>
          <w:color w:val="000000" w:themeColor="text1"/>
          <w:sz w:val="16"/>
          <w:szCs w:val="16"/>
        </w:rPr>
      </w:pPr>
      <w:r w:rsidRPr="00507A31">
        <w:rPr>
          <w:rFonts w:eastAsia="TimesNewRoman"/>
          <w:color w:val="000000" w:themeColor="text1"/>
          <w:sz w:val="16"/>
          <w:szCs w:val="16"/>
        </w:rPr>
        <w:t>3. получить техническую помощь по военному судостроению, производству торпед и мощных авиамоторов (для катеров).</w:t>
      </w:r>
    </w:p>
    <w:p w14:paraId="7C22E537" w14:textId="77777777" w:rsidR="001C0A69" w:rsidRPr="00507A31" w:rsidRDefault="001C0A69" w:rsidP="00507A31">
      <w:pPr>
        <w:jc w:val="both"/>
        <w:rPr>
          <w:rFonts w:eastAsia="TimesNewRoman"/>
          <w:color w:val="000000" w:themeColor="text1"/>
          <w:sz w:val="16"/>
          <w:szCs w:val="16"/>
        </w:rPr>
      </w:pPr>
      <w:r w:rsidRPr="00507A31">
        <w:rPr>
          <w:rFonts w:eastAsia="TimesNewRoman"/>
          <w:color w:val="000000" w:themeColor="text1"/>
          <w:sz w:val="16"/>
          <w:szCs w:val="16"/>
        </w:rPr>
        <w:t>Выполняя поручение руководства страны, командование МС направило в Италию группу военно-морских специалистов в количестве 11 человек. Руководил комиссией А. К. Сивков (начальник технического управления МС), в еѐ состав входили специалисты по торпедам, артиллерии, электросвязи, подводному судостроению, механике, электрике сильного тока [Там же, л. 16].</w:t>
      </w:r>
    </w:p>
    <w:p w14:paraId="61C057CE" w14:textId="77777777" w:rsidR="001C0A69" w:rsidRPr="00507A31" w:rsidRDefault="001C0A69" w:rsidP="00507A31">
      <w:pPr>
        <w:jc w:val="both"/>
        <w:rPr>
          <w:rFonts w:eastAsia="TimesNewRoman"/>
          <w:color w:val="000000" w:themeColor="text1"/>
          <w:sz w:val="16"/>
          <w:szCs w:val="16"/>
        </w:rPr>
      </w:pPr>
      <w:r w:rsidRPr="00507A31">
        <w:rPr>
          <w:rFonts w:eastAsia="TimesNewRoman"/>
          <w:color w:val="000000" w:themeColor="text1"/>
          <w:sz w:val="16"/>
          <w:szCs w:val="16"/>
        </w:rPr>
        <w:t>Задачи комиссии были сформулированы специальной директивой РВС СССР (12701).</w:t>
      </w:r>
    </w:p>
    <w:p w14:paraId="2AF56F1A" w14:textId="77777777" w:rsidR="001C0A69" w:rsidRPr="00507A31" w:rsidRDefault="001C0A69" w:rsidP="00507A31">
      <w:pPr>
        <w:jc w:val="both"/>
        <w:rPr>
          <w:rFonts w:eastAsia="TimesNewRoman"/>
          <w:color w:val="000000" w:themeColor="text1"/>
          <w:sz w:val="16"/>
          <w:szCs w:val="16"/>
        </w:rPr>
      </w:pPr>
    </w:p>
    <w:p w14:paraId="24B3F63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6F85CB1" w14:textId="77777777" w:rsidR="00537E5F" w:rsidRPr="00507A31" w:rsidRDefault="00537E5F" w:rsidP="00507A31">
      <w:pPr>
        <w:autoSpaceDE w:val="0"/>
        <w:autoSpaceDN w:val="0"/>
        <w:adjustRightInd w:val="0"/>
        <w:jc w:val="both"/>
        <w:rPr>
          <w:iCs/>
          <w:color w:val="000000" w:themeColor="text1"/>
          <w:sz w:val="16"/>
          <w:szCs w:val="16"/>
        </w:rPr>
      </w:pPr>
    </w:p>
    <w:p w14:paraId="2108B032" w14:textId="77777777" w:rsidR="00E224B9" w:rsidRPr="00507A31" w:rsidRDefault="00E224B9" w:rsidP="00507A31">
      <w:pPr>
        <w:jc w:val="both"/>
        <w:rPr>
          <w:color w:val="000000" w:themeColor="text1"/>
          <w:sz w:val="16"/>
          <w:szCs w:val="16"/>
        </w:rPr>
      </w:pPr>
      <w:r w:rsidRPr="00507A31">
        <w:rPr>
          <w:color w:val="000000" w:themeColor="text1"/>
          <w:sz w:val="16"/>
          <w:szCs w:val="16"/>
        </w:rPr>
        <w:t>13 августа 1930 г. всего по докладу начальника испытательной группы С.А. Гинзбурга на производственном совещании НТК УММ РККА было отмечено 37 недостатков Т-12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655C22FD" w14:textId="77777777" w:rsidR="00E224B9" w:rsidRPr="00507A31" w:rsidRDefault="00E224B9" w:rsidP="00507A31">
      <w:pPr>
        <w:jc w:val="both"/>
        <w:rPr>
          <w:color w:val="000000" w:themeColor="text1"/>
          <w:sz w:val="16"/>
          <w:szCs w:val="16"/>
        </w:rPr>
      </w:pPr>
    </w:p>
    <w:p w14:paraId="1AB71FED" w14:textId="77777777" w:rsidR="00E224B9" w:rsidRPr="00507A31" w:rsidRDefault="00E224B9" w:rsidP="00507A31">
      <w:pPr>
        <w:jc w:val="both"/>
        <w:rPr>
          <w:color w:val="000000" w:themeColor="text1"/>
          <w:sz w:val="16"/>
          <w:szCs w:val="16"/>
        </w:rPr>
      </w:pPr>
      <w:r w:rsidRPr="00507A31">
        <w:rPr>
          <w:color w:val="000000" w:themeColor="text1"/>
          <w:sz w:val="16"/>
          <w:szCs w:val="16"/>
        </w:rPr>
        <w:t xml:space="preserve">13 августа 1930 г. на заседании РВС СССР было принято решение о постановке Т-24 на производство на ХПЗ с выпуском в 1930/1931 г. 300 машин, при этом первую опытную серию предполагалось изготовить уже в1930 г. в количестве 15 танков (по5машинв октябре, ноябре и декабре). Для выполнения танковой программы МПУ ВСНХ обязывалось обеспечить завод двигателями М-6 в количестве 300 шт.В этом же документе приводился план по выпуску Т-24 на 1932 г. в количестве 1600 шт.Однако программа по выпуску машин в 1930/1931 г. заводом выполнена не была, по-сколькутолько к 15 сентября 1930 г. чертежи танка Т-24 поступили на ХПЗ </w:t>
      </w:r>
      <w:r w:rsidRPr="00507A31">
        <w:rPr>
          <w:color w:val="000000" w:themeColor="text1"/>
          <w:sz w:val="16"/>
          <w:szCs w:val="16"/>
        </w:rPr>
        <w:lastRenderedPageBreak/>
        <w:t>из УММ РККА. По вопросу выполнения заказа по Т-24 на ХПЗ 29 сентября 1930 г. состоялось совещание, на котором было принято решение о присутствии на заводе два раза в месяц главного конструктора ОРПО С.П. Шукалова для решения различных вопросов на месте до выпуска первой серийной машины. Кроме того, в распоряжение И.Н. Алексенко на аналогичный срок на временную работу в конструкторское бюро ХПЗ переводился один из опытных инженеров ГКБ, при этом само ГКБ находилось в готовности к разрешению различных затруднений, которые могли возникнуть на ХПЗ в ходе производства машины (12303).</w:t>
      </w:r>
    </w:p>
    <w:p w14:paraId="7E507CAB" w14:textId="77777777" w:rsidR="00E224B9" w:rsidRPr="00507A31" w:rsidRDefault="00E224B9" w:rsidP="00507A31">
      <w:pPr>
        <w:jc w:val="both"/>
        <w:rPr>
          <w:color w:val="000000" w:themeColor="text1"/>
          <w:sz w:val="16"/>
          <w:szCs w:val="16"/>
        </w:rPr>
      </w:pPr>
    </w:p>
    <w:p w14:paraId="70CBA773" w14:textId="77777777" w:rsidR="00E224B9" w:rsidRPr="00507A31" w:rsidRDefault="00E224B9" w:rsidP="00507A31">
      <w:pPr>
        <w:jc w:val="both"/>
        <w:rPr>
          <w:color w:val="000000" w:themeColor="text1"/>
          <w:sz w:val="16"/>
          <w:szCs w:val="16"/>
        </w:rPr>
      </w:pPr>
      <w:r w:rsidRPr="00507A31">
        <w:rPr>
          <w:color w:val="000000" w:themeColor="text1"/>
          <w:sz w:val="16"/>
          <w:szCs w:val="16"/>
        </w:rPr>
        <w:t>13 августа 1930 г. Постановление Президиума ВСНХ СССР о мирной загрузке заводов военной промышленности (РГАЭ. Ф. 3429. Оп. 6. Д. 198. Л. 63) (12417).</w:t>
      </w:r>
    </w:p>
    <w:p w14:paraId="4FE3E661" w14:textId="77777777" w:rsidR="00E224B9" w:rsidRPr="00507A31" w:rsidRDefault="00E224B9" w:rsidP="00507A31">
      <w:pPr>
        <w:jc w:val="both"/>
        <w:rPr>
          <w:color w:val="000000" w:themeColor="text1"/>
          <w:sz w:val="16"/>
          <w:szCs w:val="16"/>
        </w:rPr>
      </w:pPr>
    </w:p>
    <w:p w14:paraId="7509FDF6"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13 августа 1930 РВС СССР констатировал провал в выполнении танковой программы, так как за июль месяц не было сдано ни одного танка (10977).</w:t>
      </w:r>
    </w:p>
    <w:p w14:paraId="1B60C7B2" w14:textId="77777777" w:rsidR="0077708B" w:rsidRPr="00507A31" w:rsidRDefault="0077708B" w:rsidP="00507A31">
      <w:pPr>
        <w:autoSpaceDE w:val="0"/>
        <w:autoSpaceDN w:val="0"/>
        <w:adjustRightInd w:val="0"/>
        <w:jc w:val="both"/>
        <w:rPr>
          <w:color w:val="000000" w:themeColor="text1"/>
          <w:sz w:val="16"/>
          <w:szCs w:val="16"/>
        </w:rPr>
      </w:pPr>
    </w:p>
    <w:p w14:paraId="6AD9BEEB"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13 августа 1930 г. РВС СССР констатировал провал в выполнении танковой программы, так как за июль месяц не было сдано ни одного танка. Решением РВС СССР от 13 августа совещанием замов от 6 сентября и РВС СССР от 2 октября с.г.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 (11210).</w:t>
      </w:r>
    </w:p>
    <w:p w14:paraId="3E7E339C" w14:textId="77777777" w:rsidR="0077708B" w:rsidRPr="00507A31" w:rsidRDefault="0077708B" w:rsidP="00507A31">
      <w:pPr>
        <w:autoSpaceDE w:val="0"/>
        <w:autoSpaceDN w:val="0"/>
        <w:adjustRightInd w:val="0"/>
        <w:jc w:val="both"/>
        <w:rPr>
          <w:color w:val="000000" w:themeColor="text1"/>
          <w:sz w:val="16"/>
          <w:szCs w:val="16"/>
        </w:rPr>
      </w:pPr>
    </w:p>
    <w:p w14:paraId="0A8EB36E"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августа 1930 г. вышла ВЫПИСКА ИЗ ПРОТОКОЛА № 17 ЗАСЕДАНИЯ РЕВОЛЮЦИОННОГО ВОЕННОГО СОВЕТА СССР</w:t>
      </w:r>
    </w:p>
    <w:p w14:paraId="1F862894"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78CF7048"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Присутствуют: Приглашены:</w:t>
      </w:r>
    </w:p>
    <w:p w14:paraId="4913750A"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тт. Уборевич, Каменев, Муклевич, Шапошников, Гайлит, Булин, Халепский. тт. Симонов, Бондарь, Ефимов, Янсон, Савицкий, Чистяков, Комаровский, Ошлей, Ницуляк, Смилга, Шпектров.</w:t>
      </w:r>
    </w:p>
    <w:p w14:paraId="0A7DD648"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Слушали — постановили:</w:t>
      </w:r>
    </w:p>
    <w:p w14:paraId="18922CE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3AD0410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 ходе работы по осуществлению образцов автобронетракторного вооружения. Докл. т. Ха</w:t>
      </w:r>
      <w:r w:rsidRPr="00507A31">
        <w:rPr>
          <w:color w:val="000000" w:themeColor="text1"/>
          <w:sz w:val="16"/>
          <w:szCs w:val="16"/>
        </w:rPr>
        <w:softHyphen/>
        <w:t>лепский.</w:t>
      </w:r>
    </w:p>
    <w:p w14:paraId="625A7C9B"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О заказе танка Фольмера. Докл. т. Нейман.</w:t>
      </w:r>
    </w:p>
    <w:p w14:paraId="446B3DD2"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 выполнении текущей программы по танкам. Докл. т. Халепский.</w:t>
      </w:r>
    </w:p>
    <w:p w14:paraId="612F7043"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прениях выступили: тт. Нейман, Смилга, Шапошников, Каменев, Уборевич.</w:t>
      </w:r>
    </w:p>
    <w:p w14:paraId="73F2A569"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б) О ходе работ по осуществлению опытных образцов автоброне-тракторного вооружения.</w:t>
      </w:r>
    </w:p>
    <w:p w14:paraId="3EC09CA3"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По танкеткам</w:t>
      </w:r>
    </w:p>
    <w:p w14:paraId="7E45FDD7"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Танкетка Т-23. Учитывая, что разработка рабочих чертежей по танкетке закончена, - изготовить один опытный образец к 1 декабря 1930 г., отказавшись от постройки броневого кузова.</w:t>
      </w:r>
    </w:p>
    <w:p w14:paraId="5E281F22"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Исполнение поручить Государственному орудийно-арсенальному объединению.</w:t>
      </w:r>
    </w:p>
    <w:p w14:paraId="443F4945"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 использовать того же типа, как и для танка Т-20.</w:t>
      </w:r>
    </w:p>
    <w:p w14:paraId="4AEAC7D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Танкетка К-25. Учитывая результаты испытаний К-25, поручить промышленности при производ</w:t>
      </w:r>
      <w:r w:rsidRPr="00507A31">
        <w:rPr>
          <w:color w:val="000000" w:themeColor="text1"/>
          <w:sz w:val="16"/>
          <w:szCs w:val="16"/>
        </w:rPr>
        <w:softHyphen/>
        <w:t>стве внести такие изменения в конструкцию, которые обеспечивали бы увеличение запаса хода до 150 км. В средних условиях.</w:t>
      </w:r>
    </w:p>
    <w:p w14:paraId="2C00580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Принять к сведению, что производство танкеток типа К-25 будет поставлено на заводе ВАТО №2, с кооперированием по мотору Форд-А с Нижегородским автозаводом.</w:t>
      </w:r>
    </w:p>
    <w:p w14:paraId="243E83E7"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Отметить, что в 1930/31 году промышленность обязалась поставить на снабжение РККА 290 тан</w:t>
      </w:r>
      <w:r w:rsidRPr="00507A31">
        <w:rPr>
          <w:color w:val="000000" w:themeColor="text1"/>
          <w:sz w:val="16"/>
          <w:szCs w:val="16"/>
        </w:rPr>
        <w:softHyphen/>
        <w:t>кеток типа К-25, для чего ВАТО обязалось обеспечить весь заказ моторами Форд-А.</w:t>
      </w:r>
    </w:p>
    <w:p w14:paraId="0D56E999"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II. Малые танки</w:t>
      </w:r>
    </w:p>
    <w:p w14:paraId="5A4C3A4B"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Малый танк Т-20. Иметь основным типом в производстве на 1930/31 год танк Т-20, ввиду того,; что Т-18 обладает маломощным мотором и требует модернизации всех находящихся в войсках тан</w:t>
      </w:r>
      <w:r w:rsidRPr="00507A31">
        <w:rPr>
          <w:color w:val="000000" w:themeColor="text1"/>
          <w:sz w:val="16"/>
          <w:szCs w:val="16"/>
        </w:rPr>
        <w:softHyphen/>
        <w:t>ков этой марки и ввиду того, что нет уверенности в получении на вооружение в течение 1930/31 го- ] да танка Т-19, соответствующего системе вооружения.</w:t>
      </w:r>
    </w:p>
    <w:p w14:paraId="3965336D"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 Т-20 считать переходным типом с тем, чтобы в дальнейшем при помощи его мотора (Т-20) модернизировать все находящиеся на вооружении танки Т-18. Эту модернизацию (т.е. замену слабо-] сильного мотора) окончить к весне 1932 года.</w:t>
      </w:r>
    </w:p>
    <w:p w14:paraId="7A72B0D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Опытный образец танка Т-20 изготовить к 1 октября 1930 года, а валовое производство этого тан</w:t>
      </w:r>
      <w:r w:rsidRPr="00507A31">
        <w:rPr>
          <w:color w:val="000000" w:themeColor="text1"/>
          <w:sz w:val="16"/>
          <w:szCs w:val="16"/>
        </w:rPr>
        <w:softHyphen/>
        <w:t>ка осуществить, начиная со II квартала 1930/31 года, ориентировочно с 251 машины.</w:t>
      </w:r>
    </w:p>
    <w:p w14:paraId="1CF6221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Малый танк Т-19. Отмечая совершенную неудовлетворительность взятых темпов по изготовлению опытного образца танка Т-19 — поручить Орудийно-арсенальному объединению ВСНХ закон</w:t>
      </w:r>
      <w:r w:rsidRPr="00507A31">
        <w:rPr>
          <w:color w:val="000000" w:themeColor="text1"/>
          <w:sz w:val="16"/>
          <w:szCs w:val="16"/>
        </w:rPr>
        <w:softHyphen/>
        <w:t>чить изготовление опытного образца к 1 марта 1931 г., а выпуск первой валовой партии в IV кварта-</w:t>
      </w:r>
      <w:r w:rsidRPr="00507A31">
        <w:rPr>
          <w:color w:val="000000" w:themeColor="text1"/>
          <w:sz w:val="16"/>
          <w:szCs w:val="16"/>
          <w:vertAlign w:val="superscript"/>
        </w:rPr>
        <w:t xml:space="preserve">5 </w:t>
      </w:r>
      <w:r w:rsidRPr="00507A31">
        <w:rPr>
          <w:color w:val="000000" w:themeColor="text1"/>
          <w:sz w:val="16"/>
          <w:szCs w:val="16"/>
        </w:rPr>
        <w:t>ле 1930/31 г. с тем, чтобы с 1 октября 1931 года перейти на массовое производство танков этого типа,</w:t>
      </w:r>
    </w:p>
    <w:p w14:paraId="29857517"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Малый танк В-26. В целях внедрения современных танков на вооружение и в производство,] ВАТО предусмотреть изготовление этого танка на Сталинградском тракторном заводе.</w:t>
      </w:r>
    </w:p>
    <w:p w14:paraId="7FE9AC72"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этого УММ, по получении опытного образца, организовать широкое испытание танка В-26 с участием представителей промышленности и конструкторских бюро, после чего, с разрешения РВСС и в зависимости от результатов испытаний, передать танк В-26 на изготовление промышленности.</w:t>
      </w:r>
    </w:p>
    <w:p w14:paraId="4289A15A"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подготовки кадров и получения производственных навыков по танкостроению на Сталинград</w:t>
      </w:r>
      <w:r w:rsidRPr="00507A31">
        <w:rPr>
          <w:color w:val="000000" w:themeColor="text1"/>
          <w:sz w:val="16"/>
          <w:szCs w:val="16"/>
        </w:rPr>
        <w:softHyphen/>
        <w:t>ском тракторном заводе, признать необходимым постройку опытного цеха в течение 1930/31 года с тем, чтобы с весны 1932 года обеспечить массовое изготовление В-26 с обязательным условием качественно</w:t>
      </w:r>
      <w:r w:rsidRPr="00507A31">
        <w:rPr>
          <w:color w:val="000000" w:themeColor="text1"/>
          <w:sz w:val="16"/>
          <w:szCs w:val="16"/>
        </w:rPr>
        <w:softHyphen/>
        <w:t>го сохранения брони В.</w:t>
      </w:r>
    </w:p>
    <w:p w14:paraId="34FFD0FD"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III. Средние танки</w:t>
      </w:r>
    </w:p>
    <w:p w14:paraId="550144D6"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Средний танк Т-24. Признать возможным поставить на производство танк Т-24 при непременном устранении главных дефектов, обнаруженных при испытаниях.</w:t>
      </w:r>
    </w:p>
    <w:p w14:paraId="2CBAB829"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Возложить на т. Халепского наблюдение за устранением этих дефектов и обязать его ежемесяч</w:t>
      </w:r>
      <w:r w:rsidRPr="00507A31">
        <w:rPr>
          <w:color w:val="000000" w:themeColor="text1"/>
          <w:sz w:val="16"/>
          <w:szCs w:val="16"/>
        </w:rPr>
        <w:softHyphen/>
        <w:t>но докладывать РВСС о ходе работ.</w:t>
      </w:r>
    </w:p>
    <w:p w14:paraId="1237BE63"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Принять к сведению заявление т. Толоконцева, что в 1930/31 г. Машинобъединением ВСНХ бу</w:t>
      </w:r>
      <w:r w:rsidRPr="00507A31">
        <w:rPr>
          <w:color w:val="000000" w:themeColor="text1"/>
          <w:sz w:val="16"/>
          <w:szCs w:val="16"/>
        </w:rPr>
        <w:softHyphen/>
        <w:t>дет изготовлено 300 штук танков Т-24.</w:t>
      </w:r>
    </w:p>
    <w:p w14:paraId="7F8F85FF"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Обязать МПУ ВСНХ обеспечить танковую программу будущего года моторами М-6 в размере 300 штук.</w:t>
      </w:r>
    </w:p>
    <w:p w14:paraId="40148405"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Обратить особое внимание Президиума ВСНХ на то, что постройка танкового и моторного це</w:t>
      </w:r>
      <w:r w:rsidRPr="00507A31">
        <w:rPr>
          <w:color w:val="000000" w:themeColor="text1"/>
          <w:sz w:val="16"/>
          <w:szCs w:val="16"/>
        </w:rPr>
        <w:softHyphen/>
        <w:t>хов на ХПЗ идет крайне слабо из-за отсутствия строительных материалов, что ставит под угрозу сры</w:t>
      </w:r>
      <w:r w:rsidRPr="00507A31">
        <w:rPr>
          <w:color w:val="000000" w:themeColor="text1"/>
          <w:sz w:val="16"/>
          <w:szCs w:val="16"/>
        </w:rPr>
        <w:softHyphen/>
        <w:t>ва производственную программу 1930/31 года, и просить Президиум ВСНХ в наикратчайший срок обеспечить ХПЗ строительными материалами.</w:t>
      </w:r>
    </w:p>
    <w:p w14:paraId="6E197B5F"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Отметить, что намеченные Машинобъединением сроки сдачи 15 танков Т-24 (Т-12) по заказу 1929/30 года являются чрезвычайно длинными (сдача 5 танков в октябре, 5 - в ноябре и 5 - в декаб</w:t>
      </w:r>
      <w:r w:rsidRPr="00507A31">
        <w:rPr>
          <w:color w:val="000000" w:themeColor="text1"/>
          <w:sz w:val="16"/>
          <w:szCs w:val="16"/>
        </w:rPr>
        <w:softHyphen/>
        <w:t>ре). Предложить Машинобъединению закончить сдачу всей опытной серии в ноябре 1930 года.</w:t>
      </w:r>
    </w:p>
    <w:p w14:paraId="629ED742"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 Кристи. По получении опытных образцов и их всестороннего испытания, признать необ</w:t>
      </w:r>
      <w:r w:rsidRPr="00507A31">
        <w:rPr>
          <w:color w:val="000000" w:themeColor="text1"/>
          <w:sz w:val="16"/>
          <w:szCs w:val="16"/>
        </w:rPr>
        <w:softHyphen/>
        <w:t>ходимым с доклада и разрешения РВСС ассимилировать производство этого типа танков на Ярослав</w:t>
      </w:r>
      <w:r w:rsidRPr="00507A31">
        <w:rPr>
          <w:color w:val="000000" w:themeColor="text1"/>
          <w:sz w:val="16"/>
          <w:szCs w:val="16"/>
        </w:rPr>
        <w:softHyphen/>
        <w:t>ском автозаводе с целью выпуска первой опытной партии к осени 1931 года.</w:t>
      </w:r>
    </w:p>
    <w:p w14:paraId="02B4E09D"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12-ти тонный танк В. После всестороннего испытания признать возможным использование отдель</w:t>
      </w:r>
      <w:r w:rsidRPr="00507A31">
        <w:rPr>
          <w:color w:val="000000" w:themeColor="text1"/>
          <w:sz w:val="16"/>
          <w:szCs w:val="16"/>
        </w:rPr>
        <w:softHyphen/>
        <w:t>ных механизмов танка при конструировании новых типов танков конструкторским бюро ВСНХ СССР.</w:t>
      </w:r>
    </w:p>
    <w:p w14:paraId="70198E25"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 Д. Принять к сведению заявление т. Халепского и т. Ольского, что танк Д будет готов в пер</w:t>
      </w:r>
      <w:r w:rsidRPr="00507A31">
        <w:rPr>
          <w:color w:val="000000" w:themeColor="text1"/>
          <w:sz w:val="16"/>
          <w:szCs w:val="16"/>
        </w:rPr>
        <w:softHyphen/>
        <w:t>вых числах сентября, после чего обязать УММ немедленно организовать испытания.</w:t>
      </w:r>
    </w:p>
    <w:p w14:paraId="1F6F1A9B"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 Фольмера. Ввиду наличия в опытном строительстве такого же типа танка Д и технической помощи по этим же типам танков со стороны Кристи, - от постройки танка Фольмера отказаться.</w:t>
      </w:r>
    </w:p>
    <w:p w14:paraId="045C6BC7"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Чертежи передать конструкторскому бюро т. Дыренкова для использования.</w:t>
      </w:r>
    </w:p>
    <w:p w14:paraId="689F5EFF"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IV. О привлечении иностранной технической помощи</w:t>
      </w:r>
    </w:p>
    <w:p w14:paraId="450C5532"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ускорения организации производства в СССР танкетки К-25 и танка В-26 — признать целе</w:t>
      </w:r>
      <w:r w:rsidRPr="00507A31">
        <w:rPr>
          <w:color w:val="000000" w:themeColor="text1"/>
          <w:sz w:val="16"/>
          <w:szCs w:val="16"/>
        </w:rPr>
        <w:softHyphen/>
        <w:t>сообразным привлечение иностранной технической помощи и, в частности, специалистов (инже</w:t>
      </w:r>
      <w:r w:rsidRPr="00507A31">
        <w:rPr>
          <w:color w:val="000000" w:themeColor="text1"/>
          <w:sz w:val="16"/>
          <w:szCs w:val="16"/>
        </w:rPr>
        <w:softHyphen/>
        <w:t>нерно-технический персонал). Исполнение считать за IV управлением Штаба РККА и УММ.</w:t>
      </w:r>
    </w:p>
    <w:p w14:paraId="052D42F9"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V.</w:t>
      </w:r>
    </w:p>
    <w:p w14:paraId="346EFBD6"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Решение о типах бронемашин, тракторов, автомобилей, самоходных установок и использовании гражданских тракторов и т. д. отложить до 3 сентября.</w:t>
      </w:r>
    </w:p>
    <w:p w14:paraId="20C00F1F"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этому времени Начальнику УММ подготовить результаты испытаний всех имеющихся в СССР тракторов, тягачей, автомашин и т. д.</w:t>
      </w:r>
    </w:p>
    <w:p w14:paraId="0310CB97"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VI. По организации конструкторских работ</w:t>
      </w:r>
    </w:p>
    <w:p w14:paraId="365F2397"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Отметить, что до сих пор еще не проведен в жизнь приказ ВСНХ СССР об организации конст</w:t>
      </w:r>
      <w:r w:rsidRPr="00507A31">
        <w:rPr>
          <w:color w:val="000000" w:themeColor="text1"/>
          <w:sz w:val="16"/>
          <w:szCs w:val="16"/>
        </w:rPr>
        <w:softHyphen/>
        <w:t>рукторской работы на заводах и объединениях. Это является главнейшей причиной чрезвычайно низкого уровня опытной и конструкторской работы в новом для нас автоброневом и танковом деле.</w:t>
      </w:r>
    </w:p>
    <w:p w14:paraId="7AE5397C"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Принять к сведению постановление ВСНХ об организации при ВАТО к 1 октября с.г. централь</w:t>
      </w:r>
      <w:r w:rsidRPr="00507A31">
        <w:rPr>
          <w:color w:val="000000" w:themeColor="text1"/>
          <w:sz w:val="16"/>
          <w:szCs w:val="16"/>
        </w:rPr>
        <w:softHyphen/>
        <w:t>ного конструкторского бюро и об усилении к тому же сроку конструкторских бюро на заводах.</w:t>
      </w:r>
    </w:p>
    <w:p w14:paraId="46DB54E4"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УММ наблюдать за выполнением этого постановления и в случае обнаружения вновь удлинения сроков, - поставить вопрос немедленно в РЗ СТО.</w:t>
      </w:r>
    </w:p>
    <w:p w14:paraId="675478A1"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УММ приступить к 1 октября 1930 года, совместно с промышленными объединениями ВСНХ (в от</w:t>
      </w:r>
      <w:r w:rsidRPr="00507A31">
        <w:rPr>
          <w:color w:val="000000" w:themeColor="text1"/>
          <w:sz w:val="16"/>
          <w:szCs w:val="16"/>
        </w:rPr>
        <w:softHyphen/>
        <w:t>ношении расходов и эксплуатации) к организации научно-испытательного полигона и закончить, в ос</w:t>
      </w:r>
      <w:r w:rsidRPr="00507A31">
        <w:rPr>
          <w:color w:val="000000" w:themeColor="text1"/>
          <w:sz w:val="16"/>
          <w:szCs w:val="16"/>
        </w:rPr>
        <w:softHyphen/>
        <w:t>новном, его строительство к 1 октября 1931 года. При полигоне создать специальный научно-исследо</w:t>
      </w:r>
      <w:r w:rsidRPr="00507A31">
        <w:rPr>
          <w:color w:val="000000" w:themeColor="text1"/>
          <w:sz w:val="16"/>
          <w:szCs w:val="16"/>
        </w:rPr>
        <w:softHyphen/>
        <w:t>вательский институт.</w:t>
      </w:r>
    </w:p>
    <w:p w14:paraId="2EA4B578"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VII. По организации производственных баз</w:t>
      </w:r>
    </w:p>
    <w:p w14:paraId="7FD29588"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Наметить следующую специализацию заводов, изготовляющих предметы автотанкотракторно-го вооружения:</w:t>
      </w:r>
    </w:p>
    <w:p w14:paraId="4CBF738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танкеткам:</w:t>
      </w:r>
    </w:p>
    <w:p w14:paraId="67C0A67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2-й автозавод ВАТО: Танкетка К-25 и др.</w:t>
      </w:r>
    </w:p>
    <w:p w14:paraId="64BFE113"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танкам:</w:t>
      </w:r>
    </w:p>
    <w:p w14:paraId="302A83A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"Большевик" и Мотовилихинский машиностроительный завод: Танк Т-20 и Т-19.</w:t>
      </w:r>
    </w:p>
    <w:p w14:paraId="6A0A3B4B"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Сталинградский тракторный завод: 6-ти тонный малый танк В-26.</w:t>
      </w:r>
    </w:p>
    <w:p w14:paraId="259195F9"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Харьковский паровозостроительный завод: Средний танк Т-24 и др.</w:t>
      </w:r>
    </w:p>
    <w:p w14:paraId="5D33303F"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Челябинский тракторный завод: Ориентировочно, средний танк Т-24 с тем, чтобы окончатель</w:t>
      </w:r>
      <w:r w:rsidRPr="00507A31">
        <w:rPr>
          <w:color w:val="000000" w:themeColor="text1"/>
          <w:sz w:val="16"/>
          <w:szCs w:val="16"/>
        </w:rPr>
        <w:softHyphen/>
        <w:t>ное решение о постановке производства среднего танка на Челябинском тракторном заводе принять на заседании РВСС 3 сентября после предварительной проработки вопроса о возможности произ</w:t>
      </w:r>
      <w:r w:rsidRPr="00507A31">
        <w:rPr>
          <w:color w:val="000000" w:themeColor="text1"/>
          <w:sz w:val="16"/>
          <w:szCs w:val="16"/>
        </w:rPr>
        <w:softHyphen/>
        <w:t>водства среднего танка на этом заводе при условии сохранения на нем тракторного производства.</w:t>
      </w:r>
    </w:p>
    <w:p w14:paraId="0FCEC2F9"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Уралмашстрой: Ориентировочно большой танк.</w:t>
      </w:r>
    </w:p>
    <w:p w14:paraId="0A1A7505"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мотору:</w:t>
      </w:r>
    </w:p>
    <w:p w14:paraId="3407FAE3"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Считать необходимым постройку в течение 1930/31 года специального моторного завода по си</w:t>
      </w:r>
      <w:r w:rsidRPr="00507A31">
        <w:rPr>
          <w:color w:val="000000" w:themeColor="text1"/>
          <w:sz w:val="16"/>
          <w:szCs w:val="16"/>
        </w:rPr>
        <w:softHyphen/>
        <w:t>стеме автобронетанкотракторного вооружения с тем, чтобы не позднее 3 квартала 1931/32 года при</w:t>
      </w:r>
      <w:r w:rsidRPr="00507A31">
        <w:rPr>
          <w:color w:val="000000" w:themeColor="text1"/>
          <w:sz w:val="16"/>
          <w:szCs w:val="16"/>
        </w:rPr>
        <w:softHyphen/>
        <w:t>ступить к серийному и валовому производству моторов.</w:t>
      </w:r>
    </w:p>
    <w:p w14:paraId="3130A78A"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броне:</w:t>
      </w:r>
    </w:p>
    <w:p w14:paraId="32982124"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Поручить Начальнику УММ и МПУ ВСНХ к 3 сентября проработать вопрос о месте постановки производства брони для танков и танкеток; в частности, обсудить возможность производства брони на заводе "Баррикады".</w:t>
      </w:r>
    </w:p>
    <w:p w14:paraId="113C2AE9"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IX.</w:t>
      </w:r>
    </w:p>
    <w:p w14:paraId="4C46F566"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Констатировать, что ВСНХ для удовлетворения заявки НКВМ по танкам и танкеткам дает нижеследующие годовые производственные мощности производства и подачи на военное время:</w:t>
      </w:r>
    </w:p>
    <w:p w14:paraId="59413234"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 танкеткам:</w:t>
      </w:r>
    </w:p>
    <w:p w14:paraId="352FE12A"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2-й автозавод ВАТО: 4 000 штук танкеток К-25 при мобилизации в 1932/33 г., для мирного времени на этом же заводе: в 1930/31 г - 290 штук, в 1931/32 г. - 410 штук и в 1932/33 г. - 400 штук.</w:t>
      </w:r>
    </w:p>
    <w:p w14:paraId="08DDCDC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 малым танкам:</w:t>
      </w:r>
    </w:p>
    <w:p w14:paraId="402CADCD"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заводу "Большевик": в 1930/31 г. - 720 штук Т-20, в 1931/32 г. - 1 000 штук Т-19, в 1932/33г. - 1 500 штук Т-19;</w:t>
      </w:r>
    </w:p>
    <w:p w14:paraId="0D146F23"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заводу ММЗ: в 1930/31 г. - 200 штук Т-20, в 1931/32 г. - 350 штук Т-19, в 1932/33 г. - 500 штук Т-19.</w:t>
      </w:r>
    </w:p>
    <w:p w14:paraId="63F84723"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По среднему танку:</w:t>
      </w:r>
    </w:p>
    <w:p w14:paraId="46CDF71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ЗаводХПЗв 1931/32 г. - 1.600 штук Т-24.</w:t>
      </w:r>
    </w:p>
    <w:p w14:paraId="668DCE8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Вышеизложенные данные свидетельствуют о недопустимо низком удовлетворении мобзаявки НКВМ и поручить МПУ ВСНХ СССР 3 сентября доложить РВСС о мероприятиях по организации! производственных баз и дальнейшего нарастания производственных мощностей по годам, исходя из! установленной мобзаявки НКВМ на военное время и потребности танкового вооружения на остающиеся 3 года пятилетки.</w:t>
      </w:r>
    </w:p>
    <w:p w14:paraId="693802D4"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Одновременно отметить, что несмотря на ряд указаний и директив Правительства объединений ями ВСНХ до сегодняшнего дня ничего не сделано по организации производственных баз для постройки танков и бронемашин.</w:t>
      </w:r>
    </w:p>
    <w:p w14:paraId="24D1624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 выполнении текущей танковой программы на заводе "Большевик".</w:t>
      </w:r>
    </w:p>
    <w:p w14:paraId="0FB4CAF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Констатировать, что за июль месяц не было сдано ни одного танка, что нарушает все постанов</w:t>
      </w:r>
      <w:r w:rsidRPr="00507A31">
        <w:rPr>
          <w:color w:val="000000" w:themeColor="text1"/>
          <w:sz w:val="16"/>
          <w:szCs w:val="16"/>
        </w:rPr>
        <w:softHyphen/>
        <w:t>ления Правительства и ставит в исключительно тяжелое положение планы вооружения Красной Ар</w:t>
      </w:r>
      <w:r w:rsidRPr="00507A31">
        <w:rPr>
          <w:color w:val="000000" w:themeColor="text1"/>
          <w:sz w:val="16"/>
          <w:szCs w:val="16"/>
        </w:rPr>
        <w:softHyphen/>
        <w:t>мии. Срочно довести до сведения соответствующих правительственных инстанций о прорыве про</w:t>
      </w:r>
      <w:r w:rsidRPr="00507A31">
        <w:rPr>
          <w:color w:val="000000" w:themeColor="text1"/>
          <w:sz w:val="16"/>
          <w:szCs w:val="16"/>
        </w:rPr>
        <w:softHyphen/>
        <w:t>изводственной программы на заводе "Большевик".</w:t>
      </w:r>
    </w:p>
    <w:p w14:paraId="25DA1E0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Командировать на завод "Большевик" вторично т. Халепского для устранения на месте всех за</w:t>
      </w:r>
      <w:r w:rsidRPr="00507A31">
        <w:rPr>
          <w:color w:val="000000" w:themeColor="text1"/>
          <w:sz w:val="16"/>
          <w:szCs w:val="16"/>
        </w:rPr>
        <w:softHyphen/>
        <w:t>труднений по выполнению производственной программы на август и сентябрь текущего года.</w:t>
      </w:r>
    </w:p>
    <w:p w14:paraId="3BBF896D"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E07F6F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 кадрах начсостава на вторую половину пятилетки. Докладчик: т. Шапошников.</w:t>
      </w:r>
    </w:p>
    <w:p w14:paraId="529AF9F6"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прениях выступили: тт. Каменев, Муклевич, Уборевич.</w:t>
      </w:r>
    </w:p>
    <w:p w14:paraId="1E743919"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Решение по всему вопросу в целом отложить до рассмотрения уточненного календарного плана строительства РККА на 2 половину пятилетки.</w:t>
      </w:r>
    </w:p>
    <w:p w14:paraId="6BBF28AE"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Предложения начальника Штаба о подготовке комсостава и развертывании сети ВУЗов на 1930/31 г. в основном одобрить.</w:t>
      </w:r>
    </w:p>
    <w:p w14:paraId="1F8888AF"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увеличения переменного состава ВУЗов начальнику Штаба РККА и Начальнику ГУРККА изыскать по линии сокращения постоянного состава ВУЗов, академий, складов и местных стрелко</w:t>
      </w:r>
      <w:r w:rsidRPr="00507A31">
        <w:rPr>
          <w:color w:val="000000" w:themeColor="text1"/>
          <w:sz w:val="16"/>
          <w:szCs w:val="16"/>
        </w:rPr>
        <w:softHyphen/>
        <w:t>вых войск — 2 000 пайков.</w:t>
      </w:r>
    </w:p>
    <w:p w14:paraId="53F06396"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Начальнику ГУРККА теперь же приступить к разверстке очередного набора по ВУЗам в преде</w:t>
      </w:r>
      <w:r w:rsidRPr="00507A31">
        <w:rPr>
          <w:color w:val="000000" w:themeColor="text1"/>
          <w:sz w:val="16"/>
          <w:szCs w:val="16"/>
        </w:rPr>
        <w:softHyphen/>
        <w:t>лах указанной выше цифры увеличения переменного состава.</w:t>
      </w:r>
    </w:p>
    <w:p w14:paraId="48294C4E"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Начальнику Военно-строительного управления РККА озаботиться своевременным ассигнова</w:t>
      </w:r>
      <w:r w:rsidRPr="00507A31">
        <w:rPr>
          <w:color w:val="000000" w:themeColor="text1"/>
          <w:sz w:val="16"/>
          <w:szCs w:val="16"/>
        </w:rPr>
        <w:softHyphen/>
        <w:t>нием средств и заготовкой материалов для производства наиболее необходимых строительных ра</w:t>
      </w:r>
      <w:r w:rsidRPr="00507A31">
        <w:rPr>
          <w:color w:val="000000" w:themeColor="text1"/>
          <w:sz w:val="16"/>
          <w:szCs w:val="16"/>
        </w:rPr>
        <w:softHyphen/>
        <w:t>бот по этим мероприятиям. Наблюдение возложить на начальника Штаба РККА. Срок — 2 декады.</w:t>
      </w:r>
    </w:p>
    <w:p w14:paraId="73612BDE"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Начальнику Штаба РККА, в целях сокращения общей численности комсостава в разрабатывае</w:t>
      </w:r>
      <w:r w:rsidRPr="00507A31">
        <w:rPr>
          <w:color w:val="000000" w:themeColor="text1"/>
          <w:sz w:val="16"/>
          <w:szCs w:val="16"/>
        </w:rPr>
        <w:softHyphen/>
        <w:t>мых оргмероприятиях на 2 половину пятилетки:</w:t>
      </w:r>
    </w:p>
    <w:p w14:paraId="71DCD43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совместно с начальником ВВС увеличить число летчиков-пилотов за счет соответственного со</w:t>
      </w:r>
      <w:r w:rsidRPr="00507A31">
        <w:rPr>
          <w:color w:val="000000" w:themeColor="text1"/>
          <w:sz w:val="16"/>
          <w:szCs w:val="16"/>
        </w:rPr>
        <w:softHyphen/>
        <w:t>кращения штатного числа должностей, комплектуемых летчиками (среди комсостава);</w:t>
      </w:r>
    </w:p>
    <w:p w14:paraId="3FC52F0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увеличить штатное число мл. комсостава бронетанковых частей РККА за счет соответствую</w:t>
      </w:r>
      <w:r w:rsidRPr="00507A31">
        <w:rPr>
          <w:color w:val="000000" w:themeColor="text1"/>
          <w:sz w:val="16"/>
          <w:szCs w:val="16"/>
        </w:rPr>
        <w:softHyphen/>
        <w:t>щего сокращения штатного числа должностей среднего комсостава (машиноводителеи), ориентиро</w:t>
      </w:r>
      <w:r w:rsidRPr="00507A31">
        <w:rPr>
          <w:color w:val="000000" w:themeColor="text1"/>
          <w:sz w:val="16"/>
          <w:szCs w:val="16"/>
        </w:rPr>
        <w:softHyphen/>
        <w:t>вочно сохраняя на взвод:</w:t>
      </w:r>
    </w:p>
    <w:p w14:paraId="0AAAB1B6"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танкеток — 1 лицо ср. комсостава</w:t>
      </w:r>
    </w:p>
    <w:p w14:paraId="51703822"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мал. танков — 1 лицо ср. комсостава</w:t>
      </w:r>
    </w:p>
    <w:p w14:paraId="59263FD9"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сред, танков — 1 лицо ср. комсостава на 1 машину;</w:t>
      </w:r>
    </w:p>
    <w:p w14:paraId="2B6C5D52"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разработать вопрос о сокращении штатной численности должностей в Штабах, Управлениях и обслуживающих учреждениях, комплектуемых в настоящее время комсоставом;</w:t>
      </w:r>
    </w:p>
    <w:p w14:paraId="7744E56F"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изыскать в существующей штатной численности командного состава 1 000 должностей, мо</w:t>
      </w:r>
      <w:r w:rsidRPr="00507A31">
        <w:rPr>
          <w:color w:val="000000" w:themeColor="text1"/>
          <w:sz w:val="16"/>
          <w:szCs w:val="16"/>
        </w:rPr>
        <w:softHyphen/>
        <w:t>гущих быть или замененными должностями мл. комсостава, или вовсе сокращенными. Освободив</w:t>
      </w:r>
      <w:r w:rsidRPr="00507A31">
        <w:rPr>
          <w:color w:val="000000" w:themeColor="text1"/>
          <w:sz w:val="16"/>
          <w:szCs w:val="16"/>
        </w:rPr>
        <w:softHyphen/>
        <w:t>шиеся 1 000 пайков обратить также на увеличение переменного состава военно-учебных заведе</w:t>
      </w:r>
      <w:r w:rsidRPr="00507A31">
        <w:rPr>
          <w:color w:val="000000" w:themeColor="text1"/>
          <w:sz w:val="16"/>
          <w:szCs w:val="16"/>
        </w:rPr>
        <w:softHyphen/>
        <w:t>ний (в том числе ВВС). Срок — 2 декады.</w:t>
      </w:r>
    </w:p>
    <w:p w14:paraId="2922BA94"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45C7EEE"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 Об участии мех. и автокоманд РККА в всесоюзных, всеармейских состязаниях. Ввиду прибытия участников в Москву, - состязания провести, но т. Каменеву С.С. принять ме</w:t>
      </w:r>
      <w:r w:rsidRPr="00507A31">
        <w:rPr>
          <w:color w:val="000000" w:themeColor="text1"/>
          <w:sz w:val="16"/>
          <w:szCs w:val="16"/>
        </w:rPr>
        <w:softHyphen/>
        <w:t>ры для максимального сбережения машин.</w:t>
      </w:r>
    </w:p>
    <w:p w14:paraId="5B7E4F05"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7AA558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Об утверждении Председателем РВСС:</w:t>
      </w:r>
    </w:p>
    <w:p w14:paraId="7C9ECB7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План новых заказов НКВМ на 1930/31 год. Докл. т. Шапошников.</w:t>
      </w:r>
    </w:p>
    <w:p w14:paraId="72EF93E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прениях вступили: т.т. Уборевич, Каменев С.С., Булин.</w:t>
      </w:r>
    </w:p>
    <w:p w14:paraId="6C08F2E1"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а) Внести в РЗ СТО на рассмотрение и сообщить ВСНХ для руководства следующий план новых заказов (в денежном выражении) на 1930/31 год; в соответствии с решением РЗ СТО от 30 июля 1930 г. (прот. №54 п. 2/2).</w:t>
      </w:r>
    </w:p>
    <w:tbl>
      <w:tblPr>
        <w:tblW w:w="0" w:type="auto"/>
        <w:tblInd w:w="40" w:type="dxa"/>
        <w:tblLayout w:type="fixed"/>
        <w:tblCellMar>
          <w:left w:w="40" w:type="dxa"/>
          <w:right w:w="40" w:type="dxa"/>
        </w:tblCellMar>
        <w:tblLook w:val="0000" w:firstRow="0" w:lastRow="0" w:firstColumn="0" w:lastColumn="0" w:noHBand="0" w:noVBand="0"/>
      </w:tblPr>
      <w:tblGrid>
        <w:gridCol w:w="2160"/>
        <w:gridCol w:w="1363"/>
        <w:gridCol w:w="4195"/>
      </w:tblGrid>
      <w:tr w:rsidR="00E371BA" w:rsidRPr="00507A31" w14:paraId="7435EA73" w14:textId="77777777" w:rsidTr="0013030E">
        <w:trPr>
          <w:trHeight w:val="1286"/>
        </w:trPr>
        <w:tc>
          <w:tcPr>
            <w:tcW w:w="2160" w:type="dxa"/>
            <w:tcBorders>
              <w:top w:val="single" w:sz="6" w:space="0" w:color="auto"/>
              <w:left w:val="single" w:sz="6" w:space="0" w:color="auto"/>
              <w:bottom w:val="single" w:sz="6" w:space="0" w:color="auto"/>
              <w:right w:val="single" w:sz="6" w:space="0" w:color="auto"/>
            </w:tcBorders>
          </w:tcPr>
          <w:p w14:paraId="2E5AA158"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 Артиллерийские заказы -</w:t>
            </w:r>
          </w:p>
          <w:p w14:paraId="65EC6D55"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A2B30D8"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330 млн. Руб.</w:t>
            </w:r>
          </w:p>
          <w:p w14:paraId="25FD9594"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0C6010B5"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(против предложения Штаба РККА - 336 млн. руб. уменьшить заказы на 6 млн. руб. за счет уменьшения заказа винтпатронов на 60 млн. штук и ед. некоторого количества винтовок; в то же время сохранить первоначально намеченный заказ на зенитные прицелы - 8 тыс. штук, освободившиеся 6 млн. руб. передать на усиление заказов УВВС).</w:t>
            </w:r>
          </w:p>
          <w:p w14:paraId="5C6D9D3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r>
      <w:tr w:rsidR="00E371BA" w:rsidRPr="00507A31" w14:paraId="2099A79D" w14:textId="77777777" w:rsidTr="0013030E">
        <w:trPr>
          <w:trHeight w:val="442"/>
        </w:trPr>
        <w:tc>
          <w:tcPr>
            <w:tcW w:w="2160" w:type="dxa"/>
            <w:tcBorders>
              <w:top w:val="single" w:sz="6" w:space="0" w:color="auto"/>
              <w:left w:val="single" w:sz="6" w:space="0" w:color="auto"/>
              <w:bottom w:val="single" w:sz="6" w:space="0" w:color="auto"/>
              <w:right w:val="single" w:sz="6" w:space="0" w:color="auto"/>
            </w:tcBorders>
          </w:tcPr>
          <w:p w14:paraId="53702DF2"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Военно-химические заказы -</w:t>
            </w:r>
          </w:p>
          <w:p w14:paraId="119F739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D22E138"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26,8 млн. руб.</w:t>
            </w:r>
          </w:p>
          <w:p w14:paraId="2E26E801"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259F2CDB"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p w14:paraId="668893C4"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r>
      <w:tr w:rsidR="00E371BA" w:rsidRPr="00507A31" w14:paraId="57E93CD1" w14:textId="77777777" w:rsidTr="0013030E">
        <w:trPr>
          <w:trHeight w:val="730"/>
        </w:trPr>
        <w:tc>
          <w:tcPr>
            <w:tcW w:w="2160" w:type="dxa"/>
            <w:tcBorders>
              <w:top w:val="single" w:sz="6" w:space="0" w:color="auto"/>
              <w:left w:val="single" w:sz="6" w:space="0" w:color="auto"/>
              <w:bottom w:val="single" w:sz="6" w:space="0" w:color="auto"/>
              <w:right w:val="single" w:sz="6" w:space="0" w:color="auto"/>
            </w:tcBorders>
          </w:tcPr>
          <w:p w14:paraId="41BFEA9B"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 Заказы по мотори</w:t>
            </w:r>
            <w:r w:rsidRPr="00507A31">
              <w:rPr>
                <w:color w:val="000000" w:themeColor="text1"/>
                <w:sz w:val="16"/>
                <w:szCs w:val="16"/>
              </w:rPr>
              <w:softHyphen/>
              <w:t>зации и механизации -</w:t>
            </w:r>
          </w:p>
          <w:p w14:paraId="7A981B77"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862984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84,8 млн. руб.</w:t>
            </w:r>
          </w:p>
          <w:p w14:paraId="39795D06"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7FF2789B"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(доложить в ВЗ СТО особо, что против перво</w:t>
            </w:r>
            <w:r w:rsidRPr="00507A31">
              <w:rPr>
                <w:color w:val="000000" w:themeColor="text1"/>
                <w:sz w:val="16"/>
                <w:szCs w:val="16"/>
              </w:rPr>
              <w:softHyphen/>
              <w:t>начального плана заказы на танки, автомашины и т. д. сокращены на 14 млн. руб. Такое сокращение наносит тяжелый ущерб танкизации и моторизации КА).</w:t>
            </w:r>
          </w:p>
          <w:p w14:paraId="1409D2D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r>
      <w:tr w:rsidR="00E371BA" w:rsidRPr="00507A31" w14:paraId="0AE4F4EE" w14:textId="77777777" w:rsidTr="0013030E">
        <w:trPr>
          <w:trHeight w:val="442"/>
        </w:trPr>
        <w:tc>
          <w:tcPr>
            <w:tcW w:w="2160" w:type="dxa"/>
            <w:tcBorders>
              <w:top w:val="single" w:sz="6" w:space="0" w:color="auto"/>
              <w:left w:val="single" w:sz="6" w:space="0" w:color="auto"/>
              <w:bottom w:val="single" w:sz="6" w:space="0" w:color="auto"/>
              <w:right w:val="single" w:sz="6" w:space="0" w:color="auto"/>
            </w:tcBorders>
          </w:tcPr>
          <w:p w14:paraId="29CF142A"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Военно-технические заказы -</w:t>
            </w:r>
          </w:p>
          <w:p w14:paraId="08455ADD"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7BB8E53"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23,3 млн. руб.</w:t>
            </w:r>
          </w:p>
          <w:p w14:paraId="214FEF47"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129B4A91"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p w14:paraId="6A8852FF"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r>
      <w:tr w:rsidR="00E371BA" w:rsidRPr="00507A31" w14:paraId="25BF3145" w14:textId="77777777" w:rsidTr="0013030E">
        <w:trPr>
          <w:trHeight w:val="912"/>
        </w:trPr>
        <w:tc>
          <w:tcPr>
            <w:tcW w:w="2160" w:type="dxa"/>
            <w:tcBorders>
              <w:top w:val="single" w:sz="6" w:space="0" w:color="auto"/>
              <w:left w:val="single" w:sz="6" w:space="0" w:color="auto"/>
              <w:bottom w:val="single" w:sz="6" w:space="0" w:color="auto"/>
              <w:right w:val="single" w:sz="6" w:space="0" w:color="auto"/>
            </w:tcBorders>
          </w:tcPr>
          <w:p w14:paraId="0C94FE58"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Военно-морские заказы -</w:t>
            </w:r>
          </w:p>
          <w:p w14:paraId="4AEE2C11"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E1D679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62,9 млн. руб.</w:t>
            </w:r>
          </w:p>
          <w:p w14:paraId="391ABB8E"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519A11E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(согласиться с предложением Начальника Штаба РККА об отодвижении сроков по некоторым заказанным объектам. В то же время разрешить Начморси при обсуждении исполнительной сметы войти в РВСС с предложением о заказах на 1930/31 г. по УВМС).</w:t>
            </w:r>
          </w:p>
          <w:p w14:paraId="1EAE74AF"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r>
      <w:tr w:rsidR="00E371BA" w:rsidRPr="00507A31" w14:paraId="18B40B69" w14:textId="77777777" w:rsidTr="0013030E">
        <w:trPr>
          <w:trHeight w:val="432"/>
        </w:trPr>
        <w:tc>
          <w:tcPr>
            <w:tcW w:w="2160" w:type="dxa"/>
            <w:tcBorders>
              <w:top w:val="single" w:sz="6" w:space="0" w:color="auto"/>
              <w:left w:val="single" w:sz="6" w:space="0" w:color="auto"/>
              <w:bottom w:val="single" w:sz="6" w:space="0" w:color="auto"/>
              <w:right w:val="single" w:sz="6" w:space="0" w:color="auto"/>
            </w:tcBorders>
          </w:tcPr>
          <w:p w14:paraId="32D1F9C9"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Военно-воздушные заказы -</w:t>
            </w:r>
          </w:p>
          <w:p w14:paraId="3C686611"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C20700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145 млн. руб.</w:t>
            </w:r>
          </w:p>
          <w:p w14:paraId="537735FA"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1F5EABD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(добавить против предложений Штаба РККА- 130 млн. руб.).</w:t>
            </w:r>
          </w:p>
          <w:p w14:paraId="0DF204EF"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r>
      <w:tr w:rsidR="00E371BA" w:rsidRPr="00507A31" w14:paraId="06FD61E6" w14:textId="77777777" w:rsidTr="0013030E">
        <w:trPr>
          <w:trHeight w:val="442"/>
        </w:trPr>
        <w:tc>
          <w:tcPr>
            <w:tcW w:w="2160" w:type="dxa"/>
            <w:tcBorders>
              <w:top w:val="single" w:sz="6" w:space="0" w:color="auto"/>
              <w:left w:val="single" w:sz="6" w:space="0" w:color="auto"/>
              <w:bottom w:val="single" w:sz="6" w:space="0" w:color="auto"/>
              <w:right w:val="single" w:sz="6" w:space="0" w:color="auto"/>
            </w:tcBorders>
          </w:tcPr>
          <w:p w14:paraId="4E2672AA"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Заказы строитель</w:t>
            </w:r>
            <w:r w:rsidRPr="00507A31">
              <w:rPr>
                <w:color w:val="000000" w:themeColor="text1"/>
                <w:sz w:val="16"/>
                <w:szCs w:val="16"/>
              </w:rPr>
              <w:softHyphen/>
              <w:t>ных материалов -</w:t>
            </w:r>
          </w:p>
          <w:p w14:paraId="3409D473"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82820CE"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33,4 млн. руб.</w:t>
            </w:r>
          </w:p>
          <w:p w14:paraId="367F87A8"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55840595"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p w14:paraId="44D6FEE5"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r>
      <w:tr w:rsidR="00E371BA" w:rsidRPr="00507A31" w14:paraId="343D7899" w14:textId="77777777" w:rsidTr="0013030E">
        <w:trPr>
          <w:trHeight w:val="931"/>
        </w:trPr>
        <w:tc>
          <w:tcPr>
            <w:tcW w:w="2160" w:type="dxa"/>
            <w:tcBorders>
              <w:top w:val="single" w:sz="6" w:space="0" w:color="auto"/>
              <w:left w:val="single" w:sz="6" w:space="0" w:color="auto"/>
              <w:bottom w:val="single" w:sz="6" w:space="0" w:color="auto"/>
              <w:right w:val="single" w:sz="6" w:space="0" w:color="auto"/>
            </w:tcBorders>
          </w:tcPr>
          <w:p w14:paraId="41A16BB4"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Военно-хозяй</w:t>
            </w:r>
            <w:r w:rsidRPr="00507A31">
              <w:rPr>
                <w:color w:val="000000" w:themeColor="text1"/>
                <w:sz w:val="16"/>
                <w:szCs w:val="16"/>
              </w:rPr>
              <w:softHyphen/>
              <w:t>ственные заказы -</w:t>
            </w:r>
          </w:p>
          <w:p w14:paraId="68ADA63D"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8CF67C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84 млн. Руб.</w:t>
            </w:r>
          </w:p>
          <w:p w14:paraId="77CDDDB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2FBEAE50"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(против предложений Штаба РККА - 93 млн. руб. -снять 9 млн. руб.: за счет снижения цен на 14%-15%, с чем настаивать в РЗ СТО. При рассмотрении исполнительной сметы обсудить отдельно весь седельный и обозный вопрос в целом).</w:t>
            </w:r>
          </w:p>
          <w:p w14:paraId="4131F2D4" w14:textId="77777777" w:rsidR="0077708B" w:rsidRPr="00507A31" w:rsidRDefault="0077708B" w:rsidP="00507A31">
            <w:pPr>
              <w:shd w:val="clear" w:color="auto" w:fill="FFFFFF"/>
              <w:autoSpaceDE w:val="0"/>
              <w:autoSpaceDN w:val="0"/>
              <w:adjustRightInd w:val="0"/>
              <w:jc w:val="both"/>
              <w:rPr>
                <w:color w:val="000000" w:themeColor="text1"/>
                <w:sz w:val="16"/>
                <w:szCs w:val="16"/>
              </w:rPr>
            </w:pPr>
          </w:p>
        </w:tc>
      </w:tr>
    </w:tbl>
    <w:p w14:paraId="3548474C"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 по всем новым заказам НКВМ 1930/31 г. — 793 млн. руб.</w:t>
      </w:r>
    </w:p>
    <w:p w14:paraId="30E3ED8D"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председателя РВС СССР Уборевич</w:t>
      </w:r>
    </w:p>
    <w:p w14:paraId="331D03E1" w14:textId="77777777" w:rsidR="0077708B" w:rsidRPr="00507A31" w:rsidRDefault="0077708B"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Секретарь РВС СССР Литуновский</w:t>
      </w:r>
    </w:p>
    <w:p w14:paraId="7B2A976A"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4. Л. 190 - 202. Копия (11210).</w:t>
      </w:r>
    </w:p>
    <w:p w14:paraId="2BFFC50E" w14:textId="77777777" w:rsidR="0077708B" w:rsidRPr="00507A31" w:rsidRDefault="0077708B" w:rsidP="00507A31">
      <w:pPr>
        <w:autoSpaceDE w:val="0"/>
        <w:autoSpaceDN w:val="0"/>
        <w:adjustRightInd w:val="0"/>
        <w:jc w:val="both"/>
        <w:rPr>
          <w:color w:val="000000" w:themeColor="text1"/>
          <w:sz w:val="16"/>
          <w:szCs w:val="16"/>
        </w:rPr>
      </w:pPr>
    </w:p>
    <w:p w14:paraId="0E377432"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13 августа 1930 года вышел протокола РВС СССР №17, в соответствии с которым для выпуска танков на ХПЗ в 1930 г. строили отдельные танковый и моторный цеха. В 1931 году уже был создан танковый отдел (Т2) в состав которого вошли механический, сборочный, сдаточный, опытный и нек. другие спеццеха (11579).</w:t>
      </w:r>
    </w:p>
    <w:p w14:paraId="007147EF" w14:textId="77777777" w:rsidR="0077708B" w:rsidRPr="00507A31" w:rsidRDefault="0077708B" w:rsidP="00507A31">
      <w:pPr>
        <w:autoSpaceDE w:val="0"/>
        <w:autoSpaceDN w:val="0"/>
        <w:adjustRightInd w:val="0"/>
        <w:jc w:val="both"/>
        <w:rPr>
          <w:color w:val="000000" w:themeColor="text1"/>
          <w:sz w:val="16"/>
          <w:szCs w:val="16"/>
        </w:rPr>
      </w:pPr>
    </w:p>
    <w:p w14:paraId="14E13DEB" w14:textId="77777777" w:rsidR="00E224B9" w:rsidRPr="00507A31" w:rsidRDefault="00E224B9" w:rsidP="00507A31">
      <w:pPr>
        <w:pStyle w:val="rtejustify"/>
        <w:spacing w:before="0" w:after="0"/>
        <w:rPr>
          <w:color w:val="000000" w:themeColor="text1"/>
          <w:sz w:val="16"/>
          <w:szCs w:val="16"/>
        </w:rPr>
      </w:pPr>
      <w:r w:rsidRPr="00507A31">
        <w:rPr>
          <w:rStyle w:val="af0"/>
          <w:i w:val="0"/>
          <w:color w:val="000000" w:themeColor="text1"/>
          <w:sz w:val="16"/>
          <w:szCs w:val="16"/>
        </w:rPr>
        <w:t xml:space="preserve">13 августа 1930 г. Протокол Реввоенсовета № 17. </w:t>
      </w:r>
      <w:r w:rsidRPr="00507A31">
        <w:rPr>
          <w:color w:val="000000" w:themeColor="text1"/>
          <w:sz w:val="16"/>
          <w:szCs w:val="16"/>
        </w:rPr>
        <w:t>2. а) О ходе работы по осуществлению образцов авто-броне-тракторного вооружения. (Халепский). б) О заказе танка Фольмера. (Нейман), в) О выполнении текущей программы по танкам. (Халепский). 4. Эскизный проект эсминца для Балтийского и Черного морей. (Муклевич). 8. О работе Осоавиахима и Мосавиахима. (Малиновский). 14. О дымовой шашке малого размера марки «Дм</w:t>
      </w:r>
      <w:r w:rsidRPr="00507A31">
        <w:rPr>
          <w:color w:val="000000" w:themeColor="text1"/>
          <w:sz w:val="16"/>
          <w:szCs w:val="16"/>
        </w:rPr>
        <w:noBreakHyphen/>
        <w:t>11». (Ефимов). 18. Об утверждении предом¹* РВСС: а) план новых заказов НКВМ на 1930/31 г. (Шапошников); в) О фильтропоглотителе для огневых точек укр[епленных] районов. (Жигур). (РГВА. Ф. 4. Оп. 18. Д. 19. Л. 293</w:t>
      </w:r>
      <w:r w:rsidRPr="00507A31">
        <w:rPr>
          <w:color w:val="000000" w:themeColor="text1"/>
          <w:sz w:val="16"/>
          <w:szCs w:val="16"/>
        </w:rPr>
        <w:noBreakHyphen/>
        <w:t>297, 300, 301</w:t>
      </w:r>
      <w:r w:rsidRPr="00507A31">
        <w:rPr>
          <w:color w:val="000000" w:themeColor="text1"/>
          <w:sz w:val="16"/>
          <w:szCs w:val="16"/>
        </w:rPr>
        <w:noBreakHyphen/>
        <w:t>302) (12342).</w:t>
      </w:r>
    </w:p>
    <w:p w14:paraId="20112CA7" w14:textId="77777777" w:rsidR="00E224B9" w:rsidRPr="00507A31" w:rsidRDefault="00E224B9" w:rsidP="00507A31">
      <w:pPr>
        <w:pStyle w:val="rtejustify"/>
        <w:spacing w:before="0" w:after="0"/>
        <w:rPr>
          <w:color w:val="000000" w:themeColor="text1"/>
          <w:sz w:val="16"/>
          <w:szCs w:val="16"/>
        </w:rPr>
      </w:pPr>
    </w:p>
    <w:p w14:paraId="4DEABE33"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13 августа 1930 было подготовлено письмо:</w:t>
      </w:r>
    </w:p>
    <w:p w14:paraId="418F7D36"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"В ЦК ВКП(б)</w:t>
      </w:r>
    </w:p>
    <w:p w14:paraId="38C35822"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Копия: К.Е. Ворошилову</w:t>
      </w:r>
    </w:p>
    <w:p w14:paraId="3918F030"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П.И. Баранову</w:t>
      </w:r>
    </w:p>
    <w:p w14:paraId="0CC32121"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Бауманский райком ВКП(б)</w:t>
      </w:r>
    </w:p>
    <w:p w14:paraId="34DAB19A"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Дорогие товарищи,</w:t>
      </w:r>
    </w:p>
    <w:p w14:paraId="44DC26C7"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 xml:space="preserve">решением Президиума ВСНХ Научно-Автомоторный Институт (НАМИ) передается в ВАТО, при этом Опытный завод НАМИ также передается в ВАТО для автотракторного строительства. Здесь, по нашему мнению, сделана большая ошибка, и это вынуждает нас обратиться в ЦК ВКП(б) с просьбой о пересмотре решения. </w:t>
      </w:r>
    </w:p>
    <w:p w14:paraId="4CC88539"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 Наше опытное строительство было исключительно бесплодно. Одной из основных причин надо считать отсутствие концентрированной базы опытного строительства. С огромными усилиями был построен при НАМИ опытный завод, пропускная способность которого ориентировочно равна 9 опытным машинам в год. Это является огромным достижением. Постройки опытного завода добивались и Реввоенсовет, и УВВС, и партийные организации… Теперь же, когда завод построен и в основном готов к выполнению директив Правительства и мы стоим накануне ликвидации прорывов, завод передается в ВАТО. Поэтому мы просим пересмотреть принятое решение.</w:t>
      </w:r>
    </w:p>
    <w:p w14:paraId="43ABA8E2"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Мы предлагаем следующее:</w:t>
      </w:r>
    </w:p>
    <w:p w14:paraId="2B7AC364" w14:textId="77777777" w:rsidR="0077708B" w:rsidRPr="00507A31" w:rsidRDefault="0077708B" w:rsidP="00507A31">
      <w:pPr>
        <w:tabs>
          <w:tab w:val="left" w:pos="720"/>
        </w:tabs>
        <w:autoSpaceDE w:val="0"/>
        <w:autoSpaceDN w:val="0"/>
        <w:adjustRightInd w:val="0"/>
        <w:jc w:val="both"/>
        <w:rPr>
          <w:color w:val="000000" w:themeColor="text1"/>
          <w:sz w:val="16"/>
          <w:szCs w:val="16"/>
        </w:rPr>
      </w:pPr>
      <w:r w:rsidRPr="00507A31">
        <w:rPr>
          <w:color w:val="000000" w:themeColor="text1"/>
          <w:sz w:val="16"/>
          <w:szCs w:val="16"/>
        </w:rPr>
        <w:t xml:space="preserve">Автотракторная часть Научно-Автомоторного Института (НАМИ) передается в ВАТО со всем материальным оборудованием и личным составом. </w:t>
      </w:r>
    </w:p>
    <w:p w14:paraId="1FA68C47" w14:textId="77777777" w:rsidR="0077708B" w:rsidRPr="00507A31" w:rsidRDefault="0077708B" w:rsidP="00507A31">
      <w:pPr>
        <w:tabs>
          <w:tab w:val="left" w:pos="720"/>
        </w:tabs>
        <w:autoSpaceDE w:val="0"/>
        <w:autoSpaceDN w:val="0"/>
        <w:adjustRightInd w:val="0"/>
        <w:jc w:val="both"/>
        <w:rPr>
          <w:color w:val="000000" w:themeColor="text1"/>
          <w:sz w:val="16"/>
          <w:szCs w:val="16"/>
        </w:rPr>
      </w:pPr>
      <w:r w:rsidRPr="00507A31">
        <w:rPr>
          <w:color w:val="000000" w:themeColor="text1"/>
          <w:sz w:val="16"/>
          <w:szCs w:val="16"/>
        </w:rPr>
        <w:t>Авиамоторная часть НАМИ вместе со всем законченным строительством первой очереди - Опытный завод, испытательная авиационная станция и авиационный отдел передаются Наркомвоенмору для объединения с Винтомоторным Отделом ЦАГИ и создания единого центрального Института по опытному строительству авиамоторов и самолетов.</w:t>
      </w:r>
    </w:p>
    <w:p w14:paraId="53603511"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А.Чаромский (НАМИ), чл. ВКП(б) с 1917 г.</w:t>
      </w:r>
    </w:p>
    <w:p w14:paraId="2CE0ACA3"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Л. Татко (ЦАГИ), чл. ВКП(б) с 1919 г. и др.</w:t>
      </w:r>
    </w:p>
    <w:p w14:paraId="424BAC6D"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 xml:space="preserve">13 августа 1930 г., г. Москва" </w:t>
      </w:r>
    </w:p>
    <w:p w14:paraId="6C22A8D0"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19 авиационных специалистов, понимая всю важность и остроту момента, решились на очень рискованный шаг - обратиться в ЦК ВКП(б), к К.Е.Ворошилову, П.И.Баранову и в Бауманский райком ВКП(б) с письмом, в котором критиковалось ранее принятое решение ВСНХ, освещалось состояние отечественного авиационного моторостроения и обосновывалась необходимость создания центрального института авиационного моторостроения.</w:t>
      </w:r>
    </w:p>
    <w:p w14:paraId="08B31DE4"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Однако ни ЦК ВКП(б), ни другие инстанции не могли ничего изменить без решения высшего политического руководства страны. Откладывать более было нельзя, так как полным ходом началось освоение опытного завода для нужд автотракторной промышленности и сворачивание деятельности Авиационного отдела НАМИ. Поэтому один из инициаторов этого письма, начальник Авиационного отдела НАМИ Алексей Дмитриевич Чаромский (инженер и конструктор, а также - большевик с дореволюционным партийным стажем и однополчанин П.И. Баранова по Гражданской), решил действовать самостоятельно. Он повез подписанное письмо на прием к П.И. Баранову, а после полетел с его визой на письме в Сочи, где отдыхали Сталин и Ворошилов. Руководство страны согласилось с доводами авиастроителей (в № 4 "Двигателя" за 2005 год мы уже описывали эту рискованную "операцию". Окончилась она удачно, что было изначально не очевидно, о чем после рассказывал сам Чаромский - прим. редакции).</w:t>
      </w:r>
    </w:p>
    <w:p w14:paraId="5A8E5DB6" w14:textId="77777777" w:rsidR="0077708B" w:rsidRPr="00507A31" w:rsidRDefault="0077708B" w:rsidP="00507A31">
      <w:pPr>
        <w:autoSpaceDE w:val="0"/>
        <w:autoSpaceDN w:val="0"/>
        <w:adjustRightInd w:val="0"/>
        <w:jc w:val="both"/>
        <w:rPr>
          <w:color w:val="000000" w:themeColor="text1"/>
          <w:sz w:val="16"/>
          <w:szCs w:val="16"/>
        </w:rPr>
      </w:pPr>
      <w:r w:rsidRPr="00507A31">
        <w:rPr>
          <w:color w:val="000000" w:themeColor="text1"/>
          <w:sz w:val="16"/>
          <w:szCs w:val="16"/>
        </w:rPr>
        <w:t>Сразу же после этого вышли постановление СНК СССР, в соответствии с которым опытный завод, авиаотдел и авиаиспытательная станция НАМИ передавались в ведение Наркомвоенмора. Позже было принято решение объединить Винтомоторный отдел ЦАГИ и Авиационный отдел НАМИ. Эта объединенная организация получила название ОАМ - ЦАГИ (отдел авиационных моторов ЦАГИ). Начальником ОАМ - ЦАГИ был назначен Б.С. Стечкин (11557).</w:t>
      </w:r>
    </w:p>
    <w:p w14:paraId="22ADFD90" w14:textId="77777777" w:rsidR="0077708B" w:rsidRPr="00507A31" w:rsidRDefault="0077708B" w:rsidP="00507A31">
      <w:pPr>
        <w:autoSpaceDE w:val="0"/>
        <w:autoSpaceDN w:val="0"/>
        <w:adjustRightInd w:val="0"/>
        <w:jc w:val="both"/>
        <w:rPr>
          <w:color w:val="000000" w:themeColor="text1"/>
          <w:sz w:val="16"/>
          <w:szCs w:val="16"/>
        </w:rPr>
      </w:pPr>
    </w:p>
    <w:p w14:paraId="07E54D1D" w14:textId="77777777" w:rsidR="00533EE8" w:rsidRPr="00507A31" w:rsidRDefault="00533EE8" w:rsidP="00507A31">
      <w:pPr>
        <w:jc w:val="both"/>
        <w:rPr>
          <w:color w:val="000000" w:themeColor="text1"/>
          <w:sz w:val="16"/>
          <w:szCs w:val="16"/>
        </w:rPr>
      </w:pPr>
      <w:r w:rsidRPr="00507A31">
        <w:rPr>
          <w:color w:val="000000" w:themeColor="text1"/>
          <w:sz w:val="16"/>
          <w:szCs w:val="16"/>
        </w:rPr>
        <w:t>13 августа 1930 г. на заседании Революционного Военного Совета (РВС) СССР был заслушан доклад о поездке в Италию специалистов технического управления МС РККА В. Н. Меженова и С. А. Федорова. По вопросу «Заказ вооружений итальянской промышленности; привлечение технической итальянской помощи» [Там же, л. 1-9] РВС постановил:</w:t>
      </w:r>
    </w:p>
    <w:p w14:paraId="02CC162C" w14:textId="77777777" w:rsidR="00533EE8" w:rsidRPr="00507A31" w:rsidRDefault="00533EE8" w:rsidP="00507A31">
      <w:pPr>
        <w:jc w:val="both"/>
        <w:rPr>
          <w:color w:val="000000" w:themeColor="text1"/>
          <w:sz w:val="16"/>
          <w:szCs w:val="16"/>
        </w:rPr>
      </w:pPr>
      <w:r w:rsidRPr="00507A31">
        <w:rPr>
          <w:color w:val="000000" w:themeColor="text1"/>
          <w:sz w:val="16"/>
          <w:szCs w:val="16"/>
        </w:rPr>
        <w:t>1. провести оптовые закупки моторов «Изотто-Фраскини» (для торпедных катеров) – 125 шт., торпед (для катеров и эсминцев) – 100 шт., (для подводных лодок) – 50 шт.;</w:t>
      </w:r>
    </w:p>
    <w:p w14:paraId="6A7B5825" w14:textId="77777777" w:rsidR="00533EE8" w:rsidRPr="00507A31" w:rsidRDefault="00533EE8" w:rsidP="00507A31">
      <w:pPr>
        <w:jc w:val="both"/>
        <w:rPr>
          <w:color w:val="000000" w:themeColor="text1"/>
          <w:sz w:val="16"/>
          <w:szCs w:val="16"/>
        </w:rPr>
      </w:pPr>
      <w:r w:rsidRPr="00507A31">
        <w:rPr>
          <w:color w:val="000000" w:themeColor="text1"/>
          <w:sz w:val="16"/>
          <w:szCs w:val="16"/>
        </w:rPr>
        <w:t>2. провести закупки в качестве образцов: гидроакустических приборов, оборудования и вооружения подводных лодок, приборов управления артиллерийским огнѐм, прицелов;</w:t>
      </w:r>
    </w:p>
    <w:p w14:paraId="18F16C32" w14:textId="77777777" w:rsidR="00533EE8" w:rsidRPr="00507A31" w:rsidRDefault="00533EE8" w:rsidP="00507A31">
      <w:pPr>
        <w:jc w:val="both"/>
        <w:rPr>
          <w:color w:val="000000" w:themeColor="text1"/>
          <w:sz w:val="16"/>
          <w:szCs w:val="16"/>
        </w:rPr>
      </w:pPr>
      <w:r w:rsidRPr="00507A31">
        <w:rPr>
          <w:color w:val="000000" w:themeColor="text1"/>
          <w:sz w:val="16"/>
          <w:szCs w:val="16"/>
        </w:rPr>
        <w:t>3. получить техническую помощь по военному судостроению, производству торпед и мощных авиамоторов (для катеров).</w:t>
      </w:r>
    </w:p>
    <w:p w14:paraId="00D08219" w14:textId="77777777" w:rsidR="00533EE8" w:rsidRPr="00507A31" w:rsidRDefault="00533EE8" w:rsidP="00507A31">
      <w:pPr>
        <w:jc w:val="both"/>
        <w:rPr>
          <w:color w:val="000000" w:themeColor="text1"/>
          <w:sz w:val="16"/>
          <w:szCs w:val="16"/>
        </w:rPr>
      </w:pPr>
      <w:r w:rsidRPr="00507A31">
        <w:rPr>
          <w:color w:val="000000" w:themeColor="text1"/>
          <w:sz w:val="16"/>
          <w:szCs w:val="16"/>
        </w:rPr>
        <w:lastRenderedPageBreak/>
        <w:t>Выполняя поручение руководства страны, командование МС направило в Италию группу военноморских специалистов в количестве 11 человек. Руководил комиссией А. К. Сивков (начальник технического управления МС), в еѐ состав входили специалисты по торпедам, артиллерии, электросвязи, подводному судостроению, механике, электрике сильного тока [Там же, л. 16].</w:t>
      </w:r>
    </w:p>
    <w:p w14:paraId="5A1BBAF1" w14:textId="77777777" w:rsidR="00533EE8" w:rsidRPr="00507A31" w:rsidRDefault="00533EE8" w:rsidP="00507A31">
      <w:pPr>
        <w:jc w:val="both"/>
        <w:rPr>
          <w:color w:val="000000" w:themeColor="text1"/>
          <w:sz w:val="16"/>
          <w:szCs w:val="16"/>
        </w:rPr>
      </w:pPr>
      <w:r w:rsidRPr="00507A31">
        <w:rPr>
          <w:color w:val="000000" w:themeColor="text1"/>
          <w:sz w:val="16"/>
          <w:szCs w:val="16"/>
        </w:rPr>
        <w:t>Задачи комиссии были сформулированы специальной директивой РВС СССР, советские специалисты выехали в Италию 15 сентября 1930 г. и возвратились в СССР 29 декабря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74DFA2CA" w14:textId="77777777" w:rsidR="00533EE8" w:rsidRPr="00507A31" w:rsidRDefault="00533EE8" w:rsidP="00507A31">
      <w:pPr>
        <w:jc w:val="both"/>
        <w:rPr>
          <w:color w:val="000000" w:themeColor="text1"/>
          <w:sz w:val="16"/>
          <w:szCs w:val="16"/>
        </w:rPr>
      </w:pPr>
      <w:r w:rsidRPr="00507A31">
        <w:rPr>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 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(18258).</w:t>
      </w:r>
    </w:p>
    <w:p w14:paraId="4275129F" w14:textId="77777777" w:rsidR="00533EE8" w:rsidRPr="00507A31" w:rsidRDefault="00533EE8" w:rsidP="00507A31">
      <w:pPr>
        <w:jc w:val="both"/>
        <w:rPr>
          <w:color w:val="000000" w:themeColor="text1"/>
          <w:sz w:val="16"/>
          <w:szCs w:val="16"/>
        </w:rPr>
      </w:pPr>
    </w:p>
    <w:p w14:paraId="205845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августа 1930 г. утвержденный Ревво</w:t>
      </w:r>
      <w:r w:rsidRPr="00507A31">
        <w:rPr>
          <w:color w:val="000000" w:themeColor="text1"/>
          <w:sz w:val="16"/>
          <w:szCs w:val="16"/>
        </w:rPr>
        <w:softHyphen/>
        <w:t>енсоветом СССР проект лидера предусматривал его вооружение новыми 130-мм орудиями (3898).</w:t>
      </w:r>
    </w:p>
    <w:p w14:paraId="757648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Общий проект (пр. 1) выполнялся в 1930—1932 гг. в БСПС (затем в ЦКБС-1) под руководством В. А. Никитина. При этом был избран достаточный запас водоизмещения, чтобы избежать пере</w:t>
      </w:r>
      <w:r w:rsidRPr="00507A31">
        <w:rPr>
          <w:color w:val="000000" w:themeColor="text1"/>
          <w:sz w:val="16"/>
          <w:szCs w:val="16"/>
        </w:rPr>
        <w:softHyphen/>
        <w:t>грузки. Машинно-котельная установка проектировалась под руко</w:t>
      </w:r>
      <w:r w:rsidRPr="00507A31">
        <w:rPr>
          <w:color w:val="000000" w:themeColor="text1"/>
          <w:sz w:val="16"/>
          <w:szCs w:val="16"/>
        </w:rPr>
        <w:softHyphen/>
        <w:t>водством А. В. Сперанского с учетом материалов международного конкурса, организованного для внедрения в отечественную практи</w:t>
      </w:r>
      <w:r w:rsidRPr="00507A31">
        <w:rPr>
          <w:color w:val="000000" w:themeColor="text1"/>
          <w:sz w:val="16"/>
          <w:szCs w:val="16"/>
        </w:rPr>
        <w:softHyphen/>
        <w:t>ку лучших иностранньис достижений. В ее проект также бьши зало</w:t>
      </w:r>
      <w:r w:rsidRPr="00507A31">
        <w:rPr>
          <w:color w:val="000000" w:themeColor="text1"/>
          <w:sz w:val="16"/>
          <w:szCs w:val="16"/>
        </w:rPr>
        <w:softHyphen/>
        <w:t>жены резервы, позволявшие достичь полной мощности без сущест</w:t>
      </w:r>
      <w:r w:rsidRPr="00507A31">
        <w:rPr>
          <w:color w:val="000000" w:themeColor="text1"/>
          <w:sz w:val="16"/>
          <w:szCs w:val="16"/>
        </w:rPr>
        <w:softHyphen/>
        <w:t>венного форсирования котлов.</w:t>
      </w:r>
    </w:p>
    <w:p w14:paraId="55C0AA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проектом корпус лидера имел полубачную ар</w:t>
      </w:r>
      <w:r w:rsidRPr="00507A31">
        <w:rPr>
          <w:color w:val="000000" w:themeColor="text1"/>
          <w:sz w:val="16"/>
          <w:szCs w:val="16"/>
        </w:rPr>
        <w:softHyphen/>
        <w:t>хитектуру, клепаную конструкцию и выполнялся из легированной марганцовистой стали. Несмотря на длительную отработку этой стали (предел текучести 40 кгс/мм ) она оказалась не лучшим ма</w:t>
      </w:r>
      <w:r w:rsidRPr="00507A31">
        <w:rPr>
          <w:color w:val="000000" w:themeColor="text1"/>
          <w:sz w:val="16"/>
          <w:szCs w:val="16"/>
        </w:rPr>
        <w:softHyphen/>
        <w:t>териалом для наружной обшивки и обнаружила склонность к рас-трескиванию.</w:t>
      </w:r>
    </w:p>
    <w:p w14:paraId="5B4F87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Теоретический чертеж составлялся исходя из требований до</w:t>
      </w:r>
      <w:r w:rsidRPr="00507A31">
        <w:rPr>
          <w:color w:val="000000" w:themeColor="text1"/>
          <w:sz w:val="16"/>
          <w:szCs w:val="16"/>
        </w:rPr>
        <w:softHyphen/>
        <w:t>стижения высокой скорости, проверялся на моделях в Опытовом бассейне и отличался острыми образованиями кормы. Гребные ва</w:t>
      </w:r>
      <w:r w:rsidRPr="00507A31">
        <w:rPr>
          <w:color w:val="000000" w:themeColor="text1"/>
          <w:sz w:val="16"/>
          <w:szCs w:val="16"/>
        </w:rPr>
        <w:softHyphen/>
        <w:t>лы выводились наружу через выкружки (так называемые "штаны") и не имели традиционных кронштейнов. Это решение, как и выбор обводов корпуса в целом, оказалось удачным. Достаточной была и остойчивость (начальная метацентрическая высота 1,22 м), зато прочность корпуса, особенно в носовой части, оставляла желать лучшего, что впоследствии потребовало подкреплений.</w:t>
      </w:r>
    </w:p>
    <w:p w14:paraId="1519B2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Непотопляемость корабля обеспечивалась при затоплении лю</w:t>
      </w:r>
      <w:r w:rsidRPr="00507A31">
        <w:rPr>
          <w:color w:val="000000" w:themeColor="text1"/>
          <w:sz w:val="16"/>
          <w:szCs w:val="16"/>
        </w:rPr>
        <w:softHyphen/>
        <w:t>бых двух смежных отсеков. Машинно-котельная установка имела линейно-эшелонное расположение и включала три главных турбо-зубчатых агрегата мощностью по 22 000 л. с. каждый и три водо</w:t>
      </w:r>
      <w:r w:rsidRPr="00507A31">
        <w:rPr>
          <w:color w:val="000000" w:themeColor="text1"/>
          <w:sz w:val="16"/>
          <w:szCs w:val="16"/>
        </w:rPr>
        <w:softHyphen/>
        <w:t>трубных котла (параметры пара — 21,5 кгс/см</w:t>
      </w:r>
      <w:r w:rsidRPr="00507A31">
        <w:rPr>
          <w:color w:val="000000" w:themeColor="text1"/>
          <w:sz w:val="16"/>
          <w:szCs w:val="16"/>
          <w:vertAlign w:val="superscript"/>
        </w:rPr>
        <w:t>2</w:t>
      </w:r>
      <w:r w:rsidRPr="00507A31">
        <w:rPr>
          <w:color w:val="000000" w:themeColor="text1"/>
          <w:sz w:val="16"/>
          <w:szCs w:val="16"/>
        </w:rPr>
        <w:t>, 330°С). Установка размещалась в пяти отсеках в средней части корпуса. Каждый ГТЗА состоял из двух активно-реактивных турбин высокого и низ</w:t>
      </w:r>
      <w:r w:rsidRPr="00507A31">
        <w:rPr>
          <w:color w:val="000000" w:themeColor="text1"/>
          <w:sz w:val="16"/>
          <w:szCs w:val="16"/>
        </w:rPr>
        <w:softHyphen/>
        <w:t>кого давления, и одноступенчатой зубчатой передачи. Частота вра</w:t>
      </w:r>
      <w:r w:rsidRPr="00507A31">
        <w:rPr>
          <w:color w:val="000000" w:themeColor="text1"/>
          <w:sz w:val="16"/>
          <w:szCs w:val="16"/>
        </w:rPr>
        <w:softHyphen/>
        <w:t>щения гребных винтов достигала 460 об/мин. Особенностью кот</w:t>
      </w:r>
      <w:r w:rsidRPr="00507A31">
        <w:rPr>
          <w:color w:val="000000" w:themeColor="text1"/>
          <w:sz w:val="16"/>
          <w:szCs w:val="16"/>
        </w:rPr>
        <w:softHyphen/>
        <w:t>лов высокой производительности (417 т/ч) было двухфронтовое отопление с 14 форсунками на каждом фронте и применение цель</w:t>
      </w:r>
      <w:r w:rsidRPr="00507A31">
        <w:rPr>
          <w:color w:val="000000" w:themeColor="text1"/>
          <w:sz w:val="16"/>
          <w:szCs w:val="16"/>
        </w:rPr>
        <w:softHyphen/>
        <w:t>нокованых импортных коллекторов вместе клепаных, изготовляв</w:t>
      </w:r>
      <w:r w:rsidRPr="00507A31">
        <w:rPr>
          <w:color w:val="000000" w:themeColor="text1"/>
          <w:sz w:val="16"/>
          <w:szCs w:val="16"/>
        </w:rPr>
        <w:softHyphen/>
        <w:t>шихся ранее на Северной верфи.</w:t>
      </w:r>
    </w:p>
    <w:p w14:paraId="15E812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Электрооборудование лидеров было рассчитано на постоянный ток напряжением 110 В, который вырабатывали три турбогенерато</w:t>
      </w:r>
      <w:r w:rsidRPr="00507A31">
        <w:rPr>
          <w:color w:val="000000" w:themeColor="text1"/>
          <w:sz w:val="16"/>
          <w:szCs w:val="16"/>
        </w:rPr>
        <w:softHyphen/>
        <w:t>ра (по 50 кВт) и два резервных дизель-генератора (по 30 кВт). Площадь руля составила 9,6 м , скорость его перекладки от 0 до 25° на полном ходу — 16 с. Нормальный запас топлива опреде</w:t>
      </w:r>
      <w:r w:rsidRPr="00507A31">
        <w:rPr>
          <w:color w:val="000000" w:themeColor="text1"/>
          <w:sz w:val="16"/>
          <w:szCs w:val="16"/>
        </w:rPr>
        <w:softHyphen/>
        <w:t>лили в 210 т (мазут), полный достигал 600 т, этого запаса хватало на 873 мили 40-узлового хода.</w:t>
      </w:r>
    </w:p>
    <w:p w14:paraId="032903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Лидеры вооружались новыми 130-мм артустановками Б-13. Орудия главного калибра стреляли на 139 каб. снарядом массой 33,4 кг и защищались башенноподобными 13-мм броневыми щи</w:t>
      </w:r>
      <w:r w:rsidRPr="00507A31">
        <w:rPr>
          <w:color w:val="000000" w:themeColor="text1"/>
          <w:sz w:val="16"/>
          <w:szCs w:val="16"/>
        </w:rPr>
        <w:softHyphen/>
        <w:t>тами. Техническая скорострельность достигала 10 выстр./мин. Зе</w:t>
      </w:r>
      <w:r w:rsidRPr="00507A31">
        <w:rPr>
          <w:color w:val="000000" w:themeColor="text1"/>
          <w:sz w:val="16"/>
          <w:szCs w:val="16"/>
        </w:rPr>
        <w:softHyphen/>
        <w:t>нитная артиллерия включала две 76-мм универсальных установки 34-К (масса снаряда 6,95 кг, досягаемость по высоте — 9,8 км, 20 выстр./мин) и два 45-мм полуавтомата 21-К. Определение дис</w:t>
      </w:r>
      <w:r w:rsidRPr="00507A31">
        <w:rPr>
          <w:color w:val="000000" w:themeColor="text1"/>
          <w:sz w:val="16"/>
          <w:szCs w:val="16"/>
        </w:rPr>
        <w:softHyphen/>
        <w:t>танции обеспечивалось двумя 3-метровыми и двумя 1,5-метровы</w:t>
      </w:r>
      <w:r w:rsidRPr="00507A31">
        <w:rPr>
          <w:color w:val="000000" w:themeColor="text1"/>
          <w:sz w:val="16"/>
          <w:szCs w:val="16"/>
        </w:rPr>
        <w:softHyphen/>
        <w:t>ми дальномерами, управление огнем главного калибра — итальян</w:t>
      </w:r>
      <w:r w:rsidRPr="00507A31">
        <w:rPr>
          <w:color w:val="000000" w:themeColor="text1"/>
          <w:sz w:val="16"/>
          <w:szCs w:val="16"/>
        </w:rPr>
        <w:softHyphen/>
        <w:t>ской системой ПУС.</w:t>
      </w:r>
    </w:p>
    <w:p w14:paraId="577917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Торпедное и противолодочное вооружение лидера было доста</w:t>
      </w:r>
      <w:r w:rsidRPr="00507A31">
        <w:rPr>
          <w:color w:val="000000" w:themeColor="text1"/>
          <w:sz w:val="16"/>
          <w:szCs w:val="16"/>
        </w:rPr>
        <w:softHyphen/>
        <w:t>точно мощным, но до поступления новых торпед 53-38 с дально</w:t>
      </w:r>
      <w:r w:rsidRPr="00507A31">
        <w:rPr>
          <w:color w:val="000000" w:themeColor="text1"/>
          <w:sz w:val="16"/>
          <w:szCs w:val="16"/>
        </w:rPr>
        <w:softHyphen/>
        <w:t>стью хода до 10 000 м (на скорости 30,5 уз) возможность успешного выхода в торпедную атаку была ограниченной. Мины лидер при</w:t>
      </w:r>
      <w:r w:rsidRPr="00507A31">
        <w:rPr>
          <w:color w:val="000000" w:themeColor="text1"/>
          <w:sz w:val="16"/>
          <w:szCs w:val="16"/>
        </w:rPr>
        <w:softHyphen/>
        <w:t>нимал в перегрузку на специально проложенные по палубе рельсы (3898).</w:t>
      </w:r>
    </w:p>
    <w:p w14:paraId="5B98B12D" w14:textId="77777777" w:rsidR="00537E5F" w:rsidRPr="00507A31" w:rsidRDefault="00537E5F" w:rsidP="00507A31">
      <w:pPr>
        <w:autoSpaceDE w:val="0"/>
        <w:autoSpaceDN w:val="0"/>
        <w:adjustRightInd w:val="0"/>
        <w:jc w:val="both"/>
        <w:rPr>
          <w:color w:val="000000" w:themeColor="text1"/>
          <w:sz w:val="16"/>
          <w:szCs w:val="16"/>
        </w:rPr>
      </w:pPr>
    </w:p>
    <w:p w14:paraId="0BD1EB6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0F40C961" w14:textId="77777777" w:rsidR="00537E5F" w:rsidRPr="00507A31" w:rsidRDefault="00537E5F" w:rsidP="00507A31">
      <w:pPr>
        <w:autoSpaceDE w:val="0"/>
        <w:autoSpaceDN w:val="0"/>
        <w:adjustRightInd w:val="0"/>
        <w:jc w:val="both"/>
        <w:rPr>
          <w:iCs/>
          <w:color w:val="000000" w:themeColor="text1"/>
          <w:sz w:val="16"/>
          <w:szCs w:val="16"/>
        </w:rPr>
      </w:pPr>
    </w:p>
    <w:p w14:paraId="437A447D" w14:textId="77777777" w:rsidR="00533EE8" w:rsidRPr="00507A31" w:rsidRDefault="00533EE8" w:rsidP="00507A31">
      <w:pPr>
        <w:jc w:val="both"/>
        <w:rPr>
          <w:color w:val="000000" w:themeColor="text1"/>
          <w:sz w:val="16"/>
          <w:szCs w:val="16"/>
        </w:rPr>
      </w:pPr>
      <w:r w:rsidRPr="00507A31">
        <w:rPr>
          <w:color w:val="000000" w:themeColor="text1"/>
          <w:sz w:val="16"/>
          <w:szCs w:val="16"/>
        </w:rPr>
        <w:t>13 августа 1930 г. выщел приказ РВС СССР № 177 «О введении в действие Наставления по полетной службе ВВС РККА, часть 1 – «Сухопутная авиация» (19566).</w:t>
      </w:r>
    </w:p>
    <w:p w14:paraId="44A2365E" w14:textId="77777777" w:rsidR="00533EE8" w:rsidRPr="00507A31" w:rsidRDefault="00533EE8" w:rsidP="00507A31">
      <w:pPr>
        <w:jc w:val="both"/>
        <w:rPr>
          <w:color w:val="000000" w:themeColor="text1"/>
          <w:sz w:val="16"/>
          <w:szCs w:val="16"/>
        </w:rPr>
      </w:pPr>
    </w:p>
    <w:p w14:paraId="1E0C8E8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13 августа 1930 ЦИК и СНК СССР утвердили Закон об обязательной военной службе (новая редакция) (4963 ).</w:t>
      </w:r>
    </w:p>
    <w:p w14:paraId="62C413A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9E30388" w14:textId="77777777" w:rsidR="00DE3C5D" w:rsidRPr="00507A31" w:rsidRDefault="00DE3C5D"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50B2A3B" w14:textId="77777777" w:rsidR="00DE3C5D" w:rsidRPr="00507A31" w:rsidRDefault="00DE3C5D" w:rsidP="00507A31">
      <w:pPr>
        <w:autoSpaceDE w:val="0"/>
        <w:autoSpaceDN w:val="0"/>
        <w:adjustRightInd w:val="0"/>
        <w:jc w:val="both"/>
        <w:rPr>
          <w:iCs/>
          <w:color w:val="000000" w:themeColor="text1"/>
          <w:sz w:val="16"/>
          <w:szCs w:val="16"/>
        </w:rPr>
      </w:pPr>
    </w:p>
    <w:p w14:paraId="0B0C0BAD" w14:textId="77777777" w:rsidR="00DE3C5D" w:rsidRPr="00507A31" w:rsidRDefault="00DE3C5D" w:rsidP="00507A31">
      <w:pPr>
        <w:jc w:val="both"/>
        <w:rPr>
          <w:color w:val="0070C0"/>
          <w:sz w:val="16"/>
          <w:szCs w:val="16"/>
        </w:rPr>
      </w:pPr>
      <w:r w:rsidRPr="00507A31">
        <w:rPr>
          <w:color w:val="0070C0"/>
          <w:sz w:val="16"/>
          <w:szCs w:val="16"/>
        </w:rPr>
        <w:t>13 августа 1930 Фрэнк Хоукс, управляя Travel Air Type R « Texaco 13», устанавливает новый трансконтинентальный рекорд скорости полета с запада на восток над континентальной частью США, совершив полет за 12 часов 25 минут 3 секунды. В то время это самый быстрый перелет через Соединенные Штаты из когда-либо совершенных (20805).</w:t>
      </w:r>
    </w:p>
    <w:p w14:paraId="68289129" w14:textId="77777777" w:rsidR="00DE3C5D" w:rsidRPr="00507A31" w:rsidRDefault="00DE3C5D" w:rsidP="00507A31">
      <w:pPr>
        <w:jc w:val="both"/>
        <w:rPr>
          <w:color w:val="0070C0"/>
          <w:sz w:val="16"/>
          <w:szCs w:val="16"/>
        </w:rPr>
      </w:pPr>
    </w:p>
    <w:p w14:paraId="1733B6C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5F6DAF6" w14:textId="77777777" w:rsidR="00537E5F" w:rsidRPr="00507A31" w:rsidRDefault="00537E5F" w:rsidP="00507A31">
      <w:pPr>
        <w:autoSpaceDE w:val="0"/>
        <w:autoSpaceDN w:val="0"/>
        <w:adjustRightInd w:val="0"/>
        <w:jc w:val="both"/>
        <w:rPr>
          <w:iCs/>
          <w:color w:val="000000" w:themeColor="text1"/>
          <w:sz w:val="16"/>
          <w:szCs w:val="16"/>
        </w:rPr>
      </w:pPr>
    </w:p>
    <w:p w14:paraId="5A3AE8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августа 1930 закончились испытания самолета П2 М6 N 2284, которые проходили с 18 июля 1930.</w:t>
      </w:r>
    </w:p>
    <w:p w14:paraId="210308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Цель работы</w:t>
      </w:r>
    </w:p>
    <w:p w14:paraId="0C6CB7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серийного самолета.</w:t>
      </w:r>
    </w:p>
    <w:p w14:paraId="41B6A0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Число дней испытания - 23</w:t>
      </w:r>
    </w:p>
    <w:p w14:paraId="163CD1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Число полетов - 29</w:t>
      </w:r>
    </w:p>
    <w:p w14:paraId="362F78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Летных дней - 13</w:t>
      </w:r>
    </w:p>
    <w:p w14:paraId="56301D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0EEE49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Как корпусной самолет П2 М6 применен быть не может так как вооружение и оборудование задней кабины снято из-за недопустимости центровки самолета превышающей 28%.</w:t>
      </w:r>
    </w:p>
    <w:p w14:paraId="6678A9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Возможно применение как тренировочного в частях ВВС или в гражданской авиации при условии устранения недостатков (3278).</w:t>
      </w:r>
    </w:p>
    <w:p w14:paraId="3E15AD2E" w14:textId="77777777" w:rsidR="00537E5F" w:rsidRPr="00507A31" w:rsidRDefault="00537E5F" w:rsidP="00507A31">
      <w:pPr>
        <w:autoSpaceDE w:val="0"/>
        <w:autoSpaceDN w:val="0"/>
        <w:adjustRightInd w:val="0"/>
        <w:jc w:val="both"/>
        <w:rPr>
          <w:color w:val="000000" w:themeColor="text1"/>
          <w:sz w:val="16"/>
          <w:szCs w:val="16"/>
        </w:rPr>
      </w:pPr>
    </w:p>
    <w:p w14:paraId="60A1838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F40506D" w14:textId="77777777" w:rsidR="00537E5F" w:rsidRPr="00507A31" w:rsidRDefault="00537E5F" w:rsidP="00507A31">
      <w:pPr>
        <w:autoSpaceDE w:val="0"/>
        <w:autoSpaceDN w:val="0"/>
        <w:adjustRightInd w:val="0"/>
        <w:jc w:val="both"/>
        <w:rPr>
          <w:iCs/>
          <w:color w:val="000000" w:themeColor="text1"/>
          <w:sz w:val="16"/>
          <w:szCs w:val="16"/>
        </w:rPr>
      </w:pPr>
    </w:p>
    <w:p w14:paraId="515A32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августа 1930 было принято постановление ЦИК и СНК О всеобщем обязательном начальном обучении - ввели семилетку (3481).</w:t>
      </w:r>
    </w:p>
    <w:p w14:paraId="0C5AB338" w14:textId="77777777" w:rsidR="00537E5F" w:rsidRPr="00507A31" w:rsidRDefault="00537E5F" w:rsidP="00507A31">
      <w:pPr>
        <w:autoSpaceDE w:val="0"/>
        <w:autoSpaceDN w:val="0"/>
        <w:adjustRightInd w:val="0"/>
        <w:jc w:val="both"/>
        <w:rPr>
          <w:color w:val="000000" w:themeColor="text1"/>
          <w:sz w:val="16"/>
          <w:szCs w:val="16"/>
        </w:rPr>
      </w:pPr>
    </w:p>
    <w:p w14:paraId="0E9A244B" w14:textId="77777777" w:rsidR="00533EE8" w:rsidRPr="00507A31" w:rsidRDefault="00533EE8" w:rsidP="00507A31">
      <w:pPr>
        <w:jc w:val="both"/>
        <w:rPr>
          <w:color w:val="000000" w:themeColor="text1"/>
          <w:sz w:val="16"/>
          <w:szCs w:val="16"/>
        </w:rPr>
      </w:pPr>
      <w:r w:rsidRPr="00507A31">
        <w:rPr>
          <w:color w:val="000000" w:themeColor="text1"/>
          <w:sz w:val="16"/>
          <w:szCs w:val="16"/>
        </w:rPr>
        <w:t>14 августа 1930. Постановления ЦИК и СНК СССР "О всеобщем обязательном начальном обучении" и о бесплатном обучении детей в возрасте от 8 до 15 лет (18725).</w:t>
      </w:r>
    </w:p>
    <w:p w14:paraId="4A6F0685" w14:textId="77777777" w:rsidR="00533EE8" w:rsidRPr="00507A31" w:rsidRDefault="00533EE8" w:rsidP="00507A31">
      <w:pPr>
        <w:jc w:val="both"/>
        <w:rPr>
          <w:color w:val="000000" w:themeColor="text1"/>
          <w:sz w:val="16"/>
          <w:szCs w:val="16"/>
        </w:rPr>
      </w:pPr>
    </w:p>
    <w:p w14:paraId="2059FBC7" w14:textId="77777777" w:rsidR="00A51B66" w:rsidRPr="00507A31" w:rsidRDefault="00A51B66" w:rsidP="00507A31">
      <w:pPr>
        <w:jc w:val="both"/>
        <w:rPr>
          <w:color w:val="000000" w:themeColor="text1"/>
          <w:sz w:val="16"/>
          <w:szCs w:val="16"/>
        </w:rPr>
      </w:pPr>
      <w:r w:rsidRPr="00507A31">
        <w:rPr>
          <w:color w:val="000000" w:themeColor="text1"/>
          <w:sz w:val="16"/>
          <w:szCs w:val="16"/>
        </w:rPr>
        <w:t>14 августа 1930 вышло Постановление ЦИК и СНК об обязательном всеобщем начальном образовании. Как раз перед новым учебным годом. С 1927 по 1933 число учащихся общеобразовательных школ возрастает с 1 млн. 600 тыс. до 21 млн. 400 тыс. (12629).</w:t>
      </w:r>
    </w:p>
    <w:p w14:paraId="371CC481" w14:textId="77777777" w:rsidR="00A51B66" w:rsidRPr="00507A31" w:rsidRDefault="00A51B66" w:rsidP="00507A31">
      <w:pPr>
        <w:autoSpaceDE w:val="0"/>
        <w:autoSpaceDN w:val="0"/>
        <w:adjustRightInd w:val="0"/>
        <w:jc w:val="both"/>
        <w:rPr>
          <w:iCs/>
          <w:color w:val="000000" w:themeColor="text1"/>
          <w:sz w:val="16"/>
          <w:szCs w:val="16"/>
        </w:rPr>
      </w:pPr>
    </w:p>
    <w:p w14:paraId="3837CA57" w14:textId="77777777" w:rsidR="002B3C2B" w:rsidRPr="00507A31" w:rsidRDefault="002B3C2B" w:rsidP="00507A31">
      <w:pPr>
        <w:jc w:val="both"/>
        <w:rPr>
          <w:color w:val="0070C0"/>
          <w:sz w:val="16"/>
          <w:szCs w:val="16"/>
        </w:rPr>
      </w:pPr>
      <w:r w:rsidRPr="00507A31">
        <w:rPr>
          <w:color w:val="0070C0"/>
          <w:sz w:val="16"/>
          <w:szCs w:val="16"/>
        </w:rPr>
        <w:t>14 августа 1930 года в соответствии с решениями 16-го съезда партии (1930) и постановлением ЦК ВКП (б) от 25 июля 1930 г., ЦИК и СНК СССР приняли постановление «О всеобщем обязательном начальном обучении». К 1934 году начальное всеобщее обучение было осуществлено повсеместно. В 1933—37 гг. в СССР было введено обязательное семилетнее образование (21167).</w:t>
      </w:r>
    </w:p>
    <w:p w14:paraId="4F5A2E4B" w14:textId="77777777" w:rsidR="002B3C2B" w:rsidRPr="00507A31" w:rsidRDefault="002B3C2B" w:rsidP="00507A31">
      <w:pPr>
        <w:jc w:val="both"/>
        <w:rPr>
          <w:color w:val="0070C0"/>
          <w:sz w:val="16"/>
          <w:szCs w:val="16"/>
        </w:rPr>
      </w:pPr>
    </w:p>
    <w:p w14:paraId="65AB601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A91C996" w14:textId="77777777" w:rsidR="00537E5F" w:rsidRPr="00507A31" w:rsidRDefault="00537E5F" w:rsidP="00507A31">
      <w:pPr>
        <w:autoSpaceDE w:val="0"/>
        <w:autoSpaceDN w:val="0"/>
        <w:adjustRightInd w:val="0"/>
        <w:jc w:val="both"/>
        <w:rPr>
          <w:iCs/>
          <w:color w:val="000000" w:themeColor="text1"/>
          <w:sz w:val="16"/>
          <w:szCs w:val="16"/>
        </w:rPr>
      </w:pPr>
    </w:p>
    <w:p w14:paraId="45EF760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14 августа 1930 состоялась премьера фильма «Моби Дик» (4962).</w:t>
      </w:r>
    </w:p>
    <w:p w14:paraId="0E8FD22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E7E9D7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A6C33B4" w14:textId="77777777" w:rsidR="00537E5F" w:rsidRPr="00507A31" w:rsidRDefault="00537E5F" w:rsidP="00507A31">
      <w:pPr>
        <w:autoSpaceDE w:val="0"/>
        <w:autoSpaceDN w:val="0"/>
        <w:adjustRightInd w:val="0"/>
        <w:jc w:val="both"/>
        <w:rPr>
          <w:iCs/>
          <w:color w:val="000000" w:themeColor="text1"/>
          <w:sz w:val="16"/>
          <w:szCs w:val="16"/>
        </w:rPr>
      </w:pPr>
    </w:p>
    <w:p w14:paraId="440846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августа 1930 г. после успешных испытаний одного из моторов пер</w:t>
      </w:r>
      <w:r w:rsidRPr="00507A31">
        <w:rPr>
          <w:color w:val="000000" w:themeColor="text1"/>
          <w:sz w:val="16"/>
          <w:szCs w:val="16"/>
        </w:rPr>
        <w:softHyphen/>
        <w:t>вой серии (серия «А») завода № 26 моторы М-17 официально допустили к эксплуатации в строевых частях ВВС РККА. Темпы выпуска значительно отставали от намеченных. К концу 1930 г. в Рыбинске сделали 165 двигателей, а к апрелю следующего года — 334. В М-17 остро нуждались самолетостроительные заводы: их ставили на массовые самолеты Р-5, Р-6, ТБ-1, ТБ-3. Управление ВВС распорядилось отправлять моторы с пассажирскими поездами независимо от загрузки ва</w:t>
      </w:r>
      <w:r w:rsidRPr="00507A31">
        <w:rPr>
          <w:color w:val="000000" w:themeColor="text1"/>
          <w:sz w:val="16"/>
          <w:szCs w:val="16"/>
        </w:rPr>
        <w:softHyphen/>
        <w:t>гона — в нем мог лежать всего один двигатель. Чтобы частично возместить отставание по количеству выпускаемых М-17, Совет труда и обороны своим постановлением в январе 1930 г. поручил освоить новый мотор также заводу № 24 в Москве. Из Рыбин</w:t>
      </w:r>
      <w:r w:rsidRPr="00507A31">
        <w:rPr>
          <w:color w:val="000000" w:themeColor="text1"/>
          <w:sz w:val="16"/>
          <w:szCs w:val="16"/>
        </w:rPr>
        <w:softHyphen/>
        <w:t>ска туда передали комплект чертежей. Производство начали с апреля,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507A31">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507A31">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507A31">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507A31">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507A31">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07A31">
        <w:rPr>
          <w:color w:val="000000" w:themeColor="text1"/>
          <w:sz w:val="16"/>
          <w:szCs w:val="16"/>
        </w:rPr>
        <w:softHyphen/>
        <w:t>лись целые серии высотных двигателей. Например, все моторы, входив</w:t>
      </w:r>
      <w:r w:rsidRPr="00507A31">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07A31">
        <w:rPr>
          <w:color w:val="000000" w:themeColor="text1"/>
          <w:sz w:val="16"/>
          <w:szCs w:val="16"/>
        </w:rPr>
        <w:softHyphen/>
        <w:t>лись планы его последующей модернизации. При этом не только следова</w:t>
      </w:r>
      <w:r w:rsidRPr="00507A31">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07A31">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07A31">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07A31">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07A31">
        <w:rPr>
          <w:color w:val="000000" w:themeColor="text1"/>
          <w:sz w:val="16"/>
          <w:szCs w:val="16"/>
        </w:rPr>
        <w:softHyphen/>
        <w:t>ны всего производства авиадвигателей в стране. Далее же начался спад (11852).</w:t>
      </w:r>
    </w:p>
    <w:p w14:paraId="0C91DC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52C8D2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12-цилиндровый, рядный У-образный, четырехтактный, водяного охлаждения;</w:t>
      </w:r>
    </w:p>
    <w:p w14:paraId="7D40F2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в зависимости от модификации;</w:t>
      </w:r>
    </w:p>
    <w:p w14:paraId="3F99D1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6,0 или 7,3;</w:t>
      </w:r>
    </w:p>
    <w:p w14:paraId="0AFF20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160/190 мм (прицепной — 199 мм);</w:t>
      </w:r>
    </w:p>
    <w:p w14:paraId="789C60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221BD6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вес 540-553 кг;</w:t>
      </w:r>
    </w:p>
    <w:p w14:paraId="20F3CD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мог оснащаться синхронизатором.</w:t>
      </w:r>
    </w:p>
    <w:p w14:paraId="44316C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М-17 выпускался в следующих модификациях:</w:t>
      </w:r>
    </w:p>
    <w:p w14:paraId="3711AB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М-17, самая первая серийная модификация. Комплектовалась импортной системой зажигания, карбюратором Зенит 60ОО или 60ОСХ. Выпуска</w:t>
      </w:r>
      <w:r w:rsidRPr="00507A31">
        <w:rPr>
          <w:color w:val="000000" w:themeColor="text1"/>
          <w:sz w:val="16"/>
          <w:szCs w:val="16"/>
        </w:rPr>
        <w:softHyphen/>
        <w:t>лась со степенью сжатия 6,0 (обозначалась М-17 или М-17Е6Д имела поршни с плоским днищем, 505/680 л.с.) или 7,3 (обозначалась М-17-7,3 или М-17Е7,3, имела поршни с выпуклым днищем, 500/730 л.с.), вес 540 кг. Моторы с обозначением «литер А» («пониженной кондиции») собирались из деталей, выходящих за пределы жестких допусков, но в пределах работоспособности. Имели увеличенный вес (до 570 кг) и меньшую максимальную мощность (645 л.с. для степени сжатия 6,0 и 705 л.с. для степени сжатия 7,3). Принимались с уценкой на 20%.</w:t>
      </w:r>
    </w:p>
    <w:p w14:paraId="3BE6D9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М-17Б, усовершенствованный вариант по типу немецкой модификации ВМ\У У1Ъ с усилением некоторых деталей (в частности, носка коленва-ла), измененным хвостовиком коленвала, новыми клапанными седлами, уменьшенными выпускными клапанами. Выпускался с июня 1931 г. в вариантах М-17Б (со степенью сжатия 6,0, 505/680 л.с.) и М-17Б-7,3 (со степенью сжатия 7,3, 505/730 л.с.). Впоследствии эти моторы были частично переоборудованы в М-17Ф путем замены деталей и узлов.</w:t>
      </w:r>
    </w:p>
    <w:p w14:paraId="224287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М-17 форсированный (М-17Ф), опытный вариант с форсированием по оборотам, степень сжатия 7,3, мощность 600/800 л.с. Создавался в Ры</w:t>
      </w:r>
      <w:r w:rsidRPr="00507A31">
        <w:rPr>
          <w:color w:val="000000" w:themeColor="text1"/>
          <w:sz w:val="16"/>
          <w:szCs w:val="16"/>
        </w:rPr>
        <w:softHyphen/>
        <w:t>бинске под руководством инженера Рогова в 1933-1934 гг. Изготовлен малой серией. Проходил стендовые испытания в апреле 1934 г. Об</w:t>
      </w:r>
      <w:r w:rsidRPr="00507A31">
        <w:rPr>
          <w:color w:val="000000" w:themeColor="text1"/>
          <w:sz w:val="16"/>
          <w:szCs w:val="16"/>
        </w:rPr>
        <w:softHyphen/>
        <w:t>летывался на самолетах И-7, Р-5 и ТБ-3. Серийно не выпускался.</w:t>
      </w:r>
    </w:p>
    <w:p w14:paraId="6D43DB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Разведчик и легкий бомбардировщик Р-5 в экспозиции Музея ВВС России в Монино Слева от самолета — мотор М- 17Ф</w:t>
      </w:r>
    </w:p>
    <w:p w14:paraId="5F49DA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М-17 спаренный, эксперимен</w:t>
      </w:r>
      <w:r w:rsidRPr="00507A31">
        <w:rPr>
          <w:color w:val="000000" w:themeColor="text1"/>
          <w:sz w:val="16"/>
          <w:szCs w:val="16"/>
        </w:rPr>
        <w:softHyphen/>
        <w:t>тальный вариант для мото</w:t>
      </w:r>
      <w:r w:rsidRPr="00507A31">
        <w:rPr>
          <w:color w:val="000000" w:themeColor="text1"/>
          <w:sz w:val="16"/>
          <w:szCs w:val="16"/>
        </w:rPr>
        <w:softHyphen/>
        <w:t>установки самолета Г-1 («Ги</w:t>
      </w:r>
      <w:r w:rsidRPr="00507A31">
        <w:rPr>
          <w:color w:val="000000" w:themeColor="text1"/>
          <w:sz w:val="16"/>
          <w:szCs w:val="16"/>
        </w:rPr>
        <w:softHyphen/>
        <w:t>гант»). Два М-17, установ</w:t>
      </w:r>
      <w:r w:rsidRPr="00507A31">
        <w:rPr>
          <w:color w:val="000000" w:themeColor="text1"/>
          <w:sz w:val="16"/>
          <w:szCs w:val="16"/>
        </w:rPr>
        <w:softHyphen/>
        <w:t>ленные навстречу друг другу, работали на общий угловой редуктор. Стендовые испыта</w:t>
      </w:r>
      <w:r w:rsidRPr="00507A31">
        <w:rPr>
          <w:color w:val="000000" w:themeColor="text1"/>
          <w:sz w:val="16"/>
          <w:szCs w:val="16"/>
        </w:rPr>
        <w:softHyphen/>
        <w:t>ния установки проходили в Военно-воздушной академии в апреле 1934 г. М-17Ф, усовершенствованный серийный вариант. Введены подшипники скольжения под пальцами прицепных шатунов, клапаны с креплением таре</w:t>
      </w:r>
      <w:r w:rsidRPr="00507A31">
        <w:rPr>
          <w:color w:val="000000" w:themeColor="text1"/>
          <w:sz w:val="16"/>
          <w:szCs w:val="16"/>
        </w:rPr>
        <w:softHyphen/>
        <w:t>лок разрезными коническими втулками по образцу мотора М-5. Комплектовался карбюра</w:t>
      </w:r>
      <w:r w:rsidRPr="00507A31">
        <w:rPr>
          <w:color w:val="000000" w:themeColor="text1"/>
          <w:sz w:val="16"/>
          <w:szCs w:val="16"/>
        </w:rPr>
        <w:softHyphen/>
        <w:t>тором К-17а, советским элек</w:t>
      </w:r>
      <w:r w:rsidRPr="00507A31">
        <w:rPr>
          <w:color w:val="000000" w:themeColor="text1"/>
          <w:sz w:val="16"/>
          <w:szCs w:val="16"/>
        </w:rPr>
        <w:softHyphen/>
        <w:t>трооборудованием. Мощность</w:t>
      </w:r>
    </w:p>
    <w:p w14:paraId="2F4209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500/715 л.с., выпускался только со степенью сжатия 6,0. С 1935 г. оснащался электрогенератором; вес 550 кг.</w:t>
      </w:r>
    </w:p>
    <w:p w14:paraId="13686C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М-17Т, танковый вариант. Разработан в 1935 г. Серийно выпускался в 1936-1939 гг. Выпущено 7951 экз. Отличался усиленной системой охлаждения, масляным змеевиком. Мотор был дефорсирован по обо</w:t>
      </w:r>
      <w:r w:rsidRPr="00507A31">
        <w:rPr>
          <w:color w:val="000000" w:themeColor="text1"/>
          <w:sz w:val="16"/>
          <w:szCs w:val="16"/>
        </w:rPr>
        <w:softHyphen/>
        <w:t>ротам. Электростартер вместо пневмопуска, карбюратор К-17Т; сте</w:t>
      </w:r>
      <w:r w:rsidRPr="00507A31">
        <w:rPr>
          <w:color w:val="000000" w:themeColor="text1"/>
          <w:sz w:val="16"/>
          <w:szCs w:val="16"/>
        </w:rPr>
        <w:softHyphen/>
        <w:t>пень сжатия 6,0; мощность 500 л.с. Устанавливался на танках БТ-7, БТ-7А, ОТ-7, Т-28, Т-28Э, Т-35 и опытных ПТ-1 и Т-29. - М-17Л, вариант для тяжелого танка Т-35. Серийно выпускался в 1940-1941 гг. Выпущено 530 экз. Отличался усиленным носком кар</w:t>
      </w:r>
      <w:r w:rsidRPr="00507A31">
        <w:rPr>
          <w:color w:val="000000" w:themeColor="text1"/>
          <w:sz w:val="16"/>
          <w:szCs w:val="16"/>
        </w:rPr>
        <w:softHyphen/>
        <w:t>тера, отсутствием нижней крышки картера, подводом воздуха из вну</w:t>
      </w:r>
      <w:r w:rsidRPr="00507A31">
        <w:rPr>
          <w:color w:val="000000" w:themeColor="text1"/>
          <w:sz w:val="16"/>
          <w:szCs w:val="16"/>
        </w:rPr>
        <w:softHyphen/>
        <w:t>тренних полостей, пневмопуском. Степень сжатия 6,0, мощность 650 л.с.</w:t>
      </w:r>
    </w:p>
    <w:p w14:paraId="28053B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Различные модификации мотора М-17 применялись на самолетах И-3, И-7, ТБ-1, ТБ-3, Р-5, Р-6, МБР-2, К-5, ПС-9, ПС-89 (ЗиГ-89), опытных ТШ-1, ТШ-2, Г-37, МИ-3, МИ-ЗД, в проектах МР и Г-1 («Гигант»). В годы Великой Отечественной войны проводилась переделка М-17Ф в М-17Т. Эти двигатели из-за нехватки дизелей В-2 устанавливались на ча</w:t>
      </w:r>
      <w:r w:rsidRPr="00507A31">
        <w:rPr>
          <w:color w:val="000000" w:themeColor="text1"/>
          <w:sz w:val="16"/>
          <w:szCs w:val="16"/>
        </w:rPr>
        <w:softHyphen/>
        <w:t>сти танков Т-34 выпуска 1941-1942 гг.</w:t>
      </w:r>
    </w:p>
    <w:p w14:paraId="6BD06F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654B4DD" w14:textId="77777777" w:rsidR="00F10C6B" w:rsidRPr="00507A31" w:rsidRDefault="00F10C6B" w:rsidP="00507A31">
      <w:pPr>
        <w:pStyle w:val="ae"/>
        <w:spacing w:before="0" w:after="0"/>
        <w:jc w:val="both"/>
        <w:rPr>
          <w:color w:val="000000" w:themeColor="text1"/>
          <w:sz w:val="16"/>
          <w:szCs w:val="16"/>
        </w:rPr>
      </w:pPr>
      <w:r w:rsidRPr="00507A31">
        <w:rPr>
          <w:color w:val="000000" w:themeColor="text1"/>
          <w:sz w:val="16"/>
          <w:szCs w:val="16"/>
        </w:rPr>
        <w:t>15 августа 1930 г. заседание комиссии под председательством начальника Морских сил РККА РА. Муклевича, определило объекты заказов в Италии. Импортная техника была желательной не только для УВМС. Валовые заказы могли быть размещены на самолеты, моторы «Isotta-Frascini», торпеды и зенитные орудия, о чем Р.А. Муклевич и доложил 26 августа К.Е. Ворошилову. На контрольном листе доклада нарком наложил резолюцию: «Можно пока исходить из намеченных объектов с тем, чтобы сейчас же послать квалифицированную техническую комиссию в Италию с задачей ознакомиться с достижениями в морфлоте (техника), после чего список объектов можно будет пополнить».</w:t>
      </w:r>
    </w:p>
    <w:p w14:paraId="6AAB5C1F" w14:textId="77777777" w:rsidR="00F10C6B" w:rsidRPr="00507A31" w:rsidRDefault="00F10C6B" w:rsidP="00507A31">
      <w:pPr>
        <w:pStyle w:val="ae"/>
        <w:spacing w:before="0" w:after="0"/>
        <w:jc w:val="both"/>
        <w:rPr>
          <w:color w:val="000000" w:themeColor="text1"/>
          <w:sz w:val="16"/>
          <w:szCs w:val="16"/>
        </w:rPr>
      </w:pPr>
      <w:r w:rsidRPr="00507A31">
        <w:rPr>
          <w:color w:val="000000" w:themeColor="text1"/>
          <w:sz w:val="16"/>
          <w:szCs w:val="16"/>
        </w:rPr>
        <w:t>Дальнейшая история с этой комиссией была изложена Р.А. Муклевичем в записке И.В. Сталину:</w:t>
      </w:r>
    </w:p>
    <w:p w14:paraId="4AFA094C" w14:textId="77777777" w:rsidR="00F10C6B" w:rsidRPr="00507A31" w:rsidRDefault="00F10C6B" w:rsidP="00507A31">
      <w:pPr>
        <w:pStyle w:val="ae"/>
        <w:spacing w:before="0" w:after="0"/>
        <w:jc w:val="both"/>
        <w:rPr>
          <w:color w:val="000000" w:themeColor="text1"/>
          <w:sz w:val="16"/>
          <w:szCs w:val="16"/>
        </w:rPr>
      </w:pPr>
      <w:r w:rsidRPr="00507A31">
        <w:rPr>
          <w:color w:val="000000" w:themeColor="text1"/>
          <w:sz w:val="16"/>
          <w:szCs w:val="16"/>
        </w:rPr>
        <w:t>«Генеральному Секретарю ЦК ВКП(б) т. Сталину</w:t>
      </w:r>
    </w:p>
    <w:p w14:paraId="754381FF" w14:textId="77777777" w:rsidR="00F10C6B" w:rsidRPr="00507A31" w:rsidRDefault="00F10C6B" w:rsidP="00507A31">
      <w:pPr>
        <w:pStyle w:val="ae"/>
        <w:spacing w:before="0" w:after="0"/>
        <w:jc w:val="both"/>
        <w:rPr>
          <w:color w:val="000000" w:themeColor="text1"/>
          <w:sz w:val="16"/>
          <w:szCs w:val="16"/>
        </w:rPr>
      </w:pPr>
      <w:r w:rsidRPr="00507A31">
        <w:rPr>
          <w:color w:val="000000" w:themeColor="text1"/>
          <w:sz w:val="16"/>
          <w:szCs w:val="16"/>
        </w:rPr>
        <w:t>В августе месяце прошлого года Вами были даны лично мне указания (в Сочи) о немедленной посылке группы моряков в Италию для ознакомления с достижениями в технике и тактике итальянского флота. Такая группа работников, под руководством опытного моряка-коммуниста т. Сивкова, была послана в Италию, пробыла там два месяца и вернулась 1 декабря прошлого года с богатыми материалами и наблюдениями. Итальянцы приняли наших моряков в высшей степени внимательно и радушно и показали им все, что они пожелали увидеть.</w:t>
      </w:r>
    </w:p>
    <w:p w14:paraId="39DF083A" w14:textId="77777777" w:rsidR="00F10C6B" w:rsidRPr="00507A31" w:rsidRDefault="00F10C6B" w:rsidP="00507A31">
      <w:pPr>
        <w:pStyle w:val="ae"/>
        <w:spacing w:before="0" w:after="0"/>
        <w:jc w:val="both"/>
        <w:rPr>
          <w:color w:val="000000" w:themeColor="text1"/>
          <w:sz w:val="16"/>
          <w:szCs w:val="16"/>
        </w:rPr>
      </w:pPr>
      <w:r w:rsidRPr="00507A31">
        <w:rPr>
          <w:color w:val="000000" w:themeColor="text1"/>
          <w:sz w:val="16"/>
          <w:szCs w:val="16"/>
        </w:rPr>
        <w:t>В нашу задачу входило не беспредметное ознакомление с итальянским флотом, а ознакомление на предмет заказов и получения технической помощи в тех областях, где у нас имеется отставание. Именно эти обстоятельства, а не политические симпатии, настраивали итальянцев на дружеский к нам лад, и только в надежде на заказы своим фирмам они так откровенно показывали нам свою технику.</w:t>
      </w:r>
    </w:p>
    <w:p w14:paraId="3C4B64D3" w14:textId="77777777" w:rsidR="00F10C6B" w:rsidRPr="00507A31" w:rsidRDefault="00F10C6B" w:rsidP="00507A31">
      <w:pPr>
        <w:pStyle w:val="ae"/>
        <w:spacing w:before="0" w:after="0"/>
        <w:jc w:val="both"/>
        <w:rPr>
          <w:color w:val="000000" w:themeColor="text1"/>
          <w:sz w:val="16"/>
          <w:szCs w:val="16"/>
        </w:rPr>
      </w:pPr>
      <w:r w:rsidRPr="00507A31">
        <w:rPr>
          <w:color w:val="000000" w:themeColor="text1"/>
          <w:sz w:val="16"/>
          <w:szCs w:val="16"/>
        </w:rPr>
        <w:t xml:space="preserve">И действительно, у итальянцев морская техника весьма высокая, как в кораблестроении, так и в морском вооружении они ушли далеко вперед. На фоне итальянских </w:t>
      </w:r>
      <w:r w:rsidRPr="00507A31">
        <w:rPr>
          <w:color w:val="000000" w:themeColor="text1"/>
          <w:sz w:val="16"/>
          <w:szCs w:val="16"/>
        </w:rPr>
        <w:lastRenderedPageBreak/>
        <w:t>достижений особенно бросается в глаза наша отсталость по торпедам, противосамолетной артиллерии, специальным снарядам и приборам управления огнем.</w:t>
      </w:r>
    </w:p>
    <w:p w14:paraId="3367BEA1" w14:textId="77777777" w:rsidR="00F10C6B" w:rsidRPr="00507A31" w:rsidRDefault="00F10C6B" w:rsidP="00507A31">
      <w:pPr>
        <w:pStyle w:val="ae"/>
        <w:spacing w:before="0" w:after="0"/>
        <w:jc w:val="both"/>
        <w:rPr>
          <w:color w:val="000000" w:themeColor="text1"/>
          <w:sz w:val="16"/>
          <w:szCs w:val="16"/>
        </w:rPr>
      </w:pPr>
      <w:r w:rsidRPr="00507A31">
        <w:rPr>
          <w:color w:val="000000" w:themeColor="text1"/>
          <w:sz w:val="16"/>
          <w:szCs w:val="16"/>
        </w:rPr>
        <w:t>После возвращения т. Сивков составил и представил срочную заявку на необходимые заказы для морского флота. Итальянцы подчеркивали в беседах с нашими моряками, что они пойдут на предоставление нам кредита, так что первые валютные платежи по нашим заказам будут предстоять только в 1932 г. Имеется постановление Политбюро о том, что дать необходимые контингенты для этих заказов, тем не менее, вопрос окончательного решения не получил и повис в воздухе. Время идет, хороших торпед и зенитной артиллерии у нас нет, промышленность наша безуспешно бьется над решением тех задач, которые заграницей давно уже разрешены.</w:t>
      </w:r>
    </w:p>
    <w:p w14:paraId="2E09075F" w14:textId="77777777" w:rsidR="00F10C6B" w:rsidRPr="00507A31" w:rsidRDefault="00F10C6B" w:rsidP="00507A31">
      <w:pPr>
        <w:pStyle w:val="ae"/>
        <w:spacing w:before="0" w:after="0"/>
        <w:jc w:val="both"/>
        <w:rPr>
          <w:color w:val="000000" w:themeColor="text1"/>
          <w:sz w:val="16"/>
          <w:szCs w:val="16"/>
        </w:rPr>
      </w:pPr>
      <w:r w:rsidRPr="00507A31">
        <w:rPr>
          <w:color w:val="000000" w:themeColor="text1"/>
          <w:sz w:val="16"/>
          <w:szCs w:val="16"/>
        </w:rPr>
        <w:t>Давая указание о поездке в Италию в августе месяце прошлого года, Вы придавали огромное значение нашим связям с итальянцами именно по морской линии. Вы говорили даже о возможности заказа крейсера; теперь это дело затормозилось; боюсь, что Вы об этом не знаете. Докладываю и прошу Вашего личного вмешательства.</w:t>
      </w:r>
    </w:p>
    <w:p w14:paraId="2B6C9C08" w14:textId="77777777" w:rsidR="00F10C6B" w:rsidRPr="00507A31" w:rsidRDefault="00F10C6B" w:rsidP="00507A31">
      <w:pPr>
        <w:pStyle w:val="ae"/>
        <w:spacing w:before="0" w:after="0"/>
        <w:jc w:val="both"/>
        <w:rPr>
          <w:color w:val="000000" w:themeColor="text1"/>
          <w:sz w:val="16"/>
          <w:szCs w:val="16"/>
        </w:rPr>
      </w:pPr>
      <w:r w:rsidRPr="00507A31">
        <w:rPr>
          <w:color w:val="000000" w:themeColor="text1"/>
          <w:sz w:val="16"/>
          <w:szCs w:val="16"/>
        </w:rPr>
        <w:t>НВМС Муклевич» (15736).</w:t>
      </w:r>
    </w:p>
    <w:p w14:paraId="00AAB48E" w14:textId="77777777" w:rsidR="00F10C6B" w:rsidRPr="00507A31" w:rsidRDefault="00F10C6B" w:rsidP="00507A31">
      <w:pPr>
        <w:pStyle w:val="ae"/>
        <w:spacing w:before="0" w:after="0"/>
        <w:jc w:val="both"/>
        <w:rPr>
          <w:color w:val="000000" w:themeColor="text1"/>
          <w:sz w:val="16"/>
          <w:szCs w:val="16"/>
        </w:rPr>
      </w:pPr>
    </w:p>
    <w:p w14:paraId="2FDD50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 в Тушино открылся 1-й всесоюзный съезд авиамоделистов, организованный Осоавиахимом (438,611).</w:t>
      </w:r>
    </w:p>
    <w:p w14:paraId="585E73F6" w14:textId="77777777" w:rsidR="00537E5F" w:rsidRPr="00507A31" w:rsidRDefault="00537E5F" w:rsidP="00507A31">
      <w:pPr>
        <w:autoSpaceDE w:val="0"/>
        <w:autoSpaceDN w:val="0"/>
        <w:adjustRightInd w:val="0"/>
        <w:jc w:val="both"/>
        <w:rPr>
          <w:color w:val="000000" w:themeColor="text1"/>
          <w:sz w:val="16"/>
          <w:szCs w:val="16"/>
        </w:rPr>
      </w:pPr>
    </w:p>
    <w:p w14:paraId="3A938F7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9F41B14" w14:textId="77777777" w:rsidR="00537E5F" w:rsidRPr="00507A31" w:rsidRDefault="00537E5F" w:rsidP="00507A31">
      <w:pPr>
        <w:autoSpaceDE w:val="0"/>
        <w:autoSpaceDN w:val="0"/>
        <w:adjustRightInd w:val="0"/>
        <w:jc w:val="both"/>
        <w:rPr>
          <w:iCs/>
          <w:color w:val="000000" w:themeColor="text1"/>
          <w:sz w:val="16"/>
          <w:szCs w:val="16"/>
        </w:rPr>
      </w:pPr>
    </w:p>
    <w:p w14:paraId="34BFAD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августа 1930 года спецотдел Ижорского завода направил в УММ РККА письмо следующего содержания:</w:t>
      </w:r>
    </w:p>
    <w:p w14:paraId="386A1C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«Ижзавод принимает заказ на разработку рабочих чер</w:t>
      </w:r>
      <w:r w:rsidRPr="00507A31">
        <w:rPr>
          <w:color w:val="000000" w:themeColor="text1"/>
          <w:sz w:val="16"/>
          <w:szCs w:val="16"/>
        </w:rPr>
        <w:softHyphen/>
        <w:t>тежей и изготовление двух опытных образцов бронеавтомо</w:t>
      </w:r>
      <w:r w:rsidRPr="00507A31">
        <w:rPr>
          <w:color w:val="000000" w:themeColor="text1"/>
          <w:sz w:val="16"/>
          <w:szCs w:val="16"/>
        </w:rPr>
        <w:softHyphen/>
        <w:t>биля «Форд-А» по представленному Вами проекту со сро</w:t>
      </w:r>
      <w:r w:rsidRPr="00507A31">
        <w:rPr>
          <w:color w:val="000000" w:themeColor="text1"/>
          <w:sz w:val="16"/>
          <w:szCs w:val="16"/>
        </w:rPr>
        <w:softHyphen/>
        <w:t>ком выпуска образцов 1 марта 1931 года. Ранее этого срока завод, ввиду перегрузки спецзаказами, выполнить заказ не может».</w:t>
      </w:r>
    </w:p>
    <w:p w14:paraId="59D16D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Управлению механизации и моторизации Красной Ар</w:t>
      </w:r>
      <w:r w:rsidRPr="00507A31">
        <w:rPr>
          <w:color w:val="000000" w:themeColor="text1"/>
          <w:sz w:val="16"/>
          <w:szCs w:val="16"/>
        </w:rPr>
        <w:softHyphen/>
        <w:t>мии пришлось обратиться в «высшие инстанции», в Рево</w:t>
      </w:r>
      <w:r w:rsidRPr="00507A31">
        <w:rPr>
          <w:color w:val="000000" w:themeColor="text1"/>
          <w:sz w:val="16"/>
          <w:szCs w:val="16"/>
        </w:rPr>
        <w:softHyphen/>
        <w:t>люционно-военный совет СССР, но и это помогло мало (11284).</w:t>
      </w:r>
    </w:p>
    <w:p w14:paraId="525F8A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64A4D92" w14:textId="77777777" w:rsidR="009C6786" w:rsidRPr="00507A31" w:rsidRDefault="009C6786" w:rsidP="00507A31">
      <w:pPr>
        <w:jc w:val="both"/>
        <w:rPr>
          <w:color w:val="000000" w:themeColor="text1"/>
          <w:sz w:val="16"/>
          <w:szCs w:val="16"/>
          <w:u w:color="002060"/>
        </w:rPr>
      </w:pPr>
      <w:r w:rsidRPr="00507A31">
        <w:rPr>
          <w:color w:val="000000" w:themeColor="text1"/>
          <w:sz w:val="16"/>
          <w:szCs w:val="16"/>
          <w:u w:color="002060"/>
        </w:rPr>
        <w:t>15 августа</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4. Решения ПБ от 10 августа 1930 г. 24/35. Сообщение комиссии Ворошилова (ПБ от 20 июля 1930 г., пр. № 2, п. 37) (Рудзутак) [о финансировании военной промышленности]. 32/44. О развитии гражданской авиации и формах ее связи с военной (ПБ от 20 июля 1930 г., пр. № 2, п. 44). 40/52. О выполнении постановления ПБ о Ленинградском судостроительном тресте (ПБ от 25 июля 1929 г., пр. № 90, п. 5). Опросом членов ПБ от 15 августа 1930 г. 58/58. О проверке директивы ЦК по ликвидации вредительства на заводах военной промышленности (ПБ от 25 февраля 1929 г., пр. № 118, п. 4). (Политбюро... Т. 2. С. 67, 68, 69) (12416).</w:t>
      </w:r>
    </w:p>
    <w:p w14:paraId="5B8EB573" w14:textId="77777777" w:rsidR="009C6786" w:rsidRPr="00507A31" w:rsidRDefault="009C6786" w:rsidP="00507A31">
      <w:pPr>
        <w:jc w:val="both"/>
        <w:rPr>
          <w:color w:val="000000" w:themeColor="text1"/>
          <w:sz w:val="16"/>
          <w:szCs w:val="16"/>
          <w:u w:color="002060"/>
        </w:rPr>
      </w:pPr>
    </w:p>
    <w:p w14:paraId="0CD3EDB3" w14:textId="77777777" w:rsidR="009C6786" w:rsidRPr="00507A31" w:rsidRDefault="009C6786" w:rsidP="00507A31">
      <w:pPr>
        <w:jc w:val="both"/>
        <w:rPr>
          <w:color w:val="000000" w:themeColor="text1"/>
          <w:sz w:val="16"/>
          <w:szCs w:val="16"/>
        </w:rPr>
      </w:pPr>
      <w:r w:rsidRPr="00507A31">
        <w:rPr>
          <w:rStyle w:val="a7"/>
          <w:b w:val="0"/>
          <w:color w:val="000000" w:themeColor="text1"/>
          <w:sz w:val="16"/>
          <w:szCs w:val="16"/>
        </w:rPr>
        <w:t xml:space="preserve">15 августа 1930 </w:t>
      </w:r>
      <w:r w:rsidRPr="00507A31">
        <w:rPr>
          <w:color w:val="000000" w:themeColor="text1"/>
          <w:sz w:val="16"/>
          <w:szCs w:val="16"/>
        </w:rPr>
        <w:t>Политбюро ЦК ВКП (б) поручило ВСНХ и Наркомтруду укрепить Нижегородский автосгрой кадрами и обеспечить единство в управлении строительством (12265).</w:t>
      </w:r>
    </w:p>
    <w:p w14:paraId="3952953D" w14:textId="77777777" w:rsidR="009C6786" w:rsidRPr="00507A31" w:rsidRDefault="009C6786" w:rsidP="00507A31">
      <w:pPr>
        <w:jc w:val="both"/>
        <w:rPr>
          <w:color w:val="000000" w:themeColor="text1"/>
          <w:sz w:val="16"/>
          <w:szCs w:val="16"/>
        </w:rPr>
      </w:pPr>
      <w:r w:rsidRPr="00507A31">
        <w:rPr>
          <w:color w:val="000000" w:themeColor="text1"/>
          <w:sz w:val="16"/>
          <w:szCs w:val="16"/>
        </w:rPr>
        <w:t> </w:t>
      </w:r>
    </w:p>
    <w:p w14:paraId="30341B41" w14:textId="77777777" w:rsidR="00F10C6B"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A065B23" w14:textId="77777777" w:rsidR="00F10C6B" w:rsidRPr="00507A31" w:rsidRDefault="00F10C6B" w:rsidP="00507A31">
      <w:pPr>
        <w:autoSpaceDE w:val="0"/>
        <w:autoSpaceDN w:val="0"/>
        <w:adjustRightInd w:val="0"/>
        <w:jc w:val="both"/>
        <w:rPr>
          <w:iCs/>
          <w:color w:val="000000" w:themeColor="text1"/>
          <w:sz w:val="16"/>
          <w:szCs w:val="16"/>
        </w:rPr>
      </w:pPr>
    </w:p>
    <w:p w14:paraId="40E33557" w14:textId="77777777" w:rsidR="00F10C6B" w:rsidRPr="00507A31" w:rsidRDefault="00F10C6B" w:rsidP="00507A31">
      <w:pPr>
        <w:jc w:val="both"/>
        <w:rPr>
          <w:color w:val="000000" w:themeColor="text1"/>
          <w:sz w:val="16"/>
          <w:szCs w:val="16"/>
        </w:rPr>
      </w:pPr>
      <w:r w:rsidRPr="00507A31">
        <w:rPr>
          <w:color w:val="000000" w:themeColor="text1"/>
          <w:sz w:val="16"/>
          <w:szCs w:val="16"/>
        </w:rPr>
        <w:t xml:space="preserve">15 августа в 1930 году в аэропорту стоял готовый прототип чешского легкого бомбардировщика </w:t>
      </w:r>
      <w:hyperlink r:id="rId139" w:tgtFrame="_blank" w:history="1">
        <w:r w:rsidRPr="00507A31">
          <w:rPr>
            <w:color w:val="000000" w:themeColor="text1"/>
            <w:sz w:val="16"/>
            <w:szCs w:val="16"/>
          </w:rPr>
          <w:t xml:space="preserve">«S-33». </w:t>
        </w:r>
      </w:hyperlink>
      <w:r w:rsidRPr="00507A31">
        <w:rPr>
          <w:color w:val="000000" w:themeColor="text1"/>
          <w:sz w:val="16"/>
          <w:szCs w:val="16"/>
        </w:rPr>
        <w:t>Заводской пилот Anderle попытался совершить первый полет. Двигатель работал на полную мощность, пилот применил весь свой опыт и хитрости, чтобы поднять «S-33» в воздух, но все казалось бесполезным. Ему удались только пять коротких прыжков, и только после долгих регулировок управляемый полет на высоте 100 метров. Была ущербной вся концепция самолета. Дюралюминиевый каркас имел слишком большой вес, лонжерон крыла не был достаточно жестким, хвостовое оперение имело плохую форму и расположение, центр тяжести был определен неправильно и смещен назад и т.д. Последующие изменения конструкции хвостовой части немного помогли, но было ясно, что «S-33» не удался. Бомбардировщик «S-33» представлял новую эпоху развития чехословацкой авиации. Это был свободнонесущий моноплан с цельнометаллическим дюралюминиевым каркасом. Был оснащен двигателем "Асса" мощностью 588/735 кВт (800/1000 л.с.) итальянской фирмы Isotta Fraschini, построенным по лицензии на заводе CKD-Praga. Кабина для двух пилотов располагалась сверху фюзеляжа перед крылом, кабина стрелка за крылом, обе были открыты. Шасси неубирающиеся. К ноябрю 1930 года было выполнено несколько полетов, один из них даже при скорости 240 км/ч. У самолета было много недостатков: очень тяжелое управление, большая вибрация хвостового оперения, полная продольная неустойчивость, плохой обзор из кабины, и т.д. Самолет испытывался до весны 1932 года, был выполнен 31 полет, остальные были отменены, как совершенно бесполезные. Второй прототип остался незавершенным (14984).</w:t>
      </w:r>
    </w:p>
    <w:p w14:paraId="67822C76" w14:textId="77777777" w:rsidR="00F10C6B" w:rsidRPr="00507A31" w:rsidRDefault="00F10C6B" w:rsidP="00507A31">
      <w:pPr>
        <w:jc w:val="both"/>
        <w:rPr>
          <w:color w:val="000000" w:themeColor="text1"/>
          <w:sz w:val="16"/>
          <w:szCs w:val="16"/>
        </w:rPr>
      </w:pPr>
    </w:p>
    <w:p w14:paraId="1206E9F1" w14:textId="77777777" w:rsidR="00B16E4A" w:rsidRPr="00507A31" w:rsidRDefault="00B16E4A"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E49871D" w14:textId="77777777" w:rsidR="00B16E4A" w:rsidRPr="00507A31" w:rsidRDefault="00B16E4A" w:rsidP="00507A31">
      <w:pPr>
        <w:autoSpaceDE w:val="0"/>
        <w:autoSpaceDN w:val="0"/>
        <w:adjustRightInd w:val="0"/>
        <w:jc w:val="both"/>
        <w:rPr>
          <w:iCs/>
          <w:color w:val="000000" w:themeColor="text1"/>
          <w:sz w:val="16"/>
          <w:szCs w:val="16"/>
        </w:rPr>
      </w:pPr>
    </w:p>
    <w:p w14:paraId="69D7C602" w14:textId="77777777" w:rsidR="00B16E4A" w:rsidRPr="00507A31" w:rsidRDefault="00B16E4A" w:rsidP="00507A31">
      <w:pPr>
        <w:pStyle w:val="ae"/>
        <w:shd w:val="clear" w:color="auto" w:fill="FFFFFF"/>
        <w:spacing w:before="0" w:after="0"/>
        <w:jc w:val="both"/>
        <w:textAlignment w:val="baseline"/>
        <w:rPr>
          <w:color w:val="0070C0"/>
          <w:sz w:val="16"/>
          <w:szCs w:val="16"/>
        </w:rPr>
      </w:pPr>
      <w:r w:rsidRPr="00507A31">
        <w:rPr>
          <w:color w:val="0070C0"/>
          <w:sz w:val="16"/>
          <w:szCs w:val="16"/>
        </w:rPr>
        <w:t>В середине августа 1930 Сталин и Ворошилов, находившиеся в Сочи, направили коллегам в Политбюро письмо-напоминание: комиссии хорошо бы поторопиться. Одновременно они обозначили качественные и количественные ориентиры предстоящего строительства:</w:t>
      </w:r>
    </w:p>
    <w:p w14:paraId="15D428F3" w14:textId="77777777" w:rsidR="00B16E4A" w:rsidRPr="00507A31" w:rsidRDefault="00B16E4A" w:rsidP="00507A31">
      <w:pPr>
        <w:pStyle w:val="ae"/>
        <w:shd w:val="clear" w:color="auto" w:fill="FFFFFF"/>
        <w:spacing w:before="0" w:after="0"/>
        <w:jc w:val="both"/>
        <w:textAlignment w:val="baseline"/>
        <w:rPr>
          <w:color w:val="0070C0"/>
          <w:sz w:val="16"/>
          <w:szCs w:val="16"/>
        </w:rPr>
      </w:pPr>
      <w:r w:rsidRPr="00507A31">
        <w:rPr>
          <w:color w:val="0070C0"/>
          <w:sz w:val="16"/>
          <w:szCs w:val="16"/>
          <w:bdr w:val="none" w:sz="0" w:space="0" w:color="auto" w:frame="1"/>
          <w:shd w:val="clear" w:color="auto" w:fill="FFFFFF"/>
        </w:rPr>
        <w:t>Следует учесть, что военный воздушный флот крупнейших империалистических стран базируется в основном на мощности гражданского воздушного флота. Мы должны учесть тот факт, что без превосходного гражданского воздухфлота, как базы военного воздухфлота, мы не можем разрешить задачи обороны страны и её жизненных центров вообще…</w:t>
      </w:r>
    </w:p>
    <w:p w14:paraId="0733AD2D" w14:textId="77777777" w:rsidR="00B16E4A" w:rsidRPr="00507A31" w:rsidRDefault="00B16E4A" w:rsidP="00507A31">
      <w:pPr>
        <w:pStyle w:val="ae"/>
        <w:shd w:val="clear" w:color="auto" w:fill="FFFFFF"/>
        <w:spacing w:before="0" w:after="0"/>
        <w:jc w:val="both"/>
        <w:textAlignment w:val="baseline"/>
        <w:rPr>
          <w:color w:val="0070C0"/>
          <w:sz w:val="16"/>
          <w:szCs w:val="16"/>
        </w:rPr>
      </w:pPr>
      <w:r w:rsidRPr="00507A31">
        <w:rPr>
          <w:color w:val="0070C0"/>
          <w:sz w:val="16"/>
          <w:szCs w:val="16"/>
          <w:bdr w:val="none" w:sz="0" w:space="0" w:color="auto" w:frame="1"/>
          <w:shd w:val="clear" w:color="auto" w:fill="FFFFFF"/>
        </w:rPr>
        <w:t>Ввиду почти полного отсутствия у нас гражданского воздушного флота и в связи с этим абсолютной слабости военного воздушного флота, считаем неотлагательно необходимым наверстать упущенное время и взяться немедленно за организацию мощного гражданского воздушного флота… Разрешение этой задачи потребует, разумеется, сотен миллионов рублей, но останавливаться перед этим мы не имеем возможности, и приходится действовать смелее… В соответствии с этим необходимо немедленно приступить… к постройке ряда заводов (к востоку от Волги) по моторостроению, самолётостроению и дирижаблестроению, с тем чтобы в кратчайший срок довести тоннаж Гражданского воздушного флота до 10–15 тысяч тонн…(20466).</w:t>
      </w:r>
    </w:p>
    <w:p w14:paraId="648741FB" w14:textId="77777777" w:rsidR="00B16E4A" w:rsidRPr="00507A31" w:rsidRDefault="00B16E4A" w:rsidP="00507A31">
      <w:pPr>
        <w:jc w:val="both"/>
        <w:rPr>
          <w:color w:val="0070C0"/>
          <w:sz w:val="16"/>
          <w:szCs w:val="16"/>
          <w:shd w:val="clear" w:color="auto" w:fill="FFFFFF"/>
        </w:rPr>
      </w:pPr>
    </w:p>
    <w:p w14:paraId="07F08D40" w14:textId="77777777" w:rsidR="009C6786"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26796AF" w14:textId="77777777" w:rsidR="009C6786" w:rsidRPr="00507A31" w:rsidRDefault="009C6786" w:rsidP="00507A31">
      <w:pPr>
        <w:autoSpaceDE w:val="0"/>
        <w:autoSpaceDN w:val="0"/>
        <w:adjustRightInd w:val="0"/>
        <w:jc w:val="both"/>
        <w:rPr>
          <w:iCs/>
          <w:color w:val="000000" w:themeColor="text1"/>
          <w:sz w:val="16"/>
          <w:szCs w:val="16"/>
        </w:rPr>
      </w:pPr>
    </w:p>
    <w:p w14:paraId="4B0C8786" w14:textId="77777777" w:rsidR="009C6786" w:rsidRPr="00507A31" w:rsidRDefault="009C6786" w:rsidP="00507A31">
      <w:pPr>
        <w:jc w:val="both"/>
        <w:rPr>
          <w:color w:val="000000" w:themeColor="text1"/>
          <w:sz w:val="16"/>
          <w:szCs w:val="16"/>
        </w:rPr>
      </w:pPr>
      <w:r w:rsidRPr="00507A31">
        <w:rPr>
          <w:color w:val="000000" w:themeColor="text1"/>
          <w:sz w:val="16"/>
          <w:szCs w:val="16"/>
        </w:rPr>
        <w:t>До середины августа 1930 г. продлились испытания Т-12, по результатам которых он был рекомендован для принятия на вооружение с учетом устранения выявленных недостатков. Всего по докладу начальника испытательной группы С.А. Гинзбурга на производственном совещании НТК УММ РККА 13 августа 1930 г. было отмечено 37 недостатков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3AB7F240" w14:textId="77777777" w:rsidR="009C6786" w:rsidRPr="00507A31" w:rsidRDefault="009C6786" w:rsidP="00507A31">
      <w:pPr>
        <w:jc w:val="both"/>
        <w:rPr>
          <w:color w:val="000000" w:themeColor="text1"/>
          <w:sz w:val="16"/>
          <w:szCs w:val="16"/>
        </w:rPr>
      </w:pPr>
    </w:p>
    <w:p w14:paraId="3DD5618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E0B87E8" w14:textId="77777777" w:rsidR="00537E5F" w:rsidRPr="00507A31" w:rsidRDefault="00537E5F" w:rsidP="00507A31">
      <w:pPr>
        <w:autoSpaceDE w:val="0"/>
        <w:autoSpaceDN w:val="0"/>
        <w:adjustRightInd w:val="0"/>
        <w:jc w:val="both"/>
        <w:rPr>
          <w:iCs/>
          <w:color w:val="000000" w:themeColor="text1"/>
          <w:sz w:val="16"/>
          <w:szCs w:val="16"/>
        </w:rPr>
      </w:pPr>
    </w:p>
    <w:p w14:paraId="5B699F8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16 августа 1930 года состоялось заседание первой секции НК (журнал 22с) по вопросу гос. испытаний И5-ЮVI</w:t>
      </w:r>
    </w:p>
    <w:p w14:paraId="7E19EC7C" w14:textId="77777777" w:rsidR="00537E5F" w:rsidRPr="00507A31" w:rsidRDefault="00537E5F" w:rsidP="00507A31">
      <w:pPr>
        <w:autoSpaceDE w:val="0"/>
        <w:autoSpaceDN w:val="0"/>
        <w:adjustRightInd w:val="0"/>
        <w:jc w:val="both"/>
        <w:rPr>
          <w:iCs/>
          <w:color w:val="000000" w:themeColor="text1"/>
          <w:sz w:val="16"/>
          <w:szCs w:val="16"/>
        </w:rPr>
      </w:pPr>
    </w:p>
    <w:p w14:paraId="43924735" w14:textId="77777777" w:rsidR="009C6786" w:rsidRPr="00507A31" w:rsidRDefault="009C6786" w:rsidP="00507A31">
      <w:pPr>
        <w:autoSpaceDE w:val="0"/>
        <w:autoSpaceDN w:val="0"/>
        <w:adjustRightInd w:val="0"/>
        <w:jc w:val="both"/>
        <w:rPr>
          <w:i/>
          <w:iCs/>
          <w:color w:val="000000" w:themeColor="text1"/>
          <w:sz w:val="16"/>
          <w:szCs w:val="16"/>
        </w:rPr>
      </w:pPr>
      <w:r w:rsidRPr="00507A31">
        <w:rPr>
          <w:i/>
          <w:iCs/>
          <w:color w:val="000000" w:themeColor="text1"/>
          <w:sz w:val="16"/>
          <w:szCs w:val="16"/>
        </w:rPr>
        <w:t>Жизнь и внутрен</w:t>
      </w:r>
      <w:r w:rsidR="00533EE8" w:rsidRPr="00507A31">
        <w:rPr>
          <w:i/>
          <w:iCs/>
          <w:color w:val="000000" w:themeColor="text1"/>
          <w:sz w:val="16"/>
          <w:szCs w:val="16"/>
        </w:rPr>
        <w:t>н</w:t>
      </w:r>
      <w:r w:rsidRPr="00507A31">
        <w:rPr>
          <w:i/>
          <w:iCs/>
          <w:color w:val="000000" w:themeColor="text1"/>
          <w:sz w:val="16"/>
          <w:szCs w:val="16"/>
        </w:rPr>
        <w:t>яя политика:</w:t>
      </w:r>
    </w:p>
    <w:p w14:paraId="5DC2A753" w14:textId="77777777" w:rsidR="009C6786" w:rsidRPr="00507A31" w:rsidRDefault="009C6786" w:rsidP="00507A31">
      <w:pPr>
        <w:autoSpaceDE w:val="0"/>
        <w:autoSpaceDN w:val="0"/>
        <w:adjustRightInd w:val="0"/>
        <w:jc w:val="both"/>
        <w:rPr>
          <w:i/>
          <w:iCs/>
          <w:color w:val="000000" w:themeColor="text1"/>
          <w:sz w:val="16"/>
          <w:szCs w:val="16"/>
        </w:rPr>
      </w:pPr>
    </w:p>
    <w:p w14:paraId="0F9A0AA6" w14:textId="77777777" w:rsidR="009C6786" w:rsidRPr="00507A31" w:rsidRDefault="009C6786" w:rsidP="00507A31">
      <w:pPr>
        <w:jc w:val="both"/>
        <w:rPr>
          <w:color w:val="000000" w:themeColor="text1"/>
          <w:sz w:val="16"/>
          <w:szCs w:val="16"/>
        </w:rPr>
      </w:pPr>
      <w:r w:rsidRPr="00507A31">
        <w:rPr>
          <w:rStyle w:val="a7"/>
          <w:b w:val="0"/>
          <w:color w:val="000000" w:themeColor="text1"/>
          <w:sz w:val="16"/>
          <w:szCs w:val="16"/>
        </w:rPr>
        <w:t xml:space="preserve">16 августа 1930 </w:t>
      </w:r>
      <w:r w:rsidRPr="00507A31">
        <w:rPr>
          <w:color w:val="000000" w:themeColor="text1"/>
          <w:sz w:val="16"/>
          <w:szCs w:val="16"/>
        </w:rPr>
        <w:t>СНК принял постановление «По докладам НК РКИ СССР о результатах обследования проведения кредитной реформы и Госбанка СССР и о ходе ее осуществления» (12265).</w:t>
      </w:r>
    </w:p>
    <w:p w14:paraId="23974092" w14:textId="77777777" w:rsidR="003547CE" w:rsidRPr="00507A31" w:rsidRDefault="003547CE" w:rsidP="00507A31">
      <w:pPr>
        <w:jc w:val="both"/>
        <w:rPr>
          <w:color w:val="000000" w:themeColor="text1"/>
          <w:sz w:val="16"/>
          <w:szCs w:val="16"/>
        </w:rPr>
      </w:pPr>
    </w:p>
    <w:p w14:paraId="7C94F8B4" w14:textId="77777777" w:rsidR="003547CE" w:rsidRPr="00507A31" w:rsidRDefault="003547CE" w:rsidP="00507A31">
      <w:pPr>
        <w:jc w:val="both"/>
        <w:rPr>
          <w:color w:val="000000" w:themeColor="text1"/>
          <w:sz w:val="16"/>
          <w:szCs w:val="16"/>
        </w:rPr>
      </w:pPr>
      <w:r w:rsidRPr="00507A31">
        <w:rPr>
          <w:color w:val="000000" w:themeColor="text1"/>
          <w:sz w:val="16"/>
          <w:szCs w:val="16"/>
        </w:rPr>
        <w:t>16</w:t>
      </w:r>
      <w:r w:rsidRPr="00507A31">
        <w:rPr>
          <w:color w:val="000000" w:themeColor="text1"/>
          <w:sz w:val="16"/>
          <w:szCs w:val="16"/>
          <w:lang w:val="en-US"/>
        </w:rPr>
        <w:t> </w:t>
      </w:r>
      <w:r w:rsidRPr="00507A31">
        <w:rPr>
          <w:color w:val="000000" w:themeColor="text1"/>
          <w:sz w:val="16"/>
          <w:szCs w:val="16"/>
        </w:rPr>
        <w:t>августа 1930</w:t>
      </w:r>
      <w:r w:rsidRPr="00507A31">
        <w:rPr>
          <w:color w:val="000000" w:themeColor="text1"/>
          <w:sz w:val="16"/>
          <w:szCs w:val="16"/>
          <w:lang w:val="en-US"/>
        </w:rPr>
        <w:t> </w:t>
      </w:r>
      <w:r w:rsidRPr="00507A31">
        <w:rPr>
          <w:color w:val="000000" w:themeColor="text1"/>
          <w:sz w:val="16"/>
          <w:szCs w:val="16"/>
        </w:rPr>
        <w:t>г. Постановлением СНК СССР для предприятий и организаций обобществленного сектора вместо системы множественных налогов были введены две основные формы платежей в бюджет</w:t>
      </w:r>
      <w:r w:rsidRPr="00507A31">
        <w:rPr>
          <w:color w:val="000000" w:themeColor="text1"/>
          <w:sz w:val="16"/>
          <w:szCs w:val="16"/>
          <w:lang w:val="en-US"/>
        </w:rPr>
        <w:t> </w:t>
      </w:r>
      <w:r w:rsidRPr="00507A31">
        <w:rPr>
          <w:color w:val="000000" w:themeColor="text1"/>
          <w:sz w:val="16"/>
          <w:szCs w:val="16"/>
        </w:rPr>
        <w:t xml:space="preserve">  налог с оборота (именно он стал основой доходной части бюджета) и отчисление от прибылей государственных предприятий на образование специального капитала в учреждениях долгосрочного кредита. Введение двух форм платежа госпредприятий в бюджет позволило создать механизм перераспределения доходов и финансового контроля за ходом выполнения предприятиями производственных планов и планов реализации.</w:t>
      </w:r>
    </w:p>
    <w:p w14:paraId="7A15FF28" w14:textId="77777777" w:rsidR="003547CE" w:rsidRPr="00507A31" w:rsidRDefault="003547CE" w:rsidP="00507A31">
      <w:pPr>
        <w:jc w:val="both"/>
        <w:rPr>
          <w:color w:val="000000" w:themeColor="text1"/>
          <w:sz w:val="16"/>
          <w:szCs w:val="16"/>
        </w:rPr>
      </w:pPr>
      <w:r w:rsidRPr="00507A31">
        <w:rPr>
          <w:color w:val="000000" w:themeColor="text1"/>
          <w:sz w:val="16"/>
          <w:szCs w:val="16"/>
        </w:rPr>
        <w:t>В ходе кредитной реформы в 1930</w:t>
      </w:r>
      <w:r w:rsidRPr="00507A31">
        <w:rPr>
          <w:color w:val="000000" w:themeColor="text1"/>
          <w:sz w:val="16"/>
          <w:szCs w:val="16"/>
          <w:lang w:val="en-US"/>
        </w:rPr>
        <w:t> </w:t>
      </w:r>
      <w:r w:rsidRPr="00507A31">
        <w:rPr>
          <w:color w:val="000000" w:themeColor="text1"/>
          <w:sz w:val="16"/>
          <w:szCs w:val="16"/>
        </w:rPr>
        <w:t>г. была ликвидирована система коммерческого кредита. Теперь все операции по прямому краткосрочному кредитованию осуществлялись Госбанком СССР. Специализированные (отраслевые) банки превратились в банки долгосрочных вложений, а сеть их отделений была ликвидирована. Операции спецбанков стали осуществляться через филиалы Госбанка.</w:t>
      </w:r>
    </w:p>
    <w:p w14:paraId="38EAA5C8" w14:textId="77777777" w:rsidR="003547CE" w:rsidRPr="00507A31" w:rsidRDefault="003547CE" w:rsidP="00507A31">
      <w:pPr>
        <w:jc w:val="both"/>
        <w:rPr>
          <w:color w:val="000000" w:themeColor="text1"/>
          <w:sz w:val="16"/>
          <w:szCs w:val="16"/>
        </w:rPr>
      </w:pPr>
      <w:r w:rsidRPr="00507A31">
        <w:rPr>
          <w:color w:val="000000" w:themeColor="text1"/>
          <w:sz w:val="16"/>
          <w:szCs w:val="16"/>
        </w:rPr>
        <w:t>В результате кредитной реформы деятельность Госбанка СССР окончательно утратила коммерческий характер, и его основными функциями стали плановое кредитование хозяйства, организация денежного обращения и расчетов, кассовое исполнение государственного бюджета и осуществление международных расчетов (17238).</w:t>
      </w:r>
    </w:p>
    <w:p w14:paraId="1CE6B410" w14:textId="77777777" w:rsidR="009C6786" w:rsidRPr="00507A31" w:rsidRDefault="009C6786" w:rsidP="00507A31">
      <w:pPr>
        <w:jc w:val="both"/>
        <w:rPr>
          <w:color w:val="000000" w:themeColor="text1"/>
          <w:sz w:val="16"/>
          <w:szCs w:val="16"/>
        </w:rPr>
      </w:pPr>
    </w:p>
    <w:p w14:paraId="59968B73" w14:textId="77777777" w:rsidR="00533EE8" w:rsidRPr="00507A31" w:rsidRDefault="00533EE8" w:rsidP="00507A31">
      <w:pPr>
        <w:jc w:val="both"/>
        <w:rPr>
          <w:color w:val="000000" w:themeColor="text1"/>
          <w:sz w:val="16"/>
          <w:szCs w:val="16"/>
        </w:rPr>
      </w:pPr>
      <w:r w:rsidRPr="00507A31">
        <w:rPr>
          <w:color w:val="000000" w:themeColor="text1"/>
          <w:sz w:val="16"/>
          <w:szCs w:val="16"/>
        </w:rPr>
        <w:t>16 августа 1930. Газета "Правда" опубликовала статью Е. Волгиной "Закрытый распределитель - основа классового снабжения".</w:t>
      </w:r>
    </w:p>
    <w:p w14:paraId="7F70991C" w14:textId="77777777" w:rsidR="00533EE8" w:rsidRPr="00507A31" w:rsidRDefault="00533EE8" w:rsidP="00507A31">
      <w:pPr>
        <w:jc w:val="both"/>
        <w:rPr>
          <w:color w:val="000000" w:themeColor="text1"/>
          <w:sz w:val="16"/>
          <w:szCs w:val="16"/>
        </w:rPr>
      </w:pPr>
      <w:r w:rsidRPr="00507A31">
        <w:rPr>
          <w:color w:val="000000" w:themeColor="text1"/>
          <w:sz w:val="16"/>
          <w:szCs w:val="16"/>
        </w:rPr>
        <w:lastRenderedPageBreak/>
        <w:t>Н. М. Любимов в книге воспоминаний "Неувядаемый цвет" пишет: "Стечением времени снабженческая иерархия становится многоступенчатой. У каждого крупного предприятия свой ЗРК (закрытый рабочий распределитель). Но и внутри закрытого снабжения вырастает лестница Для "народных артистов", знаменитых ученых, виднейших писателей открылся на Болоте, в так называемом Доме правительства, грандиозный ГОРТ "А". (Кажется, это расшифровывалось: Государственный распределитель товаров.) Рангом ниже прикрепляются к распределителям - литер "Б", Открывается распределитель для "персональных пенсионеров" то есть для тех, кто получает повышенную пенсию за личные заслуги или за особые заслуги родителей. При фабриках и заводах есть столовые только для ИТР. Писатели-фавориты питаются в столовой ресторанного типа, открывшейся в бывшей "Праге". Прочие, даже из лучших, но не обласканные, вроде Сергея Клычкова, - в доме Герцена, на Тверском бульваре. Из-за того, в какой ранг кого возведут, куда прикрепят, приравнивают или не приравнивают к ИТР, люди не спят ночей, ссорятся, друг на друга доносят. Всюду склоки и драки. По мере расширения круга счастливцев, попадающих в разряд ИТР, ухудшается качество выдаваемых им продуктов" (18725).</w:t>
      </w:r>
    </w:p>
    <w:p w14:paraId="1DAEBB50" w14:textId="77777777" w:rsidR="00533EE8" w:rsidRPr="00507A31" w:rsidRDefault="00533EE8" w:rsidP="00507A31">
      <w:pPr>
        <w:jc w:val="both"/>
        <w:rPr>
          <w:color w:val="000000" w:themeColor="text1"/>
          <w:sz w:val="16"/>
          <w:szCs w:val="16"/>
        </w:rPr>
      </w:pPr>
    </w:p>
    <w:p w14:paraId="5354B48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39E1E97" w14:textId="77777777" w:rsidR="00537E5F" w:rsidRPr="00507A31" w:rsidRDefault="00537E5F" w:rsidP="00507A31">
      <w:pPr>
        <w:autoSpaceDE w:val="0"/>
        <w:autoSpaceDN w:val="0"/>
        <w:adjustRightInd w:val="0"/>
        <w:jc w:val="both"/>
        <w:rPr>
          <w:iCs/>
          <w:color w:val="000000" w:themeColor="text1"/>
          <w:sz w:val="16"/>
          <w:szCs w:val="16"/>
        </w:rPr>
      </w:pPr>
    </w:p>
    <w:p w14:paraId="140883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августа 1930 в Москве на Р-1, зацепив сигнальную мачту, разбился инспектор ВВС Л.Г.Попов (438,611).</w:t>
      </w:r>
    </w:p>
    <w:p w14:paraId="25ADE226" w14:textId="77777777" w:rsidR="00537E5F" w:rsidRPr="00507A31" w:rsidRDefault="00537E5F" w:rsidP="00507A31">
      <w:pPr>
        <w:autoSpaceDE w:val="0"/>
        <w:autoSpaceDN w:val="0"/>
        <w:adjustRightInd w:val="0"/>
        <w:jc w:val="both"/>
        <w:rPr>
          <w:color w:val="000000" w:themeColor="text1"/>
          <w:sz w:val="16"/>
          <w:szCs w:val="16"/>
        </w:rPr>
      </w:pPr>
    </w:p>
    <w:p w14:paraId="1AC983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августа 1930 года была закончена работа по составлению проекта будущего з-да № 19, которая велась с 1 мая 1930 года (9290).</w:t>
      </w:r>
    </w:p>
    <w:p w14:paraId="3FC89775" w14:textId="77777777" w:rsidR="00537E5F" w:rsidRPr="00507A31" w:rsidRDefault="00537E5F" w:rsidP="00507A31">
      <w:pPr>
        <w:autoSpaceDE w:val="0"/>
        <w:autoSpaceDN w:val="0"/>
        <w:adjustRightInd w:val="0"/>
        <w:jc w:val="both"/>
        <w:rPr>
          <w:color w:val="000000" w:themeColor="text1"/>
          <w:sz w:val="16"/>
          <w:szCs w:val="16"/>
        </w:rPr>
      </w:pPr>
    </w:p>
    <w:p w14:paraId="0D67382D" w14:textId="77777777" w:rsidR="00835135" w:rsidRPr="00507A31" w:rsidRDefault="00835135" w:rsidP="00507A31">
      <w:pPr>
        <w:jc w:val="both"/>
        <w:rPr>
          <w:color w:val="000000" w:themeColor="text1"/>
          <w:sz w:val="16"/>
          <w:szCs w:val="16"/>
        </w:rPr>
      </w:pPr>
      <w:r w:rsidRPr="00507A31">
        <w:rPr>
          <w:color w:val="000000" w:themeColor="text1"/>
          <w:sz w:val="16"/>
          <w:szCs w:val="16"/>
        </w:rPr>
        <w:t>17 августа в 1930 году в Кемерове совершило первую посадку воздушное судно, выполнявшее рейс по вновь открытому маршруту Новосибирск – Кемерово – Новокузнецк. С 1997 г. Международный аэропорт «Кемерово» (14986).</w:t>
      </w:r>
    </w:p>
    <w:p w14:paraId="4BE2D390" w14:textId="77777777" w:rsidR="00835135" w:rsidRPr="00507A31" w:rsidRDefault="00835135" w:rsidP="00507A31">
      <w:pPr>
        <w:jc w:val="both"/>
        <w:rPr>
          <w:color w:val="000000" w:themeColor="text1"/>
          <w:sz w:val="16"/>
          <w:szCs w:val="16"/>
        </w:rPr>
      </w:pPr>
    </w:p>
    <w:p w14:paraId="57DB248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D149055" w14:textId="77777777" w:rsidR="00537E5F" w:rsidRPr="00507A31" w:rsidRDefault="00537E5F" w:rsidP="00507A31">
      <w:pPr>
        <w:autoSpaceDE w:val="0"/>
        <w:autoSpaceDN w:val="0"/>
        <w:adjustRightInd w:val="0"/>
        <w:jc w:val="both"/>
        <w:rPr>
          <w:iCs/>
          <w:color w:val="000000" w:themeColor="text1"/>
          <w:sz w:val="16"/>
          <w:szCs w:val="16"/>
        </w:rPr>
      </w:pPr>
    </w:p>
    <w:p w14:paraId="68F1BF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августа 1930 сторонники республики заключили со сторонниками независимости Каталонии о том, что Каталония станет независимой после образования Испанской республики (3907,162).</w:t>
      </w:r>
    </w:p>
    <w:p w14:paraId="1D3C56EE" w14:textId="77777777" w:rsidR="00537E5F" w:rsidRPr="00507A31" w:rsidRDefault="00537E5F" w:rsidP="00507A31">
      <w:pPr>
        <w:autoSpaceDE w:val="0"/>
        <w:autoSpaceDN w:val="0"/>
        <w:adjustRightInd w:val="0"/>
        <w:jc w:val="both"/>
        <w:rPr>
          <w:color w:val="000000" w:themeColor="text1"/>
          <w:sz w:val="16"/>
          <w:szCs w:val="16"/>
        </w:rPr>
      </w:pPr>
    </w:p>
    <w:p w14:paraId="2EDFBB2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81CC1EE" w14:textId="77777777" w:rsidR="00537E5F" w:rsidRPr="00507A31" w:rsidRDefault="00537E5F" w:rsidP="00507A31">
      <w:pPr>
        <w:autoSpaceDE w:val="0"/>
        <w:autoSpaceDN w:val="0"/>
        <w:adjustRightInd w:val="0"/>
        <w:jc w:val="both"/>
        <w:rPr>
          <w:iCs/>
          <w:color w:val="000000" w:themeColor="text1"/>
          <w:sz w:val="16"/>
          <w:szCs w:val="16"/>
        </w:rPr>
      </w:pPr>
    </w:p>
    <w:p w14:paraId="6248A8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августа 1930 в Москву с дружеским визитом прилетала эскадрилья литовских летчиков на трех Ансальдо-120 во главе с А.Густайтисом. В ответ на визит военных судов в Мемель (438,611).</w:t>
      </w:r>
    </w:p>
    <w:p w14:paraId="187D6BD8" w14:textId="77777777" w:rsidR="00537E5F" w:rsidRPr="00507A31" w:rsidRDefault="00537E5F" w:rsidP="00507A31">
      <w:pPr>
        <w:autoSpaceDE w:val="0"/>
        <w:autoSpaceDN w:val="0"/>
        <w:adjustRightInd w:val="0"/>
        <w:jc w:val="both"/>
        <w:rPr>
          <w:color w:val="000000" w:themeColor="text1"/>
          <w:sz w:val="16"/>
          <w:szCs w:val="16"/>
        </w:rPr>
      </w:pPr>
    </w:p>
    <w:p w14:paraId="2D8E6FF8" w14:textId="77777777" w:rsidR="00B16E4A" w:rsidRPr="00507A31" w:rsidRDefault="00B16E4A" w:rsidP="00507A31">
      <w:pPr>
        <w:jc w:val="both"/>
        <w:rPr>
          <w:color w:val="0070C0"/>
          <w:sz w:val="16"/>
          <w:szCs w:val="16"/>
        </w:rPr>
      </w:pPr>
      <w:r w:rsidRPr="00507A31">
        <w:rPr>
          <w:color w:val="0070C0"/>
          <w:sz w:val="16"/>
          <w:szCs w:val="16"/>
          <w:shd w:val="clear" w:color="auto" w:fill="FFFFFF"/>
        </w:rPr>
        <w:t>18 августа 1930 Литовская эскадрилья под руководством Витаутаса Яблонкиса (Vytautas Jablonskis) и Антанаса Густайтиса (Antanas Gustaitis) на трех (вероятно) самолетах-разведчиках «Ансальдо» A-120 (Ansaldo) вылетела из Каунаса и в тот же день приземлилась на аэродроме имени М.В. Фрунзе в Москве. В ходе пятидневного визита литовские летчики посетили управление ВВС РККА, инспекцию гражданского воздушного флота СССР, военно-воздушную академию и прочие авиационные учреждения. Естественно, были банкеты и «пункты» культурной программы. 22 августа гостей знакомили с организацией боевой подготовки ВВС РККА. Было продемонстрировано учебное бомбометание и высший пилотаж. В Каунас эскадрилья возвратилась 23 августа (21438).</w:t>
      </w:r>
    </w:p>
    <w:p w14:paraId="4C6A4B8B" w14:textId="77777777" w:rsidR="00B16E4A" w:rsidRPr="00507A31" w:rsidRDefault="00B16E4A" w:rsidP="00507A31">
      <w:pPr>
        <w:pStyle w:val="ae"/>
        <w:shd w:val="clear" w:color="auto" w:fill="FFFFFF"/>
        <w:spacing w:before="0" w:after="0"/>
        <w:jc w:val="both"/>
        <w:textAlignment w:val="baseline"/>
        <w:rPr>
          <w:color w:val="0070C0"/>
          <w:sz w:val="16"/>
          <w:szCs w:val="16"/>
        </w:rPr>
      </w:pPr>
    </w:p>
    <w:p w14:paraId="1E9EFE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августа 1930 года испытания автожира КАСКР-1 с участием Камова были возобновле</w:t>
      </w:r>
      <w:r w:rsidRPr="00507A31">
        <w:rPr>
          <w:color w:val="000000" w:themeColor="text1"/>
          <w:sz w:val="16"/>
          <w:szCs w:val="16"/>
        </w:rPr>
        <w:softHyphen/>
        <w:t>ны. Испытания велись под руководством специаль</w:t>
      </w:r>
      <w:r w:rsidRPr="00507A31">
        <w:rPr>
          <w:color w:val="000000" w:themeColor="text1"/>
          <w:sz w:val="16"/>
          <w:szCs w:val="16"/>
        </w:rPr>
        <w:softHyphen/>
        <w:t>но назначенной комиссии. Регулярно составлялись протоколы испыта</w:t>
      </w:r>
      <w:r w:rsidRPr="00507A31">
        <w:rPr>
          <w:color w:val="000000" w:themeColor="text1"/>
          <w:sz w:val="16"/>
          <w:szCs w:val="16"/>
        </w:rPr>
        <w:softHyphen/>
        <w:t>ний. Выполнялись проверки работы двигателей на стоянке, рулежки без лопастей, испытания с навешенными лопастями, определялось опти</w:t>
      </w:r>
      <w:r w:rsidRPr="00507A31">
        <w:rPr>
          <w:color w:val="000000" w:themeColor="text1"/>
          <w:sz w:val="16"/>
          <w:szCs w:val="16"/>
        </w:rPr>
        <w:softHyphen/>
        <w:t>мальное соотношение между числом оборотов ротора и скоростью вер</w:t>
      </w:r>
      <w:r w:rsidRPr="00507A31">
        <w:rPr>
          <w:color w:val="000000" w:themeColor="text1"/>
          <w:sz w:val="16"/>
          <w:szCs w:val="16"/>
        </w:rPr>
        <w:softHyphen/>
        <w:t>толета на разбеге. По результатам первых испытаний была усилена амортизация костыля, для устранения крена и скольжения был умень</w:t>
      </w:r>
      <w:r w:rsidRPr="00507A31">
        <w:rPr>
          <w:color w:val="000000" w:themeColor="text1"/>
          <w:sz w:val="16"/>
          <w:szCs w:val="16"/>
        </w:rPr>
        <w:softHyphen/>
        <w:t>шен поперечный наклон оси ротора с 4° до 1,5°, а на внешний конец ле</w:t>
      </w:r>
      <w:r w:rsidRPr="00507A31">
        <w:rPr>
          <w:color w:val="000000" w:themeColor="text1"/>
          <w:sz w:val="16"/>
          <w:szCs w:val="16"/>
        </w:rPr>
        <w:softHyphen/>
        <w:t>вой консоли крыла был поставлен свинцовый груз массой 10,3 кг (10224,31).</w:t>
      </w:r>
    </w:p>
    <w:p w14:paraId="54968E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ED94318" w14:textId="77777777" w:rsidR="00835135"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FEFB507" w14:textId="77777777" w:rsidR="00835135" w:rsidRPr="00507A31" w:rsidRDefault="00835135" w:rsidP="00507A31">
      <w:pPr>
        <w:autoSpaceDE w:val="0"/>
        <w:autoSpaceDN w:val="0"/>
        <w:adjustRightInd w:val="0"/>
        <w:jc w:val="both"/>
        <w:rPr>
          <w:iCs/>
          <w:color w:val="000000" w:themeColor="text1"/>
          <w:sz w:val="16"/>
          <w:szCs w:val="16"/>
        </w:rPr>
      </w:pPr>
    </w:p>
    <w:p w14:paraId="0A00A80F" w14:textId="77777777" w:rsidR="00835135" w:rsidRPr="00507A31" w:rsidRDefault="00835135" w:rsidP="00507A31">
      <w:pPr>
        <w:jc w:val="both"/>
        <w:rPr>
          <w:color w:val="000000" w:themeColor="text1"/>
          <w:sz w:val="16"/>
          <w:szCs w:val="16"/>
        </w:rPr>
      </w:pPr>
      <w:r w:rsidRPr="00507A31">
        <w:rPr>
          <w:color w:val="000000" w:themeColor="text1"/>
          <w:sz w:val="16"/>
          <w:szCs w:val="16"/>
        </w:rPr>
        <w:t xml:space="preserve">18 августа в 1930 году совершил первый полет второй американский легкий транспортный самолет </w:t>
      </w:r>
      <w:hyperlink r:id="rId140" w:tgtFrame="_blank" w:history="1">
        <w:r w:rsidRPr="00507A31">
          <w:rPr>
            <w:color w:val="000000" w:themeColor="text1"/>
            <w:sz w:val="16"/>
            <w:szCs w:val="16"/>
          </w:rPr>
          <w:t xml:space="preserve">"Мономейл" – «Модель-221» </w:t>
        </w:r>
      </w:hyperlink>
      <w:r w:rsidRPr="00507A31">
        <w:rPr>
          <w:color w:val="000000" w:themeColor="text1"/>
          <w:sz w:val="16"/>
          <w:szCs w:val="16"/>
        </w:rPr>
        <w:t>(регистрационный №C-10225, заводской №1154). От «Модели-200» он отличался удлиненным на 20 см фюзеляжем, в котором вместо почтового отсека была оборудована шестиместная пассажирская кабина с шестью овальными окнами и дверью по левому борту. За подголовником пилотской кабины (в обтекателе иной формы, чем у «Модели-200») была высоченная мачта проволочной антенны радио; вторая, короткая стойка размещалась перед пассажирской кабиной. Самолет был передан авиакомпании «ЮАТ» и начал полеты по трассе Шайен (штат Вайоминг) - Чикаго. Вскоре носовую часть фюзеляжа удлинили еще на 43 см и увеличили пассажировместимость до восьми человек. После доработки машина стала называться «Модель-221 А» (14987).</w:t>
      </w:r>
    </w:p>
    <w:p w14:paraId="563C0B1C" w14:textId="77777777" w:rsidR="00835135" w:rsidRPr="00507A31" w:rsidRDefault="00835135" w:rsidP="00507A31">
      <w:pPr>
        <w:jc w:val="both"/>
        <w:rPr>
          <w:color w:val="000000" w:themeColor="text1"/>
          <w:sz w:val="16"/>
          <w:szCs w:val="16"/>
        </w:rPr>
      </w:pPr>
    </w:p>
    <w:p w14:paraId="58830BD5" w14:textId="77777777" w:rsidR="00835135" w:rsidRPr="00507A31" w:rsidRDefault="00835135" w:rsidP="00507A31">
      <w:pPr>
        <w:jc w:val="both"/>
        <w:rPr>
          <w:color w:val="000000" w:themeColor="text1"/>
          <w:sz w:val="16"/>
          <w:szCs w:val="16"/>
        </w:rPr>
      </w:pPr>
      <w:r w:rsidRPr="00507A31">
        <w:rPr>
          <w:color w:val="000000" w:themeColor="text1"/>
          <w:sz w:val="16"/>
          <w:szCs w:val="16"/>
        </w:rPr>
        <w:t xml:space="preserve">18 августа в 1930 году авария польского самолета </w:t>
      </w:r>
      <w:hyperlink r:id="rId141" w:tgtFrame="_blank" w:history="1">
        <w:r w:rsidRPr="00507A31">
          <w:rPr>
            <w:color w:val="000000" w:themeColor="text1"/>
            <w:sz w:val="16"/>
            <w:szCs w:val="16"/>
          </w:rPr>
          <w:t xml:space="preserve">«JD-2bis», </w:t>
        </w:r>
      </w:hyperlink>
      <w:r w:rsidRPr="00507A31">
        <w:rPr>
          <w:color w:val="000000" w:themeColor="text1"/>
          <w:sz w:val="16"/>
          <w:szCs w:val="16"/>
        </w:rPr>
        <w:t>причем летчик Пакула был ранен, а самолет списали. «JD-2» был единственным польским спортивным самолетом, построенным до 1930 года в количестве больше чем 3 экземпляра (14987).</w:t>
      </w:r>
    </w:p>
    <w:p w14:paraId="3669E257" w14:textId="77777777" w:rsidR="00835135" w:rsidRPr="00507A31" w:rsidRDefault="00835135" w:rsidP="00507A31">
      <w:pPr>
        <w:jc w:val="both"/>
        <w:rPr>
          <w:color w:val="000000" w:themeColor="text1"/>
          <w:sz w:val="16"/>
          <w:szCs w:val="16"/>
        </w:rPr>
      </w:pPr>
    </w:p>
    <w:p w14:paraId="171CF608" w14:textId="77777777" w:rsidR="002F77FA"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D173CE4" w14:textId="77777777" w:rsidR="002F77FA" w:rsidRPr="00507A31" w:rsidRDefault="002F77FA" w:rsidP="00507A31">
      <w:pPr>
        <w:autoSpaceDE w:val="0"/>
        <w:autoSpaceDN w:val="0"/>
        <w:adjustRightInd w:val="0"/>
        <w:jc w:val="both"/>
        <w:rPr>
          <w:iCs/>
          <w:color w:val="000000" w:themeColor="text1"/>
          <w:sz w:val="16"/>
          <w:szCs w:val="16"/>
        </w:rPr>
      </w:pPr>
    </w:p>
    <w:p w14:paraId="0F87C236" w14:textId="77777777" w:rsidR="002F77FA" w:rsidRPr="00507A31" w:rsidRDefault="002F77FA" w:rsidP="00507A31">
      <w:pPr>
        <w:jc w:val="both"/>
        <w:rPr>
          <w:color w:val="000000" w:themeColor="text1"/>
          <w:sz w:val="16"/>
          <w:szCs w:val="16"/>
        </w:rPr>
      </w:pPr>
      <w:r w:rsidRPr="00507A31">
        <w:rPr>
          <w:color w:val="000000" w:themeColor="text1"/>
          <w:sz w:val="16"/>
          <w:szCs w:val="16"/>
        </w:rPr>
        <w:t>20 августа в 1930 году высшее аэромеханическое училище преобразовано в Московский авиационный институт (МАИ)</w:t>
      </w:r>
    </w:p>
    <w:p w14:paraId="66323AC0" w14:textId="77777777" w:rsidR="002F77FA" w:rsidRPr="00507A31" w:rsidRDefault="002F77FA" w:rsidP="00507A31">
      <w:pPr>
        <w:jc w:val="both"/>
        <w:rPr>
          <w:color w:val="000000" w:themeColor="text1"/>
          <w:sz w:val="16"/>
          <w:szCs w:val="16"/>
        </w:rPr>
      </w:pPr>
    </w:p>
    <w:p w14:paraId="683673FB" w14:textId="77777777" w:rsidR="00B16E4A" w:rsidRPr="00507A31" w:rsidRDefault="00B16E4A"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C0C5F85" w14:textId="77777777" w:rsidR="00B16E4A" w:rsidRPr="00507A31" w:rsidRDefault="00B16E4A" w:rsidP="00507A31">
      <w:pPr>
        <w:autoSpaceDE w:val="0"/>
        <w:autoSpaceDN w:val="0"/>
        <w:adjustRightInd w:val="0"/>
        <w:jc w:val="both"/>
        <w:rPr>
          <w:iCs/>
          <w:color w:val="000000" w:themeColor="text1"/>
          <w:sz w:val="16"/>
          <w:szCs w:val="16"/>
        </w:rPr>
      </w:pPr>
    </w:p>
    <w:p w14:paraId="4A91C3AE" w14:textId="77777777" w:rsidR="00B16E4A" w:rsidRPr="00507A31" w:rsidRDefault="00B16E4A" w:rsidP="00507A31">
      <w:pPr>
        <w:shd w:val="clear" w:color="auto" w:fill="FFFFFF"/>
        <w:jc w:val="both"/>
        <w:rPr>
          <w:color w:val="0070C0"/>
          <w:sz w:val="16"/>
          <w:szCs w:val="16"/>
        </w:rPr>
      </w:pPr>
      <w:r w:rsidRPr="00507A31">
        <w:rPr>
          <w:color w:val="0070C0"/>
          <w:sz w:val="16"/>
          <w:szCs w:val="16"/>
        </w:rPr>
        <w:t>20 августа 1930 г. ПБ обязало Председателя ВСНХ  Куйбышева «проследить за тем, чтобы со стороны НАМИ  было полностью обеспечено удовлетворение интересов военного ведомства по отношению к авиамоторостроению» (Ф. 17. Оп. 3. Д. 793. Л. 8) (21545).</w:t>
      </w:r>
    </w:p>
    <w:p w14:paraId="550CCB18" w14:textId="77777777" w:rsidR="00B16E4A" w:rsidRPr="00507A31" w:rsidRDefault="00B16E4A" w:rsidP="00507A31">
      <w:pPr>
        <w:shd w:val="clear" w:color="auto" w:fill="FFFFFF"/>
        <w:jc w:val="both"/>
        <w:rPr>
          <w:color w:val="0070C0"/>
          <w:sz w:val="16"/>
          <w:szCs w:val="16"/>
        </w:rPr>
      </w:pPr>
      <w:r w:rsidRPr="00507A31">
        <w:rPr>
          <w:color w:val="0070C0"/>
          <w:sz w:val="16"/>
          <w:szCs w:val="16"/>
          <w:shd w:val="clear" w:color="auto" w:fill="FFFFFF"/>
        </w:rPr>
        <w:t xml:space="preserve">Согласно воспоминаниям конструктора А.Д. Чаромского, 13 августа </w:t>
      </w:r>
      <w:r w:rsidRPr="00507A31">
        <w:rPr>
          <w:color w:val="0070C0"/>
          <w:sz w:val="16"/>
          <w:szCs w:val="16"/>
        </w:rPr>
        <w:t>1930 г. «группа авиационных инженеров-коммунистов обратилась в Центральный Комитет партии с докладной запиской, в которой было изложено состояние дел с созданием авиамоторов за границей и у нас. За все тринадцать лет.., — говорилось в докладной, — разными организациями было запроектировано более 40 авиационных двигателей. 30 из них были сданы в производство, </w:t>
      </w:r>
      <w:r w:rsidRPr="00507A31">
        <w:rPr>
          <w:color w:val="0070C0"/>
          <w:sz w:val="16"/>
          <w:szCs w:val="16"/>
          <w:vertAlign w:val="subscript"/>
        </w:rPr>
        <w:t>;</w:t>
      </w:r>
      <w:r w:rsidRPr="00507A31">
        <w:rPr>
          <w:color w:val="0070C0"/>
          <w:sz w:val="16"/>
          <w:szCs w:val="16"/>
        </w:rPr>
        <w:t> около 15 построено, но ни один из них не стоит и, вероятно, не будет стоять на самолетах. Наше опытное строительство было бесплодно, и одной из основных причин этого надо считать отсутствие </w:t>
      </w:r>
      <w:r w:rsidRPr="00507A31">
        <w:rPr>
          <w:color w:val="0070C0"/>
          <w:sz w:val="16"/>
          <w:szCs w:val="16"/>
          <w:vertAlign w:val="superscript"/>
        </w:rPr>
        <w:t>:</w:t>
      </w:r>
      <w:r w:rsidRPr="00507A31">
        <w:rPr>
          <w:color w:val="0070C0"/>
          <w:sz w:val="16"/>
          <w:szCs w:val="16"/>
        </w:rPr>
        <w:t> концентрированной базы опытного строительства» .</w:t>
      </w:r>
    </w:p>
    <w:p w14:paraId="66D82C3C" w14:textId="77777777" w:rsidR="00B16E4A" w:rsidRPr="00507A31" w:rsidRDefault="00B16E4A" w:rsidP="00507A31">
      <w:pPr>
        <w:shd w:val="clear" w:color="auto" w:fill="FFFFFF"/>
        <w:jc w:val="both"/>
        <w:rPr>
          <w:color w:val="0070C0"/>
          <w:sz w:val="16"/>
          <w:szCs w:val="16"/>
        </w:rPr>
      </w:pPr>
      <w:r w:rsidRPr="00507A31">
        <w:rPr>
          <w:color w:val="0070C0"/>
          <w:sz w:val="16"/>
          <w:szCs w:val="16"/>
        </w:rPr>
        <w:t>Далее в докладной записке освещалось состояние опытного строительства авиадвигателей и предложение группы по этому вопросу. Коротко оно заключалось в следующем:</w:t>
      </w:r>
    </w:p>
    <w:p w14:paraId="0E25F5CE" w14:textId="77777777" w:rsidR="00B16E4A" w:rsidRPr="00507A31" w:rsidRDefault="00B16E4A" w:rsidP="00507A31">
      <w:pPr>
        <w:shd w:val="clear" w:color="auto" w:fill="FFFFFF"/>
        <w:jc w:val="both"/>
        <w:rPr>
          <w:color w:val="0070C0"/>
          <w:sz w:val="16"/>
          <w:szCs w:val="16"/>
        </w:rPr>
      </w:pPr>
      <w:r w:rsidRPr="00507A31">
        <w:rPr>
          <w:color w:val="0070C0"/>
          <w:sz w:val="16"/>
          <w:szCs w:val="16"/>
        </w:rPr>
        <w:t>Серьезной базой опытного строительства мог бы стать опытный завод с лабораторными корпусами при НАМИ, построенный </w:t>
      </w:r>
      <w:r w:rsidRPr="00507A31">
        <w:rPr>
          <w:color w:val="0070C0"/>
          <w:sz w:val="16"/>
          <w:szCs w:val="16"/>
          <w:vertAlign w:val="superscript"/>
        </w:rPr>
        <w:t>:</w:t>
      </w:r>
      <w:r w:rsidRPr="00507A31">
        <w:rPr>
          <w:color w:val="0070C0"/>
          <w:sz w:val="16"/>
          <w:szCs w:val="16"/>
        </w:rPr>
        <w:t> под энергичным нажимом и при активном участии группы молодых специалистов авиационного отдела института. Завод был рассчитан на строительство по преимуществу авиационных двигателей. Девять опытных машин в год — такова была проектная программа завода. По тому времени — большая программа.</w:t>
      </w:r>
    </w:p>
    <w:p w14:paraId="6153AAEA" w14:textId="77777777" w:rsidR="00B16E4A" w:rsidRPr="00507A31" w:rsidRDefault="00B16E4A" w:rsidP="00507A31">
      <w:pPr>
        <w:shd w:val="clear" w:color="auto" w:fill="FFFFFF"/>
        <w:jc w:val="both"/>
        <w:rPr>
          <w:color w:val="0070C0"/>
          <w:sz w:val="16"/>
          <w:szCs w:val="16"/>
        </w:rPr>
      </w:pPr>
      <w:r w:rsidRPr="00507A31">
        <w:rPr>
          <w:color w:val="0070C0"/>
          <w:sz w:val="16"/>
          <w:szCs w:val="16"/>
        </w:rPr>
        <w:t>Постройку опытного завода рорячо поддерживали Реввоенсовет Республики, Управление Военно-воздушных сил, партийные организации. Еще в начале 1930 г. Совет Труда и Обороны обязал завод приступить к постройке опытных образцов авиадвигателей, начиная с октября этого года.</w:t>
      </w:r>
    </w:p>
    <w:p w14:paraId="61D0ACFF" w14:textId="77777777" w:rsidR="00B16E4A" w:rsidRPr="00507A31" w:rsidRDefault="00B16E4A" w:rsidP="00507A31">
      <w:pPr>
        <w:shd w:val="clear" w:color="auto" w:fill="FFFFFF"/>
        <w:jc w:val="both"/>
        <w:rPr>
          <w:color w:val="0070C0"/>
          <w:sz w:val="16"/>
          <w:szCs w:val="16"/>
        </w:rPr>
      </w:pPr>
      <w:r w:rsidRPr="00507A31">
        <w:rPr>
          <w:color w:val="0070C0"/>
          <w:sz w:val="16"/>
          <w:szCs w:val="16"/>
        </w:rPr>
        <w:t>Казалось бы, дело тронулось с мертвой точки. Но тут происходит нечто неожиданное.</w:t>
      </w:r>
    </w:p>
    <w:p w14:paraId="1D89923F" w14:textId="77777777" w:rsidR="00B16E4A" w:rsidRPr="00507A31" w:rsidRDefault="00B16E4A" w:rsidP="00507A31">
      <w:pPr>
        <w:shd w:val="clear" w:color="auto" w:fill="FFFFFF"/>
        <w:jc w:val="both"/>
        <w:rPr>
          <w:color w:val="0070C0"/>
          <w:sz w:val="16"/>
          <w:szCs w:val="16"/>
        </w:rPr>
      </w:pPr>
      <w:r w:rsidRPr="00507A31">
        <w:rPr>
          <w:color w:val="0070C0"/>
          <w:sz w:val="16"/>
          <w:szCs w:val="16"/>
        </w:rPr>
        <w:t>В результате односторонней информации, без участия Управления Военно-воздушных сил и авиапромышленности руководство автотракторной промышленности (в частности, Осинский) добивается принятия Президиумом ВСНХ решения о передачи опытного завода и лабораторных корпусов НАМИ автомобильной отрасли. Авиационное моторостроение теряло созданную с таким трудом опытно-экспериментальную базу. Больше того, в связи с таким решением авиационный отдел НАМИ должен был перейти в винтомоторный отдел ЦАГИ (Центральный аэродинамический институт. — Сост.), которой сам не имел производственной базы, испытавал большую нужду в площадях для своих сотрудников и частично размещался в бывшей церкви. Переселиться туда, а в сущности никуда, было равносильно ликвидации авиационного отдела НАМИ, в котором была собрана основная группа специалистов по авиамоторостроению. В случае даже срочной постройки нового завода было бы потеряно еще два-три года, что тяжело отразилось бы на развитии воздушного флота и боеспособности страны.</w:t>
      </w:r>
    </w:p>
    <w:p w14:paraId="41BC4C09" w14:textId="77777777" w:rsidR="00B16E4A" w:rsidRPr="00507A31" w:rsidRDefault="00B16E4A" w:rsidP="00507A31">
      <w:pPr>
        <w:shd w:val="clear" w:color="auto" w:fill="FFFFFF"/>
        <w:jc w:val="both"/>
        <w:rPr>
          <w:color w:val="0070C0"/>
          <w:sz w:val="16"/>
          <w:szCs w:val="16"/>
        </w:rPr>
      </w:pPr>
      <w:r w:rsidRPr="00507A31">
        <w:rPr>
          <w:color w:val="0070C0"/>
          <w:sz w:val="16"/>
          <w:szCs w:val="16"/>
        </w:rPr>
        <w:t>Конечно, для развития автомобильно-моторной техники также надо было создавать мощный опытно-конструкторский и экспериментально-исследовательский институт. Но нельзя было решать этот вопрос в ущерб авиационному моторостроению.</w:t>
      </w:r>
    </w:p>
    <w:p w14:paraId="6FBDC43E" w14:textId="77777777" w:rsidR="00B16E4A" w:rsidRPr="00507A31" w:rsidRDefault="00B16E4A" w:rsidP="00507A31">
      <w:pPr>
        <w:shd w:val="clear" w:color="auto" w:fill="FFFFFF"/>
        <w:jc w:val="both"/>
        <w:rPr>
          <w:color w:val="0070C0"/>
          <w:sz w:val="16"/>
          <w:szCs w:val="16"/>
        </w:rPr>
      </w:pPr>
      <w:r w:rsidRPr="00507A31">
        <w:rPr>
          <w:color w:val="0070C0"/>
          <w:sz w:val="16"/>
          <w:szCs w:val="16"/>
        </w:rPr>
        <w:t>В Бауманском райкоме, в Московском Комитете партии и в аппарате ЦК, куда мы обращались, нам сочувствовали, пожимали плечами, но сделать ничего не могли. Раздавались и такие голоса: решение, мол, принято, и надо его выполнять.</w:t>
      </w:r>
    </w:p>
    <w:p w14:paraId="5E1E6998" w14:textId="77777777" w:rsidR="00B16E4A" w:rsidRPr="00507A31" w:rsidRDefault="00B16E4A" w:rsidP="00507A31">
      <w:pPr>
        <w:shd w:val="clear" w:color="auto" w:fill="FFFFFF"/>
        <w:jc w:val="both"/>
        <w:rPr>
          <w:color w:val="0070C0"/>
          <w:sz w:val="16"/>
          <w:szCs w:val="16"/>
        </w:rPr>
      </w:pPr>
      <w:r w:rsidRPr="00507A31">
        <w:rPr>
          <w:color w:val="0070C0"/>
          <w:sz w:val="16"/>
          <w:szCs w:val="16"/>
        </w:rPr>
        <w:lastRenderedPageBreak/>
        <w:t>А в это время наши работники выселялись, оборудование выбрасывалось, и авиамоторный по своему назначению завод загружался образцами не авиационного типа. Было ясно, что допущена ошибка и в результате случайно взяли верх не государственные, а ведомственные интересы.</w:t>
      </w:r>
    </w:p>
    <w:p w14:paraId="4FC5DBC9" w14:textId="77777777" w:rsidR="00B16E4A" w:rsidRPr="00507A31" w:rsidRDefault="00B16E4A" w:rsidP="00507A31">
      <w:pPr>
        <w:shd w:val="clear" w:color="auto" w:fill="FFFFFF"/>
        <w:jc w:val="both"/>
        <w:rPr>
          <w:color w:val="0070C0"/>
          <w:sz w:val="16"/>
          <w:szCs w:val="16"/>
        </w:rPr>
      </w:pPr>
      <w:r w:rsidRPr="00507A31">
        <w:rPr>
          <w:color w:val="0070C0"/>
          <w:sz w:val="16"/>
          <w:szCs w:val="16"/>
        </w:rPr>
        <w:t>Начальником Управления Военно-воздушных сил РККА был тогда Петр Иванович Баранов. Как заведующий авиационным отделом НАМИ, я регулярно докладывал ему о ходе строительства опытного завода. И вдруг этот завод, на который возлагалось столько надежд, у нас отнимали! Я сообщил об этом Петру Ивановичу [...]</w:t>
      </w:r>
    </w:p>
    <w:p w14:paraId="748D999D" w14:textId="77777777" w:rsidR="00B16E4A" w:rsidRPr="00507A31" w:rsidRDefault="00B16E4A" w:rsidP="00507A31">
      <w:pPr>
        <w:shd w:val="clear" w:color="auto" w:fill="FFFFFF"/>
        <w:jc w:val="both"/>
        <w:rPr>
          <w:color w:val="0070C0"/>
          <w:sz w:val="16"/>
          <w:szCs w:val="16"/>
        </w:rPr>
      </w:pPr>
      <w:r w:rsidRPr="00507A31">
        <w:rPr>
          <w:color w:val="0070C0"/>
          <w:sz w:val="16"/>
          <w:szCs w:val="16"/>
        </w:rPr>
        <w:t>Он и член Реввоенсовета Иероним Петрович Уборевич приняли близко к сердцу наши злоключения. Они также считали, что решение о передаче опытного авиационного завода в другую отрасль промышленности должно быть пересмотрено. Но вопрос мог быть решен только И.В. Сталиным, а Сталин был в Сочи. Там же находился и К.Е.Ворошилов.</w:t>
      </w:r>
    </w:p>
    <w:p w14:paraId="774B15F1" w14:textId="77777777" w:rsidR="00B16E4A" w:rsidRPr="00507A31" w:rsidRDefault="00B16E4A" w:rsidP="00507A31">
      <w:pPr>
        <w:shd w:val="clear" w:color="auto" w:fill="FFFFFF"/>
        <w:jc w:val="both"/>
        <w:rPr>
          <w:color w:val="0070C0"/>
          <w:sz w:val="16"/>
          <w:szCs w:val="16"/>
        </w:rPr>
      </w:pPr>
      <w:r w:rsidRPr="00507A31">
        <w:rPr>
          <w:color w:val="0070C0"/>
          <w:sz w:val="16"/>
          <w:szCs w:val="16"/>
        </w:rPr>
        <w:t>От имени находившихся в Москве членов Реввоенсовета в Сочи была послана телеграмма с просьбой принять меня по срочному делу, связанному с обороной. Был получен положительный ответ от Ворошилова, и я вылетел в Сочи. Полет длился не два часа, как теперь, а много больше, но в тот же день с одной посадкой в Тихорецкой я долетел до Сочи. На аэродроме ждала машина, которая доставила меня на дачу к Ворошилову. Он предложил отдохнуть с дороги, но мне не терпелось тут же выложить все, чем был переполнен. Я подробно обрисовал положение с авиационным моторостроением, изложил предложения группы инженеров-коммунистов, от имени которых я говорил и обосновывал просьбу о пересмотре решения. Климент Ефремович согласился с нашими предложениями и про себя бросил: «Сваляли дурака» . Он сказал, что сегодня же обо всем доложит Сталину.</w:t>
      </w:r>
    </w:p>
    <w:p w14:paraId="1695ACC6" w14:textId="77777777" w:rsidR="00B16E4A" w:rsidRPr="00507A31" w:rsidRDefault="00B16E4A" w:rsidP="00507A31">
      <w:pPr>
        <w:shd w:val="clear" w:color="auto" w:fill="FFFFFF"/>
        <w:jc w:val="both"/>
        <w:rPr>
          <w:color w:val="0070C0"/>
          <w:sz w:val="16"/>
          <w:szCs w:val="16"/>
        </w:rPr>
      </w:pPr>
      <w:r w:rsidRPr="00507A31">
        <w:rPr>
          <w:color w:val="0070C0"/>
          <w:sz w:val="16"/>
          <w:szCs w:val="16"/>
        </w:rPr>
        <w:t>На другой день в Центральный Комитет была послана телеграмма из Сочи за подписями Сталина и Ворошилова о том, чтобы пересмотреть принятое ранее решение. Рекомендовалось создать научно-исследовательский институт по моторам на базе авиационного отдела НАМИ, винтомоторного отдела ЦАГИ и опытного отдела завода № 24. Я был ознакомлен с содержанием телеграммы и, полный радостных надежд, вернулся в Москву. Меня ожидал вызов на заседание в ЦК [...]</w:t>
      </w:r>
    </w:p>
    <w:p w14:paraId="0711E2E7" w14:textId="77777777" w:rsidR="00B16E4A" w:rsidRPr="00507A31" w:rsidRDefault="00B16E4A" w:rsidP="00507A31">
      <w:pPr>
        <w:shd w:val="clear" w:color="auto" w:fill="FFFFFF"/>
        <w:jc w:val="both"/>
        <w:rPr>
          <w:color w:val="0070C0"/>
          <w:sz w:val="16"/>
          <w:szCs w:val="16"/>
        </w:rPr>
      </w:pPr>
      <w:r w:rsidRPr="00507A31">
        <w:rPr>
          <w:color w:val="0070C0"/>
          <w:sz w:val="16"/>
          <w:szCs w:val="16"/>
        </w:rPr>
        <w:t>Когда мы были вызваны в ЦК, наши противники еще не знали о телеграмме из Сочи и были уверены, что победа на их стороне. Они добродушно беседовали со мной в ожидании автомашины, а когда она подошла, уселись в нее и перед самым моим носом захлопнули дверцу, желая, видимо, подчеркнуть этим невежливым жестом, что им со мной не по пути. Мне пришлось добираться где пешком, где трамваем. Но я не опоздал.</w:t>
      </w:r>
    </w:p>
    <w:p w14:paraId="543A6985" w14:textId="77777777" w:rsidR="00B16E4A" w:rsidRPr="00507A31" w:rsidRDefault="00B16E4A" w:rsidP="00507A31">
      <w:pPr>
        <w:shd w:val="clear" w:color="auto" w:fill="FFFFFF"/>
        <w:jc w:val="both"/>
        <w:rPr>
          <w:color w:val="0070C0"/>
          <w:sz w:val="16"/>
          <w:szCs w:val="16"/>
        </w:rPr>
      </w:pPr>
      <w:r w:rsidRPr="00507A31">
        <w:rPr>
          <w:color w:val="0070C0"/>
          <w:sz w:val="16"/>
          <w:szCs w:val="16"/>
        </w:rPr>
        <w:t>На совещании в ЦК партии присутствовали члены Политбюро, П.И.Баранов и ряд других лиц, имевших отношение к рассматривавшемуся вопросу. Я сделал краткий доклад о существе дела. Начальник УВВС П.И.Баранов сказал, что дальнейшее развитие авиации находится в прямой зависимости от авиационного моторостроения, и горячо поддержал наше предложение.</w:t>
      </w:r>
    </w:p>
    <w:p w14:paraId="5FEEF698" w14:textId="77777777" w:rsidR="00B16E4A" w:rsidRPr="00507A31" w:rsidRDefault="00B16E4A" w:rsidP="00507A31">
      <w:pPr>
        <w:shd w:val="clear" w:color="auto" w:fill="FFFFFF"/>
        <w:jc w:val="both"/>
        <w:rPr>
          <w:color w:val="0070C0"/>
          <w:sz w:val="16"/>
          <w:szCs w:val="16"/>
        </w:rPr>
      </w:pPr>
      <w:r w:rsidRPr="00507A31">
        <w:rPr>
          <w:color w:val="0070C0"/>
          <w:sz w:val="16"/>
          <w:szCs w:val="16"/>
        </w:rPr>
        <w:t>(5 сентября) Было принято решение о создании научно-исследовательского авиамоторного института с передачей ему всего строительства опытного завода НАМИ» (Были индустриальные. Очерки и воспоминания. М, 1973. С. 113—117) (21545).</w:t>
      </w:r>
    </w:p>
    <w:p w14:paraId="6D7718E8" w14:textId="77777777" w:rsidR="00B16E4A" w:rsidRPr="00507A31" w:rsidRDefault="00B16E4A" w:rsidP="00507A31">
      <w:pPr>
        <w:pStyle w:val="ae"/>
        <w:shd w:val="clear" w:color="auto" w:fill="FFFFFF"/>
        <w:spacing w:before="0" w:after="0"/>
        <w:jc w:val="both"/>
        <w:textAlignment w:val="baseline"/>
        <w:rPr>
          <w:color w:val="0070C0"/>
          <w:sz w:val="16"/>
          <w:szCs w:val="16"/>
        </w:rPr>
      </w:pPr>
    </w:p>
    <w:p w14:paraId="3004CD3D" w14:textId="77777777" w:rsidR="00CE3C07" w:rsidRPr="00507A31" w:rsidRDefault="00CE3C07"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43426FCE" w14:textId="77777777" w:rsidR="00CE3C07" w:rsidRPr="00507A31" w:rsidRDefault="00CE3C07" w:rsidP="00507A31">
      <w:pPr>
        <w:autoSpaceDE w:val="0"/>
        <w:autoSpaceDN w:val="0"/>
        <w:adjustRightInd w:val="0"/>
        <w:jc w:val="both"/>
        <w:rPr>
          <w:iCs/>
          <w:color w:val="000000" w:themeColor="text1"/>
          <w:sz w:val="16"/>
          <w:szCs w:val="16"/>
        </w:rPr>
      </w:pPr>
    </w:p>
    <w:p w14:paraId="66C81916" w14:textId="77777777" w:rsidR="00CE3C07" w:rsidRPr="00507A31" w:rsidRDefault="00CE3C07" w:rsidP="00507A31">
      <w:pPr>
        <w:pStyle w:val="ae"/>
        <w:shd w:val="clear" w:color="auto" w:fill="FFFFFF"/>
        <w:spacing w:before="0" w:after="0"/>
        <w:jc w:val="both"/>
        <w:rPr>
          <w:color w:val="000000" w:themeColor="text1"/>
          <w:sz w:val="16"/>
          <w:szCs w:val="16"/>
        </w:rPr>
      </w:pPr>
      <w:r w:rsidRPr="00507A31">
        <w:rPr>
          <w:color w:val="000000" w:themeColor="text1"/>
          <w:sz w:val="16"/>
          <w:szCs w:val="16"/>
        </w:rPr>
        <w:t>С 20 августа по 1 октября 1930 года проходили манёвы Белорусского и Московского военных округов, в которые принимала участие 1-я механизированной бригада. На вооружении 2-го полка бригады имелся 61 Т-18, а в 1-м полку имелись 3 танкетки Carden-Loyd Mk.VI. Как и на манёврах осенью 1929 года, Т-18 оказался слишком тихоходным. Военным требовался более подвижный танк с максимальной скоростью 35–40 км/ч. Также поступали жалобы на плохой обзор из башни.</w:t>
      </w:r>
    </w:p>
    <w:p w14:paraId="2577465F" w14:textId="77777777" w:rsidR="00CE3C07" w:rsidRPr="00507A31" w:rsidRDefault="00CE3C07" w:rsidP="00507A31">
      <w:pPr>
        <w:pStyle w:val="ae"/>
        <w:shd w:val="clear" w:color="auto" w:fill="FFFFFF"/>
        <w:spacing w:before="0" w:after="0"/>
        <w:jc w:val="both"/>
        <w:rPr>
          <w:color w:val="000000" w:themeColor="text1"/>
          <w:sz w:val="16"/>
          <w:szCs w:val="16"/>
        </w:rPr>
      </w:pPr>
      <w:r w:rsidRPr="00507A31">
        <w:rPr>
          <w:color w:val="000000" w:themeColor="text1"/>
          <w:sz w:val="16"/>
          <w:szCs w:val="16"/>
        </w:rPr>
        <w:t>На вооружении бригады имелись танки третьей серии, к которым возникли дополнительные претензии. Из-за кормовой ниши башня оказалась неуравновешенной. Для решения этой проблемы предлагалось поменять пушку с пулемётом местами, а также переделать сиденье.</w:t>
      </w:r>
    </w:p>
    <w:p w14:paraId="6BD37B22" w14:textId="77777777" w:rsidR="00CE3C07" w:rsidRPr="00507A31" w:rsidRDefault="00CE3C07" w:rsidP="00507A31">
      <w:pPr>
        <w:pStyle w:val="ae"/>
        <w:shd w:val="clear" w:color="auto" w:fill="FFFFFF"/>
        <w:spacing w:before="0" w:after="0"/>
        <w:jc w:val="both"/>
        <w:rPr>
          <w:color w:val="000000" w:themeColor="text1"/>
          <w:sz w:val="16"/>
          <w:szCs w:val="16"/>
        </w:rPr>
      </w:pPr>
      <w:r w:rsidRPr="00507A31">
        <w:rPr>
          <w:color w:val="000000" w:themeColor="text1"/>
          <w:sz w:val="16"/>
          <w:szCs w:val="16"/>
        </w:rPr>
        <w:t>Нередко танкисты жаловались на то, что бились головой о стенки башни. Здесь помогло появление танкового шлема, который «подсмотрели» у немцев. Интересно, что сами немцы вскоре от танкового шлема отказались, позаимствовав у шведов шлем-берет образца 1926 года. А немецкая конструкция эволюционировала во всем известный советский танковый шлем, в разных вариантах до сих пор использующийся танкистами многих стран (17724).</w:t>
      </w:r>
    </w:p>
    <w:p w14:paraId="2B27B247" w14:textId="77777777" w:rsidR="00CE3C07" w:rsidRPr="00507A31" w:rsidRDefault="00CE3C07" w:rsidP="00507A31">
      <w:pPr>
        <w:jc w:val="both"/>
        <w:rPr>
          <w:color w:val="000000" w:themeColor="text1"/>
          <w:sz w:val="16"/>
          <w:szCs w:val="16"/>
        </w:rPr>
      </w:pPr>
    </w:p>
    <w:p w14:paraId="2CEF0910" w14:textId="77777777" w:rsidR="00533EE8" w:rsidRPr="00507A31" w:rsidRDefault="00533EE8" w:rsidP="00507A31">
      <w:pPr>
        <w:autoSpaceDE w:val="0"/>
        <w:autoSpaceDN w:val="0"/>
        <w:adjustRightInd w:val="0"/>
        <w:jc w:val="both"/>
        <w:rPr>
          <w:i/>
          <w:iCs/>
          <w:color w:val="000000" w:themeColor="text1"/>
          <w:sz w:val="16"/>
          <w:szCs w:val="16"/>
        </w:rPr>
      </w:pPr>
      <w:r w:rsidRPr="00507A31">
        <w:rPr>
          <w:i/>
          <w:iCs/>
          <w:color w:val="000000" w:themeColor="text1"/>
          <w:sz w:val="16"/>
          <w:szCs w:val="16"/>
        </w:rPr>
        <w:t>Жизнь и внутренняя политика:</w:t>
      </w:r>
    </w:p>
    <w:p w14:paraId="693B7849" w14:textId="77777777" w:rsidR="00533EE8" w:rsidRPr="00507A31" w:rsidRDefault="00533EE8" w:rsidP="00507A31">
      <w:pPr>
        <w:autoSpaceDE w:val="0"/>
        <w:autoSpaceDN w:val="0"/>
        <w:adjustRightInd w:val="0"/>
        <w:jc w:val="both"/>
        <w:rPr>
          <w:i/>
          <w:iCs/>
          <w:color w:val="000000" w:themeColor="text1"/>
          <w:sz w:val="16"/>
          <w:szCs w:val="16"/>
        </w:rPr>
      </w:pPr>
    </w:p>
    <w:p w14:paraId="298281AE" w14:textId="77777777" w:rsidR="00533EE8" w:rsidRPr="00507A31" w:rsidRDefault="00533EE8" w:rsidP="00507A31">
      <w:pPr>
        <w:jc w:val="both"/>
        <w:rPr>
          <w:color w:val="000000" w:themeColor="text1"/>
          <w:sz w:val="16"/>
          <w:szCs w:val="16"/>
        </w:rPr>
      </w:pPr>
      <w:r w:rsidRPr="00507A31">
        <w:rPr>
          <w:color w:val="000000" w:themeColor="text1"/>
          <w:sz w:val="16"/>
          <w:szCs w:val="16"/>
        </w:rPr>
        <w:t>20 августа 1930. Политбюро ЦК ВКП(б) поручило ОГПУ "усилить меры борьбы со спекулянтами и укрывателями разменной монеты, в том числе в советско-кооперативных учреждениях" (18725).</w:t>
      </w:r>
    </w:p>
    <w:p w14:paraId="0EB5BF0A" w14:textId="77777777" w:rsidR="00533EE8" w:rsidRPr="00507A31" w:rsidRDefault="00533EE8" w:rsidP="00507A31">
      <w:pPr>
        <w:jc w:val="both"/>
        <w:rPr>
          <w:color w:val="000000" w:themeColor="text1"/>
          <w:sz w:val="16"/>
          <w:szCs w:val="16"/>
        </w:rPr>
      </w:pPr>
    </w:p>
    <w:p w14:paraId="542D6533" w14:textId="77777777" w:rsidR="00B16E4A" w:rsidRPr="00507A31" w:rsidRDefault="00B16E4A"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C9041B9" w14:textId="77777777" w:rsidR="00B16E4A" w:rsidRPr="00507A31" w:rsidRDefault="00B16E4A" w:rsidP="00507A31">
      <w:pPr>
        <w:autoSpaceDE w:val="0"/>
        <w:autoSpaceDN w:val="0"/>
        <w:adjustRightInd w:val="0"/>
        <w:jc w:val="both"/>
        <w:rPr>
          <w:iCs/>
          <w:color w:val="000000" w:themeColor="text1"/>
          <w:sz w:val="16"/>
          <w:szCs w:val="16"/>
        </w:rPr>
      </w:pPr>
    </w:p>
    <w:p w14:paraId="49DF6989" w14:textId="77777777" w:rsidR="00B16E4A" w:rsidRPr="00507A31" w:rsidRDefault="00B16E4A" w:rsidP="00507A31">
      <w:pPr>
        <w:pStyle w:val="ae"/>
        <w:shd w:val="clear" w:color="auto" w:fill="FFFFFF"/>
        <w:spacing w:before="0" w:after="0"/>
        <w:jc w:val="both"/>
        <w:textAlignment w:val="baseline"/>
        <w:rPr>
          <w:color w:val="0070C0"/>
          <w:sz w:val="16"/>
          <w:szCs w:val="16"/>
          <w:shd w:val="clear" w:color="auto" w:fill="FFFFFF"/>
        </w:rPr>
      </w:pPr>
      <w:r w:rsidRPr="00507A31">
        <w:rPr>
          <w:color w:val="0070C0"/>
          <w:sz w:val="16"/>
          <w:szCs w:val="16"/>
          <w:shd w:val="clear" w:color="auto" w:fill="FFFFFF"/>
        </w:rPr>
        <w:t>20 августа 1930 японский летчик Сэйдзи Есихара (Seiji Yoshihara) на спортивном моноплане «Юнкерс» A50 «Юниор» (Junior) вылетел из Берлина в Токио. В тот же день, совершив посадки в Кенигсберге и Смоленске, он прибыл в Москву. 21 августа Есихара совершил посадку на станции Сейма (в 50 км западнее Нижнего Новгорода). На следующий день был совершен перелет Сейма – Казань. Очень благоприятный день у японского летчика сложился 23 августа, когда с посадками в Свердловске и Омске, он преодолел 2300 км и добрался до Новосибирска. На следующий день попытка долететь до Красноярска у Есихары не удалась – через час полета из-за ухудшения погоды ему пришлось вернуться. 25 августа был выполнен перелет Новосибирск – Верхнеудинск (ныне Улан-Удэ) с посадками в Красноярске и Нижнеудинске. 26 августа – Нижнеудинск – Чита. 27-го – Чита – Харбин. 28-го – Харбин – Сеул. 29-го – Сеул – Осака. 30-го – Осака – Токио.</w:t>
      </w:r>
    </w:p>
    <w:p w14:paraId="1AE09BBE" w14:textId="77777777" w:rsidR="00B16E4A" w:rsidRPr="00507A31" w:rsidRDefault="00B16E4A" w:rsidP="00507A31">
      <w:pPr>
        <w:pStyle w:val="ae"/>
        <w:shd w:val="clear" w:color="auto" w:fill="FFFFFF"/>
        <w:spacing w:before="0" w:after="0"/>
        <w:jc w:val="both"/>
        <w:textAlignment w:val="baseline"/>
        <w:rPr>
          <w:color w:val="0070C0"/>
          <w:sz w:val="16"/>
          <w:szCs w:val="16"/>
        </w:rPr>
      </w:pPr>
      <w:r w:rsidRPr="00507A31">
        <w:rPr>
          <w:color w:val="0070C0"/>
          <w:sz w:val="16"/>
          <w:szCs w:val="16"/>
          <w:shd w:val="clear" w:color="auto" w:fill="FFFFFF"/>
        </w:rPr>
        <w:t>За 79 часов 58 минут полетного времени Сэйдзи Есихара преодолел 11404 км и 30 августа приземлился в Токио, как сообщил журнал «Флайт», на плацу Йойоги (ныне парк в Токио), где летчика встретил министр транспорта, другие официальные лица и 200 тысяч восторженных японцев.</w:t>
      </w:r>
      <w:r w:rsidRPr="00507A31">
        <w:rPr>
          <w:color w:val="0070C0"/>
          <w:sz w:val="16"/>
          <w:szCs w:val="16"/>
        </w:rPr>
        <w:br/>
      </w:r>
      <w:r w:rsidRPr="00507A31">
        <w:rPr>
          <w:color w:val="0070C0"/>
          <w:sz w:val="16"/>
          <w:szCs w:val="16"/>
          <w:shd w:val="clear" w:color="auto" w:fill="FFFFFF"/>
        </w:rPr>
        <w:t>На следующий день на токийском аэродроме Татикава летчик Зенсаку Адзума (Zensaku Azuma) посадил свой биплан «Трэвел Эйр» 4000 (Travel Air), завершив кругосветный перелет. Адзума начал свое путешествие 22 июня 1930 года в Лос-Анджелесе, затем пересек территорию Соединенных Штатов. Атлантический океан Адзума преодолел на океанском лайнере, прибыв в Саутгемптон. Сборку самолета он провел в Ханворте, а полет на восток продолжился 27 июля из Кройдона. Вероятно, от Берлина оба японских летчика следовали одним маршрутом и практически одновременно. 31 августа Зенсаку Адзума был встречен в Токио как национальный герой (21438).</w:t>
      </w:r>
    </w:p>
    <w:p w14:paraId="35C37BE0" w14:textId="77777777" w:rsidR="00B16E4A" w:rsidRPr="00507A31" w:rsidRDefault="00B16E4A" w:rsidP="00507A31">
      <w:pPr>
        <w:pStyle w:val="ae"/>
        <w:shd w:val="clear" w:color="auto" w:fill="FFFFFF"/>
        <w:spacing w:before="0" w:after="0"/>
        <w:jc w:val="both"/>
        <w:textAlignment w:val="baseline"/>
        <w:rPr>
          <w:color w:val="0070C0"/>
          <w:sz w:val="16"/>
          <w:szCs w:val="16"/>
        </w:rPr>
      </w:pPr>
    </w:p>
    <w:p w14:paraId="6D6E996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6FFFC27" w14:textId="77777777" w:rsidR="00537E5F" w:rsidRPr="00507A31" w:rsidRDefault="00537E5F" w:rsidP="00507A31">
      <w:pPr>
        <w:autoSpaceDE w:val="0"/>
        <w:autoSpaceDN w:val="0"/>
        <w:adjustRightInd w:val="0"/>
        <w:jc w:val="both"/>
        <w:rPr>
          <w:iCs/>
          <w:color w:val="000000" w:themeColor="text1"/>
          <w:sz w:val="16"/>
          <w:szCs w:val="16"/>
        </w:rPr>
      </w:pPr>
    </w:p>
    <w:p w14:paraId="657948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августа 1930 года зам. начальника 2-го отдела НИИ ВВС Машкевич писал письмо N 339/1130с в НТК.</w:t>
      </w:r>
    </w:p>
    <w:p w14:paraId="78D392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сем препровождаются результаты эксплуатационных испытаний самолета У-2-11 при 2-й Авиашколе.</w:t>
      </w:r>
    </w:p>
    <w:p w14:paraId="67B3F7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основании произведенных испытаний выявился окончательный перечень недостатков, которые подлежат устранению.</w:t>
      </w:r>
    </w:p>
    <w:p w14:paraId="7E2D9D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Выводы</w:t>
      </w:r>
    </w:p>
    <w:p w14:paraId="36F806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своим летным и тактическим качествам самолет надо считать удовлетворяющим требованиям учебного самолета начального обучения (3252,10-16).</w:t>
      </w:r>
    </w:p>
    <w:p w14:paraId="6419CA05" w14:textId="77777777" w:rsidR="00537E5F" w:rsidRPr="00507A31" w:rsidRDefault="00537E5F" w:rsidP="00507A31">
      <w:pPr>
        <w:autoSpaceDE w:val="0"/>
        <w:autoSpaceDN w:val="0"/>
        <w:adjustRightInd w:val="0"/>
        <w:jc w:val="both"/>
        <w:rPr>
          <w:color w:val="000000" w:themeColor="text1"/>
          <w:sz w:val="16"/>
          <w:szCs w:val="16"/>
        </w:rPr>
      </w:pPr>
    </w:p>
    <w:p w14:paraId="4C681BA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0F9967B" w14:textId="77777777" w:rsidR="00537E5F" w:rsidRPr="00507A31" w:rsidRDefault="00537E5F" w:rsidP="00507A31">
      <w:pPr>
        <w:autoSpaceDE w:val="0"/>
        <w:autoSpaceDN w:val="0"/>
        <w:adjustRightInd w:val="0"/>
        <w:jc w:val="both"/>
        <w:rPr>
          <w:iCs/>
          <w:color w:val="000000" w:themeColor="text1"/>
          <w:sz w:val="16"/>
          <w:szCs w:val="16"/>
        </w:rPr>
      </w:pPr>
    </w:p>
    <w:p w14:paraId="120ECB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августа 1930 г.были проведены испытания системы модернизация трехдюймовой пушки обр. 1902 г. В.Н.Сидоренко со стволом длиной 40 калибров, разработанной На Мотовилихинском заводе:</w:t>
      </w:r>
    </w:p>
    <w:p w14:paraId="5C922C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Комиссия, оценивая полигональные испытания, указала, что система Сидоренко конструктивно самая сложная, и, кстати, самая дорогая. Стоимость переделки 76-мм пушки обр. 1902 г. в варианте ОАТ составила 2786 руб., в варианте Соколова - 2767 руб., а в варианте Сидоренко - 6640 руб. Тем не менее, в начале 1931 г. на вооружение была принята система Сидоренко под наименованием «76-мм пушка обр. 1902/30 г.» (5746, 44).</w:t>
      </w:r>
    </w:p>
    <w:p w14:paraId="6EC0956A" w14:textId="77777777" w:rsidR="00537E5F" w:rsidRPr="00507A31" w:rsidRDefault="00537E5F" w:rsidP="00507A31">
      <w:pPr>
        <w:autoSpaceDE w:val="0"/>
        <w:autoSpaceDN w:val="0"/>
        <w:adjustRightInd w:val="0"/>
        <w:jc w:val="both"/>
        <w:rPr>
          <w:color w:val="000000" w:themeColor="text1"/>
          <w:sz w:val="16"/>
          <w:szCs w:val="16"/>
        </w:rPr>
      </w:pPr>
    </w:p>
    <w:p w14:paraId="6D30E8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августа 1930 г. прошли испытания модернизированной 76-мм пушки обр. 1902 г. в варианте Мотовилихинского завода со стволом длиной 40 клб. На Мотовилихинском заводе модернизация 3 пушки обр. 1902 г. производилась под руководством В.Н.Сидоренко. Принципиальными особенностями варианта Сидоренко было отсутствие дульного тормоза, существенные изменения в лафете и введение уравновешивающего механизма. Существенным преимуществом системы была возможность наложения на лафет стволов длиной в 40 и 30 клб (3861).</w:t>
      </w:r>
    </w:p>
    <w:p w14:paraId="08579DAF" w14:textId="77777777" w:rsidR="00537E5F" w:rsidRPr="00507A31" w:rsidRDefault="00537E5F" w:rsidP="00507A31">
      <w:pPr>
        <w:autoSpaceDE w:val="0"/>
        <w:autoSpaceDN w:val="0"/>
        <w:adjustRightInd w:val="0"/>
        <w:jc w:val="both"/>
        <w:rPr>
          <w:color w:val="000000" w:themeColor="text1"/>
          <w:sz w:val="16"/>
          <w:szCs w:val="16"/>
        </w:rPr>
      </w:pPr>
    </w:p>
    <w:p w14:paraId="2448F84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E6A5E84" w14:textId="77777777" w:rsidR="00537E5F" w:rsidRPr="00507A31" w:rsidRDefault="00537E5F" w:rsidP="00507A31">
      <w:pPr>
        <w:autoSpaceDE w:val="0"/>
        <w:autoSpaceDN w:val="0"/>
        <w:adjustRightInd w:val="0"/>
        <w:jc w:val="both"/>
        <w:rPr>
          <w:iCs/>
          <w:color w:val="000000" w:themeColor="text1"/>
          <w:sz w:val="16"/>
          <w:szCs w:val="16"/>
        </w:rPr>
      </w:pPr>
    </w:p>
    <w:p w14:paraId="71B8BE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августа 1930 года Политбюро рассматривает вопрос об угольной промышленности и, предлагая ОГПУ принять решительные меры против контрреволюционных элементов, затесавшихся в рабочую среду. Через месяц, 30 сентября 1930 года Политбюро заслушав доклад Акулова, и Балицкого, утвердило решение коллегии ОГПУ о применении высшей мере социальной защиты по отношению к шести вредителям из Донбасса (11248).</w:t>
      </w:r>
    </w:p>
    <w:p w14:paraId="577C97F0" w14:textId="77777777" w:rsidR="00537E5F" w:rsidRPr="00507A31" w:rsidRDefault="00537E5F" w:rsidP="00507A31">
      <w:pPr>
        <w:autoSpaceDE w:val="0"/>
        <w:autoSpaceDN w:val="0"/>
        <w:adjustRightInd w:val="0"/>
        <w:jc w:val="both"/>
        <w:rPr>
          <w:color w:val="000000" w:themeColor="text1"/>
          <w:sz w:val="16"/>
          <w:szCs w:val="16"/>
        </w:rPr>
      </w:pPr>
    </w:p>
    <w:p w14:paraId="61DDA78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F70E1FA" w14:textId="77777777" w:rsidR="00537E5F" w:rsidRPr="00507A31" w:rsidRDefault="00537E5F" w:rsidP="00507A31">
      <w:pPr>
        <w:autoSpaceDE w:val="0"/>
        <w:autoSpaceDN w:val="0"/>
        <w:adjustRightInd w:val="0"/>
        <w:jc w:val="both"/>
        <w:rPr>
          <w:iCs/>
          <w:color w:val="000000" w:themeColor="text1"/>
          <w:sz w:val="16"/>
          <w:szCs w:val="16"/>
        </w:rPr>
      </w:pPr>
    </w:p>
    <w:p w14:paraId="7899F7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августа 1930 года была подготовлена справка:</w:t>
      </w:r>
    </w:p>
    <w:p w14:paraId="45C943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отчету 1-ой секции НТК УВВС за время с 1 сентября 1929 года по 20 августа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9"/>
        <w:gridCol w:w="1159"/>
        <w:gridCol w:w="1159"/>
        <w:gridCol w:w="1159"/>
        <w:gridCol w:w="1159"/>
        <w:gridCol w:w="1159"/>
        <w:gridCol w:w="1159"/>
        <w:gridCol w:w="1159"/>
        <w:gridCol w:w="1159"/>
        <w:gridCol w:w="876"/>
      </w:tblGrid>
      <w:tr w:rsidR="00E371BA" w:rsidRPr="00507A31" w14:paraId="6C04EDB4" w14:textId="77777777">
        <w:tc>
          <w:tcPr>
            <w:tcW w:w="1159" w:type="dxa"/>
          </w:tcPr>
          <w:p w14:paraId="553217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Марка </w:t>
            </w:r>
          </w:p>
        </w:tc>
        <w:tc>
          <w:tcPr>
            <w:tcW w:w="1159" w:type="dxa"/>
          </w:tcPr>
          <w:p w14:paraId="7DB3AD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Исполнители</w:t>
            </w:r>
          </w:p>
        </w:tc>
        <w:tc>
          <w:tcPr>
            <w:tcW w:w="1159" w:type="dxa"/>
          </w:tcPr>
          <w:p w14:paraId="71047B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 УВВС на госиспыт. по плану Р3 СТО</w:t>
            </w:r>
          </w:p>
          <w:p w14:paraId="5408EB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Начало проектиров.</w:t>
            </w:r>
          </w:p>
        </w:tc>
        <w:tc>
          <w:tcPr>
            <w:tcW w:w="1159" w:type="dxa"/>
          </w:tcPr>
          <w:p w14:paraId="7545E0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 УВВС на госиспыт. по плану Р3 СТО</w:t>
            </w:r>
          </w:p>
          <w:p w14:paraId="14D1D9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предъявлен. на госисп.</w:t>
            </w:r>
          </w:p>
        </w:tc>
        <w:tc>
          <w:tcPr>
            <w:tcW w:w="1159" w:type="dxa"/>
          </w:tcPr>
          <w:p w14:paraId="518B5C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плану, согласован. С Шапошниковым 5-6 августа 1930 года</w:t>
            </w:r>
          </w:p>
        </w:tc>
        <w:tc>
          <w:tcPr>
            <w:tcW w:w="1159" w:type="dxa"/>
          </w:tcPr>
          <w:p w14:paraId="6A65DD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Изменения, установлен. Планом Шапошникова</w:t>
            </w:r>
          </w:p>
        </w:tc>
        <w:tc>
          <w:tcPr>
            <w:tcW w:w="1159" w:type="dxa"/>
          </w:tcPr>
          <w:p w14:paraId="60FE96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Сроки репол. к выполнен. Самой пром-тью и выполнен. (по сведениям, полученным от заводов)</w:t>
            </w:r>
          </w:p>
        </w:tc>
        <w:tc>
          <w:tcPr>
            <w:tcW w:w="1159" w:type="dxa"/>
          </w:tcPr>
          <w:p w14:paraId="21E62C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Опоздание</w:t>
            </w:r>
          </w:p>
        </w:tc>
        <w:tc>
          <w:tcPr>
            <w:tcW w:w="1159" w:type="dxa"/>
          </w:tcPr>
          <w:p w14:paraId="1652A8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готовности к 20 августа 1930 года</w:t>
            </w:r>
          </w:p>
        </w:tc>
        <w:tc>
          <w:tcPr>
            <w:tcW w:w="876" w:type="dxa"/>
          </w:tcPr>
          <w:p w14:paraId="7C1C7D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tc>
      </w:tr>
    </w:tbl>
    <w:p w14:paraId="141FFF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9"/>
        <w:gridCol w:w="1159"/>
        <w:gridCol w:w="1159"/>
        <w:gridCol w:w="1159"/>
        <w:gridCol w:w="1159"/>
        <w:gridCol w:w="1159"/>
        <w:gridCol w:w="1159"/>
        <w:gridCol w:w="1159"/>
        <w:gridCol w:w="1159"/>
        <w:gridCol w:w="876"/>
      </w:tblGrid>
      <w:tr w:rsidR="00E371BA" w:rsidRPr="00507A31" w14:paraId="55EC3078" w14:textId="77777777">
        <w:tc>
          <w:tcPr>
            <w:tcW w:w="1159" w:type="dxa"/>
          </w:tcPr>
          <w:p w14:paraId="2A9084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w:t>
            </w:r>
          </w:p>
        </w:tc>
        <w:tc>
          <w:tcPr>
            <w:tcW w:w="1159" w:type="dxa"/>
          </w:tcPr>
          <w:p w14:paraId="053186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59" w:type="dxa"/>
          </w:tcPr>
          <w:p w14:paraId="57F9EE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Строил</w:t>
            </w:r>
          </w:p>
        </w:tc>
        <w:tc>
          <w:tcPr>
            <w:tcW w:w="1159" w:type="dxa"/>
          </w:tcPr>
          <w:p w14:paraId="2A31E7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1159" w:type="dxa"/>
          </w:tcPr>
          <w:p w14:paraId="579635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окьября 1930</w:t>
            </w:r>
          </w:p>
        </w:tc>
        <w:tc>
          <w:tcPr>
            <w:tcW w:w="1159" w:type="dxa"/>
          </w:tcPr>
          <w:p w14:paraId="3884F4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+ 3,5 мес.</w:t>
            </w:r>
          </w:p>
        </w:tc>
        <w:tc>
          <w:tcPr>
            <w:tcW w:w="1159" w:type="dxa"/>
          </w:tcPr>
          <w:p w14:paraId="5F9715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159" w:type="dxa"/>
          </w:tcPr>
          <w:p w14:paraId="422ECB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- 1,5 мес.</w:t>
            </w:r>
          </w:p>
        </w:tc>
        <w:tc>
          <w:tcPr>
            <w:tcW w:w="1159" w:type="dxa"/>
          </w:tcPr>
          <w:p w14:paraId="18327C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w:t>
            </w:r>
          </w:p>
        </w:tc>
        <w:tc>
          <w:tcPr>
            <w:tcW w:w="876" w:type="dxa"/>
          </w:tcPr>
          <w:p w14:paraId="63CD4C1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D6E77D2" w14:textId="77777777">
        <w:tc>
          <w:tcPr>
            <w:tcW w:w="1159" w:type="dxa"/>
          </w:tcPr>
          <w:p w14:paraId="610C54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w:t>
            </w:r>
          </w:p>
        </w:tc>
        <w:tc>
          <w:tcPr>
            <w:tcW w:w="1159" w:type="dxa"/>
          </w:tcPr>
          <w:p w14:paraId="31238A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59" w:type="dxa"/>
          </w:tcPr>
          <w:p w14:paraId="3B7AA3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1159" w:type="dxa"/>
          </w:tcPr>
          <w:p w14:paraId="6ADB28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159" w:type="dxa"/>
          </w:tcPr>
          <w:p w14:paraId="74B6CC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1931</w:t>
            </w:r>
          </w:p>
        </w:tc>
        <w:tc>
          <w:tcPr>
            <w:tcW w:w="1159" w:type="dxa"/>
          </w:tcPr>
          <w:p w14:paraId="23D7DA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+ 9,5 мес.</w:t>
            </w:r>
          </w:p>
        </w:tc>
        <w:tc>
          <w:tcPr>
            <w:tcW w:w="1159" w:type="dxa"/>
          </w:tcPr>
          <w:p w14:paraId="2AE81F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1931</w:t>
            </w:r>
          </w:p>
        </w:tc>
        <w:tc>
          <w:tcPr>
            <w:tcW w:w="1159" w:type="dxa"/>
          </w:tcPr>
          <w:p w14:paraId="261BA73F"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0DEBF1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76" w:type="dxa"/>
          </w:tcPr>
          <w:p w14:paraId="2FA3793A"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A95422E" w14:textId="77777777">
        <w:tc>
          <w:tcPr>
            <w:tcW w:w="1159" w:type="dxa"/>
          </w:tcPr>
          <w:p w14:paraId="01F76D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МДР1</w:t>
            </w:r>
          </w:p>
        </w:tc>
        <w:tc>
          <w:tcPr>
            <w:tcW w:w="1159" w:type="dxa"/>
          </w:tcPr>
          <w:p w14:paraId="0C2853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59" w:type="dxa"/>
          </w:tcPr>
          <w:p w14:paraId="021CED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Строил</w:t>
            </w:r>
          </w:p>
        </w:tc>
        <w:tc>
          <w:tcPr>
            <w:tcW w:w="1159" w:type="dxa"/>
          </w:tcPr>
          <w:p w14:paraId="2AC6B6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окьября 1930</w:t>
            </w:r>
          </w:p>
        </w:tc>
        <w:tc>
          <w:tcPr>
            <w:tcW w:w="1159" w:type="dxa"/>
          </w:tcPr>
          <w:p w14:paraId="24435E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окьября 1930</w:t>
            </w:r>
          </w:p>
        </w:tc>
        <w:tc>
          <w:tcPr>
            <w:tcW w:w="1159" w:type="dxa"/>
          </w:tcPr>
          <w:p w14:paraId="477F0B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59" w:type="dxa"/>
          </w:tcPr>
          <w:p w14:paraId="6FEA17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окьября 1930</w:t>
            </w:r>
          </w:p>
        </w:tc>
        <w:tc>
          <w:tcPr>
            <w:tcW w:w="1159" w:type="dxa"/>
          </w:tcPr>
          <w:p w14:paraId="028DD0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+ 0,5 мес.</w:t>
            </w:r>
          </w:p>
        </w:tc>
        <w:tc>
          <w:tcPr>
            <w:tcW w:w="1159" w:type="dxa"/>
          </w:tcPr>
          <w:p w14:paraId="15910A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w:t>
            </w:r>
          </w:p>
        </w:tc>
        <w:tc>
          <w:tcPr>
            <w:tcW w:w="876" w:type="dxa"/>
          </w:tcPr>
          <w:p w14:paraId="784498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 сомнев. в выполнен. срока из-за отсутствия клепальщик.</w:t>
            </w:r>
          </w:p>
        </w:tc>
      </w:tr>
      <w:tr w:rsidR="00E371BA" w:rsidRPr="00507A31" w14:paraId="2D8906D0" w14:textId="77777777">
        <w:tc>
          <w:tcPr>
            <w:tcW w:w="1159" w:type="dxa"/>
          </w:tcPr>
          <w:p w14:paraId="4B18D3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МДР2</w:t>
            </w:r>
          </w:p>
        </w:tc>
        <w:tc>
          <w:tcPr>
            <w:tcW w:w="1159" w:type="dxa"/>
          </w:tcPr>
          <w:p w14:paraId="126C1C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59" w:type="dxa"/>
          </w:tcPr>
          <w:p w14:paraId="589EAD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Строил</w:t>
            </w:r>
          </w:p>
        </w:tc>
        <w:tc>
          <w:tcPr>
            <w:tcW w:w="1159" w:type="dxa"/>
          </w:tcPr>
          <w:p w14:paraId="5A73F0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159" w:type="dxa"/>
          </w:tcPr>
          <w:p w14:paraId="2CDB84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159" w:type="dxa"/>
          </w:tcPr>
          <w:p w14:paraId="7C723D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59" w:type="dxa"/>
          </w:tcPr>
          <w:p w14:paraId="45B217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1159" w:type="dxa"/>
          </w:tcPr>
          <w:p w14:paraId="5C4C0C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 мес.</w:t>
            </w:r>
          </w:p>
        </w:tc>
        <w:tc>
          <w:tcPr>
            <w:tcW w:w="1159" w:type="dxa"/>
          </w:tcPr>
          <w:p w14:paraId="6C97C9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w:t>
            </w:r>
          </w:p>
        </w:tc>
        <w:tc>
          <w:tcPr>
            <w:tcW w:w="876" w:type="dxa"/>
          </w:tcPr>
          <w:p w14:paraId="16253C5A"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F43AAD1" w14:textId="77777777">
        <w:tc>
          <w:tcPr>
            <w:tcW w:w="1159" w:type="dxa"/>
          </w:tcPr>
          <w:p w14:paraId="7CD723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w:t>
            </w:r>
          </w:p>
        </w:tc>
        <w:tc>
          <w:tcPr>
            <w:tcW w:w="1159" w:type="dxa"/>
          </w:tcPr>
          <w:p w14:paraId="6471C3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59" w:type="dxa"/>
          </w:tcPr>
          <w:p w14:paraId="7B7505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1159" w:type="dxa"/>
          </w:tcPr>
          <w:p w14:paraId="535A38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1159" w:type="dxa"/>
          </w:tcPr>
          <w:p w14:paraId="474540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1159" w:type="dxa"/>
          </w:tcPr>
          <w:p w14:paraId="46C80E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 мес.</w:t>
            </w:r>
          </w:p>
        </w:tc>
        <w:tc>
          <w:tcPr>
            <w:tcW w:w="1159" w:type="dxa"/>
          </w:tcPr>
          <w:p w14:paraId="03DE07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1159" w:type="dxa"/>
          </w:tcPr>
          <w:p w14:paraId="77C8D6B2"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6EE1708F" w14:textId="77777777" w:rsidR="00537E5F" w:rsidRPr="00507A31" w:rsidRDefault="00537E5F" w:rsidP="00507A31">
            <w:pPr>
              <w:autoSpaceDE w:val="0"/>
              <w:autoSpaceDN w:val="0"/>
              <w:adjustRightInd w:val="0"/>
              <w:jc w:val="both"/>
              <w:rPr>
                <w:color w:val="000000" w:themeColor="text1"/>
                <w:sz w:val="16"/>
                <w:szCs w:val="16"/>
              </w:rPr>
            </w:pPr>
          </w:p>
        </w:tc>
        <w:tc>
          <w:tcPr>
            <w:tcW w:w="876" w:type="dxa"/>
          </w:tcPr>
          <w:p w14:paraId="59A80E91"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6B2EBFF" w14:textId="77777777">
        <w:tc>
          <w:tcPr>
            <w:tcW w:w="1159" w:type="dxa"/>
          </w:tcPr>
          <w:p w14:paraId="01FCDB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w:t>
            </w:r>
          </w:p>
        </w:tc>
        <w:tc>
          <w:tcPr>
            <w:tcW w:w="1159" w:type="dxa"/>
          </w:tcPr>
          <w:p w14:paraId="5C6E8A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59" w:type="dxa"/>
          </w:tcPr>
          <w:p w14:paraId="17B3F0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Строил</w:t>
            </w:r>
          </w:p>
        </w:tc>
        <w:tc>
          <w:tcPr>
            <w:tcW w:w="1159" w:type="dxa"/>
          </w:tcPr>
          <w:p w14:paraId="6D3114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159" w:type="dxa"/>
          </w:tcPr>
          <w:p w14:paraId="0EFD45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159" w:type="dxa"/>
          </w:tcPr>
          <w:p w14:paraId="2551EC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59" w:type="dxa"/>
          </w:tcPr>
          <w:p w14:paraId="52E1A80C"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35F8A8CE"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1F70B583" w14:textId="77777777" w:rsidR="00537E5F" w:rsidRPr="00507A31" w:rsidRDefault="00537E5F" w:rsidP="00507A31">
            <w:pPr>
              <w:autoSpaceDE w:val="0"/>
              <w:autoSpaceDN w:val="0"/>
              <w:adjustRightInd w:val="0"/>
              <w:jc w:val="both"/>
              <w:rPr>
                <w:color w:val="000000" w:themeColor="text1"/>
                <w:sz w:val="16"/>
                <w:szCs w:val="16"/>
              </w:rPr>
            </w:pPr>
          </w:p>
        </w:tc>
        <w:tc>
          <w:tcPr>
            <w:tcW w:w="876" w:type="dxa"/>
          </w:tcPr>
          <w:p w14:paraId="41F031CA"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87B0574" w14:textId="77777777">
        <w:tc>
          <w:tcPr>
            <w:tcW w:w="1159" w:type="dxa"/>
          </w:tcPr>
          <w:p w14:paraId="091478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МТБ2</w:t>
            </w:r>
          </w:p>
        </w:tc>
        <w:tc>
          <w:tcPr>
            <w:tcW w:w="1159" w:type="dxa"/>
          </w:tcPr>
          <w:p w14:paraId="7169DC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59" w:type="dxa"/>
          </w:tcPr>
          <w:p w14:paraId="054E70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1159" w:type="dxa"/>
          </w:tcPr>
          <w:p w14:paraId="2D2F92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1159" w:type="dxa"/>
          </w:tcPr>
          <w:p w14:paraId="150898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1932</w:t>
            </w:r>
          </w:p>
        </w:tc>
        <w:tc>
          <w:tcPr>
            <w:tcW w:w="1159" w:type="dxa"/>
          </w:tcPr>
          <w:p w14:paraId="05DF93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+ 12 мес.</w:t>
            </w:r>
          </w:p>
        </w:tc>
        <w:tc>
          <w:tcPr>
            <w:tcW w:w="1159" w:type="dxa"/>
          </w:tcPr>
          <w:p w14:paraId="6D206E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1932</w:t>
            </w:r>
          </w:p>
        </w:tc>
        <w:tc>
          <w:tcPr>
            <w:tcW w:w="1159" w:type="dxa"/>
          </w:tcPr>
          <w:p w14:paraId="103C92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 мес.</w:t>
            </w:r>
          </w:p>
        </w:tc>
        <w:tc>
          <w:tcPr>
            <w:tcW w:w="1159" w:type="dxa"/>
          </w:tcPr>
          <w:p w14:paraId="7EC362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76" w:type="dxa"/>
          </w:tcPr>
          <w:p w14:paraId="2895DE3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CE06402" w14:textId="77777777">
        <w:tc>
          <w:tcPr>
            <w:tcW w:w="1159" w:type="dxa"/>
          </w:tcPr>
          <w:p w14:paraId="428CF7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МУ2</w:t>
            </w:r>
          </w:p>
        </w:tc>
        <w:tc>
          <w:tcPr>
            <w:tcW w:w="1159" w:type="dxa"/>
          </w:tcPr>
          <w:p w14:paraId="34F910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59" w:type="dxa"/>
          </w:tcPr>
          <w:p w14:paraId="51F082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 1 января 1931</w:t>
            </w:r>
          </w:p>
        </w:tc>
        <w:tc>
          <w:tcPr>
            <w:tcW w:w="1159" w:type="dxa"/>
          </w:tcPr>
          <w:p w14:paraId="12CD09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1159" w:type="dxa"/>
          </w:tcPr>
          <w:p w14:paraId="5F01C2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июля 1930</w:t>
            </w:r>
          </w:p>
        </w:tc>
        <w:tc>
          <w:tcPr>
            <w:tcW w:w="1159" w:type="dxa"/>
          </w:tcPr>
          <w:p w14:paraId="61A1C5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+ 1,5 мес.</w:t>
            </w:r>
          </w:p>
        </w:tc>
        <w:tc>
          <w:tcPr>
            <w:tcW w:w="1159" w:type="dxa"/>
          </w:tcPr>
          <w:p w14:paraId="161F501F"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4A517C38"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33174A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876" w:type="dxa"/>
          </w:tcPr>
          <w:p w14:paraId="1F99DD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испытан.</w:t>
            </w:r>
          </w:p>
        </w:tc>
      </w:tr>
      <w:tr w:rsidR="00E371BA" w:rsidRPr="00507A31" w14:paraId="262F2FFE" w14:textId="77777777">
        <w:tc>
          <w:tcPr>
            <w:tcW w:w="1159" w:type="dxa"/>
          </w:tcPr>
          <w:p w14:paraId="776997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МТБ3</w:t>
            </w:r>
          </w:p>
        </w:tc>
        <w:tc>
          <w:tcPr>
            <w:tcW w:w="1159" w:type="dxa"/>
          </w:tcPr>
          <w:p w14:paraId="28F6AB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59" w:type="dxa"/>
          </w:tcPr>
          <w:p w14:paraId="1A26DA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1159" w:type="dxa"/>
          </w:tcPr>
          <w:p w14:paraId="5FA501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1932</w:t>
            </w:r>
          </w:p>
        </w:tc>
        <w:tc>
          <w:tcPr>
            <w:tcW w:w="1159" w:type="dxa"/>
          </w:tcPr>
          <w:p w14:paraId="583E38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59" w:type="dxa"/>
          </w:tcPr>
          <w:p w14:paraId="661684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59" w:type="dxa"/>
          </w:tcPr>
          <w:p w14:paraId="08D8273B"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6765C737"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46987F71" w14:textId="77777777" w:rsidR="00537E5F" w:rsidRPr="00507A31" w:rsidRDefault="00537E5F" w:rsidP="00507A31">
            <w:pPr>
              <w:autoSpaceDE w:val="0"/>
              <w:autoSpaceDN w:val="0"/>
              <w:adjustRightInd w:val="0"/>
              <w:jc w:val="both"/>
              <w:rPr>
                <w:color w:val="000000" w:themeColor="text1"/>
                <w:sz w:val="16"/>
                <w:szCs w:val="16"/>
              </w:rPr>
            </w:pPr>
          </w:p>
        </w:tc>
        <w:tc>
          <w:tcPr>
            <w:tcW w:w="876" w:type="dxa"/>
          </w:tcPr>
          <w:p w14:paraId="635DF2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начинался. Снимается как дублирующ. МТБ2</w:t>
            </w:r>
          </w:p>
        </w:tc>
      </w:tr>
      <w:tr w:rsidR="00E371BA" w:rsidRPr="00507A31" w14:paraId="0FEDA9E2" w14:textId="77777777">
        <w:tc>
          <w:tcPr>
            <w:tcW w:w="1159" w:type="dxa"/>
          </w:tcPr>
          <w:p w14:paraId="7B50E7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w:t>
            </w:r>
          </w:p>
        </w:tc>
        <w:tc>
          <w:tcPr>
            <w:tcW w:w="1159" w:type="dxa"/>
          </w:tcPr>
          <w:p w14:paraId="69C0D9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59" w:type="dxa"/>
          </w:tcPr>
          <w:p w14:paraId="26557F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1930</w:t>
            </w:r>
          </w:p>
        </w:tc>
        <w:tc>
          <w:tcPr>
            <w:tcW w:w="1159" w:type="dxa"/>
          </w:tcPr>
          <w:p w14:paraId="3912E9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1159" w:type="dxa"/>
          </w:tcPr>
          <w:p w14:paraId="259989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1159" w:type="dxa"/>
          </w:tcPr>
          <w:p w14:paraId="0E2F51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 мес.</w:t>
            </w:r>
          </w:p>
        </w:tc>
        <w:tc>
          <w:tcPr>
            <w:tcW w:w="1159" w:type="dxa"/>
          </w:tcPr>
          <w:p w14:paraId="48553A31"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08A63C3A"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6C61290D" w14:textId="77777777" w:rsidR="00537E5F" w:rsidRPr="00507A31" w:rsidRDefault="00537E5F" w:rsidP="00507A31">
            <w:pPr>
              <w:autoSpaceDE w:val="0"/>
              <w:autoSpaceDN w:val="0"/>
              <w:adjustRightInd w:val="0"/>
              <w:jc w:val="both"/>
              <w:rPr>
                <w:color w:val="000000" w:themeColor="text1"/>
                <w:sz w:val="16"/>
                <w:szCs w:val="16"/>
              </w:rPr>
            </w:pPr>
          </w:p>
        </w:tc>
        <w:tc>
          <w:tcPr>
            <w:tcW w:w="876" w:type="dxa"/>
          </w:tcPr>
          <w:p w14:paraId="6670C9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начинался.</w:t>
            </w:r>
          </w:p>
        </w:tc>
      </w:tr>
      <w:tr w:rsidR="00E371BA" w:rsidRPr="00507A31" w14:paraId="318D629E" w14:textId="77777777">
        <w:tc>
          <w:tcPr>
            <w:tcW w:w="1159" w:type="dxa"/>
          </w:tcPr>
          <w:p w14:paraId="2B9AF9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А-1</w:t>
            </w:r>
          </w:p>
        </w:tc>
        <w:tc>
          <w:tcPr>
            <w:tcW w:w="1159" w:type="dxa"/>
          </w:tcPr>
          <w:p w14:paraId="736DF7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59" w:type="dxa"/>
          </w:tcPr>
          <w:p w14:paraId="5CCB34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Строил</w:t>
            </w:r>
          </w:p>
        </w:tc>
        <w:tc>
          <w:tcPr>
            <w:tcW w:w="1159" w:type="dxa"/>
          </w:tcPr>
          <w:p w14:paraId="7AA525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1931</w:t>
            </w:r>
          </w:p>
        </w:tc>
        <w:tc>
          <w:tcPr>
            <w:tcW w:w="1159" w:type="dxa"/>
          </w:tcPr>
          <w:p w14:paraId="2C9156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w:t>
            </w:r>
          </w:p>
        </w:tc>
        <w:tc>
          <w:tcPr>
            <w:tcW w:w="1159" w:type="dxa"/>
          </w:tcPr>
          <w:p w14:paraId="5EAC29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- 10 мес.</w:t>
            </w:r>
          </w:p>
        </w:tc>
        <w:tc>
          <w:tcPr>
            <w:tcW w:w="1159" w:type="dxa"/>
          </w:tcPr>
          <w:p w14:paraId="0DB36316"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35ECF306" w14:textId="77777777" w:rsidR="00537E5F" w:rsidRPr="00507A31" w:rsidRDefault="00537E5F" w:rsidP="00507A31">
            <w:pPr>
              <w:autoSpaceDE w:val="0"/>
              <w:autoSpaceDN w:val="0"/>
              <w:adjustRightInd w:val="0"/>
              <w:jc w:val="both"/>
              <w:rPr>
                <w:color w:val="000000" w:themeColor="text1"/>
                <w:sz w:val="16"/>
                <w:szCs w:val="16"/>
              </w:rPr>
            </w:pPr>
          </w:p>
        </w:tc>
        <w:tc>
          <w:tcPr>
            <w:tcW w:w="1159" w:type="dxa"/>
          </w:tcPr>
          <w:p w14:paraId="5E33F137" w14:textId="77777777" w:rsidR="00537E5F" w:rsidRPr="00507A31" w:rsidRDefault="00537E5F" w:rsidP="00507A31">
            <w:pPr>
              <w:autoSpaceDE w:val="0"/>
              <w:autoSpaceDN w:val="0"/>
              <w:adjustRightInd w:val="0"/>
              <w:jc w:val="both"/>
              <w:rPr>
                <w:color w:val="000000" w:themeColor="text1"/>
                <w:sz w:val="16"/>
                <w:szCs w:val="16"/>
              </w:rPr>
            </w:pPr>
          </w:p>
        </w:tc>
        <w:tc>
          <w:tcPr>
            <w:tcW w:w="876" w:type="dxa"/>
          </w:tcPr>
          <w:p w14:paraId="09B9A220" w14:textId="77777777" w:rsidR="00537E5F" w:rsidRPr="00507A31" w:rsidRDefault="00537E5F" w:rsidP="00507A31">
            <w:pPr>
              <w:autoSpaceDE w:val="0"/>
              <w:autoSpaceDN w:val="0"/>
              <w:adjustRightInd w:val="0"/>
              <w:jc w:val="both"/>
              <w:rPr>
                <w:color w:val="000000" w:themeColor="text1"/>
                <w:sz w:val="16"/>
                <w:szCs w:val="16"/>
              </w:rPr>
            </w:pPr>
          </w:p>
        </w:tc>
      </w:tr>
    </w:tbl>
    <w:p w14:paraId="180D1B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964"/>
        <w:gridCol w:w="1160"/>
        <w:gridCol w:w="1160"/>
        <w:gridCol w:w="1160"/>
        <w:gridCol w:w="1160"/>
        <w:gridCol w:w="1160"/>
        <w:gridCol w:w="1160"/>
        <w:gridCol w:w="1160"/>
        <w:gridCol w:w="1588"/>
      </w:tblGrid>
      <w:tr w:rsidR="00E371BA" w:rsidRPr="00507A31" w14:paraId="3D0F7E43" w14:textId="77777777">
        <w:tc>
          <w:tcPr>
            <w:tcW w:w="851" w:type="dxa"/>
          </w:tcPr>
          <w:p w14:paraId="49EC3C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w:t>
            </w:r>
          </w:p>
        </w:tc>
        <w:tc>
          <w:tcPr>
            <w:tcW w:w="964" w:type="dxa"/>
          </w:tcPr>
          <w:p w14:paraId="06D612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5D9E5A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Строил</w:t>
            </w:r>
          </w:p>
        </w:tc>
        <w:tc>
          <w:tcPr>
            <w:tcW w:w="1160" w:type="dxa"/>
          </w:tcPr>
          <w:p w14:paraId="1F0DBB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1160" w:type="dxa"/>
          </w:tcPr>
          <w:p w14:paraId="6CD32F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1160" w:type="dxa"/>
          </w:tcPr>
          <w:p w14:paraId="7CCE4B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+ 3,5 месяца</w:t>
            </w:r>
          </w:p>
        </w:tc>
        <w:tc>
          <w:tcPr>
            <w:tcW w:w="1160" w:type="dxa"/>
          </w:tcPr>
          <w:p w14:paraId="113DBE2E"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08B596B3"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3962F6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98%</w:t>
            </w:r>
          </w:p>
        </w:tc>
        <w:tc>
          <w:tcPr>
            <w:tcW w:w="1588" w:type="dxa"/>
          </w:tcPr>
          <w:p w14:paraId="2485D3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Находится на заводских испытан.</w:t>
            </w:r>
          </w:p>
        </w:tc>
      </w:tr>
      <w:tr w:rsidR="00E371BA" w:rsidRPr="00507A31" w14:paraId="08A60FDB" w14:textId="77777777">
        <w:tc>
          <w:tcPr>
            <w:tcW w:w="851" w:type="dxa"/>
          </w:tcPr>
          <w:p w14:paraId="166BA2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ТБ3</w:t>
            </w:r>
          </w:p>
        </w:tc>
        <w:tc>
          <w:tcPr>
            <w:tcW w:w="964" w:type="dxa"/>
          </w:tcPr>
          <w:p w14:paraId="3A5884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60" w:type="dxa"/>
          </w:tcPr>
          <w:p w14:paraId="70EB6B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Строил</w:t>
            </w:r>
          </w:p>
        </w:tc>
        <w:tc>
          <w:tcPr>
            <w:tcW w:w="1160" w:type="dxa"/>
          </w:tcPr>
          <w:p w14:paraId="12876B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1160" w:type="dxa"/>
          </w:tcPr>
          <w:p w14:paraId="7021FC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1160" w:type="dxa"/>
          </w:tcPr>
          <w:p w14:paraId="62ED32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+ 3 месяца</w:t>
            </w:r>
          </w:p>
        </w:tc>
        <w:tc>
          <w:tcPr>
            <w:tcW w:w="1160" w:type="dxa"/>
          </w:tcPr>
          <w:p w14:paraId="40B9F80F"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396E3C4E"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550C42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86%</w:t>
            </w:r>
          </w:p>
        </w:tc>
        <w:tc>
          <w:tcPr>
            <w:tcW w:w="1588" w:type="dxa"/>
          </w:tcPr>
          <w:p w14:paraId="5261AFE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35940F7" w14:textId="77777777">
        <w:tc>
          <w:tcPr>
            <w:tcW w:w="851" w:type="dxa"/>
          </w:tcPr>
          <w:p w14:paraId="65BAFD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ТБ4</w:t>
            </w:r>
          </w:p>
        </w:tc>
        <w:tc>
          <w:tcPr>
            <w:tcW w:w="964" w:type="dxa"/>
          </w:tcPr>
          <w:p w14:paraId="519659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60" w:type="dxa"/>
          </w:tcPr>
          <w:p w14:paraId="0FFE4F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1160" w:type="dxa"/>
          </w:tcPr>
          <w:p w14:paraId="2A305A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1160" w:type="dxa"/>
          </w:tcPr>
          <w:p w14:paraId="1C0028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1931</w:t>
            </w:r>
          </w:p>
        </w:tc>
        <w:tc>
          <w:tcPr>
            <w:tcW w:w="1160" w:type="dxa"/>
          </w:tcPr>
          <w:p w14:paraId="4D14BF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+ 7 месяцев</w:t>
            </w:r>
          </w:p>
        </w:tc>
        <w:tc>
          <w:tcPr>
            <w:tcW w:w="1160" w:type="dxa"/>
          </w:tcPr>
          <w:p w14:paraId="300ADC18"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2BAA42B0"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3DCD15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588" w:type="dxa"/>
          </w:tcPr>
          <w:p w14:paraId="7FC77E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только начата, ведутся расчеты.</w:t>
            </w:r>
          </w:p>
        </w:tc>
      </w:tr>
      <w:tr w:rsidR="00E371BA" w:rsidRPr="00507A31" w14:paraId="5489BFC5" w14:textId="77777777">
        <w:tc>
          <w:tcPr>
            <w:tcW w:w="851" w:type="dxa"/>
          </w:tcPr>
          <w:p w14:paraId="321E15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ТБ5</w:t>
            </w:r>
          </w:p>
        </w:tc>
        <w:tc>
          <w:tcPr>
            <w:tcW w:w="964" w:type="dxa"/>
          </w:tcPr>
          <w:p w14:paraId="471F4A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166E3A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60" w:type="dxa"/>
          </w:tcPr>
          <w:p w14:paraId="1DD0C8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60" w:type="dxa"/>
          </w:tcPr>
          <w:p w14:paraId="6DB1F7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1160" w:type="dxa"/>
          </w:tcPr>
          <w:p w14:paraId="5F7347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60" w:type="dxa"/>
          </w:tcPr>
          <w:p w14:paraId="64907A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1160" w:type="dxa"/>
          </w:tcPr>
          <w:p w14:paraId="15B2C0BD"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0598D7AC"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5396A0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Поставлен в план по предложению ВАО.</w:t>
            </w:r>
          </w:p>
        </w:tc>
      </w:tr>
      <w:tr w:rsidR="00E371BA" w:rsidRPr="00507A31" w14:paraId="74C05E97" w14:textId="77777777">
        <w:tc>
          <w:tcPr>
            <w:tcW w:w="851" w:type="dxa"/>
          </w:tcPr>
          <w:p w14:paraId="438EC1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ТШ1</w:t>
            </w:r>
          </w:p>
        </w:tc>
        <w:tc>
          <w:tcPr>
            <w:tcW w:w="964" w:type="dxa"/>
          </w:tcPr>
          <w:p w14:paraId="56AB02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60" w:type="dxa"/>
          </w:tcPr>
          <w:p w14:paraId="79903F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1160" w:type="dxa"/>
          </w:tcPr>
          <w:p w14:paraId="2DE175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1160" w:type="dxa"/>
          </w:tcPr>
          <w:p w14:paraId="3D714B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августа 1932</w:t>
            </w:r>
          </w:p>
        </w:tc>
        <w:tc>
          <w:tcPr>
            <w:tcW w:w="1160" w:type="dxa"/>
          </w:tcPr>
          <w:p w14:paraId="3E64D5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+ 15 месяцев</w:t>
            </w:r>
          </w:p>
        </w:tc>
        <w:tc>
          <w:tcPr>
            <w:tcW w:w="1160" w:type="dxa"/>
          </w:tcPr>
          <w:p w14:paraId="3D4C2CE7"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2E6373D5"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385F8B05"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446514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начата, делается эскизный проект.</w:t>
            </w:r>
          </w:p>
        </w:tc>
      </w:tr>
      <w:tr w:rsidR="00E371BA" w:rsidRPr="00507A31" w14:paraId="693F74FA" w14:textId="77777777">
        <w:tc>
          <w:tcPr>
            <w:tcW w:w="851" w:type="dxa"/>
          </w:tcPr>
          <w:p w14:paraId="12F9B5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ЛШ-1</w:t>
            </w:r>
          </w:p>
        </w:tc>
        <w:tc>
          <w:tcPr>
            <w:tcW w:w="964" w:type="dxa"/>
          </w:tcPr>
          <w:p w14:paraId="10B2DA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3875B6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60" w:type="dxa"/>
          </w:tcPr>
          <w:p w14:paraId="16E137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60" w:type="dxa"/>
          </w:tcPr>
          <w:p w14:paraId="591127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1160" w:type="dxa"/>
          </w:tcPr>
          <w:p w14:paraId="021AD6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60" w:type="dxa"/>
          </w:tcPr>
          <w:p w14:paraId="5AB244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1160" w:type="dxa"/>
          </w:tcPr>
          <w:p w14:paraId="03F765B7"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4505C15F"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08D833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Поставлен в план по предложению ВАО.</w:t>
            </w:r>
          </w:p>
        </w:tc>
      </w:tr>
      <w:tr w:rsidR="00E371BA" w:rsidRPr="00507A31" w14:paraId="27B67B28" w14:textId="77777777">
        <w:tc>
          <w:tcPr>
            <w:tcW w:w="851" w:type="dxa"/>
          </w:tcPr>
          <w:p w14:paraId="42778E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Р7</w:t>
            </w:r>
          </w:p>
        </w:tc>
        <w:tc>
          <w:tcPr>
            <w:tcW w:w="964" w:type="dxa"/>
          </w:tcPr>
          <w:p w14:paraId="7F977C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60" w:type="dxa"/>
          </w:tcPr>
          <w:p w14:paraId="71A1F7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Строился</w:t>
            </w:r>
          </w:p>
        </w:tc>
        <w:tc>
          <w:tcPr>
            <w:tcW w:w="1160" w:type="dxa"/>
          </w:tcPr>
          <w:p w14:paraId="6D9860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мая 1930</w:t>
            </w:r>
          </w:p>
        </w:tc>
        <w:tc>
          <w:tcPr>
            <w:tcW w:w="1160" w:type="dxa"/>
          </w:tcPr>
          <w:p w14:paraId="09AF2C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1160" w:type="dxa"/>
          </w:tcPr>
          <w:p w14:paraId="2043E4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+ 3 месяца</w:t>
            </w:r>
          </w:p>
        </w:tc>
        <w:tc>
          <w:tcPr>
            <w:tcW w:w="1160" w:type="dxa"/>
          </w:tcPr>
          <w:p w14:paraId="67999B96"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0AF2A5E2"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19D281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98%</w:t>
            </w:r>
          </w:p>
        </w:tc>
        <w:tc>
          <w:tcPr>
            <w:tcW w:w="1588" w:type="dxa"/>
          </w:tcPr>
          <w:p w14:paraId="3BB19B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Находится на заводских испытан.</w:t>
            </w:r>
          </w:p>
        </w:tc>
      </w:tr>
      <w:tr w:rsidR="00E371BA" w:rsidRPr="00507A31" w14:paraId="5AD41244" w14:textId="77777777">
        <w:tc>
          <w:tcPr>
            <w:tcW w:w="851" w:type="dxa"/>
          </w:tcPr>
          <w:p w14:paraId="1E9F74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w:t>
            </w:r>
          </w:p>
        </w:tc>
        <w:tc>
          <w:tcPr>
            <w:tcW w:w="964" w:type="dxa"/>
          </w:tcPr>
          <w:p w14:paraId="664A79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522490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1160" w:type="dxa"/>
          </w:tcPr>
          <w:p w14:paraId="5FD3C5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1160" w:type="dxa"/>
          </w:tcPr>
          <w:p w14:paraId="5A56BA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1160" w:type="dxa"/>
          </w:tcPr>
          <w:p w14:paraId="4C2AB5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 месяцев</w:t>
            </w:r>
          </w:p>
        </w:tc>
        <w:tc>
          <w:tcPr>
            <w:tcW w:w="1160" w:type="dxa"/>
          </w:tcPr>
          <w:p w14:paraId="1D7BC9E9"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30FDBA6D"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10E5A5B7"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551327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Делается эскизный проект.</w:t>
            </w:r>
          </w:p>
        </w:tc>
      </w:tr>
      <w:tr w:rsidR="00E371BA" w:rsidRPr="00507A31" w14:paraId="00BF5865" w14:textId="77777777">
        <w:tc>
          <w:tcPr>
            <w:tcW w:w="851" w:type="dxa"/>
          </w:tcPr>
          <w:p w14:paraId="14CD97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Р9</w:t>
            </w:r>
          </w:p>
        </w:tc>
        <w:tc>
          <w:tcPr>
            <w:tcW w:w="964" w:type="dxa"/>
          </w:tcPr>
          <w:p w14:paraId="2E4404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027196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1931</w:t>
            </w:r>
          </w:p>
        </w:tc>
        <w:tc>
          <w:tcPr>
            <w:tcW w:w="1160" w:type="dxa"/>
          </w:tcPr>
          <w:p w14:paraId="5AA033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1932</w:t>
            </w:r>
          </w:p>
        </w:tc>
        <w:tc>
          <w:tcPr>
            <w:tcW w:w="1160" w:type="dxa"/>
          </w:tcPr>
          <w:p w14:paraId="4ED2AE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1932</w:t>
            </w:r>
          </w:p>
        </w:tc>
        <w:tc>
          <w:tcPr>
            <w:tcW w:w="1160" w:type="dxa"/>
          </w:tcPr>
          <w:p w14:paraId="036BE1AC"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5CBD38C2"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623749EF"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7E1C3F65"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1CB90346"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377D77D" w14:textId="77777777">
        <w:tc>
          <w:tcPr>
            <w:tcW w:w="851" w:type="dxa"/>
          </w:tcPr>
          <w:p w14:paraId="47AEC4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МИ1=Р6</w:t>
            </w:r>
          </w:p>
        </w:tc>
        <w:tc>
          <w:tcPr>
            <w:tcW w:w="964" w:type="dxa"/>
          </w:tcPr>
          <w:p w14:paraId="16B549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60" w:type="dxa"/>
          </w:tcPr>
          <w:p w14:paraId="43E3DB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Строился</w:t>
            </w:r>
          </w:p>
        </w:tc>
        <w:tc>
          <w:tcPr>
            <w:tcW w:w="1160" w:type="dxa"/>
          </w:tcPr>
          <w:p w14:paraId="175D3C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марта 1930</w:t>
            </w:r>
          </w:p>
        </w:tc>
        <w:tc>
          <w:tcPr>
            <w:tcW w:w="1160" w:type="dxa"/>
          </w:tcPr>
          <w:p w14:paraId="6EE6AF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июля 1930</w:t>
            </w:r>
          </w:p>
        </w:tc>
        <w:tc>
          <w:tcPr>
            <w:tcW w:w="1160" w:type="dxa"/>
          </w:tcPr>
          <w:p w14:paraId="22E69E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+ 4 месяца</w:t>
            </w:r>
          </w:p>
        </w:tc>
        <w:tc>
          <w:tcPr>
            <w:tcW w:w="1160" w:type="dxa"/>
          </w:tcPr>
          <w:p w14:paraId="046AFE21"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17A3F548"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080594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1588" w:type="dxa"/>
          </w:tcPr>
          <w:p w14:paraId="593077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Находится на госиспыт. (под маркой Р6).</w:t>
            </w:r>
          </w:p>
        </w:tc>
      </w:tr>
      <w:tr w:rsidR="00E371BA" w:rsidRPr="00507A31" w14:paraId="63CF32AB" w14:textId="77777777">
        <w:tc>
          <w:tcPr>
            <w:tcW w:w="851" w:type="dxa"/>
          </w:tcPr>
          <w:p w14:paraId="1792A1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МИ2</w:t>
            </w:r>
          </w:p>
        </w:tc>
        <w:tc>
          <w:tcPr>
            <w:tcW w:w="964" w:type="dxa"/>
          </w:tcPr>
          <w:p w14:paraId="6F3E92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4E970B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1160" w:type="dxa"/>
          </w:tcPr>
          <w:p w14:paraId="1391B4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1160" w:type="dxa"/>
          </w:tcPr>
          <w:p w14:paraId="57B6D9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1160" w:type="dxa"/>
          </w:tcPr>
          <w:p w14:paraId="1CCD98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 месяц</w:t>
            </w:r>
          </w:p>
        </w:tc>
        <w:tc>
          <w:tcPr>
            <w:tcW w:w="1160" w:type="dxa"/>
          </w:tcPr>
          <w:p w14:paraId="164F5F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1160" w:type="dxa"/>
          </w:tcPr>
          <w:p w14:paraId="7E0D9D1C"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6B512F4F"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2490D8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начинает. с 1 декабря 1930 года.</w:t>
            </w:r>
          </w:p>
        </w:tc>
      </w:tr>
      <w:tr w:rsidR="00E371BA" w:rsidRPr="00507A31" w14:paraId="1A356407" w14:textId="77777777">
        <w:tc>
          <w:tcPr>
            <w:tcW w:w="851" w:type="dxa"/>
          </w:tcPr>
          <w:p w14:paraId="1ED7A7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МИ3</w:t>
            </w:r>
          </w:p>
        </w:tc>
        <w:tc>
          <w:tcPr>
            <w:tcW w:w="964" w:type="dxa"/>
          </w:tcPr>
          <w:p w14:paraId="5240FF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60" w:type="dxa"/>
          </w:tcPr>
          <w:p w14:paraId="22A857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1931</w:t>
            </w:r>
          </w:p>
        </w:tc>
        <w:tc>
          <w:tcPr>
            <w:tcW w:w="1160" w:type="dxa"/>
          </w:tcPr>
          <w:p w14:paraId="2F4058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1932</w:t>
            </w:r>
          </w:p>
        </w:tc>
        <w:tc>
          <w:tcPr>
            <w:tcW w:w="1160" w:type="dxa"/>
          </w:tcPr>
          <w:p w14:paraId="52A0AE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1932</w:t>
            </w:r>
          </w:p>
        </w:tc>
        <w:tc>
          <w:tcPr>
            <w:tcW w:w="1160" w:type="dxa"/>
          </w:tcPr>
          <w:p w14:paraId="7961B059"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33B73288"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161A49F9"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0994A2A3"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262FFE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начат.</w:t>
            </w:r>
          </w:p>
        </w:tc>
      </w:tr>
      <w:tr w:rsidR="00E371BA" w:rsidRPr="00507A31" w14:paraId="3A83E850" w14:textId="77777777">
        <w:tc>
          <w:tcPr>
            <w:tcW w:w="851" w:type="dxa"/>
          </w:tcPr>
          <w:p w14:paraId="0D4B15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ДИ2</w:t>
            </w:r>
          </w:p>
        </w:tc>
        <w:tc>
          <w:tcPr>
            <w:tcW w:w="964" w:type="dxa"/>
          </w:tcPr>
          <w:p w14:paraId="1490D2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12E3E3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Передел.</w:t>
            </w:r>
          </w:p>
        </w:tc>
        <w:tc>
          <w:tcPr>
            <w:tcW w:w="1160" w:type="dxa"/>
          </w:tcPr>
          <w:p w14:paraId="4B8F0C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1160" w:type="dxa"/>
          </w:tcPr>
          <w:p w14:paraId="49E1DA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1160" w:type="dxa"/>
          </w:tcPr>
          <w:p w14:paraId="788D6F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+ 7 месяцев</w:t>
            </w:r>
          </w:p>
        </w:tc>
        <w:tc>
          <w:tcPr>
            <w:tcW w:w="1160" w:type="dxa"/>
          </w:tcPr>
          <w:p w14:paraId="64F71070"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753E930B"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7C9BFE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tc>
        <w:tc>
          <w:tcPr>
            <w:tcW w:w="1588" w:type="dxa"/>
          </w:tcPr>
          <w:p w14:paraId="0782A8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Была выполнена, разбита при испытании.</w:t>
            </w:r>
          </w:p>
        </w:tc>
      </w:tr>
      <w:tr w:rsidR="00E371BA" w:rsidRPr="00507A31" w14:paraId="36F51599" w14:textId="77777777">
        <w:tc>
          <w:tcPr>
            <w:tcW w:w="851" w:type="dxa"/>
          </w:tcPr>
          <w:p w14:paraId="71741D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ДИ3</w:t>
            </w:r>
          </w:p>
        </w:tc>
        <w:tc>
          <w:tcPr>
            <w:tcW w:w="964" w:type="dxa"/>
          </w:tcPr>
          <w:p w14:paraId="0EACF7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60" w:type="dxa"/>
          </w:tcPr>
          <w:p w14:paraId="1C96FA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1160" w:type="dxa"/>
          </w:tcPr>
          <w:p w14:paraId="671E1B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1931</w:t>
            </w:r>
          </w:p>
        </w:tc>
        <w:tc>
          <w:tcPr>
            <w:tcW w:w="1160" w:type="dxa"/>
          </w:tcPr>
          <w:p w14:paraId="090BF4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1932</w:t>
            </w:r>
          </w:p>
        </w:tc>
        <w:tc>
          <w:tcPr>
            <w:tcW w:w="1160" w:type="dxa"/>
          </w:tcPr>
          <w:p w14:paraId="2AAB1F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+ 12 месяцев</w:t>
            </w:r>
          </w:p>
        </w:tc>
        <w:tc>
          <w:tcPr>
            <w:tcW w:w="1160" w:type="dxa"/>
          </w:tcPr>
          <w:p w14:paraId="01DBD22B"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691A7A42"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37D1307D"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6F3DF5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начата, эскизный проект не представлен.</w:t>
            </w:r>
          </w:p>
        </w:tc>
      </w:tr>
      <w:tr w:rsidR="00E371BA" w:rsidRPr="00507A31" w14:paraId="32451696" w14:textId="77777777">
        <w:tc>
          <w:tcPr>
            <w:tcW w:w="851" w:type="dxa"/>
          </w:tcPr>
          <w:p w14:paraId="734A67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ДИ4</w:t>
            </w:r>
          </w:p>
        </w:tc>
        <w:tc>
          <w:tcPr>
            <w:tcW w:w="964" w:type="dxa"/>
          </w:tcPr>
          <w:p w14:paraId="08724A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239F4F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160" w:type="dxa"/>
          </w:tcPr>
          <w:p w14:paraId="31ABA3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c>
          <w:tcPr>
            <w:tcW w:w="1160" w:type="dxa"/>
          </w:tcPr>
          <w:p w14:paraId="2099BE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c>
          <w:tcPr>
            <w:tcW w:w="1160" w:type="dxa"/>
          </w:tcPr>
          <w:p w14:paraId="45236E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 месяцев</w:t>
            </w:r>
          </w:p>
        </w:tc>
        <w:tc>
          <w:tcPr>
            <w:tcW w:w="1160" w:type="dxa"/>
          </w:tcPr>
          <w:p w14:paraId="7B53A7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1931</w:t>
            </w:r>
          </w:p>
        </w:tc>
        <w:tc>
          <w:tcPr>
            <w:tcW w:w="1160" w:type="dxa"/>
          </w:tcPr>
          <w:p w14:paraId="53547D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 месяц</w:t>
            </w:r>
          </w:p>
        </w:tc>
        <w:tc>
          <w:tcPr>
            <w:tcW w:w="1160" w:type="dxa"/>
          </w:tcPr>
          <w:p w14:paraId="6B4C4B3B"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68EEF5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начата.</w:t>
            </w:r>
          </w:p>
        </w:tc>
      </w:tr>
      <w:tr w:rsidR="00E371BA" w:rsidRPr="00507A31" w14:paraId="39A258BB" w14:textId="77777777">
        <w:tc>
          <w:tcPr>
            <w:tcW w:w="851" w:type="dxa"/>
          </w:tcPr>
          <w:p w14:paraId="1F8058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w:t>
            </w:r>
          </w:p>
        </w:tc>
        <w:tc>
          <w:tcPr>
            <w:tcW w:w="964" w:type="dxa"/>
          </w:tcPr>
          <w:p w14:paraId="19C66E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6C839F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w:t>
            </w:r>
          </w:p>
        </w:tc>
        <w:tc>
          <w:tcPr>
            <w:tcW w:w="1160" w:type="dxa"/>
          </w:tcPr>
          <w:p w14:paraId="109CFF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1930</w:t>
            </w:r>
          </w:p>
        </w:tc>
        <w:tc>
          <w:tcPr>
            <w:tcW w:w="1160" w:type="dxa"/>
          </w:tcPr>
          <w:p w14:paraId="71FA2F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1160" w:type="dxa"/>
          </w:tcPr>
          <w:p w14:paraId="25F61F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+ 1,5 месяца</w:t>
            </w:r>
          </w:p>
        </w:tc>
        <w:tc>
          <w:tcPr>
            <w:tcW w:w="1160" w:type="dxa"/>
          </w:tcPr>
          <w:p w14:paraId="6E16D8C9"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7D87963F"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559BD9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98%</w:t>
            </w:r>
          </w:p>
        </w:tc>
        <w:tc>
          <w:tcPr>
            <w:tcW w:w="1588" w:type="dxa"/>
          </w:tcPr>
          <w:p w14:paraId="56E8BC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испытании.</w:t>
            </w:r>
          </w:p>
        </w:tc>
      </w:tr>
      <w:tr w:rsidR="00E371BA" w:rsidRPr="00507A31" w14:paraId="1127A689" w14:textId="77777777">
        <w:tc>
          <w:tcPr>
            <w:tcW w:w="851" w:type="dxa"/>
          </w:tcPr>
          <w:p w14:paraId="2432CD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w:t>
            </w:r>
          </w:p>
        </w:tc>
        <w:tc>
          <w:tcPr>
            <w:tcW w:w="964" w:type="dxa"/>
          </w:tcPr>
          <w:p w14:paraId="4C0B69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6CEBB7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w:t>
            </w:r>
          </w:p>
        </w:tc>
        <w:tc>
          <w:tcPr>
            <w:tcW w:w="1160" w:type="dxa"/>
          </w:tcPr>
          <w:p w14:paraId="29FE27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1160" w:type="dxa"/>
          </w:tcPr>
          <w:p w14:paraId="163666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1160" w:type="dxa"/>
          </w:tcPr>
          <w:p w14:paraId="3FF5D9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 месяцев</w:t>
            </w:r>
          </w:p>
        </w:tc>
        <w:tc>
          <w:tcPr>
            <w:tcW w:w="1160" w:type="dxa"/>
          </w:tcPr>
          <w:p w14:paraId="55A939AA"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5816175B"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628AEDC6"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06D0BE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Снимается как дубль НД37.</w:t>
            </w:r>
          </w:p>
        </w:tc>
      </w:tr>
      <w:tr w:rsidR="00E371BA" w:rsidRPr="00507A31" w14:paraId="4ADEF510" w14:textId="77777777">
        <w:tc>
          <w:tcPr>
            <w:tcW w:w="851" w:type="dxa"/>
          </w:tcPr>
          <w:p w14:paraId="392C9E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И8</w:t>
            </w:r>
          </w:p>
        </w:tc>
        <w:tc>
          <w:tcPr>
            <w:tcW w:w="964" w:type="dxa"/>
          </w:tcPr>
          <w:p w14:paraId="7FC1C3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60" w:type="dxa"/>
          </w:tcPr>
          <w:p w14:paraId="476B0D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w:t>
            </w:r>
          </w:p>
        </w:tc>
        <w:tc>
          <w:tcPr>
            <w:tcW w:w="1160" w:type="dxa"/>
          </w:tcPr>
          <w:p w14:paraId="70F62A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1160" w:type="dxa"/>
          </w:tcPr>
          <w:p w14:paraId="2EDADA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1160" w:type="dxa"/>
          </w:tcPr>
          <w:p w14:paraId="1CFF8C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 месяц</w:t>
            </w:r>
          </w:p>
        </w:tc>
        <w:tc>
          <w:tcPr>
            <w:tcW w:w="1160" w:type="dxa"/>
          </w:tcPr>
          <w:p w14:paraId="12CFEAF3"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4D75327C"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241EA0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72%</w:t>
            </w:r>
          </w:p>
        </w:tc>
        <w:tc>
          <w:tcPr>
            <w:tcW w:w="1588" w:type="dxa"/>
          </w:tcPr>
          <w:p w14:paraId="45FE6113"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E784451" w14:textId="77777777">
        <w:tc>
          <w:tcPr>
            <w:tcW w:w="851" w:type="dxa"/>
          </w:tcPr>
          <w:p w14:paraId="666C34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И9</w:t>
            </w:r>
          </w:p>
        </w:tc>
        <w:tc>
          <w:tcPr>
            <w:tcW w:w="964" w:type="dxa"/>
          </w:tcPr>
          <w:p w14:paraId="60276D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639898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1930</w:t>
            </w:r>
          </w:p>
        </w:tc>
        <w:tc>
          <w:tcPr>
            <w:tcW w:w="1160" w:type="dxa"/>
          </w:tcPr>
          <w:p w14:paraId="702736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1931</w:t>
            </w:r>
          </w:p>
        </w:tc>
        <w:tc>
          <w:tcPr>
            <w:tcW w:w="1160" w:type="dxa"/>
          </w:tcPr>
          <w:p w14:paraId="2B4FFE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1160" w:type="dxa"/>
          </w:tcPr>
          <w:p w14:paraId="36DA1C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+ 2 месяца</w:t>
            </w:r>
          </w:p>
        </w:tc>
        <w:tc>
          <w:tcPr>
            <w:tcW w:w="1160" w:type="dxa"/>
          </w:tcPr>
          <w:p w14:paraId="68914F67"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29A00074"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7A3E3A67"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405380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Предъявлен макет.</w:t>
            </w:r>
          </w:p>
        </w:tc>
      </w:tr>
      <w:tr w:rsidR="00E371BA" w:rsidRPr="00507A31" w14:paraId="5B0B7ED8" w14:textId="77777777">
        <w:tc>
          <w:tcPr>
            <w:tcW w:w="851" w:type="dxa"/>
          </w:tcPr>
          <w:p w14:paraId="46E1CB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И10</w:t>
            </w:r>
          </w:p>
        </w:tc>
        <w:tc>
          <w:tcPr>
            <w:tcW w:w="964" w:type="dxa"/>
          </w:tcPr>
          <w:p w14:paraId="5F3A02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4F88A3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60" w:type="dxa"/>
          </w:tcPr>
          <w:p w14:paraId="47F6E7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60" w:type="dxa"/>
          </w:tcPr>
          <w:p w14:paraId="662AA1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1932</w:t>
            </w:r>
          </w:p>
        </w:tc>
        <w:tc>
          <w:tcPr>
            <w:tcW w:w="1160" w:type="dxa"/>
          </w:tcPr>
          <w:p w14:paraId="0C832BAF"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1F2F8D2D"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7E47BE73"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21625071"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53B4D2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Снят из-за неполуч. иностр. Техпомощи</w:t>
            </w:r>
          </w:p>
        </w:tc>
      </w:tr>
      <w:tr w:rsidR="00E371BA" w:rsidRPr="00507A31" w14:paraId="5F7611F0" w14:textId="77777777">
        <w:tc>
          <w:tcPr>
            <w:tcW w:w="851" w:type="dxa"/>
          </w:tcPr>
          <w:p w14:paraId="630E14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И11</w:t>
            </w:r>
          </w:p>
        </w:tc>
        <w:tc>
          <w:tcPr>
            <w:tcW w:w="964" w:type="dxa"/>
          </w:tcPr>
          <w:p w14:paraId="2E3A87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60" w:type="dxa"/>
          </w:tcPr>
          <w:p w14:paraId="1679CF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1931</w:t>
            </w:r>
          </w:p>
        </w:tc>
        <w:tc>
          <w:tcPr>
            <w:tcW w:w="1160" w:type="dxa"/>
          </w:tcPr>
          <w:p w14:paraId="5A1347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1932</w:t>
            </w:r>
          </w:p>
        </w:tc>
        <w:tc>
          <w:tcPr>
            <w:tcW w:w="1160" w:type="dxa"/>
          </w:tcPr>
          <w:p w14:paraId="30AD6A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1932</w:t>
            </w:r>
          </w:p>
        </w:tc>
        <w:tc>
          <w:tcPr>
            <w:tcW w:w="1160" w:type="dxa"/>
          </w:tcPr>
          <w:p w14:paraId="07CE4A44"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1003BBFE"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7A4FB5F8"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5F04DBDC"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58736E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начаты.</w:t>
            </w:r>
          </w:p>
        </w:tc>
      </w:tr>
      <w:tr w:rsidR="00E371BA" w:rsidRPr="00507A31" w14:paraId="13434D6F" w14:textId="77777777">
        <w:tc>
          <w:tcPr>
            <w:tcW w:w="851" w:type="dxa"/>
          </w:tcPr>
          <w:p w14:paraId="4F9B14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И12</w:t>
            </w:r>
          </w:p>
        </w:tc>
        <w:tc>
          <w:tcPr>
            <w:tcW w:w="964" w:type="dxa"/>
          </w:tcPr>
          <w:p w14:paraId="0B62FD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160" w:type="dxa"/>
          </w:tcPr>
          <w:p w14:paraId="6FB49B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60" w:type="dxa"/>
          </w:tcPr>
          <w:p w14:paraId="7EAB65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60" w:type="dxa"/>
          </w:tcPr>
          <w:p w14:paraId="106B88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1931</w:t>
            </w:r>
          </w:p>
        </w:tc>
        <w:tc>
          <w:tcPr>
            <w:tcW w:w="1160" w:type="dxa"/>
          </w:tcPr>
          <w:p w14:paraId="0865A1DF"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3DFF9485"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10F1881D"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1CFF7330"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0EF2CA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Поставлен дополнительно.</w:t>
            </w:r>
          </w:p>
        </w:tc>
      </w:tr>
      <w:tr w:rsidR="00E371BA" w:rsidRPr="00507A31" w14:paraId="746F8DAE" w14:textId="77777777">
        <w:tc>
          <w:tcPr>
            <w:tcW w:w="851" w:type="dxa"/>
          </w:tcPr>
          <w:p w14:paraId="17FE65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С-1</w:t>
            </w:r>
          </w:p>
        </w:tc>
        <w:tc>
          <w:tcPr>
            <w:tcW w:w="964" w:type="dxa"/>
          </w:tcPr>
          <w:p w14:paraId="1585F9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ОСО</w:t>
            </w:r>
          </w:p>
        </w:tc>
        <w:tc>
          <w:tcPr>
            <w:tcW w:w="1160" w:type="dxa"/>
          </w:tcPr>
          <w:p w14:paraId="4FB1AF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160" w:type="dxa"/>
          </w:tcPr>
          <w:p w14:paraId="6EB28A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1931</w:t>
            </w:r>
          </w:p>
        </w:tc>
        <w:tc>
          <w:tcPr>
            <w:tcW w:w="1160" w:type="dxa"/>
          </w:tcPr>
          <w:p w14:paraId="528530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1931</w:t>
            </w:r>
          </w:p>
        </w:tc>
        <w:tc>
          <w:tcPr>
            <w:tcW w:w="1160" w:type="dxa"/>
          </w:tcPr>
          <w:p w14:paraId="5AA2629C"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22ADD8C9"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02624FE5"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109FB280"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598F95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Снимается. Заменяется П2 или У2.</w:t>
            </w:r>
          </w:p>
        </w:tc>
      </w:tr>
      <w:tr w:rsidR="00E371BA" w:rsidRPr="00507A31" w14:paraId="4008B943" w14:textId="77777777">
        <w:tc>
          <w:tcPr>
            <w:tcW w:w="851" w:type="dxa"/>
          </w:tcPr>
          <w:p w14:paraId="769B44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ХБ1</w:t>
            </w:r>
          </w:p>
        </w:tc>
        <w:tc>
          <w:tcPr>
            <w:tcW w:w="964" w:type="dxa"/>
          </w:tcPr>
          <w:p w14:paraId="3D95FE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ГВАО</w:t>
            </w:r>
          </w:p>
        </w:tc>
        <w:tc>
          <w:tcPr>
            <w:tcW w:w="1160" w:type="dxa"/>
          </w:tcPr>
          <w:p w14:paraId="3E4E77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1932</w:t>
            </w:r>
          </w:p>
        </w:tc>
        <w:tc>
          <w:tcPr>
            <w:tcW w:w="1160" w:type="dxa"/>
          </w:tcPr>
          <w:p w14:paraId="635817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1933</w:t>
            </w:r>
          </w:p>
        </w:tc>
        <w:tc>
          <w:tcPr>
            <w:tcW w:w="1160" w:type="dxa"/>
          </w:tcPr>
          <w:p w14:paraId="457FAE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1933</w:t>
            </w:r>
          </w:p>
        </w:tc>
        <w:tc>
          <w:tcPr>
            <w:tcW w:w="1160" w:type="dxa"/>
          </w:tcPr>
          <w:p w14:paraId="4E4F0D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 месяцев</w:t>
            </w:r>
          </w:p>
        </w:tc>
        <w:tc>
          <w:tcPr>
            <w:tcW w:w="1160" w:type="dxa"/>
          </w:tcPr>
          <w:p w14:paraId="49BD2AF1"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79254AB2" w14:textId="77777777" w:rsidR="00537E5F" w:rsidRPr="00507A31" w:rsidRDefault="00537E5F" w:rsidP="00507A31">
            <w:pPr>
              <w:autoSpaceDE w:val="0"/>
              <w:autoSpaceDN w:val="0"/>
              <w:adjustRightInd w:val="0"/>
              <w:jc w:val="both"/>
              <w:rPr>
                <w:color w:val="000000" w:themeColor="text1"/>
                <w:sz w:val="16"/>
                <w:szCs w:val="16"/>
              </w:rPr>
            </w:pPr>
          </w:p>
        </w:tc>
        <w:tc>
          <w:tcPr>
            <w:tcW w:w="1160" w:type="dxa"/>
          </w:tcPr>
          <w:p w14:paraId="26AF8521" w14:textId="77777777" w:rsidR="00537E5F" w:rsidRPr="00507A31" w:rsidRDefault="00537E5F" w:rsidP="00507A31">
            <w:pPr>
              <w:autoSpaceDE w:val="0"/>
              <w:autoSpaceDN w:val="0"/>
              <w:adjustRightInd w:val="0"/>
              <w:jc w:val="both"/>
              <w:rPr>
                <w:color w:val="000000" w:themeColor="text1"/>
                <w:sz w:val="16"/>
                <w:szCs w:val="16"/>
              </w:rPr>
            </w:pPr>
          </w:p>
        </w:tc>
        <w:tc>
          <w:tcPr>
            <w:tcW w:w="1588" w:type="dxa"/>
          </w:tcPr>
          <w:p w14:paraId="3692FD35" w14:textId="77777777" w:rsidR="00537E5F" w:rsidRPr="00507A31" w:rsidRDefault="00537E5F" w:rsidP="00507A31">
            <w:pPr>
              <w:autoSpaceDE w:val="0"/>
              <w:autoSpaceDN w:val="0"/>
              <w:adjustRightInd w:val="0"/>
              <w:jc w:val="both"/>
              <w:rPr>
                <w:color w:val="000000" w:themeColor="text1"/>
                <w:sz w:val="16"/>
                <w:szCs w:val="16"/>
              </w:rPr>
            </w:pPr>
          </w:p>
        </w:tc>
      </w:tr>
    </w:tbl>
    <w:p w14:paraId="29B825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p w14:paraId="1882362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Процент выполнения самолета МТБ-1 60% указан самим КБ – фактическое выполнение неизвестно.</w:t>
      </w:r>
    </w:p>
    <w:p w14:paraId="56651E0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 самолетам А-1 выполнено на 50%, по самолетам Ш-2 выполнено на 15% - оценено по мнению 1 секции НТК (6998, 71-72).</w:t>
      </w:r>
    </w:p>
    <w:p w14:paraId="003F0AC2"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0D8C57C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C0FE93F" w14:textId="77777777" w:rsidR="00537E5F" w:rsidRPr="00507A31" w:rsidRDefault="00537E5F" w:rsidP="00507A31">
      <w:pPr>
        <w:autoSpaceDE w:val="0"/>
        <w:autoSpaceDN w:val="0"/>
        <w:adjustRightInd w:val="0"/>
        <w:jc w:val="both"/>
        <w:rPr>
          <w:iCs/>
          <w:color w:val="000000" w:themeColor="text1"/>
          <w:sz w:val="16"/>
          <w:szCs w:val="16"/>
        </w:rPr>
      </w:pPr>
    </w:p>
    <w:p w14:paraId="697405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 августа 1930 принимается решение о продолжении работ над танкеткой Т-25, однако уже как чисто гусеничной, вы-ролненной по типу ВКЛ, которая именовалась теперь В-25, К-25 («В» от «Виккерс», «К» от «Карден-Ллойд») (10733,143).</w:t>
      </w:r>
    </w:p>
    <w:p w14:paraId="230166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4FAB354" w14:textId="77777777" w:rsidR="00B16E4A" w:rsidRPr="00507A31" w:rsidRDefault="00B16E4A"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0BE8AFD" w14:textId="77777777" w:rsidR="00B16E4A" w:rsidRPr="00507A31" w:rsidRDefault="00B16E4A" w:rsidP="00507A31">
      <w:pPr>
        <w:autoSpaceDE w:val="0"/>
        <w:autoSpaceDN w:val="0"/>
        <w:adjustRightInd w:val="0"/>
        <w:jc w:val="both"/>
        <w:rPr>
          <w:iCs/>
          <w:color w:val="000000" w:themeColor="text1"/>
          <w:sz w:val="16"/>
          <w:szCs w:val="16"/>
        </w:rPr>
      </w:pPr>
    </w:p>
    <w:p w14:paraId="34853A0F" w14:textId="77777777" w:rsidR="00B16E4A" w:rsidRPr="00507A31" w:rsidRDefault="00B16E4A" w:rsidP="00507A31">
      <w:pPr>
        <w:jc w:val="both"/>
        <w:rPr>
          <w:color w:val="0070C0"/>
          <w:sz w:val="16"/>
          <w:szCs w:val="16"/>
        </w:rPr>
      </w:pPr>
      <w:r w:rsidRPr="00507A31">
        <w:rPr>
          <w:color w:val="0070C0"/>
          <w:sz w:val="16"/>
          <w:szCs w:val="16"/>
        </w:rPr>
        <w:t>22 августа 1930, пытаясь избежать грозы в плохую погоду на внутреннем пассажирском рейсе в Чехословакии из аэропорта Кбелы в Братиславе в Брно , чехословацкие государственные авиалинии Ford 5-AT-C Tri-Motor OK-FOR, резко уклоняются, чтобы избежать 35-метровой высоты (115 футов) дымовой трубы, ударяется о землю и разбивается в Йиглаве , в результате чего погибли 12 из 13 человек на борту (20805).</w:t>
      </w:r>
    </w:p>
    <w:p w14:paraId="7611339A" w14:textId="77777777" w:rsidR="00B16E4A" w:rsidRPr="00507A31" w:rsidRDefault="00B16E4A" w:rsidP="00507A31">
      <w:pPr>
        <w:jc w:val="both"/>
        <w:rPr>
          <w:color w:val="0070C0"/>
          <w:sz w:val="16"/>
          <w:szCs w:val="16"/>
        </w:rPr>
      </w:pPr>
    </w:p>
    <w:p w14:paraId="07D129B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E399B74" w14:textId="77777777" w:rsidR="00537E5F" w:rsidRPr="00507A31" w:rsidRDefault="00537E5F" w:rsidP="00507A31">
      <w:pPr>
        <w:autoSpaceDE w:val="0"/>
        <w:autoSpaceDN w:val="0"/>
        <w:adjustRightInd w:val="0"/>
        <w:jc w:val="both"/>
        <w:rPr>
          <w:iCs/>
          <w:color w:val="000000" w:themeColor="text1"/>
          <w:sz w:val="16"/>
          <w:szCs w:val="16"/>
        </w:rPr>
      </w:pPr>
    </w:p>
    <w:p w14:paraId="030DB2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августа 1930 года председатель 2 секции НТК подготовил:</w:t>
      </w:r>
    </w:p>
    <w:p w14:paraId="3F8FEC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Объяснительная записка к сводной ведомости по состоянию работ 2 секции НТК на 20 августа 1930 года</w:t>
      </w:r>
    </w:p>
    <w:p w14:paraId="0F6A5E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основным объектам опытного строительства, утвержденным Р3 СТО, относятся моторы М-32, М-34, М-35 и М-38. Как видно из прилагаемой ведомости наиболее мощный мотор М-35, имеющий большое значение и для опытного самолетостроения ГВАО, к исполнению вовсе не принят; вместо указанного готовится мотор ФЭД, который по основным техническим данным значительно уступает мотору М-35.</w:t>
      </w:r>
    </w:p>
    <w:p w14:paraId="7EBD50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 М-32, М-34 и М-38 находятся еще в стадии проектирования и только из них мотор М-34 поступил частично в производство. Между тем срок предъявления указанных трех моторов на гос. испытания 1 января 1931 года. Отсюда видно, что план опытного строительства по моторам, утвержденный Р3 СТО, срывается и уже на основе проделанного можно утверждать, что он не будет выполнен.</w:t>
      </w:r>
    </w:p>
    <w:p w14:paraId="3FD794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Вместо утвержденных планом моторов, ГВАО по-прежнему продолжает работу над моторами М-29, W-18 и М-27, тратя на это огромные силы, которые тем самым отвлекаются от выполнения правительственного задания.</w:t>
      </w:r>
    </w:p>
    <w:p w14:paraId="4C5F65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этой же ведомости видно, что темп работ ЦАГИ и НАМИ явно неудовлетворителен и на целый ряд практических вопросов воздушного флота и промышленности указанные институты ответа не дали. Ряд работ институтов растянулся на годы, этим самым затормозив решениеряда проблем воздушного флота (6998, 74).</w:t>
      </w:r>
    </w:p>
    <w:p w14:paraId="02D6B0B6" w14:textId="77777777" w:rsidR="00537E5F" w:rsidRPr="00507A31" w:rsidRDefault="00537E5F" w:rsidP="00507A31">
      <w:pPr>
        <w:autoSpaceDE w:val="0"/>
        <w:autoSpaceDN w:val="0"/>
        <w:adjustRightInd w:val="0"/>
        <w:jc w:val="both"/>
        <w:rPr>
          <w:color w:val="000000" w:themeColor="text1"/>
          <w:sz w:val="16"/>
          <w:szCs w:val="16"/>
        </w:rPr>
      </w:pPr>
    </w:p>
    <w:p w14:paraId="0145E7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августа 1930 года председатель 2 секции НТК Петровский подготовил:</w:t>
      </w:r>
    </w:p>
    <w:p w14:paraId="71D481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Сводная ведомость по состоянию работ с 1 сентября 1929 года по 20 августа 1930 года второй секции НТК УВВС</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E371BA" w:rsidRPr="00507A31" w14:paraId="719DC7C5" w14:textId="77777777" w:rsidTr="00B16E4A">
        <w:tc>
          <w:tcPr>
            <w:tcW w:w="2321" w:type="dxa"/>
          </w:tcPr>
          <w:p w14:paraId="006F83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 работы</w:t>
            </w:r>
          </w:p>
        </w:tc>
        <w:tc>
          <w:tcPr>
            <w:tcW w:w="2321" w:type="dxa"/>
          </w:tcPr>
          <w:p w14:paraId="5103A5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Сроки плана</w:t>
            </w:r>
          </w:p>
        </w:tc>
        <w:tc>
          <w:tcPr>
            <w:tcW w:w="2321" w:type="dxa"/>
          </w:tcPr>
          <w:p w14:paraId="13E56B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Сроки фактические</w:t>
            </w:r>
          </w:p>
        </w:tc>
        <w:tc>
          <w:tcPr>
            <w:tcW w:w="2321" w:type="dxa"/>
          </w:tcPr>
          <w:p w14:paraId="63616C9F"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2B90EB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выполнения работы по плану</w:t>
            </w:r>
          </w:p>
        </w:tc>
      </w:tr>
    </w:tbl>
    <w:p w14:paraId="4D05C2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Опытное строительство</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E371BA" w:rsidRPr="00507A31" w14:paraId="603EB96F" w14:textId="77777777" w:rsidTr="00E17C25">
        <w:tc>
          <w:tcPr>
            <w:tcW w:w="2321" w:type="dxa"/>
          </w:tcPr>
          <w:p w14:paraId="70FF00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М-19</w:t>
            </w:r>
          </w:p>
        </w:tc>
        <w:tc>
          <w:tcPr>
            <w:tcW w:w="2321" w:type="dxa"/>
          </w:tcPr>
          <w:p w14:paraId="01B55D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июля 1930</w:t>
            </w:r>
          </w:p>
        </w:tc>
        <w:tc>
          <w:tcPr>
            <w:tcW w:w="2321" w:type="dxa"/>
          </w:tcPr>
          <w:p w14:paraId="25CD7A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56E38B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72707B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w:t>
            </w:r>
          </w:p>
        </w:tc>
      </w:tr>
      <w:tr w:rsidR="00E371BA" w:rsidRPr="00507A31" w14:paraId="59C7E6F9" w14:textId="77777777" w:rsidTr="00E17C25">
        <w:tc>
          <w:tcPr>
            <w:tcW w:w="2321" w:type="dxa"/>
          </w:tcPr>
          <w:p w14:paraId="615CD2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М-15</w:t>
            </w:r>
          </w:p>
        </w:tc>
        <w:tc>
          <w:tcPr>
            <w:tcW w:w="2321" w:type="dxa"/>
          </w:tcPr>
          <w:p w14:paraId="410D2F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июня 1930</w:t>
            </w:r>
          </w:p>
        </w:tc>
        <w:tc>
          <w:tcPr>
            <w:tcW w:w="2321" w:type="dxa"/>
          </w:tcPr>
          <w:p w14:paraId="31F6F7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6A8FDC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2C01BD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95%</w:t>
            </w:r>
          </w:p>
        </w:tc>
      </w:tr>
      <w:tr w:rsidR="00E371BA" w:rsidRPr="00507A31" w14:paraId="16E63A8F" w14:textId="77777777" w:rsidTr="00E17C25">
        <w:tc>
          <w:tcPr>
            <w:tcW w:w="2321" w:type="dxa"/>
          </w:tcPr>
          <w:p w14:paraId="64F4BA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М-32</w:t>
            </w:r>
          </w:p>
        </w:tc>
        <w:tc>
          <w:tcPr>
            <w:tcW w:w="2321" w:type="dxa"/>
          </w:tcPr>
          <w:p w14:paraId="1BA549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2321" w:type="dxa"/>
          </w:tcPr>
          <w:p w14:paraId="2EFDC5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58859B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189E95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r>
      <w:tr w:rsidR="00E371BA" w:rsidRPr="00507A31" w14:paraId="43D161DA" w14:textId="77777777" w:rsidTr="00E17C25">
        <w:tc>
          <w:tcPr>
            <w:tcW w:w="2321" w:type="dxa"/>
          </w:tcPr>
          <w:p w14:paraId="19614C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М-34</w:t>
            </w:r>
          </w:p>
        </w:tc>
        <w:tc>
          <w:tcPr>
            <w:tcW w:w="2321" w:type="dxa"/>
          </w:tcPr>
          <w:p w14:paraId="44B903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2321" w:type="dxa"/>
          </w:tcPr>
          <w:p w14:paraId="08C1BA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0B0F68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691774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w:t>
            </w:r>
          </w:p>
        </w:tc>
      </w:tr>
      <w:tr w:rsidR="00E371BA" w:rsidRPr="00507A31" w14:paraId="5B8A6854" w14:textId="77777777" w:rsidTr="00E17C25">
        <w:tc>
          <w:tcPr>
            <w:tcW w:w="2321" w:type="dxa"/>
          </w:tcPr>
          <w:p w14:paraId="52A3D1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М-35</w:t>
            </w:r>
          </w:p>
        </w:tc>
        <w:tc>
          <w:tcPr>
            <w:tcW w:w="2321" w:type="dxa"/>
          </w:tcPr>
          <w:p w14:paraId="719C4A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исполнению</w:t>
            </w:r>
          </w:p>
        </w:tc>
        <w:tc>
          <w:tcPr>
            <w:tcW w:w="2321" w:type="dxa"/>
          </w:tcPr>
          <w:p w14:paraId="13EF18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принят</w:t>
            </w:r>
          </w:p>
        </w:tc>
        <w:tc>
          <w:tcPr>
            <w:tcW w:w="2321" w:type="dxa"/>
          </w:tcPr>
          <w:p w14:paraId="569956CF"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53A42774"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BDF898A" w14:textId="77777777" w:rsidTr="00E17C25">
        <w:tc>
          <w:tcPr>
            <w:tcW w:w="2321" w:type="dxa"/>
          </w:tcPr>
          <w:p w14:paraId="67D13A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М-38</w:t>
            </w:r>
          </w:p>
        </w:tc>
        <w:tc>
          <w:tcPr>
            <w:tcW w:w="2321" w:type="dxa"/>
          </w:tcPr>
          <w:p w14:paraId="60BF28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2321" w:type="dxa"/>
          </w:tcPr>
          <w:p w14:paraId="2093FA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67F083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10E853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6AC07FB4" w14:textId="77777777" w:rsidTr="00E17C25">
        <w:tc>
          <w:tcPr>
            <w:tcW w:w="2321" w:type="dxa"/>
          </w:tcPr>
          <w:p w14:paraId="09AC3D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М-26</w:t>
            </w:r>
          </w:p>
        </w:tc>
        <w:tc>
          <w:tcPr>
            <w:tcW w:w="2321" w:type="dxa"/>
          </w:tcPr>
          <w:p w14:paraId="2FC478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w:t>
            </w:r>
          </w:p>
        </w:tc>
        <w:tc>
          <w:tcPr>
            <w:tcW w:w="2321" w:type="dxa"/>
          </w:tcPr>
          <w:p w14:paraId="1F5505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1BCC0A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7DCADE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95%</w:t>
            </w:r>
          </w:p>
        </w:tc>
      </w:tr>
      <w:tr w:rsidR="00E371BA" w:rsidRPr="00507A31" w14:paraId="1063C349" w14:textId="77777777" w:rsidTr="00E17C25">
        <w:tc>
          <w:tcPr>
            <w:tcW w:w="2321" w:type="dxa"/>
          </w:tcPr>
          <w:p w14:paraId="75EFFC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М-13</w:t>
            </w:r>
          </w:p>
        </w:tc>
        <w:tc>
          <w:tcPr>
            <w:tcW w:w="2321" w:type="dxa"/>
          </w:tcPr>
          <w:p w14:paraId="12C8BB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1927</w:t>
            </w:r>
          </w:p>
        </w:tc>
        <w:tc>
          <w:tcPr>
            <w:tcW w:w="2321" w:type="dxa"/>
          </w:tcPr>
          <w:p w14:paraId="39CCAA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7BB055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36B9C9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w:t>
            </w:r>
          </w:p>
        </w:tc>
      </w:tr>
      <w:tr w:rsidR="00E371BA" w:rsidRPr="00507A31" w14:paraId="0F98C55F" w14:textId="77777777" w:rsidTr="00E17C25">
        <w:tc>
          <w:tcPr>
            <w:tcW w:w="2321" w:type="dxa"/>
          </w:tcPr>
          <w:p w14:paraId="5E4771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ФЭД</w:t>
            </w:r>
          </w:p>
        </w:tc>
        <w:tc>
          <w:tcPr>
            <w:tcW w:w="2321" w:type="dxa"/>
          </w:tcPr>
          <w:p w14:paraId="75E4CA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w:t>
            </w:r>
          </w:p>
        </w:tc>
        <w:tc>
          <w:tcPr>
            <w:tcW w:w="2321" w:type="dxa"/>
          </w:tcPr>
          <w:p w14:paraId="652E81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442C51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734A97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w:t>
            </w:r>
          </w:p>
        </w:tc>
      </w:tr>
      <w:tr w:rsidR="00E371BA" w:rsidRPr="00507A31" w14:paraId="5E831D72" w14:textId="77777777" w:rsidTr="00E17C25">
        <w:tc>
          <w:tcPr>
            <w:tcW w:w="2321" w:type="dxa"/>
          </w:tcPr>
          <w:p w14:paraId="72D888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М-27</w:t>
            </w:r>
          </w:p>
        </w:tc>
        <w:tc>
          <w:tcPr>
            <w:tcW w:w="2321" w:type="dxa"/>
          </w:tcPr>
          <w:p w14:paraId="77FE6E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2321" w:type="dxa"/>
          </w:tcPr>
          <w:p w14:paraId="76DDCD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361C5D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793417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w:t>
            </w:r>
          </w:p>
        </w:tc>
      </w:tr>
      <w:tr w:rsidR="00E371BA" w:rsidRPr="00507A31" w14:paraId="14B36DE4" w14:textId="77777777" w:rsidTr="00E17C25">
        <w:tc>
          <w:tcPr>
            <w:tcW w:w="2321" w:type="dxa"/>
          </w:tcPr>
          <w:p w14:paraId="670D7A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М-29</w:t>
            </w:r>
          </w:p>
        </w:tc>
        <w:tc>
          <w:tcPr>
            <w:tcW w:w="2321" w:type="dxa"/>
          </w:tcPr>
          <w:p w14:paraId="0B32A2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2321" w:type="dxa"/>
          </w:tcPr>
          <w:p w14:paraId="3095D8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7FB1A4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5CF3EC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tc>
      </w:tr>
      <w:tr w:rsidR="00E371BA" w:rsidRPr="00507A31" w14:paraId="1A452753" w14:textId="77777777" w:rsidTr="00E17C25">
        <w:tc>
          <w:tcPr>
            <w:tcW w:w="2321" w:type="dxa"/>
          </w:tcPr>
          <w:p w14:paraId="428B7C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М-23</w:t>
            </w:r>
          </w:p>
        </w:tc>
        <w:tc>
          <w:tcPr>
            <w:tcW w:w="2321" w:type="dxa"/>
          </w:tcPr>
          <w:p w14:paraId="7C21D4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38EFDE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652D3C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Осоавиахима</w:t>
            </w:r>
          </w:p>
        </w:tc>
        <w:tc>
          <w:tcPr>
            <w:tcW w:w="2190" w:type="dxa"/>
          </w:tcPr>
          <w:p w14:paraId="138617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w:t>
            </w:r>
          </w:p>
        </w:tc>
      </w:tr>
      <w:tr w:rsidR="00E371BA" w:rsidRPr="00507A31" w14:paraId="7F589264" w14:textId="77777777" w:rsidTr="00E17C25">
        <w:tc>
          <w:tcPr>
            <w:tcW w:w="2321" w:type="dxa"/>
          </w:tcPr>
          <w:p w14:paraId="6A0258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К-14</w:t>
            </w:r>
          </w:p>
        </w:tc>
        <w:tc>
          <w:tcPr>
            <w:tcW w:w="2321" w:type="dxa"/>
          </w:tcPr>
          <w:p w14:paraId="770D96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1928</w:t>
            </w:r>
          </w:p>
        </w:tc>
        <w:tc>
          <w:tcPr>
            <w:tcW w:w="2321" w:type="dxa"/>
          </w:tcPr>
          <w:p w14:paraId="5F6529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46FF37DD"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480EEA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w:t>
            </w:r>
          </w:p>
        </w:tc>
      </w:tr>
      <w:tr w:rsidR="00E371BA" w:rsidRPr="00507A31" w14:paraId="1A845E6A" w14:textId="77777777" w:rsidTr="00E17C25">
        <w:tc>
          <w:tcPr>
            <w:tcW w:w="2321" w:type="dxa"/>
          </w:tcPr>
          <w:p w14:paraId="03F4FA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АМБ</w:t>
            </w:r>
          </w:p>
        </w:tc>
        <w:tc>
          <w:tcPr>
            <w:tcW w:w="2321" w:type="dxa"/>
          </w:tcPr>
          <w:p w14:paraId="684AD5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19DEF8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19F40CD5"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429CF5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w:t>
            </w:r>
          </w:p>
        </w:tc>
      </w:tr>
      <w:tr w:rsidR="00E371BA" w:rsidRPr="00507A31" w14:paraId="716160D4" w14:textId="77777777" w:rsidTr="00E17C25">
        <w:tc>
          <w:tcPr>
            <w:tcW w:w="2321" w:type="dxa"/>
          </w:tcPr>
          <w:p w14:paraId="6326D3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Проектирование, постройка и испытание мотора М-46</w:t>
            </w:r>
          </w:p>
        </w:tc>
        <w:tc>
          <w:tcPr>
            <w:tcW w:w="2321" w:type="dxa"/>
          </w:tcPr>
          <w:p w14:paraId="638FFB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2321" w:type="dxa"/>
          </w:tcPr>
          <w:p w14:paraId="25AF7D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586677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6DFF2C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tc>
      </w:tr>
      <w:tr w:rsidR="00E371BA" w:rsidRPr="00507A31" w14:paraId="7928DBFC" w14:textId="77777777" w:rsidTr="00E17C25">
        <w:tc>
          <w:tcPr>
            <w:tcW w:w="2321" w:type="dxa"/>
          </w:tcPr>
          <w:p w14:paraId="3FCC94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М-47</w:t>
            </w:r>
          </w:p>
        </w:tc>
        <w:tc>
          <w:tcPr>
            <w:tcW w:w="2321" w:type="dxa"/>
          </w:tcPr>
          <w:p w14:paraId="266D03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3F37A9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558112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счет ВСНХ</w:t>
            </w:r>
          </w:p>
        </w:tc>
        <w:tc>
          <w:tcPr>
            <w:tcW w:w="2190" w:type="dxa"/>
          </w:tcPr>
          <w:p w14:paraId="53B245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tc>
      </w:tr>
    </w:tbl>
    <w:p w14:paraId="2F8C4B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Нефтяные двигатели</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E371BA" w:rsidRPr="00507A31" w14:paraId="387CCDB5" w14:textId="77777777" w:rsidTr="00E17C25">
        <w:tc>
          <w:tcPr>
            <w:tcW w:w="2321" w:type="dxa"/>
          </w:tcPr>
          <w:p w14:paraId="3432CE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проведение испытаний ОН1</w:t>
            </w:r>
          </w:p>
        </w:tc>
        <w:tc>
          <w:tcPr>
            <w:tcW w:w="2321" w:type="dxa"/>
          </w:tcPr>
          <w:p w14:paraId="1C1E52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2321" w:type="dxa"/>
          </w:tcPr>
          <w:p w14:paraId="524DD5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0EFBD3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190" w:type="dxa"/>
          </w:tcPr>
          <w:p w14:paraId="6DFDB1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w:t>
            </w:r>
          </w:p>
        </w:tc>
      </w:tr>
      <w:tr w:rsidR="00E371BA" w:rsidRPr="00507A31" w14:paraId="5784A108" w14:textId="77777777" w:rsidTr="00E17C25">
        <w:tc>
          <w:tcPr>
            <w:tcW w:w="2321" w:type="dxa"/>
          </w:tcPr>
          <w:p w14:paraId="26EC57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проведение испытаний ОН2</w:t>
            </w:r>
          </w:p>
        </w:tc>
        <w:tc>
          <w:tcPr>
            <w:tcW w:w="2321" w:type="dxa"/>
          </w:tcPr>
          <w:p w14:paraId="53F5B0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2321" w:type="dxa"/>
          </w:tcPr>
          <w:p w14:paraId="13917D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4F7AB0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190" w:type="dxa"/>
          </w:tcPr>
          <w:p w14:paraId="30CD85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7E911671" w14:textId="77777777" w:rsidTr="00E17C25">
        <w:tc>
          <w:tcPr>
            <w:tcW w:w="2321" w:type="dxa"/>
          </w:tcPr>
          <w:p w14:paraId="162282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проведение испытаний ОН9</w:t>
            </w:r>
          </w:p>
        </w:tc>
        <w:tc>
          <w:tcPr>
            <w:tcW w:w="2321" w:type="dxa"/>
          </w:tcPr>
          <w:p w14:paraId="44E603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1932</w:t>
            </w:r>
          </w:p>
        </w:tc>
        <w:tc>
          <w:tcPr>
            <w:tcW w:w="2321" w:type="dxa"/>
          </w:tcPr>
          <w:p w14:paraId="471785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6C7C2F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190" w:type="dxa"/>
          </w:tcPr>
          <w:p w14:paraId="733CCC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r>
    </w:tbl>
    <w:p w14:paraId="1F16FC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Экспериментальные работы</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E371BA" w:rsidRPr="00507A31" w14:paraId="5F12A4D2" w14:textId="77777777" w:rsidTr="00E17C25">
        <w:tc>
          <w:tcPr>
            <w:tcW w:w="2321" w:type="dxa"/>
          </w:tcPr>
          <w:p w14:paraId="4FD1CE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мотора НРБ</w:t>
            </w:r>
          </w:p>
        </w:tc>
        <w:tc>
          <w:tcPr>
            <w:tcW w:w="2321" w:type="dxa"/>
          </w:tcPr>
          <w:p w14:paraId="3EF598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6EDA17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3FD40B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190" w:type="dxa"/>
          </w:tcPr>
          <w:p w14:paraId="44B7ED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1E333C31" w14:textId="77777777" w:rsidTr="00E17C25">
        <w:tc>
          <w:tcPr>
            <w:tcW w:w="2321" w:type="dxa"/>
          </w:tcPr>
          <w:p w14:paraId="694A05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постройка и испытание одноцилиндрового мотора М-170</w:t>
            </w:r>
          </w:p>
        </w:tc>
        <w:tc>
          <w:tcPr>
            <w:tcW w:w="2321" w:type="dxa"/>
          </w:tcPr>
          <w:p w14:paraId="57BFDB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Июнь 1930</w:t>
            </w:r>
          </w:p>
        </w:tc>
        <w:tc>
          <w:tcPr>
            <w:tcW w:w="2321" w:type="dxa"/>
          </w:tcPr>
          <w:p w14:paraId="765880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321" w:type="dxa"/>
          </w:tcPr>
          <w:p w14:paraId="3C3677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2190" w:type="dxa"/>
          </w:tcPr>
          <w:p w14:paraId="10801F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w:t>
            </w:r>
          </w:p>
        </w:tc>
      </w:tr>
      <w:tr w:rsidR="00E371BA" w:rsidRPr="00507A31" w14:paraId="75B41995" w14:textId="77777777" w:rsidTr="00E17C25">
        <w:tc>
          <w:tcPr>
            <w:tcW w:w="2321" w:type="dxa"/>
          </w:tcPr>
          <w:p w14:paraId="2E98E5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Изыскания, проектирование и постройка мотора М42</w:t>
            </w:r>
          </w:p>
        </w:tc>
        <w:tc>
          <w:tcPr>
            <w:tcW w:w="2321" w:type="dxa"/>
          </w:tcPr>
          <w:p w14:paraId="3AB537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1932</w:t>
            </w:r>
          </w:p>
        </w:tc>
        <w:tc>
          <w:tcPr>
            <w:tcW w:w="2321" w:type="dxa"/>
          </w:tcPr>
          <w:p w14:paraId="551A3D68" w14:textId="77777777" w:rsidR="00537E5F" w:rsidRPr="00507A31" w:rsidRDefault="00537E5F" w:rsidP="00507A31">
            <w:pPr>
              <w:autoSpaceDE w:val="0"/>
              <w:autoSpaceDN w:val="0"/>
              <w:adjustRightInd w:val="0"/>
              <w:jc w:val="both"/>
              <w:rPr>
                <w:color w:val="000000" w:themeColor="text1"/>
                <w:sz w:val="16"/>
                <w:szCs w:val="16"/>
              </w:rPr>
            </w:pPr>
          </w:p>
        </w:tc>
        <w:tc>
          <w:tcPr>
            <w:tcW w:w="2321" w:type="dxa"/>
          </w:tcPr>
          <w:p w14:paraId="6AB2AF52"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63FCD6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 от проекта</w:t>
            </w:r>
          </w:p>
        </w:tc>
      </w:tr>
    </w:tbl>
    <w:p w14:paraId="19465C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Испытательные работы</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E371BA" w:rsidRPr="00507A31" w14:paraId="78938944" w14:textId="77777777" w:rsidTr="00E17C25">
        <w:tc>
          <w:tcPr>
            <w:tcW w:w="2321" w:type="dxa"/>
          </w:tcPr>
          <w:p w14:paraId="3B49CA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мотора Нэпир XI</w:t>
            </w:r>
          </w:p>
        </w:tc>
        <w:tc>
          <w:tcPr>
            <w:tcW w:w="2321" w:type="dxa"/>
          </w:tcPr>
          <w:p w14:paraId="18E614BB" w14:textId="77777777" w:rsidR="00537E5F" w:rsidRPr="00507A31" w:rsidRDefault="00537E5F" w:rsidP="00507A31">
            <w:pPr>
              <w:autoSpaceDE w:val="0"/>
              <w:autoSpaceDN w:val="0"/>
              <w:adjustRightInd w:val="0"/>
              <w:jc w:val="both"/>
              <w:rPr>
                <w:color w:val="000000" w:themeColor="text1"/>
                <w:sz w:val="16"/>
                <w:szCs w:val="16"/>
              </w:rPr>
            </w:pPr>
          </w:p>
        </w:tc>
        <w:tc>
          <w:tcPr>
            <w:tcW w:w="2321" w:type="dxa"/>
          </w:tcPr>
          <w:p w14:paraId="4DB5F877" w14:textId="77777777" w:rsidR="00537E5F" w:rsidRPr="00507A31" w:rsidRDefault="00537E5F" w:rsidP="00507A31">
            <w:pPr>
              <w:autoSpaceDE w:val="0"/>
              <w:autoSpaceDN w:val="0"/>
              <w:adjustRightInd w:val="0"/>
              <w:jc w:val="both"/>
              <w:rPr>
                <w:color w:val="000000" w:themeColor="text1"/>
                <w:sz w:val="16"/>
                <w:szCs w:val="16"/>
              </w:rPr>
            </w:pPr>
          </w:p>
        </w:tc>
        <w:tc>
          <w:tcPr>
            <w:tcW w:w="2321" w:type="dxa"/>
          </w:tcPr>
          <w:p w14:paraId="5909BF5A"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65FEBC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w:t>
            </w:r>
          </w:p>
        </w:tc>
      </w:tr>
      <w:tr w:rsidR="00E371BA" w:rsidRPr="00507A31" w14:paraId="49AA8916" w14:textId="77777777" w:rsidTr="00E17C25">
        <w:tc>
          <w:tcPr>
            <w:tcW w:w="2321" w:type="dxa"/>
          </w:tcPr>
          <w:p w14:paraId="4F05EA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мотора Юнкерс Л55</w:t>
            </w:r>
          </w:p>
        </w:tc>
        <w:tc>
          <w:tcPr>
            <w:tcW w:w="2321" w:type="dxa"/>
          </w:tcPr>
          <w:p w14:paraId="30F16B76" w14:textId="77777777" w:rsidR="00537E5F" w:rsidRPr="00507A31" w:rsidRDefault="00537E5F" w:rsidP="00507A31">
            <w:pPr>
              <w:autoSpaceDE w:val="0"/>
              <w:autoSpaceDN w:val="0"/>
              <w:adjustRightInd w:val="0"/>
              <w:jc w:val="both"/>
              <w:rPr>
                <w:color w:val="000000" w:themeColor="text1"/>
                <w:sz w:val="16"/>
                <w:szCs w:val="16"/>
              </w:rPr>
            </w:pPr>
          </w:p>
        </w:tc>
        <w:tc>
          <w:tcPr>
            <w:tcW w:w="2321" w:type="dxa"/>
          </w:tcPr>
          <w:p w14:paraId="38B46D2D" w14:textId="77777777" w:rsidR="00537E5F" w:rsidRPr="00507A31" w:rsidRDefault="00537E5F" w:rsidP="00507A31">
            <w:pPr>
              <w:autoSpaceDE w:val="0"/>
              <w:autoSpaceDN w:val="0"/>
              <w:adjustRightInd w:val="0"/>
              <w:jc w:val="both"/>
              <w:rPr>
                <w:color w:val="000000" w:themeColor="text1"/>
                <w:sz w:val="16"/>
                <w:szCs w:val="16"/>
              </w:rPr>
            </w:pPr>
          </w:p>
        </w:tc>
        <w:tc>
          <w:tcPr>
            <w:tcW w:w="2321" w:type="dxa"/>
          </w:tcPr>
          <w:p w14:paraId="7CCD32FB"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6729CD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tc>
      </w:tr>
      <w:tr w:rsidR="00E371BA" w:rsidRPr="00507A31" w14:paraId="35263F38" w14:textId="77777777" w:rsidTr="00E17C25">
        <w:tc>
          <w:tcPr>
            <w:tcW w:w="2321" w:type="dxa"/>
          </w:tcPr>
          <w:p w14:paraId="2E59F6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Гос. испытания мотора ЮVII</w:t>
            </w:r>
          </w:p>
        </w:tc>
        <w:tc>
          <w:tcPr>
            <w:tcW w:w="2321" w:type="dxa"/>
          </w:tcPr>
          <w:p w14:paraId="4C44CB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1930</w:t>
            </w:r>
          </w:p>
        </w:tc>
        <w:tc>
          <w:tcPr>
            <w:tcW w:w="2321" w:type="dxa"/>
          </w:tcPr>
          <w:p w14:paraId="0640A4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апреля 1930</w:t>
            </w:r>
          </w:p>
        </w:tc>
        <w:tc>
          <w:tcPr>
            <w:tcW w:w="2321" w:type="dxa"/>
          </w:tcPr>
          <w:p w14:paraId="78F78860"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4B37C2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232E7A5B" w14:textId="77777777" w:rsidTr="00E17C25">
        <w:tc>
          <w:tcPr>
            <w:tcW w:w="2321" w:type="dxa"/>
          </w:tcPr>
          <w:p w14:paraId="17541E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Эксплоатационные испытания мотора ЮVI</w:t>
            </w:r>
          </w:p>
        </w:tc>
        <w:tc>
          <w:tcPr>
            <w:tcW w:w="2321" w:type="dxa"/>
          </w:tcPr>
          <w:p w14:paraId="1113FF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2321" w:type="dxa"/>
          </w:tcPr>
          <w:p w14:paraId="472C58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2321" w:type="dxa"/>
          </w:tcPr>
          <w:p w14:paraId="0B42C135"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1AFAD0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4838E623" w14:textId="77777777" w:rsidTr="00E17C25">
        <w:tc>
          <w:tcPr>
            <w:tcW w:w="2321" w:type="dxa"/>
          </w:tcPr>
          <w:p w14:paraId="4918AF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Гос. испытания мотора М-23</w:t>
            </w:r>
          </w:p>
        </w:tc>
        <w:tc>
          <w:tcPr>
            <w:tcW w:w="2321" w:type="dxa"/>
          </w:tcPr>
          <w:p w14:paraId="5311B5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квартал 1930</w:t>
            </w:r>
          </w:p>
        </w:tc>
        <w:tc>
          <w:tcPr>
            <w:tcW w:w="2321" w:type="dxa"/>
          </w:tcPr>
          <w:p w14:paraId="69697D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III квартал 1930</w:t>
            </w:r>
          </w:p>
        </w:tc>
        <w:tc>
          <w:tcPr>
            <w:tcW w:w="2321" w:type="dxa"/>
          </w:tcPr>
          <w:p w14:paraId="0EF7B123"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4F5342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5BC494A8" w14:textId="77777777" w:rsidTr="00E17C25">
        <w:tc>
          <w:tcPr>
            <w:tcW w:w="2321" w:type="dxa"/>
          </w:tcPr>
          <w:p w14:paraId="49E19B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Эксплоатационные испытания мотора М-11 </w:t>
            </w:r>
          </w:p>
        </w:tc>
        <w:tc>
          <w:tcPr>
            <w:tcW w:w="2321" w:type="dxa"/>
          </w:tcPr>
          <w:p w14:paraId="6F2A19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квартал 1930</w:t>
            </w:r>
          </w:p>
        </w:tc>
        <w:tc>
          <w:tcPr>
            <w:tcW w:w="2321" w:type="dxa"/>
          </w:tcPr>
          <w:p w14:paraId="3D20D5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III и IV квартал 1930</w:t>
            </w:r>
          </w:p>
        </w:tc>
        <w:tc>
          <w:tcPr>
            <w:tcW w:w="2321" w:type="dxa"/>
          </w:tcPr>
          <w:p w14:paraId="2FB63FC9"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7DB9CB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w:t>
            </w:r>
          </w:p>
        </w:tc>
      </w:tr>
      <w:tr w:rsidR="00E371BA" w:rsidRPr="00507A31" w14:paraId="5724C90B" w14:textId="77777777" w:rsidTr="00E17C25">
        <w:tc>
          <w:tcPr>
            <w:tcW w:w="2321" w:type="dxa"/>
          </w:tcPr>
          <w:p w14:paraId="1F87D6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приемных испытания мотора М-11</w:t>
            </w:r>
          </w:p>
        </w:tc>
        <w:tc>
          <w:tcPr>
            <w:tcW w:w="2321" w:type="dxa"/>
          </w:tcPr>
          <w:p w14:paraId="39394A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 и II квартал 1930</w:t>
            </w:r>
          </w:p>
        </w:tc>
        <w:tc>
          <w:tcPr>
            <w:tcW w:w="2321" w:type="dxa"/>
          </w:tcPr>
          <w:p w14:paraId="65F62C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 и II квартал 1930</w:t>
            </w:r>
          </w:p>
        </w:tc>
        <w:tc>
          <w:tcPr>
            <w:tcW w:w="2321" w:type="dxa"/>
          </w:tcPr>
          <w:p w14:paraId="3007A92F"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30F236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6BD32D70" w14:textId="77777777" w:rsidTr="00E17C25">
        <w:tc>
          <w:tcPr>
            <w:tcW w:w="2321" w:type="dxa"/>
          </w:tcPr>
          <w:p w14:paraId="39419F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Гос. испытания мотора Н20</w:t>
            </w:r>
          </w:p>
        </w:tc>
        <w:tc>
          <w:tcPr>
            <w:tcW w:w="2321" w:type="dxa"/>
          </w:tcPr>
          <w:p w14:paraId="259CA8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Июнь 1930</w:t>
            </w:r>
          </w:p>
        </w:tc>
        <w:tc>
          <w:tcPr>
            <w:tcW w:w="2321" w:type="dxa"/>
          </w:tcPr>
          <w:p w14:paraId="0606BF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Сентябрь 1930</w:t>
            </w:r>
          </w:p>
        </w:tc>
        <w:tc>
          <w:tcPr>
            <w:tcW w:w="2321" w:type="dxa"/>
          </w:tcPr>
          <w:p w14:paraId="4BEECCC6"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2332B8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4982B9DE" w14:textId="77777777" w:rsidTr="00E17C25">
        <w:tc>
          <w:tcPr>
            <w:tcW w:w="2321" w:type="dxa"/>
          </w:tcPr>
          <w:p w14:paraId="1F8318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Гос. испытания мотора М15</w:t>
            </w:r>
          </w:p>
        </w:tc>
        <w:tc>
          <w:tcPr>
            <w:tcW w:w="2321" w:type="dxa"/>
          </w:tcPr>
          <w:p w14:paraId="035949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1930</w:t>
            </w:r>
          </w:p>
        </w:tc>
        <w:tc>
          <w:tcPr>
            <w:tcW w:w="2321" w:type="dxa"/>
          </w:tcPr>
          <w:p w14:paraId="135FE6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1930</w:t>
            </w:r>
          </w:p>
        </w:tc>
        <w:tc>
          <w:tcPr>
            <w:tcW w:w="2321" w:type="dxa"/>
          </w:tcPr>
          <w:p w14:paraId="610B3634"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062B63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64FB5D79" w14:textId="77777777" w:rsidTr="00E17C25">
        <w:tc>
          <w:tcPr>
            <w:tcW w:w="2321" w:type="dxa"/>
          </w:tcPr>
          <w:p w14:paraId="372147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100-часовое эксплоатацион. Испытание мотора М17</w:t>
            </w:r>
          </w:p>
        </w:tc>
        <w:tc>
          <w:tcPr>
            <w:tcW w:w="2321" w:type="dxa"/>
          </w:tcPr>
          <w:p w14:paraId="12C3A8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Август 1930</w:t>
            </w:r>
          </w:p>
        </w:tc>
        <w:tc>
          <w:tcPr>
            <w:tcW w:w="2321" w:type="dxa"/>
          </w:tcPr>
          <w:p w14:paraId="77299E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Август 1930</w:t>
            </w:r>
          </w:p>
        </w:tc>
        <w:tc>
          <w:tcPr>
            <w:tcW w:w="2321" w:type="dxa"/>
          </w:tcPr>
          <w:p w14:paraId="12AEB4CE"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535AFF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53A2C6F8" w14:textId="77777777" w:rsidTr="00E17C25">
        <w:tc>
          <w:tcPr>
            <w:tcW w:w="2321" w:type="dxa"/>
          </w:tcPr>
          <w:p w14:paraId="1A3DD0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приемных серийных испытания мотора М-17</w:t>
            </w:r>
          </w:p>
        </w:tc>
        <w:tc>
          <w:tcPr>
            <w:tcW w:w="2321" w:type="dxa"/>
          </w:tcPr>
          <w:p w14:paraId="507F83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 и III квартал 1930</w:t>
            </w:r>
          </w:p>
        </w:tc>
        <w:tc>
          <w:tcPr>
            <w:tcW w:w="2321" w:type="dxa"/>
          </w:tcPr>
          <w:p w14:paraId="46D4DB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 и III квартал 1930</w:t>
            </w:r>
          </w:p>
        </w:tc>
        <w:tc>
          <w:tcPr>
            <w:tcW w:w="2321" w:type="dxa"/>
          </w:tcPr>
          <w:p w14:paraId="6EF79406"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2AF6A8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271E3BC1" w14:textId="77777777" w:rsidTr="00E17C25">
        <w:tc>
          <w:tcPr>
            <w:tcW w:w="2321" w:type="dxa"/>
          </w:tcPr>
          <w:p w14:paraId="26B7F8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Гос. испытания мотора АССО 750</w:t>
            </w:r>
          </w:p>
        </w:tc>
        <w:tc>
          <w:tcPr>
            <w:tcW w:w="2321" w:type="dxa"/>
          </w:tcPr>
          <w:p w14:paraId="7ACEC3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III квартал 1930</w:t>
            </w:r>
          </w:p>
        </w:tc>
        <w:tc>
          <w:tcPr>
            <w:tcW w:w="2321" w:type="dxa"/>
          </w:tcPr>
          <w:p w14:paraId="693798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III квартал 1930</w:t>
            </w:r>
          </w:p>
        </w:tc>
        <w:tc>
          <w:tcPr>
            <w:tcW w:w="2321" w:type="dxa"/>
          </w:tcPr>
          <w:p w14:paraId="14E52FB9"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37648A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34D73FC4" w14:textId="77777777" w:rsidTr="00E17C25">
        <w:tc>
          <w:tcPr>
            <w:tcW w:w="2321" w:type="dxa"/>
          </w:tcPr>
          <w:p w14:paraId="4DE726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Гос. испытания мотора W-18</w:t>
            </w:r>
          </w:p>
        </w:tc>
        <w:tc>
          <w:tcPr>
            <w:tcW w:w="2321" w:type="dxa"/>
          </w:tcPr>
          <w:p w14:paraId="37C23F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Июнь 1930</w:t>
            </w:r>
          </w:p>
        </w:tc>
        <w:tc>
          <w:tcPr>
            <w:tcW w:w="2321" w:type="dxa"/>
          </w:tcPr>
          <w:p w14:paraId="31F843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Июнь 1930</w:t>
            </w:r>
          </w:p>
        </w:tc>
        <w:tc>
          <w:tcPr>
            <w:tcW w:w="2321" w:type="dxa"/>
          </w:tcPr>
          <w:p w14:paraId="1C3C0DA4"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46E406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37DCEB05" w14:textId="77777777" w:rsidTr="00E17C25">
        <w:tc>
          <w:tcPr>
            <w:tcW w:w="2321" w:type="dxa"/>
          </w:tcPr>
          <w:p w14:paraId="40B616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Гос. испытания мотора Кертисс-Конкверор</w:t>
            </w:r>
          </w:p>
        </w:tc>
        <w:tc>
          <w:tcPr>
            <w:tcW w:w="2321" w:type="dxa"/>
          </w:tcPr>
          <w:p w14:paraId="248CCD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Июнь 1930</w:t>
            </w:r>
          </w:p>
        </w:tc>
        <w:tc>
          <w:tcPr>
            <w:tcW w:w="2321" w:type="dxa"/>
          </w:tcPr>
          <w:p w14:paraId="48A57E7E" w14:textId="77777777" w:rsidR="00537E5F" w:rsidRPr="00507A31" w:rsidRDefault="00537E5F" w:rsidP="00507A31">
            <w:pPr>
              <w:autoSpaceDE w:val="0"/>
              <w:autoSpaceDN w:val="0"/>
              <w:adjustRightInd w:val="0"/>
              <w:jc w:val="both"/>
              <w:rPr>
                <w:color w:val="000000" w:themeColor="text1"/>
                <w:sz w:val="16"/>
                <w:szCs w:val="16"/>
              </w:rPr>
            </w:pPr>
          </w:p>
        </w:tc>
        <w:tc>
          <w:tcPr>
            <w:tcW w:w="2321" w:type="dxa"/>
          </w:tcPr>
          <w:p w14:paraId="0FF28104" w14:textId="77777777" w:rsidR="00537E5F" w:rsidRPr="00507A31" w:rsidRDefault="00537E5F" w:rsidP="00507A31">
            <w:pPr>
              <w:autoSpaceDE w:val="0"/>
              <w:autoSpaceDN w:val="0"/>
              <w:adjustRightInd w:val="0"/>
              <w:jc w:val="both"/>
              <w:rPr>
                <w:color w:val="000000" w:themeColor="text1"/>
                <w:sz w:val="16"/>
                <w:szCs w:val="16"/>
              </w:rPr>
            </w:pPr>
          </w:p>
        </w:tc>
        <w:tc>
          <w:tcPr>
            <w:tcW w:w="2190" w:type="dxa"/>
          </w:tcPr>
          <w:p w14:paraId="654C36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tc>
      </w:tr>
    </w:tbl>
    <w:p w14:paraId="3130EA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(6998, 75-76).</w:t>
      </w:r>
    </w:p>
    <w:p w14:paraId="3C8F8FEC" w14:textId="77777777" w:rsidR="00537E5F" w:rsidRPr="00507A31" w:rsidRDefault="00537E5F" w:rsidP="00507A31">
      <w:pPr>
        <w:autoSpaceDE w:val="0"/>
        <w:autoSpaceDN w:val="0"/>
        <w:adjustRightInd w:val="0"/>
        <w:jc w:val="both"/>
        <w:rPr>
          <w:color w:val="000000" w:themeColor="text1"/>
          <w:sz w:val="16"/>
          <w:szCs w:val="16"/>
        </w:rPr>
      </w:pPr>
    </w:p>
    <w:p w14:paraId="6A9128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августа 1930 года председатель секции НТК УВВС Ганулич подписал:</w:t>
      </w:r>
    </w:p>
    <w:p w14:paraId="5DBC3F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 по выполнению программы опытного самолетостроения за 1929-30 год</w:t>
      </w:r>
    </w:p>
    <w:p w14:paraId="19D6DAE7"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За основу для оценки сроков взят план, утвержденный комиссией Шапошникова, т.е. дающий почти по всем самолетам удлинение сроков (до 12 месяцев и больше) против первоначально намеченных, т. о. Этим последним планом зафиксировано отставание авиапромышленности в опытном строительстве.</w:t>
      </w:r>
    </w:p>
    <w:p w14:paraId="629891C7"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До 1 декабря 1930 года предстоят к выходу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321"/>
      </w:tblGrid>
      <w:tr w:rsidR="00E371BA" w:rsidRPr="00507A31" w14:paraId="4685EAA3" w14:textId="77777777">
        <w:tc>
          <w:tcPr>
            <w:tcW w:w="2321" w:type="dxa"/>
          </w:tcPr>
          <w:p w14:paraId="121D7289" w14:textId="77777777" w:rsidR="00537E5F" w:rsidRPr="00507A31" w:rsidRDefault="00537E5F" w:rsidP="00507A31">
            <w:pPr>
              <w:autoSpaceDE w:val="0"/>
              <w:autoSpaceDN w:val="0"/>
              <w:adjustRightInd w:val="0"/>
              <w:jc w:val="both"/>
              <w:rPr>
                <w:color w:val="000000" w:themeColor="text1"/>
                <w:sz w:val="16"/>
                <w:szCs w:val="16"/>
              </w:rPr>
            </w:pPr>
          </w:p>
        </w:tc>
        <w:tc>
          <w:tcPr>
            <w:tcW w:w="2321" w:type="dxa"/>
          </w:tcPr>
          <w:p w14:paraId="0EBFB32F" w14:textId="77777777" w:rsidR="00537E5F" w:rsidRPr="00507A31" w:rsidRDefault="00537E5F" w:rsidP="00507A31">
            <w:pPr>
              <w:autoSpaceDE w:val="0"/>
              <w:autoSpaceDN w:val="0"/>
              <w:adjustRightInd w:val="0"/>
              <w:jc w:val="both"/>
              <w:rPr>
                <w:color w:val="000000" w:themeColor="text1"/>
                <w:sz w:val="16"/>
                <w:szCs w:val="16"/>
              </w:rPr>
            </w:pPr>
          </w:p>
        </w:tc>
        <w:tc>
          <w:tcPr>
            <w:tcW w:w="2321" w:type="dxa"/>
          </w:tcPr>
          <w:p w14:paraId="6B49DB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Остается достроить</w:t>
            </w:r>
          </w:p>
        </w:tc>
        <w:tc>
          <w:tcPr>
            <w:tcW w:w="2321" w:type="dxa"/>
          </w:tcPr>
          <w:p w14:paraId="0B76BE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Времени для этого имеется</w:t>
            </w:r>
          </w:p>
        </w:tc>
        <w:tc>
          <w:tcPr>
            <w:tcW w:w="2321" w:type="dxa"/>
          </w:tcPr>
          <w:p w14:paraId="6563F3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Находился до 20 августа 1930 года в проектировании и постройке в течении</w:t>
            </w:r>
          </w:p>
        </w:tc>
      </w:tr>
    </w:tbl>
    <w:p w14:paraId="1A873A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Гидросамолеты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321"/>
      </w:tblGrid>
      <w:tr w:rsidR="00E371BA" w:rsidRPr="00507A31" w14:paraId="4DD3A0EB" w14:textId="77777777">
        <w:tc>
          <w:tcPr>
            <w:tcW w:w="2321" w:type="dxa"/>
          </w:tcPr>
          <w:p w14:paraId="50E848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2321" w:type="dxa"/>
          </w:tcPr>
          <w:p w14:paraId="7A2BA7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w:t>
            </w:r>
          </w:p>
        </w:tc>
        <w:tc>
          <w:tcPr>
            <w:tcW w:w="2321" w:type="dxa"/>
          </w:tcPr>
          <w:p w14:paraId="77CB12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w:t>
            </w:r>
          </w:p>
        </w:tc>
        <w:tc>
          <w:tcPr>
            <w:tcW w:w="2321" w:type="dxa"/>
          </w:tcPr>
          <w:p w14:paraId="448BBD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месяца</w:t>
            </w:r>
          </w:p>
        </w:tc>
        <w:tc>
          <w:tcPr>
            <w:tcW w:w="2321" w:type="dxa"/>
          </w:tcPr>
          <w:p w14:paraId="3FE4F6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Около 12 месяцев</w:t>
            </w:r>
          </w:p>
        </w:tc>
      </w:tr>
      <w:tr w:rsidR="00E371BA" w:rsidRPr="00507A31" w14:paraId="15E54EAD" w14:textId="77777777">
        <w:tc>
          <w:tcPr>
            <w:tcW w:w="2321" w:type="dxa"/>
          </w:tcPr>
          <w:p w14:paraId="4AD130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2321" w:type="dxa"/>
          </w:tcPr>
          <w:p w14:paraId="563CF7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МОР-1</w:t>
            </w:r>
          </w:p>
        </w:tc>
        <w:tc>
          <w:tcPr>
            <w:tcW w:w="2321" w:type="dxa"/>
          </w:tcPr>
          <w:p w14:paraId="7BF2EB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w:t>
            </w:r>
          </w:p>
        </w:tc>
        <w:tc>
          <w:tcPr>
            <w:tcW w:w="2321" w:type="dxa"/>
          </w:tcPr>
          <w:p w14:paraId="313C3F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месяца</w:t>
            </w:r>
          </w:p>
        </w:tc>
        <w:tc>
          <w:tcPr>
            <w:tcW w:w="2321" w:type="dxa"/>
          </w:tcPr>
          <w:p w14:paraId="6F61CC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Около 12 месяцев</w:t>
            </w:r>
          </w:p>
        </w:tc>
      </w:tr>
      <w:tr w:rsidR="00E371BA" w:rsidRPr="00507A31" w14:paraId="051AC4A5" w14:textId="77777777">
        <w:tc>
          <w:tcPr>
            <w:tcW w:w="2321" w:type="dxa"/>
          </w:tcPr>
          <w:p w14:paraId="190808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2321" w:type="dxa"/>
          </w:tcPr>
          <w:p w14:paraId="644A7F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w:t>
            </w:r>
          </w:p>
        </w:tc>
        <w:tc>
          <w:tcPr>
            <w:tcW w:w="2321" w:type="dxa"/>
          </w:tcPr>
          <w:p w14:paraId="1913CF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w:t>
            </w:r>
          </w:p>
        </w:tc>
        <w:tc>
          <w:tcPr>
            <w:tcW w:w="2321" w:type="dxa"/>
          </w:tcPr>
          <w:p w14:paraId="281C95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месяца</w:t>
            </w:r>
          </w:p>
        </w:tc>
        <w:tc>
          <w:tcPr>
            <w:tcW w:w="2321" w:type="dxa"/>
          </w:tcPr>
          <w:p w14:paraId="6BA070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Около 24 месяцев</w:t>
            </w:r>
          </w:p>
        </w:tc>
      </w:tr>
      <w:tr w:rsidR="00E371BA" w:rsidRPr="00507A31" w14:paraId="1B445340" w14:textId="77777777">
        <w:tc>
          <w:tcPr>
            <w:tcW w:w="2321" w:type="dxa"/>
          </w:tcPr>
          <w:p w14:paraId="6EF6AC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2321" w:type="dxa"/>
          </w:tcPr>
          <w:p w14:paraId="085043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А-1</w:t>
            </w:r>
          </w:p>
        </w:tc>
        <w:tc>
          <w:tcPr>
            <w:tcW w:w="2321" w:type="dxa"/>
          </w:tcPr>
          <w:p w14:paraId="0A4928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w:t>
            </w:r>
          </w:p>
        </w:tc>
        <w:tc>
          <w:tcPr>
            <w:tcW w:w="2321" w:type="dxa"/>
          </w:tcPr>
          <w:p w14:paraId="33A059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месяца</w:t>
            </w:r>
          </w:p>
        </w:tc>
        <w:tc>
          <w:tcPr>
            <w:tcW w:w="2321" w:type="dxa"/>
          </w:tcPr>
          <w:p w14:paraId="298CD7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Неизвестно</w:t>
            </w:r>
          </w:p>
        </w:tc>
      </w:tr>
      <w:tr w:rsidR="00E371BA" w:rsidRPr="00507A31" w14:paraId="36B04A11" w14:textId="77777777">
        <w:tc>
          <w:tcPr>
            <w:tcW w:w="2321" w:type="dxa"/>
          </w:tcPr>
          <w:p w14:paraId="273A81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2321" w:type="dxa"/>
          </w:tcPr>
          <w:p w14:paraId="0A96A2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Амфибия МДР-2</w:t>
            </w:r>
          </w:p>
        </w:tc>
        <w:tc>
          <w:tcPr>
            <w:tcW w:w="2321" w:type="dxa"/>
          </w:tcPr>
          <w:p w14:paraId="4FDD82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w:t>
            </w:r>
          </w:p>
        </w:tc>
        <w:tc>
          <w:tcPr>
            <w:tcW w:w="2321" w:type="dxa"/>
          </w:tcPr>
          <w:p w14:paraId="7FDC70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месяца</w:t>
            </w:r>
          </w:p>
        </w:tc>
        <w:tc>
          <w:tcPr>
            <w:tcW w:w="2321" w:type="dxa"/>
          </w:tcPr>
          <w:p w14:paraId="46C2B5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Около 12 месяцев</w:t>
            </w:r>
          </w:p>
        </w:tc>
      </w:tr>
    </w:tbl>
    <w:p w14:paraId="241644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 МУ2 – вышла на испытания.</w:t>
      </w:r>
    </w:p>
    <w:p w14:paraId="055438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Своевременность выхода МТБ-1 совершенно безнадежна.</w:t>
      </w:r>
    </w:p>
    <w:p w14:paraId="0B196E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321"/>
      </w:tblGrid>
      <w:tr w:rsidR="00E371BA" w:rsidRPr="00507A31" w14:paraId="29E10A0A" w14:textId="77777777">
        <w:tc>
          <w:tcPr>
            <w:tcW w:w="2321" w:type="dxa"/>
          </w:tcPr>
          <w:p w14:paraId="69C1AA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2321" w:type="dxa"/>
          </w:tcPr>
          <w:p w14:paraId="45B8DA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Ш2</w:t>
            </w:r>
          </w:p>
        </w:tc>
        <w:tc>
          <w:tcPr>
            <w:tcW w:w="2321" w:type="dxa"/>
          </w:tcPr>
          <w:p w14:paraId="5F9DCD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85%</w:t>
            </w:r>
          </w:p>
        </w:tc>
        <w:tc>
          <w:tcPr>
            <w:tcW w:w="2321" w:type="dxa"/>
          </w:tcPr>
          <w:p w14:paraId="43F189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 месяца</w:t>
            </w:r>
          </w:p>
        </w:tc>
        <w:tc>
          <w:tcPr>
            <w:tcW w:w="2321" w:type="dxa"/>
          </w:tcPr>
          <w:p w14:paraId="243BEC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Неизвестно. Включен в план дополнительно.</w:t>
            </w:r>
          </w:p>
        </w:tc>
      </w:tr>
      <w:tr w:rsidR="00E371BA" w:rsidRPr="00507A31" w14:paraId="61CBF7CC" w14:textId="77777777">
        <w:tc>
          <w:tcPr>
            <w:tcW w:w="2321" w:type="dxa"/>
          </w:tcPr>
          <w:p w14:paraId="394AED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2321" w:type="dxa"/>
          </w:tcPr>
          <w:p w14:paraId="0A7BFB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ТБ3</w:t>
            </w:r>
          </w:p>
        </w:tc>
        <w:tc>
          <w:tcPr>
            <w:tcW w:w="2321" w:type="dxa"/>
          </w:tcPr>
          <w:p w14:paraId="5160BC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w:t>
            </w:r>
          </w:p>
        </w:tc>
        <w:tc>
          <w:tcPr>
            <w:tcW w:w="2321" w:type="dxa"/>
          </w:tcPr>
          <w:p w14:paraId="073226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месяца</w:t>
            </w:r>
          </w:p>
        </w:tc>
        <w:tc>
          <w:tcPr>
            <w:tcW w:w="2321" w:type="dxa"/>
          </w:tcPr>
          <w:p w14:paraId="29F973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Около 12 месяцев</w:t>
            </w:r>
          </w:p>
        </w:tc>
      </w:tr>
      <w:tr w:rsidR="00E371BA" w:rsidRPr="00507A31" w14:paraId="4BF3BC8F" w14:textId="77777777">
        <w:tc>
          <w:tcPr>
            <w:tcW w:w="2321" w:type="dxa"/>
          </w:tcPr>
          <w:p w14:paraId="68EE49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2321" w:type="dxa"/>
          </w:tcPr>
          <w:p w14:paraId="188ECD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И8</w:t>
            </w:r>
          </w:p>
        </w:tc>
        <w:tc>
          <w:tcPr>
            <w:tcW w:w="2321" w:type="dxa"/>
          </w:tcPr>
          <w:p w14:paraId="397F75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w:t>
            </w:r>
          </w:p>
        </w:tc>
        <w:tc>
          <w:tcPr>
            <w:tcW w:w="2321" w:type="dxa"/>
          </w:tcPr>
          <w:p w14:paraId="69DC34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месяца</w:t>
            </w:r>
          </w:p>
        </w:tc>
        <w:tc>
          <w:tcPr>
            <w:tcW w:w="2321" w:type="dxa"/>
          </w:tcPr>
          <w:p w14:paraId="3FD43B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Около 12 месяцев</w:t>
            </w:r>
          </w:p>
        </w:tc>
      </w:tr>
    </w:tbl>
    <w:p w14:paraId="60958D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Выходят или вышли на гос. испытания:</w:t>
      </w:r>
    </w:p>
    <w:p w14:paraId="6467C8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 – ТБ2 и И6</w:t>
      </w:r>
    </w:p>
    <w:p w14:paraId="7C89CD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 – Р7 и Р6</w:t>
      </w:r>
    </w:p>
    <w:p w14:paraId="4D9B3D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самолету Ш2 срок, по-видимому, выдержан не будет.</w:t>
      </w:r>
    </w:p>
    <w:p w14:paraId="57A3408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 сухопутным самолетам заменяется некоторое отставание в сроках, а предварительные сведения о самолетах ЦАГИ Р7 и И8 и о самолете ВАО И6 показывают остановку в прогрессе самолетостроения.</w:t>
      </w:r>
    </w:p>
    <w:p w14:paraId="2CEE706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 срокам опытного гидросамолетостроения авиапромышленность не справляется, а т. к. Опыт гидросамолетостроения очень мал, то необходимо рассчитывать на получение неудачных образцов гидросамолетов.</w:t>
      </w:r>
    </w:p>
    <w:p w14:paraId="525BDE1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Необходимо включить в план экспериментальный целиком стальной самолет (6998, 73).</w:t>
      </w:r>
    </w:p>
    <w:p w14:paraId="2963DFB0"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2B3FC901" w14:textId="77777777" w:rsidR="00B16E4A" w:rsidRPr="00507A31" w:rsidRDefault="00B16E4A" w:rsidP="00507A31">
      <w:pPr>
        <w:jc w:val="both"/>
        <w:rPr>
          <w:color w:val="0070C0"/>
          <w:sz w:val="16"/>
          <w:szCs w:val="16"/>
        </w:rPr>
      </w:pPr>
      <w:r w:rsidRPr="00507A31">
        <w:rPr>
          <w:color w:val="0070C0"/>
          <w:sz w:val="16"/>
          <w:szCs w:val="16"/>
        </w:rPr>
        <w:t>23 августа 1930 попытка взлета КАСКР с установленным ротором вы</w:t>
      </w:r>
      <w:r w:rsidRPr="00507A31">
        <w:rPr>
          <w:color w:val="0070C0"/>
          <w:sz w:val="16"/>
          <w:szCs w:val="16"/>
        </w:rPr>
        <w:softHyphen/>
        <w:t>явила склонность машины разворачиваться и наклонять</w:t>
      </w:r>
      <w:r w:rsidRPr="00507A31">
        <w:rPr>
          <w:color w:val="0070C0"/>
          <w:sz w:val="16"/>
          <w:szCs w:val="16"/>
        </w:rPr>
        <w:softHyphen/>
        <w:t>ся в правую сторону с одновременным скольжением вле</w:t>
      </w:r>
      <w:r w:rsidRPr="00507A31">
        <w:rPr>
          <w:color w:val="0070C0"/>
          <w:sz w:val="16"/>
          <w:szCs w:val="16"/>
        </w:rPr>
        <w:softHyphen/>
        <w:t>во. Для устранения этого явления угол наклона оси рото</w:t>
      </w:r>
      <w:r w:rsidRPr="00507A31">
        <w:rPr>
          <w:color w:val="0070C0"/>
          <w:sz w:val="16"/>
          <w:szCs w:val="16"/>
        </w:rPr>
        <w:softHyphen/>
        <w:t>ра уменьшили до минимального значения, а в законцовку левого крыла поместили свинцовый груз весом 10,3 кг. Предпринятые действия позволили добиться положитель</w:t>
      </w:r>
      <w:r w:rsidRPr="00507A31">
        <w:rPr>
          <w:color w:val="0070C0"/>
          <w:sz w:val="16"/>
          <w:szCs w:val="16"/>
        </w:rPr>
        <w:softHyphen/>
        <w:t>ных результатов. Несколько небольших полетов, пред</w:t>
      </w:r>
      <w:r w:rsidRPr="00507A31">
        <w:rPr>
          <w:color w:val="0070C0"/>
          <w:sz w:val="16"/>
          <w:szCs w:val="16"/>
        </w:rPr>
        <w:softHyphen/>
        <w:t>принятых до окончания лета, внушали уверенность в даль</w:t>
      </w:r>
      <w:r w:rsidRPr="00507A31">
        <w:rPr>
          <w:color w:val="0070C0"/>
          <w:sz w:val="16"/>
          <w:szCs w:val="16"/>
        </w:rPr>
        <w:softHyphen/>
        <w:t>нейших успехах (20361).</w:t>
      </w:r>
    </w:p>
    <w:p w14:paraId="490F03C7" w14:textId="77777777" w:rsidR="00B16E4A" w:rsidRPr="00507A31" w:rsidRDefault="00B16E4A" w:rsidP="00507A31">
      <w:pPr>
        <w:jc w:val="both"/>
        <w:rPr>
          <w:color w:val="0070C0"/>
          <w:sz w:val="16"/>
          <w:szCs w:val="16"/>
        </w:rPr>
      </w:pPr>
    </w:p>
    <w:p w14:paraId="778939C7" w14:textId="77777777" w:rsidR="007171D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67A7523" w14:textId="77777777" w:rsidR="007171D9" w:rsidRPr="00507A31" w:rsidRDefault="007171D9" w:rsidP="00507A31">
      <w:pPr>
        <w:autoSpaceDE w:val="0"/>
        <w:autoSpaceDN w:val="0"/>
        <w:adjustRightInd w:val="0"/>
        <w:jc w:val="both"/>
        <w:rPr>
          <w:iCs/>
          <w:color w:val="000000" w:themeColor="text1"/>
          <w:sz w:val="16"/>
          <w:szCs w:val="16"/>
        </w:rPr>
      </w:pPr>
    </w:p>
    <w:p w14:paraId="02ECA4A6" w14:textId="77777777" w:rsidR="007171D9" w:rsidRPr="00507A31" w:rsidRDefault="007171D9" w:rsidP="00507A31">
      <w:pPr>
        <w:jc w:val="both"/>
        <w:rPr>
          <w:color w:val="000000" w:themeColor="text1"/>
          <w:sz w:val="16"/>
          <w:szCs w:val="16"/>
        </w:rPr>
      </w:pPr>
      <w:r w:rsidRPr="00507A31">
        <w:rPr>
          <w:color w:val="000000" w:themeColor="text1"/>
          <w:sz w:val="16"/>
          <w:szCs w:val="16"/>
        </w:rPr>
        <w:lastRenderedPageBreak/>
        <w:t>23 августа 1930 г. Постановление Президиума ВСНХ СССР о Вохимтресте (РГАЭ. Ф. 3429. Оп. 6. Д. 198. Л. 64) (12417).</w:t>
      </w:r>
    </w:p>
    <w:p w14:paraId="4B751B1E" w14:textId="77777777" w:rsidR="007171D9" w:rsidRPr="00507A31" w:rsidRDefault="007171D9" w:rsidP="00507A31">
      <w:pPr>
        <w:jc w:val="both"/>
        <w:rPr>
          <w:color w:val="000000" w:themeColor="text1"/>
          <w:sz w:val="16"/>
          <w:szCs w:val="16"/>
        </w:rPr>
      </w:pPr>
    </w:p>
    <w:p w14:paraId="669E2B2F" w14:textId="77777777" w:rsidR="007171D9" w:rsidRPr="00507A31" w:rsidRDefault="007171D9" w:rsidP="00507A31">
      <w:pPr>
        <w:jc w:val="both"/>
        <w:rPr>
          <w:color w:val="000000" w:themeColor="text1"/>
          <w:sz w:val="16"/>
          <w:szCs w:val="16"/>
          <w:u w:color="002060"/>
        </w:rPr>
      </w:pPr>
      <w:r w:rsidRPr="00507A31">
        <w:rPr>
          <w:color w:val="000000" w:themeColor="text1"/>
          <w:sz w:val="16"/>
          <w:szCs w:val="16"/>
          <w:u w:color="002060"/>
        </w:rPr>
        <w:t>23 августа</w:t>
      </w:r>
      <w:r w:rsidRPr="00507A31">
        <w:rPr>
          <w:color w:val="000000" w:themeColor="text1"/>
          <w:sz w:val="16"/>
          <w:szCs w:val="16"/>
        </w:rPr>
        <w:t xml:space="preserve"> 1930 г</w:t>
      </w:r>
      <w:r w:rsidRPr="00507A31">
        <w:rPr>
          <w:color w:val="000000" w:themeColor="text1"/>
          <w:sz w:val="16"/>
          <w:szCs w:val="16"/>
          <w:u w:color="002060"/>
        </w:rPr>
        <w:t>. Постановление № 186 СТО СССР о качестве коммерческого судостроения в СССР (ГА РФ. Ф. 5674. Оп. 1. Д. 42. Л. 259?261) (12415).</w:t>
      </w:r>
    </w:p>
    <w:p w14:paraId="5CEBA062" w14:textId="77777777" w:rsidR="007171D9" w:rsidRPr="00507A31" w:rsidRDefault="007171D9" w:rsidP="00507A31">
      <w:pPr>
        <w:jc w:val="both"/>
        <w:rPr>
          <w:color w:val="000000" w:themeColor="text1"/>
          <w:sz w:val="16"/>
          <w:szCs w:val="16"/>
          <w:u w:color="002060"/>
        </w:rPr>
      </w:pPr>
    </w:p>
    <w:p w14:paraId="40DB594B" w14:textId="77777777" w:rsidR="00A27028" w:rsidRPr="00507A31" w:rsidRDefault="00A27028"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9FD706F" w14:textId="77777777" w:rsidR="00A27028" w:rsidRPr="00507A31" w:rsidRDefault="00A27028" w:rsidP="00507A31">
      <w:pPr>
        <w:autoSpaceDE w:val="0"/>
        <w:autoSpaceDN w:val="0"/>
        <w:adjustRightInd w:val="0"/>
        <w:jc w:val="both"/>
        <w:rPr>
          <w:iCs/>
          <w:color w:val="000000" w:themeColor="text1"/>
          <w:sz w:val="16"/>
          <w:szCs w:val="16"/>
        </w:rPr>
      </w:pPr>
    </w:p>
    <w:p w14:paraId="1120603D" w14:textId="77777777" w:rsidR="00A27028" w:rsidRPr="00507A31" w:rsidRDefault="00A27028" w:rsidP="00507A31">
      <w:pPr>
        <w:jc w:val="both"/>
        <w:rPr>
          <w:color w:val="0070C0"/>
          <w:sz w:val="16"/>
          <w:szCs w:val="16"/>
        </w:rPr>
      </w:pPr>
      <w:r w:rsidRPr="00507A31">
        <w:rPr>
          <w:color w:val="0070C0"/>
          <w:sz w:val="16"/>
          <w:szCs w:val="16"/>
        </w:rPr>
        <w:t>23 августа 1930 в Чикаго стартует национальный воздушный тур Ford по надежности (20805).</w:t>
      </w:r>
    </w:p>
    <w:p w14:paraId="2218BC22" w14:textId="77777777" w:rsidR="00A27028" w:rsidRPr="00507A31" w:rsidRDefault="00A27028" w:rsidP="00507A31">
      <w:pPr>
        <w:jc w:val="both"/>
        <w:rPr>
          <w:color w:val="0070C0"/>
          <w:sz w:val="16"/>
          <w:szCs w:val="16"/>
        </w:rPr>
      </w:pPr>
    </w:p>
    <w:p w14:paraId="42B5D35A" w14:textId="77777777" w:rsidR="00A27028" w:rsidRPr="00507A31" w:rsidRDefault="00A27028"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47A09E6" w14:textId="77777777" w:rsidR="00A27028" w:rsidRPr="00507A31" w:rsidRDefault="00A27028" w:rsidP="00507A31">
      <w:pPr>
        <w:autoSpaceDE w:val="0"/>
        <w:autoSpaceDN w:val="0"/>
        <w:adjustRightInd w:val="0"/>
        <w:jc w:val="both"/>
        <w:rPr>
          <w:iCs/>
          <w:color w:val="000000" w:themeColor="text1"/>
          <w:sz w:val="16"/>
          <w:szCs w:val="16"/>
        </w:rPr>
      </w:pPr>
    </w:p>
    <w:p w14:paraId="4DD0BA7A" w14:textId="77777777" w:rsidR="00A27028" w:rsidRPr="00507A31" w:rsidRDefault="00A27028" w:rsidP="00507A31">
      <w:pPr>
        <w:jc w:val="both"/>
        <w:rPr>
          <w:color w:val="0070C0"/>
          <w:sz w:val="16"/>
          <w:szCs w:val="16"/>
        </w:rPr>
      </w:pPr>
      <w:r w:rsidRPr="00507A31">
        <w:rPr>
          <w:color w:val="0070C0"/>
          <w:sz w:val="16"/>
          <w:szCs w:val="16"/>
          <w:lang w:bidi="ru-RU"/>
        </w:rPr>
        <w:t>24 августа 1930 директор завода №39 Евстигнеев и его заместитель по произ</w:t>
      </w:r>
      <w:r w:rsidRPr="00507A31">
        <w:rPr>
          <w:color w:val="0070C0"/>
          <w:sz w:val="16"/>
          <w:szCs w:val="16"/>
          <w:lang w:bidi="ru-RU"/>
        </w:rPr>
        <w:softHyphen/>
        <w:t>водству Филимончук обратились в НТК УВВС с просьбой: «Вследствие ударного задания на постройку самолета Ш, про</w:t>
      </w:r>
      <w:r w:rsidRPr="00507A31">
        <w:rPr>
          <w:color w:val="0070C0"/>
          <w:sz w:val="16"/>
          <w:szCs w:val="16"/>
          <w:lang w:bidi="ru-RU"/>
        </w:rPr>
        <w:softHyphen/>
        <w:t>сим срочных Ваших распоряжений о вы</w:t>
      </w:r>
      <w:r w:rsidRPr="00507A31">
        <w:rPr>
          <w:color w:val="0070C0"/>
          <w:sz w:val="16"/>
          <w:szCs w:val="16"/>
          <w:lang w:bidi="ru-RU"/>
        </w:rPr>
        <w:softHyphen/>
        <w:t>даче нашему заводу наряда на мотор БМВ6-7.3 с алюминиевым картером».</w:t>
      </w:r>
    </w:p>
    <w:p w14:paraId="5B8EC95D" w14:textId="77777777" w:rsidR="00A27028" w:rsidRPr="00507A31" w:rsidRDefault="00A27028" w:rsidP="00507A31">
      <w:pPr>
        <w:jc w:val="both"/>
        <w:rPr>
          <w:color w:val="0070C0"/>
          <w:sz w:val="16"/>
          <w:szCs w:val="16"/>
        </w:rPr>
      </w:pPr>
      <w:r w:rsidRPr="00507A31">
        <w:rPr>
          <w:color w:val="0070C0"/>
          <w:sz w:val="16"/>
          <w:szCs w:val="16"/>
          <w:lang w:bidi="ru-RU"/>
        </w:rPr>
        <w:t>Толщины броневых листов бронекорпуса в окончательном варианте были не</w:t>
      </w:r>
      <w:r w:rsidRPr="00507A31">
        <w:rPr>
          <w:color w:val="0070C0"/>
          <w:sz w:val="16"/>
          <w:szCs w:val="16"/>
          <w:lang w:bidi="ru-RU"/>
        </w:rPr>
        <w:softHyphen/>
        <w:t>сколько пересмотрены: спереди снизу и сзади - 6 мм, по бортам - 5 мм, сверху - 4 мм. Вес бронекоробки составил 532 кг.</w:t>
      </w:r>
    </w:p>
    <w:p w14:paraId="0FCFD5F8" w14:textId="77777777" w:rsidR="00A27028" w:rsidRPr="00507A31" w:rsidRDefault="00A27028" w:rsidP="00507A31">
      <w:pPr>
        <w:jc w:val="both"/>
        <w:rPr>
          <w:color w:val="0070C0"/>
          <w:sz w:val="16"/>
          <w:szCs w:val="16"/>
        </w:rPr>
      </w:pPr>
      <w:r w:rsidRPr="00507A31">
        <w:rPr>
          <w:color w:val="0070C0"/>
          <w:sz w:val="16"/>
          <w:szCs w:val="16"/>
          <w:lang w:bidi="ru-RU"/>
        </w:rPr>
        <w:t>Сверху бронекапота сделали неболь</w:t>
      </w:r>
      <w:r w:rsidRPr="00507A31">
        <w:rPr>
          <w:color w:val="0070C0"/>
          <w:sz w:val="16"/>
          <w:szCs w:val="16"/>
          <w:lang w:bidi="ru-RU"/>
        </w:rPr>
        <w:softHyphen/>
        <w:t>шие по размерам «жабры» для продува подкапотного пространства воздухом и охлаждения мотора и его агрегатов. В пе</w:t>
      </w:r>
      <w:r w:rsidRPr="00507A31">
        <w:rPr>
          <w:color w:val="0070C0"/>
          <w:sz w:val="16"/>
          <w:szCs w:val="16"/>
          <w:lang w:bidi="ru-RU"/>
        </w:rPr>
        <w:softHyphen/>
        <w:t>редней части капота «жабры» имели на</w:t>
      </w:r>
      <w:r w:rsidRPr="00507A31">
        <w:rPr>
          <w:color w:val="0070C0"/>
          <w:sz w:val="16"/>
          <w:szCs w:val="16"/>
          <w:lang w:bidi="ru-RU"/>
        </w:rPr>
        <w:softHyphen/>
        <w:t>правление против потока, а в задней ча</w:t>
      </w:r>
      <w:r w:rsidRPr="00507A31">
        <w:rPr>
          <w:color w:val="0070C0"/>
          <w:sz w:val="16"/>
          <w:szCs w:val="16"/>
          <w:lang w:bidi="ru-RU"/>
        </w:rPr>
        <w:softHyphen/>
        <w:t>сти - по потоку.</w:t>
      </w:r>
    </w:p>
    <w:p w14:paraId="33505520" w14:textId="77777777" w:rsidR="00A27028" w:rsidRPr="00507A31" w:rsidRDefault="00A27028" w:rsidP="00507A31">
      <w:pPr>
        <w:jc w:val="both"/>
        <w:rPr>
          <w:color w:val="0070C0"/>
          <w:sz w:val="16"/>
          <w:szCs w:val="16"/>
        </w:rPr>
      </w:pPr>
      <w:r w:rsidRPr="00507A31">
        <w:rPr>
          <w:color w:val="0070C0"/>
          <w:sz w:val="16"/>
          <w:szCs w:val="16"/>
          <w:lang w:bidi="ru-RU"/>
        </w:rPr>
        <w:t>Уменьшили емкость бензо- и маслоба</w:t>
      </w:r>
      <w:r w:rsidRPr="00507A31">
        <w:rPr>
          <w:color w:val="0070C0"/>
          <w:sz w:val="16"/>
          <w:szCs w:val="16"/>
          <w:lang w:bidi="ru-RU"/>
        </w:rPr>
        <w:softHyphen/>
        <w:t>ков: центральный бензобак - 112 л, крыльевые сбрасываемые бензобаки - по 140 л, маслобак - 30 л. Обтекатели крыльевых бензобаков снизу не предусматривались.</w:t>
      </w:r>
    </w:p>
    <w:p w14:paraId="2BDE71C9" w14:textId="77777777" w:rsidR="00A27028" w:rsidRPr="00507A31" w:rsidRDefault="00A27028" w:rsidP="00507A31">
      <w:pPr>
        <w:jc w:val="both"/>
        <w:rPr>
          <w:color w:val="0070C0"/>
          <w:sz w:val="16"/>
          <w:szCs w:val="16"/>
        </w:rPr>
      </w:pPr>
      <w:r w:rsidRPr="00507A31">
        <w:rPr>
          <w:color w:val="0070C0"/>
          <w:sz w:val="16"/>
          <w:szCs w:val="16"/>
          <w:lang w:bidi="ru-RU"/>
        </w:rPr>
        <w:t>Охлаждение мотора выполнили с ис</w:t>
      </w:r>
      <w:r w:rsidRPr="00507A31">
        <w:rPr>
          <w:color w:val="0070C0"/>
          <w:sz w:val="16"/>
          <w:szCs w:val="16"/>
          <w:lang w:bidi="ru-RU"/>
        </w:rPr>
        <w:softHyphen/>
        <w:t>пользованием этиленгликоля (вес гли</w:t>
      </w:r>
      <w:r w:rsidRPr="00507A31">
        <w:rPr>
          <w:color w:val="0070C0"/>
          <w:sz w:val="16"/>
          <w:szCs w:val="16"/>
          <w:lang w:bidi="ru-RU"/>
        </w:rPr>
        <w:softHyphen/>
        <w:t>коля в системе 48 кг). Радиатор - сотовый двухсекционный емкостью 12 л, распола</w:t>
      </w:r>
      <w:r w:rsidRPr="00507A31">
        <w:rPr>
          <w:color w:val="0070C0"/>
          <w:sz w:val="16"/>
          <w:szCs w:val="16"/>
          <w:lang w:bidi="ru-RU"/>
        </w:rPr>
        <w:softHyphen/>
        <w:t>гался в бронекорпусе спереди под мото</w:t>
      </w:r>
      <w:r w:rsidRPr="00507A31">
        <w:rPr>
          <w:color w:val="0070C0"/>
          <w:sz w:val="16"/>
          <w:szCs w:val="16"/>
          <w:lang w:bidi="ru-RU"/>
        </w:rPr>
        <w:softHyphen/>
        <w:t>ром в специальном тоннеле. Проток воз</w:t>
      </w:r>
      <w:r w:rsidRPr="00507A31">
        <w:rPr>
          <w:color w:val="0070C0"/>
          <w:sz w:val="16"/>
          <w:szCs w:val="16"/>
          <w:lang w:bidi="ru-RU"/>
        </w:rPr>
        <w:softHyphen/>
        <w:t>духа на входе регулировался поворот</w:t>
      </w:r>
      <w:r w:rsidRPr="00507A31">
        <w:rPr>
          <w:color w:val="0070C0"/>
          <w:sz w:val="16"/>
          <w:szCs w:val="16"/>
          <w:lang w:bidi="ru-RU"/>
        </w:rPr>
        <w:softHyphen/>
        <w:t>ными бронированными заслонками. Вы</w:t>
      </w:r>
      <w:r w:rsidRPr="00507A31">
        <w:rPr>
          <w:color w:val="0070C0"/>
          <w:sz w:val="16"/>
          <w:szCs w:val="16"/>
          <w:lang w:bidi="ru-RU"/>
        </w:rPr>
        <w:softHyphen/>
        <w:t>ходное отверстие - свободное. Система охлаждения была герметичной. В расши</w:t>
      </w:r>
      <w:r w:rsidRPr="00507A31">
        <w:rPr>
          <w:color w:val="0070C0"/>
          <w:sz w:val="16"/>
          <w:szCs w:val="16"/>
          <w:lang w:bidi="ru-RU"/>
        </w:rPr>
        <w:softHyphen/>
        <w:t>рительном бачке имелись два клапана - редукционный и обратный. Давление в системе - не выше 0,3 атм.</w:t>
      </w:r>
    </w:p>
    <w:p w14:paraId="0FBFF899" w14:textId="77777777" w:rsidR="00A27028" w:rsidRPr="00507A31" w:rsidRDefault="00A27028" w:rsidP="00507A31">
      <w:pPr>
        <w:jc w:val="both"/>
        <w:rPr>
          <w:color w:val="0070C0"/>
          <w:sz w:val="16"/>
          <w:szCs w:val="16"/>
        </w:rPr>
      </w:pPr>
      <w:r w:rsidRPr="00507A31">
        <w:rPr>
          <w:color w:val="0070C0"/>
          <w:sz w:val="16"/>
          <w:szCs w:val="16"/>
          <w:lang w:bidi="ru-RU"/>
        </w:rPr>
        <w:t>Использование этиленгликоля с тем</w:t>
      </w:r>
      <w:r w:rsidRPr="00507A31">
        <w:rPr>
          <w:color w:val="0070C0"/>
          <w:sz w:val="16"/>
          <w:szCs w:val="16"/>
          <w:lang w:bidi="ru-RU"/>
        </w:rPr>
        <w:softHyphen/>
        <w:t>пературой кипения 150°С позволяло по</w:t>
      </w:r>
      <w:r w:rsidRPr="00507A31">
        <w:rPr>
          <w:color w:val="0070C0"/>
          <w:sz w:val="16"/>
          <w:szCs w:val="16"/>
          <w:lang w:bidi="ru-RU"/>
        </w:rPr>
        <w:softHyphen/>
        <w:t>высить рабочую температуру охлажда</w:t>
      </w:r>
      <w:r w:rsidRPr="00507A31">
        <w:rPr>
          <w:color w:val="0070C0"/>
          <w:sz w:val="16"/>
          <w:szCs w:val="16"/>
          <w:lang w:bidi="ru-RU"/>
        </w:rPr>
        <w:softHyphen/>
        <w:t>ющей жидкости в радиаторе до 120- 130°С, что почти вдвое уменьшало его габариты по сравнению с водяной систе</w:t>
      </w:r>
      <w:r w:rsidRPr="00507A31">
        <w:rPr>
          <w:color w:val="0070C0"/>
          <w:sz w:val="16"/>
          <w:szCs w:val="16"/>
          <w:lang w:bidi="ru-RU"/>
        </w:rPr>
        <w:softHyphen/>
        <w:t>мой охлаждения. Максимальная скорость полета возрастала на 2-2,5%. Одновре</w:t>
      </w:r>
      <w:r w:rsidRPr="00507A31">
        <w:rPr>
          <w:color w:val="0070C0"/>
          <w:sz w:val="16"/>
          <w:szCs w:val="16"/>
          <w:lang w:bidi="ru-RU"/>
        </w:rPr>
        <w:softHyphen/>
        <w:t>менно сокращался вес системы охлажде</w:t>
      </w:r>
      <w:r w:rsidRPr="00507A31">
        <w:rPr>
          <w:color w:val="0070C0"/>
          <w:sz w:val="16"/>
          <w:szCs w:val="16"/>
          <w:lang w:bidi="ru-RU"/>
        </w:rPr>
        <w:softHyphen/>
        <w:t>ния - на 10-11%, и расход топлива - при</w:t>
      </w:r>
      <w:r w:rsidRPr="00507A31">
        <w:rPr>
          <w:color w:val="0070C0"/>
          <w:sz w:val="16"/>
          <w:szCs w:val="16"/>
          <w:lang w:bidi="ru-RU"/>
        </w:rPr>
        <w:softHyphen/>
        <w:t>мерно на 4%.</w:t>
      </w:r>
    </w:p>
    <w:p w14:paraId="52B0D17C" w14:textId="77777777" w:rsidR="00A27028" w:rsidRPr="00507A31" w:rsidRDefault="00A27028" w:rsidP="00507A31">
      <w:pPr>
        <w:jc w:val="both"/>
        <w:rPr>
          <w:color w:val="0070C0"/>
          <w:sz w:val="16"/>
          <w:szCs w:val="16"/>
        </w:rPr>
      </w:pPr>
      <w:r w:rsidRPr="00507A31">
        <w:rPr>
          <w:color w:val="0070C0"/>
          <w:sz w:val="16"/>
          <w:szCs w:val="16"/>
          <w:lang w:bidi="ru-RU"/>
        </w:rPr>
        <w:t>Преимущества этиленгликоля были налицо. Однако, как отмечалось специа</w:t>
      </w:r>
      <w:r w:rsidRPr="00507A31">
        <w:rPr>
          <w:color w:val="0070C0"/>
          <w:sz w:val="16"/>
          <w:szCs w:val="16"/>
          <w:lang w:bidi="ru-RU"/>
        </w:rPr>
        <w:softHyphen/>
        <w:t>листами НИИ ВВС, «этиленгликоль - кон</w:t>
      </w:r>
      <w:r w:rsidRPr="00507A31">
        <w:rPr>
          <w:color w:val="0070C0"/>
          <w:sz w:val="16"/>
          <w:szCs w:val="16"/>
          <w:lang w:bidi="ru-RU"/>
        </w:rPr>
        <w:softHyphen/>
        <w:t>структивный риск». Дело в том, что при испытании в сентябре 1930 г. системы этиленгликолевого охлаждения на само</w:t>
      </w:r>
      <w:r w:rsidRPr="00507A31">
        <w:rPr>
          <w:color w:val="0070C0"/>
          <w:sz w:val="16"/>
          <w:szCs w:val="16"/>
          <w:lang w:bidi="ru-RU"/>
        </w:rPr>
        <w:softHyphen/>
        <w:t>лете Р-5 с мотором БМВ-6 выявилась «до</w:t>
      </w:r>
      <w:r w:rsidRPr="00507A31">
        <w:rPr>
          <w:color w:val="0070C0"/>
          <w:sz w:val="16"/>
          <w:szCs w:val="16"/>
          <w:lang w:bidi="ru-RU"/>
        </w:rPr>
        <w:softHyphen/>
        <w:t>роговизна и сложность эксплоатации по сравнению с водой». Металлы, соприка</w:t>
      </w:r>
      <w:r w:rsidRPr="00507A31">
        <w:rPr>
          <w:color w:val="0070C0"/>
          <w:sz w:val="16"/>
          <w:szCs w:val="16"/>
          <w:lang w:bidi="ru-RU"/>
        </w:rPr>
        <w:softHyphen/>
        <w:t>савшиеся с этиленгликолем, сильно кор</w:t>
      </w:r>
      <w:r w:rsidRPr="00507A31">
        <w:rPr>
          <w:color w:val="0070C0"/>
          <w:sz w:val="16"/>
          <w:szCs w:val="16"/>
          <w:lang w:bidi="ru-RU"/>
        </w:rPr>
        <w:softHyphen/>
        <w:t>розировали. Этиленгликоль легко про</w:t>
      </w:r>
      <w:r w:rsidRPr="00507A31">
        <w:rPr>
          <w:color w:val="0070C0"/>
          <w:sz w:val="16"/>
          <w:szCs w:val="16"/>
          <w:lang w:bidi="ru-RU"/>
        </w:rPr>
        <w:softHyphen/>
        <w:t>сачивался через мельчайшие неплотно</w:t>
      </w:r>
      <w:r w:rsidRPr="00507A31">
        <w:rPr>
          <w:color w:val="0070C0"/>
          <w:sz w:val="16"/>
          <w:szCs w:val="16"/>
          <w:lang w:bidi="ru-RU"/>
        </w:rPr>
        <w:softHyphen/>
        <w:t>сти, разъедал дюритовые рукава между цилиндрами и в других стыках. От высо</w:t>
      </w:r>
      <w:r w:rsidRPr="00507A31">
        <w:rPr>
          <w:color w:val="0070C0"/>
          <w:sz w:val="16"/>
          <w:szCs w:val="16"/>
          <w:lang w:bidi="ru-RU"/>
        </w:rPr>
        <w:softHyphen/>
        <w:t>кой температуры и воздействия этиленг</w:t>
      </w:r>
      <w:r w:rsidRPr="00507A31">
        <w:rPr>
          <w:color w:val="0070C0"/>
          <w:sz w:val="16"/>
          <w:szCs w:val="16"/>
          <w:lang w:bidi="ru-RU"/>
        </w:rPr>
        <w:softHyphen/>
        <w:t>ликоля резиновые прокладки и соедине</w:t>
      </w:r>
      <w:r w:rsidRPr="00507A31">
        <w:rPr>
          <w:color w:val="0070C0"/>
          <w:sz w:val="16"/>
          <w:szCs w:val="16"/>
          <w:lang w:bidi="ru-RU"/>
        </w:rPr>
        <w:softHyphen/>
        <w:t>ния быстро «высыхали». Появлялась течь. Кроме того, высокая рабочая темпера</w:t>
      </w:r>
      <w:r w:rsidRPr="00507A31">
        <w:rPr>
          <w:color w:val="0070C0"/>
          <w:sz w:val="16"/>
          <w:szCs w:val="16"/>
          <w:lang w:bidi="ru-RU"/>
        </w:rPr>
        <w:softHyphen/>
        <w:t>тура «угрожает нормальной работе мо</w:t>
      </w:r>
      <w:r w:rsidRPr="00507A31">
        <w:rPr>
          <w:color w:val="0070C0"/>
          <w:sz w:val="16"/>
          <w:szCs w:val="16"/>
          <w:lang w:bidi="ru-RU"/>
        </w:rPr>
        <w:softHyphen/>
        <w:t>тора в наиболее уязвимых местах, как то: клапана, резиновые соединения и т.д.» К тому же «гигроскопичность гликоля тре</w:t>
      </w:r>
      <w:r w:rsidRPr="00507A31">
        <w:rPr>
          <w:color w:val="0070C0"/>
          <w:sz w:val="16"/>
          <w:szCs w:val="16"/>
          <w:lang w:bidi="ru-RU"/>
        </w:rPr>
        <w:softHyphen/>
        <w:t>бует осуществления закрытой системы охлаждения на самолете и герметичной тары для его хранения».</w:t>
      </w:r>
    </w:p>
    <w:p w14:paraId="64615BF5" w14:textId="77777777" w:rsidR="00A27028" w:rsidRPr="00507A31" w:rsidRDefault="00A27028" w:rsidP="00507A31">
      <w:pPr>
        <w:jc w:val="both"/>
        <w:rPr>
          <w:color w:val="0070C0"/>
          <w:sz w:val="16"/>
          <w:szCs w:val="16"/>
        </w:rPr>
      </w:pPr>
      <w:r w:rsidRPr="00507A31">
        <w:rPr>
          <w:color w:val="0070C0"/>
          <w:sz w:val="16"/>
          <w:szCs w:val="16"/>
          <w:lang w:bidi="ru-RU"/>
        </w:rPr>
        <w:t>С учетом этих обстоятельств военные рекомендовали сначала провести дли</w:t>
      </w:r>
      <w:r w:rsidRPr="00507A31">
        <w:rPr>
          <w:color w:val="0070C0"/>
          <w:sz w:val="16"/>
          <w:szCs w:val="16"/>
          <w:lang w:bidi="ru-RU"/>
        </w:rPr>
        <w:softHyphen/>
        <w:t>тельные ресурсные испытания моторов при высоких температурах охлаждаю</w:t>
      </w:r>
      <w:r w:rsidRPr="00507A31">
        <w:rPr>
          <w:color w:val="0070C0"/>
          <w:sz w:val="16"/>
          <w:szCs w:val="16"/>
          <w:lang w:bidi="ru-RU"/>
        </w:rPr>
        <w:softHyphen/>
        <w:t>щей жидкости, разработать (или закупить за рубежом) специальные сорта резины и дистанционные термометры («со шка</w:t>
      </w:r>
      <w:r w:rsidRPr="00507A31">
        <w:rPr>
          <w:color w:val="0070C0"/>
          <w:sz w:val="16"/>
          <w:szCs w:val="16"/>
          <w:lang w:bidi="ru-RU"/>
        </w:rPr>
        <w:softHyphen/>
        <w:t>лой до 160-200°С»), и только затем «при</w:t>
      </w:r>
      <w:r w:rsidRPr="00507A31">
        <w:rPr>
          <w:color w:val="0070C0"/>
          <w:sz w:val="16"/>
          <w:szCs w:val="16"/>
          <w:lang w:bidi="ru-RU"/>
        </w:rPr>
        <w:softHyphen/>
        <w:t>мерить» этиленгликоль к самолету ТШ-2: «Вопрос о внедрении в Военно-Воздуш</w:t>
      </w:r>
      <w:r w:rsidRPr="00507A31">
        <w:rPr>
          <w:color w:val="0070C0"/>
          <w:sz w:val="16"/>
          <w:szCs w:val="16"/>
          <w:lang w:bidi="ru-RU"/>
        </w:rPr>
        <w:softHyphen/>
        <w:t>ный Флот охлаждения высококипящими жидкостями не разрешается настоящими испытаниями».</w:t>
      </w:r>
    </w:p>
    <w:p w14:paraId="0611C503" w14:textId="77777777" w:rsidR="00A27028" w:rsidRPr="00507A31" w:rsidRDefault="00A27028" w:rsidP="00507A31">
      <w:pPr>
        <w:jc w:val="both"/>
        <w:rPr>
          <w:color w:val="0070C0"/>
          <w:sz w:val="16"/>
          <w:szCs w:val="16"/>
        </w:rPr>
      </w:pPr>
      <w:r w:rsidRPr="00507A31">
        <w:rPr>
          <w:color w:val="0070C0"/>
          <w:sz w:val="16"/>
          <w:szCs w:val="16"/>
          <w:lang w:bidi="ru-RU"/>
        </w:rPr>
        <w:t>После ряда дискуссий все же решили остановиться на этиленгликолевой сис</w:t>
      </w:r>
      <w:r w:rsidRPr="00507A31">
        <w:rPr>
          <w:color w:val="0070C0"/>
          <w:sz w:val="16"/>
          <w:szCs w:val="16"/>
          <w:lang w:bidi="ru-RU"/>
        </w:rPr>
        <w:softHyphen/>
        <w:t>теме охлаждения, во всяком случае, для двух опытных экземпляров самолета ТШ-2. При этом «из-за вредного воздей</w:t>
      </w:r>
      <w:r w:rsidRPr="00507A31">
        <w:rPr>
          <w:color w:val="0070C0"/>
          <w:sz w:val="16"/>
          <w:szCs w:val="16"/>
          <w:lang w:bidi="ru-RU"/>
        </w:rPr>
        <w:softHyphen/>
        <w:t>ствия высокой температуры и этиленгли</w:t>
      </w:r>
      <w:r w:rsidRPr="00507A31">
        <w:rPr>
          <w:color w:val="0070C0"/>
          <w:sz w:val="16"/>
          <w:szCs w:val="16"/>
          <w:lang w:bidi="ru-RU"/>
        </w:rPr>
        <w:softHyphen/>
        <w:t>коля на резиновые и дюритовые соедине</w:t>
      </w:r>
      <w:r w:rsidRPr="00507A31">
        <w:rPr>
          <w:color w:val="0070C0"/>
          <w:sz w:val="16"/>
          <w:szCs w:val="16"/>
          <w:lang w:bidi="ru-RU"/>
        </w:rPr>
        <w:softHyphen/>
        <w:t>ния» все трубопроводы следовало выпол</w:t>
      </w:r>
      <w:r w:rsidRPr="00507A31">
        <w:rPr>
          <w:color w:val="0070C0"/>
          <w:sz w:val="16"/>
          <w:szCs w:val="16"/>
          <w:lang w:bidi="ru-RU"/>
        </w:rPr>
        <w:softHyphen/>
        <w:t>нить из медных труб, а гибкие соединения свести до минимума.</w:t>
      </w:r>
    </w:p>
    <w:p w14:paraId="72BFB2FE" w14:textId="77777777" w:rsidR="00A27028" w:rsidRPr="00507A31" w:rsidRDefault="00A27028" w:rsidP="00507A31">
      <w:pPr>
        <w:jc w:val="both"/>
        <w:rPr>
          <w:color w:val="0070C0"/>
          <w:sz w:val="16"/>
          <w:szCs w:val="16"/>
        </w:rPr>
      </w:pPr>
      <w:r w:rsidRPr="00507A31">
        <w:rPr>
          <w:color w:val="0070C0"/>
          <w:sz w:val="16"/>
          <w:szCs w:val="16"/>
          <w:lang w:bidi="ru-RU"/>
        </w:rPr>
        <w:t>Вооружение ТШ-2 состояло из двух синхронных пулеметов ПВ-1 (1500 па</w:t>
      </w:r>
      <w:r w:rsidRPr="00507A31">
        <w:rPr>
          <w:color w:val="0070C0"/>
          <w:sz w:val="16"/>
          <w:szCs w:val="16"/>
          <w:lang w:bidi="ru-RU"/>
        </w:rPr>
        <w:softHyphen/>
        <w:t>трон), установленных над мотором, двух батарей по четыре ПВ-1 (всего 6000 па</w:t>
      </w:r>
      <w:r w:rsidRPr="00507A31">
        <w:rPr>
          <w:color w:val="0070C0"/>
          <w:sz w:val="16"/>
          <w:szCs w:val="16"/>
          <w:lang w:bidi="ru-RU"/>
        </w:rPr>
        <w:softHyphen/>
        <w:t>трон) в подвесных контейнерах под ниж</w:t>
      </w:r>
      <w:r w:rsidRPr="00507A31">
        <w:rPr>
          <w:color w:val="0070C0"/>
          <w:sz w:val="16"/>
          <w:szCs w:val="16"/>
          <w:lang w:bidi="ru-RU"/>
        </w:rPr>
        <w:softHyphen/>
        <w:t>ним крылом и пулемета ПВ-1 (600 па</w:t>
      </w:r>
      <w:r w:rsidRPr="00507A31">
        <w:rPr>
          <w:color w:val="0070C0"/>
          <w:sz w:val="16"/>
          <w:szCs w:val="16"/>
          <w:lang w:bidi="ru-RU"/>
        </w:rPr>
        <w:softHyphen/>
        <w:t>трон) с прикладом на турели ТУР-7 у лет- наба. Вместо пулеметных батарей пред</w:t>
      </w:r>
      <w:r w:rsidRPr="00507A31">
        <w:rPr>
          <w:color w:val="0070C0"/>
          <w:sz w:val="16"/>
          <w:szCs w:val="16"/>
          <w:lang w:bidi="ru-RU"/>
        </w:rPr>
        <w:softHyphen/>
        <w:t>усматривалась подвеска под фюзеляжем и крылом 12 гранатниц (всего 384 руч</w:t>
      </w:r>
      <w:r w:rsidRPr="00507A31">
        <w:rPr>
          <w:color w:val="0070C0"/>
          <w:sz w:val="16"/>
          <w:szCs w:val="16"/>
          <w:lang w:bidi="ru-RU"/>
        </w:rPr>
        <w:softHyphen/>
        <w:t>ных гранат образца 1914 г.), или четырех</w:t>
      </w:r>
      <w:r w:rsidRPr="00507A31">
        <w:rPr>
          <w:color w:val="0070C0"/>
          <w:sz w:val="16"/>
          <w:szCs w:val="16"/>
          <w:lang w:bidi="ru-RU"/>
        </w:rPr>
        <w:softHyphen/>
        <w:t>шести 100-кг фугасных бомб, или двух 250-кг бомб, или четырех выливных ави</w:t>
      </w:r>
      <w:r w:rsidRPr="00507A31">
        <w:rPr>
          <w:color w:val="0070C0"/>
          <w:sz w:val="16"/>
          <w:szCs w:val="16"/>
          <w:lang w:bidi="ru-RU"/>
        </w:rPr>
        <w:softHyphen/>
        <w:t>априборов с отравляющими веществами (всего 280 л). На многозамковых держа</w:t>
      </w:r>
      <w:r w:rsidRPr="00507A31">
        <w:rPr>
          <w:color w:val="0070C0"/>
          <w:sz w:val="16"/>
          <w:szCs w:val="16"/>
          <w:lang w:bidi="ru-RU"/>
        </w:rPr>
        <w:softHyphen/>
        <w:t>телях и в специальной кассете под сиде</w:t>
      </w:r>
      <w:r w:rsidRPr="00507A31">
        <w:rPr>
          <w:color w:val="0070C0"/>
          <w:sz w:val="16"/>
          <w:szCs w:val="16"/>
          <w:lang w:bidi="ru-RU"/>
        </w:rPr>
        <w:softHyphen/>
        <w:t>ньем летчика обеспечивалась подвеска до 40 осколочных и химических бомб ка</w:t>
      </w:r>
      <w:r w:rsidRPr="00507A31">
        <w:rPr>
          <w:color w:val="0070C0"/>
          <w:sz w:val="16"/>
          <w:szCs w:val="16"/>
          <w:lang w:bidi="ru-RU"/>
        </w:rPr>
        <w:softHyphen/>
        <w:t>либра 10 кг или до 200 осколочных 2-кг бомб. Бомбовая нагрузка сверх 400 кг «идет за счет перегрузки самолета». Во</w:t>
      </w:r>
      <w:r w:rsidRPr="00507A31">
        <w:rPr>
          <w:color w:val="0070C0"/>
          <w:sz w:val="16"/>
          <w:szCs w:val="16"/>
          <w:lang w:bidi="ru-RU"/>
        </w:rPr>
        <w:softHyphen/>
        <w:t>оружением самолета занимался А.В. Надашкевич (21062).</w:t>
      </w:r>
    </w:p>
    <w:p w14:paraId="3F42AF3D" w14:textId="77777777" w:rsidR="00A27028" w:rsidRPr="00507A31" w:rsidRDefault="00A27028" w:rsidP="00507A31">
      <w:pPr>
        <w:jc w:val="both"/>
        <w:rPr>
          <w:color w:val="0070C0"/>
          <w:sz w:val="16"/>
          <w:szCs w:val="16"/>
          <w:lang w:bidi="ru-RU"/>
        </w:rPr>
      </w:pPr>
    </w:p>
    <w:p w14:paraId="5674C88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93E100D" w14:textId="77777777" w:rsidR="00537E5F" w:rsidRPr="00507A31" w:rsidRDefault="00537E5F" w:rsidP="00507A31">
      <w:pPr>
        <w:autoSpaceDE w:val="0"/>
        <w:autoSpaceDN w:val="0"/>
        <w:adjustRightInd w:val="0"/>
        <w:jc w:val="both"/>
        <w:rPr>
          <w:iCs/>
          <w:color w:val="000000" w:themeColor="text1"/>
          <w:sz w:val="16"/>
          <w:szCs w:val="16"/>
        </w:rPr>
      </w:pPr>
    </w:p>
    <w:p w14:paraId="3CFAAC39" w14:textId="77777777" w:rsidR="002F77FA" w:rsidRPr="00507A31" w:rsidRDefault="002F77FA" w:rsidP="00507A31">
      <w:pPr>
        <w:jc w:val="both"/>
        <w:rPr>
          <w:color w:val="000000" w:themeColor="text1"/>
          <w:sz w:val="16"/>
          <w:szCs w:val="16"/>
        </w:rPr>
      </w:pPr>
      <w:r w:rsidRPr="00507A31">
        <w:rPr>
          <w:color w:val="000000" w:themeColor="text1"/>
          <w:sz w:val="16"/>
          <w:szCs w:val="16"/>
        </w:rPr>
        <w:t xml:space="preserve">24 августа в 1930 году взлетел первый экземпляр </w:t>
      </w:r>
      <w:hyperlink r:id="rId142" w:tgtFrame="_blank" w:history="1">
        <w:r w:rsidRPr="00507A31">
          <w:rPr>
            <w:color w:val="000000" w:themeColor="text1"/>
            <w:sz w:val="16"/>
            <w:szCs w:val="16"/>
          </w:rPr>
          <w:t xml:space="preserve">«Late 38.0», </w:t>
        </w:r>
      </w:hyperlink>
      <w:r w:rsidRPr="00507A31">
        <w:rPr>
          <w:color w:val="000000" w:themeColor="text1"/>
          <w:sz w:val="16"/>
          <w:szCs w:val="16"/>
        </w:rPr>
        <w:t>оснащенный двумя двигателями «Hispano-Suiza» «12Nbr» мощностью 650 л.с. «Late-38» - летающая лодка, разработанная французской фирмой «Societe Industrielle d'Aviation Latecoere». Министерство авиации Франции заказало фирме «Latecoere» изготовить новую летающую лодку дальнего действия в двух вариантах - гражданскую транспортную «Late 38.0» и военную разведывательную «Late 38.1».Через четыре года был выпущен «Late 38.1». Основные отличия военного варианта заключались в увеличенном вдвое экипаже, удлиненном фюзеляже с установленными на нем стрелковыми турелями с пулеметами «Darne» и узлами подвески для легких бомб. Всего было произведено два «Late 38.0» и три «Late 38.1» для Авиации ВМС Франции (14992).</w:t>
      </w:r>
    </w:p>
    <w:p w14:paraId="77ADD6F4" w14:textId="77777777" w:rsidR="002F77FA" w:rsidRPr="00507A31" w:rsidRDefault="002F77FA" w:rsidP="00507A31">
      <w:pPr>
        <w:jc w:val="both"/>
        <w:rPr>
          <w:color w:val="000000" w:themeColor="text1"/>
          <w:sz w:val="16"/>
          <w:szCs w:val="16"/>
        </w:rPr>
      </w:pPr>
    </w:p>
    <w:p w14:paraId="4EBCE8BB" w14:textId="77777777" w:rsidR="00A27028" w:rsidRPr="00507A31" w:rsidRDefault="00A27028" w:rsidP="00507A31">
      <w:pPr>
        <w:jc w:val="both"/>
        <w:rPr>
          <w:color w:val="0070C0"/>
          <w:sz w:val="16"/>
          <w:szCs w:val="16"/>
        </w:rPr>
      </w:pPr>
      <w:r w:rsidRPr="00507A31">
        <w:rPr>
          <w:color w:val="0070C0"/>
          <w:sz w:val="16"/>
          <w:szCs w:val="16"/>
        </w:rPr>
        <w:t>24 августа 1930 первый полет Latécoère 380 (20805).</w:t>
      </w:r>
    </w:p>
    <w:p w14:paraId="40393A6E" w14:textId="77777777" w:rsidR="00A27028" w:rsidRPr="00507A31" w:rsidRDefault="00A27028" w:rsidP="00507A31">
      <w:pPr>
        <w:jc w:val="both"/>
        <w:rPr>
          <w:color w:val="0070C0"/>
          <w:sz w:val="16"/>
          <w:szCs w:val="16"/>
        </w:rPr>
      </w:pPr>
    </w:p>
    <w:p w14:paraId="631C3D1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24 августа 1930 КПГ опубликовала Программу национального и социального освобождения немецкогг народа (3960, 328).</w:t>
      </w:r>
    </w:p>
    <w:p w14:paraId="4D6044F1"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0141A42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E42198B" w14:textId="77777777" w:rsidR="00537E5F" w:rsidRPr="00507A31" w:rsidRDefault="00537E5F" w:rsidP="00507A31">
      <w:pPr>
        <w:autoSpaceDE w:val="0"/>
        <w:autoSpaceDN w:val="0"/>
        <w:adjustRightInd w:val="0"/>
        <w:jc w:val="both"/>
        <w:rPr>
          <w:iCs/>
          <w:color w:val="000000" w:themeColor="text1"/>
          <w:sz w:val="16"/>
          <w:szCs w:val="16"/>
        </w:rPr>
      </w:pPr>
    </w:p>
    <w:p w14:paraId="58DAD2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августа 1930 состоялось заседание комиссии Я.Э.Рудзутака по гражданскому авиастроению. Утвердили производственную программу на 1930/1931 и 1931/1932</w:t>
      </w:r>
    </w:p>
    <w:p w14:paraId="5DDD5C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августа 1930 г. начальник 2-го отдела НИИ ВВС Волковойнов писал письмо N 344/1140с в 1 секцию НТК.</w:t>
      </w:r>
    </w:p>
    <w:p w14:paraId="102CA8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сем препровождается сводка результатов испытаний самолета П2 М6 N 2284.</w:t>
      </w:r>
    </w:p>
    <w:p w14:paraId="1C52FF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Цель работы</w:t>
      </w:r>
    </w:p>
    <w:p w14:paraId="373125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серийного самолета.</w:t>
      </w:r>
    </w:p>
    <w:p w14:paraId="73674A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Начало испытания - 18.07.1930 г.</w:t>
      </w:r>
    </w:p>
    <w:p w14:paraId="5CA2D8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Число дней испытания - 23</w:t>
      </w:r>
    </w:p>
    <w:p w14:paraId="6E5CC2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Число полетов - 29</w:t>
      </w:r>
    </w:p>
    <w:p w14:paraId="778F02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Летных дней - 13</w:t>
      </w:r>
    </w:p>
    <w:p w14:paraId="445A76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Конец испытания - 14.08.1930 г.</w:t>
      </w:r>
    </w:p>
    <w:p w14:paraId="5D72FA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1EF371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Как корпусной самолет П2 М6 применен быть не может так как вооружение и оборудование задней кабины снято из-за недопустимости центровки самолета превышающей 28%.</w:t>
      </w:r>
    </w:p>
    <w:p w14:paraId="7C44D3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Возможно применение как тренировочного в частях ВВС или в гражданской авиации при условии устранения недостатков (3278).</w:t>
      </w:r>
    </w:p>
    <w:p w14:paraId="7764061A" w14:textId="77777777" w:rsidR="00537E5F" w:rsidRPr="00507A31" w:rsidRDefault="00537E5F" w:rsidP="00507A31">
      <w:pPr>
        <w:autoSpaceDE w:val="0"/>
        <w:autoSpaceDN w:val="0"/>
        <w:adjustRightInd w:val="0"/>
        <w:jc w:val="both"/>
        <w:rPr>
          <w:color w:val="000000" w:themeColor="text1"/>
          <w:sz w:val="16"/>
          <w:szCs w:val="16"/>
        </w:rPr>
      </w:pPr>
    </w:p>
    <w:p w14:paraId="534B1C57" w14:textId="77777777" w:rsidR="00537E5F" w:rsidRPr="00507A31" w:rsidRDefault="00537E5F" w:rsidP="00507A31">
      <w:pPr>
        <w:autoSpaceDE w:val="0"/>
        <w:autoSpaceDN w:val="0"/>
        <w:adjustRightInd w:val="0"/>
        <w:jc w:val="both"/>
        <w:rPr>
          <w:iCs/>
          <w:color w:val="000000" w:themeColor="text1"/>
          <w:sz w:val="16"/>
          <w:szCs w:val="16"/>
        </w:rPr>
      </w:pPr>
      <w:r w:rsidRPr="00507A31">
        <w:rPr>
          <w:color w:val="000000" w:themeColor="text1"/>
          <w:sz w:val="16"/>
          <w:szCs w:val="16"/>
        </w:rPr>
        <w:t>25 августа 1930 г. А.С. Москалев подает в Комитет по делам изобретений ВСНХ Союза ССР заявку на изобретение «Аэроопылитель», представляющий собой бак, «могущий быть помещенным в крыло самолета». Схема аэроопылителя системы Москалева. 1930 г. Филиал РГАНТД Ф.Р-1 Оп.3-5 Д.2625 Л.5. Эксперты 1У секции Комитета, после рассмотрения описания, чертежа и всех относящихся к делу документов, не усмотрели признаков новизны и 22 ноября 1930 г. постановили в выдаче патента отказать</w:t>
      </w:r>
      <w:r w:rsidRPr="00507A31">
        <w:rPr>
          <w:iCs/>
          <w:color w:val="000000" w:themeColor="text1"/>
          <w:sz w:val="16"/>
          <w:szCs w:val="16"/>
        </w:rPr>
        <w:t xml:space="preserve">. </w:t>
      </w:r>
      <w:r w:rsidRPr="00507A31">
        <w:rPr>
          <w:color w:val="000000" w:themeColor="text1"/>
          <w:sz w:val="16"/>
          <w:szCs w:val="16"/>
        </w:rPr>
        <w:t>При этом эксперт Н.Н. Мячин отмечал, «что размещение баков и других грузов в крыльях общеизвестно (см. самолеты Юнкерса) (11707)</w:t>
      </w:r>
      <w:r w:rsidRPr="00507A31">
        <w:rPr>
          <w:iCs/>
          <w:color w:val="000000" w:themeColor="text1"/>
          <w:sz w:val="16"/>
          <w:szCs w:val="16"/>
        </w:rPr>
        <w:t>.</w:t>
      </w:r>
    </w:p>
    <w:p w14:paraId="038B0A0E" w14:textId="77777777" w:rsidR="00537E5F" w:rsidRPr="00507A31" w:rsidRDefault="00537E5F" w:rsidP="00507A31">
      <w:pPr>
        <w:autoSpaceDE w:val="0"/>
        <w:autoSpaceDN w:val="0"/>
        <w:adjustRightInd w:val="0"/>
        <w:jc w:val="both"/>
        <w:rPr>
          <w:color w:val="000000" w:themeColor="text1"/>
          <w:sz w:val="16"/>
          <w:szCs w:val="16"/>
        </w:rPr>
      </w:pPr>
    </w:p>
    <w:p w14:paraId="080D6367" w14:textId="77777777" w:rsidR="007171D9" w:rsidRPr="00507A31" w:rsidRDefault="007171D9" w:rsidP="00507A31">
      <w:pPr>
        <w:jc w:val="both"/>
        <w:rPr>
          <w:color w:val="000000" w:themeColor="text1"/>
          <w:sz w:val="16"/>
          <w:szCs w:val="16"/>
          <w:u w:color="002060"/>
        </w:rPr>
      </w:pPr>
      <w:r w:rsidRPr="00507A31">
        <w:rPr>
          <w:color w:val="000000" w:themeColor="text1"/>
          <w:sz w:val="16"/>
          <w:szCs w:val="16"/>
          <w:u w:color="002060"/>
        </w:rPr>
        <w:t>25 августа</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5. 21. О развитии гражданской авиации и формах ее связи с военной (ПБ от 20 июля 1930 г., пр. № 2, п. 44). Решения ПБ от 20 августа 1930 г. 9/17. О заказах военведа ВЭО (ПБ от 20 июля 1930 г., пр. № 2, п. 43). (Политбюро... Т. 2. С. 69, 70) (12416).</w:t>
      </w:r>
    </w:p>
    <w:p w14:paraId="04AB0F42" w14:textId="77777777" w:rsidR="007171D9" w:rsidRPr="00507A31" w:rsidRDefault="007171D9" w:rsidP="00507A31">
      <w:pPr>
        <w:jc w:val="both"/>
        <w:rPr>
          <w:color w:val="000000" w:themeColor="text1"/>
          <w:sz w:val="16"/>
          <w:szCs w:val="16"/>
          <w:u w:color="002060"/>
        </w:rPr>
      </w:pPr>
    </w:p>
    <w:p w14:paraId="338BCCB7" w14:textId="77777777" w:rsidR="00A27028" w:rsidRPr="00507A31" w:rsidRDefault="00A27028" w:rsidP="00507A31">
      <w:pPr>
        <w:jc w:val="both"/>
        <w:rPr>
          <w:color w:val="0070C0"/>
          <w:sz w:val="16"/>
          <w:szCs w:val="16"/>
        </w:rPr>
      </w:pPr>
      <w:r w:rsidRPr="00507A31">
        <w:rPr>
          <w:color w:val="0070C0"/>
          <w:sz w:val="16"/>
          <w:szCs w:val="16"/>
        </w:rPr>
        <w:t>25 августа 1930 состоялось заседание ПБ (Протокол № 5)</w:t>
      </w:r>
    </w:p>
    <w:p w14:paraId="15395369" w14:textId="77777777" w:rsidR="00A27028" w:rsidRPr="00507A31" w:rsidRDefault="00A27028" w:rsidP="00507A31">
      <w:pPr>
        <w:jc w:val="both"/>
        <w:rPr>
          <w:color w:val="0070C0"/>
          <w:sz w:val="16"/>
          <w:szCs w:val="16"/>
        </w:rPr>
      </w:pPr>
      <w:r w:rsidRPr="00507A31">
        <w:rPr>
          <w:color w:val="0070C0"/>
          <w:sz w:val="16"/>
          <w:szCs w:val="16"/>
        </w:rPr>
        <w:t>.- О перелетах,</w:t>
      </w:r>
    </w:p>
    <w:p w14:paraId="5341AF32" w14:textId="77777777" w:rsidR="00A27028" w:rsidRPr="00507A31" w:rsidRDefault="00A27028" w:rsidP="00507A31">
      <w:pPr>
        <w:jc w:val="both"/>
        <w:rPr>
          <w:color w:val="0070C0"/>
          <w:sz w:val="16"/>
          <w:szCs w:val="16"/>
        </w:rPr>
      </w:pPr>
      <w:r w:rsidRPr="00507A31">
        <w:rPr>
          <w:color w:val="0070C0"/>
          <w:sz w:val="16"/>
          <w:szCs w:val="16"/>
        </w:rPr>
        <w:lastRenderedPageBreak/>
        <w:t>(т.т. Уборевич, Рудзутак).</w:t>
      </w:r>
    </w:p>
    <w:p w14:paraId="19EAF904" w14:textId="77777777" w:rsidR="00A27028" w:rsidRPr="00507A31" w:rsidRDefault="00A27028" w:rsidP="00507A31">
      <w:pPr>
        <w:jc w:val="both"/>
        <w:rPr>
          <w:color w:val="0070C0"/>
          <w:sz w:val="16"/>
          <w:szCs w:val="16"/>
        </w:rPr>
      </w:pPr>
      <w:r w:rsidRPr="00507A31">
        <w:rPr>
          <w:color w:val="0070C0"/>
          <w:sz w:val="16"/>
          <w:szCs w:val="16"/>
        </w:rPr>
        <w:t>Разрешить НКМВ перелет в Турцию, Персию и Афганистан, с тем, чтобы он был организован за счет валютных ассигнован Наркомвоенмора.</w:t>
      </w:r>
    </w:p>
    <w:p w14:paraId="665FDED9" w14:textId="77777777" w:rsidR="00A27028" w:rsidRPr="00507A31" w:rsidRDefault="00A27028" w:rsidP="00507A31">
      <w:pPr>
        <w:jc w:val="both"/>
        <w:rPr>
          <w:color w:val="0070C0"/>
          <w:sz w:val="16"/>
          <w:szCs w:val="16"/>
        </w:rPr>
      </w:pPr>
      <w:r w:rsidRPr="00507A31">
        <w:rPr>
          <w:color w:val="0070C0"/>
          <w:sz w:val="16"/>
          <w:szCs w:val="16"/>
        </w:rPr>
        <w:t>Выписки посланы: т.т. Карахану, Рудзутаку, Уборевичу (23114).</w:t>
      </w:r>
    </w:p>
    <w:p w14:paraId="06F52738" w14:textId="77777777" w:rsidR="00A27028" w:rsidRPr="00507A31" w:rsidRDefault="00A27028" w:rsidP="00507A31">
      <w:pPr>
        <w:jc w:val="both"/>
        <w:rPr>
          <w:color w:val="0070C0"/>
          <w:sz w:val="16"/>
          <w:szCs w:val="16"/>
        </w:rPr>
      </w:pPr>
    </w:p>
    <w:p w14:paraId="31750A3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2163633" w14:textId="77777777" w:rsidR="00537E5F" w:rsidRPr="00507A31" w:rsidRDefault="00537E5F" w:rsidP="00507A31">
      <w:pPr>
        <w:autoSpaceDE w:val="0"/>
        <w:autoSpaceDN w:val="0"/>
        <w:adjustRightInd w:val="0"/>
        <w:jc w:val="both"/>
        <w:rPr>
          <w:iCs/>
          <w:color w:val="000000" w:themeColor="text1"/>
          <w:sz w:val="16"/>
          <w:szCs w:val="16"/>
        </w:rPr>
      </w:pPr>
    </w:p>
    <w:p w14:paraId="2CF93DEA" w14:textId="77777777" w:rsidR="00165992" w:rsidRPr="00507A31" w:rsidRDefault="00165992" w:rsidP="00507A31">
      <w:pPr>
        <w:jc w:val="both"/>
        <w:rPr>
          <w:color w:val="0070C0"/>
          <w:sz w:val="16"/>
          <w:szCs w:val="16"/>
        </w:rPr>
      </w:pPr>
      <w:r w:rsidRPr="00507A31">
        <w:rPr>
          <w:color w:val="0070C0"/>
          <w:sz w:val="16"/>
          <w:szCs w:val="16"/>
        </w:rPr>
        <w:t>25 августа 1930 г. Н. А. Ефимовым были утверждены основные требования на проектирование легкого, среднего и тяжелого минометов и ТТТ к ним.174 Ключевым требованием к проектированию минометов была простота и дешевизна изготовления, что позволяло наладить их массовое производство. В качестве конструктивнотехнической основы при их создании надлежало использовать трофейные минометы СтоксаБрандта и все имеющиеся материалы по ним, а также отечественный опыт на примере опытных образцов химических минометов (газоминометов) М. Г. Пименова и Н. И. Жуковского. Они высоко оценивались Н. А. Ефимовым, однако были далеки от законченного состояния и находились в стадии отработки на НИАПе. Конструкция мин к новым системам должна была позволять обеспечивать снаряжение как взрывчатыми, так и отравляющими и дымовыми веществами. Все минометы должны были быть гладкоствольными, допускалось заряжание с дула. В целях выбора оптимальной конструкции минометов и боеприпасов к ним указывалось на необходимость представления нескольких вариантов конструкций систем в части размещения боевого заряда - по типу Стокса и по типу отдельной каморы сгорания и мин - составная (сварная) и литая чугунная. Все системы должны были передвигаться на колесном ходу.175 Согласно утвержденным ТТТ к легкому, 76-мм миномету, система предназначалась для обеспечения непосредственной поддержки пехоты навесной стрельбой фугасными, химическими, дымовыми и осколочно-химическими минами с наибольшей дальностью до 3 000 м, наименьшей (под углом возвышения 30°) - не больше 400 м, со скорострельностью 15 выстрелов в минуту. Вес системы должен был составлять не более 130 кг. 155-мм (средний) миномет должен был обеспечивать разрушение построек, воздвигаемых по правилам полевой фортификации и поражение противника облаком отравляющего вещества (ОВ) высокой концентрации. Номенклатура мин к нему была аналогична ТТТ для 76-мм миномета. Предполагаемая наибольшая дальность стрельбы составляла 3000 м, наименьшая (под углом возвышения 30°) - не больше 500 м, скорострельность – 3 выстрела в минуту. Вес системы должен был составлять не более 400 кг. 203-мм (тяжелый) миномет должен был обеспечивать разрушение построек, воздвигаемых по правилам долговременной фортификации, фугасными минами весом 70-100 кг. Предполагаемая наибольшая дальность стрельбы составляла 3000 м, наименьшая (под углом возвышения 30°) - не больше 800 м, скорострельность – 1 выстрела в 1,5 минуты. Вес системы должен был составлять не более 800 кг.176 (20074).</w:t>
      </w:r>
    </w:p>
    <w:p w14:paraId="70C8F75F" w14:textId="77777777" w:rsidR="00165992" w:rsidRPr="00507A31" w:rsidRDefault="00165992" w:rsidP="00507A31">
      <w:pPr>
        <w:jc w:val="both"/>
        <w:rPr>
          <w:color w:val="0070C0"/>
          <w:sz w:val="16"/>
          <w:szCs w:val="16"/>
        </w:rPr>
      </w:pPr>
    </w:p>
    <w:p w14:paraId="592A2847" w14:textId="77777777" w:rsidR="007171D9" w:rsidRPr="00507A31" w:rsidRDefault="007171D9" w:rsidP="00507A31">
      <w:pPr>
        <w:jc w:val="both"/>
        <w:rPr>
          <w:color w:val="000000" w:themeColor="text1"/>
          <w:sz w:val="16"/>
          <w:szCs w:val="16"/>
        </w:rPr>
      </w:pPr>
      <w:r w:rsidRPr="00507A31">
        <w:rPr>
          <w:rStyle w:val="a7"/>
          <w:b w:val="0"/>
          <w:color w:val="000000" w:themeColor="text1"/>
          <w:sz w:val="16"/>
          <w:szCs w:val="16"/>
        </w:rPr>
        <w:t xml:space="preserve">25 августа 1930 </w:t>
      </w:r>
      <w:r w:rsidRPr="00507A31">
        <w:rPr>
          <w:color w:val="000000" w:themeColor="text1"/>
          <w:sz w:val="16"/>
          <w:szCs w:val="16"/>
        </w:rPr>
        <w:t>Политбюро ЦК ВКП (б) предложило Всехимпрому, ВСНХ и Наркомтруду обеспечить строительство Березниковского химического комбината чертежами, оборудованием и рабочей силой; одобрило программу заводов «Красный путиловец» и Сталинградского по тракторостроению на 1930/31 г. в размере 30 тыс. н 35,5 тыс. тракторов соответственно (12265).</w:t>
      </w:r>
    </w:p>
    <w:p w14:paraId="41581F68" w14:textId="77777777" w:rsidR="007171D9" w:rsidRPr="00507A31" w:rsidRDefault="007171D9" w:rsidP="00507A31">
      <w:pPr>
        <w:jc w:val="both"/>
        <w:rPr>
          <w:color w:val="000000" w:themeColor="text1"/>
          <w:sz w:val="16"/>
          <w:szCs w:val="16"/>
        </w:rPr>
      </w:pPr>
      <w:r w:rsidRPr="00507A31">
        <w:rPr>
          <w:color w:val="000000" w:themeColor="text1"/>
          <w:sz w:val="16"/>
          <w:szCs w:val="16"/>
        </w:rPr>
        <w:t> </w:t>
      </w:r>
    </w:p>
    <w:p w14:paraId="6CB9BD08" w14:textId="77777777" w:rsidR="00533EE8" w:rsidRPr="00507A31" w:rsidRDefault="00533EE8" w:rsidP="00507A31">
      <w:pPr>
        <w:jc w:val="both"/>
        <w:rPr>
          <w:color w:val="000000" w:themeColor="text1"/>
          <w:sz w:val="16"/>
          <w:szCs w:val="16"/>
        </w:rPr>
      </w:pPr>
      <w:r w:rsidRPr="00507A31">
        <w:rPr>
          <w:color w:val="000000" w:themeColor="text1"/>
          <w:sz w:val="16"/>
          <w:szCs w:val="16"/>
        </w:rPr>
        <w:t>25 августа 1930</w:t>
      </w:r>
    </w:p>
    <w:p w14:paraId="2C95DD75" w14:textId="77777777" w:rsidR="00533EE8" w:rsidRPr="00507A31" w:rsidRDefault="00533EE8" w:rsidP="00507A31">
      <w:pPr>
        <w:jc w:val="both"/>
        <w:rPr>
          <w:color w:val="000000" w:themeColor="text1"/>
          <w:sz w:val="16"/>
          <w:szCs w:val="16"/>
        </w:rPr>
      </w:pPr>
      <w:r w:rsidRPr="00507A31">
        <w:rPr>
          <w:color w:val="000000" w:themeColor="text1"/>
          <w:sz w:val="16"/>
          <w:szCs w:val="16"/>
        </w:rPr>
        <w:t>п. 9: О строительстве Березниковского комбината</w:t>
      </w:r>
    </w:p>
    <w:p w14:paraId="0C5DAD98" w14:textId="77777777" w:rsidR="00533EE8" w:rsidRPr="00507A31" w:rsidRDefault="00533EE8" w:rsidP="00507A31">
      <w:pPr>
        <w:jc w:val="both"/>
        <w:rPr>
          <w:color w:val="000000" w:themeColor="text1"/>
          <w:sz w:val="16"/>
          <w:szCs w:val="16"/>
        </w:rPr>
      </w:pPr>
      <w:r w:rsidRPr="00507A31">
        <w:rPr>
          <w:color w:val="000000" w:themeColor="text1"/>
          <w:sz w:val="16"/>
          <w:szCs w:val="16"/>
        </w:rPr>
        <w:t>(Гольцман, Акулов, Куйбышев, Норкин ,Цихон ,Юревич, Дейч).</w:t>
      </w:r>
    </w:p>
    <w:p w14:paraId="00D95CC4" w14:textId="77777777" w:rsidR="00533EE8" w:rsidRPr="00507A31" w:rsidRDefault="00533EE8" w:rsidP="00507A31">
      <w:pPr>
        <w:jc w:val="both"/>
        <w:rPr>
          <w:color w:val="000000" w:themeColor="text1"/>
          <w:sz w:val="16"/>
          <w:szCs w:val="16"/>
        </w:rPr>
      </w:pPr>
      <w:r w:rsidRPr="00507A31">
        <w:rPr>
          <w:color w:val="000000" w:themeColor="text1"/>
          <w:sz w:val="16"/>
          <w:szCs w:val="16"/>
        </w:rPr>
        <w:t>а) Обязать Всехимпром:</w:t>
      </w:r>
    </w:p>
    <w:p w14:paraId="2DC875B0" w14:textId="77777777" w:rsidR="00533EE8" w:rsidRPr="00507A31" w:rsidRDefault="00533EE8" w:rsidP="00507A31">
      <w:pPr>
        <w:jc w:val="both"/>
        <w:rPr>
          <w:color w:val="000000" w:themeColor="text1"/>
          <w:sz w:val="16"/>
          <w:szCs w:val="16"/>
        </w:rPr>
      </w:pPr>
      <w:r w:rsidRPr="00507A31">
        <w:rPr>
          <w:color w:val="000000" w:themeColor="text1"/>
          <w:sz w:val="16"/>
          <w:szCs w:val="16"/>
        </w:rPr>
        <w:t>1) Отправить в 10</w:t>
      </w:r>
      <w:r w:rsidRPr="00507A31">
        <w:rPr>
          <w:color w:val="000000" w:themeColor="text1"/>
          <w:sz w:val="16"/>
          <w:szCs w:val="16"/>
        </w:rPr>
        <w:noBreakHyphen/>
        <w:t>ти дневный срок на место строительства Березниковского Химкомбината чертежи, необходимые для сооружения хранилища для аммиака. В отношении остальных чертежей, необходимых для своевременного пуска Березниковского Химкомбината, поручить РКИ проверить заявление Всехимпрома о том, что все указанные чертежи уже имеются на месте строительства.</w:t>
      </w:r>
    </w:p>
    <w:p w14:paraId="7E57BA66" w14:textId="77777777" w:rsidR="00533EE8" w:rsidRPr="00507A31" w:rsidRDefault="00533EE8" w:rsidP="00507A31">
      <w:pPr>
        <w:jc w:val="both"/>
        <w:rPr>
          <w:color w:val="000000" w:themeColor="text1"/>
          <w:sz w:val="16"/>
          <w:szCs w:val="16"/>
        </w:rPr>
      </w:pPr>
      <w:r w:rsidRPr="00507A31">
        <w:rPr>
          <w:color w:val="000000" w:themeColor="text1"/>
          <w:sz w:val="16"/>
          <w:szCs w:val="16"/>
        </w:rPr>
        <w:t>2) Выслать на строительство техническую экспертизу для проверки вопроса о состоянии фундамента завода полуводяного газа.</w:t>
      </w:r>
    </w:p>
    <w:p w14:paraId="0696E21E" w14:textId="77777777" w:rsidR="00533EE8" w:rsidRPr="00507A31" w:rsidRDefault="00533EE8" w:rsidP="00507A31">
      <w:pPr>
        <w:jc w:val="both"/>
        <w:rPr>
          <w:color w:val="000000" w:themeColor="text1"/>
          <w:sz w:val="16"/>
          <w:szCs w:val="16"/>
        </w:rPr>
      </w:pPr>
      <w:r w:rsidRPr="00507A31">
        <w:rPr>
          <w:color w:val="000000" w:themeColor="text1"/>
          <w:sz w:val="16"/>
          <w:szCs w:val="16"/>
        </w:rPr>
        <w:t>3) Сдать Машинообъединению все недостающие спецификации заказов с точно установленными сроками изготовления оборудования в течение 15</w:t>
      </w:r>
      <w:r w:rsidRPr="00507A31">
        <w:rPr>
          <w:color w:val="000000" w:themeColor="text1"/>
          <w:sz w:val="16"/>
          <w:szCs w:val="16"/>
        </w:rPr>
        <w:noBreakHyphen/>
        <w:t>ти дней.</w:t>
      </w:r>
    </w:p>
    <w:p w14:paraId="656D48ED" w14:textId="77777777" w:rsidR="00533EE8" w:rsidRPr="00507A31" w:rsidRDefault="00533EE8" w:rsidP="00507A31">
      <w:pPr>
        <w:jc w:val="both"/>
        <w:rPr>
          <w:color w:val="000000" w:themeColor="text1"/>
          <w:sz w:val="16"/>
          <w:szCs w:val="16"/>
        </w:rPr>
      </w:pPr>
      <w:r w:rsidRPr="00507A31">
        <w:rPr>
          <w:color w:val="000000" w:themeColor="text1"/>
          <w:sz w:val="16"/>
          <w:szCs w:val="16"/>
        </w:rPr>
        <w:t>б) Обязать Машинообъединение, ВЭО и НКПС разместить заказы на оборудование для Березниковского Химкомбината в 10</w:t>
      </w:r>
      <w:r w:rsidRPr="00507A31">
        <w:rPr>
          <w:color w:val="000000" w:themeColor="text1"/>
          <w:sz w:val="16"/>
          <w:szCs w:val="16"/>
        </w:rPr>
        <w:noBreakHyphen/>
        <w:t>ти дневный срок после получения заказа. Обязать президиум ВСНХ установить сроки для выполнения этих заказов, обеспечивающие своевременное окончание строительства. ВСНХ и НКПС доложить СТО об исполнении не позднее 5.IX.30 г.</w:t>
      </w:r>
    </w:p>
    <w:p w14:paraId="2C93967F" w14:textId="77777777" w:rsidR="00533EE8" w:rsidRPr="00507A31" w:rsidRDefault="00533EE8" w:rsidP="00507A31">
      <w:pPr>
        <w:jc w:val="both"/>
        <w:rPr>
          <w:color w:val="000000" w:themeColor="text1"/>
          <w:sz w:val="16"/>
          <w:szCs w:val="16"/>
        </w:rPr>
      </w:pPr>
      <w:r w:rsidRPr="00507A31">
        <w:rPr>
          <w:color w:val="000000" w:themeColor="text1"/>
          <w:sz w:val="16"/>
          <w:szCs w:val="16"/>
        </w:rPr>
        <w:t>в) Обязать Наркомтруд послать на строительство недостающих 24 инженера и техника, Срок — 15</w:t>
      </w:r>
      <w:r w:rsidRPr="00507A31">
        <w:rPr>
          <w:color w:val="000000" w:themeColor="text1"/>
          <w:sz w:val="16"/>
          <w:szCs w:val="16"/>
        </w:rPr>
        <w:noBreakHyphen/>
        <w:t>ти дневный. Использовать для этой цели часть инженерно-технического персонала Всехимпрома.</w:t>
      </w:r>
    </w:p>
    <w:p w14:paraId="35015D48" w14:textId="77777777" w:rsidR="00533EE8" w:rsidRPr="00507A31" w:rsidRDefault="00533EE8" w:rsidP="00507A31">
      <w:pPr>
        <w:jc w:val="both"/>
        <w:rPr>
          <w:color w:val="000000" w:themeColor="text1"/>
          <w:sz w:val="16"/>
          <w:szCs w:val="16"/>
        </w:rPr>
      </w:pPr>
      <w:r w:rsidRPr="00507A31">
        <w:rPr>
          <w:color w:val="000000" w:themeColor="text1"/>
          <w:sz w:val="16"/>
          <w:szCs w:val="16"/>
        </w:rPr>
        <w:t>г) Предложить РКИ представить в Политбюро проект практических мероприятий для решительного сокращения аппарата служащих во всей системе Всехимпрома.</w:t>
      </w:r>
    </w:p>
    <w:p w14:paraId="10645027" w14:textId="77777777" w:rsidR="00533EE8" w:rsidRPr="00507A31" w:rsidRDefault="00533EE8" w:rsidP="00507A31">
      <w:pPr>
        <w:jc w:val="both"/>
        <w:rPr>
          <w:color w:val="000000" w:themeColor="text1"/>
          <w:sz w:val="16"/>
          <w:szCs w:val="16"/>
        </w:rPr>
      </w:pPr>
      <w:r w:rsidRPr="00507A31">
        <w:rPr>
          <w:color w:val="000000" w:themeColor="text1"/>
          <w:sz w:val="16"/>
          <w:szCs w:val="16"/>
        </w:rPr>
        <w:t>д) Передать материалы РКИ о состоянии строительства на Березниках в Наркомюст, предложив ему выяснить, имеются ли достаточные основания для привлечения к судебной ответственности, и доложить Политбюро 5.IX.30 г.</w:t>
      </w:r>
    </w:p>
    <w:p w14:paraId="73639619" w14:textId="77777777" w:rsidR="00533EE8" w:rsidRPr="00507A31" w:rsidRDefault="00533EE8" w:rsidP="00507A31">
      <w:pPr>
        <w:jc w:val="both"/>
        <w:rPr>
          <w:color w:val="000000" w:themeColor="text1"/>
          <w:sz w:val="16"/>
          <w:szCs w:val="16"/>
        </w:rPr>
      </w:pPr>
      <w:r w:rsidRPr="00507A31">
        <w:rPr>
          <w:color w:val="000000" w:themeColor="text1"/>
          <w:sz w:val="16"/>
          <w:szCs w:val="16"/>
        </w:rPr>
        <w:t>е) Обязать президиум ВСНХ заслушивать ежемесячно доклады о состоянии Березниковского строительства.</w:t>
      </w:r>
    </w:p>
    <w:p w14:paraId="4E82242F" w14:textId="77777777" w:rsidR="00533EE8" w:rsidRPr="00507A31" w:rsidRDefault="00533EE8" w:rsidP="00507A31">
      <w:pPr>
        <w:jc w:val="both"/>
        <w:rPr>
          <w:color w:val="000000" w:themeColor="text1"/>
          <w:sz w:val="16"/>
          <w:szCs w:val="16"/>
        </w:rPr>
      </w:pPr>
      <w:r w:rsidRPr="00507A31">
        <w:rPr>
          <w:color w:val="000000" w:themeColor="text1"/>
          <w:sz w:val="16"/>
          <w:szCs w:val="16"/>
        </w:rPr>
        <w:t>ж) Считая ненормальным, что в настоящий период наибольшего развертывания строительства и утверждения строительных планов будущего года имеются такие факты, как наличие в Всехимпроме только трех фактически работающих членов правления из 13</w:t>
      </w:r>
      <w:r w:rsidRPr="00507A31">
        <w:rPr>
          <w:color w:val="000000" w:themeColor="text1"/>
          <w:sz w:val="16"/>
          <w:szCs w:val="16"/>
        </w:rPr>
        <w:noBreakHyphen/>
        <w:t>ти, (а остальные в отпусках или командировках), поручить президиуму ВСКХ принять все необходимые меры как в отношении Всехимпрома, так и других объединений и вернуть из отпусков руководящих работников основных хозяйственных объединений, особенно необходимых для работы.</w:t>
      </w:r>
    </w:p>
    <w:p w14:paraId="71B2F683" w14:textId="77777777" w:rsidR="00533EE8" w:rsidRPr="00507A31" w:rsidRDefault="00533EE8" w:rsidP="00507A31">
      <w:pPr>
        <w:jc w:val="both"/>
        <w:rPr>
          <w:color w:val="000000" w:themeColor="text1"/>
          <w:sz w:val="16"/>
          <w:szCs w:val="16"/>
        </w:rPr>
      </w:pPr>
      <w:r w:rsidRPr="00507A31">
        <w:rPr>
          <w:color w:val="000000" w:themeColor="text1"/>
          <w:sz w:val="16"/>
          <w:szCs w:val="16"/>
        </w:rPr>
        <w:t>п. 10: О тракторостроении на Сталинградском и Путиловском заводах</w:t>
      </w:r>
    </w:p>
    <w:p w14:paraId="79A7FED1" w14:textId="77777777" w:rsidR="00533EE8" w:rsidRPr="00507A31" w:rsidRDefault="00533EE8" w:rsidP="00507A31">
      <w:pPr>
        <w:jc w:val="both"/>
        <w:rPr>
          <w:color w:val="000000" w:themeColor="text1"/>
          <w:sz w:val="16"/>
          <w:szCs w:val="16"/>
        </w:rPr>
      </w:pPr>
      <w:r w:rsidRPr="00507A31">
        <w:rPr>
          <w:color w:val="000000" w:themeColor="text1"/>
          <w:sz w:val="16"/>
          <w:szCs w:val="16"/>
        </w:rPr>
        <w:t>(Куйбышев, Акулов, Шеболдаев, Осинский, Чудов, Грачев, Иванов, Дейч).</w:t>
      </w:r>
    </w:p>
    <w:p w14:paraId="3CE78240" w14:textId="77777777" w:rsidR="00533EE8" w:rsidRPr="00507A31" w:rsidRDefault="00533EE8" w:rsidP="00507A31">
      <w:pPr>
        <w:jc w:val="both"/>
        <w:rPr>
          <w:color w:val="000000" w:themeColor="text1"/>
          <w:sz w:val="16"/>
          <w:szCs w:val="16"/>
        </w:rPr>
      </w:pPr>
      <w:r w:rsidRPr="00507A31">
        <w:rPr>
          <w:color w:val="000000" w:themeColor="text1"/>
          <w:sz w:val="16"/>
          <w:szCs w:val="16"/>
        </w:rPr>
        <w:t>а) Считать безусловно обязательным для “Красного Путиловца” и Сталинградского тракторного завода выполнение их производственных программ на 1930/31 г., а именно — 35.500 тракторов для Сталинградского и 30.000 (включая запасные части) для Путиловского заводов.</w:t>
      </w:r>
    </w:p>
    <w:p w14:paraId="187CA180" w14:textId="77777777" w:rsidR="00533EE8" w:rsidRPr="00507A31" w:rsidRDefault="00533EE8" w:rsidP="00507A31">
      <w:pPr>
        <w:jc w:val="both"/>
        <w:rPr>
          <w:color w:val="000000" w:themeColor="text1"/>
          <w:sz w:val="16"/>
          <w:szCs w:val="16"/>
        </w:rPr>
      </w:pPr>
      <w:r w:rsidRPr="00507A31">
        <w:rPr>
          <w:color w:val="000000" w:themeColor="text1"/>
          <w:sz w:val="16"/>
          <w:szCs w:val="16"/>
        </w:rPr>
        <w:t>б) Считать обязательным выполнение Сталинградским и Путиловским заводами в течение 1930/31 г. той части программы 1929/30 г., которая останется недовыполненной к октябрю 1930 г.</w:t>
      </w:r>
    </w:p>
    <w:p w14:paraId="004C7396" w14:textId="77777777" w:rsidR="00533EE8" w:rsidRPr="00507A31" w:rsidRDefault="00533EE8" w:rsidP="00507A31">
      <w:pPr>
        <w:jc w:val="both"/>
        <w:rPr>
          <w:color w:val="000000" w:themeColor="text1"/>
          <w:sz w:val="16"/>
          <w:szCs w:val="16"/>
        </w:rPr>
      </w:pPr>
      <w:r w:rsidRPr="00507A31">
        <w:rPr>
          <w:color w:val="000000" w:themeColor="text1"/>
          <w:sz w:val="16"/>
          <w:szCs w:val="16"/>
        </w:rPr>
        <w:t>в) Для обсуждения практических мер по выполнению этого решения создать комиссию в составе т.т. Рыкова, Куйбышева, Михайлова, Осинского, Грачева, Иванова, Хинчука и Булата. Доклад комиссии в Политбюро — 5.IX.30 г.</w:t>
      </w:r>
    </w:p>
    <w:p w14:paraId="0FFAEAEE" w14:textId="77777777" w:rsidR="00533EE8" w:rsidRPr="00507A31" w:rsidRDefault="00533EE8" w:rsidP="00507A31">
      <w:pPr>
        <w:jc w:val="both"/>
        <w:rPr>
          <w:color w:val="000000" w:themeColor="text1"/>
          <w:sz w:val="16"/>
          <w:szCs w:val="16"/>
        </w:rPr>
      </w:pPr>
      <w:r w:rsidRPr="00507A31">
        <w:rPr>
          <w:color w:val="000000" w:themeColor="text1"/>
          <w:sz w:val="16"/>
          <w:szCs w:val="16"/>
        </w:rPr>
        <w:t>Созыв комиссии за т. Рыковым (18331).</w:t>
      </w:r>
    </w:p>
    <w:p w14:paraId="28137119" w14:textId="77777777" w:rsidR="00533EE8" w:rsidRPr="00507A31" w:rsidRDefault="00533EE8" w:rsidP="00507A31">
      <w:pPr>
        <w:jc w:val="both"/>
        <w:rPr>
          <w:color w:val="000000" w:themeColor="text1"/>
          <w:sz w:val="16"/>
          <w:szCs w:val="16"/>
        </w:rPr>
      </w:pPr>
    </w:p>
    <w:p w14:paraId="0CE69C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августа 1930 года Политбюро ЦК ВКП(б) заслушав сообщение об использовании показаний вредителей из Промпартии по линии интервенции признало необходимым немедленно предать суду контрреволюционный объединенный центр, поставив на суде центральным вопросом показание вредителей о подготовке интервенции. Была создана комиссия в составе Литвинова, Ворошилова, Сталина, Менжинского и Крыленко для просмотра в кратчайший срок показаний «вредителей интервенции» с целью опубликования в печати (11248).</w:t>
      </w:r>
    </w:p>
    <w:p w14:paraId="0612F87F" w14:textId="77777777" w:rsidR="00537E5F" w:rsidRPr="00507A31" w:rsidRDefault="00537E5F" w:rsidP="00507A31">
      <w:pPr>
        <w:autoSpaceDE w:val="0"/>
        <w:autoSpaceDN w:val="0"/>
        <w:adjustRightInd w:val="0"/>
        <w:jc w:val="both"/>
        <w:rPr>
          <w:color w:val="000000" w:themeColor="text1"/>
          <w:sz w:val="16"/>
          <w:szCs w:val="16"/>
        </w:rPr>
      </w:pPr>
    </w:p>
    <w:p w14:paraId="20D3E23A" w14:textId="77777777" w:rsidR="002F77FA"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B9A867C" w14:textId="77777777" w:rsidR="002F77FA" w:rsidRPr="00507A31" w:rsidRDefault="002F77FA" w:rsidP="00507A31">
      <w:pPr>
        <w:autoSpaceDE w:val="0"/>
        <w:autoSpaceDN w:val="0"/>
        <w:adjustRightInd w:val="0"/>
        <w:jc w:val="both"/>
        <w:rPr>
          <w:iCs/>
          <w:color w:val="000000" w:themeColor="text1"/>
          <w:sz w:val="16"/>
          <w:szCs w:val="16"/>
        </w:rPr>
      </w:pPr>
    </w:p>
    <w:p w14:paraId="722644D2" w14:textId="77777777" w:rsidR="002F77FA" w:rsidRPr="00507A31" w:rsidRDefault="002F77FA" w:rsidP="00507A31">
      <w:pPr>
        <w:jc w:val="both"/>
        <w:rPr>
          <w:color w:val="000000" w:themeColor="text1"/>
          <w:sz w:val="16"/>
          <w:szCs w:val="16"/>
        </w:rPr>
      </w:pPr>
      <w:r w:rsidRPr="00507A31">
        <w:rPr>
          <w:color w:val="000000" w:themeColor="text1"/>
          <w:sz w:val="16"/>
          <w:szCs w:val="16"/>
        </w:rPr>
        <w:t>25 августа в 1930 году экспедиция полярников на ледокольном пароходе «Георгий Седов» открыла западные берега Северной Земли. 15 июля 1930 года из Архангельска на Землю Франца-Иосифа и Новую Землю на ледокольном пароходе «Георгий Седов» вышла первая советская высокоширотная экспедиция по исследованию Карского моря. Перед экспедицией под руководством О.Ю.Шмидта и В.Ю.Визе ставились задачи по географическому и гидрометеорологическому изучению высокоширотных районов Карского моря. Кроме того, она должна была сменить состав зимовщиков на острове Гукера (Земля Франца-Иосифа), достичь западного берега Северной Земли и организовать там новую полярную станцию. В конце июля, пробившись через 90-мильный ледовый пояс, «Георгий Седов» (капитан В.И.Воронин) подошел к острову Гукера. Часть экспедиции занялась строительными работами, остальные обследовали близлежащие острова. В середине августа после бункеровки «Седов» отправился дальше на северо-восток в неизученные районы Северного Ледовитого океана. Впервые была исследована северная часть Карского моря, открыты острова Визе, Исаченко, Воронина, Шмидта, архипелаг Седова (к западу от Северной Земли). На острове Домашний экспедицией была построена новая полярная станция, где в течение двух лет четверо зимовщиков во главе с Г.А.Ушаковым вели исследования Северной Земли. Основные работы экспедиции были выполнены, но исследователи решили до конца использовать благоприятную ледовую обстановку. «Георгий Седов» дошел почти до 81 градуса северной широты, но дальнейший путь был закрыт, и судно повернуло на юг. 14 сентября оно благополучно прибыло в Архангельск. Проделав путь около 10 тысяч километров, экспедиция выполнила обширную программу комплексных научных наблюдений. Через три года на базе работ группы Г.А.Ушакова была составлена полная карта Северной Земли (14993).</w:t>
      </w:r>
    </w:p>
    <w:p w14:paraId="412B1D35" w14:textId="77777777" w:rsidR="002F77FA" w:rsidRPr="00507A31" w:rsidRDefault="002F77FA" w:rsidP="00507A31">
      <w:pPr>
        <w:jc w:val="both"/>
        <w:rPr>
          <w:color w:val="000000" w:themeColor="text1"/>
          <w:sz w:val="16"/>
          <w:szCs w:val="16"/>
        </w:rPr>
      </w:pPr>
    </w:p>
    <w:p w14:paraId="2E0C49E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87BFFFB" w14:textId="77777777" w:rsidR="00537E5F" w:rsidRPr="00507A31" w:rsidRDefault="00537E5F" w:rsidP="00507A31">
      <w:pPr>
        <w:autoSpaceDE w:val="0"/>
        <w:autoSpaceDN w:val="0"/>
        <w:adjustRightInd w:val="0"/>
        <w:jc w:val="both"/>
        <w:rPr>
          <w:iCs/>
          <w:color w:val="000000" w:themeColor="text1"/>
          <w:sz w:val="16"/>
          <w:szCs w:val="16"/>
        </w:rPr>
      </w:pPr>
    </w:p>
    <w:p w14:paraId="15B50938" w14:textId="77777777" w:rsidR="00A27028" w:rsidRPr="00507A31" w:rsidRDefault="00A27028" w:rsidP="00507A31">
      <w:pPr>
        <w:jc w:val="both"/>
        <w:rPr>
          <w:color w:val="0070C0"/>
          <w:sz w:val="16"/>
          <w:szCs w:val="16"/>
        </w:rPr>
      </w:pPr>
      <w:r w:rsidRPr="00507A31">
        <w:rPr>
          <w:color w:val="0070C0"/>
          <w:sz w:val="16"/>
          <w:szCs w:val="16"/>
        </w:rPr>
        <w:t>25 августа 1930 Эдди Август Шнайдер устанавливает юниорский трансконтинентальный рекорд скорости полета. Он летит из Вестфилда, штат Нью-Джерси (20805).</w:t>
      </w:r>
    </w:p>
    <w:p w14:paraId="5D2F6523" w14:textId="77777777" w:rsidR="00A27028" w:rsidRPr="00507A31" w:rsidRDefault="00A27028" w:rsidP="00507A31">
      <w:pPr>
        <w:jc w:val="both"/>
        <w:rPr>
          <w:color w:val="0070C0"/>
          <w:sz w:val="16"/>
          <w:szCs w:val="16"/>
        </w:rPr>
      </w:pPr>
    </w:p>
    <w:p w14:paraId="7E47C79A" w14:textId="77777777" w:rsidR="00A27028" w:rsidRPr="00507A31" w:rsidRDefault="00A27028" w:rsidP="00507A31">
      <w:pPr>
        <w:jc w:val="both"/>
        <w:rPr>
          <w:color w:val="0070C0"/>
          <w:sz w:val="16"/>
          <w:szCs w:val="16"/>
        </w:rPr>
      </w:pPr>
      <w:r w:rsidRPr="00507A31">
        <w:rPr>
          <w:color w:val="0070C0"/>
          <w:sz w:val="16"/>
          <w:szCs w:val="16"/>
        </w:rPr>
        <w:lastRenderedPageBreak/>
        <w:t>25 августа 1930 - Взлетел первый экземпляр Late 38.0, оснащённый двумя двигателями Hispano-Suiza 12Nbr мощностью 650 л.с. Late-38 - летающая лодка, разработанная французской фирмой Societe Industrielle d'Aviation Latecoere. Министерство авиации Франции заказало фирме Latecoere изготовить новую летающую лодку дальнего действия в двух вариантах - гражданскую транспортную Late 38.0 и военную разведывательную Late 38.1.Через четыре года был выпущен Late 38.1. Основные отличия военного варианта заключались в увеличенном вдвое экипаже, удлиненном фюзеляже с установленными на нём стрелковыми турелями с пулемётами Darne и узлами подвески для лёгких бомб. Всего было произведено два Late 38.0 и три Late 38.1 для Авиации ВМС Франции (22388).</w:t>
      </w:r>
    </w:p>
    <w:p w14:paraId="22C1619F" w14:textId="77777777" w:rsidR="00A27028" w:rsidRPr="00507A31" w:rsidRDefault="00A27028" w:rsidP="00507A31">
      <w:pPr>
        <w:jc w:val="both"/>
        <w:rPr>
          <w:color w:val="0070C0"/>
          <w:sz w:val="16"/>
          <w:szCs w:val="16"/>
        </w:rPr>
      </w:pPr>
    </w:p>
    <w:p w14:paraId="38180A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августа 1930 вследствие массовых волнений в Польше, организованных центристскими и левыми силами, Ю.Пилсудский сформировал новое правительство, 30 августа распустил Парламент и в сентябре арестовал 70 членов оппозиции (3907,162):</w:t>
      </w:r>
    </w:p>
    <w:p w14:paraId="0D5B047F" w14:textId="77777777" w:rsidR="00537E5F" w:rsidRPr="00507A31" w:rsidRDefault="00537E5F" w:rsidP="00507A31">
      <w:pPr>
        <w:autoSpaceDE w:val="0"/>
        <w:autoSpaceDN w:val="0"/>
        <w:adjustRightInd w:val="0"/>
        <w:jc w:val="both"/>
        <w:rPr>
          <w:color w:val="000000" w:themeColor="text1"/>
          <w:sz w:val="16"/>
          <w:szCs w:val="16"/>
        </w:rPr>
      </w:pPr>
    </w:p>
    <w:p w14:paraId="77C834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25 августа 1930 </w:t>
      </w:r>
      <w:r w:rsidR="002F77FA" w:rsidRPr="00507A31">
        <w:rPr>
          <w:color w:val="000000" w:themeColor="text1"/>
          <w:sz w:val="16"/>
          <w:szCs w:val="16"/>
        </w:rPr>
        <w:t>в</w:t>
      </w:r>
      <w:r w:rsidRPr="00507A31">
        <w:rPr>
          <w:color w:val="000000" w:themeColor="text1"/>
          <w:sz w:val="16"/>
          <w:szCs w:val="16"/>
        </w:rPr>
        <w:t>следствие массовых волнений в Польше, организованных центристскими и левыми силами новое правительство формирует Юзеф Пилсудский (30 августа распущен парламент; в сентябре 70 членов оппозиции арестованы и приговорены к тюремному заключению) (7451).</w:t>
      </w:r>
    </w:p>
    <w:p w14:paraId="5683E3F2" w14:textId="77777777" w:rsidR="00537E5F" w:rsidRPr="00507A31" w:rsidRDefault="00537E5F" w:rsidP="00507A31">
      <w:pPr>
        <w:autoSpaceDE w:val="0"/>
        <w:autoSpaceDN w:val="0"/>
        <w:adjustRightInd w:val="0"/>
        <w:jc w:val="both"/>
        <w:rPr>
          <w:color w:val="000000" w:themeColor="text1"/>
          <w:sz w:val="16"/>
          <w:szCs w:val="16"/>
        </w:rPr>
      </w:pPr>
    </w:p>
    <w:p w14:paraId="1CCCA9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августа 1930 в Перу в результате восстания одного из гарнизонов к власти пришла военная хунта и 27 августа руководитель восстания стал президентом (3907,162).</w:t>
      </w:r>
    </w:p>
    <w:p w14:paraId="72985D92" w14:textId="77777777" w:rsidR="00537E5F" w:rsidRPr="00507A31" w:rsidRDefault="00537E5F" w:rsidP="00507A31">
      <w:pPr>
        <w:autoSpaceDE w:val="0"/>
        <w:autoSpaceDN w:val="0"/>
        <w:adjustRightInd w:val="0"/>
        <w:jc w:val="both"/>
        <w:rPr>
          <w:color w:val="000000" w:themeColor="text1"/>
          <w:sz w:val="16"/>
          <w:szCs w:val="16"/>
        </w:rPr>
      </w:pPr>
    </w:p>
    <w:p w14:paraId="5A4AA6CB" w14:textId="77777777" w:rsidR="007171D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CEDA437" w14:textId="77777777" w:rsidR="007171D9" w:rsidRPr="00507A31" w:rsidRDefault="007171D9" w:rsidP="00507A31">
      <w:pPr>
        <w:autoSpaceDE w:val="0"/>
        <w:autoSpaceDN w:val="0"/>
        <w:adjustRightInd w:val="0"/>
        <w:jc w:val="both"/>
        <w:rPr>
          <w:iCs/>
          <w:color w:val="000000" w:themeColor="text1"/>
          <w:sz w:val="16"/>
          <w:szCs w:val="16"/>
        </w:rPr>
      </w:pPr>
    </w:p>
    <w:p w14:paraId="43C1D674" w14:textId="77777777" w:rsidR="007171D9" w:rsidRPr="00507A31" w:rsidRDefault="007171D9" w:rsidP="00507A31">
      <w:pPr>
        <w:pStyle w:val="rtejustify"/>
        <w:spacing w:before="0" w:after="0"/>
        <w:rPr>
          <w:color w:val="000000" w:themeColor="text1"/>
          <w:sz w:val="16"/>
          <w:szCs w:val="16"/>
        </w:rPr>
      </w:pPr>
      <w:r w:rsidRPr="00507A31">
        <w:rPr>
          <w:rStyle w:val="af0"/>
          <w:i w:val="0"/>
          <w:color w:val="000000" w:themeColor="text1"/>
          <w:sz w:val="16"/>
          <w:szCs w:val="16"/>
        </w:rPr>
        <w:t>26 августа 1930 г. Протокол Реввоенсовета № 18.</w:t>
      </w:r>
      <w:r w:rsidRPr="00507A31">
        <w:rPr>
          <w:color w:val="000000" w:themeColor="text1"/>
          <w:sz w:val="16"/>
          <w:szCs w:val="16"/>
        </w:rPr>
        <w:t xml:space="preserve"> 1. а) О ходе работ по модернизации артиллерийского вооружения; б) о ходе работ по осуществлению системы артиллерийского вооружения; в) о взрывателе РГ</w:t>
      </w:r>
      <w:r w:rsidRPr="00507A31">
        <w:rPr>
          <w:color w:val="000000" w:themeColor="text1"/>
          <w:sz w:val="16"/>
          <w:szCs w:val="16"/>
        </w:rPr>
        <w:noBreakHyphen/>
        <w:t>6. (Роговский). 6. О специализации заводов гражданской промышленности по артиллерийским заказам. (Ефимов). 8. О принятии на вооружение самолета И</w:t>
      </w:r>
      <w:r w:rsidRPr="00507A31">
        <w:rPr>
          <w:color w:val="000000" w:themeColor="text1"/>
          <w:sz w:val="16"/>
          <w:szCs w:val="16"/>
        </w:rPr>
        <w:noBreakHyphen/>
        <w:t>5. (Волковойнов). 9. Об утверждении председателем РВСС постановлений РВСС: г) о хранении ядовито-дымных шашек малого размера. (Фишман); з) о введении на вооружение дымовой шашки малого размера. (Фишман). (РГВА. Ф. 4. Оп. 18. Д. 19. Л. 305</w:t>
      </w:r>
      <w:r w:rsidRPr="00507A31">
        <w:rPr>
          <w:color w:val="000000" w:themeColor="text1"/>
          <w:sz w:val="16"/>
          <w:szCs w:val="16"/>
        </w:rPr>
        <w:noBreakHyphen/>
        <w:t>307, 310</w:t>
      </w:r>
      <w:r w:rsidRPr="00507A31">
        <w:rPr>
          <w:color w:val="000000" w:themeColor="text1"/>
          <w:sz w:val="16"/>
          <w:szCs w:val="16"/>
        </w:rPr>
        <w:noBreakHyphen/>
        <w:t>312) (12342).</w:t>
      </w:r>
    </w:p>
    <w:p w14:paraId="7E4CFF5F" w14:textId="77777777" w:rsidR="007171D9" w:rsidRPr="00507A31" w:rsidRDefault="007171D9" w:rsidP="00507A31">
      <w:pPr>
        <w:pStyle w:val="rtejustify"/>
        <w:spacing w:before="0" w:after="0"/>
        <w:rPr>
          <w:color w:val="000000" w:themeColor="text1"/>
          <w:sz w:val="16"/>
          <w:szCs w:val="16"/>
        </w:rPr>
      </w:pPr>
    </w:p>
    <w:p w14:paraId="6AEDDA8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1E5EA3A" w14:textId="77777777" w:rsidR="00537E5F" w:rsidRPr="00507A31" w:rsidRDefault="00537E5F" w:rsidP="00507A31">
      <w:pPr>
        <w:autoSpaceDE w:val="0"/>
        <w:autoSpaceDN w:val="0"/>
        <w:adjustRightInd w:val="0"/>
        <w:jc w:val="both"/>
        <w:rPr>
          <w:iCs/>
          <w:color w:val="000000" w:themeColor="text1"/>
          <w:sz w:val="16"/>
          <w:szCs w:val="16"/>
        </w:rPr>
      </w:pPr>
    </w:p>
    <w:p w14:paraId="2C5783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27 августа по 8 октября 1930 г. проходил полигонные испытания лафет Соколова - вариант № 3 (шарнирно сгибающийся лафет). Расчетная длина отката - 600 мм, а фактическая на испытаниях 625-628 мм (5746, 44).</w:t>
      </w:r>
    </w:p>
    <w:p w14:paraId="346CA7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повороте боевой оси угол возвышения возрастал с 31 ° до 38°30' на колесах, поставленных на землю, и до 44°50' с колесами на эксцентриках. При повороте оси высота линии огня увеличивалась с 1200 мм до 1450 мм, что затрудняло работу наводчика (5746, 44)</w:t>
      </w:r>
    </w:p>
    <w:p w14:paraId="476F91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27 августа по 8 октября 1930 г. проходил полигонные испытания лафет 76-мм пушки Соколова вариант № 3 (шарнирно сгибающийся лафет). Расчетная длина отката 600 мм, а фактическая на испытаниях 625-628 мм. При повороте боевой оси угол возвышения возрастал с 31 до 38.30 на колесах, поставленных на землю, и до 44-50 с колесами на эксцентриках. При повороте оси высота линии огня увеличивалась с 1200 мм до 1450 мм, что затрудняло работу наводчика. Завод № 7 представил не менее трех образцов модернизированных 3 76-мм пушек обр. 1902 г., отличавшихся некоторыми деталями. Все образцы были спроектированы под руководством Соколова. Система Соколова имела дульный тормоз. Противооткатные устройства были взяты от системы ОАТ. Конструктивной особенностью лафета Соколова был ломающийся (на шарнирах) станок лафета, позволяющий увеличить угол возвышения без коренной переделки лафета, что неизбежно было в системах ОАТ и ПОЗ ( Пермский орудийный завод). Кроме того, в системе Соколова применялись эксцентрики, хотя система могла вести огонь и без них. Вес системы Соколова: без эксцентриков 1210 кг, с эксцентриками 1258 кг. Система Соколова в различных положениях имела разные углы возвышения, причем максимальный угол получался в положении с перевернутой осью и лафетом в изломанном положении: Угол ВН без эксцентриков +38; Угол ВН с эксцентриками +45 (3861).</w:t>
      </w:r>
    </w:p>
    <w:p w14:paraId="1E3E6BD2" w14:textId="77777777" w:rsidR="00537E5F" w:rsidRPr="00507A31" w:rsidRDefault="00537E5F" w:rsidP="00507A31">
      <w:pPr>
        <w:autoSpaceDE w:val="0"/>
        <w:autoSpaceDN w:val="0"/>
        <w:adjustRightInd w:val="0"/>
        <w:jc w:val="both"/>
        <w:rPr>
          <w:color w:val="000000" w:themeColor="text1"/>
          <w:sz w:val="16"/>
          <w:szCs w:val="16"/>
        </w:rPr>
      </w:pPr>
    </w:p>
    <w:p w14:paraId="5BBB23A4" w14:textId="77777777" w:rsidR="00BD1D4A"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55327F1" w14:textId="77777777" w:rsidR="00BD1D4A" w:rsidRPr="00507A31" w:rsidRDefault="00BD1D4A" w:rsidP="00507A31">
      <w:pPr>
        <w:autoSpaceDE w:val="0"/>
        <w:autoSpaceDN w:val="0"/>
        <w:adjustRightInd w:val="0"/>
        <w:jc w:val="both"/>
        <w:rPr>
          <w:iCs/>
          <w:color w:val="000000" w:themeColor="text1"/>
          <w:sz w:val="16"/>
          <w:szCs w:val="16"/>
        </w:rPr>
      </w:pPr>
    </w:p>
    <w:p w14:paraId="52300877" w14:textId="77777777" w:rsidR="00BD1D4A" w:rsidRPr="00507A31" w:rsidRDefault="00BD1D4A" w:rsidP="00507A31">
      <w:pPr>
        <w:jc w:val="both"/>
        <w:rPr>
          <w:color w:val="000000" w:themeColor="text1"/>
          <w:sz w:val="16"/>
          <w:szCs w:val="16"/>
        </w:rPr>
      </w:pPr>
      <w:r w:rsidRPr="00507A31">
        <w:rPr>
          <w:bCs/>
          <w:color w:val="000000" w:themeColor="text1"/>
          <w:sz w:val="16"/>
          <w:szCs w:val="16"/>
        </w:rPr>
        <w:t xml:space="preserve">28 августа </w:t>
      </w:r>
      <w:r w:rsidRPr="00507A31">
        <w:rPr>
          <w:color w:val="000000" w:themeColor="text1"/>
          <w:sz w:val="16"/>
          <w:szCs w:val="16"/>
        </w:rPr>
        <w:t>в 1930 году первая дозаправка в воздухе на самолётах «Р-1» (14752).</w:t>
      </w:r>
    </w:p>
    <w:p w14:paraId="17C194C0" w14:textId="77777777" w:rsidR="00BD1D4A" w:rsidRPr="00507A31" w:rsidRDefault="00BD1D4A" w:rsidP="00507A31">
      <w:pPr>
        <w:jc w:val="both"/>
        <w:rPr>
          <w:color w:val="000000" w:themeColor="text1"/>
          <w:sz w:val="16"/>
          <w:szCs w:val="16"/>
        </w:rPr>
      </w:pPr>
    </w:p>
    <w:p w14:paraId="78744338" w14:textId="77777777" w:rsidR="00BD1D4A" w:rsidRPr="00507A31" w:rsidRDefault="00BD1D4A" w:rsidP="00507A31">
      <w:pPr>
        <w:jc w:val="both"/>
        <w:rPr>
          <w:color w:val="000000" w:themeColor="text1"/>
          <w:sz w:val="16"/>
          <w:szCs w:val="16"/>
        </w:rPr>
      </w:pPr>
      <w:r w:rsidRPr="00507A31">
        <w:rPr>
          <w:bCs/>
          <w:color w:val="000000" w:themeColor="text1"/>
          <w:sz w:val="16"/>
          <w:szCs w:val="16"/>
        </w:rPr>
        <w:t>28 августа 1930 года</w:t>
      </w:r>
      <w:r w:rsidRPr="00507A31">
        <w:rPr>
          <w:color w:val="000000" w:themeColor="text1"/>
          <w:sz w:val="16"/>
          <w:szCs w:val="16"/>
        </w:rPr>
        <w:t xml:space="preserve"> Первая дозаправка (перелив горючего) в воздухе на самолётах Р-1.</w:t>
      </w:r>
    </w:p>
    <w:p w14:paraId="1F43A166" w14:textId="77777777" w:rsidR="00BD1D4A" w:rsidRPr="00507A31" w:rsidRDefault="00BD1D4A" w:rsidP="00507A31">
      <w:pPr>
        <w:jc w:val="both"/>
        <w:rPr>
          <w:color w:val="000000" w:themeColor="text1"/>
          <w:sz w:val="16"/>
          <w:szCs w:val="16"/>
        </w:rPr>
      </w:pPr>
      <w:r w:rsidRPr="00507A31">
        <w:rPr>
          <w:color w:val="000000" w:themeColor="text1"/>
          <w:sz w:val="16"/>
          <w:szCs w:val="16"/>
        </w:rPr>
        <w:t>Николай Николаевич Поликарпов в 1918 году возглавил авиационный завод Duks в Москве (впоследствии ГАЗ-1). После производства 20 самолетов de Havilland D.H.4 с двигателями Fiat завод построил 130 экземпляров D.H.9 с двигателями Armstrong-Siddeley Puma и более 100 самолетов D.H.9 с трофейными двигателями Mercedes-Benz. Самолет Поликарпов Р-1 как модификация модели D.H.9A с двигателем М-5 мощностью 295 кВт (400 л.с.) появился в 1923 году. Он стал первым советским серийным самолетом и производился до 1931 года. Всего построено 2800 экземпляров. На Р-1 и Р-2 в 1924, 1925, 1926 годах совершен ряд дальних перелётов (14752).</w:t>
      </w:r>
    </w:p>
    <w:p w14:paraId="009388D2" w14:textId="77777777" w:rsidR="00BD1D4A" w:rsidRPr="00507A31" w:rsidRDefault="00BD1D4A" w:rsidP="00507A31">
      <w:pPr>
        <w:jc w:val="both"/>
        <w:rPr>
          <w:color w:val="000000" w:themeColor="text1"/>
          <w:sz w:val="16"/>
          <w:szCs w:val="16"/>
        </w:rPr>
      </w:pPr>
    </w:p>
    <w:p w14:paraId="176200DC" w14:textId="77777777" w:rsidR="00165992" w:rsidRPr="00507A31" w:rsidRDefault="00165992" w:rsidP="00507A31">
      <w:pPr>
        <w:jc w:val="both"/>
        <w:rPr>
          <w:color w:val="0070C0"/>
          <w:sz w:val="16"/>
          <w:szCs w:val="16"/>
        </w:rPr>
      </w:pPr>
      <w:r w:rsidRPr="00507A31">
        <w:rPr>
          <w:color w:val="0070C0"/>
          <w:sz w:val="16"/>
          <w:szCs w:val="16"/>
        </w:rPr>
        <w:t>28 августа 1930 Тухачевский доложил в Сочи предложения по авиационным заказам на оставшиеся годы пятилетки. Он просил Сталина и Ворошилова предусмотреть необходимые ассигнования п создать особое управление (а еще лучше - наркомат) авиационной промышленности (22725).</w:t>
      </w:r>
    </w:p>
    <w:p w14:paraId="25C7BC7C" w14:textId="77777777" w:rsidR="00165992" w:rsidRPr="00507A31" w:rsidRDefault="00165992" w:rsidP="00507A31">
      <w:pPr>
        <w:jc w:val="both"/>
        <w:rPr>
          <w:color w:val="0070C0"/>
          <w:sz w:val="16"/>
          <w:szCs w:val="16"/>
        </w:rPr>
      </w:pPr>
    </w:p>
    <w:p w14:paraId="36F48DB2" w14:textId="77777777" w:rsidR="00BD1D4A"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EECC25A" w14:textId="77777777" w:rsidR="00BD1D4A" w:rsidRPr="00507A31" w:rsidRDefault="00BD1D4A" w:rsidP="00507A31">
      <w:pPr>
        <w:autoSpaceDE w:val="0"/>
        <w:autoSpaceDN w:val="0"/>
        <w:adjustRightInd w:val="0"/>
        <w:jc w:val="both"/>
        <w:rPr>
          <w:iCs/>
          <w:color w:val="000000" w:themeColor="text1"/>
          <w:sz w:val="16"/>
          <w:szCs w:val="16"/>
        </w:rPr>
      </w:pPr>
    </w:p>
    <w:p w14:paraId="3BE8D016" w14:textId="77777777" w:rsidR="007171D9" w:rsidRPr="00507A31" w:rsidRDefault="007171D9" w:rsidP="00507A31">
      <w:pPr>
        <w:autoSpaceDE w:val="0"/>
        <w:autoSpaceDN w:val="0"/>
        <w:adjustRightInd w:val="0"/>
        <w:jc w:val="both"/>
        <w:rPr>
          <w:color w:val="000000" w:themeColor="text1"/>
          <w:sz w:val="16"/>
          <w:szCs w:val="16"/>
        </w:rPr>
      </w:pPr>
      <w:r w:rsidRPr="00507A31">
        <w:rPr>
          <w:color w:val="000000" w:themeColor="text1"/>
          <w:sz w:val="16"/>
          <w:szCs w:val="16"/>
        </w:rPr>
        <w:t>28 августа 1930 г. было утверждено Положение об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согласно которому оно занималось разработкой и внедрением «изобретений и новых конструкций военного характера в области авиации, телемеханики, радиосвязи и вооружения ВМС». 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 (11982).</w:t>
      </w:r>
    </w:p>
    <w:p w14:paraId="6D83AA37" w14:textId="77777777" w:rsidR="007171D9" w:rsidRPr="00507A31" w:rsidRDefault="007171D9" w:rsidP="00507A31">
      <w:pPr>
        <w:autoSpaceDE w:val="0"/>
        <w:autoSpaceDN w:val="0"/>
        <w:adjustRightInd w:val="0"/>
        <w:jc w:val="both"/>
        <w:rPr>
          <w:color w:val="000000" w:themeColor="text1"/>
          <w:sz w:val="16"/>
          <w:szCs w:val="16"/>
        </w:rPr>
      </w:pPr>
    </w:p>
    <w:p w14:paraId="47C56ADD" w14:textId="77777777" w:rsidR="00165992" w:rsidRPr="00507A31" w:rsidRDefault="00165992" w:rsidP="00507A31">
      <w:pPr>
        <w:jc w:val="both"/>
        <w:rPr>
          <w:color w:val="0070C0"/>
          <w:sz w:val="16"/>
          <w:szCs w:val="16"/>
        </w:rPr>
      </w:pPr>
      <w:r w:rsidRPr="00507A31">
        <w:rPr>
          <w:color w:val="0070C0"/>
          <w:sz w:val="16"/>
          <w:szCs w:val="16"/>
        </w:rPr>
        <w:t>28 августа 1930 г. заместитель наркома по военным и морским делам и заместитель председателя РВС СССР И.П. Уборевич подписал приказ №0015 о передаче Остехбюро в подчинение Наркомата по военным и морским делам и о введении в действие «Положения об Остехбюро НКВМ». Положение об Остехбюро подписал начальник штаба РККА Б.М. Шапошников. Начальником Остехбюро НКВМ назначен В.И. Бекаури (22288).</w:t>
      </w:r>
    </w:p>
    <w:p w14:paraId="7BA18283" w14:textId="77777777" w:rsidR="00165992" w:rsidRPr="00507A31" w:rsidRDefault="00165992" w:rsidP="00507A31">
      <w:pPr>
        <w:jc w:val="both"/>
        <w:rPr>
          <w:color w:val="0070C0"/>
          <w:sz w:val="16"/>
          <w:szCs w:val="16"/>
        </w:rPr>
      </w:pPr>
    </w:p>
    <w:p w14:paraId="6F25F218" w14:textId="77777777" w:rsidR="007171D9" w:rsidRPr="00507A31" w:rsidRDefault="007171D9" w:rsidP="00507A31">
      <w:pPr>
        <w:pStyle w:val="rtejustify"/>
        <w:spacing w:before="0" w:after="0"/>
        <w:rPr>
          <w:color w:val="000000" w:themeColor="text1"/>
          <w:sz w:val="16"/>
          <w:szCs w:val="16"/>
        </w:rPr>
      </w:pPr>
      <w:r w:rsidRPr="00507A31">
        <w:rPr>
          <w:color w:val="000000" w:themeColor="text1"/>
          <w:sz w:val="16"/>
          <w:szCs w:val="16"/>
        </w:rPr>
        <w:t>28 августа 1930 г. Приказом Реввоенсовета от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 СССР, а в части исполнения опытных партий оружия и спецзаказов — правами производственного предприятия. В его структуре прибавилось еще два отдела, таким образом, первый отдел занимался разработкой механизмов, приспособлений и приборов управления кораблями; второй — торпедостроением; третий — минным вооружением; четвертый — авиационным вооружением; пятый (физико-электротехнический отдел) — радиосвязью и телемеханикой. Правительством рассматривался вопрос о переводе Остехбюро в Москву. К 1930 г. в Москве уже была создана научно-производственная база и организованы первые лаборатории. В 1931</w:t>
      </w:r>
      <w:r w:rsidRPr="00507A31">
        <w:rPr>
          <w:color w:val="000000" w:themeColor="text1"/>
          <w:sz w:val="16"/>
          <w:szCs w:val="16"/>
        </w:rPr>
        <w:noBreakHyphen/>
        <w:t>1935 гг. научные лаборатории и ведущие специалисты из Ленинграда с выполняемыми ими разработками были переданы Московскому отделению. В начале 30</w:t>
      </w:r>
      <w:r w:rsidRPr="00507A31">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 Р</w:t>
      </w:r>
      <w:r w:rsidRPr="00507A31">
        <w:rPr>
          <w:color w:val="000000" w:themeColor="text1"/>
          <w:sz w:val="16"/>
          <w:szCs w:val="16"/>
        </w:rPr>
        <w:noBreakHyphen/>
        <w:t>303. Оп. 2. Д. 85. Л. 29</w:t>
      </w:r>
      <w:r w:rsidRPr="00507A31">
        <w:rPr>
          <w:color w:val="000000" w:themeColor="text1"/>
          <w:sz w:val="16"/>
          <w:szCs w:val="16"/>
        </w:rPr>
        <w:noBreakHyphen/>
        <w:t>30).</w:t>
      </w:r>
    </w:p>
    <w:p w14:paraId="1DC57523" w14:textId="77777777" w:rsidR="007171D9" w:rsidRPr="00507A31" w:rsidRDefault="007171D9" w:rsidP="00507A31">
      <w:pPr>
        <w:pStyle w:val="rtejustify"/>
        <w:spacing w:before="0" w:after="0"/>
        <w:rPr>
          <w:color w:val="000000" w:themeColor="text1"/>
          <w:sz w:val="16"/>
          <w:szCs w:val="16"/>
        </w:rPr>
      </w:pPr>
      <w:r w:rsidRPr="00507A31">
        <w:rPr>
          <w:color w:val="000000" w:themeColor="text1"/>
          <w:sz w:val="16"/>
          <w:szCs w:val="16"/>
        </w:rPr>
        <w:t>Упомянутое в документе постановление составителями не обнаружено. Тем не менее постановлениями РЗ СТО в начале 1928 г. деятельность Остехбюро была оценена дважды. 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 (12391).</w:t>
      </w:r>
    </w:p>
    <w:p w14:paraId="3B2B8147" w14:textId="77777777" w:rsidR="007171D9" w:rsidRPr="00507A31" w:rsidRDefault="007171D9" w:rsidP="00507A31">
      <w:pPr>
        <w:pStyle w:val="rtejustify"/>
        <w:spacing w:before="0" w:after="0"/>
        <w:rPr>
          <w:color w:val="000000" w:themeColor="text1"/>
          <w:sz w:val="16"/>
          <w:szCs w:val="16"/>
        </w:rPr>
      </w:pPr>
    </w:p>
    <w:p w14:paraId="0F0B582A" w14:textId="77777777" w:rsidR="00D37A1E" w:rsidRPr="00507A31" w:rsidRDefault="00D37A1E" w:rsidP="00507A31">
      <w:pPr>
        <w:jc w:val="both"/>
        <w:rPr>
          <w:color w:val="000000" w:themeColor="text1"/>
          <w:sz w:val="16"/>
          <w:szCs w:val="16"/>
        </w:rPr>
      </w:pPr>
      <w:r w:rsidRPr="00507A31">
        <w:rPr>
          <w:color w:val="000000" w:themeColor="text1"/>
          <w:sz w:val="16"/>
          <w:szCs w:val="16"/>
        </w:rPr>
        <w:t xml:space="preserve">28 августа 1930 г. Приказом Реввоенсовета СССР бюро Бекаури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w:t>
      </w:r>
      <w:r w:rsidRPr="00507A31">
        <w:rPr>
          <w:color w:val="000000" w:themeColor="text1"/>
          <w:sz w:val="16"/>
          <w:szCs w:val="16"/>
        </w:rPr>
        <w:lastRenderedPageBreak/>
        <w:t>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 марта 1937 г. постановлением СТО СССР № 6Зсс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507A31">
        <w:rPr>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507A31">
        <w:rPr>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507A31">
        <w:rPr>
          <w:color w:val="000000" w:themeColor="text1"/>
          <w:sz w:val="16"/>
          <w:szCs w:val="16"/>
        </w:rPr>
        <w:noBreakHyphen/>
        <w:t>8418. Оп. 28. Д. 6. Л. 150</w:t>
      </w:r>
      <w:r w:rsidRPr="00507A31">
        <w:rPr>
          <w:color w:val="000000" w:themeColor="text1"/>
          <w:sz w:val="16"/>
          <w:szCs w:val="16"/>
        </w:rPr>
        <w:noBreakHyphen/>
        <w:t>152) (17775).</w:t>
      </w:r>
    </w:p>
    <w:p w14:paraId="4141EECB" w14:textId="77777777" w:rsidR="00D37A1E" w:rsidRPr="00507A31" w:rsidRDefault="00D37A1E" w:rsidP="00507A31">
      <w:pPr>
        <w:pStyle w:val="ae"/>
        <w:shd w:val="clear" w:color="auto" w:fill="FFFFFF"/>
        <w:spacing w:before="0" w:after="0"/>
        <w:jc w:val="both"/>
        <w:rPr>
          <w:color w:val="000000" w:themeColor="text1"/>
          <w:sz w:val="16"/>
          <w:szCs w:val="16"/>
        </w:rPr>
      </w:pPr>
    </w:p>
    <w:p w14:paraId="1972A9AE" w14:textId="77777777" w:rsidR="00533EE8" w:rsidRPr="00507A31" w:rsidRDefault="00533EE8" w:rsidP="00507A31">
      <w:pPr>
        <w:jc w:val="both"/>
        <w:rPr>
          <w:color w:val="000000" w:themeColor="text1"/>
          <w:sz w:val="16"/>
          <w:szCs w:val="16"/>
        </w:rPr>
      </w:pPr>
      <w:r w:rsidRPr="00507A31">
        <w:rPr>
          <w:color w:val="000000" w:themeColor="text1"/>
          <w:sz w:val="16"/>
          <w:szCs w:val="16"/>
        </w:rPr>
        <w:t>28 августа 1930 г. заместитель наркома по военным и морским делам и заместитель председателя РВС СССР И.П. Уборевич подписал приказ №0015 о передаче Остехбюро в подчинение Наркомата по военным и морским делам и о введении в действие «Положения об Остехбюро НКВМ». Положение об Остехбюро подписал начальник штаба РККА Б.М. Шапошников. Начальником Остехбюро НКВМ назначен В.И. Бекаури (18667).</w:t>
      </w:r>
    </w:p>
    <w:p w14:paraId="5EE43A12" w14:textId="77777777" w:rsidR="00533EE8" w:rsidRPr="00507A31" w:rsidRDefault="00533EE8" w:rsidP="00507A31">
      <w:pPr>
        <w:jc w:val="both"/>
        <w:rPr>
          <w:color w:val="000000" w:themeColor="text1"/>
          <w:sz w:val="16"/>
          <w:szCs w:val="16"/>
        </w:rPr>
      </w:pPr>
    </w:p>
    <w:p w14:paraId="7494B7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августа 1930 был подписан договор между Государственным Орудийно-Оружейно-Пулеметным Объединением и ООТ "Бюро для технических работ и изучений" (БЮТАСТ) - подставной конторы Рейнметалла - на поставку в СССР шести артсистем: 37 мм противотанковой, 152 мм миномета, 152 мм гаубицы, 76 мм зенитной пушки, 20 мм автоматической зенитной пушки (стала у нас 2-К обр. 1930), 37 мм автоматической зенитной пушки. Мы заплатили $1125000. В СССР в это время работало и германское артиллерийское КБ-2 (1116,42).</w:t>
      </w:r>
    </w:p>
    <w:p w14:paraId="085B3513" w14:textId="77777777" w:rsidR="00537E5F" w:rsidRPr="00507A31" w:rsidRDefault="00537E5F" w:rsidP="00507A31">
      <w:pPr>
        <w:autoSpaceDE w:val="0"/>
        <w:autoSpaceDN w:val="0"/>
        <w:adjustRightInd w:val="0"/>
        <w:jc w:val="both"/>
        <w:rPr>
          <w:color w:val="000000" w:themeColor="text1"/>
          <w:sz w:val="16"/>
          <w:szCs w:val="16"/>
        </w:rPr>
      </w:pPr>
    </w:p>
    <w:p w14:paraId="2E0FBD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августа 1930 года было подписано соглашение с обществом "БЮТАСТ" (подставная контора фирмы "Рейнметалл") о поставке в СССР артиллерийской техники и документации, в том числе рабочих чертежей 15,2-см тяжелой полевой гаубицы. На момент подписания соглашения фирма "Рейнметалл" не имела опытного образца системы. В СССР гаубица получила наименование "152-мм гаубица обр. 1931 г.", хотя ее часто называли 152-мм гаубица "Н" или 152-мм гаубица "НГ" (немецкая гаубица). Производство гаубицы было поручено МЗМ (Мотовилихинскому механическому заводу) (3861).</w:t>
      </w:r>
    </w:p>
    <w:p w14:paraId="2CD4301B" w14:textId="77777777" w:rsidR="00537E5F" w:rsidRPr="00507A31" w:rsidRDefault="00537E5F" w:rsidP="00507A31">
      <w:pPr>
        <w:autoSpaceDE w:val="0"/>
        <w:autoSpaceDN w:val="0"/>
        <w:adjustRightInd w:val="0"/>
        <w:jc w:val="both"/>
        <w:rPr>
          <w:color w:val="000000" w:themeColor="text1"/>
          <w:sz w:val="16"/>
          <w:szCs w:val="16"/>
        </w:rPr>
      </w:pPr>
    </w:p>
    <w:p w14:paraId="63463E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августа 1930 года был заключен договор с германской фирмой "Бютаст" (подставной конторой фирмы "Рейнметалл") на поставку в СССР шести опытных образцов артсистем и технологической документации к ним. Среди этих систем была и 37-мм противотанковая пушка, принятая на вооружение РККА 13.02.1931 г. под названием "37-мм противотанковая пушка обр. 1930 года" (3861).</w:t>
      </w:r>
    </w:p>
    <w:p w14:paraId="18E6BA4B" w14:textId="77777777" w:rsidR="00537E5F" w:rsidRPr="00507A31" w:rsidRDefault="00537E5F" w:rsidP="00507A31">
      <w:pPr>
        <w:autoSpaceDE w:val="0"/>
        <w:autoSpaceDN w:val="0"/>
        <w:adjustRightInd w:val="0"/>
        <w:jc w:val="both"/>
        <w:rPr>
          <w:color w:val="000000" w:themeColor="text1"/>
          <w:sz w:val="16"/>
          <w:szCs w:val="16"/>
        </w:rPr>
      </w:pPr>
    </w:p>
    <w:p w14:paraId="66859B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августа 1930 года был заключен договор с фирмой "Бютаст" (подставной конторой фирмы "Рейнметалл") и немцы должны были поставить восемь 15,2-см мортир фирмы "Рейнметалл" и помочь организовать их производство в СССР. В СССР мортира была принята на вооружение под наименованием "152-мм мортира обр. 1931 г.". В документах 1931-1935 годов она называлась мортира "Н" или "НМ" (НМ немецкая мортира). Позже в виде опыта решено было делать ствол на 65 мм длиннее, что себя оправдало, и серийные мортиры МЗМ (Мотовилихинский завод машиностроения) выпускал с удлиненным стволом (1350 + 65 = 1415 мм) (3861).</w:t>
      </w:r>
    </w:p>
    <w:p w14:paraId="2EA95A34" w14:textId="77777777" w:rsidR="00537E5F" w:rsidRPr="00507A31" w:rsidRDefault="00537E5F" w:rsidP="00507A31">
      <w:pPr>
        <w:autoSpaceDE w:val="0"/>
        <w:autoSpaceDN w:val="0"/>
        <w:adjustRightInd w:val="0"/>
        <w:jc w:val="both"/>
        <w:rPr>
          <w:color w:val="000000" w:themeColor="text1"/>
          <w:sz w:val="16"/>
          <w:szCs w:val="16"/>
        </w:rPr>
      </w:pPr>
    </w:p>
    <w:p w14:paraId="31F645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августа 1930 года был подписан договор между Государственным Орудийно-Оружейно-Пулеметным Объединением и Обществом с ограниченной ответственностью "Бюро для технических работ и изучений" (БЮТАСТ) на поставку в СССР технологической документации и опытных образцов шести артсистем. Знатоки германского оружия нахмурят лоб - что это еще за фирма? Действительно, физически такой фирмы не было, это была подставная контора фирмы "Рейнметалл". В договоре, подписанном 28 августа 1930 года, было сказано, что советская сторона выплатит фирме 1.125.000 американских долларов. Немцы обещали не разглашать никаких сведений о советских заводах, а советская сторона - никому не передавать технологических секретов фирмы. Согласно договору немцы поставили в СССР всю документацию на 2-см зенитную пушку, два образца пушки и одну запасную качающуюся часть. Цена 2-см пушки "Рейнметалл" - 24 000 германских марок. Для сравнения, в 1933 году заводу № 8 за один автомат 2-К платили 18 250 рублей. Фирма "Рейнметалл" предлагала установить 2-см пушку на мотоцикл. Вес мотоцикла с двумя солдатами и 300 патронами должен был быть около 775 кг. По договору от 28.08.1930 г. фирма "Рейнметалл" поставила только документацию и ряд полуфабрикатов на 3,7-см зенитную пушку, так как опытный образец еще не было до конца отработан фирмой. Устройство автомата аналогично 3,7-см Flak 18. Лафет трехстанинный со съемным двухколесным ходом. Бронепробиваемость снаряда 37-мм автоматической зенитной пушки обр. 1930 г. была одинакова с 37-мм противотанковой пушкой обр. 1930 г.(1-К) (3861).</w:t>
      </w:r>
    </w:p>
    <w:p w14:paraId="4FC3B420" w14:textId="77777777" w:rsidR="00537E5F" w:rsidRPr="00507A31" w:rsidRDefault="00537E5F" w:rsidP="00507A31">
      <w:pPr>
        <w:autoSpaceDE w:val="0"/>
        <w:autoSpaceDN w:val="0"/>
        <w:adjustRightInd w:val="0"/>
        <w:jc w:val="both"/>
        <w:rPr>
          <w:color w:val="000000" w:themeColor="text1"/>
          <w:sz w:val="16"/>
          <w:szCs w:val="16"/>
        </w:rPr>
      </w:pPr>
    </w:p>
    <w:p w14:paraId="21E21681" w14:textId="77777777" w:rsidR="0077708B" w:rsidRPr="00507A31" w:rsidRDefault="0077708B" w:rsidP="00507A31">
      <w:pPr>
        <w:jc w:val="both"/>
        <w:rPr>
          <w:color w:val="000000" w:themeColor="text1"/>
          <w:sz w:val="16"/>
          <w:szCs w:val="16"/>
        </w:rPr>
      </w:pPr>
      <w:r w:rsidRPr="00507A31">
        <w:rPr>
          <w:color w:val="000000" w:themeColor="text1"/>
          <w:sz w:val="16"/>
          <w:szCs w:val="16"/>
        </w:rPr>
        <w:t>28 августа 1930 г. договору с фирмой «Бютаст» (подставной конторой фирмы «Рейнметалл»), немцы должны были поставить восемь 15,2-см мортир[101] фирмы «Рейнметалл» и помочь организовать их производство в СССР.</w:t>
      </w:r>
    </w:p>
    <w:p w14:paraId="79861565" w14:textId="77777777" w:rsidR="0077708B" w:rsidRPr="00507A31" w:rsidRDefault="0077708B" w:rsidP="00507A31">
      <w:pPr>
        <w:jc w:val="both"/>
        <w:rPr>
          <w:color w:val="000000" w:themeColor="text1"/>
          <w:sz w:val="16"/>
          <w:szCs w:val="16"/>
        </w:rPr>
      </w:pPr>
      <w:r w:rsidRPr="00507A31">
        <w:rPr>
          <w:color w:val="000000" w:themeColor="text1"/>
          <w:sz w:val="16"/>
          <w:szCs w:val="16"/>
        </w:rPr>
        <w:t>В СССР мортира была принята на вооружение под наименованием «152-мм мортира обр. 1931 г.». В документах 1931–1935 гг. она называлась мортира «Н» или «НМ» (НМ — немецкая мортира).</w:t>
      </w:r>
    </w:p>
    <w:p w14:paraId="27EFCF49" w14:textId="77777777" w:rsidR="0077708B" w:rsidRPr="00507A31" w:rsidRDefault="0077708B" w:rsidP="00507A31">
      <w:pPr>
        <w:jc w:val="both"/>
        <w:rPr>
          <w:color w:val="000000" w:themeColor="text1"/>
          <w:sz w:val="16"/>
          <w:szCs w:val="16"/>
        </w:rPr>
      </w:pPr>
      <w:r w:rsidRPr="00507A31">
        <w:rPr>
          <w:color w:val="000000" w:themeColor="text1"/>
          <w:sz w:val="16"/>
          <w:szCs w:val="16"/>
        </w:rPr>
        <w:t xml:space="preserve">В 1930 г. КБ завода «Красный Путиловец» разработало проект 152-мм дивизионной мортиры. Но шансов выжить у нее не было. </w:t>
      </w:r>
    </w:p>
    <w:p w14:paraId="35EFE648" w14:textId="77777777" w:rsidR="0077708B" w:rsidRPr="00507A31" w:rsidRDefault="0077708B" w:rsidP="00507A31">
      <w:pPr>
        <w:jc w:val="both"/>
        <w:rPr>
          <w:color w:val="000000" w:themeColor="text1"/>
          <w:sz w:val="16"/>
          <w:szCs w:val="16"/>
        </w:rPr>
      </w:pPr>
      <w:r w:rsidRPr="00507A31">
        <w:rPr>
          <w:color w:val="000000" w:themeColor="text1"/>
          <w:sz w:val="16"/>
          <w:szCs w:val="16"/>
        </w:rPr>
        <w:t>С 5 по 30 июня 1931 г. немецкая 152-мм мортира «Н» успешно прошла испытания на Главном артиллерийском полигоне в объеме 141 выстрела, а осенью того же года она прошла войсковые испытания в 20-й стрелковой дивизии.</w:t>
      </w:r>
    </w:p>
    <w:p w14:paraId="4F622BED" w14:textId="77777777" w:rsidR="0077708B" w:rsidRPr="00507A31" w:rsidRDefault="0077708B" w:rsidP="00507A31">
      <w:pPr>
        <w:jc w:val="both"/>
        <w:rPr>
          <w:color w:val="000000" w:themeColor="text1"/>
          <w:sz w:val="16"/>
          <w:szCs w:val="16"/>
        </w:rPr>
      </w:pPr>
      <w:r w:rsidRPr="00507A31">
        <w:rPr>
          <w:color w:val="000000" w:themeColor="text1"/>
          <w:sz w:val="16"/>
          <w:szCs w:val="16"/>
        </w:rPr>
        <w:t>152-мм мортира «Н» была принята на вооружение под названием 152-мм мортира обр. 1931 г. и в 1932 г. запущена в серийное производство на Пермском заводе. Однако удалось изготовить только 129 мортир. Куда там фирме «Рейнметалл» против нашего минометного лобби!</w:t>
      </w:r>
    </w:p>
    <w:p w14:paraId="043BFFCA" w14:textId="77777777" w:rsidR="0077708B" w:rsidRPr="00507A31" w:rsidRDefault="0077708B" w:rsidP="00507A31">
      <w:pPr>
        <w:jc w:val="both"/>
        <w:rPr>
          <w:color w:val="000000" w:themeColor="text1"/>
          <w:sz w:val="16"/>
          <w:szCs w:val="16"/>
        </w:rPr>
      </w:pPr>
      <w:r w:rsidRPr="00507A31">
        <w:rPr>
          <w:color w:val="000000" w:themeColor="text1"/>
          <w:sz w:val="16"/>
          <w:szCs w:val="16"/>
        </w:rPr>
        <w:t>Тем не менее КБ завода № 172 (г. Пермь) провело модернизацию мортиры обр. 1931 г. и представило на испытания три новые 152-мм мортиры МЛ-21. Испытания выявили ряд мелких конструктивных недостатков.</w:t>
      </w:r>
    </w:p>
    <w:p w14:paraId="0CD08FF3" w14:textId="77777777" w:rsidR="0077708B" w:rsidRPr="00507A31" w:rsidRDefault="0077708B" w:rsidP="00507A31">
      <w:pPr>
        <w:jc w:val="both"/>
        <w:rPr>
          <w:color w:val="000000" w:themeColor="text1"/>
          <w:sz w:val="16"/>
          <w:szCs w:val="16"/>
        </w:rPr>
      </w:pPr>
      <w:r w:rsidRPr="00507A31">
        <w:rPr>
          <w:color w:val="000000" w:themeColor="text1"/>
          <w:sz w:val="16"/>
          <w:szCs w:val="16"/>
        </w:rPr>
        <w:t>Минометное лобби в Артиллерийском управлении встретило МЛ-21 буквально в штыки. 13 июля 1938 г. из 2-го отдела Артуправления маршалу Кулику была направлена кляуза:</w:t>
      </w:r>
    </w:p>
    <w:p w14:paraId="382F0D28" w14:textId="77777777" w:rsidR="0077708B" w:rsidRPr="00507A31" w:rsidRDefault="0077708B" w:rsidP="00507A31">
      <w:pPr>
        <w:jc w:val="both"/>
        <w:rPr>
          <w:color w:val="000000" w:themeColor="text1"/>
          <w:sz w:val="16"/>
          <w:szCs w:val="16"/>
        </w:rPr>
      </w:pPr>
      <w:r w:rsidRPr="00507A31">
        <w:rPr>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001893FF" w14:textId="77777777" w:rsidR="0077708B" w:rsidRPr="00507A31" w:rsidRDefault="0077708B" w:rsidP="00507A31">
      <w:pPr>
        <w:jc w:val="both"/>
        <w:rPr>
          <w:color w:val="000000" w:themeColor="text1"/>
          <w:sz w:val="16"/>
          <w:szCs w:val="16"/>
        </w:rPr>
      </w:pPr>
      <w:r w:rsidRPr="00507A31">
        <w:rPr>
          <w:color w:val="000000" w:themeColor="text1"/>
          <w:sz w:val="16"/>
          <w:szCs w:val="16"/>
        </w:rPr>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(12705).</w:t>
      </w:r>
    </w:p>
    <w:p w14:paraId="49F256A8" w14:textId="77777777" w:rsidR="0077708B" w:rsidRPr="00507A31" w:rsidRDefault="0077708B" w:rsidP="00507A31">
      <w:pPr>
        <w:jc w:val="both"/>
        <w:rPr>
          <w:color w:val="000000" w:themeColor="text1"/>
          <w:sz w:val="16"/>
          <w:szCs w:val="16"/>
        </w:rPr>
      </w:pPr>
    </w:p>
    <w:p w14:paraId="70F34DA3" w14:textId="77777777" w:rsidR="00BD1D4A" w:rsidRPr="00507A31" w:rsidRDefault="00BD1D4A" w:rsidP="00507A31">
      <w:pPr>
        <w:jc w:val="both"/>
        <w:rPr>
          <w:color w:val="000000" w:themeColor="text1"/>
          <w:sz w:val="16"/>
          <w:szCs w:val="16"/>
        </w:rPr>
      </w:pPr>
      <w:r w:rsidRPr="00507A31">
        <w:rPr>
          <w:color w:val="000000" w:themeColor="text1"/>
          <w:sz w:val="16"/>
          <w:szCs w:val="16"/>
        </w:rPr>
        <w:t>28 августа 1930 г. был заключен договор с фирмой «Бютаст» (подставной конторой фирмы «Рейнметалл»), согласно которому немцы должны были поставить восемь 15,2-см мортир фирмы «Рейнметалл» и помочь организовать их производство в СССР.</w:t>
      </w:r>
    </w:p>
    <w:p w14:paraId="40F64F31" w14:textId="77777777" w:rsidR="00BD1D4A" w:rsidRPr="00507A31" w:rsidRDefault="00BD1D4A" w:rsidP="00507A31">
      <w:pPr>
        <w:jc w:val="both"/>
        <w:rPr>
          <w:color w:val="000000" w:themeColor="text1"/>
          <w:sz w:val="16"/>
          <w:szCs w:val="16"/>
        </w:rPr>
      </w:pPr>
      <w:r w:rsidRPr="00507A31">
        <w:rPr>
          <w:color w:val="000000" w:themeColor="text1"/>
          <w:sz w:val="16"/>
          <w:szCs w:val="16"/>
        </w:rPr>
        <w:t>В СССР мортира была принята на вооружение под наименованием «152-мм мортира обр. 1931 г». В документах 1931— 1935 гг. она называлась мортира «Н» или «НМ» (НМ — немецкая мортира).</w:t>
      </w:r>
    </w:p>
    <w:p w14:paraId="4448D0B5" w14:textId="77777777" w:rsidR="00BD1D4A" w:rsidRPr="00507A31" w:rsidRDefault="00BD1D4A" w:rsidP="00507A31">
      <w:pPr>
        <w:jc w:val="both"/>
        <w:rPr>
          <w:color w:val="000000" w:themeColor="text1"/>
          <w:sz w:val="16"/>
          <w:szCs w:val="16"/>
        </w:rPr>
      </w:pPr>
      <w:r w:rsidRPr="00507A31">
        <w:rPr>
          <w:color w:val="000000" w:themeColor="text1"/>
          <w:sz w:val="16"/>
          <w:szCs w:val="16"/>
        </w:rPr>
        <w:t>С 5 по 30 июня 1931 г. немецкая 152-мм мортира «Н» успешно прошла испытания на Главном артиллерийском полигоне в объеме 141 выстрела, а осенью того же года она прошла войсковые испытания в 20-й стрелковой дивизии.</w:t>
      </w:r>
    </w:p>
    <w:p w14:paraId="387B9BA7" w14:textId="77777777" w:rsidR="00BD1D4A" w:rsidRPr="00507A31" w:rsidRDefault="00BD1D4A" w:rsidP="00507A31">
      <w:pPr>
        <w:jc w:val="both"/>
        <w:rPr>
          <w:color w:val="000000" w:themeColor="text1"/>
          <w:sz w:val="16"/>
          <w:szCs w:val="16"/>
        </w:rPr>
      </w:pPr>
      <w:r w:rsidRPr="00507A31">
        <w:rPr>
          <w:color w:val="000000" w:themeColor="text1"/>
          <w:sz w:val="16"/>
          <w:szCs w:val="16"/>
        </w:rPr>
        <w:t>152-мм мортира «Н» была принята на вооружение под названием 152-мм мортира обр. 1931 г. и в 1932 г. запущена в серийное производство на Пермском заводе. Однако удалось изготовить только 129 мортир.</w:t>
      </w:r>
    </w:p>
    <w:p w14:paraId="790F1EB8" w14:textId="77777777" w:rsidR="00BD1D4A" w:rsidRPr="00507A31" w:rsidRDefault="00BD1D4A" w:rsidP="00507A31">
      <w:pPr>
        <w:jc w:val="both"/>
        <w:rPr>
          <w:color w:val="000000" w:themeColor="text1"/>
          <w:sz w:val="16"/>
          <w:szCs w:val="16"/>
        </w:rPr>
      </w:pPr>
      <w:r w:rsidRPr="00507A31">
        <w:rPr>
          <w:color w:val="000000" w:themeColor="text1"/>
          <w:sz w:val="16"/>
          <w:szCs w:val="16"/>
        </w:rPr>
        <w:t>КБ завода № 172 (г. Пермь) провело модернизацию мортиры обр. 1931 г. и представило на испытания три новые 152-мм мортиры МЛ-21. Испытания выявили ряд мелких конструктивных недостатков.</w:t>
      </w:r>
    </w:p>
    <w:p w14:paraId="541A7CDE" w14:textId="77777777" w:rsidR="00BD1D4A" w:rsidRPr="00507A31" w:rsidRDefault="00BD1D4A" w:rsidP="00507A31">
      <w:pPr>
        <w:jc w:val="both"/>
        <w:rPr>
          <w:color w:val="000000" w:themeColor="text1"/>
          <w:sz w:val="16"/>
          <w:szCs w:val="16"/>
        </w:rPr>
      </w:pPr>
      <w:r w:rsidRPr="00507A31">
        <w:rPr>
          <w:color w:val="000000" w:themeColor="text1"/>
          <w:sz w:val="16"/>
          <w:szCs w:val="16"/>
        </w:rPr>
        <w:t>Минометное лобби в Артиллерийском управлении встретило МЛ-21 буквально в штыки. 13 июля 1938 г. из 2-го отдела Артуправления пошла кляуза маршалу Кулику: «Завод № 172 в течение ряда лет пытался отработать 152-мм мортиры в большом числе вариантов и не получил удовлетворительного решения ряда вопросов: прочность системы, вес, клиренс и др.</w:t>
      </w:r>
    </w:p>
    <w:p w14:paraId="17352C97" w14:textId="77777777" w:rsidR="00BD1D4A" w:rsidRPr="00507A31" w:rsidRDefault="00BD1D4A" w:rsidP="00507A31">
      <w:pPr>
        <w:jc w:val="both"/>
        <w:rPr>
          <w:color w:val="000000" w:themeColor="text1"/>
          <w:sz w:val="16"/>
          <w:szCs w:val="16"/>
        </w:rPr>
      </w:pPr>
      <w:r w:rsidRPr="00507A31">
        <w:rPr>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6DFC4B75" w14:textId="77777777" w:rsidR="00BD1D4A" w:rsidRPr="00507A31" w:rsidRDefault="00BD1D4A" w:rsidP="00507A31">
      <w:pPr>
        <w:jc w:val="both"/>
        <w:rPr>
          <w:color w:val="000000" w:themeColor="text1"/>
          <w:sz w:val="16"/>
          <w:szCs w:val="16"/>
        </w:rPr>
      </w:pPr>
      <w:r w:rsidRPr="00507A31">
        <w:rPr>
          <w:color w:val="000000" w:themeColor="text1"/>
          <w:sz w:val="16"/>
          <w:szCs w:val="16"/>
        </w:rPr>
        <w:lastRenderedPageBreak/>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(15117).</w:t>
      </w:r>
    </w:p>
    <w:p w14:paraId="02E7C6F6" w14:textId="77777777" w:rsidR="00BD1D4A" w:rsidRPr="00507A31" w:rsidRDefault="00BD1D4A" w:rsidP="00507A31">
      <w:pPr>
        <w:jc w:val="both"/>
        <w:rPr>
          <w:color w:val="000000" w:themeColor="text1"/>
          <w:sz w:val="16"/>
          <w:szCs w:val="16"/>
        </w:rPr>
      </w:pPr>
    </w:p>
    <w:p w14:paraId="10C87D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августа 1930 на совещании Зампреда ВСНХ т. Уншлихта УММ поставило следующие вопросы:</w:t>
      </w:r>
    </w:p>
    <w:p w14:paraId="768EB7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об окончании всех работ по гусеничному придатку к трактору Интернационал.</w:t>
      </w:r>
    </w:p>
    <w:p w14:paraId="5C33E9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о разработке проекта модернизации трактора Катерпиллер 60.</w:t>
      </w:r>
    </w:p>
    <w:p w14:paraId="4E7E8B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об обеспечении прицепными повозками как тракторов, так и арттягачей.</w:t>
      </w:r>
    </w:p>
    <w:p w14:paraId="67B7BA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о выполнении военной программы по автобронетанкотракторному вооружению (10977).</w:t>
      </w:r>
    </w:p>
    <w:p w14:paraId="0E695C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том же совещании был заслушан доклад т. Смилги о результатах поездки в Сталинград. На основании доклада т. Смилги были приняты решения о постройке малых танков Т-26 и средних танков Т-24 на Сталинградском заводе, о постройке специального броневого завода и специального завода по фасонному стальному литью и о расширении работ по строительству-Стальгресса и о Моторном заводе (10977).</w:t>
      </w:r>
    </w:p>
    <w:p w14:paraId="7B074F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этом же совещании также был заслушан доклад комиссии т. Кононенко об обеспечении броней заказа 1931 г. По этому вопросу было вынесено решение провести в жизнь мероприятие по Ижорскому заводу, для чего ассигновать 3 200 000 руб., из коих немедленно 700 000 руб. и 2 500 000 руб., по смете 1930/31 г. При принятии данного решения было констатировано, что производственная программа может быть обеспечена только в случае развертывания максимальных темпов строительства. При проверке всего этого дела в первых числах октября с.г. оказалось, что на Ижорском заводе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(10977).</w:t>
      </w:r>
    </w:p>
    <w:p w14:paraId="628FB337" w14:textId="77777777" w:rsidR="00537E5F" w:rsidRPr="00507A31" w:rsidRDefault="00537E5F" w:rsidP="00507A31">
      <w:pPr>
        <w:autoSpaceDE w:val="0"/>
        <w:autoSpaceDN w:val="0"/>
        <w:adjustRightInd w:val="0"/>
        <w:jc w:val="both"/>
        <w:rPr>
          <w:color w:val="000000" w:themeColor="text1"/>
          <w:sz w:val="16"/>
          <w:szCs w:val="16"/>
        </w:rPr>
      </w:pPr>
    </w:p>
    <w:p w14:paraId="3DDB2E6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C901510" w14:textId="77777777" w:rsidR="00537E5F" w:rsidRPr="00507A31" w:rsidRDefault="00537E5F" w:rsidP="00507A31">
      <w:pPr>
        <w:autoSpaceDE w:val="0"/>
        <w:autoSpaceDN w:val="0"/>
        <w:adjustRightInd w:val="0"/>
        <w:jc w:val="both"/>
        <w:rPr>
          <w:iCs/>
          <w:color w:val="000000" w:themeColor="text1"/>
          <w:sz w:val="16"/>
          <w:szCs w:val="16"/>
        </w:rPr>
      </w:pPr>
    </w:p>
    <w:p w14:paraId="5E84D3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августа 1930 Впервые в стране осуществлен перелив горючего из самолета в самолет на Р-1 (274).</w:t>
      </w:r>
    </w:p>
    <w:p w14:paraId="28A00FE1" w14:textId="77777777" w:rsidR="00537E5F" w:rsidRPr="00507A31" w:rsidRDefault="00537E5F" w:rsidP="00507A31">
      <w:pPr>
        <w:autoSpaceDE w:val="0"/>
        <w:autoSpaceDN w:val="0"/>
        <w:adjustRightInd w:val="0"/>
        <w:jc w:val="both"/>
        <w:rPr>
          <w:color w:val="000000" w:themeColor="text1"/>
          <w:sz w:val="16"/>
          <w:szCs w:val="16"/>
        </w:rPr>
      </w:pPr>
    </w:p>
    <w:p w14:paraId="1F8DF2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августа 1930 совершили первый полет с дозаправкой. Летали на 2- Р-1.Сначала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23AC11F6" w14:textId="77777777" w:rsidR="00537E5F" w:rsidRPr="00507A31" w:rsidRDefault="00537E5F" w:rsidP="00507A31">
      <w:pPr>
        <w:autoSpaceDE w:val="0"/>
        <w:autoSpaceDN w:val="0"/>
        <w:adjustRightInd w:val="0"/>
        <w:jc w:val="both"/>
        <w:rPr>
          <w:color w:val="000000" w:themeColor="text1"/>
          <w:sz w:val="16"/>
          <w:szCs w:val="16"/>
        </w:rPr>
      </w:pPr>
    </w:p>
    <w:p w14:paraId="1B39CA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августа 1930 впервые полетели с настоящим шлангом.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132902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27570C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518534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7E2C963E" w14:textId="77777777" w:rsidR="00537E5F" w:rsidRPr="00507A31" w:rsidRDefault="00537E5F" w:rsidP="00507A31">
      <w:pPr>
        <w:autoSpaceDE w:val="0"/>
        <w:autoSpaceDN w:val="0"/>
        <w:adjustRightInd w:val="0"/>
        <w:jc w:val="both"/>
        <w:rPr>
          <w:color w:val="000000" w:themeColor="text1"/>
          <w:sz w:val="16"/>
          <w:szCs w:val="16"/>
        </w:rPr>
      </w:pPr>
    </w:p>
    <w:p w14:paraId="0F8CCFB3" w14:textId="77777777" w:rsidR="00896619" w:rsidRPr="00507A31" w:rsidRDefault="00896619"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29 августа </w:t>
      </w:r>
      <w:r w:rsidRPr="00507A31">
        <w:rPr>
          <w:color w:val="000000" w:themeColor="text1"/>
          <w:sz w:val="16"/>
          <w:szCs w:val="16"/>
        </w:rPr>
        <w:t>в 1930 году первая дозаправка (перелив горючего) в воздухе на самолетах «Р-1». Самолеты-разведчики «Р-1» использовались также как учебные, самолеты связи и бомбардировщики. На самолете устанавливали 12-цилиндровый двигатель жидкостного охлаждения М-5 мощностью 400 л.с. Максимальная скорость 190 км/ч, потолок высоты 5200 м. Вооружение: 2 пулемета, бомбы весом до 200 кг (14753).</w:t>
      </w:r>
    </w:p>
    <w:p w14:paraId="2808AD37" w14:textId="77777777" w:rsidR="00896619" w:rsidRPr="00507A31" w:rsidRDefault="00896619" w:rsidP="00507A31">
      <w:pPr>
        <w:jc w:val="both"/>
        <w:rPr>
          <w:color w:val="000000" w:themeColor="text1"/>
          <w:sz w:val="16"/>
          <w:szCs w:val="16"/>
        </w:rPr>
      </w:pPr>
    </w:p>
    <w:p w14:paraId="6FE9F0BE" w14:textId="77777777" w:rsidR="00896619" w:rsidRPr="00507A31" w:rsidRDefault="00896619" w:rsidP="00507A31">
      <w:pPr>
        <w:jc w:val="both"/>
        <w:rPr>
          <w:color w:val="000000" w:themeColor="text1"/>
          <w:sz w:val="16"/>
          <w:szCs w:val="16"/>
        </w:rPr>
      </w:pPr>
      <w:r w:rsidRPr="00507A31">
        <w:rPr>
          <w:rFonts w:eastAsiaTheme="minorHAnsi"/>
          <w:color w:val="000000" w:themeColor="text1"/>
          <w:sz w:val="16"/>
          <w:szCs w:val="16"/>
          <w:lang w:eastAsia="en-US"/>
        </w:rPr>
        <w:t>29 августа</w:t>
      </w:r>
      <w:r w:rsidRPr="00507A31">
        <w:rPr>
          <w:rStyle w:val="ucoz-forum-post"/>
          <w:rFonts w:eastAsiaTheme="majorEastAsia"/>
          <w:color w:val="000000" w:themeColor="text1"/>
          <w:sz w:val="16"/>
          <w:szCs w:val="16"/>
        </w:rPr>
        <w:t xml:space="preserve"> 1930. Первая дозаправка (перелив горючего) в воздухе на самолетах Р-1 </w:t>
      </w:r>
    </w:p>
    <w:p w14:paraId="7CC59A16" w14:textId="77777777" w:rsidR="00896619" w:rsidRPr="00507A31" w:rsidRDefault="00896619" w:rsidP="00507A31">
      <w:pPr>
        <w:jc w:val="both"/>
        <w:rPr>
          <w:rFonts w:eastAsiaTheme="minorHAnsi"/>
          <w:color w:val="000000" w:themeColor="text1"/>
          <w:sz w:val="16"/>
          <w:szCs w:val="16"/>
          <w:lang w:eastAsia="en-US"/>
        </w:rPr>
      </w:pPr>
    </w:p>
    <w:p w14:paraId="43B541F1" w14:textId="77777777" w:rsidR="00EE363E" w:rsidRPr="00507A31" w:rsidRDefault="00EE363E" w:rsidP="00507A31">
      <w:pPr>
        <w:jc w:val="both"/>
        <w:rPr>
          <w:color w:val="000000" w:themeColor="text1"/>
          <w:sz w:val="16"/>
          <w:szCs w:val="16"/>
        </w:rPr>
      </w:pPr>
      <w:r w:rsidRPr="00507A31">
        <w:rPr>
          <w:color w:val="000000" w:themeColor="text1"/>
          <w:sz w:val="16"/>
          <w:szCs w:val="16"/>
        </w:rPr>
        <w:t>29 августа 1930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1BAF8F72" w14:textId="77777777" w:rsidR="00EE363E" w:rsidRPr="00507A31" w:rsidRDefault="00EE363E" w:rsidP="00507A31">
      <w:pPr>
        <w:jc w:val="both"/>
        <w:rPr>
          <w:color w:val="000000" w:themeColor="text1"/>
          <w:sz w:val="16"/>
          <w:szCs w:val="16"/>
        </w:rPr>
      </w:pPr>
      <w:r w:rsidRPr="00507A31">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43" w:history="1">
        <w:r w:rsidRPr="00507A31">
          <w:rPr>
            <w:color w:val="000000" w:themeColor="text1"/>
            <w:sz w:val="16"/>
            <w:szCs w:val="16"/>
          </w:rPr>
          <w:t>[55]</w:t>
        </w:r>
      </w:hyperlink>
      <w:r w:rsidRPr="00507A31">
        <w:rPr>
          <w:color w:val="000000" w:themeColor="text1"/>
          <w:sz w:val="16"/>
          <w:szCs w:val="16"/>
        </w:rPr>
        <w:t xml:space="preserve"> .</w:t>
      </w:r>
    </w:p>
    <w:p w14:paraId="391EDA89" w14:textId="77777777" w:rsidR="00EE363E" w:rsidRPr="00507A31" w:rsidRDefault="00EE363E" w:rsidP="00507A31">
      <w:pPr>
        <w:jc w:val="both"/>
        <w:rPr>
          <w:color w:val="000000" w:themeColor="text1"/>
          <w:sz w:val="16"/>
          <w:szCs w:val="16"/>
        </w:rPr>
      </w:pPr>
      <w:r w:rsidRPr="00507A31">
        <w:rPr>
          <w:color w:val="000000" w:themeColor="text1"/>
          <w:sz w:val="16"/>
          <w:szCs w:val="16"/>
        </w:rPr>
        <w:t>Эти эксперименты были не больше, чем повторением американских опытов 1923 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6FB2969A" w14:textId="77777777" w:rsidR="00EE363E" w:rsidRPr="00507A31" w:rsidRDefault="00EE363E" w:rsidP="00507A31">
      <w:pPr>
        <w:jc w:val="both"/>
        <w:rPr>
          <w:color w:val="000000" w:themeColor="text1"/>
          <w:sz w:val="16"/>
          <w:szCs w:val="16"/>
        </w:rPr>
      </w:pPr>
    </w:p>
    <w:p w14:paraId="314894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августа 1930 г. был издан приказ по Государственному всесоюзному объединению авиационной промышленности за подписью замнаркома тяжелой промышленности П. И. Баранова о переименовании БАМУ в Московский авиационный институт (МАИ). В первое время существования института имелись большие трудности с размещением аудиторий, лабораторий, учебных мастерских. В зданиях на Ольховке не было нормальных условий для проведения занятий даже со студентами бывшего аэромеханического факультета. Поэтому для вновь организованного института необходимо было в течение летних каникул 1930 г. найти и оборудовать новые учебные площади. Большую работу в этом направлении провели студенты-парттысячники Т. Дзерве — секретарь партбюро и председатель профбюро С. Шумовский. Именно они добились предоставления институту во временное пользование помещения на 5-й Тверской-Ямской улице— бывшего здания «Пансиона приюта московского дворянства». (Сейчас это один из корпусов нейрохирургического института им. Бурденко.) Ведущие преподаватели — профессора Б. Н. Юрьев, В. П. Ветчинкин, Г. X. Сабинин, К. А. Ушаков, Г. Н. Мусиньянц, Н. С. Аржани-ков, А. Н. Журавченко, А. К. Мартынов, А. М. Черемухин, Б. С. Стечкин и другие — пришли в институт из МВТУ и ЦАГИ, а уже в конце 1930 г. в МАИ состоялся первый выпуск инженеров, и многие выпускники остались в институте в качестве преподавателей. В сентябре 1930 г. в МАИ уже числилось 600 студентов. Большую их часть составляли студенты-парттысячники и профтысячники, направленные на учебу партийными и профсоюзными организациями предприятий. Учебных площадей явно не хватало. Лабораторные занятия по многим предметам приходилось проводить в других вузах (по тепловым двигателям — в Механическом институте, по авиадвигателям — в Военно-воздушной академии, по физике — в МВТУ и т.д.). В своих корпусах маевцы занимались в три смены. Назрела необходимость строительства нового института. По распоряжению замнаркома П. И. Баранова была создана комиссия по организации и строительству «большого МАИ» (12075).</w:t>
      </w:r>
    </w:p>
    <w:p w14:paraId="48692A22" w14:textId="77777777" w:rsidR="00537E5F" w:rsidRPr="00507A31" w:rsidRDefault="00537E5F" w:rsidP="00507A31">
      <w:pPr>
        <w:autoSpaceDE w:val="0"/>
        <w:autoSpaceDN w:val="0"/>
        <w:adjustRightInd w:val="0"/>
        <w:jc w:val="both"/>
        <w:rPr>
          <w:color w:val="000000" w:themeColor="text1"/>
          <w:sz w:val="16"/>
          <w:szCs w:val="16"/>
        </w:rPr>
      </w:pPr>
    </w:p>
    <w:p w14:paraId="05824581" w14:textId="77777777" w:rsidR="00896619" w:rsidRPr="00507A31" w:rsidRDefault="00896619" w:rsidP="00507A31">
      <w:pPr>
        <w:jc w:val="both"/>
        <w:rPr>
          <w:color w:val="000000" w:themeColor="text1"/>
          <w:sz w:val="16"/>
          <w:szCs w:val="16"/>
        </w:rPr>
      </w:pPr>
      <w:r w:rsidRPr="00507A31">
        <w:rPr>
          <w:color w:val="000000" w:themeColor="text1"/>
          <w:sz w:val="16"/>
          <w:szCs w:val="16"/>
        </w:rPr>
        <w:t xml:space="preserve">29 августа 1930 г. был издан приказ по Государственному всесоюзному объединению авиационной промышленности за подписью замнаркома тяжелой промышленности П. И. Баранова о переименовании БАМУ в Московский авиационный институт (МАИ). В первое время существования института имелись большие трудности с размещением аудиторий, лабораторий, учебных мастерских. В зданиях на Ольховке не было нормальных условий для проведения занятий даже со студентами бывшего аэромеханического факультета. Поэтому для вновь организованного института необходимо было в течение летних каникул 1930 г. найти и оборудовать новые учебные площади. Большую работу в этом направлении провели студенты-парттысячники Т. Дзерве — секретарь партбюро и председатель профбюро С. Шумовский. Именно они добились предоставления институту во временное пользование помещения на 5-й Тверской-Ямской улице— бывшего здания «Пансиона приюта московского дворянства». (Сейчас это один из корпусов нейрохирургического института им. Бурденко.) Ведущие преподаватели — профессора Б. Н. Юрьев, В. П. Ветчинкин, Г. X. Сабинин, К. А. Ушаков, Г. Н. Мусиньянц, Н. С. Аржани-ков, А. Н. Журавченко, А. К. Мартынов, А. М. Черемухин, Б. С. Стечкин и другие — пришли в институт из МВТУ и ЦАГИ, а уже в конце 1930 г. в МАИ состоялся первый выпуск инженеров, и многие выпускники остались в институте в качестве преподавателей. В сентябре 1930 г. в МАИ уже числилось 600 студентов. Большую их часть составляли студенты-парттысячники и профтысячники, направленные на учебу партийными и профсоюзными организациями предприятий. Учебных площадей явно не хватало. Лабораторные занятия по многим предметам приходилось проводить в других вузах (по тепловым двигателям — в Механическом институте, по авиадвигателям — в Военно-воздушной академии, по физике — в МВТУ и т.д.). В своих корпусах маевцы занимались в три смены. Назрела необходимость строительства нового института. По распоряжению замнаркома П. И. Баранова была создана комиссия по организации и строительству «большого МАИ». Летом 1931 г. директор МАИ М. В. Бойцов и секретарь парткома К. А. Остапенко </w:t>
      </w:r>
      <w:r w:rsidRPr="00507A31">
        <w:rPr>
          <w:color w:val="000000" w:themeColor="text1"/>
          <w:sz w:val="16"/>
          <w:szCs w:val="16"/>
        </w:rPr>
        <w:lastRenderedPageBreak/>
        <w:t>нашли подходящий участок площадью свыше 30 га на развилке Ленинградского и Волоколамского шоссе, вблизи села Всехсвятского. Большая часть территории представляла собой яблоневый питомник, где часто располагались табором цыгане. В этом живописном месте и было решено в кратчайшие сроки построить целый институтский городок с общежитиями, столовыми, учебно-производственными мастерскими. В том же 1931 г. при отделе капитального строительства МАИ были организованы три проектных бюро. В первом бюро, руководимом профессором Б. Н. Юрьевым, был разработан проект здания для лабораторий и кафедр самолетостроительного факультета, а также всех помещений для аэродинамических труб. Для оснащения этих зданий МВТУ безвозмездно передало оборудование своей аэродинамической лаборатории. (Под руководством Б. Н. Юрьева, кроме того, было спроектировано еще несколько модификаций различных типов аэродинамических труб с улучшенными параметрами, специальное оборудование к ним и помещение для их установки.) Второе проектное бюро, возглавляемое профессором А. В. Квасниковым, приглашенным в МАИ из Томского технологического института, разработало проект здания моторного факультета, его лабораторий, отделов и 39 испытательных боксов. Третье проектное бюро, которое возглавил профессор С. А. Синицин, с 1931 по 1936 гг. разработало 42 проекта электрооборудования всех зданий института и его лабораторий (включая освещение и силовые сети), системы электропривода и автоматики (аэродинамических труб, станков и оборудования), а также систему электроснабжения института от сети Мосэнерго. В работе проектных бюро принимали участие не только преподаватели, но и студенты. Большая часть лабораторных стендов, приборов и оборудования построена своими силами. Строительство «большого МАИ» началось организованным осенью 1931 г. комсомольским воскресником по рытью траншей под фундамент главного (ныне третьего) корпуса. В 1932 — 1933 гг. были построены аудиторный корпус, самолетная и моторная лаборатории, мастерская и общежитие. Проект технологического корпуса, разработанный под руководством профессора П. Н. Львова, предусматривал объединение в одном здании всех лабораторий и кафедр самолетостроительного факультета. Однако рост факультета превосходил темпы строительства, поэтому пришлось организовать самостоятельные лаборатории по статическим испытаниям самолетов и авиационному материаловедению. Возведение нового институтского комплекса велось силами сотрудников, преподавателей, студентов всех курсов. Жизнь вносила в проекты и планы свои коррективы. Первоначально предполагалось создать на базе МАИ большой научно-исследовательский и учебный комбинат. Этот замысел осуществить не удалось, и остановились на сугубо учебном заведении. Еще пример. При строительстве института пришлось отклониться от утвержденного генплана и возводить аудиторный корпус в глубине строительной площадки, т.к. Плодвинсоюз, которому принадлежал яблоневый питомник, отказался уничтожить несколько сот деревьев. Был и такой случай. Аудиторный корпус строился с учетом модного тогда бригадного метода обучения, а с переходом на лекционный метод построенные помещения пришлось переоборудовать. Б. Н. Юрьеву много хлопот доставляла организация лабораторий. Так, важнейшая для него аэродинамическая лаборатория три раза за время строительства ставилась на консервацию. Весной 1932 г. некоторые лаборатории стали работать во временных помещениях. Моторная лаборатория, например, размещалась в небольшом сарае до 1934 г. Пока строили «большой МАИ», институт, практически не имея экспериментальной базы, должен был осуществлять подготовку инженеров, обеспечивать нормальный учебный процесс. В конце 1931 г. для руководства производственной практикой и проектированием были привлечены из промышленности высококлассные специалисты и конструкторы: И. И. Погосский, А. П. Голубков, А. Л. Гиммельфарб, Н. Ф. Чехонин и другие (15730).</w:t>
      </w:r>
    </w:p>
    <w:p w14:paraId="71B10F98" w14:textId="77777777" w:rsidR="00896619" w:rsidRPr="00507A31" w:rsidRDefault="00896619" w:rsidP="00507A31">
      <w:pPr>
        <w:jc w:val="both"/>
        <w:rPr>
          <w:color w:val="000000" w:themeColor="text1"/>
          <w:sz w:val="16"/>
          <w:szCs w:val="16"/>
        </w:rPr>
      </w:pPr>
    </w:p>
    <w:p w14:paraId="30B04117" w14:textId="77777777" w:rsidR="00896619" w:rsidRPr="00507A31" w:rsidRDefault="00896619" w:rsidP="00507A31">
      <w:pPr>
        <w:jc w:val="both"/>
        <w:rPr>
          <w:color w:val="000000" w:themeColor="text1"/>
          <w:sz w:val="16"/>
          <w:szCs w:val="16"/>
        </w:rPr>
      </w:pPr>
      <w:r w:rsidRPr="00507A31">
        <w:rPr>
          <w:bCs/>
          <w:color w:val="000000" w:themeColor="text1"/>
          <w:sz w:val="16"/>
          <w:szCs w:val="16"/>
        </w:rPr>
        <w:t>29 августа 1930 года</w:t>
      </w:r>
      <w:r w:rsidRPr="00507A31">
        <w:rPr>
          <w:color w:val="000000" w:themeColor="text1"/>
          <w:sz w:val="16"/>
          <w:szCs w:val="16"/>
        </w:rPr>
        <w:t xml:space="preserve"> На базе аэромеханического факультета МВТУ создан Московский авиационный институт (14753).</w:t>
      </w:r>
    </w:p>
    <w:p w14:paraId="74BDE765" w14:textId="77777777" w:rsidR="00896619" w:rsidRPr="00507A31" w:rsidRDefault="00896619" w:rsidP="00507A31">
      <w:pPr>
        <w:jc w:val="both"/>
        <w:rPr>
          <w:color w:val="000000" w:themeColor="text1"/>
          <w:sz w:val="16"/>
          <w:szCs w:val="16"/>
        </w:rPr>
      </w:pPr>
    </w:p>
    <w:p w14:paraId="3462F7F1" w14:textId="77777777" w:rsidR="00896619" w:rsidRPr="00507A31" w:rsidRDefault="00896619" w:rsidP="00507A31">
      <w:pPr>
        <w:autoSpaceDE w:val="0"/>
        <w:autoSpaceDN w:val="0"/>
        <w:adjustRightInd w:val="0"/>
        <w:jc w:val="both"/>
        <w:rPr>
          <w:color w:val="000000" w:themeColor="text1"/>
          <w:sz w:val="16"/>
          <w:szCs w:val="16"/>
        </w:rPr>
      </w:pPr>
      <w:r w:rsidRPr="00507A31">
        <w:rPr>
          <w:color w:val="000000" w:themeColor="text1"/>
          <w:sz w:val="16"/>
          <w:szCs w:val="16"/>
        </w:rPr>
        <w:t>29 (20 - 438,612) августа 1930 ВАМУ (высшее аэромеханическое училище) было преобразовано в МАИ (61,62).</w:t>
      </w:r>
    </w:p>
    <w:p w14:paraId="53CEA1E8" w14:textId="77777777" w:rsidR="00896619" w:rsidRPr="00507A31" w:rsidRDefault="00896619" w:rsidP="00507A31">
      <w:pPr>
        <w:autoSpaceDE w:val="0"/>
        <w:autoSpaceDN w:val="0"/>
        <w:adjustRightInd w:val="0"/>
        <w:jc w:val="both"/>
        <w:rPr>
          <w:color w:val="000000" w:themeColor="text1"/>
          <w:sz w:val="16"/>
          <w:szCs w:val="16"/>
        </w:rPr>
      </w:pPr>
    </w:p>
    <w:p w14:paraId="39261474" w14:textId="77777777" w:rsidR="007171D9" w:rsidRPr="00507A31" w:rsidRDefault="007171D9" w:rsidP="00507A31">
      <w:pPr>
        <w:jc w:val="both"/>
        <w:rPr>
          <w:color w:val="000000" w:themeColor="text1"/>
          <w:sz w:val="16"/>
          <w:szCs w:val="16"/>
        </w:rPr>
      </w:pPr>
      <w:r w:rsidRPr="00507A31">
        <w:rPr>
          <w:color w:val="000000" w:themeColor="text1"/>
          <w:sz w:val="16"/>
          <w:szCs w:val="16"/>
        </w:rPr>
        <w:t>29 августа 1930 г. — Шифротелеграмма генерального секретаря ЦК ВКП(б) И. В. Сталина и наркома по военным и морским делам СССР К. Е. Ворошилова секретарю ЦК ВКП(б) В. М. Молотову о необходимости создания базы опытного авиамоторостроения</w:t>
      </w:r>
    </w:p>
    <w:p w14:paraId="04EB7173" w14:textId="77777777" w:rsidR="007171D9" w:rsidRPr="00507A31" w:rsidRDefault="007171D9" w:rsidP="00507A31">
      <w:pPr>
        <w:pStyle w:val="rtejustify"/>
        <w:spacing w:before="0" w:after="0"/>
        <w:rPr>
          <w:color w:val="000000" w:themeColor="text1"/>
          <w:sz w:val="16"/>
          <w:szCs w:val="16"/>
        </w:rPr>
      </w:pPr>
      <w:r w:rsidRPr="00507A31">
        <w:rPr>
          <w:color w:val="000000" w:themeColor="text1"/>
          <w:sz w:val="16"/>
          <w:szCs w:val="16"/>
        </w:rPr>
        <w:t xml:space="preserve">Интересы быстрого развития гражданской авиации, долженствующей стать в возможно ближайшее время базой военного воздушного флота, а также задачи военной авиации сегодняшнего дня требуют немедленного разрешения вопроса отечественного авиамоторостроения, в котором мы чрезвычайно отстали. Разрешение этой важнейшей задачи связано с хорошо поставленным конструкторским делом, опирающимся на организованное опытное строительство. Ввиду этого мы считаем попытку </w:t>
      </w:r>
      <w:hyperlink r:id="rId144" w:history="1">
        <w:r w:rsidRPr="00507A31">
          <w:rPr>
            <w:color w:val="000000" w:themeColor="text1"/>
            <w:sz w:val="16"/>
            <w:szCs w:val="16"/>
          </w:rPr>
          <w:t>Осинского</w:t>
        </w:r>
      </w:hyperlink>
      <w:r w:rsidRPr="00507A31">
        <w:rPr>
          <w:color w:val="000000" w:themeColor="text1"/>
          <w:sz w:val="16"/>
          <w:szCs w:val="16"/>
        </w:rPr>
        <w:t xml:space="preserve"> толковать решение ПБ в пользу ВАТО в отношении опытных мастерских с их специальным оборудованием института НАМИ неправильной и объективно вредной.</w:t>
      </w:r>
    </w:p>
    <w:p w14:paraId="576BEAF2" w14:textId="77777777" w:rsidR="007171D9" w:rsidRPr="00507A31" w:rsidRDefault="007171D9" w:rsidP="00507A31">
      <w:pPr>
        <w:pStyle w:val="rtejustify"/>
        <w:spacing w:before="0" w:after="0"/>
        <w:rPr>
          <w:color w:val="000000" w:themeColor="text1"/>
          <w:sz w:val="16"/>
          <w:szCs w:val="16"/>
        </w:rPr>
      </w:pPr>
      <w:r w:rsidRPr="00507A31">
        <w:rPr>
          <w:color w:val="000000" w:themeColor="text1"/>
          <w:sz w:val="16"/>
          <w:szCs w:val="16"/>
        </w:rPr>
        <w:t>Попытка Осинского провести знак равенства между задачами авиамоторостроения и автостроения не выдерживает критики. Бешеные темпы развития и совершенствования мировой авиации требуют и от наших конструкторов напряженной работы, которая будет продуктивна только при обеспечении ее квалифицированным опытным строительством, а оно возможно только на специально для этой цели построенном опытном заводе НАМИ. Не отрицая необходимости опытного строительства и в отношении авто, мы, однако, считаем, что типы тракторов и автомобилей, принятых на производство на наших заводах, не будут ежегодно меняться, необходимые же улучшения конструкции будут вестись на самих заводах их конструкторскими бюро, тогда как типы авиамоторов меняются и будут меняться по несколько раз в году¹*.</w:t>
      </w:r>
    </w:p>
    <w:p w14:paraId="62211928" w14:textId="77777777" w:rsidR="007171D9" w:rsidRPr="00507A31" w:rsidRDefault="007171D9" w:rsidP="00507A31">
      <w:pPr>
        <w:pStyle w:val="rtejustify"/>
        <w:spacing w:before="0" w:after="0"/>
        <w:rPr>
          <w:color w:val="000000" w:themeColor="text1"/>
          <w:sz w:val="16"/>
          <w:szCs w:val="16"/>
        </w:rPr>
      </w:pPr>
      <w:r w:rsidRPr="00507A31">
        <w:rPr>
          <w:color w:val="000000" w:themeColor="text1"/>
          <w:sz w:val="16"/>
          <w:szCs w:val="16"/>
        </w:rPr>
        <w:t>Ввиду изложенного просим, не откладывая вопроса до возвращения Ворошилова, немедленно рассмотреть его на ПБ и решить в духе наших телеграмм.</w:t>
      </w:r>
    </w:p>
    <w:p w14:paraId="2ACF0C2B" w14:textId="77777777" w:rsidR="007171D9" w:rsidRPr="00507A31" w:rsidRDefault="002D4D90" w:rsidP="00507A31">
      <w:pPr>
        <w:pStyle w:val="ae"/>
        <w:spacing w:before="0" w:after="0"/>
        <w:jc w:val="both"/>
        <w:rPr>
          <w:color w:val="000000" w:themeColor="text1"/>
          <w:sz w:val="16"/>
          <w:szCs w:val="16"/>
        </w:rPr>
      </w:pPr>
      <w:hyperlink r:id="rId145" w:history="1">
        <w:r w:rsidR="007171D9" w:rsidRPr="00507A31">
          <w:rPr>
            <w:rStyle w:val="af0"/>
            <w:i w:val="0"/>
            <w:color w:val="000000" w:themeColor="text1"/>
            <w:sz w:val="16"/>
            <w:szCs w:val="16"/>
          </w:rPr>
          <w:t>Сталин</w:t>
        </w:r>
      </w:hyperlink>
      <w:r w:rsidR="007171D9" w:rsidRPr="00507A31">
        <w:rPr>
          <w:rStyle w:val="af0"/>
          <w:i w:val="0"/>
          <w:color w:val="000000" w:themeColor="text1"/>
          <w:sz w:val="16"/>
          <w:szCs w:val="16"/>
        </w:rPr>
        <w:t xml:space="preserve">, </w:t>
      </w:r>
      <w:hyperlink r:id="rId146" w:history="1">
        <w:r w:rsidR="007171D9" w:rsidRPr="00507A31">
          <w:rPr>
            <w:rStyle w:val="af0"/>
            <w:i w:val="0"/>
            <w:color w:val="000000" w:themeColor="text1"/>
            <w:sz w:val="16"/>
            <w:szCs w:val="16"/>
          </w:rPr>
          <w:t>Ворошилов</w:t>
        </w:r>
      </w:hyperlink>
    </w:p>
    <w:p w14:paraId="64129207" w14:textId="77777777" w:rsidR="007171D9" w:rsidRPr="00507A31" w:rsidRDefault="007171D9"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Примечание</w:t>
      </w:r>
      <w:r w:rsidRPr="00507A31">
        <w:rPr>
          <w:color w:val="000000" w:themeColor="text1"/>
          <w:sz w:val="16"/>
          <w:szCs w:val="16"/>
        </w:rPr>
        <w:t>:</w:t>
      </w:r>
    </w:p>
    <w:p w14:paraId="37791087" w14:textId="77777777" w:rsidR="007171D9" w:rsidRPr="00507A31" w:rsidRDefault="007171D9" w:rsidP="00507A31">
      <w:pPr>
        <w:pStyle w:val="ae"/>
        <w:spacing w:before="0" w:after="0"/>
        <w:jc w:val="both"/>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Со слов “тогда как” дописано рукой И. В. Сталина.</w:t>
      </w:r>
    </w:p>
    <w:p w14:paraId="3A7BD9CB" w14:textId="77777777" w:rsidR="007171D9" w:rsidRPr="00507A31" w:rsidRDefault="007171D9" w:rsidP="00507A31">
      <w:pPr>
        <w:pStyle w:val="ae"/>
        <w:spacing w:before="0" w:after="0"/>
        <w:jc w:val="both"/>
        <w:rPr>
          <w:color w:val="000000" w:themeColor="text1"/>
          <w:sz w:val="16"/>
          <w:szCs w:val="16"/>
        </w:rPr>
      </w:pPr>
      <w:r w:rsidRPr="00507A31">
        <w:rPr>
          <w:color w:val="000000" w:themeColor="text1"/>
          <w:sz w:val="16"/>
          <w:szCs w:val="16"/>
        </w:rPr>
        <w:t>РГАСПИ. Ф. 558. Оп. 11. Д. 75. Л. 30. Подлинник.</w:t>
      </w:r>
    </w:p>
    <w:p w14:paraId="3C5F16EA" w14:textId="77777777" w:rsidR="007171D9" w:rsidRPr="00507A31" w:rsidRDefault="007171D9" w:rsidP="00507A31">
      <w:pPr>
        <w:jc w:val="both"/>
        <w:rPr>
          <w:color w:val="000000" w:themeColor="text1"/>
          <w:sz w:val="16"/>
          <w:szCs w:val="16"/>
        </w:rPr>
      </w:pPr>
      <w:r w:rsidRPr="00507A31">
        <w:rPr>
          <w:color w:val="000000" w:themeColor="text1"/>
          <w:sz w:val="16"/>
          <w:szCs w:val="16"/>
        </w:rPr>
        <w:t xml:space="preserve">Архив: РГАСПИ. Ф. 558. Оп. 11. Д. 75. Л. 30. Подлинник. </w:t>
      </w:r>
    </w:p>
    <w:p w14:paraId="26FEE481" w14:textId="77777777" w:rsidR="007171D9" w:rsidRPr="00507A31" w:rsidRDefault="007171D9"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491-492 (12514).</w:t>
      </w:r>
    </w:p>
    <w:p w14:paraId="1B90E602" w14:textId="77777777" w:rsidR="007171D9" w:rsidRPr="00507A31" w:rsidRDefault="007171D9" w:rsidP="00507A31">
      <w:pPr>
        <w:jc w:val="both"/>
        <w:rPr>
          <w:color w:val="000000" w:themeColor="text1"/>
          <w:sz w:val="16"/>
          <w:szCs w:val="16"/>
        </w:rPr>
      </w:pPr>
    </w:p>
    <w:p w14:paraId="20D496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августа 1930 состоялся первый полет дирижабля "Комсомольская Правда", который мог брать 12 чел. Построен из деталей разобранного Химика-резинщика. Потом был модернизирован и стал СССР В-4, а в 1934 - сгорел (233,67). Летал из оврага в Кунцево.</w:t>
      </w:r>
    </w:p>
    <w:p w14:paraId="16A22415" w14:textId="77777777" w:rsidR="00537E5F" w:rsidRPr="00507A31" w:rsidRDefault="00537E5F" w:rsidP="00507A31">
      <w:pPr>
        <w:autoSpaceDE w:val="0"/>
        <w:autoSpaceDN w:val="0"/>
        <w:adjustRightInd w:val="0"/>
        <w:jc w:val="both"/>
        <w:rPr>
          <w:iCs/>
          <w:color w:val="000000" w:themeColor="text1"/>
          <w:sz w:val="16"/>
          <w:szCs w:val="16"/>
        </w:rPr>
      </w:pPr>
    </w:p>
    <w:p w14:paraId="654EEB74" w14:textId="77777777" w:rsidR="00896619" w:rsidRPr="00507A31" w:rsidRDefault="00896619"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29 августа </w:t>
      </w:r>
      <w:r w:rsidRPr="00507A31">
        <w:rPr>
          <w:color w:val="000000" w:themeColor="text1"/>
          <w:sz w:val="16"/>
          <w:szCs w:val="16"/>
        </w:rPr>
        <w:t>в 1930 году первый полет дирижабля «Комсомольская правда», который мог брать 12 человек. Потом был модернизирован и стал «СССР В-4», а в 1934 г. - сгорел (14753).</w:t>
      </w:r>
    </w:p>
    <w:p w14:paraId="1FABB954" w14:textId="77777777" w:rsidR="00896619" w:rsidRPr="00507A31" w:rsidRDefault="00896619" w:rsidP="00507A31">
      <w:pPr>
        <w:jc w:val="both"/>
        <w:rPr>
          <w:color w:val="000000" w:themeColor="text1"/>
          <w:sz w:val="16"/>
          <w:szCs w:val="16"/>
        </w:rPr>
      </w:pPr>
    </w:p>
    <w:p w14:paraId="19F18C7B" w14:textId="77777777" w:rsidR="00896619" w:rsidRPr="00507A31" w:rsidRDefault="00896619" w:rsidP="00507A31">
      <w:pPr>
        <w:jc w:val="both"/>
        <w:rPr>
          <w:color w:val="000000" w:themeColor="text1"/>
          <w:sz w:val="16"/>
          <w:szCs w:val="16"/>
        </w:rPr>
      </w:pPr>
      <w:r w:rsidRPr="00507A31">
        <w:rPr>
          <w:color w:val="000000" w:themeColor="text1"/>
          <w:sz w:val="16"/>
          <w:szCs w:val="16"/>
        </w:rPr>
        <w:t>29 августа 1930 командир корабля «СССР В-4»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62A710AA" w14:textId="77777777" w:rsidR="00896619" w:rsidRPr="00507A31" w:rsidRDefault="00896619" w:rsidP="00507A31">
      <w:pPr>
        <w:jc w:val="both"/>
        <w:rPr>
          <w:color w:val="000000" w:themeColor="text1"/>
          <w:sz w:val="16"/>
          <w:szCs w:val="16"/>
        </w:rPr>
      </w:pPr>
    </w:p>
    <w:p w14:paraId="3E373C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августа 1930 состоялся первый полет дирижабль «Комсомольская правда». Командиром дирижабля был Е. М. Опман. 31 августа дирижабль «Комсомольская правда» («КП») выполнил первый полет над Москвой, а 7 ноября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681D8B0F" w14:textId="77777777" w:rsidR="00537E5F" w:rsidRPr="00507A31" w:rsidRDefault="00537E5F" w:rsidP="00507A31">
      <w:pPr>
        <w:autoSpaceDE w:val="0"/>
        <w:autoSpaceDN w:val="0"/>
        <w:adjustRightInd w:val="0"/>
        <w:jc w:val="both"/>
        <w:rPr>
          <w:color w:val="000000" w:themeColor="text1"/>
          <w:sz w:val="16"/>
          <w:szCs w:val="16"/>
        </w:rPr>
      </w:pPr>
    </w:p>
    <w:p w14:paraId="506C9C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августа 1930 командир корабля «СССР В-4» Е. М. Опман совершил первый взлет, а 31 августа состоялся полет над Москвой.</w:t>
      </w:r>
    </w:p>
    <w:p w14:paraId="71BC19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Известный воздухоплаватель профессор Н. В. Фомин возглавил на самолетостроительном факультете МАИ специализацию «Дирижаблестроение» .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5823EA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(12075).</w:t>
      </w:r>
    </w:p>
    <w:p w14:paraId="74F59079" w14:textId="77777777" w:rsidR="00537E5F" w:rsidRPr="00507A31" w:rsidRDefault="00537E5F" w:rsidP="00507A31">
      <w:pPr>
        <w:autoSpaceDE w:val="0"/>
        <w:autoSpaceDN w:val="0"/>
        <w:adjustRightInd w:val="0"/>
        <w:jc w:val="both"/>
        <w:rPr>
          <w:color w:val="000000" w:themeColor="text1"/>
          <w:sz w:val="16"/>
          <w:szCs w:val="16"/>
        </w:rPr>
      </w:pPr>
    </w:p>
    <w:p w14:paraId="2AE5D473" w14:textId="77777777" w:rsidR="00165992" w:rsidRPr="00507A31" w:rsidRDefault="00165992" w:rsidP="00507A31">
      <w:pPr>
        <w:jc w:val="both"/>
        <w:rPr>
          <w:color w:val="0070C0"/>
          <w:sz w:val="16"/>
          <w:szCs w:val="16"/>
        </w:rPr>
      </w:pPr>
      <w:bookmarkStart w:id="87" w:name="_Hlk56763562"/>
      <w:r w:rsidRPr="00507A31">
        <w:rPr>
          <w:color w:val="0070C0"/>
          <w:sz w:val="16"/>
          <w:szCs w:val="16"/>
        </w:rPr>
        <w:t>29 августа 1930 состоялся первый полёт дирижабля Комсомольская правда. В гон</w:t>
      </w:r>
      <w:r w:rsidRPr="00507A31">
        <w:rPr>
          <w:color w:val="0070C0"/>
          <w:sz w:val="16"/>
          <w:szCs w:val="16"/>
        </w:rPr>
        <w:softHyphen/>
        <w:t>доле дирижабля находились командир кора</w:t>
      </w:r>
      <w:r w:rsidRPr="00507A31">
        <w:rPr>
          <w:color w:val="0070C0"/>
          <w:sz w:val="16"/>
          <w:szCs w:val="16"/>
        </w:rPr>
        <w:softHyphen/>
        <w:t>бля Е.М. Оппман, начальник эксплуатации Ф.Ф. Ассберг, а также помощники пилота — М.М. Соколов и И.Я. Волхонский. Погода благо</w:t>
      </w:r>
      <w:r w:rsidRPr="00507A31">
        <w:rPr>
          <w:color w:val="0070C0"/>
          <w:sz w:val="16"/>
          <w:szCs w:val="16"/>
        </w:rPr>
        <w:softHyphen/>
        <w:t>приятствовала вылету. В 20.12 дирижабль плавно поднялся, взял направление на с. Крылатское — ст. Кунцево и через пруд пошёл на посадку. Полёт, в ходе которого проверялась правильности сбор</w:t>
      </w:r>
      <w:r w:rsidRPr="00507A31">
        <w:rPr>
          <w:color w:val="0070C0"/>
          <w:sz w:val="16"/>
          <w:szCs w:val="16"/>
        </w:rPr>
        <w:softHyphen/>
        <w:t>ки и регулировки дирижабля, продолжался всего 18 минут, так как корабль, вылетевший в сумер</w:t>
      </w:r>
      <w:r w:rsidRPr="00507A31">
        <w:rPr>
          <w:color w:val="0070C0"/>
          <w:sz w:val="16"/>
          <w:szCs w:val="16"/>
        </w:rPr>
        <w:softHyphen/>
        <w:t>ки, следовало посадить до наступления темноты. 30 августа последовали ещё два испытательных полёта. С этого времени дирижабль можно было считать готовым к учебным и агитационным по</w:t>
      </w:r>
      <w:r w:rsidRPr="00507A31">
        <w:rPr>
          <w:color w:val="0070C0"/>
          <w:sz w:val="16"/>
          <w:szCs w:val="16"/>
        </w:rPr>
        <w:softHyphen/>
        <w:t>лётам. 31 августа «Комсомольская правда» совер</w:t>
      </w:r>
      <w:r w:rsidRPr="00507A31">
        <w:rPr>
          <w:color w:val="0070C0"/>
          <w:sz w:val="16"/>
          <w:szCs w:val="16"/>
        </w:rPr>
        <w:softHyphen/>
        <w:t>шила полёт над Москвой продолжительностью 1 ч 20 мин, став первый дирижаблем, подняв</w:t>
      </w:r>
      <w:r w:rsidRPr="00507A31">
        <w:rPr>
          <w:color w:val="0070C0"/>
          <w:sz w:val="16"/>
          <w:szCs w:val="16"/>
        </w:rPr>
        <w:softHyphen/>
        <w:t>шимся над столицей СССР (20120).</w:t>
      </w:r>
    </w:p>
    <w:p w14:paraId="4E14111D" w14:textId="77777777" w:rsidR="00165992" w:rsidRPr="00507A31" w:rsidRDefault="00165992" w:rsidP="00507A31">
      <w:pPr>
        <w:jc w:val="both"/>
        <w:rPr>
          <w:color w:val="0070C0"/>
          <w:sz w:val="16"/>
          <w:szCs w:val="16"/>
        </w:rPr>
      </w:pPr>
    </w:p>
    <w:bookmarkEnd w:id="87"/>
    <w:p w14:paraId="0BB465A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2AC562A" w14:textId="77777777" w:rsidR="00537E5F" w:rsidRPr="00507A31" w:rsidRDefault="00537E5F" w:rsidP="00507A31">
      <w:pPr>
        <w:autoSpaceDE w:val="0"/>
        <w:autoSpaceDN w:val="0"/>
        <w:adjustRightInd w:val="0"/>
        <w:jc w:val="both"/>
        <w:rPr>
          <w:iCs/>
          <w:color w:val="000000" w:themeColor="text1"/>
          <w:sz w:val="16"/>
          <w:szCs w:val="16"/>
        </w:rPr>
      </w:pPr>
    </w:p>
    <w:p w14:paraId="487260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августа 1930 на автожире КАСКР впервые в полете был выполнен плоский раз</w:t>
      </w:r>
      <w:r w:rsidRPr="00507A31">
        <w:rPr>
          <w:color w:val="000000" w:themeColor="text1"/>
          <w:sz w:val="16"/>
          <w:szCs w:val="16"/>
        </w:rPr>
        <w:softHyphen/>
        <w:t>ворот на 90°. Высота полета достигала 12-15 метров. Кошиц стал жало</w:t>
      </w:r>
      <w:r w:rsidRPr="00507A31">
        <w:rPr>
          <w:color w:val="000000" w:themeColor="text1"/>
          <w:sz w:val="16"/>
          <w:szCs w:val="16"/>
        </w:rPr>
        <w:softHyphen/>
        <w:t>ваться на нехватку тяги. Наземные измерения показали, что при полном газе изношенный пропеллер дает не более 280 кгс (10224,31).</w:t>
      </w:r>
    </w:p>
    <w:p w14:paraId="66E62C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747828D" w14:textId="77777777" w:rsidR="007171D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D681B95" w14:textId="77777777" w:rsidR="007171D9" w:rsidRPr="00507A31" w:rsidRDefault="007171D9" w:rsidP="00507A31">
      <w:pPr>
        <w:autoSpaceDE w:val="0"/>
        <w:autoSpaceDN w:val="0"/>
        <w:adjustRightInd w:val="0"/>
        <w:jc w:val="both"/>
        <w:rPr>
          <w:iCs/>
          <w:color w:val="000000" w:themeColor="text1"/>
          <w:sz w:val="16"/>
          <w:szCs w:val="16"/>
        </w:rPr>
      </w:pPr>
    </w:p>
    <w:p w14:paraId="1DF72475" w14:textId="77777777" w:rsidR="007171D9" w:rsidRPr="00507A31" w:rsidRDefault="007171D9" w:rsidP="00507A31">
      <w:pPr>
        <w:jc w:val="both"/>
        <w:rPr>
          <w:color w:val="000000" w:themeColor="text1"/>
          <w:sz w:val="16"/>
          <w:szCs w:val="16"/>
        </w:rPr>
      </w:pPr>
      <w:r w:rsidRPr="00507A31">
        <w:rPr>
          <w:color w:val="000000" w:themeColor="text1"/>
          <w:sz w:val="16"/>
          <w:szCs w:val="16"/>
        </w:rPr>
        <w:t>30 августа 1930 г. Постановление Президиума ВСНХ СССР об организации Государственного всесоюзного объединения паравозо-вагоно-дизельной промышленности и утверждении его устава (РГАЭ. Ф. 3429. Оп. 1. Д. 5195. Л. 50) (12417).</w:t>
      </w:r>
    </w:p>
    <w:p w14:paraId="2D3E63C3" w14:textId="77777777" w:rsidR="007171D9" w:rsidRPr="00507A31" w:rsidRDefault="007171D9" w:rsidP="00507A31">
      <w:pPr>
        <w:jc w:val="both"/>
        <w:rPr>
          <w:color w:val="000000" w:themeColor="text1"/>
          <w:sz w:val="16"/>
          <w:szCs w:val="16"/>
        </w:rPr>
      </w:pPr>
    </w:p>
    <w:p w14:paraId="4D85FFB7" w14:textId="77777777" w:rsidR="007171D9" w:rsidRPr="00507A31" w:rsidRDefault="007171D9" w:rsidP="00507A31">
      <w:pPr>
        <w:jc w:val="both"/>
        <w:rPr>
          <w:color w:val="000000" w:themeColor="text1"/>
          <w:sz w:val="16"/>
          <w:szCs w:val="16"/>
        </w:rPr>
      </w:pPr>
      <w:r w:rsidRPr="00507A31">
        <w:rPr>
          <w:rStyle w:val="a7"/>
          <w:b w:val="0"/>
          <w:color w:val="000000" w:themeColor="text1"/>
          <w:sz w:val="16"/>
          <w:szCs w:val="16"/>
        </w:rPr>
        <w:t xml:space="preserve">30 августа 1930 </w:t>
      </w:r>
      <w:r w:rsidRPr="00507A31">
        <w:rPr>
          <w:color w:val="000000" w:themeColor="text1"/>
          <w:sz w:val="16"/>
          <w:szCs w:val="16"/>
        </w:rPr>
        <w:t>Политбюро ЦК ВКП (б) одобрило проект постановления СНК по докладу НК РКИ о результатах проведения кредитной реформы, обратив внимание НКФ на необходимость принятия мер по оздоровлению финансового положения; предложило Оргбюро ЦК ВКП (б) укрепить Госбанк кадрами; поручило Секретариату ЦК ВКП (б) разработать обращение к партийным организациям о выполнении плана 1929/30 г (12265).</w:t>
      </w:r>
    </w:p>
    <w:p w14:paraId="28AFDB16" w14:textId="77777777" w:rsidR="007171D9" w:rsidRPr="00507A31" w:rsidRDefault="007171D9" w:rsidP="00507A31">
      <w:pPr>
        <w:jc w:val="both"/>
        <w:rPr>
          <w:color w:val="000000" w:themeColor="text1"/>
          <w:sz w:val="16"/>
          <w:szCs w:val="16"/>
        </w:rPr>
      </w:pPr>
      <w:r w:rsidRPr="00507A31">
        <w:rPr>
          <w:color w:val="000000" w:themeColor="text1"/>
          <w:sz w:val="16"/>
          <w:szCs w:val="16"/>
        </w:rPr>
        <w:t> </w:t>
      </w:r>
    </w:p>
    <w:p w14:paraId="2E4039DD" w14:textId="77777777" w:rsidR="00165992" w:rsidRPr="00507A31" w:rsidRDefault="00165992"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0F88C87" w14:textId="77777777" w:rsidR="00165992" w:rsidRPr="00507A31" w:rsidRDefault="00165992" w:rsidP="00507A31">
      <w:pPr>
        <w:autoSpaceDE w:val="0"/>
        <w:autoSpaceDN w:val="0"/>
        <w:adjustRightInd w:val="0"/>
        <w:jc w:val="both"/>
        <w:rPr>
          <w:iCs/>
          <w:color w:val="000000" w:themeColor="text1"/>
          <w:sz w:val="16"/>
          <w:szCs w:val="16"/>
        </w:rPr>
      </w:pPr>
    </w:p>
    <w:p w14:paraId="187B3280" w14:textId="77777777" w:rsidR="00165992" w:rsidRPr="00507A31" w:rsidRDefault="00165992" w:rsidP="00507A31">
      <w:pPr>
        <w:jc w:val="both"/>
        <w:rPr>
          <w:color w:val="0070C0"/>
          <w:sz w:val="16"/>
          <w:szCs w:val="16"/>
        </w:rPr>
      </w:pPr>
      <w:r w:rsidRPr="00507A31">
        <w:rPr>
          <w:color w:val="0070C0"/>
          <w:sz w:val="16"/>
          <w:szCs w:val="16"/>
        </w:rPr>
        <w:t>30 августа 1930 года ВЦИК и СНК РСФСР в качестве логичного продолжения перерегистрации ОО, которая являлась инструментом властного регулирования общественной сферы, приняли состоявшее из 30 пунктов Положение о добровольных обществах и союзах [СУ РСФСР, 1930, № 44, ст. 527]. Положение 1930 г. имело ярко выраженный идеологический характер и поднимало регламентирование и надзор за деятельностью общественных организаций на новый уровень. Оно разрабатывалось «в целях привлечения добровольных обществ и союзов к активному участию в социалистическом строительстве и ввиду необходимости в соответствии с этими целями коренной перестройки форм и методов работы названных объединений на основе широкого вовлечения в эти общества и союзы трудящихся масс и обеспечения пролетарского руководства» [Там же]. В целом Положение 1930 г. было направлено на реорганизацию системы общественных объединений. Общества должны были претерпеть трансформацию и стать массовыми и подконтрольными. Дополнили его новые типовые уставы добровольных обществ, имеющих отделения (не имеющих отделений) [Бюллетень НКВД, 1930, № 36а, ст. 531]. Интересно, что ранее типовые уставы существовали для всех видов обществ: научных, спортивных, пожарных, сельскохозяйственных и прочих, но с этого момента должны были функционировать по единому уставу. Таким образом, полностью нивелировалась присущая каждому виду организаций специфика, что особенно негативно сказалось на научных обществах. После появления новых нормативных актов и образцовых уставных документов началась очередная перерегистрация (21561).</w:t>
      </w:r>
    </w:p>
    <w:p w14:paraId="494D22D4" w14:textId="77777777" w:rsidR="00165992" w:rsidRPr="00507A31" w:rsidRDefault="00165992" w:rsidP="00507A31">
      <w:pPr>
        <w:jc w:val="both"/>
        <w:rPr>
          <w:color w:val="0070C0"/>
          <w:sz w:val="16"/>
          <w:szCs w:val="16"/>
        </w:rPr>
      </w:pPr>
    </w:p>
    <w:p w14:paraId="7D74990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D1FB107" w14:textId="77777777" w:rsidR="00537E5F" w:rsidRPr="00507A31" w:rsidRDefault="00537E5F" w:rsidP="00507A31">
      <w:pPr>
        <w:autoSpaceDE w:val="0"/>
        <w:autoSpaceDN w:val="0"/>
        <w:adjustRightInd w:val="0"/>
        <w:jc w:val="both"/>
        <w:rPr>
          <w:iCs/>
          <w:color w:val="000000" w:themeColor="text1"/>
          <w:sz w:val="16"/>
          <w:szCs w:val="16"/>
        </w:rPr>
      </w:pPr>
    </w:p>
    <w:p w14:paraId="43D753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августа 1930 состоялся первый полет дирижабля Комсомольская правда (КП) над Москвой (61,63) (старт был из оврага в Кунцево). Он потом участвовал в параде 7 ноября. Немецкий LZ-127 прилетел в сентябре 1930 (61,65) - вот как торопились, чтобы успеть первыми.</w:t>
      </w:r>
    </w:p>
    <w:p w14:paraId="36B4D07B" w14:textId="77777777" w:rsidR="00537E5F" w:rsidRPr="00507A31" w:rsidRDefault="00537E5F" w:rsidP="00507A31">
      <w:pPr>
        <w:autoSpaceDE w:val="0"/>
        <w:autoSpaceDN w:val="0"/>
        <w:adjustRightInd w:val="0"/>
        <w:jc w:val="both"/>
        <w:rPr>
          <w:iCs/>
          <w:color w:val="000000" w:themeColor="text1"/>
          <w:sz w:val="16"/>
          <w:szCs w:val="16"/>
        </w:rPr>
      </w:pPr>
    </w:p>
    <w:p w14:paraId="51AECF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августа 1930 дирижабль «Комсомольская правда» («КП») выполнил первый полет над Москвой, а 7 ноября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3A598E00" w14:textId="77777777" w:rsidR="00537E5F" w:rsidRPr="00507A31" w:rsidRDefault="00537E5F" w:rsidP="00507A31">
      <w:pPr>
        <w:autoSpaceDE w:val="0"/>
        <w:autoSpaceDN w:val="0"/>
        <w:adjustRightInd w:val="0"/>
        <w:jc w:val="both"/>
        <w:rPr>
          <w:color w:val="000000" w:themeColor="text1"/>
          <w:sz w:val="16"/>
          <w:szCs w:val="16"/>
        </w:rPr>
      </w:pPr>
    </w:p>
    <w:p w14:paraId="18A96F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августа состоялся полет над Москвой«СССР В-4» под управлением Е. М. Опмана.</w:t>
      </w:r>
    </w:p>
    <w:p w14:paraId="37203D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Известный воздухоплаватель профессор Н. В. Фомин возглавил на самолетостроительном факультете МАИ специализацию «Дирижаблестроение» .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6AEB32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(12075).</w:t>
      </w:r>
    </w:p>
    <w:p w14:paraId="5BFB3161" w14:textId="77777777" w:rsidR="00537E5F" w:rsidRPr="00507A31" w:rsidRDefault="00537E5F" w:rsidP="00507A31">
      <w:pPr>
        <w:autoSpaceDE w:val="0"/>
        <w:autoSpaceDN w:val="0"/>
        <w:adjustRightInd w:val="0"/>
        <w:jc w:val="both"/>
        <w:rPr>
          <w:color w:val="000000" w:themeColor="text1"/>
          <w:sz w:val="16"/>
          <w:szCs w:val="16"/>
        </w:rPr>
      </w:pPr>
    </w:p>
    <w:p w14:paraId="4EA23AB7" w14:textId="77777777" w:rsidR="00896619" w:rsidRPr="00507A31" w:rsidRDefault="00896619" w:rsidP="00507A31">
      <w:pPr>
        <w:jc w:val="both"/>
        <w:rPr>
          <w:color w:val="000000" w:themeColor="text1"/>
          <w:sz w:val="16"/>
          <w:szCs w:val="16"/>
        </w:rPr>
      </w:pPr>
      <w:r w:rsidRPr="00507A31">
        <w:rPr>
          <w:color w:val="000000" w:themeColor="text1"/>
          <w:sz w:val="16"/>
          <w:szCs w:val="16"/>
        </w:rPr>
        <w:t>31 августа 1930 состоялся полет «СССР В-4»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40B36E93" w14:textId="77777777" w:rsidR="00896619" w:rsidRPr="00507A31" w:rsidRDefault="00896619" w:rsidP="00507A31">
      <w:pPr>
        <w:jc w:val="both"/>
        <w:rPr>
          <w:color w:val="000000" w:themeColor="text1"/>
          <w:sz w:val="16"/>
          <w:szCs w:val="16"/>
        </w:rPr>
      </w:pPr>
    </w:p>
    <w:p w14:paraId="7FCBD4CA" w14:textId="77777777" w:rsidR="00192AD6" w:rsidRPr="00507A31" w:rsidRDefault="00192AD6" w:rsidP="00507A31">
      <w:pPr>
        <w:jc w:val="both"/>
        <w:rPr>
          <w:color w:val="0070C0"/>
          <w:sz w:val="16"/>
          <w:szCs w:val="16"/>
        </w:rPr>
      </w:pPr>
      <w:r w:rsidRPr="00507A31">
        <w:rPr>
          <w:color w:val="0070C0"/>
          <w:sz w:val="16"/>
          <w:szCs w:val="16"/>
        </w:rPr>
        <w:t>31 августа 1930 г.</w:t>
      </w:r>
    </w:p>
    <w:p w14:paraId="49AF3F9F" w14:textId="77777777" w:rsidR="00192AD6" w:rsidRPr="00507A31" w:rsidRDefault="00192AD6" w:rsidP="00507A31">
      <w:pPr>
        <w:jc w:val="both"/>
        <w:rPr>
          <w:color w:val="0070C0"/>
          <w:sz w:val="16"/>
          <w:szCs w:val="16"/>
        </w:rPr>
      </w:pPr>
      <w:r w:rsidRPr="00507A31">
        <w:rPr>
          <w:color w:val="0070C0"/>
          <w:sz w:val="16"/>
          <w:szCs w:val="16"/>
        </w:rPr>
        <w:t>Записка И.П. Уборевича В.М. Молотову о пролете американского самолета над территорией СССР</w:t>
      </w:r>
    </w:p>
    <w:p w14:paraId="63288283" w14:textId="77777777" w:rsidR="00192AD6" w:rsidRPr="00507A31" w:rsidRDefault="00192AD6" w:rsidP="00507A31">
      <w:pPr>
        <w:jc w:val="both"/>
        <w:rPr>
          <w:color w:val="0070C0"/>
          <w:sz w:val="16"/>
          <w:szCs w:val="16"/>
        </w:rPr>
      </w:pPr>
      <w:r w:rsidRPr="00507A31">
        <w:rPr>
          <w:color w:val="0070C0"/>
          <w:sz w:val="16"/>
          <w:szCs w:val="16"/>
        </w:rPr>
        <w:t>№ 0384/с</w:t>
      </w:r>
      <w:r w:rsidRPr="00507A31">
        <w:rPr>
          <w:color w:val="0070C0"/>
          <w:sz w:val="16"/>
          <w:szCs w:val="16"/>
        </w:rPr>
        <w:tab/>
        <w:t>31 августа 1930 г.</w:t>
      </w:r>
    </w:p>
    <w:p w14:paraId="2423CDEF" w14:textId="77777777" w:rsidR="00192AD6" w:rsidRPr="00507A31" w:rsidRDefault="00192AD6" w:rsidP="00507A31">
      <w:pPr>
        <w:jc w:val="both"/>
        <w:rPr>
          <w:color w:val="0070C0"/>
          <w:sz w:val="16"/>
          <w:szCs w:val="16"/>
        </w:rPr>
      </w:pPr>
      <w:r w:rsidRPr="00507A31">
        <w:rPr>
          <w:color w:val="0070C0"/>
          <w:sz w:val="16"/>
          <w:szCs w:val="16"/>
        </w:rPr>
        <w:t>Секретно</w:t>
      </w:r>
    </w:p>
    <w:p w14:paraId="0CA00459" w14:textId="77777777" w:rsidR="00192AD6" w:rsidRPr="00507A31" w:rsidRDefault="00192AD6" w:rsidP="00507A31">
      <w:pPr>
        <w:jc w:val="both"/>
        <w:rPr>
          <w:color w:val="0070C0"/>
          <w:sz w:val="16"/>
          <w:szCs w:val="16"/>
        </w:rPr>
      </w:pPr>
      <w:r w:rsidRPr="00507A31">
        <w:rPr>
          <w:color w:val="0070C0"/>
          <w:sz w:val="16"/>
          <w:szCs w:val="16"/>
        </w:rPr>
        <w:t>В ЦК ВКП(б) тов. Молотову</w:t>
      </w:r>
    </w:p>
    <w:p w14:paraId="71D3787C" w14:textId="77777777" w:rsidR="00192AD6" w:rsidRPr="00507A31" w:rsidRDefault="00192AD6" w:rsidP="00507A31">
      <w:pPr>
        <w:jc w:val="both"/>
        <w:rPr>
          <w:color w:val="0070C0"/>
          <w:sz w:val="16"/>
          <w:szCs w:val="16"/>
        </w:rPr>
      </w:pPr>
      <w:r w:rsidRPr="00507A31">
        <w:rPr>
          <w:color w:val="0070C0"/>
          <w:sz w:val="16"/>
          <w:szCs w:val="16"/>
        </w:rPr>
        <w:t xml:space="preserve">Американская фирма «ЕМСКО» организовала кругосветный перелет по маршруту: Нью-Йорк - Берлин - Москва - Омск - Чита - Владивосток - Токио. Экипаж самолета состоит из 3-х человек в составе американских граждан: 1) Теодор Лундгрен, </w:t>
      </w:r>
    </w:p>
    <w:p w14:paraId="58C2290D" w14:textId="77777777" w:rsidR="00192AD6" w:rsidRPr="00507A31" w:rsidRDefault="00192AD6" w:rsidP="00507A31">
      <w:pPr>
        <w:jc w:val="both"/>
        <w:rPr>
          <w:color w:val="0070C0"/>
          <w:sz w:val="16"/>
          <w:szCs w:val="16"/>
        </w:rPr>
      </w:pPr>
      <w:r w:rsidRPr="00507A31">
        <w:rPr>
          <w:color w:val="0070C0"/>
          <w:sz w:val="16"/>
          <w:szCs w:val="16"/>
        </w:rPr>
        <w:t>2) Роджер Вилльямс и 3) Вилльямс Марсалис, тип самолета и моторы неизвестны.</w:t>
      </w:r>
    </w:p>
    <w:p w14:paraId="2BADC93E" w14:textId="77777777" w:rsidR="00192AD6" w:rsidRPr="00507A31" w:rsidRDefault="00192AD6" w:rsidP="00507A31">
      <w:pPr>
        <w:jc w:val="both"/>
        <w:rPr>
          <w:color w:val="0070C0"/>
          <w:sz w:val="16"/>
          <w:szCs w:val="16"/>
        </w:rPr>
      </w:pPr>
      <w:r w:rsidRPr="00507A31">
        <w:rPr>
          <w:color w:val="0070C0"/>
          <w:sz w:val="16"/>
          <w:szCs w:val="16"/>
        </w:rPr>
        <w:t>Вопрос представлен Я.Э. Рудзутаком. Выписка из протокола № 6 заседания Политбюро ЦК ВКП(б) 31 августа 1930 г., п. 13/19. Направлена И.В. Сталину, Я.Э. Рудзутаку.</w:t>
      </w:r>
    </w:p>
    <w:p w14:paraId="450E0A1E" w14:textId="77777777" w:rsidR="00192AD6" w:rsidRPr="00507A31" w:rsidRDefault="00192AD6" w:rsidP="00507A31">
      <w:pPr>
        <w:jc w:val="both"/>
        <w:rPr>
          <w:color w:val="0070C0"/>
          <w:sz w:val="16"/>
          <w:szCs w:val="16"/>
        </w:rPr>
      </w:pPr>
      <w:r w:rsidRPr="00507A31">
        <w:rPr>
          <w:color w:val="0070C0"/>
          <w:sz w:val="16"/>
          <w:szCs w:val="16"/>
        </w:rPr>
        <w:t>Штамп: Прот[окол] ПБ № 6, п. 40/39.</w:t>
      </w:r>
    </w:p>
    <w:p w14:paraId="46A6FC63" w14:textId="77777777" w:rsidR="00192AD6" w:rsidRPr="00507A31" w:rsidRDefault="00192AD6" w:rsidP="00507A31">
      <w:pPr>
        <w:jc w:val="both"/>
        <w:rPr>
          <w:color w:val="0070C0"/>
          <w:sz w:val="16"/>
          <w:szCs w:val="16"/>
        </w:rPr>
      </w:pPr>
      <w:r w:rsidRPr="00507A31">
        <w:rPr>
          <w:color w:val="0070C0"/>
          <w:sz w:val="16"/>
          <w:szCs w:val="16"/>
        </w:rPr>
        <w:t>Перелет уже начался, и самолет ожидается прибытием в Берлин.</w:t>
      </w:r>
    </w:p>
    <w:p w14:paraId="0F2D337D" w14:textId="77777777" w:rsidR="00192AD6" w:rsidRPr="00507A31" w:rsidRDefault="00192AD6" w:rsidP="00507A31">
      <w:pPr>
        <w:jc w:val="both"/>
        <w:rPr>
          <w:color w:val="0070C0"/>
          <w:sz w:val="16"/>
          <w:szCs w:val="16"/>
        </w:rPr>
      </w:pPr>
      <w:r w:rsidRPr="00507A31">
        <w:rPr>
          <w:color w:val="0070C0"/>
          <w:sz w:val="16"/>
          <w:szCs w:val="16"/>
        </w:rPr>
        <w:t>Со стороны РВС Союза и ОГПУ возражений нет.</w:t>
      </w:r>
    </w:p>
    <w:p w14:paraId="541D0DDD" w14:textId="77777777" w:rsidR="00192AD6" w:rsidRPr="00507A31" w:rsidRDefault="00192AD6" w:rsidP="00507A31">
      <w:pPr>
        <w:jc w:val="both"/>
        <w:rPr>
          <w:color w:val="0070C0"/>
          <w:sz w:val="16"/>
          <w:szCs w:val="16"/>
        </w:rPr>
      </w:pPr>
      <w:r w:rsidRPr="00507A31">
        <w:rPr>
          <w:color w:val="0070C0"/>
          <w:sz w:val="16"/>
          <w:szCs w:val="16"/>
        </w:rPr>
        <w:lastRenderedPageBreak/>
        <w:t>Прошу срочного разрешения.</w:t>
      </w:r>
    </w:p>
    <w:p w14:paraId="79A9ADC0" w14:textId="77777777" w:rsidR="00192AD6" w:rsidRPr="00507A31" w:rsidRDefault="00192AD6" w:rsidP="00507A31">
      <w:pPr>
        <w:jc w:val="both"/>
        <w:rPr>
          <w:color w:val="0070C0"/>
          <w:sz w:val="16"/>
          <w:szCs w:val="16"/>
        </w:rPr>
      </w:pPr>
      <w:r w:rsidRPr="00507A31">
        <w:rPr>
          <w:color w:val="0070C0"/>
          <w:sz w:val="16"/>
          <w:szCs w:val="16"/>
        </w:rPr>
        <w:t>Зампред РВС Уборевич</w:t>
      </w:r>
    </w:p>
    <w:p w14:paraId="7D7B901D" w14:textId="77777777" w:rsidR="00192AD6" w:rsidRPr="00507A31" w:rsidRDefault="00192AD6" w:rsidP="00507A31">
      <w:pPr>
        <w:jc w:val="both"/>
        <w:rPr>
          <w:color w:val="0070C0"/>
          <w:sz w:val="16"/>
          <w:szCs w:val="16"/>
        </w:rPr>
      </w:pPr>
      <w:r w:rsidRPr="00507A31">
        <w:rPr>
          <w:color w:val="0070C0"/>
          <w:sz w:val="16"/>
          <w:szCs w:val="16"/>
        </w:rPr>
        <w:t>Резолюция: Голосовать. Мол[отов].</w:t>
      </w:r>
    </w:p>
    <w:p w14:paraId="0854A1FF" w14:textId="77777777" w:rsidR="00192AD6" w:rsidRPr="00507A31" w:rsidRDefault="00192AD6" w:rsidP="00507A31">
      <w:pPr>
        <w:jc w:val="both"/>
        <w:rPr>
          <w:color w:val="0070C0"/>
          <w:sz w:val="16"/>
          <w:szCs w:val="16"/>
        </w:rPr>
      </w:pPr>
      <w:r w:rsidRPr="00507A31">
        <w:rPr>
          <w:color w:val="0070C0"/>
          <w:sz w:val="16"/>
          <w:szCs w:val="16"/>
        </w:rPr>
        <w:t>АП РФ. Ф. 3. On. 66. Д. 436. Л. 90. Подлинник (20596).</w:t>
      </w:r>
    </w:p>
    <w:p w14:paraId="31D7780C" w14:textId="77777777" w:rsidR="00192AD6" w:rsidRPr="00507A31" w:rsidRDefault="00192AD6" w:rsidP="00507A31">
      <w:pPr>
        <w:jc w:val="both"/>
        <w:rPr>
          <w:color w:val="0070C0"/>
          <w:sz w:val="16"/>
          <w:szCs w:val="16"/>
        </w:rPr>
      </w:pPr>
    </w:p>
    <w:p w14:paraId="3EA5CD0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9B848C8" w14:textId="77777777" w:rsidR="00537E5F" w:rsidRPr="00507A31" w:rsidRDefault="00537E5F" w:rsidP="00507A31">
      <w:pPr>
        <w:autoSpaceDE w:val="0"/>
        <w:autoSpaceDN w:val="0"/>
        <w:adjustRightInd w:val="0"/>
        <w:jc w:val="both"/>
        <w:rPr>
          <w:iCs/>
          <w:color w:val="000000" w:themeColor="text1"/>
          <w:sz w:val="16"/>
          <w:szCs w:val="16"/>
        </w:rPr>
      </w:pPr>
    </w:p>
    <w:p w14:paraId="2DCD11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конца августа 1930 года по январь 1931 года на НИАПе испытывался опытный образец 76,2-мм батальонной мортиры КБ НТК АУ. Вариант I. В ходе испытаний погнулись зубья шестерни подъемного механизма, был сломан валик подъемного механизма (3861).</w:t>
      </w:r>
    </w:p>
    <w:p w14:paraId="2F224450" w14:textId="77777777" w:rsidR="00537E5F" w:rsidRPr="00507A31" w:rsidRDefault="00537E5F" w:rsidP="00507A31">
      <w:pPr>
        <w:autoSpaceDE w:val="0"/>
        <w:autoSpaceDN w:val="0"/>
        <w:adjustRightInd w:val="0"/>
        <w:jc w:val="both"/>
        <w:rPr>
          <w:color w:val="000000" w:themeColor="text1"/>
          <w:sz w:val="16"/>
          <w:szCs w:val="16"/>
        </w:rPr>
      </w:pPr>
    </w:p>
    <w:p w14:paraId="50A370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концу августа 1931 Т-19 был уже в основном готов (по плану же он должен был быть готов в марте 1931 г.). Однако характе</w:t>
      </w:r>
      <w:r w:rsidRPr="00507A31">
        <w:rPr>
          <w:color w:val="000000" w:themeColor="text1"/>
          <w:sz w:val="16"/>
          <w:szCs w:val="16"/>
        </w:rPr>
        <w:softHyphen/>
        <w:t>ристики танка были ниже запланированных, вес — больше (до 8 т), а производство — чудовищно сложным. Особо насто</w:t>
      </w:r>
      <w:r w:rsidRPr="00507A31">
        <w:rPr>
          <w:color w:val="000000" w:themeColor="text1"/>
          <w:sz w:val="16"/>
          <w:szCs w:val="16"/>
        </w:rPr>
        <w:softHyphen/>
        <w:t>раживал тот факт, что танк «съедал» громадное число под</w:t>
      </w:r>
      <w:r w:rsidRPr="00507A31">
        <w:rPr>
          <w:color w:val="000000" w:themeColor="text1"/>
          <w:sz w:val="16"/>
          <w:szCs w:val="16"/>
        </w:rPr>
        <w:softHyphen/>
        <w:t>шипников качения, которые все еще закупались за рубежом. Стоимость опытного образца без башни с вооружением и без КПП в ценах 1930 г. составляла 96 тыс. руб. Кроме того, несмотря на то что смета изготовления опытного образца была израсходована полностью, ряд уз</w:t>
      </w:r>
      <w:r w:rsidRPr="00507A31">
        <w:rPr>
          <w:color w:val="000000" w:themeColor="text1"/>
          <w:sz w:val="16"/>
          <w:szCs w:val="16"/>
        </w:rPr>
        <w:softHyphen/>
        <w:t>лов так и остался на бумаге. Например, коническую башню, предполагавшуюся к установке на танк, даже не начи</w:t>
      </w:r>
      <w:r w:rsidRPr="00507A31">
        <w:rPr>
          <w:color w:val="000000" w:themeColor="text1"/>
          <w:sz w:val="16"/>
          <w:szCs w:val="16"/>
        </w:rPr>
        <w:softHyphen/>
        <w:t>нали делать на Ижорском заводе и для испытаний опытно</w:t>
      </w:r>
      <w:r w:rsidRPr="00507A31">
        <w:rPr>
          <w:color w:val="000000" w:themeColor="text1"/>
          <w:sz w:val="16"/>
          <w:szCs w:val="16"/>
        </w:rPr>
        <w:softHyphen/>
        <w:t>го образца на Т-19 установили башню Т-18 на немного уширенном погоне. 37-мм танковая пушка обр. 1930 г. также не была закон</w:t>
      </w:r>
      <w:r w:rsidRPr="00507A31">
        <w:rPr>
          <w:color w:val="000000" w:themeColor="text1"/>
          <w:sz w:val="16"/>
          <w:szCs w:val="16"/>
        </w:rPr>
        <w:softHyphen/>
        <w:t>чена в срок и попала, таким образом, только на машины постройки 1932—33 гг. БТ, Т-26 и прототипы Т-28 и Т-35. Шестицилиндровый двигатель воздушного охлажде</w:t>
      </w:r>
      <w:r w:rsidRPr="00507A31">
        <w:rPr>
          <w:color w:val="000000" w:themeColor="text1"/>
          <w:sz w:val="16"/>
          <w:szCs w:val="16"/>
        </w:rPr>
        <w:softHyphen/>
        <w:t>ния мощностью 100 л.с. конструкции А. Микулина также не был доведен на «Большевике», а применение быстро-оборотного мотора «Франклин» мощностью 95 л.с. требо</w:t>
      </w:r>
      <w:r w:rsidRPr="00507A31">
        <w:rPr>
          <w:color w:val="000000" w:themeColor="text1"/>
          <w:sz w:val="16"/>
          <w:szCs w:val="16"/>
        </w:rPr>
        <w:softHyphen/>
        <w:t>вало применения новой КПП и даже переделки МТО тан</w:t>
      </w:r>
      <w:r w:rsidRPr="00507A31">
        <w:rPr>
          <w:color w:val="000000" w:themeColor="text1"/>
          <w:sz w:val="16"/>
          <w:szCs w:val="16"/>
        </w:rPr>
        <w:softHyphen/>
        <w:t>ка (мотор был больше по габаритам). Таким образом, изготовленный танк не мог быть испы</w:t>
      </w:r>
      <w:r w:rsidRPr="00507A31">
        <w:rPr>
          <w:color w:val="000000" w:themeColor="text1"/>
          <w:sz w:val="16"/>
          <w:szCs w:val="16"/>
        </w:rPr>
        <w:softHyphen/>
        <w:t>тан в установленном порядке, и в середине года страна вдруг оказалась без танков (10733,100).</w:t>
      </w:r>
    </w:p>
    <w:p w14:paraId="290CA0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463A87F" w14:textId="77777777" w:rsidR="00533EE8" w:rsidRPr="00507A31" w:rsidRDefault="00533EE8"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E43F151" w14:textId="77777777" w:rsidR="00533EE8" w:rsidRPr="00507A31" w:rsidRDefault="00533EE8" w:rsidP="00507A31">
      <w:pPr>
        <w:autoSpaceDE w:val="0"/>
        <w:autoSpaceDN w:val="0"/>
        <w:adjustRightInd w:val="0"/>
        <w:jc w:val="both"/>
        <w:rPr>
          <w:iCs/>
          <w:color w:val="000000" w:themeColor="text1"/>
          <w:sz w:val="16"/>
          <w:szCs w:val="16"/>
        </w:rPr>
      </w:pPr>
    </w:p>
    <w:p w14:paraId="6F8DA0D1" w14:textId="77777777" w:rsidR="00533EE8" w:rsidRPr="00507A31" w:rsidRDefault="00533EE8"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С конца августа 1930 И-4 авиации Балтийского моря сосредоточили в 62-м отряде в Ленинграде; из 46-го отряда все их забрали. На 4 сентября в 62-м отряде насчитывались девять И-4, из них семь исправных. Еще семь истребителей находились на складе № 17. В октябре такими же машинами стали комплектовать 21-ю эскадрилью в Петергофе.</w:t>
      </w:r>
    </w:p>
    <w:p w14:paraId="275F5D73" w14:textId="77777777" w:rsidR="00533EE8" w:rsidRPr="00507A31" w:rsidRDefault="00533EE8"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Еще один самолет имелся у командира 3-й авиабригады Сергеева. 9 июля 1930 г. на этой машине в полете вытекло масло - оборвалась магистраль. Комбриг приземлился на поле, засеянном ячменем, у деревни Варница (недалеко от Горы Валдай) (19100).</w:t>
      </w:r>
    </w:p>
    <w:p w14:paraId="1090D16F" w14:textId="77777777" w:rsidR="00533EE8" w:rsidRPr="00507A31" w:rsidRDefault="00533EE8" w:rsidP="00507A31">
      <w:pPr>
        <w:pStyle w:val="a8"/>
        <w:jc w:val="both"/>
        <w:rPr>
          <w:rFonts w:ascii="Times New Roman" w:hAnsi="Times New Roman" w:cs="Times New Roman"/>
          <w:color w:val="000000" w:themeColor="text1"/>
        </w:rPr>
      </w:pPr>
    </w:p>
    <w:p w14:paraId="1EBF3BD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967302C" w14:textId="77777777" w:rsidR="00537E5F" w:rsidRPr="00507A31" w:rsidRDefault="00537E5F" w:rsidP="00507A31">
      <w:pPr>
        <w:autoSpaceDE w:val="0"/>
        <w:autoSpaceDN w:val="0"/>
        <w:adjustRightInd w:val="0"/>
        <w:jc w:val="both"/>
        <w:rPr>
          <w:iCs/>
          <w:color w:val="000000" w:themeColor="text1"/>
          <w:sz w:val="16"/>
          <w:szCs w:val="16"/>
        </w:rPr>
      </w:pPr>
    </w:p>
    <w:p w14:paraId="1D820C33" w14:textId="77777777" w:rsidR="00192AD6" w:rsidRPr="00507A31" w:rsidRDefault="00192AD6" w:rsidP="00507A31">
      <w:pPr>
        <w:jc w:val="both"/>
        <w:rPr>
          <w:color w:val="0070C0"/>
          <w:sz w:val="16"/>
          <w:szCs w:val="16"/>
        </w:rPr>
      </w:pPr>
      <w:r w:rsidRPr="00507A31">
        <w:rPr>
          <w:color w:val="0070C0"/>
          <w:sz w:val="16"/>
          <w:szCs w:val="16"/>
          <w:lang w:bidi="ru-RU"/>
        </w:rPr>
        <w:t>До августа 1930 г., как следует из документов, никаких официальных требова</w:t>
      </w:r>
      <w:r w:rsidRPr="00507A31">
        <w:rPr>
          <w:color w:val="0070C0"/>
          <w:sz w:val="16"/>
          <w:szCs w:val="16"/>
          <w:lang w:bidi="ru-RU"/>
        </w:rPr>
        <w:softHyphen/>
        <w:t>ний УВВС КА к легкому бронированному штурмовику, за исключением материа</w:t>
      </w:r>
      <w:r w:rsidRPr="00507A31">
        <w:rPr>
          <w:color w:val="0070C0"/>
          <w:sz w:val="16"/>
          <w:szCs w:val="16"/>
          <w:lang w:bidi="ru-RU"/>
        </w:rPr>
        <w:softHyphen/>
        <w:t>лов по плану опытного строительства са</w:t>
      </w:r>
      <w:r w:rsidRPr="00507A31">
        <w:rPr>
          <w:color w:val="0070C0"/>
          <w:sz w:val="16"/>
          <w:szCs w:val="16"/>
          <w:lang w:bidi="ru-RU"/>
        </w:rPr>
        <w:softHyphen/>
        <w:t>молетов и моторов на 1930-33 гг., в ЦКБ не поступало. Тактико-технические требо</w:t>
      </w:r>
      <w:r w:rsidRPr="00507A31">
        <w:rPr>
          <w:color w:val="0070C0"/>
          <w:sz w:val="16"/>
          <w:szCs w:val="16"/>
          <w:lang w:bidi="ru-RU"/>
        </w:rPr>
        <w:softHyphen/>
        <w:t>вания к самолету были составлены в инициативном порядке «группой конструкто</w:t>
      </w:r>
      <w:r w:rsidRPr="00507A31">
        <w:rPr>
          <w:color w:val="0070C0"/>
          <w:sz w:val="16"/>
          <w:szCs w:val="16"/>
          <w:lang w:bidi="ru-RU"/>
        </w:rPr>
        <w:softHyphen/>
        <w:t>ров ЦКБ и по заявлению последней были доложены начальнику УВВС КА тов. Ба</w:t>
      </w:r>
      <w:r w:rsidRPr="00507A31">
        <w:rPr>
          <w:color w:val="0070C0"/>
          <w:sz w:val="16"/>
          <w:szCs w:val="16"/>
          <w:lang w:bidi="ru-RU"/>
        </w:rPr>
        <w:softHyphen/>
        <w:t>ранову при посещении им завода №39». Предварительно с НТК УВВС технические требования не согласовывались. Самолет получил внутреннее обозначение Ш.</w:t>
      </w:r>
    </w:p>
    <w:p w14:paraId="211ACD1B" w14:textId="77777777" w:rsidR="00192AD6" w:rsidRPr="00507A31" w:rsidRDefault="00192AD6" w:rsidP="00507A31">
      <w:pPr>
        <w:jc w:val="both"/>
        <w:rPr>
          <w:color w:val="0070C0"/>
          <w:sz w:val="16"/>
          <w:szCs w:val="16"/>
        </w:rPr>
      </w:pPr>
      <w:r w:rsidRPr="00507A31">
        <w:rPr>
          <w:color w:val="0070C0"/>
          <w:sz w:val="16"/>
          <w:szCs w:val="16"/>
          <w:lang w:bidi="ru-RU"/>
        </w:rPr>
        <w:t>При проектировании самолета Ш «были взяты в основу нижеследующие тактические требования к самолету по</w:t>
      </w:r>
      <w:r w:rsidRPr="00507A31">
        <w:rPr>
          <w:color w:val="0070C0"/>
          <w:sz w:val="16"/>
          <w:szCs w:val="16"/>
          <w:lang w:bidi="ru-RU"/>
        </w:rPr>
        <w:softHyphen/>
        <w:t>добного типа».</w:t>
      </w:r>
    </w:p>
    <w:p w14:paraId="1C3B50B7" w14:textId="77777777" w:rsidR="00192AD6" w:rsidRPr="00507A31" w:rsidRDefault="00192AD6" w:rsidP="00507A31">
      <w:pPr>
        <w:jc w:val="both"/>
        <w:rPr>
          <w:color w:val="0070C0"/>
          <w:sz w:val="16"/>
          <w:szCs w:val="16"/>
        </w:rPr>
      </w:pPr>
      <w:r w:rsidRPr="00507A31">
        <w:rPr>
          <w:color w:val="0070C0"/>
          <w:sz w:val="16"/>
          <w:szCs w:val="16"/>
          <w:lang w:bidi="ru-RU"/>
        </w:rPr>
        <w:t>Предполагалось, что бомбоштурмовые удары штурмовика с малых высот (15</w:t>
      </w:r>
      <w:r w:rsidRPr="00507A31">
        <w:rPr>
          <w:color w:val="0070C0"/>
          <w:sz w:val="16"/>
          <w:szCs w:val="16"/>
          <w:lang w:bidi="ru-RU"/>
        </w:rPr>
        <w:softHyphen/>
        <w:t>30 м) будут отличаться «кратковременно</w:t>
      </w:r>
      <w:r w:rsidRPr="00507A31">
        <w:rPr>
          <w:color w:val="0070C0"/>
          <w:sz w:val="16"/>
          <w:szCs w:val="16"/>
          <w:lang w:bidi="ru-RU"/>
        </w:rPr>
        <w:softHyphen/>
        <w:t>стью и быстроходностью». При этом эф</w:t>
      </w:r>
      <w:r w:rsidRPr="00507A31">
        <w:rPr>
          <w:color w:val="0070C0"/>
          <w:sz w:val="16"/>
          <w:szCs w:val="16"/>
          <w:lang w:bidi="ru-RU"/>
        </w:rPr>
        <w:softHyphen/>
        <w:t>фективность их действий определяется главным образом за счет «большой огне</w:t>
      </w:r>
      <w:r w:rsidRPr="00507A31">
        <w:rPr>
          <w:color w:val="0070C0"/>
          <w:sz w:val="16"/>
          <w:szCs w:val="16"/>
          <w:lang w:bidi="ru-RU"/>
        </w:rPr>
        <w:softHyphen/>
        <w:t>вой мощи (пулеметы и бомбы) и дейст</w:t>
      </w:r>
      <w:r w:rsidRPr="00507A31">
        <w:rPr>
          <w:color w:val="0070C0"/>
          <w:sz w:val="16"/>
          <w:szCs w:val="16"/>
          <w:lang w:bidi="ru-RU"/>
        </w:rPr>
        <w:softHyphen/>
        <w:t>вительности огня для поражения целей» и внезапности атаки с бреющего полета («внезапность появления, быстрота сни</w:t>
      </w:r>
      <w:r w:rsidRPr="00507A31">
        <w:rPr>
          <w:color w:val="0070C0"/>
          <w:sz w:val="16"/>
          <w:szCs w:val="16"/>
          <w:lang w:bidi="ru-RU"/>
        </w:rPr>
        <w:softHyphen/>
        <w:t>жения самолета на цель и решительность маневра, /.../ быстрый уход с поля боя по выполнении своей работы»).</w:t>
      </w:r>
    </w:p>
    <w:p w14:paraId="2A943008" w14:textId="77777777" w:rsidR="00192AD6" w:rsidRPr="00507A31" w:rsidRDefault="00192AD6" w:rsidP="00507A31">
      <w:pPr>
        <w:jc w:val="both"/>
        <w:rPr>
          <w:color w:val="0070C0"/>
          <w:sz w:val="16"/>
          <w:szCs w:val="16"/>
        </w:rPr>
      </w:pPr>
      <w:r w:rsidRPr="00507A31">
        <w:rPr>
          <w:color w:val="0070C0"/>
          <w:sz w:val="16"/>
          <w:szCs w:val="16"/>
          <w:lang w:bidi="ru-RU"/>
        </w:rPr>
        <w:t>Считалось, что штурмовики будут дей</w:t>
      </w:r>
      <w:r w:rsidRPr="00507A31">
        <w:rPr>
          <w:color w:val="0070C0"/>
          <w:sz w:val="16"/>
          <w:szCs w:val="16"/>
          <w:lang w:bidi="ru-RU"/>
        </w:rPr>
        <w:softHyphen/>
        <w:t>ствовать одиночно и в составе группы по 3-5 самолетов «в районе корпуса и ди</w:t>
      </w:r>
      <w:r w:rsidRPr="00507A31">
        <w:rPr>
          <w:color w:val="0070C0"/>
          <w:sz w:val="16"/>
          <w:szCs w:val="16"/>
          <w:lang w:bidi="ru-RU"/>
        </w:rPr>
        <w:softHyphen/>
        <w:t>визии» («наибольший залет в тыл против</w:t>
      </w:r>
      <w:r w:rsidRPr="00507A31">
        <w:rPr>
          <w:color w:val="0070C0"/>
          <w:sz w:val="16"/>
          <w:szCs w:val="16"/>
          <w:lang w:bidi="ru-RU"/>
        </w:rPr>
        <w:softHyphen/>
        <w:t>ника не далее 50-60 км»).</w:t>
      </w:r>
    </w:p>
    <w:p w14:paraId="12037B8D" w14:textId="77777777" w:rsidR="00192AD6" w:rsidRPr="00507A31" w:rsidRDefault="00192AD6" w:rsidP="00507A31">
      <w:pPr>
        <w:jc w:val="both"/>
        <w:rPr>
          <w:color w:val="0070C0"/>
          <w:sz w:val="16"/>
          <w:szCs w:val="16"/>
        </w:rPr>
      </w:pPr>
      <w:r w:rsidRPr="00507A31">
        <w:rPr>
          <w:color w:val="0070C0"/>
          <w:sz w:val="16"/>
          <w:szCs w:val="16"/>
          <w:lang w:bidi="ru-RU"/>
        </w:rPr>
        <w:t>Основными целями являлись «вой</w:t>
      </w:r>
      <w:r w:rsidRPr="00507A31">
        <w:rPr>
          <w:color w:val="0070C0"/>
          <w:sz w:val="16"/>
          <w:szCs w:val="16"/>
          <w:lang w:bidi="ru-RU"/>
        </w:rPr>
        <w:softHyphen/>
        <w:t>ска и технические средства противника на поле боя и в бою, при развертывании, резервы, колонны в походе и на отдыхе, обозы и т.д.»</w:t>
      </w:r>
    </w:p>
    <w:p w14:paraId="2AA77F21" w14:textId="77777777" w:rsidR="00192AD6" w:rsidRPr="00507A31" w:rsidRDefault="00192AD6" w:rsidP="00507A31">
      <w:pPr>
        <w:jc w:val="both"/>
        <w:rPr>
          <w:color w:val="0070C0"/>
          <w:sz w:val="16"/>
          <w:szCs w:val="16"/>
        </w:rPr>
      </w:pPr>
      <w:r w:rsidRPr="00507A31">
        <w:rPr>
          <w:color w:val="0070C0"/>
          <w:sz w:val="16"/>
          <w:szCs w:val="16"/>
          <w:lang w:bidi="ru-RU"/>
        </w:rPr>
        <w:t>Предполагалось наносить удары по штабам, тяжелым полевым артиллерий</w:t>
      </w:r>
      <w:r w:rsidRPr="00507A31">
        <w:rPr>
          <w:color w:val="0070C0"/>
          <w:sz w:val="16"/>
          <w:szCs w:val="16"/>
          <w:lang w:bidi="ru-RU"/>
        </w:rPr>
        <w:softHyphen/>
        <w:t>ским батареям («во время стрельбы и в моменты выезда на позицию»), танкам и бронемашинам («во время их работы, стоянки и на подходе с целью разруше</w:t>
      </w:r>
      <w:r w:rsidRPr="00507A31">
        <w:rPr>
          <w:color w:val="0070C0"/>
          <w:sz w:val="16"/>
          <w:szCs w:val="16"/>
          <w:lang w:bidi="ru-RU"/>
        </w:rPr>
        <w:softHyphen/>
        <w:t>ния их и создания условий, препятствую</w:t>
      </w:r>
      <w:r w:rsidRPr="00507A31">
        <w:rPr>
          <w:color w:val="0070C0"/>
          <w:sz w:val="16"/>
          <w:szCs w:val="16"/>
          <w:lang w:bidi="ru-RU"/>
        </w:rPr>
        <w:softHyphen/>
        <w:t>щих их передвижению и боевой работе»), районам сосредоточения и действия кон</w:t>
      </w:r>
      <w:r w:rsidRPr="00507A31">
        <w:rPr>
          <w:color w:val="0070C0"/>
          <w:sz w:val="16"/>
          <w:szCs w:val="16"/>
          <w:lang w:bidi="ru-RU"/>
        </w:rPr>
        <w:softHyphen/>
        <w:t>ницы, аэродромам, переправам. Кроме этого, предусматривалась постановка «на поле боя и переправах своих войск ды</w:t>
      </w:r>
      <w:r w:rsidRPr="00507A31">
        <w:rPr>
          <w:color w:val="0070C0"/>
          <w:sz w:val="16"/>
          <w:szCs w:val="16"/>
          <w:lang w:bidi="ru-RU"/>
        </w:rPr>
        <w:softHyphen/>
        <w:t>мовых завес с целью парализования дей</w:t>
      </w:r>
      <w:r w:rsidRPr="00507A31">
        <w:rPr>
          <w:color w:val="0070C0"/>
          <w:sz w:val="16"/>
          <w:szCs w:val="16"/>
          <w:lang w:bidi="ru-RU"/>
        </w:rPr>
        <w:softHyphen/>
        <w:t>ствий неприятельских разведчиков, бом</w:t>
      </w:r>
      <w:r w:rsidRPr="00507A31">
        <w:rPr>
          <w:color w:val="0070C0"/>
          <w:sz w:val="16"/>
          <w:szCs w:val="16"/>
          <w:lang w:bidi="ru-RU"/>
        </w:rPr>
        <w:softHyphen/>
        <w:t>бардировщиков и штурмовиков».</w:t>
      </w:r>
    </w:p>
    <w:p w14:paraId="76C4E396" w14:textId="77777777" w:rsidR="00192AD6" w:rsidRPr="00507A31" w:rsidRDefault="00192AD6" w:rsidP="00507A31">
      <w:pPr>
        <w:jc w:val="both"/>
        <w:rPr>
          <w:color w:val="0070C0"/>
          <w:sz w:val="16"/>
          <w:szCs w:val="16"/>
        </w:rPr>
      </w:pPr>
      <w:r w:rsidRPr="00507A31">
        <w:rPr>
          <w:color w:val="0070C0"/>
          <w:sz w:val="16"/>
          <w:szCs w:val="16"/>
          <w:lang w:bidi="ru-RU"/>
        </w:rPr>
        <w:t>Все эти весьма разнообразные по сте</w:t>
      </w:r>
      <w:r w:rsidRPr="00507A31">
        <w:rPr>
          <w:color w:val="0070C0"/>
          <w:sz w:val="16"/>
          <w:szCs w:val="16"/>
          <w:lang w:bidi="ru-RU"/>
        </w:rPr>
        <w:softHyphen/>
        <w:t>пени уязвимости и размерам цели следо</w:t>
      </w:r>
      <w:r w:rsidRPr="00507A31">
        <w:rPr>
          <w:color w:val="0070C0"/>
          <w:sz w:val="16"/>
          <w:szCs w:val="16"/>
          <w:lang w:bidi="ru-RU"/>
        </w:rPr>
        <w:softHyphen/>
        <w:t>вало уничтожать «как в условиях дневного, так и в условиях ночного боя, а также в условиях различных времен года и погоды, используя туманы, облака и пр.».</w:t>
      </w:r>
    </w:p>
    <w:p w14:paraId="7A5BE015" w14:textId="77777777" w:rsidR="00192AD6" w:rsidRPr="00507A31" w:rsidRDefault="00192AD6" w:rsidP="00507A31">
      <w:pPr>
        <w:jc w:val="both"/>
        <w:rPr>
          <w:color w:val="0070C0"/>
          <w:sz w:val="16"/>
          <w:szCs w:val="16"/>
        </w:rPr>
      </w:pPr>
      <w:r w:rsidRPr="00507A31">
        <w:rPr>
          <w:color w:val="0070C0"/>
          <w:sz w:val="16"/>
          <w:szCs w:val="16"/>
          <w:lang w:bidi="ru-RU"/>
        </w:rPr>
        <w:t>Применение штурмовика в качестве разведчика специалисты ЦКБ считали нерациональным, «но отдельные задачи по разведке могут быть выполнены на данном самолете благодаря наличию до</w:t>
      </w:r>
      <w:r w:rsidRPr="00507A31">
        <w:rPr>
          <w:color w:val="0070C0"/>
          <w:sz w:val="16"/>
          <w:szCs w:val="16"/>
          <w:lang w:bidi="ru-RU"/>
        </w:rPr>
        <w:softHyphen/>
        <w:t>статочного запаса горючего, оборудова</w:t>
      </w:r>
      <w:r w:rsidRPr="00507A31">
        <w:rPr>
          <w:color w:val="0070C0"/>
          <w:sz w:val="16"/>
          <w:szCs w:val="16"/>
          <w:lang w:bidi="ru-RU"/>
        </w:rPr>
        <w:softHyphen/>
        <w:t>ния и обзора».</w:t>
      </w:r>
    </w:p>
    <w:p w14:paraId="31B089BB" w14:textId="77777777" w:rsidR="00192AD6" w:rsidRPr="00507A31" w:rsidRDefault="00192AD6" w:rsidP="00507A31">
      <w:pPr>
        <w:jc w:val="both"/>
        <w:rPr>
          <w:color w:val="0070C0"/>
          <w:sz w:val="16"/>
          <w:szCs w:val="16"/>
        </w:rPr>
      </w:pPr>
      <w:r w:rsidRPr="00507A31">
        <w:rPr>
          <w:color w:val="0070C0"/>
          <w:sz w:val="16"/>
          <w:szCs w:val="16"/>
          <w:lang w:bidi="ru-RU"/>
        </w:rPr>
        <w:t>В ряду основных средств поражения штурмовиком наземных целей рассма</w:t>
      </w:r>
      <w:r w:rsidRPr="00507A31">
        <w:rPr>
          <w:color w:val="0070C0"/>
          <w:sz w:val="16"/>
          <w:szCs w:val="16"/>
          <w:lang w:bidi="ru-RU"/>
        </w:rPr>
        <w:softHyphen/>
        <w:t>тривались ручные гранаты или осколоч</w:t>
      </w:r>
      <w:r w:rsidRPr="00507A31">
        <w:rPr>
          <w:color w:val="0070C0"/>
          <w:sz w:val="16"/>
          <w:szCs w:val="16"/>
          <w:lang w:bidi="ru-RU"/>
        </w:rPr>
        <w:softHyphen/>
        <w:t>ные (осколочно-химические) бомбы кали</w:t>
      </w:r>
      <w:r w:rsidRPr="00507A31">
        <w:rPr>
          <w:color w:val="0070C0"/>
          <w:sz w:val="16"/>
          <w:szCs w:val="16"/>
          <w:lang w:bidi="ru-RU"/>
        </w:rPr>
        <w:softHyphen/>
        <w:t>бра 1-2 кг или 8-10 кг, боевые отравля</w:t>
      </w:r>
      <w:r w:rsidRPr="00507A31">
        <w:rPr>
          <w:color w:val="0070C0"/>
          <w:sz w:val="16"/>
          <w:szCs w:val="16"/>
          <w:lang w:bidi="ru-RU"/>
        </w:rPr>
        <w:softHyphen/>
        <w:t>ющие и зажигательные вещества, масси</w:t>
      </w:r>
      <w:r w:rsidRPr="00507A31">
        <w:rPr>
          <w:color w:val="0070C0"/>
          <w:sz w:val="16"/>
          <w:szCs w:val="16"/>
          <w:lang w:bidi="ru-RU"/>
        </w:rPr>
        <w:softHyphen/>
        <w:t>рованный огонь 12 пулеметов, «дымовые средства», «мины или бомбы весом 100</w:t>
      </w:r>
      <w:r w:rsidRPr="00507A31">
        <w:rPr>
          <w:color w:val="0070C0"/>
          <w:sz w:val="16"/>
          <w:szCs w:val="16"/>
          <w:lang w:bidi="ru-RU"/>
        </w:rPr>
        <w:softHyphen/>
        <w:t>150 кг для поражения более или менее прочных объектов на поле боя и перепра</w:t>
      </w:r>
      <w:r w:rsidRPr="00507A31">
        <w:rPr>
          <w:color w:val="0070C0"/>
          <w:sz w:val="16"/>
          <w:szCs w:val="16"/>
          <w:lang w:bidi="ru-RU"/>
        </w:rPr>
        <w:softHyphen/>
        <w:t>вах». При этом состав и количество воо</w:t>
      </w:r>
      <w:r w:rsidRPr="00507A31">
        <w:rPr>
          <w:color w:val="0070C0"/>
          <w:sz w:val="16"/>
          <w:szCs w:val="16"/>
          <w:lang w:bidi="ru-RU"/>
        </w:rPr>
        <w:softHyphen/>
        <w:t>ружения на борту должно было обеспечи</w:t>
      </w:r>
      <w:r w:rsidRPr="00507A31">
        <w:rPr>
          <w:color w:val="0070C0"/>
          <w:sz w:val="16"/>
          <w:szCs w:val="16"/>
          <w:lang w:bidi="ru-RU"/>
        </w:rPr>
        <w:softHyphen/>
        <w:t>вать «поражение этих целей в максималь</w:t>
      </w:r>
      <w:r w:rsidRPr="00507A31">
        <w:rPr>
          <w:color w:val="0070C0"/>
          <w:sz w:val="16"/>
          <w:szCs w:val="16"/>
          <w:lang w:bidi="ru-RU"/>
        </w:rPr>
        <w:softHyphen/>
        <w:t>ной степени» в одном заходе.</w:t>
      </w:r>
    </w:p>
    <w:p w14:paraId="5CA08766" w14:textId="77777777" w:rsidR="00192AD6" w:rsidRPr="00507A31" w:rsidRDefault="00192AD6" w:rsidP="00507A31">
      <w:pPr>
        <w:jc w:val="both"/>
        <w:rPr>
          <w:color w:val="0070C0"/>
          <w:sz w:val="16"/>
          <w:szCs w:val="16"/>
        </w:rPr>
      </w:pPr>
      <w:r w:rsidRPr="00507A31">
        <w:rPr>
          <w:color w:val="0070C0"/>
          <w:sz w:val="16"/>
          <w:szCs w:val="16"/>
          <w:lang w:bidi="ru-RU"/>
        </w:rPr>
        <w:t>Для защиты штурмовика от нападения воздушного противника предполагалось иметь подвижные пулеметы у летнаба.</w:t>
      </w:r>
    </w:p>
    <w:p w14:paraId="1577444D" w14:textId="77777777" w:rsidR="00192AD6" w:rsidRPr="00507A31" w:rsidRDefault="00192AD6" w:rsidP="00507A31">
      <w:pPr>
        <w:jc w:val="both"/>
        <w:rPr>
          <w:color w:val="0070C0"/>
          <w:sz w:val="16"/>
          <w:szCs w:val="16"/>
        </w:rPr>
      </w:pPr>
      <w:r w:rsidRPr="00507A31">
        <w:rPr>
          <w:color w:val="0070C0"/>
          <w:sz w:val="16"/>
          <w:szCs w:val="16"/>
          <w:lang w:bidi="ru-RU"/>
        </w:rPr>
        <w:t>Учитывая условия боевой работы штурмовиков, требовалось обеспечить за</w:t>
      </w:r>
      <w:r w:rsidRPr="00507A31">
        <w:rPr>
          <w:color w:val="0070C0"/>
          <w:sz w:val="16"/>
          <w:szCs w:val="16"/>
          <w:lang w:bidi="ru-RU"/>
        </w:rPr>
        <w:softHyphen/>
        <w:t>щиту броней «экипажа и наиболее жиз</w:t>
      </w:r>
      <w:r w:rsidRPr="00507A31">
        <w:rPr>
          <w:color w:val="0070C0"/>
          <w:sz w:val="16"/>
          <w:szCs w:val="16"/>
          <w:lang w:bidi="ru-RU"/>
        </w:rPr>
        <w:softHyphen/>
        <w:t>ненных деталей самолета и мотора от ближнего артиллерийского шрапнельного и картечного, пулеметного и ружейного огня», а также создать такую конструкцию самолета, которая была бы устойчивой к попаданию пуль и осколков (за счет «мак</w:t>
      </w:r>
      <w:r w:rsidRPr="00507A31">
        <w:rPr>
          <w:color w:val="0070C0"/>
          <w:sz w:val="16"/>
          <w:szCs w:val="16"/>
          <w:lang w:bidi="ru-RU"/>
        </w:rPr>
        <w:softHyphen/>
        <w:t>симальной металлизации самолета и осо</w:t>
      </w:r>
      <w:r w:rsidRPr="00507A31">
        <w:rPr>
          <w:color w:val="0070C0"/>
          <w:sz w:val="16"/>
          <w:szCs w:val="16"/>
          <w:lang w:bidi="ru-RU"/>
        </w:rPr>
        <w:softHyphen/>
        <w:t>бой его компоновки», дублирования ор</w:t>
      </w:r>
      <w:r w:rsidRPr="00507A31">
        <w:rPr>
          <w:color w:val="0070C0"/>
          <w:sz w:val="16"/>
          <w:szCs w:val="16"/>
          <w:lang w:bidi="ru-RU"/>
        </w:rPr>
        <w:softHyphen/>
        <w:t>ганов управления, применения металли</w:t>
      </w:r>
      <w:r w:rsidRPr="00507A31">
        <w:rPr>
          <w:color w:val="0070C0"/>
          <w:sz w:val="16"/>
          <w:szCs w:val="16"/>
          <w:lang w:bidi="ru-RU"/>
        </w:rPr>
        <w:softHyphen/>
        <w:t>ческого воздушного винта, бронирования бензиновых баков, бензо-, масло- и водо- проводки).</w:t>
      </w:r>
    </w:p>
    <w:p w14:paraId="1B83F533" w14:textId="77777777" w:rsidR="00192AD6" w:rsidRPr="00507A31" w:rsidRDefault="00192AD6" w:rsidP="00507A31">
      <w:pPr>
        <w:jc w:val="both"/>
        <w:rPr>
          <w:color w:val="0070C0"/>
          <w:sz w:val="16"/>
          <w:szCs w:val="16"/>
        </w:rPr>
      </w:pPr>
      <w:r w:rsidRPr="00507A31">
        <w:rPr>
          <w:color w:val="0070C0"/>
          <w:sz w:val="16"/>
          <w:szCs w:val="16"/>
          <w:lang w:bidi="ru-RU"/>
        </w:rPr>
        <w:t>По проекту самолет имел смешан</w:t>
      </w:r>
      <w:r w:rsidRPr="00507A31">
        <w:rPr>
          <w:color w:val="0070C0"/>
          <w:sz w:val="16"/>
          <w:szCs w:val="16"/>
          <w:lang w:bidi="ru-RU"/>
        </w:rPr>
        <w:softHyphen/>
        <w:t>ную конструкцию. Носовая часть выпол</w:t>
      </w:r>
      <w:r w:rsidRPr="00507A31">
        <w:rPr>
          <w:color w:val="0070C0"/>
          <w:sz w:val="16"/>
          <w:szCs w:val="16"/>
          <w:lang w:bidi="ru-RU"/>
        </w:rPr>
        <w:softHyphen/>
        <w:t>нялась в виде бронекоробки, внутри ко</w:t>
      </w:r>
      <w:r w:rsidRPr="00507A31">
        <w:rPr>
          <w:color w:val="0070C0"/>
          <w:sz w:val="16"/>
          <w:szCs w:val="16"/>
          <w:lang w:bidi="ru-RU"/>
        </w:rPr>
        <w:softHyphen/>
        <w:t>торой размещались мотор, закрепленный на стержневой мотораме, все агрегаты мотора, масло- и водорадиаторы, основ</w:t>
      </w:r>
      <w:r w:rsidRPr="00507A31">
        <w:rPr>
          <w:color w:val="0070C0"/>
          <w:sz w:val="16"/>
          <w:szCs w:val="16"/>
          <w:lang w:bidi="ru-RU"/>
        </w:rPr>
        <w:softHyphen/>
        <w:t>ной бензобак, маслобак, кабины летчика и летнаба. К бронекоробке на четырех узлах крепилась сваренная из стальных труб с проволочными растяжками хвосто</w:t>
      </w:r>
      <w:r w:rsidRPr="00507A31">
        <w:rPr>
          <w:color w:val="0070C0"/>
          <w:sz w:val="16"/>
          <w:szCs w:val="16"/>
          <w:lang w:bidi="ru-RU"/>
        </w:rPr>
        <w:softHyphen/>
        <w:t>вая часть фюзеляжа, обтянутая полотном.</w:t>
      </w:r>
    </w:p>
    <w:p w14:paraId="306253FC" w14:textId="77777777" w:rsidR="00192AD6" w:rsidRPr="00507A31" w:rsidRDefault="00192AD6" w:rsidP="00507A31">
      <w:pPr>
        <w:jc w:val="both"/>
        <w:rPr>
          <w:color w:val="0070C0"/>
          <w:sz w:val="16"/>
          <w:szCs w:val="16"/>
        </w:rPr>
      </w:pPr>
      <w:r w:rsidRPr="00507A31">
        <w:rPr>
          <w:color w:val="0070C0"/>
          <w:sz w:val="16"/>
          <w:szCs w:val="16"/>
          <w:lang w:bidi="ru-RU"/>
        </w:rPr>
        <w:t>Конструкция бипланной коробки кры</w:t>
      </w:r>
      <w:r w:rsidRPr="00507A31">
        <w:rPr>
          <w:color w:val="0070C0"/>
          <w:sz w:val="16"/>
          <w:szCs w:val="16"/>
          <w:lang w:bidi="ru-RU"/>
        </w:rPr>
        <w:softHyphen/>
        <w:t>льев с выносом вперед верхнего крыла выполнялась по типу самолета Р-5, но с усиленными лонжеронами. Размах верх</w:t>
      </w:r>
      <w:r w:rsidRPr="00507A31">
        <w:rPr>
          <w:color w:val="0070C0"/>
          <w:sz w:val="16"/>
          <w:szCs w:val="16"/>
          <w:lang w:bidi="ru-RU"/>
        </w:rPr>
        <w:softHyphen/>
        <w:t xml:space="preserve">него крыла на 1200 мм больше нижнего. Коробка планов соединялась </w:t>
      </w:r>
      <w:r w:rsidRPr="00507A31">
        <w:rPr>
          <w:color w:val="0070C0"/>
          <w:sz w:val="16"/>
          <w:szCs w:val="16"/>
          <w:lang w:val="en-US" w:bidi="ru-RU"/>
        </w:rPr>
        <w:t>Z</w:t>
      </w:r>
      <w:r w:rsidRPr="00507A31">
        <w:rPr>
          <w:color w:val="0070C0"/>
          <w:sz w:val="16"/>
          <w:szCs w:val="16"/>
          <w:lang w:bidi="ru-RU"/>
        </w:rPr>
        <w:t>-образ- ными стойками и была расчалена сталь</w:t>
      </w:r>
      <w:r w:rsidRPr="00507A31">
        <w:rPr>
          <w:color w:val="0070C0"/>
          <w:sz w:val="16"/>
          <w:szCs w:val="16"/>
          <w:lang w:bidi="ru-RU"/>
        </w:rPr>
        <w:softHyphen/>
        <w:t>ными лентами. На верхних и нижних пло</w:t>
      </w:r>
      <w:r w:rsidRPr="00507A31">
        <w:rPr>
          <w:color w:val="0070C0"/>
          <w:sz w:val="16"/>
          <w:szCs w:val="16"/>
          <w:lang w:bidi="ru-RU"/>
        </w:rPr>
        <w:softHyphen/>
        <w:t>скостях имелись элероны. Каркас крыльев выполнялся деревянным. Плоскости по</w:t>
      </w:r>
      <w:r w:rsidRPr="00507A31">
        <w:rPr>
          <w:color w:val="0070C0"/>
          <w:sz w:val="16"/>
          <w:szCs w:val="16"/>
          <w:lang w:bidi="ru-RU"/>
        </w:rPr>
        <w:softHyphen/>
        <w:t>крывались полотном. Оперение деревян</w:t>
      </w:r>
      <w:r w:rsidRPr="00507A31">
        <w:rPr>
          <w:color w:val="0070C0"/>
          <w:sz w:val="16"/>
          <w:szCs w:val="16"/>
          <w:lang w:bidi="ru-RU"/>
        </w:rPr>
        <w:softHyphen/>
        <w:t>ное, стабилизатор - металлический (дю</w:t>
      </w:r>
      <w:r w:rsidRPr="00507A31">
        <w:rPr>
          <w:color w:val="0070C0"/>
          <w:sz w:val="16"/>
          <w:szCs w:val="16"/>
          <w:lang w:bidi="ru-RU"/>
        </w:rPr>
        <w:softHyphen/>
        <w:t>ралевый) с полотняной обшивкой, управ</w:t>
      </w:r>
      <w:r w:rsidRPr="00507A31">
        <w:rPr>
          <w:color w:val="0070C0"/>
          <w:sz w:val="16"/>
          <w:szCs w:val="16"/>
          <w:lang w:bidi="ru-RU"/>
        </w:rPr>
        <w:softHyphen/>
        <w:t>ляемый в полете. Элероны и рули имели аэродинамическую компенсацию.</w:t>
      </w:r>
    </w:p>
    <w:p w14:paraId="473CB5B3" w14:textId="77777777" w:rsidR="00192AD6" w:rsidRPr="00507A31" w:rsidRDefault="00192AD6" w:rsidP="00507A31">
      <w:pPr>
        <w:jc w:val="both"/>
        <w:rPr>
          <w:color w:val="0070C0"/>
          <w:sz w:val="16"/>
          <w:szCs w:val="16"/>
        </w:rPr>
      </w:pPr>
      <w:r w:rsidRPr="00507A31">
        <w:rPr>
          <w:color w:val="0070C0"/>
          <w:sz w:val="16"/>
          <w:szCs w:val="16"/>
          <w:lang w:bidi="ru-RU"/>
        </w:rPr>
        <w:t>Шасси, как у Р-5, из стальных труб, но усиленные. Амортизаторы из резиновых колец. Костыль управляемый.</w:t>
      </w:r>
    </w:p>
    <w:p w14:paraId="7F1374FB" w14:textId="77777777" w:rsidR="00192AD6" w:rsidRPr="00507A31" w:rsidRDefault="00192AD6" w:rsidP="00507A31">
      <w:pPr>
        <w:jc w:val="both"/>
        <w:rPr>
          <w:color w:val="0070C0"/>
          <w:sz w:val="16"/>
          <w:szCs w:val="16"/>
        </w:rPr>
      </w:pPr>
      <w:r w:rsidRPr="00507A31">
        <w:rPr>
          <w:color w:val="0070C0"/>
          <w:sz w:val="16"/>
          <w:szCs w:val="16"/>
          <w:lang w:bidi="ru-RU"/>
        </w:rPr>
        <w:t>Бронекоробка собиралась из от</w:t>
      </w:r>
      <w:r w:rsidRPr="00507A31">
        <w:rPr>
          <w:color w:val="0070C0"/>
          <w:sz w:val="16"/>
          <w:szCs w:val="16"/>
          <w:lang w:bidi="ru-RU"/>
        </w:rPr>
        <w:softHyphen/>
        <w:t>дельных плоских и гнутых листов (всего 20 шт.) гомогенной брони марки ИЗ (броня Ижорского завода - прим. авт.). В районе мотора и у козырька кабины летчика боковинки брони могли откры</w:t>
      </w:r>
      <w:r w:rsidRPr="00507A31">
        <w:rPr>
          <w:color w:val="0070C0"/>
          <w:sz w:val="16"/>
          <w:szCs w:val="16"/>
          <w:lang w:bidi="ru-RU"/>
        </w:rPr>
        <w:softHyphen/>
        <w:t>ваться на шарнирах. Кабина летнаба за</w:t>
      </w:r>
      <w:r w:rsidRPr="00507A31">
        <w:rPr>
          <w:color w:val="0070C0"/>
          <w:sz w:val="16"/>
          <w:szCs w:val="16"/>
          <w:lang w:bidi="ru-RU"/>
        </w:rPr>
        <w:softHyphen/>
        <w:t>мыкалась сзади вертикальной бронепли- той. Толщина брони бронекорпуса: спе</w:t>
      </w:r>
      <w:r w:rsidRPr="00507A31">
        <w:rPr>
          <w:color w:val="0070C0"/>
          <w:sz w:val="16"/>
          <w:szCs w:val="16"/>
          <w:lang w:bidi="ru-RU"/>
        </w:rPr>
        <w:softHyphen/>
        <w:t>реди, снизу и сзади - 5 мм, по бортам - 4 мм. Броневые листы, а также все узлы бронекоробки, собирались на 6-мм бол</w:t>
      </w:r>
      <w:r w:rsidRPr="00507A31">
        <w:rPr>
          <w:color w:val="0070C0"/>
          <w:sz w:val="16"/>
          <w:szCs w:val="16"/>
          <w:lang w:bidi="ru-RU"/>
        </w:rPr>
        <w:softHyphen/>
        <w:t>тах с потайной клепкой. Вес брони по расчету достигал 520 кг.</w:t>
      </w:r>
    </w:p>
    <w:p w14:paraId="287BC309" w14:textId="77777777" w:rsidR="00192AD6" w:rsidRPr="00507A31" w:rsidRDefault="00192AD6" w:rsidP="00507A31">
      <w:pPr>
        <w:jc w:val="both"/>
        <w:rPr>
          <w:color w:val="0070C0"/>
          <w:sz w:val="16"/>
          <w:szCs w:val="16"/>
        </w:rPr>
      </w:pPr>
      <w:r w:rsidRPr="00507A31">
        <w:rPr>
          <w:color w:val="0070C0"/>
          <w:sz w:val="16"/>
          <w:szCs w:val="16"/>
          <w:lang w:bidi="ru-RU"/>
        </w:rPr>
        <w:t>Подобная конструкция бронекоробки штурмовика не только придавала ей угло</w:t>
      </w:r>
      <w:r w:rsidRPr="00507A31">
        <w:rPr>
          <w:color w:val="0070C0"/>
          <w:sz w:val="16"/>
          <w:szCs w:val="16"/>
          <w:lang w:bidi="ru-RU"/>
        </w:rPr>
        <w:softHyphen/>
        <w:t>ватый вид, ухудшая аэродинамику, но и за</w:t>
      </w:r>
      <w:r w:rsidRPr="00507A31">
        <w:rPr>
          <w:color w:val="0070C0"/>
          <w:sz w:val="16"/>
          <w:szCs w:val="16"/>
          <w:lang w:bidi="ru-RU"/>
        </w:rPr>
        <w:softHyphen/>
        <w:t>трудняла полное включение брони в сило</w:t>
      </w:r>
      <w:r w:rsidRPr="00507A31">
        <w:rPr>
          <w:color w:val="0070C0"/>
          <w:sz w:val="16"/>
          <w:szCs w:val="16"/>
          <w:lang w:bidi="ru-RU"/>
        </w:rPr>
        <w:softHyphen/>
        <w:t>вую схему самолета, увеличивая его вес.</w:t>
      </w:r>
    </w:p>
    <w:p w14:paraId="2EF601DE" w14:textId="77777777" w:rsidR="00192AD6" w:rsidRPr="00507A31" w:rsidRDefault="00192AD6" w:rsidP="00507A31">
      <w:pPr>
        <w:jc w:val="both"/>
        <w:rPr>
          <w:color w:val="0070C0"/>
          <w:sz w:val="16"/>
          <w:szCs w:val="16"/>
        </w:rPr>
      </w:pPr>
      <w:r w:rsidRPr="00507A31">
        <w:rPr>
          <w:color w:val="0070C0"/>
          <w:sz w:val="16"/>
          <w:szCs w:val="16"/>
          <w:lang w:bidi="ru-RU"/>
        </w:rPr>
        <w:t>Для повышения боевой живучести стойки и ленты-расчалки бипланной ко</w:t>
      </w:r>
      <w:r w:rsidRPr="00507A31">
        <w:rPr>
          <w:color w:val="0070C0"/>
          <w:sz w:val="16"/>
          <w:szCs w:val="16"/>
          <w:lang w:bidi="ru-RU"/>
        </w:rPr>
        <w:softHyphen/>
        <w:t>робки были «приняты в своих размерах и сечениях с таким расчетом, что при про</w:t>
      </w:r>
      <w:r w:rsidRPr="00507A31">
        <w:rPr>
          <w:color w:val="0070C0"/>
          <w:sz w:val="16"/>
          <w:szCs w:val="16"/>
          <w:lang w:bidi="ru-RU"/>
        </w:rPr>
        <w:softHyphen/>
        <w:t>стреле одной из них прочность сохраня</w:t>
      </w:r>
      <w:r w:rsidRPr="00507A31">
        <w:rPr>
          <w:color w:val="0070C0"/>
          <w:sz w:val="16"/>
          <w:szCs w:val="16"/>
          <w:lang w:bidi="ru-RU"/>
        </w:rPr>
        <w:softHyphen/>
        <w:t>лась бы в такой степени, чтобы самолет мог совершать горизонтальный полет и необходимые развороты». С этой же це</w:t>
      </w:r>
      <w:r w:rsidRPr="00507A31">
        <w:rPr>
          <w:color w:val="0070C0"/>
          <w:sz w:val="16"/>
          <w:szCs w:val="16"/>
          <w:lang w:bidi="ru-RU"/>
        </w:rPr>
        <w:softHyphen/>
        <w:t>лью применялся металлический воздуш</w:t>
      </w:r>
      <w:r w:rsidRPr="00507A31">
        <w:rPr>
          <w:color w:val="0070C0"/>
          <w:sz w:val="16"/>
          <w:szCs w:val="16"/>
          <w:lang w:bidi="ru-RU"/>
        </w:rPr>
        <w:softHyphen/>
        <w:t>ный винт конструкции Рида.</w:t>
      </w:r>
    </w:p>
    <w:p w14:paraId="2EB27412" w14:textId="77777777" w:rsidR="00192AD6" w:rsidRPr="00507A31" w:rsidRDefault="00192AD6" w:rsidP="00507A31">
      <w:pPr>
        <w:jc w:val="both"/>
        <w:rPr>
          <w:color w:val="0070C0"/>
          <w:sz w:val="16"/>
          <w:szCs w:val="16"/>
        </w:rPr>
      </w:pPr>
      <w:r w:rsidRPr="00507A31">
        <w:rPr>
          <w:color w:val="0070C0"/>
          <w:sz w:val="16"/>
          <w:szCs w:val="16"/>
          <w:lang w:bidi="ru-RU"/>
        </w:rPr>
        <w:t>Водо- и маслорадиаторы в полете выдвигались в воздушный поток, а пе</w:t>
      </w:r>
      <w:r w:rsidRPr="00507A31">
        <w:rPr>
          <w:color w:val="0070C0"/>
          <w:sz w:val="16"/>
          <w:szCs w:val="16"/>
          <w:lang w:bidi="ru-RU"/>
        </w:rPr>
        <w:softHyphen/>
        <w:t>ред атакой за 5-10 км до цели убирались летчиком в бронекорпус.</w:t>
      </w:r>
    </w:p>
    <w:p w14:paraId="0F1BA8E3" w14:textId="77777777" w:rsidR="00192AD6" w:rsidRPr="00507A31" w:rsidRDefault="00192AD6" w:rsidP="00507A31">
      <w:pPr>
        <w:jc w:val="both"/>
        <w:rPr>
          <w:color w:val="0070C0"/>
          <w:sz w:val="16"/>
          <w:szCs w:val="16"/>
        </w:rPr>
      </w:pPr>
      <w:r w:rsidRPr="00507A31">
        <w:rPr>
          <w:color w:val="0070C0"/>
          <w:sz w:val="16"/>
          <w:szCs w:val="16"/>
          <w:lang w:bidi="ru-RU"/>
        </w:rPr>
        <w:t>На самолете имелось три бензобака. Центральный бензобак (130 кг) распола</w:t>
      </w:r>
      <w:r w:rsidRPr="00507A31">
        <w:rPr>
          <w:color w:val="0070C0"/>
          <w:sz w:val="16"/>
          <w:szCs w:val="16"/>
          <w:lang w:bidi="ru-RU"/>
        </w:rPr>
        <w:softHyphen/>
        <w:t>гался в ногах летчика и был заброниро</w:t>
      </w:r>
      <w:r w:rsidRPr="00507A31">
        <w:rPr>
          <w:color w:val="0070C0"/>
          <w:sz w:val="16"/>
          <w:szCs w:val="16"/>
          <w:lang w:bidi="ru-RU"/>
        </w:rPr>
        <w:softHyphen/>
        <w:t>ван. Остальные два бензобака (по 135 кг каждый) подвешивались у корневой ча</w:t>
      </w:r>
      <w:r w:rsidRPr="00507A31">
        <w:rPr>
          <w:color w:val="0070C0"/>
          <w:sz w:val="16"/>
          <w:szCs w:val="16"/>
          <w:lang w:bidi="ru-RU"/>
        </w:rPr>
        <w:softHyphen/>
        <w:t>сти нижнего крыла между лонжеронами и при необходимости могли сбрасываться. Обтекатели бензобаков снизу не предус</w:t>
      </w:r>
      <w:r w:rsidRPr="00507A31">
        <w:rPr>
          <w:color w:val="0070C0"/>
          <w:sz w:val="16"/>
          <w:szCs w:val="16"/>
          <w:lang w:bidi="ru-RU"/>
        </w:rPr>
        <w:softHyphen/>
        <w:t>матривались. Маслобак на 47 кг масла на</w:t>
      </w:r>
      <w:r w:rsidRPr="00507A31">
        <w:rPr>
          <w:color w:val="0070C0"/>
          <w:sz w:val="16"/>
          <w:szCs w:val="16"/>
          <w:lang w:bidi="ru-RU"/>
        </w:rPr>
        <w:softHyphen/>
        <w:t>ходился перед сиденьем летчика и также прикрывался броней.</w:t>
      </w:r>
    </w:p>
    <w:p w14:paraId="332AD7D8" w14:textId="77777777" w:rsidR="00192AD6" w:rsidRPr="00507A31" w:rsidRDefault="00192AD6" w:rsidP="00507A31">
      <w:pPr>
        <w:jc w:val="both"/>
        <w:rPr>
          <w:color w:val="0070C0"/>
          <w:sz w:val="16"/>
          <w:szCs w:val="16"/>
        </w:rPr>
      </w:pPr>
      <w:r w:rsidRPr="00507A31">
        <w:rPr>
          <w:color w:val="0070C0"/>
          <w:sz w:val="16"/>
          <w:szCs w:val="16"/>
          <w:lang w:bidi="ru-RU"/>
        </w:rPr>
        <w:t>Вся бензо-, масло- и водопроводка «проходит под прикрытием брони». Более того, «бензинопроводная система, в слу</w:t>
      </w:r>
      <w:r w:rsidRPr="00507A31">
        <w:rPr>
          <w:color w:val="0070C0"/>
          <w:sz w:val="16"/>
          <w:szCs w:val="16"/>
          <w:lang w:bidi="ru-RU"/>
        </w:rPr>
        <w:softHyphen/>
        <w:t>чае пробития отдельных баков, в полете легко может быть разобщена путем пере</w:t>
      </w:r>
      <w:r w:rsidRPr="00507A31">
        <w:rPr>
          <w:color w:val="0070C0"/>
          <w:sz w:val="16"/>
          <w:szCs w:val="16"/>
          <w:lang w:bidi="ru-RU"/>
        </w:rPr>
        <w:softHyphen/>
        <w:t>крытия соответствующих краников». Про</w:t>
      </w:r>
      <w:r w:rsidRPr="00507A31">
        <w:rPr>
          <w:color w:val="0070C0"/>
          <w:sz w:val="16"/>
          <w:szCs w:val="16"/>
          <w:lang w:bidi="ru-RU"/>
        </w:rPr>
        <w:softHyphen/>
        <w:t>водка управления к элеронам, рулям вы</w:t>
      </w:r>
      <w:r w:rsidRPr="00507A31">
        <w:rPr>
          <w:color w:val="0070C0"/>
          <w:sz w:val="16"/>
          <w:szCs w:val="16"/>
          <w:lang w:bidi="ru-RU"/>
        </w:rPr>
        <w:softHyphen/>
        <w:t>соты и поворота была разнесена и дубли</w:t>
      </w:r>
      <w:r w:rsidRPr="00507A31">
        <w:rPr>
          <w:color w:val="0070C0"/>
          <w:sz w:val="16"/>
          <w:szCs w:val="16"/>
          <w:lang w:bidi="ru-RU"/>
        </w:rPr>
        <w:softHyphen/>
        <w:t>ровалась.</w:t>
      </w:r>
    </w:p>
    <w:p w14:paraId="0DA748F9" w14:textId="77777777" w:rsidR="00192AD6" w:rsidRPr="00507A31" w:rsidRDefault="00192AD6" w:rsidP="00507A31">
      <w:pPr>
        <w:jc w:val="both"/>
        <w:rPr>
          <w:color w:val="0070C0"/>
          <w:sz w:val="16"/>
          <w:szCs w:val="16"/>
        </w:rPr>
      </w:pPr>
      <w:r w:rsidRPr="00507A31">
        <w:rPr>
          <w:color w:val="0070C0"/>
          <w:sz w:val="16"/>
          <w:szCs w:val="16"/>
          <w:lang w:bidi="ru-RU"/>
        </w:rPr>
        <w:lastRenderedPageBreak/>
        <w:t>Что касается прочности самолета, то все расчеты выполнялись применительно к нормам прочности НТК УВВС для ар</w:t>
      </w:r>
      <w:r w:rsidRPr="00507A31">
        <w:rPr>
          <w:color w:val="0070C0"/>
          <w:sz w:val="16"/>
          <w:szCs w:val="16"/>
          <w:lang w:bidi="ru-RU"/>
        </w:rPr>
        <w:softHyphen/>
        <w:t>мейского разведчика, «считая его отно</w:t>
      </w:r>
      <w:r w:rsidRPr="00507A31">
        <w:rPr>
          <w:color w:val="0070C0"/>
          <w:sz w:val="16"/>
          <w:szCs w:val="16"/>
          <w:lang w:bidi="ru-RU"/>
        </w:rPr>
        <w:softHyphen/>
        <w:t>сящимся к 8 группе 2 класса самолетов». Считалось, что перегрузка в 8 единиц для случая Акр вполне обеспечивает прочность самолета при выполнении боевого ма</w:t>
      </w:r>
      <w:r w:rsidRPr="00507A31">
        <w:rPr>
          <w:color w:val="0070C0"/>
          <w:sz w:val="16"/>
          <w:szCs w:val="16"/>
          <w:lang w:bidi="ru-RU"/>
        </w:rPr>
        <w:softHyphen/>
        <w:t>неврирования при выполнении атак на</w:t>
      </w:r>
      <w:r w:rsidRPr="00507A31">
        <w:rPr>
          <w:color w:val="0070C0"/>
          <w:sz w:val="16"/>
          <w:szCs w:val="16"/>
          <w:lang w:bidi="ru-RU"/>
        </w:rPr>
        <w:softHyphen/>
        <w:t>земных целей.</w:t>
      </w:r>
    </w:p>
    <w:p w14:paraId="65A72137" w14:textId="77777777" w:rsidR="00192AD6" w:rsidRPr="00507A31" w:rsidRDefault="00192AD6" w:rsidP="00507A31">
      <w:pPr>
        <w:jc w:val="both"/>
        <w:rPr>
          <w:color w:val="0070C0"/>
          <w:sz w:val="16"/>
          <w:szCs w:val="16"/>
        </w:rPr>
      </w:pPr>
      <w:r w:rsidRPr="00507A31">
        <w:rPr>
          <w:color w:val="0070C0"/>
          <w:sz w:val="16"/>
          <w:szCs w:val="16"/>
          <w:lang w:bidi="ru-RU"/>
        </w:rPr>
        <w:t>На самолете планировалось устано</w:t>
      </w:r>
      <w:r w:rsidRPr="00507A31">
        <w:rPr>
          <w:color w:val="0070C0"/>
          <w:sz w:val="16"/>
          <w:szCs w:val="16"/>
          <w:lang w:bidi="ru-RU"/>
        </w:rPr>
        <w:softHyphen/>
        <w:t>вить один из перспективных отечествен</w:t>
      </w:r>
      <w:r w:rsidRPr="00507A31">
        <w:rPr>
          <w:color w:val="0070C0"/>
          <w:sz w:val="16"/>
          <w:szCs w:val="16"/>
          <w:lang w:bidi="ru-RU"/>
        </w:rPr>
        <w:softHyphen/>
        <w:t xml:space="preserve">ных моторов </w:t>
      </w:r>
      <w:r w:rsidRPr="00507A31">
        <w:rPr>
          <w:color w:val="0070C0"/>
          <w:sz w:val="16"/>
          <w:szCs w:val="16"/>
          <w:lang w:val="en-US" w:bidi="en-US"/>
        </w:rPr>
        <w:t>W</w:t>
      </w:r>
      <w:r w:rsidRPr="00507A31">
        <w:rPr>
          <w:color w:val="0070C0"/>
          <w:sz w:val="16"/>
          <w:szCs w:val="16"/>
          <w:lang w:bidi="en-US"/>
        </w:rPr>
        <w:t xml:space="preserve">-18 </w:t>
      </w:r>
      <w:r w:rsidRPr="00507A31">
        <w:rPr>
          <w:color w:val="0070C0"/>
          <w:sz w:val="16"/>
          <w:szCs w:val="16"/>
          <w:lang w:bidi="ru-RU"/>
        </w:rPr>
        <w:t>(670/800 л.с.), М-27 (700/850 л.с.) или М-34 (750/800 л.с.). При этом для экономии времени предлага</w:t>
      </w:r>
      <w:r w:rsidRPr="00507A31">
        <w:rPr>
          <w:color w:val="0070C0"/>
          <w:sz w:val="16"/>
          <w:szCs w:val="16"/>
          <w:lang w:bidi="ru-RU"/>
        </w:rPr>
        <w:softHyphen/>
        <w:t>лось первый опытный экземпляр само</w:t>
      </w:r>
      <w:r w:rsidRPr="00507A31">
        <w:rPr>
          <w:color w:val="0070C0"/>
          <w:sz w:val="16"/>
          <w:szCs w:val="16"/>
          <w:lang w:bidi="ru-RU"/>
        </w:rPr>
        <w:softHyphen/>
        <w:t>лета оснастить немецким мотором БМВ-6 (500/680 л.с.), с ним отработать все само</w:t>
      </w:r>
      <w:r w:rsidRPr="00507A31">
        <w:rPr>
          <w:color w:val="0070C0"/>
          <w:sz w:val="16"/>
          <w:szCs w:val="16"/>
          <w:lang w:bidi="ru-RU"/>
        </w:rPr>
        <w:softHyphen/>
        <w:t>летные системы и затем провести пред</w:t>
      </w:r>
      <w:r w:rsidRPr="00507A31">
        <w:rPr>
          <w:color w:val="0070C0"/>
          <w:sz w:val="16"/>
          <w:szCs w:val="16"/>
          <w:lang w:bidi="ru-RU"/>
        </w:rPr>
        <w:softHyphen/>
        <w:t>варительные государственные испыта</w:t>
      </w:r>
      <w:r w:rsidRPr="00507A31">
        <w:rPr>
          <w:color w:val="0070C0"/>
          <w:sz w:val="16"/>
          <w:szCs w:val="16"/>
          <w:lang w:bidi="ru-RU"/>
        </w:rPr>
        <w:softHyphen/>
        <w:t>ния машины. Более современный мотор рассчитывали устанавливать на штурмо</w:t>
      </w:r>
      <w:r w:rsidRPr="00507A31">
        <w:rPr>
          <w:color w:val="0070C0"/>
          <w:sz w:val="16"/>
          <w:szCs w:val="16"/>
          <w:lang w:bidi="ru-RU"/>
        </w:rPr>
        <w:softHyphen/>
        <w:t>вик уже в ходе организации его серий</w:t>
      </w:r>
      <w:r w:rsidRPr="00507A31">
        <w:rPr>
          <w:color w:val="0070C0"/>
          <w:sz w:val="16"/>
          <w:szCs w:val="16"/>
          <w:lang w:bidi="ru-RU"/>
        </w:rPr>
        <w:softHyphen/>
        <w:t>ного производства. Основным мотором считался М-27. Как временный вариант для серии рассматривался мотор М-17 (500/680 л.с.), производство которого было освоено на заводе №26 в Рыбинске.</w:t>
      </w:r>
    </w:p>
    <w:p w14:paraId="57B233FD" w14:textId="77777777" w:rsidR="00192AD6" w:rsidRPr="00507A31" w:rsidRDefault="00192AD6" w:rsidP="00507A31">
      <w:pPr>
        <w:jc w:val="both"/>
        <w:rPr>
          <w:color w:val="0070C0"/>
          <w:sz w:val="16"/>
          <w:szCs w:val="16"/>
        </w:rPr>
      </w:pPr>
      <w:r w:rsidRPr="00507A31">
        <w:rPr>
          <w:color w:val="0070C0"/>
          <w:sz w:val="16"/>
          <w:szCs w:val="16"/>
          <w:lang w:bidi="ru-RU"/>
        </w:rPr>
        <w:t>Вооружение самолета включало два синхронных пулемета ПВ-1 (1500 па</w:t>
      </w:r>
      <w:r w:rsidRPr="00507A31">
        <w:rPr>
          <w:color w:val="0070C0"/>
          <w:sz w:val="16"/>
          <w:szCs w:val="16"/>
          <w:lang w:bidi="ru-RU"/>
        </w:rPr>
        <w:softHyphen/>
        <w:t>трон), установленных над мотором, два пулемета ПВ-1 на турели Т-10 у лет- наба (600 патрон), две батареи по 4 пу</w:t>
      </w:r>
      <w:r w:rsidRPr="00507A31">
        <w:rPr>
          <w:color w:val="0070C0"/>
          <w:sz w:val="16"/>
          <w:szCs w:val="16"/>
          <w:lang w:bidi="ru-RU"/>
        </w:rPr>
        <w:softHyphen/>
        <w:t>лемета ПВ-1 каждая (всего 4000 патрон) под крылом или до 500 кг бомб или от</w:t>
      </w:r>
      <w:r w:rsidRPr="00507A31">
        <w:rPr>
          <w:color w:val="0070C0"/>
          <w:sz w:val="16"/>
          <w:szCs w:val="16"/>
          <w:lang w:bidi="ru-RU"/>
        </w:rPr>
        <w:softHyphen/>
        <w:t>равляющих и зажигательных веществ. При этом мелкие бомбы калибра 2-8 кг и ручные гранаты (образца 1914 г.) загру</w:t>
      </w:r>
      <w:r w:rsidRPr="00507A31">
        <w:rPr>
          <w:color w:val="0070C0"/>
          <w:sz w:val="16"/>
          <w:szCs w:val="16"/>
          <w:lang w:bidi="ru-RU"/>
        </w:rPr>
        <w:softHyphen/>
        <w:t>жались в три кассеты мелких бомб (одна размещалась в бронекорпусе под сиде</w:t>
      </w:r>
      <w:r w:rsidRPr="00507A31">
        <w:rPr>
          <w:color w:val="0070C0"/>
          <w:sz w:val="16"/>
          <w:szCs w:val="16"/>
          <w:lang w:bidi="ru-RU"/>
        </w:rPr>
        <w:softHyphen/>
        <w:t>ньем летчика и две под крылом), а фу</w:t>
      </w:r>
      <w:r w:rsidRPr="00507A31">
        <w:rPr>
          <w:color w:val="0070C0"/>
          <w:sz w:val="16"/>
          <w:szCs w:val="16"/>
          <w:lang w:bidi="ru-RU"/>
        </w:rPr>
        <w:softHyphen/>
        <w:t>гасные бомбы калибра до 250 кг и вы- ливные авиаприборы типа ВАП-4 под</w:t>
      </w:r>
      <w:r w:rsidRPr="00507A31">
        <w:rPr>
          <w:color w:val="0070C0"/>
          <w:sz w:val="16"/>
          <w:szCs w:val="16"/>
          <w:lang w:bidi="ru-RU"/>
        </w:rPr>
        <w:softHyphen/>
        <w:t>вешивались на два балочных держателя Дер-13 под крылом. Общая емкость кас</w:t>
      </w:r>
      <w:r w:rsidRPr="00507A31">
        <w:rPr>
          <w:color w:val="0070C0"/>
          <w:sz w:val="16"/>
          <w:szCs w:val="16"/>
          <w:lang w:bidi="ru-RU"/>
        </w:rPr>
        <w:softHyphen/>
        <w:t>сет мелких бомб достигала 384 гранат (400 кг), 48 бомб АО-8 или АОХ-8 (482 кг), 150 бомб калибра 2 кг (418 кг). На балоч</w:t>
      </w:r>
      <w:r w:rsidRPr="00507A31">
        <w:rPr>
          <w:color w:val="0070C0"/>
          <w:sz w:val="16"/>
          <w:szCs w:val="16"/>
          <w:lang w:bidi="ru-RU"/>
        </w:rPr>
        <w:softHyphen/>
        <w:t>ные держатели под крылом допускалась подвеска двух бомб ФАБ-250 или четы</w:t>
      </w:r>
      <w:r w:rsidRPr="00507A31">
        <w:rPr>
          <w:color w:val="0070C0"/>
          <w:sz w:val="16"/>
          <w:szCs w:val="16"/>
          <w:lang w:bidi="ru-RU"/>
        </w:rPr>
        <w:softHyphen/>
        <w:t>рех ФАБ-100.</w:t>
      </w:r>
    </w:p>
    <w:p w14:paraId="6A815829" w14:textId="77777777" w:rsidR="00192AD6" w:rsidRPr="00507A31" w:rsidRDefault="00192AD6" w:rsidP="00507A31">
      <w:pPr>
        <w:jc w:val="both"/>
        <w:rPr>
          <w:color w:val="0070C0"/>
          <w:sz w:val="16"/>
          <w:szCs w:val="16"/>
        </w:rPr>
      </w:pPr>
      <w:r w:rsidRPr="00507A31">
        <w:rPr>
          <w:color w:val="0070C0"/>
          <w:sz w:val="16"/>
          <w:szCs w:val="16"/>
          <w:lang w:bidi="ru-RU"/>
        </w:rPr>
        <w:t>Кассеты мелких бомб для подвески под крылом и пулеметная батарея брони</w:t>
      </w:r>
      <w:r w:rsidRPr="00507A31">
        <w:rPr>
          <w:color w:val="0070C0"/>
          <w:sz w:val="16"/>
          <w:szCs w:val="16"/>
          <w:lang w:bidi="ru-RU"/>
        </w:rPr>
        <w:softHyphen/>
        <w:t>ровались. На это мероприятие отводилось 88 кг брони.</w:t>
      </w:r>
    </w:p>
    <w:p w14:paraId="7F200245" w14:textId="77777777" w:rsidR="00192AD6" w:rsidRPr="00507A31" w:rsidRDefault="00192AD6" w:rsidP="00507A31">
      <w:pPr>
        <w:jc w:val="both"/>
        <w:rPr>
          <w:color w:val="0070C0"/>
          <w:sz w:val="16"/>
          <w:szCs w:val="16"/>
        </w:rPr>
      </w:pPr>
      <w:r w:rsidRPr="00507A31">
        <w:rPr>
          <w:color w:val="0070C0"/>
          <w:sz w:val="16"/>
          <w:szCs w:val="16"/>
          <w:lang w:bidi="ru-RU"/>
        </w:rPr>
        <w:t>По расчетам вес пустого самолета со</w:t>
      </w:r>
      <w:r w:rsidRPr="00507A31">
        <w:rPr>
          <w:color w:val="0070C0"/>
          <w:sz w:val="16"/>
          <w:szCs w:val="16"/>
          <w:lang w:bidi="ru-RU"/>
        </w:rPr>
        <w:softHyphen/>
        <w:t>ставлял 1755 кг, нормальная полезная на</w:t>
      </w:r>
      <w:r w:rsidRPr="00507A31">
        <w:rPr>
          <w:color w:val="0070C0"/>
          <w:sz w:val="16"/>
          <w:szCs w:val="16"/>
          <w:lang w:bidi="ru-RU"/>
        </w:rPr>
        <w:softHyphen/>
        <w:t>грузка - 1545 кг, полетный вес - 3300 кг (в перегрузку 3540 кг).</w:t>
      </w:r>
    </w:p>
    <w:p w14:paraId="0A04080E" w14:textId="77777777" w:rsidR="00192AD6" w:rsidRPr="00507A31" w:rsidRDefault="00192AD6" w:rsidP="00507A31">
      <w:pPr>
        <w:jc w:val="both"/>
        <w:rPr>
          <w:color w:val="0070C0"/>
          <w:sz w:val="16"/>
          <w:szCs w:val="16"/>
          <w:lang w:bidi="ru-RU"/>
        </w:rPr>
      </w:pPr>
      <w:r w:rsidRPr="00507A31">
        <w:rPr>
          <w:color w:val="0070C0"/>
          <w:sz w:val="16"/>
          <w:szCs w:val="16"/>
          <w:lang w:bidi="ru-RU"/>
        </w:rPr>
        <w:t>С мотором БМВ-6 максимальная ско</w:t>
      </w:r>
      <w:r w:rsidRPr="00507A31">
        <w:rPr>
          <w:color w:val="0070C0"/>
          <w:sz w:val="16"/>
          <w:szCs w:val="16"/>
          <w:lang w:bidi="ru-RU"/>
        </w:rPr>
        <w:softHyphen/>
        <w:t xml:space="preserve">рость полета у земли получалась равной 230 км/ч, с </w:t>
      </w:r>
      <w:r w:rsidRPr="00507A31">
        <w:rPr>
          <w:color w:val="0070C0"/>
          <w:sz w:val="16"/>
          <w:szCs w:val="16"/>
          <w:lang w:val="en-US" w:bidi="en-US"/>
        </w:rPr>
        <w:t>W</w:t>
      </w:r>
      <w:r w:rsidRPr="00507A31">
        <w:rPr>
          <w:color w:val="0070C0"/>
          <w:sz w:val="16"/>
          <w:szCs w:val="16"/>
          <w:lang w:bidi="en-US"/>
        </w:rPr>
        <w:t xml:space="preserve">-18 </w:t>
      </w:r>
      <w:r w:rsidRPr="00507A31">
        <w:rPr>
          <w:color w:val="0070C0"/>
          <w:sz w:val="16"/>
          <w:szCs w:val="16"/>
          <w:lang w:bidi="ru-RU"/>
        </w:rPr>
        <w:t>- 220, с М-27 - 242, и с М-34 - 248 км/ч, а на высоте 3000 м - 222, 199, 225 и 248 км/ч, соответственно. Время подъема на высоту 1000 м не пре</w:t>
      </w:r>
      <w:r w:rsidRPr="00507A31">
        <w:rPr>
          <w:color w:val="0070C0"/>
          <w:sz w:val="16"/>
          <w:szCs w:val="16"/>
          <w:lang w:bidi="ru-RU"/>
        </w:rPr>
        <w:softHyphen/>
        <w:t>вышало 3,15, 4,5, 3,35, и 2,8 мин. Даль</w:t>
      </w:r>
      <w:r w:rsidRPr="00507A31">
        <w:rPr>
          <w:color w:val="0070C0"/>
          <w:sz w:val="16"/>
          <w:szCs w:val="16"/>
          <w:lang w:bidi="ru-RU"/>
        </w:rPr>
        <w:softHyphen/>
        <w:t>ность полета на скорости 0,8 максималь</w:t>
      </w:r>
      <w:r w:rsidRPr="00507A31">
        <w:rPr>
          <w:color w:val="0070C0"/>
          <w:sz w:val="16"/>
          <w:szCs w:val="16"/>
          <w:lang w:bidi="ru-RU"/>
        </w:rPr>
        <w:softHyphen/>
        <w:t>ной достигала - 380, 350, 350 и 330 км. Разбег - 180, 200, 155 и 165 м. Посадоч</w:t>
      </w:r>
      <w:r w:rsidRPr="00507A31">
        <w:rPr>
          <w:color w:val="0070C0"/>
          <w:sz w:val="16"/>
          <w:szCs w:val="16"/>
          <w:lang w:bidi="ru-RU"/>
        </w:rPr>
        <w:softHyphen/>
        <w:t>ная скорость - не более 100 км/ч. Пробег без тормозов - 270 м (21062).</w:t>
      </w:r>
    </w:p>
    <w:p w14:paraId="57B5C5A5" w14:textId="77777777" w:rsidR="00192AD6" w:rsidRPr="00507A31" w:rsidRDefault="00192AD6" w:rsidP="00507A31">
      <w:pPr>
        <w:jc w:val="both"/>
        <w:rPr>
          <w:color w:val="0070C0"/>
          <w:sz w:val="16"/>
          <w:szCs w:val="16"/>
        </w:rPr>
      </w:pPr>
    </w:p>
    <w:p w14:paraId="5727470E" w14:textId="77777777" w:rsidR="00192AD6" w:rsidRPr="00507A31" w:rsidRDefault="00192AD6" w:rsidP="00507A31">
      <w:pPr>
        <w:jc w:val="both"/>
        <w:rPr>
          <w:color w:val="0070C0"/>
          <w:sz w:val="16"/>
          <w:szCs w:val="16"/>
        </w:rPr>
      </w:pPr>
      <w:r w:rsidRPr="00507A31">
        <w:rPr>
          <w:color w:val="0070C0"/>
          <w:sz w:val="16"/>
          <w:szCs w:val="16"/>
        </w:rPr>
        <w:t>В августе 1930 г. под ориентировочными данными штур</w:t>
      </w:r>
      <w:r w:rsidRPr="00507A31">
        <w:rPr>
          <w:color w:val="0070C0"/>
          <w:sz w:val="16"/>
          <w:szCs w:val="16"/>
        </w:rPr>
        <w:softHyphen/>
        <w:t>мовика под обозначением «ТШ» (тяжелый штурмовик) подписались инженер А.В. Надашкевич (специализиро</w:t>
      </w:r>
      <w:r w:rsidRPr="00507A31">
        <w:rPr>
          <w:color w:val="0070C0"/>
          <w:sz w:val="16"/>
          <w:szCs w:val="16"/>
        </w:rPr>
        <w:softHyphen/>
        <w:t>вался на вооружении) и инженер-расчетчик П.М. Крейсон. А 14 сентября 1930 г. рабочий про</w:t>
      </w:r>
      <w:r w:rsidRPr="00507A31">
        <w:rPr>
          <w:color w:val="0070C0"/>
          <w:sz w:val="16"/>
          <w:szCs w:val="16"/>
        </w:rPr>
        <w:softHyphen/>
        <w:t>ект штурмовика под обозначением «ЛШ» (легкий штурмо</w:t>
      </w:r>
      <w:r w:rsidRPr="00507A31">
        <w:rPr>
          <w:color w:val="0070C0"/>
          <w:sz w:val="16"/>
          <w:szCs w:val="16"/>
        </w:rPr>
        <w:softHyphen/>
        <w:t>вик) утвердил Д.П. Григорович. Именно этот самолет, из</w:t>
      </w:r>
      <w:r w:rsidRPr="00507A31">
        <w:rPr>
          <w:color w:val="0070C0"/>
          <w:sz w:val="16"/>
          <w:szCs w:val="16"/>
        </w:rPr>
        <w:softHyphen/>
        <w:t>вестный также как ЦКБ №5 пошел в работу. Считается, что уже в ходе изготовления он был оснащен дополнительны</w:t>
      </w:r>
      <w:r w:rsidRPr="00507A31">
        <w:rPr>
          <w:color w:val="0070C0"/>
          <w:sz w:val="16"/>
          <w:szCs w:val="16"/>
        </w:rPr>
        <w:softHyphen/>
        <w:t>ми броневыми пластинами и стал называться тяжелый штурмовик «ТШ».</w:t>
      </w:r>
    </w:p>
    <w:p w14:paraId="18DDBFCD" w14:textId="77777777" w:rsidR="00192AD6" w:rsidRPr="00507A31" w:rsidRDefault="00192AD6" w:rsidP="00507A31">
      <w:pPr>
        <w:jc w:val="both"/>
        <w:rPr>
          <w:color w:val="0070C0"/>
          <w:sz w:val="16"/>
          <w:szCs w:val="16"/>
        </w:rPr>
      </w:pPr>
      <w:r w:rsidRPr="00507A31">
        <w:rPr>
          <w:color w:val="0070C0"/>
          <w:sz w:val="16"/>
          <w:szCs w:val="16"/>
        </w:rPr>
        <w:t>Согласно данным В.Б. Шаврова, далее этот экземпляр оп</w:t>
      </w:r>
      <w:r w:rsidRPr="00507A31">
        <w:rPr>
          <w:color w:val="0070C0"/>
          <w:sz w:val="16"/>
          <w:szCs w:val="16"/>
        </w:rPr>
        <w:softHyphen/>
        <w:t>ределялся как ЦКБ №6, а позднее стал известен как тяже</w:t>
      </w:r>
      <w:r w:rsidRPr="00507A31">
        <w:rPr>
          <w:color w:val="0070C0"/>
          <w:sz w:val="16"/>
          <w:szCs w:val="16"/>
        </w:rPr>
        <w:softHyphen/>
        <w:t>лый бронированный штурмовик ТШ-1 с двигателем М-17, ко</w:t>
      </w:r>
      <w:r w:rsidRPr="00507A31">
        <w:rPr>
          <w:color w:val="0070C0"/>
          <w:sz w:val="16"/>
          <w:szCs w:val="16"/>
        </w:rPr>
        <w:softHyphen/>
        <w:t>торый начал испытываться в январе 1931 г. Однако, полу</w:t>
      </w:r>
      <w:r w:rsidRPr="00507A31">
        <w:rPr>
          <w:color w:val="0070C0"/>
          <w:sz w:val="16"/>
          <w:szCs w:val="16"/>
        </w:rPr>
        <w:softHyphen/>
        <w:t>чается некоторая неувязка, ибо еще осенью 1930 г. начал летать второй экземпляр, называемый ТШ-2. Одновремен</w:t>
      </w:r>
      <w:r w:rsidRPr="00507A31">
        <w:rPr>
          <w:color w:val="0070C0"/>
          <w:sz w:val="16"/>
          <w:szCs w:val="16"/>
        </w:rPr>
        <w:softHyphen/>
        <w:t>но известно, что еще 22 марта 1930 г. были утверждены ТТТ на тяжелый бронированный штурмовик ТШ-1 (Т.Ш.1) под два двигателя М-34 750 л.с., разработка которого была поруче</w:t>
      </w:r>
      <w:r w:rsidRPr="00507A31">
        <w:rPr>
          <w:color w:val="0070C0"/>
          <w:sz w:val="16"/>
          <w:szCs w:val="16"/>
        </w:rPr>
        <w:softHyphen/>
        <w:t>на ЦАГИ. В силу значительной загруженности конструктор</w:t>
      </w:r>
      <w:r w:rsidRPr="00507A31">
        <w:rPr>
          <w:color w:val="0070C0"/>
          <w:sz w:val="16"/>
          <w:szCs w:val="16"/>
        </w:rPr>
        <w:softHyphen/>
        <w:t>ский отдел ЦАГИ во главе с А.Н. Туполевым предлагал пе</w:t>
      </w:r>
      <w:r w:rsidRPr="00507A31">
        <w:rPr>
          <w:color w:val="0070C0"/>
          <w:sz w:val="16"/>
          <w:szCs w:val="16"/>
        </w:rPr>
        <w:softHyphen/>
        <w:t>ределать в ТШ-1 уже построенный разведчик Р-6. Долгиепереговоры с заказчиком затянулись, и, в результате, тяже</w:t>
      </w:r>
      <w:r w:rsidRPr="00507A31">
        <w:rPr>
          <w:color w:val="0070C0"/>
          <w:sz w:val="16"/>
          <w:szCs w:val="16"/>
        </w:rPr>
        <w:softHyphen/>
        <w:t>лый двухмоторный штурмовик построен не был.</w:t>
      </w:r>
    </w:p>
    <w:p w14:paraId="0E13DB8A" w14:textId="77777777" w:rsidR="00192AD6" w:rsidRPr="00507A31" w:rsidRDefault="00192AD6" w:rsidP="00507A31">
      <w:pPr>
        <w:jc w:val="both"/>
        <w:rPr>
          <w:color w:val="0070C0"/>
          <w:sz w:val="16"/>
          <w:szCs w:val="16"/>
        </w:rPr>
      </w:pPr>
      <w:r w:rsidRPr="00507A31">
        <w:rPr>
          <w:color w:val="0070C0"/>
          <w:sz w:val="16"/>
          <w:szCs w:val="16"/>
        </w:rPr>
        <w:t>Что касается обозначения ТШ-1 применительно к одно</w:t>
      </w:r>
      <w:r w:rsidRPr="00507A31">
        <w:rPr>
          <w:color w:val="0070C0"/>
          <w:sz w:val="16"/>
          <w:szCs w:val="16"/>
        </w:rPr>
        <w:softHyphen/>
        <w:t>моторному самолету, М.Маслов считает, что по причине отсут</w:t>
      </w:r>
      <w:r w:rsidRPr="00507A31">
        <w:rPr>
          <w:color w:val="0070C0"/>
          <w:sz w:val="16"/>
          <w:szCs w:val="16"/>
        </w:rPr>
        <w:softHyphen/>
        <w:t>ствия двухмоторной машины, в ЦКБ так стали называть (задним числом) первый опытный ТШ-2 (20362).</w:t>
      </w:r>
    </w:p>
    <w:p w14:paraId="2AD9FC39" w14:textId="77777777" w:rsidR="00192AD6" w:rsidRPr="00507A31" w:rsidRDefault="00192AD6" w:rsidP="00507A31">
      <w:pPr>
        <w:shd w:val="clear" w:color="auto" w:fill="FFFFFF"/>
        <w:jc w:val="both"/>
        <w:rPr>
          <w:color w:val="0070C0"/>
          <w:sz w:val="16"/>
          <w:szCs w:val="16"/>
        </w:rPr>
      </w:pPr>
    </w:p>
    <w:p w14:paraId="76AFE0F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августе 1930 Зам. председателя НТК УВВС Афанасьев и председатель 1 секции НТК Ганулич писал:</w:t>
      </w:r>
    </w:p>
    <w:p w14:paraId="54578EB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Результаты гос. испытаний И5-ЮVI</w:t>
      </w:r>
    </w:p>
    <w:p w14:paraId="3E0C15D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прошел только летно-тактические испытания, вооружение и оборудование не испытано, так заводом была представлена машина без вооружения и оборудования.</w:t>
      </w:r>
    </w:p>
    <w:p w14:paraId="70ADEA5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выпуском 1 сентября 1930 года заводом № 24 синхронизаторов, испытание вооружения и оборудования начнется в НИИ 10 сентября 1930 года, закончится 20 сентября 1930 года (6943, 46).</w:t>
      </w:r>
    </w:p>
    <w:p w14:paraId="5B04B9C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F5869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проходили первые гос. испытания И-5 и проявились недостатки шасси - при отсутствии ветра истребитель на пробеге делал неуправляемый разворот (191,23).</w:t>
      </w:r>
    </w:p>
    <w:p w14:paraId="5DD9FB64" w14:textId="77777777" w:rsidR="00537E5F" w:rsidRPr="00507A31" w:rsidRDefault="00537E5F" w:rsidP="00507A31">
      <w:pPr>
        <w:autoSpaceDE w:val="0"/>
        <w:autoSpaceDN w:val="0"/>
        <w:adjustRightInd w:val="0"/>
        <w:jc w:val="both"/>
        <w:rPr>
          <w:color w:val="000000" w:themeColor="text1"/>
          <w:sz w:val="16"/>
          <w:szCs w:val="16"/>
        </w:rPr>
      </w:pPr>
    </w:p>
    <w:p w14:paraId="0E8E0F5C" w14:textId="77777777" w:rsidR="00CF4CCE" w:rsidRPr="00507A31" w:rsidRDefault="00CF4CCE" w:rsidP="00507A31">
      <w:pPr>
        <w:jc w:val="both"/>
        <w:rPr>
          <w:color w:val="000000" w:themeColor="text1"/>
          <w:sz w:val="16"/>
          <w:szCs w:val="16"/>
        </w:rPr>
      </w:pPr>
      <w:r w:rsidRPr="00507A31">
        <w:rPr>
          <w:color w:val="000000" w:themeColor="text1"/>
          <w:sz w:val="16"/>
          <w:szCs w:val="16"/>
        </w:rPr>
        <w:t>В августе 1930 вышел приказ о запуске в серию И-5, а начало серийной построй</w:t>
      </w:r>
      <w:r w:rsidRPr="00507A31">
        <w:rPr>
          <w:color w:val="000000" w:themeColor="text1"/>
          <w:sz w:val="16"/>
          <w:szCs w:val="16"/>
        </w:rPr>
        <w:softHyphen/>
        <w:t>ки начали отсчитывать с 13 сентября 1930 го</w:t>
      </w:r>
      <w:r w:rsidRPr="00507A31">
        <w:rPr>
          <w:color w:val="000000" w:themeColor="text1"/>
          <w:sz w:val="16"/>
          <w:szCs w:val="16"/>
        </w:rPr>
        <w:softHyphen/>
        <w:t>да. Всего до конца года на авиазаводе №39 уда</w:t>
      </w:r>
      <w:r w:rsidRPr="00507A31">
        <w:rPr>
          <w:color w:val="000000" w:themeColor="text1"/>
          <w:sz w:val="16"/>
          <w:szCs w:val="16"/>
        </w:rPr>
        <w:softHyphen/>
        <w:t>лось построить еще 7 самолетов опытной се</w:t>
      </w:r>
      <w:r w:rsidRPr="00507A31">
        <w:rPr>
          <w:color w:val="000000" w:themeColor="text1"/>
          <w:sz w:val="16"/>
          <w:szCs w:val="16"/>
        </w:rPr>
        <w:softHyphen/>
        <w:t>рии, пять из которых уже в ноябре отправили для проведения войсковых испытаний.</w:t>
      </w:r>
    </w:p>
    <w:p w14:paraId="7AF002B4" w14:textId="77777777" w:rsidR="00CF4CCE" w:rsidRPr="00507A31" w:rsidRDefault="00CF4CCE" w:rsidP="00507A31">
      <w:pPr>
        <w:jc w:val="both"/>
        <w:rPr>
          <w:color w:val="000000" w:themeColor="text1"/>
          <w:sz w:val="16"/>
          <w:szCs w:val="16"/>
        </w:rPr>
      </w:pPr>
      <w:r w:rsidRPr="00507A31">
        <w:rPr>
          <w:color w:val="000000" w:themeColor="text1"/>
          <w:sz w:val="16"/>
          <w:szCs w:val="16"/>
        </w:rPr>
        <w:t>Эти И-5 с двигателя ми Ю-У1 (указывалось, что это французские Гном-Рон «Юпитер» VI, изготовленные в Париже в 1930 г.) поступи</w:t>
      </w:r>
      <w:r w:rsidRPr="00507A31">
        <w:rPr>
          <w:color w:val="000000" w:themeColor="text1"/>
          <w:sz w:val="16"/>
          <w:szCs w:val="16"/>
        </w:rPr>
        <w:softHyphen/>
        <w:t>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морозы, температуры опускались почти до минус тридцати градусов. Тем не менее лет</w:t>
      </w:r>
      <w:r w:rsidRPr="00507A31">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507A31">
        <w:rPr>
          <w:color w:val="000000" w:themeColor="text1"/>
          <w:sz w:val="16"/>
          <w:szCs w:val="16"/>
        </w:rPr>
        <w:softHyphen/>
        <w:t>сколько сотен взлетов и посадок, на каждом И-5 выполнили по 2 с лишним тысячи фигур высшего пилотажа.</w:t>
      </w:r>
    </w:p>
    <w:p w14:paraId="64A49BC4" w14:textId="77777777" w:rsidR="00CF4CCE" w:rsidRPr="00507A31" w:rsidRDefault="00CF4CCE" w:rsidP="00507A31">
      <w:pPr>
        <w:jc w:val="both"/>
        <w:rPr>
          <w:color w:val="000000" w:themeColor="text1"/>
          <w:sz w:val="16"/>
          <w:szCs w:val="16"/>
        </w:rPr>
      </w:pPr>
      <w:r w:rsidRPr="00507A31">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w:t>
      </w:r>
      <w:r w:rsidRPr="00507A31">
        <w:rPr>
          <w:color w:val="000000" w:themeColor="text1"/>
          <w:sz w:val="16"/>
          <w:szCs w:val="16"/>
        </w:rPr>
        <w:softHyphen/>
        <w:t>дает высокими скороподъемностью и манев</w:t>
      </w:r>
      <w:r w:rsidRPr="00507A31">
        <w:rPr>
          <w:color w:val="000000" w:themeColor="text1"/>
          <w:sz w:val="16"/>
          <w:szCs w:val="16"/>
        </w:rPr>
        <w:softHyphen/>
        <w:t>ренностью. До 5000 м маневренность в строю звена хорошая». К недостаткам отнесли уз</w:t>
      </w:r>
      <w:r w:rsidRPr="00507A31">
        <w:rPr>
          <w:color w:val="000000" w:themeColor="text1"/>
          <w:sz w:val="16"/>
          <w:szCs w:val="16"/>
        </w:rPr>
        <w:softHyphen/>
        <w:t>кий козырек, который вместе с широким пе</w:t>
      </w:r>
      <w:r w:rsidRPr="00507A31">
        <w:rPr>
          <w:color w:val="000000" w:themeColor="text1"/>
          <w:sz w:val="16"/>
          <w:szCs w:val="16"/>
        </w:rPr>
        <w:softHyphen/>
        <w:t>реплетом и прицелом «Альдис» заметно за</w:t>
      </w:r>
      <w:r w:rsidRPr="00507A31">
        <w:rPr>
          <w:color w:val="000000" w:themeColor="text1"/>
          <w:sz w:val="16"/>
          <w:szCs w:val="16"/>
        </w:rPr>
        <w:softHyphen/>
        <w:t>труднял обзор из пилотской кабины.</w:t>
      </w:r>
    </w:p>
    <w:p w14:paraId="19F88918" w14:textId="77777777" w:rsidR="00CF4CCE" w:rsidRPr="00507A31" w:rsidRDefault="00CF4CCE" w:rsidP="00507A31">
      <w:pPr>
        <w:jc w:val="both"/>
        <w:rPr>
          <w:color w:val="000000" w:themeColor="text1"/>
          <w:sz w:val="16"/>
          <w:szCs w:val="16"/>
        </w:rPr>
      </w:pPr>
      <w:r w:rsidRPr="00507A31">
        <w:rPr>
          <w:color w:val="000000" w:themeColor="text1"/>
          <w:sz w:val="16"/>
          <w:szCs w:val="16"/>
        </w:rPr>
        <w:t>В итоговом отчете по испытаниям коман</w:t>
      </w:r>
      <w:r w:rsidRPr="00507A31">
        <w:rPr>
          <w:color w:val="000000" w:themeColor="text1"/>
          <w:sz w:val="16"/>
          <w:szCs w:val="16"/>
        </w:rPr>
        <w:softHyphen/>
        <w:t>дир 73-го авиаотряда Павлушев и командир 5-й авиабригады Астахов подписали следую</w:t>
      </w:r>
      <w:r w:rsidRPr="00507A31">
        <w:rPr>
          <w:color w:val="000000" w:themeColor="text1"/>
          <w:sz w:val="16"/>
          <w:szCs w:val="16"/>
        </w:rPr>
        <w:softHyphen/>
        <w:t>щее заключение: «Самолет И-5 может быть принят на вооружение ВВС РККА» (12295).</w:t>
      </w:r>
    </w:p>
    <w:p w14:paraId="6EB01DDB" w14:textId="77777777" w:rsidR="00CF4CCE" w:rsidRPr="00507A31" w:rsidRDefault="00CF4CCE" w:rsidP="00507A31">
      <w:pPr>
        <w:jc w:val="both"/>
        <w:rPr>
          <w:color w:val="000000" w:themeColor="text1"/>
          <w:sz w:val="16"/>
          <w:szCs w:val="16"/>
        </w:rPr>
      </w:pPr>
    </w:p>
    <w:p w14:paraId="757646F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августе 1930 была подготовлена Сводка о состоянии опытного самолетостроения в ЦАГИ на 1 августа 1930 года</w:t>
      </w:r>
    </w:p>
    <w:p w14:paraId="558DDEB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Р6</w:t>
      </w:r>
    </w:p>
    <w:p w14:paraId="3EA673C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21 июля ЦАГИ произвел сдаточный полет и самолет передан НИИ.</w:t>
      </w:r>
    </w:p>
    <w:p w14:paraId="12B4EDA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Р7</w:t>
      </w:r>
    </w:p>
    <w:p w14:paraId="420D7D9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 июля 1930 года самолет перевезен на аэродром.</w:t>
      </w:r>
    </w:p>
    <w:p w14:paraId="1A9757C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 августа 1930 года намечено совершить первый полет.</w:t>
      </w:r>
    </w:p>
    <w:p w14:paraId="3B1046C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И4</w:t>
      </w:r>
    </w:p>
    <w:p w14:paraId="7A787BC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Работы не ведутся</w:t>
      </w:r>
    </w:p>
    <w:p w14:paraId="7B30D38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И-8</w:t>
      </w:r>
    </w:p>
    <w:p w14:paraId="1B2F232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окончания – 15 сентября 1930 года.</w:t>
      </w:r>
    </w:p>
    <w:p w14:paraId="7A65666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…………………………….(6925).</w:t>
      </w:r>
    </w:p>
    <w:p w14:paraId="1F16CE0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8EA63A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августе 1930 были подготовлены Сведения о ходе работ по морскому опытному строительству на заводе №№ 39, 22 и ЦАГИ по состоянию на 21 июля 1930 года</w:t>
      </w:r>
    </w:p>
    <w:p w14:paraId="62FE666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заводу № 39</w:t>
      </w:r>
    </w:p>
    <w:p w14:paraId="54AB114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МУ-2 М-11</w:t>
      </w:r>
    </w:p>
    <w:p w14:paraId="41C2897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Произведены заводские испытания на Москва реке.</w:t>
      </w:r>
    </w:p>
    <w:p w14:paraId="5F1F73D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МДР-1</w:t>
      </w:r>
    </w:p>
    <w:p w14:paraId="54AAE28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Производятся расчеты.</w:t>
      </w:r>
    </w:p>
    <w:p w14:paraId="3AC056F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МБР-1</w:t>
      </w:r>
    </w:p>
    <w:p w14:paraId="7FD41A7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Два варианта:</w:t>
      </w:r>
    </w:p>
    <w:p w14:paraId="07091D6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Первый вариант – Ришара</w:t>
      </w:r>
    </w:p>
    <w:p w14:paraId="03BACDB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Общая готовность – 55-60%. Модель самолета находится в ЦАГИ для продувки.</w:t>
      </w:r>
    </w:p>
    <w:p w14:paraId="3072CDA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МДР-3</w:t>
      </w:r>
    </w:p>
    <w:p w14:paraId="3F4785C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 15 августа 1930 года завод думает полностью подготовить материал для доклада в Технический совет по эскизному проекту.</w:t>
      </w:r>
    </w:p>
    <w:p w14:paraId="35E34F6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МУ-3</w:t>
      </w:r>
    </w:p>
    <w:p w14:paraId="6C68DEE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Под руководством Григоровича. Сроки: разработка конструкции с 21 июля по 15 ноября 1930 года и производство с 15 октября по 15 марта 1930 года.</w:t>
      </w:r>
    </w:p>
    <w:p w14:paraId="0E3D2E2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МБР-2</w:t>
      </w:r>
    </w:p>
    <w:p w14:paraId="5C1F373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Конструкция будет разрабатываться с 1 января 1930 года по 1 марта 1930 года, производство – с 15 марта по 1 июля 1930 года.</w:t>
      </w:r>
    </w:p>
    <w:p w14:paraId="3495747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МТБ-2</w:t>
      </w:r>
    </w:p>
    <w:p w14:paraId="64A3053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плану: конструкция с 1 января по 1 августа 1930 года, производство – с 1 мая 1931 года по 1 марта 1932 года.</w:t>
      </w:r>
    </w:p>
    <w:p w14:paraId="5D0C5AC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Завод № 22</w:t>
      </w:r>
    </w:p>
    <w:p w14:paraId="3E03AD4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По МТБ-1</w:t>
      </w:r>
    </w:p>
    <w:p w14:paraId="2E1A877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производстве.</w:t>
      </w:r>
    </w:p>
    <w:p w14:paraId="4ACB5C1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w:t>
      </w:r>
    </w:p>
    <w:p w14:paraId="7699786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МДР-2</w:t>
      </w:r>
    </w:p>
    <w:p w14:paraId="78AC3C1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Общий процент готовности – 55-60% (6925, 54-58).</w:t>
      </w:r>
    </w:p>
    <w:p w14:paraId="028B0FC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BE85C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1931 последовал приказ о запуске И-5 в серию.</w:t>
      </w:r>
    </w:p>
    <w:p w14:paraId="0C35FC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период 1930-х гг. авторство на истреби</w:t>
      </w:r>
      <w:r w:rsidRPr="00507A31">
        <w:rPr>
          <w:color w:val="000000" w:themeColor="text1"/>
          <w:sz w:val="16"/>
          <w:szCs w:val="16"/>
        </w:rPr>
        <w:softHyphen/>
        <w:t>тель И-5, в зависимости от обстоятельств, приписывали или Д.П. Григоровичу, или Н.Н. Поликарпову. И тому имелись причины. Например, рекламации и вопросы по доработ</w:t>
      </w:r>
      <w:r w:rsidRPr="00507A31">
        <w:rPr>
          <w:color w:val="000000" w:themeColor="text1"/>
          <w:sz w:val="16"/>
          <w:szCs w:val="16"/>
        </w:rPr>
        <w:softHyphen/>
        <w:t>кам направлялись так: по оборудованию каби</w:t>
      </w:r>
      <w:r w:rsidRPr="00507A31">
        <w:rPr>
          <w:color w:val="000000" w:themeColor="text1"/>
          <w:sz w:val="16"/>
          <w:szCs w:val="16"/>
        </w:rPr>
        <w:softHyphen/>
        <w:t>ны и вооружению - Григоровичу, а по всем остальным элементам конструкции - Полика</w:t>
      </w:r>
      <w:r w:rsidRPr="00507A31">
        <w:rPr>
          <w:color w:val="000000" w:themeColor="text1"/>
          <w:sz w:val="16"/>
          <w:szCs w:val="16"/>
        </w:rPr>
        <w:softHyphen/>
        <w:t>рпову.</w:t>
      </w:r>
    </w:p>
    <w:p w14:paraId="0E2E63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более поздние времена, учитывая не</w:t>
      </w:r>
      <w:r w:rsidRPr="00507A31">
        <w:rPr>
          <w:color w:val="000000" w:themeColor="text1"/>
          <w:sz w:val="16"/>
          <w:szCs w:val="16"/>
        </w:rPr>
        <w:softHyphen/>
        <w:t>оспоримые заслуги Николая Николаевича, И-5 считали исключительно самолетом Полика</w:t>
      </w:r>
      <w:r w:rsidRPr="00507A31">
        <w:rPr>
          <w:color w:val="000000" w:themeColor="text1"/>
          <w:sz w:val="16"/>
          <w:szCs w:val="16"/>
        </w:rPr>
        <w:softHyphen/>
        <w:t>рпова. И это тоже вполне объяснимо и не тре</w:t>
      </w:r>
      <w:r w:rsidRPr="00507A31">
        <w:rPr>
          <w:color w:val="000000" w:themeColor="text1"/>
          <w:sz w:val="16"/>
          <w:szCs w:val="16"/>
        </w:rPr>
        <w:softHyphen/>
        <w:t>бует особенных разбирательств. Между тем, история создания этого истребителя столь тесно переплелась с множеством других участников, что вполне правомерно считать его продуктом коллективного творчества ин</w:t>
      </w:r>
      <w:r w:rsidRPr="00507A31">
        <w:rPr>
          <w:color w:val="000000" w:themeColor="text1"/>
          <w:sz w:val="16"/>
          <w:szCs w:val="16"/>
        </w:rPr>
        <w:softHyphen/>
        <w:t>женеров Центрального конструкторского бюро и авиазавода № 39. Тем более, что в ЦКБ в этот период вольно или невольно был со</w:t>
      </w:r>
      <w:r w:rsidRPr="00507A31">
        <w:rPr>
          <w:color w:val="000000" w:themeColor="text1"/>
          <w:sz w:val="16"/>
          <w:szCs w:val="16"/>
        </w:rPr>
        <w:softHyphen/>
        <w:t>бран почти весь цвет советских авиастроите</w:t>
      </w:r>
      <w:r w:rsidRPr="00507A31">
        <w:rPr>
          <w:color w:val="000000" w:themeColor="text1"/>
          <w:sz w:val="16"/>
          <w:szCs w:val="16"/>
        </w:rPr>
        <w:softHyphen/>
        <w:t>лей.</w:t>
      </w:r>
    </w:p>
    <w:p w14:paraId="24A891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марта 1930 г. Государственный трест авиапромышленности Главного управления ме</w:t>
      </w:r>
      <w:r w:rsidRPr="00507A31">
        <w:rPr>
          <w:color w:val="000000" w:themeColor="text1"/>
          <w:sz w:val="16"/>
          <w:szCs w:val="16"/>
        </w:rPr>
        <w:softHyphen/>
        <w:t xml:space="preserve">таллургической промышленности (ГУМП) </w:t>
      </w:r>
      <w:r w:rsidRPr="00507A31">
        <w:rPr>
          <w:color w:val="000000" w:themeColor="text1"/>
          <w:sz w:val="16"/>
          <w:szCs w:val="16"/>
          <w:lang w:val="en-US"/>
        </w:rPr>
        <w:t>f</w:t>
      </w:r>
      <w:r w:rsidRPr="00507A31">
        <w:rPr>
          <w:color w:val="000000" w:themeColor="text1"/>
          <w:sz w:val="16"/>
          <w:szCs w:val="16"/>
        </w:rPr>
        <w:t>ыл преобразован во Всесоюзное авиацион</w:t>
      </w:r>
      <w:r w:rsidRPr="00507A31">
        <w:rPr>
          <w:color w:val="000000" w:themeColor="text1"/>
          <w:sz w:val="16"/>
          <w:szCs w:val="16"/>
        </w:rPr>
        <w:softHyphen/>
        <w:t>ное объединение (ВАО). В новом качестве он попрежнему подчинялся ВСНХ СССР. Спустя несколько месяцев, 31 июля 1930 г., согласно приказу Революционного военного совета (</w:t>
      </w:r>
      <w:r w:rsidRPr="00507A31">
        <w:rPr>
          <w:color w:val="000000" w:themeColor="text1"/>
          <w:sz w:val="16"/>
          <w:szCs w:val="16"/>
          <w:lang w:val="en-US"/>
        </w:rPr>
        <w:t>P</w:t>
      </w:r>
      <w:r w:rsidRPr="00507A31">
        <w:rPr>
          <w:color w:val="000000" w:themeColor="text1"/>
          <w:sz w:val="16"/>
          <w:szCs w:val="16"/>
        </w:rPr>
        <w:t>В</w:t>
      </w:r>
      <w:r w:rsidRPr="00507A31">
        <w:rPr>
          <w:color w:val="000000" w:themeColor="text1"/>
          <w:sz w:val="16"/>
          <w:szCs w:val="16"/>
          <w:lang w:val="en-US"/>
        </w:rPr>
        <w:t>C</w:t>
      </w:r>
      <w:r w:rsidRPr="00507A31">
        <w:rPr>
          <w:color w:val="000000" w:themeColor="text1"/>
          <w:sz w:val="16"/>
          <w:szCs w:val="16"/>
        </w:rPr>
        <w:t>) №052 ВАО и Центральный аэрогидродинамический институт (ЦАГИ) перешли в под</w:t>
      </w:r>
      <w:r w:rsidRPr="00507A31">
        <w:rPr>
          <w:color w:val="000000" w:themeColor="text1"/>
          <w:sz w:val="16"/>
          <w:szCs w:val="16"/>
        </w:rPr>
        <w:softHyphen/>
        <w:t>чинение Наркомата по военным и морским делам СССР. То есть, как тогда говорили, в ве</w:t>
      </w:r>
      <w:r w:rsidRPr="00507A31">
        <w:rPr>
          <w:color w:val="000000" w:themeColor="text1"/>
          <w:sz w:val="16"/>
          <w:szCs w:val="16"/>
        </w:rPr>
        <w:softHyphen/>
        <w:t>дение Наркомвоенмора Климента Ефре</w:t>
      </w:r>
      <w:r w:rsidRPr="00507A31">
        <w:rPr>
          <w:color w:val="000000" w:themeColor="text1"/>
          <w:sz w:val="16"/>
          <w:szCs w:val="16"/>
        </w:rPr>
        <w:softHyphen/>
        <w:t>мовича Ворошилова. Поэтому неудивитель</w:t>
      </w:r>
      <w:r w:rsidRPr="00507A31">
        <w:rPr>
          <w:color w:val="000000" w:themeColor="text1"/>
          <w:sz w:val="16"/>
          <w:szCs w:val="16"/>
        </w:rPr>
        <w:softHyphen/>
        <w:t>но, что второй опытный И-5, построенный в середине года, стал именным самолетом - на борту его ярко красного фюзеляжа нанесли иадпись«Клим Ворошилов». Именно этот именной экземпляр стал эталоном для первых серий И-5, выпускаемых на московских заводах №1 и №39 начиная с 1930 г. Поначалу количество заказанных истребителей определили в 100 экземпляров, причем первые 34 машины требовалось по</w:t>
      </w:r>
      <w:r w:rsidRPr="00507A31">
        <w:rPr>
          <w:color w:val="000000" w:themeColor="text1"/>
          <w:sz w:val="16"/>
          <w:szCs w:val="16"/>
        </w:rPr>
        <w:softHyphen/>
        <w:t>строить уже в октябре текущего года.</w:t>
      </w:r>
    </w:p>
    <w:p w14:paraId="71D669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Начало серийной по</w:t>
      </w:r>
      <w:r w:rsidRPr="00507A31">
        <w:rPr>
          <w:color w:val="000000" w:themeColor="text1"/>
          <w:sz w:val="16"/>
          <w:szCs w:val="16"/>
        </w:rPr>
        <w:softHyphen/>
        <w:t>стройки стали отсчитывать с 13 сентября 1930 г. Всего до конца года на авиазаводе №39 удалось построить еще 7 самолетов опытной серии, пять из которых уже в ноябре отправили для прове</w:t>
      </w:r>
      <w:r w:rsidRPr="00507A31">
        <w:rPr>
          <w:color w:val="000000" w:themeColor="text1"/>
          <w:sz w:val="16"/>
          <w:szCs w:val="16"/>
        </w:rPr>
        <w:softHyphen/>
        <w:t>дения войсковых испытаний. Эти И-5 с двигателями Ю-</w:t>
      </w:r>
      <w:r w:rsidRPr="00507A31">
        <w:rPr>
          <w:color w:val="000000" w:themeColor="text1"/>
          <w:sz w:val="16"/>
          <w:szCs w:val="16"/>
          <w:lang w:val="en-US"/>
        </w:rPr>
        <w:t>VI</w:t>
      </w:r>
      <w:r w:rsidRPr="00507A31">
        <w:rPr>
          <w:color w:val="000000" w:themeColor="text1"/>
          <w:sz w:val="16"/>
          <w:szCs w:val="16"/>
        </w:rPr>
        <w:t xml:space="preserve"> (указывалось, что это французские Гном Рон «Юпитер» VI, изготовленные в Париже в 1930 г.) поступили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порозы, температуры опускались почти до иинустридцати градусов. Тем не менее, летчи</w:t>
      </w:r>
      <w:r w:rsidRPr="00507A31">
        <w:rPr>
          <w:color w:val="000000" w:themeColor="text1"/>
          <w:sz w:val="16"/>
          <w:szCs w:val="16"/>
        </w:rPr>
        <w:softHyphen/>
        <w:t>ки полностью завершили цикл войсковых ис</w:t>
      </w:r>
      <w:r w:rsidRPr="00507A31">
        <w:rPr>
          <w:color w:val="000000" w:themeColor="text1"/>
          <w:sz w:val="16"/>
          <w:szCs w:val="16"/>
        </w:rPr>
        <w:softHyphen/>
        <w:t>пытаний. Летали на трех самолетах, еще два держали в резерве. Было совершено несколь</w:t>
      </w:r>
      <w:r w:rsidRPr="00507A31">
        <w:rPr>
          <w:color w:val="000000" w:themeColor="text1"/>
          <w:sz w:val="16"/>
          <w:szCs w:val="16"/>
        </w:rPr>
        <w:softHyphen/>
        <w:t>ко сотен взлетов и посадок, на каждом И-5 вы</w:t>
      </w:r>
      <w:r w:rsidRPr="00507A31">
        <w:rPr>
          <w:color w:val="000000" w:themeColor="text1"/>
          <w:sz w:val="16"/>
          <w:szCs w:val="16"/>
        </w:rPr>
        <w:softHyphen/>
        <w:t>полнили по две с лишним тысячи фигур выс</w:t>
      </w:r>
      <w:r w:rsidRPr="00507A31">
        <w:rPr>
          <w:color w:val="000000" w:themeColor="text1"/>
          <w:sz w:val="16"/>
          <w:szCs w:val="16"/>
        </w:rPr>
        <w:softHyphen/>
        <w:t>шего пилотажа.</w:t>
      </w:r>
    </w:p>
    <w:p w14:paraId="49AC74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облада</w:t>
      </w:r>
      <w:r w:rsidRPr="00507A31">
        <w:rPr>
          <w:color w:val="000000" w:themeColor="text1"/>
          <w:sz w:val="16"/>
          <w:szCs w:val="16"/>
        </w:rPr>
        <w:softHyphen/>
        <w:t>ет высокими скороподъемностью и маневрен</w:t>
      </w:r>
      <w:r w:rsidRPr="00507A31">
        <w:rPr>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507A31">
        <w:rPr>
          <w:color w:val="000000" w:themeColor="text1"/>
          <w:sz w:val="16"/>
          <w:szCs w:val="16"/>
        </w:rPr>
        <w:softHyphen/>
        <w:t>том и прицелом «Альдис» заметно затруднял обзор из пилотской кабины.</w:t>
      </w:r>
    </w:p>
    <w:p w14:paraId="780267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итоговом отчете по испытаниям коман</w:t>
      </w:r>
      <w:r w:rsidRPr="00507A31">
        <w:rPr>
          <w:color w:val="000000" w:themeColor="text1"/>
          <w:sz w:val="16"/>
          <w:szCs w:val="16"/>
        </w:rPr>
        <w:softHyphen/>
        <w:t>дир 73-го авиаотряда Павлушев и командир 5-й авиабригады Астахов подписали следую</w:t>
      </w:r>
      <w:r w:rsidRPr="00507A31">
        <w:rPr>
          <w:color w:val="000000" w:themeColor="text1"/>
          <w:sz w:val="16"/>
          <w:szCs w:val="16"/>
        </w:rPr>
        <w:softHyphen/>
        <w:t>щее заключение: «Самолет И-Б может быть принят на вооружение ВВС РККА».</w:t>
      </w:r>
    </w:p>
    <w:p w14:paraId="0F5AC8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принятии решения о серийном про</w:t>
      </w:r>
      <w:r w:rsidRPr="00507A31">
        <w:rPr>
          <w:color w:val="000000" w:themeColor="text1"/>
          <w:sz w:val="16"/>
          <w:szCs w:val="16"/>
        </w:rPr>
        <w:softHyphen/>
        <w:t>изводстве И-5 к процессу предполагалось подключить заводы №1, №39 и №22 (послед</w:t>
      </w:r>
      <w:r w:rsidRPr="00507A31">
        <w:rPr>
          <w:color w:val="000000" w:themeColor="text1"/>
          <w:sz w:val="16"/>
          <w:szCs w:val="16"/>
        </w:rPr>
        <w:softHyphen/>
        <w:t>ний - для изготовления металлических агре</w:t>
      </w:r>
      <w:r w:rsidRPr="00507A31">
        <w:rPr>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w:t>
      </w:r>
    </w:p>
    <w:p w14:paraId="28DC96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3197E5B5" w14:textId="77777777" w:rsidR="00537E5F" w:rsidRPr="00507A31" w:rsidRDefault="00537E5F" w:rsidP="00507A31">
      <w:pPr>
        <w:autoSpaceDE w:val="0"/>
        <w:autoSpaceDN w:val="0"/>
        <w:adjustRightInd w:val="0"/>
        <w:jc w:val="both"/>
        <w:rPr>
          <w:color w:val="000000" w:themeColor="text1"/>
          <w:sz w:val="16"/>
          <w:szCs w:val="16"/>
        </w:rPr>
      </w:pPr>
    </w:p>
    <w:p w14:paraId="2B542D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г. на заводе № 31 в Таганроге начали изготовление пяти фюзеляжей Р-5. Их почти закончили и начали делать другие узлы, когда ВАО, сменившее Авиатрест, направило в Таганрог многочисленные изменения к документации, внесенные по результатам испытаний. В качестве эталона в Таганрог привезли самолет № 4143. Что смогли - переделали, но многое пришлось оставить по-старому, поскольку это требовало изготовления новой оснастки или получения дополнительного оборудования. В результате первая таганрогская пятерка Р-5 была готова только в августе 1931 г. На всех машинах приемка обнаружила несоответствия чертежам, некомплект оборудования, а вооружения вообще не было. Однако УВВС все-таки согласилось их принять.</w:t>
      </w:r>
    </w:p>
    <w:p w14:paraId="575496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Руководство ВАО поняло бесперспективность распыления сил и сняло с завода N° 31 план по Р-5. Весь обьем производства лег на завод № 1. Массовый выпуск начали двумя сериями, в которых было 50 и 80 машин. Часть запланированных для них нововведений опробовали на специально построенном самолете N° 4316. На нем установили изготовленный в Рыбинске мотор М-17 (советскую копию BMW VI) и усиленное шасси.</w:t>
      </w:r>
    </w:p>
    <w:p w14:paraId="631E46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3-я серия начиналась с самолета № 4534. На нем увеличили окно в полу, поставили пилоту зеркало для обзора назад. Затем внедрили увеличенные радиаторы, стойки и подкосы шасси из труб большего диаметра, более прочное сиденье летнаба. С 16-го Р-5 этой серии появились подфюзеляжные бомбодержатели Дер-13. Некоторые самолеты с конца 1930 г.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1B837777" w14:textId="77777777" w:rsidR="00537E5F" w:rsidRPr="00507A31" w:rsidRDefault="00537E5F" w:rsidP="00507A31">
      <w:pPr>
        <w:autoSpaceDE w:val="0"/>
        <w:autoSpaceDN w:val="0"/>
        <w:adjustRightInd w:val="0"/>
        <w:jc w:val="both"/>
        <w:rPr>
          <w:color w:val="000000" w:themeColor="text1"/>
          <w:sz w:val="16"/>
          <w:szCs w:val="16"/>
        </w:rPr>
      </w:pPr>
    </w:p>
    <w:p w14:paraId="1D8AD7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г. на заводе № 31 начали изготовление фюзеляжей первых пяти Р-5 по присланным из Москвы чертежам. Их уже почти закончили и начали делать другие узлы, когда ВАО, сменившее Авиатрест, направило в Таганрог многочисленные изменения к документации, внесенные по результатам государственных и войсковых испытаний. В качестве эталона в Таганрог привезли самолет № 4143. Что смогли - переделали, но многое пришлось оставить по-старому, поскольку это требовало изготовления новой оснастки или получения дополнительного оборудования. Более того, из-за полукустарного изготовления все машины получились немного разными.</w:t>
      </w:r>
    </w:p>
    <w:p w14:paraId="7273E6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результате первая пятерка Р-5 была готова только через год, в августе 1931 г. Во всех машинах военная приемка обнаружила несоответствие чертежам, оборудование устанавливалось некомплектно, а вооружения вообще не было. Но УВВС все-таки согласилось их принять. Руководство ВАО поняло бесперспективность распыления сил и сняло с завода № 31 план по Р-5.</w:t>
      </w:r>
    </w:p>
    <w:p w14:paraId="636036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Весь объем производства в итоге лег на плечи завода № 1, неустанно совершенствовавшего машину. Массовое производство начали двумя сериями: в первой из них было 50 машин, во второй - 80.</w:t>
      </w:r>
    </w:p>
    <w:p w14:paraId="7D118B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 этим часть запланированных на них нововведений опробовали на специально построенной машине № 4316. На ней установили изготовленный в Рыбинске мотор М-17 (советскую копию BMW VI) и усиленное (из груб большего диаметра) шасси. В ноябре 1930 г. и то, и другое было одобрено для внедрения в производство.</w:t>
      </w:r>
    </w:p>
    <w:p w14:paraId="251B33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3-я серия (она же 1-я серия 1930/31 гг.) начиналась с самолета № 4534. На ней увеличили окно в полу (по типу изготовленного в НИИ ВВС на четвертой опытной машине), поставили пилоту зеркальце для обзора назад. Затем внедрили увеличенные радиаторы (их досылали в части и к машинам более раннего выпуска), стойки и подкосы шасси из труб увеличенного диаметра, более прочное сиденье для летнаба. С 16-го Р-5 этой серии появились подфюзеляж- ные бомбодержатели Дер-13. Некоторые самолеты с конца 1930 г. комплектовались новыми пулеметами ДА на той же турели (установку ДА-2 начали разрабатывать в октябре 1930 г.). УВВС требовало внедрить их еще на 2-й серии, но завод не успел получить пулеметы. На машинах, выпущенных ранее, "Лыоисы" меняли на ДА уже непосредственно в строевых частях ВВС; первоначально устанавливаш только по одному пулемету. Улучшили дренаж и сделали водонепроницаемые, на резиновых прокладках, люки в центроплане. Всего за 1931 г. в конструкцию самолета внесли более 150 изменений (12034).</w:t>
      </w:r>
    </w:p>
    <w:p w14:paraId="1F80F31A" w14:textId="77777777" w:rsidR="00537E5F" w:rsidRPr="00507A31" w:rsidRDefault="00537E5F" w:rsidP="00507A31">
      <w:pPr>
        <w:autoSpaceDE w:val="0"/>
        <w:autoSpaceDN w:val="0"/>
        <w:adjustRightInd w:val="0"/>
        <w:jc w:val="both"/>
        <w:rPr>
          <w:color w:val="000000" w:themeColor="text1"/>
          <w:sz w:val="16"/>
          <w:szCs w:val="16"/>
        </w:rPr>
      </w:pPr>
    </w:p>
    <w:p w14:paraId="30FAED56" w14:textId="77777777" w:rsidR="005242C5" w:rsidRPr="00507A31" w:rsidRDefault="005242C5" w:rsidP="00507A31">
      <w:pPr>
        <w:jc w:val="both"/>
        <w:rPr>
          <w:color w:val="000000" w:themeColor="text1"/>
          <w:sz w:val="16"/>
          <w:szCs w:val="16"/>
        </w:rPr>
      </w:pPr>
      <w:r w:rsidRPr="00507A31">
        <w:rPr>
          <w:color w:val="000000" w:themeColor="text1"/>
          <w:sz w:val="16"/>
          <w:szCs w:val="16"/>
        </w:rPr>
        <w:t>В августе 1930 стало возможно начать полёты по дозаправке в воздухе.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256FBB42" w14:textId="77777777" w:rsidR="005242C5" w:rsidRPr="00507A31" w:rsidRDefault="005242C5" w:rsidP="00507A31">
      <w:pPr>
        <w:jc w:val="both"/>
        <w:rPr>
          <w:color w:val="000000" w:themeColor="text1"/>
          <w:sz w:val="16"/>
          <w:szCs w:val="16"/>
        </w:rPr>
      </w:pPr>
      <w:r w:rsidRPr="00507A31">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4A6FA399" w14:textId="77777777" w:rsidR="005242C5" w:rsidRPr="00507A31" w:rsidRDefault="005242C5" w:rsidP="00507A31">
      <w:pPr>
        <w:jc w:val="both"/>
        <w:rPr>
          <w:color w:val="000000" w:themeColor="text1"/>
          <w:sz w:val="16"/>
          <w:szCs w:val="16"/>
        </w:rPr>
      </w:pPr>
      <w:r w:rsidRPr="00507A31">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47" w:history="1">
        <w:r w:rsidRPr="00507A31">
          <w:rPr>
            <w:color w:val="000000" w:themeColor="text1"/>
            <w:sz w:val="16"/>
            <w:szCs w:val="16"/>
          </w:rPr>
          <w:t>[55]</w:t>
        </w:r>
      </w:hyperlink>
      <w:r w:rsidRPr="00507A31">
        <w:rPr>
          <w:color w:val="000000" w:themeColor="text1"/>
          <w:sz w:val="16"/>
          <w:szCs w:val="16"/>
        </w:rPr>
        <w:t xml:space="preserve"> .</w:t>
      </w:r>
    </w:p>
    <w:p w14:paraId="37E40F81" w14:textId="77777777" w:rsidR="005242C5" w:rsidRPr="00507A31" w:rsidRDefault="005242C5" w:rsidP="00507A31">
      <w:pPr>
        <w:jc w:val="both"/>
        <w:rPr>
          <w:color w:val="000000" w:themeColor="text1"/>
          <w:sz w:val="16"/>
          <w:szCs w:val="16"/>
        </w:rPr>
      </w:pPr>
      <w:r w:rsidRPr="00507A31">
        <w:rPr>
          <w:color w:val="000000" w:themeColor="text1"/>
          <w:sz w:val="16"/>
          <w:szCs w:val="16"/>
        </w:rPr>
        <w:t>Эти эксперименты были не больше, чем повторением американских опытов 1923 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4333A96C" w14:textId="77777777" w:rsidR="005242C5" w:rsidRPr="00507A31" w:rsidRDefault="005242C5" w:rsidP="00507A31">
      <w:pPr>
        <w:jc w:val="both"/>
        <w:rPr>
          <w:color w:val="000000" w:themeColor="text1"/>
          <w:sz w:val="16"/>
          <w:szCs w:val="16"/>
        </w:rPr>
      </w:pPr>
    </w:p>
    <w:p w14:paraId="2FF75A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при перелете Ленинград-Севастополь на Дорнье-Валь на участке Киев-Севастополь А.В.Кржижевский посадил машину на сушу (99,190).</w:t>
      </w:r>
    </w:p>
    <w:p w14:paraId="3F6101F1" w14:textId="77777777" w:rsidR="00537E5F" w:rsidRPr="00507A31" w:rsidRDefault="00537E5F" w:rsidP="00507A31">
      <w:pPr>
        <w:autoSpaceDE w:val="0"/>
        <w:autoSpaceDN w:val="0"/>
        <w:adjustRightInd w:val="0"/>
        <w:jc w:val="both"/>
        <w:rPr>
          <w:color w:val="000000" w:themeColor="text1"/>
          <w:sz w:val="16"/>
          <w:szCs w:val="16"/>
        </w:rPr>
      </w:pPr>
    </w:p>
    <w:p w14:paraId="079449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А.М.Черемухин сконструировал одновинтовой двухмоторный вертолет ЦАГИ-1-ЭА (271,122).</w:t>
      </w:r>
    </w:p>
    <w:p w14:paraId="5EC165A8" w14:textId="77777777" w:rsidR="00537E5F" w:rsidRPr="00507A31" w:rsidRDefault="00537E5F" w:rsidP="00507A31">
      <w:pPr>
        <w:autoSpaceDE w:val="0"/>
        <w:autoSpaceDN w:val="0"/>
        <w:adjustRightInd w:val="0"/>
        <w:jc w:val="both"/>
        <w:rPr>
          <w:color w:val="000000" w:themeColor="text1"/>
          <w:sz w:val="16"/>
          <w:szCs w:val="16"/>
        </w:rPr>
      </w:pPr>
    </w:p>
    <w:p w14:paraId="3C65C4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авгус</w:t>
      </w:r>
      <w:r w:rsidRPr="00507A31">
        <w:rPr>
          <w:color w:val="000000" w:themeColor="text1"/>
          <w:sz w:val="16"/>
          <w:szCs w:val="16"/>
        </w:rPr>
        <w:softHyphen/>
        <w:t>те 1930 года вертолет ЦАГИ Э-1А перебазирова</w:t>
      </w:r>
      <w:r w:rsidRPr="00507A31">
        <w:rPr>
          <w:color w:val="000000" w:themeColor="text1"/>
          <w:sz w:val="16"/>
          <w:szCs w:val="16"/>
        </w:rPr>
        <w:softHyphen/>
        <w:t>ли на Ухтомский аэродром (ныне-тер</w:t>
      </w:r>
      <w:r w:rsidRPr="00507A31">
        <w:rPr>
          <w:color w:val="000000" w:themeColor="text1"/>
          <w:sz w:val="16"/>
          <w:szCs w:val="16"/>
        </w:rPr>
        <w:softHyphen/>
        <w:t>ритория ОКБ им. Н.И.Камова), где ис</w:t>
      </w:r>
      <w:r w:rsidRPr="00507A31">
        <w:rPr>
          <w:color w:val="000000" w:themeColor="text1"/>
          <w:sz w:val="16"/>
          <w:szCs w:val="16"/>
        </w:rPr>
        <w:softHyphen/>
        <w:t>пытания продолжились на якорной стоянке. Данная стоянка была обору</w:t>
      </w:r>
      <w:r w:rsidRPr="00507A31">
        <w:rPr>
          <w:color w:val="000000" w:themeColor="text1"/>
          <w:sz w:val="16"/>
          <w:szCs w:val="16"/>
        </w:rPr>
        <w:softHyphen/>
        <w:t>дована привязью, позволявшей аппа</w:t>
      </w:r>
      <w:r w:rsidRPr="00507A31">
        <w:rPr>
          <w:color w:val="000000" w:themeColor="text1"/>
          <w:sz w:val="16"/>
          <w:szCs w:val="16"/>
        </w:rPr>
        <w:softHyphen/>
        <w:t>рату осуществлять висение на высоте около полуметра над ней. Это позво</w:t>
      </w:r>
      <w:r w:rsidRPr="00507A31">
        <w:rPr>
          <w:color w:val="000000" w:themeColor="text1"/>
          <w:sz w:val="16"/>
          <w:szCs w:val="16"/>
        </w:rPr>
        <w:softHyphen/>
        <w:t>ляло осуществлять систематическую тренировку летчика, производить кон</w:t>
      </w:r>
      <w:r w:rsidRPr="00507A31">
        <w:rPr>
          <w:color w:val="000000" w:themeColor="text1"/>
          <w:sz w:val="16"/>
          <w:szCs w:val="16"/>
        </w:rPr>
        <w:softHyphen/>
        <w:t>трольную проверку машины после любых доработок и переделок перед каждым свободным полетом. Первым пилотом далекого от совер</w:t>
      </w:r>
      <w:r w:rsidRPr="00507A31">
        <w:rPr>
          <w:color w:val="000000" w:themeColor="text1"/>
          <w:sz w:val="16"/>
          <w:szCs w:val="16"/>
        </w:rPr>
        <w:softHyphen/>
        <w:t>шенства геликоптера мог стать именно Черемухин. Алексей Михайлович Черемухин вспоминает: «Первая задача была - су</w:t>
      </w:r>
      <w:r w:rsidRPr="00507A31">
        <w:rPr>
          <w:color w:val="000000" w:themeColor="text1"/>
          <w:sz w:val="16"/>
          <w:szCs w:val="16"/>
        </w:rPr>
        <w:softHyphen/>
        <w:t>меть держаться на аппарате с рабо</w:t>
      </w:r>
      <w:r w:rsidRPr="00507A31">
        <w:rPr>
          <w:color w:val="000000" w:themeColor="text1"/>
          <w:sz w:val="16"/>
          <w:szCs w:val="16"/>
        </w:rPr>
        <w:softHyphen/>
        <w:t>тающим винтом в пределах ограниче</w:t>
      </w:r>
      <w:r w:rsidRPr="00507A31">
        <w:rPr>
          <w:color w:val="000000" w:themeColor="text1"/>
          <w:sz w:val="16"/>
          <w:szCs w:val="16"/>
        </w:rPr>
        <w:softHyphen/>
        <w:t>ний привязи. Конечно, это далось не сразу. Системы управления общим ша</w:t>
      </w:r>
      <w:r w:rsidRPr="00507A31">
        <w:rPr>
          <w:color w:val="000000" w:themeColor="text1"/>
          <w:sz w:val="16"/>
          <w:szCs w:val="16"/>
        </w:rPr>
        <w:softHyphen/>
        <w:t>гом и автоматом перекоса сразу не ра</w:t>
      </w:r>
      <w:r w:rsidRPr="00507A31">
        <w:rPr>
          <w:color w:val="000000" w:themeColor="text1"/>
          <w:sz w:val="16"/>
          <w:szCs w:val="16"/>
        </w:rPr>
        <w:softHyphen/>
        <w:t>ботали, как следовало. Их приходилось доводить и ставить пружины, чтобы сделать усилия на ручке приемлемыми. Приходилось такжеучиться управлять этой новой машиной. С общим шагом у нас был целый ряд затруднений. Зат</w:t>
      </w:r>
      <w:r w:rsidRPr="00507A31">
        <w:rPr>
          <w:color w:val="000000" w:themeColor="text1"/>
          <w:sz w:val="16"/>
          <w:szCs w:val="16"/>
        </w:rPr>
        <w:softHyphen/>
        <w:t>руднения были и с начальной регулиров</w:t>
      </w:r>
      <w:r w:rsidRPr="00507A31">
        <w:rPr>
          <w:color w:val="000000" w:themeColor="text1"/>
          <w:sz w:val="16"/>
          <w:szCs w:val="16"/>
        </w:rPr>
        <w:softHyphen/>
        <w:t>кой положения ручки. Эти пробы на месте научили нас многому и через не</w:t>
      </w:r>
      <w:r w:rsidRPr="00507A31">
        <w:rPr>
          <w:color w:val="000000" w:themeColor="text1"/>
          <w:sz w:val="16"/>
          <w:szCs w:val="16"/>
        </w:rPr>
        <w:softHyphen/>
        <w:t>которое время позволили перейти к свободным полетам» (10735).</w:t>
      </w:r>
    </w:p>
    <w:p w14:paraId="271D62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D6190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августе 1930 начались наземные испытания вертолета ЦАГИ 1-ЭА с запус</w:t>
      </w:r>
      <w:r w:rsidRPr="00507A31">
        <w:rPr>
          <w:color w:val="000000" w:themeColor="text1"/>
          <w:sz w:val="16"/>
          <w:szCs w:val="16"/>
        </w:rPr>
        <w:softHyphen/>
        <w:t>ком двигателей. В дальнейших его ис</w:t>
      </w:r>
      <w:r w:rsidRPr="00507A31">
        <w:rPr>
          <w:color w:val="000000" w:themeColor="text1"/>
          <w:sz w:val="16"/>
          <w:szCs w:val="16"/>
        </w:rPr>
        <w:softHyphen/>
        <w:t>пытаниях на привязи была исполь</w:t>
      </w:r>
      <w:r w:rsidRPr="00507A31">
        <w:rPr>
          <w:color w:val="000000" w:themeColor="text1"/>
          <w:sz w:val="16"/>
          <w:szCs w:val="16"/>
        </w:rPr>
        <w:softHyphen/>
        <w:t>зована методика, разработанная А.М. Черемухиным. В сентябре 1930 года на специально оборудованном аэро</w:t>
      </w:r>
      <w:r w:rsidRPr="00507A31">
        <w:rPr>
          <w:color w:val="000000" w:themeColor="text1"/>
          <w:sz w:val="16"/>
          <w:szCs w:val="16"/>
        </w:rPr>
        <w:softHyphen/>
        <w:t>дроме в Ухтомской начались летные испытания вертолета. Отрабатывались все режимы полета, наиболее харак</w:t>
      </w:r>
      <w:r w:rsidRPr="00507A31">
        <w:rPr>
          <w:color w:val="000000" w:themeColor="text1"/>
          <w:sz w:val="16"/>
          <w:szCs w:val="16"/>
        </w:rPr>
        <w:softHyphen/>
        <w:t>терные для вертолетов: взлет с места, вертикальный подъем, полет на режи</w:t>
      </w:r>
      <w:r w:rsidRPr="00507A31">
        <w:rPr>
          <w:color w:val="000000" w:themeColor="text1"/>
          <w:sz w:val="16"/>
          <w:szCs w:val="16"/>
        </w:rPr>
        <w:softHyphen/>
        <w:t>ме висения, строго отвесный спуск и посадка в намеченном месте, полет вперед и в стороны, развороты на ре</w:t>
      </w:r>
      <w:r w:rsidRPr="00507A31">
        <w:rPr>
          <w:color w:val="000000" w:themeColor="text1"/>
          <w:sz w:val="16"/>
          <w:szCs w:val="16"/>
        </w:rPr>
        <w:softHyphen/>
        <w:t>жиме висения. Устойчивость вертоле</w:t>
      </w:r>
      <w:r w:rsidRPr="00507A31">
        <w:rPr>
          <w:color w:val="000000" w:themeColor="text1"/>
          <w:sz w:val="16"/>
          <w:szCs w:val="16"/>
        </w:rPr>
        <w:softHyphen/>
        <w:t>та оставляла желать лучшего, А.М. Черемухин отмечал, что в полете он «как на острие иглы». Как рассказы</w:t>
      </w:r>
      <w:r w:rsidRPr="00507A31">
        <w:rPr>
          <w:color w:val="000000" w:themeColor="text1"/>
          <w:sz w:val="16"/>
          <w:szCs w:val="16"/>
        </w:rPr>
        <w:softHyphen/>
        <w:t>вал автору один из участников созда</w:t>
      </w:r>
      <w:r w:rsidRPr="00507A31">
        <w:rPr>
          <w:color w:val="000000" w:themeColor="text1"/>
          <w:sz w:val="16"/>
          <w:szCs w:val="16"/>
        </w:rPr>
        <w:softHyphen/>
        <w:t>ния вертолета ЦАГИ 1-ЭА Иван Пав</w:t>
      </w:r>
      <w:r w:rsidRPr="00507A31">
        <w:rPr>
          <w:color w:val="000000" w:themeColor="text1"/>
          <w:sz w:val="16"/>
          <w:szCs w:val="16"/>
        </w:rPr>
        <w:softHyphen/>
        <w:t>лович Братухин, первые полеты обыч</w:t>
      </w:r>
      <w:r w:rsidRPr="00507A31">
        <w:rPr>
          <w:color w:val="000000" w:themeColor="text1"/>
          <w:sz w:val="16"/>
          <w:szCs w:val="16"/>
        </w:rPr>
        <w:softHyphen/>
        <w:t>но проводились на рассвете, в корот</w:t>
      </w:r>
      <w:r w:rsidRPr="00507A31">
        <w:rPr>
          <w:color w:val="000000" w:themeColor="text1"/>
          <w:sz w:val="16"/>
          <w:szCs w:val="16"/>
        </w:rPr>
        <w:softHyphen/>
        <w:t>кую пору затишья, когда совершенно нет ветра, столь опасного для поле</w:t>
      </w:r>
      <w:r w:rsidRPr="00507A31">
        <w:rPr>
          <w:color w:val="000000" w:themeColor="text1"/>
          <w:sz w:val="16"/>
          <w:szCs w:val="16"/>
        </w:rPr>
        <w:softHyphen/>
        <w:t>тов. Характеристики устойчивости и уп</w:t>
      </w:r>
      <w:r w:rsidRPr="00507A31">
        <w:rPr>
          <w:color w:val="000000" w:themeColor="text1"/>
          <w:sz w:val="16"/>
          <w:szCs w:val="16"/>
        </w:rPr>
        <w:softHyphen/>
        <w:t>равляемости испытываемого вертоле</w:t>
      </w:r>
      <w:r w:rsidRPr="00507A31">
        <w:rPr>
          <w:color w:val="000000" w:themeColor="text1"/>
          <w:sz w:val="16"/>
          <w:szCs w:val="16"/>
        </w:rPr>
        <w:softHyphen/>
        <w:t>та еще были далеки от совершенства. В первом полете вертолет, оторвав</w:t>
      </w:r>
      <w:r w:rsidRPr="00507A31">
        <w:rPr>
          <w:color w:val="000000" w:themeColor="text1"/>
          <w:sz w:val="16"/>
          <w:szCs w:val="16"/>
        </w:rPr>
        <w:softHyphen/>
        <w:t>шись от земли, завис на высоте 1-3 м, затем начал вертикально поднимать</w:t>
      </w:r>
      <w:r w:rsidRPr="00507A31">
        <w:rPr>
          <w:color w:val="000000" w:themeColor="text1"/>
          <w:sz w:val="16"/>
          <w:szCs w:val="16"/>
        </w:rPr>
        <w:softHyphen/>
        <w:t>ся. Достигнув высоты 10 м, пошел на вертикальное снижение и совершил по</w:t>
      </w:r>
      <w:r w:rsidRPr="00507A31">
        <w:rPr>
          <w:color w:val="000000" w:themeColor="text1"/>
          <w:sz w:val="16"/>
          <w:szCs w:val="16"/>
        </w:rPr>
        <w:softHyphen/>
        <w:t>садку (11401).</w:t>
      </w:r>
    </w:p>
    <w:p w14:paraId="12E7CB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1C4C7EE" w14:textId="77777777" w:rsidR="00192AD6" w:rsidRPr="00507A31" w:rsidRDefault="00192AD6" w:rsidP="00507A31">
      <w:pPr>
        <w:jc w:val="both"/>
        <w:rPr>
          <w:color w:val="0070C0"/>
          <w:sz w:val="16"/>
          <w:szCs w:val="16"/>
        </w:rPr>
      </w:pPr>
      <w:r w:rsidRPr="00507A31">
        <w:rPr>
          <w:color w:val="0070C0"/>
          <w:sz w:val="16"/>
          <w:szCs w:val="16"/>
        </w:rPr>
        <w:t>В августе 1930 г. после того, как в течение зимы 1929-30 гг. аппарат КАСКР отремонтировали вновь вывели на аэродром. На этот раз испытания решили вести поэтапно, с соблюдением приня</w:t>
      </w:r>
      <w:r w:rsidRPr="00507A31">
        <w:rPr>
          <w:color w:val="0070C0"/>
          <w:sz w:val="16"/>
          <w:szCs w:val="16"/>
        </w:rPr>
        <w:softHyphen/>
        <w:t>тых методик первого вылета для опытных и эксперимен</w:t>
      </w:r>
      <w:r w:rsidRPr="00507A31">
        <w:rPr>
          <w:color w:val="0070C0"/>
          <w:sz w:val="16"/>
          <w:szCs w:val="16"/>
        </w:rPr>
        <w:softHyphen/>
        <w:t>тальных образцов. Летчик-испытатель Д.А. Кошиц, откоман</w:t>
      </w:r>
      <w:r w:rsidRPr="00507A31">
        <w:rPr>
          <w:color w:val="0070C0"/>
          <w:sz w:val="16"/>
          <w:szCs w:val="16"/>
        </w:rPr>
        <w:softHyphen/>
        <w:t>дированный из НИИ ВВС, поначалу осуществлял пробеж</w:t>
      </w:r>
      <w:r w:rsidRPr="00507A31">
        <w:rPr>
          <w:color w:val="0070C0"/>
          <w:sz w:val="16"/>
          <w:szCs w:val="16"/>
        </w:rPr>
        <w:softHyphen/>
        <w:t>ки без установленного несущего ротора с целью проверки управляемости и устойчивости аппарата. Попытка взлета с установленным ротором, предпринятая 23 августа, вы</w:t>
      </w:r>
      <w:r w:rsidRPr="00507A31">
        <w:rPr>
          <w:color w:val="0070C0"/>
          <w:sz w:val="16"/>
          <w:szCs w:val="16"/>
        </w:rPr>
        <w:softHyphen/>
        <w:t>явила склонность машины разворачиваться и наклонять</w:t>
      </w:r>
      <w:r w:rsidRPr="00507A31">
        <w:rPr>
          <w:color w:val="0070C0"/>
          <w:sz w:val="16"/>
          <w:szCs w:val="16"/>
        </w:rPr>
        <w:softHyphen/>
        <w:t>ся в правую сторону с одновременным скольжением вле</w:t>
      </w:r>
      <w:r w:rsidRPr="00507A31">
        <w:rPr>
          <w:color w:val="0070C0"/>
          <w:sz w:val="16"/>
          <w:szCs w:val="16"/>
        </w:rPr>
        <w:softHyphen/>
        <w:t>во. Для устранения этого явления угол наклона оси рото</w:t>
      </w:r>
      <w:r w:rsidRPr="00507A31">
        <w:rPr>
          <w:color w:val="0070C0"/>
          <w:sz w:val="16"/>
          <w:szCs w:val="16"/>
        </w:rPr>
        <w:softHyphen/>
        <w:t>ра уменьшили до минимального значения, а в законцовку левого крыла поместили свинцовый груз весом 10,3 кг. Предпринятые действия позволили добиться положитель</w:t>
      </w:r>
      <w:r w:rsidRPr="00507A31">
        <w:rPr>
          <w:color w:val="0070C0"/>
          <w:sz w:val="16"/>
          <w:szCs w:val="16"/>
        </w:rPr>
        <w:softHyphen/>
        <w:t>ных результатов. Несколько небольших полетов, пред</w:t>
      </w:r>
      <w:r w:rsidRPr="00507A31">
        <w:rPr>
          <w:color w:val="0070C0"/>
          <w:sz w:val="16"/>
          <w:szCs w:val="16"/>
        </w:rPr>
        <w:softHyphen/>
        <w:t>принятых до окончания лета, внушали уверенность в даль</w:t>
      </w:r>
      <w:r w:rsidRPr="00507A31">
        <w:rPr>
          <w:color w:val="0070C0"/>
          <w:sz w:val="16"/>
          <w:szCs w:val="16"/>
        </w:rPr>
        <w:softHyphen/>
        <w:t>нейших успехах (20361).</w:t>
      </w:r>
    </w:p>
    <w:p w14:paraId="45369F6C" w14:textId="77777777" w:rsidR="00192AD6" w:rsidRPr="00507A31" w:rsidRDefault="00192AD6" w:rsidP="00507A31">
      <w:pPr>
        <w:jc w:val="both"/>
        <w:rPr>
          <w:color w:val="0070C0"/>
          <w:sz w:val="16"/>
          <w:szCs w:val="16"/>
        </w:rPr>
      </w:pPr>
    </w:p>
    <w:p w14:paraId="61826E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был организован ЦИАМ с опытным заводом и испытательной станцией (66,149).</w:t>
      </w:r>
    </w:p>
    <w:p w14:paraId="63D749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ЦИАМ появился только в июне 1932.</w:t>
      </w:r>
    </w:p>
    <w:p w14:paraId="5523C6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С.В.Ильюшин проработав в НТК более 4 лет с 1926 по 1930 г., затем с августа 1930 по лето 1931 стал помошником начальника НИИ ВВС по науке (5,8) или научно-технической части (24,50).</w:t>
      </w:r>
    </w:p>
    <w:p w14:paraId="587181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НИИ ВВС в то время проводил государственные испытания всех без исключения летательных аппаратов, принятых на вооружение, а также большинства гражданских машин (5,8) (24,50). Переход в НИИ ВВС означал переход от составления ТТТ непосредственно к испытаниям.</w:t>
      </w:r>
    </w:p>
    <w:p w14:paraId="1577FA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Почему С.В.Ильюшин пошел работать в НИИ ВВС не ясно. Конечно, ему помог П.И.Баранов, но зачем. А может быть это был просто нормальный карьерный шаг - переход на более высокую должность. Кто остался вместо него в НТК - не ясно.</w:t>
      </w:r>
    </w:p>
    <w:p w14:paraId="36E1E9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было принято решение ПБ о развитии ГА. И.В.С. проявил к вопросу большой интерес (9089,135)</w:t>
      </w:r>
    </w:p>
    <w:p w14:paraId="13CAB5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августу 1930 г. машина КАСКР была восстановлена. Инженеры-энтузиасты обратились за помощью в научно-исследовательский институт ВВС, где была организована специальная комиссия по испытаниям, разработаны инструкция и программа их проведения. Хорошо подготовленные летчик-испытатель Д. Кошиц, инженеры-испытатели А. Кравцов и А. Филин выполняли испытательную работу на методически более высоком уровне. Тщательный подбор поперечного наклона ротора и угла установки стабилизатора, подвеска груза на крыле и другие меры позволили добиться правильной балансировки аппарата. Затем на вертолет установили двигатель в 235 л.с. и новый тянущий винт. Усовершенствованный аппарат под названием КАСКР-2 уверенно двигался по кругу над аэродромом на высотах до 450-500 метров. Продолжительность некоторых полетов, выполненных Дмитрием Александровичем Кошицем, достигала почти получаса. При полной полезной нагрузке в 200-235 кг машина летала - на скоростях от 35 до 110 км, планировала - под углами до 60 градусов к горизонту. Разбег при взлете составлял около 20 метров, а пробег при посадке (с торможением кабрированием машины до 25-30°) всего 2 метра. За время испытаний на автожирах КАСКР-1 и КАСКР-2 было выполнено 79 полетов (9975).</w:t>
      </w:r>
    </w:p>
    <w:p w14:paraId="6299F8FA" w14:textId="77777777" w:rsidR="00537E5F" w:rsidRPr="00507A31" w:rsidRDefault="00537E5F" w:rsidP="00507A31">
      <w:pPr>
        <w:autoSpaceDE w:val="0"/>
        <w:autoSpaceDN w:val="0"/>
        <w:adjustRightInd w:val="0"/>
        <w:jc w:val="both"/>
        <w:rPr>
          <w:color w:val="000000" w:themeColor="text1"/>
          <w:sz w:val="16"/>
          <w:szCs w:val="16"/>
        </w:rPr>
      </w:pPr>
    </w:p>
    <w:p w14:paraId="47F17CE4" w14:textId="77777777" w:rsidR="00896619" w:rsidRPr="00507A31" w:rsidRDefault="00896619" w:rsidP="00507A31">
      <w:pPr>
        <w:jc w:val="both"/>
        <w:rPr>
          <w:color w:val="000000" w:themeColor="text1"/>
          <w:sz w:val="16"/>
          <w:szCs w:val="16"/>
        </w:rPr>
      </w:pPr>
      <w:r w:rsidRPr="00507A31">
        <w:rPr>
          <w:color w:val="000000" w:themeColor="text1"/>
          <w:sz w:val="16"/>
          <w:szCs w:val="16"/>
        </w:rPr>
        <w:t>В августе 1930 года по путевкам Оружобъединения, в подчинение которому перешел завод Мостяжарт, на предприятие пришли и влились в состав группы Г.А. Талдыкин, В.В. Кудрявцев, С.П. Кунцевич. Прибыли так же военные инженеры И.Н. Тютюнов-Орский, М.Н. Твер- ской и другие. Новое для завода направление получило наименование «Отдел №4». Завод «Мастяжарт» был переименован в завод №67 и все больше стал специализироваться на производстве корпусов авиабомб. С 1931 года директором завода стал П.Г. Крынкин. Ведущим специалистам разрешено было сохранить свои воинские знания военных инженеров разных рангов. За успешную научную и производственную деятельность их поощряли не только государственными наградами, но и повышением в воинском звании. Таким образом, сконцентрировав в одном месте лучшие кадры инженеров по проектированию авиационных боеприпасов, перед ними поставили вполне конкретную задачу – создать стройную систему авиабомб различного назначения, отвечающую растущим потребностям ВВС страны. Начальником отдела № 4 был назначен бывший латышский стрелок Э. Г. Му- комль, а после его перевода в наркомат руководство отделом возложили на технического директора (главного инженера) А. Л. Флейшмана.</w:t>
      </w:r>
    </w:p>
    <w:p w14:paraId="16510A27" w14:textId="77777777" w:rsidR="00896619" w:rsidRPr="00507A31" w:rsidRDefault="00896619" w:rsidP="00507A31">
      <w:pPr>
        <w:jc w:val="both"/>
        <w:rPr>
          <w:color w:val="000000" w:themeColor="text1"/>
          <w:sz w:val="16"/>
          <w:szCs w:val="16"/>
        </w:rPr>
      </w:pPr>
      <w:r w:rsidRPr="00507A31">
        <w:rPr>
          <w:color w:val="000000" w:themeColor="text1"/>
          <w:sz w:val="16"/>
          <w:szCs w:val="16"/>
        </w:rPr>
        <w:t>В отделе было образовано два сектора: авиабомб – руководитель В. И. Сассапа рель и противохимических средств – руководитель И. Н. Тютюнов-Орский.</w:t>
      </w:r>
    </w:p>
    <w:p w14:paraId="3DFF2D0B" w14:textId="77777777" w:rsidR="00896619" w:rsidRPr="00507A31" w:rsidRDefault="00896619" w:rsidP="00507A31">
      <w:pPr>
        <w:jc w:val="both"/>
        <w:rPr>
          <w:color w:val="000000" w:themeColor="text1"/>
          <w:sz w:val="16"/>
          <w:szCs w:val="16"/>
        </w:rPr>
      </w:pPr>
      <w:r w:rsidRPr="00507A31">
        <w:rPr>
          <w:color w:val="000000" w:themeColor="text1"/>
          <w:sz w:val="16"/>
          <w:szCs w:val="16"/>
        </w:rPr>
        <w:t>Сектор авиабомб был разделен на группы фугасных авиабомб, осколочных авиабомб и переделки артснарядов и бомб специального назначения.</w:t>
      </w:r>
    </w:p>
    <w:p w14:paraId="016FE5A7" w14:textId="77777777" w:rsidR="00896619" w:rsidRPr="00507A31" w:rsidRDefault="00896619" w:rsidP="00507A31">
      <w:pPr>
        <w:jc w:val="both"/>
        <w:rPr>
          <w:color w:val="000000" w:themeColor="text1"/>
          <w:sz w:val="16"/>
          <w:szCs w:val="16"/>
        </w:rPr>
      </w:pPr>
      <w:r w:rsidRPr="00507A31">
        <w:rPr>
          <w:color w:val="000000" w:themeColor="text1"/>
          <w:sz w:val="16"/>
          <w:szCs w:val="16"/>
        </w:rPr>
        <w:t>В секторе противохимической защиты были созданы группы по разработке противогазов и проектированию дымовых средств.</w:t>
      </w:r>
    </w:p>
    <w:p w14:paraId="3CC9E54D" w14:textId="77777777" w:rsidR="00896619" w:rsidRPr="00507A31" w:rsidRDefault="00896619" w:rsidP="00507A31">
      <w:pPr>
        <w:jc w:val="both"/>
        <w:rPr>
          <w:color w:val="000000" w:themeColor="text1"/>
          <w:sz w:val="16"/>
          <w:szCs w:val="16"/>
        </w:rPr>
      </w:pPr>
      <w:r w:rsidRPr="00507A31">
        <w:rPr>
          <w:color w:val="000000" w:themeColor="text1"/>
          <w:sz w:val="16"/>
          <w:szCs w:val="16"/>
        </w:rPr>
        <w:t>Новый механический цех, которому присвоили номер 4, разместился в здании бывшей шпулечной фабрики постройки 1866 года.</w:t>
      </w:r>
    </w:p>
    <w:p w14:paraId="286E8634" w14:textId="77777777" w:rsidR="00896619" w:rsidRPr="00507A31" w:rsidRDefault="00896619" w:rsidP="00507A31">
      <w:pPr>
        <w:jc w:val="both"/>
        <w:rPr>
          <w:color w:val="000000" w:themeColor="text1"/>
          <w:sz w:val="16"/>
          <w:szCs w:val="16"/>
        </w:rPr>
      </w:pPr>
      <w:r w:rsidRPr="00507A31">
        <w:rPr>
          <w:color w:val="000000" w:themeColor="text1"/>
          <w:sz w:val="16"/>
          <w:szCs w:val="16"/>
        </w:rPr>
        <w:t>На заводе уже существовал с 1926 года цех, где шло серийное изготовление авиабомб, но для нужд конструкторов было необходимо свое опытное производство (15794).</w:t>
      </w:r>
    </w:p>
    <w:p w14:paraId="331F45EB" w14:textId="77777777" w:rsidR="00896619" w:rsidRPr="00507A31" w:rsidRDefault="00896619" w:rsidP="00507A31">
      <w:pPr>
        <w:jc w:val="both"/>
        <w:rPr>
          <w:color w:val="000000" w:themeColor="text1"/>
          <w:sz w:val="16"/>
          <w:szCs w:val="16"/>
        </w:rPr>
      </w:pPr>
    </w:p>
    <w:p w14:paraId="51CA17B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августе 1930 года прошел испытания второй индивидуальный парашют Гроховского из хлопчатобумажной ткани для летнаба, испытаны. Признан неудовлетворительным вследствие большого веса, большого времени раскрытия и несовершенства подвесной системы (6770).</w:t>
      </w:r>
    </w:p>
    <w:p w14:paraId="50FCD56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8581104" w14:textId="77777777" w:rsidR="00192AD6" w:rsidRPr="00507A31" w:rsidRDefault="00192AD6" w:rsidP="00507A31">
      <w:pPr>
        <w:shd w:val="clear" w:color="auto" w:fill="FFFFFF"/>
        <w:jc w:val="both"/>
        <w:textAlignment w:val="baseline"/>
        <w:rPr>
          <w:color w:val="0070C0"/>
          <w:sz w:val="16"/>
          <w:szCs w:val="16"/>
        </w:rPr>
      </w:pPr>
      <w:r w:rsidRPr="00507A31">
        <w:rPr>
          <w:color w:val="0070C0"/>
          <w:sz w:val="16"/>
          <w:szCs w:val="16"/>
        </w:rPr>
        <w:t>В августе 1930 состоялся большой перелет экипажей авиационных учебных заведений. В перелете участвовало шесть двухместных самолетов с экипажами, состоящими из победителей внутришкольных состязаний.</w:t>
      </w:r>
    </w:p>
    <w:p w14:paraId="6591D078" w14:textId="77777777" w:rsidR="00192AD6" w:rsidRPr="00507A31" w:rsidRDefault="00192AD6" w:rsidP="00507A31">
      <w:pPr>
        <w:shd w:val="clear" w:color="auto" w:fill="FFFFFF"/>
        <w:jc w:val="both"/>
        <w:textAlignment w:val="baseline"/>
        <w:rPr>
          <w:color w:val="0070C0"/>
          <w:sz w:val="16"/>
          <w:szCs w:val="16"/>
        </w:rPr>
      </w:pPr>
      <w:r w:rsidRPr="00507A31">
        <w:rPr>
          <w:color w:val="0070C0"/>
          <w:sz w:val="16"/>
          <w:szCs w:val="16"/>
        </w:rPr>
        <w:t>Маршрут перелета общей протяженностью до 1800 километров: Воронеж – Новочеркасск – Сталинград – Вольск – Воронеж был выполнен всеми экипажами в кратчайший срок. Выбор направления был предоставлен каждому экипажу самостоятельно. Самолеты должны были лететь на высоте 2000 метров с обязательной посадкой в контрольных пунктах.</w:t>
      </w:r>
    </w:p>
    <w:p w14:paraId="25F77BEA" w14:textId="77777777" w:rsidR="00192AD6" w:rsidRPr="00507A31" w:rsidRDefault="00192AD6" w:rsidP="00507A31">
      <w:pPr>
        <w:shd w:val="clear" w:color="auto" w:fill="FFFFFF"/>
        <w:jc w:val="both"/>
        <w:textAlignment w:val="baseline"/>
        <w:rPr>
          <w:color w:val="0070C0"/>
          <w:sz w:val="16"/>
          <w:szCs w:val="16"/>
        </w:rPr>
      </w:pPr>
      <w:r w:rsidRPr="00507A31">
        <w:rPr>
          <w:color w:val="0070C0"/>
          <w:sz w:val="16"/>
          <w:szCs w:val="16"/>
        </w:rPr>
        <w:t>Результаты перелета оценивались по следующим показателям: общая продолжительность полета, скорость, соблюдение заданной высоты, правильная нагрузка самолета, соблюдение маршрута, содержание в исправности материальной части, выполнение аэрофотосъемки, воздушная стрельба, бомбометание, связь самолета с землей, «кошки» (способ приема «посланий» в воздухе), радио.</w:t>
      </w:r>
    </w:p>
    <w:p w14:paraId="22597E33" w14:textId="77777777" w:rsidR="00192AD6" w:rsidRPr="00507A31" w:rsidRDefault="00192AD6" w:rsidP="00507A31">
      <w:pPr>
        <w:shd w:val="clear" w:color="auto" w:fill="FFFFFF"/>
        <w:jc w:val="both"/>
        <w:textAlignment w:val="baseline"/>
        <w:rPr>
          <w:color w:val="0070C0"/>
          <w:sz w:val="16"/>
          <w:szCs w:val="16"/>
        </w:rPr>
      </w:pPr>
      <w:r w:rsidRPr="00507A31">
        <w:rPr>
          <w:color w:val="0070C0"/>
          <w:sz w:val="16"/>
          <w:szCs w:val="16"/>
        </w:rPr>
        <w:t>Лучшие достижения по всем дисциплинам показал экипаж 1-ой военной школы летчиков имени А.Ф. Мясникова в составе летчика Мальцева и летчика-наблюдателя Олейникова.</w:t>
      </w:r>
    </w:p>
    <w:p w14:paraId="5E4B3B39" w14:textId="77777777" w:rsidR="00192AD6" w:rsidRPr="00507A31" w:rsidRDefault="00192AD6" w:rsidP="00507A31">
      <w:pPr>
        <w:shd w:val="clear" w:color="auto" w:fill="FFFFFF"/>
        <w:jc w:val="both"/>
        <w:textAlignment w:val="baseline"/>
        <w:rPr>
          <w:color w:val="0070C0"/>
          <w:sz w:val="16"/>
          <w:szCs w:val="16"/>
        </w:rPr>
      </w:pPr>
      <w:r w:rsidRPr="00507A31">
        <w:rPr>
          <w:color w:val="0070C0"/>
          <w:sz w:val="16"/>
          <w:szCs w:val="16"/>
        </w:rPr>
        <w:t>Экипаж выполнил весь перелет за 14 часов 43 минуты, находясь в воздухе 10 часов 46 минут и получил максимальное количество очков: из 1335 возможных — 1256.</w:t>
      </w:r>
    </w:p>
    <w:p w14:paraId="072BEB9A" w14:textId="77777777" w:rsidR="00192AD6" w:rsidRPr="00507A31" w:rsidRDefault="00192AD6" w:rsidP="00507A31">
      <w:pPr>
        <w:shd w:val="clear" w:color="auto" w:fill="FFFFFF"/>
        <w:jc w:val="both"/>
        <w:textAlignment w:val="baseline"/>
        <w:rPr>
          <w:color w:val="0070C0"/>
          <w:sz w:val="16"/>
          <w:szCs w:val="16"/>
        </w:rPr>
      </w:pPr>
      <w:r w:rsidRPr="00507A31">
        <w:rPr>
          <w:color w:val="0070C0"/>
          <w:sz w:val="16"/>
          <w:szCs w:val="16"/>
        </w:rPr>
        <w:t>Второе место занял экипаж 2-ой военной школы летчиков имени Осоавиахима СССР в составе летчика Масликова и летчика-наблюдателя Борщева. Этот экипаж набрал 1144 очков. Общая продолжительность перелета составила 14 часов 39 минут, а пребывание в воздухе 10 часов 37 минут.</w:t>
      </w:r>
    </w:p>
    <w:p w14:paraId="3AFA2A05" w14:textId="77777777" w:rsidR="00192AD6" w:rsidRPr="00507A31" w:rsidRDefault="00192AD6" w:rsidP="00507A31">
      <w:pPr>
        <w:shd w:val="clear" w:color="auto" w:fill="FFFFFF"/>
        <w:jc w:val="both"/>
        <w:textAlignment w:val="baseline"/>
        <w:rPr>
          <w:color w:val="0070C0"/>
          <w:sz w:val="16"/>
          <w:szCs w:val="16"/>
        </w:rPr>
      </w:pPr>
      <w:r w:rsidRPr="00507A31">
        <w:rPr>
          <w:color w:val="0070C0"/>
          <w:sz w:val="16"/>
          <w:szCs w:val="16"/>
        </w:rPr>
        <w:t>На третье место вышел экипаж Военной школы специальных служб ВВС РККА в составе летчика И.Д. Антошкина и летчика-наблюдателя Передереева, получивших 1091 очков. Этот экипаж показал наилучшие результаты по связи (прием авиаграммы и сбрасывание вымпела), «кошке» и радиосвязи (21249).</w:t>
      </w:r>
    </w:p>
    <w:p w14:paraId="2A2AC8B3" w14:textId="77777777" w:rsidR="00192AD6" w:rsidRPr="00507A31" w:rsidRDefault="00192AD6" w:rsidP="00507A31">
      <w:pPr>
        <w:shd w:val="clear" w:color="auto" w:fill="FFFFFF"/>
        <w:jc w:val="both"/>
        <w:rPr>
          <w:color w:val="0070C0"/>
          <w:sz w:val="16"/>
          <w:szCs w:val="16"/>
          <w:shd w:val="clear" w:color="auto" w:fill="FFFFFF"/>
        </w:rPr>
      </w:pPr>
    </w:p>
    <w:p w14:paraId="0E935E9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6A03A44" w14:textId="77777777" w:rsidR="00537E5F" w:rsidRPr="00507A31" w:rsidRDefault="00537E5F" w:rsidP="00507A31">
      <w:pPr>
        <w:autoSpaceDE w:val="0"/>
        <w:autoSpaceDN w:val="0"/>
        <w:adjustRightInd w:val="0"/>
        <w:jc w:val="both"/>
        <w:rPr>
          <w:iCs/>
          <w:color w:val="000000" w:themeColor="text1"/>
          <w:sz w:val="16"/>
          <w:szCs w:val="16"/>
        </w:rPr>
      </w:pPr>
    </w:p>
    <w:p w14:paraId="0BE82F21" w14:textId="77777777" w:rsidR="00896619" w:rsidRPr="00507A31" w:rsidRDefault="00896619" w:rsidP="00507A31">
      <w:pPr>
        <w:jc w:val="both"/>
        <w:rPr>
          <w:color w:val="000000" w:themeColor="text1"/>
          <w:sz w:val="16"/>
          <w:szCs w:val="16"/>
        </w:rPr>
      </w:pPr>
      <w:r w:rsidRPr="00507A31">
        <w:rPr>
          <w:color w:val="000000" w:themeColor="text1"/>
          <w:sz w:val="16"/>
          <w:szCs w:val="16"/>
        </w:rPr>
        <w:lastRenderedPageBreak/>
        <w:t>В авгуг сте 1930 г. журналом Артиллерийского коми</w:t>
      </w:r>
      <w:r w:rsidRPr="00507A31">
        <w:rPr>
          <w:color w:val="000000" w:themeColor="text1"/>
          <w:sz w:val="16"/>
          <w:szCs w:val="16"/>
        </w:rPr>
        <w:softHyphen/>
        <w:t>тета АУ решение комиссии Грушецкого было одобрено, за исключением перехода на ка</w:t>
      </w:r>
      <w:r w:rsidRPr="00507A31">
        <w:rPr>
          <w:color w:val="000000" w:themeColor="text1"/>
          <w:sz w:val="16"/>
          <w:szCs w:val="16"/>
        </w:rPr>
        <w:softHyphen/>
        <w:t>либр 9 мм и ограничения веса в 2,5 кг, а так</w:t>
      </w:r>
      <w:r w:rsidRPr="00507A31">
        <w:rPr>
          <w:color w:val="000000" w:themeColor="text1"/>
          <w:sz w:val="16"/>
          <w:szCs w:val="16"/>
        </w:rPr>
        <w:softHyphen/>
        <w:t>же признано возможным допустить вес оружия до 3-3,2 кг. Образец Токарева все еще вызы</w:t>
      </w:r>
      <w:r w:rsidRPr="00507A31">
        <w:rPr>
          <w:color w:val="000000" w:themeColor="text1"/>
          <w:sz w:val="16"/>
          <w:szCs w:val="16"/>
        </w:rPr>
        <w:softHyphen/>
        <w:t>вал наибольший интерес: вопрос о его серий</w:t>
      </w:r>
      <w:r w:rsidRPr="00507A31">
        <w:rPr>
          <w:color w:val="000000" w:themeColor="text1"/>
          <w:sz w:val="16"/>
          <w:szCs w:val="16"/>
        </w:rPr>
        <w:softHyphen/>
        <w:t>ном заказе Реввоенсовет СССР рассматривал, например, 13 февраля 1931 г. (15766)</w:t>
      </w:r>
    </w:p>
    <w:p w14:paraId="6564B218" w14:textId="77777777" w:rsidR="00896619" w:rsidRPr="00507A31" w:rsidRDefault="00896619" w:rsidP="00507A31">
      <w:pPr>
        <w:jc w:val="both"/>
        <w:rPr>
          <w:color w:val="000000" w:themeColor="text1"/>
          <w:sz w:val="16"/>
          <w:szCs w:val="16"/>
        </w:rPr>
      </w:pPr>
    </w:p>
    <w:p w14:paraId="2402BCD6" w14:textId="77777777" w:rsidR="00840115" w:rsidRPr="00507A31" w:rsidRDefault="00840115" w:rsidP="00507A31">
      <w:pPr>
        <w:jc w:val="both"/>
        <w:rPr>
          <w:rFonts w:eastAsia="TimesNewRomanPSMT"/>
          <w:color w:val="0070C0"/>
          <w:sz w:val="16"/>
          <w:szCs w:val="16"/>
        </w:rPr>
      </w:pPr>
      <w:r w:rsidRPr="00507A31">
        <w:rPr>
          <w:color w:val="0070C0"/>
          <w:sz w:val="16"/>
          <w:szCs w:val="16"/>
        </w:rPr>
        <w:t>Начиная с августа 1930 г. группой «Д» также были последовательно разработаны несколько вариантов конструкции 165-мм полкового миномета. Первоначально эти работы проводились по заказу ВОХИМУ, затем они перешли в ведение АУ УС РККА. В декабре 1930 г. НТК АУ были выданы ГВООПО заказы на изготовление по одному опытному образцу 165-мм полкового миномета в двух вариантах - М-А-II и М-А-III. Стволы для них должны были изготавливаться на заводе «Большевик» (М-А-III – к 15 февраля 1931 г.), станки – на механическом заводе №7 в срок (по каждому заказу) до 1 марта 1931 г.281 В апреле 1931 г. завод «Большевик» в дополнение к изготовлению ствола для М-А-III получил заказ на изготовление сопла к нему.282 К этому времени сроки сдачи заказа были скорректированы: по М-А-III подача станка планировалась на 15 мая, ствола – на 1 июня 1931 г., по М-А-II подача станка сдвинулась на конец мая, заказа на стволы завод «Большевик» от ГВООПО так и не получил.283 (20074).</w:t>
      </w:r>
    </w:p>
    <w:p w14:paraId="18131245" w14:textId="77777777" w:rsidR="00840115" w:rsidRPr="00507A31" w:rsidRDefault="00840115" w:rsidP="00507A31">
      <w:pPr>
        <w:jc w:val="both"/>
        <w:rPr>
          <w:rFonts w:eastAsia="TimesNewRomanPSMT"/>
          <w:color w:val="0070C0"/>
          <w:sz w:val="16"/>
          <w:szCs w:val="16"/>
        </w:rPr>
      </w:pPr>
    </w:p>
    <w:p w14:paraId="094FAE8B" w14:textId="77777777" w:rsidR="00840115" w:rsidRPr="00507A31" w:rsidRDefault="00840115" w:rsidP="00507A31">
      <w:pPr>
        <w:shd w:val="clear" w:color="auto" w:fill="FFFFFF"/>
        <w:jc w:val="both"/>
        <w:rPr>
          <w:color w:val="0070C0"/>
          <w:sz w:val="16"/>
          <w:szCs w:val="16"/>
        </w:rPr>
      </w:pPr>
      <w:r w:rsidRPr="00507A31">
        <w:rPr>
          <w:color w:val="0070C0"/>
          <w:sz w:val="16"/>
          <w:szCs w:val="16"/>
          <w:shd w:val="clear" w:color="auto" w:fill="FFFFFF"/>
        </w:rPr>
        <w:t>В августе 1930 года начались первые работы по подготовке технической документации на советский вариант танка Кристи. 21 ноября 1930 года, с подачи Халепского, танк стал называться БТ, или Б-Т (быстроходный танк). Тем самым он как бы отделялся от "маневренного" Т-24. Его выпуск поначалу никто не отменял (окончательное решение о запуске Т-24 в производство приняли 5 ноября 1930 года), но ХПЗ выпуск установочной партии из 15 машин данного типа завалил. И постепенно становилось понятно, что Т-24, что называется, не жилец. Машина стремительно устаревала, вопрос был в том, кто ее заменит. И БТ был отнюдь не единственным кандидатом (20339).</w:t>
      </w:r>
    </w:p>
    <w:p w14:paraId="50E7B8E0" w14:textId="77777777" w:rsidR="00840115" w:rsidRPr="00507A31" w:rsidRDefault="00840115" w:rsidP="00507A31">
      <w:pPr>
        <w:shd w:val="clear" w:color="auto" w:fill="FFFFFF"/>
        <w:jc w:val="both"/>
        <w:rPr>
          <w:color w:val="0070C0"/>
          <w:sz w:val="16"/>
          <w:szCs w:val="16"/>
        </w:rPr>
      </w:pPr>
    </w:p>
    <w:p w14:paraId="631129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г. завод Берсоль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  г. Троцк,  г. Чапаевск Куйбышевской, Самарской обл. п/я 2 (1930 г.)/ /446102  г. Чапаевск Самарской обл. ул. Орджоникидзе, 1/) был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248114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  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07002C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2CBF46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3455 от 31.05.1943 г. заводу выделено 500 чел. военнообязанных для работы с ОВ.</w:t>
      </w:r>
    </w:p>
    <w:p w14:paraId="40FFE8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3478EE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1E6B9D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Впоследствии назывался Чапаевский завод химических удобрений, в 1990-е  г. переименован в Средневолжский завод химикатов (СВЗХ).</w:t>
      </w:r>
    </w:p>
    <w:p w14:paraId="218DE2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5B352A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21A75B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(1942 г.)- 1840 чел., (1943 г.)- 2420 чел., (1944 г.)- 2450 чел.</w:t>
      </w:r>
    </w:p>
    <w:p w14:paraId="2C5FA1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6BC6AB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Помощник директора по найму и увольнению (06.1937 г.)- П.С. Брандес.</w:t>
      </w:r>
    </w:p>
    <w:p w14:paraId="3FADDC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(1934-; 19.06.1937-31.12.1938; -1941 г.)- Я.П. Чопоров; и.о. (31.12.1938 г.-)- В.В. Ярыгин; (1942- 45 г.)-  Г.Ф. Нехорошее.</w:t>
      </w:r>
      <w:r w:rsidRPr="00507A31">
        <w:rPr>
          <w:color w:val="000000" w:themeColor="text1"/>
          <w:sz w:val="16"/>
          <w:szCs w:val="16"/>
          <w:vertAlign w:val="superscript"/>
        </w:rPr>
        <w:t>71</w:t>
      </w:r>
    </w:p>
    <w:p w14:paraId="0BFEC6E8"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w:t>
      </w:r>
      <w:r w:rsidRPr="00507A31">
        <w:rPr>
          <w:color w:val="000000" w:themeColor="text1"/>
          <w:sz w:val="16"/>
          <w:szCs w:val="16"/>
        </w:rPr>
        <w:t xml:space="preserve"> авиабомбы ФАБ-100КД (1942) (11982).</w:t>
      </w:r>
    </w:p>
    <w:p w14:paraId="482163BC" w14:textId="77777777" w:rsidR="00896619" w:rsidRPr="00507A31" w:rsidRDefault="00896619" w:rsidP="00507A31">
      <w:pPr>
        <w:autoSpaceDE w:val="0"/>
        <w:autoSpaceDN w:val="0"/>
        <w:adjustRightInd w:val="0"/>
        <w:jc w:val="both"/>
        <w:rPr>
          <w:color w:val="000000" w:themeColor="text1"/>
          <w:sz w:val="16"/>
          <w:szCs w:val="16"/>
        </w:rPr>
      </w:pPr>
    </w:p>
    <w:p w14:paraId="43FBF8A4" w14:textId="77777777" w:rsidR="00533EE8" w:rsidRPr="00507A31" w:rsidRDefault="00533EE8" w:rsidP="00507A31">
      <w:pPr>
        <w:pStyle w:val="ae"/>
        <w:spacing w:before="0" w:after="0"/>
        <w:jc w:val="both"/>
        <w:rPr>
          <w:color w:val="000000" w:themeColor="text1"/>
          <w:sz w:val="16"/>
          <w:szCs w:val="16"/>
        </w:rPr>
      </w:pPr>
      <w:r w:rsidRPr="00507A31">
        <w:rPr>
          <w:color w:val="000000" w:themeColor="text1"/>
          <w:sz w:val="16"/>
          <w:szCs w:val="16"/>
        </w:rPr>
        <w:t>В августе 1930 года по путевкам Оружобъединения, в подчинение которому перешел завод Мостяжарт, на предприятие пришли и влились в состав группы Г.А. Талдыкин, В.В. Кудрявцев, С.П. Кунцевич. Прибыли так же военные инженеры И.Н. Тютюнов-Орский, М.Н. Твер- ской и другие. Новое для завода направление получило наименование «Отдел №4». Завод «Мастяжарт» был переименован в завод №67 и все больше стал специализироваться на производстве корпусов авиабомб. С 1931 года директором завода стал П.Г. Крынкин.</w:t>
      </w:r>
    </w:p>
    <w:p w14:paraId="347E8126" w14:textId="77777777" w:rsidR="00533EE8" w:rsidRPr="00507A31" w:rsidRDefault="00533EE8" w:rsidP="00507A31">
      <w:pPr>
        <w:pStyle w:val="ae"/>
        <w:spacing w:before="0" w:after="0"/>
        <w:jc w:val="both"/>
        <w:rPr>
          <w:color w:val="000000" w:themeColor="text1"/>
          <w:sz w:val="16"/>
          <w:szCs w:val="16"/>
        </w:rPr>
      </w:pPr>
      <w:r w:rsidRPr="00507A31">
        <w:rPr>
          <w:color w:val="000000" w:themeColor="text1"/>
          <w:sz w:val="16"/>
          <w:szCs w:val="16"/>
        </w:rPr>
        <w:t>Ведущим специалистам разрешено было сохранить свои воинские знания военных инженеров разных рангов. За успешную научную и производственную деятельность их по- ощряли не только государственными наградами, но и повышением в воинском звании.</w:t>
      </w:r>
    </w:p>
    <w:p w14:paraId="742D52E9" w14:textId="77777777" w:rsidR="00533EE8" w:rsidRPr="00507A31" w:rsidRDefault="00533EE8" w:rsidP="00507A31">
      <w:pPr>
        <w:pStyle w:val="ae"/>
        <w:spacing w:before="0" w:after="0"/>
        <w:jc w:val="both"/>
        <w:rPr>
          <w:color w:val="000000" w:themeColor="text1"/>
          <w:sz w:val="16"/>
          <w:szCs w:val="16"/>
        </w:rPr>
      </w:pPr>
      <w:r w:rsidRPr="00507A31">
        <w:rPr>
          <w:color w:val="000000" w:themeColor="text1"/>
          <w:sz w:val="16"/>
          <w:szCs w:val="16"/>
        </w:rPr>
        <w:t>Таким образом, сконцентрировав в одном месте лучшие кадры инженеров по про- ектированию авиационных боеприпасов, перед ними поставили вполне конкретную задачу – создать стройную систему авиабомб различного назначения, отвечающую ра- стущим потребностям ВВС страны.</w:t>
      </w:r>
    </w:p>
    <w:p w14:paraId="09D2B91F" w14:textId="77777777" w:rsidR="00533EE8" w:rsidRPr="00507A31" w:rsidRDefault="00533EE8" w:rsidP="00507A31">
      <w:pPr>
        <w:pStyle w:val="ae"/>
        <w:spacing w:before="0" w:after="0"/>
        <w:jc w:val="both"/>
        <w:rPr>
          <w:color w:val="000000" w:themeColor="text1"/>
          <w:sz w:val="16"/>
          <w:szCs w:val="16"/>
        </w:rPr>
      </w:pPr>
      <w:r w:rsidRPr="00507A31">
        <w:rPr>
          <w:color w:val="000000" w:themeColor="text1"/>
          <w:sz w:val="16"/>
          <w:szCs w:val="16"/>
        </w:rPr>
        <w:t>Начальником отдела № 4 был назначен бывший латышский стрелок Э. Г. Мукомль, а после его перевода в наркомат руководство отделом возложили на техниче- ского директора (главного инженера) А. Л. Флейшмана.</w:t>
      </w:r>
    </w:p>
    <w:p w14:paraId="74149321" w14:textId="77777777" w:rsidR="00533EE8" w:rsidRPr="00507A31" w:rsidRDefault="00533EE8" w:rsidP="00507A31">
      <w:pPr>
        <w:pStyle w:val="ae"/>
        <w:spacing w:before="0" w:after="0"/>
        <w:jc w:val="both"/>
        <w:rPr>
          <w:color w:val="000000" w:themeColor="text1"/>
          <w:sz w:val="16"/>
          <w:szCs w:val="16"/>
        </w:rPr>
      </w:pPr>
      <w:r w:rsidRPr="00507A31">
        <w:rPr>
          <w:color w:val="000000" w:themeColor="text1"/>
          <w:sz w:val="16"/>
          <w:szCs w:val="16"/>
        </w:rPr>
        <w:t>В отделе было образовано два сектора: авиабомб – руководитель В. И. Сассапарель и противохимических средств – руководитель И. Н. Тютюнов-Орский.</w:t>
      </w:r>
    </w:p>
    <w:p w14:paraId="545D5405" w14:textId="77777777" w:rsidR="00533EE8" w:rsidRPr="00507A31" w:rsidRDefault="00533EE8" w:rsidP="00507A31">
      <w:pPr>
        <w:pStyle w:val="ae"/>
        <w:spacing w:before="0" w:after="0"/>
        <w:jc w:val="both"/>
        <w:rPr>
          <w:color w:val="000000" w:themeColor="text1"/>
          <w:sz w:val="16"/>
          <w:szCs w:val="16"/>
        </w:rPr>
      </w:pPr>
      <w:r w:rsidRPr="00507A31">
        <w:rPr>
          <w:color w:val="000000" w:themeColor="text1"/>
          <w:sz w:val="16"/>
          <w:szCs w:val="16"/>
        </w:rPr>
        <w:t>Сектор авиабомб был разделен на группы фугасных авиабомб, осколочных авиа- бомб и переделки артснарядов и бомб специального назначения.</w:t>
      </w:r>
    </w:p>
    <w:p w14:paraId="1B6D278C" w14:textId="77777777" w:rsidR="00533EE8" w:rsidRPr="00507A31" w:rsidRDefault="00533EE8" w:rsidP="00507A31">
      <w:pPr>
        <w:pStyle w:val="ae"/>
        <w:spacing w:before="0" w:after="0"/>
        <w:jc w:val="both"/>
        <w:rPr>
          <w:color w:val="000000" w:themeColor="text1"/>
          <w:sz w:val="16"/>
          <w:szCs w:val="16"/>
        </w:rPr>
      </w:pPr>
      <w:r w:rsidRPr="00507A31">
        <w:rPr>
          <w:color w:val="000000" w:themeColor="text1"/>
          <w:sz w:val="16"/>
          <w:szCs w:val="16"/>
        </w:rPr>
        <w:t>В секторе противохимической защиты были созданы группы по разработке про- тивогазов и проектированию дымовых средств.</w:t>
      </w:r>
    </w:p>
    <w:p w14:paraId="4592F6A2" w14:textId="77777777" w:rsidR="00533EE8" w:rsidRPr="00507A31" w:rsidRDefault="00533EE8" w:rsidP="00507A31">
      <w:pPr>
        <w:pStyle w:val="ae"/>
        <w:spacing w:before="0" w:after="0"/>
        <w:jc w:val="both"/>
        <w:rPr>
          <w:color w:val="000000" w:themeColor="text1"/>
          <w:sz w:val="16"/>
          <w:szCs w:val="16"/>
        </w:rPr>
      </w:pPr>
      <w:r w:rsidRPr="00507A31">
        <w:rPr>
          <w:color w:val="000000" w:themeColor="text1"/>
          <w:sz w:val="16"/>
          <w:szCs w:val="16"/>
        </w:rPr>
        <w:t>Первой задачей, которую предстояло решить отделу при его организации, была экспериментальная отработка фугасных авиабомб, спроектированных специалистами отдела еще в бытность их работы в НИИ ВВС.</w:t>
      </w:r>
    </w:p>
    <w:p w14:paraId="320C7759" w14:textId="77777777" w:rsidR="00533EE8" w:rsidRPr="00507A31" w:rsidRDefault="00533EE8" w:rsidP="00507A31">
      <w:pPr>
        <w:pStyle w:val="ae"/>
        <w:spacing w:before="0" w:after="0"/>
        <w:jc w:val="both"/>
        <w:rPr>
          <w:color w:val="000000" w:themeColor="text1"/>
          <w:sz w:val="16"/>
          <w:szCs w:val="16"/>
        </w:rPr>
      </w:pPr>
      <w:r w:rsidRPr="00507A31">
        <w:rPr>
          <w:color w:val="000000" w:themeColor="text1"/>
          <w:sz w:val="16"/>
          <w:szCs w:val="16"/>
        </w:rPr>
        <w:t>Для отработки авиационных бомб требовалась производственная база в виде механических цехов для изготовления корпусов, мастерских для снаряжения бомб взрывчатыми, зажигательными, осветительными и другими составами, нужна была и испытательная станция, где можно было бы проводить наземные и летные испытания.</w:t>
      </w:r>
    </w:p>
    <w:p w14:paraId="234B6AA6" w14:textId="77777777" w:rsidR="00533EE8" w:rsidRPr="00507A31" w:rsidRDefault="00533EE8" w:rsidP="00507A31">
      <w:pPr>
        <w:pStyle w:val="ae"/>
        <w:spacing w:before="0" w:after="0"/>
        <w:jc w:val="both"/>
        <w:rPr>
          <w:color w:val="000000" w:themeColor="text1"/>
          <w:sz w:val="16"/>
          <w:szCs w:val="16"/>
        </w:rPr>
      </w:pPr>
      <w:r w:rsidRPr="00507A31">
        <w:rPr>
          <w:color w:val="000000" w:themeColor="text1"/>
          <w:sz w:val="16"/>
          <w:szCs w:val="16"/>
        </w:rPr>
        <w:t>Новый механический цех, которому присвоили номер 4, разместился в здании бывшей шпулечной фабрики постройки 1866 года.</w:t>
      </w:r>
    </w:p>
    <w:p w14:paraId="1F472990" w14:textId="77777777" w:rsidR="00533EE8" w:rsidRPr="00507A31" w:rsidRDefault="00533EE8" w:rsidP="00507A31">
      <w:pPr>
        <w:pStyle w:val="ae"/>
        <w:spacing w:before="0" w:after="0"/>
        <w:jc w:val="both"/>
        <w:rPr>
          <w:color w:val="000000" w:themeColor="text1"/>
          <w:sz w:val="16"/>
          <w:szCs w:val="16"/>
        </w:rPr>
      </w:pPr>
      <w:r w:rsidRPr="00507A31">
        <w:rPr>
          <w:color w:val="000000" w:themeColor="text1"/>
          <w:sz w:val="16"/>
          <w:szCs w:val="16"/>
        </w:rPr>
        <w:t>На заводе уже существовал с 1926 года цех, где шло серийное изготовление авиабомб, но для нужд конструкторов было необходимо свое опытное производство.</w:t>
      </w:r>
    </w:p>
    <w:p w14:paraId="08124931" w14:textId="77777777" w:rsidR="00533EE8" w:rsidRPr="00507A31" w:rsidRDefault="00533EE8" w:rsidP="00507A31">
      <w:pPr>
        <w:pStyle w:val="ae"/>
        <w:spacing w:before="0" w:after="0"/>
        <w:jc w:val="both"/>
        <w:rPr>
          <w:color w:val="000000" w:themeColor="text1"/>
          <w:sz w:val="16"/>
          <w:szCs w:val="16"/>
        </w:rPr>
      </w:pPr>
    </w:p>
    <w:p w14:paraId="408E820A" w14:textId="77777777" w:rsidR="00533EE8" w:rsidRPr="00507A31" w:rsidRDefault="00533EE8" w:rsidP="00507A31">
      <w:pPr>
        <w:jc w:val="both"/>
        <w:rPr>
          <w:color w:val="000000" w:themeColor="text1"/>
          <w:sz w:val="16"/>
          <w:szCs w:val="16"/>
        </w:rPr>
      </w:pPr>
      <w:r w:rsidRPr="00507A31">
        <w:rPr>
          <w:color w:val="000000" w:themeColor="text1"/>
          <w:sz w:val="16"/>
          <w:szCs w:val="16"/>
        </w:rPr>
        <w:t>В августе 1930 г. был заключен договор с фирмой «Бютаст» (подставной конторой фирмы «Рейнметалл») на поставку в СССР шести опытных артсистем и технологической документации к ним. Так появились, например, советская 37-мм противотанковая пушка обр.1930 г. (впоследствии на ее основе создана знаменитая «сорокопятка») и 20-мм автоматическая пушка обр. 1930 г. В Москве работало смешанное КБ № 2 Орудийноарсенального объединения, руководимое немецким инженером Фохтом (в этом КБ начинал свою конструкторскую деятельность В.Г. Грабин). Немцы помогли РККА приобрести зенитные пушки у шведской фирмы «Бофорс» (18272).</w:t>
      </w:r>
    </w:p>
    <w:p w14:paraId="361F9E0A" w14:textId="77777777" w:rsidR="00533EE8" w:rsidRPr="00507A31" w:rsidRDefault="00533EE8" w:rsidP="00507A31">
      <w:pPr>
        <w:jc w:val="both"/>
        <w:rPr>
          <w:color w:val="000000" w:themeColor="text1"/>
          <w:sz w:val="16"/>
          <w:szCs w:val="16"/>
        </w:rPr>
      </w:pPr>
    </w:p>
    <w:p w14:paraId="75FEA8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г. «Орудартрест» заключил с дочерней фирмой «Райнметалла» «Бютаст» договор об организации одного КБ в Москве. Формально им руководил бывший помощник советского военного атташе в Берлине в 20-е годы Л. А. Шнитман. Советские и немецкие инженеры занимались разработкой артвооружений. Это совместное КБ просуществовало около двух лет. Тухачевский был недоволен его работой, и по его инициативе летом 1932 г. договор был расторгнут (11784).</w:t>
      </w:r>
    </w:p>
    <w:p w14:paraId="458EFE76" w14:textId="77777777" w:rsidR="00537E5F" w:rsidRPr="00507A31" w:rsidRDefault="00537E5F" w:rsidP="00507A31">
      <w:pPr>
        <w:autoSpaceDE w:val="0"/>
        <w:autoSpaceDN w:val="0"/>
        <w:adjustRightInd w:val="0"/>
        <w:jc w:val="both"/>
        <w:rPr>
          <w:color w:val="000000" w:themeColor="text1"/>
          <w:sz w:val="16"/>
          <w:szCs w:val="16"/>
        </w:rPr>
      </w:pPr>
    </w:p>
    <w:p w14:paraId="19C4D1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августе 1930 УММ РККА утвердило ТТХ на двухместную колесно-гусеничную танкетку, вооруженную 7.62 мм ДТ. Колесно-гусеничный движитель выполнен по типу Кристи. Работы прекратили после покупки танкетки Карден-Ллойд (9527,254).</w:t>
      </w:r>
    </w:p>
    <w:p w14:paraId="2EADC241" w14:textId="77777777" w:rsidR="00537E5F" w:rsidRPr="00507A31" w:rsidRDefault="00537E5F" w:rsidP="00507A31">
      <w:pPr>
        <w:autoSpaceDE w:val="0"/>
        <w:autoSpaceDN w:val="0"/>
        <w:adjustRightInd w:val="0"/>
        <w:jc w:val="both"/>
        <w:rPr>
          <w:color w:val="000000" w:themeColor="text1"/>
          <w:sz w:val="16"/>
          <w:szCs w:val="16"/>
        </w:rPr>
      </w:pPr>
    </w:p>
    <w:p w14:paraId="5B02059D" w14:textId="77777777" w:rsidR="00896619" w:rsidRPr="00507A31" w:rsidRDefault="00896619" w:rsidP="00507A31">
      <w:pPr>
        <w:jc w:val="both"/>
        <w:rPr>
          <w:color w:val="000000" w:themeColor="text1"/>
          <w:sz w:val="16"/>
          <w:szCs w:val="16"/>
        </w:rPr>
      </w:pPr>
      <w:r w:rsidRPr="00507A31">
        <w:rPr>
          <w:color w:val="000000" w:themeColor="text1"/>
          <w:sz w:val="16"/>
          <w:szCs w:val="16"/>
        </w:rPr>
        <w:t>С августа 1930 г. Тухачевский организовал показ «Карден-Ллойда» высшему командному составу Красной армии. По приказу Тухачевского в 1930 г. был даже снят учебный фильм «Танкетка» для пропаганды нового оружия среди подрастающего поколения, и особенно среди учащихся Осоавиахим. Михаил Николаевич лично написал сценарий к фильму и добился выделения для его создания необходимых денежных средств. А 3 ноября 1930 г. начались испытания советского аналога Т-27. Танкетка Т-27 была принята на вооружение 13 февраля 1931 г. еще до окончания испытаний. Толщина брони — 6—10 мм, вооружение — один пулемет ДТ. РККА в 1931—1934 гг. получило 3295 танкеток Т-27. В частях их быстро переводили в учебные машины. Зато на базе Т-27 началось проектирование плавающих танков (15117).</w:t>
      </w:r>
    </w:p>
    <w:p w14:paraId="779E353E" w14:textId="77777777" w:rsidR="00896619" w:rsidRPr="00507A31" w:rsidRDefault="00896619" w:rsidP="00507A31">
      <w:pPr>
        <w:jc w:val="both"/>
        <w:rPr>
          <w:color w:val="000000" w:themeColor="text1"/>
          <w:sz w:val="16"/>
          <w:szCs w:val="16"/>
        </w:rPr>
      </w:pPr>
    </w:p>
    <w:p w14:paraId="0B6D8A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агусте 1930 Лавров писал К. Ворошилову после показа танкеток «Виккерс Карден-Ллойд» летом 1930 г.:</w:t>
      </w:r>
    </w:p>
    <w:p w14:paraId="045CB2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«Относительно малого самоходного пулемета, имею сооб-Щить следующее... Пулемет имеет малые размеры, что по</w:t>
      </w:r>
      <w:r w:rsidRPr="00507A31">
        <w:rPr>
          <w:color w:val="000000" w:themeColor="text1"/>
          <w:sz w:val="16"/>
          <w:szCs w:val="16"/>
        </w:rPr>
        <w:softHyphen/>
        <w:t>ет легко укрыть его в подлеске среди низкорослых кусмое... Пулемет имеет высокую скорость движения, на дороге обгоняет лошадь и способен догнать грузовой автомобиль. Пулемет имеет хорошую поворотливость, что позволяет частям, имеющим на вооружении означенные пулеметы, на</w:t>
      </w:r>
      <w:r w:rsidRPr="00507A31">
        <w:rPr>
          <w:color w:val="000000" w:themeColor="text1"/>
          <w:sz w:val="16"/>
          <w:szCs w:val="16"/>
        </w:rPr>
        <w:softHyphen/>
        <w:t>носить противнику внезапные удары даже в лесистой мест</w:t>
      </w:r>
      <w:r w:rsidRPr="00507A31">
        <w:rPr>
          <w:color w:val="000000" w:themeColor="text1"/>
          <w:sz w:val="16"/>
          <w:szCs w:val="16"/>
        </w:rPr>
        <w:softHyphen/>
        <w:t>ности, где применение обычных танков невозможно...</w:t>
      </w:r>
    </w:p>
    <w:p w14:paraId="73482D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Пулемет прекрасно приспособлен для просачивания под ог</w:t>
      </w:r>
      <w:r w:rsidRPr="00507A31">
        <w:rPr>
          <w:color w:val="000000" w:themeColor="text1"/>
          <w:sz w:val="16"/>
          <w:szCs w:val="16"/>
        </w:rPr>
        <w:softHyphen/>
        <w:t>нем в тыл противника, дезорганизации его тыла и преследова</w:t>
      </w:r>
      <w:r w:rsidRPr="00507A31">
        <w:rPr>
          <w:color w:val="000000" w:themeColor="text1"/>
          <w:sz w:val="16"/>
          <w:szCs w:val="16"/>
        </w:rPr>
        <w:softHyphen/>
        <w:t>ния отходящего противника...» (10733,142).</w:t>
      </w:r>
    </w:p>
    <w:p w14:paraId="33186C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AF6B4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августе 1930 г. еще до начала полновесных испытаний многим ста</w:t>
      </w:r>
      <w:r w:rsidRPr="00507A31">
        <w:rPr>
          <w:color w:val="000000" w:themeColor="text1"/>
          <w:sz w:val="16"/>
          <w:szCs w:val="16"/>
        </w:rPr>
        <w:softHyphen/>
        <w:t>ло ясно, что такой машине в составе танкового вооружения РККА быть и было принято решение об органи</w:t>
      </w:r>
      <w:r w:rsidRPr="00507A31">
        <w:rPr>
          <w:color w:val="000000" w:themeColor="text1"/>
          <w:sz w:val="16"/>
          <w:szCs w:val="16"/>
        </w:rPr>
        <w:softHyphen/>
        <w:t>зации выпуска именно таких машин на базе 2-го азтозавода ВАТО, куда предполагалось передать все материалы по проекту Т-25 Гинзбурга-Симского, имеющуюся докумен</w:t>
      </w:r>
      <w:r w:rsidRPr="00507A31">
        <w:rPr>
          <w:color w:val="000000" w:themeColor="text1"/>
          <w:sz w:val="16"/>
          <w:szCs w:val="16"/>
        </w:rPr>
        <w:softHyphen/>
        <w:t>тацию по танкетке «ВКЛ», а также два опытных образца, полученные летом из Великобритании. Для освоения выпуска танкеток здесь было создано конструкторское бюро под руководством Н. Козырева, ко</w:t>
      </w:r>
      <w:r w:rsidRPr="00507A31">
        <w:rPr>
          <w:color w:val="000000" w:themeColor="text1"/>
          <w:sz w:val="16"/>
          <w:szCs w:val="16"/>
        </w:rPr>
        <w:softHyphen/>
        <w:t>торому поручалось подготовить серийный выпуск танкет</w:t>
      </w:r>
      <w:r w:rsidRPr="00507A31">
        <w:rPr>
          <w:color w:val="000000" w:themeColor="text1"/>
          <w:sz w:val="16"/>
          <w:szCs w:val="16"/>
        </w:rPr>
        <w:softHyphen/>
        <w:t>ки, в которой должны были воплотиться лучшие черты закупленной в Великобритании машины (10733,143).</w:t>
      </w:r>
    </w:p>
    <w:p w14:paraId="757565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3BC77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августе 1930 г. ОКМО завода «Большевик» при участии конструкторской группы Н. Козырева, а также в присутствии слушателей академии им. Дзержинского рассмотрели варианты адаптации танкетки «ВКЛ» в соответствии с требо</w:t>
      </w:r>
      <w:r w:rsidRPr="00507A31">
        <w:rPr>
          <w:color w:val="000000" w:themeColor="text1"/>
          <w:sz w:val="16"/>
          <w:szCs w:val="16"/>
        </w:rPr>
        <w:softHyphen/>
        <w:t>ваниями «системы танко-тракторно-автоброневооружения ЬРККА», и в частности, возможного перевода ее на колесно-ргусеничный ход. Здесь же обсуждалась целесообразность продолжения работ над проектом Т-25 Гинзбурга-Симского (10733,143).</w:t>
      </w:r>
    </w:p>
    <w:p w14:paraId="603297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FF004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закончились совместные испытания средних танков Т-12 и первого образца танка Т-24, который проходили с июля. Танк Т-24 с мая 1930 разрабатывался в ГКБ ОАТ под руководством С.П.Шукалова при участии конструкторов ХПЗ из-за провала заводских испытаний Т-12, законченных 25 февраля 1930. Предпочли Т-24 (9527,117).</w:t>
      </w:r>
    </w:p>
    <w:p w14:paraId="05ED9796" w14:textId="77777777" w:rsidR="00537E5F" w:rsidRPr="00507A31" w:rsidRDefault="00537E5F" w:rsidP="00507A31">
      <w:pPr>
        <w:autoSpaceDE w:val="0"/>
        <w:autoSpaceDN w:val="0"/>
        <w:adjustRightInd w:val="0"/>
        <w:jc w:val="both"/>
        <w:rPr>
          <w:color w:val="000000" w:themeColor="text1"/>
          <w:sz w:val="16"/>
          <w:szCs w:val="16"/>
        </w:rPr>
      </w:pPr>
    </w:p>
    <w:p w14:paraId="06DD10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Н.Бриллинг в НАТИ получил от УММ ТТТ на “снегоходное мотоциклетное приспособление”. Разработали образец в НАТИ к кождеству 1933 изготовил Харьковский автосборочный завод (7690,17)</w:t>
      </w:r>
    </w:p>
    <w:p w14:paraId="69DBB62F" w14:textId="77777777" w:rsidR="00537E5F" w:rsidRPr="00507A31" w:rsidRDefault="00537E5F" w:rsidP="00507A31">
      <w:pPr>
        <w:autoSpaceDE w:val="0"/>
        <w:autoSpaceDN w:val="0"/>
        <w:adjustRightInd w:val="0"/>
        <w:jc w:val="both"/>
        <w:rPr>
          <w:color w:val="000000" w:themeColor="text1"/>
          <w:sz w:val="16"/>
          <w:szCs w:val="16"/>
        </w:rPr>
      </w:pPr>
    </w:p>
    <w:p w14:paraId="2CE91E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 августа 1930 г. на заводе № 224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работал гл. конструктор </w:t>
      </w:r>
      <w:r w:rsidRPr="00507A31">
        <w:rPr>
          <w:color w:val="000000" w:themeColor="text1"/>
          <w:sz w:val="16"/>
          <w:szCs w:val="16"/>
          <w:lang w:val="en-US"/>
        </w:rPr>
        <w:t>A</w:t>
      </w:r>
      <w:r w:rsidRPr="00507A31">
        <w:rPr>
          <w:color w:val="000000" w:themeColor="text1"/>
          <w:sz w:val="16"/>
          <w:szCs w:val="16"/>
        </w:rPr>
        <w:t>.</w:t>
      </w:r>
      <w:r w:rsidRPr="00507A31">
        <w:rPr>
          <w:color w:val="000000" w:themeColor="text1"/>
          <w:sz w:val="16"/>
          <w:szCs w:val="16"/>
          <w:lang w:val="en-US"/>
        </w:rPr>
        <w:t>M</w:t>
      </w:r>
      <w:r w:rsidRPr="00507A31">
        <w:rPr>
          <w:color w:val="000000" w:themeColor="text1"/>
          <w:sz w:val="16"/>
          <w:szCs w:val="16"/>
        </w:rPr>
        <w:t>. Неусыпин. К началу 1940-х г. создан ряд образцов авиационной и метеорологической (указатели скорости, высотомеры) и контрольной аппаратуры (курсографы, барографы, различные индикаторы), морские приборы.</w:t>
      </w:r>
    </w:p>
    <w:p w14:paraId="06350D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приказу № 72с от 25.02.1946 г. завод с 1.02.1946 г. становится опытной базой гл. конструктора </w:t>
      </w:r>
      <w:r w:rsidRPr="00507A31">
        <w:rPr>
          <w:color w:val="000000" w:themeColor="text1"/>
          <w:sz w:val="16"/>
          <w:szCs w:val="16"/>
          <w:lang w:val="en-US"/>
        </w:rPr>
        <w:t>A</w:t>
      </w:r>
      <w:r w:rsidRPr="00507A31">
        <w:rPr>
          <w:color w:val="000000" w:themeColor="text1"/>
          <w:sz w:val="16"/>
          <w:szCs w:val="16"/>
        </w:rPr>
        <w:t>.</w:t>
      </w:r>
      <w:r w:rsidRPr="00507A31">
        <w:rPr>
          <w:color w:val="000000" w:themeColor="text1"/>
          <w:sz w:val="16"/>
          <w:szCs w:val="16"/>
          <w:lang w:val="en-US"/>
        </w:rPr>
        <w:t>M</w:t>
      </w:r>
      <w:r w:rsidRPr="00507A31">
        <w:rPr>
          <w:color w:val="000000" w:themeColor="text1"/>
          <w:sz w:val="16"/>
          <w:szCs w:val="16"/>
        </w:rPr>
        <w:t>. Неусыпина, а по приказу № 430с от 4.07.1946 г. преобразуется в Опытный завод № 224 5ГУ НКАП.</w:t>
      </w:r>
    </w:p>
    <w:p w14:paraId="3C5CBE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по проектированию контрольно-испытательной аппаратуры для летных и стендовых испытаний ДА и двигателей.</w:t>
      </w:r>
    </w:p>
    <w:p w14:paraId="4D14D3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Гл. конструктор (1930-46 г.-)- </w:t>
      </w:r>
      <w:r w:rsidRPr="00507A31">
        <w:rPr>
          <w:color w:val="000000" w:themeColor="text1"/>
          <w:sz w:val="16"/>
          <w:szCs w:val="16"/>
          <w:lang w:val="en-US"/>
        </w:rPr>
        <w:t>A</w:t>
      </w:r>
      <w:r w:rsidRPr="00507A31">
        <w:rPr>
          <w:color w:val="000000" w:themeColor="text1"/>
          <w:sz w:val="16"/>
          <w:szCs w:val="16"/>
        </w:rPr>
        <w:t>.</w:t>
      </w:r>
      <w:r w:rsidRPr="00507A31">
        <w:rPr>
          <w:color w:val="000000" w:themeColor="text1"/>
          <w:sz w:val="16"/>
          <w:szCs w:val="16"/>
          <w:lang w:val="en-US"/>
        </w:rPr>
        <w:t>M</w:t>
      </w:r>
      <w:r w:rsidRPr="00507A31">
        <w:rPr>
          <w:color w:val="000000" w:themeColor="text1"/>
          <w:sz w:val="16"/>
          <w:szCs w:val="16"/>
        </w:rPr>
        <w:t>. Неусыпин.</w:t>
      </w:r>
    </w:p>
    <w:p w14:paraId="330D38AF"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Создано:</w:t>
      </w:r>
      <w:r w:rsidRPr="00507A31">
        <w:rPr>
          <w:color w:val="000000" w:themeColor="text1"/>
          <w:sz w:val="16"/>
          <w:szCs w:val="16"/>
        </w:rPr>
        <w:t xml:space="preserve"> вычислительный блок ВБ-2 для пушечного вооружения Ту-16, прицельно-вычислительные блоки ПВБ-1 для Ту-4 (11982).</w:t>
      </w:r>
    </w:p>
    <w:p w14:paraId="1D445EAE" w14:textId="77777777" w:rsidR="00537E5F" w:rsidRPr="00507A31" w:rsidRDefault="00537E5F" w:rsidP="00507A31">
      <w:pPr>
        <w:autoSpaceDE w:val="0"/>
        <w:autoSpaceDN w:val="0"/>
        <w:adjustRightInd w:val="0"/>
        <w:jc w:val="both"/>
        <w:rPr>
          <w:color w:val="000000" w:themeColor="text1"/>
          <w:sz w:val="16"/>
          <w:szCs w:val="16"/>
        </w:rPr>
      </w:pPr>
    </w:p>
    <w:p w14:paraId="62F0E9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начало второй реконструкции завода. Директорами завода работали: с 13 марта - П.С. Поленов, с 19 октября - П.И. Киселев, с 9 декабря - М.И. Витковский. Главными инженерами работали: с 23 мая - А.И. Сыров, с 13 июля - М.И. Витковский, с 13 августа - Н.И. Авилов (11246).</w:t>
      </w:r>
    </w:p>
    <w:p w14:paraId="4F2DD3B0" w14:textId="77777777" w:rsidR="00537E5F" w:rsidRPr="00507A31" w:rsidRDefault="00537E5F" w:rsidP="00507A31">
      <w:pPr>
        <w:autoSpaceDE w:val="0"/>
        <w:autoSpaceDN w:val="0"/>
        <w:adjustRightInd w:val="0"/>
        <w:jc w:val="both"/>
        <w:rPr>
          <w:color w:val="000000" w:themeColor="text1"/>
          <w:sz w:val="16"/>
          <w:szCs w:val="16"/>
        </w:rPr>
      </w:pPr>
    </w:p>
    <w:p w14:paraId="2C1EE234" w14:textId="77777777" w:rsidR="0077708B" w:rsidRPr="00507A31" w:rsidRDefault="0077708B" w:rsidP="00507A31">
      <w:pPr>
        <w:jc w:val="both"/>
        <w:rPr>
          <w:rFonts w:eastAsia="TimesNewRoman"/>
          <w:color w:val="000000" w:themeColor="text1"/>
          <w:sz w:val="16"/>
          <w:szCs w:val="16"/>
        </w:rPr>
      </w:pPr>
      <w:r w:rsidRPr="00507A31">
        <w:rPr>
          <w:rFonts w:eastAsia="TimesNewRoman"/>
          <w:color w:val="000000" w:themeColor="text1"/>
          <w:sz w:val="16"/>
          <w:szCs w:val="16"/>
        </w:rPr>
        <w:t>В августе 1930 года, находясь на отдыхе в Сочи, руководитель государства И. В. Сталин, встречаясь с начальником морских сил (МС) Р. А. Муклевичем, указал на необходимость немедленной отправки группы морских специалистов в Италию для ознакомления с достижениями в технике и тактике итальянского флота. На этой же встрече обсуждался вопрос о заказе крейсера итальянской постройки [4, д. 106, л. 275] (12701).</w:t>
      </w:r>
    </w:p>
    <w:p w14:paraId="37D8A182" w14:textId="77777777" w:rsidR="0077708B" w:rsidRPr="00507A31" w:rsidRDefault="0077708B" w:rsidP="00507A31">
      <w:pPr>
        <w:jc w:val="both"/>
        <w:rPr>
          <w:rFonts w:eastAsia="TimesNewRoman"/>
          <w:color w:val="000000" w:themeColor="text1"/>
          <w:sz w:val="16"/>
          <w:szCs w:val="16"/>
        </w:rPr>
      </w:pPr>
    </w:p>
    <w:p w14:paraId="0CB8D00C" w14:textId="77777777" w:rsidR="0077708B" w:rsidRPr="00507A31" w:rsidRDefault="0077708B" w:rsidP="00507A31">
      <w:pPr>
        <w:jc w:val="both"/>
        <w:rPr>
          <w:color w:val="000000" w:themeColor="text1"/>
          <w:sz w:val="16"/>
          <w:szCs w:val="16"/>
        </w:rPr>
      </w:pPr>
      <w:r w:rsidRPr="00507A31">
        <w:rPr>
          <w:color w:val="000000" w:themeColor="text1"/>
          <w:sz w:val="16"/>
          <w:szCs w:val="16"/>
        </w:rPr>
        <w:t>В августе 1930 г. М.Н.Тухачевский, выступая на заседании РВС с докладом «О состоянии военного изобретательства», отмечал недостаточный приток поступающих предложений в результате отсутствия тесной связи с изобретательской массой. Он настойчиво добивался предоставления больших средств на изобретения, чем их предоставляло финансовое управление РККА (12702).</w:t>
      </w:r>
    </w:p>
    <w:p w14:paraId="29120B57" w14:textId="77777777" w:rsidR="0077708B" w:rsidRPr="00507A31" w:rsidRDefault="0077708B" w:rsidP="00507A31">
      <w:pPr>
        <w:jc w:val="both"/>
        <w:rPr>
          <w:color w:val="000000" w:themeColor="text1"/>
          <w:sz w:val="16"/>
          <w:szCs w:val="16"/>
        </w:rPr>
      </w:pPr>
    </w:p>
    <w:p w14:paraId="3449DE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августе 1930 года применение труда зэков, ссыльных и спецпоселенцев было оформлено постановлением СНК СССР «О мероприятиях по проведению спецколонизации в Северном, Сибирском краях и Уральской области». </w:t>
      </w:r>
    </w:p>
    <w:p w14:paraId="10DD28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середине 30-х годов в стране существовало до 250 лагерей, из которых 35 находились на Урале (т.н. «УралГУЛАГ»). Лагеря на Урале объединялись в свою очередь в несколько систем, основными из которых были Ивдельлаг, Тагиллаг и Богословлаг (Свердловская область), а также Вишлаг, Соликамсклаг, Усольлаг, «Молотовстрой» (Молотовская область).</w:t>
      </w:r>
    </w:p>
    <w:p w14:paraId="0F65EE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Удельный вес заключенных и спецпереселенцев на стройках коммунизма на Урале в 30-х годах был достаточно высок: на строительстве НТМК их доля достигала 50-60%, Магнитки – 45-50% (11,5 тыс. человек) и Березниковского комбината – более 65%. Существенно меньше была доля «спецконтингента» на второстепенных стройках – реконструкции Златоустовского металлургического завода, строительстве Чусовского металлургического завода и т.п. Там она составляла около 35-40%. Использование труда ссыльных и заключенных позволяло создавать резервы дешевой и неприхотливой рабочей силы, которая в большинстве случаев в начале 30-х годов работала достаточно качественно (бригады зэков часто перевыполняли план, и о причинах этого явления я писал в посте, посвященном истории ЧМК) (11514).</w:t>
      </w:r>
    </w:p>
    <w:p w14:paraId="547FDC45" w14:textId="77777777" w:rsidR="00537E5F" w:rsidRPr="00507A31" w:rsidRDefault="00537E5F" w:rsidP="00507A31">
      <w:pPr>
        <w:autoSpaceDE w:val="0"/>
        <w:autoSpaceDN w:val="0"/>
        <w:adjustRightInd w:val="0"/>
        <w:jc w:val="both"/>
        <w:rPr>
          <w:color w:val="000000" w:themeColor="text1"/>
          <w:sz w:val="16"/>
          <w:szCs w:val="16"/>
        </w:rPr>
      </w:pPr>
    </w:p>
    <w:p w14:paraId="483217B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44C56AE0" w14:textId="77777777" w:rsidR="00537E5F" w:rsidRPr="00507A31" w:rsidRDefault="00537E5F" w:rsidP="00507A31">
      <w:pPr>
        <w:autoSpaceDE w:val="0"/>
        <w:autoSpaceDN w:val="0"/>
        <w:adjustRightInd w:val="0"/>
        <w:jc w:val="both"/>
        <w:rPr>
          <w:iCs/>
          <w:color w:val="000000" w:themeColor="text1"/>
          <w:sz w:val="16"/>
          <w:szCs w:val="16"/>
        </w:rPr>
      </w:pPr>
    </w:p>
    <w:p w14:paraId="64A1FC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в 57-ю эскадрилью Ленинградского военного округа доставили первые ТБ-1, в 55-ю - в октябре. До конца года в общей сложности на аэродром Кречевицы, где стояли обе эскадрильи, перегнали девять машин. К новому году в ВВС РККА имелось уже 52 новых бомбардировщика, 45 из них исправных. Продолжалось доукомплектование 11-й бригады. Ее экипажи стали принимать самолеты в Москве, на заводском аэродроме. Так, в мае 1931 г. ТБ-1 оттуда перегоняли летчики 51-й и 59-й эскадрилий. Ставилась задача в кратчайшие сроки довести бригаду до полной боеготовности. Учебные полеты велись очень интенсивно. Не обходилось и без аварий. Командир одного из отрядов 51-й эскадрильи Павлов ночью потерял ориентацию в пространстве; самолет врезался в землю. По счастью, экипаж отделался лишь ранениями (12001).</w:t>
      </w:r>
    </w:p>
    <w:p w14:paraId="35636E24" w14:textId="77777777" w:rsidR="00537E5F" w:rsidRPr="00507A31" w:rsidRDefault="00537E5F" w:rsidP="00507A31">
      <w:pPr>
        <w:autoSpaceDE w:val="0"/>
        <w:autoSpaceDN w:val="0"/>
        <w:adjustRightInd w:val="0"/>
        <w:jc w:val="both"/>
        <w:rPr>
          <w:color w:val="000000" w:themeColor="text1"/>
          <w:sz w:val="16"/>
          <w:szCs w:val="16"/>
        </w:rPr>
      </w:pPr>
    </w:p>
    <w:p w14:paraId="428533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г. 57-я эскадрилья получила первые ТБ-1, 55-я - в октябре. К Новому году в ВВС РККА имелось уже 52 новых бомбардировщика, 45 из которых были исправны. Продолжалось доукомплектование 11-й бригады. После того, как обучили первые экипажи, самолеты стали принимать в Москве, прямо на заводском аэродроме. Так, в мае 1931 г.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бомбардировщиков (12036).</w:t>
      </w:r>
    </w:p>
    <w:p w14:paraId="0B1B0F3F" w14:textId="77777777" w:rsidR="00537E5F" w:rsidRPr="00507A31" w:rsidRDefault="00537E5F" w:rsidP="00507A31">
      <w:pPr>
        <w:autoSpaceDE w:val="0"/>
        <w:autoSpaceDN w:val="0"/>
        <w:adjustRightInd w:val="0"/>
        <w:jc w:val="both"/>
        <w:rPr>
          <w:color w:val="000000" w:themeColor="text1"/>
          <w:sz w:val="16"/>
          <w:szCs w:val="16"/>
        </w:rPr>
      </w:pPr>
    </w:p>
    <w:p w14:paraId="282490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 август 1930 г. на маневрах Московского военного округа под Воронежем планировалось первое применение выливных приборов на учениях. Но тогда не смогли набрать надежно работающих приборов даже на один отряд (10 машин). Реально освоение их в войсках началось в мае 1931 г., когда серийные ВАП-4 получила 56-я эскадрилья, летавшая на бипланах Р-1. В этот период Р-1 были быстро вытеснены из легкобомбардировочной авиации новыми самолетами Р-5. Именно они стали </w:t>
      </w:r>
      <w:r w:rsidRPr="00507A31">
        <w:rPr>
          <w:color w:val="000000" w:themeColor="text1"/>
          <w:sz w:val="16"/>
          <w:szCs w:val="16"/>
        </w:rPr>
        <w:lastRenderedPageBreak/>
        <w:t>основными носителями химического оружия. К осени 1932 г. ВВС РККА теоретически могли выставить под сотню машин, оснащенных выливными приборами. Обычно комплект из четырех ВАП-4 выдавали на половину парка самолетов бригады. С 1936 г. часть бригад получила статус особых химических, им выливные приборы полагались на все машины.</w:t>
      </w:r>
    </w:p>
    <w:p w14:paraId="1DBE88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мало было наладить производство ВАП. Требовалось создать запасы самого химического оружия, оборудовать тыловые склады ВВС, построить помещения для хранения ОВ на аэродромах. Поначалу проверяющие комиссии приходили в ужас, обнаружив бочки с ипритом стоящими где-нибудь возле ангаров. Но и этого было мало. При недостаточно осторожном обращении химическое оружие становилось опаснее для своих, чем для врага. Значит, нужно было обучить специалистов, отработать технологию безопасной заправки ВАП, снабдить людей средствами индивидуальной защиты.</w:t>
      </w:r>
    </w:p>
    <w:p w14:paraId="3190C2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Летный состав тоже требовалось обучать и защищать. Обучать надо было тактике и технике применения ВАП, а защищать - от почти неизбежного забрызгивания самолетов. Пары ОВ попадали в кабины, которые и у Р-1, и у Р-5 были открытыми. Поэтому летали в противогазах, иногда в специальных комбинезонах. И вы- ливные приборы, и сами самолеты по возвращении на аэродром подлежали дегазации.</w:t>
      </w:r>
    </w:p>
    <w:p w14:paraId="197A15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Техника и тактика применения химического оружия отрабатывались на Центральном военно-химическом полигоне (ЦВХП) в Шиханах. Его обслуживал 36-й отдельный авиаотряд. Там имелись специальные мишенные городки с размещенными в них животными - собаками и свиньями. Их поливали настоящими боевыми растворами, оценивая их эффективность. На ЦВХП периодически отправляли подразделения из строевых частей, давая им возможность поработать в условиях, приближенных к боевым.</w:t>
      </w:r>
    </w:p>
    <w:p w14:paraId="7B8A60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 учениях же, проходивших в разных частях страны, чаще заливали в ВАП подкрашенную воду. Иногда в ход пускали разбавленную дымовую смесь. Реже пользовались боевыми ОВ, но сильно разбавленными (обычно до 5%). Считалось, что при этом войска на земле будут за- </w:t>
      </w:r>
    </w:p>
    <w:p w14:paraId="06A78D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щищаться всерьез, не пренебрегая противогазами и накидками.</w:t>
      </w:r>
    </w:p>
    <w:p w14:paraId="64FF11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этом происходило множество курьезных историй. Атаковать предписывалось с бреющего полета. Нередко, увлекаясь выполнением задачи, летчики за что-то цеплялись. В феврале 1935 г. пилот Жданов из 85-го отдельного отряда, поливая танковый батальон на шоссе, не успел увернуться от телеграфного столба. Р-5 с поломанным шасси и пробитым радиатором приземлился тут же на поле у дороги. Жданов и его летнаб остались целы, но после разбора полетов летчик на трое суток отправился на гауптвахту.</w:t>
      </w:r>
    </w:p>
    <w:p w14:paraId="2857FF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Немало известно случаев ошибочных атак не на те цели. На "счету" 81-й штурмовой бригады таким образом оказались аэродром в Харькове, гражданские объекты в Лебединской и Рогани. Аэродром полили разбавленной дымообразующей смесью. Капли попортили лак и краску но стоявших на поле самолетах, в ремонт отправились 14 машин. Учебный аэродром в Рогани попадал под удары "химиков" неоднократно. 29 июля 1937 г. штурмовики ССС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 Был случай, когда вместо мотопехоты под удар попала колонна грузовиков со свеклой (11931).</w:t>
      </w:r>
    </w:p>
    <w:p w14:paraId="52E69102" w14:textId="77777777" w:rsidR="00537E5F" w:rsidRPr="00507A31" w:rsidRDefault="00537E5F" w:rsidP="00507A31">
      <w:pPr>
        <w:autoSpaceDE w:val="0"/>
        <w:autoSpaceDN w:val="0"/>
        <w:adjustRightInd w:val="0"/>
        <w:jc w:val="both"/>
        <w:rPr>
          <w:color w:val="000000" w:themeColor="text1"/>
          <w:sz w:val="16"/>
          <w:szCs w:val="16"/>
        </w:rPr>
      </w:pPr>
    </w:p>
    <w:p w14:paraId="7255E4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на допросе два бывших преподавателя ВА Н.Е.Какурин и И.А.Троицкий, которые были арестованы в ходе операции ОГПУ Весна, назвали Тухачевского в качестве организатора правого заговора, целью которого является устанорвление военной диктатуры. Дали показание о встречах на квартире Тухачевскогою В.Р.Менжинский направил И.В.С. докладную записку с одним из протоколов (9089,131).</w:t>
      </w:r>
    </w:p>
    <w:p w14:paraId="641D76C4" w14:textId="77777777" w:rsidR="00537E5F" w:rsidRPr="00507A31" w:rsidRDefault="00537E5F" w:rsidP="00507A31">
      <w:pPr>
        <w:autoSpaceDE w:val="0"/>
        <w:autoSpaceDN w:val="0"/>
        <w:adjustRightInd w:val="0"/>
        <w:jc w:val="both"/>
        <w:rPr>
          <w:color w:val="000000" w:themeColor="text1"/>
          <w:sz w:val="16"/>
          <w:szCs w:val="16"/>
        </w:rPr>
      </w:pPr>
    </w:p>
    <w:p w14:paraId="596220A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48AC21E" w14:textId="77777777" w:rsidR="00537E5F" w:rsidRPr="00507A31" w:rsidRDefault="00537E5F" w:rsidP="00507A31">
      <w:pPr>
        <w:autoSpaceDE w:val="0"/>
        <w:autoSpaceDN w:val="0"/>
        <w:adjustRightInd w:val="0"/>
        <w:jc w:val="both"/>
        <w:rPr>
          <w:iCs/>
          <w:color w:val="000000" w:themeColor="text1"/>
          <w:sz w:val="16"/>
          <w:szCs w:val="16"/>
        </w:rPr>
      </w:pPr>
    </w:p>
    <w:p w14:paraId="7A45B5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г. Сталин писал Молотову: «Микоян сообщает, что заготовки растут и каждый день вывозим хлеба 1– 1,5 млн. пудов. Я думаю, что этого мало. Надо поднять теперь же (норму) ежедневного вывоза до 4-4 млн. пудов минимум. Иначе рискуем остаться без наших новых металлургических и машиностроительных (Автозавод, Челябзавод и пр.) заводов... Словом, нужно бешено форсировать вывоз хлеба».</w:t>
      </w:r>
    </w:p>
    <w:p w14:paraId="5F5160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Оба упомянутых Сталиным завода спроектированы Каном. Из текста письма ясно, что валюту для оплаты деятельности Кана Сталин получал, продавая в США хлеб в самый разгар массового голода в СССР. Можно с большой долей уверенности утверждать, что миллионы жертв страшного голода 1930-1934 гг. – это результат стремления Сталина как можно быстрее оплатить заказы по поставкам оборудования для объектов, проектировавшихся в первую очередь Альбертом Каном. </w:t>
      </w:r>
    </w:p>
    <w:p w14:paraId="4FFA3A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Что, в свою очередь, делает очевидно лживой казенную советскую версию о том, индустриализация была затеяна для светлого будущего и лучшей жизни. Не для того Сталин гробил деревню, чтобы ее же тракторами снабжать. </w:t>
      </w:r>
    </w:p>
    <w:p w14:paraId="4DB2D2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Фирма Aльберт Кана играла роль координатора между советским заказчиком и сотнями западных (поначалу, преимущественно, американских) фирм, поставлявших оборудование и консультировавших строительство отдельных объектов. По сути, через Кана в СССР тек мощный поток американской и европейской военно-промышленной технологии. Те несколько тысяч иностранных специалистов, которые в начале 30.х годов работали в СССР представляли различные западные фирмы, которые в основном строили и налаживали заводы, спроектированные фирмой Кана (11598).</w:t>
      </w:r>
    </w:p>
    <w:p w14:paraId="60374C17" w14:textId="77777777" w:rsidR="00537E5F" w:rsidRPr="00507A31" w:rsidRDefault="00537E5F" w:rsidP="00507A31">
      <w:pPr>
        <w:autoSpaceDE w:val="0"/>
        <w:autoSpaceDN w:val="0"/>
        <w:adjustRightInd w:val="0"/>
        <w:jc w:val="both"/>
        <w:rPr>
          <w:color w:val="000000" w:themeColor="text1"/>
          <w:sz w:val="16"/>
          <w:szCs w:val="16"/>
        </w:rPr>
      </w:pPr>
    </w:p>
    <w:p w14:paraId="446EEC7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6E727076" w14:textId="77777777" w:rsidR="00537E5F" w:rsidRPr="00507A31" w:rsidRDefault="00537E5F" w:rsidP="00507A31">
      <w:pPr>
        <w:autoSpaceDE w:val="0"/>
        <w:autoSpaceDN w:val="0"/>
        <w:adjustRightInd w:val="0"/>
        <w:jc w:val="both"/>
        <w:rPr>
          <w:iCs/>
          <w:color w:val="000000" w:themeColor="text1"/>
          <w:sz w:val="16"/>
          <w:szCs w:val="16"/>
        </w:rPr>
      </w:pPr>
    </w:p>
    <w:p w14:paraId="375159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1930 года вершиной карьеры английского дирижабля R.100 стал двойной [294] перелет Атлантического океана из Кардингтона в Монреаль и обратно. В том полете на его борту находилось 38 человек экипажа и 44 пассажира. На подходе к Монреалю дирижабль благополучно преодолел полосу сильных грозовых шквалов, причем в полете был произведен ремонт сорванной обтяжки руля высоты. Путешествие в Канаду длилось 78 часов, а обратный полет, благодаря сильному попутному ветру, сократился до 58 часов. Во время этого перелета были проверены технические качества корабля. Такие впечатляющие результаты еще больше укрепили мнение сторонников дирижаблей в счастливом будущем британского воздухоплавательного транспорта. Ускоренными темпами строились аэродромы и причальные вышки в Исмаилии (Египет), в Карачи (Индия), в Сент-Губерте (Канада) и в Гроутвилле и Дурбане (Южная Африка) (11324).</w:t>
      </w:r>
    </w:p>
    <w:p w14:paraId="46F2B0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После возвращения R.100 из Канады комиссия подписала акт приемки дирижабля в эксплуатацию и этим действием подтвердила, что условия договора были полностью выполнены. Фирма «Эйршип Гаранти» вскоре после этого распалась. Теперь правительство рассчитывало только на свои собственные силы в лице «Ройал Эйршип Уоркс», где строился удивительный дирижабль R.101. Технически он был еще более совершенным, чем его предшественник R.100. </w:t>
      </w:r>
    </w:p>
    <w:p w14:paraId="6761B1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того чтобы показать главные различия между обоими дирижаблями, мы приводим ниже таблицу основных характеристик R.101 (до его переделки) и R.100.</w:t>
      </w:r>
    </w:p>
    <w:p w14:paraId="29DB5C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Основные характеристики R.101 (до его переделки) и R. 100 </w:t>
      </w:r>
      <w:r w:rsidRPr="00507A31">
        <w:rPr>
          <w:iCs/>
          <w:color w:val="000000" w:themeColor="text1"/>
          <w:sz w:val="16"/>
          <w:szCs w:val="16"/>
        </w:rPr>
        <w:t>(стр. 295)</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448"/>
        <w:gridCol w:w="4344"/>
        <w:gridCol w:w="3566"/>
      </w:tblGrid>
      <w:tr w:rsidR="00E371BA" w:rsidRPr="00507A31" w14:paraId="25E36C80" w14:textId="77777777">
        <w:tc>
          <w:tcPr>
            <w:tcW w:w="1448" w:type="dxa"/>
            <w:tcBorders>
              <w:top w:val="single" w:sz="12" w:space="0" w:color="000000"/>
            </w:tcBorders>
          </w:tcPr>
          <w:p w14:paraId="5F81BE56" w14:textId="77777777" w:rsidR="00537E5F" w:rsidRPr="00507A31" w:rsidRDefault="00537E5F" w:rsidP="00507A31">
            <w:pPr>
              <w:autoSpaceDE w:val="0"/>
              <w:autoSpaceDN w:val="0"/>
              <w:adjustRightInd w:val="0"/>
              <w:jc w:val="both"/>
              <w:rPr>
                <w:color w:val="000000" w:themeColor="text1"/>
                <w:sz w:val="16"/>
                <w:szCs w:val="16"/>
              </w:rPr>
            </w:pPr>
          </w:p>
        </w:tc>
        <w:tc>
          <w:tcPr>
            <w:tcW w:w="4344" w:type="dxa"/>
            <w:tcBorders>
              <w:top w:val="single" w:sz="12" w:space="0" w:color="000000"/>
            </w:tcBorders>
          </w:tcPr>
          <w:p w14:paraId="0F6FD6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R.100 </w:t>
            </w:r>
          </w:p>
        </w:tc>
        <w:tc>
          <w:tcPr>
            <w:tcW w:w="3566" w:type="dxa"/>
            <w:tcBorders>
              <w:top w:val="single" w:sz="12" w:space="0" w:color="000000"/>
            </w:tcBorders>
          </w:tcPr>
          <w:p w14:paraId="5092AC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R.101 </w:t>
            </w:r>
          </w:p>
        </w:tc>
      </w:tr>
      <w:tr w:rsidR="00E371BA" w:rsidRPr="00507A31" w14:paraId="7F8D4E38" w14:textId="77777777">
        <w:tc>
          <w:tcPr>
            <w:tcW w:w="1448" w:type="dxa"/>
          </w:tcPr>
          <w:p w14:paraId="20C628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Объем, куб. м </w:t>
            </w:r>
          </w:p>
        </w:tc>
        <w:tc>
          <w:tcPr>
            <w:tcW w:w="4344" w:type="dxa"/>
          </w:tcPr>
          <w:p w14:paraId="6D0E1F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140 000 </w:t>
            </w:r>
          </w:p>
        </w:tc>
        <w:tc>
          <w:tcPr>
            <w:tcW w:w="3566" w:type="dxa"/>
          </w:tcPr>
          <w:p w14:paraId="51D1FA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141 600 </w:t>
            </w:r>
          </w:p>
        </w:tc>
      </w:tr>
      <w:tr w:rsidR="00E371BA" w:rsidRPr="00507A31" w14:paraId="75E46975" w14:textId="77777777">
        <w:tc>
          <w:tcPr>
            <w:tcW w:w="1448" w:type="dxa"/>
          </w:tcPr>
          <w:p w14:paraId="6AFEBC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Длина, м </w:t>
            </w:r>
          </w:p>
        </w:tc>
        <w:tc>
          <w:tcPr>
            <w:tcW w:w="4344" w:type="dxa"/>
          </w:tcPr>
          <w:p w14:paraId="4994FB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216,5 </w:t>
            </w:r>
          </w:p>
        </w:tc>
        <w:tc>
          <w:tcPr>
            <w:tcW w:w="3566" w:type="dxa"/>
          </w:tcPr>
          <w:p w14:paraId="73754B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219,6 </w:t>
            </w:r>
          </w:p>
        </w:tc>
      </w:tr>
      <w:tr w:rsidR="00E371BA" w:rsidRPr="00507A31" w14:paraId="0C7CB954" w14:textId="77777777">
        <w:tc>
          <w:tcPr>
            <w:tcW w:w="1448" w:type="dxa"/>
          </w:tcPr>
          <w:p w14:paraId="56AEB0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Высота, м </w:t>
            </w:r>
          </w:p>
        </w:tc>
        <w:tc>
          <w:tcPr>
            <w:tcW w:w="4344" w:type="dxa"/>
          </w:tcPr>
          <w:p w14:paraId="06B245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41,15 </w:t>
            </w:r>
          </w:p>
        </w:tc>
        <w:tc>
          <w:tcPr>
            <w:tcW w:w="3566" w:type="dxa"/>
          </w:tcPr>
          <w:p w14:paraId="002E54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41,0 </w:t>
            </w:r>
          </w:p>
        </w:tc>
      </w:tr>
      <w:tr w:rsidR="00E371BA" w:rsidRPr="00507A31" w14:paraId="65AF5364" w14:textId="77777777">
        <w:tc>
          <w:tcPr>
            <w:tcW w:w="1448" w:type="dxa"/>
          </w:tcPr>
          <w:p w14:paraId="27DE8B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Максимальный диаметр, м </w:t>
            </w:r>
          </w:p>
        </w:tc>
        <w:tc>
          <w:tcPr>
            <w:tcW w:w="4344" w:type="dxa"/>
          </w:tcPr>
          <w:p w14:paraId="1FABFF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40,6 </w:t>
            </w:r>
          </w:p>
        </w:tc>
        <w:tc>
          <w:tcPr>
            <w:tcW w:w="3566" w:type="dxa"/>
          </w:tcPr>
          <w:p w14:paraId="2486E2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40,0 </w:t>
            </w:r>
          </w:p>
        </w:tc>
      </w:tr>
      <w:tr w:rsidR="00E371BA" w:rsidRPr="00507A31" w14:paraId="0F5658E3" w14:textId="77777777">
        <w:tc>
          <w:tcPr>
            <w:tcW w:w="1448" w:type="dxa"/>
          </w:tcPr>
          <w:p w14:paraId="121F23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Относительное удлинение </w:t>
            </w:r>
          </w:p>
        </w:tc>
        <w:tc>
          <w:tcPr>
            <w:tcW w:w="4344" w:type="dxa"/>
          </w:tcPr>
          <w:p w14:paraId="4F903A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6,33 </w:t>
            </w:r>
          </w:p>
        </w:tc>
        <w:tc>
          <w:tcPr>
            <w:tcW w:w="3566" w:type="dxa"/>
          </w:tcPr>
          <w:p w14:paraId="6B329A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6,5 </w:t>
            </w:r>
          </w:p>
        </w:tc>
      </w:tr>
      <w:tr w:rsidR="00E371BA" w:rsidRPr="00507A31" w14:paraId="141F4B62" w14:textId="77777777">
        <w:tc>
          <w:tcPr>
            <w:tcW w:w="1448" w:type="dxa"/>
          </w:tcPr>
          <w:p w14:paraId="7E9CB8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Количество шпангоутов </w:t>
            </w:r>
          </w:p>
        </w:tc>
        <w:tc>
          <w:tcPr>
            <w:tcW w:w="4344" w:type="dxa"/>
          </w:tcPr>
          <w:p w14:paraId="5D6F72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w:t>
            </w:r>
          </w:p>
        </w:tc>
        <w:tc>
          <w:tcPr>
            <w:tcW w:w="3566" w:type="dxa"/>
          </w:tcPr>
          <w:p w14:paraId="179041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16 </w:t>
            </w:r>
          </w:p>
        </w:tc>
      </w:tr>
      <w:tr w:rsidR="00E371BA" w:rsidRPr="00507A31" w14:paraId="68BB8FC2" w14:textId="77777777">
        <w:tc>
          <w:tcPr>
            <w:tcW w:w="1448" w:type="dxa"/>
          </w:tcPr>
          <w:p w14:paraId="0F9BB1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Количество газовых баллонов </w:t>
            </w:r>
          </w:p>
        </w:tc>
        <w:tc>
          <w:tcPr>
            <w:tcW w:w="4344" w:type="dxa"/>
          </w:tcPr>
          <w:p w14:paraId="62F5D0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w:t>
            </w:r>
          </w:p>
        </w:tc>
        <w:tc>
          <w:tcPr>
            <w:tcW w:w="3566" w:type="dxa"/>
          </w:tcPr>
          <w:p w14:paraId="0B44C8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16 </w:t>
            </w:r>
          </w:p>
        </w:tc>
      </w:tr>
      <w:tr w:rsidR="00E371BA" w:rsidRPr="00507A31" w14:paraId="4D55CB35" w14:textId="77777777">
        <w:tc>
          <w:tcPr>
            <w:tcW w:w="1448" w:type="dxa"/>
          </w:tcPr>
          <w:p w14:paraId="7E86FB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Стабилизаторы и рули </w:t>
            </w:r>
          </w:p>
        </w:tc>
        <w:tc>
          <w:tcPr>
            <w:tcW w:w="4344" w:type="dxa"/>
          </w:tcPr>
          <w:p w14:paraId="1B5988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(288 кв. м) и 1 нижний (233 кв. м); рули направления неуравновешены, рули высоты — уравновешены </w:t>
            </w:r>
          </w:p>
        </w:tc>
        <w:tc>
          <w:tcPr>
            <w:tcW w:w="3566" w:type="dxa"/>
          </w:tcPr>
          <w:p w14:paraId="54CCBC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(по 195 кв. м); все рули уравновешены </w:t>
            </w:r>
          </w:p>
        </w:tc>
      </w:tr>
      <w:tr w:rsidR="00E371BA" w:rsidRPr="00507A31" w14:paraId="78126B98" w14:textId="77777777">
        <w:tc>
          <w:tcPr>
            <w:tcW w:w="1448" w:type="dxa"/>
          </w:tcPr>
          <w:p w14:paraId="6F617D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Основные элементы каркаса </w:t>
            </w:r>
          </w:p>
        </w:tc>
        <w:tc>
          <w:tcPr>
            <w:tcW w:w="4344" w:type="dxa"/>
          </w:tcPr>
          <w:p w14:paraId="0A12E2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Трубы из дюралюминиевой ленты, намотанной спиралью и склепанной </w:t>
            </w:r>
          </w:p>
        </w:tc>
        <w:tc>
          <w:tcPr>
            <w:tcW w:w="3566" w:type="dxa"/>
          </w:tcPr>
          <w:p w14:paraId="118360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Стальные трубы, соединенные решетками из дюралюминия или же поперечными трубами </w:t>
            </w:r>
          </w:p>
        </w:tc>
      </w:tr>
      <w:tr w:rsidR="00E371BA" w:rsidRPr="00507A31" w14:paraId="106E5E49" w14:textId="77777777">
        <w:tc>
          <w:tcPr>
            <w:tcW w:w="1448" w:type="dxa"/>
          </w:tcPr>
          <w:p w14:paraId="75B6AF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Шпангоуты </w:t>
            </w:r>
          </w:p>
        </w:tc>
        <w:tc>
          <w:tcPr>
            <w:tcW w:w="4344" w:type="dxa"/>
          </w:tcPr>
          <w:p w14:paraId="7C79FF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Толщина шпангоута 0,73 м. Шпангоуты с радиальными расчалками, закрепленными на осевой балке </w:t>
            </w:r>
          </w:p>
        </w:tc>
        <w:tc>
          <w:tcPr>
            <w:tcW w:w="3566" w:type="dxa"/>
          </w:tcPr>
          <w:p w14:paraId="6F404A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Толщина шпангоута 3,15 м. Шпангоуты жесткие, без расчалок </w:t>
            </w:r>
          </w:p>
        </w:tc>
      </w:tr>
      <w:tr w:rsidR="00E371BA" w:rsidRPr="00507A31" w14:paraId="7427BB97" w14:textId="77777777">
        <w:tc>
          <w:tcPr>
            <w:tcW w:w="1448" w:type="dxa"/>
          </w:tcPr>
          <w:p w14:paraId="7523DD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Закрепление газовых баллонов </w:t>
            </w:r>
          </w:p>
        </w:tc>
        <w:tc>
          <w:tcPr>
            <w:tcW w:w="4344" w:type="dxa"/>
          </w:tcPr>
          <w:p w14:paraId="7C05AA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Сетчатые диафрагмы </w:t>
            </w:r>
          </w:p>
        </w:tc>
        <w:tc>
          <w:tcPr>
            <w:tcW w:w="3566" w:type="dxa"/>
          </w:tcPr>
          <w:p w14:paraId="007A70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«Парашютная» система </w:t>
            </w:r>
          </w:p>
        </w:tc>
      </w:tr>
      <w:tr w:rsidR="00E371BA" w:rsidRPr="00507A31" w14:paraId="32FBA867" w14:textId="77777777">
        <w:tc>
          <w:tcPr>
            <w:tcW w:w="1448" w:type="dxa"/>
          </w:tcPr>
          <w:p w14:paraId="335478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Моторные гондолы </w:t>
            </w:r>
          </w:p>
        </w:tc>
        <w:tc>
          <w:tcPr>
            <w:tcW w:w="4344" w:type="dxa"/>
          </w:tcPr>
          <w:p w14:paraId="4AAF34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гондолы, каждая с двумя двигателями, из которых один с толкающим, а другой с тянущим винтом </w:t>
            </w:r>
          </w:p>
        </w:tc>
        <w:tc>
          <w:tcPr>
            <w:tcW w:w="3566" w:type="dxa"/>
          </w:tcPr>
          <w:p w14:paraId="3E8297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гондол с одним двигателем в каждой </w:t>
            </w:r>
          </w:p>
        </w:tc>
      </w:tr>
      <w:tr w:rsidR="00E371BA" w:rsidRPr="00507A31" w14:paraId="07675E0F" w14:textId="77777777">
        <w:tc>
          <w:tcPr>
            <w:tcW w:w="1448" w:type="dxa"/>
          </w:tcPr>
          <w:p w14:paraId="7B783E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Двигатели </w:t>
            </w:r>
          </w:p>
        </w:tc>
        <w:tc>
          <w:tcPr>
            <w:tcW w:w="4344" w:type="dxa"/>
          </w:tcPr>
          <w:p w14:paraId="4EF523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бензиновых двигателей Роллс-Ройс «Кондор III» по 660 л. с. каждый </w:t>
            </w:r>
          </w:p>
        </w:tc>
        <w:tc>
          <w:tcPr>
            <w:tcW w:w="3566" w:type="dxa"/>
          </w:tcPr>
          <w:p w14:paraId="2D6499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дизельных двигателей «Бердмор» по 686 л. с. каждый </w:t>
            </w:r>
          </w:p>
        </w:tc>
      </w:tr>
      <w:tr w:rsidR="00E371BA" w:rsidRPr="00507A31" w14:paraId="52AB3956" w14:textId="77777777">
        <w:tc>
          <w:tcPr>
            <w:tcW w:w="1448" w:type="dxa"/>
          </w:tcPr>
          <w:p w14:paraId="239016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Каюты для пассажиров и экипажа </w:t>
            </w:r>
          </w:p>
        </w:tc>
        <w:tc>
          <w:tcPr>
            <w:tcW w:w="4344" w:type="dxa"/>
          </w:tcPr>
          <w:p w14:paraId="69B752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Расположены на трех палубах между 5-м и 6-м шпангоутами </w:t>
            </w:r>
          </w:p>
        </w:tc>
        <w:tc>
          <w:tcPr>
            <w:tcW w:w="3566" w:type="dxa"/>
          </w:tcPr>
          <w:p w14:paraId="38D807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Расположены на двух палубах между 6-м и 8-м шпангоутами </w:t>
            </w:r>
          </w:p>
        </w:tc>
      </w:tr>
      <w:tr w:rsidR="00E371BA" w:rsidRPr="00507A31" w14:paraId="2FDE6477" w14:textId="77777777">
        <w:tc>
          <w:tcPr>
            <w:tcW w:w="1448" w:type="dxa"/>
          </w:tcPr>
          <w:p w14:paraId="0DC368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Общая подъемная сила, т </w:t>
            </w:r>
          </w:p>
        </w:tc>
        <w:tc>
          <w:tcPr>
            <w:tcW w:w="4344" w:type="dxa"/>
          </w:tcPr>
          <w:p w14:paraId="1C9231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156 </w:t>
            </w:r>
          </w:p>
        </w:tc>
        <w:tc>
          <w:tcPr>
            <w:tcW w:w="3566" w:type="dxa"/>
          </w:tcPr>
          <w:p w14:paraId="2F8582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150 </w:t>
            </w:r>
          </w:p>
        </w:tc>
      </w:tr>
      <w:tr w:rsidR="00E371BA" w:rsidRPr="00507A31" w14:paraId="40F5FED2" w14:textId="77777777">
        <w:tc>
          <w:tcPr>
            <w:tcW w:w="1448" w:type="dxa"/>
          </w:tcPr>
          <w:p w14:paraId="01C0E4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Вес конструкции, т </w:t>
            </w:r>
          </w:p>
        </w:tc>
        <w:tc>
          <w:tcPr>
            <w:tcW w:w="4344" w:type="dxa"/>
          </w:tcPr>
          <w:p w14:paraId="600510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92 </w:t>
            </w:r>
          </w:p>
        </w:tc>
        <w:tc>
          <w:tcPr>
            <w:tcW w:w="3566" w:type="dxa"/>
          </w:tcPr>
          <w:p w14:paraId="3D4CA8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103 </w:t>
            </w:r>
          </w:p>
        </w:tc>
      </w:tr>
      <w:tr w:rsidR="00E371BA" w:rsidRPr="00507A31" w14:paraId="357F4FB1" w14:textId="77777777">
        <w:tc>
          <w:tcPr>
            <w:tcW w:w="1448" w:type="dxa"/>
          </w:tcPr>
          <w:p w14:paraId="383D99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Вес двигателей, т </w:t>
            </w:r>
          </w:p>
        </w:tc>
        <w:tc>
          <w:tcPr>
            <w:tcW w:w="4344" w:type="dxa"/>
          </w:tcPr>
          <w:p w14:paraId="2E32D9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11 </w:t>
            </w:r>
          </w:p>
        </w:tc>
        <w:tc>
          <w:tcPr>
            <w:tcW w:w="3566" w:type="dxa"/>
          </w:tcPr>
          <w:p w14:paraId="6FCD63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21 </w:t>
            </w:r>
          </w:p>
        </w:tc>
      </w:tr>
      <w:tr w:rsidR="00E371BA" w:rsidRPr="00507A31" w14:paraId="51C6A302" w14:textId="77777777">
        <w:tc>
          <w:tcPr>
            <w:tcW w:w="1448" w:type="dxa"/>
          </w:tcPr>
          <w:p w14:paraId="702115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Нормальный платный груз </w:t>
            </w:r>
          </w:p>
        </w:tc>
        <w:tc>
          <w:tcPr>
            <w:tcW w:w="4344" w:type="dxa"/>
          </w:tcPr>
          <w:p w14:paraId="405558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100 пассажиров и 10 т груза </w:t>
            </w:r>
          </w:p>
        </w:tc>
        <w:tc>
          <w:tcPr>
            <w:tcW w:w="3566" w:type="dxa"/>
          </w:tcPr>
          <w:p w14:paraId="253DDF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50 пассажиров и 7 т груза </w:t>
            </w:r>
          </w:p>
        </w:tc>
      </w:tr>
      <w:tr w:rsidR="00E371BA" w:rsidRPr="00507A31" w14:paraId="3BE28670" w14:textId="77777777">
        <w:tc>
          <w:tcPr>
            <w:tcW w:w="1448" w:type="dxa"/>
          </w:tcPr>
          <w:p w14:paraId="4C6863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Наибольшая скорость, км/ч </w:t>
            </w:r>
          </w:p>
        </w:tc>
        <w:tc>
          <w:tcPr>
            <w:tcW w:w="4344" w:type="dxa"/>
          </w:tcPr>
          <w:p w14:paraId="5BAF0B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132 </w:t>
            </w:r>
          </w:p>
        </w:tc>
        <w:tc>
          <w:tcPr>
            <w:tcW w:w="3566" w:type="dxa"/>
          </w:tcPr>
          <w:p w14:paraId="6563AC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113 </w:t>
            </w:r>
          </w:p>
        </w:tc>
      </w:tr>
      <w:tr w:rsidR="00E371BA" w:rsidRPr="00507A31" w14:paraId="0767959D" w14:textId="77777777">
        <w:tc>
          <w:tcPr>
            <w:tcW w:w="1448" w:type="dxa"/>
            <w:tcBorders>
              <w:bottom w:val="single" w:sz="12" w:space="0" w:color="000000"/>
            </w:tcBorders>
          </w:tcPr>
          <w:p w14:paraId="7C4C4A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Дальность полета, км </w:t>
            </w:r>
          </w:p>
        </w:tc>
        <w:tc>
          <w:tcPr>
            <w:tcW w:w="4344" w:type="dxa"/>
            <w:tcBorders>
              <w:bottom w:val="single" w:sz="12" w:space="0" w:color="000000"/>
            </w:tcBorders>
          </w:tcPr>
          <w:p w14:paraId="15CE67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6000 </w:t>
            </w:r>
          </w:p>
        </w:tc>
        <w:tc>
          <w:tcPr>
            <w:tcW w:w="3566" w:type="dxa"/>
            <w:tcBorders>
              <w:bottom w:val="single" w:sz="12" w:space="0" w:color="000000"/>
            </w:tcBorders>
          </w:tcPr>
          <w:p w14:paraId="2A5E86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3000 </w:t>
            </w:r>
          </w:p>
        </w:tc>
      </w:tr>
    </w:tbl>
    <w:p w14:paraId="2BE361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Корпус дирижабля R.101 состоял из 16 шпангоутов, 15 главных стрингеров и 15 второстепенных (промежуточных). Таким образом, поперечное сечение корабля представляло собой 30-сторонний многоугольник, длина сторон которого на миделе корабля равнялась 4,11 м. Стрингеры везде шли поверх шпангоутов. При постройке R.101 для изготовления ферм каркаса в качестве материала применялась, кроме дюраля, также и [296] нержавеющая сталь. Стальные конструкции каркаса R. 101 составляли около 25% от веса всего каркаса. </w:t>
      </w:r>
    </w:p>
    <w:p w14:paraId="4D2637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Помещения для пассажиров размещались на двух палубах, находящихся внутри корпуса между 6-м и 8-м шпангоутами. Еще до постройки дирижабля широко обсуждался вопрос о том, где именно расположить пассажирские помещения. </w:t>
      </w:r>
    </w:p>
    <w:p w14:paraId="4E3208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Доводы в пользу устройства этих помещений в гондоле, выступающей наружу и являющейся продолжением гондолы управления, сводились к тому, что, во-первых, это предоставит пассажирам лучший обзор. Во-вторых, пассажирские помещения не будут занимать пространство внутри каркаса, которое можно использовать для подъемного газа. </w:t>
      </w:r>
    </w:p>
    <w:p w14:paraId="70870D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Доводы в пользу устройства помещений внутри каркаса: уменьшение общего лобового сопротивления корабля, возможность устройства более обширных помещений для пассажиров, позволяющих свободно передвигаться по значительной площади пола. Что касается уменьшения объема для газа внутри каркаса за счет находящихся там пассажирских помещений, то разработчики посчитали эту проблему несущественной. Забираемый объем 2850 куб. м уменьшал подъемную силу примерно на 3 т. Устройство же большой пассажирской гондолы, выступающей наружу, увеличивало лобовое сопротивление корабля почти на 12%. Для достижения той же скорости полета при перелете из Англии в Египет потребовалось бы увеличить запас горючего на 4 т. Возникало также опасение, что при перенесении пассажирских помещений внутрь корабля, т. е. при смещении общего центра тяжести дирижабля несколько вверх, корабль окажется менее устойчивым. Произведенные исследования показали, что это опасение необосновано. </w:t>
      </w:r>
    </w:p>
    <w:p w14:paraId="0828B5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Вес конструкции пассажирских помещений по проекту составил 102 кг на одного пассажира. Площадь пола верхней палубы этого помещения (без боковых галерей для прогулок), составила 510 кв. м. Площадь пола нижней палубы — 162 кв. м. Впоследствии предполагалось [298] увеличить эту площадь еще на 370 кв. м путем устройства балконов по обеим сторонам палубы. </w:t>
      </w:r>
    </w:p>
    <w:p w14:paraId="1CD74F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Размер находящегося на верхней палубе салона — 15 х 9,7 м. Тянущиеся по обеим сторонам верхней палубы, несколько выше ее, боковые галереи имели ширину 2,3 м. Вделанные в оболочку окна, благодаря наклону их приблизительно на 46°, давали хороший обзор. Нижняя часть окон состояла из тройных стекол, заключенных в раму. К ней прикреплялись перила, за которые пассажиры могли держаться, стоя у окна. Каюты для пассажиров — двухместные, площадью каждая 1,85 х 1,53 м. Стены пассажирских помещений были сделаны из легких дюралевых ферм, на которые была натянута ткань. Вдоль дирижабля, в его нижней части, тянулся коридор шириной 0,9 м. В некоторых местах коридора имелись поперечные ответвления. Они открывали доступ к частям корабля, расположенным сбоку, в частности к боковым гондолам. Этот коридор служил исключительно для сообщения вдоль дирижабля. </w:t>
      </w:r>
    </w:p>
    <w:p w14:paraId="0B18D4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R.101 имел 5 мотогондол: четыре боковых и кормовую. Боковые крепились: две передних — к шпангоуту № 4 и две — к шпангоуту № 9. Кормовая гондола, размещенная под каркасом (по средней линии), крепилась к шпангоуту № 11. Гондолы монтировались каждая только к двум точкам шпангоута. Благодаря этому их можно было легко демонтировать и заменить другими даже во время стоянки дирижабля на причальной мачте. Гондолы имели достаточно хорошую аэродинамическую форму и были просторными внутри. </w:t>
      </w:r>
    </w:p>
    <w:p w14:paraId="529FE9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каждой гондоле первоначально устанавливалось по одному восьмицилиндровому рядному дизельному [299] двигателю Бердмор «Торнадо» водяного охлаждения. Предполагалось, что двигатели будут развивать мощность 700 л. с. каждый, однако действительная мощность оказалась всего 685 л. с. при 1000 об/мин. Первоначально предполагалось поставить металлические винты с изменяемым шагом, однако во время испытания обнаружилось, что пустотелые металлические лопасти этих винтов (диаметром 5 м) не выдерживают высоких вращательных моментов. Поэтому их заменили на деревянные. </w:t>
      </w:r>
    </w:p>
    <w:p w14:paraId="5BD6C5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Один из двигателей имел реверсивный винт для торможения и обратного хода. Вначале предполагалось сделать реверсивным двигатель кормовой моторной гондолы, однако потом от этого отказались, так как задний двигатель давал возможность использовать струю потока от винта кормового двигателя для усиления эффективности оперения при маневрировании. Запуск двигателей производился при помощи 40-сильных бензиновых моторов «Рикардо», снабженных передачей «Бендикс». Из четырех вспомогательных пусковых моторов два могли служить также для перекачки горючего и водяного балласта из одного бака в другой. </w:t>
      </w:r>
    </w:p>
    <w:p w14:paraId="596121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Вся винтомоторная группа на дирижабле R.101 оказалась очень перетяжеленной. В процессе строительства и испытания моторов пришлось некоторые части заменить другими. В результате вес всей винтомоторной группы составил 21 т — на 8 т больше, чем планировалось. Горючее помещалось в баках емкостью по 1020 и 610 л каждый. Большинство баков располагались в районе главных шпангоутов дирижабля, часть — подвешивались к пассажирским платформам. Это было сделано с целью компенсировать (путем перекачки части горючего в эти баки из других) облегчение веса соответствующего отсека при уменьшении количества пассажиров на корабле. Общая емкость баков была рассчитана на 29 т горючего. </w:t>
      </w:r>
    </w:p>
    <w:p w14:paraId="7E61F1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Баки для балласта, делились на две группы: одна, рассчитанная на 8 т водяного балласта, и другая — на 7 т. Баки первой группы были устроены так, что могли быстро сбрасывать весь содержащийся в них водяной балласт. Дно этих баков снабжалось поворачивающимся диском. При его повороте, примерно на 1/7 окружности, он опускался, [300] оставляя открытым отверстие в 306 мм в диаметре, через которое бак быстро опорожнялся. Баки другой группы, рассчитанные на 7 т водяного балласта, по своему устройству не отличались от баков для тяжелого горючего и для увеличения радиуса действия дирижабля могли также заполняться горючим. На случай очень продолжительного полета предполагалось заполнять горючим и баки для балласта первой группы. Водяной балласт также мог перекачиваться из одного бака в другой для поддержания продольной устойчивости дирижабля. Благодаря такой системе перекачки дирижабль мог на стоянке выгрузить и горючее, и балласт почти в любом месте вдоль каркаса. </w:t>
      </w:r>
    </w:p>
    <w:p w14:paraId="0E8CE2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Приведенное выше описание относится к первой версии дирижабля R. 101. Корабль оказался слишком перетяжеленным и был явно непригоден из-за малой полезной грузоподъемности для тех больших перелетов, на которые он рассчитывался. Было решено увеличить полезную нагрузку дирижабля путем вставки в каркас еще одного добавочного отсека с газовым баллоном объемом в 14 000 куб. м. Собственный вес этого отсека составлял 10 т, так что выигрыш в подъемной силе получался приблизительно в 5 т. Кроме того, парашютообразые сети для газовых баллонов были по всему дирижаблю несколько ослаблены, благодаря чему газовые баллоны, прилегая ближе к стенкам каркаса, заняли каждый несколько больший объем. Это дало выигрыш в подъемной силе в 4 т. Сокращение числа пассажирских кабин и демонтаж некоторых конструктивных частей дирижабля увеличили подъемную силу еще на 3 т. Таким образом, общий выигрыш в подъемной силе приблизительно равнялся 12 т. Длина нового вставленного в каркас отсека составляла 20 м, так что удлинение дирижабля увеличилось до 6 м и корабль стал фактически совершенно иной формы, чем те модели, которые подвергались очень длительным и полным испытаниям в аэродинамической трубе Национальной физической лаборатории. Несмотря на увеличение полезной подъемной силы, собственный вес дирижабля все же составил 72% от полной подъемной силы. Моторы на дизельном топливе развивали мощность значительно меньшую, чем предполагалось. В результате этого, а также из-за изменения формы корпуса дирижабль мог развивать крейсерскую скорость не выше 90 км/ч. </w:t>
      </w:r>
    </w:p>
    <w:p w14:paraId="4DD865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Строительство этого гиганта завершилось 12 октября 1929 года. На 4 октября 1930 года был назначен первый торжественный [301] полет в Индию: так планировалось открыть британские воздухоплавательные пассажирские перевозки. В Кардингтоне собрались все сливки британского высшего общества, чтобы стать свидетелями столь знаменательного события. На борту R.101 находилась команда в составе 42 человек и 12 пассажиров, среди них — министр воздушного флота Томпсон и другие высшие чины министерства (11324). </w:t>
      </w:r>
    </w:p>
    <w:p w14:paraId="01C8B471" w14:textId="77777777" w:rsidR="00537E5F" w:rsidRPr="00507A31" w:rsidRDefault="00537E5F" w:rsidP="00507A31">
      <w:pPr>
        <w:autoSpaceDE w:val="0"/>
        <w:autoSpaceDN w:val="0"/>
        <w:adjustRightInd w:val="0"/>
        <w:jc w:val="both"/>
        <w:rPr>
          <w:color w:val="000000" w:themeColor="text1"/>
          <w:sz w:val="16"/>
          <w:szCs w:val="16"/>
        </w:rPr>
      </w:pPr>
    </w:p>
    <w:p w14:paraId="0BBF0EC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BA66C7E" w14:textId="77777777" w:rsidR="00537E5F" w:rsidRPr="00507A31" w:rsidRDefault="00537E5F" w:rsidP="00507A31">
      <w:pPr>
        <w:autoSpaceDE w:val="0"/>
        <w:autoSpaceDN w:val="0"/>
        <w:adjustRightInd w:val="0"/>
        <w:jc w:val="both"/>
        <w:rPr>
          <w:iCs/>
          <w:color w:val="000000" w:themeColor="text1"/>
          <w:sz w:val="16"/>
          <w:szCs w:val="16"/>
        </w:rPr>
      </w:pPr>
    </w:p>
    <w:p w14:paraId="7A9CEE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августе-сентябре 1930 39-м заводом была выпущена войсковая серия И-5 из 7 машин для войсковых испытаний (92,411).</w:t>
      </w:r>
    </w:p>
    <w:p w14:paraId="718366D3" w14:textId="77777777" w:rsidR="00537E5F" w:rsidRPr="00507A31" w:rsidRDefault="00537E5F" w:rsidP="00507A31">
      <w:pPr>
        <w:autoSpaceDE w:val="0"/>
        <w:autoSpaceDN w:val="0"/>
        <w:adjustRightInd w:val="0"/>
        <w:jc w:val="both"/>
        <w:rPr>
          <w:color w:val="000000" w:themeColor="text1"/>
          <w:sz w:val="16"/>
          <w:szCs w:val="16"/>
        </w:rPr>
      </w:pPr>
    </w:p>
    <w:p w14:paraId="590C99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августе - октябре 1930 г. завод № 39 изготовил установочную серию И-5. В.Б. Шавров в своей книге пишет о семи входивших в неё экземплярах, но, по-видимому, их было больше, поскольку в войсковых испытаниях, о которых будет рассказано позже, участвовали машины с заводскими номерами 8 и 12. В.П. Иванов говорит о 12 истребителях, из которых четыре сдали в начале 1931 г.</w:t>
      </w:r>
    </w:p>
    <w:p w14:paraId="537600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Вся эта небольшая серия использовалась для различного рода испытаний. Эти истребители были внешне похожи на второй опытный образец, но отличались гаргротом за кабиной пилота. На всех машинах стояли моторы "Юпитер" VI французского производства. Все самолёты малой серии имели полный комплект военного оборудования и вооружения - пулемёты, кислородную систему и тому подобное.</w:t>
      </w:r>
    </w:p>
    <w:p w14:paraId="70F0C3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Первые пять экземпляров надлежало отправить на войсковые испытания, но многочисленные выявленные дефекты потребовали длительной доводки. Опасаясь задержки, 17 ноября начальник Управления ВВС П.И. Баранов распорядился отправлять истребители с неустранёнными недостатками. Эти машины проходили войсковые испытания в 73-м авиаотряде в Киеве, ещё несколько самолётов позже попали на дополнительные испытания в НИИ ВВС. По крайней мере один И-5 выделили для статических испытаний в ЦАГИ (11997).</w:t>
      </w:r>
    </w:p>
    <w:p w14:paraId="5F878A44" w14:textId="77777777" w:rsidR="00537E5F" w:rsidRPr="00507A31" w:rsidRDefault="00537E5F" w:rsidP="00507A31">
      <w:pPr>
        <w:autoSpaceDE w:val="0"/>
        <w:autoSpaceDN w:val="0"/>
        <w:adjustRightInd w:val="0"/>
        <w:jc w:val="both"/>
        <w:rPr>
          <w:color w:val="000000" w:themeColor="text1"/>
          <w:sz w:val="16"/>
          <w:szCs w:val="16"/>
        </w:rPr>
      </w:pPr>
    </w:p>
    <w:p w14:paraId="6DD02B0B" w14:textId="77777777" w:rsidR="00533EE8" w:rsidRPr="00507A31" w:rsidRDefault="00533EE8" w:rsidP="00507A31">
      <w:pPr>
        <w:pStyle w:val="ae"/>
        <w:shd w:val="clear" w:color="auto" w:fill="FFFFFF"/>
        <w:spacing w:before="0" w:after="0"/>
        <w:jc w:val="both"/>
        <w:textAlignment w:val="baseline"/>
        <w:rPr>
          <w:color w:val="000000" w:themeColor="text1"/>
          <w:sz w:val="16"/>
          <w:szCs w:val="16"/>
        </w:rPr>
      </w:pPr>
      <w:r w:rsidRPr="00507A31">
        <w:rPr>
          <w:color w:val="000000" w:themeColor="text1"/>
          <w:sz w:val="16"/>
          <w:szCs w:val="16"/>
        </w:rPr>
        <w:t>В августе-октябре 1930 г. завод №39 изготовил установочную серию И-5 – около десятка истребителей. Все они использовались для различного рода испытаний. Внешне самолеты установочной серии напоминали второй опытный, но отличались наличием небольшого гаргрота за кабиной пилота, введенного на третьем экземпляре. Внутренний бомбоотсек заменили подкрыль</w:t>
      </w:r>
      <w:r w:rsidRPr="00507A31">
        <w:rPr>
          <w:color w:val="000000" w:themeColor="text1"/>
          <w:sz w:val="16"/>
          <w:szCs w:val="16"/>
        </w:rPr>
        <w:softHyphen/>
        <w:t>е</w:t>
      </w:r>
      <w:r w:rsidRPr="00507A31">
        <w:rPr>
          <w:color w:val="000000" w:themeColor="text1"/>
          <w:sz w:val="16"/>
          <w:szCs w:val="16"/>
        </w:rPr>
        <w:softHyphen/>
        <w:t>выми бомбодержателями. На всех машинах стояли «Гном-Роны». Высотный двигатель М-15 испытали на третьем опытном И-5, но его так и не смогли «довести до ума», а М-36 вообще не дошел до стадии серийного производства. Все машины получили полный комплект военного оборудования (19176).</w:t>
      </w:r>
    </w:p>
    <w:p w14:paraId="661024C1" w14:textId="77777777" w:rsidR="00533EE8" w:rsidRPr="00507A31" w:rsidRDefault="00533EE8" w:rsidP="00507A31">
      <w:pPr>
        <w:pStyle w:val="rtecenter"/>
        <w:shd w:val="clear" w:color="auto" w:fill="FFFFFF"/>
        <w:spacing w:before="0" w:after="0"/>
        <w:jc w:val="both"/>
        <w:textAlignment w:val="baseline"/>
        <w:rPr>
          <w:color w:val="000000" w:themeColor="text1"/>
          <w:sz w:val="16"/>
          <w:szCs w:val="16"/>
        </w:rPr>
      </w:pPr>
    </w:p>
    <w:p w14:paraId="145EDF5A" w14:textId="77777777" w:rsidR="00533EE8" w:rsidRPr="00507A31" w:rsidRDefault="00533EE8" w:rsidP="00507A31">
      <w:pPr>
        <w:jc w:val="both"/>
        <w:rPr>
          <w:color w:val="000000" w:themeColor="text1"/>
          <w:sz w:val="16"/>
          <w:szCs w:val="16"/>
        </w:rPr>
      </w:pPr>
      <w:r w:rsidRPr="00507A31">
        <w:rPr>
          <w:color w:val="000000" w:themeColor="text1"/>
          <w:sz w:val="16"/>
          <w:szCs w:val="16"/>
        </w:rPr>
        <w:t>В августе - октябре 1930 года завод № 39 изготовил войсковую серию в количестве, по разным данным, от 7 до 12 истребителей. В их постройке по кооперации участвовал и завод № 1. Самолеты войсковой серии отличались от второго опытного образца наличием гаргрота за кабиной летчика. Все машины были оснащены двигателями «Юпитер VI» и имели полный комплект военного оборудования и вооружения. Выпущенная серия использовалась для различных испытаний - войсковых, в НИИ ВВС, в ЦАГИ (18293).</w:t>
      </w:r>
    </w:p>
    <w:p w14:paraId="16AB2E01" w14:textId="77777777" w:rsidR="00533EE8" w:rsidRPr="00507A31" w:rsidRDefault="00533EE8" w:rsidP="00507A31">
      <w:pPr>
        <w:jc w:val="both"/>
        <w:rPr>
          <w:color w:val="000000" w:themeColor="text1"/>
          <w:sz w:val="16"/>
          <w:szCs w:val="16"/>
        </w:rPr>
      </w:pPr>
    </w:p>
    <w:p w14:paraId="401099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августе-сентябре 1930 продолжились войсковые испытания мин ВОМИЗА (воздушная мина заграждения, сделанная на базе якорной мины образца 1912) на ЮГ-1 62-й эскадрильи ВВС Балтфлота, вооруженной ЮГ-1 (561,14).</w:t>
      </w:r>
    </w:p>
    <w:p w14:paraId="57E0ABF7" w14:textId="77777777" w:rsidR="00537E5F" w:rsidRPr="00507A31" w:rsidRDefault="00537E5F" w:rsidP="00507A31">
      <w:pPr>
        <w:autoSpaceDE w:val="0"/>
        <w:autoSpaceDN w:val="0"/>
        <w:adjustRightInd w:val="0"/>
        <w:jc w:val="both"/>
        <w:rPr>
          <w:color w:val="000000" w:themeColor="text1"/>
          <w:sz w:val="16"/>
          <w:szCs w:val="16"/>
        </w:rPr>
      </w:pPr>
    </w:p>
    <w:p w14:paraId="6131FD7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5D5BD28" w14:textId="77777777" w:rsidR="00537E5F" w:rsidRPr="00507A31" w:rsidRDefault="00537E5F" w:rsidP="00507A31">
      <w:pPr>
        <w:autoSpaceDE w:val="0"/>
        <w:autoSpaceDN w:val="0"/>
        <w:adjustRightInd w:val="0"/>
        <w:jc w:val="both"/>
        <w:rPr>
          <w:iCs/>
          <w:color w:val="000000" w:themeColor="text1"/>
          <w:sz w:val="16"/>
          <w:szCs w:val="16"/>
        </w:rPr>
      </w:pPr>
    </w:p>
    <w:p w14:paraId="03C69C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августа по ноябрь 1930 года на НИАПе была испытана 76,2-мм батальонная мортира КБ НТК АУ. Вариант 3. Система устойчива при углах больше +30. На третьем выстрела ствол разъединился с казенником, затем их кое как соединили. Отказывал в работе спусковой механизм. В конце концов систему отправили на ремонт на завод № 7. В 1938 году мортира поступила в Артиллерийский музей (3861).</w:t>
      </w:r>
    </w:p>
    <w:p w14:paraId="7562FCE2" w14:textId="77777777" w:rsidR="00537E5F" w:rsidRPr="00507A31" w:rsidRDefault="00537E5F" w:rsidP="00507A31">
      <w:pPr>
        <w:autoSpaceDE w:val="0"/>
        <w:autoSpaceDN w:val="0"/>
        <w:adjustRightInd w:val="0"/>
        <w:jc w:val="both"/>
        <w:rPr>
          <w:color w:val="000000" w:themeColor="text1"/>
          <w:sz w:val="16"/>
          <w:szCs w:val="16"/>
        </w:rPr>
      </w:pPr>
    </w:p>
    <w:p w14:paraId="3BDC60E4" w14:textId="77777777" w:rsidR="00840115" w:rsidRPr="00507A31" w:rsidRDefault="00840115" w:rsidP="00507A31">
      <w:pPr>
        <w:shd w:val="clear" w:color="auto" w:fill="FFFFFF"/>
        <w:jc w:val="both"/>
        <w:rPr>
          <w:color w:val="0070C0"/>
          <w:sz w:val="16"/>
          <w:szCs w:val="16"/>
        </w:rPr>
      </w:pPr>
      <w:r w:rsidRPr="00507A31">
        <w:rPr>
          <w:color w:val="0070C0"/>
          <w:sz w:val="16"/>
          <w:szCs w:val="16"/>
        </w:rPr>
        <w:t>В августе-сентябре 1930 года ГКБ ОАТ разработало "аварийный" вариант корпуса Т-20. "Аварийный" вариант изготовлялся с мотором Т-18 и с иной конструкцией носовой части корпуса. Этот вариант также отличался установкой дополнительного опорного катка в носовой части машины.</w:t>
      </w:r>
    </w:p>
    <w:p w14:paraId="107DEAE4" w14:textId="77777777" w:rsidR="00840115" w:rsidRPr="00507A31" w:rsidRDefault="00840115" w:rsidP="00507A31">
      <w:pPr>
        <w:shd w:val="clear" w:color="auto" w:fill="FFFFFF"/>
        <w:jc w:val="both"/>
        <w:rPr>
          <w:color w:val="0070C0"/>
          <w:sz w:val="16"/>
          <w:szCs w:val="16"/>
        </w:rPr>
      </w:pPr>
      <w:r w:rsidRPr="00507A31">
        <w:rPr>
          <w:color w:val="0070C0"/>
          <w:sz w:val="16"/>
          <w:szCs w:val="16"/>
        </w:rPr>
        <w:t>Вероятнее всего, именно этот вариант и ожидался серийным, поскольку в планах от 5 сентября 1930 года появилось 390 танков Т-20. Ожидалось, что с 251-го Т-18 третьей серии его сменит Т-20, с учетом неготового мотора, явно речь шла про аварийный вариант (20852).</w:t>
      </w:r>
    </w:p>
    <w:p w14:paraId="49A8DB0F" w14:textId="77777777" w:rsidR="00840115" w:rsidRPr="00507A31" w:rsidRDefault="00840115" w:rsidP="00507A31">
      <w:pPr>
        <w:shd w:val="clear" w:color="auto" w:fill="FFFFFF"/>
        <w:jc w:val="both"/>
        <w:rPr>
          <w:color w:val="0070C0"/>
          <w:sz w:val="16"/>
          <w:szCs w:val="16"/>
        </w:rPr>
      </w:pPr>
    </w:p>
    <w:p w14:paraId="718C585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025231F" w14:textId="77777777" w:rsidR="00537E5F" w:rsidRPr="00507A31" w:rsidRDefault="00537E5F" w:rsidP="00507A31">
      <w:pPr>
        <w:autoSpaceDE w:val="0"/>
        <w:autoSpaceDN w:val="0"/>
        <w:adjustRightInd w:val="0"/>
        <w:jc w:val="both"/>
        <w:rPr>
          <w:iCs/>
          <w:color w:val="000000" w:themeColor="text1"/>
          <w:sz w:val="16"/>
          <w:szCs w:val="16"/>
        </w:rPr>
      </w:pPr>
    </w:p>
    <w:p w14:paraId="1BC134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осени 1930 на заводе "Красный Путиловец" была спроектирована и изготовлена 76,2-мм батальонная мортира. Механизм вертикального наведения представлял собой червяк, связанный сектором у оси цапф. Станины трубчатые, но не раздвижные. Колеса металлические. При стрельбе колеса плашмя ложились на грунт и служили точкой опоры (3861).</w:t>
      </w:r>
    </w:p>
    <w:p w14:paraId="5E005838" w14:textId="77777777" w:rsidR="00537E5F" w:rsidRPr="00507A31" w:rsidRDefault="00537E5F" w:rsidP="00507A31">
      <w:pPr>
        <w:autoSpaceDE w:val="0"/>
        <w:autoSpaceDN w:val="0"/>
        <w:adjustRightInd w:val="0"/>
        <w:jc w:val="both"/>
        <w:rPr>
          <w:color w:val="000000" w:themeColor="text1"/>
          <w:sz w:val="16"/>
          <w:szCs w:val="16"/>
        </w:rPr>
      </w:pPr>
    </w:p>
    <w:p w14:paraId="4E454B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осени 1930 в Ленинграде завершили изготовление опытной пар</w:t>
      </w:r>
      <w:r w:rsidRPr="00507A31">
        <w:rPr>
          <w:color w:val="000000" w:themeColor="text1"/>
          <w:sz w:val="16"/>
          <w:szCs w:val="16"/>
        </w:rPr>
        <w:softHyphen/>
        <w:t>тии мотоциклов под руководством П.В. Можарова. В группе мо</w:t>
      </w:r>
      <w:r w:rsidRPr="00507A31">
        <w:rPr>
          <w:color w:val="000000" w:themeColor="text1"/>
          <w:sz w:val="16"/>
          <w:szCs w:val="16"/>
        </w:rPr>
        <w:softHyphen/>
        <w:t>лодых конструкторов работали В.В. Бекман, Г.И. Гусев, А.А. Иванов, А.М. Лутц, А.Г. Ревков и др. [4.22]. В ожидании по</w:t>
      </w:r>
      <w:r w:rsidRPr="00507A31">
        <w:rPr>
          <w:color w:val="000000" w:themeColor="text1"/>
          <w:sz w:val="16"/>
          <w:szCs w:val="16"/>
        </w:rPr>
        <w:softHyphen/>
        <w:t>явления первых ленинградских мотоциклов планировали органи</w:t>
      </w:r>
      <w:r w:rsidRPr="00507A31">
        <w:rPr>
          <w:color w:val="000000" w:themeColor="text1"/>
          <w:sz w:val="16"/>
          <w:szCs w:val="16"/>
        </w:rPr>
        <w:softHyphen/>
        <w:t>зовать испытательный мотопробег с участием конструкторов [4.23]. 18 сентября 1930 г. из ворот завода металлоизделий ПРОМЕТ на Полюстровскую набережную Невы выкатили во</w:t>
      </w:r>
      <w:r w:rsidRPr="00507A31">
        <w:rPr>
          <w:color w:val="000000" w:themeColor="text1"/>
          <w:sz w:val="16"/>
          <w:szCs w:val="16"/>
        </w:rPr>
        <w:softHyphen/>
        <w:t>семь новеньких, сияющих свежей краской мотоциклов марки «ТРЕМАСС-300» [4.24]. Колонна из этих машин в тот же день отправилась во Второй Всесоюзный испытательный пробег со</w:t>
      </w:r>
      <w:r w:rsidRPr="00507A31">
        <w:rPr>
          <w:color w:val="000000" w:themeColor="text1"/>
          <w:sz w:val="16"/>
          <w:szCs w:val="16"/>
        </w:rPr>
        <w:softHyphen/>
        <w:t>ветских мотоциклов по маршруту: Ленинград-Москва-Харь</w:t>
      </w:r>
      <w:r w:rsidRPr="00507A31">
        <w:rPr>
          <w:color w:val="000000" w:themeColor="text1"/>
          <w:sz w:val="16"/>
          <w:szCs w:val="16"/>
        </w:rPr>
        <w:softHyphen/>
        <w:t>ков-Киев-Брянск-Смоленск-Псков-Ленинград [4.25]. Для срав</w:t>
      </w:r>
      <w:r w:rsidRPr="00507A31">
        <w:rPr>
          <w:color w:val="000000" w:themeColor="text1"/>
          <w:sz w:val="16"/>
          <w:szCs w:val="16"/>
        </w:rPr>
        <w:softHyphen/>
        <w:t>нения с ходовыми свойствами новых мотоциклов в неё включили три иномарки: 2шс1арр с мотором рабочим объёмом 300 см</w:t>
      </w:r>
      <w:r w:rsidRPr="00507A31">
        <w:rPr>
          <w:color w:val="000000" w:themeColor="text1"/>
          <w:sz w:val="16"/>
          <w:szCs w:val="16"/>
          <w:vertAlign w:val="superscript"/>
        </w:rPr>
        <w:t>3</w:t>
      </w:r>
      <w:r w:rsidRPr="00507A31">
        <w:rPr>
          <w:color w:val="000000" w:themeColor="text1"/>
          <w:sz w:val="16"/>
          <w:szCs w:val="16"/>
        </w:rPr>
        <w:t xml:space="preserve"> и две -Соуеппу Еа§1е с моторами У1Шег§ (Вильерс) - 200 см</w:t>
      </w:r>
      <w:r w:rsidRPr="00507A31">
        <w:rPr>
          <w:color w:val="000000" w:themeColor="text1"/>
          <w:sz w:val="16"/>
          <w:szCs w:val="16"/>
          <w:vertAlign w:val="superscript"/>
        </w:rPr>
        <w:t>3</w:t>
      </w:r>
      <w:r w:rsidRPr="00507A31">
        <w:rPr>
          <w:color w:val="000000" w:themeColor="text1"/>
          <w:sz w:val="16"/>
          <w:szCs w:val="16"/>
        </w:rPr>
        <w:t xml:space="preserve"> и Зспйпог? (Шюттофф) - 500 см</w:t>
      </w:r>
      <w:r w:rsidRPr="00507A31">
        <w:rPr>
          <w:color w:val="000000" w:themeColor="text1"/>
          <w:sz w:val="16"/>
          <w:szCs w:val="16"/>
          <w:vertAlign w:val="superscript"/>
        </w:rPr>
        <w:t>3</w:t>
      </w:r>
      <w:r w:rsidRPr="00507A31">
        <w:rPr>
          <w:color w:val="000000" w:themeColor="text1"/>
          <w:sz w:val="16"/>
          <w:szCs w:val="16"/>
        </w:rPr>
        <w:t>. На одном из мотоциклов «ТРЕМАСС-300» в порядке эксперимента установили четырёхтактный мотор фирмы УПНегз рабочим объёмом 350 см</w:t>
      </w:r>
      <w:r w:rsidRPr="00507A31">
        <w:rPr>
          <w:color w:val="000000" w:themeColor="text1"/>
          <w:sz w:val="16"/>
          <w:szCs w:val="16"/>
          <w:vertAlign w:val="superscript"/>
        </w:rPr>
        <w:t>3</w:t>
      </w:r>
      <w:r w:rsidRPr="00507A31">
        <w:rPr>
          <w:color w:val="000000" w:themeColor="text1"/>
          <w:sz w:val="16"/>
          <w:szCs w:val="16"/>
        </w:rPr>
        <w:t xml:space="preserve"> [4.26]. Тем временем на заводе собирали остальные мотоциклы [4.27]. Изготовление всей партии 25-ти машин планировали к концу «ударного квартала», то есть 30 ноября [4.28] (11429).</w:t>
      </w:r>
    </w:p>
    <w:p w14:paraId="537E15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701BF12" w14:textId="77777777" w:rsidR="00356CDC" w:rsidRPr="00507A31" w:rsidRDefault="00356CDC" w:rsidP="00507A31">
      <w:pPr>
        <w:jc w:val="both"/>
        <w:rPr>
          <w:color w:val="000000" w:themeColor="text1"/>
          <w:sz w:val="16"/>
          <w:szCs w:val="16"/>
        </w:rPr>
      </w:pPr>
      <w:r w:rsidRPr="00507A31">
        <w:rPr>
          <w:color w:val="000000" w:themeColor="text1"/>
          <w:sz w:val="16"/>
          <w:szCs w:val="16"/>
        </w:rPr>
        <w:t>К осени 1930 г. сложилась ситуация, когда вступавшие строй суда новых серий (подлодки и сторожевые корабли) оказывались совершенно без радиосредств. По настоянию флотского командования в июне 1930 г. ленинградские предприятия были в очередной раз проверены комиссией МПУ ВСНХ (комиссия Савина), которая была вынуждена в очередной раз перенести сроки сдачи большинства изделий заказа «Блокада». Во многом по настоянию УВМС было сменено руководство ЦРЛЗ: директором был назначен М.А. Гущин, а помощником по технической части – А.Г. Шмидт (18297).</w:t>
      </w:r>
    </w:p>
    <w:p w14:paraId="090BDD53" w14:textId="77777777" w:rsidR="00356CDC" w:rsidRPr="00507A31" w:rsidRDefault="00356CDC" w:rsidP="00507A31">
      <w:pPr>
        <w:jc w:val="both"/>
        <w:rPr>
          <w:color w:val="000000" w:themeColor="text1"/>
          <w:sz w:val="16"/>
          <w:szCs w:val="16"/>
        </w:rPr>
      </w:pPr>
    </w:p>
    <w:p w14:paraId="27366D1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E036D62" w14:textId="77777777" w:rsidR="00537E5F" w:rsidRPr="00507A31" w:rsidRDefault="00537E5F" w:rsidP="00507A31">
      <w:pPr>
        <w:autoSpaceDE w:val="0"/>
        <w:autoSpaceDN w:val="0"/>
        <w:adjustRightInd w:val="0"/>
        <w:jc w:val="both"/>
        <w:rPr>
          <w:iCs/>
          <w:color w:val="000000" w:themeColor="text1"/>
          <w:sz w:val="16"/>
          <w:szCs w:val="16"/>
        </w:rPr>
      </w:pPr>
    </w:p>
    <w:p w14:paraId="14882F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 были завершены повторные гос. испытания Р-6, которые проходили с 24 июля 1930, в двух вариантах: самолет воздушного боя и разведчик. заказчик признал только первый (346,35).</w:t>
      </w:r>
    </w:p>
    <w:p w14:paraId="47980409" w14:textId="77777777" w:rsidR="00537E5F" w:rsidRPr="00507A31" w:rsidRDefault="00537E5F" w:rsidP="00507A31">
      <w:pPr>
        <w:autoSpaceDE w:val="0"/>
        <w:autoSpaceDN w:val="0"/>
        <w:adjustRightInd w:val="0"/>
        <w:jc w:val="both"/>
        <w:rPr>
          <w:color w:val="000000" w:themeColor="text1"/>
          <w:sz w:val="16"/>
          <w:szCs w:val="16"/>
        </w:rPr>
      </w:pPr>
    </w:p>
    <w:p w14:paraId="2DDFB1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испытания закончились 31 сентября и проходили с 11 марта 1930 с перерывом после 30 марта, а машины были с БМВ-6 NN 16580 и 16583 (1017,203).</w:t>
      </w:r>
    </w:p>
    <w:p w14:paraId="799EBD62" w14:textId="77777777" w:rsidR="00537E5F" w:rsidRPr="00507A31" w:rsidRDefault="00537E5F" w:rsidP="00507A31">
      <w:pPr>
        <w:autoSpaceDE w:val="0"/>
        <w:autoSpaceDN w:val="0"/>
        <w:adjustRightInd w:val="0"/>
        <w:jc w:val="both"/>
        <w:rPr>
          <w:color w:val="000000" w:themeColor="text1"/>
          <w:sz w:val="16"/>
          <w:szCs w:val="16"/>
        </w:rPr>
      </w:pPr>
    </w:p>
    <w:p w14:paraId="59D445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 по данным УГПУ в липецком авиаотряде было 178 немцев и 352 русских, а к 1 декабря 1930 осталось 34 немца. Летом 1931 - опять 200 немцев. С лета 1930 - через 12 лет после конца войны - интерес немцев к России как полигону стал снижаться (162,27).</w:t>
      </w:r>
    </w:p>
    <w:p w14:paraId="3F6BAA85" w14:textId="77777777" w:rsidR="00537E5F" w:rsidRPr="00507A31" w:rsidRDefault="00537E5F" w:rsidP="00507A31">
      <w:pPr>
        <w:autoSpaceDE w:val="0"/>
        <w:autoSpaceDN w:val="0"/>
        <w:adjustRightInd w:val="0"/>
        <w:jc w:val="both"/>
        <w:rPr>
          <w:color w:val="000000" w:themeColor="text1"/>
          <w:sz w:val="16"/>
          <w:szCs w:val="16"/>
        </w:rPr>
      </w:pPr>
    </w:p>
    <w:p w14:paraId="207993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 открылась воздушная линия Добролета Москва-Ташкент (3050 км) (438,612).</w:t>
      </w:r>
    </w:p>
    <w:p w14:paraId="7317824B" w14:textId="77777777" w:rsidR="00537E5F" w:rsidRPr="00507A31" w:rsidRDefault="00537E5F" w:rsidP="00507A31">
      <w:pPr>
        <w:autoSpaceDE w:val="0"/>
        <w:autoSpaceDN w:val="0"/>
        <w:adjustRightInd w:val="0"/>
        <w:jc w:val="both"/>
        <w:rPr>
          <w:color w:val="000000" w:themeColor="text1"/>
          <w:sz w:val="16"/>
          <w:szCs w:val="16"/>
        </w:rPr>
      </w:pPr>
    </w:p>
    <w:p w14:paraId="67EE6E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1931 г. дирижабль «СССР В-4»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(12075).</w:t>
      </w:r>
    </w:p>
    <w:p w14:paraId="411EB752" w14:textId="77777777" w:rsidR="00537E5F" w:rsidRPr="00507A31" w:rsidRDefault="00537E5F" w:rsidP="00507A31">
      <w:pPr>
        <w:autoSpaceDE w:val="0"/>
        <w:autoSpaceDN w:val="0"/>
        <w:adjustRightInd w:val="0"/>
        <w:jc w:val="both"/>
        <w:rPr>
          <w:color w:val="000000" w:themeColor="text1"/>
          <w:sz w:val="16"/>
          <w:szCs w:val="16"/>
        </w:rPr>
      </w:pPr>
    </w:p>
    <w:p w14:paraId="526BABB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7A86188" w14:textId="77777777" w:rsidR="00537E5F" w:rsidRPr="00507A31" w:rsidRDefault="00537E5F" w:rsidP="00507A31">
      <w:pPr>
        <w:autoSpaceDE w:val="0"/>
        <w:autoSpaceDN w:val="0"/>
        <w:adjustRightInd w:val="0"/>
        <w:jc w:val="both"/>
        <w:rPr>
          <w:iCs/>
          <w:color w:val="000000" w:themeColor="text1"/>
          <w:sz w:val="16"/>
          <w:szCs w:val="16"/>
        </w:rPr>
      </w:pPr>
    </w:p>
    <w:p w14:paraId="61B259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сентября 1930 года было издано постановление №385 СНК СССР за подписью председателя Совнаркома А. И. Рыкова, которое обязывало ВСНХ и Госплан СССР обеспечить работы по строительству НТМК в Нижнем Тагиле. Между прочим, постановление было принято, когда еще не существовало даже утвержденного проекта предприятия. С этим проектом, кстати, мучаться затем будут еще очень долго (11514). </w:t>
      </w:r>
    </w:p>
    <w:p w14:paraId="1212F03B" w14:textId="77777777" w:rsidR="00537E5F" w:rsidRPr="00507A31" w:rsidRDefault="00537E5F" w:rsidP="00507A31">
      <w:pPr>
        <w:autoSpaceDE w:val="0"/>
        <w:autoSpaceDN w:val="0"/>
        <w:adjustRightInd w:val="0"/>
        <w:jc w:val="both"/>
        <w:rPr>
          <w:color w:val="000000" w:themeColor="text1"/>
          <w:sz w:val="16"/>
          <w:szCs w:val="16"/>
        </w:rPr>
      </w:pPr>
    </w:p>
    <w:p w14:paraId="1E9F9064" w14:textId="77777777" w:rsidR="000F5ACE" w:rsidRPr="00507A31" w:rsidRDefault="000F5ACE" w:rsidP="00507A31">
      <w:pPr>
        <w:shd w:val="clear" w:color="auto" w:fill="FFFFFF"/>
        <w:jc w:val="both"/>
        <w:rPr>
          <w:color w:val="0070C0"/>
          <w:sz w:val="16"/>
          <w:szCs w:val="16"/>
        </w:rPr>
      </w:pPr>
      <w:r w:rsidRPr="00507A31">
        <w:rPr>
          <w:color w:val="0070C0"/>
          <w:sz w:val="16"/>
          <w:szCs w:val="16"/>
        </w:rPr>
        <w:t>1 сентября 1930 появилось намеренно небрежное послание Сталина Молотову, являющееся первым известным документом о планах мобилизационной "реформы". "Вячеславу" предлагалось "обратить внимание (пока что) на две вещи": "увеличение производства водки" и выпуск московской промышленностью "оборудования хлебозаводов, прачешень (а также дорожных машин)". Необходимость первой из этих мер обосновывалась следующим образом:</w:t>
      </w:r>
    </w:p>
    <w:p w14:paraId="6A72FFA7" w14:textId="77777777" w:rsidR="000F5ACE" w:rsidRPr="00507A31" w:rsidRDefault="000F5ACE" w:rsidP="00507A31">
      <w:pPr>
        <w:shd w:val="clear" w:color="auto" w:fill="FFFFFF"/>
        <w:jc w:val="both"/>
        <w:rPr>
          <w:color w:val="0070C0"/>
          <w:sz w:val="16"/>
          <w:szCs w:val="16"/>
        </w:rPr>
      </w:pPr>
      <w:r w:rsidRPr="00507A31">
        <w:rPr>
          <w:color w:val="0070C0"/>
          <w:sz w:val="16"/>
          <w:szCs w:val="16"/>
        </w:rPr>
        <w:lastRenderedPageBreak/>
        <w:t>"1) Поляки наверняка создают (если уже не создали) блок балтийских (Эстония, Латвия, Финляндия) государств, имея в виду войну с СССР. Я думаю, что пока не создадут этот блок, они воевать с СССР не будут, стало быть, как только обеспечат блок - начнут воевать (повод найдут). Чтобы обеспечить наш отпор и поляко-румынам, и балтийцам, надо создать себе условия, необходимые для развертывания (в случае войны) не менее 150-160 пехот[ных дивизий], т. е. дивизий па 40-50 (по крайней мере) больше, чем при нынешней нашей установке. Это значит, что нынешний мирный состав нашей армии с 640 тысяч придется довести до 700 тысяч. Без этой реформы нет возможности гарантировать (в случае блока поляков с балтийцами) оборону Ленинграда и Правобережной Украины. Это не подлежит, по-моему, никакому сомнению. И наоборот, при этой "реформе" мы наверняка обеспечиваем победоносную оборону СССР. Но для "реформы" потребуются немаленькие суммы денег (большее количество выстрелов", большее количество техники, дополнительное количество командного состава, дополнительные расходы па вещевое и продовольственное снабжение). Откуда взять деньги? Нужно, по-моему, увеличить (елико возможно) производство водки. Нужно отбросить ложный стыд и прямо, открыто пойти на максимальное увеличение производства водки на предмет обеспечения действительной и серьезной обороны страны. Стало быть, надо учесть это дело сейчасж, отложив соответствующее сырье для производства водки и формально закрепить его в госбюджете 30-31 года. Имей в виду, что серьезнoe развитие гражданской авиации тоже потребует уйму денег, для чего опять же придется апеллировать к водке" (Письмо Сталина Молотову [Сочи]. 1.09.1930 // Письма И. В. Сталина В. М. Молотову, 1925-1936: Сборник документов. С. 209-210.) (22725)230.</w:t>
      </w:r>
    </w:p>
    <w:p w14:paraId="58C693C4" w14:textId="77777777" w:rsidR="000F5ACE" w:rsidRPr="00507A31" w:rsidRDefault="000F5ACE" w:rsidP="00507A31">
      <w:pPr>
        <w:jc w:val="both"/>
        <w:rPr>
          <w:color w:val="0070C0"/>
          <w:sz w:val="16"/>
          <w:szCs w:val="16"/>
        </w:rPr>
      </w:pPr>
    </w:p>
    <w:p w14:paraId="3C5DCD3D" w14:textId="77777777" w:rsidR="000F5ACE" w:rsidRPr="00507A31" w:rsidRDefault="000F5ACE" w:rsidP="00507A31">
      <w:pPr>
        <w:jc w:val="both"/>
        <w:rPr>
          <w:color w:val="0070C0"/>
          <w:sz w:val="16"/>
          <w:szCs w:val="16"/>
        </w:rPr>
      </w:pPr>
      <w:r w:rsidRPr="00507A31">
        <w:rPr>
          <w:color w:val="0070C0"/>
          <w:sz w:val="16"/>
          <w:szCs w:val="16"/>
        </w:rPr>
        <w:t>1 сентября 1930 приказом ВСНХ № 2057, подпи</w:t>
      </w:r>
      <w:r w:rsidRPr="00507A31">
        <w:rPr>
          <w:color w:val="0070C0"/>
          <w:sz w:val="16"/>
          <w:szCs w:val="16"/>
        </w:rPr>
        <w:softHyphen/>
        <w:t>санным В.В. Куйбышевым, отведен участок земли площадью 20-25 га возле станции Лихоборы для раз</w:t>
      </w:r>
      <w:r w:rsidRPr="00507A31">
        <w:rPr>
          <w:color w:val="0070C0"/>
          <w:sz w:val="16"/>
          <w:szCs w:val="16"/>
        </w:rPr>
        <w:softHyphen/>
        <w:t>мещения научно-исследовательских конструкторских подразделений и опытного производства НАМИ (22518).</w:t>
      </w:r>
    </w:p>
    <w:p w14:paraId="75975EA5" w14:textId="77777777" w:rsidR="000F5ACE" w:rsidRPr="00507A31" w:rsidRDefault="000F5ACE" w:rsidP="00507A31">
      <w:pPr>
        <w:jc w:val="both"/>
        <w:rPr>
          <w:color w:val="0070C0"/>
          <w:sz w:val="16"/>
          <w:szCs w:val="16"/>
        </w:rPr>
      </w:pPr>
    </w:p>
    <w:p w14:paraId="7B96D0B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3D1C8AE" w14:textId="77777777" w:rsidR="00537E5F" w:rsidRPr="00507A31" w:rsidRDefault="00537E5F" w:rsidP="00507A31">
      <w:pPr>
        <w:autoSpaceDE w:val="0"/>
        <w:autoSpaceDN w:val="0"/>
        <w:adjustRightInd w:val="0"/>
        <w:jc w:val="both"/>
        <w:rPr>
          <w:iCs/>
          <w:color w:val="000000" w:themeColor="text1"/>
          <w:sz w:val="16"/>
          <w:szCs w:val="16"/>
        </w:rPr>
      </w:pPr>
    </w:p>
    <w:p w14:paraId="020CB1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 И.В.С. в письме В.М.М. писал, что считает желательным увеличить численность КА в военное время на 40-50 дивизий, чтобы лостичь 150-160. Только тогда возможна победа в оборонительной войне между объединенными Польшей и Румынией (9089,136).</w:t>
      </w:r>
    </w:p>
    <w:p w14:paraId="3BF1F507" w14:textId="77777777" w:rsidR="00537E5F" w:rsidRPr="00507A31" w:rsidRDefault="00537E5F" w:rsidP="00507A31">
      <w:pPr>
        <w:autoSpaceDE w:val="0"/>
        <w:autoSpaceDN w:val="0"/>
        <w:adjustRightInd w:val="0"/>
        <w:jc w:val="both"/>
        <w:rPr>
          <w:color w:val="000000" w:themeColor="text1"/>
          <w:sz w:val="16"/>
          <w:szCs w:val="16"/>
        </w:rPr>
      </w:pPr>
    </w:p>
    <w:p w14:paraId="4C51E031" w14:textId="77777777" w:rsidR="00C428B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C128FB0" w14:textId="77777777" w:rsidR="00C428B4" w:rsidRPr="00507A31" w:rsidRDefault="00C428B4" w:rsidP="00507A31">
      <w:pPr>
        <w:autoSpaceDE w:val="0"/>
        <w:autoSpaceDN w:val="0"/>
        <w:adjustRightInd w:val="0"/>
        <w:jc w:val="both"/>
        <w:rPr>
          <w:iCs/>
          <w:color w:val="000000" w:themeColor="text1"/>
          <w:sz w:val="16"/>
          <w:szCs w:val="16"/>
        </w:rPr>
      </w:pPr>
    </w:p>
    <w:p w14:paraId="6F1F559C" w14:textId="77777777" w:rsidR="00C428B4" w:rsidRPr="00507A31" w:rsidRDefault="00C428B4"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1 сентября </w:t>
      </w:r>
      <w:r w:rsidRPr="00507A31">
        <w:rPr>
          <w:color w:val="000000" w:themeColor="text1"/>
          <w:sz w:val="16"/>
          <w:szCs w:val="16"/>
        </w:rPr>
        <w:t>в 1930 году в СССР, впервые за всю многовековую историю страны, вводилось всеобщее бесплатное и обязательное четырехклассное начальное обучение, чем делался самый значительный шаг по пути ликвидации культурной отсталости народов страны (14756).</w:t>
      </w:r>
    </w:p>
    <w:p w14:paraId="2024397C" w14:textId="77777777" w:rsidR="00C428B4" w:rsidRPr="00507A31" w:rsidRDefault="00C428B4" w:rsidP="00507A31">
      <w:pPr>
        <w:jc w:val="both"/>
        <w:rPr>
          <w:color w:val="000000" w:themeColor="text1"/>
          <w:sz w:val="16"/>
          <w:szCs w:val="16"/>
        </w:rPr>
      </w:pPr>
    </w:p>
    <w:p w14:paraId="28BE0E9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E4331DE" w14:textId="77777777" w:rsidR="00537E5F" w:rsidRPr="00507A31" w:rsidRDefault="00537E5F" w:rsidP="00507A31">
      <w:pPr>
        <w:autoSpaceDE w:val="0"/>
        <w:autoSpaceDN w:val="0"/>
        <w:adjustRightInd w:val="0"/>
        <w:jc w:val="both"/>
        <w:rPr>
          <w:iCs/>
          <w:color w:val="000000" w:themeColor="text1"/>
          <w:sz w:val="16"/>
          <w:szCs w:val="16"/>
        </w:rPr>
      </w:pPr>
    </w:p>
    <w:p w14:paraId="7CD1C0C5" w14:textId="77777777" w:rsidR="002A7C03" w:rsidRPr="00507A31" w:rsidRDefault="002A7C03" w:rsidP="00507A31">
      <w:pPr>
        <w:jc w:val="both"/>
        <w:rPr>
          <w:color w:val="0070C0"/>
          <w:sz w:val="16"/>
          <w:szCs w:val="16"/>
        </w:rPr>
      </w:pPr>
      <w:r w:rsidRPr="00507A31">
        <w:rPr>
          <w:color w:val="0070C0"/>
          <w:sz w:val="16"/>
          <w:szCs w:val="16"/>
        </w:rPr>
        <w:t>1-2 сентября 1930 летающие в Бреге 19 Супер Bidon из Парижа в Нью - Йорке, французские авиаторы Dieudonné Costes и Морис Беллонт сделать первый беспосадочный через Северный Атлантический океан между европейскими и североамериканскими континентами, покрывая либо 5850 км (3633 миль), либо 6200 км (3850 миль), по разным данным, за 37 часов 18 минут (20805).</w:t>
      </w:r>
    </w:p>
    <w:p w14:paraId="15DD2D7F" w14:textId="77777777" w:rsidR="002A7C03" w:rsidRPr="00507A31" w:rsidRDefault="002A7C03" w:rsidP="00507A31">
      <w:pPr>
        <w:jc w:val="both"/>
        <w:rPr>
          <w:color w:val="0070C0"/>
          <w:sz w:val="16"/>
          <w:szCs w:val="16"/>
        </w:rPr>
      </w:pPr>
    </w:p>
    <w:p w14:paraId="61271237" w14:textId="77777777" w:rsidR="002A7C03" w:rsidRPr="00507A31" w:rsidRDefault="002A7C03" w:rsidP="00507A31">
      <w:pPr>
        <w:jc w:val="both"/>
        <w:rPr>
          <w:color w:val="0070C0"/>
          <w:sz w:val="16"/>
          <w:szCs w:val="16"/>
        </w:rPr>
      </w:pPr>
      <w:r w:rsidRPr="00507A31">
        <w:rPr>
          <w:color w:val="0070C0"/>
          <w:sz w:val="16"/>
          <w:szCs w:val="16"/>
        </w:rPr>
        <w:t>1 сентября 1930 первый полет Берлинер-Джойс P-16  (20805).</w:t>
      </w:r>
    </w:p>
    <w:p w14:paraId="32F2A0D9" w14:textId="77777777" w:rsidR="002A7C03" w:rsidRPr="00507A31" w:rsidRDefault="002A7C03" w:rsidP="00507A31">
      <w:pPr>
        <w:jc w:val="both"/>
        <w:rPr>
          <w:color w:val="0070C0"/>
          <w:sz w:val="16"/>
          <w:szCs w:val="16"/>
        </w:rPr>
      </w:pPr>
    </w:p>
    <w:p w14:paraId="12DCD8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1930 VfR учредил Raketenflugplatze Berlin (3125).</w:t>
      </w:r>
    </w:p>
    <w:p w14:paraId="3D5D4D73" w14:textId="77777777" w:rsidR="00537E5F" w:rsidRPr="00507A31" w:rsidRDefault="00537E5F" w:rsidP="00507A31">
      <w:pPr>
        <w:autoSpaceDE w:val="0"/>
        <w:autoSpaceDN w:val="0"/>
        <w:adjustRightInd w:val="0"/>
        <w:jc w:val="both"/>
        <w:rPr>
          <w:color w:val="000000" w:themeColor="text1"/>
          <w:sz w:val="16"/>
          <w:szCs w:val="16"/>
        </w:rPr>
      </w:pPr>
    </w:p>
    <w:p w14:paraId="3F71033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сентября 1930 в штате Нью-Джерси испытана первая американская электричка (4962).</w:t>
      </w:r>
    </w:p>
    <w:p w14:paraId="6D95A8B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176CD8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5B855F0" w14:textId="77777777" w:rsidR="00537E5F" w:rsidRPr="00507A31" w:rsidRDefault="00537E5F" w:rsidP="00507A31">
      <w:pPr>
        <w:autoSpaceDE w:val="0"/>
        <w:autoSpaceDN w:val="0"/>
        <w:adjustRightInd w:val="0"/>
        <w:jc w:val="both"/>
        <w:rPr>
          <w:iCs/>
          <w:color w:val="000000" w:themeColor="text1"/>
          <w:sz w:val="16"/>
          <w:szCs w:val="16"/>
        </w:rPr>
      </w:pPr>
    </w:p>
    <w:p w14:paraId="6BC5CF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сентября 1930 состоялся первый полет самолета СК-4 С.П.К. - дипломного проекта в МВТУ - двухместного подкосного моноплана (105,100).</w:t>
      </w:r>
    </w:p>
    <w:p w14:paraId="1EB53564" w14:textId="77777777" w:rsidR="00537E5F" w:rsidRPr="00507A31" w:rsidRDefault="00537E5F" w:rsidP="00507A31">
      <w:pPr>
        <w:autoSpaceDE w:val="0"/>
        <w:autoSpaceDN w:val="0"/>
        <w:adjustRightInd w:val="0"/>
        <w:jc w:val="both"/>
        <w:rPr>
          <w:color w:val="000000" w:themeColor="text1"/>
          <w:sz w:val="16"/>
          <w:szCs w:val="16"/>
        </w:rPr>
      </w:pPr>
    </w:p>
    <w:p w14:paraId="28CE0E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сентября 1930 года в гости к Камову приехали П.И.Баранов, предста</w:t>
      </w:r>
      <w:r w:rsidRPr="00507A31">
        <w:rPr>
          <w:color w:val="000000" w:themeColor="text1"/>
          <w:sz w:val="16"/>
          <w:szCs w:val="16"/>
        </w:rPr>
        <w:softHyphen/>
        <w:t>вители НК УВВС, НИИ. В это день автожир КАСКР совершил три полета на вы</w:t>
      </w:r>
      <w:r w:rsidRPr="00507A31">
        <w:rPr>
          <w:color w:val="000000" w:themeColor="text1"/>
          <w:sz w:val="16"/>
          <w:szCs w:val="16"/>
        </w:rPr>
        <w:softHyphen/>
        <w:t>соте 12-15 метров, продолжительностью 25-35 секунд каждый. Автожир хорошо управлялся, хотя наблюдалась небольшая вибрация лопастей (10224,31).</w:t>
      </w:r>
    </w:p>
    <w:p w14:paraId="040E2D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85C96C9" w14:textId="77777777" w:rsidR="002A7C03" w:rsidRPr="00507A31" w:rsidRDefault="002A7C03" w:rsidP="00507A31">
      <w:pPr>
        <w:shd w:val="clear" w:color="auto" w:fill="FFFFFF"/>
        <w:jc w:val="both"/>
        <w:rPr>
          <w:color w:val="0070C0"/>
          <w:sz w:val="16"/>
          <w:szCs w:val="16"/>
        </w:rPr>
      </w:pPr>
      <w:r w:rsidRPr="00507A31">
        <w:rPr>
          <w:color w:val="0070C0"/>
          <w:sz w:val="16"/>
          <w:szCs w:val="16"/>
        </w:rPr>
        <w:t>2 сентября 1930 г. на полетах КАСКР присутствовали П.И. Ба</w:t>
      </w:r>
      <w:r w:rsidRPr="00507A31">
        <w:rPr>
          <w:color w:val="0070C0"/>
          <w:sz w:val="16"/>
          <w:szCs w:val="16"/>
        </w:rPr>
        <w:softHyphen/>
        <w:t>ранов и член НТК УВВС Б.Т. Горощенко. В этот день Ко</w:t>
      </w:r>
      <w:r w:rsidRPr="00507A31">
        <w:rPr>
          <w:color w:val="0070C0"/>
          <w:sz w:val="16"/>
          <w:szCs w:val="16"/>
        </w:rPr>
        <w:softHyphen/>
        <w:t>шиц выполнил три полноценных полета на высоте 12-15 метров, продолжительностью 25-35 сек. В последующие дни удалось добиться подъема автожира на высоту 40 ме</w:t>
      </w:r>
      <w:r w:rsidRPr="00507A31">
        <w:rPr>
          <w:color w:val="0070C0"/>
          <w:sz w:val="16"/>
          <w:szCs w:val="16"/>
        </w:rPr>
        <w:softHyphen/>
        <w:t>тров (20361).</w:t>
      </w:r>
    </w:p>
    <w:p w14:paraId="7311737C" w14:textId="77777777" w:rsidR="002A7C03" w:rsidRPr="00507A31" w:rsidRDefault="002A7C03" w:rsidP="00507A31">
      <w:pPr>
        <w:shd w:val="clear" w:color="auto" w:fill="FFFFFF"/>
        <w:jc w:val="both"/>
        <w:rPr>
          <w:color w:val="0070C0"/>
          <w:sz w:val="16"/>
          <w:szCs w:val="16"/>
        </w:rPr>
      </w:pPr>
    </w:p>
    <w:p w14:paraId="2EEC81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сентября 1930 г., на полет «Красного инженера» приехал посмотреть начальник ВВС РККА П. И. Баранов, и машина не подвела. КАСКР выполнил на высоте 12 - 15 м три полета продолжительностью секунд по тридцать каждый. Показательный полет не прошел напрасно. Командующий Красным воздушным флотом помог достать для автожира новый двигатель «Титан» (235 л.с), поскольку мощность старого «Рона» (120 л.с.) была явно недостаточной. С новым мотором автожир стал называться КАСКР-2 и впервые поднялся в воздух 11 января 1931 г. 21 мая 1931 г. на Центральном аэродроме в Тушино автожир Камова и Скрижинского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КАСКРом.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4229EFEB" w14:textId="77777777" w:rsidR="00537E5F" w:rsidRPr="00507A31" w:rsidRDefault="00537E5F" w:rsidP="00507A31">
      <w:pPr>
        <w:autoSpaceDE w:val="0"/>
        <w:autoSpaceDN w:val="0"/>
        <w:adjustRightInd w:val="0"/>
        <w:jc w:val="both"/>
        <w:rPr>
          <w:color w:val="000000" w:themeColor="text1"/>
          <w:sz w:val="16"/>
          <w:szCs w:val="16"/>
        </w:rPr>
      </w:pPr>
    </w:p>
    <w:p w14:paraId="5DE5EF00" w14:textId="77777777" w:rsidR="00FF1095" w:rsidRPr="00507A31" w:rsidRDefault="00FF109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90EAAAA" w14:textId="77777777" w:rsidR="00FF1095" w:rsidRPr="00507A31" w:rsidRDefault="00FF1095" w:rsidP="00507A31">
      <w:pPr>
        <w:autoSpaceDE w:val="0"/>
        <w:autoSpaceDN w:val="0"/>
        <w:adjustRightInd w:val="0"/>
        <w:jc w:val="both"/>
        <w:rPr>
          <w:iCs/>
          <w:color w:val="000000" w:themeColor="text1"/>
          <w:sz w:val="16"/>
          <w:szCs w:val="16"/>
        </w:rPr>
      </w:pPr>
    </w:p>
    <w:p w14:paraId="22B62988" w14:textId="77777777" w:rsidR="00FF1095" w:rsidRPr="00507A31" w:rsidRDefault="00FF1095" w:rsidP="00507A31">
      <w:pPr>
        <w:jc w:val="both"/>
        <w:rPr>
          <w:color w:val="000000" w:themeColor="text1"/>
          <w:sz w:val="16"/>
          <w:szCs w:val="16"/>
        </w:rPr>
      </w:pPr>
      <w:r w:rsidRPr="00507A31">
        <w:rPr>
          <w:color w:val="000000" w:themeColor="text1"/>
          <w:sz w:val="16"/>
          <w:szCs w:val="16"/>
        </w:rPr>
        <w:t>2 сентября 1930 г. командир РККФ И.О. Авраменков подписал заключение, в котором говорилось: «Приемник типа Остехбюро один из наилучших, существующих ныне на флоте. Только на таком приемнике можно выполнять задания, требуемые для флота.» (18667).</w:t>
      </w:r>
    </w:p>
    <w:p w14:paraId="4163FDDA" w14:textId="77777777" w:rsidR="00FF1095" w:rsidRPr="00507A31" w:rsidRDefault="00FF1095" w:rsidP="00507A31">
      <w:pPr>
        <w:jc w:val="both"/>
        <w:rPr>
          <w:color w:val="000000" w:themeColor="text1"/>
          <w:sz w:val="16"/>
          <w:szCs w:val="16"/>
        </w:rPr>
      </w:pPr>
    </w:p>
    <w:p w14:paraId="2D97852B" w14:textId="77777777" w:rsidR="002A7C03" w:rsidRPr="00507A31" w:rsidRDefault="002A7C03"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28DC97AB" w14:textId="77777777" w:rsidR="002A7C03" w:rsidRPr="00507A31" w:rsidRDefault="002A7C03" w:rsidP="00507A31">
      <w:pPr>
        <w:autoSpaceDE w:val="0"/>
        <w:autoSpaceDN w:val="0"/>
        <w:adjustRightInd w:val="0"/>
        <w:jc w:val="both"/>
        <w:rPr>
          <w:iCs/>
          <w:color w:val="000000" w:themeColor="text1"/>
          <w:sz w:val="16"/>
          <w:szCs w:val="16"/>
        </w:rPr>
      </w:pPr>
    </w:p>
    <w:p w14:paraId="6580F0A1" w14:textId="77777777" w:rsidR="002A7C03" w:rsidRPr="00507A31" w:rsidRDefault="002A7C03" w:rsidP="00507A31">
      <w:pPr>
        <w:shd w:val="clear" w:color="auto" w:fill="FFFFFF"/>
        <w:jc w:val="both"/>
        <w:rPr>
          <w:color w:val="0070C0"/>
          <w:sz w:val="16"/>
          <w:szCs w:val="16"/>
        </w:rPr>
      </w:pPr>
      <w:r w:rsidRPr="00507A31">
        <w:rPr>
          <w:color w:val="0070C0"/>
          <w:sz w:val="16"/>
          <w:szCs w:val="16"/>
        </w:rPr>
        <w:t>2 сентября 1930 года, на маневрах частей Московского военного округа командующий войсками А. И. Корк решил использовать группу парашютистов из 11-й авиационной бригады по конкретной диверсионной задаче, с реальной выброской в тыл условного противника.</w:t>
      </w:r>
    </w:p>
    <w:p w14:paraId="1E9C3592" w14:textId="77777777" w:rsidR="002A7C03" w:rsidRPr="00507A31" w:rsidRDefault="002A7C03" w:rsidP="00507A31">
      <w:pPr>
        <w:shd w:val="clear" w:color="auto" w:fill="FFFFFF"/>
        <w:jc w:val="both"/>
        <w:rPr>
          <w:color w:val="0070C0"/>
          <w:sz w:val="16"/>
          <w:szCs w:val="16"/>
        </w:rPr>
      </w:pPr>
      <w:r w:rsidRPr="00507A31">
        <w:rPr>
          <w:color w:val="0070C0"/>
          <w:sz w:val="16"/>
          <w:szCs w:val="16"/>
        </w:rPr>
        <w:t>Группа под руководством Якова Мошковского получила задание скрытно десантироваться в тылу условного противника, разгромить штаб стрелковой дивизии и, захватив документы, вернуться в расположение «своих» войск.</w:t>
      </w:r>
    </w:p>
    <w:p w14:paraId="69BFD6C9" w14:textId="77777777" w:rsidR="002A7C03" w:rsidRPr="00507A31" w:rsidRDefault="002A7C03" w:rsidP="00507A31">
      <w:pPr>
        <w:shd w:val="clear" w:color="auto" w:fill="FFFFFF"/>
        <w:jc w:val="both"/>
        <w:rPr>
          <w:color w:val="0070C0"/>
          <w:sz w:val="16"/>
          <w:szCs w:val="16"/>
        </w:rPr>
      </w:pPr>
      <w:r w:rsidRPr="00507A31">
        <w:rPr>
          <w:color w:val="0070C0"/>
          <w:sz w:val="16"/>
          <w:szCs w:val="16"/>
        </w:rPr>
        <w:t>Утром 2 сентября с более вместительного самолета АНТ-9 с высоты 250 метров группа в количестве 11 человек была успешно десантирована. Приземлившись, десантная группа Мошковского выдвинулась в район задачи, где совершила внезапный налет на штаб дивизии. Забрав оперативные документы, на захваченной грузовой машине группа оторвалась от преследования и благополучно вернулась в расположение «своих» войск. После этих учений летчики вернулись в расположение своей части (21399).</w:t>
      </w:r>
    </w:p>
    <w:p w14:paraId="7F9FD86C" w14:textId="77777777" w:rsidR="002A7C03" w:rsidRPr="00507A31" w:rsidRDefault="002A7C03" w:rsidP="00507A31">
      <w:pPr>
        <w:jc w:val="both"/>
        <w:rPr>
          <w:color w:val="0070C0"/>
          <w:sz w:val="16"/>
          <w:szCs w:val="16"/>
        </w:rPr>
      </w:pPr>
    </w:p>
    <w:p w14:paraId="340E7DE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B018587" w14:textId="77777777" w:rsidR="00537E5F" w:rsidRPr="00507A31" w:rsidRDefault="00537E5F" w:rsidP="00507A31">
      <w:pPr>
        <w:autoSpaceDE w:val="0"/>
        <w:autoSpaceDN w:val="0"/>
        <w:adjustRightInd w:val="0"/>
        <w:jc w:val="both"/>
        <w:rPr>
          <w:iCs/>
          <w:color w:val="000000" w:themeColor="text1"/>
          <w:sz w:val="16"/>
          <w:szCs w:val="16"/>
        </w:rPr>
      </w:pPr>
    </w:p>
    <w:p w14:paraId="746C47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сентября 1930 в СССР была проведена налоговая реформа и все виды акцизов и налогов на прибыль заменили единым налогом с оборота (3908,334).</w:t>
      </w:r>
    </w:p>
    <w:p w14:paraId="7909D4C2" w14:textId="77777777" w:rsidR="00537E5F" w:rsidRPr="00507A31" w:rsidRDefault="00537E5F" w:rsidP="00507A31">
      <w:pPr>
        <w:autoSpaceDE w:val="0"/>
        <w:autoSpaceDN w:val="0"/>
        <w:adjustRightInd w:val="0"/>
        <w:jc w:val="both"/>
        <w:rPr>
          <w:color w:val="000000" w:themeColor="text1"/>
          <w:sz w:val="16"/>
          <w:szCs w:val="16"/>
        </w:rPr>
      </w:pPr>
    </w:p>
    <w:p w14:paraId="09341D47" w14:textId="77777777" w:rsidR="00C428B4" w:rsidRPr="00507A31" w:rsidRDefault="00C428B4"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2 сентября </w:t>
      </w:r>
      <w:r w:rsidRPr="00507A31">
        <w:rPr>
          <w:color w:val="000000" w:themeColor="text1"/>
          <w:sz w:val="16"/>
          <w:szCs w:val="16"/>
        </w:rPr>
        <w:t>в 1930 году в СССР началось осуществление налоговой реформы. Все виды акцизов и налогов на прибыль были заменены единым налогом с оборота (14757).</w:t>
      </w:r>
    </w:p>
    <w:p w14:paraId="2F53D794" w14:textId="77777777" w:rsidR="00C428B4" w:rsidRPr="00507A31" w:rsidRDefault="00C428B4" w:rsidP="00507A31">
      <w:pPr>
        <w:jc w:val="both"/>
        <w:rPr>
          <w:color w:val="000000" w:themeColor="text1"/>
          <w:sz w:val="16"/>
          <w:szCs w:val="16"/>
        </w:rPr>
      </w:pPr>
    </w:p>
    <w:p w14:paraId="14F185FC" w14:textId="77777777" w:rsidR="002A7C03" w:rsidRPr="00507A31" w:rsidRDefault="002A7C03" w:rsidP="00507A31">
      <w:pPr>
        <w:jc w:val="both"/>
        <w:rPr>
          <w:color w:val="0070C0"/>
          <w:sz w:val="16"/>
          <w:szCs w:val="16"/>
        </w:rPr>
      </w:pPr>
      <w:r w:rsidRPr="00507A31">
        <w:rPr>
          <w:color w:val="0070C0"/>
          <w:sz w:val="16"/>
          <w:szCs w:val="16"/>
          <w:shd w:val="clear" w:color="auto" w:fill="FFFFFF"/>
        </w:rPr>
        <w:t>2 сентября 1930г. ЦИК и СНК СССР приняли постановление об изменении налоговой системы. С 1 октября 1930г. были введены в дей</w:t>
      </w:r>
      <w:r w:rsidRPr="00507A31">
        <w:rPr>
          <w:color w:val="0070C0"/>
          <w:sz w:val="16"/>
          <w:szCs w:val="16"/>
          <w:shd w:val="clear" w:color="auto" w:fill="FFFFFF"/>
        </w:rPr>
        <w:softHyphen/>
        <w:t>ствие положения о налоге с оборота предприятий, об отчислении при</w:t>
      </w:r>
      <w:r w:rsidRPr="00507A31">
        <w:rPr>
          <w:color w:val="0070C0"/>
          <w:sz w:val="16"/>
          <w:szCs w:val="16"/>
          <w:shd w:val="clear" w:color="auto" w:fill="FFFFFF"/>
        </w:rPr>
        <w:softHyphen/>
        <w:t>былей госпредприятий, о подоходном налоге с предприятий, о единой госпошлине, о промысловом налоге с частных предприятий, о подо</w:t>
      </w:r>
      <w:r w:rsidRPr="00507A31">
        <w:rPr>
          <w:color w:val="0070C0"/>
          <w:sz w:val="16"/>
          <w:szCs w:val="16"/>
          <w:shd w:val="clear" w:color="auto" w:fill="FFFFFF"/>
        </w:rPr>
        <w:softHyphen/>
        <w:t>ходном налоге с частных лиц. Эти положения свели воедино 56 ранее существовавших государственных и местных налогов и сборов (20220).</w:t>
      </w:r>
    </w:p>
    <w:p w14:paraId="10ADC45B" w14:textId="77777777" w:rsidR="002A7C03" w:rsidRPr="00507A31" w:rsidRDefault="002A7C03" w:rsidP="00507A31">
      <w:pPr>
        <w:jc w:val="both"/>
        <w:rPr>
          <w:color w:val="0070C0"/>
          <w:sz w:val="16"/>
          <w:szCs w:val="16"/>
        </w:rPr>
      </w:pPr>
    </w:p>
    <w:p w14:paraId="397D0FE7" w14:textId="77777777" w:rsidR="002A7C03" w:rsidRPr="00507A31" w:rsidRDefault="002A7C03"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За рубежом:</w:t>
      </w:r>
    </w:p>
    <w:p w14:paraId="0DD7F493" w14:textId="77777777" w:rsidR="002A7C03" w:rsidRPr="00507A31" w:rsidRDefault="002A7C03" w:rsidP="00507A31">
      <w:pPr>
        <w:autoSpaceDE w:val="0"/>
        <w:autoSpaceDN w:val="0"/>
        <w:adjustRightInd w:val="0"/>
        <w:jc w:val="both"/>
        <w:rPr>
          <w:iCs/>
          <w:color w:val="000000" w:themeColor="text1"/>
          <w:sz w:val="16"/>
          <w:szCs w:val="16"/>
        </w:rPr>
      </w:pPr>
    </w:p>
    <w:p w14:paraId="39261B82" w14:textId="77777777" w:rsidR="002A7C03" w:rsidRPr="00507A31" w:rsidRDefault="002A7C03" w:rsidP="00507A31">
      <w:pPr>
        <w:jc w:val="both"/>
        <w:rPr>
          <w:color w:val="0070C0"/>
          <w:sz w:val="16"/>
          <w:szCs w:val="16"/>
        </w:rPr>
      </w:pPr>
      <w:r w:rsidRPr="00507A31">
        <w:rPr>
          <w:color w:val="0070C0"/>
          <w:sz w:val="16"/>
          <w:szCs w:val="16"/>
        </w:rPr>
        <w:t>2 сентября 1930 года — завершился первый трансатлантический перелёт с востока на запад. /Франция/</w:t>
      </w:r>
    </w:p>
    <w:p w14:paraId="05FA0C04" w14:textId="77777777" w:rsidR="002A7C03" w:rsidRPr="00507A31" w:rsidRDefault="002A7C03" w:rsidP="00507A31">
      <w:pPr>
        <w:jc w:val="both"/>
        <w:rPr>
          <w:color w:val="0070C0"/>
          <w:sz w:val="16"/>
          <w:szCs w:val="16"/>
        </w:rPr>
      </w:pPr>
      <w:r w:rsidRPr="00507A31">
        <w:rPr>
          <w:color w:val="0070C0"/>
          <w:sz w:val="16"/>
          <w:szCs w:val="16"/>
        </w:rPr>
        <w:t>Первые успешные перелёты через Атлантический океан были совершены с запада на восток — из Северной Америки в Европу. Попытки перелететь в обратном направлении долго заканчивались неудачами.</w:t>
      </w:r>
    </w:p>
    <w:p w14:paraId="64ABBB5C" w14:textId="77777777" w:rsidR="002A7C03" w:rsidRPr="00507A31" w:rsidRDefault="002A7C03" w:rsidP="00507A31">
      <w:pPr>
        <w:jc w:val="both"/>
        <w:rPr>
          <w:color w:val="0070C0"/>
          <w:sz w:val="16"/>
          <w:szCs w:val="16"/>
        </w:rPr>
      </w:pPr>
      <w:r w:rsidRPr="00507A31">
        <w:rPr>
          <w:color w:val="0070C0"/>
          <w:sz w:val="16"/>
          <w:szCs w:val="16"/>
        </w:rPr>
        <w:t>В 1930 году французы Дьедонне Костес и Морис Беллонте (Dieudonné Costes/Maurice Bellonte) решили покорить Атлантику на специальном самолёте для дальних перелётов Breguet Br.19 TF Super Bidon с именем "Point d’Interrogation" («Вопросительный знак»). Этот полутороплан был оснащён двигателем Hispano-Suiza 12lb (641 л.с.) и брал в свои баки до 5736 литров топлива.</w:t>
      </w:r>
    </w:p>
    <w:p w14:paraId="2B3FA452" w14:textId="77777777" w:rsidR="002A7C03" w:rsidRPr="00507A31" w:rsidRDefault="002A7C03" w:rsidP="00507A31">
      <w:pPr>
        <w:jc w:val="both"/>
        <w:rPr>
          <w:color w:val="0070C0"/>
          <w:sz w:val="16"/>
          <w:szCs w:val="16"/>
        </w:rPr>
      </w:pPr>
      <w:r w:rsidRPr="00507A31">
        <w:rPr>
          <w:color w:val="0070C0"/>
          <w:sz w:val="16"/>
          <w:szCs w:val="16"/>
        </w:rPr>
        <w:t>Вылетев из парижского аэропорта Ле-Бурже 1 сентября в 10:54, Костес и Беллонте взяли курс на Нью-Йорк. Через 37 часов 18 минут 30 секунд сложного полёта они приземлились на аэродроме Кёртис Филд. За это время лётчики преодолели 5913 км. Первым их поздравил сам Чарльз Линдберг, тремя годами ранее перелетевший океан в одиночку (22300).</w:t>
      </w:r>
    </w:p>
    <w:p w14:paraId="438FA6D8" w14:textId="77777777" w:rsidR="002A7C03" w:rsidRPr="00507A31" w:rsidRDefault="002A7C03" w:rsidP="00507A31">
      <w:pPr>
        <w:jc w:val="both"/>
        <w:rPr>
          <w:color w:val="0070C0"/>
          <w:sz w:val="16"/>
          <w:szCs w:val="16"/>
        </w:rPr>
      </w:pPr>
    </w:p>
    <w:p w14:paraId="3E8217B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FD598BC" w14:textId="77777777" w:rsidR="00537E5F" w:rsidRPr="00507A31" w:rsidRDefault="00537E5F" w:rsidP="00507A31">
      <w:pPr>
        <w:autoSpaceDE w:val="0"/>
        <w:autoSpaceDN w:val="0"/>
        <w:adjustRightInd w:val="0"/>
        <w:jc w:val="both"/>
        <w:rPr>
          <w:iCs/>
          <w:color w:val="000000" w:themeColor="text1"/>
          <w:sz w:val="16"/>
          <w:szCs w:val="16"/>
        </w:rPr>
      </w:pPr>
    </w:p>
    <w:p w14:paraId="60512D6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 сентября 1930 г. начались первые полеты вертолета 1-ЭА (6395).</w:t>
      </w:r>
    </w:p>
    <w:p w14:paraId="2548933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C44EFBC" w14:textId="77777777" w:rsidR="00C428B4" w:rsidRPr="00507A31" w:rsidRDefault="00C428B4" w:rsidP="00507A31">
      <w:pPr>
        <w:jc w:val="both"/>
        <w:rPr>
          <w:rStyle w:val="ucoz-forum-post"/>
          <w:rFonts w:eastAsiaTheme="majorEastAsia"/>
          <w:color w:val="000000" w:themeColor="text1"/>
          <w:sz w:val="16"/>
          <w:szCs w:val="16"/>
        </w:rPr>
      </w:pPr>
      <w:r w:rsidRPr="00507A31">
        <w:rPr>
          <w:rStyle w:val="ucoz-forum-post"/>
          <w:rFonts w:eastAsiaTheme="majorEastAsia"/>
          <w:bCs/>
          <w:color w:val="000000" w:themeColor="text1"/>
          <w:sz w:val="16"/>
          <w:szCs w:val="16"/>
        </w:rPr>
        <w:t>3 сентября 1930 года</w:t>
      </w:r>
      <w:r w:rsidRPr="00507A31">
        <w:rPr>
          <w:rStyle w:val="ucoz-forum-post"/>
          <w:rFonts w:eastAsiaTheme="majorEastAsia"/>
          <w:color w:val="000000" w:themeColor="text1"/>
          <w:sz w:val="16"/>
          <w:szCs w:val="16"/>
        </w:rPr>
        <w:t xml:space="preserve"> начались первые полеты вертолета ЦАГИ 1-ЭА. Это был первый отечественный вертолет (14758).</w:t>
      </w:r>
    </w:p>
    <w:p w14:paraId="2BADED12" w14:textId="77777777" w:rsidR="00C428B4" w:rsidRPr="00507A31" w:rsidRDefault="00C428B4" w:rsidP="00507A31">
      <w:pPr>
        <w:jc w:val="both"/>
        <w:rPr>
          <w:rStyle w:val="ucoz-forum-post"/>
          <w:rFonts w:eastAsiaTheme="majorEastAsia"/>
          <w:color w:val="000000" w:themeColor="text1"/>
          <w:sz w:val="16"/>
          <w:szCs w:val="16"/>
        </w:rPr>
      </w:pPr>
    </w:p>
    <w:p w14:paraId="4A6C83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сентября 1930 вышло постановление РВС N 19 о передаче ЦАГИ Наркомвоенмору (1026,113).</w:t>
      </w:r>
    </w:p>
    <w:p w14:paraId="3FECC724" w14:textId="77777777" w:rsidR="00537E5F" w:rsidRPr="00507A31" w:rsidRDefault="00537E5F" w:rsidP="00507A31">
      <w:pPr>
        <w:autoSpaceDE w:val="0"/>
        <w:autoSpaceDN w:val="0"/>
        <w:adjustRightInd w:val="0"/>
        <w:jc w:val="both"/>
        <w:rPr>
          <w:color w:val="000000" w:themeColor="text1"/>
          <w:sz w:val="16"/>
          <w:szCs w:val="16"/>
        </w:rPr>
      </w:pPr>
    </w:p>
    <w:p w14:paraId="79A0911B" w14:textId="77777777" w:rsidR="00CF4CC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FEBC1A1" w14:textId="77777777" w:rsidR="00CF4CCE" w:rsidRPr="00507A31" w:rsidRDefault="00CF4CCE" w:rsidP="00507A31">
      <w:pPr>
        <w:autoSpaceDE w:val="0"/>
        <w:autoSpaceDN w:val="0"/>
        <w:adjustRightInd w:val="0"/>
        <w:jc w:val="both"/>
        <w:rPr>
          <w:iCs/>
          <w:color w:val="000000" w:themeColor="text1"/>
          <w:sz w:val="16"/>
          <w:szCs w:val="16"/>
        </w:rPr>
      </w:pPr>
    </w:p>
    <w:p w14:paraId="32700B0A" w14:textId="77777777" w:rsidR="00CF4CCE" w:rsidRPr="00507A31" w:rsidRDefault="00CF4CCE" w:rsidP="00507A31">
      <w:pPr>
        <w:pStyle w:val="rtejustify"/>
        <w:spacing w:before="0" w:after="0"/>
        <w:rPr>
          <w:color w:val="000000" w:themeColor="text1"/>
          <w:sz w:val="16"/>
          <w:szCs w:val="16"/>
        </w:rPr>
      </w:pPr>
      <w:r w:rsidRPr="00507A31">
        <w:rPr>
          <w:rStyle w:val="af0"/>
          <w:i w:val="0"/>
          <w:color w:val="000000" w:themeColor="text1"/>
          <w:sz w:val="16"/>
          <w:szCs w:val="16"/>
        </w:rPr>
        <w:t>3 сентября 1930 г. Протокол Реввоенсовета № 19.</w:t>
      </w:r>
      <w:r w:rsidRPr="00507A31">
        <w:rPr>
          <w:color w:val="000000" w:themeColor="text1"/>
          <w:sz w:val="16"/>
          <w:szCs w:val="16"/>
        </w:rPr>
        <w:t xml:space="preserve"> 1. Контрольные цифры авиапромышленности на 1930/31 г. (Урываев). 3. О выполнении плана опытного строительства ВВС. (Шапошников). 5. а) О принятии на вооружение самолета И</w:t>
      </w:r>
      <w:r w:rsidRPr="00507A31">
        <w:rPr>
          <w:color w:val="000000" w:themeColor="text1"/>
          <w:sz w:val="16"/>
          <w:szCs w:val="16"/>
        </w:rPr>
        <w:noBreakHyphen/>
        <w:t>5. (Баранов П. И.); б) о внедрении в производство самолета И</w:t>
      </w:r>
      <w:r w:rsidRPr="00507A31">
        <w:rPr>
          <w:color w:val="000000" w:themeColor="text1"/>
          <w:sz w:val="16"/>
          <w:szCs w:val="16"/>
        </w:rPr>
        <w:noBreakHyphen/>
        <w:t>5. (Королев — ВАО); в) о принятии на вооружение самолета Р</w:t>
      </w:r>
      <w:r w:rsidRPr="00507A31">
        <w:rPr>
          <w:color w:val="000000" w:themeColor="text1"/>
          <w:sz w:val="16"/>
          <w:szCs w:val="16"/>
        </w:rPr>
        <w:noBreakHyphen/>
        <w:t>5. (Баранов П. И.); г) об отмене постановления РВСС 1929 г., 3 декабря (прот. Протокол Реввоенсовета № 39 п. д) об условном принятии на вооружение самолета П</w:t>
      </w:r>
      <w:r w:rsidRPr="00507A31">
        <w:rPr>
          <w:color w:val="000000" w:themeColor="text1"/>
          <w:sz w:val="16"/>
          <w:szCs w:val="16"/>
        </w:rPr>
        <w:noBreakHyphen/>
        <w:t>2. (Баранов П. И.). 8. О зенитных установках Иванова. (Розынко). (РГВА. Ф. 4. Оп. 18. Д. 19. Л. 337, 339</w:t>
      </w:r>
      <w:r w:rsidRPr="00507A31">
        <w:rPr>
          <w:color w:val="000000" w:themeColor="text1"/>
          <w:sz w:val="16"/>
          <w:szCs w:val="16"/>
        </w:rPr>
        <w:noBreakHyphen/>
        <w:t>340) (12342).</w:t>
      </w:r>
    </w:p>
    <w:p w14:paraId="0F645866" w14:textId="77777777" w:rsidR="00CF4CCE" w:rsidRPr="00507A31" w:rsidRDefault="00CF4CCE" w:rsidP="00507A31">
      <w:pPr>
        <w:pStyle w:val="rtejustify"/>
        <w:spacing w:before="0" w:after="0"/>
        <w:rPr>
          <w:color w:val="000000" w:themeColor="text1"/>
          <w:sz w:val="16"/>
          <w:szCs w:val="16"/>
        </w:rPr>
      </w:pPr>
    </w:p>
    <w:p w14:paraId="17A00BC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71EFEEFC" w14:textId="77777777" w:rsidR="00537E5F" w:rsidRPr="00507A31" w:rsidRDefault="00537E5F" w:rsidP="00507A31">
      <w:pPr>
        <w:autoSpaceDE w:val="0"/>
        <w:autoSpaceDN w:val="0"/>
        <w:adjustRightInd w:val="0"/>
        <w:jc w:val="both"/>
        <w:rPr>
          <w:iCs/>
          <w:color w:val="000000" w:themeColor="text1"/>
          <w:sz w:val="16"/>
          <w:szCs w:val="16"/>
        </w:rPr>
      </w:pPr>
    </w:p>
    <w:p w14:paraId="1CB02D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сентября 1930 под Ленинградом, у станции Сиверская, высадили гораздо более масштабный десант с техникой. Для его переброски использовали самолеты ЮГ-1 и ТБ-1. Он отражал концепцию "рейдового десанта", быстро передвигающегося по тылам противника. Для этой цели отряд десантников получил автомобили, мотоциклы и велосипеды.</w:t>
      </w:r>
    </w:p>
    <w:p w14:paraId="2DD861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высадки использовали 55-ю и 57-ю эскадрильи ВВС Ленинградского округа, уже получившие новые бомбардировщики ТБ-1, но летавшие в основном еще на старых ЮГ-1. Их дополнили экипажами и самолетами ТБ-1 из 11-й авиабригады, базировавшейся в Воронеже. Всего для перевозки десанта использовали 10 ТБ-1 и 7 ЮГ-1, каждый из которых совершил по несколько рейсов. Высадка продолжалась с 8 утра да часу дня 3 сентября 1930 г. Автомобили Форд А доставляли только под ТБ-1. Машины перевозили в частично разобранном виде, без передних колес и ветрового стекла, которые укладывались в носовой кабине. Некоторые автомобили были переделаны в самоходные установки ДРП с боекомплектом из 14 снарядов и экипажем из трех человек.</w:t>
      </w:r>
    </w:p>
    <w:p w14:paraId="611555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Зато "юнкере" с емким фюзеляжем, доставшимся "в наследство" от пассажирского G.24, лучше подходил для перевозки пехоты. Он брал на борт сверх штатного экипажа до восьми человек с оружием и снаряжением, а ТБ-1 - не больше шести. На ЮГ-1 возили также велосипеды и мотоциклы. Первые просто складывали на полу в фюзеляже. Со вторыми первоначально намеревались поступать так же, причем у мотоциклов с колясками коляски отсоединять и грузить отдельно. Но в ОТБ разработали схему подвески двух мотоциклов с колясками под центропланом. Системой тросов они крепились к бомбодержателям Дер-ббис. Погрузка занимала около 15 минут, разгрузка - вдвое меньше времени.</w:t>
      </w:r>
    </w:p>
    <w:p w14:paraId="0A90A5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Такой подвеской оборудовали самолеты 55-й эскадрильи. Они возили мотоциклы "Харлей-Дэвидсон" и "Нортон". Всего в Сиверскую перебросили 19 автомобилей, 12 мотоциклов с колясками и семь без колясок, 41 велосипед, 151 десантников с винтовками, пулеметами и безоткатными пушками. Десантники собрали автомобили и двинулись маршем на Гатчину, захватив город, как и предусматривалось планом маневров (12036).</w:t>
      </w:r>
    </w:p>
    <w:p w14:paraId="6A35699C" w14:textId="77777777" w:rsidR="00537E5F" w:rsidRPr="00507A31" w:rsidRDefault="00537E5F" w:rsidP="00507A31">
      <w:pPr>
        <w:autoSpaceDE w:val="0"/>
        <w:autoSpaceDN w:val="0"/>
        <w:adjustRightInd w:val="0"/>
        <w:jc w:val="both"/>
        <w:rPr>
          <w:color w:val="000000" w:themeColor="text1"/>
          <w:sz w:val="16"/>
          <w:szCs w:val="16"/>
        </w:rPr>
      </w:pPr>
    </w:p>
    <w:p w14:paraId="1E217218" w14:textId="77777777" w:rsidR="00C428B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422D631" w14:textId="77777777" w:rsidR="00C428B4" w:rsidRPr="00507A31" w:rsidRDefault="00C428B4" w:rsidP="00507A31">
      <w:pPr>
        <w:autoSpaceDE w:val="0"/>
        <w:autoSpaceDN w:val="0"/>
        <w:adjustRightInd w:val="0"/>
        <w:jc w:val="both"/>
        <w:rPr>
          <w:iCs/>
          <w:color w:val="000000" w:themeColor="text1"/>
          <w:sz w:val="16"/>
          <w:szCs w:val="16"/>
        </w:rPr>
      </w:pPr>
    </w:p>
    <w:p w14:paraId="477FD69D" w14:textId="77777777" w:rsidR="00C428B4" w:rsidRPr="00507A31" w:rsidRDefault="00C428B4"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3 сентября </w:t>
      </w:r>
      <w:r w:rsidRPr="00507A31">
        <w:rPr>
          <w:color w:val="000000" w:themeColor="text1"/>
          <w:sz w:val="16"/>
          <w:szCs w:val="16"/>
        </w:rPr>
        <w:t>в 1930 году Политбюро приняло постановление о реорганизации Главлита. Отныне центральный аппарат Главлита освобождался от непосредственного выполнения цензорских функций, лишь руководил работой местных органов (14758).</w:t>
      </w:r>
    </w:p>
    <w:p w14:paraId="0E592373" w14:textId="77777777" w:rsidR="00C428B4" w:rsidRPr="00507A31" w:rsidRDefault="00C428B4" w:rsidP="00507A31">
      <w:pPr>
        <w:jc w:val="both"/>
        <w:rPr>
          <w:color w:val="000000" w:themeColor="text1"/>
          <w:sz w:val="16"/>
          <w:szCs w:val="16"/>
        </w:rPr>
      </w:pPr>
    </w:p>
    <w:p w14:paraId="0CB1A129" w14:textId="77777777" w:rsidR="005B485D" w:rsidRPr="00507A31" w:rsidRDefault="005B485D" w:rsidP="00507A31">
      <w:pPr>
        <w:jc w:val="both"/>
        <w:rPr>
          <w:color w:val="000000" w:themeColor="text1"/>
          <w:sz w:val="16"/>
          <w:szCs w:val="16"/>
        </w:rPr>
      </w:pPr>
      <w:r w:rsidRPr="00507A31">
        <w:rPr>
          <w:bCs/>
          <w:color w:val="000000" w:themeColor="text1"/>
          <w:sz w:val="16"/>
          <w:szCs w:val="16"/>
        </w:rPr>
        <w:t>3 сентября1930. Постановление Политбюро ЦК ВКП(б) "О Главлите"</w:t>
      </w:r>
    </w:p>
    <w:p w14:paraId="15806615" w14:textId="77777777" w:rsidR="005B485D" w:rsidRPr="00507A31" w:rsidRDefault="005B485D" w:rsidP="00507A31">
      <w:pPr>
        <w:jc w:val="both"/>
        <w:rPr>
          <w:color w:val="000000" w:themeColor="text1"/>
          <w:sz w:val="16"/>
          <w:szCs w:val="16"/>
        </w:rPr>
      </w:pPr>
      <w:r w:rsidRPr="00507A31">
        <w:rPr>
          <w:color w:val="000000" w:themeColor="text1"/>
          <w:sz w:val="16"/>
          <w:szCs w:val="16"/>
        </w:rPr>
        <w:t>41/41. О Главлите (ОБ от 3.IX. 30 г., пр. № 11, п. 3 гс)</w:t>
      </w:r>
      <w:bookmarkStart w:id="88" w:name="_ftnref1"/>
      <w:r w:rsidR="00EC0870" w:rsidRPr="00507A31">
        <w:rPr>
          <w:color w:val="000000" w:themeColor="text1"/>
          <w:sz w:val="16"/>
          <w:szCs w:val="16"/>
        </w:rPr>
        <w:fldChar w:fldCharType="begin"/>
      </w:r>
      <w:r w:rsidRPr="00507A31">
        <w:rPr>
          <w:color w:val="000000" w:themeColor="text1"/>
          <w:sz w:val="16"/>
          <w:szCs w:val="16"/>
        </w:rPr>
        <w:instrText xml:space="preserve"> HYPERLINK "http://www.opentextnn.ru/censorship/russia/sov/law/tsk/1930/?id=1160" \l "_ftn1" \o "" </w:instrText>
      </w:r>
      <w:r w:rsidR="00EC0870" w:rsidRPr="00507A31">
        <w:rPr>
          <w:color w:val="000000" w:themeColor="text1"/>
          <w:sz w:val="16"/>
          <w:szCs w:val="16"/>
        </w:rPr>
        <w:fldChar w:fldCharType="separate"/>
      </w:r>
      <w:r w:rsidRPr="00507A31">
        <w:rPr>
          <w:rStyle w:val="a5"/>
          <w:color w:val="000000" w:themeColor="text1"/>
          <w:sz w:val="16"/>
          <w:szCs w:val="16"/>
        </w:rPr>
        <w:t>[1]</w:t>
      </w:r>
      <w:r w:rsidR="00EC0870" w:rsidRPr="00507A31">
        <w:rPr>
          <w:color w:val="000000" w:themeColor="text1"/>
          <w:sz w:val="16"/>
          <w:szCs w:val="16"/>
        </w:rPr>
        <w:fldChar w:fldCharType="end"/>
      </w:r>
      <w:bookmarkEnd w:id="88"/>
    </w:p>
    <w:p w14:paraId="79D8F257" w14:textId="77777777" w:rsidR="005B485D" w:rsidRPr="00507A31" w:rsidRDefault="005B485D" w:rsidP="00507A31">
      <w:pPr>
        <w:jc w:val="both"/>
        <w:rPr>
          <w:color w:val="000000" w:themeColor="text1"/>
          <w:sz w:val="16"/>
          <w:szCs w:val="16"/>
        </w:rPr>
      </w:pPr>
      <w:r w:rsidRPr="00507A31">
        <w:rPr>
          <w:color w:val="000000" w:themeColor="text1"/>
          <w:sz w:val="16"/>
          <w:szCs w:val="16"/>
        </w:rPr>
        <w:t>а) В связи с перестройкой издательского дела в центре, рос том низовой печати и радиовещания и в целях улучшения постановки контроля за литературой, радиовещанием, лекциями, выставками и т. п., поручить Наркомпросу реорганизовать Главлит на следующих основах:</w:t>
      </w:r>
    </w:p>
    <w:p w14:paraId="12D5F516" w14:textId="77777777" w:rsidR="005B485D" w:rsidRPr="00507A31" w:rsidRDefault="005B485D" w:rsidP="00507A31">
      <w:pPr>
        <w:jc w:val="both"/>
        <w:rPr>
          <w:color w:val="000000" w:themeColor="text1"/>
          <w:sz w:val="16"/>
          <w:szCs w:val="16"/>
        </w:rPr>
      </w:pPr>
      <w:r w:rsidRPr="00507A31">
        <w:rPr>
          <w:color w:val="000000" w:themeColor="text1"/>
          <w:sz w:val="16"/>
          <w:szCs w:val="16"/>
        </w:rPr>
        <w:t>I. Освободить центральный аппарат Главлита от всяческих оперативных работ по предварительному просмотру печатного материала как с точки зрения политико-идеологической, так и с военно-экономической. Сохранить за аппаратом Главлита функции:</w:t>
      </w:r>
    </w:p>
    <w:p w14:paraId="3527FBAC" w14:textId="77777777" w:rsidR="005B485D" w:rsidRPr="00507A31" w:rsidRDefault="005B485D" w:rsidP="00507A31">
      <w:pPr>
        <w:jc w:val="both"/>
        <w:rPr>
          <w:color w:val="000000" w:themeColor="text1"/>
          <w:sz w:val="16"/>
          <w:szCs w:val="16"/>
        </w:rPr>
      </w:pPr>
      <w:r w:rsidRPr="00507A31">
        <w:rPr>
          <w:color w:val="000000" w:themeColor="text1"/>
          <w:sz w:val="16"/>
          <w:szCs w:val="16"/>
        </w:rPr>
        <w:t>1) общего объединения всех видов цензуры;</w:t>
      </w:r>
    </w:p>
    <w:p w14:paraId="59EED58B" w14:textId="77777777" w:rsidR="005B485D" w:rsidRPr="00507A31" w:rsidRDefault="005B485D" w:rsidP="00507A31">
      <w:pPr>
        <w:jc w:val="both"/>
        <w:rPr>
          <w:color w:val="000000" w:themeColor="text1"/>
          <w:sz w:val="16"/>
          <w:szCs w:val="16"/>
        </w:rPr>
      </w:pPr>
      <w:r w:rsidRPr="00507A31">
        <w:rPr>
          <w:color w:val="000000" w:themeColor="text1"/>
          <w:sz w:val="16"/>
          <w:szCs w:val="16"/>
        </w:rPr>
        <w:t>2) общего руководства и инспектирования подчиненных органов и уполномоченных;</w:t>
      </w:r>
    </w:p>
    <w:p w14:paraId="3A830A17" w14:textId="77777777" w:rsidR="005B485D" w:rsidRPr="00507A31" w:rsidRDefault="005B485D" w:rsidP="00507A31">
      <w:pPr>
        <w:jc w:val="both"/>
        <w:rPr>
          <w:color w:val="000000" w:themeColor="text1"/>
          <w:sz w:val="16"/>
          <w:szCs w:val="16"/>
        </w:rPr>
      </w:pPr>
      <w:r w:rsidRPr="00507A31">
        <w:rPr>
          <w:color w:val="000000" w:themeColor="text1"/>
          <w:sz w:val="16"/>
          <w:szCs w:val="16"/>
        </w:rPr>
        <w:t xml:space="preserve">3) последующего контроля за выходящей литературой как с политико-идеологической, так и с военно-экономической точек зрения; </w:t>
      </w:r>
    </w:p>
    <w:p w14:paraId="5026F0F7" w14:textId="77777777" w:rsidR="005B485D" w:rsidRPr="00507A31" w:rsidRDefault="005B485D" w:rsidP="00507A31">
      <w:pPr>
        <w:jc w:val="both"/>
        <w:rPr>
          <w:color w:val="000000" w:themeColor="text1"/>
          <w:sz w:val="16"/>
          <w:szCs w:val="16"/>
        </w:rPr>
      </w:pPr>
      <w:r w:rsidRPr="00507A31">
        <w:rPr>
          <w:color w:val="000000" w:themeColor="text1"/>
          <w:sz w:val="16"/>
          <w:szCs w:val="16"/>
        </w:rPr>
        <w:t>4) разрешения и запрещения изданий и издательств;</w:t>
      </w:r>
    </w:p>
    <w:p w14:paraId="00F7210E" w14:textId="77777777" w:rsidR="005B485D" w:rsidRPr="00507A31" w:rsidRDefault="005B485D" w:rsidP="00507A31">
      <w:pPr>
        <w:jc w:val="both"/>
        <w:rPr>
          <w:color w:val="000000" w:themeColor="text1"/>
          <w:sz w:val="16"/>
          <w:szCs w:val="16"/>
        </w:rPr>
      </w:pPr>
      <w:r w:rsidRPr="00507A31">
        <w:rPr>
          <w:color w:val="000000" w:themeColor="text1"/>
          <w:sz w:val="16"/>
          <w:szCs w:val="16"/>
        </w:rPr>
        <w:t>5) издания правил и распоряжений для обеспечения требований партии и правительства в области цензуры;</w:t>
      </w:r>
    </w:p>
    <w:p w14:paraId="23BBCA17" w14:textId="77777777" w:rsidR="005B485D" w:rsidRPr="00507A31" w:rsidRDefault="005B485D" w:rsidP="00507A31">
      <w:pPr>
        <w:jc w:val="both"/>
        <w:rPr>
          <w:color w:val="000000" w:themeColor="text1"/>
          <w:sz w:val="16"/>
          <w:szCs w:val="16"/>
        </w:rPr>
      </w:pPr>
      <w:r w:rsidRPr="00507A31">
        <w:rPr>
          <w:color w:val="000000" w:themeColor="text1"/>
          <w:sz w:val="16"/>
          <w:szCs w:val="16"/>
        </w:rPr>
        <w:t>6) рассмотрения апелляций на решения органов и уполномоченных Главлита;</w:t>
      </w:r>
    </w:p>
    <w:p w14:paraId="76448A14" w14:textId="77777777" w:rsidR="005B485D" w:rsidRPr="00507A31" w:rsidRDefault="005B485D" w:rsidP="00507A31">
      <w:pPr>
        <w:jc w:val="both"/>
        <w:rPr>
          <w:color w:val="000000" w:themeColor="text1"/>
          <w:sz w:val="16"/>
          <w:szCs w:val="16"/>
        </w:rPr>
      </w:pPr>
      <w:r w:rsidRPr="00507A31">
        <w:rPr>
          <w:color w:val="000000" w:themeColor="text1"/>
          <w:sz w:val="16"/>
          <w:szCs w:val="16"/>
        </w:rPr>
        <w:t>7) выработки совместно с другими ведомствами и осуществление перечней сведений, являющихся по своему содержанию специально охраняемой государственной тайной;</w:t>
      </w:r>
    </w:p>
    <w:p w14:paraId="3E720FAC" w14:textId="77777777" w:rsidR="005B485D" w:rsidRPr="00507A31" w:rsidRDefault="005B485D" w:rsidP="00507A31">
      <w:pPr>
        <w:jc w:val="both"/>
        <w:rPr>
          <w:color w:val="000000" w:themeColor="text1"/>
          <w:sz w:val="16"/>
          <w:szCs w:val="16"/>
        </w:rPr>
      </w:pPr>
      <w:r w:rsidRPr="00507A31">
        <w:rPr>
          <w:color w:val="000000" w:themeColor="text1"/>
          <w:sz w:val="16"/>
          <w:szCs w:val="16"/>
        </w:rPr>
        <w:t>8) составление обзоров литературы и происходящих в ней явлений;</w:t>
      </w:r>
    </w:p>
    <w:p w14:paraId="38D01905" w14:textId="77777777" w:rsidR="005B485D" w:rsidRPr="00507A31" w:rsidRDefault="005B485D" w:rsidP="00507A31">
      <w:pPr>
        <w:jc w:val="both"/>
        <w:rPr>
          <w:color w:val="000000" w:themeColor="text1"/>
          <w:sz w:val="16"/>
          <w:szCs w:val="16"/>
        </w:rPr>
      </w:pPr>
      <w:r w:rsidRPr="00507A31">
        <w:rPr>
          <w:color w:val="000000" w:themeColor="text1"/>
          <w:sz w:val="16"/>
          <w:szCs w:val="16"/>
        </w:rPr>
        <w:t>9) привлечения к ответственности виновных в нарушении требований Главлита и его органов в области цензуры;</w:t>
      </w:r>
    </w:p>
    <w:p w14:paraId="225C9EFF" w14:textId="77777777" w:rsidR="005B485D" w:rsidRPr="00507A31" w:rsidRDefault="005B485D" w:rsidP="00507A31">
      <w:pPr>
        <w:jc w:val="both"/>
        <w:rPr>
          <w:color w:val="000000" w:themeColor="text1"/>
          <w:sz w:val="16"/>
          <w:szCs w:val="16"/>
        </w:rPr>
      </w:pPr>
      <w:r w:rsidRPr="00507A31">
        <w:rPr>
          <w:color w:val="000000" w:themeColor="text1"/>
          <w:sz w:val="16"/>
          <w:szCs w:val="16"/>
        </w:rPr>
        <w:t>10) представления к утверждению и снятию в НКП уполномоченных и заведующих крайобллитами;</w:t>
      </w:r>
    </w:p>
    <w:p w14:paraId="564C6FBB" w14:textId="77777777" w:rsidR="005B485D" w:rsidRPr="00507A31" w:rsidRDefault="005B485D" w:rsidP="00507A31">
      <w:pPr>
        <w:jc w:val="both"/>
        <w:rPr>
          <w:color w:val="000000" w:themeColor="text1"/>
          <w:sz w:val="16"/>
          <w:szCs w:val="16"/>
        </w:rPr>
      </w:pPr>
      <w:r w:rsidRPr="00507A31">
        <w:rPr>
          <w:color w:val="000000" w:themeColor="text1"/>
          <w:sz w:val="16"/>
          <w:szCs w:val="16"/>
        </w:rPr>
        <w:t>11) представления на утверждение НКП редакторов и редколлегий.</w:t>
      </w:r>
    </w:p>
    <w:p w14:paraId="4D6743A2" w14:textId="77777777" w:rsidR="005B485D" w:rsidRPr="00507A31" w:rsidRDefault="005B485D" w:rsidP="00507A31">
      <w:pPr>
        <w:jc w:val="both"/>
        <w:rPr>
          <w:color w:val="000000" w:themeColor="text1"/>
          <w:sz w:val="16"/>
          <w:szCs w:val="16"/>
        </w:rPr>
      </w:pPr>
      <w:r w:rsidRPr="00507A31">
        <w:rPr>
          <w:color w:val="000000" w:themeColor="text1"/>
          <w:sz w:val="16"/>
          <w:szCs w:val="16"/>
        </w:rPr>
        <w:t>II. Основным звеном в области предварительного контроля за литературой, радиовещанием и т. п. признать институт уполномоченных. Весь предварительный просмотр всего печатного материала производить в самих издательствах, обязав последние обеспечить содержание необходимого штата уполномоченных Главлита. В районных газетах уполномоченными могут быть назначены редактора газет по совместительству.</w:t>
      </w:r>
    </w:p>
    <w:p w14:paraId="0D9A6A82" w14:textId="77777777" w:rsidR="005B485D" w:rsidRPr="00507A31" w:rsidRDefault="005B485D" w:rsidP="00507A31">
      <w:pPr>
        <w:jc w:val="both"/>
        <w:rPr>
          <w:color w:val="000000" w:themeColor="text1"/>
          <w:sz w:val="16"/>
          <w:szCs w:val="16"/>
        </w:rPr>
      </w:pPr>
      <w:r w:rsidRPr="00507A31">
        <w:rPr>
          <w:color w:val="000000" w:themeColor="text1"/>
          <w:sz w:val="16"/>
          <w:szCs w:val="16"/>
        </w:rPr>
        <w:t>б) Обязать НКПрос провести реорганизацию Главлита в двухдекадный срок</w:t>
      </w:r>
      <w:bookmarkStart w:id="89" w:name="_ftnref2"/>
      <w:r w:rsidR="00EC0870" w:rsidRPr="00507A31">
        <w:rPr>
          <w:color w:val="000000" w:themeColor="text1"/>
          <w:sz w:val="16"/>
          <w:szCs w:val="16"/>
        </w:rPr>
        <w:fldChar w:fldCharType="begin"/>
      </w:r>
      <w:r w:rsidRPr="00507A31">
        <w:rPr>
          <w:color w:val="000000" w:themeColor="text1"/>
          <w:sz w:val="16"/>
          <w:szCs w:val="16"/>
        </w:rPr>
        <w:instrText xml:space="preserve"> HYPERLINK "http://www.opentextnn.ru/censorship/russia/sov/law/tsk/1930/?id=1160" \l "_ftn2" \o "" </w:instrText>
      </w:r>
      <w:r w:rsidR="00EC0870" w:rsidRPr="00507A31">
        <w:rPr>
          <w:color w:val="000000" w:themeColor="text1"/>
          <w:sz w:val="16"/>
          <w:szCs w:val="16"/>
        </w:rPr>
        <w:fldChar w:fldCharType="separate"/>
      </w:r>
      <w:r w:rsidRPr="00507A31">
        <w:rPr>
          <w:rStyle w:val="a5"/>
          <w:color w:val="000000" w:themeColor="text1"/>
          <w:sz w:val="16"/>
          <w:szCs w:val="16"/>
        </w:rPr>
        <w:t>[2]</w:t>
      </w:r>
      <w:r w:rsidR="00EC0870" w:rsidRPr="00507A31">
        <w:rPr>
          <w:color w:val="000000" w:themeColor="text1"/>
          <w:sz w:val="16"/>
          <w:szCs w:val="16"/>
        </w:rPr>
        <w:fldChar w:fldCharType="end"/>
      </w:r>
      <w:bookmarkEnd w:id="89"/>
      <w:r w:rsidRPr="00507A31">
        <w:rPr>
          <w:color w:val="000000" w:themeColor="text1"/>
          <w:sz w:val="16"/>
          <w:szCs w:val="16"/>
        </w:rPr>
        <w:t>.</w:t>
      </w:r>
    </w:p>
    <w:p w14:paraId="77F4A9BB" w14:textId="77777777" w:rsidR="005B485D" w:rsidRPr="00507A31" w:rsidRDefault="005B485D" w:rsidP="00507A31">
      <w:pPr>
        <w:jc w:val="both"/>
        <w:rPr>
          <w:color w:val="000000" w:themeColor="text1"/>
          <w:sz w:val="16"/>
          <w:szCs w:val="16"/>
        </w:rPr>
      </w:pPr>
      <w:r w:rsidRPr="00507A31">
        <w:rPr>
          <w:color w:val="000000" w:themeColor="text1"/>
          <w:sz w:val="16"/>
          <w:szCs w:val="16"/>
        </w:rPr>
        <w:t>Из протокола № 6 заседания Политбюро ЦК ВКП(б) от 5 сентября 1930 г.</w:t>
      </w:r>
    </w:p>
    <w:p w14:paraId="00206718" w14:textId="77777777" w:rsidR="005B485D" w:rsidRPr="00507A31" w:rsidRDefault="005B485D" w:rsidP="00507A31">
      <w:pPr>
        <w:jc w:val="both"/>
        <w:rPr>
          <w:color w:val="000000" w:themeColor="text1"/>
          <w:sz w:val="16"/>
          <w:szCs w:val="16"/>
        </w:rPr>
      </w:pPr>
      <w:r w:rsidRPr="00507A31">
        <w:rPr>
          <w:iCs/>
          <w:color w:val="000000" w:themeColor="text1"/>
          <w:sz w:val="16"/>
          <w:szCs w:val="16"/>
        </w:rPr>
        <w:t xml:space="preserve">РЦХИДНИ. Ф. 17. On. 3. Д. 794. ЛЛ. 11, 12. </w:t>
      </w:r>
    </w:p>
    <w:p w14:paraId="761FB671" w14:textId="77777777" w:rsidR="005B485D" w:rsidRPr="00507A31" w:rsidRDefault="005B485D" w:rsidP="00507A31">
      <w:pPr>
        <w:jc w:val="both"/>
        <w:rPr>
          <w:color w:val="000000" w:themeColor="text1"/>
          <w:sz w:val="16"/>
          <w:szCs w:val="16"/>
        </w:rPr>
      </w:pPr>
      <w:r w:rsidRPr="00507A31">
        <w:rPr>
          <w:iCs/>
          <w:color w:val="000000" w:themeColor="text1"/>
          <w:sz w:val="16"/>
          <w:szCs w:val="16"/>
        </w:rPr>
        <w:t>Подлинник. Машинописный текст.</w:t>
      </w:r>
    </w:p>
    <w:p w14:paraId="39A70C22" w14:textId="77777777" w:rsidR="005B485D" w:rsidRPr="00507A31" w:rsidRDefault="005B485D" w:rsidP="00507A31">
      <w:pPr>
        <w:jc w:val="both"/>
        <w:rPr>
          <w:color w:val="000000" w:themeColor="text1"/>
          <w:sz w:val="16"/>
          <w:szCs w:val="16"/>
        </w:rPr>
      </w:pPr>
      <w:r w:rsidRPr="00507A31">
        <w:rPr>
          <w:rStyle w:val="af0"/>
          <w:i w:val="0"/>
          <w:color w:val="000000" w:themeColor="text1"/>
          <w:sz w:val="16"/>
          <w:szCs w:val="16"/>
        </w:rPr>
        <w:t>Опубл.: «Счастье литературы». Государство и писатели. 1925 – 1938 гг. Документы / Составитель Д. Л. Бабиченко. – М.: «Российская политическая энциклопедия» (РОССПЭН), 1997. с. 80.</w:t>
      </w:r>
    </w:p>
    <w:p w14:paraId="5889389C" w14:textId="77777777" w:rsidR="005B485D" w:rsidRPr="00507A31" w:rsidRDefault="005B485D" w:rsidP="00507A31">
      <w:pPr>
        <w:jc w:val="both"/>
        <w:rPr>
          <w:color w:val="000000" w:themeColor="text1"/>
          <w:sz w:val="16"/>
          <w:szCs w:val="16"/>
        </w:rPr>
      </w:pPr>
      <w:r w:rsidRPr="00507A31">
        <w:rPr>
          <w:rStyle w:val="af0"/>
          <w:i w:val="0"/>
          <w:color w:val="000000" w:themeColor="text1"/>
          <w:sz w:val="16"/>
          <w:szCs w:val="16"/>
        </w:rPr>
        <w:t>Опубл</w:t>
      </w:r>
      <w:r w:rsidRPr="00507A31">
        <w:rPr>
          <w:color w:val="000000" w:themeColor="text1"/>
          <w:sz w:val="16"/>
          <w:szCs w:val="16"/>
        </w:rPr>
        <w:t xml:space="preserve">.: </w:t>
      </w:r>
      <w:r w:rsidRPr="00507A31">
        <w:rPr>
          <w:rStyle w:val="af0"/>
          <w:i w:val="0"/>
          <w:color w:val="000000" w:themeColor="text1"/>
          <w:sz w:val="16"/>
          <w:szCs w:val="16"/>
        </w:rPr>
        <w:t>История советской политической цензуры: Документы и комментарии. М.: "Российская поолитическая энциклопедия" (РОССПЭН), 1997. С.54-55</w:t>
      </w:r>
      <w:r w:rsidRPr="00507A31">
        <w:rPr>
          <w:color w:val="000000" w:themeColor="text1"/>
          <w:sz w:val="16"/>
          <w:szCs w:val="16"/>
        </w:rPr>
        <w:t xml:space="preserve">. по копии из АП РФ с датой 05.09.1930. </w:t>
      </w:r>
    </w:p>
    <w:bookmarkStart w:id="90" w:name="_ftn1"/>
    <w:p w14:paraId="234DA4B8" w14:textId="77777777" w:rsidR="005B485D" w:rsidRPr="00507A31" w:rsidRDefault="00EC0870" w:rsidP="00507A31">
      <w:pPr>
        <w:jc w:val="both"/>
        <w:rPr>
          <w:color w:val="000000" w:themeColor="text1"/>
          <w:sz w:val="16"/>
          <w:szCs w:val="16"/>
        </w:rPr>
      </w:pPr>
      <w:r w:rsidRPr="00507A31">
        <w:rPr>
          <w:color w:val="000000" w:themeColor="text1"/>
          <w:sz w:val="16"/>
          <w:szCs w:val="16"/>
        </w:rPr>
        <w:fldChar w:fldCharType="begin"/>
      </w:r>
      <w:r w:rsidR="005B485D" w:rsidRPr="00507A31">
        <w:rPr>
          <w:color w:val="000000" w:themeColor="text1"/>
          <w:sz w:val="16"/>
          <w:szCs w:val="16"/>
        </w:rPr>
        <w:instrText xml:space="preserve"> HYPERLINK "http://www.opentextnn.ru/censorship/russia/sov/law/tsk/1930/?id=1160" \l "_ftnref1" \o "" </w:instrText>
      </w:r>
      <w:r w:rsidRPr="00507A31">
        <w:rPr>
          <w:color w:val="000000" w:themeColor="text1"/>
          <w:sz w:val="16"/>
          <w:szCs w:val="16"/>
        </w:rPr>
        <w:fldChar w:fldCharType="separate"/>
      </w:r>
      <w:r w:rsidR="005B485D" w:rsidRPr="00507A31">
        <w:rPr>
          <w:rStyle w:val="a5"/>
          <w:color w:val="000000" w:themeColor="text1"/>
          <w:sz w:val="16"/>
          <w:szCs w:val="16"/>
        </w:rPr>
        <w:t>[1]</w:t>
      </w:r>
      <w:r w:rsidRPr="00507A31">
        <w:rPr>
          <w:color w:val="000000" w:themeColor="text1"/>
          <w:sz w:val="16"/>
          <w:szCs w:val="16"/>
        </w:rPr>
        <w:fldChar w:fldCharType="end"/>
      </w:r>
      <w:bookmarkEnd w:id="90"/>
      <w:r w:rsidR="005B485D" w:rsidRPr="00507A31">
        <w:rPr>
          <w:color w:val="000000" w:themeColor="text1"/>
          <w:sz w:val="16"/>
          <w:szCs w:val="16"/>
        </w:rPr>
        <w:t xml:space="preserve"> Прежде чем решение было принято на Оргбюро и Политбюро 3 сентября, вопрос был рассмотрен на Секретариате. В первых двух случаях утверждалась лишь часть постановления Секретариата. Воспроизводим далее последний отрывок постановления, утвержденного Секретариатом ЦК ВКП(б) 11 августа:</w:t>
      </w:r>
    </w:p>
    <w:p w14:paraId="74B4FDD5" w14:textId="77777777" w:rsidR="005B485D" w:rsidRPr="00507A31" w:rsidRDefault="005B485D" w:rsidP="00507A31">
      <w:pPr>
        <w:jc w:val="both"/>
        <w:rPr>
          <w:color w:val="000000" w:themeColor="text1"/>
          <w:sz w:val="16"/>
          <w:szCs w:val="16"/>
        </w:rPr>
      </w:pPr>
      <w:r w:rsidRPr="00507A31">
        <w:rPr>
          <w:color w:val="000000" w:themeColor="text1"/>
          <w:sz w:val="16"/>
          <w:szCs w:val="16"/>
        </w:rPr>
        <w:t>«III. Для обеспечения контроля за иностранной литературой и бандеролями обязать НКПиТ организовать просмотр их на почтампе и обеспечить в штате достаточное количество уполномоченных Главлита.</w:t>
      </w:r>
    </w:p>
    <w:p w14:paraId="5E7AD029" w14:textId="77777777" w:rsidR="005B485D" w:rsidRPr="00507A31" w:rsidRDefault="005B485D" w:rsidP="00507A31">
      <w:pPr>
        <w:jc w:val="both"/>
        <w:rPr>
          <w:color w:val="000000" w:themeColor="text1"/>
          <w:sz w:val="16"/>
          <w:szCs w:val="16"/>
        </w:rPr>
      </w:pPr>
      <w:r w:rsidRPr="00507A31">
        <w:rPr>
          <w:color w:val="000000" w:themeColor="text1"/>
          <w:sz w:val="16"/>
          <w:szCs w:val="16"/>
        </w:rPr>
        <w:t>IV. Также должен быть организован контроль за радиовещанием.</w:t>
      </w:r>
    </w:p>
    <w:p w14:paraId="2890916F" w14:textId="77777777" w:rsidR="005B485D" w:rsidRPr="00507A31" w:rsidRDefault="005B485D" w:rsidP="00507A31">
      <w:pPr>
        <w:jc w:val="both"/>
        <w:rPr>
          <w:color w:val="000000" w:themeColor="text1"/>
          <w:sz w:val="16"/>
          <w:szCs w:val="16"/>
        </w:rPr>
      </w:pPr>
      <w:r w:rsidRPr="00507A31">
        <w:rPr>
          <w:color w:val="000000" w:themeColor="text1"/>
          <w:sz w:val="16"/>
          <w:szCs w:val="16"/>
        </w:rPr>
        <w:lastRenderedPageBreak/>
        <w:t>V. Сохранить Главлит, как Управление в системе НКП, обязав последний обеспечить Главлит квалифицированными кадрами, создать ему необходимые материальные условия для успешной работы и усилить руководство его работой.</w:t>
      </w:r>
    </w:p>
    <w:p w14:paraId="4D280F50" w14:textId="77777777" w:rsidR="005B485D" w:rsidRPr="00507A31" w:rsidRDefault="005B485D" w:rsidP="00507A31">
      <w:pPr>
        <w:jc w:val="both"/>
        <w:rPr>
          <w:color w:val="000000" w:themeColor="text1"/>
          <w:sz w:val="16"/>
          <w:szCs w:val="16"/>
        </w:rPr>
      </w:pPr>
      <w:r w:rsidRPr="00507A31">
        <w:rPr>
          <w:color w:val="000000" w:themeColor="text1"/>
          <w:sz w:val="16"/>
          <w:szCs w:val="16"/>
        </w:rPr>
        <w:t>VI. Обратить внимание краевых, областных и районных парторганизаций на необходимость укрепления органов Главлита.</w:t>
      </w:r>
    </w:p>
    <w:p w14:paraId="14E04E8D" w14:textId="77777777" w:rsidR="005B485D" w:rsidRPr="00507A31" w:rsidRDefault="005B485D" w:rsidP="00507A31">
      <w:pPr>
        <w:jc w:val="both"/>
        <w:rPr>
          <w:color w:val="000000" w:themeColor="text1"/>
          <w:sz w:val="16"/>
          <w:szCs w:val="16"/>
        </w:rPr>
      </w:pPr>
      <w:r w:rsidRPr="00507A31">
        <w:rPr>
          <w:color w:val="000000" w:themeColor="text1"/>
          <w:sz w:val="16"/>
          <w:szCs w:val="16"/>
        </w:rPr>
        <w:t>VII. В связи с реорганизацией сократить аппарат Главлита до 25-30 штатных единиц.</w:t>
      </w:r>
    </w:p>
    <w:p w14:paraId="7C322C91" w14:textId="77777777" w:rsidR="005B485D" w:rsidRPr="00507A31" w:rsidRDefault="005B485D" w:rsidP="00507A31">
      <w:pPr>
        <w:jc w:val="both"/>
        <w:rPr>
          <w:color w:val="000000" w:themeColor="text1"/>
          <w:sz w:val="16"/>
          <w:szCs w:val="16"/>
        </w:rPr>
      </w:pPr>
      <w:r w:rsidRPr="00507A31">
        <w:rPr>
          <w:color w:val="000000" w:themeColor="text1"/>
          <w:sz w:val="16"/>
          <w:szCs w:val="16"/>
        </w:rPr>
        <w:t>б) Признать необходимым утверждение уполномоченных Главлита по основным издательствам, имеющим важнейшее политическое значение, производить с санкции ЦК ВКП(б).</w:t>
      </w:r>
    </w:p>
    <w:p w14:paraId="2BE4C378" w14:textId="77777777" w:rsidR="005B485D" w:rsidRPr="00507A31" w:rsidRDefault="005B485D" w:rsidP="00507A31">
      <w:pPr>
        <w:jc w:val="both"/>
        <w:rPr>
          <w:color w:val="000000" w:themeColor="text1"/>
          <w:sz w:val="16"/>
          <w:szCs w:val="16"/>
        </w:rPr>
      </w:pPr>
      <w:r w:rsidRPr="00507A31">
        <w:rPr>
          <w:color w:val="000000" w:themeColor="text1"/>
          <w:sz w:val="16"/>
          <w:szCs w:val="16"/>
        </w:rPr>
        <w:t>Список этих издательств поручить определить Культпропу ЦК совместно с Г. и внести на утвержд. СТ ЦК.</w:t>
      </w:r>
    </w:p>
    <w:p w14:paraId="022B91C3" w14:textId="77777777" w:rsidR="005B485D" w:rsidRPr="00507A31" w:rsidRDefault="005B485D" w:rsidP="00507A31">
      <w:pPr>
        <w:jc w:val="both"/>
        <w:rPr>
          <w:color w:val="000000" w:themeColor="text1"/>
          <w:sz w:val="16"/>
          <w:szCs w:val="16"/>
        </w:rPr>
      </w:pPr>
      <w:r w:rsidRPr="00507A31">
        <w:rPr>
          <w:color w:val="000000" w:themeColor="text1"/>
          <w:sz w:val="16"/>
          <w:szCs w:val="16"/>
        </w:rPr>
        <w:t>в) Назначение и смена Уполномоченных Главлита по советской линии должны происходить с утверждения Главлита» (РЦХИДНИ. Ф. 17. Оп. 114. Д. 180. ЛЛ. 5, 6).</w:t>
      </w:r>
    </w:p>
    <w:bookmarkStart w:id="91" w:name="_ftn2"/>
    <w:p w14:paraId="5C839E09" w14:textId="77777777" w:rsidR="005B485D" w:rsidRPr="00507A31" w:rsidRDefault="00EC0870" w:rsidP="00507A31">
      <w:pPr>
        <w:jc w:val="both"/>
        <w:rPr>
          <w:color w:val="000000" w:themeColor="text1"/>
          <w:sz w:val="16"/>
          <w:szCs w:val="16"/>
        </w:rPr>
      </w:pPr>
      <w:r w:rsidRPr="00507A31">
        <w:rPr>
          <w:color w:val="000000" w:themeColor="text1"/>
          <w:sz w:val="16"/>
          <w:szCs w:val="16"/>
        </w:rPr>
        <w:fldChar w:fldCharType="begin"/>
      </w:r>
      <w:r w:rsidR="005B485D" w:rsidRPr="00507A31">
        <w:rPr>
          <w:color w:val="000000" w:themeColor="text1"/>
          <w:sz w:val="16"/>
          <w:szCs w:val="16"/>
        </w:rPr>
        <w:instrText xml:space="preserve"> HYPERLINK "http://www.opentextnn.ru/censorship/russia/sov/law/tsk/1930/?id=1160" \l "_ftnref2" \o "" </w:instrText>
      </w:r>
      <w:r w:rsidRPr="00507A31">
        <w:rPr>
          <w:color w:val="000000" w:themeColor="text1"/>
          <w:sz w:val="16"/>
          <w:szCs w:val="16"/>
        </w:rPr>
        <w:fldChar w:fldCharType="separate"/>
      </w:r>
      <w:r w:rsidR="005B485D" w:rsidRPr="00507A31">
        <w:rPr>
          <w:rStyle w:val="a5"/>
          <w:color w:val="000000" w:themeColor="text1"/>
          <w:sz w:val="16"/>
          <w:szCs w:val="16"/>
        </w:rPr>
        <w:t>[2]</w:t>
      </w:r>
      <w:r w:rsidRPr="00507A31">
        <w:rPr>
          <w:color w:val="000000" w:themeColor="text1"/>
          <w:sz w:val="16"/>
          <w:szCs w:val="16"/>
        </w:rPr>
        <w:fldChar w:fldCharType="end"/>
      </w:r>
      <w:bookmarkEnd w:id="91"/>
      <w:r w:rsidR="005B485D" w:rsidRPr="00507A31">
        <w:rPr>
          <w:color w:val="000000" w:themeColor="text1"/>
          <w:sz w:val="16"/>
          <w:szCs w:val="16"/>
        </w:rPr>
        <w:t xml:space="preserve"> Постановление СНК СССР «О реорганизации Главного управления по делам литературы и издательств (Главлита)» было принято 5 октября 1930 г. (17260).</w:t>
      </w:r>
    </w:p>
    <w:p w14:paraId="4052A1F4" w14:textId="77777777" w:rsidR="005B485D" w:rsidRPr="00507A31" w:rsidRDefault="005B485D" w:rsidP="00507A31">
      <w:pPr>
        <w:jc w:val="both"/>
        <w:rPr>
          <w:color w:val="000000" w:themeColor="text1"/>
          <w:sz w:val="16"/>
          <w:szCs w:val="16"/>
        </w:rPr>
      </w:pPr>
    </w:p>
    <w:p w14:paraId="3D1BE096" w14:textId="77777777" w:rsidR="00C428B4" w:rsidRPr="00507A31" w:rsidRDefault="00C428B4"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3 сентября </w:t>
      </w:r>
      <w:r w:rsidRPr="00507A31">
        <w:rPr>
          <w:color w:val="000000" w:themeColor="text1"/>
          <w:sz w:val="16"/>
          <w:szCs w:val="16"/>
        </w:rPr>
        <w:t>в 1930 году в центральных газетах опубликовано сообщение о том, что с помощью ОГПУ раскрыта контрреволюционная "Трудовая Крестьянская партия" (ТКП), которую возглавлял известный ученый-аграрник Н.Д.Кондратьев, сообщниками которого были А.Г.Дояренко и А.В.Чаянов (14758).</w:t>
      </w:r>
    </w:p>
    <w:p w14:paraId="7183B740" w14:textId="77777777" w:rsidR="00C428B4" w:rsidRPr="00507A31" w:rsidRDefault="00C428B4" w:rsidP="00507A31">
      <w:pPr>
        <w:jc w:val="both"/>
        <w:rPr>
          <w:color w:val="000000" w:themeColor="text1"/>
          <w:sz w:val="16"/>
          <w:szCs w:val="16"/>
        </w:rPr>
      </w:pPr>
    </w:p>
    <w:p w14:paraId="651A0D81" w14:textId="77777777" w:rsidR="00C428B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385066D" w14:textId="77777777" w:rsidR="00C428B4" w:rsidRPr="00507A31" w:rsidRDefault="00C428B4" w:rsidP="00507A31">
      <w:pPr>
        <w:autoSpaceDE w:val="0"/>
        <w:autoSpaceDN w:val="0"/>
        <w:adjustRightInd w:val="0"/>
        <w:jc w:val="both"/>
        <w:rPr>
          <w:iCs/>
          <w:color w:val="000000" w:themeColor="text1"/>
          <w:sz w:val="16"/>
          <w:szCs w:val="16"/>
        </w:rPr>
      </w:pPr>
    </w:p>
    <w:p w14:paraId="1154410B" w14:textId="77777777" w:rsidR="00C428B4" w:rsidRPr="00507A31" w:rsidRDefault="00C428B4" w:rsidP="00507A31">
      <w:pPr>
        <w:jc w:val="both"/>
        <w:rPr>
          <w:rStyle w:val="ucoz-forum-post"/>
          <w:rFonts w:eastAsiaTheme="majorEastAsia"/>
          <w:color w:val="000000" w:themeColor="text1"/>
          <w:sz w:val="16"/>
          <w:szCs w:val="16"/>
        </w:rPr>
      </w:pPr>
      <w:r w:rsidRPr="00507A31">
        <w:rPr>
          <w:rStyle w:val="ucoz-forum-post"/>
          <w:rFonts w:eastAsiaTheme="majorEastAsia"/>
          <w:bCs/>
          <w:color w:val="000000" w:themeColor="text1"/>
          <w:sz w:val="16"/>
          <w:szCs w:val="16"/>
        </w:rPr>
        <w:t>3 сентября 1930 года</w:t>
      </w:r>
      <w:r w:rsidRPr="00507A31">
        <w:rPr>
          <w:rStyle w:val="ucoz-forum-post"/>
          <w:rFonts w:eastAsiaTheme="majorEastAsia"/>
          <w:color w:val="000000" w:themeColor="text1"/>
          <w:sz w:val="16"/>
          <w:szCs w:val="16"/>
        </w:rPr>
        <w:t xml:space="preserve"> начался перелет из Парижа в Нью-Йорк на "Бреге Супер Бидон" Br.19TR. Пилоты Д.Косте и М. Беллонте (14758).</w:t>
      </w:r>
    </w:p>
    <w:p w14:paraId="684FF45F" w14:textId="77777777" w:rsidR="00C428B4" w:rsidRPr="00507A31" w:rsidRDefault="00C428B4" w:rsidP="00507A31">
      <w:pPr>
        <w:jc w:val="both"/>
        <w:rPr>
          <w:rStyle w:val="ucoz-forum-post"/>
          <w:rFonts w:eastAsiaTheme="majorEastAsia"/>
          <w:color w:val="000000" w:themeColor="text1"/>
          <w:sz w:val="16"/>
          <w:szCs w:val="16"/>
        </w:rPr>
      </w:pPr>
    </w:p>
    <w:p w14:paraId="65664352" w14:textId="77777777" w:rsidR="00450D00" w:rsidRPr="00507A31" w:rsidRDefault="00450D00" w:rsidP="00507A31">
      <w:pPr>
        <w:jc w:val="both"/>
        <w:rPr>
          <w:color w:val="0070C0"/>
          <w:sz w:val="16"/>
          <w:szCs w:val="16"/>
        </w:rPr>
      </w:pPr>
      <w:r w:rsidRPr="00507A31">
        <w:rPr>
          <w:color w:val="0070C0"/>
          <w:sz w:val="16"/>
          <w:szCs w:val="16"/>
        </w:rPr>
        <w:t>3 сентября 1930 - Перелёт из Парижа в Нью-Йорк на Breguet Super Bidon б/н "?" (просто вопросительный знак), переделанного из пятого, Br.19TR. Пилоты Д.Косте и М. Беллонте. Маршрут составил 6200 км (22376).</w:t>
      </w:r>
    </w:p>
    <w:p w14:paraId="1F318605" w14:textId="77777777" w:rsidR="00450D00" w:rsidRPr="00507A31" w:rsidRDefault="00450D00" w:rsidP="00507A31">
      <w:pPr>
        <w:jc w:val="both"/>
        <w:rPr>
          <w:color w:val="0070C0"/>
          <w:sz w:val="16"/>
          <w:szCs w:val="16"/>
        </w:rPr>
      </w:pPr>
    </w:p>
    <w:p w14:paraId="4B5E71D6" w14:textId="77777777" w:rsidR="00450D00" w:rsidRPr="00507A31" w:rsidRDefault="00450D00" w:rsidP="00507A31">
      <w:pPr>
        <w:jc w:val="both"/>
        <w:rPr>
          <w:color w:val="0070C0"/>
          <w:sz w:val="16"/>
          <w:szCs w:val="16"/>
        </w:rPr>
      </w:pPr>
      <w:r w:rsidRPr="00507A31">
        <w:rPr>
          <w:color w:val="0070C0"/>
          <w:sz w:val="16"/>
          <w:szCs w:val="16"/>
        </w:rPr>
        <w:t>3 сентября 1930 в Чикаго завершается национальный воздушный тур Ford по надежности. Гарри Рассел занимает первое место, а Эдди Август Шнайдер финиширует на восьмом месте, но выигрывает трофей Великих озер (20805).</w:t>
      </w:r>
    </w:p>
    <w:p w14:paraId="0141E973" w14:textId="77777777" w:rsidR="00450D00" w:rsidRPr="00507A31" w:rsidRDefault="00450D00" w:rsidP="00507A31">
      <w:pPr>
        <w:jc w:val="both"/>
        <w:rPr>
          <w:color w:val="0070C0"/>
          <w:sz w:val="16"/>
          <w:szCs w:val="16"/>
        </w:rPr>
      </w:pPr>
    </w:p>
    <w:p w14:paraId="5E5ED54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727D1F0" w14:textId="77777777" w:rsidR="00537E5F" w:rsidRPr="00507A31" w:rsidRDefault="00537E5F" w:rsidP="00507A31">
      <w:pPr>
        <w:autoSpaceDE w:val="0"/>
        <w:autoSpaceDN w:val="0"/>
        <w:adjustRightInd w:val="0"/>
        <w:jc w:val="both"/>
        <w:rPr>
          <w:iCs/>
          <w:color w:val="000000" w:themeColor="text1"/>
          <w:sz w:val="16"/>
          <w:szCs w:val="16"/>
        </w:rPr>
      </w:pPr>
    </w:p>
    <w:p w14:paraId="4DADCE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4-18 сентября 1930 летчики Ф.А.Ингаунис, Ф.С.Широкий, А.Я.Шестель, И.Т.Спирин, А.И.Мезинов и журналист М.Е.Кольцов совершили перелет на трех Р-5 по маршруту Москва - Севастополь - Анкара - Тифлис - Термез - Кабул - Ташкент - Казалинск - Оренбург - Вольск - Москва (10500 за 61 ч 30 м ЛВ). Всех участников наградили ОКЗнамени (237,159).</w:t>
      </w:r>
    </w:p>
    <w:p w14:paraId="1FCFA827" w14:textId="77777777" w:rsidR="00537E5F" w:rsidRPr="00507A31" w:rsidRDefault="00537E5F" w:rsidP="00507A31">
      <w:pPr>
        <w:autoSpaceDE w:val="0"/>
        <w:autoSpaceDN w:val="0"/>
        <w:adjustRightInd w:val="0"/>
        <w:jc w:val="both"/>
        <w:rPr>
          <w:color w:val="000000" w:themeColor="text1"/>
          <w:sz w:val="16"/>
          <w:szCs w:val="16"/>
        </w:rPr>
      </w:pPr>
    </w:p>
    <w:p w14:paraId="5CDFAD65" w14:textId="77777777" w:rsidR="00371896" w:rsidRPr="00507A31" w:rsidRDefault="00371896" w:rsidP="00507A31">
      <w:pPr>
        <w:jc w:val="both"/>
        <w:rPr>
          <w:color w:val="0070C0"/>
          <w:sz w:val="16"/>
          <w:szCs w:val="16"/>
        </w:rPr>
      </w:pPr>
      <w:r w:rsidRPr="00507A31">
        <w:rPr>
          <w:color w:val="0070C0"/>
          <w:sz w:val="16"/>
          <w:szCs w:val="16"/>
        </w:rPr>
        <w:t>4 сентября 1930 г. звено Р-5 в составе трех самолетов (USSR-351, -352, -353) вылетело по маршруту Москва-Севастополь-Анкара-Тбилиси-Тегеран-Термез-Кабул-Таш- кент—Оренбург—Москва. Возглавил тройку Феликс Ингани- ус со штурманом Иваном Спириным. Два других самоле</w:t>
      </w:r>
      <w:r w:rsidRPr="00507A31">
        <w:rPr>
          <w:color w:val="0070C0"/>
          <w:sz w:val="16"/>
          <w:szCs w:val="16"/>
        </w:rPr>
        <w:softHyphen/>
        <w:t>та пилотировали летчики Федор Широкий и Яков Шестель. Вторыми членами этих экипажей являлись инженер Алек</w:t>
      </w:r>
      <w:r w:rsidRPr="00507A31">
        <w:rPr>
          <w:color w:val="0070C0"/>
          <w:sz w:val="16"/>
          <w:szCs w:val="16"/>
        </w:rPr>
        <w:softHyphen/>
        <w:t>сандр Мезинов и журналист Михаил Кольцов, известный тогда пропагандист авиаспорта. Целью перелета стала не только проверка всех возможностей Р-5, но и демон</w:t>
      </w:r>
      <w:r w:rsidRPr="00507A31">
        <w:rPr>
          <w:color w:val="0070C0"/>
          <w:sz w:val="16"/>
          <w:szCs w:val="16"/>
        </w:rPr>
        <w:softHyphen/>
        <w:t>страция достижений советской авиапромышленности воз</w:t>
      </w:r>
      <w:r w:rsidRPr="00507A31">
        <w:rPr>
          <w:color w:val="0070C0"/>
          <w:sz w:val="16"/>
          <w:szCs w:val="16"/>
        </w:rPr>
        <w:softHyphen/>
        <w:t>можным покупателям самолетов в Турции, Персии (Ира</w:t>
      </w:r>
      <w:r w:rsidRPr="00507A31">
        <w:rPr>
          <w:color w:val="0070C0"/>
          <w:sz w:val="16"/>
          <w:szCs w:val="16"/>
        </w:rPr>
        <w:softHyphen/>
        <w:t>не) и Афганистане (20362).</w:t>
      </w:r>
    </w:p>
    <w:p w14:paraId="0C0BE113" w14:textId="77777777" w:rsidR="00371896" w:rsidRPr="00507A31" w:rsidRDefault="00371896" w:rsidP="00507A31">
      <w:pPr>
        <w:shd w:val="clear" w:color="auto" w:fill="FFFFFF"/>
        <w:jc w:val="both"/>
        <w:rPr>
          <w:color w:val="0070C0"/>
          <w:sz w:val="16"/>
          <w:szCs w:val="16"/>
        </w:rPr>
      </w:pPr>
    </w:p>
    <w:p w14:paraId="3EC6402A"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4 сентября 1930 в 6 часов 20 минут на Центральном аэродроме имени М.В. Фрунзе начался перелет звена Р-5. Вылетели три самолета: «USSR-351» – командирский, под управлением Ф.А. Ингауниса и летчика-наблюдателя И.Т. Спирина, «USSR-352» – летчик Ф.С. Широкий и инженер А.И. Мезинов и самолет «USSR-353» – Я.А. Шестель и корреспондент газеты «Правда» М.Е. Кольцов.</w:t>
      </w:r>
    </w:p>
    <w:p w14:paraId="56984FD1"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На 1930 Комиссией по перелетам был заявлен лишь один серьезный проект – полет по столицам ближайших восточных стран – Анкара, Тегеран и Кабул. Новинкой было то, что перелет планировался не одиночный, а в составе звена новых самолетов Р-5.</w:t>
      </w:r>
    </w:p>
    <w:p w14:paraId="2C3AE67C"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Организуя данный перелет, Главная инспекция гражданского воздушного флота СССР, Центральный совет Осоавиахима и Управление военно-воздушных сил РККА основной политической целью считали демонстрацию народам и правительствам Турции, Персии и Афганистана дружеских отношений со стороны Советского Союза и технических достижений СССР.</w:t>
      </w:r>
    </w:p>
    <w:p w14:paraId="6AA8E98D"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Кроме того, необходимо было испытать в разнообразных условиях новые самолеты Р-5 и выполнить ознакомительные полеты на Кавказе и в Средней Азии, в связи с намеченным расширением сети воздушных сообщений и установлением в будущем регулярного воздушного сообщения между Москвой и политическими центрами стран Ближнего Востока.</w:t>
      </w:r>
    </w:p>
    <w:p w14:paraId="6D14C380"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Подготовка к перелету фактически началась с середины июля, когда было получено согласие правительств всех стран, над которыми должен был совершаться перелет.</w:t>
      </w:r>
    </w:p>
    <w:p w14:paraId="509CFA50"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Снаряжение экипажей, формальности по получению виз и паспортов были выполнены к намеченному сроку. Точно так же своевременно были организованы главные, основные и вспомогательные базы, пополненные горючим, маслами и запасными частями, как на территории СССР, так и за границей.</w:t>
      </w:r>
    </w:p>
    <w:p w14:paraId="313BAFCC"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Экипажи заблаговременно изучили маршрут, его особенности и условия полетов в горах, над морем и пустыней.</w:t>
      </w:r>
    </w:p>
    <w:p w14:paraId="59D3EBB1"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Сначала перелет был намечен на вторую половину августа, но вследствие стоявшей в Средней Азии жары и неполной готовности самолетов на Государственном авиазаводе № 1 решено было начать перелет в первых числах сентября.</w:t>
      </w:r>
    </w:p>
    <w:p w14:paraId="3205C330"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Для того чтобы всесторонне проверить эксплуатационные характеристики самолетов был выбран наиболее сложный и разнообразный маршрут, а именно: Москва – Севастополь – Анкара – Тифлис – Тегеран – Термез – Кабул – Ташкент – Оренбург – Москва.</w:t>
      </w:r>
    </w:p>
    <w:p w14:paraId="221DD2C5"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Топографические условия местности, климатические особенности и состояние атмосферы были различны на каждом этапе данного маршрута.</w:t>
      </w:r>
    </w:p>
    <w:p w14:paraId="6D2B8A3C"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Равнинные места сменялись горами: Сурамский перевал, Гиндукуш, Гиссарский, Зеравшанский и Туркестанский хребты. На участке Тегеран – Термез маршрут был проложен через пустыню Кара-Кум.</w:t>
      </w:r>
    </w:p>
    <w:p w14:paraId="3A630241"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Самым опасным участком маршрута являлось Черное море, которое нужно было пересечь на сухопутных машинах из Севастополя в Анкару и на участке Керасунд – Батум.</w:t>
      </w:r>
    </w:p>
    <w:p w14:paraId="035A452B"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Ввиду особо сложных атмосферных условий в районе Батум (на Сурамском перевале), а также в Термезском районе, являющемся преддверием Гиндукуша, в этих пунктах были организованы метеорологические посты главной аэрометеорологической станции УВВС РККА. Обслуживающий персонал этих постов был снабжен радиостанциями. Вспомогательные метеопосты помогали участникам перелета своевременно узнавать состояние погоды и способствовали поддержанию радиосвязи.</w:t>
      </w:r>
    </w:p>
    <w:p w14:paraId="391C3606"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4 сентября сильный порывистый боковой ветер, порывами до 25 м/сек, в начале пути, очень низкая облачность и беспрерывные дожди делали полет весьма тяжелым. В 13 часа 35 минут, преодолев 1280 км, самолеты благополучно опустились на Качинском аэродроме в Севастополе. Заправившись, полетели в Турцию, но вскоре пришлось возвращаться – показалось, что на одной из машин «сбоит» мотор. На вторую заправку готовой бензино-бензольной смеси в Каче не нашлось, а подготовка ее новой порции заняла более двух часов. Перелет в Анкару пришлось перенести на утро следующего дня.</w:t>
      </w:r>
    </w:p>
    <w:p w14:paraId="0A514EE3"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5 сентября, в 7 часов 16 минут, самолеты поднялись с Качинского аэродрома. Полет над Черным морем проходил на высоте от 400 до 100 метров (в конце маршрута). Ветер, дождь и низкая грозовая облачность прижимали самолеты к поверхности моря. Только над Турцией удалось подняться до 2500 метров. В 11 часов 40 минут звено Ингауниса приземлилось в Анкаре.</w:t>
      </w:r>
    </w:p>
    <w:p w14:paraId="6C4C119C"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6 сентября советские летчики совершили ряд полетов над Анкарой, демонстрируя фигуры высшего пилотажа и катая важных сановников. Турецкое авиационное общество устроило «чай» в честь советских летчиков.</w:t>
      </w:r>
    </w:p>
    <w:p w14:paraId="3D4C81E3"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8 сентября, в 5 часов 55 минут, самолеты стартовали с аэродрома в Анкаре. Плотным строем самолеты прошли над городом и легли на курс.</w:t>
      </w:r>
    </w:p>
    <w:p w14:paraId="3B1FB0D1"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Путь Анкара – Тифлис протяженностью 1050 километров был преодолен звеном за 4 часа 45 минут, со средней скоростью 182 км/час. На этот раз погода была вполне удовлетворительной, за исключением морского участка и некоторых этапов в горах, где была встречена низкая облачность. В 11 часов 55 минут экспедиция опустилась на тифлисском аэродроме.</w:t>
      </w:r>
    </w:p>
    <w:p w14:paraId="49CF031D"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9 сентября, в 13 часов 40 минут, звено Ингауниса, преодолев за 6 часов 15 минут 1090 км, благополучно прибыло в Тегеран.</w:t>
      </w:r>
    </w:p>
    <w:p w14:paraId="25B74A6D"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10 сентября в советском полпредстве в Тегеране состоялся большой прием, на котором присутствовали члены персидского правительства во главе с министром иностранных дел Форуги, начальник персидского генерального штаба, представители персидской авиации и министерства иностранных дел, афганский и турецкий послы.</w:t>
      </w:r>
    </w:p>
    <w:p w14:paraId="03AEF7BE"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Летчикам были преподнесены подарки – портсигары персидской работы. Для передачи совету гражданской авиации летчикам был вручен ковер, с изображением герба СССР.</w:t>
      </w:r>
    </w:p>
    <w:p w14:paraId="6A62D3B7"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Вечером в военном клубе персидским военным командованием в честь советских летчиков был дан банкет. С приветственной речью выступил начальник генерального штаба генерал Хан Нахчеваи, подчеркнувший героическую стойкость и выдержку советских летчиков в исключительно тяжелых условиях данного перелета.</w:t>
      </w:r>
    </w:p>
    <w:p w14:paraId="6C610D50"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11 сентября, в 14 часов 34 минуты по московскому времени, самолеты экспедиции прибыли из Тегерана в Термез.</w:t>
      </w:r>
    </w:p>
    <w:p w14:paraId="62489D3D"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lastRenderedPageBreak/>
        <w:t>13 сентября, в 4 часа 13 минут утра, самолеты восточного перелета вылетели из Термеза, а в 6 часов 40 минут прибыли в Кабул. На этом этапе советские самолеты преодолели горный хребет Гиндукуш, высотой до 5400 метров. Погода на этот раз благоприятствовала летчикам.</w:t>
      </w:r>
    </w:p>
    <w:p w14:paraId="16C50BA6"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14 сентября командование афганской армии устроило в честь советских летчиков прием, на котором присутствовали представители военного министерства, министерства иностранных дел, а также летчики-афганцы, окончившие советские авиационные школы. 15 сентября в министерстве иностранных дел также состоялся прием в честь советских летчиков. Вечером ответный банкет был устроен в советском полпредстве.</w:t>
      </w:r>
    </w:p>
    <w:p w14:paraId="205C94A8"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16 сентября, в 12 часов по московскому времени, авиаторы прибыли в Ташкент, преодолев сложнейший участок маршрута над Гиссарским, Зеравшанским и Туркестанским хребтами.</w:t>
      </w:r>
    </w:p>
    <w:p w14:paraId="1ABFB119"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17-го преодолели 1700 км от Ташкента до Оренбурга, с промежуточной посадкой в Казалинске.</w:t>
      </w:r>
    </w:p>
    <w:p w14:paraId="46F9CB2C"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На оренбургском аэродроме Ингаунису передали телеграмму, пришедшую из штаба перелета, в которой предписывалось: «к Москве подойти через Бронницы, над которыми следует быть ровно в 16 часов. Оттуда прямым курсом на Москву, где быть точно в 16 часов 30 минут».</w:t>
      </w:r>
    </w:p>
    <w:p w14:paraId="77F42E93"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18 сентября самолеты поднялись в воздух с оренбургского аэродрома в 11 часов. Над Бронницами звено Ингауниса встретила эскадрилья НИИ ВВС во главе с А.Р. Шараповым, который на своем истребителе приветствовал друзей-летчиков сложным пилотажным комплексом.</w:t>
      </w:r>
    </w:p>
    <w:p w14:paraId="6DABA434"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Ровно в 16 часов 30 минут звено приземлилось на Центральном аэродроме имени М.В. Фрунзе. Отважных летчиков встречали представители управления ВВС РККА, инспекции ГВФ СССР, Осоавиахима, Наркомата иностранных дел, турецкой, персидской и афганской миссий, тысячи москвичей.</w:t>
      </w:r>
    </w:p>
    <w:p w14:paraId="6CC740D2"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На митинге, состоявшемся на аэродроме, выступили заместитель начальника ВВС Я.И. Алкснис, начальник главного управления ГВФ СССР Я.Я. Анвельт, командующий войсками Московского военного округа А.И. Корк и посол Афганистана в СССР Мухаммед Азиз-хан.</w:t>
      </w:r>
    </w:p>
    <w:p w14:paraId="330EA1B7"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Расстояние 10500 км было пройдено со средней скоростью 171 км/час. В общей сложности экипажи пробыли в воздухе 61 час 30 минут. Всего было 8 летных дней, в каждый из которых, соответственно, экипажи летели в среднем 7 часов 30 минут. Остальное время ушло на отдых, приемы, чествования, банкеты и т. п.</w:t>
      </w:r>
    </w:p>
    <w:p w14:paraId="535EB2D6"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За время перелета серьезных ремонтов и замены каких-либо частей и деталей не потребовалось.</w:t>
      </w:r>
    </w:p>
    <w:p w14:paraId="72FF8EE9"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По результатам Большого восточного перелета Президиум Центрального Совета Осоавиахима постановил:</w:t>
      </w:r>
    </w:p>
    <w:p w14:paraId="511A724F"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1. Выдать участникам перелета денежные награды по 1000 рублей каждому;</w:t>
      </w:r>
    </w:p>
    <w:p w14:paraId="7EA02FAA"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2. Ингаунису, Спирину, Мезинову и Кольцову — выдать ценные подарки;</w:t>
      </w:r>
    </w:p>
    <w:p w14:paraId="62518D55"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3. Объявить благодарность рабочим и инженерно-техническому персоналу авиационного завода, на котором были построены самолеты, участвовавшие в перелете;</w:t>
      </w:r>
    </w:p>
    <w:p w14:paraId="6DA7EA64"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4. Просить ОГИЗ издать книгу, посвященную перелету;</w:t>
      </w:r>
    </w:p>
    <w:p w14:paraId="5DD7E979"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5. Возбудить перед Реввоенсоветом СССР ходатайство о присвоении корреспонденту «Правды» Кольцову звания летчика-наблюдателя.</w:t>
      </w:r>
    </w:p>
    <w:p w14:paraId="3F24BD92" w14:textId="77777777" w:rsidR="00371896" w:rsidRPr="00507A31" w:rsidRDefault="00371896" w:rsidP="00507A31">
      <w:pPr>
        <w:shd w:val="clear" w:color="auto" w:fill="FFFFFF"/>
        <w:jc w:val="both"/>
        <w:textAlignment w:val="baseline"/>
        <w:rPr>
          <w:color w:val="0070C0"/>
          <w:sz w:val="16"/>
          <w:szCs w:val="16"/>
        </w:rPr>
      </w:pPr>
      <w:r w:rsidRPr="00507A31">
        <w:rPr>
          <w:color w:val="0070C0"/>
          <w:sz w:val="16"/>
          <w:szCs w:val="16"/>
        </w:rPr>
        <w:t>22 сентября 1930 года приказом Реввоенсовета СССР № 37/2 было объявлено о награждении всех участников перелета орденом Красной Звезды (21249).</w:t>
      </w:r>
    </w:p>
    <w:p w14:paraId="7F89521E" w14:textId="77777777" w:rsidR="00371896" w:rsidRPr="00507A31" w:rsidRDefault="00371896" w:rsidP="00507A31">
      <w:pPr>
        <w:jc w:val="both"/>
        <w:rPr>
          <w:color w:val="0070C0"/>
          <w:sz w:val="16"/>
          <w:szCs w:val="16"/>
        </w:rPr>
      </w:pPr>
    </w:p>
    <w:p w14:paraId="7C72ADA4" w14:textId="77777777" w:rsidR="00C428B4" w:rsidRPr="00507A31" w:rsidRDefault="00C428B4"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4 сентября </w:t>
      </w:r>
      <w:r w:rsidRPr="00507A31">
        <w:rPr>
          <w:color w:val="000000" w:themeColor="text1"/>
          <w:sz w:val="16"/>
          <w:szCs w:val="16"/>
        </w:rPr>
        <w:t>в 1930 году начало большого восточного перелета через Чёрное море, пустыни Средней Азии, Кавказский и Гиссарский хребты и Гиндукуш (окончание 18.09.) на высоте 5500 м с целью проверки самолетов в продолжительном полете при резко меняющихся атмосферных условиях; 10500 км за 61 ч 30 мин. полетного времени со средней скоростью 171 км/ч, Ф.А.Ингаунис, Ф.С.Широкий, Я.А.Шестель, И.Т.Спирин, А.И.Мезинов на трех самолетах Р-5 (14759).</w:t>
      </w:r>
    </w:p>
    <w:p w14:paraId="567C65BC" w14:textId="77777777" w:rsidR="00C428B4" w:rsidRPr="00507A31" w:rsidRDefault="00C428B4" w:rsidP="00507A31">
      <w:pPr>
        <w:jc w:val="both"/>
        <w:rPr>
          <w:color w:val="000000" w:themeColor="text1"/>
          <w:sz w:val="16"/>
          <w:szCs w:val="16"/>
        </w:rPr>
      </w:pPr>
    </w:p>
    <w:p w14:paraId="7D57D2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сентября 1930 проинформировали Хейнкеля, что больше заказов не будет, так как посчитали, что HD.55 и катапульты были изготовлены некачественно (1083,7).</w:t>
      </w:r>
    </w:p>
    <w:p w14:paraId="2D359C0E" w14:textId="77777777" w:rsidR="00537E5F" w:rsidRPr="00507A31" w:rsidRDefault="00537E5F" w:rsidP="00507A31">
      <w:pPr>
        <w:autoSpaceDE w:val="0"/>
        <w:autoSpaceDN w:val="0"/>
        <w:adjustRightInd w:val="0"/>
        <w:jc w:val="both"/>
        <w:rPr>
          <w:color w:val="000000" w:themeColor="text1"/>
          <w:sz w:val="16"/>
          <w:szCs w:val="16"/>
        </w:rPr>
      </w:pPr>
    </w:p>
    <w:p w14:paraId="7CB092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сентября 1930 года звено Р-5 в составе трех самолетов (USSR-351,352,353) вылетело по маршруту Москва-Севастополь-Анкара-Тбилиси-Тегеран-Термез-Кабул-Ташкент-Оренбург-Москва. Возглавил тройку Феликс Инганиус с Иваном Спириным. Два других самолета пилотировали летчики Федор Широкий и Яков Шестель. Вторыми членами этих экипажей были инженер Александр Мезинов и журналист Михаил Кольцов, известный тогда пропагандист авиаспорта. Целью перелета стала пропаганда советской авиапромышленности возможным покупателям самолетов в Турции, Персии (Иране) и Афганистане.</w:t>
      </w:r>
    </w:p>
    <w:p w14:paraId="1CEAD1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Маршрут перелета проходил над малоизученными и малонаселенными районами. По мнению штурмана Спирина, мешало отсутствие полетных карт: «Целый ряд районов Турции, Персии, Афганистана и Малой Азии, можно прямо сказать, абсолютно не имеют ничего общего с их изображением на картах. Наиболее плохо дело обстояло с картами Турции». Особенностью пребывания в Афганистане стала бушевавшая эпидемия холеры и непрекращающаяся междоусобная война. «Нет покоя - стреляют в Кабуле. Ночью и днем... Горят на солнце яркие чалмы, смелые глаза, пестрые лохмотья драных плащей. Пуще глаз сверкают нарезы винтовок. Кто в Афганистане без ружья? Только дети да их матери. Всякий человек носит на ремне винтовку» - это впечатления Михаила Кольцова.</w:t>
      </w:r>
    </w:p>
    <w:p w14:paraId="7773D0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Большой восточный перелет протяженностью 10500 км прошел благополучно; 18 сентября вся тройка приземлилась в Москве. Участники перелета стали одними из первых кавалеров только что учрежденного ордена Красной Звезды (5016).</w:t>
      </w:r>
    </w:p>
    <w:p w14:paraId="31119BE8" w14:textId="77777777" w:rsidR="00537E5F" w:rsidRPr="00507A31" w:rsidRDefault="00537E5F" w:rsidP="00507A31">
      <w:pPr>
        <w:autoSpaceDE w:val="0"/>
        <w:autoSpaceDN w:val="0"/>
        <w:adjustRightInd w:val="0"/>
        <w:jc w:val="both"/>
        <w:rPr>
          <w:color w:val="000000" w:themeColor="text1"/>
          <w:sz w:val="16"/>
          <w:szCs w:val="16"/>
        </w:rPr>
      </w:pPr>
    </w:p>
    <w:p w14:paraId="0B96E7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сентября 1930 г. три Р-5 без вооружения участвова</w:t>
      </w:r>
      <w:r w:rsidRPr="00507A31">
        <w:rPr>
          <w:color w:val="000000" w:themeColor="text1"/>
          <w:sz w:val="16"/>
          <w:szCs w:val="16"/>
        </w:rPr>
        <w:softHyphen/>
        <w:t>ли в перелете по маршруту Москва—Севастополь—Анка</w:t>
      </w:r>
      <w:r w:rsidRPr="00507A31">
        <w:rPr>
          <w:color w:val="000000" w:themeColor="text1"/>
          <w:sz w:val="16"/>
          <w:szCs w:val="16"/>
        </w:rPr>
        <w:softHyphen/>
        <w:t>ра-Тбилиси-Тегеран-Термез-Кабул-Ташкент-Оренбург -Москва. Целью перелета являлась проверка возможно</w:t>
      </w:r>
      <w:r w:rsidRPr="00507A31">
        <w:rPr>
          <w:color w:val="000000" w:themeColor="text1"/>
          <w:sz w:val="16"/>
          <w:szCs w:val="16"/>
        </w:rPr>
        <w:softHyphen/>
        <w:t>стей машины и, одновременно, демонстрация ее пред</w:t>
      </w:r>
      <w:r w:rsidRPr="00507A31">
        <w:rPr>
          <w:color w:val="000000" w:themeColor="text1"/>
          <w:sz w:val="16"/>
          <w:szCs w:val="16"/>
        </w:rPr>
        <w:softHyphen/>
        <w:t>полагаемым покупателям, прежде всего - Турции (10667).</w:t>
      </w:r>
    </w:p>
    <w:p w14:paraId="372D9A48" w14:textId="77777777" w:rsidR="00537E5F" w:rsidRPr="00507A31" w:rsidRDefault="00537E5F" w:rsidP="00507A31">
      <w:pPr>
        <w:autoSpaceDE w:val="0"/>
        <w:autoSpaceDN w:val="0"/>
        <w:adjustRightInd w:val="0"/>
        <w:jc w:val="both"/>
        <w:rPr>
          <w:color w:val="000000" w:themeColor="text1"/>
          <w:sz w:val="16"/>
          <w:szCs w:val="16"/>
        </w:rPr>
      </w:pPr>
    </w:p>
    <w:p w14:paraId="6B8485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сентября 1930 состоялся вылет пяти Р-5 в Анкару. В тот же день самолеты сели в Каче. Заправившись, полетели в Турцию, но вернулись - показалось, что на одной машине сбоит мотор. На вторую заправку в Каче готовой бензин- бензольной смеси не нашлось; пришлось ждать специалиста, который ее приготовил. Баллоны для запуска двигателей пневмостартерами прислали из Москвы заблаговременно, но переходники оказались другого размера. Моторы раскручивали вручную.</w:t>
      </w:r>
    </w:p>
    <w:p w14:paraId="561404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5 июля 1930 завод № 1 предъявил НИИ ВВС первые три самолета спецзаказа (для перелета в Анкару), четвертый же обещали только через месяц.</w:t>
      </w:r>
    </w:p>
    <w:p w14:paraId="591010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Практически сразу после принятия Р-5 на вооружение началась подготовка к осуществлению перелета в Турцию, Афганистан и Иран с целью продемонстрировать новинку там. Финансирование брат на себя Осоавиахим. Для перелета выбрали маршрут Москва - Кача - Ангора (Анкара) - Тифлис (Тбилиси) - Тегеран - Термез - Кабул - Термез - Ташкент - Оренбург - Москва.</w:t>
      </w:r>
    </w:p>
    <w:p w14:paraId="585556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УВВС П.И. Баранов предлагал более амбициозный проект: слетать в Италию эскадрильей Р-5. Но набрать эскадрилью новеньких самолетов (а хотели показать именно новые) можно было не ранее октября-ноября. Решили, что "синица в руке" лучше.</w:t>
      </w:r>
    </w:p>
    <w:p w14:paraId="5CD853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Заводу №1 дали срочное задание подготовить пять машин. Но оказалось, что можно использовать только четыре последних самолета 1-й серии, так как 2-я задерживалась. Два биплана были уже готовы, а два заканчивали. УВВС отдало распоряжение их никуда не отправлять. Эти Р-5 стали дорабатывать. От прочих они отличались отсутствием вооружения, дополнительными масло- и бензобаками, увеличивающими продолжительность полета до 10 ч, измененным комплектом приборов и увеличенными водяными радиаторами. На самолеты нанесли вместо красных звезд фиктивные гражданские обозначения, так как в письмах, отправленных правительствам соответствующих стран, они фигурировали как "почтово-пассажирские".</w:t>
      </w:r>
    </w:p>
    <w:p w14:paraId="721828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Далее почти два месяца эти три машины доводили "до ума", выявляя течи бензобаков, "врущие" приборы, дефекты агрегатов. Дважды сменили моторы, подбирая наиболее мощные. Перелет собирались начать 15 августа, но лишь через десять дней получили сообщение, что Р-5 "в основном готовы".</w:t>
      </w:r>
    </w:p>
    <w:p w14:paraId="23C73D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Экипажи первоначально хотели целиком взять из 20-й бригады, где проводили войсковые испытания, но потом список изменили. В результате летчиками трех Р-5 стали Ф.А. Ингаунис (начальник ВВС Украинского военного округа). Ф.С. Широкий (командир отряда 24-й эскадрильи) и Я.А. Шестель (командир звена из 20-й эскадрильи). В перелете также участвовали штурман И.Т. Спирин (из НИИ ВВС), инженер 58-й эскадрильи А.И. Мезинов и известный журналист М.Е. Кольцов. Ради последнего выкинули помполита 20-й бригады Закса. Из-за Кольцова, возвращавшегося из отпуска с юга, даже отложили вылет. Затем помешали туман и дождь. С этого момента расписанный на бумаге график рухнул в "тартарары".</w:t>
      </w:r>
    </w:p>
    <w:p w14:paraId="2D7F9E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 Анкаре сотрудники советского посольства дважды собирали местных чиновников на торжественную встречу. Не дождавшись самолетов, на закате все разъезжались, а в посольстве остывали блюда роскошного банкета. Позже наркомат иностранных дел потребовал у военных "самого строгого расследования", мотивируя это дискредитацией советской власти.</w:t>
      </w:r>
    </w:p>
    <w:p w14:paraId="13FE08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Анкару в конце концов прилетели. Там летчиков задержал посол Суриц - 7 сентября туркам показали пилотаж и возили сановных пассажиров. В результате опоздали в Тифлис. Там заночевали, боясь лететь через горы ночью. Соответственно не вовремя прибыли и в Тегеран, где повторилась история с ожиданием прилета. Из Тегерана - в Термез, оттуда - в Кабул, но с полдороги летчики вернулись из-за неисправности мотора на одном Р-5. На следующий день в Кабул все-таки прилетели.</w:t>
      </w:r>
    </w:p>
    <w:p w14:paraId="13A976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результате перелет занял значительно больше времени, чем намечалось. В Москву вернулись 18 сентября.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672DC6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Всех участников перелета наградили орденами "Красная звезда" (12034). </w:t>
      </w:r>
    </w:p>
    <w:p w14:paraId="621DDBAE" w14:textId="77777777" w:rsidR="00537E5F" w:rsidRPr="00507A31" w:rsidRDefault="00537E5F" w:rsidP="00507A31">
      <w:pPr>
        <w:autoSpaceDE w:val="0"/>
        <w:autoSpaceDN w:val="0"/>
        <w:adjustRightInd w:val="0"/>
        <w:jc w:val="both"/>
        <w:rPr>
          <w:color w:val="000000" w:themeColor="text1"/>
          <w:sz w:val="16"/>
          <w:szCs w:val="16"/>
        </w:rPr>
      </w:pPr>
    </w:p>
    <w:p w14:paraId="2E817C47" w14:textId="77777777" w:rsidR="00E04143" w:rsidRPr="00507A31" w:rsidRDefault="00E04143" w:rsidP="00507A31">
      <w:pPr>
        <w:jc w:val="both"/>
        <w:rPr>
          <w:color w:val="000000" w:themeColor="text1"/>
          <w:sz w:val="16"/>
          <w:szCs w:val="16"/>
        </w:rPr>
      </w:pPr>
      <w:r w:rsidRPr="00507A31">
        <w:rPr>
          <w:color w:val="000000" w:themeColor="text1"/>
          <w:sz w:val="16"/>
          <w:szCs w:val="16"/>
        </w:rPr>
        <w:t>4 сентября 1930 г. три самолета Р-5 без вооружения начали перелет по маршруту Москва - Севастополь - Анкара - Тбилиси - Тегеран - Термез -Кабул - Ташкент - Оренбург - Москва. Помимо всего прочего целью перелета являлась демонстрация машины ее предполагаемым покупателям. При этом необходимо отметить, что поступление Р-5 в части ВВС РККА началось только что - в июне 1930 г. первые восемь машин оставили в 20-й эскадрилье после проведения войсковых испытаний.</w:t>
      </w:r>
    </w:p>
    <w:p w14:paraId="38897002" w14:textId="77777777" w:rsidR="00E04143" w:rsidRPr="00507A31" w:rsidRDefault="00E04143" w:rsidP="00507A31">
      <w:pPr>
        <w:jc w:val="both"/>
        <w:rPr>
          <w:color w:val="000000" w:themeColor="text1"/>
          <w:sz w:val="16"/>
          <w:szCs w:val="16"/>
        </w:rPr>
      </w:pPr>
      <w:r w:rsidRPr="00507A31">
        <w:rPr>
          <w:color w:val="000000" w:themeColor="text1"/>
          <w:sz w:val="16"/>
          <w:szCs w:val="16"/>
        </w:rPr>
        <w:lastRenderedPageBreak/>
        <w:t>В Тегеране советские самолеты осматривали члены правительства и военного руководства Ирана. Р-5 стали рассматриваться как возможные участники конкурса, объявленного на самолет-разведчик для иранских ВВС, который должен был проходить осенью 1930 г. На конкурс было отправлено три самолета, на этот раз - в комплектации разведчиков. На машинах стояли радиостанции, фотоаппараты, посадочные фары и полный комплект вооружения. Их пилотировали Лиховицкий - командир группы, Лозовский и Широкий. Советский представитель сообщал: «Офицеры, в особенности французской ориентации, стояли в недоумении в беспомощной растерянности и бессильной злобе, не веря своим собственным глазам, увидевшим большевистские красные звезды над феодальной Персией». На аэродроме Р-5 встретили командующий иранской военной авиацией майор Хосровани и ее немногочисленный личный состав. Также присутствовал военный атташе при полпредстве СССР в Персии Али Каримович Маликов (1897-1973), занимавший этот пост с ноября 1927 по январь 1931 г. (до этого - начальник Разведотдела штаба Кавказской Краснознаменной Армии).</w:t>
      </w:r>
    </w:p>
    <w:p w14:paraId="0B9AC9C2" w14:textId="77777777" w:rsidR="00E04143" w:rsidRPr="00507A31" w:rsidRDefault="00E04143" w:rsidP="00507A31">
      <w:pPr>
        <w:jc w:val="both"/>
        <w:rPr>
          <w:color w:val="000000" w:themeColor="text1"/>
          <w:sz w:val="16"/>
          <w:szCs w:val="16"/>
        </w:rPr>
      </w:pPr>
      <w:r w:rsidRPr="00507A31">
        <w:rPr>
          <w:color w:val="000000" w:themeColor="text1"/>
          <w:sz w:val="16"/>
          <w:szCs w:val="16"/>
        </w:rPr>
        <w:t>Конкурентом советской машины был французский разведчик и легкий бомбардировщик Потэ 25А2. Испытательные полеты начались в конце октября и продолжались до 24 ноября. К общему решению члены комиссии прийти не смогли - половина из них училась летному делу во Франции - половина в России, поэтому было объявлено о проведении весной 1931 г. второго тура конкурса, на который дополнительно пригласили представителей Великобритании, Италии и Чехословакии. 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с.г.».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ВМШ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4C3AC076" w14:textId="77777777" w:rsidR="00E04143" w:rsidRPr="00507A31" w:rsidRDefault="00E04143" w:rsidP="00507A31">
      <w:pPr>
        <w:jc w:val="both"/>
        <w:rPr>
          <w:color w:val="000000" w:themeColor="text1"/>
          <w:sz w:val="16"/>
          <w:szCs w:val="16"/>
        </w:rPr>
      </w:pPr>
    </w:p>
    <w:p w14:paraId="04F6566C" w14:textId="77777777" w:rsidR="00CF4CC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95E21C2" w14:textId="77777777" w:rsidR="00CF4CCE" w:rsidRPr="00507A31" w:rsidRDefault="00CF4CCE" w:rsidP="00507A31">
      <w:pPr>
        <w:autoSpaceDE w:val="0"/>
        <w:autoSpaceDN w:val="0"/>
        <w:adjustRightInd w:val="0"/>
        <w:jc w:val="both"/>
        <w:rPr>
          <w:iCs/>
          <w:color w:val="000000" w:themeColor="text1"/>
          <w:sz w:val="16"/>
          <w:szCs w:val="16"/>
        </w:rPr>
      </w:pPr>
    </w:p>
    <w:p w14:paraId="2B41F5FB" w14:textId="77777777" w:rsidR="00CF4CCE" w:rsidRPr="00507A31" w:rsidRDefault="00CF4CCE" w:rsidP="00507A31">
      <w:pPr>
        <w:jc w:val="both"/>
        <w:rPr>
          <w:color w:val="000000" w:themeColor="text1"/>
          <w:sz w:val="16"/>
          <w:szCs w:val="16"/>
        </w:rPr>
      </w:pPr>
      <w:r w:rsidRPr="00507A31">
        <w:rPr>
          <w:rStyle w:val="a7"/>
          <w:b w:val="0"/>
          <w:color w:val="000000" w:themeColor="text1"/>
          <w:sz w:val="16"/>
          <w:szCs w:val="16"/>
        </w:rPr>
        <w:t xml:space="preserve">4 сентября 1930 </w:t>
      </w:r>
      <w:r w:rsidRPr="00507A31">
        <w:rPr>
          <w:color w:val="000000" w:themeColor="text1"/>
          <w:sz w:val="16"/>
          <w:szCs w:val="16"/>
        </w:rPr>
        <w:t>СНК принял постановление «О реализации предложений и изобретений, поступающих в порядке обсуждения встречного промфинплана и всесоюзного сбора предложений и изобретений» (12265).</w:t>
      </w:r>
    </w:p>
    <w:p w14:paraId="1C86643E" w14:textId="77777777" w:rsidR="00CF4CCE" w:rsidRPr="00507A31" w:rsidRDefault="00CF4CCE" w:rsidP="00507A31">
      <w:pPr>
        <w:jc w:val="both"/>
        <w:rPr>
          <w:color w:val="000000" w:themeColor="text1"/>
          <w:sz w:val="16"/>
          <w:szCs w:val="16"/>
        </w:rPr>
      </w:pPr>
      <w:r w:rsidRPr="00507A31">
        <w:rPr>
          <w:color w:val="000000" w:themeColor="text1"/>
          <w:sz w:val="16"/>
          <w:szCs w:val="16"/>
        </w:rPr>
        <w:t> </w:t>
      </w:r>
    </w:p>
    <w:p w14:paraId="6AC071F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3E20472" w14:textId="77777777" w:rsidR="00537E5F" w:rsidRPr="00507A31" w:rsidRDefault="00537E5F" w:rsidP="00507A31">
      <w:pPr>
        <w:autoSpaceDE w:val="0"/>
        <w:autoSpaceDN w:val="0"/>
        <w:adjustRightInd w:val="0"/>
        <w:jc w:val="both"/>
        <w:rPr>
          <w:iCs/>
          <w:color w:val="000000" w:themeColor="text1"/>
          <w:sz w:val="16"/>
          <w:szCs w:val="16"/>
        </w:rPr>
      </w:pPr>
    </w:p>
    <w:p w14:paraId="40D18E30" w14:textId="77777777" w:rsidR="00CF4CCE" w:rsidRPr="00507A31" w:rsidRDefault="00CF4CCE" w:rsidP="00507A31">
      <w:pPr>
        <w:jc w:val="both"/>
        <w:rPr>
          <w:color w:val="000000" w:themeColor="text1"/>
          <w:sz w:val="16"/>
          <w:szCs w:val="16"/>
        </w:rPr>
      </w:pPr>
      <w:r w:rsidRPr="00507A31">
        <w:rPr>
          <w:color w:val="000000" w:themeColor="text1"/>
          <w:sz w:val="16"/>
          <w:szCs w:val="16"/>
        </w:rPr>
        <w:t>5 сентября 1930 г. представителями ЦКБ Всесоюзного авиаци</w:t>
      </w:r>
      <w:r w:rsidRPr="00507A31">
        <w:rPr>
          <w:color w:val="000000" w:themeColor="text1"/>
          <w:sz w:val="16"/>
          <w:szCs w:val="16"/>
        </w:rPr>
        <w:softHyphen/>
        <w:t>онного объединения (ВАО) Крейсоном и На дашкевичем была подписана объяснительная записка к проекту самолета ДИ-5. ДИ-5 имел второе название — двухместный, тяжелый, одномоторный истре</w:t>
      </w:r>
      <w:r w:rsidRPr="00507A31">
        <w:rPr>
          <w:color w:val="000000" w:themeColor="text1"/>
          <w:sz w:val="16"/>
          <w:szCs w:val="16"/>
        </w:rPr>
        <w:softHyphen/>
        <w:t>битель - «ТИ-ФЭД</w:t>
      </w:r>
      <w:r w:rsidRPr="00507A31">
        <w:rPr>
          <w:rStyle w:val="0pt"/>
          <w:rFonts w:ascii="Times New Roman" w:cs="Times New Roman"/>
          <w:color w:val="000000" w:themeColor="text1"/>
          <w:spacing w:val="0"/>
          <w:sz w:val="16"/>
          <w:szCs w:val="16"/>
        </w:rPr>
        <w:t xml:space="preserve"> III».</w:t>
      </w:r>
      <w:r w:rsidRPr="00507A31">
        <w:rPr>
          <w:color w:val="000000" w:themeColor="text1"/>
          <w:sz w:val="16"/>
          <w:szCs w:val="16"/>
        </w:rPr>
        <w:t xml:space="preserve"> Двигатель ФЭД (Фе</w:t>
      </w:r>
      <w:r w:rsidRPr="00507A31">
        <w:rPr>
          <w:color w:val="000000" w:themeColor="text1"/>
          <w:sz w:val="16"/>
          <w:szCs w:val="16"/>
        </w:rPr>
        <w:softHyphen/>
        <w:t>ликс Эдмундович Дзержинский) мощностью 1000-1200 л.с. поначалу предполагался для бомбардировщика ТБ-5, однако, с появлени</w:t>
      </w:r>
      <w:r w:rsidRPr="00507A31">
        <w:rPr>
          <w:color w:val="000000" w:themeColor="text1"/>
          <w:sz w:val="16"/>
          <w:szCs w:val="16"/>
        </w:rPr>
        <w:softHyphen/>
        <w:t>ем перспектив на его появление, проектиров</w:t>
      </w:r>
      <w:r w:rsidRPr="00507A31">
        <w:rPr>
          <w:color w:val="000000" w:themeColor="text1"/>
          <w:sz w:val="16"/>
          <w:szCs w:val="16"/>
        </w:rPr>
        <w:softHyphen/>
        <w:t>щики и заказчики начали предполагать его и на другие аппараты, в частности, на двухмест</w:t>
      </w:r>
      <w:r w:rsidRPr="00507A31">
        <w:rPr>
          <w:color w:val="000000" w:themeColor="text1"/>
          <w:sz w:val="16"/>
          <w:szCs w:val="16"/>
        </w:rPr>
        <w:softHyphen/>
        <w:t>ный истребитель.</w:t>
      </w:r>
    </w:p>
    <w:p w14:paraId="42489C2E" w14:textId="77777777" w:rsidR="00CF4CCE" w:rsidRPr="00507A31" w:rsidRDefault="00CF4CCE" w:rsidP="00507A31">
      <w:pPr>
        <w:pStyle w:val="59"/>
        <w:shd w:val="clear" w:color="auto" w:fill="auto"/>
        <w:spacing w:line="240" w:lineRule="auto"/>
        <w:jc w:val="both"/>
        <w:rPr>
          <w:color w:val="000000" w:themeColor="text1"/>
          <w:szCs w:val="16"/>
        </w:rPr>
      </w:pPr>
      <w:r w:rsidRPr="00507A31">
        <w:rPr>
          <w:rStyle w:val="50pt"/>
          <w:rFonts w:eastAsia="Arial Unicode MS"/>
          <w:color w:val="000000" w:themeColor="text1"/>
          <w:spacing w:val="0"/>
          <w:szCs w:val="16"/>
        </w:rPr>
        <w:t>Основные расчетные характеристики ДИ-5</w:t>
      </w:r>
    </w:p>
    <w:tbl>
      <w:tblPr>
        <w:tblW w:w="0" w:type="auto"/>
        <w:tblLayout w:type="fixed"/>
        <w:tblCellMar>
          <w:left w:w="10" w:type="dxa"/>
          <w:right w:w="10" w:type="dxa"/>
        </w:tblCellMar>
        <w:tblLook w:val="0000" w:firstRow="0" w:lastRow="0" w:firstColumn="0" w:lastColumn="0" w:noHBand="0" w:noVBand="0"/>
      </w:tblPr>
      <w:tblGrid>
        <w:gridCol w:w="3946"/>
        <w:gridCol w:w="1829"/>
      </w:tblGrid>
      <w:tr w:rsidR="00E371BA" w:rsidRPr="00507A31" w14:paraId="40D78C46" w14:textId="77777777" w:rsidTr="00032649">
        <w:trPr>
          <w:trHeight w:val="299"/>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769C7B42"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Площадь крыла (м-)</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C31780D"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50</w:t>
            </w:r>
          </w:p>
        </w:tc>
      </w:tr>
      <w:tr w:rsidR="00E371BA" w:rsidRPr="00507A31" w14:paraId="45E727C5"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282D3585"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Нагрузка на крыло (кг/м</w:t>
            </w:r>
            <w:r w:rsidRPr="00507A31">
              <w:rPr>
                <w:rFonts w:ascii="Times New Roman" w:hAnsi="Times New Roman" w:cs="Times New Roman"/>
                <w:b w:val="0"/>
                <w:color w:val="000000" w:themeColor="text1"/>
                <w:sz w:val="16"/>
                <w:szCs w:val="16"/>
                <w:vertAlign w:val="superscript"/>
              </w:rPr>
              <w:t>:</w:t>
            </w:r>
            <w:r w:rsidRPr="00507A31">
              <w:rPr>
                <w:rFonts w:ascii="Times New Roman" w:hAnsi="Times New Roman" w:cs="Times New Roman"/>
                <w:b w:val="0"/>
                <w:color w:val="000000" w:themeColor="text1"/>
                <w:sz w:val="16"/>
                <w:szCs w:val="16"/>
              </w:rPr>
              <w:t>)</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96AEBDB"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64</w:t>
            </w:r>
          </w:p>
        </w:tc>
      </w:tr>
      <w:tr w:rsidR="00E371BA" w:rsidRPr="00507A31" w14:paraId="1ABCEF14"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4FED8A08"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у земли (км/ч)</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6D52A19"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270-280</w:t>
            </w:r>
          </w:p>
        </w:tc>
      </w:tr>
      <w:tr w:rsidR="00E371BA" w:rsidRPr="00507A31" w14:paraId="5E9A28C1" w14:textId="77777777" w:rsidTr="00032649">
        <w:trPr>
          <w:trHeight w:val="288"/>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5D2C9E9E"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на 5000 м (км/ч)</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3CDF0C3"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240-250</w:t>
            </w:r>
          </w:p>
        </w:tc>
      </w:tr>
      <w:tr w:rsidR="00E371BA" w:rsidRPr="00507A31" w14:paraId="5B8E12D7"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5B1A4BA1"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Посадочная скорость (км/ч)</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AD43F53"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90-95</w:t>
            </w:r>
          </w:p>
        </w:tc>
      </w:tr>
      <w:tr w:rsidR="00E371BA" w:rsidRPr="00507A31" w14:paraId="316B35CC" w14:textId="77777777" w:rsidTr="00032649">
        <w:trPr>
          <w:trHeight w:val="281"/>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7475AB14"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5000 м (мин.)</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1310A76"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15-17</w:t>
            </w:r>
          </w:p>
        </w:tc>
      </w:tr>
      <w:tr w:rsidR="00E371BA" w:rsidRPr="00507A31" w14:paraId="1DEFD739"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78FBA048"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Потолок (м)</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840EDCE"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7000</w:t>
            </w:r>
          </w:p>
        </w:tc>
      </w:tr>
      <w:tr w:rsidR="00E371BA" w:rsidRPr="00507A31" w14:paraId="2951AAFC" w14:textId="77777777" w:rsidTr="00032649">
        <w:trPr>
          <w:trHeight w:val="288"/>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152061F4"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Полетный вес (кг)</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65A829E"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3200</w:t>
            </w:r>
          </w:p>
        </w:tc>
      </w:tr>
      <w:tr w:rsidR="00E371BA" w:rsidRPr="00507A31" w14:paraId="517B9D92"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3D19593E"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Полезная нагрузка (кг)</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081753F"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685</w:t>
            </w:r>
          </w:p>
        </w:tc>
      </w:tr>
      <w:tr w:rsidR="00E371BA" w:rsidRPr="00507A31" w14:paraId="576E8954" w14:textId="77777777" w:rsidTr="00032649">
        <w:trPr>
          <w:trHeight w:val="299"/>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0E58BFE9"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Запас горючего</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7DC70743" w14:textId="77777777" w:rsidR="00CF4CCE" w:rsidRPr="00507A31" w:rsidRDefault="00CF4CCE"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2,5-3,5 часа полета</w:t>
            </w:r>
          </w:p>
        </w:tc>
      </w:tr>
    </w:tbl>
    <w:p w14:paraId="46973C3F" w14:textId="77777777" w:rsidR="00CF4CCE" w:rsidRPr="00507A31" w:rsidRDefault="00CF4CCE" w:rsidP="00507A31">
      <w:pPr>
        <w:jc w:val="both"/>
        <w:rPr>
          <w:color w:val="000000" w:themeColor="text1"/>
          <w:sz w:val="16"/>
          <w:szCs w:val="16"/>
        </w:rPr>
      </w:pPr>
      <w:r w:rsidRPr="00507A31">
        <w:rPr>
          <w:color w:val="000000" w:themeColor="text1"/>
          <w:sz w:val="16"/>
          <w:szCs w:val="16"/>
        </w:rPr>
        <w:t>Назначение ДИ-5 определялось так: ак</w:t>
      </w:r>
      <w:r w:rsidRPr="00507A31">
        <w:rPr>
          <w:color w:val="000000" w:themeColor="text1"/>
          <w:sz w:val="16"/>
          <w:szCs w:val="16"/>
        </w:rPr>
        <w:softHyphen/>
        <w:t>тивный наступательный бой, охрана бомбар</w:t>
      </w:r>
      <w:r w:rsidRPr="00507A31">
        <w:rPr>
          <w:color w:val="000000" w:themeColor="text1"/>
          <w:sz w:val="16"/>
          <w:szCs w:val="16"/>
        </w:rPr>
        <w:softHyphen/>
        <w:t>дировщиков в зоне боевых операций, барра</w:t>
      </w:r>
      <w:r w:rsidRPr="00507A31">
        <w:rPr>
          <w:color w:val="000000" w:themeColor="text1"/>
          <w:sz w:val="16"/>
          <w:szCs w:val="16"/>
        </w:rPr>
        <w:softHyphen/>
        <w:t>жирование вдоль линии фронта на участках предполагаемого проникновения вражеской авиации. Открытие огня с больших дистан</w:t>
      </w:r>
      <w:r w:rsidRPr="00507A31">
        <w:rPr>
          <w:color w:val="000000" w:themeColor="text1"/>
          <w:sz w:val="16"/>
          <w:szCs w:val="16"/>
        </w:rPr>
        <w:softHyphen/>
        <w:t>ций порядка 1000-2000 м. Вооружение со</w:t>
      </w:r>
      <w:r w:rsidRPr="00507A31">
        <w:rPr>
          <w:color w:val="000000" w:themeColor="text1"/>
          <w:sz w:val="16"/>
          <w:szCs w:val="16"/>
        </w:rPr>
        <w:softHyphen/>
        <w:t>стояло из пяти пулеметов, один из которых тяжелый, предполагалась пушка. Уточнений калибра не было, однако прикидки скорее всего велись под динамореактивные пушки (ДРП), интерес к которым тогда у руковод</w:t>
      </w:r>
      <w:r w:rsidRPr="00507A31">
        <w:rPr>
          <w:color w:val="000000" w:themeColor="text1"/>
          <w:sz w:val="16"/>
          <w:szCs w:val="16"/>
        </w:rPr>
        <w:softHyphen/>
        <w:t>ства советских ВВС был огромным. Кроме этого, в перечне требований назывались вы</w:t>
      </w:r>
      <w:r w:rsidRPr="00507A31">
        <w:rPr>
          <w:color w:val="000000" w:themeColor="text1"/>
          <w:sz w:val="16"/>
          <w:szCs w:val="16"/>
        </w:rPr>
        <w:softHyphen/>
        <w:t>сокая маневренность и возможность пики</w:t>
      </w:r>
      <w:r w:rsidRPr="00507A31">
        <w:rPr>
          <w:color w:val="000000" w:themeColor="text1"/>
          <w:sz w:val="16"/>
          <w:szCs w:val="16"/>
        </w:rPr>
        <w:softHyphen/>
        <w:t>рования. Судя по всему, на этапе подготов</w:t>
      </w:r>
      <w:r w:rsidRPr="00507A31">
        <w:rPr>
          <w:color w:val="000000" w:themeColor="text1"/>
          <w:sz w:val="16"/>
          <w:szCs w:val="16"/>
        </w:rPr>
        <w:softHyphen/>
        <w:t>ки эскизного проекта формировались техни</w:t>
      </w:r>
      <w:r w:rsidRPr="00507A31">
        <w:rPr>
          <w:color w:val="000000" w:themeColor="text1"/>
          <w:sz w:val="16"/>
          <w:szCs w:val="16"/>
        </w:rPr>
        <w:softHyphen/>
        <w:t>ческие требования к самолету, поэтому обсу</w:t>
      </w:r>
      <w:r w:rsidRPr="00507A31">
        <w:rPr>
          <w:color w:val="000000" w:themeColor="text1"/>
          <w:sz w:val="16"/>
          <w:szCs w:val="16"/>
        </w:rPr>
        <w:softHyphen/>
        <w:t>ждался весь комплекс боевых и летных дос</w:t>
      </w:r>
      <w:r w:rsidRPr="00507A31">
        <w:rPr>
          <w:color w:val="000000" w:themeColor="text1"/>
          <w:sz w:val="16"/>
          <w:szCs w:val="16"/>
        </w:rPr>
        <w:softHyphen/>
        <w:t>тоинств, хотя бы и противоречивых. Очевид</w:t>
      </w:r>
      <w:r w:rsidRPr="00507A31">
        <w:rPr>
          <w:color w:val="000000" w:themeColor="text1"/>
          <w:sz w:val="16"/>
          <w:szCs w:val="16"/>
        </w:rPr>
        <w:softHyphen/>
        <w:t>но, поиски идеала завели создателей ДИ-5 в тупик, т.к. конструктивная разработка само</w:t>
      </w:r>
      <w:r w:rsidRPr="00507A31">
        <w:rPr>
          <w:color w:val="000000" w:themeColor="text1"/>
          <w:sz w:val="16"/>
          <w:szCs w:val="16"/>
        </w:rPr>
        <w:softHyphen/>
        <w:t>лета не велась (12295).</w:t>
      </w:r>
    </w:p>
    <w:p w14:paraId="32EF29D5" w14:textId="77777777" w:rsidR="00CF4CCE" w:rsidRPr="00507A31" w:rsidRDefault="00CF4CCE" w:rsidP="00507A31">
      <w:pPr>
        <w:jc w:val="both"/>
        <w:rPr>
          <w:color w:val="000000" w:themeColor="text1"/>
          <w:sz w:val="16"/>
          <w:szCs w:val="16"/>
        </w:rPr>
      </w:pPr>
    </w:p>
    <w:p w14:paraId="1C24AE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сентября 1930 Создан институт авиационных моторов (ЦИАМ) (274).</w:t>
      </w:r>
    </w:p>
    <w:p w14:paraId="463E3108" w14:textId="77777777" w:rsidR="00537E5F" w:rsidRPr="00507A31" w:rsidRDefault="00537E5F" w:rsidP="00507A31">
      <w:pPr>
        <w:autoSpaceDE w:val="0"/>
        <w:autoSpaceDN w:val="0"/>
        <w:adjustRightInd w:val="0"/>
        <w:jc w:val="both"/>
        <w:rPr>
          <w:color w:val="000000" w:themeColor="text1"/>
          <w:sz w:val="16"/>
          <w:szCs w:val="16"/>
        </w:rPr>
      </w:pPr>
    </w:p>
    <w:p w14:paraId="5AEBE0F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 сентября 1930 г. был создан институт авиационных моторов (ЦИАМ) (6395).</w:t>
      </w:r>
    </w:p>
    <w:p w14:paraId="262139A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3AD3C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сентября 1930 правительством рассматривался план развития ГВФ (1028,123).</w:t>
      </w:r>
    </w:p>
    <w:p w14:paraId="07F0C7CD" w14:textId="77777777" w:rsidR="00537E5F" w:rsidRPr="00507A31" w:rsidRDefault="00537E5F" w:rsidP="00507A31">
      <w:pPr>
        <w:autoSpaceDE w:val="0"/>
        <w:autoSpaceDN w:val="0"/>
        <w:adjustRightInd w:val="0"/>
        <w:jc w:val="both"/>
        <w:rPr>
          <w:color w:val="000000" w:themeColor="text1"/>
          <w:sz w:val="16"/>
          <w:szCs w:val="16"/>
        </w:rPr>
      </w:pPr>
    </w:p>
    <w:p w14:paraId="3B2DB00E" w14:textId="77777777" w:rsidR="00FE70BE" w:rsidRPr="00507A31" w:rsidRDefault="00FE70BE" w:rsidP="00507A31">
      <w:pPr>
        <w:jc w:val="both"/>
        <w:rPr>
          <w:color w:val="000000" w:themeColor="text1"/>
          <w:sz w:val="16"/>
          <w:szCs w:val="16"/>
        </w:rPr>
      </w:pPr>
      <w:r w:rsidRPr="00507A31">
        <w:rPr>
          <w:color w:val="000000" w:themeColor="text1"/>
          <w:sz w:val="16"/>
          <w:szCs w:val="16"/>
        </w:rPr>
        <w:t>5 сентября 1930</w:t>
      </w:r>
    </w:p>
    <w:p w14:paraId="62C7E5D8" w14:textId="77777777" w:rsidR="00FE70BE" w:rsidRPr="00507A31" w:rsidRDefault="00FE70BE" w:rsidP="00507A31">
      <w:pPr>
        <w:jc w:val="both"/>
        <w:rPr>
          <w:color w:val="000000" w:themeColor="text1"/>
          <w:sz w:val="16"/>
          <w:szCs w:val="16"/>
        </w:rPr>
      </w:pPr>
      <w:r w:rsidRPr="00507A31">
        <w:rPr>
          <w:color w:val="000000" w:themeColor="text1"/>
          <w:sz w:val="16"/>
          <w:szCs w:val="16"/>
        </w:rPr>
        <w:t>п. 20: О развитии гражданской авиации и формах ее связи с военной</w:t>
      </w:r>
    </w:p>
    <w:p w14:paraId="29C98ABA" w14:textId="77777777" w:rsidR="00FE70BE" w:rsidRPr="00507A31" w:rsidRDefault="00FE70BE" w:rsidP="00507A31">
      <w:pPr>
        <w:jc w:val="both"/>
        <w:rPr>
          <w:color w:val="000000" w:themeColor="text1"/>
          <w:sz w:val="16"/>
          <w:szCs w:val="16"/>
        </w:rPr>
      </w:pPr>
      <w:r w:rsidRPr="00507A31">
        <w:rPr>
          <w:color w:val="000000" w:themeColor="text1"/>
          <w:sz w:val="16"/>
          <w:szCs w:val="16"/>
        </w:rPr>
        <w:t>(ПБ от 20.VII.30 г., пр. № 2, п. 44).</w:t>
      </w:r>
    </w:p>
    <w:p w14:paraId="33DBD3B1" w14:textId="77777777" w:rsidR="00FE70BE" w:rsidRPr="00507A31" w:rsidRDefault="00FE70BE" w:rsidP="00507A31">
      <w:pPr>
        <w:jc w:val="both"/>
        <w:rPr>
          <w:color w:val="000000" w:themeColor="text1"/>
          <w:sz w:val="16"/>
          <w:szCs w:val="16"/>
        </w:rPr>
      </w:pPr>
      <w:r w:rsidRPr="00507A31">
        <w:rPr>
          <w:color w:val="000000" w:themeColor="text1"/>
          <w:sz w:val="16"/>
          <w:szCs w:val="16"/>
        </w:rPr>
        <w:t>(Рудзутак, Рухимович, Антипов, Мартинович, Анвельт, Королев).</w:t>
      </w:r>
    </w:p>
    <w:p w14:paraId="13550A24" w14:textId="77777777" w:rsidR="00FE70BE" w:rsidRPr="00507A31" w:rsidRDefault="00FE70BE" w:rsidP="00507A31">
      <w:pPr>
        <w:jc w:val="both"/>
        <w:rPr>
          <w:color w:val="000000" w:themeColor="text1"/>
          <w:sz w:val="16"/>
          <w:szCs w:val="16"/>
        </w:rPr>
      </w:pPr>
      <w:r w:rsidRPr="00507A31">
        <w:rPr>
          <w:color w:val="000000" w:themeColor="text1"/>
          <w:sz w:val="16"/>
          <w:szCs w:val="16"/>
        </w:rPr>
        <w:t>Принять проект предложений комиссии т. Рудзутака. с внесенными поправками и дополнениями (см. </w:t>
      </w:r>
      <w:hyperlink r:id="rId148" w:history="1">
        <w:r w:rsidRPr="00507A31">
          <w:rPr>
            <w:rStyle w:val="a5"/>
            <w:color w:val="000000" w:themeColor="text1"/>
            <w:sz w:val="16"/>
            <w:szCs w:val="16"/>
          </w:rPr>
          <w:t>приложение № 3</w:t>
        </w:r>
      </w:hyperlink>
      <w:r w:rsidRPr="00507A31">
        <w:rPr>
          <w:color w:val="000000" w:themeColor="text1"/>
          <w:sz w:val="16"/>
          <w:szCs w:val="16"/>
        </w:rPr>
        <w:t>).</w:t>
      </w:r>
    </w:p>
    <w:p w14:paraId="4072BC94" w14:textId="77777777" w:rsidR="00FE70BE" w:rsidRPr="00507A31" w:rsidRDefault="00FE70BE" w:rsidP="00507A31">
      <w:pPr>
        <w:jc w:val="both"/>
        <w:rPr>
          <w:color w:val="000000" w:themeColor="text1"/>
          <w:sz w:val="16"/>
          <w:szCs w:val="16"/>
        </w:rPr>
      </w:pPr>
      <w:r w:rsidRPr="00507A31">
        <w:rPr>
          <w:color w:val="000000" w:themeColor="text1"/>
          <w:sz w:val="16"/>
          <w:szCs w:val="16"/>
        </w:rPr>
        <w:t>Приложение № 3</w:t>
      </w:r>
    </w:p>
    <w:p w14:paraId="0CB947C5" w14:textId="77777777" w:rsidR="00FE70BE" w:rsidRPr="00507A31" w:rsidRDefault="00FE70BE" w:rsidP="00507A31">
      <w:pPr>
        <w:jc w:val="both"/>
        <w:rPr>
          <w:color w:val="000000" w:themeColor="text1"/>
          <w:sz w:val="16"/>
          <w:szCs w:val="16"/>
        </w:rPr>
      </w:pPr>
      <w:r w:rsidRPr="00507A31">
        <w:rPr>
          <w:color w:val="000000" w:themeColor="text1"/>
          <w:sz w:val="16"/>
          <w:szCs w:val="16"/>
        </w:rPr>
        <w:t>к п. 20 пр. ПБ № 6.</w:t>
      </w:r>
    </w:p>
    <w:p w14:paraId="3B03076A" w14:textId="77777777" w:rsidR="00FE70BE" w:rsidRPr="00507A31" w:rsidRDefault="00FE70BE" w:rsidP="00507A31">
      <w:pPr>
        <w:jc w:val="both"/>
        <w:rPr>
          <w:color w:val="000000" w:themeColor="text1"/>
          <w:sz w:val="16"/>
          <w:szCs w:val="16"/>
        </w:rPr>
      </w:pPr>
      <w:r w:rsidRPr="00507A31">
        <w:rPr>
          <w:color w:val="000000" w:themeColor="text1"/>
          <w:sz w:val="16"/>
          <w:szCs w:val="16"/>
        </w:rPr>
        <w:t>О развитии гражданской авиации и формах ее связи с военной.</w:t>
      </w:r>
    </w:p>
    <w:p w14:paraId="7E4045D8" w14:textId="77777777" w:rsidR="00FE70BE" w:rsidRPr="00507A31" w:rsidRDefault="00FE70BE" w:rsidP="00507A31">
      <w:pPr>
        <w:jc w:val="both"/>
        <w:rPr>
          <w:color w:val="000000" w:themeColor="text1"/>
          <w:sz w:val="16"/>
          <w:szCs w:val="16"/>
        </w:rPr>
      </w:pPr>
      <w:r w:rsidRPr="00507A31">
        <w:rPr>
          <w:color w:val="000000" w:themeColor="text1"/>
          <w:sz w:val="16"/>
          <w:szCs w:val="16"/>
        </w:rPr>
        <w:t>(Принято Политбюро ЦК ВКП(б) 6.IX.30 г.)</w:t>
      </w:r>
    </w:p>
    <w:p w14:paraId="02C47598" w14:textId="77777777" w:rsidR="00FE70BE" w:rsidRPr="00507A31" w:rsidRDefault="00FE70BE" w:rsidP="00507A31">
      <w:pPr>
        <w:jc w:val="both"/>
        <w:rPr>
          <w:color w:val="000000" w:themeColor="text1"/>
          <w:sz w:val="16"/>
          <w:szCs w:val="16"/>
        </w:rPr>
      </w:pPr>
      <w:r w:rsidRPr="00507A31">
        <w:rPr>
          <w:color w:val="000000" w:themeColor="text1"/>
          <w:sz w:val="16"/>
          <w:szCs w:val="16"/>
        </w:rPr>
        <w:t>1. Придавая чрезвычайно большое экономическое значение развитию гражданской авиации, считать необходимым, начиная с нового хозяйственного года, план развития гражданской авиации включать во все народно-хозяйственные планы, как составную часть их.</w:t>
      </w:r>
    </w:p>
    <w:p w14:paraId="45E00117" w14:textId="77777777" w:rsidR="00FE70BE" w:rsidRPr="00507A31" w:rsidRDefault="00FE70BE" w:rsidP="00507A31">
      <w:pPr>
        <w:jc w:val="both"/>
        <w:rPr>
          <w:color w:val="000000" w:themeColor="text1"/>
          <w:sz w:val="16"/>
          <w:szCs w:val="16"/>
        </w:rPr>
      </w:pPr>
      <w:r w:rsidRPr="00507A31">
        <w:rPr>
          <w:color w:val="000000" w:themeColor="text1"/>
          <w:sz w:val="16"/>
          <w:szCs w:val="16"/>
        </w:rPr>
        <w:t>2. Признать целесообразным предоставить право всем хозяйственным организациям самостоятельного приобретения аэропланов и их эксплуатации по технически установленным нормам и под контролем управления воздушным флотом.</w:t>
      </w:r>
    </w:p>
    <w:p w14:paraId="3D96A407" w14:textId="77777777" w:rsidR="00FE70BE" w:rsidRPr="00507A31" w:rsidRDefault="00FE70BE" w:rsidP="00507A31">
      <w:pPr>
        <w:jc w:val="both"/>
        <w:rPr>
          <w:color w:val="000000" w:themeColor="text1"/>
          <w:sz w:val="16"/>
          <w:szCs w:val="16"/>
        </w:rPr>
      </w:pPr>
      <w:r w:rsidRPr="00507A31">
        <w:rPr>
          <w:color w:val="000000" w:themeColor="text1"/>
          <w:sz w:val="16"/>
          <w:szCs w:val="16"/>
        </w:rPr>
        <w:t>3. а) Не приостанавливая постройки запроектированных ВАО новых заводов, приступить в новом хозяйственном году к постройке новых заводов с таким расчетом, чтобы получить общую мощность всех новых, как уже начатых, так и предполагаемых построить заводов для производства 3.000 самолетов тяжелого типа (свыше 1 тонны) 10.000 самолетов легкого типа (до 1 тонны), 50.000 моторов и необходимой для них аппаратуры и деталей, одновременно приступить к постройке верфи для дирижаблестроения с таким расчетом, чтобы к концу пятилетки выпустить не менее 10 дирижаблей. Для осуществления всей этой программы в течении 3</w:t>
      </w:r>
      <w:r w:rsidRPr="00507A31">
        <w:rPr>
          <w:color w:val="000000" w:themeColor="text1"/>
          <w:sz w:val="16"/>
          <w:szCs w:val="16"/>
        </w:rPr>
        <w:noBreakHyphen/>
        <w:t>х лет 1930</w:t>
      </w:r>
      <w:r w:rsidRPr="00507A31">
        <w:rPr>
          <w:color w:val="000000" w:themeColor="text1"/>
          <w:sz w:val="16"/>
          <w:szCs w:val="16"/>
        </w:rPr>
        <w:noBreakHyphen/>
        <w:t>1933 г. ориентировочно установить общую сумму расходов в 820 млн. руб. (в том числе на дирижаблестроение 100 млн. руб.) на капитальное строительство, создание кадров, аэродромов и т. д.</w:t>
      </w:r>
    </w:p>
    <w:p w14:paraId="571F74C3" w14:textId="77777777" w:rsidR="00FE70BE" w:rsidRPr="00507A31" w:rsidRDefault="00FE70BE" w:rsidP="00507A31">
      <w:pPr>
        <w:jc w:val="both"/>
        <w:rPr>
          <w:color w:val="000000" w:themeColor="text1"/>
          <w:sz w:val="16"/>
          <w:szCs w:val="16"/>
        </w:rPr>
      </w:pPr>
      <w:r w:rsidRPr="00507A31">
        <w:rPr>
          <w:color w:val="000000" w:themeColor="text1"/>
          <w:sz w:val="16"/>
          <w:szCs w:val="16"/>
        </w:rPr>
        <w:t>б) Вопрос о том, должны ли вновь строящиеся заводы рассматриваться как часть уже строящихся или намеченных к постройке авиазаводов, или эти заводы должны строиться совершенно самостоятельно — поручить СТО разрешить в 20</w:t>
      </w:r>
      <w:r w:rsidRPr="00507A31">
        <w:rPr>
          <w:color w:val="000000" w:themeColor="text1"/>
          <w:sz w:val="16"/>
          <w:szCs w:val="16"/>
        </w:rPr>
        <w:noBreakHyphen/>
        <w:t>дневный срок.</w:t>
      </w:r>
    </w:p>
    <w:p w14:paraId="6CCF3CF8" w14:textId="77777777" w:rsidR="00FE70BE" w:rsidRPr="00507A31" w:rsidRDefault="00FE70BE" w:rsidP="00507A31">
      <w:pPr>
        <w:jc w:val="both"/>
        <w:rPr>
          <w:color w:val="000000" w:themeColor="text1"/>
          <w:sz w:val="16"/>
          <w:szCs w:val="16"/>
        </w:rPr>
      </w:pPr>
      <w:r w:rsidRPr="00507A31">
        <w:rPr>
          <w:color w:val="000000" w:themeColor="text1"/>
          <w:sz w:val="16"/>
          <w:szCs w:val="16"/>
        </w:rPr>
        <w:lastRenderedPageBreak/>
        <w:t>в) Общая производительность всех заводов, включая и работающие старые заводы должна составить к концу пятилетия 17,5 тыс. штук легкого типа и 3,5 тыс. шт. тяжелого типа и 62 тыс. моторов.</w:t>
      </w:r>
    </w:p>
    <w:p w14:paraId="6562F804" w14:textId="77777777" w:rsidR="00FE70BE" w:rsidRPr="00507A31" w:rsidRDefault="00FE70BE" w:rsidP="00507A31">
      <w:pPr>
        <w:jc w:val="both"/>
        <w:rPr>
          <w:color w:val="000000" w:themeColor="text1"/>
          <w:sz w:val="16"/>
          <w:szCs w:val="16"/>
        </w:rPr>
      </w:pPr>
      <w:r w:rsidRPr="00507A31">
        <w:rPr>
          <w:color w:val="000000" w:themeColor="text1"/>
          <w:sz w:val="16"/>
          <w:szCs w:val="16"/>
        </w:rPr>
        <w:t>4. Утвердить производственную программу гражданского авиастроения на 30/31 г. и 31/32 г. с изготовлением соответствующего количества моторов в следующих размерах:</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5444"/>
        <w:gridCol w:w="2834"/>
        <w:gridCol w:w="3044"/>
      </w:tblGrid>
      <w:tr w:rsidR="00E371BA" w:rsidRPr="00507A31" w14:paraId="65C3F0A3"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D1B075" w14:textId="77777777" w:rsidR="00FE70BE" w:rsidRPr="00507A31" w:rsidRDefault="00FE70BE" w:rsidP="00507A31">
            <w:pPr>
              <w:jc w:val="both"/>
              <w:rPr>
                <w:color w:val="000000" w:themeColor="text1"/>
                <w:sz w:val="16"/>
                <w:szCs w:val="16"/>
              </w:rPr>
            </w:pPr>
            <w:r w:rsidRPr="00507A31">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6B4DC6" w14:textId="77777777" w:rsidR="00FE70BE" w:rsidRPr="00507A31" w:rsidRDefault="00FE70BE" w:rsidP="00507A31">
            <w:pPr>
              <w:jc w:val="both"/>
              <w:rPr>
                <w:color w:val="000000" w:themeColor="text1"/>
                <w:sz w:val="16"/>
                <w:szCs w:val="16"/>
              </w:rPr>
            </w:pPr>
            <w:r w:rsidRPr="00507A31">
              <w:rPr>
                <w:color w:val="000000" w:themeColor="text1"/>
                <w:sz w:val="16"/>
                <w:szCs w:val="16"/>
              </w:rPr>
              <w:t>1930/31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937387" w14:textId="77777777" w:rsidR="00FE70BE" w:rsidRPr="00507A31" w:rsidRDefault="00FE70BE" w:rsidP="00507A31">
            <w:pPr>
              <w:jc w:val="both"/>
              <w:rPr>
                <w:color w:val="000000" w:themeColor="text1"/>
                <w:sz w:val="16"/>
                <w:szCs w:val="16"/>
              </w:rPr>
            </w:pPr>
            <w:r w:rsidRPr="00507A31">
              <w:rPr>
                <w:color w:val="000000" w:themeColor="text1"/>
                <w:sz w:val="16"/>
                <w:szCs w:val="16"/>
              </w:rPr>
              <w:t>1931/32 г.</w:t>
            </w:r>
          </w:p>
        </w:tc>
      </w:tr>
      <w:tr w:rsidR="00E371BA" w:rsidRPr="00507A31" w14:paraId="4BFBC96B"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F37AF4" w14:textId="77777777" w:rsidR="00FE70BE" w:rsidRPr="00507A31" w:rsidRDefault="00FE70BE" w:rsidP="00507A31">
            <w:pPr>
              <w:jc w:val="both"/>
              <w:rPr>
                <w:color w:val="000000" w:themeColor="text1"/>
                <w:sz w:val="16"/>
                <w:szCs w:val="16"/>
              </w:rPr>
            </w:pPr>
            <w:r w:rsidRPr="00507A31">
              <w:rPr>
                <w:color w:val="000000" w:themeColor="text1"/>
                <w:sz w:val="16"/>
                <w:szCs w:val="16"/>
              </w:rPr>
              <w:t>Тяжелые самолеты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C09F09" w14:textId="77777777" w:rsidR="00FE70BE" w:rsidRPr="00507A31" w:rsidRDefault="00FE70BE" w:rsidP="00507A31">
            <w:pPr>
              <w:jc w:val="both"/>
              <w:rPr>
                <w:color w:val="000000" w:themeColor="text1"/>
                <w:sz w:val="16"/>
                <w:szCs w:val="16"/>
              </w:rPr>
            </w:pPr>
            <w:r w:rsidRPr="00507A31">
              <w:rPr>
                <w:color w:val="000000" w:themeColor="text1"/>
                <w:sz w:val="16"/>
                <w:szCs w:val="16"/>
              </w:rPr>
              <w:t>400 шт.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A1DF2E" w14:textId="77777777" w:rsidR="00FE70BE" w:rsidRPr="00507A31" w:rsidRDefault="00FE70BE" w:rsidP="00507A31">
            <w:pPr>
              <w:jc w:val="both"/>
              <w:rPr>
                <w:color w:val="000000" w:themeColor="text1"/>
                <w:sz w:val="16"/>
                <w:szCs w:val="16"/>
              </w:rPr>
            </w:pPr>
            <w:r w:rsidRPr="00507A31">
              <w:rPr>
                <w:color w:val="000000" w:themeColor="text1"/>
                <w:sz w:val="16"/>
                <w:szCs w:val="16"/>
              </w:rPr>
              <w:t>1.000 шт.</w:t>
            </w:r>
          </w:p>
        </w:tc>
      </w:tr>
      <w:tr w:rsidR="00E371BA" w:rsidRPr="00507A31" w14:paraId="5BD5638E"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6AE251" w14:textId="77777777" w:rsidR="00FE70BE" w:rsidRPr="00507A31" w:rsidRDefault="00FE70BE" w:rsidP="00507A31">
            <w:pPr>
              <w:jc w:val="both"/>
              <w:rPr>
                <w:color w:val="000000" w:themeColor="text1"/>
                <w:sz w:val="16"/>
                <w:szCs w:val="16"/>
              </w:rPr>
            </w:pPr>
            <w:r w:rsidRPr="00507A31">
              <w:rPr>
                <w:color w:val="000000" w:themeColor="text1"/>
                <w:sz w:val="16"/>
                <w:szCs w:val="16"/>
              </w:rPr>
              <w:t>Их тоннаж</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790C1A" w14:textId="77777777" w:rsidR="00FE70BE" w:rsidRPr="00507A31" w:rsidRDefault="00FE70BE" w:rsidP="00507A31">
            <w:pPr>
              <w:jc w:val="both"/>
              <w:rPr>
                <w:color w:val="000000" w:themeColor="text1"/>
                <w:sz w:val="16"/>
                <w:szCs w:val="16"/>
              </w:rPr>
            </w:pPr>
            <w:r w:rsidRPr="00507A31">
              <w:rPr>
                <w:color w:val="000000" w:themeColor="text1"/>
                <w:sz w:val="16"/>
                <w:szCs w:val="16"/>
              </w:rPr>
              <w:t>400 тонн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D210A4" w14:textId="77777777" w:rsidR="00FE70BE" w:rsidRPr="00507A31" w:rsidRDefault="00FE70BE" w:rsidP="00507A31">
            <w:pPr>
              <w:jc w:val="both"/>
              <w:rPr>
                <w:color w:val="000000" w:themeColor="text1"/>
                <w:sz w:val="16"/>
                <w:szCs w:val="16"/>
              </w:rPr>
            </w:pPr>
            <w:r w:rsidRPr="00507A31">
              <w:rPr>
                <w:color w:val="000000" w:themeColor="text1"/>
                <w:sz w:val="16"/>
                <w:szCs w:val="16"/>
              </w:rPr>
              <w:t>1.500 тонн</w:t>
            </w:r>
          </w:p>
        </w:tc>
      </w:tr>
      <w:tr w:rsidR="00E371BA" w:rsidRPr="00507A31" w14:paraId="7DCDB6DE"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5921B8" w14:textId="77777777" w:rsidR="00FE70BE" w:rsidRPr="00507A31" w:rsidRDefault="00FE70BE" w:rsidP="00507A31">
            <w:pPr>
              <w:jc w:val="both"/>
              <w:rPr>
                <w:color w:val="000000" w:themeColor="text1"/>
                <w:sz w:val="16"/>
                <w:szCs w:val="16"/>
              </w:rPr>
            </w:pPr>
            <w:r w:rsidRPr="00507A31">
              <w:rPr>
                <w:color w:val="000000" w:themeColor="text1"/>
                <w:sz w:val="16"/>
                <w:szCs w:val="16"/>
              </w:rPr>
              <w:t>Легкие самолеты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6F4F3D" w14:textId="77777777" w:rsidR="00FE70BE" w:rsidRPr="00507A31" w:rsidRDefault="00FE70BE" w:rsidP="00507A31">
            <w:pPr>
              <w:jc w:val="both"/>
              <w:rPr>
                <w:color w:val="000000" w:themeColor="text1"/>
                <w:sz w:val="16"/>
                <w:szCs w:val="16"/>
              </w:rPr>
            </w:pPr>
            <w:r w:rsidRPr="00507A31">
              <w:rPr>
                <w:color w:val="000000" w:themeColor="text1"/>
                <w:sz w:val="16"/>
                <w:szCs w:val="16"/>
              </w:rPr>
              <w:t>600 шт.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3F7DE5" w14:textId="77777777" w:rsidR="00FE70BE" w:rsidRPr="00507A31" w:rsidRDefault="00FE70BE" w:rsidP="00507A31">
            <w:pPr>
              <w:jc w:val="both"/>
              <w:rPr>
                <w:color w:val="000000" w:themeColor="text1"/>
                <w:sz w:val="16"/>
                <w:szCs w:val="16"/>
              </w:rPr>
            </w:pPr>
            <w:r w:rsidRPr="00507A31">
              <w:rPr>
                <w:color w:val="000000" w:themeColor="text1"/>
                <w:sz w:val="16"/>
                <w:szCs w:val="16"/>
              </w:rPr>
              <w:t>1.500 шт.</w:t>
            </w:r>
          </w:p>
        </w:tc>
      </w:tr>
      <w:tr w:rsidR="00E371BA" w:rsidRPr="00507A31" w14:paraId="4926FDB4"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ED6C71" w14:textId="77777777" w:rsidR="00FE70BE" w:rsidRPr="00507A31" w:rsidRDefault="00FE70BE" w:rsidP="00507A31">
            <w:pPr>
              <w:jc w:val="both"/>
              <w:rPr>
                <w:color w:val="000000" w:themeColor="text1"/>
                <w:sz w:val="16"/>
                <w:szCs w:val="16"/>
              </w:rPr>
            </w:pPr>
            <w:r w:rsidRPr="00507A31">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660663" w14:textId="77777777" w:rsidR="00FE70BE" w:rsidRPr="00507A31" w:rsidRDefault="00FE70BE" w:rsidP="00507A31">
            <w:pPr>
              <w:jc w:val="both"/>
              <w:rPr>
                <w:color w:val="000000" w:themeColor="text1"/>
                <w:sz w:val="16"/>
                <w:szCs w:val="16"/>
              </w:rPr>
            </w:pPr>
            <w:r w:rsidRPr="00507A31">
              <w:rPr>
                <w:color w:val="000000" w:themeColor="text1"/>
                <w:sz w:val="16"/>
                <w:szCs w:val="16"/>
              </w:rPr>
              <w:t>1.000 шт.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0FEDEA" w14:textId="77777777" w:rsidR="00FE70BE" w:rsidRPr="00507A31" w:rsidRDefault="00FE70BE" w:rsidP="00507A31">
            <w:pPr>
              <w:jc w:val="both"/>
              <w:rPr>
                <w:color w:val="000000" w:themeColor="text1"/>
                <w:sz w:val="16"/>
                <w:szCs w:val="16"/>
              </w:rPr>
            </w:pPr>
            <w:r w:rsidRPr="00507A31">
              <w:rPr>
                <w:color w:val="000000" w:themeColor="text1"/>
                <w:sz w:val="16"/>
                <w:szCs w:val="16"/>
              </w:rPr>
              <w:t>2.500 шт.</w:t>
            </w:r>
          </w:p>
        </w:tc>
      </w:tr>
    </w:tbl>
    <w:p w14:paraId="77DFB81B" w14:textId="77777777" w:rsidR="00FE70BE" w:rsidRPr="00507A31" w:rsidRDefault="00FE70BE" w:rsidP="00507A31">
      <w:pPr>
        <w:jc w:val="both"/>
        <w:rPr>
          <w:color w:val="000000" w:themeColor="text1"/>
          <w:sz w:val="16"/>
          <w:szCs w:val="16"/>
        </w:rPr>
      </w:pPr>
      <w:r w:rsidRPr="00507A31">
        <w:rPr>
          <w:color w:val="000000" w:themeColor="text1"/>
          <w:sz w:val="16"/>
          <w:szCs w:val="16"/>
        </w:rPr>
        <w:t>5. Признать необходимым зарезервировать в бюджете 1930/31 г. дополнительно сверх нормальных ассигнований, необходимых для обеспечения программы авиастроения военведа, ориентировочно 130.000.000 рублей, из коих на расширение существующих заводов и проектировку новых заводов 50 млн. руб., на аэродромы 15 млн. руб., на школы и подготовку кадров — 15 млн. руб. и на оплату самолетов — 50 млн. рублей. Поручить СТО в десятидневный срок рассмотреть, какая сумма ассигнуется по бюджету и какая по сметам хозучреждений и ведомств.</w:t>
      </w:r>
    </w:p>
    <w:p w14:paraId="5CA6DC38" w14:textId="77777777" w:rsidR="00FE70BE" w:rsidRPr="00507A31" w:rsidRDefault="00FE70BE" w:rsidP="00507A31">
      <w:pPr>
        <w:jc w:val="both"/>
        <w:rPr>
          <w:color w:val="000000" w:themeColor="text1"/>
          <w:sz w:val="16"/>
          <w:szCs w:val="16"/>
        </w:rPr>
      </w:pPr>
      <w:r w:rsidRPr="00507A31">
        <w:rPr>
          <w:color w:val="000000" w:themeColor="text1"/>
          <w:sz w:val="16"/>
          <w:szCs w:val="16"/>
        </w:rPr>
        <w:t>6. Поручить валютной комиссии установить необходимую сумму валютных расходов для выполнения программы 30/31 г.</w:t>
      </w:r>
    </w:p>
    <w:p w14:paraId="085B264A" w14:textId="77777777" w:rsidR="00FE70BE" w:rsidRPr="00507A31" w:rsidRDefault="00FE70BE" w:rsidP="00507A31">
      <w:pPr>
        <w:jc w:val="both"/>
        <w:rPr>
          <w:color w:val="000000" w:themeColor="text1"/>
          <w:sz w:val="16"/>
          <w:szCs w:val="16"/>
        </w:rPr>
      </w:pPr>
      <w:r w:rsidRPr="00507A31">
        <w:rPr>
          <w:color w:val="000000" w:themeColor="text1"/>
          <w:sz w:val="16"/>
          <w:szCs w:val="16"/>
        </w:rPr>
        <w:t>7. Обязать ВСНХ СССР исходя из указанного развития гражданской авиации, пересмотреть в сторону увеличения пропускную способность тех отраслей промышленности, которые являются поставщиками материалов и полуфабрикатов для авиационной промышленности с тем, чтобы полностью было обеспечено выполнение этого плана.</w:t>
      </w:r>
    </w:p>
    <w:p w14:paraId="2BD8A579" w14:textId="77777777" w:rsidR="00FE70BE" w:rsidRPr="00507A31" w:rsidRDefault="00FE70BE" w:rsidP="00507A31">
      <w:pPr>
        <w:jc w:val="both"/>
        <w:rPr>
          <w:color w:val="000000" w:themeColor="text1"/>
          <w:sz w:val="16"/>
          <w:szCs w:val="16"/>
        </w:rPr>
      </w:pPr>
      <w:r w:rsidRPr="00507A31">
        <w:rPr>
          <w:color w:val="000000" w:themeColor="text1"/>
          <w:sz w:val="16"/>
          <w:szCs w:val="16"/>
        </w:rPr>
        <w:t>8. Обязать Наркомвоенмор в 30/31 г. подготовить для гражданской авиации 750 пилотов и 750 техников.</w:t>
      </w:r>
    </w:p>
    <w:p w14:paraId="3150DC77" w14:textId="77777777" w:rsidR="00FE70BE" w:rsidRPr="00507A31" w:rsidRDefault="00FE70BE" w:rsidP="00507A31">
      <w:pPr>
        <w:jc w:val="both"/>
        <w:rPr>
          <w:color w:val="000000" w:themeColor="text1"/>
          <w:sz w:val="16"/>
          <w:szCs w:val="16"/>
        </w:rPr>
      </w:pPr>
      <w:r w:rsidRPr="00507A31">
        <w:rPr>
          <w:color w:val="000000" w:themeColor="text1"/>
          <w:sz w:val="16"/>
          <w:szCs w:val="16"/>
        </w:rPr>
        <w:t>9. Строительство новых заводов возложить на ВАО. Поручить НКВоенмору привлечь иностранную техническую помощь для проектирования новых самолетов большой грузоподъемности и дирижаблей, а также для проектирования и постройки заводов и верфи.</w:t>
      </w:r>
    </w:p>
    <w:p w14:paraId="06267BFA" w14:textId="77777777" w:rsidR="00FE70BE" w:rsidRPr="00507A31" w:rsidRDefault="00FE70BE" w:rsidP="00507A31">
      <w:pPr>
        <w:jc w:val="both"/>
        <w:rPr>
          <w:color w:val="000000" w:themeColor="text1"/>
          <w:sz w:val="16"/>
          <w:szCs w:val="16"/>
        </w:rPr>
      </w:pPr>
      <w:r w:rsidRPr="00507A31">
        <w:rPr>
          <w:color w:val="000000" w:themeColor="text1"/>
          <w:sz w:val="16"/>
          <w:szCs w:val="16"/>
        </w:rPr>
        <w:t>10. Считать необходимым создать при СТО хозрасчетное соединение гражданской авиации и при нем совет в составе представителей НКВоенмора, ВСНХ, НКПочтеля, НКПС, Наркомторга и НКЗема.</w:t>
      </w:r>
    </w:p>
    <w:p w14:paraId="0D6EE8E2" w14:textId="77777777" w:rsidR="00FE70BE" w:rsidRPr="00507A31" w:rsidRDefault="00FE70BE" w:rsidP="00507A31">
      <w:pPr>
        <w:jc w:val="both"/>
        <w:rPr>
          <w:color w:val="000000" w:themeColor="text1"/>
          <w:sz w:val="16"/>
          <w:szCs w:val="16"/>
        </w:rPr>
      </w:pPr>
      <w:r w:rsidRPr="00507A31">
        <w:rPr>
          <w:color w:val="000000" w:themeColor="text1"/>
          <w:sz w:val="16"/>
          <w:szCs w:val="16"/>
        </w:rPr>
        <w:t>11. Поручить Секретариату ЦК наметить руководящий состав объединения и внести на утверждение Политбюро.</w:t>
      </w:r>
    </w:p>
    <w:p w14:paraId="72E8EF61" w14:textId="77777777" w:rsidR="00FE70BE" w:rsidRPr="00507A31" w:rsidRDefault="00FE70BE" w:rsidP="00507A31">
      <w:pPr>
        <w:jc w:val="both"/>
        <w:rPr>
          <w:color w:val="000000" w:themeColor="text1"/>
          <w:sz w:val="16"/>
          <w:szCs w:val="16"/>
        </w:rPr>
      </w:pPr>
      <w:r w:rsidRPr="00507A31">
        <w:rPr>
          <w:color w:val="000000" w:themeColor="text1"/>
          <w:sz w:val="16"/>
          <w:szCs w:val="16"/>
        </w:rPr>
        <w:t>п. 16: О НАМИ</w:t>
      </w:r>
    </w:p>
    <w:p w14:paraId="6D344ECD" w14:textId="77777777" w:rsidR="00FE70BE" w:rsidRPr="00507A31" w:rsidRDefault="00FE70BE" w:rsidP="00507A31">
      <w:pPr>
        <w:jc w:val="both"/>
        <w:rPr>
          <w:color w:val="000000" w:themeColor="text1"/>
          <w:sz w:val="16"/>
          <w:szCs w:val="16"/>
        </w:rPr>
      </w:pPr>
      <w:r w:rsidRPr="00507A31">
        <w:rPr>
          <w:color w:val="000000" w:themeColor="text1"/>
          <w:sz w:val="16"/>
          <w:szCs w:val="16"/>
        </w:rPr>
        <w:t>(Уборевич, Куйбышев, Осинский, Одоевский, Зелинский).</w:t>
      </w:r>
    </w:p>
    <w:p w14:paraId="0AC00457" w14:textId="77777777" w:rsidR="00FE70BE" w:rsidRPr="00507A31" w:rsidRDefault="00FE70BE" w:rsidP="00507A31">
      <w:pPr>
        <w:jc w:val="both"/>
        <w:rPr>
          <w:color w:val="000000" w:themeColor="text1"/>
          <w:sz w:val="16"/>
          <w:szCs w:val="16"/>
        </w:rPr>
      </w:pPr>
      <w:r w:rsidRPr="00507A31">
        <w:rPr>
          <w:color w:val="000000" w:themeColor="text1"/>
          <w:sz w:val="16"/>
          <w:szCs w:val="16"/>
        </w:rPr>
        <w:t>а) В дополнение к постановлению ПБ от 20.VII.30 г. передать опытный завод, авиационную испытательную станцию специального назначения, авиационный отдел с лабораториями и конструкторскими кабинетами и со всем личным составом в ведение авиаобъединения при НКВМоре.</w:t>
      </w:r>
    </w:p>
    <w:p w14:paraId="03732672" w14:textId="77777777" w:rsidR="00FE70BE" w:rsidRPr="00507A31" w:rsidRDefault="00FE70BE" w:rsidP="00507A31">
      <w:pPr>
        <w:jc w:val="both"/>
        <w:rPr>
          <w:color w:val="000000" w:themeColor="text1"/>
          <w:sz w:val="16"/>
          <w:szCs w:val="16"/>
        </w:rPr>
      </w:pPr>
      <w:r w:rsidRPr="00507A31">
        <w:rPr>
          <w:color w:val="000000" w:themeColor="text1"/>
          <w:sz w:val="16"/>
          <w:szCs w:val="16"/>
        </w:rPr>
        <w:t>б) В связи с настоящим решением (п. “а”) обязать ВСНХ в срочном порядке создать достаточную материальную базу для организации самостоятельного института по автомоторостроению (18332).</w:t>
      </w:r>
    </w:p>
    <w:p w14:paraId="739696AA" w14:textId="77777777" w:rsidR="00FE70BE" w:rsidRPr="00507A31" w:rsidRDefault="00FE70BE" w:rsidP="00507A31">
      <w:pPr>
        <w:jc w:val="both"/>
        <w:rPr>
          <w:color w:val="000000" w:themeColor="text1"/>
          <w:sz w:val="16"/>
          <w:szCs w:val="16"/>
        </w:rPr>
      </w:pPr>
    </w:p>
    <w:p w14:paraId="731EDA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сентября 1930 г. вышли постановление СНК СССР и приказ по ВСНХ СССР от 8 сентября 1930 г., в соответствии с которыми опытный завод, авиаотдел и авиаиспытательная станция НАМИ передавались в ведение Наркомвоенмора. На расширенном заседании РВС по вопросу создания нового института, где присутствовало много технических специалистов из армии, НАМИ, ЦАГИ, всё решилось в пользу предложения авторов письма. Для начала было принято решение объединить под эгидой ЦАГИ Винтомоторный отдел ЦАГИ и Авиационный отдел НАМИ. Группа моторостроителей НАМИ влилась в коллектив нового института (а моторный автотракторный институт - НАТИ - был создан чуть позже). Эта объединенная организация получила название ОАМ - ЦАГИ (Отдел авиационных моторов ЦАГИ). Начальником ОАМ - ЦАГИ был назначен Б.С. Стечкин. ОАМ - первое из имен будущего ЦИАМ (12057).</w:t>
      </w:r>
    </w:p>
    <w:p w14:paraId="01C01C4C" w14:textId="77777777" w:rsidR="002757BD" w:rsidRPr="00507A31" w:rsidRDefault="002757BD" w:rsidP="00507A31">
      <w:pPr>
        <w:pStyle w:val="rtejustify"/>
        <w:spacing w:before="0" w:after="0"/>
        <w:rPr>
          <w:color w:val="000000" w:themeColor="text1"/>
          <w:sz w:val="16"/>
          <w:szCs w:val="16"/>
        </w:rPr>
      </w:pPr>
    </w:p>
    <w:p w14:paraId="21435519" w14:textId="77777777" w:rsidR="00077B6E" w:rsidRPr="00507A31" w:rsidRDefault="00077B6E" w:rsidP="00507A31">
      <w:pPr>
        <w:jc w:val="both"/>
        <w:rPr>
          <w:color w:val="0070C0"/>
          <w:sz w:val="16"/>
          <w:szCs w:val="16"/>
        </w:rPr>
      </w:pPr>
      <w:r w:rsidRPr="00507A31">
        <w:rPr>
          <w:color w:val="0070C0"/>
          <w:sz w:val="16"/>
          <w:szCs w:val="16"/>
        </w:rPr>
        <w:t>5 сентября 1930 на основании постановления пра</w:t>
      </w:r>
      <w:r w:rsidRPr="00507A31">
        <w:rPr>
          <w:color w:val="0070C0"/>
          <w:sz w:val="16"/>
          <w:szCs w:val="16"/>
        </w:rPr>
        <w:softHyphen/>
        <w:t>вительства и совместного приказа Революционного Военного Совета народного хозяйства СССР на базе авиационного отдела НАМИ и винтомоторного отде</w:t>
      </w:r>
      <w:r w:rsidRPr="00507A31">
        <w:rPr>
          <w:color w:val="0070C0"/>
          <w:sz w:val="16"/>
          <w:szCs w:val="16"/>
        </w:rPr>
        <w:softHyphen/>
        <w:t>ла ЦАГИ создан самостоятельный отдел авиамото</w:t>
      </w:r>
      <w:r w:rsidRPr="00507A31">
        <w:rPr>
          <w:color w:val="0070C0"/>
          <w:sz w:val="16"/>
          <w:szCs w:val="16"/>
        </w:rPr>
        <w:softHyphen/>
        <w:t>ров (САМ). Начальником ОАМ-ЦАГИ был назначен Б.С. Стечкин.</w:t>
      </w:r>
    </w:p>
    <w:p w14:paraId="2F24550F" w14:textId="77777777" w:rsidR="00077B6E" w:rsidRPr="00507A31" w:rsidRDefault="00077B6E" w:rsidP="00507A31">
      <w:pPr>
        <w:jc w:val="both"/>
        <w:rPr>
          <w:color w:val="0070C0"/>
          <w:sz w:val="16"/>
          <w:szCs w:val="16"/>
        </w:rPr>
      </w:pPr>
      <w:r w:rsidRPr="00507A31">
        <w:rPr>
          <w:color w:val="0070C0"/>
          <w:sz w:val="16"/>
          <w:szCs w:val="16"/>
        </w:rPr>
        <w:t>В ведение Наркомвоенмора передаются на</w:t>
      </w:r>
      <w:r w:rsidRPr="00507A31">
        <w:rPr>
          <w:color w:val="0070C0"/>
          <w:sz w:val="16"/>
          <w:szCs w:val="16"/>
        </w:rPr>
        <w:softHyphen/>
        <w:t>ходящиеся в Лефортово опытный завод, авиаотдел с конструкторским бюро и авиаиспытательная стан</w:t>
      </w:r>
      <w:r w:rsidRPr="00507A31">
        <w:rPr>
          <w:color w:val="0070C0"/>
          <w:sz w:val="16"/>
          <w:szCs w:val="16"/>
        </w:rPr>
        <w:softHyphen/>
        <w:t>ция НАМИ. Передаются авиационные моторы из му</w:t>
      </w:r>
      <w:r w:rsidRPr="00507A31">
        <w:rPr>
          <w:color w:val="0070C0"/>
          <w:sz w:val="16"/>
          <w:szCs w:val="16"/>
        </w:rPr>
        <w:softHyphen/>
        <w:t>зея НАМИ. Из отдела бензиновых двигателей НАМИ в САМ переведены группы по расчету на проч</w:t>
      </w:r>
      <w:r w:rsidRPr="00507A31">
        <w:rPr>
          <w:color w:val="0070C0"/>
          <w:sz w:val="16"/>
          <w:szCs w:val="16"/>
        </w:rPr>
        <w:softHyphen/>
        <w:t>ность поршневых двигате</w:t>
      </w:r>
      <w:r w:rsidRPr="00507A31">
        <w:rPr>
          <w:color w:val="0070C0"/>
          <w:sz w:val="16"/>
          <w:szCs w:val="16"/>
        </w:rPr>
        <w:softHyphen/>
        <w:t>лей под руководством И.Ш. Неймана и карбюра</w:t>
      </w:r>
      <w:r w:rsidRPr="00507A31">
        <w:rPr>
          <w:color w:val="0070C0"/>
          <w:sz w:val="16"/>
          <w:szCs w:val="16"/>
        </w:rPr>
        <w:softHyphen/>
        <w:t>торная с собственной экс</w:t>
      </w:r>
      <w:r w:rsidRPr="00507A31">
        <w:rPr>
          <w:color w:val="0070C0"/>
          <w:sz w:val="16"/>
          <w:szCs w:val="16"/>
        </w:rPr>
        <w:softHyphen/>
        <w:t>периментальной базой и оборудованием, лабора</w:t>
      </w:r>
      <w:r w:rsidRPr="00507A31">
        <w:rPr>
          <w:color w:val="0070C0"/>
          <w:sz w:val="16"/>
          <w:szCs w:val="16"/>
        </w:rPr>
        <w:softHyphen/>
        <w:t>тория зажигания.</w:t>
      </w:r>
    </w:p>
    <w:p w14:paraId="1FDFE409" w14:textId="77777777" w:rsidR="00077B6E" w:rsidRPr="00507A31" w:rsidRDefault="00077B6E" w:rsidP="00507A31">
      <w:pPr>
        <w:jc w:val="both"/>
        <w:rPr>
          <w:color w:val="0070C0"/>
          <w:sz w:val="16"/>
          <w:szCs w:val="16"/>
        </w:rPr>
      </w:pPr>
      <w:r w:rsidRPr="00507A31">
        <w:rPr>
          <w:color w:val="0070C0"/>
          <w:sz w:val="16"/>
          <w:szCs w:val="16"/>
        </w:rPr>
        <w:t>Передаче Наркомво</w:t>
      </w:r>
      <w:r w:rsidRPr="00507A31">
        <w:rPr>
          <w:color w:val="0070C0"/>
          <w:sz w:val="16"/>
          <w:szCs w:val="16"/>
        </w:rPr>
        <w:softHyphen/>
        <w:t>енмору подлежат также помещения, занимаемые технологическим отделом и администрацией инсти</w:t>
      </w:r>
      <w:r w:rsidRPr="00507A31">
        <w:rPr>
          <w:color w:val="0070C0"/>
          <w:sz w:val="16"/>
          <w:szCs w:val="16"/>
        </w:rPr>
        <w:softHyphen/>
        <w:t>тута.</w:t>
      </w:r>
    </w:p>
    <w:p w14:paraId="6B3C00F6" w14:textId="77777777" w:rsidR="00077B6E" w:rsidRPr="00507A31" w:rsidRDefault="00077B6E" w:rsidP="00507A31">
      <w:pPr>
        <w:jc w:val="both"/>
        <w:rPr>
          <w:color w:val="0070C0"/>
          <w:sz w:val="16"/>
          <w:szCs w:val="16"/>
        </w:rPr>
      </w:pPr>
      <w:r w:rsidRPr="00507A31">
        <w:rPr>
          <w:color w:val="0070C0"/>
          <w:sz w:val="16"/>
          <w:szCs w:val="16"/>
        </w:rPr>
        <w:t>В САМ передается дви</w:t>
      </w:r>
      <w:r w:rsidRPr="00507A31">
        <w:rPr>
          <w:color w:val="0070C0"/>
          <w:sz w:val="16"/>
          <w:szCs w:val="16"/>
        </w:rPr>
        <w:softHyphen/>
        <w:t>гатель М-34 конструкции А.А. Микулина и одноцилиндровые исследова</w:t>
      </w:r>
      <w:r w:rsidRPr="00507A31">
        <w:rPr>
          <w:color w:val="0070C0"/>
          <w:sz w:val="16"/>
          <w:szCs w:val="16"/>
        </w:rPr>
        <w:softHyphen/>
        <w:t>тельские установки для тяжелых нефтяных топлив типа «ОН» (22518).</w:t>
      </w:r>
    </w:p>
    <w:p w14:paraId="77FDD972" w14:textId="77777777" w:rsidR="00077B6E" w:rsidRPr="00507A31" w:rsidRDefault="00077B6E" w:rsidP="00507A31">
      <w:pPr>
        <w:jc w:val="both"/>
        <w:rPr>
          <w:color w:val="0070C0"/>
          <w:sz w:val="16"/>
          <w:szCs w:val="16"/>
        </w:rPr>
      </w:pPr>
    </w:p>
    <w:p w14:paraId="0117F76E" w14:textId="77777777" w:rsidR="00077B6E" w:rsidRPr="00507A31" w:rsidRDefault="00077B6E" w:rsidP="00507A31">
      <w:pPr>
        <w:jc w:val="both"/>
        <w:rPr>
          <w:color w:val="0070C0"/>
          <w:sz w:val="16"/>
          <w:szCs w:val="16"/>
        </w:rPr>
      </w:pPr>
      <w:r w:rsidRPr="00507A31">
        <w:rPr>
          <w:color w:val="0070C0"/>
          <w:sz w:val="16"/>
          <w:szCs w:val="16"/>
        </w:rPr>
        <w:t xml:space="preserve">5 сентября 1930 г. в результате работы комиссии Рудзутака (фактически - тесного взаимодействия Тухачевского со Сталиным) Политбюро приняло постановление "О развитии гражданской авиации п формах ее связи с военной" (Постановление Политбюро ЦК ВКП(б) "О развитии гражданской авиации и формах ее связи с военной", 5.09.1930 (приложение к п. 20, протокол № 6 от 5.09.1930) // РГА СПИ. Ф. 17. Оп. 3. Д 794. Л. 19-20.). Постановление предписывало ускорить темпы производства, доведя его до 5 тыс. самолетов в 1932/33 г. </w:t>
      </w:r>
    </w:p>
    <w:p w14:paraId="0F7BF48E" w14:textId="77777777" w:rsidR="00077B6E" w:rsidRPr="00507A31" w:rsidRDefault="00077B6E" w:rsidP="00507A31">
      <w:pPr>
        <w:jc w:val="both"/>
        <w:rPr>
          <w:color w:val="0070C0"/>
          <w:sz w:val="16"/>
          <w:szCs w:val="16"/>
        </w:rPr>
      </w:pPr>
      <w:r w:rsidRPr="00507A31">
        <w:rPr>
          <w:color w:val="0070C0"/>
          <w:sz w:val="16"/>
          <w:szCs w:val="16"/>
        </w:rPr>
        <w:t>Несколькими месяцами позже в письме Сталину Тухачевский констатировал, "вопрос о гражданской авиации Вы разрешили в масштабе большем, чем я на то даже рассчитывал"(Записка Тухачевского Сталину (копия Ворошилову), Ленинград. 30.12.1930 // Там же. Л. 66).</w:t>
      </w:r>
    </w:p>
    <w:p w14:paraId="2161AAE7" w14:textId="77777777" w:rsidR="00077B6E" w:rsidRPr="00507A31" w:rsidRDefault="00077B6E" w:rsidP="00507A31">
      <w:pPr>
        <w:jc w:val="both"/>
        <w:rPr>
          <w:color w:val="0070C0"/>
          <w:sz w:val="16"/>
          <w:szCs w:val="16"/>
        </w:rPr>
      </w:pPr>
      <w:r w:rsidRPr="00507A31">
        <w:rPr>
          <w:color w:val="0070C0"/>
          <w:sz w:val="16"/>
          <w:szCs w:val="16"/>
        </w:rPr>
        <w:t>Эти решения стали важным шагом к смене парадигмы оборонных установок в контексте общей экономической политики. Столь же характерно, что, как показывает обращение Сталина и Ворошилова, при создании воздушного флота равнение было взято не на производственные и боевые возможности ближайших вероятных противников - соседних с СССР государств, а на "крупнейшие империалистические страны" (22725).</w:t>
      </w:r>
    </w:p>
    <w:p w14:paraId="3AE6318E" w14:textId="77777777" w:rsidR="00077B6E" w:rsidRPr="00507A31" w:rsidRDefault="00077B6E" w:rsidP="00507A31">
      <w:pPr>
        <w:jc w:val="both"/>
        <w:rPr>
          <w:color w:val="0070C0"/>
          <w:sz w:val="16"/>
          <w:szCs w:val="16"/>
        </w:rPr>
      </w:pPr>
    </w:p>
    <w:p w14:paraId="420A3D64" w14:textId="77777777" w:rsidR="002757BD" w:rsidRPr="00507A31" w:rsidRDefault="002757BD" w:rsidP="00507A31">
      <w:pPr>
        <w:pStyle w:val="rtejustify"/>
        <w:spacing w:before="0" w:after="0"/>
        <w:rPr>
          <w:color w:val="000000" w:themeColor="text1"/>
          <w:sz w:val="16"/>
          <w:szCs w:val="16"/>
        </w:rPr>
      </w:pPr>
      <w:r w:rsidRPr="00507A31">
        <w:rPr>
          <w:color w:val="000000" w:themeColor="text1"/>
          <w:sz w:val="16"/>
          <w:szCs w:val="16"/>
        </w:rPr>
        <w:t>5 сентября 1930 г. постановлением Политбюро принята трехлетняя программа развития дирижаблестроения в СССР, в соответствии с которой до 1934 г. предполагалось построить 10 дирижаблей, из них: 2 цельнометаллических, 3 полужестких и 5 жестких. Эта программа включала в себя значительную часть опытного строительства, т. к. помимо выбора местности для верфи (район Переславля-Залесского или Поволжье) и обучения личного состава, существовала необходимость в иностранной помощи для организации производства, а также в решении задачи добычи, очистки и транспортировки гелия. Страна обладала богатейшими запасами гелия (был создан специальный Гелиевый комитет при ВСНХ СССР), что представляло большую ценность для дирижаблестроения, т. к. при наполнении корпуса аэростата водородом существовала опасность воспламенения. К тому же гелий не добывался в Европе, что давало возможность взаимовыгодного обмена газа на техническую помощь. Строительство дирижаблей относилось к ведению Всесоюзного объединения гражданского воздушного флота при СТО СССР, но дирижабли предполагалось использовать и военных целях, в качестве стратегических разведчиков, а также ночных бомбардировщиков. В 1930 г. была образована комиссия Политбюро ЦК ВКП(б) по дирижаблестроению.  В 30</w:t>
      </w:r>
      <w:r w:rsidRPr="00507A31">
        <w:rPr>
          <w:color w:val="000000" w:themeColor="text1"/>
          <w:sz w:val="16"/>
          <w:szCs w:val="16"/>
        </w:rPr>
        <w:noBreakHyphen/>
        <w:t>е годы удалось построить только дирижабли мягкой и полужесткой систем. (РГАЭ. Ф. 4372. Оп. 91. Д. 590а. Л. 84</w:t>
      </w:r>
      <w:r w:rsidRPr="00507A31">
        <w:rPr>
          <w:color w:val="000000" w:themeColor="text1"/>
          <w:sz w:val="16"/>
          <w:szCs w:val="16"/>
        </w:rPr>
        <w:noBreakHyphen/>
        <w:t>82, 100, 103</w:t>
      </w:r>
      <w:r w:rsidRPr="00507A31">
        <w:rPr>
          <w:color w:val="000000" w:themeColor="text1"/>
          <w:sz w:val="16"/>
          <w:szCs w:val="16"/>
        </w:rPr>
        <w:noBreakHyphen/>
        <w:t>102, 106</w:t>
      </w:r>
      <w:r w:rsidRPr="00507A31">
        <w:rPr>
          <w:color w:val="000000" w:themeColor="text1"/>
          <w:sz w:val="16"/>
          <w:szCs w:val="16"/>
        </w:rPr>
        <w:noBreakHyphen/>
        <w:t>106 об. 122</w:t>
      </w:r>
      <w:r w:rsidRPr="00507A31">
        <w:rPr>
          <w:color w:val="000000" w:themeColor="text1"/>
          <w:sz w:val="16"/>
          <w:szCs w:val="16"/>
        </w:rPr>
        <w:noBreakHyphen/>
        <w:t>111; Д. 521. Л. 28) (12493).</w:t>
      </w:r>
    </w:p>
    <w:p w14:paraId="1DE1FE7F" w14:textId="77777777" w:rsidR="00537E5F" w:rsidRPr="00507A31" w:rsidRDefault="00537E5F" w:rsidP="00507A31">
      <w:pPr>
        <w:autoSpaceDE w:val="0"/>
        <w:autoSpaceDN w:val="0"/>
        <w:adjustRightInd w:val="0"/>
        <w:jc w:val="both"/>
        <w:rPr>
          <w:color w:val="000000" w:themeColor="text1"/>
          <w:sz w:val="16"/>
          <w:szCs w:val="16"/>
        </w:rPr>
      </w:pPr>
    </w:p>
    <w:p w14:paraId="01ED1E77" w14:textId="77777777" w:rsidR="002757BD"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0B663EC" w14:textId="77777777" w:rsidR="002757BD" w:rsidRPr="00507A31" w:rsidRDefault="002757BD" w:rsidP="00507A31">
      <w:pPr>
        <w:autoSpaceDE w:val="0"/>
        <w:autoSpaceDN w:val="0"/>
        <w:adjustRightInd w:val="0"/>
        <w:jc w:val="both"/>
        <w:rPr>
          <w:iCs/>
          <w:color w:val="000000" w:themeColor="text1"/>
          <w:sz w:val="16"/>
          <w:szCs w:val="16"/>
        </w:rPr>
      </w:pPr>
    </w:p>
    <w:p w14:paraId="7023FA0C" w14:textId="77777777" w:rsidR="002757BD" w:rsidRPr="00507A31" w:rsidRDefault="002757BD" w:rsidP="00507A31">
      <w:pPr>
        <w:jc w:val="both"/>
        <w:rPr>
          <w:color w:val="000000" w:themeColor="text1"/>
          <w:sz w:val="16"/>
          <w:szCs w:val="16"/>
          <w:u w:color="002060"/>
        </w:rPr>
      </w:pPr>
      <w:r w:rsidRPr="00507A31">
        <w:rPr>
          <w:color w:val="000000" w:themeColor="text1"/>
          <w:sz w:val="16"/>
          <w:szCs w:val="16"/>
          <w:u w:color="002060"/>
        </w:rPr>
        <w:t>5 сентября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6. 16. О НАМИ. (Уборевич, Куйбышев, Осинский, Одоевский, Зелинский). Постановили: а) в дополнение к постановлению ПБ от 20 июля передать опытный завод, авиационную испытательную станцию специального назначения. Авиационный отдел с лабораториями и конструкторскими кабинетами и со всем личным составом в ведение Авиаобъединения при НКВМ; б) в связи с настоящим решением (п. а) обязать ВСНХ в срочном порядке создать достаточную материальную базу для организации самостоятельного института по авиамоторостроению. 20. О развитии гражданской авиации и формах ее связи с военной (ПБ от 20 июля 1930 г., пр. № 2, п. 44) (Рудзутак, Рухимович, Антипов, Мартинович, Анвельт, Королев). Решения ПБ от 30 августа 1930 г. 17/23. О выполнении постановления ПБ о Ленинградском судостроительном тресте (ПБ от 25 июля 1929 г., пр. № 90, п. 5). (Политбюро... Т. 2. С. 73, 74; РГАСПИ. Ф. 17. Оп. 3. Д. 794. Л. 3). Приложение к п. 20. О развитии гражданской авиации и формах ее связи с военной (принято Политбюро ЦК ВКП(б) 5 сентября 1930 г.). (РГАСПИ. Ф. 17. Оп. 3. Д. 794. Л. 19?20) (12416).</w:t>
      </w:r>
    </w:p>
    <w:p w14:paraId="2F3CA0BB" w14:textId="77777777" w:rsidR="002757BD" w:rsidRPr="00507A31" w:rsidRDefault="002757BD" w:rsidP="00507A31">
      <w:pPr>
        <w:jc w:val="both"/>
        <w:rPr>
          <w:color w:val="000000" w:themeColor="text1"/>
          <w:sz w:val="16"/>
          <w:szCs w:val="16"/>
          <w:u w:color="002060"/>
        </w:rPr>
      </w:pPr>
    </w:p>
    <w:p w14:paraId="43EEEED7" w14:textId="77777777" w:rsidR="002757BD" w:rsidRPr="00507A31" w:rsidRDefault="002757BD" w:rsidP="00507A31">
      <w:pPr>
        <w:jc w:val="both"/>
        <w:rPr>
          <w:color w:val="000000" w:themeColor="text1"/>
          <w:sz w:val="16"/>
          <w:szCs w:val="16"/>
        </w:rPr>
      </w:pPr>
      <w:r w:rsidRPr="00507A31">
        <w:rPr>
          <w:rStyle w:val="a7"/>
          <w:b w:val="0"/>
          <w:color w:val="000000" w:themeColor="text1"/>
          <w:sz w:val="16"/>
          <w:szCs w:val="16"/>
        </w:rPr>
        <w:t xml:space="preserve">5 сентября 1930 </w:t>
      </w:r>
      <w:r w:rsidRPr="00507A31">
        <w:rPr>
          <w:color w:val="000000" w:themeColor="text1"/>
          <w:sz w:val="16"/>
          <w:szCs w:val="16"/>
        </w:rPr>
        <w:t>Политбюро ЦК ВКП (б) приняло решение о мероприятиях по дооборудованию и упорядочению производства тракторов на заводах «Красный путиловец» и Сталинградском тракторном (12265).</w:t>
      </w:r>
    </w:p>
    <w:p w14:paraId="404D7DD4" w14:textId="77777777" w:rsidR="002757BD" w:rsidRPr="00507A31" w:rsidRDefault="002757BD" w:rsidP="00507A31">
      <w:pPr>
        <w:jc w:val="both"/>
        <w:rPr>
          <w:color w:val="000000" w:themeColor="text1"/>
          <w:sz w:val="16"/>
          <w:szCs w:val="16"/>
        </w:rPr>
      </w:pPr>
      <w:r w:rsidRPr="00507A31">
        <w:rPr>
          <w:color w:val="000000" w:themeColor="text1"/>
          <w:sz w:val="16"/>
          <w:szCs w:val="16"/>
        </w:rPr>
        <w:t> </w:t>
      </w:r>
    </w:p>
    <w:p w14:paraId="77E1120B" w14:textId="77777777" w:rsidR="00CE1199" w:rsidRPr="00507A31" w:rsidRDefault="00CE1199" w:rsidP="00507A31">
      <w:pPr>
        <w:shd w:val="clear" w:color="auto" w:fill="FFFFFF"/>
        <w:jc w:val="both"/>
        <w:rPr>
          <w:color w:val="000000" w:themeColor="text1"/>
          <w:sz w:val="16"/>
          <w:szCs w:val="16"/>
        </w:rPr>
      </w:pPr>
      <w:r w:rsidRPr="00507A31">
        <w:rPr>
          <w:color w:val="000000" w:themeColor="text1"/>
          <w:sz w:val="16"/>
          <w:szCs w:val="16"/>
        </w:rPr>
        <w:t xml:space="preserve">5 сентября  1930  года при Ленинградском областном комитете ВКП(б) прошло совещание с участием  директоров  военных  заводов  и секретарей партийных комитетов. По результатам форума 24 сентября  1930  года обком партии принял специальное постановление «О ходе борьбы с последствиями вредительства и выполнении промфинплана за 10 месяцев в ленинградской военной промышленности и на гражданских  заводах , выполняющих военные заказы». В документе </w:t>
      </w:r>
      <w:r w:rsidRPr="00507A31">
        <w:rPr>
          <w:color w:val="000000" w:themeColor="text1"/>
          <w:sz w:val="16"/>
          <w:szCs w:val="16"/>
        </w:rPr>
        <w:lastRenderedPageBreak/>
        <w:t>подводились итоги репрессивной кампании и указывалось на то, что несмотря на директиву обкома партии от 7 марта  1930  года, борьба с вредительством ведется слабо и  директора   оборонных  предприятий совместно с парторганизациями не могут добиться запланированных темпов роста производства (17235).</w:t>
      </w:r>
    </w:p>
    <w:p w14:paraId="107E1CA5" w14:textId="77777777" w:rsidR="00C428B4" w:rsidRPr="00507A31" w:rsidRDefault="00C428B4" w:rsidP="00507A31">
      <w:pPr>
        <w:shd w:val="clear" w:color="auto" w:fill="FFFFFF"/>
        <w:jc w:val="both"/>
        <w:rPr>
          <w:bCs/>
          <w:iCs/>
          <w:color w:val="000000" w:themeColor="text1"/>
          <w:sz w:val="16"/>
          <w:szCs w:val="16"/>
        </w:rPr>
      </w:pPr>
    </w:p>
    <w:p w14:paraId="511DA81A" w14:textId="77777777" w:rsidR="00C428B4" w:rsidRPr="00507A31" w:rsidRDefault="00C428B4" w:rsidP="00507A31">
      <w:pPr>
        <w:shd w:val="clear" w:color="auto" w:fill="FFFFFF"/>
        <w:jc w:val="both"/>
        <w:rPr>
          <w:color w:val="000000" w:themeColor="text1"/>
          <w:sz w:val="16"/>
          <w:szCs w:val="16"/>
        </w:rPr>
      </w:pPr>
      <w:r w:rsidRPr="00507A31">
        <w:rPr>
          <w:bCs/>
          <w:iCs/>
          <w:color w:val="000000" w:themeColor="text1"/>
          <w:sz w:val="16"/>
          <w:szCs w:val="16"/>
        </w:rPr>
        <w:t>5-20 сентября 1930 г.</w:t>
      </w:r>
      <w:r w:rsidRPr="00507A31">
        <w:rPr>
          <w:color w:val="000000" w:themeColor="text1"/>
          <w:sz w:val="16"/>
          <w:szCs w:val="16"/>
        </w:rPr>
        <w:t xml:space="preserve"> Большие полевые испытания боевой эффективности ядовито-дымных (адамсит и хлорацетофенон) и газовых (фосген и смесь фосгена с хлором) волн в полевых условиях. Проведены в районе Стрелецкого лагеря в 15 км на север от Астрахани на правом берегу Волги. Цели испытаний: 1) изучить поведение волн ядовитого дыма в зависимости от концентрации, длительности дымообразования и ширины фронта, 2) выявить нормы расхода шашек при организации боевых атак, 3) сравнить боевой эффект и изучить поведение газовых волн НОВ при различных условиях. Было выполнено 14 пусков облака ядовитого дыма (израсходовано 3100 шашек ЯМ-21 с адамситом и 2800 шашек ЯМ-11 с хлорацетофеноном) и 5 газобаллонных пусков НОВ (из баллонов с фосгеном, хлором и хлорфосгеном). В каждом опыте участвовало от 420 до 700 человек. При обычных нормах расхода волна ядовитого дыма распространялась на открытой местности до 7 км, однако в ряде случаев она распространялась и на 15-24 км с заносом дымовой волны в деревню и грязелечебный курорт (от 10 до 24 км от места газопуска). Сделанные наблюдения на людях: во время непродолжительных пусков «</w:t>
      </w:r>
      <w:r w:rsidRPr="00507A31">
        <w:rPr>
          <w:iCs/>
          <w:color w:val="000000" w:themeColor="text1"/>
          <w:sz w:val="16"/>
          <w:szCs w:val="16"/>
        </w:rPr>
        <w:t>незащищенные бойцы в той или иной степени теряют боеспособность на сравнительно короткое время, не превышающее 2-3 часов</w:t>
      </w:r>
      <w:r w:rsidRPr="00507A31">
        <w:rPr>
          <w:color w:val="000000" w:themeColor="text1"/>
          <w:sz w:val="16"/>
          <w:szCs w:val="16"/>
        </w:rPr>
        <w:t>». Было показано также, что при стандартной норме (1 шашка ЯМ-21 на 1 метр на фронте 5 метров) на расстоянии 1000 метров от места пуска создавалась концентрация адамсита 0,01 мг/л, и она была «невыносима». В полевой пункт за медицинской помощью обратилось 73 человека (17133).</w:t>
      </w:r>
    </w:p>
    <w:p w14:paraId="79C6D631" w14:textId="77777777" w:rsidR="00C428B4" w:rsidRPr="00507A31" w:rsidRDefault="00C428B4" w:rsidP="00507A31">
      <w:pPr>
        <w:shd w:val="clear" w:color="auto" w:fill="FFFFFF"/>
        <w:jc w:val="both"/>
        <w:rPr>
          <w:color w:val="000000" w:themeColor="text1"/>
          <w:sz w:val="16"/>
          <w:szCs w:val="16"/>
        </w:rPr>
      </w:pPr>
    </w:p>
    <w:p w14:paraId="02AEFD43" w14:textId="77777777" w:rsidR="00077B6E" w:rsidRPr="00507A31" w:rsidRDefault="00077B6E" w:rsidP="00507A31">
      <w:pPr>
        <w:pStyle w:val="ae"/>
        <w:shd w:val="clear" w:color="auto" w:fill="FFFFFF"/>
        <w:spacing w:before="0" w:after="0"/>
        <w:jc w:val="both"/>
        <w:rPr>
          <w:color w:val="0070C0"/>
          <w:sz w:val="16"/>
          <w:szCs w:val="16"/>
        </w:rPr>
      </w:pPr>
      <w:r w:rsidRPr="00507A31">
        <w:rPr>
          <w:color w:val="0070C0"/>
          <w:sz w:val="16"/>
          <w:szCs w:val="16"/>
        </w:rPr>
        <w:t>5 сентября 1930 года при областном комитете ВКП(б) Ленинграда прошло совещание с участием директоров военных заводов и секретарей партийных комитетов. По результатам форума 24 сентября 1930 года обком партии принял специальное постановление «О ходе борьбы с последствиями вредительства и выполнении промфинплана за 10 месяцев в ленинградской военной промышленности и на гражданских заводах, выполняющих военные заказы». В документе подводились итоги репрессивной кампании и указывалось на то, что несмотря на директиву обкома партии от 7 марта 1930 года, борьба с вредительством ведется слабо и директора оборонных предприятий совместно с парторганизациями не могут добиться запланированных темпов роста производства (20981).</w:t>
      </w:r>
    </w:p>
    <w:p w14:paraId="0E36AE29" w14:textId="77777777" w:rsidR="00077B6E" w:rsidRPr="00507A31" w:rsidRDefault="00077B6E" w:rsidP="00507A31">
      <w:pPr>
        <w:pStyle w:val="ae"/>
        <w:shd w:val="clear" w:color="auto" w:fill="FFFFFF"/>
        <w:spacing w:before="0" w:after="0"/>
        <w:jc w:val="both"/>
        <w:rPr>
          <w:color w:val="0070C0"/>
          <w:sz w:val="16"/>
          <w:szCs w:val="16"/>
        </w:rPr>
      </w:pPr>
    </w:p>
    <w:p w14:paraId="5C14137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93B3A83" w14:textId="77777777" w:rsidR="00537E5F" w:rsidRPr="00507A31" w:rsidRDefault="00537E5F" w:rsidP="00507A31">
      <w:pPr>
        <w:autoSpaceDE w:val="0"/>
        <w:autoSpaceDN w:val="0"/>
        <w:adjustRightInd w:val="0"/>
        <w:jc w:val="both"/>
        <w:rPr>
          <w:iCs/>
          <w:color w:val="000000" w:themeColor="text1"/>
          <w:sz w:val="16"/>
          <w:szCs w:val="16"/>
        </w:rPr>
      </w:pPr>
    </w:p>
    <w:p w14:paraId="404060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сентября 1930 года вышло Постановление Политбюро от 5 сентября 1930 года №П6/опр.41-С о работе Главлита, которым Наркомпросу поручено реорганизовать Главлит на следующих началах:</w:t>
      </w:r>
    </w:p>
    <w:p w14:paraId="00B934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"Освободить центральный аппарат Главлита от всяких оперативных работ по предварительному просмотру печатного материала, как с точки зрения политико-идеологической, так и с военно-экономической. Сохранить за аппаратом Главлита функции:</w:t>
      </w:r>
    </w:p>
    <w:p w14:paraId="5C2462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общего объединения всех видов цензуры;</w:t>
      </w:r>
    </w:p>
    <w:p w14:paraId="7AD704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общего руководства и инспектирования подчиненных органов и уполномоченных;</w:t>
      </w:r>
    </w:p>
    <w:p w14:paraId="25D3C7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последующего контроля за выходящей литературой, как с политико-идеологической, так и с военно-экономической точек зрения;</w:t>
      </w:r>
    </w:p>
    <w:p w14:paraId="4897DF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разрешения и запрещения изданий и издательств</w:t>
      </w:r>
    </w:p>
    <w:p w14:paraId="0567C3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издания правил и распоряжений для обеспечения требования партии и правительства в области цензуры</w:t>
      </w:r>
    </w:p>
    <w:p w14:paraId="78D6C1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рассмотрение апелляций на решения органов и уполномоченных Главлита</w:t>
      </w:r>
    </w:p>
    <w:p w14:paraId="61D246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выработки совместно с другими ведомствами и осуществления перечней сведений, являющихся по своему содержанию специально-охраняемой государственной тайной;</w:t>
      </w:r>
    </w:p>
    <w:p w14:paraId="5ADAE4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составление обзоров литературы и происходящих в ней явлений;</w:t>
      </w:r>
    </w:p>
    <w:p w14:paraId="1A8CEA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привлечение к ответственности виновных в нарушении требования Главлита и его органов в области цензуры;</w:t>
      </w:r>
    </w:p>
    <w:p w14:paraId="2B0E31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представления к утверждению и снятию в Наркомате просвещения уполномоченных и заведующих крайобллитами;</w:t>
      </w:r>
    </w:p>
    <w:p w14:paraId="5A7EC0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представление на утверждение Наркомата просвещения редакторов и редколлегий.</w:t>
      </w:r>
    </w:p>
    <w:p w14:paraId="4BAC24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Основным звеном в области предварительного просмотра за литературой, радиовещанием и т.п. признать институт уполномоченных. Весь предварительный просмотр всего печатного материала производить в самих издательствах, обязав последние обеспечить содержание необходимого штата уполномоченных Главлита" (8983).</w:t>
      </w:r>
    </w:p>
    <w:p w14:paraId="25EFE4FC" w14:textId="77777777" w:rsidR="00537E5F" w:rsidRPr="00507A31" w:rsidRDefault="00537E5F" w:rsidP="00507A31">
      <w:pPr>
        <w:autoSpaceDE w:val="0"/>
        <w:autoSpaceDN w:val="0"/>
        <w:adjustRightInd w:val="0"/>
        <w:jc w:val="both"/>
        <w:rPr>
          <w:color w:val="000000" w:themeColor="text1"/>
          <w:sz w:val="16"/>
          <w:szCs w:val="16"/>
        </w:rPr>
      </w:pPr>
    </w:p>
    <w:p w14:paraId="7F305E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5 и 11 сентября 1930. Протокол заседания Политбюро № 6, 1930 г.</w:t>
      </w:r>
    </w:p>
    <w:p w14:paraId="7DA095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Главлите</w:t>
      </w:r>
    </w:p>
    <w:p w14:paraId="14939A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связи с перестройкой издательского дела в центре, ростом низовой печати и радиовещания и в целях улучшения постановки контроля за литературой, радиовещанием, лекциями, выставками и т. п. поручить Наркомпросу реорганизовать Главлит на следующих основах: </w:t>
      </w:r>
    </w:p>
    <w:p w14:paraId="7D9637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I. Освободить центральный аппарат Главлита от всяких оперативных работ по предварительному просмотру печатного материала как с точки зрения политико-идеологической, так и с военно-экономической. Сохранить за аппаратом Главлита функции: </w:t>
      </w:r>
    </w:p>
    <w:p w14:paraId="06CCE5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общего объединения всех видов цензуры; </w:t>
      </w:r>
    </w:p>
    <w:p w14:paraId="7D93A9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общего руководства и инспектирования подчиненных органов и уполномоченных; </w:t>
      </w:r>
    </w:p>
    <w:p w14:paraId="24D8F3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последующего контроля за выходящей литературой как с политико-идеологической, так и с военно-экономической точек зрения; </w:t>
      </w:r>
    </w:p>
    <w:p w14:paraId="320720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разрешения и запрещения изданий и издательств; </w:t>
      </w:r>
    </w:p>
    <w:p w14:paraId="56713E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издания правил и распоряжений для обеспечения требования партии и правительства в области цензуры; </w:t>
      </w:r>
    </w:p>
    <w:p w14:paraId="5167DB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рассмотрения апелляций на решения органов и уполномоченных Главлита; </w:t>
      </w:r>
    </w:p>
    <w:p w14:paraId="186D49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7) выработки совместно с другими ведомствами и осуществления перечней сведений, являющихся по своему содержанию специально охраняемой государственной тайной; </w:t>
      </w:r>
    </w:p>
    <w:p w14:paraId="339745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8) составления обзоров литературы и происходящих в ней явлений; </w:t>
      </w:r>
    </w:p>
    <w:p w14:paraId="4D6220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9) привлечения к ответственности виновных в нарушении требований Главлита и его органов в области цензуры; </w:t>
      </w:r>
    </w:p>
    <w:p w14:paraId="489665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10) представления на утверждение НКТП редакторов и редколлегий. </w:t>
      </w:r>
    </w:p>
    <w:p w14:paraId="4CC03F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Основным звеном в области предварительного контроля за литературой, радиовещанием и т. п. признать институт уполномоченных. Весь предварительный просмотр всего печатного материала производить в самих издательствах, обязав последние обеспечить содержание необходимого штата уполномоченных Главлита. В районных газетах уполномоченными могут быть назначены редактора газет по совместительству (11652).</w:t>
      </w:r>
    </w:p>
    <w:p w14:paraId="0642C336" w14:textId="77777777" w:rsidR="00537E5F" w:rsidRPr="00507A31" w:rsidRDefault="00537E5F" w:rsidP="00507A31">
      <w:pPr>
        <w:autoSpaceDE w:val="0"/>
        <w:autoSpaceDN w:val="0"/>
        <w:adjustRightInd w:val="0"/>
        <w:jc w:val="both"/>
        <w:rPr>
          <w:color w:val="000000" w:themeColor="text1"/>
          <w:sz w:val="16"/>
          <w:szCs w:val="16"/>
        </w:rPr>
      </w:pPr>
    </w:p>
    <w:p w14:paraId="4A47A98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A3ED797" w14:textId="77777777" w:rsidR="00537E5F" w:rsidRPr="00507A31" w:rsidRDefault="00537E5F" w:rsidP="00507A31">
      <w:pPr>
        <w:autoSpaceDE w:val="0"/>
        <w:autoSpaceDN w:val="0"/>
        <w:adjustRightInd w:val="0"/>
        <w:jc w:val="both"/>
        <w:rPr>
          <w:iCs/>
          <w:color w:val="000000" w:themeColor="text1"/>
          <w:sz w:val="16"/>
          <w:szCs w:val="16"/>
        </w:rPr>
      </w:pPr>
    </w:p>
    <w:p w14:paraId="17E17CE5"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color w:val="000000" w:themeColor="text1"/>
          <w:sz w:val="16"/>
          <w:szCs w:val="16"/>
        </w:rPr>
        <w:t>6 сентября 1930 в Коллегию ЦАГИ поступило заключение НТК по предварительному проекту самолета И-8 и сопроводительное письмо, в котором отмечалось, что:</w:t>
      </w:r>
    </w:p>
    <w:p w14:paraId="40812A25"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«I секция НТК обращает самое серьезное внимание как Коллегии ЦАГИ, так и конструкторской группы, взявшей на себя в порядке общественного договора обязательство построить наилучший самолет, что самолет И-8, как то позволяют установить расчеты, совершенно не удовлетворяет предъявленным к нему требованиям.</w:t>
      </w:r>
    </w:p>
    <w:p w14:paraId="363A95D3"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Представленные в секцию данные самолета настолько отклоняются от данных эскизного проекта в сторону их снижения, что встает вопрос о целесообразности окончания постройки самолета.</w:t>
      </w:r>
    </w:p>
    <w:p w14:paraId="009284F7"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Секция срочно ожидает от руководителей конструкторской группы (путем личного доклада в секции) обоснования расчетов по последним присланным материалам.</w:t>
      </w:r>
    </w:p>
    <w:p w14:paraId="1003ABE2"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Ответственность группы за возможный материальный ущерб и задержку в выполнении плана авиастроительства обязывает ее принять все, какие еще возможны меры по улучшению качеств самолета.</w:t>
      </w:r>
    </w:p>
    <w:p w14:paraId="77E5C0C3"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Обращается внимание Коллегии ЦАГИ на недопустимое запоздание в оповещении I-й секции НТК о получении новых данных; последние представлены лишь теперь, когда готовность самолета определяется в 80 или больше процентов».</w:t>
      </w:r>
    </w:p>
    <w:p w14:paraId="4420DF01"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color w:val="000000" w:themeColor="text1"/>
          <w:sz w:val="16"/>
          <w:szCs w:val="16"/>
        </w:rPr>
        <w:t>В ответном письме А. Н. Туполев сообщил, что:</w:t>
      </w:r>
    </w:p>
    <w:p w14:paraId="3C1809A6"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«При проектировании самолета И-8 предполагалось иметь мотор «Кертис» с охлаждением этилен-гликолем и специальные радиаторы для установки по бортам фюзеляжа; фюзеляж и оперение предполагалось сварить из хромомолибденовых труб; шасси должно было иметь тормозные колеса «Bendix». В действительности машину приходится выполнять под мотор, охлаждающийся водой, с фюзеляжем из простых углеродистых труб, кольчугалюминиевым оперением и обычными колесами.</w:t>
      </w:r>
    </w:p>
    <w:p w14:paraId="0136E872"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Все это вызвало с одной стороны перетяжеление конструкции, а с другой стороны – увеличение лобового сопротивления самолета, сказавшиеся на аэродинамических данных предварительного расчета.</w:t>
      </w:r>
    </w:p>
    <w:p w14:paraId="3280074D"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Одновременно с аэродинамическим расчетом самолета с простым мотором, нами был сделан расчет под моторы «Кертис» с повышенной степенью сжатия и наддувом. Из рассмотрения прилагаемой таблицы, в которой приведена сводка данных этих аэродинамических расчетов, видно, что для удовлетворения высоких требований, предъявленных к самолету, следует ставить только мотор с наддувом.</w:t>
      </w:r>
    </w:p>
    <w:p w14:paraId="74A4DD0D"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lastRenderedPageBreak/>
        <w:t>Постановление I секции НТК от 21.05 с.г., подтвержденное Президиумом НТК, отмечает необходимость постановки на И-8 мотора с наддувом. Испытание самолета с простым мотором дает уверенность в тех данных, которые будут у самолета при постановке мотора с наддувом.</w:t>
      </w:r>
    </w:p>
    <w:p w14:paraId="73C13D62" w14:textId="77777777" w:rsidR="005E2FF8" w:rsidRPr="00507A31" w:rsidRDefault="005E2FF8"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Что касается мер для улучшения аэродинамических качеств самолета, то последние приняты, и в частности, радиатор, уже после производства аэродинамического расчета, выполняется туннельного типа, колеса берутся в обтекатели.</w:t>
      </w:r>
    </w:p>
    <w:p w14:paraId="575CD25C" w14:textId="77777777" w:rsidR="005E2FF8" w:rsidRPr="00507A31" w:rsidRDefault="005E2FF8" w:rsidP="00507A31">
      <w:pPr>
        <w:pStyle w:val="rtejustify"/>
        <w:shd w:val="clear" w:color="auto" w:fill="FFFFFF"/>
        <w:spacing w:before="0" w:after="0"/>
        <w:rPr>
          <w:rStyle w:val="af0"/>
          <w:i w:val="0"/>
          <w:color w:val="000000" w:themeColor="text1"/>
          <w:sz w:val="16"/>
          <w:szCs w:val="16"/>
          <w:bdr w:val="none" w:sz="0" w:space="0" w:color="auto" w:frame="1"/>
        </w:rPr>
      </w:pPr>
      <w:r w:rsidRPr="00507A31">
        <w:rPr>
          <w:rStyle w:val="af0"/>
          <w:i w:val="0"/>
          <w:color w:val="000000" w:themeColor="text1"/>
          <w:sz w:val="16"/>
          <w:szCs w:val="16"/>
          <w:bdr w:val="none" w:sz="0" w:space="0" w:color="auto" w:frame="1"/>
        </w:rPr>
        <w:t>Запоздание с производством предварительного расчета было вызвано поздним выяснением вопроса об охлаждении мотора в связи с задержкой получения мотора» (19171).</w:t>
      </w:r>
    </w:p>
    <w:p w14:paraId="1EFEF3B5" w14:textId="77777777" w:rsidR="005E2FF8" w:rsidRPr="00507A31" w:rsidRDefault="005E2FF8" w:rsidP="00507A31">
      <w:pPr>
        <w:pStyle w:val="rtejustify"/>
        <w:shd w:val="clear" w:color="auto" w:fill="FFFFFF"/>
        <w:spacing w:before="0" w:after="0"/>
        <w:rPr>
          <w:color w:val="000000" w:themeColor="text1"/>
          <w:sz w:val="16"/>
          <w:szCs w:val="16"/>
        </w:rPr>
      </w:pPr>
    </w:p>
    <w:p w14:paraId="35D829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сентября 1930 Скржинский пишет Камову из Киева:</w:t>
      </w:r>
    </w:p>
    <w:p w14:paraId="40CBE0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«Дорогой Николай Ильич! Письмо Ваше получил, оно меня очень об</w:t>
      </w:r>
      <w:r w:rsidRPr="00507A31">
        <w:rPr>
          <w:color w:val="000000" w:themeColor="text1"/>
          <w:sz w:val="16"/>
          <w:szCs w:val="16"/>
        </w:rPr>
        <w:softHyphen/>
        <w:t>радовало, чувствую себя словно именинник. Очень приятно, что П.И. (П.И. Баранов) все видел, теперь машина более или ме</w:t>
      </w:r>
      <w:r w:rsidRPr="00507A31">
        <w:rPr>
          <w:color w:val="000000" w:themeColor="text1"/>
          <w:sz w:val="16"/>
          <w:szCs w:val="16"/>
        </w:rPr>
        <w:softHyphen/>
        <w:t>нее застрахована в своей репутации. Вообще в этом году нам везет, ку</w:t>
      </w:r>
      <w:r w:rsidRPr="00507A31">
        <w:rPr>
          <w:color w:val="000000" w:themeColor="text1"/>
          <w:sz w:val="16"/>
          <w:szCs w:val="16"/>
        </w:rPr>
        <w:softHyphen/>
        <w:t>да гораздо больше, чем в прошлом (!). Судя по письму, с Кошицем то</w:t>
      </w:r>
      <w:r w:rsidRPr="00507A31">
        <w:rPr>
          <w:color w:val="000000" w:themeColor="text1"/>
          <w:sz w:val="16"/>
          <w:szCs w:val="16"/>
        </w:rPr>
        <w:softHyphen/>
        <w:t>же будет все благополучно. Я рад за него...» (10224,32).</w:t>
      </w:r>
    </w:p>
    <w:p w14:paraId="686027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BD251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сентября 1930 состоялось совещание (прот. 4) замов с председателем РВС о контрольных цифрах ЦАГИ и НАМИ на 1930/31 гг. (1026).</w:t>
      </w:r>
    </w:p>
    <w:p w14:paraId="5E7F49FC" w14:textId="77777777" w:rsidR="00537E5F" w:rsidRPr="00507A31" w:rsidRDefault="00537E5F" w:rsidP="00507A31">
      <w:pPr>
        <w:autoSpaceDE w:val="0"/>
        <w:autoSpaceDN w:val="0"/>
        <w:adjustRightInd w:val="0"/>
        <w:jc w:val="both"/>
        <w:rPr>
          <w:color w:val="000000" w:themeColor="text1"/>
          <w:sz w:val="16"/>
          <w:szCs w:val="16"/>
        </w:rPr>
      </w:pPr>
    </w:p>
    <w:p w14:paraId="544631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сентября 1930 Выписка из протокола № 4 совещания замов с пред. РВСР:</w:t>
      </w:r>
    </w:p>
    <w:p w14:paraId="23D568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Слушали:</w:t>
      </w:r>
    </w:p>
    <w:p w14:paraId="4D0EB6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Контрольные цифры ЦАГИ и НАМИ на 1930/31 гг (докл. т. Петренко)</w:t>
      </w:r>
    </w:p>
    <w:p w14:paraId="486FA7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7E711A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Утвердить контрольные цифры по ЦАГИ и НАМИ на 1930/31 г в сумме 20.322.000 руб., в т.ч. по импорту 2.627.000 руб.</w:t>
      </w:r>
    </w:p>
    <w:p w14:paraId="541FB8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Внести из на рассмотрение РЗ СТО</w:t>
      </w:r>
    </w:p>
    <w:p w14:paraId="5FEEF2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Считать намесенные в контрольных цифрах административно-хозяйственные расходы сугубо ориентировочными, подлежащими значительному сокращению при составлении исполнительной сметы.</w:t>
      </w:r>
    </w:p>
    <w:p w14:paraId="6CD3B1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До составления исполнительных смет рассмотреть на заседании РВСС детальный план работ ЦАГИ и НАМИ на 1930/31 г., а также точно определить количество и объем опытных работ и сроки их окончания, исходя из всемерного поднятия темпов.</w:t>
      </w:r>
    </w:p>
    <w:p w14:paraId="1041B0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Военно-строительному управлению РККА взять под свое непосредственное наблюдение заготовку строительных материалов для капитальных строений ЦАГИ и НАМИ.</w:t>
      </w:r>
    </w:p>
    <w:p w14:paraId="432A14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Тов. Каменеву С.С., совместно с т. Муклевичем и т. Туполевым с учетом очередности работ по авиационным моторам, наметить для глиссеров один определенный ти потора /желательно авиационный/</w:t>
      </w:r>
    </w:p>
    <w:p w14:paraId="406812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Секретарь РВС СССР Литуновский</w:t>
      </w:r>
    </w:p>
    <w:p w14:paraId="739126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ЦГАСА, ф. 4,оп. 1, д. 1438, л. 35 (1026,112).</w:t>
      </w:r>
    </w:p>
    <w:p w14:paraId="2280A8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CBA95AB" w14:textId="77777777" w:rsidR="00537E5F" w:rsidRPr="00507A31" w:rsidRDefault="00AC735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D0C9065" w14:textId="77777777" w:rsidR="00537E5F" w:rsidRPr="00507A31" w:rsidRDefault="00537E5F" w:rsidP="00507A31">
      <w:pPr>
        <w:shd w:val="clear" w:color="auto" w:fill="FFFFFF"/>
        <w:autoSpaceDE w:val="0"/>
        <w:autoSpaceDN w:val="0"/>
        <w:adjustRightInd w:val="0"/>
        <w:jc w:val="both"/>
        <w:rPr>
          <w:iCs/>
          <w:color w:val="000000" w:themeColor="text1"/>
          <w:sz w:val="16"/>
          <w:szCs w:val="16"/>
        </w:rPr>
      </w:pPr>
    </w:p>
    <w:p w14:paraId="460C53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сентября 1930 как и Решением РВС СССР от 13 августа и от 2 октября были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 (11210).</w:t>
      </w:r>
    </w:p>
    <w:p w14:paraId="61E38370" w14:textId="77777777" w:rsidR="00537E5F" w:rsidRPr="00507A31" w:rsidRDefault="00537E5F" w:rsidP="00507A31">
      <w:pPr>
        <w:autoSpaceDE w:val="0"/>
        <w:autoSpaceDN w:val="0"/>
        <w:adjustRightInd w:val="0"/>
        <w:jc w:val="both"/>
        <w:rPr>
          <w:color w:val="000000" w:themeColor="text1"/>
          <w:sz w:val="16"/>
          <w:szCs w:val="16"/>
        </w:rPr>
      </w:pPr>
    </w:p>
    <w:p w14:paraId="703645D0" w14:textId="77777777" w:rsidR="00AF4131" w:rsidRPr="00507A31" w:rsidRDefault="00AF4131" w:rsidP="00507A31">
      <w:pPr>
        <w:jc w:val="both"/>
        <w:rPr>
          <w:color w:val="000000" w:themeColor="text1"/>
          <w:sz w:val="16"/>
          <w:szCs w:val="16"/>
          <w:u w:color="002060"/>
        </w:rPr>
      </w:pPr>
      <w:r w:rsidRPr="00507A31">
        <w:rPr>
          <w:color w:val="000000" w:themeColor="text1"/>
          <w:sz w:val="16"/>
          <w:szCs w:val="16"/>
          <w:u w:color="002060"/>
        </w:rPr>
        <w:t>6 сентября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7. 20. Заявление Смилги [о контрольных цифрах по военной промышленности]. (Политбюро... Т. 2. С. 75) (12416).</w:t>
      </w:r>
    </w:p>
    <w:p w14:paraId="6D212C81" w14:textId="77777777" w:rsidR="00AF4131" w:rsidRPr="00507A31" w:rsidRDefault="00AF4131" w:rsidP="00507A31">
      <w:pPr>
        <w:jc w:val="both"/>
        <w:rPr>
          <w:color w:val="000000" w:themeColor="text1"/>
          <w:sz w:val="16"/>
          <w:szCs w:val="16"/>
          <w:u w:color="002060"/>
        </w:rPr>
      </w:pPr>
    </w:p>
    <w:p w14:paraId="2CB5391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3F5BF44F" w14:textId="77777777" w:rsidR="00537E5F" w:rsidRPr="00507A31" w:rsidRDefault="00537E5F" w:rsidP="00507A31">
      <w:pPr>
        <w:autoSpaceDE w:val="0"/>
        <w:autoSpaceDN w:val="0"/>
        <w:adjustRightInd w:val="0"/>
        <w:jc w:val="both"/>
        <w:rPr>
          <w:iCs/>
          <w:color w:val="000000" w:themeColor="text1"/>
          <w:sz w:val="16"/>
          <w:szCs w:val="16"/>
        </w:rPr>
      </w:pPr>
    </w:p>
    <w:p w14:paraId="45B84314" w14:textId="77777777" w:rsidR="00F661E1" w:rsidRPr="00507A31" w:rsidRDefault="00F661E1" w:rsidP="00507A31">
      <w:pPr>
        <w:jc w:val="both"/>
        <w:rPr>
          <w:color w:val="000000" w:themeColor="text1"/>
          <w:sz w:val="16"/>
          <w:szCs w:val="16"/>
        </w:rPr>
      </w:pPr>
      <w:r w:rsidRPr="00507A31">
        <w:rPr>
          <w:color w:val="000000" w:themeColor="text1"/>
          <w:sz w:val="16"/>
          <w:szCs w:val="16"/>
        </w:rPr>
        <w:t>6 сентября 1930 г. в Штаб РККА были направлены «Соображения по вопросу о дислокации частей ВВС (…) во второй половине первой пятилетки». В «Соображениях …» указывалось, что, через 14 месяцев, к 1 октября 1931 г., авиапарк увеличивается на 839 самолетов, а Штаб РККА создание новых авиагарнизонов не планирует. Между тем, существующие авиагарнизоны перегружены, и для авиачастей не хватает полигонов и стрельбищ. Исходя из этого, в «Соображениях …» предлагалось уже в 1930/31 г. начать строительство гарнизонов в Туле, Ржеве, Луганске, не считая Монино, где строительство уже велось. Дополнительно указывались Сталино и Курск. Требовалось позаботиться о размещении в новых гарнизонах личного состава (19566).</w:t>
      </w:r>
    </w:p>
    <w:p w14:paraId="48F241F0" w14:textId="77777777" w:rsidR="00F661E1" w:rsidRPr="00507A31" w:rsidRDefault="00F661E1" w:rsidP="00507A31">
      <w:pPr>
        <w:jc w:val="both"/>
        <w:rPr>
          <w:color w:val="000000" w:themeColor="text1"/>
          <w:sz w:val="16"/>
          <w:szCs w:val="16"/>
        </w:rPr>
      </w:pPr>
    </w:p>
    <w:p w14:paraId="10D86E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сентября 1930 был утвержден устав ВАО Наркомвоенмора (1647,4).</w:t>
      </w:r>
    </w:p>
    <w:p w14:paraId="5A1BB30D" w14:textId="77777777" w:rsidR="00537E5F" w:rsidRPr="00507A31" w:rsidRDefault="00537E5F" w:rsidP="00507A31">
      <w:pPr>
        <w:autoSpaceDE w:val="0"/>
        <w:autoSpaceDN w:val="0"/>
        <w:adjustRightInd w:val="0"/>
        <w:jc w:val="both"/>
        <w:rPr>
          <w:color w:val="000000" w:themeColor="text1"/>
          <w:sz w:val="16"/>
          <w:szCs w:val="16"/>
        </w:rPr>
      </w:pPr>
    </w:p>
    <w:p w14:paraId="73B0D46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1D0AB8F" w14:textId="77777777" w:rsidR="00537E5F" w:rsidRPr="00507A31" w:rsidRDefault="00537E5F" w:rsidP="00507A31">
      <w:pPr>
        <w:autoSpaceDE w:val="0"/>
        <w:autoSpaceDN w:val="0"/>
        <w:adjustRightInd w:val="0"/>
        <w:jc w:val="both"/>
        <w:rPr>
          <w:iCs/>
          <w:color w:val="000000" w:themeColor="text1"/>
          <w:sz w:val="16"/>
          <w:szCs w:val="16"/>
        </w:rPr>
      </w:pPr>
    </w:p>
    <w:p w14:paraId="1D5285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сентября 1930 Туркменская ССР. На совещании 30 белуджских ханов в доме Керим-хана обсуждался план бегства ханских семей из СССР за границу при поддержке зарубежных басмачей (10687).</w:t>
      </w:r>
    </w:p>
    <w:p w14:paraId="01E42F85" w14:textId="77777777" w:rsidR="00537E5F" w:rsidRPr="00507A31" w:rsidRDefault="00537E5F" w:rsidP="00507A31">
      <w:pPr>
        <w:autoSpaceDE w:val="0"/>
        <w:autoSpaceDN w:val="0"/>
        <w:adjustRightInd w:val="0"/>
        <w:jc w:val="both"/>
        <w:rPr>
          <w:color w:val="000000" w:themeColor="text1"/>
          <w:sz w:val="16"/>
          <w:szCs w:val="16"/>
        </w:rPr>
      </w:pPr>
    </w:p>
    <w:p w14:paraId="29FFA23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EFEC17E" w14:textId="77777777" w:rsidR="00537E5F" w:rsidRPr="00507A31" w:rsidRDefault="00537E5F" w:rsidP="00507A31">
      <w:pPr>
        <w:autoSpaceDE w:val="0"/>
        <w:autoSpaceDN w:val="0"/>
        <w:adjustRightInd w:val="0"/>
        <w:jc w:val="both"/>
        <w:rPr>
          <w:iCs/>
          <w:color w:val="000000" w:themeColor="text1"/>
          <w:sz w:val="16"/>
          <w:szCs w:val="16"/>
        </w:rPr>
      </w:pPr>
    </w:p>
    <w:p w14:paraId="1E51E1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сентября 1930 был военный переворот в Аргентине (2443,405) и установление диктатуры Х.Ф.Урибу (3960, 347).</w:t>
      </w:r>
    </w:p>
    <w:p w14:paraId="46402193" w14:textId="77777777" w:rsidR="00537E5F" w:rsidRPr="00507A31" w:rsidRDefault="00537E5F" w:rsidP="00507A31">
      <w:pPr>
        <w:autoSpaceDE w:val="0"/>
        <w:autoSpaceDN w:val="0"/>
        <w:adjustRightInd w:val="0"/>
        <w:jc w:val="both"/>
        <w:rPr>
          <w:color w:val="000000" w:themeColor="text1"/>
          <w:sz w:val="16"/>
          <w:szCs w:val="16"/>
        </w:rPr>
      </w:pPr>
    </w:p>
    <w:p w14:paraId="2554EE5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648C664" w14:textId="77777777" w:rsidR="00537E5F" w:rsidRPr="00507A31" w:rsidRDefault="00537E5F" w:rsidP="00507A31">
      <w:pPr>
        <w:autoSpaceDE w:val="0"/>
        <w:autoSpaceDN w:val="0"/>
        <w:adjustRightInd w:val="0"/>
        <w:jc w:val="both"/>
        <w:rPr>
          <w:iCs/>
          <w:color w:val="000000" w:themeColor="text1"/>
          <w:sz w:val="16"/>
          <w:szCs w:val="16"/>
        </w:rPr>
      </w:pPr>
    </w:p>
    <w:p w14:paraId="70EFC0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сентября 1930 в ЦАГИ на аэродроме проводились испытания на первого вертолета ВГ-1 (1-ЭА) в свободном полете (2666,78).</w:t>
      </w:r>
    </w:p>
    <w:p w14:paraId="38A75E68" w14:textId="77777777" w:rsidR="00537E5F" w:rsidRPr="00507A31" w:rsidRDefault="00537E5F" w:rsidP="00507A31">
      <w:pPr>
        <w:autoSpaceDE w:val="0"/>
        <w:autoSpaceDN w:val="0"/>
        <w:adjustRightInd w:val="0"/>
        <w:jc w:val="both"/>
        <w:rPr>
          <w:color w:val="000000" w:themeColor="text1"/>
          <w:sz w:val="16"/>
          <w:szCs w:val="16"/>
        </w:rPr>
      </w:pPr>
    </w:p>
    <w:p w14:paraId="07DD91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сентября 1930 г. состоялось первое висение геликоптера, построенного под руководством Черемухина. Первоначальное название аппарата 1-ВГ — одновинтовой геликоптер, по соображениям секретно</w:t>
      </w:r>
      <w:r w:rsidRPr="00507A31">
        <w:rPr>
          <w:color w:val="000000" w:themeColor="text1"/>
          <w:sz w:val="16"/>
          <w:szCs w:val="16"/>
        </w:rPr>
        <w:softHyphen/>
        <w:t>сти было заменено на 1-ЭА — первый экспериментальный аппарат (10224,30).</w:t>
      </w:r>
    </w:p>
    <w:p w14:paraId="5A2C4D28" w14:textId="77777777" w:rsidR="00537E5F" w:rsidRPr="00507A31" w:rsidRDefault="00537E5F" w:rsidP="00507A31">
      <w:pPr>
        <w:autoSpaceDE w:val="0"/>
        <w:autoSpaceDN w:val="0"/>
        <w:adjustRightInd w:val="0"/>
        <w:jc w:val="both"/>
        <w:rPr>
          <w:color w:val="000000" w:themeColor="text1"/>
          <w:sz w:val="16"/>
          <w:szCs w:val="16"/>
        </w:rPr>
      </w:pPr>
    </w:p>
    <w:p w14:paraId="7098E766" w14:textId="77777777" w:rsidR="00537E5F" w:rsidRPr="00507A31" w:rsidRDefault="00537E5F" w:rsidP="00507A31">
      <w:pPr>
        <w:autoSpaceDE w:val="0"/>
        <w:autoSpaceDN w:val="0"/>
        <w:adjustRightInd w:val="0"/>
        <w:jc w:val="both"/>
        <w:rPr>
          <w:i/>
          <w:color w:val="000000" w:themeColor="text1"/>
          <w:sz w:val="16"/>
          <w:szCs w:val="16"/>
        </w:rPr>
      </w:pPr>
      <w:r w:rsidRPr="00507A31">
        <w:rPr>
          <w:i/>
          <w:color w:val="000000" w:themeColor="text1"/>
          <w:sz w:val="16"/>
          <w:szCs w:val="16"/>
        </w:rPr>
        <w:t>Жизнь и внутреняя политика:</w:t>
      </w:r>
    </w:p>
    <w:p w14:paraId="34F2152A" w14:textId="77777777" w:rsidR="00537E5F" w:rsidRPr="00507A31" w:rsidRDefault="00537E5F" w:rsidP="00507A31">
      <w:pPr>
        <w:autoSpaceDE w:val="0"/>
        <w:autoSpaceDN w:val="0"/>
        <w:adjustRightInd w:val="0"/>
        <w:jc w:val="both"/>
        <w:rPr>
          <w:i/>
          <w:color w:val="000000" w:themeColor="text1"/>
          <w:sz w:val="16"/>
          <w:szCs w:val="16"/>
        </w:rPr>
      </w:pPr>
    </w:p>
    <w:p w14:paraId="4622AF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первых числах сентября 1930 для СТО и СНК был составлен доклад заместителя начальника строительства Берманта и главного инженера профессора Аксамитного. Авторы произвели подсчет объема работ, потребности строительства в основных стройматериалах и стоимость сооружения ББВП, исходя из проектных данных и старых изыскательных материалов. Картина получилась безрадостной. На строительстве, по самым приближенным подсчетам, требовалось извлечь 38 млн. кубометров грунта в ходе земляных работ (на южном участке - 17 млн. и на северном 21 млн.), 19,5 млн. кубометров гранта при дноуглубительных работах (11 и 8,5 соответственно), уложить 2,8 млн. кубометров бетона (1 и 1,8 млн.), установить 31 тыс. тонн металлоконструкций (14 и 17 тыс. тонн соответственно). Для строительства требовалось 31 тыс. тонн сложных металлоконструкций, 54 тыс. тонн арматуры, 14 тыс. тонн рельсов, 820(!) тыс. тонн цемента, причем в этот подсчет не включались расходы на завершение строительства гидроэлектростанции Свирь № 3. Все это безрадостное чтение завершалось потрясающей цифрой расходов. Общая стоимость пути в транспортной его части исчислялась в 535 миллионов рублей, в т. ч. Северный канал "тянул" на 321 миллион. В эту сумму включили и валютные затраты на оборудование для дноуглубительных и земляных работ. Эти затраты составили 45 миллионов рублей ориентировочно, из них 25 миллионов в первый год работ (12107).</w:t>
      </w:r>
    </w:p>
    <w:p w14:paraId="3BACA612" w14:textId="77777777" w:rsidR="00537E5F" w:rsidRPr="00507A31" w:rsidRDefault="00537E5F" w:rsidP="00507A31">
      <w:pPr>
        <w:autoSpaceDE w:val="0"/>
        <w:autoSpaceDN w:val="0"/>
        <w:adjustRightInd w:val="0"/>
        <w:jc w:val="both"/>
        <w:rPr>
          <w:color w:val="000000" w:themeColor="text1"/>
          <w:sz w:val="16"/>
          <w:szCs w:val="16"/>
        </w:rPr>
      </w:pPr>
    </w:p>
    <w:p w14:paraId="40CECBD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86E8F9B" w14:textId="77777777" w:rsidR="00537E5F" w:rsidRPr="00507A31" w:rsidRDefault="00537E5F" w:rsidP="00507A31">
      <w:pPr>
        <w:autoSpaceDE w:val="0"/>
        <w:autoSpaceDN w:val="0"/>
        <w:adjustRightInd w:val="0"/>
        <w:jc w:val="both"/>
        <w:rPr>
          <w:iCs/>
          <w:color w:val="000000" w:themeColor="text1"/>
          <w:sz w:val="16"/>
          <w:szCs w:val="16"/>
        </w:rPr>
      </w:pPr>
    </w:p>
    <w:p w14:paraId="248816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7 сентября 1930 туркам в Анкаре показали пилотаж на Р-5 и возили сановных пассажиров. В результате опоздали в Тифлис. Там заночевали, боясь лететь через горы ночью. Соответственно не вовремя прибыли и в Тегеран, где повторилась история с ожиданием прилета. Из Тегерана - в Термез, оттуда - в Кабул, но с полдороги летчики вернулись из-за неисправности мотора на одном Р-5. На следующий день в Кабул все-таки прилетели. В результате перелет занял значительно больше времени, чем намечалось. В Москву вернулись 18 сентября. Но и это сочли большим достижением. Действительно, машины успешно преодолели трудную трассу </w:t>
      </w:r>
      <w:r w:rsidRPr="00507A31">
        <w:rPr>
          <w:color w:val="000000" w:themeColor="text1"/>
          <w:sz w:val="16"/>
          <w:szCs w:val="16"/>
        </w:rPr>
        <w:lastRenderedPageBreak/>
        <w:t>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13CE94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Всех участников перелета наградили орденами "Красная звезда" (12034). </w:t>
      </w:r>
    </w:p>
    <w:p w14:paraId="77192F83" w14:textId="77777777" w:rsidR="00537E5F" w:rsidRPr="00507A31" w:rsidRDefault="00537E5F" w:rsidP="00507A31">
      <w:pPr>
        <w:autoSpaceDE w:val="0"/>
        <w:autoSpaceDN w:val="0"/>
        <w:adjustRightInd w:val="0"/>
        <w:jc w:val="both"/>
        <w:rPr>
          <w:color w:val="000000" w:themeColor="text1"/>
          <w:sz w:val="16"/>
          <w:szCs w:val="16"/>
        </w:rPr>
      </w:pPr>
    </w:p>
    <w:p w14:paraId="1C40A8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сентября 1930 спорили, надо ли передавать авиамоторостроение из НАМИ, но так и не договорились (1028,101).</w:t>
      </w:r>
    </w:p>
    <w:p w14:paraId="778D36B3" w14:textId="77777777" w:rsidR="00537E5F" w:rsidRPr="00507A31" w:rsidRDefault="00537E5F" w:rsidP="00507A31">
      <w:pPr>
        <w:autoSpaceDE w:val="0"/>
        <w:autoSpaceDN w:val="0"/>
        <w:adjustRightInd w:val="0"/>
        <w:jc w:val="both"/>
        <w:rPr>
          <w:color w:val="000000" w:themeColor="text1"/>
          <w:sz w:val="16"/>
          <w:szCs w:val="16"/>
        </w:rPr>
      </w:pPr>
    </w:p>
    <w:p w14:paraId="1352E7A8" w14:textId="77777777" w:rsidR="001F73C9" w:rsidRPr="00507A31" w:rsidRDefault="001F73C9"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E8DE5F4" w14:textId="77777777" w:rsidR="001F73C9" w:rsidRPr="00507A31" w:rsidRDefault="001F73C9" w:rsidP="00507A31">
      <w:pPr>
        <w:autoSpaceDE w:val="0"/>
        <w:autoSpaceDN w:val="0"/>
        <w:adjustRightInd w:val="0"/>
        <w:jc w:val="both"/>
        <w:rPr>
          <w:iCs/>
          <w:color w:val="000000" w:themeColor="text1"/>
          <w:sz w:val="16"/>
          <w:szCs w:val="16"/>
        </w:rPr>
      </w:pPr>
    </w:p>
    <w:p w14:paraId="7AC9C349" w14:textId="77777777" w:rsidR="001F73C9" w:rsidRPr="00507A31" w:rsidRDefault="001F73C9" w:rsidP="00507A31">
      <w:pPr>
        <w:jc w:val="both"/>
        <w:rPr>
          <w:color w:val="0070C0"/>
          <w:sz w:val="16"/>
          <w:szCs w:val="16"/>
        </w:rPr>
      </w:pPr>
      <w:r w:rsidRPr="00507A31">
        <w:rPr>
          <w:color w:val="0070C0"/>
          <w:sz w:val="16"/>
          <w:szCs w:val="16"/>
        </w:rPr>
        <w:t>7 сен</w:t>
      </w:r>
      <w:r w:rsidRPr="00507A31">
        <w:rPr>
          <w:color w:val="0070C0"/>
          <w:sz w:val="16"/>
          <w:szCs w:val="16"/>
        </w:rPr>
        <w:softHyphen/>
        <w:t>тября 1930, согласно приказу ВСНХ №1909 НАМИ предлагалось установить непосредственную связь с заводскими лабораториями, используя их как филиалы института при заводах, не нарушая при этом их деятельности в обслуживании производства. Было раз</w:t>
      </w:r>
      <w:r w:rsidRPr="00507A31">
        <w:rPr>
          <w:color w:val="0070C0"/>
          <w:sz w:val="16"/>
          <w:szCs w:val="16"/>
        </w:rPr>
        <w:softHyphen/>
        <w:t>решено организовывать филиалы в горо</w:t>
      </w:r>
      <w:r w:rsidRPr="00507A31">
        <w:rPr>
          <w:color w:val="0070C0"/>
          <w:sz w:val="16"/>
          <w:szCs w:val="16"/>
        </w:rPr>
        <w:softHyphen/>
        <w:t>дах, располагающих достаточным коли</w:t>
      </w:r>
      <w:r w:rsidRPr="00507A31">
        <w:rPr>
          <w:color w:val="0070C0"/>
          <w:sz w:val="16"/>
          <w:szCs w:val="16"/>
        </w:rPr>
        <w:softHyphen/>
        <w:t>чеством научных и технических сил (22518).</w:t>
      </w:r>
    </w:p>
    <w:p w14:paraId="2955CE8B" w14:textId="77777777" w:rsidR="001F73C9" w:rsidRPr="00507A31" w:rsidRDefault="001F73C9" w:rsidP="00507A31">
      <w:pPr>
        <w:jc w:val="both"/>
        <w:rPr>
          <w:color w:val="0070C0"/>
          <w:sz w:val="16"/>
          <w:szCs w:val="16"/>
        </w:rPr>
      </w:pPr>
    </w:p>
    <w:p w14:paraId="7F78690F" w14:textId="77777777" w:rsidR="00DD671F" w:rsidRPr="00507A31" w:rsidRDefault="00DD671F" w:rsidP="00507A31">
      <w:pPr>
        <w:autoSpaceDE w:val="0"/>
        <w:autoSpaceDN w:val="0"/>
        <w:adjustRightInd w:val="0"/>
        <w:jc w:val="both"/>
        <w:rPr>
          <w:i/>
          <w:iCs/>
          <w:color w:val="000000" w:themeColor="text1"/>
          <w:sz w:val="16"/>
          <w:szCs w:val="16"/>
        </w:rPr>
      </w:pPr>
      <w:r w:rsidRPr="00507A31">
        <w:rPr>
          <w:i/>
          <w:iCs/>
          <w:color w:val="000000" w:themeColor="text1"/>
          <w:sz w:val="16"/>
          <w:szCs w:val="16"/>
        </w:rPr>
        <w:t>Армия:</w:t>
      </w:r>
    </w:p>
    <w:p w14:paraId="4963645A" w14:textId="77777777" w:rsidR="00DD671F" w:rsidRPr="00507A31" w:rsidRDefault="00DD671F" w:rsidP="00507A31">
      <w:pPr>
        <w:autoSpaceDE w:val="0"/>
        <w:autoSpaceDN w:val="0"/>
        <w:adjustRightInd w:val="0"/>
        <w:jc w:val="both"/>
        <w:rPr>
          <w:i/>
          <w:iCs/>
          <w:color w:val="000000" w:themeColor="text1"/>
          <w:sz w:val="16"/>
          <w:szCs w:val="16"/>
        </w:rPr>
      </w:pPr>
    </w:p>
    <w:p w14:paraId="050DACF0" w14:textId="77777777" w:rsidR="00DD671F" w:rsidRPr="00507A31" w:rsidRDefault="00DD671F" w:rsidP="00507A31">
      <w:pPr>
        <w:jc w:val="both"/>
        <w:rPr>
          <w:color w:val="000000" w:themeColor="text1"/>
          <w:sz w:val="16"/>
          <w:szCs w:val="16"/>
        </w:rPr>
      </w:pPr>
      <w:r w:rsidRPr="00507A31">
        <w:rPr>
          <w:color w:val="000000" w:themeColor="text1"/>
          <w:sz w:val="16"/>
          <w:szCs w:val="16"/>
        </w:rPr>
        <w:t>7 сентября 1930 г. Начальник ВВС РККА направил в РВС СССР доклад «О штатном увеличении ВВС РККА и новых формированиях», в котором говорилось, что «согласно принятому плану развития ВВС РККА (…) к концу 1932 – 33 г. будет в строю 3404 действующих самолета». Особо подчеркивалось, что «1930/31 год является годом передышки и в этом году новые авиационные гарнизоны не развертываются», однако «специальное строительство по плану развития средствами будет обеспечено» (19566).</w:t>
      </w:r>
    </w:p>
    <w:p w14:paraId="78B0174D" w14:textId="77777777" w:rsidR="00DD671F" w:rsidRPr="00507A31" w:rsidRDefault="00DD671F" w:rsidP="00507A31">
      <w:pPr>
        <w:jc w:val="both"/>
        <w:rPr>
          <w:color w:val="000000" w:themeColor="text1"/>
          <w:sz w:val="16"/>
          <w:szCs w:val="16"/>
        </w:rPr>
      </w:pPr>
    </w:p>
    <w:p w14:paraId="167AD3F2" w14:textId="77777777" w:rsidR="00AF4131" w:rsidRPr="00507A31" w:rsidRDefault="00AF4131" w:rsidP="00507A31">
      <w:pPr>
        <w:autoSpaceDE w:val="0"/>
        <w:autoSpaceDN w:val="0"/>
        <w:adjustRightInd w:val="0"/>
        <w:jc w:val="both"/>
        <w:rPr>
          <w:i/>
          <w:iCs/>
          <w:color w:val="000000" w:themeColor="text1"/>
          <w:sz w:val="16"/>
          <w:szCs w:val="16"/>
        </w:rPr>
      </w:pPr>
      <w:r w:rsidRPr="00507A31">
        <w:rPr>
          <w:i/>
          <w:iCs/>
          <w:color w:val="000000" w:themeColor="text1"/>
          <w:sz w:val="16"/>
          <w:szCs w:val="16"/>
        </w:rPr>
        <w:t>Жизнь и внутре</w:t>
      </w:r>
      <w:r w:rsidR="00DD671F" w:rsidRPr="00507A31">
        <w:rPr>
          <w:i/>
          <w:iCs/>
          <w:color w:val="000000" w:themeColor="text1"/>
          <w:sz w:val="16"/>
          <w:szCs w:val="16"/>
        </w:rPr>
        <w:t>н</w:t>
      </w:r>
      <w:r w:rsidRPr="00507A31">
        <w:rPr>
          <w:i/>
          <w:iCs/>
          <w:color w:val="000000" w:themeColor="text1"/>
          <w:sz w:val="16"/>
          <w:szCs w:val="16"/>
        </w:rPr>
        <w:t>няя политика:</w:t>
      </w:r>
    </w:p>
    <w:p w14:paraId="01219ED8" w14:textId="77777777" w:rsidR="00AF4131" w:rsidRPr="00507A31" w:rsidRDefault="00AF4131" w:rsidP="00507A31">
      <w:pPr>
        <w:autoSpaceDE w:val="0"/>
        <w:autoSpaceDN w:val="0"/>
        <w:adjustRightInd w:val="0"/>
        <w:jc w:val="both"/>
        <w:rPr>
          <w:i/>
          <w:iCs/>
          <w:color w:val="000000" w:themeColor="text1"/>
          <w:sz w:val="16"/>
          <w:szCs w:val="16"/>
        </w:rPr>
      </w:pPr>
    </w:p>
    <w:p w14:paraId="01D7733A" w14:textId="77777777" w:rsidR="00AF4131" w:rsidRPr="00507A31" w:rsidRDefault="00AF4131" w:rsidP="00507A31">
      <w:pPr>
        <w:jc w:val="both"/>
        <w:rPr>
          <w:color w:val="000000" w:themeColor="text1"/>
          <w:sz w:val="16"/>
          <w:szCs w:val="16"/>
        </w:rPr>
      </w:pPr>
      <w:r w:rsidRPr="00507A31">
        <w:rPr>
          <w:color w:val="000000" w:themeColor="text1"/>
          <w:sz w:val="16"/>
          <w:szCs w:val="16"/>
        </w:rPr>
        <w:t xml:space="preserve">7 сентября 1930 года было негодующее письмо И. В. Сталина В. М. Молотову: "Говорят, что Рыков и Квиринг хотят потушить дело Северного канала вопреки решениям ПБ. Нужно их осадить и дать по рукам. Сократить максимально финплан - следует, но тушить дело преступно". </w:t>
      </w:r>
    </w:p>
    <w:p w14:paraId="416C38BC" w14:textId="77777777" w:rsidR="00AF4131" w:rsidRPr="00507A31" w:rsidRDefault="00AF4131" w:rsidP="00507A31">
      <w:pPr>
        <w:jc w:val="both"/>
        <w:rPr>
          <w:color w:val="000000" w:themeColor="text1"/>
          <w:sz w:val="16"/>
          <w:szCs w:val="16"/>
        </w:rPr>
      </w:pPr>
      <w:r w:rsidRPr="00507A31">
        <w:rPr>
          <w:color w:val="000000" w:themeColor="text1"/>
          <w:sz w:val="16"/>
          <w:szCs w:val="16"/>
        </w:rPr>
        <w:t xml:space="preserve">Жестко настаивая на продолжении работ, Сталин руководствовался, скорее всего, тем фактом, что военностратегические соображения, принимавшиеся в расчет ранее, полностью сохраняли свою силу. Создание военно-морской группировки на Севере стало насущной необходимостью. Переброска сил вокруг Скандинавии без специальной подготовки крайне затруднена, почти невозможна. На Севере развитой инфраструктуры и системы базирования, позволяющей осуществить автономное обслуживание корабельной группировки, нет. В то же время в составе ВМС РККА нет современных кораблей с осадкой 5,5 метра. Линкоры не в счет, закладка крейсеров планируется лишь на вторую пятилетку. По расчетам проектировщиков, после окончания Свири № 3 глубина на фарватере достигла бы 10 футов. Для переброски подводных лодок, сторожевых кораблей и эскадренных миноносцев этой глубины практически достаточно: стоило снять с кораблей вооружение, боеприпасы и выгрузить часть топлива. </w:t>
      </w:r>
    </w:p>
    <w:p w14:paraId="6FC96044" w14:textId="77777777" w:rsidR="00AF4131" w:rsidRPr="00507A31" w:rsidRDefault="00AF4131" w:rsidP="00507A31">
      <w:pPr>
        <w:jc w:val="both"/>
        <w:rPr>
          <w:color w:val="000000" w:themeColor="text1"/>
          <w:sz w:val="16"/>
          <w:szCs w:val="16"/>
        </w:rPr>
      </w:pPr>
      <w:r w:rsidRPr="00507A31">
        <w:rPr>
          <w:color w:val="000000" w:themeColor="text1"/>
          <w:sz w:val="16"/>
          <w:szCs w:val="16"/>
        </w:rPr>
        <w:t>Существовало и еще одно обстоятельство. Поскольку реконструкция Мариинской системы откладывалась, грузоперевозки вполне можно было осуществлять и на судах "системного" типа, тем более что по Свири они проходили свободно. Такой вариант был лучше, чем тратить огромное количество остродефицитных материалов и валюты на долгострой (12129).</w:t>
      </w:r>
    </w:p>
    <w:p w14:paraId="1B7F0BBD" w14:textId="77777777" w:rsidR="00AF4131" w:rsidRPr="00507A31" w:rsidRDefault="00AF4131" w:rsidP="00507A31">
      <w:pPr>
        <w:jc w:val="both"/>
        <w:rPr>
          <w:color w:val="000000" w:themeColor="text1"/>
          <w:sz w:val="16"/>
          <w:szCs w:val="16"/>
        </w:rPr>
      </w:pPr>
    </w:p>
    <w:p w14:paraId="73F20F0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8375051" w14:textId="77777777" w:rsidR="00537E5F" w:rsidRPr="00507A31" w:rsidRDefault="00537E5F" w:rsidP="00507A31">
      <w:pPr>
        <w:autoSpaceDE w:val="0"/>
        <w:autoSpaceDN w:val="0"/>
        <w:adjustRightInd w:val="0"/>
        <w:jc w:val="both"/>
        <w:rPr>
          <w:iCs/>
          <w:color w:val="000000" w:themeColor="text1"/>
          <w:sz w:val="16"/>
          <w:szCs w:val="16"/>
        </w:rPr>
      </w:pPr>
    </w:p>
    <w:p w14:paraId="6D1106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сентября 1930 г. вышел приказ по ВСНХ СССР во исполнение постановления СНК СССР от 5 сентября 1930 г., в соответствии с которыми опытный завод, авиаотдел и авиаиспытательная станция НАМИ передавались в ведение Наркомвоенмора. На расширенном заседании РВС по вопросу создания нового института, где присутствовало много технических специалистов из армии, НАМИ, ЦАГИ, всё решилось в пользу предложения авторов письма. Для начала было принято решение объединить под эгидой ЦАГИ Винтомоторный отдел ЦАГИ и Авиационный отдел НАМИ. Группа моторостроителей НАМИ влилась в коллектив нового института (а моторный автотракторный институт - НАТИ - был создан чуть позже). Эта объединенная организация получила название ОАМ - ЦАГИ (Отдел авиационных моторов ЦАГИ). Начальником ОАМ - ЦАГИ был назначен Б.С. Стечкин. ОАМ - первое из имен будущего ЦИАМ (12057).</w:t>
      </w:r>
    </w:p>
    <w:p w14:paraId="4122C7CA" w14:textId="77777777" w:rsidR="00537E5F" w:rsidRPr="00507A31" w:rsidRDefault="00537E5F" w:rsidP="00507A31">
      <w:pPr>
        <w:autoSpaceDE w:val="0"/>
        <w:autoSpaceDN w:val="0"/>
        <w:adjustRightInd w:val="0"/>
        <w:jc w:val="both"/>
        <w:rPr>
          <w:color w:val="000000" w:themeColor="text1"/>
          <w:sz w:val="16"/>
          <w:szCs w:val="16"/>
        </w:rPr>
      </w:pPr>
    </w:p>
    <w:p w14:paraId="6E5775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сентября 1930 г. из планов ИАМ исключили М-43. По заданию это должен был быть мо</w:t>
      </w:r>
      <w:r w:rsidRPr="00507A31">
        <w:rPr>
          <w:color w:val="000000" w:themeColor="text1"/>
          <w:sz w:val="16"/>
          <w:szCs w:val="16"/>
        </w:rPr>
        <w:softHyphen/>
        <w:t>тор водяного охлаждения в 700-1000 л.с. с весом 820 кг. Но реально по нему не сделали ничего. Одновременно сняли с плана М-46 — «мощный мотор воздуш</w:t>
      </w:r>
      <w:r w:rsidRPr="00507A31">
        <w:rPr>
          <w:color w:val="000000" w:themeColor="text1"/>
          <w:sz w:val="16"/>
          <w:szCs w:val="16"/>
        </w:rPr>
        <w:softHyphen/>
        <w:t>ного охлаждения». По другому документу М-46 должен был быть двигате</w:t>
      </w:r>
      <w:r w:rsidRPr="00507A31">
        <w:rPr>
          <w:color w:val="000000" w:themeColor="text1"/>
          <w:sz w:val="16"/>
          <w:szCs w:val="16"/>
        </w:rPr>
        <w:softHyphen/>
        <w:t>лем для авиеток мощностью 40 л.с. Его создание хотели поручить заводу № 29, так же как аналогичный М-47 в 20 л.с. Остается полной загадкой первый мотор с обозначением М-75. В плане он именуется «мотором ЦАГИ для аэросаней». В связи с подготовкой документа «Система вооружения ВВС РККА» выдали более 20 новых за</w:t>
      </w:r>
      <w:r w:rsidRPr="00507A31">
        <w:rPr>
          <w:color w:val="000000" w:themeColor="text1"/>
          <w:sz w:val="16"/>
          <w:szCs w:val="16"/>
        </w:rPr>
        <w:softHyphen/>
        <w:t>даний на различные авиадвигатели. Но руководство ВАО, а затем ГУАП НКТП попросту отказывалось за</w:t>
      </w:r>
      <w:r w:rsidRPr="00507A31">
        <w:rPr>
          <w:color w:val="000000" w:themeColor="text1"/>
          <w:sz w:val="16"/>
          <w:szCs w:val="16"/>
        </w:rPr>
        <w:softHyphen/>
        <w:t>ниматься этими конструкциями, не обеспеченными финансированием, ма</w:t>
      </w:r>
      <w:r w:rsidRPr="00507A31">
        <w:rPr>
          <w:color w:val="000000" w:themeColor="text1"/>
          <w:sz w:val="16"/>
          <w:szCs w:val="16"/>
        </w:rPr>
        <w:softHyphen/>
        <w:t>териалами, комплектующими. Да и понятно, что, занимаясь проектирова</w:t>
      </w:r>
      <w:r w:rsidRPr="00507A31">
        <w:rPr>
          <w:color w:val="000000" w:themeColor="text1"/>
          <w:sz w:val="16"/>
          <w:szCs w:val="16"/>
        </w:rPr>
        <w:softHyphen/>
        <w:t>нием нескольких десятков моторов сразу, придется распылять и без того немногочисленные конструкторские коллективы. В итоге большинство заданий УВВС того периода «повисло в возду</w:t>
      </w:r>
      <w:r w:rsidRPr="00507A31">
        <w:rPr>
          <w:color w:val="000000" w:themeColor="text1"/>
          <w:sz w:val="16"/>
          <w:szCs w:val="16"/>
        </w:rPr>
        <w:softHyphen/>
        <w:t>хе». Поскольку работа по ним не велась, то и документов сохранилось немного. По многим двигателям не удалось найти даже основных пара</w:t>
      </w:r>
      <w:r w:rsidRPr="00507A31">
        <w:rPr>
          <w:color w:val="000000" w:themeColor="text1"/>
          <w:sz w:val="16"/>
          <w:szCs w:val="16"/>
        </w:rPr>
        <w:softHyphen/>
        <w:t>метров. Так, о М-31 известно, что это должен был быть мотор водяного охлаждения мощностью 500-600 л.с. с ПЦН и весом, не превышающим 420 кг. Ранее уже говорилось, что под требования этого задания хотели постепенно довести М-19с. Бесполезность составления ничем не подкрепленных грандиозных пла</w:t>
      </w:r>
      <w:r w:rsidRPr="00507A31">
        <w:rPr>
          <w:color w:val="000000" w:themeColor="text1"/>
          <w:sz w:val="16"/>
          <w:szCs w:val="16"/>
        </w:rPr>
        <w:softHyphen/>
        <w:t>нов вскоре стала ясна всем. 5 августа 1931 г. Реввоенсовет издал поста</w:t>
      </w:r>
      <w:r w:rsidRPr="00507A31">
        <w:rPr>
          <w:color w:val="000000" w:themeColor="text1"/>
          <w:sz w:val="16"/>
          <w:szCs w:val="16"/>
        </w:rPr>
        <w:softHyphen/>
        <w:t>новление о сокращении типажа самолетов и моторов. В соответствии с ним в планах заводов и институтов оставили только наиболее перспек</w:t>
      </w:r>
      <w:r w:rsidRPr="00507A31">
        <w:rPr>
          <w:color w:val="000000" w:themeColor="text1"/>
          <w:sz w:val="16"/>
          <w:szCs w:val="16"/>
        </w:rPr>
        <w:softHyphen/>
        <w:t>тивные и наилучшим образом проработанные проекты (11852).</w:t>
      </w:r>
    </w:p>
    <w:p w14:paraId="2C534A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2528FB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4607617" w14:textId="77777777" w:rsidR="00537E5F" w:rsidRPr="00507A31" w:rsidRDefault="00537E5F" w:rsidP="00507A31">
      <w:pPr>
        <w:autoSpaceDE w:val="0"/>
        <w:autoSpaceDN w:val="0"/>
        <w:adjustRightInd w:val="0"/>
        <w:jc w:val="both"/>
        <w:rPr>
          <w:iCs/>
          <w:color w:val="000000" w:themeColor="text1"/>
          <w:sz w:val="16"/>
          <w:szCs w:val="16"/>
        </w:rPr>
      </w:pPr>
    </w:p>
    <w:p w14:paraId="039F07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сентября 1930 г. Постановлением Президиума ВСНХ СССР в Москве были организованы первый в стране институт химического машиностроения – Государственный научно-исследовательский институт химического машиностроения (ГНИИХМ), а в Ленинграде – Государственный научно-исследовательский институт машиностроения и металлообработки, которые подчинялись Всесоюзному объединению тяжелого машиностроения. ГНИИХМ фактически институт начал работать в 1931 г. Позднее он был реорганизован в Экспериментально-конструкторский институт химического машиностроения (ЭКИхиммаш). Одновременно с ГНИИХМ в Баку был создан Институт нефтяного оборудования. В том же 1931 г. в Ленинграде на базе НИИмаша был организован Гипроазотмаш, в Москве на базе гидравлической лаборатории ЦАГИ – Всесоюзный институт гидромашиностроения (ВИГМ, в последующем ВНИИгидромаш), возглавивший научные исследования по насосостроению (11713).</w:t>
      </w:r>
    </w:p>
    <w:p w14:paraId="06F28D97" w14:textId="77777777" w:rsidR="00537E5F" w:rsidRPr="00507A31" w:rsidRDefault="00537E5F" w:rsidP="00507A31">
      <w:pPr>
        <w:autoSpaceDE w:val="0"/>
        <w:autoSpaceDN w:val="0"/>
        <w:adjustRightInd w:val="0"/>
        <w:jc w:val="both"/>
        <w:rPr>
          <w:color w:val="000000" w:themeColor="text1"/>
          <w:sz w:val="16"/>
          <w:szCs w:val="16"/>
        </w:rPr>
      </w:pPr>
    </w:p>
    <w:p w14:paraId="222E7EA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CBD60E5" w14:textId="77777777" w:rsidR="00537E5F" w:rsidRPr="00507A31" w:rsidRDefault="00537E5F" w:rsidP="00507A31">
      <w:pPr>
        <w:autoSpaceDE w:val="0"/>
        <w:autoSpaceDN w:val="0"/>
        <w:adjustRightInd w:val="0"/>
        <w:jc w:val="both"/>
        <w:rPr>
          <w:color w:val="000000" w:themeColor="text1"/>
          <w:sz w:val="16"/>
          <w:szCs w:val="16"/>
        </w:rPr>
      </w:pPr>
    </w:p>
    <w:p w14:paraId="383B33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сентября 1930 г. - из выступления председателя СНК СССР и СТО А.И.Рыкова на совещании со своими заместителями по вопросу «О контрольных цифрах народного хозяйства на 1930/31 год»</w:t>
      </w:r>
    </w:p>
    <w:p w14:paraId="5221FE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Работу по контрольным цифрам мы в основном закончили. Нам предстоит еще очень значительная работа по окончательной увязке отдельных частей в соответствии с решениями, которые приняты по экспортно-импортному плану, более тщательная увязка отдельных элементов плана в составленном нами общем балансе и окончательное редактирование материала. Но в основном работа по контрольным цифрам, повторяю, закончена. Основные проблемы народнохозяйственного плана будущего года стоят довольно ясно, их мы сегодня будем докладывать и мы по ним будем просить директив. </w:t>
      </w:r>
    </w:p>
    <w:p w14:paraId="7D30DF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Общие установки плана</w:t>
      </w:r>
    </w:p>
    <w:p w14:paraId="570068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Первый вопрос, перед которым мы стали - это итоги 1929/30 г. 1929/30 год был годом, который лежал на стыке между теми темпами роста хозяйства, которые были намечены в пятилетнем плане, и теми темпами, которые в отношении перспектив роста отдельных отраслей хозяйства были намечены директивами ЦК партии, директивами, которые получили свое законченное выражение на XVI партсъезде. 1929/30 год, наряду с очень значительными достижениями, был годом значительных прорывов. Производственная программа планируемой промышленности будет недовыполнена на 5%. Производственная программа по сельскому хозяйству, в частности полеводства, выполнена в целом на уровне, очень близком к проектировкам контрольных цифр. Глубокий прорыв мы имеем в части животноводства. </w:t>
      </w:r>
    </w:p>
    <w:p w14:paraId="45C617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Программа капитальных вложений во все народное хозяйство в ценах соответствующего года будет к 1 октября недовыполнена миллиарда на два минимум по всем секторам, в том числе по планируемой ВСНХ промышленности - миллионов на 700 против увеличенного в середине года объема вложений и электростроительство - на 150 миллионов рублей. Если вычесть прирост скота, который сидит в капитальных вложениях, то недовыполнение программы составит около полутора млрд. рублей. Недовыполнение программы капиталовложений по обобществленному сектору хозяйства составит около миллиарда рублей. Все это в финансовом </w:t>
      </w:r>
      <w:r w:rsidRPr="00507A31">
        <w:rPr>
          <w:color w:val="000000" w:themeColor="text1"/>
          <w:sz w:val="16"/>
          <w:szCs w:val="16"/>
        </w:rPr>
        <w:lastRenderedPageBreak/>
        <w:t>выражении. В натуре недовыполнение программы капиталовложений будет еще более значительным. Большие затруднения мы имели также и в области процессов обращения.</w:t>
      </w:r>
    </w:p>
    <w:p w14:paraId="5B8252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Большую тревогу вызывает четвертый квартал. Четвертый квартал занимает в текущем году особое место: общие итоги за год в области производственной программы промышленности он понижает, между тем как четвертый квартал всегда лежал на стыке между темпами этого года и более высокими темпами будущего года. Август-сентябрь всегда давали значительное против предшествующих месяцев повышение продукции и служили как бы мостом к октябрю-ноябрю следующего хозяйственного года, с его новыми, повышенными темпами роста продукции. В этом году август не только не дает обычного повышения, но он даже ниже, и значительно, июля. Сентябрь, судя по первым дням, также не дает ожидавшегося повышения продукции. </w:t>
      </w:r>
    </w:p>
    <w:p w14:paraId="31AB1B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Имея вот этот прорыв в августе и, возможно, в сентябре, для реализации намечаемой нами народнохозяйственной программы будущего года, с ее исключительно высокими темпами роста, нам в первом квартале придется сделать очень большой скачок вверх для перехода к объемным показателям следующего года. Поэтому мы придаем особо важное значение первому кварталу. В дальнейшем изложении я буду отдельно говорить о том, как нам придется строить первый квартал будущего года. Я считаю, что первый квартал будет в значительной мере и больше, чем когда-либо раньше, показателем того, сможем ли мы осилить весь народнохозяйственный план следующего года.</w:t>
      </w:r>
    </w:p>
    <w:p w14:paraId="0C4352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Итоги истекающего года мы подвергли самому тщательному изучению Наши проектировки на будущий год учитывают эти итоги. Но оценка этих итогов может быть различная. Или, оценивая итоги 1929/30 г., как поражение принятых нами высоких темпов роста хозяйства и его обобществленного сектора, идти в будущем году с уровнем плана, более низким, чем это вытекает из тех ставок, которые были приняты на XVI съезде партии, отказаться от осуществления этих ставок в намеченные съездом сроки, балансировать план с меньшим напряжением политическим и экономическим, или же оценивая план текущего года как безусловно реальный и посильный для страны, несмотря на всю его напряженность, оценивая прорывы в выполнении плана текущего года как результат неудовлетворительной работы наших хозяйственных организаций, тех ошибок, которые на местах были наделаны в текущем году в области коллективизации, неуменья со стороны ряда наших хозяйственных организаций оценить и реагировать на то новое, что, прежде всего, в области рабочей силы, вытекает из программы сплошной коллективизации целых областей страны, продолжая оставаться на ставках XVI съезда партии, считая их правильными и посильными для страны при всей их напряженности, - балансировать план на уровне этих ставок XVI съезда партии, со всем тем напряжением, которое необходимо для их реализации. План, который мы сегодня докладываем, - это план, который в основных и решающих частях идет на уровне ставок XVI съезда. </w:t>
      </w:r>
    </w:p>
    <w:p w14:paraId="0DBB50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Этим самым мы даем нашу оценку итогам текущего года. Отсюда - исключительное напряжение этого плана. План 1930/31 г. будет в ряде решающих частей еще более напряженным, чем план 1929/30 года. Мы идем на уровне основных ставок, которые были приняты XVI съездом партии потому, что новые задачи, которые перед народным хозяйством были поставлены на протяжении 1929/30 г., задачи, в основе которых лежали социальные сдвиги, происходившие в нашей стране (сплошная коллективизация), - эти задачи остаются в силе и переносятся на 1930/31 г. Если мы не отказываемся от них, не сужаем размах их -необходимо идти на этот напряженный план. Проблемы сплошной коллективизации, выдвинутые в 1929/1930 году, переносятся на 1930/31 год.</w:t>
      </w:r>
    </w:p>
    <w:p w14:paraId="661726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 социальные сдвиги в стране, которые являются результатом проблемы сплошной коллективизации, и те новые потребности, которые сплошная коллективизация предъявляет к промышленности и отсюда к другим отраслям народного хозяйства, - продолжают оставаться. Поэтому мы считаем необходимым идти на высоком уровне тех ставок, которые были приняты XVI съездом. Вот что положено в основу представляемого нами плана. ГАРФ. Ф. Р-5446. Оп. 55. Д. 2031. Л. 4-7 (11529).</w:t>
      </w:r>
    </w:p>
    <w:p w14:paraId="211F9F08" w14:textId="77777777" w:rsidR="00537E5F" w:rsidRPr="00507A31" w:rsidRDefault="00537E5F" w:rsidP="00507A31">
      <w:pPr>
        <w:autoSpaceDE w:val="0"/>
        <w:autoSpaceDN w:val="0"/>
        <w:adjustRightInd w:val="0"/>
        <w:jc w:val="both"/>
        <w:rPr>
          <w:color w:val="000000" w:themeColor="text1"/>
          <w:sz w:val="16"/>
          <w:szCs w:val="16"/>
        </w:rPr>
      </w:pPr>
    </w:p>
    <w:p w14:paraId="5524A8D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A6EC72D" w14:textId="77777777" w:rsidR="00537E5F" w:rsidRPr="00507A31" w:rsidRDefault="00537E5F" w:rsidP="00507A31">
      <w:pPr>
        <w:autoSpaceDE w:val="0"/>
        <w:autoSpaceDN w:val="0"/>
        <w:adjustRightInd w:val="0"/>
        <w:jc w:val="both"/>
        <w:rPr>
          <w:iCs/>
          <w:color w:val="000000" w:themeColor="text1"/>
          <w:sz w:val="16"/>
          <w:szCs w:val="16"/>
        </w:rPr>
      </w:pPr>
    </w:p>
    <w:p w14:paraId="06DBFF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8 по 20 сентября 1930 специальная сессия канадского парламента приняла чрезвычайные законы в связи с наступлением экономической депрессии (3481).</w:t>
      </w:r>
    </w:p>
    <w:p w14:paraId="40E8E93F" w14:textId="77777777" w:rsidR="00537E5F" w:rsidRPr="00507A31" w:rsidRDefault="00537E5F" w:rsidP="00507A31">
      <w:pPr>
        <w:autoSpaceDE w:val="0"/>
        <w:autoSpaceDN w:val="0"/>
        <w:adjustRightInd w:val="0"/>
        <w:jc w:val="both"/>
        <w:rPr>
          <w:color w:val="000000" w:themeColor="text1"/>
          <w:sz w:val="16"/>
          <w:szCs w:val="16"/>
        </w:rPr>
      </w:pPr>
    </w:p>
    <w:p w14:paraId="4248E1DD" w14:textId="77777777" w:rsidR="00C428B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10DBC2C" w14:textId="77777777" w:rsidR="00C428B4" w:rsidRPr="00507A31" w:rsidRDefault="00C428B4" w:rsidP="00507A31">
      <w:pPr>
        <w:autoSpaceDE w:val="0"/>
        <w:autoSpaceDN w:val="0"/>
        <w:adjustRightInd w:val="0"/>
        <w:jc w:val="both"/>
        <w:rPr>
          <w:iCs/>
          <w:color w:val="000000" w:themeColor="text1"/>
          <w:sz w:val="16"/>
          <w:szCs w:val="16"/>
        </w:rPr>
      </w:pPr>
    </w:p>
    <w:p w14:paraId="06F89225" w14:textId="77777777" w:rsidR="00C428B4" w:rsidRPr="00507A31" w:rsidRDefault="00C428B4" w:rsidP="00507A31">
      <w:pPr>
        <w:jc w:val="both"/>
        <w:rPr>
          <w:color w:val="000000" w:themeColor="text1"/>
          <w:sz w:val="16"/>
          <w:szCs w:val="16"/>
        </w:rPr>
      </w:pPr>
      <w:r w:rsidRPr="00507A31">
        <w:rPr>
          <w:color w:val="000000" w:themeColor="text1"/>
          <w:sz w:val="16"/>
          <w:szCs w:val="16"/>
        </w:rPr>
        <w:t>9 сентября в 1930 году Ф.А.Цандер провёл первые испытания своего ракетного двигателя «ОР-1» (14764).</w:t>
      </w:r>
    </w:p>
    <w:p w14:paraId="090B44BA" w14:textId="77777777" w:rsidR="00C428B4" w:rsidRPr="00507A31" w:rsidRDefault="00C428B4" w:rsidP="00507A31">
      <w:pPr>
        <w:jc w:val="both"/>
        <w:rPr>
          <w:color w:val="000000" w:themeColor="text1"/>
          <w:sz w:val="16"/>
          <w:szCs w:val="16"/>
        </w:rPr>
      </w:pPr>
    </w:p>
    <w:p w14:paraId="400CD7F5" w14:textId="77777777" w:rsidR="00D0630A" w:rsidRPr="00507A31" w:rsidRDefault="00D0630A" w:rsidP="00507A31">
      <w:pPr>
        <w:jc w:val="both"/>
        <w:rPr>
          <w:color w:val="0070C0"/>
          <w:sz w:val="16"/>
          <w:szCs w:val="16"/>
        </w:rPr>
      </w:pPr>
      <w:r w:rsidRPr="00507A31">
        <w:rPr>
          <w:color w:val="0070C0"/>
          <w:sz w:val="16"/>
          <w:szCs w:val="16"/>
        </w:rPr>
        <w:t>9 сентября 1930 г. Я.К. Голованов - биограф СП. Королева - датирует первое удачное испытание двигателя ОР-1 начало проектных работ над ОР-1 1928 годом, а – С.У. Майский автор монографии «Ракето-носители. Космодромы» относит дату создания ОР-1 к 1931 году. Двигатель работал на сжатом воздухе и бензине и развивал тягу до 145 гс. (22685).</w:t>
      </w:r>
    </w:p>
    <w:p w14:paraId="47C5ABEB" w14:textId="77777777" w:rsidR="00D0630A" w:rsidRPr="00507A31" w:rsidRDefault="00D0630A" w:rsidP="00507A31">
      <w:pPr>
        <w:jc w:val="both"/>
        <w:rPr>
          <w:color w:val="0070C0"/>
          <w:sz w:val="16"/>
          <w:szCs w:val="16"/>
        </w:rPr>
      </w:pPr>
    </w:p>
    <w:p w14:paraId="66C7CED3" w14:textId="77777777" w:rsidR="00D0630A" w:rsidRPr="00507A31" w:rsidRDefault="00D0630A"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A565A55" w14:textId="77777777" w:rsidR="00D0630A" w:rsidRPr="00507A31" w:rsidRDefault="00D0630A" w:rsidP="00507A31">
      <w:pPr>
        <w:autoSpaceDE w:val="0"/>
        <w:autoSpaceDN w:val="0"/>
        <w:adjustRightInd w:val="0"/>
        <w:jc w:val="both"/>
        <w:rPr>
          <w:iCs/>
          <w:color w:val="000000" w:themeColor="text1"/>
          <w:sz w:val="16"/>
          <w:szCs w:val="16"/>
        </w:rPr>
      </w:pPr>
    </w:p>
    <w:p w14:paraId="128F9841" w14:textId="77777777" w:rsidR="00D0630A" w:rsidRPr="00507A31" w:rsidRDefault="00D0630A" w:rsidP="00507A31">
      <w:pPr>
        <w:shd w:val="clear" w:color="auto" w:fill="FFFFFF"/>
        <w:jc w:val="both"/>
        <w:textAlignment w:val="baseline"/>
        <w:rPr>
          <w:color w:val="0070C0"/>
          <w:sz w:val="16"/>
          <w:szCs w:val="16"/>
        </w:rPr>
      </w:pPr>
      <w:r w:rsidRPr="00507A31">
        <w:rPr>
          <w:color w:val="0070C0"/>
          <w:sz w:val="16"/>
          <w:szCs w:val="16"/>
        </w:rPr>
        <w:t>9 сентября 1930 был выполнен перелет самолетов 9-й отдельной истребительной эскадрильи в составе 3-х истребителей (вероятно И-3).</w:t>
      </w:r>
    </w:p>
    <w:p w14:paraId="29D0B66E" w14:textId="77777777" w:rsidR="00D0630A" w:rsidRPr="00507A31" w:rsidRDefault="00D0630A" w:rsidP="00507A31">
      <w:pPr>
        <w:shd w:val="clear" w:color="auto" w:fill="FFFFFF"/>
        <w:jc w:val="both"/>
        <w:textAlignment w:val="baseline"/>
        <w:rPr>
          <w:color w:val="0070C0"/>
          <w:sz w:val="16"/>
          <w:szCs w:val="16"/>
        </w:rPr>
      </w:pPr>
      <w:r w:rsidRPr="00507A31">
        <w:rPr>
          <w:color w:val="0070C0"/>
          <w:sz w:val="16"/>
          <w:szCs w:val="16"/>
        </w:rPr>
        <w:t>Звено под руководством командира отряда М.Г. Аксакова, вылетело со смоленского аэродрома в 5 часов утра. Ведомыми летели младшие летчики Сидоров и Великоселъский.</w:t>
      </w:r>
    </w:p>
    <w:p w14:paraId="46F35202" w14:textId="77777777" w:rsidR="00D0630A" w:rsidRPr="00507A31" w:rsidRDefault="00D0630A" w:rsidP="00507A31">
      <w:pPr>
        <w:shd w:val="clear" w:color="auto" w:fill="FFFFFF"/>
        <w:jc w:val="both"/>
        <w:textAlignment w:val="baseline"/>
        <w:rPr>
          <w:color w:val="0070C0"/>
          <w:sz w:val="16"/>
          <w:szCs w:val="16"/>
        </w:rPr>
      </w:pPr>
      <w:r w:rsidRPr="00507A31">
        <w:rPr>
          <w:color w:val="0070C0"/>
          <w:sz w:val="16"/>
          <w:szCs w:val="16"/>
        </w:rPr>
        <w:t>По заданию звено должно было пролететь за один день маршрут протяженностью 1800 километров. Погода по всему маршруту не благоприятствовала перелету. Район Москвы был «прикрыт» облачностью. Моросил дождь. Тем не менее, перелет был выполнен чрезвычайно успешно. Вечером того же дня звено благополучно вернулось на исходный аэродром, пролетев весь маршрут за 14 часов 50 минут. Самолеты пробыли в воздухе 8 часов 23 минуты со среднею скоростью полета более 200 км/час (21249).</w:t>
      </w:r>
    </w:p>
    <w:p w14:paraId="7F9DEB78" w14:textId="77777777" w:rsidR="00D0630A" w:rsidRPr="00507A31" w:rsidRDefault="00D0630A" w:rsidP="00507A31">
      <w:pPr>
        <w:pStyle w:val="ae"/>
        <w:shd w:val="clear" w:color="auto" w:fill="FFFFFF"/>
        <w:spacing w:before="0" w:after="0"/>
        <w:jc w:val="both"/>
        <w:rPr>
          <w:color w:val="0070C0"/>
          <w:sz w:val="16"/>
          <w:szCs w:val="16"/>
        </w:rPr>
      </w:pPr>
    </w:p>
    <w:p w14:paraId="685F4524" w14:textId="77777777" w:rsidR="00D0630A" w:rsidRPr="00507A31" w:rsidRDefault="00D0630A" w:rsidP="00507A31">
      <w:pPr>
        <w:shd w:val="clear" w:color="auto" w:fill="FFFFFF"/>
        <w:jc w:val="both"/>
        <w:rPr>
          <w:color w:val="0070C0"/>
          <w:sz w:val="16"/>
          <w:szCs w:val="16"/>
        </w:rPr>
      </w:pPr>
      <w:r w:rsidRPr="00507A31">
        <w:rPr>
          <w:color w:val="0070C0"/>
          <w:sz w:val="16"/>
          <w:szCs w:val="16"/>
        </w:rPr>
        <w:t>9 сентября 1930 года на тактических учениях Ленинградского военного округа высаживался посадочный воздушный десант в составе стрелковой роты со штатным вооружением. Командующий войсками округа М. Н. Тухачевский в процессе учений принял решение провести десантирование достаточно крупных сил для развития успеха одной из сторон. Для выполнения этого замысла из состава 11-й стрелковой дивизии было отобрано 155 бойцов и командиров, а также 20 автомобилей, 20 мотоциклов с колясками, 44 велосипеда (по терминологии того времени — самоката), 61 пулемет и десять динамореактивных орудий ДРП-4. Этот внештатный моторизованный отряд возглавил представитель штаба округа Е. Д. Лукин.</w:t>
      </w:r>
    </w:p>
    <w:p w14:paraId="29EC5B4F" w14:textId="77777777" w:rsidR="00D0630A" w:rsidRPr="00507A31" w:rsidRDefault="00D0630A" w:rsidP="00507A31">
      <w:pPr>
        <w:shd w:val="clear" w:color="auto" w:fill="FFFFFF"/>
        <w:jc w:val="both"/>
        <w:rPr>
          <w:color w:val="0070C0"/>
          <w:sz w:val="16"/>
          <w:szCs w:val="16"/>
        </w:rPr>
      </w:pPr>
      <w:r w:rsidRPr="00507A31">
        <w:rPr>
          <w:color w:val="0070C0"/>
          <w:sz w:val="16"/>
          <w:szCs w:val="16"/>
        </w:rPr>
        <w:t>Десантирование этого мотоотряда производилось силами 3-й авиационной бригады Ленинградского военного округа и 51-й авиационной эскадрильи 11-й бригады Московского военного округа. Аэродромом взлета была назначена Гатчина, а площадка приземления располагалась в районе железнодорожной станции Сиверская (21399).</w:t>
      </w:r>
    </w:p>
    <w:p w14:paraId="6B77A862" w14:textId="77777777" w:rsidR="00D0630A" w:rsidRPr="00507A31" w:rsidRDefault="00D0630A" w:rsidP="00507A31">
      <w:pPr>
        <w:pStyle w:val="article-renderblock"/>
        <w:shd w:val="clear" w:color="auto" w:fill="FFFFFF"/>
        <w:spacing w:before="0" w:beforeAutospacing="0" w:after="0" w:afterAutospacing="0"/>
        <w:jc w:val="both"/>
        <w:rPr>
          <w:color w:val="0070C0"/>
          <w:sz w:val="16"/>
          <w:szCs w:val="16"/>
        </w:rPr>
      </w:pPr>
    </w:p>
    <w:p w14:paraId="6883AAC4" w14:textId="77777777" w:rsidR="00D0630A" w:rsidRPr="00507A31" w:rsidRDefault="00D0630A" w:rsidP="00507A31">
      <w:pPr>
        <w:jc w:val="both"/>
        <w:rPr>
          <w:color w:val="0070C0"/>
          <w:sz w:val="16"/>
          <w:szCs w:val="16"/>
        </w:rPr>
      </w:pPr>
      <w:r w:rsidRPr="00507A31">
        <w:rPr>
          <w:color w:val="0070C0"/>
          <w:sz w:val="16"/>
          <w:szCs w:val="16"/>
        </w:rPr>
        <w:t>9 сентября 1930 года на тактических учениях ЛВО под руководством М.Н. Тухачевского в районе железнодорожной станции Сиверская посадочным способом был высажен нештатный моторизованный отряд в составе роты. Вместе со 151 десантником было высажено 19 автомобилей, 12 мотоциклов с колясками и 7 без колясок, 41 велосипед, 10 пушек динамореактивных пушек, 59 ручных пулеметов, другое вооружение. Высадка продолжалась с 8 до 13 часов. Фактически этот десант стал первым крупным шагом в организации нового рода войск: «Заложен первый камень в строительство воздушно-десантных войск. За этим должно последовать формирование специальных воздушно-десантных соединений и создание авиации, способной осуществлять десантирование в больших масштабах», – говорил Тухачевский (21402).</w:t>
      </w:r>
    </w:p>
    <w:p w14:paraId="1E3B0216" w14:textId="77777777" w:rsidR="00D0630A" w:rsidRPr="00507A31" w:rsidRDefault="00D0630A" w:rsidP="00507A31">
      <w:pPr>
        <w:jc w:val="both"/>
        <w:rPr>
          <w:color w:val="0070C0"/>
          <w:sz w:val="16"/>
          <w:szCs w:val="16"/>
        </w:rPr>
      </w:pPr>
    </w:p>
    <w:p w14:paraId="105843C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52D5EA9" w14:textId="77777777" w:rsidR="00537E5F" w:rsidRPr="00507A31" w:rsidRDefault="00537E5F" w:rsidP="00507A31">
      <w:pPr>
        <w:autoSpaceDE w:val="0"/>
        <w:autoSpaceDN w:val="0"/>
        <w:adjustRightInd w:val="0"/>
        <w:jc w:val="both"/>
        <w:rPr>
          <w:iCs/>
          <w:color w:val="000000" w:themeColor="text1"/>
          <w:sz w:val="16"/>
          <w:szCs w:val="16"/>
        </w:rPr>
      </w:pPr>
    </w:p>
    <w:p w14:paraId="5FFBE990" w14:textId="4CA564EB" w:rsidR="00D7693C" w:rsidRPr="00507A31" w:rsidRDefault="00D7693C" w:rsidP="00507A31">
      <w:pPr>
        <w:shd w:val="clear" w:color="auto" w:fill="FFFFFF"/>
        <w:jc w:val="both"/>
        <w:rPr>
          <w:color w:val="0070C0"/>
          <w:sz w:val="16"/>
          <w:szCs w:val="16"/>
        </w:rPr>
      </w:pPr>
      <w:bookmarkStart w:id="92" w:name="_Hlk83572048"/>
      <w:r w:rsidRPr="00507A31">
        <w:rPr>
          <w:color w:val="0070C0"/>
          <w:sz w:val="16"/>
          <w:szCs w:val="16"/>
        </w:rPr>
        <w:t>10 сентября 1930 состоялось заседание РЗ СТО</w:t>
      </w:r>
    </w:p>
    <w:p w14:paraId="5E3C1459" w14:textId="77777777" w:rsidR="00D7693C" w:rsidRPr="00507A31" w:rsidRDefault="00D7693C" w:rsidP="00507A31">
      <w:pPr>
        <w:shd w:val="clear" w:color="auto" w:fill="FFFFFF"/>
        <w:jc w:val="both"/>
        <w:rPr>
          <w:color w:val="0070C0"/>
          <w:sz w:val="16"/>
          <w:szCs w:val="16"/>
        </w:rPr>
      </w:pPr>
      <w:r w:rsidRPr="00507A31">
        <w:rPr>
          <w:color w:val="0070C0"/>
          <w:sz w:val="16"/>
          <w:szCs w:val="16"/>
        </w:rPr>
        <w:t>Протокол № 55 от 10 сентября 1930 г.:</w:t>
      </w:r>
    </w:p>
    <w:p w14:paraId="41E58EC5" w14:textId="77777777" w:rsidR="00D7693C" w:rsidRPr="00507A31" w:rsidRDefault="00D7693C" w:rsidP="00507A31">
      <w:pPr>
        <w:shd w:val="clear" w:color="auto" w:fill="FFFFFF"/>
        <w:jc w:val="both"/>
        <w:rPr>
          <w:color w:val="0070C0"/>
          <w:sz w:val="16"/>
          <w:szCs w:val="16"/>
        </w:rPr>
      </w:pPr>
      <w:r w:rsidRPr="00507A31">
        <w:rPr>
          <w:color w:val="0070C0"/>
          <w:sz w:val="16"/>
          <w:szCs w:val="16"/>
        </w:rPr>
        <w:t>…Об использовании гражданского воздушного флота для нужд РККА и других потребностей обороны страны в военное время (постановление РЗ СТО от 4.8.1930 г. к протоколу РЗ СТО № 55 от 10.9.1930 г. по п. 6).</w:t>
      </w:r>
    </w:p>
    <w:p w14:paraId="1EA2FFBF" w14:textId="77777777" w:rsidR="00D7693C" w:rsidRPr="00507A31" w:rsidRDefault="00D7693C" w:rsidP="00507A31">
      <w:pPr>
        <w:shd w:val="clear" w:color="auto" w:fill="FFFFFF"/>
        <w:jc w:val="both"/>
        <w:rPr>
          <w:color w:val="0070C0"/>
          <w:sz w:val="16"/>
          <w:szCs w:val="16"/>
        </w:rPr>
      </w:pPr>
      <w:r w:rsidRPr="00507A31">
        <w:rPr>
          <w:color w:val="0070C0"/>
          <w:sz w:val="16"/>
          <w:szCs w:val="16"/>
        </w:rPr>
        <w:t>…Об утверждении состава Комиссии для рассмотрения оборонных смет на 1930-31 г. (постановление P3 СТО от 8.9.1930 г. к протоколу P3 СТО № 55 от 10.9.1930 г. по п. 11).</w:t>
      </w:r>
    </w:p>
    <w:p w14:paraId="6E3A169B" w14:textId="77777777" w:rsidR="00D7693C" w:rsidRPr="00507A31" w:rsidRDefault="00D7693C" w:rsidP="00507A31">
      <w:pPr>
        <w:shd w:val="clear" w:color="auto" w:fill="FFFFFF"/>
        <w:jc w:val="both"/>
        <w:rPr>
          <w:color w:val="0070C0"/>
          <w:sz w:val="16"/>
          <w:szCs w:val="16"/>
        </w:rPr>
      </w:pPr>
      <w:r w:rsidRPr="00507A31">
        <w:rPr>
          <w:color w:val="0070C0"/>
          <w:sz w:val="16"/>
          <w:szCs w:val="16"/>
        </w:rPr>
        <w:t>О мобилизационной подготовке печати и издательского дела в СССР (постановление СНК СССР № 44 от 31.7.1930 г. к протоколу P3 СТО № 55 от 10.9.1930 г. по п. 15) (21566).</w:t>
      </w:r>
    </w:p>
    <w:bookmarkEnd w:id="92"/>
    <w:p w14:paraId="45821871" w14:textId="77777777" w:rsidR="00D7693C" w:rsidRPr="00507A31" w:rsidRDefault="00D7693C" w:rsidP="00507A31">
      <w:pPr>
        <w:jc w:val="both"/>
        <w:rPr>
          <w:color w:val="0070C0"/>
          <w:sz w:val="16"/>
          <w:szCs w:val="16"/>
        </w:rPr>
      </w:pPr>
    </w:p>
    <w:p w14:paraId="589533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сентября 1930 вышел приказ о переименовании ВАМУ в МАИ (1040,15).</w:t>
      </w:r>
    </w:p>
    <w:p w14:paraId="6ED45E03" w14:textId="77777777" w:rsidR="00537E5F" w:rsidRPr="00507A31" w:rsidRDefault="00537E5F" w:rsidP="00507A31">
      <w:pPr>
        <w:autoSpaceDE w:val="0"/>
        <w:autoSpaceDN w:val="0"/>
        <w:adjustRightInd w:val="0"/>
        <w:jc w:val="both"/>
        <w:rPr>
          <w:color w:val="000000" w:themeColor="text1"/>
          <w:sz w:val="16"/>
          <w:szCs w:val="16"/>
        </w:rPr>
      </w:pPr>
    </w:p>
    <w:p w14:paraId="64278A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сентября 1930 в Москву прилетал немецкий дирижабль ЛЦ-127 Граф Цеппелин под управлением Г.Эккенера - 105000 м - самый большой, из построенных в Германии (438,613).</w:t>
      </w:r>
    </w:p>
    <w:p w14:paraId="5C0B9C9E" w14:textId="77777777" w:rsidR="00537E5F" w:rsidRPr="00507A31" w:rsidRDefault="00537E5F" w:rsidP="00507A31">
      <w:pPr>
        <w:autoSpaceDE w:val="0"/>
        <w:autoSpaceDN w:val="0"/>
        <w:adjustRightInd w:val="0"/>
        <w:jc w:val="both"/>
        <w:rPr>
          <w:color w:val="000000" w:themeColor="text1"/>
          <w:sz w:val="16"/>
          <w:szCs w:val="16"/>
        </w:rPr>
      </w:pPr>
    </w:p>
    <w:p w14:paraId="3777C2AA" w14:textId="77777777" w:rsidR="00711B0E" w:rsidRPr="00507A31" w:rsidRDefault="00711B0E" w:rsidP="00507A31">
      <w:pPr>
        <w:shd w:val="clear" w:color="auto" w:fill="FFFFFF"/>
        <w:jc w:val="both"/>
        <w:textAlignment w:val="baseline"/>
        <w:rPr>
          <w:color w:val="0070C0"/>
          <w:sz w:val="16"/>
          <w:szCs w:val="16"/>
        </w:rPr>
      </w:pPr>
      <w:r w:rsidRPr="00507A31">
        <w:rPr>
          <w:color w:val="0070C0"/>
          <w:sz w:val="16"/>
          <w:szCs w:val="16"/>
        </w:rPr>
        <w:lastRenderedPageBreak/>
        <w:t>С 10 по 15 сентября 1930 был выполнен учебный перелет отряда в составе четырех самолетов учебной эскадрильи Военно-воздушной академии имени Н.Е. Жуковского.</w:t>
      </w:r>
    </w:p>
    <w:p w14:paraId="0873D804" w14:textId="77777777" w:rsidR="00711B0E" w:rsidRPr="00507A31" w:rsidRDefault="00711B0E" w:rsidP="00507A31">
      <w:pPr>
        <w:shd w:val="clear" w:color="auto" w:fill="FFFFFF"/>
        <w:jc w:val="both"/>
        <w:textAlignment w:val="baseline"/>
        <w:rPr>
          <w:color w:val="0070C0"/>
          <w:sz w:val="16"/>
          <w:szCs w:val="16"/>
        </w:rPr>
      </w:pPr>
      <w:r w:rsidRPr="00507A31">
        <w:rPr>
          <w:color w:val="0070C0"/>
          <w:sz w:val="16"/>
          <w:szCs w:val="16"/>
        </w:rPr>
        <w:t>Отряд под руководством старшего летчика-инструктора Г.С. Скрягина вылетел из Москвы 10 сентября в 5 часов 50 минут. Остальными самолетами управляли летчики: Барабанов, Копец и Муравьев, летнабами летели инструкторы: Алгазин, Блинов и др.</w:t>
      </w:r>
    </w:p>
    <w:p w14:paraId="5F32C647" w14:textId="77777777" w:rsidR="00711B0E" w:rsidRPr="00507A31" w:rsidRDefault="00711B0E" w:rsidP="00507A31">
      <w:pPr>
        <w:shd w:val="clear" w:color="auto" w:fill="FFFFFF"/>
        <w:jc w:val="both"/>
        <w:textAlignment w:val="baseline"/>
        <w:rPr>
          <w:color w:val="0070C0"/>
          <w:sz w:val="16"/>
          <w:szCs w:val="16"/>
        </w:rPr>
      </w:pPr>
      <w:r w:rsidRPr="00507A31">
        <w:rPr>
          <w:color w:val="0070C0"/>
          <w:sz w:val="16"/>
          <w:szCs w:val="16"/>
        </w:rPr>
        <w:t>Маршрут перелета: Москва – Воронеж – Новочеркасск – Сталинград – Вольск – Борисоглебск – Москва. Отряд преодолел заданный маршрут общей протяженностью 2646 километров за 16 часов 28 минут пребывания в воздухе. Перелет проводился с учебной и инструктивной целью. Во время остановок в Сталинграде, Вольске и Борисоглебске инструкторским составом отряда была выполнена задача по ознакомлению летного состава авиационных гарнизонов с новейшими методами самолетовождения и проведены специальные инструктивные занятия.</w:t>
      </w:r>
    </w:p>
    <w:p w14:paraId="39ED6DCE" w14:textId="77777777" w:rsidR="00711B0E" w:rsidRPr="00507A31" w:rsidRDefault="00711B0E" w:rsidP="00507A31">
      <w:pPr>
        <w:shd w:val="clear" w:color="auto" w:fill="FFFFFF"/>
        <w:jc w:val="both"/>
        <w:textAlignment w:val="baseline"/>
        <w:rPr>
          <w:color w:val="0070C0"/>
          <w:sz w:val="16"/>
          <w:szCs w:val="16"/>
        </w:rPr>
      </w:pPr>
      <w:r w:rsidRPr="00507A31">
        <w:rPr>
          <w:color w:val="0070C0"/>
          <w:sz w:val="16"/>
          <w:szCs w:val="16"/>
        </w:rPr>
        <w:t>15 сентября в 13 часов отряд вернулся обратно на Центральный аэродром, успешно закончив перелет (21249).</w:t>
      </w:r>
    </w:p>
    <w:p w14:paraId="649A53C5" w14:textId="77777777" w:rsidR="00711B0E" w:rsidRPr="00507A31" w:rsidRDefault="00711B0E" w:rsidP="00507A31">
      <w:pPr>
        <w:jc w:val="both"/>
        <w:rPr>
          <w:color w:val="0070C0"/>
          <w:sz w:val="16"/>
          <w:szCs w:val="16"/>
        </w:rPr>
      </w:pPr>
    </w:p>
    <w:p w14:paraId="448446A5" w14:textId="77777777" w:rsidR="00DA1AA9" w:rsidRPr="00507A31" w:rsidRDefault="00DA1AA9" w:rsidP="00507A31">
      <w:pPr>
        <w:pStyle w:val="a3"/>
        <w:autoSpaceDE/>
        <w:autoSpaceDN/>
        <w:adjustRightInd/>
        <w:rPr>
          <w:color w:val="000000" w:themeColor="text1"/>
          <w:lang w:val="ru-RU"/>
        </w:rPr>
      </w:pPr>
      <w:r w:rsidRPr="00507A31">
        <w:rPr>
          <w:color w:val="000000" w:themeColor="text1"/>
          <w:lang w:val="ru-RU"/>
        </w:rPr>
        <w:t>10 сентября 1930 г. был прилет «Графа Цеппелина» в Москву и многократный облет им столицы в окружении эскорта красноз</w:t>
      </w:r>
      <w:r w:rsidRPr="00507A31">
        <w:rPr>
          <w:color w:val="000000" w:themeColor="text1"/>
          <w:lang w:val="ru-RU"/>
        </w:rPr>
        <w:softHyphen/>
        <w:t>вездных самолетов.</w:t>
      </w:r>
    </w:p>
    <w:p w14:paraId="2196FB57" w14:textId="77777777" w:rsidR="00DA1AA9" w:rsidRPr="00507A31" w:rsidRDefault="00DA1AA9" w:rsidP="00507A31">
      <w:pPr>
        <w:pStyle w:val="a3"/>
        <w:autoSpaceDE/>
        <w:autoSpaceDN/>
        <w:adjustRightInd/>
        <w:rPr>
          <w:color w:val="000000" w:themeColor="text1"/>
          <w:lang w:val="ru-RU"/>
        </w:rPr>
      </w:pPr>
      <w:r w:rsidRPr="00507A31">
        <w:rPr>
          <w:color w:val="000000" w:themeColor="text1"/>
          <w:lang w:val="ru-RU"/>
        </w:rPr>
        <w:t xml:space="preserve">В 12.00 дня под звуки оркестра при 60000 зрителей 12-127 причалил на московском аэродроме. Среди многочисленной свиты встречавших выделялись начальники ВВС и ВМС РККА П.И. Баранов и Р.А. Муклевич. Покидая Москву, командир корабля доктор </w:t>
      </w:r>
      <w:r w:rsidRPr="00507A31">
        <w:rPr>
          <w:color w:val="000000" w:themeColor="text1"/>
        </w:rPr>
        <w:t>X</w:t>
      </w:r>
      <w:r w:rsidRPr="00507A31">
        <w:rPr>
          <w:color w:val="000000" w:themeColor="text1"/>
          <w:lang w:val="ru-RU"/>
        </w:rPr>
        <w:t>. Эккенер увозил с собой «пролетарский» подарок из царских кладовых - серебряную братину (с гравировкой от «Осоавиахима»).</w:t>
      </w:r>
    </w:p>
    <w:p w14:paraId="3834F273" w14:textId="77777777" w:rsidR="00DA1AA9" w:rsidRPr="00507A31" w:rsidRDefault="00DA1AA9" w:rsidP="00507A31">
      <w:pPr>
        <w:pStyle w:val="a3"/>
        <w:autoSpaceDE/>
        <w:autoSpaceDN/>
        <w:adjustRightInd/>
        <w:rPr>
          <w:color w:val="000000" w:themeColor="text1"/>
          <w:lang w:val="ru-RU"/>
        </w:rPr>
      </w:pPr>
      <w:r w:rsidRPr="00507A31">
        <w:rPr>
          <w:color w:val="000000" w:themeColor="text1"/>
          <w:lang w:val="ru-RU"/>
        </w:rPr>
        <w:t>В эти дни «Красная звезда» публикует обращение о всенародном сборе средств на дирижабль имени наркома СССР - «Клим Ворошилов». Первой под призывом стояла фамилия легендарного красного командар</w:t>
      </w:r>
      <w:r w:rsidRPr="00507A31">
        <w:rPr>
          <w:color w:val="000000" w:themeColor="text1"/>
          <w:lang w:val="ru-RU"/>
        </w:rPr>
        <w:softHyphen/>
        <w:t>ма С.М</w:t>
      </w:r>
      <w:r w:rsidR="00DD671F" w:rsidRPr="00507A31">
        <w:rPr>
          <w:color w:val="000000" w:themeColor="text1"/>
          <w:lang w:val="ru-RU"/>
        </w:rPr>
        <w:t>.</w:t>
      </w:r>
      <w:r w:rsidRPr="00507A31">
        <w:rPr>
          <w:color w:val="000000" w:themeColor="text1"/>
          <w:lang w:val="ru-RU"/>
        </w:rPr>
        <w:t xml:space="preserve"> Буденного. И, похоже, в это время никого не интересовал реальный опыт зарубежного дирижаблестроения (12732).</w:t>
      </w:r>
    </w:p>
    <w:p w14:paraId="6246084E" w14:textId="77777777" w:rsidR="00DA1AA9" w:rsidRPr="00507A31" w:rsidRDefault="00DA1AA9" w:rsidP="00507A31">
      <w:pPr>
        <w:pStyle w:val="a3"/>
        <w:autoSpaceDE/>
        <w:autoSpaceDN/>
        <w:adjustRightInd/>
        <w:rPr>
          <w:color w:val="000000" w:themeColor="text1"/>
          <w:lang w:val="ru-RU"/>
        </w:rPr>
      </w:pPr>
    </w:p>
    <w:p w14:paraId="33B99312" w14:textId="77777777" w:rsidR="00DD671F" w:rsidRPr="00507A31" w:rsidRDefault="00DD671F" w:rsidP="00507A31">
      <w:pPr>
        <w:jc w:val="both"/>
        <w:rPr>
          <w:color w:val="000000" w:themeColor="text1"/>
          <w:sz w:val="16"/>
          <w:szCs w:val="16"/>
        </w:rPr>
      </w:pPr>
      <w:r w:rsidRPr="00507A31">
        <w:rPr>
          <w:color w:val="000000" w:themeColor="text1"/>
          <w:sz w:val="16"/>
          <w:szCs w:val="16"/>
        </w:rPr>
        <w:t>10 сентября 1930. Утром на Ходынское поле приземлился гигантский немецкий дирижабль "Граф Цеппелин". Когда дирижабль находился над центром летного поля, с него выбросили длинные стропы. За них на земле ухватилось около 250 человек, удерживая его на одной высоте. От пожарного автомобиля к люкам дирижабля подвели рукава, и по ним закачали воду в специальные баллоны для балласта, после чего "Граф Цеппелин" смог приземлиться (18725).</w:t>
      </w:r>
    </w:p>
    <w:p w14:paraId="714BE13E" w14:textId="77777777" w:rsidR="00DD671F" w:rsidRPr="00507A31" w:rsidRDefault="00DD671F" w:rsidP="00507A31">
      <w:pPr>
        <w:jc w:val="both"/>
        <w:rPr>
          <w:color w:val="000000" w:themeColor="text1"/>
          <w:sz w:val="16"/>
          <w:szCs w:val="16"/>
        </w:rPr>
      </w:pPr>
    </w:p>
    <w:p w14:paraId="370852C3" w14:textId="77777777" w:rsidR="00711B0E" w:rsidRPr="00507A31" w:rsidRDefault="00711B0E" w:rsidP="00507A31">
      <w:pPr>
        <w:jc w:val="both"/>
        <w:rPr>
          <w:color w:val="0070C0"/>
          <w:sz w:val="16"/>
          <w:szCs w:val="16"/>
        </w:rPr>
      </w:pPr>
      <w:r w:rsidRPr="00507A31">
        <w:rPr>
          <w:color w:val="0070C0"/>
          <w:sz w:val="16"/>
          <w:szCs w:val="16"/>
        </w:rPr>
        <w:t>10 сентября 1930 г. во время визита дирижабля «Граф Цеппелин» в Москву состоялись перего</w:t>
      </w:r>
      <w:r w:rsidRPr="00507A31">
        <w:rPr>
          <w:color w:val="0070C0"/>
          <w:sz w:val="16"/>
          <w:szCs w:val="16"/>
        </w:rPr>
        <w:softHyphen/>
        <w:t>воры начальника ВВС РККА П.И. Баранова с гла</w:t>
      </w:r>
      <w:r w:rsidRPr="00507A31">
        <w:rPr>
          <w:color w:val="0070C0"/>
          <w:sz w:val="16"/>
          <w:szCs w:val="16"/>
        </w:rPr>
        <w:softHyphen/>
        <w:t>вой фирмы «Люфтшифбау Цеппелин» г. Экке- нером, изложившим позицию своей компании по вопросу о постройке цеппелинов для СССР50. Эккенер предложил заказать в Германии один «школьный» дирижабль, на основе которого создали отечественный дирижабль жёсткого типа. Советские инженеры могли бы освоить производ</w:t>
      </w:r>
      <w:r w:rsidRPr="00507A31">
        <w:rPr>
          <w:color w:val="0070C0"/>
          <w:sz w:val="16"/>
          <w:szCs w:val="16"/>
        </w:rPr>
        <w:softHyphen/>
        <w:t>ство жёстких дирижаблей. При организации про</w:t>
      </w:r>
      <w:r w:rsidRPr="00507A31">
        <w:rPr>
          <w:color w:val="0070C0"/>
          <w:sz w:val="16"/>
          <w:szCs w:val="16"/>
        </w:rPr>
        <w:softHyphen/>
        <w:t>изводства в СССР он обещал помощь германских специалистов.</w:t>
      </w:r>
    </w:p>
    <w:p w14:paraId="555BD1E3" w14:textId="77777777" w:rsidR="00711B0E" w:rsidRPr="00507A31" w:rsidRDefault="00711B0E" w:rsidP="00507A31">
      <w:pPr>
        <w:jc w:val="both"/>
        <w:rPr>
          <w:color w:val="0070C0"/>
          <w:sz w:val="16"/>
          <w:szCs w:val="16"/>
        </w:rPr>
      </w:pPr>
      <w:r w:rsidRPr="00507A31">
        <w:rPr>
          <w:color w:val="0070C0"/>
          <w:sz w:val="16"/>
          <w:szCs w:val="16"/>
        </w:rPr>
        <w:t>Результаты беседы сказались на докладной записке ВО ГВФ о дирижаблестроении, предус</w:t>
      </w:r>
      <w:r w:rsidRPr="00507A31">
        <w:rPr>
          <w:color w:val="0070C0"/>
          <w:sz w:val="16"/>
          <w:szCs w:val="16"/>
        </w:rPr>
        <w:softHyphen/>
        <w:t>матривавшей к концу 1933 г. построить пять ди</w:t>
      </w:r>
      <w:r w:rsidRPr="00507A31">
        <w:rPr>
          <w:color w:val="0070C0"/>
          <w:sz w:val="16"/>
          <w:szCs w:val="16"/>
        </w:rPr>
        <w:softHyphen/>
        <w:t>рижаблей жёсткого типа (четырёх по 100 000 м3 и одного — 150 000 м3). На 1931 г. планировали постройку дирижабля объёмом 100 000 м3 в Гер</w:t>
      </w:r>
      <w:r w:rsidRPr="00507A31">
        <w:rPr>
          <w:color w:val="0070C0"/>
          <w:sz w:val="16"/>
          <w:szCs w:val="16"/>
        </w:rPr>
        <w:softHyphen/>
        <w:t>мании и подготовку к постройке дирижабля объёмом 150 000 м3 в СССР (20120).</w:t>
      </w:r>
    </w:p>
    <w:p w14:paraId="3E8FE382" w14:textId="77777777" w:rsidR="00711B0E" w:rsidRPr="00507A31" w:rsidRDefault="00711B0E" w:rsidP="00507A31">
      <w:pPr>
        <w:jc w:val="both"/>
        <w:rPr>
          <w:color w:val="0070C0"/>
          <w:sz w:val="16"/>
          <w:szCs w:val="16"/>
        </w:rPr>
      </w:pPr>
    </w:p>
    <w:p w14:paraId="070D0136" w14:textId="77777777" w:rsidR="00AF4131"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8F4277F" w14:textId="77777777" w:rsidR="00AF4131" w:rsidRPr="00507A31" w:rsidRDefault="00AF4131" w:rsidP="00507A31">
      <w:pPr>
        <w:autoSpaceDE w:val="0"/>
        <w:autoSpaceDN w:val="0"/>
        <w:adjustRightInd w:val="0"/>
        <w:jc w:val="both"/>
        <w:rPr>
          <w:iCs/>
          <w:color w:val="000000" w:themeColor="text1"/>
          <w:sz w:val="16"/>
          <w:szCs w:val="16"/>
        </w:rPr>
      </w:pPr>
    </w:p>
    <w:p w14:paraId="699BF36C" w14:textId="77777777" w:rsidR="00AF4131" w:rsidRPr="00507A31" w:rsidRDefault="00AF4131" w:rsidP="00507A31">
      <w:pPr>
        <w:jc w:val="both"/>
        <w:rPr>
          <w:color w:val="000000" w:themeColor="text1"/>
          <w:sz w:val="16"/>
          <w:szCs w:val="16"/>
        </w:rPr>
      </w:pPr>
      <w:r w:rsidRPr="00507A31">
        <w:rPr>
          <w:color w:val="000000" w:themeColor="text1"/>
          <w:sz w:val="16"/>
          <w:szCs w:val="16"/>
        </w:rPr>
        <w:t>10 сентября 1930 г. — Выписка из протокола № 55 РЗ СТО СССР об организации опытных работ по артвооружению РККА</w:t>
      </w:r>
    </w:p>
    <w:p w14:paraId="1ED67098" w14:textId="77777777" w:rsidR="00AF4131" w:rsidRPr="00507A31" w:rsidRDefault="00AF4131"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23AA4273" w14:textId="77777777" w:rsidR="00AF4131" w:rsidRPr="00507A31" w:rsidRDefault="00AF4131" w:rsidP="00507A31">
      <w:pPr>
        <w:pStyle w:val="rtejustify"/>
        <w:spacing w:before="0" w:after="0"/>
        <w:rPr>
          <w:color w:val="000000" w:themeColor="text1"/>
          <w:sz w:val="16"/>
          <w:szCs w:val="16"/>
        </w:rPr>
      </w:pPr>
      <w:r w:rsidRPr="00507A31">
        <w:rPr>
          <w:color w:val="000000" w:themeColor="text1"/>
          <w:sz w:val="16"/>
          <w:szCs w:val="16"/>
        </w:rPr>
        <w:t>Постановили: 1. Отметить, что темпы проектирования и осуществления промышленностью новых систем вооружения не обеспечивают своевременного выполнения заданий НКВМ; обратить внимание Президиума ВСНХ СССР на совершенно неудовлетворительное положение, в котором находятся работы по изготовлению дальнобойных снарядов, трубок и специальных пуль.</w:t>
      </w:r>
    </w:p>
    <w:p w14:paraId="55C3F757" w14:textId="77777777" w:rsidR="00AF4131" w:rsidRPr="00507A31" w:rsidRDefault="00AF4131" w:rsidP="00507A31">
      <w:pPr>
        <w:pStyle w:val="rtejustify"/>
        <w:spacing w:before="0" w:after="0"/>
        <w:rPr>
          <w:color w:val="000000" w:themeColor="text1"/>
          <w:sz w:val="16"/>
          <w:szCs w:val="16"/>
        </w:rPr>
      </w:pPr>
      <w:r w:rsidRPr="00507A31">
        <w:rPr>
          <w:color w:val="000000" w:themeColor="text1"/>
          <w:sz w:val="16"/>
          <w:szCs w:val="16"/>
        </w:rPr>
        <w:t>2. Обязать ВСНХ СССР:</w:t>
      </w:r>
    </w:p>
    <w:p w14:paraId="59F49BF8" w14:textId="77777777" w:rsidR="00AF4131" w:rsidRPr="00507A31" w:rsidRDefault="00AF4131" w:rsidP="00507A31">
      <w:pPr>
        <w:pStyle w:val="rtejustify"/>
        <w:spacing w:before="0" w:after="0"/>
        <w:rPr>
          <w:color w:val="000000" w:themeColor="text1"/>
          <w:sz w:val="16"/>
          <w:szCs w:val="16"/>
        </w:rPr>
      </w:pPr>
      <w:r w:rsidRPr="00507A31">
        <w:rPr>
          <w:color w:val="000000" w:themeColor="text1"/>
          <w:sz w:val="16"/>
          <w:szCs w:val="16"/>
        </w:rPr>
        <w:t>а) в месячный срок осуществить постановления правительства в отношении создания конструкторских бюро, организации опытных мастерских и выделения опытного завода по снарядам, предусмотрев в смете 1930/31 г. увеличение средств на эту надобность;</w:t>
      </w:r>
    </w:p>
    <w:p w14:paraId="1810715B" w14:textId="77777777" w:rsidR="00AF4131" w:rsidRPr="00507A31" w:rsidRDefault="00AF4131" w:rsidP="00507A31">
      <w:pPr>
        <w:pStyle w:val="rtejustify"/>
        <w:spacing w:before="0" w:after="0"/>
        <w:rPr>
          <w:color w:val="000000" w:themeColor="text1"/>
          <w:sz w:val="16"/>
          <w:szCs w:val="16"/>
        </w:rPr>
      </w:pPr>
      <w:r w:rsidRPr="00507A31">
        <w:rPr>
          <w:color w:val="000000" w:themeColor="text1"/>
          <w:sz w:val="16"/>
          <w:szCs w:val="16"/>
        </w:rPr>
        <w:t>б) обеспечить своевременное выполнение заказов НКВМ на те модернизированные образцы вооружения, которые промышленностью приняты в массовое производство и подлежат передаче па вооружение РККА еще в 1930/31 г.;</w:t>
      </w:r>
    </w:p>
    <w:p w14:paraId="49D977FD" w14:textId="77777777" w:rsidR="00AF4131" w:rsidRPr="00507A31" w:rsidRDefault="00AF4131" w:rsidP="00507A31">
      <w:pPr>
        <w:pStyle w:val="rtejustify"/>
        <w:spacing w:before="0" w:after="0"/>
        <w:rPr>
          <w:color w:val="000000" w:themeColor="text1"/>
          <w:sz w:val="16"/>
          <w:szCs w:val="16"/>
        </w:rPr>
      </w:pPr>
      <w:r w:rsidRPr="00507A31">
        <w:rPr>
          <w:color w:val="000000" w:themeColor="text1"/>
          <w:sz w:val="16"/>
          <w:szCs w:val="16"/>
        </w:rPr>
        <w:t>в) для усиления работ по конструированию и проектированию выделить специальный премиальный фонд для конструкторских бюро, пересмотреть сроки проектирования в сторону их сокращения и расширить привлечение иностранной технической помощи.</w:t>
      </w:r>
    </w:p>
    <w:p w14:paraId="36DD0D23" w14:textId="77777777" w:rsidR="00AF4131" w:rsidRPr="00507A31" w:rsidRDefault="00AF4131" w:rsidP="00507A31">
      <w:pPr>
        <w:pStyle w:val="rtejustify"/>
        <w:spacing w:before="0" w:after="0"/>
        <w:rPr>
          <w:color w:val="000000" w:themeColor="text1"/>
          <w:sz w:val="16"/>
          <w:szCs w:val="16"/>
        </w:rPr>
      </w:pPr>
      <w:r w:rsidRPr="00507A31">
        <w:rPr>
          <w:color w:val="000000" w:themeColor="text1"/>
          <w:sz w:val="16"/>
          <w:szCs w:val="16"/>
        </w:rPr>
        <w:t>3. В целях усиления работ по изготовлению дальнобойных снарядов предложить ВСНХ СССР:</w:t>
      </w:r>
    </w:p>
    <w:p w14:paraId="594DC497" w14:textId="77777777" w:rsidR="00AF4131" w:rsidRPr="00507A31" w:rsidRDefault="00AF4131" w:rsidP="00507A31">
      <w:pPr>
        <w:pStyle w:val="rtejustify"/>
        <w:spacing w:before="0" w:after="0"/>
        <w:rPr>
          <w:color w:val="000000" w:themeColor="text1"/>
          <w:sz w:val="16"/>
          <w:szCs w:val="16"/>
        </w:rPr>
      </w:pPr>
      <w:r w:rsidRPr="00507A31">
        <w:rPr>
          <w:color w:val="000000" w:themeColor="text1"/>
          <w:sz w:val="16"/>
          <w:szCs w:val="16"/>
        </w:rPr>
        <w:t>а) организовать с привлечением иностранной технической помощи специальное мощное конструкторское бюро по снарядному делу;</w:t>
      </w:r>
    </w:p>
    <w:p w14:paraId="177BBCA2" w14:textId="77777777" w:rsidR="00AF4131" w:rsidRPr="00507A31" w:rsidRDefault="00AF4131" w:rsidP="00507A31">
      <w:pPr>
        <w:pStyle w:val="rtejustify"/>
        <w:spacing w:before="0" w:after="0"/>
        <w:rPr>
          <w:color w:val="000000" w:themeColor="text1"/>
          <w:sz w:val="16"/>
          <w:szCs w:val="16"/>
        </w:rPr>
      </w:pPr>
      <w:r w:rsidRPr="00507A31">
        <w:rPr>
          <w:color w:val="000000" w:themeColor="text1"/>
          <w:sz w:val="16"/>
          <w:szCs w:val="16"/>
        </w:rPr>
        <w:t>б) увеличить заказы на дальнобойные снаряды заводам, имеющим опыт в их изготовлении.</w:t>
      </w:r>
    </w:p>
    <w:p w14:paraId="01005C49" w14:textId="77777777" w:rsidR="00AF4131" w:rsidRPr="00507A31" w:rsidRDefault="00AF4131" w:rsidP="00507A31">
      <w:pPr>
        <w:pStyle w:val="rtejustify"/>
        <w:spacing w:before="0" w:after="0"/>
        <w:rPr>
          <w:color w:val="000000" w:themeColor="text1"/>
          <w:sz w:val="16"/>
          <w:szCs w:val="16"/>
        </w:rPr>
      </w:pPr>
      <w:r w:rsidRPr="00507A31">
        <w:rPr>
          <w:color w:val="000000" w:themeColor="text1"/>
          <w:sz w:val="16"/>
          <w:szCs w:val="16"/>
        </w:rPr>
        <w:t>4. Считая перевооружение артиллерии РККА новейшими и модернизированными образцами оружия одной из важнейших задач усиления обороноспособности страны, предложить ВСНХ СССР обеспечить выполнение в договорные сроки заданий РВС по конструированию и изготовлению образцов артиллерийского вооружения. ВСНХ и НКВМ не позднее 10 октября тек[ущего] года представить в РЗ СТО согласованные предложения о сроках постановки этих систем в массовое производство. В предложениях учесть необходимость специализации заводов и размещение заказов НКВМ мирного и военного времени, вытекающих из пятилетнего плана строительства вооруженных сил.</w:t>
      </w:r>
    </w:p>
    <w:p w14:paraId="05E1104D" w14:textId="77777777" w:rsidR="00AF4131" w:rsidRPr="00507A31" w:rsidRDefault="00AF4131" w:rsidP="00507A31">
      <w:pPr>
        <w:pStyle w:val="rtejustify"/>
        <w:spacing w:before="0" w:after="0"/>
        <w:rPr>
          <w:color w:val="000000" w:themeColor="text1"/>
          <w:sz w:val="16"/>
          <w:szCs w:val="16"/>
        </w:rPr>
      </w:pPr>
      <w:r w:rsidRPr="00507A31">
        <w:rPr>
          <w:color w:val="000000" w:themeColor="text1"/>
          <w:sz w:val="16"/>
          <w:szCs w:val="16"/>
        </w:rPr>
        <w:t>5. Обязать ВСНХ СССР развернуть массовое производство взрывателей РГ</w:t>
      </w:r>
      <w:r w:rsidRPr="00507A31">
        <w:rPr>
          <w:color w:val="000000" w:themeColor="text1"/>
          <w:sz w:val="16"/>
          <w:szCs w:val="16"/>
        </w:rPr>
        <w:noBreakHyphen/>
        <w:t>6 в размерах, обеспечивающих изготовление в 1930/31 г. 1 млн. шт.</w:t>
      </w:r>
    </w:p>
    <w:p w14:paraId="263AFACB" w14:textId="77777777" w:rsidR="00AF4131" w:rsidRPr="00507A31" w:rsidRDefault="00AF4131" w:rsidP="00507A31">
      <w:pPr>
        <w:pStyle w:val="ae"/>
        <w:spacing w:before="0" w:after="0"/>
        <w:jc w:val="both"/>
        <w:rPr>
          <w:color w:val="000000" w:themeColor="text1"/>
          <w:sz w:val="16"/>
          <w:szCs w:val="16"/>
        </w:rPr>
      </w:pPr>
      <w:r w:rsidRPr="00507A31">
        <w:rPr>
          <w:rStyle w:val="af0"/>
          <w:i w:val="0"/>
          <w:color w:val="000000" w:themeColor="text1"/>
          <w:sz w:val="16"/>
          <w:szCs w:val="16"/>
        </w:rPr>
        <w:t>Врид секретаря РЗ СТО Лиздин</w:t>
      </w:r>
    </w:p>
    <w:p w14:paraId="3FB41226" w14:textId="77777777" w:rsidR="00AF4131" w:rsidRPr="00507A31" w:rsidRDefault="00AF4131" w:rsidP="00507A31">
      <w:pPr>
        <w:pStyle w:val="ae"/>
        <w:spacing w:before="0" w:after="0"/>
        <w:jc w:val="both"/>
        <w:rPr>
          <w:color w:val="000000" w:themeColor="text1"/>
          <w:sz w:val="16"/>
          <w:szCs w:val="16"/>
        </w:rPr>
      </w:pPr>
      <w:r w:rsidRPr="00507A31">
        <w:rPr>
          <w:color w:val="000000" w:themeColor="text1"/>
          <w:sz w:val="16"/>
          <w:szCs w:val="16"/>
        </w:rPr>
        <w:t>ГА РФ. Ф. Р-8418. Оп. 4. Д. 151. Л. 1 — 1 об. Подлинник.</w:t>
      </w:r>
    </w:p>
    <w:p w14:paraId="7A291288" w14:textId="77777777" w:rsidR="00AF4131" w:rsidRPr="00507A31" w:rsidRDefault="00AF4131" w:rsidP="00507A31">
      <w:pPr>
        <w:jc w:val="both"/>
        <w:rPr>
          <w:color w:val="000000" w:themeColor="text1"/>
          <w:sz w:val="16"/>
          <w:szCs w:val="16"/>
        </w:rPr>
      </w:pPr>
      <w:r w:rsidRPr="00507A31">
        <w:rPr>
          <w:color w:val="000000" w:themeColor="text1"/>
          <w:sz w:val="16"/>
          <w:szCs w:val="16"/>
        </w:rPr>
        <w:t xml:space="preserve">Архив: ГА РФ. Ф. Р-8418. Оп. 4. Д. 151. Л. 1 — 1 об. Подлинник. </w:t>
      </w:r>
    </w:p>
    <w:p w14:paraId="14B8E1F2" w14:textId="77777777" w:rsidR="00AF4131" w:rsidRPr="00507A31" w:rsidRDefault="00AF4131"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492-493 (12515).</w:t>
      </w:r>
    </w:p>
    <w:p w14:paraId="13C0C22E" w14:textId="77777777" w:rsidR="00AF4131" w:rsidRPr="00507A31" w:rsidRDefault="00AF4131" w:rsidP="00507A31">
      <w:pPr>
        <w:jc w:val="both"/>
        <w:rPr>
          <w:color w:val="000000" w:themeColor="text1"/>
          <w:sz w:val="16"/>
          <w:szCs w:val="16"/>
        </w:rPr>
      </w:pPr>
    </w:p>
    <w:p w14:paraId="64E61A34" w14:textId="77777777" w:rsidR="00DA4C3B" w:rsidRPr="00507A31" w:rsidRDefault="00DA4C3B" w:rsidP="00507A31">
      <w:pPr>
        <w:jc w:val="both"/>
        <w:rPr>
          <w:color w:val="000000" w:themeColor="text1"/>
          <w:sz w:val="16"/>
          <w:szCs w:val="16"/>
        </w:rPr>
      </w:pPr>
      <w:r w:rsidRPr="00507A31">
        <w:rPr>
          <w:color w:val="000000" w:themeColor="text1"/>
          <w:sz w:val="16"/>
          <w:szCs w:val="16"/>
        </w:rPr>
        <w:t xml:space="preserve">10 сентября 1930 г. </w:t>
      </w:r>
      <w:r w:rsidR="00E20822" w:rsidRPr="00507A31">
        <w:rPr>
          <w:color w:val="000000" w:themeColor="text1"/>
          <w:sz w:val="16"/>
          <w:szCs w:val="16"/>
        </w:rPr>
        <w:t xml:space="preserve">было письмо </w:t>
      </w:r>
      <w:r w:rsidRPr="00507A31">
        <w:rPr>
          <w:color w:val="000000" w:themeColor="text1"/>
          <w:sz w:val="16"/>
          <w:szCs w:val="16"/>
        </w:rPr>
        <w:t>«ВСНХ СССР Металлургическое бюро по иностранной техпомощи (Металлбюро) заводу «Большевик»</w:t>
      </w:r>
    </w:p>
    <w:p w14:paraId="6A881F45" w14:textId="77777777" w:rsidR="00DA4C3B" w:rsidRPr="00507A31" w:rsidRDefault="00DA4C3B" w:rsidP="00507A31">
      <w:pPr>
        <w:jc w:val="both"/>
        <w:rPr>
          <w:color w:val="000000" w:themeColor="text1"/>
          <w:sz w:val="16"/>
          <w:szCs w:val="16"/>
        </w:rPr>
      </w:pPr>
      <w:r w:rsidRPr="00507A31">
        <w:rPr>
          <w:color w:val="000000" w:themeColor="text1"/>
          <w:sz w:val="16"/>
          <w:szCs w:val="16"/>
        </w:rPr>
        <w:t>1. Металлбюро ставит Вас в известность, что некоторые специалисты, прибывающие в порядке обслуживания технической помощью по договору с фирмой «Крупп», во многих случаях проявили излишнее любопытство в вопросах к их прямому делу не относящихся. (Например: количество рабочих занятых на том или ином производстве, бытовые условия рабочих, процент партийцев и пр.). Поэтому Метбюро рекомендует на все вопросы крупповцев ссылаться на Металлбюро, которое имеет точные данные по всем этим вопросам и может заинтересованное лицо снабдить необходимыми сведениями...»</w:t>
      </w:r>
    </w:p>
    <w:p w14:paraId="032486DE" w14:textId="77777777" w:rsidR="00DA4C3B" w:rsidRPr="00507A31" w:rsidRDefault="00DA4C3B" w:rsidP="00507A31">
      <w:pPr>
        <w:jc w:val="both"/>
        <w:rPr>
          <w:color w:val="000000" w:themeColor="text1"/>
          <w:sz w:val="16"/>
          <w:szCs w:val="16"/>
        </w:rPr>
      </w:pPr>
      <w:r w:rsidRPr="00507A31">
        <w:rPr>
          <w:color w:val="000000" w:themeColor="text1"/>
          <w:sz w:val="16"/>
          <w:szCs w:val="16"/>
        </w:rPr>
        <w:t xml:space="preserve">В течение мая на «Большевик» шли служебные письма рекомендательного характера, касающиеся максимального использования немецких специалистов в производственном процессе. У центра главная задача была одна - «выжать из них как можно больше». Этот своего рода мини-лозунг в той или иной форме встречается в большинстве документов. </w:t>
      </w:r>
    </w:p>
    <w:p w14:paraId="2B569C3C" w14:textId="77777777" w:rsidR="00DA4C3B" w:rsidRPr="00507A31" w:rsidRDefault="00DA4C3B" w:rsidP="00507A31">
      <w:pPr>
        <w:jc w:val="both"/>
        <w:rPr>
          <w:color w:val="000000" w:themeColor="text1"/>
          <w:sz w:val="16"/>
          <w:szCs w:val="16"/>
        </w:rPr>
      </w:pPr>
      <w:r w:rsidRPr="00507A31">
        <w:rPr>
          <w:color w:val="000000" w:themeColor="text1"/>
          <w:sz w:val="16"/>
          <w:szCs w:val="16"/>
        </w:rPr>
        <w:t>Руководство страны, приглашая иностранных специалистов, вправе было рассчитывать на полную отдачу ими своего опыта и знаний, а также вправе было требовать и от принимающей стороны (в данном случае завод «Большевик») создания приемлемых условий для совместной работы «в деле освоения техпомощи». Какие надежды связывала Москва с Круппом, можно судить хотя бы по небольшим отрывкам из служебных писем ВСНХ, отправленных на «Большевик» в мае 1930-го. «...Для дальнейшего правильного использования техпомощи Крупна Вам необходимо развернуть эту работу не только в направлении разрешения отдельных технических вопросов, связанных с текущей производственной программой, а главным образом, в направлении решительного повышения всей техники Вашей металлургии на базе опыта Круппа и в первую очередь в решительном оздоровлении производственных условий...». «...В течение ближайшего периода Вами должна быть проведена с немцами специальная экспертиза по состоянию оборудования металлургических цехов, в результате которой завод должен наметить пути его модернизации и увязать их с вопросами пятилетки...», «...считаем нужным обратить Ваше внимание на то, что немецкие специалисты призваны не только для консультаций, но и для проведения определенных работ оперативно в полном объеме со всеми деталями технического руководства, что Вы и должны от них требовать...»</w:t>
      </w:r>
    </w:p>
    <w:p w14:paraId="34B47C5F" w14:textId="77777777" w:rsidR="00DA4C3B" w:rsidRPr="00507A31" w:rsidRDefault="00DA4C3B" w:rsidP="00507A31">
      <w:pPr>
        <w:jc w:val="both"/>
        <w:rPr>
          <w:color w:val="000000" w:themeColor="text1"/>
          <w:sz w:val="16"/>
          <w:szCs w:val="16"/>
        </w:rPr>
      </w:pPr>
      <w:r w:rsidRPr="00507A31">
        <w:rPr>
          <w:color w:val="000000" w:themeColor="text1"/>
          <w:sz w:val="16"/>
          <w:szCs w:val="16"/>
        </w:rPr>
        <w:t>Увы, на эти рекомендации дирекция завода реагирует довольно вяло. И после очередной комиссии и беседы проверяющего с немецкими работниками последовало предупредительное письмо от 1 июня 1930 года, теперь уже лично директору завода «Большевик» Сальникову. «...Не взирая на указания треста заводоуправление не сумело наладить должным образом работу крупповцев, приглашенных на непродолжительное время, что тем более настоятельно диктует необходимостью использовать каждый день, каждый час их работы... Между тем, отсутствие до сих пор ожидаемых нами от Вас материалов, равно как и упорное уклонение от посылки нам обстоятельных отчетов о работе крупповцев с конкретными выводами о технико - экономическом эффекте - все это характеризует взятый и продолжаемый администрацией В/завода в этой области темп - с прохладцей. Еще раз категорически подчеркивая настоятельную необходимость взять, наконец, в отношении работающих у Вас крупповских специалистов, курс на максимальное использование их знаний и опыта... ...обращаем Ваше внимание на то, что согласно приказа по ВСНХ за № 113/с, ответственность за правильное, наиболее эффективное использование иностранных специалистов лежит всецело на Вас...».</w:t>
      </w:r>
    </w:p>
    <w:p w14:paraId="0B141970" w14:textId="77777777" w:rsidR="00DA4C3B" w:rsidRPr="00507A31" w:rsidRDefault="00DA4C3B" w:rsidP="00507A31">
      <w:pPr>
        <w:jc w:val="both"/>
        <w:rPr>
          <w:color w:val="000000" w:themeColor="text1"/>
          <w:sz w:val="16"/>
          <w:szCs w:val="16"/>
        </w:rPr>
      </w:pPr>
      <w:r w:rsidRPr="00507A31">
        <w:rPr>
          <w:color w:val="000000" w:themeColor="text1"/>
          <w:sz w:val="16"/>
          <w:szCs w:val="16"/>
        </w:rPr>
        <w:lastRenderedPageBreak/>
        <w:t>В СССР уже вовсю гремит лозунг «Пятилетку в четыре года», а здесь директор известного металлургического завода взял темп «с прохладцей». Для того времени это было серьезным обвинением. Следует добавить, что «Большевик» был ведущим военным заводом страны и всегда находился под пристальным вниманием высшего руководства. В то время это был, по сути, единственный завод в СССР, выпускавший танк МС-1(Т-18) - основной танк РККА в начале 1930-х. Надо заметить, что у «Большевика» имелся завод-дублер - Мотовилихинский механический завод в Перми, но там не смогли наладить крупносерийный выпуск МС-1 (15225).</w:t>
      </w:r>
    </w:p>
    <w:p w14:paraId="1D2097C2" w14:textId="77777777" w:rsidR="00DA4C3B" w:rsidRPr="00507A31" w:rsidRDefault="00DA4C3B" w:rsidP="00507A31">
      <w:pPr>
        <w:jc w:val="both"/>
        <w:rPr>
          <w:color w:val="000000" w:themeColor="text1"/>
          <w:sz w:val="16"/>
          <w:szCs w:val="16"/>
        </w:rPr>
      </w:pPr>
    </w:p>
    <w:p w14:paraId="066ABE8E" w14:textId="77777777" w:rsidR="00DD671F" w:rsidRPr="00507A31" w:rsidRDefault="00DD671F" w:rsidP="00507A31">
      <w:pPr>
        <w:jc w:val="both"/>
        <w:rPr>
          <w:color w:val="000000" w:themeColor="text1"/>
          <w:sz w:val="16"/>
          <w:szCs w:val="16"/>
          <w:shd w:val="clear" w:color="auto" w:fill="FFFFFF"/>
        </w:rPr>
      </w:pPr>
      <w:r w:rsidRPr="00507A31">
        <w:rPr>
          <w:color w:val="000000" w:themeColor="text1"/>
          <w:sz w:val="16"/>
          <w:szCs w:val="16"/>
          <w:shd w:val="clear" w:color="auto" w:fill="FFFFFF"/>
        </w:rPr>
        <w:t xml:space="preserve">10 сентября 1930 г. </w:t>
      </w:r>
    </w:p>
    <w:p w14:paraId="481CEF3B" w14:textId="77777777" w:rsidR="00DD671F" w:rsidRPr="00507A31" w:rsidRDefault="00DD671F" w:rsidP="00507A31">
      <w:pPr>
        <w:jc w:val="both"/>
        <w:rPr>
          <w:color w:val="000000" w:themeColor="text1"/>
          <w:sz w:val="16"/>
          <w:szCs w:val="16"/>
          <w:shd w:val="clear" w:color="auto" w:fill="FFFFFF"/>
        </w:rPr>
      </w:pPr>
      <w:r w:rsidRPr="00507A31">
        <w:rPr>
          <w:color w:val="000000" w:themeColor="text1"/>
          <w:sz w:val="16"/>
          <w:szCs w:val="16"/>
          <w:shd w:val="clear" w:color="auto" w:fill="FFFFFF"/>
        </w:rPr>
        <w:t>«ВСНХ СССР Металлургическое бюро по иностранной техпомощи (Металлбюро) заводу «Большевик»</w:t>
      </w:r>
    </w:p>
    <w:p w14:paraId="19127344" w14:textId="77777777" w:rsidR="00DD671F" w:rsidRPr="00507A31" w:rsidRDefault="00DD671F" w:rsidP="00507A31">
      <w:pPr>
        <w:jc w:val="both"/>
        <w:rPr>
          <w:color w:val="000000" w:themeColor="text1"/>
          <w:sz w:val="16"/>
          <w:szCs w:val="16"/>
        </w:rPr>
      </w:pPr>
      <w:r w:rsidRPr="00507A31">
        <w:rPr>
          <w:color w:val="000000" w:themeColor="text1"/>
          <w:sz w:val="16"/>
          <w:szCs w:val="16"/>
          <w:shd w:val="clear" w:color="auto" w:fill="FFFFFF"/>
        </w:rPr>
        <w:t>1. Металлбюро ставит Вас в известность, что некоторые специалисты, прибывающие в порядке обслуживания технической помощью по договору с фирмой «Крупп», во многих случаях проявили излишнее любопытство в вопросах к их прямому делу не относящихся. (Например: количество рабочих занятых на том или ином производстве, бытовые условия рабочих, процент партийцев и пр.). Поэтому Метбюро рекомендует на все вопросы крупповцев ссылаться на Металлбюро, которое имеет точные данные по всем этим вопросам и может заинтересованное лицо снабдить необходимыми сведениями...» (18976).</w:t>
      </w:r>
    </w:p>
    <w:p w14:paraId="73DCC075" w14:textId="77777777" w:rsidR="00DD671F" w:rsidRPr="00507A31" w:rsidRDefault="00DD671F" w:rsidP="00507A31">
      <w:pPr>
        <w:jc w:val="both"/>
        <w:rPr>
          <w:color w:val="000000" w:themeColor="text1"/>
          <w:sz w:val="16"/>
          <w:szCs w:val="16"/>
        </w:rPr>
      </w:pPr>
    </w:p>
    <w:p w14:paraId="76D030A7" w14:textId="77777777" w:rsidR="00DD671F" w:rsidRPr="00507A31" w:rsidRDefault="00DD671F" w:rsidP="00507A31">
      <w:pPr>
        <w:jc w:val="both"/>
        <w:rPr>
          <w:bCs/>
          <w:iCs/>
          <w:color w:val="000000" w:themeColor="text1"/>
          <w:sz w:val="16"/>
          <w:szCs w:val="16"/>
        </w:rPr>
      </w:pPr>
      <w:r w:rsidRPr="00507A31">
        <w:rPr>
          <w:bCs/>
          <w:iCs/>
          <w:color w:val="000000" w:themeColor="text1"/>
          <w:sz w:val="16"/>
          <w:szCs w:val="16"/>
        </w:rPr>
        <w:t>10 сентяьря 1930</w:t>
      </w:r>
    </w:p>
    <w:p w14:paraId="2BE76317" w14:textId="77777777" w:rsidR="00DD671F" w:rsidRPr="00507A31" w:rsidRDefault="00DD671F" w:rsidP="00507A31">
      <w:pPr>
        <w:jc w:val="both"/>
        <w:rPr>
          <w:color w:val="000000" w:themeColor="text1"/>
          <w:sz w:val="16"/>
          <w:szCs w:val="16"/>
        </w:rPr>
      </w:pPr>
      <w:r w:rsidRPr="00507A31">
        <w:rPr>
          <w:bCs/>
          <w:iCs/>
          <w:color w:val="000000" w:themeColor="text1"/>
          <w:sz w:val="16"/>
          <w:szCs w:val="16"/>
        </w:rPr>
        <w:t>РГВА Фонд 31811 Опись 1 Дело 435 лист 1</w:t>
      </w:r>
      <w:r w:rsidRPr="00507A31">
        <w:rPr>
          <w:color w:val="000000" w:themeColor="text1"/>
          <w:sz w:val="16"/>
          <w:szCs w:val="16"/>
        </w:rPr>
        <w:t xml:space="preserve"> </w:t>
      </w:r>
    </w:p>
    <w:p w14:paraId="66D13CE6"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Секретно. </w:t>
      </w:r>
    </w:p>
    <w:p w14:paraId="041A31B4"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Экз. № 1 </w:t>
      </w:r>
    </w:p>
    <w:p w14:paraId="7BF17A50" w14:textId="77777777" w:rsidR="00DD671F" w:rsidRPr="00507A31" w:rsidRDefault="00DD671F" w:rsidP="00507A31">
      <w:pPr>
        <w:jc w:val="both"/>
        <w:rPr>
          <w:color w:val="000000" w:themeColor="text1"/>
          <w:sz w:val="16"/>
          <w:szCs w:val="16"/>
        </w:rPr>
      </w:pPr>
      <w:r w:rsidRPr="00507A31">
        <w:rPr>
          <w:color w:val="000000" w:themeColor="text1"/>
          <w:sz w:val="16"/>
          <w:szCs w:val="16"/>
        </w:rPr>
        <w:t>АКТ № 903512</w:t>
      </w:r>
    </w:p>
    <w:p w14:paraId="79EE4A8B"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9-го Августа 1930 г. при № 549/с от ОВЗ Наркомторга СССР на имя т. Халепского получено по проверке 127 листов чертежей танка Кристи. Опись прилагается к акту. Проверку по количеству производили: </w:t>
      </w:r>
    </w:p>
    <w:p w14:paraId="45AE9D86"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От Секретариата УММ РККА – т. ЗИМИНА </w:t>
      </w:r>
    </w:p>
    <w:p w14:paraId="56DDEE3A"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от НТК УММ – Управделами НТК – т. НЕПОМНЯЩИЙ </w:t>
      </w:r>
    </w:p>
    <w:p w14:paraId="1B090B07"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Опись составлял Управделами НТК – Непомнящий. </w:t>
      </w:r>
    </w:p>
    <w:p w14:paraId="44F8CADB"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Указанное удостоверяется подписями. </w:t>
      </w:r>
    </w:p>
    <w:p w14:paraId="178B200F"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ПРИЛОЖЕНИЕ: опись на "1" листе. </w:t>
      </w:r>
    </w:p>
    <w:p w14:paraId="4F599386" w14:textId="77777777" w:rsidR="00DD671F" w:rsidRPr="00507A31" w:rsidRDefault="00DD671F" w:rsidP="00507A31">
      <w:pPr>
        <w:jc w:val="both"/>
        <w:rPr>
          <w:color w:val="000000" w:themeColor="text1"/>
          <w:sz w:val="16"/>
          <w:szCs w:val="16"/>
        </w:rPr>
      </w:pPr>
      <w:r w:rsidRPr="00507A31">
        <w:rPr>
          <w:color w:val="000000" w:themeColor="text1"/>
          <w:sz w:val="16"/>
          <w:szCs w:val="16"/>
        </w:rPr>
        <w:t>подпись (Непомнящий)</w:t>
      </w:r>
    </w:p>
    <w:p w14:paraId="3A7D5EBC" w14:textId="77777777" w:rsidR="00DD671F" w:rsidRPr="00507A31" w:rsidRDefault="00DD671F" w:rsidP="00507A31">
      <w:pPr>
        <w:jc w:val="both"/>
        <w:rPr>
          <w:color w:val="000000" w:themeColor="text1"/>
          <w:sz w:val="16"/>
          <w:szCs w:val="16"/>
        </w:rPr>
      </w:pPr>
      <w:r w:rsidRPr="00507A31">
        <w:rPr>
          <w:color w:val="000000" w:themeColor="text1"/>
          <w:sz w:val="16"/>
          <w:szCs w:val="16"/>
        </w:rPr>
        <w:t>подпись (Зимина)</w:t>
      </w:r>
    </w:p>
    <w:p w14:paraId="76A83114"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"10" Сентября 1930 г. </w:t>
      </w:r>
    </w:p>
    <w:p w14:paraId="2D6FC3DA"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Отпечатано в 3 экз. </w:t>
      </w:r>
    </w:p>
    <w:p w14:paraId="33B95824" w14:textId="77777777" w:rsidR="00DD671F" w:rsidRPr="00507A31" w:rsidRDefault="00DD671F" w:rsidP="00507A31">
      <w:pPr>
        <w:jc w:val="both"/>
        <w:rPr>
          <w:color w:val="000000" w:themeColor="text1"/>
          <w:sz w:val="16"/>
          <w:szCs w:val="16"/>
        </w:rPr>
      </w:pPr>
      <w:r w:rsidRPr="00507A31">
        <w:rPr>
          <w:bCs/>
          <w:iCs/>
          <w:color w:val="000000" w:themeColor="text1"/>
          <w:sz w:val="16"/>
          <w:szCs w:val="16"/>
        </w:rPr>
        <w:t>РГВА Фонд 31811 Опись 1 Дело 435 лист 2</w:t>
      </w:r>
      <w:r w:rsidRPr="00507A31">
        <w:rPr>
          <w:color w:val="000000" w:themeColor="text1"/>
          <w:sz w:val="16"/>
          <w:szCs w:val="16"/>
        </w:rPr>
        <w:t xml:space="preserve"> </w:t>
      </w:r>
    </w:p>
    <w:p w14:paraId="68771DAA"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Секретно. </w:t>
      </w:r>
    </w:p>
    <w:p w14:paraId="3CB9F2A0"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Экз. № 1 </w:t>
      </w:r>
    </w:p>
    <w:p w14:paraId="449DC53B" w14:textId="77777777" w:rsidR="00DD671F" w:rsidRPr="00507A31" w:rsidRDefault="00DD671F" w:rsidP="00507A31">
      <w:pPr>
        <w:jc w:val="both"/>
        <w:rPr>
          <w:color w:val="000000" w:themeColor="text1"/>
          <w:sz w:val="16"/>
          <w:szCs w:val="16"/>
        </w:rPr>
      </w:pPr>
      <w:r w:rsidRPr="00507A31">
        <w:rPr>
          <w:color w:val="000000" w:themeColor="text1"/>
          <w:sz w:val="16"/>
          <w:szCs w:val="16"/>
        </w:rPr>
        <w:t>ОПИСЬ</w:t>
      </w:r>
    </w:p>
    <w:p w14:paraId="73A451DB" w14:textId="77777777" w:rsidR="00DD671F" w:rsidRPr="00507A31" w:rsidRDefault="00DD671F" w:rsidP="00507A31">
      <w:pPr>
        <w:jc w:val="both"/>
        <w:rPr>
          <w:color w:val="000000" w:themeColor="text1"/>
          <w:sz w:val="16"/>
          <w:szCs w:val="16"/>
        </w:rPr>
      </w:pPr>
      <w:r w:rsidRPr="00507A31">
        <w:rPr>
          <w:color w:val="000000" w:themeColor="text1"/>
          <w:sz w:val="16"/>
          <w:szCs w:val="16"/>
        </w:rPr>
        <w:t>чертежам танка КРИСТИ, полученных от ОВЗ при № 549</w:t>
      </w:r>
    </w:p>
    <w:p w14:paraId="01E52E35"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от 2-го Августа 1930 г. </w:t>
      </w:r>
    </w:p>
    <w:p w14:paraId="502A4D3E" w14:textId="77777777" w:rsidR="00DD671F" w:rsidRPr="00507A31" w:rsidRDefault="00DD671F" w:rsidP="00507A31">
      <w:pPr>
        <w:jc w:val="both"/>
        <w:rPr>
          <w:color w:val="000000" w:themeColor="text1"/>
          <w:sz w:val="16"/>
          <w:szCs w:val="16"/>
        </w:rPr>
      </w:pPr>
      <w:r w:rsidRPr="00507A31">
        <w:rPr>
          <w:color w:val="000000" w:themeColor="text1"/>
          <w:sz w:val="16"/>
          <w:szCs w:val="16"/>
        </w:rPr>
        <w:t xml:space="preserve">"10" Сентября 1930 г. </w:t>
      </w:r>
    </w:p>
    <w:p w14:paraId="01E220E4" w14:textId="77777777" w:rsidR="00DD671F" w:rsidRPr="00507A31" w:rsidRDefault="00DD671F" w:rsidP="00507A31">
      <w:pPr>
        <w:jc w:val="both"/>
        <w:rPr>
          <w:color w:val="000000" w:themeColor="text1"/>
          <w:sz w:val="16"/>
          <w:szCs w:val="16"/>
        </w:rPr>
      </w:pPr>
      <w:r w:rsidRPr="00507A31">
        <w:rPr>
          <w:color w:val="000000" w:themeColor="text1"/>
          <w:sz w:val="16"/>
          <w:szCs w:val="16"/>
        </w:rPr>
        <w:t>УПРАВДЕЛАМИ НТК УММ РККА подпись (Непомнящий)</w:t>
      </w:r>
    </w:p>
    <w:p w14:paraId="5B147B61" w14:textId="77777777" w:rsidR="00DD671F" w:rsidRPr="00507A31" w:rsidRDefault="00DD671F" w:rsidP="00507A31">
      <w:pPr>
        <w:jc w:val="both"/>
        <w:rPr>
          <w:color w:val="000000" w:themeColor="text1"/>
          <w:sz w:val="16"/>
          <w:szCs w:val="16"/>
        </w:rPr>
      </w:pPr>
      <w:r w:rsidRPr="00507A31">
        <w:rPr>
          <w:color w:val="000000" w:themeColor="text1"/>
          <w:sz w:val="16"/>
          <w:szCs w:val="16"/>
        </w:rPr>
        <w:t>Отпечатано в 3 экз. (19760).</w:t>
      </w:r>
    </w:p>
    <w:p w14:paraId="3BCE2D0E" w14:textId="77777777" w:rsidR="00DD671F" w:rsidRPr="00507A31" w:rsidRDefault="00DD671F" w:rsidP="00507A31">
      <w:pPr>
        <w:jc w:val="both"/>
        <w:rPr>
          <w:color w:val="000000" w:themeColor="text1"/>
          <w:sz w:val="16"/>
          <w:szCs w:val="16"/>
        </w:rPr>
      </w:pPr>
    </w:p>
    <w:p w14:paraId="6FA3436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55CE383" w14:textId="77777777" w:rsidR="00537E5F" w:rsidRPr="00507A31" w:rsidRDefault="00537E5F" w:rsidP="00507A31">
      <w:pPr>
        <w:autoSpaceDE w:val="0"/>
        <w:autoSpaceDN w:val="0"/>
        <w:adjustRightInd w:val="0"/>
        <w:jc w:val="both"/>
        <w:rPr>
          <w:iCs/>
          <w:color w:val="000000" w:themeColor="text1"/>
          <w:sz w:val="16"/>
          <w:szCs w:val="16"/>
        </w:rPr>
      </w:pPr>
    </w:p>
    <w:p w14:paraId="3790FB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сентября 1930 года заместитель начальника УММ РККА Бокис утвердил табели к штату опытной мехбригады (мир</w:t>
      </w:r>
      <w:r w:rsidRPr="00507A31">
        <w:rPr>
          <w:color w:val="000000" w:themeColor="text1"/>
          <w:sz w:val="16"/>
          <w:szCs w:val="16"/>
        </w:rPr>
        <w:softHyphen/>
        <w:t>ного времени). В соответствии с ними формировался легкий полк механизированной бригады, имевший на вооружении 12 бронемашин БА-27 (из них 3 учебных). Директивой На</w:t>
      </w:r>
      <w:r w:rsidRPr="00507A31">
        <w:rPr>
          <w:color w:val="000000" w:themeColor="text1"/>
          <w:sz w:val="16"/>
          <w:szCs w:val="16"/>
        </w:rPr>
        <w:softHyphen/>
        <w:t>родного комиссара по военным и морским делам СССР и Революционно-военного совета СССР № 017127/сс от 22 февраля 1931 года на формирование опытной мехбрига</w:t>
      </w:r>
      <w:r w:rsidRPr="00507A31">
        <w:rPr>
          <w:color w:val="000000" w:themeColor="text1"/>
          <w:sz w:val="16"/>
          <w:szCs w:val="16"/>
        </w:rPr>
        <w:softHyphen/>
        <w:t>ды обращался 3-й автоброневой дивизион, расположенный в Москве (11284).</w:t>
      </w:r>
    </w:p>
    <w:p w14:paraId="500A28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0B1BE1F" w14:textId="77777777" w:rsidR="00AF4131" w:rsidRPr="00507A31" w:rsidRDefault="00AC735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DD78015" w14:textId="77777777" w:rsidR="00AF4131" w:rsidRPr="00507A31" w:rsidRDefault="00AF4131" w:rsidP="00507A31">
      <w:pPr>
        <w:autoSpaceDE w:val="0"/>
        <w:autoSpaceDN w:val="0"/>
        <w:adjustRightInd w:val="0"/>
        <w:jc w:val="both"/>
        <w:rPr>
          <w:iCs/>
          <w:color w:val="000000" w:themeColor="text1"/>
          <w:sz w:val="16"/>
          <w:szCs w:val="16"/>
        </w:rPr>
      </w:pPr>
    </w:p>
    <w:p w14:paraId="3F5970C8" w14:textId="77777777" w:rsidR="00AF4131" w:rsidRPr="00507A31" w:rsidRDefault="00AF4131" w:rsidP="00507A31">
      <w:pPr>
        <w:jc w:val="both"/>
        <w:rPr>
          <w:color w:val="000000" w:themeColor="text1"/>
          <w:sz w:val="16"/>
          <w:szCs w:val="16"/>
          <w:u w:color="002060"/>
        </w:rPr>
      </w:pPr>
      <w:r w:rsidRPr="00507A31">
        <w:rPr>
          <w:color w:val="000000" w:themeColor="text1"/>
          <w:sz w:val="16"/>
          <w:szCs w:val="16"/>
          <w:u w:color="002060"/>
        </w:rPr>
        <w:t>11 сентября 1930. Постановление № 229 СТО СССР о выполнении постановления СТО от 2 августа 1929 г. о работе Ленсудотреста (ГА РФ. Ф. Р?5674. Оп. 1. Д. 42. Л. 343?346) (12415).</w:t>
      </w:r>
    </w:p>
    <w:p w14:paraId="6548899D" w14:textId="77777777" w:rsidR="00AF4131" w:rsidRPr="00507A31" w:rsidRDefault="00AF4131" w:rsidP="00507A31">
      <w:pPr>
        <w:jc w:val="both"/>
        <w:rPr>
          <w:color w:val="000000" w:themeColor="text1"/>
          <w:sz w:val="16"/>
          <w:szCs w:val="16"/>
          <w:u w:color="002060"/>
        </w:rPr>
      </w:pPr>
    </w:p>
    <w:p w14:paraId="2AD42786" w14:textId="77777777" w:rsidR="00C428B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7FD1134" w14:textId="77777777" w:rsidR="00C428B4" w:rsidRPr="00507A31" w:rsidRDefault="00C428B4" w:rsidP="00507A31">
      <w:pPr>
        <w:autoSpaceDE w:val="0"/>
        <w:autoSpaceDN w:val="0"/>
        <w:adjustRightInd w:val="0"/>
        <w:jc w:val="both"/>
        <w:rPr>
          <w:color w:val="000000" w:themeColor="text1"/>
          <w:sz w:val="16"/>
          <w:szCs w:val="16"/>
        </w:rPr>
      </w:pPr>
    </w:p>
    <w:p w14:paraId="3289C358" w14:textId="77777777" w:rsidR="00C428B4" w:rsidRPr="00507A31" w:rsidRDefault="00C428B4" w:rsidP="00507A31">
      <w:pPr>
        <w:jc w:val="both"/>
        <w:rPr>
          <w:color w:val="000000" w:themeColor="text1"/>
          <w:sz w:val="16"/>
          <w:szCs w:val="16"/>
        </w:rPr>
      </w:pPr>
      <w:r w:rsidRPr="00507A31">
        <w:rPr>
          <w:color w:val="000000" w:themeColor="text1"/>
          <w:sz w:val="16"/>
          <w:szCs w:val="16"/>
        </w:rPr>
        <w:t>11 сентября в 1930 году в Москву на Белорусский вокзал прибыл особый поезд, предоставленный советским руководством индийскому поэту Рабиндранату Тагору. Свои впечатления и мысли от поездки в советскую Россию он изложил в многочисленных письмах к друзьям и родным, составивших одно из его самых интересных и содержательных публицистических произведений - "Писем к России" (14766).</w:t>
      </w:r>
    </w:p>
    <w:p w14:paraId="6A17DD6F" w14:textId="77777777" w:rsidR="00C428B4" w:rsidRPr="00507A31" w:rsidRDefault="00C428B4" w:rsidP="00507A31">
      <w:pPr>
        <w:jc w:val="both"/>
        <w:rPr>
          <w:color w:val="000000" w:themeColor="text1"/>
          <w:sz w:val="16"/>
          <w:szCs w:val="16"/>
        </w:rPr>
      </w:pPr>
    </w:p>
    <w:p w14:paraId="4AFB8066" w14:textId="77777777" w:rsidR="00D1487B" w:rsidRPr="00507A31" w:rsidRDefault="00D1487B" w:rsidP="00507A31">
      <w:pPr>
        <w:autoSpaceDE w:val="0"/>
        <w:autoSpaceDN w:val="0"/>
        <w:adjustRightInd w:val="0"/>
        <w:jc w:val="both"/>
        <w:rPr>
          <w:iCs/>
          <w:color w:val="000000" w:themeColor="text1"/>
          <w:sz w:val="16"/>
          <w:szCs w:val="16"/>
        </w:rPr>
      </w:pPr>
      <w:bookmarkStart w:id="93" w:name="_Hlk56763625"/>
      <w:r w:rsidRPr="00507A31">
        <w:rPr>
          <w:i/>
          <w:iCs/>
          <w:color w:val="000000" w:themeColor="text1"/>
          <w:sz w:val="16"/>
          <w:szCs w:val="16"/>
        </w:rPr>
        <w:t>За рубежом:</w:t>
      </w:r>
    </w:p>
    <w:p w14:paraId="2D79AFB5" w14:textId="77777777" w:rsidR="00D1487B" w:rsidRPr="00507A31" w:rsidRDefault="00D1487B" w:rsidP="00507A31">
      <w:pPr>
        <w:autoSpaceDE w:val="0"/>
        <w:autoSpaceDN w:val="0"/>
        <w:adjustRightInd w:val="0"/>
        <w:jc w:val="both"/>
        <w:rPr>
          <w:iCs/>
          <w:color w:val="000000" w:themeColor="text1"/>
          <w:sz w:val="16"/>
          <w:szCs w:val="16"/>
        </w:rPr>
      </w:pPr>
    </w:p>
    <w:p w14:paraId="0044AAD1" w14:textId="77777777" w:rsidR="00D1487B" w:rsidRPr="00507A31" w:rsidRDefault="00D1487B" w:rsidP="00507A31">
      <w:pPr>
        <w:jc w:val="both"/>
        <w:rPr>
          <w:color w:val="0070C0"/>
          <w:sz w:val="16"/>
          <w:szCs w:val="16"/>
        </w:rPr>
      </w:pPr>
      <w:r w:rsidRPr="00507A31">
        <w:rPr>
          <w:color w:val="0070C0"/>
          <w:sz w:val="16"/>
          <w:szCs w:val="16"/>
        </w:rPr>
        <w:t>11 сентября 1930 - Поднят в воздух первый опытный самолёт Fairey Seal (S1325). Опытный образец был создан на базе самолёта Fairey IIIF Mk IIIB и первоначально имел обозначение Fairey IIIF Mk VI. Он же, но уже в поплавковом варианте взлетел через два года - 29 сентября 1932 года. Он в основном был схож с самолётами Gordon и отличался тем, что его экипаж состоял из трёх человек и на самолёте имелось оборудование для морских операций. Оно включало в себя установку поплавкового или колёсного шасси (последнее имело хвостовое колесо и тормоза на основных колёсах), оснащение самолёта тормозным крюком, приспособлением для катапультирования, плавучими мешками и тросовым механизмом. Это позволяло использовать самолёт с авианосцев и военных кораблей, пригодных к запуску морских самолётов с катапульты (22368).</w:t>
      </w:r>
    </w:p>
    <w:p w14:paraId="6559C36E" w14:textId="77777777" w:rsidR="00D1487B" w:rsidRPr="00507A31" w:rsidRDefault="00D1487B" w:rsidP="00507A31">
      <w:pPr>
        <w:jc w:val="both"/>
        <w:rPr>
          <w:color w:val="0070C0"/>
          <w:sz w:val="16"/>
          <w:szCs w:val="16"/>
        </w:rPr>
      </w:pPr>
    </w:p>
    <w:bookmarkEnd w:id="93"/>
    <w:p w14:paraId="3096DCB1" w14:textId="77777777" w:rsidR="00537E5F" w:rsidRPr="00507A31" w:rsidRDefault="00AC735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69D4553" w14:textId="77777777" w:rsidR="00537E5F" w:rsidRPr="00507A31" w:rsidRDefault="00537E5F" w:rsidP="00507A31">
      <w:pPr>
        <w:autoSpaceDE w:val="0"/>
        <w:autoSpaceDN w:val="0"/>
        <w:adjustRightInd w:val="0"/>
        <w:jc w:val="both"/>
        <w:rPr>
          <w:iCs/>
          <w:color w:val="000000" w:themeColor="text1"/>
          <w:sz w:val="16"/>
          <w:szCs w:val="16"/>
        </w:rPr>
      </w:pPr>
    </w:p>
    <w:p w14:paraId="7A793E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сентября 1930 г. ПРИКАЗ УММ О ВВЕДЕНИИ В ДЕЙСТВИЕ ВРЕМЕННОГО ПОЛОЖЕНИЯ ОБ ИСПЫТАТЕЛЬНОЙ ГРУППЕ УММ № 94/8</w:t>
      </w:r>
    </w:p>
    <w:p w14:paraId="186045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404756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0BBB25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Ввести в действие, до утверждения штата Научно-испытательного Полигона УММ, прилагаемое; при сем временное положение об Испытательной группе УММ, - с 1 сентября 1930 г.</w:t>
      </w:r>
    </w:p>
    <w:p w14:paraId="2590ED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43F90A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Назначаю:</w:t>
      </w:r>
    </w:p>
    <w:p w14:paraId="4405BF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Начальником группы — т. Гинзбурга С.А. Ст. руководителем по автосекции — т. Штейнера. Ст. руководителем по танково-тракторной секции т. Громова. Зав. парком опытных боевых и транспортных машин т. Казанского. Заведующим фото-кино лаборатории т. Маскарина с 1 сентября 1930 г.</w:t>
      </w:r>
    </w:p>
    <w:p w14:paraId="2B80DD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 Положение об испытательной группе.</w:t>
      </w:r>
    </w:p>
    <w:p w14:paraId="09B5B3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УММ РККА Халепский</w:t>
      </w:r>
    </w:p>
    <w:p w14:paraId="1AAC67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w:t>
      </w:r>
    </w:p>
    <w:p w14:paraId="631A64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Временное положение об испытательной группе (отделе) Управления по механизации и моторизации</w:t>
      </w:r>
    </w:p>
    <w:p w14:paraId="0685D8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Общие положения</w:t>
      </w:r>
    </w:p>
    <w:p w14:paraId="57CD99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Положение об испытательной группе (отделе) имеет силу с 1 сентября 1930 г. до разворачива-ния работы НИ Полигона УММ до 1 октября 1931 г.</w:t>
      </w:r>
    </w:p>
    <w:p w14:paraId="059063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Испытательная группа (отдел) УММ развертывается при испытательной станции НИИТ Полигона ВТУ РККА.</w:t>
      </w:r>
    </w:p>
    <w:p w14:paraId="0F3766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По вопросам общего технического руководства полное подчинение начальнику УММ РККА и по вопросам административным и хозяйственным - подчинение начальнику полигона ВТУ РККА.</w:t>
      </w:r>
    </w:p>
    <w:p w14:paraId="5B5930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Назначение Полигона</w:t>
      </w:r>
    </w:p>
    <w:p w14:paraId="07A7C8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Испытание всех новых машин как советского, так и заграничного производства, служащих объектами механизации и моторизации армии, с целью установления пригодности их в конструктивном отношении для службы в РККА.</w:t>
      </w:r>
    </w:p>
    <w:p w14:paraId="4AC26F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Производство испытаний в полевой обстановке машин, предполагаемых к введению на вооружение, а также и состоящих на вооружении по выработанным для них тактическим и техническим требованиям.</w:t>
      </w:r>
    </w:p>
    <w:p w14:paraId="202DD5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Испытание всех усовершенствований, вводимых в те же машины с целью определения возможности введения этих усовершенствований взамен существующих частей, или в дополнение к ним.</w:t>
      </w:r>
    </w:p>
    <w:p w14:paraId="196BFA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Определение эксплуатационных норм снабжения этих машин горючими и смазочными материалами и запасными частями.</w:t>
      </w:r>
    </w:p>
    <w:p w14:paraId="5E8590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Определение сроков службы как отдельных механизмов, так и машин в целом.</w:t>
      </w:r>
    </w:p>
    <w:p w14:paraId="44F3AF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Установление дефектов испытуемых машин с указанием необходимых видоизменений в них.</w:t>
      </w:r>
    </w:p>
    <w:p w14:paraId="53ADAD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Выработка инструкций по обращению с машинами и механизмами.</w:t>
      </w:r>
    </w:p>
    <w:p w14:paraId="48EB1A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Состав испытательной группы</w:t>
      </w:r>
    </w:p>
    <w:p w14:paraId="7E67B4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 главе испытательной группы (отдела) стоит начальник группы с правами Начальника отдела ТУУММ.</w:t>
      </w:r>
    </w:p>
    <w:p w14:paraId="6B78DB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Группа состоит из:</w:t>
      </w:r>
    </w:p>
    <w:p w14:paraId="1696ED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Управления группы;</w:t>
      </w:r>
    </w:p>
    <w:p w14:paraId="3711B2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Оперативного отдела: автомобильная секция, танкотракторная секция;</w:t>
      </w:r>
    </w:p>
    <w:p w14:paraId="3CF0B5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парка опытных, боевых и транспортных машин.</w:t>
      </w:r>
    </w:p>
    <w:p w14:paraId="797628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Оперативный отдел</w:t>
      </w:r>
    </w:p>
    <w:p w14:paraId="44F221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Составление программ и планов испытаний машин, и их выполнение соответственными секциями.</w:t>
      </w:r>
    </w:p>
    <w:p w14:paraId="17F70D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Составление отчетов и дача заключений по испытаниям.</w:t>
      </w:r>
    </w:p>
    <w:p w14:paraId="7BC83F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Секции ведают всем имуществом, представленным им на испытания.</w:t>
      </w:r>
    </w:p>
    <w:p w14:paraId="4C4119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Парк опытных, боевых и транспортных машин</w:t>
      </w:r>
    </w:p>
    <w:p w14:paraId="7873DC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Приемка машин и всего имущества, прибывающего на испытания.</w:t>
      </w:r>
    </w:p>
    <w:p w14:paraId="0FD3E3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Хранение и уход за опытными машинами и имуществом.</w:t>
      </w:r>
    </w:p>
    <w:p w14:paraId="4ECC78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Подготовка машин и имущества к испытаниям.</w:t>
      </w:r>
    </w:p>
    <w:p w14:paraId="153F4F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Управления по механизации и моторизации РККА Халепский</w:t>
      </w:r>
    </w:p>
    <w:p w14:paraId="38E857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РГВАФ. 31811. Оп. 1. Д. 85. Л. 8. Копия (11210).</w:t>
      </w:r>
    </w:p>
    <w:p w14:paraId="446A53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D977F2C" w14:textId="77777777" w:rsidR="0027418B" w:rsidRPr="00507A31" w:rsidRDefault="0027418B" w:rsidP="00507A31">
      <w:pPr>
        <w:jc w:val="both"/>
        <w:rPr>
          <w:color w:val="0070C0"/>
          <w:sz w:val="16"/>
          <w:szCs w:val="16"/>
        </w:rPr>
      </w:pPr>
      <w:r w:rsidRPr="00507A31">
        <w:rPr>
          <w:color w:val="0070C0"/>
          <w:sz w:val="16"/>
          <w:szCs w:val="16"/>
        </w:rPr>
        <w:t>12 октября 1930 приказом ВСНХ Ленинградский филиал НАМИ (лаборатория тепловых двигателей) преобразован в отраслевое отделение по нефтяным и газовым двигателям Научно-исследовательского института машиностроения и металлообработки (позже - Центральный научно-исследовательский дизельный институт, ЦНИДИ) (22518).</w:t>
      </w:r>
    </w:p>
    <w:p w14:paraId="07F662A0" w14:textId="77777777" w:rsidR="0027418B" w:rsidRPr="00507A31" w:rsidRDefault="0027418B" w:rsidP="00507A31">
      <w:pPr>
        <w:jc w:val="both"/>
        <w:rPr>
          <w:color w:val="0070C0"/>
          <w:sz w:val="16"/>
          <w:szCs w:val="16"/>
        </w:rPr>
      </w:pPr>
    </w:p>
    <w:p w14:paraId="3E0311B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6CC852F" w14:textId="77777777" w:rsidR="00537E5F" w:rsidRPr="00507A31" w:rsidRDefault="00537E5F" w:rsidP="00507A31">
      <w:pPr>
        <w:autoSpaceDE w:val="0"/>
        <w:autoSpaceDN w:val="0"/>
        <w:adjustRightInd w:val="0"/>
        <w:jc w:val="both"/>
        <w:rPr>
          <w:iCs/>
          <w:color w:val="000000" w:themeColor="text1"/>
          <w:sz w:val="16"/>
          <w:szCs w:val="16"/>
        </w:rPr>
      </w:pPr>
    </w:p>
    <w:p w14:paraId="3F1E29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12 и 18 сентября 1930. Протокол заседания Политбюро № 8, 1930 г.</w:t>
      </w:r>
    </w:p>
    <w:p w14:paraId="033578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Просьба Закавказского крайкома об отсрочке на год призыва специалистов в РККА </w:t>
      </w:r>
    </w:p>
    <w:p w14:paraId="3561A1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Отклонить, запретив местным организациям возбуждать вопросы об отсрочках призывов в Красную Армию (11652).</w:t>
      </w:r>
    </w:p>
    <w:p w14:paraId="7D765852" w14:textId="77777777" w:rsidR="00537E5F" w:rsidRPr="00507A31" w:rsidRDefault="00537E5F" w:rsidP="00507A31">
      <w:pPr>
        <w:autoSpaceDE w:val="0"/>
        <w:autoSpaceDN w:val="0"/>
        <w:adjustRightInd w:val="0"/>
        <w:jc w:val="both"/>
        <w:rPr>
          <w:color w:val="000000" w:themeColor="text1"/>
          <w:sz w:val="16"/>
          <w:szCs w:val="16"/>
        </w:rPr>
      </w:pPr>
    </w:p>
    <w:p w14:paraId="402745F6" w14:textId="77777777" w:rsidR="00F959F1" w:rsidRPr="00507A31" w:rsidRDefault="00F959F1"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DB3D817" w14:textId="77777777" w:rsidR="00F959F1" w:rsidRPr="00507A31" w:rsidRDefault="00F959F1" w:rsidP="00507A31">
      <w:pPr>
        <w:autoSpaceDE w:val="0"/>
        <w:autoSpaceDN w:val="0"/>
        <w:adjustRightInd w:val="0"/>
        <w:jc w:val="both"/>
        <w:rPr>
          <w:iCs/>
          <w:color w:val="000000" w:themeColor="text1"/>
          <w:sz w:val="16"/>
          <w:szCs w:val="16"/>
        </w:rPr>
      </w:pPr>
    </w:p>
    <w:p w14:paraId="3775CF82" w14:textId="77777777" w:rsidR="00F959F1" w:rsidRPr="00507A31" w:rsidRDefault="00F959F1" w:rsidP="00507A31">
      <w:pPr>
        <w:jc w:val="both"/>
        <w:rPr>
          <w:color w:val="000000" w:themeColor="text1"/>
          <w:sz w:val="16"/>
          <w:szCs w:val="16"/>
        </w:rPr>
      </w:pPr>
      <w:r w:rsidRPr="00507A31">
        <w:rPr>
          <w:color w:val="000000" w:themeColor="text1"/>
          <w:sz w:val="16"/>
          <w:szCs w:val="16"/>
        </w:rPr>
        <w:t>12 сентября 1930. Газета "Вечерняя Москва" сообщала: "Вчера утром приехал в Москву индусский поэт и философ Рабиндранат Тагор для ознакомления с достижениями СССР... Вместе с Р. Тагором приехала дочь известного Германского математика и ученого Эйнштейна" (18725).</w:t>
      </w:r>
    </w:p>
    <w:p w14:paraId="3DA6904F" w14:textId="77777777" w:rsidR="00F959F1" w:rsidRPr="00507A31" w:rsidRDefault="00F959F1" w:rsidP="00507A31">
      <w:pPr>
        <w:jc w:val="both"/>
        <w:rPr>
          <w:color w:val="000000" w:themeColor="text1"/>
          <w:sz w:val="16"/>
          <w:szCs w:val="16"/>
        </w:rPr>
      </w:pPr>
    </w:p>
    <w:p w14:paraId="7360D1A0" w14:textId="77777777" w:rsidR="0027418B" w:rsidRPr="00507A31" w:rsidRDefault="0027418B" w:rsidP="00507A31">
      <w:pPr>
        <w:autoSpaceDE w:val="0"/>
        <w:autoSpaceDN w:val="0"/>
        <w:adjustRightInd w:val="0"/>
        <w:jc w:val="both"/>
        <w:rPr>
          <w:iCs/>
          <w:color w:val="000000" w:themeColor="text1"/>
          <w:sz w:val="16"/>
          <w:szCs w:val="16"/>
          <w:lang w:val="en-US"/>
        </w:rPr>
      </w:pPr>
      <w:r w:rsidRPr="00507A31">
        <w:rPr>
          <w:i/>
          <w:iCs/>
          <w:color w:val="000000" w:themeColor="text1"/>
          <w:sz w:val="16"/>
          <w:szCs w:val="16"/>
        </w:rPr>
        <w:t>За</w:t>
      </w:r>
      <w:r w:rsidRPr="00507A31">
        <w:rPr>
          <w:i/>
          <w:iCs/>
          <w:color w:val="000000" w:themeColor="text1"/>
          <w:sz w:val="16"/>
          <w:szCs w:val="16"/>
          <w:lang w:val="en-US"/>
        </w:rPr>
        <w:t xml:space="preserve"> </w:t>
      </w:r>
      <w:r w:rsidRPr="00507A31">
        <w:rPr>
          <w:i/>
          <w:iCs/>
          <w:color w:val="000000" w:themeColor="text1"/>
          <w:sz w:val="16"/>
          <w:szCs w:val="16"/>
        </w:rPr>
        <w:t>рубежом</w:t>
      </w:r>
      <w:r w:rsidRPr="00507A31">
        <w:rPr>
          <w:i/>
          <w:iCs/>
          <w:color w:val="000000" w:themeColor="text1"/>
          <w:sz w:val="16"/>
          <w:szCs w:val="16"/>
          <w:lang w:val="en-US"/>
        </w:rPr>
        <w:t>:</w:t>
      </w:r>
    </w:p>
    <w:p w14:paraId="6456C981" w14:textId="77777777" w:rsidR="0027418B" w:rsidRPr="00507A31" w:rsidRDefault="0027418B" w:rsidP="00507A31">
      <w:pPr>
        <w:autoSpaceDE w:val="0"/>
        <w:autoSpaceDN w:val="0"/>
        <w:adjustRightInd w:val="0"/>
        <w:jc w:val="both"/>
        <w:rPr>
          <w:iCs/>
          <w:color w:val="000000" w:themeColor="text1"/>
          <w:sz w:val="16"/>
          <w:szCs w:val="16"/>
          <w:lang w:val="en-US"/>
        </w:rPr>
      </w:pPr>
    </w:p>
    <w:p w14:paraId="10B59508" w14:textId="77777777" w:rsidR="0027418B" w:rsidRPr="00507A31" w:rsidRDefault="0027418B" w:rsidP="00507A31">
      <w:pPr>
        <w:jc w:val="both"/>
        <w:rPr>
          <w:color w:val="0070C0"/>
          <w:sz w:val="16"/>
          <w:szCs w:val="16"/>
        </w:rPr>
      </w:pPr>
      <w:r w:rsidRPr="00507A31">
        <w:rPr>
          <w:color w:val="0070C0"/>
          <w:sz w:val="16"/>
          <w:szCs w:val="16"/>
          <w:lang w:val="en-US"/>
        </w:rPr>
        <w:t xml:space="preserve">12 </w:t>
      </w:r>
      <w:r w:rsidRPr="00507A31">
        <w:rPr>
          <w:color w:val="0070C0"/>
          <w:sz w:val="16"/>
          <w:szCs w:val="16"/>
        </w:rPr>
        <w:t>сентября</w:t>
      </w:r>
      <w:r w:rsidRPr="00507A31">
        <w:rPr>
          <w:color w:val="0070C0"/>
          <w:sz w:val="16"/>
          <w:szCs w:val="16"/>
          <w:lang w:val="en-US"/>
        </w:rPr>
        <w:t xml:space="preserve"> 1930 – First flight of the Taylor E-2. </w:t>
      </w:r>
      <w:r w:rsidRPr="00507A31">
        <w:rPr>
          <w:color w:val="0070C0"/>
          <w:sz w:val="16"/>
          <w:szCs w:val="16"/>
        </w:rPr>
        <w:t>Это лёгкий одномоторный самолёт, разработанный и выпускавший американской авиастроительной компанией Taylor Aircraft Company с 1930 по 1936 год. Благодаря агрессивной рекламной кампании за эти шесть лет удалось построить более 300 таких самолетов. Для своего времени самолёт Taylor Cub имеет вполне привлекательный внешний вид, однако, помимо дизайна, заказчиков данного воздушного судна привлекали и весьма неплохие лётно-технические характеристики самолёта, которые, по мере появления модифицированных вариантов, в значительной мере улучшались (22367).</w:t>
      </w:r>
    </w:p>
    <w:p w14:paraId="2123195E" w14:textId="77777777" w:rsidR="0027418B" w:rsidRPr="00507A31" w:rsidRDefault="0027418B" w:rsidP="00507A31">
      <w:pPr>
        <w:jc w:val="both"/>
        <w:rPr>
          <w:color w:val="0070C0"/>
          <w:sz w:val="16"/>
          <w:szCs w:val="16"/>
        </w:rPr>
      </w:pPr>
    </w:p>
    <w:p w14:paraId="7388E4BE" w14:textId="77777777" w:rsidR="00D1487B" w:rsidRPr="00507A31" w:rsidRDefault="00D1487B" w:rsidP="00507A31">
      <w:pPr>
        <w:jc w:val="both"/>
        <w:rPr>
          <w:color w:val="0070C0"/>
          <w:sz w:val="16"/>
          <w:szCs w:val="16"/>
        </w:rPr>
      </w:pPr>
      <w:r w:rsidRPr="00507A31">
        <w:rPr>
          <w:color w:val="0070C0"/>
          <w:sz w:val="16"/>
          <w:szCs w:val="16"/>
        </w:rPr>
        <w:t>12 сентября 1930 первый полет Тейлор E-2 (20805).</w:t>
      </w:r>
    </w:p>
    <w:p w14:paraId="65BC4AC1" w14:textId="77777777" w:rsidR="00D1487B" w:rsidRPr="00507A31" w:rsidRDefault="00D1487B" w:rsidP="00507A31">
      <w:pPr>
        <w:jc w:val="both"/>
        <w:rPr>
          <w:color w:val="0070C0"/>
          <w:sz w:val="16"/>
          <w:szCs w:val="16"/>
        </w:rPr>
      </w:pPr>
    </w:p>
    <w:p w14:paraId="39FAF79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BFA6F31" w14:textId="77777777" w:rsidR="00537E5F" w:rsidRPr="00507A31" w:rsidRDefault="00537E5F" w:rsidP="00507A31">
      <w:pPr>
        <w:autoSpaceDE w:val="0"/>
        <w:autoSpaceDN w:val="0"/>
        <w:adjustRightInd w:val="0"/>
        <w:jc w:val="both"/>
        <w:rPr>
          <w:iCs/>
          <w:color w:val="000000" w:themeColor="text1"/>
          <w:sz w:val="16"/>
          <w:szCs w:val="16"/>
        </w:rPr>
      </w:pPr>
    </w:p>
    <w:p w14:paraId="0188A2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сентября 1930 И-5 запустили в серию под маркой И-5 (7383, 3).</w:t>
      </w:r>
    </w:p>
    <w:p w14:paraId="71C4C650" w14:textId="77777777" w:rsidR="00537E5F" w:rsidRPr="00507A31" w:rsidRDefault="00537E5F" w:rsidP="00507A31">
      <w:pPr>
        <w:autoSpaceDE w:val="0"/>
        <w:autoSpaceDN w:val="0"/>
        <w:adjustRightInd w:val="0"/>
        <w:jc w:val="both"/>
        <w:rPr>
          <w:color w:val="000000" w:themeColor="text1"/>
          <w:sz w:val="16"/>
          <w:szCs w:val="16"/>
        </w:rPr>
      </w:pPr>
    </w:p>
    <w:p w14:paraId="24F8E8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сентября 1930 г. под маркой И-5 его запустили в серийное производство еще до за</w:t>
      </w:r>
      <w:r w:rsidRPr="00507A31">
        <w:rPr>
          <w:color w:val="000000" w:themeColor="text1"/>
          <w:sz w:val="16"/>
          <w:szCs w:val="16"/>
        </w:rPr>
        <w:softHyphen/>
        <w:t>вершения государственных испытаний. Головная се</w:t>
      </w:r>
      <w:r w:rsidRPr="00507A31">
        <w:rPr>
          <w:color w:val="000000" w:themeColor="text1"/>
          <w:sz w:val="16"/>
          <w:szCs w:val="16"/>
        </w:rPr>
        <w:softHyphen/>
        <w:t>рийная машина была выкрашена в красный цвет и име</w:t>
      </w:r>
      <w:r w:rsidRPr="00507A31">
        <w:rPr>
          <w:color w:val="000000" w:themeColor="text1"/>
          <w:sz w:val="16"/>
          <w:szCs w:val="16"/>
        </w:rPr>
        <w:softHyphen/>
        <w:t>ла название «Клим Ворошилов». На ней потом долго ле</w:t>
      </w:r>
      <w:r w:rsidRPr="00507A31">
        <w:rPr>
          <w:color w:val="000000" w:themeColor="text1"/>
          <w:sz w:val="16"/>
          <w:szCs w:val="16"/>
        </w:rPr>
        <w:softHyphen/>
        <w:t>тал начальник ВВС Я.И.Алкснис (10667).</w:t>
      </w:r>
    </w:p>
    <w:p w14:paraId="7BF09237" w14:textId="77777777" w:rsidR="00537E5F" w:rsidRPr="00507A31" w:rsidRDefault="00537E5F" w:rsidP="00507A31">
      <w:pPr>
        <w:autoSpaceDE w:val="0"/>
        <w:autoSpaceDN w:val="0"/>
        <w:adjustRightInd w:val="0"/>
        <w:jc w:val="both"/>
        <w:rPr>
          <w:color w:val="000000" w:themeColor="text1"/>
          <w:sz w:val="16"/>
          <w:szCs w:val="16"/>
        </w:rPr>
      </w:pPr>
    </w:p>
    <w:p w14:paraId="57262FD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13 сентября 1930 года вышло постановление РВС (протокол № 20), которое обязывало ВАО сдать в сентябре 1930 года 6 самолетов И5-ЮпVI, в октябре – 32 (6932).</w:t>
      </w:r>
    </w:p>
    <w:p w14:paraId="6F05CEE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CE03E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сентября 1930 г. И-5 официально приняли на вооружение, причём в акте он именовался "ВТ-XI". От Всесоюзного авиационного объединения (ВАО) требовали устранить все отмеченные на испытаниях недостатки, за исключением склонности к плоскому штопору. Через два дня, 15 сентября ВТ-11 потерпел аварию. На посадке лопнула камера правого колеса, и машина скапотировала; находившийся в кабине И.Ф. Петров не пострадал, но потом получил выговор по партийной линии. Как он ни доказывал, что причина - дефект самолёта, начальство было неумолимо.</w:t>
      </w:r>
    </w:p>
    <w:p w14:paraId="51B95E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И-5 начали готовить к серийному производству на заводе № 39. Судьба опытных образцов сложилась по-разному. ВТ-11 остался в НИИ ВВС, ВТ-12 стал личным самолётом начальника УВВС Я.И. Апксниса, a BT-13 потерпел аварию из-за остановившегося в воздухе мотора после 11 часов налёта (11997). </w:t>
      </w:r>
    </w:p>
    <w:p w14:paraId="4F6D1B4B" w14:textId="77777777" w:rsidR="00537E5F" w:rsidRPr="00507A31" w:rsidRDefault="00537E5F" w:rsidP="00507A31">
      <w:pPr>
        <w:autoSpaceDE w:val="0"/>
        <w:autoSpaceDN w:val="0"/>
        <w:adjustRightInd w:val="0"/>
        <w:jc w:val="both"/>
        <w:rPr>
          <w:color w:val="000000" w:themeColor="text1"/>
          <w:sz w:val="16"/>
          <w:szCs w:val="16"/>
        </w:rPr>
      </w:pPr>
    </w:p>
    <w:p w14:paraId="27BCDE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13 сентября 1930 г. началась серийная по</w:t>
      </w:r>
      <w:r w:rsidRPr="00507A31">
        <w:rPr>
          <w:color w:val="000000" w:themeColor="text1"/>
          <w:sz w:val="16"/>
          <w:szCs w:val="16"/>
        </w:rPr>
        <w:softHyphen/>
        <w:t>стройка И-5. Всего до конца года на авиазаводе №39 удалось построить еще 7 самолетов опытной серии, пять из которых уже в ноябре отправили для прове</w:t>
      </w:r>
      <w:r w:rsidRPr="00507A31">
        <w:rPr>
          <w:color w:val="000000" w:themeColor="text1"/>
          <w:sz w:val="16"/>
          <w:szCs w:val="16"/>
        </w:rPr>
        <w:softHyphen/>
        <w:t>дения войсковых испытаний. Эти И-5 с двигателями Ю-</w:t>
      </w:r>
      <w:r w:rsidRPr="00507A31">
        <w:rPr>
          <w:color w:val="000000" w:themeColor="text1"/>
          <w:sz w:val="16"/>
          <w:szCs w:val="16"/>
          <w:lang w:val="en-US"/>
        </w:rPr>
        <w:t>VI</w:t>
      </w:r>
      <w:r w:rsidRPr="00507A31">
        <w:rPr>
          <w:color w:val="000000" w:themeColor="text1"/>
          <w:sz w:val="16"/>
          <w:szCs w:val="16"/>
        </w:rPr>
        <w:t xml:space="preserve"> (указывалось, что это французские Гном Рон «Юпитер» VI, изготовленные в Париже в 1930 г.) поступили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порозы, температуры опускались почти до иинустридцати градусов. Тем не менее, летчи</w:t>
      </w:r>
      <w:r w:rsidRPr="00507A31">
        <w:rPr>
          <w:color w:val="000000" w:themeColor="text1"/>
          <w:sz w:val="16"/>
          <w:szCs w:val="16"/>
        </w:rPr>
        <w:softHyphen/>
        <w:t>ки полностью завершили цикл войсковых ис</w:t>
      </w:r>
      <w:r w:rsidRPr="00507A31">
        <w:rPr>
          <w:color w:val="000000" w:themeColor="text1"/>
          <w:sz w:val="16"/>
          <w:szCs w:val="16"/>
        </w:rPr>
        <w:softHyphen/>
        <w:t>пытаний. Летали на трех самолетах, еще два держали в резерве. Было совершено несколь</w:t>
      </w:r>
      <w:r w:rsidRPr="00507A31">
        <w:rPr>
          <w:color w:val="000000" w:themeColor="text1"/>
          <w:sz w:val="16"/>
          <w:szCs w:val="16"/>
        </w:rPr>
        <w:softHyphen/>
        <w:t>ко сотен взлетов и посадок, на каждом И-5 вы</w:t>
      </w:r>
      <w:r w:rsidRPr="00507A31">
        <w:rPr>
          <w:color w:val="000000" w:themeColor="text1"/>
          <w:sz w:val="16"/>
          <w:szCs w:val="16"/>
        </w:rPr>
        <w:softHyphen/>
        <w:t>полнили по две с лишним тысячи фигур выс</w:t>
      </w:r>
      <w:r w:rsidRPr="00507A31">
        <w:rPr>
          <w:color w:val="000000" w:themeColor="text1"/>
          <w:sz w:val="16"/>
          <w:szCs w:val="16"/>
        </w:rPr>
        <w:softHyphen/>
        <w:t>шего пилотажа.</w:t>
      </w:r>
    </w:p>
    <w:p w14:paraId="13AE78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облада</w:t>
      </w:r>
      <w:r w:rsidRPr="00507A31">
        <w:rPr>
          <w:color w:val="000000" w:themeColor="text1"/>
          <w:sz w:val="16"/>
          <w:szCs w:val="16"/>
        </w:rPr>
        <w:softHyphen/>
        <w:t>ет высокими скороподъемностью и маневрен</w:t>
      </w:r>
      <w:r w:rsidRPr="00507A31">
        <w:rPr>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507A31">
        <w:rPr>
          <w:color w:val="000000" w:themeColor="text1"/>
          <w:sz w:val="16"/>
          <w:szCs w:val="16"/>
        </w:rPr>
        <w:softHyphen/>
        <w:t>том и прицелом «Альдис» заметно затруднял обзор из пилотской кабины.</w:t>
      </w:r>
    </w:p>
    <w:p w14:paraId="275F41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итоговом отчете по испытаниям коман</w:t>
      </w:r>
      <w:r w:rsidRPr="00507A31">
        <w:rPr>
          <w:color w:val="000000" w:themeColor="text1"/>
          <w:sz w:val="16"/>
          <w:szCs w:val="16"/>
        </w:rPr>
        <w:softHyphen/>
        <w:t>дир 73-го авиаотряда Павлушев и командир 5-й авиабригады Астахов подписали следую</w:t>
      </w:r>
      <w:r w:rsidRPr="00507A31">
        <w:rPr>
          <w:color w:val="000000" w:themeColor="text1"/>
          <w:sz w:val="16"/>
          <w:szCs w:val="16"/>
        </w:rPr>
        <w:softHyphen/>
        <w:t>щее заключение: «Самолет И-Б может быть принят на вооружение ВВС РККА».</w:t>
      </w:r>
    </w:p>
    <w:p w14:paraId="0C58F5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принятии решения о серийном про</w:t>
      </w:r>
      <w:r w:rsidRPr="00507A31">
        <w:rPr>
          <w:color w:val="000000" w:themeColor="text1"/>
          <w:sz w:val="16"/>
          <w:szCs w:val="16"/>
        </w:rPr>
        <w:softHyphen/>
        <w:t>изводстве И-5 к процессу предполагалось подключить заводы №1, №39 и №22 (послед</w:t>
      </w:r>
      <w:r w:rsidRPr="00507A31">
        <w:rPr>
          <w:color w:val="000000" w:themeColor="text1"/>
          <w:sz w:val="16"/>
          <w:szCs w:val="16"/>
        </w:rPr>
        <w:softHyphen/>
        <w:t>ний - для изготовления металлических агре</w:t>
      </w:r>
      <w:r w:rsidRPr="00507A31">
        <w:rPr>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w:t>
      </w:r>
    </w:p>
    <w:p w14:paraId="4BC931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006A76EB" w14:textId="77777777" w:rsidR="00537E5F" w:rsidRPr="00507A31" w:rsidRDefault="00537E5F" w:rsidP="00507A31">
      <w:pPr>
        <w:autoSpaceDE w:val="0"/>
        <w:autoSpaceDN w:val="0"/>
        <w:adjustRightInd w:val="0"/>
        <w:jc w:val="both"/>
        <w:rPr>
          <w:color w:val="000000" w:themeColor="text1"/>
          <w:sz w:val="16"/>
          <w:szCs w:val="16"/>
        </w:rPr>
      </w:pPr>
    </w:p>
    <w:p w14:paraId="0F60D0A5" w14:textId="77777777" w:rsidR="00A95902" w:rsidRPr="00507A31" w:rsidRDefault="00A95902" w:rsidP="00507A31">
      <w:pPr>
        <w:jc w:val="both"/>
        <w:rPr>
          <w:color w:val="000000" w:themeColor="text1"/>
          <w:sz w:val="16"/>
          <w:szCs w:val="16"/>
        </w:rPr>
      </w:pPr>
      <w:r w:rsidRPr="00507A31">
        <w:rPr>
          <w:color w:val="000000" w:themeColor="text1"/>
          <w:sz w:val="16"/>
          <w:szCs w:val="16"/>
        </w:rPr>
        <w:lastRenderedPageBreak/>
        <w:t>С 13 сентября 1930 го</w:t>
      </w:r>
      <w:r w:rsidRPr="00507A31">
        <w:rPr>
          <w:color w:val="000000" w:themeColor="text1"/>
          <w:sz w:val="16"/>
          <w:szCs w:val="16"/>
        </w:rPr>
        <w:softHyphen/>
        <w:t>да отсчитывать начали начало серийной построй</w:t>
      </w:r>
      <w:r w:rsidRPr="00507A31">
        <w:rPr>
          <w:color w:val="000000" w:themeColor="text1"/>
          <w:sz w:val="16"/>
          <w:szCs w:val="16"/>
        </w:rPr>
        <w:softHyphen/>
        <w:t>ки. Всего до конца года на авиазаводе №39 уда</w:t>
      </w:r>
      <w:r w:rsidRPr="00507A31">
        <w:rPr>
          <w:color w:val="000000" w:themeColor="text1"/>
          <w:sz w:val="16"/>
          <w:szCs w:val="16"/>
        </w:rPr>
        <w:softHyphen/>
        <w:t>лось построить еще 7 самолетов опытной се</w:t>
      </w:r>
      <w:r w:rsidRPr="00507A31">
        <w:rPr>
          <w:color w:val="000000" w:themeColor="text1"/>
          <w:sz w:val="16"/>
          <w:szCs w:val="16"/>
        </w:rPr>
        <w:softHyphen/>
        <w:t>рии, пять из которых уже в ноябре отправили для проведения войсковых испытаний.</w:t>
      </w:r>
    </w:p>
    <w:p w14:paraId="1030F10F" w14:textId="77777777" w:rsidR="00A95902" w:rsidRPr="00507A31" w:rsidRDefault="00A95902" w:rsidP="00507A31">
      <w:pPr>
        <w:jc w:val="both"/>
        <w:rPr>
          <w:color w:val="000000" w:themeColor="text1"/>
          <w:sz w:val="16"/>
          <w:szCs w:val="16"/>
        </w:rPr>
      </w:pPr>
      <w:r w:rsidRPr="00507A31">
        <w:rPr>
          <w:color w:val="000000" w:themeColor="text1"/>
          <w:sz w:val="16"/>
          <w:szCs w:val="16"/>
        </w:rPr>
        <w:t>Эти И-5 с двигателя ми Ю-У1 (указывалось, что это французские Гном-Рон «Юпитер» VI, изготовленные в Париже в 1930 г.) поступи</w:t>
      </w:r>
      <w:r w:rsidRPr="00507A31">
        <w:rPr>
          <w:color w:val="000000" w:themeColor="text1"/>
          <w:sz w:val="16"/>
          <w:szCs w:val="16"/>
        </w:rPr>
        <w:softHyphen/>
        <w:t>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морозы, температуры опускались почти до минус тридцати градусов. Тем не менее лет</w:t>
      </w:r>
      <w:r w:rsidRPr="00507A31">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507A31">
        <w:rPr>
          <w:color w:val="000000" w:themeColor="text1"/>
          <w:sz w:val="16"/>
          <w:szCs w:val="16"/>
        </w:rPr>
        <w:softHyphen/>
        <w:t>сколько сотен взлетов и посадок, на каждом И-5 выполнили по 2 с лишним тысячи фигур высшего пилотажа.</w:t>
      </w:r>
    </w:p>
    <w:p w14:paraId="409C8462" w14:textId="77777777" w:rsidR="00A95902" w:rsidRPr="00507A31" w:rsidRDefault="00A95902" w:rsidP="00507A31">
      <w:pPr>
        <w:jc w:val="both"/>
        <w:rPr>
          <w:color w:val="000000" w:themeColor="text1"/>
          <w:sz w:val="16"/>
          <w:szCs w:val="16"/>
        </w:rPr>
      </w:pPr>
      <w:r w:rsidRPr="00507A31">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w:t>
      </w:r>
      <w:r w:rsidRPr="00507A31">
        <w:rPr>
          <w:color w:val="000000" w:themeColor="text1"/>
          <w:sz w:val="16"/>
          <w:szCs w:val="16"/>
        </w:rPr>
        <w:softHyphen/>
        <w:t>дает высокими скороподъемностью и манев</w:t>
      </w:r>
      <w:r w:rsidRPr="00507A31">
        <w:rPr>
          <w:color w:val="000000" w:themeColor="text1"/>
          <w:sz w:val="16"/>
          <w:szCs w:val="16"/>
        </w:rPr>
        <w:softHyphen/>
        <w:t>ренностью. До 5000 м маневренность в строю звена хорошая». К недостаткам отнесли уз</w:t>
      </w:r>
      <w:r w:rsidRPr="00507A31">
        <w:rPr>
          <w:color w:val="000000" w:themeColor="text1"/>
          <w:sz w:val="16"/>
          <w:szCs w:val="16"/>
        </w:rPr>
        <w:softHyphen/>
        <w:t>кий козырек, который вместе с широким пе</w:t>
      </w:r>
      <w:r w:rsidRPr="00507A31">
        <w:rPr>
          <w:color w:val="000000" w:themeColor="text1"/>
          <w:sz w:val="16"/>
          <w:szCs w:val="16"/>
        </w:rPr>
        <w:softHyphen/>
        <w:t>реплетом и прицелом «Альдис» заметно за</w:t>
      </w:r>
      <w:r w:rsidRPr="00507A31">
        <w:rPr>
          <w:color w:val="000000" w:themeColor="text1"/>
          <w:sz w:val="16"/>
          <w:szCs w:val="16"/>
        </w:rPr>
        <w:softHyphen/>
        <w:t>труднял обзор из пилотской кабины.</w:t>
      </w:r>
    </w:p>
    <w:p w14:paraId="4F8F8113" w14:textId="77777777" w:rsidR="00A95902" w:rsidRPr="00507A31" w:rsidRDefault="00A95902" w:rsidP="00507A31">
      <w:pPr>
        <w:jc w:val="both"/>
        <w:rPr>
          <w:color w:val="000000" w:themeColor="text1"/>
          <w:sz w:val="16"/>
          <w:szCs w:val="16"/>
        </w:rPr>
      </w:pPr>
      <w:r w:rsidRPr="00507A31">
        <w:rPr>
          <w:color w:val="000000" w:themeColor="text1"/>
          <w:sz w:val="16"/>
          <w:szCs w:val="16"/>
        </w:rPr>
        <w:t>В итоговом отчете по испытаниям коман</w:t>
      </w:r>
      <w:r w:rsidRPr="00507A31">
        <w:rPr>
          <w:color w:val="000000" w:themeColor="text1"/>
          <w:sz w:val="16"/>
          <w:szCs w:val="16"/>
        </w:rPr>
        <w:softHyphen/>
        <w:t>дир 73-го авиаотряда Павлушев и командир 5-й авиабригады Астахов подписали следую</w:t>
      </w:r>
      <w:r w:rsidRPr="00507A31">
        <w:rPr>
          <w:color w:val="000000" w:themeColor="text1"/>
          <w:sz w:val="16"/>
          <w:szCs w:val="16"/>
        </w:rPr>
        <w:softHyphen/>
        <w:t>щее заключение: «Самолет И-5 может быть принят на вооружение ВВС РККА» (12295).</w:t>
      </w:r>
    </w:p>
    <w:p w14:paraId="4F57936A" w14:textId="77777777" w:rsidR="00A95902" w:rsidRPr="00507A31" w:rsidRDefault="00A95902" w:rsidP="00507A31">
      <w:pPr>
        <w:jc w:val="both"/>
        <w:rPr>
          <w:color w:val="000000" w:themeColor="text1"/>
          <w:sz w:val="16"/>
          <w:szCs w:val="16"/>
        </w:rPr>
      </w:pPr>
    </w:p>
    <w:p w14:paraId="6DBF175B" w14:textId="77777777" w:rsidR="00B83B62" w:rsidRPr="00507A31" w:rsidRDefault="00B83B62" w:rsidP="00507A31">
      <w:pPr>
        <w:jc w:val="both"/>
        <w:rPr>
          <w:rStyle w:val="ucoz-forum-post"/>
          <w:rFonts w:eastAsiaTheme="majorEastAsia"/>
          <w:color w:val="000000" w:themeColor="text1"/>
          <w:sz w:val="16"/>
          <w:szCs w:val="16"/>
        </w:rPr>
      </w:pPr>
      <w:r w:rsidRPr="00507A31">
        <w:rPr>
          <w:rStyle w:val="ucoz-forum-post"/>
          <w:rFonts w:eastAsiaTheme="majorEastAsia"/>
          <w:bCs/>
          <w:color w:val="000000" w:themeColor="text1"/>
          <w:sz w:val="16"/>
          <w:szCs w:val="16"/>
        </w:rPr>
        <w:t>13 сентября 1930 года</w:t>
      </w:r>
      <w:r w:rsidRPr="00507A31">
        <w:rPr>
          <w:rStyle w:val="ucoz-forum-post"/>
          <w:rFonts w:eastAsiaTheme="majorEastAsia"/>
          <w:color w:val="000000" w:themeColor="text1"/>
          <w:sz w:val="16"/>
          <w:szCs w:val="16"/>
        </w:rPr>
        <w:t xml:space="preserve"> Первый полет первого советского вертолета ЦАГИ 1-ЭА конструкции А.Черемухина. Собственно, это был даже не вертолет, а летающий стенд, испытывали его довольно долго и успешно (14768).</w:t>
      </w:r>
    </w:p>
    <w:p w14:paraId="56EFF3B2" w14:textId="77777777" w:rsidR="00B83B62" w:rsidRPr="00507A31" w:rsidRDefault="00B83B62" w:rsidP="00507A31">
      <w:pPr>
        <w:jc w:val="both"/>
        <w:rPr>
          <w:rStyle w:val="ucoz-forum-post"/>
          <w:rFonts w:eastAsiaTheme="majorEastAsia"/>
          <w:color w:val="000000" w:themeColor="text1"/>
          <w:sz w:val="16"/>
          <w:szCs w:val="16"/>
        </w:rPr>
      </w:pPr>
    </w:p>
    <w:p w14:paraId="4E64D4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сентября 1930 РВС рассмотрел вопросы авиации (Прот. 20):</w:t>
      </w:r>
    </w:p>
    <w:p w14:paraId="0D3513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Слушали:</w:t>
      </w:r>
    </w:p>
    <w:p w14:paraId="483F32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Передача Наркомвоенмору ЦАГИ (пост. РВС от 3 сентября 1930) (1026,113).</w:t>
      </w:r>
    </w:p>
    <w:p w14:paraId="3B71D9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Постановили:</w:t>
      </w:r>
    </w:p>
    <w:p w14:paraId="19BC61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Доклад С.С.Каменева принять к сведению;</w:t>
      </w:r>
    </w:p>
    <w:p w14:paraId="6B06FC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ЦАГИ входит в НКВМ в составе и по балансу на 01.08.1930;</w:t>
      </w:r>
    </w:p>
    <w:p w14:paraId="061DF8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Утвердить и внести на рассмотрение РЗ СТО проект постановления о взаимоотношениях ВСНХ и НКВМ по вопросам ЦАГИ (1026,113).</w:t>
      </w:r>
    </w:p>
    <w:p w14:paraId="46C1FC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работы ЦАГИ в части изготовления опытных образцов вооружения и НЛ исследовательских работ приравняли к заказам оборонного значения. ВСНХ обязали выполнять все заявки ЦАГИ. Заявки ВАО на материалы включили в заявку УВВС;</w:t>
      </w:r>
    </w:p>
    <w:p w14:paraId="1B134F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руководство оборонной работой ЦАГИ осуществляет РВС через УВВС. За ВСНХ сохранялась обязанность по обеспечению ЦАГИ снабженческими заказами на военное время;</w:t>
      </w:r>
    </w:p>
    <w:p w14:paraId="4EEA2A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предоставили ЦАГИ право иметь свой техникум. Кадры должны были снабжать УВВС и ВСНХ;</w:t>
      </w:r>
    </w:p>
    <w:p w14:paraId="086554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ЦАГИ предоставили право иметь отдельную смету и краткосрочный банковский кредит наравне с объединениями ВСНХ...</w:t>
      </w:r>
    </w:p>
    <w:p w14:paraId="32681A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Утвердить устав ЦАГИ (1026,114).</w:t>
      </w:r>
    </w:p>
    <w:p w14:paraId="5ECF81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О принятии не вооружение самолета И-5 (ВТ-Х1).15 сентября 1930 И-5 запустили в серию (228,77).</w:t>
      </w:r>
    </w:p>
    <w:p w14:paraId="59B40C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На основании государственных испытаний летно-тактических и технических свойств принять на вооружение ВВС РККА самолет И-5 с мотором Юпитер У1-480 нр.</w:t>
      </w:r>
    </w:p>
    <w:p w14:paraId="6B5692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ГВАО устранить в серийном производстве все недочеты, отмеченные при государственных испытаниях, кроме явлений проского штопора.</w:t>
      </w:r>
    </w:p>
    <w:p w14:paraId="7331A5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Нач. ВВС, совместно с ГВАО и ЦАГИ, форсировать исследования на опытных экземплярах И-5 явлений плоского штопора для выяснения всех режимов попадания в этот штопор и способов вывода из него. Результаты испытаний немедленно дать на места в качестве указаний по эксплоатации. В то же время вести и изыскания тех конструктивных изменений, которые могли бы устранить вход самолета в плоский штопор.</w:t>
      </w:r>
    </w:p>
    <w:p w14:paraId="5296D2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Доклад к совещанию Замов - декабрь 1930 г.</w:t>
      </w:r>
    </w:p>
    <w:p w14:paraId="7F04F1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ГВАО сдать 25 сентября 1930 в УВВС второй опытный экземпляр И-5 Ипитер У1 с 4-мя установленными и пристрелянными (на земле и в воздухе) пулеметами и положенным оборудованием для государственных испытаний вооружения и оборудования самолета.</w:t>
      </w:r>
    </w:p>
    <w:p w14:paraId="7BBEE3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ГВАО не позднее 1 октября 1930 сдать УВВС опытный экземпляр И-5 с мотором 2М15, с полным оборудованием и вооружением для производства государственных испытаний.</w:t>
      </w:r>
    </w:p>
    <w:p w14:paraId="6524E5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УВВС в месячный срок с момента получения самолета И-5 с 2М15 произвести испытания и о принятии на вооружение доложить РВСС 3 ноября 1930.</w:t>
      </w:r>
    </w:p>
    <w:p w14:paraId="5385A9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сентября 1930 Секретарь РВС СССР Литуновский (228).</w:t>
      </w:r>
    </w:p>
    <w:p w14:paraId="49B64F53" w14:textId="77777777" w:rsidR="00537E5F" w:rsidRPr="00507A31" w:rsidRDefault="00537E5F" w:rsidP="00507A31">
      <w:pPr>
        <w:autoSpaceDE w:val="0"/>
        <w:autoSpaceDN w:val="0"/>
        <w:adjustRightInd w:val="0"/>
        <w:jc w:val="both"/>
        <w:rPr>
          <w:color w:val="000000" w:themeColor="text1"/>
          <w:sz w:val="16"/>
          <w:szCs w:val="16"/>
        </w:rPr>
      </w:pPr>
    </w:p>
    <w:p w14:paraId="720DF2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сентября 1930 г. ВЫПИСКА из протокола № 20 РВС Союза ССР</w:t>
      </w:r>
    </w:p>
    <w:p w14:paraId="1C0BC0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СЛУШАЛИ:</w:t>
      </w:r>
    </w:p>
    <w:p w14:paraId="09F152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Передача Наркомвоенмор/у/ ЦАГИ /пост.РВСС от 3/1Х-30 г. № 19, § 2/. Докл. т. Каменева С.С.</w:t>
      </w:r>
    </w:p>
    <w:p w14:paraId="09EDDE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smallCaps/>
          <w:color w:val="000000" w:themeColor="text1"/>
          <w:sz w:val="16"/>
          <w:szCs w:val="16"/>
        </w:rPr>
        <w:t xml:space="preserve">постановили </w:t>
      </w:r>
      <w:r w:rsidRPr="00507A31">
        <w:rPr>
          <w:color w:val="000000" w:themeColor="text1"/>
          <w:sz w:val="16"/>
          <w:szCs w:val="16"/>
        </w:rPr>
        <w:t>:</w:t>
      </w:r>
    </w:p>
    <w:p w14:paraId="058F38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1/ Доклад т.Каменева С.С. принять к сведению.</w:t>
      </w:r>
    </w:p>
    <w:p w14:paraId="626B8B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ЦАГИ входит в НКВМ в составе и по балансу согласно прилагаемых ведомостей по состоянию на 1/УШ-30 г, /смоприложение № /.</w:t>
      </w:r>
    </w:p>
    <w:p w14:paraId="52DF86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Утвердить и внести на рассмотрение РЗ СТО проект постановления о взаимоотношениях ВСНХ и НКВМ по вопросам ЦАГИ в следующей редакции:</w:t>
      </w:r>
    </w:p>
    <w:p w14:paraId="6437B1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Работы ЦАГИ в частьизготовления опытных образцов вооружения и выполнения научно-лабораторных по заданиям НКВМ приравнять к заказам оборонного значения. Обязать ВСНК и все подведомственные органы выполнять заявки ЦАГИ на материалы для опытных и лабораторных работ преимущественно перед другими, органами. Заявки ВАО на материалы включить в заявки УВВС РККА.</w:t>
      </w:r>
    </w:p>
    <w:p w14:paraId="47A021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Руководство оборонной работой ЦАГИ осущест</w:t>
      </w:r>
      <w:r w:rsidRPr="00507A31">
        <w:rPr>
          <w:color w:val="000000" w:themeColor="text1"/>
          <w:sz w:val="16"/>
          <w:szCs w:val="16"/>
        </w:rPr>
        <w:softHyphen/>
        <w:t>влять РВС СССР через УВВС РККА. Сохранить за ВСНХ СССР обязанности по обеспечению ЦАГИ снабженческими базами на военное время.</w:t>
      </w:r>
    </w:p>
    <w:p w14:paraId="65390F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Представить ЦАГИ право иметь свой техникум для удовлетворения потребности в средних технических кадрах. Обязать НКВМ удовлетво</w:t>
      </w:r>
      <w:r w:rsidRPr="00507A31">
        <w:rPr>
          <w:color w:val="000000" w:themeColor="text1"/>
          <w:sz w:val="16"/>
          <w:szCs w:val="16"/>
        </w:rPr>
        <w:softHyphen/>
        <w:t>рять потребность ЦАГИ в инженерах, за счет подготавливаемых на Военно-промышл. отд. ВВА РККА. Обязать ВСНХ удовлетворять в мирное и военное время заявки ЦАГИ в технических кад</w:t>
      </w:r>
      <w:r w:rsidRPr="00507A31">
        <w:rPr>
          <w:color w:val="000000" w:themeColor="text1"/>
          <w:sz w:val="16"/>
          <w:szCs w:val="16"/>
        </w:rPr>
        <w:softHyphen/>
        <w:t>рах: тех специальностей, которые не подпотавли ваются в техникумах ЦАГИ и ВВА РККА. Освобдить ЦАГИ от участия в расходах по подготовке об"единениями ВДНХ соответствующих групп специалистов, за исключением расходов по кон</w:t>
      </w:r>
      <w:r w:rsidRPr="00507A31">
        <w:rPr>
          <w:color w:val="000000" w:themeColor="text1"/>
          <w:sz w:val="16"/>
          <w:szCs w:val="16"/>
        </w:rPr>
        <w:softHyphen/>
        <w:t>трактации.</w:t>
      </w:r>
    </w:p>
    <w:p w14:paraId="590C66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Предоставить ЦАГИ право иметь отдельную сме</w:t>
      </w:r>
      <w:r w:rsidRPr="00507A31">
        <w:rPr>
          <w:color w:val="000000" w:themeColor="text1"/>
          <w:sz w:val="16"/>
          <w:szCs w:val="16"/>
        </w:rPr>
        <w:softHyphen/>
        <w:t>ту и краткосрочный банковский вредит наравне с объединениями ВСНХ Союза. ВСНХ СССР закон</w:t>
      </w:r>
      <w:r w:rsidRPr="00507A31">
        <w:rPr>
          <w:color w:val="000000" w:themeColor="text1"/>
          <w:sz w:val="16"/>
          <w:szCs w:val="16"/>
        </w:rPr>
        <w:softHyphen/>
        <w:t>чить с ЦАГИ все расчеты по бюджетным ассигнованиям 1929/30 г. не позднее 1-го октября.</w:t>
      </w:r>
    </w:p>
    <w:p w14:paraId="4BB67D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Импортные заказы ЦАГИ осуществлять через ОВЗ при НКТорге как заказы НКВМ.</w:t>
      </w:r>
    </w:p>
    <w:p w14:paraId="3302AA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 Обязать ВСНХ и НКТорг обеспечить строительные работы ЦАГИ в части проектирования и своевременного обеспечения стройматериалами и оборудованием в порядке обеспечения строительства оборонного значения. Заявки ЦАГИ включить в заявки НКВМ /по Военно-Строит. Упр. РККА/.</w:t>
      </w:r>
    </w:p>
    <w:p w14:paraId="0858BC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Утвердить и передать на регистрацию в установ</w:t>
      </w:r>
      <w:r w:rsidRPr="00507A31">
        <w:rPr>
          <w:color w:val="000000" w:themeColor="text1"/>
          <w:sz w:val="16"/>
          <w:szCs w:val="16"/>
        </w:rPr>
        <w:softHyphen/>
        <w:t>ленном порядке Устав ЦАГИ. /см.приложение/.</w:t>
      </w:r>
    </w:p>
    <w:p w14:paraId="4F4C13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Секретарь РВС СССР 17 сентября 1930 г. В.Литунов</w:t>
      </w:r>
    </w:p>
    <w:p w14:paraId="349680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ЦАСА, ф. 4, оп. 1, д. 1469, л. 14 (1026,113).</w:t>
      </w:r>
    </w:p>
    <w:p w14:paraId="0CC41A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A30101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0E74D4E" w14:textId="77777777" w:rsidR="00537E5F" w:rsidRPr="00507A31" w:rsidRDefault="00537E5F" w:rsidP="00507A31">
      <w:pPr>
        <w:autoSpaceDE w:val="0"/>
        <w:autoSpaceDN w:val="0"/>
        <w:adjustRightInd w:val="0"/>
        <w:jc w:val="both"/>
        <w:rPr>
          <w:iCs/>
          <w:color w:val="000000" w:themeColor="text1"/>
          <w:sz w:val="16"/>
          <w:szCs w:val="16"/>
        </w:rPr>
      </w:pPr>
    </w:p>
    <w:p w14:paraId="448D6D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сентября 1930 РВС СССР принял к сведению заявление т. Будняка, что заказ на 300 шт. танков МС-1 будет выполнен полностью к 15 ноября с.г. (10977).</w:t>
      </w:r>
    </w:p>
    <w:p w14:paraId="00A3ECEB" w14:textId="77777777" w:rsidR="00537E5F" w:rsidRPr="00507A31" w:rsidRDefault="00537E5F" w:rsidP="00507A31">
      <w:pPr>
        <w:autoSpaceDE w:val="0"/>
        <w:autoSpaceDN w:val="0"/>
        <w:adjustRightInd w:val="0"/>
        <w:jc w:val="both"/>
        <w:rPr>
          <w:color w:val="000000" w:themeColor="text1"/>
          <w:sz w:val="16"/>
          <w:szCs w:val="16"/>
        </w:rPr>
      </w:pPr>
    </w:p>
    <w:p w14:paraId="602DE2EC" w14:textId="77777777" w:rsidR="00443B67" w:rsidRPr="00507A31" w:rsidRDefault="00443B67" w:rsidP="00507A31">
      <w:pPr>
        <w:jc w:val="both"/>
        <w:rPr>
          <w:color w:val="0070C0"/>
          <w:sz w:val="16"/>
          <w:szCs w:val="16"/>
        </w:rPr>
      </w:pPr>
      <w:r w:rsidRPr="00507A31">
        <w:rPr>
          <w:color w:val="0070C0"/>
          <w:sz w:val="16"/>
          <w:szCs w:val="16"/>
        </w:rPr>
        <w:t>13 октября 1930 выходит постановление Президи</w:t>
      </w:r>
      <w:r w:rsidRPr="00507A31">
        <w:rPr>
          <w:color w:val="0070C0"/>
          <w:sz w:val="16"/>
          <w:szCs w:val="16"/>
        </w:rPr>
        <w:softHyphen/>
        <w:t>ума ВСНХ, обязывающее НАМИ провести конкур</w:t>
      </w:r>
      <w:r w:rsidRPr="00507A31">
        <w:rPr>
          <w:color w:val="0070C0"/>
          <w:sz w:val="16"/>
          <w:szCs w:val="16"/>
        </w:rPr>
        <w:softHyphen/>
        <w:t>сные испытания дизельных автомобилей и дать рекомендации для внедрения их в отечественную про</w:t>
      </w:r>
      <w:r w:rsidRPr="00507A31">
        <w:rPr>
          <w:color w:val="0070C0"/>
          <w:sz w:val="16"/>
          <w:szCs w:val="16"/>
        </w:rPr>
        <w:softHyphen/>
        <w:t>мышленность (22518).</w:t>
      </w:r>
    </w:p>
    <w:p w14:paraId="5B675EC2" w14:textId="77777777" w:rsidR="00443B67" w:rsidRPr="00507A31" w:rsidRDefault="00443B67" w:rsidP="00507A31">
      <w:pPr>
        <w:jc w:val="both"/>
        <w:rPr>
          <w:color w:val="0070C0"/>
          <w:sz w:val="16"/>
          <w:szCs w:val="16"/>
        </w:rPr>
      </w:pPr>
    </w:p>
    <w:p w14:paraId="2BC49DB5" w14:textId="77777777" w:rsidR="00A95902" w:rsidRPr="00507A31" w:rsidRDefault="00A95902" w:rsidP="00507A31">
      <w:pPr>
        <w:pStyle w:val="rtejustify"/>
        <w:spacing w:before="0" w:after="0"/>
        <w:rPr>
          <w:color w:val="000000" w:themeColor="text1"/>
          <w:sz w:val="16"/>
          <w:szCs w:val="16"/>
        </w:rPr>
      </w:pPr>
      <w:r w:rsidRPr="00507A31">
        <w:rPr>
          <w:rStyle w:val="af0"/>
          <w:i w:val="0"/>
          <w:color w:val="000000" w:themeColor="text1"/>
          <w:sz w:val="16"/>
          <w:szCs w:val="16"/>
        </w:rPr>
        <w:t>13 сентября 1930 г. Протокол Реввоенсовета № 20.</w:t>
      </w:r>
      <w:r w:rsidRPr="00507A31">
        <w:rPr>
          <w:color w:val="000000" w:themeColor="text1"/>
          <w:sz w:val="16"/>
          <w:szCs w:val="16"/>
        </w:rPr>
        <w:t xml:space="preserve"> 5. О моторе для глиссеров (Каменев). 6. О принятии на вооружение самолета И</w:t>
      </w:r>
      <w:r w:rsidRPr="00507A31">
        <w:rPr>
          <w:color w:val="000000" w:themeColor="text1"/>
          <w:sz w:val="16"/>
          <w:szCs w:val="16"/>
        </w:rPr>
        <w:noBreakHyphen/>
        <w:t>5 (ВТ</w:t>
      </w:r>
      <w:r w:rsidRPr="00507A31">
        <w:rPr>
          <w:color w:val="000000" w:themeColor="text1"/>
          <w:sz w:val="16"/>
          <w:szCs w:val="16"/>
        </w:rPr>
        <w:noBreakHyphen/>
        <w:t>Х1). (Баранов П. И), 7. Подготовка к производству самолета И</w:t>
      </w:r>
      <w:r w:rsidRPr="00507A31">
        <w:rPr>
          <w:color w:val="000000" w:themeColor="text1"/>
          <w:sz w:val="16"/>
          <w:szCs w:val="16"/>
        </w:rPr>
        <w:noBreakHyphen/>
        <w:t>5 на 1930/31 г. (Урываев). 8. О ходе производства Т</w:t>
      </w:r>
      <w:r w:rsidRPr="00507A31">
        <w:rPr>
          <w:color w:val="000000" w:themeColor="text1"/>
          <w:sz w:val="16"/>
          <w:szCs w:val="16"/>
        </w:rPr>
        <w:noBreakHyphen/>
        <w:t>24 на Харьковском паровозостроительном заводе. (Халепский). 9. О производственных недочетах танкового цеха завода «Большевик» и о подготовке к выполнению производственной программы на 1930/31 г. (РГВА. Ф. 4. Оп. 18. Д. 19. Л. 350</w:t>
      </w:r>
      <w:r w:rsidRPr="00507A31">
        <w:rPr>
          <w:color w:val="000000" w:themeColor="text1"/>
          <w:sz w:val="16"/>
          <w:szCs w:val="16"/>
        </w:rPr>
        <w:noBreakHyphen/>
        <w:t>352) (12342).</w:t>
      </w:r>
    </w:p>
    <w:p w14:paraId="30E2F449" w14:textId="77777777" w:rsidR="00A95902" w:rsidRPr="00507A31" w:rsidRDefault="00A95902" w:rsidP="00507A31">
      <w:pPr>
        <w:pStyle w:val="rtejustify"/>
        <w:spacing w:before="0" w:after="0"/>
        <w:rPr>
          <w:color w:val="000000" w:themeColor="text1"/>
          <w:sz w:val="16"/>
          <w:szCs w:val="16"/>
        </w:rPr>
      </w:pPr>
    </w:p>
    <w:p w14:paraId="0873B053" w14:textId="77777777" w:rsidR="00D1487B" w:rsidRPr="00507A31" w:rsidRDefault="00D1487B"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9400A8F" w14:textId="77777777" w:rsidR="00D1487B" w:rsidRPr="00507A31" w:rsidRDefault="00D1487B" w:rsidP="00507A31">
      <w:pPr>
        <w:autoSpaceDE w:val="0"/>
        <w:autoSpaceDN w:val="0"/>
        <w:adjustRightInd w:val="0"/>
        <w:jc w:val="both"/>
        <w:rPr>
          <w:iCs/>
          <w:color w:val="000000" w:themeColor="text1"/>
          <w:sz w:val="16"/>
          <w:szCs w:val="16"/>
        </w:rPr>
      </w:pPr>
    </w:p>
    <w:p w14:paraId="0234BAA8" w14:textId="77777777" w:rsidR="00D1487B" w:rsidRPr="00507A31" w:rsidRDefault="00D1487B" w:rsidP="00507A31">
      <w:pPr>
        <w:shd w:val="clear" w:color="auto" w:fill="FFFFFF"/>
        <w:jc w:val="both"/>
        <w:rPr>
          <w:color w:val="0070C0"/>
          <w:sz w:val="16"/>
          <w:szCs w:val="16"/>
        </w:rPr>
      </w:pPr>
      <w:r w:rsidRPr="00507A31">
        <w:rPr>
          <w:color w:val="0070C0"/>
          <w:sz w:val="16"/>
          <w:szCs w:val="16"/>
        </w:rPr>
        <w:t>14 сентября 1930 г. в справке начальника Особого отдела № 345423 от, положенной в основу докладной записки ОГПУ в ЦК ВКП(б) и лично И. Сталину, говорилось о ликвидации контрреволюционно- вредительских организаций и группировок в Артиллерийском управлении и Арткоме, Военно-морских силах, Военно-</w:t>
      </w:r>
      <w:r w:rsidRPr="00507A31">
        <w:rPr>
          <w:color w:val="0070C0"/>
          <w:sz w:val="16"/>
          <w:szCs w:val="16"/>
        </w:rPr>
        <w:lastRenderedPageBreak/>
        <w:t>топографическом и Военно-санитарном управлении РККА[1027]. Подавляющее большинство лиц, проходивших по указанным групповым делам, так же как и указанные выше сотрудники 3-го управления, признаны жертвами политических репрессий и реабилитированы. Поэтому для нашего исследования представляет ценность лишь та часть докладной записки, в которой концентрированно изложена суть «вредительских» действий и недостатки, фактически установленные в ходе следствия и агентурной разработки, серьезно влиявшие на боеготовность вооруженных сил. Из-за этих недостатков и упущений чекистам представлялось фактически нереальным выполнение постановления Политбюро ЦК ВКП (б) «О состоянии обороны СССР» от 15 июля 1929 г. Так детально и обширно, как в протоколах допросов и собственноручно написанных показаниях арестованных по указанным выше и другим «вредительским» уголовным делам, существо отрицательных явлений во всех сферах жизнедеятельности войск не было изложено ни в одном рапорте или докладе фигурантов до их привлечения к следствию. Одним из существенных компонентов показаний являлись данные о субъективных факторах, порой даже более значимые для объяснения причин образования «узких мест» в тех или иных вопросах, в принятии ошибочных решений, чем объективные обстоятельства. В спецдонесении К. Ворошилову от 19 мая 1930 г. о критическом состоянии береговой обороны начальник Особого отдела ОГПУ Я. Ольский указывал, к примеру, что за последние годы дело ее укрепления неоднократно переходило от Штаба РККА в Управление ВМС, оттуда в Военно-техническое управление, затем в военно-строительное и т. д.</w:t>
      </w:r>
    </w:p>
    <w:p w14:paraId="3BE95F1A" w14:textId="77777777" w:rsidR="00D1487B" w:rsidRPr="00507A31" w:rsidRDefault="00D1487B" w:rsidP="00507A31">
      <w:pPr>
        <w:shd w:val="clear" w:color="auto" w:fill="FFFFFF"/>
        <w:jc w:val="both"/>
        <w:rPr>
          <w:color w:val="0070C0"/>
          <w:sz w:val="16"/>
          <w:szCs w:val="16"/>
        </w:rPr>
      </w:pPr>
      <w:r w:rsidRPr="00507A31">
        <w:rPr>
          <w:color w:val="0070C0"/>
          <w:sz w:val="16"/>
          <w:szCs w:val="16"/>
        </w:rPr>
        <w:t>Каждое из указанных учреждений прорабатывало лишь свои узкие вопросы, вообще не увязывая их с интересами остальных. На пяти машинописных листах излагались конкретные упущения и недостатки в области строительства объектов береговой обороны, их маскировки, оборудования инженерными средствами, в противовоздушной обороне, в снабжении батарей боеприпасами. Отмечалось, что износ основного вооружения — орудий большого калибра — составляет по разным артиллерийским системам от 30 до 100 %. Донесение завершалось выводом о крайне низкой боеготовности береговой обороны. По мнению чекистов, никто устранением серьезнейших недостатков фактически не занимается ввиду затянувшейся передачи береговой обороны снова в УВМС[1028].</w:t>
      </w:r>
    </w:p>
    <w:p w14:paraId="02F23866" w14:textId="77777777" w:rsidR="00D1487B" w:rsidRPr="00507A31" w:rsidRDefault="00D1487B" w:rsidP="00507A31">
      <w:pPr>
        <w:shd w:val="clear" w:color="auto" w:fill="FFFFFF"/>
        <w:jc w:val="both"/>
        <w:rPr>
          <w:color w:val="0070C0"/>
          <w:sz w:val="16"/>
          <w:szCs w:val="16"/>
        </w:rPr>
      </w:pPr>
      <w:r w:rsidRPr="00507A31">
        <w:rPr>
          <w:color w:val="0070C0"/>
          <w:sz w:val="16"/>
          <w:szCs w:val="16"/>
        </w:rPr>
        <w:t>Глава НКВМ, ознакомившись с донесением, отдал соответствующее указание, однако позитивных изменений не последовало. Отметим при этом, что ОГПУ уже не первый раз сообщало в РВСС и военный наркомат о состоянии береговой обороны. Вывод напрашивался сам собой: есть конкретные виновники, не реагирующие на вскрытые недостатки и, возможно, из вредительских побуждений, не исполняющие указаний руководства РККА.</w:t>
      </w:r>
    </w:p>
    <w:p w14:paraId="216A6444" w14:textId="77777777" w:rsidR="00D1487B" w:rsidRPr="00507A31" w:rsidRDefault="00D1487B" w:rsidP="00507A31">
      <w:pPr>
        <w:shd w:val="clear" w:color="auto" w:fill="FFFFFF"/>
        <w:jc w:val="both"/>
        <w:rPr>
          <w:color w:val="0070C0"/>
          <w:sz w:val="16"/>
          <w:szCs w:val="16"/>
        </w:rPr>
      </w:pPr>
      <w:r w:rsidRPr="00507A31">
        <w:rPr>
          <w:color w:val="0070C0"/>
          <w:sz w:val="16"/>
          <w:szCs w:val="16"/>
        </w:rPr>
        <w:t>Напомним, что подозрение во вредительстве в деле укрепления береговой обороны (впрочем, и многих других дел) чекисты основывали на совершенно определенной установке И. Сталина: «Шахтинцы» (имеются в виду осужденные по так называемому „Шахтинскому делу“ — А. З.) сидят теперь во всех отраслях нашей промышленности. Многие из них выловлены, но далеко еще не все выловлены» (20268).</w:t>
      </w:r>
    </w:p>
    <w:p w14:paraId="09955BED" w14:textId="77777777" w:rsidR="00D1487B" w:rsidRPr="00507A31" w:rsidRDefault="00D1487B" w:rsidP="00507A31">
      <w:pPr>
        <w:shd w:val="clear" w:color="auto" w:fill="FFFFFF"/>
        <w:jc w:val="both"/>
        <w:rPr>
          <w:color w:val="0070C0"/>
          <w:sz w:val="16"/>
          <w:szCs w:val="16"/>
        </w:rPr>
      </w:pPr>
    </w:p>
    <w:p w14:paraId="0DC25719" w14:textId="77777777" w:rsidR="00A9590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7394093F" w14:textId="77777777" w:rsidR="00A95902" w:rsidRPr="00507A31" w:rsidRDefault="00A95902" w:rsidP="00507A31">
      <w:pPr>
        <w:autoSpaceDE w:val="0"/>
        <w:autoSpaceDN w:val="0"/>
        <w:adjustRightInd w:val="0"/>
        <w:jc w:val="both"/>
        <w:rPr>
          <w:iCs/>
          <w:color w:val="000000" w:themeColor="text1"/>
          <w:sz w:val="16"/>
          <w:szCs w:val="16"/>
        </w:rPr>
      </w:pPr>
    </w:p>
    <w:p w14:paraId="1133B00F" w14:textId="77777777" w:rsidR="00A95902" w:rsidRPr="00507A31" w:rsidRDefault="00A95902" w:rsidP="00507A31">
      <w:pPr>
        <w:jc w:val="both"/>
        <w:rPr>
          <w:color w:val="000000" w:themeColor="text1"/>
          <w:sz w:val="16"/>
          <w:szCs w:val="16"/>
        </w:rPr>
      </w:pPr>
      <w:r w:rsidRPr="00507A31">
        <w:rPr>
          <w:color w:val="000000" w:themeColor="text1"/>
          <w:sz w:val="16"/>
          <w:szCs w:val="16"/>
        </w:rPr>
        <w:t xml:space="preserve">14 сентября 1930 г. Справка ОО ОГПУ о ликвидированных контрреволюционных вредительских организациях и группировках в РККА. </w:t>
      </w:r>
    </w:p>
    <w:p w14:paraId="06F5FC8E" w14:textId="77777777" w:rsidR="00A95902" w:rsidRPr="00507A31" w:rsidRDefault="00A95902" w:rsidP="00507A31">
      <w:pPr>
        <w:pStyle w:val="rteright"/>
        <w:spacing w:before="0" w:after="0"/>
        <w:jc w:val="both"/>
        <w:rPr>
          <w:color w:val="000000" w:themeColor="text1"/>
          <w:sz w:val="16"/>
          <w:szCs w:val="16"/>
        </w:rPr>
      </w:pPr>
      <w:r w:rsidRPr="00507A31">
        <w:rPr>
          <w:color w:val="000000" w:themeColor="text1"/>
          <w:sz w:val="16"/>
          <w:szCs w:val="16"/>
        </w:rPr>
        <w:t>№ 345423</w:t>
      </w:r>
    </w:p>
    <w:p w14:paraId="25E6838B" w14:textId="77777777" w:rsidR="00A95902" w:rsidRPr="00507A31" w:rsidRDefault="00A95902" w:rsidP="00507A31">
      <w:pPr>
        <w:pStyle w:val="rteright"/>
        <w:spacing w:before="0" w:after="0"/>
        <w:jc w:val="both"/>
        <w:rPr>
          <w:color w:val="000000" w:themeColor="text1"/>
          <w:sz w:val="16"/>
          <w:szCs w:val="16"/>
        </w:rPr>
      </w:pPr>
      <w:r w:rsidRPr="00507A31">
        <w:rPr>
          <w:color w:val="000000" w:themeColor="text1"/>
          <w:sz w:val="16"/>
          <w:szCs w:val="16"/>
        </w:rPr>
        <w:t>Совершенно секретно</w:t>
      </w:r>
    </w:p>
    <w:p w14:paraId="17512891"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Особым отделом ОГПУ в 1930 г. ликвидирован ряд контрреволюционно-вредительских организаций и группировок в РККА, которые, состоя из враждебно-настроенных военных специалистов (бывших офицеров, белых, участников контрреволюционных восстаний и т.д.), ставили своей задачей создание условий, способствующих поражению Красной Армии и подрыву ее боеспособности.</w:t>
      </w:r>
    </w:p>
    <w:p w14:paraId="1F8DF794" w14:textId="77777777" w:rsidR="00A95902" w:rsidRPr="00507A31" w:rsidRDefault="00A95902" w:rsidP="00507A31">
      <w:pPr>
        <w:pStyle w:val="rtejustify"/>
        <w:spacing w:before="0" w:after="0"/>
        <w:rPr>
          <w:color w:val="000000" w:themeColor="text1"/>
          <w:sz w:val="16"/>
          <w:szCs w:val="16"/>
        </w:rPr>
      </w:pPr>
      <w:r w:rsidRPr="00507A31">
        <w:rPr>
          <w:rStyle w:val="a7"/>
          <w:b w:val="0"/>
          <w:color w:val="000000" w:themeColor="text1"/>
          <w:sz w:val="16"/>
          <w:szCs w:val="16"/>
        </w:rPr>
        <w:t>1. Контрреволюционная вредительская организация в Артуправлении и Арткоме</w:t>
      </w:r>
    </w:p>
    <w:p w14:paraId="245FA562"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Вредительская организация в Артиллерийском управлении сложилась в период гражданской войны из наиболее враждебных к советской власти старых специалистов Арткома и Артуправления.</w:t>
      </w:r>
    </w:p>
    <w:p w14:paraId="0458786C"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 состав контрреволюционной организации входили: 1) бывший председатель Арткома Дмитриев, 2) бывший председатель секции по трубкам и взрывателям Дзержкович, 3) помощник председателя Арткома Руппенейт, 4) председатель секции по ручному оружию Бойно-Родзевич, 5) технический директор завода «Промет» Гапонов и другие.</w:t>
      </w:r>
    </w:p>
    <w:p w14:paraId="51107637"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 годы гражданской войны организация ставила целью оказание помощи белым армиям, подрывая снабжение Красной Армии боеприпасами.</w:t>
      </w:r>
    </w:p>
    <w:p w14:paraId="7F93F18C"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Один из обвиняемых — Бараблин — вошел в 1918 г. в существовавшую в Москве контрреволюционную организацию «Союз Освобождения России», ведя в ней активную контрреволюционную деятельность.</w:t>
      </w:r>
    </w:p>
    <w:p w14:paraId="69A67255"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Обвиняемый Костин состоял в контрреволюционной организации генерала Попова, содействовавшей чехословакам занять Казань</w:t>
      </w:r>
      <w:r w:rsidRPr="00507A31">
        <w:rPr>
          <w:color w:val="000000" w:themeColor="text1"/>
          <w:sz w:val="16"/>
          <w:szCs w:val="16"/>
          <w:vertAlign w:val="superscript"/>
        </w:rPr>
        <w:t>250</w:t>
      </w:r>
      <w:r w:rsidRPr="00507A31">
        <w:rPr>
          <w:color w:val="000000" w:themeColor="text1"/>
          <w:sz w:val="16"/>
          <w:szCs w:val="16"/>
        </w:rPr>
        <w:t>.</w:t>
      </w:r>
    </w:p>
    <w:p w14:paraId="317D0511"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После гражданской войны часть специалистов Арткома и Артуправления, продолжая свою контрреволюционную работу, направила свою деятельность к срыву перевооружения Красной Армии и ослаблению обороноспособности СССР.</w:t>
      </w:r>
    </w:p>
    <w:p w14:paraId="24381D04"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 этих целях всячески замедлялись темпы работы по усовершенствованию вооружения, выдвигались ненужные и трудно выполнимые технические требования к новым проектам (мелкокалиберный зенитный взрыватель — вместо 20 секунд горения дистанционных частей — 40 секунд), протаскивались на вооружение новые образцы, недоработанные и без достаточных испытаний, — (взрыватель УГТ-2), затирались предложения со стороны (звукометрический прибор Синькова), скрывались новые образцы и проекты, представлявшие значительный технический интерес (43 «трубка» завода «Промет», т. н. «шелоумовская», чертежи французских взрывателей 24/31), сорвана модернизация артиллерии, как по линии снарядов увеличенной дальности, так и по линии матчасти (сконструирован на пределе снаряд 927, срыв модернизации 48" гаубиц, задержка разработки мелкокалиберной зенитной артиллерии, колес по механической тяге новых компрессоров и т.д.), разрабатывая в то же время ненужные образцы (85 м/м пушка, лафет под 42" пушку).</w:t>
      </w:r>
    </w:p>
    <w:p w14:paraId="17BDF301"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Отдельные члены организации (Дмитриев, Руппенейт, Бойно-Родзевич) имели тесную связь с руководителями вредительской организации в военной промышленности (Михайловым, Дымманом и другими), прикрывали и содействовали вредительской работе последних, способствуя выпуску на снабжение армии негодной продукции и разрушению отдельных отраслей промышленности.</w:t>
      </w:r>
    </w:p>
    <w:p w14:paraId="6D202AF4" w14:textId="77777777" w:rsidR="00A95902" w:rsidRPr="00507A31" w:rsidRDefault="00A95902" w:rsidP="00507A31">
      <w:pPr>
        <w:pStyle w:val="rtejustify"/>
        <w:spacing w:before="0" w:after="0"/>
        <w:rPr>
          <w:color w:val="000000" w:themeColor="text1"/>
          <w:sz w:val="16"/>
          <w:szCs w:val="16"/>
        </w:rPr>
      </w:pPr>
      <w:r w:rsidRPr="00507A31">
        <w:rPr>
          <w:rStyle w:val="a7"/>
          <w:b w:val="0"/>
          <w:color w:val="000000" w:themeColor="text1"/>
          <w:sz w:val="16"/>
          <w:szCs w:val="16"/>
        </w:rPr>
        <w:t>2. Контрреволюционная вредительская организация военно-морских сил РККА</w:t>
      </w:r>
    </w:p>
    <w:p w14:paraId="061CB852"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Часть руководящих специалистов в ВМС РККА в прошлом непосредственно активно участвовали в контрреволюционных заговорах (заговоре Развозова, Вердеревского и др.) — Игнатьев, Пелль, Римский-Корсаков и т. д. В последние же годы указанные [лица] создали значительную по размерам контрреволюционную вредительскую организацию, проводившую в течение ряда лет систематическое вредительство в строительстве флота.</w:t>
      </w:r>
    </w:p>
    <w:p w14:paraId="16D7E800"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Показания Кимбар(а)</w:t>
      </w:r>
    </w:p>
    <w:p w14:paraId="73EC030A"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«Вредительская организация ВМС состояла из группы работников НТК, Техупра и УСУ, персонально сюда входили: Тошаков, Римский-Корсаков, Игнатьев, Пелль, Перепелкин, Мальчевский, Власьев, Петров и другие. Эти лица, входившие в контрреволюционную организацию, были тесно спаяны между собой прежней службой в царском флоте. Все они — бывшие морские офицеры и дворяне, монархисты — в большинстве случаев. Кроме того, задачей организации было объединить всех офицеров царского флота, монархически настроенных, причем установка этой контрреволюционной организации в отношении краскомов и коммунистов была такова, чтобы не допускать к работам на ответственные должности в аппарат ВМС».</w:t>
      </w:r>
    </w:p>
    <w:p w14:paraId="403D9BEE"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Вредительская работа организации шла по линии:</w:t>
      </w:r>
    </w:p>
    <w:p w14:paraId="1693D8B3"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1. Отвлечения внимания руководства от насущных практических задач в строительстве морского флота неосуществимыми планами «большого флота» и «большой модернизации» с тем, чтобы он после «модернизации» [не] мог бы драться в открытом море с английским флотом.</w:t>
      </w:r>
    </w:p>
    <w:p w14:paraId="40ECF955"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2. Систематической затраты громадных сумм на работы, по которым не произведены самые необходимые предварительные расчеты, в результате — излишние затраты больших сумм и задержки в работе. Одновременно с этим — непомерная волокита и нарушение всяких сроков по производящимся работам.</w:t>
      </w:r>
    </w:p>
    <w:p w14:paraId="5E261575"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3. Систематического затирания молодых командиров, как партийных, так и беспартийных, принимая все меры к тому, чтобы таковые практически не могли усвоить опыт, имеющийся у старых специалистов.</w:t>
      </w:r>
    </w:p>
    <w:p w14:paraId="761212B3" w14:textId="77777777" w:rsidR="00A95902" w:rsidRPr="00507A31" w:rsidRDefault="00A95902" w:rsidP="00507A31">
      <w:pPr>
        <w:pStyle w:val="rtejustify"/>
        <w:spacing w:before="0" w:after="0"/>
        <w:rPr>
          <w:color w:val="000000" w:themeColor="text1"/>
          <w:sz w:val="16"/>
          <w:szCs w:val="16"/>
        </w:rPr>
      </w:pPr>
      <w:r w:rsidRPr="00507A31">
        <w:rPr>
          <w:rStyle w:val="a7"/>
          <w:b w:val="0"/>
          <w:color w:val="000000" w:themeColor="text1"/>
          <w:sz w:val="16"/>
          <w:szCs w:val="16"/>
        </w:rPr>
        <w:t>3. Контрреволюционная вредительская группировка в Военно-топографическом управлении ГУРККА</w:t>
      </w:r>
    </w:p>
    <w:p w14:paraId="2E645E21"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Возглавляемая помощником начальника ВТУ Аксеновым контрреволюционная вредительская группировка в Военно-топографическом управлении РККА состояла в своем большинстве из бывших белых офицеров (колчаковцев и деникинцев) и других враждебно настроенных топографов, участвовавших в прошлом в белогвардейских восстаниях и работавших в контрразведках, стягиваемых и группируемых в ВТУ предшественниками Аксенова — руководителями Корпуса военных топографов генералом Аузеном (Латвия), Дитцем и другими.</w:t>
      </w:r>
    </w:p>
    <w:p w14:paraId="5B7BF0A1"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 эту группировку входили: Аксенов П. П. — помощник начальника ВТУ, Ершов Д. С.— начальник ВАФТО ВТУ, Виноградов В. И. — начальник 1 отделения ВТУ, СергеевН. А. — начальник 3 отделения ВТУ, Мельников Г. П. — начальник архива ВТУ, ЕвтютовС.П. — бывший начальник ВГО ВТУ и старший инспектор ВГО, Карпекин М. А. — начальник Среднеазиатского отделения ВТУ, Галковский М.Н. — помощник начальника ВТО САВО, Бородин В. В. — начальник 1 военно-тригонометрического отряда в Ленинграде и другие.</w:t>
      </w:r>
    </w:p>
    <w:p w14:paraId="3CCB25C2"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Основной задачей эта группировка ставила себе довести ВТУ до такого состояния, чтобы к моменту объявления мобилизации Красная Армия осталась бы без необходимых военных карт, чем способствовать поражению Красной Армии и реставрации конституционной монархии.</w:t>
      </w:r>
    </w:p>
    <w:p w14:paraId="58745213"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Контрреволюционная вредительская группировка, захватив фактически целиком в свои руки руководство всем военно-топографическим делом в Центре и в местных топографических органах (ЛВО и САВО), вытесняя молодые топографические силы, проводила систематически вредительскую работу, выразившуюся:</w:t>
      </w:r>
    </w:p>
    <w:p w14:paraId="017D9180"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1)в незаснятии первостепенной важности участков, карты коих требуются войскам в первые дни войны, и производстве ряда съемок на неправильной триангуляционной основе;</w:t>
      </w:r>
    </w:p>
    <w:p w14:paraId="494392DF"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lastRenderedPageBreak/>
        <w:t>2) в печатании карт несплошными районами, благодаря чему образовывались «окна» и отдельные важнейшие районы не обеспечены одноверстной и двухверстной картой;</w:t>
      </w:r>
    </w:p>
    <w:p w14:paraId="406657C5"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3) в составлении заведомо преувеличенных планов, исполнявшихся в небольших процентах с целью введения в заблуждение Штаба РККА о производственных возможностях ВТУ;</w:t>
      </w:r>
    </w:p>
    <w:p w14:paraId="3141EEF1"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4) в злостном провале новых методов топографических работ (аэрофотосъемка, высотная съемка с самолетов, на каковую были затрачены весьма большие суммы, в том числе валютные);</w:t>
      </w:r>
    </w:p>
    <w:p w14:paraId="49786D3D"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5) в срыве мобготовности Военно-топографического управления.</w:t>
      </w:r>
    </w:p>
    <w:p w14:paraId="2C03A743" w14:textId="77777777" w:rsidR="00A95902" w:rsidRPr="00507A31" w:rsidRDefault="00A95902" w:rsidP="00507A31">
      <w:pPr>
        <w:pStyle w:val="rtejustify"/>
        <w:spacing w:before="0" w:after="0"/>
        <w:rPr>
          <w:color w:val="000000" w:themeColor="text1"/>
          <w:sz w:val="16"/>
          <w:szCs w:val="16"/>
        </w:rPr>
      </w:pPr>
      <w:r w:rsidRPr="00507A31">
        <w:rPr>
          <w:rStyle w:val="a7"/>
          <w:b w:val="0"/>
          <w:color w:val="000000" w:themeColor="text1"/>
          <w:sz w:val="16"/>
          <w:szCs w:val="16"/>
        </w:rPr>
        <w:t>4. Контрреволюционная вредительская группировка в Военно-санитарном управлении РККА</w:t>
      </w:r>
    </w:p>
    <w:p w14:paraId="2334709C"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Контрреволюционная вредительская группировка Военно-санитарного управления РККА состояла из идеологически чуждых советскому строю специалистов, руководивших всей мобилизационной подготовкой военно-санитарной службы РККА.</w:t>
      </w:r>
    </w:p>
    <w:p w14:paraId="2DD0DE26"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 группировку входили: Замятин — заместитель начальника управления, Зеленев — помощник начальника управления, Арнольдов — начальник 1 отделения, Сенько-Поповский — начальник 3 отделения и другие.</w:t>
      </w:r>
    </w:p>
    <w:p w14:paraId="40E72A9A"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Эта группировка на протяжении целого ряда лет занималась систематической вредительской работой в области мобилизационной подготовки военно-санитарной службы РККА, имея целью срыв таковой.</w:t>
      </w:r>
    </w:p>
    <w:p w14:paraId="7F5A24C4"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Вредительская деятельность выразилась:</w:t>
      </w:r>
    </w:p>
    <w:p w14:paraId="404176B4"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1) в разработке неправильных указаний в вопросах мобработы;</w:t>
      </w:r>
    </w:p>
    <w:p w14:paraId="2A73A8D7"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2) в разработке вопросов организации военно-санитарной службы на военное время без учета возможностей союзной промышленности;</w:t>
      </w:r>
    </w:p>
    <w:p w14:paraId="32210497"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3) в затягивании годами проработки образцов и типов медсанхозимущества, в особенности комплектов ОВ и дезинфекции, приведшем к фактическому срыву службы ОВ и противоэпидемической.</w:t>
      </w:r>
    </w:p>
    <w:p w14:paraId="37B9EF72"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Своими действиями группа довела мобготовность военно-санитарной службы РККА до катастрофичности, чем создавала явную угрозу правильному отмобилизовыванию войсковых частей.</w:t>
      </w:r>
    </w:p>
    <w:p w14:paraId="7323B30A"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Вредительская работа руководящих работников Военно-санитарного управления была использована социально чуждым, враждебным элементом на местах (ЛВО, СКВО, УВО, ККА), где были созданы аналогичные вредительские группировки (все ликвидированы).</w:t>
      </w:r>
    </w:p>
    <w:p w14:paraId="3B98838A"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Вредительская работа на местах выражалась:</w:t>
      </w:r>
    </w:p>
    <w:p w14:paraId="64FB172D"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1) в отсутствии внимания к разработке мобпланов по соответствующим вариантам (неправильная приписка врачебного персонала, отсутствие четких директив);</w:t>
      </w:r>
    </w:p>
    <w:p w14:paraId="0FB51595"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2) в создании неработоспособных мобкомплектов для формируемых санитарных учреждений и войсковых соединений;</w:t>
      </w:r>
    </w:p>
    <w:p w14:paraId="3109AEC0"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3) в представлении в ВСУ преувеличенных данных о наличии неприкосновенных запасов медсанхозимущества путем зачисления в условно годное имущество абсолютно негодного имущества; чем вводился в заблуждение Штаб РККА о мобобеспеченности военно-санитарной службы;</w:t>
      </w:r>
    </w:p>
    <w:p w14:paraId="5B81C960"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4) в систематическом неосвежении медикаментов и санхозимущества, вследствие чего значительная часть приходила в полную негодность, а медикаменты теряли свои лечебные свойства. Мобкомплекты становились неработоспособными;</w:t>
      </w:r>
    </w:p>
    <w:p w14:paraId="1D17489C"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5) в СКВО подмешивались в медикаменты, находившиеся в неприкосновенном запасе, и мобкомплекты сильнодействующие яды для отравления красноармейцев и вызова массовых возмущений.</w:t>
      </w:r>
    </w:p>
    <w:p w14:paraId="21494F42" w14:textId="77777777" w:rsidR="00A95902" w:rsidRPr="00507A31" w:rsidRDefault="00A95902" w:rsidP="00507A31">
      <w:pPr>
        <w:pStyle w:val="rtejustify"/>
        <w:spacing w:before="0" w:after="0"/>
        <w:rPr>
          <w:color w:val="000000" w:themeColor="text1"/>
          <w:sz w:val="16"/>
          <w:szCs w:val="16"/>
        </w:rPr>
      </w:pPr>
      <w:r w:rsidRPr="00507A31">
        <w:rPr>
          <w:rStyle w:val="a7"/>
          <w:b w:val="0"/>
          <w:color w:val="000000" w:themeColor="text1"/>
          <w:sz w:val="16"/>
          <w:szCs w:val="16"/>
        </w:rPr>
        <w:t>5. Контрреволюционная организация в 3-м управлении Штаба РККА</w:t>
      </w:r>
    </w:p>
    <w:p w14:paraId="14724E80"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Контрреволюционная вредительская организация в 3-м Управлении Штаба РККА возникла в 1926 г. Организация состояла из враждебных советской власти специалистов, возглавлялась бывшим генерал-майором Генштаба Серебренниковым В. Г.</w:t>
      </w:r>
    </w:p>
    <w:p w14:paraId="003A4ED5"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Члены организации, считая неизбежным падение коммунистического строя [и] советской власти в итоге интервенции, ставили своей задачей создание условий, способствующих поражению Красной Армии, для реставрации монархического строя.</w:t>
      </w:r>
    </w:p>
    <w:p w14:paraId="57EEFC0C"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Систематическая контрреволюционная вредительская деятельность проводилась путем:</w:t>
      </w:r>
    </w:p>
    <w:p w14:paraId="06483AD2"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1) заведомого составления плана воинских перевозок по мобварианту № 8 и 10 так, что срыв его несомненен вследствие отсутствия факультатива, учета влияния авиации противника, диверсии и т.д.;</w:t>
      </w:r>
    </w:p>
    <w:p w14:paraId="1C053FB7"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2) составления плана внутри и межокружных воинских и снабженческих перевозок по мобварианту № 8 эшелонами малого состава, заведомо нерационально расходуя средства транспорта;</w:t>
      </w:r>
    </w:p>
    <w:p w14:paraId="106A1684"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3) составления неправильных расчетов на поезда и их последующую отправку, вследствие чего войсковые части в значительной степени оказались бы без обоза, а очередность прибывающих подразделений полков не соответствовала оперативным потребностям (в первом эшелоне следуют музыкальная команда, штаб полка и т. д.);</w:t>
      </w:r>
    </w:p>
    <w:p w14:paraId="50EE80EC"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4) неразрабатывания вопросов развития железной дороги, рокад и других мероприятий, которые должны были бы, в силу неизбежных диверсий и порч, обеспечить сосредоточение армии и перевозку снабжения;</w:t>
      </w:r>
    </w:p>
    <w:p w14:paraId="68D4B5B3"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5) развития пропускной способности приграничных участков на юго-западной железной дороге, кои в первый день по объявлении мобилизации должны будут разрушаться, а на других участках — постройка железнодорожных сооружений (при ст. Унеча и ст. Конотоп) без учета возможностей разрушений авиацией противника;</w:t>
      </w:r>
    </w:p>
    <w:p w14:paraId="434B774F"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6) развитие постройки шоссейно-грунтовых дорог проводилось так, что они не соответствовали потребностям армии, как с технической стороны (непроезжаемость), так и оперативной, без увязки с разгрузкой эшелонов в пунктах сосредоточения.</w:t>
      </w:r>
    </w:p>
    <w:p w14:paraId="412CDF07"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В контрреволюционную организацию, возглавляемую Серебренниковым, входили: 1) ответственный исполнитель 1 сектора 3-го Управления Подвербный А.К.,</w:t>
      </w:r>
    </w:p>
    <w:p w14:paraId="7174D466"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2) бывший помощник [начальника] 2 отделения 3-го Управления Архангельский и</w:t>
      </w:r>
    </w:p>
    <w:p w14:paraId="2A054A7C"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3) инженеры — бывший начальник 3 отделения 3-го Управления Власов А. А. и его помощник Голованов Н. В. и инженер ЦМУ Кульчинский, начальник ВОСО УВО Сергеев и другие.</w:t>
      </w:r>
    </w:p>
    <w:p w14:paraId="28075396"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Расследование продолжается.</w:t>
      </w:r>
    </w:p>
    <w:p w14:paraId="3C1E617B" w14:textId="77777777" w:rsidR="00A95902" w:rsidRPr="00507A31" w:rsidRDefault="00A95902" w:rsidP="00507A31">
      <w:pPr>
        <w:pStyle w:val="rtejustify"/>
        <w:spacing w:before="0" w:after="0"/>
        <w:rPr>
          <w:color w:val="000000" w:themeColor="text1"/>
          <w:sz w:val="16"/>
          <w:szCs w:val="16"/>
        </w:rPr>
      </w:pPr>
      <w:r w:rsidRPr="00507A31">
        <w:rPr>
          <w:color w:val="000000" w:themeColor="text1"/>
          <w:sz w:val="16"/>
          <w:szCs w:val="16"/>
        </w:rPr>
        <w:t>Начальник Особого Отдела ОГПУ Ольский</w:t>
      </w:r>
    </w:p>
    <w:p w14:paraId="748E8A2A" w14:textId="77777777" w:rsidR="00A95902" w:rsidRPr="00507A31" w:rsidRDefault="00A95902" w:rsidP="00507A31">
      <w:pPr>
        <w:jc w:val="both"/>
        <w:rPr>
          <w:color w:val="000000" w:themeColor="text1"/>
          <w:sz w:val="16"/>
          <w:szCs w:val="16"/>
        </w:rPr>
      </w:pPr>
      <w:r w:rsidRPr="00507A31">
        <w:rPr>
          <w:color w:val="000000" w:themeColor="text1"/>
          <w:sz w:val="16"/>
          <w:szCs w:val="16"/>
        </w:rPr>
        <w:t xml:space="preserve">Архив: ЦА ФСБ Ф. 2. Оп. 8. Д. 258. Л. 272-278. Подлинник. </w:t>
      </w:r>
    </w:p>
    <w:p w14:paraId="1B576F56" w14:textId="77777777" w:rsidR="00A95902" w:rsidRPr="00507A31" w:rsidRDefault="00A95902" w:rsidP="00507A31">
      <w:pPr>
        <w:jc w:val="both"/>
        <w:rPr>
          <w:color w:val="000000" w:themeColor="text1"/>
          <w:sz w:val="16"/>
          <w:szCs w:val="16"/>
        </w:rPr>
      </w:pPr>
      <w:r w:rsidRPr="00507A31">
        <w:rPr>
          <w:color w:val="000000" w:themeColor="text1"/>
          <w:sz w:val="16"/>
          <w:szCs w:val="16"/>
        </w:rPr>
        <w:t>Источник: "Совершенно Секретно": Лубянка Сталину о положении в стране (1922-1934 гг), т.8, ч.2, 1930 г., Москва, 2008 Стр. 1428-1432 (12179).</w:t>
      </w:r>
    </w:p>
    <w:p w14:paraId="0456F64F" w14:textId="77777777" w:rsidR="00A95902" w:rsidRPr="00507A31" w:rsidRDefault="00A95902" w:rsidP="00507A31">
      <w:pPr>
        <w:jc w:val="both"/>
        <w:rPr>
          <w:color w:val="000000" w:themeColor="text1"/>
          <w:sz w:val="16"/>
          <w:szCs w:val="16"/>
          <w:u w:color="002060"/>
        </w:rPr>
      </w:pPr>
    </w:p>
    <w:p w14:paraId="1733F3C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F1C63F9" w14:textId="77777777" w:rsidR="00537E5F" w:rsidRPr="00507A31" w:rsidRDefault="00537E5F" w:rsidP="00507A31">
      <w:pPr>
        <w:autoSpaceDE w:val="0"/>
        <w:autoSpaceDN w:val="0"/>
        <w:adjustRightInd w:val="0"/>
        <w:jc w:val="both"/>
        <w:rPr>
          <w:iCs/>
          <w:color w:val="000000" w:themeColor="text1"/>
          <w:sz w:val="16"/>
          <w:szCs w:val="16"/>
        </w:rPr>
      </w:pPr>
    </w:p>
    <w:p w14:paraId="31268970" w14:textId="77777777" w:rsidR="00D1487B" w:rsidRPr="00507A31" w:rsidRDefault="00D1487B" w:rsidP="00507A31">
      <w:pPr>
        <w:jc w:val="both"/>
        <w:rPr>
          <w:color w:val="0070C0"/>
          <w:sz w:val="16"/>
          <w:szCs w:val="16"/>
        </w:rPr>
      </w:pPr>
      <w:r w:rsidRPr="00507A31">
        <w:rPr>
          <w:color w:val="0070C0"/>
          <w:sz w:val="16"/>
          <w:szCs w:val="16"/>
        </w:rPr>
        <w:t>14 сентября 1930 г. Д.П.Г., который значится помощником начальника ЦКБ за</w:t>
      </w:r>
      <w:r w:rsidRPr="00507A31">
        <w:rPr>
          <w:color w:val="0070C0"/>
          <w:sz w:val="16"/>
          <w:szCs w:val="16"/>
        </w:rPr>
        <w:softHyphen/>
        <w:t>вода №39 (заместителем начальника ЦКБ тогда называет</w:t>
      </w:r>
      <w:r w:rsidRPr="00507A31">
        <w:rPr>
          <w:color w:val="0070C0"/>
          <w:sz w:val="16"/>
          <w:szCs w:val="16"/>
        </w:rPr>
        <w:softHyphen/>
        <w:t>ся И.И. Артамонов), утвердил эскизный проект легкого штурмовика ЛШ, став</w:t>
      </w:r>
      <w:r w:rsidRPr="00507A31">
        <w:rPr>
          <w:color w:val="0070C0"/>
          <w:sz w:val="16"/>
          <w:szCs w:val="16"/>
        </w:rPr>
        <w:softHyphen/>
        <w:t>шего первым в серии бронированных машин ЦКБ (20362).</w:t>
      </w:r>
    </w:p>
    <w:p w14:paraId="2E736CFF" w14:textId="77777777" w:rsidR="00D1487B" w:rsidRPr="00507A31" w:rsidRDefault="00D1487B" w:rsidP="00507A31">
      <w:pPr>
        <w:shd w:val="clear" w:color="auto" w:fill="FFFFFF"/>
        <w:jc w:val="both"/>
        <w:rPr>
          <w:color w:val="0070C0"/>
          <w:sz w:val="16"/>
          <w:szCs w:val="16"/>
        </w:rPr>
      </w:pPr>
    </w:p>
    <w:p w14:paraId="3F342E4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14 сентября 1930 на выборах в Германии партия нацистов заняла второе место (4962).</w:t>
      </w:r>
    </w:p>
    <w:p w14:paraId="4FDF7BE8"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BA15CA1" w14:textId="77777777" w:rsidR="00537E5F" w:rsidRPr="00507A31" w:rsidRDefault="00537E5F" w:rsidP="00507A31">
      <w:pPr>
        <w:autoSpaceDE w:val="0"/>
        <w:autoSpaceDN w:val="0"/>
        <w:adjustRightInd w:val="0"/>
        <w:jc w:val="both"/>
        <w:rPr>
          <w:color w:val="000000" w:themeColor="text1"/>
          <w:sz w:val="16"/>
          <w:szCs w:val="16"/>
          <w:lang w:val="en-US"/>
        </w:rPr>
      </w:pPr>
      <w:r w:rsidRPr="00507A31">
        <w:rPr>
          <w:color w:val="000000" w:themeColor="text1"/>
          <w:sz w:val="16"/>
          <w:szCs w:val="16"/>
          <w:lang w:val="en-US"/>
        </w:rPr>
        <w:t>September 14 1930 Germans elect Nazis making them second largest political party in Germany (1050).</w:t>
      </w:r>
    </w:p>
    <w:p w14:paraId="086B752B" w14:textId="77777777" w:rsidR="00537E5F" w:rsidRPr="00507A31" w:rsidRDefault="00537E5F" w:rsidP="00507A31">
      <w:pPr>
        <w:autoSpaceDE w:val="0"/>
        <w:autoSpaceDN w:val="0"/>
        <w:adjustRightInd w:val="0"/>
        <w:jc w:val="both"/>
        <w:rPr>
          <w:color w:val="000000" w:themeColor="text1"/>
          <w:sz w:val="16"/>
          <w:szCs w:val="16"/>
          <w:lang w:val="en-US"/>
        </w:rPr>
      </w:pPr>
    </w:p>
    <w:p w14:paraId="1D7A9C95" w14:textId="77777777" w:rsidR="00290E22" w:rsidRPr="00507A31" w:rsidRDefault="00290E22" w:rsidP="00507A31">
      <w:pPr>
        <w:jc w:val="both"/>
        <w:rPr>
          <w:color w:val="000000" w:themeColor="text1"/>
          <w:sz w:val="16"/>
          <w:szCs w:val="16"/>
        </w:rPr>
      </w:pPr>
      <w:r w:rsidRPr="00507A31">
        <w:rPr>
          <w:color w:val="000000" w:themeColor="text1"/>
          <w:sz w:val="16"/>
          <w:szCs w:val="16"/>
        </w:rPr>
        <w:t>14 сентября 1930 г. нацисты Германии получили на внеочередных выборах в Германии 6,4 млн. голосов (на 5,6 млн. больше чем на предыдущих выборах в 1928 г.) и чувствовали себя все увереннее и наглее. На президентских выборах 10 апреля 1932 г.</w:t>
      </w:r>
      <w:hyperlink r:id="rId149" w:anchor="n_426" w:history="1">
        <w:r w:rsidRPr="00507A31">
          <w:rPr>
            <w:rStyle w:val="a5"/>
            <w:color w:val="000000" w:themeColor="text1"/>
            <w:sz w:val="16"/>
            <w:szCs w:val="16"/>
          </w:rPr>
          <w:t>[426]</w:t>
        </w:r>
      </w:hyperlink>
      <w:r w:rsidRPr="00507A31">
        <w:rPr>
          <w:color w:val="000000" w:themeColor="text1"/>
          <w:sz w:val="16"/>
          <w:szCs w:val="16"/>
        </w:rPr>
        <w:t> за кандидатуру Гитлера было подано уже 13,4 млн. голосов, за Гинденбурга — 19,36 млн (19269).</w:t>
      </w:r>
    </w:p>
    <w:p w14:paraId="03D5CF2F" w14:textId="77777777" w:rsidR="00290E22" w:rsidRPr="00507A31" w:rsidRDefault="00290E22" w:rsidP="00507A31">
      <w:pPr>
        <w:jc w:val="both"/>
        <w:rPr>
          <w:color w:val="000000" w:themeColor="text1"/>
          <w:sz w:val="16"/>
          <w:szCs w:val="16"/>
        </w:rPr>
      </w:pPr>
    </w:p>
    <w:p w14:paraId="3C79E3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сентября 1930 фашисты получили на выборах много новых мандатов (3186).</w:t>
      </w:r>
    </w:p>
    <w:p w14:paraId="2B153857" w14:textId="77777777" w:rsidR="00537E5F" w:rsidRPr="00507A31" w:rsidRDefault="00537E5F" w:rsidP="00507A31">
      <w:pPr>
        <w:autoSpaceDE w:val="0"/>
        <w:autoSpaceDN w:val="0"/>
        <w:adjustRightInd w:val="0"/>
        <w:jc w:val="both"/>
        <w:rPr>
          <w:color w:val="000000" w:themeColor="text1"/>
          <w:sz w:val="16"/>
          <w:szCs w:val="16"/>
        </w:rPr>
      </w:pPr>
    </w:p>
    <w:p w14:paraId="681F20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сентября 1930 по другим данным на выборах победили социал-демократы, получившие 143 места в парламенте по сравнению с 77 у коммунистов и 107 у нацистов (3481).</w:t>
      </w:r>
    </w:p>
    <w:p w14:paraId="0D24E509" w14:textId="77777777" w:rsidR="00537E5F" w:rsidRPr="00507A31" w:rsidRDefault="00537E5F" w:rsidP="00507A31">
      <w:pPr>
        <w:autoSpaceDE w:val="0"/>
        <w:autoSpaceDN w:val="0"/>
        <w:adjustRightInd w:val="0"/>
        <w:jc w:val="both"/>
        <w:rPr>
          <w:color w:val="000000" w:themeColor="text1"/>
          <w:sz w:val="16"/>
          <w:szCs w:val="16"/>
        </w:rPr>
      </w:pPr>
    </w:p>
    <w:p w14:paraId="5B733D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14 сентября 1930 г. нацисты в Германии, получили на внеочередных выборах 6,4 млн. голосов (на 5,6 млн. больше чем на предыдущих выборах в 1928г. ), и чувствовали себя все увереннее и наглее. На президентских выборах 10 апреля 1932 г. (Это был второй тур выборов. В первом туре 13 марта 1932 г. были выставлены 4 кандидата (Гинденбург, Гитлер, Тельман, Дюстерберг). Однако ни один из кандидатов не смог набрать необходимого числа голосов.) за кандидатуру Гитлера было подано уже 13,4 млн. голосов, за Гинденбурга — 19,36 млн. Спустя четыре дня в связи с публикацией в германской печати документов, свидетельствовавших о подготовке национал-социалистами вооруженного путча с целью захвата власти, Гинденбург подписал чрезвычайное постановление о запрете СС и СА (СС и СА — транслитерация с немецкого: СС — Schutzstaffeln (охранные отряды), СА — Sturmabteilungen (штурмовые отряды).). Однако после отставки Брюнинга и назначения </w:t>
      </w:r>
      <w:r w:rsidRPr="00507A31">
        <w:rPr>
          <w:color w:val="000000" w:themeColor="text1"/>
          <w:sz w:val="16"/>
          <w:szCs w:val="16"/>
        </w:rPr>
        <w:lastRenderedPageBreak/>
        <w:t>главой правительства Папена, также не имевшего большинства в райхстаге, первое, что сделал Папен, были отмена запрета СС и СА и роспуск райхстага. Новые выборы были назначены на 31 июля 1932 г. 20 июля 1932 г. Гинденбург подписал указ о назначении Папена верховным комиссаром Пруссии, положив тем самым конец дуализму германского и восточнопрусского правительств. В тот же день Папен разогнал социал-демократическое правительство Пруссии. На последовавших 31 июля 1932 г. выборах НСДАП{9}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(11784).</w:t>
      </w:r>
    </w:p>
    <w:p w14:paraId="6EFABB38" w14:textId="77777777" w:rsidR="00537E5F" w:rsidRPr="00507A31" w:rsidRDefault="00537E5F" w:rsidP="00507A31">
      <w:pPr>
        <w:autoSpaceDE w:val="0"/>
        <w:autoSpaceDN w:val="0"/>
        <w:adjustRightInd w:val="0"/>
        <w:jc w:val="both"/>
        <w:rPr>
          <w:color w:val="000000" w:themeColor="text1"/>
          <w:sz w:val="16"/>
          <w:szCs w:val="16"/>
        </w:rPr>
      </w:pPr>
    </w:p>
    <w:p w14:paraId="23ED51D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268D681" w14:textId="77777777" w:rsidR="00537E5F" w:rsidRPr="00507A31" w:rsidRDefault="00537E5F" w:rsidP="00507A31">
      <w:pPr>
        <w:autoSpaceDE w:val="0"/>
        <w:autoSpaceDN w:val="0"/>
        <w:adjustRightInd w:val="0"/>
        <w:jc w:val="both"/>
        <w:rPr>
          <w:iCs/>
          <w:color w:val="000000" w:themeColor="text1"/>
          <w:sz w:val="16"/>
          <w:szCs w:val="16"/>
        </w:rPr>
      </w:pPr>
    </w:p>
    <w:p w14:paraId="6AF9FE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сентября 19130 ВТ-11 потерпел аварию. На посадке лопнула камера правого колеса, и машина скапотировала; находившийся в кабине И.Ф. Петров не пострадал, но потом получил выговор по партийной линии. Как он ни доказывал, что причина - дефект самолёта, начальство было неумолимо. И-5 начали готовить к серийному производству на заводе № 39. Судьба опытных образцов сложилась по-разному. ВТ-11 остался в НИИ ВВС, ВТ-12 стал личным самолётом начальника УВВС Я.И. Апксниса, a BT-13 потерпел аварию из-за остановившегося в воздухе мотора после 11 часов налёта (11997). </w:t>
      </w:r>
    </w:p>
    <w:p w14:paraId="139E08AD" w14:textId="77777777" w:rsidR="00537E5F" w:rsidRPr="00507A31" w:rsidRDefault="00537E5F" w:rsidP="00507A31">
      <w:pPr>
        <w:autoSpaceDE w:val="0"/>
        <w:autoSpaceDN w:val="0"/>
        <w:adjustRightInd w:val="0"/>
        <w:jc w:val="both"/>
        <w:rPr>
          <w:color w:val="000000" w:themeColor="text1"/>
          <w:sz w:val="16"/>
          <w:szCs w:val="16"/>
        </w:rPr>
      </w:pPr>
    </w:p>
    <w:p w14:paraId="30BF7E9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 сентября 1930 Добролет вернул в ЦАГИ первый опытный АНТ-9 с Титанами, полученный в июне 1930 (10542,30).</w:t>
      </w:r>
    </w:p>
    <w:p w14:paraId="3D67FAA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E647D36" w14:textId="77777777" w:rsidR="00D1487B" w:rsidRPr="00507A31" w:rsidRDefault="00D1487B" w:rsidP="00507A31">
      <w:pPr>
        <w:jc w:val="both"/>
        <w:rPr>
          <w:color w:val="0070C0"/>
          <w:sz w:val="16"/>
          <w:szCs w:val="16"/>
        </w:rPr>
      </w:pPr>
      <w:r w:rsidRPr="00507A31">
        <w:rPr>
          <w:color w:val="0070C0"/>
          <w:sz w:val="16"/>
          <w:szCs w:val="16"/>
        </w:rPr>
        <w:t>15 сентября 1930, воодушевленный успехом первых десантных операций в августе и сентябре 1930 г., Л.Г. Минов представил начальнику 1-го управления УВВС РККА докладную записку о постановке специальных экспериментов, связанных с десантными операциями: ночные прыжки в лунную и теплую ночь, одиночные и групповые прыжки с высот порядка 150 – 200 метров, прыжки в полном боевом снаряжении и вооружении и прочее. Общее руководство экспериментами он готов был взять на себя (Архив ЦДА и К. Ф. 50. Оп. 1. Д. 2. Л. 6)(21402).</w:t>
      </w:r>
    </w:p>
    <w:p w14:paraId="0024507F" w14:textId="77777777" w:rsidR="00D1487B" w:rsidRPr="00507A31" w:rsidRDefault="00D1487B" w:rsidP="00507A31">
      <w:pPr>
        <w:jc w:val="both"/>
        <w:rPr>
          <w:color w:val="0070C0"/>
          <w:sz w:val="16"/>
          <w:szCs w:val="16"/>
        </w:rPr>
      </w:pPr>
    </w:p>
    <w:p w14:paraId="5907174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01402DE" w14:textId="77777777" w:rsidR="00537E5F" w:rsidRPr="00507A31" w:rsidRDefault="00537E5F" w:rsidP="00507A31">
      <w:pPr>
        <w:autoSpaceDE w:val="0"/>
        <w:autoSpaceDN w:val="0"/>
        <w:adjustRightInd w:val="0"/>
        <w:jc w:val="both"/>
        <w:rPr>
          <w:iCs/>
          <w:color w:val="000000" w:themeColor="text1"/>
          <w:sz w:val="16"/>
          <w:szCs w:val="16"/>
        </w:rPr>
      </w:pPr>
    </w:p>
    <w:p w14:paraId="1ABEA17E" w14:textId="77777777" w:rsidR="00056C3E" w:rsidRPr="00507A31" w:rsidRDefault="00056C3E" w:rsidP="00507A31">
      <w:pPr>
        <w:jc w:val="both"/>
        <w:rPr>
          <w:bCs/>
          <w:iCs/>
          <w:color w:val="000000" w:themeColor="text1"/>
          <w:sz w:val="16"/>
          <w:szCs w:val="16"/>
        </w:rPr>
      </w:pPr>
      <w:r w:rsidRPr="00507A31">
        <w:rPr>
          <w:bCs/>
          <w:iCs/>
          <w:color w:val="000000" w:themeColor="text1"/>
          <w:sz w:val="16"/>
          <w:szCs w:val="16"/>
        </w:rPr>
        <w:t>15 сентября 1930</w:t>
      </w:r>
    </w:p>
    <w:p w14:paraId="1E462403" w14:textId="77777777" w:rsidR="00056C3E" w:rsidRPr="00507A31" w:rsidRDefault="00056C3E" w:rsidP="00507A31">
      <w:pPr>
        <w:jc w:val="both"/>
        <w:rPr>
          <w:color w:val="000000" w:themeColor="text1"/>
          <w:sz w:val="16"/>
          <w:szCs w:val="16"/>
        </w:rPr>
      </w:pPr>
      <w:r w:rsidRPr="00507A31">
        <w:rPr>
          <w:bCs/>
          <w:iCs/>
          <w:color w:val="000000" w:themeColor="text1"/>
          <w:sz w:val="16"/>
          <w:szCs w:val="16"/>
        </w:rPr>
        <w:t>РГВА Фонд 31811 Опись 1 Дело 38 лист 224 – 227</w:t>
      </w:r>
    </w:p>
    <w:p w14:paraId="03E041EA" w14:textId="77777777" w:rsidR="00056C3E" w:rsidRPr="00507A31" w:rsidRDefault="00056C3E" w:rsidP="00507A31">
      <w:pPr>
        <w:jc w:val="both"/>
        <w:rPr>
          <w:color w:val="000000" w:themeColor="text1"/>
          <w:sz w:val="16"/>
          <w:szCs w:val="16"/>
        </w:rPr>
      </w:pPr>
      <w:r w:rsidRPr="00507A31">
        <w:rPr>
          <w:iCs/>
          <w:color w:val="000000" w:themeColor="text1"/>
          <w:sz w:val="16"/>
          <w:szCs w:val="16"/>
        </w:rPr>
        <w:t>[Рукописный документ]</w:t>
      </w:r>
      <w:r w:rsidRPr="00507A31">
        <w:rPr>
          <w:color w:val="000000" w:themeColor="text1"/>
          <w:sz w:val="16"/>
          <w:szCs w:val="16"/>
        </w:rPr>
        <w:t xml:space="preserve"> </w:t>
      </w:r>
    </w:p>
    <w:p w14:paraId="4D4D51AC"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New York </w:t>
      </w:r>
    </w:p>
    <w:p w14:paraId="2A431F02"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15/IX-30 г. </w:t>
      </w:r>
    </w:p>
    <w:p w14:paraId="6C095C4D" w14:textId="77777777" w:rsidR="00056C3E" w:rsidRPr="00507A31" w:rsidRDefault="00056C3E" w:rsidP="00507A31">
      <w:pPr>
        <w:jc w:val="both"/>
        <w:rPr>
          <w:color w:val="000000" w:themeColor="text1"/>
          <w:sz w:val="16"/>
          <w:szCs w:val="16"/>
        </w:rPr>
      </w:pPr>
      <w:r w:rsidRPr="00507A31">
        <w:rPr>
          <w:color w:val="000000" w:themeColor="text1"/>
          <w:sz w:val="16"/>
          <w:szCs w:val="16"/>
        </w:rPr>
        <w:t>Иннокентий Андреевич !!</w:t>
      </w:r>
    </w:p>
    <w:p w14:paraId="3E26E83D"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Считаю необходимым доложить Вам о ходе работ по выполнению договора с Кристи и о моей работе здесь. </w:t>
      </w:r>
    </w:p>
    <w:p w14:paraId="75A84625"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Выполнение договора находится в следующем виде: по сравнению с описанием хода работ в моем первом докладе (где было сказано, что машины выполнены на 40 % максимум) до настоящего времени прибавилось следующее: </w:t>
      </w:r>
    </w:p>
    <w:p w14:paraId="5397FF6A"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1) собраны и поставлены на место рессоры </w:t>
      </w:r>
    </w:p>
    <w:p w14:paraId="092E56A9"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2) собрана коробка скоростей </w:t>
      </w:r>
    </w:p>
    <w:p w14:paraId="51BF3A01"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3) сделаны перегородки и связи в корпусе </w:t>
      </w:r>
    </w:p>
    <w:p w14:paraId="30212370"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4) амбразура для водителя </w:t>
      </w:r>
    </w:p>
    <w:p w14:paraId="025948D2"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Не установлены на машину, но находятся в мастерской следующие детали: </w:t>
      </w:r>
    </w:p>
    <w:p w14:paraId="364B5E8E"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1) радиаторы; 2) баки для горючего; 3) диски колес; 4) звенья гусениц (в черном виде). </w:t>
      </w:r>
    </w:p>
    <w:p w14:paraId="04774542"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Нет рулевого управления (часть деталей находится в обработке); нет бандажей для колес резиновых; нет брони; в общем же выполнено на 60 – 65 %, в таком же положении находится и польская машина. Американская машина до сего времени усиленно форсировалась сборкой (по конструкции она ближе к предыдущему типу, от наших отличается передачей на ведущие колеса), сейчас она не форсируется. Орднанс департамент не особенно интересуется машиной Кристи. Кристи говорит, что договора между ним и орднанс департамент не оформлен и денег орднанс департамент не дает. </w:t>
      </w:r>
    </w:p>
    <w:p w14:paraId="6EA8AD05"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Приемщиком от орднанс департамент отмечены следующие недостатки в машине (со слов инж. с завода Кристи): </w:t>
      </w:r>
    </w:p>
    <w:p w14:paraId="580293EC"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1) недостаточное охлаждение; 2) большой радиус поворота на колесах; 3) неудобна амбразура для водителя. Эти недостатки Кристи устранить отказался, утверждает, что все будет хорошо. </w:t>
      </w:r>
    </w:p>
    <w:p w14:paraId="75F1AF5B"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Эти недостатки были отмечены мною в первом докладе. К этому еще нужно прибавить стальные диски боковых фрикционов и главного сцепления не смазываются. Я думаю они будут гореть, изменить конструкцию уже нельзя, нужно менять все габариты. Помещение водителя и наводчика не вентилируются, условия работы на танке, я полагаю, будут чрезвычайно тяжелыми. Кроме того, Кристи не предусматривает никакого глушителя, а в таком виде мотор будет слышен на 10 klmt. При движении на колесах очень сложная шестеренчатая передача, низкий коэффициент трансмиссии, приблизительно 55 %. Орднанс департамент отказался от этой передачи, заменив ее цепью, т.е. прежняя конструкция Кристи. </w:t>
      </w:r>
    </w:p>
    <w:p w14:paraId="53E1221B"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Были поляки на заводе, я был предупрежден и на заводе не был, после один рабочий рассказывал мне, что поляки были весьма недовольны тем, что Кристи продал нам машины. На завод Кристи приезжали ни то персы, ни то греки, вели переговоры о постройке машины, результаты мне не известны. </w:t>
      </w:r>
    </w:p>
    <w:p w14:paraId="7EE63CF2"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Я взял у Кристи комплект чертежей амфибии. Кроме того, посылаю две схемы других машин. </w:t>
      </w:r>
    </w:p>
    <w:p w14:paraId="61BD19A1"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На абердинский полигон попасть мне не удается, Амторг не оказал мне в этом никакого содействия, в получении билета для входа туда обращался несколько раз к тов. Петрову. </w:t>
      </w:r>
    </w:p>
    <w:p w14:paraId="2E8D304C"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Прошу Ваших указаний, по окончании машин отправляться ли мне вместе с ними или осмотреть еще несколько заводов. Я считаю необходимым для меня детально (поскольку позволит время) познакомиться с тракторным производством здесь. Я взял рекомендательные письма на следующие заводы: </w:t>
      </w:r>
    </w:p>
    <w:p w14:paraId="7982A248" w14:textId="77777777" w:rsidR="00056C3E" w:rsidRPr="00507A31" w:rsidRDefault="00056C3E" w:rsidP="00507A31">
      <w:pPr>
        <w:jc w:val="both"/>
        <w:rPr>
          <w:color w:val="000000" w:themeColor="text1"/>
          <w:sz w:val="16"/>
          <w:szCs w:val="16"/>
          <w:lang w:val="en-US"/>
        </w:rPr>
      </w:pPr>
      <w:r w:rsidRPr="00507A31">
        <w:rPr>
          <w:color w:val="000000" w:themeColor="text1"/>
          <w:sz w:val="16"/>
          <w:szCs w:val="16"/>
        </w:rPr>
        <w:t xml:space="preserve">1) Caterpillar tractor Co. </w:t>
      </w:r>
      <w:r w:rsidRPr="00507A31">
        <w:rPr>
          <w:color w:val="000000" w:themeColor="text1"/>
          <w:sz w:val="16"/>
          <w:szCs w:val="16"/>
          <w:lang w:val="en-US"/>
        </w:rPr>
        <w:t xml:space="preserve">Peoria Illinois </w:t>
      </w:r>
    </w:p>
    <w:p w14:paraId="239899B9" w14:textId="77777777" w:rsidR="00056C3E" w:rsidRPr="00507A31" w:rsidRDefault="00056C3E" w:rsidP="00507A31">
      <w:pPr>
        <w:jc w:val="both"/>
        <w:rPr>
          <w:color w:val="000000" w:themeColor="text1"/>
          <w:sz w:val="16"/>
          <w:szCs w:val="16"/>
          <w:lang w:val="en-US"/>
        </w:rPr>
      </w:pPr>
      <w:r w:rsidRPr="00507A31">
        <w:rPr>
          <w:color w:val="000000" w:themeColor="text1"/>
          <w:sz w:val="16"/>
          <w:szCs w:val="16"/>
          <w:lang w:val="en-US"/>
        </w:rPr>
        <w:t xml:space="preserve">2) John Deere Co. Moline Illinois </w:t>
      </w:r>
    </w:p>
    <w:p w14:paraId="304E0189" w14:textId="77777777" w:rsidR="00056C3E" w:rsidRPr="00507A31" w:rsidRDefault="00056C3E" w:rsidP="00507A31">
      <w:pPr>
        <w:jc w:val="both"/>
        <w:rPr>
          <w:color w:val="000000" w:themeColor="text1"/>
          <w:sz w:val="16"/>
          <w:szCs w:val="16"/>
          <w:lang w:val="en-US"/>
        </w:rPr>
      </w:pPr>
      <w:r w:rsidRPr="00507A31">
        <w:rPr>
          <w:color w:val="000000" w:themeColor="text1"/>
          <w:sz w:val="16"/>
          <w:szCs w:val="16"/>
          <w:lang w:val="en-US"/>
        </w:rPr>
        <w:t xml:space="preserve">3) Case Rocine Wisconsin </w:t>
      </w:r>
    </w:p>
    <w:p w14:paraId="3B9DA881" w14:textId="77777777" w:rsidR="00056C3E" w:rsidRPr="00507A31" w:rsidRDefault="00056C3E" w:rsidP="00507A31">
      <w:pPr>
        <w:jc w:val="both"/>
        <w:rPr>
          <w:color w:val="000000" w:themeColor="text1"/>
          <w:sz w:val="16"/>
          <w:szCs w:val="16"/>
          <w:lang w:val="en-US"/>
        </w:rPr>
      </w:pPr>
      <w:r w:rsidRPr="00507A31">
        <w:rPr>
          <w:color w:val="000000" w:themeColor="text1"/>
          <w:sz w:val="16"/>
          <w:szCs w:val="16"/>
          <w:lang w:val="en-US"/>
        </w:rPr>
        <w:t xml:space="preserve">4) International Harvester Export Chicago </w:t>
      </w:r>
    </w:p>
    <w:p w14:paraId="2A563E7F" w14:textId="77777777" w:rsidR="00056C3E" w:rsidRPr="00507A31" w:rsidRDefault="00056C3E" w:rsidP="00507A31">
      <w:pPr>
        <w:jc w:val="both"/>
        <w:rPr>
          <w:color w:val="000000" w:themeColor="text1"/>
          <w:sz w:val="16"/>
          <w:szCs w:val="16"/>
          <w:lang w:val="en-US"/>
        </w:rPr>
      </w:pPr>
      <w:r w:rsidRPr="00507A31">
        <w:rPr>
          <w:color w:val="000000" w:themeColor="text1"/>
          <w:sz w:val="16"/>
          <w:szCs w:val="16"/>
          <w:lang w:val="en-US"/>
        </w:rPr>
        <w:t xml:space="preserve">5) Cleveland Track Co. Ohio </w:t>
      </w:r>
    </w:p>
    <w:p w14:paraId="49A85B9D" w14:textId="77777777" w:rsidR="00056C3E" w:rsidRPr="00507A31" w:rsidRDefault="00056C3E" w:rsidP="00507A31">
      <w:pPr>
        <w:jc w:val="both"/>
        <w:rPr>
          <w:color w:val="000000" w:themeColor="text1"/>
          <w:sz w:val="16"/>
          <w:szCs w:val="16"/>
          <w:lang w:val="en-US"/>
        </w:rPr>
      </w:pPr>
      <w:r w:rsidRPr="00507A31">
        <w:rPr>
          <w:color w:val="000000" w:themeColor="text1"/>
          <w:sz w:val="16"/>
          <w:szCs w:val="16"/>
          <w:lang w:val="en-US"/>
        </w:rPr>
        <w:t xml:space="preserve">6) Allis Chalmers Milwaukee Wisconsin. </w:t>
      </w:r>
    </w:p>
    <w:p w14:paraId="5ACF68D4" w14:textId="77777777" w:rsidR="00056C3E" w:rsidRPr="00507A31" w:rsidRDefault="00056C3E" w:rsidP="00507A31">
      <w:pPr>
        <w:jc w:val="both"/>
        <w:rPr>
          <w:color w:val="000000" w:themeColor="text1"/>
          <w:sz w:val="16"/>
          <w:szCs w:val="16"/>
        </w:rPr>
      </w:pPr>
      <w:r w:rsidRPr="00507A31">
        <w:rPr>
          <w:color w:val="000000" w:themeColor="text1"/>
          <w:sz w:val="16"/>
          <w:szCs w:val="16"/>
        </w:rPr>
        <w:t xml:space="preserve">Кроме того, хотелось бы побывать на заводах по приспособлениям тракторов Trakson. </w:t>
      </w:r>
    </w:p>
    <w:p w14:paraId="61F58234" w14:textId="77777777" w:rsidR="00056C3E" w:rsidRPr="00507A31" w:rsidRDefault="00056C3E" w:rsidP="00507A31">
      <w:pPr>
        <w:jc w:val="both"/>
        <w:rPr>
          <w:color w:val="000000" w:themeColor="text1"/>
          <w:sz w:val="16"/>
          <w:szCs w:val="16"/>
        </w:rPr>
      </w:pPr>
      <w:r w:rsidRPr="00507A31">
        <w:rPr>
          <w:color w:val="000000" w:themeColor="text1"/>
          <w:sz w:val="16"/>
          <w:szCs w:val="16"/>
        </w:rPr>
        <w:t>Мой аккредитив кончается 1/X-30 г. Жду Ваших распоряжений (19761).</w:t>
      </w:r>
    </w:p>
    <w:p w14:paraId="2290E207" w14:textId="77777777" w:rsidR="00056C3E" w:rsidRPr="00507A31" w:rsidRDefault="00056C3E" w:rsidP="00507A31">
      <w:pPr>
        <w:jc w:val="both"/>
        <w:rPr>
          <w:color w:val="000000" w:themeColor="text1"/>
          <w:sz w:val="16"/>
          <w:szCs w:val="16"/>
        </w:rPr>
      </w:pPr>
    </w:p>
    <w:p w14:paraId="2B3BF7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сентября 1930 года член научно-технического коми</w:t>
      </w:r>
      <w:r w:rsidRPr="00507A31">
        <w:rPr>
          <w:color w:val="000000" w:themeColor="text1"/>
          <w:sz w:val="16"/>
          <w:szCs w:val="16"/>
        </w:rPr>
        <w:softHyphen/>
        <w:t>тета УММ докладывал своему руководству: «Доношу о ко</w:t>
      </w:r>
      <w:r w:rsidRPr="00507A31">
        <w:rPr>
          <w:color w:val="000000" w:themeColor="text1"/>
          <w:sz w:val="16"/>
          <w:szCs w:val="16"/>
        </w:rPr>
        <w:softHyphen/>
        <w:t>мандировке на Ижорский завод по вопросу о состоянии опытных заказов на бронеавтомобили...</w:t>
      </w:r>
    </w:p>
    <w:p w14:paraId="36A2AF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Бронированный «Форд-АА» (шестиколесный), раз</w:t>
      </w:r>
      <w:r w:rsidRPr="00507A31">
        <w:rPr>
          <w:color w:val="000000" w:themeColor="text1"/>
          <w:sz w:val="16"/>
          <w:szCs w:val="16"/>
        </w:rPr>
        <w:softHyphen/>
        <w:t>рабатываемый по системе вооружения. Проект закончен. Выполнена большая часть рабочих чертежей. Окончание чертежей задерживается из-за неполучения от артиллерий</w:t>
      </w:r>
      <w:r w:rsidRPr="00507A31">
        <w:rPr>
          <w:color w:val="000000" w:themeColor="text1"/>
          <w:sz w:val="16"/>
          <w:szCs w:val="16"/>
        </w:rPr>
        <w:softHyphen/>
        <w:t>ского управления точных чертежей 12,7 и 20-мм пулеметов, для которых разрабатывается соответствующая башня. К изготовлению опытных образцов завод может присту</w:t>
      </w:r>
      <w:r w:rsidRPr="00507A31">
        <w:rPr>
          <w:color w:val="000000" w:themeColor="text1"/>
          <w:sz w:val="16"/>
          <w:szCs w:val="16"/>
        </w:rPr>
        <w:softHyphen/>
        <w:t>пить не ранее 1 декабря, то есть срок выпуска, намеченный УММ — 11 декабря — будет сорван, так как шасси будет вы</w:t>
      </w:r>
      <w:r w:rsidRPr="00507A31">
        <w:rPr>
          <w:color w:val="000000" w:themeColor="text1"/>
          <w:sz w:val="16"/>
          <w:szCs w:val="16"/>
        </w:rPr>
        <w:softHyphen/>
        <w:t>пущено 4-м автозаводом лишь в середине ноября месяца. Срок изготовления опытного образца 3—3,5 месяца, то есть готовность примерно к 15 марта 1931 года при общем усло</w:t>
      </w:r>
      <w:r w:rsidRPr="00507A31">
        <w:rPr>
          <w:color w:val="000000" w:themeColor="text1"/>
          <w:sz w:val="16"/>
          <w:szCs w:val="16"/>
        </w:rPr>
        <w:softHyphen/>
        <w:t>вии организации спецбригады рабочих для опытных работ.</w:t>
      </w:r>
    </w:p>
    <w:p w14:paraId="1A4276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Бронированный шестиколесный автомобиль «Мо-реланд». К 30 - 25 сентября заводом будут даны эскизы не</w:t>
      </w:r>
      <w:r w:rsidRPr="00507A31">
        <w:rPr>
          <w:color w:val="000000" w:themeColor="text1"/>
          <w:sz w:val="16"/>
          <w:szCs w:val="16"/>
        </w:rPr>
        <w:softHyphen/>
        <w:t>скольких вариантов бронированной машины с подсчетом весовых данных. Рабочие чертежи будут готовы примерно в середине декабря. Срок выпуска опытного образца не ра</w:t>
      </w:r>
      <w:r w:rsidRPr="00507A31">
        <w:rPr>
          <w:color w:val="000000" w:themeColor="text1"/>
          <w:sz w:val="16"/>
          <w:szCs w:val="16"/>
        </w:rPr>
        <w:softHyphen/>
        <w:t>нее конца марта 1931 года.</w:t>
      </w:r>
    </w:p>
    <w:p w14:paraId="02BC66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Бронированный шестиколесный автомобиль АМО-2. К разработке проекта завод не приступал, так как не имеет чертежей автомобиля.</w:t>
      </w:r>
    </w:p>
    <w:p w14:paraId="10B8FC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Выводы и предложения.</w:t>
      </w:r>
    </w:p>
    <w:p w14:paraId="23A8BF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Все основные опытные работы могут быть выпол</w:t>
      </w:r>
      <w:r w:rsidRPr="00507A31">
        <w:rPr>
          <w:color w:val="000000" w:themeColor="text1"/>
          <w:sz w:val="16"/>
          <w:szCs w:val="16"/>
        </w:rPr>
        <w:softHyphen/>
        <w:t>нены в намеченные сроки при условии организации опыт</w:t>
      </w:r>
      <w:r w:rsidRPr="00507A31">
        <w:rPr>
          <w:color w:val="000000" w:themeColor="text1"/>
          <w:sz w:val="16"/>
          <w:szCs w:val="16"/>
        </w:rPr>
        <w:softHyphen/>
        <w:t>ной группы рабочих с ответственным руководителям по бронированным машинам.</w:t>
      </w:r>
    </w:p>
    <w:p w14:paraId="1BBFF7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Так как 12,7 и 20-мм пулеметы в стадии разработки, вооружить «Форд-АА» исключительно пулеметами Дегтя</w:t>
      </w:r>
      <w:r w:rsidRPr="00507A31">
        <w:rPr>
          <w:color w:val="000000" w:themeColor="text1"/>
          <w:sz w:val="16"/>
          <w:szCs w:val="16"/>
        </w:rPr>
        <w:softHyphen/>
        <w:t>рева (2 в башне и 1 в передней части корпуса)» (11284).</w:t>
      </w:r>
    </w:p>
    <w:p w14:paraId="2E8197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C9B3F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15 сентября 1930 года председатель 2-й секции НТК УММ РККА сообщал своему руководству:</w:t>
      </w:r>
    </w:p>
    <w:p w14:paraId="2AD9A1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«Доношу о командировке на Ижорский завод по во</w:t>
      </w:r>
      <w:r w:rsidRPr="00507A31">
        <w:rPr>
          <w:color w:val="000000" w:themeColor="text1"/>
          <w:sz w:val="16"/>
          <w:szCs w:val="16"/>
        </w:rPr>
        <w:softHyphen/>
        <w:t>просу о состоянии опытных заказов на бронеавтомобили.</w:t>
      </w:r>
    </w:p>
    <w:p w14:paraId="7A0475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Установка броневого щита и пулеметов на легковом автомобиле Форд-А (предусмотрено системой вооружения). Ижорским заводом разработана только конструкция креп</w:t>
      </w:r>
      <w:r w:rsidRPr="00507A31">
        <w:rPr>
          <w:color w:val="000000" w:themeColor="text1"/>
          <w:sz w:val="16"/>
          <w:szCs w:val="16"/>
        </w:rPr>
        <w:softHyphen/>
        <w:t>ления щита. Практически вся работа выполнена НИОПом.</w:t>
      </w:r>
    </w:p>
    <w:p w14:paraId="18211E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Оборудованы машины в количестве трех образцов, сданы НИОПом для испытания в мехбригаду. Результаты испыта</w:t>
      </w:r>
      <w:r w:rsidRPr="00507A31">
        <w:rPr>
          <w:color w:val="000000" w:themeColor="text1"/>
          <w:sz w:val="16"/>
          <w:szCs w:val="16"/>
        </w:rPr>
        <w:softHyphen/>
        <w:t>ния ожидаются после маневров.</w:t>
      </w:r>
    </w:p>
    <w:p w14:paraId="49ACD6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Полубронированный автомобиль Форд-А (колесная танкетка). Конструкция выполнена в порядке предложения НТК УММ РККА, проект и рабочие чертежи закончены. Срок сдачи трех образцов — 1 августа с.г., намеченный МПУ ВСНХ СССР (мобилизационно-плановое управление выс</w:t>
      </w:r>
      <w:r w:rsidRPr="00507A31">
        <w:rPr>
          <w:color w:val="000000" w:themeColor="text1"/>
          <w:sz w:val="16"/>
          <w:szCs w:val="16"/>
        </w:rPr>
        <w:softHyphen/>
        <w:t>шего совета народного хозяйства. — Прим. автора) и УММ РККА — сорван. По заявлению тов. Обухова (заведующий 2-й механической мастерской) первый образец будет готов не ранее 15 октября, так как завод, имея прорывы по вало</w:t>
      </w:r>
      <w:r w:rsidRPr="00507A31">
        <w:rPr>
          <w:color w:val="000000" w:themeColor="text1"/>
          <w:sz w:val="16"/>
          <w:szCs w:val="16"/>
        </w:rPr>
        <w:softHyphen/>
        <w:t>вым заказам УММ РККА, не может выделить ни руководи</w:t>
      </w:r>
      <w:r w:rsidRPr="00507A31">
        <w:rPr>
          <w:color w:val="000000" w:themeColor="text1"/>
          <w:sz w:val="16"/>
          <w:szCs w:val="16"/>
        </w:rPr>
        <w:softHyphen/>
        <w:t>телей, ни рабочих, которые занимались бы только опытны</w:t>
      </w:r>
      <w:r w:rsidRPr="00507A31">
        <w:rPr>
          <w:color w:val="000000" w:themeColor="text1"/>
          <w:sz w:val="16"/>
          <w:szCs w:val="16"/>
        </w:rPr>
        <w:softHyphen/>
        <w:t>ми работами».</w:t>
      </w:r>
    </w:p>
    <w:p w14:paraId="06B922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Учитывая данное обстоятельство, управление механи</w:t>
      </w:r>
      <w:r w:rsidRPr="00507A31">
        <w:rPr>
          <w:color w:val="000000" w:themeColor="text1"/>
          <w:sz w:val="16"/>
          <w:szCs w:val="16"/>
        </w:rPr>
        <w:softHyphen/>
        <w:t>зации и моторизации разделило заказ, поручик изготовление двух опытных образцов Опытно-конструкторскому и испытательному бюро УММ РККА под руководством Н. Дыренкова. Последний был талантливым изобретате</w:t>
      </w:r>
      <w:r w:rsidRPr="00507A31">
        <w:rPr>
          <w:color w:val="000000" w:themeColor="text1"/>
          <w:sz w:val="16"/>
          <w:szCs w:val="16"/>
        </w:rPr>
        <w:softHyphen/>
        <w:t>лем-самоучкой, бравшимся за все работы — он проектиро</w:t>
      </w:r>
      <w:r w:rsidRPr="00507A31">
        <w:rPr>
          <w:color w:val="000000" w:themeColor="text1"/>
          <w:sz w:val="16"/>
          <w:szCs w:val="16"/>
        </w:rPr>
        <w:softHyphen/>
        <w:t>вал танки, бронемашины, мотоброневагоны, вездеходы и многое другое. К этому времени руководимое им КБ, на</w:t>
      </w:r>
      <w:r w:rsidRPr="00507A31">
        <w:rPr>
          <w:color w:val="000000" w:themeColor="text1"/>
          <w:sz w:val="16"/>
          <w:szCs w:val="16"/>
        </w:rPr>
        <w:softHyphen/>
        <w:t>чинавшее работу на Ижорском заводе, переехало из Ле</w:t>
      </w:r>
      <w:r w:rsidRPr="00507A31">
        <w:rPr>
          <w:color w:val="000000" w:themeColor="text1"/>
          <w:sz w:val="16"/>
          <w:szCs w:val="16"/>
        </w:rPr>
        <w:softHyphen/>
        <w:t>нинграда в Москву, где разместилось на территории Экс</w:t>
      </w:r>
      <w:r w:rsidRPr="00507A31">
        <w:rPr>
          <w:color w:val="000000" w:themeColor="text1"/>
          <w:sz w:val="16"/>
          <w:szCs w:val="16"/>
        </w:rPr>
        <w:softHyphen/>
        <w:t>периментального завода НКПС в Люблино (позже завод Можерез) (11284).</w:t>
      </w:r>
    </w:p>
    <w:p w14:paraId="0768CE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AB41C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сентября 1930 года монтаж основного оборудования ПМЧЗ был завершен и 1 октября 1930 года завод вступил в строй. В апреле 1930 года пароход с американским оборудованием часового завода направился в Россию, а в это время в Москве, на Воронцовской улице, на территории бывшей табачной фабрики "Красная звезда" уже шли работы по закладке нового корпуса. Его строительство, начатое с рытья котлована в феврале 1930 года, было закончено к июню того же года.</w:t>
      </w:r>
    </w:p>
    <w:p w14:paraId="4ABE40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Строительство завода требовало не только огромных материальных затрат, но и квалифицированных кадров. А кадры, как известно, решают все. Для работы на импортном, хоть и устаревшем оборудовании, нужны были опытные рабочие, инструментальщики, конструкторы, инженеры. Летом 1930 г. на XVI съезде ВКП(б) было принято решение о приглашении большого числа иностранных рабочих и специалистов в СССР при условии "полного использования их опыта и знаний на предприятиях Советского Союза".</w:t>
      </w:r>
    </w:p>
    <w:p w14:paraId="7FCB5A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фактически вербовка иностранных рабочих и специалистов для первого часового началась несколькими месяцами раньше, в Германии. С этой целью в Германию был командирован В.О. Прусс.</w:t>
      </w:r>
    </w:p>
    <w:p w14:paraId="3767D9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июля - первых числах августа 1930 года в Советском Торгпредстве в Берлине были подписаны индивидуальные двухгодичные контракты с Трестом точной механики.</w:t>
      </w:r>
    </w:p>
    <w:p w14:paraId="260CC1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Предполагалось, что немецкие рабочие заменят американцев. Немцы были отличными работниками - профессиональны, честны, трудолюбивы. При этом-соглашались работать за более низкую плату, чем американцы. Да и немецкий язык был более распространен в русских технических кругах, что упрощало общение на работе, а также сокращало затраты администрации на переводчиков. </w:t>
      </w:r>
    </w:p>
    <w:p w14:paraId="526641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Условия для немецких специалистов были чрезвычайно привлекательны и риска никакого не представляли. Да и выбор был чрезвычайно прост - получить постоянную работу хотя бы на 2 года, не мучиться больше вопросом - чем кормить семью или продолжать нестабильное существование, подрабатывая то там, то тут.</w:t>
      </w:r>
    </w:p>
    <w:p w14:paraId="37FDEE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Согласно договору, заработная плата выплачивалась в рублях и американских долларах(большая и меньшая часть соответственно). Валютную часть Трест обязывался ежемесячно переводить за границу семье рабочего.</w:t>
      </w:r>
    </w:p>
    <w:p w14:paraId="23B5BC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Работнику и его семье предоставлялась одна или две мебелированные комнаты в зависимости от количества членов семьи.</w:t>
      </w:r>
    </w:p>
    <w:p w14:paraId="0E0DE2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Трест брал на себя расходы за проезд от места жительства до Москвы 2-м классом(спальное место) и провоз 150 кг. багажа.</w:t>
      </w:r>
    </w:p>
    <w:p w14:paraId="45ADA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Иностранным специалистам и рабочим гарантировался ежегодный 4-х недельный отпуск с сохранением содержания.</w:t>
      </w:r>
    </w:p>
    <w:p w14:paraId="326C6D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истечению срока договора, Трест брал на себя обязательства по возмещению расходов на обратный проезд в Германию (11533).</w:t>
      </w:r>
    </w:p>
    <w:p w14:paraId="04A23958" w14:textId="77777777" w:rsidR="00537E5F" w:rsidRPr="00507A31" w:rsidRDefault="00537E5F" w:rsidP="00507A31">
      <w:pPr>
        <w:autoSpaceDE w:val="0"/>
        <w:autoSpaceDN w:val="0"/>
        <w:adjustRightInd w:val="0"/>
        <w:jc w:val="both"/>
        <w:rPr>
          <w:color w:val="000000" w:themeColor="text1"/>
          <w:sz w:val="16"/>
          <w:szCs w:val="16"/>
        </w:rPr>
      </w:pPr>
    </w:p>
    <w:p w14:paraId="5E7E8F9A" w14:textId="77777777" w:rsidR="00A95902" w:rsidRPr="00507A31" w:rsidRDefault="00A95902" w:rsidP="00507A31">
      <w:pPr>
        <w:jc w:val="both"/>
        <w:rPr>
          <w:color w:val="000000" w:themeColor="text1"/>
          <w:sz w:val="16"/>
          <w:szCs w:val="16"/>
          <w:u w:color="002060"/>
        </w:rPr>
      </w:pPr>
      <w:r w:rsidRPr="00507A31">
        <w:rPr>
          <w:color w:val="000000" w:themeColor="text1"/>
          <w:sz w:val="16"/>
          <w:szCs w:val="16"/>
          <w:u w:color="002060"/>
        </w:rPr>
        <w:t>15 сентября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8. 19. Заявление Смилги (ПБ от 6 сентября, пр. № 7, п. 20) (Смилга, Куйбышев) [о контрольных цифрах по военной промышленности]. 22. О выполнении постановления ПБ о Ленинградском судостроительном тресте (ПБ от 30 августа 1930 г., пр. № 6, п. 17/23) (Павлуновский). Решения ПБ от 10 сентября 1930 г. 17/19. О танкостроении (ПБ от 20 января 1930 г., пр. № 114, п. 4). 18/20. О мобилизациях промышленности (ПБ от 15 марта 1930 г., пр. № 120, п. 3). Опросом членов ПБ от 15 сентября 1930 г. 56/56. Предложение РЗ СТО [об ассигнованиях на заказы НКВМора]. — ОП. Постановили: принять предложение РЗ СТО об ассигновании на заказы Наркомвоенмора промышленности на 1930/31 г. (Политбюро... Т. 2. С. 76, 77, 79; РГАСПИ. Ф. 17. Оп. 162. Д. 9. Л. 32) (12416).</w:t>
      </w:r>
    </w:p>
    <w:p w14:paraId="3857EE59" w14:textId="77777777" w:rsidR="00A95902" w:rsidRPr="00507A31" w:rsidRDefault="00A95902" w:rsidP="00507A31">
      <w:pPr>
        <w:jc w:val="both"/>
        <w:rPr>
          <w:color w:val="000000" w:themeColor="text1"/>
          <w:sz w:val="16"/>
          <w:szCs w:val="16"/>
          <w:u w:color="002060"/>
        </w:rPr>
      </w:pPr>
    </w:p>
    <w:p w14:paraId="205F9949" w14:textId="77777777" w:rsidR="00A95902" w:rsidRPr="00507A31" w:rsidRDefault="00A95902" w:rsidP="00507A31">
      <w:pPr>
        <w:jc w:val="both"/>
        <w:rPr>
          <w:color w:val="000000" w:themeColor="text1"/>
          <w:sz w:val="16"/>
          <w:szCs w:val="16"/>
        </w:rPr>
      </w:pPr>
      <w:r w:rsidRPr="00507A31">
        <w:rPr>
          <w:rStyle w:val="a7"/>
          <w:b w:val="0"/>
          <w:color w:val="000000" w:themeColor="text1"/>
          <w:sz w:val="16"/>
          <w:szCs w:val="16"/>
        </w:rPr>
        <w:t xml:space="preserve">15 сентября 1930 </w:t>
      </w:r>
      <w:r w:rsidRPr="00507A31">
        <w:rPr>
          <w:color w:val="000000" w:themeColor="text1"/>
          <w:sz w:val="16"/>
          <w:szCs w:val="16"/>
        </w:rPr>
        <w:t>Политбюро ЦК ВКП (б) приняло решение по докладу НК РКИ о выполнении постановления Политбюро о Ленинградском судостроительном тресте (12265).</w:t>
      </w:r>
    </w:p>
    <w:p w14:paraId="0E884DE7" w14:textId="77777777" w:rsidR="00A95902" w:rsidRPr="00507A31" w:rsidRDefault="00A95902" w:rsidP="00507A31">
      <w:pPr>
        <w:jc w:val="both"/>
        <w:rPr>
          <w:color w:val="000000" w:themeColor="text1"/>
          <w:sz w:val="16"/>
          <w:szCs w:val="16"/>
        </w:rPr>
      </w:pPr>
      <w:r w:rsidRPr="00507A31">
        <w:rPr>
          <w:color w:val="000000" w:themeColor="text1"/>
          <w:sz w:val="16"/>
          <w:szCs w:val="16"/>
        </w:rPr>
        <w:t> </w:t>
      </w:r>
    </w:p>
    <w:p w14:paraId="1E215C3B" w14:textId="77777777" w:rsidR="00056C3E" w:rsidRPr="00507A31" w:rsidRDefault="00056C3E" w:rsidP="00507A31">
      <w:pPr>
        <w:jc w:val="both"/>
        <w:rPr>
          <w:color w:val="000000" w:themeColor="text1"/>
          <w:sz w:val="16"/>
          <w:szCs w:val="16"/>
        </w:rPr>
      </w:pPr>
      <w:r w:rsidRPr="00507A31">
        <w:rPr>
          <w:color w:val="000000" w:themeColor="text1"/>
          <w:sz w:val="16"/>
          <w:szCs w:val="16"/>
        </w:rPr>
        <w:t>15 сентября 1930</w:t>
      </w:r>
    </w:p>
    <w:p w14:paraId="00DBF796" w14:textId="77777777" w:rsidR="00056C3E" w:rsidRPr="00507A31" w:rsidRDefault="00056C3E" w:rsidP="00507A31">
      <w:pPr>
        <w:jc w:val="both"/>
        <w:rPr>
          <w:color w:val="000000" w:themeColor="text1"/>
          <w:sz w:val="16"/>
          <w:szCs w:val="16"/>
        </w:rPr>
      </w:pPr>
      <w:r w:rsidRPr="00507A31">
        <w:rPr>
          <w:color w:val="000000" w:themeColor="text1"/>
          <w:sz w:val="16"/>
          <w:szCs w:val="16"/>
        </w:rPr>
        <w:t>п. 22: О выполнении постановления ПБ о Ленинградском судостроительном тресте</w:t>
      </w:r>
    </w:p>
    <w:p w14:paraId="11B5F928" w14:textId="77777777" w:rsidR="00056C3E" w:rsidRPr="00507A31" w:rsidRDefault="00056C3E" w:rsidP="00507A31">
      <w:pPr>
        <w:jc w:val="both"/>
        <w:rPr>
          <w:color w:val="000000" w:themeColor="text1"/>
          <w:sz w:val="16"/>
          <w:szCs w:val="16"/>
        </w:rPr>
      </w:pPr>
      <w:r w:rsidRPr="00507A31">
        <w:rPr>
          <w:color w:val="000000" w:themeColor="text1"/>
          <w:sz w:val="16"/>
          <w:szCs w:val="16"/>
        </w:rPr>
        <w:t>(ПБ от 30.VIII.30 г., пр. № 6, п. 17/23).</w:t>
      </w:r>
    </w:p>
    <w:p w14:paraId="0D2427D6" w14:textId="77777777" w:rsidR="00056C3E" w:rsidRPr="00507A31" w:rsidRDefault="00056C3E" w:rsidP="00507A31">
      <w:pPr>
        <w:jc w:val="both"/>
        <w:rPr>
          <w:color w:val="000000" w:themeColor="text1"/>
          <w:sz w:val="16"/>
          <w:szCs w:val="16"/>
        </w:rPr>
      </w:pPr>
      <w:r w:rsidRPr="00507A31">
        <w:rPr>
          <w:color w:val="000000" w:themeColor="text1"/>
          <w:sz w:val="16"/>
          <w:szCs w:val="16"/>
        </w:rPr>
        <w:t>(Павлуновский).</w:t>
      </w:r>
    </w:p>
    <w:p w14:paraId="3F18F37A" w14:textId="77777777" w:rsidR="00056C3E" w:rsidRPr="00507A31" w:rsidRDefault="00056C3E" w:rsidP="00507A31">
      <w:pPr>
        <w:jc w:val="both"/>
        <w:rPr>
          <w:color w:val="000000" w:themeColor="text1"/>
          <w:sz w:val="16"/>
          <w:szCs w:val="16"/>
        </w:rPr>
      </w:pPr>
      <w:r w:rsidRPr="00507A31">
        <w:rPr>
          <w:color w:val="000000" w:themeColor="text1"/>
          <w:sz w:val="16"/>
          <w:szCs w:val="16"/>
        </w:rPr>
        <w:t>а) Утвердить предложения НК РКИ (см. </w:t>
      </w:r>
      <w:hyperlink r:id="rId150" w:history="1">
        <w:r w:rsidRPr="00507A31">
          <w:rPr>
            <w:rStyle w:val="a5"/>
            <w:color w:val="000000" w:themeColor="text1"/>
            <w:sz w:val="16"/>
            <w:szCs w:val="16"/>
          </w:rPr>
          <w:t>приложение № 3</w:t>
        </w:r>
      </w:hyperlink>
      <w:r w:rsidRPr="00507A31">
        <w:rPr>
          <w:color w:val="000000" w:themeColor="text1"/>
          <w:sz w:val="16"/>
          <w:szCs w:val="16"/>
        </w:rPr>
        <w:t>).</w:t>
      </w:r>
    </w:p>
    <w:p w14:paraId="3B417064" w14:textId="77777777" w:rsidR="00056C3E" w:rsidRPr="00507A31" w:rsidRDefault="00056C3E" w:rsidP="00507A31">
      <w:pPr>
        <w:jc w:val="both"/>
        <w:rPr>
          <w:color w:val="000000" w:themeColor="text1"/>
          <w:sz w:val="16"/>
          <w:szCs w:val="16"/>
        </w:rPr>
      </w:pPr>
      <w:r w:rsidRPr="00507A31">
        <w:rPr>
          <w:color w:val="000000" w:themeColor="text1"/>
          <w:sz w:val="16"/>
          <w:szCs w:val="16"/>
        </w:rPr>
        <w:t>б) Назначить т. Кондратьева И, зам. директора Ленинградского судостроительного треста с тем, чтобы он немедленно приступил к работе в тресте.</w:t>
      </w:r>
    </w:p>
    <w:p w14:paraId="58817F0C" w14:textId="77777777" w:rsidR="00056C3E" w:rsidRPr="00507A31" w:rsidRDefault="00056C3E" w:rsidP="00507A31">
      <w:pPr>
        <w:jc w:val="both"/>
        <w:rPr>
          <w:color w:val="000000" w:themeColor="text1"/>
          <w:sz w:val="16"/>
          <w:szCs w:val="16"/>
        </w:rPr>
      </w:pPr>
      <w:r w:rsidRPr="00507A31">
        <w:rPr>
          <w:color w:val="000000" w:themeColor="text1"/>
          <w:sz w:val="16"/>
          <w:szCs w:val="16"/>
        </w:rPr>
        <w:t>Приложение № 3</w:t>
      </w:r>
    </w:p>
    <w:p w14:paraId="7AF3DD93" w14:textId="77777777" w:rsidR="00056C3E" w:rsidRPr="00507A31" w:rsidRDefault="00056C3E" w:rsidP="00507A31">
      <w:pPr>
        <w:jc w:val="both"/>
        <w:rPr>
          <w:color w:val="000000" w:themeColor="text1"/>
          <w:sz w:val="16"/>
          <w:szCs w:val="16"/>
        </w:rPr>
      </w:pPr>
      <w:r w:rsidRPr="00507A31">
        <w:rPr>
          <w:color w:val="000000" w:themeColor="text1"/>
          <w:sz w:val="16"/>
          <w:szCs w:val="16"/>
        </w:rPr>
        <w:t>к п. 22 пр. ПБ № 8.</w:t>
      </w:r>
    </w:p>
    <w:p w14:paraId="78885805" w14:textId="77777777" w:rsidR="00056C3E" w:rsidRPr="00507A31" w:rsidRDefault="00056C3E" w:rsidP="00507A31">
      <w:pPr>
        <w:jc w:val="both"/>
        <w:rPr>
          <w:color w:val="000000" w:themeColor="text1"/>
          <w:sz w:val="16"/>
          <w:szCs w:val="16"/>
        </w:rPr>
      </w:pPr>
      <w:r w:rsidRPr="00507A31">
        <w:rPr>
          <w:color w:val="000000" w:themeColor="text1"/>
          <w:sz w:val="16"/>
          <w:szCs w:val="16"/>
        </w:rPr>
        <w:t>О выполнении постановления ПБ о Ленинградском судостроительном тресте.</w:t>
      </w:r>
    </w:p>
    <w:p w14:paraId="21A5AF54" w14:textId="77777777" w:rsidR="00056C3E" w:rsidRPr="00507A31" w:rsidRDefault="00056C3E" w:rsidP="00507A31">
      <w:pPr>
        <w:jc w:val="both"/>
        <w:rPr>
          <w:color w:val="000000" w:themeColor="text1"/>
          <w:sz w:val="16"/>
          <w:szCs w:val="16"/>
        </w:rPr>
      </w:pPr>
      <w:r w:rsidRPr="00507A31">
        <w:rPr>
          <w:color w:val="000000" w:themeColor="text1"/>
          <w:sz w:val="16"/>
          <w:szCs w:val="16"/>
        </w:rPr>
        <w:t>(Утверждено Политбюро ЦК ВКП(б) 15.IX.30 г.)</w:t>
      </w:r>
    </w:p>
    <w:p w14:paraId="6C43F890" w14:textId="77777777" w:rsidR="00056C3E" w:rsidRPr="00507A31" w:rsidRDefault="00056C3E" w:rsidP="00507A31">
      <w:pPr>
        <w:jc w:val="both"/>
        <w:rPr>
          <w:color w:val="000000" w:themeColor="text1"/>
          <w:sz w:val="16"/>
          <w:szCs w:val="16"/>
        </w:rPr>
      </w:pPr>
      <w:r w:rsidRPr="00507A31">
        <w:rPr>
          <w:color w:val="000000" w:themeColor="text1"/>
          <w:sz w:val="16"/>
          <w:szCs w:val="16"/>
        </w:rPr>
        <w:t>Отмечая некоторое достижения ленинградских судостроительных заводов в части сокращения сроков постройки корпусов судов и проявления инициативы самих заводов в отношении проработки вопроса о максимальном использовании имеющихся стапелей и оборудования заводов, ПБ ЦК ВКП(б), наряду с этим, констатирует медленный темп выполнения, а также и факты невыполнения постановлений ПБ и СТО от 25.VII.29 г., 2.VIII.29 г. и 16.VII.30 г. со стороны ВСНХ СССР, правления Союзверфи, ленинградских судостроительных заводов, Легипромеза и Судопроекта.</w:t>
      </w:r>
    </w:p>
    <w:p w14:paraId="06A39E5B" w14:textId="77777777" w:rsidR="00056C3E" w:rsidRPr="00507A31" w:rsidRDefault="00056C3E" w:rsidP="00507A31">
      <w:pPr>
        <w:jc w:val="both"/>
        <w:rPr>
          <w:color w:val="000000" w:themeColor="text1"/>
          <w:sz w:val="16"/>
          <w:szCs w:val="16"/>
        </w:rPr>
      </w:pPr>
      <w:r w:rsidRPr="00507A31">
        <w:rPr>
          <w:color w:val="000000" w:themeColor="text1"/>
          <w:sz w:val="16"/>
          <w:szCs w:val="16"/>
        </w:rPr>
        <w:t>Считая систематическое нарушение постановлений ПБ и СТО совершенно недопустимым явлением, дезорганизующим судостроительную промышленность СССР и ставящим под угрозу выполнение утвержденного правительством, пятилетнего плана коммерческого судостроения, — ПБ ЦК ВКП(б) постановляет:</w:t>
      </w:r>
    </w:p>
    <w:p w14:paraId="4DFECE38" w14:textId="77777777" w:rsidR="00056C3E" w:rsidRPr="00507A31" w:rsidRDefault="00056C3E" w:rsidP="00507A31">
      <w:pPr>
        <w:jc w:val="both"/>
        <w:rPr>
          <w:color w:val="000000" w:themeColor="text1"/>
          <w:sz w:val="16"/>
          <w:szCs w:val="16"/>
        </w:rPr>
      </w:pPr>
      <w:r w:rsidRPr="00507A31">
        <w:rPr>
          <w:color w:val="000000" w:themeColor="text1"/>
          <w:sz w:val="16"/>
          <w:szCs w:val="16"/>
        </w:rPr>
        <w:t>1) обратить внимание ВСНХ СССР на невыполнение постановлений ПБ и СТО и предложить срочно их выполнить,</w:t>
      </w:r>
    </w:p>
    <w:p w14:paraId="433A06EC" w14:textId="77777777" w:rsidR="00056C3E" w:rsidRPr="00507A31" w:rsidRDefault="00056C3E" w:rsidP="00507A31">
      <w:pPr>
        <w:jc w:val="both"/>
        <w:rPr>
          <w:color w:val="000000" w:themeColor="text1"/>
          <w:sz w:val="16"/>
          <w:szCs w:val="16"/>
        </w:rPr>
      </w:pPr>
      <w:r w:rsidRPr="00507A31">
        <w:rPr>
          <w:color w:val="000000" w:themeColor="text1"/>
          <w:sz w:val="16"/>
          <w:szCs w:val="16"/>
        </w:rPr>
        <w:t>2) Предложить ВСНХ СССР объявить выговор правлению Союзверфи и Гипромеза за невыполнение к нарушение постановлений ПБ и СТО.</w:t>
      </w:r>
    </w:p>
    <w:p w14:paraId="242857A4" w14:textId="77777777" w:rsidR="00056C3E" w:rsidRPr="00507A31" w:rsidRDefault="00056C3E" w:rsidP="00507A31">
      <w:pPr>
        <w:jc w:val="both"/>
        <w:rPr>
          <w:color w:val="000000" w:themeColor="text1"/>
          <w:sz w:val="16"/>
          <w:szCs w:val="16"/>
        </w:rPr>
      </w:pPr>
      <w:r w:rsidRPr="00507A31">
        <w:rPr>
          <w:color w:val="000000" w:themeColor="text1"/>
          <w:sz w:val="16"/>
          <w:szCs w:val="16"/>
        </w:rPr>
        <w:t>3) Обязать ВСНХ СССР в месячный срок пересмотреть, совместно с Ленинградским Облкомом ВКП(б), руководящий персонал Союзверфи и Гипромеза, на предмет обновления и усиления их состава.</w:t>
      </w:r>
    </w:p>
    <w:p w14:paraId="3AB6E221" w14:textId="77777777" w:rsidR="00056C3E" w:rsidRPr="00507A31" w:rsidRDefault="00056C3E" w:rsidP="00507A31">
      <w:pPr>
        <w:jc w:val="both"/>
        <w:rPr>
          <w:color w:val="000000" w:themeColor="text1"/>
          <w:sz w:val="16"/>
          <w:szCs w:val="16"/>
        </w:rPr>
      </w:pPr>
      <w:r w:rsidRPr="00507A31">
        <w:rPr>
          <w:color w:val="000000" w:themeColor="text1"/>
          <w:sz w:val="16"/>
          <w:szCs w:val="16"/>
        </w:rPr>
        <w:t>4) Отмечая, что основной ущерб, нанесенный делу реконструкции заводов, был вызван заведующим отделом реконструкции Союзверфи и считая подобное явление нетерпимым, предложить ОГПУ выяснить дело в отношении инженеров Делпиша и Боброва.</w:t>
      </w:r>
    </w:p>
    <w:p w14:paraId="150DE4A2" w14:textId="77777777" w:rsidR="00056C3E" w:rsidRPr="00507A31" w:rsidRDefault="00056C3E" w:rsidP="00507A31">
      <w:pPr>
        <w:jc w:val="both"/>
        <w:rPr>
          <w:color w:val="000000" w:themeColor="text1"/>
          <w:sz w:val="16"/>
          <w:szCs w:val="16"/>
        </w:rPr>
      </w:pPr>
      <w:r w:rsidRPr="00507A31">
        <w:rPr>
          <w:color w:val="000000" w:themeColor="text1"/>
          <w:sz w:val="16"/>
          <w:szCs w:val="16"/>
        </w:rPr>
        <w:t>5) ВСНХ СССР немедленно закрепить за судостроительной промышленностью необходимое количество металлургических и прокатных заводов и обеспечить Союзверфь комплектным снабжением металлом в сроки, необходимые для выполнения пятилетней программы судостроения.</w:t>
      </w:r>
    </w:p>
    <w:p w14:paraId="5108C9C2" w14:textId="77777777" w:rsidR="00056C3E" w:rsidRPr="00507A31" w:rsidRDefault="00056C3E" w:rsidP="00507A31">
      <w:pPr>
        <w:jc w:val="both"/>
        <w:rPr>
          <w:color w:val="000000" w:themeColor="text1"/>
          <w:sz w:val="16"/>
          <w:szCs w:val="16"/>
        </w:rPr>
      </w:pPr>
      <w:r w:rsidRPr="00507A31">
        <w:rPr>
          <w:color w:val="000000" w:themeColor="text1"/>
          <w:sz w:val="16"/>
          <w:szCs w:val="16"/>
        </w:rPr>
        <w:t>6) Обязать правление Союзверфи провести в жизнь утвержденную СТО специализацию ленинградских судостроительных заводов в полном объеме не позже конца 1930/31 года.</w:t>
      </w:r>
    </w:p>
    <w:p w14:paraId="5930E613" w14:textId="77777777" w:rsidR="00056C3E" w:rsidRPr="00507A31" w:rsidRDefault="00056C3E" w:rsidP="00507A31">
      <w:pPr>
        <w:jc w:val="both"/>
        <w:rPr>
          <w:color w:val="000000" w:themeColor="text1"/>
          <w:sz w:val="16"/>
          <w:szCs w:val="16"/>
        </w:rPr>
      </w:pPr>
      <w:r w:rsidRPr="00507A31">
        <w:rPr>
          <w:color w:val="000000" w:themeColor="text1"/>
          <w:sz w:val="16"/>
          <w:szCs w:val="16"/>
        </w:rPr>
        <w:t>7) Обязать правление Союзверфи неукоснительно провести в жизнь п. 10 постановления СТО от 2.VIII.29 г. в отношении организации капитального ремонта торгового флота Балтморя на Ленинградском заводе им. А. Марти.</w:t>
      </w:r>
    </w:p>
    <w:p w14:paraId="43F7557F" w14:textId="77777777" w:rsidR="00056C3E" w:rsidRPr="00507A31" w:rsidRDefault="00056C3E" w:rsidP="00507A31">
      <w:pPr>
        <w:jc w:val="both"/>
        <w:rPr>
          <w:color w:val="000000" w:themeColor="text1"/>
          <w:sz w:val="16"/>
          <w:szCs w:val="16"/>
        </w:rPr>
      </w:pPr>
      <w:r w:rsidRPr="00507A31">
        <w:rPr>
          <w:color w:val="000000" w:themeColor="text1"/>
          <w:sz w:val="16"/>
          <w:szCs w:val="16"/>
        </w:rPr>
        <w:t>8) Предложить ВСНХ СССР, в связи с ростом судостроения, расширить контрагентскую базу, обслуживающую судостроительную промышленность, вместо наблюдаемого в данное время снижения этой базы.</w:t>
      </w:r>
    </w:p>
    <w:p w14:paraId="0297C6E0" w14:textId="77777777" w:rsidR="00056C3E" w:rsidRPr="00507A31" w:rsidRDefault="00056C3E" w:rsidP="00507A31">
      <w:pPr>
        <w:jc w:val="both"/>
        <w:rPr>
          <w:color w:val="000000" w:themeColor="text1"/>
          <w:sz w:val="16"/>
          <w:szCs w:val="16"/>
        </w:rPr>
      </w:pPr>
      <w:r w:rsidRPr="00507A31">
        <w:rPr>
          <w:color w:val="000000" w:themeColor="text1"/>
          <w:sz w:val="16"/>
          <w:szCs w:val="16"/>
        </w:rPr>
        <w:t>9) Потребовать, чтобы Машинообъединение и Союзверфь в 10</w:t>
      </w:r>
      <w:r w:rsidRPr="00507A31">
        <w:rPr>
          <w:color w:val="000000" w:themeColor="text1"/>
          <w:sz w:val="16"/>
          <w:szCs w:val="16"/>
        </w:rPr>
        <w:noBreakHyphen/>
        <w:t>дневный срок увязали сроки сдачи главных и вспомогательных дизелей и прочих механизмов с пятилетней программой судостроения и приняли действительные меры к уничтожению имеющих место ненормальных разрывов между готовностью корпусов судов, главных и вспомогательных механизмов и электрооборудования.</w:t>
      </w:r>
    </w:p>
    <w:p w14:paraId="13B53BC5" w14:textId="77777777" w:rsidR="00056C3E" w:rsidRPr="00507A31" w:rsidRDefault="00056C3E" w:rsidP="00507A31">
      <w:pPr>
        <w:jc w:val="both"/>
        <w:rPr>
          <w:color w:val="000000" w:themeColor="text1"/>
          <w:sz w:val="16"/>
          <w:szCs w:val="16"/>
        </w:rPr>
      </w:pPr>
      <w:r w:rsidRPr="00507A31">
        <w:rPr>
          <w:color w:val="000000" w:themeColor="text1"/>
          <w:sz w:val="16"/>
          <w:szCs w:val="16"/>
        </w:rPr>
        <w:t>10) Считать установленным, что производственные возможности ленинградских судостроительных заводов реально позволяют выполнить пятилетнюю программу морского коммерческого судостроения в 4 года.</w:t>
      </w:r>
    </w:p>
    <w:p w14:paraId="2AC2B77B" w14:textId="77777777" w:rsidR="00056C3E" w:rsidRPr="00507A31" w:rsidRDefault="00056C3E" w:rsidP="00507A31">
      <w:pPr>
        <w:jc w:val="both"/>
        <w:rPr>
          <w:color w:val="000000" w:themeColor="text1"/>
          <w:sz w:val="16"/>
          <w:szCs w:val="16"/>
        </w:rPr>
      </w:pPr>
      <w:r w:rsidRPr="00507A31">
        <w:rPr>
          <w:color w:val="000000" w:themeColor="text1"/>
          <w:sz w:val="16"/>
          <w:szCs w:val="16"/>
        </w:rPr>
        <w:t>В связи с этим, предложить правлению Союзверфи в двухнедельный срок пересмотреть, при участии НК РКИ СССР, стапельную программу ленинградских судостроительных заводов на предмет дополнительной загрузки заводов постройкой морских судов в текущее пятилетие.</w:t>
      </w:r>
    </w:p>
    <w:p w14:paraId="0B05BC09" w14:textId="77777777" w:rsidR="00056C3E" w:rsidRPr="00507A31" w:rsidRDefault="00056C3E" w:rsidP="00507A31">
      <w:pPr>
        <w:jc w:val="both"/>
        <w:rPr>
          <w:color w:val="000000" w:themeColor="text1"/>
          <w:sz w:val="16"/>
          <w:szCs w:val="16"/>
        </w:rPr>
      </w:pPr>
      <w:r w:rsidRPr="00507A31">
        <w:rPr>
          <w:color w:val="000000" w:themeColor="text1"/>
          <w:sz w:val="16"/>
          <w:szCs w:val="16"/>
        </w:rPr>
        <w:lastRenderedPageBreak/>
        <w:t>11) Предложить Машинообъединению привлечь завод им. Ленина (б. Невский) к изготовлению судовых вспомогательных механизмов в объеме потребностей ленинградских судостроительных заводов.</w:t>
      </w:r>
    </w:p>
    <w:p w14:paraId="760B4A48" w14:textId="77777777" w:rsidR="00056C3E" w:rsidRPr="00507A31" w:rsidRDefault="00056C3E" w:rsidP="00507A31">
      <w:pPr>
        <w:jc w:val="both"/>
        <w:rPr>
          <w:color w:val="000000" w:themeColor="text1"/>
          <w:sz w:val="16"/>
          <w:szCs w:val="16"/>
        </w:rPr>
      </w:pPr>
      <w:r w:rsidRPr="00507A31">
        <w:rPr>
          <w:color w:val="000000" w:themeColor="text1"/>
          <w:sz w:val="16"/>
          <w:szCs w:val="16"/>
        </w:rPr>
        <w:t>12) Указать ВСНХ СССР на недопустимость форсирования цистерностроения на судостроительных заводах в ущерб интересам судостроения, что имеет .место на никгосзаводах, вопреки постановлению СТО.</w:t>
      </w:r>
    </w:p>
    <w:p w14:paraId="2A2DA205" w14:textId="77777777" w:rsidR="00056C3E" w:rsidRPr="00507A31" w:rsidRDefault="00056C3E" w:rsidP="00507A31">
      <w:pPr>
        <w:jc w:val="both"/>
        <w:rPr>
          <w:color w:val="000000" w:themeColor="text1"/>
          <w:sz w:val="16"/>
          <w:szCs w:val="16"/>
        </w:rPr>
      </w:pPr>
      <w:r w:rsidRPr="00507A31">
        <w:rPr>
          <w:color w:val="000000" w:themeColor="text1"/>
          <w:sz w:val="16"/>
          <w:szCs w:val="16"/>
        </w:rPr>
        <w:t>13) Предложить ВСНХ СССР принять меры к спуску в текущем календарном году 4</w:t>
      </w:r>
      <w:r w:rsidRPr="00507A31">
        <w:rPr>
          <w:color w:val="000000" w:themeColor="text1"/>
          <w:sz w:val="16"/>
          <w:szCs w:val="16"/>
        </w:rPr>
        <w:noBreakHyphen/>
        <w:t>х сухогрузных судов, находящихся в постройке на стапелях завода Руссуд в Николаеве, так как в случае оставления этих судов на стапелях до весны 1931 года, у завода не будет свободных стапелей для закладки новых судов и он вынужден будет осенью текущего года приступить к сокращению рабсилы.</w:t>
      </w:r>
    </w:p>
    <w:p w14:paraId="33AD6904" w14:textId="77777777" w:rsidR="00056C3E" w:rsidRPr="00507A31" w:rsidRDefault="00056C3E" w:rsidP="00507A31">
      <w:pPr>
        <w:jc w:val="both"/>
        <w:rPr>
          <w:color w:val="000000" w:themeColor="text1"/>
          <w:sz w:val="16"/>
          <w:szCs w:val="16"/>
        </w:rPr>
      </w:pPr>
      <w:r w:rsidRPr="00507A31">
        <w:rPr>
          <w:color w:val="000000" w:themeColor="text1"/>
          <w:sz w:val="16"/>
          <w:szCs w:val="16"/>
        </w:rPr>
        <w:t>14) Ввиду выявившейся в настоящее время полной технической невозможности выполнить решение ПБ от 16.VII.30 г. о сдаче в декабре 1930 г. Союзрыбе ленинградскими верфями 14 траулеров, предложить ВСНХ СССР срочно уточнить количество траулеров, могущих быть построенными к декабрю 1930 г., принять срочные меры к оказанию полного содействия Союзверфи к выпуску реального количества траулеров к заданному ПБ сроку и о практических результатах доложить ПБ.</w:t>
      </w:r>
    </w:p>
    <w:p w14:paraId="1EA29812" w14:textId="77777777" w:rsidR="00056C3E" w:rsidRPr="00507A31" w:rsidRDefault="00056C3E" w:rsidP="00507A31">
      <w:pPr>
        <w:jc w:val="both"/>
        <w:rPr>
          <w:color w:val="000000" w:themeColor="text1"/>
          <w:sz w:val="16"/>
          <w:szCs w:val="16"/>
        </w:rPr>
      </w:pPr>
      <w:r w:rsidRPr="00507A31">
        <w:rPr>
          <w:color w:val="000000" w:themeColor="text1"/>
          <w:sz w:val="16"/>
          <w:szCs w:val="16"/>
        </w:rPr>
        <w:t>15) Обязать ВСНХ СССР и Союзверфь принять решительные меры к исполнению всех прочих пунктов постановлений ПБ и СТО от 5.VII и 2.VIII.29 г. в установленные сроки.</w:t>
      </w:r>
    </w:p>
    <w:p w14:paraId="5EB0A74E" w14:textId="77777777" w:rsidR="00056C3E" w:rsidRPr="00507A31" w:rsidRDefault="00056C3E" w:rsidP="00507A31">
      <w:pPr>
        <w:jc w:val="both"/>
        <w:rPr>
          <w:color w:val="000000" w:themeColor="text1"/>
          <w:sz w:val="16"/>
          <w:szCs w:val="16"/>
        </w:rPr>
      </w:pPr>
      <w:r w:rsidRPr="00507A31">
        <w:rPr>
          <w:color w:val="000000" w:themeColor="text1"/>
          <w:sz w:val="16"/>
          <w:szCs w:val="16"/>
        </w:rPr>
        <w:t>16) За своевременным выполнением постановлений Политбюро к СТО поручить систематическое наблюдение группе по рационализации промышленности при НК РКИ СССР (18333).</w:t>
      </w:r>
    </w:p>
    <w:p w14:paraId="3A0F4117" w14:textId="77777777" w:rsidR="00056C3E" w:rsidRPr="00507A31" w:rsidRDefault="00056C3E" w:rsidP="00507A31">
      <w:pPr>
        <w:jc w:val="both"/>
        <w:rPr>
          <w:color w:val="000000" w:themeColor="text1"/>
          <w:sz w:val="16"/>
          <w:szCs w:val="16"/>
        </w:rPr>
      </w:pPr>
    </w:p>
    <w:p w14:paraId="7640DC74" w14:textId="77777777" w:rsidR="0077708B" w:rsidRPr="00507A31" w:rsidRDefault="0077708B" w:rsidP="00507A31">
      <w:pPr>
        <w:jc w:val="both"/>
        <w:rPr>
          <w:rFonts w:eastAsia="TimesNewRoman"/>
          <w:color w:val="000000" w:themeColor="text1"/>
          <w:sz w:val="16"/>
          <w:szCs w:val="16"/>
        </w:rPr>
      </w:pPr>
      <w:r w:rsidRPr="00507A31">
        <w:rPr>
          <w:rFonts w:eastAsia="TimesNewRoman"/>
          <w:color w:val="000000" w:themeColor="text1"/>
          <w:sz w:val="16"/>
          <w:szCs w:val="16"/>
        </w:rPr>
        <w:t>15 сентября 1930 г. советские специалисты выехали в Италию и возвратились в СССР 29 декабря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31564AD3" w14:textId="77777777" w:rsidR="0077708B" w:rsidRPr="00507A31" w:rsidRDefault="0077708B" w:rsidP="00507A31">
      <w:pPr>
        <w:jc w:val="both"/>
        <w:rPr>
          <w:rFonts w:eastAsia="TimesNewRoman"/>
          <w:color w:val="000000" w:themeColor="text1"/>
          <w:sz w:val="16"/>
          <w:szCs w:val="16"/>
        </w:rPr>
      </w:pPr>
      <w:r w:rsidRPr="00507A31">
        <w:rPr>
          <w:rFonts w:eastAsia="TimesNewRoman"/>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w:t>
      </w:r>
    </w:p>
    <w:p w14:paraId="56813DB8" w14:textId="77777777" w:rsidR="0077708B" w:rsidRPr="00507A31" w:rsidRDefault="0077708B" w:rsidP="00507A31">
      <w:pPr>
        <w:jc w:val="both"/>
        <w:rPr>
          <w:rFonts w:eastAsia="TimesNewRoman"/>
          <w:color w:val="000000" w:themeColor="text1"/>
          <w:sz w:val="16"/>
          <w:szCs w:val="16"/>
        </w:rPr>
      </w:pPr>
      <w:r w:rsidRPr="00507A31">
        <w:rPr>
          <w:rFonts w:eastAsia="TimesNewRoman"/>
          <w:color w:val="000000" w:themeColor="text1"/>
          <w:sz w:val="16"/>
          <w:szCs w:val="16"/>
        </w:rPr>
        <w:t>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(12701).</w:t>
      </w:r>
    </w:p>
    <w:p w14:paraId="3729971B" w14:textId="77777777" w:rsidR="0077708B" w:rsidRPr="00507A31" w:rsidRDefault="0077708B" w:rsidP="00507A31">
      <w:pPr>
        <w:jc w:val="both"/>
        <w:rPr>
          <w:rFonts w:eastAsia="TimesNewRoman"/>
          <w:color w:val="000000" w:themeColor="text1"/>
          <w:sz w:val="16"/>
          <w:szCs w:val="16"/>
        </w:rPr>
      </w:pPr>
    </w:p>
    <w:p w14:paraId="5196C9CA" w14:textId="77777777" w:rsidR="00290E22" w:rsidRPr="00507A31" w:rsidRDefault="00290E22" w:rsidP="00507A31">
      <w:pPr>
        <w:jc w:val="both"/>
        <w:rPr>
          <w:color w:val="000000" w:themeColor="text1"/>
          <w:sz w:val="16"/>
          <w:szCs w:val="16"/>
        </w:rPr>
      </w:pPr>
      <w:r w:rsidRPr="00507A31">
        <w:rPr>
          <w:color w:val="000000" w:themeColor="text1"/>
          <w:sz w:val="16"/>
          <w:szCs w:val="16"/>
        </w:rPr>
        <w:t>15 сентября 1930 г. советские специалисты выехали в Италию и возвратились в СССР 29 декабря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20C82233" w14:textId="77777777" w:rsidR="00290E22" w:rsidRPr="00507A31" w:rsidRDefault="00290E22" w:rsidP="00507A31">
      <w:pPr>
        <w:jc w:val="both"/>
        <w:rPr>
          <w:color w:val="000000" w:themeColor="text1"/>
          <w:sz w:val="16"/>
          <w:szCs w:val="16"/>
        </w:rPr>
      </w:pPr>
      <w:r w:rsidRPr="00507A31">
        <w:rPr>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 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(18258).</w:t>
      </w:r>
    </w:p>
    <w:p w14:paraId="38D4D3DF" w14:textId="77777777" w:rsidR="00290E22" w:rsidRPr="00507A31" w:rsidRDefault="00290E22" w:rsidP="00507A31">
      <w:pPr>
        <w:jc w:val="both"/>
        <w:rPr>
          <w:color w:val="000000" w:themeColor="text1"/>
          <w:sz w:val="16"/>
          <w:szCs w:val="16"/>
        </w:rPr>
      </w:pPr>
    </w:p>
    <w:p w14:paraId="57D0E79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451033E" w14:textId="77777777" w:rsidR="00537E5F" w:rsidRPr="00507A31" w:rsidRDefault="00537E5F" w:rsidP="00507A31">
      <w:pPr>
        <w:autoSpaceDE w:val="0"/>
        <w:autoSpaceDN w:val="0"/>
        <w:adjustRightInd w:val="0"/>
        <w:jc w:val="both"/>
        <w:rPr>
          <w:iCs/>
          <w:color w:val="000000" w:themeColor="text1"/>
          <w:sz w:val="16"/>
          <w:szCs w:val="16"/>
        </w:rPr>
      </w:pPr>
    </w:p>
    <w:p w14:paraId="32F619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сентября 1930 Харбин. Дальневосточное совещание русских белоэмигрантских организаций выпустило обращение к населению Сибири и Дальнего Востока с призывом "к всеобщему восстанию против коммунистов" (10687).</w:t>
      </w:r>
    </w:p>
    <w:p w14:paraId="26344B4D" w14:textId="77777777" w:rsidR="00537E5F" w:rsidRPr="00507A31" w:rsidRDefault="00537E5F" w:rsidP="00507A31">
      <w:pPr>
        <w:autoSpaceDE w:val="0"/>
        <w:autoSpaceDN w:val="0"/>
        <w:adjustRightInd w:val="0"/>
        <w:jc w:val="both"/>
        <w:rPr>
          <w:color w:val="000000" w:themeColor="text1"/>
          <w:sz w:val="16"/>
          <w:szCs w:val="16"/>
        </w:rPr>
      </w:pPr>
    </w:p>
    <w:p w14:paraId="3F399DA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0618029" w14:textId="77777777" w:rsidR="00537E5F" w:rsidRPr="00507A31" w:rsidRDefault="00537E5F" w:rsidP="00507A31">
      <w:pPr>
        <w:autoSpaceDE w:val="0"/>
        <w:autoSpaceDN w:val="0"/>
        <w:adjustRightInd w:val="0"/>
        <w:jc w:val="both"/>
        <w:rPr>
          <w:iCs/>
          <w:color w:val="000000" w:themeColor="text1"/>
          <w:sz w:val="16"/>
          <w:szCs w:val="16"/>
        </w:rPr>
      </w:pPr>
    </w:p>
    <w:p w14:paraId="577E67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сентября 1930 в Испании была отменена цензура и пресса сразу же начала требовать установления республики (3481).</w:t>
      </w:r>
    </w:p>
    <w:p w14:paraId="275E4BAC" w14:textId="77777777" w:rsidR="00537E5F" w:rsidRPr="00507A31" w:rsidRDefault="00537E5F" w:rsidP="00507A31">
      <w:pPr>
        <w:autoSpaceDE w:val="0"/>
        <w:autoSpaceDN w:val="0"/>
        <w:adjustRightInd w:val="0"/>
        <w:jc w:val="both"/>
        <w:rPr>
          <w:color w:val="000000" w:themeColor="text1"/>
          <w:sz w:val="16"/>
          <w:szCs w:val="16"/>
        </w:rPr>
      </w:pPr>
    </w:p>
    <w:p w14:paraId="6789DE0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 сентября 1930 Гитлеру отказано в праве стать депутатом рейхстага в виду того, что он является гражданином Австрии (4962).</w:t>
      </w:r>
    </w:p>
    <w:p w14:paraId="2F18670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63523E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 сентября 1930 проведен первый международный матч по бриджу (4962).</w:t>
      </w:r>
    </w:p>
    <w:p w14:paraId="4FAF1CC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BEFB93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6A03770" w14:textId="77777777" w:rsidR="00537E5F" w:rsidRPr="00507A31" w:rsidRDefault="00537E5F" w:rsidP="00507A31">
      <w:pPr>
        <w:autoSpaceDE w:val="0"/>
        <w:autoSpaceDN w:val="0"/>
        <w:adjustRightInd w:val="0"/>
        <w:jc w:val="both"/>
        <w:rPr>
          <w:iCs/>
          <w:color w:val="000000" w:themeColor="text1"/>
          <w:sz w:val="16"/>
          <w:szCs w:val="16"/>
        </w:rPr>
      </w:pPr>
    </w:p>
    <w:p w14:paraId="4B7B84B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16 сентября 1930 года во время испытаний на аэродроме произошла авария геликоптера 1-ВГ (6925, 62-69).</w:t>
      </w:r>
    </w:p>
    <w:p w14:paraId="5C9FA08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2DDFD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сентября 1930 головной серийный АНТ-9, совершивший один полет, передали с 22 завода в НИИ ВВС (522,5). Всего на 22, 31 и 89 сделали 75 (1852,49).</w:t>
      </w:r>
    </w:p>
    <w:p w14:paraId="4942141F" w14:textId="77777777" w:rsidR="00537E5F" w:rsidRPr="00507A31" w:rsidRDefault="00537E5F" w:rsidP="00507A31">
      <w:pPr>
        <w:autoSpaceDE w:val="0"/>
        <w:autoSpaceDN w:val="0"/>
        <w:adjustRightInd w:val="0"/>
        <w:jc w:val="both"/>
        <w:rPr>
          <w:color w:val="000000" w:themeColor="text1"/>
          <w:sz w:val="16"/>
          <w:szCs w:val="16"/>
        </w:rPr>
      </w:pPr>
    </w:p>
    <w:p w14:paraId="070AC3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C 16 по 25 сентября 1930 г. проходило испытание головного серийного самолета АНТ-9 на устойчивость, управляемость, взлет, посадку и эффективность органов управления.</w:t>
      </w:r>
    </w:p>
    <w:p w14:paraId="43084C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Продолжительность 9 дней</w:t>
      </w:r>
    </w:p>
    <w:p w14:paraId="307811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Совершено полетов - 10</w:t>
      </w:r>
    </w:p>
    <w:p w14:paraId="09387D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Налетано - 7 час. 10 мин.</w:t>
      </w:r>
    </w:p>
    <w:p w14:paraId="572576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534449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устранения недостаточной эффективности рулей и недостатков эксплуатационного порядка в серию пущен быть не может (3250,4-18).</w:t>
      </w:r>
    </w:p>
    <w:p w14:paraId="7DB6B753" w14:textId="77777777" w:rsidR="00537E5F" w:rsidRPr="00507A31" w:rsidRDefault="00537E5F" w:rsidP="00507A31">
      <w:pPr>
        <w:autoSpaceDE w:val="0"/>
        <w:autoSpaceDN w:val="0"/>
        <w:adjustRightInd w:val="0"/>
        <w:jc w:val="both"/>
        <w:rPr>
          <w:color w:val="000000" w:themeColor="text1"/>
          <w:sz w:val="16"/>
          <w:szCs w:val="16"/>
        </w:rPr>
      </w:pPr>
    </w:p>
    <w:p w14:paraId="65A3F5C5" w14:textId="77777777" w:rsidR="00A95902" w:rsidRPr="00507A31" w:rsidRDefault="00A95902" w:rsidP="00507A31">
      <w:pPr>
        <w:autoSpaceDE w:val="0"/>
        <w:autoSpaceDN w:val="0"/>
        <w:adjustRightInd w:val="0"/>
        <w:jc w:val="both"/>
        <w:rPr>
          <w:i/>
          <w:iCs/>
          <w:color w:val="000000" w:themeColor="text1"/>
          <w:sz w:val="16"/>
          <w:szCs w:val="16"/>
        </w:rPr>
      </w:pPr>
      <w:r w:rsidRPr="00507A31">
        <w:rPr>
          <w:i/>
          <w:iCs/>
          <w:color w:val="000000" w:themeColor="text1"/>
          <w:sz w:val="16"/>
          <w:szCs w:val="16"/>
        </w:rPr>
        <w:t>Жизнь и внутре</w:t>
      </w:r>
      <w:r w:rsidR="001605A6" w:rsidRPr="00507A31">
        <w:rPr>
          <w:i/>
          <w:iCs/>
          <w:color w:val="000000" w:themeColor="text1"/>
          <w:sz w:val="16"/>
          <w:szCs w:val="16"/>
        </w:rPr>
        <w:t>н</w:t>
      </w:r>
      <w:r w:rsidRPr="00507A31">
        <w:rPr>
          <w:i/>
          <w:iCs/>
          <w:color w:val="000000" w:themeColor="text1"/>
          <w:sz w:val="16"/>
          <w:szCs w:val="16"/>
        </w:rPr>
        <w:t>няя политика:</w:t>
      </w:r>
    </w:p>
    <w:p w14:paraId="5E1861E7" w14:textId="77777777" w:rsidR="00A95902" w:rsidRPr="00507A31" w:rsidRDefault="00A95902" w:rsidP="00507A31">
      <w:pPr>
        <w:autoSpaceDE w:val="0"/>
        <w:autoSpaceDN w:val="0"/>
        <w:adjustRightInd w:val="0"/>
        <w:jc w:val="both"/>
        <w:rPr>
          <w:i/>
          <w:iCs/>
          <w:color w:val="000000" w:themeColor="text1"/>
          <w:sz w:val="16"/>
          <w:szCs w:val="16"/>
        </w:rPr>
      </w:pPr>
    </w:p>
    <w:p w14:paraId="6870C4DD" w14:textId="77777777" w:rsidR="00A95902" w:rsidRPr="00507A31" w:rsidRDefault="00A95902" w:rsidP="00507A31">
      <w:pPr>
        <w:jc w:val="both"/>
        <w:rPr>
          <w:color w:val="000000" w:themeColor="text1"/>
          <w:sz w:val="16"/>
          <w:szCs w:val="16"/>
        </w:rPr>
      </w:pPr>
      <w:r w:rsidRPr="00507A31">
        <w:rPr>
          <w:rStyle w:val="a7"/>
          <w:b w:val="0"/>
          <w:color w:val="000000" w:themeColor="text1"/>
          <w:sz w:val="16"/>
          <w:szCs w:val="16"/>
        </w:rPr>
        <w:t xml:space="preserve">16 сентября 1930 </w:t>
      </w:r>
      <w:r w:rsidRPr="00507A31">
        <w:rPr>
          <w:color w:val="000000" w:themeColor="text1"/>
          <w:sz w:val="16"/>
          <w:szCs w:val="16"/>
        </w:rPr>
        <w:t>Политбюро ЦК ВКП (б) одобрило решение комиссии об оздоровлении финансового положения, обратив внимание СНК на необходимость принятия решительных мер в отношении хозяйственных организаций, нарушающих финансовую дисциплину (12265).</w:t>
      </w:r>
    </w:p>
    <w:p w14:paraId="493D4C58" w14:textId="77777777" w:rsidR="00A95902" w:rsidRPr="00507A31" w:rsidRDefault="00A95902" w:rsidP="00507A31">
      <w:pPr>
        <w:jc w:val="both"/>
        <w:rPr>
          <w:color w:val="000000" w:themeColor="text1"/>
          <w:sz w:val="16"/>
          <w:szCs w:val="16"/>
        </w:rPr>
      </w:pPr>
      <w:r w:rsidRPr="00507A31">
        <w:rPr>
          <w:color w:val="000000" w:themeColor="text1"/>
          <w:sz w:val="16"/>
          <w:szCs w:val="16"/>
        </w:rPr>
        <w:t> </w:t>
      </w:r>
    </w:p>
    <w:p w14:paraId="4FA6A1B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695AEFC" w14:textId="77777777" w:rsidR="00537E5F" w:rsidRPr="00507A31" w:rsidRDefault="00537E5F" w:rsidP="00507A31">
      <w:pPr>
        <w:autoSpaceDE w:val="0"/>
        <w:autoSpaceDN w:val="0"/>
        <w:adjustRightInd w:val="0"/>
        <w:jc w:val="both"/>
        <w:rPr>
          <w:iCs/>
          <w:color w:val="000000" w:themeColor="text1"/>
          <w:sz w:val="16"/>
          <w:szCs w:val="16"/>
        </w:rPr>
      </w:pPr>
    </w:p>
    <w:p w14:paraId="7766CF6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16 сентября 1930 в Польше началась «пацификация» (насильственное утихомиривание) украинцев Галичины (4962).</w:t>
      </w:r>
    </w:p>
    <w:p w14:paraId="3E2FF57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0E9B07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023F9A9" w14:textId="77777777" w:rsidR="00537E5F" w:rsidRPr="00507A31" w:rsidRDefault="00537E5F" w:rsidP="00507A31">
      <w:pPr>
        <w:autoSpaceDE w:val="0"/>
        <w:autoSpaceDN w:val="0"/>
        <w:adjustRightInd w:val="0"/>
        <w:jc w:val="both"/>
        <w:rPr>
          <w:iCs/>
          <w:color w:val="000000" w:themeColor="text1"/>
          <w:sz w:val="16"/>
          <w:szCs w:val="16"/>
        </w:rPr>
      </w:pPr>
    </w:p>
    <w:p w14:paraId="6F2D8A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 сентября 1930 г. утвер</w:t>
      </w:r>
      <w:r w:rsidRPr="00507A31">
        <w:rPr>
          <w:color w:val="000000" w:themeColor="text1"/>
          <w:sz w:val="16"/>
          <w:szCs w:val="16"/>
        </w:rPr>
        <w:softHyphen/>
        <w:t>дили полноразмср-ный макет самолета Д-4 Лавиля (11134). ДИ-4</w:t>
      </w:r>
      <w:r w:rsidRPr="00507A31">
        <w:rPr>
          <w:iCs/>
          <w:color w:val="000000" w:themeColor="text1"/>
          <w:sz w:val="16"/>
          <w:szCs w:val="16"/>
        </w:rPr>
        <w:t xml:space="preserve"> был </w:t>
      </w:r>
      <w:r w:rsidRPr="00507A31">
        <w:rPr>
          <w:color w:val="000000" w:themeColor="text1"/>
          <w:sz w:val="16"/>
          <w:szCs w:val="16"/>
        </w:rPr>
        <w:t>выполнен по схеме иодкосно-го высокоплана, в котором подкосы опира</w:t>
      </w:r>
      <w:r w:rsidRPr="00507A31">
        <w:rPr>
          <w:color w:val="000000" w:themeColor="text1"/>
          <w:sz w:val="16"/>
          <w:szCs w:val="16"/>
        </w:rPr>
        <w:softHyphen/>
        <w:t>лись на элементы шасси. Такая схема полу</w:t>
      </w:r>
      <w:r w:rsidRPr="00507A31">
        <w:rPr>
          <w:color w:val="000000" w:themeColor="text1"/>
          <w:sz w:val="16"/>
          <w:szCs w:val="16"/>
        </w:rPr>
        <w:softHyphen/>
        <w:t>чила распространение именно во Франции во 2-й половине 1920-х годов. Конструкция - цельнометаллическая, в основном дюра</w:t>
      </w:r>
      <w:r w:rsidRPr="00507A31">
        <w:rPr>
          <w:color w:val="000000" w:themeColor="text1"/>
          <w:sz w:val="16"/>
          <w:szCs w:val="16"/>
        </w:rPr>
        <w:softHyphen/>
        <w:t>левая. Обшивка гладкая, тонкая, с редкими подкреплениями, что при недостатке опы</w:t>
      </w:r>
      <w:r w:rsidRPr="00507A31">
        <w:rPr>
          <w:color w:val="000000" w:themeColor="text1"/>
          <w:sz w:val="16"/>
          <w:szCs w:val="16"/>
        </w:rPr>
        <w:softHyphen/>
        <w:t>та изготовления приводило к появлению хлонунов и неровностей. Крыло спроекти</w:t>
      </w:r>
      <w:r w:rsidRPr="00507A31">
        <w:rPr>
          <w:color w:val="000000" w:themeColor="text1"/>
          <w:sz w:val="16"/>
          <w:szCs w:val="16"/>
        </w:rPr>
        <w:softHyphen/>
        <w:t>ровано в виде «чайки» для улучшения об</w:t>
      </w:r>
      <w:r w:rsidRPr="00507A31">
        <w:rPr>
          <w:color w:val="000000" w:themeColor="text1"/>
          <w:sz w:val="16"/>
          <w:szCs w:val="16"/>
        </w:rPr>
        <w:softHyphen/>
        <w:t>зора из кабины пилота; ребра нервюр сна</w:t>
      </w:r>
      <w:r w:rsidRPr="00507A31">
        <w:rPr>
          <w:color w:val="000000" w:themeColor="text1"/>
          <w:sz w:val="16"/>
          <w:szCs w:val="16"/>
        </w:rPr>
        <w:softHyphen/>
        <w:t>ружи. Топливо размещалось в двух фюзе</w:t>
      </w:r>
      <w:r w:rsidRPr="00507A31">
        <w:rPr>
          <w:color w:val="000000" w:themeColor="text1"/>
          <w:sz w:val="16"/>
          <w:szCs w:val="16"/>
        </w:rPr>
        <w:softHyphen/>
        <w:t>ляжных баках общей емкостью 230 кг. Во</w:t>
      </w:r>
      <w:r w:rsidRPr="00507A31">
        <w:rPr>
          <w:color w:val="000000" w:themeColor="text1"/>
          <w:sz w:val="16"/>
          <w:szCs w:val="16"/>
        </w:rPr>
        <w:softHyphen/>
        <w:t>оружение состояло из 4-х синхронных пу</w:t>
      </w:r>
      <w:r w:rsidRPr="00507A31">
        <w:rPr>
          <w:color w:val="000000" w:themeColor="text1"/>
          <w:sz w:val="16"/>
          <w:szCs w:val="16"/>
        </w:rPr>
        <w:softHyphen/>
        <w:t>леметов ПВ-1 и одного кормового пулеме</w:t>
      </w:r>
      <w:r w:rsidRPr="00507A31">
        <w:rPr>
          <w:color w:val="000000" w:themeColor="text1"/>
          <w:sz w:val="16"/>
          <w:szCs w:val="16"/>
        </w:rPr>
        <w:softHyphen/>
        <w:t>та ДА на шкворневой установке. В проти</w:t>
      </w:r>
      <w:r w:rsidRPr="00507A31">
        <w:rPr>
          <w:color w:val="000000" w:themeColor="text1"/>
          <w:sz w:val="16"/>
          <w:szCs w:val="16"/>
        </w:rPr>
        <w:softHyphen/>
        <w:t>воположность обычной практике изготов</w:t>
      </w:r>
      <w:r w:rsidRPr="00507A31">
        <w:rPr>
          <w:color w:val="000000" w:themeColor="text1"/>
          <w:sz w:val="16"/>
          <w:szCs w:val="16"/>
        </w:rPr>
        <w:softHyphen/>
        <w:t xml:space="preserve">ление </w:t>
      </w:r>
      <w:r w:rsidRPr="00507A31">
        <w:rPr>
          <w:iCs/>
          <w:color w:val="000000" w:themeColor="text1"/>
          <w:sz w:val="16"/>
          <w:szCs w:val="16"/>
        </w:rPr>
        <w:t xml:space="preserve">ДИ-4 </w:t>
      </w:r>
      <w:r w:rsidRPr="00507A31">
        <w:rPr>
          <w:color w:val="000000" w:themeColor="text1"/>
          <w:sz w:val="16"/>
          <w:szCs w:val="16"/>
        </w:rPr>
        <w:t>длилось достаточно долго: ска</w:t>
      </w:r>
      <w:r w:rsidRPr="00507A31">
        <w:rPr>
          <w:color w:val="000000" w:themeColor="text1"/>
          <w:sz w:val="16"/>
          <w:szCs w:val="16"/>
        </w:rPr>
        <w:softHyphen/>
        <w:t>зывалась новизна конструкции и необхо</w:t>
      </w:r>
      <w:r w:rsidRPr="00507A31">
        <w:rPr>
          <w:color w:val="000000" w:themeColor="text1"/>
          <w:sz w:val="16"/>
          <w:szCs w:val="16"/>
        </w:rPr>
        <w:softHyphen/>
        <w:t>димость освоения технологии гладких ме</w:t>
      </w:r>
      <w:r w:rsidRPr="00507A31">
        <w:rPr>
          <w:color w:val="000000" w:themeColor="text1"/>
          <w:sz w:val="16"/>
          <w:szCs w:val="16"/>
        </w:rPr>
        <w:softHyphen/>
        <w:t>таллических обшивок. В конце 1932 г. са</w:t>
      </w:r>
      <w:r w:rsidRPr="00507A31">
        <w:rPr>
          <w:color w:val="000000" w:themeColor="text1"/>
          <w:sz w:val="16"/>
          <w:szCs w:val="16"/>
        </w:rPr>
        <w:softHyphen/>
        <w:t>молет был построен, и в начале 1933 г. на</w:t>
      </w:r>
      <w:r w:rsidRPr="00507A31">
        <w:rPr>
          <w:color w:val="000000" w:themeColor="text1"/>
          <w:sz w:val="16"/>
          <w:szCs w:val="16"/>
        </w:rPr>
        <w:softHyphen/>
        <w:t>чались его испытания (11134).</w:t>
      </w:r>
    </w:p>
    <w:p w14:paraId="4134D1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2622C40" w14:textId="77777777" w:rsidR="00A95902" w:rsidRPr="00507A31" w:rsidRDefault="00A95902" w:rsidP="00507A31">
      <w:pPr>
        <w:jc w:val="both"/>
        <w:rPr>
          <w:color w:val="000000" w:themeColor="text1"/>
          <w:sz w:val="16"/>
          <w:szCs w:val="16"/>
        </w:rPr>
      </w:pPr>
      <w:r w:rsidRPr="00507A31">
        <w:rPr>
          <w:color w:val="000000" w:themeColor="text1"/>
          <w:sz w:val="16"/>
          <w:szCs w:val="16"/>
        </w:rPr>
        <w:lastRenderedPageBreak/>
        <w:t>17 сентя</w:t>
      </w:r>
      <w:r w:rsidRPr="00507A31">
        <w:rPr>
          <w:color w:val="000000" w:themeColor="text1"/>
          <w:sz w:val="16"/>
          <w:szCs w:val="16"/>
        </w:rPr>
        <w:softHyphen/>
        <w:t>бря 1930 г. полно</w:t>
      </w:r>
      <w:r w:rsidRPr="00507A31">
        <w:rPr>
          <w:color w:val="000000" w:themeColor="text1"/>
          <w:sz w:val="16"/>
          <w:szCs w:val="16"/>
        </w:rPr>
        <w:softHyphen/>
        <w:t>размерный макет самолета ДИ-4 двигателем Кертисс «Конкверор» мощностью 625/700 л.с. был рассмотрен и утвержден специальной комиссией</w:t>
      </w:r>
    </w:p>
    <w:p w14:paraId="2B484740" w14:textId="77777777" w:rsidR="00A95902" w:rsidRPr="00507A31" w:rsidRDefault="00DA1AA9" w:rsidP="00507A31">
      <w:pPr>
        <w:pStyle w:val="aff7"/>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Конструк</w:t>
      </w:r>
      <w:r w:rsidR="00A95902" w:rsidRPr="00507A31">
        <w:rPr>
          <w:rFonts w:ascii="Times New Roman" w:hAnsi="Times New Roman" w:cs="Times New Roman"/>
          <w:b w:val="0"/>
          <w:color w:val="000000" w:themeColor="text1"/>
          <w:sz w:val="16"/>
          <w:szCs w:val="16"/>
        </w:rPr>
        <w:t>ция цельнометаллическая, в основном дюра</w:t>
      </w:r>
      <w:r w:rsidR="00A95902" w:rsidRPr="00507A31">
        <w:rPr>
          <w:rFonts w:ascii="Times New Roman" w:hAnsi="Times New Roman" w:cs="Times New Roman"/>
          <w:b w:val="0"/>
          <w:color w:val="000000" w:themeColor="text1"/>
          <w:sz w:val="16"/>
          <w:szCs w:val="16"/>
        </w:rPr>
        <w:softHyphen/>
        <w:t>левая. Обшивка гладкая, тонкая, с редкими подкреплениями, что при недостатке опыта изготовления приводило к появлению хло- пунов и неровностей. Крыло в виде «чайки» для улучшения обзора из кабины пилота, ре</w:t>
      </w:r>
      <w:r w:rsidR="00A95902" w:rsidRPr="00507A31">
        <w:rPr>
          <w:rFonts w:ascii="Times New Roman" w:hAnsi="Times New Roman" w:cs="Times New Roman"/>
          <w:b w:val="0"/>
          <w:color w:val="000000" w:themeColor="text1"/>
          <w:sz w:val="16"/>
          <w:szCs w:val="16"/>
        </w:rPr>
        <w:softHyphen/>
        <w:t>бра нервюр снаружи. Топливо размешалось в двух фюзеляжных баках обшей емкостью 230 кг. Вооружение состояло из 4-х синхронных пулеметов П В-1 и одного кормового пулеме</w:t>
      </w:r>
      <w:r w:rsidR="00A95902" w:rsidRPr="00507A31">
        <w:rPr>
          <w:rFonts w:ascii="Times New Roman" w:hAnsi="Times New Roman" w:cs="Times New Roman"/>
          <w:b w:val="0"/>
          <w:color w:val="000000" w:themeColor="text1"/>
          <w:sz w:val="16"/>
          <w:szCs w:val="16"/>
        </w:rPr>
        <w:softHyphen/>
        <w:t>та ДА на шкворневой установке.</w:t>
      </w:r>
    </w:p>
    <w:p w14:paraId="0EE23E57" w14:textId="77777777" w:rsidR="00A95902" w:rsidRPr="00507A31" w:rsidRDefault="00A95902" w:rsidP="00507A31">
      <w:pPr>
        <w:jc w:val="both"/>
        <w:rPr>
          <w:color w:val="000000" w:themeColor="text1"/>
          <w:sz w:val="16"/>
          <w:szCs w:val="16"/>
        </w:rPr>
      </w:pPr>
      <w:r w:rsidRPr="00507A31">
        <w:rPr>
          <w:color w:val="000000" w:themeColor="text1"/>
          <w:sz w:val="16"/>
          <w:szCs w:val="16"/>
        </w:rPr>
        <w:t>И з гото вл е н и е Д И -4 п о с ра вн е н и ю с д ру г и ми опытными самолетами продолжалось до</w:t>
      </w:r>
      <w:r w:rsidRPr="00507A31">
        <w:rPr>
          <w:color w:val="000000" w:themeColor="text1"/>
          <w:sz w:val="16"/>
          <w:szCs w:val="16"/>
        </w:rPr>
        <w:softHyphen/>
        <w:t>статочно долго. Сказывалась новизна кон</w:t>
      </w:r>
      <w:r w:rsidRPr="00507A31">
        <w:rPr>
          <w:color w:val="000000" w:themeColor="text1"/>
          <w:sz w:val="16"/>
          <w:szCs w:val="16"/>
        </w:rPr>
        <w:softHyphen/>
        <w:t>струкции и необходимость освоения тех</w:t>
      </w:r>
      <w:r w:rsidRPr="00507A31">
        <w:rPr>
          <w:color w:val="000000" w:themeColor="text1"/>
          <w:sz w:val="16"/>
          <w:szCs w:val="16"/>
        </w:rPr>
        <w:softHyphen/>
        <w:t>нологии гладких металлических обшивок. В конце 1932 г. самолет был построен и в на</w:t>
      </w:r>
      <w:r w:rsidRPr="00507A31">
        <w:rPr>
          <w:color w:val="000000" w:themeColor="text1"/>
          <w:sz w:val="16"/>
          <w:szCs w:val="16"/>
        </w:rPr>
        <w:softHyphen/>
        <w:t>чале 1933 г. начались его полеты. После про</w:t>
      </w:r>
      <w:r w:rsidRPr="00507A31">
        <w:rPr>
          <w:color w:val="000000" w:themeColor="text1"/>
          <w:sz w:val="16"/>
          <w:szCs w:val="16"/>
        </w:rPr>
        <w:softHyphen/>
        <w:t>ведения заводских испытаний и ряда усовер</w:t>
      </w:r>
      <w:r w:rsidRPr="00507A31">
        <w:rPr>
          <w:color w:val="000000" w:themeColor="text1"/>
          <w:sz w:val="16"/>
          <w:szCs w:val="16"/>
        </w:rPr>
        <w:softHyphen/>
        <w:t>шенствований 5 мая машину доставили с за</w:t>
      </w:r>
      <w:r w:rsidRPr="00507A31">
        <w:rPr>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187E4C26" w14:textId="77777777" w:rsidR="00A95902" w:rsidRPr="00507A31" w:rsidRDefault="00A95902" w:rsidP="00507A31">
      <w:pPr>
        <w:jc w:val="both"/>
        <w:rPr>
          <w:color w:val="000000" w:themeColor="text1"/>
          <w:sz w:val="16"/>
          <w:szCs w:val="16"/>
        </w:rPr>
      </w:pPr>
      <w:r w:rsidRPr="00507A31">
        <w:rPr>
          <w:color w:val="000000" w:themeColor="text1"/>
          <w:sz w:val="16"/>
          <w:szCs w:val="16"/>
        </w:rPr>
        <w:t>Признавалось, что ДИ-4 выполнен по не</w:t>
      </w:r>
      <w:r w:rsidRPr="00507A31">
        <w:rPr>
          <w:color w:val="000000" w:themeColor="text1"/>
          <w:sz w:val="16"/>
          <w:szCs w:val="16"/>
        </w:rPr>
        <w:softHyphen/>
        <w:t>современной схеме, с подкосами, крепящи</w:t>
      </w:r>
      <w:r w:rsidRPr="00507A31">
        <w:rPr>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507A31">
        <w:rPr>
          <w:color w:val="000000" w:themeColor="text1"/>
          <w:sz w:val="16"/>
          <w:szCs w:val="16"/>
        </w:rPr>
        <w:softHyphen/>
        <w:t>не использованного толстого профиля. Лет</w:t>
      </w:r>
      <w:r w:rsidRPr="00507A31">
        <w:rPr>
          <w:color w:val="000000" w:themeColor="text1"/>
          <w:sz w:val="16"/>
          <w:szCs w:val="16"/>
        </w:rPr>
        <w:softHyphen/>
        <w:t>ные характеристики оценивались как невы</w:t>
      </w:r>
      <w:r w:rsidRPr="00507A31">
        <w:rPr>
          <w:color w:val="000000" w:themeColor="text1"/>
          <w:sz w:val="16"/>
          <w:szCs w:val="16"/>
        </w:rPr>
        <w:softHyphen/>
        <w:t>сокие. Впрочем, самолет с трудом входил в штопор, однако прекрасно из него выходил.</w:t>
      </w:r>
    </w:p>
    <w:p w14:paraId="403C1EA7" w14:textId="77777777" w:rsidR="00A95902" w:rsidRPr="00507A31" w:rsidRDefault="00A95902" w:rsidP="00507A31">
      <w:pPr>
        <w:jc w:val="both"/>
        <w:rPr>
          <w:color w:val="000000" w:themeColor="text1"/>
          <w:sz w:val="16"/>
          <w:szCs w:val="16"/>
        </w:rPr>
      </w:pPr>
      <w:r w:rsidRPr="00507A31">
        <w:rPr>
          <w:color w:val="000000" w:themeColor="text1"/>
          <w:sz w:val="16"/>
          <w:szCs w:val="16"/>
        </w:rPr>
        <w:t>В дальнейшем предлагалось вместо двига</w:t>
      </w:r>
      <w:r w:rsidRPr="00507A31">
        <w:rPr>
          <w:color w:val="000000" w:themeColor="text1"/>
          <w:sz w:val="16"/>
          <w:szCs w:val="16"/>
        </w:rPr>
        <w:softHyphen/>
        <w:t>теля Кертисс «Конкверор» использовать оте</w:t>
      </w:r>
      <w:r w:rsidRPr="00507A31">
        <w:rPr>
          <w:color w:val="000000" w:themeColor="text1"/>
          <w:sz w:val="16"/>
          <w:szCs w:val="16"/>
        </w:rPr>
        <w:softHyphen/>
        <w:t>чественный двигатель М-32. Однако пере</w:t>
      </w:r>
      <w:r w:rsidRPr="00507A31">
        <w:rPr>
          <w:color w:val="000000" w:themeColor="text1"/>
          <w:sz w:val="16"/>
          <w:szCs w:val="16"/>
        </w:rPr>
        <w:softHyphen/>
        <w:t>делки при этом могли оказаться столь суще</w:t>
      </w:r>
      <w:r w:rsidRPr="00507A31">
        <w:rPr>
          <w:color w:val="000000" w:themeColor="text1"/>
          <w:sz w:val="16"/>
          <w:szCs w:val="16"/>
        </w:rPr>
        <w:softHyphen/>
        <w:t>ственными, что от совершенствования ма</w:t>
      </w:r>
      <w:r w:rsidRPr="00507A31">
        <w:rPr>
          <w:color w:val="000000" w:themeColor="text1"/>
          <w:sz w:val="16"/>
          <w:szCs w:val="16"/>
        </w:rPr>
        <w:softHyphen/>
        <w:t>шины отказались. В результате было решено, что самолет не может быть допущен к серий</w:t>
      </w:r>
      <w:r w:rsidRPr="00507A31">
        <w:rPr>
          <w:color w:val="000000" w:themeColor="text1"/>
          <w:sz w:val="16"/>
          <w:szCs w:val="16"/>
        </w:rPr>
        <w:softHyphen/>
        <w:t>ной постройке. Опытный экземпляр остави</w:t>
      </w:r>
      <w:r w:rsidRPr="00507A31">
        <w:rPr>
          <w:color w:val="000000" w:themeColor="text1"/>
          <w:sz w:val="16"/>
          <w:szCs w:val="16"/>
        </w:rPr>
        <w:softHyphen/>
        <w:t>ли в НИИ ВВС, где с июля 1934 г. ДИ-4 ис</w:t>
      </w:r>
      <w:r w:rsidRPr="00507A31">
        <w:rPr>
          <w:color w:val="000000" w:themeColor="text1"/>
          <w:sz w:val="16"/>
          <w:szCs w:val="16"/>
        </w:rPr>
        <w:softHyphen/>
        <w:t>пользовался в испытательных полетах для сравнения с другими истребителями.</w:t>
      </w:r>
    </w:p>
    <w:p w14:paraId="5D70C622" w14:textId="77777777" w:rsidR="00A95902" w:rsidRPr="00507A31" w:rsidRDefault="00A95902" w:rsidP="00507A31">
      <w:pPr>
        <w:pStyle w:val="59"/>
        <w:shd w:val="clear" w:color="auto" w:fill="auto"/>
        <w:spacing w:line="240" w:lineRule="auto"/>
        <w:jc w:val="both"/>
        <w:rPr>
          <w:color w:val="000000" w:themeColor="text1"/>
          <w:szCs w:val="16"/>
        </w:rPr>
      </w:pPr>
      <w:r w:rsidRPr="00507A31">
        <w:rPr>
          <w:rStyle w:val="50pt"/>
          <w:rFonts w:eastAsia="Arial Unicode MS"/>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E371BA" w:rsidRPr="00507A31" w14:paraId="691F1B20" w14:textId="77777777" w:rsidTr="0003264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A6DDB8B"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38C517D"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13,36</w:t>
            </w:r>
          </w:p>
        </w:tc>
      </w:tr>
      <w:tr w:rsidR="00E371BA" w:rsidRPr="00507A31" w14:paraId="2D88B410"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960780F"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4EAC4B2"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8,50</w:t>
            </w:r>
          </w:p>
        </w:tc>
      </w:tr>
      <w:tr w:rsidR="00E371BA" w:rsidRPr="00507A31" w14:paraId="343DB6C2" w14:textId="77777777" w:rsidTr="0003264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07083A8"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Площадь крыла (м</w:t>
            </w:r>
            <w:r w:rsidRPr="00507A31">
              <w:rPr>
                <w:rFonts w:ascii="Times New Roman" w:hAnsi="Times New Roman" w:cs="Times New Roman"/>
                <w:b w:val="0"/>
                <w:color w:val="000000" w:themeColor="text1"/>
                <w:sz w:val="16"/>
                <w:szCs w:val="16"/>
                <w:vertAlign w:val="superscript"/>
              </w:rPr>
              <w:t>2</w:t>
            </w:r>
            <w:r w:rsidRPr="00507A31">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777A690"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23,90</w:t>
            </w:r>
          </w:p>
        </w:tc>
      </w:tr>
      <w:tr w:rsidR="00E371BA" w:rsidRPr="00507A31" w14:paraId="110ED1C4"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E98FF27"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E814A5F"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2,0</w:t>
            </w:r>
          </w:p>
        </w:tc>
      </w:tr>
      <w:tr w:rsidR="00E371BA" w:rsidRPr="00507A31" w14:paraId="25270CF0" w14:textId="77777777" w:rsidTr="0003264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09208F9"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D6EF7D8"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1441,0</w:t>
            </w:r>
          </w:p>
        </w:tc>
      </w:tr>
      <w:tr w:rsidR="00E371BA" w:rsidRPr="00507A31" w14:paraId="68B7F68A"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6280EC1"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9CAEB77"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1949</w:t>
            </w:r>
          </w:p>
        </w:tc>
      </w:tr>
      <w:tr w:rsidR="00E371BA" w:rsidRPr="00507A31" w14:paraId="11FF325C"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47A02D1"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7CB0158"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266</w:t>
            </w:r>
          </w:p>
        </w:tc>
      </w:tr>
      <w:tr w:rsidR="00E371BA" w:rsidRPr="00507A31" w14:paraId="246DA7B5"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63BBF67"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D2A8CF0"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248,7</w:t>
            </w:r>
          </w:p>
        </w:tc>
      </w:tr>
      <w:tr w:rsidR="00E371BA" w:rsidRPr="00507A31" w14:paraId="4219D657"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DC7A066"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E613423"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237,0</w:t>
            </w:r>
          </w:p>
        </w:tc>
      </w:tr>
      <w:tr w:rsidR="00E371BA" w:rsidRPr="00507A31" w14:paraId="2D00530A"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440A736"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F5BBA20"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7,4</w:t>
            </w:r>
          </w:p>
        </w:tc>
      </w:tr>
      <w:tr w:rsidR="00E371BA" w:rsidRPr="00507A31" w14:paraId="5991FD6F" w14:textId="77777777" w:rsidTr="0003264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07E7264"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DF70BF2"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17,0</w:t>
            </w:r>
          </w:p>
        </w:tc>
      </w:tr>
      <w:tr w:rsidR="00E371BA" w:rsidRPr="00507A31" w14:paraId="382DACE5"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0B46B58"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486F339"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6440</w:t>
            </w:r>
          </w:p>
        </w:tc>
      </w:tr>
      <w:tr w:rsidR="00E371BA" w:rsidRPr="00507A31" w14:paraId="4CD898FC" w14:textId="77777777" w:rsidTr="0003264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B4EA934"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3BE0BD4" w14:textId="77777777" w:rsidR="00A95902" w:rsidRPr="00507A31" w:rsidRDefault="00A95902"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15,0</w:t>
            </w:r>
          </w:p>
        </w:tc>
      </w:tr>
    </w:tbl>
    <w:p w14:paraId="2C71D4A3" w14:textId="77777777" w:rsidR="00A95902" w:rsidRPr="00507A31" w:rsidRDefault="00A95902" w:rsidP="00507A31">
      <w:pPr>
        <w:jc w:val="both"/>
        <w:rPr>
          <w:color w:val="000000" w:themeColor="text1"/>
          <w:sz w:val="16"/>
          <w:szCs w:val="16"/>
        </w:rPr>
      </w:pPr>
      <w:r w:rsidRPr="00507A31">
        <w:rPr>
          <w:color w:val="000000" w:themeColor="text1"/>
          <w:sz w:val="16"/>
          <w:szCs w:val="16"/>
        </w:rPr>
        <w:t>(12295)</w:t>
      </w:r>
    </w:p>
    <w:p w14:paraId="25F749EF" w14:textId="77777777" w:rsidR="00A95902" w:rsidRPr="00507A31" w:rsidRDefault="00A95902" w:rsidP="00507A31">
      <w:pPr>
        <w:jc w:val="both"/>
        <w:rPr>
          <w:color w:val="000000" w:themeColor="text1"/>
          <w:sz w:val="16"/>
          <w:szCs w:val="16"/>
        </w:rPr>
      </w:pPr>
    </w:p>
    <w:p w14:paraId="1ADC0BB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17 сентября 1930 года инженер Волков писал председателю НТК</w:t>
      </w:r>
    </w:p>
    <w:p w14:paraId="06B99C8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Настоящим доношу о состоянии опытного самолетостроения в ЦКБ ВАО на 13 сентября 1930 года</w:t>
      </w:r>
    </w:p>
    <w:p w14:paraId="19B5EFD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МБР1</w:t>
      </w:r>
    </w:p>
    <w:p w14:paraId="73BE989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ЦКБ считает этот самолет экспериментальным.</w:t>
      </w:r>
    </w:p>
    <w:p w14:paraId="71F0CD5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Лодку ОПО-3 не считает необходимым достраивать, так как неправильно запроектирована и самолет не будет иметь возможности плавать с перегрузкой.</w:t>
      </w:r>
    </w:p>
    <w:p w14:paraId="3E037A5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Лодку Ришара, несмотря на перетяжеление считают основной, ставя на нее старую коробку крыльев и хвостовое оперение.</w:t>
      </w:r>
    </w:p>
    <w:p w14:paraId="267A65A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Для серийной постройки считают непригодным из-за перетяжеления конструкции самолета.</w:t>
      </w:r>
    </w:p>
    <w:p w14:paraId="409A9B0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Работы сейчас не производятся. К 1 октября 1930 года самолет готов не будет.</w:t>
      </w:r>
    </w:p>
    <w:p w14:paraId="063A097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МБР-2</w:t>
      </w:r>
    </w:p>
    <w:p w14:paraId="7B8A4E0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настоящий момент работы по проектированию не ведутся. До сего времени проработано до 6 вариантов. Существует мнение конструкторов, что при заданных габаритных размерах спроектировать самолет и базовый и катапультный трудно.</w:t>
      </w:r>
    </w:p>
    <w:p w14:paraId="03E16CE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Григорович считает, что вообще эта задача разрешена быть не может.</w:t>
      </w:r>
    </w:p>
    <w:p w14:paraId="7A1B3FC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Поэтому поднимается вопрос о снижении для катапультного самолета нагрузки.</w:t>
      </w:r>
    </w:p>
    <w:p w14:paraId="026A335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МДР-1</w:t>
      </w:r>
    </w:p>
    <w:p w14:paraId="3F409B9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Лодка оставлена старая. Крыло запроектировано трехлонжеронной конструкции.</w:t>
      </w:r>
    </w:p>
    <w:p w14:paraId="2C9E144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Работы почти не ведутся.</w:t>
      </w:r>
    </w:p>
    <w:p w14:paraId="477BB9A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 1 октября 1930 года самолет готов не будет.</w:t>
      </w:r>
    </w:p>
    <w:p w14:paraId="708E5D2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МДР3</w:t>
      </w:r>
    </w:p>
    <w:p w14:paraId="2097F24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Эскизный проект проработан. Изменено размещение экипажа – увеличена полезная нагрузка.</w:t>
      </w:r>
    </w:p>
    <w:p w14:paraId="0035D99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МТБ2</w:t>
      </w:r>
    </w:p>
    <w:p w14:paraId="2CE878B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информации инженера Артамонова с плана ЦКБ снят.</w:t>
      </w:r>
    </w:p>
    <w:p w14:paraId="6D6C445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Р5</w:t>
      </w:r>
    </w:p>
    <w:p w14:paraId="6D87DFB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Разработан общий вид поплавкового шасси (6954, 6-8).</w:t>
      </w:r>
    </w:p>
    <w:p w14:paraId="109DEB8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560C2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 сентября 1930 Зам. Начальника ВВС РККА Алкснис писал письмо № 234 с с/ч.т.к. Председателю РВС Союза ССР, Копии: Заместителя Председателя РВСР т.т. Гамарнику. Уборевичу и Каменеву, Начальнику Штаба РККА т. Шапошникову, Начальнику ВАО т. Урываеву</w:t>
      </w:r>
    </w:p>
    <w:p w14:paraId="3C10A9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 работах по разрезным крыльям» И</w:t>
      </w:r>
    </w:p>
    <w:p w14:paraId="6630E6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вопросам о работах по разрезным крыльям и о замене бензинового авиамотора нефтяным, затронутым в докладной за</w:t>
      </w:r>
      <w:r w:rsidRPr="00507A31">
        <w:rPr>
          <w:color w:val="000000" w:themeColor="text1"/>
          <w:sz w:val="16"/>
          <w:szCs w:val="16"/>
        </w:rPr>
        <w:softHyphen/>
        <w:t>писке Комвойск Л.В.О. т. Тухачевского докладываю, во испол</w:t>
      </w:r>
      <w:r w:rsidRPr="00507A31">
        <w:rPr>
          <w:color w:val="000000" w:themeColor="text1"/>
          <w:sz w:val="16"/>
          <w:szCs w:val="16"/>
        </w:rPr>
        <w:softHyphen/>
        <w:t>нение В/резолюции:</w:t>
      </w:r>
    </w:p>
    <w:p w14:paraId="7CFD2E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заданию НТК работы по разрезным крыльям ведутся в ЦАГИ с 1927 г.</w:t>
      </w:r>
    </w:p>
    <w:p w14:paraId="17FBAE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Первоначально ЦАГИ занялся изучением заграничных ма</w:t>
      </w:r>
      <w:r w:rsidRPr="00507A31">
        <w:rPr>
          <w:color w:val="000000" w:themeColor="text1"/>
          <w:sz w:val="16"/>
          <w:szCs w:val="16"/>
        </w:rPr>
        <w:softHyphen/>
        <w:t>териалов, с целью использовать уже накопленный заграничный опыт и наметить путь собственных работ.</w:t>
      </w:r>
    </w:p>
    <w:p w14:paraId="2D5F52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1928/29 г.г. было приступлено к систематическому изучению разрезных крыльев, при чем работа шла в 2-х на</w:t>
      </w:r>
      <w:r w:rsidRPr="00507A31">
        <w:rPr>
          <w:color w:val="000000" w:themeColor="text1"/>
          <w:sz w:val="16"/>
          <w:szCs w:val="16"/>
        </w:rPr>
        <w:softHyphen/>
        <w:t>правлениях:</w:t>
      </w:r>
    </w:p>
    <w:p w14:paraId="3CFA6B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разработка теорий разрезного крыла и теоретических профилей и,</w:t>
      </w:r>
    </w:p>
    <w:p w14:paraId="6DF84C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проработка практических профилей.</w:t>
      </w:r>
    </w:p>
    <w:p w14:paraId="69AC04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Надобность собственных работ диктовалась следующими соображениями:</w:t>
      </w:r>
    </w:p>
    <w:p w14:paraId="07358B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недостаточность заграничных материалов для производ</w:t>
      </w:r>
      <w:r w:rsidRPr="00507A31">
        <w:rPr>
          <w:color w:val="000000" w:themeColor="text1"/>
          <w:sz w:val="16"/>
          <w:szCs w:val="16"/>
        </w:rPr>
        <w:softHyphen/>
        <w:t>ства расчетов,</w:t>
      </w:r>
    </w:p>
    <w:p w14:paraId="2C3A4C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необходимость иметь помимо расчётных коэффициентов, возможность сравнения и выбора наилучших форм щелей и про</w:t>
      </w:r>
      <w:r w:rsidRPr="00507A31">
        <w:rPr>
          <w:color w:val="000000" w:themeColor="text1"/>
          <w:sz w:val="16"/>
          <w:szCs w:val="16"/>
        </w:rPr>
        <w:softHyphen/>
        <w:t>филя.</w:t>
      </w:r>
    </w:p>
    <w:p w14:paraId="53A4C9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настоящему времени проведены по научно-исследователь</w:t>
      </w:r>
      <w:r w:rsidRPr="00507A31">
        <w:rPr>
          <w:color w:val="000000" w:themeColor="text1"/>
          <w:sz w:val="16"/>
          <w:szCs w:val="16"/>
        </w:rPr>
        <w:softHyphen/>
        <w:t>ской линии нижеследующие работы:</w:t>
      </w:r>
    </w:p>
    <w:p w14:paraId="73E18A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Исследование крыла профиля инверсия эллипса ИЭР-1 для выбора наилучшей формы щели,</w:t>
      </w:r>
    </w:p>
    <w:p w14:paraId="2E9172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Исследование крыла профиля разрезной дуги круга /теор. профиль/,</w:t>
      </w:r>
    </w:p>
    <w:p w14:paraId="1CCF46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Исследование крыла инженера Сорокина со щелью по середине, составленное из профилей Прандтля /практич. профиль/;</w:t>
      </w:r>
    </w:p>
    <w:p w14:paraId="56D1DC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Исследование крыла профиля РП и РПа с передней и задней щелями /предкрылок и закрылок/,</w:t>
      </w:r>
    </w:p>
    <w:p w14:paraId="4BF66F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Исследование влияния положения щели по хорде,</w:t>
      </w:r>
    </w:p>
    <w:p w14:paraId="4829CE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Исследование распределения давлений по подкрылку,</w:t>
      </w:r>
    </w:p>
    <w:p w14:paraId="06D47B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Исследование разрезных крыльев на больших углах атаки,</w:t>
      </w:r>
    </w:p>
    <w:p w14:paraId="20930F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Определение шарнирных моментов,</w:t>
      </w:r>
    </w:p>
    <w:p w14:paraId="44CD5D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Определение влияния длины предкрылка и закрылка на работу щелевого крыла,</w:t>
      </w:r>
    </w:p>
    <w:p w14:paraId="159468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Исследование разрезного крыла /с передней щелью/ к самолету И-4</w:t>
      </w:r>
    </w:p>
    <w:p w14:paraId="797127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Все вышеуказанные работы проведены настолько полно, что дают возможность в настоящее время конструкторам при</w:t>
      </w:r>
      <w:r w:rsidRPr="00507A31">
        <w:rPr>
          <w:color w:val="000000" w:themeColor="text1"/>
          <w:sz w:val="16"/>
          <w:szCs w:val="16"/>
        </w:rPr>
        <w:softHyphen/>
        <w:t>ступить к проектированию разрезного крыла.</w:t>
      </w:r>
    </w:p>
    <w:p w14:paraId="04FFDD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Разработанный ЦАГИ профиль Р 11а, являющийся модификацией проф. инверсии эллипса конструктивно удобен и дает значительное повышение под”емной силы исходного профиля /до 68,5% при хорошем сравнительно качестве М мах= Су/сх=18/,</w:t>
      </w:r>
    </w:p>
    <w:p w14:paraId="66EBB7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общем итоге работы по разрезным крыльям прошли 3 этапа :</w:t>
      </w:r>
    </w:p>
    <w:p w14:paraId="7BE755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Теоретическое исследование по подбору формы положения и длины щели.</w:t>
      </w:r>
    </w:p>
    <w:p w14:paraId="74CB48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 Подбор практического профиля на основе теоретических исследований.</w:t>
      </w:r>
    </w:p>
    <w:p w14:paraId="35AF6E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 Выполнение конкретного задания по исследованию разрез</w:t>
      </w:r>
      <w:r w:rsidRPr="00507A31">
        <w:rPr>
          <w:color w:val="000000" w:themeColor="text1"/>
          <w:sz w:val="16"/>
          <w:szCs w:val="16"/>
        </w:rPr>
        <w:softHyphen/>
        <w:t>ного крыла для самолета И-4 с передней щелью.</w:t>
      </w:r>
    </w:p>
    <w:p w14:paraId="2625C5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Помимо указанных исследований сейчас в ВАО ведется проработка разрезного крыла для самолета Р-5 с использова</w:t>
      </w:r>
      <w:r w:rsidRPr="00507A31">
        <w:rPr>
          <w:color w:val="000000" w:themeColor="text1"/>
          <w:sz w:val="16"/>
          <w:szCs w:val="16"/>
        </w:rPr>
        <w:softHyphen/>
        <w:t>нием опыта ЦАГИ.</w:t>
      </w:r>
    </w:p>
    <w:p w14:paraId="1210CC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Параллельно с указанными исследовательскими работами инж. Гореловым, на основе изучения заграничных материалов, и частично опыта ЦАГИ, был разработан проект моломощного самолета с разрезным крылом под мот. Вальтер 85 л.с. Са</w:t>
      </w:r>
      <w:r w:rsidRPr="00507A31">
        <w:rPr>
          <w:color w:val="000000" w:themeColor="text1"/>
          <w:sz w:val="16"/>
          <w:szCs w:val="16"/>
        </w:rPr>
        <w:softHyphen/>
        <w:t>молет является обычным полуторапланом с У-образной стой</w:t>
      </w:r>
      <w:r w:rsidRPr="00507A31">
        <w:rPr>
          <w:color w:val="000000" w:themeColor="text1"/>
          <w:sz w:val="16"/>
          <w:szCs w:val="16"/>
        </w:rPr>
        <w:softHyphen/>
        <w:t>кой.</w:t>
      </w:r>
    </w:p>
    <w:p w14:paraId="297BD3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Верхнее крыло имеет 2 щели: переднюю и заднюю.</w:t>
      </w:r>
    </w:p>
    <w:p w14:paraId="0E6956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управления разрезным крылом разработан особый механизм, позволяющий открыть и закрыть переднюю щель по золе пилота.</w:t>
      </w:r>
    </w:p>
    <w:p w14:paraId="7A1A0F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данному проекту, одобренному НТК УВВС, построен самолет на средства Осоавиахима на зав. № 39. В настоящее время самолет заканчивается сборкой на территории зав.№25 и ожидается к выпуску на аэродром в конце октября месяца с .г.</w:t>
      </w:r>
    </w:p>
    <w:p w14:paraId="54D811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Постройка этого самолета преследует цель произвести эксперимент с разрезным крылом в натуру и испытать меха</w:t>
      </w:r>
      <w:r w:rsidRPr="00507A31">
        <w:rPr>
          <w:color w:val="000000" w:themeColor="text1"/>
          <w:sz w:val="16"/>
          <w:szCs w:val="16"/>
        </w:rPr>
        <w:softHyphen/>
        <w:t>низм передачи для управления щелью.</w:t>
      </w:r>
    </w:p>
    <w:p w14:paraId="00280B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Преимущества разрезного крыла заключаются с одной сто</w:t>
      </w:r>
      <w:r w:rsidRPr="00507A31">
        <w:rPr>
          <w:color w:val="000000" w:themeColor="text1"/>
          <w:sz w:val="16"/>
          <w:szCs w:val="16"/>
        </w:rPr>
        <w:softHyphen/>
        <w:t>роны в уменьшении посадочной скорости, пробега и разбега, а с другой в уменьшении размерности самолета за счет уве</w:t>
      </w:r>
      <w:r w:rsidRPr="00507A31">
        <w:rPr>
          <w:color w:val="000000" w:themeColor="text1"/>
          <w:sz w:val="16"/>
          <w:szCs w:val="16"/>
        </w:rPr>
        <w:softHyphen/>
        <w:t>личения под"емной силы.</w:t>
      </w:r>
    </w:p>
    <w:p w14:paraId="1B597C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Кроме того разрезное крыло способно значительно улуч</w:t>
      </w:r>
      <w:r w:rsidRPr="00507A31">
        <w:rPr>
          <w:color w:val="000000" w:themeColor="text1"/>
          <w:sz w:val="16"/>
          <w:szCs w:val="16"/>
        </w:rPr>
        <w:softHyphen/>
        <w:t>шить самолет в отношении штопора(-)еделать не способным вхо</w:t>
      </w:r>
      <w:r w:rsidRPr="00507A31">
        <w:rPr>
          <w:color w:val="000000" w:themeColor="text1"/>
          <w:sz w:val="16"/>
          <w:szCs w:val="16"/>
        </w:rPr>
        <w:softHyphen/>
        <w:t>дить в штопор.</w:t>
      </w:r>
    </w:p>
    <w:p w14:paraId="530C3F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Теоретическое уменьшение посадочной скорости достигает до 25%. Практически можно ожидать до 10-15%,</w:t>
      </w:r>
    </w:p>
    <w:p w14:paraId="17EF2F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Англии разрезное крыло, по докладу т. Дубенекого, получило настолько широкое развитие, что почти все военные самолеты строятся с разрезным крылом /в виде приспособле</w:t>
      </w:r>
      <w:r w:rsidRPr="00507A31">
        <w:rPr>
          <w:color w:val="000000" w:themeColor="text1"/>
          <w:sz w:val="16"/>
          <w:szCs w:val="16"/>
        </w:rPr>
        <w:softHyphen/>
        <w:t>ния Хендли Пейдж/. Мы здесь, из-за консерватизма наших * конструкторов по самолетам- значительно отстали,несмотря на возможность и необходимость разрешения этой проблемы.</w:t>
      </w:r>
    </w:p>
    <w:p w14:paraId="4DF8B1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 работах по нефтяным двигателям.</w:t>
      </w:r>
    </w:p>
    <w:p w14:paraId="58B182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 работах капиталистических стран, в частности, в Гер</w:t>
      </w:r>
      <w:r w:rsidRPr="00507A31">
        <w:rPr>
          <w:color w:val="000000" w:themeColor="text1"/>
          <w:sz w:val="16"/>
          <w:szCs w:val="16"/>
        </w:rPr>
        <w:softHyphen/>
        <w:t>мании и САСШ над проблемой нефтяного двигателя для авиации - общеизвестно.</w:t>
      </w:r>
    </w:p>
    <w:p w14:paraId="2CF3FD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Работа над вопросом применения тяжелого топлива для авиамотора ведется и у нас в Союзе, по заданию УВВС с 1925 г. в Институтах "ЦАГИ" и "НАМИ", в которых был прове</w:t>
      </w:r>
      <w:r w:rsidRPr="00507A31">
        <w:rPr>
          <w:color w:val="000000" w:themeColor="text1"/>
          <w:sz w:val="16"/>
          <w:szCs w:val="16"/>
        </w:rPr>
        <w:softHyphen/>
        <w:t>ден ряд работ исследовательского порядка и был построен эк</w:t>
      </w:r>
      <w:r w:rsidRPr="00507A31">
        <w:rPr>
          <w:color w:val="000000" w:themeColor="text1"/>
          <w:sz w:val="16"/>
          <w:szCs w:val="16"/>
        </w:rPr>
        <w:softHyphen/>
        <w:t>спериментальный 2-х цилиндровый двигатель, работающий на нефти» Но темп и успехи этих работ еще хуже, чем по бензи-новнм авиамоторам.</w:t>
      </w:r>
    </w:p>
    <w:p w14:paraId="2760D5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Правда, до самого последнего времени работы над неф</w:t>
      </w:r>
      <w:r w:rsidRPr="00507A31">
        <w:rPr>
          <w:color w:val="000000" w:themeColor="text1"/>
          <w:sz w:val="16"/>
          <w:szCs w:val="16"/>
        </w:rPr>
        <w:softHyphen/>
        <w:t>тяными моторами не выходили из рамок опытных конструкций и экспериментально-исследовательских работ и заграницей.</w:t>
      </w:r>
    </w:p>
    <w:p w14:paraId="48DCDB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Упоминаемые в докладной записке т. Тухачевского двига</w:t>
      </w:r>
      <w:r w:rsidRPr="00507A31">
        <w:rPr>
          <w:color w:val="000000" w:themeColor="text1"/>
          <w:sz w:val="16"/>
          <w:szCs w:val="16"/>
        </w:rPr>
        <w:softHyphen/>
        <w:t>тели "Юнкере" и "Паккард" и в настоящее время проходят лишь стадию опнтных работ* По моим сведениям мотор "Юнкереа", после ряда опытных полетов, был вновь возвращен в Конструк</w:t>
      </w:r>
      <w:r w:rsidRPr="00507A31">
        <w:rPr>
          <w:color w:val="000000" w:themeColor="text1"/>
          <w:sz w:val="16"/>
          <w:szCs w:val="16"/>
        </w:rPr>
        <w:softHyphen/>
        <w:t>торское Бюро для внесения целого ряда изменений, мотор "Пак</w:t>
      </w:r>
      <w:r w:rsidRPr="00507A31">
        <w:rPr>
          <w:color w:val="000000" w:themeColor="text1"/>
          <w:sz w:val="16"/>
          <w:szCs w:val="16"/>
        </w:rPr>
        <w:softHyphen/>
        <w:t>кард" также еще далеко не доведен до состояния, обеспечиваю. щего надежность полета и во время летных испытаний неодно</w:t>
      </w:r>
      <w:r w:rsidRPr="00507A31">
        <w:rPr>
          <w:color w:val="000000" w:themeColor="text1"/>
          <w:sz w:val="16"/>
          <w:szCs w:val="16"/>
        </w:rPr>
        <w:softHyphen/>
        <w:t>кратно служил причиной вынужденных посадок. Помимо "Юнкерса" и "Паккарда" нефчяные двигатели строятся еще фираами Фиат в Италии, ВМВ в Германии, Армстронг - Сидней в Англии.</w:t>
      </w:r>
    </w:p>
    <w:p w14:paraId="5BD61F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Однако, ни один из этих двигателей не может рассматри</w:t>
      </w:r>
      <w:r w:rsidRPr="00507A31">
        <w:rPr>
          <w:color w:val="000000" w:themeColor="text1"/>
          <w:sz w:val="16"/>
          <w:szCs w:val="16"/>
        </w:rPr>
        <w:softHyphen/>
        <w:t>ваться в качестве серийной машины, несмотря на то, что отдельные образцы их были испытаны в полете. Так, двигатели Фиат АН-1 (6 цилиндров 180 л.с.) и Фиат АН-2 /12 цил. - 450 л.с./ прошли летные испытания, но не смогли быть пущены всерийное производство из-за це</w:t>
      </w:r>
      <w:r w:rsidRPr="00507A31">
        <w:rPr>
          <w:color w:val="000000" w:themeColor="text1"/>
          <w:sz w:val="16"/>
          <w:szCs w:val="16"/>
        </w:rPr>
        <w:softHyphen/>
        <w:t>лого ряда дефкектов и заставили фирму приступить к созданию нового нефтяного мотора 450 л.с. с воздушным охлалщением.</w:t>
      </w:r>
    </w:p>
    <w:p w14:paraId="407F3A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Учитывая всю важность вопроса о применении тяжелого , топлива для авиации, УВВС еще в 1929 году всемерно пыталось закупить двигатель "Юнкере", но фирма от продажи нам своего двигателя, который она сама рассматривала, как эксперимен</w:t>
      </w:r>
      <w:r w:rsidRPr="00507A31">
        <w:rPr>
          <w:color w:val="000000" w:themeColor="text1"/>
          <w:sz w:val="16"/>
          <w:szCs w:val="16"/>
        </w:rPr>
        <w:softHyphen/>
        <w:t>тальный, отказаласъ.</w:t>
      </w:r>
    </w:p>
    <w:p w14:paraId="6BEBDF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Двигатель "Паккард" закуплен нашим Авиаоб"единением и, по сообщению последнего, всеже отпрарлен из Америки в Союз ССР.</w:t>
      </w:r>
    </w:p>
    <w:p w14:paraId="52DBE2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 своей стороны УВВС еще в апреле с.г. включило двига</w:t>
      </w:r>
      <w:r w:rsidRPr="00507A31">
        <w:rPr>
          <w:color w:val="000000" w:themeColor="text1"/>
          <w:sz w:val="16"/>
          <w:szCs w:val="16"/>
        </w:rPr>
        <w:softHyphen/>
        <w:t>тель "Паккард" во внеплановую заявку на образцовое авиаиму</w:t>
      </w:r>
      <w:r w:rsidRPr="00507A31">
        <w:rPr>
          <w:color w:val="000000" w:themeColor="text1"/>
          <w:sz w:val="16"/>
          <w:szCs w:val="16"/>
        </w:rPr>
        <w:softHyphen/>
        <w:t>щество, но заявка не была реализована из за отказа в отпус</w:t>
      </w:r>
      <w:r w:rsidRPr="00507A31">
        <w:rPr>
          <w:color w:val="000000" w:themeColor="text1"/>
          <w:sz w:val="16"/>
          <w:szCs w:val="16"/>
        </w:rPr>
        <w:softHyphen/>
        <w:t>ке средств.</w:t>
      </w:r>
    </w:p>
    <w:p w14:paraId="5885CB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Кроме того, в план опытного моторостроения включены двигатели "ОН-9" и "М-42", работающие на нефти. Разработка проектов этих двигателей в настоящее время ведется в ЦАГИ, но, к сожалению, опытные образцы их намечены планом опытно</w:t>
      </w:r>
      <w:r w:rsidRPr="00507A31">
        <w:rPr>
          <w:color w:val="000000" w:themeColor="text1"/>
          <w:sz w:val="16"/>
          <w:szCs w:val="16"/>
        </w:rPr>
        <w:softHyphen/>
        <w:t>го строительства к выходу на государственные испытания только, в начале 1932 г.</w:t>
      </w:r>
    </w:p>
    <w:p w14:paraId="1FCEE0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Вне плана опытного строительства некоторые исследова</w:t>
      </w:r>
      <w:r w:rsidRPr="00507A31">
        <w:rPr>
          <w:color w:val="000000" w:themeColor="text1"/>
          <w:sz w:val="16"/>
          <w:szCs w:val="16"/>
        </w:rPr>
        <w:softHyphen/>
        <w:t>ния, изыскания и опыты ведутся на заводе № 26 по переводу мотора №-17 /БМВУ-1/ на нефть, что в случае, успешного раз</w:t>
      </w:r>
      <w:r w:rsidRPr="00507A31">
        <w:rPr>
          <w:color w:val="000000" w:themeColor="text1"/>
          <w:sz w:val="16"/>
          <w:szCs w:val="16"/>
        </w:rPr>
        <w:softHyphen/>
        <w:t>решения дало бы наибольший эффект в короткие сроки.</w:t>
      </w:r>
    </w:p>
    <w:p w14:paraId="5E91C4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качестве выводов и предложений из всего сказанного, я выдвигаю:</w:t>
      </w:r>
    </w:p>
    <w:p w14:paraId="192681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В части самолетов с разрезным крылом.</w:t>
      </w:r>
    </w:p>
    <w:p w14:paraId="7552EA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Обязать начальника ВАО принять все меры к выпуску самолета с разрезными крыльями конструкции т. Горелова до конца октября с.г. на аэродром для практических испытаний.</w:t>
      </w:r>
    </w:p>
    <w:p w14:paraId="08F3E6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Поставить задачу перед заводом № 22 построить И-4 с разрезным крылом по проектам ЦАГИ и перед заводом № 1 построить Р-5 с разрезным крылом по проектам ЦКБ в течении предстоящей зимы /до апреля 1931 г./. Эта задача может быть разрешена инженерно-техническим составом и рабочими назван</w:t>
      </w:r>
      <w:r w:rsidRPr="00507A31">
        <w:rPr>
          <w:color w:val="000000" w:themeColor="text1"/>
          <w:sz w:val="16"/>
          <w:szCs w:val="16"/>
        </w:rPr>
        <w:softHyphen/>
        <w:t>ных заводов без всякого ущерба для серийного производства при гарантировании им за это премии.</w:t>
      </w:r>
    </w:p>
    <w:p w14:paraId="0FCBF1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Использовать сделанное т. Дубенским предложение английской фирмы Хендли-Пейдж прислать ей чертежи крыла одного из самолетов советской конструкции для изготовления конструктивных и рабочих чертежей щелей, для данного крыла, по которым в Союзе по заявлению фирмы без всяких затруднена можно установить слоты /открылки/ Хендли Пейдж к дан</w:t>
      </w:r>
      <w:r w:rsidRPr="00507A31">
        <w:rPr>
          <w:color w:val="000000" w:themeColor="text1"/>
          <w:sz w:val="16"/>
          <w:szCs w:val="16"/>
        </w:rPr>
        <w:softHyphen/>
        <w:t>ному крылу почти без всяких переделок последнего. Со своей стороны предложил бы послать фирме Хэндли Пейдж для указан</w:t>
      </w:r>
      <w:r w:rsidRPr="00507A31">
        <w:rPr>
          <w:color w:val="000000" w:themeColor="text1"/>
          <w:sz w:val="16"/>
          <w:szCs w:val="16"/>
        </w:rPr>
        <w:softHyphen/>
        <w:t>ных целей чертежи крыла 14-5 и Р-5.</w:t>
      </w:r>
    </w:p>
    <w:p w14:paraId="1DED87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Закупить еще в этом квартале в Англии авиетку Джипси-Мот. у фирмы Хавелвнд, с мотором 80 сил: этот само</w:t>
      </w:r>
      <w:r w:rsidRPr="00507A31">
        <w:rPr>
          <w:color w:val="000000" w:themeColor="text1"/>
          <w:sz w:val="16"/>
          <w:szCs w:val="16"/>
        </w:rPr>
        <w:softHyphen/>
        <w:t>лет стоит 10.000 руб., снабжен слотами Хендли Пейдж, тор</w:t>
      </w:r>
      <w:r w:rsidRPr="00507A31">
        <w:rPr>
          <w:color w:val="000000" w:themeColor="text1"/>
          <w:sz w:val="16"/>
          <w:szCs w:val="16"/>
        </w:rPr>
        <w:softHyphen/>
        <w:t>мозами на колесах, складывающимися крыльями. Помимо прочего интерес этого самолета и в особенности мотора ; мотор с цилиндрами в один ряд, перевернутый, большая часть литья - электронная, охлаждение - воздушное. /Данные получены т.Дубенекий в Англии непосредственно от фирмы и в виде ма</w:t>
      </w:r>
      <w:r w:rsidRPr="00507A31">
        <w:rPr>
          <w:color w:val="000000" w:themeColor="text1"/>
          <w:sz w:val="16"/>
          <w:szCs w:val="16"/>
        </w:rPr>
        <w:softHyphen/>
        <w:t>териалов/.</w:t>
      </w:r>
    </w:p>
    <w:p w14:paraId="3C8197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Обязать т.Дубенекого под персональную ответствен</w:t>
      </w:r>
      <w:r w:rsidRPr="00507A31">
        <w:rPr>
          <w:color w:val="000000" w:themeColor="text1"/>
          <w:sz w:val="16"/>
          <w:szCs w:val="16"/>
        </w:rPr>
        <w:softHyphen/>
        <w:t>ность при предстоящей его поездке в Англию реализовать » наикратчайшие сроки п. 3-й и 4-й выдвинутых мною предложе</w:t>
      </w:r>
      <w:r w:rsidRPr="00507A31">
        <w:rPr>
          <w:color w:val="000000" w:themeColor="text1"/>
          <w:sz w:val="16"/>
          <w:szCs w:val="16"/>
        </w:rPr>
        <w:softHyphen/>
        <w:t>ний по самолету с разрезным крылом.</w:t>
      </w:r>
    </w:p>
    <w:p w14:paraId="52992E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В.части нефтяных авиамоторов.</w:t>
      </w:r>
    </w:p>
    <w:p w14:paraId="5990D2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Особо поддержать инженерно-технический коллектив 26-го завода, работающий над переделкой М-17 под тяжелое топливо /нефть/ и оказывать им в этом деле всемерное со</w:t>
      </w:r>
      <w:r w:rsidRPr="00507A31">
        <w:rPr>
          <w:color w:val="000000" w:themeColor="text1"/>
          <w:sz w:val="16"/>
          <w:szCs w:val="16"/>
        </w:rPr>
        <w:softHyphen/>
        <w:t>действие, гарантируя в то же время им премию за успешное разрешение этой задачи,</w:t>
      </w:r>
    </w:p>
    <w:p w14:paraId="23DDC7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Обязать т.т. Урываева /ОАО/ и Гиттиса /ОВЗ/ уско</w:t>
      </w:r>
      <w:r w:rsidRPr="00507A31">
        <w:rPr>
          <w:color w:val="000000" w:themeColor="text1"/>
          <w:sz w:val="16"/>
          <w:szCs w:val="16"/>
        </w:rPr>
        <w:softHyphen/>
        <w:t>рить получение нефтя-ноге двигателя "Паккард", закупленно</w:t>
      </w:r>
      <w:r w:rsidRPr="00507A31">
        <w:rPr>
          <w:color w:val="000000" w:themeColor="text1"/>
          <w:sz w:val="16"/>
          <w:szCs w:val="16"/>
        </w:rPr>
        <w:softHyphen/>
        <w:t>го Авиаоб"единением в САСШ, организуя его испытание и изу</w:t>
      </w:r>
      <w:r w:rsidRPr="00507A31">
        <w:rPr>
          <w:color w:val="000000" w:themeColor="text1"/>
          <w:sz w:val="16"/>
          <w:szCs w:val="16"/>
        </w:rPr>
        <w:softHyphen/>
        <w:t>чение всеми нашими инженерами - конструкторами, работающи</w:t>
      </w:r>
      <w:r w:rsidRPr="00507A31">
        <w:rPr>
          <w:color w:val="000000" w:themeColor="text1"/>
          <w:sz w:val="16"/>
          <w:szCs w:val="16"/>
        </w:rPr>
        <w:softHyphen/>
        <w:t>ми над авиамоторами тяжелого топлива.</w:t>
      </w:r>
    </w:p>
    <w:p w14:paraId="0E40F7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Обязать т. Гиттис. а через Инженерный отдел Берлин</w:t>
      </w:r>
      <w:r w:rsidRPr="00507A31">
        <w:rPr>
          <w:color w:val="000000" w:themeColor="text1"/>
          <w:sz w:val="16"/>
          <w:szCs w:val="16"/>
        </w:rPr>
        <w:softHyphen/>
        <w:t>ского торгпредства вновь вступить в переговоры с фирмами Юнкере и Сименс о продаже нам одного образцового нефтяно</w:t>
      </w:r>
      <w:r w:rsidRPr="00507A31">
        <w:rPr>
          <w:color w:val="000000" w:themeColor="text1"/>
          <w:sz w:val="16"/>
          <w:szCs w:val="16"/>
        </w:rPr>
        <w:softHyphen/>
        <w:t>го авиамотора ее конструкции. Закупку этого мотора возложить на ЦАГИ и расходы отнести на его смету.</w:t>
      </w:r>
    </w:p>
    <w:p w14:paraId="6D5886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Поручить нашему воздушному атташе в Италии т. Трудолюбову внимательно следить за опытным строительством и испытанием нефтяных двигателей фирмы "Фиат", используя в случае необходимости и доступности для более глубокого изучения конструкции находящихся в данное время в Италии инженеров-мотористов ВВС т.т. Петровского и Левина.</w:t>
      </w:r>
    </w:p>
    <w:p w14:paraId="781FF8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Вменить в обязанность т. Дубенскому при предстоящей поездке его в Англию уделить соответствующее внимание изу</w:t>
      </w:r>
      <w:r w:rsidRPr="00507A31">
        <w:rPr>
          <w:color w:val="000000" w:themeColor="text1"/>
          <w:sz w:val="16"/>
          <w:szCs w:val="16"/>
        </w:rPr>
        <w:softHyphen/>
        <w:t>чению опытного строительства и испытания нефтяных авиамо</w:t>
      </w:r>
      <w:r w:rsidRPr="00507A31">
        <w:rPr>
          <w:color w:val="000000" w:themeColor="text1"/>
          <w:sz w:val="16"/>
          <w:szCs w:val="16"/>
        </w:rPr>
        <w:softHyphen/>
        <w:t>торов английских фирм на предмет использования их опыта и достижений у нас без промедлений.</w:t>
      </w:r>
    </w:p>
    <w:p w14:paraId="7D83F7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Ускорить создание в ЦАГИ в его отделе по опытному строительству авиамоторов Бюро по конструированию и постройке нефтяных авиадвигателей, к разрешению чего мною совместно с ЦАГИ принимается ряд практических мер.</w:t>
      </w:r>
    </w:p>
    <w:p w14:paraId="4AC1CA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Прошу Ваших указаний по изложенным выше предложениям</w:t>
      </w:r>
    </w:p>
    <w:p w14:paraId="077791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 Докладная записка т. Тухачевского /при</w:t>
      </w:r>
      <w:r w:rsidRPr="00507A31">
        <w:rPr>
          <w:color w:val="000000" w:themeColor="text1"/>
          <w:sz w:val="16"/>
          <w:szCs w:val="16"/>
        </w:rPr>
        <w:softHyphen/>
        <w:t>кладывается только к подлинному докладу/.</w:t>
      </w:r>
    </w:p>
    <w:p w14:paraId="111596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документе резолюция т.Ворошилова 18/Х-30 г.</w:t>
      </w:r>
    </w:p>
    <w:p w14:paraId="042BF2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ЦАСА, ф. 4, оп.1, д. 1481, лл. 83-86 (1026,120).</w:t>
      </w:r>
    </w:p>
    <w:p w14:paraId="24F7AC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 октября 1930 г. Пом. секр. РВС СССР Орлов писал Зам.Начальника УВВС РККА-т. АЛКСНИСУ</w:t>
      </w:r>
    </w:p>
    <w:p w14:paraId="4CAC19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Сообщается для исполнения, резолюция Наркома Вашем докладе от 17/Х-1930 г., за № 234 сс/НТК,</w:t>
      </w:r>
    </w:p>
    <w:p w14:paraId="01648A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"Предложения т. Алксниса принимаю и самому т. Алкснису же поручаю лично следить за ходом выполнения сделанных им предложений, как по разрезному крылу, так и по нефтян. мотору» В отношении мотора "Фиат", если такой в природе уже имеется или вскоре может появиться, необходимо пред</w:t>
      </w:r>
      <w:r w:rsidRPr="00507A31">
        <w:rPr>
          <w:color w:val="000000" w:themeColor="text1"/>
          <w:sz w:val="16"/>
          <w:szCs w:val="16"/>
        </w:rPr>
        <w:softHyphen/>
        <w:t>принять более реальные меры, чем предлагает т. Алкснис, а именно- необходимо мотор приобрести, использовав для это</w:t>
      </w:r>
      <w:r w:rsidRPr="00507A31">
        <w:rPr>
          <w:color w:val="000000" w:themeColor="text1"/>
          <w:sz w:val="16"/>
          <w:szCs w:val="16"/>
        </w:rPr>
        <w:softHyphen/>
        <w:t>го наши связи и договор с Ит. Пр-вом. На наших конструк</w:t>
      </w:r>
      <w:r w:rsidRPr="00507A31">
        <w:rPr>
          <w:color w:val="000000" w:themeColor="text1"/>
          <w:sz w:val="16"/>
          <w:szCs w:val="16"/>
        </w:rPr>
        <w:softHyphen/>
        <w:t xml:space="preserve">торов </w:t>
      </w:r>
      <w:r w:rsidRPr="00507A31">
        <w:rPr>
          <w:color w:val="000000" w:themeColor="text1"/>
          <w:sz w:val="16"/>
          <w:szCs w:val="16"/>
        </w:rPr>
        <w:lastRenderedPageBreak/>
        <w:t>следует нажимать и помогать в их работе, чего по настоящему не делало, результатом этого и является трехлетнее барахтанье над проблемой разрезного крыла то время, как эта проблема давно превратилась в живую практику в Воздушн.флотах буржуазии.</w:t>
      </w:r>
    </w:p>
    <w:p w14:paraId="092FBE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Ворошилов 18/Х-30 г. </w:t>
      </w:r>
    </w:p>
    <w:p w14:paraId="07AE6D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ЦАСА, ф. 4, оп. 1, д.1481, л. 87 (1026,129).</w:t>
      </w:r>
    </w:p>
    <w:p w14:paraId="49A545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4592297" w14:textId="77777777" w:rsidR="001605A6" w:rsidRPr="00507A31" w:rsidRDefault="001605A6"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A90F417" w14:textId="77777777" w:rsidR="001605A6" w:rsidRPr="00507A31" w:rsidRDefault="001605A6" w:rsidP="00507A31">
      <w:pPr>
        <w:autoSpaceDE w:val="0"/>
        <w:autoSpaceDN w:val="0"/>
        <w:adjustRightInd w:val="0"/>
        <w:jc w:val="both"/>
        <w:rPr>
          <w:iCs/>
          <w:color w:val="000000" w:themeColor="text1"/>
          <w:sz w:val="16"/>
          <w:szCs w:val="16"/>
        </w:rPr>
      </w:pPr>
    </w:p>
    <w:p w14:paraId="35F0EC26" w14:textId="77777777" w:rsidR="001605A6" w:rsidRPr="00507A31" w:rsidRDefault="001605A6" w:rsidP="00507A31">
      <w:pPr>
        <w:jc w:val="both"/>
        <w:rPr>
          <w:color w:val="000000" w:themeColor="text1"/>
          <w:sz w:val="16"/>
          <w:szCs w:val="16"/>
        </w:rPr>
      </w:pPr>
      <w:r w:rsidRPr="00507A31">
        <w:rPr>
          <w:color w:val="000000" w:themeColor="text1"/>
          <w:sz w:val="16"/>
          <w:szCs w:val="16"/>
        </w:rPr>
        <w:t>17 сентября 1930 г.</w:t>
      </w:r>
    </w:p>
    <w:p w14:paraId="76A046D1" w14:textId="77777777" w:rsidR="001605A6" w:rsidRPr="00507A31" w:rsidRDefault="001605A6" w:rsidP="00507A31">
      <w:pPr>
        <w:jc w:val="both"/>
        <w:rPr>
          <w:color w:val="000000" w:themeColor="text1"/>
          <w:sz w:val="16"/>
          <w:szCs w:val="16"/>
        </w:rPr>
      </w:pPr>
      <w:r w:rsidRPr="00507A31">
        <w:rPr>
          <w:color w:val="000000" w:themeColor="text1"/>
          <w:sz w:val="16"/>
          <w:szCs w:val="16"/>
        </w:rPr>
        <w:t>Протокол первого допроса директора Теплотехнического института профессора Л. К. Рамзина с его «признательными показаниями». 17 сентября 1930 г.</w:t>
      </w:r>
    </w:p>
    <w:p w14:paraId="7DC9B808" w14:textId="77777777" w:rsidR="001605A6" w:rsidRPr="00507A31" w:rsidRDefault="001605A6" w:rsidP="00507A31">
      <w:pPr>
        <w:jc w:val="both"/>
        <w:rPr>
          <w:color w:val="000000" w:themeColor="text1"/>
          <w:sz w:val="16"/>
          <w:szCs w:val="16"/>
        </w:rPr>
      </w:pPr>
      <w:r w:rsidRPr="00507A31">
        <w:rPr>
          <w:color w:val="000000" w:themeColor="text1"/>
          <w:sz w:val="16"/>
          <w:szCs w:val="16"/>
        </w:rPr>
        <w:t>Источник: </w:t>
      </w:r>
    </w:p>
    <w:p w14:paraId="3EA611B4" w14:textId="77777777" w:rsidR="001605A6" w:rsidRPr="00507A31" w:rsidRDefault="001605A6"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401F78B" w14:textId="77777777" w:rsidR="001605A6" w:rsidRPr="00507A31" w:rsidRDefault="001605A6" w:rsidP="00507A31">
      <w:pPr>
        <w:jc w:val="both"/>
        <w:rPr>
          <w:color w:val="000000" w:themeColor="text1"/>
          <w:sz w:val="16"/>
          <w:szCs w:val="16"/>
        </w:rPr>
      </w:pPr>
      <w:r w:rsidRPr="00507A31">
        <w:rPr>
          <w:color w:val="000000" w:themeColor="text1"/>
          <w:sz w:val="16"/>
          <w:szCs w:val="16"/>
        </w:rPr>
        <w:t>17 сентября 1930 г.</w:t>
      </w:r>
    </w:p>
    <w:p w14:paraId="5A82381B" w14:textId="77777777" w:rsidR="001605A6" w:rsidRPr="00507A31" w:rsidRDefault="001605A6" w:rsidP="00507A31">
      <w:pPr>
        <w:jc w:val="both"/>
        <w:rPr>
          <w:color w:val="000000" w:themeColor="text1"/>
          <w:sz w:val="16"/>
          <w:szCs w:val="16"/>
        </w:rPr>
      </w:pPr>
      <w:r w:rsidRPr="00507A31">
        <w:rPr>
          <w:color w:val="000000" w:themeColor="text1"/>
          <w:sz w:val="16"/>
          <w:szCs w:val="16"/>
        </w:rPr>
        <w:t>Протокол допроса проф. Рамзина Леонида Константиновича</w:t>
      </w:r>
    </w:p>
    <w:p w14:paraId="50AF4EE1" w14:textId="77777777" w:rsidR="001605A6" w:rsidRPr="00507A31" w:rsidRDefault="001605A6" w:rsidP="00507A31">
      <w:pPr>
        <w:jc w:val="both"/>
        <w:rPr>
          <w:color w:val="000000" w:themeColor="text1"/>
          <w:sz w:val="16"/>
          <w:szCs w:val="16"/>
        </w:rPr>
      </w:pPr>
      <w:r w:rsidRPr="00507A31">
        <w:rPr>
          <w:color w:val="000000" w:themeColor="text1"/>
          <w:sz w:val="16"/>
          <w:szCs w:val="16"/>
        </w:rPr>
        <w:t>от 17/IX-30 г.</w:t>
      </w:r>
    </w:p>
    <w:p w14:paraId="7071FD3B" w14:textId="77777777" w:rsidR="001605A6" w:rsidRPr="00507A31" w:rsidRDefault="001605A6" w:rsidP="00507A31">
      <w:pPr>
        <w:jc w:val="both"/>
        <w:rPr>
          <w:color w:val="000000" w:themeColor="text1"/>
          <w:sz w:val="16"/>
          <w:szCs w:val="16"/>
        </w:rPr>
      </w:pPr>
      <w:r w:rsidRPr="00507A31">
        <w:rPr>
          <w:color w:val="000000" w:themeColor="text1"/>
          <w:sz w:val="16"/>
          <w:szCs w:val="16"/>
        </w:rPr>
        <w:t>Допросил: пом. нач. 3 отделения СО ОГПУ Радзивиловский</w:t>
      </w:r>
    </w:p>
    <w:p w14:paraId="600CA510" w14:textId="77777777" w:rsidR="001605A6" w:rsidRPr="00507A31" w:rsidRDefault="001605A6" w:rsidP="00507A31">
      <w:pPr>
        <w:jc w:val="both"/>
        <w:rPr>
          <w:color w:val="000000" w:themeColor="text1"/>
          <w:sz w:val="16"/>
          <w:szCs w:val="16"/>
        </w:rPr>
      </w:pPr>
      <w:r w:rsidRPr="00507A31">
        <w:rPr>
          <w:color w:val="000000" w:themeColor="text1"/>
          <w:sz w:val="16"/>
          <w:szCs w:val="16"/>
        </w:rPr>
        <w:t>Считаю необходимым заявить о том, что я решил прекратить всякую борьбу с Соввластью и стать на путь прямого и искреннего разоружения и раскаяния.</w:t>
      </w:r>
    </w:p>
    <w:p w14:paraId="60252E8D" w14:textId="77777777" w:rsidR="001605A6" w:rsidRPr="00507A31" w:rsidRDefault="001605A6" w:rsidP="00507A31">
      <w:pPr>
        <w:jc w:val="both"/>
        <w:rPr>
          <w:color w:val="000000" w:themeColor="text1"/>
          <w:sz w:val="16"/>
          <w:szCs w:val="16"/>
        </w:rPr>
      </w:pPr>
      <w:r w:rsidRPr="00507A31">
        <w:rPr>
          <w:color w:val="000000" w:themeColor="text1"/>
          <w:sz w:val="16"/>
          <w:szCs w:val="16"/>
        </w:rPr>
        <w:t>Исходя из этого показываю следующее:</w:t>
      </w:r>
    </w:p>
    <w:p w14:paraId="0D77CBF7" w14:textId="77777777" w:rsidR="001605A6" w:rsidRPr="00507A31" w:rsidRDefault="001605A6" w:rsidP="00507A31">
      <w:pPr>
        <w:jc w:val="both"/>
        <w:rPr>
          <w:color w:val="000000" w:themeColor="text1"/>
          <w:sz w:val="16"/>
          <w:szCs w:val="16"/>
        </w:rPr>
      </w:pPr>
      <w:r w:rsidRPr="00507A31">
        <w:rPr>
          <w:color w:val="000000" w:themeColor="text1"/>
          <w:sz w:val="16"/>
          <w:szCs w:val="16"/>
        </w:rPr>
        <w:t>1.  Признаю себя виновным в том, что в конце 1926 - начале 1927 года я был вовлечен и принимал участие в деятельности Инженерного центра, которая носила характер явного вредительства в разных отраслях промышленности.</w:t>
      </w:r>
    </w:p>
    <w:p w14:paraId="47D8760E" w14:textId="77777777" w:rsidR="001605A6" w:rsidRPr="00507A31" w:rsidRDefault="001605A6" w:rsidP="00507A31">
      <w:pPr>
        <w:jc w:val="both"/>
        <w:rPr>
          <w:color w:val="000000" w:themeColor="text1"/>
          <w:sz w:val="16"/>
          <w:szCs w:val="16"/>
        </w:rPr>
      </w:pPr>
      <w:r w:rsidRPr="00507A31">
        <w:rPr>
          <w:color w:val="000000" w:themeColor="text1"/>
          <w:sz w:val="16"/>
          <w:szCs w:val="16"/>
        </w:rPr>
        <w:t>2.  В состав этого центра Инженерных организаций я был вовлечен Ларичевым.</w:t>
      </w:r>
    </w:p>
    <w:p w14:paraId="5635E12F" w14:textId="77777777" w:rsidR="001605A6" w:rsidRPr="00507A31" w:rsidRDefault="001605A6" w:rsidP="00507A31">
      <w:pPr>
        <w:jc w:val="both"/>
        <w:rPr>
          <w:color w:val="000000" w:themeColor="text1"/>
          <w:sz w:val="16"/>
          <w:szCs w:val="16"/>
        </w:rPr>
      </w:pPr>
      <w:r w:rsidRPr="00507A31">
        <w:rPr>
          <w:color w:val="000000" w:themeColor="text1"/>
          <w:sz w:val="16"/>
          <w:szCs w:val="16"/>
        </w:rPr>
        <w:t>3.  В состав центра Инженерных организаций входили: Ларичев, Рабинович, Хренников, Чарновский, Федотов и я - Рамзин. Мне было также известно, что в деятельности этого центра принимал участие и Пальчинский7.</w:t>
      </w:r>
    </w:p>
    <w:p w14:paraId="6C0CA9B4" w14:textId="77777777" w:rsidR="001605A6" w:rsidRPr="00507A31" w:rsidRDefault="001605A6" w:rsidP="00507A31">
      <w:pPr>
        <w:jc w:val="both"/>
        <w:rPr>
          <w:color w:val="000000" w:themeColor="text1"/>
          <w:sz w:val="16"/>
          <w:szCs w:val="16"/>
        </w:rPr>
      </w:pPr>
      <w:r w:rsidRPr="00507A31">
        <w:rPr>
          <w:color w:val="000000" w:themeColor="text1"/>
          <w:sz w:val="16"/>
          <w:szCs w:val="16"/>
        </w:rPr>
        <w:t>4. Этот центр одно время назывался «Промышленным Центром» или одновременно «Советом Союза Инженерных организаций».</w:t>
      </w:r>
    </w:p>
    <w:p w14:paraId="3CD7523B" w14:textId="77777777" w:rsidR="001605A6" w:rsidRPr="00507A31" w:rsidRDefault="001605A6" w:rsidP="00507A31">
      <w:pPr>
        <w:jc w:val="both"/>
        <w:rPr>
          <w:color w:val="000000" w:themeColor="text1"/>
          <w:sz w:val="16"/>
          <w:szCs w:val="16"/>
        </w:rPr>
      </w:pPr>
      <w:r w:rsidRPr="00507A31">
        <w:rPr>
          <w:color w:val="000000" w:themeColor="text1"/>
          <w:sz w:val="16"/>
          <w:szCs w:val="16"/>
        </w:rPr>
        <w:t>5.  Я лично держал связь с Центром через Ларичева по линии топливной промышленности, на заседаниях его бывал крайне редко.</w:t>
      </w:r>
    </w:p>
    <w:p w14:paraId="2B7A7461" w14:textId="77777777" w:rsidR="001605A6" w:rsidRPr="00507A31" w:rsidRDefault="001605A6" w:rsidP="00507A31">
      <w:pPr>
        <w:jc w:val="both"/>
        <w:rPr>
          <w:color w:val="000000" w:themeColor="text1"/>
          <w:sz w:val="16"/>
          <w:szCs w:val="16"/>
        </w:rPr>
      </w:pPr>
      <w:r w:rsidRPr="00507A31">
        <w:rPr>
          <w:color w:val="000000" w:themeColor="text1"/>
          <w:sz w:val="16"/>
          <w:szCs w:val="16"/>
        </w:rPr>
        <w:t>6. Основная, мне известная, линия «Центра» была направлена на вредительство в области металлургии и топлива путем торможения темпов развития этих отраслей промышленности.</w:t>
      </w:r>
    </w:p>
    <w:p w14:paraId="13CF8A01" w14:textId="77777777" w:rsidR="001605A6" w:rsidRPr="00507A31" w:rsidRDefault="001605A6" w:rsidP="00507A31">
      <w:pPr>
        <w:jc w:val="both"/>
        <w:rPr>
          <w:color w:val="000000" w:themeColor="text1"/>
          <w:sz w:val="16"/>
          <w:szCs w:val="16"/>
        </w:rPr>
      </w:pPr>
      <w:r w:rsidRPr="00507A31">
        <w:rPr>
          <w:color w:val="000000" w:themeColor="text1"/>
          <w:sz w:val="16"/>
          <w:szCs w:val="16"/>
        </w:rPr>
        <w:t>7. Из числа лиц, кои проводили в жизнь практические установки вредительского Центра, помимо перечисленных выше, мне известны:</w:t>
      </w:r>
    </w:p>
    <w:p w14:paraId="1BEDF6E5" w14:textId="77777777" w:rsidR="001605A6" w:rsidRPr="00507A31" w:rsidRDefault="001605A6" w:rsidP="00507A31">
      <w:pPr>
        <w:jc w:val="both"/>
        <w:rPr>
          <w:color w:val="000000" w:themeColor="text1"/>
          <w:sz w:val="16"/>
          <w:szCs w:val="16"/>
        </w:rPr>
      </w:pPr>
      <w:r w:rsidRPr="00507A31">
        <w:rPr>
          <w:color w:val="000000" w:themeColor="text1"/>
          <w:sz w:val="16"/>
          <w:szCs w:val="16"/>
        </w:rPr>
        <w:t>проф. Стрижев Иван Николаевич, один из главных руководителей] нефт[яной] пром[ышленнос]ти ВСНХ СССР,</w:t>
      </w:r>
    </w:p>
    <w:p w14:paraId="13258151" w14:textId="77777777" w:rsidR="001605A6" w:rsidRPr="00507A31" w:rsidRDefault="001605A6" w:rsidP="00507A31">
      <w:pPr>
        <w:jc w:val="both"/>
        <w:rPr>
          <w:color w:val="000000" w:themeColor="text1"/>
          <w:sz w:val="16"/>
          <w:szCs w:val="16"/>
        </w:rPr>
      </w:pPr>
      <w:r w:rsidRPr="00507A31">
        <w:rPr>
          <w:color w:val="000000" w:themeColor="text1"/>
          <w:sz w:val="16"/>
          <w:szCs w:val="16"/>
        </w:rPr>
        <w:t>инженер Покровский, работал по нефт[яной] пром[ышленнос]ти в Госплане СССР,</w:t>
      </w:r>
    </w:p>
    <w:p w14:paraId="20DEB6E7" w14:textId="77777777" w:rsidR="001605A6" w:rsidRPr="00507A31" w:rsidRDefault="001605A6" w:rsidP="00507A31">
      <w:pPr>
        <w:jc w:val="both"/>
        <w:rPr>
          <w:color w:val="000000" w:themeColor="text1"/>
          <w:sz w:val="16"/>
          <w:szCs w:val="16"/>
        </w:rPr>
      </w:pPr>
      <w:r w:rsidRPr="00507A31">
        <w:rPr>
          <w:color w:val="000000" w:themeColor="text1"/>
          <w:sz w:val="16"/>
          <w:szCs w:val="16"/>
        </w:rPr>
        <w:t>инженер Федорович Иосиф Иосифович - из топливной секции Госплана СССР,</w:t>
      </w:r>
    </w:p>
    <w:p w14:paraId="1B1B716B" w14:textId="77777777" w:rsidR="001605A6" w:rsidRPr="00507A31" w:rsidRDefault="001605A6" w:rsidP="00507A31">
      <w:pPr>
        <w:jc w:val="both"/>
        <w:rPr>
          <w:color w:val="000000" w:themeColor="text1"/>
          <w:sz w:val="16"/>
          <w:szCs w:val="16"/>
        </w:rPr>
      </w:pPr>
      <w:r w:rsidRPr="00507A31">
        <w:rPr>
          <w:color w:val="000000" w:themeColor="text1"/>
          <w:sz w:val="16"/>
          <w:szCs w:val="16"/>
        </w:rPr>
        <w:t>инженер Кутский Николай Михайлович из ВСНХ СССР по металопром[ышленнос]ти,</w:t>
      </w:r>
    </w:p>
    <w:p w14:paraId="06DAE3E0" w14:textId="77777777" w:rsidR="001605A6" w:rsidRPr="00507A31" w:rsidRDefault="001605A6" w:rsidP="00507A31">
      <w:pPr>
        <w:jc w:val="both"/>
        <w:rPr>
          <w:color w:val="000000" w:themeColor="text1"/>
          <w:sz w:val="16"/>
          <w:szCs w:val="16"/>
        </w:rPr>
      </w:pPr>
      <w:r w:rsidRPr="00507A31">
        <w:rPr>
          <w:color w:val="000000" w:themeColor="text1"/>
          <w:sz w:val="16"/>
          <w:szCs w:val="16"/>
        </w:rPr>
        <w:t>один видный инженер с немецкой фамилией, которого я припомню - работал в Госплане СССР по Уралу и Сибири по линии угольной промышленности и коксования.</w:t>
      </w:r>
    </w:p>
    <w:p w14:paraId="1664BF3A" w14:textId="77777777" w:rsidR="001605A6" w:rsidRPr="00507A31" w:rsidRDefault="001605A6" w:rsidP="00507A31">
      <w:pPr>
        <w:jc w:val="both"/>
        <w:rPr>
          <w:color w:val="000000" w:themeColor="text1"/>
          <w:sz w:val="16"/>
          <w:szCs w:val="16"/>
        </w:rPr>
      </w:pPr>
      <w:r w:rsidRPr="00507A31">
        <w:rPr>
          <w:color w:val="000000" w:themeColor="text1"/>
          <w:sz w:val="16"/>
          <w:szCs w:val="16"/>
        </w:rPr>
        <w:t>8.  Связь с вредительскими организациями на периферии держали:</w:t>
      </w:r>
    </w:p>
    <w:p w14:paraId="3208C60C" w14:textId="77777777" w:rsidR="001605A6" w:rsidRPr="00507A31" w:rsidRDefault="001605A6" w:rsidP="00507A31">
      <w:pPr>
        <w:jc w:val="both"/>
        <w:rPr>
          <w:color w:val="000000" w:themeColor="text1"/>
          <w:sz w:val="16"/>
          <w:szCs w:val="16"/>
        </w:rPr>
      </w:pPr>
      <w:r w:rsidRPr="00507A31">
        <w:rPr>
          <w:color w:val="000000" w:themeColor="text1"/>
          <w:sz w:val="16"/>
          <w:szCs w:val="16"/>
        </w:rPr>
        <w:t>по линии нефт[яной] пром[ышленнос]ти - Стрижев,</w:t>
      </w:r>
    </w:p>
    <w:p w14:paraId="15A29A1F" w14:textId="77777777" w:rsidR="001605A6" w:rsidRPr="00507A31" w:rsidRDefault="001605A6" w:rsidP="00507A31">
      <w:pPr>
        <w:jc w:val="both"/>
        <w:rPr>
          <w:color w:val="000000" w:themeColor="text1"/>
          <w:sz w:val="16"/>
          <w:szCs w:val="16"/>
        </w:rPr>
      </w:pPr>
      <w:r w:rsidRPr="00507A31">
        <w:rPr>
          <w:color w:val="000000" w:themeColor="text1"/>
          <w:sz w:val="16"/>
          <w:szCs w:val="16"/>
        </w:rPr>
        <w:t>по угольной пром[ышленнос]ти - Рабинович и Федорович,</w:t>
      </w:r>
    </w:p>
    <w:p w14:paraId="19FF4FFC" w14:textId="77777777" w:rsidR="001605A6" w:rsidRPr="00507A31" w:rsidRDefault="001605A6" w:rsidP="00507A31">
      <w:pPr>
        <w:jc w:val="both"/>
        <w:rPr>
          <w:color w:val="000000" w:themeColor="text1"/>
          <w:sz w:val="16"/>
          <w:szCs w:val="16"/>
        </w:rPr>
      </w:pPr>
      <w:r w:rsidRPr="00507A31">
        <w:rPr>
          <w:color w:val="000000" w:themeColor="text1"/>
          <w:sz w:val="16"/>
          <w:szCs w:val="16"/>
        </w:rPr>
        <w:t>по линии метало пром[ышленнос]ти - Хренников.</w:t>
      </w:r>
    </w:p>
    <w:p w14:paraId="72AC3D47" w14:textId="77777777" w:rsidR="001605A6" w:rsidRPr="00507A31" w:rsidRDefault="001605A6" w:rsidP="00507A31">
      <w:pPr>
        <w:jc w:val="both"/>
        <w:rPr>
          <w:color w:val="000000" w:themeColor="text1"/>
          <w:sz w:val="16"/>
          <w:szCs w:val="16"/>
        </w:rPr>
      </w:pPr>
      <w:r w:rsidRPr="00507A31">
        <w:rPr>
          <w:color w:val="000000" w:themeColor="text1"/>
          <w:sz w:val="16"/>
          <w:szCs w:val="16"/>
        </w:rPr>
        <w:t>9.  С середины или с конца 1927 года наш Центр установил контакт с к. р. организацией, которая охватывала раб[отни]ков по линии с/х и именовалась «Крестьянской партией». Мне было известно со слов Чарновского, что от «Крестьянской партии» в состав нашего Центра введен проф. Ал[ексан]др Васильевич Чаянов.</w:t>
      </w:r>
    </w:p>
    <w:p w14:paraId="54B7B89D" w14:textId="77777777" w:rsidR="001605A6" w:rsidRPr="00507A31" w:rsidRDefault="001605A6" w:rsidP="00507A31">
      <w:pPr>
        <w:jc w:val="both"/>
        <w:rPr>
          <w:color w:val="000000" w:themeColor="text1"/>
          <w:sz w:val="16"/>
          <w:szCs w:val="16"/>
        </w:rPr>
      </w:pPr>
      <w:r w:rsidRPr="00507A31">
        <w:rPr>
          <w:color w:val="000000" w:themeColor="text1"/>
          <w:sz w:val="16"/>
          <w:szCs w:val="16"/>
        </w:rPr>
        <w:t>10. На заседаниях нашего Центра стоял вопрос об установлении связей с бывш[ими] промышленниками, находившимися в эмиграции. Главным сторонником этого являлся Пальчинский.</w:t>
      </w:r>
    </w:p>
    <w:p w14:paraId="27324790" w14:textId="77777777" w:rsidR="001605A6" w:rsidRPr="00507A31" w:rsidRDefault="001605A6" w:rsidP="00507A31">
      <w:pPr>
        <w:jc w:val="both"/>
        <w:rPr>
          <w:color w:val="000000" w:themeColor="text1"/>
          <w:sz w:val="16"/>
          <w:szCs w:val="16"/>
        </w:rPr>
      </w:pPr>
      <w:r w:rsidRPr="00507A31">
        <w:rPr>
          <w:color w:val="000000" w:themeColor="text1"/>
          <w:sz w:val="16"/>
          <w:szCs w:val="16"/>
        </w:rPr>
        <w:t>Я предполагаю, что связь с военной промышленностью поддерживал Пальчинский и представители металлургической промышленности, но она была настолько законспирирована, что мне подробности неизвестны.</w:t>
      </w:r>
    </w:p>
    <w:p w14:paraId="4EF021B3" w14:textId="77777777" w:rsidR="001605A6" w:rsidRPr="00507A31" w:rsidRDefault="001605A6" w:rsidP="00507A31">
      <w:pPr>
        <w:jc w:val="both"/>
        <w:rPr>
          <w:color w:val="000000" w:themeColor="text1"/>
          <w:sz w:val="16"/>
          <w:szCs w:val="16"/>
        </w:rPr>
      </w:pPr>
      <w:r w:rsidRPr="00507A31">
        <w:rPr>
          <w:color w:val="000000" w:themeColor="text1"/>
          <w:sz w:val="16"/>
          <w:szCs w:val="16"/>
        </w:rPr>
        <w:t>Значительная часть членов Центра стояла на платформе свержения Советской власти и реставрации капиталистического строя.</w:t>
      </w:r>
    </w:p>
    <w:p w14:paraId="6D49A751" w14:textId="77777777" w:rsidR="001605A6" w:rsidRPr="00507A31" w:rsidRDefault="001605A6" w:rsidP="00507A31">
      <w:pPr>
        <w:jc w:val="both"/>
        <w:rPr>
          <w:color w:val="000000" w:themeColor="text1"/>
          <w:sz w:val="16"/>
          <w:szCs w:val="16"/>
        </w:rPr>
      </w:pPr>
      <w:r w:rsidRPr="00507A31">
        <w:rPr>
          <w:color w:val="000000" w:themeColor="text1"/>
          <w:sz w:val="16"/>
          <w:szCs w:val="16"/>
        </w:rPr>
        <w:t>В последующем я дам исчерпывающие показания о всей известной мне деятельности нашего Центра и Крестьянской Партии.</w:t>
      </w:r>
    </w:p>
    <w:p w14:paraId="3DA4BFB8" w14:textId="77777777" w:rsidR="001605A6" w:rsidRPr="00507A31" w:rsidRDefault="001605A6" w:rsidP="00507A31">
      <w:pPr>
        <w:jc w:val="both"/>
        <w:rPr>
          <w:color w:val="000000" w:themeColor="text1"/>
          <w:sz w:val="16"/>
          <w:szCs w:val="16"/>
        </w:rPr>
      </w:pPr>
      <w:r w:rsidRPr="00507A31">
        <w:rPr>
          <w:color w:val="000000" w:themeColor="text1"/>
          <w:sz w:val="16"/>
          <w:szCs w:val="16"/>
        </w:rPr>
        <w:t>Изложенное записано с моих слов верно и соответствует действительности.</w:t>
      </w:r>
    </w:p>
    <w:p w14:paraId="745BC1E5" w14:textId="77777777" w:rsidR="001605A6" w:rsidRPr="00507A31" w:rsidRDefault="001605A6" w:rsidP="00507A31">
      <w:pPr>
        <w:jc w:val="both"/>
        <w:rPr>
          <w:color w:val="000000" w:themeColor="text1"/>
          <w:sz w:val="16"/>
          <w:szCs w:val="16"/>
        </w:rPr>
      </w:pPr>
      <w:r w:rsidRPr="00507A31">
        <w:rPr>
          <w:color w:val="000000" w:themeColor="text1"/>
          <w:sz w:val="16"/>
          <w:szCs w:val="16"/>
        </w:rPr>
        <w:t>Л. Рамзин.</w:t>
      </w:r>
    </w:p>
    <w:p w14:paraId="7F2A560A" w14:textId="77777777" w:rsidR="001605A6" w:rsidRPr="00507A31" w:rsidRDefault="001605A6" w:rsidP="00507A31">
      <w:pPr>
        <w:jc w:val="both"/>
        <w:rPr>
          <w:color w:val="000000" w:themeColor="text1"/>
          <w:sz w:val="16"/>
          <w:szCs w:val="16"/>
        </w:rPr>
      </w:pPr>
      <w:r w:rsidRPr="00507A31">
        <w:rPr>
          <w:color w:val="000000" w:themeColor="text1"/>
          <w:sz w:val="16"/>
          <w:szCs w:val="16"/>
        </w:rPr>
        <w:t>Допросил пом. нач. 3 отд[еления] СО ОГПУ Радзивиловский.</w:t>
      </w:r>
    </w:p>
    <w:p w14:paraId="1633B48C" w14:textId="77777777" w:rsidR="001605A6" w:rsidRPr="00507A31" w:rsidRDefault="001605A6" w:rsidP="00507A31">
      <w:pPr>
        <w:jc w:val="both"/>
        <w:rPr>
          <w:color w:val="000000" w:themeColor="text1"/>
          <w:sz w:val="16"/>
          <w:szCs w:val="16"/>
        </w:rPr>
      </w:pPr>
      <w:r w:rsidRPr="00507A31">
        <w:rPr>
          <w:color w:val="000000" w:themeColor="text1"/>
          <w:sz w:val="16"/>
          <w:szCs w:val="16"/>
        </w:rPr>
        <w:t>ЦА ФСБ РФ. Ф. Р-42280. Т. 2. Л. 1-2 об. Рукописный подлинник, написанный Радзивиловским. Внизу каждого листа и в конце протокола за- верителъная подпись Рамзина (18684).</w:t>
      </w:r>
    </w:p>
    <w:p w14:paraId="58A21C86" w14:textId="77777777" w:rsidR="001605A6" w:rsidRPr="00507A31" w:rsidRDefault="001605A6" w:rsidP="00507A31">
      <w:pPr>
        <w:jc w:val="both"/>
        <w:rPr>
          <w:color w:val="000000" w:themeColor="text1"/>
          <w:sz w:val="16"/>
          <w:szCs w:val="16"/>
        </w:rPr>
      </w:pPr>
    </w:p>
    <w:p w14:paraId="5E2D2D5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630B188" w14:textId="77777777" w:rsidR="00537E5F" w:rsidRPr="00507A31" w:rsidRDefault="00537E5F" w:rsidP="00507A31">
      <w:pPr>
        <w:autoSpaceDE w:val="0"/>
        <w:autoSpaceDN w:val="0"/>
        <w:adjustRightInd w:val="0"/>
        <w:jc w:val="both"/>
        <w:rPr>
          <w:iCs/>
          <w:color w:val="000000" w:themeColor="text1"/>
          <w:sz w:val="16"/>
          <w:szCs w:val="16"/>
        </w:rPr>
      </w:pPr>
    </w:p>
    <w:p w14:paraId="151762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сентября 1930 нанкинским правительством Китая было заключено соглашение о возвращении Англией концессии в Ай мое и Глине (3878,3).</w:t>
      </w:r>
    </w:p>
    <w:p w14:paraId="3D384B18" w14:textId="77777777" w:rsidR="00537E5F" w:rsidRPr="00507A31" w:rsidRDefault="00537E5F" w:rsidP="00507A31">
      <w:pPr>
        <w:autoSpaceDE w:val="0"/>
        <w:autoSpaceDN w:val="0"/>
        <w:adjustRightInd w:val="0"/>
        <w:jc w:val="both"/>
        <w:rPr>
          <w:color w:val="000000" w:themeColor="text1"/>
          <w:sz w:val="16"/>
          <w:szCs w:val="16"/>
        </w:rPr>
      </w:pPr>
    </w:p>
    <w:p w14:paraId="33A5A1E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440C7A6" w14:textId="77777777" w:rsidR="00537E5F" w:rsidRPr="00507A31" w:rsidRDefault="00537E5F" w:rsidP="00507A31">
      <w:pPr>
        <w:autoSpaceDE w:val="0"/>
        <w:autoSpaceDN w:val="0"/>
        <w:adjustRightInd w:val="0"/>
        <w:jc w:val="both"/>
        <w:rPr>
          <w:iCs/>
          <w:color w:val="000000" w:themeColor="text1"/>
          <w:sz w:val="16"/>
          <w:szCs w:val="16"/>
        </w:rPr>
      </w:pPr>
    </w:p>
    <w:p w14:paraId="743816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18-20 сентября 1930 состоялись огневые испытания двигателя ОР-1 (опытного реактивного, работающего на сжатом воздухе и бензине) Цандера (388,57).</w:t>
      </w:r>
    </w:p>
    <w:p w14:paraId="26B0F104" w14:textId="77777777" w:rsidR="00537E5F" w:rsidRPr="00507A31" w:rsidRDefault="00537E5F" w:rsidP="00507A31">
      <w:pPr>
        <w:autoSpaceDE w:val="0"/>
        <w:autoSpaceDN w:val="0"/>
        <w:adjustRightInd w:val="0"/>
        <w:jc w:val="both"/>
        <w:rPr>
          <w:color w:val="000000" w:themeColor="text1"/>
          <w:sz w:val="16"/>
          <w:szCs w:val="16"/>
        </w:rPr>
      </w:pPr>
    </w:p>
    <w:p w14:paraId="6D1AF965" w14:textId="77777777" w:rsidR="00B83B62" w:rsidRPr="00507A31" w:rsidRDefault="00B83B62"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18 сентября </w:t>
      </w:r>
      <w:r w:rsidRPr="00507A31">
        <w:rPr>
          <w:color w:val="000000" w:themeColor="text1"/>
          <w:sz w:val="16"/>
          <w:szCs w:val="16"/>
        </w:rPr>
        <w:t>в 1930 году первые огневые испытания воздушно-бензинового РД конструкции Ф.А.Цандера с тягой 145 гс (14773).</w:t>
      </w:r>
    </w:p>
    <w:p w14:paraId="3EDE9AD1" w14:textId="77777777" w:rsidR="00B83B62" w:rsidRPr="00507A31" w:rsidRDefault="00B83B62" w:rsidP="00507A31">
      <w:pPr>
        <w:jc w:val="both"/>
        <w:rPr>
          <w:color w:val="000000" w:themeColor="text1"/>
          <w:sz w:val="16"/>
          <w:szCs w:val="16"/>
        </w:rPr>
      </w:pPr>
    </w:p>
    <w:p w14:paraId="7CE618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сентября 1930 тройка Р-5, участвующих в большом восточном перелете, приземлилась в Москве. Участники перелета стали одними из первых кавалеров только что учрежденного ордена Красной Звезды (5016).</w:t>
      </w:r>
    </w:p>
    <w:p w14:paraId="2258C227" w14:textId="77777777" w:rsidR="00537E5F" w:rsidRPr="00507A31" w:rsidRDefault="00537E5F" w:rsidP="00507A31">
      <w:pPr>
        <w:autoSpaceDE w:val="0"/>
        <w:autoSpaceDN w:val="0"/>
        <w:adjustRightInd w:val="0"/>
        <w:jc w:val="both"/>
        <w:rPr>
          <w:color w:val="000000" w:themeColor="text1"/>
          <w:sz w:val="16"/>
          <w:szCs w:val="16"/>
        </w:rPr>
      </w:pPr>
    </w:p>
    <w:p w14:paraId="421D26E9" w14:textId="77777777" w:rsidR="001605A6" w:rsidRPr="00507A31" w:rsidRDefault="001605A6"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18 сентября 1930 г. на Центральном аэродроме Москвы происходила торжественная встреча участников «Великого Восточного перелета». В воздух подняли звено И-4. Но вот при его приземлении произошел конфуз: скапотировал самолет летчика И.Ф. Петрова (19100).</w:t>
      </w:r>
    </w:p>
    <w:p w14:paraId="736AA331" w14:textId="77777777" w:rsidR="001605A6" w:rsidRPr="00507A31" w:rsidRDefault="001605A6" w:rsidP="00507A31">
      <w:pPr>
        <w:pStyle w:val="a8"/>
        <w:jc w:val="both"/>
        <w:rPr>
          <w:rFonts w:ascii="Times New Roman" w:hAnsi="Times New Roman" w:cs="Times New Roman"/>
          <w:color w:val="000000" w:themeColor="text1"/>
        </w:rPr>
      </w:pPr>
    </w:p>
    <w:p w14:paraId="5D0373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сентября 1930 пять Р-5 вернулись из перелета в Москву.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688159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Всех участников перелета наградили орденами "Красная звезда".</w:t>
      </w:r>
    </w:p>
    <w:p w14:paraId="4563B5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Тегеране советские самолеты осматривали члены правительства и военное руководство Ирана. Они произвели весьма благоприятное впечатление и стали рассматриваться как возможные участники конкурса, объявленного на разведчик для иранских ВВС. Более того, иранцы обратили внимание на широкое использование в конструкции дерева, что сочли выгодным для своей небогатой страны. Сравнительные испытания конкурентов должны были проходить осенью 1930 г. (12034). </w:t>
      </w:r>
    </w:p>
    <w:p w14:paraId="1D27CF1D" w14:textId="77777777" w:rsidR="00537E5F" w:rsidRPr="00507A31" w:rsidRDefault="00537E5F" w:rsidP="00507A31">
      <w:pPr>
        <w:autoSpaceDE w:val="0"/>
        <w:autoSpaceDN w:val="0"/>
        <w:adjustRightInd w:val="0"/>
        <w:jc w:val="both"/>
        <w:rPr>
          <w:color w:val="000000" w:themeColor="text1"/>
          <w:sz w:val="16"/>
          <w:szCs w:val="16"/>
        </w:rPr>
      </w:pPr>
    </w:p>
    <w:p w14:paraId="1B413A2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060502B" w14:textId="77777777" w:rsidR="00537E5F" w:rsidRPr="00507A31" w:rsidRDefault="00537E5F" w:rsidP="00507A31">
      <w:pPr>
        <w:autoSpaceDE w:val="0"/>
        <w:autoSpaceDN w:val="0"/>
        <w:adjustRightInd w:val="0"/>
        <w:jc w:val="both"/>
        <w:rPr>
          <w:iCs/>
          <w:color w:val="000000" w:themeColor="text1"/>
          <w:sz w:val="16"/>
          <w:szCs w:val="16"/>
        </w:rPr>
      </w:pPr>
    </w:p>
    <w:p w14:paraId="79F05A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сентября 1930 г. из ворот завода металлоизделий ПРОМЕТ на Полюстровскую набережную Невы выкатили во</w:t>
      </w:r>
      <w:r w:rsidRPr="00507A31">
        <w:rPr>
          <w:color w:val="000000" w:themeColor="text1"/>
          <w:sz w:val="16"/>
          <w:szCs w:val="16"/>
        </w:rPr>
        <w:softHyphen/>
        <w:t>семь новеньких, сияющих свежей краской мотоциклов марки «ТРЕМАСС-300» [4.24]. Колонна из этих машин в тот же день отправилась во Второй Всесоюзный испытательный пробег со</w:t>
      </w:r>
      <w:r w:rsidRPr="00507A31">
        <w:rPr>
          <w:color w:val="000000" w:themeColor="text1"/>
          <w:sz w:val="16"/>
          <w:szCs w:val="16"/>
        </w:rPr>
        <w:softHyphen/>
        <w:t>ветских мотоциклов по маршруту: Ленинград-Москва-Харь</w:t>
      </w:r>
      <w:r w:rsidRPr="00507A31">
        <w:rPr>
          <w:color w:val="000000" w:themeColor="text1"/>
          <w:sz w:val="16"/>
          <w:szCs w:val="16"/>
        </w:rPr>
        <w:softHyphen/>
        <w:t>ков-Киев-Брянск-Смоленск-Псков-Ленинград [4.25]. Для срав</w:t>
      </w:r>
      <w:r w:rsidRPr="00507A31">
        <w:rPr>
          <w:color w:val="000000" w:themeColor="text1"/>
          <w:sz w:val="16"/>
          <w:szCs w:val="16"/>
        </w:rPr>
        <w:softHyphen/>
        <w:t xml:space="preserve">нения с ходовыми свойствами новых мотоциклов в неё включили три иномарки: </w:t>
      </w:r>
      <w:r w:rsidRPr="00507A31">
        <w:rPr>
          <w:color w:val="000000" w:themeColor="text1"/>
          <w:sz w:val="16"/>
          <w:szCs w:val="16"/>
          <w:lang w:val="en-US"/>
        </w:rPr>
        <w:t>Zundapp</w:t>
      </w:r>
      <w:r w:rsidRPr="00507A31">
        <w:rPr>
          <w:color w:val="000000" w:themeColor="text1"/>
          <w:sz w:val="16"/>
          <w:szCs w:val="16"/>
        </w:rPr>
        <w:t xml:space="preserve"> с мотором рабочим объёмом 300 см</w:t>
      </w:r>
      <w:r w:rsidRPr="00507A31">
        <w:rPr>
          <w:color w:val="000000" w:themeColor="text1"/>
          <w:sz w:val="16"/>
          <w:szCs w:val="16"/>
          <w:vertAlign w:val="superscript"/>
        </w:rPr>
        <w:t>3</w:t>
      </w:r>
      <w:r w:rsidRPr="00507A31">
        <w:rPr>
          <w:color w:val="000000" w:themeColor="text1"/>
          <w:sz w:val="16"/>
          <w:szCs w:val="16"/>
        </w:rPr>
        <w:t xml:space="preserve"> и две - </w:t>
      </w:r>
      <w:r w:rsidRPr="00507A31">
        <w:rPr>
          <w:color w:val="000000" w:themeColor="text1"/>
          <w:sz w:val="16"/>
          <w:szCs w:val="16"/>
          <w:lang w:val="en-US"/>
        </w:rPr>
        <w:t>CoventryEagle</w:t>
      </w:r>
      <w:r w:rsidRPr="00507A31">
        <w:rPr>
          <w:color w:val="000000" w:themeColor="text1"/>
          <w:sz w:val="16"/>
          <w:szCs w:val="16"/>
        </w:rPr>
        <w:t xml:space="preserve"> с моторами </w:t>
      </w:r>
      <w:r w:rsidRPr="00507A31">
        <w:rPr>
          <w:color w:val="000000" w:themeColor="text1"/>
          <w:sz w:val="16"/>
          <w:szCs w:val="16"/>
          <w:lang w:val="en-US"/>
        </w:rPr>
        <w:t>Villiers</w:t>
      </w:r>
      <w:r w:rsidRPr="00507A31">
        <w:rPr>
          <w:color w:val="000000" w:themeColor="text1"/>
          <w:sz w:val="16"/>
          <w:szCs w:val="16"/>
        </w:rPr>
        <w:t xml:space="preserve"> (Вильерс) - 200 см</w:t>
      </w:r>
      <w:r w:rsidRPr="00507A31">
        <w:rPr>
          <w:color w:val="000000" w:themeColor="text1"/>
          <w:sz w:val="16"/>
          <w:szCs w:val="16"/>
          <w:vertAlign w:val="superscript"/>
        </w:rPr>
        <w:t>3</w:t>
      </w:r>
      <w:r w:rsidRPr="00507A31">
        <w:rPr>
          <w:color w:val="000000" w:themeColor="text1"/>
          <w:sz w:val="16"/>
          <w:szCs w:val="16"/>
        </w:rPr>
        <w:t xml:space="preserve"> и </w:t>
      </w:r>
      <w:r w:rsidRPr="00507A31">
        <w:rPr>
          <w:color w:val="000000" w:themeColor="text1"/>
          <w:sz w:val="16"/>
          <w:szCs w:val="16"/>
          <w:lang w:val="en-US"/>
        </w:rPr>
        <w:t>Schuttoff</w:t>
      </w:r>
      <w:r w:rsidRPr="00507A31">
        <w:rPr>
          <w:color w:val="000000" w:themeColor="text1"/>
          <w:sz w:val="16"/>
          <w:szCs w:val="16"/>
        </w:rPr>
        <w:t xml:space="preserve"> (Шюттофф) - 500 см</w:t>
      </w:r>
      <w:r w:rsidRPr="00507A31">
        <w:rPr>
          <w:color w:val="000000" w:themeColor="text1"/>
          <w:sz w:val="16"/>
          <w:szCs w:val="16"/>
          <w:vertAlign w:val="superscript"/>
        </w:rPr>
        <w:t>3</w:t>
      </w:r>
      <w:r w:rsidRPr="00507A31">
        <w:rPr>
          <w:color w:val="000000" w:themeColor="text1"/>
          <w:sz w:val="16"/>
          <w:szCs w:val="16"/>
        </w:rPr>
        <w:t xml:space="preserve">. На одном из мотоциклов «ТРЕМАСС-300» в порядке эксперимента установили четырёхтактный мотор фирмы </w:t>
      </w:r>
      <w:r w:rsidRPr="00507A31">
        <w:rPr>
          <w:color w:val="000000" w:themeColor="text1"/>
          <w:sz w:val="16"/>
          <w:szCs w:val="16"/>
          <w:lang w:val="en-US"/>
        </w:rPr>
        <w:t>Villiers</w:t>
      </w:r>
      <w:r w:rsidRPr="00507A31">
        <w:rPr>
          <w:color w:val="000000" w:themeColor="text1"/>
          <w:sz w:val="16"/>
          <w:szCs w:val="16"/>
        </w:rPr>
        <w:t xml:space="preserve"> рабочим объёмом 350 см</w:t>
      </w:r>
      <w:r w:rsidRPr="00507A31">
        <w:rPr>
          <w:color w:val="000000" w:themeColor="text1"/>
          <w:sz w:val="16"/>
          <w:szCs w:val="16"/>
          <w:vertAlign w:val="superscript"/>
        </w:rPr>
        <w:t>3</w:t>
      </w:r>
      <w:r w:rsidRPr="00507A31">
        <w:rPr>
          <w:color w:val="000000" w:themeColor="text1"/>
          <w:sz w:val="16"/>
          <w:szCs w:val="16"/>
        </w:rPr>
        <w:t xml:space="preserve"> [4.26]. Тем временем на заводе собирали остальные мотоциклы [4.27]. Изготовление всей партии 25-ти машин планировали к концу «ударного квартала», то есть 30 ноября [4.28] (11429).</w:t>
      </w:r>
    </w:p>
    <w:p w14:paraId="14C671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BFC463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81F61BC" w14:textId="77777777" w:rsidR="00537E5F" w:rsidRPr="00507A31" w:rsidRDefault="00537E5F" w:rsidP="00507A31">
      <w:pPr>
        <w:autoSpaceDE w:val="0"/>
        <w:autoSpaceDN w:val="0"/>
        <w:adjustRightInd w:val="0"/>
        <w:jc w:val="both"/>
        <w:rPr>
          <w:iCs/>
          <w:color w:val="000000" w:themeColor="text1"/>
          <w:sz w:val="16"/>
          <w:szCs w:val="16"/>
        </w:rPr>
      </w:pPr>
    </w:p>
    <w:p w14:paraId="26F53F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 сентября 1930 с новым винтом под Рон 120 на тягу 320 кгс на КАСКР было сделано 8 полетов по кру</w:t>
      </w:r>
      <w:r w:rsidRPr="00507A31">
        <w:rPr>
          <w:color w:val="000000" w:themeColor="text1"/>
          <w:sz w:val="16"/>
          <w:szCs w:val="16"/>
        </w:rPr>
        <w:softHyphen/>
        <w:t>гу на высоте 20-40 метров. Общая продолжительность полетов состави</w:t>
      </w:r>
      <w:r w:rsidRPr="00507A31">
        <w:rPr>
          <w:color w:val="000000" w:themeColor="text1"/>
          <w:sz w:val="16"/>
          <w:szCs w:val="16"/>
        </w:rPr>
        <w:softHyphen/>
        <w:t>ла 11,5 минут (10224,32).</w:t>
      </w:r>
    </w:p>
    <w:p w14:paraId="298DAD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B536BD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A5C3926" w14:textId="77777777" w:rsidR="00537E5F" w:rsidRPr="00507A31" w:rsidRDefault="00537E5F" w:rsidP="00507A31">
      <w:pPr>
        <w:autoSpaceDE w:val="0"/>
        <w:autoSpaceDN w:val="0"/>
        <w:adjustRightInd w:val="0"/>
        <w:jc w:val="both"/>
        <w:rPr>
          <w:iCs/>
          <w:color w:val="000000" w:themeColor="text1"/>
          <w:sz w:val="16"/>
          <w:szCs w:val="16"/>
        </w:rPr>
      </w:pPr>
    </w:p>
    <w:p w14:paraId="0F0922D3" w14:textId="77777777" w:rsidR="00A95902" w:rsidRPr="00507A31" w:rsidRDefault="00A95902" w:rsidP="00507A31">
      <w:pPr>
        <w:jc w:val="both"/>
        <w:rPr>
          <w:color w:val="000000" w:themeColor="text1"/>
          <w:sz w:val="16"/>
          <w:szCs w:val="16"/>
        </w:rPr>
      </w:pPr>
      <w:r w:rsidRPr="00507A31">
        <w:rPr>
          <w:rStyle w:val="a7"/>
          <w:b w:val="0"/>
          <w:color w:val="000000" w:themeColor="text1"/>
          <w:sz w:val="16"/>
          <w:szCs w:val="16"/>
        </w:rPr>
        <w:t xml:space="preserve">19 сентября 1930 </w:t>
      </w:r>
      <w:r w:rsidRPr="00507A31">
        <w:rPr>
          <w:color w:val="000000" w:themeColor="text1"/>
          <w:sz w:val="16"/>
          <w:szCs w:val="16"/>
        </w:rPr>
        <w:t>СТО принял постановление «О высшей и отраслевых государственных инспекциях по качеству промышленной продукции (ВГИК)» (12265).</w:t>
      </w:r>
    </w:p>
    <w:p w14:paraId="6C89BF15" w14:textId="77777777" w:rsidR="00A95902" w:rsidRPr="00507A31" w:rsidRDefault="00A95902" w:rsidP="00507A31">
      <w:pPr>
        <w:jc w:val="both"/>
        <w:rPr>
          <w:color w:val="000000" w:themeColor="text1"/>
          <w:sz w:val="16"/>
          <w:szCs w:val="16"/>
        </w:rPr>
      </w:pPr>
      <w:r w:rsidRPr="00507A31">
        <w:rPr>
          <w:color w:val="000000" w:themeColor="text1"/>
          <w:sz w:val="16"/>
          <w:szCs w:val="16"/>
        </w:rPr>
        <w:t> </w:t>
      </w:r>
    </w:p>
    <w:p w14:paraId="7B747E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 сентября 1930 г. вышли ОСНОВНЫЕ ТРЕБОВАНИЯ НТК УММ К ПОЛИГОНУ И НАУЧНО-ИССЛЕДОВАТЕЛЬСКОМУ ИНСТИТУТУ</w:t>
      </w:r>
    </w:p>
    <w:p w14:paraId="3F36B6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30F883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Полигон и НИИ УММ по своему оборудованию должны допускать производство испытаний как заграничных образцов, так и опытных образцов внутреннего производства.</w:t>
      </w:r>
    </w:p>
    <w:p w14:paraId="48D93E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Ежегодная пропускная способность оборудования должна быть рассчитана на 30 образцов в год. Причем одновременно на испытании и исследовании могут находиться в различных стадиях ис</w:t>
      </w:r>
      <w:r w:rsidRPr="00507A31">
        <w:rPr>
          <w:color w:val="000000" w:themeColor="text1"/>
          <w:sz w:val="16"/>
          <w:szCs w:val="16"/>
        </w:rPr>
        <w:softHyphen/>
        <w:t>пытания и исследования до 20 образцов.</w:t>
      </w:r>
    </w:p>
    <w:p w14:paraId="514964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Оборудование должно удовлетворять нижеследующим процессам испытания и исследования:</w:t>
      </w:r>
    </w:p>
    <w:p w14:paraId="07B3B6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составление спецификаций,</w:t>
      </w:r>
    </w:p>
    <w:p w14:paraId="145E7A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испытание и исследование двигателей,</w:t>
      </w:r>
    </w:p>
    <w:p w14:paraId="079EFB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испытание и исследование агрегатов автомобиля, (коробок скоростей, задних мостов),</w:t>
      </w:r>
    </w:p>
    <w:p w14:paraId="79137A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испытание и исследование электрооборудования и осветительных приборов автомобилей и мотоциклов,</w:t>
      </w:r>
    </w:p>
    <w:p w14:paraId="7B41C0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испытание и исследование карбюраторов автомобилей и мотоциклов,</w:t>
      </w:r>
    </w:p>
    <w:p w14:paraId="248866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испытание и исследование тормозов автомобилей и мотоциклов,</w:t>
      </w:r>
    </w:p>
    <w:p w14:paraId="1FD750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испытание и исследование топлив и смазки,</w:t>
      </w:r>
    </w:p>
    <w:p w14:paraId="224419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испытание и исследование не прокалывающейся и непробиваемой пулей резины,</w:t>
      </w:r>
    </w:p>
    <w:p w14:paraId="29887B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дорожные испытания,</w:t>
      </w:r>
    </w:p>
    <w:p w14:paraId="73F67E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экономичность,</w:t>
      </w:r>
    </w:p>
    <w:p w14:paraId="525318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динамику,</w:t>
      </w:r>
    </w:p>
    <w:p w14:paraId="58F120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прочность.</w:t>
      </w:r>
    </w:p>
    <w:p w14:paraId="357F9D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исследование вопросов стрельбы, при движении по движущимся целям,</w:t>
      </w:r>
    </w:p>
    <w:p w14:paraId="7BC881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испытания брони,</w:t>
      </w:r>
    </w:p>
    <w:p w14:paraId="560C7B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исследования вопросов движения механического транспорта по снегу. 4. В соответствии с задачами для каждого вопроса испытания и исследования необходимо следующее оборудование:</w:t>
      </w:r>
    </w:p>
    <w:p w14:paraId="37DCC1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Составление спецификаций</w:t>
      </w:r>
    </w:p>
    <w:p w14:paraId="2AEEEF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Площадка для замеров 20x40 м.</w:t>
      </w:r>
    </w:p>
    <w:p w14:paraId="2B5852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Измерительный инструмент (линейки, рулетки, угольники, угломеры и различные приспособления).!</w:t>
      </w:r>
    </w:p>
    <w:p w14:paraId="7663C0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II. Испытания и исследования двигателей</w:t>
      </w:r>
    </w:p>
    <w:p w14:paraId="6BD6B0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Станок для испытания двигателей до 5 НР</w:t>
      </w:r>
      <w:r w:rsidRPr="00507A31">
        <w:rPr>
          <w:color w:val="000000" w:themeColor="text1"/>
          <w:sz w:val="16"/>
          <w:szCs w:val="16"/>
          <w:vertAlign w:val="superscript"/>
        </w:rPr>
        <w:t>1</w:t>
      </w:r>
    </w:p>
    <w:p w14:paraId="264307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Станок для испытания двигателей до 25 НР</w:t>
      </w:r>
    </w:p>
    <w:p w14:paraId="747FB8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Станок для испытания двигателей до 150 НР</w:t>
      </w:r>
    </w:p>
    <w:p w14:paraId="62C5EA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Гидравлический тормоз Фруда до 500 НР с соответствующими измерительными приборами, в] том числе и расхода горючего.</w:t>
      </w:r>
    </w:p>
    <w:p w14:paraId="5DB967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Желательно наличие станка для испытания двигателей под различным утлом наклона.</w:t>
      </w:r>
    </w:p>
    <w:p w14:paraId="2CD5E4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Мерительный инструмент (микрометры, штангель-циркули и т.п.)</w:t>
      </w:r>
    </w:p>
    <w:p w14:paraId="24A7A7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III. Испытания и исследования агрегатов автомобилей и мотоциклов 1) Станок для исследования и испытания шестерен на износ</w:t>
      </w:r>
    </w:p>
    <w:p w14:paraId="4ED649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коробок,</w:t>
      </w:r>
    </w:p>
    <w:p w14:paraId="0DD5D7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задних мостов;</w:t>
      </w:r>
    </w:p>
    <w:p w14:paraId="5FB37F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Мерительный инструмент</w:t>
      </w:r>
    </w:p>
    <w:p w14:paraId="0430EE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IV. Испытания и исследования электрооборудования и осветительных приборов автомобилейи| мотоциклов</w:t>
      </w:r>
    </w:p>
    <w:p w14:paraId="64312F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прибор для испытания свечей,</w:t>
      </w:r>
    </w:p>
    <w:p w14:paraId="4E0B11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прибор для испытания магнето,</w:t>
      </w:r>
    </w:p>
    <w:p w14:paraId="199F70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прибор для испытания динамо,</w:t>
      </w:r>
    </w:p>
    <w:p w14:paraId="14AD8C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прибор для испытания стартеров,</w:t>
      </w:r>
    </w:p>
    <w:p w14:paraId="60EDCB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прибор для испытания фар,</w:t>
      </w:r>
    </w:p>
    <w:p w14:paraId="1DA515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прибор для испытания сигналов,</w:t>
      </w:r>
    </w:p>
    <w:p w14:paraId="612D9F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V. Испытания карбюраторов автомобилей и мотоциклов</w:t>
      </w:r>
    </w:p>
    <w:p w14:paraId="2E5779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VI. Испытания и исследования тормозов</w:t>
      </w:r>
    </w:p>
    <w:p w14:paraId="6CDBEB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Станок для испытания тормозов.</w:t>
      </w:r>
    </w:p>
    <w:p w14:paraId="4BD9FD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VII. Исследование топлив и смазки</w:t>
      </w:r>
    </w:p>
    <w:p w14:paraId="04DE33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Физико-химическая аппаратура и мерительный инструмент для исследования топлив и смазк</w:t>
      </w:r>
    </w:p>
    <w:p w14:paraId="5B63B0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VIII. Испытания и исследования непрокалывающейся и непробиваемой пулей резиной</w:t>
      </w:r>
    </w:p>
    <w:p w14:paraId="1A6D4A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Станок для испытания шин,</w:t>
      </w:r>
    </w:p>
    <w:p w14:paraId="6DCE68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Мерительный инструмент.</w:t>
      </w:r>
    </w:p>
    <w:p w14:paraId="227BD7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IX. Дорожные испытания</w:t>
      </w:r>
    </w:p>
    <w:p w14:paraId="04187B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всех дорожных испытаний необходимо 3 автодинамометра, приборы для испытаний (аксе-| лерометра и др.).</w:t>
      </w:r>
    </w:p>
    <w:p w14:paraId="3A55A1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испытания на прочность и износы необходим мерительный инструмент.</w:t>
      </w:r>
    </w:p>
    <w:p w14:paraId="023137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Две взаимно перпендикулярных горизонтальных дорожки (бетонных или с другим гла покровом) длиной каждая до 1,5-2 км, шириной 9,5 м. Расположение одной из дорожек в наорав нии господствующих ветров.</w:t>
      </w:r>
    </w:p>
    <w:p w14:paraId="3528D5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Подъемы</w:t>
      </w:r>
    </w:p>
    <w:p w14:paraId="7A8215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7% длиной 500 м (но не менее 250 м) бетонный,</w:t>
      </w:r>
    </w:p>
    <w:p w14:paraId="6B8E7E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15% 50-100 м гравийный,</w:t>
      </w:r>
    </w:p>
    <w:p w14:paraId="54A565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25% 50 м гравийный,</w:t>
      </w:r>
    </w:p>
    <w:p w14:paraId="68417B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35% длиной 25 м одна дорожка бетонная, другая из естественного грунта,</w:t>
      </w:r>
    </w:p>
    <w:p w14:paraId="333410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 45% длиной 25 м одна дорожка бетонная, другая из естественного грунта, е) 55% длиной 25 м естественный грунт, ширина дорожки ж) 70% длиной 25 м, 10м каждая.</w:t>
      </w:r>
    </w:p>
    <w:p w14:paraId="6F704D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Круговая горизонтальная дорожка (замкнутая кривая любой формы), длиной 4 км с гравийным по-&gt; лотом. Параллельно должна идти дорожка естественного грунта.</w:t>
      </w:r>
    </w:p>
    <w:p w14:paraId="4250AE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Песчаная дорога или участок песка длиной 50-100 м.</w:t>
      </w:r>
    </w:p>
    <w:p w14:paraId="2C3D70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Болотистый участок 50-100 м.</w:t>
      </w:r>
    </w:p>
    <w:p w14:paraId="4C0C66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Бетонированный брод для автомобилей глубиной до 1,5 м с постепенным въездом и выездом. • Уровень воды должен измениться в пределах от 0 до 1,5м.</w:t>
      </w:r>
    </w:p>
    <w:p w14:paraId="12B482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X. Исследование брони и вопросов стрельбы (необходимое оборудование дается 5 и 1 секциями ; НТК УММ)</w:t>
      </w:r>
    </w:p>
    <w:p w14:paraId="320136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XI. Исследования вопросов движения по снегу</w:t>
      </w:r>
    </w:p>
    <w:p w14:paraId="7382D6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специальное оборудование (изготовление силами НИИ)</w:t>
      </w:r>
    </w:p>
    <w:p w14:paraId="7D7767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динамометры,</w:t>
      </w:r>
    </w:p>
    <w:p w14:paraId="68B7D7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измерительный инструмент.</w:t>
      </w:r>
    </w:p>
    <w:p w14:paraId="6FDAC0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Кроме того, Полигон и НИИ должны иметь:</w:t>
      </w:r>
    </w:p>
    <w:p w14:paraId="3612EE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 Опытную гаражную мастерскую для автомобилей (оборудование из новейших приборов аме</w:t>
      </w:r>
      <w:r w:rsidRPr="00507A31">
        <w:rPr>
          <w:color w:val="000000" w:themeColor="text1"/>
          <w:sz w:val="16"/>
          <w:szCs w:val="16"/>
        </w:rPr>
        <w:softHyphen/>
        <w:t>риканской практики),</w:t>
      </w:r>
    </w:p>
    <w:p w14:paraId="0F4B03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Бензиновую станцию (вместе с маслораздаточной станцией),</w:t>
      </w:r>
    </w:p>
    <w:p w14:paraId="4BC8FE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Отопление должно предусматривать снабжение НИИ и лабораторий горячей водой,</w:t>
      </w:r>
    </w:p>
    <w:p w14:paraId="78D47F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Моечное отделение,</w:t>
      </w:r>
    </w:p>
    <w:p w14:paraId="0B3883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Гараж для транспортных машин с отделением для боевых машин,</w:t>
      </w:r>
    </w:p>
    <w:p w14:paraId="12118C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Весы стационарные 15-20 т.</w:t>
      </w:r>
    </w:p>
    <w:p w14:paraId="463D0E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Весы переносные 2 шт. для определения нагрузки, приходящейся на каждую колею.</w:t>
      </w:r>
    </w:p>
    <w:p w14:paraId="2F5383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Весы для определения центра тяжести.</w:t>
      </w:r>
    </w:p>
    <w:p w14:paraId="31EB36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председателя 2 секции НТК УММ РККА</w:t>
      </w:r>
    </w:p>
    <w:p w14:paraId="279205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Свиридов</w:t>
      </w:r>
    </w:p>
    <w:p w14:paraId="27F825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РГВА.Ф. 31811. Оп. 1. Д. 97. Л. 21 -22. Подлинник (11210).</w:t>
      </w:r>
    </w:p>
    <w:p w14:paraId="75C9A2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36EED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19 и 25 сентября 1930. Протокол заседания Политбюро № 10, 1930 г.</w:t>
      </w:r>
    </w:p>
    <w:p w14:paraId="61AC13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 комбайностроении </w:t>
      </w:r>
    </w:p>
    <w:p w14:paraId="217A5E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Признать необходимым форсировать строительство Саратовского завода по производству комбайнов, предусмотрев выпуск его в 15 тыс. комбайнов типа "Холд". Одновременно поручить ВСНХ СССР разработать вопрос о возможности дальнейшего расширения производства комбайнов по Саратовскому заводу до 20 тыс. штук (11652).</w:t>
      </w:r>
    </w:p>
    <w:p w14:paraId="6E896D15" w14:textId="77777777" w:rsidR="00537E5F" w:rsidRPr="00507A31" w:rsidRDefault="00537E5F" w:rsidP="00507A31">
      <w:pPr>
        <w:autoSpaceDE w:val="0"/>
        <w:autoSpaceDN w:val="0"/>
        <w:adjustRightInd w:val="0"/>
        <w:jc w:val="both"/>
        <w:rPr>
          <w:color w:val="000000" w:themeColor="text1"/>
          <w:sz w:val="16"/>
          <w:szCs w:val="16"/>
        </w:rPr>
      </w:pPr>
    </w:p>
    <w:p w14:paraId="292AAB2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4F3C510" w14:textId="77777777" w:rsidR="00537E5F" w:rsidRPr="00507A31" w:rsidRDefault="00537E5F" w:rsidP="00507A31">
      <w:pPr>
        <w:autoSpaceDE w:val="0"/>
        <w:autoSpaceDN w:val="0"/>
        <w:adjustRightInd w:val="0"/>
        <w:jc w:val="both"/>
        <w:rPr>
          <w:iCs/>
          <w:color w:val="000000" w:themeColor="text1"/>
          <w:sz w:val="16"/>
          <w:szCs w:val="16"/>
        </w:rPr>
      </w:pPr>
    </w:p>
    <w:p w14:paraId="76DBD9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сентября 1930 года зам. начальника ВВС ЧМ писал письмо N 2453 начальнику Учебно-строевого управления УВВС.</w:t>
      </w:r>
    </w:p>
    <w:p w14:paraId="6B41F8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Отчет по перелету 3-х самолетов "ДВ" 9 авиабригады Севастополь-Ленинград.</w:t>
      </w:r>
    </w:p>
    <w:p w14:paraId="5CE48B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июля с.г. был произведен предварительный полет в Ейск в целях испытания пробега самолета при взлете, работы моторов и расхода горючего с полной нагрузкой двумя самолетами.</w:t>
      </w:r>
    </w:p>
    <w:p w14:paraId="46CD2F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6 часов 07 минут 1 августа с.г. 2 самолета взлетели для полета в Киев.</w:t>
      </w:r>
    </w:p>
    <w:p w14:paraId="48AD9C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самолет не взлетел вследствие поломки.</w:t>
      </w:r>
    </w:p>
    <w:p w14:paraId="474DA3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взлетевших самолета сделали посадку.</w:t>
      </w:r>
    </w:p>
    <w:p w14:paraId="087A93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9 часов 11 минут 1 августа 3 самолета взлетели по маршруту Севастополь-Киев и в 19 часов 10 минут сделали посадку в Киеве на Днепре, пробыв в воздухе 6 часов 59 минут. Полет проводился на высоте 400-1000 метров.</w:t>
      </w:r>
    </w:p>
    <w:p w14:paraId="616B03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августа 3 самолета вылетели в Ленинград в 5 часов 47 минут. Посадка в Ленинграде была произведена в 14 часов 08 минут, пробыв в воздухе 8 часов 21 минуту.</w:t>
      </w:r>
    </w:p>
    <w:p w14:paraId="618251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Вылетели из Ленинграда в 10 часов 54 минуты в Киев 5 августа.</w:t>
      </w:r>
    </w:p>
    <w:p w14:paraId="5F8309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Вылетели из Киева 7 августа в 5 часов 50 минут. За это время двумя самолетами были совершены вынужденные посадки.</w:t>
      </w:r>
    </w:p>
    <w:p w14:paraId="411ABA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августа 2 самолета в 18 часов 45 минут вернулись в Севастополь.</w:t>
      </w:r>
    </w:p>
    <w:p w14:paraId="397D74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Таким образом весь перелет от Севастополя до Ленинграда и обратно совершен в 30 часов 53 минуты.</w:t>
      </w:r>
    </w:p>
    <w:p w14:paraId="1CF617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Полет проходил на максимальных высотах 1700 метров, минимальных 100 метров.</w:t>
      </w:r>
    </w:p>
    <w:p w14:paraId="27FD5E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 летели все время в строю разомкнутого клина, что наиболее приемлемо. (2978,1-9).</w:t>
      </w:r>
    </w:p>
    <w:p w14:paraId="3E15EAEF" w14:textId="77777777" w:rsidR="00537E5F" w:rsidRPr="00507A31" w:rsidRDefault="00537E5F" w:rsidP="00507A31">
      <w:pPr>
        <w:autoSpaceDE w:val="0"/>
        <w:autoSpaceDN w:val="0"/>
        <w:adjustRightInd w:val="0"/>
        <w:jc w:val="both"/>
        <w:rPr>
          <w:color w:val="000000" w:themeColor="text1"/>
          <w:sz w:val="16"/>
          <w:szCs w:val="16"/>
        </w:rPr>
      </w:pPr>
    </w:p>
    <w:p w14:paraId="4F0C43A3" w14:textId="77777777" w:rsidR="00D225C5" w:rsidRPr="00507A31" w:rsidRDefault="00D225C5" w:rsidP="00507A31">
      <w:pPr>
        <w:jc w:val="both"/>
        <w:rPr>
          <w:color w:val="0070C0"/>
          <w:sz w:val="16"/>
          <w:szCs w:val="16"/>
        </w:rPr>
      </w:pPr>
      <w:r w:rsidRPr="00507A31">
        <w:rPr>
          <w:color w:val="0070C0"/>
          <w:sz w:val="16"/>
          <w:szCs w:val="16"/>
          <w:shd w:val="clear" w:color="auto" w:fill="FFFFFF"/>
        </w:rPr>
        <w:t>20 сентября 1930 года президиум центрального совета Осоавиахима призвал начать всенародный сбор денег для постройки трех воздушных кораблей — «Правда», «Клим Ворошилов», «Осоавиахим», названных в постановлении ЦК «малыми» дирижаблями (20467).</w:t>
      </w:r>
    </w:p>
    <w:p w14:paraId="248BB1D6" w14:textId="77777777" w:rsidR="00D225C5" w:rsidRPr="00507A31" w:rsidRDefault="00D225C5" w:rsidP="00507A31">
      <w:pPr>
        <w:jc w:val="both"/>
        <w:rPr>
          <w:color w:val="0070C0"/>
          <w:sz w:val="16"/>
          <w:szCs w:val="16"/>
        </w:rPr>
      </w:pPr>
    </w:p>
    <w:p w14:paraId="69E2AE4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8460496" w14:textId="77777777" w:rsidR="00537E5F" w:rsidRPr="00507A31" w:rsidRDefault="00537E5F" w:rsidP="00507A31">
      <w:pPr>
        <w:autoSpaceDE w:val="0"/>
        <w:autoSpaceDN w:val="0"/>
        <w:adjustRightInd w:val="0"/>
        <w:jc w:val="both"/>
        <w:rPr>
          <w:iCs/>
          <w:color w:val="000000" w:themeColor="text1"/>
          <w:sz w:val="16"/>
          <w:szCs w:val="16"/>
        </w:rPr>
      </w:pPr>
    </w:p>
    <w:p w14:paraId="712AB9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сентября 1930 года опытный образец 76,2-мм батальонной мортиры КБ НТК АУ. Вариант I поступил на НИАП для проведения полигонных испытаний. Мортира стреляла снарядами с готовыми выступами весом 5,0 кг. Ствол имел 4 нареза. Затвор вертикально-клиновой, допускающий повторное действие ударного механизма.</w:t>
      </w:r>
    </w:p>
    <w:p w14:paraId="0F2C4F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Механизм вертикального наведения имел два сектора.</w:t>
      </w:r>
    </w:p>
    <w:p w14:paraId="31EE2D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Лафет упругий, однобрусный. Колеса деревянные (3861).</w:t>
      </w:r>
    </w:p>
    <w:p w14:paraId="195E2613" w14:textId="77777777" w:rsidR="00537E5F" w:rsidRPr="00507A31" w:rsidRDefault="00537E5F" w:rsidP="00507A31">
      <w:pPr>
        <w:autoSpaceDE w:val="0"/>
        <w:autoSpaceDN w:val="0"/>
        <w:adjustRightInd w:val="0"/>
        <w:jc w:val="both"/>
        <w:rPr>
          <w:color w:val="000000" w:themeColor="text1"/>
          <w:sz w:val="16"/>
          <w:szCs w:val="16"/>
        </w:rPr>
      </w:pPr>
    </w:p>
    <w:p w14:paraId="3CA26D86" w14:textId="77777777" w:rsidR="00D225C5" w:rsidRPr="00507A31" w:rsidRDefault="00D225C5" w:rsidP="00507A31">
      <w:pPr>
        <w:jc w:val="both"/>
        <w:rPr>
          <w:color w:val="0070C0"/>
          <w:sz w:val="16"/>
          <w:szCs w:val="16"/>
        </w:rPr>
      </w:pPr>
      <w:r w:rsidRPr="00507A31">
        <w:rPr>
          <w:color w:val="0070C0"/>
          <w:sz w:val="16"/>
          <w:szCs w:val="16"/>
        </w:rPr>
        <w:t>20 сентября 1930 опросом членов ПБ</w:t>
      </w:r>
    </w:p>
    <w:p w14:paraId="3E5076CF" w14:textId="77777777" w:rsidR="00D225C5" w:rsidRPr="00507A31" w:rsidRDefault="00D225C5" w:rsidP="00507A31">
      <w:pPr>
        <w:jc w:val="both"/>
        <w:rPr>
          <w:color w:val="0070C0"/>
          <w:sz w:val="16"/>
          <w:szCs w:val="16"/>
        </w:rPr>
      </w:pPr>
      <w:r w:rsidRPr="00507A31">
        <w:rPr>
          <w:color w:val="0070C0"/>
          <w:sz w:val="16"/>
          <w:szCs w:val="16"/>
        </w:rPr>
        <w:t>24/32 О мобилизации промышленности</w:t>
      </w:r>
    </w:p>
    <w:p w14:paraId="2FEAC7D4" w14:textId="77777777" w:rsidR="00D225C5" w:rsidRPr="00507A31" w:rsidRDefault="00D225C5" w:rsidP="00507A31">
      <w:pPr>
        <w:jc w:val="both"/>
        <w:rPr>
          <w:color w:val="0070C0"/>
          <w:sz w:val="16"/>
          <w:szCs w:val="16"/>
        </w:rPr>
      </w:pPr>
      <w:r w:rsidRPr="00507A31">
        <w:rPr>
          <w:color w:val="0070C0"/>
          <w:sz w:val="16"/>
          <w:szCs w:val="16"/>
        </w:rPr>
        <w:t>(ПБ от 15.Ш.30 г. пр. № 120, п. 3)</w:t>
      </w:r>
    </w:p>
    <w:p w14:paraId="5D00E7AE" w14:textId="77777777" w:rsidR="00D225C5" w:rsidRPr="00507A31" w:rsidRDefault="00D225C5" w:rsidP="00507A31">
      <w:pPr>
        <w:jc w:val="both"/>
        <w:rPr>
          <w:color w:val="0070C0"/>
          <w:sz w:val="16"/>
          <w:szCs w:val="16"/>
        </w:rPr>
      </w:pPr>
      <w:r w:rsidRPr="00507A31">
        <w:rPr>
          <w:color w:val="0070C0"/>
          <w:sz w:val="16"/>
          <w:szCs w:val="16"/>
        </w:rPr>
        <w:t>Подтвердить решение РЗ СТО о начале проведения опытных: мобилизаций на специальных заводах 22 сентября.</w:t>
      </w:r>
    </w:p>
    <w:p w14:paraId="06C4EBFC" w14:textId="77777777" w:rsidR="00D225C5" w:rsidRPr="00507A31" w:rsidRDefault="00D225C5" w:rsidP="00507A31">
      <w:pPr>
        <w:jc w:val="both"/>
        <w:rPr>
          <w:color w:val="0070C0"/>
          <w:sz w:val="16"/>
          <w:szCs w:val="16"/>
        </w:rPr>
      </w:pPr>
      <w:r w:rsidRPr="00507A31">
        <w:rPr>
          <w:color w:val="0070C0"/>
          <w:sz w:val="16"/>
          <w:szCs w:val="16"/>
        </w:rPr>
        <w:t>Выписки посланы: т.т. Рыкову, Куйбышеву.</w:t>
      </w:r>
    </w:p>
    <w:p w14:paraId="4B9DD9FE" w14:textId="77777777" w:rsidR="00D225C5" w:rsidRPr="00507A31" w:rsidRDefault="00D225C5" w:rsidP="00507A31">
      <w:pPr>
        <w:jc w:val="both"/>
        <w:rPr>
          <w:color w:val="0070C0"/>
          <w:sz w:val="16"/>
          <w:szCs w:val="16"/>
        </w:rPr>
      </w:pPr>
      <w:r w:rsidRPr="00507A31">
        <w:rPr>
          <w:color w:val="0070C0"/>
          <w:sz w:val="16"/>
          <w:szCs w:val="16"/>
        </w:rPr>
        <w:t>25 сентября 1930 состоялось заседание ПБ (Протокол № 10) (21116).</w:t>
      </w:r>
    </w:p>
    <w:p w14:paraId="01C0CF00" w14:textId="77777777" w:rsidR="00D225C5" w:rsidRPr="00507A31" w:rsidRDefault="00D225C5" w:rsidP="00507A31">
      <w:pPr>
        <w:jc w:val="both"/>
        <w:rPr>
          <w:color w:val="0070C0"/>
          <w:sz w:val="16"/>
          <w:szCs w:val="16"/>
        </w:rPr>
      </w:pPr>
    </w:p>
    <w:p w14:paraId="7EFF7352" w14:textId="77777777" w:rsidR="00D225C5" w:rsidRPr="00507A31" w:rsidRDefault="00D225C5" w:rsidP="00507A31">
      <w:pPr>
        <w:jc w:val="both"/>
        <w:rPr>
          <w:color w:val="0070C0"/>
          <w:sz w:val="16"/>
          <w:szCs w:val="16"/>
        </w:rPr>
      </w:pPr>
      <w:r w:rsidRPr="00507A31">
        <w:rPr>
          <w:color w:val="0070C0"/>
          <w:sz w:val="16"/>
          <w:szCs w:val="16"/>
          <w:shd w:val="clear" w:color="auto" w:fill="FFFFFF"/>
        </w:rPr>
        <w:t>20 сентября 1930 года президиум центрального совета Осоавиахима призвал начать всенародный сбор денег для постройки трех воздушных кораблей — «Правда», «Клим Ворошилов», «Осоавиахим», названных в постановлении ЦК «малыми» дирижаблями (20467).</w:t>
      </w:r>
    </w:p>
    <w:p w14:paraId="28F7FAF7" w14:textId="77777777" w:rsidR="00D225C5" w:rsidRPr="00507A31" w:rsidRDefault="00D225C5" w:rsidP="00507A31">
      <w:pPr>
        <w:jc w:val="both"/>
        <w:rPr>
          <w:color w:val="0070C0"/>
          <w:sz w:val="16"/>
          <w:szCs w:val="16"/>
        </w:rPr>
      </w:pPr>
    </w:p>
    <w:p w14:paraId="7E484ED6" w14:textId="77777777" w:rsidR="00D225C5" w:rsidRPr="00507A31" w:rsidRDefault="00D225C5" w:rsidP="00507A31">
      <w:pPr>
        <w:jc w:val="both"/>
        <w:rPr>
          <w:color w:val="0070C0"/>
          <w:sz w:val="16"/>
          <w:szCs w:val="16"/>
        </w:rPr>
      </w:pPr>
      <w:r w:rsidRPr="00507A31">
        <w:rPr>
          <w:color w:val="0070C0"/>
          <w:sz w:val="16"/>
          <w:szCs w:val="16"/>
          <w:shd w:val="clear" w:color="auto" w:fill="FFFFFF"/>
        </w:rPr>
        <w:t>20 сентября 1930 года президиум центрального совета Осоавиахима призвал начать всенародный сбор денег для постройки трех воздушных кораблей — «Правда», «Клим Ворошилов», «Осоавиахим», названных в постановлении ЦК «малыми» дирижаблями (20467).</w:t>
      </w:r>
    </w:p>
    <w:p w14:paraId="370559C9" w14:textId="77777777" w:rsidR="00D225C5" w:rsidRPr="00507A31" w:rsidRDefault="00D225C5" w:rsidP="00507A31">
      <w:pPr>
        <w:jc w:val="both"/>
        <w:rPr>
          <w:color w:val="0070C0"/>
          <w:sz w:val="16"/>
          <w:szCs w:val="16"/>
        </w:rPr>
      </w:pPr>
    </w:p>
    <w:p w14:paraId="4BE75C07" w14:textId="77777777" w:rsidR="00A95902" w:rsidRPr="00507A31" w:rsidRDefault="00A95902" w:rsidP="00507A31">
      <w:pPr>
        <w:jc w:val="both"/>
        <w:rPr>
          <w:color w:val="000000" w:themeColor="text1"/>
          <w:sz w:val="16"/>
          <w:szCs w:val="16"/>
        </w:rPr>
      </w:pPr>
      <w:r w:rsidRPr="00507A31">
        <w:rPr>
          <w:rStyle w:val="a7"/>
          <w:b w:val="0"/>
          <w:color w:val="000000" w:themeColor="text1"/>
          <w:sz w:val="16"/>
          <w:szCs w:val="16"/>
        </w:rPr>
        <w:t xml:space="preserve">20 сентября 1930 </w:t>
      </w:r>
      <w:r w:rsidRPr="00507A31">
        <w:rPr>
          <w:color w:val="000000" w:themeColor="text1"/>
          <w:sz w:val="16"/>
          <w:szCs w:val="16"/>
        </w:rPr>
        <w:t>ЦИК и СНК приняли постановление «О переносе начала хозяйственного года с 1 октября на 1 января» (12265).</w:t>
      </w:r>
    </w:p>
    <w:p w14:paraId="05C24A12" w14:textId="77777777" w:rsidR="00A95902" w:rsidRPr="00507A31" w:rsidRDefault="00A95902" w:rsidP="00507A31">
      <w:pPr>
        <w:jc w:val="both"/>
        <w:rPr>
          <w:color w:val="000000" w:themeColor="text1"/>
          <w:sz w:val="16"/>
          <w:szCs w:val="16"/>
        </w:rPr>
      </w:pPr>
      <w:r w:rsidRPr="00507A31">
        <w:rPr>
          <w:color w:val="000000" w:themeColor="text1"/>
          <w:sz w:val="16"/>
          <w:szCs w:val="16"/>
        </w:rPr>
        <w:t> </w:t>
      </w:r>
    </w:p>
    <w:p w14:paraId="09A039A2"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20 сентября 1930 г. ЦИК и СНК СССР было принято постановление «О переносе начала хозяйственного года с 1 октября на 1 января». Существующий до этого времени хозяйственный год (установлен после Гражданской войны) с 1 октября по 30 сентября соответствовал циклу сельскохозяйственного производства. Индустриализация страны и укрепление плановости народного хозяйства привели к целесообразности переноса начала хозяйственного и бюджетного года на 1 января, приравняв их к календарному исчислению. Оставшиеся месяцы 1930 г. (октябрь-декабрь) решено было выделить в особый (ударный) квартал. (СЗ СССР. 1990. № 49. Ст. 510) (12517).</w:t>
      </w:r>
    </w:p>
    <w:p w14:paraId="62CFABF4" w14:textId="77777777" w:rsidR="00373CA1" w:rsidRPr="00507A31" w:rsidRDefault="00373CA1" w:rsidP="00507A31">
      <w:pPr>
        <w:jc w:val="both"/>
        <w:rPr>
          <w:color w:val="000000" w:themeColor="text1"/>
          <w:sz w:val="16"/>
          <w:szCs w:val="16"/>
        </w:rPr>
      </w:pPr>
    </w:p>
    <w:p w14:paraId="5404A102" w14:textId="77777777" w:rsidR="00B83B6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0A19CBF" w14:textId="77777777" w:rsidR="00B83B62" w:rsidRPr="00507A31" w:rsidRDefault="00B83B62" w:rsidP="00507A31">
      <w:pPr>
        <w:autoSpaceDE w:val="0"/>
        <w:autoSpaceDN w:val="0"/>
        <w:adjustRightInd w:val="0"/>
        <w:jc w:val="both"/>
        <w:rPr>
          <w:iCs/>
          <w:color w:val="000000" w:themeColor="text1"/>
          <w:sz w:val="16"/>
          <w:szCs w:val="16"/>
        </w:rPr>
      </w:pPr>
    </w:p>
    <w:p w14:paraId="63072F1D" w14:textId="77777777" w:rsidR="00B83B62" w:rsidRPr="00507A31" w:rsidRDefault="00B83B62"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20 сентября </w:t>
      </w:r>
      <w:r w:rsidRPr="00507A31">
        <w:rPr>
          <w:color w:val="000000" w:themeColor="text1"/>
          <w:sz w:val="16"/>
          <w:szCs w:val="16"/>
        </w:rPr>
        <w:t>в 1930 году Политбюро ЦК ВКП(б) приняло постановление «О вредителях по мясу и др.». Предписывалось к 22 сентября выделить по полторы полосы в основных газетах под «ряд статей, разъясняющих сущность этого дела и указывающих на то, что работа… контрреволюционной шайки полностью разоблачена и приняты все меры к исправлению последствий». Еще через пять дней следовало «опубликовать приговор ОГПУ о расстреле всех участников вредительской организации». Этим постановлением Политбюро ответило на письмо от 13 сентября отдыхавшего в Сочи Сталина: «Надо бы все показания вредителей по мясу, рыбе, консервам и овощам опубликовать немедля». Впрочем, в Ленинграде еще за неделю до этого расправились с 16 работниками городского Совета потребительских обществ, двоих из них расстреляли (14775).</w:t>
      </w:r>
    </w:p>
    <w:p w14:paraId="25A762AC" w14:textId="77777777" w:rsidR="00B83B62" w:rsidRPr="00507A31" w:rsidRDefault="00B83B62" w:rsidP="00507A31">
      <w:pPr>
        <w:jc w:val="both"/>
        <w:rPr>
          <w:color w:val="000000" w:themeColor="text1"/>
          <w:sz w:val="16"/>
          <w:szCs w:val="16"/>
        </w:rPr>
      </w:pPr>
    </w:p>
    <w:p w14:paraId="218132F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48DA07F" w14:textId="77777777" w:rsidR="00537E5F" w:rsidRPr="00507A31" w:rsidRDefault="00537E5F" w:rsidP="00507A31">
      <w:pPr>
        <w:autoSpaceDE w:val="0"/>
        <w:autoSpaceDN w:val="0"/>
        <w:adjustRightInd w:val="0"/>
        <w:jc w:val="both"/>
        <w:rPr>
          <w:iCs/>
          <w:color w:val="000000" w:themeColor="text1"/>
          <w:sz w:val="16"/>
          <w:szCs w:val="16"/>
        </w:rPr>
      </w:pPr>
    </w:p>
    <w:p w14:paraId="785315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сентября 1930 М.Н.Тухачевский в качестве командующего ЛВО писал НКВМ К.Е.В. копии зам. НКВМ И.П.Уборевичу и нач. ВВС П.И.Б. по щелевым крыльям и дизелям (1028,103).</w:t>
      </w:r>
    </w:p>
    <w:p w14:paraId="2676836D" w14:textId="77777777" w:rsidR="00537E5F" w:rsidRPr="00507A31" w:rsidRDefault="00537E5F" w:rsidP="00507A31">
      <w:pPr>
        <w:autoSpaceDE w:val="0"/>
        <w:autoSpaceDN w:val="0"/>
        <w:adjustRightInd w:val="0"/>
        <w:jc w:val="both"/>
        <w:rPr>
          <w:color w:val="000000" w:themeColor="text1"/>
          <w:sz w:val="16"/>
          <w:szCs w:val="16"/>
        </w:rPr>
      </w:pPr>
    </w:p>
    <w:p w14:paraId="2B9CBF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сентября 1930 в Москве создали Всесоюзный комитет по дирижаблестроению во главе с Н.А.Семашко, который был реорганизован из Комитета по воздухоплаванию. Одобрил инициативы центральных газет - Правда, КП и КЗ, начавшие компанию по сбору средств (438,614).</w:t>
      </w:r>
    </w:p>
    <w:p w14:paraId="376194C7" w14:textId="77777777" w:rsidR="00537E5F" w:rsidRPr="00507A31" w:rsidRDefault="00537E5F" w:rsidP="00507A31">
      <w:pPr>
        <w:autoSpaceDE w:val="0"/>
        <w:autoSpaceDN w:val="0"/>
        <w:adjustRightInd w:val="0"/>
        <w:jc w:val="both"/>
        <w:rPr>
          <w:color w:val="000000" w:themeColor="text1"/>
          <w:sz w:val="16"/>
          <w:szCs w:val="16"/>
        </w:rPr>
      </w:pPr>
    </w:p>
    <w:p w14:paraId="3595554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Другие оборонные отрасли:</w:t>
      </w:r>
    </w:p>
    <w:p w14:paraId="3CF68853" w14:textId="77777777" w:rsidR="00537E5F" w:rsidRPr="00507A31" w:rsidRDefault="00537E5F" w:rsidP="00507A31">
      <w:pPr>
        <w:autoSpaceDE w:val="0"/>
        <w:autoSpaceDN w:val="0"/>
        <w:adjustRightInd w:val="0"/>
        <w:jc w:val="both"/>
        <w:rPr>
          <w:iCs/>
          <w:color w:val="000000" w:themeColor="text1"/>
          <w:sz w:val="16"/>
          <w:szCs w:val="16"/>
        </w:rPr>
      </w:pPr>
    </w:p>
    <w:p w14:paraId="58D89C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 сентября 1930 г. вышла СМЕТА НА ОПЫТНЫЕ РАБОТЫ ПО 1 СЕКЦИИ НТК УММ С 1 ОКТЯБРЯ ПО 1 ЯНВАРЯ 1930 г.</w:t>
      </w:r>
    </w:p>
    <w:p w14:paraId="0900D3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tbl>
      <w:tblPr>
        <w:tblW w:w="0" w:type="auto"/>
        <w:tblInd w:w="40" w:type="dxa"/>
        <w:tblLayout w:type="fixed"/>
        <w:tblCellMar>
          <w:left w:w="40" w:type="dxa"/>
          <w:right w:w="40" w:type="dxa"/>
        </w:tblCellMar>
        <w:tblLook w:val="0000" w:firstRow="0" w:lastRow="0" w:firstColumn="0" w:lastColumn="0" w:noHBand="0" w:noVBand="0"/>
      </w:tblPr>
      <w:tblGrid>
        <w:gridCol w:w="394"/>
        <w:gridCol w:w="3082"/>
        <w:gridCol w:w="1939"/>
        <w:gridCol w:w="1306"/>
        <w:gridCol w:w="979"/>
      </w:tblGrid>
      <w:tr w:rsidR="00E371BA" w:rsidRPr="00507A31" w14:paraId="146049F0" w14:textId="77777777">
        <w:trPr>
          <w:trHeight w:val="566"/>
        </w:trPr>
        <w:tc>
          <w:tcPr>
            <w:tcW w:w="394" w:type="dxa"/>
            <w:tcBorders>
              <w:top w:val="single" w:sz="6" w:space="0" w:color="auto"/>
              <w:left w:val="single" w:sz="6" w:space="0" w:color="auto"/>
              <w:bottom w:val="single" w:sz="6" w:space="0" w:color="auto"/>
              <w:right w:val="single" w:sz="6" w:space="0" w:color="auto"/>
            </w:tcBorders>
          </w:tcPr>
          <w:p w14:paraId="7FC55A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1282B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п/п</w:t>
            </w:r>
          </w:p>
          <w:p w14:paraId="0D2BE4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082" w:type="dxa"/>
            <w:tcBorders>
              <w:top w:val="single" w:sz="6" w:space="0" w:color="auto"/>
              <w:left w:val="single" w:sz="6" w:space="0" w:color="auto"/>
              <w:bottom w:val="single" w:sz="6" w:space="0" w:color="auto"/>
              <w:right w:val="single" w:sz="6" w:space="0" w:color="auto"/>
            </w:tcBorders>
          </w:tcPr>
          <w:p w14:paraId="67E10B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Наименование работ</w:t>
            </w:r>
          </w:p>
          <w:p w14:paraId="3F8B9E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6A4053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 работ</w:t>
            </w:r>
          </w:p>
          <w:p w14:paraId="40C016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42F36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Предприятие, исполняющее работу</w:t>
            </w:r>
          </w:p>
          <w:p w14:paraId="4251A8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1B150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Сумма</w:t>
            </w:r>
          </w:p>
          <w:p w14:paraId="1A7BA4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FDCD5A9" w14:textId="77777777">
        <w:trPr>
          <w:trHeight w:val="1325"/>
        </w:trPr>
        <w:tc>
          <w:tcPr>
            <w:tcW w:w="394" w:type="dxa"/>
            <w:tcBorders>
              <w:top w:val="single" w:sz="6" w:space="0" w:color="auto"/>
              <w:left w:val="single" w:sz="6" w:space="0" w:color="auto"/>
              <w:bottom w:val="single" w:sz="6" w:space="0" w:color="auto"/>
              <w:right w:val="single" w:sz="6" w:space="0" w:color="auto"/>
            </w:tcBorders>
          </w:tcPr>
          <w:p w14:paraId="4D0129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1. 2. 3. 4. 5. 6.</w:t>
            </w:r>
          </w:p>
          <w:p w14:paraId="409729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082" w:type="dxa"/>
            <w:tcBorders>
              <w:top w:val="single" w:sz="6" w:space="0" w:color="auto"/>
              <w:left w:val="single" w:sz="6" w:space="0" w:color="auto"/>
              <w:bottom w:val="single" w:sz="6" w:space="0" w:color="auto"/>
              <w:right w:val="single" w:sz="6" w:space="0" w:color="auto"/>
            </w:tcBorders>
          </w:tcPr>
          <w:p w14:paraId="0221E8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Танкетка К-6 с мотором Форд А Танк Т-20 с мотором КБ Запасный мотор к нему Танкетка Т-23 (без моторов) Испытания танков Танкетка колесно-гусеничная</w:t>
            </w:r>
          </w:p>
          <w:p w14:paraId="69EB08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78B144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Опытный образец Опытный образец Опытный образец 2 опытный образец</w:t>
            </w:r>
          </w:p>
          <w:p w14:paraId="43A78A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Проект</w:t>
            </w:r>
          </w:p>
          <w:p w14:paraId="0D76BA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EEE51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ВАТО ГВООПО ГВООПО ГВООПО</w:t>
            </w:r>
          </w:p>
          <w:p w14:paraId="37B093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НАМИ</w:t>
            </w:r>
          </w:p>
          <w:p w14:paraId="0C2570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35162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10000 60000 10000 20000 10000 10000</w:t>
            </w:r>
          </w:p>
          <w:p w14:paraId="344395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54E9125" w14:textId="77777777">
        <w:trPr>
          <w:trHeight w:val="250"/>
        </w:trPr>
        <w:tc>
          <w:tcPr>
            <w:tcW w:w="6721" w:type="dxa"/>
            <w:gridSpan w:val="4"/>
            <w:tcBorders>
              <w:top w:val="single" w:sz="6" w:space="0" w:color="auto"/>
              <w:left w:val="single" w:sz="6" w:space="0" w:color="auto"/>
              <w:bottom w:val="single" w:sz="6" w:space="0" w:color="auto"/>
              <w:right w:val="single" w:sz="6" w:space="0" w:color="auto"/>
            </w:tcBorders>
          </w:tcPr>
          <w:p w14:paraId="75FD7F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w:t>
            </w:r>
          </w:p>
          <w:p w14:paraId="190A5F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DF335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120000</w:t>
            </w:r>
          </w:p>
          <w:p w14:paraId="36646A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722300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НТК УММ РККА Лебедев</w:t>
      </w:r>
    </w:p>
    <w:p w14:paraId="43D224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председателя 1 секции НТК УММ Браверман</w:t>
      </w:r>
    </w:p>
    <w:p w14:paraId="6FD833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РГВА.Ф. 31811. Оп. 1. Д. 58. Л. 45. Копия (11210).</w:t>
      </w:r>
    </w:p>
    <w:p w14:paraId="5440D66A" w14:textId="77777777" w:rsidR="00537E5F" w:rsidRPr="00507A31" w:rsidRDefault="00537E5F" w:rsidP="00507A31">
      <w:pPr>
        <w:autoSpaceDE w:val="0"/>
        <w:autoSpaceDN w:val="0"/>
        <w:adjustRightInd w:val="0"/>
        <w:jc w:val="both"/>
        <w:rPr>
          <w:color w:val="000000" w:themeColor="text1"/>
          <w:sz w:val="16"/>
          <w:szCs w:val="16"/>
        </w:rPr>
      </w:pPr>
    </w:p>
    <w:p w14:paraId="566E8C54" w14:textId="77777777" w:rsidR="00B774B1" w:rsidRPr="00507A31" w:rsidRDefault="00B774B1" w:rsidP="00507A31">
      <w:pPr>
        <w:jc w:val="both"/>
        <w:rPr>
          <w:color w:val="000000" w:themeColor="text1"/>
          <w:sz w:val="16"/>
          <w:szCs w:val="16"/>
        </w:rPr>
      </w:pPr>
      <w:r w:rsidRPr="00507A31">
        <w:rPr>
          <w:color w:val="000000" w:themeColor="text1"/>
          <w:sz w:val="16"/>
          <w:szCs w:val="16"/>
        </w:rPr>
        <w:t>21 сентября 1930 г.</w:t>
      </w:r>
    </w:p>
    <w:p w14:paraId="6A0A5AF7" w14:textId="77777777" w:rsidR="00B774B1" w:rsidRPr="00507A31" w:rsidRDefault="00B774B1" w:rsidP="00507A31">
      <w:pPr>
        <w:jc w:val="both"/>
        <w:rPr>
          <w:color w:val="000000" w:themeColor="text1"/>
          <w:sz w:val="16"/>
          <w:szCs w:val="16"/>
        </w:rPr>
      </w:pPr>
      <w:r w:rsidRPr="00507A31">
        <w:rPr>
          <w:color w:val="000000" w:themeColor="text1"/>
          <w:sz w:val="16"/>
          <w:szCs w:val="16"/>
        </w:rPr>
        <w:t>Показания Л. К. Рамзина о возникновении «Инженерного центра», структуре, программе, основных направлениях деятельности «Промышленной партии», ее связях с «эмигрантскими промышленными кругами» и «Трудовой крестьянской партией» 21 сентября 1930 г.</w:t>
      </w:r>
    </w:p>
    <w:p w14:paraId="2A509783" w14:textId="77777777" w:rsidR="00B774B1" w:rsidRPr="00507A31" w:rsidRDefault="00B774B1" w:rsidP="00507A31">
      <w:pPr>
        <w:jc w:val="both"/>
        <w:rPr>
          <w:color w:val="000000" w:themeColor="text1"/>
          <w:sz w:val="16"/>
          <w:szCs w:val="16"/>
        </w:rPr>
      </w:pPr>
      <w:r w:rsidRPr="00507A31">
        <w:rPr>
          <w:color w:val="000000" w:themeColor="text1"/>
          <w:sz w:val="16"/>
          <w:szCs w:val="16"/>
        </w:rPr>
        <w:t>Источник: </w:t>
      </w:r>
    </w:p>
    <w:p w14:paraId="70D15800" w14:textId="77777777" w:rsidR="00B774B1" w:rsidRPr="00507A31" w:rsidRDefault="00B774B1"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A29E8EB" w14:textId="77777777" w:rsidR="00B774B1" w:rsidRPr="00507A31" w:rsidRDefault="00B774B1" w:rsidP="00507A31">
      <w:pPr>
        <w:jc w:val="both"/>
        <w:rPr>
          <w:color w:val="000000" w:themeColor="text1"/>
          <w:sz w:val="16"/>
          <w:szCs w:val="16"/>
        </w:rPr>
      </w:pPr>
      <w:r w:rsidRPr="00507A31">
        <w:rPr>
          <w:color w:val="000000" w:themeColor="text1"/>
          <w:sz w:val="16"/>
          <w:szCs w:val="16"/>
        </w:rPr>
        <w:t>Архив: </w:t>
      </w:r>
    </w:p>
    <w:p w14:paraId="24D94F06" w14:textId="77777777" w:rsidR="00B774B1" w:rsidRPr="00507A31" w:rsidRDefault="00B774B1" w:rsidP="00507A31">
      <w:pPr>
        <w:jc w:val="both"/>
        <w:rPr>
          <w:color w:val="000000" w:themeColor="text1"/>
          <w:sz w:val="16"/>
          <w:szCs w:val="16"/>
        </w:rPr>
      </w:pPr>
      <w:r w:rsidRPr="00507A31">
        <w:rPr>
          <w:color w:val="000000" w:themeColor="text1"/>
          <w:sz w:val="16"/>
          <w:szCs w:val="16"/>
        </w:rPr>
        <w:t>ЦА ФСБ РФ. Ф. Р-42280. Т. 10. Л. 13-56. Заверенная машинописная копия того времени</w:t>
      </w:r>
    </w:p>
    <w:p w14:paraId="3FB94FE1" w14:textId="77777777" w:rsidR="00B774B1" w:rsidRPr="00507A31" w:rsidRDefault="00B774B1" w:rsidP="00507A31">
      <w:pPr>
        <w:jc w:val="both"/>
        <w:rPr>
          <w:color w:val="000000" w:themeColor="text1"/>
          <w:sz w:val="16"/>
          <w:szCs w:val="16"/>
        </w:rPr>
      </w:pPr>
      <w:r w:rsidRPr="00507A31">
        <w:rPr>
          <w:color w:val="000000" w:themeColor="text1"/>
          <w:sz w:val="16"/>
          <w:szCs w:val="16"/>
        </w:rPr>
        <w:t>21 сентября 1930 г.</w:t>
      </w:r>
    </w:p>
    <w:p w14:paraId="433A3524" w14:textId="77777777" w:rsidR="00B774B1" w:rsidRPr="00507A31" w:rsidRDefault="00B774B1" w:rsidP="00507A31">
      <w:pPr>
        <w:jc w:val="both"/>
        <w:rPr>
          <w:color w:val="000000" w:themeColor="text1"/>
          <w:sz w:val="16"/>
          <w:szCs w:val="16"/>
        </w:rPr>
      </w:pPr>
      <w:r w:rsidRPr="00507A31">
        <w:rPr>
          <w:color w:val="000000" w:themeColor="text1"/>
          <w:sz w:val="16"/>
          <w:szCs w:val="16"/>
        </w:rPr>
        <w:t>[СТРОГО СЕКРЕТНО]</w:t>
      </w:r>
    </w:p>
    <w:p w14:paraId="2B158E15" w14:textId="77777777" w:rsidR="00B774B1" w:rsidRPr="00507A31" w:rsidRDefault="00B774B1" w:rsidP="00507A31">
      <w:pPr>
        <w:jc w:val="both"/>
        <w:rPr>
          <w:color w:val="000000" w:themeColor="text1"/>
          <w:sz w:val="16"/>
          <w:szCs w:val="16"/>
        </w:rPr>
      </w:pPr>
      <w:r w:rsidRPr="00507A31">
        <w:rPr>
          <w:color w:val="000000" w:themeColor="text1"/>
          <w:sz w:val="16"/>
          <w:szCs w:val="16"/>
        </w:rPr>
        <w:t>ПРОТОКОЛ ДОПРОСА</w:t>
      </w:r>
    </w:p>
    <w:p w14:paraId="74F87399" w14:textId="77777777" w:rsidR="00B774B1" w:rsidRPr="00507A31" w:rsidRDefault="00B774B1" w:rsidP="00507A31">
      <w:pPr>
        <w:jc w:val="both"/>
        <w:rPr>
          <w:color w:val="000000" w:themeColor="text1"/>
          <w:sz w:val="16"/>
          <w:szCs w:val="16"/>
        </w:rPr>
      </w:pPr>
      <w:r w:rsidRPr="00507A31">
        <w:rPr>
          <w:color w:val="000000" w:themeColor="text1"/>
          <w:sz w:val="16"/>
          <w:szCs w:val="16"/>
        </w:rPr>
        <w:t>Профессора РАМЗИНА Леонида Константиновича</w:t>
      </w:r>
    </w:p>
    <w:p w14:paraId="7A77A8B8" w14:textId="77777777" w:rsidR="00B774B1" w:rsidRPr="00507A31" w:rsidRDefault="00B774B1" w:rsidP="00507A31">
      <w:pPr>
        <w:jc w:val="both"/>
        <w:rPr>
          <w:color w:val="000000" w:themeColor="text1"/>
          <w:sz w:val="16"/>
          <w:szCs w:val="16"/>
        </w:rPr>
      </w:pPr>
      <w:r w:rsidRPr="00507A31">
        <w:rPr>
          <w:color w:val="000000" w:themeColor="text1"/>
          <w:sz w:val="16"/>
          <w:szCs w:val="16"/>
        </w:rPr>
        <w:t>от 21-го сентября 1930 года.</w:t>
      </w:r>
    </w:p>
    <w:p w14:paraId="5B9089A9" w14:textId="77777777" w:rsidR="00B774B1" w:rsidRPr="00507A31" w:rsidRDefault="00B774B1" w:rsidP="00507A31">
      <w:pPr>
        <w:jc w:val="both"/>
        <w:rPr>
          <w:color w:val="000000" w:themeColor="text1"/>
          <w:sz w:val="16"/>
          <w:szCs w:val="16"/>
        </w:rPr>
      </w:pPr>
      <w:r w:rsidRPr="00507A31">
        <w:rPr>
          <w:color w:val="000000" w:themeColor="text1"/>
          <w:sz w:val="16"/>
          <w:szCs w:val="16"/>
        </w:rPr>
        <w:t>Допросил пом. нач. СОУ ОГПУ Агранов и пом. нач. 3 отделения] СО ОГПУ Радзивиловский.</w:t>
      </w:r>
    </w:p>
    <w:p w14:paraId="52FE0B1C" w14:textId="77777777" w:rsidR="00B774B1" w:rsidRPr="00507A31" w:rsidRDefault="00B774B1" w:rsidP="00507A31">
      <w:pPr>
        <w:jc w:val="both"/>
        <w:rPr>
          <w:color w:val="000000" w:themeColor="text1"/>
          <w:sz w:val="16"/>
          <w:szCs w:val="16"/>
        </w:rPr>
      </w:pPr>
      <w:r w:rsidRPr="00507A31">
        <w:rPr>
          <w:color w:val="000000" w:themeColor="text1"/>
          <w:sz w:val="16"/>
          <w:szCs w:val="16"/>
        </w:rPr>
        <w:t>На поставленные мне вопросы дополнительно показываю следующее: Признавая себя виновным в участии в контр-революционной организации «Инженерном центре» (или в «Совете объединенных инженерных организаций»), я окончательно и бесповоротно прекращаю всякую борьбу с советской властью, полностью разоружаюсь и приношу мое искреннее и чистосердечное раскаяние в совершенных мною преступлениях. Если советская власть сохранит мне жизнь, клянусь отдать ее на укрепление и развитие соввласти и социалистического строительства.</w:t>
      </w:r>
    </w:p>
    <w:p w14:paraId="76FD0E88" w14:textId="77777777" w:rsidR="00B774B1" w:rsidRPr="00507A31" w:rsidRDefault="00B774B1" w:rsidP="00507A31">
      <w:pPr>
        <w:jc w:val="both"/>
        <w:rPr>
          <w:color w:val="000000" w:themeColor="text1"/>
          <w:sz w:val="16"/>
          <w:szCs w:val="16"/>
        </w:rPr>
      </w:pPr>
      <w:r w:rsidRPr="00507A31">
        <w:rPr>
          <w:color w:val="000000" w:themeColor="text1"/>
          <w:sz w:val="16"/>
          <w:szCs w:val="16"/>
        </w:rPr>
        <w:t>1. ВОЗНИКНОВЕНИЕ ИНЖЕНЕРНОГО ЦЕНТРА.</w:t>
      </w:r>
    </w:p>
    <w:p w14:paraId="65235DAE" w14:textId="77777777" w:rsidR="00B774B1" w:rsidRPr="00507A31" w:rsidRDefault="00B774B1" w:rsidP="00507A31">
      <w:pPr>
        <w:jc w:val="both"/>
        <w:rPr>
          <w:color w:val="000000" w:themeColor="text1"/>
          <w:sz w:val="16"/>
          <w:szCs w:val="16"/>
        </w:rPr>
      </w:pPr>
      <w:r w:rsidRPr="00507A31">
        <w:rPr>
          <w:color w:val="000000" w:themeColor="text1"/>
          <w:sz w:val="16"/>
          <w:szCs w:val="16"/>
        </w:rPr>
        <w:t>Насколько мне известно из отрывочных сообщений, возникновение Инженерного центра можно отнести к 1926 году. Сколько-нибудь точных и подробных сведений по этому вопросу я не имею, ибо я начал принимать участие в Инженерном центре лишь в начале 1927 года.</w:t>
      </w:r>
    </w:p>
    <w:p w14:paraId="18CDDA2B" w14:textId="77777777" w:rsidR="00B774B1" w:rsidRPr="00507A31" w:rsidRDefault="00B774B1" w:rsidP="00507A31">
      <w:pPr>
        <w:jc w:val="both"/>
        <w:rPr>
          <w:color w:val="000000" w:themeColor="text1"/>
          <w:sz w:val="16"/>
          <w:szCs w:val="16"/>
        </w:rPr>
      </w:pPr>
      <w:r w:rsidRPr="00507A31">
        <w:rPr>
          <w:color w:val="000000" w:themeColor="text1"/>
          <w:sz w:val="16"/>
          <w:szCs w:val="16"/>
        </w:rPr>
        <w:t>По имеющимся у меня сведениям, Инженерный центр не был создан сразу в виде законченной организации, а формировался постепенно из среды инженеров, группировавшихся около клуба «Горных деятелей» и Всесоюзной Ассоциации Инженеров.</w:t>
      </w:r>
    </w:p>
    <w:p w14:paraId="2C376410" w14:textId="77777777" w:rsidR="00B774B1" w:rsidRPr="00507A31" w:rsidRDefault="00B774B1" w:rsidP="00507A31">
      <w:pPr>
        <w:jc w:val="both"/>
        <w:rPr>
          <w:color w:val="000000" w:themeColor="text1"/>
          <w:sz w:val="16"/>
          <w:szCs w:val="16"/>
        </w:rPr>
      </w:pPr>
      <w:r w:rsidRPr="00507A31">
        <w:rPr>
          <w:color w:val="000000" w:themeColor="text1"/>
          <w:sz w:val="16"/>
          <w:szCs w:val="16"/>
        </w:rPr>
        <w:t>Клуб «Горных деятелей» был организован группой горных инженеров во главе с П. А. Пальчинским и с И. И. Федоровичем, с целью идеологического влияния на горные инженерные круги, каковое влияние и было в значительной мере достигнуто, ибо основные деятели организации, возглавляемой Инженерным центром, были навербованы из числа членов клуба «Горных деятелей», как-то: П. А. Пальчинский, Л. Г. Рабинович, И. И. Федорович и др.</w:t>
      </w:r>
    </w:p>
    <w:p w14:paraId="64067561" w14:textId="77777777" w:rsidR="00B774B1" w:rsidRPr="00507A31" w:rsidRDefault="00B774B1" w:rsidP="00507A31">
      <w:pPr>
        <w:jc w:val="both"/>
        <w:rPr>
          <w:color w:val="000000" w:themeColor="text1"/>
          <w:sz w:val="16"/>
          <w:szCs w:val="16"/>
        </w:rPr>
      </w:pPr>
      <w:r w:rsidRPr="00507A31">
        <w:rPr>
          <w:color w:val="000000" w:themeColor="text1"/>
          <w:sz w:val="16"/>
          <w:szCs w:val="16"/>
        </w:rPr>
        <w:t>Что касается роли ВАИ в деле создания Инженерного центра и его разветвлений, то ВАИ дала основное ядро по железнодорожной группе — Величко, Мекк, Красовский, кроме того, ВАИ служила ширмой для Инженерного центра, ибо значительная часть заседаний и совещаний центра происходили в помещениях ВАИ. Таким же прикрытием для центра, особенно в первое время, являлся и клуб «Горных деятелей».</w:t>
      </w:r>
    </w:p>
    <w:p w14:paraId="66D1F396" w14:textId="77777777" w:rsidR="00B774B1" w:rsidRPr="00507A31" w:rsidRDefault="00B774B1" w:rsidP="00507A31">
      <w:pPr>
        <w:jc w:val="both"/>
        <w:rPr>
          <w:color w:val="000000" w:themeColor="text1"/>
          <w:sz w:val="16"/>
          <w:szCs w:val="16"/>
        </w:rPr>
      </w:pPr>
      <w:r w:rsidRPr="00507A31">
        <w:rPr>
          <w:color w:val="000000" w:themeColor="text1"/>
          <w:sz w:val="16"/>
          <w:szCs w:val="16"/>
        </w:rPr>
        <w:t>Инициатором, вдохновителем и основным организатором при создании Инженерного центра является П. А. Пальчинский, причем наиболее активными сотрудниками его являлись Л. Г. Рабинович и И. И. Федорович.</w:t>
      </w:r>
    </w:p>
    <w:p w14:paraId="1F7AAA2B" w14:textId="77777777" w:rsidR="00B774B1" w:rsidRPr="00507A31" w:rsidRDefault="00B774B1" w:rsidP="00507A31">
      <w:pPr>
        <w:jc w:val="both"/>
        <w:rPr>
          <w:color w:val="000000" w:themeColor="text1"/>
          <w:sz w:val="16"/>
          <w:szCs w:val="16"/>
        </w:rPr>
      </w:pPr>
      <w:r w:rsidRPr="00507A31">
        <w:rPr>
          <w:color w:val="000000" w:themeColor="text1"/>
          <w:sz w:val="16"/>
          <w:szCs w:val="16"/>
        </w:rPr>
        <w:t>2. ПРЕДПОСЫЛКИ ВОЗНИКНОВЕНИЯ ЦЕНТРА.</w:t>
      </w:r>
    </w:p>
    <w:p w14:paraId="3FDF03F2" w14:textId="77777777" w:rsidR="00B774B1" w:rsidRPr="00507A31" w:rsidRDefault="00B774B1" w:rsidP="00507A31">
      <w:pPr>
        <w:jc w:val="both"/>
        <w:rPr>
          <w:color w:val="000000" w:themeColor="text1"/>
          <w:sz w:val="16"/>
          <w:szCs w:val="16"/>
        </w:rPr>
      </w:pPr>
      <w:r w:rsidRPr="00507A31">
        <w:rPr>
          <w:color w:val="000000" w:themeColor="text1"/>
          <w:sz w:val="16"/>
          <w:szCs w:val="16"/>
        </w:rPr>
        <w:t>Основные предпосылки для возникновения Инженерного центра и его дальнейшего развития рисуются мне в следующем виде:</w:t>
      </w:r>
    </w:p>
    <w:p w14:paraId="69A729F6" w14:textId="77777777" w:rsidR="00B774B1" w:rsidRPr="00507A31" w:rsidRDefault="00B774B1" w:rsidP="00507A31">
      <w:pPr>
        <w:jc w:val="both"/>
        <w:rPr>
          <w:color w:val="000000" w:themeColor="text1"/>
          <w:sz w:val="16"/>
          <w:szCs w:val="16"/>
        </w:rPr>
      </w:pPr>
      <w:r w:rsidRPr="00507A31">
        <w:rPr>
          <w:color w:val="000000" w:themeColor="text1"/>
          <w:sz w:val="16"/>
          <w:szCs w:val="16"/>
        </w:rPr>
        <w:t>а)  Одной их исходных причин создания контр-революционной организации являются прежде всего политические настроения в рядах старого инженерства, колебавшегося обычно в границах от кадетских до крайне правых, монархических убеждений. Таким образом по своему политическому облику старое инженерство в своей массе не принимало советского строя и принципов коммунистической партии.</w:t>
      </w:r>
    </w:p>
    <w:p w14:paraId="4D01B468" w14:textId="77777777" w:rsidR="00B774B1" w:rsidRPr="00507A31" w:rsidRDefault="00B774B1" w:rsidP="00507A31">
      <w:pPr>
        <w:jc w:val="both"/>
        <w:rPr>
          <w:color w:val="000000" w:themeColor="text1"/>
          <w:sz w:val="16"/>
          <w:szCs w:val="16"/>
        </w:rPr>
      </w:pPr>
      <w:r w:rsidRPr="00507A31">
        <w:rPr>
          <w:color w:val="000000" w:themeColor="text1"/>
          <w:sz w:val="16"/>
          <w:szCs w:val="16"/>
        </w:rPr>
        <w:t>б)  Указанные политические настроения подкреплялись и разницей в деловом и бытовом положении инженеров до и после Октябрьской революции; естественное недоверие соввласти к инженерству, политический и общественный контроль за их работой лишило инженерство того командного положения, которое многие из них занимали до революции, вместе с тем после революции бытовое и материальное положение крупных инженеров сильно ухудшилось.</w:t>
      </w:r>
    </w:p>
    <w:p w14:paraId="5572E527" w14:textId="77777777" w:rsidR="00B774B1" w:rsidRPr="00507A31" w:rsidRDefault="00B774B1" w:rsidP="00507A31">
      <w:pPr>
        <w:jc w:val="both"/>
        <w:rPr>
          <w:color w:val="000000" w:themeColor="text1"/>
          <w:sz w:val="16"/>
          <w:szCs w:val="16"/>
        </w:rPr>
      </w:pPr>
      <w:r w:rsidRPr="00507A31">
        <w:rPr>
          <w:color w:val="000000" w:themeColor="text1"/>
          <w:sz w:val="16"/>
          <w:szCs w:val="16"/>
        </w:rPr>
        <w:t>в) Влияние прежних владельцев предприятий на старых инженеров имевших и частично сохранивших связи с прежними хозяевами, также было постоянным стимулом для борьбы против советского строя с целью возврата прежним владельцам их предприятий или компенсации за них.</w:t>
      </w:r>
    </w:p>
    <w:p w14:paraId="33CDEE2C" w14:textId="77777777" w:rsidR="00B774B1" w:rsidRPr="00507A31" w:rsidRDefault="00B774B1" w:rsidP="00507A31">
      <w:pPr>
        <w:jc w:val="both"/>
        <w:rPr>
          <w:color w:val="000000" w:themeColor="text1"/>
          <w:sz w:val="16"/>
          <w:szCs w:val="16"/>
        </w:rPr>
      </w:pPr>
      <w:r w:rsidRPr="00507A31">
        <w:rPr>
          <w:color w:val="000000" w:themeColor="text1"/>
          <w:sz w:val="16"/>
          <w:szCs w:val="16"/>
        </w:rPr>
        <w:t>г) Наметившийся переход от нэпа к социалистическому наступлению был также одной из причин, побудивших к активным действиям против соввласти, ибо надежды на постепенное перерождение последней и дальнейшее углубление нэпа постепенно рушилось.</w:t>
      </w:r>
    </w:p>
    <w:p w14:paraId="7E36E220" w14:textId="77777777" w:rsidR="00B774B1" w:rsidRPr="00507A31" w:rsidRDefault="00B774B1" w:rsidP="00507A31">
      <w:pPr>
        <w:jc w:val="both"/>
        <w:rPr>
          <w:color w:val="000000" w:themeColor="text1"/>
          <w:sz w:val="16"/>
          <w:szCs w:val="16"/>
        </w:rPr>
      </w:pPr>
      <w:r w:rsidRPr="00507A31">
        <w:rPr>
          <w:color w:val="000000" w:themeColor="text1"/>
          <w:sz w:val="16"/>
          <w:szCs w:val="16"/>
        </w:rPr>
        <w:t>д) Разгоревшаяся борьба внутри ВКП(б) возбуждала надежды на более успешные результаты контр-революционных выступлений, в расчете на ослабление коммунистической партии внутренней борьбой.</w:t>
      </w:r>
    </w:p>
    <w:p w14:paraId="1A8DE528" w14:textId="77777777" w:rsidR="00B774B1" w:rsidRPr="00507A31" w:rsidRDefault="00B774B1" w:rsidP="00507A31">
      <w:pPr>
        <w:jc w:val="both"/>
        <w:rPr>
          <w:color w:val="000000" w:themeColor="text1"/>
          <w:sz w:val="16"/>
          <w:szCs w:val="16"/>
        </w:rPr>
      </w:pPr>
      <w:r w:rsidRPr="00507A31">
        <w:rPr>
          <w:color w:val="000000" w:themeColor="text1"/>
          <w:sz w:val="16"/>
          <w:szCs w:val="16"/>
        </w:rPr>
        <w:t>е) Враждебность и ненависть к соввласти со стороны капиталистических стран создавали реальную базу для расчетов на активную помощь извне, вплоть до военной интервенции, и, таким образом, позволяли надеяться на полную осуществимость контр-революционного переворота в недалеком будущем.</w:t>
      </w:r>
    </w:p>
    <w:p w14:paraId="509CE900" w14:textId="77777777" w:rsidR="00B774B1" w:rsidRPr="00507A31" w:rsidRDefault="00B774B1" w:rsidP="00507A31">
      <w:pPr>
        <w:jc w:val="both"/>
        <w:rPr>
          <w:color w:val="000000" w:themeColor="text1"/>
          <w:sz w:val="16"/>
          <w:szCs w:val="16"/>
        </w:rPr>
      </w:pPr>
      <w:r w:rsidRPr="00507A31">
        <w:rPr>
          <w:color w:val="000000" w:themeColor="text1"/>
          <w:sz w:val="16"/>
          <w:szCs w:val="16"/>
        </w:rPr>
        <w:t>ж) Наметившееся уже в 1927 г. ухудшение бытового положения, недовольство в крестьянских массах, определившиеся признаки кризисов и экономических затруднений, с перспективами их прогрессирования создавали внутри страны благоприятную почву для контр-революционного переворота.</w:t>
      </w:r>
    </w:p>
    <w:p w14:paraId="2EA38B0E" w14:textId="77777777" w:rsidR="00B774B1" w:rsidRPr="00507A31" w:rsidRDefault="00B774B1" w:rsidP="00507A31">
      <w:pPr>
        <w:jc w:val="both"/>
        <w:rPr>
          <w:color w:val="000000" w:themeColor="text1"/>
          <w:sz w:val="16"/>
          <w:szCs w:val="16"/>
        </w:rPr>
      </w:pPr>
      <w:r w:rsidRPr="00507A31">
        <w:rPr>
          <w:color w:val="000000" w:themeColor="text1"/>
          <w:sz w:val="16"/>
          <w:szCs w:val="16"/>
        </w:rPr>
        <w:t>3. СОСТАВ ЦЕНТРА.</w:t>
      </w:r>
    </w:p>
    <w:p w14:paraId="531A5AB2" w14:textId="77777777" w:rsidR="00B774B1" w:rsidRPr="00507A31" w:rsidRDefault="00B774B1" w:rsidP="00507A31">
      <w:pPr>
        <w:jc w:val="both"/>
        <w:rPr>
          <w:color w:val="000000" w:themeColor="text1"/>
          <w:sz w:val="16"/>
          <w:szCs w:val="16"/>
        </w:rPr>
      </w:pPr>
      <w:r w:rsidRPr="00507A31">
        <w:rPr>
          <w:color w:val="000000" w:themeColor="text1"/>
          <w:sz w:val="16"/>
          <w:szCs w:val="16"/>
        </w:rPr>
        <w:t>В состав Инженерного центра входили:</w:t>
      </w:r>
    </w:p>
    <w:p w14:paraId="35164ADD" w14:textId="77777777" w:rsidR="00B774B1" w:rsidRPr="00507A31" w:rsidRDefault="00B774B1" w:rsidP="00507A31">
      <w:pPr>
        <w:jc w:val="both"/>
        <w:rPr>
          <w:color w:val="000000" w:themeColor="text1"/>
          <w:sz w:val="16"/>
          <w:szCs w:val="16"/>
        </w:rPr>
      </w:pPr>
      <w:r w:rsidRPr="00507A31">
        <w:rPr>
          <w:color w:val="000000" w:themeColor="text1"/>
          <w:sz w:val="16"/>
          <w:szCs w:val="16"/>
        </w:rPr>
        <w:t>1) П. А. Пальчинский — основной руководитель всего центра, в ведении коего кроме общего руководства работой всей организации были вопросы военные, финансовые и основных заграничных связей.</w:t>
      </w:r>
    </w:p>
    <w:p w14:paraId="3342BEDA" w14:textId="77777777" w:rsidR="00B774B1" w:rsidRPr="00507A31" w:rsidRDefault="00B774B1" w:rsidP="00507A31">
      <w:pPr>
        <w:jc w:val="both"/>
        <w:rPr>
          <w:color w:val="000000" w:themeColor="text1"/>
          <w:sz w:val="16"/>
          <w:szCs w:val="16"/>
        </w:rPr>
      </w:pPr>
      <w:r w:rsidRPr="00507A31">
        <w:rPr>
          <w:color w:val="000000" w:themeColor="text1"/>
          <w:sz w:val="16"/>
          <w:szCs w:val="16"/>
        </w:rPr>
        <w:t>2) Л. Г. Рабинович — угольная промышленность, мелкие отрасли промышленности и общий сводный промышленный план.</w:t>
      </w:r>
    </w:p>
    <w:p w14:paraId="22A07E60" w14:textId="77777777" w:rsidR="00B774B1" w:rsidRPr="00507A31" w:rsidRDefault="00B774B1" w:rsidP="00507A31">
      <w:pPr>
        <w:jc w:val="both"/>
        <w:rPr>
          <w:color w:val="000000" w:themeColor="text1"/>
          <w:sz w:val="16"/>
          <w:szCs w:val="16"/>
        </w:rPr>
      </w:pPr>
      <w:r w:rsidRPr="00507A31">
        <w:rPr>
          <w:color w:val="000000" w:themeColor="text1"/>
          <w:sz w:val="16"/>
          <w:szCs w:val="16"/>
        </w:rPr>
        <w:t>3) Инженер Хренников — металлургия и металлообрабатывающая промышленность.</w:t>
      </w:r>
    </w:p>
    <w:p w14:paraId="021CDFCD" w14:textId="77777777" w:rsidR="00B774B1" w:rsidRPr="00507A31" w:rsidRDefault="00B774B1" w:rsidP="00507A31">
      <w:pPr>
        <w:jc w:val="both"/>
        <w:rPr>
          <w:color w:val="000000" w:themeColor="text1"/>
          <w:sz w:val="16"/>
          <w:szCs w:val="16"/>
        </w:rPr>
      </w:pPr>
      <w:r w:rsidRPr="00507A31">
        <w:rPr>
          <w:color w:val="000000" w:themeColor="text1"/>
          <w:sz w:val="16"/>
          <w:szCs w:val="16"/>
        </w:rPr>
        <w:t>4) Профессор Чарновский — металлургия и металлообрабатывающая промышленность.</w:t>
      </w:r>
    </w:p>
    <w:p w14:paraId="28C2746B" w14:textId="77777777" w:rsidR="00B774B1" w:rsidRPr="00507A31" w:rsidRDefault="00B774B1" w:rsidP="00507A31">
      <w:pPr>
        <w:jc w:val="both"/>
        <w:rPr>
          <w:color w:val="000000" w:themeColor="text1"/>
          <w:sz w:val="16"/>
          <w:szCs w:val="16"/>
        </w:rPr>
      </w:pPr>
      <w:r w:rsidRPr="00507A31">
        <w:rPr>
          <w:color w:val="000000" w:themeColor="text1"/>
          <w:sz w:val="16"/>
          <w:szCs w:val="16"/>
        </w:rPr>
        <w:t>5) Инженер Федотов — текстильная промышленность.</w:t>
      </w:r>
    </w:p>
    <w:p w14:paraId="46F90883" w14:textId="77777777" w:rsidR="00B774B1" w:rsidRPr="00507A31" w:rsidRDefault="00B774B1" w:rsidP="00507A31">
      <w:pPr>
        <w:jc w:val="both"/>
        <w:rPr>
          <w:color w:val="000000" w:themeColor="text1"/>
          <w:sz w:val="16"/>
          <w:szCs w:val="16"/>
        </w:rPr>
      </w:pPr>
      <w:r w:rsidRPr="00507A31">
        <w:rPr>
          <w:color w:val="000000" w:themeColor="text1"/>
          <w:sz w:val="16"/>
          <w:szCs w:val="16"/>
        </w:rPr>
        <w:t>6) Инженер Куприянов — текстильная промышленность.</w:t>
      </w:r>
    </w:p>
    <w:p w14:paraId="5AC859B0" w14:textId="77777777" w:rsidR="00B774B1" w:rsidRPr="00507A31" w:rsidRDefault="00B774B1" w:rsidP="00507A31">
      <w:pPr>
        <w:jc w:val="both"/>
        <w:rPr>
          <w:color w:val="000000" w:themeColor="text1"/>
          <w:sz w:val="16"/>
          <w:szCs w:val="16"/>
        </w:rPr>
      </w:pPr>
      <w:r w:rsidRPr="00507A31">
        <w:rPr>
          <w:color w:val="000000" w:themeColor="text1"/>
          <w:sz w:val="16"/>
          <w:szCs w:val="16"/>
        </w:rPr>
        <w:t>7) Инженер Ларичев — нефтяная промышленность и топливоснабжение.</w:t>
      </w:r>
    </w:p>
    <w:p w14:paraId="53259572" w14:textId="77777777" w:rsidR="00B774B1" w:rsidRPr="00507A31" w:rsidRDefault="00B774B1" w:rsidP="00507A31">
      <w:pPr>
        <w:jc w:val="both"/>
        <w:rPr>
          <w:color w:val="000000" w:themeColor="text1"/>
          <w:sz w:val="16"/>
          <w:szCs w:val="16"/>
        </w:rPr>
      </w:pPr>
      <w:r w:rsidRPr="00507A31">
        <w:rPr>
          <w:color w:val="000000" w:themeColor="text1"/>
          <w:sz w:val="16"/>
          <w:szCs w:val="16"/>
        </w:rPr>
        <w:t>8) Профессор Л. К. Рамзин — топливоснабжение и энергетика.</w:t>
      </w:r>
    </w:p>
    <w:p w14:paraId="63E30E74" w14:textId="77777777" w:rsidR="00B774B1" w:rsidRPr="00507A31" w:rsidRDefault="00B774B1" w:rsidP="00507A31">
      <w:pPr>
        <w:jc w:val="both"/>
        <w:rPr>
          <w:color w:val="000000" w:themeColor="text1"/>
          <w:sz w:val="16"/>
          <w:szCs w:val="16"/>
        </w:rPr>
      </w:pPr>
      <w:r w:rsidRPr="00507A31">
        <w:rPr>
          <w:color w:val="000000" w:themeColor="text1"/>
          <w:sz w:val="16"/>
          <w:szCs w:val="16"/>
        </w:rPr>
        <w:t>Кроме того, к составу центра надо отнести и</w:t>
      </w:r>
    </w:p>
    <w:p w14:paraId="18AE6264" w14:textId="77777777" w:rsidR="00B774B1" w:rsidRPr="00507A31" w:rsidRDefault="00B774B1" w:rsidP="00507A31">
      <w:pPr>
        <w:jc w:val="both"/>
        <w:rPr>
          <w:color w:val="000000" w:themeColor="text1"/>
          <w:sz w:val="16"/>
          <w:szCs w:val="16"/>
        </w:rPr>
      </w:pPr>
      <w:r w:rsidRPr="00507A31">
        <w:rPr>
          <w:color w:val="000000" w:themeColor="text1"/>
          <w:sz w:val="16"/>
          <w:szCs w:val="16"/>
        </w:rPr>
        <w:t>9) Инженер П. И. Красовский — пути сообщения, хотя последний, как правило, не присутствовал на тех заседаниях центра, на которых я был; тоже самое надо сказать и относительно Куприянова.</w:t>
      </w:r>
    </w:p>
    <w:p w14:paraId="75015F88" w14:textId="77777777" w:rsidR="00B774B1" w:rsidRPr="00507A31" w:rsidRDefault="00B774B1" w:rsidP="00507A31">
      <w:pPr>
        <w:jc w:val="both"/>
        <w:rPr>
          <w:color w:val="000000" w:themeColor="text1"/>
          <w:sz w:val="16"/>
          <w:szCs w:val="16"/>
        </w:rPr>
      </w:pPr>
      <w:r w:rsidRPr="00507A31">
        <w:rPr>
          <w:color w:val="000000" w:themeColor="text1"/>
          <w:sz w:val="16"/>
          <w:szCs w:val="16"/>
        </w:rPr>
        <w:lastRenderedPageBreak/>
        <w:t>Ввиду естественного отсутствия жестких организационных форм я затрудняюсь поэтому окончательно отграничить членов самого центра от членов его отраслевых групп.</w:t>
      </w:r>
    </w:p>
    <w:p w14:paraId="50BAD001" w14:textId="77777777" w:rsidR="00B774B1" w:rsidRPr="00507A31" w:rsidRDefault="00B774B1" w:rsidP="00507A31">
      <w:pPr>
        <w:jc w:val="both"/>
        <w:rPr>
          <w:color w:val="000000" w:themeColor="text1"/>
          <w:sz w:val="16"/>
          <w:szCs w:val="16"/>
        </w:rPr>
      </w:pPr>
      <w:r w:rsidRPr="00507A31">
        <w:rPr>
          <w:color w:val="000000" w:themeColor="text1"/>
          <w:sz w:val="16"/>
          <w:szCs w:val="16"/>
        </w:rPr>
        <w:t>Формальных выборов президиума центра при мне не было. Однако, центр фактически имел президиум, состоявший из следующих лиц: инж. П. А. Пальчинский, инж. Л. Г. Рабинович, и инж. Хренников. После ареста Рабиновича его фактически заменил Федотов.</w:t>
      </w:r>
    </w:p>
    <w:p w14:paraId="29CA89E9" w14:textId="77777777" w:rsidR="00B774B1" w:rsidRPr="00507A31" w:rsidRDefault="00B774B1" w:rsidP="00507A31">
      <w:pPr>
        <w:jc w:val="both"/>
        <w:rPr>
          <w:color w:val="000000" w:themeColor="text1"/>
          <w:sz w:val="16"/>
          <w:szCs w:val="16"/>
        </w:rPr>
      </w:pPr>
      <w:r w:rsidRPr="00507A31">
        <w:rPr>
          <w:color w:val="000000" w:themeColor="text1"/>
          <w:sz w:val="16"/>
          <w:szCs w:val="16"/>
        </w:rPr>
        <w:t>4. ОРГАНИЗАЦИОННАЯ СТРУКТУРА.</w:t>
      </w:r>
    </w:p>
    <w:p w14:paraId="5A19776D" w14:textId="77777777" w:rsidR="00B774B1" w:rsidRPr="00507A31" w:rsidRDefault="00B774B1" w:rsidP="00507A31">
      <w:pPr>
        <w:jc w:val="both"/>
        <w:rPr>
          <w:color w:val="000000" w:themeColor="text1"/>
          <w:sz w:val="16"/>
          <w:szCs w:val="16"/>
        </w:rPr>
      </w:pPr>
      <w:r w:rsidRPr="00507A31">
        <w:rPr>
          <w:color w:val="000000" w:themeColor="text1"/>
          <w:sz w:val="16"/>
          <w:szCs w:val="16"/>
        </w:rPr>
        <w:t>В целях максимальной конспирации вся организация была построена по принципу обособленных цепочных связей. А именно по отдельным отраслям промышленности существовали отдельные головные звенья, игравшие роль соответствующих отраслевых центров, которые устанавливали связь далее к низу, т. е. к низовым и периферийным ячейкам.</w:t>
      </w:r>
    </w:p>
    <w:p w14:paraId="1E076AE3" w14:textId="77777777" w:rsidR="00B774B1" w:rsidRPr="00507A31" w:rsidRDefault="00B774B1" w:rsidP="00507A31">
      <w:pPr>
        <w:jc w:val="both"/>
        <w:rPr>
          <w:color w:val="000000" w:themeColor="text1"/>
          <w:sz w:val="16"/>
          <w:szCs w:val="16"/>
        </w:rPr>
      </w:pPr>
      <w:r w:rsidRPr="00507A31">
        <w:rPr>
          <w:color w:val="000000" w:themeColor="text1"/>
          <w:sz w:val="16"/>
          <w:szCs w:val="16"/>
        </w:rPr>
        <w:t>Благодаря такой организации члены различных цепочек не знали друг друга, и даже верховые и низовые звенья одной и той же цепочки также не находились в непосредственном контакте. Такая система цепочных связей обеспечивала минимальные разрывы организации в случае провала ее отдельных членов.</w:t>
      </w:r>
    </w:p>
    <w:p w14:paraId="1D9C5B96" w14:textId="77777777" w:rsidR="00B774B1" w:rsidRPr="00507A31" w:rsidRDefault="00B774B1" w:rsidP="00507A31">
      <w:pPr>
        <w:jc w:val="both"/>
        <w:rPr>
          <w:color w:val="000000" w:themeColor="text1"/>
          <w:sz w:val="16"/>
          <w:szCs w:val="16"/>
        </w:rPr>
      </w:pPr>
      <w:r w:rsidRPr="00507A31">
        <w:rPr>
          <w:color w:val="000000" w:themeColor="text1"/>
          <w:sz w:val="16"/>
          <w:szCs w:val="16"/>
        </w:rPr>
        <w:t>Вследствие цепочного типа организации и отсутствию списков ее членов, количественного учета размеров организации не было. Поэтому представление об ее объеме можно составить лишь на основании грубо-глазомерной субъективной оценки. По моему впечатлению, общий объем московской организации, непосредственно связанной с центром, можно оценивать около 40-50 человек, а суммарное количество членов организации, тяготеющих непосредственно к центру — цифрового порядка 400-500 человек. Общее же количество участников организации, включая низовых работников, доходило до 2.000 чел.</w:t>
      </w:r>
    </w:p>
    <w:p w14:paraId="12724A29" w14:textId="77777777" w:rsidR="00B774B1" w:rsidRPr="00507A31" w:rsidRDefault="00B774B1" w:rsidP="00507A31">
      <w:pPr>
        <w:jc w:val="both"/>
        <w:rPr>
          <w:color w:val="000000" w:themeColor="text1"/>
          <w:sz w:val="16"/>
          <w:szCs w:val="16"/>
        </w:rPr>
      </w:pPr>
      <w:r w:rsidRPr="00507A31">
        <w:rPr>
          <w:color w:val="000000" w:themeColor="text1"/>
          <w:sz w:val="16"/>
          <w:szCs w:val="16"/>
        </w:rPr>
        <w:t>5. ВОЗНИКНОВЕНИЕ ПРОМЫШЛЕННОЙ ПАРТИИ.</w:t>
      </w:r>
    </w:p>
    <w:p w14:paraId="4593B101" w14:textId="77777777" w:rsidR="00B774B1" w:rsidRPr="00507A31" w:rsidRDefault="00B774B1" w:rsidP="00507A31">
      <w:pPr>
        <w:jc w:val="both"/>
        <w:rPr>
          <w:color w:val="000000" w:themeColor="text1"/>
          <w:sz w:val="16"/>
          <w:szCs w:val="16"/>
        </w:rPr>
      </w:pPr>
      <w:r w:rsidRPr="00507A31">
        <w:rPr>
          <w:color w:val="000000" w:themeColor="text1"/>
          <w:sz w:val="16"/>
          <w:szCs w:val="16"/>
        </w:rPr>
        <w:t>Постепенный рост охвата организацией центра отдельных отраслей промышленности и одновременно увеличение количества членов заставило поднять в Инженерном центре вопрос относительно партийного оформления всей организации.</w:t>
      </w:r>
    </w:p>
    <w:p w14:paraId="4DFA5059" w14:textId="77777777" w:rsidR="00B774B1" w:rsidRPr="00507A31" w:rsidRDefault="00B774B1" w:rsidP="00507A31">
      <w:pPr>
        <w:jc w:val="both"/>
        <w:rPr>
          <w:color w:val="000000" w:themeColor="text1"/>
          <w:sz w:val="16"/>
          <w:szCs w:val="16"/>
        </w:rPr>
      </w:pPr>
      <w:r w:rsidRPr="00507A31">
        <w:rPr>
          <w:color w:val="000000" w:themeColor="text1"/>
          <w:sz w:val="16"/>
          <w:szCs w:val="16"/>
        </w:rPr>
        <w:t>Этот вопрос возник в конце 1927 года, и был поднят П. А. Пальчинским, Л. Г. Рабиновичем и др., и подвергался обсуждению на совещаниях центра.</w:t>
      </w:r>
    </w:p>
    <w:p w14:paraId="16E95022" w14:textId="77777777" w:rsidR="00B774B1" w:rsidRPr="00507A31" w:rsidRDefault="00B774B1" w:rsidP="00507A31">
      <w:pPr>
        <w:jc w:val="both"/>
        <w:rPr>
          <w:color w:val="000000" w:themeColor="text1"/>
          <w:sz w:val="16"/>
          <w:szCs w:val="16"/>
        </w:rPr>
      </w:pPr>
      <w:r w:rsidRPr="00507A31">
        <w:rPr>
          <w:color w:val="000000" w:themeColor="text1"/>
          <w:sz w:val="16"/>
          <w:szCs w:val="16"/>
        </w:rPr>
        <w:t>Толчком к этому послужило совещание с проф. А. В. Чаяновым, ознакомившим центр о наличии и о программных установках «Трудовой Крестьянской партии». Последующая работа центра шла в направлении оформления новой партии, каковая в начале имела ряд вариантов названий.</w:t>
      </w:r>
    </w:p>
    <w:p w14:paraId="0FB3EE1D" w14:textId="77777777" w:rsidR="00B774B1" w:rsidRPr="00507A31" w:rsidRDefault="00B774B1" w:rsidP="00507A31">
      <w:pPr>
        <w:jc w:val="both"/>
        <w:rPr>
          <w:color w:val="000000" w:themeColor="text1"/>
          <w:sz w:val="16"/>
          <w:szCs w:val="16"/>
        </w:rPr>
      </w:pPr>
      <w:r w:rsidRPr="00507A31">
        <w:rPr>
          <w:color w:val="000000" w:themeColor="text1"/>
          <w:sz w:val="16"/>
          <w:szCs w:val="16"/>
        </w:rPr>
        <w:t>Наиболее употребительным названием для вновь организуемой партии была «Промышленная партия».</w:t>
      </w:r>
    </w:p>
    <w:p w14:paraId="04C28623" w14:textId="77777777" w:rsidR="00B774B1" w:rsidRPr="00507A31" w:rsidRDefault="00B774B1" w:rsidP="00507A31">
      <w:pPr>
        <w:jc w:val="both"/>
        <w:rPr>
          <w:color w:val="000000" w:themeColor="text1"/>
          <w:sz w:val="16"/>
          <w:szCs w:val="16"/>
        </w:rPr>
      </w:pPr>
      <w:r w:rsidRPr="00507A31">
        <w:rPr>
          <w:color w:val="000000" w:themeColor="text1"/>
          <w:sz w:val="16"/>
          <w:szCs w:val="16"/>
        </w:rPr>
        <w:t>По своим программным установкам, которые будут изложены ниже, эта партия должна была представлять интересы промышленной буржуазии и крепкого единоличного крестьянского хозяйства. Основным стержнем Промышленной партии в ближайшее время должны были являться инженерно-технические кадры промышленности.</w:t>
      </w:r>
    </w:p>
    <w:p w14:paraId="35A097A6" w14:textId="77777777" w:rsidR="00B774B1" w:rsidRPr="00507A31" w:rsidRDefault="00B774B1" w:rsidP="00507A31">
      <w:pPr>
        <w:jc w:val="both"/>
        <w:rPr>
          <w:color w:val="000000" w:themeColor="text1"/>
          <w:sz w:val="16"/>
          <w:szCs w:val="16"/>
        </w:rPr>
      </w:pPr>
      <w:r w:rsidRPr="00507A31">
        <w:rPr>
          <w:color w:val="000000" w:themeColor="text1"/>
          <w:sz w:val="16"/>
          <w:szCs w:val="16"/>
        </w:rPr>
        <w:t>Таким образом, логически Инженерный центр являлся по существу Центральным комитетом промышленной партии.</w:t>
      </w:r>
    </w:p>
    <w:p w14:paraId="6CE69837" w14:textId="77777777" w:rsidR="00B774B1" w:rsidRPr="00507A31" w:rsidRDefault="00B774B1" w:rsidP="00507A31">
      <w:pPr>
        <w:jc w:val="both"/>
        <w:rPr>
          <w:color w:val="000000" w:themeColor="text1"/>
          <w:sz w:val="16"/>
          <w:szCs w:val="16"/>
        </w:rPr>
      </w:pPr>
      <w:r w:rsidRPr="00507A31">
        <w:rPr>
          <w:color w:val="000000" w:themeColor="text1"/>
          <w:sz w:val="16"/>
          <w:szCs w:val="16"/>
        </w:rPr>
        <w:t>6. ОТРАСЛЕВЫЕ И ПЕРИФЕРИЙНЫЕ ЦЕНТРЫ.</w:t>
      </w:r>
    </w:p>
    <w:p w14:paraId="656A58CF" w14:textId="77777777" w:rsidR="00B774B1" w:rsidRPr="00507A31" w:rsidRDefault="00B774B1" w:rsidP="00507A31">
      <w:pPr>
        <w:jc w:val="both"/>
        <w:rPr>
          <w:color w:val="000000" w:themeColor="text1"/>
          <w:sz w:val="16"/>
          <w:szCs w:val="16"/>
        </w:rPr>
      </w:pPr>
      <w:r w:rsidRPr="00507A31">
        <w:rPr>
          <w:color w:val="000000" w:themeColor="text1"/>
          <w:sz w:val="16"/>
          <w:szCs w:val="16"/>
        </w:rPr>
        <w:t>Известный мне состав московских отраслевых центров таков:</w:t>
      </w:r>
    </w:p>
    <w:p w14:paraId="3BDDED84" w14:textId="77777777" w:rsidR="00B774B1" w:rsidRPr="00507A31" w:rsidRDefault="00B774B1" w:rsidP="00507A31">
      <w:pPr>
        <w:jc w:val="both"/>
        <w:rPr>
          <w:color w:val="000000" w:themeColor="text1"/>
          <w:sz w:val="16"/>
          <w:szCs w:val="16"/>
        </w:rPr>
      </w:pPr>
      <w:r w:rsidRPr="00507A31">
        <w:rPr>
          <w:color w:val="000000" w:themeColor="text1"/>
          <w:sz w:val="16"/>
          <w:szCs w:val="16"/>
        </w:rPr>
        <w:t>Угольная промышленность — И. И. Федорович, инж. Скоруто, Назимов и Волкович А. Д.</w:t>
      </w:r>
    </w:p>
    <w:p w14:paraId="4BEDC582" w14:textId="77777777" w:rsidR="00B774B1" w:rsidRPr="00507A31" w:rsidRDefault="00B774B1" w:rsidP="00507A31">
      <w:pPr>
        <w:jc w:val="both"/>
        <w:rPr>
          <w:color w:val="000000" w:themeColor="text1"/>
          <w:sz w:val="16"/>
          <w:szCs w:val="16"/>
        </w:rPr>
      </w:pPr>
      <w:r w:rsidRPr="00507A31">
        <w:rPr>
          <w:color w:val="000000" w:themeColor="text1"/>
          <w:sz w:val="16"/>
          <w:szCs w:val="16"/>
        </w:rPr>
        <w:t>Нефть — проф. И. Н. Стрижов, инж. Покровский (Госплан СССР) и инж. Н. Н. Смирнов (ВСНХ СССР).</w:t>
      </w:r>
    </w:p>
    <w:p w14:paraId="7BBEDCEC" w14:textId="77777777" w:rsidR="00B774B1" w:rsidRPr="00507A31" w:rsidRDefault="00B774B1" w:rsidP="00507A31">
      <w:pPr>
        <w:jc w:val="both"/>
        <w:rPr>
          <w:color w:val="000000" w:themeColor="text1"/>
          <w:sz w:val="16"/>
          <w:szCs w:val="16"/>
        </w:rPr>
      </w:pPr>
      <w:r w:rsidRPr="00507A31">
        <w:rPr>
          <w:color w:val="000000" w:themeColor="text1"/>
          <w:sz w:val="16"/>
          <w:szCs w:val="16"/>
        </w:rPr>
        <w:t>Металл — Грум-Гржимайло, Белоножкин, Бачманов, Кауфман, Неймайер, инж. Кутский Н. М., инж. Р. Я. Гартван, Лист, Липгарт и Подьяконов.</w:t>
      </w:r>
    </w:p>
    <w:p w14:paraId="642E3BA0" w14:textId="77777777" w:rsidR="00B774B1" w:rsidRPr="00507A31" w:rsidRDefault="00B774B1" w:rsidP="00507A31">
      <w:pPr>
        <w:jc w:val="both"/>
        <w:rPr>
          <w:color w:val="000000" w:themeColor="text1"/>
          <w:sz w:val="16"/>
          <w:szCs w:val="16"/>
        </w:rPr>
      </w:pPr>
      <w:r w:rsidRPr="00507A31">
        <w:rPr>
          <w:color w:val="000000" w:themeColor="text1"/>
          <w:sz w:val="16"/>
          <w:szCs w:val="16"/>
        </w:rPr>
        <w:t>Текстильная — Куприянов, Лебедев, Лопатин, Нольде.</w:t>
      </w:r>
    </w:p>
    <w:p w14:paraId="5CB2468F" w14:textId="77777777" w:rsidR="00B774B1" w:rsidRPr="00507A31" w:rsidRDefault="00B774B1" w:rsidP="00507A31">
      <w:pPr>
        <w:jc w:val="both"/>
        <w:rPr>
          <w:color w:val="000000" w:themeColor="text1"/>
          <w:sz w:val="16"/>
          <w:szCs w:val="16"/>
        </w:rPr>
      </w:pPr>
      <w:r w:rsidRPr="00507A31">
        <w:rPr>
          <w:color w:val="000000" w:themeColor="text1"/>
          <w:sz w:val="16"/>
          <w:szCs w:val="16"/>
        </w:rPr>
        <w:t>Химическая — инж. В. П. Кравец (ВСНХ СССР) и инж. В. П. Камзолкин, проф. Б. С. Шведов, проф. Шпитальский, Лотавский, Лебедкин, Булгаков, Торф, В. Н. Вальяжников, Кирпичников.</w:t>
      </w:r>
    </w:p>
    <w:p w14:paraId="3E49C932" w14:textId="77777777" w:rsidR="00B774B1" w:rsidRPr="00507A31" w:rsidRDefault="00B774B1" w:rsidP="00507A31">
      <w:pPr>
        <w:jc w:val="both"/>
        <w:rPr>
          <w:color w:val="000000" w:themeColor="text1"/>
          <w:sz w:val="16"/>
          <w:szCs w:val="16"/>
        </w:rPr>
      </w:pPr>
      <w:r w:rsidRPr="00507A31">
        <w:rPr>
          <w:color w:val="000000" w:themeColor="text1"/>
          <w:sz w:val="16"/>
          <w:szCs w:val="16"/>
        </w:rPr>
        <w:t>Лесная — В. П. Майер и Квятковский</w:t>
      </w:r>
    </w:p>
    <w:p w14:paraId="2FB85690" w14:textId="77777777" w:rsidR="00B774B1" w:rsidRPr="00507A31" w:rsidRDefault="00B774B1" w:rsidP="00507A31">
      <w:pPr>
        <w:jc w:val="both"/>
        <w:rPr>
          <w:color w:val="000000" w:themeColor="text1"/>
          <w:sz w:val="16"/>
          <w:szCs w:val="16"/>
        </w:rPr>
      </w:pPr>
      <w:r w:rsidRPr="00507A31">
        <w:rPr>
          <w:color w:val="000000" w:themeColor="text1"/>
          <w:sz w:val="16"/>
          <w:szCs w:val="16"/>
        </w:rPr>
        <w:t>Цементная — М. М. Погосов и А. И. Ставровский.</w:t>
      </w:r>
    </w:p>
    <w:p w14:paraId="4DDD8C28" w14:textId="77777777" w:rsidR="00B774B1" w:rsidRPr="00507A31" w:rsidRDefault="00B774B1" w:rsidP="00507A31">
      <w:pPr>
        <w:jc w:val="both"/>
        <w:rPr>
          <w:color w:val="000000" w:themeColor="text1"/>
          <w:sz w:val="16"/>
          <w:szCs w:val="16"/>
        </w:rPr>
      </w:pPr>
      <w:r w:rsidRPr="00507A31">
        <w:rPr>
          <w:color w:val="000000" w:themeColor="text1"/>
          <w:sz w:val="16"/>
          <w:szCs w:val="16"/>
        </w:rPr>
        <w:t>Электротехническая — Б. И. Угримов.</w:t>
      </w:r>
    </w:p>
    <w:p w14:paraId="4756BD10" w14:textId="77777777" w:rsidR="00B774B1" w:rsidRPr="00507A31" w:rsidRDefault="00B774B1" w:rsidP="00507A31">
      <w:pPr>
        <w:jc w:val="both"/>
        <w:rPr>
          <w:color w:val="000000" w:themeColor="text1"/>
          <w:sz w:val="16"/>
          <w:szCs w:val="16"/>
        </w:rPr>
      </w:pPr>
      <w:r w:rsidRPr="00507A31">
        <w:rPr>
          <w:color w:val="000000" w:themeColor="text1"/>
          <w:sz w:val="16"/>
          <w:szCs w:val="16"/>
        </w:rPr>
        <w:t>Экономич[еская] группа — Гуревич, Белоцерковский, Соколовский (ВСНХ СССР).</w:t>
      </w:r>
    </w:p>
    <w:p w14:paraId="659FE32E" w14:textId="77777777" w:rsidR="00B774B1" w:rsidRPr="00507A31" w:rsidRDefault="00B774B1" w:rsidP="00507A31">
      <w:pPr>
        <w:jc w:val="both"/>
        <w:rPr>
          <w:color w:val="000000" w:themeColor="text1"/>
          <w:sz w:val="16"/>
          <w:szCs w:val="16"/>
        </w:rPr>
      </w:pPr>
      <w:r w:rsidRPr="00507A31">
        <w:rPr>
          <w:color w:val="000000" w:themeColor="text1"/>
          <w:sz w:val="16"/>
          <w:szCs w:val="16"/>
        </w:rPr>
        <w:t>Топливоснабжение — Про[р]вич и Покровский (ВСНХ СССР), Цванцигер, Украинцев — Целибель С. Н.</w:t>
      </w:r>
    </w:p>
    <w:p w14:paraId="41DB49C8" w14:textId="77777777" w:rsidR="00B774B1" w:rsidRPr="00507A31" w:rsidRDefault="00B774B1" w:rsidP="00507A31">
      <w:pPr>
        <w:jc w:val="both"/>
        <w:rPr>
          <w:color w:val="000000" w:themeColor="text1"/>
          <w:sz w:val="16"/>
          <w:szCs w:val="16"/>
        </w:rPr>
      </w:pPr>
      <w:r w:rsidRPr="00507A31">
        <w:rPr>
          <w:color w:val="000000" w:themeColor="text1"/>
          <w:sz w:val="16"/>
          <w:szCs w:val="16"/>
        </w:rPr>
        <w:t>Общая увязка промышленного плана в целом и мелкие отрасли промышленности — проф. Калинников И. А.</w:t>
      </w:r>
    </w:p>
    <w:p w14:paraId="14AA50FB" w14:textId="77777777" w:rsidR="00B774B1" w:rsidRPr="00507A31" w:rsidRDefault="00B774B1" w:rsidP="00507A31">
      <w:pPr>
        <w:jc w:val="both"/>
        <w:rPr>
          <w:color w:val="000000" w:themeColor="text1"/>
          <w:sz w:val="16"/>
          <w:szCs w:val="16"/>
        </w:rPr>
      </w:pPr>
      <w:r w:rsidRPr="00507A31">
        <w:rPr>
          <w:color w:val="000000" w:themeColor="text1"/>
          <w:sz w:val="16"/>
          <w:szCs w:val="16"/>
        </w:rPr>
        <w:t>Энергетическая] — М. Л. Каменецкий, Н. Н. Вашков, проф. А. А. Горев, инж. Кукель-Краевский, Осадчий, Н. И. Сушкин.</w:t>
      </w:r>
    </w:p>
    <w:p w14:paraId="64F1600F" w14:textId="77777777" w:rsidR="00B774B1" w:rsidRPr="00507A31" w:rsidRDefault="00B774B1" w:rsidP="00507A31">
      <w:pPr>
        <w:jc w:val="both"/>
        <w:rPr>
          <w:color w:val="000000" w:themeColor="text1"/>
          <w:sz w:val="16"/>
          <w:szCs w:val="16"/>
        </w:rPr>
      </w:pPr>
      <w:r w:rsidRPr="00507A31">
        <w:rPr>
          <w:color w:val="000000" w:themeColor="text1"/>
          <w:sz w:val="16"/>
          <w:szCs w:val="16"/>
        </w:rPr>
        <w:t>Ленинградские] группы — проф. М. В. Кирпичев, А. А. Фомин, В. Н. Шретер.</w:t>
      </w:r>
    </w:p>
    <w:p w14:paraId="1AFF061B" w14:textId="77777777" w:rsidR="00B774B1" w:rsidRPr="00507A31" w:rsidRDefault="00B774B1" w:rsidP="00507A31">
      <w:pPr>
        <w:jc w:val="both"/>
        <w:rPr>
          <w:color w:val="000000" w:themeColor="text1"/>
          <w:sz w:val="16"/>
          <w:szCs w:val="16"/>
        </w:rPr>
      </w:pPr>
      <w:r w:rsidRPr="00507A31">
        <w:rPr>
          <w:color w:val="000000" w:themeColor="text1"/>
          <w:sz w:val="16"/>
          <w:szCs w:val="16"/>
        </w:rPr>
        <w:t>МОГЭС — Кирпичн[иков], Яновицкий, Крылов, Савельев.</w:t>
      </w:r>
    </w:p>
    <w:p w14:paraId="4499E771" w14:textId="77777777" w:rsidR="00B774B1" w:rsidRPr="00507A31" w:rsidRDefault="00B774B1" w:rsidP="00507A31">
      <w:pPr>
        <w:jc w:val="both"/>
        <w:rPr>
          <w:color w:val="000000" w:themeColor="text1"/>
          <w:sz w:val="16"/>
          <w:szCs w:val="16"/>
        </w:rPr>
      </w:pPr>
      <w:r w:rsidRPr="00507A31">
        <w:rPr>
          <w:color w:val="000000" w:themeColor="text1"/>
          <w:sz w:val="16"/>
          <w:szCs w:val="16"/>
        </w:rPr>
        <w:t>Энергетика] военной промышленности — инж. Е. Ф. Евреинов и инж. Б. Н. Домонтович (Теплотехнический Институт).</w:t>
      </w:r>
    </w:p>
    <w:p w14:paraId="5F50A547" w14:textId="77777777" w:rsidR="00B774B1" w:rsidRPr="00507A31" w:rsidRDefault="00B774B1" w:rsidP="00507A31">
      <w:pPr>
        <w:jc w:val="both"/>
        <w:rPr>
          <w:color w:val="000000" w:themeColor="text1"/>
          <w:sz w:val="16"/>
          <w:szCs w:val="16"/>
        </w:rPr>
      </w:pPr>
      <w:r w:rsidRPr="00507A31">
        <w:rPr>
          <w:color w:val="000000" w:themeColor="text1"/>
          <w:sz w:val="16"/>
          <w:szCs w:val="16"/>
        </w:rPr>
        <w:t>Энергетика] транспорта — Бес[е]довский А. К. и Н. Ф. Лавров.</w:t>
      </w:r>
    </w:p>
    <w:p w14:paraId="33E17CB8" w14:textId="77777777" w:rsidR="00B774B1" w:rsidRPr="00507A31" w:rsidRDefault="00B774B1" w:rsidP="00507A31">
      <w:pPr>
        <w:jc w:val="both"/>
        <w:rPr>
          <w:color w:val="000000" w:themeColor="text1"/>
          <w:sz w:val="16"/>
          <w:szCs w:val="16"/>
        </w:rPr>
      </w:pPr>
      <w:r w:rsidRPr="00507A31">
        <w:rPr>
          <w:color w:val="000000" w:themeColor="text1"/>
          <w:sz w:val="16"/>
          <w:szCs w:val="16"/>
        </w:rPr>
        <w:t>НКПС — Мекк, Борисов И. Н., П. И. Красовский, П. С. Янушевский, М. Е. Правосудович, А. Ф. Величко, Шухов.</w:t>
      </w:r>
    </w:p>
    <w:p w14:paraId="6C7A7635" w14:textId="77777777" w:rsidR="00B774B1" w:rsidRPr="00507A31" w:rsidRDefault="00B774B1" w:rsidP="00507A31">
      <w:pPr>
        <w:jc w:val="both"/>
        <w:rPr>
          <w:color w:val="000000" w:themeColor="text1"/>
          <w:sz w:val="16"/>
          <w:szCs w:val="16"/>
        </w:rPr>
      </w:pPr>
      <w:r w:rsidRPr="00507A31">
        <w:rPr>
          <w:color w:val="000000" w:themeColor="text1"/>
          <w:sz w:val="16"/>
          <w:szCs w:val="16"/>
        </w:rPr>
        <w:t>Профсоюз инж[енерно-]технических работников — С. Д. Шейн.</w:t>
      </w:r>
    </w:p>
    <w:p w14:paraId="3115C784" w14:textId="77777777" w:rsidR="00B774B1" w:rsidRPr="00507A31" w:rsidRDefault="00B774B1" w:rsidP="00507A31">
      <w:pPr>
        <w:jc w:val="both"/>
        <w:rPr>
          <w:color w:val="000000" w:themeColor="text1"/>
          <w:sz w:val="16"/>
          <w:szCs w:val="16"/>
        </w:rPr>
      </w:pPr>
      <w:r w:rsidRPr="00507A31">
        <w:rPr>
          <w:color w:val="000000" w:themeColor="text1"/>
          <w:sz w:val="16"/>
          <w:szCs w:val="16"/>
        </w:rPr>
        <w:t>ВАИ и Политехническое о[бщест]во — Н. Н. Львов, Шадрин А. А.</w:t>
      </w:r>
    </w:p>
    <w:p w14:paraId="2B93DAF6" w14:textId="77777777" w:rsidR="00B774B1" w:rsidRPr="00507A31" w:rsidRDefault="00B774B1" w:rsidP="00507A31">
      <w:pPr>
        <w:jc w:val="both"/>
        <w:rPr>
          <w:color w:val="000000" w:themeColor="text1"/>
          <w:sz w:val="16"/>
          <w:szCs w:val="16"/>
        </w:rPr>
      </w:pPr>
      <w:r w:rsidRPr="00507A31">
        <w:rPr>
          <w:color w:val="000000" w:themeColor="text1"/>
          <w:sz w:val="16"/>
          <w:szCs w:val="16"/>
        </w:rPr>
        <w:t>Более полный состав отраслевых центров и работавших с ними в контакте сотрудников в виду отмеченной выше структуры организации могут знать только члены организации, руководившие соответствующими отраслями промышленности.</w:t>
      </w:r>
    </w:p>
    <w:p w14:paraId="6243D832" w14:textId="77777777" w:rsidR="00B774B1" w:rsidRPr="00507A31" w:rsidRDefault="00B774B1" w:rsidP="00507A31">
      <w:pPr>
        <w:jc w:val="both"/>
        <w:rPr>
          <w:color w:val="000000" w:themeColor="text1"/>
          <w:sz w:val="16"/>
          <w:szCs w:val="16"/>
        </w:rPr>
      </w:pPr>
      <w:r w:rsidRPr="00507A31">
        <w:rPr>
          <w:color w:val="000000" w:themeColor="text1"/>
          <w:sz w:val="16"/>
          <w:szCs w:val="16"/>
        </w:rPr>
        <w:t>По той же причине состав периферийных центров могут указать лишь члены отраслевых центров, ибо только они были непосредственно связаны с периферией.</w:t>
      </w:r>
    </w:p>
    <w:p w14:paraId="5FC9E548" w14:textId="77777777" w:rsidR="00B774B1" w:rsidRPr="00507A31" w:rsidRDefault="00B774B1" w:rsidP="00507A31">
      <w:pPr>
        <w:jc w:val="both"/>
        <w:rPr>
          <w:color w:val="000000" w:themeColor="text1"/>
          <w:sz w:val="16"/>
          <w:szCs w:val="16"/>
        </w:rPr>
      </w:pPr>
      <w:r w:rsidRPr="00507A31">
        <w:rPr>
          <w:color w:val="000000" w:themeColor="text1"/>
          <w:sz w:val="16"/>
          <w:szCs w:val="16"/>
        </w:rPr>
        <w:t>В общем можно сделать вывод, что за исключением сельского хозяйства почти все секции Госплана СССР и директораты ВСНХ СССР были охвачены центром.</w:t>
      </w:r>
    </w:p>
    <w:p w14:paraId="5F6DE34E" w14:textId="77777777" w:rsidR="00B774B1" w:rsidRPr="00507A31" w:rsidRDefault="00B774B1" w:rsidP="00507A31">
      <w:pPr>
        <w:jc w:val="both"/>
        <w:rPr>
          <w:color w:val="000000" w:themeColor="text1"/>
          <w:sz w:val="16"/>
          <w:szCs w:val="16"/>
        </w:rPr>
      </w:pPr>
      <w:r w:rsidRPr="00507A31">
        <w:rPr>
          <w:color w:val="000000" w:themeColor="text1"/>
          <w:sz w:val="16"/>
          <w:szCs w:val="16"/>
        </w:rPr>
        <w:t>7. ПОЛИТИЧЕСКАЯ И ЭКОНОМИЧЕСКАЯ ПРОГРАММА.</w:t>
      </w:r>
    </w:p>
    <w:p w14:paraId="15B6139C" w14:textId="77777777" w:rsidR="00B774B1" w:rsidRPr="00507A31" w:rsidRDefault="00B774B1" w:rsidP="00507A31">
      <w:pPr>
        <w:jc w:val="both"/>
        <w:rPr>
          <w:color w:val="000000" w:themeColor="text1"/>
          <w:sz w:val="16"/>
          <w:szCs w:val="16"/>
        </w:rPr>
      </w:pPr>
      <w:r w:rsidRPr="00507A31">
        <w:rPr>
          <w:color w:val="000000" w:themeColor="text1"/>
          <w:sz w:val="16"/>
          <w:szCs w:val="16"/>
        </w:rPr>
        <w:t>В виду разнообразия политических настроений отдельных членов центра вопрос о выработке общей платформы прорабатывался в течение довольно длинного периода времени, причем естественно имелись весьма различные политические и экономические установки.</w:t>
      </w:r>
    </w:p>
    <w:p w14:paraId="051B0D36" w14:textId="77777777" w:rsidR="00B774B1" w:rsidRPr="00507A31" w:rsidRDefault="00B774B1" w:rsidP="00507A31">
      <w:pPr>
        <w:jc w:val="both"/>
        <w:rPr>
          <w:color w:val="000000" w:themeColor="text1"/>
          <w:sz w:val="16"/>
          <w:szCs w:val="16"/>
        </w:rPr>
      </w:pPr>
      <w:r w:rsidRPr="00507A31">
        <w:rPr>
          <w:color w:val="000000" w:themeColor="text1"/>
          <w:sz w:val="16"/>
          <w:szCs w:val="16"/>
        </w:rPr>
        <w:t>Определенное влияние на выявление общей платформы оказывали и промышленные эмигрантские круги. Однако, основные контуры программы в 1928 году уже определились. Надо подчеркнуть, что последнюю нельзя рассматривать как получившую вполне четкие и точные формы, ибо никакой писаной программы или устава организации не существовало. Поэтому отдельные пункты и стороны программы могли подвергаться разным толкованиям и освещениям со стороны отдельных членов центра и его органов.</w:t>
      </w:r>
    </w:p>
    <w:p w14:paraId="79D6734E" w14:textId="77777777" w:rsidR="00B774B1" w:rsidRPr="00507A31" w:rsidRDefault="00B774B1" w:rsidP="00507A31">
      <w:pPr>
        <w:jc w:val="both"/>
        <w:rPr>
          <w:color w:val="000000" w:themeColor="text1"/>
          <w:sz w:val="16"/>
          <w:szCs w:val="16"/>
        </w:rPr>
      </w:pPr>
      <w:r w:rsidRPr="00507A31">
        <w:rPr>
          <w:color w:val="000000" w:themeColor="text1"/>
          <w:sz w:val="16"/>
          <w:szCs w:val="16"/>
        </w:rPr>
        <w:t>Ниже я излагаю основные положения в том виде, как они выявились в 1928 году.</w:t>
      </w:r>
    </w:p>
    <w:p w14:paraId="33127B5C" w14:textId="77777777" w:rsidR="00B774B1" w:rsidRPr="00507A31" w:rsidRDefault="00B774B1" w:rsidP="00507A31">
      <w:pPr>
        <w:jc w:val="both"/>
        <w:rPr>
          <w:color w:val="000000" w:themeColor="text1"/>
          <w:sz w:val="16"/>
          <w:szCs w:val="16"/>
        </w:rPr>
      </w:pPr>
      <w:r w:rsidRPr="00507A31">
        <w:rPr>
          <w:color w:val="000000" w:themeColor="text1"/>
          <w:sz w:val="16"/>
          <w:szCs w:val="16"/>
        </w:rPr>
        <w:t>Форма правления намечалась в виде буржуазно-демократической республики. По этому вопросу имелись различные предложения вплоть До монархической реставрации. Однако, в процессе обсуждения такая постановка была отвергнута, ибо старая династия совершенно дискредитирована; выдвигать же какую-либо новую династию заставило бы идти на опасную авантюру, а главное монархическая реставрация встретила бы энергичный отпор со стороны широких масс населения, оттолкнув их от центра.</w:t>
      </w:r>
    </w:p>
    <w:p w14:paraId="6713545B" w14:textId="77777777" w:rsidR="00B774B1" w:rsidRPr="00507A31" w:rsidRDefault="00B774B1" w:rsidP="00507A31">
      <w:pPr>
        <w:jc w:val="both"/>
        <w:rPr>
          <w:color w:val="000000" w:themeColor="text1"/>
          <w:sz w:val="16"/>
          <w:szCs w:val="16"/>
        </w:rPr>
      </w:pPr>
      <w:r w:rsidRPr="00507A31">
        <w:rPr>
          <w:color w:val="000000" w:themeColor="text1"/>
          <w:sz w:val="16"/>
          <w:szCs w:val="16"/>
        </w:rPr>
        <w:t>Законодательный орган намечен был в виде парламента, избираемого путем всеобщего избирательного права, но при помощи соответствующей сложной системы выборов, которая обеспечила бы желательный состав парламента.</w:t>
      </w:r>
    </w:p>
    <w:p w14:paraId="6B982263" w14:textId="77777777" w:rsidR="00B774B1" w:rsidRPr="00507A31" w:rsidRDefault="00B774B1" w:rsidP="00507A31">
      <w:pPr>
        <w:jc w:val="both"/>
        <w:rPr>
          <w:color w:val="000000" w:themeColor="text1"/>
          <w:sz w:val="16"/>
          <w:szCs w:val="16"/>
        </w:rPr>
      </w:pPr>
      <w:r w:rsidRPr="00507A31">
        <w:rPr>
          <w:color w:val="000000" w:themeColor="text1"/>
          <w:sz w:val="16"/>
          <w:szCs w:val="16"/>
        </w:rPr>
        <w:t>Оба вышеуказанных положения мыслились, однако, лишь после окончательного укрепления нового строя; на первое же время после контрреволюционного переворота считали необходимой военную диктатуру.</w:t>
      </w:r>
    </w:p>
    <w:p w14:paraId="466C2F6B" w14:textId="77777777" w:rsidR="00B774B1" w:rsidRPr="00507A31" w:rsidRDefault="00B774B1" w:rsidP="00507A31">
      <w:pPr>
        <w:jc w:val="both"/>
        <w:rPr>
          <w:color w:val="000000" w:themeColor="text1"/>
          <w:sz w:val="16"/>
          <w:szCs w:val="16"/>
        </w:rPr>
      </w:pPr>
      <w:r w:rsidRPr="00507A31">
        <w:rPr>
          <w:color w:val="000000" w:themeColor="text1"/>
          <w:sz w:val="16"/>
          <w:szCs w:val="16"/>
        </w:rPr>
        <w:t>В области промышленности основной принцип сводился сначала к возврату предприятий прежним их владельцам. При реализации этого, однако, были очевидны громадные затруднения, ибо большинство прежних предприятий коренным образом изменились: часть их совершенно ликвидирована, или находится в нерабочем состоянии, наоборот другая часть старых предприятий настолько расширилась или подверглась столь радикальной реконструкции, что их ценность увеличилась иногда в несколько раз. Наконец, после Октябрьской революции появилось большое количество совершенно новых предприятий, общая мощность и ценность коих значительно превосходит суммарную ценность прежних дореволюционных предприятий. Поэтому после согласования с эмигрантскими промышленными руководящими кругами был намечен своеобразный путь акционирования новых и сильно реконструированных предприятий. При таком подходе подобные предприятия обезличиваются, и прежние владельцы ликвидированных или радикально изменившихся предприятий компенсируются выдачей им соответствующего количества акций. Благодаря общему значительному возрастанию капитальной стоимости предприятий к моменту контр-революционного переворота по сравнению с дореволюционной стоимостью, а также путем искусственных оценочных мероприятий, такой путь открывал возможность после компенсации прежних владельцев сохранить в руках государства еще значительное количество свободных акций и средств. Эти свободные средства и намечено использовать на частичную компенсацию прежних владельцев и на обще-государственные нужды.</w:t>
      </w:r>
    </w:p>
    <w:p w14:paraId="3F63F4A9" w14:textId="77777777" w:rsidR="00B774B1" w:rsidRPr="00507A31" w:rsidRDefault="00B774B1" w:rsidP="00507A31">
      <w:pPr>
        <w:jc w:val="both"/>
        <w:rPr>
          <w:color w:val="000000" w:themeColor="text1"/>
          <w:sz w:val="16"/>
          <w:szCs w:val="16"/>
        </w:rPr>
      </w:pPr>
      <w:r w:rsidRPr="00507A31">
        <w:rPr>
          <w:color w:val="000000" w:themeColor="text1"/>
          <w:sz w:val="16"/>
          <w:szCs w:val="16"/>
        </w:rPr>
        <w:t>В области сельского хозяйства основная установка делалась на крепкие индивидуальные хозяйства с частичным выкупом земли у прежних владельцев. Таким образом, возврат земли прежним владельцам отвергался; земля закреплялась за крестьянами в виде индивидуальных отрубных хозяйств. Компенсация же прежних землевладельцев намечалась вышеуказанным образом. Подобные установки в области сельского хозяйства должны были обеспечить центру энергичную поддержку со стороны широких крестьянских масс, особенно при проведении соввластью коллективизации, которая, по расчетам центра, должна была вызвать их сильное недовольство и даже открытые выступления.</w:t>
      </w:r>
    </w:p>
    <w:p w14:paraId="78ADDA99" w14:textId="77777777" w:rsidR="00B774B1" w:rsidRPr="00507A31" w:rsidRDefault="00B774B1" w:rsidP="00507A31">
      <w:pPr>
        <w:jc w:val="both"/>
        <w:rPr>
          <w:color w:val="000000" w:themeColor="text1"/>
          <w:sz w:val="16"/>
          <w:szCs w:val="16"/>
        </w:rPr>
      </w:pPr>
      <w:r w:rsidRPr="00507A31">
        <w:rPr>
          <w:color w:val="000000" w:themeColor="text1"/>
          <w:sz w:val="16"/>
          <w:szCs w:val="16"/>
        </w:rPr>
        <w:t>Вопросы местного самоуправления, насколько мне известно, не получили еще сколько-нибудь полного освещения, ибо на почве контрреволюционного переворота, как уже отмечалось, мыслится период военной диктатуры с назначением начальников губерний, уездов и т. п. в административном порядке.</w:t>
      </w:r>
    </w:p>
    <w:p w14:paraId="40A80C4E" w14:textId="77777777" w:rsidR="00B774B1" w:rsidRPr="00507A31" w:rsidRDefault="00B774B1" w:rsidP="00507A31">
      <w:pPr>
        <w:jc w:val="both"/>
        <w:rPr>
          <w:color w:val="000000" w:themeColor="text1"/>
          <w:sz w:val="16"/>
          <w:szCs w:val="16"/>
        </w:rPr>
      </w:pPr>
      <w:r w:rsidRPr="00507A31">
        <w:rPr>
          <w:color w:val="000000" w:themeColor="text1"/>
          <w:sz w:val="16"/>
          <w:szCs w:val="16"/>
        </w:rPr>
        <w:lastRenderedPageBreak/>
        <w:t>В области налогового обложения намечалась комбинированная система прямых и косвенных налогов, тоже не получившая, по моим сведениям, достаточной проработки.</w:t>
      </w:r>
    </w:p>
    <w:p w14:paraId="09ECD565" w14:textId="77777777" w:rsidR="00B774B1" w:rsidRPr="00507A31" w:rsidRDefault="00B774B1" w:rsidP="00507A31">
      <w:pPr>
        <w:jc w:val="both"/>
        <w:rPr>
          <w:color w:val="000000" w:themeColor="text1"/>
          <w:sz w:val="16"/>
          <w:szCs w:val="16"/>
        </w:rPr>
      </w:pPr>
      <w:r w:rsidRPr="00507A31">
        <w:rPr>
          <w:color w:val="000000" w:themeColor="text1"/>
          <w:sz w:val="16"/>
          <w:szCs w:val="16"/>
        </w:rPr>
        <w:t>В области внешней торговли — отмена ее монополии и система покровительственных пошлин для страны, которые будут получать при интервенции.</w:t>
      </w:r>
    </w:p>
    <w:p w14:paraId="5DC33AFD" w14:textId="77777777" w:rsidR="00B774B1" w:rsidRPr="00507A31" w:rsidRDefault="00B774B1" w:rsidP="00507A31">
      <w:pPr>
        <w:jc w:val="both"/>
        <w:rPr>
          <w:color w:val="000000" w:themeColor="text1"/>
          <w:sz w:val="16"/>
          <w:szCs w:val="16"/>
        </w:rPr>
      </w:pPr>
      <w:r w:rsidRPr="00507A31">
        <w:rPr>
          <w:color w:val="000000" w:themeColor="text1"/>
          <w:sz w:val="16"/>
          <w:szCs w:val="16"/>
        </w:rPr>
        <w:t>Таким образом, вышеизложенная программа защищала интересы промышленной буржуазии и крепкого единоличного крестьянского хозяйства.</w:t>
      </w:r>
    </w:p>
    <w:p w14:paraId="25BAD7B3" w14:textId="77777777" w:rsidR="00B774B1" w:rsidRPr="00507A31" w:rsidRDefault="00B774B1" w:rsidP="00507A31">
      <w:pPr>
        <w:jc w:val="both"/>
        <w:rPr>
          <w:color w:val="000000" w:themeColor="text1"/>
          <w:sz w:val="16"/>
          <w:szCs w:val="16"/>
        </w:rPr>
      </w:pPr>
      <w:r w:rsidRPr="00507A31">
        <w:rPr>
          <w:color w:val="000000" w:themeColor="text1"/>
          <w:sz w:val="16"/>
          <w:szCs w:val="16"/>
        </w:rPr>
        <w:t>Для осуществления этой программы основная политическая задача сводилась прежде всего к свержению советской власти при помощи вооруженного контр-революционного переворота со ставкой на интервенцию извне.</w:t>
      </w:r>
    </w:p>
    <w:p w14:paraId="0BF1B510" w14:textId="77777777" w:rsidR="00B774B1" w:rsidRPr="00507A31" w:rsidRDefault="00B774B1" w:rsidP="00507A31">
      <w:pPr>
        <w:jc w:val="both"/>
        <w:rPr>
          <w:color w:val="000000" w:themeColor="text1"/>
          <w:sz w:val="16"/>
          <w:szCs w:val="16"/>
        </w:rPr>
      </w:pPr>
      <w:r w:rsidRPr="00507A31">
        <w:rPr>
          <w:color w:val="000000" w:themeColor="text1"/>
          <w:sz w:val="16"/>
          <w:szCs w:val="16"/>
        </w:rPr>
        <w:t>8. ТАКТИЧЕСКАЯ ПЛАТФОРМА.</w:t>
      </w:r>
    </w:p>
    <w:p w14:paraId="52BBE1C8" w14:textId="77777777" w:rsidR="00B774B1" w:rsidRPr="00507A31" w:rsidRDefault="00B774B1" w:rsidP="00507A31">
      <w:pPr>
        <w:jc w:val="both"/>
        <w:rPr>
          <w:color w:val="000000" w:themeColor="text1"/>
          <w:sz w:val="16"/>
          <w:szCs w:val="16"/>
        </w:rPr>
      </w:pPr>
      <w:r w:rsidRPr="00507A31">
        <w:rPr>
          <w:color w:val="000000" w:themeColor="text1"/>
          <w:sz w:val="16"/>
          <w:szCs w:val="16"/>
        </w:rPr>
        <w:t>В начальное время существования Инженерного центра, совпадавшее с концом восстановительного периода в народном хозяйстве, поскольку мне известно, с чужих слов, основная тактическая установка центра сводилась к максимальной охране предприятий крупных промышленников, связанных с центром. Кроме сохранения от разрушения таких предприятий центр в это время добивался и их улучшения за счет государства, чтобы таким образом прежние промышленники после контрреволюционного переворота не только получили бы обратно имевшиеся у них капитальные ценности, но и с возможно большим приростом последних.</w:t>
      </w:r>
    </w:p>
    <w:p w14:paraId="0CD18DA0" w14:textId="77777777" w:rsidR="00B774B1" w:rsidRPr="00507A31" w:rsidRDefault="00B774B1" w:rsidP="00507A31">
      <w:pPr>
        <w:jc w:val="both"/>
        <w:rPr>
          <w:color w:val="000000" w:themeColor="text1"/>
          <w:sz w:val="16"/>
          <w:szCs w:val="16"/>
        </w:rPr>
      </w:pPr>
      <w:r w:rsidRPr="00507A31">
        <w:rPr>
          <w:color w:val="000000" w:themeColor="text1"/>
          <w:sz w:val="16"/>
          <w:szCs w:val="16"/>
        </w:rPr>
        <w:t>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контр-революционного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w:t>
      </w:r>
    </w:p>
    <w:p w14:paraId="5E32F00A" w14:textId="77777777" w:rsidR="00B774B1" w:rsidRPr="00507A31" w:rsidRDefault="00B774B1" w:rsidP="00507A31">
      <w:pPr>
        <w:jc w:val="both"/>
        <w:rPr>
          <w:color w:val="000000" w:themeColor="text1"/>
          <w:sz w:val="16"/>
          <w:szCs w:val="16"/>
        </w:rPr>
      </w:pPr>
      <w:r w:rsidRPr="00507A31">
        <w:rPr>
          <w:color w:val="000000" w:themeColor="text1"/>
          <w:sz w:val="16"/>
          <w:szCs w:val="16"/>
        </w:rPr>
        <w:t>Начальная, наиболее примитивная форма вредительства выражалась в прямой технической порче отдельных промышленных объектов и их частей. Этот метод, связанный со значительным риском для исполнителей вследствие усиления рабочего и общественного контроля и охраны предприятий, давал в то время и относительно небольшой эффект, выводя из строя относительно небольшие участки или единицы народного хозяйства. Поэтому от прямого технического вредительства центр быстро перешел к «плановому» вредительству, которое сводилось к таким способам планирования отдельных отраслей народного хозяйства, которое искусственно замедлило темп экономического развития страны, создавало диспропорцию между отдельными участками народного хозяйства и приводило к экономическим кризисам, охватывающим уже все народное хозяйство.</w:t>
      </w:r>
    </w:p>
    <w:p w14:paraId="632FA352" w14:textId="77777777" w:rsidR="00B774B1" w:rsidRPr="00507A31" w:rsidRDefault="00B774B1" w:rsidP="00507A31">
      <w:pPr>
        <w:jc w:val="both"/>
        <w:rPr>
          <w:color w:val="000000" w:themeColor="text1"/>
          <w:sz w:val="16"/>
          <w:szCs w:val="16"/>
        </w:rPr>
      </w:pPr>
      <w:r w:rsidRPr="00507A31">
        <w:rPr>
          <w:color w:val="000000" w:themeColor="text1"/>
          <w:sz w:val="16"/>
          <w:szCs w:val="16"/>
        </w:rPr>
        <w:t>Отмеченный выше охват плановых органов центром создавал ему почти неограниченную свободу действий в плановой области. Наконец, примерно, в 1928 году, с появлением надежд на близость контрреволюционного переворота более широко применяется метод вредительства 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и таким образом ненужным[и] или бесполезным [и] для данного момента. Такой метод омертвления капиталов и использования их с низкой эффективностью: 1) отрывал капитальные средства, сокращал масштаб эффективного строительства и темп экономического развития страны, а 2) за счет сокращения удовлетворения текущих потребностей, благодаря отрыву средств на малоэффективное в данный момент строительство увеличивал советское наследство для нового правительства, вызывая в то же время рост недовольства широких масс населения.</w:t>
      </w:r>
    </w:p>
    <w:p w14:paraId="35996C03" w14:textId="77777777" w:rsidR="00B774B1" w:rsidRPr="00507A31" w:rsidRDefault="00B774B1" w:rsidP="00507A31">
      <w:pPr>
        <w:jc w:val="both"/>
        <w:rPr>
          <w:color w:val="000000" w:themeColor="text1"/>
          <w:sz w:val="16"/>
          <w:szCs w:val="16"/>
        </w:rPr>
      </w:pPr>
      <w:r w:rsidRPr="00507A31">
        <w:rPr>
          <w:color w:val="000000" w:themeColor="text1"/>
          <w:sz w:val="16"/>
          <w:szCs w:val="16"/>
        </w:rPr>
        <w:t>При основной ставке на интервенцию, которая ожидалась примерно в 1930 году, основной целью являлось естественно приурочивание всеобщего кризиса и паралича хозяйственной жизни страны к моменту интервенции, значительно облегчая последнюю] и обеспечивая уверенность в ее успехе с минимальными усилиями.</w:t>
      </w:r>
    </w:p>
    <w:p w14:paraId="59D18628" w14:textId="77777777" w:rsidR="00B774B1" w:rsidRPr="00507A31" w:rsidRDefault="00B774B1" w:rsidP="00507A31">
      <w:pPr>
        <w:jc w:val="both"/>
        <w:rPr>
          <w:color w:val="000000" w:themeColor="text1"/>
          <w:sz w:val="16"/>
          <w:szCs w:val="16"/>
        </w:rPr>
      </w:pPr>
      <w:r w:rsidRPr="00507A31">
        <w:rPr>
          <w:color w:val="000000" w:themeColor="text1"/>
          <w:sz w:val="16"/>
          <w:szCs w:val="16"/>
        </w:rPr>
        <w:t>9. СТАВКА НА ИНТЕРВЕНЦИЮ.</w:t>
      </w:r>
    </w:p>
    <w:p w14:paraId="561488EB" w14:textId="77777777" w:rsidR="00B774B1" w:rsidRPr="00507A31" w:rsidRDefault="00B774B1" w:rsidP="00507A31">
      <w:pPr>
        <w:jc w:val="both"/>
        <w:rPr>
          <w:color w:val="000000" w:themeColor="text1"/>
          <w:sz w:val="16"/>
          <w:szCs w:val="16"/>
        </w:rPr>
      </w:pPr>
      <w:r w:rsidRPr="00507A31">
        <w:rPr>
          <w:color w:val="000000" w:themeColor="text1"/>
          <w:sz w:val="16"/>
          <w:szCs w:val="16"/>
        </w:rPr>
        <w:t>Как уже отмечалось выше, основным звеном в построениях центра являлась ставка на интервенцию извне. По сообщениям П. А. Пальчинского основной руководительницей интервенции должна была являться Франция; но непосредственное осуществление последней намечалось при помощи военных сил Польши и Румынии с привлечением прибалтийских государств. По указаниям Пальчинского существовали также, но весьма сомнительные надежды на вовлечение Чехо-Словакии и Югославии. В основном построения шли, однако, на Польшу и Румынию. Насколько я мог заключить из краткой информации Пальчинского, в виду трудностей непосредственных связей с иностранным правительством, необходимости длительных переговоров по этому вопросу, безусловной необходимости, чтобы переговоры велись лицами, обладающими достаточным весом в глазах французского правительства центр не вел непосредственно переговоров с посредником, а действовал через влиятельных эмигрантов, находившихся за границей и объединенных через русский государственный комитет. Такие переговоры с Брианом и Пуанкаре вели, например, Мещерский и П. П. Рябушинский. В свою очередь, со стороны центра связь с последними держал П. А. Пальчинский, а с текстильными эмигрантами также инж. А. А. Федотов. По сообщениям Л. Г. Рабиновича, Дворжанчик вел аналогичные переговоры с польским правительством. Основной смысл переговоров сводился к тому, что имеются реальные надежды на интервенцию, причем вероятным сроком ее намечался, примерно, 1930 год. Во главе военных сил при интервенции намечался ген. Лукомский. Для пропаганды интервенции за границей предполагалось установить связь с Гессеном и Наминкой (газ. «Руль»).</w:t>
      </w:r>
    </w:p>
    <w:p w14:paraId="6CD577C9" w14:textId="77777777" w:rsidR="00B774B1" w:rsidRPr="00507A31" w:rsidRDefault="00B774B1" w:rsidP="00507A31">
      <w:pPr>
        <w:jc w:val="both"/>
        <w:rPr>
          <w:color w:val="000000" w:themeColor="text1"/>
          <w:sz w:val="16"/>
          <w:szCs w:val="16"/>
        </w:rPr>
      </w:pPr>
      <w:r w:rsidRPr="00507A31">
        <w:rPr>
          <w:color w:val="000000" w:themeColor="text1"/>
          <w:sz w:val="16"/>
          <w:szCs w:val="16"/>
        </w:rPr>
        <w:t>По поводу связи с иностранными штабами и посольствами в СССР из имевших место сообщений на заседаниях центра я могу указать следующий факт: сообщение И. Н. Стрижова о переговорах с английским штабом по поводу углубления Туапсинского рейда и трассировке нефтепровода Грозный — Туапсе. Техника ведения этих переговоров и пути связи с английским штабом на совещании центра понятно не сообщались. Подробности по этому вопросу могут дать И. Н. Стрижов и Ларичев В. А. как принимавшие непосредственное участие в работах по проектировке нефтепровода.</w:t>
      </w:r>
    </w:p>
    <w:p w14:paraId="546140BF" w14:textId="77777777" w:rsidR="00B774B1" w:rsidRPr="00507A31" w:rsidRDefault="00B774B1" w:rsidP="00507A31">
      <w:pPr>
        <w:jc w:val="both"/>
        <w:rPr>
          <w:color w:val="000000" w:themeColor="text1"/>
          <w:sz w:val="16"/>
          <w:szCs w:val="16"/>
        </w:rPr>
      </w:pPr>
      <w:r w:rsidRPr="00507A31">
        <w:rPr>
          <w:color w:val="000000" w:themeColor="text1"/>
          <w:sz w:val="16"/>
          <w:szCs w:val="16"/>
        </w:rPr>
        <w:t>10. ВООРУЖЕННОЕ ВОССТАНИЕ.</w:t>
      </w:r>
    </w:p>
    <w:p w14:paraId="31FDBA6D" w14:textId="77777777" w:rsidR="00B774B1" w:rsidRPr="00507A31" w:rsidRDefault="00B774B1" w:rsidP="00507A31">
      <w:pPr>
        <w:jc w:val="both"/>
        <w:rPr>
          <w:color w:val="000000" w:themeColor="text1"/>
          <w:sz w:val="16"/>
          <w:szCs w:val="16"/>
        </w:rPr>
      </w:pPr>
      <w:r w:rsidRPr="00507A31">
        <w:rPr>
          <w:color w:val="000000" w:themeColor="text1"/>
          <w:sz w:val="16"/>
          <w:szCs w:val="16"/>
        </w:rPr>
        <w:t>В надежде на паралич экономической жизни страны к моменту интервенции центр строил расчеты на стихийные восстания крестьян, волнения в Красной армии и в рабочих массах. При этом значительные надежды в данном отношении возлагались на пропаганду и агитацию в крестьянских и рабочих кругах со стороны «Трудовой крестьянской партии», которая должна была охватить весьма большие массы населения.</w:t>
      </w:r>
    </w:p>
    <w:p w14:paraId="6DE5B5AC" w14:textId="77777777" w:rsidR="00B774B1" w:rsidRPr="00507A31" w:rsidRDefault="00B774B1" w:rsidP="00507A31">
      <w:pPr>
        <w:jc w:val="both"/>
        <w:rPr>
          <w:color w:val="000000" w:themeColor="text1"/>
          <w:sz w:val="16"/>
          <w:szCs w:val="16"/>
        </w:rPr>
      </w:pPr>
      <w:r w:rsidRPr="00507A31">
        <w:rPr>
          <w:color w:val="000000" w:themeColor="text1"/>
          <w:sz w:val="16"/>
          <w:szCs w:val="16"/>
        </w:rPr>
        <w:t>11. СОСТАВ БУДУЩЕГО ПРАВИТЕЛЬСТВА.</w:t>
      </w:r>
    </w:p>
    <w:p w14:paraId="20776BAA" w14:textId="77777777" w:rsidR="00B774B1" w:rsidRPr="00507A31" w:rsidRDefault="00B774B1" w:rsidP="00507A31">
      <w:pPr>
        <w:jc w:val="both"/>
        <w:rPr>
          <w:color w:val="000000" w:themeColor="text1"/>
          <w:sz w:val="16"/>
          <w:szCs w:val="16"/>
        </w:rPr>
      </w:pPr>
      <w:r w:rsidRPr="00507A31">
        <w:rPr>
          <w:color w:val="000000" w:themeColor="text1"/>
          <w:sz w:val="16"/>
          <w:szCs w:val="16"/>
        </w:rPr>
        <w:t>Вопрос о составе будущего правительства обсуждался в разных совещаниях центра в период 1927-1928 года. Окончательного состава правительства выработано не было; в отдельных совещаниях назывались следующие кандидатуры на министерские посты:</w:t>
      </w:r>
    </w:p>
    <w:p w14:paraId="206A2D0E" w14:textId="77777777" w:rsidR="00B774B1" w:rsidRPr="00507A31" w:rsidRDefault="00B774B1" w:rsidP="00507A31">
      <w:pPr>
        <w:jc w:val="both"/>
        <w:rPr>
          <w:color w:val="000000" w:themeColor="text1"/>
          <w:sz w:val="16"/>
          <w:szCs w:val="16"/>
        </w:rPr>
      </w:pPr>
      <w:r w:rsidRPr="00507A31">
        <w:rPr>
          <w:color w:val="000000" w:themeColor="text1"/>
          <w:sz w:val="16"/>
          <w:szCs w:val="16"/>
        </w:rPr>
        <w:t>Премьер министр — П. А. Пальчинский.</w:t>
      </w:r>
    </w:p>
    <w:p w14:paraId="244F32D3" w14:textId="77777777" w:rsidR="00B774B1" w:rsidRPr="00507A31" w:rsidRDefault="00B774B1" w:rsidP="00507A31">
      <w:pPr>
        <w:jc w:val="both"/>
        <w:rPr>
          <w:color w:val="000000" w:themeColor="text1"/>
          <w:sz w:val="16"/>
          <w:szCs w:val="16"/>
        </w:rPr>
      </w:pPr>
      <w:r w:rsidRPr="00507A31">
        <w:rPr>
          <w:color w:val="000000" w:themeColor="text1"/>
          <w:sz w:val="16"/>
          <w:szCs w:val="16"/>
        </w:rPr>
        <w:t>Военный министр — П. А. Пальчинский и ген. Лукомский.</w:t>
      </w:r>
    </w:p>
    <w:p w14:paraId="0D5DA019" w14:textId="77777777" w:rsidR="00B774B1" w:rsidRPr="00507A31" w:rsidRDefault="00B774B1" w:rsidP="00507A31">
      <w:pPr>
        <w:jc w:val="both"/>
        <w:rPr>
          <w:color w:val="000000" w:themeColor="text1"/>
          <w:sz w:val="16"/>
          <w:szCs w:val="16"/>
        </w:rPr>
      </w:pPr>
      <w:r w:rsidRPr="00507A31">
        <w:rPr>
          <w:color w:val="000000" w:themeColor="text1"/>
          <w:sz w:val="16"/>
          <w:szCs w:val="16"/>
        </w:rPr>
        <w:t>Промышленности и торговли — П. П. Рябушинский, Л. Г. Рабинович, инж. Хренников и проф. Калинников.</w:t>
      </w:r>
    </w:p>
    <w:p w14:paraId="5BD39195" w14:textId="77777777" w:rsidR="00B774B1" w:rsidRPr="00507A31" w:rsidRDefault="00B774B1" w:rsidP="00507A31">
      <w:pPr>
        <w:jc w:val="both"/>
        <w:rPr>
          <w:color w:val="000000" w:themeColor="text1"/>
          <w:sz w:val="16"/>
          <w:szCs w:val="16"/>
        </w:rPr>
      </w:pPr>
      <w:r w:rsidRPr="00507A31">
        <w:rPr>
          <w:color w:val="000000" w:themeColor="text1"/>
          <w:sz w:val="16"/>
          <w:szCs w:val="16"/>
        </w:rPr>
        <w:t>Внутренних дел — П. П. Рябушинский, проф. Вормс и вскользь предлагалась кандидатура проф. Н. Ф. Чарновского.</w:t>
      </w:r>
    </w:p>
    <w:p w14:paraId="5E84EB4D" w14:textId="77777777" w:rsidR="00B774B1" w:rsidRPr="00507A31" w:rsidRDefault="00B774B1" w:rsidP="00507A31">
      <w:pPr>
        <w:jc w:val="both"/>
        <w:rPr>
          <w:color w:val="000000" w:themeColor="text1"/>
          <w:sz w:val="16"/>
          <w:szCs w:val="16"/>
        </w:rPr>
      </w:pPr>
      <w:r w:rsidRPr="00507A31">
        <w:rPr>
          <w:color w:val="000000" w:themeColor="text1"/>
          <w:sz w:val="16"/>
          <w:szCs w:val="16"/>
        </w:rPr>
        <w:t>Финансов — Вышнеградский, проф. И. X. Озеров, профессор Давыдов, Л. Г. Рабинович (?).</w:t>
      </w:r>
    </w:p>
    <w:p w14:paraId="2C43D193" w14:textId="77777777" w:rsidR="00B774B1" w:rsidRPr="00507A31" w:rsidRDefault="00B774B1" w:rsidP="00507A31">
      <w:pPr>
        <w:jc w:val="both"/>
        <w:rPr>
          <w:color w:val="000000" w:themeColor="text1"/>
          <w:sz w:val="16"/>
          <w:szCs w:val="16"/>
        </w:rPr>
      </w:pPr>
      <w:r w:rsidRPr="00507A31">
        <w:rPr>
          <w:color w:val="000000" w:themeColor="text1"/>
          <w:sz w:val="16"/>
          <w:szCs w:val="16"/>
        </w:rPr>
        <w:t>Путей сообщения — И. Н. Борисов, П. И. Красовский, Мекк.</w:t>
      </w:r>
    </w:p>
    <w:p w14:paraId="40CBBDC2" w14:textId="77777777" w:rsidR="00B774B1" w:rsidRPr="00507A31" w:rsidRDefault="00B774B1" w:rsidP="00507A31">
      <w:pPr>
        <w:jc w:val="both"/>
        <w:rPr>
          <w:color w:val="000000" w:themeColor="text1"/>
          <w:sz w:val="16"/>
          <w:szCs w:val="16"/>
        </w:rPr>
      </w:pPr>
      <w:r w:rsidRPr="00507A31">
        <w:rPr>
          <w:color w:val="000000" w:themeColor="text1"/>
          <w:sz w:val="16"/>
          <w:szCs w:val="16"/>
        </w:rPr>
        <w:t>Земледелия — кандидатура по предложению ТКП, А. В. Чаянов, Билимович.</w:t>
      </w:r>
    </w:p>
    <w:p w14:paraId="633B8EA5" w14:textId="77777777" w:rsidR="00B774B1" w:rsidRPr="00507A31" w:rsidRDefault="00B774B1" w:rsidP="00507A31">
      <w:pPr>
        <w:jc w:val="both"/>
        <w:rPr>
          <w:color w:val="000000" w:themeColor="text1"/>
          <w:sz w:val="16"/>
          <w:szCs w:val="16"/>
        </w:rPr>
      </w:pPr>
      <w:r w:rsidRPr="00507A31">
        <w:rPr>
          <w:color w:val="000000" w:themeColor="text1"/>
          <w:sz w:val="16"/>
          <w:szCs w:val="16"/>
        </w:rPr>
        <w:t>Иностранных дел — акад. Тарле.</w:t>
      </w:r>
    </w:p>
    <w:p w14:paraId="7EDC419B" w14:textId="77777777" w:rsidR="00B774B1" w:rsidRPr="00507A31" w:rsidRDefault="00B774B1" w:rsidP="00507A31">
      <w:pPr>
        <w:jc w:val="both"/>
        <w:rPr>
          <w:color w:val="000000" w:themeColor="text1"/>
          <w:sz w:val="16"/>
          <w:szCs w:val="16"/>
        </w:rPr>
      </w:pPr>
      <w:r w:rsidRPr="00507A31">
        <w:rPr>
          <w:color w:val="000000" w:themeColor="text1"/>
          <w:sz w:val="16"/>
          <w:szCs w:val="16"/>
        </w:rPr>
        <w:t>На период военной диктатуры в качестве диктатора намечался П. А. Пальчинский.</w:t>
      </w:r>
    </w:p>
    <w:p w14:paraId="62CDC633" w14:textId="77777777" w:rsidR="00B774B1" w:rsidRPr="00507A31" w:rsidRDefault="00B774B1" w:rsidP="00507A31">
      <w:pPr>
        <w:jc w:val="both"/>
        <w:rPr>
          <w:color w:val="000000" w:themeColor="text1"/>
          <w:sz w:val="16"/>
          <w:szCs w:val="16"/>
        </w:rPr>
      </w:pPr>
      <w:r w:rsidRPr="00507A31">
        <w:rPr>
          <w:color w:val="000000" w:themeColor="text1"/>
          <w:sz w:val="16"/>
          <w:szCs w:val="16"/>
        </w:rPr>
        <w:t>12. СВЯЗЬ С БЕЛОЙ ЭМИГРАЦИЕЙ И ИНОСТРАННЫМИ ФИРМАМИ.</w:t>
      </w:r>
    </w:p>
    <w:p w14:paraId="0B398C24" w14:textId="77777777" w:rsidR="00B774B1" w:rsidRPr="00507A31" w:rsidRDefault="00B774B1" w:rsidP="00507A31">
      <w:pPr>
        <w:jc w:val="both"/>
        <w:rPr>
          <w:color w:val="000000" w:themeColor="text1"/>
          <w:sz w:val="16"/>
          <w:szCs w:val="16"/>
        </w:rPr>
      </w:pPr>
      <w:r w:rsidRPr="00507A31">
        <w:rPr>
          <w:color w:val="000000" w:themeColor="text1"/>
          <w:sz w:val="16"/>
          <w:szCs w:val="16"/>
        </w:rPr>
        <w:t>Из политических связей мне известна связь с группой «Руль» Гессен, Каминка, которую поддерживал П. А. Пальчинский. Эта газета финансировалась заграничными эмигрантскими кругами. Мне известны следующие связи с бывшими русскими промышленниками:</w:t>
      </w:r>
    </w:p>
    <w:p w14:paraId="39C1ECFD" w14:textId="77777777" w:rsidR="00B774B1" w:rsidRPr="00507A31" w:rsidRDefault="00B774B1" w:rsidP="00507A31">
      <w:pPr>
        <w:jc w:val="both"/>
        <w:rPr>
          <w:color w:val="000000" w:themeColor="text1"/>
          <w:sz w:val="16"/>
          <w:szCs w:val="16"/>
        </w:rPr>
      </w:pPr>
      <w:r w:rsidRPr="00507A31">
        <w:rPr>
          <w:color w:val="000000" w:themeColor="text1"/>
          <w:sz w:val="16"/>
          <w:szCs w:val="16"/>
        </w:rPr>
        <w:t>По металлической промышленности — с Мещерским через Пальчинского и, кажется, Чарновского, а с Демидовым через Чарновского и Хренникова.</w:t>
      </w:r>
    </w:p>
    <w:p w14:paraId="5FAD6A51" w14:textId="77777777" w:rsidR="00B774B1" w:rsidRPr="00507A31" w:rsidRDefault="00B774B1" w:rsidP="00507A31">
      <w:pPr>
        <w:jc w:val="both"/>
        <w:rPr>
          <w:color w:val="000000" w:themeColor="text1"/>
          <w:sz w:val="16"/>
          <w:szCs w:val="16"/>
        </w:rPr>
      </w:pPr>
      <w:r w:rsidRPr="00507A31">
        <w:rPr>
          <w:color w:val="000000" w:themeColor="text1"/>
          <w:sz w:val="16"/>
          <w:szCs w:val="16"/>
        </w:rPr>
        <w:t>По текстильной промышленности — с П. П. Рябушинским через П. А. Пальчинского и А. А. Федотова, с Бардычиным через Ларичева и Федотова.</w:t>
      </w:r>
    </w:p>
    <w:p w14:paraId="1AD49F69" w14:textId="77777777" w:rsidR="00B774B1" w:rsidRPr="00507A31" w:rsidRDefault="00B774B1" w:rsidP="00507A31">
      <w:pPr>
        <w:jc w:val="both"/>
        <w:rPr>
          <w:color w:val="000000" w:themeColor="text1"/>
          <w:sz w:val="16"/>
          <w:szCs w:val="16"/>
        </w:rPr>
      </w:pPr>
      <w:r w:rsidRPr="00507A31">
        <w:rPr>
          <w:color w:val="000000" w:themeColor="text1"/>
          <w:sz w:val="16"/>
          <w:szCs w:val="16"/>
        </w:rPr>
        <w:t>По нефтяной промышленности — с Нобелем, М[а]нташевым и [Г]укасовым через И. Н. Стрижова.</w:t>
      </w:r>
    </w:p>
    <w:p w14:paraId="69F44DE4" w14:textId="77777777" w:rsidR="00B774B1" w:rsidRPr="00507A31" w:rsidRDefault="00B774B1" w:rsidP="00507A31">
      <w:pPr>
        <w:jc w:val="both"/>
        <w:rPr>
          <w:color w:val="000000" w:themeColor="text1"/>
          <w:sz w:val="16"/>
          <w:szCs w:val="16"/>
        </w:rPr>
      </w:pPr>
      <w:r w:rsidRPr="00507A31">
        <w:rPr>
          <w:color w:val="000000" w:themeColor="text1"/>
          <w:sz w:val="16"/>
          <w:szCs w:val="16"/>
        </w:rPr>
        <w:t>По угольной промышленности — с Дворжанчиком через Л. Г. Рабиновича.</w:t>
      </w:r>
    </w:p>
    <w:p w14:paraId="5C5D205C" w14:textId="77777777" w:rsidR="00B774B1" w:rsidRPr="00507A31" w:rsidRDefault="00B774B1" w:rsidP="00507A31">
      <w:pPr>
        <w:jc w:val="both"/>
        <w:rPr>
          <w:color w:val="000000" w:themeColor="text1"/>
          <w:sz w:val="16"/>
          <w:szCs w:val="16"/>
        </w:rPr>
      </w:pPr>
      <w:r w:rsidRPr="00507A31">
        <w:rPr>
          <w:color w:val="000000" w:themeColor="text1"/>
          <w:sz w:val="16"/>
          <w:szCs w:val="16"/>
        </w:rPr>
        <w:t>Кроме того, на одном совещании центра Пальчинский назвал фамилию Крестовникова (жировая промышленность), однако, была ли реализована эта связь и через кого, для меня неизвестно.</w:t>
      </w:r>
    </w:p>
    <w:p w14:paraId="7BAF3EE9" w14:textId="77777777" w:rsidR="00B774B1" w:rsidRPr="00507A31" w:rsidRDefault="00B774B1" w:rsidP="00507A31">
      <w:pPr>
        <w:jc w:val="both"/>
        <w:rPr>
          <w:color w:val="000000" w:themeColor="text1"/>
          <w:sz w:val="16"/>
          <w:szCs w:val="16"/>
        </w:rPr>
      </w:pPr>
      <w:r w:rsidRPr="00507A31">
        <w:rPr>
          <w:color w:val="000000" w:themeColor="text1"/>
          <w:sz w:val="16"/>
          <w:szCs w:val="16"/>
        </w:rPr>
        <w:t>Связь с бывшими промышленниками осуществлялась через разных лиц, ездивших за границу; в частности, в 1927 году я по поручению Пальчинского и, кажется, Федотова имел один разговор в Париже с П. П. Рябушинским, касающийся согласования основных положений программы центра и, в частности описанного выше способа акционирования предприятий.</w:t>
      </w:r>
    </w:p>
    <w:p w14:paraId="0D0D7A84" w14:textId="77777777" w:rsidR="00B774B1" w:rsidRPr="00507A31" w:rsidRDefault="00B774B1" w:rsidP="00507A31">
      <w:pPr>
        <w:jc w:val="both"/>
        <w:rPr>
          <w:color w:val="000000" w:themeColor="text1"/>
          <w:sz w:val="16"/>
          <w:szCs w:val="16"/>
        </w:rPr>
      </w:pPr>
      <w:r w:rsidRPr="00507A31">
        <w:rPr>
          <w:color w:val="000000" w:themeColor="text1"/>
          <w:sz w:val="16"/>
          <w:szCs w:val="16"/>
        </w:rPr>
        <w:t>Что касается сношений с заграничными фирмами, то я лично при поездках за границу имел многочисленные переговоры с большим количеством фирм, но по научно-техническим вопросам. Фирмы, с которыми я беседовал по вопросам о советских концессиях, это фирма Vickers (Виккерс) в Англии осенью 1928 г. и Westinghause (Вестингауз) в Америке осенью 1927 года. Однако эти разговоры никакого отношения к центру не имели.</w:t>
      </w:r>
    </w:p>
    <w:p w14:paraId="5921D5D2" w14:textId="77777777" w:rsidR="00B774B1" w:rsidRPr="00507A31" w:rsidRDefault="00B774B1" w:rsidP="00507A31">
      <w:pPr>
        <w:jc w:val="both"/>
        <w:rPr>
          <w:color w:val="000000" w:themeColor="text1"/>
          <w:sz w:val="16"/>
          <w:szCs w:val="16"/>
        </w:rPr>
      </w:pPr>
      <w:r w:rsidRPr="00507A31">
        <w:rPr>
          <w:color w:val="000000" w:themeColor="text1"/>
          <w:sz w:val="16"/>
          <w:szCs w:val="16"/>
        </w:rPr>
        <w:t>Были ли у центра связи с иностранными фирмами и с какими именно, я ничего определенного сказать не могу.</w:t>
      </w:r>
    </w:p>
    <w:p w14:paraId="0214B827" w14:textId="77777777" w:rsidR="00B774B1" w:rsidRPr="00507A31" w:rsidRDefault="00B774B1" w:rsidP="00507A31">
      <w:pPr>
        <w:jc w:val="both"/>
        <w:rPr>
          <w:color w:val="000000" w:themeColor="text1"/>
          <w:sz w:val="16"/>
          <w:szCs w:val="16"/>
        </w:rPr>
      </w:pPr>
      <w:r w:rsidRPr="00507A31">
        <w:rPr>
          <w:color w:val="000000" w:themeColor="text1"/>
          <w:sz w:val="16"/>
          <w:szCs w:val="16"/>
        </w:rPr>
        <w:t>13. О ДЕНЕЖНЫХ СУММАХ.</w:t>
      </w:r>
    </w:p>
    <w:p w14:paraId="6FE961FE" w14:textId="77777777" w:rsidR="00B774B1" w:rsidRPr="00507A31" w:rsidRDefault="00B774B1" w:rsidP="00507A31">
      <w:pPr>
        <w:jc w:val="both"/>
        <w:rPr>
          <w:color w:val="000000" w:themeColor="text1"/>
          <w:sz w:val="16"/>
          <w:szCs w:val="16"/>
        </w:rPr>
      </w:pPr>
      <w:r w:rsidRPr="00507A31">
        <w:rPr>
          <w:color w:val="000000" w:themeColor="text1"/>
          <w:sz w:val="16"/>
          <w:szCs w:val="16"/>
        </w:rPr>
        <w:t xml:space="preserve">До ареста Пальчинского общее руководство денежными операциями осуществлялось Пальчинским. В первый период деятельности центра, получение и распределение денег носило крайне нерегулярный хаотичный характер, ибо вначале финансирование со стороны прежних промышленников шло разрознено, по линиям связей их со своими прежними служащими. По мере укрепления организации центра и параллельной организации за границей бывших русских промышленников финансирование приобретает более упорядоченный характер. Так, к началу 1928 года главная масса денежных сумм поступала уже в руки определенной группы лиц, а именно: Пальчинского &lt;к&gt; Рабиновичу (до его ареста), Хренникову, Стрижову и частью к Федотову. Деньги частью привозились из-за </w:t>
      </w:r>
      <w:r w:rsidRPr="00507A31">
        <w:rPr>
          <w:color w:val="000000" w:themeColor="text1"/>
          <w:sz w:val="16"/>
          <w:szCs w:val="16"/>
        </w:rPr>
        <w:lastRenderedPageBreak/>
        <w:t>границы отдельными лицами, возвращавшимися из командировок, однако, по мере увеличения строгости контроля на таможнях такой способ постепенно оставлялся, и основным способом стало получение денег через посольства в Москве, главным образом — французского, а частью — английского (через Чарнок) и польское. В виду хаотичности денежных дел в центре за первый период нельзя дать сколько-нибудь определенных цифр финансирования центра. По отдельным сообщениям я могу оценить общее количество денег, поступивших непосредственно в центр, в сумме в среднем от 500 тыс. рублей в год с непрерывным ростом из года в год, а всего до разгрома старого центра до 1 1/2 — 2 милл. рублей; если же оценить еще поступления денег прямо в низовые организации, то общую сумму средств, полученных организацией надо, вероятно, удвоить.</w:t>
      </w:r>
    </w:p>
    <w:p w14:paraId="67614575" w14:textId="77777777" w:rsidR="00B774B1" w:rsidRPr="00507A31" w:rsidRDefault="00B774B1" w:rsidP="00507A31">
      <w:pPr>
        <w:jc w:val="both"/>
        <w:rPr>
          <w:color w:val="000000" w:themeColor="text1"/>
          <w:sz w:val="16"/>
          <w:szCs w:val="16"/>
        </w:rPr>
      </w:pPr>
      <w:r w:rsidRPr="00507A31">
        <w:rPr>
          <w:color w:val="000000" w:themeColor="text1"/>
          <w:sz w:val="16"/>
          <w:szCs w:val="16"/>
        </w:rPr>
        <w:t>До ареста Хренникова и Пальчинского деньги распределялись по отраслевым и периферийным органам через соответствующих лиц, а именно:</w:t>
      </w:r>
    </w:p>
    <w:p w14:paraId="19B297E9" w14:textId="77777777" w:rsidR="00B774B1" w:rsidRPr="00507A31" w:rsidRDefault="00B774B1" w:rsidP="00507A31">
      <w:pPr>
        <w:jc w:val="both"/>
        <w:rPr>
          <w:color w:val="000000" w:themeColor="text1"/>
          <w:sz w:val="16"/>
          <w:szCs w:val="16"/>
        </w:rPr>
      </w:pPr>
      <w:r w:rsidRPr="00507A31">
        <w:rPr>
          <w:color w:val="000000" w:themeColor="text1"/>
          <w:sz w:val="16"/>
          <w:szCs w:val="16"/>
        </w:rPr>
        <w:t>Золото-платинов[ая] промышленность] и геолком — Пальчинский.</w:t>
      </w:r>
    </w:p>
    <w:p w14:paraId="737A8987" w14:textId="77777777" w:rsidR="00B774B1" w:rsidRPr="00507A31" w:rsidRDefault="00B774B1" w:rsidP="00507A31">
      <w:pPr>
        <w:jc w:val="both"/>
        <w:rPr>
          <w:color w:val="000000" w:themeColor="text1"/>
          <w:sz w:val="16"/>
          <w:szCs w:val="16"/>
        </w:rPr>
      </w:pPr>
      <w:r w:rsidRPr="00507A31">
        <w:rPr>
          <w:color w:val="000000" w:themeColor="text1"/>
          <w:sz w:val="16"/>
          <w:szCs w:val="16"/>
        </w:rPr>
        <w:t>Угольная — Рабинович и Ларичев.</w:t>
      </w:r>
    </w:p>
    <w:p w14:paraId="3EFAEF9D" w14:textId="77777777" w:rsidR="00B774B1" w:rsidRPr="00507A31" w:rsidRDefault="00B774B1" w:rsidP="00507A31">
      <w:pPr>
        <w:jc w:val="both"/>
        <w:rPr>
          <w:color w:val="000000" w:themeColor="text1"/>
          <w:sz w:val="16"/>
          <w:szCs w:val="16"/>
        </w:rPr>
      </w:pPr>
      <w:r w:rsidRPr="00507A31">
        <w:rPr>
          <w:color w:val="000000" w:themeColor="text1"/>
          <w:sz w:val="16"/>
          <w:szCs w:val="16"/>
        </w:rPr>
        <w:t>Нефтяная — Стрижов.</w:t>
      </w:r>
    </w:p>
    <w:p w14:paraId="3BC71F58" w14:textId="77777777" w:rsidR="00B774B1" w:rsidRPr="00507A31" w:rsidRDefault="00B774B1" w:rsidP="00507A31">
      <w:pPr>
        <w:jc w:val="both"/>
        <w:rPr>
          <w:color w:val="000000" w:themeColor="text1"/>
          <w:sz w:val="16"/>
          <w:szCs w:val="16"/>
        </w:rPr>
      </w:pPr>
      <w:r w:rsidRPr="00507A31">
        <w:rPr>
          <w:color w:val="000000" w:themeColor="text1"/>
          <w:sz w:val="16"/>
          <w:szCs w:val="16"/>
        </w:rPr>
        <w:t>Торфяная — Ларичев.</w:t>
      </w:r>
    </w:p>
    <w:p w14:paraId="610A4D7B" w14:textId="77777777" w:rsidR="00B774B1" w:rsidRPr="00507A31" w:rsidRDefault="00B774B1" w:rsidP="00507A31">
      <w:pPr>
        <w:jc w:val="both"/>
        <w:rPr>
          <w:color w:val="000000" w:themeColor="text1"/>
          <w:sz w:val="16"/>
          <w:szCs w:val="16"/>
        </w:rPr>
      </w:pPr>
      <w:r w:rsidRPr="00507A31">
        <w:rPr>
          <w:color w:val="000000" w:themeColor="text1"/>
          <w:sz w:val="16"/>
          <w:szCs w:val="16"/>
        </w:rPr>
        <w:t>Лесная — В. Н. Майер.</w:t>
      </w:r>
    </w:p>
    <w:p w14:paraId="634B51B5" w14:textId="77777777" w:rsidR="00B774B1" w:rsidRPr="00507A31" w:rsidRDefault="00B774B1" w:rsidP="00507A31">
      <w:pPr>
        <w:jc w:val="both"/>
        <w:rPr>
          <w:color w:val="000000" w:themeColor="text1"/>
          <w:sz w:val="16"/>
          <w:szCs w:val="16"/>
        </w:rPr>
      </w:pPr>
      <w:r w:rsidRPr="00507A31">
        <w:rPr>
          <w:color w:val="000000" w:themeColor="text1"/>
          <w:sz w:val="16"/>
          <w:szCs w:val="16"/>
        </w:rPr>
        <w:t>Мелкие отрасли промышленности — Калинников.</w:t>
      </w:r>
    </w:p>
    <w:p w14:paraId="5B8A676A" w14:textId="77777777" w:rsidR="00B774B1" w:rsidRPr="00507A31" w:rsidRDefault="00B774B1" w:rsidP="00507A31">
      <w:pPr>
        <w:jc w:val="both"/>
        <w:rPr>
          <w:color w:val="000000" w:themeColor="text1"/>
          <w:sz w:val="16"/>
          <w:szCs w:val="16"/>
        </w:rPr>
      </w:pPr>
      <w:r w:rsidRPr="00507A31">
        <w:rPr>
          <w:color w:val="000000" w:themeColor="text1"/>
          <w:sz w:val="16"/>
          <w:szCs w:val="16"/>
        </w:rPr>
        <w:t>Текстильная — Федотов и Куприянов.</w:t>
      </w:r>
    </w:p>
    <w:p w14:paraId="67AE4577" w14:textId="77777777" w:rsidR="00B774B1" w:rsidRPr="00507A31" w:rsidRDefault="00B774B1" w:rsidP="00507A31">
      <w:pPr>
        <w:jc w:val="both"/>
        <w:rPr>
          <w:color w:val="000000" w:themeColor="text1"/>
          <w:sz w:val="16"/>
          <w:szCs w:val="16"/>
        </w:rPr>
      </w:pPr>
      <w:r w:rsidRPr="00507A31">
        <w:rPr>
          <w:color w:val="000000" w:themeColor="text1"/>
          <w:sz w:val="16"/>
          <w:szCs w:val="16"/>
        </w:rPr>
        <w:t>Металл — Хренников, Гартван, Чарновский.</w:t>
      </w:r>
    </w:p>
    <w:p w14:paraId="23ABDF04" w14:textId="77777777" w:rsidR="00B774B1" w:rsidRPr="00507A31" w:rsidRDefault="00B774B1" w:rsidP="00507A31">
      <w:pPr>
        <w:jc w:val="both"/>
        <w:rPr>
          <w:color w:val="000000" w:themeColor="text1"/>
          <w:sz w:val="16"/>
          <w:szCs w:val="16"/>
        </w:rPr>
      </w:pPr>
      <w:r w:rsidRPr="00507A31">
        <w:rPr>
          <w:color w:val="000000" w:themeColor="text1"/>
          <w:sz w:val="16"/>
          <w:szCs w:val="16"/>
        </w:rPr>
        <w:t>НКПС — Красовский, Янушевский.</w:t>
      </w:r>
    </w:p>
    <w:p w14:paraId="13976ECD" w14:textId="77777777" w:rsidR="00B774B1" w:rsidRPr="00507A31" w:rsidRDefault="00B774B1" w:rsidP="00507A31">
      <w:pPr>
        <w:jc w:val="both"/>
        <w:rPr>
          <w:color w:val="000000" w:themeColor="text1"/>
          <w:sz w:val="16"/>
          <w:szCs w:val="16"/>
        </w:rPr>
      </w:pPr>
      <w:r w:rsidRPr="00507A31">
        <w:rPr>
          <w:color w:val="000000" w:themeColor="text1"/>
          <w:sz w:val="16"/>
          <w:szCs w:val="16"/>
        </w:rPr>
        <w:t>Профсоюзные] орган[изации] и научн[о-]исслед[овательские] —  Шейн.</w:t>
      </w:r>
    </w:p>
    <w:p w14:paraId="338279DA" w14:textId="77777777" w:rsidR="00B774B1" w:rsidRPr="00507A31" w:rsidRDefault="00B774B1" w:rsidP="00507A31">
      <w:pPr>
        <w:jc w:val="both"/>
        <w:rPr>
          <w:color w:val="000000" w:themeColor="text1"/>
          <w:sz w:val="16"/>
          <w:szCs w:val="16"/>
        </w:rPr>
      </w:pPr>
      <w:r w:rsidRPr="00507A31">
        <w:rPr>
          <w:color w:val="000000" w:themeColor="text1"/>
          <w:sz w:val="16"/>
          <w:szCs w:val="16"/>
        </w:rPr>
        <w:t>Энергетика — Каменецкий и Вашков.</w:t>
      </w:r>
    </w:p>
    <w:p w14:paraId="2F896FB2" w14:textId="77777777" w:rsidR="00B774B1" w:rsidRPr="00507A31" w:rsidRDefault="00B774B1" w:rsidP="00507A31">
      <w:pPr>
        <w:jc w:val="both"/>
        <w:rPr>
          <w:color w:val="000000" w:themeColor="text1"/>
          <w:sz w:val="16"/>
          <w:szCs w:val="16"/>
        </w:rPr>
      </w:pPr>
      <w:r w:rsidRPr="00507A31">
        <w:rPr>
          <w:color w:val="000000" w:themeColor="text1"/>
          <w:sz w:val="16"/>
          <w:szCs w:val="16"/>
        </w:rPr>
        <w:t>Самая техника получения денег в этот период находилась в руках почти исключительно Пальчинского и Хренникова, которые использовали различные, иногда случайные связи с посольствами для этой цели.</w:t>
      </w:r>
    </w:p>
    <w:p w14:paraId="468ECECA" w14:textId="77777777" w:rsidR="00B774B1" w:rsidRPr="00507A31" w:rsidRDefault="00B774B1" w:rsidP="00507A31">
      <w:pPr>
        <w:jc w:val="both"/>
        <w:rPr>
          <w:color w:val="000000" w:themeColor="text1"/>
          <w:sz w:val="16"/>
          <w:szCs w:val="16"/>
        </w:rPr>
      </w:pPr>
      <w:r w:rsidRPr="00507A31">
        <w:rPr>
          <w:color w:val="000000" w:themeColor="text1"/>
          <w:sz w:val="16"/>
          <w:szCs w:val="16"/>
        </w:rPr>
        <w:t>После разгрома старого центра или ЦК, денежными делами в смысле получения денег пришлось заниматься главным образом Ларичеву и мне. К этому моменту, благодаря личному свиданию моему и Ларичева в</w:t>
      </w:r>
    </w:p>
    <w:p w14:paraId="6F9FEE07" w14:textId="77777777" w:rsidR="00B774B1" w:rsidRPr="00507A31" w:rsidRDefault="00B774B1" w:rsidP="00507A31">
      <w:pPr>
        <w:jc w:val="both"/>
        <w:rPr>
          <w:color w:val="000000" w:themeColor="text1"/>
          <w:sz w:val="16"/>
          <w:szCs w:val="16"/>
        </w:rPr>
      </w:pPr>
      <w:r w:rsidRPr="00507A31">
        <w:rPr>
          <w:color w:val="000000" w:themeColor="text1"/>
          <w:sz w:val="16"/>
          <w:szCs w:val="16"/>
        </w:rPr>
        <w:t>Париже в 1928 г. с основными руководителями Торгпрома[,] уже удалось наладить четкую и правильную денежную связь между ЦК Промпартии и Торгпромом. Общий объем финансирования Промпартии был намечен около 1,0 милл. руб. в год. При этом во избежание провалов при крайне опасных сношениях в Москве с иностранными посольствами с Торгпромом было установлено, что деньги будут переводиться порциями по 100-200 тыс. руб., главным образом, в советской, а частью в заграничной валюте, через Французское посольство в Москве. Дабы не искать каждый раз случайных и ненадежных связей, Французское посольство при получении денег через выбранное им лицо должно доставлять их, как правило, на квартиру Ларичеву, а в случае его отсутствия или его указания при последнем получении денег, то следующая посылка денег должна направляться ко мне на квартиру. В курсе этих операций находился советник] французского посольства г. Кюфер. Таким образом, после возвращения моего и Ларичева из-за границы в течение около 1 1/2 лет и шло получение денег: деньги поступали по 100-200 тыс. руб., привозились по распоряжению из-за границы прямо на квартиру Ларичеву и в редких случаях ко мне.</w:t>
      </w:r>
    </w:p>
    <w:p w14:paraId="657B69CB" w14:textId="77777777" w:rsidR="00B774B1" w:rsidRPr="00507A31" w:rsidRDefault="00B774B1" w:rsidP="00507A31">
      <w:pPr>
        <w:jc w:val="both"/>
        <w:rPr>
          <w:color w:val="000000" w:themeColor="text1"/>
          <w:sz w:val="16"/>
          <w:szCs w:val="16"/>
        </w:rPr>
      </w:pPr>
      <w:r w:rsidRPr="00507A31">
        <w:rPr>
          <w:color w:val="000000" w:themeColor="text1"/>
          <w:sz w:val="16"/>
          <w:szCs w:val="16"/>
        </w:rPr>
        <w:t>Я лично воздерживался от частого получения денег: 1) вследствие крайне неблагоприятного положения моей квартиры за городом, в Институте, на виду у охраны, почему приезды незнакомых лиц могли вызвать подозрения; 2) затруднениями для меня при дальнейшем распределении денег, в то время как положение Ларичева в Госплане, при частых встречах его с большинством основных работников центра было значительно благоприятнее.</w:t>
      </w:r>
    </w:p>
    <w:p w14:paraId="4A967646" w14:textId="77777777" w:rsidR="00B774B1" w:rsidRPr="00507A31" w:rsidRDefault="00B774B1" w:rsidP="00507A31">
      <w:pPr>
        <w:jc w:val="both"/>
        <w:rPr>
          <w:color w:val="000000" w:themeColor="text1"/>
          <w:sz w:val="16"/>
          <w:szCs w:val="16"/>
        </w:rPr>
      </w:pPr>
      <w:r w:rsidRPr="00507A31">
        <w:rPr>
          <w:color w:val="000000" w:themeColor="text1"/>
          <w:sz w:val="16"/>
          <w:szCs w:val="16"/>
        </w:rPr>
        <w:t>В результате за последние 1 года, т. е. в период деятельности нового ЦК Промпартии, последняя получила из-за границы около 1,5 милл. руб.</w:t>
      </w:r>
    </w:p>
    <w:p w14:paraId="094439FE" w14:textId="77777777" w:rsidR="00B774B1" w:rsidRPr="00507A31" w:rsidRDefault="00B774B1" w:rsidP="00507A31">
      <w:pPr>
        <w:jc w:val="both"/>
        <w:rPr>
          <w:color w:val="000000" w:themeColor="text1"/>
          <w:sz w:val="16"/>
          <w:szCs w:val="16"/>
        </w:rPr>
      </w:pPr>
      <w:r w:rsidRPr="00507A31">
        <w:rPr>
          <w:color w:val="000000" w:themeColor="text1"/>
          <w:sz w:val="16"/>
          <w:szCs w:val="16"/>
        </w:rPr>
        <w:t>Дальнейшее распределение денег по отраслевым группам шло согласно плана, устанавливаемого мной и Ларичевым по согласованию с членами ЦК.</w:t>
      </w:r>
    </w:p>
    <w:p w14:paraId="19718198" w14:textId="77777777" w:rsidR="00B774B1" w:rsidRPr="00507A31" w:rsidRDefault="00B774B1" w:rsidP="00507A31">
      <w:pPr>
        <w:jc w:val="both"/>
        <w:rPr>
          <w:color w:val="000000" w:themeColor="text1"/>
          <w:sz w:val="16"/>
          <w:szCs w:val="16"/>
        </w:rPr>
      </w:pPr>
      <w:r w:rsidRPr="00507A31">
        <w:rPr>
          <w:color w:val="000000" w:themeColor="text1"/>
          <w:sz w:val="16"/>
          <w:szCs w:val="16"/>
        </w:rPr>
        <w:t>Приблизительное распределение денег за период конца 1928 г. до весны 1930 г. таково:</w:t>
      </w:r>
    </w:p>
    <w:p w14:paraId="3285602A" w14:textId="77777777" w:rsidR="00B774B1" w:rsidRPr="00507A31" w:rsidRDefault="00B774B1" w:rsidP="00507A31">
      <w:pPr>
        <w:jc w:val="both"/>
        <w:rPr>
          <w:color w:val="000000" w:themeColor="text1"/>
          <w:sz w:val="16"/>
          <w:szCs w:val="16"/>
        </w:rPr>
      </w:pPr>
      <w:r w:rsidRPr="00507A31">
        <w:rPr>
          <w:color w:val="000000" w:themeColor="text1"/>
          <w:sz w:val="16"/>
          <w:szCs w:val="16"/>
        </w:rPr>
        <w:t>Нефтяная промышленность — через Ларичева ...около 100т[ыс].р)</w:t>
      </w:r>
    </w:p>
    <w:p w14:paraId="41C6EAB9" w14:textId="77777777" w:rsidR="00B774B1" w:rsidRPr="00507A31" w:rsidRDefault="00B774B1" w:rsidP="00507A31">
      <w:pPr>
        <w:jc w:val="both"/>
        <w:rPr>
          <w:color w:val="000000" w:themeColor="text1"/>
          <w:sz w:val="16"/>
          <w:szCs w:val="16"/>
        </w:rPr>
      </w:pPr>
      <w:r w:rsidRPr="00507A31">
        <w:rPr>
          <w:color w:val="000000" w:themeColor="text1"/>
          <w:sz w:val="16"/>
          <w:szCs w:val="16"/>
        </w:rPr>
        <w:t>Угольная » »  » 150»</w:t>
      </w:r>
    </w:p>
    <w:p w14:paraId="07278F48" w14:textId="77777777" w:rsidR="00B774B1" w:rsidRPr="00507A31" w:rsidRDefault="00B774B1" w:rsidP="00507A31">
      <w:pPr>
        <w:jc w:val="both"/>
        <w:rPr>
          <w:color w:val="000000" w:themeColor="text1"/>
          <w:sz w:val="16"/>
          <w:szCs w:val="16"/>
        </w:rPr>
      </w:pPr>
      <w:r w:rsidRPr="00507A31">
        <w:rPr>
          <w:color w:val="000000" w:themeColor="text1"/>
          <w:sz w:val="16"/>
          <w:szCs w:val="16"/>
        </w:rPr>
        <w:t>Торфяная » »  »50»</w:t>
      </w:r>
    </w:p>
    <w:p w14:paraId="13B068FE" w14:textId="77777777" w:rsidR="00B774B1" w:rsidRPr="00507A31" w:rsidRDefault="00B774B1" w:rsidP="00507A31">
      <w:pPr>
        <w:jc w:val="both"/>
        <w:rPr>
          <w:color w:val="000000" w:themeColor="text1"/>
          <w:sz w:val="16"/>
          <w:szCs w:val="16"/>
        </w:rPr>
      </w:pPr>
      <w:r w:rsidRPr="00507A31">
        <w:rPr>
          <w:color w:val="000000" w:themeColor="text1"/>
          <w:sz w:val="16"/>
          <w:szCs w:val="16"/>
        </w:rPr>
        <w:t>Лесная » »  » 50»</w:t>
      </w:r>
    </w:p>
    <w:p w14:paraId="71B895B6" w14:textId="77777777" w:rsidR="00B774B1" w:rsidRPr="00507A31" w:rsidRDefault="00B774B1" w:rsidP="00507A31">
      <w:pPr>
        <w:jc w:val="both"/>
        <w:rPr>
          <w:color w:val="000000" w:themeColor="text1"/>
          <w:sz w:val="16"/>
          <w:szCs w:val="16"/>
        </w:rPr>
      </w:pPr>
      <w:r w:rsidRPr="00507A31">
        <w:rPr>
          <w:color w:val="000000" w:themeColor="text1"/>
          <w:sz w:val="16"/>
          <w:szCs w:val="16"/>
        </w:rPr>
        <w:t>Металлическая » через Гартвана и Чарновского ...» 300 »</w:t>
      </w:r>
    </w:p>
    <w:p w14:paraId="51546539" w14:textId="77777777" w:rsidR="00B774B1" w:rsidRPr="00507A31" w:rsidRDefault="00B774B1" w:rsidP="00507A31">
      <w:pPr>
        <w:jc w:val="both"/>
        <w:rPr>
          <w:color w:val="000000" w:themeColor="text1"/>
          <w:sz w:val="16"/>
          <w:szCs w:val="16"/>
        </w:rPr>
      </w:pPr>
      <w:r w:rsidRPr="00507A31">
        <w:rPr>
          <w:color w:val="000000" w:themeColor="text1"/>
          <w:sz w:val="16"/>
          <w:szCs w:val="16"/>
        </w:rPr>
        <w:t>Текстильная » » Федотова и Куприянова » 200 »</w:t>
      </w:r>
    </w:p>
    <w:p w14:paraId="2DBC0A29" w14:textId="77777777" w:rsidR="00B774B1" w:rsidRPr="00507A31" w:rsidRDefault="00B774B1" w:rsidP="00507A31">
      <w:pPr>
        <w:jc w:val="both"/>
        <w:rPr>
          <w:color w:val="000000" w:themeColor="text1"/>
          <w:sz w:val="16"/>
          <w:szCs w:val="16"/>
        </w:rPr>
      </w:pPr>
      <w:r w:rsidRPr="00507A31">
        <w:rPr>
          <w:color w:val="000000" w:themeColor="text1"/>
          <w:sz w:val="16"/>
          <w:szCs w:val="16"/>
        </w:rPr>
        <w:t>Разные отрасли промышл. » Калинникова » 300 »</w:t>
      </w:r>
    </w:p>
    <w:p w14:paraId="21DE8131" w14:textId="77777777" w:rsidR="00B774B1" w:rsidRPr="00507A31" w:rsidRDefault="00B774B1" w:rsidP="00507A31">
      <w:pPr>
        <w:jc w:val="both"/>
        <w:rPr>
          <w:color w:val="000000" w:themeColor="text1"/>
          <w:sz w:val="16"/>
          <w:szCs w:val="16"/>
        </w:rPr>
      </w:pPr>
      <w:r w:rsidRPr="00507A31">
        <w:rPr>
          <w:color w:val="000000" w:themeColor="text1"/>
          <w:sz w:val="16"/>
          <w:szCs w:val="16"/>
        </w:rPr>
        <w:t>Н.К.П.С. » Ларичева » 300 »</w:t>
      </w:r>
    </w:p>
    <w:p w14:paraId="700EF46A" w14:textId="77777777" w:rsidR="00B774B1" w:rsidRPr="00507A31" w:rsidRDefault="00B774B1" w:rsidP="00507A31">
      <w:pPr>
        <w:jc w:val="both"/>
        <w:rPr>
          <w:color w:val="000000" w:themeColor="text1"/>
          <w:sz w:val="16"/>
          <w:szCs w:val="16"/>
        </w:rPr>
      </w:pPr>
      <w:r w:rsidRPr="00507A31">
        <w:rPr>
          <w:color w:val="000000" w:themeColor="text1"/>
          <w:sz w:val="16"/>
          <w:szCs w:val="16"/>
        </w:rPr>
        <w:t>Энергетика » Башкова и Каменецкого » 100 »</w:t>
      </w:r>
    </w:p>
    <w:p w14:paraId="08C36885" w14:textId="77777777" w:rsidR="00B774B1" w:rsidRPr="00507A31" w:rsidRDefault="00B774B1" w:rsidP="00507A31">
      <w:pPr>
        <w:jc w:val="both"/>
        <w:rPr>
          <w:color w:val="000000" w:themeColor="text1"/>
          <w:sz w:val="16"/>
          <w:szCs w:val="16"/>
        </w:rPr>
      </w:pPr>
      <w:r w:rsidRPr="00507A31">
        <w:rPr>
          <w:color w:val="000000" w:themeColor="text1"/>
          <w:sz w:val="16"/>
          <w:szCs w:val="16"/>
        </w:rPr>
        <w:t>Эконом, группа » Ларичева и Калинникова » 50 »</w:t>
      </w:r>
    </w:p>
    <w:p w14:paraId="4B8D59E8" w14:textId="77777777" w:rsidR="00B774B1" w:rsidRPr="00507A31" w:rsidRDefault="00B774B1" w:rsidP="00507A31">
      <w:pPr>
        <w:jc w:val="both"/>
        <w:rPr>
          <w:color w:val="000000" w:themeColor="text1"/>
          <w:sz w:val="16"/>
          <w:szCs w:val="16"/>
        </w:rPr>
      </w:pPr>
      <w:r w:rsidRPr="00507A31">
        <w:rPr>
          <w:color w:val="000000" w:themeColor="text1"/>
          <w:sz w:val="16"/>
          <w:szCs w:val="16"/>
        </w:rPr>
        <w:t>Всего 1.600 т[ыс]. руб.</w:t>
      </w:r>
    </w:p>
    <w:p w14:paraId="08BEFDD7" w14:textId="77777777" w:rsidR="00B774B1" w:rsidRPr="00507A31" w:rsidRDefault="00B774B1" w:rsidP="00507A31">
      <w:pPr>
        <w:jc w:val="both"/>
        <w:rPr>
          <w:color w:val="000000" w:themeColor="text1"/>
          <w:sz w:val="16"/>
          <w:szCs w:val="16"/>
        </w:rPr>
      </w:pPr>
      <w:r w:rsidRPr="00507A31">
        <w:rPr>
          <w:color w:val="000000" w:themeColor="text1"/>
          <w:sz w:val="16"/>
          <w:szCs w:val="16"/>
        </w:rPr>
        <w:t>Из вышеуказанной суммы ок. 1.250 тыс. руб. получено было Ларичевым, а 350 тыс. руб. мною, в три приема — 100+100+150 тыс. руб.</w:t>
      </w:r>
    </w:p>
    <w:p w14:paraId="221CCB71" w14:textId="77777777" w:rsidR="00B774B1" w:rsidRPr="00507A31" w:rsidRDefault="00B774B1" w:rsidP="00507A31">
      <w:pPr>
        <w:jc w:val="both"/>
        <w:rPr>
          <w:color w:val="000000" w:themeColor="text1"/>
          <w:sz w:val="16"/>
          <w:szCs w:val="16"/>
        </w:rPr>
      </w:pPr>
      <w:r w:rsidRPr="00507A31">
        <w:rPr>
          <w:color w:val="000000" w:themeColor="text1"/>
          <w:sz w:val="16"/>
          <w:szCs w:val="16"/>
        </w:rPr>
        <w:t>14.О РАБОТЕ ЭКОНОМИЧЕСКОЙ ГРУППЫ.</w:t>
      </w:r>
    </w:p>
    <w:p w14:paraId="45B57994" w14:textId="77777777" w:rsidR="00B774B1" w:rsidRPr="00507A31" w:rsidRDefault="00B774B1" w:rsidP="00507A31">
      <w:pPr>
        <w:jc w:val="both"/>
        <w:rPr>
          <w:color w:val="000000" w:themeColor="text1"/>
          <w:sz w:val="16"/>
          <w:szCs w:val="16"/>
        </w:rPr>
      </w:pPr>
      <w:r w:rsidRPr="00507A31">
        <w:rPr>
          <w:color w:val="000000" w:themeColor="text1"/>
          <w:sz w:val="16"/>
          <w:szCs w:val="16"/>
        </w:rPr>
        <w:t>В целях: 1) получения правильной экономической перспективы при обсуждении планов и тактики Промпартии, 2) облегчения сокрытия диспропорций планов народного хозяйства при проведении их в ВСНХ и Госплане СССР к концу 1928 года или к началу 1929 г. Промпартия установила связь с видными экономистами. В частности, в работу Промпартии были вовлечены из ВСНХ СССР Гинзбург, Белоцерковский и Соколовский. Кроме того, был организован ряд конъюнктурных и обзорных совещаний из членов ЦК Промпартии или ее отраслевых групп и виднейших экономистов. Со стороны ЦК Промпартии на этих совещаниях участвовал Калинников и обычно Чарновский, на некоторых совещаниях присутствовал и я.</w:t>
      </w:r>
    </w:p>
    <w:p w14:paraId="5E060033" w14:textId="77777777" w:rsidR="00B774B1" w:rsidRPr="00507A31" w:rsidRDefault="00B774B1" w:rsidP="00507A31">
      <w:pPr>
        <w:jc w:val="both"/>
        <w:rPr>
          <w:color w:val="000000" w:themeColor="text1"/>
          <w:sz w:val="16"/>
          <w:szCs w:val="16"/>
        </w:rPr>
      </w:pPr>
      <w:r w:rsidRPr="00507A31">
        <w:rPr>
          <w:color w:val="000000" w:themeColor="text1"/>
          <w:sz w:val="16"/>
          <w:szCs w:val="16"/>
        </w:rPr>
        <w:t>Для участия в этих совещаниях кроме вышеуказанной группы экономистов ВСНХ привлекались Кондратьев, Громан, Кафенгауз, Макаров и др.:</w:t>
      </w:r>
    </w:p>
    <w:p w14:paraId="274291C6" w14:textId="77777777" w:rsidR="00B774B1" w:rsidRPr="00507A31" w:rsidRDefault="00B774B1" w:rsidP="00507A31">
      <w:pPr>
        <w:jc w:val="both"/>
        <w:rPr>
          <w:color w:val="000000" w:themeColor="text1"/>
          <w:sz w:val="16"/>
          <w:szCs w:val="16"/>
        </w:rPr>
      </w:pPr>
      <w:r w:rsidRPr="00507A31">
        <w:rPr>
          <w:color w:val="000000" w:themeColor="text1"/>
          <w:sz w:val="16"/>
          <w:szCs w:val="16"/>
        </w:rPr>
        <w:t>1) На одном из таких совещаний в ВСНХ СССР в кабинете С. Д. Шейна в 1929 году присутствовали С. Д. Шейн, Калинников, Чарновский, Рамзин, Гинзбург, Белоцерковский и Соколовский. Основной темой совещания служило обсуждение промышленной конъюнктуры и ее перспектив, по докладу Гинзбурга. Констатируя вступление в полосу глубокого кризиса с апогеем его в 1930 г. участники приводили некоторые примеры разных отраслей промышленности; в частности, я указал на сильное углубление кризиса электроснабжения в наиболее ответственных пунктах, как результат работ Промпартии. Шейн осветил настроения в инженерных массах вполне благоприятствующие деятельности Промпартии. Решено было устроить сети конъюнктурных обзоров и по другим частям народного хозяйства.</w:t>
      </w:r>
    </w:p>
    <w:p w14:paraId="3FDF2C53" w14:textId="77777777" w:rsidR="00B774B1" w:rsidRPr="00507A31" w:rsidRDefault="00B774B1" w:rsidP="00507A31">
      <w:pPr>
        <w:jc w:val="both"/>
        <w:rPr>
          <w:color w:val="000000" w:themeColor="text1"/>
          <w:sz w:val="16"/>
          <w:szCs w:val="16"/>
        </w:rPr>
      </w:pPr>
      <w:r w:rsidRPr="00507A31">
        <w:rPr>
          <w:color w:val="000000" w:themeColor="text1"/>
          <w:sz w:val="16"/>
          <w:szCs w:val="16"/>
        </w:rPr>
        <w:t>2) Совещание в кабинете Калинникова в Госплане в конце 1929 г. — в начале 1930 года в составе Калинникова, Чарновского, Рамзина, Громана, Гинзбурга, Кондратьева, Макарова, Кафенгауза было посвящено анализу сельскохозяйственной и общей конъюнктуры и прогнозов в связи с коллективизацией. Констатировалась неизбежность глубокого кризиса в 1930 году. Громан и другие сообщали о получении сведений из-за границы относительно интервенции, предполагающейся на 1931 г., в крайнем случае на 1932 год.</w:t>
      </w:r>
    </w:p>
    <w:p w14:paraId="6FB44C5C" w14:textId="77777777" w:rsidR="00B774B1" w:rsidRPr="00507A31" w:rsidRDefault="00B774B1" w:rsidP="00507A31">
      <w:pPr>
        <w:jc w:val="both"/>
        <w:rPr>
          <w:color w:val="000000" w:themeColor="text1"/>
          <w:sz w:val="16"/>
          <w:szCs w:val="16"/>
        </w:rPr>
      </w:pPr>
      <w:r w:rsidRPr="00507A31">
        <w:rPr>
          <w:color w:val="000000" w:themeColor="text1"/>
          <w:sz w:val="16"/>
          <w:szCs w:val="16"/>
        </w:rPr>
        <w:t>3) Наконец, в начале 1930 г. я участвовал еще на одном совещании с экономистами в Госплане, в кабинете Ларичева, в составе: Ларичев, Калинников, Коган-Бернштейн, Гинзбург, Соколовский, Белоцерковский, Громан. В связи с предстоящей топливной конференцией и новыми директивами ЦК Промпартии о максимальных темпах, обсуждались возможности максимальной цифры наметок топливного плана, которые бы не вызывали явных подозрений и оспариваний со стороны экономистов.</w:t>
      </w:r>
    </w:p>
    <w:p w14:paraId="72E247F3" w14:textId="77777777" w:rsidR="00B774B1" w:rsidRPr="00507A31" w:rsidRDefault="00B774B1" w:rsidP="00507A31">
      <w:pPr>
        <w:jc w:val="both"/>
        <w:rPr>
          <w:color w:val="000000" w:themeColor="text1"/>
          <w:sz w:val="16"/>
          <w:szCs w:val="16"/>
        </w:rPr>
      </w:pPr>
      <w:r w:rsidRPr="00507A31">
        <w:rPr>
          <w:color w:val="000000" w:themeColor="text1"/>
          <w:sz w:val="16"/>
          <w:szCs w:val="16"/>
        </w:rPr>
        <w:t>15. О СОВЕЩАНИИ В ТОРГПРОМЕ (Париж).</w:t>
      </w:r>
    </w:p>
    <w:p w14:paraId="6DEF3015" w14:textId="77777777" w:rsidR="00B774B1" w:rsidRPr="00507A31" w:rsidRDefault="00B774B1" w:rsidP="00507A31">
      <w:pPr>
        <w:jc w:val="both"/>
        <w:rPr>
          <w:color w:val="000000" w:themeColor="text1"/>
          <w:sz w:val="16"/>
          <w:szCs w:val="16"/>
        </w:rPr>
      </w:pPr>
      <w:r w:rsidRPr="00507A31">
        <w:rPr>
          <w:color w:val="000000" w:themeColor="text1"/>
          <w:sz w:val="16"/>
          <w:szCs w:val="16"/>
        </w:rPr>
        <w:t>Во время командировки на Всемирную топливную конференцию в Лондоне в сентябре-октябре 1928 г. я и Ларичев на обратном пути были в Париже, где я вошел в связь с П. П. Рябушинским, который предложил мне воспользоваться присутствием в Париже двух членов ЦК ПП (я и Ларичев[)] и ряд[а] видных членов Торгпрома и устроить совместное совещание, на что я согласился.</w:t>
      </w:r>
    </w:p>
    <w:p w14:paraId="0C148ABF" w14:textId="77777777" w:rsidR="00B774B1" w:rsidRPr="00507A31" w:rsidRDefault="00B774B1" w:rsidP="00507A31">
      <w:pPr>
        <w:jc w:val="both"/>
        <w:rPr>
          <w:color w:val="000000" w:themeColor="text1"/>
          <w:sz w:val="16"/>
          <w:szCs w:val="16"/>
        </w:rPr>
      </w:pPr>
      <w:r w:rsidRPr="00507A31">
        <w:rPr>
          <w:color w:val="000000" w:themeColor="text1"/>
          <w:sz w:val="16"/>
          <w:szCs w:val="16"/>
        </w:rPr>
        <w:t>На совещании присутствовали — председатель Торгпрома Денисов, П. П. Рябушинский, Нобель, Гукасов, Стырикевич, Мещерский, Ларичев и Рамзин. После сообщения моего и Ларичева об общем положении дела, мы подробно остановились на росте деятельности Промпартии и увеличении ею охвата инженерных масс, но отметили в то же время и значительное увеличение опасности работы, в виду ряда арестов членов П[ромышленной]П[артии]. Ларичев несколько остановился на положении нефтепромышленности. Представители Торгпрома в общем одобрили направление и темп работы П.П. и указали, что теперь надо приложить главные усилия к сохранению руководящего ядра П.П., по возможности ведя, однако, работу согласно прежних директив и меняя тактику сообразно условиям момента. Вместе с тем члены Торгпрома сообщили о том, что им удалось уже добиться значительных успехов у французского и английского правительств, что общее руководство интервенцией возьмет, вероятно, Франция, а выполнение военных операций Польша и Румыния, с привлечением лимитрофов; что надо ориентироваться на интервенцию в 1930 г. и в крайнем случае на 1931 г.</w:t>
      </w:r>
    </w:p>
    <w:p w14:paraId="0B1B7145" w14:textId="77777777" w:rsidR="00B774B1" w:rsidRPr="00507A31" w:rsidRDefault="00B774B1" w:rsidP="00507A31">
      <w:pPr>
        <w:jc w:val="both"/>
        <w:rPr>
          <w:color w:val="000000" w:themeColor="text1"/>
          <w:sz w:val="16"/>
          <w:szCs w:val="16"/>
        </w:rPr>
      </w:pPr>
      <w:r w:rsidRPr="00507A31">
        <w:rPr>
          <w:color w:val="000000" w:themeColor="text1"/>
          <w:sz w:val="16"/>
          <w:szCs w:val="16"/>
        </w:rPr>
        <w:t>Далее были уточнены вопросы финансирования; намечены ежегодные суммы ок. 1 милл. руб. в год с доставкой Ларичеву на квартиру, а в его отсутствие мне через французское московское посольство.</w:t>
      </w:r>
    </w:p>
    <w:p w14:paraId="36D51A2A" w14:textId="77777777" w:rsidR="00B774B1" w:rsidRPr="00507A31" w:rsidRDefault="00B774B1" w:rsidP="00507A31">
      <w:pPr>
        <w:jc w:val="both"/>
        <w:rPr>
          <w:color w:val="000000" w:themeColor="text1"/>
          <w:sz w:val="16"/>
          <w:szCs w:val="16"/>
        </w:rPr>
      </w:pPr>
      <w:r w:rsidRPr="00507A31">
        <w:rPr>
          <w:color w:val="000000" w:themeColor="text1"/>
          <w:sz w:val="16"/>
          <w:szCs w:val="16"/>
        </w:rPr>
        <w:t>Вечером состоялась встреча Ларичева и моя с членами Торгпрома в кабинете ресторана на Больших бульварах, уже неофициального характера.</w:t>
      </w:r>
    </w:p>
    <w:p w14:paraId="28599CA5" w14:textId="77777777" w:rsidR="00B774B1" w:rsidRPr="00507A31" w:rsidRDefault="00B774B1" w:rsidP="00507A31">
      <w:pPr>
        <w:jc w:val="both"/>
        <w:rPr>
          <w:color w:val="000000" w:themeColor="text1"/>
          <w:sz w:val="16"/>
          <w:szCs w:val="16"/>
        </w:rPr>
      </w:pPr>
      <w:r w:rsidRPr="00507A31">
        <w:rPr>
          <w:color w:val="000000" w:themeColor="text1"/>
          <w:sz w:val="16"/>
          <w:szCs w:val="16"/>
        </w:rPr>
        <w:t>16. ЗАГРАНИЧНЫЕ ДИРЕКТИВЫ.</w:t>
      </w:r>
    </w:p>
    <w:p w14:paraId="10DB2230" w14:textId="77777777" w:rsidR="00B774B1" w:rsidRPr="00507A31" w:rsidRDefault="00B774B1" w:rsidP="00507A31">
      <w:pPr>
        <w:jc w:val="both"/>
        <w:rPr>
          <w:color w:val="000000" w:themeColor="text1"/>
          <w:sz w:val="16"/>
          <w:szCs w:val="16"/>
        </w:rPr>
      </w:pPr>
      <w:r w:rsidRPr="00507A31">
        <w:rPr>
          <w:color w:val="000000" w:themeColor="text1"/>
          <w:sz w:val="16"/>
          <w:szCs w:val="16"/>
        </w:rPr>
        <w:lastRenderedPageBreak/>
        <w:t>В виду того, что Промпартия ориентировалась на бело-эмигрантские промышленные круги, основная связь поддерживалась именно по этой линии. Что касается связей непосредственно с иностранными правительствами или их военными штабами, то таковые существовали в первый период деятельности Инженерного центра через Пальчинского. Так, со слов последнего, мне известно о сношениях с польским правительством через Рабиновича и Дворжанчика. В показаниях 21/IX я указывал еще</w:t>
      </w:r>
    </w:p>
    <w:p w14:paraId="41BB4069" w14:textId="77777777" w:rsidR="00B774B1" w:rsidRPr="00507A31" w:rsidRDefault="00B774B1" w:rsidP="00507A31">
      <w:pPr>
        <w:jc w:val="both"/>
        <w:rPr>
          <w:color w:val="000000" w:themeColor="text1"/>
          <w:sz w:val="16"/>
          <w:szCs w:val="16"/>
        </w:rPr>
      </w:pPr>
      <w:r w:rsidRPr="00507A31">
        <w:rPr>
          <w:color w:val="000000" w:themeColor="text1"/>
          <w:sz w:val="16"/>
          <w:szCs w:val="16"/>
        </w:rPr>
        <w:t>факт связи с Польшей, которую Пальчинский, по[-|видимому, осуществлял через инженера А. И. Мороза; в том же показании я указал на связь Пальчинского с [Э]. Чарноком, секретарем английского посольства в Москве, осуществленную, по[-]видимому, одно время через инж. Н. А. Давыдова; на совещаниях центра сообщалось о связи с английским штабом и вопросы о нефтепроводе Грозный — Туапсе, через инж. Стрижова, который получил директивы от штаба, касающиеся трассировки линии нефтепровода и, в частности, вопроса об углублении Туапсинского рейда, в соответствии с посадкой английских военных судов. Однако, к концу 1928 г., когда уже окончательно сформировалась Промпартия, выявилось ее политическое лицо и тактика, с четкой установкой на объединение бывших русских промышленников за границей (Торгпром), ЦК ПП держал за границей связь лишь по этой линии. Такое положение являлось логичным выводом из основной ставки на Торгпром, ибо — 1) ведение переговоров членами ЦК с иностранными правительствами из Москвы было крайне затруднительно и имело бы мало веса в глазах иностранных правительств, в то время как Торгпром имеет в этих кругах определенную репутацию; 2) оставался неопределенным вопрос, какие государства примут участие в интервенции и в какой мере, поэтому при неясности этого вопроса неизвестно было, с кем вести переговоры и в каких направлениях. Поэтому с конца 1928 г. все переговоры и сношения с иностранными правительствами взяли на себя бело-эмигрантские промышленные круги, а ЦК ПП сносилось, как правило, только с ними.</w:t>
      </w:r>
    </w:p>
    <w:p w14:paraId="47A2E618" w14:textId="77777777" w:rsidR="00B774B1" w:rsidRPr="00507A31" w:rsidRDefault="00B774B1" w:rsidP="00507A31">
      <w:pPr>
        <w:jc w:val="both"/>
        <w:rPr>
          <w:color w:val="000000" w:themeColor="text1"/>
          <w:sz w:val="16"/>
          <w:szCs w:val="16"/>
        </w:rPr>
      </w:pPr>
      <w:r w:rsidRPr="00507A31">
        <w:rPr>
          <w:color w:val="000000" w:themeColor="text1"/>
          <w:sz w:val="16"/>
          <w:szCs w:val="16"/>
        </w:rPr>
        <w:t>Что касается директив, получаемых от бывших промышленников, то в самом зародыше деятельности центра, которого я еще не застал, когда б. промышленники интересовались судьбой отдельных принадлежащих им ранее предприятий, эти директивы, направлявшиеся к своим бывшим служащим[,] носили весьма конкретный характер, содержали определенные пожелания и инструкции. Однако, с началом реконструктивного периода, когда все лицо промышленности начало резко меняться, к концу 1927 г. б. промышленники уже часто не находили в живых своих прежних предприятий, а кроме того были несомненно неизмеримо меньше знакомы с внутренним положением СССР, чем работники центра или ПП. Поэтому получаемые директивы, начиная с 1928 г. носят весьма общий, расплывчатый характер, большей частью лишь подтверждая и одобряя предложения Промпартии. Директивы поступали или устные, через часть приезжающих из-за границы инженеров, или же письменные, через иностранные посольства в Москве.</w:t>
      </w:r>
    </w:p>
    <w:p w14:paraId="4F61FA6A" w14:textId="77777777" w:rsidR="00B774B1" w:rsidRPr="00507A31" w:rsidRDefault="00B774B1" w:rsidP="00507A31">
      <w:pPr>
        <w:jc w:val="both"/>
        <w:rPr>
          <w:color w:val="000000" w:themeColor="text1"/>
          <w:sz w:val="16"/>
          <w:szCs w:val="16"/>
        </w:rPr>
      </w:pPr>
      <w:r w:rsidRPr="00507A31">
        <w:rPr>
          <w:color w:val="000000" w:themeColor="text1"/>
          <w:sz w:val="16"/>
          <w:szCs w:val="16"/>
        </w:rPr>
        <w:t>17. СВЯЗЬ С ВОЕННОЙ ПРОМЫШЛЕННОСТЬЮ.</w:t>
      </w:r>
    </w:p>
    <w:p w14:paraId="7CD08A39" w14:textId="77777777" w:rsidR="00B774B1" w:rsidRPr="00507A31" w:rsidRDefault="00B774B1" w:rsidP="00507A31">
      <w:pPr>
        <w:jc w:val="both"/>
        <w:rPr>
          <w:color w:val="000000" w:themeColor="text1"/>
          <w:sz w:val="16"/>
          <w:szCs w:val="16"/>
        </w:rPr>
      </w:pPr>
      <w:r w:rsidRPr="00507A31">
        <w:rPr>
          <w:color w:val="000000" w:themeColor="text1"/>
          <w:sz w:val="16"/>
          <w:szCs w:val="16"/>
        </w:rPr>
        <w:t>На основании имеющихся у меня немногочисленных сведений — я могу дать лишь крайне отрывочные сведения по этому вопросу. До ареста Пальчинского основную связь по линии военной промышленности держал сам Пальчинский. Из сообщений последнего мне известно, что одним из главнейших руководителей вредительской работы в военной промышленности являлся связанный с инженерн[ым] центром генерал Михайлов. В позднейший период связь с Военпромом через посредство топливоснабжения осуществлялась Ларичевым, кроме того у Промпартии имелась связь с военной промышленностью по линии металла, через Хренникова и Чарновского, а по линии химии — через Кравеца и Камзолкина.</w:t>
      </w:r>
    </w:p>
    <w:p w14:paraId="6753A51D" w14:textId="77777777" w:rsidR="00B774B1" w:rsidRPr="00507A31" w:rsidRDefault="00B774B1" w:rsidP="00507A31">
      <w:pPr>
        <w:jc w:val="both"/>
        <w:rPr>
          <w:color w:val="000000" w:themeColor="text1"/>
          <w:sz w:val="16"/>
          <w:szCs w:val="16"/>
        </w:rPr>
      </w:pPr>
      <w:r w:rsidRPr="00507A31">
        <w:rPr>
          <w:color w:val="000000" w:themeColor="text1"/>
          <w:sz w:val="16"/>
          <w:szCs w:val="16"/>
        </w:rPr>
        <w:t>В частности, с Путиловским и Обуховским заводами, насколько мне известно, центр имел связь через С. И. Краузе. По энергетике] военпрома — через инж. Евреинова Е. Ф. и инж. Домонтовича Б. П. Направление вредительской работы в области военной промышленности, вследствие ее крайнего разнообразия, я как не специалист, сколько-нибудь полно осветить не берусь. Могу отметить следующие известные мне направления. При постройке электростанций военных заводов рекомендовалось оборудовать котельные для сжигания лишь того вида топлива, доставка коего могла быть под военным ударом, причем переход на другие &lt;виды&gt; топлива был или невозможен или требовал длительных переделок. Рекомендовалось доставлять военным заводам металл и сырье неподходящего качества. Задержка развития основной химической и коксобензольной промышленности, являющихся основными базами для производства взрывчатых веществ. Выбор неудачных мест для заводов Военпрома и обслуживающих их заводов.</w:t>
      </w:r>
    </w:p>
    <w:p w14:paraId="0EF245D8" w14:textId="77777777" w:rsidR="00B774B1" w:rsidRPr="00507A31" w:rsidRDefault="00B774B1" w:rsidP="00507A31">
      <w:pPr>
        <w:jc w:val="both"/>
        <w:rPr>
          <w:color w:val="000000" w:themeColor="text1"/>
          <w:sz w:val="16"/>
          <w:szCs w:val="16"/>
        </w:rPr>
      </w:pPr>
      <w:r w:rsidRPr="00507A31">
        <w:rPr>
          <w:color w:val="000000" w:themeColor="text1"/>
          <w:sz w:val="16"/>
          <w:szCs w:val="16"/>
        </w:rPr>
        <w:t>Одним из основных методов вредительства, как указано выше, являлось искусственное снижение темпов развития народного хозяйства Республики. Эта линия по своему направлению совпадала таким образом с установками правого уклона коммунистической партии, почему при проведении искусственно срезанных, минималистских планов через плановые и правительственные органы Республики у центра создавался оригинальный блок с правыми коммунистами, который сильно облегчал центру утверждение подобных планов.</w:t>
      </w:r>
    </w:p>
    <w:p w14:paraId="7F6E300E" w14:textId="77777777" w:rsidR="00B774B1" w:rsidRPr="00507A31" w:rsidRDefault="00B774B1" w:rsidP="00507A31">
      <w:pPr>
        <w:jc w:val="both"/>
        <w:rPr>
          <w:color w:val="000000" w:themeColor="text1"/>
          <w:sz w:val="16"/>
          <w:szCs w:val="16"/>
        </w:rPr>
      </w:pPr>
      <w:r w:rsidRPr="00507A31">
        <w:rPr>
          <w:color w:val="000000" w:themeColor="text1"/>
          <w:sz w:val="16"/>
          <w:szCs w:val="16"/>
        </w:rPr>
        <w:t>Что касается влияния центра на советские органы, то как уже указывалось выше основные плановые органы[,] соответствующие части ВСНХ СССР и Госплан СССР почти целиком находились в руках центра.</w:t>
      </w:r>
    </w:p>
    <w:p w14:paraId="413678F4" w14:textId="77777777" w:rsidR="00B774B1" w:rsidRPr="00507A31" w:rsidRDefault="00B774B1" w:rsidP="00507A31">
      <w:pPr>
        <w:jc w:val="both"/>
        <w:rPr>
          <w:color w:val="000000" w:themeColor="text1"/>
          <w:sz w:val="16"/>
          <w:szCs w:val="16"/>
        </w:rPr>
      </w:pPr>
      <w:r w:rsidRPr="00507A31">
        <w:rPr>
          <w:color w:val="000000" w:themeColor="text1"/>
          <w:sz w:val="16"/>
          <w:szCs w:val="16"/>
        </w:rPr>
        <w:t>18. ЗАДАЧИ В РАЗНЫХ ОТРАСЛЯХ НАРОДНОГО ХОЗЯЙСТВА.</w:t>
      </w:r>
    </w:p>
    <w:p w14:paraId="61CB09D2" w14:textId="77777777" w:rsidR="00B774B1" w:rsidRPr="00507A31" w:rsidRDefault="00B774B1" w:rsidP="00507A31">
      <w:pPr>
        <w:jc w:val="both"/>
        <w:rPr>
          <w:color w:val="000000" w:themeColor="text1"/>
          <w:sz w:val="16"/>
          <w:szCs w:val="16"/>
        </w:rPr>
      </w:pPr>
      <w:r w:rsidRPr="00507A31">
        <w:rPr>
          <w:color w:val="000000" w:themeColor="text1"/>
          <w:sz w:val="16"/>
          <w:szCs w:val="16"/>
        </w:rPr>
        <w:t>На заседаниях центра обсуждались и прорабатывались естественно лишь общие директивные линии направления деятельности организации в основных отраслях народного хозяйства. Детальная конкретная проработка отдельных вопросов производилась уже в отраслевых и связанных с ними периферийных органах центра.</w:t>
      </w:r>
    </w:p>
    <w:p w14:paraId="4544ADAE" w14:textId="77777777" w:rsidR="00B774B1" w:rsidRPr="00507A31" w:rsidRDefault="00B774B1" w:rsidP="00507A31">
      <w:pPr>
        <w:jc w:val="both"/>
        <w:rPr>
          <w:color w:val="000000" w:themeColor="text1"/>
          <w:sz w:val="16"/>
          <w:szCs w:val="16"/>
        </w:rPr>
      </w:pPr>
      <w:r w:rsidRPr="00507A31">
        <w:rPr>
          <w:color w:val="000000" w:themeColor="text1"/>
          <w:sz w:val="16"/>
          <w:szCs w:val="16"/>
        </w:rPr>
        <w:t>Основная общая директива для всех отраслей народного хозяйства сводилась прежде всего к сокращению темпа их развития. Кроме того на известных мне совещаниях центра и отдельных групп членов организации намечались следующие мероприятия:</w:t>
      </w:r>
    </w:p>
    <w:p w14:paraId="76C7D7BB" w14:textId="77777777" w:rsidR="00B774B1" w:rsidRPr="00507A31" w:rsidRDefault="00B774B1" w:rsidP="00507A31">
      <w:pPr>
        <w:jc w:val="both"/>
        <w:rPr>
          <w:color w:val="000000" w:themeColor="text1"/>
          <w:sz w:val="16"/>
          <w:szCs w:val="16"/>
        </w:rPr>
      </w:pPr>
      <w:r w:rsidRPr="00507A31">
        <w:rPr>
          <w:color w:val="000000" w:themeColor="text1"/>
          <w:sz w:val="16"/>
          <w:szCs w:val="16"/>
        </w:rPr>
        <w:t>1) Металл: а) замедление темпа развертывания, что особенно ясно из сопоставления старой пятилетки составленной под влиянием центра с 7 мил. тн. чугуна и последней пятилеткой в 17 мил. тн., т. е. старая пятилетка была сужена в 2 раза.</w:t>
      </w:r>
    </w:p>
    <w:p w14:paraId="6BAC13DF" w14:textId="77777777" w:rsidR="00B774B1" w:rsidRPr="00507A31" w:rsidRDefault="00B774B1" w:rsidP="00507A31">
      <w:pPr>
        <w:jc w:val="both"/>
        <w:rPr>
          <w:color w:val="000000" w:themeColor="text1"/>
          <w:sz w:val="16"/>
          <w:szCs w:val="16"/>
        </w:rPr>
      </w:pPr>
      <w:r w:rsidRPr="00507A31">
        <w:rPr>
          <w:color w:val="000000" w:themeColor="text1"/>
          <w:sz w:val="16"/>
          <w:szCs w:val="16"/>
        </w:rPr>
        <w:t>б) Несоответствие ассортимента металла потребности в нем.</w:t>
      </w:r>
    </w:p>
    <w:p w14:paraId="4383446D" w14:textId="77777777" w:rsidR="00B774B1" w:rsidRPr="00507A31" w:rsidRDefault="00B774B1" w:rsidP="00507A31">
      <w:pPr>
        <w:jc w:val="both"/>
        <w:rPr>
          <w:color w:val="000000" w:themeColor="text1"/>
          <w:sz w:val="16"/>
          <w:szCs w:val="16"/>
        </w:rPr>
      </w:pPr>
      <w:r w:rsidRPr="00507A31">
        <w:rPr>
          <w:color w:val="000000" w:themeColor="text1"/>
          <w:sz w:val="16"/>
          <w:szCs w:val="16"/>
        </w:rPr>
        <w:t>в) Диспропорция между производством и потреблением отдельных металлоизделий.</w:t>
      </w:r>
    </w:p>
    <w:p w14:paraId="1DE4F187" w14:textId="77777777" w:rsidR="00B774B1" w:rsidRPr="00507A31" w:rsidRDefault="00B774B1" w:rsidP="00507A31">
      <w:pPr>
        <w:jc w:val="both"/>
        <w:rPr>
          <w:color w:val="000000" w:themeColor="text1"/>
          <w:sz w:val="16"/>
          <w:szCs w:val="16"/>
        </w:rPr>
      </w:pPr>
      <w:r w:rsidRPr="00507A31">
        <w:rPr>
          <w:color w:val="000000" w:themeColor="text1"/>
          <w:sz w:val="16"/>
          <w:szCs w:val="16"/>
        </w:rPr>
        <w:t>г) Запоздания с постройкой и расширением заводов и коксовых установок.</w:t>
      </w:r>
    </w:p>
    <w:p w14:paraId="7312790B" w14:textId="77777777" w:rsidR="00B774B1" w:rsidRPr="00507A31" w:rsidRDefault="00B774B1" w:rsidP="00507A31">
      <w:pPr>
        <w:jc w:val="both"/>
        <w:rPr>
          <w:color w:val="000000" w:themeColor="text1"/>
          <w:sz w:val="16"/>
          <w:szCs w:val="16"/>
        </w:rPr>
      </w:pPr>
      <w:r w:rsidRPr="00507A31">
        <w:rPr>
          <w:color w:val="000000" w:themeColor="text1"/>
          <w:sz w:val="16"/>
          <w:szCs w:val="16"/>
        </w:rPr>
        <w:t>2) Текстиль а) медленный темп развертывания; б) постройка новых фабрик при недостатке сырья; в) диспропорция между наличием и потребностью отдельных видов сырья; г) задержка с введением новых текстильных материалов.</w:t>
      </w:r>
    </w:p>
    <w:p w14:paraId="26BA9342" w14:textId="77777777" w:rsidR="00B774B1" w:rsidRPr="00507A31" w:rsidRDefault="00B774B1" w:rsidP="00507A31">
      <w:pPr>
        <w:jc w:val="both"/>
        <w:rPr>
          <w:color w:val="000000" w:themeColor="text1"/>
          <w:sz w:val="16"/>
          <w:szCs w:val="16"/>
        </w:rPr>
      </w:pPr>
      <w:r w:rsidRPr="00507A31">
        <w:rPr>
          <w:color w:val="000000" w:themeColor="text1"/>
          <w:sz w:val="16"/>
          <w:szCs w:val="16"/>
        </w:rPr>
        <w:t>3) НКПС а) неправильное и нерациональное использование подвижного состава и паровозов; б) передача годных паровозов на кладбища; в) задержка с развитием провозоспособности по наиболее важным линиям, напр., Донбасс — Москва, Кузбасс — Урал и больше ставящая под удар и вопросы топливоснабжения; г) несмотря на полную неизбежность в ближайшем будущем острого дефицита неспекающихся каменных углей в Донбассе, не принято никаких мер к подготовке паровозов для сжигания не[с]пекающихся углей, между тем как этот вопрос является одним из центральных и наиболее решающих проблем топливоснабжения; д) не проводилась работа по радикальному улучшению экономичности использования топлива в паровозах путем выработки новых типов и конструкций для постройки новых паровозов; е) сильное отставание в развитии нефтефлота, являющегося узким местом нефтеснабжения.</w:t>
      </w:r>
    </w:p>
    <w:p w14:paraId="5EB012FB" w14:textId="77777777" w:rsidR="00B774B1" w:rsidRPr="00507A31" w:rsidRDefault="00B774B1" w:rsidP="00507A31">
      <w:pPr>
        <w:jc w:val="both"/>
        <w:rPr>
          <w:color w:val="000000" w:themeColor="text1"/>
          <w:sz w:val="16"/>
          <w:szCs w:val="16"/>
        </w:rPr>
      </w:pPr>
      <w:r w:rsidRPr="00507A31">
        <w:rPr>
          <w:color w:val="000000" w:themeColor="text1"/>
          <w:sz w:val="16"/>
          <w:szCs w:val="16"/>
        </w:rPr>
        <w:t>4) Нефть а) замедление темпа развития путем сокращения объема буровых работ; б) сильное отставание нефтеразведок, являющееся также фактором замедления развития нефтедобычи и одновременно неизбежно увеличивающееся количество пустых скважин; в) неправильное использование нефтяных газов; г) медленный темп нефтепроводного строительства; д) замедление развития рационального нефтеперегонного оборудования и получения поэтому менее выгодного ассортимента нефтепродуктов; е) сильная задержка в развитии крепких установок.</w:t>
      </w:r>
    </w:p>
    <w:p w14:paraId="23D51661" w14:textId="77777777" w:rsidR="00B774B1" w:rsidRPr="00507A31" w:rsidRDefault="00B774B1" w:rsidP="00507A31">
      <w:pPr>
        <w:jc w:val="both"/>
        <w:rPr>
          <w:color w:val="000000" w:themeColor="text1"/>
          <w:sz w:val="16"/>
          <w:szCs w:val="16"/>
        </w:rPr>
      </w:pPr>
      <w:r w:rsidRPr="00507A31">
        <w:rPr>
          <w:color w:val="000000" w:themeColor="text1"/>
          <w:sz w:val="16"/>
          <w:szCs w:val="16"/>
        </w:rPr>
        <w:t>5) Уголь а) значительное замедление темпов добычи во всех районах особенно в Подмосковном бассейне и в Кузбассе; б) сильное отставание разведок, ограничивающее темп развития добычи и увеличивающее количество невыгодных шахт; в) сильное отставание капитальных работ и жилстроительства, являющееся основным тормозом развития угледобычи; г) кризис электроснабжения в Донбассе, Кузбассе и в Кизеле, ограничивающий добычу и степень механизации; д) замедление механизации угледобычи, усиливающее рабочий и жилищный кризисы.</w:t>
      </w:r>
    </w:p>
    <w:p w14:paraId="40C84FFE" w14:textId="77777777" w:rsidR="00B774B1" w:rsidRPr="00507A31" w:rsidRDefault="00B774B1" w:rsidP="00507A31">
      <w:pPr>
        <w:jc w:val="both"/>
        <w:rPr>
          <w:color w:val="000000" w:themeColor="text1"/>
          <w:sz w:val="16"/>
          <w:szCs w:val="16"/>
        </w:rPr>
      </w:pPr>
      <w:r w:rsidRPr="00507A31">
        <w:rPr>
          <w:color w:val="000000" w:themeColor="text1"/>
          <w:sz w:val="16"/>
          <w:szCs w:val="16"/>
        </w:rPr>
        <w:t>6) Энергетика а) замедление темпа электрификации; б) создание кризисов электроснабжения в наиболее ответственных пунктах — Донбасс, Ленинград, Москва; в) &lt;за&gt;медленность постройки электростанций в 2-3 раза по сравнению с возможными сроками постройки, что вызывало омертвление значительных капиталов, и в значительной части валютных, создавая временные кризисы в электроснабжении; г) несоответствие сроков окончания отдельных частей станций и сроков поступления отдельных элементов оборудования, ведущее также к омертвлению капиталов; д) дорогая стоимость электростанций вследствие нерациональной проектировки их; е) задержка теплофикации.</w:t>
      </w:r>
    </w:p>
    <w:p w14:paraId="5FB1AB6C" w14:textId="77777777" w:rsidR="00B774B1" w:rsidRPr="00507A31" w:rsidRDefault="00B774B1" w:rsidP="00507A31">
      <w:pPr>
        <w:jc w:val="both"/>
        <w:rPr>
          <w:color w:val="000000" w:themeColor="text1"/>
          <w:sz w:val="16"/>
          <w:szCs w:val="16"/>
        </w:rPr>
      </w:pPr>
      <w:r w:rsidRPr="00507A31">
        <w:rPr>
          <w:color w:val="000000" w:themeColor="text1"/>
          <w:sz w:val="16"/>
          <w:szCs w:val="16"/>
        </w:rPr>
        <w:t>7) Топливоснабжение а) сильное сокращение темпов добычи топлива; б) сокращение добычи местных топлив — особенно торфа и подмосковного угля; в) сокращение темпов развития Кузбасса; г) задержка мероприятий по улучшению качества угля для металлургических целей, и как следствие этого ухудшение кокса и качества металла.</w:t>
      </w:r>
    </w:p>
    <w:p w14:paraId="3E0A3A82" w14:textId="77777777" w:rsidR="00B774B1" w:rsidRPr="00507A31" w:rsidRDefault="00B774B1" w:rsidP="00507A31">
      <w:pPr>
        <w:jc w:val="both"/>
        <w:rPr>
          <w:color w:val="000000" w:themeColor="text1"/>
          <w:sz w:val="16"/>
          <w:szCs w:val="16"/>
        </w:rPr>
      </w:pPr>
      <w:r w:rsidRPr="00507A31">
        <w:rPr>
          <w:color w:val="000000" w:themeColor="text1"/>
          <w:sz w:val="16"/>
          <w:szCs w:val="16"/>
        </w:rPr>
        <w:t>19. КОНКРЕТНЫЕ ПРИМЕРЫ ОСУЩЕСТВЛЕНИЯ ЗАДАЧ ЦЕНТРА В ОБЛАСТИ ЭНЕРГЕТИКИ.</w:t>
      </w:r>
    </w:p>
    <w:p w14:paraId="297352C3" w14:textId="77777777" w:rsidR="00B774B1" w:rsidRPr="00507A31" w:rsidRDefault="00B774B1" w:rsidP="00507A31">
      <w:pPr>
        <w:jc w:val="both"/>
        <w:rPr>
          <w:color w:val="000000" w:themeColor="text1"/>
          <w:sz w:val="16"/>
          <w:szCs w:val="16"/>
        </w:rPr>
      </w:pPr>
      <w:r w:rsidRPr="00507A31">
        <w:rPr>
          <w:color w:val="000000" w:themeColor="text1"/>
          <w:sz w:val="16"/>
          <w:szCs w:val="16"/>
        </w:rPr>
        <w:t>1) Удорожание электростанций путем систематического проведения при проектировании и следующих приемов: а) установка большого числа мелких единиц вместо небольшого количества крупных. Это положение неизбежно и значительно удорожает станции от 25 до 50 %. Все электростанции, запроектированные в период 1926-1928 г. обладают этой особенностью, имея большое число маломощных котлов и турбогенераторов; б) слабое использование поверхностей нагрева, проводившееся как общее мероприятие, также сильно удорожало котельную. Так, напр., вместо возможных паронапряжений котлов обычно в 50-70 кг/м час и выше, при проектировании брались напряжения ок. 40 кг/м час, увеличивая потребную поверхность нагрева и стоимость котлов примерно на 30-50 %. Воздушные подогреватели рассчитывались на чрезмерно низкие коэффициенты теплопередачи, а фактически работают часто с коэффициентами теплопередачи в 4-7 кал/м час вместо возможных 1416 и больше (т. е. получалась затрата поверхностей нагрева тоже весьма большая — в 2-3 раза больше[)]. При постоянном дефиците в смысле производства котлов, экономайзеров, воздушных подогревателей и т. п., т. е. при ограниченном суммарном выпуске наших котельных заводов по метражу это мероприятие не только сильно удорожало станцию, но и еще более усугубляло дефицит и производство отечественных заводов[,] довольно значительное по метражу[,] обеспечивало крайне малую суммарную энергетическую мощность, заставляя прибегать к громадным дополнительным затратам валюты.</w:t>
      </w:r>
    </w:p>
    <w:p w14:paraId="483ACBE5" w14:textId="77777777" w:rsidR="00B774B1" w:rsidRPr="00507A31" w:rsidRDefault="00B774B1" w:rsidP="00507A31">
      <w:pPr>
        <w:jc w:val="both"/>
        <w:rPr>
          <w:color w:val="000000" w:themeColor="text1"/>
          <w:sz w:val="16"/>
          <w:szCs w:val="16"/>
        </w:rPr>
      </w:pPr>
      <w:r w:rsidRPr="00507A31">
        <w:rPr>
          <w:color w:val="000000" w:themeColor="text1"/>
          <w:sz w:val="16"/>
          <w:szCs w:val="16"/>
        </w:rPr>
        <w:lastRenderedPageBreak/>
        <w:t>в) Излишние и ненужно большие резервы, маскированные различными расчетами, путем постановки дополнительных резервных котлов вместо использования перегрузочной способности котельных агрегатов также весьма значительно удорожали станцию.</w:t>
      </w:r>
    </w:p>
    <w:p w14:paraId="12ACEDDB" w14:textId="77777777" w:rsidR="00B774B1" w:rsidRPr="00507A31" w:rsidRDefault="00B774B1" w:rsidP="00507A31">
      <w:pPr>
        <w:jc w:val="both"/>
        <w:rPr>
          <w:color w:val="000000" w:themeColor="text1"/>
          <w:sz w:val="16"/>
          <w:szCs w:val="16"/>
        </w:rPr>
      </w:pPr>
      <w:r w:rsidRPr="00507A31">
        <w:rPr>
          <w:color w:val="000000" w:themeColor="text1"/>
          <w:sz w:val="16"/>
          <w:szCs w:val="16"/>
        </w:rPr>
        <w:t>г) Чрезмерно большие здания станции, частью как результат влияния вышеуказанных приемов, а частью за счет ненужного увеличения объемов зданий путем нерациональной проектировки. Достаточно указать, что в то время как в среднем у современных американских станций кубатура котельной составляет ок. 0,6 м3 кв., у ряда советских станций эта величина доходит до 1,8 м3 кв. и выше, т. е. втрое выше.</w:t>
      </w:r>
    </w:p>
    <w:p w14:paraId="0F2D9FFC" w14:textId="77777777" w:rsidR="00B774B1" w:rsidRPr="00507A31" w:rsidRDefault="00B774B1" w:rsidP="00507A31">
      <w:pPr>
        <w:jc w:val="both"/>
        <w:rPr>
          <w:color w:val="000000" w:themeColor="text1"/>
          <w:sz w:val="16"/>
          <w:szCs w:val="16"/>
        </w:rPr>
      </w:pPr>
      <w:r w:rsidRPr="00507A31">
        <w:rPr>
          <w:color w:val="000000" w:themeColor="text1"/>
          <w:sz w:val="16"/>
          <w:szCs w:val="16"/>
        </w:rPr>
        <w:t>Не касаясь других энергетических деталей можно в общем указать, что стоимость наших станций колебалась обычно ок. 350 рб/кв, доходя иногда до 400-500 рб/кв против возможной стоимости 250 рб/кв; таким образом, стоимость станций получалась по меньшей мере на 50 % дороже, причем надо иметь ввиду, что удорожание вызывало при этом значительные валютные перерасходы.</w:t>
      </w:r>
    </w:p>
    <w:p w14:paraId="645F4D94" w14:textId="77777777" w:rsidR="00B774B1" w:rsidRPr="00507A31" w:rsidRDefault="00B774B1" w:rsidP="00507A31">
      <w:pPr>
        <w:jc w:val="both"/>
        <w:rPr>
          <w:color w:val="000000" w:themeColor="text1"/>
          <w:sz w:val="16"/>
          <w:szCs w:val="16"/>
        </w:rPr>
      </w:pPr>
      <w:r w:rsidRPr="00507A31">
        <w:rPr>
          <w:color w:val="000000" w:themeColor="text1"/>
          <w:sz w:val="16"/>
          <w:szCs w:val="16"/>
        </w:rPr>
        <w:t>2) Создание кризисов электроснабжения в наиболее ответственных центрах.</w:t>
      </w:r>
    </w:p>
    <w:p w14:paraId="37300819" w14:textId="77777777" w:rsidR="00B774B1" w:rsidRPr="00507A31" w:rsidRDefault="00B774B1" w:rsidP="00507A31">
      <w:pPr>
        <w:jc w:val="both"/>
        <w:rPr>
          <w:color w:val="000000" w:themeColor="text1"/>
          <w:sz w:val="16"/>
          <w:szCs w:val="16"/>
        </w:rPr>
      </w:pPr>
      <w:r w:rsidRPr="00507A31">
        <w:rPr>
          <w:color w:val="000000" w:themeColor="text1"/>
          <w:sz w:val="16"/>
          <w:szCs w:val="16"/>
        </w:rPr>
        <w:t>а) Донбасс все время переживал остро, ощущает и в настоящее время кризис электроснабжения благодаря плановой задержке в постройке Штеровской и Зуевской электростанции; постройка последней станции, напр., усиленно тормозилась Госпланом СССР в лице, главным образом, А. А. Горева под предлогом возможности передачи энергии в Донбасс с Днепростроя. Постройка же Штеровской станции была сильно растянута на ряд лет благодаря технически нерациональному оборудованию (сильно недостающая мощность мельниц, крайне сложная и технически нерациональная система пылеприготовления и топок французской системы вместо испытанной американской системы), несоответствию в сроках доставки и монтажа отдельных частей оборудования, беспорядочным заказам его за границей и т. п. В результате Донбасс остается необеспеченным электрической энергией, что замедляет темп механизации угледобычи, усугубляя рабочий и жилищный вопросы и развитие добычи в целом.</w:t>
      </w:r>
    </w:p>
    <w:p w14:paraId="48B37F0C" w14:textId="77777777" w:rsidR="00B774B1" w:rsidRPr="00507A31" w:rsidRDefault="00B774B1" w:rsidP="00507A31">
      <w:pPr>
        <w:jc w:val="both"/>
        <w:rPr>
          <w:color w:val="000000" w:themeColor="text1"/>
          <w:sz w:val="16"/>
          <w:szCs w:val="16"/>
        </w:rPr>
      </w:pPr>
      <w:r w:rsidRPr="00507A31">
        <w:rPr>
          <w:color w:val="000000" w:themeColor="text1"/>
          <w:sz w:val="16"/>
          <w:szCs w:val="16"/>
        </w:rPr>
        <w:t>б) Ленинград находится уже ряд лет в состоянии перманентного кризиса электроснабжения благодаря недостаточной мощности электростанции и крайней изношенности и ненадежности турбогенераторов старых станций. Имевшие место выходы из строя отдельных машин неоднократно вызывали необходимость выключения ряда потребителей.</w:t>
      </w:r>
    </w:p>
    <w:p w14:paraId="291DD2A4" w14:textId="77777777" w:rsidR="00B774B1" w:rsidRPr="00507A31" w:rsidRDefault="00B774B1" w:rsidP="00507A31">
      <w:pPr>
        <w:jc w:val="both"/>
        <w:rPr>
          <w:color w:val="000000" w:themeColor="text1"/>
          <w:sz w:val="16"/>
          <w:szCs w:val="16"/>
        </w:rPr>
      </w:pPr>
      <w:r w:rsidRPr="00507A31">
        <w:rPr>
          <w:color w:val="000000" w:themeColor="text1"/>
          <w:sz w:val="16"/>
          <w:szCs w:val="16"/>
        </w:rPr>
        <w:t>в) Московская электрическая сеть находится в подобном же положении, что вызывает необходимость отказывать в присоединении новым абонентам и допускать затраты, не соответствующие расширению мощности районной сети. Особенно длительно растянуто здесь расширение Каширской станции. Для нее были заказаны явно неподходящие мельницы Резолютор, не могущие работать на колчеданистом подмосковном угле, благодаря чему мельницы каждые 150-200 часов работы останавливаются на ремонт; здесь же были построены совершенно нерациональные топки. В результате после очень дорогой переделки топок со сложным пылеприготовительным устройством котлы работают с крайне низким коэффициентом полезного действия и с очень малой производительностью.</w:t>
      </w:r>
    </w:p>
    <w:p w14:paraId="7826AAE7" w14:textId="77777777" w:rsidR="00B774B1" w:rsidRPr="00507A31" w:rsidRDefault="00B774B1" w:rsidP="00507A31">
      <w:pPr>
        <w:jc w:val="both"/>
        <w:rPr>
          <w:color w:val="000000" w:themeColor="text1"/>
          <w:sz w:val="16"/>
          <w:szCs w:val="16"/>
        </w:rPr>
      </w:pPr>
      <w:r w:rsidRPr="00507A31">
        <w:rPr>
          <w:color w:val="000000" w:themeColor="text1"/>
          <w:sz w:val="16"/>
          <w:szCs w:val="16"/>
        </w:rPr>
        <w:t>Сильно задержана постройка Бобриковской станции путем выдвигания ряда конкурентных вариантов — Тверская станция, расширение Каширы, а также многочисленными переделками проекта.</w:t>
      </w:r>
    </w:p>
    <w:p w14:paraId="7E774B23" w14:textId="77777777" w:rsidR="00B774B1" w:rsidRPr="00507A31" w:rsidRDefault="00B774B1" w:rsidP="00507A31">
      <w:pPr>
        <w:jc w:val="both"/>
        <w:rPr>
          <w:color w:val="000000" w:themeColor="text1"/>
          <w:sz w:val="16"/>
          <w:szCs w:val="16"/>
        </w:rPr>
      </w:pPr>
      <w:r w:rsidRPr="00507A31">
        <w:rPr>
          <w:color w:val="000000" w:themeColor="text1"/>
          <w:sz w:val="16"/>
          <w:szCs w:val="16"/>
        </w:rPr>
        <w:t>г) Такие же кризисы и неувязки электроснабжения имели место в Кузбассе, Кизеле, Нижнем Новгороде и т. д.</w:t>
      </w:r>
    </w:p>
    <w:p w14:paraId="418A7B38" w14:textId="77777777" w:rsidR="00B774B1" w:rsidRPr="00507A31" w:rsidRDefault="00B774B1" w:rsidP="00507A31">
      <w:pPr>
        <w:jc w:val="both"/>
        <w:rPr>
          <w:color w:val="000000" w:themeColor="text1"/>
          <w:sz w:val="16"/>
          <w:szCs w:val="16"/>
        </w:rPr>
      </w:pPr>
      <w:r w:rsidRPr="00507A31">
        <w:rPr>
          <w:color w:val="000000" w:themeColor="text1"/>
          <w:sz w:val="16"/>
          <w:szCs w:val="16"/>
        </w:rPr>
        <w:t>3) Задержка теплофикации. Теплофикация представляет один из наиболее рациональных и эффективных путей в области энергетики, давая большую экономию топлива и капитальных затрат. Не выступая поэтому с оспариванием бесспорных технических преимуществ теплофикации, центр создал так сказать насмешливое несерьезное отношение к ней, указывая, напр., по Москве возможные теплофикационные мощности порядка 40-50 тыс. кв., в то время как уже на ближайшее только время можно иметь не менее 300-400 тыс. кв. Точно также по Ленинграду отстаивалась цифра ок. 40 тыс. кв. против возможных ок. 150 тыс. кв. Опираясь главным образом на МОГЭС и Электроток, центр достиг задержки теплофикации по крайней мере на 2 года.</w:t>
      </w:r>
    </w:p>
    <w:p w14:paraId="78A5F6C5" w14:textId="77777777" w:rsidR="00B774B1" w:rsidRPr="00507A31" w:rsidRDefault="00B774B1" w:rsidP="00507A31">
      <w:pPr>
        <w:jc w:val="both"/>
        <w:rPr>
          <w:color w:val="000000" w:themeColor="text1"/>
          <w:sz w:val="16"/>
          <w:szCs w:val="16"/>
        </w:rPr>
      </w:pPr>
      <w:r w:rsidRPr="00507A31">
        <w:rPr>
          <w:color w:val="000000" w:themeColor="text1"/>
          <w:sz w:val="16"/>
          <w:szCs w:val="16"/>
        </w:rPr>
        <w:t>4) Растягивание постройки электростанций являлось по существу естественным следствием плохой организации аппарата в области электростроительства, почему здесь от центра требовалась лишь небольшая помощь. На практике постройка электростанции тянулась по 2 1/2-3 года и больше, особенно если считать действительным окончанием строительного периода не торжественное открытие станции, а поступление ее в регулярную эксплуатацию, то так называемый период «детских болезней» или пробной эксплуатации растягивался иногда на месяцы. Ярким примером является здесь Штеровская станция. Для затягивания постройки и увеличения периода омертвления капитала применялась несогласованность в сроках доставки отдельных элементов оборудования; так, напр., при подготовке котлов были не готовы турбины или обратно.</w:t>
      </w:r>
    </w:p>
    <w:p w14:paraId="11F8E532" w14:textId="77777777" w:rsidR="00B774B1" w:rsidRPr="00507A31" w:rsidRDefault="00B774B1" w:rsidP="00507A31">
      <w:pPr>
        <w:jc w:val="both"/>
        <w:rPr>
          <w:color w:val="000000" w:themeColor="text1"/>
          <w:sz w:val="16"/>
          <w:szCs w:val="16"/>
        </w:rPr>
      </w:pPr>
      <w:r w:rsidRPr="00507A31">
        <w:rPr>
          <w:color w:val="000000" w:themeColor="text1"/>
          <w:sz w:val="16"/>
          <w:szCs w:val="16"/>
        </w:rPr>
        <w:t>Растягивание постройки и удорожание ее достигалось также изменениями основных заданий для станции, вызывающих многократные переделки проектов, особенно для комбинированных станций, как напр., Сталинградская, Магнитострой, Кузнецкстрой, Бобрики и др. Так, напр., Сталинградская станция проектировалась на сжигание опилок, потом на опилки и &lt;торф&gt;, опилки и мазут и т. д., почему проект переделывался несколько раз. Изменения проектов делались и уже после начала постройки, вызывая даже необходимость переделок или же крайне стеснительного и нерационального размещения оборудования, несмотря на очень большие и дорогие здания.</w:t>
      </w:r>
    </w:p>
    <w:p w14:paraId="147D6BEF" w14:textId="77777777" w:rsidR="00B774B1" w:rsidRPr="00507A31" w:rsidRDefault="00B774B1" w:rsidP="00507A31">
      <w:pPr>
        <w:jc w:val="both"/>
        <w:rPr>
          <w:color w:val="000000" w:themeColor="text1"/>
          <w:sz w:val="16"/>
          <w:szCs w:val="16"/>
        </w:rPr>
      </w:pPr>
      <w:r w:rsidRPr="00507A31">
        <w:rPr>
          <w:color w:val="000000" w:themeColor="text1"/>
          <w:sz w:val="16"/>
          <w:szCs w:val="16"/>
        </w:rPr>
        <w:t>Осуществление вышеуказанных мероприятий вполне обеспечивалось тем, что основные органы, решающие данные вопросы[,] целиком находились в руках центра.</w:t>
      </w:r>
    </w:p>
    <w:p w14:paraId="2AA26F37" w14:textId="77777777" w:rsidR="00B774B1" w:rsidRPr="00507A31" w:rsidRDefault="00B774B1" w:rsidP="00507A31">
      <w:pPr>
        <w:jc w:val="both"/>
        <w:rPr>
          <w:color w:val="000000" w:themeColor="text1"/>
          <w:sz w:val="16"/>
          <w:szCs w:val="16"/>
        </w:rPr>
      </w:pPr>
      <w:r w:rsidRPr="00507A31">
        <w:rPr>
          <w:color w:val="000000" w:themeColor="text1"/>
          <w:sz w:val="16"/>
          <w:szCs w:val="16"/>
        </w:rPr>
        <w:t>А именно вопросы утверждения проектов шли через ЦЭС, президиум и основные работники, напр., Каменецкий, Сушкин, Вашков, Осадчий, Кирпичников, Яновицкий, были членами организации.</w:t>
      </w:r>
    </w:p>
    <w:p w14:paraId="34915E15" w14:textId="77777777" w:rsidR="00B774B1" w:rsidRPr="00507A31" w:rsidRDefault="00B774B1" w:rsidP="00507A31">
      <w:pPr>
        <w:jc w:val="both"/>
        <w:rPr>
          <w:color w:val="000000" w:themeColor="text1"/>
          <w:sz w:val="16"/>
          <w:szCs w:val="16"/>
        </w:rPr>
      </w:pPr>
      <w:r w:rsidRPr="00507A31">
        <w:rPr>
          <w:color w:val="000000" w:themeColor="text1"/>
          <w:sz w:val="16"/>
          <w:szCs w:val="16"/>
        </w:rPr>
        <w:t>Планирование электростроительства регулировалось электропланом, где необходимые решения обеспечивались влиянием членов центра Каменецкого и Кукель-Краевского.</w:t>
      </w:r>
    </w:p>
    <w:p w14:paraId="47D321F2" w14:textId="77777777" w:rsidR="00B774B1" w:rsidRPr="00507A31" w:rsidRDefault="00B774B1" w:rsidP="00507A31">
      <w:pPr>
        <w:jc w:val="both"/>
        <w:rPr>
          <w:color w:val="000000" w:themeColor="text1"/>
          <w:sz w:val="16"/>
          <w:szCs w:val="16"/>
        </w:rPr>
      </w:pPr>
      <w:r w:rsidRPr="00507A31">
        <w:rPr>
          <w:color w:val="000000" w:themeColor="text1"/>
          <w:sz w:val="16"/>
          <w:szCs w:val="16"/>
        </w:rPr>
        <w:t>На вопросы проектирования и постройки электростанций центр влиял через Энергострой (а ранее соответствующий отдел Главэлектро) при помощи Н. И. Сушкина.</w:t>
      </w:r>
    </w:p>
    <w:p w14:paraId="09CA2459" w14:textId="77777777" w:rsidR="00B774B1" w:rsidRPr="00507A31" w:rsidRDefault="00B774B1" w:rsidP="00507A31">
      <w:pPr>
        <w:jc w:val="both"/>
        <w:rPr>
          <w:color w:val="000000" w:themeColor="text1"/>
          <w:sz w:val="16"/>
          <w:szCs w:val="16"/>
        </w:rPr>
      </w:pPr>
      <w:r w:rsidRPr="00507A31">
        <w:rPr>
          <w:color w:val="000000" w:themeColor="text1"/>
          <w:sz w:val="16"/>
          <w:szCs w:val="16"/>
        </w:rPr>
        <w:t>Наконец, два крупнейших электрических объединения МОГЭС (Москва) и Электроток (Ленинград) тоже находились в руках центра через Кирпичникова, Яновицкого и Котомина.</w:t>
      </w:r>
    </w:p>
    <w:p w14:paraId="2AE11F3C" w14:textId="77777777" w:rsidR="00B774B1" w:rsidRPr="00507A31" w:rsidRDefault="00B774B1" w:rsidP="00507A31">
      <w:pPr>
        <w:jc w:val="both"/>
        <w:rPr>
          <w:color w:val="000000" w:themeColor="text1"/>
          <w:sz w:val="16"/>
          <w:szCs w:val="16"/>
        </w:rPr>
      </w:pPr>
      <w:r w:rsidRPr="00507A31">
        <w:rPr>
          <w:color w:val="000000" w:themeColor="text1"/>
          <w:sz w:val="16"/>
          <w:szCs w:val="16"/>
        </w:rPr>
        <w:t>20. НОВЫЙ ИНЖЕНЕРНЫЙ ЦЕНТР.</w:t>
      </w:r>
    </w:p>
    <w:p w14:paraId="1977FD6B" w14:textId="77777777" w:rsidR="00B774B1" w:rsidRPr="00507A31" w:rsidRDefault="00B774B1" w:rsidP="00507A31">
      <w:pPr>
        <w:jc w:val="both"/>
        <w:rPr>
          <w:color w:val="000000" w:themeColor="text1"/>
          <w:sz w:val="16"/>
          <w:szCs w:val="16"/>
        </w:rPr>
      </w:pPr>
      <w:r w:rsidRPr="00507A31">
        <w:rPr>
          <w:color w:val="000000" w:themeColor="text1"/>
          <w:sz w:val="16"/>
          <w:szCs w:val="16"/>
        </w:rPr>
        <w:t>После разгрома старого центра и его органов в 1928 г. были попытки продолжать деятельность хотя бы и в свернутом масштабе путем организации нового центра, в качестве Центрального Комитета Промышленной Партии. Состав нового центра или ЦК естественно определялся оставшимися его членами Федотов, Ларичев, Чарновский и Рамзин с добавлением И. А. Калинникова, который после ареста Рабиновича фактически его заместил. Таким образом, состав нового центра таков: Федотов, Ларичев, Чарновский, Рамзин, Калинников, кроме того, очень близко к новому центру, так же как и старому, стояли инж. Куприянов и до своего ареста Стрижов. Роль председателя Нового Центра взаимно предлагали взять на себя почти каждому члену его: наиболее сильно выдвигались кандидатуры Федотова и Калинникова. В результате председателем нового центра являлся Федотов, как лицо имевшее наиболее важные связи с эмигрантами-промышленниками, и как наиболее старый член организации.</w:t>
      </w:r>
    </w:p>
    <w:p w14:paraId="2B41A353" w14:textId="77777777" w:rsidR="00B774B1" w:rsidRPr="00507A31" w:rsidRDefault="00B774B1" w:rsidP="00507A31">
      <w:pPr>
        <w:jc w:val="both"/>
        <w:rPr>
          <w:color w:val="000000" w:themeColor="text1"/>
          <w:sz w:val="16"/>
          <w:szCs w:val="16"/>
        </w:rPr>
      </w:pPr>
      <w:r w:rsidRPr="00507A31">
        <w:rPr>
          <w:color w:val="000000" w:themeColor="text1"/>
          <w:sz w:val="16"/>
          <w:szCs w:val="16"/>
        </w:rPr>
        <w:t>Основное направление работы нового центра было стремление сохранить имевшиеся партийные кадры, восполнить пробелы, вызванные арестами и додержаться до начала интервенции. Вследствие энергичного проведения в жизнь генеральной линии ВКП(б), осуществление прежней тактики центра в особенности в плановой работе сделалось почти невозможной, поэтому, напр., последняя пятилетка под указанным давлением ВКП(б) была уже составлена не в прежних минималистских тонах, а в отсутствии с правильными техническими подходами, но уже с преувеличением темпов, ибо была выдвинута новая тактика, прямо противоположная: перегибы планов в обратную сторону. Правда, эта тактика не проводилась столь последовательно, как прежняя. Вследствие большого риска пленарные собрания центра не созывались, а происходили лишь летучие совещания отдельных небольших групп. Руководство отраслевыми группами почти совсем прекратилось; отдельные группы действовали здесь часто самостоятельно и иногда даже в противоречии друг с другом.</w:t>
      </w:r>
    </w:p>
    <w:p w14:paraId="10237C80" w14:textId="77777777" w:rsidR="00B774B1" w:rsidRPr="00507A31" w:rsidRDefault="00B774B1" w:rsidP="00507A31">
      <w:pPr>
        <w:jc w:val="both"/>
        <w:rPr>
          <w:color w:val="000000" w:themeColor="text1"/>
          <w:sz w:val="16"/>
          <w:szCs w:val="16"/>
        </w:rPr>
      </w:pPr>
      <w:r w:rsidRPr="00507A31">
        <w:rPr>
          <w:color w:val="000000" w:themeColor="text1"/>
          <w:sz w:val="16"/>
          <w:szCs w:val="16"/>
        </w:rPr>
        <w:t>В частности, в области топливоснабжения и энергетики я и Ларичев решили работать в правильных, рациональных технических направлениях, поэтому, напр., мои работы за 1929-30 г. указывают вполне правильные пути и методы направления энергетического хозяйства.</w:t>
      </w:r>
    </w:p>
    <w:p w14:paraId="3C6BE9B5" w14:textId="77777777" w:rsidR="00B774B1" w:rsidRPr="00507A31" w:rsidRDefault="00B774B1" w:rsidP="00507A31">
      <w:pPr>
        <w:jc w:val="both"/>
        <w:rPr>
          <w:color w:val="000000" w:themeColor="text1"/>
          <w:sz w:val="16"/>
          <w:szCs w:val="16"/>
        </w:rPr>
      </w:pPr>
      <w:r w:rsidRPr="00507A31">
        <w:rPr>
          <w:color w:val="000000" w:themeColor="text1"/>
          <w:sz w:val="16"/>
          <w:szCs w:val="16"/>
        </w:rPr>
        <w:t>Однако, некоторые группы пытались еще продолжать вредительскую тактику, проводя, напр., идеи газификации дальних газопроводов, сложной переработки топлива, применения крекинг бензина для тракторов и т. п.</w:t>
      </w:r>
    </w:p>
    <w:p w14:paraId="12F188DE" w14:textId="77777777" w:rsidR="00B774B1" w:rsidRPr="00507A31" w:rsidRDefault="00B774B1" w:rsidP="00507A31">
      <w:pPr>
        <w:jc w:val="both"/>
        <w:rPr>
          <w:color w:val="000000" w:themeColor="text1"/>
          <w:sz w:val="16"/>
          <w:szCs w:val="16"/>
        </w:rPr>
      </w:pPr>
      <w:r w:rsidRPr="00507A31">
        <w:rPr>
          <w:color w:val="000000" w:themeColor="text1"/>
          <w:sz w:val="16"/>
          <w:szCs w:val="16"/>
        </w:rPr>
        <w:t>Ведение четкой технической работы за последний период не противоречило по существу и интересам промышленной партии, подготовляя рациональную базу для будущего государства, ибо результаты рациональных планов могли бы быть реализованы лишь через несколько лет.</w:t>
      </w:r>
    </w:p>
    <w:p w14:paraId="571C6465" w14:textId="77777777" w:rsidR="00B774B1" w:rsidRPr="00507A31" w:rsidRDefault="00B774B1" w:rsidP="00507A31">
      <w:pPr>
        <w:jc w:val="both"/>
        <w:rPr>
          <w:color w:val="000000" w:themeColor="text1"/>
          <w:sz w:val="16"/>
          <w:szCs w:val="16"/>
        </w:rPr>
      </w:pPr>
      <w:r w:rsidRPr="00507A31">
        <w:rPr>
          <w:color w:val="000000" w:themeColor="text1"/>
          <w:sz w:val="16"/>
          <w:szCs w:val="16"/>
        </w:rPr>
        <w:t>Под влиянием разгрома центра и сообщений из-за границы о невозможности рассчитывать на интервенцию в 1930 г. основная деятельность центра сводилась к сохранению руководящей головки и к осторожной вербовке новых членов партии.</w:t>
      </w:r>
    </w:p>
    <w:p w14:paraId="774455EC" w14:textId="77777777" w:rsidR="00B774B1" w:rsidRPr="00507A31" w:rsidRDefault="00B774B1" w:rsidP="00507A31">
      <w:pPr>
        <w:jc w:val="both"/>
        <w:rPr>
          <w:color w:val="000000" w:themeColor="text1"/>
          <w:sz w:val="16"/>
          <w:szCs w:val="16"/>
        </w:rPr>
      </w:pPr>
      <w:r w:rsidRPr="00507A31">
        <w:rPr>
          <w:color w:val="000000" w:themeColor="text1"/>
          <w:sz w:val="16"/>
          <w:szCs w:val="16"/>
        </w:rPr>
        <w:t>Я признаю, что как по существу, так и по форме деятельность инженерного центра или промышленной партии носила явно выраженный фашистский характер.</w:t>
      </w:r>
    </w:p>
    <w:p w14:paraId="13A139C5" w14:textId="77777777" w:rsidR="00B774B1" w:rsidRPr="00507A31" w:rsidRDefault="00B774B1" w:rsidP="00507A31">
      <w:pPr>
        <w:jc w:val="both"/>
        <w:rPr>
          <w:color w:val="000000" w:themeColor="text1"/>
          <w:sz w:val="16"/>
          <w:szCs w:val="16"/>
        </w:rPr>
      </w:pPr>
      <w:r w:rsidRPr="00507A31">
        <w:rPr>
          <w:color w:val="000000" w:themeColor="text1"/>
          <w:sz w:val="16"/>
          <w:szCs w:val="16"/>
        </w:rPr>
        <w:t>21. СВЯЗЬ С ТРУДОВОЙ КРЕСТЬЯНСКОЙ ПАРТИЕЙ.</w:t>
      </w:r>
    </w:p>
    <w:p w14:paraId="2B31F7EF" w14:textId="77777777" w:rsidR="00B774B1" w:rsidRPr="00507A31" w:rsidRDefault="00B774B1" w:rsidP="00507A31">
      <w:pPr>
        <w:jc w:val="both"/>
        <w:rPr>
          <w:color w:val="000000" w:themeColor="text1"/>
          <w:sz w:val="16"/>
          <w:szCs w:val="16"/>
        </w:rPr>
      </w:pPr>
      <w:r w:rsidRPr="00507A31">
        <w:rPr>
          <w:color w:val="000000" w:themeColor="text1"/>
          <w:sz w:val="16"/>
          <w:szCs w:val="16"/>
        </w:rPr>
        <w:t>В начальный период связь центра с ТКП осуществлялась персонально П. А. Пальчинским, через А. В. Чаянова. Затем, в начале 1927 г., Пальчинский пригласил Чаянова на совещание центра. На целом ряде совещаний А. В. Чаянов осветив основные программные установки ТКП обрисовал довольно крупный масштаб организации примерно до 100 т[ыс]. человек, причем крестьянские массы организуются ТКП через сеть опытных станций, имеется крупный охват и кооперативной сети. Кроме того, ТКП имеет блок с меньшевистской группой Громана В. Г., через которую ТКП вовлекает рабочие массы.</w:t>
      </w:r>
    </w:p>
    <w:p w14:paraId="37015C99" w14:textId="77777777" w:rsidR="00B774B1" w:rsidRPr="00507A31" w:rsidRDefault="00B774B1" w:rsidP="00507A31">
      <w:pPr>
        <w:jc w:val="both"/>
        <w:rPr>
          <w:color w:val="000000" w:themeColor="text1"/>
          <w:sz w:val="16"/>
          <w:szCs w:val="16"/>
        </w:rPr>
      </w:pPr>
      <w:r w:rsidRPr="00507A31">
        <w:rPr>
          <w:color w:val="000000" w:themeColor="text1"/>
          <w:sz w:val="16"/>
          <w:szCs w:val="16"/>
        </w:rPr>
        <w:t>В дальнейшем ставили вопрос о блоке между промышленной и крестьянской партией для более легкого и успешного проведения контрреволюционного переворота.</w:t>
      </w:r>
    </w:p>
    <w:p w14:paraId="4A4A2C14" w14:textId="77777777" w:rsidR="00B774B1" w:rsidRPr="00507A31" w:rsidRDefault="00B774B1" w:rsidP="00507A31">
      <w:pPr>
        <w:jc w:val="both"/>
        <w:rPr>
          <w:color w:val="000000" w:themeColor="text1"/>
          <w:sz w:val="16"/>
          <w:szCs w:val="16"/>
        </w:rPr>
      </w:pPr>
      <w:r w:rsidRPr="00507A31">
        <w:rPr>
          <w:color w:val="000000" w:themeColor="text1"/>
          <w:sz w:val="16"/>
          <w:szCs w:val="16"/>
        </w:rPr>
        <w:t xml:space="preserve">Примерно в конце 1928 г. была выдвинута необходимость более тесного контакта между Промышленной и крестьянской партиями путем создания объединенного центра. В составе его были выдвинуты: со стороны ТКП Кондратьев, Макаров и Громан, а со стороны Промышленной партии Рамзин и Чарновский. Главной задачей Объединенного Центра являлось практическое обсуждение и проведение мероприятий по осуществлению тактического блока, главным образом, при совершении </w:t>
      </w:r>
      <w:r w:rsidRPr="00507A31">
        <w:rPr>
          <w:color w:val="000000" w:themeColor="text1"/>
          <w:sz w:val="16"/>
          <w:szCs w:val="16"/>
        </w:rPr>
        <w:lastRenderedPageBreak/>
        <w:t>контр-революционного переворота, а также и общие вопросы тактики. Однако, вследствие разгрома инженерного центра, указанный Объединенный центр фактически не функционировал; по крайней мере я не присутствовал ни на одном его совещании.</w:t>
      </w:r>
    </w:p>
    <w:p w14:paraId="1A89D495" w14:textId="77777777" w:rsidR="00B774B1" w:rsidRPr="00507A31" w:rsidRDefault="00B774B1" w:rsidP="00507A31">
      <w:pPr>
        <w:jc w:val="both"/>
        <w:rPr>
          <w:color w:val="000000" w:themeColor="text1"/>
          <w:sz w:val="16"/>
          <w:szCs w:val="16"/>
        </w:rPr>
      </w:pPr>
      <w:r w:rsidRPr="00507A31">
        <w:rPr>
          <w:color w:val="000000" w:themeColor="text1"/>
          <w:sz w:val="16"/>
          <w:szCs w:val="16"/>
        </w:rPr>
        <w:t>Наконец, поднимался вопрос о возможности создания коалиционного правительства. При этом в Промышленной Партии высказывались по этому поводу следующие мнения. Если контр-революционный переворот будет сделан военными силами извне, то давать места в правительстве ТКП надо в минимальном количестве — министра земледелия и еще не более 1 места. Если же наоборот, надежды на интервенцию рушатся, то поневоле придется опереться при проведении переворота на массы ТКП, и тогда неизбежно придется уступить ТКП подавляющую часть министерских мест. Наконец, при проведении переворота небольшим экспедиционным корпусом со значительной внутренней помощью через ТКП распределение мест в правительстве целесообразно почти на паритетных началах. Таким образом, в центре существовало мнение, что при составлении коалиционного правительства, придется итти на большие или меньшие уступки в зависимости от относительной роли ТКП при совершении переворота.</w:t>
      </w:r>
    </w:p>
    <w:p w14:paraId="34AD1F63" w14:textId="77777777" w:rsidR="00B774B1" w:rsidRPr="00507A31" w:rsidRDefault="00B774B1" w:rsidP="00507A31">
      <w:pPr>
        <w:jc w:val="both"/>
        <w:rPr>
          <w:color w:val="000000" w:themeColor="text1"/>
          <w:sz w:val="16"/>
          <w:szCs w:val="16"/>
        </w:rPr>
      </w:pPr>
      <w:r w:rsidRPr="00507A31">
        <w:rPr>
          <w:color w:val="000000" w:themeColor="text1"/>
          <w:sz w:val="16"/>
          <w:szCs w:val="16"/>
        </w:rPr>
        <w:t>22. СОВЕЩАНИЯ ЦЕНТРА.</w:t>
      </w:r>
    </w:p>
    <w:p w14:paraId="7099E8D6" w14:textId="77777777" w:rsidR="00B774B1" w:rsidRPr="00507A31" w:rsidRDefault="00B774B1" w:rsidP="00507A31">
      <w:pPr>
        <w:jc w:val="both"/>
        <w:rPr>
          <w:color w:val="000000" w:themeColor="text1"/>
          <w:sz w:val="16"/>
          <w:szCs w:val="16"/>
        </w:rPr>
      </w:pPr>
      <w:r w:rsidRPr="00507A31">
        <w:rPr>
          <w:color w:val="000000" w:themeColor="text1"/>
          <w:sz w:val="16"/>
          <w:szCs w:val="16"/>
        </w:rPr>
        <w:t>Ниже я перечисляю совещания центра, как они сохранились в моей памяти.</w:t>
      </w:r>
    </w:p>
    <w:p w14:paraId="5B864BB5" w14:textId="77777777" w:rsidR="00B774B1" w:rsidRPr="00507A31" w:rsidRDefault="00B774B1" w:rsidP="00507A31">
      <w:pPr>
        <w:jc w:val="both"/>
        <w:rPr>
          <w:color w:val="000000" w:themeColor="text1"/>
          <w:sz w:val="16"/>
          <w:szCs w:val="16"/>
        </w:rPr>
      </w:pPr>
      <w:r w:rsidRPr="00507A31">
        <w:rPr>
          <w:color w:val="000000" w:themeColor="text1"/>
          <w:sz w:val="16"/>
          <w:szCs w:val="16"/>
        </w:rPr>
        <w:t>1927 год I половина.</w:t>
      </w:r>
    </w:p>
    <w:p w14:paraId="4A13433C" w14:textId="77777777" w:rsidR="00B774B1" w:rsidRPr="00507A31" w:rsidRDefault="00B774B1" w:rsidP="00507A31">
      <w:pPr>
        <w:jc w:val="both"/>
        <w:rPr>
          <w:color w:val="000000" w:themeColor="text1"/>
          <w:sz w:val="16"/>
          <w:szCs w:val="16"/>
        </w:rPr>
      </w:pPr>
      <w:r w:rsidRPr="00507A31">
        <w:rPr>
          <w:color w:val="000000" w:themeColor="text1"/>
          <w:sz w:val="16"/>
          <w:szCs w:val="16"/>
        </w:rPr>
        <w:t>1. В начале года в Госплане в кабинете Ларичева имела место первая моя встреча с членами центра. Были Ларичев, Пальчинский и Рабинович. Они указывали на неизбежность кризиса и как следствие этого на неизбежность контр-революционного переворота. Необходимо поэтому заблаговременно подготовиться к принятию власти и управлению народным хозяйством, ибо при современных условиях руководящая роль в Управлении экономической жизнью должна принадлежать инженерству.</w:t>
      </w:r>
    </w:p>
    <w:p w14:paraId="60071E86" w14:textId="77777777" w:rsidR="00B774B1" w:rsidRPr="00507A31" w:rsidRDefault="00B774B1" w:rsidP="00507A31">
      <w:pPr>
        <w:jc w:val="both"/>
        <w:rPr>
          <w:color w:val="000000" w:themeColor="text1"/>
          <w:sz w:val="16"/>
          <w:szCs w:val="16"/>
        </w:rPr>
      </w:pPr>
      <w:r w:rsidRPr="00507A31">
        <w:rPr>
          <w:color w:val="000000" w:themeColor="text1"/>
          <w:sz w:val="16"/>
          <w:szCs w:val="16"/>
        </w:rPr>
        <w:t>Сообщено вкратце о существовании центра.</w:t>
      </w:r>
    </w:p>
    <w:p w14:paraId="0C2AF0B2" w14:textId="77777777" w:rsidR="00B774B1" w:rsidRPr="00507A31" w:rsidRDefault="00B774B1" w:rsidP="00507A31">
      <w:pPr>
        <w:jc w:val="both"/>
        <w:rPr>
          <w:color w:val="000000" w:themeColor="text1"/>
          <w:sz w:val="16"/>
          <w:szCs w:val="16"/>
        </w:rPr>
      </w:pPr>
      <w:r w:rsidRPr="00507A31">
        <w:rPr>
          <w:color w:val="000000" w:themeColor="text1"/>
          <w:sz w:val="16"/>
          <w:szCs w:val="16"/>
        </w:rPr>
        <w:t>2. Второе совещание весною в Госплане в том же составе. Развивалась мысль о необходимости ускорить переворот путем углубления кризиса. Сообщили состав центра. Указывалось на полную реальность интервенции.</w:t>
      </w:r>
    </w:p>
    <w:p w14:paraId="6660935C" w14:textId="77777777" w:rsidR="00B774B1" w:rsidRPr="00507A31" w:rsidRDefault="00B774B1" w:rsidP="00507A31">
      <w:pPr>
        <w:jc w:val="both"/>
        <w:rPr>
          <w:color w:val="000000" w:themeColor="text1"/>
          <w:sz w:val="16"/>
          <w:szCs w:val="16"/>
        </w:rPr>
      </w:pPr>
      <w:r w:rsidRPr="00507A31">
        <w:rPr>
          <w:color w:val="000000" w:themeColor="text1"/>
          <w:sz w:val="16"/>
          <w:szCs w:val="16"/>
        </w:rPr>
        <w:t>3. Весною в ВАИ было заседание центра в составе — Пальчинский, Рабинович, Хренников, Ларичев, Рамзин, Чарновский, Федотов. Пальчинский сделал доклад об общем положении в вышеуказанном смысле и сообщил о полученных из заграничных эмигрантских кругов директивах вести работу по линии задержки темпов промышленности и по линии создания кризисов путем диспропорции между основными частями хозяйства. Дебатировался вопрос о целесообразности прямого вредительства путем порчи оборудования и т. п. Я выступал против, доказывал малую эффективность такого метода при большом риске. Большинство склонялось к моей точке зрения.</w:t>
      </w:r>
    </w:p>
    <w:p w14:paraId="22022131" w14:textId="77777777" w:rsidR="00B774B1" w:rsidRPr="00507A31" w:rsidRDefault="00B774B1" w:rsidP="00507A31">
      <w:pPr>
        <w:jc w:val="both"/>
        <w:rPr>
          <w:color w:val="000000" w:themeColor="text1"/>
          <w:sz w:val="16"/>
          <w:szCs w:val="16"/>
        </w:rPr>
      </w:pPr>
      <w:r w:rsidRPr="00507A31">
        <w:rPr>
          <w:color w:val="000000" w:themeColor="text1"/>
          <w:sz w:val="16"/>
          <w:szCs w:val="16"/>
        </w:rPr>
        <w:t>Было решено, чтобы отдельные группы по основным отраслям промышленности подработали вопрос о конкретизации директив из-за границы.</w:t>
      </w:r>
    </w:p>
    <w:p w14:paraId="46C01670" w14:textId="77777777" w:rsidR="00B774B1" w:rsidRPr="00507A31" w:rsidRDefault="00B774B1" w:rsidP="00507A31">
      <w:pPr>
        <w:jc w:val="both"/>
        <w:rPr>
          <w:color w:val="000000" w:themeColor="text1"/>
          <w:sz w:val="16"/>
          <w:szCs w:val="16"/>
        </w:rPr>
      </w:pPr>
      <w:r w:rsidRPr="00507A31">
        <w:rPr>
          <w:color w:val="000000" w:themeColor="text1"/>
          <w:sz w:val="16"/>
          <w:szCs w:val="16"/>
        </w:rPr>
        <w:t>Обсуждались далее основные положения платформы. Вопрос о форме правления вызвал разногласия. Федотов и Чарновский склонялись к монархическому принципу, остальные, в том числе и я указывали на полную дискредитацию монархического принципа в глазах широких масс населения, что неизбежно восстановит их против центра. Поэтому эта группа постановила на буржуазно-демократической республике, признавая, однако, безусловно необходимым на первый период после контр-революционного переворота военную диктатуру. Разные мнения высказывались и по земельному вопросу — от возврата земель прежним владельцам до оставления земли в единоличном владении крестьян, с компенсацией старых землевладельцев. В области промышленности большинство принципиально считало необходимым возврат к частной собственности. Я считал более правильным и осуществимым принцип государственного капитализма.</w:t>
      </w:r>
    </w:p>
    <w:p w14:paraId="5229A505" w14:textId="77777777" w:rsidR="00B774B1" w:rsidRPr="00507A31" w:rsidRDefault="00B774B1" w:rsidP="00507A31">
      <w:pPr>
        <w:jc w:val="both"/>
        <w:rPr>
          <w:color w:val="000000" w:themeColor="text1"/>
          <w:sz w:val="16"/>
          <w:szCs w:val="16"/>
        </w:rPr>
      </w:pPr>
      <w:r w:rsidRPr="00507A31">
        <w:rPr>
          <w:color w:val="000000" w:themeColor="text1"/>
          <w:sz w:val="16"/>
          <w:szCs w:val="16"/>
        </w:rPr>
        <w:t>4. Заседание центра в ВАИ в составе: Пальчинский, Рабинович, Хренников, Ларичев, Федотов, Чарновский, Рамзин и А. В. Чаянов как представитель ТПК. Это было уже, кажется, второе совещание с Чаяновым. Последний останавливался, главным образом, на основной установке ТКП по земельному вопросу, сводящейся к ставке на единоличный кулацкие хозяйства. По сообщению Чаянова ТКП использует для охвата широких крестьянских масс сеть опытных станций, второй путь охвата через кооперацию; наконец, ТКП организует работу и в рабочих массах, установила для этой цели блок с меньшевистской группой Громана — Суханова, которая сохранила свои связи в рабочей среде. Небольшое обсуждение после сообщения Чаянова шло главным образом в плоскости вопросов и информации и не пришло к каким-либо выводам.</w:t>
      </w:r>
    </w:p>
    <w:p w14:paraId="22ACA4F5" w14:textId="77777777" w:rsidR="00B774B1" w:rsidRPr="00507A31" w:rsidRDefault="00B774B1" w:rsidP="00507A31">
      <w:pPr>
        <w:jc w:val="both"/>
        <w:rPr>
          <w:color w:val="000000" w:themeColor="text1"/>
          <w:sz w:val="16"/>
          <w:szCs w:val="16"/>
        </w:rPr>
      </w:pPr>
      <w:r w:rsidRPr="00507A31">
        <w:rPr>
          <w:color w:val="000000" w:themeColor="text1"/>
          <w:sz w:val="16"/>
          <w:szCs w:val="16"/>
        </w:rPr>
        <w:t>5. На заседании Центра в ВСНХ были: Рабинович, Хренников, Чарновский, Пальчинский, Ларичев, Рамзии и Стрижов. Обсуждали направления работы в области топливоснабжения. Ларичев наметил основные линии плана — минимальные программы, как на пятилетку, так и на годовые планы; задержка развития местных топлив, в особенности торфа и подмосковного угля, а также и Кузбасса[,] ухудшение металлургического топлива. Эти линии были одобрены и предложено далее через отраслевые центры их углублять. По металлической промышленности Хренников и Чарновский дали установки на всемерную задержку выплавки чугуна и выпуска проката не более 6-8 милл. т. на конец пятилетки; на несоответствие ассортимента выпускаемого металла потребности в нем; на создание диспропорции между производством и потребностью в металлоизделиях, на задержку постройки новых металлозаводов и новых цехов.</w:t>
      </w:r>
    </w:p>
    <w:p w14:paraId="5441134F" w14:textId="77777777" w:rsidR="00B774B1" w:rsidRPr="00507A31" w:rsidRDefault="00B774B1" w:rsidP="00507A31">
      <w:pPr>
        <w:jc w:val="both"/>
        <w:rPr>
          <w:color w:val="000000" w:themeColor="text1"/>
          <w:sz w:val="16"/>
          <w:szCs w:val="16"/>
        </w:rPr>
      </w:pPr>
      <w:r w:rsidRPr="00507A31">
        <w:rPr>
          <w:color w:val="000000" w:themeColor="text1"/>
          <w:sz w:val="16"/>
          <w:szCs w:val="16"/>
        </w:rPr>
        <w:t>По вопросу о программе Пальчинский указал на необходимость согласования программных установок с заграничными белоэмигрантскими кругами, ибо эти установки несомненно будут в значительной мере определяться не здесь, а из-за границы. Обсуждались технические затруднения с возвратом предприятий старым владельцам, вследствие сильных изменений уже имевших место, и еще более предстоящих в промышленном оборудовании. К определенным выводам не пришли. По вопросу об иностранных царских долгах по[-]видимому все соглашались с необходимостью их уплаты, и в первую очередь Франции.</w:t>
      </w:r>
    </w:p>
    <w:p w14:paraId="5F8EA267" w14:textId="77777777" w:rsidR="00B774B1" w:rsidRPr="00507A31" w:rsidRDefault="00B774B1" w:rsidP="00507A31">
      <w:pPr>
        <w:jc w:val="both"/>
        <w:rPr>
          <w:color w:val="000000" w:themeColor="text1"/>
          <w:sz w:val="16"/>
          <w:szCs w:val="16"/>
        </w:rPr>
      </w:pPr>
      <w:r w:rsidRPr="00507A31">
        <w:rPr>
          <w:color w:val="000000" w:themeColor="text1"/>
          <w:sz w:val="16"/>
          <w:szCs w:val="16"/>
        </w:rPr>
        <w:t>6. На совещании Центра в ЦЕКУБУ были: Пальчинский, Рабинович, Хренников, Рамзии, Федотов, Чарновский и А. В. Чаянов. Обсуждение касалось вопроса о тактике ТКП. Последняя наметила два основных варианта тактики: 1) постепенное обволакивание соввласти путем идейного влияния на отдельных членов ВКП(б) и правительства и идейного подчинения советского аппарата и 2) насильственный контрреволюционный переворот путем вооруженного восстания, крестьянских бунтов, рабочих забастовок, привлечения на свою сторону красноармейских частей.</w:t>
      </w:r>
    </w:p>
    <w:p w14:paraId="7DF9280D" w14:textId="77777777" w:rsidR="00B774B1" w:rsidRPr="00507A31" w:rsidRDefault="00B774B1" w:rsidP="00507A31">
      <w:pPr>
        <w:jc w:val="both"/>
        <w:rPr>
          <w:color w:val="000000" w:themeColor="text1"/>
          <w:sz w:val="16"/>
          <w:szCs w:val="16"/>
        </w:rPr>
      </w:pPr>
      <w:r w:rsidRPr="00507A31">
        <w:rPr>
          <w:color w:val="000000" w:themeColor="text1"/>
          <w:sz w:val="16"/>
          <w:szCs w:val="16"/>
        </w:rPr>
        <w:t>Члены Центра считали первую тактику безнадежной или во всяком случае требующей очень длительного периода времени, почему отнеслись к ней резко отрицательно. Наоборот, вторая тактика по мнению членов Центра вполне отвечала интересам и задачам последнего; ибо Центр был уверен в близости переворота путем интервенции. Срок и потребные силы для последней будут сильно сокращены, если параллельно с интервенцией пойдет и вооруженное восстание.</w:t>
      </w:r>
    </w:p>
    <w:p w14:paraId="5A82645F" w14:textId="77777777" w:rsidR="00B774B1" w:rsidRPr="00507A31" w:rsidRDefault="00B774B1" w:rsidP="00507A31">
      <w:pPr>
        <w:jc w:val="both"/>
        <w:rPr>
          <w:color w:val="000000" w:themeColor="text1"/>
          <w:sz w:val="16"/>
          <w:szCs w:val="16"/>
        </w:rPr>
      </w:pPr>
      <w:r w:rsidRPr="00507A31">
        <w:rPr>
          <w:color w:val="000000" w:themeColor="text1"/>
          <w:sz w:val="16"/>
          <w:szCs w:val="16"/>
        </w:rPr>
        <w:t>7. На заседании Центра весною в Госплане в составе Рабинович, Ларичев, Рамзин, Федотов, Чарновский, Хренников и А. В. Чаянов продолжалось обсуждение тактики ТКП и Центра. Члены Центра указывали, что благодаря кастовой замкнутости Центра и отсутствия у него больших масс единственная реальная установка может быть только на интервенцию. Однако, в случае блока с ТКП последняя не будет уже являться единственным выходом из положения, ибо даст надежду, хотя и в более далеком будущем обойтись без иностранной помощи. Блок с ТКП позволит Центру не быть простым исполнителем директив белоэмигрантов, а тверже настаивать на собственных позициях. Поэтому блок с ТКП для Центра крайне желателен, а в случае провала интервенции является единственным выходом.</w:t>
      </w:r>
    </w:p>
    <w:p w14:paraId="57516ED8" w14:textId="77777777" w:rsidR="00B774B1" w:rsidRPr="00507A31" w:rsidRDefault="00B774B1" w:rsidP="00507A31">
      <w:pPr>
        <w:jc w:val="both"/>
        <w:rPr>
          <w:color w:val="000000" w:themeColor="text1"/>
          <w:sz w:val="16"/>
          <w:szCs w:val="16"/>
        </w:rPr>
      </w:pPr>
      <w:r w:rsidRPr="00507A31">
        <w:rPr>
          <w:color w:val="000000" w:themeColor="text1"/>
          <w:sz w:val="16"/>
          <w:szCs w:val="16"/>
        </w:rPr>
        <w:t>8. На заседании Центра весною в ВСНХ в составе: Пальчинский, Хренников, Рабинович, Федотов, Ларичев, Красовский, Чарновский обсуждались сначала вопросы основных линий по текстилю. По предложению Федотова намечена[,] наряду с общей задержкой развития текстильной промышленности, постройка новых фабрик при недостаточном использовании существующих, торможени[е] введения новых текстильных материалов и видов отечественного текстильного сырья, создание диспропорции между полуфабрикатами. После Красовский наметил основные линии по НКПС, сводящиеся к ухудшению использования подвижного состава и в частности паровозов; к задержке развития паровозоспособности0 основных направлений и в частности по линии водного транспорта — к замедлению развития нефтеналивного флота. В частности, указывалось на необходимость сопротивляться магистрализации Донбасс — Москва под предлогом чрезмерно крупных затрат.</w:t>
      </w:r>
    </w:p>
    <w:p w14:paraId="6A16489B" w14:textId="77777777" w:rsidR="00B774B1" w:rsidRPr="00507A31" w:rsidRDefault="00B774B1" w:rsidP="00507A31">
      <w:pPr>
        <w:jc w:val="both"/>
        <w:rPr>
          <w:color w:val="000000" w:themeColor="text1"/>
          <w:sz w:val="16"/>
          <w:szCs w:val="16"/>
        </w:rPr>
      </w:pPr>
      <w:r w:rsidRPr="00507A31">
        <w:rPr>
          <w:color w:val="000000" w:themeColor="text1"/>
          <w:sz w:val="16"/>
          <w:szCs w:val="16"/>
        </w:rPr>
        <w:t>На том же заседании Пальчинский сообщил о желательности установления связи с группой «Руля» — Гессен, Каминка, а Рабинович — о наличии уже связи с Дворжанчиком, через которого получается возможность сноситься с польским правительством.</w:t>
      </w:r>
    </w:p>
    <w:p w14:paraId="73EC50FA" w14:textId="77777777" w:rsidR="00B774B1" w:rsidRPr="00507A31" w:rsidRDefault="00B774B1" w:rsidP="00507A31">
      <w:pPr>
        <w:jc w:val="both"/>
        <w:rPr>
          <w:color w:val="000000" w:themeColor="text1"/>
          <w:sz w:val="16"/>
          <w:szCs w:val="16"/>
        </w:rPr>
      </w:pPr>
      <w:r w:rsidRPr="00507A31">
        <w:rPr>
          <w:color w:val="000000" w:themeColor="text1"/>
          <w:sz w:val="16"/>
          <w:szCs w:val="16"/>
        </w:rPr>
        <w:t>9. Летом на заседании Центра в Госплане присутствовали: Пальчинский, Рабинович, Хренников, Стрижов, Ларичев, Рамзин и Чарновский.</w:t>
      </w:r>
    </w:p>
    <w:p w14:paraId="4BEB6B86" w14:textId="77777777" w:rsidR="00B774B1" w:rsidRPr="00507A31" w:rsidRDefault="00B774B1" w:rsidP="00507A31">
      <w:pPr>
        <w:jc w:val="both"/>
        <w:rPr>
          <w:color w:val="000000" w:themeColor="text1"/>
          <w:sz w:val="16"/>
          <w:szCs w:val="16"/>
        </w:rPr>
      </w:pPr>
      <w:r w:rsidRPr="00507A31">
        <w:rPr>
          <w:color w:val="000000" w:themeColor="text1"/>
          <w:sz w:val="16"/>
          <w:szCs w:val="16"/>
        </w:rPr>
        <w:t>По докладу Рабиновича, по угольной промышленности намечали следующие основные линии: замедление темпов путем, главным образом, торможения механизации добычи, задержки капитального и жилищного строительства, задержки разведочных работ и задержки электростроительства в Донбассе.</w:t>
      </w:r>
    </w:p>
    <w:p w14:paraId="2188D251" w14:textId="77777777" w:rsidR="00B774B1" w:rsidRPr="00507A31" w:rsidRDefault="00B774B1" w:rsidP="00507A31">
      <w:pPr>
        <w:jc w:val="both"/>
        <w:rPr>
          <w:color w:val="000000" w:themeColor="text1"/>
          <w:sz w:val="16"/>
          <w:szCs w:val="16"/>
        </w:rPr>
      </w:pPr>
      <w:r w:rsidRPr="00507A31">
        <w:rPr>
          <w:color w:val="000000" w:themeColor="text1"/>
          <w:sz w:val="16"/>
          <w:szCs w:val="16"/>
        </w:rPr>
        <w:t>По докладу Стрижова, по нефтяной промышленности намечено помимо общей установки на торможение добычи, создать отставание нефтеразведок и задерживать обновление и расширение нефтеперегонных заводов; отдельно отмечалась необходимость задержки крепких установок для сокращения выхода экспортного бензина и мероприятия по линии ассортимента получаемых нефтепродуктов.</w:t>
      </w:r>
    </w:p>
    <w:p w14:paraId="18F930B7" w14:textId="77777777" w:rsidR="00B774B1" w:rsidRPr="00507A31" w:rsidRDefault="00B774B1" w:rsidP="00507A31">
      <w:pPr>
        <w:jc w:val="both"/>
        <w:rPr>
          <w:color w:val="000000" w:themeColor="text1"/>
          <w:sz w:val="16"/>
          <w:szCs w:val="16"/>
        </w:rPr>
      </w:pPr>
      <w:r w:rsidRPr="00507A31">
        <w:rPr>
          <w:color w:val="000000" w:themeColor="text1"/>
          <w:sz w:val="16"/>
          <w:szCs w:val="16"/>
        </w:rPr>
        <w:t>По докладу Рамзина, в области энергохозяйства приняты основные линии: а) на создание кризисов электроснабжения путем задержки электростроительства в наиболее важных пунктах — Донбасс, Ленинград, Москва, Кизел, Кузбасс; б) на удорожание станций путем нерационального проектирования их; в) на отказ от советского оборудования и требование заграничных машин; г) на растягивание сроков постройки электростанций.</w:t>
      </w:r>
    </w:p>
    <w:p w14:paraId="2ACE944E" w14:textId="77777777" w:rsidR="00B774B1" w:rsidRPr="00507A31" w:rsidRDefault="00B774B1" w:rsidP="00507A31">
      <w:pPr>
        <w:jc w:val="both"/>
        <w:rPr>
          <w:color w:val="000000" w:themeColor="text1"/>
          <w:sz w:val="16"/>
          <w:szCs w:val="16"/>
        </w:rPr>
      </w:pPr>
      <w:r w:rsidRPr="00507A31">
        <w:rPr>
          <w:color w:val="000000" w:themeColor="text1"/>
          <w:sz w:val="16"/>
          <w:szCs w:val="16"/>
        </w:rPr>
        <w:t>По вопросу о структуре Центра и его органов Пальчинский считал необходимым и впредь поддерживать имеющуюся цепочную структуру, как наиболее отвечающую целям конспирации. Далее было сообщено о росте влияния Центра в Госплане и ВСНХ СССР.</w:t>
      </w:r>
    </w:p>
    <w:p w14:paraId="521C342D" w14:textId="77777777" w:rsidR="00B774B1" w:rsidRPr="00507A31" w:rsidRDefault="00B774B1" w:rsidP="00507A31">
      <w:pPr>
        <w:jc w:val="both"/>
        <w:rPr>
          <w:color w:val="000000" w:themeColor="text1"/>
          <w:sz w:val="16"/>
          <w:szCs w:val="16"/>
        </w:rPr>
      </w:pPr>
      <w:r w:rsidRPr="00507A31">
        <w:rPr>
          <w:color w:val="000000" w:themeColor="text1"/>
          <w:sz w:val="16"/>
          <w:szCs w:val="16"/>
        </w:rPr>
        <w:t>1927 г. II половина.</w:t>
      </w:r>
    </w:p>
    <w:p w14:paraId="1F0A72E6" w14:textId="77777777" w:rsidR="00B774B1" w:rsidRPr="00507A31" w:rsidRDefault="00B774B1" w:rsidP="00507A31">
      <w:pPr>
        <w:jc w:val="both"/>
        <w:rPr>
          <w:color w:val="000000" w:themeColor="text1"/>
          <w:sz w:val="16"/>
          <w:szCs w:val="16"/>
        </w:rPr>
      </w:pPr>
      <w:r w:rsidRPr="00507A31">
        <w:rPr>
          <w:color w:val="000000" w:themeColor="text1"/>
          <w:sz w:val="16"/>
          <w:szCs w:val="16"/>
        </w:rPr>
        <w:t>Во второй половине 1927 г. у меня был перерыв на 1/2 года, вследствие моего отъезда за границу. В моем отсутствии[,] насколько мне известно, продолжалось обсуждение мероприятий Центра по отдельным отраслям промышленности, продолжалось обсуждение вопросов программы и тактики Центра и прошел ряд совещаний с представителем ТКП. Пальчинским, Рабиновичем поднят вопрос о создании политической партии.</w:t>
      </w:r>
    </w:p>
    <w:p w14:paraId="6EE69F25" w14:textId="77777777" w:rsidR="00B774B1" w:rsidRPr="00507A31" w:rsidRDefault="00B774B1" w:rsidP="00507A31">
      <w:pPr>
        <w:jc w:val="both"/>
        <w:rPr>
          <w:color w:val="000000" w:themeColor="text1"/>
          <w:sz w:val="16"/>
          <w:szCs w:val="16"/>
        </w:rPr>
      </w:pPr>
      <w:r w:rsidRPr="00507A31">
        <w:rPr>
          <w:color w:val="000000" w:themeColor="text1"/>
          <w:sz w:val="16"/>
          <w:szCs w:val="16"/>
        </w:rPr>
        <w:t>Перед моим отъездом за границу, в виду того, что я должен был ехать в Америку (через Францию) Пальчинский просил меня увидеться с Рябушинским и постараться выявить отношение белоэмигрантских кругов к контурам намеченной центром платформы.</w:t>
      </w:r>
    </w:p>
    <w:p w14:paraId="2074341F" w14:textId="77777777" w:rsidR="00B774B1" w:rsidRPr="00507A31" w:rsidRDefault="00B774B1" w:rsidP="00507A31">
      <w:pPr>
        <w:jc w:val="both"/>
        <w:rPr>
          <w:color w:val="000000" w:themeColor="text1"/>
          <w:sz w:val="16"/>
          <w:szCs w:val="16"/>
        </w:rPr>
      </w:pPr>
      <w:r w:rsidRPr="00507A31">
        <w:rPr>
          <w:color w:val="000000" w:themeColor="text1"/>
          <w:sz w:val="16"/>
          <w:szCs w:val="16"/>
        </w:rPr>
        <w:lastRenderedPageBreak/>
        <w:t>Мое свидание с П. П. Рябушинским имело место в Париже в августе 1927 года. Приехав в Париж я написал Рябушинскому письмо с просьбой поговорить со мной по поручению Пальчинского и Федотова, указав желательный способ свидания, обеспечивающий необходимую конспирацию. П. П. Рябушинский прислал за мною в условленное место закрытый автомобиль, и мы затем, остановившись на углу Больших бульваров посадили П. П. Рябушинского. Вся беседа происходила в автомобиле во время поездки по городу и паркам. Я изложил основные программные установки Центра, выявившиеся к моему отъезду, и указа[л] на затруднения при возврате фабрик и заводов. В результате обсуждения был намечен как возможный вариант способ акционирования изношенных, сильно изменившихся и новых предприятий, с их обеспечением и общим управлением на началах акционерных обществ с тем, что прежние владельцы будут компенсированы соответствующим числом таких акций. По мнению П. П. Рябушинского такой путь представляется целесообразным и с точки зрения удобства мобилизации белоэмигрантских капиталов для интервенции и других расходов, позволяя учесть при будущем распределении акций — это затраты отдельных фирм. По вопросу о форме правления особых возражений не было, что же касается земельного вопроса, то на него П. П. Рябушинский не дал ответа, сказав, что это еще требует обсуждения. Но по своим общим установкам программа Центра не встретила сколько-нибудь настойчивых возражений.</w:t>
      </w:r>
    </w:p>
    <w:p w14:paraId="25004F79" w14:textId="77777777" w:rsidR="00B774B1" w:rsidRPr="00507A31" w:rsidRDefault="00B774B1" w:rsidP="00507A31">
      <w:pPr>
        <w:jc w:val="both"/>
        <w:rPr>
          <w:color w:val="000000" w:themeColor="text1"/>
          <w:sz w:val="16"/>
          <w:szCs w:val="16"/>
        </w:rPr>
      </w:pPr>
      <w:r w:rsidRPr="00507A31">
        <w:rPr>
          <w:color w:val="000000" w:themeColor="text1"/>
          <w:sz w:val="16"/>
          <w:szCs w:val="16"/>
        </w:rPr>
        <w:t>По вопросу о тактике никаких новых директив, кроме уже проводимых Центром, Рябушинский не давал.</w:t>
      </w:r>
    </w:p>
    <w:p w14:paraId="17F59001" w14:textId="77777777" w:rsidR="00B774B1" w:rsidRPr="00507A31" w:rsidRDefault="00B774B1" w:rsidP="00507A31">
      <w:pPr>
        <w:jc w:val="both"/>
        <w:rPr>
          <w:color w:val="000000" w:themeColor="text1"/>
          <w:sz w:val="16"/>
          <w:szCs w:val="16"/>
        </w:rPr>
      </w:pPr>
      <w:r w:rsidRPr="00507A31">
        <w:rPr>
          <w:color w:val="000000" w:themeColor="text1"/>
          <w:sz w:val="16"/>
          <w:szCs w:val="16"/>
        </w:rPr>
        <w:t>1928 г. I половина.</w:t>
      </w:r>
    </w:p>
    <w:p w14:paraId="42A22EEF" w14:textId="77777777" w:rsidR="00B774B1" w:rsidRPr="00507A31" w:rsidRDefault="00B774B1" w:rsidP="00507A31">
      <w:pPr>
        <w:jc w:val="both"/>
        <w:rPr>
          <w:color w:val="000000" w:themeColor="text1"/>
          <w:sz w:val="16"/>
          <w:szCs w:val="16"/>
        </w:rPr>
      </w:pPr>
      <w:r w:rsidRPr="00507A31">
        <w:rPr>
          <w:color w:val="000000" w:themeColor="text1"/>
          <w:sz w:val="16"/>
          <w:szCs w:val="16"/>
        </w:rPr>
        <w:t>1. На совещании Центра зимою в ВСНХ в составе: Пальчинский, Хренников, Чарновский, Калинников, Ларичев и Рамзин было сделано Пальчинским и мною сообщение о директивах из-за границы, подтверждающих прежнюю тактику Центра. Далее констатировали, что политический облик Центра уже в основном определился, что несмотря на разгром Шахтинской группы и арест ряда членов Центра деятельность последнего все расширяется, охватывая все более широкие круги руководящего инженерства, поэтому необходимо расширить базу Центра, превратив его в политическую партию, по примеру ТКП.</w:t>
      </w:r>
    </w:p>
    <w:p w14:paraId="62EF65FB" w14:textId="77777777" w:rsidR="00B774B1" w:rsidRPr="00507A31" w:rsidRDefault="00B774B1" w:rsidP="00507A31">
      <w:pPr>
        <w:jc w:val="both"/>
        <w:rPr>
          <w:color w:val="000000" w:themeColor="text1"/>
          <w:sz w:val="16"/>
          <w:szCs w:val="16"/>
        </w:rPr>
      </w:pPr>
      <w:r w:rsidRPr="00507A31">
        <w:rPr>
          <w:color w:val="000000" w:themeColor="text1"/>
          <w:sz w:val="16"/>
          <w:szCs w:val="16"/>
        </w:rPr>
        <w:t>Несмотря на наличие некоторых возражений, общее отношение участников совещания о превращении Центра в партию было положительное.</w:t>
      </w:r>
    </w:p>
    <w:p w14:paraId="15284240" w14:textId="77777777" w:rsidR="00B774B1" w:rsidRPr="00507A31" w:rsidRDefault="00B774B1" w:rsidP="00507A31">
      <w:pPr>
        <w:jc w:val="both"/>
        <w:rPr>
          <w:color w:val="000000" w:themeColor="text1"/>
          <w:sz w:val="16"/>
          <w:szCs w:val="16"/>
        </w:rPr>
      </w:pPr>
      <w:r w:rsidRPr="00507A31">
        <w:rPr>
          <w:color w:val="000000" w:themeColor="text1"/>
          <w:sz w:val="16"/>
          <w:szCs w:val="16"/>
        </w:rPr>
        <w:t>На совещании отмечалась необходимость большей осторожности и конспирации в связи с арестом Рабиновича и ряда членов организации.</w:t>
      </w:r>
    </w:p>
    <w:p w14:paraId="44825296" w14:textId="77777777" w:rsidR="00B774B1" w:rsidRPr="00507A31" w:rsidRDefault="00B774B1" w:rsidP="00507A31">
      <w:pPr>
        <w:jc w:val="both"/>
        <w:rPr>
          <w:color w:val="000000" w:themeColor="text1"/>
          <w:sz w:val="16"/>
          <w:szCs w:val="16"/>
        </w:rPr>
      </w:pPr>
      <w:r w:rsidRPr="00507A31">
        <w:rPr>
          <w:color w:val="000000" w:themeColor="text1"/>
          <w:sz w:val="16"/>
          <w:szCs w:val="16"/>
        </w:rPr>
        <w:t>2. На совещании Центра в ВАИ в составе: Пальчинский, Хренников, Рамзин, Федотов и Чарновский обсуждались, главным образом, вопросы, касающиеся партийного оформления.</w:t>
      </w:r>
    </w:p>
    <w:p w14:paraId="56A72D51" w14:textId="77777777" w:rsidR="00B774B1" w:rsidRPr="00507A31" w:rsidRDefault="00B774B1" w:rsidP="00507A31">
      <w:pPr>
        <w:jc w:val="both"/>
        <w:rPr>
          <w:color w:val="000000" w:themeColor="text1"/>
          <w:sz w:val="16"/>
          <w:szCs w:val="16"/>
        </w:rPr>
      </w:pPr>
      <w:r w:rsidRPr="00507A31">
        <w:rPr>
          <w:color w:val="000000" w:themeColor="text1"/>
          <w:sz w:val="16"/>
          <w:szCs w:val="16"/>
        </w:rPr>
        <w:t>По поводу названия партии имелись различные предложения — Промышленная Партия, Национальная Партия, Союз Освобождения, Национально-Демократическая партия и др., однако, доминирующим названием было первое. Пальчинский сообщил, что согласно сведений, полученных им из-за границы, можно ориентироваться на интервенцию, примерно, через 2 года, т. е. в 1930 году, поэтому необходимо вести работу с таким расчетом, чтобы приурочить к этому времени момент всеобщего кризиса. Руководительницей интервенции будет Франция, ибо бывшие русские промышленники уже имели благоприятные разговоры с Брианом и Пуанкаре, но непосредственное проведение военных операций будет выполнено, вероятно, Польшей и Румынией с привлечением лимитрофов; участие Чехо-Словакии и Юго-Славии не исключено, но, сомнительно; непосредственным военным руководителем интервенционных войск выдвигается за границей генерал Лукомский.</w:t>
      </w:r>
    </w:p>
    <w:p w14:paraId="66825AAF" w14:textId="77777777" w:rsidR="00B774B1" w:rsidRPr="00507A31" w:rsidRDefault="00B774B1" w:rsidP="00507A31">
      <w:pPr>
        <w:jc w:val="both"/>
        <w:rPr>
          <w:color w:val="000000" w:themeColor="text1"/>
          <w:sz w:val="16"/>
          <w:szCs w:val="16"/>
        </w:rPr>
      </w:pPr>
      <w:r w:rsidRPr="00507A31">
        <w:rPr>
          <w:color w:val="000000" w:themeColor="text1"/>
          <w:sz w:val="16"/>
          <w:szCs w:val="16"/>
        </w:rPr>
        <w:t>При дальнейшем обсуждении вопроса о возможном будущем правительстве указывалось, что решение этого вопроса в значительной степени будет дано из-за границы. На заседании считали бесспорной кандидатуру на пост премьер-министра Пальчинского; в качестве военного министра — Пальчинского и Лукомского, место министра земледелия предполагали заме[с]тить по указанию ТКП, в частности, называлась и кандидатура А. В. Чаянова, на место министра иностранных дел Пальчинский выдвинул кандидатуру проф. Тарле; наибольшие затруднения возникли при подыскании кандидата на место министров Торговли и Промышленности, Финансов и министра Внутренних дел.</w:t>
      </w:r>
    </w:p>
    <w:p w14:paraId="31DDD8BF" w14:textId="77777777" w:rsidR="00B774B1" w:rsidRPr="00507A31" w:rsidRDefault="00B774B1" w:rsidP="00507A31">
      <w:pPr>
        <w:jc w:val="both"/>
        <w:rPr>
          <w:color w:val="000000" w:themeColor="text1"/>
          <w:sz w:val="16"/>
          <w:szCs w:val="16"/>
        </w:rPr>
      </w:pPr>
      <w:r w:rsidRPr="00507A31">
        <w:rPr>
          <w:color w:val="000000" w:themeColor="text1"/>
          <w:sz w:val="16"/>
          <w:szCs w:val="16"/>
        </w:rPr>
        <w:t>Указывалось, что естественным кандидатом на один из этих постов является П. П. Рябушинский, одновременно на пост министра промышленности настойчиво выдвигалась также кандидатура Хренникова.</w:t>
      </w:r>
    </w:p>
    <w:p w14:paraId="26D0E3D1" w14:textId="77777777" w:rsidR="00B774B1" w:rsidRPr="00507A31" w:rsidRDefault="00B774B1" w:rsidP="00507A31">
      <w:pPr>
        <w:jc w:val="both"/>
        <w:rPr>
          <w:color w:val="000000" w:themeColor="text1"/>
          <w:sz w:val="16"/>
          <w:szCs w:val="16"/>
        </w:rPr>
      </w:pPr>
      <w:r w:rsidRPr="00507A31">
        <w:rPr>
          <w:color w:val="000000" w:themeColor="text1"/>
          <w:sz w:val="16"/>
          <w:szCs w:val="16"/>
        </w:rPr>
        <w:t>3. На заседании Центра весною в Госплане присутствовали: Хренников, Калинников, Ларичев, Федотов, Рамзин, Пальчинский. Обсуждались вопросы, касающиеся текущей тактики. В связи с намеченным большим объемом нового капитального строительства был выдвинут и одобрен новый тактический прием, сводящийся к возможному омертвлению капиталов путем вкладывания их в длительные и дорогие сооружения и постройки, в строительные объекты, не нужные для данного момента, но желательные для будущего, причем было предложено по отраслевым группам контактно проработать эту директиву.</w:t>
      </w:r>
    </w:p>
    <w:p w14:paraId="36C086E4" w14:textId="77777777" w:rsidR="00B774B1" w:rsidRPr="00507A31" w:rsidRDefault="00B774B1" w:rsidP="00507A31">
      <w:pPr>
        <w:jc w:val="both"/>
        <w:rPr>
          <w:color w:val="000000" w:themeColor="text1"/>
          <w:sz w:val="16"/>
          <w:szCs w:val="16"/>
        </w:rPr>
      </w:pPr>
      <w:r w:rsidRPr="00507A31">
        <w:rPr>
          <w:color w:val="000000" w:themeColor="text1"/>
          <w:sz w:val="16"/>
          <w:szCs w:val="16"/>
        </w:rPr>
        <w:t>Кроме того, назывались кандидатуры в состав будущего правительства. Помимо повторения кандидатур, называвшихся ранее, насколько я припоминаю выдвигались еще следующие имена в министерство промышленности и торговли: Рабинович, Калинников; внутренних дел — проф. Вор[м]с, Чарновский; финансов — Озеров И. X., Вышнеградский, Давыдов, Рабинович; земледелия — Билимович.</w:t>
      </w:r>
    </w:p>
    <w:p w14:paraId="1303BAFD" w14:textId="77777777" w:rsidR="00B774B1" w:rsidRPr="00507A31" w:rsidRDefault="00B774B1" w:rsidP="00507A31">
      <w:pPr>
        <w:jc w:val="both"/>
        <w:rPr>
          <w:color w:val="000000" w:themeColor="text1"/>
          <w:sz w:val="16"/>
          <w:szCs w:val="16"/>
        </w:rPr>
      </w:pPr>
      <w:r w:rsidRPr="00507A31">
        <w:rPr>
          <w:color w:val="000000" w:themeColor="text1"/>
          <w:sz w:val="16"/>
          <w:szCs w:val="16"/>
        </w:rPr>
        <w:t>4. Летом на заседании в Госплане были: Пальчинский, Хренников, Ларичев, Рамзин, Федотов, Калинников. Основным вопросом обсуждения был блок с ТКП и усиление организационных связей между промышленной и крестьянской партиями. Пальчинский предложил на основе своих переговоров с ТКП создать контактный орган в виде Объединенного Центра, основной задачей которого должно являться обсуждение вопросов совместной тактики. Со стороны ТКП в этот орган намечены кандидатуры: Кондратьева, Макарова и Громана. После обсуждения с нашей стороны были введены Чарновский и Рамзин.</w:t>
      </w:r>
    </w:p>
    <w:p w14:paraId="11292D71" w14:textId="77777777" w:rsidR="00B774B1" w:rsidRPr="00507A31" w:rsidRDefault="00B774B1" w:rsidP="00507A31">
      <w:pPr>
        <w:jc w:val="both"/>
        <w:rPr>
          <w:color w:val="000000" w:themeColor="text1"/>
          <w:sz w:val="16"/>
          <w:szCs w:val="16"/>
        </w:rPr>
      </w:pPr>
      <w:r w:rsidRPr="00507A31">
        <w:rPr>
          <w:color w:val="000000" w:themeColor="text1"/>
          <w:sz w:val="16"/>
          <w:szCs w:val="16"/>
        </w:rPr>
        <w:t>По вопросу о позиции Промышленной Партии в объединенном Центре в смысле распределения мест будущего правительства дана общая установка, что число мест за каждой партией должно определяться долею их участия в совершении переворота; если последний целиком будет выполнен при помощи интервенции, можно дать ТКП минимум мест — министра земледелия и еще 1-2 места, если же, наоборот, при перевороте придется ориентироваться почти или совершенно на силы ТКП, то естественно, что неизбежно придется уступить им доминирующее влияние. Таким образом, вопрос о распределении мест должен решаться путем реального соотношения сил.</w:t>
      </w:r>
    </w:p>
    <w:p w14:paraId="73C0FDFF" w14:textId="77777777" w:rsidR="00B774B1" w:rsidRPr="00507A31" w:rsidRDefault="00B774B1" w:rsidP="00507A31">
      <w:pPr>
        <w:jc w:val="both"/>
        <w:rPr>
          <w:color w:val="000000" w:themeColor="text1"/>
          <w:sz w:val="16"/>
          <w:szCs w:val="16"/>
        </w:rPr>
      </w:pPr>
      <w:r w:rsidRPr="00507A31">
        <w:rPr>
          <w:color w:val="000000" w:themeColor="text1"/>
          <w:sz w:val="16"/>
          <w:szCs w:val="16"/>
        </w:rPr>
        <w:t>Мелкие вопросы текущей тактики заняли конец совещания.</w:t>
      </w:r>
    </w:p>
    <w:p w14:paraId="4DDD1772" w14:textId="77777777" w:rsidR="00B774B1" w:rsidRPr="00507A31" w:rsidRDefault="00B774B1" w:rsidP="00507A31">
      <w:pPr>
        <w:jc w:val="both"/>
        <w:rPr>
          <w:color w:val="000000" w:themeColor="text1"/>
          <w:sz w:val="16"/>
          <w:szCs w:val="16"/>
        </w:rPr>
      </w:pPr>
      <w:r w:rsidRPr="00507A31">
        <w:rPr>
          <w:color w:val="000000" w:themeColor="text1"/>
          <w:sz w:val="16"/>
          <w:szCs w:val="16"/>
        </w:rPr>
        <w:t>Здесь я имею снова перерыв в посещении заседания ЦК Промышленной Партии, вследствие длительного отъезда из Москвы.</w:t>
      </w:r>
    </w:p>
    <w:p w14:paraId="35D95B56" w14:textId="77777777" w:rsidR="00B774B1" w:rsidRPr="00507A31" w:rsidRDefault="00B774B1" w:rsidP="00507A31">
      <w:pPr>
        <w:jc w:val="both"/>
        <w:rPr>
          <w:color w:val="000000" w:themeColor="text1"/>
          <w:sz w:val="16"/>
          <w:szCs w:val="16"/>
        </w:rPr>
      </w:pPr>
      <w:r w:rsidRPr="00507A31">
        <w:rPr>
          <w:color w:val="000000" w:themeColor="text1"/>
          <w:sz w:val="16"/>
          <w:szCs w:val="16"/>
        </w:rPr>
        <w:t>1928 г. II половина.</w:t>
      </w:r>
    </w:p>
    <w:p w14:paraId="6E91D3CC" w14:textId="77777777" w:rsidR="00B774B1" w:rsidRPr="00507A31" w:rsidRDefault="00B774B1" w:rsidP="00507A31">
      <w:pPr>
        <w:jc w:val="both"/>
        <w:rPr>
          <w:color w:val="000000" w:themeColor="text1"/>
          <w:sz w:val="16"/>
          <w:szCs w:val="16"/>
        </w:rPr>
      </w:pPr>
      <w:r w:rsidRPr="00507A31">
        <w:rPr>
          <w:color w:val="000000" w:themeColor="text1"/>
          <w:sz w:val="16"/>
          <w:szCs w:val="16"/>
        </w:rPr>
        <w:t>Произошедшие аресты Пальчинского, Хренникова, Красовского, Стрижова и целого ряда видных и активных членов организации создали естественных перерыв в собраниях ЦК, главным образом вследствие риска подобных собраний. В это время происходили лишь встречи отдельных членов ЦК и продолжалась работа уцелевших отраслевых групп.</w:t>
      </w:r>
    </w:p>
    <w:p w14:paraId="6B7725FA" w14:textId="77777777" w:rsidR="00B774B1" w:rsidRPr="00507A31" w:rsidRDefault="00B774B1" w:rsidP="00507A31">
      <w:pPr>
        <w:jc w:val="both"/>
        <w:rPr>
          <w:color w:val="000000" w:themeColor="text1"/>
          <w:sz w:val="16"/>
          <w:szCs w:val="16"/>
        </w:rPr>
      </w:pPr>
      <w:r w:rsidRPr="00507A31">
        <w:rPr>
          <w:color w:val="000000" w:themeColor="text1"/>
          <w:sz w:val="16"/>
          <w:szCs w:val="16"/>
        </w:rPr>
        <w:t>1. Такое групповое совещание было в Госплане в конце 1928 г., на котором были: Ларичев, Федотов, Чарновский и Рамзии. Было решено попытаться восстановить работу и образовать новый ЦК из остатков старого, но после некоторого перерыва.</w:t>
      </w:r>
    </w:p>
    <w:p w14:paraId="54F8E52D" w14:textId="77777777" w:rsidR="00B774B1" w:rsidRPr="00507A31" w:rsidRDefault="00B774B1" w:rsidP="00507A31">
      <w:pPr>
        <w:jc w:val="both"/>
        <w:rPr>
          <w:color w:val="000000" w:themeColor="text1"/>
          <w:sz w:val="16"/>
          <w:szCs w:val="16"/>
        </w:rPr>
      </w:pPr>
      <w:r w:rsidRPr="00507A31">
        <w:rPr>
          <w:color w:val="000000" w:themeColor="text1"/>
          <w:sz w:val="16"/>
          <w:szCs w:val="16"/>
        </w:rPr>
        <w:t>1929 год.</w:t>
      </w:r>
    </w:p>
    <w:p w14:paraId="6B7CC4D7" w14:textId="77777777" w:rsidR="00B774B1" w:rsidRPr="00507A31" w:rsidRDefault="00B774B1" w:rsidP="00507A31">
      <w:pPr>
        <w:jc w:val="both"/>
        <w:rPr>
          <w:color w:val="000000" w:themeColor="text1"/>
          <w:sz w:val="16"/>
          <w:szCs w:val="16"/>
        </w:rPr>
      </w:pPr>
      <w:r w:rsidRPr="00507A31">
        <w:rPr>
          <w:color w:val="000000" w:themeColor="text1"/>
          <w:sz w:val="16"/>
          <w:szCs w:val="16"/>
        </w:rPr>
        <w:t>Весною в Госплане после ряда летучих переговоров и свиданий отдельных членов Центра состоялось совещание, которое является уже заседанием нового ЦК Промпартии. Совещание было в составе: Федотов, Рамзин, Чарновский, Ларичев и Калинников.</w:t>
      </w:r>
    </w:p>
    <w:p w14:paraId="2C984F9D" w14:textId="77777777" w:rsidR="00B774B1" w:rsidRPr="00507A31" w:rsidRDefault="00B774B1" w:rsidP="00507A31">
      <w:pPr>
        <w:jc w:val="both"/>
        <w:rPr>
          <w:color w:val="000000" w:themeColor="text1"/>
          <w:sz w:val="16"/>
          <w:szCs w:val="16"/>
        </w:rPr>
      </w:pPr>
      <w:r w:rsidRPr="00507A31">
        <w:rPr>
          <w:color w:val="000000" w:themeColor="text1"/>
          <w:sz w:val="16"/>
          <w:szCs w:val="16"/>
        </w:rPr>
        <w:t>По обсуждении положения пришли к следующим выводам. Главной задачей является теперь додержаться до начала интервенции; поэтому основная тактика должна быть направлена на сохранение головки Промпартии и ее кадров, хотя бы ценою ослабления руководства отраслевыми и низовыми ячейками, тем более, что кризис уже начался и будет неизбежно углубляться сам собою. Поэтому необходимо вести работу с максимальной осторожностью. В целях такой осторожности решено совершенно отказаться от прежней тактики минималистских планов как неосуществимой и явно опасной, и, наоборот, если удастся без риска[,] перегибать планы в сторону их преувеличения. Перевести работу виднейших членов организации в плоскость рациональных технических построений, ибо их результаты будут полезны для будущего государства.</w:t>
      </w:r>
    </w:p>
    <w:p w14:paraId="6A32F5E7" w14:textId="77777777" w:rsidR="00B774B1" w:rsidRPr="00507A31" w:rsidRDefault="00B774B1" w:rsidP="00507A31">
      <w:pPr>
        <w:jc w:val="both"/>
        <w:rPr>
          <w:color w:val="000000" w:themeColor="text1"/>
          <w:sz w:val="16"/>
          <w:szCs w:val="16"/>
        </w:rPr>
      </w:pPr>
      <w:r w:rsidRPr="00507A31">
        <w:rPr>
          <w:color w:val="000000" w:themeColor="text1"/>
          <w:sz w:val="16"/>
          <w:szCs w:val="16"/>
        </w:rPr>
        <w:t>В течение всего последующего времени я не помню больше пленарных собраний ЦК Промпартии, ибо до последнего разгрома организации с арестом Федотова и Ларичева я имел лишь встречи с отдельными членами ЦК или в небольших группах.</w:t>
      </w:r>
    </w:p>
    <w:p w14:paraId="40107DC7" w14:textId="77777777" w:rsidR="00B774B1" w:rsidRPr="00507A31" w:rsidRDefault="00B774B1" w:rsidP="00507A31">
      <w:pPr>
        <w:jc w:val="both"/>
        <w:rPr>
          <w:color w:val="000000" w:themeColor="text1"/>
          <w:sz w:val="16"/>
          <w:szCs w:val="16"/>
        </w:rPr>
      </w:pPr>
      <w:r w:rsidRPr="00507A31">
        <w:rPr>
          <w:color w:val="000000" w:themeColor="text1"/>
          <w:sz w:val="16"/>
          <w:szCs w:val="16"/>
        </w:rPr>
        <w:t>Л. Рамзин.</w:t>
      </w:r>
    </w:p>
    <w:p w14:paraId="53B6137C" w14:textId="77777777" w:rsidR="00B774B1" w:rsidRPr="00507A31" w:rsidRDefault="00B774B1" w:rsidP="00507A31">
      <w:pPr>
        <w:jc w:val="both"/>
        <w:rPr>
          <w:color w:val="000000" w:themeColor="text1"/>
          <w:sz w:val="16"/>
          <w:szCs w:val="16"/>
        </w:rPr>
      </w:pPr>
      <w:r w:rsidRPr="00507A31">
        <w:rPr>
          <w:color w:val="000000" w:themeColor="text1"/>
          <w:sz w:val="16"/>
          <w:szCs w:val="16"/>
        </w:rPr>
        <w:t>Допросили[:] Пом. Нач. СОУ ОГПУ Агранов.</w:t>
      </w:r>
    </w:p>
    <w:p w14:paraId="0B164DDF" w14:textId="77777777" w:rsidR="00B774B1" w:rsidRPr="00507A31" w:rsidRDefault="00B774B1" w:rsidP="00507A31">
      <w:pPr>
        <w:jc w:val="both"/>
        <w:rPr>
          <w:color w:val="000000" w:themeColor="text1"/>
          <w:sz w:val="16"/>
          <w:szCs w:val="16"/>
        </w:rPr>
      </w:pPr>
      <w:r w:rsidRPr="00507A31">
        <w:rPr>
          <w:color w:val="000000" w:themeColor="text1"/>
          <w:sz w:val="16"/>
          <w:szCs w:val="16"/>
        </w:rPr>
        <w:t>Пом. Нач. 3 Отделения] СО ОГПУ Радзивиловский (18401).</w:t>
      </w:r>
    </w:p>
    <w:p w14:paraId="71B624F9" w14:textId="77777777" w:rsidR="00B774B1" w:rsidRPr="00507A31" w:rsidRDefault="00B774B1" w:rsidP="00507A31">
      <w:pPr>
        <w:jc w:val="both"/>
        <w:rPr>
          <w:color w:val="000000" w:themeColor="text1"/>
          <w:sz w:val="16"/>
          <w:szCs w:val="16"/>
        </w:rPr>
      </w:pPr>
    </w:p>
    <w:p w14:paraId="73B550CD" w14:textId="77777777" w:rsidR="00B774B1" w:rsidRPr="00507A31" w:rsidRDefault="00B774B1" w:rsidP="00507A31">
      <w:pPr>
        <w:jc w:val="both"/>
        <w:rPr>
          <w:bCs/>
          <w:color w:val="000000" w:themeColor="text1"/>
          <w:sz w:val="16"/>
          <w:szCs w:val="16"/>
        </w:rPr>
      </w:pPr>
      <w:r w:rsidRPr="00507A31">
        <w:rPr>
          <w:color w:val="000000" w:themeColor="text1"/>
          <w:sz w:val="16"/>
          <w:szCs w:val="16"/>
        </w:rPr>
        <w:t>21 сентября 1930 г.</w:t>
      </w:r>
    </w:p>
    <w:p w14:paraId="0DE9BB7E" w14:textId="77777777" w:rsidR="00B774B1" w:rsidRPr="00507A31" w:rsidRDefault="00B774B1" w:rsidP="00507A31">
      <w:pPr>
        <w:jc w:val="both"/>
        <w:rPr>
          <w:bCs/>
          <w:color w:val="000000" w:themeColor="text1"/>
          <w:sz w:val="16"/>
          <w:szCs w:val="16"/>
        </w:rPr>
      </w:pPr>
      <w:r w:rsidRPr="00507A31">
        <w:rPr>
          <w:color w:val="000000" w:themeColor="text1"/>
          <w:sz w:val="16"/>
          <w:szCs w:val="16"/>
        </w:rPr>
        <w:t>Показания Л. К. Рамзина о возникновении «Инженерного центра», структуре, программе и основных направлениях деятельности «Промышленной партии». 21 сентября 1930 г.</w:t>
      </w:r>
    </w:p>
    <w:p w14:paraId="5ACA7D5B" w14:textId="77777777" w:rsidR="00B774B1" w:rsidRPr="00507A31" w:rsidRDefault="00B774B1" w:rsidP="00507A31">
      <w:pPr>
        <w:jc w:val="both"/>
        <w:rPr>
          <w:bCs/>
          <w:color w:val="000000" w:themeColor="text1"/>
          <w:sz w:val="16"/>
          <w:szCs w:val="16"/>
        </w:rPr>
      </w:pPr>
      <w:r w:rsidRPr="00507A31">
        <w:rPr>
          <w:bCs/>
          <w:color w:val="000000" w:themeColor="text1"/>
          <w:sz w:val="16"/>
          <w:szCs w:val="16"/>
        </w:rPr>
        <w:t>Источник: </w:t>
      </w:r>
    </w:p>
    <w:p w14:paraId="2537E8D2" w14:textId="77777777" w:rsidR="00B774B1" w:rsidRPr="00507A31" w:rsidRDefault="00B774B1"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CEB952E" w14:textId="77777777" w:rsidR="00B774B1" w:rsidRPr="00507A31" w:rsidRDefault="00B774B1" w:rsidP="00507A31">
      <w:pPr>
        <w:pStyle w:val="rteright"/>
        <w:spacing w:before="0" w:after="0"/>
        <w:jc w:val="both"/>
        <w:rPr>
          <w:color w:val="000000" w:themeColor="text1"/>
          <w:sz w:val="16"/>
          <w:szCs w:val="16"/>
        </w:rPr>
      </w:pPr>
      <w:r w:rsidRPr="00507A31">
        <w:rPr>
          <w:color w:val="000000" w:themeColor="text1"/>
          <w:sz w:val="16"/>
          <w:szCs w:val="16"/>
        </w:rPr>
        <w:t>21 сентября 1930 г.</w:t>
      </w:r>
    </w:p>
    <w:p w14:paraId="24C6FE33" w14:textId="77777777" w:rsidR="00B774B1" w:rsidRPr="00507A31" w:rsidRDefault="00B774B1" w:rsidP="00507A31">
      <w:pPr>
        <w:pStyle w:val="rtecenter"/>
        <w:spacing w:before="0" w:after="0"/>
        <w:jc w:val="both"/>
        <w:rPr>
          <w:color w:val="000000" w:themeColor="text1"/>
          <w:sz w:val="16"/>
          <w:szCs w:val="16"/>
        </w:rPr>
      </w:pPr>
      <w:r w:rsidRPr="00507A31">
        <w:rPr>
          <w:color w:val="000000" w:themeColor="text1"/>
          <w:sz w:val="16"/>
          <w:szCs w:val="16"/>
        </w:rPr>
        <w:t>Протокол</w:t>
      </w:r>
    </w:p>
    <w:p w14:paraId="0112A101" w14:textId="77777777" w:rsidR="00B774B1" w:rsidRPr="00507A31" w:rsidRDefault="00B774B1" w:rsidP="00507A31">
      <w:pPr>
        <w:pStyle w:val="rtecenter"/>
        <w:spacing w:before="0" w:after="0"/>
        <w:jc w:val="both"/>
        <w:rPr>
          <w:color w:val="000000" w:themeColor="text1"/>
          <w:sz w:val="16"/>
          <w:szCs w:val="16"/>
        </w:rPr>
      </w:pPr>
      <w:r w:rsidRPr="00507A31">
        <w:rPr>
          <w:color w:val="000000" w:themeColor="text1"/>
          <w:sz w:val="16"/>
          <w:szCs w:val="16"/>
        </w:rPr>
        <w:t>дополнительного допроса профессора Рамзина Леонида Константиновича от 21-го сентября 1930 г.</w:t>
      </w:r>
    </w:p>
    <w:p w14:paraId="42B758DD"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Допросили: Пом. нач. СОУ ОГПУ Агранов и пом. нач. 3-го отд. СО ОГПУ Радзивиловский</w:t>
      </w:r>
    </w:p>
    <w:p w14:paraId="0ED8E44A"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На поставленные мне вопросы дополнительно показываю следующее:</w:t>
      </w:r>
    </w:p>
    <w:p w14:paraId="31BAAD3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 xml:space="preserve">Признавая себя виновным в участии в контр-революционной организации «Инженерном Центре» (или в Совете объединенных инженерных организаций), я окончательно и бесповоротно прекращаю всякую борьбу с Советской Властью, Полностью разоружаюсь и приношу мое искреннее и чистосердечное раскаяние в </w:t>
      </w:r>
      <w:r w:rsidRPr="00507A31">
        <w:rPr>
          <w:color w:val="000000" w:themeColor="text1"/>
          <w:sz w:val="16"/>
          <w:szCs w:val="16"/>
        </w:rPr>
        <w:lastRenderedPageBreak/>
        <w:t>совершенных мною преступлениях Если Советская Власть сохранит мне жизнь, клянусь отдать ее на укрепление и развитие Соввласти и социалистического строительства.</w:t>
      </w:r>
    </w:p>
    <w:p w14:paraId="6193277C" w14:textId="77777777" w:rsidR="00B774B1" w:rsidRPr="00507A31" w:rsidRDefault="00B774B1" w:rsidP="00507A31">
      <w:pPr>
        <w:pStyle w:val="ae"/>
        <w:spacing w:before="0" w:after="0"/>
        <w:jc w:val="both"/>
        <w:rPr>
          <w:color w:val="000000" w:themeColor="text1"/>
          <w:sz w:val="16"/>
          <w:szCs w:val="16"/>
        </w:rPr>
      </w:pPr>
      <w:r w:rsidRPr="00507A31">
        <w:rPr>
          <w:color w:val="000000" w:themeColor="text1"/>
          <w:sz w:val="16"/>
          <w:szCs w:val="16"/>
        </w:rPr>
        <w:t>1. Возникновение Инженерного Центра</w:t>
      </w:r>
    </w:p>
    <w:p w14:paraId="655EB57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Насколько мне известно из отрывочных сообщений, возникновение Инженерного Центра можно отнести к 1926 году. Сколько-нибудь точных и подробных сведений по этому вопросу я не имею, ибо я начал принимать участие в Инженерном Центре лишь в начале 1927 года.</w:t>
      </w:r>
    </w:p>
    <w:p w14:paraId="7D643B8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имеющимся у меня сведениям Инженерный Центр не был создан сразу в виде законченной организации, а формировался постепенно из среды инженеров, группировавшихся около Клуба Горных Деятелей и Всесоюзной Ассоциации Инженеров.</w:t>
      </w:r>
    </w:p>
    <w:p w14:paraId="094D2EDF"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Клуб Горных Деятелей был организован группой горных инженеров во главе с П. А. Пальчинским и И. И. Федоровичем, с целью идеологического влияния на горные инженерные круги, каковое влияние и было в значительной мере достигнуто, ибо основные деятели организации, возглавляемой Инженерным Центром, были навербованы из числа членов Клуба Горных Деятелей, как то — П. А. Пальчинский, Л. Г. Рабинович, И. И. Федорович и др.</w:t>
      </w:r>
    </w:p>
    <w:p w14:paraId="710BDFB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Что касается роли ВАИ в деле создания Инженерного Центра и его разветвлений, то ВАИ дала основное ядро по железнодорожной группе — Величко, Мекк, Красовский; “кроме того, ВАИ служила ширмой для Инженерного Центра, ибо значительная часть заседаний и совещаний Центра происходили в помещениях ВАИ. Таким же прикрытием для Центра, особенно в первое время, являлся и Клуб Горных Деятелей.</w:t>
      </w:r>
    </w:p>
    <w:p w14:paraId="6F92BDAE"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Инициатором, вдохновителем и основным организатором при создании Инженерного Центра является П. А. Пальчинский, при чем наиболее активными сотрудниками его являлись Л. Г. Рабинович и И. И. Федорович.</w:t>
      </w:r>
    </w:p>
    <w:p w14:paraId="6B83B79E" w14:textId="77777777" w:rsidR="00B774B1" w:rsidRPr="00507A31" w:rsidRDefault="00B774B1" w:rsidP="00507A31">
      <w:pPr>
        <w:pStyle w:val="ae"/>
        <w:spacing w:before="0" w:after="0"/>
        <w:jc w:val="both"/>
        <w:rPr>
          <w:color w:val="000000" w:themeColor="text1"/>
          <w:sz w:val="16"/>
          <w:szCs w:val="16"/>
        </w:rPr>
      </w:pPr>
      <w:r w:rsidRPr="00507A31">
        <w:rPr>
          <w:color w:val="000000" w:themeColor="text1"/>
          <w:sz w:val="16"/>
          <w:szCs w:val="16"/>
        </w:rPr>
        <w:t>2. Предпосылки возникновения Центра</w:t>
      </w:r>
    </w:p>
    <w:p w14:paraId="37280888"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Основные предпосылки для возникновения Инженерного Центра и его дальнейшего развития рисуются мне в следующем виде:</w:t>
      </w:r>
    </w:p>
    <w:p w14:paraId="15DC250C"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а) Одной их исходных причин создания контр-революционной инженерной организации являются прежде всего политические настроения в рядах старого инженерства, колебавшегося обычно в границах от кадетских до крайних правых, монархических убеждений. Таким образом, по своему политическому облику старое инженерство в своей массе не принимало советского строя и принципов Коммунистической партии.</w:t>
      </w:r>
    </w:p>
    <w:p w14:paraId="3985F67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б) Указанные политические настроения подкреплялись и разницей в деловом и бытовом положении инженеров до и после Октябрьской Революции; естественное недоверие Соввласти к инженерству, политический и общественный контроль за их работой лишило инженеров того командного положения, которое многие из них занимали до Революции, вместе с тем после Революций бытовое и материальное положение крупных инженеров сильно ухудшилось.</w:t>
      </w:r>
    </w:p>
    <w:p w14:paraId="634CA9B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Влияние прежних владельцев предприятий на старых инженеров, имевших и частично сохранивших связи с прежними хозяевами, также было постоянным стимулом для борьбы против Советского Строя, с целью возврата прежним владельцам их предприятий или компенсации за них.</w:t>
      </w:r>
    </w:p>
    <w:p w14:paraId="0F17A8B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г) Наметившийся переход от НЭПа к социалистическому наступлению был также одной из причин, побудивших к активным действиям против Соввласти, ибо надежды на постепенное перерождение последней и дальнейшее углубление НЭПа постепенно рушились.</w:t>
      </w:r>
    </w:p>
    <w:p w14:paraId="19AF9EFD"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д) Разгоревшаяся борьба внутри ВКП(б) возбуждала надежды на более успешные результаты контр-революционных выступлений, в расчете на ослабление Коммунистической Партии внутренней борьбой.</w:t>
      </w:r>
    </w:p>
    <w:p w14:paraId="0173201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е) Враждебность и ненависть к Соввласти со стороны капиталистических стран создавали реальную базу для расчетов на активную помощь извне вплоть до военной интервенции, и таким образом позволяли надеяться на полную осуществимость контр-революционного переворота в недалеком будущем.</w:t>
      </w:r>
    </w:p>
    <w:p w14:paraId="38A2AD1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ж) Наметившееся уже в 1927 г. ухудшение бытового положения, недовольство в крестьянских массах, определившиеся признаки кризисов и экономических затруднений, с перспективами их прогрессирования создавали внутри страны благоприятную почву для контрреволюционного переворота.</w:t>
      </w:r>
    </w:p>
    <w:p w14:paraId="53D7B8BB" w14:textId="77777777" w:rsidR="00B774B1" w:rsidRPr="00507A31" w:rsidRDefault="00B774B1" w:rsidP="00507A31">
      <w:pPr>
        <w:numPr>
          <w:ilvl w:val="0"/>
          <w:numId w:val="1"/>
        </w:numPr>
        <w:ind w:left="0" w:firstLine="0"/>
        <w:jc w:val="both"/>
        <w:rPr>
          <w:color w:val="000000" w:themeColor="text1"/>
          <w:sz w:val="16"/>
          <w:szCs w:val="16"/>
        </w:rPr>
      </w:pPr>
      <w:r w:rsidRPr="00507A31">
        <w:rPr>
          <w:color w:val="000000" w:themeColor="text1"/>
          <w:sz w:val="16"/>
          <w:szCs w:val="16"/>
        </w:rPr>
        <w:t>Состав Центра</w:t>
      </w:r>
    </w:p>
    <w:p w14:paraId="15D6ADA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состав Инженерного Центра входили:</w:t>
      </w:r>
    </w:p>
    <w:p w14:paraId="67D0EA0F" w14:textId="77777777" w:rsidR="00B774B1" w:rsidRPr="00507A31" w:rsidRDefault="00B774B1" w:rsidP="00507A31">
      <w:pPr>
        <w:numPr>
          <w:ilvl w:val="0"/>
          <w:numId w:val="2"/>
        </w:numPr>
        <w:ind w:left="0" w:firstLine="0"/>
        <w:jc w:val="both"/>
        <w:rPr>
          <w:color w:val="000000" w:themeColor="text1"/>
          <w:sz w:val="16"/>
          <w:szCs w:val="16"/>
        </w:rPr>
      </w:pPr>
      <w:r w:rsidRPr="00507A31">
        <w:rPr>
          <w:color w:val="000000" w:themeColor="text1"/>
          <w:sz w:val="16"/>
          <w:szCs w:val="16"/>
        </w:rPr>
        <w:t>П. А. Пальчинский — основной руководитель всего Центра, в ведении коего кроме общего руководства работой всей организации были вопросы военные, финансовые и основных заграничных связей;</w:t>
      </w:r>
    </w:p>
    <w:p w14:paraId="54B02E18" w14:textId="77777777" w:rsidR="00B774B1" w:rsidRPr="00507A31" w:rsidRDefault="00B774B1" w:rsidP="00507A31">
      <w:pPr>
        <w:numPr>
          <w:ilvl w:val="0"/>
          <w:numId w:val="2"/>
        </w:numPr>
        <w:ind w:left="0" w:firstLine="0"/>
        <w:jc w:val="both"/>
        <w:rPr>
          <w:color w:val="000000" w:themeColor="text1"/>
          <w:sz w:val="16"/>
          <w:szCs w:val="16"/>
        </w:rPr>
      </w:pPr>
      <w:r w:rsidRPr="00507A31">
        <w:rPr>
          <w:color w:val="000000" w:themeColor="text1"/>
          <w:sz w:val="16"/>
          <w:szCs w:val="16"/>
        </w:rPr>
        <w:t>Л. Г. Рабинович — угольная промышленность, и мелкие отрасли промышленности, и общий сводный промышленный план;</w:t>
      </w:r>
    </w:p>
    <w:p w14:paraId="05E53719" w14:textId="77777777" w:rsidR="00B774B1" w:rsidRPr="00507A31" w:rsidRDefault="00B774B1" w:rsidP="00507A31">
      <w:pPr>
        <w:numPr>
          <w:ilvl w:val="0"/>
          <w:numId w:val="2"/>
        </w:numPr>
        <w:ind w:left="0" w:firstLine="0"/>
        <w:jc w:val="both"/>
        <w:rPr>
          <w:color w:val="000000" w:themeColor="text1"/>
          <w:sz w:val="16"/>
          <w:szCs w:val="16"/>
        </w:rPr>
      </w:pPr>
      <w:r w:rsidRPr="00507A31">
        <w:rPr>
          <w:color w:val="000000" w:themeColor="text1"/>
          <w:sz w:val="16"/>
          <w:szCs w:val="16"/>
        </w:rPr>
        <w:t>инж. Хренников [металлургия и металлообрабатывающая промышленность;]</w:t>
      </w:r>
    </w:p>
    <w:p w14:paraId="457F6E88" w14:textId="77777777" w:rsidR="00B774B1" w:rsidRPr="00507A31" w:rsidRDefault="00B774B1" w:rsidP="00507A31">
      <w:pPr>
        <w:numPr>
          <w:ilvl w:val="0"/>
          <w:numId w:val="2"/>
        </w:numPr>
        <w:ind w:left="0" w:firstLine="0"/>
        <w:jc w:val="both"/>
        <w:rPr>
          <w:color w:val="000000" w:themeColor="text1"/>
          <w:sz w:val="16"/>
          <w:szCs w:val="16"/>
        </w:rPr>
      </w:pPr>
      <w:r w:rsidRPr="00507A31">
        <w:rPr>
          <w:color w:val="000000" w:themeColor="text1"/>
          <w:sz w:val="16"/>
          <w:szCs w:val="16"/>
        </w:rPr>
        <w:t>и проф. Чарновский металлургия и металлообрабатывающая промышленность;</w:t>
      </w:r>
    </w:p>
    <w:p w14:paraId="44C036F1" w14:textId="77777777" w:rsidR="00B774B1" w:rsidRPr="00507A31" w:rsidRDefault="00B774B1" w:rsidP="00507A31">
      <w:pPr>
        <w:numPr>
          <w:ilvl w:val="0"/>
          <w:numId w:val="2"/>
        </w:numPr>
        <w:ind w:left="0" w:firstLine="0"/>
        <w:jc w:val="both"/>
        <w:rPr>
          <w:color w:val="000000" w:themeColor="text1"/>
          <w:sz w:val="16"/>
          <w:szCs w:val="16"/>
        </w:rPr>
      </w:pPr>
      <w:r w:rsidRPr="00507A31">
        <w:rPr>
          <w:color w:val="000000" w:themeColor="text1"/>
          <w:sz w:val="16"/>
          <w:szCs w:val="16"/>
        </w:rPr>
        <w:t> инж. А. А. Федотов [текстильная промышленность]</w:t>
      </w:r>
    </w:p>
    <w:p w14:paraId="1D0885BB" w14:textId="77777777" w:rsidR="00B774B1" w:rsidRPr="00507A31" w:rsidRDefault="00B774B1" w:rsidP="00507A31">
      <w:pPr>
        <w:numPr>
          <w:ilvl w:val="0"/>
          <w:numId w:val="2"/>
        </w:numPr>
        <w:ind w:left="0" w:firstLine="0"/>
        <w:jc w:val="both"/>
        <w:rPr>
          <w:color w:val="000000" w:themeColor="text1"/>
          <w:sz w:val="16"/>
          <w:szCs w:val="16"/>
        </w:rPr>
      </w:pPr>
      <w:r w:rsidRPr="00507A31">
        <w:rPr>
          <w:color w:val="000000" w:themeColor="text1"/>
          <w:sz w:val="16"/>
          <w:szCs w:val="16"/>
        </w:rPr>
        <w:t>инж. Куприянов текстильная промышленность</w:t>
      </w:r>
    </w:p>
    <w:p w14:paraId="6AFF2A07" w14:textId="77777777" w:rsidR="00B774B1" w:rsidRPr="00507A31" w:rsidRDefault="00B774B1" w:rsidP="00507A31">
      <w:pPr>
        <w:numPr>
          <w:ilvl w:val="0"/>
          <w:numId w:val="2"/>
        </w:numPr>
        <w:ind w:left="0" w:firstLine="0"/>
        <w:jc w:val="both"/>
        <w:rPr>
          <w:color w:val="000000" w:themeColor="text1"/>
          <w:sz w:val="16"/>
          <w:szCs w:val="16"/>
        </w:rPr>
      </w:pPr>
      <w:r w:rsidRPr="00507A31">
        <w:rPr>
          <w:color w:val="000000" w:themeColor="text1"/>
          <w:sz w:val="16"/>
          <w:szCs w:val="16"/>
        </w:rPr>
        <w:t> инж. В А. Ларичев — нефтяная промышленность и топливоснабжение</w:t>
      </w:r>
    </w:p>
    <w:p w14:paraId="59FC393D" w14:textId="77777777" w:rsidR="00B774B1" w:rsidRPr="00507A31" w:rsidRDefault="00B774B1" w:rsidP="00507A31">
      <w:pPr>
        <w:numPr>
          <w:ilvl w:val="0"/>
          <w:numId w:val="2"/>
        </w:numPr>
        <w:ind w:left="0" w:firstLine="0"/>
        <w:jc w:val="both"/>
        <w:rPr>
          <w:color w:val="000000" w:themeColor="text1"/>
          <w:sz w:val="16"/>
          <w:szCs w:val="16"/>
        </w:rPr>
      </w:pPr>
      <w:r w:rsidRPr="00507A31">
        <w:rPr>
          <w:color w:val="000000" w:themeColor="text1"/>
          <w:sz w:val="16"/>
          <w:szCs w:val="16"/>
        </w:rPr>
        <w:t>проф. Л. К. Рамзин — топливоснабжение и энергетика.</w:t>
      </w:r>
    </w:p>
    <w:p w14:paraId="3C2CCC2D"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Кроме того, к составу центра надо отнести и</w:t>
      </w:r>
    </w:p>
    <w:p w14:paraId="1DA1AD39" w14:textId="77777777" w:rsidR="00B774B1" w:rsidRPr="00507A31" w:rsidRDefault="00B774B1" w:rsidP="00507A31">
      <w:pPr>
        <w:numPr>
          <w:ilvl w:val="0"/>
          <w:numId w:val="3"/>
        </w:numPr>
        <w:ind w:left="0" w:firstLine="0"/>
        <w:jc w:val="both"/>
        <w:rPr>
          <w:color w:val="000000" w:themeColor="text1"/>
          <w:sz w:val="16"/>
          <w:szCs w:val="16"/>
        </w:rPr>
      </w:pPr>
      <w:r w:rsidRPr="00507A31">
        <w:rPr>
          <w:color w:val="000000" w:themeColor="text1"/>
          <w:sz w:val="16"/>
          <w:szCs w:val="16"/>
        </w:rPr>
        <w:t> инж. П. И. Красовский — пути сообщения, хотя последний как правило не присутствовал на тех заседаниях Центра, на которых я был; тоже самое надо сказать и относительно инж. Куприянова.</w:t>
      </w:r>
    </w:p>
    <w:p w14:paraId="5E7F132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Ввиду естественного отсутствия жестких организационных форм я затрудняюсь поэтому окончательно отграничить членов самого Центра от членов его отраслевых групп.</w:t>
      </w:r>
    </w:p>
    <w:p w14:paraId="4C0DFEB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Формальных выборов Президиума Центра при мне не было. Однако Центр фактически имел Президиум, состоявший из следующих лиц: инж. П. А. Пальчинский, инж. Л. Г. Рабинович, и инж. Хренников. После ареста Рабиновича его фактически заменил Федотов.</w:t>
      </w:r>
    </w:p>
    <w:p w14:paraId="4FF21DAE" w14:textId="77777777" w:rsidR="00B774B1" w:rsidRPr="00507A31" w:rsidRDefault="00B774B1" w:rsidP="00507A31">
      <w:pPr>
        <w:numPr>
          <w:ilvl w:val="0"/>
          <w:numId w:val="4"/>
        </w:numPr>
        <w:ind w:left="0" w:firstLine="0"/>
        <w:jc w:val="both"/>
        <w:rPr>
          <w:color w:val="000000" w:themeColor="text1"/>
          <w:sz w:val="16"/>
          <w:szCs w:val="16"/>
        </w:rPr>
      </w:pPr>
      <w:r w:rsidRPr="00507A31">
        <w:rPr>
          <w:color w:val="000000" w:themeColor="text1"/>
          <w:sz w:val="16"/>
          <w:szCs w:val="16"/>
        </w:rPr>
        <w:t>Организационная структура</w:t>
      </w:r>
    </w:p>
    <w:p w14:paraId="16697C9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целях максимальной конспирации вся организация была построена по принципу обособленных цепочных связей. А именно по отдельным отраслям промышленности существовали отдельные головные звенья, игравшие роль соответствующих отраслевых центров, которые устанавливали связь далее к низу, т. е. к низовым и периферийным ячейкам.</w:t>
      </w:r>
    </w:p>
    <w:p w14:paraId="67DCB724"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Благодаря такой организации члены различных цепочек не знали друг друга, и даже верховые и низовые звенья одной и той же цепочки также не находились в непосредственном контакте. Такая система цепочных связей обеспечивала минимальные разрывы организации в случае провала ее отдельных членов.</w:t>
      </w:r>
    </w:p>
    <w:p w14:paraId="196AD29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Вследствие цепочного типа организации и отсутствия списков ее членов, количественного учета размеров организации не было. Поэтому представление об ее объеме можно составить лишь на основании грубоглазомерной субъективной оценки. По моему впечатлению общий объем Московской организации, непосредственно связанной с Центром, можно оценивать ок. 40-50 человек, а суммарное количество членов организации, тяготеющих непосредственно к Центру — цифрою порядка 400-500 человек. Общее же количество участников организации включая низовых работников доходило до 2000 чел.</w:t>
      </w:r>
    </w:p>
    <w:p w14:paraId="321CF37F" w14:textId="77777777" w:rsidR="00B774B1" w:rsidRPr="00507A31" w:rsidRDefault="00B774B1" w:rsidP="00507A31">
      <w:pPr>
        <w:numPr>
          <w:ilvl w:val="0"/>
          <w:numId w:val="5"/>
        </w:numPr>
        <w:ind w:left="0" w:firstLine="0"/>
        <w:jc w:val="both"/>
        <w:rPr>
          <w:color w:val="000000" w:themeColor="text1"/>
          <w:sz w:val="16"/>
          <w:szCs w:val="16"/>
        </w:rPr>
      </w:pPr>
      <w:r w:rsidRPr="00507A31">
        <w:rPr>
          <w:color w:val="000000" w:themeColor="text1"/>
          <w:sz w:val="16"/>
          <w:szCs w:val="16"/>
        </w:rPr>
        <w:t>Возникновение Промышленной Партии</w:t>
      </w:r>
    </w:p>
    <w:p w14:paraId="1BB61B6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Постепенно росший охват организацией Центра отдельных отраслей промышленности и одновременное увеличение количества членов заставило поднять в Инженерном Центре вопрос относительно партийного оформления всей организации.</w:t>
      </w:r>
    </w:p>
    <w:p w14:paraId="344687E7"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Этот вопрос возник в конце 1927 года, был поднят П. А. Пальчинским, Л. Г. Рабиновичем и др., и подвергался обсуждению на совещаниях Центра.</w:t>
      </w:r>
    </w:p>
    <w:p w14:paraId="10D86CF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Толчком к этому послужило совещание с проф. А. В. Чаяновым, ознакомившим Центр о наличии и о программных установках Трудовой Крестьянской Партии. Последующая работа Центра шла в направлении оформления новой партии, каковая в начале имела ряд вариантов названий. Наиболее употребительным названием для вновь организуемой партии была «Промышленная Партия».</w:t>
      </w:r>
    </w:p>
    <w:p w14:paraId="59D8A3C8"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своим программным установкам, которые будут изложены ниже, эта партия должна была представлять интересы промышленной буржуазии и крепкого единоличного крестьянского хозяйства. Основным стержнем Промышленной Партии в ближайшее время должны были являться инженерно-технические кадры промышленности.</w:t>
      </w:r>
    </w:p>
    <w:p w14:paraId="6710130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Таким образом, логически Инженерный Центр являлся по существу Центральным Комитетом Промышленной Партии.</w:t>
      </w:r>
    </w:p>
    <w:p w14:paraId="6EB62E62" w14:textId="77777777" w:rsidR="00B774B1" w:rsidRPr="00507A31" w:rsidRDefault="00B774B1" w:rsidP="00507A31">
      <w:pPr>
        <w:numPr>
          <w:ilvl w:val="0"/>
          <w:numId w:val="6"/>
        </w:numPr>
        <w:ind w:left="0" w:firstLine="0"/>
        <w:jc w:val="both"/>
        <w:rPr>
          <w:color w:val="000000" w:themeColor="text1"/>
          <w:sz w:val="16"/>
          <w:szCs w:val="16"/>
        </w:rPr>
      </w:pPr>
      <w:r w:rsidRPr="00507A31">
        <w:rPr>
          <w:color w:val="000000" w:themeColor="text1"/>
          <w:sz w:val="16"/>
          <w:szCs w:val="16"/>
        </w:rPr>
        <w:t>Отраслевые и периферийные центры</w:t>
      </w:r>
    </w:p>
    <w:p w14:paraId="5E1E4CB4"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Известный мне состав московских отраслевых центров таков:</w:t>
      </w:r>
    </w:p>
    <w:p w14:paraId="4B716CD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Угольная промышленность — И. И. Федорович, инж. Скоруто, Назимов, Волкович А. Д.</w:t>
      </w:r>
    </w:p>
    <w:p w14:paraId="5969003E"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Нефть — проф. И. Н. Стрижов, инж. Покровский (Госплан СССР) и инж. Н. Н. Смирнов (ВСНХ СССР).</w:t>
      </w:r>
    </w:p>
    <w:p w14:paraId="2C3B34B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Металл — Грум-Гржимайло, Белоножкин, Белманов, Кауфман, Неймайер, инж. Кутский Н. М., инж. Р. Я. Гартван, Лист, Липгарт и Подьяконов.</w:t>
      </w:r>
    </w:p>
    <w:p w14:paraId="7661794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Текстильная — Куприянов, Лебедев А. А., Лопатин, Нольде.</w:t>
      </w:r>
    </w:p>
    <w:p w14:paraId="1475EF10"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Химическая — инж. В. П. Кравец (ВСНХ СССР) и инж. В. П. Камзолкин, проф. Б. С. Швецов, проф. Шпитальский, Лотавский, Лебедкин, Булгаков,</w:t>
      </w:r>
    </w:p>
    <w:p w14:paraId="0B60E5B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Торф: В. Н. Вальяжников, Кирпичников.</w:t>
      </w:r>
    </w:p>
    <w:p w14:paraId="1F58AFF0"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Лесная: В. П. Майер и Квятковский</w:t>
      </w:r>
    </w:p>
    <w:p w14:paraId="28624E9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Цементная — М. М. Погосов и А. И. Ставровский.</w:t>
      </w:r>
    </w:p>
    <w:p w14:paraId="5E6E173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Электротехническая — Б. И. Угримов.</w:t>
      </w:r>
    </w:p>
    <w:p w14:paraId="407CF4A4"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Экономическая] группа: Гуревич, Белоцерковский, Соколовский (ВСНХ СССР).</w:t>
      </w:r>
    </w:p>
    <w:p w14:paraId="14C20DC0"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Топливоснабжение: Прорвич и Покровский (ВСНХ СССР), Цванцигер (Госпл. РСФСР), Украина — Целибеев С. Н.</w:t>
      </w:r>
    </w:p>
    <w:p w14:paraId="73962DE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lastRenderedPageBreak/>
        <w:t>Юбщая увязка промышленного плана в целом и мелкие отрасли промышленности — проф. Калинников И. А.</w:t>
      </w:r>
    </w:p>
    <w:p w14:paraId="636AF43E"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Энергетическая — М. Л. Каменецкий, Н. Н. Вашков, проф. А. А. Горев, инж. Кукель-Краевский, Осадчий, Н. И. Сушкин.</w:t>
      </w:r>
    </w:p>
    <w:p w14:paraId="1928D0C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Ленингр[адские] группы — проф. М. В. Кирпичев, А. А. Котомин, В. Н. Шретель.</w:t>
      </w:r>
    </w:p>
    <w:p w14:paraId="4DDD5AF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Могэс: Кирпичников, Яновицкий, Крылов, Савелов.</w:t>
      </w:r>
    </w:p>
    <w:p w14:paraId="3FF7DAA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Энергетика военной промышленности: инж. Е. Ф. Евреинов и инж. Б. Н. Домонтович (Теплотехнический Институт).</w:t>
      </w:r>
    </w:p>
    <w:p w14:paraId="228BE42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Энергетика транспорта: Беседовский А. К. и Н. Ф. Лавров.</w:t>
      </w:r>
    </w:p>
    <w:p w14:paraId="6BBB86F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НКПС — Мекк, Борисов И. Н., П. И. Красовский, П. С. Янушевский, М. Е. Правосудович, А. Ф. Величко, Шухов.</w:t>
      </w:r>
    </w:p>
    <w:p w14:paraId="143504A0"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Профсоюз инж[енерно-]технических работников — С. Д. Шеин.</w:t>
      </w:r>
    </w:p>
    <w:p w14:paraId="50FF3AC7"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ВАИ и Политехническое о[бщест]во: Н. Н. Львов, А. К. Шадрин, А. А. Надежин.</w:t>
      </w:r>
    </w:p>
    <w:p w14:paraId="6A7EB72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Более полный состав отраслевых центров и работавших с ними в контакте сотрудников ввиду отмеченной выше структуры организации могут дать только члены организации, руководившие соответствующими отраслями промышленности.</w:t>
      </w:r>
    </w:p>
    <w:p w14:paraId="1A459C0E"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той же причине состав периферийных центров могут указать лишь члены отраслевых центров, ибо только они были непосредственно связаны с периферией.</w:t>
      </w:r>
    </w:p>
    <w:p w14:paraId="7B8077BC"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общем можно сделать вывод, что за исключением сельского хозяйства почти все секции и директораты Госплана СССР и ВСНХ СССР были охвачены Центром.</w:t>
      </w:r>
    </w:p>
    <w:p w14:paraId="0A7E5F69" w14:textId="77777777" w:rsidR="00B774B1" w:rsidRPr="00507A31" w:rsidRDefault="00B774B1" w:rsidP="00507A31">
      <w:pPr>
        <w:numPr>
          <w:ilvl w:val="0"/>
          <w:numId w:val="7"/>
        </w:numPr>
        <w:ind w:left="0" w:firstLine="0"/>
        <w:jc w:val="both"/>
        <w:rPr>
          <w:color w:val="000000" w:themeColor="text1"/>
          <w:sz w:val="16"/>
          <w:szCs w:val="16"/>
        </w:rPr>
      </w:pPr>
      <w:r w:rsidRPr="00507A31">
        <w:rPr>
          <w:color w:val="000000" w:themeColor="text1"/>
          <w:sz w:val="16"/>
          <w:szCs w:val="16"/>
        </w:rPr>
        <w:t>Политическая и экономическая программа</w:t>
      </w:r>
    </w:p>
    <w:p w14:paraId="2D1EF937"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Ввиду разнообразия политических настроений отдельных членов Центра вопрос о выработке общей платформы прорабатывался в течение довольно длинного периода времени, причем естественно имелись весьма различные политические и экономические установки.</w:t>
      </w:r>
    </w:p>
    <w:p w14:paraId="184B840E"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Определенное влияние на выявление общей платформы оказывали и промышленные эмигрантские круги. Однако основные контуры программы в 1928 году уже определились. Надо подчеркнуть, что последнюю нельзя рассматривать как получившую вполне четкие и точные формы, ибо никакой писаной программы или устава организации не существовало. Поэтому отдельные пункты и стороны программы могли подвергаться разным толкованиям и освещениям со стороны отдельных членов Центра и его органов. Ниже я излагаю основные положения в том виде, как они выявились в 1928 году.</w:t>
      </w:r>
    </w:p>
    <w:p w14:paraId="2415D518"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Форма правления намечалась в виде буржуазно-демократической республики. По этому вопросу имелись различные предложения, вплоть до монархической реставрации. Однако в процессе обсуждения такая постановка была отвергнута, ибо старая династия совершенно дискредитирована; выдвигать же какую либо новую династию заставило бы итти на опасную авантюру, а главное монархическая реставрация встретила бы энергичный отпор со стороны широких масс населения, оттолкнув их от Центра.</w:t>
      </w:r>
    </w:p>
    <w:p w14:paraId="749CC28C"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Законодательный орган намечен был в виде парламента, избираемого путем всеобщего избирательного права, но при помощи соответствующей сложной системы выборов, которая обеспечила бы желательный состав парламента.</w:t>
      </w:r>
    </w:p>
    <w:p w14:paraId="3CE063F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Оба вышеуказанных положения мыслились однако лишь после окончательного укрепления нового строя; на первое же время после контр-революционного переворота считали необходимой военную диктатуру.</w:t>
      </w:r>
    </w:p>
    <w:p w14:paraId="0768560D"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области промышленности основной принцип сводился сначала к возврату предприятий прежним их владельцам. При реализации этого однако были очевидны громадные затруднения, ибо большинство прежних предприятий коренным образом изменились: часть их совершенно ликвидирована, или находится в нерабочем состоянии, наоборот другая часть старых предприятий настолько расширилась или подверглась столь радикальной реконструкции, что их ценность увеличилась иногда в несколько раз. Наконец, после Октябрьской Революции появилось большое количество совершенно новых предприятий, общая мощность и ценность коих значительно превосходит суммарную ценность прежних дореволюционных предприятий. Поэтому после согласования с эмигрантскими промышленными руководящими кругами был намечен своеобразный путь акционирования новых и сильно реконструированных предприятий. При таком подходе подобные предприятия обезличиваются, и прежние владельцы ликвидированных или радикально изменившихся предприятий компенсируются выдачей им соответствующего количества акций. Благодаря общему значительному возрастанию капитальной стоимости предприятий к моменту контр-революционного переворота по сравнению с дореволюционной стоимостью, а также путем искусственных оценочных мероприятий, такой путь открывал возможность после компенсации прежних владельцев сохранить в руках государства еще значительное количество свободных акций и средств. Эти свободные средства и намечено использовать на частичную компенсацию прежних владельцев и на общегосударственные нужды.</w:t>
      </w:r>
    </w:p>
    <w:p w14:paraId="48B9D73C"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области сельского хозяйства основная установка делалась на крепкие индивидуальные хозяйства с частичным выкупом земель у прежних владельцев. Таким образом возврат земель прежним владельцам отвергался; земля закреплялась за крестьянами в виде индивидуальных отрубных хозяйств. Компенсация же прежних землевладельцев намечалась вышеуказанным образом. Подобные установки в области сельского хозяйства должны были обеспечить Центру энергичную поддержку со стороны широких крестьянских масс, особенно при проведении Соввластью коллективизации, которая по расчетам Центра должна была вызвать их сильное недовольство и даже открытые выступления.</w:t>
      </w:r>
    </w:p>
    <w:p w14:paraId="1C83009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Вопросы местного самоуправления, насколько мне известно, не получили еще сколько-нибудь &lt;ясного&gt; освещения, ибо на первое время после контр-революционного переворота, как уже отмечалось, мыслится период военной диктатуры с назначением начальников губерний, уездов и т. п. в административном порядке.</w:t>
      </w:r>
    </w:p>
    <w:p w14:paraId="68B9D0D4"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области налогового обложения намечалась комбинированная система прямых и косвенных налогов, тоже не получившая по моим сведениям достаточной проработки.</w:t>
      </w:r>
    </w:p>
    <w:p w14:paraId="3B8D558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области внешней торговли — отмена ее монополии и система покровительственных пошлин для стран, которые будут помогать при интервенции.</w:t>
      </w:r>
    </w:p>
    <w:p w14:paraId="38169680"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Таким образом, вышеизложенная программа защищала интересы промышленной буржуазии и крепкого единоличного крестьянского хозяйства.</w:t>
      </w:r>
    </w:p>
    <w:p w14:paraId="55987567"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Для осуществления этой программы основная политическая задача сводилась прежде всего к свержению Советской Власти при помощи вооруженного контр-революционного переворота со ставкой на интервенцию извне.</w:t>
      </w:r>
    </w:p>
    <w:p w14:paraId="54DCE681" w14:textId="77777777" w:rsidR="00B774B1" w:rsidRPr="00507A31" w:rsidRDefault="00B774B1" w:rsidP="00507A31">
      <w:pPr>
        <w:numPr>
          <w:ilvl w:val="0"/>
          <w:numId w:val="8"/>
        </w:numPr>
        <w:ind w:left="0" w:firstLine="0"/>
        <w:jc w:val="both"/>
        <w:rPr>
          <w:color w:val="000000" w:themeColor="text1"/>
          <w:sz w:val="16"/>
          <w:szCs w:val="16"/>
        </w:rPr>
      </w:pPr>
      <w:r w:rsidRPr="00507A31">
        <w:rPr>
          <w:color w:val="000000" w:themeColor="text1"/>
          <w:sz w:val="16"/>
          <w:szCs w:val="16"/>
        </w:rPr>
        <w:t>Тактическая платформа</w:t>
      </w:r>
    </w:p>
    <w:p w14:paraId="3983C6E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начальное время существования Инженерного Центра, совпадавшее с концом восстановительного периода в народном хозяйстве, поскольку мне известно с чужих слов, основная тактическая установка Центра сводилась к максимальной охране предприятий крупных промышленников, связанных с Центром. Кроме сохранения от разрушения таких предприятий Центр в это время добивался и их улучшения за счет государства, чтобы таким образом прежние промышленники после контр-революционного переворота не только получили бы обратно имевшиеся у них капитальные ценности, но и с возможно большим приростом последних.</w:t>
      </w:r>
    </w:p>
    <w:p w14:paraId="0F72057A"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контр-революционного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w:t>
      </w:r>
    </w:p>
    <w:p w14:paraId="2448DB5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Начальная, наиболее примитивная форма вредительства выражалась в прямой технической порче отдельных промышленных объектов и их частей. Этот метод, связанный со значительным риском для исполнителей вследствие усиления рабочего и общественного контроля и охраны предприятий, давал в то время и относительно небольшой эффект, выводя из строя относительно небольшие участки или единицы народного хозяйства. Поэтому от прямого технического вредительства Центр быстро перешел к «плановому» вредительству, которое сводилось к таким способам планирования отдельных отраслей народного хозяйства, которые искусственно замедляли темп экономического развития страны, создавали диспропорцию между отдельными участками народного хозяйства и приводили к экономическим кризисам, охватывающим уже все народное хозяйство.</w:t>
      </w:r>
    </w:p>
    <w:p w14:paraId="1A1326B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Отмеченный выше охват плановых органов Центром создавал ему почти неограниченную свободу действий в плановой области. Наконец, примерно в 1928 году, с появлением надежд на близость контр-революционного переворота более широко применяется метод вредительства 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и таким образом ненужные или бесполезные для данного момента. Такой метод омертвления капиталов и использования их с низкой эффективностью: 1) отрывал капитальные средства, сокращал масштаб эффективного строительства и темп экономического развития страны, а 2) за счет сокращения удовлетворения текущих потребностей, благодаря отрыву средств на малоэффективное в данный момент строительство, увеличивало советское наследство для нового правительства, вызывая в то же время рост недовольства широких масс населения.</w:t>
      </w:r>
    </w:p>
    <w:p w14:paraId="6BC033D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При основной ставке на интервенцию, которая ожидалась примерно в 1930 году, основной целью являлось естественно приурочивание всеобщего кризиса и паралича хозяйственной жизни страны к моменту интервенции, значительно облегчая последнюю и обеспечивая уверенность в ее успехе с минимальными усилиями.</w:t>
      </w:r>
    </w:p>
    <w:p w14:paraId="479162EC" w14:textId="77777777" w:rsidR="00B774B1" w:rsidRPr="00507A31" w:rsidRDefault="00B774B1" w:rsidP="00507A31">
      <w:pPr>
        <w:numPr>
          <w:ilvl w:val="0"/>
          <w:numId w:val="9"/>
        </w:numPr>
        <w:ind w:left="0" w:firstLine="0"/>
        <w:jc w:val="both"/>
        <w:rPr>
          <w:color w:val="000000" w:themeColor="text1"/>
          <w:sz w:val="16"/>
          <w:szCs w:val="16"/>
        </w:rPr>
      </w:pPr>
      <w:r w:rsidRPr="00507A31">
        <w:rPr>
          <w:color w:val="000000" w:themeColor="text1"/>
          <w:sz w:val="16"/>
          <w:szCs w:val="16"/>
        </w:rPr>
        <w:t>Ставка на интервенцию</w:t>
      </w:r>
    </w:p>
    <w:p w14:paraId="2F8CCAF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 xml:space="preserve">Как уже отмечалось выше, основным звеном в построениях Центра являлась ставка на интервенцию извне. По сообщениям П. А. Пальчинского основной руководительницей интервенции должна была являться Франция; но непосредственное осуществление последней намечалось при помощи военных сил Польши и Румынии с привлечением прибалтийских государств. По указаниям Пальчинского существовали также, но весьма сомнительные, надежды на вовлечение Чехо-Словакии и Юго-Славии. В основном построения шли, однако, на Польшу и Румынию. Насколько я мог заключить по кратким информациям Пальчинского, ввиду трудностей непосредственных связей с иностранными правительствами, необходимости длительных переговоров по этому вопросу, безусловной необходимости, чтобы переговоры велись лицами, обладающими достаточным весом в глазах французского правительства Центр не вел непосредственных переговоров с последним, а действовал через влиятельных эмигрантов, находившихся за границей и объединенных через Русский государственный комитет. Такие переговоры с Брианом и </w:t>
      </w:r>
      <w:r w:rsidRPr="00507A31">
        <w:rPr>
          <w:color w:val="000000" w:themeColor="text1"/>
          <w:sz w:val="16"/>
          <w:szCs w:val="16"/>
        </w:rPr>
        <w:lastRenderedPageBreak/>
        <w:t>Пуанкаре вели, напр., Мещерский и П. П. Рябушинский. В свою очередь, со стороны Центра связь с последними держал П. А. Пальчинский, а с текстильными эмигрантами также инж. А. А. Федотов. По сообщениям Л. Г. Рабиновича Дворжанчик вел аналогичные переговоры с польским правительством. Основной смысл переговоров сводился к тому, что имеются реальные надежды на интервенцию, при чем вероятным сроком ее намечался примерно 1930 год. Во главе военных сил при интервенции намечался ген. Лукомский. Для пропаганды интервенции заграницей предполагалось установить связь с Гессеном и Каминкой (газ. Руль).</w:t>
      </w:r>
    </w:p>
    <w:p w14:paraId="4753D174"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поводу связи с иностранными штабами и посольствами в СССР из имевших место сообщений на заседаниях Центра я могу указать следующий факт: сообщение И. Н. Стрижова о переговорах с английским штабом по поводу углубления Туапсинского рейда и трассировке нефтепровода Грозный — Туапсе. Техника ведения этих переговоров и пути связи с английским штабом на совещании Центра понятно не сообщались. Подробности по этому вопросу могут дать И. Н. Стрижов и Ларичев В. А., как принимавшие непосредственное участие в работах по проектировке нефтепровода.</w:t>
      </w:r>
    </w:p>
    <w:p w14:paraId="759739E9" w14:textId="77777777" w:rsidR="00B774B1" w:rsidRPr="00507A31" w:rsidRDefault="00B774B1" w:rsidP="00507A31">
      <w:pPr>
        <w:numPr>
          <w:ilvl w:val="0"/>
          <w:numId w:val="10"/>
        </w:numPr>
        <w:ind w:left="0" w:firstLine="0"/>
        <w:jc w:val="both"/>
        <w:rPr>
          <w:color w:val="000000" w:themeColor="text1"/>
          <w:sz w:val="16"/>
          <w:szCs w:val="16"/>
        </w:rPr>
      </w:pPr>
      <w:r w:rsidRPr="00507A31">
        <w:rPr>
          <w:color w:val="000000" w:themeColor="text1"/>
          <w:sz w:val="16"/>
          <w:szCs w:val="16"/>
        </w:rPr>
        <w:t>Вооруженное восстание</w:t>
      </w:r>
    </w:p>
    <w:p w14:paraId="459599A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надежде на паралич экономической жизни страны к моменту интервенции Центр строил расчеты на стихийные восстания крестьян, волнения в Красной армии и в рабочих массах. При этом значительные надежды в данном отношении возлагались на пропаганду и агитацию в крестьянских и рабочих кругах со стороны Трудовой крестьянской партии, которая должна была охватить весьма большие массы населения.</w:t>
      </w:r>
    </w:p>
    <w:p w14:paraId="1733843E"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11. Состав будущего правительства</w:t>
      </w:r>
    </w:p>
    <w:p w14:paraId="2E64EE54"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Вопрос о составе будущего правительства обсуждался в разных совещаниях Центра в период 1927-1928 года. Окончательного состава правительства выработано не было; в отдельных совещаниях назывались следующие кандидатуры на министерские посты:</w:t>
      </w:r>
    </w:p>
    <w:p w14:paraId="7117E20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Премьер-министр — П. А. Пальчинский.</w:t>
      </w:r>
    </w:p>
    <w:p w14:paraId="3C464A3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Военный  « — П. А. Пальчинский и ген. Лукомский.</w:t>
      </w:r>
    </w:p>
    <w:p w14:paraId="6F9A9BA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Промышленности и торговли — П. П. Рябушинский, Л. Г. Рабинович, инж. Хренников и проф. Калинников.</w:t>
      </w:r>
    </w:p>
    <w:p w14:paraId="1952A79F"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Внутренних дел — П. П. Рябушинский, проф. Вормс и вскользь предлагалась кандидатура проф. Н. Ф. Чарновского.</w:t>
      </w:r>
    </w:p>
    <w:p w14:paraId="12F530BE"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Финансов — Вышнеградский, проф. И. X. Озеров, проф. Давыдов, Л. Г. Рабинович(?).</w:t>
      </w:r>
    </w:p>
    <w:p w14:paraId="635BA26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Путей сообщения — И. Н. Борисов, П. И. Красовский, Мекк.</w:t>
      </w:r>
    </w:p>
    <w:p w14:paraId="4D72C1F4"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Земледелия — кандидатура по предложению ТКП, А. В. Чаянов, Билимович.</w:t>
      </w:r>
    </w:p>
    <w:p w14:paraId="46879ABC"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Иностранных дел — акад. Тарле.</w:t>
      </w:r>
    </w:p>
    <w:p w14:paraId="5B480A1E"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На период военной диктатуры в качестве диктатора намечался П. А. Пальчинский.</w:t>
      </w:r>
    </w:p>
    <w:p w14:paraId="75B90958"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12. Связь с белой эмиграцией и иностранными фирмами</w:t>
      </w:r>
    </w:p>
    <w:p w14:paraId="56A87D1D"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Из политических связей мне известна связь с группой «Руль» — Гессен, Каминка — которую поддерживал П. А. Пальчинский. Эта газета финансировалась заграничными эмигрантскими кругами. Мне известны следующие связи с бывшими русскими промышленниками:</w:t>
      </w:r>
    </w:p>
    <w:p w14:paraId="18D49D0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металлической промышленности — с Мещерским через Пальчинского и кажется Чарновского, а с Демидовым через Чарновского и Хренникова.</w:t>
      </w:r>
    </w:p>
    <w:p w14:paraId="2F98C0B4"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текстильной промышленности — с П. П. Рябушинским через П. А. Пальчинского и А. А. Федотова; с Коноваловым и Морозовым через Федотова, с Бардычиным через Ларичева и Федотова.</w:t>
      </w:r>
    </w:p>
    <w:p w14:paraId="122584D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нефтяной промышленности — с Нобелем, Манташевым и Гукасовым через И. Н. Стрижова.</w:t>
      </w:r>
    </w:p>
    <w:p w14:paraId="446628F0"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угольной промышленности — с Дворжанчиком через Л. Г. Рабиновича.</w:t>
      </w:r>
    </w:p>
    <w:p w14:paraId="1E3D4A3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Кроме того, на одном совещании Центра Пальчинский назвал фамилию Крестовникова (жировая промышленность), однако, была ли реализована эта связь и через кого, для меня неизвестно.</w:t>
      </w:r>
    </w:p>
    <w:p w14:paraId="30540CD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Связь с бывшими промышленниками осуществлялась через разных лиц, ездивших заграницу; в частности, в 1927 году я по поручению Пальчинского и, кажется, Федотова имел один разговор в Париже с П. П. Рябушинским, касавшийся согласования основных положений программы Центра и в частности описанного выше способа акционирования предприятий.</w:t>
      </w:r>
    </w:p>
    <w:p w14:paraId="237CB80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Что касается сношений с заграничными фирмами, то я лично при поездках заграницу имел многочисленные переговоры с большим количеством фирм, но по научно-техническим вопросам. Фирмы, с которыми я беседовал по вопросам о советских концессиях, это фирма Metropolitan Vickers (Виккерс) в Англии осенью 1928 года и Westinghause (Вестингауз) в Америке осенью 1927 года. Однако эти разговоры никакого отношения к Центру не имели. Были ли у Центра связи с иностранными фирмами и с какими именно, я ничего определенного сказать не могу.</w:t>
      </w:r>
    </w:p>
    <w:p w14:paraId="02AC6898" w14:textId="77777777" w:rsidR="00B774B1" w:rsidRPr="00507A31" w:rsidRDefault="00B774B1" w:rsidP="00507A31">
      <w:pPr>
        <w:numPr>
          <w:ilvl w:val="0"/>
          <w:numId w:val="11"/>
        </w:numPr>
        <w:ind w:left="0" w:firstLine="0"/>
        <w:jc w:val="both"/>
        <w:rPr>
          <w:color w:val="000000" w:themeColor="text1"/>
          <w:sz w:val="16"/>
          <w:szCs w:val="16"/>
        </w:rPr>
      </w:pPr>
      <w:r w:rsidRPr="00507A31">
        <w:rPr>
          <w:color w:val="000000" w:themeColor="text1"/>
          <w:sz w:val="16"/>
          <w:szCs w:val="16"/>
        </w:rPr>
        <w:t>Денежные источники</w:t>
      </w:r>
    </w:p>
    <w:p w14:paraId="2B353B5A"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этому вопросу я могу сказать, что получение и распределение денег, носило нерегулярный и хаотичный характер. Учета движения денежных сумм, насколько мне известно, не было, ибо подавляющая масса средств поступала помимо Центра непосредственно в отраслевые и периферийные органы, и даже к отдельным лицам, что лишало возможности производить сколько нибудь правильный денежный учет. Основным источником денежных средств являлись бело-эмигрантские промышленные круги, при чем главная масса их шла по линии нефтяной, текстильной, угольной и металлической промышленности.</w:t>
      </w:r>
    </w:p>
    <w:p w14:paraId="3432C50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Получение денег, как и указанные выше связи с бывшими промышленниками, шли главным образом через отдельных лиц, ездивших за границу и провозивших с собою деньги, а частью через иностранные посольства в Москве. Здесь могу указать следующий факт: В 1927 г. Пальчинский обратился ко мне с просьбой найти лиц, имеющих связь с английским и французским посольствами. Я познакомил его с инж. Н. А. Давидовым, встречавшим в частном доме секретаря английского посольства Чарнока и инж. А. И. Мороз, который мог пойти во французское посольство под предлогом визы (июль 1927 г.). Пальчинский и использовал указанных лиц для получения денег. При своем возвращении из заграницы в конце 1927 г. инж. А. И. Мороз остановился в Варшаве, где и выполнил поручение Пальчинского, привезя оттуда директивы письменного порядка.</w:t>
      </w:r>
    </w:p>
    <w:p w14:paraId="1ABCE25A"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Распределение денег, поступавших в Центр, производилась под основным руководством П. А. Пальчинского, самим Пальчинским, а также Л. Г. Рабиновичем, Хренниковым, Стрижовым и Федотовым в соответствии с направлением этих средств по отраслям промышленности.</w:t>
      </w:r>
    </w:p>
    <w:p w14:paraId="5B445D80"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Денежные вопросы обсуждались на заседаниях Президиума Центра и поэтому вопросы отчетного характера и техники финансирования не выносились при мне на совещания Центра.</w:t>
      </w:r>
    </w:p>
    <w:p w14:paraId="68C3EA4A"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Общее количество денежных средств, прошедших через организацию, в силу отсутствия учета не поддается сколько нибудь надежному подсчету. На основании косвенных соображений и отрывочных сведений я бы мог оценить грубо приблизительно эту цифру около 300-500 тыс. руб. в год.</w:t>
      </w:r>
    </w:p>
    <w:p w14:paraId="3EFFFD36" w14:textId="77777777" w:rsidR="00B774B1" w:rsidRPr="00507A31" w:rsidRDefault="00B774B1" w:rsidP="00507A31">
      <w:pPr>
        <w:numPr>
          <w:ilvl w:val="0"/>
          <w:numId w:val="12"/>
        </w:numPr>
        <w:ind w:left="0" w:firstLine="0"/>
        <w:jc w:val="both"/>
        <w:rPr>
          <w:color w:val="000000" w:themeColor="text1"/>
          <w:sz w:val="16"/>
          <w:szCs w:val="16"/>
        </w:rPr>
      </w:pPr>
      <w:r w:rsidRPr="00507A31">
        <w:rPr>
          <w:color w:val="000000" w:themeColor="text1"/>
          <w:sz w:val="16"/>
          <w:szCs w:val="16"/>
        </w:rPr>
        <w:t> Отношение к правому уклону ВКП(б)</w:t>
      </w:r>
    </w:p>
    <w:p w14:paraId="7DA1E2C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Одним из основных методов вредительства, как указано выше, являлось искусственное снижение темпов развития народного хозяйства Республики. Эта линия по своему направлению совпадала таким образом с установками правого уклона Коммунистической партии, почему при проведении искусственно срезанных, минималистских планов через плановые и правительственные органы Республики у Центра создавался оригинальный блок с правыми коммунистами, который сильно облегчал Центру утверждение подобных планов.</w:t>
      </w:r>
    </w:p>
    <w:p w14:paraId="46859DD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Что касается влияния Центра на советские органы, то как уже указывалось выше основные плановые органы — соответствующие части ВСНХ СССР и Госплан СССР почти целиком находились в руках Центра.</w:t>
      </w:r>
    </w:p>
    <w:p w14:paraId="0F045DAE" w14:textId="77777777" w:rsidR="00B774B1" w:rsidRPr="00507A31" w:rsidRDefault="00B774B1" w:rsidP="00507A31">
      <w:pPr>
        <w:numPr>
          <w:ilvl w:val="0"/>
          <w:numId w:val="13"/>
        </w:numPr>
        <w:ind w:left="0" w:firstLine="0"/>
        <w:jc w:val="both"/>
        <w:rPr>
          <w:color w:val="000000" w:themeColor="text1"/>
          <w:sz w:val="16"/>
          <w:szCs w:val="16"/>
        </w:rPr>
      </w:pPr>
      <w:r w:rsidRPr="00507A31">
        <w:rPr>
          <w:color w:val="000000" w:themeColor="text1"/>
          <w:sz w:val="16"/>
          <w:szCs w:val="16"/>
        </w:rPr>
        <w:t>Задачи в разных отраслях народного хозяйства</w:t>
      </w:r>
    </w:p>
    <w:p w14:paraId="358A8E44"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На заседаниях Центра обсуждались и прорабатывались естественно лишь общие директивные линии направления деятельности организации в основных отраслях народного хозяйства. Детальная конкретная проработка отдельных вопросов производилась уже в отраслевых и связанных с ними периферийных органах Центра.</w:t>
      </w:r>
    </w:p>
    <w:p w14:paraId="1F80871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Основная общая директива для всех отраслей народного хозяйства сводилась прежде всего к сокращению темпа их развития. Кроме того на известных мне совещаниях Центра и отдельных групп членов организации намечались следующие мероприятия:</w:t>
      </w:r>
    </w:p>
    <w:p w14:paraId="20CA7224" w14:textId="77777777" w:rsidR="00B774B1" w:rsidRPr="00507A31" w:rsidRDefault="00B774B1" w:rsidP="00507A31">
      <w:pPr>
        <w:numPr>
          <w:ilvl w:val="0"/>
          <w:numId w:val="14"/>
        </w:numPr>
        <w:ind w:left="0" w:firstLine="0"/>
        <w:jc w:val="both"/>
        <w:rPr>
          <w:color w:val="000000" w:themeColor="text1"/>
          <w:sz w:val="16"/>
          <w:szCs w:val="16"/>
        </w:rPr>
      </w:pPr>
      <w:r w:rsidRPr="00507A31">
        <w:rPr>
          <w:color w:val="000000" w:themeColor="text1"/>
          <w:sz w:val="16"/>
          <w:szCs w:val="16"/>
        </w:rPr>
        <w:t>Металл: а) замедление темпа развертывания, что особенно ясно из сопоставления старой пятилетки, составленной под влиянием центра с 7 мил. тн. чугуна с последней пятилеткой в 17 мил. тн., т. е. старая пятилетка была сужена в 2</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bscript"/>
        </w:rPr>
        <w:t>2</w:t>
      </w:r>
      <w:r w:rsidRPr="00507A31">
        <w:rPr>
          <w:color w:val="000000" w:themeColor="text1"/>
          <w:sz w:val="16"/>
          <w:szCs w:val="16"/>
        </w:rPr>
        <w:t> раза.</w:t>
      </w:r>
    </w:p>
    <w:p w14:paraId="11899630"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б) Несоответствие сортамента металла потребности в нем.</w:t>
      </w:r>
    </w:p>
    <w:p w14:paraId="6653715F"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Диспропорция между производством и потреблением отдельных металлоизделий.</w:t>
      </w:r>
    </w:p>
    <w:p w14:paraId="2A3143B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г) Запоздания с постройкой и расширением заводов и коксовых установок.</w:t>
      </w:r>
    </w:p>
    <w:p w14:paraId="3EFFCD80" w14:textId="77777777" w:rsidR="00B774B1" w:rsidRPr="00507A31" w:rsidRDefault="00B774B1" w:rsidP="00507A31">
      <w:pPr>
        <w:numPr>
          <w:ilvl w:val="0"/>
          <w:numId w:val="15"/>
        </w:numPr>
        <w:ind w:left="0" w:firstLine="0"/>
        <w:jc w:val="both"/>
        <w:rPr>
          <w:color w:val="000000" w:themeColor="text1"/>
          <w:sz w:val="16"/>
          <w:szCs w:val="16"/>
        </w:rPr>
      </w:pPr>
      <w:r w:rsidRPr="00507A31">
        <w:rPr>
          <w:color w:val="000000" w:themeColor="text1"/>
          <w:sz w:val="16"/>
          <w:szCs w:val="16"/>
        </w:rPr>
        <w:t>Текстиль а) медленный темп развертывания; б) постройка новых фабрик при недостатке сырья; в) диспропорция между наличием и потребностью отдельных видов сырья; г) задержка с введением новых текстильных материалов.</w:t>
      </w:r>
    </w:p>
    <w:p w14:paraId="767B714D" w14:textId="77777777" w:rsidR="00B774B1" w:rsidRPr="00507A31" w:rsidRDefault="00B774B1" w:rsidP="00507A31">
      <w:pPr>
        <w:numPr>
          <w:ilvl w:val="0"/>
          <w:numId w:val="16"/>
        </w:numPr>
        <w:ind w:left="0" w:firstLine="0"/>
        <w:jc w:val="both"/>
        <w:rPr>
          <w:color w:val="000000" w:themeColor="text1"/>
          <w:sz w:val="16"/>
          <w:szCs w:val="16"/>
        </w:rPr>
      </w:pPr>
      <w:r w:rsidRPr="00507A31">
        <w:rPr>
          <w:color w:val="000000" w:themeColor="text1"/>
          <w:sz w:val="16"/>
          <w:szCs w:val="16"/>
        </w:rPr>
        <w:t>НКПС а) неправильное и нерациональное использование подвижного состава и паровозов; б) передача годных паровозов на кладбища; в) задержка с развитием провозоспособности по наиболее важным линиям, напр., Донбасс — Москва, Кузбасс — Урал и дальше, ставящая под удар и вопросы топливоснабжения; г) несмотря на полную неизбежность в ближайшем будущем </w:t>
      </w:r>
      <w:r w:rsidRPr="00507A31">
        <w:rPr>
          <w:color w:val="000000" w:themeColor="text1"/>
          <w:sz w:val="16"/>
          <w:szCs w:val="16"/>
          <w:vertAlign w:val="superscript"/>
        </w:rPr>
        <w:t>д</w:t>
      </w:r>
      <w:r w:rsidRPr="00507A31">
        <w:rPr>
          <w:color w:val="000000" w:themeColor="text1"/>
          <w:sz w:val="16"/>
          <w:szCs w:val="16"/>
        </w:rPr>
        <w:t>острого дефицита</w:t>
      </w:r>
      <w:r w:rsidRPr="00507A31">
        <w:rPr>
          <w:color w:val="000000" w:themeColor="text1"/>
          <w:sz w:val="16"/>
          <w:szCs w:val="16"/>
          <w:vertAlign w:val="superscript"/>
        </w:rPr>
        <w:t>е</w:t>
      </w:r>
      <w:r w:rsidRPr="00507A31">
        <w:rPr>
          <w:color w:val="000000" w:themeColor="text1"/>
          <w:sz w:val="16"/>
          <w:szCs w:val="16"/>
        </w:rPr>
        <w:t> спекающихся каменных углей в Донбассе, не принято никаких мер к подготовке паровозов для сжигания неспекающихся углей, между тем как этот вопрос является одним из центральных и наиболее решающих проблем топливоснабжения; д) не проводилась работа по радикальному улучшению экономичности использования топлива в паровозах путем выработки новых типов и конструкций для постройки новых паровозов; е) сильное отставание в развитии нефтефлота, являющегося узким местом нефтеснабжения.</w:t>
      </w:r>
    </w:p>
    <w:p w14:paraId="78B693F3" w14:textId="77777777" w:rsidR="00B774B1" w:rsidRPr="00507A31" w:rsidRDefault="00B774B1" w:rsidP="00507A31">
      <w:pPr>
        <w:numPr>
          <w:ilvl w:val="0"/>
          <w:numId w:val="17"/>
        </w:numPr>
        <w:ind w:left="0" w:firstLine="0"/>
        <w:jc w:val="both"/>
        <w:rPr>
          <w:color w:val="000000" w:themeColor="text1"/>
          <w:sz w:val="16"/>
          <w:szCs w:val="16"/>
        </w:rPr>
      </w:pPr>
      <w:r w:rsidRPr="00507A31">
        <w:rPr>
          <w:color w:val="000000" w:themeColor="text1"/>
          <w:sz w:val="16"/>
          <w:szCs w:val="16"/>
        </w:rPr>
        <w:t xml:space="preserve">Нефть а) замедление темпа развития путем сокращения объема буровых работ; б) сильное отставание нефтеразведок, являющееся также фактором замедления развития нефтедобычи и одновременно неизбежно увеличивающее количество пустых скважин; в) неправильное использование нефтяных газов; г) </w:t>
      </w:r>
      <w:r w:rsidRPr="00507A31">
        <w:rPr>
          <w:color w:val="000000" w:themeColor="text1"/>
          <w:sz w:val="16"/>
          <w:szCs w:val="16"/>
        </w:rPr>
        <w:lastRenderedPageBreak/>
        <w:t>медленный темп нефтепроводного строительства; д) замедление развития рационального нефтеперегонного оборудования и получения поэтому менее выгодного ассортимента нефтепродуктов; е) сильная задержка в развитии крекинг-установок.</w:t>
      </w:r>
    </w:p>
    <w:p w14:paraId="0F56D095" w14:textId="77777777" w:rsidR="00B774B1" w:rsidRPr="00507A31" w:rsidRDefault="00B774B1" w:rsidP="00507A31">
      <w:pPr>
        <w:numPr>
          <w:ilvl w:val="0"/>
          <w:numId w:val="18"/>
        </w:numPr>
        <w:ind w:left="0" w:firstLine="0"/>
        <w:jc w:val="both"/>
        <w:rPr>
          <w:color w:val="000000" w:themeColor="text1"/>
          <w:sz w:val="16"/>
          <w:szCs w:val="16"/>
        </w:rPr>
      </w:pPr>
      <w:r w:rsidRPr="00507A31">
        <w:rPr>
          <w:color w:val="000000" w:themeColor="text1"/>
          <w:sz w:val="16"/>
          <w:szCs w:val="16"/>
        </w:rPr>
        <w:t>Уголь а) значительное замедление темпов добычи во всех районах, особенно в Подмосковном бассейне и в Кузбассе; б) сильное отставание разведок, ограничивающее темп развития добычи и увеличивающее количество невыгодных шахт; в) сильное отставание капитальных работ и жилстроительства, являющееся основным тормозом развития угледобычи; г) кризис электроснабжения в Донбассе, Кузбассе и в Ки- зеле, ограничивающий добычу и степень механизации; д) замедление механизации угледобычи, усиливающее рабочий и жилищный кризисы.</w:t>
      </w:r>
    </w:p>
    <w:p w14:paraId="108CAEFC" w14:textId="77777777" w:rsidR="00B774B1" w:rsidRPr="00507A31" w:rsidRDefault="00B774B1" w:rsidP="00507A31">
      <w:pPr>
        <w:numPr>
          <w:ilvl w:val="0"/>
          <w:numId w:val="19"/>
        </w:numPr>
        <w:ind w:left="0" w:firstLine="0"/>
        <w:jc w:val="both"/>
        <w:rPr>
          <w:color w:val="000000" w:themeColor="text1"/>
          <w:sz w:val="16"/>
          <w:szCs w:val="16"/>
        </w:rPr>
      </w:pPr>
      <w:r w:rsidRPr="00507A31">
        <w:rPr>
          <w:color w:val="000000" w:themeColor="text1"/>
          <w:sz w:val="16"/>
          <w:szCs w:val="16"/>
        </w:rPr>
        <w:t>Энергетика а) замедление темпа электрификации; б) создание кризисов электроснабжения в наиболее ответственных пунктах — Донбасс, Ленинград, Москва; в) медленность постройки электростанций — в 2-3 раза по сравнению с возможными сроками постройки, что вызывало омертвление значительных капиталов, и в значительной части валютных, создавало временные кризисы в электроснабжении; г) несоответствие сроков окончания отдельных частей станций и сроков поступления отдельных элементов оборудования, ведущее также к омертвлению капиталов; д) дорогая стоимость электростанций вследствие нерациональной проектировки их; е) задержка теплофикации.</w:t>
      </w:r>
    </w:p>
    <w:p w14:paraId="0021BEA3" w14:textId="77777777" w:rsidR="00B774B1" w:rsidRPr="00507A31" w:rsidRDefault="00B774B1" w:rsidP="00507A31">
      <w:pPr>
        <w:numPr>
          <w:ilvl w:val="0"/>
          <w:numId w:val="20"/>
        </w:numPr>
        <w:ind w:left="0" w:firstLine="0"/>
        <w:jc w:val="both"/>
        <w:rPr>
          <w:color w:val="000000" w:themeColor="text1"/>
          <w:sz w:val="16"/>
          <w:szCs w:val="16"/>
        </w:rPr>
      </w:pPr>
      <w:r w:rsidRPr="00507A31">
        <w:rPr>
          <w:color w:val="000000" w:themeColor="text1"/>
          <w:sz w:val="16"/>
          <w:szCs w:val="16"/>
        </w:rPr>
        <w:t>Топливоснабжение а) сильное сокращение темпов добычи топлива; б) сокращение добычи местных топлив — особенно торфа и подмосковного угля; в) сокращение темпов развития Кузбасса; г) задержка мероприятий по улучшению качества кам. угля для металлургических целей, и как следствие этого — ухудшение кокса и качества металла.</w:t>
      </w:r>
    </w:p>
    <w:p w14:paraId="299B1276" w14:textId="77777777" w:rsidR="00B774B1" w:rsidRPr="00507A31" w:rsidRDefault="00B774B1" w:rsidP="00507A31">
      <w:pPr>
        <w:numPr>
          <w:ilvl w:val="0"/>
          <w:numId w:val="21"/>
        </w:numPr>
        <w:ind w:left="0" w:firstLine="0"/>
        <w:jc w:val="both"/>
        <w:rPr>
          <w:color w:val="000000" w:themeColor="text1"/>
          <w:sz w:val="16"/>
          <w:szCs w:val="16"/>
        </w:rPr>
      </w:pPr>
      <w:r w:rsidRPr="00507A31">
        <w:rPr>
          <w:color w:val="000000" w:themeColor="text1"/>
          <w:sz w:val="16"/>
          <w:szCs w:val="16"/>
        </w:rPr>
        <w:t>Конкретные примеры осуществления задач Центра в области энергетики</w:t>
      </w:r>
    </w:p>
    <w:p w14:paraId="3D2008E4"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1. Удорожание электростанций путем систематического проведения при проектировании их следующих приемов:</w:t>
      </w:r>
    </w:p>
    <w:p w14:paraId="1101FAC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а) установка большого числа мелких единиц вместо небольшого количества крупных. Это положение неизбежно и значительно удорожает станции от 25 до 50 %. Все электростанции, запроектированные в период 1926-1928 г., обладают этой особенностью, имея большое число маломощных котлов и турбогенераторов[;]</w:t>
      </w:r>
    </w:p>
    <w:p w14:paraId="13FD957C"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б) слабое использование поверхностей нагрева, проводившееся как общее мероприятие, также сильно удорожало котельную. Так напр. вместо возможных паронапряжений котлов обычно в 50-70 кг/м</w:t>
      </w:r>
      <w:r w:rsidRPr="00507A31">
        <w:rPr>
          <w:color w:val="000000" w:themeColor="text1"/>
          <w:sz w:val="16"/>
          <w:szCs w:val="16"/>
          <w:vertAlign w:val="superscript"/>
        </w:rPr>
        <w:t>2</w:t>
      </w:r>
      <w:r w:rsidRPr="00507A31">
        <w:rPr>
          <w:color w:val="000000" w:themeColor="text1"/>
          <w:sz w:val="16"/>
          <w:szCs w:val="16"/>
        </w:rPr>
        <w:t>,час и выше, при проектировании брались напряжения ок. 40 кг/м</w:t>
      </w:r>
      <w:r w:rsidRPr="00507A31">
        <w:rPr>
          <w:color w:val="000000" w:themeColor="text1"/>
          <w:sz w:val="16"/>
          <w:szCs w:val="16"/>
          <w:vertAlign w:val="superscript"/>
        </w:rPr>
        <w:t>2</w:t>
      </w:r>
      <w:r w:rsidRPr="00507A31">
        <w:rPr>
          <w:color w:val="000000" w:themeColor="text1"/>
          <w:sz w:val="16"/>
          <w:szCs w:val="16"/>
        </w:rPr>
        <w:t>, час, увеличивая потребную поверхность нагрева и стоимость котлов примерно на 30-50 %. Воздушные подогреватели рассчитывались на чрезмерно низкие коэффициенты теплопередачи, а фактически работают часто с коэффициентами теплопередачи в 4-7 </w:t>
      </w:r>
      <w:r w:rsidRPr="00507A31">
        <w:rPr>
          <w:color w:val="000000" w:themeColor="text1"/>
          <w:sz w:val="16"/>
          <w:szCs w:val="16"/>
          <w:vertAlign w:val="superscript"/>
        </w:rPr>
        <w:t>кал</w:t>
      </w:r>
      <w:r w:rsidRPr="00507A31">
        <w:rPr>
          <w:color w:val="000000" w:themeColor="text1"/>
          <w:sz w:val="16"/>
          <w:szCs w:val="16"/>
        </w:rPr>
        <w:t>/</w:t>
      </w:r>
      <w:r w:rsidRPr="00507A31">
        <w:rPr>
          <w:color w:val="000000" w:themeColor="text1"/>
          <w:sz w:val="16"/>
          <w:szCs w:val="16"/>
          <w:vertAlign w:val="subscript"/>
        </w:rPr>
        <w:t>м</w:t>
      </w:r>
      <w:r w:rsidRPr="00507A31">
        <w:rPr>
          <w:color w:val="000000" w:themeColor="text1"/>
          <w:sz w:val="16"/>
          <w:szCs w:val="16"/>
          <w:vertAlign w:val="superscript"/>
        </w:rPr>
        <w:t>2</w:t>
      </w:r>
      <w:r w:rsidRPr="00507A31">
        <w:rPr>
          <w:color w:val="000000" w:themeColor="text1"/>
          <w:sz w:val="16"/>
          <w:szCs w:val="16"/>
        </w:rPr>
        <w:t>,°Ц,час вместо возможных 14-16 и больше (т. е. получалась затрата поверхностей нагрева тоже весьма большая — в 2-3 раза больше[)]. При постоянном дефиците в Союзе производства котлов, экономайзеров, воздушных подогревателей и т. п., т. е. при ограниченном суммарном выпуске наших котельных заводов по метражу это мероприятие не только сильно удорожало станцию, но и еще более усугубляло дефицит и производство отечественных заводов, довольно значительное по метражу[,] обеспечивало крайне малую суммарную энергетическую мощность, заставляя прибегать к громадным дополнительным затратам валюты[;]</w:t>
      </w:r>
    </w:p>
    <w:p w14:paraId="025C619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излишние и ненужно большие резервы, маскированные различными расчетами, путем постановки дополнительных резервных котлов вместо использования перегрузочной способности котельных агрегатов также весьма значительно удорожали станцию[;]</w:t>
      </w:r>
    </w:p>
    <w:p w14:paraId="2D185910"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г) чрезмерно большие здания станций, частью как результат влияния вышеуказанных приемов, а частью за счет ненужного увеличения объемов зданий путем нерациональной проектировки. Достаточно указать, что в то время как в среднем у современных американских станций кубатура котельной составляет ок. 0,6 м</w:t>
      </w:r>
      <w:r w:rsidRPr="00507A31">
        <w:rPr>
          <w:color w:val="000000" w:themeColor="text1"/>
          <w:sz w:val="16"/>
          <w:szCs w:val="16"/>
          <w:vertAlign w:val="superscript"/>
        </w:rPr>
        <w:t>3</w:t>
      </w:r>
      <w:r w:rsidRPr="00507A31">
        <w:rPr>
          <w:color w:val="000000" w:themeColor="text1"/>
          <w:sz w:val="16"/>
          <w:szCs w:val="16"/>
        </w:rPr>
        <w:t>/кв, у ряда советских станций эта величина доходит до 1,8 м</w:t>
      </w:r>
      <w:r w:rsidRPr="00507A31">
        <w:rPr>
          <w:color w:val="000000" w:themeColor="text1"/>
          <w:sz w:val="16"/>
          <w:szCs w:val="16"/>
          <w:vertAlign w:val="superscript"/>
        </w:rPr>
        <w:t>3</w:t>
      </w:r>
      <w:r w:rsidRPr="00507A31">
        <w:rPr>
          <w:color w:val="000000" w:themeColor="text1"/>
          <w:sz w:val="16"/>
          <w:szCs w:val="16"/>
        </w:rPr>
        <w:t>/кв и выше, т. е. втрое выше.</w:t>
      </w:r>
    </w:p>
    <w:p w14:paraId="1A1D7CAE"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Не касаясь других технических деталей можно в общем указать, что стоимость наших станций колебалась обычно ок. 350 рб/кв, доходя иногда до 400-450 рб/кв против возможной стоимости порядка 250 рб/кв; таким образом, стоимость станций получалась по меньшей мере на 50 % дороже, причем надо иметь в виду, что удорожание вызывало при этом значительные валютные перерасходы.</w:t>
      </w:r>
    </w:p>
    <w:p w14:paraId="7844DCB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2. Создание кризисов электроснабжения в наиболее ответственных центрах[:]</w:t>
      </w:r>
    </w:p>
    <w:p w14:paraId="04D4AA4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а) Донбасс все время переживал, остро ощущает и в настоящее время кризис электроснабжения благодаря плановой задержке в постройке Штеровской и Зуевской электростанций; постройка последней станции напр. усиленно тормозилась Госпланом СССР в лице, главным образом, А. А. Горева под предлогом возможности передачи энергии в Донбасс с Днепростроя. Постройка же Штеровской станции была сильно растянута на ряд лет благодаря технически нерациональному оборудованию (сильно недостающая мощность мельниц, крайне сложная и технически нерациональная система пылеприготовления и топок французской системы вместо испытанной американской системы), несоответствию в сроках доставки и монтажа отдельных частей оборудования, беспорядочным заказам его за границей и т. п. В результате Донбасс остается необеспеченным электрической энергией, что замедляет темп механизации угледобычи, усугубляя рабочий и жилищный вопросы и развитие добычи в целом.</w:t>
      </w:r>
    </w:p>
    <w:p w14:paraId="6D955668"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б) Ленинград находится уже ряд лет в состоянии перманентного кризиса электроснабжения благодаря недостаточной мощности электростанций и крайней изношенности и ненадежности турбогенераторов старых станций. Имевшие место выходы из строя отдельных машин неоднократно вызывали необходимость выключения ряда потребителей.</w:t>
      </w:r>
    </w:p>
    <w:p w14:paraId="1520D43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Московская электрическая сеть находится в подобном же положении, что вызывает необходимость отказывать в присоединении новым абонентам и допускать постройки мелких нерациональных станций, вызывающих большие затраты, чем соответствующее расширение мощности районной сети. Особенно длительно растянуто здесь расширение Каширской станции. Для нее были заказаны явно неподходящие мельницы Резолютор, не могущие работать на колчеданистом подмосковном угле, благодаря чему мельницы каждые 150-200 часов работы останавливаются на ремонт; здесь же были построены совершенно нерациональные топки. В результате после очень дорогой переделки топок со сложным пылеприготовительным устройством котлы работают с крайне низким коэффициентом полезного действия и с очень малой производительностью.</w:t>
      </w:r>
    </w:p>
    <w:p w14:paraId="2779DBF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Сильно задержана постройка Бобриковской станции, путем выдвигания ряда конкурентных вариантов — Тверская станция, расширение Каширы, а также многочисленными переделками проекта.</w:t>
      </w:r>
    </w:p>
    <w:p w14:paraId="08F9072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г) Такие же кризисы и неувязки электроснабжения имели место в Кузбассе, Кизеле, Нижнем Новгороде и т. д.</w:t>
      </w:r>
    </w:p>
    <w:p w14:paraId="549403E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3. Задержка теплофикации. Теплофикация представляет один из наиболее рациональных и эффективных путей в области энергетики, давая большую экономию топлива и капитальных затрат. Не выступая поэтому с оспариванием бесспорных технических преимуществ теплофикации, Центр создал так сказать насмешливое несерьезное отношение к ней, указывая напр. по Москве возможные теплофикационные мощности порядка 40-50 тыс. КВ, в то время как уже на ближайшее только время можно иметь не менее 300-400 тыс. КВ. Точно так же по Ленинграду упорно отстаивалась цифра ок. 40 тыс. КВ, против возможных ок. 150 тыс. КВ. Опираясь главным образом на Могэс и Электроток, Центр достиг задержки теплофикации по крайней мере на 2 года.</w:t>
      </w:r>
    </w:p>
    <w:p w14:paraId="4D66E9F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4. Растягивание постройки электростанций являлось по существу естественным следствием плохой организации аппарата в области электростроительства, почему здесь от Центра требовалась лишь небольшая помощь. На практике постройка электростанции тянулась по 2</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bscript"/>
        </w:rPr>
        <w:t>2</w:t>
      </w:r>
      <w:r w:rsidRPr="00507A31">
        <w:rPr>
          <w:color w:val="000000" w:themeColor="text1"/>
          <w:sz w:val="16"/>
          <w:szCs w:val="16"/>
        </w:rPr>
        <w:t>—3 года и больше, особенно если считать действительным окончанием строительного периода не торжественное открытие станции, а поступление ее в регулярную эксплуатацию, ибо так называемый период детских болезней или пробной эксплоатации растягивался иногда на месяцы. Ярким примером является здесь Штеровская станция. Для затягивания постройки и увеличения периода омертвления капитала применялась несогласованность в сроках доставки отдельных элементов оборудования; так напр. при готовности котлов были не готовы турбины или обратно.</w:t>
      </w:r>
    </w:p>
    <w:p w14:paraId="0029BCC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Растягивание постройки и удорожание ее достигалось также изменениями основных заданий для станции, вызывающих многократные переделки проектов, особенно для комбинированных станций как напр. Сталинградская, Магнитострой, Кузнецкстрой, Бобрики и др. Так напр. Сталинградская станция сначала проектировалась на сжигание опилок, потом на опилки и штыб, опилки и мазут и т. д., почему проект переделывался несколько раз. Изменения проектов делались и уже после начала постройки, вызывая далее необходимость переделок или же крайне стеснительного и нерационального размещения оборудования, несмотря на очень большие и дорогие здания.</w:t>
      </w:r>
    </w:p>
    <w:p w14:paraId="5C3B422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Осуществление вышеуказанных мероприятий вполне обеспечивалось тем, что основные органы, решающие данные вопросы[,] целиком находились в руках Центра.</w:t>
      </w:r>
    </w:p>
    <w:p w14:paraId="6864DC28"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А именно вопросы утверждения проектов шли через ЦЭС, Президиум и основные работники коего Каменецкий, Сушкин, Башков, Осадчий, Кирпичников, Яновицкий были членами организации.</w:t>
      </w:r>
    </w:p>
    <w:p w14:paraId="005ECF8A"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Планирование электростроительства регулировалось Электропланом, где необходимые решения обеспечивались влиянием членов центра Каменецкого и Кукель-Краевского.</w:t>
      </w:r>
    </w:p>
    <w:p w14:paraId="504C8EEA"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На вопросы проектирования и постройки электростанций Центр влиял через Энергострой (а ранее соответствующий отдел Главэлектро) при помощи Н. И. Сушкина.</w:t>
      </w:r>
    </w:p>
    <w:p w14:paraId="2413802D"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Наконец, два крупнейших электрических объединения МОГЭС (Москва) и Электроток (Ленинград) тоже находились в руках центра через Кирпичникова, Яновицкого и Котомина.</w:t>
      </w:r>
    </w:p>
    <w:p w14:paraId="1B29060E" w14:textId="77777777" w:rsidR="00B774B1" w:rsidRPr="00507A31" w:rsidRDefault="00B774B1" w:rsidP="00507A31">
      <w:pPr>
        <w:numPr>
          <w:ilvl w:val="0"/>
          <w:numId w:val="22"/>
        </w:numPr>
        <w:ind w:left="0" w:firstLine="0"/>
        <w:jc w:val="both"/>
        <w:rPr>
          <w:color w:val="000000" w:themeColor="text1"/>
          <w:sz w:val="16"/>
          <w:szCs w:val="16"/>
        </w:rPr>
      </w:pPr>
      <w:r w:rsidRPr="00507A31">
        <w:rPr>
          <w:color w:val="000000" w:themeColor="text1"/>
          <w:sz w:val="16"/>
          <w:szCs w:val="16"/>
        </w:rPr>
        <w:t>Террористические группы</w:t>
      </w:r>
    </w:p>
    <w:p w14:paraId="0FDA1A6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1. После арестов многих инженеров во второй половине 1928 г., инж. Н. А. Давидов (Теплотехнический Институт) сообщил мне, что в Высшем Московском Техническом Училище возникла группа студентов, которая предполагает ответить на массовые аресты инженеров террористическими актами, направленными против членов правительства; из членов этой группы инж. Н. А. Давидов назвал мне лишь одну фамилию студента Риссак, с которым инж. Давидов хорошо знаком. По сообщению Н. А. Давидова указанная студенческая группа предлагает себя в распоряжение Инженерного Центра. Мною было сообщено об этом членам Нового Центра, в частности Федотову и Чарновскому, которые отнеслись к этому вопросу отрицательно, по крайней мере для данного момента, не предрешая вопроса для будущего, о чем я и сообщил инж. Н. А. Давидову.</w:t>
      </w:r>
    </w:p>
    <w:p w14:paraId="3D33E10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lastRenderedPageBreak/>
        <w:t>Некоторые добавочные подробности о студенческой террористической группе:</w:t>
      </w:r>
    </w:p>
    <w:p w14:paraId="0A4C637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Получив сообщение Давидова Н. А., на его просьбу переговорить со студентами я ответил категорическим отказом, ибо подобный разговор с незнакомыми мне лицами был связан с понятным риском предательства или провокации. Когда Давидов Н. А. дал мне полное поручительство за студ. Риссака я согласился переговорить с ним в своем кабинете, где я вел проектирование со студентами, что сильно облегчалось тем, что Риссак проектировал в моей группе. Риссак пришел на проектирование в числе последних и поэтому остался в кабинете у меня уже один со своим проектом и сообщил мне тоже, что и Давидов. Я указал Риссаку на крайнюю опасность предприятия и дал совет о необходимости крайней осторожности. Одновременно я сказал, что Центр считает в данное время всяческие террористические выступления недопустимыми. Однако возможно, что точка зрения Центра изменится и последний примет их предложение. Вместе с этим я дал указание на необходимость крайней конспирации и советовал организовывать группу так, чтобы каждый член группы не знал всей группы в целом, а лишь 2-3 ближайших ее членов. Принципиальное мое отношение, как члена Центра, к террористическим актам сводилось к следующим положениям:</w:t>
      </w:r>
    </w:p>
    <w:p w14:paraId="2F90C697" w14:textId="77777777" w:rsidR="00B774B1" w:rsidRPr="00507A31" w:rsidRDefault="00B774B1" w:rsidP="00507A31">
      <w:pPr>
        <w:numPr>
          <w:ilvl w:val="0"/>
          <w:numId w:val="23"/>
        </w:numPr>
        <w:ind w:left="0" w:firstLine="0"/>
        <w:jc w:val="both"/>
        <w:rPr>
          <w:color w:val="000000" w:themeColor="text1"/>
          <w:sz w:val="16"/>
          <w:szCs w:val="16"/>
        </w:rPr>
      </w:pPr>
      <w:r w:rsidRPr="00507A31">
        <w:rPr>
          <w:color w:val="000000" w:themeColor="text1"/>
          <w:sz w:val="16"/>
          <w:szCs w:val="16"/>
        </w:rPr>
        <w:t>Террористические акты могли иметь смысл лишь для партии, рассчитывающей на длительную борьбу, как средство постепенного ослабления противника. Поскольку основная ставка Центра делалась на близкую интервенцию, первый мотив отпадал, тем более, что гибель одного или даже нескольких членов Правительства не могло оказать сколько нибудь существенного влияния на достижение конечной цели Промышленной партии, ибо устранение из Правительства в результате партийной борьбы внутри ВКП(б) целого ряда крупнейших членов показало, что Советская Власть и ВКП(б) достаточно мощны, чтобы перенести потерю нескольких хотя бы и виднейших членов.</w:t>
      </w:r>
    </w:p>
    <w:p w14:paraId="601F5A15" w14:textId="77777777" w:rsidR="00B774B1" w:rsidRPr="00507A31" w:rsidRDefault="00B774B1" w:rsidP="00507A31">
      <w:pPr>
        <w:numPr>
          <w:ilvl w:val="0"/>
          <w:numId w:val="23"/>
        </w:numPr>
        <w:ind w:left="0" w:firstLine="0"/>
        <w:jc w:val="both"/>
        <w:rPr>
          <w:color w:val="000000" w:themeColor="text1"/>
          <w:sz w:val="16"/>
          <w:szCs w:val="16"/>
        </w:rPr>
      </w:pPr>
      <w:r w:rsidRPr="00507A31">
        <w:rPr>
          <w:color w:val="000000" w:themeColor="text1"/>
          <w:sz w:val="16"/>
          <w:szCs w:val="16"/>
        </w:rPr>
        <w:t>Террористические акты как акты мести относятся к области чувства, которому Центр не может поддаваться, ибо должен строить свою тактику на принципе целесообразности и трезвого расчета.</w:t>
      </w:r>
    </w:p>
    <w:p w14:paraId="2DCFBF8E" w14:textId="77777777" w:rsidR="00B774B1" w:rsidRPr="00507A31" w:rsidRDefault="00B774B1" w:rsidP="00507A31">
      <w:pPr>
        <w:numPr>
          <w:ilvl w:val="0"/>
          <w:numId w:val="23"/>
        </w:numPr>
        <w:ind w:left="0" w:firstLine="0"/>
        <w:jc w:val="both"/>
        <w:rPr>
          <w:color w:val="000000" w:themeColor="text1"/>
          <w:sz w:val="16"/>
          <w:szCs w:val="16"/>
        </w:rPr>
      </w:pPr>
      <w:r w:rsidRPr="00507A31">
        <w:rPr>
          <w:color w:val="000000" w:themeColor="text1"/>
          <w:sz w:val="16"/>
          <w:szCs w:val="16"/>
        </w:rPr>
        <w:t>Поскольку с 1929 года основная тактика Центра сводилась почти исключительно к сохранению руководящей головки, сохранению существующих кадров и к осторожной вербовке новых членов Промышленной партии, Центр не мог допустить риска, связанного с террористическими актами, ибо временное замешательство и ослабление Соввласти после террористического акта имело бы неизбежным следствием разгром Центра, массовые потери инженерных кадров в самый решительный момент, у порога интервенции.</w:t>
      </w:r>
    </w:p>
    <w:p w14:paraId="15F481F5" w14:textId="77777777" w:rsidR="00B774B1" w:rsidRPr="00507A31" w:rsidRDefault="00B774B1" w:rsidP="00507A31">
      <w:pPr>
        <w:numPr>
          <w:ilvl w:val="0"/>
          <w:numId w:val="23"/>
        </w:numPr>
        <w:ind w:left="0" w:firstLine="0"/>
        <w:jc w:val="both"/>
        <w:rPr>
          <w:color w:val="000000" w:themeColor="text1"/>
          <w:sz w:val="16"/>
          <w:szCs w:val="16"/>
        </w:rPr>
      </w:pPr>
      <w:r w:rsidRPr="00507A31">
        <w:rPr>
          <w:color w:val="000000" w:themeColor="text1"/>
          <w:sz w:val="16"/>
          <w:szCs w:val="16"/>
        </w:rPr>
        <w:t>Учитывая крайнюю рискованность террористических актов, большую возможность их неудачи при небольшой их эффективности, Центр естественно должен был принять все меры, чтобы воздержать от выступлений даже стихийно возникающие группы, так или иначе связанные с Центром и могущие повести к его провалу и к гибели многочисленных кадров Пром. Партии.</w:t>
      </w:r>
    </w:p>
    <w:p w14:paraId="602A3F8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Указанные соображения в моих разговорах с отдельными членами Центра - Чарновским, Федотовым, Ларичевым и Калинниковым - встретили их поддержку, почему было решено, не предрешая вопроса о будущем, в данный момент считать террористические акты недопустимыми.</w:t>
      </w:r>
    </w:p>
    <w:p w14:paraId="4FD45910"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Эта позиция и была мной занята при моих разговорах с представителями указанных 2 террористических групп - МВТУ и Теплотехнического Института. При этом учитывая психологию членов боевых групп, я понимал, что простое запрещение террористических актов могло вызвать их неповиновение и сепортные действия за свой страх и риск; поэтому указав на недопустимость таких актов в данное время, я указал, что если точка зрения Центра изменится, последний даст им свои директивы. Такой подход по моему мнению лучше обеспечивал подчинение террористических групп Центру.</w:t>
      </w:r>
    </w:p>
    <w:p w14:paraId="2069A30A"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смысле риска провала Центра, и в частности меня, наибольшую опасность представляло понятно существование террористических настроений” в Теплотехническом Институте. Поэтому мною здесь и были приняты вышеизложенные меры, которые по моему мнению вводили группу Института в русло, желательное Центру. Существует ли до сих пор эта студенческая группа, каков ее состав и другие подробности я осветить не могу; эти сведения можно непосредственно получить от инж. Н. А. Давидова и инж. Риссак. Кроме указанной студенческой группы МВТУ я имел сведения от инж. Н. А. Давидова о попытках уже после расстрела Пальчинского организовать подобную же группу в Теплотехническом Институте, из следующих инженеров Института: Н. А. Давидов, Г. Ю. Козлинский, А. И. Мороз, Б. К. Липпе.</w:t>
      </w:r>
    </w:p>
    <w:p w14:paraId="0FA0838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виду того, что все указанные лица были мне хорошо знакомы и я мог на них положиться, я согласился переговорить с ними, но для осторожности с каждым наедине, в моем кабинете в Теплотехническом Институте. Каждому из них я указал на недопустимость террористических выступлений в данное время и на громадный риск как для них так и для инженерных масс; в особенности подчеркнул необходимость абсолютной конспирации, категорически запретив говорить кому бы то ни было, даже намеком, о существовании боевой группы. Одновременно я указывал на необходимость цепочной связи. Далее я сказал, что если будут выполнены требования конспирации, то обнаружение группы невозможно, поэтому арест сможет произойти только наугад; что в случае ареста необходимо категорически отрицать существование группы и личное участие в ней; что не надо поддаваться обычной тактике О.Г.П.У. будто бы все уже обнаружены, а твердо выдержать характер, и что тогда через некоторое время все равно освободят по отсутствию улик. В особенности, ни в коем случае не держать пока у себя оружия.</w:t>
      </w:r>
    </w:p>
    <w:p w14:paraId="1BE1FA0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Ни у первой, ни у второй группы насколько мне известно определенных террористических планов не было. Но при разговорах упоминались имена т.т. Сталина, Рыкова, Ворошилова, Калинина и Куйбышева как возможных объектов террора. Помимо этого могу еще указать на мой разговор с Пальчинским в присутствии Рабиновича. Пальчинский сообщил, что химики подняли вопрос о применении инженерного метода террора посредством газовой атаки &lt;напр.&gt; на заседаниях Совнаркома и т. п. При чем указал, что организацию этого дела с химической стороны можно осуществить при помощи проф. Е. И. Шпитальского.</w:t>
      </w:r>
    </w:p>
    <w:p w14:paraId="4740C1CB" w14:textId="77777777" w:rsidR="00B774B1" w:rsidRPr="00507A31" w:rsidRDefault="00B774B1" w:rsidP="00507A31">
      <w:pPr>
        <w:numPr>
          <w:ilvl w:val="0"/>
          <w:numId w:val="24"/>
        </w:numPr>
        <w:ind w:left="0" w:firstLine="0"/>
        <w:jc w:val="both"/>
        <w:rPr>
          <w:color w:val="000000" w:themeColor="text1"/>
          <w:sz w:val="16"/>
          <w:szCs w:val="16"/>
        </w:rPr>
      </w:pPr>
      <w:r w:rsidRPr="00507A31">
        <w:rPr>
          <w:color w:val="000000" w:themeColor="text1"/>
          <w:sz w:val="16"/>
          <w:szCs w:val="16"/>
        </w:rPr>
        <w:t> Новый Инженерный Центр</w:t>
      </w:r>
    </w:p>
    <w:p w14:paraId="1A5762E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После разгрома старого Центра и его органов в 1928 г. были попытки продолжать деятельность хотя бы и в свернутом масштабе путем организации Нового Центра, в качестве Центрального Комитета Промышленной Партии. Состав нового Центра или Ц.К. естественно определялся оставшимися его</w:t>
      </w:r>
      <w:r w:rsidRPr="00507A31">
        <w:rPr>
          <w:color w:val="000000" w:themeColor="text1"/>
          <w:sz w:val="16"/>
          <w:szCs w:val="16"/>
          <w:vertAlign w:val="superscript"/>
        </w:rPr>
        <w:t> *</w:t>
      </w:r>
      <w:r w:rsidRPr="00507A31">
        <w:rPr>
          <w:color w:val="000000" w:themeColor="text1"/>
          <w:sz w:val="16"/>
          <w:szCs w:val="16"/>
        </w:rPr>
        <w:t> членами - Федотов, Ларичев, Чарновский и Рамзин с добавлением И. А. Калинникова, который после ареста Рабиновича фактически его заместил. Таким образом, состав Нового Центра таков: Федотов, Ларичев, Чарновский, Рамзин, Калинников; кроме того, очень близко к новому Центру, так же как и к старому, стояли инж. Куприянов и до своего ареста Стрижов. Роль председателя Нового Центра взаимно предлагали взять на себя почти каждому члену его; наиболее сильно выдвигались кандидатуры Федотова и Калинникова. В результате председателем Нового Центра являлся Федотов, как лицо имевшее наиболее важные связи с эмигрантами-промышленниками, и как наиболее старый член организации.</w:t>
      </w:r>
    </w:p>
    <w:p w14:paraId="257965A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Основное направление работы нового центра было стремление сохранить имевшиеся партийные кадры, восполнить пробелы, вызванные арестами и додержаться до начала интервенции. Вследствие энергичного проведения в жизнь генеральной линии ВКП(б), осуществление прежней тактики Центра в особенности в плановой работе сделалось почти невозможной, поэтому, напр., последняя пятилетка под указанным давлением ВКП(б) была уже составлена не в прежних минималистских тонах, а в соответствии с правильными техническими подходами, но уже с преувеличением темпов, ибо была выдвинута новая тактика, прямо противоположная - перегибы планов в обратную сторону. Правда, эта тактика не проводилась столь последовательно, как прежняя. Вследствие большого риска пленарные собрания Центра не созывались, а происходили лишь летучие совещания отдельных небольших групп. Руководство отраслевыми группами почти совсем прекратилось; отдельные группы действовали здесь часто самостоятельно и иногда даже в противоречии друг с другом.</w:t>
      </w:r>
    </w:p>
    <w:p w14:paraId="3D3D5A3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частности в области топливоснабжения и энергетики я и Ларичев решили работать в правильных, рациональных технических направлениях; поэтому напр. мои работы за 1929-1930 год указывают вполне правильные пути и методы направления энергетического хозяйства.</w:t>
      </w:r>
    </w:p>
    <w:p w14:paraId="75BA9957"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Однако, некоторые группы пытались еще продолжать вредительскую тактику, проводя напр. идеи газификации дальних газопроводов, сложной переработки топлива, применения крекинг-бензина для тракторов и т. п.</w:t>
      </w:r>
    </w:p>
    <w:p w14:paraId="129982A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Ведение честной технической работы за последний период не противоречило по существу и интересам Промышленной партии, подготовляя рациональную базу для будущего государства, ибо результаты рациональных планов могли бы быть реализованы лишь через несколько лет.</w:t>
      </w:r>
    </w:p>
    <w:p w14:paraId="26356D9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Под влиянием разгрома Центра и сообщений из заграницы о невозможности рассчитывать на интервенцию в 1930 г. основная деятельность Центра сводилась к сохранению руководящей головки и к осторожной вербовке новых членов партии.</w:t>
      </w:r>
    </w:p>
    <w:p w14:paraId="6AB9696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Я признаю, что как по существу, так и по форме деятельность Инженерного Центра или Промышленной Партии носила явно выраженный фашистский характер.</w:t>
      </w:r>
    </w:p>
    <w:p w14:paraId="660CAB4B" w14:textId="77777777" w:rsidR="00B774B1" w:rsidRPr="00507A31" w:rsidRDefault="00B774B1" w:rsidP="00507A31">
      <w:pPr>
        <w:numPr>
          <w:ilvl w:val="0"/>
          <w:numId w:val="25"/>
        </w:numPr>
        <w:ind w:left="0" w:firstLine="0"/>
        <w:jc w:val="both"/>
        <w:rPr>
          <w:color w:val="000000" w:themeColor="text1"/>
          <w:sz w:val="16"/>
          <w:szCs w:val="16"/>
        </w:rPr>
      </w:pPr>
      <w:r w:rsidRPr="00507A31">
        <w:rPr>
          <w:color w:val="000000" w:themeColor="text1"/>
          <w:sz w:val="16"/>
          <w:szCs w:val="16"/>
        </w:rPr>
        <w:t> Связь с Трудовой Крестьянской Партией</w:t>
      </w:r>
    </w:p>
    <w:p w14:paraId="0F143C28"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начальный период связь Центра с ТКП осуществлялась персонально П. А. Пальчинским, через А. В. Чаянова. Затем, в начале 1927 г., Пальчинский пригласил Чаянова на совещание Центра. На целом ряде совещаний А. В. Чаянов осветил основные программные установки ТКП, обрисовал довольно крупный масштаб организации примерно до 100 тыс. человек, при чем крестьянские массы организуются ТКП через сеть опытных станций, имеется крупный охват и кооперативной сети. Кроме того, ТКП имеет блок с меньшевистской группой Громана В. Г., через которую ТКП вовлекает и рабочие массы.</w:t>
      </w:r>
    </w:p>
    <w:p w14:paraId="1654913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дальнейшем ставили вопрос о блоке между Промышленной и Крестьянской партией для более легкого и успешного проведения контрреволюционного переворота.</w:t>
      </w:r>
    </w:p>
    <w:p w14:paraId="4552C34A"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Примерно в конце 1928 г. была выдвинута необходимость более тесного контакта между Промышленной и Крестьянской партиями путем создания Объединенного Центра. В состав его были выдвинуты: со стороны ТКП Кондратьев, Макаров и Громан, а со стороны Промышленной партии Рамзин и Чарновский. Главной задачей Объединенного Центра являлось практическое обсуждение и проведение мероприятий по осуществлению тактического блока, главным образом, при совершении контр-революционного переворота, а также и общие вопросы тактики. Однако вследствие разгрома Инженерного Центра указанный Объединенный Центр фактически не функционировал; по крайней мере я не присутствовал ни на одном его совещании.</w:t>
      </w:r>
    </w:p>
    <w:p w14:paraId="131ADA7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 xml:space="preserve">Наконец, поднимался вопрос о возможности создания коалиционного правительства. При этом в Промышленной Партии высказывались по этому поводу следующие мнения. Если контр-революционный переворот будет сделан военными силами извне, то давать места в правительстве ТКП надо в минимальном количестве - министра земледелия и еще не более 1 места. Если же наоборот надежды на интервенцию рушатся, то поневоле придется опереться при проведении переворота на массы ТКП, и тогда неизбежно придется уступить ТКП подавляющую часть министерских мест. Наконец, при проведении переворота небольшим экспедиционным корпусом со значительной внутренней помощью через ТКП распределение мест в правительстве целесообразно почти на паритетных началах. Таким образом в Центре </w:t>
      </w:r>
      <w:r w:rsidRPr="00507A31">
        <w:rPr>
          <w:color w:val="000000" w:themeColor="text1"/>
          <w:sz w:val="16"/>
          <w:szCs w:val="16"/>
        </w:rPr>
        <w:lastRenderedPageBreak/>
        <w:t>существовало мнение, что при составлении коалиционного правительства, придется итти на большие или меньшие уступки в зависимости от относительной роли ТКП при совершении переворота.</w:t>
      </w:r>
    </w:p>
    <w:p w14:paraId="083B758D" w14:textId="77777777" w:rsidR="00B774B1" w:rsidRPr="00507A31" w:rsidRDefault="00B774B1" w:rsidP="00507A31">
      <w:pPr>
        <w:numPr>
          <w:ilvl w:val="0"/>
          <w:numId w:val="26"/>
        </w:numPr>
        <w:ind w:left="0" w:firstLine="0"/>
        <w:jc w:val="both"/>
        <w:rPr>
          <w:color w:val="000000" w:themeColor="text1"/>
          <w:sz w:val="16"/>
          <w:szCs w:val="16"/>
        </w:rPr>
      </w:pPr>
      <w:r w:rsidRPr="00507A31">
        <w:rPr>
          <w:color w:val="000000" w:themeColor="text1"/>
          <w:sz w:val="16"/>
          <w:szCs w:val="16"/>
        </w:rPr>
        <w:t>Совещания Центра</w:t>
      </w:r>
    </w:p>
    <w:p w14:paraId="6C195AC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Ниже я перечисляю совещания Центра, как они сохранились в моей памяти.</w:t>
      </w:r>
    </w:p>
    <w:p w14:paraId="23BCFCE8" w14:textId="77777777" w:rsidR="00B774B1" w:rsidRPr="00507A31" w:rsidRDefault="00B774B1" w:rsidP="00507A31">
      <w:pPr>
        <w:pStyle w:val="rtecenter"/>
        <w:spacing w:before="0" w:after="0"/>
        <w:jc w:val="both"/>
        <w:rPr>
          <w:color w:val="000000" w:themeColor="text1"/>
          <w:sz w:val="16"/>
          <w:szCs w:val="16"/>
        </w:rPr>
      </w:pPr>
      <w:r w:rsidRPr="00507A31">
        <w:rPr>
          <w:color w:val="000000" w:themeColor="text1"/>
          <w:sz w:val="16"/>
          <w:szCs w:val="16"/>
        </w:rPr>
        <w:t>1927 год I половина.</w:t>
      </w:r>
    </w:p>
    <w:p w14:paraId="243F1E22" w14:textId="77777777" w:rsidR="00B774B1" w:rsidRPr="00507A31" w:rsidRDefault="00B774B1" w:rsidP="00507A31">
      <w:pPr>
        <w:numPr>
          <w:ilvl w:val="0"/>
          <w:numId w:val="27"/>
        </w:numPr>
        <w:ind w:left="0" w:firstLine="0"/>
        <w:jc w:val="both"/>
        <w:rPr>
          <w:color w:val="000000" w:themeColor="text1"/>
          <w:sz w:val="16"/>
          <w:szCs w:val="16"/>
        </w:rPr>
      </w:pPr>
      <w:r w:rsidRPr="00507A31">
        <w:rPr>
          <w:color w:val="000000" w:themeColor="text1"/>
          <w:sz w:val="16"/>
          <w:szCs w:val="16"/>
        </w:rPr>
        <w:t>В начале года в Госплане в кабинете Ларичева имела место первая моя встреча с членами Центра. Были Ларичев, Пальчинский и Рабинович. Они указывали на неизбежность кризиса и как следствие этого на неизбежность контр-революционного переворота. Необходимо поэтому заблаговременно подготовиться к принятию власти и управлению народным хозяйством, ибо при современных условиях руководящая роль в управлении Экономической жизнью должна принадлежать инженерству.</w:t>
      </w:r>
    </w:p>
    <w:p w14:paraId="2473CDA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Сообщено вкратце о существовании Центра.</w:t>
      </w:r>
    </w:p>
    <w:p w14:paraId="09A453B6" w14:textId="77777777" w:rsidR="00B774B1" w:rsidRPr="00507A31" w:rsidRDefault="00B774B1" w:rsidP="00507A31">
      <w:pPr>
        <w:numPr>
          <w:ilvl w:val="0"/>
          <w:numId w:val="28"/>
        </w:numPr>
        <w:ind w:left="0" w:firstLine="0"/>
        <w:jc w:val="both"/>
        <w:rPr>
          <w:color w:val="000000" w:themeColor="text1"/>
          <w:sz w:val="16"/>
          <w:szCs w:val="16"/>
        </w:rPr>
      </w:pPr>
      <w:r w:rsidRPr="00507A31">
        <w:rPr>
          <w:color w:val="000000" w:themeColor="text1"/>
          <w:sz w:val="16"/>
          <w:szCs w:val="16"/>
        </w:rPr>
        <w:t>Второе совещание весною в Госплане в том же составе. Развивалась мысль о необходимости ускорить переворот путем углубления кризиса. Сообщили состав Центра. Указывалось на полную реальность интервенции.</w:t>
      </w:r>
    </w:p>
    <w:p w14:paraId="002C25C4" w14:textId="77777777" w:rsidR="00B774B1" w:rsidRPr="00507A31" w:rsidRDefault="00B774B1" w:rsidP="00507A31">
      <w:pPr>
        <w:numPr>
          <w:ilvl w:val="0"/>
          <w:numId w:val="29"/>
        </w:numPr>
        <w:ind w:left="0" w:firstLine="0"/>
        <w:jc w:val="both"/>
        <w:rPr>
          <w:color w:val="000000" w:themeColor="text1"/>
          <w:sz w:val="16"/>
          <w:szCs w:val="16"/>
        </w:rPr>
      </w:pPr>
      <w:r w:rsidRPr="00507A31">
        <w:rPr>
          <w:color w:val="000000" w:themeColor="text1"/>
          <w:sz w:val="16"/>
          <w:szCs w:val="16"/>
        </w:rPr>
        <w:t>Весною в ВАИ было заседание Центра в составе Пальчинский, Рабинович, Хренников, Ларичев, Рамзин, Чарновский, Федотов. Пальчинский сделал доклад об общем положении в вышеуказанном смысле и сообщил о полученных из заграничных эмигрантских кругов директивах вести работу по линии задержки темпов промышленности и по линии создания кризисов путем диспропорции между основными частями хозяйства. Дебатировался вопрос о целесообразности прямого вредительства путем порчи оборудования и т. п. Я выступал против, доказывая малую эффективность такого метода при большом риске. Большинство склонялось к моей точке зрения.</w:t>
      </w:r>
    </w:p>
    <w:p w14:paraId="38B18FF8"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Было решено, чтобы отдельные группы по основным отраслям промышленности подработали вопрос о конкретизации директив из заграницы.</w:t>
      </w:r>
    </w:p>
    <w:p w14:paraId="0EECE6AE"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Обсуждались далее основные положения платформы. Вопрос о форме правления вызвал разногласия. Федотов и Чарновский склонялись к монархическому принципу, остальные, в том числе и я указывали на полную дискредитацию монархического принципа в глазах широких масс населения, что неизбежно возстановит их против Центра. Поэтому эта группа настаивала на буржуазно-демократической республике, признавая однако безусловно необходимым на первый период после контр-революционного переворота военную диктатуру. Разные мнения высказывались и по земельному вопросу - от возврата земель прежним владельцам до оставления земли в единоличном владении крестьян, но с компенсацией старых землевладельцев. В области промышленности большинство принципиально считало необходимым возврат к частной собственности. Я считал более правильным и осуществимым принцип государственного капитализма.</w:t>
      </w:r>
    </w:p>
    <w:p w14:paraId="315A4AF2" w14:textId="77777777" w:rsidR="00B774B1" w:rsidRPr="00507A31" w:rsidRDefault="00B774B1" w:rsidP="00507A31">
      <w:pPr>
        <w:numPr>
          <w:ilvl w:val="0"/>
          <w:numId w:val="30"/>
        </w:numPr>
        <w:ind w:left="0" w:firstLine="0"/>
        <w:jc w:val="both"/>
        <w:rPr>
          <w:color w:val="000000" w:themeColor="text1"/>
          <w:sz w:val="16"/>
          <w:szCs w:val="16"/>
        </w:rPr>
      </w:pPr>
      <w:r w:rsidRPr="00507A31">
        <w:rPr>
          <w:color w:val="000000" w:themeColor="text1"/>
          <w:sz w:val="16"/>
          <w:szCs w:val="16"/>
        </w:rPr>
        <w:t>Заседание центра в ВАИ в составе Пальчинский, Рабинович, Хренников, Ларичев, Федотов, Чарновский, Рамзин и А. В. Чаянов как представитель ТПК. Это было уже кажется второе совещание с Чаяновым. Последний останавливался главным образом на основной установке ТКП по земельному вопросу, сводящейся к ставке на единоличные кулацкие хозяйства. По сообщению Чаянова ТКП использует для охвата широких крестьянских масс сеть опытных станций, второй путь охвата - через кооперацию; наконец, ТКП организует работу и в рабочих массах, установив для этой цели блок с меньшевистской группой Громана - Суханова, которая сохранила свои связи в рабочей среде. Небольшое обсуждение после сообщения Чаянова шло главным образом в плоскости вопросов и информации и не пришло к каким либо выводам.</w:t>
      </w:r>
    </w:p>
    <w:p w14:paraId="6FFA066B" w14:textId="77777777" w:rsidR="00B774B1" w:rsidRPr="00507A31" w:rsidRDefault="00B774B1" w:rsidP="00507A31">
      <w:pPr>
        <w:numPr>
          <w:ilvl w:val="0"/>
          <w:numId w:val="31"/>
        </w:numPr>
        <w:ind w:left="0" w:firstLine="0"/>
        <w:jc w:val="both"/>
        <w:rPr>
          <w:color w:val="000000" w:themeColor="text1"/>
          <w:sz w:val="16"/>
          <w:szCs w:val="16"/>
        </w:rPr>
      </w:pPr>
      <w:r w:rsidRPr="00507A31">
        <w:rPr>
          <w:color w:val="000000" w:themeColor="text1"/>
          <w:sz w:val="16"/>
          <w:szCs w:val="16"/>
        </w:rPr>
        <w:t>На заседании Центра в ВСНХ были Рабинович, Хренников, Чарновский, Пальчинский, Ларичев, Рамзин и Стрижов. Обсуждали направления работы в области топливоснабжения. Ларичев наметил основные линии плана - минимальные программы, как на пятилетку, так и на годовые планы; задержка развития местных топлив, в особенности торфа и подмосковного угля, а также - Кузбасса; ухудшение металлургического топлива. Эти линии были одобрены и предложено далее через отраслевые центры их углублять. По металлической промышленности Хренников и Чарновский дали установки на всемерную задержку выплавки чугуна и выпуска проката, не более 6-8 мил. тн на конец пятилетки; на несоответствие сортамента выпускаемого металла потребности в нем; на создание диспропорций между производством и потребностью в металлоизделиях, на задержку постройки новых металлозаводов и новых цехов.</w:t>
      </w:r>
    </w:p>
    <w:p w14:paraId="65D5354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вопросу о программе Пальчинский указал на необходимость согласования программных установок с заграничными белоэмигрантскими кругами, ибо эти установки несомненно будут в значительной мере определяться не здесь, а из заграницы. Обсуждались технические затруднения с возвратом предприятий старым владельцам, вследствие сильных изменений уже имевших место, и еще более предстоящих в промышленном оборудовании. К определенным выводам не пришли. По вопросу об иностранных царских долгах по[-]видимому все соглашались с необходимостью их уплаты, и в первую очередь Франции.</w:t>
      </w:r>
    </w:p>
    <w:p w14:paraId="3F69A8C1" w14:textId="77777777" w:rsidR="00B774B1" w:rsidRPr="00507A31" w:rsidRDefault="00B774B1" w:rsidP="00507A31">
      <w:pPr>
        <w:numPr>
          <w:ilvl w:val="0"/>
          <w:numId w:val="32"/>
        </w:numPr>
        <w:ind w:left="0" w:firstLine="0"/>
        <w:jc w:val="both"/>
        <w:rPr>
          <w:color w:val="000000" w:themeColor="text1"/>
          <w:sz w:val="16"/>
          <w:szCs w:val="16"/>
        </w:rPr>
      </w:pPr>
      <w:r w:rsidRPr="00507A31">
        <w:rPr>
          <w:color w:val="000000" w:themeColor="text1"/>
          <w:sz w:val="16"/>
          <w:szCs w:val="16"/>
        </w:rPr>
        <w:t>На совещании Центра в Цекубу были Пальчинский, Рабинович, Хренников, Рамзин, Федотов, Чарновский и А. В. Чаянов. Обсуждение касалось вопроса о тактике ТКП. Последняя наметила два основных варианта тактики: 1) постепенное обволакивание Соввласти путем идейного влияния на отдельных членов ВКП(б) и Правительства и идейного подчинения советского аппарата и 2) насильственный контрреволюционный переворот путем вооруженного восстания, крестьянских бунтов, рабочих забастовок, привлечения на свою сторону красноармейских частей.</w:t>
      </w:r>
    </w:p>
    <w:p w14:paraId="537BC44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Члены Центра считали первую тактику безнадежной или во всяком случае требующей очень длительного периода времени, почему отнеслись к ней резко отрицательно. Наоборот, вторая тактика по мнению членов Центра вполне отвечала интересам и задачам последнего; ибо Центр [был] уверен в близости переворота путем интервенции. Срок и потребные силы для последней будут сильно сокращены, если параллельно с интервенцией пойдет и вооруженное восстание.</w:t>
      </w:r>
    </w:p>
    <w:p w14:paraId="4E260BFF" w14:textId="77777777" w:rsidR="00B774B1" w:rsidRPr="00507A31" w:rsidRDefault="00B774B1" w:rsidP="00507A31">
      <w:pPr>
        <w:numPr>
          <w:ilvl w:val="0"/>
          <w:numId w:val="33"/>
        </w:numPr>
        <w:ind w:left="0" w:firstLine="0"/>
        <w:jc w:val="both"/>
        <w:rPr>
          <w:color w:val="000000" w:themeColor="text1"/>
          <w:sz w:val="16"/>
          <w:szCs w:val="16"/>
        </w:rPr>
      </w:pPr>
      <w:r w:rsidRPr="00507A31">
        <w:rPr>
          <w:color w:val="000000" w:themeColor="text1"/>
          <w:sz w:val="16"/>
          <w:szCs w:val="16"/>
        </w:rPr>
        <w:t>На заседании Центра весною в Госплане в составе Рабинович, Ларичев, Рамзин, Федотов, Чарновский, Хренников и А. В. Чаянов продолжалось обсуждение тактики ТКП и Центра. Члены Центра указывали, что благодаря кастовой замкнутости Центра и отсутствия у него больших масс единственная реальная установка может быть только на интервенцию. Однако в случае блока с ТКП последняя не будет уже являться единственным выходом из положения, ибо даст надежду, хотя и в более далеком будущем обойтись без иностранной помощи. Блок с ТКП позволит Центру не быть простым исполнителем директив белоэмигрантов, а тверже настаивать на собственных позициях. Поэтому блок с ТКП для Центра крайне желателен, а в случае провала интервенции является единственным выходом.</w:t>
      </w:r>
    </w:p>
    <w:p w14:paraId="24A7098F" w14:textId="77777777" w:rsidR="00B774B1" w:rsidRPr="00507A31" w:rsidRDefault="00B774B1" w:rsidP="00507A31">
      <w:pPr>
        <w:numPr>
          <w:ilvl w:val="0"/>
          <w:numId w:val="34"/>
        </w:numPr>
        <w:ind w:left="0" w:firstLine="0"/>
        <w:jc w:val="both"/>
        <w:rPr>
          <w:color w:val="000000" w:themeColor="text1"/>
          <w:sz w:val="16"/>
          <w:szCs w:val="16"/>
        </w:rPr>
      </w:pPr>
      <w:r w:rsidRPr="00507A31">
        <w:rPr>
          <w:color w:val="000000" w:themeColor="text1"/>
          <w:sz w:val="16"/>
          <w:szCs w:val="16"/>
        </w:rPr>
        <w:t>На заседании Центра весною в ВСНХ в составе Пальчинский, Хренников, Рабинович, Федотов, Ларичев, Красовский, Чарновский обсуждались сначала вопросы основных линий по текстилю. По предложению Федотова намечена[,] наряду с общей задержкой развития текстильной промышленности, постройка новых фабрик при недостаточном использовании существующих, торможение введения новых текстильных материалов и видов отечественного текстильного сырья, создание диспропорции между полуфабрикатами. После Красовский наметил основные линии по НКПС, сводящиеся к ухудшению использования подвижного состава и в частности паровозов; к задержке развития основных артерий и в частности по линии водного транспорта - к замедлению развития нефтеналивного флота. В частности указывалось на необходимость сопротивляться магистрализации Донбасс - Москва под предлогом чрезмерно крупных затрат.</w:t>
      </w:r>
    </w:p>
    <w:p w14:paraId="3726773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На том же заседании Пальчинский сообщил о желательности установления связи с группой «Руля» - Гессен, Каминка, а Рабинович - о наличии уже связи с Дворжанчиком, через которого получается возможность сноситься с Польским правительством.</w:t>
      </w:r>
    </w:p>
    <w:p w14:paraId="59B8184D" w14:textId="77777777" w:rsidR="00B774B1" w:rsidRPr="00507A31" w:rsidRDefault="00B774B1" w:rsidP="00507A31">
      <w:pPr>
        <w:numPr>
          <w:ilvl w:val="0"/>
          <w:numId w:val="35"/>
        </w:numPr>
        <w:ind w:left="0" w:firstLine="0"/>
        <w:jc w:val="both"/>
        <w:rPr>
          <w:color w:val="000000" w:themeColor="text1"/>
          <w:sz w:val="16"/>
          <w:szCs w:val="16"/>
        </w:rPr>
      </w:pPr>
      <w:r w:rsidRPr="00507A31">
        <w:rPr>
          <w:color w:val="000000" w:themeColor="text1"/>
          <w:sz w:val="16"/>
          <w:szCs w:val="16"/>
        </w:rPr>
        <w:t>Летом на заседании Центра в Госплане присутствовали Пальчинский, Рабинович, Хренников, Стрижов, Ларичев, Рамзин и Чарновский.</w:t>
      </w:r>
    </w:p>
    <w:p w14:paraId="068918F8"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докладу Рабиновича, по угольной промышленности, намечали следующие основные линии: замедление темпов путем главным образом торможения механизации добычи, задержки капитального и жилищного строительства, задержки разведочных работ и задержки электростроительства в Донбассе.</w:t>
      </w:r>
    </w:p>
    <w:p w14:paraId="548F9126"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докладу Стрижова, по нефтяной промышленности, намечено помимо общей установки на торможение добычи, создать отставание нефтеразведок и задерживать обновление и расширение нефтеперегонных заводов; отдельно отмечалась необходимость задержки крекинг-установок для сокращения выхода экспортного бензина и мероприятия по линии ассортимента получаемых нефтепродуктов.</w:t>
      </w:r>
    </w:p>
    <w:p w14:paraId="22C03B58"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докладу Рамзина, в области энергохозяйства, приняты основные линии: а) на создание кризисов электроснабжения путем задержки электростроительства в наиболее важных пунктах - Донбасс, Ленинград, Москва, Кизел, Кузбасс, б) на удорожание станций путем нерационального проектирования их, в) на отказ от советского оборудования и требование заграничных мантий, г) на растягивание сроков постройки электростанций.</w:t>
      </w:r>
    </w:p>
    <w:p w14:paraId="43B15EF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вопросу о структуре Центра и его органов Пальчинский считал необходимым и впредь поддерживать имеющуюся цепочную структуру, как наиболее отвечающую целям конспирации. Далее было сообщено о росте влияния Центра в Госплане и ВСНХ СССР.</w:t>
      </w:r>
    </w:p>
    <w:p w14:paraId="0694BB7E" w14:textId="77777777" w:rsidR="00B774B1" w:rsidRPr="00507A31" w:rsidRDefault="00B774B1" w:rsidP="00507A31">
      <w:pPr>
        <w:pStyle w:val="rtecenter"/>
        <w:spacing w:before="0" w:after="0"/>
        <w:jc w:val="both"/>
        <w:rPr>
          <w:color w:val="000000" w:themeColor="text1"/>
          <w:sz w:val="16"/>
          <w:szCs w:val="16"/>
        </w:rPr>
      </w:pPr>
      <w:r w:rsidRPr="00507A31">
        <w:rPr>
          <w:color w:val="000000" w:themeColor="text1"/>
          <w:sz w:val="16"/>
          <w:szCs w:val="16"/>
        </w:rPr>
        <w:t>1927 - II половина</w:t>
      </w:r>
    </w:p>
    <w:p w14:paraId="12E98620"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Во второй половине 1927 г. у меня был перерыв на 1/2 года, вследствие моего отъезда заграницу. В моем отсутствии[,] насколько мне известно, продолжалось обсуждение мероприятий Центра по отдельным отраслям промышленности, продолжалось обсуждение вопросов программы и тактики Центра и прошел ряд совещаний с представителем ТКП, Пальчинским, Рабиновичем поднят вопрос о создании политической партии.</w:t>
      </w:r>
    </w:p>
    <w:p w14:paraId="23CB39B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Перед моим отъездом заграницу, ввиду того, что я должен был ехать в Америку через Францию, Пальчинский просил меня увидеться с Рябушинским и постараться выявить отношение бело-эмигрантских кругов к контурам намеченной Центром платформы.</w:t>
      </w:r>
    </w:p>
    <w:p w14:paraId="4670FA64"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 xml:space="preserve">Мое свидание с П. П. Рябушинским имело место в Париже в августе 1927 года. Приехав в Париж я написал Рябушинскому письмо, с просьбой поговорить со мною по поручению Пальчинского и Федотова, указав желательный способ свидания, обеспечивающий необходимую конспирацию. П. П. Рябушинский прислал за мною в условленное место закрытый автомобиль, и мы затем, остановившись на углу Больших бульваров посадили П. П. Рябушинского. Вся беседа происходила в автомобиле во время поездки по городу и паркам. Я изложил основные программные установки Центра, выявившиеся к моему отъезду, и указал на затруднения при возврате фабрик и заводов. В результате обсуждения был намечен как возможный вариант способ акционирования изношенных, сильно изменившихся и новых предприятий, с их обезличением и общим управлением на началах акционерных обществ с тем, что прежние владельцы будут компенсированы соответствующим числом таких акций. По мнению П. П. Рябушинского такой путь представляется целесообразным и с точки зрения удобства мобилизации белоэмигрантских капиталов для интервенции и других расходов, позволяя учесть при будущем распределении акций эти затраты отдельных фирм. По вопросу о форме правления особых </w:t>
      </w:r>
      <w:r w:rsidRPr="00507A31">
        <w:rPr>
          <w:color w:val="000000" w:themeColor="text1"/>
          <w:sz w:val="16"/>
          <w:szCs w:val="16"/>
        </w:rPr>
        <w:lastRenderedPageBreak/>
        <w:t>возражений не было, что же касается земельного вопроса, то на него П. П. Рябушинский не дал ответа, сказав, что это еще требует обсуждения. Но по своим общим установкам программа Центра не встретила сколько[-]нибудь настойчивых возражений.</w:t>
      </w:r>
    </w:p>
    <w:p w14:paraId="7742A5E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вопросу о тактике никаких новых директив, кроме уже проводимых Центром, Рябушинский не давал.</w:t>
      </w:r>
    </w:p>
    <w:p w14:paraId="52E40F2C" w14:textId="77777777" w:rsidR="00B774B1" w:rsidRPr="00507A31" w:rsidRDefault="00B774B1" w:rsidP="00507A31">
      <w:pPr>
        <w:pStyle w:val="rtecenter"/>
        <w:spacing w:before="0" w:after="0"/>
        <w:jc w:val="both"/>
        <w:rPr>
          <w:color w:val="000000" w:themeColor="text1"/>
          <w:sz w:val="16"/>
          <w:szCs w:val="16"/>
        </w:rPr>
      </w:pPr>
      <w:r w:rsidRPr="00507A31">
        <w:rPr>
          <w:color w:val="000000" w:themeColor="text1"/>
          <w:sz w:val="16"/>
          <w:szCs w:val="16"/>
        </w:rPr>
        <w:t>1928 — I [половина]</w:t>
      </w:r>
    </w:p>
    <w:p w14:paraId="1226ECEB" w14:textId="77777777" w:rsidR="00B774B1" w:rsidRPr="00507A31" w:rsidRDefault="00B774B1" w:rsidP="00507A31">
      <w:pPr>
        <w:numPr>
          <w:ilvl w:val="0"/>
          <w:numId w:val="36"/>
        </w:numPr>
        <w:ind w:left="0" w:firstLine="0"/>
        <w:jc w:val="both"/>
        <w:rPr>
          <w:color w:val="000000" w:themeColor="text1"/>
          <w:sz w:val="16"/>
          <w:szCs w:val="16"/>
        </w:rPr>
      </w:pPr>
      <w:r w:rsidRPr="00507A31">
        <w:rPr>
          <w:color w:val="000000" w:themeColor="text1"/>
          <w:sz w:val="16"/>
          <w:szCs w:val="16"/>
        </w:rPr>
        <w:t>На совещании Центра зимою в ВСНХ в составе Пальчинский, Хренников, Чарновский, Калинников, Ларичев и Рамзин было сделано</w:t>
      </w:r>
    </w:p>
    <w:p w14:paraId="7A5BB65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Пальчинским и мною сообщение о директивах из заграницы, подтверждающих прежнюю тактику Центра. Далее констатировали, что политический облик Центра уже в основном определился, что несмотря на разгром Шахтинской группы и арест ряда членов Центра деятельность последнего все расширяется, охватывая все более широкие круги руководящего инженерства, поэтому необходимо расширить базу Центра, превратив его в политическую партию по примеру ТКП.</w:t>
      </w:r>
    </w:p>
    <w:p w14:paraId="2B6FA9BC"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Несмотря на наличие некоторых возражений, общее отношение участников совещания к превращению Центра в партию было положительное.</w:t>
      </w:r>
    </w:p>
    <w:p w14:paraId="75CF61B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На совещании отмечалась необходимость большей осторожности и конспирации в связи с арестом Рабиновича и ряда членов организации.</w:t>
      </w:r>
    </w:p>
    <w:p w14:paraId="2FE3BFAF" w14:textId="77777777" w:rsidR="00B774B1" w:rsidRPr="00507A31" w:rsidRDefault="00B774B1" w:rsidP="00507A31">
      <w:pPr>
        <w:numPr>
          <w:ilvl w:val="0"/>
          <w:numId w:val="37"/>
        </w:numPr>
        <w:ind w:left="0" w:firstLine="0"/>
        <w:jc w:val="both"/>
        <w:rPr>
          <w:color w:val="000000" w:themeColor="text1"/>
          <w:sz w:val="16"/>
          <w:szCs w:val="16"/>
        </w:rPr>
      </w:pPr>
      <w:r w:rsidRPr="00507A31">
        <w:rPr>
          <w:color w:val="000000" w:themeColor="text1"/>
          <w:sz w:val="16"/>
          <w:szCs w:val="16"/>
        </w:rPr>
        <w:t>На совещании Центра в ВАИ в составе Пальчинский, Хренников, Рамзин, Федотов и Чарновский обсуждались главным образом вопросы, касающиеся партийного оформления.</w:t>
      </w:r>
    </w:p>
    <w:p w14:paraId="4F3D642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поводу названия партии имелись различные предложения — Промышленная Партия, Национальная Партия, Союз Освобождения, Национально-Демократическая партия и др., однако, доминирующим названием было первое. Пальчинский сообщил, что согласно сведений, полученных им из заграницы, можно ориентироваться на интервенцию примерно через 2 года, т. е. в 1930 году, поэтому необходимо вести работу с таким расчетом, чтобы приурочить к этому времени момент всеобщего кризиса. Руководительницей интервенции будет Франция, ибо бывшие русские промышленники уже имели благоприятные разговоры с Брианом и Пуанкаре, но непосредственное проведение военных операций будет выполнено, вероятно, Польшей и Румынией с привлечением лимитрофов; участие Чехо-Словакии и Юго-Славии не исключено, но сомнительно; непосредственным военным руководителем интервенционных войск выдвигается заграницей генерал Лукомский.</w:t>
      </w:r>
    </w:p>
    <w:p w14:paraId="013731BD"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При дальнейшем обсуждении вопроса о возможном будущем правительстве указывалось, что решение этого вопроса в значительной степени будет дано из заграницы. На заседании считали бесспорной кандидатуру на пост премьер-министра Пальчинского; в качестве военного министра — Пальчинского и Лукомского, место министра земледелия предполагали заместить по указанию ТКП, в частности называлась и кандидатура А. В. Чаянова; на место министра иностранных дел Пальчинский выдвинул кандидатуру проф. Тарле; наибольшие затруднения возникали при подыскании кандидата на место министров Торговли, Промышленности, Финансов и министра Внутренних дел.</w:t>
      </w:r>
    </w:p>
    <w:p w14:paraId="3D7BDAC7"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Указывалось, что естественным кандидатом на один из этих постов является П. П. Рябушинский, одновременно на пост министра промышленности настойчиво выдвигалась также кандидатура Хренникова.</w:t>
      </w:r>
    </w:p>
    <w:p w14:paraId="5384EA32" w14:textId="77777777" w:rsidR="00B774B1" w:rsidRPr="00507A31" w:rsidRDefault="00B774B1" w:rsidP="00507A31">
      <w:pPr>
        <w:numPr>
          <w:ilvl w:val="0"/>
          <w:numId w:val="38"/>
        </w:numPr>
        <w:ind w:left="0" w:firstLine="0"/>
        <w:jc w:val="both"/>
        <w:rPr>
          <w:color w:val="000000" w:themeColor="text1"/>
          <w:sz w:val="16"/>
          <w:szCs w:val="16"/>
        </w:rPr>
      </w:pPr>
      <w:r w:rsidRPr="00507A31">
        <w:rPr>
          <w:color w:val="000000" w:themeColor="text1"/>
          <w:sz w:val="16"/>
          <w:szCs w:val="16"/>
        </w:rPr>
        <w:t>На заседании Центра весною в Госплане присутствовали Хренников, Калинников, Ларичев, Федотов, Рамзии, Пальчинский. Обсуждались вопросы, касающиеся текущей тактики. В связи с намеченным большим объемом нового капитального строительства был выдвинут и одобрен новый тактический прием, сводящийся к возможному омертвлению капиталов путем вкладывания их в длительные и дорогие сооружения и постройки, в строительные объекты, не нужные для данного момента, но желательные для будущего, при чем было предложено по отраслевым группам конкретно проработать эту директиву.</w:t>
      </w:r>
    </w:p>
    <w:p w14:paraId="2D1966AB"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Кроме того, назывались кандидатуры в состав будущего правительства. Помимо повторения кандидатур, называвшихся ранее, насколько я припоминаю[,] выдвигались еще следующие имена: министерство промышленности и торговли Рабинович, Калинников; внутренних дел — проф. Вормс, Чарновский; финансов — Озеров И. X., Вышнеградский, Давыдов, Рабинович; земледелия — Билимович.</w:t>
      </w:r>
    </w:p>
    <w:p w14:paraId="4284742E" w14:textId="77777777" w:rsidR="00B774B1" w:rsidRPr="00507A31" w:rsidRDefault="00B774B1" w:rsidP="00507A31">
      <w:pPr>
        <w:numPr>
          <w:ilvl w:val="0"/>
          <w:numId w:val="39"/>
        </w:numPr>
        <w:ind w:left="0" w:firstLine="0"/>
        <w:jc w:val="both"/>
        <w:rPr>
          <w:color w:val="000000" w:themeColor="text1"/>
          <w:sz w:val="16"/>
          <w:szCs w:val="16"/>
        </w:rPr>
      </w:pPr>
      <w:r w:rsidRPr="00507A31">
        <w:rPr>
          <w:color w:val="000000" w:themeColor="text1"/>
          <w:sz w:val="16"/>
          <w:szCs w:val="16"/>
        </w:rPr>
        <w:t>Летом на заседании в Госплане были Пальчинский, Хренников, Ларичев, Рамзии, Федотов, Калинников. Основным вопросом обсуждения был блок с ТКП и усиление организационных связей между промышленной и крестьянской партиями. Пальчинский предложил на основе своих переговоров с ТКП создать контактный орган в виде Объединенного Центра, основной задачей которого должно являться обсуждение вопросов совместной тактики. Со стороны ТКП в этот орган намечены кандидатуры Кондратьева, Макарова и Громана. После обсуждения с нашей стороны были введены Чарновский и Рамзин.</w:t>
      </w:r>
    </w:p>
    <w:p w14:paraId="6E69DC2E"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вопросу о позиции Промышленной Партии в объединенном Центре в смысле распределения мест будущего правительства дана общая установка, что число мест за каждой партией должно определяться долею их участия в совершении переворота; если последний целиком будет выполнен при помощи интервенции, можно дать ТКП минимум мест — министра земледелия и еще 1-2 места, если же, наоборот, при перевороте придется ориентироваться почти или совершенно на силы ТКП, то естественно, что неизбежно придется уступить им доминирующее влияние. Таким образом, вопрос о распределении мест должен решаться путем реального соотношения сил.</w:t>
      </w:r>
    </w:p>
    <w:p w14:paraId="6E30B7E2"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Мелкие вопросы текущей тактики заняли конец совещания.</w:t>
      </w:r>
    </w:p>
    <w:p w14:paraId="5E0B5DF3"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Здесь я имею снова перерыв в посещении заседания ЦК Промышленной Партии, вследствие длительного отъезда из Москвы.</w:t>
      </w:r>
    </w:p>
    <w:p w14:paraId="75200F10" w14:textId="77777777" w:rsidR="00B774B1" w:rsidRPr="00507A31" w:rsidRDefault="00B774B1" w:rsidP="00507A31">
      <w:pPr>
        <w:pStyle w:val="rtecenter"/>
        <w:spacing w:before="0" w:after="0"/>
        <w:jc w:val="both"/>
        <w:rPr>
          <w:color w:val="000000" w:themeColor="text1"/>
          <w:sz w:val="16"/>
          <w:szCs w:val="16"/>
        </w:rPr>
      </w:pPr>
      <w:r w:rsidRPr="00507A31">
        <w:rPr>
          <w:color w:val="000000" w:themeColor="text1"/>
          <w:sz w:val="16"/>
          <w:szCs w:val="16"/>
        </w:rPr>
        <w:t>1928 — II [половина]</w:t>
      </w:r>
    </w:p>
    <w:p w14:paraId="69EEC635"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Произошедшие аресты Пальчинского, Хренникова, Красовского, Стрижова и целого ряда видных и активных членов организации создали естественный перерыв в собраниях Ц.К., главным образом вследствие риска подобных собраний. В это время происходили лишь встречи отдельных членов ЦК и продолжалась работа уцелевших отраслевых групп.</w:t>
      </w:r>
    </w:p>
    <w:p w14:paraId="0836C097" w14:textId="77777777" w:rsidR="00B774B1" w:rsidRPr="00507A31" w:rsidRDefault="00B774B1" w:rsidP="00507A31">
      <w:pPr>
        <w:numPr>
          <w:ilvl w:val="0"/>
          <w:numId w:val="40"/>
        </w:numPr>
        <w:ind w:left="0" w:firstLine="0"/>
        <w:jc w:val="both"/>
        <w:rPr>
          <w:color w:val="000000" w:themeColor="text1"/>
          <w:sz w:val="16"/>
          <w:szCs w:val="16"/>
        </w:rPr>
      </w:pPr>
      <w:r w:rsidRPr="00507A31">
        <w:rPr>
          <w:color w:val="000000" w:themeColor="text1"/>
          <w:sz w:val="16"/>
          <w:szCs w:val="16"/>
        </w:rPr>
        <w:t>Такое групповое совещание было в Госплане в конце 1928 года, на котором были Ларичев, Федотов, Чарновский и Рамзин. Было решено попытаться восстановить работу и образовать новый ЦК из остатков старого, но после некоторого перерыва.</w:t>
      </w:r>
    </w:p>
    <w:p w14:paraId="37871275" w14:textId="77777777" w:rsidR="00B774B1" w:rsidRPr="00507A31" w:rsidRDefault="00B774B1" w:rsidP="00507A31">
      <w:pPr>
        <w:pStyle w:val="rtecenter"/>
        <w:spacing w:before="0" w:after="0"/>
        <w:jc w:val="both"/>
        <w:rPr>
          <w:color w:val="000000" w:themeColor="text1"/>
          <w:sz w:val="16"/>
          <w:szCs w:val="16"/>
        </w:rPr>
      </w:pPr>
      <w:r w:rsidRPr="00507A31">
        <w:rPr>
          <w:color w:val="000000" w:themeColor="text1"/>
          <w:sz w:val="16"/>
          <w:szCs w:val="16"/>
        </w:rPr>
        <w:t>1929 г.</w:t>
      </w:r>
    </w:p>
    <w:p w14:paraId="53DBF5C8"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Весною в Госплане после ряда летучих переговоров и свиданий отдельных членов Центра состоялось совещание, которое является уже заседанием нового ЦК Промпартии. Совещание было в составе Федотов, Рамзин, Чарновский, Ларичев и Калинников.</w:t>
      </w:r>
    </w:p>
    <w:p w14:paraId="3870ED59"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По обсуждении положения, пришли к следующим выводам. Главной задачей является теперь додержаться до начала интервенции; поэтому основная тактика должна быть направлена на сохранение головки Промпартии и ее кадров, хотя бы ценою ослабления руководства отраслевыми и низовыми ячейками, тем более, что кризис уже начался и будет неизбежно углубляться сам собою. Поэтому необходимо вести работу с максимальной осторожностью. В целях такой осторожности решено совершенно отказаться от прежней тактики минималистских планов, как неосуществимой и явно опасной, и наоборот[,] если удастся без риска перегибать планы в сторону их преувеличения; перевести работу виднейших членов организации в плоскость рациональных технических построений, ибо их результаты будут полезны для будущего государства.</w:t>
      </w:r>
    </w:p>
    <w:p w14:paraId="5F4E3431" w14:textId="77777777" w:rsidR="00B774B1" w:rsidRPr="00507A31" w:rsidRDefault="00B774B1" w:rsidP="00507A31">
      <w:pPr>
        <w:pStyle w:val="rtejustify"/>
        <w:spacing w:before="0" w:after="0"/>
        <w:rPr>
          <w:color w:val="000000" w:themeColor="text1"/>
          <w:sz w:val="16"/>
          <w:szCs w:val="16"/>
        </w:rPr>
      </w:pPr>
      <w:r w:rsidRPr="00507A31">
        <w:rPr>
          <w:color w:val="000000" w:themeColor="text1"/>
          <w:sz w:val="16"/>
          <w:szCs w:val="16"/>
        </w:rPr>
        <w:t>В течение всего последующего времени я не помню больше пленарных собраний ЦК Промпартии, ибо до последнего разгрома организации с арестом Федотова и Ларичева я имел лишь встречи с отдельными членами ЦК или в небольших группах.</w:t>
      </w:r>
    </w:p>
    <w:p w14:paraId="563512DE" w14:textId="77777777" w:rsidR="00B774B1" w:rsidRPr="00507A31" w:rsidRDefault="00B774B1" w:rsidP="00507A31">
      <w:pPr>
        <w:pStyle w:val="ae"/>
        <w:spacing w:before="0" w:after="0"/>
        <w:jc w:val="both"/>
        <w:rPr>
          <w:color w:val="000000" w:themeColor="text1"/>
          <w:sz w:val="16"/>
          <w:szCs w:val="16"/>
        </w:rPr>
      </w:pPr>
      <w:r w:rsidRPr="00507A31">
        <w:rPr>
          <w:color w:val="000000" w:themeColor="text1"/>
          <w:sz w:val="16"/>
          <w:szCs w:val="16"/>
        </w:rPr>
        <w:t>Л. Рамзин</w:t>
      </w:r>
    </w:p>
    <w:p w14:paraId="4D21AB09" w14:textId="77777777" w:rsidR="00B774B1" w:rsidRPr="00507A31" w:rsidRDefault="00B774B1" w:rsidP="00507A31">
      <w:pPr>
        <w:pStyle w:val="ae"/>
        <w:spacing w:before="0" w:after="0"/>
        <w:jc w:val="both"/>
        <w:rPr>
          <w:color w:val="000000" w:themeColor="text1"/>
          <w:sz w:val="16"/>
          <w:szCs w:val="16"/>
        </w:rPr>
      </w:pPr>
      <w:r w:rsidRPr="00507A31">
        <w:rPr>
          <w:color w:val="000000" w:themeColor="text1"/>
          <w:sz w:val="16"/>
          <w:szCs w:val="16"/>
        </w:rPr>
        <w:t>Допросили;</w:t>
      </w:r>
    </w:p>
    <w:p w14:paraId="1FAB50B0" w14:textId="77777777" w:rsidR="00B774B1" w:rsidRPr="00507A31" w:rsidRDefault="00B774B1" w:rsidP="00507A31">
      <w:pPr>
        <w:pStyle w:val="ae"/>
        <w:spacing w:before="0" w:after="0"/>
        <w:jc w:val="both"/>
        <w:rPr>
          <w:color w:val="000000" w:themeColor="text1"/>
          <w:sz w:val="16"/>
          <w:szCs w:val="16"/>
        </w:rPr>
      </w:pPr>
      <w:r w:rsidRPr="00507A31">
        <w:rPr>
          <w:color w:val="000000" w:themeColor="text1"/>
          <w:sz w:val="16"/>
          <w:szCs w:val="16"/>
        </w:rPr>
        <w:t>Пом. Нач. СОУ ОГПУ Я. Агранов</w:t>
      </w:r>
    </w:p>
    <w:p w14:paraId="0A43304E" w14:textId="77777777" w:rsidR="00B774B1" w:rsidRPr="00507A31" w:rsidRDefault="00B774B1" w:rsidP="00507A31">
      <w:pPr>
        <w:pStyle w:val="ae"/>
        <w:spacing w:before="0" w:after="0"/>
        <w:jc w:val="both"/>
        <w:rPr>
          <w:color w:val="000000" w:themeColor="text1"/>
          <w:sz w:val="16"/>
          <w:szCs w:val="16"/>
        </w:rPr>
      </w:pPr>
      <w:r w:rsidRPr="00507A31">
        <w:rPr>
          <w:color w:val="000000" w:themeColor="text1"/>
          <w:sz w:val="16"/>
          <w:szCs w:val="16"/>
        </w:rPr>
        <w:t>Пом. Нач. 3-го отд. СО ОГПУ Радзивиловский</w:t>
      </w:r>
    </w:p>
    <w:p w14:paraId="4EA0D4EF" w14:textId="77777777" w:rsidR="00B774B1" w:rsidRPr="00507A31" w:rsidRDefault="00B774B1" w:rsidP="00507A31">
      <w:pPr>
        <w:pStyle w:val="ae"/>
        <w:spacing w:before="0" w:after="0"/>
        <w:jc w:val="both"/>
        <w:rPr>
          <w:color w:val="000000" w:themeColor="text1"/>
          <w:sz w:val="16"/>
          <w:szCs w:val="16"/>
        </w:rPr>
      </w:pPr>
      <w:r w:rsidRPr="00507A31">
        <w:rPr>
          <w:rStyle w:val="af0"/>
          <w:i w:val="0"/>
          <w:color w:val="000000" w:themeColor="text1"/>
          <w:sz w:val="16"/>
          <w:szCs w:val="16"/>
        </w:rPr>
        <w:t>ГА РФ. Ф. 9474. On. 7. Д. 405. Л. 2-9 об., 15-30. (А) Рукописный подлинник, автограф Л. К. Ратина. Текст на 34-х стр., в конце каждой страницы — заверительная подпись-автограф Рашина. Отдельные слова, в основном фамилии, подчеркнуты синим карандашом. На Л. 1 делопроизводственная записка машинописью: Не включены в копию протокола допроса РАМЗИНА от 21 сентября следующие страницы подлинника:</w:t>
      </w:r>
    </w:p>
    <w:p w14:paraId="0B15C24C" w14:textId="77777777" w:rsidR="00B774B1" w:rsidRPr="00507A31" w:rsidRDefault="00B774B1" w:rsidP="00507A31">
      <w:pPr>
        <w:numPr>
          <w:ilvl w:val="0"/>
          <w:numId w:val="41"/>
        </w:numPr>
        <w:ind w:left="0" w:firstLine="0"/>
        <w:jc w:val="both"/>
        <w:rPr>
          <w:color w:val="000000" w:themeColor="text1"/>
          <w:sz w:val="16"/>
          <w:szCs w:val="16"/>
        </w:rPr>
      </w:pPr>
      <w:r w:rsidRPr="00507A31">
        <w:rPr>
          <w:rStyle w:val="af0"/>
          <w:i w:val="0"/>
          <w:color w:val="000000" w:themeColor="text1"/>
          <w:sz w:val="16"/>
          <w:szCs w:val="16"/>
        </w:rPr>
        <w:t>стр. 16, п. 16 — Денежные источники</w:t>
      </w:r>
    </w:p>
    <w:p w14:paraId="5CCB9F8B" w14:textId="77777777" w:rsidR="00B774B1" w:rsidRPr="00507A31" w:rsidRDefault="00B774B1" w:rsidP="00507A31">
      <w:pPr>
        <w:numPr>
          <w:ilvl w:val="0"/>
          <w:numId w:val="41"/>
        </w:numPr>
        <w:ind w:left="0" w:firstLine="0"/>
        <w:jc w:val="both"/>
        <w:rPr>
          <w:color w:val="000000" w:themeColor="text1"/>
          <w:sz w:val="16"/>
          <w:szCs w:val="16"/>
        </w:rPr>
      </w:pPr>
      <w:r w:rsidRPr="00507A31">
        <w:rPr>
          <w:rStyle w:val="af0"/>
          <w:i w:val="0"/>
          <w:color w:val="000000" w:themeColor="text1"/>
          <w:sz w:val="16"/>
          <w:szCs w:val="16"/>
        </w:rPr>
        <w:t>стр. 20 (4 листа вставки) — п. 20 — Террористические группы</w:t>
      </w:r>
    </w:p>
    <w:p w14:paraId="0AB491B5" w14:textId="77777777" w:rsidR="00B774B1" w:rsidRPr="00507A31" w:rsidRDefault="00B774B1" w:rsidP="00507A31">
      <w:pPr>
        <w:numPr>
          <w:ilvl w:val="0"/>
          <w:numId w:val="41"/>
        </w:numPr>
        <w:ind w:left="0" w:firstLine="0"/>
        <w:jc w:val="both"/>
        <w:rPr>
          <w:color w:val="000000" w:themeColor="text1"/>
          <w:sz w:val="16"/>
          <w:szCs w:val="16"/>
        </w:rPr>
      </w:pPr>
      <w:r w:rsidRPr="00507A31">
        <w:rPr>
          <w:rStyle w:val="af0"/>
          <w:i w:val="0"/>
          <w:color w:val="000000" w:themeColor="text1"/>
          <w:sz w:val="16"/>
          <w:szCs w:val="16"/>
        </w:rPr>
        <w:t>стр. 21 — исключено начало страницы (относится к стр. 16 Денежные источники)</w:t>
      </w:r>
    </w:p>
    <w:p w14:paraId="4C468A0B" w14:textId="77777777" w:rsidR="00B774B1" w:rsidRPr="00507A31" w:rsidRDefault="00B774B1" w:rsidP="00507A31">
      <w:pPr>
        <w:numPr>
          <w:ilvl w:val="0"/>
          <w:numId w:val="41"/>
        </w:numPr>
        <w:ind w:left="0" w:firstLine="0"/>
        <w:jc w:val="both"/>
        <w:rPr>
          <w:color w:val="000000" w:themeColor="text1"/>
          <w:sz w:val="16"/>
          <w:szCs w:val="16"/>
        </w:rPr>
      </w:pPr>
      <w:r w:rsidRPr="00507A31">
        <w:rPr>
          <w:rStyle w:val="af0"/>
          <w:i w:val="0"/>
          <w:color w:val="000000" w:themeColor="text1"/>
          <w:sz w:val="16"/>
          <w:szCs w:val="16"/>
        </w:rPr>
        <w:t>стр. 23 — исключен 22 пункт — Связь с Трудовой Крест. Партией. (Раздел «Связь с Трудовой Крестьянской партией» вошел в типографский экземпляр показаний Рашина от 21 сентября 1930 г.).</w:t>
      </w:r>
    </w:p>
    <w:p w14:paraId="492AB82A" w14:textId="77777777" w:rsidR="00B774B1" w:rsidRPr="00507A31" w:rsidRDefault="00B774B1" w:rsidP="00507A31">
      <w:pPr>
        <w:pStyle w:val="ae"/>
        <w:spacing w:before="0" w:after="0"/>
        <w:jc w:val="both"/>
        <w:rPr>
          <w:color w:val="000000" w:themeColor="text1"/>
          <w:sz w:val="16"/>
          <w:szCs w:val="16"/>
        </w:rPr>
      </w:pPr>
      <w:r w:rsidRPr="00507A31">
        <w:rPr>
          <w:rStyle w:val="af0"/>
          <w:i w:val="0"/>
          <w:color w:val="000000" w:themeColor="text1"/>
          <w:sz w:val="16"/>
          <w:szCs w:val="16"/>
        </w:rPr>
        <w:t>На Л. 17 об. написанный рукой Рашина и зачеркнутый текст: Вставка к стр. 21.</w:t>
      </w:r>
    </w:p>
    <w:p w14:paraId="06E7F9E1" w14:textId="77777777" w:rsidR="00B774B1" w:rsidRPr="00507A31" w:rsidRDefault="00B774B1" w:rsidP="00507A31">
      <w:pPr>
        <w:pStyle w:val="ae"/>
        <w:spacing w:before="0" w:after="0"/>
        <w:jc w:val="both"/>
        <w:rPr>
          <w:color w:val="000000" w:themeColor="text1"/>
          <w:sz w:val="16"/>
          <w:szCs w:val="16"/>
        </w:rPr>
      </w:pPr>
      <w:r w:rsidRPr="00507A31">
        <w:rPr>
          <w:color w:val="000000" w:themeColor="text1"/>
          <w:sz w:val="16"/>
          <w:szCs w:val="16"/>
        </w:rPr>
        <w:t>Ввиду того, что все указанные лица были мне хорошо знакомы, и я мог рискнуть на них положиться, я согласился переговорить с ними, но для осторожности с каждым наедине в моем кабинете в Теплотехническом Институте. При этом я сообщил каждому примерно то же самое, что и студ. Риссаку. Из разговора с Н. А. Давидовым я узнал, что группу предполагается согранизовать примерно до 8 человек. Инженеры Козлинский, Мороз и Липпе принадлежат к комсоставу запаса.</w:t>
      </w:r>
    </w:p>
    <w:p w14:paraId="0C69DF51" w14:textId="77777777" w:rsidR="00B774B1" w:rsidRPr="00507A31" w:rsidRDefault="00B774B1" w:rsidP="00507A31">
      <w:pPr>
        <w:pStyle w:val="ae"/>
        <w:spacing w:before="0" w:after="0"/>
        <w:jc w:val="both"/>
        <w:rPr>
          <w:color w:val="000000" w:themeColor="text1"/>
          <w:sz w:val="16"/>
          <w:szCs w:val="16"/>
        </w:rPr>
      </w:pPr>
      <w:r w:rsidRPr="00507A31">
        <w:rPr>
          <w:color w:val="000000" w:themeColor="text1"/>
          <w:sz w:val="16"/>
          <w:szCs w:val="16"/>
        </w:rPr>
        <w:t>В одном разговоре со мной Давидов указал, что при невозможности выступлений в ближайшее время хранить оружие было бы нецелесообразно, тем более, что достать оружие нетрудно (подпись-автограф Рамзина). Этот текст воспроизведен (не дословно) на Л. 19 в начале вставки к стр. 21: «Ввиду того, что все указанные лица были мне хорошо знакомы и я мог на них положиться, я согласился переговорить с ними, но для осторожности с каждым наедине, в моем кабинете в Теплотехническом Институте. Каждому из них я указал на [...]».</w:t>
      </w:r>
    </w:p>
    <w:p w14:paraId="54A8F134" w14:textId="77777777" w:rsidR="00B774B1" w:rsidRPr="00507A31" w:rsidRDefault="00B774B1" w:rsidP="00507A31">
      <w:pPr>
        <w:pStyle w:val="ae"/>
        <w:spacing w:before="0" w:after="0"/>
        <w:jc w:val="both"/>
        <w:rPr>
          <w:color w:val="000000" w:themeColor="text1"/>
          <w:sz w:val="16"/>
          <w:szCs w:val="16"/>
        </w:rPr>
      </w:pPr>
      <w:r w:rsidRPr="00507A31">
        <w:rPr>
          <w:rStyle w:val="af0"/>
          <w:i w:val="0"/>
          <w:color w:val="000000" w:themeColor="text1"/>
          <w:sz w:val="16"/>
          <w:szCs w:val="16"/>
        </w:rPr>
        <w:t>АП РФ. Ф. 3. On. 58. Д. 353. Л. 105-117. (Б) Типографский экземпляр того времени, составленный из двух текстов показаний Л. К. Рамзина: от начала документа до раздела 12 («Связь с белой эмиграцией...») включительно текст показаний от 21 сентября; с раздела 13 («О денежных суммах») г/ до 17 («Связь с военной промышленностью») — текст, написанный 23 сентября 1930 г. (см. следующий документ), далее (от раздела 18 до конца) снова текст показаний от 21 сентября.</w:t>
      </w:r>
    </w:p>
    <w:p w14:paraId="703A3C5E" w14:textId="77777777" w:rsidR="00B774B1" w:rsidRPr="00507A31" w:rsidRDefault="00B774B1"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Помимо отмеченных в подстрочных примечаниях, есть разночтения в написании слов: строчные или прописные буквы (Советская власть, Инженерный центр, Коммунистическая партия, Соввласть — соввласть, НЭП — нэп, Революция — революция и др.), полностью или в сокращении (инж. — инженер, проф. — профессор, </w:t>
      </w:r>
      <w:r w:rsidRPr="00507A31">
        <w:rPr>
          <w:rStyle w:val="af0"/>
          <w:i w:val="0"/>
          <w:color w:val="000000" w:themeColor="text1"/>
          <w:sz w:val="16"/>
          <w:szCs w:val="16"/>
        </w:rPr>
        <w:lastRenderedPageBreak/>
        <w:t>ок. — около, напр. — например, г. — год, т. — тыс.), в кавычках или без (клуб «Горных Деятелей», газ. «Руль», «детских болезней» и др.). Имеются стилистические разночтения, не меняющие сути. Неоднократные случаи неверного прочтения рукописного текста отражены в подстрочнике.</w:t>
      </w:r>
    </w:p>
    <w:p w14:paraId="052AD23F" w14:textId="77777777" w:rsidR="00B774B1" w:rsidRPr="00507A31" w:rsidRDefault="00B774B1" w:rsidP="00507A31">
      <w:pPr>
        <w:pStyle w:val="ae"/>
        <w:spacing w:before="0" w:after="0"/>
        <w:jc w:val="both"/>
        <w:rPr>
          <w:color w:val="000000" w:themeColor="text1"/>
          <w:sz w:val="16"/>
          <w:szCs w:val="16"/>
        </w:rPr>
      </w:pPr>
      <w:r w:rsidRPr="00507A31">
        <w:rPr>
          <w:rStyle w:val="af0"/>
          <w:i w:val="0"/>
          <w:color w:val="000000" w:themeColor="text1"/>
          <w:sz w:val="16"/>
          <w:szCs w:val="16"/>
        </w:rPr>
        <w:t>Опубликовано: Судебный процесс «Промпартии» 1930 г.: подготовка, проведение, итоги: в 2 кн. Кн. 1. М., 2016. С. 132-163.</w:t>
      </w:r>
    </w:p>
    <w:p w14:paraId="56D0642C" w14:textId="77777777" w:rsidR="00B774B1" w:rsidRPr="00507A31" w:rsidRDefault="00B774B1" w:rsidP="00507A31">
      <w:pPr>
        <w:pStyle w:val="ae"/>
        <w:spacing w:before="0" w:after="0"/>
        <w:jc w:val="both"/>
        <w:rPr>
          <w:color w:val="000000" w:themeColor="text1"/>
          <w:sz w:val="16"/>
          <w:szCs w:val="16"/>
        </w:rPr>
      </w:pPr>
      <w:r w:rsidRPr="00507A31">
        <w:rPr>
          <w:rStyle w:val="af0"/>
          <w:i w:val="0"/>
          <w:color w:val="000000" w:themeColor="text1"/>
          <w:sz w:val="16"/>
          <w:szCs w:val="16"/>
        </w:rPr>
        <w:t>ЦА ФСБ РФ. Ф. Р-42280. Т. 10. Л. 13-56. (В) Заверенная машинописная копия того времени, экземпляр, идентичный Б. (18707)</w:t>
      </w:r>
    </w:p>
    <w:p w14:paraId="139FC90C" w14:textId="77777777" w:rsidR="00B774B1" w:rsidRPr="00507A31" w:rsidRDefault="00B774B1" w:rsidP="00507A31">
      <w:pPr>
        <w:jc w:val="both"/>
        <w:rPr>
          <w:color w:val="000000" w:themeColor="text1"/>
          <w:sz w:val="16"/>
          <w:szCs w:val="16"/>
        </w:rPr>
      </w:pPr>
    </w:p>
    <w:p w14:paraId="73F09BC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0946FD6" w14:textId="77777777" w:rsidR="00537E5F" w:rsidRPr="00507A31" w:rsidRDefault="00537E5F" w:rsidP="00507A31">
      <w:pPr>
        <w:autoSpaceDE w:val="0"/>
        <w:autoSpaceDN w:val="0"/>
        <w:adjustRightInd w:val="0"/>
        <w:jc w:val="both"/>
        <w:rPr>
          <w:iCs/>
          <w:color w:val="000000" w:themeColor="text1"/>
          <w:sz w:val="16"/>
          <w:szCs w:val="16"/>
        </w:rPr>
      </w:pPr>
    </w:p>
    <w:p w14:paraId="099369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 23, 24 и 25 сентября 1930 каждый день на КАСКР выполнялось по 4-6 полетов: оп</w:t>
      </w:r>
      <w:r w:rsidRPr="00507A31">
        <w:rPr>
          <w:color w:val="000000" w:themeColor="text1"/>
          <w:sz w:val="16"/>
          <w:szCs w:val="16"/>
        </w:rPr>
        <w:softHyphen/>
        <w:t>ределялось влияние угла установки лопастей на устойчивость автожира. Высота полета достигала 30 метров, продолжительность — двух минут (10224,32).</w:t>
      </w:r>
    </w:p>
    <w:p w14:paraId="7740E1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F272A3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C8A7A88" w14:textId="77777777" w:rsidR="00537E5F" w:rsidRPr="00507A31" w:rsidRDefault="00537E5F" w:rsidP="00507A31">
      <w:pPr>
        <w:autoSpaceDE w:val="0"/>
        <w:autoSpaceDN w:val="0"/>
        <w:adjustRightInd w:val="0"/>
        <w:jc w:val="both"/>
        <w:rPr>
          <w:iCs/>
          <w:color w:val="000000" w:themeColor="text1"/>
          <w:sz w:val="16"/>
          <w:szCs w:val="16"/>
        </w:rPr>
      </w:pPr>
    </w:p>
    <w:p w14:paraId="178BA0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сентября 1930 УММ было дано заключение по акту комиссии по испытанию модернизации опытного легкого бронепоезда в составе одного бронепаровоза и двух бронеплощадок с 76 мм пушками образца 1902 г. которые проходили с 25 июня по 7 июля 1930.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(10977).</w:t>
      </w:r>
    </w:p>
    <w:p w14:paraId="62937ABB" w14:textId="77777777" w:rsidR="00537E5F" w:rsidRPr="00507A31" w:rsidRDefault="00537E5F" w:rsidP="00507A31">
      <w:pPr>
        <w:autoSpaceDE w:val="0"/>
        <w:autoSpaceDN w:val="0"/>
        <w:adjustRightInd w:val="0"/>
        <w:jc w:val="both"/>
        <w:rPr>
          <w:color w:val="000000" w:themeColor="text1"/>
          <w:sz w:val="16"/>
          <w:szCs w:val="16"/>
        </w:rPr>
      </w:pPr>
    </w:p>
    <w:p w14:paraId="4ED830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сентября 1930 была осмотрена бронировка двух паровозов ОВ по проекту бронирования паровоза типовой полусъемной броней и на складе №60 и даны указания об устранении неполадок и изменении укладки паровозного имущества. Испытания предположено выполнить в декабре 1930 г. (10977).</w:t>
      </w:r>
    </w:p>
    <w:p w14:paraId="56BDED51" w14:textId="77777777" w:rsidR="00537E5F" w:rsidRPr="00507A31" w:rsidRDefault="00537E5F" w:rsidP="00507A31">
      <w:pPr>
        <w:autoSpaceDE w:val="0"/>
        <w:autoSpaceDN w:val="0"/>
        <w:adjustRightInd w:val="0"/>
        <w:jc w:val="both"/>
        <w:rPr>
          <w:color w:val="000000" w:themeColor="text1"/>
          <w:sz w:val="16"/>
          <w:szCs w:val="16"/>
        </w:rPr>
      </w:pPr>
    </w:p>
    <w:p w14:paraId="4F461FA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0385035" w14:textId="77777777" w:rsidR="00537E5F" w:rsidRPr="00507A31" w:rsidRDefault="00537E5F" w:rsidP="00507A31">
      <w:pPr>
        <w:autoSpaceDE w:val="0"/>
        <w:autoSpaceDN w:val="0"/>
        <w:adjustRightInd w:val="0"/>
        <w:jc w:val="both"/>
        <w:rPr>
          <w:iCs/>
          <w:color w:val="000000" w:themeColor="text1"/>
          <w:sz w:val="16"/>
          <w:szCs w:val="16"/>
        </w:rPr>
      </w:pPr>
    </w:p>
    <w:p w14:paraId="1B69F0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сентября 1930 был объявлен процесс против контрреволюционного общества 48 профессоров, агрономов и руководителей предприятий пищевой промышленности, виновных в умышленном срыве продовольственных поставок. 24 сентября 1930 газеты объявили о расстреле всех 48 обвиняемых (3240).</w:t>
      </w:r>
    </w:p>
    <w:p w14:paraId="4A3FF446" w14:textId="77777777" w:rsidR="00537E5F" w:rsidRPr="00507A31" w:rsidRDefault="00537E5F" w:rsidP="00507A31">
      <w:pPr>
        <w:autoSpaceDE w:val="0"/>
        <w:autoSpaceDN w:val="0"/>
        <w:adjustRightInd w:val="0"/>
        <w:jc w:val="both"/>
        <w:rPr>
          <w:color w:val="000000" w:themeColor="text1"/>
          <w:sz w:val="16"/>
          <w:szCs w:val="16"/>
        </w:rPr>
      </w:pPr>
    </w:p>
    <w:p w14:paraId="128B01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сентября 1930 "Правда" опубликовала "признания" 48 арестованных чиновников Наркомторга и Наркомфина, которые признали себя виновными "в трудностях с продовольствием и исчезновениям серебряных денег" (10687).</w:t>
      </w:r>
    </w:p>
    <w:p w14:paraId="79BF2D42" w14:textId="77777777" w:rsidR="00537E5F" w:rsidRPr="00507A31" w:rsidRDefault="00537E5F" w:rsidP="00507A31">
      <w:pPr>
        <w:autoSpaceDE w:val="0"/>
        <w:autoSpaceDN w:val="0"/>
        <w:adjustRightInd w:val="0"/>
        <w:jc w:val="both"/>
        <w:rPr>
          <w:color w:val="000000" w:themeColor="text1"/>
          <w:sz w:val="16"/>
          <w:szCs w:val="16"/>
        </w:rPr>
      </w:pPr>
    </w:p>
    <w:p w14:paraId="3638483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8366C86" w14:textId="77777777" w:rsidR="00537E5F" w:rsidRPr="00507A31" w:rsidRDefault="00537E5F" w:rsidP="00507A31">
      <w:pPr>
        <w:autoSpaceDE w:val="0"/>
        <w:autoSpaceDN w:val="0"/>
        <w:adjustRightInd w:val="0"/>
        <w:jc w:val="both"/>
        <w:rPr>
          <w:iCs/>
          <w:color w:val="000000" w:themeColor="text1"/>
          <w:sz w:val="16"/>
          <w:szCs w:val="16"/>
        </w:rPr>
      </w:pPr>
    </w:p>
    <w:p w14:paraId="4AEE19A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23 сентября 1930 года ЦАГИ выполнило последний полет на Р7 с обрезанными по длине элеронами в рамках заводских испытаний и самолет стал готовиться к передаче в НИИ ВВС (6925).</w:t>
      </w:r>
    </w:p>
    <w:p w14:paraId="2B5B3F17"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6900EE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23-25 сентября 1930 года на И8 была проба мотора во дворе ЦАГИ (6925).</w:t>
      </w:r>
    </w:p>
    <w:p w14:paraId="3F987A9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7A33E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сентября 1930 завершились гос. испытания АНТ-10 после устранения дефектов, которые начались 11 мая 1930. Передали на повторные гос. испытания, но Р-5 был явно лучше (346,47).</w:t>
      </w:r>
    </w:p>
    <w:p w14:paraId="2C983030" w14:textId="77777777" w:rsidR="00537E5F" w:rsidRPr="00507A31" w:rsidRDefault="00537E5F" w:rsidP="00507A31">
      <w:pPr>
        <w:autoSpaceDE w:val="0"/>
        <w:autoSpaceDN w:val="0"/>
        <w:adjustRightInd w:val="0"/>
        <w:jc w:val="both"/>
        <w:rPr>
          <w:color w:val="000000" w:themeColor="text1"/>
          <w:sz w:val="16"/>
          <w:szCs w:val="16"/>
        </w:rPr>
      </w:pPr>
    </w:p>
    <w:p w14:paraId="657D5C7B" w14:textId="77777777" w:rsidR="004C57EB" w:rsidRPr="00507A31" w:rsidRDefault="004C57EB"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551B99F" w14:textId="77777777" w:rsidR="004C57EB" w:rsidRPr="00507A31" w:rsidRDefault="004C57EB" w:rsidP="00507A31">
      <w:pPr>
        <w:autoSpaceDE w:val="0"/>
        <w:autoSpaceDN w:val="0"/>
        <w:adjustRightInd w:val="0"/>
        <w:jc w:val="both"/>
        <w:rPr>
          <w:iCs/>
          <w:color w:val="000000" w:themeColor="text1"/>
          <w:sz w:val="16"/>
          <w:szCs w:val="16"/>
        </w:rPr>
      </w:pPr>
    </w:p>
    <w:p w14:paraId="7B4AC18E" w14:textId="77777777" w:rsidR="004C57EB" w:rsidRPr="00507A31" w:rsidRDefault="004C57EB" w:rsidP="00507A31">
      <w:pPr>
        <w:jc w:val="both"/>
        <w:rPr>
          <w:bCs/>
          <w:color w:val="000000" w:themeColor="text1"/>
          <w:sz w:val="16"/>
          <w:szCs w:val="16"/>
        </w:rPr>
      </w:pPr>
      <w:r w:rsidRPr="00507A31">
        <w:rPr>
          <w:color w:val="000000" w:themeColor="text1"/>
          <w:sz w:val="16"/>
          <w:szCs w:val="16"/>
        </w:rPr>
        <w:t>23 сентября 1930 г.</w:t>
      </w:r>
    </w:p>
    <w:p w14:paraId="7DF058A5" w14:textId="77777777" w:rsidR="004C57EB" w:rsidRPr="00507A31" w:rsidRDefault="004C57EB" w:rsidP="00507A31">
      <w:pPr>
        <w:jc w:val="both"/>
        <w:rPr>
          <w:bCs/>
          <w:color w:val="000000" w:themeColor="text1"/>
          <w:sz w:val="16"/>
          <w:szCs w:val="16"/>
        </w:rPr>
      </w:pPr>
      <w:r w:rsidRPr="00507A31">
        <w:rPr>
          <w:color w:val="000000" w:themeColor="text1"/>
          <w:sz w:val="16"/>
          <w:szCs w:val="16"/>
        </w:rPr>
        <w:t>Дополнительные показания Л. К. Рамзина о деятельности «Промпартии», включенные в протокол от 21 сентября 1930 г. 23 сентября 1930 г.</w:t>
      </w:r>
    </w:p>
    <w:p w14:paraId="0885C016" w14:textId="77777777" w:rsidR="004C57EB" w:rsidRPr="00507A31" w:rsidRDefault="004C57EB" w:rsidP="00507A31">
      <w:pPr>
        <w:jc w:val="both"/>
        <w:rPr>
          <w:bCs/>
          <w:color w:val="000000" w:themeColor="text1"/>
          <w:sz w:val="16"/>
          <w:szCs w:val="16"/>
        </w:rPr>
      </w:pPr>
      <w:r w:rsidRPr="00507A31">
        <w:rPr>
          <w:bCs/>
          <w:color w:val="000000" w:themeColor="text1"/>
          <w:sz w:val="16"/>
          <w:szCs w:val="16"/>
        </w:rPr>
        <w:t>Источник: </w:t>
      </w:r>
    </w:p>
    <w:p w14:paraId="0E26AF23" w14:textId="77777777" w:rsidR="004C57EB" w:rsidRPr="00507A31" w:rsidRDefault="004C57EB"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198C75" w14:textId="77777777" w:rsidR="004C57EB" w:rsidRPr="00507A31" w:rsidRDefault="004C57EB" w:rsidP="00507A31">
      <w:pPr>
        <w:pStyle w:val="rteright"/>
        <w:spacing w:before="0" w:after="0"/>
        <w:jc w:val="both"/>
        <w:rPr>
          <w:color w:val="000000" w:themeColor="text1"/>
          <w:sz w:val="16"/>
          <w:szCs w:val="16"/>
        </w:rPr>
      </w:pPr>
      <w:r w:rsidRPr="00507A31">
        <w:rPr>
          <w:color w:val="000000" w:themeColor="text1"/>
          <w:sz w:val="16"/>
          <w:szCs w:val="16"/>
        </w:rPr>
        <w:t>23 сентября 1930 г.</w:t>
      </w:r>
    </w:p>
    <w:p w14:paraId="582E4DED" w14:textId="77777777" w:rsidR="004C57EB" w:rsidRPr="00507A31" w:rsidRDefault="004C57EB" w:rsidP="00507A31">
      <w:pPr>
        <w:pStyle w:val="ae"/>
        <w:spacing w:before="0" w:after="0"/>
        <w:jc w:val="both"/>
        <w:rPr>
          <w:color w:val="000000" w:themeColor="text1"/>
          <w:sz w:val="16"/>
          <w:szCs w:val="16"/>
        </w:rPr>
      </w:pPr>
      <w:r w:rsidRPr="00507A31">
        <w:rPr>
          <w:color w:val="000000" w:themeColor="text1"/>
          <w:sz w:val="16"/>
          <w:szCs w:val="16"/>
        </w:rPr>
        <w:t>О денежных суммах</w:t>
      </w:r>
    </w:p>
    <w:p w14:paraId="03706CD2"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До ареста Пальчинского общее руководство денежными операциями осуществлялось Пальчинским. В первый период деятельности Центра, как я уже показывал 21.IX, получение и распределение денег носило крайне нерегулярный, хаотичный характер, ибо в начале финансирование со стороны прежних промышленников шло разрознено, по линиям связей их со своими прежними служащими. По мере укрепления организации Центра и параллельной организации за границей бывших русских промышленников финансирование приобретает более упорядоченный характер. Так, к началу 1928 года главная масса денежных сумм поступала уже в руки определенной группы лиц, а именно: Пальчинского, Рабиновичу (до его ареста), Хренникову, Стрижову и частью к Федотову. Деньги частью привозились из заграницы отдельными лицами, возвращавшимися из командировок, однако по мере увеличения строгости контроля на таможнях, такой способ постепенно оставлялся, и основным способом стало получение денег через посольства в Москве, главным образом — Французское, а частью — Английское (через Чарнок) и Польское. В виду хаотичности денежных дел в Центре за первый период нельзя дать сколько-нибудь определенных цифр финансирования Центра. По отдельным сообщениям я могу оценить общее количество денег поступивших непосредственно в Центр, в сумме в среднем ок. 500 т. рб/год с непрерывным ростом из года в год, а всего до разгрома старого Центра до 1,5-2,0 мил. рублей; если же оценить еще поступления денег прямо в низовые организации, то общую сумму средств, полученных организацией надо вероятно удвоить.</w:t>
      </w:r>
    </w:p>
    <w:p w14:paraId="0B0B611A"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До ареста Хренникова и Пальчинского деньги распределялись по отраслевым и периферийным органам через соответствующих лиц, а именно:</w:t>
      </w:r>
    </w:p>
    <w:p w14:paraId="4E98C762"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Золото-платинов[ая] промышл[енность] и Геолком — Пальчинский</w:t>
      </w:r>
    </w:p>
    <w:p w14:paraId="5625E97F"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Угольная — Рабинович и Ларичев</w:t>
      </w:r>
    </w:p>
    <w:p w14:paraId="077B8063"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Нефтяная — Стрижов</w:t>
      </w:r>
    </w:p>
    <w:p w14:paraId="27F901E0"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Торфяная — Ларичев.</w:t>
      </w:r>
    </w:p>
    <w:p w14:paraId="16C9B2CA"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Лесная — В. И. Мейер.</w:t>
      </w:r>
    </w:p>
    <w:p w14:paraId="52DC9CA4"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Мелкие отрасли промышленности] — Калинников.</w:t>
      </w:r>
    </w:p>
    <w:p w14:paraId="74720E53"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Текстильная — Федотов и Куприянов.</w:t>
      </w:r>
    </w:p>
    <w:p w14:paraId="569C82AF"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Металл — Хренников, Гартван, Чарновский.</w:t>
      </w:r>
    </w:p>
    <w:p w14:paraId="4D4E4937"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НКПС — Красовский, Янушевский.</w:t>
      </w:r>
    </w:p>
    <w:p w14:paraId="4F5BB46C"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Профсоюзные] организ[ации] инаучно-исслед[овательские] — Шеин.</w:t>
      </w:r>
    </w:p>
    <w:p w14:paraId="0C256D3A"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Энергетика — Каменецкий и Вашков.</w:t>
      </w:r>
    </w:p>
    <w:p w14:paraId="12DC0352"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Самая техника получения денег в этот период находилась в руках почти исключительно Пальчинского и Хренникова, которые использовали различные, иногда случайные связи с посольствами для этой цели.</w:t>
      </w:r>
    </w:p>
    <w:p w14:paraId="1D780B93"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После разгрома старого Центра или ЦК, денежными делами в смысле получения денег пришлось заниматься главным образом Ларичеву и мне. К этому моменту, благодаря личному свиданию моему и Ларичева в Париже в 1928 г. с основными руководителями Торгпрома[,] уже удалось наладить четкую и правильную денежную связь между ЦК Промпартии и Торгпромом. Общий объем финансирования Промпартии был намечен ок. 1,0 мил. рб. в год. При этом во избежание провалов при крайне опасных сношениях в Москве с иностранными посольствами с Торгпромом было условлено, что деньги будут переводиться порциями по 100-200 т. рб., главным образом в советской, а частью в заграничной валюте, через Французское посольство в Москве. Дабы не искать каждый раз случайных и ненадежных связей, Французское посольство при получении денег через выбранное им лицо должно доставлять их как правило на квартиру Ларичеву, а в случае его отсутствия или его указания при последнем получении денег, последующая посылка денег должна направляться ко мне на квартиру. В курсе этих операций находились сотр. французского посольства г. Кюфер и Реньо. Таким образом, после возвращения моего и Ларичева из заграницы в течение около 1</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bscript"/>
        </w:rPr>
        <w:t>2</w:t>
      </w:r>
      <w:r w:rsidRPr="00507A31">
        <w:rPr>
          <w:color w:val="000000" w:themeColor="text1"/>
          <w:sz w:val="16"/>
          <w:szCs w:val="16"/>
        </w:rPr>
        <w:t>лет и шло получение денег: деньги поступали по 100-200 т. р., привозились по распоряжению из заграницы прямо на квартиру Ларичеву и в редких случаях ко мне.</w:t>
      </w:r>
    </w:p>
    <w:p w14:paraId="2160D561"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Я лично воздерживался от частого получения денег: 1) вследствие крайне неблагоприятного положения моей квартиры за городом, в Институте, на виду у охраны, почему приезды незнакомых лиц могли вызвать подозрения, 2) затруднениями для меня при дальнейшем распределении денег, в то время как положение Ларичева в Госплане, при частых встречах его с большинством основных работников Центра было значительно благоприятнее.</w:t>
      </w:r>
    </w:p>
    <w:p w14:paraId="1AE6AEF3"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В результате за последние 1</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bscript"/>
        </w:rPr>
        <w:t>2</w:t>
      </w:r>
      <w:r w:rsidRPr="00507A31">
        <w:rPr>
          <w:color w:val="000000" w:themeColor="text1"/>
          <w:sz w:val="16"/>
          <w:szCs w:val="16"/>
        </w:rPr>
        <w:t> года т. е. в период деятельности нового ЦК Промпартии последняя получила из заграницы около 1,5 мил. руб.</w:t>
      </w:r>
    </w:p>
    <w:p w14:paraId="1ED26969"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Дальнейшее распределение денег по отраслевым группам шло согласно плана, устанавливаемого мною и Ларичевым по согласованию с членами ЦК.</w:t>
      </w:r>
    </w:p>
    <w:p w14:paraId="09229F6A"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lastRenderedPageBreak/>
        <w:t>Приблизительное распределение денег за период конца 1928 г. до весны 1930 г. таково:</w:t>
      </w:r>
    </w:p>
    <w:p w14:paraId="104A56D0"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Нефтяная промышленность] — через Ларичева около 100 т. рб.</w:t>
      </w:r>
    </w:p>
    <w:p w14:paraId="0EF130F9"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Торфяная » »  50 —</w:t>
      </w:r>
    </w:p>
    <w:p w14:paraId="55F077E7"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Лесная » »  50 —</w:t>
      </w:r>
    </w:p>
    <w:p w14:paraId="0534C2A5"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Металлическая » [через] Гартвана и Чарновского ок. 300 т. рб.</w:t>
      </w:r>
    </w:p>
    <w:p w14:paraId="541BF2BB"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Текстильная » » Федотова и Куприянова ок. 200 —</w:t>
      </w:r>
    </w:p>
    <w:p w14:paraId="4F3BD204"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Разн. отрасли промышл. » Калинникова 300 —</w:t>
      </w:r>
    </w:p>
    <w:p w14:paraId="44F4B460"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НКПС » Ларичева ок. 300  —</w:t>
      </w:r>
    </w:p>
    <w:p w14:paraId="7AB8A74E"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Энергетика » Башкова и Каменецкого...ок. 100 —</w:t>
      </w:r>
    </w:p>
    <w:p w14:paraId="18F752C6"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Экономическая группа ... через Ларичева и Калинникова ок. 50 —</w:t>
      </w:r>
    </w:p>
    <w:p w14:paraId="632F3E15"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всего ок. 1600 т. рб.</w:t>
      </w:r>
    </w:p>
    <w:p w14:paraId="266DA8C3"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Из вышеуказанной суммы ок. 1250 т. рб. получено было Ларичевым, а 350 т. рб. мною, в три приема — 100+100+150 т. руб.</w:t>
      </w:r>
    </w:p>
    <w:p w14:paraId="57F0015A" w14:textId="77777777" w:rsidR="004C57EB" w:rsidRPr="00507A31" w:rsidRDefault="004C57EB" w:rsidP="00507A31">
      <w:pPr>
        <w:pStyle w:val="rtecenter"/>
        <w:spacing w:before="0" w:after="0"/>
        <w:jc w:val="both"/>
        <w:rPr>
          <w:color w:val="000000" w:themeColor="text1"/>
          <w:sz w:val="16"/>
          <w:szCs w:val="16"/>
        </w:rPr>
      </w:pPr>
      <w:r w:rsidRPr="00507A31">
        <w:rPr>
          <w:color w:val="000000" w:themeColor="text1"/>
          <w:sz w:val="16"/>
          <w:szCs w:val="16"/>
        </w:rPr>
        <w:t>О работе экономической группы</w:t>
      </w:r>
    </w:p>
    <w:p w14:paraId="2D70C299"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В целях: 1) получения правильной экономической перспективы</w:t>
      </w:r>
      <w:r w:rsidRPr="00507A31">
        <w:rPr>
          <w:color w:val="000000" w:themeColor="text1"/>
          <w:sz w:val="16"/>
          <w:szCs w:val="16"/>
          <w:vertAlign w:val="superscript"/>
        </w:rPr>
        <w:t>,</w:t>
      </w:r>
      <w:r w:rsidRPr="00507A31">
        <w:rPr>
          <w:color w:val="000000" w:themeColor="text1"/>
          <w:sz w:val="16"/>
          <w:szCs w:val="16"/>
        </w:rPr>
        <w:t> при обсуждении планов и тактики Промпартии, 2) облегчения сокрытия диспропорций планов народного хозяйства при проведении их в ВСНХ и Госплане СССР к концу 1928 года или к началу 1929 г. Промпартия установила связь с видными экономистами. В частности в работу Промпартии были вовлечены из ВСНХ СССР Гинзбург, Белоцерковский и Соколовский. Кроме того был организован ряд конъюнктурных и обзорных совещаний из членов ЦК Промпартии или ее отраслевых групп и виднейших экономистов. Со стороны ЦК Промпартии на этих совещаниях участвовал Калинников и обычно Чарновский, на некоторых совещаниях присутствовал и я. Для участия в этих совещаниях кроме вышеуказанной группы экономистов ВСНХ привлекались Кондратьев, Громан, Кафенгауз, Макаров и др.:</w:t>
      </w:r>
    </w:p>
    <w:p w14:paraId="59E62672" w14:textId="77777777" w:rsidR="004C57EB" w:rsidRPr="00507A31" w:rsidRDefault="004C57EB" w:rsidP="00507A31">
      <w:pPr>
        <w:numPr>
          <w:ilvl w:val="0"/>
          <w:numId w:val="42"/>
        </w:numPr>
        <w:ind w:left="0" w:firstLine="0"/>
        <w:jc w:val="both"/>
        <w:rPr>
          <w:color w:val="000000" w:themeColor="text1"/>
          <w:sz w:val="16"/>
          <w:szCs w:val="16"/>
        </w:rPr>
      </w:pPr>
      <w:r w:rsidRPr="00507A31">
        <w:rPr>
          <w:color w:val="000000" w:themeColor="text1"/>
          <w:sz w:val="16"/>
          <w:szCs w:val="16"/>
        </w:rPr>
        <w:t>На одном из таких совещаний в НИС ВСНХ СССР в кабинете С. Д. Шеина в 1929 году присутствовали С. Д. Шеин, Калинников, Чарновский, Рамзин, Гинзбург и Белоцерковский и Соколовский. Основной темой совещания служило обсуждение промышленной конъюнктуры и ее перспектив, по докладу Гинзбурга. Констатируя вступление в полосу глубокого кризиса с апогеем его в 1930 году участники приводили некоторые примеры разных отраслей промышленности; в частности, я указал на сильное углубление кризиса электроснабжения в наиболее ответственных пунктах как результат работ Промпартии. Шеин осветил настроения в инженерных массах вполне благоприятствующие деятельности Промпартии. Решено было устроить серии конъюнктурных обзоров и по другим частям народного хозяйства.</w:t>
      </w:r>
    </w:p>
    <w:p w14:paraId="6D5DCC76" w14:textId="77777777" w:rsidR="004C57EB" w:rsidRPr="00507A31" w:rsidRDefault="004C57EB" w:rsidP="00507A31">
      <w:pPr>
        <w:numPr>
          <w:ilvl w:val="0"/>
          <w:numId w:val="42"/>
        </w:numPr>
        <w:ind w:left="0" w:firstLine="0"/>
        <w:jc w:val="both"/>
        <w:rPr>
          <w:color w:val="000000" w:themeColor="text1"/>
          <w:sz w:val="16"/>
          <w:szCs w:val="16"/>
        </w:rPr>
      </w:pPr>
      <w:r w:rsidRPr="00507A31">
        <w:rPr>
          <w:color w:val="000000" w:themeColor="text1"/>
          <w:sz w:val="16"/>
          <w:szCs w:val="16"/>
        </w:rPr>
        <w:t>Совещание в кабинете Калинникова в Госплане в конце 1929 — в начале 1930 года в составе[:] Калинников, Чарновский, Рамзин, Громан, Гинзбург, Кондратьев, Макаров, Кафенгауз было посвящено анализу сельскохозяйственной и общей конъюнктуры и прогнозов в связи с коллективизацией. Констатировалась неизбежность глубокого кризиса в 1930 году. Громан и другие сообщали о получении сведений из заграницы относительно интервенции, предполагающейся на 1931 год, в крайнем случае на 1932 год.</w:t>
      </w:r>
    </w:p>
    <w:p w14:paraId="4279BE08" w14:textId="77777777" w:rsidR="004C57EB" w:rsidRPr="00507A31" w:rsidRDefault="004C57EB" w:rsidP="00507A31">
      <w:pPr>
        <w:numPr>
          <w:ilvl w:val="0"/>
          <w:numId w:val="42"/>
        </w:numPr>
        <w:ind w:left="0" w:firstLine="0"/>
        <w:jc w:val="both"/>
        <w:rPr>
          <w:color w:val="000000" w:themeColor="text1"/>
          <w:sz w:val="16"/>
          <w:szCs w:val="16"/>
        </w:rPr>
      </w:pPr>
      <w:r w:rsidRPr="00507A31">
        <w:rPr>
          <w:color w:val="000000" w:themeColor="text1"/>
          <w:sz w:val="16"/>
          <w:szCs w:val="16"/>
        </w:rPr>
        <w:t>Наконец, в начале 1930 г. я участвовал еще на одном совещании с экономистами в Госплане, в кабинете Ларичева, в составе[:] Ларичев, Калинников, Коган-Бернштейн, Гинзбург, Соколовский, Белоцерковский, Громан. В связи с предстоящей топливной конференцией и новыми директивами ЦК Промпартии о максималистских темпах, обсуждались возможные максимальные цифры наметок топливного плана, которые бы не вызвали явных подозрений и оспариваний со стороны экономистов.</w:t>
      </w:r>
    </w:p>
    <w:p w14:paraId="537C19CA" w14:textId="77777777" w:rsidR="004C57EB" w:rsidRPr="00507A31" w:rsidRDefault="004C57EB" w:rsidP="00507A31">
      <w:pPr>
        <w:pStyle w:val="rtecenter"/>
        <w:spacing w:before="0" w:after="0"/>
        <w:jc w:val="both"/>
        <w:rPr>
          <w:color w:val="000000" w:themeColor="text1"/>
          <w:sz w:val="16"/>
          <w:szCs w:val="16"/>
        </w:rPr>
      </w:pPr>
      <w:r w:rsidRPr="00507A31">
        <w:rPr>
          <w:color w:val="000000" w:themeColor="text1"/>
          <w:sz w:val="16"/>
          <w:szCs w:val="16"/>
        </w:rPr>
        <w:t>О совещании в Торгпроме (Париж)</w:t>
      </w:r>
    </w:p>
    <w:p w14:paraId="5AF62EE7"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Во время командировки на Всемирную Топливную Конференцию в Лондоне в сентябре-октябре 1928 г. я и Ларичев на обратном пути были в Париже, где я вошел в связь [с] П. П. Рябушинским, который предложил мне воспользоваться присутствием в Париже двух членов ЦК ПП (я и Ларичев)] и ряда видных членов Торгпрома и устроить совместное совещание, на что я согласился.</w:t>
      </w:r>
    </w:p>
    <w:p w14:paraId="31722990"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На совещании присутствовали: председатель Торгпрома Денисов, П. П. Рябушинский, Нобель, Гукасов, Старинкевич, Мещерский, Ларичев и Рамзин. После сообщения моего и Ларичева об общем положении дела, мы подробно остановились на росте деятельности Промпартии и увеличении ею охвата инженерных масс, но отметили в то же время и значительное увеличение опасности работы, ввиду ряда арестов членов Промышленной Партии. Ларичев несколько остановился на положении нефтепромышленности. Представители Торгпрома в общем одобрили направление и темп работы П. П. и указали, что теперь надо приложить главные усилия к сохранению руководящего ядра П. П., по возможности ведя однако работу согласно прежних директив и меняя тактику сообразно условиям момента. Вместе с тем члены Торгпрома сообщили о том, что им удалось уже добиться значительных успехов у французского и английского правительств, что общее руководство интервенцией возьмет вероятно Франция, а выполнение военных операций — Польша и Румыния, с привлечением лимитрофов; что надо ориентироваться на интервенцию в 1930 г. и в крайнем случае на 1931 г.</w:t>
      </w:r>
    </w:p>
    <w:p w14:paraId="03B14465"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Далее были уточнены вопросы финансирования; намечены ежегодные суммы ок. 1 мил. руб. в год, с доставкой Ларичеву на квартиру, а в его отсутствие мне, в Москве, через Французское Московское Посольство.</w:t>
      </w:r>
    </w:p>
    <w:p w14:paraId="42998A51"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Вечером состоялась встреча Ларичева и моя с членами Торгпрома в кабинете ресторана на Больших бульварах, уже неофициального характера.</w:t>
      </w:r>
    </w:p>
    <w:p w14:paraId="175C2509" w14:textId="77777777" w:rsidR="004C57EB" w:rsidRPr="00507A31" w:rsidRDefault="004C57EB" w:rsidP="00507A31">
      <w:pPr>
        <w:pStyle w:val="rtecenter"/>
        <w:spacing w:before="0" w:after="0"/>
        <w:jc w:val="both"/>
        <w:rPr>
          <w:color w:val="000000" w:themeColor="text1"/>
          <w:sz w:val="16"/>
          <w:szCs w:val="16"/>
        </w:rPr>
      </w:pPr>
      <w:r w:rsidRPr="00507A31">
        <w:rPr>
          <w:color w:val="000000" w:themeColor="text1"/>
          <w:sz w:val="16"/>
          <w:szCs w:val="16"/>
        </w:rPr>
        <w:t>Заграничные директивы</w:t>
      </w:r>
    </w:p>
    <w:p w14:paraId="45059B6B"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Ввиду того, что Промпартия ориентировалась на бело-эмигрантские промышленные круги, основная связь поддерживалась именно по этой линии. Что касается связей непосредственно с иностранными правительствами или их военными штабами, то таковые существовали в первый период деятельности Инженерного Центра, через Пальчинского. Так, со слов последнего, мне известно о сношениях с польским правительством через Рабиновича и Дворжанчика. В показании 21.IX я указывал еще факт связи с Польшей, которую Пальчинский, по[-]видимому, осуществлял через инженера А. И. Мороза; в том же показании я указал на связь Пальчинского с г. Чарноком, секретарем английского посольства в Москве, осуществленную, по[-]видимому, одно время через инж. Н. А. Давидова; на совещании Центра сообщалось о связи с английским штабом по вопросу о нефтепроводе Грозный — Туапсе, через И. Н. Стрижова, который получил директивы от штаба[,] касающиеся трассировки линии нефтепровода и в частности вопроса об углублении Туапсинского рейда, в соответствии с осадкой английских военных судов. Однако, к концу 1928 г., когда уже окончательно сформировалась Промпартия, выявилось ее политическое лицо и тактика, с четкой установкой на объединение бывших русских промышленников заграницей (Торгпром), ЦК ПП держал заграничную связь лишь по этой линии. Такое положение являлось логическим выводом из основной ставки на Торгпром, ибо 1) ведение переговоров членами ЦК с иностранными правительствами из Москвы было крайне затруднительно и имело бы мало веса в глазах иностранных правительств, в то время как Торгпром имеет в этих кругах определенную репутацию; 2) оставался неопределенным вопрос, какие государства примут участие в интервенции и в какой мере, поэтому при неясности этого вопроса неизвестно было, с кем вести переговоры и в каких направлениях. Поэтому с конца 1928 г. все переговоры и сношения с иностранными правительствами взяли на себя бело-эмигрантские промышленные круги, а ЦК ПП сносилось как правило только с ними.</w:t>
      </w:r>
    </w:p>
    <w:p w14:paraId="032826D9"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Что касается директив, получаемых от бывших промышленников, то в самом зародыше деятельности Центра, которого я уже не застал, когда б[ывшие] промышленники интересовались судьбой отдельных принадлежащих им ранее предприятий, эти директивы, направлявшиеся к своим бывшим служащим[,] носили весьма конкретный характер, содержали определенные пожелания и инструкции. Однако, с началом реконструктивного периода, когда все лицо промышленности начало резко меняться, к концу 1927 г. б[ывшие] промышленники уже часто не находили в живых своих прежних предприятий, а кроме того были несомненно неизмеримо меньше знакомы с внутренним положением СССР, чем работники Центра или П. П. Поэтому получаемые директивы, начиная с 1928 г. носят весьма общий, расплывчатый характер, большей частью лишь подтверждая и одобряя предложения Промпартии. Директивы поступали или устные, через часть приезжающих из заграницы инженеров, или же письменные, через иностранные посольства в Москве.</w:t>
      </w:r>
    </w:p>
    <w:p w14:paraId="3667178B" w14:textId="77777777" w:rsidR="004C57EB" w:rsidRPr="00507A31" w:rsidRDefault="004C57EB" w:rsidP="00507A31">
      <w:pPr>
        <w:pStyle w:val="rtecenter"/>
        <w:spacing w:before="0" w:after="0"/>
        <w:jc w:val="both"/>
        <w:rPr>
          <w:color w:val="000000" w:themeColor="text1"/>
          <w:sz w:val="16"/>
          <w:szCs w:val="16"/>
        </w:rPr>
      </w:pPr>
      <w:r w:rsidRPr="00507A31">
        <w:rPr>
          <w:color w:val="000000" w:themeColor="text1"/>
          <w:sz w:val="16"/>
          <w:szCs w:val="16"/>
        </w:rPr>
        <w:t>Связь с военной промышленностью</w:t>
      </w:r>
    </w:p>
    <w:p w14:paraId="2BFEF8A1"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На основании имеющихся у меня немногочисленных сведений я могу дать лишь крайне отрывочные сведения по этому вопросу. До ареста Пальчинского основную связь по линии военной промышленности держал сам Пальчинский. Из сообщений последнего мне известно, что одним из главнейших руководителей вредительской работы в военной промышленности являлся связанный с Инженерным Центром генерал Михайлов. В позднейший период связь с Военпромом через посредство топливоснабжения осуществлял Ларичев; кроме того у Промпартии имелась связь с военной промышленностью по линии металла, через Хренникова и Чарновского, а по линии химии — через Кравеца и Камзолкина.</w:t>
      </w:r>
    </w:p>
    <w:p w14:paraId="6F950DC1"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В частности с Путиловским и Обуховским заводами, мне известно, Центр имел связь через С. И. Краузе. По энергетике военпрома — через инж. Евреинова Е. Ф. и инж. Домонтовича Б. Н. Направления вредительской работы в области военной промышленности, вследствие ее крайнего разнообразия, я как не специалист, сколько[-]нибудь полно осветить не берусь. Могу отметить следующие известные мне направления. При постройке электростанций военных заводов рекомендовалось оборудовать котельные для сжигания лишь того вида топлива, доставка коего могла быть под военным ударом, при чем переход на другие &lt;виды&gt; топлива был или невозможен или требовал длительных переделок. Рекомендовалось доставлять военным заводам металл и сырье неподходящего качества. Задержка развития основной химической и коксобензольной промышленности, являющихся основными базами для производства взрывчатых веществ. Выбор неудачных мест для заводов Военпрома и обслуживающих их заводов.</w:t>
      </w:r>
    </w:p>
    <w:p w14:paraId="443D9A14"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23.IX.1930</w:t>
      </w:r>
    </w:p>
    <w:p w14:paraId="0A4CB993" w14:textId="77777777" w:rsidR="004C57EB" w:rsidRPr="00507A31" w:rsidRDefault="004C57EB" w:rsidP="00507A31">
      <w:pPr>
        <w:pStyle w:val="rtejustify"/>
        <w:spacing w:before="0" w:after="0"/>
        <w:rPr>
          <w:color w:val="000000" w:themeColor="text1"/>
          <w:sz w:val="16"/>
          <w:szCs w:val="16"/>
        </w:rPr>
      </w:pPr>
      <w:r w:rsidRPr="00507A31">
        <w:rPr>
          <w:color w:val="000000" w:themeColor="text1"/>
          <w:sz w:val="16"/>
          <w:szCs w:val="16"/>
        </w:rPr>
        <w:t>Л. Рамзин</w:t>
      </w:r>
    </w:p>
    <w:p w14:paraId="3C77FABE" w14:textId="77777777" w:rsidR="004C57EB" w:rsidRPr="00507A31" w:rsidRDefault="004C57EB" w:rsidP="00507A31">
      <w:pPr>
        <w:pStyle w:val="ae"/>
        <w:spacing w:before="0" w:after="0"/>
        <w:jc w:val="both"/>
        <w:rPr>
          <w:color w:val="000000" w:themeColor="text1"/>
          <w:sz w:val="16"/>
          <w:szCs w:val="16"/>
        </w:rPr>
      </w:pPr>
      <w:r w:rsidRPr="00507A31">
        <w:rPr>
          <w:rStyle w:val="af0"/>
          <w:i w:val="0"/>
          <w:color w:val="000000" w:themeColor="text1"/>
          <w:sz w:val="16"/>
          <w:szCs w:val="16"/>
        </w:rPr>
        <w:t>ГА РФ. Ф. 9474. On. 7.Д. 405. Л. 10-14 об. (А) Рукописный подлинник, автограф Л. К. Рамзина на 10-ти стр. (в конце каждой страницы — заверительная подпись-</w:t>
      </w:r>
      <w:r w:rsidRPr="00507A31">
        <w:rPr>
          <w:rStyle w:val="af0"/>
          <w:i w:val="0"/>
          <w:color w:val="000000" w:themeColor="text1"/>
          <w:sz w:val="16"/>
          <w:szCs w:val="16"/>
        </w:rPr>
        <w:lastRenderedPageBreak/>
        <w:t>автограф Рашина). Включен в текст показаний от 21 сентября 1930 г. (см. предыдущий документ).</w:t>
      </w:r>
    </w:p>
    <w:p w14:paraId="61DB29A8" w14:textId="77777777" w:rsidR="004C57EB" w:rsidRPr="00507A31" w:rsidRDefault="004C57EB" w:rsidP="00507A31">
      <w:pPr>
        <w:pStyle w:val="ae"/>
        <w:spacing w:before="0" w:after="0"/>
        <w:jc w:val="both"/>
        <w:rPr>
          <w:color w:val="000000" w:themeColor="text1"/>
          <w:sz w:val="16"/>
          <w:szCs w:val="16"/>
        </w:rPr>
      </w:pPr>
      <w:r w:rsidRPr="00507A31">
        <w:rPr>
          <w:rStyle w:val="af0"/>
          <w:i w:val="0"/>
          <w:color w:val="000000" w:themeColor="text1"/>
          <w:sz w:val="16"/>
          <w:szCs w:val="16"/>
        </w:rPr>
        <w:t>АП РФ. Ф. 3. On. 58. Д. 353. Л. 105-117. (Б) Типографский экземпляр того времени, составленный из двух текстов показаний Л. К. Рашина: от начала документа до раздела 12 («Связь с белой эмиграцией...») включительно текст показаний от 21 сентября; с раздела 13 («О денежных суммах»,) и до 17 («Связь с военной промышленностью») — текст, написанный 23 сентября 1930 г., далее (от раздела 18 до конца) снова текст показаний от 21 сентября (см. легенду к док. № 2 данного раздела) (18704).</w:t>
      </w:r>
    </w:p>
    <w:p w14:paraId="2FD9FBAE" w14:textId="77777777" w:rsidR="004C57EB" w:rsidRPr="00507A31" w:rsidRDefault="004C57EB" w:rsidP="00507A31">
      <w:pPr>
        <w:jc w:val="both"/>
        <w:rPr>
          <w:color w:val="000000" w:themeColor="text1"/>
          <w:sz w:val="16"/>
          <w:szCs w:val="16"/>
        </w:rPr>
      </w:pPr>
    </w:p>
    <w:p w14:paraId="5899206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57CA8E6" w14:textId="77777777" w:rsidR="00537E5F" w:rsidRPr="00507A31" w:rsidRDefault="00537E5F" w:rsidP="00507A31">
      <w:pPr>
        <w:autoSpaceDE w:val="0"/>
        <w:autoSpaceDN w:val="0"/>
        <w:adjustRightInd w:val="0"/>
        <w:jc w:val="both"/>
        <w:rPr>
          <w:iCs/>
          <w:color w:val="000000" w:themeColor="text1"/>
          <w:sz w:val="16"/>
          <w:szCs w:val="16"/>
        </w:rPr>
      </w:pPr>
    </w:p>
    <w:p w14:paraId="1A6829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сентября 1930 немец И.Остермайер запатентовал электрическую фотовспышку (3481).</w:t>
      </w:r>
    </w:p>
    <w:p w14:paraId="29161B9E" w14:textId="77777777" w:rsidR="00537E5F" w:rsidRPr="00507A31" w:rsidRDefault="00537E5F" w:rsidP="00507A31">
      <w:pPr>
        <w:autoSpaceDE w:val="0"/>
        <w:autoSpaceDN w:val="0"/>
        <w:adjustRightInd w:val="0"/>
        <w:jc w:val="both"/>
        <w:rPr>
          <w:color w:val="000000" w:themeColor="text1"/>
          <w:sz w:val="16"/>
          <w:szCs w:val="16"/>
        </w:rPr>
      </w:pPr>
    </w:p>
    <w:p w14:paraId="502E3BB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8B5A19E" w14:textId="77777777" w:rsidR="00537E5F" w:rsidRPr="00507A31" w:rsidRDefault="00537E5F" w:rsidP="00507A31">
      <w:pPr>
        <w:autoSpaceDE w:val="0"/>
        <w:autoSpaceDN w:val="0"/>
        <w:adjustRightInd w:val="0"/>
        <w:jc w:val="both"/>
        <w:rPr>
          <w:iCs/>
          <w:color w:val="000000" w:themeColor="text1"/>
          <w:sz w:val="16"/>
          <w:szCs w:val="16"/>
        </w:rPr>
      </w:pPr>
    </w:p>
    <w:p w14:paraId="0B05DE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сентября 1930 года было проведено бюро Ленинградского областного комитета ВКП(б) с повесткой дня: "О ходе борьбы с последствиями вредительства и выполнении промфинплана за 10 месяцев в ленинградской военной промышленности и на гражданских заводах, выполняющих военные заказы". В постановлении бюро подчеркивалось, что, несмотря на указания секретариата обкома от 7 марта в отношении борьбы с вредительством, директора заводов и партийные организации не справились с выполнением производственных (11025).</w:t>
      </w:r>
    </w:p>
    <w:p w14:paraId="7B34AB02" w14:textId="77777777" w:rsidR="00537E5F" w:rsidRPr="00507A31" w:rsidRDefault="00537E5F" w:rsidP="00507A31">
      <w:pPr>
        <w:autoSpaceDE w:val="0"/>
        <w:autoSpaceDN w:val="0"/>
        <w:adjustRightInd w:val="0"/>
        <w:jc w:val="both"/>
        <w:rPr>
          <w:color w:val="000000" w:themeColor="text1"/>
          <w:sz w:val="16"/>
          <w:szCs w:val="16"/>
        </w:rPr>
      </w:pPr>
    </w:p>
    <w:p w14:paraId="0A9B3426" w14:textId="77777777" w:rsidR="00D225C5" w:rsidRPr="00507A31" w:rsidRDefault="00D225C5" w:rsidP="00507A31">
      <w:pPr>
        <w:pStyle w:val="ae"/>
        <w:shd w:val="clear" w:color="auto" w:fill="FFFFFF"/>
        <w:spacing w:before="0" w:after="0"/>
        <w:jc w:val="both"/>
        <w:rPr>
          <w:color w:val="0070C0"/>
          <w:sz w:val="16"/>
          <w:szCs w:val="16"/>
        </w:rPr>
      </w:pPr>
      <w:r w:rsidRPr="00507A31">
        <w:rPr>
          <w:color w:val="0070C0"/>
          <w:sz w:val="16"/>
          <w:szCs w:val="16"/>
        </w:rPr>
        <w:t>24 сентября 1930 года обком партии Ленинграда принял специальное постановление «О ходе борьбы с последствиями вредительства и выполнении промфинплана за 10 месяцев в ленинградской военной промышленности и на гражданских заводах, выполняющих военные заказы». В документе подводились итоги репрессивной кампании и указывалось на то, что несмотря на директиву обкома партии от 7 марта 1930 года, борьба с вредительством ведется слабо и директора оборонных предприятий совместно с парторганизациями не могут добиться запланированных темпов роста производства (20981).</w:t>
      </w:r>
    </w:p>
    <w:p w14:paraId="7F2C460E" w14:textId="77777777" w:rsidR="00D225C5" w:rsidRPr="00507A31" w:rsidRDefault="00D225C5" w:rsidP="00507A31">
      <w:pPr>
        <w:pStyle w:val="ae"/>
        <w:shd w:val="clear" w:color="auto" w:fill="FFFFFF"/>
        <w:spacing w:before="0" w:after="0"/>
        <w:jc w:val="both"/>
        <w:rPr>
          <w:color w:val="0070C0"/>
          <w:sz w:val="16"/>
          <w:szCs w:val="16"/>
        </w:rPr>
      </w:pPr>
    </w:p>
    <w:p w14:paraId="2E9170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сентября 1930 года «Красная звезда» была уполномочена заявить следующее:</w:t>
      </w:r>
    </w:p>
    <w:p w14:paraId="1CA412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 что буржуазные армии имеют химико-бактериологические лаборатории, несомненно, доказывает, что, наряду с другой санитарной работой, стоит и борьба с распространением бактерий противником. По-видимому, эти армии недалеки от того, чтобы при первом удобном случае воспользоваться теми или другими бактериями для уничтожения противника" [Возможна ли бактериологическая война? «Красная звезда», 24 сентября 1930 года. РГВА, ф.34, оп.2, д.191, л.25] (11469).</w:t>
      </w:r>
    </w:p>
    <w:p w14:paraId="5D6D2D65" w14:textId="77777777" w:rsidR="00537E5F" w:rsidRPr="00507A31" w:rsidRDefault="00537E5F" w:rsidP="00507A31">
      <w:pPr>
        <w:autoSpaceDE w:val="0"/>
        <w:autoSpaceDN w:val="0"/>
        <w:adjustRightInd w:val="0"/>
        <w:jc w:val="both"/>
        <w:rPr>
          <w:color w:val="000000" w:themeColor="text1"/>
          <w:sz w:val="16"/>
          <w:szCs w:val="16"/>
        </w:rPr>
      </w:pPr>
    </w:p>
    <w:p w14:paraId="40735E8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24FE0490" w14:textId="77777777" w:rsidR="00537E5F" w:rsidRPr="00507A31" w:rsidRDefault="00537E5F" w:rsidP="00507A31">
      <w:pPr>
        <w:autoSpaceDE w:val="0"/>
        <w:autoSpaceDN w:val="0"/>
        <w:adjustRightInd w:val="0"/>
        <w:jc w:val="both"/>
        <w:rPr>
          <w:iCs/>
          <w:color w:val="000000" w:themeColor="text1"/>
          <w:sz w:val="16"/>
          <w:szCs w:val="16"/>
        </w:rPr>
      </w:pPr>
    </w:p>
    <w:p w14:paraId="4001BF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сентября 1930 И.В.С. писал Г.К.О. “Прочти-ка поскорее показания Какурина-Троицкого и подумай о мерах ликвидации этого неприятного дела. Материал этот, как видишь, сугубо секретный: о нем знает Молотов, я, теперь будешь знать и ты. Не знаю, известно ли Климу об этом. Стало быть, Тухачевский оказался в плену антисоветских элементов и был сугубо обработан тоже антисоветскими элементами из рядов правых. Так выходит по материалам. Возможно ли это? Конечно, возможно, раз оно не исключено.... (9089,131).</w:t>
      </w:r>
    </w:p>
    <w:p w14:paraId="1E1DBF97" w14:textId="77777777" w:rsidR="00537E5F" w:rsidRPr="00507A31" w:rsidRDefault="00537E5F" w:rsidP="00507A31">
      <w:pPr>
        <w:autoSpaceDE w:val="0"/>
        <w:autoSpaceDN w:val="0"/>
        <w:adjustRightInd w:val="0"/>
        <w:jc w:val="both"/>
        <w:rPr>
          <w:color w:val="000000" w:themeColor="text1"/>
          <w:sz w:val="16"/>
          <w:szCs w:val="16"/>
        </w:rPr>
      </w:pPr>
    </w:p>
    <w:p w14:paraId="5B400093" w14:textId="77777777" w:rsidR="00D225C5" w:rsidRPr="00507A31" w:rsidRDefault="00D225C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162F5D9" w14:textId="77777777" w:rsidR="00D225C5" w:rsidRPr="00507A31" w:rsidRDefault="00D225C5" w:rsidP="00507A31">
      <w:pPr>
        <w:autoSpaceDE w:val="0"/>
        <w:autoSpaceDN w:val="0"/>
        <w:adjustRightInd w:val="0"/>
        <w:jc w:val="both"/>
        <w:rPr>
          <w:iCs/>
          <w:color w:val="000000" w:themeColor="text1"/>
          <w:sz w:val="16"/>
          <w:szCs w:val="16"/>
        </w:rPr>
      </w:pPr>
    </w:p>
    <w:p w14:paraId="77DEB73C" w14:textId="77777777" w:rsidR="00D225C5" w:rsidRPr="00507A31" w:rsidRDefault="00D225C5" w:rsidP="00507A31">
      <w:pPr>
        <w:jc w:val="both"/>
        <w:rPr>
          <w:color w:val="0070C0"/>
          <w:sz w:val="16"/>
          <w:szCs w:val="16"/>
        </w:rPr>
      </w:pPr>
      <w:r w:rsidRPr="00507A31">
        <w:rPr>
          <w:color w:val="0070C0"/>
          <w:sz w:val="16"/>
          <w:szCs w:val="16"/>
        </w:rPr>
        <w:t xml:space="preserve">24 сентября 1930 первый полет Шорт Рангун Октябрь PZL P.7 (20805). </w:t>
      </w:r>
    </w:p>
    <w:p w14:paraId="3628666B" w14:textId="77777777" w:rsidR="00D225C5" w:rsidRPr="00507A31" w:rsidRDefault="00D225C5" w:rsidP="00507A31">
      <w:pPr>
        <w:jc w:val="both"/>
        <w:rPr>
          <w:color w:val="0070C0"/>
          <w:sz w:val="16"/>
          <w:szCs w:val="16"/>
        </w:rPr>
      </w:pPr>
    </w:p>
    <w:p w14:paraId="764BCF0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55160AF" w14:textId="77777777" w:rsidR="00537E5F" w:rsidRPr="00507A31" w:rsidRDefault="00537E5F" w:rsidP="00507A31">
      <w:pPr>
        <w:autoSpaceDE w:val="0"/>
        <w:autoSpaceDN w:val="0"/>
        <w:adjustRightInd w:val="0"/>
        <w:jc w:val="both"/>
        <w:rPr>
          <w:iCs/>
          <w:color w:val="000000" w:themeColor="text1"/>
          <w:sz w:val="16"/>
          <w:szCs w:val="16"/>
        </w:rPr>
      </w:pPr>
    </w:p>
    <w:p w14:paraId="2DF6F5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сентября 1930 года отправлен из Америки заграничный винт для И8 Кертис-Конкверор – 600 л.с. – ЦАГИ (6998, 9-14).</w:t>
      </w:r>
    </w:p>
    <w:p w14:paraId="7629F813" w14:textId="77777777" w:rsidR="00537E5F" w:rsidRPr="00507A31" w:rsidRDefault="00537E5F" w:rsidP="00507A31">
      <w:pPr>
        <w:autoSpaceDE w:val="0"/>
        <w:autoSpaceDN w:val="0"/>
        <w:adjustRightInd w:val="0"/>
        <w:jc w:val="both"/>
        <w:rPr>
          <w:color w:val="000000" w:themeColor="text1"/>
          <w:sz w:val="16"/>
          <w:szCs w:val="16"/>
        </w:rPr>
      </w:pPr>
    </w:p>
    <w:p w14:paraId="431EDA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25 сентября по 17 октября 1930 после доработки вновь проходили гос. испытания Р-6 и после этого НИИ ВВС рекомендовал в серию в качестве "самолета дальней разведки" и "самолета сопровождения" (346,35).</w:t>
      </w:r>
    </w:p>
    <w:p w14:paraId="11B0519D" w14:textId="77777777" w:rsidR="00537E5F" w:rsidRPr="00507A31" w:rsidRDefault="00537E5F" w:rsidP="00507A31">
      <w:pPr>
        <w:autoSpaceDE w:val="0"/>
        <w:autoSpaceDN w:val="0"/>
        <w:adjustRightInd w:val="0"/>
        <w:jc w:val="both"/>
        <w:rPr>
          <w:color w:val="000000" w:themeColor="text1"/>
          <w:sz w:val="16"/>
          <w:szCs w:val="16"/>
        </w:rPr>
      </w:pPr>
    </w:p>
    <w:p w14:paraId="3437BE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сентября 1930 г. закончилось испытание головного серийного самолета АНТ-9 на устойчивость, управляемость, взлет, посадку и эффективность органов управления, которое проходило с 16 сентября 1930.</w:t>
      </w:r>
    </w:p>
    <w:p w14:paraId="59A5D5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Продолжительность 9 дней</w:t>
      </w:r>
    </w:p>
    <w:p w14:paraId="4A0741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Совершено полетов - 10</w:t>
      </w:r>
    </w:p>
    <w:p w14:paraId="1368E8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Налетано - 7 час. 10 мин.</w:t>
      </w:r>
    </w:p>
    <w:p w14:paraId="3AB118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36F80B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устранения недостаточной эффективности рулей и недостатков эксплуатационного порядка в серию пущен быть не может (3250,4-18).</w:t>
      </w:r>
    </w:p>
    <w:p w14:paraId="64CAC462" w14:textId="77777777" w:rsidR="00537E5F" w:rsidRPr="00507A31" w:rsidRDefault="00537E5F" w:rsidP="00507A31">
      <w:pPr>
        <w:autoSpaceDE w:val="0"/>
        <w:autoSpaceDN w:val="0"/>
        <w:adjustRightInd w:val="0"/>
        <w:jc w:val="both"/>
        <w:rPr>
          <w:color w:val="000000" w:themeColor="text1"/>
          <w:sz w:val="16"/>
          <w:szCs w:val="16"/>
        </w:rPr>
      </w:pPr>
    </w:p>
    <w:p w14:paraId="51DCC5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 сентября 1930 г., ровно через год после первого успешного полета, летные испытания КАСКР-1 были завершены. В двух последних полетах Камов, как и в первый раз, находился на борту в качестве пассажира-наблюдателя. Камов пришел к выводу, что из машины с 120-сильным мотором выжато все, на что она была способна. Автожир хорошо и ус</w:t>
      </w:r>
      <w:r w:rsidRPr="00507A31">
        <w:rPr>
          <w:color w:val="000000" w:themeColor="text1"/>
          <w:sz w:val="16"/>
          <w:szCs w:val="16"/>
        </w:rPr>
        <w:softHyphen/>
        <w:t>тойчиво летал на высоте до 40 м. Всего на КАСКР-1 было совершено 50 полетов общей продолжительностью 44 минуты (10224,32).</w:t>
      </w:r>
    </w:p>
    <w:p w14:paraId="1D819C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6283992" w14:textId="77777777" w:rsidR="00D225C5" w:rsidRPr="00507A31" w:rsidRDefault="00D225C5" w:rsidP="00507A31">
      <w:pPr>
        <w:jc w:val="both"/>
        <w:rPr>
          <w:color w:val="0070C0"/>
          <w:sz w:val="16"/>
          <w:szCs w:val="16"/>
        </w:rPr>
      </w:pPr>
      <w:r w:rsidRPr="00507A31">
        <w:rPr>
          <w:color w:val="0070C0"/>
          <w:sz w:val="16"/>
          <w:szCs w:val="16"/>
        </w:rPr>
        <w:t>25 сентября 1930 дальнейшие полеты КАСКР решили времен</w:t>
      </w:r>
      <w:r w:rsidRPr="00507A31">
        <w:rPr>
          <w:color w:val="0070C0"/>
          <w:sz w:val="16"/>
          <w:szCs w:val="16"/>
        </w:rPr>
        <w:softHyphen/>
        <w:t>но прекратить. Последовало решение оборудовать ма</w:t>
      </w:r>
      <w:r w:rsidRPr="00507A31">
        <w:rPr>
          <w:color w:val="0070C0"/>
          <w:sz w:val="16"/>
          <w:szCs w:val="16"/>
        </w:rPr>
        <w:softHyphen/>
        <w:t>шину более мощным двигателем и, соответственно, дове</w:t>
      </w:r>
      <w:r w:rsidRPr="00507A31">
        <w:rPr>
          <w:color w:val="0070C0"/>
          <w:sz w:val="16"/>
          <w:szCs w:val="16"/>
        </w:rPr>
        <w:softHyphen/>
        <w:t>сти ее до возможного совершенства. Работа велась до на</w:t>
      </w:r>
      <w:r w:rsidRPr="00507A31">
        <w:rPr>
          <w:color w:val="0070C0"/>
          <w:sz w:val="16"/>
          <w:szCs w:val="16"/>
        </w:rPr>
        <w:softHyphen/>
        <w:t>ступления нового, 1931 года. На автожире установили двигатель Гном-Рон «Титан» мощностью 225 л.с., снятый с дирижабля. Конструкция аппарата была соответствующим образом усилена и доработана. В новом качестве автожир получил наименование КАСКР-2 (предыдущий, соответст</w:t>
      </w:r>
      <w:r w:rsidRPr="00507A31">
        <w:rPr>
          <w:color w:val="0070C0"/>
          <w:sz w:val="16"/>
          <w:szCs w:val="16"/>
        </w:rPr>
        <w:softHyphen/>
        <w:t>венно, КАСКР-1), его испытания начались 11 января 1931 г. Практически сразу на нем начал летать новый летчик С.А. Корзинщиков, впоследствии испытавший многие со</w:t>
      </w:r>
      <w:r w:rsidRPr="00507A31">
        <w:rPr>
          <w:color w:val="0070C0"/>
          <w:sz w:val="16"/>
          <w:szCs w:val="16"/>
        </w:rPr>
        <w:softHyphen/>
        <w:t>ветские опытные автожиры. Более мощный двигатель заметно повысил способнос</w:t>
      </w:r>
      <w:r w:rsidRPr="00507A31">
        <w:rPr>
          <w:color w:val="0070C0"/>
          <w:sz w:val="16"/>
          <w:szCs w:val="16"/>
        </w:rPr>
        <w:softHyphen/>
        <w:t>ти КАСКРа — разбег составлял 20 метров в течение 5-6 се</w:t>
      </w:r>
      <w:r w:rsidRPr="00507A31">
        <w:rPr>
          <w:color w:val="0070C0"/>
          <w:sz w:val="16"/>
          <w:szCs w:val="16"/>
        </w:rPr>
        <w:softHyphen/>
        <w:t>кунд, а максимальная высота, достигнутая 13 января, со</w:t>
      </w:r>
      <w:r w:rsidRPr="00507A31">
        <w:rPr>
          <w:color w:val="0070C0"/>
          <w:sz w:val="16"/>
          <w:szCs w:val="16"/>
        </w:rPr>
        <w:softHyphen/>
        <w:t>ставила 230 метров (20361).</w:t>
      </w:r>
    </w:p>
    <w:p w14:paraId="00357ECB" w14:textId="77777777" w:rsidR="00D225C5" w:rsidRPr="00507A31" w:rsidRDefault="00D225C5" w:rsidP="00507A31">
      <w:pPr>
        <w:shd w:val="clear" w:color="auto" w:fill="FFFFFF"/>
        <w:jc w:val="both"/>
        <w:rPr>
          <w:color w:val="0070C0"/>
          <w:sz w:val="16"/>
          <w:szCs w:val="16"/>
        </w:rPr>
      </w:pPr>
    </w:p>
    <w:p w14:paraId="105EE87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4082B7E" w14:textId="77777777" w:rsidR="00537E5F" w:rsidRPr="00507A31" w:rsidRDefault="00537E5F" w:rsidP="00507A31">
      <w:pPr>
        <w:autoSpaceDE w:val="0"/>
        <w:autoSpaceDN w:val="0"/>
        <w:adjustRightInd w:val="0"/>
        <w:jc w:val="both"/>
        <w:rPr>
          <w:iCs/>
          <w:color w:val="000000" w:themeColor="text1"/>
          <w:sz w:val="16"/>
          <w:szCs w:val="16"/>
        </w:rPr>
      </w:pPr>
    </w:p>
    <w:p w14:paraId="3DC3744B" w14:textId="77777777" w:rsidR="00D225C5" w:rsidRPr="00507A31" w:rsidRDefault="00D225C5" w:rsidP="00507A31">
      <w:pPr>
        <w:jc w:val="both"/>
        <w:rPr>
          <w:color w:val="0070C0"/>
          <w:sz w:val="16"/>
          <w:szCs w:val="16"/>
        </w:rPr>
      </w:pPr>
      <w:r w:rsidRPr="00507A31">
        <w:rPr>
          <w:color w:val="0070C0"/>
          <w:sz w:val="16"/>
          <w:szCs w:val="16"/>
        </w:rPr>
        <w:t>25 сентября 1930 состоялось заседание ПБ (Протокол № 10)</w:t>
      </w:r>
    </w:p>
    <w:p w14:paraId="0E5142CE" w14:textId="77777777" w:rsidR="00D225C5" w:rsidRPr="00507A31" w:rsidRDefault="00D225C5" w:rsidP="00507A31">
      <w:pPr>
        <w:jc w:val="both"/>
        <w:rPr>
          <w:color w:val="0070C0"/>
          <w:sz w:val="16"/>
          <w:szCs w:val="16"/>
        </w:rPr>
      </w:pPr>
      <w:r w:rsidRPr="00507A31">
        <w:rPr>
          <w:color w:val="0070C0"/>
          <w:sz w:val="16"/>
          <w:szCs w:val="16"/>
        </w:rPr>
        <w:t>20 сентября 1930 опросом членов ПБ</w:t>
      </w:r>
    </w:p>
    <w:p w14:paraId="5E7C9F58" w14:textId="77777777" w:rsidR="00D225C5" w:rsidRPr="00507A31" w:rsidRDefault="00D225C5" w:rsidP="00507A31">
      <w:pPr>
        <w:jc w:val="both"/>
        <w:rPr>
          <w:color w:val="0070C0"/>
          <w:sz w:val="16"/>
          <w:szCs w:val="16"/>
        </w:rPr>
      </w:pPr>
      <w:r w:rsidRPr="00507A31">
        <w:rPr>
          <w:color w:val="0070C0"/>
          <w:sz w:val="16"/>
          <w:szCs w:val="16"/>
        </w:rPr>
        <w:t>24/32 О мобилизации промышленности</w:t>
      </w:r>
    </w:p>
    <w:p w14:paraId="6DF9C9E2" w14:textId="77777777" w:rsidR="00D225C5" w:rsidRPr="00507A31" w:rsidRDefault="00D225C5" w:rsidP="00507A31">
      <w:pPr>
        <w:jc w:val="both"/>
        <w:rPr>
          <w:color w:val="0070C0"/>
          <w:sz w:val="16"/>
          <w:szCs w:val="16"/>
        </w:rPr>
      </w:pPr>
      <w:r w:rsidRPr="00507A31">
        <w:rPr>
          <w:color w:val="0070C0"/>
          <w:sz w:val="16"/>
          <w:szCs w:val="16"/>
        </w:rPr>
        <w:t>(ПБ от 15.Ш.30 г. пр. № 120, п. 3)</w:t>
      </w:r>
    </w:p>
    <w:p w14:paraId="22C2D7EB" w14:textId="77777777" w:rsidR="00D225C5" w:rsidRPr="00507A31" w:rsidRDefault="00D225C5" w:rsidP="00507A31">
      <w:pPr>
        <w:jc w:val="both"/>
        <w:rPr>
          <w:color w:val="0070C0"/>
          <w:sz w:val="16"/>
          <w:szCs w:val="16"/>
        </w:rPr>
      </w:pPr>
      <w:r w:rsidRPr="00507A31">
        <w:rPr>
          <w:color w:val="0070C0"/>
          <w:sz w:val="16"/>
          <w:szCs w:val="16"/>
        </w:rPr>
        <w:t>Подтвердить решение РЗ СТО о начале проведения опытных: мобилизаций на специальных заводах 22 сентября.</w:t>
      </w:r>
    </w:p>
    <w:p w14:paraId="27E20CBE" w14:textId="77777777" w:rsidR="00D225C5" w:rsidRPr="00507A31" w:rsidRDefault="00D225C5" w:rsidP="00507A31">
      <w:pPr>
        <w:jc w:val="both"/>
        <w:rPr>
          <w:color w:val="0070C0"/>
          <w:sz w:val="16"/>
          <w:szCs w:val="16"/>
        </w:rPr>
      </w:pPr>
      <w:r w:rsidRPr="00507A31">
        <w:rPr>
          <w:color w:val="0070C0"/>
          <w:sz w:val="16"/>
          <w:szCs w:val="16"/>
        </w:rPr>
        <w:t>Выписки посланы: т.т. Рыкову, Куйбышеву (21116).</w:t>
      </w:r>
    </w:p>
    <w:p w14:paraId="260F9B9C" w14:textId="77777777" w:rsidR="00D225C5" w:rsidRPr="00507A31" w:rsidRDefault="00D225C5" w:rsidP="00507A31">
      <w:pPr>
        <w:shd w:val="clear" w:color="auto" w:fill="FFFFFF"/>
        <w:jc w:val="both"/>
        <w:rPr>
          <w:color w:val="0070C0"/>
          <w:sz w:val="16"/>
          <w:szCs w:val="16"/>
        </w:rPr>
      </w:pPr>
    </w:p>
    <w:p w14:paraId="68793E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сентября 1930 был закончен проект перевода бронированного паровоза ОВ с тендером и одной четырехосной площадки на 1435 мм колею на заводе “Красный Профинтерн” (10977).</w:t>
      </w:r>
    </w:p>
    <w:p w14:paraId="0E62FB14" w14:textId="77777777" w:rsidR="00537E5F" w:rsidRPr="00507A31" w:rsidRDefault="00537E5F" w:rsidP="00507A31">
      <w:pPr>
        <w:autoSpaceDE w:val="0"/>
        <w:autoSpaceDN w:val="0"/>
        <w:adjustRightInd w:val="0"/>
        <w:jc w:val="both"/>
        <w:rPr>
          <w:color w:val="000000" w:themeColor="text1"/>
          <w:sz w:val="16"/>
          <w:szCs w:val="16"/>
        </w:rPr>
      </w:pPr>
    </w:p>
    <w:p w14:paraId="0646E80A" w14:textId="77777777" w:rsidR="00A95902" w:rsidRPr="00507A31" w:rsidRDefault="00A95902" w:rsidP="00507A31">
      <w:pPr>
        <w:jc w:val="both"/>
        <w:rPr>
          <w:color w:val="000000" w:themeColor="text1"/>
          <w:sz w:val="16"/>
          <w:szCs w:val="16"/>
          <w:u w:color="002060"/>
        </w:rPr>
      </w:pPr>
      <w:r w:rsidRPr="00507A31">
        <w:rPr>
          <w:color w:val="000000" w:themeColor="text1"/>
          <w:sz w:val="16"/>
          <w:szCs w:val="16"/>
          <w:u w:color="002060"/>
        </w:rPr>
        <w:t>25 сентября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10. 4. О Сталинградском тракторном заводе (телеграмма Шеболдаева). 29. О производстве дорожных машин (Каганович). Решения ПБ от 20 сентября 1930 г. 1/5. О заказах военведа ВЭО (ПБ от 20 августа 1930 г., пр. № 5, п. 9/17). 24/32. О мобилизации промышленности (ПБ от 15 марта 1930 г., пр. № 120, п. 3). — ОП. (Политбюро... Т. 2. С. 80, 81, 82) (12416).</w:t>
      </w:r>
    </w:p>
    <w:p w14:paraId="69407CD4" w14:textId="77777777" w:rsidR="00A95902" w:rsidRPr="00507A31" w:rsidRDefault="00A95902" w:rsidP="00507A31">
      <w:pPr>
        <w:jc w:val="both"/>
        <w:rPr>
          <w:color w:val="000000" w:themeColor="text1"/>
          <w:sz w:val="16"/>
          <w:szCs w:val="16"/>
          <w:u w:color="002060"/>
        </w:rPr>
      </w:pPr>
    </w:p>
    <w:p w14:paraId="6A01CFDE" w14:textId="77777777" w:rsidR="00A95902" w:rsidRPr="00507A31" w:rsidRDefault="00A95902" w:rsidP="00507A31">
      <w:pPr>
        <w:jc w:val="both"/>
        <w:rPr>
          <w:color w:val="000000" w:themeColor="text1"/>
          <w:sz w:val="16"/>
          <w:szCs w:val="16"/>
        </w:rPr>
      </w:pPr>
      <w:r w:rsidRPr="00507A31">
        <w:rPr>
          <w:rStyle w:val="a7"/>
          <w:b w:val="0"/>
          <w:color w:val="000000" w:themeColor="text1"/>
          <w:sz w:val="16"/>
          <w:szCs w:val="16"/>
        </w:rPr>
        <w:t xml:space="preserve">25 сентября 1930 </w:t>
      </w:r>
      <w:r w:rsidRPr="00507A31">
        <w:rPr>
          <w:color w:val="000000" w:themeColor="text1"/>
          <w:sz w:val="16"/>
          <w:szCs w:val="16"/>
        </w:rPr>
        <w:t>Политбюро ЦК ВКП (б) признало необходимым форсировать строительство Саратовского комбайнового завода и приступить к строительству комбайнового цеха на Ростовском сельмаше (12265).</w:t>
      </w:r>
    </w:p>
    <w:p w14:paraId="62906557" w14:textId="77777777" w:rsidR="00A95902" w:rsidRPr="00507A31" w:rsidRDefault="00A95902" w:rsidP="00507A31">
      <w:pPr>
        <w:jc w:val="both"/>
        <w:rPr>
          <w:color w:val="000000" w:themeColor="text1"/>
          <w:sz w:val="16"/>
          <w:szCs w:val="16"/>
        </w:rPr>
      </w:pPr>
      <w:r w:rsidRPr="00507A31">
        <w:rPr>
          <w:color w:val="000000" w:themeColor="text1"/>
          <w:sz w:val="16"/>
          <w:szCs w:val="16"/>
        </w:rPr>
        <w:t> </w:t>
      </w:r>
    </w:p>
    <w:p w14:paraId="588CB7C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29746E0C" w14:textId="77777777" w:rsidR="00537E5F" w:rsidRPr="00507A31" w:rsidRDefault="00537E5F" w:rsidP="00507A31">
      <w:pPr>
        <w:autoSpaceDE w:val="0"/>
        <w:autoSpaceDN w:val="0"/>
        <w:adjustRightInd w:val="0"/>
        <w:jc w:val="both"/>
        <w:rPr>
          <w:iCs/>
          <w:color w:val="000000" w:themeColor="text1"/>
          <w:sz w:val="16"/>
          <w:szCs w:val="16"/>
        </w:rPr>
      </w:pPr>
    </w:p>
    <w:p w14:paraId="72AE80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25 сентября 1930 года Приказом Наркомвоенмора СССР №070 было введено "Наставление по мобилизационной работе в войсковых частях, управлениях, учреждениях и заведениях РККА" (9710).</w:t>
      </w:r>
    </w:p>
    <w:p w14:paraId="2B8F1189" w14:textId="77777777" w:rsidR="00537E5F" w:rsidRPr="00507A31" w:rsidRDefault="00537E5F" w:rsidP="00507A31">
      <w:pPr>
        <w:autoSpaceDE w:val="0"/>
        <w:autoSpaceDN w:val="0"/>
        <w:adjustRightInd w:val="0"/>
        <w:jc w:val="both"/>
        <w:rPr>
          <w:color w:val="000000" w:themeColor="text1"/>
          <w:sz w:val="16"/>
          <w:szCs w:val="16"/>
        </w:rPr>
      </w:pPr>
    </w:p>
    <w:p w14:paraId="2AA073F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88C7662" w14:textId="77777777" w:rsidR="00537E5F" w:rsidRPr="00507A31" w:rsidRDefault="00537E5F" w:rsidP="00507A31">
      <w:pPr>
        <w:autoSpaceDE w:val="0"/>
        <w:autoSpaceDN w:val="0"/>
        <w:adjustRightInd w:val="0"/>
        <w:jc w:val="both"/>
        <w:rPr>
          <w:iCs/>
          <w:color w:val="000000" w:themeColor="text1"/>
          <w:sz w:val="16"/>
          <w:szCs w:val="16"/>
        </w:rPr>
      </w:pPr>
    </w:p>
    <w:p w14:paraId="6FA6704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 сентября 1930 48 служащих советского Наркомата финансов расстреляны в связи с обвинениями их в создании трудностей в продовольственном снабжении населения (4962).</w:t>
      </w:r>
    </w:p>
    <w:p w14:paraId="5F2E5C7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09E00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сентября 1930 центральные газеты опубликовали сообщение о расстреле 48 работников продовольственных и торговых организаций как "вредителей рабочего снабжения" (9492).</w:t>
      </w:r>
    </w:p>
    <w:p w14:paraId="188D80BD" w14:textId="77777777" w:rsidR="00537E5F" w:rsidRPr="00507A31" w:rsidRDefault="00537E5F" w:rsidP="00507A31">
      <w:pPr>
        <w:autoSpaceDE w:val="0"/>
        <w:autoSpaceDN w:val="0"/>
        <w:adjustRightInd w:val="0"/>
        <w:jc w:val="both"/>
        <w:rPr>
          <w:color w:val="000000" w:themeColor="text1"/>
          <w:sz w:val="16"/>
          <w:szCs w:val="16"/>
        </w:rPr>
      </w:pPr>
    </w:p>
    <w:p w14:paraId="07907E7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D518B94" w14:textId="77777777" w:rsidR="00537E5F" w:rsidRPr="00507A31" w:rsidRDefault="00537E5F" w:rsidP="00507A31">
      <w:pPr>
        <w:autoSpaceDE w:val="0"/>
        <w:autoSpaceDN w:val="0"/>
        <w:adjustRightInd w:val="0"/>
        <w:jc w:val="both"/>
        <w:rPr>
          <w:iCs/>
          <w:color w:val="000000" w:themeColor="text1"/>
          <w:sz w:val="16"/>
          <w:szCs w:val="16"/>
        </w:rPr>
      </w:pPr>
    </w:p>
    <w:p w14:paraId="4C64848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сентября 1930 года И8 был вывезен на аэродром (6925).</w:t>
      </w:r>
    </w:p>
    <w:p w14:paraId="473C3D9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D1416A2" w14:textId="77777777" w:rsidR="000D5684" w:rsidRPr="00507A31" w:rsidRDefault="000D5684"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6B52EF3" w14:textId="77777777" w:rsidR="000D5684" w:rsidRPr="00507A31" w:rsidRDefault="000D5684" w:rsidP="00507A31">
      <w:pPr>
        <w:autoSpaceDE w:val="0"/>
        <w:autoSpaceDN w:val="0"/>
        <w:adjustRightInd w:val="0"/>
        <w:jc w:val="both"/>
        <w:rPr>
          <w:iCs/>
          <w:color w:val="000000" w:themeColor="text1"/>
          <w:sz w:val="16"/>
          <w:szCs w:val="16"/>
        </w:rPr>
      </w:pPr>
    </w:p>
    <w:p w14:paraId="5FD701E8" w14:textId="77777777" w:rsidR="000D5684" w:rsidRPr="00507A31" w:rsidRDefault="000D5684" w:rsidP="00507A31">
      <w:pPr>
        <w:jc w:val="both"/>
        <w:rPr>
          <w:bCs/>
          <w:color w:val="000000" w:themeColor="text1"/>
          <w:sz w:val="16"/>
          <w:szCs w:val="16"/>
        </w:rPr>
      </w:pPr>
      <w:r w:rsidRPr="00507A31">
        <w:rPr>
          <w:color w:val="000000" w:themeColor="text1"/>
          <w:sz w:val="16"/>
          <w:szCs w:val="16"/>
        </w:rPr>
        <w:t>26 сентября 1930 г.</w:t>
      </w:r>
    </w:p>
    <w:p w14:paraId="5671151F" w14:textId="77777777" w:rsidR="000D5684" w:rsidRPr="00507A31" w:rsidRDefault="000D5684" w:rsidP="00507A31">
      <w:pPr>
        <w:jc w:val="both"/>
        <w:rPr>
          <w:bCs/>
          <w:color w:val="000000" w:themeColor="text1"/>
          <w:sz w:val="16"/>
          <w:szCs w:val="16"/>
        </w:rPr>
      </w:pPr>
      <w:r w:rsidRPr="00507A31">
        <w:rPr>
          <w:color w:val="000000" w:themeColor="text1"/>
          <w:sz w:val="16"/>
          <w:szCs w:val="16"/>
        </w:rPr>
        <w:t>Из показаний арестованного сотрудника Теплотехнического института Н. А. Давидова о ситуации в институте и личности Л. К. Рамзина. 26 сентября 1930 г.</w:t>
      </w:r>
    </w:p>
    <w:p w14:paraId="4B44190F" w14:textId="77777777" w:rsidR="000D5684" w:rsidRPr="00507A31" w:rsidRDefault="000D5684" w:rsidP="00507A31">
      <w:pPr>
        <w:jc w:val="both"/>
        <w:rPr>
          <w:bCs/>
          <w:color w:val="000000" w:themeColor="text1"/>
          <w:sz w:val="16"/>
          <w:szCs w:val="16"/>
        </w:rPr>
      </w:pPr>
      <w:r w:rsidRPr="00507A31">
        <w:rPr>
          <w:bCs/>
          <w:color w:val="000000" w:themeColor="text1"/>
          <w:sz w:val="16"/>
          <w:szCs w:val="16"/>
        </w:rPr>
        <w:t>Источник: </w:t>
      </w:r>
    </w:p>
    <w:p w14:paraId="0E822347" w14:textId="77777777" w:rsidR="000D5684" w:rsidRPr="00507A31" w:rsidRDefault="000D568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1901191" w14:textId="77777777" w:rsidR="000D5684" w:rsidRPr="00507A31" w:rsidRDefault="000D5684" w:rsidP="00507A31">
      <w:pPr>
        <w:pStyle w:val="rteright"/>
        <w:spacing w:before="0" w:after="0"/>
        <w:jc w:val="both"/>
        <w:rPr>
          <w:color w:val="000000" w:themeColor="text1"/>
          <w:sz w:val="16"/>
          <w:szCs w:val="16"/>
        </w:rPr>
      </w:pPr>
      <w:r w:rsidRPr="00507A31">
        <w:rPr>
          <w:color w:val="000000" w:themeColor="text1"/>
          <w:sz w:val="16"/>
          <w:szCs w:val="16"/>
        </w:rPr>
        <w:t>26 сентября 1930 г.</w:t>
      </w:r>
    </w:p>
    <w:p w14:paraId="7EFEB90B"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Стоя перед фактом тяжелых обвинений, имеющихся против меня в показаниях Л. К. Рамзина, я искренне каюсь в своей вине. Однако я должен утверждать, что последовательность отдельных фактов он путает, а некоторые моменты излагает неверно. Прежде всего я клянусь, что я никогда ни ранее, ни теперь не имел никаких сношений с англичанами, и моя встреча с Чарноком на именинах в квартире проф. Дехтарева в 1926 г., за что я был арестован в июне 1927 г. и выпущен без наложения какого-либо наказания в начале сентября 1927 г. была с моей стороны случайной и непреднамеренной. Рамзину я при первой же встрече (уже зимой [19]27 г., т. к. ко времени моего освобождения он был в Америке) рассказал все дело, при чем он интересовался всеми деталями. [...]</w:t>
      </w:r>
    </w:p>
    <w:p w14:paraId="0D0DE53E"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Процесс моего вовлечения [в «Промпартию»] велся настолько тонко и постепенно, что время его начала я указать не могу, а вся преступность махинаций Рамзина открылась передо мной только в самом последнем моменте. Я стал зав. машинной лабораторией Теплотехнического института в 1928 г. (после смерти Б. М. Ошуркова в 1927 г. мне было всего 27 лет, и я долгое время не хотел брать этот ответственный пост, почему велись переговоры с рядом видных ученых). Только с того времени я стал сам защищать интересы машинной лаборатории в получении денег из отпускаемых Институту сумм и проч., но всякое мое начинание, несмотря на все мои настояния, которые я доводил даже до публичной полемики с Рамзиным, фактически кончалась неотпуском средств со стороны Рамзина, который был таким диктатором, что всякие заседания Ученого Совета были пустой фикцией. Рамзин постоянно представлял дело таким образом, что он вполне согласен, что дело, конечно, интересное, но что деньги на эти работы срезаны, и он ничего выделить не может, а его ловкость в быстрых подсчетах и умение ставить в тупик перед неопровержимостью цифры — общеизвестна. [...]</w:t>
      </w:r>
    </w:p>
    <w:p w14:paraId="692033F1"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Следующим моментом явилась игра на моей психике в том отношении, что я хотя после ареста и освобожден без всякого наказания, но это вовсе не значит, что я чист. Делалось это отдельными намеками, например, перед выборами на профессуру в МВТУ (такие совещания перед различными баллотировками он вообще практиковал), а также и в личной беседе со мною бросил такую фразу: «Они (т. е. сторонники другой кандидатуры) конечно будут будировать тот момент, что Николай Андреевич только недавно был арестован». От такой фразы оставался осадок: если Рамзин, человек с такими связями, и также тонкий политик, который словами попусту не кидается, говорит подобную вещь, то это значит, что он что-то знает, что-то чувствует, т. е. что я в каждый момент могу вновь попасть в положение обвиняемого. [...]</w:t>
      </w:r>
    </w:p>
    <w:p w14:paraId="13759C24"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Позже, уже в 1929 г., после назначения зам. директора Института Г. П. Браило, который буквально в какой-нибудь месяц сумел все диктаторство Рамзина свести к нулю, и когда одновременно резко пошатнулось его влияние и авторитет в МВТУ, прорывалось нервничание, деловые разговоры все чаще прерывались замечаниями, что в Институте больше не хозяин, и поэтому ничего сделать не может, что всякие планы по Институту, также как и планы в государственном масштабе невыполнимы, а отвечать все же придется за них всем нам и т. д. Когда прокатилась волна вредительства, в частности, была раскрыта вредительская организация в институтском органе по приемке топлива в Донбассе (дело Радовича), то он, не стесняясь, давал понять, что все вредительские процессы резко раздуваются, что наравне с виновными страдает большое число невинных, что теперь каждая мелкая ошибка или мнение, идущее вразрез с общим мнением[,] сейчас же также расценивается как вредительство, что, наконец, Николаева (был зав. АФО Института, непосредственный выполнитель всех административных дел в Институте, осужденный по делу Радовича), просто сгубили, что он, Рамзин, не соглашался допустить его смещения и пр.</w:t>
      </w:r>
    </w:p>
    <w:p w14:paraId="21F3C0A9"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Если Рамзин, сам Рамзин, которого я, как и вообще в теплотехнических кругах, до самого последнего времени считал за открытого и откровенного последователя коммунистических идей, который имеет доступ в самые верхи, которому открыты все цифры Госплана, говорит подобные вещи, то это, конечно, сильнейшим образом влияло на меня и безусловно отражалось в моих дальнейших разговорах, оценках фактов и т. д. [...] Ореол Рамзина был настолько силен, что даже в тот момент, когда по какому-то поводу он прямо сказал, что против организованного нажима единственное средство — действовать также организованно &lt;...&gt; В конце 1929 г. он, однако, поставил все точки и прямо сказал, что считает необходимым создать организованную небольшую группу, пусть нелегальную, старейших и самых близких сотрудников для того, чтобы давать отпор, что Браило, несмотря на громкие фразы, никаких денег не получил, ничего делать не умеет, а отвечать придется ему, Рамзину, и всем нам.</w:t>
      </w:r>
    </w:p>
    <w:p w14:paraId="1F32D3FC"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Примерно в январе, начале февраля 1930 г. положение в Институте вдруг резко изменилось. Браило, наконец, добился обещанных денег, причем в таком количестве, что мы все были ослеплены и оказались в невозможности их истратить, во все лаборатории были влиты молодые специалисты — коммунисты, и работа начала развиваться с поразительным успехом, несмотря на затруднения с кадрами, отсутствие валюты и пр.</w:t>
      </w:r>
    </w:p>
    <w:p w14:paraId="7BFB340C"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От Рамзина никаких требований не было, а затем он дал понять (он вообще, даже в своем кабинете, сохраняя величайшую осторожность, стремился не называть вещи своими именами), что все дело консервируется. К тому же он уезжал в отпуск, затем неделями не появлялся в Институте, т. к. писал доклад на Международную конференцию, потом уехал заграницу, после чего опять почти сразу же ушел в отпуск. Я был также в отпуску. [...]</w:t>
      </w:r>
    </w:p>
    <w:p w14:paraId="6F08B7D4"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Принося свое самое искреннее и чистосердечное покаяние, умоляю учесть, что: 1) я был подчинен и порабощен мрачным умом Рамзина, который для удовлетворения своего властолюбия и деспотизма не останавливался ни перед чем, 2) что никакого преступного дела я не совершал, и мое тяжкое преступление мысли ни до какого вреда не довело. Наоборот, вся моя работа была искренняя, что подтверждает размах работ, и те достижения, которых именно за последний период добилась Машинная лаборатория, что 3) мое долгое и упорное отрицание своей вины было результатом не нераскаянности или желания продолжить в скрытой форме борьбу, а следствие договоренности и остатков той интеллигентской этики, которая запрещала мне признаваться, т. к. я думал, что этим я смогу спасти от наказания других не признающихся, которых я считаю также совращенными жертвами Рамзина.</w:t>
      </w:r>
    </w:p>
    <w:p w14:paraId="3C812971"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Я умоляю не отнимать у меня жизнь и дать мне возможность в любых условиях работать на моем поприще. Я молод, я люблю и умею работать, специалистов в моей области в СССР почти нет, неужели же я больше не могу принести пользу?</w:t>
      </w:r>
    </w:p>
    <w:p w14:paraId="421F9D68"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Я клянусь, что самой упорной и беззаветной работой я добился бы искупления своей вины.</w:t>
      </w:r>
    </w:p>
    <w:p w14:paraId="51E671F3"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Н. Давидов.</w:t>
      </w:r>
    </w:p>
    <w:p w14:paraId="10AE68F2" w14:textId="77777777" w:rsidR="000D5684" w:rsidRPr="00507A31" w:rsidRDefault="000D5684" w:rsidP="00507A31">
      <w:pPr>
        <w:pStyle w:val="rtejustify"/>
        <w:spacing w:before="0" w:after="0"/>
        <w:rPr>
          <w:color w:val="000000" w:themeColor="text1"/>
          <w:sz w:val="16"/>
          <w:szCs w:val="16"/>
        </w:rPr>
      </w:pPr>
      <w:r w:rsidRPr="00507A31">
        <w:rPr>
          <w:color w:val="000000" w:themeColor="text1"/>
          <w:sz w:val="16"/>
          <w:szCs w:val="16"/>
        </w:rPr>
        <w:t>26/IX—[19]30 г.</w:t>
      </w:r>
    </w:p>
    <w:p w14:paraId="0DFCD473" w14:textId="77777777" w:rsidR="000D5684" w:rsidRPr="00507A31" w:rsidRDefault="000D5684" w:rsidP="00507A31">
      <w:pPr>
        <w:pStyle w:val="rtejustify"/>
        <w:spacing w:before="0" w:after="0"/>
        <w:rPr>
          <w:color w:val="000000" w:themeColor="text1"/>
          <w:sz w:val="16"/>
          <w:szCs w:val="16"/>
        </w:rPr>
      </w:pPr>
      <w:r w:rsidRPr="00507A31">
        <w:rPr>
          <w:rStyle w:val="af0"/>
          <w:i w:val="0"/>
          <w:color w:val="000000" w:themeColor="text1"/>
          <w:sz w:val="16"/>
          <w:szCs w:val="16"/>
        </w:rPr>
        <w:t>ЦА ФСБ РФ. Ф. Р-42280. Т. 2. Л. 8-10 об. Рукописный подлинник, автограф Н. А. Давидова. Подчеркивания в тексте авторские. Опущены некоторые фрагменты описания его профессиональной и организационной деятельность в Институте (18705).</w:t>
      </w:r>
    </w:p>
    <w:p w14:paraId="376EECA9" w14:textId="77777777" w:rsidR="000D5684" w:rsidRPr="00507A31" w:rsidRDefault="000D5684" w:rsidP="00507A31">
      <w:pPr>
        <w:jc w:val="both"/>
        <w:rPr>
          <w:color w:val="000000" w:themeColor="text1"/>
          <w:sz w:val="16"/>
          <w:szCs w:val="16"/>
        </w:rPr>
      </w:pPr>
    </w:p>
    <w:p w14:paraId="3579E1A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FD32188" w14:textId="77777777" w:rsidR="00537E5F" w:rsidRPr="00507A31" w:rsidRDefault="00537E5F" w:rsidP="00507A31">
      <w:pPr>
        <w:autoSpaceDE w:val="0"/>
        <w:autoSpaceDN w:val="0"/>
        <w:adjustRightInd w:val="0"/>
        <w:jc w:val="both"/>
        <w:rPr>
          <w:iCs/>
          <w:color w:val="000000" w:themeColor="text1"/>
          <w:sz w:val="16"/>
          <w:szCs w:val="16"/>
        </w:rPr>
      </w:pPr>
    </w:p>
    <w:p w14:paraId="01BA32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сентября 1930 года Приказом Наркомвоенмора СССР №070 введено "Наставление по мобилизационной работе в войсковых частях, управлениях, учреждениях и заведениях РККА" (8983).</w:t>
      </w:r>
    </w:p>
    <w:p w14:paraId="5F1E054B" w14:textId="77777777" w:rsidR="00537E5F" w:rsidRPr="00507A31" w:rsidRDefault="00537E5F" w:rsidP="00507A31">
      <w:pPr>
        <w:autoSpaceDE w:val="0"/>
        <w:autoSpaceDN w:val="0"/>
        <w:adjustRightInd w:val="0"/>
        <w:jc w:val="both"/>
        <w:rPr>
          <w:color w:val="000000" w:themeColor="text1"/>
          <w:sz w:val="16"/>
          <w:szCs w:val="16"/>
        </w:rPr>
      </w:pPr>
    </w:p>
    <w:p w14:paraId="1DBDE46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8F0A302" w14:textId="77777777" w:rsidR="00537E5F" w:rsidRPr="00507A31" w:rsidRDefault="00537E5F" w:rsidP="00507A31">
      <w:pPr>
        <w:autoSpaceDE w:val="0"/>
        <w:autoSpaceDN w:val="0"/>
        <w:adjustRightInd w:val="0"/>
        <w:jc w:val="both"/>
        <w:rPr>
          <w:iCs/>
          <w:color w:val="000000" w:themeColor="text1"/>
          <w:sz w:val="16"/>
          <w:szCs w:val="16"/>
        </w:rPr>
      </w:pPr>
    </w:p>
    <w:p w14:paraId="62AA37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26 сентября и 2 октября 1930. Протокол заседания Политбюро № 11, 1930 г.</w:t>
      </w:r>
    </w:p>
    <w:p w14:paraId="372B96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О вредителях по мясу </w:t>
      </w:r>
    </w:p>
    <w:p w14:paraId="1E3A97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Признать необходимым немедленно опубликовать основные показания вредителей по делу о вредительстве по мясу, рыбе, консервам и овощам. Сопроводить этот материал кратким введением ОГПУ с указанием о том, что постановлением ЦИК и СНК Союза дело передано на рассмотрение ОГПУ. </w:t>
      </w:r>
    </w:p>
    <w:p w14:paraId="48DF71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Поместить ряд статей, разъясняющих сущность этого дела и указывающих на то, что работа этой контрреволюционной шайки полностью разоблачена и приняты все меры к исправлению последствий вредительства. Отвести этому материалу 1 1/2 страницы в основных газетах от 22 сентября (11652).</w:t>
      </w:r>
    </w:p>
    <w:p w14:paraId="3F08071A" w14:textId="77777777" w:rsidR="00537E5F" w:rsidRPr="00507A31" w:rsidRDefault="00537E5F" w:rsidP="00507A31">
      <w:pPr>
        <w:autoSpaceDE w:val="0"/>
        <w:autoSpaceDN w:val="0"/>
        <w:adjustRightInd w:val="0"/>
        <w:jc w:val="both"/>
        <w:rPr>
          <w:color w:val="000000" w:themeColor="text1"/>
          <w:sz w:val="16"/>
          <w:szCs w:val="16"/>
        </w:rPr>
      </w:pPr>
    </w:p>
    <w:p w14:paraId="3205576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1F6AD90" w14:textId="77777777" w:rsidR="00537E5F" w:rsidRPr="00507A31" w:rsidRDefault="00537E5F" w:rsidP="00507A31">
      <w:pPr>
        <w:autoSpaceDE w:val="0"/>
        <w:autoSpaceDN w:val="0"/>
        <w:adjustRightInd w:val="0"/>
        <w:jc w:val="both"/>
        <w:rPr>
          <w:iCs/>
          <w:color w:val="000000" w:themeColor="text1"/>
          <w:sz w:val="16"/>
          <w:szCs w:val="16"/>
        </w:rPr>
      </w:pPr>
    </w:p>
    <w:p w14:paraId="3F6D280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27 сентября по 5 октября 1930 года представленный ВАО первый опытный экземпляр самолета И5 с четырьмя пулеметами испытывался в НИИ ВВС и НИИ считало, что установка вооружения и оборудования недоработаны ………………. (6943, 143).</w:t>
      </w:r>
    </w:p>
    <w:p w14:paraId="59A68A8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51C8C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27 сентября 1930 года в НИИ ВВС был сдан первый опытный экземпляр И5 с непристрелянными пулеметами и без установки дополнительного оборудования вместо второго опытного экземпляра с 4-мя установленными и пристрелянными пулеметами (на земле и в воздухе) и положенным оборудованием на гос. испытания вооружения и оборудования, который должен был поступить 25 сентября 1930 (6943).</w:t>
      </w:r>
    </w:p>
    <w:p w14:paraId="13551338"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1CEF4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сентября 1930 Зам. директора ЦАГИ Петренко письмом N 885с направил Рапорт Пред. РВС о программе исследований плоского штопора на И-5 на 7.5 декад (1041).</w:t>
      </w:r>
    </w:p>
    <w:p w14:paraId="3B8301F0" w14:textId="77777777" w:rsidR="00537E5F" w:rsidRPr="00507A31" w:rsidRDefault="00537E5F" w:rsidP="00507A31">
      <w:pPr>
        <w:autoSpaceDE w:val="0"/>
        <w:autoSpaceDN w:val="0"/>
        <w:adjustRightInd w:val="0"/>
        <w:jc w:val="both"/>
        <w:rPr>
          <w:color w:val="000000" w:themeColor="text1"/>
          <w:sz w:val="16"/>
          <w:szCs w:val="16"/>
        </w:rPr>
      </w:pPr>
    </w:p>
    <w:p w14:paraId="2BEE2A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сетября 1930 Зам. Директора ЦАГИ Петренко и зам. Зав. СТО Александров писали Рапорт Пред. РВС:</w:t>
      </w:r>
    </w:p>
    <w:p w14:paraId="6AF2B9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Доношу, что согласно постановления Роввоенсовета от 13-го Октября, журнал № 20, ЦАГИ было поручено произвести исследование самолета И-5 на предмет его способности выходить из плоского штопора.</w:t>
      </w:r>
    </w:p>
    <w:p w14:paraId="7CC3E5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виду того, что ЦАГИ только что приступает к исследованию штопора в свободном полете и поэтому не имеет еще достаточного в этом отношении опыта, исследование это над малиной И-5 может быть проведено без полной гарантии изжить недостатки этой машины. Все же намеченные опыты дают некоторую уве</w:t>
      </w:r>
      <w:r w:rsidRPr="00507A31">
        <w:rPr>
          <w:color w:val="000000" w:themeColor="text1"/>
          <w:sz w:val="16"/>
          <w:szCs w:val="16"/>
        </w:rPr>
        <w:softHyphen/>
        <w:t>ренность в успехе.</w:t>
      </w:r>
    </w:p>
    <w:p w14:paraId="0255C1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ЦАГИ предполагает провести следуюцие исследования:</w:t>
      </w:r>
    </w:p>
    <w:p w14:paraId="2EEA35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Испытание в воздухе самолета И-5, оборудованного приборами, позволяющими найти основные нообходимы элементы штопора.</w:t>
      </w:r>
    </w:p>
    <w:p w14:paraId="6A0DDE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Испытание модели самолета И-5 в аэродинамической трубе для определения недостающих по п. 1 элементов которые в настсяцее время не представляется возмок-ним найти в свободном полете.</w:t>
      </w:r>
    </w:p>
    <w:p w14:paraId="3111F1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Произвести на основе проводимых экспериментов п. п. 1 и 2 приближенный теоретический расчет што</w:t>
      </w:r>
      <w:r w:rsidRPr="00507A31">
        <w:rPr>
          <w:color w:val="000000" w:themeColor="text1"/>
          <w:sz w:val="16"/>
          <w:szCs w:val="16"/>
        </w:rPr>
        <w:softHyphen/>
        <w:t>пора и наметить, если это представится возможным, конструктивные изменения машины.</w:t>
      </w:r>
    </w:p>
    <w:p w14:paraId="186A33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После соответствующих переделок машины на заводе снова произвести испытание.</w:t>
      </w:r>
    </w:p>
    <w:p w14:paraId="3D4BA4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произведения указанных работ требуется:</w:t>
      </w:r>
    </w:p>
    <w:p w14:paraId="1A02A7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Получить в распоряжение ЦЛГИ один самолет И-5.</w:t>
      </w:r>
    </w:p>
    <w:p w14:paraId="72EA95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Срочно получить из-заграниды несколько необходимых для произведения исследования приборов, согласно прилагаемой описи.</w:t>
      </w:r>
    </w:p>
    <w:p w14:paraId="2C8532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Дать распоряжение ГВАО о предоставлении ЦАГИ тех необходимых материалов по самолоту И-5, кои потребуются в процессе произведения работ.</w:t>
      </w:r>
    </w:p>
    <w:p w14:paraId="0CF14C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Что касается сроков выполнения, то ориентировочно они выражаются следующим, образом:</w:t>
      </w:r>
    </w:p>
    <w:p w14:paraId="201564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Оборудование и подготовка самолета, а также теоретическая проработка вопроса - 3 декады</w:t>
      </w:r>
    </w:p>
    <w:p w14:paraId="6FB1DC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Прокзведение исследований в воздухе - 1 декада через 4 декады должныбыть готовы исследования самолета в трубе.</w:t>
      </w:r>
    </w:p>
    <w:p w14:paraId="156CDF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Обработка всех результатов опытов и вывод заключения. * - 1</w:t>
      </w:r>
    </w:p>
    <w:p w14:paraId="0CD933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поделки машин и около 1</w:t>
      </w:r>
    </w:p>
    <w:p w14:paraId="039D03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Контрольные испытания и заключения " 1 и 1/2</w:t>
      </w:r>
    </w:p>
    <w:p w14:paraId="3998F8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 ОКОЛО....7 с половиной декад</w:t>
      </w:r>
    </w:p>
    <w:p w14:paraId="3C7CCF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Сроки должны считаться с момента изучения машины и приборов (10757).</w:t>
      </w:r>
    </w:p>
    <w:p w14:paraId="1B2288BE" w14:textId="77777777" w:rsidR="00537E5F" w:rsidRPr="00507A31" w:rsidRDefault="00537E5F" w:rsidP="00507A31">
      <w:pPr>
        <w:autoSpaceDE w:val="0"/>
        <w:autoSpaceDN w:val="0"/>
        <w:adjustRightInd w:val="0"/>
        <w:jc w:val="both"/>
        <w:rPr>
          <w:color w:val="000000" w:themeColor="text1"/>
          <w:sz w:val="16"/>
          <w:szCs w:val="16"/>
        </w:rPr>
      </w:pPr>
    </w:p>
    <w:p w14:paraId="16E4A88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D2141A4" w14:textId="77777777" w:rsidR="00537E5F" w:rsidRPr="00507A31" w:rsidRDefault="00537E5F" w:rsidP="00507A31">
      <w:pPr>
        <w:autoSpaceDE w:val="0"/>
        <w:autoSpaceDN w:val="0"/>
        <w:adjustRightInd w:val="0"/>
        <w:jc w:val="both"/>
        <w:rPr>
          <w:iCs/>
          <w:color w:val="000000" w:themeColor="text1"/>
          <w:sz w:val="16"/>
          <w:szCs w:val="16"/>
        </w:rPr>
      </w:pPr>
    </w:p>
    <w:p w14:paraId="66D7F8A5" w14:textId="77777777" w:rsidR="00D225C5" w:rsidRPr="00507A31" w:rsidRDefault="00D225C5" w:rsidP="00507A31">
      <w:pPr>
        <w:jc w:val="both"/>
        <w:rPr>
          <w:color w:val="0070C0"/>
          <w:sz w:val="16"/>
          <w:szCs w:val="16"/>
        </w:rPr>
      </w:pPr>
      <w:r w:rsidRPr="00507A31">
        <w:rPr>
          <w:color w:val="0070C0"/>
          <w:sz w:val="16"/>
          <w:szCs w:val="16"/>
        </w:rPr>
        <w:t>27 сентября 1930 - На военном полигоне в Райникендорфе, Германия, Р.Небелем и В.Риделем был открыт первый в мире ракетодром. "Обществом межпланетных сообщений" была приобретена в аренду территория в 5 квадратных км на которой был торжественно открыт "Ракетодром Берлин-Рейникедорф", где начались работы по ракетам и ракетным двигателям. День рождение ракетного испытательного полигона "Ракетенфлюгплац" (Raketenflugplatz) - (Ракетный аэродром). В период его функционирования до 1934 г. на нём проводились испытательные запуски ракет на высоту до 1000 м (22353).</w:t>
      </w:r>
    </w:p>
    <w:p w14:paraId="066ACF9A" w14:textId="77777777" w:rsidR="00D225C5" w:rsidRPr="00507A31" w:rsidRDefault="00D225C5" w:rsidP="00507A31">
      <w:pPr>
        <w:shd w:val="clear" w:color="auto" w:fill="FFFFFF"/>
        <w:jc w:val="both"/>
        <w:rPr>
          <w:color w:val="0070C0"/>
          <w:sz w:val="16"/>
          <w:szCs w:val="16"/>
        </w:rPr>
      </w:pPr>
    </w:p>
    <w:p w14:paraId="5FE016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сентября 1930 года «Общество» стало владельцем участка площадью около пяти квадратных километров, расположенный в районе Рейникендорфа, рабочего пригорода Берлина и объявило этот день «днем рождения ракетного испытательного полигона», который Небель назвал «Ракетенфлюгплатц» («Raketenflugplatz» – «Ракетный аэродром»). Там были установлены ракета Оберта, ее полноразмерная деревянная модель, железная пусковая направляющая для запуска ракет и вторая ракета «Mirak», работа над которой была уже завершена (11688).</w:t>
      </w:r>
    </w:p>
    <w:p w14:paraId="32BFC83D" w14:textId="77777777" w:rsidR="00537E5F" w:rsidRPr="00507A31" w:rsidRDefault="00537E5F" w:rsidP="00507A31">
      <w:pPr>
        <w:autoSpaceDE w:val="0"/>
        <w:autoSpaceDN w:val="0"/>
        <w:adjustRightInd w:val="0"/>
        <w:jc w:val="both"/>
        <w:rPr>
          <w:color w:val="000000" w:themeColor="text1"/>
          <w:sz w:val="16"/>
          <w:szCs w:val="16"/>
        </w:rPr>
      </w:pPr>
    </w:p>
    <w:p w14:paraId="0271AAB9" w14:textId="77777777" w:rsidR="00B83B62" w:rsidRPr="00507A31" w:rsidRDefault="00B83B62" w:rsidP="00507A31">
      <w:pPr>
        <w:jc w:val="both"/>
        <w:rPr>
          <w:color w:val="000000" w:themeColor="text1"/>
          <w:sz w:val="16"/>
          <w:szCs w:val="16"/>
        </w:rPr>
      </w:pPr>
      <w:r w:rsidRPr="00507A31">
        <w:rPr>
          <w:color w:val="000000" w:themeColor="text1"/>
          <w:sz w:val="16"/>
          <w:szCs w:val="16"/>
        </w:rPr>
        <w:t>27 сентября в 1930 году на военном полигоне в Райникендорфе, Германия, Р.Небелем и В.Риделем был открыт первый в мире ракетодром. "Обществом межпланетных сообщений" была приобретена в аренду территория в 5 квадратных км на которой был торжественно открыт "Ракетодром Берлин-Рейникедорф", где начались работы по ракетам и ракетным двигателям. День рождение ракетного испытательного полигона "Ракетенфлюгплац" (Raketenflugplatz) - (Ракетный аэродром). В период его функционирования до 1934 г. на нем проводились испытательные запуски ракет на высоту до 1000 м (14782).</w:t>
      </w:r>
    </w:p>
    <w:p w14:paraId="5DAF3786" w14:textId="77777777" w:rsidR="00B83B62" w:rsidRPr="00507A31" w:rsidRDefault="00B83B62" w:rsidP="00507A31">
      <w:pPr>
        <w:jc w:val="both"/>
        <w:rPr>
          <w:color w:val="000000" w:themeColor="text1"/>
          <w:sz w:val="16"/>
          <w:szCs w:val="16"/>
        </w:rPr>
      </w:pPr>
    </w:p>
    <w:p w14:paraId="25F1F1F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DDD4D60" w14:textId="77777777" w:rsidR="00537E5F" w:rsidRPr="00507A31" w:rsidRDefault="00537E5F" w:rsidP="00507A31">
      <w:pPr>
        <w:autoSpaceDE w:val="0"/>
        <w:autoSpaceDN w:val="0"/>
        <w:adjustRightInd w:val="0"/>
        <w:jc w:val="both"/>
        <w:rPr>
          <w:iCs/>
          <w:color w:val="000000" w:themeColor="text1"/>
          <w:sz w:val="16"/>
          <w:szCs w:val="16"/>
        </w:rPr>
      </w:pPr>
    </w:p>
    <w:p w14:paraId="3DEE4D3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28 сентября 1930 года состоялся первый полет И8. Было выполнено всего 4 полета: ознакомительный, устойчивость и управляемость, фигуры – виражи и петли, полет с обтекателями колес (6925).</w:t>
      </w:r>
    </w:p>
    <w:p w14:paraId="7A16168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C6BB6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сентября 1930 опытный АНТ-6 с 4хКонкверор был в основном готов (1854,7).</w:t>
      </w:r>
    </w:p>
    <w:p w14:paraId="0B3A9FEC" w14:textId="77777777" w:rsidR="00537E5F" w:rsidRPr="00507A31" w:rsidRDefault="00537E5F" w:rsidP="00507A31">
      <w:pPr>
        <w:autoSpaceDE w:val="0"/>
        <w:autoSpaceDN w:val="0"/>
        <w:adjustRightInd w:val="0"/>
        <w:jc w:val="both"/>
        <w:rPr>
          <w:color w:val="000000" w:themeColor="text1"/>
          <w:sz w:val="16"/>
          <w:szCs w:val="16"/>
        </w:rPr>
      </w:pPr>
    </w:p>
    <w:p w14:paraId="6315D3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сентября 1930 г. был в основном готов ТБ-3 (АНТ-6) (8887).</w:t>
      </w:r>
    </w:p>
    <w:p w14:paraId="576C8DEF" w14:textId="77777777" w:rsidR="00537E5F" w:rsidRPr="00507A31" w:rsidRDefault="00537E5F" w:rsidP="00507A31">
      <w:pPr>
        <w:autoSpaceDE w:val="0"/>
        <w:autoSpaceDN w:val="0"/>
        <w:adjustRightInd w:val="0"/>
        <w:jc w:val="both"/>
        <w:rPr>
          <w:color w:val="000000" w:themeColor="text1"/>
          <w:sz w:val="16"/>
          <w:szCs w:val="16"/>
        </w:rPr>
      </w:pPr>
    </w:p>
    <w:p w14:paraId="7A8DF7D1" w14:textId="77777777" w:rsidR="00A95902"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368FFA4" w14:textId="77777777" w:rsidR="00A95902" w:rsidRPr="00507A31" w:rsidRDefault="00A95902" w:rsidP="00507A31">
      <w:pPr>
        <w:autoSpaceDE w:val="0"/>
        <w:autoSpaceDN w:val="0"/>
        <w:adjustRightInd w:val="0"/>
        <w:jc w:val="both"/>
        <w:rPr>
          <w:iCs/>
          <w:color w:val="000000" w:themeColor="text1"/>
          <w:sz w:val="16"/>
          <w:szCs w:val="16"/>
        </w:rPr>
      </w:pPr>
    </w:p>
    <w:p w14:paraId="5E241403" w14:textId="77777777" w:rsidR="00A95902" w:rsidRPr="00507A31" w:rsidRDefault="00A95902" w:rsidP="00507A31">
      <w:pPr>
        <w:jc w:val="both"/>
        <w:rPr>
          <w:color w:val="000000" w:themeColor="text1"/>
          <w:sz w:val="16"/>
          <w:szCs w:val="16"/>
        </w:rPr>
      </w:pPr>
      <w:r w:rsidRPr="00507A31">
        <w:rPr>
          <w:color w:val="000000" w:themeColor="text1"/>
          <w:sz w:val="16"/>
          <w:szCs w:val="16"/>
        </w:rPr>
        <w:t>28 сентября 1930 г. Постановление Президиума ВСНХ СССР об оборонных контрольных цифрах на октябрь-декабрь 1930 г. (РГАЭ. Ф. 3429. Оп. 6. Д. 198. Л. 62?61) (12417).</w:t>
      </w:r>
    </w:p>
    <w:p w14:paraId="2920A456" w14:textId="77777777" w:rsidR="00A95902" w:rsidRPr="00507A31" w:rsidRDefault="00A95902" w:rsidP="00507A31">
      <w:pPr>
        <w:jc w:val="both"/>
        <w:rPr>
          <w:color w:val="000000" w:themeColor="text1"/>
          <w:sz w:val="16"/>
          <w:szCs w:val="16"/>
        </w:rPr>
      </w:pPr>
    </w:p>
    <w:p w14:paraId="644D4AA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4352F6D" w14:textId="77777777" w:rsidR="00537E5F" w:rsidRPr="00507A31" w:rsidRDefault="00537E5F" w:rsidP="00507A31">
      <w:pPr>
        <w:autoSpaceDE w:val="0"/>
        <w:autoSpaceDN w:val="0"/>
        <w:adjustRightInd w:val="0"/>
        <w:jc w:val="both"/>
        <w:rPr>
          <w:iCs/>
          <w:color w:val="000000" w:themeColor="text1"/>
          <w:sz w:val="16"/>
          <w:szCs w:val="16"/>
        </w:rPr>
      </w:pPr>
    </w:p>
    <w:p w14:paraId="076924C5" w14:textId="77777777" w:rsidR="00A95902" w:rsidRPr="00507A31" w:rsidRDefault="00A95902" w:rsidP="00507A31">
      <w:pPr>
        <w:jc w:val="both"/>
        <w:rPr>
          <w:color w:val="000000" w:themeColor="text1"/>
          <w:sz w:val="16"/>
          <w:szCs w:val="16"/>
        </w:rPr>
      </w:pPr>
      <w:r w:rsidRPr="00507A31">
        <w:rPr>
          <w:color w:val="000000" w:themeColor="text1"/>
          <w:sz w:val="16"/>
          <w:szCs w:val="16"/>
        </w:rPr>
        <w:t>29 сентября 1930 г. по вопросу выполнения заказа по Т-24 на ХПЗ состоялось совещание, на котором было принято решение о присутствии на заводе два раза в месяц главного конструктора ОРПО С.П. Шукалова для решения различных вопросов на месте до выпуска первой серийной машины. Кроме того, в распоряжение И.Н. Алексенко на аналогичный срок на временную работу в конструкторское бюро ХПЗ переводился один из опытных инженеров ГКБ, при этом само ГКБ находилось в готовности к разрешению различных затруднений, которые могли возникнуть на ХПЗ в ходе производства машины (12303).</w:t>
      </w:r>
    </w:p>
    <w:p w14:paraId="67B44792" w14:textId="77777777" w:rsidR="00A95902" w:rsidRPr="00507A31" w:rsidRDefault="00A95902" w:rsidP="00507A31">
      <w:pPr>
        <w:jc w:val="both"/>
        <w:rPr>
          <w:color w:val="000000" w:themeColor="text1"/>
          <w:sz w:val="16"/>
          <w:szCs w:val="16"/>
        </w:rPr>
      </w:pPr>
    </w:p>
    <w:p w14:paraId="0A2A9A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29 сентября 1930 г. решением правления Государственного всесоюзного объединения среднего машиностроения ВСНХ СССР был создан Научно-исследовательский отраслевой институт внутризаводского транспорта "НИИПТ". Приказом Наркомата тяжелой промышленности СССР от 2 сентября 1933 г. институт переименован в Научно-исследовательский институт по стальным конструкциям мостов, подъемно-транспортным сооружениям и механизации внутризаводского транспорта </w:t>
      </w:r>
      <w:r w:rsidRPr="00507A31">
        <w:rPr>
          <w:color w:val="000000" w:themeColor="text1"/>
          <w:sz w:val="16"/>
          <w:szCs w:val="16"/>
        </w:rPr>
        <w:lastRenderedPageBreak/>
        <w:t>"Гинстальмост". Приказом наркомата от 13 ноября 1937 г. институт переименован во Всесоюзный научно-исследовательский институт подъемно-транспортного оборудования "ВНИИПТО", который приказом Наркомата тяжелого машиностроения СССР от 29 мая 1941 г. был переименован во Всесоюзный научно-исследовательский институт подъемно-транспортного машиностроения "ВНИИПТмаш" (12102).</w:t>
      </w:r>
    </w:p>
    <w:p w14:paraId="1F66F77F" w14:textId="77777777" w:rsidR="00B83B62" w:rsidRPr="00507A31" w:rsidRDefault="00B83B62" w:rsidP="00507A31">
      <w:pPr>
        <w:autoSpaceDE w:val="0"/>
        <w:autoSpaceDN w:val="0"/>
        <w:adjustRightInd w:val="0"/>
        <w:jc w:val="both"/>
        <w:rPr>
          <w:iCs/>
          <w:color w:val="000000" w:themeColor="text1"/>
          <w:sz w:val="16"/>
          <w:szCs w:val="16"/>
        </w:rPr>
      </w:pPr>
    </w:p>
    <w:p w14:paraId="4C317603" w14:textId="77777777" w:rsidR="00182AD3" w:rsidRPr="00507A31" w:rsidRDefault="00182AD3" w:rsidP="00507A31">
      <w:pPr>
        <w:jc w:val="both"/>
        <w:rPr>
          <w:color w:val="000000" w:themeColor="text1"/>
          <w:sz w:val="16"/>
          <w:szCs w:val="16"/>
        </w:rPr>
      </w:pPr>
      <w:r w:rsidRPr="00507A31">
        <w:rPr>
          <w:color w:val="000000" w:themeColor="text1"/>
          <w:sz w:val="16"/>
          <w:szCs w:val="16"/>
        </w:rPr>
        <w:t>29 сентября — 1 октября 1930 г.</w:t>
      </w:r>
    </w:p>
    <w:p w14:paraId="208937BE" w14:textId="77777777" w:rsidR="00182AD3" w:rsidRPr="00507A31" w:rsidRDefault="00182AD3" w:rsidP="00507A31">
      <w:pPr>
        <w:jc w:val="both"/>
        <w:rPr>
          <w:color w:val="000000" w:themeColor="text1"/>
          <w:sz w:val="16"/>
          <w:szCs w:val="16"/>
        </w:rPr>
      </w:pPr>
      <w:r w:rsidRPr="00507A31">
        <w:rPr>
          <w:color w:val="000000" w:themeColor="text1"/>
          <w:sz w:val="16"/>
          <w:szCs w:val="16"/>
        </w:rPr>
        <w:t>Показания Л. К. Рамзина о связях «Промпартии» с «правым уклоном» ВКП(б), подготовке «всеобщего кризиса», деятельности «отраслевых центров» «Промпартии». 29 сентября – 1 октября 1930 г.</w:t>
      </w:r>
    </w:p>
    <w:p w14:paraId="4B2C4805" w14:textId="77777777" w:rsidR="00182AD3" w:rsidRPr="00507A31" w:rsidRDefault="00182AD3" w:rsidP="00507A31">
      <w:pPr>
        <w:jc w:val="both"/>
        <w:rPr>
          <w:color w:val="000000" w:themeColor="text1"/>
          <w:sz w:val="16"/>
          <w:szCs w:val="16"/>
        </w:rPr>
      </w:pPr>
      <w:r w:rsidRPr="00507A31">
        <w:rPr>
          <w:color w:val="000000" w:themeColor="text1"/>
          <w:sz w:val="16"/>
          <w:szCs w:val="16"/>
        </w:rPr>
        <w:t>Источник: </w:t>
      </w:r>
    </w:p>
    <w:p w14:paraId="7CD3B30B" w14:textId="77777777" w:rsidR="00182AD3" w:rsidRPr="00507A31" w:rsidRDefault="00182AD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8894EC" w14:textId="77777777" w:rsidR="00182AD3" w:rsidRPr="00507A31" w:rsidRDefault="00182AD3" w:rsidP="00507A31">
      <w:pPr>
        <w:jc w:val="both"/>
        <w:rPr>
          <w:color w:val="000000" w:themeColor="text1"/>
          <w:sz w:val="16"/>
          <w:szCs w:val="16"/>
        </w:rPr>
      </w:pPr>
      <w:r w:rsidRPr="00507A31">
        <w:rPr>
          <w:color w:val="000000" w:themeColor="text1"/>
          <w:sz w:val="16"/>
          <w:szCs w:val="16"/>
        </w:rPr>
        <w:t>29 сентября — 1 октября 1930 г.</w:t>
      </w:r>
    </w:p>
    <w:p w14:paraId="72C5F92C" w14:textId="77777777" w:rsidR="00182AD3" w:rsidRPr="00507A31" w:rsidRDefault="00182AD3" w:rsidP="00507A31">
      <w:pPr>
        <w:jc w:val="both"/>
        <w:rPr>
          <w:color w:val="000000" w:themeColor="text1"/>
          <w:sz w:val="16"/>
          <w:szCs w:val="16"/>
        </w:rPr>
      </w:pPr>
      <w:r w:rsidRPr="00507A31">
        <w:rPr>
          <w:color w:val="000000" w:themeColor="text1"/>
          <w:sz w:val="16"/>
          <w:szCs w:val="16"/>
        </w:rPr>
        <w:t>[С. секретно]</w:t>
      </w:r>
    </w:p>
    <w:p w14:paraId="2FF50C37" w14:textId="77777777" w:rsidR="00182AD3" w:rsidRPr="00507A31" w:rsidRDefault="00182AD3" w:rsidP="00507A31">
      <w:pPr>
        <w:jc w:val="both"/>
        <w:rPr>
          <w:color w:val="000000" w:themeColor="text1"/>
          <w:sz w:val="16"/>
          <w:szCs w:val="16"/>
        </w:rPr>
      </w:pPr>
      <w:r w:rsidRPr="00507A31">
        <w:rPr>
          <w:color w:val="000000" w:themeColor="text1"/>
          <w:sz w:val="16"/>
          <w:szCs w:val="16"/>
        </w:rPr>
        <w:t>ПРОТОКОЛ ДОПРОСА</w:t>
      </w:r>
    </w:p>
    <w:p w14:paraId="66E25DF0" w14:textId="77777777" w:rsidR="00182AD3" w:rsidRPr="00507A31" w:rsidRDefault="00182AD3" w:rsidP="00507A31">
      <w:pPr>
        <w:jc w:val="both"/>
        <w:rPr>
          <w:color w:val="000000" w:themeColor="text1"/>
          <w:sz w:val="16"/>
          <w:szCs w:val="16"/>
        </w:rPr>
      </w:pPr>
      <w:r w:rsidRPr="00507A31">
        <w:rPr>
          <w:color w:val="000000" w:themeColor="text1"/>
          <w:sz w:val="16"/>
          <w:szCs w:val="16"/>
        </w:rPr>
        <w:t>ПРОФЕССОРА РАМЗИНА ЛЕОНИДА КОНСТАНТИНОВИЧА.</w:t>
      </w:r>
    </w:p>
    <w:p w14:paraId="153AB6BA" w14:textId="77777777" w:rsidR="00182AD3" w:rsidRPr="00507A31" w:rsidRDefault="00182AD3" w:rsidP="00507A31">
      <w:pPr>
        <w:jc w:val="both"/>
        <w:rPr>
          <w:color w:val="000000" w:themeColor="text1"/>
          <w:sz w:val="16"/>
          <w:szCs w:val="16"/>
        </w:rPr>
      </w:pPr>
      <w:r w:rsidRPr="00507A31">
        <w:rPr>
          <w:color w:val="000000" w:themeColor="text1"/>
          <w:sz w:val="16"/>
          <w:szCs w:val="16"/>
        </w:rPr>
        <w:t>от 29/IХ-1 /Х-1930 года.</w:t>
      </w:r>
    </w:p>
    <w:p w14:paraId="0880BEB0" w14:textId="77777777" w:rsidR="00182AD3" w:rsidRPr="00507A31" w:rsidRDefault="00182AD3" w:rsidP="00507A31">
      <w:pPr>
        <w:jc w:val="both"/>
        <w:rPr>
          <w:color w:val="000000" w:themeColor="text1"/>
          <w:sz w:val="16"/>
          <w:szCs w:val="16"/>
        </w:rPr>
      </w:pPr>
      <w:r w:rsidRPr="00507A31">
        <w:rPr>
          <w:color w:val="000000" w:themeColor="text1"/>
          <w:sz w:val="16"/>
          <w:szCs w:val="16"/>
        </w:rPr>
        <w:t>Допросил: Пом. Нач. СОУ ОГПУ — тов. АГРАНОВ.</w:t>
      </w:r>
    </w:p>
    <w:p w14:paraId="4E20137E" w14:textId="77777777" w:rsidR="00182AD3" w:rsidRPr="00507A31" w:rsidRDefault="00182AD3" w:rsidP="00507A31">
      <w:pPr>
        <w:jc w:val="both"/>
        <w:rPr>
          <w:color w:val="000000" w:themeColor="text1"/>
          <w:sz w:val="16"/>
          <w:szCs w:val="16"/>
        </w:rPr>
      </w:pPr>
      <w:r w:rsidRPr="00507A31">
        <w:rPr>
          <w:color w:val="000000" w:themeColor="text1"/>
          <w:sz w:val="16"/>
          <w:szCs w:val="16"/>
        </w:rPr>
        <w:t>Пом. Нач. 3 отделения] СООГПУ — тов. РАДЗИВИЛОВСКИЙ.</w:t>
      </w:r>
    </w:p>
    <w:p w14:paraId="3F98B366" w14:textId="77777777" w:rsidR="00182AD3" w:rsidRPr="00507A31" w:rsidRDefault="00182AD3" w:rsidP="00507A31">
      <w:pPr>
        <w:jc w:val="both"/>
        <w:rPr>
          <w:color w:val="000000" w:themeColor="text1"/>
          <w:sz w:val="16"/>
          <w:szCs w:val="16"/>
        </w:rPr>
      </w:pPr>
      <w:r w:rsidRPr="00507A31">
        <w:rPr>
          <w:color w:val="000000" w:themeColor="text1"/>
          <w:sz w:val="16"/>
          <w:szCs w:val="16"/>
        </w:rPr>
        <w:t>1. Отношение к правому уклону.</w:t>
      </w:r>
    </w:p>
    <w:p w14:paraId="602715BD" w14:textId="77777777" w:rsidR="00182AD3" w:rsidRPr="00507A31" w:rsidRDefault="00182AD3" w:rsidP="00507A31">
      <w:pPr>
        <w:jc w:val="both"/>
        <w:rPr>
          <w:color w:val="000000" w:themeColor="text1"/>
          <w:sz w:val="16"/>
          <w:szCs w:val="16"/>
        </w:rPr>
      </w:pPr>
      <w:r w:rsidRPr="00507A31">
        <w:rPr>
          <w:color w:val="000000" w:themeColor="text1"/>
          <w:sz w:val="16"/>
          <w:szCs w:val="16"/>
        </w:rPr>
        <w:t>С самого начала пятилетки основная линия промпартии была взята на замедление темпа развития промышленности, т. е. на замедление индустриализации страны. При осуществлении этой линии промпартии встречала естественных союзников в лице правых коммунистов. Поэтому промпартия всемерно старалась использовать в своих целях партийную борьбу, опираясь на правых коммунистов. Был дан общий лозунг везде всячески поддерживать в советских учреждениях правых коммунистов, всемерно обслуживать их технически, помогая необходимыми материалами, завязывать персональные связи с отдельными видными представителями правого уклона и идейно обрабатывать их в направлении основных установок промпартии. Далее, хозяйственные затруднения, прогрессировавшие к 1930 г., частью как результат естественного хода индустриализации, но в значительной степени как следствие искусственного усиления этих затруднений мероприятиям промпартии, трактовались ее членами как доказательство правильности позиций правого уклона, подкрепляя политику последнего. Таким образом, надо констатировать наличие несомненного идейно-политического контакта между руководителями промпартии и видными представителями правой части коммунистической партии, переходившего фактически в деловой блок по основным программным вопросам экономического развития страны.</w:t>
      </w:r>
    </w:p>
    <w:p w14:paraId="5679CAA7" w14:textId="77777777" w:rsidR="00182AD3" w:rsidRPr="00507A31" w:rsidRDefault="00182AD3" w:rsidP="00507A31">
      <w:pPr>
        <w:jc w:val="both"/>
        <w:rPr>
          <w:color w:val="000000" w:themeColor="text1"/>
          <w:sz w:val="16"/>
          <w:szCs w:val="16"/>
        </w:rPr>
      </w:pPr>
      <w:r w:rsidRPr="00507A31">
        <w:rPr>
          <w:color w:val="000000" w:themeColor="text1"/>
          <w:sz w:val="16"/>
          <w:szCs w:val="16"/>
        </w:rPr>
        <w:t>Из платформы правых коммунистов два основных положения целиком совпадали с установками и стремлениями промпартии: 1) ставка на крепкое, единоличное «кулацкое» сельское хозяйство и 2) замедление или более умеренный темп индустриализации страны.</w:t>
      </w:r>
    </w:p>
    <w:p w14:paraId="19603E17" w14:textId="77777777" w:rsidR="00182AD3" w:rsidRPr="00507A31" w:rsidRDefault="00182AD3" w:rsidP="00507A31">
      <w:pPr>
        <w:jc w:val="both"/>
        <w:rPr>
          <w:color w:val="000000" w:themeColor="text1"/>
          <w:sz w:val="16"/>
          <w:szCs w:val="16"/>
        </w:rPr>
      </w:pPr>
      <w:r w:rsidRPr="00507A31">
        <w:rPr>
          <w:color w:val="000000" w:themeColor="text1"/>
          <w:sz w:val="16"/>
          <w:szCs w:val="16"/>
        </w:rPr>
        <w:t>Как я уже писал в своих предыдущих показаниях, в среде промпартии и ее ЦК не было полного однообразия мнений, и существовали различные вариации во взглядах, объединяя по существу отдельных членов лишь общностью ближайших тактических задач. Так, политика в области сельского хозяйства в сторону единоличного крестьянского хозяйства наиболее правым членам промпартии представлялась слишком левой, и они мирились с нею лишь до ближайшего времени как с печальной необходимостью. Точно также различно было и отношение к замедлению темпа индустриализации страны. В то время, как наиболее правая часть промпартии смотрела на этот лозунг с узко-вредительской точки зрения, более левые члены промпартии, стоящие на позициях государственного капитализма, рассматривали политику замедления индустриализации как рациональную политику страны вообще, и после контр-революционного переворота.</w:t>
      </w:r>
    </w:p>
    <w:p w14:paraId="1C3AAE88" w14:textId="77777777" w:rsidR="00182AD3" w:rsidRPr="00507A31" w:rsidRDefault="00182AD3" w:rsidP="00507A31">
      <w:pPr>
        <w:jc w:val="both"/>
        <w:rPr>
          <w:color w:val="000000" w:themeColor="text1"/>
          <w:sz w:val="16"/>
          <w:szCs w:val="16"/>
        </w:rPr>
      </w:pPr>
      <w:r w:rsidRPr="00507A31">
        <w:rPr>
          <w:color w:val="000000" w:themeColor="text1"/>
          <w:sz w:val="16"/>
          <w:szCs w:val="16"/>
        </w:rPr>
        <w:t>Таким образом, хотя и в силу совершенно различных побуждений и соображений, указанные два основных положения платформы правых коммунистов встречали сочувствие и активную поддержку промпартии в целом.</w:t>
      </w:r>
    </w:p>
    <w:p w14:paraId="12465766" w14:textId="77777777" w:rsidR="00182AD3" w:rsidRPr="00507A31" w:rsidRDefault="00182AD3" w:rsidP="00507A31">
      <w:pPr>
        <w:jc w:val="both"/>
        <w:rPr>
          <w:color w:val="000000" w:themeColor="text1"/>
          <w:sz w:val="16"/>
          <w:szCs w:val="16"/>
        </w:rPr>
      </w:pPr>
      <w:r w:rsidRPr="00507A31">
        <w:rPr>
          <w:color w:val="000000" w:themeColor="text1"/>
          <w:sz w:val="16"/>
          <w:szCs w:val="16"/>
        </w:rPr>
        <w:t>В соответствии идейно-политическим контактом промпартии с правым уклоном и персональной близостью многих руководящих членов промпартии с правыми коммунистами, среди промпартии за последнее время началось весьма сильное течение в пользу ориентации на переход власти к правым коммунистам. Это течение за последнее время сильно подкреплялось следующими факторами:</w:t>
      </w:r>
    </w:p>
    <w:p w14:paraId="2F939C2D" w14:textId="77777777" w:rsidR="00182AD3" w:rsidRPr="00507A31" w:rsidRDefault="00182AD3" w:rsidP="00507A31">
      <w:pPr>
        <w:jc w:val="both"/>
        <w:rPr>
          <w:color w:val="000000" w:themeColor="text1"/>
          <w:sz w:val="16"/>
          <w:szCs w:val="16"/>
        </w:rPr>
      </w:pPr>
      <w:r w:rsidRPr="00507A31">
        <w:rPr>
          <w:color w:val="000000" w:themeColor="text1"/>
          <w:sz w:val="16"/>
          <w:szCs w:val="16"/>
        </w:rPr>
        <w:t>1. Определенный рост надежд на интервенцию в 1930 году и растущая неуверенность в ее осуществимости в ближайшее время заставляли искать иных выходов из положения.</w:t>
      </w:r>
    </w:p>
    <w:p w14:paraId="4CDB460F" w14:textId="77777777" w:rsidR="00182AD3" w:rsidRPr="00507A31" w:rsidRDefault="00182AD3" w:rsidP="00507A31">
      <w:pPr>
        <w:jc w:val="both"/>
        <w:rPr>
          <w:color w:val="000000" w:themeColor="text1"/>
          <w:sz w:val="16"/>
          <w:szCs w:val="16"/>
        </w:rPr>
      </w:pPr>
      <w:r w:rsidRPr="00507A31">
        <w:rPr>
          <w:color w:val="000000" w:themeColor="text1"/>
          <w:sz w:val="16"/>
          <w:szCs w:val="16"/>
        </w:rPr>
        <w:t>2. Неизбежность больших аппетитов у бывших промышленников и иностранных держав за помощь в интервенции — возбуждали большие сомнения о целесообразности таких жертв для страны.</w:t>
      </w:r>
    </w:p>
    <w:p w14:paraId="131B93E1" w14:textId="77777777" w:rsidR="00182AD3" w:rsidRPr="00507A31" w:rsidRDefault="00182AD3" w:rsidP="00507A31">
      <w:pPr>
        <w:jc w:val="both"/>
        <w:rPr>
          <w:color w:val="000000" w:themeColor="text1"/>
          <w:sz w:val="16"/>
          <w:szCs w:val="16"/>
        </w:rPr>
      </w:pPr>
      <w:r w:rsidRPr="00507A31">
        <w:rPr>
          <w:color w:val="000000" w:themeColor="text1"/>
          <w:sz w:val="16"/>
          <w:szCs w:val="16"/>
        </w:rPr>
        <w:t>3. Длительное воспитание инженерных масс в идеях планового хозяйства, бесспорные для очень многих преимущества государственного хозяйства перед частным, удовлетворение инженерных масс в период расцвета нэпа — все это создавало большую тягу в пользу поддержки правых в смысле овладения ими властью.</w:t>
      </w:r>
    </w:p>
    <w:p w14:paraId="2404DDD4" w14:textId="77777777" w:rsidR="00182AD3" w:rsidRPr="00507A31" w:rsidRDefault="00182AD3" w:rsidP="00507A31">
      <w:pPr>
        <w:jc w:val="both"/>
        <w:rPr>
          <w:color w:val="000000" w:themeColor="text1"/>
          <w:sz w:val="16"/>
          <w:szCs w:val="16"/>
        </w:rPr>
      </w:pPr>
      <w:r w:rsidRPr="00507A31">
        <w:rPr>
          <w:color w:val="000000" w:themeColor="text1"/>
          <w:sz w:val="16"/>
          <w:szCs w:val="16"/>
        </w:rPr>
        <w:t>Поэтому за последнее время значительная часть промпартии весьма сочувственно относилась к возможному переходу власти в руки правых коммунистов и готова была оказать им активную поддержку в борьбе за власть.</w:t>
      </w:r>
    </w:p>
    <w:p w14:paraId="69BEE59B" w14:textId="77777777" w:rsidR="00182AD3" w:rsidRPr="00507A31" w:rsidRDefault="00182AD3" w:rsidP="00507A31">
      <w:pPr>
        <w:jc w:val="both"/>
        <w:rPr>
          <w:color w:val="000000" w:themeColor="text1"/>
          <w:sz w:val="16"/>
          <w:szCs w:val="16"/>
        </w:rPr>
      </w:pPr>
      <w:r w:rsidRPr="00507A31">
        <w:rPr>
          <w:color w:val="000000" w:themeColor="text1"/>
          <w:sz w:val="16"/>
          <w:szCs w:val="16"/>
        </w:rPr>
        <w:t>При громадном идейном влиянии промпартии на правых коммунистов, наличии персональных связей с ними и при необходимости для правых коммунистов, так сказать, компенсировать промпартию за ее помощь, последняя могла довольно твердо рассчитывать в будущем на идейное и деловое обволакивание и пленение право-коммунистического правительства и осуществление политики промпартии в сельском хозяйстве и в промышленности в виде государственного капитализма и с соответствующим усиленным расцветом нового нэпа.</w:t>
      </w:r>
    </w:p>
    <w:p w14:paraId="5B7B521C" w14:textId="77777777" w:rsidR="00182AD3" w:rsidRPr="00507A31" w:rsidRDefault="00182AD3" w:rsidP="00507A31">
      <w:pPr>
        <w:jc w:val="both"/>
        <w:rPr>
          <w:color w:val="000000" w:themeColor="text1"/>
          <w:sz w:val="16"/>
          <w:szCs w:val="16"/>
        </w:rPr>
      </w:pPr>
      <w:r w:rsidRPr="00507A31">
        <w:rPr>
          <w:color w:val="000000" w:themeColor="text1"/>
          <w:sz w:val="16"/>
          <w:szCs w:val="16"/>
        </w:rPr>
        <w:t>Таким образом, у промпартии в последнее время было два варианта: 1) контр-революционный переворот при помощи интервенции и внутренних восстаний, опираясь на ТКП, с возвратом прежних промышленников и 2) переворот в пользу правых коммунистов, опираясь на массы, руководимые ТКП, и на техническую помощь промпартии. При этом последнее течение все более и более усиливалось, находя все больше сторонников в среде промпартии, начиная с 1929 года. Внутри ЦК промпартии яркими сторонниками первой, старой позиции, т. е. интервенции, были Федотов и Чарновский, и, наоборот, защитниками второй позиции — ставки на переход власти к правым коммунистам были — Ларичев и Рамзин.</w:t>
      </w:r>
    </w:p>
    <w:p w14:paraId="2509DE1B" w14:textId="77777777" w:rsidR="00182AD3" w:rsidRPr="00507A31" w:rsidRDefault="00182AD3" w:rsidP="00507A31">
      <w:pPr>
        <w:jc w:val="both"/>
        <w:rPr>
          <w:color w:val="000000" w:themeColor="text1"/>
          <w:sz w:val="16"/>
          <w:szCs w:val="16"/>
        </w:rPr>
      </w:pPr>
      <w:r w:rsidRPr="00507A31">
        <w:rPr>
          <w:color w:val="000000" w:themeColor="text1"/>
          <w:sz w:val="16"/>
          <w:szCs w:val="16"/>
        </w:rPr>
        <w:t>Персональная связь с отдельными коммунистами.</w:t>
      </w:r>
    </w:p>
    <w:p w14:paraId="069A74CC" w14:textId="77777777" w:rsidR="00182AD3" w:rsidRPr="00507A31" w:rsidRDefault="00182AD3" w:rsidP="00507A31">
      <w:pPr>
        <w:jc w:val="both"/>
        <w:rPr>
          <w:color w:val="000000" w:themeColor="text1"/>
          <w:sz w:val="16"/>
          <w:szCs w:val="16"/>
        </w:rPr>
      </w:pPr>
      <w:r w:rsidRPr="00507A31">
        <w:rPr>
          <w:color w:val="000000" w:themeColor="text1"/>
          <w:sz w:val="16"/>
          <w:szCs w:val="16"/>
        </w:rPr>
        <w:t>При наличии идейно-политического контакта промпартии с правым уклоном ВКП(б) промпартия усиленно искала и развивала свои связи с отдельными видными деятелями правого уклона, что сильно облегчалось благодаря встречной тяги со стороны последних к установлению персонального и делового контакта.</w:t>
      </w:r>
    </w:p>
    <w:p w14:paraId="6E7F786B" w14:textId="77777777" w:rsidR="00182AD3" w:rsidRPr="00507A31" w:rsidRDefault="00182AD3" w:rsidP="00507A31">
      <w:pPr>
        <w:jc w:val="both"/>
        <w:rPr>
          <w:color w:val="000000" w:themeColor="text1"/>
          <w:sz w:val="16"/>
          <w:szCs w:val="16"/>
        </w:rPr>
      </w:pPr>
      <w:r w:rsidRPr="00507A31">
        <w:rPr>
          <w:color w:val="000000" w:themeColor="text1"/>
          <w:sz w:val="16"/>
          <w:szCs w:val="16"/>
        </w:rPr>
        <w:t>Помимо персональной обработки и связей с правыми коммунистами, руководящие члены промпартии усиленно подвергали идеологической обработке и отдельных коммунистов-хозяйственников, хотя бы и не принадлежащих к правому крылу ВКП(б); в результате такой обработки такие хозяйственники постепенно пр[о]никались правой идеологией и во всяком случае шли у промпартии в поводу по конкретным оперативным и плановым вопросам.</w:t>
      </w:r>
    </w:p>
    <w:p w14:paraId="2B3B978F" w14:textId="77777777" w:rsidR="00182AD3" w:rsidRPr="00507A31" w:rsidRDefault="00182AD3" w:rsidP="00507A31">
      <w:pPr>
        <w:jc w:val="both"/>
        <w:rPr>
          <w:color w:val="000000" w:themeColor="text1"/>
          <w:sz w:val="16"/>
          <w:szCs w:val="16"/>
        </w:rPr>
      </w:pPr>
      <w:r w:rsidRPr="00507A31">
        <w:rPr>
          <w:color w:val="000000" w:themeColor="text1"/>
          <w:sz w:val="16"/>
          <w:szCs w:val="16"/>
        </w:rPr>
        <w:t>Стоя лично в стороне от плановых и оперативных органов Республики и от текущей оперативной работы, я могу указать лишь на отдельные примеры контакта с правыми коммунистами и хозяйственниками. Другие члены Ц.К. промпартии и руководители ее отраслевых групп, ведшие оперативную и плановую работу в госучреждениях смогут значительно пополнить и подкрепить мои показания.</w:t>
      </w:r>
    </w:p>
    <w:p w14:paraId="28321800" w14:textId="77777777" w:rsidR="00182AD3" w:rsidRPr="00507A31" w:rsidRDefault="00182AD3" w:rsidP="00507A31">
      <w:pPr>
        <w:jc w:val="both"/>
        <w:rPr>
          <w:color w:val="000000" w:themeColor="text1"/>
          <w:sz w:val="16"/>
          <w:szCs w:val="16"/>
        </w:rPr>
      </w:pPr>
      <w:r w:rsidRPr="00507A31">
        <w:rPr>
          <w:color w:val="000000" w:themeColor="text1"/>
          <w:sz w:val="16"/>
          <w:szCs w:val="16"/>
        </w:rPr>
        <w:t>1. А. И. Рыков, как яркий представитель правого уклона и как председатель СТО и СНК Союза, естественно являлся центральной фигурой, с которой промпартия прежде всего должна была установить контакт. Осуществление последнего сильно о[б]легчалось готовностью А. И. Рыкова к персональному обсуждению основных вопросов с видными представителями инженерства, входящих в промпартию.</w:t>
      </w:r>
    </w:p>
    <w:p w14:paraId="24CF83AE" w14:textId="77777777" w:rsidR="00182AD3" w:rsidRPr="00507A31" w:rsidRDefault="00182AD3" w:rsidP="00507A31">
      <w:pPr>
        <w:jc w:val="both"/>
        <w:rPr>
          <w:color w:val="000000" w:themeColor="text1"/>
          <w:sz w:val="16"/>
          <w:szCs w:val="16"/>
        </w:rPr>
      </w:pPr>
      <w:r w:rsidRPr="00507A31">
        <w:rPr>
          <w:color w:val="000000" w:themeColor="text1"/>
          <w:sz w:val="16"/>
          <w:szCs w:val="16"/>
        </w:rPr>
        <w:t>Поэтому ЦК промпартии дал определенное задание Ларичеву, Калинникову и Гореву завязать непосредственно возможно тесный контакт с А. И. Рыковым, прежде всего на почве обсуждения и проведения 5[-]летнего плана. Этот контакт осуществлялся как личными беседами Ларичева, Калинников и Горева с А. И. Рыковым, так и через посредство Г. М. Кржижановского и А. Н. Долгова.</w:t>
      </w:r>
    </w:p>
    <w:p w14:paraId="47FB6F38" w14:textId="77777777" w:rsidR="00182AD3" w:rsidRPr="00507A31" w:rsidRDefault="00182AD3" w:rsidP="00507A31">
      <w:pPr>
        <w:jc w:val="both"/>
        <w:rPr>
          <w:color w:val="000000" w:themeColor="text1"/>
          <w:sz w:val="16"/>
          <w:szCs w:val="16"/>
        </w:rPr>
      </w:pPr>
      <w:r w:rsidRPr="00507A31">
        <w:rPr>
          <w:color w:val="000000" w:themeColor="text1"/>
          <w:sz w:val="16"/>
          <w:szCs w:val="16"/>
        </w:rPr>
        <w:t>Основное задание Ц.К. указанным лицам заключалось в согласовании с А. И. Рыковым минималистского 5-летнего плана, по 4 основным пунктам, которые определяли собой весь масштаб 5[-]летки.</w:t>
      </w:r>
    </w:p>
    <w:p w14:paraId="13E69C5A" w14:textId="77777777" w:rsidR="00182AD3" w:rsidRPr="00507A31" w:rsidRDefault="00182AD3" w:rsidP="00507A31">
      <w:pPr>
        <w:jc w:val="both"/>
        <w:rPr>
          <w:color w:val="000000" w:themeColor="text1"/>
          <w:sz w:val="16"/>
          <w:szCs w:val="16"/>
        </w:rPr>
      </w:pPr>
      <w:r w:rsidRPr="00507A31">
        <w:rPr>
          <w:color w:val="000000" w:themeColor="text1"/>
          <w:sz w:val="16"/>
          <w:szCs w:val="16"/>
        </w:rPr>
        <w:t>Ларичеву было поручено согласовать с А. И. Рыковым добычу топлива ок. 100 м[ил]. т. на последний год 5[-]летки, с минимальным количеством местных топлив, особенно торфа и подмосковного угля и при минимуме капитальных разведочных и подготовительных работ в Донбассе и Кузбассе и по нефтепромышленности.</w:t>
      </w:r>
    </w:p>
    <w:p w14:paraId="1108D67B" w14:textId="77777777" w:rsidR="00182AD3" w:rsidRPr="00507A31" w:rsidRDefault="00182AD3" w:rsidP="00507A31">
      <w:pPr>
        <w:jc w:val="both"/>
        <w:rPr>
          <w:color w:val="000000" w:themeColor="text1"/>
          <w:sz w:val="16"/>
          <w:szCs w:val="16"/>
        </w:rPr>
      </w:pPr>
      <w:r w:rsidRPr="00507A31">
        <w:rPr>
          <w:color w:val="000000" w:themeColor="text1"/>
          <w:sz w:val="16"/>
          <w:szCs w:val="16"/>
        </w:rPr>
        <w:t>Калинникову совместно с Гартваном было дано задание согласовать с А. И. Рыковым программу выплавки чугуна в 7 м[ил]. т. и масштаба строительства металлургических заводов.</w:t>
      </w:r>
    </w:p>
    <w:p w14:paraId="1B18DF7D" w14:textId="77777777" w:rsidR="00182AD3" w:rsidRPr="00507A31" w:rsidRDefault="00182AD3" w:rsidP="00507A31">
      <w:pPr>
        <w:jc w:val="both"/>
        <w:rPr>
          <w:color w:val="000000" w:themeColor="text1"/>
          <w:sz w:val="16"/>
          <w:szCs w:val="16"/>
        </w:rPr>
      </w:pPr>
      <w:r w:rsidRPr="00507A31">
        <w:rPr>
          <w:color w:val="000000" w:themeColor="text1"/>
          <w:sz w:val="16"/>
          <w:szCs w:val="16"/>
        </w:rPr>
        <w:t>Гореву совместно с Волковым и Кукель-Краевским было дано такое же поручение в области электроснабжения и, в частности, задержка и сдвиг постройки новых станций в Донбассе, Ленинграде и Москве.</w:t>
      </w:r>
    </w:p>
    <w:p w14:paraId="244277BB" w14:textId="77777777" w:rsidR="00182AD3" w:rsidRPr="00507A31" w:rsidRDefault="00182AD3" w:rsidP="00507A31">
      <w:pPr>
        <w:jc w:val="both"/>
        <w:rPr>
          <w:color w:val="000000" w:themeColor="text1"/>
          <w:sz w:val="16"/>
          <w:szCs w:val="16"/>
        </w:rPr>
      </w:pPr>
      <w:r w:rsidRPr="00507A31">
        <w:rPr>
          <w:color w:val="000000" w:themeColor="text1"/>
          <w:sz w:val="16"/>
          <w:szCs w:val="16"/>
        </w:rPr>
        <w:t>Наконец, Калинникову совместно с сельско-хоз[яйственной] секцией Госплана было поручено убедить А. И. Рыкова в необходимости минимального плана тракторизации сельского хозяйства и его коллективизации.</w:t>
      </w:r>
    </w:p>
    <w:p w14:paraId="24F8190D" w14:textId="77777777" w:rsidR="00182AD3" w:rsidRPr="00507A31" w:rsidRDefault="00182AD3" w:rsidP="00507A31">
      <w:pPr>
        <w:jc w:val="both"/>
        <w:rPr>
          <w:color w:val="000000" w:themeColor="text1"/>
          <w:sz w:val="16"/>
          <w:szCs w:val="16"/>
        </w:rPr>
      </w:pPr>
      <w:r w:rsidRPr="00507A31">
        <w:rPr>
          <w:color w:val="000000" w:themeColor="text1"/>
          <w:sz w:val="16"/>
          <w:szCs w:val="16"/>
        </w:rPr>
        <w:t>По сообщению Ларичева, Калинникова и Горева им удалось легко выполнить задания ЦК промпартии, ибо основные установки А. И. Рыкова совпадали с намерениями последней.</w:t>
      </w:r>
    </w:p>
    <w:p w14:paraId="5CE5D293" w14:textId="77777777" w:rsidR="00182AD3" w:rsidRPr="00507A31" w:rsidRDefault="00182AD3" w:rsidP="00507A31">
      <w:pPr>
        <w:jc w:val="both"/>
        <w:rPr>
          <w:color w:val="000000" w:themeColor="text1"/>
          <w:sz w:val="16"/>
          <w:szCs w:val="16"/>
        </w:rPr>
      </w:pPr>
      <w:r w:rsidRPr="00507A31">
        <w:rPr>
          <w:color w:val="000000" w:themeColor="text1"/>
          <w:sz w:val="16"/>
          <w:szCs w:val="16"/>
        </w:rPr>
        <w:lastRenderedPageBreak/>
        <w:t>В дальнейшем этот персональный контакт с А. И. Рыковым все время поддерживался. Поэтому ЦК промпартии дал общую директиву своим руководящим работниками — проводить наиболее важные вопросы через СТО и СНК Союза, ставя их в тех заседаниях, которые шли под председательством А. И. Рыкова, ибо это обеспечивало и надежное прохождение подобных вопросов.</w:t>
      </w:r>
    </w:p>
    <w:p w14:paraId="77CC3CD9" w14:textId="77777777" w:rsidR="00182AD3" w:rsidRPr="00507A31" w:rsidRDefault="00182AD3" w:rsidP="00507A31">
      <w:pPr>
        <w:jc w:val="both"/>
        <w:rPr>
          <w:color w:val="000000" w:themeColor="text1"/>
          <w:sz w:val="16"/>
          <w:szCs w:val="16"/>
        </w:rPr>
      </w:pPr>
      <w:r w:rsidRPr="00507A31">
        <w:rPr>
          <w:color w:val="000000" w:themeColor="text1"/>
          <w:sz w:val="16"/>
          <w:szCs w:val="16"/>
        </w:rPr>
        <w:t>2. Г. И. Ломова, как руководителя Донбасса, было поручено ЦК промпартии обработать Ларичеву, Рабиновичу, а на месте — Бояршинову. Рубановичу и Гецову. По поручению ЦК промпартии указанные ее члены склонили Г. И. Ломова к сильной задержке разведочных подготовительных и капитальных работ в Донбассе; обеспечили, пользуясь своим персональным влиянием на Г. И. Ломова, задержку прорубки новых шахт, электростроительства, водоснабжения, механизации угледобычи и жилстроительства и отвлекли внимание от шахтинского вредительства.</w:t>
      </w:r>
    </w:p>
    <w:p w14:paraId="71473CCD" w14:textId="77777777" w:rsidR="00182AD3" w:rsidRPr="00507A31" w:rsidRDefault="00182AD3" w:rsidP="00507A31">
      <w:pPr>
        <w:jc w:val="both"/>
        <w:rPr>
          <w:color w:val="000000" w:themeColor="text1"/>
          <w:sz w:val="16"/>
          <w:szCs w:val="16"/>
        </w:rPr>
      </w:pPr>
      <w:r w:rsidRPr="00507A31">
        <w:rPr>
          <w:color w:val="000000" w:themeColor="text1"/>
          <w:sz w:val="16"/>
          <w:szCs w:val="16"/>
        </w:rPr>
        <w:t>3. По линии нефтяной промышленности ЦК промпартии дал директиву установить персональный контакт и произвести обработку Г.И. Ломова, акад. И. М. Губкина и Рябова (Нефтесиндикат) следующим своим членам — Стрижову, Елину, Саханову, Поляку, К. Н. Мурзенову, Ю. К. Максимо[ви]чу. Основные директивные линии сводились здесь к замедлению нефтеразведок, нефтедобычи и бурения, к задержке развития крекинга, к замедлению развития нефтеналивного флота и к задержке подготовки к транспорту и использованию парафинистого мазута. Все эти директивы были, по сообщению Стрижова и Поляка, выполнены. Далее, когда был принят правительством широкий план тракторизации сельского хозяйства, Максимович, Саханов и Зеленский (НАМИ) выдвинули установку на бензиновые тракторы с применением крекинг-бензина или крекинг-керосина вместо радикальной ставки на тяжелое нефтетопливо и получили согласие и поддержку Ломова, Губкина и Рыкова; как следствие этой установки получилась необходимость явно неосуществимой и невыгодной постройки более 100 крекингов и расширении [я] нефтедобычи до 42 м[ил]. т., с громадными потребными излишками, капитальными затратами более 500 мил. р. и при больших ежегодных перерасходах тоже около 500 мил. руб. в год.</w:t>
      </w:r>
    </w:p>
    <w:p w14:paraId="54F47AEF" w14:textId="77777777" w:rsidR="00182AD3" w:rsidRPr="00507A31" w:rsidRDefault="00182AD3" w:rsidP="00507A31">
      <w:pPr>
        <w:jc w:val="both"/>
        <w:rPr>
          <w:color w:val="000000" w:themeColor="text1"/>
          <w:sz w:val="16"/>
          <w:szCs w:val="16"/>
        </w:rPr>
      </w:pPr>
      <w:r w:rsidRPr="00507A31">
        <w:rPr>
          <w:color w:val="000000" w:themeColor="text1"/>
          <w:sz w:val="16"/>
          <w:szCs w:val="16"/>
        </w:rPr>
        <w:t>4. Г. Я. Сокольников во время своей работы в Госплане и Нефтесиндикате был вовлечен в русло основных течений промпартии, помогая осуществлять ее задачи. Персональное воздействие на Г. Я. Сокольникова производилось по поручению ЦК промпартии рядом ее членов, работавших в Госплане и Нефтесиндикате — Калинниковым, Максимовичем и др.</w:t>
      </w:r>
    </w:p>
    <w:p w14:paraId="421D0368" w14:textId="77777777" w:rsidR="00182AD3" w:rsidRPr="00507A31" w:rsidRDefault="00182AD3" w:rsidP="00507A31">
      <w:pPr>
        <w:jc w:val="both"/>
        <w:rPr>
          <w:color w:val="000000" w:themeColor="text1"/>
          <w:sz w:val="16"/>
          <w:szCs w:val="16"/>
        </w:rPr>
      </w:pPr>
      <w:r w:rsidRPr="00507A31">
        <w:rPr>
          <w:color w:val="000000" w:themeColor="text1"/>
          <w:sz w:val="16"/>
          <w:szCs w:val="16"/>
        </w:rPr>
        <w:t>5. Г. М. Кржижановский, стоял во главе Госплана, являвшегося по существу рабочим аппаратом промпартии, целиком находился под влиянием последней и был вынужден идти по основным линиям промпартии, осуществляя фактически ее политику. Ярким показателем полного пленения Г. М. Кржижановского промпартией является, например, первая куцая 5-летка Госплана. Персональные тесные связи с Г. М. Кржижановским промпартия осуществляла через Ларичева, Рамзина, Калинникова, Осадчего, Горева, Рабиновича, а в первое время и Пальчинского.</w:t>
      </w:r>
    </w:p>
    <w:p w14:paraId="6E188BCA" w14:textId="77777777" w:rsidR="00182AD3" w:rsidRPr="00507A31" w:rsidRDefault="00182AD3" w:rsidP="00507A31">
      <w:pPr>
        <w:jc w:val="both"/>
        <w:rPr>
          <w:color w:val="000000" w:themeColor="text1"/>
          <w:sz w:val="16"/>
          <w:szCs w:val="16"/>
        </w:rPr>
      </w:pPr>
      <w:r w:rsidRPr="00507A31">
        <w:rPr>
          <w:color w:val="000000" w:themeColor="text1"/>
          <w:sz w:val="16"/>
          <w:szCs w:val="16"/>
        </w:rPr>
        <w:t>6. Н. И. Бухарин немедленно по его вступлении в должность начальника НИС ВСН[Х] СССР (бывш. Н.Т.У.) вошел в тесный идейный и деловой контакт с руководящими работниками промпартии, особенно с Ше[и]нымг, Рамзиным и отчасти с Чарновским. Так, после образования НИС программа его структуры и план деятельности были разработаны Ше[и]ным и Рамзиным и были приняты Н. И. Бухариным в основу представленного им плана работ. Основная идея здесь сводилась к тому, что НИС должен стать штабом технической реконструкции народного хозяйства и промышленности Союза, причем основная руководящая роль в этой работе должна выполняться инженерством. Таким образом, инженерство выдвигалось в качестве основного и почти единственного руководителя технической реконструкции и политики страны, что вполне отвечало стремлениям и задачам промпартии.</w:t>
      </w:r>
    </w:p>
    <w:p w14:paraId="3EB7AA83" w14:textId="77777777" w:rsidR="00182AD3" w:rsidRPr="00507A31" w:rsidRDefault="00182AD3" w:rsidP="00507A31">
      <w:pPr>
        <w:jc w:val="both"/>
        <w:rPr>
          <w:color w:val="000000" w:themeColor="text1"/>
          <w:sz w:val="16"/>
          <w:szCs w:val="16"/>
        </w:rPr>
      </w:pPr>
      <w:r w:rsidRPr="00507A31">
        <w:rPr>
          <w:color w:val="000000" w:themeColor="text1"/>
          <w:sz w:val="16"/>
          <w:szCs w:val="16"/>
        </w:rPr>
        <w:t>Позже Н. И. Бухарин вел со мной переговоры о более тесной организационной увязке в работе, путем моего вхождения в президиум НИС и вовлечения в тесную совместную работу директоров научно-исследовательских институтов и видных инженеров. Эти переговоры не были доведены до конца. Фактически руководство исследовательской работой в НИС, после вступления в него Н. И. Бухарина, перешло почти целиком в руки члена промпартии С. Д. Ше[и]на, проводившего в НИС программу последней.</w:t>
      </w:r>
    </w:p>
    <w:p w14:paraId="27152D3F" w14:textId="77777777" w:rsidR="00182AD3" w:rsidRPr="00507A31" w:rsidRDefault="00182AD3" w:rsidP="00507A31">
      <w:pPr>
        <w:jc w:val="both"/>
        <w:rPr>
          <w:color w:val="000000" w:themeColor="text1"/>
          <w:sz w:val="16"/>
          <w:szCs w:val="16"/>
        </w:rPr>
      </w:pPr>
      <w:r w:rsidRPr="00507A31">
        <w:rPr>
          <w:color w:val="000000" w:themeColor="text1"/>
          <w:sz w:val="16"/>
          <w:szCs w:val="16"/>
        </w:rPr>
        <w:t>7. Бывш. начальник НТУ ВСНХ СССР В. М. Свердлов был по поручению ЦК промпартии целиком подчинен ее идейному влиянию через С. Д. Ше[и]на, проф. М. В. Кирпичева, В. Е. Грум-Гржимайло и др., фактически полностью проводя в жизнь основные установки промпартии в области научно-исследовательских работ. А именно, систематически задерживались наиболее актуальные и жизненные темы, как например, сжигание &lt;...&gt;, теплофикация, высокое давление, применение тяжелых топлив для тракторов и автотранспорта, газификация топлива и газоге- нераторские тракторы и т. п., а взамен выдвигались чисто теоретические или дорогостоящие практические работы, которые должны были и могли проводиться средствами самих трестов.</w:t>
      </w:r>
    </w:p>
    <w:p w14:paraId="72759290" w14:textId="77777777" w:rsidR="00182AD3" w:rsidRPr="00507A31" w:rsidRDefault="00182AD3" w:rsidP="00507A31">
      <w:pPr>
        <w:jc w:val="both"/>
        <w:rPr>
          <w:color w:val="000000" w:themeColor="text1"/>
          <w:sz w:val="16"/>
          <w:szCs w:val="16"/>
        </w:rPr>
      </w:pPr>
      <w:r w:rsidRPr="00507A31">
        <w:rPr>
          <w:color w:val="000000" w:themeColor="text1"/>
          <w:sz w:val="16"/>
          <w:szCs w:val="16"/>
        </w:rPr>
        <w:t>8. Бывш. председатель правления МОГЭСа К. П. Ловин — был в полном идейном подчинении у членов промпартии, руководящих МОГЭСом — В. И. Яновицкого, В. Д. Кирпичникова и Б. В. Крылова. Последние в соответствии с заданиями промпартии склонили К. П. Л овина к задержке теплофикации Москвы, борьбе против непрерывной рабочей недели, к замедлению темпа развития электроснабжения Московского района и нашли в лице Ловина энергичного защитника при обвинении МОГЭСа в дороговизне и медленности строительства электростанций и в высокой себестоимости энергии.</w:t>
      </w:r>
    </w:p>
    <w:p w14:paraId="2384A5DC" w14:textId="77777777" w:rsidR="00182AD3" w:rsidRPr="00507A31" w:rsidRDefault="00182AD3" w:rsidP="00507A31">
      <w:pPr>
        <w:jc w:val="both"/>
        <w:rPr>
          <w:color w:val="000000" w:themeColor="text1"/>
          <w:sz w:val="16"/>
          <w:szCs w:val="16"/>
        </w:rPr>
      </w:pPr>
      <w:r w:rsidRPr="00507A31">
        <w:rPr>
          <w:color w:val="000000" w:themeColor="text1"/>
          <w:sz w:val="16"/>
          <w:szCs w:val="16"/>
        </w:rPr>
        <w:t>9. Бывш. начальник Главэлектр[о] — В. Н. Ксандров через воздействие членов промпартии М. Л. Каменецкого, С. А. Кукель-Краевского, Яновицкого, Котомина, фактически осуществлял директивы последней, почему создались кризисы электроснабжения в Донбассе, Ленинграде, Москве, на Урале, в Кузбассе и др. ответственных центрах, была задержана теплофикация Москвы и Ленинграда, осуществлялось сильное Удорожание электростанций и затягивание сроков их строительства.</w:t>
      </w:r>
    </w:p>
    <w:p w14:paraId="32DBB307" w14:textId="77777777" w:rsidR="00182AD3" w:rsidRPr="00507A31" w:rsidRDefault="00182AD3" w:rsidP="00507A31">
      <w:pPr>
        <w:jc w:val="both"/>
        <w:rPr>
          <w:color w:val="000000" w:themeColor="text1"/>
          <w:sz w:val="16"/>
          <w:szCs w:val="16"/>
        </w:rPr>
      </w:pPr>
      <w:r w:rsidRPr="00507A31">
        <w:rPr>
          <w:color w:val="000000" w:themeColor="text1"/>
          <w:sz w:val="16"/>
          <w:szCs w:val="16"/>
        </w:rPr>
        <w:t>10. Б[ывш]. председатель Ленмаштреста — т. Михайлов, находясь под влиянием проф. А. Ю. Винблад, Ю. Ю. Ломач, инж. Неймаера и проф. М. В. Кирпичева, фактически осуществлял директивы промпартии в области отстаивания центральных типов котлов, турбин, топок и т.п. и минимальной производственной программы треста.</w:t>
      </w:r>
    </w:p>
    <w:p w14:paraId="316FDFAC" w14:textId="77777777" w:rsidR="00182AD3" w:rsidRPr="00507A31" w:rsidRDefault="00182AD3" w:rsidP="00507A31">
      <w:pPr>
        <w:jc w:val="both"/>
        <w:rPr>
          <w:color w:val="000000" w:themeColor="text1"/>
          <w:sz w:val="16"/>
          <w:szCs w:val="16"/>
        </w:rPr>
      </w:pPr>
      <w:r w:rsidRPr="00507A31">
        <w:rPr>
          <w:color w:val="000000" w:themeColor="text1"/>
          <w:sz w:val="16"/>
          <w:szCs w:val="16"/>
        </w:rPr>
        <w:t>11. А. П. Чубаров — начальник Горно-Топливного Управления ВСНХ СССР был поручен обработке Стрижова, Назимова, Прорвича, Ларичева и Рамзина. Под их влиянием А. П. Чубаров находился в полном идейном плену у ЦК промпартии, проводя в жизнь по существу все ее построения в области добычи и распределения топлива.</w:t>
      </w:r>
    </w:p>
    <w:p w14:paraId="2BE491F1" w14:textId="77777777" w:rsidR="00182AD3" w:rsidRPr="00507A31" w:rsidRDefault="00182AD3" w:rsidP="00507A31">
      <w:pPr>
        <w:jc w:val="both"/>
        <w:rPr>
          <w:color w:val="000000" w:themeColor="text1"/>
          <w:sz w:val="16"/>
          <w:szCs w:val="16"/>
        </w:rPr>
      </w:pPr>
      <w:r w:rsidRPr="00507A31">
        <w:rPr>
          <w:color w:val="000000" w:themeColor="text1"/>
          <w:sz w:val="16"/>
          <w:szCs w:val="16"/>
        </w:rPr>
        <w:t>12. Начальник Москвугля — С. П. Ананьин согласно директив промпартии был через инж. Гурфинкеля, Солодовникова и проф. Фокина отвлечен от прямой и основной проблемы Подмосковного бассейна —  удешевления добычи угля, рационализации его слич[е]ния, в сторону широких, дорогих и невыгодных при настоящем положении проектов дальнего газоснабжения, сложной химической переработки угля, гидрирования смол и т. п., чем была выполнена одна из основных задач промпартии — задержка рационального развития местных топлив.</w:t>
      </w:r>
    </w:p>
    <w:p w14:paraId="7ABF96D3" w14:textId="77777777" w:rsidR="00182AD3" w:rsidRPr="00507A31" w:rsidRDefault="00182AD3" w:rsidP="00507A31">
      <w:pPr>
        <w:jc w:val="both"/>
        <w:rPr>
          <w:color w:val="000000" w:themeColor="text1"/>
          <w:sz w:val="16"/>
          <w:szCs w:val="16"/>
        </w:rPr>
      </w:pPr>
      <w:r w:rsidRPr="00507A31">
        <w:rPr>
          <w:color w:val="000000" w:themeColor="text1"/>
          <w:sz w:val="16"/>
          <w:szCs w:val="16"/>
        </w:rPr>
        <w:t>2. Подготовка всеобщего кризиса к моменту интервенции.</w:t>
      </w:r>
    </w:p>
    <w:p w14:paraId="230A1969" w14:textId="77777777" w:rsidR="00182AD3" w:rsidRPr="00507A31" w:rsidRDefault="00182AD3" w:rsidP="00507A31">
      <w:pPr>
        <w:jc w:val="both"/>
        <w:rPr>
          <w:color w:val="000000" w:themeColor="text1"/>
          <w:sz w:val="16"/>
          <w:szCs w:val="16"/>
        </w:rPr>
      </w:pPr>
      <w:r w:rsidRPr="00507A31">
        <w:rPr>
          <w:color w:val="000000" w:themeColor="text1"/>
          <w:sz w:val="16"/>
          <w:szCs w:val="16"/>
        </w:rPr>
        <w:t>Основным моментом, к которому должен был быть приурочен всеобщий кризис народного хозяйства СССР намечался примерно 1930 год.</w:t>
      </w:r>
    </w:p>
    <w:p w14:paraId="557D9541" w14:textId="77777777" w:rsidR="00182AD3" w:rsidRPr="00507A31" w:rsidRDefault="00182AD3" w:rsidP="00507A31">
      <w:pPr>
        <w:jc w:val="both"/>
        <w:rPr>
          <w:color w:val="000000" w:themeColor="text1"/>
          <w:sz w:val="16"/>
          <w:szCs w:val="16"/>
        </w:rPr>
      </w:pPr>
      <w:r w:rsidRPr="00507A31">
        <w:rPr>
          <w:color w:val="000000" w:themeColor="text1"/>
          <w:sz w:val="16"/>
          <w:szCs w:val="16"/>
        </w:rPr>
        <w:t>Этот момент был намечен по следующим соображениям:</w:t>
      </w:r>
    </w:p>
    <w:p w14:paraId="4DD3BCB9" w14:textId="77777777" w:rsidR="00182AD3" w:rsidRPr="00507A31" w:rsidRDefault="00182AD3" w:rsidP="00507A31">
      <w:pPr>
        <w:jc w:val="both"/>
        <w:rPr>
          <w:color w:val="000000" w:themeColor="text1"/>
          <w:sz w:val="16"/>
          <w:szCs w:val="16"/>
        </w:rPr>
      </w:pPr>
      <w:r w:rsidRPr="00507A31">
        <w:rPr>
          <w:color w:val="000000" w:themeColor="text1"/>
          <w:sz w:val="16"/>
          <w:szCs w:val="16"/>
        </w:rPr>
        <w:t>1. Согласно сообщений из белоэмигрантских промышленных кругов через Пальчинского, Федотова, а также непосредственно от Рябушинского через Рамзина и от Торгпрома через Рамзина и Ларичева, переговоры белоэмигрантов с французским правительством как руководителем интервенции, а также и английским правительством давали основание рассчитывать на возможность реально подготовить и осуществить интервенцию примерно в 1930 году. Таким образом, этот срок определялся политическими и военными соображениями.</w:t>
      </w:r>
    </w:p>
    <w:p w14:paraId="4EFBE471" w14:textId="77777777" w:rsidR="00182AD3" w:rsidRPr="00507A31" w:rsidRDefault="00182AD3" w:rsidP="00507A31">
      <w:pPr>
        <w:jc w:val="both"/>
        <w:rPr>
          <w:color w:val="000000" w:themeColor="text1"/>
          <w:sz w:val="16"/>
          <w:szCs w:val="16"/>
        </w:rPr>
      </w:pPr>
      <w:r w:rsidRPr="00507A31">
        <w:rPr>
          <w:color w:val="000000" w:themeColor="text1"/>
          <w:sz w:val="16"/>
          <w:szCs w:val="16"/>
        </w:rPr>
        <w:t>2. По естественным условиям развития народного хозяйства и осуществления пятилетки операционный 1929-1930 год, как промежуточный год пятилетки являлся наиболее трудным; ибо в этом году требовалось большое напряжение народно-хозяйственных средств на новое капитальное строительство, и в то же время вложения не могли еще давать заметного реального эффекта. Тяжелое положение в 1930 году углублялось еще и неизбежными трудностями при проведении коллективизации сельского хозяйства, при котором промпартия надеялась как на продовольственные затруднения, так и на сильное недовольство широких крестьянских масс, вместе с ростом недовольства широких слоев населения вообще.</w:t>
      </w:r>
    </w:p>
    <w:p w14:paraId="307797B9" w14:textId="77777777" w:rsidR="00182AD3" w:rsidRPr="00507A31" w:rsidRDefault="00182AD3" w:rsidP="00507A31">
      <w:pPr>
        <w:jc w:val="both"/>
        <w:rPr>
          <w:color w:val="000000" w:themeColor="text1"/>
          <w:sz w:val="16"/>
          <w:szCs w:val="16"/>
        </w:rPr>
      </w:pPr>
      <w:r w:rsidRPr="00507A31">
        <w:rPr>
          <w:color w:val="000000" w:themeColor="text1"/>
          <w:sz w:val="16"/>
          <w:szCs w:val="16"/>
        </w:rPr>
        <w:t>Таким образом, по построениям промпартии 1930 год являлся наиболее благоприятным для контрреволюционного переворота: а) по военно-политическим соображениям подготовки и осуществления интервенции; б) вследствие наибольших трудностей в народном хозяйстве, и в) вследствие разгара недовольства широких масс населения в результате экономических затруднений.</w:t>
      </w:r>
    </w:p>
    <w:p w14:paraId="7704516C" w14:textId="77777777" w:rsidR="00182AD3" w:rsidRPr="00507A31" w:rsidRDefault="00182AD3" w:rsidP="00507A31">
      <w:pPr>
        <w:jc w:val="both"/>
        <w:rPr>
          <w:color w:val="000000" w:themeColor="text1"/>
          <w:sz w:val="16"/>
          <w:szCs w:val="16"/>
        </w:rPr>
      </w:pPr>
      <w:r w:rsidRPr="00507A31">
        <w:rPr>
          <w:color w:val="000000" w:themeColor="text1"/>
          <w:sz w:val="16"/>
          <w:szCs w:val="16"/>
        </w:rPr>
        <w:t>Отсюда ясно, что основные мероприятия в области промышленности должны были идти в сторону углубления и без того неизбежных экономических затруднений путем: 1) вкладывания до 1930 г. максимума средств и, в особенности, валюты в мало-эффективное капитальное строительство, т. е. в такие строительные объекты, которые не могли дать реального хозяйственного эффекта к 1930 году; 2) возможного удорожания и растягивания сроков строительства; 3) создания к 1930 году кризисов на отдельных опорных участках народного хозяйства: в области транспорта по основным ответственным направлениям, в области электроснабжения наиболее важных пунктов, в области топливоснабжения, металлоснабжения, механизации сельского хозяйства и т. п., причем эти кризисы подготовлялись замедлением темпа развития соответствующих отраслей промышленности, и в особенности капитальных подготовительных и разведочных работ в предыдущие годы; 4) усилением диспропорции между отдельными отраслями народного хозяйства, и, в особенности, между отдельными участками одной и той же отрасли.</w:t>
      </w:r>
    </w:p>
    <w:p w14:paraId="7BB4856E" w14:textId="77777777" w:rsidR="00182AD3" w:rsidRPr="00507A31" w:rsidRDefault="00182AD3" w:rsidP="00507A31">
      <w:pPr>
        <w:jc w:val="both"/>
        <w:rPr>
          <w:color w:val="000000" w:themeColor="text1"/>
          <w:sz w:val="16"/>
          <w:szCs w:val="16"/>
        </w:rPr>
      </w:pPr>
      <w:r w:rsidRPr="00507A31">
        <w:rPr>
          <w:color w:val="000000" w:themeColor="text1"/>
          <w:sz w:val="16"/>
          <w:szCs w:val="16"/>
        </w:rPr>
        <w:t>Связь с иностранными правительствами поддерживалась через белоэмигрантские промышленные круги, причем основной являлась здесь связь с Торгпромом в Париже через французское посольство в Москве, осуществлявшихся через лиц, доставлявших деньги на квартиры Ларичеву и Рамзину, и, главным образом Ларичеву, которому обычно доставлялись деньги. Периодические краткие сводки общего положения промышленности заготовлялись в Госплане под руководством Ларичева и Калинникова с привлечением экономистов, 3-4 раза в год направлялись в Торгпром. Связь с английскими промышленниками через английское посольство осуществлялось Федотовым. Наконец, насколько мне известно, Чарновский имел связь с польским посольством.</w:t>
      </w:r>
    </w:p>
    <w:p w14:paraId="576FCE10" w14:textId="77777777" w:rsidR="00182AD3" w:rsidRPr="00507A31" w:rsidRDefault="00182AD3" w:rsidP="00507A31">
      <w:pPr>
        <w:jc w:val="both"/>
        <w:rPr>
          <w:color w:val="000000" w:themeColor="text1"/>
          <w:sz w:val="16"/>
          <w:szCs w:val="16"/>
        </w:rPr>
      </w:pPr>
      <w:r w:rsidRPr="00507A31">
        <w:rPr>
          <w:color w:val="000000" w:themeColor="text1"/>
          <w:sz w:val="16"/>
          <w:szCs w:val="16"/>
        </w:rPr>
        <w:t>Как я уже показывал ранее, директивы из-за границы носили общий характер, подтверждая основные тактические линии промпартии, ибо, естественно, их конкретизация могла быть выполнена лишь промпартией, члены коей неизмеримо лучше знали действительную обстановку.</w:t>
      </w:r>
    </w:p>
    <w:p w14:paraId="77411473" w14:textId="77777777" w:rsidR="00182AD3" w:rsidRPr="00507A31" w:rsidRDefault="00182AD3" w:rsidP="00507A31">
      <w:pPr>
        <w:jc w:val="both"/>
        <w:rPr>
          <w:color w:val="000000" w:themeColor="text1"/>
          <w:sz w:val="16"/>
          <w:szCs w:val="16"/>
        </w:rPr>
      </w:pPr>
      <w:r w:rsidRPr="00507A31">
        <w:rPr>
          <w:color w:val="000000" w:themeColor="text1"/>
          <w:sz w:val="16"/>
          <w:szCs w:val="16"/>
        </w:rPr>
        <w:lastRenderedPageBreak/>
        <w:t>Определенного конкретного плана народного хозяйственного кризиса к моменту интервенции, насколько мне известно, не было. Основная задача промпартии заключалась в таком планировании и направлении народного хозяйства, чтобы путем осуществления вышеуказанных мероприятий обогатить до предела экономические затруднения и, таким образом, создать благоприятную почву для интервенции. В общем картина кризиса к 1930 году рисуется в следующем виде.</w:t>
      </w:r>
    </w:p>
    <w:p w14:paraId="16BA7B69" w14:textId="77777777" w:rsidR="00182AD3" w:rsidRPr="00507A31" w:rsidRDefault="00182AD3" w:rsidP="00507A31">
      <w:pPr>
        <w:jc w:val="both"/>
        <w:rPr>
          <w:color w:val="000000" w:themeColor="text1"/>
          <w:sz w:val="16"/>
          <w:szCs w:val="16"/>
        </w:rPr>
      </w:pPr>
      <w:r w:rsidRPr="00507A31">
        <w:rPr>
          <w:color w:val="000000" w:themeColor="text1"/>
          <w:sz w:val="16"/>
          <w:szCs w:val="16"/>
        </w:rPr>
        <w:t>Согласно директивам из-за границы промпартия должна была войти в тесный тактический блок с ТКП с целью координации действий по линии сельского хозяйства, кооперации, финансов и в широких рабочих массах. Всемерно используя и углубляя трудности коллективизации сельского хозяйства, ТКП должна была добиться максимального обострения продовольственного кризиса и путем агитации в крестьянских, рабочих массах и в Красной армии подготовить к моменту интервенции крестьянские восстания, мятежи в красноармейских частях и рабочие забастовки. Таким образом, массовая агитация, недоступная для промпартии вследствие замкнутого кастового ее характера, работа в широких массах населения и их использование для целей интервенции возлагалась на ТКП. С целью такого координирования действия промпартии и ТКП и был избран объединительный центр в составе Кондратьева, Макарова, Громана, Рамзина и Чарновского.</w:t>
      </w:r>
    </w:p>
    <w:p w14:paraId="0B1D39E6" w14:textId="77777777" w:rsidR="00182AD3" w:rsidRPr="00507A31" w:rsidRDefault="00182AD3" w:rsidP="00507A31">
      <w:pPr>
        <w:jc w:val="both"/>
        <w:rPr>
          <w:color w:val="000000" w:themeColor="text1"/>
          <w:sz w:val="16"/>
          <w:szCs w:val="16"/>
        </w:rPr>
      </w:pPr>
      <w:r w:rsidRPr="00507A31">
        <w:rPr>
          <w:color w:val="000000" w:themeColor="text1"/>
          <w:sz w:val="16"/>
          <w:szCs w:val="16"/>
        </w:rPr>
        <w:t>Одновременно с этим намечалось наступление ряда кризисов по отдельным отраслям промышленности. Так, в области топливоснабжения должен был возникнуть особенно острый кризис в Центрально-промышленном районе и Северо-Западной области, который должен был превратиться в топливную катастрофу, немедленно после военного перерыва сообщения с Донбассом, вследствие слабого и явно недостаточного развития добычи местных топлив — торфа и подмосковного угля и неподготовленности потребителей к их широкому и рациональному использованию. Подобный же острый кризис должен был наступить и по линии металла, особенно для военной промышленности, вследствие задержки развития металлопромышленности, причем первые связи с металлургическим югом и здесь должны были создать топливную катастрофу.</w:t>
      </w:r>
    </w:p>
    <w:p w14:paraId="7B42DC5B" w14:textId="77777777" w:rsidR="00182AD3" w:rsidRPr="00507A31" w:rsidRDefault="00182AD3" w:rsidP="00507A31">
      <w:pPr>
        <w:jc w:val="both"/>
        <w:rPr>
          <w:color w:val="000000" w:themeColor="text1"/>
          <w:sz w:val="16"/>
          <w:szCs w:val="16"/>
        </w:rPr>
      </w:pPr>
      <w:r w:rsidRPr="00507A31">
        <w:rPr>
          <w:color w:val="000000" w:themeColor="text1"/>
          <w:sz w:val="16"/>
          <w:szCs w:val="16"/>
        </w:rPr>
        <w:t>Такие же катастрофические последствия должен был создать отрыв Донбасса с его коксо-бензольной промышленностью и для военно-химической промышленности. В области текстильной промышленности к 1930 году определенно намечались и были осуществлены диспропорции между производственными возможностями текстильных фабрик и наличием сырья, особенно от ного происхождения, что неизбежно должно было привести к простоям фабрик, а после прекращения поставки иностранного текстильного сырья — к замиранию текстильной промышленности. В области транспорта, развитие последнего настолько отставало от общего темпа роста народного хозяйства, особенно по линии связей на юг и на восток, что транспортные затруднения неизбежно должны были резко обостриться к 1930 году, а кризис топливоснабжения при полной неподготовленности жел/дор[ог] к широкому использованию местных топлив должен был создать транспортную катастрофу.</w:t>
      </w:r>
    </w:p>
    <w:p w14:paraId="4F0C8AEA" w14:textId="77777777" w:rsidR="00182AD3" w:rsidRPr="00507A31" w:rsidRDefault="00182AD3" w:rsidP="00507A31">
      <w:pPr>
        <w:jc w:val="both"/>
        <w:rPr>
          <w:color w:val="000000" w:themeColor="text1"/>
          <w:sz w:val="16"/>
          <w:szCs w:val="16"/>
        </w:rPr>
      </w:pPr>
      <w:r w:rsidRPr="00507A31">
        <w:rPr>
          <w:color w:val="000000" w:themeColor="text1"/>
          <w:sz w:val="16"/>
          <w:szCs w:val="16"/>
        </w:rPr>
        <w:t>Таким образом, система мероприятий промпартии и ТКП должны были привести примерно в 1930 году к экономическому кризису страны, создавая базу для острого недовольства широких масс населения; в свою очередь восстания, забастовки должны были окончательно привести к параличу народно-хозяйственную жизнь страны. При этом основную роль в деле окончательного завершения кризиса должно было сыграть отрез промышленного юга от центра отрасли.</w:t>
      </w:r>
    </w:p>
    <w:p w14:paraId="2F3A1697" w14:textId="77777777" w:rsidR="00182AD3" w:rsidRPr="00507A31" w:rsidRDefault="00182AD3" w:rsidP="00507A31">
      <w:pPr>
        <w:jc w:val="both"/>
        <w:rPr>
          <w:color w:val="000000" w:themeColor="text1"/>
          <w:sz w:val="16"/>
          <w:szCs w:val="16"/>
        </w:rPr>
      </w:pPr>
      <w:r w:rsidRPr="00507A31">
        <w:rPr>
          <w:color w:val="000000" w:themeColor="text1"/>
          <w:sz w:val="16"/>
          <w:szCs w:val="16"/>
        </w:rPr>
        <w:t>Что касается специальных мероприятий по линии военной промышленности к моменту интервенции, то работа в этом направлении проводилась непосредственно Пальчинским и Хренниковым, совместно с ген. Михайловым. После их ареста эта работа прервалась. В 1929 году общее руководство работой по военной промышленности было возложено на Калинникова и Чарновского, которые должны были разработать план конкретных мероприятий в этой области. Со слов Калинникова мне известно, что им был привлечен к этой работе по химической промышленности В. П. Камзолкин и акад. В. Н. Ипатьев; последний представлял особую ценность как специалист по взрывчатым веществам, как лицо, имеющее связи в военных и военно-промышленных кругах, а также благодаря своим частым поездкам за границу, что обеспечивало неизбежный контакт с иностранными кругами.</w:t>
      </w:r>
    </w:p>
    <w:p w14:paraId="628161B1" w14:textId="77777777" w:rsidR="00182AD3" w:rsidRPr="00507A31" w:rsidRDefault="00182AD3" w:rsidP="00507A31">
      <w:pPr>
        <w:jc w:val="both"/>
        <w:rPr>
          <w:color w:val="000000" w:themeColor="text1"/>
          <w:sz w:val="16"/>
          <w:szCs w:val="16"/>
        </w:rPr>
      </w:pPr>
      <w:r w:rsidRPr="00507A31">
        <w:rPr>
          <w:color w:val="000000" w:themeColor="text1"/>
          <w:sz w:val="16"/>
          <w:szCs w:val="16"/>
        </w:rPr>
        <w:t>Насколько и в каких направлениях продвинута Калинниковым и Чарновским работа по специальным мероприятиям в области военной промышленности я сказать не могу, ибо эта работа началась уже в период ослабления деятельности промпартии; кроме того, под влиянием сообщений из-за границы в середине 1929 года о невозможности интервенции в 1930 году, стимул для спешной проработки этого вопроса был ослаблен.</w:t>
      </w:r>
    </w:p>
    <w:p w14:paraId="188D9E0B" w14:textId="77777777" w:rsidR="00182AD3" w:rsidRPr="00507A31" w:rsidRDefault="00182AD3" w:rsidP="00507A31">
      <w:pPr>
        <w:jc w:val="both"/>
        <w:rPr>
          <w:color w:val="000000" w:themeColor="text1"/>
          <w:sz w:val="16"/>
          <w:szCs w:val="16"/>
        </w:rPr>
      </w:pPr>
      <w:r w:rsidRPr="00507A31">
        <w:rPr>
          <w:color w:val="000000" w:themeColor="text1"/>
          <w:sz w:val="16"/>
          <w:szCs w:val="16"/>
        </w:rPr>
        <w:t>В качестве специальных мероприятий в момент интервенции в группе сотрудников Главэлектр[о], насколько мне известно от Пальчинского и Хренникова, был возбужден работниками МОГЭСа — Кирпичниковым, Яновицким и Ветчин[киным] — вопрос об искусственных перерывах электроснабжения Москвы и Московского района путем аварий на электрических станциях и в линиях передач.</w:t>
      </w:r>
    </w:p>
    <w:p w14:paraId="0BF4BE34" w14:textId="77777777" w:rsidR="00182AD3" w:rsidRPr="00507A31" w:rsidRDefault="00182AD3" w:rsidP="00507A31">
      <w:pPr>
        <w:jc w:val="both"/>
        <w:rPr>
          <w:color w:val="000000" w:themeColor="text1"/>
          <w:sz w:val="16"/>
          <w:szCs w:val="16"/>
        </w:rPr>
      </w:pPr>
      <w:r w:rsidRPr="00507A31">
        <w:rPr>
          <w:color w:val="000000" w:themeColor="text1"/>
          <w:sz w:val="16"/>
          <w:szCs w:val="16"/>
        </w:rPr>
        <w:t>&lt;Подобный же&gt; вопрос ставился, по словам Е. Ф. Евреинова и в &lt;отношении&gt; остановки заводов Военпрома путем выключения по&lt;дачи&gt; тока или аварий на обслуживающих их электро-станциях. Как указано выше, эти специальные мероприятия должны были разрабатываться группой Калинникова и Чарновского.</w:t>
      </w:r>
    </w:p>
    <w:p w14:paraId="473178D4" w14:textId="77777777" w:rsidR="00182AD3" w:rsidRPr="00507A31" w:rsidRDefault="00182AD3" w:rsidP="00507A31">
      <w:pPr>
        <w:jc w:val="both"/>
        <w:rPr>
          <w:color w:val="000000" w:themeColor="text1"/>
          <w:sz w:val="16"/>
          <w:szCs w:val="16"/>
        </w:rPr>
      </w:pPr>
      <w:r w:rsidRPr="00507A31">
        <w:rPr>
          <w:color w:val="000000" w:themeColor="text1"/>
          <w:sz w:val="16"/>
          <w:szCs w:val="16"/>
        </w:rPr>
        <w:t>3. Отраслевые центры.</w:t>
      </w:r>
    </w:p>
    <w:p w14:paraId="4FF52FBC" w14:textId="77777777" w:rsidR="00182AD3" w:rsidRPr="00507A31" w:rsidRDefault="00182AD3" w:rsidP="00507A31">
      <w:pPr>
        <w:jc w:val="both"/>
        <w:rPr>
          <w:color w:val="000000" w:themeColor="text1"/>
          <w:sz w:val="16"/>
          <w:szCs w:val="16"/>
        </w:rPr>
      </w:pPr>
      <w:r w:rsidRPr="00507A31">
        <w:rPr>
          <w:color w:val="000000" w:themeColor="text1"/>
          <w:sz w:val="16"/>
          <w:szCs w:val="16"/>
        </w:rPr>
        <w:t>Угольная промышленность. Этот отраслевой центр является одним из старейших; ко времени моего вступления в Инженерный Центр угольная отраслевая группа была уже организована и вела свою работу под руководством Л. Г. Рабиновича. По Госплану СССР в ней принимали участие Рабинович, Федорович, Ларичев и позднее А. Л. Волкович. В нескольких совещаниях в связи с общим планом топливоснабжения принимал участие и я. После ареста Рабиновича госплановская группа продолжала работу под руководством Федоровича и Ларичева. По ВСНХ СССРосновными руководителями работы по осуществлению директив Инженерного Центра в угольной промышленности были Назимов и Скоруто.</w:t>
      </w:r>
    </w:p>
    <w:p w14:paraId="0C352D85" w14:textId="77777777" w:rsidR="00182AD3" w:rsidRPr="00507A31" w:rsidRDefault="00182AD3" w:rsidP="00507A31">
      <w:pPr>
        <w:jc w:val="both"/>
        <w:rPr>
          <w:color w:val="000000" w:themeColor="text1"/>
          <w:sz w:val="16"/>
          <w:szCs w:val="16"/>
        </w:rPr>
      </w:pPr>
      <w:r w:rsidRPr="00507A31">
        <w:rPr>
          <w:color w:val="000000" w:themeColor="text1"/>
          <w:sz w:val="16"/>
          <w:szCs w:val="16"/>
        </w:rPr>
        <w:t>Дальнейшая связь угольной группы с местными угольными работниками может быть освещена вышеуказанными лицами. В частности, по Донбассу мне известна связь угольной отраслевой группы с Бояршиновым и Рубановичем.</w:t>
      </w:r>
    </w:p>
    <w:p w14:paraId="6F200235" w14:textId="77777777" w:rsidR="00182AD3" w:rsidRPr="00507A31" w:rsidRDefault="00182AD3" w:rsidP="00507A31">
      <w:pPr>
        <w:jc w:val="both"/>
        <w:rPr>
          <w:color w:val="000000" w:themeColor="text1"/>
          <w:sz w:val="16"/>
          <w:szCs w:val="16"/>
        </w:rPr>
      </w:pPr>
      <w:r w:rsidRPr="00507A31">
        <w:rPr>
          <w:color w:val="000000" w:themeColor="text1"/>
          <w:sz w:val="16"/>
          <w:szCs w:val="16"/>
        </w:rPr>
        <w:t>Нефтяная промышленность. Отраслевая группа по нефтяной промышленности к началу моего участия в Инженерном Центре также уже сформировалась. По Госплану СССР основными руководителями были здесь Ларичев и инж. Покровский. По ВСНХ СССР — Стрижов и Н. Н. Смирнов, которые и поддерживали связь с районными работниками. Позднее в деятельность нефтяной группы был вовлечен и Нефтесиндикат, где основным работником был инж. В. С. Полляк. Насколько мне известно, по линии переработки нефти участие в деятельности нефтяной группы принимали проф. И. И. Елин и инж. Аккерман.</w:t>
      </w:r>
    </w:p>
    <w:p w14:paraId="3A01A29E" w14:textId="77777777" w:rsidR="00182AD3" w:rsidRPr="00507A31" w:rsidRDefault="00182AD3" w:rsidP="00507A31">
      <w:pPr>
        <w:jc w:val="both"/>
        <w:rPr>
          <w:color w:val="000000" w:themeColor="text1"/>
          <w:sz w:val="16"/>
          <w:szCs w:val="16"/>
        </w:rPr>
      </w:pPr>
      <w:r w:rsidRPr="00507A31">
        <w:rPr>
          <w:color w:val="000000" w:themeColor="text1"/>
          <w:sz w:val="16"/>
          <w:szCs w:val="16"/>
        </w:rPr>
        <w:t>Металл. Руководителями работ по проведению директив П.П. были Хренников и Чарновский. Основными работниками этой группы являлись В. Е. Грум-Гржимайло и Р. Я. Гартван по линии металлургии, по ВСНХ и связи с основными объединениями металлопромышленности: Белоножкин, Бачманов, Кауфман, Неймаер, Ку[т]ский, Лист, Липгарт и Подьяконов.</w:t>
      </w:r>
    </w:p>
    <w:p w14:paraId="6BC84882" w14:textId="77777777" w:rsidR="00182AD3" w:rsidRPr="00507A31" w:rsidRDefault="00182AD3" w:rsidP="00507A31">
      <w:pPr>
        <w:jc w:val="both"/>
        <w:rPr>
          <w:color w:val="000000" w:themeColor="text1"/>
          <w:sz w:val="16"/>
          <w:szCs w:val="16"/>
        </w:rPr>
      </w:pPr>
      <w:r w:rsidRPr="00507A31">
        <w:rPr>
          <w:color w:val="000000" w:themeColor="text1"/>
          <w:sz w:val="16"/>
          <w:szCs w:val="16"/>
        </w:rPr>
        <w:t>Мне ближе известны здесь два направления: 1) по общему плану металлургии, где Центром была дана директива выдерживать минимальный план выплавки чугуна и выпуска черного металла не более 6-8 милл. тонн к концу 5-летки, в соответствии с чем срезались и годовые планы; такая директива была дана на заседании Инженерного Центра в 1927 г., происходившем в ВСНХ в составе Пальчинского, Рабиновича, Хренникова, Чарновского, Ларичева, Рамзина и Стрижова. 2) По линии котлостроения, где на совещании в ВСНХ, на котором присутствовали Неймаер, Каменецкий и Рамзин было решено поддерживать в жизнь существующие конструкции котлов и других элементов оборудования станции, ибо при применении таких конструкций мощность котельных заводов в пересчете на киловатты получалась минимальной, вследствие плохого использования поверхностей нагрева и затрачиваемого метаппарата, вместе с тем, естественно, возникла потребность во ввозе значительного заграничного оборудования; общая установка сводилась к возможному благоприятствованию этого импорта.</w:t>
      </w:r>
    </w:p>
    <w:p w14:paraId="7D929D82" w14:textId="77777777" w:rsidR="00182AD3" w:rsidRPr="00507A31" w:rsidRDefault="00182AD3" w:rsidP="00507A31">
      <w:pPr>
        <w:jc w:val="both"/>
        <w:rPr>
          <w:color w:val="000000" w:themeColor="text1"/>
          <w:sz w:val="16"/>
          <w:szCs w:val="16"/>
        </w:rPr>
      </w:pPr>
      <w:r w:rsidRPr="00507A31">
        <w:rPr>
          <w:color w:val="000000" w:themeColor="text1"/>
          <w:sz w:val="16"/>
          <w:szCs w:val="16"/>
        </w:rPr>
        <w:t>Текстиль. Основным руководителем по этой отрасли являлся инж. А. А. Федотов при ближайшем участии инж. Куприянова. Насколько мне известно, главным работником по льняной промышленности был здесь инж. Нольде; кроме того, непосредственное участие в работах текстильной группы принимал[и] А. А. Лебедев и инж. Лопатин.</w:t>
      </w:r>
    </w:p>
    <w:p w14:paraId="7CB16ED9" w14:textId="77777777" w:rsidR="00182AD3" w:rsidRPr="00507A31" w:rsidRDefault="00182AD3" w:rsidP="00507A31">
      <w:pPr>
        <w:jc w:val="both"/>
        <w:rPr>
          <w:color w:val="000000" w:themeColor="text1"/>
          <w:sz w:val="16"/>
          <w:szCs w:val="16"/>
        </w:rPr>
      </w:pPr>
      <w:r w:rsidRPr="00507A31">
        <w:rPr>
          <w:color w:val="000000" w:themeColor="text1"/>
          <w:sz w:val="16"/>
          <w:szCs w:val="16"/>
        </w:rPr>
        <w:t>Химическая промышленность имела двух сильных руководителей: по Госплану — в лице инж. В. П. Калужкина, а по ВСНХ СССР — в лице инж. В. П. Кравец.</w:t>
      </w:r>
    </w:p>
    <w:p w14:paraId="3DF666F4" w14:textId="77777777" w:rsidR="00182AD3" w:rsidRPr="00507A31" w:rsidRDefault="00182AD3" w:rsidP="00507A31">
      <w:pPr>
        <w:jc w:val="both"/>
        <w:rPr>
          <w:color w:val="000000" w:themeColor="text1"/>
          <w:sz w:val="16"/>
          <w:szCs w:val="16"/>
        </w:rPr>
      </w:pPr>
      <w:r w:rsidRPr="00507A31">
        <w:rPr>
          <w:color w:val="000000" w:themeColor="text1"/>
          <w:sz w:val="16"/>
          <w:szCs w:val="16"/>
        </w:rPr>
        <w:t>Будучи далек по своей специальности от химической промышленности, я могу указать лишь некоторые известные мне направления и группы. А именно, по линии коксо-бензольной промышленности работа Центра велась через посредство инж[енеров] Лохатского, Булгакова и Лебедкина, и сводилась как к задержке темпа развития коксовальных заводов в Донбассе и Кузбассе, в печей разнообразных типов, затрудняющем эксплуатацию, и по линии неправильного использования побочных продуктов коксования.</w:t>
      </w:r>
    </w:p>
    <w:p w14:paraId="30D87CAD" w14:textId="77777777" w:rsidR="00182AD3" w:rsidRPr="00507A31" w:rsidRDefault="00182AD3" w:rsidP="00507A31">
      <w:pPr>
        <w:jc w:val="both"/>
        <w:rPr>
          <w:color w:val="000000" w:themeColor="text1"/>
          <w:sz w:val="16"/>
          <w:szCs w:val="16"/>
        </w:rPr>
      </w:pPr>
      <w:r w:rsidRPr="00507A31">
        <w:rPr>
          <w:color w:val="000000" w:themeColor="text1"/>
          <w:sz w:val="16"/>
          <w:szCs w:val="16"/>
        </w:rPr>
        <w:t>По линии промышленности огнеупорных материалов, и в частности шамотного кирпича, работа производилась через проф. В. С. Швецова. Основные линии сводились здесь не только к задержке развития шамотных заводов при постоянном дефиците шамотного кирпича и необходимости его ввоза из-за границы, но и одновременно по линии ухудшения качества кирпича, благодаря чему кирпич в тоннах стоил гораздо меньше и требовал частой смены. Последнее еще больше обостряло шамотный кризис, вызывая в то же время простой топок и печей под ремонтом. Производство кирпича было поставлено настолько неудовлетворительно, что кирпичи, маркировавшиеся как разные сорта, чисто приготовлялись из одного и того же сырья, а кирпич одного и того же сорта был совершенно неопределенным по своему составу и качествам.</w:t>
      </w:r>
    </w:p>
    <w:p w14:paraId="7C33D11C" w14:textId="77777777" w:rsidR="00182AD3" w:rsidRPr="00507A31" w:rsidRDefault="00182AD3" w:rsidP="00507A31">
      <w:pPr>
        <w:jc w:val="both"/>
        <w:rPr>
          <w:color w:val="000000" w:themeColor="text1"/>
          <w:sz w:val="16"/>
          <w:szCs w:val="16"/>
        </w:rPr>
      </w:pPr>
      <w:r w:rsidRPr="00507A31">
        <w:rPr>
          <w:color w:val="000000" w:themeColor="text1"/>
          <w:sz w:val="16"/>
          <w:szCs w:val="16"/>
        </w:rPr>
        <w:t>Позднее работа части участников химической группы направилась, опираясь на комитет химизации и Москвуголь и Цуторф, по линии газификации топлива, дальнего газоснабжения, сложной и дорогой химической переработки топлива, что шло в соответствии со старой директивой центра — омертвления капиталов путем [вложения] их в дорогое нерентабельное строительство. Все линии усиленно проводились проф. В. С. Швецовым, инж. Гурфинкель, инж. Солодовниковым, инж. Цван- цигером, проф. П. М. Соловьевым. При этом надо отметить, что в этом вопросе уже не имелось единства между отдельными членами организации; как я уже это отмечал в своих предыдущих показаниях, с 1929 г. после разгрома ПП, руководство отраслевыми органами сильно ослабло, часть членов ПП, как, например, я и Ларичев считали необходимым проводить уже рациональные технические линии, другая же часть продолжала оставаться на прежних позициях, к чему их вынуждала и общая обстановка — далеко зашедшая уже агитация в пользу дальнего газоснабжения, стремление сохранить технический авторитет и т. п. ЦК не принимал решительных мер против такой междоусобицы, отчасти вследствие ослабления руководства, а отчасти полагая, что публичные дискуссии членов организации будут лучше способствовать маскировке активных работников организации и ее планов.</w:t>
      </w:r>
    </w:p>
    <w:p w14:paraId="6AEA1E53" w14:textId="77777777" w:rsidR="00182AD3" w:rsidRPr="00507A31" w:rsidRDefault="00182AD3" w:rsidP="00507A31">
      <w:pPr>
        <w:jc w:val="both"/>
        <w:rPr>
          <w:color w:val="000000" w:themeColor="text1"/>
          <w:sz w:val="16"/>
          <w:szCs w:val="16"/>
        </w:rPr>
      </w:pPr>
      <w:r w:rsidRPr="00507A31">
        <w:rPr>
          <w:color w:val="000000" w:themeColor="text1"/>
          <w:sz w:val="16"/>
          <w:szCs w:val="16"/>
        </w:rPr>
        <w:lastRenderedPageBreak/>
        <w:t>Торфяная промышленность руководилась сотрудником Госплана — В. П. Вальяжниковым и одним из наиболее авторитетных членов ИТС торфяной промышленности — инж. В. Д. Кирпичниковым (МОГЭС). Основные линии шли здесь в сторону задержки развития торфодобычи, торможения ее удешевления и, особенно, по линии задержки фрезерного способа добычи торфа, могущего сильно понизить его себестоимость.</w:t>
      </w:r>
    </w:p>
    <w:p w14:paraId="329A396F" w14:textId="77777777" w:rsidR="00182AD3" w:rsidRPr="00507A31" w:rsidRDefault="00182AD3" w:rsidP="00507A31">
      <w:pPr>
        <w:jc w:val="both"/>
        <w:rPr>
          <w:color w:val="000000" w:themeColor="text1"/>
          <w:sz w:val="16"/>
          <w:szCs w:val="16"/>
        </w:rPr>
      </w:pPr>
      <w:r w:rsidRPr="00507A31">
        <w:rPr>
          <w:color w:val="000000" w:themeColor="text1"/>
          <w:sz w:val="16"/>
          <w:szCs w:val="16"/>
        </w:rPr>
        <w:t>Лесная промышленность — руководители В. П. Майер и инж. Квятковский. Подробности здесь могут дать Ларичев и в особенности Калинников.</w:t>
      </w:r>
    </w:p>
    <w:p w14:paraId="619A24B9" w14:textId="77777777" w:rsidR="00182AD3" w:rsidRPr="00507A31" w:rsidRDefault="00182AD3" w:rsidP="00507A31">
      <w:pPr>
        <w:jc w:val="both"/>
        <w:rPr>
          <w:color w:val="000000" w:themeColor="text1"/>
          <w:sz w:val="16"/>
          <w:szCs w:val="16"/>
        </w:rPr>
      </w:pPr>
      <w:r w:rsidRPr="00507A31">
        <w:rPr>
          <w:color w:val="000000" w:themeColor="text1"/>
          <w:sz w:val="16"/>
          <w:szCs w:val="16"/>
        </w:rPr>
        <w:t>Цементная промышленность, насколько мне известно, была связана с ПП через М. М. Погосова, причем работа в области энергетики цементной промышленности, наряду с общей работой по энергетике, велась проф. А. И. Ставровским.</w:t>
      </w:r>
    </w:p>
    <w:p w14:paraId="717FBF65" w14:textId="77777777" w:rsidR="00182AD3" w:rsidRPr="00507A31" w:rsidRDefault="00182AD3" w:rsidP="00507A31">
      <w:pPr>
        <w:jc w:val="both"/>
        <w:rPr>
          <w:color w:val="000000" w:themeColor="text1"/>
          <w:sz w:val="16"/>
          <w:szCs w:val="16"/>
        </w:rPr>
      </w:pPr>
      <w:r w:rsidRPr="00507A31">
        <w:rPr>
          <w:color w:val="000000" w:themeColor="text1"/>
          <w:sz w:val="16"/>
          <w:szCs w:val="16"/>
        </w:rPr>
        <w:t>Экономическая группа держала свою связь с ЦК ПП через Калинникова и Чарновского. В нее были втянуты из ВСНХ СССР Гинзбург, Белоцерковский и Соколовский, с коими я встречался на совещаниях у Ше[и]на С. Д. (в НИС ВСНХ СССР), у Калинникова и Ларичева (в Госплане СССР). Кроме того, на экономические совещания привлекались Громан В. Г., Кафенгауз и группа экономистов из ТКП — Кондратьев, Макаров.</w:t>
      </w:r>
    </w:p>
    <w:p w14:paraId="4CDE7F00" w14:textId="77777777" w:rsidR="00182AD3" w:rsidRPr="00507A31" w:rsidRDefault="00182AD3" w:rsidP="00507A31">
      <w:pPr>
        <w:jc w:val="both"/>
        <w:rPr>
          <w:color w:val="000000" w:themeColor="text1"/>
          <w:sz w:val="16"/>
          <w:szCs w:val="16"/>
        </w:rPr>
      </w:pPr>
      <w:r w:rsidRPr="00507A31">
        <w:rPr>
          <w:color w:val="000000" w:themeColor="text1"/>
          <w:sz w:val="16"/>
          <w:szCs w:val="16"/>
        </w:rPr>
        <w:t>Топливоснабжение. Работой в этой области руководил В. А. Ларичев, опираясь на работников угольной, нефтяной и топливной групп. Кроме того, опорой работы в ПП по топливоснабжению в ВСНХ СССР были Прорвич и Покровский (топливный директорат). По ВСНХ СССР, поскольку мне известно, был втянут в работу ПП инж. Цванцигер, а по Украине — инж. С. Н. Целибелев. Подробности по этому вопросу может дать Ларичев.</w:t>
      </w:r>
    </w:p>
    <w:p w14:paraId="0EBAFFD7" w14:textId="77777777" w:rsidR="00182AD3" w:rsidRPr="00507A31" w:rsidRDefault="00182AD3" w:rsidP="00507A31">
      <w:pPr>
        <w:jc w:val="both"/>
        <w:rPr>
          <w:color w:val="000000" w:themeColor="text1"/>
          <w:sz w:val="16"/>
          <w:szCs w:val="16"/>
        </w:rPr>
      </w:pPr>
      <w:r w:rsidRPr="00507A31">
        <w:rPr>
          <w:color w:val="000000" w:themeColor="text1"/>
          <w:sz w:val="16"/>
          <w:szCs w:val="16"/>
        </w:rPr>
        <w:t>Мелкие отрасли промышленности и общая увязка промышленного плана в целом в соответствии с директивами ПП производилась сначала Рабиновичем и Калинниковым, а после ареста Рабиновича И. А. Калинниковым, как председателем промышленной секции Госплана.</w:t>
      </w:r>
    </w:p>
    <w:p w14:paraId="36F5909B" w14:textId="77777777" w:rsidR="00182AD3" w:rsidRPr="00507A31" w:rsidRDefault="00182AD3" w:rsidP="00507A31">
      <w:pPr>
        <w:jc w:val="both"/>
        <w:rPr>
          <w:color w:val="000000" w:themeColor="text1"/>
          <w:sz w:val="16"/>
          <w:szCs w:val="16"/>
        </w:rPr>
      </w:pPr>
      <w:r w:rsidRPr="00507A31">
        <w:rPr>
          <w:color w:val="000000" w:themeColor="text1"/>
          <w:sz w:val="16"/>
          <w:szCs w:val="16"/>
        </w:rPr>
        <w:t>Н.К.П.С. Как уже я показывал ранее, работа в области транспорта производилась в значительной степени самостоятельно. Основной связью с Инженерным Центром по этой отрасли народного хозяйства служили — по Госплану СССР инж. П. С. Янушевский, а по НКПС —  инж. П. И. Красовский. Кроме указанных лиц, в транспортную отраслевую группу входили И. Н. Борисов, Н. К. Мекк, М. Е. Правосудович, А. Ф. Величко и Шупов.</w:t>
      </w:r>
    </w:p>
    <w:p w14:paraId="05B95850" w14:textId="77777777" w:rsidR="00182AD3" w:rsidRPr="00507A31" w:rsidRDefault="00182AD3" w:rsidP="00507A31">
      <w:pPr>
        <w:jc w:val="both"/>
        <w:rPr>
          <w:color w:val="000000" w:themeColor="text1"/>
          <w:sz w:val="16"/>
          <w:szCs w:val="16"/>
        </w:rPr>
      </w:pPr>
      <w:r w:rsidRPr="00507A31">
        <w:rPr>
          <w:color w:val="000000" w:themeColor="text1"/>
          <w:sz w:val="16"/>
          <w:szCs w:val="16"/>
        </w:rPr>
        <w:t>Профсоюзная связь промпартии с широкими кругами инженеров, объединяемыми через ВМБИТ, а также через ВАИ, Политехническое об-во и т. п., осуществлялась С. Д. Шеиным, Н. Н. Львовым, А. К. Шадриным и А. А. Надежиным. Основная задача сводилась здесь к пропаганде и агитации в инженерных кругах антисоветских настроений, раздувании недовольства арестами, указанием на несправедливость арестов, на пятилетний план уничтожения дореволюционного инженерства и к осторожной вербовке членов промпартии среди широких инженерных масс.</w:t>
      </w:r>
    </w:p>
    <w:p w14:paraId="327DABE9" w14:textId="77777777" w:rsidR="00182AD3" w:rsidRPr="00507A31" w:rsidRDefault="00182AD3" w:rsidP="00507A31">
      <w:pPr>
        <w:jc w:val="both"/>
        <w:rPr>
          <w:color w:val="000000" w:themeColor="text1"/>
          <w:sz w:val="16"/>
          <w:szCs w:val="16"/>
        </w:rPr>
      </w:pPr>
      <w:r w:rsidRPr="00507A31">
        <w:rPr>
          <w:color w:val="000000" w:themeColor="text1"/>
          <w:sz w:val="16"/>
          <w:szCs w:val="16"/>
        </w:rPr>
        <w:t>Через С. Д. Шеина промпартия получила связь и с сетью научно-исследовательских институтов, объединяемых НТУ (или НИС) ВСНХ СССР, в направлении подготовки научно-технической базы под построением промпартии. Одним из ярких примеров является здесь деятельность НАМИ (Научного Авто-Моторного Ин-та), который совершенно затушевал работу в области применения тяжелого топлива для автотранспорта и тракторов и в области применения для них газогенераторных двигателей, направив все внимание на бензиновые моторы и крекинг-бензин, т. е. рука об руку с нефтяной группой промпартии.</w:t>
      </w:r>
    </w:p>
    <w:p w14:paraId="1A38E1FD" w14:textId="77777777" w:rsidR="00182AD3" w:rsidRPr="00507A31" w:rsidRDefault="00182AD3" w:rsidP="00507A31">
      <w:pPr>
        <w:jc w:val="both"/>
        <w:rPr>
          <w:color w:val="000000" w:themeColor="text1"/>
          <w:sz w:val="16"/>
          <w:szCs w:val="16"/>
        </w:rPr>
      </w:pPr>
      <w:r w:rsidRPr="00507A31">
        <w:rPr>
          <w:color w:val="000000" w:themeColor="text1"/>
          <w:sz w:val="16"/>
          <w:szCs w:val="16"/>
        </w:rPr>
        <w:t>Энергетика. Основные направления работы в области энергетики подробно уже указаны мною в предыдущих показаниях. Главные руководители этой работы, на которых опиралась промпартия, были по Госплану СССР — инж. Н. Н. Башков, проф. Горев и П. С. Осадчий, а по ВСНХ СССР — М. Л. Каменецкий, Н. И. Сушкин и Кукель-Краевский.</w:t>
      </w:r>
    </w:p>
    <w:p w14:paraId="1342604F" w14:textId="77777777" w:rsidR="00182AD3" w:rsidRPr="00507A31" w:rsidRDefault="00182AD3" w:rsidP="00507A31">
      <w:pPr>
        <w:jc w:val="both"/>
        <w:rPr>
          <w:color w:val="000000" w:themeColor="text1"/>
          <w:sz w:val="16"/>
          <w:szCs w:val="16"/>
        </w:rPr>
      </w:pPr>
      <w:r w:rsidRPr="00507A31">
        <w:rPr>
          <w:color w:val="000000" w:themeColor="text1"/>
          <w:sz w:val="16"/>
          <w:szCs w:val="16"/>
        </w:rPr>
        <w:t>Основные линии и директивы ЦК ПП неоднократно обсуждались мною с различными участниками энергетической группы. Проведение же их в жизнь обеспечивалось тем, что основные органы в области электрификации — секция электрификации Госплана СССР, ЦЭС, Электроплан, Энергострой, а след&lt;овательно&gt; и Главэлектро находились в руках промпартии. Так, на заседаниях ЦЭС при рассмотрении и утверждении проектов электростанций, члены промпартии пропускали ошибки или умышленные дефекты проектов, не опротестовывая их, поскольку они отвечали основным директивам ЦК ПП. Проведение этих директив в первичных проектных и строительных инстанциях достигалось через участвующих в них членов ПП. Так, например, по МОГЭСу ПП действовал[а] через инж. Кирпичникова, В. Д. Яновицкого, Крылова и Савелова. По ленинградским станциям — через инж. Котомина, проф. М. В. Кирпичева и проф. В. Н. Шретера; пользуясь их влиянием в ленинградских инженерных кругах проф. М. В. Кирпичев, как консультант Энергостроя и член ЦЭСа оказывал свою деятельную помощь и в этих организациях.</w:t>
      </w:r>
    </w:p>
    <w:p w14:paraId="74756F6B" w14:textId="77777777" w:rsidR="00182AD3" w:rsidRPr="00507A31" w:rsidRDefault="00182AD3" w:rsidP="00507A31">
      <w:pPr>
        <w:jc w:val="both"/>
        <w:rPr>
          <w:color w:val="000000" w:themeColor="text1"/>
          <w:sz w:val="16"/>
          <w:szCs w:val="16"/>
        </w:rPr>
      </w:pPr>
      <w:r w:rsidRPr="00507A31">
        <w:rPr>
          <w:color w:val="000000" w:themeColor="text1"/>
          <w:sz w:val="16"/>
          <w:szCs w:val="16"/>
        </w:rPr>
        <w:t>В области энергетики транспорта работа проводилась через Н. Ф. Лаврова и А. Беседовского, которые согласовывали через меня основные линии работы.</w:t>
      </w:r>
    </w:p>
    <w:p w14:paraId="584048F7" w14:textId="77777777" w:rsidR="00182AD3" w:rsidRPr="00507A31" w:rsidRDefault="00182AD3" w:rsidP="00507A31">
      <w:pPr>
        <w:jc w:val="both"/>
        <w:rPr>
          <w:color w:val="000000" w:themeColor="text1"/>
          <w:sz w:val="16"/>
          <w:szCs w:val="16"/>
        </w:rPr>
      </w:pPr>
      <w:r w:rsidRPr="00507A31">
        <w:rPr>
          <w:color w:val="000000" w:themeColor="text1"/>
          <w:sz w:val="16"/>
          <w:szCs w:val="16"/>
        </w:rPr>
        <w:t>О связи с французским посольством.</w:t>
      </w:r>
    </w:p>
    <w:p w14:paraId="353C178E" w14:textId="77777777" w:rsidR="00182AD3" w:rsidRPr="00507A31" w:rsidRDefault="00182AD3" w:rsidP="00507A31">
      <w:pPr>
        <w:jc w:val="both"/>
        <w:rPr>
          <w:color w:val="000000" w:themeColor="text1"/>
          <w:sz w:val="16"/>
          <w:szCs w:val="16"/>
        </w:rPr>
      </w:pPr>
      <w:r w:rsidRPr="00507A31">
        <w:rPr>
          <w:color w:val="000000" w:themeColor="text1"/>
          <w:sz w:val="16"/>
          <w:szCs w:val="16"/>
        </w:rPr>
        <w:t>На совещании с Торгпромом в Париже в 1928 г. мне было указано, что в курсе перевода денежных сумм будет, кажется, секретарь французского посольства в Москве, г. Реньо и г. Кюфер. Кроме того, из разговоров с Пальчинским и Хренниковым я слышал еще фамилию Кофот, через которого последние, насколько я понял, также осуществляли свои связи с заграницей, но какими путями мне неизвестно.</w:t>
      </w:r>
    </w:p>
    <w:p w14:paraId="5D6064AC" w14:textId="77777777" w:rsidR="00182AD3" w:rsidRPr="00507A31" w:rsidRDefault="00182AD3" w:rsidP="00507A31">
      <w:pPr>
        <w:jc w:val="both"/>
        <w:rPr>
          <w:color w:val="000000" w:themeColor="text1"/>
          <w:sz w:val="16"/>
          <w:szCs w:val="16"/>
        </w:rPr>
      </w:pPr>
      <w:r w:rsidRPr="00507A31">
        <w:rPr>
          <w:color w:val="000000" w:themeColor="text1"/>
          <w:sz w:val="16"/>
          <w:szCs w:val="16"/>
        </w:rPr>
        <w:t>О работе в промпартии С. Д, Шеина.</w:t>
      </w:r>
    </w:p>
    <w:p w14:paraId="5602FC44" w14:textId="77777777" w:rsidR="00182AD3" w:rsidRPr="00507A31" w:rsidRDefault="00182AD3" w:rsidP="00507A31">
      <w:pPr>
        <w:jc w:val="both"/>
        <w:rPr>
          <w:color w:val="000000" w:themeColor="text1"/>
          <w:sz w:val="16"/>
          <w:szCs w:val="16"/>
        </w:rPr>
      </w:pPr>
      <w:r w:rsidRPr="00507A31">
        <w:rPr>
          <w:color w:val="000000" w:themeColor="text1"/>
          <w:sz w:val="16"/>
          <w:szCs w:val="16"/>
        </w:rPr>
        <w:t>Участие С. Д. Шеина в работе промпартии шло по линиям — профсоюзной и по линии научно-исследовательских институтов.</w:t>
      </w:r>
    </w:p>
    <w:p w14:paraId="4B94981E" w14:textId="77777777" w:rsidR="00182AD3" w:rsidRPr="00507A31" w:rsidRDefault="00182AD3" w:rsidP="00507A31">
      <w:pPr>
        <w:jc w:val="both"/>
        <w:rPr>
          <w:color w:val="000000" w:themeColor="text1"/>
          <w:sz w:val="16"/>
          <w:szCs w:val="16"/>
        </w:rPr>
      </w:pPr>
      <w:r w:rsidRPr="00507A31">
        <w:rPr>
          <w:color w:val="000000" w:themeColor="text1"/>
          <w:sz w:val="16"/>
          <w:szCs w:val="16"/>
        </w:rPr>
        <w:t>По первому вопросу я могу указать на мои разговоры с С. Д. Шеиным в его кабинете в НТУ ВСНХ СССР, в которых я и С. Д. Шеин обсуждали основные направления антисоветской агитации, изложенные выше.</w:t>
      </w:r>
    </w:p>
    <w:p w14:paraId="1E9C8174" w14:textId="77777777" w:rsidR="00182AD3" w:rsidRPr="00507A31" w:rsidRDefault="00182AD3" w:rsidP="00507A31">
      <w:pPr>
        <w:jc w:val="both"/>
        <w:rPr>
          <w:color w:val="000000" w:themeColor="text1"/>
          <w:sz w:val="16"/>
          <w:szCs w:val="16"/>
        </w:rPr>
      </w:pPr>
      <w:r w:rsidRPr="00507A31">
        <w:rPr>
          <w:color w:val="000000" w:themeColor="text1"/>
          <w:sz w:val="16"/>
          <w:szCs w:val="16"/>
        </w:rPr>
        <w:t>Далее, на совещании 1929 г. с экономистами в кабинете Шеина, в присутствии Рамзина и Чарновского, Шеин сообщал о настроениях в инженерных кругах, благоприятных для деятельности промпартии, и считал возможным рассчитывать в ближайшее время на усиленный приток членов партии.</w:t>
      </w:r>
    </w:p>
    <w:p w14:paraId="751F0EB6" w14:textId="77777777" w:rsidR="00182AD3" w:rsidRPr="00507A31" w:rsidRDefault="00182AD3" w:rsidP="00507A31">
      <w:pPr>
        <w:jc w:val="both"/>
        <w:rPr>
          <w:color w:val="000000" w:themeColor="text1"/>
          <w:sz w:val="16"/>
          <w:szCs w:val="16"/>
        </w:rPr>
      </w:pPr>
      <w:r w:rsidRPr="00507A31">
        <w:rPr>
          <w:color w:val="000000" w:themeColor="text1"/>
          <w:sz w:val="16"/>
          <w:szCs w:val="16"/>
        </w:rPr>
        <w:t>Наконец, я могу указать еще на одно совещание в кабинете С. Д. Шеина в составе Шеин, Чарновский и Рамзин, на котором был поставлен вопрос о подготовке научно-технической базы под построения промпартии, путем соответствующего направления работы научно-исследовательских институтов. Причем Шеин взял на себя выполнение этой задачи путем соответствующего планирования деятельности научно-исследовательских институтов и финансирования их работ.</w:t>
      </w:r>
    </w:p>
    <w:p w14:paraId="43845893" w14:textId="77777777" w:rsidR="00182AD3" w:rsidRPr="00507A31" w:rsidRDefault="00182AD3" w:rsidP="00507A31">
      <w:pPr>
        <w:jc w:val="both"/>
        <w:rPr>
          <w:color w:val="000000" w:themeColor="text1"/>
          <w:sz w:val="16"/>
          <w:szCs w:val="16"/>
        </w:rPr>
      </w:pPr>
      <w:r w:rsidRPr="00507A31">
        <w:rPr>
          <w:color w:val="000000" w:themeColor="text1"/>
          <w:sz w:val="16"/>
          <w:szCs w:val="16"/>
        </w:rPr>
        <w:t>О работе в промпартии П. С. Осадчего.</w:t>
      </w:r>
    </w:p>
    <w:p w14:paraId="4746CE01" w14:textId="77777777" w:rsidR="00182AD3" w:rsidRPr="00507A31" w:rsidRDefault="00182AD3" w:rsidP="00507A31">
      <w:pPr>
        <w:jc w:val="both"/>
        <w:rPr>
          <w:color w:val="000000" w:themeColor="text1"/>
          <w:sz w:val="16"/>
          <w:szCs w:val="16"/>
        </w:rPr>
      </w:pPr>
      <w:r w:rsidRPr="00507A31">
        <w:rPr>
          <w:color w:val="000000" w:themeColor="text1"/>
          <w:sz w:val="16"/>
          <w:szCs w:val="16"/>
        </w:rPr>
        <w:t>От работников по энергетической отрасли мне было известно, что зам. пред. Госплана СССР — Петр Семенович Осадчий не только сочувственно относится к программе и деятельности промпартии, но и оказывает ей активную помощь по линии Госплана СССР и ЦЭСа, где П. С. Осадчий был председателем. Поэтому, считая помощь П. С. Осадчего, как зам. пред. Госплана СССР, особенно важной, я имел с ним два раза переговоры в его кабинете в Госплане СССР в конце 1928 г., в начале 1929 г.</w:t>
      </w:r>
    </w:p>
    <w:p w14:paraId="0259C499" w14:textId="77777777" w:rsidR="00182AD3" w:rsidRPr="00507A31" w:rsidRDefault="00182AD3" w:rsidP="00507A31">
      <w:pPr>
        <w:jc w:val="both"/>
        <w:rPr>
          <w:color w:val="000000" w:themeColor="text1"/>
          <w:sz w:val="16"/>
          <w:szCs w:val="16"/>
        </w:rPr>
      </w:pPr>
      <w:r w:rsidRPr="00507A31">
        <w:rPr>
          <w:color w:val="000000" w:themeColor="text1"/>
          <w:sz w:val="16"/>
          <w:szCs w:val="16"/>
        </w:rPr>
        <w:t>В этих разговорах, из коих один происходил, кажется, в присутствии Ларичева, я сформулировал основные установки ЦК промпартии, которые уже были известны П. С. Осадчему. В результате переговоров П. С. Осадчий обещал активную помощь по проведению в жизнь директив ЦК промпартии, но указал на необходимость крайней осторожности, особенно по отношению к нему лично, ввиду занимаемого им положения.</w:t>
      </w:r>
    </w:p>
    <w:p w14:paraId="48D7D8F4" w14:textId="77777777" w:rsidR="00182AD3" w:rsidRPr="00507A31" w:rsidRDefault="00182AD3" w:rsidP="00507A31">
      <w:pPr>
        <w:jc w:val="both"/>
        <w:rPr>
          <w:color w:val="000000" w:themeColor="text1"/>
          <w:sz w:val="16"/>
          <w:szCs w:val="16"/>
        </w:rPr>
      </w:pPr>
      <w:r w:rsidRPr="00507A31">
        <w:rPr>
          <w:color w:val="000000" w:themeColor="text1"/>
          <w:sz w:val="16"/>
          <w:szCs w:val="16"/>
        </w:rPr>
        <w:t>Ближайшая связь с П. С. Осадчим осуществлялась работниками Госплана СССР, которые и смогут дать более подробные по этому вопросу показания.</w:t>
      </w:r>
    </w:p>
    <w:p w14:paraId="1BAAEB67" w14:textId="77777777" w:rsidR="00182AD3" w:rsidRPr="00507A31" w:rsidRDefault="00182AD3" w:rsidP="00507A31">
      <w:pPr>
        <w:jc w:val="both"/>
        <w:rPr>
          <w:color w:val="000000" w:themeColor="text1"/>
          <w:sz w:val="16"/>
          <w:szCs w:val="16"/>
        </w:rPr>
      </w:pPr>
      <w:r w:rsidRPr="00507A31">
        <w:rPr>
          <w:color w:val="000000" w:themeColor="text1"/>
          <w:sz w:val="16"/>
          <w:szCs w:val="16"/>
        </w:rPr>
        <w:t>О военных связях.</w:t>
      </w:r>
    </w:p>
    <w:p w14:paraId="071581F9" w14:textId="77777777" w:rsidR="00182AD3" w:rsidRPr="00507A31" w:rsidRDefault="00182AD3" w:rsidP="00507A31">
      <w:pPr>
        <w:jc w:val="both"/>
        <w:rPr>
          <w:color w:val="000000" w:themeColor="text1"/>
          <w:sz w:val="16"/>
          <w:szCs w:val="16"/>
        </w:rPr>
      </w:pPr>
      <w:r w:rsidRPr="00507A31">
        <w:rPr>
          <w:color w:val="000000" w:themeColor="text1"/>
          <w:sz w:val="16"/>
          <w:szCs w:val="16"/>
        </w:rPr>
        <w:t>Связь по военной линии осуществлялась непосредственно П. А. Паль- чинским. Никаких сообщений на совещаниях Центра о работе по военной линии и ее результатах при мне Пальчинский не делал. Могу лишь указать на один мой разговор с Пальчинским, когда последний указал, что он пытается завязать связи с главным штабом и Реввоенсоветом Республики.</w:t>
      </w:r>
    </w:p>
    <w:p w14:paraId="5F27DFBB" w14:textId="77777777" w:rsidR="00182AD3" w:rsidRPr="00507A31" w:rsidRDefault="00182AD3" w:rsidP="00507A31">
      <w:pPr>
        <w:jc w:val="both"/>
        <w:rPr>
          <w:color w:val="000000" w:themeColor="text1"/>
          <w:sz w:val="16"/>
          <w:szCs w:val="16"/>
        </w:rPr>
      </w:pPr>
      <w:r w:rsidRPr="00507A31">
        <w:rPr>
          <w:color w:val="000000" w:themeColor="text1"/>
          <w:sz w:val="16"/>
          <w:szCs w:val="16"/>
        </w:rPr>
        <w:t>При этом мне вспоминается фамилия генерала или полковника Лихарева; однако, я не знаю[,] была ли уже завязана связь с последним, или же Пальчинский только собирался сделать попытку к ее установлению.</w:t>
      </w:r>
    </w:p>
    <w:p w14:paraId="17BF0491" w14:textId="77777777" w:rsidR="00182AD3" w:rsidRPr="00507A31" w:rsidRDefault="00182AD3" w:rsidP="00507A31">
      <w:pPr>
        <w:jc w:val="both"/>
        <w:rPr>
          <w:color w:val="000000" w:themeColor="text1"/>
          <w:sz w:val="16"/>
          <w:szCs w:val="16"/>
        </w:rPr>
      </w:pPr>
      <w:r w:rsidRPr="00507A31">
        <w:rPr>
          <w:color w:val="000000" w:themeColor="text1"/>
          <w:sz w:val="16"/>
          <w:szCs w:val="16"/>
        </w:rPr>
        <w:t>4. Сокрытие вредительства.</w:t>
      </w:r>
    </w:p>
    <w:p w14:paraId="161EFD47" w14:textId="77777777" w:rsidR="00182AD3" w:rsidRPr="00507A31" w:rsidRDefault="00182AD3" w:rsidP="00507A31">
      <w:pPr>
        <w:jc w:val="both"/>
        <w:rPr>
          <w:color w:val="000000" w:themeColor="text1"/>
          <w:sz w:val="16"/>
          <w:szCs w:val="16"/>
        </w:rPr>
      </w:pPr>
      <w:r w:rsidRPr="00507A31">
        <w:rPr>
          <w:color w:val="000000" w:themeColor="text1"/>
          <w:sz w:val="16"/>
          <w:szCs w:val="16"/>
        </w:rPr>
        <w:t>Совершенно естественно, что в целях облегчения проведения вредительской работы и уменьшения ее риска, члены Промпартии вели усиленную агитацию как в инженерно-технических, так и в хозяйственных и правительственных кругах, всячески доказывая отсутствие вредительства.</w:t>
      </w:r>
    </w:p>
    <w:p w14:paraId="3DE75506" w14:textId="77777777" w:rsidR="00182AD3" w:rsidRPr="00507A31" w:rsidRDefault="00182AD3" w:rsidP="00507A31">
      <w:pPr>
        <w:jc w:val="both"/>
        <w:rPr>
          <w:color w:val="000000" w:themeColor="text1"/>
          <w:sz w:val="16"/>
          <w:szCs w:val="16"/>
        </w:rPr>
      </w:pPr>
      <w:r w:rsidRPr="00507A31">
        <w:rPr>
          <w:color w:val="000000" w:themeColor="text1"/>
          <w:sz w:val="16"/>
          <w:szCs w:val="16"/>
        </w:rPr>
        <w:t>После оставления тактики прямого технического вредительства, более легко обнаруживаемого, и перехода главным образом к плановому вредительству, раскрытие последнего, особенно при наличии идейного контакта с правыми коммунистами и крайне благоприятного отношения их к руководящим работникам Промпартии, было сильно затруднено.</w:t>
      </w:r>
    </w:p>
    <w:p w14:paraId="6EB5A4EA" w14:textId="77777777" w:rsidR="00182AD3" w:rsidRPr="00507A31" w:rsidRDefault="00182AD3" w:rsidP="00507A31">
      <w:pPr>
        <w:jc w:val="both"/>
        <w:rPr>
          <w:color w:val="000000" w:themeColor="text1"/>
          <w:sz w:val="16"/>
          <w:szCs w:val="16"/>
        </w:rPr>
      </w:pPr>
      <w:r w:rsidRPr="00507A31">
        <w:rPr>
          <w:color w:val="000000" w:themeColor="text1"/>
          <w:sz w:val="16"/>
          <w:szCs w:val="16"/>
        </w:rPr>
        <w:t>Прежде всего, члены промпартии в своих разговорах с руководящими, особенно правыми коммунистами (напр., мой разговор с Н. И. БУХАРИНЫМ о шахтинском вредительстве), усиленно доказывали им, что отдельные факты нельзя приписать вредительству, а надо объяснять техническими ошибками, неизбежными в &lt;любом&gt; деле или даже доказывали полную целесообразность сделанного.</w:t>
      </w:r>
    </w:p>
    <w:p w14:paraId="498487C3" w14:textId="77777777" w:rsidR="00182AD3" w:rsidRPr="00507A31" w:rsidRDefault="00182AD3" w:rsidP="00507A31">
      <w:pPr>
        <w:jc w:val="both"/>
        <w:rPr>
          <w:color w:val="000000" w:themeColor="text1"/>
          <w:sz w:val="16"/>
          <w:szCs w:val="16"/>
        </w:rPr>
      </w:pPr>
      <w:r w:rsidRPr="00507A31">
        <w:rPr>
          <w:color w:val="000000" w:themeColor="text1"/>
          <w:sz w:val="16"/>
          <w:szCs w:val="16"/>
        </w:rPr>
        <w:t>Указания ОГПУ отдельным хозяйственникам на обнаруженные факты вредительского или подозрительного характера обычно передавались хозяйственниками на отзыв и экспертизу своим инженерам, которые или состояли членами Промпартии и потому покрывали вредителей, или же Делали тоже самое из чувства корпоративной «этики». Таким образом, создавался заколдованный круг, препятствующий обнаружению вредительства, так как экспертами по вредительским действиям Промпартии являлись обычно ее же члены.</w:t>
      </w:r>
    </w:p>
    <w:p w14:paraId="7C592D43" w14:textId="77777777" w:rsidR="00182AD3" w:rsidRPr="00507A31" w:rsidRDefault="00182AD3" w:rsidP="00507A31">
      <w:pPr>
        <w:jc w:val="both"/>
        <w:rPr>
          <w:color w:val="000000" w:themeColor="text1"/>
          <w:sz w:val="16"/>
          <w:szCs w:val="16"/>
        </w:rPr>
      </w:pPr>
      <w:r w:rsidRPr="00507A31">
        <w:rPr>
          <w:color w:val="000000" w:themeColor="text1"/>
          <w:sz w:val="16"/>
          <w:szCs w:val="16"/>
        </w:rPr>
        <w:t>Многочисленные примеры в этом отношении могут быть члены Промпартии, ведшие оперативную работу в госучреждениях и предприятиях, и в особенности в научно-технических советах, разных отраслей промышленности.</w:t>
      </w:r>
    </w:p>
    <w:p w14:paraId="042A52FD" w14:textId="77777777" w:rsidR="00182AD3" w:rsidRPr="00507A31" w:rsidRDefault="00182AD3" w:rsidP="00507A31">
      <w:pPr>
        <w:jc w:val="both"/>
        <w:rPr>
          <w:color w:val="000000" w:themeColor="text1"/>
          <w:sz w:val="16"/>
          <w:szCs w:val="16"/>
        </w:rPr>
      </w:pPr>
      <w:r w:rsidRPr="00507A31">
        <w:rPr>
          <w:color w:val="000000" w:themeColor="text1"/>
          <w:sz w:val="16"/>
          <w:szCs w:val="16"/>
        </w:rPr>
        <w:t>Ниже перечисляю ряд примеров, которые я мог вспомнить.</w:t>
      </w:r>
    </w:p>
    <w:p w14:paraId="66BE59E6" w14:textId="77777777" w:rsidR="00182AD3" w:rsidRPr="00507A31" w:rsidRDefault="00182AD3" w:rsidP="00507A31">
      <w:pPr>
        <w:jc w:val="both"/>
        <w:rPr>
          <w:color w:val="000000" w:themeColor="text1"/>
          <w:sz w:val="16"/>
          <w:szCs w:val="16"/>
        </w:rPr>
      </w:pPr>
      <w:r w:rsidRPr="00507A31">
        <w:rPr>
          <w:color w:val="000000" w:themeColor="text1"/>
          <w:sz w:val="16"/>
          <w:szCs w:val="16"/>
        </w:rPr>
        <w:t>1. Одним из обвинений во вредительстве на Шахтинском процессе было обвинение в умышленном дроблении антрацитовой плиты (АП), что понижало суммарную ценность всего добытого антрацита. При продаже главной массы АП на частный рынок, для домового потребления, совершенно ясно, что умышленное уничтожение АП понижало доход государства. Дробление АП является рациональным лишь в том случае, если оно получается неизбежным результатом механизации и удешевления всей добычи, чего на деле в Шахтинском процессе не было. Между тем для оправдания дробления АП Топсекция Госплана приняла именно эту последнюю точку зрения, отстаивая на основе произведенных мною с Терпигоревым подсчетов целесообразности дробления.</w:t>
      </w:r>
    </w:p>
    <w:p w14:paraId="2F8BA9EB" w14:textId="77777777" w:rsidR="00182AD3" w:rsidRPr="00507A31" w:rsidRDefault="00182AD3" w:rsidP="00507A31">
      <w:pPr>
        <w:jc w:val="both"/>
        <w:rPr>
          <w:color w:val="000000" w:themeColor="text1"/>
          <w:sz w:val="16"/>
          <w:szCs w:val="16"/>
        </w:rPr>
      </w:pPr>
      <w:r w:rsidRPr="00507A31">
        <w:rPr>
          <w:color w:val="000000" w:themeColor="text1"/>
          <w:sz w:val="16"/>
          <w:szCs w:val="16"/>
        </w:rPr>
        <w:lastRenderedPageBreak/>
        <w:t>2. Ряд фабрик Центробумтреста (Окуловка, Сокол, Балария) был оборудован новыми котельными для сжигания дров в виде щепы по способу, проработанному Теплотехническим Институтом. Хотя при опытной разработке этого способа были выяснены нужные большие объемы топок, Центробумтрестом топки были выполнены со значительно, примерно в 1 раза меньшими размерами. Благодаря этому была сильно понижена мощность котлов, их экономичность, и получился унос мелких угольков, портящий товар (бумагу). Когда, после обнаружения вредительства в Центробумтресте, последний обратился в Теплотехнический Институт, я не вскрыл наличия вредительства, посоветовав сделать для исправления дела некоторые специальные приспособления (вдувание вторичного воздуха), что улучшило процесс сжигания и уменьшило унос.</w:t>
      </w:r>
    </w:p>
    <w:p w14:paraId="1C025C4A" w14:textId="77777777" w:rsidR="00182AD3" w:rsidRPr="00507A31" w:rsidRDefault="00182AD3" w:rsidP="00507A31">
      <w:pPr>
        <w:jc w:val="both"/>
        <w:rPr>
          <w:color w:val="000000" w:themeColor="text1"/>
          <w:sz w:val="16"/>
          <w:szCs w:val="16"/>
        </w:rPr>
      </w:pPr>
      <w:r w:rsidRPr="00507A31">
        <w:rPr>
          <w:color w:val="000000" w:themeColor="text1"/>
          <w:sz w:val="16"/>
          <w:szCs w:val="16"/>
        </w:rPr>
        <w:t>3. При постройке тех же фабрик Центробумтреста проф. М. В. КИРПИЧЕВ, зна[я] из опытов Теплотехнического Института о необходимости устройства свода в топке, вредительский дал совет под предлогом удешевления топок, построить их без задних сводов. После постройки котельной оказалось, что топки без свода дают значительно худшие результаты по экономичности. Когда на фабрике был поднят шум по этому вопросу, я дал уклончивое письменное заключение, не вскрыв факты вредительства.</w:t>
      </w:r>
    </w:p>
    <w:p w14:paraId="219B340A" w14:textId="77777777" w:rsidR="00182AD3" w:rsidRPr="00507A31" w:rsidRDefault="00182AD3" w:rsidP="00507A31">
      <w:pPr>
        <w:jc w:val="both"/>
        <w:rPr>
          <w:color w:val="000000" w:themeColor="text1"/>
          <w:sz w:val="16"/>
          <w:szCs w:val="16"/>
        </w:rPr>
      </w:pPr>
      <w:r w:rsidRPr="00507A31">
        <w:rPr>
          <w:color w:val="000000" w:themeColor="text1"/>
          <w:sz w:val="16"/>
          <w:szCs w:val="16"/>
        </w:rPr>
        <w:t>4. Согласно директивам Промпартии, проводившимся в жизнь по металлургической промышленности через Хренникова, Чарновского и др., котельным заводам умышленно давалось листовое железо плохого качества и упорно готовил короткие капитальные трубы не более 6 м., последние сильно удорожили котлы. Между тем, по сообщению А. Ю. Винблад[а], напр., Ленинградский металлический] завод для сокрытия вредительства принимал такое железо, отбраковывая иногда 40% и не принимал решительных мер, кроме бумажных отписок.</w:t>
      </w:r>
    </w:p>
    <w:p w14:paraId="5A281D1A" w14:textId="77777777" w:rsidR="00182AD3" w:rsidRPr="00507A31" w:rsidRDefault="00182AD3" w:rsidP="00507A31">
      <w:pPr>
        <w:jc w:val="both"/>
        <w:rPr>
          <w:color w:val="000000" w:themeColor="text1"/>
          <w:sz w:val="16"/>
          <w:szCs w:val="16"/>
        </w:rPr>
      </w:pPr>
      <w:r w:rsidRPr="00507A31">
        <w:rPr>
          <w:color w:val="000000" w:themeColor="text1"/>
          <w:sz w:val="16"/>
          <w:szCs w:val="16"/>
        </w:rPr>
        <w:t>5. Для обеспечения одного из важнейших пунктов Химугля энергией вместо создания надежной станции были закуплены в Вене старые электрические станции, с изношенным, устаревшим оборудованием, непригодными по мощности цепными топками, благодаря чему трест должен был испытывать большие затруднения с энергией. При консультации со мною этого вопроса я не вскрыл факта вредительства, а указал лишь ряд мероприятий, могущих несколько облегчить положение.</w:t>
      </w:r>
    </w:p>
    <w:p w14:paraId="4FF1547F" w14:textId="77777777" w:rsidR="00182AD3" w:rsidRPr="00507A31" w:rsidRDefault="00182AD3" w:rsidP="00507A31">
      <w:pPr>
        <w:jc w:val="both"/>
        <w:rPr>
          <w:color w:val="000000" w:themeColor="text1"/>
          <w:sz w:val="16"/>
          <w:szCs w:val="16"/>
        </w:rPr>
      </w:pPr>
      <w:r w:rsidRPr="00507A31">
        <w:rPr>
          <w:color w:val="000000" w:themeColor="text1"/>
          <w:sz w:val="16"/>
          <w:szCs w:val="16"/>
        </w:rPr>
        <w:t>6. На заводах авиатреста в Мытищах и в других предприятиях инж. С. Е. ВЕЙЦМАН, связанный с Промпартией, проводил сушилки для дуба сист[емы] Томсона, дававшего совершенно невыполнимые гарантии сушки толстых дубовых брусков в 3-5 дней.</w:t>
      </w:r>
    </w:p>
    <w:p w14:paraId="7843751C" w14:textId="77777777" w:rsidR="00182AD3" w:rsidRPr="00507A31" w:rsidRDefault="00182AD3" w:rsidP="00507A31">
      <w:pPr>
        <w:jc w:val="both"/>
        <w:rPr>
          <w:color w:val="000000" w:themeColor="text1"/>
          <w:sz w:val="16"/>
          <w:szCs w:val="16"/>
        </w:rPr>
      </w:pPr>
      <w:r w:rsidRPr="00507A31">
        <w:rPr>
          <w:color w:val="000000" w:themeColor="text1"/>
          <w:sz w:val="16"/>
          <w:szCs w:val="16"/>
        </w:rPr>
        <w:t>Я указывал для формы на неосуществимость и сомнительность сушки, тем не менее не принял решительных мер для вскрытия вредительства.</w:t>
      </w:r>
    </w:p>
    <w:p w14:paraId="4EF09F5E" w14:textId="77777777" w:rsidR="00182AD3" w:rsidRPr="00507A31" w:rsidRDefault="00182AD3" w:rsidP="00507A31">
      <w:pPr>
        <w:jc w:val="both"/>
        <w:rPr>
          <w:color w:val="000000" w:themeColor="text1"/>
          <w:sz w:val="16"/>
          <w:szCs w:val="16"/>
        </w:rPr>
      </w:pPr>
      <w:r w:rsidRPr="00507A31">
        <w:rPr>
          <w:color w:val="000000" w:themeColor="text1"/>
          <w:sz w:val="16"/>
          <w:szCs w:val="16"/>
        </w:rPr>
        <w:t>7. Фабрика Ленбумтреста на Голодаевом острове была оборудована котлами неправильной системы, которые сильно разъедались в задних пучках и не могли правильно и надежно работать, из-за чего фабрика долгое время не могла наладить эксплоатацию. Зная, что в деле создания котельной принимали участие члены Промпартии проф. М. В. КИРПИЧЕВ и проф. В. Н. ШРЕТЕР, я и здесь не вскрыл вредительства, дал лишь совет, как можно исправить положение.</w:t>
      </w:r>
    </w:p>
    <w:p w14:paraId="001EBE15" w14:textId="77777777" w:rsidR="00182AD3" w:rsidRPr="00507A31" w:rsidRDefault="00182AD3" w:rsidP="00507A31">
      <w:pPr>
        <w:jc w:val="both"/>
        <w:rPr>
          <w:color w:val="000000" w:themeColor="text1"/>
          <w:sz w:val="16"/>
          <w:szCs w:val="16"/>
        </w:rPr>
      </w:pPr>
      <w:r w:rsidRPr="00507A31">
        <w:rPr>
          <w:color w:val="000000" w:themeColor="text1"/>
          <w:sz w:val="16"/>
          <w:szCs w:val="16"/>
        </w:rPr>
        <w:t>8. Главэлектр[о], через деятелей Промпартии М. Л. Каменецкого, Н. И. Сушкина &lt;из&gt; МОГЭСа и др. был проведен во Франции крупный заказ на угольные мельницы Резолютор, совершенно непригодные для подмосковного угля, антрацита и твердых углей вообще. Так, при установке на Каширской станции эти мельницы требовали ремонта через каждые 100-200 часов, вместо нормальных 1000-1500 часов работы.</w:t>
      </w:r>
    </w:p>
    <w:p w14:paraId="366ED271" w14:textId="77777777" w:rsidR="00182AD3" w:rsidRPr="00507A31" w:rsidRDefault="00182AD3" w:rsidP="00507A31">
      <w:pPr>
        <w:jc w:val="both"/>
        <w:rPr>
          <w:color w:val="000000" w:themeColor="text1"/>
          <w:sz w:val="16"/>
          <w:szCs w:val="16"/>
        </w:rPr>
      </w:pPr>
      <w:r w:rsidRPr="00507A31">
        <w:rPr>
          <w:color w:val="000000" w:themeColor="text1"/>
          <w:sz w:val="16"/>
          <w:szCs w:val="16"/>
        </w:rPr>
        <w:t>На Штеровской станции эти мельницы также не смогли работать. Непригодны они и для Лисичанского влажного [угля]. Благодаря этому значительная часть купленных мельниц не могла быть рационально использована.</w:t>
      </w:r>
    </w:p>
    <w:p w14:paraId="548C1656" w14:textId="77777777" w:rsidR="00182AD3" w:rsidRPr="00507A31" w:rsidRDefault="00182AD3" w:rsidP="00507A31">
      <w:pPr>
        <w:jc w:val="both"/>
        <w:rPr>
          <w:color w:val="000000" w:themeColor="text1"/>
          <w:sz w:val="16"/>
          <w:szCs w:val="16"/>
        </w:rPr>
      </w:pPr>
      <w:r w:rsidRPr="00507A31">
        <w:rPr>
          <w:color w:val="000000" w:themeColor="text1"/>
          <w:sz w:val="16"/>
          <w:szCs w:val="16"/>
        </w:rPr>
        <w:t>Однако, при неоднократных обсуждениях вопроса в Главэлектр[о], в ЦЭСе и др. местах никто не вскрыл этого факта вредительства.</w:t>
      </w:r>
    </w:p>
    <w:p w14:paraId="1D41CEF1" w14:textId="77777777" w:rsidR="00182AD3" w:rsidRPr="00507A31" w:rsidRDefault="00182AD3" w:rsidP="00507A31">
      <w:pPr>
        <w:jc w:val="both"/>
        <w:rPr>
          <w:color w:val="000000" w:themeColor="text1"/>
          <w:sz w:val="16"/>
          <w:szCs w:val="16"/>
        </w:rPr>
      </w:pPr>
      <w:r w:rsidRPr="00507A31">
        <w:rPr>
          <w:color w:val="000000" w:themeColor="text1"/>
          <w:sz w:val="16"/>
          <w:szCs w:val="16"/>
        </w:rPr>
        <w:t>9. Для приобретения собственного опыта со сжиганием угольного порошка по рекомендации члена промпартии проф. М. В. КИРПИЧЕВА в Ленинграде на 1-й станции Электротопа была установлена одна из худших мельниц — РЕМА, которая была причиною сильного взрыва в Германии на Электрической станции Белен, и которую Ленинградская станция в течение долгого времени не могла даже запустить в работу. Благодаря этому вопрос изучения сжигания порошка в Ленинграде</w:t>
      </w:r>
    </w:p>
    <w:p w14:paraId="00ACA409" w14:textId="77777777" w:rsidR="00182AD3" w:rsidRPr="00507A31" w:rsidRDefault="00182AD3" w:rsidP="00507A31">
      <w:pPr>
        <w:jc w:val="both"/>
        <w:rPr>
          <w:color w:val="000000" w:themeColor="text1"/>
          <w:sz w:val="16"/>
          <w:szCs w:val="16"/>
        </w:rPr>
      </w:pPr>
      <w:r w:rsidRPr="00507A31">
        <w:rPr>
          <w:color w:val="000000" w:themeColor="text1"/>
          <w:sz w:val="16"/>
          <w:szCs w:val="16"/>
        </w:rPr>
        <w:t>сильно затормозился. Несмотря на явное вредительство, при докладе на Всесоюзных съездах Теплотехников члены Промпартии, зная истинное положение дела, не осветили его.</w:t>
      </w:r>
    </w:p>
    <w:p w14:paraId="7A1D8E62" w14:textId="77777777" w:rsidR="00182AD3" w:rsidRPr="00507A31" w:rsidRDefault="00182AD3" w:rsidP="00507A31">
      <w:pPr>
        <w:jc w:val="both"/>
        <w:rPr>
          <w:color w:val="000000" w:themeColor="text1"/>
          <w:sz w:val="16"/>
          <w:szCs w:val="16"/>
        </w:rPr>
      </w:pPr>
      <w:r w:rsidRPr="00507A31">
        <w:rPr>
          <w:color w:val="000000" w:themeColor="text1"/>
          <w:sz w:val="16"/>
          <w:szCs w:val="16"/>
        </w:rPr>
        <w:t>10. По линии котлостроения Промпартия проводила продолжение постройки устарелых типов котлов, экономайзеров], топок и т. п. Поэтому на неоднократных обсуждениях этого вопроса в Главметалле, Главэлектр[о] и др., члены Промпартии защищали, напр., Ленинградский металл[ический] завод и ЮМТ и их конструкции; долгое время замалчивали о недостатке ЮМТом котла Ярроц, которые, как показала практика Европейской войны[,] дал[и] наибольшее число взрывов на английских военных судах.</w:t>
      </w:r>
    </w:p>
    <w:p w14:paraId="5AEC50BE" w14:textId="77777777" w:rsidR="00182AD3" w:rsidRPr="00507A31" w:rsidRDefault="00182AD3" w:rsidP="00507A31">
      <w:pPr>
        <w:jc w:val="both"/>
        <w:rPr>
          <w:color w:val="000000" w:themeColor="text1"/>
          <w:sz w:val="16"/>
          <w:szCs w:val="16"/>
        </w:rPr>
      </w:pPr>
      <w:r w:rsidRPr="00507A31">
        <w:rPr>
          <w:color w:val="000000" w:themeColor="text1"/>
          <w:sz w:val="16"/>
          <w:szCs w:val="16"/>
        </w:rPr>
        <w:t>11. Когда уже назрела необходимость в новых конструкциях котлов, несмотря на явную непригодность конструкции котла Грум-Гржимайло, проф. М. В. КИРПИЧЕВ и многие другие при молчаливом попустительстве моем и других, видевших его недостатки[,] провели постановление в Главметалле о постройке этого котла.</w:t>
      </w:r>
    </w:p>
    <w:p w14:paraId="36E27A3E" w14:textId="77777777" w:rsidR="00182AD3" w:rsidRPr="00507A31" w:rsidRDefault="00182AD3" w:rsidP="00507A31">
      <w:pPr>
        <w:jc w:val="both"/>
        <w:rPr>
          <w:color w:val="000000" w:themeColor="text1"/>
          <w:sz w:val="16"/>
          <w:szCs w:val="16"/>
        </w:rPr>
      </w:pPr>
      <w:r w:rsidRPr="00507A31">
        <w:rPr>
          <w:color w:val="000000" w:themeColor="text1"/>
          <w:sz w:val="16"/>
          <w:szCs w:val="16"/>
        </w:rPr>
        <w:t>12. Точно так же, несмотря на непригодность разработанной Кирпичниковым конструкции котла, настойчиво проводившего ее для постройки на советских заводах, при содействии ЦЭСа и Главэлектр[о], я и проф. М. В. КИРПИЧЕВ знал[и] все недостатки котла в течение долгого времени и не принимал[и] энергичных мер, чтобы воспрепятствовать этому.</w:t>
      </w:r>
    </w:p>
    <w:p w14:paraId="2978619C" w14:textId="77777777" w:rsidR="00182AD3" w:rsidRPr="00507A31" w:rsidRDefault="00182AD3" w:rsidP="00507A31">
      <w:pPr>
        <w:jc w:val="both"/>
        <w:rPr>
          <w:color w:val="000000" w:themeColor="text1"/>
          <w:sz w:val="16"/>
          <w:szCs w:val="16"/>
        </w:rPr>
      </w:pPr>
      <w:r w:rsidRPr="00507A31">
        <w:rPr>
          <w:color w:val="000000" w:themeColor="text1"/>
          <w:sz w:val="16"/>
          <w:szCs w:val="16"/>
        </w:rPr>
        <w:t>13. При выборе места постройки новых коксовых печей с точки зрения целесообразного использования коксового газа желательно строить их при металлургических заводах, а не при шахтах, но при непременном условии, что уголь, идущий на коксование, может выдержать хранение.</w:t>
      </w:r>
    </w:p>
    <w:p w14:paraId="0A456349" w14:textId="77777777" w:rsidR="00182AD3" w:rsidRPr="00507A31" w:rsidRDefault="00182AD3" w:rsidP="00507A31">
      <w:pPr>
        <w:jc w:val="both"/>
        <w:rPr>
          <w:color w:val="000000" w:themeColor="text1"/>
          <w:sz w:val="16"/>
          <w:szCs w:val="16"/>
        </w:rPr>
      </w:pPr>
      <w:r w:rsidRPr="00507A31">
        <w:rPr>
          <w:color w:val="000000" w:themeColor="text1"/>
          <w:sz w:val="16"/>
          <w:szCs w:val="16"/>
        </w:rPr>
        <w:t>В противном случае, если как многие донецкие [угли], последние не выдерживают хранения, не давая уже после 1-2 месяцев хранения возможности получить хороший кокс, является уже безусловно обязательной постройка коксовых печей при угольных шахтах. Между тем ряд косовых печей для металлургических заводов Юга строится и проектируется при заводах, создавая реальную угрозу возможности получения удовлетворительного кокса. И этот основной вопрос не получал до сего времени ясного освещения со стороны экспертов.</w:t>
      </w:r>
    </w:p>
    <w:p w14:paraId="22FE912F" w14:textId="77777777" w:rsidR="00182AD3" w:rsidRPr="00507A31" w:rsidRDefault="00182AD3" w:rsidP="00507A31">
      <w:pPr>
        <w:jc w:val="both"/>
        <w:rPr>
          <w:color w:val="000000" w:themeColor="text1"/>
          <w:sz w:val="16"/>
          <w:szCs w:val="16"/>
        </w:rPr>
      </w:pPr>
      <w:r w:rsidRPr="00507A31">
        <w:rPr>
          <w:color w:val="000000" w:themeColor="text1"/>
          <w:sz w:val="16"/>
          <w:szCs w:val="16"/>
        </w:rPr>
        <w:t>14. Многочисленные аварии на станциях МОГЭСа и Электротопа (Ленинград), вина за которые в значительной мере лежала на этих организациях вследствие плохого ремонта, несвоевременной смены частей, заказа неудачного оборудования, небрежностей и т. п., при расследовании их разными комиссиями специалистов, в состав коих обычно входили члены промпартии, обычно освещались как случайные аварии от естественных причин по вине фирм и т. п. [,] не вскрывая вредительского характера аварий.</w:t>
      </w:r>
    </w:p>
    <w:p w14:paraId="1B146B41" w14:textId="77777777" w:rsidR="00182AD3" w:rsidRPr="00507A31" w:rsidRDefault="00182AD3" w:rsidP="00507A31">
      <w:pPr>
        <w:jc w:val="both"/>
        <w:rPr>
          <w:color w:val="000000" w:themeColor="text1"/>
          <w:sz w:val="16"/>
          <w:szCs w:val="16"/>
        </w:rPr>
      </w:pPr>
      <w:r w:rsidRPr="00507A31">
        <w:rPr>
          <w:color w:val="000000" w:themeColor="text1"/>
          <w:sz w:val="16"/>
          <w:szCs w:val="16"/>
        </w:rPr>
        <w:t>Причины образования нового ПК. Промпартии.</w:t>
      </w:r>
    </w:p>
    <w:p w14:paraId="79635269" w14:textId="77777777" w:rsidR="00182AD3" w:rsidRPr="00507A31" w:rsidRDefault="00182AD3" w:rsidP="00507A31">
      <w:pPr>
        <w:jc w:val="both"/>
        <w:rPr>
          <w:color w:val="000000" w:themeColor="text1"/>
          <w:sz w:val="16"/>
          <w:szCs w:val="16"/>
        </w:rPr>
      </w:pPr>
      <w:r w:rsidRPr="00507A31">
        <w:rPr>
          <w:color w:val="000000" w:themeColor="text1"/>
          <w:sz w:val="16"/>
          <w:szCs w:val="16"/>
        </w:rPr>
        <w:t>(Нового Инженерного Центра)</w:t>
      </w:r>
    </w:p>
    <w:p w14:paraId="725D7004" w14:textId="77777777" w:rsidR="00182AD3" w:rsidRPr="00507A31" w:rsidRDefault="00182AD3" w:rsidP="00507A31">
      <w:pPr>
        <w:jc w:val="both"/>
        <w:rPr>
          <w:color w:val="000000" w:themeColor="text1"/>
          <w:sz w:val="16"/>
          <w:szCs w:val="16"/>
        </w:rPr>
      </w:pPr>
      <w:r w:rsidRPr="00507A31">
        <w:rPr>
          <w:color w:val="000000" w:themeColor="text1"/>
          <w:sz w:val="16"/>
          <w:szCs w:val="16"/>
        </w:rPr>
        <w:t>После ареста ряда активных работников первого Инженерного центра — Пальчинского, Рабиновича, Хренникова, Якушевского, Стрижова и др. к на[чал]у 1929 г. оставалась еще значительная часть членов ЦК Промпартии — Федотов, Ларичев, Рамзин, Чарновский и Калинников; кроме того, в отраслевых и периферийных органах имелось большое количество активных работников. Наличие этого актива, естественно, являлось побудителем для продолжения деятельности Промпартии, так сказать по инерции. Вторым не менее сильным побудителем было привезенное Ларичевым и Рамзиным в конце 1928 года заверение Торгпрома о твердых надеждах на интервенцию в 1930 году, т. е. в непродолжительном времени. Разгоревшаяся внутрипартийная борьба внутри ВКП(б), появление крупных затруднений при проведении коллективизации, прогрессирующий экономический кризис, рост недовольства широких масс, быстро растущий охват масс через ТКП, финансирование Промпартии белоэмигрантами — все эти факторы создавали почву для расчетов на успех контр-революционного переворота, являвшегося ближайшей задачей Промпартии.</w:t>
      </w:r>
    </w:p>
    <w:p w14:paraId="059F3C9F" w14:textId="77777777" w:rsidR="00182AD3" w:rsidRPr="00507A31" w:rsidRDefault="00182AD3" w:rsidP="00507A31">
      <w:pPr>
        <w:jc w:val="both"/>
        <w:rPr>
          <w:color w:val="000000" w:themeColor="text1"/>
          <w:sz w:val="16"/>
          <w:szCs w:val="16"/>
        </w:rPr>
      </w:pPr>
      <w:r w:rsidRPr="00507A31">
        <w:rPr>
          <w:color w:val="000000" w:themeColor="text1"/>
          <w:sz w:val="16"/>
          <w:szCs w:val="16"/>
        </w:rPr>
        <w:t>При таких условиях деятельность Промпартии естественно продолжалась, заметно однако понизившись в своей активности. Главной задачей ставилось здесь сохранение и осторожный рост кадров Промпартии, укрепление тактических связей с ТКП и стремление додержаться до начала интервенции. Получение однако в 1929 г. известий из-за границы о неосуществимой интервенции в 1930 г., сильно понизило деятельность Промпартии и выдвинуло на очередь совершенно новые установки — на внутренние силы ТКП и на правых коммунистов. Наконец, разгром ЦК Промпартии с арестом Федотова и Ларичева практически &lt;привел&gt; к полному прекращению деятельности Промпартии.</w:t>
      </w:r>
    </w:p>
    <w:p w14:paraId="48E55A48" w14:textId="77777777" w:rsidR="00182AD3" w:rsidRPr="00507A31" w:rsidRDefault="00182AD3" w:rsidP="00507A31">
      <w:pPr>
        <w:jc w:val="both"/>
        <w:rPr>
          <w:color w:val="000000" w:themeColor="text1"/>
          <w:sz w:val="16"/>
          <w:szCs w:val="16"/>
        </w:rPr>
      </w:pPr>
      <w:r w:rsidRPr="00507A31">
        <w:rPr>
          <w:color w:val="000000" w:themeColor="text1"/>
          <w:sz w:val="16"/>
          <w:szCs w:val="16"/>
        </w:rPr>
        <w:t>Террористические группы.</w:t>
      </w:r>
    </w:p>
    <w:p w14:paraId="21C550AD" w14:textId="77777777" w:rsidR="00182AD3" w:rsidRPr="00507A31" w:rsidRDefault="00182AD3" w:rsidP="00507A31">
      <w:pPr>
        <w:jc w:val="both"/>
        <w:rPr>
          <w:color w:val="000000" w:themeColor="text1"/>
          <w:sz w:val="16"/>
          <w:szCs w:val="16"/>
        </w:rPr>
      </w:pPr>
      <w:r w:rsidRPr="00507A31">
        <w:rPr>
          <w:color w:val="000000" w:themeColor="text1"/>
          <w:sz w:val="16"/>
          <w:szCs w:val="16"/>
        </w:rPr>
        <w:t>Контр-революционная организация, каковой являлась Промпартия, служила подобно другим аналогичным организациям[,] как напр.[,] СВУ, ТКП[,] центром[,] к которому тяготели стихийно возникающие террористические группы.</w:t>
      </w:r>
    </w:p>
    <w:p w14:paraId="29B4D27E" w14:textId="77777777" w:rsidR="00182AD3" w:rsidRPr="00507A31" w:rsidRDefault="00182AD3" w:rsidP="00507A31">
      <w:pPr>
        <w:jc w:val="both"/>
        <w:rPr>
          <w:color w:val="000000" w:themeColor="text1"/>
          <w:sz w:val="16"/>
          <w:szCs w:val="16"/>
        </w:rPr>
      </w:pPr>
      <w:r w:rsidRPr="00507A31">
        <w:rPr>
          <w:color w:val="000000" w:themeColor="text1"/>
          <w:sz w:val="16"/>
          <w:szCs w:val="16"/>
        </w:rPr>
        <w:t>Получив от инж. Н. А. Давидова сообщение о возникновении террористической студенческой группы в Высшем Московском Техническом Училище и о ее готовности действовать по распоряжениям ЦК Промпартии, я сообщил об этом Федотову и Чарновскому, и затем Ларичеву и Калинникову для установления позиции ЦК Промпартии по вопросу об индивидуальном терроре против членов правительства и коммунистической партии.</w:t>
      </w:r>
    </w:p>
    <w:p w14:paraId="18FBF6DB" w14:textId="77777777" w:rsidR="00182AD3" w:rsidRPr="00507A31" w:rsidRDefault="00182AD3" w:rsidP="00507A31">
      <w:pPr>
        <w:jc w:val="both"/>
        <w:rPr>
          <w:color w:val="000000" w:themeColor="text1"/>
          <w:sz w:val="16"/>
          <w:szCs w:val="16"/>
        </w:rPr>
      </w:pPr>
      <w:r w:rsidRPr="00507A31">
        <w:rPr>
          <w:color w:val="000000" w:themeColor="text1"/>
          <w:sz w:val="16"/>
          <w:szCs w:val="16"/>
        </w:rPr>
        <w:t>Основные точки зрения и директивы ЦК по этому вопросу сводились к следующим положениям.</w:t>
      </w:r>
    </w:p>
    <w:p w14:paraId="1539E330" w14:textId="77777777" w:rsidR="00182AD3" w:rsidRPr="00507A31" w:rsidRDefault="00182AD3" w:rsidP="00507A31">
      <w:pPr>
        <w:jc w:val="both"/>
        <w:rPr>
          <w:color w:val="000000" w:themeColor="text1"/>
          <w:sz w:val="16"/>
          <w:szCs w:val="16"/>
        </w:rPr>
      </w:pPr>
      <w:r w:rsidRPr="00507A31">
        <w:rPr>
          <w:color w:val="000000" w:themeColor="text1"/>
          <w:sz w:val="16"/>
          <w:szCs w:val="16"/>
        </w:rPr>
        <w:t>1. Признать террористические акты в настоящий момент совершенно недопустимыми.</w:t>
      </w:r>
    </w:p>
    <w:p w14:paraId="68CD61AE" w14:textId="77777777" w:rsidR="00182AD3" w:rsidRPr="00507A31" w:rsidRDefault="00182AD3" w:rsidP="00507A31">
      <w:pPr>
        <w:jc w:val="both"/>
        <w:rPr>
          <w:color w:val="000000" w:themeColor="text1"/>
          <w:sz w:val="16"/>
          <w:szCs w:val="16"/>
        </w:rPr>
      </w:pPr>
      <w:r w:rsidRPr="00507A31">
        <w:rPr>
          <w:color w:val="000000" w:themeColor="text1"/>
          <w:sz w:val="16"/>
          <w:szCs w:val="16"/>
        </w:rPr>
        <w:t>2. Принять все меры, чтобы удержать террористические группы от выступлений.</w:t>
      </w:r>
    </w:p>
    <w:p w14:paraId="2A2947B9" w14:textId="77777777" w:rsidR="00182AD3" w:rsidRPr="00507A31" w:rsidRDefault="00182AD3" w:rsidP="00507A31">
      <w:pPr>
        <w:jc w:val="both"/>
        <w:rPr>
          <w:color w:val="000000" w:themeColor="text1"/>
          <w:sz w:val="16"/>
          <w:szCs w:val="16"/>
        </w:rPr>
      </w:pPr>
      <w:r w:rsidRPr="00507A31">
        <w:rPr>
          <w:color w:val="000000" w:themeColor="text1"/>
          <w:sz w:val="16"/>
          <w:szCs w:val="16"/>
        </w:rPr>
        <w:t>3. Принять самые энергичные меры против провала террористических групп, во избежание провала ЦК Промпартии, путем недопущения роста численности групп и повышения конспирации.</w:t>
      </w:r>
    </w:p>
    <w:p w14:paraId="0CB1532F" w14:textId="77777777" w:rsidR="00182AD3" w:rsidRPr="00507A31" w:rsidRDefault="00182AD3" w:rsidP="00507A31">
      <w:pPr>
        <w:jc w:val="both"/>
        <w:rPr>
          <w:color w:val="000000" w:themeColor="text1"/>
          <w:sz w:val="16"/>
          <w:szCs w:val="16"/>
        </w:rPr>
      </w:pPr>
      <w:r w:rsidRPr="00507A31">
        <w:rPr>
          <w:color w:val="000000" w:themeColor="text1"/>
          <w:sz w:val="16"/>
          <w:szCs w:val="16"/>
        </w:rPr>
        <w:t>Эти положения и проводились мною в жизнь.</w:t>
      </w:r>
    </w:p>
    <w:p w14:paraId="09D0F6C9" w14:textId="77777777" w:rsidR="00182AD3" w:rsidRPr="00507A31" w:rsidRDefault="00182AD3" w:rsidP="00507A31">
      <w:pPr>
        <w:jc w:val="both"/>
        <w:rPr>
          <w:color w:val="000000" w:themeColor="text1"/>
          <w:sz w:val="16"/>
          <w:szCs w:val="16"/>
        </w:rPr>
      </w:pPr>
      <w:r w:rsidRPr="00507A31">
        <w:rPr>
          <w:color w:val="000000" w:themeColor="text1"/>
          <w:sz w:val="16"/>
          <w:szCs w:val="16"/>
        </w:rPr>
        <w:t>В частности относительно боевой группы Теплотехнического института я утверждаю, что она создалась снизу. Я не отрицаю моральной ответственности Промпартии и лично моей за возникновение террористических настроений, ибо та агитация и пропаганда, которая велась в инженерных кругах, бесспорно создавала почву для таких настроений. Но принять на себя организационную ответственность за создание боевой группы Теплотехнического института я не могу.</w:t>
      </w:r>
    </w:p>
    <w:p w14:paraId="30984627" w14:textId="77777777" w:rsidR="00182AD3" w:rsidRPr="00507A31" w:rsidRDefault="00182AD3" w:rsidP="00507A31">
      <w:pPr>
        <w:jc w:val="both"/>
        <w:rPr>
          <w:color w:val="000000" w:themeColor="text1"/>
          <w:sz w:val="16"/>
          <w:szCs w:val="16"/>
        </w:rPr>
      </w:pPr>
      <w:r w:rsidRPr="00507A31">
        <w:rPr>
          <w:color w:val="000000" w:themeColor="text1"/>
          <w:sz w:val="16"/>
          <w:szCs w:val="16"/>
        </w:rPr>
        <w:t xml:space="preserve">По сообщению Н. А. ДАВИДОВА, в Теплотехническом институте под влиянием расстрела инж[енеров] Пальчинского, Мекка, Величко и массовых арестов инженеров возникла боевая группа из Н. А. Давидова, Г. Ю. Козлинского, А. И. Мороз и Б. К. Липпе. В виду наличия директив ЦК Промпартии я категорически заявил Давидову </w:t>
      </w:r>
      <w:r w:rsidRPr="00507A31">
        <w:rPr>
          <w:color w:val="000000" w:themeColor="text1"/>
          <w:sz w:val="16"/>
          <w:szCs w:val="16"/>
        </w:rPr>
        <w:lastRenderedPageBreak/>
        <w:t>и отдельным участникам группы на безусловную недопустимость каких-либо террористических актов в настоящий момент. Далее, я категорически воспретил дальнейшую вербовку новых членов группы, указав на необходимость абсолютной конспирации и в частности на необходимость цепочной связи членов группы, на недопустимость хранения оружия и т. п.</w:t>
      </w:r>
    </w:p>
    <w:p w14:paraId="5CC8046F" w14:textId="77777777" w:rsidR="00182AD3" w:rsidRPr="00507A31" w:rsidRDefault="00182AD3" w:rsidP="00507A31">
      <w:pPr>
        <w:jc w:val="both"/>
        <w:rPr>
          <w:color w:val="000000" w:themeColor="text1"/>
          <w:sz w:val="16"/>
          <w:szCs w:val="16"/>
        </w:rPr>
      </w:pPr>
      <w:r w:rsidRPr="00507A31">
        <w:rPr>
          <w:color w:val="000000" w:themeColor="text1"/>
          <w:sz w:val="16"/>
          <w:szCs w:val="16"/>
        </w:rPr>
        <w:t>Что касается вопроса о получении оружия, то в разговорах со мною отдельных членов боевой группы Института указывалось на возможность получения оружия из военных кругов с коими Г. Ю. Козлинский, А.И Мороз, А. И. Липпе имели контакт во время терсборов, как лица, принадлежащие к комсоставу запаса.</w:t>
      </w:r>
    </w:p>
    <w:p w14:paraId="005EEDFF" w14:textId="77777777" w:rsidR="00182AD3" w:rsidRPr="00507A31" w:rsidRDefault="00182AD3" w:rsidP="00507A31">
      <w:pPr>
        <w:jc w:val="both"/>
        <w:rPr>
          <w:color w:val="000000" w:themeColor="text1"/>
          <w:sz w:val="16"/>
          <w:szCs w:val="16"/>
        </w:rPr>
      </w:pPr>
      <w:r w:rsidRPr="00507A31">
        <w:rPr>
          <w:color w:val="000000" w:themeColor="text1"/>
          <w:sz w:val="16"/>
          <w:szCs w:val="16"/>
        </w:rPr>
        <w:t>Л.РАМЗИН.</w:t>
      </w:r>
    </w:p>
    <w:p w14:paraId="54DCF0AE" w14:textId="77777777" w:rsidR="00182AD3" w:rsidRPr="00507A31" w:rsidRDefault="00182AD3" w:rsidP="00507A31">
      <w:pPr>
        <w:jc w:val="both"/>
        <w:rPr>
          <w:color w:val="000000" w:themeColor="text1"/>
          <w:sz w:val="16"/>
          <w:szCs w:val="16"/>
        </w:rPr>
      </w:pPr>
      <w:r w:rsidRPr="00507A31">
        <w:rPr>
          <w:color w:val="000000" w:themeColor="text1"/>
          <w:sz w:val="16"/>
          <w:szCs w:val="16"/>
        </w:rPr>
        <w:t>Допросили: Пом. Нач. СОУ ОГПУ: (АГРАНОВ)</w:t>
      </w:r>
    </w:p>
    <w:p w14:paraId="3B0A2106" w14:textId="77777777" w:rsidR="00182AD3" w:rsidRPr="00507A31" w:rsidRDefault="00182AD3" w:rsidP="00507A31">
      <w:pPr>
        <w:jc w:val="both"/>
        <w:rPr>
          <w:color w:val="000000" w:themeColor="text1"/>
          <w:sz w:val="16"/>
          <w:szCs w:val="16"/>
        </w:rPr>
      </w:pPr>
      <w:r w:rsidRPr="00507A31">
        <w:rPr>
          <w:color w:val="000000" w:themeColor="text1"/>
          <w:sz w:val="16"/>
          <w:szCs w:val="16"/>
        </w:rPr>
        <w:t>П/НАЧ. 3 ОТДЕЛЕНИЯ] СО ОГПУ: (РАДЗИВИЛОВСКИЙ)</w:t>
      </w:r>
    </w:p>
    <w:p w14:paraId="0EA1B4EE" w14:textId="77777777" w:rsidR="00182AD3" w:rsidRPr="00507A31" w:rsidRDefault="00182AD3" w:rsidP="00507A31">
      <w:pPr>
        <w:jc w:val="both"/>
        <w:rPr>
          <w:color w:val="000000" w:themeColor="text1"/>
          <w:sz w:val="16"/>
          <w:szCs w:val="16"/>
        </w:rPr>
      </w:pPr>
      <w:r w:rsidRPr="00507A31">
        <w:rPr>
          <w:color w:val="000000" w:themeColor="text1"/>
          <w:sz w:val="16"/>
          <w:szCs w:val="16"/>
        </w:rPr>
        <w:t>Д. 353. Л. 119-151. Машинописный экземпляр того времени. На Л. 119 вверху слева — штампы делопроизводства ЦК ВКП(б) с вписанными от руки данными о размножении документа (500 экз.), номере (№ П949) и дате (15.Х. 1930 г.)рассылки, подпись-автограф Хряпкиной. В тексте документа имеются подчеркивания, а также рукописные пометы карандашом: на Л. 119 рядом с фразой «[...] персональные связи с отдельными видными представителями правого уклона и идейно обрабатывать их в направлении основных установок промпартии» на полях слева написано от руки «Бухарин?»; на Л. 124 фраза «[...] вопросы через СТО и СНК Союза, ставя их в тех заседаниях, которые шли под председательством А. И. Рыкова» подчеркнута в тексте, на полях слева — две вертикальные черты и помета «NB!»; на Л. 128 отчеркнут вертикальной чертой на полях слева текст «1. Согласно сообщений из белоэмигрантских промышленных кругов через Пальчинского, Федотова [...] и осуществить интервенцию примерно в 1930 году. Таким образом, этот срок определялся политическими и военными соображениями», рядом с последней фразой проставлены знаки «XX»; на Л. 131 выделен подчеркиванием текст «[...] и был избран объединительный центр в составе Кондратьева, Макарова, Громана, Рамзина и Чарновского», на левом поле проставлен знак «X».</w:t>
      </w:r>
    </w:p>
    <w:p w14:paraId="6CA6C874" w14:textId="77777777" w:rsidR="00182AD3" w:rsidRPr="00507A31" w:rsidRDefault="00182AD3" w:rsidP="00507A31">
      <w:pPr>
        <w:jc w:val="both"/>
        <w:rPr>
          <w:color w:val="000000" w:themeColor="text1"/>
          <w:sz w:val="16"/>
          <w:szCs w:val="16"/>
        </w:rPr>
      </w:pPr>
      <w:r w:rsidRPr="00507A31">
        <w:rPr>
          <w:color w:val="000000" w:themeColor="text1"/>
          <w:sz w:val="16"/>
          <w:szCs w:val="16"/>
        </w:rPr>
        <w:t>На Л. 118 — сопроводительное письмо от 14.Х.1930 г. на бланке начальника Секретного отдела ОГПУ под грифом «С. секретно»: «Тов. Двинскому. Секретариат ЦК. Посылаю Вам протокол допроса Рамзина от 29/IX — 1/Х-30 г.». Рукописный подлинник, подпись — автограф (неразборчиво). На Л. 104 — сопроводительное письмо от 15 октября 1930 г. о рассылке показаний Л. К. Рамзина «от 21.IX.30 г. и 29.IX.30 г.» членам и кандидатам ЦК и членам ЦК ВКП(б) (см. легенду к док. №353-14).</w:t>
      </w:r>
    </w:p>
    <w:p w14:paraId="5564FA9B" w14:textId="77777777" w:rsidR="00182AD3" w:rsidRPr="00507A31" w:rsidRDefault="00182AD3" w:rsidP="00507A31">
      <w:pPr>
        <w:jc w:val="both"/>
        <w:rPr>
          <w:color w:val="000000" w:themeColor="text1"/>
          <w:sz w:val="16"/>
          <w:szCs w:val="16"/>
        </w:rPr>
      </w:pPr>
      <w:r w:rsidRPr="00507A31">
        <w:rPr>
          <w:color w:val="000000" w:themeColor="text1"/>
          <w:sz w:val="16"/>
          <w:szCs w:val="16"/>
        </w:rPr>
        <w:t>ЦА ФСБ РФ. Ф. Р-42280. Т. 2. Л. 29-42 об. Рукописный подлинник (черновик) «показаний», написанный собственноручно Л. К. Рамзиным. Содержит многочисленные правки, вставки, вычеркивания написанного. На первой странице (Л. 29),написано по центру «Показания проф. Л. К. Рамзина 29 сентября — 1 октября 1930 г.» Здесь же (Л. 28) имеется сопроводительная записка: «Протокол допроса профессора Рамзина Леонида Константиновича от 29/IX — 1/Х — 1930 г. Допросили: Пом. нач. СОУ ОГПУ Агранов Пом. нач. 3 отделения] СО ОГПУ Радзивиловский» (машинопись, подписи отсутствуют) (18453).</w:t>
      </w:r>
    </w:p>
    <w:p w14:paraId="1DEEFEE0" w14:textId="77777777" w:rsidR="00182AD3" w:rsidRPr="00507A31" w:rsidRDefault="00182AD3" w:rsidP="00507A31">
      <w:pPr>
        <w:jc w:val="both"/>
        <w:rPr>
          <w:color w:val="000000" w:themeColor="text1"/>
          <w:sz w:val="16"/>
          <w:szCs w:val="16"/>
        </w:rPr>
      </w:pPr>
    </w:p>
    <w:p w14:paraId="353136B9" w14:textId="77777777" w:rsidR="003053D5" w:rsidRPr="00507A31" w:rsidRDefault="003053D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C0D2043" w14:textId="77777777" w:rsidR="003053D5" w:rsidRPr="00507A31" w:rsidRDefault="003053D5" w:rsidP="00507A31">
      <w:pPr>
        <w:autoSpaceDE w:val="0"/>
        <w:autoSpaceDN w:val="0"/>
        <w:adjustRightInd w:val="0"/>
        <w:jc w:val="both"/>
        <w:rPr>
          <w:iCs/>
          <w:color w:val="000000" w:themeColor="text1"/>
          <w:sz w:val="16"/>
          <w:szCs w:val="16"/>
        </w:rPr>
      </w:pPr>
    </w:p>
    <w:p w14:paraId="30790BB6" w14:textId="77777777" w:rsidR="00D225C5" w:rsidRPr="00507A31" w:rsidRDefault="00D225C5" w:rsidP="00507A31">
      <w:pPr>
        <w:jc w:val="both"/>
        <w:rPr>
          <w:color w:val="0070C0"/>
          <w:sz w:val="16"/>
          <w:szCs w:val="16"/>
        </w:rPr>
      </w:pPr>
      <w:r w:rsidRPr="00507A31">
        <w:rPr>
          <w:color w:val="0070C0"/>
          <w:sz w:val="16"/>
          <w:szCs w:val="16"/>
          <w:lang w:bidi="ru-RU"/>
        </w:rPr>
        <w:t>К 30 сентя</w:t>
      </w:r>
      <w:r w:rsidRPr="00507A31">
        <w:rPr>
          <w:color w:val="0070C0"/>
          <w:sz w:val="16"/>
          <w:szCs w:val="16"/>
          <w:lang w:bidi="ru-RU"/>
        </w:rPr>
        <w:softHyphen/>
        <w:t>бря 1930, как следует из переписки, после обсуждения пояснительной за</w:t>
      </w:r>
      <w:r w:rsidRPr="00507A31">
        <w:rPr>
          <w:color w:val="0070C0"/>
          <w:sz w:val="16"/>
          <w:szCs w:val="16"/>
          <w:lang w:bidi="ru-RU"/>
        </w:rPr>
        <w:softHyphen/>
        <w:t>писки ЦКБ к проекту самолета Ш М-27 в его окончательном виде (с учетом ре</w:t>
      </w:r>
      <w:r w:rsidRPr="00507A31">
        <w:rPr>
          <w:color w:val="0070C0"/>
          <w:sz w:val="16"/>
          <w:szCs w:val="16"/>
          <w:lang w:bidi="ru-RU"/>
        </w:rPr>
        <w:softHyphen/>
        <w:t>комендаций макетной комиссии) и уточ</w:t>
      </w:r>
      <w:r w:rsidRPr="00507A31">
        <w:rPr>
          <w:color w:val="0070C0"/>
          <w:sz w:val="16"/>
          <w:szCs w:val="16"/>
          <w:lang w:bidi="ru-RU"/>
        </w:rPr>
        <w:softHyphen/>
        <w:t>нения тактико-технических требований к машине самолет в официальных доку</w:t>
      </w:r>
      <w:r w:rsidRPr="00507A31">
        <w:rPr>
          <w:color w:val="0070C0"/>
          <w:sz w:val="16"/>
          <w:szCs w:val="16"/>
          <w:lang w:bidi="ru-RU"/>
        </w:rPr>
        <w:softHyphen/>
        <w:t>ментах НТК УВВС сменил обозначение на ТШ-2 М-27 (тяжелый штурмовик вто</w:t>
      </w:r>
      <w:r w:rsidRPr="00507A31">
        <w:rPr>
          <w:color w:val="0070C0"/>
          <w:sz w:val="16"/>
          <w:szCs w:val="16"/>
          <w:lang w:bidi="ru-RU"/>
        </w:rPr>
        <w:softHyphen/>
        <w:t>рой). Передача машины на государствен</w:t>
      </w:r>
      <w:r w:rsidRPr="00507A31">
        <w:rPr>
          <w:color w:val="0070C0"/>
          <w:sz w:val="16"/>
          <w:szCs w:val="16"/>
          <w:lang w:bidi="ru-RU"/>
        </w:rPr>
        <w:softHyphen/>
        <w:t>ные испытания планировалась не позже 1 декабря 1930 г.</w:t>
      </w:r>
    </w:p>
    <w:p w14:paraId="2EC31511" w14:textId="77777777" w:rsidR="00D225C5" w:rsidRPr="00507A31" w:rsidRDefault="00D225C5" w:rsidP="00507A31">
      <w:pPr>
        <w:jc w:val="both"/>
        <w:rPr>
          <w:color w:val="0070C0"/>
          <w:sz w:val="16"/>
          <w:szCs w:val="16"/>
        </w:rPr>
      </w:pPr>
      <w:r w:rsidRPr="00507A31">
        <w:rPr>
          <w:color w:val="0070C0"/>
          <w:sz w:val="16"/>
          <w:szCs w:val="16"/>
          <w:lang w:bidi="ru-RU"/>
        </w:rPr>
        <w:t>Рекомендовалось «часть брони внести в конструкцию самолета», как это предпо</w:t>
      </w:r>
      <w:r w:rsidRPr="00507A31">
        <w:rPr>
          <w:color w:val="0070C0"/>
          <w:sz w:val="16"/>
          <w:szCs w:val="16"/>
          <w:lang w:bidi="ru-RU"/>
        </w:rPr>
        <w:softHyphen/>
        <w:t>лагалось сделать в ЦАГИ при проектиро</w:t>
      </w:r>
      <w:r w:rsidRPr="00507A31">
        <w:rPr>
          <w:color w:val="0070C0"/>
          <w:sz w:val="16"/>
          <w:szCs w:val="16"/>
          <w:lang w:bidi="ru-RU"/>
        </w:rPr>
        <w:softHyphen/>
        <w:t>вании и постройке тяжелого штурмовика ТШ-1 («36% от общего веса брони»).</w:t>
      </w:r>
    </w:p>
    <w:p w14:paraId="0D0BFFC0" w14:textId="77777777" w:rsidR="00D225C5" w:rsidRPr="00507A31" w:rsidRDefault="00D225C5" w:rsidP="00507A31">
      <w:pPr>
        <w:jc w:val="both"/>
        <w:rPr>
          <w:color w:val="0070C0"/>
          <w:sz w:val="16"/>
          <w:szCs w:val="16"/>
        </w:rPr>
      </w:pPr>
      <w:r w:rsidRPr="00507A31">
        <w:rPr>
          <w:color w:val="0070C0"/>
          <w:sz w:val="16"/>
          <w:szCs w:val="16"/>
          <w:lang w:bidi="ru-RU"/>
        </w:rPr>
        <w:t>Турель Т-10, как снятую с плана, сле</w:t>
      </w:r>
      <w:r w:rsidRPr="00507A31">
        <w:rPr>
          <w:color w:val="0070C0"/>
          <w:sz w:val="16"/>
          <w:szCs w:val="16"/>
          <w:lang w:bidi="ru-RU"/>
        </w:rPr>
        <w:softHyphen/>
        <w:t>довало заменить другой турелью, на кото</w:t>
      </w:r>
      <w:r w:rsidRPr="00507A31">
        <w:rPr>
          <w:color w:val="0070C0"/>
          <w:sz w:val="16"/>
          <w:szCs w:val="16"/>
          <w:lang w:bidi="ru-RU"/>
        </w:rPr>
        <w:softHyphen/>
        <w:t>рую установить один пулемет ПВ-1 с бо</w:t>
      </w:r>
      <w:r w:rsidRPr="00507A31">
        <w:rPr>
          <w:color w:val="0070C0"/>
          <w:sz w:val="16"/>
          <w:szCs w:val="16"/>
          <w:lang w:bidi="ru-RU"/>
        </w:rPr>
        <w:softHyphen/>
        <w:t>екомплектом 600 патрон, или предусмо</w:t>
      </w:r>
      <w:r w:rsidRPr="00507A31">
        <w:rPr>
          <w:color w:val="0070C0"/>
          <w:sz w:val="16"/>
          <w:szCs w:val="16"/>
          <w:lang w:bidi="ru-RU"/>
        </w:rPr>
        <w:softHyphen/>
        <w:t>треть установку на этой же турели пары пулеметов ДА.</w:t>
      </w:r>
    </w:p>
    <w:p w14:paraId="205F22AC" w14:textId="77777777" w:rsidR="00D225C5" w:rsidRPr="00507A31" w:rsidRDefault="00D225C5" w:rsidP="00507A31">
      <w:pPr>
        <w:jc w:val="both"/>
        <w:rPr>
          <w:color w:val="0070C0"/>
          <w:sz w:val="16"/>
          <w:szCs w:val="16"/>
        </w:rPr>
      </w:pPr>
      <w:r w:rsidRPr="00507A31">
        <w:rPr>
          <w:color w:val="0070C0"/>
          <w:sz w:val="16"/>
          <w:szCs w:val="16"/>
          <w:lang w:bidi="ru-RU"/>
        </w:rPr>
        <w:t>Установку пушки калибра 20 или 37 мм предлагалось отработать сначала «на одном из готовых самолетов по спе</w:t>
      </w:r>
      <w:r w:rsidRPr="00507A31">
        <w:rPr>
          <w:color w:val="0070C0"/>
          <w:sz w:val="16"/>
          <w:szCs w:val="16"/>
          <w:lang w:bidi="ru-RU"/>
        </w:rPr>
        <w:softHyphen/>
        <w:t>циальному заданию» и только затем «пристраивать» на ТШ-2.</w:t>
      </w:r>
    </w:p>
    <w:p w14:paraId="7CC1E39E" w14:textId="77777777" w:rsidR="00D225C5" w:rsidRPr="00507A31" w:rsidRDefault="00D225C5" w:rsidP="00507A31">
      <w:pPr>
        <w:jc w:val="both"/>
        <w:rPr>
          <w:color w:val="0070C0"/>
          <w:sz w:val="16"/>
          <w:szCs w:val="16"/>
        </w:rPr>
      </w:pPr>
      <w:r w:rsidRPr="00507A31">
        <w:rPr>
          <w:color w:val="0070C0"/>
          <w:sz w:val="16"/>
          <w:szCs w:val="16"/>
          <w:lang w:bidi="ru-RU"/>
        </w:rPr>
        <w:t>Все радиосвязное оборудование и аэ</w:t>
      </w:r>
      <w:r w:rsidRPr="00507A31">
        <w:rPr>
          <w:color w:val="0070C0"/>
          <w:sz w:val="16"/>
          <w:szCs w:val="16"/>
          <w:lang w:bidi="ru-RU"/>
        </w:rPr>
        <w:softHyphen/>
        <w:t>рофотоаппарат разрешалось не устанав</w:t>
      </w:r>
      <w:r w:rsidRPr="00507A31">
        <w:rPr>
          <w:color w:val="0070C0"/>
          <w:sz w:val="16"/>
          <w:szCs w:val="16"/>
          <w:lang w:bidi="ru-RU"/>
        </w:rPr>
        <w:softHyphen/>
        <w:t>ливать. Эти «опции» планировалось вне</w:t>
      </w:r>
      <w:r w:rsidRPr="00507A31">
        <w:rPr>
          <w:color w:val="0070C0"/>
          <w:sz w:val="16"/>
          <w:szCs w:val="16"/>
          <w:lang w:bidi="ru-RU"/>
        </w:rPr>
        <w:softHyphen/>
        <w:t>дрить уже в серии.</w:t>
      </w:r>
    </w:p>
    <w:p w14:paraId="35461B03" w14:textId="77777777" w:rsidR="00D225C5" w:rsidRPr="00507A31" w:rsidRDefault="00D225C5" w:rsidP="00507A31">
      <w:pPr>
        <w:jc w:val="both"/>
        <w:rPr>
          <w:color w:val="0070C0"/>
          <w:sz w:val="16"/>
          <w:szCs w:val="16"/>
          <w:lang w:bidi="ru-RU"/>
        </w:rPr>
      </w:pPr>
      <w:r w:rsidRPr="00507A31">
        <w:rPr>
          <w:color w:val="0070C0"/>
          <w:sz w:val="16"/>
          <w:szCs w:val="16"/>
          <w:lang w:bidi="ru-RU"/>
        </w:rPr>
        <w:t>Постройка первого экземпляра ТШ-2 №1 (проект №6 по плану ЦКБ) была за</w:t>
      </w:r>
      <w:r w:rsidRPr="00507A31">
        <w:rPr>
          <w:color w:val="0070C0"/>
          <w:sz w:val="16"/>
          <w:szCs w:val="16"/>
          <w:lang w:bidi="ru-RU"/>
        </w:rPr>
        <w:softHyphen/>
        <w:t>вершена довольно быстро. Поскольку мо</w:t>
      </w:r>
      <w:r w:rsidRPr="00507A31">
        <w:rPr>
          <w:color w:val="0070C0"/>
          <w:sz w:val="16"/>
          <w:szCs w:val="16"/>
          <w:lang w:bidi="ru-RU"/>
        </w:rPr>
        <w:softHyphen/>
        <w:t>тор М-27 еще не был готов, то вместо него на ТШ-2 установили БМВ-6-Е7,3 (21062).</w:t>
      </w:r>
    </w:p>
    <w:p w14:paraId="5D870A3F" w14:textId="77777777" w:rsidR="00D225C5" w:rsidRPr="00507A31" w:rsidRDefault="00D225C5" w:rsidP="00507A31">
      <w:pPr>
        <w:jc w:val="both"/>
        <w:rPr>
          <w:color w:val="0070C0"/>
          <w:sz w:val="16"/>
          <w:szCs w:val="16"/>
        </w:rPr>
      </w:pPr>
    </w:p>
    <w:p w14:paraId="74B4A6C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16FCEA1" w14:textId="77777777" w:rsidR="00537E5F" w:rsidRPr="00507A31" w:rsidRDefault="00537E5F" w:rsidP="00507A31">
      <w:pPr>
        <w:autoSpaceDE w:val="0"/>
        <w:autoSpaceDN w:val="0"/>
        <w:adjustRightInd w:val="0"/>
        <w:jc w:val="both"/>
        <w:rPr>
          <w:iCs/>
          <w:color w:val="000000" w:themeColor="text1"/>
          <w:sz w:val="16"/>
          <w:szCs w:val="16"/>
        </w:rPr>
      </w:pPr>
    </w:p>
    <w:p w14:paraId="4B24BEE3" w14:textId="77777777" w:rsidR="003053D5" w:rsidRPr="00507A31" w:rsidRDefault="003053D5" w:rsidP="00507A31">
      <w:pPr>
        <w:jc w:val="both"/>
        <w:rPr>
          <w:color w:val="0070C0"/>
          <w:sz w:val="16"/>
          <w:szCs w:val="16"/>
        </w:rPr>
      </w:pPr>
      <w:r w:rsidRPr="00507A31">
        <w:rPr>
          <w:color w:val="0070C0"/>
          <w:sz w:val="16"/>
          <w:szCs w:val="16"/>
        </w:rPr>
        <w:t>30 сентября 1930 опросом членов ПБ</w:t>
      </w:r>
    </w:p>
    <w:p w14:paraId="5BBBE0EE" w14:textId="77777777" w:rsidR="003053D5" w:rsidRPr="00507A31" w:rsidRDefault="003053D5" w:rsidP="00507A31">
      <w:pPr>
        <w:jc w:val="both"/>
        <w:rPr>
          <w:color w:val="0070C0"/>
          <w:sz w:val="16"/>
          <w:szCs w:val="16"/>
        </w:rPr>
      </w:pPr>
      <w:r w:rsidRPr="00507A31">
        <w:rPr>
          <w:color w:val="0070C0"/>
          <w:sz w:val="16"/>
          <w:szCs w:val="16"/>
        </w:rPr>
        <w:t>14. О Каучуке и цветных металлах.</w:t>
      </w:r>
    </w:p>
    <w:p w14:paraId="51B0FBD4" w14:textId="77777777" w:rsidR="003053D5" w:rsidRPr="00507A31" w:rsidRDefault="003053D5" w:rsidP="00507A31">
      <w:pPr>
        <w:jc w:val="both"/>
        <w:rPr>
          <w:color w:val="0070C0"/>
          <w:sz w:val="16"/>
          <w:szCs w:val="16"/>
        </w:rPr>
      </w:pPr>
      <w:r w:rsidRPr="00507A31">
        <w:rPr>
          <w:color w:val="0070C0"/>
          <w:sz w:val="16"/>
          <w:szCs w:val="16"/>
        </w:rPr>
        <w:t>(ПБ от 25.1Х.30 г., пр. № 10, п. 13)</w:t>
      </w:r>
    </w:p>
    <w:p w14:paraId="0DB9C70A" w14:textId="77777777" w:rsidR="003053D5" w:rsidRPr="00507A31" w:rsidRDefault="003053D5" w:rsidP="00507A31">
      <w:pPr>
        <w:jc w:val="both"/>
        <w:rPr>
          <w:color w:val="0070C0"/>
          <w:sz w:val="16"/>
          <w:szCs w:val="16"/>
        </w:rPr>
      </w:pPr>
      <w:r w:rsidRPr="00507A31">
        <w:rPr>
          <w:color w:val="0070C0"/>
          <w:sz w:val="16"/>
          <w:szCs w:val="16"/>
        </w:rPr>
        <w:t>(т.т. Микоян, Фушман).</w:t>
      </w:r>
    </w:p>
    <w:p w14:paraId="2B158800" w14:textId="77777777" w:rsidR="003053D5" w:rsidRPr="00507A31" w:rsidRDefault="003053D5" w:rsidP="00507A31">
      <w:pPr>
        <w:jc w:val="both"/>
        <w:rPr>
          <w:color w:val="0070C0"/>
          <w:sz w:val="16"/>
          <w:szCs w:val="16"/>
        </w:rPr>
      </w:pPr>
      <w:r w:rsidRPr="00507A31">
        <w:rPr>
          <w:color w:val="0070C0"/>
          <w:sz w:val="16"/>
          <w:szCs w:val="16"/>
        </w:rPr>
        <w:t>а) Разрешить Наркомторгу использовать мировую конъюнктуру и закупить по ценам не выше сегодняшних (450 руб.-тон</w:t>
      </w:r>
      <w:r w:rsidRPr="00507A31">
        <w:rPr>
          <w:color w:val="0070C0"/>
          <w:sz w:val="16"/>
          <w:szCs w:val="16"/>
        </w:rPr>
        <w:softHyphen/>
        <w:t>на меди и 365 руб. тонна каучука) на 5 мил. рубл. меди и на 5 мил. Руб. каучука.</w:t>
      </w:r>
    </w:p>
    <w:p w14:paraId="740F38C5" w14:textId="77777777" w:rsidR="003053D5" w:rsidRPr="00507A31" w:rsidRDefault="003053D5" w:rsidP="00507A31">
      <w:pPr>
        <w:jc w:val="both"/>
        <w:rPr>
          <w:color w:val="0070C0"/>
          <w:sz w:val="16"/>
          <w:szCs w:val="16"/>
        </w:rPr>
      </w:pPr>
      <w:r w:rsidRPr="00507A31">
        <w:rPr>
          <w:color w:val="0070C0"/>
          <w:sz w:val="16"/>
          <w:szCs w:val="16"/>
        </w:rPr>
        <w:t>б) Поручить HКTоpгy доложить Политбюро 15 октября о ходе закупок меди и каучука и о дальнейших перспективах в этой области.</w:t>
      </w:r>
    </w:p>
    <w:p w14:paraId="0701D66E" w14:textId="77777777" w:rsidR="003053D5" w:rsidRPr="00507A31" w:rsidRDefault="003053D5" w:rsidP="00507A31">
      <w:pPr>
        <w:jc w:val="both"/>
        <w:rPr>
          <w:color w:val="0070C0"/>
          <w:sz w:val="16"/>
          <w:szCs w:val="16"/>
        </w:rPr>
      </w:pPr>
      <w:r w:rsidRPr="00507A31">
        <w:rPr>
          <w:color w:val="0070C0"/>
          <w:sz w:val="16"/>
          <w:szCs w:val="16"/>
        </w:rPr>
        <w:t>Выписка послана: т. Микояну.</w:t>
      </w:r>
    </w:p>
    <w:p w14:paraId="6C8BECFC" w14:textId="77777777" w:rsidR="003053D5" w:rsidRPr="00507A31" w:rsidRDefault="003053D5" w:rsidP="00507A31">
      <w:pPr>
        <w:jc w:val="both"/>
        <w:rPr>
          <w:color w:val="0070C0"/>
          <w:sz w:val="16"/>
          <w:szCs w:val="16"/>
        </w:rPr>
      </w:pPr>
      <w:r w:rsidRPr="00507A31">
        <w:rPr>
          <w:color w:val="0070C0"/>
          <w:sz w:val="16"/>
          <w:szCs w:val="16"/>
        </w:rPr>
        <w:t>34.-О переговорах с Фордом и Джеисраль Моторс.</w:t>
      </w:r>
    </w:p>
    <w:p w14:paraId="4F0F7422" w14:textId="77777777" w:rsidR="003053D5" w:rsidRPr="00507A31" w:rsidRDefault="003053D5" w:rsidP="00507A31">
      <w:pPr>
        <w:jc w:val="both"/>
        <w:rPr>
          <w:color w:val="0070C0"/>
          <w:sz w:val="16"/>
          <w:szCs w:val="16"/>
        </w:rPr>
      </w:pPr>
      <w:r w:rsidRPr="00507A31">
        <w:rPr>
          <w:color w:val="0070C0"/>
          <w:sz w:val="16"/>
          <w:szCs w:val="16"/>
        </w:rPr>
        <w:t>(т.т. Осинский ,Ворошилов, Микоян, Рыков) .</w:t>
      </w:r>
    </w:p>
    <w:p w14:paraId="1EE72E78" w14:textId="77777777" w:rsidR="003053D5" w:rsidRPr="00507A31" w:rsidRDefault="003053D5" w:rsidP="00507A31">
      <w:pPr>
        <w:jc w:val="both"/>
        <w:rPr>
          <w:color w:val="0070C0"/>
          <w:sz w:val="16"/>
          <w:szCs w:val="16"/>
        </w:rPr>
      </w:pPr>
      <w:r w:rsidRPr="00507A31">
        <w:rPr>
          <w:color w:val="0070C0"/>
          <w:sz w:val="16"/>
          <w:szCs w:val="16"/>
        </w:rPr>
        <w:t>а) Предложения представителя Дженераль—Моторс отвергнуть.</w:t>
      </w:r>
    </w:p>
    <w:p w14:paraId="25EE7D93" w14:textId="77777777" w:rsidR="003053D5" w:rsidRPr="00507A31" w:rsidRDefault="003053D5" w:rsidP="00507A31">
      <w:pPr>
        <w:jc w:val="both"/>
        <w:rPr>
          <w:color w:val="0070C0"/>
          <w:sz w:val="16"/>
          <w:szCs w:val="16"/>
        </w:rPr>
      </w:pPr>
      <w:r w:rsidRPr="00507A31">
        <w:rPr>
          <w:color w:val="0070C0"/>
          <w:sz w:val="16"/>
          <w:szCs w:val="16"/>
        </w:rPr>
        <w:t>б) Указать т. Осинскому, что переговоры с этими представителями возможны только по вопросу об организации авто</w:t>
      </w:r>
      <w:r w:rsidRPr="00507A31">
        <w:rPr>
          <w:color w:val="0070C0"/>
          <w:sz w:val="16"/>
          <w:szCs w:val="16"/>
        </w:rPr>
        <w:softHyphen/>
        <w:t>строения внутри СССР.</w:t>
      </w:r>
    </w:p>
    <w:p w14:paraId="49542AEC" w14:textId="77777777" w:rsidR="003053D5" w:rsidRPr="00507A31" w:rsidRDefault="003053D5" w:rsidP="00507A31">
      <w:pPr>
        <w:jc w:val="both"/>
        <w:rPr>
          <w:color w:val="0070C0"/>
          <w:sz w:val="16"/>
          <w:szCs w:val="16"/>
        </w:rPr>
      </w:pPr>
      <w:r w:rsidRPr="00507A31">
        <w:rPr>
          <w:color w:val="0070C0"/>
          <w:sz w:val="16"/>
          <w:szCs w:val="16"/>
        </w:rPr>
        <w:t>Выписки посланы: т.т. Осинскому, Микояну</w:t>
      </w:r>
    </w:p>
    <w:p w14:paraId="3CFF7441" w14:textId="77777777" w:rsidR="003053D5" w:rsidRPr="00507A31" w:rsidRDefault="003053D5" w:rsidP="00507A31">
      <w:pPr>
        <w:jc w:val="both"/>
        <w:rPr>
          <w:color w:val="0070C0"/>
          <w:sz w:val="16"/>
          <w:szCs w:val="16"/>
        </w:rPr>
      </w:pPr>
      <w:r w:rsidRPr="00507A31">
        <w:rPr>
          <w:color w:val="0070C0"/>
          <w:sz w:val="16"/>
          <w:szCs w:val="16"/>
        </w:rPr>
        <w:t>5 октября 1930 состоялось заседание ПБ (Протокол № 11) (21117).</w:t>
      </w:r>
    </w:p>
    <w:p w14:paraId="2F1BB742" w14:textId="77777777" w:rsidR="003053D5" w:rsidRPr="00507A31" w:rsidRDefault="003053D5" w:rsidP="00507A31">
      <w:pPr>
        <w:jc w:val="both"/>
        <w:rPr>
          <w:color w:val="0070C0"/>
          <w:sz w:val="16"/>
          <w:szCs w:val="16"/>
        </w:rPr>
      </w:pPr>
    </w:p>
    <w:p w14:paraId="4956CD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сентября 1930 участники мотопробега прибыли из Ленинграда в Москву. После дня отдыха (дневки) отправились по намеченному маршруту. В Ленинграде следили за их движением [4.29], а в технической прессе обсуждали наиболее важное в их конструкции (штампо</w:t>
      </w:r>
      <w:r w:rsidRPr="00507A31">
        <w:rPr>
          <w:color w:val="000000" w:themeColor="text1"/>
          <w:sz w:val="16"/>
          <w:szCs w:val="16"/>
        </w:rPr>
        <w:softHyphen/>
        <w:t>ванную, сварную раму), строили прогнозы о стоимости серийных отечественных мотоциклов, размышляли на каком заводе сосре</w:t>
      </w:r>
      <w:r w:rsidRPr="00507A31">
        <w:rPr>
          <w:color w:val="000000" w:themeColor="text1"/>
          <w:sz w:val="16"/>
          <w:szCs w:val="16"/>
        </w:rPr>
        <w:softHyphen/>
        <w:t>доточить их выпуск ПРОМЕТ или «Красный Октябрь» [4.30].</w:t>
      </w:r>
    </w:p>
    <w:p w14:paraId="220FFD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Мотопробег благополучно завершился 9 октября 1930 г. За 18 ходовых дней мотоциклы прошли 3212 км, из которых 580 - по просёлку от Харькова до Киева. Всё время шел дождь, 10 дней да</w:t>
      </w:r>
      <w:r w:rsidRPr="00507A31">
        <w:rPr>
          <w:color w:val="000000" w:themeColor="text1"/>
          <w:sz w:val="16"/>
          <w:szCs w:val="16"/>
        </w:rPr>
        <w:softHyphen/>
        <w:t>же со снегом, температура не поднималась выше 8 °С. Сущест</w:t>
      </w:r>
      <w:r w:rsidRPr="00507A31">
        <w:rPr>
          <w:color w:val="000000" w:themeColor="text1"/>
          <w:sz w:val="16"/>
          <w:szCs w:val="16"/>
        </w:rPr>
        <w:softHyphen/>
        <w:t>венных поломок не было. Для тщательного отчёта руководителя технической комиссии П.В. Можарова по наблюдениям был дан материал, в который П.В. Можаров внёс 41 поправку по конст</w:t>
      </w:r>
      <w:r w:rsidRPr="00507A31">
        <w:rPr>
          <w:color w:val="000000" w:themeColor="text1"/>
          <w:sz w:val="16"/>
          <w:szCs w:val="16"/>
        </w:rPr>
        <w:softHyphen/>
        <w:t>рукторским недоработкам и сделал замечания по их устранению. Наиболее существенными были следующие: изменить конструк</w:t>
      </w:r>
      <w:r w:rsidRPr="00507A31">
        <w:rPr>
          <w:color w:val="000000" w:themeColor="text1"/>
          <w:sz w:val="16"/>
          <w:szCs w:val="16"/>
        </w:rPr>
        <w:softHyphen/>
        <w:t>цию и расположение магнето; приподнять переднее крыло, что</w:t>
      </w:r>
      <w:r w:rsidRPr="00507A31">
        <w:rPr>
          <w:color w:val="000000" w:themeColor="text1"/>
          <w:sz w:val="16"/>
          <w:szCs w:val="16"/>
        </w:rPr>
        <w:softHyphen/>
        <w:t>бы под ним не набивалась грязь; улучшить крепление передней вилки и инструментальных сумок; увеличить диаметр колесных спиц и др. Большое внимание техническая комиссия уделила ана</w:t>
      </w:r>
      <w:r w:rsidRPr="00507A31">
        <w:rPr>
          <w:color w:val="000000" w:themeColor="text1"/>
          <w:sz w:val="16"/>
          <w:szCs w:val="16"/>
        </w:rPr>
        <w:softHyphen/>
        <w:t>лизу износа двигателя, устойчивости движения и удобству езды мотоциклиста [4.31] (11429).</w:t>
      </w:r>
    </w:p>
    <w:p w14:paraId="5A7797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8F06522" w14:textId="77777777" w:rsidR="006A4CCD" w:rsidRPr="00507A31" w:rsidRDefault="006A4CCD" w:rsidP="00507A31">
      <w:pPr>
        <w:jc w:val="both"/>
        <w:rPr>
          <w:color w:val="000000" w:themeColor="text1"/>
          <w:sz w:val="16"/>
          <w:szCs w:val="16"/>
        </w:rPr>
      </w:pPr>
      <w:r w:rsidRPr="00507A31">
        <w:rPr>
          <w:color w:val="000000" w:themeColor="text1"/>
          <w:sz w:val="16"/>
          <w:szCs w:val="16"/>
        </w:rPr>
        <w:t>30 сентября 1930 г. Приказом по НКВТ предписывалось Инженерные отделы торгпредств СССР за границей полагать спецотделами ОВЗ. Руководство ОВЗ принимает (до 1937 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 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w:t>
      </w:r>
    </w:p>
    <w:p w14:paraId="79648883" w14:textId="77777777" w:rsidR="006A4CCD" w:rsidRPr="00507A31" w:rsidRDefault="006A4CCD" w:rsidP="00507A31">
      <w:pPr>
        <w:jc w:val="both"/>
        <w:rPr>
          <w:color w:val="000000" w:themeColor="text1"/>
          <w:sz w:val="16"/>
          <w:szCs w:val="16"/>
        </w:rPr>
      </w:pPr>
      <w:r w:rsidRPr="00507A31">
        <w:rPr>
          <w:color w:val="000000" w:themeColor="text1"/>
          <w:sz w:val="16"/>
          <w:szCs w:val="16"/>
        </w:rPr>
        <w:t>В предвоенный период через ОВЗ Советский Союз сотрудничал с целым рядом иностранных фирм и компаний: в Германии их насчитывалось 225, во Франции — 77, в США — 71, в Англии — 58, в Италии и Швеции — по 10, в Финляндии -7, в Чехословакии — 6, в Дании — 3, в Канаде и Японии — по 2, в Голландии и Литве — по одной.</w:t>
      </w:r>
    </w:p>
    <w:p w14:paraId="20D60E84" w14:textId="77777777" w:rsidR="006A4CCD" w:rsidRPr="00507A31" w:rsidRDefault="006A4CCD" w:rsidP="00507A31">
      <w:pPr>
        <w:jc w:val="both"/>
        <w:rPr>
          <w:color w:val="000000" w:themeColor="text1"/>
          <w:sz w:val="16"/>
          <w:szCs w:val="16"/>
        </w:rPr>
      </w:pPr>
      <w:r w:rsidRPr="00507A31">
        <w:rPr>
          <w:color w:val="000000" w:themeColor="text1"/>
          <w:sz w:val="16"/>
          <w:szCs w:val="16"/>
        </w:rPr>
        <w:t>Кроме того, ОВЗ напрямую работал и с английским акционерным обществом развития торговли с СССР «Аркос», германо-русским складочным и транспортным обществом с ограниченной ответственностью «Дерутра», русско- германским обществом воздушных сообщений «Дерулюфт», русско-австрийским торгово-промышленным акционерным обществом «Русавторг» и еще с десятком государственных акционерных обществ и всесоюзных объединений по экспорту и импорту, в том числе с Государственным ружейно-пулеметным трестом («Ружтрест»), Особым техническим бюро военных изобретений НКО СССР («Остехбюро»), «Технопромимпортом», Экспериментальной мастерской новейших изобретений («Эксмани») и с другими организациями.</w:t>
      </w:r>
    </w:p>
    <w:p w14:paraId="4EF79A6B" w14:textId="77777777" w:rsidR="006A4CCD" w:rsidRPr="00507A31" w:rsidRDefault="006A4CCD" w:rsidP="00507A31">
      <w:pPr>
        <w:jc w:val="both"/>
        <w:rPr>
          <w:color w:val="000000" w:themeColor="text1"/>
          <w:sz w:val="16"/>
          <w:szCs w:val="16"/>
        </w:rPr>
      </w:pPr>
      <w:r w:rsidRPr="00507A31">
        <w:rPr>
          <w:color w:val="000000" w:themeColor="text1"/>
          <w:sz w:val="16"/>
          <w:szCs w:val="16"/>
        </w:rPr>
        <w:t>По новому Временному положению 1931 г. ОВЗ был объявлен нештатным органом Наркомата по военным и морским делам, выполняющим функцию по линии НКВТ и имеющим права импортного объединения, самостоятельно реализующего заказы НКВМ СССР. В том же году по «Положению об Уполномоченном НКВМ при НКВТ» Уполномоченный стал подчиняться Наркомвоенмору через его заместителя, а по специальным вопросам, касающимся внешней торговли, — напрямую Наркому внешней торговли (18272).</w:t>
      </w:r>
    </w:p>
    <w:p w14:paraId="0BEBEB1E" w14:textId="77777777" w:rsidR="006A4CCD" w:rsidRPr="00507A31" w:rsidRDefault="006A4CCD" w:rsidP="00507A31">
      <w:pPr>
        <w:jc w:val="both"/>
        <w:rPr>
          <w:color w:val="000000" w:themeColor="text1"/>
          <w:sz w:val="16"/>
          <w:szCs w:val="16"/>
        </w:rPr>
      </w:pPr>
    </w:p>
    <w:p w14:paraId="74A7951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C109B14" w14:textId="77777777" w:rsidR="00537E5F" w:rsidRPr="00507A31" w:rsidRDefault="00537E5F" w:rsidP="00507A31">
      <w:pPr>
        <w:autoSpaceDE w:val="0"/>
        <w:autoSpaceDN w:val="0"/>
        <w:adjustRightInd w:val="0"/>
        <w:jc w:val="both"/>
        <w:rPr>
          <w:iCs/>
          <w:color w:val="000000" w:themeColor="text1"/>
          <w:sz w:val="16"/>
          <w:szCs w:val="16"/>
        </w:rPr>
      </w:pPr>
    </w:p>
    <w:p w14:paraId="041A3F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сентября 1930 года Политбюро заслушав доклад Акулова, и Балицкого, утвердило решение коллегии ОГПУ о применении высшей мере социальной защиты по отношению к шести вредителям из Донбасса (11248).</w:t>
      </w:r>
    </w:p>
    <w:p w14:paraId="7E0DBC9C" w14:textId="77777777" w:rsidR="00537E5F" w:rsidRPr="00507A31" w:rsidRDefault="00537E5F" w:rsidP="00507A31">
      <w:pPr>
        <w:autoSpaceDE w:val="0"/>
        <w:autoSpaceDN w:val="0"/>
        <w:adjustRightInd w:val="0"/>
        <w:jc w:val="both"/>
        <w:rPr>
          <w:color w:val="000000" w:themeColor="text1"/>
          <w:sz w:val="16"/>
          <w:szCs w:val="16"/>
        </w:rPr>
      </w:pPr>
    </w:p>
    <w:p w14:paraId="7009AE85" w14:textId="77777777" w:rsidR="006A4CCD" w:rsidRPr="00507A31" w:rsidRDefault="006A4CCD"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E791C47" w14:textId="77777777" w:rsidR="006A4CCD" w:rsidRPr="00507A31" w:rsidRDefault="006A4CCD" w:rsidP="00507A31">
      <w:pPr>
        <w:autoSpaceDE w:val="0"/>
        <w:autoSpaceDN w:val="0"/>
        <w:adjustRightInd w:val="0"/>
        <w:jc w:val="both"/>
        <w:rPr>
          <w:iCs/>
          <w:color w:val="000000" w:themeColor="text1"/>
          <w:sz w:val="16"/>
          <w:szCs w:val="16"/>
        </w:rPr>
      </w:pPr>
    </w:p>
    <w:p w14:paraId="473EA24A" w14:textId="77777777" w:rsidR="006A4CCD" w:rsidRPr="00507A31" w:rsidRDefault="006A4CCD" w:rsidP="00507A31">
      <w:pPr>
        <w:jc w:val="both"/>
        <w:rPr>
          <w:color w:val="000000" w:themeColor="text1"/>
          <w:sz w:val="16"/>
          <w:szCs w:val="16"/>
        </w:rPr>
      </w:pPr>
      <w:r w:rsidRPr="00507A31">
        <w:rPr>
          <w:color w:val="000000" w:themeColor="text1"/>
          <w:sz w:val="16"/>
          <w:szCs w:val="16"/>
          <w:shd w:val="clear" w:color="auto" w:fill="FFFFFF"/>
        </w:rPr>
        <w:t>30 сентября 1930 года первая попытка Пикара достигнуть большой высоты оказалась неудачной. По причине перетяжеления и последующего повреждения гондолы стратостат не смог оторваться от земли. Однако менее чем через год, 27 мая 1931 года, бельгийский экипаж в составе О.Пикара и П.Кипфера впервые достиг стратосферы. Покоренная стратонавтами высота оказалась рекордной — она составила 15781 м (19614).</w:t>
      </w:r>
    </w:p>
    <w:p w14:paraId="48E4CA32" w14:textId="77777777" w:rsidR="006A4CCD" w:rsidRPr="00507A31" w:rsidRDefault="006A4CCD" w:rsidP="00507A31">
      <w:pPr>
        <w:jc w:val="both"/>
        <w:rPr>
          <w:color w:val="000000" w:themeColor="text1"/>
          <w:sz w:val="16"/>
          <w:szCs w:val="16"/>
        </w:rPr>
      </w:pPr>
    </w:p>
    <w:p w14:paraId="0C2DCDC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43C67E4" w14:textId="77777777" w:rsidR="00537E5F" w:rsidRPr="00507A31" w:rsidRDefault="00537E5F" w:rsidP="00507A31">
      <w:pPr>
        <w:autoSpaceDE w:val="0"/>
        <w:autoSpaceDN w:val="0"/>
        <w:adjustRightInd w:val="0"/>
        <w:jc w:val="both"/>
        <w:rPr>
          <w:iCs/>
          <w:color w:val="000000" w:themeColor="text1"/>
          <w:sz w:val="16"/>
          <w:szCs w:val="16"/>
        </w:rPr>
      </w:pPr>
    </w:p>
    <w:p w14:paraId="2C6A87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сентября 1930 закончились гос. испытания АНТ-7 Р-6 в двух вариантах, которые проходили с 11 марта. Решили, что ТТТ УВВС удовлетворяет, но потребовались дополнительные испытания, которые прошли с 25 сентября по 17 октября 1930 (1017,203). Машины были с БМВ-6 NN 16580 и 16583) (1017,203).</w:t>
      </w:r>
    </w:p>
    <w:p w14:paraId="0DE85B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это было 1 сентября 1930 (но вряд ли) и шли испытания с 24 июля 1930 и Р-6 был в двух вариантах: самолет воздушного боя и разведчик (346,35).</w:t>
      </w:r>
    </w:p>
    <w:p w14:paraId="25FDA9EE" w14:textId="77777777" w:rsidR="00537E5F" w:rsidRPr="00507A31" w:rsidRDefault="00537E5F" w:rsidP="00507A31">
      <w:pPr>
        <w:autoSpaceDE w:val="0"/>
        <w:autoSpaceDN w:val="0"/>
        <w:adjustRightInd w:val="0"/>
        <w:jc w:val="both"/>
        <w:rPr>
          <w:color w:val="000000" w:themeColor="text1"/>
          <w:sz w:val="16"/>
          <w:szCs w:val="16"/>
        </w:rPr>
      </w:pPr>
    </w:p>
    <w:p w14:paraId="0F6CE3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сентября 1930 закончились вторичные испытания самолета Р6 с 2-мя моторами БМВVI, которые прошли с 24 июля 1930</w:t>
      </w:r>
    </w:p>
    <w:p w14:paraId="5F562B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Потом 1 секция НТК Постановила:</w:t>
      </w:r>
    </w:p>
    <w:p w14:paraId="07C112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своим летным данным самолет по варианту "А" (многоместный истребитель) техническим требованиям удовлетворяет. Проверку выполнения самолетом боевых эволюций НИИ не произвел.</w:t>
      </w:r>
    </w:p>
    <w:p w14:paraId="14E391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Вопрос о принятии самолета на вооружение решить совместно с 1 Управлением УВВС по представлении НИИ дополнительных материалов (3273).</w:t>
      </w:r>
    </w:p>
    <w:p w14:paraId="79589CAB" w14:textId="77777777" w:rsidR="00537E5F" w:rsidRPr="00507A31" w:rsidRDefault="00537E5F" w:rsidP="00507A31">
      <w:pPr>
        <w:autoSpaceDE w:val="0"/>
        <w:autoSpaceDN w:val="0"/>
        <w:adjustRightInd w:val="0"/>
        <w:jc w:val="both"/>
        <w:rPr>
          <w:color w:val="000000" w:themeColor="text1"/>
          <w:sz w:val="16"/>
          <w:szCs w:val="16"/>
        </w:rPr>
      </w:pPr>
    </w:p>
    <w:p w14:paraId="577F51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сентября 1930 закончились повторные госиспытания Р-6, которые шли с 24 июля. На этот раз результаты оказались куда лучше. Поднялась скорость на высотах более 2000 м, значительно возрос потолок. С другой стороны, несколько увеличились посадочная скорость и время выполнения виражей и восьмерок (на 5 - 6 с). По отзывам летчиков, самолет стал проще и удобнее в эксплуатации, улучшился обзор для пилота. Тряска оперения исчезла. Общий вывод был таков: "По своим летным данным самолет техническим требованиям удовлетворяет". Это не значит, что туполевцам удалось устранить все недостатки машины. ВНИИ ВВС продолжали считать, что и после доработки конструкция Р-6 перетяжелена.</w:t>
      </w:r>
    </w:p>
    <w:p w14:paraId="4A7494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Нашли и новые недостатки. Моторы теперь забрызгивали радиаторы маслом, и охлаждение постепенно ухудшалось. Патрубки глушителей выбрасывали выхлопные газы в сторону открытой пилотской кабины, попутно оглушая летчика. Из-за плохой амортизации деформировались обтекатели осей шасси. Козырек пилотской кабины оказался слабоват - гнулся и трескался от напора воздуха. В кабину отчаянно задувало и спереди, и с боков, и даже изнутри самолета. Работники НИИ ВВС требовали усилить недостаточно жесткие моторамы, заменить в окошке у летнаба мутный целлулоид на триплекс, одеть чехол на гнездо костыля, поставить ограничитель на заднюю турель, предотвращающий прострел хвостового оперения, и радиостанцию ВОЗ IV, записанную в задании. Появилось предложение дополнить вооружение двумя неподвижными пулеметами ПВ-1, стреляющими вперед (12036).</w:t>
      </w:r>
    </w:p>
    <w:p w14:paraId="756B3CD2" w14:textId="77777777" w:rsidR="00537E5F" w:rsidRPr="00507A31" w:rsidRDefault="00537E5F" w:rsidP="00507A31">
      <w:pPr>
        <w:autoSpaceDE w:val="0"/>
        <w:autoSpaceDN w:val="0"/>
        <w:adjustRightInd w:val="0"/>
        <w:jc w:val="both"/>
        <w:rPr>
          <w:color w:val="000000" w:themeColor="text1"/>
          <w:sz w:val="16"/>
          <w:szCs w:val="16"/>
        </w:rPr>
      </w:pPr>
    </w:p>
    <w:p w14:paraId="2E092A1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0A1950B" w14:textId="77777777" w:rsidR="00537E5F" w:rsidRPr="00507A31" w:rsidRDefault="00537E5F" w:rsidP="00507A31">
      <w:pPr>
        <w:autoSpaceDE w:val="0"/>
        <w:autoSpaceDN w:val="0"/>
        <w:adjustRightInd w:val="0"/>
        <w:jc w:val="both"/>
        <w:rPr>
          <w:iCs/>
          <w:color w:val="000000" w:themeColor="text1"/>
          <w:sz w:val="16"/>
          <w:szCs w:val="16"/>
        </w:rPr>
      </w:pPr>
    </w:p>
    <w:p w14:paraId="41DFA0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сентября 1930 Н.Н.П. был смещен с должности руководителя бригады (в которой он проработал чуть больше 4 месяцев) и переведен на должность старшего инженера по расчетам. Причины - не известны (228,81).</w:t>
      </w:r>
    </w:p>
    <w:p w14:paraId="3B102494" w14:textId="77777777" w:rsidR="00537E5F" w:rsidRPr="00507A31" w:rsidRDefault="00537E5F" w:rsidP="00507A31">
      <w:pPr>
        <w:autoSpaceDE w:val="0"/>
        <w:autoSpaceDN w:val="0"/>
        <w:adjustRightInd w:val="0"/>
        <w:jc w:val="both"/>
        <w:rPr>
          <w:color w:val="000000" w:themeColor="text1"/>
          <w:sz w:val="16"/>
          <w:szCs w:val="16"/>
        </w:rPr>
      </w:pPr>
    </w:p>
    <w:p w14:paraId="755819E1" w14:textId="77777777" w:rsidR="00084750" w:rsidRPr="00507A31" w:rsidRDefault="00084750"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FE5BDF4" w14:textId="77777777" w:rsidR="00084750" w:rsidRPr="00507A31" w:rsidRDefault="00084750" w:rsidP="00507A31">
      <w:pPr>
        <w:autoSpaceDE w:val="0"/>
        <w:autoSpaceDN w:val="0"/>
        <w:adjustRightInd w:val="0"/>
        <w:jc w:val="both"/>
        <w:rPr>
          <w:iCs/>
          <w:color w:val="000000" w:themeColor="text1"/>
          <w:sz w:val="16"/>
          <w:szCs w:val="16"/>
        </w:rPr>
      </w:pPr>
    </w:p>
    <w:p w14:paraId="3BB5252A" w14:textId="77777777" w:rsidR="00084750" w:rsidRPr="00507A31" w:rsidRDefault="00084750" w:rsidP="00507A31">
      <w:pPr>
        <w:jc w:val="both"/>
        <w:rPr>
          <w:color w:val="000000" w:themeColor="text1"/>
          <w:sz w:val="16"/>
          <w:szCs w:val="16"/>
        </w:rPr>
      </w:pPr>
      <w:r w:rsidRPr="00507A31">
        <w:rPr>
          <w:color w:val="000000" w:themeColor="text1"/>
          <w:sz w:val="16"/>
          <w:szCs w:val="16"/>
        </w:rPr>
        <w:t>В конце сентября 1930 на головном заводе в Дессау собрали первый прототип самолета, обозначенного Ju 52/1mba (1m – 1 мотор, заводской номер 4001). В самый последний момент подоспел его “родной” мотор Junkers L 88, и его поставили на машину перед первым полетом. 13 октября флюгкапитан Вильгельм Циммерман поднял Ju 52/1mba в воздух. Проблемы с балансировкой и системой управления не позволили быстро закончить летные испытания. 10 февраля 1931 самолет получил регистрационный номер D-1974. Руководство фирмы хотело использовать прототип с рекламными целями и пыталось организовать перелет в Тегеран, но от этой идеи отказались в пользу перелета по маршруту Будапешт - Бухарест - София - Белград - Афины - Вена – Прага, протяженностью 6000 км. Самолетом заинтересовался французский военный атташе, подозревавший о возможности военного использования машины, ведь самолет осматривался представителями Рейхсвера 4 ноября 1930 года. Во время испытаний однодвигательного варианта началась постройка трехдвигательной пассажирской модификации. Через некоторое время на D-1974 установили макеты двух дополнительных двигателей на крыло и провели серию испытательных полетов для исследования летных характеристик (19012).</w:t>
      </w:r>
    </w:p>
    <w:p w14:paraId="2F5F88D6" w14:textId="77777777" w:rsidR="00084750" w:rsidRPr="00507A31" w:rsidRDefault="00084750" w:rsidP="00507A31">
      <w:pPr>
        <w:jc w:val="both"/>
        <w:rPr>
          <w:color w:val="000000" w:themeColor="text1"/>
          <w:sz w:val="16"/>
          <w:szCs w:val="16"/>
        </w:rPr>
      </w:pPr>
    </w:p>
    <w:p w14:paraId="7F1145A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4A9A4DB" w14:textId="77777777" w:rsidR="00537E5F" w:rsidRPr="00507A31" w:rsidRDefault="00537E5F" w:rsidP="00507A31">
      <w:pPr>
        <w:autoSpaceDE w:val="0"/>
        <w:autoSpaceDN w:val="0"/>
        <w:adjustRightInd w:val="0"/>
        <w:jc w:val="both"/>
        <w:rPr>
          <w:iCs/>
          <w:color w:val="000000" w:themeColor="text1"/>
          <w:sz w:val="16"/>
          <w:szCs w:val="16"/>
        </w:rPr>
      </w:pPr>
    </w:p>
    <w:p w14:paraId="0B263E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года в завод № 39 вливают завод № 25, МОС завода № 22 и МОС завода № 28, причем объединенному КБ присваивается название ЦКБ Авиатреста.</w:t>
      </w:r>
    </w:p>
    <w:p w14:paraId="552CFF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1931 года совместное существование ЦКБ и опытного производства прекратилось – приказом по ВАО ЦКБ было переброшено в ЦАГИ.</w:t>
      </w:r>
    </w:p>
    <w:p w14:paraId="3A5E03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1931 года заводу было предложено перестроиться на производство серий больших самолетов ТБ-3.</w:t>
      </w:r>
    </w:p>
    <w:p w14:paraId="43C125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Весь 1932 год завод развивал серийное производство самолетов ТБ3, но в феврале 1933 года новым указанием ГУАПа заводу было предприсано вновь вернуться к опытному самолетостроению и организовать одновременно производство малых серий.</w:t>
      </w:r>
    </w:p>
    <w:p w14:paraId="63C2A5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3D435F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Арлазорову - ЦКБ создали осенью 1930 на базе КБ Д.П.Г., организованного в Бутырках и после успеха И-5 (79,125).</w:t>
      </w:r>
    </w:p>
    <w:p w14:paraId="5CC416BC" w14:textId="77777777" w:rsidR="00537E5F" w:rsidRPr="00507A31" w:rsidRDefault="00537E5F" w:rsidP="00507A31">
      <w:pPr>
        <w:autoSpaceDE w:val="0"/>
        <w:autoSpaceDN w:val="0"/>
        <w:adjustRightInd w:val="0"/>
        <w:jc w:val="both"/>
        <w:rPr>
          <w:color w:val="000000" w:themeColor="text1"/>
          <w:sz w:val="16"/>
          <w:szCs w:val="16"/>
        </w:rPr>
      </w:pPr>
    </w:p>
    <w:p w14:paraId="69A90C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последовало решение о запуске И-5 в серийное производство, которое продолжалось до 1935 г. Горьковский авиазавод №21 произвел чуть более 800 таких истребителей, которые на протяжении ряда лет составляли основу истребительной авиации ВВС Красной Армии (6593).</w:t>
      </w:r>
    </w:p>
    <w:p w14:paraId="153E56CF" w14:textId="77777777" w:rsidR="00537E5F" w:rsidRPr="00507A31" w:rsidRDefault="00537E5F" w:rsidP="00507A31">
      <w:pPr>
        <w:autoSpaceDE w:val="0"/>
        <w:autoSpaceDN w:val="0"/>
        <w:adjustRightInd w:val="0"/>
        <w:jc w:val="both"/>
        <w:rPr>
          <w:color w:val="000000" w:themeColor="text1"/>
          <w:sz w:val="16"/>
          <w:szCs w:val="16"/>
        </w:rPr>
      </w:pPr>
    </w:p>
    <w:p w14:paraId="139511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сентября 1930 г. КБ завода № 25, которое первоначально входило в состав ЦКБ на правах независимого филиала, полностью влилось в состав ЦКБ (10667).</w:t>
      </w:r>
    </w:p>
    <w:p w14:paraId="58DB8D93" w14:textId="77777777" w:rsidR="00537E5F" w:rsidRPr="00507A31" w:rsidRDefault="00537E5F" w:rsidP="00507A31">
      <w:pPr>
        <w:autoSpaceDE w:val="0"/>
        <w:autoSpaceDN w:val="0"/>
        <w:adjustRightInd w:val="0"/>
        <w:jc w:val="both"/>
        <w:rPr>
          <w:color w:val="000000" w:themeColor="text1"/>
          <w:sz w:val="16"/>
          <w:szCs w:val="16"/>
        </w:rPr>
      </w:pPr>
    </w:p>
    <w:p w14:paraId="79D31A03" w14:textId="77777777" w:rsidR="00B83B62" w:rsidRPr="00507A31" w:rsidRDefault="00B83B62" w:rsidP="00507A31">
      <w:pPr>
        <w:shd w:val="clear" w:color="auto" w:fill="FFFFFF"/>
        <w:jc w:val="both"/>
        <w:rPr>
          <w:color w:val="000000" w:themeColor="text1"/>
          <w:sz w:val="16"/>
          <w:szCs w:val="16"/>
        </w:rPr>
      </w:pPr>
      <w:r w:rsidRPr="00507A31">
        <w:rPr>
          <w:color w:val="000000" w:themeColor="text1"/>
          <w:sz w:val="16"/>
          <w:szCs w:val="16"/>
        </w:rPr>
        <w:t>В сентябре 1930 года в состав завода № 39 вводится опытный завод № 25 (бывший завод Ф. Моска, располагавшийся неподалеку в окрестностях Центрального аэродрома) (15223).</w:t>
      </w:r>
    </w:p>
    <w:p w14:paraId="3299EE96" w14:textId="77777777" w:rsidR="00B83B62" w:rsidRPr="00507A31" w:rsidRDefault="00B83B62" w:rsidP="00507A31">
      <w:pPr>
        <w:shd w:val="clear" w:color="auto" w:fill="FFFFFF"/>
        <w:jc w:val="both"/>
        <w:rPr>
          <w:color w:val="000000" w:themeColor="text1"/>
          <w:sz w:val="16"/>
          <w:szCs w:val="16"/>
        </w:rPr>
      </w:pPr>
    </w:p>
    <w:p w14:paraId="5662AFF5" w14:textId="77777777" w:rsidR="007816B8" w:rsidRPr="00507A31" w:rsidRDefault="007816B8" w:rsidP="00507A31">
      <w:pPr>
        <w:jc w:val="both"/>
        <w:rPr>
          <w:color w:val="000000" w:themeColor="text1"/>
          <w:sz w:val="16"/>
          <w:szCs w:val="16"/>
        </w:rPr>
      </w:pPr>
      <w:r w:rsidRPr="00507A31">
        <w:rPr>
          <w:color w:val="000000" w:themeColor="text1"/>
          <w:sz w:val="16"/>
          <w:szCs w:val="16"/>
        </w:rPr>
        <w:t>В сентябре 1930 года в состав завода № 39 вводится опытный завод № 25 (бывший завод Ф. Моска, располагавшийся неподалеку в окрестностях Центрального аэродрома). Кроме того, в ЦКБ переводят конструкторские бюро морского опытного самолетостроения (МОС) заводов № № 22 и 28 (62).</w:t>
      </w:r>
    </w:p>
    <w:p w14:paraId="23051E13" w14:textId="77777777" w:rsidR="007816B8" w:rsidRPr="00507A31" w:rsidRDefault="007816B8" w:rsidP="00507A31">
      <w:pPr>
        <w:jc w:val="both"/>
        <w:rPr>
          <w:color w:val="000000" w:themeColor="text1"/>
          <w:sz w:val="16"/>
          <w:szCs w:val="16"/>
        </w:rPr>
      </w:pPr>
      <w:r w:rsidRPr="00507A31">
        <w:rPr>
          <w:color w:val="000000" w:themeColor="text1"/>
          <w:sz w:val="16"/>
          <w:szCs w:val="16"/>
        </w:rPr>
        <w:t>В соответствии с этими преобразованиями, в 30-х годах все основные опытно-конструкторские работы по боевым самолетам в СССР стали осуществляться в двух научных центрах: Центральном конструкторском бюро (ЦКБ ВАО) на заводе № 39 им. Менжинского и ЦАГИ, где находился отдел авиации, гидроавиации и опытного строительства (АГОС ЦАГИ), руководимый А.Н. Туполевым. Авиационный завод № 39 им. Менжинского в те годы чаще называли Центральным опытным заводом. В ЦКБ ВАО стали работать известные в авиационной среде конструкторы С.А. Кочеригин, И.В. Четвериков, В.П. Яценко, В.В. Никитин, А.Н. Рафаэльянц, С.П. Королев – будущий генеральный конструктор космических систем и другие известные специалисты. Руководство морским отделом ЦКБ было доверено И.В. Четверикову. Сотрудниками отдела стали П.Д. Самсонов, В.Б. Шавров, Г.М. Бериев, Я.С. Катураев, А.Л. Добровольский, В.А. Герасимов, Г.М. Можаровский, имеющие значительный опыт работы в гидросамолетостроении.</w:t>
      </w:r>
    </w:p>
    <w:p w14:paraId="165F911A" w14:textId="77777777" w:rsidR="007816B8" w:rsidRPr="00507A31" w:rsidRDefault="007816B8" w:rsidP="00507A31">
      <w:pPr>
        <w:jc w:val="both"/>
        <w:rPr>
          <w:color w:val="000000" w:themeColor="text1"/>
          <w:sz w:val="16"/>
          <w:szCs w:val="16"/>
        </w:rPr>
      </w:pPr>
      <w:r w:rsidRPr="00507A31">
        <w:rPr>
          <w:color w:val="000000" w:themeColor="text1"/>
          <w:sz w:val="16"/>
          <w:szCs w:val="16"/>
        </w:rPr>
        <w:t>В связи с объединением, заводу № 39 были переданы все самолеты, построенные заводом № 25. В основном это были машины, созданные в конструкторском бюро Н.Н. Поликарпова – истребители И-6, И-7, а также одна из модификаций учебного самолета У-2, по которым завод № 39 и продолжил опытные работы. Следует отметить, что еще в конце октября 1929 года Н.Н. Поликарпов был отстранен от руководства КБ завода № 25 (рассказ об этом пойдет ниже) и упомянутыми самолетами занимался С.А. Кочеригин – ВРИД (временно исполняющий должность) главного конструктора завода.</w:t>
      </w:r>
    </w:p>
    <w:p w14:paraId="6B4E4FE2" w14:textId="77777777" w:rsidR="007816B8" w:rsidRPr="00507A31" w:rsidRDefault="007816B8" w:rsidP="00507A31">
      <w:pPr>
        <w:jc w:val="both"/>
        <w:rPr>
          <w:color w:val="000000" w:themeColor="text1"/>
          <w:sz w:val="16"/>
          <w:szCs w:val="16"/>
        </w:rPr>
      </w:pPr>
      <w:r w:rsidRPr="00507A31">
        <w:rPr>
          <w:color w:val="000000" w:themeColor="text1"/>
          <w:sz w:val="16"/>
          <w:szCs w:val="16"/>
        </w:rPr>
        <w:lastRenderedPageBreak/>
        <w:t>Обратимся к сведениям о переданных самолетах (63). Одноместный истребитель И-6 находился в стадии достройки и испытаний. На базе этого самолета предполагалось создать специализированный истребитель–перехватчик, так называемый «истребитель обороны», с высокой по тем временам вертикальной и горизонтальной скоростью. На заводе № 25 самолет строился в 4-х экземплярах: 1-й и 2-й имели некоторые отличия, а конструкции 3-го и 4-го экземпляров были идентичными. Истребитель И-6 представлял собой полутораплан смешанной конструкции, оснащенный двигателем «Юпитер-VI», мощностью 480 л.с. Его фюзеляж–монокок был овального сечения, выклеенный из шпона на специальной форме. Двигатель закрывался дюралюминиевым капотом с индивидуальными обтекателями для каждого цилиндра. Крылья из дерева, двухлонжеронные, обтянутые полотном. Центроплан дюралевый, также обшит полотном. Шасси пирамидальное с резиновой амортизацией. Ожидалось, что истребитель с более мощным мотором «Юпитер» VII (600 л.с) будет развивать скорость у земли до 273 км/ч, на высоте 1000 м – до 285 км/ч, на высоте 5000 м – до 273 км/ч (18293).</w:t>
      </w:r>
    </w:p>
    <w:p w14:paraId="365B8F35" w14:textId="77777777" w:rsidR="007816B8" w:rsidRPr="00507A31" w:rsidRDefault="007816B8" w:rsidP="00507A31">
      <w:pPr>
        <w:jc w:val="both"/>
        <w:rPr>
          <w:color w:val="000000" w:themeColor="text1"/>
          <w:sz w:val="16"/>
          <w:szCs w:val="16"/>
        </w:rPr>
      </w:pPr>
    </w:p>
    <w:p w14:paraId="7191B2B3" w14:textId="77777777" w:rsidR="00B83B62" w:rsidRPr="00507A31" w:rsidRDefault="00B83B62" w:rsidP="00507A31">
      <w:pPr>
        <w:shd w:val="clear" w:color="auto" w:fill="FFFFFF"/>
        <w:jc w:val="both"/>
        <w:rPr>
          <w:color w:val="000000" w:themeColor="text1"/>
          <w:sz w:val="16"/>
          <w:szCs w:val="16"/>
        </w:rPr>
      </w:pPr>
      <w:r w:rsidRPr="00507A31">
        <w:rPr>
          <w:color w:val="000000" w:themeColor="text1"/>
          <w:sz w:val="16"/>
          <w:szCs w:val="16"/>
        </w:rPr>
        <w:t>В сентябре 1930 года в ЦКБ ВАО на заводе № 39 был организован морской отдел, который возглавил И.В. Четвериков. В отдел входили специалисты КБ морского опытного самолетостроения (МОС) заводов № № 22 и 28. Здесь и проводились работы над проектами морских разведчиков МДР-3 и МБР-2. Проектом самолета-амфибии Ш-5 занимался конструктор В.Б. Шавров. Разработка проекта морского дальнего разведчика МДР-3 явилась первой самостоятельной работой И.В. Четверикова. Консультировал молодого конструктора Д.П. Григорович. Этот самолет не пошел в серию, однако отличался несколькими новаторскими решениями, внесенными в его конструкцию Четвериковым. В проекте предполагалось использовать различные конструктивные элементы от бомбардировщика ТБ-5. По своей схеме МДР-3 являлся лодочным гидросамолетом с высоко поставленным подкосным крылом, положенным на лодку, и двухкилевым вертикальным оперением. Также как и бомбардировщик ТБ-5, морской разведчик МДР-3 включал две тандемные силовые установки из четырех двигателей, установленные над центропланом. На МДР-3 впервые применили ступенчатый редан – для всех строившихся впоследствии в нашей стране и за рубежом гидросамолетов этот элемент стал обязательным. Именно Четвериков впервые решился строить корпус лодки по судовым профилям и впервые предложил испытать модель МДР-3 в гидроканале ЦАГИ для определения мореходности самолета. В корпусе лодки имелись кабины для семи членов экипажа. В средней части лодки находился водонепроницаемый отсек, в котором хранилось различное морское оборудование. Для защиты от самолетов противника и для поражения небольших целей на самолете были установлены четыре подвижных турели с пулеметами ДА-2. Под центропланом могли подвешиваться бомбы, общим весом до 500 кг (15223).</w:t>
      </w:r>
    </w:p>
    <w:p w14:paraId="7D81840B" w14:textId="77777777" w:rsidR="00B83B62" w:rsidRPr="00507A31" w:rsidRDefault="00B83B62" w:rsidP="00507A31">
      <w:pPr>
        <w:shd w:val="clear" w:color="auto" w:fill="FFFFFF"/>
        <w:jc w:val="both"/>
        <w:rPr>
          <w:color w:val="000000" w:themeColor="text1"/>
          <w:sz w:val="16"/>
          <w:szCs w:val="16"/>
        </w:rPr>
      </w:pPr>
    </w:p>
    <w:p w14:paraId="6CB3A67C" w14:textId="77777777" w:rsidR="006C30C4" w:rsidRPr="00507A31" w:rsidRDefault="006C30C4" w:rsidP="00507A31">
      <w:pPr>
        <w:jc w:val="both"/>
        <w:rPr>
          <w:color w:val="000000" w:themeColor="text1"/>
          <w:sz w:val="16"/>
          <w:szCs w:val="16"/>
        </w:rPr>
      </w:pPr>
      <w:r w:rsidRPr="00507A31">
        <w:rPr>
          <w:color w:val="000000" w:themeColor="text1"/>
          <w:sz w:val="16"/>
          <w:szCs w:val="16"/>
        </w:rPr>
        <w:t>В сентябре 1930 года в ЦКБ ВАО на заводе № 39 был организован морской отдел, который возглавил И.В. Четвериков. В отдел входили специалисты КБ морского опытного самолетостроения (МОС) заводов № № 22 и 28. Здесь и проводились работы над проектами морских разведчиков МДР-3 и МБР-2. Проектом самолета-амфибии Ш-5 занимался конструктор В.Б. Шавров.</w:t>
      </w:r>
    </w:p>
    <w:p w14:paraId="4306D311" w14:textId="77777777" w:rsidR="006C30C4" w:rsidRPr="00507A31" w:rsidRDefault="006C30C4" w:rsidP="00507A31">
      <w:pPr>
        <w:jc w:val="both"/>
        <w:rPr>
          <w:color w:val="000000" w:themeColor="text1"/>
          <w:sz w:val="16"/>
          <w:szCs w:val="16"/>
        </w:rPr>
      </w:pPr>
      <w:r w:rsidRPr="00507A31">
        <w:rPr>
          <w:color w:val="000000" w:themeColor="text1"/>
          <w:sz w:val="16"/>
          <w:szCs w:val="16"/>
        </w:rPr>
        <w:t>Разработка проекта морского дальнего разведчика МДР-3 явилась первой самостоятельной работой И.В. Четверикова. Консультировал молодого конструктора Д.П. Григорович. Этот самолет не пошел в серию, однако отличался несколькими новаторскими решениями, внесенными в его конструкцию Четвериковым. В проекте предполагалось использовать различные конструктивные элементы от бомбардировщика ТБ-5. По своей схеме МДР-3 являлся лодочным гидросамолетом с высоко поставленным подкосным крылом, положенным на лодку, и двухкилевым вертикальным оперением. Также как и бомбардировщик ТБ-5, морской разведчик МДР-3 включал две тандемные силовые установки из четырех двигателей, установленные над центропланом. На МДР-3 впервые применили ступенчатый редан – для всех строившихся впоследствии в нашей стране и за рубежом гидросамолетов этот элемент стал обязательным. Именно Четвериков впервые решился строить корпус лодки по судовым профилям и впервые предложил испытать модель МДР-3 в гидроканале ЦАГИ для определения мореходности самолета. В корпусе лодки имелись кабины для семи членов экипажа. В средней части лодки находился водонепроницаемый отсек, в котором хранилось различное морское оборудование. Для защиты от самолетов противника и для поражения небольших целей на самолете были установлены четыре подвижных турели с пулеметами ДА-2. Под центропланом могли подвешиваться бомбы, общим весом до 500 кг.</w:t>
      </w:r>
    </w:p>
    <w:p w14:paraId="77DBFBEE" w14:textId="77777777" w:rsidR="006C30C4" w:rsidRPr="00507A31" w:rsidRDefault="006C30C4" w:rsidP="00507A31">
      <w:pPr>
        <w:jc w:val="both"/>
        <w:rPr>
          <w:color w:val="000000" w:themeColor="text1"/>
          <w:sz w:val="16"/>
          <w:szCs w:val="16"/>
        </w:rPr>
      </w:pPr>
      <w:r w:rsidRPr="00507A31">
        <w:rPr>
          <w:color w:val="000000" w:themeColor="text1"/>
          <w:sz w:val="16"/>
          <w:szCs w:val="16"/>
        </w:rPr>
        <w:t>Постройка самолета на заводе № 39 была начата весной 1931 года. Цикл проектирования и постройки МДР-3 занял всего десять месяцев. В декабре самолет перевезли в Севастополь, где уже стояла зима. Сборку самолета проводили в холодном складе, приходилось работать по двенадцать и более часов в сутки, порой и ночью (18293).</w:t>
      </w:r>
    </w:p>
    <w:p w14:paraId="4D5CC19C" w14:textId="77777777" w:rsidR="006C30C4" w:rsidRPr="00507A31" w:rsidRDefault="006C30C4" w:rsidP="00507A31">
      <w:pPr>
        <w:jc w:val="both"/>
        <w:rPr>
          <w:color w:val="000000" w:themeColor="text1"/>
          <w:sz w:val="16"/>
          <w:szCs w:val="16"/>
        </w:rPr>
      </w:pPr>
    </w:p>
    <w:p w14:paraId="7A7C6A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был испытан головной АНТ-9. В 1931-32 сделали 70 (92,354).</w:t>
      </w:r>
    </w:p>
    <w:p w14:paraId="11FEEE31" w14:textId="77777777" w:rsidR="00537E5F" w:rsidRPr="00507A31" w:rsidRDefault="00537E5F" w:rsidP="00507A31">
      <w:pPr>
        <w:autoSpaceDE w:val="0"/>
        <w:autoSpaceDN w:val="0"/>
        <w:adjustRightInd w:val="0"/>
        <w:jc w:val="both"/>
        <w:rPr>
          <w:color w:val="000000" w:themeColor="text1"/>
          <w:sz w:val="16"/>
          <w:szCs w:val="16"/>
        </w:rPr>
      </w:pPr>
    </w:p>
    <w:p w14:paraId="7C048E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успешно прошли испытания двух первых серийных (из 5) АИР-4 (209,24).</w:t>
      </w:r>
    </w:p>
    <w:p w14:paraId="55E5BB2F" w14:textId="77777777" w:rsidR="00537E5F" w:rsidRPr="00507A31" w:rsidRDefault="00537E5F" w:rsidP="00507A31">
      <w:pPr>
        <w:autoSpaceDE w:val="0"/>
        <w:autoSpaceDN w:val="0"/>
        <w:adjustRightInd w:val="0"/>
        <w:jc w:val="both"/>
        <w:rPr>
          <w:color w:val="000000" w:themeColor="text1"/>
          <w:sz w:val="16"/>
          <w:szCs w:val="16"/>
        </w:rPr>
      </w:pPr>
    </w:p>
    <w:p w14:paraId="694AED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сентябре 1930 года два АИР-4 прошли летные испытания с высокой оценкой. Успешные полеты АИР-3 открыли дорогу для его серийной постройки по заказу Осоавиахима. На авиационном заводе имени Менжинского была заложена серия в пять самолетов, названных АИР-4. Вновь была отмечена простота конструкции, дешевизна и прекрасные летные и эксплуатационные качества. Единственное сомнение вызывали у некоторых надежность и выносливость, необходимые для любого самолета, а для самолета связи особенно. </w:t>
      </w:r>
    </w:p>
    <w:p w14:paraId="7A765E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при чем здесь самолет связи? А дело в следующем. Развивая от типа к типу свои авиетки, расширяя круг их возможностей, А. С. Яковлев начиная с АИР-4 помимо спортивных перелетов и агитполетов Осоавиахима приступает к практическому решению еще двух задач, первоначально поставленных им при создании АИР-1. Он стремится к тому, чтобы легкомоторная машина могла служить как учебно-тренировочный самолет с более высокими, чем у биплана Поликарпова У-2, летными характеристиками и как самолет местной исполкомовской связи, "воздушный форд". В помощь трактору, комбайну и форду земному должен был появиться и форд воздушный. Форд был синонимом самого распространенного служебного автомобиля. Позже стали говорить "эмка".</w:t>
      </w:r>
    </w:p>
    <w:p w14:paraId="2A09AC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Эти требования нашли отражение в конструктивных особенностях АИР-4 в сравнении с АИР-3: более широкий фюзеляж и более удобные кабины, двойное управление и двойной комплект приборов, расширение колеи шасси и улучшение амортизации, увеличение максимальной нагрузки. В процессе освоения в серии намечалось повысить устойчивость самолета и уменьшить посадочную скорость и пробег.</w:t>
      </w:r>
    </w:p>
    <w:p w14:paraId="503973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своей конструкции и оборудованию АИР-4 годился и как тренировочный, и как связной самолет. Но из-за отсутствия серийного маломощного мотора обе задачи были окончательно решены позднее, путем перехода на 100-сильный М-11. В 1935-1936 гг. был создан массовый скоростной учебно-спортивный моноплан АИР-10 (в серии - УТ-2) и его одноместный тренировочно-спортивный вариант АИР-14 (в серии - УТ-1), а в 1932-1934 гг. появился и стал выпускаться в больших количествах трехместный АИР-6. За ним и закрепилось название "воздушный форд", по современной терминологии - легкий многоцелевой самолет. А первоначально это название носили АИР-4 и АИР-5.</w:t>
      </w:r>
    </w:p>
    <w:p w14:paraId="470C02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АИР-4 явился дальнейшим развитием АИР-3. Поскольку летные качества последнего признавались хорошими, то все основные параметры, влияющие на аэродинамику, в общем-то не изменились. Переделкам и усовершенствованиям подверглась конструкция самолета, поскольку АИР-4, очевидно, впервые среди отечественных авиеток серийно строился на авиационном заводе. Сказалась и известная требовательность А. С. Яковлева к своим конструкциям. Почти ни одна деталь АИР-3 не пошла в производство без усовершенствования, а некоторые из них - шасси, оперение, устройство кабин, управление и вся бензо-и маслопроводка, увеличенные баки - разрабатывались вновь. Необходимо отметить, что АИР-3 как самолет для дальних перелетов был не вполне выдержан. Шасси и фюзеляж, хотя и взятые с переделками с АИР-1, не соответствовали самолету. Например, колеса весили 13 кг.</w:t>
      </w:r>
    </w:p>
    <w:p w14:paraId="32CC37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Условия заводской постройки привели также к значительному упрощению многих деталей в смысле нормализации и вытекающего отсюда облегчения производственного процесса. При этом вес конструкции оказался всего на 3 кг больше, чем у АИР-3, хотя некоторые изменения потребовали увеличения веса. Самолеты были выполнены заводом очень чисто и отличались прекрасной внешней отделкой.</w:t>
      </w:r>
    </w:p>
    <w:p w14:paraId="5F6A5E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эти изменения, даже после сравнительно небольшого налета - 30 часов - в ходе испытаний, выявили полную свою целесообразность и получили одобрение летчиков и механиков.</w:t>
      </w:r>
    </w:p>
    <w:p w14:paraId="0EAC93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Решено было испытать оба самолета АИР-4 на выносливость, послав их сразу по окончании испытаний в дальние перелеты (11981).</w:t>
      </w:r>
    </w:p>
    <w:p w14:paraId="0D955992" w14:textId="77777777" w:rsidR="00537E5F" w:rsidRPr="00507A31" w:rsidRDefault="00537E5F" w:rsidP="00507A31">
      <w:pPr>
        <w:autoSpaceDE w:val="0"/>
        <w:autoSpaceDN w:val="0"/>
        <w:adjustRightInd w:val="0"/>
        <w:jc w:val="both"/>
        <w:rPr>
          <w:color w:val="000000" w:themeColor="text1"/>
          <w:sz w:val="16"/>
          <w:szCs w:val="16"/>
        </w:rPr>
      </w:pPr>
    </w:p>
    <w:p w14:paraId="3599DD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закончились летные испытания М-23. Мотор работал спокойно, без тряски. Скорость АИР-3 возросла до 165 км/ч против 146 км/ч с двигателем "Вальтер". 13 сентября Ю. И. Пионтковский с уменьшенным запасом топлива - на 2,5 часа - сумел за 45 минут подняться на 5110 м, после чего из-за сильного мороза -18 градусов был вынужден пойти на снижение, не достигнув потолка (11981).</w:t>
      </w:r>
    </w:p>
    <w:p w14:paraId="6ADFD2CC" w14:textId="77777777" w:rsidR="00537E5F" w:rsidRPr="00507A31" w:rsidRDefault="00537E5F" w:rsidP="00507A31">
      <w:pPr>
        <w:autoSpaceDE w:val="0"/>
        <w:autoSpaceDN w:val="0"/>
        <w:adjustRightInd w:val="0"/>
        <w:jc w:val="both"/>
        <w:rPr>
          <w:color w:val="000000" w:themeColor="text1"/>
          <w:sz w:val="16"/>
          <w:szCs w:val="16"/>
        </w:rPr>
      </w:pPr>
    </w:p>
    <w:p w14:paraId="27A6D2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в ЦАГИ был выведен на аэродром первый вертолет ВГ-1 (1-ЭА) (2666,78).</w:t>
      </w:r>
    </w:p>
    <w:p w14:paraId="45E90B9F" w14:textId="77777777" w:rsidR="00537E5F" w:rsidRPr="00507A31" w:rsidRDefault="00537E5F" w:rsidP="00507A31">
      <w:pPr>
        <w:autoSpaceDE w:val="0"/>
        <w:autoSpaceDN w:val="0"/>
        <w:adjustRightInd w:val="0"/>
        <w:jc w:val="both"/>
        <w:rPr>
          <w:color w:val="000000" w:themeColor="text1"/>
          <w:sz w:val="16"/>
          <w:szCs w:val="16"/>
        </w:rPr>
      </w:pPr>
    </w:p>
    <w:p w14:paraId="186FB1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проходили испытания вертолета ЦАГИ 1-ЭА на аэродроме Осоавиахима в Ухтомской (71,187). Летал хорошо и устойчиво (80,399).</w:t>
      </w:r>
    </w:p>
    <w:p w14:paraId="1003B8B2" w14:textId="77777777" w:rsidR="00537E5F" w:rsidRPr="00507A31" w:rsidRDefault="00537E5F" w:rsidP="00507A31">
      <w:pPr>
        <w:autoSpaceDE w:val="0"/>
        <w:autoSpaceDN w:val="0"/>
        <w:adjustRightInd w:val="0"/>
        <w:jc w:val="both"/>
        <w:rPr>
          <w:color w:val="000000" w:themeColor="text1"/>
          <w:sz w:val="16"/>
          <w:szCs w:val="16"/>
        </w:rPr>
      </w:pPr>
    </w:p>
    <w:p w14:paraId="79D14E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сентябре 1930 года на специально оборудованном аэро</w:t>
      </w:r>
      <w:r w:rsidRPr="00507A31">
        <w:rPr>
          <w:color w:val="000000" w:themeColor="text1"/>
          <w:sz w:val="16"/>
          <w:szCs w:val="16"/>
        </w:rPr>
        <w:softHyphen/>
        <w:t>дроме в Ухтомской начались летные испытания вертолета ЦАГИ 1-ЭА. Отрабатывались все режимы полета, наиболее харак</w:t>
      </w:r>
      <w:r w:rsidRPr="00507A31">
        <w:rPr>
          <w:color w:val="000000" w:themeColor="text1"/>
          <w:sz w:val="16"/>
          <w:szCs w:val="16"/>
        </w:rPr>
        <w:softHyphen/>
        <w:t>терные для вертолетов: взлет с места, вертикальный подъем, полет на режи</w:t>
      </w:r>
      <w:r w:rsidRPr="00507A31">
        <w:rPr>
          <w:color w:val="000000" w:themeColor="text1"/>
          <w:sz w:val="16"/>
          <w:szCs w:val="16"/>
        </w:rPr>
        <w:softHyphen/>
        <w:t>ме висения, строго отвесный спуск и посадка в намеченном месте, полет вперед и в стороны, развороты на ре</w:t>
      </w:r>
      <w:r w:rsidRPr="00507A31">
        <w:rPr>
          <w:color w:val="000000" w:themeColor="text1"/>
          <w:sz w:val="16"/>
          <w:szCs w:val="16"/>
        </w:rPr>
        <w:softHyphen/>
        <w:t>жиме висения. Устойчивость вертоле</w:t>
      </w:r>
      <w:r w:rsidRPr="00507A31">
        <w:rPr>
          <w:color w:val="000000" w:themeColor="text1"/>
          <w:sz w:val="16"/>
          <w:szCs w:val="16"/>
        </w:rPr>
        <w:softHyphen/>
        <w:t>та оставляла желать лучшего, А.М. Черемухин отмечал, что в полете он «как на острие иглы». Как рассказы</w:t>
      </w:r>
      <w:r w:rsidRPr="00507A31">
        <w:rPr>
          <w:color w:val="000000" w:themeColor="text1"/>
          <w:sz w:val="16"/>
          <w:szCs w:val="16"/>
        </w:rPr>
        <w:softHyphen/>
        <w:t>вал автору один из участников созда</w:t>
      </w:r>
      <w:r w:rsidRPr="00507A31">
        <w:rPr>
          <w:color w:val="000000" w:themeColor="text1"/>
          <w:sz w:val="16"/>
          <w:szCs w:val="16"/>
        </w:rPr>
        <w:softHyphen/>
        <w:t>ния вертолета ЦАГИ 1-ЭА Иван Пав</w:t>
      </w:r>
      <w:r w:rsidRPr="00507A31">
        <w:rPr>
          <w:color w:val="000000" w:themeColor="text1"/>
          <w:sz w:val="16"/>
          <w:szCs w:val="16"/>
        </w:rPr>
        <w:softHyphen/>
        <w:t>лович Братухин, первые полеты обыч</w:t>
      </w:r>
      <w:r w:rsidRPr="00507A31">
        <w:rPr>
          <w:color w:val="000000" w:themeColor="text1"/>
          <w:sz w:val="16"/>
          <w:szCs w:val="16"/>
        </w:rPr>
        <w:softHyphen/>
        <w:t xml:space="preserve">но проводились на рассвете, в </w:t>
      </w:r>
      <w:r w:rsidRPr="00507A31">
        <w:rPr>
          <w:color w:val="000000" w:themeColor="text1"/>
          <w:sz w:val="16"/>
          <w:szCs w:val="16"/>
        </w:rPr>
        <w:lastRenderedPageBreak/>
        <w:t>корот</w:t>
      </w:r>
      <w:r w:rsidRPr="00507A31">
        <w:rPr>
          <w:color w:val="000000" w:themeColor="text1"/>
          <w:sz w:val="16"/>
          <w:szCs w:val="16"/>
        </w:rPr>
        <w:softHyphen/>
        <w:t>кую пору затишья, когда совершенно нет ветра, столь опасного для поле</w:t>
      </w:r>
      <w:r w:rsidRPr="00507A31">
        <w:rPr>
          <w:color w:val="000000" w:themeColor="text1"/>
          <w:sz w:val="16"/>
          <w:szCs w:val="16"/>
        </w:rPr>
        <w:softHyphen/>
        <w:t>тов. Характеристики устойчивости и уп</w:t>
      </w:r>
      <w:r w:rsidRPr="00507A31">
        <w:rPr>
          <w:color w:val="000000" w:themeColor="text1"/>
          <w:sz w:val="16"/>
          <w:szCs w:val="16"/>
        </w:rPr>
        <w:softHyphen/>
        <w:t>равляемости испытываемого вертоле</w:t>
      </w:r>
      <w:r w:rsidRPr="00507A31">
        <w:rPr>
          <w:color w:val="000000" w:themeColor="text1"/>
          <w:sz w:val="16"/>
          <w:szCs w:val="16"/>
        </w:rPr>
        <w:softHyphen/>
        <w:t>та еще были далеки от совершенства. В первом полете вертолет, оторвав</w:t>
      </w:r>
      <w:r w:rsidRPr="00507A31">
        <w:rPr>
          <w:color w:val="000000" w:themeColor="text1"/>
          <w:sz w:val="16"/>
          <w:szCs w:val="16"/>
        </w:rPr>
        <w:softHyphen/>
        <w:t>шись от земли, завис на высоте 1-3 м, затем начал вертикально поднимать</w:t>
      </w:r>
      <w:r w:rsidRPr="00507A31">
        <w:rPr>
          <w:color w:val="000000" w:themeColor="text1"/>
          <w:sz w:val="16"/>
          <w:szCs w:val="16"/>
        </w:rPr>
        <w:softHyphen/>
        <w:t>ся. Достигнув высоты 10 м, пошел на вертикальное снижение и совершил по</w:t>
      </w:r>
      <w:r w:rsidRPr="00507A31">
        <w:rPr>
          <w:color w:val="000000" w:themeColor="text1"/>
          <w:sz w:val="16"/>
          <w:szCs w:val="16"/>
        </w:rPr>
        <w:softHyphen/>
        <w:t>садку (11401).</w:t>
      </w:r>
    </w:p>
    <w:p w14:paraId="6DB388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B8C3A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сентябре 1930 года на рассвете геликоптер ЦАГИ 1-ЭА разместили на якорной стоянке. Запущены двигатели, после</w:t>
      </w:r>
      <w:r w:rsidRPr="00507A31">
        <w:rPr>
          <w:color w:val="000000" w:themeColor="text1"/>
          <w:sz w:val="16"/>
          <w:szCs w:val="16"/>
        </w:rPr>
        <w:softHyphen/>
        <w:t>днее предполетное опробование всех механизмов, последние тренировоч</w:t>
      </w:r>
      <w:r w:rsidRPr="00507A31">
        <w:rPr>
          <w:color w:val="000000" w:themeColor="text1"/>
          <w:sz w:val="16"/>
          <w:szCs w:val="16"/>
        </w:rPr>
        <w:softHyphen/>
        <w:t>ные подъемы на привязи. Затем маши</w:t>
      </w:r>
      <w:r w:rsidRPr="00507A31">
        <w:rPr>
          <w:color w:val="000000" w:themeColor="text1"/>
          <w:sz w:val="16"/>
          <w:szCs w:val="16"/>
        </w:rPr>
        <w:softHyphen/>
        <w:t>на выводится на старт его создателем и пилотом Черемухиным. «Время для этого полета было выбрано ранним утром, примерно с восходом солнца, пока в воздухе еще был приятный для моторов утренний холодок и спокойная атмосфера, крайне необходимая для такого ответственного начала поле</w:t>
      </w:r>
      <w:r w:rsidRPr="00507A31">
        <w:rPr>
          <w:color w:val="000000" w:themeColor="text1"/>
          <w:sz w:val="16"/>
          <w:szCs w:val="16"/>
        </w:rPr>
        <w:softHyphen/>
        <w:t>тов. .. Я сел на место пилота, прове</w:t>
      </w:r>
      <w:r w:rsidRPr="00507A31">
        <w:rPr>
          <w:color w:val="000000" w:themeColor="text1"/>
          <w:sz w:val="16"/>
          <w:szCs w:val="16"/>
        </w:rPr>
        <w:softHyphen/>
        <w:t>рил, что было можно, и дал команду за</w:t>
      </w:r>
      <w:r w:rsidRPr="00507A31">
        <w:rPr>
          <w:color w:val="000000" w:themeColor="text1"/>
          <w:sz w:val="16"/>
          <w:szCs w:val="16"/>
        </w:rPr>
        <w:softHyphen/>
        <w:t>пустить моторы. Вот моторы запущены, винты вращаются, механики ото</w:t>
      </w:r>
      <w:r w:rsidRPr="00507A31">
        <w:rPr>
          <w:color w:val="000000" w:themeColor="text1"/>
          <w:sz w:val="16"/>
          <w:szCs w:val="16"/>
        </w:rPr>
        <w:softHyphen/>
        <w:t>шли от аппарата. Можно взлетать. Понемногу прибавляю газ моторам. Вращение винтов становится быст</w:t>
      </w:r>
      <w:r w:rsidRPr="00507A31">
        <w:rPr>
          <w:color w:val="000000" w:themeColor="text1"/>
          <w:sz w:val="16"/>
          <w:szCs w:val="16"/>
        </w:rPr>
        <w:softHyphen/>
        <w:t>рее, и аппарат начинает как бы облег</w:t>
      </w:r>
      <w:r w:rsidRPr="00507A31">
        <w:rPr>
          <w:color w:val="000000" w:themeColor="text1"/>
          <w:sz w:val="16"/>
          <w:szCs w:val="16"/>
        </w:rPr>
        <w:softHyphen/>
        <w:t>чаться и отделяться от земли. Еще газу. Аппарат поднялся на 3-4 метра и как бы остановился на этой высоте, все время покачиваясь со стороны на сторону, но поддаваясь управлению. Попробовал чуть убавить газ - аппа</w:t>
      </w:r>
      <w:r w:rsidRPr="00507A31">
        <w:rPr>
          <w:color w:val="000000" w:themeColor="text1"/>
          <w:sz w:val="16"/>
          <w:szCs w:val="16"/>
        </w:rPr>
        <w:softHyphen/>
        <w:t>рат снизился и завис над самой землей. Опять прибавил газу и, поднявшись на несколько метров, продержался неко</w:t>
      </w:r>
      <w:r w:rsidRPr="00507A31">
        <w:rPr>
          <w:color w:val="000000" w:themeColor="text1"/>
          <w:sz w:val="16"/>
          <w:szCs w:val="16"/>
        </w:rPr>
        <w:softHyphen/>
        <w:t>торое время над землей, стараясь про</w:t>
      </w:r>
      <w:r w:rsidRPr="00507A31">
        <w:rPr>
          <w:color w:val="000000" w:themeColor="text1"/>
          <w:sz w:val="16"/>
          <w:szCs w:val="16"/>
        </w:rPr>
        <w:softHyphen/>
        <w:t>чувствовать и понять, как реагирует машина на движение ручки управления, что трясется и как держатся обороты мотора. После этих нескольких напря</w:t>
      </w:r>
      <w:r w:rsidRPr="00507A31">
        <w:rPr>
          <w:color w:val="000000" w:themeColor="text1"/>
          <w:sz w:val="16"/>
          <w:szCs w:val="16"/>
        </w:rPr>
        <w:softHyphen/>
        <w:t>женных минут - спуск на землю, мяг</w:t>
      </w:r>
      <w:r w:rsidRPr="00507A31">
        <w:rPr>
          <w:color w:val="000000" w:themeColor="text1"/>
          <w:sz w:val="16"/>
          <w:szCs w:val="16"/>
        </w:rPr>
        <w:softHyphen/>
        <w:t>кий, почти без толчка. Сразу сбрасы</w:t>
      </w:r>
      <w:r w:rsidRPr="00507A31">
        <w:rPr>
          <w:color w:val="000000" w:themeColor="text1"/>
          <w:sz w:val="16"/>
          <w:szCs w:val="16"/>
        </w:rPr>
        <w:softHyphen/>
        <w:t>ваю газ, выключаю моторы и слезаю на землю под радостные возгласы одобре</w:t>
      </w:r>
      <w:r w:rsidRPr="00507A31">
        <w:rPr>
          <w:color w:val="000000" w:themeColor="text1"/>
          <w:sz w:val="16"/>
          <w:szCs w:val="16"/>
        </w:rPr>
        <w:softHyphen/>
        <w:t>ния группы работников нашего коллек</w:t>
      </w:r>
      <w:r w:rsidRPr="00507A31">
        <w:rPr>
          <w:color w:val="000000" w:themeColor="text1"/>
          <w:sz w:val="16"/>
          <w:szCs w:val="16"/>
        </w:rPr>
        <w:softHyphen/>
        <w:t>тива, принимавших участие в этом пер</w:t>
      </w:r>
      <w:r w:rsidRPr="00507A31">
        <w:rPr>
          <w:color w:val="000000" w:themeColor="text1"/>
          <w:sz w:val="16"/>
          <w:szCs w:val="16"/>
        </w:rPr>
        <w:softHyphen/>
        <w:t>вом полете на первом советском гели</w:t>
      </w:r>
      <w:r w:rsidRPr="00507A31">
        <w:rPr>
          <w:color w:val="000000" w:themeColor="text1"/>
          <w:sz w:val="16"/>
          <w:szCs w:val="16"/>
        </w:rPr>
        <w:softHyphen/>
        <w:t>коптере 1-ЭА...». Почти каждый день в предрассвет</w:t>
      </w:r>
      <w:r w:rsidRPr="00507A31">
        <w:rPr>
          <w:color w:val="000000" w:themeColor="text1"/>
          <w:sz w:val="16"/>
          <w:szCs w:val="16"/>
        </w:rPr>
        <w:softHyphen/>
        <w:t>ные часы, когда был штиль, полеты сле</w:t>
      </w:r>
      <w:r w:rsidRPr="00507A31">
        <w:rPr>
          <w:color w:val="000000" w:themeColor="text1"/>
          <w:sz w:val="16"/>
          <w:szCs w:val="16"/>
        </w:rPr>
        <w:softHyphen/>
        <w:t>довали один за другим. Шаг за шагом, осваивая геликоптер и выявляя его новые возможности, Черемухин все более уверенно выполняет эволюции и режимы, присущие только винток</w:t>
      </w:r>
      <w:r w:rsidRPr="00507A31">
        <w:rPr>
          <w:color w:val="000000" w:themeColor="text1"/>
          <w:sz w:val="16"/>
          <w:szCs w:val="16"/>
        </w:rPr>
        <w:softHyphen/>
        <w:t>рылой машине. За время испытаний достигнуты: максимальная высота полета - 605 м, наибольшая продолжительность -14 мин., максимальная скорость го</w:t>
      </w:r>
      <w:r w:rsidRPr="00507A31">
        <w:rPr>
          <w:color w:val="000000" w:themeColor="text1"/>
          <w:sz w:val="16"/>
          <w:szCs w:val="16"/>
        </w:rPr>
        <w:softHyphen/>
        <w:t>ризонтального полета - 21 км/ч (10735).</w:t>
      </w:r>
    </w:p>
    <w:p w14:paraId="6DBEC0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9DB17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сентябре 1930 г. на специально оборудованном аэродроме в Ухтомской начались летные испытаний вертолета ЦАГИ-1ЭА. Постепенно отрабатывались все режимы полета, наи</w:t>
      </w:r>
      <w:r w:rsidRPr="00507A31">
        <w:rPr>
          <w:color w:val="000000" w:themeColor="text1"/>
          <w:sz w:val="16"/>
          <w:szCs w:val="16"/>
        </w:rPr>
        <w:softHyphen/>
        <w:t>более характерные для вертолетов: взлет с места, вертикальный подъем, полет на режиме висения, строго отвесный спуск и по</w:t>
      </w:r>
      <w:r w:rsidRPr="00507A31">
        <w:rPr>
          <w:color w:val="000000" w:themeColor="text1"/>
          <w:sz w:val="16"/>
          <w:szCs w:val="16"/>
        </w:rPr>
        <w:softHyphen/>
        <w:t>садка в намеченном месте, полет вперед и в стороны и развороты на режиме висения. Первые полеты обычно проводи</w:t>
      </w:r>
      <w:r w:rsidRPr="00507A31">
        <w:rPr>
          <w:color w:val="000000" w:themeColor="text1"/>
          <w:sz w:val="16"/>
          <w:szCs w:val="16"/>
        </w:rPr>
        <w:softHyphen/>
        <w:t>лись при восходе солнца, когда наступает короткий период зати</w:t>
      </w:r>
      <w:r w:rsidRPr="00507A31">
        <w:rPr>
          <w:color w:val="000000" w:themeColor="text1"/>
          <w:sz w:val="16"/>
          <w:szCs w:val="16"/>
        </w:rPr>
        <w:softHyphen/>
        <w:t>шья и совершенно нет ветра, столь опасного для испытаний, в которых еще не были оценены характеристики устойчивости и управляемости испытываемого вертолета. В первом полете верто</w:t>
      </w:r>
      <w:r w:rsidRPr="00507A31">
        <w:rPr>
          <w:color w:val="000000" w:themeColor="text1"/>
          <w:sz w:val="16"/>
          <w:szCs w:val="16"/>
        </w:rPr>
        <w:softHyphen/>
        <w:t>лет, оторвавшись от земли, завис на высоте 1-3 м, а затем начал вертикально подниматься и, достигнув высоты 10 м, стал верти</w:t>
      </w:r>
      <w:r w:rsidRPr="00507A31">
        <w:rPr>
          <w:color w:val="000000" w:themeColor="text1"/>
          <w:sz w:val="16"/>
          <w:szCs w:val="16"/>
        </w:rPr>
        <w:softHyphen/>
        <w:t>кально снижаться и совершил посадку. А. М. Черемухин потом писал: «Аппарат был выведен на поле, и я сел на место пилота, проверил, что было можно, и дал коман</w:t>
      </w:r>
      <w:r w:rsidRPr="00507A31">
        <w:rPr>
          <w:color w:val="000000" w:themeColor="text1"/>
          <w:sz w:val="16"/>
          <w:szCs w:val="16"/>
        </w:rPr>
        <w:softHyphen/>
        <w:t>ду запустить моторы. Вот моторы запущены, винты вращаются, механики отошли от аппарата. Можно взлетать. Понемногу при</w:t>
      </w:r>
      <w:r w:rsidRPr="00507A31">
        <w:rPr>
          <w:color w:val="000000" w:themeColor="text1"/>
          <w:sz w:val="16"/>
          <w:szCs w:val="16"/>
        </w:rPr>
        <w:softHyphen/>
        <w:t>бавляю газ моторам. Вращение винтов становится быстрее, и ап</w:t>
      </w:r>
      <w:r w:rsidRPr="00507A31">
        <w:rPr>
          <w:color w:val="000000" w:themeColor="text1"/>
          <w:sz w:val="16"/>
          <w:szCs w:val="16"/>
        </w:rPr>
        <w:softHyphen/>
        <w:t>парат начинает как бы облегчаться и отделяться от земли. Еще газу. Аппарат поднялся на 3—4 метра и как бы остано</w:t>
      </w:r>
      <w:r w:rsidRPr="00507A31">
        <w:rPr>
          <w:color w:val="000000" w:themeColor="text1"/>
          <w:sz w:val="16"/>
          <w:szCs w:val="16"/>
        </w:rPr>
        <w:softHyphen/>
        <w:t>вился на этой высоте, все время покачиваясь со стороны на сторо</w:t>
      </w:r>
      <w:r w:rsidRPr="00507A31">
        <w:rPr>
          <w:color w:val="000000" w:themeColor="text1"/>
          <w:sz w:val="16"/>
          <w:szCs w:val="16"/>
        </w:rPr>
        <w:softHyphen/>
        <w:t>ну, но поддаваясь управлению. Попробовал чуть убавить газ — ап</w:t>
      </w:r>
      <w:r w:rsidRPr="00507A31">
        <w:rPr>
          <w:color w:val="000000" w:themeColor="text1"/>
          <w:sz w:val="16"/>
          <w:szCs w:val="16"/>
        </w:rPr>
        <w:softHyphen/>
        <w:t>парат снизился и повис над землей. Опять прибавил газу и, под</w:t>
      </w:r>
      <w:r w:rsidRPr="00507A31">
        <w:rPr>
          <w:color w:val="000000" w:themeColor="text1"/>
          <w:sz w:val="16"/>
          <w:szCs w:val="16"/>
        </w:rPr>
        <w:softHyphen/>
        <w:t>нявшись на несколько метров, продержался некоторое время над землей, стараясь почувствовать и понять, как реагирует машина на движение ручки управления, что трясется и как держать обороты мотора. После этих нескольких напряженных минут — спуск на землю, мягкий, почти без толчка. Сразу сбрасываю газ, выключаю моторы и слезаю на землю под радостные возгласы одобрения груп</w:t>
      </w:r>
      <w:r w:rsidRPr="00507A31">
        <w:rPr>
          <w:color w:val="000000" w:themeColor="text1"/>
          <w:sz w:val="16"/>
          <w:szCs w:val="16"/>
        </w:rPr>
        <w:softHyphen/>
        <w:t>пы работников нашего коллектива...» «И с первого же полета, — вспоминал А. М. Черемухин, — у нас установился хороший обычай: не откладывая, сесть на скаме</w:t>
      </w:r>
      <w:r w:rsidRPr="00507A31">
        <w:rPr>
          <w:color w:val="000000" w:themeColor="text1"/>
          <w:sz w:val="16"/>
          <w:szCs w:val="16"/>
        </w:rPr>
        <w:softHyphen/>
        <w:t>ечку или бревнышки, тут же, на аэродроме, заслушать мой рассказ о проведенном полете, о замеченных особенностях, обнаруженных дефектах и о достигнутых результатах... Тут же обычно принима</w:t>
      </w:r>
      <w:r w:rsidRPr="00507A31">
        <w:rPr>
          <w:color w:val="000000" w:themeColor="text1"/>
          <w:sz w:val="16"/>
          <w:szCs w:val="16"/>
        </w:rPr>
        <w:softHyphen/>
        <w:t>лись решения о том, что делать дальше, что изменять, какие вво</w:t>
      </w:r>
      <w:r w:rsidRPr="00507A31">
        <w:rPr>
          <w:color w:val="000000" w:themeColor="text1"/>
          <w:sz w:val="16"/>
          <w:szCs w:val="16"/>
        </w:rPr>
        <w:softHyphen/>
        <w:t>дить в систему улучшения и как дальше их проверять...». В последующих полетах, проводившихся также в сентябре 1930 г., вертолет летал, достигая высоты 40-50 м, превышавшей в 2—2,5 раза высоту официального мирового рекорда геликоптера Д'Асканио. Первые полеты вертолета ЦАГИ-1ЭА вызвали большой интерес руководства ЦАГИ, и их посетил председатель коллегии С. А. Чаплыгин, а затем, как вспоминал руководитель работ по вер</w:t>
      </w:r>
      <w:r w:rsidRPr="00507A31">
        <w:rPr>
          <w:color w:val="000000" w:themeColor="text1"/>
          <w:sz w:val="16"/>
          <w:szCs w:val="16"/>
        </w:rPr>
        <w:softHyphen/>
        <w:t>толету ЦАГИ-1ЭА А. М. Изаксон, «16 ноября 1930 г. на аэродром приехали начальник ВВС П. И. Баранов, председатель Реввоенсо</w:t>
      </w:r>
      <w:r w:rsidRPr="00507A31">
        <w:rPr>
          <w:color w:val="000000" w:themeColor="text1"/>
          <w:sz w:val="16"/>
          <w:szCs w:val="16"/>
        </w:rPr>
        <w:softHyphen/>
        <w:t>вета Республики С. С. Каменев, руководители отделов ЦАГИ А. Н. Туполев, А. И. Некрасов, В. П. Ветчинкин и Г. X. Сабинин. А. М. Черемухин эффектно продемонстрировал все интересные эво</w:t>
      </w:r>
      <w:r w:rsidRPr="00507A31">
        <w:rPr>
          <w:color w:val="000000" w:themeColor="text1"/>
          <w:sz w:val="16"/>
          <w:szCs w:val="16"/>
        </w:rPr>
        <w:softHyphen/>
        <w:t>люции, специфически присущие этому типу аппаратов. Высота по</w:t>
      </w:r>
      <w:r w:rsidRPr="00507A31">
        <w:rPr>
          <w:color w:val="000000" w:themeColor="text1"/>
          <w:sz w:val="16"/>
          <w:szCs w:val="16"/>
        </w:rPr>
        <w:softHyphen/>
        <w:t>лета была порядка 50 м, продолжительность — около 10 мин» (10736).</w:t>
      </w:r>
    </w:p>
    <w:p w14:paraId="752931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86958E6" w14:textId="77777777" w:rsidR="00BA182B" w:rsidRPr="00507A31" w:rsidRDefault="00BA182B" w:rsidP="00507A31">
      <w:pPr>
        <w:jc w:val="both"/>
        <w:rPr>
          <w:color w:val="000000" w:themeColor="text1"/>
          <w:sz w:val="16"/>
          <w:szCs w:val="16"/>
        </w:rPr>
      </w:pPr>
      <w:r w:rsidRPr="00507A31">
        <w:rPr>
          <w:color w:val="000000" w:themeColor="text1"/>
          <w:sz w:val="16"/>
          <w:szCs w:val="16"/>
        </w:rPr>
        <w:t>В сентябре 1930 года на рассвете геликоптер 1-ЭА разместили на якорной стоянке. Запущены двигатели, последнее предполетное опробование всех механизмов, последние тренировочные подъемы на привязи. Затем машина выводится на старт его создателем и пилотом Черемухиным. «Время для этого полета было выбрано ранним утром, примерно с восходом солнца, пока в воздухе еще был приятный для моторов утренний холодок и спокойная атмосфера, крайне необходимая для такого ответственного начала полетов… Я сел на место пилота, проверил, что было можно, и дал команду запустить моторы. Вот моторы запущены, винты вращаются, механики отошли от аппарата. Можно взлетать. Понемногу прибавляю газ моторам. Вращение винтов становится быстрее, и аппарат начинает как бы облегчаться и отделяться от земли. Еще газу. Аппарат поднялся на 3-4 метра и как бы остановился на этой высоте, все время покачиваясь со стороны на сторону, но поддаваясь управлению. Попробовал чуть убавить газ - аппарат снизился и завис над самой землей. Опять прибавил газу и, поднявшись на несколько метров, продержался некоторое время над землей, стараясь прочувствовать и понять, как реагирует машина на движение ручки управления, что трясется и как держатся обороты мотора. После этих нескольких напряженных минут – спуск на землю, мягкий, почти без толчка. Сразу сбрасываю газ, выключаю моторы и слезаю на землю под радостные возгласы одобрения группы работников нашего коллектива, принимавших участие в этом первом полете на первом советском геликоптере 1-ЭА…» Почти каждый день в предрассветные часы, когда был штиль, полеты следовали один за другим. Шаг за шагом, осваивая геликоптер и выявляя его новые возможности, Черемухин все более уверенно выполняет эволюции и режимы, присущие только винтокрылой машине. Может сложиться превратное представление, что первые исследовательские полеты дались пилоту легко. На самом деле все обстояло далеко не просто. Вертолет по своей природе, особенно на висении, при перемещениях и на больших скоростях полета – неустойчивый летательный аппарат, и осваивать его представляло методом проб и ошибок. Как писал впоследствии академик Б.Н.Юрьев: «Черемухин был вообще первым в мире летчиком, начавшим летать на геликоптерах». Полученных навыков в управлении несущим винтом на натурном стенде, а затем геликоптером на привязи было явно недостаточно для пилотирования машины в свободном полете. В ходе испытаний были и поломки, и аварии вертолета. Только благодаря профессиональной интуиции пилоту удавалось избегать катастрофических ситуаций. За время испытаний достигнуты: • максимальная высота полета – 605 м, • наибольшая продолжительность – 14 мин., • максимальная скорость горизонтального полета – 21 км/ч (19010).</w:t>
      </w:r>
    </w:p>
    <w:p w14:paraId="0C84431A" w14:textId="77777777" w:rsidR="00BA182B" w:rsidRPr="00507A31" w:rsidRDefault="00BA182B" w:rsidP="00507A31">
      <w:pPr>
        <w:jc w:val="both"/>
        <w:rPr>
          <w:color w:val="000000" w:themeColor="text1"/>
          <w:sz w:val="16"/>
          <w:szCs w:val="16"/>
        </w:rPr>
      </w:pPr>
    </w:p>
    <w:p w14:paraId="490F04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г. в состав ЦКБ влит завод № 25 вместе с КБ по вооружению. На базе КБ создан отдел вооружения с несколькими бригадами. Тогда же структура ЦКБ реорганизована, образованы бригады: № 1 по разведчикам, легким бомбардировщикам и двухместным истребителям; № 2 по истребителям; № 3 по экспериментальным работам; № 4 по вооружению; № 5 по морским самолетам; № 6 статических испытаний и веса.</w:t>
      </w:r>
    </w:p>
    <w:p w14:paraId="6021FF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Бригада № 1- по разведчикам, легким бомбардировщикам и двухместным истребителям. Начальник (02.1933 г.)- С.А. Кочеригин (возглавил конструкторский коллектив Поликарпова после его ареста), зам. начальника (1932 г.)- В.П. Яценко. Созданы ЛР, ТШ-2, ТШ-3.</w:t>
      </w:r>
    </w:p>
    <w:p w14:paraId="134E41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Бригада № 2 - по истребителям. Начальник (-02.1933-36 г.)- Н.Н. Поликарпов, зам. начальника (1933 г.)- Д.Л. Томашевич. Работы по И-15, И-16, Р-5. В 1933 г. бригада переведена на завод № 21.</w:t>
      </w:r>
    </w:p>
    <w:p w14:paraId="3C3532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Бригада № 3 - по экспериментальным работам. Начальник (01.1933 г.-)- В.А. Чижевский. Сформирована в 1933 г. на базе части БОК. Работали (1933 г.)- Н.Н. Каштанов, В.И. Лапицкий, А.Я. Левин, Б.Ф. Ляпин, И.И. Цебриков, В. Г. Фролов. Работы по гондоле для стратостата. В 06.1934 г. перебазировалась на завод № 35 и вновь получила название БОК. Затем бригадой № 3 руководил С.В. Ильюшин. По приказу ГУАП от 13.01.1933 г. в составе бригады № 3 была организована конструкторская группа под руководством С.В. Ильюшина, в которую первоначально вошло 7 чел.: С.М. Егер, В.В. Никитин, В.В. Калинин (зам. начальника), С.Н. Черников, З.Н. Жевагина, А .Я. Левин, А.А. Сеньков. В 05.1934 г. численность бригады- 54 чел. В нее пришли: М.Р. Бездетко, А.А. Белов, В.Н. Бугайский, А.И. Жуковский, В.П. Иванов, Я.А. Кутепов,  Г.М. Литвинович, Б.Ф. Ляпин, Н.И. Максимов, Я.И. Мальцев, А.П. Наумов, В.Н. Семенов. В соответствии с пост. СТО от 14.07.1934 г. началась разработка ББ-2 (ЦКБ-26, первый полет в 06.1935 г.). По приказу ГУАП от 17.08.1936 г. бригада № 3 и опытный цех (№ 81) завода № 39 преобразованы в самостоятельное ОКБ-39 гл. конструктора С.В. Ильюшина.</w:t>
      </w:r>
    </w:p>
    <w:p w14:paraId="5FD21F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Бригада № 4 - по вооружению. Начальник (01.1933 г.-)- Я.И. Мальцев. Созданы подвески вооружения. Была бригада специального химвооружения, возглавляемая М.Н. Родионовьм (ранее- в КОСОС, с 1936 г.- гл. конструктор КБ завода № 145). 13.02.1933 г. в составе бригады образована группа бомбового вооружения (БВ) под руководством А.И. Ганыпина (с 1935 г.- Д.И. Коклина). Работали (1933 г.)- В.П. Григорьев, И.И. Картухов, Д.И. Коклин, А.И. Туркин.</w:t>
      </w:r>
    </w:p>
    <w:p w14:paraId="1B0A36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Бригада № 6 - статических испытаний и веса. Начальник (01.1933 г.-)- П.М. Крейсон.</w:t>
      </w:r>
    </w:p>
    <w:p w14:paraId="71CBA0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бригад, в состав ЦКБ входили отделы: общих видов, конструкторский, аэродинамики, прочности, подготовки производства, статических испытаний; а также конструкторская группа Б.И. Черановского с работами по самолетам-бесхвосткам.</w:t>
      </w:r>
    </w:p>
    <w:p w14:paraId="2BCBBD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ВАО № 265 от 27.08.1931 г. в 09.1931 г. ЦКБ было перебазировано с завода и влито в АГОС ЦАГИ, образовав единое ЦКБ ЦАГИ. По приказу начальника ЦАГИ от 25.05.1932 г. ЦКБ преобразовано в Сектор опытного строительства (СОС ЦАГИ) во главе с Ильюшиным. Основой СОС стал Конструкторский отдел (КОСОС), состоящий из специализированных бригад во главе с А.Н. Туполевым. Кроме того, организованы таже отделы: внедрения в серию (начальник- И.М. Косткин); эксплуатации и летных испытаний (К.К. Стоман); ЗОК.</w:t>
      </w:r>
    </w:p>
    <w:p w14:paraId="42420B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приказу ГУАП от 13.01.1933 г.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w:t>
      </w:r>
      <w:r w:rsidRPr="00507A31">
        <w:rPr>
          <w:color w:val="000000" w:themeColor="text1"/>
          <w:sz w:val="16"/>
          <w:szCs w:val="16"/>
        </w:rPr>
        <w:lastRenderedPageBreak/>
        <w:t>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2.05.1932  г. В 1934 г. переведена на завод № 115.</w:t>
      </w:r>
    </w:p>
    <w:p w14:paraId="7AB1EF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174259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(1931 г.)- около 500 чел.</w:t>
      </w:r>
    </w:p>
    <w:p w14:paraId="676469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(1926-28 г.-)- Б.Ф. Гончаров (арестован), (27.08.1931-ЗЗ г.)- С.В. Ильюшин.</w:t>
      </w:r>
    </w:p>
    <w:p w14:paraId="123885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(1931 г.-)- А.Н. Туполев, (1933 г.-)- С.А. Кочеригин.</w:t>
      </w:r>
    </w:p>
    <w:p w14:paraId="1D59AD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(06.1931 г.-)- Д.П. Григорович, (1933 г.-)- С.В. Ильюшин.</w:t>
      </w:r>
    </w:p>
    <w:p w14:paraId="146F0E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бригад (1934 г.)- А.А. Дубровин, В.К. Таиров, В.П. Яценко.</w:t>
      </w:r>
    </w:p>
    <w:p w14:paraId="038D7A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бригады (1935 г.-)- А.А. Сеньков.</w:t>
      </w:r>
    </w:p>
    <w:p w14:paraId="659428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Летчики-испытатели: (1935 г.)- В.К. Коккинаки (11092).</w:t>
      </w:r>
    </w:p>
    <w:p w14:paraId="7FF3B2A3" w14:textId="77777777" w:rsidR="00537E5F" w:rsidRPr="00507A31" w:rsidRDefault="00537E5F" w:rsidP="00507A31">
      <w:pPr>
        <w:autoSpaceDE w:val="0"/>
        <w:autoSpaceDN w:val="0"/>
        <w:adjustRightInd w:val="0"/>
        <w:jc w:val="both"/>
        <w:rPr>
          <w:color w:val="000000" w:themeColor="text1"/>
          <w:sz w:val="16"/>
          <w:szCs w:val="16"/>
        </w:rPr>
      </w:pPr>
    </w:p>
    <w:p w14:paraId="431918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г. завод № 25 (Завод № 25 ВСНХ, завод Ф.Э. Моска, Завод № 5 «Самолет» ВСНХ, Государственный авиационный завод № 5 (ГАЗ-5) «Самолёт» ВСНХ / г. Москва Ленинградский пр. Авиационный пер., 5 «Самолет» (1924-27 г.);  г. Москва, 40 п/я 21 «Завод № 25» (1930 г.)/) вместе с КБ по вооружению влит в состав ЦКБ завода № 39. Числился филиалом завода № 39.</w:t>
      </w:r>
    </w:p>
    <w:p w14:paraId="34CF53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1933 г. здесь был построен вариант АИР-6 на поплавках конструкции В.Б. Шаврова.</w:t>
      </w:r>
    </w:p>
    <w:p w14:paraId="10CCE2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Количество оборудования (1926 г.)- 83 ед.</w:t>
      </w:r>
    </w:p>
    <w:p w14:paraId="1F2CCF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(10.1919 г.)- 134 чел., (12.1926 г.)- 375 чел.</w:t>
      </w:r>
    </w:p>
    <w:p w14:paraId="1521B8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Управляющий (-12.1924-21.02.1925 г.)- Ф.А. Синицын; и.о. (19.02.1925 г.-)- И.Я. Ковалев. Директор (21.02.1925 г.-)- И .Я. Ковалев, (-10.1926-03.1927 г.-)- Малахов, (12.1927 г.)- Соколов, (1930 г.)- Горшков.</w:t>
      </w:r>
    </w:p>
    <w:p w14:paraId="49C2D1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управляющего (02.1925 г.)- И.Я. Ковалев. Зам. директора (-25.04.1925 г.)- Ковалев.</w:t>
      </w:r>
    </w:p>
    <w:p w14:paraId="51E809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Технический директор (до 1925 г.)- А.Р. Рубенчик, (01.1928-10.1929 г.)- Н.Н. Поликарпов.</w:t>
      </w:r>
    </w:p>
    <w:p w14:paraId="4DCDC0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(01.1928-10.1929 г.)- Н.Н. Поликарпов.</w:t>
      </w:r>
    </w:p>
    <w:p w14:paraId="695897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Заведующий мастерскими (производством) (-1924-27 г.-)- Невский. Гл. механик (12.1924 г.)- Никитин.</w:t>
      </w:r>
    </w:p>
    <w:p w14:paraId="06BA12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Заведующие отделами: КО (03.1927 г.)- Дайбог; снабжения (1930 г.)- Деев. Заведующий: снабжением (12.1924 г.)- Бородин; секретным делопроизводством (10.1926 г.)- Андреев.</w:t>
      </w:r>
    </w:p>
    <w:p w14:paraId="2B6A46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самолеты: «Фарман» (1917), У-1 (1921; 1923-24)- 102, Р-3 (1927); ремонт: самолеты Ю-20, -21 (1925)- 18 (11982).</w:t>
      </w:r>
    </w:p>
    <w:p w14:paraId="2729AC97" w14:textId="77777777" w:rsidR="00537E5F" w:rsidRPr="00507A31" w:rsidRDefault="00537E5F" w:rsidP="00507A31">
      <w:pPr>
        <w:autoSpaceDE w:val="0"/>
        <w:autoSpaceDN w:val="0"/>
        <w:adjustRightInd w:val="0"/>
        <w:jc w:val="both"/>
        <w:rPr>
          <w:color w:val="000000" w:themeColor="text1"/>
          <w:sz w:val="16"/>
          <w:szCs w:val="16"/>
        </w:rPr>
      </w:pPr>
    </w:p>
    <w:p w14:paraId="04CED91A"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 сентябре 1930 года впервые на испытания был поставлен мотор М-27.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(6998, 9-14).</w:t>
      </w:r>
    </w:p>
    <w:p w14:paraId="0E6B6F6C"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4A9E45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сентября 1930 г. проходили испытания первого образца М-27 на стенде, второго — с начала декабря. Проходил госиспытания с 10 декабря 1930 г. по 15 января 1931 г. Прошел их удовлетворительно. По другим данным 30 декабря мотор выставили на госиспытания; на них испытывались два экземпляра М-27. До проектной максимальной мощности 900 л.с. дойти не удалось, максимум составлял 828 л.с. Вес оказался больше оговоренного в задании. Летные испытания проводились на самолете ТШ-2 в 1932 г. Внедрялся в серийное производство на заводе № 24. Изготовлен 21 экз. В дальнейшем планировали оснастить М-27 редуктором и нагнетателем. На заводе также изучали возможность его форсирования до 1000 л.с. без применения наддува. Вариант М-27Н с нагнетателем исключили из плана ИАМ в 1931 г. Модификацию М-27Р с редуктором кончили проектировать в ИАМ в мае 1931 г. Там же разрабатывали реверс-муфту для ГМ-27. Но ни М-27Р, ни ГМ-27 не были воплощены в металл. В конце 1931 г. все работы по этому двигателю свернули, поскольку он не имел существен</w:t>
      </w:r>
      <w:r w:rsidRPr="00507A31">
        <w:rPr>
          <w:color w:val="000000" w:themeColor="text1"/>
          <w:sz w:val="16"/>
          <w:szCs w:val="16"/>
        </w:rPr>
        <w:softHyphen/>
        <w:t>ных преимуществ ни перед серийным М-17, ни тем более перед новым М-34. Снят с производства по постановлению РВС в начале 1932 г. Последний раз о М-27 вспомнили в 1932 г. Два двигателя использовали в одном из вариантов мотоустановки, предназначенной для самолета Г-1 («Гигант»). Два мотора работали на общий угловой редуктор. Испытания установки с парой М-27 велись в марте-апреле 1933 г.</w:t>
      </w:r>
    </w:p>
    <w:p w14:paraId="34E95C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77A105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 18-цилиндровый, рядный </w:t>
      </w:r>
      <w:r w:rsidRPr="00507A31">
        <w:rPr>
          <w:color w:val="000000" w:themeColor="text1"/>
          <w:sz w:val="16"/>
          <w:szCs w:val="16"/>
          <w:lang w:val="en-US"/>
        </w:rPr>
        <w:t>W</w:t>
      </w:r>
      <w:r w:rsidRPr="00507A31">
        <w:rPr>
          <w:color w:val="000000" w:themeColor="text1"/>
          <w:sz w:val="16"/>
          <w:szCs w:val="16"/>
        </w:rPr>
        <w:t>-образный блочный (блоки под углом 40°), четырехтактный, водяного охлаждения;</w:t>
      </w:r>
    </w:p>
    <w:p w14:paraId="7753D3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по заданию 700/900 л.с.;</w:t>
      </w:r>
    </w:p>
    <w:p w14:paraId="65EF42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по представлению завода 700/850 л.с. (фактически 707/828 л.с.);</w:t>
      </w:r>
    </w:p>
    <w:p w14:paraId="26DE67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135/160 мм;</w:t>
      </w:r>
    </w:p>
    <w:p w14:paraId="3D2ED1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41,1 л;</w:t>
      </w:r>
    </w:p>
    <w:p w14:paraId="483AB3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6,4;</w:t>
      </w:r>
    </w:p>
    <w:p w14:paraId="0F1441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173473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вес 633 кг (без выхлопных патрубков). Известны модификации:</w:t>
      </w:r>
    </w:p>
    <w:p w14:paraId="522DD7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 исходный вариант без редуктора и нагнетателя;</w:t>
      </w:r>
    </w:p>
    <w:p w14:paraId="43BF30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М-27Р, вариант с понижающим редуктором; максимальная мощность 830 л.с. Проектировался в ИАМ в 1931 г.</w:t>
      </w:r>
    </w:p>
    <w:p w14:paraId="18C590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М-27РН, предполагавшийся вариант с редуктором и нагнетателем. Не разрабатывался.</w:t>
      </w:r>
    </w:p>
    <w:p w14:paraId="6E51D1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 сдвоенный для самолета Г-1. Экспериментальная установка ис</w:t>
      </w:r>
      <w:r w:rsidRPr="00507A31">
        <w:rPr>
          <w:color w:val="000000" w:themeColor="text1"/>
          <w:sz w:val="16"/>
          <w:szCs w:val="16"/>
        </w:rPr>
        <w:softHyphen/>
        <w:t>пытывалась в марте — апреле 1933 г.</w:t>
      </w:r>
    </w:p>
    <w:p w14:paraId="53DE4B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1213A0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160DEE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F7577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г. три невооруженных Р-5, пилотируемые Ф.А. Ингаунисом, Ф.С. Широким и Я.А. Шестелем, совершили перелет в Турцию, Иран и Афганистан. Машины успешно преодолели 10 500 км. В Тегеране самолеты осмотрели члены правительства и военное руководство Ирана. Р-5 произвели благоприятное впечатление и стали рассматриваться как возможные участники конкурса, объявленного на разведчик для иранских ВВС.</w:t>
      </w:r>
    </w:p>
    <w:p w14:paraId="487B16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конкурс отправили 3 самолета, на этот раз с вооружением. Пилотами были Лозовский, Широкий и Лиховицкий (командир группы). В Тегеран добирались по воздуху. Конкурентами являлись французы, представившие "Потэ25А2". Испытательные полеты начались в конце октября. Р-5 довольно легко выполнил условия, превзойдя все требования, за исключением разбега (151 м вместо заданных 140 м) и времени набора высоты 5000 м (24,5 мин вместо 23 мин). Француз к-н Шаль на своем "Потэ" в дистанцию разбега уложился, зато все остальные показатели оказались гораздо хуже. При этом он летал без вооружения с балластом 170 кг, а Р-5 - с пулеметами и балластом 310 кг.</w:t>
      </w:r>
    </w:p>
    <w:p w14:paraId="3527BD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к общему решению члены комиссии не пришли и решили объявить весной 1931 г. второй тур, на который пригласить и другие компании. Несмотря на участие представи телей фирм "Хаукер" из Англии и "Фоккер" из Нидерландов, конкурс Р-5 выиграл. Но заказа не последовало. Иранцев не устроило, что в качестве аванса советская сторона захотела получить две трети денег. И все же осенью 1932 г. военное министерство Ирана заключило контракт на поставку десяти Р-5.</w:t>
      </w:r>
    </w:p>
    <w:p w14:paraId="50AA16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первом самолете иранский летчик А. Макуи, выпускник Качинской летной школы, совершил перелет Москва-Тегеран, прибыв на место 28 мая 1933 г. Остальные Р-5 из Москвы везли по железной дороге, а затем по Каспию в иранский порт Пехлеви. Все машины имели моторы BMW VI и пулеметы "Льюис" в задней кабине. Они успешно эксплуатировались в иранских ВВС сначала как боевые, а с конца 1934 г. как тренировочные (11936).</w:t>
      </w:r>
    </w:p>
    <w:p w14:paraId="282763B7" w14:textId="77777777" w:rsidR="00537E5F" w:rsidRPr="00507A31" w:rsidRDefault="00537E5F" w:rsidP="00507A31">
      <w:pPr>
        <w:autoSpaceDE w:val="0"/>
        <w:autoSpaceDN w:val="0"/>
        <w:adjustRightInd w:val="0"/>
        <w:jc w:val="both"/>
        <w:rPr>
          <w:color w:val="000000" w:themeColor="text1"/>
          <w:sz w:val="16"/>
          <w:szCs w:val="16"/>
        </w:rPr>
      </w:pPr>
    </w:p>
    <w:p w14:paraId="0A293D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закончились войсковые испытания мин ВОМИЗА (воздушная мина заграждения, сделанная на базе якорной мины образца 1912) на ЮГ-1 в 62-й эскадрилье ВВС Балтфлота, вооруженной ЮГ-1, которые проходили с августа 1930 (561,14).</w:t>
      </w:r>
    </w:p>
    <w:p w14:paraId="6B19A4D9" w14:textId="77777777" w:rsidR="00537E5F" w:rsidRPr="00507A31" w:rsidRDefault="00537E5F" w:rsidP="00507A31">
      <w:pPr>
        <w:autoSpaceDE w:val="0"/>
        <w:autoSpaceDN w:val="0"/>
        <w:adjustRightInd w:val="0"/>
        <w:jc w:val="both"/>
        <w:rPr>
          <w:color w:val="000000" w:themeColor="text1"/>
          <w:sz w:val="16"/>
          <w:szCs w:val="16"/>
        </w:rPr>
      </w:pPr>
    </w:p>
    <w:p w14:paraId="51D5FE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в ЦАГМ ОАМ, созданный чуть раньше, получил часть сотрудников из НАМИ. Начальник ОАМ - Б.С.Стечкин (80,45).</w:t>
      </w:r>
    </w:p>
    <w:p w14:paraId="19948D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ОАМ был образован в ЦАГИ в конце 1930 (80,7).</w:t>
      </w:r>
    </w:p>
    <w:p w14:paraId="730E9646" w14:textId="77777777" w:rsidR="00537E5F" w:rsidRPr="00507A31" w:rsidRDefault="00537E5F" w:rsidP="00507A31">
      <w:pPr>
        <w:autoSpaceDE w:val="0"/>
        <w:autoSpaceDN w:val="0"/>
        <w:adjustRightInd w:val="0"/>
        <w:jc w:val="both"/>
        <w:rPr>
          <w:color w:val="000000" w:themeColor="text1"/>
          <w:sz w:val="16"/>
          <w:szCs w:val="16"/>
        </w:rPr>
      </w:pPr>
    </w:p>
    <w:p w14:paraId="11A7FC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был подготовлен проект постановления ВСНХ по передаче НАМИ (1028,105).</w:t>
      </w:r>
    </w:p>
    <w:p w14:paraId="74A10544" w14:textId="77777777" w:rsidR="00537E5F" w:rsidRPr="00507A31" w:rsidRDefault="00537E5F" w:rsidP="00507A31">
      <w:pPr>
        <w:autoSpaceDE w:val="0"/>
        <w:autoSpaceDN w:val="0"/>
        <w:adjustRightInd w:val="0"/>
        <w:jc w:val="both"/>
        <w:rPr>
          <w:color w:val="000000" w:themeColor="text1"/>
          <w:sz w:val="16"/>
          <w:szCs w:val="16"/>
        </w:rPr>
      </w:pPr>
    </w:p>
    <w:p w14:paraId="60540AF8" w14:textId="77777777" w:rsidR="00B83B62" w:rsidRPr="00507A31" w:rsidRDefault="00B83B62" w:rsidP="00507A31">
      <w:pPr>
        <w:shd w:val="clear" w:color="auto" w:fill="FFFFFF"/>
        <w:jc w:val="both"/>
        <w:rPr>
          <w:color w:val="000000" w:themeColor="text1"/>
          <w:sz w:val="16"/>
          <w:szCs w:val="16"/>
        </w:rPr>
      </w:pPr>
      <w:r w:rsidRPr="00507A31">
        <w:rPr>
          <w:color w:val="000000" w:themeColor="text1"/>
          <w:sz w:val="16"/>
          <w:szCs w:val="16"/>
        </w:rPr>
        <w:lastRenderedPageBreak/>
        <w:t>В сентябре 1930 г., согласно акту комиссии по проверке состояния работ в ГДЛ, были «закончены проекты и изготовлены детальные чертежи 82-мм и 132-мм ракетных орудий и снарядов к ним». В 1930 г. под руководством Б.С.Петропавловского и при непосредственном участии Г.Э.Лангемака, В.А.Артемьева, Л.Э.Шварца, И.И.Кулагина, И.С.Александрова и др. развертываются активные работы по созданию снарядов и пусковых устройств нового типа. В 1931 г. были начаты работы по отработке различных моделей снарядов и пусковых устройств, предназначенных для наземных родов войск, а в середине этого же года под снаряды РС-82 и PC-I82 создаются проекты самолетных пусковых устройств и в конце года начинаются практические летно-полигонные испытания этих снарядов на самолетах И-4 и Р-5.</w:t>
      </w:r>
    </w:p>
    <w:p w14:paraId="1335C34F" w14:textId="77777777" w:rsidR="00B83B62" w:rsidRPr="00507A31" w:rsidRDefault="00B83B62" w:rsidP="00507A31">
      <w:pPr>
        <w:shd w:val="clear" w:color="auto" w:fill="FFFFFF"/>
        <w:jc w:val="both"/>
        <w:rPr>
          <w:color w:val="000000" w:themeColor="text1"/>
          <w:sz w:val="16"/>
          <w:szCs w:val="16"/>
        </w:rPr>
      </w:pPr>
      <w:r w:rsidRPr="00507A31">
        <w:rPr>
          <w:color w:val="000000" w:themeColor="text1"/>
          <w:sz w:val="16"/>
          <w:szCs w:val="16"/>
        </w:rPr>
        <w:t>Кроме сектора ракетных орудий и снарядов (первый отдел ГДЛ), под руководством Г.Э.Лангемака, в ГДЛ вели напряженную работу другие отделы под руководством опытных специалистов, именовавшихся, как и Г.Э.Лангемак, - «инженер – опытов». Это были отделы:</w:t>
      </w:r>
    </w:p>
    <w:p w14:paraId="109260CE" w14:textId="77777777" w:rsidR="00B83B62" w:rsidRPr="00507A31" w:rsidRDefault="00B83B62" w:rsidP="00507A31">
      <w:pPr>
        <w:shd w:val="clear" w:color="auto" w:fill="FFFFFF"/>
        <w:jc w:val="both"/>
        <w:rPr>
          <w:color w:val="000000" w:themeColor="text1"/>
          <w:sz w:val="16"/>
          <w:szCs w:val="16"/>
        </w:rPr>
      </w:pPr>
      <w:r w:rsidRPr="00507A31">
        <w:rPr>
          <w:color w:val="000000" w:themeColor="text1"/>
          <w:sz w:val="16"/>
          <w:szCs w:val="16"/>
        </w:rPr>
        <w:t>- сектор ракет на жидком топливе (второй отдел), проводивший работы по ЖРД и проектировавший ракеты,</w:t>
      </w:r>
    </w:p>
    <w:p w14:paraId="5A986DAA" w14:textId="77777777" w:rsidR="00B83B62" w:rsidRPr="00507A31" w:rsidRDefault="00B83B62" w:rsidP="00507A31">
      <w:pPr>
        <w:shd w:val="clear" w:color="auto" w:fill="FFFFFF"/>
        <w:jc w:val="both"/>
        <w:rPr>
          <w:color w:val="000000" w:themeColor="text1"/>
          <w:sz w:val="16"/>
          <w:szCs w:val="16"/>
        </w:rPr>
      </w:pPr>
      <w:r w:rsidRPr="00507A31">
        <w:rPr>
          <w:color w:val="000000" w:themeColor="text1"/>
          <w:sz w:val="16"/>
          <w:szCs w:val="16"/>
        </w:rPr>
        <w:t>- авиационный сектор (третий отдел), проводивший работы по ракетному старту и применению ракетных орудий на самолетах,</w:t>
      </w:r>
    </w:p>
    <w:p w14:paraId="24B400C1" w14:textId="77777777" w:rsidR="00B83B62" w:rsidRPr="00507A31" w:rsidRDefault="00B83B62" w:rsidP="00507A31">
      <w:pPr>
        <w:shd w:val="clear" w:color="auto" w:fill="FFFFFF"/>
        <w:jc w:val="both"/>
        <w:rPr>
          <w:color w:val="000000" w:themeColor="text1"/>
          <w:sz w:val="16"/>
          <w:szCs w:val="16"/>
        </w:rPr>
      </w:pPr>
      <w:r w:rsidRPr="00507A31">
        <w:rPr>
          <w:color w:val="000000" w:themeColor="text1"/>
          <w:sz w:val="16"/>
          <w:szCs w:val="16"/>
        </w:rPr>
        <w:t xml:space="preserve">- </w:t>
      </w:r>
      <w:r w:rsidRPr="00507A31">
        <w:rPr>
          <w:rStyle w:val="highlight"/>
          <w:color w:val="000000" w:themeColor="text1"/>
          <w:sz w:val="16"/>
          <w:szCs w:val="16"/>
        </w:rPr>
        <w:t> пороховой </w:t>
      </w:r>
      <w:r w:rsidRPr="00507A31">
        <w:rPr>
          <w:color w:val="000000" w:themeColor="text1"/>
          <w:sz w:val="16"/>
          <w:szCs w:val="16"/>
        </w:rPr>
        <w:t xml:space="preserve"> сектор (пятый отдел), производивший порох для нужд </w:t>
      </w:r>
      <w:r w:rsidRPr="00507A31">
        <w:rPr>
          <w:rStyle w:val="highlight"/>
          <w:color w:val="000000" w:themeColor="text1"/>
          <w:sz w:val="16"/>
          <w:szCs w:val="16"/>
        </w:rPr>
        <w:t> лаборатории </w:t>
      </w:r>
      <w:r w:rsidRPr="00507A31">
        <w:rPr>
          <w:color w:val="000000" w:themeColor="text1"/>
          <w:sz w:val="16"/>
          <w:szCs w:val="16"/>
        </w:rPr>
        <w:t xml:space="preserve"> (15252).</w:t>
      </w:r>
    </w:p>
    <w:p w14:paraId="288DB878" w14:textId="77777777" w:rsidR="00B83B62" w:rsidRPr="00507A31" w:rsidRDefault="00B83B62" w:rsidP="00507A31">
      <w:pPr>
        <w:shd w:val="clear" w:color="auto" w:fill="FFFFFF"/>
        <w:jc w:val="both"/>
        <w:rPr>
          <w:color w:val="000000" w:themeColor="text1"/>
          <w:sz w:val="16"/>
          <w:szCs w:val="16"/>
        </w:rPr>
      </w:pPr>
    </w:p>
    <w:p w14:paraId="41677576" w14:textId="77777777" w:rsidR="003053D5" w:rsidRPr="00507A31" w:rsidRDefault="003053D5" w:rsidP="00507A31">
      <w:pPr>
        <w:shd w:val="clear" w:color="auto" w:fill="FFFFFF"/>
        <w:jc w:val="both"/>
        <w:rPr>
          <w:color w:val="0070C0"/>
          <w:sz w:val="16"/>
          <w:szCs w:val="16"/>
        </w:rPr>
      </w:pPr>
      <w:r w:rsidRPr="00507A31">
        <w:rPr>
          <w:color w:val="0070C0"/>
          <w:sz w:val="16"/>
          <w:szCs w:val="16"/>
        </w:rPr>
        <w:t>В сентябре 1930 г. три самолёта Р-5, пилотируемые лётчиками Лиховским, Лозовским, Широким, совершили перелет по маршруту Москва – Севастополь – Анкара – Тбилиси – Тегеран – Термез – Кабул – Ташкент – Оренбург – Москва, продемонстрировав возможности новой советской авиатехники. 10 этих самолётов были закуплены Ираном5 . Самолёты советского производства использовались в иранских ВВС до начала Второй мировой войны (21474).</w:t>
      </w:r>
    </w:p>
    <w:p w14:paraId="3912073C" w14:textId="77777777" w:rsidR="003053D5" w:rsidRPr="00507A31" w:rsidRDefault="003053D5" w:rsidP="00507A31">
      <w:pPr>
        <w:shd w:val="clear" w:color="auto" w:fill="FFFFFF"/>
        <w:jc w:val="both"/>
        <w:rPr>
          <w:color w:val="0070C0"/>
          <w:sz w:val="16"/>
          <w:szCs w:val="16"/>
        </w:rPr>
      </w:pPr>
    </w:p>
    <w:p w14:paraId="03AC5AB3" w14:textId="77777777" w:rsidR="003053D5" w:rsidRPr="00507A31" w:rsidRDefault="003053D5" w:rsidP="00507A31">
      <w:pPr>
        <w:pStyle w:val="ae"/>
        <w:shd w:val="clear" w:color="auto" w:fill="FFFFFF"/>
        <w:spacing w:before="0" w:after="0"/>
        <w:jc w:val="both"/>
        <w:rPr>
          <w:color w:val="0070C0"/>
          <w:sz w:val="16"/>
          <w:szCs w:val="16"/>
        </w:rPr>
      </w:pPr>
      <w:r w:rsidRPr="00507A31">
        <w:rPr>
          <w:color w:val="0070C0"/>
          <w:sz w:val="16"/>
          <w:szCs w:val="16"/>
        </w:rPr>
        <w:t xml:space="preserve">В сентябре 1930 года LZ-127 «Граф Цеппелин» опустился на Центральном аэродроме. </w:t>
      </w:r>
      <w:r w:rsidRPr="00507A31">
        <w:rPr>
          <w:color w:val="0070C0"/>
          <w:sz w:val="16"/>
          <w:szCs w:val="16"/>
          <w:shd w:val="clear" w:color="auto" w:fill="FFFFFF"/>
        </w:rPr>
        <w:t xml:space="preserve">«Дирижаблестроительный бум» достиг своего апогея. </w:t>
      </w:r>
      <w:r w:rsidRPr="00507A31">
        <w:rPr>
          <w:color w:val="0070C0"/>
          <w:sz w:val="16"/>
          <w:szCs w:val="16"/>
        </w:rPr>
        <w:t>По поводу этого события Н. Аллилуева писала И. Сталину, находившемуся на отдыхе на юге: «Всех нас в Москве развлек прилет цеппелина, зрелище было действительно достойное внимания. Глядела вся Москва на эту замечательную машинку» (</w:t>
      </w:r>
      <w:r w:rsidRPr="00507A31">
        <w:rPr>
          <w:color w:val="0070C0"/>
          <w:sz w:val="16"/>
          <w:szCs w:val="16"/>
          <w:shd w:val="clear" w:color="auto" w:fill="FFFFFF"/>
        </w:rPr>
        <w:t>11324)</w:t>
      </w:r>
      <w:r w:rsidRPr="00507A31">
        <w:rPr>
          <w:bCs/>
          <w:color w:val="0070C0"/>
          <w:sz w:val="16"/>
          <w:szCs w:val="16"/>
        </w:rPr>
        <w:t>.</w:t>
      </w:r>
    </w:p>
    <w:p w14:paraId="06202699" w14:textId="77777777" w:rsidR="003053D5" w:rsidRPr="00507A31" w:rsidRDefault="003053D5" w:rsidP="00507A31">
      <w:pPr>
        <w:pStyle w:val="ae"/>
        <w:shd w:val="clear" w:color="auto" w:fill="FFFFFF"/>
        <w:spacing w:before="0" w:after="0"/>
        <w:jc w:val="both"/>
        <w:rPr>
          <w:color w:val="0070C0"/>
          <w:sz w:val="16"/>
          <w:szCs w:val="16"/>
        </w:rPr>
      </w:pPr>
    </w:p>
    <w:p w14:paraId="5FEA8A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года немецкий цеппелина LZ-127 «Граф Цеппелин» опустился на Центральном аэродроме. По поводу этого события Н. Аллилуева писала И. Сталину, находившемуся на отдыхе на юге:</w:t>
      </w:r>
    </w:p>
    <w:p w14:paraId="43D3A9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«Всех нас в Москве развлек прилет цеппелина, зрелище было действительно достойное внимания. Глядела вся Москва на эту замечательную машинку». </w:t>
      </w:r>
    </w:p>
    <w:p w14:paraId="2A0C54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Прилет LZ-127 оставил настолько глубокий след в нашей памяти, что в 1991 году к 50-летию со дня этого события Министерство связи СССР выпустило серию почтовых марок, посвященных дирижаблям. На одной из них изображен «Граф Цеппелин» на фоне Храма Христа Спасителя (11324).</w:t>
      </w:r>
    </w:p>
    <w:p w14:paraId="3620A87C" w14:textId="77777777" w:rsidR="00537E5F" w:rsidRPr="00507A31" w:rsidRDefault="00537E5F" w:rsidP="00507A31">
      <w:pPr>
        <w:autoSpaceDE w:val="0"/>
        <w:autoSpaceDN w:val="0"/>
        <w:adjustRightInd w:val="0"/>
        <w:jc w:val="both"/>
        <w:rPr>
          <w:color w:val="000000" w:themeColor="text1"/>
          <w:sz w:val="16"/>
          <w:szCs w:val="16"/>
        </w:rPr>
      </w:pPr>
    </w:p>
    <w:p w14:paraId="5EDAAEDF" w14:textId="4267B4FA" w:rsidR="005A3792" w:rsidRPr="00507A31" w:rsidRDefault="005A3792" w:rsidP="00507A31">
      <w:pPr>
        <w:pStyle w:val="5b"/>
        <w:spacing w:before="0" w:line="240" w:lineRule="auto"/>
        <w:rPr>
          <w:color w:val="0070C0"/>
          <w:sz w:val="16"/>
          <w:szCs w:val="16"/>
        </w:rPr>
      </w:pPr>
      <w:r w:rsidRPr="00507A31">
        <w:rPr>
          <w:color w:val="0070C0"/>
          <w:sz w:val="16"/>
          <w:szCs w:val="16"/>
          <w:lang w:bidi="ru-RU"/>
        </w:rPr>
        <w:t>В ходе сентябрьского 1930 однодневного посещения Москвы «Графом Цеппелином» возможно состоялся первый разговор с немцами на эту сотрудничества в дирижаблестроениии.</w:t>
      </w:r>
    </w:p>
    <w:p w14:paraId="06738233" w14:textId="77777777" w:rsidR="005A3792" w:rsidRPr="00507A31" w:rsidRDefault="005A3792" w:rsidP="00507A31">
      <w:pPr>
        <w:pStyle w:val="5b"/>
        <w:spacing w:before="0" w:line="240" w:lineRule="auto"/>
        <w:rPr>
          <w:color w:val="0070C0"/>
          <w:sz w:val="16"/>
          <w:szCs w:val="16"/>
        </w:rPr>
      </w:pPr>
      <w:r w:rsidRPr="00507A31">
        <w:rPr>
          <w:color w:val="0070C0"/>
          <w:sz w:val="16"/>
          <w:szCs w:val="16"/>
          <w:lang w:bidi="ru-RU"/>
        </w:rPr>
        <w:t>Пока германский воздушный гость стоял на Центральном аэродроме, прилетевшие на нём состоятельные воздушные туристы катались по пролетарской столице, сотни советских специалистов под присмотром хозяев изучали внутренности корабля, а капитана Эккенера пригласили на беседу начальники советских Военно-воздушных и Военно-морских сил - Пётр Баранов и Ромуальд Муклевич.</w:t>
      </w:r>
    </w:p>
    <w:p w14:paraId="18568232" w14:textId="77777777" w:rsidR="005A3792" w:rsidRPr="00507A31" w:rsidRDefault="005A3792" w:rsidP="00507A31">
      <w:pPr>
        <w:pStyle w:val="5b"/>
        <w:spacing w:before="0" w:line="240" w:lineRule="auto"/>
        <w:rPr>
          <w:color w:val="0070C0"/>
          <w:sz w:val="16"/>
          <w:szCs w:val="16"/>
        </w:rPr>
      </w:pPr>
      <w:r w:rsidRPr="00507A31">
        <w:rPr>
          <w:color w:val="0070C0"/>
          <w:sz w:val="16"/>
          <w:szCs w:val="16"/>
          <w:lang w:bidi="ru-RU"/>
        </w:rPr>
        <w:t>Обсуждалась уже известная идея регулярного сообщения Москвы с Сибирью и Дальним Востоком на жёстких дирижаблях цеппелиновского типа, с той разницей, что теперь военачальники завели речь о желании Советского Союза с помощью «Люфтшиффбау Цеппелин» начать их производство у себя. Эккенер пообещал подумать и дать ответ.</w:t>
      </w:r>
    </w:p>
    <w:p w14:paraId="49CD7D53" w14:textId="77777777" w:rsidR="005A3792" w:rsidRPr="00507A31" w:rsidRDefault="005A3792" w:rsidP="00507A31">
      <w:pPr>
        <w:pStyle w:val="5b"/>
        <w:spacing w:before="0" w:line="240" w:lineRule="auto"/>
        <w:rPr>
          <w:color w:val="0070C0"/>
          <w:sz w:val="16"/>
          <w:szCs w:val="16"/>
        </w:rPr>
      </w:pPr>
      <w:r w:rsidRPr="00507A31">
        <w:rPr>
          <w:color w:val="0070C0"/>
          <w:sz w:val="16"/>
          <w:szCs w:val="16"/>
          <w:lang w:bidi="ru-RU"/>
        </w:rPr>
        <w:t>Ближе к концу года он действительно прислал письмо, в котором сообщил: на его взгляд, линия до Якутска, Хабаровска, Николаевскана-Амуре вполне реальна и его фирма за 5 млн марок готова построить для неё дирижабль с параметрами «Графа Цеппелина», обучить в ходе работы одного-двух инженеров из СССР, а затем и подготовить советский экипаж корабля.</w:t>
      </w:r>
    </w:p>
    <w:p w14:paraId="6B4DA5BA" w14:textId="77777777" w:rsidR="005A3792" w:rsidRPr="00507A31" w:rsidRDefault="005A3792" w:rsidP="00507A31">
      <w:pPr>
        <w:pStyle w:val="5b"/>
        <w:spacing w:before="0" w:line="240" w:lineRule="auto"/>
        <w:rPr>
          <w:color w:val="0070C0"/>
          <w:sz w:val="16"/>
          <w:szCs w:val="16"/>
        </w:rPr>
      </w:pPr>
      <w:r w:rsidRPr="00507A31">
        <w:rPr>
          <w:color w:val="0070C0"/>
          <w:sz w:val="16"/>
          <w:szCs w:val="16"/>
          <w:lang w:bidi="ru-RU"/>
        </w:rPr>
        <w:t>«Люфтшиффбау Цеппелин» также бралась оказать содействие в организации дирижаблестроительного дела в форме консультаций и передачи технологий:</w:t>
      </w:r>
    </w:p>
    <w:p w14:paraId="1CDBC2D7" w14:textId="77777777" w:rsidR="005A3792" w:rsidRPr="00507A31" w:rsidRDefault="005A3792" w:rsidP="00507A31">
      <w:pPr>
        <w:pStyle w:val="5b"/>
        <w:spacing w:before="0" w:line="240" w:lineRule="auto"/>
        <w:rPr>
          <w:color w:val="0070C0"/>
          <w:sz w:val="16"/>
          <w:szCs w:val="16"/>
        </w:rPr>
      </w:pPr>
      <w:r w:rsidRPr="00507A31">
        <w:rPr>
          <w:color w:val="0070C0"/>
          <w:sz w:val="16"/>
          <w:szCs w:val="16"/>
          <w:lang w:bidi="ru-RU"/>
        </w:rPr>
        <w:t>Мы готовы помочь Вам советом при сооружении верфи, предназначенной для строительства дирижаблей, как относительно выбора места, так и относительно сооружения и оборудования ангара, согласно Вашим желаниям и по мере наших возможностей. То же самое относится и к сооружению аэропортов для дирижаблей, сооружению мачт, газовых заводов и т. д.</w:t>
      </w:r>
    </w:p>
    <w:p w14:paraId="35CE65BB" w14:textId="225E390F" w:rsidR="005A3792" w:rsidRPr="00507A31" w:rsidRDefault="005A3792" w:rsidP="00507A31">
      <w:pPr>
        <w:pStyle w:val="5b"/>
        <w:spacing w:before="0" w:line="240" w:lineRule="auto"/>
        <w:rPr>
          <w:color w:val="0070C0"/>
          <w:sz w:val="16"/>
          <w:szCs w:val="16"/>
        </w:rPr>
      </w:pPr>
      <w:r w:rsidRPr="00507A31">
        <w:rPr>
          <w:color w:val="0070C0"/>
          <w:sz w:val="16"/>
          <w:szCs w:val="16"/>
          <w:lang w:bidi="ru-RU"/>
        </w:rPr>
        <w:t>Мы готовы для предполагаемого Вами строительства дирижаблей предоставить Вам при условии заключения лицензионного договора все наши патенты и весь наш опыт как в настоящем, так и в будущем, а также предоставить Вам, поскольку Вы это пожелаете и поскольку это окажется для нас возможным, работников верфи под руководством одного главного инженера на срок примерно в 6 м-цев (23192).</w:t>
      </w:r>
    </w:p>
    <w:p w14:paraId="57D699E4" w14:textId="77777777" w:rsidR="005A3792" w:rsidRPr="00507A31" w:rsidRDefault="005A3792" w:rsidP="00507A31">
      <w:pPr>
        <w:autoSpaceDE w:val="0"/>
        <w:autoSpaceDN w:val="0"/>
        <w:adjustRightInd w:val="0"/>
        <w:jc w:val="both"/>
        <w:rPr>
          <w:i/>
          <w:iCs/>
          <w:color w:val="0070C0"/>
          <w:sz w:val="16"/>
          <w:szCs w:val="16"/>
        </w:rPr>
      </w:pPr>
    </w:p>
    <w:p w14:paraId="1DEC5CBD" w14:textId="3285F361"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FAE8146" w14:textId="77777777" w:rsidR="00537E5F" w:rsidRPr="00507A31" w:rsidRDefault="00537E5F" w:rsidP="00507A31">
      <w:pPr>
        <w:autoSpaceDE w:val="0"/>
        <w:autoSpaceDN w:val="0"/>
        <w:adjustRightInd w:val="0"/>
        <w:jc w:val="both"/>
        <w:rPr>
          <w:iCs/>
          <w:color w:val="000000" w:themeColor="text1"/>
          <w:sz w:val="16"/>
          <w:szCs w:val="16"/>
        </w:rPr>
      </w:pPr>
    </w:p>
    <w:p w14:paraId="34A220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на Ижорском заводе началось изготовление трех опытных образцов бронированных автомобилей на базе Форда-А - Форда-А с броней или колесных танкеток, однако, из-за загруженности завода текущими заказами УММ и нехватки кадров броневики были изготовлены только в январе 1931 (3947,14).</w:t>
      </w:r>
    </w:p>
    <w:p w14:paraId="4ABC8F45" w14:textId="77777777" w:rsidR="00537E5F" w:rsidRPr="00507A31" w:rsidRDefault="00537E5F" w:rsidP="00507A31">
      <w:pPr>
        <w:autoSpaceDE w:val="0"/>
        <w:autoSpaceDN w:val="0"/>
        <w:adjustRightInd w:val="0"/>
        <w:jc w:val="both"/>
        <w:rPr>
          <w:color w:val="000000" w:themeColor="text1"/>
          <w:sz w:val="16"/>
          <w:szCs w:val="16"/>
        </w:rPr>
      </w:pPr>
    </w:p>
    <w:p w14:paraId="3ED1173E"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В сентябре 1930 года из ворот «Промета» на Полю-стровскую улицу выехали первые 25 серийных мотоциклов. Вскоре 8 из них без специальной подготовки отправили во 2-й Всесоюзный пробег советских мотоциклов по маршруту Ленинград — Москва — Витебск — Псков — Ленинград, и они, в общем, успешно прошли трассу в 3212 км. В ходе пробега машины проверяли сразу по 9 параметрам. И что же?</w:t>
      </w:r>
    </w:p>
    <w:p w14:paraId="767582CE"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Выяснилось, что на 100 км пути двигатели расходуют 4,5 л бензина на шоссе и 6,1 л на проселке. Хорошо разгонялись как на первой, так и на второй передачах, уверенно брали подъемы. Однако водители отметили и недостатки — в удачной коробке скоростей слабым оказался зубчатый сектор кик-стартера, слишком быстро изнашивались стенки цилиндра и неприкрытая снизу цепь, из-за сырости то и дело отказывали магнето и провода высокого напряжения, между щитками и колесами забивалась грязь, управление машиной требовало немалых усилий. В итоге техническая комиссия насчитала 35 серьезных и мелких недостатков, но ее председатель П. В. Можаров отметил, что ленинградцами в кратчайший срок был достигнут «максимум качества при минимуме стоимости». Видно, он считал, что главное — наладить серийное производство.</w:t>
      </w:r>
    </w:p>
    <w:p w14:paraId="15281E83"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Технической комиссии 3-го Всесоюзного автомотопробега особенно понравился мотоцикл Иж-4. Она даже рекомендовала наладить серийное производство этих машин. Однако представители ленинградской группы «Комитета по мотоциклостроению» по-прежнему предлагали начинать с выпуска иностранной модели. Кстати, именно так в те годы поступили автомобилестроители и конструкторы танков, пустив в серию иностранные образцы, тем самым сэкономив время и обеспечив народное хозяйство и армию современной техникой.</w:t>
      </w:r>
    </w:p>
    <w:p w14:paraId="3F273CDD"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И вот для того, чтобы прийти к окончательному решению, при ВСНХ СССР создали комиссию и отправили в Ижевск, где, как мы знаем, сумели сделать сразу пять мотоциклов. Ознакомившись с инженерным составом, загрузкой и техническими возможностями завода, члены комиссии пришли к выводу, что для серийного производства мотоциклов в этом городе придется возводить новое предприятие, но оно непременно будет ориентировано на местную сырьевую базу и испытательное оборудование. Кроме того, его строительство займет не один год, а мотоциклы нужны уже сейчас.</w:t>
      </w:r>
    </w:p>
    <w:p w14:paraId="5F56C9BE"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Поэтому члены комиссии рекомендовали поручить серийное производство машин ленинградскому тресту массового производства «Тремасс», в который уже входили действующие заводы. Вскоре руководство «Тремасса» получило задание срочно освоить серийный выпуск, изготовив до конца 1930 года не менее 150 мотоциклов, а в следующем году сдать 675 машин, в 1932 году — 2 тысячи.</w:t>
      </w:r>
    </w:p>
    <w:p w14:paraId="1F86679A"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«Тремасс» передал задание подведомственному заводу «Промет». Его специалисты сначала взяли за прототип английский «Ковентри-250», а потом переменили решение в пользу немецкого «Люкс-300». Видимо, сыграло роль то, что фирма ДКВ выпускала его огромными по тем временам сериями — до 50 тыс. в год и распространяла по всей Европе.</w:t>
      </w:r>
    </w:p>
    <w:p w14:paraId="02412FCD"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А пока конструкторская группа В. В. Бекман, Н. С. Головин, А. А. Иванов, Г. И. Гусев, А. М. Лутс, А. Г. Ревков занималась подгонкой «Люкса» к нашим условиям, в НАМИ провели его лабораторные и дорожные испытания, причем сделал это тот самый С. И. Карзинкин, который в 1924 году обкатывал первый советский мотоцикл «Союз».</w:t>
      </w:r>
    </w:p>
    <w:p w14:paraId="19D38F6F"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В общем, когда ленинградцы закончили сборку первого образца, названного «Тремасс-300», специалисты НАМИ уже располагали полными техническими характеристиками «Люкса», заметно отличавшимися от паспортных, причем в худшую сторону. Что же касается Карзинкина, то, по его мнению, у мотоцикла следовало увеличить клиренс со 100 до 140 мм, между цилиндром и выхлопной трубой установить ресивер (небольшой резервуар) для улучшения продувки цилиндра рабочей смесью и сделать ряд других улучшений. Ленинградцы незамедлительно внесли коррективы в рабочие чертежи (11396).</w:t>
      </w:r>
    </w:p>
    <w:p w14:paraId="6432657F" w14:textId="77777777" w:rsidR="00537E5F" w:rsidRPr="00507A31" w:rsidRDefault="00537E5F" w:rsidP="00507A31">
      <w:pPr>
        <w:widowControl w:val="0"/>
        <w:autoSpaceDE w:val="0"/>
        <w:autoSpaceDN w:val="0"/>
        <w:adjustRightInd w:val="0"/>
        <w:jc w:val="both"/>
        <w:rPr>
          <w:color w:val="000000" w:themeColor="text1"/>
          <w:sz w:val="16"/>
          <w:szCs w:val="16"/>
        </w:rPr>
      </w:pPr>
    </w:p>
    <w:p w14:paraId="7C6CB79D" w14:textId="77777777" w:rsidR="00356CDC" w:rsidRPr="00507A31" w:rsidRDefault="00356CDC" w:rsidP="00507A31">
      <w:pPr>
        <w:jc w:val="both"/>
        <w:rPr>
          <w:color w:val="000000" w:themeColor="text1"/>
          <w:sz w:val="16"/>
          <w:szCs w:val="16"/>
        </w:rPr>
      </w:pPr>
      <w:r w:rsidRPr="00507A31">
        <w:rPr>
          <w:color w:val="000000" w:themeColor="text1"/>
          <w:sz w:val="16"/>
          <w:szCs w:val="16"/>
        </w:rPr>
        <w:t>В сентяб</w:t>
      </w:r>
      <w:r w:rsidRPr="00507A31">
        <w:rPr>
          <w:color w:val="000000" w:themeColor="text1"/>
          <w:sz w:val="16"/>
          <w:szCs w:val="16"/>
        </w:rPr>
        <w:softHyphen/>
        <w:t>ре 1930 г. НКВМ и РВС представили в РЗ СТО доклад о реорга</w:t>
      </w:r>
      <w:r w:rsidRPr="00507A31">
        <w:rPr>
          <w:color w:val="000000" w:themeColor="text1"/>
          <w:sz w:val="16"/>
          <w:szCs w:val="16"/>
        </w:rPr>
        <w:softHyphen/>
        <w:t>низации РККА в свете “успехов пятилетки”. Снова пошли разго</w:t>
      </w:r>
      <w:r w:rsidRPr="00507A31">
        <w:rPr>
          <w:color w:val="000000" w:themeColor="text1"/>
          <w:sz w:val="16"/>
          <w:szCs w:val="16"/>
        </w:rPr>
        <w:softHyphen/>
        <w:t>воры о возрастании военной опасности в связи с “фашизацией” Польши и переворотом в Румынии, “наглом поведении этих стран, инспирированном Францией”. Начался пересмотр руково</w:t>
      </w:r>
      <w:r w:rsidRPr="00507A31">
        <w:rPr>
          <w:color w:val="000000" w:themeColor="text1"/>
          <w:sz w:val="16"/>
          <w:szCs w:val="16"/>
        </w:rPr>
        <w:softHyphen/>
        <w:t>дящих директив по установке численности войск и их вооруже</w:t>
      </w:r>
      <w:r w:rsidRPr="00507A31">
        <w:rPr>
          <w:color w:val="000000" w:themeColor="text1"/>
          <w:sz w:val="16"/>
          <w:szCs w:val="16"/>
        </w:rPr>
        <w:softHyphen/>
        <w:t>ний на случай военного столкновения. Ставилась задача иметь перевес над противниками в 2-3 раза. СО Госплана рассматри</w:t>
      </w:r>
      <w:r w:rsidRPr="00507A31">
        <w:rPr>
          <w:color w:val="000000" w:themeColor="text1"/>
          <w:sz w:val="16"/>
          <w:szCs w:val="16"/>
        </w:rPr>
        <w:softHyphen/>
        <w:t>вался теперь как неуступчивый партнер”</w:t>
      </w:r>
      <w:bookmarkStart w:id="94" w:name="_ednref45"/>
      <w:r w:rsidRPr="00507A31">
        <w:rPr>
          <w:color w:val="000000" w:themeColor="text1"/>
          <w:sz w:val="16"/>
          <w:szCs w:val="16"/>
        </w:rPr>
        <w:t xml:space="preserve"> (18393)</w:t>
      </w:r>
      <w:bookmarkEnd w:id="94"/>
      <w:r w:rsidRPr="00507A31">
        <w:rPr>
          <w:color w:val="000000" w:themeColor="text1"/>
          <w:sz w:val="16"/>
          <w:szCs w:val="16"/>
        </w:rPr>
        <w:t>.</w:t>
      </w:r>
    </w:p>
    <w:p w14:paraId="71CCF340" w14:textId="77777777" w:rsidR="00356CDC" w:rsidRPr="00507A31" w:rsidRDefault="00356CDC" w:rsidP="00507A31">
      <w:pPr>
        <w:jc w:val="both"/>
        <w:rPr>
          <w:color w:val="000000" w:themeColor="text1"/>
          <w:sz w:val="16"/>
          <w:szCs w:val="16"/>
        </w:rPr>
      </w:pPr>
    </w:p>
    <w:p w14:paraId="5E9CC9C5" w14:textId="77777777" w:rsidR="00356CDC" w:rsidRPr="00507A31" w:rsidRDefault="00356CDC" w:rsidP="00507A31">
      <w:pPr>
        <w:jc w:val="both"/>
        <w:rPr>
          <w:color w:val="000000" w:themeColor="text1"/>
          <w:sz w:val="16"/>
          <w:szCs w:val="16"/>
        </w:rPr>
      </w:pPr>
      <w:r w:rsidRPr="00507A31">
        <w:rPr>
          <w:color w:val="000000" w:themeColor="text1"/>
          <w:sz w:val="16"/>
          <w:szCs w:val="16"/>
        </w:rPr>
        <w:lastRenderedPageBreak/>
        <w:t>В сентябре 1930 г. ПБ поста</w:t>
      </w:r>
      <w:r w:rsidRPr="00507A31">
        <w:rPr>
          <w:color w:val="000000" w:themeColor="text1"/>
          <w:sz w:val="16"/>
          <w:szCs w:val="16"/>
        </w:rPr>
        <w:softHyphen/>
        <w:t>новило дополнительно ассигновать НКВМ 750 млн руб.</w:t>
      </w:r>
      <w:bookmarkStart w:id="95" w:name="_ednref53"/>
      <w:r w:rsidRPr="00507A31">
        <w:rPr>
          <w:color w:val="000000" w:themeColor="text1"/>
          <w:sz w:val="16"/>
          <w:szCs w:val="16"/>
        </w:rPr>
        <w:t xml:space="preserve"> (18393)</w:t>
      </w:r>
      <w:bookmarkEnd w:id="95"/>
      <w:r w:rsidRPr="00507A31">
        <w:rPr>
          <w:color w:val="000000" w:themeColor="text1"/>
          <w:sz w:val="16"/>
          <w:szCs w:val="16"/>
        </w:rPr>
        <w:t>.</w:t>
      </w:r>
    </w:p>
    <w:p w14:paraId="3FF57D95" w14:textId="77777777" w:rsidR="00356CDC" w:rsidRPr="00507A31" w:rsidRDefault="00356CDC" w:rsidP="00507A31">
      <w:pPr>
        <w:jc w:val="both"/>
        <w:rPr>
          <w:color w:val="000000" w:themeColor="text1"/>
          <w:sz w:val="16"/>
          <w:szCs w:val="16"/>
        </w:rPr>
      </w:pPr>
    </w:p>
    <w:p w14:paraId="47DF90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сентября 1930 года под руко­водством В.А.Никитина разрабатывался общий проект будущего лидера разрабатывался, ответственным ис­полнителем проектных работ был П.О.Трахтенберг. В феврале 1932 года на совещании у начальника ВМС РККА В.М.Орлова (сменив­шего Р.А.Муклевича на этом посту в июле 1931 года) вновь обсуждался вопрос об обес­печении установленной постановлением РВСР скорости хода эсминцев-лидеров. В приня­том решении отмечалось, что, несмотря на длительную дополнительную проработку материалов общего проекта в целях дости­жения скорости полного хода корабля 40,5 уз при нормальном водоизмещении 2250 т, проектантам не удалось добиться такой ско­рости. Достижение требуемой скорости путем реализации предложения НТКМ об из­менении общего проекта представлялось со­мнительным и задерживало начало строи­тельства этих кораблей еще на четыре-шесть месяцев. Специалисты НТКМ предлагали отка­заться от принятых в общем проекте слож­ных обводов кормовой оконечности (с при­менением длинных выкружек гребных валов, так называемых «штанов») и перейти на общепринятые кронштейны, поддерживаю­щие гребные валы, с соответствующим приполнением кормы, ссылаясь при этом и на зарубежный опыт. Было признано необходимым доложить об этом РВС и просить разрешения строить закладываемые в 1932 году три эсминца-лидера 1-и серии со скоростью хода 40 уз при водоизмещении 2265 т с внесением ми­нимальных изменений в проект, при со­блюдении жесткой весовой дисциплины по всем статьям нагрузки корабля. Начальни­ку Техупра УВМС А.К.Сивкову поручалось произвести перед докладом тщательную проверку всех данных промышленности и НТК для представления РВС необходимых материалов. В своем докладе он должен был подтвердить, исходя из опыта проектирова­ния эсминца-лидера, необходимость при­влечения иностранной технической помощи к разработке проектов эсминцев, подлежа­щих закладке в последующие годы. Было при­нято решение построить три корабля по про­екту 1, а затем перейти на новые обводы при разработке следующего проекта для по­стройки лидеров 2-й серии. Молодая советская научная школа, ис­кусственно лишенная в те годы связи с ми­ровой, создавала собственные теории, ме­тодики, многие приоритетные методы иссле­дования. Ее потенциал позволил внедрить в совершенную в то время теорию корабля методы теоретической гидродинамики и аэродинамики, которые нашли широкое применение при экспериментальном иссле­довании обводов корпуса быстроходных лидеров, а также при проектировании кавитационных гребных винтов. В 1932 году в Ленинграде инициативой и усилиями началь­ника НИВК Н.В.Алякринского была созда­на исследовательская лаборатория, обору­дованная специальной кавитационной тру­бой. В этой лаборатории Э.Э.Папмелем, А.Н.Калмыковым и В.Л.Поздюниным прово­дились исследования эрозии гребных винтов лидеров и поиск оптимальных условий их работы. Во время разработки и создания лидеров дальнейшее развитие в трудах П.Ф.Попко­вича, Ю.А.Шиманского и других получили теоретические основы строительной меха­ники корабля, разработанные в трудах ос­новоположников отечественной теории ко­раблестроения А.Н.Крылова и И.Г.Бубнова. Именно в эти годы в ответ на запросы прак­тики были опубликованы «Техника измере­ния деформаций судовых корпусов» (1 932), глава «Вибрация корабля» в книге «Спра­вочник по судостроению» (1932) П.Ф.Поп­ковича, «Динамический расчет судовых кон­струкций» и многотомный справочник по строительной механике Ю.А. Шиманского. В свою очередь, эти и другие работы позво­лили усовершенствовать методы расчета общей и местной прочности корпусных кон­струкций надводных кораблей, особенно ли­деров. Впервые для лидеров была разрабо­тана в теоретическом плане специальная продольно-поперечная система набора не­бронированного корпуса. Удачным решени­ем при проектировании лидеров явилось принятие больших запасов по весовой на­грузке, гарантировавших, что проектное во­доизмещение не будет превышено. Требуемая ТТЗ высокая скорость хода корабля вызывала кавитацию его гребных винтов, что приводило к изменению их гид­родинамических характеристик и эрозион­ному разрушению лопастей. Кавитации за­висит от числа оборотов гребных винтов, их размеров и формы, скорости и направ­ления потока воды, глубины расположения винтов от поверхности воды и других фак­торов. Поиск оптимальных условий работы винтов и их пара­метров проводился на моделях в кави­тационной трубе НИВК. Высокий про­фессионализм ин­женера-механика Э.Э.Папмеля, воз­главившего соз­данное в это время Бюро судовых дви­жителей, позволил добиться общего улучшения пропульсивного качества гребных винтов ско­ростных кораблей типа «Ленинград» за счет перепроекти­рования всей конст­рукции во всех дета­лях вместо упро­щенного решения значительного уве­личения диаметра с целью уменьшения кавитационной эрозии. Жесткие требования, предъявляемые к строящимся лидерам, обусловили потреб­ность предвоенного кораблестроения в рас­ширении номенклатуры судостроительных материалов. Развернутые в СССР исследо­вания привели к созданию ряда марок ма­териалов, которые нашли широкое приме­нение в строительстве лидеров. Например, для надстроек на этих кораблях планирова­лось применить марганцовистую сталь с пределом текучести 40 кгс/мм2. Широкое внедрение этой марки стали явилось воз­можным после тщательных исследований по изысканию путей устранения ряда серьез­ных недостатков, в частности, хрупкости и склонности к растрескиванию. Впоследствии во время строительства из-за ее оттенка до покраски корабли называли «серебряны­ми». В отдельных конструкциях (внутренних выгородках, зашивке изоляции, вентиляцион­ных каналах) использовались сплавы алюми­ния—дюралюминий и кольчугалюминий (11866).</w:t>
      </w:r>
    </w:p>
    <w:p w14:paraId="66A425CA" w14:textId="135A987B" w:rsidR="00537E5F" w:rsidRPr="00507A31" w:rsidRDefault="00537E5F" w:rsidP="00507A31">
      <w:pPr>
        <w:autoSpaceDE w:val="0"/>
        <w:autoSpaceDN w:val="0"/>
        <w:adjustRightInd w:val="0"/>
        <w:jc w:val="both"/>
        <w:rPr>
          <w:color w:val="000000" w:themeColor="text1"/>
          <w:sz w:val="16"/>
          <w:szCs w:val="16"/>
        </w:rPr>
      </w:pPr>
    </w:p>
    <w:p w14:paraId="159862DB" w14:textId="26B82D31" w:rsidR="003053D5" w:rsidRPr="00507A31" w:rsidRDefault="003053D5" w:rsidP="00507A31">
      <w:pPr>
        <w:autoSpaceDE w:val="0"/>
        <w:autoSpaceDN w:val="0"/>
        <w:adjustRightInd w:val="0"/>
        <w:jc w:val="both"/>
        <w:rPr>
          <w:i/>
          <w:iCs/>
          <w:color w:val="000000" w:themeColor="text1"/>
          <w:sz w:val="16"/>
          <w:szCs w:val="16"/>
        </w:rPr>
      </w:pPr>
      <w:r w:rsidRPr="00507A31">
        <w:rPr>
          <w:i/>
          <w:iCs/>
          <w:color w:val="000000" w:themeColor="text1"/>
          <w:sz w:val="16"/>
          <w:szCs w:val="16"/>
        </w:rPr>
        <w:t>Армия:</w:t>
      </w:r>
    </w:p>
    <w:p w14:paraId="4E829762" w14:textId="77777777" w:rsidR="003053D5" w:rsidRPr="00507A31" w:rsidRDefault="003053D5" w:rsidP="00507A31">
      <w:pPr>
        <w:autoSpaceDE w:val="0"/>
        <w:autoSpaceDN w:val="0"/>
        <w:adjustRightInd w:val="0"/>
        <w:jc w:val="both"/>
        <w:rPr>
          <w:i/>
          <w:iCs/>
          <w:color w:val="000000" w:themeColor="text1"/>
          <w:sz w:val="16"/>
          <w:szCs w:val="16"/>
        </w:rPr>
      </w:pPr>
    </w:p>
    <w:p w14:paraId="02AA8819" w14:textId="77777777" w:rsidR="003053D5" w:rsidRPr="00507A31" w:rsidRDefault="003053D5" w:rsidP="00507A31">
      <w:pPr>
        <w:shd w:val="clear" w:color="auto" w:fill="FFFFFF"/>
        <w:jc w:val="both"/>
        <w:rPr>
          <w:color w:val="0070C0"/>
          <w:sz w:val="16"/>
          <w:szCs w:val="16"/>
        </w:rPr>
      </w:pPr>
      <w:r w:rsidRPr="00507A31">
        <w:rPr>
          <w:color w:val="0070C0"/>
          <w:sz w:val="16"/>
          <w:szCs w:val="16"/>
        </w:rPr>
        <w:t>Сентябрем 1930 г. датирован первый вариант новой программы был облечен в форму доклада наркомвоенмора и председателя РВС СССР в Распорядительное заседание СТО СССР "О реорганизации Рабоче-Крестьянской Красной Армии на конец пятилетки" (РГВА. Ф. 40442. On. 1. Д 153. Точная дата (число) заделана, но не проставлена. В тексте упоминается правительственное решение о форсировании "развития Воздушного флота на базе развертывающейся отечественной авиапромышленности" (То же. Л. 114). Вероятно, имелось в виду постановление ПБ 5 сентября 1930 г., и составление доклада было завершено после этой даты. На первой странице доклада имеются рукописные пометы заместителя начальника I отдела II Управления Штаба Герберта от 5 ноября 1930 г., из которых следует, что документ был изготовлен в трех экземплярах, из них сохранен № 2, "так как в него внесены последние изменения" (То же. Л. 107). Сочетание машинописного текста с исправлениями, внесенными рукой Герберта, позволяет проследить некоторые изменения при подготовке нового плана осенью 1930 г.).</w:t>
      </w:r>
    </w:p>
    <w:p w14:paraId="6333CBA5" w14:textId="77777777" w:rsidR="003053D5" w:rsidRPr="00507A31" w:rsidRDefault="003053D5" w:rsidP="00507A31">
      <w:pPr>
        <w:shd w:val="clear" w:color="auto" w:fill="FFFFFF"/>
        <w:jc w:val="both"/>
        <w:rPr>
          <w:color w:val="0070C0"/>
          <w:sz w:val="16"/>
          <w:szCs w:val="16"/>
        </w:rPr>
      </w:pPr>
      <w:r w:rsidRPr="00507A31">
        <w:rPr>
          <w:color w:val="0070C0"/>
          <w:sz w:val="16"/>
          <w:szCs w:val="16"/>
        </w:rPr>
        <w:t>Первая глава ("Организация армии военного времени") открывалась объяснением причин, вызвавших пересмотр недавних решений. После ссылки на постановление "О состоянии обороны СССР", "которым определена численность армии военного и мирного времени и указаны основные количественные показатели по важнейшим видам вооружения и снабжения армии", в докладе сообщалось: "Однако уже ко времени принятия Правительством этого постановления ясно определился решающий успех социалистического строительства, почему НКВМ было предложено заново пересмотреть пятилетний план строительства вооруженных сил и представить его на утверждение Правительства".</w:t>
      </w:r>
    </w:p>
    <w:p w14:paraId="55186B5C" w14:textId="77777777" w:rsidR="003053D5" w:rsidRPr="00507A31" w:rsidRDefault="003053D5" w:rsidP="00507A31">
      <w:pPr>
        <w:shd w:val="clear" w:color="auto" w:fill="FFFFFF"/>
        <w:jc w:val="both"/>
        <w:rPr>
          <w:color w:val="0070C0"/>
          <w:sz w:val="16"/>
          <w:szCs w:val="16"/>
        </w:rPr>
      </w:pPr>
      <w:r w:rsidRPr="00507A31">
        <w:rPr>
          <w:color w:val="0070C0"/>
          <w:sz w:val="16"/>
          <w:szCs w:val="16"/>
        </w:rPr>
        <w:t>Исходная версия нового планa строительства РККА предлагала:</w:t>
      </w:r>
    </w:p>
    <w:p w14:paraId="24DB80EA" w14:textId="77777777" w:rsidR="003053D5" w:rsidRPr="00507A31" w:rsidRDefault="003053D5" w:rsidP="00507A31">
      <w:pPr>
        <w:shd w:val="clear" w:color="auto" w:fill="FFFFFF"/>
        <w:jc w:val="both"/>
        <w:rPr>
          <w:color w:val="0070C0"/>
          <w:sz w:val="16"/>
          <w:szCs w:val="16"/>
        </w:rPr>
      </w:pPr>
      <w:r w:rsidRPr="00507A31">
        <w:rPr>
          <w:color w:val="0070C0"/>
          <w:sz w:val="16"/>
          <w:szCs w:val="16"/>
        </w:rPr>
        <w:t>а) "увеличение численности армии: 4 400 000 человек против 3 041 000 чел. по варианту № 10" и "увеличение количества высших стрелковых соединений: 150 стрелковых дивизий против 102 по варианту № 10". По варианту 12 РККА военного времени должна была численно превзойти развернутые в 1918 г. на европейском театре армии как Германии, так и Франции. Указывая на это обстоятельство, доклад НКВМ подчеркивал, что проектируемая численность личного состава "ни в коем случае не может считаться преувеличенной", так как "обширность территории Союза и протяженность границ даже в случае вооруженного столкновения только на западном театре неминуемо потребует оставления известного количества дивизий на восточных границах - не менее 12-15 дивизий". Особое внимание обращалось на возможность (и вероятность) одновременного "выступления" Северного Китая, поскольку- во время конфликта на КВЖД "со всей определенностью было установлено, что китайская армия является вполне реальной силой, значительно более подготовленной, чем это ранее представлялось". Из подсчета сил дли прикрытия восточных границ следовало, что "намеченная по npoектy численность армии является минимальной";</w:t>
      </w:r>
    </w:p>
    <w:p w14:paraId="13ED5858" w14:textId="77777777" w:rsidR="003053D5" w:rsidRPr="00507A31" w:rsidRDefault="003053D5" w:rsidP="00507A31">
      <w:pPr>
        <w:shd w:val="clear" w:color="auto" w:fill="FFFFFF"/>
        <w:jc w:val="both"/>
        <w:rPr>
          <w:color w:val="0070C0"/>
          <w:sz w:val="16"/>
          <w:szCs w:val="16"/>
        </w:rPr>
      </w:pPr>
      <w:r w:rsidRPr="00507A31">
        <w:rPr>
          <w:color w:val="0070C0"/>
          <w:sz w:val="16"/>
          <w:szCs w:val="16"/>
        </w:rPr>
        <w:t>б) "максимальное развитие Военно-Воздушных Сил: 5000 боевых самолетов в строю против 1425 по варианту № 10". Наша программа, учитывавшая июльское решение Политбюро о передаче авиапромышленности в военное ведомство, предусматривала содержание в мирное время 4130 самолетов, изъятие по мобилизации из гражданской авиации 867 самолетов для строевых авиачастей (что в сумме давало 5 тыс. боевых машин) и 1854 самолета для вспомогательной авиации и вузов. Доля бомбардировочной авиации - тогдашнего стратегического вооружения - подлежала увеличению с 14 до 40% общего количества боевых машин (в ВВС Англии - 21%, Италии - 17%) (Общее число самолетов на военное время было "запроектировано в размере 9150 действующих самолетов и 4461 запасных, а всего 13 611 самолетов". Эти цифры, вероятно, следует рассматривать как относящиеся к исходу первого периода (года) войны). Планирование "двойного превышения над Западным блоком" объяснялось прогнозом "безусловной помощи нашим вероятным противникам со стороны Франции и Англии как в отношении материальной части, так и летного состава" (к тому же "коэффициент развертывания иностранной авиапромышленности будет не менее 12", тогда как в СССР только 2,5). По плану усиления противовоздушной обороны число тыловых объектов, защищаемых активными средствами, увеличивалось вдвое, в несколько раз возрастали средства ПВО Москвы и Ленинграда;</w:t>
      </w:r>
    </w:p>
    <w:p w14:paraId="1362D873" w14:textId="77777777" w:rsidR="003053D5" w:rsidRPr="00507A31" w:rsidRDefault="003053D5" w:rsidP="00507A31">
      <w:pPr>
        <w:shd w:val="clear" w:color="auto" w:fill="FFFFFF"/>
        <w:jc w:val="both"/>
        <w:rPr>
          <w:color w:val="0070C0"/>
          <w:sz w:val="16"/>
          <w:szCs w:val="16"/>
        </w:rPr>
      </w:pPr>
      <w:r w:rsidRPr="00507A31">
        <w:rPr>
          <w:color w:val="0070C0"/>
          <w:sz w:val="16"/>
          <w:szCs w:val="16"/>
        </w:rPr>
        <w:t>в) "усиление средств подавления - артиллерия и танки 19092 орудия (в том числе 11 638 средних и крупных калибров против 8365 орудий (в том числе 7231 средних и крупных калибров) и 4500 танков в строю против 429 по варианту № 10)". По общему числу орудий Красная Армия должна была превзойти артиллерию Франции конца мировой войны. Со отношения легких и тяжелых калибров, пушек и гаубиц существенно улучшались, однако, утверждало военное ведомство, при этом оставались далекими от оптимальных, и "резерв Главнокомандования будет слабым". 4500 танков предлагалось свести в 33 танковых и 4 тяжелых батальона РГК, 4 мехбригады и 23 мехполка для стрелковых дивизий и конницы. Выполнение этой программы позволяло по количеству танков на батальон пехоты достичь уровня Полыни и приблизиться к уровню Франции.</w:t>
      </w:r>
    </w:p>
    <w:p w14:paraId="52167B42" w14:textId="77777777" w:rsidR="003053D5" w:rsidRPr="00507A31" w:rsidRDefault="003053D5" w:rsidP="00507A31">
      <w:pPr>
        <w:shd w:val="clear" w:color="auto" w:fill="FFFFFF"/>
        <w:jc w:val="both"/>
        <w:rPr>
          <w:color w:val="0070C0"/>
          <w:sz w:val="16"/>
          <w:szCs w:val="16"/>
        </w:rPr>
      </w:pPr>
      <w:r w:rsidRPr="00507A31">
        <w:rPr>
          <w:color w:val="0070C0"/>
          <w:sz w:val="16"/>
          <w:szCs w:val="16"/>
        </w:rPr>
        <w:t xml:space="preserve">Наряду с этими подлежащими развертыванию по мобилизации силами предусматривались новые формирования первого года войны в составе 20 стрелковых дивизий, 28 артполков РГК, 1000 самолетов и 1000 танков (Доклад Народного Комиссара по Военным и Морским Делам Bopoшилова в Распорядительное заседание СТО СССР "О реорганизации Рабоче-Крестьянской Красной Армии на конец пятилетки" (проект), сентябрь 1930 г // РГВА. Ф. 40442. On. 1. Д. 153-Л. 107-123 (при цитировании раскрыты использованные в документе сокращения). Первоначальная структура доклада включала в себя, наряду с главой об армии военного времени, и другие разделы. Позднее начальник Штаба распорядился "составить самостоятельный доклад" (Резолюция Шапошникова, 2.11.1930 // Там же. Л. 146). Окончательный </w:t>
      </w:r>
      <w:r w:rsidRPr="00507A31">
        <w:rPr>
          <w:color w:val="0070C0"/>
          <w:sz w:val="16"/>
          <w:szCs w:val="16"/>
        </w:rPr>
        <w:lastRenderedPageBreak/>
        <w:t>вариант доклада НКВМ не обнаружен. Вероятно, он был адресован уже не в РЗ СТО, а в Комиссию обороны ПБ ЦК ВКП(б) и СНК СССР (см. ниже) и находится в ее делах)  (22725).</w:t>
      </w:r>
    </w:p>
    <w:p w14:paraId="438377C1" w14:textId="77777777" w:rsidR="003053D5" w:rsidRPr="00507A31" w:rsidRDefault="003053D5" w:rsidP="00507A31">
      <w:pPr>
        <w:jc w:val="both"/>
        <w:rPr>
          <w:color w:val="0070C0"/>
          <w:sz w:val="16"/>
          <w:szCs w:val="16"/>
        </w:rPr>
      </w:pPr>
    </w:p>
    <w:p w14:paraId="424AB5C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72BCB96" w14:textId="77777777" w:rsidR="00537E5F" w:rsidRPr="00507A31" w:rsidRDefault="00537E5F" w:rsidP="00507A31">
      <w:pPr>
        <w:autoSpaceDE w:val="0"/>
        <w:autoSpaceDN w:val="0"/>
        <w:adjustRightInd w:val="0"/>
        <w:jc w:val="both"/>
        <w:rPr>
          <w:iCs/>
          <w:color w:val="000000" w:themeColor="text1"/>
          <w:sz w:val="16"/>
          <w:szCs w:val="16"/>
        </w:rPr>
      </w:pPr>
    </w:p>
    <w:p w14:paraId="762E19D9" w14:textId="77777777" w:rsidR="00BA182B" w:rsidRPr="00507A31" w:rsidRDefault="00BA182B" w:rsidP="00507A31">
      <w:pPr>
        <w:jc w:val="both"/>
        <w:rPr>
          <w:color w:val="000000" w:themeColor="text1"/>
          <w:sz w:val="16"/>
          <w:szCs w:val="16"/>
        </w:rPr>
      </w:pPr>
      <w:r w:rsidRPr="00507A31">
        <w:rPr>
          <w:color w:val="000000" w:themeColor="text1"/>
          <w:sz w:val="16"/>
          <w:szCs w:val="16"/>
        </w:rPr>
        <w:t>Сентябрь 1930. И. В. Сталин пишет В. М. Молотову: "Нужно, по-моему, увеличить (елико возможно) производство водки. Нужно отбросить ложный стыд и прямо, открыто пойти на максимальное увеличение производства водки на предмет обеспечения действительной и серьезной обороны страны". Имей в виду, что серьезное развитие гражданской авиации тоже потребует уйму денег, для чего опять же придется апеллировать к водке" (18725).</w:t>
      </w:r>
    </w:p>
    <w:p w14:paraId="61A28A4C" w14:textId="77777777" w:rsidR="00BA182B" w:rsidRPr="00507A31" w:rsidRDefault="00BA182B" w:rsidP="00507A31">
      <w:pPr>
        <w:jc w:val="both"/>
        <w:rPr>
          <w:color w:val="000000" w:themeColor="text1"/>
          <w:sz w:val="16"/>
          <w:szCs w:val="16"/>
        </w:rPr>
      </w:pPr>
    </w:p>
    <w:p w14:paraId="33A0782D" w14:textId="77777777" w:rsidR="001927A3" w:rsidRPr="00507A31" w:rsidRDefault="001927A3" w:rsidP="00507A31">
      <w:pPr>
        <w:jc w:val="both"/>
        <w:rPr>
          <w:color w:val="000000" w:themeColor="text1"/>
          <w:sz w:val="16"/>
          <w:szCs w:val="16"/>
        </w:rPr>
      </w:pPr>
      <w:r w:rsidRPr="00507A31">
        <w:rPr>
          <w:color w:val="000000" w:themeColor="text1"/>
          <w:sz w:val="16"/>
          <w:szCs w:val="16"/>
        </w:rPr>
        <w:t xml:space="preserve">В сентябре </w:t>
      </w:r>
      <w:bookmarkStart w:id="96" w:name="YANDEX_15"/>
      <w:bookmarkEnd w:id="96"/>
      <w:r w:rsidRPr="00507A31">
        <w:rPr>
          <w:color w:val="000000" w:themeColor="text1"/>
          <w:sz w:val="16"/>
          <w:szCs w:val="16"/>
        </w:rPr>
        <w:t> 1930  г. Е.М. Ярославский в письме к Г.К. Орджоникидзе указывал: «Конечно, нам надо бояться панических прожектов правых и троцкистов, но надо этим вопросам уделять гораздо большее внимание, чем им уделяли. Недавние затруднения (еще не вполне изжитые) с недостатком разменной монеты тоже ухудшили бюджет рабочего, когда рабочий должен был покупать ненужные ему вещи (чтобы не требовать сдачи). Хорошо, что послушались Сталина и не пошли на путь суррогатов денег, ни на другие такие же меры».</w:t>
      </w:r>
    </w:p>
    <w:p w14:paraId="2E2F25C6" w14:textId="77777777" w:rsidR="001927A3" w:rsidRPr="00507A31" w:rsidRDefault="001927A3" w:rsidP="00507A31">
      <w:pPr>
        <w:autoSpaceDE w:val="0"/>
        <w:autoSpaceDN w:val="0"/>
        <w:adjustRightInd w:val="0"/>
        <w:jc w:val="both"/>
        <w:rPr>
          <w:color w:val="000000" w:themeColor="text1"/>
          <w:sz w:val="16"/>
          <w:szCs w:val="16"/>
        </w:rPr>
      </w:pPr>
      <w:r w:rsidRPr="00507A31">
        <w:rPr>
          <w:color w:val="000000" w:themeColor="text1"/>
          <w:sz w:val="16"/>
          <w:szCs w:val="16"/>
        </w:rPr>
        <w:t>Сталин решил воспользоваться кризисом в своих интересах. Неожиданно он проявил к делу о разменной монете огромное внимание и взял руководство в свои руки. Об этом свидетельствует такой интересный источник, как переписка Сталина и В.М. Молотова. Как видно из писем, Сталин выдвинул свой рецепт решения проблемы: основательно почистить аппарат Наркомата финансов и Госбанка расстрелять два − три десятка вредителей из этих ведомств и энергичнее проводить операции ОГПУ против спекулянтов разменной монетой. Сталин старался доказать, что действия правительства в данном вопросе - результат влияния вредителей − специалистов, фактически подчинивших себе коммунистов-руководителей. В этом смысле дело о разменной монете было составной частью акции против «вредителей» в партии, задуманной Сталиным, как главное средство борьбы с большевистскими лидерами, которые выступали за сотрудничество со старыми специалистами и за относительно умеренный курс. После этих указаний усилились репрессии: были сняты со своих постов руководитель Наркомата финансов Н.П. Брюханов и председатель Правления Госбанка Г.Л. Пятаков. В их ведомствах, как предлагал Сталин, была проведена «проверочно-мордобойная работа».  Историк Б.С. Илизаров в своей книге «Тайная жизнь Сталина» приводит интересные факты, предшествующие этому событию. 5 марта  1930  г. Сталин нарисовал непристойный рисунок, на котором Н.П. Брюханов изображен обнаженным и подвешенным за половые органы на веревке, переброшенной через блок с противовесом. Внизу, под рисунком Сталин аккуратно, печатными буквами написал: «Наркомфин СССР на второй день испытания». К рисунку приложена записка, также написанная рукой Сталина. Грубая шутка генсека ЦК  ВКП (б) имела продолжение. За связи с оппозицией 18 октября  1930  г. Н.П. Брюханов был снят с поста наркома финансов и назначен зампредом Мособлисполкома. На его место был назначен Г.Ф. Гринько, занимавший ранее пост заместителя наркома земледелия СССР. Как считает известный американский экономический историк П. Грегори несмотря на свой относительно невысокий политический статус Г.Ф. Гринько играл значимую роль в принятии важнейших государственных решений. Финансы стали для Г.Ф. Гринько совершенно новой сферой деятельности. Особое значение он придавал проблеме мобилизации денежных средств населения путем организации внутренних займов и накопления денег в сберегательных кассах (17240).</w:t>
      </w:r>
    </w:p>
    <w:p w14:paraId="61C8E515" w14:textId="77777777" w:rsidR="001927A3" w:rsidRPr="00507A31" w:rsidRDefault="001927A3" w:rsidP="00507A31">
      <w:pPr>
        <w:autoSpaceDE w:val="0"/>
        <w:autoSpaceDN w:val="0"/>
        <w:adjustRightInd w:val="0"/>
        <w:jc w:val="both"/>
        <w:rPr>
          <w:color w:val="000000" w:themeColor="text1"/>
          <w:sz w:val="16"/>
          <w:szCs w:val="16"/>
        </w:rPr>
      </w:pPr>
    </w:p>
    <w:p w14:paraId="730953C2" w14:textId="77777777" w:rsidR="00AD2EC4" w:rsidRPr="00507A31" w:rsidRDefault="00AD2EC4"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сентябре </w:t>
      </w:r>
      <w:r w:rsidRPr="00507A31">
        <w:rPr>
          <w:rStyle w:val="highlight"/>
          <w:color w:val="000000" w:themeColor="text1"/>
          <w:sz w:val="16"/>
          <w:szCs w:val="16"/>
        </w:rPr>
        <w:t> 1930 </w:t>
      </w:r>
      <w:r w:rsidRPr="00507A31">
        <w:rPr>
          <w:color w:val="000000" w:themeColor="text1"/>
          <w:sz w:val="16"/>
          <w:szCs w:val="16"/>
        </w:rPr>
        <w:t xml:space="preserve"> г. председатель ОГПУ СССР В.Р. Менжинский доложил секретарю ЦК ВКП (б) В.М. Молотову о раскрытии и частичной ликвидации контрреволюционной Трудовой крестьянской партии (ТКП). По данным следствия, в этой организации состояли экономисты Н.Д. Кондратьев, П.А. Садырин, Л.Н. Юровский, А.И. Вайнштейн, Л.И. Литошенко, мало имевшие к крестьянам какое-либо отношение. Все ученые занимали важные народнохозяйственные посты в Наркомате финансов и Госплане СССР. Дело ЦК ТКП стало еще одним звеном в процессе расправы со старыми специалистами. Обвиняемые по делу ТКП так и не были выведены на открытый процесс. В январе 1932 г. состоялось заседание коллегии ОГПУ, которая вынесла постановление заключить Л.Н. Юровского и Н.Д. Кондратьева в концлагерь сроком на  восемь лет (17240).</w:t>
      </w:r>
    </w:p>
    <w:p w14:paraId="47DF205A" w14:textId="77777777" w:rsidR="00AD2EC4" w:rsidRPr="00507A31" w:rsidRDefault="00AD2EC4" w:rsidP="00507A31">
      <w:pPr>
        <w:autoSpaceDE w:val="0"/>
        <w:autoSpaceDN w:val="0"/>
        <w:adjustRightInd w:val="0"/>
        <w:jc w:val="both"/>
        <w:rPr>
          <w:color w:val="000000" w:themeColor="text1"/>
          <w:sz w:val="16"/>
          <w:szCs w:val="16"/>
        </w:rPr>
      </w:pPr>
    </w:p>
    <w:p w14:paraId="55E905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И.В.Сталина приказал Молотову одернуть центральные газеты за сообщения о падении темпов и катастрофической текучести рабочих из-за плохого снабжения: "Уйми, ради бога, печать с её мышиным визгом о "сплошных прорывах", "нескончаемых провалах", "срывах" и т. п. брехне. Это - истерический троцкистско-правоуклонистский тон... " (9492).</w:t>
      </w:r>
    </w:p>
    <w:p w14:paraId="678B5D51" w14:textId="77777777" w:rsidR="00537E5F" w:rsidRPr="00507A31" w:rsidRDefault="00537E5F" w:rsidP="00507A31">
      <w:pPr>
        <w:autoSpaceDE w:val="0"/>
        <w:autoSpaceDN w:val="0"/>
        <w:adjustRightInd w:val="0"/>
        <w:jc w:val="both"/>
        <w:rPr>
          <w:color w:val="000000" w:themeColor="text1"/>
          <w:sz w:val="16"/>
          <w:szCs w:val="16"/>
        </w:rPr>
      </w:pPr>
    </w:p>
    <w:p w14:paraId="6887D1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конвойная стража СССР была переименована в конвойные войска СССР (4550).</w:t>
      </w:r>
    </w:p>
    <w:p w14:paraId="3D775D3C" w14:textId="77777777" w:rsidR="00537E5F" w:rsidRPr="00507A31" w:rsidRDefault="00537E5F" w:rsidP="00507A31">
      <w:pPr>
        <w:autoSpaceDE w:val="0"/>
        <w:autoSpaceDN w:val="0"/>
        <w:adjustRightInd w:val="0"/>
        <w:jc w:val="both"/>
        <w:rPr>
          <w:color w:val="000000" w:themeColor="text1"/>
          <w:sz w:val="16"/>
          <w:szCs w:val="16"/>
        </w:rPr>
      </w:pPr>
    </w:p>
    <w:p w14:paraId="2740A4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года силами заключенных уже велись работы по сооружению 4-х железнодорожных и 2-х безрельсовых дорог. В 1930 году было закончено строительство 29 км железнодорожной ветки на Хибинские апатиты, начались работы на железной дороге Сыктывкар-Пинега (275 км ), в Дальневосточном крае ОГПУ строило железнодорожную ветку Пашенная- Букачачи (82 км ) на Забайкальской ж. д. , в Восточной Сибири - участок железной дороги Томск - Енисейск протяженностью 120 км (2), Ухту соединили с Сыктывкаром и Кемью - тракты длиной соответственно 313 и 208 км (9042).</w:t>
      </w:r>
    </w:p>
    <w:p w14:paraId="75E398EF" w14:textId="77777777" w:rsidR="00537E5F" w:rsidRPr="00507A31" w:rsidRDefault="00537E5F" w:rsidP="00507A31">
      <w:pPr>
        <w:autoSpaceDE w:val="0"/>
        <w:autoSpaceDN w:val="0"/>
        <w:adjustRightInd w:val="0"/>
        <w:jc w:val="both"/>
        <w:rPr>
          <w:color w:val="000000" w:themeColor="text1"/>
          <w:sz w:val="16"/>
          <w:szCs w:val="16"/>
        </w:rPr>
      </w:pPr>
    </w:p>
    <w:p w14:paraId="376F0AD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9FF2030" w14:textId="77777777" w:rsidR="00537E5F" w:rsidRPr="00507A31" w:rsidRDefault="00537E5F" w:rsidP="00507A31">
      <w:pPr>
        <w:autoSpaceDE w:val="0"/>
        <w:autoSpaceDN w:val="0"/>
        <w:adjustRightInd w:val="0"/>
        <w:jc w:val="both"/>
        <w:rPr>
          <w:iCs/>
          <w:color w:val="000000" w:themeColor="text1"/>
          <w:sz w:val="16"/>
          <w:szCs w:val="16"/>
        </w:rPr>
      </w:pPr>
    </w:p>
    <w:p w14:paraId="0B829B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сентябре 1930 года ракета «Mirak-1» взорвалась прямо на стенде.</w:t>
      </w:r>
    </w:p>
    <w:p w14:paraId="2C98CF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Ракета «Mirak-1» была не вполне обычной конструкции и позже историки техники пытались рационально истолковать ее особенности. Дело же на самом деле сводилось к тому, что эту ракету изготовляли из тех материалов, которые удалось достать Небелю. Именно наличие материалов на «складе» берлинских ракетостроителей, а вовсе не глубокие научные соображения существенным образом повлияли на ее конструкцию.</w:t>
      </w:r>
    </w:p>
    <w:p w14:paraId="7D5CFF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Когда Небель работал над проектом первой ракеты «Mirak», он в основном старался не отходить от принципов проектирования пороховой ракеты. Подобно пороховой ракете, его «Mirak-1» имела «головку» и «направляющую ручку». Последняя представляла собой длинную тонкую алюминиевую трубу, служившую в качестве бака для бензина. «Головка» была сделана из литого алюминия и обработана наподобие артиллерийского снаряда. Носовая часть была съемной для заправки ракеты жидким кислородом, здесь же помещался предохранительный клапан. Дно головки было медное, внутри его находилась камера сгорания – уменьшенная копия «Kegelduse». Фактически камера сгорания была дном бака с жидким кислородом. Предполагалось, что таким образом она будет служить двум целям: жидкий кислород будет охлаждать ракетный двигатель, а тепло от ракетного двигателя будет выпаривать часть жидкого кислорода, создавая тем самым избыточное давление для принудительной подачи кислорода в камеру сгорания. Бензин должен был подаваться в камеру сгорания под давлением, создаваемым патроном двуокиси углерода того же типа, который применяется для приготовления содовой воды. Этот патрон помещался в конце хвостовой части. Пусковая направляющая ракеты «Mirak» была снабжена простым управляемым на расстоянии устройством, путем поворачивания которого разряжался патрон двуокиси углерода. Здесь же имелся специальный зажим, который крепко держал ракету «Mirak», не позволяя ей взлететь при запуске двигателя. На зажиме был установлен и прибор для измерения тяги.</w:t>
      </w:r>
    </w:p>
    <w:p w14:paraId="73C191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Испытательным полигоном для этой ракеты стала ферма Риделей неподалеку от саксонского городка Бернштадт.</w:t>
      </w:r>
    </w:p>
    <w:p w14:paraId="63FBE0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Как это ни странно, но новая катастрофа способствовала лишь увеличению финансирования со стороны частных лиц, и вскоре Небель смог приобрести участок площадью около пяти квадратных километров, расположенный в районе Рейникендорфа, рабочего пригорода Берлина. 27 сентября 1930 года «Общество» стало владельцем этого участка и объявило этот день «днем рождения ракетного испытательного полигона», который Небель назвал «Ракетенфлюгплатц» («Raketenflugplatz» – «Ракетный аэродром»). Там были установлены ракета Оберта, ее полноразмерная деревянная модель, железная пусковая направляющая для запуска ракет и вторая ракета «Mirak», работа над которой была уже завершена (11688).</w:t>
      </w:r>
    </w:p>
    <w:p w14:paraId="50E4EA3C" w14:textId="77777777" w:rsidR="00537E5F" w:rsidRPr="00507A31" w:rsidRDefault="00537E5F" w:rsidP="00507A31">
      <w:pPr>
        <w:autoSpaceDE w:val="0"/>
        <w:autoSpaceDN w:val="0"/>
        <w:adjustRightInd w:val="0"/>
        <w:jc w:val="both"/>
        <w:rPr>
          <w:color w:val="000000" w:themeColor="text1"/>
          <w:sz w:val="16"/>
          <w:szCs w:val="16"/>
        </w:rPr>
      </w:pPr>
    </w:p>
    <w:p w14:paraId="49DE3C1D" w14:textId="77777777" w:rsidR="003053D5" w:rsidRPr="00507A31" w:rsidRDefault="003053D5" w:rsidP="00507A31">
      <w:pPr>
        <w:jc w:val="both"/>
        <w:rPr>
          <w:color w:val="0070C0"/>
          <w:sz w:val="16"/>
          <w:szCs w:val="16"/>
        </w:rPr>
      </w:pPr>
      <w:r w:rsidRPr="00507A31">
        <w:rPr>
          <w:color w:val="0070C0"/>
          <w:sz w:val="16"/>
          <w:szCs w:val="16"/>
        </w:rPr>
        <w:t>В сентябре 1930 г. поляки испытали пробную машину Vickers Mk.E. Общее впечатление оказалось хорошим, и сразу по завершении испыта ний была закуплена партия танков (полякам удалось сторговаться по 3 165 фунтов стерлингов за машину!) и лицензия на их производство. К 1933 г. в Польшу было отправлено 38 двухбашенных танков Vickers Mk.E Type A (серийные номера VAE 408 — 445) (22990).</w:t>
      </w:r>
    </w:p>
    <w:p w14:paraId="6DB509B0" w14:textId="77777777" w:rsidR="003053D5" w:rsidRPr="00507A31" w:rsidRDefault="003053D5" w:rsidP="00507A31">
      <w:pPr>
        <w:jc w:val="both"/>
        <w:rPr>
          <w:color w:val="0070C0"/>
          <w:sz w:val="16"/>
          <w:szCs w:val="16"/>
        </w:rPr>
      </w:pPr>
    </w:p>
    <w:p w14:paraId="78FADBA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AC9B065" w14:textId="77777777" w:rsidR="00537E5F" w:rsidRPr="00507A31" w:rsidRDefault="00537E5F" w:rsidP="00507A31">
      <w:pPr>
        <w:autoSpaceDE w:val="0"/>
        <w:autoSpaceDN w:val="0"/>
        <w:adjustRightInd w:val="0"/>
        <w:jc w:val="both"/>
        <w:rPr>
          <w:iCs/>
          <w:color w:val="000000" w:themeColor="text1"/>
          <w:sz w:val="16"/>
          <w:szCs w:val="16"/>
        </w:rPr>
      </w:pPr>
    </w:p>
    <w:p w14:paraId="3680EF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Осенью 1930 звено Р-5 выиграло конкурс в Тегеране у Потез-25 (219,13).</w:t>
      </w:r>
    </w:p>
    <w:p w14:paraId="0B832922" w14:textId="77777777" w:rsidR="00537E5F" w:rsidRPr="00507A31" w:rsidRDefault="00537E5F" w:rsidP="00507A31">
      <w:pPr>
        <w:autoSpaceDE w:val="0"/>
        <w:autoSpaceDN w:val="0"/>
        <w:adjustRightInd w:val="0"/>
        <w:jc w:val="both"/>
        <w:rPr>
          <w:color w:val="000000" w:themeColor="text1"/>
          <w:sz w:val="16"/>
          <w:szCs w:val="16"/>
        </w:rPr>
      </w:pPr>
    </w:p>
    <w:p w14:paraId="41CDB2A0" w14:textId="77777777" w:rsidR="00D942D8" w:rsidRPr="00507A31" w:rsidRDefault="00D942D8" w:rsidP="00507A31">
      <w:pPr>
        <w:jc w:val="both"/>
        <w:rPr>
          <w:color w:val="000000" w:themeColor="text1"/>
          <w:sz w:val="16"/>
          <w:szCs w:val="16"/>
        </w:rPr>
      </w:pPr>
      <w:r w:rsidRPr="00507A31">
        <w:rPr>
          <w:color w:val="000000" w:themeColor="text1"/>
          <w:sz w:val="16"/>
          <w:szCs w:val="16"/>
        </w:rPr>
        <w:t>Осенью 1930 г. 1-я опытная серия И-5 с двигателями Ю-\/1 (указывалось, что это французские Гном-Рон Ю-\/1, изготовленные в Париже в 1930 г.), построенная на заводе №39 в коли</w:t>
      </w:r>
      <w:r w:rsidRPr="00507A31">
        <w:rPr>
          <w:color w:val="000000" w:themeColor="text1"/>
          <w:sz w:val="16"/>
          <w:szCs w:val="16"/>
        </w:rPr>
        <w:softHyphen/>
        <w:t>честве 5 экземпляров, была направлена для проведения войсковых ис</w:t>
      </w:r>
      <w:r w:rsidRPr="00507A31">
        <w:rPr>
          <w:color w:val="000000" w:themeColor="text1"/>
          <w:sz w:val="16"/>
          <w:szCs w:val="16"/>
        </w:rPr>
        <w:softHyphen/>
        <w:t>пытаний в 73-й авиаотряд 5-й авиабрига</w:t>
      </w:r>
      <w:r w:rsidRPr="00507A31">
        <w:rPr>
          <w:color w:val="000000" w:themeColor="text1"/>
          <w:sz w:val="16"/>
          <w:szCs w:val="16"/>
        </w:rPr>
        <w:softHyphen/>
        <w:t>ды в Киеве. Испытания велись с 28 ноября 1930 г. по 24 января 1931 г Погода в начале зимы стояла плохая — туман, снег, дождь. Затем начались морозы, температуры опу</w:t>
      </w:r>
      <w:r w:rsidRPr="00507A31">
        <w:rPr>
          <w:color w:val="000000" w:themeColor="text1"/>
          <w:sz w:val="16"/>
          <w:szCs w:val="16"/>
        </w:rPr>
        <w:softHyphen/>
        <w:t>скались почти до -ЗО'С. Тем не менее, лет</w:t>
      </w:r>
      <w:r w:rsidRPr="00507A31">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507A31">
        <w:rPr>
          <w:color w:val="000000" w:themeColor="text1"/>
          <w:sz w:val="16"/>
          <w:szCs w:val="16"/>
        </w:rPr>
        <w:softHyphen/>
        <w:t>сколько сотен взлетов и посадок, на каждом И-5 выполнено по 2 с лишним тысячи фигур высшего пилотажа.</w:t>
      </w:r>
    </w:p>
    <w:p w14:paraId="0B4A8396" w14:textId="77777777" w:rsidR="00D942D8" w:rsidRPr="00507A31" w:rsidRDefault="00D942D8" w:rsidP="00507A31">
      <w:pPr>
        <w:pStyle w:val="80"/>
        <w:shd w:val="clear" w:color="auto" w:fill="auto"/>
        <w:spacing w:line="240" w:lineRule="auto"/>
        <w:jc w:val="both"/>
        <w:rPr>
          <w:rFonts w:ascii="Times New Roman" w:hAnsi="Times New Roman" w:cs="Times New Roman"/>
          <w:color w:val="000000" w:themeColor="text1"/>
        </w:rPr>
      </w:pPr>
      <w:r w:rsidRPr="00507A31">
        <w:rPr>
          <w:rStyle w:val="8"/>
          <w:rFonts w:ascii="Times New Roman" w:hAnsi="Times New Roman" w:cs="Times New Roman"/>
          <w:i w:val="0"/>
          <w:color w:val="000000" w:themeColor="text1"/>
        </w:rPr>
        <w:t>Летчики отмечали, что</w:t>
      </w:r>
      <w:r w:rsidRPr="00507A31">
        <w:rPr>
          <w:rFonts w:ascii="Times New Roman" w:hAnsi="Times New Roman" w:cs="Times New Roman"/>
          <w:color w:val="000000" w:themeColor="text1"/>
        </w:rPr>
        <w:t xml:space="preserve"> «взлети посадка на самолете просты и позволяют работать…».</w:t>
      </w:r>
    </w:p>
    <w:p w14:paraId="44A6D4B4" w14:textId="77777777" w:rsidR="00D942D8" w:rsidRPr="00507A31" w:rsidRDefault="00D942D8" w:rsidP="00507A31">
      <w:pPr>
        <w:jc w:val="both"/>
        <w:rPr>
          <w:color w:val="000000" w:themeColor="text1"/>
          <w:sz w:val="16"/>
          <w:szCs w:val="16"/>
        </w:rPr>
      </w:pPr>
      <w:r w:rsidRPr="00507A31">
        <w:rPr>
          <w:color w:val="000000" w:themeColor="text1"/>
          <w:sz w:val="16"/>
          <w:szCs w:val="16"/>
        </w:rPr>
        <w:lastRenderedPageBreak/>
        <w:t>В отчете по испытаниям командир 73-го авиаотряда Павлушев и командир 5-й авиа</w:t>
      </w:r>
      <w:r w:rsidRPr="00507A31">
        <w:rPr>
          <w:color w:val="000000" w:themeColor="text1"/>
          <w:sz w:val="16"/>
          <w:szCs w:val="16"/>
        </w:rPr>
        <w:softHyphen/>
        <w:t>бригады Астахов подписали следующее за</w:t>
      </w:r>
      <w:r w:rsidRPr="00507A31">
        <w:rPr>
          <w:color w:val="000000" w:themeColor="text1"/>
          <w:sz w:val="16"/>
          <w:szCs w:val="16"/>
        </w:rPr>
        <w:softHyphen/>
        <w:t>ключение: «Самолет И-5 может быть принят на вооружение ВВС РККА» (12610).</w:t>
      </w:r>
    </w:p>
    <w:p w14:paraId="4F3AD49B" w14:textId="77777777" w:rsidR="00D942D8" w:rsidRPr="00507A31" w:rsidRDefault="00D942D8" w:rsidP="00507A31">
      <w:pPr>
        <w:jc w:val="both"/>
        <w:rPr>
          <w:color w:val="000000" w:themeColor="text1"/>
          <w:sz w:val="16"/>
          <w:szCs w:val="16"/>
        </w:rPr>
      </w:pPr>
    </w:p>
    <w:p w14:paraId="1EFB28A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Осенью 1930 года при выходе на аэродром самолет с разрезными крыльями Горелова при рулежке подломил шасси ввиду его неудовлетворительной конструкции (6948, 129).</w:t>
      </w:r>
    </w:p>
    <w:p w14:paraId="24529F07"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0AB90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осени 1930 г. НД37 с изменениями и доработками внедрялся в серийное производство на ГАЗ № 1 под обо</w:t>
      </w:r>
      <w:r w:rsidRPr="00507A31">
        <w:rPr>
          <w:color w:val="000000" w:themeColor="text1"/>
          <w:sz w:val="16"/>
          <w:szCs w:val="16"/>
        </w:rPr>
        <w:softHyphen/>
        <w:t>значением И-7. За 1931-1934 гг. построили 131 самолет. Он не занял заметного места в истории отечественной авиации. На испытаниях в НИИ ВВС летом 1931 г, И-7 (НД37) при взлетном весе 1740 кг развивал максималь</w:t>
      </w:r>
      <w:r w:rsidRPr="00507A31">
        <w:rPr>
          <w:color w:val="000000" w:themeColor="text1"/>
          <w:sz w:val="16"/>
          <w:szCs w:val="16"/>
        </w:rPr>
        <w:softHyphen/>
        <w:t>ную скорость у земли 291 км/ч, на высоте 5000 метров -277 км/ч, высоту 5000 м набирал за 11,3 мин. Его пото</w:t>
      </w:r>
      <w:r w:rsidRPr="00507A31">
        <w:rPr>
          <w:color w:val="000000" w:themeColor="text1"/>
          <w:sz w:val="16"/>
          <w:szCs w:val="16"/>
        </w:rPr>
        <w:softHyphen/>
        <w:t>лок равнялся 7200 м. Таким образом И-7 (НД37) оказал</w:t>
      </w:r>
      <w:r w:rsidRPr="00507A31">
        <w:rPr>
          <w:color w:val="000000" w:themeColor="text1"/>
          <w:sz w:val="16"/>
          <w:szCs w:val="16"/>
        </w:rPr>
        <w:softHyphen/>
        <w:t>ся хуже и своего прототипа, и И-7 Н.Н.Поликарпова. Однако деньги на покупку лицензии уже потратили. Поэтому не удивительно, что в заключении по машине НТК сочло возможной серийную постройку, отметив при этом, что «по своим летно-техническим характери</w:t>
      </w:r>
      <w:r w:rsidRPr="00507A31">
        <w:rPr>
          <w:color w:val="000000" w:themeColor="text1"/>
          <w:sz w:val="16"/>
          <w:szCs w:val="16"/>
        </w:rPr>
        <w:softHyphen/>
        <w:t>стикам самолет не удовлетворяет современным требо</w:t>
      </w:r>
      <w:r w:rsidRPr="00507A31">
        <w:rPr>
          <w:color w:val="000000" w:themeColor="text1"/>
          <w:sz w:val="16"/>
          <w:szCs w:val="16"/>
        </w:rPr>
        <w:softHyphen/>
        <w:t>ваниям». Интересам государства был нанесен заметный урон (10667).</w:t>
      </w:r>
    </w:p>
    <w:p w14:paraId="20D950F4" w14:textId="77777777" w:rsidR="00537E5F" w:rsidRPr="00507A31" w:rsidRDefault="00537E5F" w:rsidP="00507A31">
      <w:pPr>
        <w:autoSpaceDE w:val="0"/>
        <w:autoSpaceDN w:val="0"/>
        <w:adjustRightInd w:val="0"/>
        <w:jc w:val="both"/>
        <w:rPr>
          <w:color w:val="000000" w:themeColor="text1"/>
          <w:sz w:val="16"/>
          <w:szCs w:val="16"/>
        </w:rPr>
      </w:pPr>
    </w:p>
    <w:p w14:paraId="4C0364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Осенью 1930 при составлении пла</w:t>
      </w:r>
      <w:r w:rsidRPr="00507A31">
        <w:rPr>
          <w:color w:val="000000" w:themeColor="text1"/>
          <w:sz w:val="16"/>
          <w:szCs w:val="16"/>
        </w:rPr>
        <w:softHyphen/>
        <w:t>на опытного строительства на 1930-33 гг. от создания этого истребителя отка</w:t>
      </w:r>
      <w:r w:rsidRPr="00507A31">
        <w:rPr>
          <w:color w:val="000000" w:themeColor="text1"/>
          <w:sz w:val="16"/>
          <w:szCs w:val="16"/>
        </w:rPr>
        <w:softHyphen/>
        <w:t>зались со следующей формулировкой: «Самолет И-7 М-17 заменяется лицен</w:t>
      </w:r>
      <w:r w:rsidRPr="00507A31">
        <w:rPr>
          <w:color w:val="000000" w:themeColor="text1"/>
          <w:sz w:val="16"/>
          <w:szCs w:val="16"/>
        </w:rPr>
        <w:softHyphen/>
        <w:t>зионным НВ-37 М-17». Именно немец</w:t>
      </w:r>
      <w:r w:rsidRPr="00507A31">
        <w:rPr>
          <w:color w:val="000000" w:themeColor="text1"/>
          <w:sz w:val="16"/>
          <w:szCs w:val="16"/>
        </w:rPr>
        <w:softHyphen/>
        <w:t>кий истребитель НВ-37 под обозначени</w:t>
      </w:r>
      <w:r w:rsidRPr="00507A31">
        <w:rPr>
          <w:color w:val="000000" w:themeColor="text1"/>
          <w:sz w:val="16"/>
          <w:szCs w:val="16"/>
        </w:rPr>
        <w:softHyphen/>
        <w:t>ем И-7 строился на московском авиаза</w:t>
      </w:r>
      <w:r w:rsidRPr="00507A31">
        <w:rPr>
          <w:color w:val="000000" w:themeColor="text1"/>
          <w:sz w:val="16"/>
          <w:szCs w:val="16"/>
        </w:rPr>
        <w:softHyphen/>
        <w:t>воде №1 в период 1932-34 гг. Суммар</w:t>
      </w:r>
      <w:r w:rsidRPr="00507A31">
        <w:rPr>
          <w:color w:val="000000" w:themeColor="text1"/>
          <w:sz w:val="16"/>
          <w:szCs w:val="16"/>
        </w:rPr>
        <w:softHyphen/>
        <w:t>ный выпуск составил 131 экземпляр (10729).</w:t>
      </w:r>
    </w:p>
    <w:p w14:paraId="3942B7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F8A65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Осенью 1930 г. состоялись государственные испытания 2-го эк</w:t>
      </w:r>
      <w:r w:rsidRPr="00507A31">
        <w:rPr>
          <w:color w:val="000000" w:themeColor="text1"/>
          <w:sz w:val="16"/>
          <w:szCs w:val="16"/>
        </w:rPr>
        <w:softHyphen/>
        <w:t>земпляра И-6 (10729).</w:t>
      </w:r>
    </w:p>
    <w:p w14:paraId="0B757D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5607FD9" w14:textId="77777777" w:rsidR="00A95902" w:rsidRPr="00507A31" w:rsidRDefault="00A95902" w:rsidP="00507A31">
      <w:pPr>
        <w:jc w:val="both"/>
        <w:rPr>
          <w:color w:val="000000" w:themeColor="text1"/>
          <w:sz w:val="16"/>
          <w:szCs w:val="16"/>
        </w:rPr>
      </w:pPr>
      <w:r w:rsidRPr="00507A31">
        <w:rPr>
          <w:color w:val="000000" w:themeColor="text1"/>
          <w:sz w:val="16"/>
          <w:szCs w:val="16"/>
        </w:rPr>
        <w:t>Осенью 1930 г. проект И-9 исключили из плана опытного строительства (12295).</w:t>
      </w:r>
    </w:p>
    <w:p w14:paraId="521567D2" w14:textId="77777777" w:rsidR="00A95902" w:rsidRPr="00507A31" w:rsidRDefault="00A95902" w:rsidP="00507A31">
      <w:pPr>
        <w:jc w:val="both"/>
        <w:rPr>
          <w:color w:val="000000" w:themeColor="text1"/>
          <w:sz w:val="16"/>
          <w:szCs w:val="16"/>
        </w:rPr>
      </w:pPr>
    </w:p>
    <w:p w14:paraId="7A4964CA" w14:textId="77777777" w:rsidR="001603A2" w:rsidRPr="00507A31" w:rsidRDefault="001603A2" w:rsidP="00507A31">
      <w:pPr>
        <w:jc w:val="both"/>
        <w:rPr>
          <w:color w:val="0070C0"/>
          <w:sz w:val="16"/>
          <w:szCs w:val="16"/>
        </w:rPr>
      </w:pPr>
      <w:r w:rsidRPr="00507A31">
        <w:rPr>
          <w:color w:val="0070C0"/>
          <w:sz w:val="16"/>
          <w:szCs w:val="16"/>
        </w:rPr>
        <w:t>Осенью 1930 г. начал летать второй экземпляр штурмовика, называемый ТШ-2 (20362).</w:t>
      </w:r>
    </w:p>
    <w:p w14:paraId="6CAC8E58" w14:textId="77777777" w:rsidR="001603A2" w:rsidRPr="00507A31" w:rsidRDefault="001603A2" w:rsidP="00507A31">
      <w:pPr>
        <w:jc w:val="both"/>
        <w:rPr>
          <w:color w:val="0070C0"/>
          <w:sz w:val="16"/>
          <w:szCs w:val="16"/>
        </w:rPr>
      </w:pPr>
    </w:p>
    <w:p w14:paraId="09474AE0" w14:textId="77777777" w:rsidR="001603A2" w:rsidRPr="00507A31" w:rsidRDefault="001603A2" w:rsidP="00507A31">
      <w:pPr>
        <w:jc w:val="both"/>
        <w:rPr>
          <w:color w:val="0070C0"/>
          <w:sz w:val="16"/>
          <w:szCs w:val="16"/>
          <w:lang w:bidi="ru-RU"/>
        </w:rPr>
      </w:pPr>
      <w:r w:rsidRPr="00507A31">
        <w:rPr>
          <w:color w:val="0070C0"/>
          <w:sz w:val="16"/>
          <w:szCs w:val="16"/>
          <w:lang w:bidi="ru-RU"/>
        </w:rPr>
        <w:t>Осенью 1930 года при рассмотрении генерального плана будущего завода № 21 у начальника ВАО (всесоюзное объединение авиационной промышленности, входящее в то время в систему народного комиссариата по военным и морским делам, в конце 1931 года реорганизованное в ГУАП - главное управление авиационной промышленности) признали необходимым дополнить постройку аэродрома летной станции небольшим гаражом для санитарного автомобиля и аэросаней.</w:t>
      </w:r>
    </w:p>
    <w:p w14:paraId="0F102B33" w14:textId="77777777" w:rsidR="001603A2" w:rsidRPr="00507A31" w:rsidRDefault="001603A2" w:rsidP="00507A31">
      <w:pPr>
        <w:jc w:val="both"/>
        <w:rPr>
          <w:color w:val="0070C0"/>
          <w:sz w:val="16"/>
          <w:szCs w:val="16"/>
        </w:rPr>
      </w:pPr>
      <w:r w:rsidRPr="00507A31">
        <w:rPr>
          <w:color w:val="0070C0"/>
          <w:sz w:val="16"/>
          <w:szCs w:val="16"/>
          <w:lang w:bidi="ru-RU"/>
        </w:rPr>
        <w:t>На стадии обсуждения проекта много возникало вопросов непосредственно по планировке аэродрома. При строительстве аэродромов необходимо строго соблюдать требование горизонтальности площадки. А поскольку местность болотистая, заросшая кустарником и кочкарником, то предстояло выполнить немало земляных работ. Проект аэродрома прорабатывался Гидротехстроем, но эта организация заложила громадное количество земляных работ, объемом 200000 куб.м.  (21100).</w:t>
      </w:r>
    </w:p>
    <w:p w14:paraId="7A56035D" w14:textId="77777777" w:rsidR="001603A2" w:rsidRPr="00507A31" w:rsidRDefault="001603A2" w:rsidP="00507A31">
      <w:pPr>
        <w:jc w:val="both"/>
        <w:rPr>
          <w:color w:val="0070C0"/>
          <w:sz w:val="16"/>
          <w:szCs w:val="16"/>
          <w:lang w:bidi="ru-RU"/>
        </w:rPr>
      </w:pPr>
    </w:p>
    <w:p w14:paraId="1A3CC1C7" w14:textId="77777777" w:rsidR="000E49E0" w:rsidRPr="00507A31" w:rsidRDefault="000E49E0" w:rsidP="00507A31">
      <w:pPr>
        <w:jc w:val="both"/>
        <w:rPr>
          <w:color w:val="000000" w:themeColor="text1"/>
          <w:sz w:val="16"/>
          <w:szCs w:val="16"/>
        </w:rPr>
      </w:pPr>
      <w:r w:rsidRPr="00507A31">
        <w:rPr>
          <w:color w:val="000000" w:themeColor="text1"/>
          <w:sz w:val="16"/>
          <w:szCs w:val="16"/>
        </w:rPr>
        <w:t>Осенью 1930 года было принято решение расширить коллектив ЦКБ-39 за счет вольнонаемных специалистов. Конечно, всех их можно было сразу арестовать, но ОГПУ выбрало другую модель — смешанного коллектива заключенных и вольных инженеров, чтобы последние постоянно ощущали, где они могут оказаться завтра. ЦКБ-39 было расширено более чем до 300 человек. Пришли, например, Г. Е. Чупилко, С. В. Ильюшин, А. С. Яковлев, В. Б. Шавров, С. Н. Шишкин и др. Под одной крышей собрались и осужденные, и некоторые из тех, кто недавно давал на них показания. История умалчивает, как, допустим, складывались отношения между Д. П. Григоровичем и В. Б. Шавровым.</w:t>
      </w:r>
    </w:p>
    <w:p w14:paraId="27E2A4A5" w14:textId="77777777" w:rsidR="000E49E0" w:rsidRPr="00507A31" w:rsidRDefault="000E49E0" w:rsidP="00507A31">
      <w:pPr>
        <w:jc w:val="both"/>
        <w:rPr>
          <w:color w:val="000000" w:themeColor="text1"/>
          <w:sz w:val="16"/>
          <w:szCs w:val="16"/>
        </w:rPr>
      </w:pPr>
      <w:r w:rsidRPr="00507A31">
        <w:rPr>
          <w:color w:val="000000" w:themeColor="text1"/>
          <w:sz w:val="16"/>
          <w:szCs w:val="16"/>
        </w:rPr>
        <w:t>Неизвестно также, что думал тот же Шавров о своих «перспективах», «ежли шо»…</w:t>
      </w:r>
    </w:p>
    <w:p w14:paraId="3CD30E01" w14:textId="77777777" w:rsidR="000E49E0" w:rsidRPr="00507A31" w:rsidRDefault="000E49E0" w:rsidP="00507A31">
      <w:pPr>
        <w:jc w:val="both"/>
        <w:rPr>
          <w:color w:val="000000" w:themeColor="text1"/>
          <w:sz w:val="16"/>
          <w:szCs w:val="16"/>
        </w:rPr>
      </w:pPr>
      <w:r w:rsidRPr="00507A31">
        <w:rPr>
          <w:color w:val="000000" w:themeColor="text1"/>
          <w:sz w:val="16"/>
          <w:szCs w:val="16"/>
        </w:rPr>
        <w:t>Не все из новых проектов оказались удачными (если сказать точнее, ВСЕ перечисленные модели удачными не назовешь!), но в целом ОГПУ было довольно. С лета 1931 года заключенных конструкторов стали по очереди отпускать. 10 июля 1931 года в газете «Правда» было опубликовано постановление ЦИК СССР, в котором говорилось:</w:t>
      </w:r>
    </w:p>
    <w:p w14:paraId="07CD21D2" w14:textId="77777777" w:rsidR="000E49E0" w:rsidRPr="00507A31" w:rsidRDefault="000E49E0" w:rsidP="00507A31">
      <w:pPr>
        <w:jc w:val="both"/>
        <w:rPr>
          <w:color w:val="000000" w:themeColor="text1"/>
          <w:sz w:val="16"/>
          <w:szCs w:val="16"/>
        </w:rPr>
      </w:pPr>
      <w:r w:rsidRPr="00507A31">
        <w:rPr>
          <w:color w:val="000000" w:themeColor="text1"/>
          <w:sz w:val="16"/>
          <w:szCs w:val="16"/>
        </w:rPr>
        <w:t>«Амнистировать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63972684" w14:textId="77777777" w:rsidR="000E49E0" w:rsidRPr="00507A31" w:rsidRDefault="000E49E0" w:rsidP="00507A31">
      <w:pPr>
        <w:jc w:val="both"/>
        <w:rPr>
          <w:color w:val="000000" w:themeColor="text1"/>
          <w:sz w:val="16"/>
          <w:szCs w:val="16"/>
        </w:rPr>
      </w:pPr>
      <w:r w:rsidRPr="00507A31">
        <w:rPr>
          <w:color w:val="000000" w:themeColor="text1"/>
          <w:sz w:val="16"/>
          <w:szCs w:val="16"/>
        </w:rPr>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своё раскаяние, — грамотой ЦИК Союза ССР и денежной наградой в 10 000 рублей;</w:t>
      </w:r>
    </w:p>
    <w:p w14:paraId="38AD7CC1" w14:textId="77777777" w:rsidR="000E49E0" w:rsidRPr="00507A31" w:rsidRDefault="000E49E0" w:rsidP="00507A31">
      <w:pPr>
        <w:jc w:val="both"/>
        <w:rPr>
          <w:color w:val="000000" w:themeColor="text1"/>
          <w:sz w:val="16"/>
          <w:szCs w:val="16"/>
        </w:rPr>
      </w:pPr>
      <w:r w:rsidRPr="00507A31">
        <w:rPr>
          <w:color w:val="000000" w:themeColor="text1"/>
          <w:sz w:val="16"/>
          <w:szCs w:val="16"/>
        </w:rPr>
        <w:t>б) главного конструктора (по вооружению. — Г. К.) Надашкевича Александра Васильевича — грамотой ЦИК Союза ССР и денежной премией в 10 000 рублей;</w:t>
      </w:r>
    </w:p>
    <w:p w14:paraId="7297DA0B" w14:textId="77777777" w:rsidR="000E49E0" w:rsidRPr="00507A31" w:rsidRDefault="000E49E0" w:rsidP="00507A31">
      <w:pPr>
        <w:jc w:val="both"/>
        <w:rPr>
          <w:color w:val="000000" w:themeColor="text1"/>
          <w:sz w:val="16"/>
          <w:szCs w:val="16"/>
        </w:rPr>
      </w:pPr>
      <w:r w:rsidRPr="00507A31">
        <w:rPr>
          <w:color w:val="000000" w:themeColor="text1"/>
          <w:sz w:val="16"/>
          <w:szCs w:val="16"/>
        </w:rPr>
        <w:t>в) бывшего технического директора завода № 1 Косткина Ивана Михайловича — денежной наградой в 1 000 рублей;</w:t>
      </w:r>
    </w:p>
    <w:p w14:paraId="4694C158" w14:textId="77777777" w:rsidR="000E49E0" w:rsidRPr="00507A31" w:rsidRDefault="000E49E0" w:rsidP="00507A31">
      <w:pPr>
        <w:jc w:val="both"/>
        <w:rPr>
          <w:color w:val="000000" w:themeColor="text1"/>
          <w:sz w:val="16"/>
          <w:szCs w:val="16"/>
        </w:rPr>
      </w:pPr>
      <w:r w:rsidRPr="00507A31">
        <w:rPr>
          <w:color w:val="000000" w:themeColor="text1"/>
          <w:sz w:val="16"/>
          <w:szCs w:val="16"/>
        </w:rPr>
        <w:t>г) Крейсона Павла Мартыновича — денежной наградой в 1 000 рублей;</w:t>
      </w:r>
    </w:p>
    <w:p w14:paraId="53CA35CB" w14:textId="77777777" w:rsidR="000E49E0" w:rsidRPr="00507A31" w:rsidRDefault="000E49E0" w:rsidP="00507A31">
      <w:pPr>
        <w:jc w:val="both"/>
        <w:rPr>
          <w:color w:val="000000" w:themeColor="text1"/>
          <w:sz w:val="16"/>
          <w:szCs w:val="16"/>
        </w:rPr>
      </w:pPr>
      <w:r w:rsidRPr="00507A31">
        <w:rPr>
          <w:color w:val="000000" w:themeColor="text1"/>
          <w:sz w:val="16"/>
          <w:szCs w:val="16"/>
        </w:rPr>
        <w:t>д) Корвин-Кербер Виктора Львовича — денежной наградой в 1 000 рублей;</w:t>
      </w:r>
    </w:p>
    <w:p w14:paraId="0F7E8B02" w14:textId="77777777" w:rsidR="000E49E0" w:rsidRPr="00507A31" w:rsidRDefault="000E49E0" w:rsidP="00507A31">
      <w:pPr>
        <w:jc w:val="both"/>
        <w:rPr>
          <w:color w:val="000000" w:themeColor="text1"/>
          <w:sz w:val="16"/>
          <w:szCs w:val="16"/>
        </w:rPr>
      </w:pPr>
      <w:r w:rsidRPr="00507A31">
        <w:rPr>
          <w:color w:val="000000" w:themeColor="text1"/>
          <w:sz w:val="16"/>
          <w:szCs w:val="16"/>
        </w:rPr>
        <w:t>е) амнистировать всех инженеров и техников, приговоренных ОГПУ к различным мерам социальной защиты за вредительство и ныне добросовестно работающих в Центральном конструкторском бюро»</w:t>
      </w:r>
    </w:p>
    <w:p w14:paraId="04A7928A" w14:textId="77777777" w:rsidR="000E49E0" w:rsidRPr="00507A31" w:rsidRDefault="000E49E0" w:rsidP="00507A31">
      <w:pPr>
        <w:jc w:val="both"/>
        <w:rPr>
          <w:color w:val="000000" w:themeColor="text1"/>
          <w:sz w:val="16"/>
          <w:szCs w:val="16"/>
        </w:rPr>
      </w:pPr>
      <w:r w:rsidRPr="00507A31">
        <w:rPr>
          <w:color w:val="000000" w:themeColor="text1"/>
          <w:sz w:val="16"/>
          <w:szCs w:val="16"/>
        </w:rPr>
        <w:t>Обратите внимание, конструкторы были не оправданы, а амнистированы. «Почетный статус» «бывших вредителей» за ними сохранялся, убрать слово бывший – минутное, как говорится, дело… (18526).</w:t>
      </w:r>
    </w:p>
    <w:p w14:paraId="2BAD5E33" w14:textId="77777777" w:rsidR="000E49E0" w:rsidRPr="00507A31" w:rsidRDefault="000E49E0" w:rsidP="00507A31">
      <w:pPr>
        <w:jc w:val="both"/>
        <w:rPr>
          <w:color w:val="000000" w:themeColor="text1"/>
          <w:sz w:val="16"/>
          <w:szCs w:val="16"/>
        </w:rPr>
      </w:pPr>
    </w:p>
    <w:p w14:paraId="350388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Осенью 1930 г. начались ис</w:t>
      </w:r>
      <w:r w:rsidRPr="00507A31">
        <w:rPr>
          <w:color w:val="000000" w:themeColor="text1"/>
          <w:sz w:val="16"/>
          <w:szCs w:val="16"/>
        </w:rPr>
        <w:softHyphen/>
        <w:t>пытания ФЭД-1. По результатам испытаний произвели усиление картера и шатунов. Наиболее доведен был ФЭД-3, оснащенный односкоростным ПЦН. После двух заводских испытаний, во время которых на одном экзем</w:t>
      </w:r>
      <w:r w:rsidRPr="00507A31">
        <w:rPr>
          <w:color w:val="000000" w:themeColor="text1"/>
          <w:sz w:val="16"/>
          <w:szCs w:val="16"/>
        </w:rPr>
        <w:softHyphen/>
        <w:t>пляре оборвался главный шатун, его в апреле 1931 г. предъявили на государственные. Их проводили на стенде 6-го отделения НИИ ВВС. Хотя максимальная мощность оказалась выше расчетной, номинальная не до</w:t>
      </w:r>
      <w:r w:rsidRPr="00507A31">
        <w:rPr>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507A31">
        <w:rPr>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63982B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 ФЭД-1:</w:t>
      </w:r>
    </w:p>
    <w:p w14:paraId="5FDA21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24-цилиндровый, рядный Х-образный, четырехтактный, водяного охлаждения;</w:t>
      </w:r>
    </w:p>
    <w:p w14:paraId="4E3E56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48765C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 наддува;</w:t>
      </w:r>
    </w:p>
    <w:p w14:paraId="7FBAEE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135/160 мм;</w:t>
      </w:r>
    </w:p>
    <w:p w14:paraId="41693B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55,0 л;</w:t>
      </w:r>
    </w:p>
    <w:p w14:paraId="7D2E63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по проекту 900 л.с. (11852).</w:t>
      </w:r>
    </w:p>
    <w:p w14:paraId="77B766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1E8AF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Осенью 1930 года был организован СНИИ ГВФ, направление и характер своей деятельности получил на 1-й Всесоюзной конференции работников ГВФ в феврале 1931 года.</w:t>
      </w:r>
    </w:p>
    <w:p w14:paraId="66A5E9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p w14:paraId="05F73C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СНИИ состоял из отделов:</w:t>
      </w:r>
    </w:p>
    <w:p w14:paraId="78CB7F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Эксплуатационно-технического</w:t>
      </w:r>
    </w:p>
    <w:p w14:paraId="31D622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Опытного самолетостроения</w:t>
      </w:r>
    </w:p>
    <w:p w14:paraId="7EF9C0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Строительства глиссеров и аэросаней</w:t>
      </w:r>
    </w:p>
    <w:p w14:paraId="4E6AA4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Вспомогательные (7738, 119-117).</w:t>
      </w:r>
    </w:p>
    <w:p w14:paraId="6C34C3A5" w14:textId="77777777" w:rsidR="00537E5F" w:rsidRPr="00507A31" w:rsidRDefault="00537E5F" w:rsidP="00507A31">
      <w:pPr>
        <w:autoSpaceDE w:val="0"/>
        <w:autoSpaceDN w:val="0"/>
        <w:adjustRightInd w:val="0"/>
        <w:jc w:val="both"/>
        <w:rPr>
          <w:color w:val="000000" w:themeColor="text1"/>
          <w:sz w:val="16"/>
          <w:szCs w:val="16"/>
        </w:rPr>
      </w:pPr>
    </w:p>
    <w:p w14:paraId="3F427D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Осенью 1930 г. Бартини направили главным конструктором в НИИ ГВФ, где основным направлением его деятельности в течение нескольких последующих лет стало проектирование экспериментального истре</w:t>
      </w:r>
      <w:r w:rsidRPr="00507A31">
        <w:rPr>
          <w:color w:val="000000" w:themeColor="text1"/>
          <w:sz w:val="16"/>
          <w:szCs w:val="16"/>
        </w:rPr>
        <w:softHyphen/>
        <w:t>бителя «Сталь-б» и освоение технологии свар</w:t>
      </w:r>
      <w:r w:rsidRPr="00507A31">
        <w:rPr>
          <w:color w:val="000000" w:themeColor="text1"/>
          <w:sz w:val="16"/>
          <w:szCs w:val="16"/>
        </w:rPr>
        <w:softHyphen/>
        <w:t>ных стальных конструкций (11979).</w:t>
      </w:r>
    </w:p>
    <w:p w14:paraId="74CD4C88" w14:textId="77777777" w:rsidR="00537E5F" w:rsidRPr="00507A31" w:rsidRDefault="00537E5F" w:rsidP="00507A31">
      <w:pPr>
        <w:autoSpaceDE w:val="0"/>
        <w:autoSpaceDN w:val="0"/>
        <w:adjustRightInd w:val="0"/>
        <w:jc w:val="both"/>
        <w:rPr>
          <w:color w:val="000000" w:themeColor="text1"/>
          <w:sz w:val="16"/>
          <w:szCs w:val="16"/>
        </w:rPr>
      </w:pPr>
    </w:p>
    <w:p w14:paraId="7DFFFAC2" w14:textId="77777777" w:rsidR="003053D5" w:rsidRPr="00507A31" w:rsidRDefault="003053D5" w:rsidP="00507A31">
      <w:pPr>
        <w:jc w:val="both"/>
        <w:rPr>
          <w:color w:val="0070C0"/>
          <w:sz w:val="16"/>
          <w:szCs w:val="16"/>
        </w:rPr>
      </w:pPr>
      <w:bookmarkStart w:id="97" w:name="_Hlk56763599"/>
      <w:r w:rsidRPr="00507A31">
        <w:rPr>
          <w:color w:val="0070C0"/>
          <w:sz w:val="16"/>
          <w:szCs w:val="16"/>
        </w:rPr>
        <w:t>Осенью 1930 г. в СССР развернулась дискуссия о том, какой государ</w:t>
      </w:r>
      <w:r w:rsidRPr="00507A31">
        <w:rPr>
          <w:color w:val="0070C0"/>
          <w:sz w:val="16"/>
          <w:szCs w:val="16"/>
        </w:rPr>
        <w:softHyphen/>
        <w:t>ственный орган управления должен курировать дирижаблестроение и воздухоплавание. Этот принципиальный вопрос был решён с подпи</w:t>
      </w:r>
      <w:r w:rsidRPr="00507A31">
        <w:rPr>
          <w:color w:val="0070C0"/>
          <w:sz w:val="16"/>
          <w:szCs w:val="16"/>
        </w:rPr>
        <w:softHyphen/>
        <w:t>санием 29 октября 1930 г. постановления СНК СССР об образовании Всесоюзного объедине</w:t>
      </w:r>
      <w:r w:rsidRPr="00507A31">
        <w:rPr>
          <w:color w:val="0070C0"/>
          <w:sz w:val="16"/>
          <w:szCs w:val="16"/>
        </w:rPr>
        <w:softHyphen/>
        <w:t>ния Гражданского воздушного флота (ВО ГВФ), которому, в частности, вменялось в обязанность развитие воздухоплавания и дирижаблестрое</w:t>
      </w:r>
      <w:r w:rsidRPr="00507A31">
        <w:rPr>
          <w:color w:val="0070C0"/>
          <w:sz w:val="16"/>
          <w:szCs w:val="16"/>
        </w:rPr>
        <w:softHyphen/>
        <w:t>ния, подготовка лётных и инженерных кадров для воздушных судов.</w:t>
      </w:r>
    </w:p>
    <w:p w14:paraId="6043F1F1" w14:textId="77777777" w:rsidR="003053D5" w:rsidRPr="00507A31" w:rsidRDefault="003053D5" w:rsidP="00507A31">
      <w:pPr>
        <w:jc w:val="both"/>
        <w:rPr>
          <w:color w:val="0070C0"/>
          <w:sz w:val="16"/>
          <w:szCs w:val="16"/>
        </w:rPr>
      </w:pPr>
    </w:p>
    <w:bookmarkEnd w:id="97"/>
    <w:p w14:paraId="29A581FE" w14:textId="77777777" w:rsidR="003053D5" w:rsidRPr="00507A31" w:rsidRDefault="003053D5" w:rsidP="00507A31">
      <w:pPr>
        <w:pStyle w:val="ae"/>
        <w:shd w:val="clear" w:color="auto" w:fill="FFFFFF"/>
        <w:spacing w:before="0" w:after="0"/>
        <w:jc w:val="both"/>
        <w:rPr>
          <w:color w:val="0070C0"/>
          <w:sz w:val="16"/>
          <w:szCs w:val="16"/>
          <w:shd w:val="clear" w:color="auto" w:fill="FFFFFF"/>
        </w:rPr>
      </w:pPr>
      <w:r w:rsidRPr="00507A31">
        <w:rPr>
          <w:color w:val="0070C0"/>
          <w:sz w:val="16"/>
          <w:szCs w:val="16"/>
          <w:shd w:val="clear" w:color="auto" w:fill="FFFFFF"/>
        </w:rPr>
        <w:t xml:space="preserve">Осенью 1930 года группа энтузиастов ЦАГИ — В. Г. Гараканидзе, А. А. Бородин, И. С. Лебедев, Г. М. Наумов, В. П. Назарьянц, Д. А. Ромейко-Гурко, К. А. Федяевский, — учитывая опыт постройки и эксплуатации дирижаблей «МХР» и «КП», приступила к разработке небольшого дирижабля мягкой конструкции с </w:t>
      </w:r>
      <w:r w:rsidRPr="00507A31">
        <w:rPr>
          <w:color w:val="0070C0"/>
          <w:sz w:val="16"/>
          <w:szCs w:val="16"/>
          <w:shd w:val="clear" w:color="auto" w:fill="FFFFFF"/>
        </w:rPr>
        <w:lastRenderedPageBreak/>
        <w:t>минимальным объемом 2200 куб. м для учебных и тренировочных целей, получившего шифр УК-1 (учебный корабль, первый). Его постройка предусматривалась планами ЦАГИ по развитию дирижаблестроения.</w:t>
      </w:r>
    </w:p>
    <w:p w14:paraId="4D78C623" w14:textId="77777777" w:rsidR="003053D5" w:rsidRPr="00507A31" w:rsidRDefault="003053D5" w:rsidP="00507A31">
      <w:pPr>
        <w:pStyle w:val="ae"/>
        <w:shd w:val="clear" w:color="auto" w:fill="FFFFFF"/>
        <w:spacing w:before="0" w:after="0"/>
        <w:jc w:val="both"/>
        <w:rPr>
          <w:color w:val="0070C0"/>
          <w:sz w:val="16"/>
          <w:szCs w:val="16"/>
          <w:shd w:val="clear" w:color="auto" w:fill="FFFFFF"/>
        </w:rPr>
      </w:pPr>
      <w:r w:rsidRPr="00507A31">
        <w:rPr>
          <w:color w:val="0070C0"/>
          <w:sz w:val="16"/>
          <w:szCs w:val="16"/>
          <w:shd w:val="clear" w:color="auto" w:fill="FFFFFF"/>
        </w:rPr>
        <w:t>В 1932 году УК-1 присвоили наименование СССР В-1.</w:t>
      </w:r>
    </w:p>
    <w:p w14:paraId="2D5616E4" w14:textId="77777777" w:rsidR="003053D5" w:rsidRPr="00507A31" w:rsidRDefault="003053D5" w:rsidP="00507A31">
      <w:pPr>
        <w:pStyle w:val="ae"/>
        <w:shd w:val="clear" w:color="auto" w:fill="FFFFFF"/>
        <w:spacing w:before="0" w:after="0"/>
        <w:jc w:val="both"/>
        <w:rPr>
          <w:color w:val="0070C0"/>
          <w:sz w:val="16"/>
          <w:szCs w:val="16"/>
        </w:rPr>
      </w:pPr>
      <w:r w:rsidRPr="00507A31">
        <w:rPr>
          <w:color w:val="0070C0"/>
          <w:sz w:val="16"/>
          <w:szCs w:val="16"/>
        </w:rPr>
        <w:t>В АГОС были построены все металлические элементы. Гондола дирижабля длиной 10 м имела передний фонарь из целлулоида, по бортам были прорезаны окна. Для входа в гондолу по ее левому борту предусмотрели дверь. Каркас состоял из шпангоутов, продольных поясов, силового пола и силового верхнего обвода — все из дюралевых профилей. Для В-1 спроектировали оригинальную систему крепления гондолы к оболочке дирижабля мягкой схемы. Гондола пришнуровывалась непосредственно к поясу оболочки без всякой внутренней подвески и какой-либо промежуточной платформы.</w:t>
      </w:r>
    </w:p>
    <w:p w14:paraId="5AB8EB10" w14:textId="77777777" w:rsidR="003053D5" w:rsidRPr="00507A31" w:rsidRDefault="003053D5" w:rsidP="00507A31">
      <w:pPr>
        <w:pStyle w:val="ae"/>
        <w:shd w:val="clear" w:color="auto" w:fill="FFFFFF"/>
        <w:spacing w:before="0" w:after="0"/>
        <w:jc w:val="both"/>
        <w:rPr>
          <w:color w:val="0070C0"/>
          <w:sz w:val="16"/>
          <w:szCs w:val="16"/>
        </w:rPr>
      </w:pPr>
      <w:r w:rsidRPr="00507A31">
        <w:rPr>
          <w:color w:val="0070C0"/>
          <w:sz w:val="16"/>
          <w:szCs w:val="16"/>
        </w:rPr>
        <w:t>Стабилизаторы и рули по своей конструкции были аналогичны крылу и оперению самолетов тех лет — они имели дюралевый каркас, обшитый материей. Моторное хозяйство проектировали Е. И. Погосский и П. С. Котенко. Все работы велись в нерабочее время и поэтому не сказывались на самолетостроительных планах АГОС.</w:t>
      </w:r>
    </w:p>
    <w:p w14:paraId="031EB489" w14:textId="77777777" w:rsidR="003053D5" w:rsidRPr="00507A31" w:rsidRDefault="003053D5" w:rsidP="00507A31">
      <w:pPr>
        <w:pStyle w:val="ae"/>
        <w:shd w:val="clear" w:color="auto" w:fill="FFFFFF"/>
        <w:spacing w:before="0" w:after="0"/>
        <w:jc w:val="both"/>
        <w:rPr>
          <w:color w:val="0070C0"/>
          <w:sz w:val="16"/>
          <w:szCs w:val="16"/>
        </w:rPr>
      </w:pPr>
      <w:r w:rsidRPr="00507A31">
        <w:rPr>
          <w:color w:val="0070C0"/>
          <w:sz w:val="16"/>
          <w:szCs w:val="16"/>
        </w:rPr>
        <w:t xml:space="preserve">Сборка дирижабля проводилась в марте 1931 года в эллинге на Волковом поле в Ленинграде. 9 апреля 1931 года состоялся первый полет В-1 (командир корабля — В. Л. Нижевский). Испытания показали, что летные характеристики дирижабля соответствовали расчетным. 29 апреля 1932 года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w:t>
      </w:r>
      <w:r w:rsidRPr="00507A31">
        <w:rPr>
          <w:color w:val="0070C0"/>
          <w:sz w:val="16"/>
          <w:szCs w:val="16"/>
          <w:shd w:val="clear" w:color="auto" w:fill="FFFFFF"/>
        </w:rPr>
        <w:t>(11324).</w:t>
      </w:r>
    </w:p>
    <w:p w14:paraId="4C009894" w14:textId="77777777" w:rsidR="003053D5" w:rsidRPr="00507A31" w:rsidRDefault="003053D5" w:rsidP="00507A31">
      <w:pPr>
        <w:pStyle w:val="ae"/>
        <w:shd w:val="clear" w:color="auto" w:fill="FFFFFF"/>
        <w:spacing w:before="0" w:after="0"/>
        <w:jc w:val="both"/>
        <w:rPr>
          <w:color w:val="0070C0"/>
          <w:sz w:val="16"/>
          <w:szCs w:val="16"/>
          <w:shd w:val="clear" w:color="auto" w:fill="FFFFFF"/>
        </w:rPr>
      </w:pPr>
    </w:p>
    <w:p w14:paraId="02FDF6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Осенью 1930 года группа энтузиастов ЦАГИ — В. Г. Гараканидзе, А. А. Бородин, И. С. Лебедев, Г. М. Наумов, В. П. Назарьянц, [398] Д. А. Ромейко-Гурко, К. А. Федяевский, — учитывая опыт постройки и эксплуатации дирижаблей «МХР» и «КП», приступила к разработке небольшого дирижабля мягкой конструкции с минимальным объемом 2200 куб. м для учебных и тренировочных целей, получившего шифр УК-1 (учебный корабль, первый). Его постройка предусматривалась планами ЦАГИ по развитию дирижаблестроения. В 1932 году УК-1 присвоили наименование СССР В-1. В АГОС были построены все металлические элементы. Гондола дирижабля длиной 10 м имела передний фонарь из целлулоида, по бортам были прорезаны окна. Для входа в гондолу по ее левому борту предусмотрели дверь. Каркас состоял из шпангоутов, продольных поясов, силового пола и силового верхнего обвода — все из дюралевых профилей. Для В-1 спроектировали оригинальную систему крепления гондолы к оболочке дирижабля мягкой схемы. Гондола пришнуровывалась непосредственно к поясу оболочки без всякой внутренней подвески и какой-либо промежуточной платформы. Стабилизаторы и рули по своей конструкции были аналогичны крылу и оперению самолетов тех лет — они имели дюралевый каркас, обшитый материей. Моторное хозяйство проектировали Е. И. Погосский и П. С. Котенко. Все работы велись в нерабочее время и поэтому не сказывались на самолетостроительных планах АГОС (10731).</w:t>
      </w:r>
    </w:p>
    <w:p w14:paraId="63EBC785" w14:textId="77777777" w:rsidR="00537E5F" w:rsidRPr="00507A31" w:rsidRDefault="00537E5F" w:rsidP="00507A31">
      <w:pPr>
        <w:autoSpaceDE w:val="0"/>
        <w:autoSpaceDN w:val="0"/>
        <w:adjustRightInd w:val="0"/>
        <w:jc w:val="both"/>
        <w:rPr>
          <w:color w:val="000000" w:themeColor="text1"/>
          <w:sz w:val="16"/>
          <w:szCs w:val="16"/>
        </w:rPr>
      </w:pPr>
    </w:p>
    <w:p w14:paraId="6752204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4ACD793" w14:textId="77777777" w:rsidR="00537E5F" w:rsidRPr="00507A31" w:rsidRDefault="00537E5F" w:rsidP="00507A31">
      <w:pPr>
        <w:autoSpaceDE w:val="0"/>
        <w:autoSpaceDN w:val="0"/>
        <w:adjustRightInd w:val="0"/>
        <w:jc w:val="both"/>
        <w:rPr>
          <w:iCs/>
          <w:color w:val="000000" w:themeColor="text1"/>
          <w:sz w:val="16"/>
          <w:szCs w:val="16"/>
        </w:rPr>
      </w:pPr>
    </w:p>
    <w:p w14:paraId="716EA832" w14:textId="77777777" w:rsidR="001603A2" w:rsidRPr="00507A31" w:rsidRDefault="001603A2" w:rsidP="00507A31">
      <w:pPr>
        <w:jc w:val="both"/>
        <w:rPr>
          <w:color w:val="0070C0"/>
          <w:sz w:val="16"/>
          <w:szCs w:val="16"/>
        </w:rPr>
      </w:pPr>
      <w:r w:rsidRPr="00507A31">
        <w:rPr>
          <w:color w:val="0070C0"/>
          <w:sz w:val="16"/>
          <w:szCs w:val="16"/>
        </w:rPr>
        <w:t>Осенью 1930 г. едва уловимый в решениях 1929 г. и отчетливо наметившийся весной 1930 г. поворот в мобилизационном планировании и военном строительстве обрел полную силу. Позиция высшего руководства СССР складывалась под влиянием перемен во внутренней и международной обстановке, но характер реакции на эти перемены, направление проделываемой эволюции определялись имманентными политическими процессами.</w:t>
      </w:r>
    </w:p>
    <w:p w14:paraId="3D3776B5" w14:textId="77777777" w:rsidR="001603A2" w:rsidRPr="00507A31" w:rsidRDefault="001603A2" w:rsidP="00507A31">
      <w:pPr>
        <w:jc w:val="both"/>
        <w:rPr>
          <w:color w:val="0070C0"/>
          <w:sz w:val="16"/>
          <w:szCs w:val="16"/>
          <w:lang w:bidi="ru-RU"/>
        </w:rPr>
      </w:pPr>
      <w:r w:rsidRPr="00507A31">
        <w:rPr>
          <w:color w:val="0070C0"/>
          <w:sz w:val="16"/>
          <w:szCs w:val="16"/>
        </w:rPr>
        <w:t>Поэтому долго вынашивавшемуся решению РВС СССР от 13 июня была суждена очень короткая жизнь - не более трех месяцев (22725).</w:t>
      </w:r>
    </w:p>
    <w:p w14:paraId="13D1D101" w14:textId="77777777" w:rsidR="001603A2" w:rsidRPr="00507A31" w:rsidRDefault="001603A2" w:rsidP="00507A31">
      <w:pPr>
        <w:jc w:val="both"/>
        <w:rPr>
          <w:color w:val="0070C0"/>
          <w:sz w:val="16"/>
          <w:szCs w:val="16"/>
          <w:lang w:bidi="ru-RU"/>
        </w:rPr>
      </w:pPr>
    </w:p>
    <w:p w14:paraId="05D6FA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Осенью 1930 был одобрен окончательный проект пушки 57 мм танковой пушки П.Сячинтова (6208, 42).</w:t>
      </w:r>
    </w:p>
    <w:p w14:paraId="2352AB4D" w14:textId="77777777" w:rsidR="00537E5F" w:rsidRPr="00507A31" w:rsidRDefault="00537E5F" w:rsidP="00507A31">
      <w:pPr>
        <w:autoSpaceDE w:val="0"/>
        <w:autoSpaceDN w:val="0"/>
        <w:adjustRightInd w:val="0"/>
        <w:jc w:val="both"/>
        <w:rPr>
          <w:color w:val="000000" w:themeColor="text1"/>
          <w:sz w:val="16"/>
          <w:szCs w:val="16"/>
        </w:rPr>
      </w:pPr>
    </w:p>
    <w:p w14:paraId="358272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осени 1930 КБ завода "Большевик" под руководством И. Иванова была спроектирована и изготовлена 76,2-мм батальонная мортира завода "Большевик" Б-6. Решено подобрать заряд для начальной скорости 180 м/с. Позже удалось достичь дальность 2390 м. Для принятия на вооружение систему было решено переделать.</w:t>
      </w:r>
    </w:p>
    <w:p w14:paraId="686313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Устройство</w:t>
      </w:r>
    </w:p>
    <w:p w14:paraId="3C00FE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Ствол нарезной, затвор клиновой. Заряжание раздельно-гильзовое. Компрессор гидравлический. Накатник пружинный. Был уравновешивающий механизм. Подъемный механизм имел один сектор, прикрепленный к люльке.</w:t>
      </w:r>
    </w:p>
    <w:p w14:paraId="0D2EBC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Станины раздвижные. Лафет мортиры имел колеса. Возка мортиры могла осуществляться один человеком.</w:t>
      </w:r>
    </w:p>
    <w:p w14:paraId="550806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Боеприпасы:</w:t>
      </w:r>
    </w:p>
    <w:p w14:paraId="2FF1CA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Снаряды: чертежа 2332, длиной 3 калибра, весом 4 кг</w:t>
      </w:r>
    </w:p>
    <w:p w14:paraId="69EC2C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чертежа 2335, длиной 2,5 калибра, весом 3 кг (3861).</w:t>
      </w:r>
    </w:p>
    <w:p w14:paraId="246B238B" w14:textId="77777777" w:rsidR="00537E5F" w:rsidRPr="00507A31" w:rsidRDefault="00537E5F" w:rsidP="00507A31">
      <w:pPr>
        <w:autoSpaceDE w:val="0"/>
        <w:autoSpaceDN w:val="0"/>
        <w:adjustRightInd w:val="0"/>
        <w:jc w:val="both"/>
        <w:rPr>
          <w:color w:val="000000" w:themeColor="text1"/>
          <w:sz w:val="16"/>
          <w:szCs w:val="16"/>
        </w:rPr>
      </w:pPr>
    </w:p>
    <w:p w14:paraId="3D3F42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осени 1930 была изготовлена на заводе № 7 76,2-мм батальонная мортира КБ НТК АУ. Вариант 3, причем поковка ствола была изготовлена на заводе "Большевик". Ствол с четырьмя нарезами. Имелась отдельная камера сгорания боевого заряда. Затвор клиновой, допускающий повторное действие ударного механизма. Заряжание по типу охотничьих ружей (переламывание ствола). Снаряды с готовыми выступами весом 3,2 кг.</w:t>
      </w:r>
    </w:p>
    <w:p w14:paraId="3ED862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Лафет жесткий однобрусный, на катках. Подъемный механизм имел один сектор, прикрепленный к левой цапфе ствола. Боевая ось коленчатая (3861).</w:t>
      </w:r>
    </w:p>
    <w:p w14:paraId="0E4F32CA" w14:textId="77777777" w:rsidR="00537E5F" w:rsidRPr="00507A31" w:rsidRDefault="00537E5F" w:rsidP="00507A31">
      <w:pPr>
        <w:autoSpaceDE w:val="0"/>
        <w:autoSpaceDN w:val="0"/>
        <w:adjustRightInd w:val="0"/>
        <w:jc w:val="both"/>
        <w:rPr>
          <w:color w:val="000000" w:themeColor="text1"/>
          <w:sz w:val="16"/>
          <w:szCs w:val="16"/>
        </w:rPr>
      </w:pPr>
    </w:p>
    <w:p w14:paraId="0F5C26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осени 1930 на заводе № 7 была изготовлена 76,2-мм батальонная мортира ОАТ вариант 2. Тело орудия изготовил завод "Большевик".</w:t>
      </w:r>
    </w:p>
    <w:p w14:paraId="5D503C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Особенности мортиры:</w:t>
      </w:r>
    </w:p>
    <w:p w14:paraId="6A2D17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противооткатные устройства размещены над стволом;</w:t>
      </w:r>
    </w:p>
    <w:p w14:paraId="5EEF05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ствол в кожухе размещен эксцентрично;</w:t>
      </w:r>
    </w:p>
    <w:p w14:paraId="12A18D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заряжание с дула снарядами с готовыми выступами и зарядом, помещенном у дна снаряда в особом приспособлении;</w:t>
      </w:r>
    </w:p>
    <w:p w14:paraId="5AC22A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для стрельбы колеса снимались и мортира стреляла с основания, установленного на грунте.</w:t>
      </w:r>
    </w:p>
    <w:p w14:paraId="65E678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Механизм вертикального наведения имел один сектор. Поворот мортиры на основании также производился с помощью сектора (3861).</w:t>
      </w:r>
    </w:p>
    <w:p w14:paraId="559F1439" w14:textId="77777777" w:rsidR="00537E5F" w:rsidRPr="00507A31" w:rsidRDefault="00537E5F" w:rsidP="00507A31">
      <w:pPr>
        <w:autoSpaceDE w:val="0"/>
        <w:autoSpaceDN w:val="0"/>
        <w:adjustRightInd w:val="0"/>
        <w:jc w:val="both"/>
        <w:rPr>
          <w:color w:val="000000" w:themeColor="text1"/>
          <w:sz w:val="16"/>
          <w:szCs w:val="16"/>
        </w:rPr>
      </w:pPr>
    </w:p>
    <w:p w14:paraId="52D7AF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осени 1930 года были изготовлены все 6 опытных образцов 76-мм батальонных мортир:</w:t>
      </w:r>
    </w:p>
    <w:p w14:paraId="377AE8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КБ НТК Артуправления 1-й вариант;</w:t>
      </w:r>
    </w:p>
    <w:p w14:paraId="012C8A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КБ НТК Артуправления 3-й вариант;</w:t>
      </w:r>
    </w:p>
    <w:p w14:paraId="24C6A9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Завод "Красный Путиловец;</w:t>
      </w:r>
    </w:p>
    <w:p w14:paraId="746529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Завод "Большевик";</w:t>
      </w:r>
    </w:p>
    <w:p w14:paraId="67E4AE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ОАТ;</w:t>
      </w:r>
    </w:p>
    <w:p w14:paraId="4AFCC8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Глухарева, Щелкова и Тагунова (ГШТ) (3861).</w:t>
      </w:r>
    </w:p>
    <w:p w14:paraId="5EB22E9B" w14:textId="77777777" w:rsidR="00537E5F" w:rsidRPr="00507A31" w:rsidRDefault="00537E5F" w:rsidP="00507A31">
      <w:pPr>
        <w:autoSpaceDE w:val="0"/>
        <w:autoSpaceDN w:val="0"/>
        <w:adjustRightInd w:val="0"/>
        <w:jc w:val="both"/>
        <w:rPr>
          <w:color w:val="000000" w:themeColor="text1"/>
          <w:sz w:val="16"/>
          <w:szCs w:val="16"/>
        </w:rPr>
      </w:pPr>
    </w:p>
    <w:p w14:paraId="74B2E1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осени 1930 на заводе "Красный Путиловец" был изготовлен опытный образец 76,2-мм батальонной мортиры КБ НТК АУ. Вариант 1. Проект разработан Соколовым А.А. и Слухоцким (3861).</w:t>
      </w:r>
    </w:p>
    <w:p w14:paraId="0D773DA6" w14:textId="77777777" w:rsidR="00537E5F" w:rsidRPr="00507A31" w:rsidRDefault="00537E5F" w:rsidP="00507A31">
      <w:pPr>
        <w:autoSpaceDE w:val="0"/>
        <w:autoSpaceDN w:val="0"/>
        <w:adjustRightInd w:val="0"/>
        <w:jc w:val="both"/>
        <w:rPr>
          <w:color w:val="000000" w:themeColor="text1"/>
          <w:sz w:val="16"/>
          <w:szCs w:val="16"/>
        </w:rPr>
      </w:pPr>
    </w:p>
    <w:p w14:paraId="3284B9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Осенью 1930 года 76-мм батальонная мортира завода "Красный Путиловец" была подана на НИАП. Снаряды те же, что и у 76,2-мм мортиры ГШТ, в том числе:</w:t>
      </w:r>
    </w:p>
    <w:p w14:paraId="28C11C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чертежа 2332, длиной 3 калибра, весом 4 кг;</w:t>
      </w:r>
    </w:p>
    <w:p w14:paraId="137093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чертежа 2335, длиной 2,5 калибра, весом 3 кг (3861).</w:t>
      </w:r>
    </w:p>
    <w:p w14:paraId="60CA21C6" w14:textId="77777777" w:rsidR="00537E5F" w:rsidRPr="00507A31" w:rsidRDefault="00537E5F" w:rsidP="00507A31">
      <w:pPr>
        <w:autoSpaceDE w:val="0"/>
        <w:autoSpaceDN w:val="0"/>
        <w:adjustRightInd w:val="0"/>
        <w:jc w:val="both"/>
        <w:rPr>
          <w:color w:val="000000" w:themeColor="text1"/>
          <w:sz w:val="16"/>
          <w:szCs w:val="16"/>
        </w:rPr>
      </w:pPr>
    </w:p>
    <w:p w14:paraId="318F00F2" w14:textId="77777777" w:rsidR="003053D5" w:rsidRPr="00507A31" w:rsidRDefault="003053D5" w:rsidP="00507A31">
      <w:pPr>
        <w:shd w:val="clear" w:color="auto" w:fill="FFFFFF"/>
        <w:jc w:val="both"/>
        <w:rPr>
          <w:color w:val="0070C0"/>
          <w:sz w:val="16"/>
          <w:szCs w:val="16"/>
        </w:rPr>
      </w:pPr>
      <w:r w:rsidRPr="00507A31">
        <w:rPr>
          <w:color w:val="0070C0"/>
          <w:sz w:val="16"/>
          <w:szCs w:val="16"/>
          <w:shd w:val="clear" w:color="auto" w:fill="FFFFFF"/>
        </w:rPr>
        <w:t>Осенью 1930 года Гинзбурга назначили начальником испытательной группы. Занималась она танком В-26, под этим индексом скрывался Vickers Mk.E, которые закупили в Англии. К тому моменту над ГКБ ОАТ еще сильнее сгустились тучи. Перспективы Т-20 становились еще более призрачными, да и уже упомянутый Т-19 совсем не выглядел панацеей. Проект танкетки Т-23, который прорабатывался при участии заведующего отделом мехтяги ГКБ ОАТ О.М. Ивановым, изготовили в виде опытного образца. Но уже во второй половине 1930 года было понятно, что эту танкетку в серию не запустят. Дело в том, что уже в августе 1930 года шел разговор о запуске в серию танкетки К-6 (Carden-Loyd Mk.VI), причем уже тогда подняли тему переделки ее под мотор Ford A. Так начиналась история создания танкетки Т-27 (20375). </w:t>
      </w:r>
    </w:p>
    <w:p w14:paraId="56240FF7" w14:textId="77777777" w:rsidR="003053D5" w:rsidRPr="00507A31" w:rsidRDefault="003053D5" w:rsidP="00507A31">
      <w:pPr>
        <w:shd w:val="clear" w:color="auto" w:fill="FFFFFF"/>
        <w:jc w:val="both"/>
        <w:rPr>
          <w:color w:val="0070C0"/>
          <w:sz w:val="16"/>
          <w:szCs w:val="16"/>
        </w:rPr>
      </w:pPr>
    </w:p>
    <w:p w14:paraId="457E8444" w14:textId="77777777" w:rsidR="004964E9" w:rsidRPr="00507A31" w:rsidRDefault="004964E9" w:rsidP="00507A31">
      <w:pPr>
        <w:jc w:val="both"/>
        <w:rPr>
          <w:color w:val="000000" w:themeColor="text1"/>
          <w:sz w:val="16"/>
          <w:szCs w:val="16"/>
        </w:rPr>
      </w:pPr>
      <w:r w:rsidRPr="00507A31">
        <w:rPr>
          <w:color w:val="000000" w:themeColor="text1"/>
          <w:sz w:val="16"/>
          <w:szCs w:val="16"/>
        </w:rPr>
        <w:t>Осенью 1930 в НАМИ была направлена комиссия по чистке. Комиссией было отмечено: «Работа института резко делится на два периода – первый от 1918 г. до 1928 г. – период, когда Институт находился под руководством профессора Бриллинга, боровшегося против советизации, и второй период – после удаления проф. Бриллинга и назначения в НАМИ нового советского руководства в 1928 г. Новое советское руководство НАМИ после снятия Бриллинга работало в обстановке организованного бойкота НАМИ со стороны ряда специалистов, работающих за пределами Института».</w:t>
      </w:r>
    </w:p>
    <w:p w14:paraId="21A50EA7" w14:textId="77777777" w:rsidR="004964E9" w:rsidRPr="00507A31" w:rsidRDefault="004964E9" w:rsidP="00507A31">
      <w:pPr>
        <w:jc w:val="both"/>
        <w:rPr>
          <w:color w:val="000000" w:themeColor="text1"/>
          <w:sz w:val="16"/>
          <w:szCs w:val="16"/>
        </w:rPr>
      </w:pPr>
      <w:r w:rsidRPr="00507A31">
        <w:rPr>
          <w:color w:val="000000" w:themeColor="text1"/>
          <w:sz w:val="16"/>
          <w:szCs w:val="16"/>
        </w:rPr>
        <w:t>Оценивая результаты работы института, председатель комиссии по чистке констатировал:</w:t>
      </w:r>
    </w:p>
    <w:p w14:paraId="542FF05D" w14:textId="77777777" w:rsidR="004964E9" w:rsidRPr="00507A31" w:rsidRDefault="004964E9" w:rsidP="00507A31">
      <w:pPr>
        <w:jc w:val="both"/>
        <w:rPr>
          <w:color w:val="000000" w:themeColor="text1"/>
          <w:sz w:val="16"/>
          <w:szCs w:val="16"/>
        </w:rPr>
      </w:pPr>
      <w:r w:rsidRPr="00507A31">
        <w:rPr>
          <w:color w:val="000000" w:themeColor="text1"/>
          <w:sz w:val="16"/>
          <w:szCs w:val="16"/>
        </w:rPr>
        <w:lastRenderedPageBreak/>
        <w:t>«…По своему состоянию на сегодняшний день НАМИ не удовлетворяет запросам основных отраслей промышленности Авиационной, Автомобильной, Тракторной и требованиям, предъявляемым обороной страны.</w:t>
      </w:r>
    </w:p>
    <w:p w14:paraId="4E24F581" w14:textId="77777777" w:rsidR="004964E9" w:rsidRPr="00507A31" w:rsidRDefault="004964E9" w:rsidP="00507A31">
      <w:pPr>
        <w:jc w:val="both"/>
        <w:rPr>
          <w:color w:val="000000" w:themeColor="text1"/>
          <w:sz w:val="16"/>
          <w:szCs w:val="16"/>
        </w:rPr>
      </w:pPr>
      <w:r w:rsidRPr="00507A31">
        <w:rPr>
          <w:color w:val="000000" w:themeColor="text1"/>
          <w:sz w:val="16"/>
          <w:szCs w:val="16"/>
        </w:rPr>
        <w:t>…Ведущей роли НАМИ не имел как научно-исследовательский институт и в своей практической деятельности в малой степени отвечал потребностям, предъявляемым на сегодняшний день промышленностью.</w:t>
      </w:r>
    </w:p>
    <w:p w14:paraId="7AEB27E8" w14:textId="77777777" w:rsidR="004964E9" w:rsidRPr="00507A31" w:rsidRDefault="004964E9" w:rsidP="00507A31">
      <w:pPr>
        <w:jc w:val="both"/>
        <w:rPr>
          <w:color w:val="000000" w:themeColor="text1"/>
          <w:sz w:val="16"/>
          <w:szCs w:val="16"/>
        </w:rPr>
      </w:pPr>
      <w:r w:rsidRPr="00507A31">
        <w:rPr>
          <w:color w:val="000000" w:themeColor="text1"/>
          <w:sz w:val="16"/>
          <w:szCs w:val="16"/>
        </w:rPr>
        <w:t>…Объём и количество проблем и заданий по плану работ НАМИ взяты без учёта реальной возможности выполнения (материальные средства, кадры и пр.).</w:t>
      </w:r>
    </w:p>
    <w:p w14:paraId="2A66EB84" w14:textId="77777777" w:rsidR="004964E9" w:rsidRPr="00507A31" w:rsidRDefault="004964E9" w:rsidP="00507A31">
      <w:pPr>
        <w:jc w:val="both"/>
        <w:rPr>
          <w:color w:val="000000" w:themeColor="text1"/>
          <w:sz w:val="16"/>
          <w:szCs w:val="16"/>
        </w:rPr>
      </w:pPr>
      <w:r w:rsidRPr="00507A31">
        <w:rPr>
          <w:color w:val="000000" w:themeColor="text1"/>
          <w:sz w:val="16"/>
          <w:szCs w:val="16"/>
        </w:rPr>
        <w:t>…Существующая структура НАМИ, построенная по отраслевому признаку, не даёт правильного организационного построения для выполнения задач, поставленных перед Институтом как перед научно-исследовательской организацией».</w:t>
      </w:r>
    </w:p>
    <w:p w14:paraId="4965E0B9" w14:textId="77777777" w:rsidR="004964E9" w:rsidRPr="00507A31" w:rsidRDefault="004964E9" w:rsidP="00507A31">
      <w:pPr>
        <w:jc w:val="both"/>
        <w:rPr>
          <w:color w:val="000000" w:themeColor="text1"/>
          <w:sz w:val="16"/>
          <w:szCs w:val="16"/>
        </w:rPr>
      </w:pPr>
      <w:r w:rsidRPr="00507A31">
        <w:rPr>
          <w:color w:val="000000" w:themeColor="text1"/>
          <w:sz w:val="16"/>
          <w:szCs w:val="16"/>
        </w:rPr>
        <w:t>A.C. Кузин был освобождён от заведывания Отделом Зимнего Транспорта. Но его оставили в институте, «использовав по специальности руководителем по конструкциям». Основанием для перевода на работу с понижением были «отсутствие организации и администрации в отделе, кустарщина и длительные темпы работ».</w:t>
      </w:r>
    </w:p>
    <w:p w14:paraId="646AF4C4" w14:textId="77777777" w:rsidR="004964E9" w:rsidRPr="00507A31" w:rsidRDefault="004964E9" w:rsidP="00507A31">
      <w:pPr>
        <w:jc w:val="both"/>
        <w:rPr>
          <w:color w:val="000000" w:themeColor="text1"/>
          <w:sz w:val="16"/>
          <w:szCs w:val="16"/>
        </w:rPr>
      </w:pPr>
      <w:r w:rsidRPr="00507A31">
        <w:rPr>
          <w:color w:val="000000" w:themeColor="text1"/>
          <w:sz w:val="16"/>
          <w:szCs w:val="16"/>
        </w:rPr>
        <w:t>Также на рядовой инженерной работе должен был трудиться и «ценный талантливый конструктор, политически чуждый, с законченной не с советской идеологией» Микулин.</w:t>
      </w:r>
    </w:p>
    <w:p w14:paraId="763D020E" w14:textId="77777777" w:rsidR="004964E9" w:rsidRPr="00507A31" w:rsidRDefault="004964E9" w:rsidP="00507A31">
      <w:pPr>
        <w:jc w:val="both"/>
        <w:rPr>
          <w:color w:val="000000" w:themeColor="text1"/>
          <w:sz w:val="16"/>
          <w:szCs w:val="16"/>
        </w:rPr>
      </w:pPr>
      <w:r w:rsidRPr="00507A31">
        <w:rPr>
          <w:color w:val="000000" w:themeColor="text1"/>
          <w:sz w:val="16"/>
          <w:szCs w:val="16"/>
        </w:rPr>
        <w:t>За кадровыми перестановками последовали и организационные мероприятия (18640).</w:t>
      </w:r>
    </w:p>
    <w:p w14:paraId="1D84C0C9" w14:textId="77777777" w:rsidR="004964E9" w:rsidRPr="00507A31" w:rsidRDefault="004964E9" w:rsidP="00507A31">
      <w:pPr>
        <w:jc w:val="both"/>
        <w:rPr>
          <w:color w:val="000000" w:themeColor="text1"/>
          <w:sz w:val="16"/>
          <w:szCs w:val="16"/>
        </w:rPr>
      </w:pPr>
    </w:p>
    <w:p w14:paraId="08E48F80" w14:textId="77777777" w:rsidR="004964E9" w:rsidRPr="00507A31" w:rsidRDefault="004964E9"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Осенью 1930 года в Одесском политехническом институ</w:t>
      </w:r>
      <w:r w:rsidRPr="00507A31">
        <w:rPr>
          <w:color w:val="000000" w:themeColor="text1"/>
          <w:sz w:val="16"/>
          <w:szCs w:val="16"/>
        </w:rPr>
        <w:softHyphen/>
        <w:t>те под руководством инженеров И. Жаботинского и Д. Скобло началось проектирование легкового автомобиля повы</w:t>
      </w:r>
      <w:r w:rsidRPr="00507A31">
        <w:rPr>
          <w:color w:val="000000" w:themeColor="text1"/>
          <w:sz w:val="16"/>
          <w:szCs w:val="16"/>
        </w:rPr>
        <w:softHyphen/>
        <w:t>шенной проходимости с колесной формулой 6 х 4. В качестве базы конструкторы использовали шасси серийного «Форд-А», необходимые узлы для его переделки и общую сборку осу</w:t>
      </w:r>
      <w:r w:rsidRPr="00507A31">
        <w:rPr>
          <w:color w:val="000000" w:themeColor="text1"/>
          <w:sz w:val="16"/>
          <w:szCs w:val="16"/>
        </w:rPr>
        <w:softHyphen/>
        <w:t>ществил завод имени Январского восстания в Одессе (11284).</w:t>
      </w:r>
    </w:p>
    <w:p w14:paraId="4361E8FB" w14:textId="77777777" w:rsidR="004964E9" w:rsidRPr="00507A31" w:rsidRDefault="004964E9" w:rsidP="00507A31">
      <w:pPr>
        <w:shd w:val="clear" w:color="auto" w:fill="FFFFFF"/>
        <w:autoSpaceDE w:val="0"/>
        <w:autoSpaceDN w:val="0"/>
        <w:adjustRightInd w:val="0"/>
        <w:jc w:val="both"/>
        <w:rPr>
          <w:color w:val="000000" w:themeColor="text1"/>
          <w:sz w:val="16"/>
          <w:szCs w:val="16"/>
        </w:rPr>
      </w:pPr>
    </w:p>
    <w:p w14:paraId="1E33C9F7" w14:textId="77777777" w:rsidR="00635E38" w:rsidRPr="00507A31" w:rsidRDefault="00635E38" w:rsidP="00507A31">
      <w:pPr>
        <w:autoSpaceDE w:val="0"/>
        <w:autoSpaceDN w:val="0"/>
        <w:adjustRightInd w:val="0"/>
        <w:jc w:val="both"/>
        <w:rPr>
          <w:color w:val="000000" w:themeColor="text1"/>
          <w:sz w:val="16"/>
          <w:szCs w:val="16"/>
        </w:rPr>
      </w:pPr>
      <w:r w:rsidRPr="00507A31">
        <w:rPr>
          <w:color w:val="000000" w:themeColor="text1"/>
          <w:sz w:val="16"/>
          <w:szCs w:val="16"/>
        </w:rPr>
        <w:t>Осенью 1930 года на ЧТЗ прибыла техника из-за границы: экскаваторы, грейдеры, мотовозы, катки, подъемные краны. Темпы строительства ускорились. Работали и днем и ночью. Зимой при 30-ти градусном морозе, на жгучем ветру. Но и этого было недостаточно. Строители ЧТЗ обратились с письмом - просьбой о помощи ко всем трудящимся Челябинска. Ответ не заставил себя ждать. "Весь Челябинск должен достраивать Тракторный!" - прозвучал призыв на предприятиях города. В свое свободное время, в выходные дни выходили на строительство завода горожане (11252).</w:t>
      </w:r>
    </w:p>
    <w:p w14:paraId="43D7C7F8" w14:textId="77777777" w:rsidR="00635E38" w:rsidRPr="00507A31" w:rsidRDefault="00635E38" w:rsidP="00507A31">
      <w:pPr>
        <w:autoSpaceDE w:val="0"/>
        <w:autoSpaceDN w:val="0"/>
        <w:adjustRightInd w:val="0"/>
        <w:jc w:val="both"/>
        <w:rPr>
          <w:color w:val="000000" w:themeColor="text1"/>
          <w:sz w:val="16"/>
          <w:szCs w:val="16"/>
        </w:rPr>
      </w:pPr>
    </w:p>
    <w:p w14:paraId="481F5A9F" w14:textId="77777777" w:rsidR="00CD4949" w:rsidRPr="00507A31" w:rsidRDefault="00CD4949" w:rsidP="00507A31">
      <w:pPr>
        <w:jc w:val="both"/>
        <w:rPr>
          <w:color w:val="000000" w:themeColor="text1"/>
          <w:sz w:val="16"/>
          <w:szCs w:val="16"/>
        </w:rPr>
      </w:pPr>
      <w:r w:rsidRPr="00507A31">
        <w:rPr>
          <w:color w:val="000000" w:themeColor="text1"/>
          <w:sz w:val="16"/>
          <w:szCs w:val="16"/>
        </w:rPr>
        <w:t xml:space="preserve">Осенью 1930 года возобновились работы по модернизации опытного образца мотоброневагона конструкции Дыренкова. К этому времени сформированное еще в декабре 1929 года на Ижорском заводе УММ РККА опытно-конструкторское и испытательное бюро под руководством Дыренкова переехало на территорию Экспериментального завода НКПС в Люблино (в то время пригород Москвы). Здесь по заданию военных КБ продолжило разработку и изготовлению новых типов </w:t>
      </w:r>
      <w:hyperlink r:id="rId151" w:tgtFrame="_blank" w:history="1">
        <w:r w:rsidRPr="00507A31">
          <w:rPr>
            <w:color w:val="000000" w:themeColor="text1"/>
            <w:sz w:val="16"/>
            <w:szCs w:val="16"/>
          </w:rPr>
          <w:t>танк</w:t>
        </w:r>
      </w:hyperlink>
      <w:r w:rsidRPr="00507A31">
        <w:rPr>
          <w:color w:val="000000" w:themeColor="text1"/>
          <w:sz w:val="16"/>
          <w:szCs w:val="16"/>
        </w:rPr>
        <w:t>ов и бронемашин (15624).</w:t>
      </w:r>
    </w:p>
    <w:p w14:paraId="75E46451" w14:textId="77777777" w:rsidR="00CD4949" w:rsidRPr="00507A31" w:rsidRDefault="00CD4949" w:rsidP="00507A31">
      <w:pPr>
        <w:jc w:val="both"/>
        <w:rPr>
          <w:color w:val="000000" w:themeColor="text1"/>
          <w:sz w:val="16"/>
          <w:szCs w:val="16"/>
        </w:rPr>
      </w:pPr>
    </w:p>
    <w:p w14:paraId="55E98078" w14:textId="77777777" w:rsidR="004964E9" w:rsidRPr="00507A31" w:rsidRDefault="004964E9" w:rsidP="00507A31">
      <w:pPr>
        <w:jc w:val="both"/>
        <w:rPr>
          <w:color w:val="000000" w:themeColor="text1"/>
          <w:sz w:val="16"/>
          <w:szCs w:val="16"/>
        </w:rPr>
      </w:pPr>
      <w:r w:rsidRPr="00507A31">
        <w:rPr>
          <w:color w:val="000000" w:themeColor="text1"/>
          <w:sz w:val="16"/>
          <w:szCs w:val="16"/>
        </w:rPr>
        <w:t>Осенью 1930 года возобновились работы по модернизации опытного образца мотоброневагона конструкции Дыренкова. К этому времени сформированное еще в декабре 1929 года на Ижорском заводе УММ РККА опытноконструкторское и испытательное бюро под руководством Дыренкова переехало на территорию Экспериментального завода НКПС в Люблино (в то время пригород Москвы). Здесь по заданию военных КБ продолжило разработку и изготовлению новых типов танков и бронемашин (18626).</w:t>
      </w:r>
    </w:p>
    <w:p w14:paraId="79F25DF9" w14:textId="77777777" w:rsidR="004964E9" w:rsidRPr="00507A31" w:rsidRDefault="004964E9" w:rsidP="00507A31">
      <w:pPr>
        <w:jc w:val="both"/>
        <w:rPr>
          <w:color w:val="000000" w:themeColor="text1"/>
          <w:sz w:val="16"/>
          <w:szCs w:val="16"/>
        </w:rPr>
      </w:pPr>
    </w:p>
    <w:p w14:paraId="620C06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осени 1930 г. лабораторию искусственного каучука Лебедева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0258BB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212055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708B9F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376E731B" w14:textId="77777777" w:rsidR="00537E5F" w:rsidRPr="00507A31" w:rsidRDefault="00537E5F" w:rsidP="00507A31">
      <w:pPr>
        <w:autoSpaceDE w:val="0"/>
        <w:autoSpaceDN w:val="0"/>
        <w:adjustRightInd w:val="0"/>
        <w:jc w:val="both"/>
        <w:rPr>
          <w:color w:val="000000" w:themeColor="text1"/>
          <w:sz w:val="16"/>
          <w:szCs w:val="16"/>
        </w:rPr>
      </w:pPr>
    </w:p>
    <w:p w14:paraId="23429A11" w14:textId="77777777" w:rsidR="007E308E" w:rsidRPr="00507A31" w:rsidRDefault="007E308E" w:rsidP="00507A31">
      <w:pPr>
        <w:jc w:val="both"/>
        <w:rPr>
          <w:color w:val="000000" w:themeColor="text1"/>
          <w:sz w:val="16"/>
          <w:szCs w:val="16"/>
        </w:rPr>
      </w:pPr>
      <w:r w:rsidRPr="00507A31">
        <w:rPr>
          <w:color w:val="000000" w:themeColor="text1"/>
          <w:sz w:val="16"/>
          <w:szCs w:val="16"/>
        </w:rPr>
        <w:t>Осенью 1930 г. прошли испытания лабораторного образца радиомаяка по НИР «Магнит». Это был большой комплекс аппаратуры, размещавшейся стационарно или в трех автомобилях АМО, и предназначенной для вождения самолетов по заданному курсу и их самоориентации. В 1931 г. завод получает заказ на изготовление двух образцов этого маяка, получившего войсковой шифр 13А (заводские шифры «Прима», «Стрела», «Парнас»). Однако выполнить этот заказ удалось только в следующем году одновременной с серийной партией этой аппаратуры в количестве 10 комплектов. Работы по радиомаякам велись параллельно в ЦВИРЛ и ОРПУ. Ввиду большой затратности этих работ и нецелесообразности получения лишних типов аппаратуры в апреле 1933 г. принимается решение об объединении всех разработок в ОРПУ и унификации всех полученных к этому времени типов. Завод им. Коминтерна продолжал выпуск различных модификаций радиомаяков 13А (13А-1, 13А-2, 13А-3) вплоть до 1937 г., изготовив за это время более 85 комплектов этой аппаратуры и обеспечивая ею не только ВВС, но и ГВФ (18297).</w:t>
      </w:r>
    </w:p>
    <w:p w14:paraId="4D1D4E0D" w14:textId="77777777" w:rsidR="007E308E" w:rsidRPr="00507A31" w:rsidRDefault="007E308E" w:rsidP="00507A31">
      <w:pPr>
        <w:jc w:val="both"/>
        <w:rPr>
          <w:color w:val="000000" w:themeColor="text1"/>
          <w:sz w:val="16"/>
          <w:szCs w:val="16"/>
        </w:rPr>
      </w:pPr>
    </w:p>
    <w:p w14:paraId="7848145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040988F" w14:textId="77777777" w:rsidR="00537E5F" w:rsidRPr="00507A31" w:rsidRDefault="00537E5F" w:rsidP="00507A31">
      <w:pPr>
        <w:autoSpaceDE w:val="0"/>
        <w:autoSpaceDN w:val="0"/>
        <w:adjustRightInd w:val="0"/>
        <w:jc w:val="both"/>
        <w:rPr>
          <w:iCs/>
          <w:color w:val="000000" w:themeColor="text1"/>
          <w:sz w:val="16"/>
          <w:szCs w:val="16"/>
        </w:rPr>
      </w:pPr>
    </w:p>
    <w:p w14:paraId="492968B6" w14:textId="77777777" w:rsidR="00635E38" w:rsidRPr="00507A31" w:rsidRDefault="00635E38" w:rsidP="00507A31">
      <w:pPr>
        <w:autoSpaceDE w:val="0"/>
        <w:autoSpaceDN w:val="0"/>
        <w:adjustRightInd w:val="0"/>
        <w:jc w:val="both"/>
        <w:rPr>
          <w:iCs/>
          <w:color w:val="000000" w:themeColor="text1"/>
          <w:sz w:val="16"/>
          <w:szCs w:val="16"/>
        </w:rPr>
      </w:pPr>
      <w:r w:rsidRPr="00507A31">
        <w:rPr>
          <w:color w:val="000000" w:themeColor="text1"/>
          <w:sz w:val="16"/>
          <w:szCs w:val="16"/>
        </w:rPr>
        <w:t xml:space="preserve">Осенью </w:t>
      </w:r>
      <w:bookmarkStart w:id="98" w:name="YANDEX_2"/>
      <w:bookmarkEnd w:id="98"/>
      <w:r w:rsidRPr="00507A31">
        <w:rPr>
          <w:rStyle w:val="highlight"/>
          <w:color w:val="000000" w:themeColor="text1"/>
          <w:sz w:val="16"/>
          <w:szCs w:val="16"/>
        </w:rPr>
        <w:t> 1930 </w:t>
      </w:r>
      <w:r w:rsidRPr="00507A31">
        <w:rPr>
          <w:color w:val="000000" w:themeColor="text1"/>
          <w:sz w:val="16"/>
          <w:szCs w:val="16"/>
        </w:rPr>
        <w:t xml:space="preserve"> г. было объявлено о раскрытии ОГПУ вредительской и шпионской организации в сфере снабжения населения важнейшими продуктами питания, особенно мясом, рыбой и овощами. По данным ОГПУ, организация возглавлялась бывшим помещиком - профессором А. В. Рязанцевым и бывшим помещиком Е. С. Каратыгиным, а также другими бывшими дворянами и промышленниками, кадетами и меньшевиками, 'пробравшимися' на ответственные должности в ВСНХ, в Наркомторг, в Союзмясо, в Союзрыбу, в Союзплодовощ и др. Как сообщалось в печати, эти 'вредители' сумели расстроить систему снабжения продуктами питания многих городов и рабочих поселков, организовать голод в ряде районов страны, на них возлагалась вина за повышение цен на мясо и мясопродукты и т. п. В отличие от других подобных процессов приговор по этому делу был крайне суров все привлеченные 46 человек были расстреляны по постановлению закрытого суда. Теперь советскому народу должно быть ясно, почему в магазинах нет даже элементарных продуктов - их не завезли "вредители" (17237).</w:t>
      </w:r>
    </w:p>
    <w:p w14:paraId="54A2E1E3" w14:textId="77777777" w:rsidR="00635E38" w:rsidRPr="00507A31" w:rsidRDefault="00635E38" w:rsidP="00507A31">
      <w:pPr>
        <w:autoSpaceDE w:val="0"/>
        <w:autoSpaceDN w:val="0"/>
        <w:adjustRightInd w:val="0"/>
        <w:jc w:val="both"/>
        <w:rPr>
          <w:iCs/>
          <w:color w:val="000000" w:themeColor="text1"/>
          <w:sz w:val="16"/>
          <w:szCs w:val="16"/>
        </w:rPr>
      </w:pPr>
    </w:p>
    <w:p w14:paraId="07C0AC8B" w14:textId="77777777" w:rsidR="00CD494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5A7F344" w14:textId="77777777" w:rsidR="00CD4949" w:rsidRPr="00507A31" w:rsidRDefault="00CD4949" w:rsidP="00507A31">
      <w:pPr>
        <w:autoSpaceDE w:val="0"/>
        <w:autoSpaceDN w:val="0"/>
        <w:adjustRightInd w:val="0"/>
        <w:jc w:val="both"/>
        <w:rPr>
          <w:iCs/>
          <w:color w:val="000000" w:themeColor="text1"/>
          <w:sz w:val="16"/>
          <w:szCs w:val="16"/>
        </w:rPr>
      </w:pPr>
    </w:p>
    <w:p w14:paraId="172C35F9" w14:textId="77777777" w:rsidR="00CD4949" w:rsidRPr="00507A31" w:rsidRDefault="00CD4949" w:rsidP="00507A31">
      <w:pPr>
        <w:jc w:val="both"/>
        <w:rPr>
          <w:color w:val="000000" w:themeColor="text1"/>
          <w:sz w:val="16"/>
          <w:szCs w:val="16"/>
        </w:rPr>
      </w:pPr>
      <w:r w:rsidRPr="00507A31">
        <w:rPr>
          <w:color w:val="000000" w:themeColor="text1"/>
          <w:sz w:val="16"/>
          <w:szCs w:val="16"/>
        </w:rPr>
        <w:t xml:space="preserve">Осенью 1930 г. взлетел японский бомбардировщик </w:t>
      </w:r>
      <w:r w:rsidRPr="00507A31">
        <w:rPr>
          <w:color w:val="000000" w:themeColor="text1"/>
          <w:sz w:val="16"/>
          <w:szCs w:val="16"/>
          <w:lang w:val="en-US"/>
        </w:rPr>
        <w:t>MitsubishiKi</w:t>
      </w:r>
      <w:r w:rsidRPr="00507A31">
        <w:rPr>
          <w:color w:val="000000" w:themeColor="text1"/>
          <w:sz w:val="16"/>
          <w:szCs w:val="16"/>
        </w:rPr>
        <w:t>-</w:t>
      </w:r>
      <w:r w:rsidRPr="00507A31">
        <w:rPr>
          <w:rStyle w:val="65pt1pt"/>
          <w:rFonts w:ascii="Times New Roman" w:hAnsi="Times New Roman" w:cs="Times New Roman"/>
          <w:i w:val="0"/>
          <w:color w:val="000000" w:themeColor="text1"/>
          <w:spacing w:val="0"/>
          <w:sz w:val="16"/>
          <w:szCs w:val="16"/>
        </w:rPr>
        <w:t>20</w:t>
      </w:r>
      <w:r w:rsidRPr="00507A31">
        <w:rPr>
          <w:color w:val="000000" w:themeColor="text1"/>
          <w:sz w:val="16"/>
          <w:szCs w:val="16"/>
        </w:rPr>
        <w:t xml:space="preserve">, а первый </w:t>
      </w:r>
      <w:r w:rsidRPr="00507A31">
        <w:rPr>
          <w:rStyle w:val="aff6"/>
          <w:rFonts w:ascii="Times New Roman" w:cs="Times New Roman"/>
          <w:b w:val="0"/>
          <w:color w:val="000000" w:themeColor="text1"/>
          <w:spacing w:val="0"/>
          <w:sz w:val="16"/>
          <w:szCs w:val="16"/>
        </w:rPr>
        <w:t>АНТ</w:t>
      </w:r>
      <w:r w:rsidRPr="00507A31">
        <w:rPr>
          <w:color w:val="000000" w:themeColor="text1"/>
          <w:sz w:val="16"/>
          <w:szCs w:val="16"/>
        </w:rPr>
        <w:t>-6 — только 22 декабря 1930 г. К</w:t>
      </w:r>
      <w:r w:rsidRPr="00507A31">
        <w:rPr>
          <w:color w:val="000000" w:themeColor="text1"/>
          <w:sz w:val="16"/>
          <w:szCs w:val="16"/>
          <w:lang w:val="en-US"/>
        </w:rPr>
        <w:t>i</w:t>
      </w:r>
      <w:r w:rsidRPr="00507A31">
        <w:rPr>
          <w:color w:val="000000" w:themeColor="text1"/>
          <w:sz w:val="16"/>
          <w:szCs w:val="16"/>
        </w:rPr>
        <w:t>-20 выпускался серийно в 1931 —1935 гг., хотя, конечно, в масшта</w:t>
      </w:r>
      <w:r w:rsidRPr="00507A31">
        <w:rPr>
          <w:color w:val="000000" w:themeColor="text1"/>
          <w:sz w:val="16"/>
          <w:szCs w:val="16"/>
        </w:rPr>
        <w:softHyphen/>
        <w:t>бах, несравнимых с АНТ-6 (ТБ-3) — построено только 6 самолётов. Сам он являлся модификацией пасса</w:t>
      </w:r>
      <w:r w:rsidRPr="00507A31">
        <w:rPr>
          <w:color w:val="000000" w:themeColor="text1"/>
          <w:sz w:val="16"/>
          <w:szCs w:val="16"/>
        </w:rPr>
        <w:softHyphen/>
        <w:t xml:space="preserve">жирского </w:t>
      </w:r>
      <w:r w:rsidRPr="00507A31">
        <w:rPr>
          <w:color w:val="000000" w:themeColor="text1"/>
          <w:sz w:val="16"/>
          <w:szCs w:val="16"/>
          <w:lang w:val="en-US"/>
        </w:rPr>
        <w:t>JunkersG</w:t>
      </w:r>
      <w:r w:rsidRPr="00507A31">
        <w:rPr>
          <w:color w:val="000000" w:themeColor="text1"/>
          <w:sz w:val="16"/>
          <w:szCs w:val="16"/>
        </w:rPr>
        <w:t>38, взлетевшего б ноября 1929 г. (15784).</w:t>
      </w:r>
    </w:p>
    <w:p w14:paraId="161F42C3" w14:textId="77777777" w:rsidR="00CD4949" w:rsidRPr="00507A31" w:rsidRDefault="00CD4949" w:rsidP="00507A31">
      <w:pPr>
        <w:jc w:val="both"/>
        <w:rPr>
          <w:color w:val="000000" w:themeColor="text1"/>
          <w:sz w:val="16"/>
          <w:szCs w:val="16"/>
        </w:rPr>
      </w:pPr>
    </w:p>
    <w:p w14:paraId="4850FA3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59D20B2" w14:textId="77777777" w:rsidR="00537E5F" w:rsidRPr="00507A31" w:rsidRDefault="00537E5F" w:rsidP="00507A31">
      <w:pPr>
        <w:autoSpaceDE w:val="0"/>
        <w:autoSpaceDN w:val="0"/>
        <w:adjustRightInd w:val="0"/>
        <w:jc w:val="both"/>
        <w:rPr>
          <w:iCs/>
          <w:color w:val="000000" w:themeColor="text1"/>
          <w:sz w:val="16"/>
          <w:szCs w:val="16"/>
        </w:rPr>
      </w:pPr>
    </w:p>
    <w:p w14:paraId="57FC36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 ЦАГИ запросил у ЦКБ (N 896с) чертежи общего вида И-5 и в НИИ ВВС (N 897с) все материалы испытаний (1041).</w:t>
      </w:r>
    </w:p>
    <w:p w14:paraId="01BF591F" w14:textId="77777777" w:rsidR="00537E5F" w:rsidRPr="00507A31" w:rsidRDefault="00537E5F" w:rsidP="00507A31">
      <w:pPr>
        <w:autoSpaceDE w:val="0"/>
        <w:autoSpaceDN w:val="0"/>
        <w:adjustRightInd w:val="0"/>
        <w:jc w:val="both"/>
        <w:rPr>
          <w:color w:val="000000" w:themeColor="text1"/>
          <w:sz w:val="16"/>
          <w:szCs w:val="16"/>
        </w:rPr>
      </w:pPr>
    </w:p>
    <w:p w14:paraId="24CAB5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 Зам. Директора ЦАГИ Берг писал письмо № 896с в ЦКБ завода № 39</w:t>
      </w:r>
    </w:p>
    <w:p w14:paraId="0FB42F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Просьба прислать один экземпляр чертежа обцего вида самолета И-5 (10757).</w:t>
      </w:r>
    </w:p>
    <w:p w14:paraId="0E8016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2E236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 Зам. Директора ЦАГИ Берг писал письмо № 897с в НИИ ВВС</w:t>
      </w:r>
    </w:p>
    <w:p w14:paraId="1B60B8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связи с заданием, возложенным на ЦАГИ, просьба срочно выслать один экземпляр протоколов всех испытаний, проведенных в НИИ с самолетом И-5 (10757).</w:t>
      </w:r>
    </w:p>
    <w:p w14:paraId="688086EF" w14:textId="77777777" w:rsidR="00537E5F" w:rsidRPr="00507A31" w:rsidRDefault="00537E5F" w:rsidP="00507A31">
      <w:pPr>
        <w:autoSpaceDE w:val="0"/>
        <w:autoSpaceDN w:val="0"/>
        <w:adjustRightInd w:val="0"/>
        <w:jc w:val="both"/>
        <w:rPr>
          <w:color w:val="000000" w:themeColor="text1"/>
          <w:sz w:val="16"/>
          <w:szCs w:val="16"/>
        </w:rPr>
      </w:pPr>
    </w:p>
    <w:p w14:paraId="25C566F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октября 1930 года инженер 1 секции НТК Гребенев писал:</w:t>
      </w:r>
    </w:p>
    <w:p w14:paraId="210C4AB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Доношу, что в отношении самолета И5 ГВАО не выполнено согласно постановления РВС:</w:t>
      </w:r>
    </w:p>
    <w:p w14:paraId="6F9BAD7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Сроки поставки:</w:t>
      </w:r>
    </w:p>
    <w:p w14:paraId="425A9DA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ГВАО должно было к 25 сентября 1930 года сдать в НИИ второй опытный экземпляр с 4-мя установленными и пристрелянными пулеметами (на земле и в воздухе) и положенным оборудованием на гос. испытания вооружения и оборудования.</w:t>
      </w:r>
    </w:p>
    <w:p w14:paraId="295EC70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действительности же сдан первый опытный экземпляр 27 сентября 1930 года с непристрелянными пулеметами и без установки дополнительного оборудования.</w:t>
      </w:r>
    </w:p>
    <w:p w14:paraId="3406AD6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ГВАО должно 1 октября 1930 года сдать в НИИ опытный экземпляр с мотором 2м15 – не выполнено (так как мотор подлежит ремонту).</w:t>
      </w:r>
    </w:p>
    <w:p w14:paraId="7F36983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ГВАО обязано в сентябре 1930 года дать 6 самолетов – не выполнено.</w:t>
      </w:r>
    </w:p>
    <w:p w14:paraId="6C7B3DD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вооружения</w:t>
      </w:r>
    </w:p>
    <w:p w14:paraId="4F01421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Заводом № 39 производится пристрелка пулеметов и устранение дефектов вооружения.</w:t>
      </w:r>
    </w:p>
    <w:p w14:paraId="7E51617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Поставка серии</w:t>
      </w:r>
    </w:p>
    <w:p w14:paraId="13150EC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октября 1930 года завод обещает выпустить 3 серийных машины и подготовить 3 фюзеляжа (6943, 135-136).</w:t>
      </w:r>
    </w:p>
    <w:p w14:paraId="29E4247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0587420" w14:textId="77777777" w:rsidR="00CD4949" w:rsidRPr="00507A31" w:rsidRDefault="00CD4949" w:rsidP="00507A31">
      <w:pPr>
        <w:jc w:val="both"/>
        <w:rPr>
          <w:color w:val="000000" w:themeColor="text1"/>
          <w:sz w:val="16"/>
          <w:szCs w:val="16"/>
        </w:rPr>
      </w:pPr>
      <w:r w:rsidRPr="00507A31">
        <w:rPr>
          <w:color w:val="000000" w:themeColor="text1"/>
          <w:sz w:val="16"/>
          <w:szCs w:val="16"/>
        </w:rPr>
        <w:t>1-2 октября 1930 г. на заседании РВС СССР ут</w:t>
      </w:r>
      <w:r w:rsidRPr="00507A31">
        <w:rPr>
          <w:color w:val="000000" w:themeColor="text1"/>
          <w:sz w:val="16"/>
          <w:szCs w:val="16"/>
        </w:rPr>
        <w:softHyphen/>
        <w:t>вердили план опытного строительства самолётов и моторов на 1930/31 ф.г. Одним из пунктов плана предусматривалась по</w:t>
      </w:r>
      <w:r w:rsidRPr="00507A31">
        <w:rPr>
          <w:color w:val="000000" w:themeColor="text1"/>
          <w:sz w:val="16"/>
          <w:szCs w:val="16"/>
        </w:rPr>
        <w:softHyphen/>
        <w:t>стройка ЦАГИ экспери</w:t>
      </w:r>
      <w:r w:rsidRPr="00507A31">
        <w:rPr>
          <w:color w:val="000000" w:themeColor="text1"/>
          <w:sz w:val="16"/>
          <w:szCs w:val="16"/>
        </w:rPr>
        <w:softHyphen/>
        <w:t>ментального истребителя И-12, с предъявлением его на госиспытания 1 ию</w:t>
      </w:r>
      <w:r w:rsidRPr="00507A31">
        <w:rPr>
          <w:color w:val="000000" w:themeColor="text1"/>
          <w:sz w:val="16"/>
          <w:szCs w:val="16"/>
        </w:rPr>
        <w:softHyphen/>
        <w:t>ля 1931 г. (15823).</w:t>
      </w:r>
    </w:p>
    <w:p w14:paraId="4C6BC99D" w14:textId="77777777" w:rsidR="00CD4949" w:rsidRPr="00507A31" w:rsidRDefault="00CD4949" w:rsidP="00507A31">
      <w:pPr>
        <w:jc w:val="both"/>
        <w:rPr>
          <w:color w:val="000000" w:themeColor="text1"/>
          <w:sz w:val="16"/>
          <w:szCs w:val="16"/>
        </w:rPr>
      </w:pPr>
    </w:p>
    <w:p w14:paraId="5E226BA4" w14:textId="77777777" w:rsidR="00DD383B" w:rsidRPr="00507A31" w:rsidRDefault="00DD383B" w:rsidP="00507A31">
      <w:pPr>
        <w:pStyle w:val="rtejustify"/>
        <w:shd w:val="clear" w:color="auto" w:fill="FFFFFF"/>
        <w:spacing w:before="0" w:after="0"/>
        <w:rPr>
          <w:color w:val="000000" w:themeColor="text1"/>
          <w:sz w:val="16"/>
          <w:szCs w:val="16"/>
        </w:rPr>
      </w:pPr>
      <w:r w:rsidRPr="00507A31">
        <w:rPr>
          <w:color w:val="000000" w:themeColor="text1"/>
          <w:sz w:val="16"/>
          <w:szCs w:val="16"/>
        </w:rPr>
        <w:t>1-2 октября 1930 года на заседании РВС СССР был утвержден план опытного строительства самолетов и моторов на 1930/31 г. Одним из пунктов плана предусматривалась постройка ЦАГИ экспериментального истребителя И-12, с предъявлением его на госиспытания 1 июля 1931 года (19172).</w:t>
      </w:r>
    </w:p>
    <w:p w14:paraId="69886A16" w14:textId="77777777" w:rsidR="00DD383B" w:rsidRPr="00507A31" w:rsidRDefault="00DD383B" w:rsidP="00507A31">
      <w:pPr>
        <w:pStyle w:val="rtejustify"/>
        <w:shd w:val="clear" w:color="auto" w:fill="FFFFFF"/>
        <w:spacing w:before="0" w:after="0"/>
        <w:rPr>
          <w:color w:val="000000" w:themeColor="text1"/>
          <w:sz w:val="16"/>
          <w:szCs w:val="16"/>
        </w:rPr>
      </w:pPr>
    </w:p>
    <w:p w14:paraId="315AC3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 г. в утвержденный Реввоенсоветом план опытных работ вошел Р-5 на поплавках. В следующем году военные рассчитывали приобрести первые 8 машин, а всего планировали закупить 300 самолетов (11936).</w:t>
      </w:r>
    </w:p>
    <w:p w14:paraId="02045898" w14:textId="77777777" w:rsidR="00537E5F" w:rsidRPr="00507A31" w:rsidRDefault="00537E5F" w:rsidP="00507A31">
      <w:pPr>
        <w:autoSpaceDE w:val="0"/>
        <w:autoSpaceDN w:val="0"/>
        <w:adjustRightInd w:val="0"/>
        <w:jc w:val="both"/>
        <w:rPr>
          <w:color w:val="000000" w:themeColor="text1"/>
          <w:sz w:val="16"/>
          <w:szCs w:val="16"/>
        </w:rPr>
      </w:pPr>
    </w:p>
    <w:p w14:paraId="7BC761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 года врид начальника 2-го отдела НИИ ВВС Машкевич писал письмо N 374/1299с в 1 секцию НТК.</w:t>
      </w:r>
    </w:p>
    <w:p w14:paraId="2B06E5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сем препровождается сводка результатов испытания опытного самолета Р6 с 2 моторами БМВVIZ.</w:t>
      </w:r>
    </w:p>
    <w:p w14:paraId="4292DE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начато 24.07.30 г.</w:t>
      </w:r>
    </w:p>
    <w:p w14:paraId="175C24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Число дней испытания - 60</w:t>
      </w:r>
    </w:p>
    <w:p w14:paraId="44E3F1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Число полетных дней - 15</w:t>
      </w:r>
    </w:p>
    <w:p w14:paraId="77A7C1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Число полетов - 27</w:t>
      </w:r>
    </w:p>
    <w:p w14:paraId="79C6BF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Конец испытания - 21.09.30 г.</w:t>
      </w:r>
    </w:p>
    <w:p w14:paraId="58AC1E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Р6 опытной постройки ЦАГИ.</w:t>
      </w:r>
    </w:p>
    <w:p w14:paraId="5E1B38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предъявлен для испытаний вторично после переделок внесенных согласно материалов предварительных испытаний.</w:t>
      </w:r>
    </w:p>
    <w:p w14:paraId="555F90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конструкции самолета произведен ряд существенных изменений.</w:t>
      </w:r>
    </w:p>
    <w:p w14:paraId="4E4011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0AEC44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произведенных испытаний самолета Р6 2 БМВVI выявилось, что самолет удовлетворяет предъявленным к нему техническим требованиям и при устранении недочетов может быть рекомендован на вооружение ВВС (3273).</w:t>
      </w:r>
    </w:p>
    <w:p w14:paraId="251A2182" w14:textId="77777777" w:rsidR="00537E5F" w:rsidRPr="00507A31" w:rsidRDefault="00537E5F" w:rsidP="00507A31">
      <w:pPr>
        <w:autoSpaceDE w:val="0"/>
        <w:autoSpaceDN w:val="0"/>
        <w:adjustRightInd w:val="0"/>
        <w:jc w:val="both"/>
        <w:rPr>
          <w:color w:val="000000" w:themeColor="text1"/>
          <w:sz w:val="16"/>
          <w:szCs w:val="16"/>
        </w:rPr>
      </w:pPr>
    </w:p>
    <w:p w14:paraId="768448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 г. состоялось заседание 1 секции НТК (Выписка из журнала N 24с) О результатах вторичного испытания самолета Р6 с 2-мя моторами БМВVI</w:t>
      </w:r>
    </w:p>
    <w:p w14:paraId="4BE018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Врид. начальника НИИ И.И. Машкевич доложил о результатах испытаний самолета Р6 (улучшенного). Испытания производились с 24.07.30 г. по 31.09.30 г.</w:t>
      </w:r>
    </w:p>
    <w:p w14:paraId="6F1001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Постановили:</w:t>
      </w:r>
    </w:p>
    <w:p w14:paraId="540A34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своим летным данным самолет по варианту "А" (многоместный истребитель) техническим требованиям удовлетворяет. Проверку выполнения самолетом боевых эволюций НИИ не произвел.</w:t>
      </w:r>
    </w:p>
    <w:p w14:paraId="267BB7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Вопрос о принятии самолета на вооружение решить совместно с 1 Управлением УВВС по представлении НИИ дополнительных материалов (3273).</w:t>
      </w:r>
    </w:p>
    <w:p w14:paraId="73454991" w14:textId="77777777" w:rsidR="00537E5F" w:rsidRPr="00507A31" w:rsidRDefault="00537E5F" w:rsidP="00507A31">
      <w:pPr>
        <w:autoSpaceDE w:val="0"/>
        <w:autoSpaceDN w:val="0"/>
        <w:adjustRightInd w:val="0"/>
        <w:jc w:val="both"/>
        <w:rPr>
          <w:color w:val="000000" w:themeColor="text1"/>
          <w:sz w:val="16"/>
          <w:szCs w:val="16"/>
        </w:rPr>
      </w:pPr>
    </w:p>
    <w:p w14:paraId="442433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1 октября 1930 г. в наличии имелось 18 НD.55, еще два экземпляра доставили до конца года. Самолеты получили обозначение КР-1 (корабельный разведчик - первый) и были распреде</w:t>
      </w:r>
      <w:r w:rsidRPr="00507A31">
        <w:rPr>
          <w:color w:val="000000" w:themeColor="text1"/>
          <w:sz w:val="16"/>
          <w:szCs w:val="16"/>
        </w:rPr>
        <w:softHyphen/>
        <w:t>лены между Черноморским и Балтийским флотами. На Балтике КР-1 понача</w:t>
      </w:r>
      <w:r w:rsidRPr="00507A31">
        <w:rPr>
          <w:color w:val="000000" w:themeColor="text1"/>
          <w:sz w:val="16"/>
          <w:szCs w:val="16"/>
        </w:rPr>
        <w:softHyphen/>
        <w:t>лу вошли в состав 51-го разведывательного авиаотряда, базирующегося в Ора</w:t>
      </w:r>
      <w:r w:rsidRPr="00507A31">
        <w:rPr>
          <w:color w:val="000000" w:themeColor="text1"/>
          <w:sz w:val="16"/>
          <w:szCs w:val="16"/>
        </w:rPr>
        <w:softHyphen/>
        <w:t>ниенбауме, а позднее были определены в корабельные звенья линкоров «Ма</w:t>
      </w:r>
      <w:r w:rsidRPr="00507A31">
        <w:rPr>
          <w:color w:val="000000" w:themeColor="text1"/>
          <w:sz w:val="16"/>
          <w:szCs w:val="16"/>
        </w:rPr>
        <w:softHyphen/>
        <w:t>рат» и «Октябрьская Революция».</w:t>
      </w:r>
    </w:p>
    <w:p w14:paraId="3BD641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Черном море КР-1 включили в состав корабельных звеньев линкора «Парижская Коммуна», крейсеров «Профинтерн», «Червона Украина» и «Красный Кавказ» (11107).</w:t>
      </w:r>
    </w:p>
    <w:p w14:paraId="25AD07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A07AB39" w14:textId="77777777" w:rsidR="00032649" w:rsidRPr="00507A31" w:rsidRDefault="00032649" w:rsidP="00507A31">
      <w:pPr>
        <w:jc w:val="both"/>
        <w:rPr>
          <w:color w:val="000000" w:themeColor="text1"/>
          <w:sz w:val="16"/>
          <w:szCs w:val="16"/>
        </w:rPr>
      </w:pPr>
      <w:r w:rsidRPr="00507A31">
        <w:rPr>
          <w:color w:val="000000" w:themeColor="text1"/>
          <w:sz w:val="16"/>
          <w:szCs w:val="16"/>
        </w:rPr>
        <w:t>К 1 октября 1930 г. в наличии имелось 18 Н0.55, еще два экземпляра поступили до кон</w:t>
      </w:r>
      <w:r w:rsidRPr="00507A31">
        <w:rPr>
          <w:color w:val="000000" w:themeColor="text1"/>
          <w:sz w:val="16"/>
          <w:szCs w:val="16"/>
        </w:rPr>
        <w:softHyphen/>
        <w:t>ца года. Самолеты получили советское обозна</w:t>
      </w:r>
      <w:r w:rsidRPr="00507A31">
        <w:rPr>
          <w:color w:val="000000" w:themeColor="text1"/>
          <w:sz w:val="16"/>
          <w:szCs w:val="16"/>
        </w:rPr>
        <w:softHyphen/>
        <w:t>чение КР-1 (Корабельный разведчик — пер</w:t>
      </w:r>
      <w:r w:rsidRPr="00507A31">
        <w:rPr>
          <w:color w:val="000000" w:themeColor="text1"/>
          <w:sz w:val="16"/>
          <w:szCs w:val="16"/>
        </w:rPr>
        <w:softHyphen/>
        <w:t>вый) и были распределены почти поровну между Черноморским и Балтийским флотами. На Балтике КР-1 поначалу вошли в состав 51- го разведывательного авиаотряда, базирующе</w:t>
      </w:r>
      <w:r w:rsidRPr="00507A31">
        <w:rPr>
          <w:color w:val="000000" w:themeColor="text1"/>
          <w:sz w:val="16"/>
          <w:szCs w:val="16"/>
        </w:rPr>
        <w:softHyphen/>
        <w:t>гося в Ораниенбауме, а позднее были опреде</w:t>
      </w:r>
      <w:r w:rsidRPr="00507A31">
        <w:rPr>
          <w:color w:val="000000" w:themeColor="text1"/>
          <w:sz w:val="16"/>
          <w:szCs w:val="16"/>
        </w:rPr>
        <w:softHyphen/>
        <w:t>лены в образованные корабельные звенья лин</w:t>
      </w:r>
      <w:r w:rsidRPr="00507A31">
        <w:rPr>
          <w:color w:val="000000" w:themeColor="text1"/>
          <w:sz w:val="16"/>
          <w:szCs w:val="16"/>
        </w:rPr>
        <w:softHyphen/>
        <w:t>коров «Марат» и «Октябрьская Революция».</w:t>
      </w:r>
    </w:p>
    <w:p w14:paraId="1340A557" w14:textId="77777777" w:rsidR="00032649" w:rsidRPr="00507A31" w:rsidRDefault="00032649" w:rsidP="00507A31">
      <w:pPr>
        <w:jc w:val="both"/>
        <w:rPr>
          <w:color w:val="000000" w:themeColor="text1"/>
          <w:sz w:val="16"/>
          <w:szCs w:val="16"/>
        </w:rPr>
      </w:pPr>
      <w:r w:rsidRPr="00507A31">
        <w:rPr>
          <w:color w:val="000000" w:themeColor="text1"/>
          <w:sz w:val="16"/>
          <w:szCs w:val="16"/>
        </w:rPr>
        <w:t>На Черном море КР-1 включили в состав корабельных звеньев линкора «Парижская Коммуна», крейсеров «Профинтерн», «Чер</w:t>
      </w:r>
      <w:r w:rsidRPr="00507A31">
        <w:rPr>
          <w:color w:val="000000" w:themeColor="text1"/>
          <w:sz w:val="16"/>
          <w:szCs w:val="16"/>
        </w:rPr>
        <w:softHyphen/>
        <w:t>вона Украина» и «Красный Кавказ».</w:t>
      </w:r>
    </w:p>
    <w:p w14:paraId="3213C95B" w14:textId="77777777" w:rsidR="00032649" w:rsidRPr="00507A31" w:rsidRDefault="00032649" w:rsidP="00507A31">
      <w:pPr>
        <w:jc w:val="both"/>
        <w:rPr>
          <w:color w:val="000000" w:themeColor="text1"/>
          <w:sz w:val="16"/>
          <w:szCs w:val="16"/>
        </w:rPr>
      </w:pPr>
      <w:r w:rsidRPr="00507A31">
        <w:rPr>
          <w:color w:val="000000" w:themeColor="text1"/>
          <w:sz w:val="16"/>
          <w:szCs w:val="16"/>
        </w:rPr>
        <w:t>По состоянию на 1 января 1931 г. в составе морской авиации числилось 19 КР-1. 12 са</w:t>
      </w:r>
      <w:r w:rsidRPr="00507A31">
        <w:rPr>
          <w:color w:val="000000" w:themeColor="text1"/>
          <w:sz w:val="16"/>
          <w:szCs w:val="16"/>
        </w:rPr>
        <w:softHyphen/>
        <w:t>молетов находились на Балтике, 7 — на Чер</w:t>
      </w:r>
      <w:r w:rsidRPr="00507A31">
        <w:rPr>
          <w:color w:val="000000" w:themeColor="text1"/>
          <w:sz w:val="16"/>
          <w:szCs w:val="16"/>
        </w:rPr>
        <w:softHyphen/>
        <w:t>ном море, причем одну машину приписали к Опытному морскому отделу (ОМО) НИИ ВВС в Севастополе.</w:t>
      </w:r>
    </w:p>
    <w:p w14:paraId="3C207E3A" w14:textId="77777777" w:rsidR="00032649" w:rsidRPr="00507A31" w:rsidRDefault="00032649" w:rsidP="00507A31">
      <w:pPr>
        <w:jc w:val="both"/>
        <w:rPr>
          <w:color w:val="000000" w:themeColor="text1"/>
          <w:sz w:val="16"/>
          <w:szCs w:val="16"/>
        </w:rPr>
      </w:pPr>
      <w:r w:rsidRPr="00507A31">
        <w:rPr>
          <w:color w:val="000000" w:themeColor="text1"/>
          <w:sz w:val="16"/>
          <w:szCs w:val="16"/>
        </w:rPr>
        <w:t>Проведенные дополнительные полетные испытания КР-1 выявили достаточно боль</w:t>
      </w:r>
      <w:r w:rsidRPr="00507A31">
        <w:rPr>
          <w:color w:val="000000" w:themeColor="text1"/>
          <w:sz w:val="16"/>
          <w:szCs w:val="16"/>
        </w:rPr>
        <w:softHyphen/>
        <w:t>шое количество дефектов, которые при</w:t>
      </w:r>
      <w:r w:rsidRPr="00507A31">
        <w:rPr>
          <w:color w:val="000000" w:themeColor="text1"/>
          <w:sz w:val="16"/>
          <w:szCs w:val="16"/>
        </w:rPr>
        <w:softHyphen/>
        <w:t>шлось устранять уже в процессе эксплуата</w:t>
      </w:r>
      <w:r w:rsidRPr="00507A31">
        <w:rPr>
          <w:color w:val="000000" w:themeColor="text1"/>
          <w:sz w:val="16"/>
          <w:szCs w:val="16"/>
        </w:rPr>
        <w:softHyphen/>
        <w:t>ции. Отмечались недостаточная герметич</w:t>
      </w:r>
      <w:r w:rsidRPr="00507A31">
        <w:rPr>
          <w:color w:val="000000" w:themeColor="text1"/>
          <w:sz w:val="16"/>
          <w:szCs w:val="16"/>
        </w:rPr>
        <w:softHyphen/>
        <w:t>ность корпуса летающей лодки, течь топлив</w:t>
      </w:r>
      <w:r w:rsidRPr="00507A31">
        <w:rPr>
          <w:color w:val="000000" w:themeColor="text1"/>
          <w:sz w:val="16"/>
          <w:szCs w:val="16"/>
        </w:rPr>
        <w:softHyphen/>
        <w:t>ных баков, неисправность приборов, затруд</w:t>
      </w:r>
      <w:r w:rsidRPr="00507A31">
        <w:rPr>
          <w:color w:val="000000" w:themeColor="text1"/>
          <w:sz w:val="16"/>
          <w:szCs w:val="16"/>
        </w:rPr>
        <w:softHyphen/>
        <w:t>ненное складывание крыльев.</w:t>
      </w:r>
    </w:p>
    <w:p w14:paraId="45974C90" w14:textId="77777777" w:rsidR="00032649" w:rsidRPr="00507A31" w:rsidRDefault="00032649" w:rsidP="00507A31">
      <w:pPr>
        <w:jc w:val="both"/>
        <w:rPr>
          <w:color w:val="000000" w:themeColor="text1"/>
          <w:sz w:val="16"/>
          <w:szCs w:val="16"/>
        </w:rPr>
      </w:pPr>
      <w:r w:rsidRPr="00507A31">
        <w:rPr>
          <w:color w:val="000000" w:themeColor="text1"/>
          <w:sz w:val="16"/>
          <w:szCs w:val="16"/>
        </w:rPr>
        <w:t>Установка вооружения велась одновремен</w:t>
      </w:r>
      <w:r w:rsidRPr="00507A31">
        <w:rPr>
          <w:color w:val="000000" w:themeColor="text1"/>
          <w:sz w:val="16"/>
          <w:szCs w:val="16"/>
        </w:rPr>
        <w:softHyphen/>
        <w:t>но с доработками самолета в начале 1931 г. Пулемет ПВ-1 калибра 7,62 мм устанавливал</w:t>
      </w:r>
      <w:r w:rsidRPr="00507A31">
        <w:rPr>
          <w:color w:val="000000" w:themeColor="text1"/>
          <w:sz w:val="16"/>
          <w:szCs w:val="16"/>
        </w:rPr>
        <w:softHyphen/>
        <w:t>ся перед летчиком слева в специальной выем</w:t>
      </w:r>
      <w:r w:rsidRPr="00507A31">
        <w:rPr>
          <w:color w:val="000000" w:themeColor="text1"/>
          <w:sz w:val="16"/>
          <w:szCs w:val="16"/>
        </w:rPr>
        <w:softHyphen/>
        <w:t>ке фюзеляжа. Стандартную оборонительную турель ТУР-6 поначалу предполагалось осна</w:t>
      </w:r>
      <w:r w:rsidRPr="00507A31">
        <w:rPr>
          <w:color w:val="000000" w:themeColor="text1"/>
          <w:sz w:val="16"/>
          <w:szCs w:val="16"/>
        </w:rPr>
        <w:softHyphen/>
        <w:t>стить одним пулеметом ДА (Дегтярева, авиа</w:t>
      </w:r>
      <w:r w:rsidRPr="00507A31">
        <w:rPr>
          <w:color w:val="000000" w:themeColor="text1"/>
          <w:sz w:val="16"/>
          <w:szCs w:val="16"/>
        </w:rPr>
        <w:softHyphen/>
        <w:t>ционный) калибра 7,62 мм, так как имелись опасения в слишком задней центровке. Одна</w:t>
      </w:r>
      <w:r w:rsidRPr="00507A31">
        <w:rPr>
          <w:color w:val="000000" w:themeColor="text1"/>
          <w:sz w:val="16"/>
          <w:szCs w:val="16"/>
        </w:rPr>
        <w:softHyphen/>
        <w:t>ко позднее все самолеты оснастили штатной спаренной установкой пулеметов ДА (12301).</w:t>
      </w:r>
    </w:p>
    <w:p w14:paraId="586113D1" w14:textId="77777777" w:rsidR="00032649" w:rsidRPr="00507A31" w:rsidRDefault="00032649" w:rsidP="00507A31">
      <w:pPr>
        <w:jc w:val="both"/>
        <w:rPr>
          <w:color w:val="000000" w:themeColor="text1"/>
          <w:sz w:val="16"/>
          <w:szCs w:val="16"/>
        </w:rPr>
      </w:pPr>
      <w:r w:rsidRPr="00507A31">
        <w:rPr>
          <w:color w:val="000000" w:themeColor="text1"/>
          <w:sz w:val="16"/>
          <w:szCs w:val="16"/>
        </w:rPr>
        <w:t>Летные и технические характеристики КР-1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59"/>
        <w:gridCol w:w="1185"/>
      </w:tblGrid>
      <w:tr w:rsidR="00E371BA" w:rsidRPr="00507A31" w14:paraId="3B9A5085" w14:textId="77777777" w:rsidTr="00032649">
        <w:tc>
          <w:tcPr>
            <w:tcW w:w="3459" w:type="dxa"/>
          </w:tcPr>
          <w:p w14:paraId="1F421B29"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Размах верхнего крыла (м)</w:t>
            </w:r>
          </w:p>
        </w:tc>
        <w:tc>
          <w:tcPr>
            <w:tcW w:w="1185" w:type="dxa"/>
          </w:tcPr>
          <w:p w14:paraId="4618AC64"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15,0</w:t>
            </w:r>
          </w:p>
        </w:tc>
      </w:tr>
      <w:tr w:rsidR="00E371BA" w:rsidRPr="00507A31" w14:paraId="054489FC" w14:textId="77777777" w:rsidTr="00032649">
        <w:tc>
          <w:tcPr>
            <w:tcW w:w="3459" w:type="dxa"/>
          </w:tcPr>
          <w:p w14:paraId="2A0FD024"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Длина в линии полета (м)</w:t>
            </w:r>
          </w:p>
        </w:tc>
        <w:tc>
          <w:tcPr>
            <w:tcW w:w="1185" w:type="dxa"/>
          </w:tcPr>
          <w:p w14:paraId="3BB0B60B"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10,5</w:t>
            </w:r>
          </w:p>
        </w:tc>
      </w:tr>
      <w:tr w:rsidR="00E371BA" w:rsidRPr="00507A31" w14:paraId="41367B0C" w14:textId="77777777" w:rsidTr="00032649">
        <w:tc>
          <w:tcPr>
            <w:tcW w:w="3459" w:type="dxa"/>
          </w:tcPr>
          <w:p w14:paraId="316E2EB0"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Площадь крыльев (м</w:t>
            </w:r>
            <w:r w:rsidRPr="00507A31">
              <w:rPr>
                <w:rFonts w:ascii="Times New Roman" w:hAnsi="Times New Roman"/>
                <w:color w:val="000000" w:themeColor="text1"/>
                <w:sz w:val="16"/>
                <w:szCs w:val="16"/>
                <w:vertAlign w:val="superscript"/>
                <w:lang w:val="ru-RU"/>
              </w:rPr>
              <w:t>2</w:t>
            </w:r>
            <w:r w:rsidRPr="00507A31">
              <w:rPr>
                <w:rFonts w:ascii="Times New Roman" w:hAnsi="Times New Roman"/>
                <w:color w:val="000000" w:themeColor="text1"/>
                <w:sz w:val="16"/>
                <w:szCs w:val="16"/>
                <w:lang w:val="ru-RU"/>
              </w:rPr>
              <w:t>)</w:t>
            </w:r>
          </w:p>
        </w:tc>
        <w:tc>
          <w:tcPr>
            <w:tcW w:w="1185" w:type="dxa"/>
          </w:tcPr>
          <w:p w14:paraId="6B01DADF"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56,9</w:t>
            </w:r>
          </w:p>
        </w:tc>
      </w:tr>
      <w:tr w:rsidR="00E371BA" w:rsidRPr="00507A31" w14:paraId="7DBDD31A" w14:textId="77777777" w:rsidTr="00032649">
        <w:tc>
          <w:tcPr>
            <w:tcW w:w="3459" w:type="dxa"/>
          </w:tcPr>
          <w:p w14:paraId="621B53B3"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Вес пустого (кг)</w:t>
            </w:r>
          </w:p>
        </w:tc>
        <w:tc>
          <w:tcPr>
            <w:tcW w:w="1185" w:type="dxa"/>
          </w:tcPr>
          <w:p w14:paraId="4D66D9C9"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1550</w:t>
            </w:r>
          </w:p>
        </w:tc>
      </w:tr>
      <w:tr w:rsidR="00E371BA" w:rsidRPr="00507A31" w14:paraId="76E80F2A" w14:textId="77777777" w:rsidTr="00032649">
        <w:tc>
          <w:tcPr>
            <w:tcW w:w="3459" w:type="dxa"/>
          </w:tcPr>
          <w:p w14:paraId="7658798A"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Полетный вес (кг)</w:t>
            </w:r>
          </w:p>
        </w:tc>
        <w:tc>
          <w:tcPr>
            <w:tcW w:w="1185" w:type="dxa"/>
          </w:tcPr>
          <w:p w14:paraId="3B3B8EF5"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2200</w:t>
            </w:r>
          </w:p>
        </w:tc>
      </w:tr>
      <w:tr w:rsidR="00E371BA" w:rsidRPr="00507A31" w14:paraId="18E97D7D" w14:textId="77777777" w:rsidTr="00032649">
        <w:tc>
          <w:tcPr>
            <w:tcW w:w="3459" w:type="dxa"/>
          </w:tcPr>
          <w:p w14:paraId="3F9AA702"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Максимальная скорость (км/ч)</w:t>
            </w:r>
          </w:p>
        </w:tc>
        <w:tc>
          <w:tcPr>
            <w:tcW w:w="1185" w:type="dxa"/>
          </w:tcPr>
          <w:p w14:paraId="2B05CF2B"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194</w:t>
            </w:r>
          </w:p>
        </w:tc>
      </w:tr>
      <w:tr w:rsidR="00E371BA" w:rsidRPr="00507A31" w14:paraId="55EAD145" w14:textId="77777777" w:rsidTr="00032649">
        <w:tc>
          <w:tcPr>
            <w:tcW w:w="3459" w:type="dxa"/>
          </w:tcPr>
          <w:p w14:paraId="507FE838"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Время набора высоты 2000 м (мин)</w:t>
            </w:r>
          </w:p>
        </w:tc>
        <w:tc>
          <w:tcPr>
            <w:tcW w:w="1185" w:type="dxa"/>
          </w:tcPr>
          <w:p w14:paraId="55FC94F1"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9,0</w:t>
            </w:r>
          </w:p>
        </w:tc>
      </w:tr>
      <w:tr w:rsidR="00E371BA" w:rsidRPr="00507A31" w14:paraId="4CA07FC3" w14:textId="77777777" w:rsidTr="00032649">
        <w:tc>
          <w:tcPr>
            <w:tcW w:w="3459" w:type="dxa"/>
          </w:tcPr>
          <w:p w14:paraId="2C6B173D"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Потолок (м)</w:t>
            </w:r>
          </w:p>
        </w:tc>
        <w:tc>
          <w:tcPr>
            <w:tcW w:w="1185" w:type="dxa"/>
          </w:tcPr>
          <w:p w14:paraId="23674A77" w14:textId="77777777" w:rsidR="00032649" w:rsidRPr="00507A31" w:rsidRDefault="00032649" w:rsidP="00507A31">
            <w:pPr>
              <w:pStyle w:val="2f"/>
              <w:ind w:left="0"/>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4800</w:t>
            </w:r>
          </w:p>
        </w:tc>
      </w:tr>
      <w:tr w:rsidR="00E371BA" w:rsidRPr="00507A31" w14:paraId="369FC21D" w14:textId="77777777" w:rsidTr="00032649">
        <w:tc>
          <w:tcPr>
            <w:tcW w:w="3459" w:type="dxa"/>
          </w:tcPr>
          <w:p w14:paraId="44522F16" w14:textId="77777777" w:rsidR="00032649" w:rsidRPr="00507A31" w:rsidRDefault="00032649" w:rsidP="00507A31">
            <w:pPr>
              <w:jc w:val="both"/>
              <w:rPr>
                <w:color w:val="000000" w:themeColor="text1"/>
                <w:sz w:val="16"/>
                <w:szCs w:val="16"/>
              </w:rPr>
            </w:pPr>
            <w:r w:rsidRPr="00507A31">
              <w:rPr>
                <w:color w:val="000000" w:themeColor="text1"/>
                <w:sz w:val="16"/>
                <w:szCs w:val="16"/>
              </w:rPr>
              <w:t>Дальность полета (км)</w:t>
            </w:r>
          </w:p>
        </w:tc>
        <w:tc>
          <w:tcPr>
            <w:tcW w:w="1185" w:type="dxa"/>
          </w:tcPr>
          <w:p w14:paraId="1FE53144" w14:textId="77777777" w:rsidR="00032649" w:rsidRPr="00507A31" w:rsidRDefault="00032649" w:rsidP="00507A31">
            <w:pPr>
              <w:jc w:val="both"/>
              <w:rPr>
                <w:color w:val="000000" w:themeColor="text1"/>
                <w:sz w:val="16"/>
                <w:szCs w:val="16"/>
              </w:rPr>
            </w:pPr>
            <w:r w:rsidRPr="00507A31">
              <w:rPr>
                <w:color w:val="000000" w:themeColor="text1"/>
                <w:sz w:val="16"/>
                <w:szCs w:val="16"/>
              </w:rPr>
              <w:t>800</w:t>
            </w:r>
          </w:p>
        </w:tc>
      </w:tr>
    </w:tbl>
    <w:p w14:paraId="29E6A628" w14:textId="77777777" w:rsidR="00032649" w:rsidRPr="00507A31" w:rsidRDefault="00032649" w:rsidP="00507A31">
      <w:pPr>
        <w:jc w:val="both"/>
        <w:rPr>
          <w:color w:val="000000" w:themeColor="text1"/>
          <w:sz w:val="16"/>
          <w:szCs w:val="16"/>
        </w:rPr>
      </w:pPr>
      <w:r w:rsidRPr="00507A31">
        <w:rPr>
          <w:color w:val="000000" w:themeColor="text1"/>
          <w:sz w:val="16"/>
          <w:szCs w:val="16"/>
        </w:rPr>
        <w:t>(12301).</w:t>
      </w:r>
    </w:p>
    <w:p w14:paraId="10811B49" w14:textId="77777777" w:rsidR="00032649" w:rsidRPr="00507A31" w:rsidRDefault="00032649" w:rsidP="00507A31">
      <w:pPr>
        <w:jc w:val="both"/>
        <w:rPr>
          <w:color w:val="000000" w:themeColor="text1"/>
          <w:sz w:val="16"/>
          <w:szCs w:val="16"/>
        </w:rPr>
      </w:pPr>
    </w:p>
    <w:p w14:paraId="44006F53" w14:textId="77777777" w:rsidR="00032649" w:rsidRPr="00507A31" w:rsidRDefault="00032649" w:rsidP="00507A31">
      <w:pPr>
        <w:pStyle w:val="rtejustify"/>
        <w:spacing w:before="0" w:after="0"/>
        <w:rPr>
          <w:color w:val="000000" w:themeColor="text1"/>
          <w:sz w:val="16"/>
          <w:szCs w:val="16"/>
        </w:rPr>
      </w:pPr>
      <w:r w:rsidRPr="00507A31">
        <w:rPr>
          <w:rStyle w:val="af0"/>
          <w:i w:val="0"/>
          <w:color w:val="000000" w:themeColor="text1"/>
          <w:sz w:val="16"/>
          <w:szCs w:val="16"/>
        </w:rPr>
        <w:t>1</w:t>
      </w:r>
      <w:r w:rsidRPr="00507A31">
        <w:rPr>
          <w:rStyle w:val="af0"/>
          <w:i w:val="0"/>
          <w:color w:val="000000" w:themeColor="text1"/>
          <w:sz w:val="16"/>
          <w:szCs w:val="16"/>
        </w:rPr>
        <w:noBreakHyphen/>
        <w:t>2 октября 1930 г. Протокол Реввоенсовета № 21.</w:t>
      </w:r>
      <w:r w:rsidRPr="00507A31">
        <w:rPr>
          <w:color w:val="000000" w:themeColor="text1"/>
          <w:sz w:val="16"/>
          <w:szCs w:val="16"/>
        </w:rPr>
        <w:t xml:space="preserve"> 1. О плане опытного строительства ВВС РККА. (Шапошников). 11. Об авиабомбах. (Ефимов, Меженинов). 12. О качественном состоянии бездымных порохов. (Симонов). 14. О выполнении постановления РВСС от 26 августа 1930 г. о ходе работ по модернизации артвооружения: а) об усилении артиллерии горных дивизий; б) о стальных снарядах; в) о дульных тормозах к 122</w:t>
      </w:r>
      <w:r w:rsidRPr="00507A31">
        <w:rPr>
          <w:color w:val="000000" w:themeColor="text1"/>
          <w:sz w:val="16"/>
          <w:szCs w:val="16"/>
        </w:rPr>
        <w:noBreakHyphen/>
        <w:t>мм и 152</w:t>
      </w:r>
      <w:r w:rsidRPr="00507A31">
        <w:rPr>
          <w:color w:val="000000" w:themeColor="text1"/>
          <w:sz w:val="16"/>
          <w:szCs w:val="16"/>
        </w:rPr>
        <w:noBreakHyphen/>
        <w:t>мм гаубицам. (Симонов). 16. Программа судостроения военного времени. (Муклевич). 17. О самоходных установках. (Халепский). (РГВА. Ф. 4. Оп. 18. Д. 19. Л. 355</w:t>
      </w:r>
      <w:r w:rsidRPr="00507A31">
        <w:rPr>
          <w:color w:val="000000" w:themeColor="text1"/>
          <w:sz w:val="16"/>
          <w:szCs w:val="16"/>
        </w:rPr>
        <w:noBreakHyphen/>
        <w:t>356, 357</w:t>
      </w:r>
      <w:r w:rsidRPr="00507A31">
        <w:rPr>
          <w:color w:val="000000" w:themeColor="text1"/>
          <w:sz w:val="16"/>
          <w:szCs w:val="16"/>
        </w:rPr>
        <w:noBreakHyphen/>
        <w:t>358, 359</w:t>
      </w:r>
      <w:r w:rsidRPr="00507A31">
        <w:rPr>
          <w:color w:val="000000" w:themeColor="text1"/>
          <w:sz w:val="16"/>
          <w:szCs w:val="16"/>
        </w:rPr>
        <w:noBreakHyphen/>
        <w:t>361) (12342).</w:t>
      </w:r>
    </w:p>
    <w:p w14:paraId="5FBB98A5" w14:textId="77777777" w:rsidR="00032649" w:rsidRPr="00507A31" w:rsidRDefault="00032649" w:rsidP="00507A31">
      <w:pPr>
        <w:pStyle w:val="rtejustify"/>
        <w:spacing w:before="0" w:after="0"/>
        <w:rPr>
          <w:color w:val="000000" w:themeColor="text1"/>
          <w:sz w:val="16"/>
          <w:szCs w:val="16"/>
        </w:rPr>
      </w:pPr>
    </w:p>
    <w:p w14:paraId="3ADBD5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Доклад о состоянии опытного строительства УВВС на 1 октября 1930 года</w:t>
      </w:r>
    </w:p>
    <w:p w14:paraId="1E9858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По опытному моторостроению:</w:t>
      </w:r>
    </w:p>
    <w:p w14:paraId="558D90C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М-32 (мощность 600/720 л.с. высотность 5000 м, вес 400 кг срок предъявления на гос. испытания утвержден Р3 СТО 1 января 1931 года), начал проектироваться заводом 24 в мае 1930 года. После частичного изготовления эскизной компановки завод по своей инициативе прекратил дальнейшие работы по этому мотору и перешел к модификации мотора М-19 на М-19а, определив мощность его 500 л.с. при весе 450 кг и высотность 5000 м со сроком предъявления на гос. испытания 1 мая 1931 года. Постановлением РВС от 1-2 октября 1930 года мотор М-19а включен в план опытного строительства с отнесением его к работам 1 очереди. На 1 октября 1930 года по этому мотору спроектированы новые блоки с 4-х клапанной головкой и мощный импеллер, причем как в проект блоков, так и импеллера вносятся следующие изменения: в клапанной головке блоков выхлоп делается не спаренный на 2 цилиндра, а на каждый цилиндр в отдельности и передача к импеллеру делается более упругой. Все остальные детали мотора М-19а остаются те же, что и на моторе М-19.</w:t>
      </w:r>
    </w:p>
    <w:p w14:paraId="32F8E0AA"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М-38 (мощность 600/720 л.с., высотность 5000 м, вес 380 кг, срок предъявления на гос. испытания утвержден Р3 СТО 1 января 1931 года), начал проектироваться заводом 24 в мае 1930 года. Здесь также завод предусматривает создание переходного типа между М-15 и М-38 в виде мотора М-15а, определив мощность его 500 л.с. при весе 400 кг и высотности 4000 м со сроком предъявления на гос. испытания 1 мая 1931 года. Постановлением РВС от 1-2 октября 1930 года мотор М-15а включен в план опытного строительства с отнесением его к работам 1 очереди. На 1 октября 1930 года по этому мотору спроектирован новый импеллер, который частично переделывается. Все остальные детали мотора М-15а остаются те же, что на моторе М-15.</w:t>
      </w:r>
    </w:p>
    <w:p w14:paraId="10CFAB9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 xml:space="preserve">Мотор М-35 (мощность 1250/1500 л.с., высотность 5000 м, вес 600 кг, срок предъявления на гос. испытания утвержден Р3 СТО 1 июня 1931 года). Над этим мотором ВАО совершенно не работало и включило в план опытного строительства взамен его мотор ФЭД 1000 л.с. при весе 50 кг и высотности 4000 м со сроком предъявления </w:t>
      </w:r>
      <w:r w:rsidRPr="00507A31">
        <w:rPr>
          <w:color w:val="000000" w:themeColor="text1"/>
          <w:sz w:val="16"/>
          <w:szCs w:val="16"/>
        </w:rPr>
        <w:lastRenderedPageBreak/>
        <w:t>на гос. испытания 1 января 1931 года. Постановлением РВС от 1-2 октября 1930 года мотор ФЭД включен в план лпытного строительства. На 1 октября 1931 года мотор ФЭД был на заводских испытаниях, причем за весь пройденный этап заводских испытаний выявились следующие дефекты мотора:</w:t>
      </w:r>
    </w:p>
    <w:p w14:paraId="09F634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трещины и течь блоков;</w:t>
      </w:r>
    </w:p>
    <w:p w14:paraId="453942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чрезмерный расход масла;</w:t>
      </w:r>
    </w:p>
    <w:p w14:paraId="40C0BF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поломки импеллеров;</w:t>
      </w:r>
    </w:p>
    <w:p w14:paraId="3D8E79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трещины баббита в нижних головках шатунов;</w:t>
      </w:r>
    </w:p>
    <w:p w14:paraId="1DC99E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 ненадежность шатунного сочленения.</w:t>
      </w:r>
    </w:p>
    <w:p w14:paraId="5AD891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основе указанных дефектов завод производит конструктивные переделки картера, импеллера и шатунного сочленения, в силу чего мотор не может быть признан конструктивно и производственно законченным.</w:t>
      </w:r>
    </w:p>
    <w:p w14:paraId="4158D9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Тем же постановлением РВС от 1-2 октября 1930 года проектирование и постройка мотора М-35 сняты с ВАО и возложены на ЦАГИ.</w:t>
      </w:r>
    </w:p>
    <w:p w14:paraId="0890C34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М-34 (мощность 750/900 л.с., высотность 5000 м, вес 480 кг, срок предъявления на гос. испытания утвержден Р3 СТО 1 января 1931 года). Предварительный проект мотора был рассмотрен на специальном совещании при УВВС 15 января 1930 года, причем НАМИ было предложено окончательно доработать проект в духе указаний совещания. На указанном совещании был по согласованию с ВАО установлен порядок реализации мотора, по которому ВАО обязалось принимать его к постройке на завод 26. Однако далее начались длительные переговоры и переписка между ВАО и НАМИ по вопросу заключения договора, в результате чего было потеряно около 6 месяцев. Только в июне 1930 года под усиленным нажимом УВВС договор между ВАО и НАМИ быо оформлен. На 1 октября 1930 года по мотору М-34 выполнена следующая работа: изготовлены модели головки мотора, цилиндровой рубашки и обеих половин картера. Отлит опытный картер и цилиндровый блок, причем последний поступил в механическую обработку. Поковки коленчатых валов ожидаются в ближайшие дни. В механической обработке находятся также гильзы цилиндров; проводится технологическая разработка мотора и подготавливаются экспериментальные испытания блока М-34 на картере мотора Юнкерс Л-5. Темп работ по указанному мотору явно недостаточен.</w:t>
      </w:r>
    </w:p>
    <w:p w14:paraId="34A0678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М-19 вне плана Р3 СТО (мощность 525 л.с., высотность 2500 м, вес 475 кг, срок предъявления на гос. испытания 1 июня 1930 года).</w:t>
      </w:r>
    </w:p>
    <w:p w14:paraId="08AFFB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 проектироваться заводом 24 в октябре 1928 года. Заводские испытания его начались в январе 1930 года. С этого времени идет устранение различных дефектов мотора, из числа которых заводом уже устранены следующие наиболее существенные дефекты: трещины рубашек блоков цилиндров, поломка коленчатых валов и др.). На 1 октября 1930 года наиболее существенными дефектами мотора остаются:</w:t>
      </w:r>
    </w:p>
    <w:p w14:paraId="6260D68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Трещины в клапанной головке цилиндра блока.</w:t>
      </w:r>
    </w:p>
    <w:p w14:paraId="381265D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Поломки нагнетателя и привода к нему.</w:t>
      </w:r>
    </w:p>
    <w:p w14:paraId="34DA95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Необходимо отметить, что завод до сего времени не имеет специальной установки для испытания нагнетателей. Сложность решения вопроса о нагнетателе может служить причиной длительной задержки в доработке указанного мотора. К настоящему времени мотор еще не прошел длительных заводских испытаний и на 1 октября 1930 года является недоработанным для пуска в серийное производство.</w:t>
      </w:r>
    </w:p>
    <w:p w14:paraId="40B7236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М-15 вне плана Р3 СТО (мощность 450 л.с., высотность 3000 м, вес 410 кг, срок предъявления на гос. испытания 1 июня 1930 года).</w:t>
      </w:r>
    </w:p>
    <w:p w14:paraId="4CD612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 проектироваться заводом 24 в октябре 1926 года. Заводские испытания начал в июле 1928 года. За это время завод производил испытание и доработку мотора и добился устранения таких дефектов, как поломки коленчатого вала, мотор облегчен на 35 кг, улучшена конструкция головки цилиндра и др. На 1 октября 1930 года главнейшими дефектами мотора остаются:</w:t>
      </w:r>
    </w:p>
    <w:p w14:paraId="4BA3555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Ненадежность шатунного механизма (выплавление баббита нижней головки).</w:t>
      </w:r>
    </w:p>
    <w:p w14:paraId="540CE35C"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Ненадежность нагнетателя (поломки турбинв и привода).</w:t>
      </w:r>
    </w:p>
    <w:p w14:paraId="0D7B1F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Над нижней головкой шатуна завод до сих пор мало работал и только в последнее время развернул работы. В отношении нагнетателя дело обстоит также как у мотора М-19. До сего времени мотор не прошел длительных заводских испытаний. До устранения обоих указанных выше основных дефектов, мотор не может быть пущен в массовое (в сотнях экземпляров) производство.</w:t>
      </w:r>
    </w:p>
    <w:p w14:paraId="477764D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М-26 (мощность 300 л.с., высотности нет, вес 300 кг, срок предъявления на гос. испытания 1 июня 1930 года).</w:t>
      </w:r>
    </w:p>
    <w:p w14:paraId="4A6400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 проектироваться и строиться заводом 24 в ноябре 1928 года и поступил на заводские испытания еще в январе 1930 года. За время заводских испытаний выявился ряд дефектов: поломки коленчатых валов, чрезмерный расход масла, подсосы масла в турбинку, трещины в баббите нижней головки шатуна, поломки шестерни передачи к магнето и поломка турбины импеллера. На 1 октября 1930 года из указанных недостатков остаются:</w:t>
      </w:r>
    </w:p>
    <w:p w14:paraId="797C55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поломки коленчатого вала;</w:t>
      </w:r>
    </w:p>
    <w:p w14:paraId="31E16F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чрезмерный расход масла.</w:t>
      </w:r>
    </w:p>
    <w:p w14:paraId="308307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устранения этих дефектов мотор не может быть пущен в серийное производство.</w:t>
      </w:r>
    </w:p>
    <w:p w14:paraId="2DC5137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М-27 вне плана Р3 СТО (мощность 700 л.с., высотность 2000 м, вес 580 кг, срок предъявления на гос. испытания 1 января 1931 года). Начал проектироваться и строиться заводом 24 в ноябре 1929 года. Впервые на испытания мотор поставлен в сентябре 1930 года и на 1 октября 1930 года прошел приработку 3 часа удовлетворительно.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а следовательно будет работать в лучших тепловых условиях, весьма вероятно, что он будет доработан ранее других моторов заводов 24 и пройдет гос. испытания.</w:t>
      </w:r>
    </w:p>
    <w:p w14:paraId="7C89CB3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М-29 вне плана (мощность 600 л.с.). Начал проектироваться заводом 24 в апреле 1929 года. В настоящее время основные детали мотора находятся в производстве. Мотор в план не включен, а завод все же продолжает работать над ним. Начало испытаний заводских предполагается – январь 1931 года.</w:t>
      </w:r>
    </w:p>
    <w:p w14:paraId="4D462C9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М-44 (мощность 2000-2500 л.с., высотность 5000 м, вес 900 кг, срок предъявления на гос. испытания 1 октября 1931 года). Уточняются техтребования и проводятся предварительные изыскания размерностей двигателя на основе экспериментальных работ по одноцилиндровому двигателю М-170.</w:t>
      </w:r>
    </w:p>
    <w:p w14:paraId="182A53E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М-42 (мощность 550 л.с., срок предъявления на гос. испытания 1 октября 1932 года). Проведено исследование для определения размерностей мотора. Подобран цикл и сделан тепловой расчет мотора и компрессоров. Рассчитаны турбины. Делается окончательная компановка мотора с производством расчета на прочность.</w:t>
      </w:r>
    </w:p>
    <w:p w14:paraId="2AE0DE9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М-43 (мощность 700/1000 л.с., высотность 4000 м, вес 320 кг, срок предъявления на гос. испытания 1 января 1932 года). По этому мотору никаких работ не ведется, ибо он должен явиться модернизацией мотора М-34, который пока даже в опытном экземпляре еще не вышел из производства. Работа над этим мотором отнесена ко второй очереди.</w:t>
      </w:r>
    </w:p>
    <w:p w14:paraId="0FC735D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ЭН1 экспериментальный нефтяной (мощность 10 л.с., срок предъявления на гос. испытания 1 апреля 1931 года). Построен в октябре 1929 года и прошел в общей сложности до 150 часов экспериментальных испытаний. Максимальная мощность, которую удалось снять до его аварии равна 14 л.с. при 1500 об/мин. при 4-х тактном процессе. Мотор был переделан из керосинового двигателя и поступил на экспериментальные испытания с рядом старых деталей. На 1 октября 1930 года мотор находится в ремонте после аварии, происшедшей из-за поломки картера и требует изготовления нового картера, поршней, ряда форсунок и насосов для продолжения экспериментов.</w:t>
      </w:r>
    </w:p>
    <w:p w14:paraId="686A73A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Мотор 0 Н9 нефтяной (мощность 200 л.с., вес 240 кг, срок предъявления на гос. испытания 1 июня 1931 года). Чертежи мотора выполнены, но подлежат окончательной проверке и утверждению</w:t>
      </w:r>
    </w:p>
    <w:p w14:paraId="56E34D4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Винт с переменным шагом (срок предъявления на гос. испытания 1 июня 1930 года). Заводом 24 заканчивается в производстве втулка винта; производятся опытные работы по уплотнению масла; делается новая конструкция масляного насоса; подготавлявается установка для его испытаний. Завод 26 не в состоянии удовлетворительно выполнить роторы и шестерни компрессора Рута. Выполненные детали поступают на опытные испытания.</w:t>
      </w:r>
    </w:p>
    <w:p w14:paraId="691913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Опытное строительство самолетов.</w:t>
      </w:r>
    </w:p>
    <w:p w14:paraId="021207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плану.</w:t>
      </w:r>
    </w:p>
    <w:p w14:paraId="08B9DD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1-я очередь</w:t>
      </w:r>
    </w:p>
    <w:p w14:paraId="5D60759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ТБ4 4М35 – ЦАГИ. V=200 км/час/на 3000 м. R=1000 км. Н=5000-6000 м, сбрасываемый груз = 7000 кг, 6-8 пулеметов и 1 пушка.</w:t>
      </w:r>
    </w:p>
    <w:p w14:paraId="588AEB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готовности 1 декабря 1931 года. Произведены предварительные подсчеты по определению основных размеров и веса, а также аэродинамический расчет под 4 мотора Ройс-Рольс «R» по 1250 л.с. Строится макет, который предложено закончить к 1 ноября 1930 года. Ведутся работы по выбору профиля крыла, по разработке конструкции передней части фюзеляжа, шасси и крыльев. Ведутся опыты по изготовлению специальных профилей и К-А труб большого диаметра.</w:t>
      </w:r>
    </w:p>
    <w:p w14:paraId="648C66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данным расчета ЦАГИ самолет с 4-мя моторами «К.К.» техническим требованиям не удовлетворяет, так как при радиусе действия в 1000 км может брать полезную нагрузку 3700 кг вместо 8820 кг. Вопрос с выбором моторов и размерности самолета выясняется.</w:t>
      </w:r>
    </w:p>
    <w:p w14:paraId="793BDCE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ТБ5-2ФЭД – ВАО (V=205 км/час у земли, R=600 км, 1500 кг бомб).</w:t>
      </w:r>
    </w:p>
    <w:p w14:paraId="089645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готовности 1 мая 1931 года, раньше в плане не стоял. Строится макет и делается эскизный проект, ожидаются к 15 октября 1930 года. Моторы перестрахованы ВАО на Ройс-Рольс по 850 л.с.</w:t>
      </w:r>
    </w:p>
    <w:p w14:paraId="07E6303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ДИ2 БМВVI Е=7,3 1 экз. Д2 строился и испытывался заводом 25 в течении 1,5 лет и был предъявлен в НИИ в июле 1930 года. При испытании в НИИ 4 августа 1930 года потерпел катастрофу по причине вибраций хвостового оперения.</w:t>
      </w:r>
    </w:p>
    <w:p w14:paraId="24D3AC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экз. строит ЦКБ ВАО. Срок готовности 1 февраля 1931 года. V=279-273 км/час/3000 м, R=250-275 км, 4 пулемета t3000=5,07-6,37 мин. Самолет строится по техтребованиям к самолету Д2 БМВVI, измененным в части полезной нагрузки. Произведены аэродинамический расчет и эскизный проект. Ожидается предъявление макета к 8 октября 1930 года.</w:t>
      </w:r>
    </w:p>
    <w:p w14:paraId="67936F3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lastRenderedPageBreak/>
        <w:t>МИ3-2М34 – ЦАГИ. (V=300 км/час, R=1000 км, 4-6 пулеметов, 1 пушка, t5000=15-18 мин.). Срок – 1 мая 1932 года. Моторы 2 М-34. Работа не начата.</w:t>
      </w:r>
    </w:p>
    <w:p w14:paraId="1E1F589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Р8-М27 – ВАО (V3000=245 км/час, R=650-750 км, 3 пулемета, t3000=10 мин.). Срок – 1 мая 1931 года. Работа начата. Делается эскизный проект. Не ясна бомбовая нагрузка самолета.</w:t>
      </w:r>
    </w:p>
    <w:p w14:paraId="3395919C"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Р8-М34 – ВАО (V3000=250 км/час, R=650-750 км, 3 пулемета, t2000=8-10 мин.). Срок – 1 октября 1931 года. Работа не начата.</w:t>
      </w:r>
    </w:p>
    <w:p w14:paraId="0BFFECD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МДР3-2М34 – ВАО (V3000=200 км/час, R=1000-1200 км, 4 пулемета, 1 пушка, 500 кг бомб). Срок – 1 августа 1931 года. Начато проектирование. По плану предполагается под 2хМ34, ВАО полагает, что с этими моторами требования не будут выполнены. Решается вопрос поставки моторов на опытный образец. Представление эскизного проекта ожидается 1 ноября 1930 года.</w:t>
      </w:r>
    </w:p>
    <w:p w14:paraId="742D751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Р5 попл. М17 – ВАО. Данных нет. В плане не стоит. Срок представления эскизного проекта, заявленный ВАО – 1 ноября 1930 года. Необходимо включить в план первой очереди.</w:t>
      </w:r>
    </w:p>
    <w:p w14:paraId="0EF167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2-ая очередь</w:t>
      </w:r>
    </w:p>
    <w:p w14:paraId="5E2E578E"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ДИ4-М34 – ВАО (V5000=300-350 км/час, 4 пулемета t5000 10-12 мин.). На опытном образце предполагается мотор К-К. Срок 1 октября 1930 года. В плане не стоял. Проект группы французского инженера Лавиля. К представленному проекту предъявлен ряд требований, требующих изменения эскизного проекта.</w:t>
      </w:r>
    </w:p>
    <w:p w14:paraId="32E1C0D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ДИ5-ФЭД – ВАО (V5000=270 км/час, 4 пулемета, 1 пушка, t3000 – 7,6 мин.). Срок 1 июня 1931 года. В план включен дополнительно. Работы не начаты.</w:t>
      </w:r>
    </w:p>
    <w:p w14:paraId="19B00B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ТШ1-2М34 – ЦАГИ (V1000=250 км/час, R=150 км, 4-6 пулеметов, 1 пушка, 800 кг бомб). Срок – 1 января 1932 года. В плане стоит условно, впредь до выявления тактической характеристики этого типа. Представлены варианты предварительных аэродинамических расчетов). Выясняется тактическое применение самолета.</w:t>
      </w:r>
    </w:p>
    <w:p w14:paraId="11BB5F0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МТБ3 – ЦАГИ (V3000=200 км/час, R=1000 км, 4-6 пулеметов, 1 пушка, 3200-4000 кг бомб). Срок – 1 мая 1932 года. Самолет стоял в плане ВАО, который проработал несколько вариантов. ЦАГИ проектирование начинает. Предположены по плану моторы М-35. Число не установлено (общая мощность 5000-6000 л.с.).</w:t>
      </w:r>
    </w:p>
    <w:p w14:paraId="5C388DB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МУ3-М11 – ВАО. Срок – 1 мая 1931 года. В системе подготовки морских летчиков самолета этого типа не требуется. В качестве необходимого переходного типа предполагалось использовать МБР-1, поэтому последний из внеплановых должен быть включен в план. ВАО начало проработку эскизного проекта МУ3.</w:t>
      </w:r>
    </w:p>
    <w:p w14:paraId="00A0A1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Экспериментальные</w:t>
      </w:r>
    </w:p>
    <w:p w14:paraId="2D5EDD6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Р9-2М26 – ВАО (V3000=200 км/час, R=180-200 км, t3000 – 12,8 мин.). Срок 1 марта 1932 года. Работы не начаты.</w:t>
      </w:r>
    </w:p>
    <w:p w14:paraId="2B60480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ТШ2-М17 – ВАО (V0=200 км/час, t3000 – 11,6 мин., 8 пулеметов, броня). Срок 1 декабря 1931 года. В плане не стоял. Выпущен в воздух заводом № 39 9 октября 1930 года. Переделывается все управление самолета из-за больших давлений на ручку. Не ясна тактическая характеристика самолета.</w:t>
      </w:r>
    </w:p>
    <w:p w14:paraId="27B72B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Второй опытный образец предложено строить с металлическим набором крыла.</w:t>
      </w:r>
    </w:p>
    <w:p w14:paraId="39056F3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МДР2-2М17 – ЦАГИ (V3000=185 км/час, t3000 – 36 мин., 4 пулемета, потолок 4250 м). Срок 1 декабря 1930 года. 75% готовности. По указанию УВВС все установки вооружения предусмотрены. Макет утвержден. В срок вероятно готов будет.</w:t>
      </w:r>
    </w:p>
    <w:p w14:paraId="2087AC2B"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МДР1-2М17 – ВАО (V3000=165 км/час, R=400 км, t3000 – 32 мин.). Срок 1 апреля 1931 года. Готовность 60%. Самолет из плана постройки образцов предполагаемых к вооружению переведен вопреки указаниям НТК УВВС в план экспериментальных. Работы по самолету велись медленным темпом. В том виде, как самолет предполагается к выпуску, системе вооружения не удовлетворяет, старым требованиям удовлетворяет.</w:t>
      </w:r>
    </w:p>
    <w:p w14:paraId="0FE4A51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И12 – ЦАГИ. Срок готовности 1 июля 1931 года. По ориентировочным техтребованиям. Произведены аэродинамические расчеты и намечены 2 варианта:</w:t>
      </w:r>
    </w:p>
    <w:p w14:paraId="519D66E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Одноместный с использованием самолета И4 (монопланы с разрезным крылом) и</w:t>
      </w:r>
    </w:p>
    <w:p w14:paraId="1E816AB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Двухместный под мотор Хорнет – 575 л.с. На самолете устанавливаются 2”, 3” пушки. Заканчиваются просчеты под мотор М29 и разработка эскизных проектов по двум вариантам.</w:t>
      </w:r>
    </w:p>
    <w:p w14:paraId="65E783D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И11-М41 – ЦАГИ. Из электрона. Срок 1 ноября 1932 года. Самолет должен быть построен из электрона. Постройка</w:t>
      </w:r>
    </w:p>
    <w:p w14:paraId="7DB979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связана с помощью заграницы.</w:t>
      </w:r>
    </w:p>
    <w:p w14:paraId="4F7D4F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Модернизация</w:t>
      </w:r>
    </w:p>
    <w:p w14:paraId="1553DBF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И5 – модификация. М15 – ВАО. По расчету данные самолета несколько снизятся против И5-ЮVI 480 л.с. Срок IV квартал 1931 года. В плане не стоял. Заводские испытания самолета И5 с мотором М15 прекращено из-за дефектов мотора (подшипника). Ведутся работы над мотором.</w:t>
      </w:r>
    </w:p>
    <w:p w14:paraId="4D29C84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Р5-М19 – ВАО. Расчетные данные: (V3000=210 км/час, R=450 км, t3000 – 13 мин., 3 пулемета (как легк. бомб. 400 кг бомб). Срок по сообщению ВАО 1 декабря 1930 года. В плане не стоял. ВАО намечает использование моторов М-19 на самолете Р5. Завод № 39 произвел предварительный аэродинамический расчет самолета Р5 с мотором М-19. Проверенный по инициативе НТК предварительный аэродинамический расчет проделанный на заводе № 39 показал, что что самолет даст данные примерно те же, что и Р5-М17.</w:t>
      </w:r>
    </w:p>
    <w:p w14:paraId="56F42A5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Р5-М34 – ВАО. Срок I квартал 1932 года. В плане не стоял. Работы начинаются.</w:t>
      </w:r>
    </w:p>
    <w:p w14:paraId="70087B4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ТБ4 – ЦАГИ. Срок II квартал 1932 года. Предполагается по ситеме вооружения под мотор М35 или другой собственного производства. Вопрос с моторами не выяснен. Производятся предварительные расчеты по нескольким вариантам.</w:t>
      </w:r>
    </w:p>
    <w:p w14:paraId="106E5D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того в план работ по модернизации необходимо включить:</w:t>
      </w:r>
    </w:p>
    <w:p w14:paraId="7510BFC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ТБ1 попл.-2М17. Срок не установлен. Заказано фирме «Шорт» 7 пар поплавков. ЦАГИ дается задание приступить к срочной проработке этого типа.</w:t>
      </w:r>
    </w:p>
    <w:p w14:paraId="1E996A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Имеющиеся поплавки ЮГ1 приспособлены быть не могут.</w:t>
      </w:r>
    </w:p>
    <w:p w14:paraId="7E8C99D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Р5-М17 – ВАО. Улучшение самолета как типа: разрезное крыло, тормозные колеса, мотор БМВVI 7,3, установка ручного стартера. Срок установки разрезных крыльев 1 августа 1931 года., на остальные работы сроки не определены.</w:t>
      </w:r>
    </w:p>
    <w:p w14:paraId="72F5DEF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И4-ЮVI 480 – ЦАГИ. Опыт постановки разрезных крыльев. Срок 1 октября 1931 года. Производится разработка разрезного крыла в ЭАО ЦАГИ. АГОС ЦАГИ к конструированию еще не приступил (6998, 9-14).</w:t>
      </w:r>
    </w:p>
    <w:p w14:paraId="5D775C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III. Вне плана</w:t>
      </w:r>
    </w:p>
    <w:p w14:paraId="47340C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Поставлены нижеследующие самолеты, сроки их выполнения оставлены по прежнему плану.</w:t>
      </w:r>
    </w:p>
    <w:p w14:paraId="32D114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ТБ2-2М17 – ВАО. Срок 15 августа 1930 года. Готовность 98%. Поступает на испытания в НИИ, задержан устранением дефектов после заводских испытаний. По-видимому техтребованиям удовлетворять не будет. (Перетяжелена на 954 кг против расчетного веса;; неудовлетворительная схема бензопитания).</w:t>
      </w:r>
    </w:p>
    <w:p w14:paraId="1A179E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ТБ-3 4 Кертис-Конкверор по 600 – ЦАГИ. Срок РСТО для предъявления к гос. испытаниям 1 июля 1930 года. По постановлению комиссии Уншлихта срок отодвинут на 1 октября 1930 года. Постройка самолета в основном закончена. Предполагается к выпуску в пробный полет к 25 октября 1930 года. Летные данные с нормальной нагрузкой по аэродинамическому расчету: V=2000=217 км/час; t2000=8,7; Нпр.=5150 м. Радиус действия – 750 км, сбрасываемый груз 2000 км (4000 км с перегрузкой) техническим требованиям удовлетворяет.</w:t>
      </w:r>
    </w:p>
    <w:p w14:paraId="1730AC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Р6-2БМВVI Е=7,3 – ЦАГИ. Срок готовности 1 июля 1929 года. Предъявлен на испытание в НИИ первый раз 11 марта 1930 года. Предъявлен после переделок и улучшений второй раз 21 июля 1930 года.</w:t>
      </w:r>
    </w:p>
    <w:p w14:paraId="415DF6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закончено, исключая тактическую оценку самолета к 1 октября 1930 года. Ожидается окончательное заключение по самолету к 15-20 октября 1930 года. Летные данные после переделок техническим требованиям и расчетным данным удовлетворяют. V=3000=244 км/час; t3000=8,09; Н пр. = 7090 м. Полезная нагрузка – 700 кг. МИ№-2М34 – ЦАГИ. Срок готовности 1 мая 1932 года. V3000=300 км/час; R=1000, 4-6 пулеметов, 1 пушка; t5000=15-18’. Работы не начаты.</w:t>
      </w:r>
    </w:p>
    <w:p w14:paraId="4CD274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Р7 БМВVI Е=6. Срок готовности 28 января 1930 года. Предъявлен первый раз 11 марта 1930 года. Самолет готов для вторичного предъявления, которое задерживается из-за плохой погоды. По заводским испытаниям управляемость элеронами улучшена, рули высоты требуют дальнейших улучшений из-за больших давлений на рукоятку.</w:t>
      </w:r>
    </w:p>
    <w:p w14:paraId="40D43A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И6-ЮVI 480 ВАО. Срок 15 августа 1930 года. Готовность к 1 октября 1930 года 95%.. Заводские испытания закончены. Поступила на гос. испытания НИИ 5 октября 1930 года. Задержалась из-за реорганизации завода и монтажа вооружения.</w:t>
      </w:r>
    </w:p>
    <w:p w14:paraId="28CA30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И8 Кертис-Конкверор – 600 л.с. – ЦАГИ. Срок предъявления на гос. испытания 1 октября 1930 года. Постройка самолета выполнена на 95%. Выпуск самолета на испытание задерживается несвоевременным получением заграничного винта. Последний отправлен из Америки 25 сентября 1930 года. Ожидается в Москве 15-20 октября 1930 года.</w:t>
      </w:r>
    </w:p>
    <w:p w14:paraId="6FB303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данным аэродинамических расчетов ЦАГИ самолет техническим требованиям не удовлетворяет, при установленном на нем невысотном моторе с воздушным охлаждением.</w:t>
      </w:r>
    </w:p>
    <w:p w14:paraId="41983D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 Л-А (А-1) – М11 – ВАО. Срок 1 сентября 1930 года. Готовность 50%. По проекту инженера Шаврова. Предполагалось использовать Совторгфлотом на судах Азовского моря для разведки ледохода.</w:t>
      </w:r>
    </w:p>
    <w:p w14:paraId="0869FE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33. МТБ1-2БМВVI 7,3 – ВАО. Срок 1 ноября 1930 года. Готовность 80%. Самолет строится МОС (группа Ришара), производится сборка самолета. Надежд на выполнение техтребований мало. В срок вероятно выйдет.</w:t>
      </w:r>
    </w:p>
    <w:p w14:paraId="656490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34. МБР1-БМВVI 7,3 – ВАО. Готовность 75%. С плана снят – вариант с фанерной лодкой ЦКБ полагает выполнить в общесоюзном порядке. Самолет необходим для УСУ в качестве учебного переходного. Следует поставить в план во вторую очередь.</w:t>
      </w:r>
    </w:p>
    <w:p w14:paraId="5E10FA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 МБР2-БМВVI 7,3 – ВАО. Срок 1 мая 1931 года. Начата проектированием. С плана снята, передана вне плана МОС (группа Ришара). Предъявленный макет не принят. Секция задала: 1. две коробки крыльев для одной и той же лодки (одну для разведчика ближнего, вторую для катапультного самолета), 2. лодку для серии деревянную, а не металлическую как предполагала группа.</w:t>
      </w:r>
    </w:p>
    <w:p w14:paraId="4C752B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 ХБ1. Предполагается приспособить один из гражданских самолетов. Возможно приспособление ТБ1, о чем поднят вопрос перед начальником штаба РККА.</w:t>
      </w:r>
    </w:p>
    <w:p w14:paraId="462236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37. Срок 1 апреля 1931 года. Предположено использовать У2-М11.</w:t>
      </w:r>
    </w:p>
    <w:p w14:paraId="2992AB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Выводы</w:t>
      </w:r>
    </w:p>
    <w:p w14:paraId="7AC306D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Сухопутное самолетостроение по сравнению со странами Европы и САСШ могло бы подравняться под уровень этих стран теперь же, если бы имелись моторы соответствующих качеств, металлические винты и винты с меняющимся шагом. Имеющаяся металлическая база, конструкторские силы и опыт – вполне достаточны для того, чтобы дать основные типы самолетов.</w:t>
      </w:r>
    </w:p>
    <w:p w14:paraId="26EA135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Гидросамолетостроение целиком находится в зависимости от иностранного рынка. Небольшое количество своих образцов техническим требованиям не удовлетворяет.. Основные тормозы: малый опыт в прошлом, отсутствие кадров конструкторов и слабая работа ЦАГИ по оборудованию и пуску в ход канала.</w:t>
      </w:r>
    </w:p>
    <w:p w14:paraId="7CF5A5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Недостаточно со стороны ВАО уделено внимания гидросамолетостроению и теперь, как-то например, самолет МБР1 тип интересный для ВВС как переходный, а для промышленности как ступень в развитии гидросамолетостроения с плана снимается, а ставится ненужный МУ-3.</w:t>
      </w:r>
    </w:p>
    <w:p w14:paraId="76DC4EE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 вопросах штопора, постановка дела вооружения, динамической устойчивости, деревянного самолетостроения и изучения лодок гидросамолетов, ЦАГИ не удовлетворяет потребностей ВВС.</w:t>
      </w:r>
    </w:p>
    <w:p w14:paraId="7CCD22D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Неблагополучно обстояло и еще обстоит с воросом об устранении недостатков при пуске опытных самолетов в серию. Опытный самолет, выпущенный в воздух буквально бросается конструкторским бюро и никто не хочет этим заниматься.</w:t>
      </w:r>
    </w:p>
    <w:p w14:paraId="64BE108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Дефектом опытного строительства являются отсутствие такой конструкторской группы, которая могла бы проводить эксперименты, касающиеся внедрения в наше опытное самолетостроение последних достижений западной аватехники, в частности установки разрезных крыльев, установки моторов с удлиненными валами, применения щелевых капотов, применения тормозных колес и т.д.</w:t>
      </w:r>
    </w:p>
    <w:p w14:paraId="6A8D12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Опытные заводы, связанные жестким сроком выпуска образцов лишены возможности экспериментировать, в результате можно с определенностью констатировать, что упомянутые выше достижения авиатехники, могущие значительно повысить летные данные самолетов, являются у нас весьма мало использованными.</w:t>
      </w:r>
    </w:p>
    <w:p w14:paraId="4109352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Необходимо изменить порядок проведения испытания самолетов, с одной стороны объединив госудаоственные и заводские испытания, а с другой обязав опытные заводы не загружать НИИ УВВС самолетами, требующими доводки их.</w:t>
      </w:r>
    </w:p>
    <w:p w14:paraId="194899D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Тормозом при проведении в срок работ опытного строительства послужила также и организационная слабость ВАО и его конструкторских бюро.</w:t>
      </w:r>
    </w:p>
    <w:p w14:paraId="1142BF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 в настоящее время работы иногда проводятся в обход ВАО непосредственно с заводами, т. е. без руководящих указаний аппарата ВАО.</w:t>
      </w:r>
    </w:p>
    <w:p w14:paraId="48B199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Лиц персонально ответственных за внедрение опытных образцов в производство, опытные заводы ВАО (также и ЦАГИ) не имеют.</w:t>
      </w:r>
    </w:p>
    <w:p w14:paraId="605CB95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Несомненно многократные смены планов (за год трижды) вносили бесплановость в работу. Это показывает, что планы составлялись без достаточно реального предвидения.</w:t>
      </w:r>
    </w:p>
    <w:p w14:paraId="603F60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Включение в план таких самолетов, как ТШ2, отчасти ТБ6 в тот момент, когда эти самолеты уже находились фактически в постройке, лишало УВВС возможности нормально подойти к вопросам контроля рпытного строительства, так как ни технических требований, ни эскизный проект через УВВС не проводились и УВВС ставилось перед фактом наличия уже определенной готовой продукции. Последнее, хотя и в меньшей степени, относится также и к самолетам ЦАГИ (И8, ТБ3), которые хотя и строились по техническим требованиям, составленным УВВС, но эскизные проекты по ним были представлены, уже в то время, когда внести сколь нибудь существенных изменений в самолеты было нельзя (6998, 9-16).</w:t>
      </w:r>
    </w:p>
    <w:p w14:paraId="7A5B6330" w14:textId="77777777" w:rsidR="00537E5F" w:rsidRPr="00507A31" w:rsidRDefault="00537E5F" w:rsidP="00507A31">
      <w:pPr>
        <w:autoSpaceDE w:val="0"/>
        <w:autoSpaceDN w:val="0"/>
        <w:adjustRightInd w:val="0"/>
        <w:jc w:val="both"/>
        <w:rPr>
          <w:color w:val="000000" w:themeColor="text1"/>
          <w:sz w:val="16"/>
          <w:szCs w:val="16"/>
        </w:rPr>
      </w:pPr>
    </w:p>
    <w:p w14:paraId="1EF92BA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1-2 октября 1930 года Постановлением РВС:</w:t>
      </w:r>
    </w:p>
    <w:p w14:paraId="580BE827"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М-19а включен в план опытного строительства с отнесением его к работам 1 очереди. На 1 октября 1930 года по этому мотору спроектированы новые блоки с 4-х клапанной головкой и мощный импеллер, причем как в проект блоков, так и импеллера вносятся следующие изменения: в клапанной головке блоков выхлоп делается не спаренный на 2 цилиндра, а на каждый цилиндр в отдельности и передача к импеллеру делается более упругой. Все остальные детали мотора М-19а остаются те же, что и на моторе М-19 (6998, 9-14).</w:t>
      </w:r>
    </w:p>
    <w:p w14:paraId="5BD5F52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М-15а включен в план опытного строительства с отнесением его к работам 1 очереди. На 1 октября 1930 года по этому мотору спроектирован новый импеллер, который частично переделывается. Все остальные детали мотора М-15а остаются те же, что на моторе М-15 (6998, 9-14).</w:t>
      </w:r>
    </w:p>
    <w:p w14:paraId="3A2A18CE"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ФЭД включен в план опытного строительства. На 1 октября 1931 года мотор ФЭД был на заводских испытаниях, причем за весь пройденный этап заводских испытаний выявились дефекты мотора (6998, 9-14).</w:t>
      </w:r>
    </w:p>
    <w:p w14:paraId="7C066F8C" w14:textId="77777777" w:rsidR="00537E5F" w:rsidRPr="00507A31" w:rsidRDefault="00537E5F" w:rsidP="00507A31">
      <w:pPr>
        <w:tabs>
          <w:tab w:val="left" w:pos="360"/>
        </w:tabs>
        <w:autoSpaceDE w:val="0"/>
        <w:autoSpaceDN w:val="0"/>
        <w:adjustRightInd w:val="0"/>
        <w:jc w:val="both"/>
        <w:rPr>
          <w:color w:val="000000" w:themeColor="text1"/>
          <w:sz w:val="16"/>
          <w:szCs w:val="16"/>
        </w:rPr>
      </w:pPr>
    </w:p>
    <w:p w14:paraId="1DF250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октября 1930 г. в утвержденный Реввоенсоветом план опытных работ, вошел «М-17 с 4-х клапанной голов</w:t>
      </w:r>
      <w:r w:rsidRPr="00507A31">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07A31">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07A31">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07A31">
        <w:rPr>
          <w:color w:val="000000" w:themeColor="text1"/>
          <w:sz w:val="16"/>
          <w:szCs w:val="16"/>
        </w:rPr>
        <w:softHyphen/>
        <w:t>ны всего производства авиадвигателей в стране. Далее же начался спад (11852).</w:t>
      </w:r>
    </w:p>
    <w:p w14:paraId="740589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375C3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октября 1930 утвердили план опытного строительства ЦАГИ (1046,137).</w:t>
      </w:r>
    </w:p>
    <w:p w14:paraId="27E5B272" w14:textId="77777777" w:rsidR="00537E5F" w:rsidRPr="00507A31" w:rsidRDefault="00537E5F" w:rsidP="00507A31">
      <w:pPr>
        <w:autoSpaceDE w:val="0"/>
        <w:autoSpaceDN w:val="0"/>
        <w:adjustRightInd w:val="0"/>
        <w:jc w:val="both"/>
        <w:rPr>
          <w:color w:val="000000" w:themeColor="text1"/>
          <w:sz w:val="16"/>
          <w:szCs w:val="16"/>
        </w:rPr>
      </w:pPr>
    </w:p>
    <w:p w14:paraId="31FB758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6D801FA" w14:textId="77777777" w:rsidR="00537E5F" w:rsidRPr="00507A31" w:rsidRDefault="00537E5F" w:rsidP="00507A31">
      <w:pPr>
        <w:autoSpaceDE w:val="0"/>
        <w:autoSpaceDN w:val="0"/>
        <w:adjustRightInd w:val="0"/>
        <w:jc w:val="both"/>
        <w:rPr>
          <w:iCs/>
          <w:color w:val="000000" w:themeColor="text1"/>
          <w:sz w:val="16"/>
          <w:szCs w:val="16"/>
        </w:rPr>
      </w:pPr>
    </w:p>
    <w:p w14:paraId="77D090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 октября 1930 года, учитывая развернувшееся грандиозное строительство, паровозо-вагонно-дизельное объединение ВСНХ приняло решение выделить завод «Новое Сормово» из состава завода «Красное Сормово» в самостоятельное предприятие с самостоятельным балансом. Директором завода назначили И.И. Шмырова. В августе 1931 года предприятие было передано в подчинение Всесоюзному орудийно-арсенальному объединению (ВОАО). С 1 января 1932 года завод «Новое Сормово» стал Союзным машиностроительным заводом Всесоюзного орудийно-арсенального объединения с подчинением Наркомату тяжелой промышленности. Этот день стал днем рождения самостоятельного предприятия. Первым директором был назначен Д.С. Лисянский. В 1931 году вышло постановление Высшего совета народного хозяйства (ВСНХ) об отнесении строительства завода «Новое Сормово» к ударным стройкам. Это постановление значительно активизировало строительство и производство. В 1933 году в связи с обострением международной обстановки решение о возведении завода-гиганта в соответствии с первоначальным большим генеральным планом было пересмотрено и принято новое решение о строительстве завода в соответствии с малым генеральным планом, по которому велось строительство вплоть до Великой Отечественной войны. Это положение объяснил Константин Васильевич Бородкин, который после окончания Ленинградского политехнического института (военно-механическое отделение) в 1931 году получил направление на завод «Н». Проектирование завода было начато в октябре 1931 г. и в основном закончено 1 февраля 1933 года. Тогда в пакет проектно-технической документации механосборочных и других цехов входил не только полный комплект организации цеха, но и чертежи трансформаторных подстанций, а также выдача строительных заданий. Заказ оборудования, главным образом импортного, производился немедленно после проведения расчетов и планирования его по технологическим линиям. Специальное оборудование – станки глубокого сверления и расточки, токарные станки для обработки длинных изделий и другие – станкостроительными заводами Союза до 1941 г. не изготовлялось. Поставка инофирмами заказного специального оборудования (главным образом из Германии) для Советского Союза в начале 1933 г. была прекращена по указанию пришедшего к власти Гитлера. Без возможности приобрести необходимое для завода оборудование, проект большого генерального плана не мог быть осуществлен в том виде и на ту мощность, на которую он был ориентирован проектным бюро ВОАО. В связи с этим было принято решение о перепроектировании цехов завода на мощность, которая могла бы обеспечить завезенное на заводскую площадку специальное металлообрабатывающее оборудование. Проектирование цехов завода на меньшую мощность, составляющую примерно половину мощности большого генерального плана, производилось с 2 марта 1933 г. непосредственно на заводе. Монтаж оборудования механосборочных цехов завода осуществлялся по мере готовности проектов цехов в течение 1933-34 гг., а в 1936 г. был закончен полный комплекс проектных и монтажных работ.  С этого момента завод «Н» считается сданным в эксплуатацию (11818).</w:t>
      </w:r>
    </w:p>
    <w:p w14:paraId="17339127" w14:textId="77777777" w:rsidR="00537E5F" w:rsidRPr="00507A31" w:rsidRDefault="00537E5F" w:rsidP="00507A31">
      <w:pPr>
        <w:autoSpaceDE w:val="0"/>
        <w:autoSpaceDN w:val="0"/>
        <w:adjustRightInd w:val="0"/>
        <w:jc w:val="both"/>
        <w:rPr>
          <w:color w:val="000000" w:themeColor="text1"/>
          <w:sz w:val="16"/>
          <w:szCs w:val="16"/>
        </w:rPr>
      </w:pPr>
    </w:p>
    <w:p w14:paraId="305448D4" w14:textId="77777777" w:rsidR="00CD4949" w:rsidRPr="00507A31" w:rsidRDefault="00CD4949" w:rsidP="00507A31">
      <w:pPr>
        <w:widowControl w:val="0"/>
        <w:jc w:val="both"/>
        <w:rPr>
          <w:color w:val="000000" w:themeColor="text1"/>
          <w:sz w:val="16"/>
          <w:szCs w:val="16"/>
        </w:rPr>
      </w:pPr>
      <w:r w:rsidRPr="00507A31">
        <w:rPr>
          <w:color w:val="000000" w:themeColor="text1"/>
          <w:sz w:val="16"/>
          <w:szCs w:val="16"/>
        </w:rPr>
        <w:t xml:space="preserve">К 1 октября </w:t>
      </w:r>
      <w:smartTag w:uri="urn:schemas-microsoft-com:office:smarttags" w:element="metricconverter">
        <w:smartTagPr>
          <w:attr w:name="ProductID" w:val="1945 г"/>
        </w:smartTagPr>
        <w:r w:rsidRPr="00507A31">
          <w:rPr>
            <w:color w:val="000000" w:themeColor="text1"/>
            <w:sz w:val="16"/>
            <w:szCs w:val="16"/>
          </w:rPr>
          <w:t>1930 г</w:t>
        </w:r>
      </w:smartTag>
      <w:r w:rsidRPr="00507A31">
        <w:rPr>
          <w:color w:val="000000" w:themeColor="text1"/>
          <w:sz w:val="16"/>
          <w:szCs w:val="16"/>
        </w:rPr>
        <w:t xml:space="preserve">. на площадке строительства ГАЗ имелось 253 бригады с 5397 ударниками, а на 1 января </w:t>
      </w:r>
      <w:smartTag w:uri="urn:schemas-microsoft-com:office:smarttags" w:element="metricconverter">
        <w:smartTagPr>
          <w:attr w:name="ProductID" w:val="1945 г"/>
        </w:smartTagPr>
        <w:r w:rsidRPr="00507A31">
          <w:rPr>
            <w:color w:val="000000" w:themeColor="text1"/>
            <w:sz w:val="16"/>
            <w:szCs w:val="16"/>
          </w:rPr>
          <w:t>1931 г</w:t>
        </w:r>
      </w:smartTag>
      <w:r w:rsidRPr="00507A31">
        <w:rPr>
          <w:color w:val="000000" w:themeColor="text1"/>
          <w:sz w:val="16"/>
          <w:szCs w:val="16"/>
        </w:rPr>
        <w:t>. в 360 бригадах насчитывалось 7 380 ударников (15218).</w:t>
      </w:r>
    </w:p>
    <w:p w14:paraId="2C7AC7AE" w14:textId="77777777" w:rsidR="00CD4949" w:rsidRPr="00507A31" w:rsidRDefault="00CD4949" w:rsidP="00507A31">
      <w:pPr>
        <w:widowControl w:val="0"/>
        <w:jc w:val="both"/>
        <w:rPr>
          <w:color w:val="000000" w:themeColor="text1"/>
          <w:sz w:val="16"/>
          <w:szCs w:val="16"/>
        </w:rPr>
      </w:pPr>
    </w:p>
    <w:p w14:paraId="7D4B2F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 года ПМЧЗ вступил в строй. В апреле 1930 года пароход с американским оборудованием часового завода направился в Россию, а в это время в Москве, на Воронцовской улице, на территории бывшей табачной фабрики "Красная звезда" уже шли работы по закладке нового корпуса. Его строительство, начатое с рытья котлована в феврале 1930 года, было закончено к июню того же года. 15 сентября 1930 года монтаж основного оборудования был завершен.</w:t>
      </w:r>
    </w:p>
    <w:p w14:paraId="4875EA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Строительство завода требовало не только огромных материальных затрат, но и квалифицированных кадров. А кадры, как известно, решают все. Для работы на импортном, хоть и устаревшем оборудовании, нужны были опытные рабочие, инструментальщики, конструкторы, инженеры. Летом 1930 г. на XVI съезде ВКП(б) </w:t>
      </w:r>
      <w:r w:rsidRPr="00507A31">
        <w:rPr>
          <w:color w:val="000000" w:themeColor="text1"/>
          <w:sz w:val="16"/>
          <w:szCs w:val="16"/>
        </w:rPr>
        <w:lastRenderedPageBreak/>
        <w:t>было принято решение о приглашении большого числа иностранных рабочих и специалистов в СССР при условии "полного использования их опыта и знаний на предприятиях Советского Союза".</w:t>
      </w:r>
    </w:p>
    <w:p w14:paraId="6EB6A8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фактически вербовка иностранных рабочих и специалистов для первого часового началась несколькими месяцами раньше, в Германии. С этой целью в Германию был командирован В.О. Прусс.</w:t>
      </w:r>
    </w:p>
    <w:p w14:paraId="705C05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июля - первых числах августа 1930 года в Советском Торгпредстве в Берлине были подписаны индивидуальные двухгодичные контракты с Трестом точной механики.</w:t>
      </w:r>
    </w:p>
    <w:p w14:paraId="154DC1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Предполагалось, что немецкие рабочие заменят американцев. Немцы были отличными работниками - профессиональны, честны, трудолюбивы. При этом-соглашались работать за более низкую плату, чем американцы. Да и немецкий язык был более распространен в русских технических кругах, что упрощало общение на работе, а также сокращало затраты администрации на переводчиков. </w:t>
      </w:r>
    </w:p>
    <w:p w14:paraId="631365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Условия для немецких специалистов были чрезвычайно привлекательны и риска никакого не представляли. Да и выбор был чрезвычайно прост - получить постоянную работу хотя бы на 2 года, не мучиться больше вопросом - чем кормить семью или продолжать нестабильное существование, подрабатывая то там, то тут.</w:t>
      </w:r>
    </w:p>
    <w:p w14:paraId="7A1C34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Согласно договору, заработная плата выплачивалась в рублях и американских долларах( большая и меньшая часть соответственно). Валютную часть Трест обязывался ежемесячно переводить за границу семье рабочего.</w:t>
      </w:r>
    </w:p>
    <w:p w14:paraId="270A86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Работнику и его семье предоставлялась одна или две мебелированные комнаты в зависимости от количества членов семьи.</w:t>
      </w:r>
    </w:p>
    <w:p w14:paraId="59CC3D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Трест брал на себя расходы за проезд от места жительства до Москвы 2-м классом(спальное место) и провоз 150 кг. багажа.</w:t>
      </w:r>
    </w:p>
    <w:p w14:paraId="0B6DCB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Иностранным специалистам и рабочим гарантировался ежегодный 4-х недельный отпуск с сохранением содержания.</w:t>
      </w:r>
    </w:p>
    <w:p w14:paraId="0E2F8D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истечению срока договора, Трест брал на себя обязательства по возмещению расходов на обратный проезд в Германию (11533).</w:t>
      </w:r>
    </w:p>
    <w:p w14:paraId="51580D88" w14:textId="77777777" w:rsidR="00537E5F" w:rsidRPr="00507A31" w:rsidRDefault="00537E5F" w:rsidP="00507A31">
      <w:pPr>
        <w:autoSpaceDE w:val="0"/>
        <w:autoSpaceDN w:val="0"/>
        <w:adjustRightInd w:val="0"/>
        <w:jc w:val="both"/>
        <w:rPr>
          <w:color w:val="000000" w:themeColor="text1"/>
          <w:sz w:val="16"/>
          <w:szCs w:val="16"/>
        </w:rPr>
      </w:pPr>
    </w:p>
    <w:p w14:paraId="3A0C0A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 года Евреинов Е.Ф. В протоколе допроса признал себя виновным в том, что состоял членом контрреволюционной организации именовавшей себя «Промышленной партией» и что было и другое название «Инженерно-промышленная партия». Евреинов рассказал, что в организацию его вовлек профессор Рамзин Л.К. в 1927 году. Рамзин в свою очередь показал, что основной целью деятельности Промышленной партии являлось свержение советской власти при помощи контрреволюционного переворота. С самого начала деятельности «Промпартии» ее основной ставкой была ставка на интервенцию против СССР, что считалось наиболее верным и быстрым способом совершения контрреволюционного переворота. Шипов В.Ф. 18 октября 1930 года рассказал о подготовке теракта в отношении Сталина (11248).</w:t>
      </w:r>
    </w:p>
    <w:p w14:paraId="7AF30089" w14:textId="77777777" w:rsidR="00537E5F" w:rsidRPr="00507A31" w:rsidRDefault="00537E5F" w:rsidP="00507A31">
      <w:pPr>
        <w:autoSpaceDE w:val="0"/>
        <w:autoSpaceDN w:val="0"/>
        <w:adjustRightInd w:val="0"/>
        <w:jc w:val="both"/>
        <w:rPr>
          <w:color w:val="000000" w:themeColor="text1"/>
          <w:sz w:val="16"/>
          <w:szCs w:val="16"/>
        </w:rPr>
      </w:pPr>
    </w:p>
    <w:p w14:paraId="57687131" w14:textId="77777777" w:rsidR="00032649" w:rsidRPr="00507A31" w:rsidRDefault="00032649" w:rsidP="00507A31">
      <w:pPr>
        <w:pStyle w:val="rteright"/>
        <w:spacing w:before="0" w:after="0"/>
        <w:jc w:val="both"/>
        <w:rPr>
          <w:color w:val="000000" w:themeColor="text1"/>
          <w:sz w:val="16"/>
          <w:szCs w:val="16"/>
        </w:rPr>
      </w:pPr>
      <w:r w:rsidRPr="00507A31">
        <w:rPr>
          <w:color w:val="000000" w:themeColor="text1"/>
          <w:sz w:val="16"/>
          <w:szCs w:val="16"/>
        </w:rPr>
        <w:t>1 октября 1930 г. была подготовлена Сводка № 2 ИНФО ОГПУ об отношении рабочих к опубликованным сообщениям о раскрытой вредительской организации и расстреле вредителей в заготовительных органах на 29 сентября 1930 г. № 386948</w:t>
      </w:r>
    </w:p>
    <w:p w14:paraId="5CCB5484" w14:textId="77777777" w:rsidR="00032649" w:rsidRPr="00507A31" w:rsidRDefault="00032649" w:rsidP="00507A31">
      <w:pPr>
        <w:pStyle w:val="rteright"/>
        <w:spacing w:before="0" w:after="0"/>
        <w:jc w:val="both"/>
        <w:rPr>
          <w:color w:val="000000" w:themeColor="text1"/>
          <w:sz w:val="16"/>
          <w:szCs w:val="16"/>
        </w:rPr>
      </w:pPr>
      <w:r w:rsidRPr="00507A31">
        <w:rPr>
          <w:color w:val="000000" w:themeColor="text1"/>
          <w:sz w:val="16"/>
          <w:szCs w:val="16"/>
        </w:rPr>
        <w:t>Совершенно секретно</w:t>
      </w:r>
    </w:p>
    <w:p w14:paraId="7F76457C"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В сводке от 25 сентября об отношении рабочих промышленных предприятий г. Москвы к раскрытой вредительской организации в заготовительных органах указывалось на то, что основная масса рабочих г. Москвы приняла сообщение о вскрытии вредительства с большим удовлетворением, организуя в ответ вредителям новые ударные бригады, увеличивая подписку на заем «Пятилетка в 4 года», вступая в партию и т. д.</w:t>
      </w:r>
    </w:p>
    <w:p w14:paraId="775497B6"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Поступающие по этому же вопросу материалы из других промышленных центров Союза (Ленинград, МО, ИПО и другие) также указывают на повсеместное удовлетворение рабочей массы раскрытием вредительской организации, причем приговор о расстреле вредителей рабочими везде встречается одобрительно.</w:t>
      </w:r>
    </w:p>
    <w:p w14:paraId="034D1017"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Свое одобрение рабочие большинства предприятий закрепляют организацией ударных бригад, обещаниями ликвидировать производственные прорывы и т.д.</w:t>
      </w:r>
    </w:p>
    <w:p w14:paraId="3E6EF648"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На летучих митингах, организованных до опубликования сообщения о расстреле, рабочие единодушно требовали применения высшей меры наказания для вредителей.</w:t>
      </w:r>
    </w:p>
    <w:p w14:paraId="41EAFD47"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Швейная фабрика № 2 Москвошвея</w:t>
      </w:r>
      <w:r w:rsidRPr="00507A31">
        <w:rPr>
          <w:color w:val="000000" w:themeColor="text1"/>
          <w:sz w:val="16"/>
          <w:szCs w:val="16"/>
        </w:rPr>
        <w:t xml:space="preserve"> (рабочих 2500 человек). На митинге присутствовало 1500 человек рабочих. Информация о расстреле вредителей работницами была принята аплодисментами. В ответ на вредительство работницы высказались за выполнение промфинплана и выдвижение лучших работниц на работу в кооперацию.</w:t>
      </w:r>
    </w:p>
    <w:p w14:paraId="6F036475"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Швейная фабрика № 5 Москвошвея</w:t>
      </w:r>
      <w:r w:rsidRPr="00507A31">
        <w:rPr>
          <w:color w:val="000000" w:themeColor="text1"/>
          <w:sz w:val="16"/>
          <w:szCs w:val="16"/>
        </w:rPr>
        <w:t xml:space="preserve"> (рабочих 2025 человек). Митингами в цехах было охвачено 800 человек рабочих, принята резолюция: «Ответить на вылазку классового врага решительным выполнением промфинплана второго года пятилетки, повести борьбу за выполнение встречного промфинплана третьего года пятилетки, за стопроцентное вступление рабочих в ударные бригады и очищение своих рядов от лже-ударников и летунов».</w:t>
      </w:r>
    </w:p>
    <w:p w14:paraId="7031CA45"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Завод подъемных сооружений</w:t>
      </w:r>
      <w:r w:rsidRPr="00507A31">
        <w:rPr>
          <w:color w:val="000000" w:themeColor="text1"/>
          <w:sz w:val="16"/>
          <w:szCs w:val="16"/>
        </w:rPr>
        <w:t xml:space="preserve"> (рабочих 900 человек). На митинге было вынесено постановление: «В ответ на вредительские организации лучших товарищей послать на руководящую работу, ликвидировать прорыв промфинплана и провести стопроцентную контрактацию рабочих».</w:t>
      </w:r>
    </w:p>
    <w:p w14:paraId="4129BD51"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Завод «АМО»</w:t>
      </w:r>
      <w:r w:rsidRPr="00507A31">
        <w:rPr>
          <w:color w:val="000000" w:themeColor="text1"/>
          <w:sz w:val="16"/>
          <w:szCs w:val="16"/>
        </w:rPr>
        <w:t xml:space="preserve"> (рабочих 5700 человек). Среди рабочих, в связи с расстрелом 48 вредителей, отмечены разговоры о создании ударных бригад «им. ОГПУ». Одиннадцать человек ударников механического цеха подали заявления о вступлении в партию.</w:t>
      </w:r>
    </w:p>
    <w:p w14:paraId="795096D4"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Завод редких элементов</w:t>
      </w:r>
      <w:r w:rsidRPr="00507A31">
        <w:rPr>
          <w:color w:val="000000" w:themeColor="text1"/>
          <w:sz w:val="16"/>
          <w:szCs w:val="16"/>
        </w:rPr>
        <w:t xml:space="preserve"> (рабочих 540 человек). В связи с расстрелом вредителей около 20 человек рабочих после митинга подали заявление о вступлении в партию.</w:t>
      </w:r>
    </w:p>
    <w:p w14:paraId="23B72B05"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Фабрика «Красный Октябрь»</w:t>
      </w:r>
      <w:r w:rsidRPr="00507A31">
        <w:rPr>
          <w:color w:val="000000" w:themeColor="text1"/>
          <w:sz w:val="16"/>
          <w:szCs w:val="16"/>
        </w:rPr>
        <w:t xml:space="preserve"> (ЛВО). После митинга-летучки фанеровочный цех объявил себя ударным, четыре рабочих подали заявления о вступлении в ВКП(б).</w:t>
      </w:r>
    </w:p>
    <w:p w14:paraId="44FA16CA"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Фабрика им. Синицина.</w:t>
      </w:r>
      <w:r w:rsidRPr="00507A31">
        <w:rPr>
          <w:color w:val="000000" w:themeColor="text1"/>
          <w:sz w:val="16"/>
          <w:szCs w:val="16"/>
        </w:rPr>
        <w:t xml:space="preserve"> Цеховое собрание 24 сентября единодушно одобрило действия ОГПУ и предложило немедленно выдвинуть лучших рабочих на ответственные должности в кооперацию.</w:t>
      </w:r>
    </w:p>
    <w:p w14:paraId="49491128"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Завод «Пневматика».</w:t>
      </w:r>
      <w:r w:rsidRPr="00507A31">
        <w:rPr>
          <w:color w:val="000000" w:themeColor="text1"/>
          <w:sz w:val="16"/>
          <w:szCs w:val="16"/>
        </w:rPr>
        <w:t xml:space="preserve"> В фрезерном и термическом цехах рабочие говорят: «Мало расстреляли, надо еще добавить, наконец, мы теперь легче вздохнем. Если бы этих паразитов не было, то мы бы давно уже выполнили пятилетку».</w:t>
      </w:r>
    </w:p>
    <w:p w14:paraId="13241A34"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Завод «Красный Путиловец».</w:t>
      </w:r>
      <w:r w:rsidRPr="00507A31">
        <w:rPr>
          <w:color w:val="000000" w:themeColor="text1"/>
          <w:sz w:val="16"/>
          <w:szCs w:val="16"/>
        </w:rPr>
        <w:t xml:space="preserve"> 23 сентября сего года в связи с раскрытием контрреволюционной организации во всех цехах завода были проведены митинги, которые прошли с большим подъемом и посещаемостью (80%). На митингах единогласно приняты резолюции с требованием применения высшей меры наказания к вредителям и одновременно вынесено решение о награждении органов ОГПУ орденом им. Ленина.</w:t>
      </w:r>
    </w:p>
    <w:p w14:paraId="6B0DFB3B"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Фабрика им. Халтурина.</w:t>
      </w:r>
      <w:r w:rsidRPr="00507A31">
        <w:rPr>
          <w:color w:val="000000" w:themeColor="text1"/>
          <w:sz w:val="16"/>
          <w:szCs w:val="16"/>
        </w:rPr>
        <w:t xml:space="preserve"> 23 сентября сего года. По цехам были проведены митинги-летучки. Митинги прошли с большим подъемом, с 80% посещаемостью, на которых единогласно принята резолюция, требующая применения высшей меры наказания к вредителям.</w:t>
      </w:r>
    </w:p>
    <w:p w14:paraId="126BE512"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Ивановская промышленная обл. На Сосневской мануфактуре организованы вновь 14 ударных бригад (162 человека), 281 человек вновь вступили в соцсоревнование и 293 человека закрепили себя за фабрикой до конца пятилетки.</w:t>
      </w:r>
    </w:p>
    <w:p w14:paraId="503FA6E6"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На Меланжевом комбинате вновь организованы ударные бригады.</w:t>
      </w:r>
    </w:p>
    <w:p w14:paraId="34F2AAB5"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На фабриках БИВМ и НИВМ рабочие на митингах единогласно заявили о вступлении в ударничество.</w:t>
      </w:r>
    </w:p>
    <w:p w14:paraId="5C8BC3D5"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В частных разговорах в цехах, курилках и т. д., обсуждая вопрос о раскрытом вредительстве, рабочие отмечают необходимость усиления контроля над работой старых специалистов в государственных учреждениях и выдвижения на работу в руководящие органы рабочих от станка и преданных пролетариату людей.</w:t>
      </w:r>
    </w:p>
    <w:p w14:paraId="78E4B9A9"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Ивановская промышленная обл. На БИВМ рабочие, расходясь группами с митинга, рассуждали: «Слишком много мы доверяем нашим прошлым врагам. Враг — он останется до конца врагом. Все они прикрываются маской специалиста, а сами вредят. Надо быстрее заменять таких специалистов нашими рабочими выдвиженцами. Они не хуже справятся с работой».</w:t>
      </w:r>
    </w:p>
    <w:p w14:paraId="79B38F30"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На Сосневской мануфактуре слесарь механического отдела Вьюгин, беспартийный, говорил: «Так им и надо. Нам в свою работу необходимо ввести еще одно— усиление наблюдения за всеми специалистами. Нужно как можно быстрее форсировать выдвижение рабочих и выпуск рабочей молодежи из вузов».</w:t>
      </w:r>
    </w:p>
    <w:p w14:paraId="78891BF2"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Москва.</w:t>
      </w:r>
      <w:r w:rsidRPr="00507A31">
        <w:rPr>
          <w:rStyle w:val="1b"/>
          <w:rFonts w:ascii="Times New Roman" w:hAnsi="Times New Roman"/>
          <w:b w:val="0"/>
          <w:i w:val="0"/>
          <w:color w:val="000000" w:themeColor="text1"/>
          <w:sz w:val="16"/>
          <w:szCs w:val="16"/>
        </w:rPr>
        <w:t xml:space="preserve"> Фабрика «Сакко и Ванцетти».</w:t>
      </w:r>
      <w:r w:rsidRPr="00507A31">
        <w:rPr>
          <w:color w:val="000000" w:themeColor="text1"/>
          <w:sz w:val="16"/>
          <w:szCs w:val="16"/>
        </w:rPr>
        <w:t xml:space="preserve"> Клепальщик карандашного цеха говорил: «Нужно было бы давно всех "бывших" снять, и худших из них расстрелять, а то мы все с ними церемонились, теперь уже у нас достаточно своих молодых специалистов, которые могут заменить "бывших"».</w:t>
      </w:r>
    </w:p>
    <w:p w14:paraId="3F020854"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Суждения отрицательного характера по поводу раскрытой вредительской организации и расстрела вредителей насчитываются единицами и исходят преимущественно от рабочих, замеченных ранее в антисоветской агитации и по своему прошлому чуждых советской власти. Эти элементы своими разговорами пытаются доказать рабочим, что раскрытое вредительство является «очередным маневром советской власти, имеющим целью отвлечь внимание рабочих от создавшегося в стране безвыходного положения».</w:t>
      </w:r>
    </w:p>
    <w:p w14:paraId="4C064A45"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ЛВО,</w:t>
      </w:r>
      <w:r w:rsidRPr="00507A31">
        <w:rPr>
          <w:rStyle w:val="1b"/>
          <w:rFonts w:ascii="Times New Roman" w:hAnsi="Times New Roman"/>
          <w:b w:val="0"/>
          <w:i w:val="0"/>
          <w:color w:val="000000" w:themeColor="text1"/>
          <w:sz w:val="16"/>
          <w:szCs w:val="16"/>
        </w:rPr>
        <w:t xml:space="preserve"> Оптический завод.</w:t>
      </w:r>
      <w:r w:rsidRPr="00507A31">
        <w:rPr>
          <w:color w:val="000000" w:themeColor="text1"/>
          <w:sz w:val="16"/>
          <w:szCs w:val="16"/>
        </w:rPr>
        <w:t xml:space="preserve"> После собрания в первой механической мастерской три слесаря, антисоветски настроенные, говорили в цеху: «Бараны вы все, поднимаете руки из-под палки, а, может быть, это невинные люди погибли. Советская власть всегда стремится свалить на кого-нибудь все оплошности. Это дело дутое».</w:t>
      </w:r>
    </w:p>
    <w:p w14:paraId="285C050C"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Завод «Гидравлика».</w:t>
      </w:r>
      <w:r w:rsidRPr="00507A31">
        <w:rPr>
          <w:color w:val="000000" w:themeColor="text1"/>
          <w:sz w:val="16"/>
          <w:szCs w:val="16"/>
        </w:rPr>
        <w:t xml:space="preserve"> Антисоветски настроенный (персонально известен) рабочий в цеху говорил: «Никакого вредительства не совершалось. Само правительство разорило страну и видит нарастание недовольства народа и свою гибель, решило расстрелом невинных успокоить народ и покрыть свои грязные делишки».</w:t>
      </w:r>
    </w:p>
    <w:p w14:paraId="6D3A57E0"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Кожзавод «Марксист».</w:t>
      </w:r>
      <w:r w:rsidRPr="00507A31">
        <w:rPr>
          <w:color w:val="000000" w:themeColor="text1"/>
          <w:sz w:val="16"/>
          <w:szCs w:val="16"/>
        </w:rPr>
        <w:t xml:space="preserve"> Рабочий черно-закройного цеха (бывший военный чиновник) в разговоре заявил: «Так сурово не следовало бы поступать, все же среди расстрелянных были ценные люди, профессора» и т. п.</w:t>
      </w:r>
    </w:p>
    <w:p w14:paraId="724A2741"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Завод «Мастяжарт»</w:t>
      </w:r>
      <w:r w:rsidRPr="00507A31">
        <w:rPr>
          <w:color w:val="000000" w:themeColor="text1"/>
          <w:sz w:val="16"/>
          <w:szCs w:val="16"/>
        </w:rPr>
        <w:t xml:space="preserve"> (Московская обл., рабочих 1500 человек). Антисоветски настроенный рабочий ремонтного цеха (персонально] изв[естен]) говорил: «Это "утка", ничего подобного не было. Большевики расстреляли этих лиц, но мяса все равно не будет, как и вообще у них ничего не может быть».</w:t>
      </w:r>
    </w:p>
    <w:p w14:paraId="21D0E49F"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t>Фабрика № 2 комбината № 3 «Мострикотаж»</w:t>
      </w:r>
      <w:r w:rsidRPr="00507A31">
        <w:rPr>
          <w:color w:val="000000" w:themeColor="text1"/>
          <w:sz w:val="16"/>
          <w:szCs w:val="16"/>
        </w:rPr>
        <w:t xml:space="preserve"> (рабочих 2700 человек). Антисоветски настроенный мастер трикотажного отдела (персонально] изв[естен]) в группе рабочих говорил: «Нечего нам глаза замазывать, когда нет ничего. Надо на кого-нибудь вину сваливать вот и обнаружили вредителей, которые ни в чем не виноваты. Дело со снабжением после расстрела все равно не улучшится, дело не во вредителях».</w:t>
      </w:r>
    </w:p>
    <w:p w14:paraId="65DF72EA" w14:textId="77777777" w:rsidR="00032649" w:rsidRPr="00507A31" w:rsidRDefault="00032649" w:rsidP="00507A31">
      <w:pPr>
        <w:pStyle w:val="rtejustify"/>
        <w:spacing w:before="0" w:after="0"/>
        <w:rPr>
          <w:color w:val="000000" w:themeColor="text1"/>
          <w:sz w:val="16"/>
          <w:szCs w:val="16"/>
        </w:rPr>
      </w:pPr>
      <w:r w:rsidRPr="00507A31">
        <w:rPr>
          <w:rStyle w:val="1b"/>
          <w:rFonts w:ascii="Times New Roman" w:hAnsi="Times New Roman"/>
          <w:b w:val="0"/>
          <w:i w:val="0"/>
          <w:color w:val="000000" w:themeColor="text1"/>
          <w:sz w:val="16"/>
          <w:szCs w:val="16"/>
        </w:rPr>
        <w:lastRenderedPageBreak/>
        <w:t>Швейная фабрика №</w:t>
      </w:r>
      <w:r w:rsidRPr="00507A31">
        <w:rPr>
          <w:color w:val="000000" w:themeColor="text1"/>
          <w:sz w:val="16"/>
          <w:szCs w:val="16"/>
        </w:rPr>
        <w:t xml:space="preserve"> 7</w:t>
      </w:r>
      <w:r w:rsidRPr="00507A31">
        <w:rPr>
          <w:rStyle w:val="1b"/>
          <w:rFonts w:ascii="Times New Roman" w:hAnsi="Times New Roman"/>
          <w:b w:val="0"/>
          <w:i w:val="0"/>
          <w:color w:val="000000" w:themeColor="text1"/>
          <w:sz w:val="16"/>
          <w:szCs w:val="16"/>
        </w:rPr>
        <w:t xml:space="preserve"> «Возрождение» Москвошвея.</w:t>
      </w:r>
      <w:r w:rsidRPr="00507A31">
        <w:rPr>
          <w:color w:val="000000" w:themeColor="text1"/>
          <w:sz w:val="16"/>
          <w:szCs w:val="16"/>
        </w:rPr>
        <w:t xml:space="preserve"> Антисоветски настроенный утюжник (персонально] изв[естен]) говорил: «Контрреволюционеры работают совместно с коммунистами; если бы у последних была другая политика, то этого бы допущено не было. Коммунистам и партии доверять нельзя, т. к. они обманывают рабочих».</w:t>
      </w:r>
    </w:p>
    <w:p w14:paraId="48485BF7"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Начальник ИНФО ОГПУ Запорожец</w:t>
      </w:r>
    </w:p>
    <w:p w14:paraId="1AFCEE38"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Помощник начальника 2 отделения Рассказчиков</w:t>
      </w:r>
    </w:p>
    <w:p w14:paraId="744BABDD"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Рассылается:</w:t>
      </w:r>
    </w:p>
    <w:p w14:paraId="160D2F1B" w14:textId="77777777" w:rsidR="00032649" w:rsidRPr="00507A31" w:rsidRDefault="00032649" w:rsidP="00507A31">
      <w:pPr>
        <w:pStyle w:val="rtejustify"/>
        <w:spacing w:before="0" w:after="0"/>
        <w:rPr>
          <w:color w:val="000000" w:themeColor="text1"/>
          <w:sz w:val="16"/>
          <w:szCs w:val="16"/>
        </w:rPr>
      </w:pPr>
      <w:r w:rsidRPr="00507A31">
        <w:rPr>
          <w:color w:val="000000" w:themeColor="text1"/>
          <w:sz w:val="16"/>
          <w:szCs w:val="16"/>
        </w:rPr>
        <w:t>1) Менжинскому; 2) Ягоде; 3) Мессингу; 4) Евдокимову; 5) Поскребышеву (для Сталина); 6) Молотову; 7) Кагановичу; 8) Постышеву; 9) Николаевой; 10) Коврайскому; 11) Орджоникидзе; 12) Рыкову; 13) Сырцову; 14) Швернику; 15)Каулю; 16)Ольскому; 17) Прокофьеву; 18) Агранову; 19) Бокию; 20) Благонравову; 21) 5 отделение; 22) В деле; 23-24) В Отделении</w:t>
      </w:r>
    </w:p>
    <w:p w14:paraId="12D4CEFE" w14:textId="77777777" w:rsidR="00032649" w:rsidRPr="00507A31" w:rsidRDefault="00032649" w:rsidP="00507A31">
      <w:pPr>
        <w:jc w:val="both"/>
        <w:rPr>
          <w:color w:val="000000" w:themeColor="text1"/>
          <w:sz w:val="16"/>
          <w:szCs w:val="16"/>
        </w:rPr>
      </w:pPr>
      <w:r w:rsidRPr="00507A31">
        <w:rPr>
          <w:color w:val="000000" w:themeColor="text1"/>
          <w:sz w:val="16"/>
          <w:szCs w:val="16"/>
        </w:rPr>
        <w:t xml:space="preserve">Архив: </w:t>
      </w:r>
    </w:p>
    <w:p w14:paraId="091591E3" w14:textId="77777777" w:rsidR="00032649" w:rsidRPr="00507A31" w:rsidRDefault="00032649" w:rsidP="00507A31">
      <w:pPr>
        <w:jc w:val="both"/>
        <w:rPr>
          <w:color w:val="000000" w:themeColor="text1"/>
          <w:sz w:val="16"/>
          <w:szCs w:val="16"/>
        </w:rPr>
      </w:pPr>
      <w:r w:rsidRPr="00507A31">
        <w:rPr>
          <w:color w:val="000000" w:themeColor="text1"/>
          <w:sz w:val="16"/>
          <w:szCs w:val="16"/>
        </w:rPr>
        <w:t xml:space="preserve">ЦА ФСБ Ф. 2. Оп. 8. Д. 658. Л. 121-125 </w:t>
      </w:r>
    </w:p>
    <w:p w14:paraId="1B8A5A01" w14:textId="77777777" w:rsidR="00032649" w:rsidRPr="00507A31" w:rsidRDefault="00032649" w:rsidP="00507A31">
      <w:pPr>
        <w:jc w:val="both"/>
        <w:rPr>
          <w:color w:val="000000" w:themeColor="text1"/>
          <w:sz w:val="16"/>
          <w:szCs w:val="16"/>
        </w:rPr>
      </w:pPr>
      <w:r w:rsidRPr="00507A31">
        <w:rPr>
          <w:color w:val="000000" w:themeColor="text1"/>
          <w:sz w:val="16"/>
          <w:szCs w:val="16"/>
        </w:rPr>
        <w:t xml:space="preserve">Источник: </w:t>
      </w:r>
    </w:p>
    <w:p w14:paraId="25AB961B" w14:textId="77777777" w:rsidR="00032649" w:rsidRPr="00507A31" w:rsidRDefault="00032649" w:rsidP="00507A31">
      <w:pPr>
        <w:jc w:val="both"/>
        <w:rPr>
          <w:color w:val="000000" w:themeColor="text1"/>
          <w:sz w:val="16"/>
          <w:szCs w:val="16"/>
        </w:rPr>
      </w:pPr>
      <w:r w:rsidRPr="00507A31">
        <w:rPr>
          <w:color w:val="000000" w:themeColor="text1"/>
          <w:sz w:val="16"/>
          <w:szCs w:val="16"/>
        </w:rPr>
        <w:t>"Совершенно Секретно": Лубянка Сталину о положении в стране (1922-1934 гг), т.8 ч.1, 1930 г., Москва, 2008 Стр. 536-539 (11141).</w:t>
      </w:r>
    </w:p>
    <w:p w14:paraId="42AA570F" w14:textId="77777777" w:rsidR="00032649" w:rsidRPr="00507A31" w:rsidRDefault="00032649" w:rsidP="00507A31">
      <w:pPr>
        <w:jc w:val="both"/>
        <w:rPr>
          <w:color w:val="000000" w:themeColor="text1"/>
          <w:sz w:val="16"/>
          <w:szCs w:val="16"/>
        </w:rPr>
      </w:pPr>
    </w:p>
    <w:p w14:paraId="1BDABEB5" w14:textId="77777777" w:rsidR="00540F8E" w:rsidRPr="00507A31" w:rsidRDefault="00540F8E" w:rsidP="00507A31">
      <w:pPr>
        <w:jc w:val="both"/>
        <w:rPr>
          <w:color w:val="000000" w:themeColor="text1"/>
          <w:sz w:val="16"/>
          <w:szCs w:val="16"/>
        </w:rPr>
      </w:pPr>
      <w:r w:rsidRPr="00507A31">
        <w:rPr>
          <w:color w:val="000000" w:themeColor="text1"/>
          <w:sz w:val="16"/>
          <w:szCs w:val="16"/>
        </w:rPr>
        <w:t>1 октября 1930 г.</w:t>
      </w:r>
    </w:p>
    <w:p w14:paraId="31D2DA94" w14:textId="77777777" w:rsidR="00540F8E" w:rsidRPr="00507A31" w:rsidRDefault="00540F8E" w:rsidP="00507A31">
      <w:pPr>
        <w:jc w:val="both"/>
        <w:rPr>
          <w:color w:val="000000" w:themeColor="text1"/>
          <w:sz w:val="16"/>
          <w:szCs w:val="16"/>
        </w:rPr>
      </w:pPr>
      <w:r w:rsidRPr="00507A31">
        <w:rPr>
          <w:color w:val="000000" w:themeColor="text1"/>
          <w:sz w:val="16"/>
          <w:szCs w:val="16"/>
        </w:rPr>
        <w:t>Показания Е. Ф. Евреинова о структуре и составе «Промпартии», ее «политических и террористических установках», способах «вредительства». 1 октября 1930 г.</w:t>
      </w:r>
    </w:p>
    <w:p w14:paraId="01183BC8" w14:textId="77777777" w:rsidR="00540F8E" w:rsidRPr="00507A31" w:rsidRDefault="00540F8E" w:rsidP="00507A31">
      <w:pPr>
        <w:jc w:val="both"/>
        <w:rPr>
          <w:color w:val="000000" w:themeColor="text1"/>
          <w:sz w:val="16"/>
          <w:szCs w:val="16"/>
        </w:rPr>
      </w:pPr>
      <w:r w:rsidRPr="00507A31">
        <w:rPr>
          <w:color w:val="000000" w:themeColor="text1"/>
          <w:sz w:val="16"/>
          <w:szCs w:val="16"/>
        </w:rPr>
        <w:t>Источник: </w:t>
      </w:r>
    </w:p>
    <w:p w14:paraId="19BA1D3C" w14:textId="77777777" w:rsidR="00540F8E" w:rsidRPr="00507A31" w:rsidRDefault="00540F8E"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4003568" w14:textId="77777777" w:rsidR="00540F8E" w:rsidRPr="00507A31" w:rsidRDefault="00540F8E" w:rsidP="00507A31">
      <w:pPr>
        <w:jc w:val="both"/>
        <w:rPr>
          <w:color w:val="000000" w:themeColor="text1"/>
          <w:sz w:val="16"/>
          <w:szCs w:val="16"/>
        </w:rPr>
      </w:pPr>
      <w:r w:rsidRPr="00507A31">
        <w:rPr>
          <w:color w:val="000000" w:themeColor="text1"/>
          <w:sz w:val="16"/>
          <w:szCs w:val="16"/>
        </w:rPr>
        <w:t>1 октября 1930 г.</w:t>
      </w:r>
    </w:p>
    <w:p w14:paraId="670D9502" w14:textId="77777777" w:rsidR="00540F8E" w:rsidRPr="00507A31" w:rsidRDefault="00540F8E" w:rsidP="00507A31">
      <w:pPr>
        <w:jc w:val="both"/>
        <w:rPr>
          <w:color w:val="000000" w:themeColor="text1"/>
          <w:sz w:val="16"/>
          <w:szCs w:val="16"/>
        </w:rPr>
      </w:pPr>
      <w:r w:rsidRPr="00507A31">
        <w:rPr>
          <w:color w:val="000000" w:themeColor="text1"/>
          <w:sz w:val="16"/>
          <w:szCs w:val="16"/>
        </w:rPr>
        <w:t>[Строго секретно]</w:t>
      </w:r>
    </w:p>
    <w:p w14:paraId="0F1A5518" w14:textId="77777777" w:rsidR="00540F8E" w:rsidRPr="00507A31" w:rsidRDefault="00540F8E" w:rsidP="00507A31">
      <w:pPr>
        <w:jc w:val="both"/>
        <w:rPr>
          <w:color w:val="000000" w:themeColor="text1"/>
          <w:sz w:val="16"/>
          <w:szCs w:val="16"/>
        </w:rPr>
      </w:pPr>
      <w:r w:rsidRPr="00507A31">
        <w:rPr>
          <w:color w:val="000000" w:themeColor="text1"/>
          <w:sz w:val="16"/>
          <w:szCs w:val="16"/>
        </w:rPr>
        <w:t>ПРОТОКОЛ ДОПРОСА</w:t>
      </w:r>
    </w:p>
    <w:p w14:paraId="003F2FF9" w14:textId="77777777" w:rsidR="00540F8E" w:rsidRPr="00507A31" w:rsidRDefault="00540F8E" w:rsidP="00507A31">
      <w:pPr>
        <w:jc w:val="both"/>
        <w:rPr>
          <w:color w:val="000000" w:themeColor="text1"/>
          <w:sz w:val="16"/>
          <w:szCs w:val="16"/>
        </w:rPr>
      </w:pPr>
      <w:r w:rsidRPr="00507A31">
        <w:rPr>
          <w:color w:val="000000" w:themeColor="text1"/>
          <w:sz w:val="16"/>
          <w:szCs w:val="16"/>
        </w:rPr>
        <w:t>инженера ЕВРЕИНОВА Евгения Федоровича сего 1-го октября 1930 г.</w:t>
      </w:r>
    </w:p>
    <w:p w14:paraId="1320040E" w14:textId="77777777" w:rsidR="00540F8E" w:rsidRPr="00507A31" w:rsidRDefault="00540F8E" w:rsidP="00507A31">
      <w:pPr>
        <w:jc w:val="both"/>
        <w:rPr>
          <w:color w:val="000000" w:themeColor="text1"/>
          <w:sz w:val="16"/>
          <w:szCs w:val="16"/>
        </w:rPr>
      </w:pPr>
      <w:r w:rsidRPr="00507A31">
        <w:rPr>
          <w:color w:val="000000" w:themeColor="text1"/>
          <w:sz w:val="16"/>
          <w:szCs w:val="16"/>
        </w:rPr>
        <w:t>Допросили: Пом. Нач. СОУ ОГПУ АГРАНОВ.</w:t>
      </w:r>
    </w:p>
    <w:p w14:paraId="4E484116" w14:textId="77777777" w:rsidR="00540F8E" w:rsidRPr="00507A31" w:rsidRDefault="00540F8E" w:rsidP="00507A31">
      <w:pPr>
        <w:jc w:val="both"/>
        <w:rPr>
          <w:color w:val="000000" w:themeColor="text1"/>
          <w:sz w:val="16"/>
          <w:szCs w:val="16"/>
        </w:rPr>
      </w:pPr>
      <w:r w:rsidRPr="00507A31">
        <w:rPr>
          <w:color w:val="000000" w:themeColor="text1"/>
          <w:sz w:val="16"/>
          <w:szCs w:val="16"/>
        </w:rPr>
        <w:t>и Нач. 3 Отделения] СО ГПУ СЛАВАТИНСКИЙ.</w:t>
      </w:r>
    </w:p>
    <w:p w14:paraId="44F5D372" w14:textId="77777777" w:rsidR="00540F8E" w:rsidRPr="00507A31" w:rsidRDefault="00540F8E" w:rsidP="00507A31">
      <w:pPr>
        <w:jc w:val="both"/>
        <w:rPr>
          <w:color w:val="000000" w:themeColor="text1"/>
          <w:sz w:val="16"/>
          <w:szCs w:val="16"/>
        </w:rPr>
      </w:pPr>
      <w:r w:rsidRPr="00507A31">
        <w:rPr>
          <w:color w:val="000000" w:themeColor="text1"/>
          <w:sz w:val="16"/>
          <w:szCs w:val="16"/>
        </w:rPr>
        <w:t>1. Признаю себя виновным в том, что я состоял членом контрреволюционной организации, именовавшей себя «Промышленной Партией».</w:t>
      </w:r>
    </w:p>
    <w:p w14:paraId="25BDA265" w14:textId="77777777" w:rsidR="00540F8E" w:rsidRPr="00507A31" w:rsidRDefault="00540F8E" w:rsidP="00507A31">
      <w:pPr>
        <w:jc w:val="both"/>
        <w:rPr>
          <w:color w:val="000000" w:themeColor="text1"/>
          <w:sz w:val="16"/>
          <w:szCs w:val="16"/>
        </w:rPr>
      </w:pPr>
      <w:r w:rsidRPr="00507A31">
        <w:rPr>
          <w:color w:val="000000" w:themeColor="text1"/>
          <w:sz w:val="16"/>
          <w:szCs w:val="16"/>
        </w:rPr>
        <w:t>Добавляю, что название ее, — в обиходе, среди членов организации, —  вариировалось, — организация эта называлась также «Инженерно-Промышленной Партией», а сокращенно и для конспирации «П.П.»</w:t>
      </w:r>
    </w:p>
    <w:p w14:paraId="770BB855" w14:textId="77777777" w:rsidR="00540F8E" w:rsidRPr="00507A31" w:rsidRDefault="00540F8E" w:rsidP="00507A31">
      <w:pPr>
        <w:jc w:val="both"/>
        <w:rPr>
          <w:color w:val="000000" w:themeColor="text1"/>
          <w:sz w:val="16"/>
          <w:szCs w:val="16"/>
        </w:rPr>
      </w:pPr>
      <w:r w:rsidRPr="00507A31">
        <w:rPr>
          <w:color w:val="000000" w:themeColor="text1"/>
          <w:sz w:val="16"/>
          <w:szCs w:val="16"/>
        </w:rPr>
        <w:t>В «Промышленную Партию» меня вовлек профессор РАМЗИИ Леонид Константинович. Это относится к концу 1927 года.</w:t>
      </w:r>
    </w:p>
    <w:p w14:paraId="17AB8533" w14:textId="77777777" w:rsidR="00540F8E" w:rsidRPr="00507A31" w:rsidRDefault="00540F8E" w:rsidP="00507A31">
      <w:pPr>
        <w:jc w:val="both"/>
        <w:rPr>
          <w:color w:val="000000" w:themeColor="text1"/>
          <w:sz w:val="16"/>
          <w:szCs w:val="16"/>
        </w:rPr>
      </w:pPr>
      <w:r w:rsidRPr="00507A31">
        <w:rPr>
          <w:color w:val="000000" w:themeColor="text1"/>
          <w:sz w:val="16"/>
          <w:szCs w:val="16"/>
        </w:rPr>
        <w:t>2. СТРУКТУРА ОРГАНИЗАЦИИ.</w:t>
      </w:r>
    </w:p>
    <w:p w14:paraId="2A21B3CB" w14:textId="77777777" w:rsidR="00540F8E" w:rsidRPr="00507A31" w:rsidRDefault="00540F8E" w:rsidP="00507A31">
      <w:pPr>
        <w:jc w:val="both"/>
        <w:rPr>
          <w:color w:val="000000" w:themeColor="text1"/>
          <w:sz w:val="16"/>
          <w:szCs w:val="16"/>
        </w:rPr>
      </w:pPr>
      <w:r w:rsidRPr="00507A31">
        <w:rPr>
          <w:color w:val="000000" w:themeColor="text1"/>
          <w:sz w:val="16"/>
          <w:szCs w:val="16"/>
        </w:rPr>
        <w:t>Структура «Промышленной Партии» представляется в следующем виде.</w:t>
      </w:r>
    </w:p>
    <w:p w14:paraId="69FB4A69" w14:textId="77777777" w:rsidR="00540F8E" w:rsidRPr="00507A31" w:rsidRDefault="00540F8E" w:rsidP="00507A31">
      <w:pPr>
        <w:jc w:val="both"/>
        <w:rPr>
          <w:color w:val="000000" w:themeColor="text1"/>
          <w:sz w:val="16"/>
          <w:szCs w:val="16"/>
        </w:rPr>
      </w:pPr>
      <w:r w:rsidRPr="00507A31">
        <w:rPr>
          <w:color w:val="000000" w:themeColor="text1"/>
          <w:sz w:val="16"/>
          <w:szCs w:val="16"/>
        </w:rPr>
        <w:t>Во главе партии стоит ея Центральный Комитет из членов какового мне известны, как таковые, — профессор РАМЗИИ и ЛАРИЧЕВ. Центральный комитет был непосредственно связан с отраслевыми центрами, которые охватывали почти все участки и отрасли промышленности. В свою очередь отраслевые центры были связаны с периферийными ячейками «П.П.» в различных хозяйственных и промышленных предприятиях и учреждениях. Поскольку я не входил в центральный комитет с одной стороны и поскольку работа «Промышленной Партии» протекала в условиях глубокой конспирации, — все структурные построения</w:t>
      </w:r>
    </w:p>
    <w:p w14:paraId="68628BEA" w14:textId="77777777" w:rsidR="00540F8E" w:rsidRPr="00507A31" w:rsidRDefault="00540F8E" w:rsidP="00507A31">
      <w:pPr>
        <w:jc w:val="both"/>
        <w:rPr>
          <w:color w:val="000000" w:themeColor="text1"/>
          <w:sz w:val="16"/>
          <w:szCs w:val="16"/>
        </w:rPr>
      </w:pPr>
      <w:r w:rsidRPr="00507A31">
        <w:rPr>
          <w:color w:val="000000" w:themeColor="text1"/>
          <w:sz w:val="16"/>
          <w:szCs w:val="16"/>
        </w:rPr>
        <w:t>«П.П.» мне известны не были. Однако из разговоров с РАМЗИНЫМ Л. К. у меня создавалось впечатление о том, что Промышленная Партия, повторяю, охватывала основные участки промышленности и таким образом была мощной действующей организацией.</w:t>
      </w:r>
    </w:p>
    <w:p w14:paraId="279E6DD2" w14:textId="77777777" w:rsidR="00540F8E" w:rsidRPr="00507A31" w:rsidRDefault="00540F8E" w:rsidP="00507A31">
      <w:pPr>
        <w:jc w:val="both"/>
        <w:rPr>
          <w:color w:val="000000" w:themeColor="text1"/>
          <w:sz w:val="16"/>
          <w:szCs w:val="16"/>
        </w:rPr>
      </w:pPr>
      <w:r w:rsidRPr="00507A31">
        <w:rPr>
          <w:color w:val="000000" w:themeColor="text1"/>
          <w:sz w:val="16"/>
          <w:szCs w:val="16"/>
        </w:rPr>
        <w:t>Я лично вел в «Промышленной Партии» работу по линии промышленной энергетики. Из других членов «П.П.», которые вели работу в этом же направлении — могу назвать профессора ДАВИДОВА Н. А.; ПРЕДТЕЧЕНСКОГО Сергея Васильевича, ДОМАНТОВИЧА Бориса Николаевича. Кроме того[,] я вовлек в организацию, в качестве ея рядовых членов группу молодых инженеров Теплотехнического Института, которые были связаны со мною в повседневной технической работе.</w:t>
      </w:r>
    </w:p>
    <w:p w14:paraId="03E7D4A7" w14:textId="77777777" w:rsidR="00540F8E" w:rsidRPr="00507A31" w:rsidRDefault="00540F8E" w:rsidP="00507A31">
      <w:pPr>
        <w:jc w:val="both"/>
        <w:rPr>
          <w:color w:val="000000" w:themeColor="text1"/>
          <w:sz w:val="16"/>
          <w:szCs w:val="16"/>
        </w:rPr>
      </w:pPr>
      <w:r w:rsidRPr="00507A31">
        <w:rPr>
          <w:color w:val="000000" w:themeColor="text1"/>
          <w:sz w:val="16"/>
          <w:szCs w:val="16"/>
        </w:rPr>
        <w:t>Из этих инженеров, как членов «Промышленной Партии», вступивших в нее разновременно, в периоде с конца 1927 по 1929 г., могу назвать следующих лиц:</w:t>
      </w:r>
    </w:p>
    <w:p w14:paraId="6FD5C975" w14:textId="77777777" w:rsidR="00540F8E" w:rsidRPr="00507A31" w:rsidRDefault="00540F8E" w:rsidP="00507A31">
      <w:pPr>
        <w:jc w:val="both"/>
        <w:rPr>
          <w:color w:val="000000" w:themeColor="text1"/>
          <w:sz w:val="16"/>
          <w:szCs w:val="16"/>
        </w:rPr>
      </w:pPr>
      <w:r w:rsidRPr="00507A31">
        <w:rPr>
          <w:color w:val="000000" w:themeColor="text1"/>
          <w:sz w:val="16"/>
          <w:szCs w:val="16"/>
        </w:rPr>
        <w:t>1. ДЫДЗИНСКОГО Олега Ивановича, 2) ШИШОВА Всеволода Федоровича, 3) БУЛАШЕВИЧА Александра Фроловича, 4) ПРАСОЛОВА Михаила Николаевича, 5) РЕВОКАТОВА Николая Николаевича, 6) ТИТОВА Ивана Сергеевича, 7) СМИРНОВА Сергея Михайловича.</w:t>
      </w:r>
    </w:p>
    <w:p w14:paraId="779E6F95" w14:textId="77777777" w:rsidR="00540F8E" w:rsidRPr="00507A31" w:rsidRDefault="00540F8E" w:rsidP="00507A31">
      <w:pPr>
        <w:jc w:val="both"/>
        <w:rPr>
          <w:color w:val="000000" w:themeColor="text1"/>
          <w:sz w:val="16"/>
          <w:szCs w:val="16"/>
        </w:rPr>
      </w:pPr>
      <w:r w:rsidRPr="00507A31">
        <w:rPr>
          <w:color w:val="000000" w:themeColor="text1"/>
          <w:sz w:val="16"/>
          <w:szCs w:val="16"/>
        </w:rPr>
        <w:t>Все вышеперечисленные семь человек были членами «Промышленной Партии», знали о названии этой организации, о ея конечных политических задачах — и в общей форме о структуре организации.</w:t>
      </w:r>
    </w:p>
    <w:p w14:paraId="142B9E7E" w14:textId="77777777" w:rsidR="00540F8E" w:rsidRPr="00507A31" w:rsidRDefault="00540F8E" w:rsidP="00507A31">
      <w:pPr>
        <w:jc w:val="both"/>
        <w:rPr>
          <w:color w:val="000000" w:themeColor="text1"/>
          <w:sz w:val="16"/>
          <w:szCs w:val="16"/>
        </w:rPr>
      </w:pPr>
      <w:r w:rsidRPr="00507A31">
        <w:rPr>
          <w:color w:val="000000" w:themeColor="text1"/>
          <w:sz w:val="16"/>
          <w:szCs w:val="16"/>
        </w:rPr>
        <w:t>Кроме того, я вел индивидуальную обработку в духе идей «Промышленной Партии» инженеров: ЦЕЙЦА Николая Валентиновича и ХОЛОСТОВА Александра Николаевича. Таким образом в Техническом отделе Теплотехнического Института была группа членов «Промышленной Партии» в составе десяти человек, вышеперечисленных лиц. Группу эту возглавлял я и связывал ее с Центральным Комитетом в лице РАМЗИНА.</w:t>
      </w:r>
    </w:p>
    <w:p w14:paraId="686C08E2" w14:textId="77777777" w:rsidR="00540F8E" w:rsidRPr="00507A31" w:rsidRDefault="00540F8E" w:rsidP="00507A31">
      <w:pPr>
        <w:jc w:val="both"/>
        <w:rPr>
          <w:color w:val="000000" w:themeColor="text1"/>
          <w:sz w:val="16"/>
          <w:szCs w:val="16"/>
        </w:rPr>
      </w:pPr>
      <w:r w:rsidRPr="00507A31">
        <w:rPr>
          <w:color w:val="000000" w:themeColor="text1"/>
          <w:sz w:val="16"/>
          <w:szCs w:val="16"/>
        </w:rPr>
        <w:t>Кроме группы «П.П.» в Теплотехническом Институте была группа «П.П.» и в МВТУ.</w:t>
      </w:r>
    </w:p>
    <w:p w14:paraId="139DC063" w14:textId="77777777" w:rsidR="00540F8E" w:rsidRPr="00507A31" w:rsidRDefault="00540F8E" w:rsidP="00507A31">
      <w:pPr>
        <w:jc w:val="both"/>
        <w:rPr>
          <w:color w:val="000000" w:themeColor="text1"/>
          <w:sz w:val="16"/>
          <w:szCs w:val="16"/>
        </w:rPr>
      </w:pPr>
      <w:r w:rsidRPr="00507A31">
        <w:rPr>
          <w:color w:val="000000" w:themeColor="text1"/>
          <w:sz w:val="16"/>
          <w:szCs w:val="16"/>
        </w:rPr>
        <w:t>Группа эта состояла из студентов. Организована она была членами промышленной партии, преподавателями МВТУ: РАМЗИНЫМ, мною, КОЗЛИНСКИМ, ЛИППЕ, ДАВИДОВЫМ и НОВИ Валентином Осиповичем. Руководящую роль в студенческой группе МВТУ играли я и профессор ДАВИДОВ. В состав этой группы входило из известных мне студентов — человек пять-шесть. Однако группа «П.П.» в МВТУ была несомненно более значительной по своим размерам, т. к., повторяю, работу по вербовке в «Промышленную Партию» студентов МВТУ вели семь вышеупомянутых мною преподавателей, в том числе и я.</w:t>
      </w:r>
    </w:p>
    <w:p w14:paraId="25EA5A3A" w14:textId="77777777" w:rsidR="00540F8E" w:rsidRPr="00507A31" w:rsidRDefault="00540F8E" w:rsidP="00507A31">
      <w:pPr>
        <w:jc w:val="both"/>
        <w:rPr>
          <w:color w:val="000000" w:themeColor="text1"/>
          <w:sz w:val="16"/>
          <w:szCs w:val="16"/>
        </w:rPr>
      </w:pPr>
      <w:r w:rsidRPr="00507A31">
        <w:rPr>
          <w:color w:val="000000" w:themeColor="text1"/>
          <w:sz w:val="16"/>
          <w:szCs w:val="16"/>
        </w:rPr>
        <w:t>Из состава завербованных лично мной в «П.П.» студентов могу назвать: ЛАЗАРЕВА (ныне работает в Котлотурбине), КАРТОШКИНА (работает в Древстрое); КОЗЛОВА, СУШКИНА Игоря Николаевича (сын профессора), ОБНОСКОВА.</w:t>
      </w:r>
    </w:p>
    <w:p w14:paraId="2A9428C1" w14:textId="77777777" w:rsidR="00540F8E" w:rsidRPr="00507A31" w:rsidRDefault="00540F8E" w:rsidP="00507A31">
      <w:pPr>
        <w:jc w:val="both"/>
        <w:rPr>
          <w:color w:val="000000" w:themeColor="text1"/>
          <w:sz w:val="16"/>
          <w:szCs w:val="16"/>
        </w:rPr>
      </w:pPr>
      <w:r w:rsidRPr="00507A31">
        <w:rPr>
          <w:color w:val="000000" w:themeColor="text1"/>
          <w:sz w:val="16"/>
          <w:szCs w:val="16"/>
        </w:rPr>
        <w:t>Кроме вышеперечисленных лиц — по МВТУ могу указать, как на человека, который по моим предположениям был членом «Промышленной Партии» — на профессора НАДЕЖИНА А. А., такие предположения у меня вытекают из разговоров, которые я имел лично с ним.</w:t>
      </w:r>
    </w:p>
    <w:p w14:paraId="10EC4B1C" w14:textId="77777777" w:rsidR="00540F8E" w:rsidRPr="00507A31" w:rsidRDefault="00540F8E" w:rsidP="00507A31">
      <w:pPr>
        <w:jc w:val="both"/>
        <w:rPr>
          <w:color w:val="000000" w:themeColor="text1"/>
          <w:sz w:val="16"/>
          <w:szCs w:val="16"/>
        </w:rPr>
      </w:pPr>
      <w:r w:rsidRPr="00507A31">
        <w:rPr>
          <w:color w:val="000000" w:themeColor="text1"/>
          <w:sz w:val="16"/>
          <w:szCs w:val="16"/>
        </w:rPr>
        <w:t>По МОГЕСу я твердо знаю, как активных работников «Промышленной Партии» — ВЕТЧИНКИНА Якова Павловича и МОКЕЕВА Владимира Александровича.</w:t>
      </w:r>
    </w:p>
    <w:p w14:paraId="540A203A" w14:textId="77777777" w:rsidR="00540F8E" w:rsidRPr="00507A31" w:rsidRDefault="00540F8E" w:rsidP="00507A31">
      <w:pPr>
        <w:jc w:val="both"/>
        <w:rPr>
          <w:color w:val="000000" w:themeColor="text1"/>
          <w:sz w:val="16"/>
          <w:szCs w:val="16"/>
        </w:rPr>
      </w:pPr>
      <w:r w:rsidRPr="00507A31">
        <w:rPr>
          <w:color w:val="000000" w:themeColor="text1"/>
          <w:sz w:val="16"/>
          <w:szCs w:val="16"/>
        </w:rPr>
        <w:t>О том, что и ВЕТЧИНКИН и МОКЕЕВ — члены «Промышленной Партии» и руководители ея группы в МОГЕСе[,] я хорошо знаю, как от РАМЗИНА Л. К., так и лично от них.</w:t>
      </w:r>
    </w:p>
    <w:p w14:paraId="23832D9C" w14:textId="77777777" w:rsidR="00540F8E" w:rsidRPr="00507A31" w:rsidRDefault="00540F8E" w:rsidP="00507A31">
      <w:pPr>
        <w:jc w:val="both"/>
        <w:rPr>
          <w:color w:val="000000" w:themeColor="text1"/>
          <w:sz w:val="16"/>
          <w:szCs w:val="16"/>
        </w:rPr>
      </w:pPr>
      <w:r w:rsidRPr="00507A31">
        <w:rPr>
          <w:color w:val="000000" w:themeColor="text1"/>
          <w:sz w:val="16"/>
          <w:szCs w:val="16"/>
        </w:rPr>
        <w:t>ВЕТЧИНКИН и МОКЕЕВ неоднократно рас [с] называл и мне о том, что ими создана группа «Промышленной Партии», в состав которой входило человек пять инженеров из правления МОГЕСа. Могесовская группа «П.П.»[,] со слов ВЕТЧИНКИНА[,] была связана через ВЕТЧИНКИНА с РАМЗИНЫМ, фамилии членов могесовской группы ВЕТЧИНКИН мне, насколько я помню[,] сообщал, но, так как разговор о П.П. я имел с ВЕТЧИНКИНЫМ в последний раз в середине 1929 г. (в Доме Союзов на каком[-]то докладе в семинарии по энергетике) — то эти фамилии сейчас назвать не могу. Знаю лишь, что одним из членов могесовской группы «Промышленной Партии» был какой[-]то инженер- электрик из отдела сетей.</w:t>
      </w:r>
    </w:p>
    <w:p w14:paraId="7A7979A8" w14:textId="77777777" w:rsidR="00540F8E" w:rsidRPr="00507A31" w:rsidRDefault="00540F8E" w:rsidP="00507A31">
      <w:pPr>
        <w:jc w:val="both"/>
        <w:rPr>
          <w:color w:val="000000" w:themeColor="text1"/>
          <w:sz w:val="16"/>
          <w:szCs w:val="16"/>
        </w:rPr>
      </w:pPr>
      <w:r w:rsidRPr="00507A31">
        <w:rPr>
          <w:color w:val="000000" w:themeColor="text1"/>
          <w:sz w:val="16"/>
          <w:szCs w:val="16"/>
        </w:rPr>
        <w:t>С МОКЕЕВЫМ разговор о промышленной партии вообще и об ея группе в МОГЕСе я имел последний раз с месяц тому назад, в помещении проэктного отдела Котлотурбины.</w:t>
      </w:r>
    </w:p>
    <w:p w14:paraId="213D26E2" w14:textId="77777777" w:rsidR="00540F8E" w:rsidRPr="00507A31" w:rsidRDefault="00540F8E" w:rsidP="00507A31">
      <w:pPr>
        <w:jc w:val="both"/>
        <w:rPr>
          <w:color w:val="000000" w:themeColor="text1"/>
          <w:sz w:val="16"/>
          <w:szCs w:val="16"/>
        </w:rPr>
      </w:pPr>
      <w:r w:rsidRPr="00507A31">
        <w:rPr>
          <w:color w:val="000000" w:themeColor="text1"/>
          <w:sz w:val="16"/>
          <w:szCs w:val="16"/>
        </w:rPr>
        <w:t>Со слов ВЕТЧИНКИНА и МОКЕЕВА — работа возглавлявшейся ими группы «Промышленной Партии» в основном сводилась к нарочитому недоиспользованию оборудования электростанций МОГЕСа с тем, чтобы этим самым замедлить темп роста отдачи энергии в сеть. Кроме этого группа ВЕТЧИНКИНА и МОКЕЕВА производила, если можно так выразиться, бескровные диверсионные акты, путем нарушения диспетчерской службы. Эти диверсионные акты, естественно, производились не ВЕТЧИНКИНЫМ и МОКЕЕВЫМ непосредственно, а персоналом диспетчерской службы. В результате таких диверсионных актов и должны были получаться срывы подачи энергии на различные промышленные предприятия. Кроме того[,] ВЕТЧИНКИН и МОКЕЕВ непосредственно вели вредительскую работу, сводившуюся к тому, что они нарочито не проводили в жизнь рационализаторские мероприятия по станциям МОГЕСа.</w:t>
      </w:r>
    </w:p>
    <w:p w14:paraId="42096187" w14:textId="77777777" w:rsidR="00540F8E" w:rsidRPr="00507A31" w:rsidRDefault="00540F8E" w:rsidP="00507A31">
      <w:pPr>
        <w:jc w:val="both"/>
        <w:rPr>
          <w:color w:val="000000" w:themeColor="text1"/>
          <w:sz w:val="16"/>
          <w:szCs w:val="16"/>
        </w:rPr>
      </w:pPr>
      <w:r w:rsidRPr="00507A31">
        <w:rPr>
          <w:color w:val="000000" w:themeColor="text1"/>
          <w:sz w:val="16"/>
          <w:szCs w:val="16"/>
        </w:rPr>
        <w:t>ВЕТЧИНКИН и МОКЕЕВ лично говорили мне о том, что в нужный момент, когда по приказу Центрального Комитета Промышленной Партии, в лице РАМЗИНА, нужно будет приступить к террору и к диверсионным актам — возглавлявшаяся ими группа «П.П.» сможет вывести из строя электростанции МОГЕСа, не нарушая их внешней целостности.</w:t>
      </w:r>
    </w:p>
    <w:p w14:paraId="7CEF3F12" w14:textId="77777777" w:rsidR="00540F8E" w:rsidRPr="00507A31" w:rsidRDefault="00540F8E" w:rsidP="00507A31">
      <w:pPr>
        <w:jc w:val="both"/>
        <w:rPr>
          <w:color w:val="000000" w:themeColor="text1"/>
          <w:sz w:val="16"/>
          <w:szCs w:val="16"/>
        </w:rPr>
      </w:pPr>
      <w:r w:rsidRPr="00507A31">
        <w:rPr>
          <w:color w:val="000000" w:themeColor="text1"/>
          <w:sz w:val="16"/>
          <w:szCs w:val="16"/>
        </w:rPr>
        <w:t>Такие диверсионные акты практически можно осуществить путем нарушения диспетчерской службы и выведением из строя крупных турбогенераторов. В такой плоскости я, ВЕТЧИНКИН и МОКЕЕВ вели разговоры, когда мы обсуждали вопросы о практическом направлении деятельности группы «Промышленной Партии» на МОГЕСе.</w:t>
      </w:r>
    </w:p>
    <w:p w14:paraId="01539D3D" w14:textId="77777777" w:rsidR="00540F8E" w:rsidRPr="00507A31" w:rsidRDefault="00540F8E" w:rsidP="00507A31">
      <w:pPr>
        <w:jc w:val="both"/>
        <w:rPr>
          <w:color w:val="000000" w:themeColor="text1"/>
          <w:sz w:val="16"/>
          <w:szCs w:val="16"/>
        </w:rPr>
      </w:pPr>
      <w:r w:rsidRPr="00507A31">
        <w:rPr>
          <w:color w:val="000000" w:themeColor="text1"/>
          <w:sz w:val="16"/>
          <w:szCs w:val="16"/>
        </w:rPr>
        <w:t>В группу «П.П.» на МОГЕСе входил и инженер САВЕЛОВ Николай Михайлович, не вернувшийся в СССР из служебной командировки в Англию. Со слов ВЕТЧИНКИНА и МОКЕЕВА мне известно, что он вел вредительскую работу, выражавшуюся в замедлении темпов проэктных работ и оформления заказов на крупное импортное оборудование. Последнее поручение он получил при своей командировке за границу.</w:t>
      </w:r>
    </w:p>
    <w:p w14:paraId="7FC3DED6" w14:textId="77777777" w:rsidR="00540F8E" w:rsidRPr="00507A31" w:rsidRDefault="00540F8E" w:rsidP="00507A31">
      <w:pPr>
        <w:jc w:val="both"/>
        <w:rPr>
          <w:color w:val="000000" w:themeColor="text1"/>
          <w:sz w:val="16"/>
          <w:szCs w:val="16"/>
        </w:rPr>
      </w:pPr>
      <w:r w:rsidRPr="00507A31">
        <w:rPr>
          <w:color w:val="000000" w:themeColor="text1"/>
          <w:sz w:val="16"/>
          <w:szCs w:val="16"/>
        </w:rPr>
        <w:t>Предполагаю, что невозвращение САВЕЛОВА в СССР явилось результатом выполнения им соответствующих поручений РАМЗИНА.</w:t>
      </w:r>
    </w:p>
    <w:p w14:paraId="1848A1FF" w14:textId="77777777" w:rsidR="00540F8E" w:rsidRPr="00507A31" w:rsidRDefault="00540F8E" w:rsidP="00507A31">
      <w:pPr>
        <w:jc w:val="both"/>
        <w:rPr>
          <w:color w:val="000000" w:themeColor="text1"/>
          <w:sz w:val="16"/>
          <w:szCs w:val="16"/>
        </w:rPr>
      </w:pPr>
      <w:r w:rsidRPr="00507A31">
        <w:rPr>
          <w:color w:val="000000" w:themeColor="text1"/>
          <w:sz w:val="16"/>
          <w:szCs w:val="16"/>
        </w:rPr>
        <w:t>Расценивая деятельность групп[ы] «П.П.» на МОГЕСе, я считаю, что таковая была одной из наиболее действенных по своему вредительству.</w:t>
      </w:r>
    </w:p>
    <w:p w14:paraId="357B6205" w14:textId="77777777" w:rsidR="00540F8E" w:rsidRPr="00507A31" w:rsidRDefault="00540F8E" w:rsidP="00507A31">
      <w:pPr>
        <w:jc w:val="both"/>
        <w:rPr>
          <w:color w:val="000000" w:themeColor="text1"/>
          <w:sz w:val="16"/>
          <w:szCs w:val="16"/>
        </w:rPr>
      </w:pPr>
      <w:r w:rsidRPr="00507A31">
        <w:rPr>
          <w:color w:val="000000" w:themeColor="text1"/>
          <w:sz w:val="16"/>
          <w:szCs w:val="16"/>
        </w:rPr>
        <w:t>Несомненно, что эта группа имела свои периферийные разветвления на отдельных электростанциях.</w:t>
      </w:r>
    </w:p>
    <w:p w14:paraId="596C1E00" w14:textId="77777777" w:rsidR="00540F8E" w:rsidRPr="00507A31" w:rsidRDefault="00540F8E" w:rsidP="00507A31">
      <w:pPr>
        <w:jc w:val="both"/>
        <w:rPr>
          <w:color w:val="000000" w:themeColor="text1"/>
          <w:sz w:val="16"/>
          <w:szCs w:val="16"/>
        </w:rPr>
      </w:pPr>
      <w:r w:rsidRPr="00507A31">
        <w:rPr>
          <w:color w:val="000000" w:themeColor="text1"/>
          <w:sz w:val="16"/>
          <w:szCs w:val="16"/>
        </w:rPr>
        <w:lastRenderedPageBreak/>
        <w:t>В заключение об этой группе «П.П.» на МОГЕСе добавляю, что прямым методом широкого охвата этой группой электростанций промышленных предприятий является недавно установленное положение о передаче в ведение МОГЕСа введенных в эксплоатацию фабрично-заводских тепло-электро-централей, работающих по электризации сторон параллельно с сетью МОГЕСа.</w:t>
      </w:r>
    </w:p>
    <w:p w14:paraId="23C7CB15" w14:textId="77777777" w:rsidR="00540F8E" w:rsidRPr="00507A31" w:rsidRDefault="00540F8E" w:rsidP="00507A31">
      <w:pPr>
        <w:jc w:val="both"/>
        <w:rPr>
          <w:color w:val="000000" w:themeColor="text1"/>
          <w:sz w:val="16"/>
          <w:szCs w:val="16"/>
        </w:rPr>
      </w:pPr>
      <w:r w:rsidRPr="00507A31">
        <w:rPr>
          <w:color w:val="000000" w:themeColor="text1"/>
          <w:sz w:val="16"/>
          <w:szCs w:val="16"/>
        </w:rPr>
        <w:t>Само по себе такое положение является рациональным с точки зрения централизаци[и] работы электростанции, однако это же положение чрезвычайно легко может быть использовано для вредительских целей.</w:t>
      </w:r>
    </w:p>
    <w:p w14:paraId="42C69961" w14:textId="77777777" w:rsidR="00540F8E" w:rsidRPr="00507A31" w:rsidRDefault="00540F8E" w:rsidP="00507A31">
      <w:pPr>
        <w:jc w:val="both"/>
        <w:rPr>
          <w:color w:val="000000" w:themeColor="text1"/>
          <w:sz w:val="16"/>
          <w:szCs w:val="16"/>
        </w:rPr>
      </w:pPr>
      <w:r w:rsidRPr="00507A31">
        <w:rPr>
          <w:color w:val="000000" w:themeColor="text1"/>
          <w:sz w:val="16"/>
          <w:szCs w:val="16"/>
        </w:rPr>
        <w:t>Кроме вышеуказанных трех групп «Промышленной Партии» (в Теплотехническом институте, в МВТУ и на МОГЕСе) со слов РАМЗИНА мне известно, что «П.П.» имела — по его выражению — базу в Красной армии. Рассказывая мне об этом, РАМЗИН сообщал мне свои персональные по линии «Промышленной партии» связи в Красной армии, каковые сейчас не могу вспомнить. Вспоминаю лишь, что РАМЗИНЫМ упоминались его связи со штабом РККА, военно-хозяйственными учреждениями и военно-воздушным флотом. Эти связи были чисто партийного характера и поддерживались непосредственно Центральным комитетом, поскольку они носили строго конспиративный характер. РАМЗИН мне говорил также и о том, что «Промышленная партия» имела возможность охватывать своим влиянием территориальные части через своих членов, отбывающих лагерные сборы.</w:t>
      </w:r>
    </w:p>
    <w:p w14:paraId="57F6F348" w14:textId="77777777" w:rsidR="00540F8E" w:rsidRPr="00507A31" w:rsidRDefault="00540F8E" w:rsidP="00507A31">
      <w:pPr>
        <w:jc w:val="both"/>
        <w:rPr>
          <w:color w:val="000000" w:themeColor="text1"/>
          <w:sz w:val="16"/>
          <w:szCs w:val="16"/>
        </w:rPr>
      </w:pPr>
      <w:r w:rsidRPr="00507A31">
        <w:rPr>
          <w:color w:val="000000" w:themeColor="text1"/>
          <w:sz w:val="16"/>
          <w:szCs w:val="16"/>
        </w:rPr>
        <w:t>Из членов «П.П.» в прошлом военных (б[ывших] офицеров) могу назвать следующих лиц: КОЗЛИНСКОГО, ЛИППЕ, БУЛАШЕВИЧА,</w:t>
      </w:r>
    </w:p>
    <w:p w14:paraId="37DFF137" w14:textId="77777777" w:rsidR="00540F8E" w:rsidRPr="00507A31" w:rsidRDefault="00540F8E" w:rsidP="00507A31">
      <w:pPr>
        <w:jc w:val="both"/>
        <w:rPr>
          <w:color w:val="000000" w:themeColor="text1"/>
          <w:sz w:val="16"/>
          <w:szCs w:val="16"/>
        </w:rPr>
      </w:pPr>
      <w:r w:rsidRPr="00507A31">
        <w:rPr>
          <w:color w:val="000000" w:themeColor="text1"/>
          <w:sz w:val="16"/>
          <w:szCs w:val="16"/>
        </w:rPr>
        <w:t>СМИРНОВА и ВЕТЧИНКИНА. Из этих лиц в террористические группы «Промышленной Партии» входили первые четыре ее члена.</w:t>
      </w:r>
    </w:p>
    <w:p w14:paraId="25359F94" w14:textId="77777777" w:rsidR="00540F8E" w:rsidRPr="00507A31" w:rsidRDefault="00540F8E" w:rsidP="00507A31">
      <w:pPr>
        <w:jc w:val="both"/>
        <w:rPr>
          <w:color w:val="000000" w:themeColor="text1"/>
          <w:sz w:val="16"/>
          <w:szCs w:val="16"/>
        </w:rPr>
      </w:pPr>
      <w:r w:rsidRPr="00507A31">
        <w:rPr>
          <w:color w:val="000000" w:themeColor="text1"/>
          <w:sz w:val="16"/>
          <w:szCs w:val="16"/>
        </w:rPr>
        <w:t>3. ПОЛИТИЧЕСКИЕ УСТАНОВКИ «ПРОМЫШЛЕННОЙ ПАРТИИ».</w:t>
      </w:r>
    </w:p>
    <w:p w14:paraId="1537A704" w14:textId="77777777" w:rsidR="00540F8E" w:rsidRPr="00507A31" w:rsidRDefault="00540F8E" w:rsidP="00507A31">
      <w:pPr>
        <w:jc w:val="both"/>
        <w:rPr>
          <w:color w:val="000000" w:themeColor="text1"/>
          <w:sz w:val="16"/>
          <w:szCs w:val="16"/>
        </w:rPr>
      </w:pPr>
      <w:r w:rsidRPr="00507A31">
        <w:rPr>
          <w:color w:val="000000" w:themeColor="text1"/>
          <w:sz w:val="16"/>
          <w:szCs w:val="16"/>
        </w:rPr>
        <w:t>Конечные политические задачи «Промышленной Партии» вытекали из ея основных программных установок, которые в последовательном порядке определялись следующим:</w:t>
      </w:r>
    </w:p>
    <w:p w14:paraId="130F0B6A" w14:textId="77777777" w:rsidR="00540F8E" w:rsidRPr="00507A31" w:rsidRDefault="00540F8E" w:rsidP="00507A31">
      <w:pPr>
        <w:jc w:val="both"/>
        <w:rPr>
          <w:color w:val="000000" w:themeColor="text1"/>
          <w:sz w:val="16"/>
          <w:szCs w:val="16"/>
        </w:rPr>
      </w:pPr>
      <w:r w:rsidRPr="00507A31">
        <w:rPr>
          <w:color w:val="000000" w:themeColor="text1"/>
          <w:sz w:val="16"/>
          <w:szCs w:val="16"/>
        </w:rPr>
        <w:t>В начальный период существования «Промышленной партии», которая возникла в конце 1927 — начале 1928 г.г., партия целиком ориентировалась на правый уклон.</w:t>
      </w:r>
    </w:p>
    <w:p w14:paraId="43359582" w14:textId="77777777" w:rsidR="00540F8E" w:rsidRPr="00507A31" w:rsidRDefault="00540F8E" w:rsidP="00507A31">
      <w:pPr>
        <w:jc w:val="both"/>
        <w:rPr>
          <w:color w:val="000000" w:themeColor="text1"/>
          <w:sz w:val="16"/>
          <w:szCs w:val="16"/>
        </w:rPr>
      </w:pPr>
      <w:r w:rsidRPr="00507A31">
        <w:rPr>
          <w:color w:val="000000" w:themeColor="text1"/>
          <w:sz w:val="16"/>
          <w:szCs w:val="16"/>
        </w:rPr>
        <w:t>Установки правой оппозиции — на замедленный, «спокойный» темп развития народного хозяйства, на известную демократизацию советской системы и развертывание частной инициативы — в промышленности и торговле в известных пределах, не нарушающих гегемонию государства, — все это, в конечном итоге, давало нам возможность строить расчеты на установлении государственного строя, основанного на коалиции демократических элементов технической интеллигенции с правыми элементами внутри ВКП(б).</w:t>
      </w:r>
    </w:p>
    <w:p w14:paraId="79B5784F" w14:textId="77777777" w:rsidR="00540F8E" w:rsidRPr="00507A31" w:rsidRDefault="00540F8E" w:rsidP="00507A31">
      <w:pPr>
        <w:jc w:val="both"/>
        <w:rPr>
          <w:color w:val="000000" w:themeColor="text1"/>
          <w:sz w:val="16"/>
          <w:szCs w:val="16"/>
        </w:rPr>
      </w:pPr>
      <w:r w:rsidRPr="00507A31">
        <w:rPr>
          <w:color w:val="000000" w:themeColor="text1"/>
          <w:sz w:val="16"/>
          <w:szCs w:val="16"/>
        </w:rPr>
        <w:t>При этом положении и нами мыслилось возможным широкое привлечение в ряды ВКП(б) демократических элементов молодой технической интеллигенции, что должно было обеспечить прочность коалиции правых с нами.</w:t>
      </w:r>
    </w:p>
    <w:p w14:paraId="41D577F8" w14:textId="77777777" w:rsidR="00540F8E" w:rsidRPr="00507A31" w:rsidRDefault="00540F8E" w:rsidP="00507A31">
      <w:pPr>
        <w:jc w:val="both"/>
        <w:rPr>
          <w:color w:val="000000" w:themeColor="text1"/>
          <w:sz w:val="16"/>
          <w:szCs w:val="16"/>
        </w:rPr>
      </w:pPr>
      <w:r w:rsidRPr="00507A31">
        <w:rPr>
          <w:color w:val="000000" w:themeColor="text1"/>
          <w:sz w:val="16"/>
          <w:szCs w:val="16"/>
        </w:rPr>
        <w:t>В состав этой коалиции мы считали необходимым включение и «Трудовой Крестьянской Партии», как политической организации, имеющей программные установки в отношении сельского хозяйства и роли крестьянства, как класса, совпадающие с установками правых и «Промышленной Партии».</w:t>
      </w:r>
    </w:p>
    <w:p w14:paraId="356835F1" w14:textId="77777777" w:rsidR="00540F8E" w:rsidRPr="00507A31" w:rsidRDefault="00540F8E" w:rsidP="00507A31">
      <w:pPr>
        <w:jc w:val="both"/>
        <w:rPr>
          <w:color w:val="000000" w:themeColor="text1"/>
          <w:sz w:val="16"/>
          <w:szCs w:val="16"/>
        </w:rPr>
      </w:pPr>
      <w:r w:rsidRPr="00507A31">
        <w:rPr>
          <w:color w:val="000000" w:themeColor="text1"/>
          <w:sz w:val="16"/>
          <w:szCs w:val="16"/>
        </w:rPr>
        <w:t>Блок правых элементов внутри ВКП(б) [с] «Промышленной Партией» и «Трудовой Крестьянской Партией» мы считали возможн[ым] оформить путем создания коалиционного правительства, в составе представителей этих трех политических группировок.</w:t>
      </w:r>
    </w:p>
    <w:p w14:paraId="79EA3803" w14:textId="77777777" w:rsidR="00540F8E" w:rsidRPr="00507A31" w:rsidRDefault="00540F8E" w:rsidP="00507A31">
      <w:pPr>
        <w:jc w:val="both"/>
        <w:rPr>
          <w:color w:val="000000" w:themeColor="text1"/>
          <w:sz w:val="16"/>
          <w:szCs w:val="16"/>
        </w:rPr>
      </w:pPr>
      <w:r w:rsidRPr="00507A31">
        <w:rPr>
          <w:color w:val="000000" w:themeColor="text1"/>
          <w:sz w:val="16"/>
          <w:szCs w:val="16"/>
        </w:rPr>
        <w:t>При этой комбинации мы считали необходимым оставление на руководящей государственной работе лидеров правого уклона — РЫКОВА, БУХАРИНА и ТОМСКОГО, причем такое правительство должен был возглавить А. И. РЫКОВ. От «Промышленной Партии» в состав такого правительства нами намечался РАМЗИН, который должен был возглавить энергетическое хозяйство страны.</w:t>
      </w:r>
    </w:p>
    <w:p w14:paraId="2973C6A6" w14:textId="77777777" w:rsidR="00540F8E" w:rsidRPr="00507A31" w:rsidRDefault="00540F8E" w:rsidP="00507A31">
      <w:pPr>
        <w:jc w:val="both"/>
        <w:rPr>
          <w:color w:val="000000" w:themeColor="text1"/>
          <w:sz w:val="16"/>
          <w:szCs w:val="16"/>
        </w:rPr>
      </w:pPr>
      <w:r w:rsidRPr="00507A31">
        <w:rPr>
          <w:color w:val="000000" w:themeColor="text1"/>
          <w:sz w:val="16"/>
          <w:szCs w:val="16"/>
        </w:rPr>
        <w:t>Кто должен был персонально представлять в правительстве «Трудовую Крестьянскую Партию» — я не знаю, однако РАМЗИИ мне говорил, что такое представительство должно было иметь место.</w:t>
      </w:r>
    </w:p>
    <w:p w14:paraId="59989603" w14:textId="77777777" w:rsidR="00540F8E" w:rsidRPr="00507A31" w:rsidRDefault="00540F8E" w:rsidP="00507A31">
      <w:pPr>
        <w:jc w:val="both"/>
        <w:rPr>
          <w:color w:val="000000" w:themeColor="text1"/>
          <w:sz w:val="16"/>
          <w:szCs w:val="16"/>
        </w:rPr>
      </w:pPr>
      <w:r w:rsidRPr="00507A31">
        <w:rPr>
          <w:color w:val="000000" w:themeColor="text1"/>
          <w:sz w:val="16"/>
          <w:szCs w:val="16"/>
        </w:rPr>
        <w:t>Такая политическая ситуация представлялась Центральному Комитету «Промышленной Парти[и]» как первый этап к дальнейшему широкому развитию буржуазно-демократической системы и к достижению своего политического идеала, в виде буржуазно-демократической республики.</w:t>
      </w:r>
    </w:p>
    <w:p w14:paraId="4DBFC469" w14:textId="77777777" w:rsidR="00540F8E" w:rsidRPr="00507A31" w:rsidRDefault="00540F8E" w:rsidP="00507A31">
      <w:pPr>
        <w:jc w:val="both"/>
        <w:rPr>
          <w:color w:val="000000" w:themeColor="text1"/>
          <w:sz w:val="16"/>
          <w:szCs w:val="16"/>
        </w:rPr>
      </w:pPr>
      <w:r w:rsidRPr="00507A31">
        <w:rPr>
          <w:color w:val="000000" w:themeColor="text1"/>
          <w:sz w:val="16"/>
          <w:szCs w:val="16"/>
        </w:rPr>
        <w:t>Несомненно, что и в первой фазе своего существования «Промышленная Партия», в лице ея членов из старого инженерно-технического персонала имела чисто реставраторские тенденции; однако, среди членов «П.П.» — из молодой технической интеллигенции, в том числе и в моей группе, включая в нее и меня, — превалировали тенденции к демократическому строю, с внешне советским ее оформлением при доминирующем влиянии в государственной системе технической интеллигенции.</w:t>
      </w:r>
    </w:p>
    <w:p w14:paraId="50DEC962" w14:textId="77777777" w:rsidR="00540F8E" w:rsidRPr="00507A31" w:rsidRDefault="00540F8E" w:rsidP="00507A31">
      <w:pPr>
        <w:jc w:val="both"/>
        <w:rPr>
          <w:color w:val="000000" w:themeColor="text1"/>
          <w:sz w:val="16"/>
          <w:szCs w:val="16"/>
        </w:rPr>
      </w:pPr>
      <w:r w:rsidRPr="00507A31">
        <w:rPr>
          <w:color w:val="000000" w:themeColor="text1"/>
          <w:sz w:val="16"/>
          <w:szCs w:val="16"/>
        </w:rPr>
        <w:t>Разгром правого уклона разбил наши иллюзии о возможности термидора и эволюционного перерождения советской системы. Линия ВКП(б) на уничтожение кулачества, как класса, и на вытеснение капиталистических элементов в городе, на форсирование темпов строительства, вызвавшее крайнее напряжение рессурсов страны и понижение жизненного уровня населения вообще и интеллигенции в частности, — все это создало у «Промышленной Партии» уверенность в неизбежном и близком падении соввласти и в реставрации капиталистической системы, с торжеством черной реакции и террора.</w:t>
      </w:r>
    </w:p>
    <w:p w14:paraId="0DE09B42" w14:textId="77777777" w:rsidR="00540F8E" w:rsidRPr="00507A31" w:rsidRDefault="00540F8E" w:rsidP="00507A31">
      <w:pPr>
        <w:jc w:val="both"/>
        <w:rPr>
          <w:color w:val="000000" w:themeColor="text1"/>
          <w:sz w:val="16"/>
          <w:szCs w:val="16"/>
        </w:rPr>
      </w:pPr>
      <w:r w:rsidRPr="00507A31">
        <w:rPr>
          <w:color w:val="000000" w:themeColor="text1"/>
          <w:sz w:val="16"/>
          <w:szCs w:val="16"/>
        </w:rPr>
        <w:t>Такая уверенность и послужила причиной того, что «Промышленная Партия» стала целиком ориентироваться на интервенцию и на экстремистские методы борьбы с советской властью с целью ускорения осуществления конечного политического идеала «П.П.» создания буржуазно-демократической республики.</w:t>
      </w:r>
    </w:p>
    <w:p w14:paraId="7CB0E09B" w14:textId="77777777" w:rsidR="00540F8E" w:rsidRPr="00507A31" w:rsidRDefault="00540F8E" w:rsidP="00507A31">
      <w:pPr>
        <w:jc w:val="both"/>
        <w:rPr>
          <w:color w:val="000000" w:themeColor="text1"/>
          <w:sz w:val="16"/>
          <w:szCs w:val="16"/>
        </w:rPr>
      </w:pPr>
      <w:r w:rsidRPr="00507A31">
        <w:rPr>
          <w:color w:val="000000" w:themeColor="text1"/>
          <w:sz w:val="16"/>
          <w:szCs w:val="16"/>
        </w:rPr>
        <w:t>Вместе с этим и для этой же цели «Промышленная Партия» приз[н]а- ла возможным в последовательном порядке использовать ослабление международного положения страны, внешнюю блокаду, а в виде крайней меры интервенцию и внутренние диверсии и террор.</w:t>
      </w:r>
    </w:p>
    <w:p w14:paraId="28A58BE7" w14:textId="77777777" w:rsidR="00540F8E" w:rsidRPr="00507A31" w:rsidRDefault="00540F8E" w:rsidP="00507A31">
      <w:pPr>
        <w:jc w:val="both"/>
        <w:rPr>
          <w:color w:val="000000" w:themeColor="text1"/>
          <w:sz w:val="16"/>
          <w:szCs w:val="16"/>
        </w:rPr>
      </w:pPr>
      <w:r w:rsidRPr="00507A31">
        <w:rPr>
          <w:color w:val="000000" w:themeColor="text1"/>
          <w:sz w:val="16"/>
          <w:szCs w:val="16"/>
        </w:rPr>
        <w:t>В целях подготовки общественного мнения заграницей к блокаде и интервенции «Промышленная Партия», в лице ее Центрального Комитета, предпринимала ряд конкретных мер по установлению связи с иностранцами и с эмигрантскими центрами. Такие связи устанавливались во время поездок членов «П.П.» заграницу.</w:t>
      </w:r>
    </w:p>
    <w:p w14:paraId="71F4DE7A" w14:textId="77777777" w:rsidR="00540F8E" w:rsidRPr="00507A31" w:rsidRDefault="00540F8E" w:rsidP="00507A31">
      <w:pPr>
        <w:jc w:val="both"/>
        <w:rPr>
          <w:color w:val="000000" w:themeColor="text1"/>
          <w:sz w:val="16"/>
          <w:szCs w:val="16"/>
        </w:rPr>
      </w:pPr>
      <w:r w:rsidRPr="00507A31">
        <w:rPr>
          <w:color w:val="000000" w:themeColor="text1"/>
          <w:sz w:val="16"/>
          <w:szCs w:val="16"/>
        </w:rPr>
        <w:t>4. ТЕРРОРИСТИЧЕСКИЕ УСТАНОВКИ И ФОРМИРОВАНИЯ «ПРОМЫШЛЕННОЙ ПАРТИИ».</w:t>
      </w:r>
    </w:p>
    <w:p w14:paraId="5A07EC0C" w14:textId="77777777" w:rsidR="00540F8E" w:rsidRPr="00507A31" w:rsidRDefault="00540F8E" w:rsidP="00507A31">
      <w:pPr>
        <w:jc w:val="both"/>
        <w:rPr>
          <w:color w:val="000000" w:themeColor="text1"/>
          <w:sz w:val="16"/>
          <w:szCs w:val="16"/>
        </w:rPr>
      </w:pPr>
      <w:r w:rsidRPr="00507A31">
        <w:rPr>
          <w:color w:val="000000" w:themeColor="text1"/>
          <w:sz w:val="16"/>
          <w:szCs w:val="16"/>
        </w:rPr>
        <w:t>Террор признавался «Промышленной Партией», в лице ее Центрального комитета и ее периферийных групп, мерой, подлежащей применению в крайних случаях.</w:t>
      </w:r>
    </w:p>
    <w:p w14:paraId="7CF780C4" w14:textId="77777777" w:rsidR="00540F8E" w:rsidRPr="00507A31" w:rsidRDefault="00540F8E" w:rsidP="00507A31">
      <w:pPr>
        <w:jc w:val="both"/>
        <w:rPr>
          <w:color w:val="000000" w:themeColor="text1"/>
          <w:sz w:val="16"/>
          <w:szCs w:val="16"/>
        </w:rPr>
      </w:pPr>
      <w:r w:rsidRPr="00507A31">
        <w:rPr>
          <w:color w:val="000000" w:themeColor="text1"/>
          <w:sz w:val="16"/>
          <w:szCs w:val="16"/>
        </w:rPr>
        <w:t>Эту основную установку разделял, в частности, я и моя группа в вышеотмеченном составе.</w:t>
      </w:r>
    </w:p>
    <w:p w14:paraId="3E13DB6F" w14:textId="77777777" w:rsidR="00540F8E" w:rsidRPr="00507A31" w:rsidRDefault="00540F8E" w:rsidP="00507A31">
      <w:pPr>
        <w:jc w:val="both"/>
        <w:rPr>
          <w:color w:val="000000" w:themeColor="text1"/>
          <w:sz w:val="16"/>
          <w:szCs w:val="16"/>
        </w:rPr>
      </w:pPr>
      <w:r w:rsidRPr="00507A31">
        <w:rPr>
          <w:color w:val="000000" w:themeColor="text1"/>
          <w:sz w:val="16"/>
          <w:szCs w:val="16"/>
        </w:rPr>
        <w:t>Террор признавался «Промышленной Партией» лишь индивидуального характера.</w:t>
      </w:r>
    </w:p>
    <w:p w14:paraId="1AD61176" w14:textId="77777777" w:rsidR="00540F8E" w:rsidRPr="00507A31" w:rsidRDefault="00540F8E" w:rsidP="00507A31">
      <w:pPr>
        <w:jc w:val="both"/>
        <w:rPr>
          <w:color w:val="000000" w:themeColor="text1"/>
          <w:sz w:val="16"/>
          <w:szCs w:val="16"/>
        </w:rPr>
      </w:pPr>
      <w:r w:rsidRPr="00507A31">
        <w:rPr>
          <w:color w:val="000000" w:themeColor="text1"/>
          <w:sz w:val="16"/>
          <w:szCs w:val="16"/>
        </w:rPr>
        <w:t>Основной задачей террора мы мыслили принуждение советской власти к уступкам и в сторону выполнения политических установок «Промышленной Партии».</w:t>
      </w:r>
    </w:p>
    <w:p w14:paraId="21689112" w14:textId="77777777" w:rsidR="00540F8E" w:rsidRPr="00507A31" w:rsidRDefault="00540F8E" w:rsidP="00507A31">
      <w:pPr>
        <w:jc w:val="both"/>
        <w:rPr>
          <w:color w:val="000000" w:themeColor="text1"/>
          <w:sz w:val="16"/>
          <w:szCs w:val="16"/>
        </w:rPr>
      </w:pPr>
      <w:r w:rsidRPr="00507A31">
        <w:rPr>
          <w:color w:val="000000" w:themeColor="text1"/>
          <w:sz w:val="16"/>
          <w:szCs w:val="16"/>
        </w:rPr>
        <w:t>В качестве намеченных Центральным Комитетом «П.П.» объектов террора РАМЗИН мне назвал следующих лиц: в первую очередь СТАЛИНА, который был всегда в фокусе наших террористических тенденций, ВОРОШИЛОВА, МЕНЖИНСКОГО, ЯГОДУ и УНШЛИХТА. В целях конспирации объекты возможных террористических выступлений не должны были быть известны членам террористических групп и обсуждаться в таковых. Согласно этой общей установки, я, как возглавлявший свою террористическую группу, никаких фамилий, возможных объектов террора, своей группе не сообщал. Однако, каждый член «Промышленной партии», вступая в ея террористические группы, принимал на себя обязательство по первому приказанию Центрального комитета партии приступить к террористическим актам.</w:t>
      </w:r>
    </w:p>
    <w:p w14:paraId="439211AB" w14:textId="77777777" w:rsidR="00540F8E" w:rsidRPr="00507A31" w:rsidRDefault="00540F8E" w:rsidP="00507A31">
      <w:pPr>
        <w:jc w:val="both"/>
        <w:rPr>
          <w:color w:val="000000" w:themeColor="text1"/>
          <w:sz w:val="16"/>
          <w:szCs w:val="16"/>
        </w:rPr>
      </w:pPr>
      <w:r w:rsidRPr="00507A31">
        <w:rPr>
          <w:color w:val="000000" w:themeColor="text1"/>
          <w:sz w:val="16"/>
          <w:szCs w:val="16"/>
        </w:rPr>
        <w:t>Повторяю, что сигнал к террористическим выступлениям должен был мне дать РАМЗИН от имени Центрального Комитета.</w:t>
      </w:r>
    </w:p>
    <w:p w14:paraId="55BC9474" w14:textId="77777777" w:rsidR="00540F8E" w:rsidRPr="00507A31" w:rsidRDefault="00540F8E" w:rsidP="00507A31">
      <w:pPr>
        <w:jc w:val="both"/>
        <w:rPr>
          <w:color w:val="000000" w:themeColor="text1"/>
          <w:sz w:val="16"/>
          <w:szCs w:val="16"/>
        </w:rPr>
      </w:pPr>
      <w:r w:rsidRPr="00507A31">
        <w:rPr>
          <w:color w:val="000000" w:themeColor="text1"/>
          <w:sz w:val="16"/>
          <w:szCs w:val="16"/>
        </w:rPr>
        <w:t>Оружие для выполнения террористических актов мы должны были получить одновременно с получением приказания о террористических выступлениях.</w:t>
      </w:r>
    </w:p>
    <w:p w14:paraId="3E97FCFC" w14:textId="77777777" w:rsidR="00540F8E" w:rsidRPr="00507A31" w:rsidRDefault="00540F8E" w:rsidP="00507A31">
      <w:pPr>
        <w:jc w:val="both"/>
        <w:rPr>
          <w:color w:val="000000" w:themeColor="text1"/>
          <w:sz w:val="16"/>
          <w:szCs w:val="16"/>
        </w:rPr>
      </w:pPr>
      <w:r w:rsidRPr="00507A31">
        <w:rPr>
          <w:color w:val="000000" w:themeColor="text1"/>
          <w:sz w:val="16"/>
          <w:szCs w:val="16"/>
        </w:rPr>
        <w:t>Из террористических формирований «Промышленной партии» мне известна только моя группа. В состав этой террористической группы входили: я, ДЫДЗИНСКИЙ, ШИШОВ, БУЛАШЕВИЧ, ПРАСОЛОВ, РЕВ[0]КАТОВ, ТИТОВ и СМИРНОВ. Состав этой террористической группы был утвержден РАМЗИНЫМ. Моя студенческая группа в МВТУ рассматривалась, как резервная группа, которая должна была, в случае ликвидации первой, основной группы, поставлять новые кадры для террористических выступлений.</w:t>
      </w:r>
    </w:p>
    <w:p w14:paraId="67D11707" w14:textId="77777777" w:rsidR="00540F8E" w:rsidRPr="00507A31" w:rsidRDefault="00540F8E" w:rsidP="00507A31">
      <w:pPr>
        <w:jc w:val="both"/>
        <w:rPr>
          <w:color w:val="000000" w:themeColor="text1"/>
          <w:sz w:val="16"/>
          <w:szCs w:val="16"/>
        </w:rPr>
      </w:pPr>
      <w:r w:rsidRPr="00507A31">
        <w:rPr>
          <w:color w:val="000000" w:themeColor="text1"/>
          <w:sz w:val="16"/>
          <w:szCs w:val="16"/>
        </w:rPr>
        <w:t>В целом террористическая деятельность «П.П.» возглавлялась РАМЗИНЫМ.</w:t>
      </w:r>
    </w:p>
    <w:p w14:paraId="5B6D4C52" w14:textId="77777777" w:rsidR="00540F8E" w:rsidRPr="00507A31" w:rsidRDefault="00540F8E" w:rsidP="00507A31">
      <w:pPr>
        <w:jc w:val="both"/>
        <w:rPr>
          <w:color w:val="000000" w:themeColor="text1"/>
          <w:sz w:val="16"/>
          <w:szCs w:val="16"/>
        </w:rPr>
      </w:pPr>
      <w:r w:rsidRPr="00507A31">
        <w:rPr>
          <w:color w:val="000000" w:themeColor="text1"/>
          <w:sz w:val="16"/>
          <w:szCs w:val="16"/>
        </w:rPr>
        <w:t>5. ВРЕДИТЕЛЬСТВО, КАК ТАКТИЧЕСКАЯ УСТАНОВКА «ПРОМЫШЛЕННОЙ ПАРТИИ»</w:t>
      </w:r>
    </w:p>
    <w:p w14:paraId="0B15CB65" w14:textId="77777777" w:rsidR="00540F8E" w:rsidRPr="00507A31" w:rsidRDefault="00540F8E" w:rsidP="00507A31">
      <w:pPr>
        <w:jc w:val="both"/>
        <w:rPr>
          <w:color w:val="000000" w:themeColor="text1"/>
          <w:sz w:val="16"/>
          <w:szCs w:val="16"/>
        </w:rPr>
      </w:pPr>
      <w:r w:rsidRPr="00507A31">
        <w:rPr>
          <w:color w:val="000000" w:themeColor="text1"/>
          <w:sz w:val="16"/>
          <w:szCs w:val="16"/>
        </w:rPr>
        <w:t>Центральный Комитет «П.П.» признавал вредительство, как метод борьбы с соввластью, в целях осуществления политических задач партии.</w:t>
      </w:r>
    </w:p>
    <w:p w14:paraId="5E28A0DB" w14:textId="77777777" w:rsidR="00540F8E" w:rsidRPr="00507A31" w:rsidRDefault="00540F8E" w:rsidP="00507A31">
      <w:pPr>
        <w:jc w:val="both"/>
        <w:rPr>
          <w:color w:val="000000" w:themeColor="text1"/>
          <w:sz w:val="16"/>
          <w:szCs w:val="16"/>
        </w:rPr>
      </w:pPr>
      <w:r w:rsidRPr="00507A31">
        <w:rPr>
          <w:color w:val="000000" w:themeColor="text1"/>
          <w:sz w:val="16"/>
          <w:szCs w:val="16"/>
        </w:rPr>
        <w:t>Основной установкой «П.П.» в области вредительства признавалось всякое такое мероприятие, которое, достигая вредоносной эффективности в данный момент, в возможно большей степени сохранило бы целостность объекта вредительства.</w:t>
      </w:r>
    </w:p>
    <w:p w14:paraId="57AFD01E" w14:textId="77777777" w:rsidR="00540F8E" w:rsidRPr="00507A31" w:rsidRDefault="00540F8E" w:rsidP="00507A31">
      <w:pPr>
        <w:jc w:val="both"/>
        <w:rPr>
          <w:color w:val="000000" w:themeColor="text1"/>
          <w:sz w:val="16"/>
          <w:szCs w:val="16"/>
        </w:rPr>
      </w:pPr>
      <w:r w:rsidRPr="00507A31">
        <w:rPr>
          <w:color w:val="000000" w:themeColor="text1"/>
          <w:sz w:val="16"/>
          <w:szCs w:val="16"/>
        </w:rPr>
        <w:t>Кроме этого, партия признавала целесообразным и такие способы вредительства, как нерациональная затрата средств и рессурсов страны и торможение темпов строительства, с целью растягивания строительства к моменту свержения советской власти.</w:t>
      </w:r>
    </w:p>
    <w:p w14:paraId="0ECFF195" w14:textId="77777777" w:rsidR="00540F8E" w:rsidRPr="00507A31" w:rsidRDefault="00540F8E" w:rsidP="00507A31">
      <w:pPr>
        <w:jc w:val="both"/>
        <w:rPr>
          <w:color w:val="000000" w:themeColor="text1"/>
          <w:sz w:val="16"/>
          <w:szCs w:val="16"/>
        </w:rPr>
      </w:pPr>
      <w:r w:rsidRPr="00507A31">
        <w:rPr>
          <w:color w:val="000000" w:themeColor="text1"/>
          <w:sz w:val="16"/>
          <w:szCs w:val="16"/>
        </w:rPr>
        <w:t>Об известных мне практических мероприятиях «Промышленной партии» в области вредительства сообщу дополнительно.</w:t>
      </w:r>
    </w:p>
    <w:p w14:paraId="5A739D12" w14:textId="77777777" w:rsidR="00540F8E" w:rsidRPr="00507A31" w:rsidRDefault="00540F8E" w:rsidP="00507A31">
      <w:pPr>
        <w:jc w:val="both"/>
        <w:rPr>
          <w:color w:val="000000" w:themeColor="text1"/>
          <w:sz w:val="16"/>
          <w:szCs w:val="16"/>
        </w:rPr>
      </w:pPr>
      <w:r w:rsidRPr="00507A31">
        <w:rPr>
          <w:color w:val="000000" w:themeColor="text1"/>
          <w:sz w:val="16"/>
          <w:szCs w:val="16"/>
        </w:rPr>
        <w:t>Как один из видов вредительства «Промышленной партии» можно привести ее противодействие разрешению советской властью проблемы кадров.</w:t>
      </w:r>
    </w:p>
    <w:p w14:paraId="205DA15E" w14:textId="77777777" w:rsidR="00540F8E" w:rsidRPr="00507A31" w:rsidRDefault="00540F8E" w:rsidP="00507A31">
      <w:pPr>
        <w:jc w:val="both"/>
        <w:rPr>
          <w:color w:val="000000" w:themeColor="text1"/>
          <w:sz w:val="16"/>
          <w:szCs w:val="16"/>
        </w:rPr>
      </w:pPr>
      <w:r w:rsidRPr="00507A31">
        <w:rPr>
          <w:color w:val="000000" w:themeColor="text1"/>
          <w:sz w:val="16"/>
          <w:szCs w:val="16"/>
        </w:rPr>
        <w:t>Это проводилось путем саботажа и всемерного торможения процесса реорганизации ВТУЗов, преследуя кроме того цели сохранения школы в ее старом виде к моменту переворота.</w:t>
      </w:r>
    </w:p>
    <w:p w14:paraId="43046738" w14:textId="77777777" w:rsidR="00540F8E" w:rsidRPr="00507A31" w:rsidRDefault="00540F8E" w:rsidP="00507A31">
      <w:pPr>
        <w:jc w:val="both"/>
        <w:rPr>
          <w:color w:val="000000" w:themeColor="text1"/>
          <w:sz w:val="16"/>
          <w:szCs w:val="16"/>
        </w:rPr>
      </w:pPr>
      <w:r w:rsidRPr="00507A31">
        <w:rPr>
          <w:color w:val="000000" w:themeColor="text1"/>
          <w:sz w:val="16"/>
          <w:szCs w:val="16"/>
        </w:rPr>
        <w:t>Вредительской работой в этом направлении идейно руководил РАМЗИН.</w:t>
      </w:r>
    </w:p>
    <w:p w14:paraId="1AF8A18B" w14:textId="77777777" w:rsidR="00540F8E" w:rsidRPr="00507A31" w:rsidRDefault="00540F8E" w:rsidP="00507A31">
      <w:pPr>
        <w:jc w:val="both"/>
        <w:rPr>
          <w:color w:val="000000" w:themeColor="text1"/>
          <w:sz w:val="16"/>
          <w:szCs w:val="16"/>
        </w:rPr>
      </w:pPr>
      <w:r w:rsidRPr="00507A31">
        <w:rPr>
          <w:color w:val="000000" w:themeColor="text1"/>
          <w:sz w:val="16"/>
          <w:szCs w:val="16"/>
        </w:rPr>
        <w:t>Показания записаны с моих слов правильно и мне прочитаны.</w:t>
      </w:r>
    </w:p>
    <w:p w14:paraId="4F5A0EF0" w14:textId="77777777" w:rsidR="00540F8E" w:rsidRPr="00507A31" w:rsidRDefault="00540F8E" w:rsidP="00507A31">
      <w:pPr>
        <w:jc w:val="both"/>
        <w:rPr>
          <w:color w:val="000000" w:themeColor="text1"/>
          <w:sz w:val="16"/>
          <w:szCs w:val="16"/>
        </w:rPr>
      </w:pPr>
      <w:r w:rsidRPr="00507A31">
        <w:rPr>
          <w:color w:val="000000" w:themeColor="text1"/>
          <w:sz w:val="16"/>
          <w:szCs w:val="16"/>
        </w:rPr>
        <w:t>ЕВРЕИНОВ.</w:t>
      </w:r>
    </w:p>
    <w:p w14:paraId="4CFBE4EE" w14:textId="77777777" w:rsidR="00540F8E" w:rsidRPr="00507A31" w:rsidRDefault="00540F8E" w:rsidP="00507A31">
      <w:pPr>
        <w:jc w:val="both"/>
        <w:rPr>
          <w:color w:val="000000" w:themeColor="text1"/>
          <w:sz w:val="16"/>
          <w:szCs w:val="16"/>
        </w:rPr>
      </w:pPr>
      <w:r w:rsidRPr="00507A31">
        <w:rPr>
          <w:color w:val="000000" w:themeColor="text1"/>
          <w:sz w:val="16"/>
          <w:szCs w:val="16"/>
        </w:rPr>
        <w:t>ДОПРОСИЛ: Пом. Нач. СОУ ОГПУ: АГРАНОВ.</w:t>
      </w:r>
    </w:p>
    <w:p w14:paraId="768A4CD5" w14:textId="77777777" w:rsidR="00540F8E" w:rsidRPr="00507A31" w:rsidRDefault="00540F8E" w:rsidP="00507A31">
      <w:pPr>
        <w:jc w:val="both"/>
        <w:rPr>
          <w:color w:val="000000" w:themeColor="text1"/>
          <w:sz w:val="16"/>
          <w:szCs w:val="16"/>
        </w:rPr>
      </w:pPr>
      <w:r w:rsidRPr="00507A31">
        <w:rPr>
          <w:color w:val="000000" w:themeColor="text1"/>
          <w:sz w:val="16"/>
          <w:szCs w:val="16"/>
        </w:rPr>
        <w:t>НАЧ. 3 ОТДЕЛЕНИЯ] СО ОГПУ: СЛАВАТИНСКИЙ.</w:t>
      </w:r>
    </w:p>
    <w:p w14:paraId="32B2876F" w14:textId="77777777" w:rsidR="00540F8E" w:rsidRPr="00507A31" w:rsidRDefault="00540F8E" w:rsidP="00507A31">
      <w:pPr>
        <w:jc w:val="both"/>
        <w:rPr>
          <w:color w:val="000000" w:themeColor="text1"/>
          <w:sz w:val="16"/>
          <w:szCs w:val="16"/>
        </w:rPr>
      </w:pPr>
      <w:r w:rsidRPr="00507A31">
        <w:rPr>
          <w:color w:val="000000" w:themeColor="text1"/>
          <w:sz w:val="16"/>
          <w:szCs w:val="16"/>
        </w:rPr>
        <w:t>Д. 354. Л. 2-12. Машинописная копия того времени. На Л. 2 вверху штамп с вписаннъши от руки датой «19.X.1930 г.» и данными о количестве размноженных экземпляров текста (50 экз.), подпись-автограф Хряпкиной. Здесь же штамп о рассылке документе (номер и дата отсутствуют). На Л. 12 внизу напечатано «ВЕРНО:» (заверяющая подпись отсутствует). На Л. 8 абзац «При этой комбинации мы считали необходимым оставление на руководящей государственной работе лидеров правого уклона [...] возглавить энергетическое хозяйство страны» отчеркнут на поле слева двумя вертикальными чертами, рядом рукописная помета «NB».</w:t>
      </w:r>
    </w:p>
    <w:p w14:paraId="06027123" w14:textId="77777777" w:rsidR="00540F8E" w:rsidRPr="00507A31" w:rsidRDefault="00540F8E" w:rsidP="00507A31">
      <w:pPr>
        <w:jc w:val="both"/>
        <w:rPr>
          <w:color w:val="000000" w:themeColor="text1"/>
          <w:sz w:val="16"/>
          <w:szCs w:val="16"/>
        </w:rPr>
      </w:pPr>
      <w:r w:rsidRPr="00507A31">
        <w:rPr>
          <w:color w:val="000000" w:themeColor="text1"/>
          <w:sz w:val="16"/>
          <w:szCs w:val="16"/>
        </w:rPr>
        <w:lastRenderedPageBreak/>
        <w:t>В деле (Л. 1) имеется сопроводительное письмо от 19 октября 1930 г.: «ЧЛЕНАМ И КАНДИДАТАМ ПОЛИТБЮРО тт. Андрееву, Ворошилову, Кагановичу, Калинину, Кирову, Косиору Ст„ Куйбышеву, Микояну, Молотову, Петровскому, Рудзутаку, Рыкову, Сталину, Сырцову, Чубарю. ЧЛЕНАМ ПРЕЗИДИУМА ЦКК тт. Акулову, Ильину, Павлу- новскому, Розенгольц, Сольцу, Шкирятову, Янсону, Ярославскому.</w:t>
      </w:r>
    </w:p>
    <w:p w14:paraId="26BB0DF4" w14:textId="77777777" w:rsidR="00540F8E" w:rsidRPr="00507A31" w:rsidRDefault="00540F8E" w:rsidP="00507A31">
      <w:pPr>
        <w:jc w:val="both"/>
        <w:rPr>
          <w:color w:val="000000" w:themeColor="text1"/>
          <w:sz w:val="16"/>
          <w:szCs w:val="16"/>
        </w:rPr>
      </w:pPr>
      <w:r w:rsidRPr="00507A31">
        <w:rPr>
          <w:color w:val="000000" w:themeColor="text1"/>
          <w:sz w:val="16"/>
          <w:szCs w:val="16"/>
        </w:rPr>
        <w:t>По поручению т. Сталина посылаются Вам для сведения</w:t>
      </w:r>
    </w:p>
    <w:p w14:paraId="711312FE" w14:textId="77777777" w:rsidR="00540F8E" w:rsidRPr="00507A31" w:rsidRDefault="00540F8E" w:rsidP="00507A31">
      <w:pPr>
        <w:jc w:val="both"/>
        <w:rPr>
          <w:color w:val="000000" w:themeColor="text1"/>
          <w:sz w:val="16"/>
          <w:szCs w:val="16"/>
        </w:rPr>
      </w:pPr>
      <w:r w:rsidRPr="00507A31">
        <w:rPr>
          <w:color w:val="000000" w:themeColor="text1"/>
          <w:sz w:val="16"/>
          <w:szCs w:val="16"/>
        </w:rPr>
        <w:t>показания Евреинова от 1.Х.30 г. о террористической организации промпартии;</w:t>
      </w:r>
    </w:p>
    <w:p w14:paraId="03CC93D0" w14:textId="77777777" w:rsidR="00540F8E" w:rsidRPr="00507A31" w:rsidRDefault="00540F8E" w:rsidP="00507A31">
      <w:pPr>
        <w:jc w:val="both"/>
        <w:rPr>
          <w:color w:val="000000" w:themeColor="text1"/>
          <w:sz w:val="16"/>
          <w:szCs w:val="16"/>
        </w:rPr>
      </w:pPr>
      <w:r w:rsidRPr="00507A31">
        <w:rPr>
          <w:color w:val="000000" w:themeColor="text1"/>
          <w:sz w:val="16"/>
          <w:szCs w:val="16"/>
        </w:rPr>
        <w:t>показания Рамзина, Калинникова, Ларичева, Чарновского, Предтеченского, Соловьева, Мюллера, Кирпотенко от 16 и 17.Х.30 г. по вопросу об интервенции.</w:t>
      </w:r>
    </w:p>
    <w:p w14:paraId="5A4F37A7" w14:textId="77777777" w:rsidR="00540F8E" w:rsidRPr="00507A31" w:rsidRDefault="00540F8E" w:rsidP="00507A31">
      <w:pPr>
        <w:jc w:val="both"/>
        <w:rPr>
          <w:color w:val="000000" w:themeColor="text1"/>
          <w:sz w:val="16"/>
          <w:szCs w:val="16"/>
        </w:rPr>
      </w:pPr>
      <w:r w:rsidRPr="00507A31">
        <w:rPr>
          <w:color w:val="000000" w:themeColor="text1"/>
          <w:sz w:val="16"/>
          <w:szCs w:val="16"/>
        </w:rPr>
        <w:t>ПРИЛОЖЕНИЕ: экз. № на 41 листе.</w:t>
      </w:r>
    </w:p>
    <w:p w14:paraId="2C16D823" w14:textId="77777777" w:rsidR="00540F8E" w:rsidRPr="00507A31" w:rsidRDefault="00540F8E" w:rsidP="00507A31">
      <w:pPr>
        <w:jc w:val="both"/>
        <w:rPr>
          <w:color w:val="000000" w:themeColor="text1"/>
          <w:sz w:val="16"/>
          <w:szCs w:val="16"/>
        </w:rPr>
      </w:pPr>
      <w:r w:rsidRPr="00507A31">
        <w:rPr>
          <w:color w:val="000000" w:themeColor="text1"/>
          <w:sz w:val="16"/>
          <w:szCs w:val="16"/>
        </w:rPr>
        <w:t>Зам зав. СО ЦК (Б. Двинский)». Машинописная копия того времени на бланке ЦК ВКП(б), гриф «СТРОГО СЕКРЕТНО». Номер документа (№ П959) и дата машинописью.</w:t>
      </w:r>
    </w:p>
    <w:p w14:paraId="036E81B9" w14:textId="77777777" w:rsidR="00540F8E" w:rsidRPr="00507A31" w:rsidRDefault="00540F8E" w:rsidP="00507A31">
      <w:pPr>
        <w:jc w:val="both"/>
        <w:rPr>
          <w:color w:val="000000" w:themeColor="text1"/>
          <w:sz w:val="16"/>
          <w:szCs w:val="16"/>
        </w:rPr>
      </w:pPr>
      <w:r w:rsidRPr="00507A31">
        <w:rPr>
          <w:color w:val="000000" w:themeColor="text1"/>
          <w:sz w:val="16"/>
          <w:szCs w:val="16"/>
        </w:rPr>
        <w:t>ЦА ФСБ РФ. Ф. Р-42280. Т. 2. Л. 20-27. Рукописный подлинник протокола, написанный рукой Славатинского. Внизу каждого листа заверительная подпись-автограф Е. Ф. Евреинова. На Л. 27 подписи-автографы Агранова и Славатинского (18455).</w:t>
      </w:r>
    </w:p>
    <w:p w14:paraId="417342DD" w14:textId="77777777" w:rsidR="00540F8E" w:rsidRPr="00507A31" w:rsidRDefault="00540F8E" w:rsidP="00507A31">
      <w:pPr>
        <w:jc w:val="both"/>
        <w:rPr>
          <w:color w:val="000000" w:themeColor="text1"/>
          <w:sz w:val="16"/>
          <w:szCs w:val="16"/>
        </w:rPr>
      </w:pPr>
    </w:p>
    <w:p w14:paraId="7DD8FC0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0848F63B" w14:textId="77777777" w:rsidR="00537E5F" w:rsidRPr="00507A31" w:rsidRDefault="00537E5F" w:rsidP="00507A31">
      <w:pPr>
        <w:autoSpaceDE w:val="0"/>
        <w:autoSpaceDN w:val="0"/>
        <w:adjustRightInd w:val="0"/>
        <w:jc w:val="both"/>
        <w:rPr>
          <w:iCs/>
          <w:color w:val="000000" w:themeColor="text1"/>
          <w:sz w:val="16"/>
          <w:szCs w:val="16"/>
        </w:rPr>
      </w:pPr>
    </w:p>
    <w:p w14:paraId="721AE1B7" w14:textId="77777777" w:rsidR="00032649" w:rsidRPr="00507A31" w:rsidRDefault="00032649" w:rsidP="00507A31">
      <w:pPr>
        <w:jc w:val="both"/>
        <w:rPr>
          <w:color w:val="000000" w:themeColor="text1"/>
          <w:sz w:val="16"/>
          <w:szCs w:val="16"/>
        </w:rPr>
      </w:pPr>
      <w:r w:rsidRPr="00507A31">
        <w:rPr>
          <w:color w:val="000000" w:themeColor="text1"/>
          <w:sz w:val="16"/>
          <w:szCs w:val="16"/>
        </w:rPr>
        <w:t>На 1 октября 1930 и 1 октября 1927 состояние парка ВВС:</w:t>
      </w:r>
    </w:p>
    <w:tbl>
      <w:tblPr>
        <w:tblW w:w="0" w:type="auto"/>
        <w:tblLayout w:type="fixed"/>
        <w:tblCellMar>
          <w:left w:w="10" w:type="dxa"/>
          <w:right w:w="10" w:type="dxa"/>
        </w:tblCellMar>
        <w:tblLook w:val="0000" w:firstRow="0" w:lastRow="0" w:firstColumn="0" w:lastColumn="0" w:noHBand="0" w:noVBand="0"/>
      </w:tblPr>
      <w:tblGrid>
        <w:gridCol w:w="1109"/>
        <w:gridCol w:w="853"/>
        <w:gridCol w:w="853"/>
        <w:gridCol w:w="853"/>
        <w:gridCol w:w="857"/>
        <w:gridCol w:w="857"/>
        <w:gridCol w:w="857"/>
        <w:gridCol w:w="857"/>
        <w:gridCol w:w="857"/>
        <w:gridCol w:w="860"/>
        <w:gridCol w:w="875"/>
      </w:tblGrid>
      <w:tr w:rsidR="00E371BA" w:rsidRPr="00507A31" w14:paraId="75B69201" w14:textId="77777777" w:rsidTr="00032649">
        <w:trPr>
          <w:trHeight w:val="443"/>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0C5210BC" w14:textId="77777777" w:rsidR="00032649" w:rsidRPr="00507A31" w:rsidRDefault="00032649" w:rsidP="00507A31">
            <w:pPr>
              <w:jc w:val="both"/>
              <w:rPr>
                <w:color w:val="000000" w:themeColor="text1"/>
                <w:sz w:val="16"/>
                <w:szCs w:val="16"/>
              </w:rPr>
            </w:pP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358BB76"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 xml:space="preserve">наличие </w:t>
            </w:r>
            <w:r w:rsidRPr="00507A31">
              <w:rPr>
                <w:rStyle w:val="11SimSun"/>
                <w:rFonts w:ascii="Times New Roman" w:hAnsi="Times New Roman" w:cs="Times New Roman"/>
                <w:b w:val="0"/>
                <w:color w:val="000000" w:themeColor="text1"/>
                <w:spacing w:val="0"/>
                <w:szCs w:val="16"/>
              </w:rPr>
              <w:t>1.10.27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E1C7C6D"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 xml:space="preserve">поступило </w:t>
            </w:r>
            <w:r w:rsidRPr="00507A31">
              <w:rPr>
                <w:rStyle w:val="11SimSun"/>
                <w:rFonts w:ascii="Times New Roman" w:hAnsi="Times New Roman" w:cs="Times New Roman"/>
                <w:b w:val="0"/>
                <w:color w:val="000000" w:themeColor="text1"/>
                <w:spacing w:val="0"/>
                <w:szCs w:val="16"/>
              </w:rPr>
              <w:t>27/28</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5DE4447"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 xml:space="preserve">убыло </w:t>
            </w:r>
            <w:r w:rsidRPr="00507A31">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AEE3A1A"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 xml:space="preserve">наличие </w:t>
            </w:r>
            <w:r w:rsidRPr="00507A31">
              <w:rPr>
                <w:rStyle w:val="11SimSun"/>
                <w:rFonts w:ascii="Times New Roman" w:hAnsi="Times New Roman" w:cs="Times New Roman"/>
                <w:b w:val="0"/>
                <w:color w:val="000000" w:themeColor="text1"/>
                <w:spacing w:val="0"/>
                <w:szCs w:val="16"/>
              </w:rPr>
              <w:t>1.10.28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37B6E9"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 xml:space="preserve">поступило </w:t>
            </w:r>
            <w:r w:rsidRPr="00507A31">
              <w:rPr>
                <w:rStyle w:val="11SimSun"/>
                <w:rFonts w:ascii="Times New Roman" w:hAnsi="Times New Roman" w:cs="Times New Roman"/>
                <w:b w:val="0"/>
                <w:color w:val="000000" w:themeColor="text1"/>
                <w:spacing w:val="0"/>
                <w:szCs w:val="16"/>
              </w:rPr>
              <w:t>28/29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470DCB7"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 xml:space="preserve">убыло </w:t>
            </w:r>
            <w:r w:rsidRPr="00507A31">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8D02AAD"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 xml:space="preserve">наличие </w:t>
            </w:r>
            <w:r w:rsidRPr="00507A31">
              <w:rPr>
                <w:rStyle w:val="11SimSun"/>
                <w:rFonts w:ascii="Times New Roman" w:hAnsi="Times New Roman" w:cs="Times New Roman"/>
                <w:b w:val="0"/>
                <w:color w:val="000000" w:themeColor="text1"/>
                <w:spacing w:val="0"/>
                <w:szCs w:val="16"/>
              </w:rPr>
              <w:t>1.10.29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0212A8"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 xml:space="preserve">поступило </w:t>
            </w:r>
            <w:r w:rsidRPr="00507A31">
              <w:rPr>
                <w:rStyle w:val="11SimSun"/>
                <w:rFonts w:ascii="Times New Roman" w:hAnsi="Times New Roman" w:cs="Times New Roman"/>
                <w:b w:val="0"/>
                <w:color w:val="000000" w:themeColor="text1"/>
                <w:spacing w:val="0"/>
                <w:szCs w:val="16"/>
              </w:rPr>
              <w:t>29/30</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B92686A"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 xml:space="preserve">убыло </w:t>
            </w:r>
            <w:r w:rsidRPr="00507A31">
              <w:rPr>
                <w:rStyle w:val="11SimSun"/>
                <w:rFonts w:ascii="Times New Roman" w:hAnsi="Times New Roman" w:cs="Times New Roman"/>
                <w:b w:val="0"/>
                <w:color w:val="000000" w:themeColor="text1"/>
                <w:spacing w:val="0"/>
                <w:szCs w:val="16"/>
              </w:rPr>
              <w:t>29/30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0ABC5286"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 xml:space="preserve">наличие </w:t>
            </w:r>
            <w:r w:rsidRPr="00507A31">
              <w:rPr>
                <w:rStyle w:val="11SimSun"/>
                <w:rFonts w:ascii="Times New Roman" w:hAnsi="Times New Roman" w:cs="Times New Roman"/>
                <w:b w:val="0"/>
                <w:color w:val="000000" w:themeColor="text1"/>
                <w:spacing w:val="0"/>
                <w:szCs w:val="16"/>
              </w:rPr>
              <w:t>1.10.30</w:t>
            </w:r>
          </w:p>
        </w:tc>
      </w:tr>
      <w:tr w:rsidR="00E371BA" w:rsidRPr="00507A31" w14:paraId="292AE331"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80C1A75"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Балилла</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3600281"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54CB60E"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AF0EA7D"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760881D"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D529E0B"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860036"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C2E6E4"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020996A"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DAA3027"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5062E4C"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r>
      <w:tr w:rsidR="00E371BA" w:rsidRPr="00507A31" w14:paraId="2D4C1AA2"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D5A9083"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Мартинсайд</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666D6E5"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24ED8D8"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5E1C583"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9 (износ)</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16313EC"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1001CB3"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C59E24E"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F4BBE06"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7C5D768"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BE56190"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9DC8E4E"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13</w:t>
            </w:r>
          </w:p>
        </w:tc>
      </w:tr>
      <w:tr w:rsidR="00E371BA" w:rsidRPr="00507A31" w14:paraId="3EA89F63"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BA67997"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Д-У11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C936D4D"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ED4D579" w14:textId="77777777" w:rsidR="00032649" w:rsidRPr="00507A31" w:rsidRDefault="00032649" w:rsidP="00507A31">
            <w:pPr>
              <w:pStyle w:val="26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60E6D22"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27D7397"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1C83135"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814B7CA"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DDB8BD6"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A906736"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0D44DA0"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BB29FC8"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13</w:t>
            </w:r>
          </w:p>
        </w:tc>
      </w:tr>
      <w:tr w:rsidR="00E371BA" w:rsidRPr="00507A31" w14:paraId="4270AD02" w14:textId="77777777" w:rsidTr="00032649">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5F77559"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ФД-Х1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15DD61C"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112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7EBD6E5"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DA01084"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0A6856C"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115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F596888"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40C239D"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0BF21C3"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106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F7F2CF9" w14:textId="77777777" w:rsidR="00032649" w:rsidRPr="00507A31" w:rsidRDefault="00032649" w:rsidP="00507A31">
            <w:pPr>
              <w:pStyle w:val="26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CED4576"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58ECD8F"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87</w:t>
            </w:r>
          </w:p>
        </w:tc>
      </w:tr>
      <w:tr w:rsidR="00E371BA" w:rsidRPr="00507A31" w14:paraId="085E7427"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7A9F932"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ФД-ХШ</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C9DA57"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0CA1A17"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457C011"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70329A"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C522365"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624D7A5"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E71BBD1"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C3F29E6"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E3748D3"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9F1B2A0"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r>
      <w:tr w:rsidR="00E371BA" w:rsidRPr="00507A31" w14:paraId="5E3DA015"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A9AAF58"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И-2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459F22"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8F69EDE"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8395102"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9E5B9EE"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49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D1AB136"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40D1E9C"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65C3724"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50</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ABC2C34"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FF8B5B5"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35FD366"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40</w:t>
            </w:r>
          </w:p>
        </w:tc>
      </w:tr>
      <w:tr w:rsidR="00E371BA" w:rsidRPr="00507A31" w14:paraId="2015712E"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D333006"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И-2бис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FC653B0"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6854401"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6</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18EB5A1"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ADA9E1A"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FF049A0"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94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0455478"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EC65529"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95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9BDF05E"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6BB2456"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246DB715"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76</w:t>
            </w:r>
          </w:p>
        </w:tc>
      </w:tr>
      <w:tr w:rsidR="00E371BA" w:rsidRPr="00507A31" w14:paraId="6F24B198"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1A3AF4D"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ХД-37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F8902A7"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63786E0"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3E20C9"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97C7797"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704BB03"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B875628"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200FDDE"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B18167A"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3622FE38"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77F7126"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w:t>
            </w:r>
          </w:p>
        </w:tc>
      </w:tr>
      <w:tr w:rsidR="00E371BA" w:rsidRPr="00507A31" w14:paraId="13229C8B"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DBDF88C" w14:textId="77777777" w:rsidR="00032649" w:rsidRPr="00507A31" w:rsidRDefault="00032649" w:rsidP="00507A31">
            <w:pPr>
              <w:pStyle w:val="241"/>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и-з</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BF4F518"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F6B5249"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340C00C"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61433D8"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015DB1C"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1839265"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F9402A2"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C35E7CE"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239</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2B0A9358"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FC351B6"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234</w:t>
            </w:r>
          </w:p>
        </w:tc>
      </w:tr>
      <w:tr w:rsidR="00E371BA" w:rsidRPr="00507A31" w14:paraId="31EB5089"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31DC49C7"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И-4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B07237E"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E98E90" w14:textId="77777777" w:rsidR="00032649" w:rsidRPr="00507A31" w:rsidRDefault="00032649" w:rsidP="00507A31">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507A31">
              <w:rPr>
                <w:rFonts w:ascii="Times New Roman" w:hAnsi="Times New Roman" w:cs="Times New Roman"/>
                <w:color w:val="000000" w:themeColor="text1"/>
                <w:spacing w:val="0"/>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A0EF279"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A78BC5C"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4DEFC4D"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981D882"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5BD875"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F8BC330"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107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2FCBFB9B"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F8023D4"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108</w:t>
            </w:r>
          </w:p>
        </w:tc>
      </w:tr>
      <w:tr w:rsidR="00E371BA" w:rsidRPr="00507A31" w14:paraId="1206094A" w14:textId="77777777" w:rsidTr="00032649">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B7D6D6A"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Альбатрос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5DB4697"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82FC27B"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B44C84A"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8C4B665"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D960FBE" w14:textId="77777777" w:rsidR="00032649" w:rsidRPr="00507A31" w:rsidRDefault="00032649" w:rsidP="00507A31">
            <w:pPr>
              <w:pStyle w:val="26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E6B7B4"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E223966"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200E30F"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67138A97"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3B8C261"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r>
      <w:tr w:rsidR="00E371BA" w:rsidRPr="00507A31" w14:paraId="2753EAE3" w14:textId="77777777" w:rsidTr="00032649">
        <w:trPr>
          <w:trHeight w:val="248"/>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0C9F0DB7"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СК20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DDD0F0" w14:textId="77777777" w:rsidR="00032649" w:rsidRPr="00507A31" w:rsidRDefault="00032649" w:rsidP="00507A31">
            <w:pPr>
              <w:pStyle w:val="26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4A56E83"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98D83F1"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0B5AD8"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FA8BCF9" w14:textId="77777777" w:rsidR="00032649" w:rsidRPr="00507A31" w:rsidRDefault="00032649" w:rsidP="00507A31">
            <w:pPr>
              <w:pStyle w:val="26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766989D"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5F9981F"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34DDC58"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5D0AD1D7" w14:textId="77777777" w:rsidR="00032649" w:rsidRPr="00507A31" w:rsidRDefault="00032649" w:rsidP="00507A31">
            <w:pPr>
              <w:jc w:val="both"/>
              <w:rPr>
                <w:color w:val="000000" w:themeColor="text1"/>
                <w:sz w:val="16"/>
                <w:szCs w:val="16"/>
              </w:rPr>
            </w:pPr>
            <w:r w:rsidRPr="00507A31">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032115F4" w14:textId="77777777" w:rsidR="00032649" w:rsidRPr="00507A31" w:rsidRDefault="00032649" w:rsidP="00507A31">
            <w:pPr>
              <w:pStyle w:val="130"/>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w:t>
            </w:r>
          </w:p>
        </w:tc>
      </w:tr>
      <w:tr w:rsidR="00E371BA" w:rsidRPr="00507A31" w14:paraId="60CA4F9C" w14:textId="77777777" w:rsidTr="00032649">
        <w:trPr>
          <w:trHeight w:val="252"/>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966D79D"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Всего</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96A8803" w14:textId="77777777" w:rsidR="00032649" w:rsidRPr="00507A31" w:rsidRDefault="00032649" w:rsidP="00507A31">
            <w:pPr>
              <w:pStyle w:val="241"/>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6F0BD18" w14:textId="77777777" w:rsidR="00032649" w:rsidRPr="00507A31" w:rsidRDefault="00032649" w:rsidP="00507A31">
            <w:pPr>
              <w:pStyle w:val="241"/>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62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C933209"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45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5F367D2" w14:textId="77777777" w:rsidR="00032649" w:rsidRPr="00507A31" w:rsidRDefault="00032649" w:rsidP="00507A31">
            <w:pPr>
              <w:pStyle w:val="241"/>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229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E2DA5A" w14:textId="77777777" w:rsidR="00032649" w:rsidRPr="00507A31" w:rsidRDefault="00032649" w:rsidP="00507A31">
            <w:pPr>
              <w:pStyle w:val="241"/>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122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ADF7A4C" w14:textId="77777777" w:rsidR="00032649" w:rsidRPr="00507A31" w:rsidRDefault="00032649" w:rsidP="00507A31">
            <w:pPr>
              <w:pStyle w:val="241"/>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A639A04" w14:textId="77777777" w:rsidR="00032649" w:rsidRPr="00507A31" w:rsidRDefault="00032649" w:rsidP="00507A31">
            <w:pPr>
              <w:pStyle w:val="241"/>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316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A184E37"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347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217D67C1"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3020D6F" w14:textId="77777777" w:rsidR="00032649" w:rsidRPr="00507A31" w:rsidRDefault="00032649" w:rsidP="00507A31">
            <w:pPr>
              <w:pStyle w:val="241"/>
              <w:shd w:val="clear" w:color="auto" w:fill="auto"/>
              <w:spacing w:line="240" w:lineRule="auto"/>
              <w:jc w:val="both"/>
              <w:rPr>
                <w:rFonts w:ascii="Times New Roman" w:hAnsi="Times New Roman"/>
                <w:color w:val="000000" w:themeColor="text1"/>
                <w:sz w:val="16"/>
                <w:szCs w:val="16"/>
              </w:rPr>
            </w:pPr>
            <w:r w:rsidRPr="00507A31">
              <w:rPr>
                <w:rFonts w:ascii="Times New Roman" w:hAnsi="Times New Roman"/>
                <w:color w:val="000000" w:themeColor="text1"/>
                <w:sz w:val="16"/>
                <w:szCs w:val="16"/>
              </w:rPr>
              <w:t>578</w:t>
            </w:r>
          </w:p>
        </w:tc>
      </w:tr>
    </w:tbl>
    <w:p w14:paraId="4C5D1047" w14:textId="77777777" w:rsidR="00032649" w:rsidRPr="00507A31" w:rsidRDefault="00032649" w:rsidP="00507A31">
      <w:pPr>
        <w:jc w:val="both"/>
        <w:rPr>
          <w:color w:val="000000" w:themeColor="text1"/>
          <w:sz w:val="16"/>
          <w:szCs w:val="16"/>
        </w:rPr>
      </w:pPr>
      <w:r w:rsidRPr="00507A31">
        <w:rPr>
          <w:color w:val="000000" w:themeColor="text1"/>
          <w:sz w:val="16"/>
          <w:szCs w:val="16"/>
        </w:rPr>
        <w:t>(12295)</w:t>
      </w:r>
    </w:p>
    <w:p w14:paraId="29465042" w14:textId="77777777" w:rsidR="00032649" w:rsidRPr="00507A31" w:rsidRDefault="00032649" w:rsidP="00507A31">
      <w:pPr>
        <w:jc w:val="both"/>
        <w:rPr>
          <w:color w:val="000000" w:themeColor="text1"/>
          <w:sz w:val="16"/>
          <w:szCs w:val="16"/>
        </w:rPr>
      </w:pPr>
    </w:p>
    <w:p w14:paraId="0981AD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 октября 1939 в Средней Азии и Закавказье находились 58 из 89 сохранившихся в строю Р-ЗЛД. Частично это объяснялось тем, что моторы "Лоррэн-Дитрих" плохо работали в условиях зимы. В мороз их трудно было запустить, поскольку карбюратор обогревался недостаточно. При температуре ниже -20° имели место случаи обратного выхлопа в карбюратор, которые могли привести к пожару. Вдобавок эти двигатели неудовлетворительно работали на стандартной тогда для наших ВВС бензин-бензольной смеси (11985).</w:t>
      </w:r>
    </w:p>
    <w:p w14:paraId="4ED6953E" w14:textId="77777777" w:rsidR="00537E5F" w:rsidRPr="00507A31" w:rsidRDefault="00537E5F" w:rsidP="00507A31">
      <w:pPr>
        <w:autoSpaceDE w:val="0"/>
        <w:autoSpaceDN w:val="0"/>
        <w:adjustRightInd w:val="0"/>
        <w:jc w:val="both"/>
        <w:rPr>
          <w:color w:val="000000" w:themeColor="text1"/>
          <w:sz w:val="16"/>
          <w:szCs w:val="16"/>
        </w:rPr>
      </w:pPr>
    </w:p>
    <w:p w14:paraId="192846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 октября 1930 г. в ВВС насчитывалось всего 19 новых бипланов Р-5. Но количество Р-5 быстро росло. Переподготовка экипажей шла непрерывным конвейером. Учились летать днем и ночью, фотографировать, бомбить и стрелять. Для тренировки в воздушной стрельбе на Р-5 стали монтировать самодельные установки для буксировки мишеней-конусов. Матерчатый конус свертывался и подвешивался под левую плоскость. Освобождали его открытием замков двух крайних балок бомбодержателей. Это не всегда было безопасно. В первой половине 1931 г. зафиксировали два случая загорания ткани от искр из выхлопных патрубков. Поэтому в 34-й эскадрилье стали подхватывать конус с земли "кошкой" (12034).</w:t>
      </w:r>
    </w:p>
    <w:p w14:paraId="39334FDF" w14:textId="77777777" w:rsidR="00537E5F" w:rsidRPr="00507A31" w:rsidRDefault="00537E5F" w:rsidP="00507A31">
      <w:pPr>
        <w:autoSpaceDE w:val="0"/>
        <w:autoSpaceDN w:val="0"/>
        <w:adjustRightInd w:val="0"/>
        <w:jc w:val="both"/>
        <w:rPr>
          <w:color w:val="000000" w:themeColor="text1"/>
          <w:sz w:val="16"/>
          <w:szCs w:val="16"/>
        </w:rPr>
      </w:pPr>
    </w:p>
    <w:p w14:paraId="008BF1B6" w14:textId="77777777" w:rsidR="005242C5" w:rsidRPr="00507A31" w:rsidRDefault="005242C5" w:rsidP="00507A31">
      <w:pPr>
        <w:shd w:val="clear" w:color="auto" w:fill="FFFFFF"/>
        <w:jc w:val="both"/>
        <w:rPr>
          <w:color w:val="000000" w:themeColor="text1"/>
          <w:sz w:val="16"/>
          <w:szCs w:val="16"/>
        </w:rPr>
      </w:pPr>
      <w:r w:rsidRPr="00507A31">
        <w:rPr>
          <w:color w:val="000000" w:themeColor="text1"/>
          <w:sz w:val="16"/>
          <w:szCs w:val="16"/>
        </w:rPr>
        <w:t>По состоянию на 1 октября 1930 г. в 3-м танковом полку числилось 19 танков «Рикардо» и 47 МС-1. Это были последние из находившихся в войсках машин времен Гражданской войны, ставшие «учебной партой» советских танкистов (17731).</w:t>
      </w:r>
    </w:p>
    <w:p w14:paraId="13C4827A" w14:textId="77777777" w:rsidR="005242C5" w:rsidRPr="00507A31" w:rsidRDefault="005242C5" w:rsidP="00507A31">
      <w:pPr>
        <w:jc w:val="both"/>
        <w:rPr>
          <w:color w:val="000000" w:themeColor="text1"/>
          <w:sz w:val="16"/>
          <w:szCs w:val="16"/>
        </w:rPr>
      </w:pPr>
    </w:p>
    <w:p w14:paraId="74CE2E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 октября 1930 утвержденный т. Рудзутак план сдачи автомобилей Наркомвоенмору выполнен полностью (10977).</w:t>
      </w:r>
    </w:p>
    <w:p w14:paraId="24C7BDBC" w14:textId="77777777" w:rsidR="00537E5F" w:rsidRPr="00507A31" w:rsidRDefault="00537E5F" w:rsidP="00507A31">
      <w:pPr>
        <w:autoSpaceDE w:val="0"/>
        <w:autoSpaceDN w:val="0"/>
        <w:adjustRightInd w:val="0"/>
        <w:jc w:val="both"/>
        <w:rPr>
          <w:color w:val="000000" w:themeColor="text1"/>
          <w:sz w:val="16"/>
          <w:szCs w:val="16"/>
        </w:rPr>
      </w:pPr>
    </w:p>
    <w:p w14:paraId="1DC69D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 была взорвана церковь Чудова монастыря в Кремле (3481).</w:t>
      </w:r>
    </w:p>
    <w:p w14:paraId="679901A6" w14:textId="77777777" w:rsidR="00537E5F" w:rsidRPr="00507A31" w:rsidRDefault="00537E5F" w:rsidP="00507A31">
      <w:pPr>
        <w:autoSpaceDE w:val="0"/>
        <w:autoSpaceDN w:val="0"/>
        <w:adjustRightInd w:val="0"/>
        <w:jc w:val="both"/>
        <w:rPr>
          <w:color w:val="000000" w:themeColor="text1"/>
          <w:sz w:val="16"/>
          <w:szCs w:val="16"/>
        </w:rPr>
      </w:pPr>
    </w:p>
    <w:p w14:paraId="73E11BF0" w14:textId="77777777" w:rsidR="00540F8E" w:rsidRPr="00507A31" w:rsidRDefault="00540F8E" w:rsidP="00507A31">
      <w:pPr>
        <w:jc w:val="both"/>
        <w:rPr>
          <w:color w:val="000000" w:themeColor="text1"/>
          <w:sz w:val="16"/>
          <w:szCs w:val="16"/>
        </w:rPr>
      </w:pPr>
      <w:r w:rsidRPr="00507A31">
        <w:rPr>
          <w:color w:val="000000" w:themeColor="text1"/>
          <w:sz w:val="16"/>
          <w:szCs w:val="16"/>
        </w:rPr>
        <w:t>1 октября 1930. Начался отопительный сезон. Моссоветом было принято решение, что зимой средняя температура в жилых домах, учреждениях и предприятиях должна поддерживаться на уровне 16 градусов по Цельсию, а в больницах, школах и детских учреждениях -18 градусов (18725).</w:t>
      </w:r>
    </w:p>
    <w:p w14:paraId="1DF9AFD7" w14:textId="77777777" w:rsidR="00540F8E" w:rsidRPr="00507A31" w:rsidRDefault="00540F8E" w:rsidP="00507A31">
      <w:pPr>
        <w:jc w:val="both"/>
        <w:rPr>
          <w:color w:val="000000" w:themeColor="text1"/>
          <w:sz w:val="16"/>
          <w:szCs w:val="16"/>
        </w:rPr>
      </w:pPr>
    </w:p>
    <w:p w14:paraId="0EDB8315" w14:textId="77777777" w:rsidR="00537E5F" w:rsidRPr="00507A31" w:rsidRDefault="00AC7355" w:rsidP="00507A31">
      <w:pPr>
        <w:autoSpaceDE w:val="0"/>
        <w:autoSpaceDN w:val="0"/>
        <w:adjustRightInd w:val="0"/>
        <w:jc w:val="both"/>
        <w:rPr>
          <w:iCs/>
          <w:color w:val="000000" w:themeColor="text1"/>
          <w:sz w:val="16"/>
          <w:szCs w:val="16"/>
          <w:lang w:val="en-US"/>
        </w:rPr>
      </w:pPr>
      <w:r w:rsidRPr="00507A31">
        <w:rPr>
          <w:i/>
          <w:iCs/>
          <w:color w:val="000000" w:themeColor="text1"/>
          <w:sz w:val="16"/>
          <w:szCs w:val="16"/>
        </w:rPr>
        <w:t>За</w:t>
      </w:r>
      <w:r w:rsidRPr="00507A31">
        <w:rPr>
          <w:i/>
          <w:iCs/>
          <w:color w:val="000000" w:themeColor="text1"/>
          <w:sz w:val="16"/>
          <w:szCs w:val="16"/>
          <w:lang w:val="en-US"/>
        </w:rPr>
        <w:t xml:space="preserve"> </w:t>
      </w:r>
      <w:r w:rsidRPr="00507A31">
        <w:rPr>
          <w:i/>
          <w:iCs/>
          <w:color w:val="000000" w:themeColor="text1"/>
          <w:sz w:val="16"/>
          <w:szCs w:val="16"/>
        </w:rPr>
        <w:t>рубежом</w:t>
      </w:r>
      <w:r w:rsidRPr="00507A31">
        <w:rPr>
          <w:i/>
          <w:iCs/>
          <w:color w:val="000000" w:themeColor="text1"/>
          <w:sz w:val="16"/>
          <w:szCs w:val="16"/>
          <w:lang w:val="en-US"/>
        </w:rPr>
        <w:t>:</w:t>
      </w:r>
    </w:p>
    <w:p w14:paraId="1640640B" w14:textId="77777777" w:rsidR="00537E5F" w:rsidRPr="00507A31" w:rsidRDefault="00537E5F" w:rsidP="00507A31">
      <w:pPr>
        <w:autoSpaceDE w:val="0"/>
        <w:autoSpaceDN w:val="0"/>
        <w:adjustRightInd w:val="0"/>
        <w:jc w:val="both"/>
        <w:rPr>
          <w:iCs/>
          <w:color w:val="000000" w:themeColor="text1"/>
          <w:sz w:val="16"/>
          <w:szCs w:val="16"/>
          <w:lang w:val="en-US"/>
        </w:rPr>
      </w:pPr>
    </w:p>
    <w:p w14:paraId="3F4AC24D" w14:textId="77777777" w:rsidR="00CD4949" w:rsidRPr="00507A31" w:rsidRDefault="00CD4949" w:rsidP="00507A31">
      <w:pPr>
        <w:jc w:val="both"/>
        <w:rPr>
          <w:rStyle w:val="ucoz-forum-post"/>
          <w:rFonts w:eastAsiaTheme="majorEastAsia"/>
          <w:color w:val="000000" w:themeColor="text1"/>
          <w:sz w:val="16"/>
          <w:szCs w:val="16"/>
        </w:rPr>
      </w:pPr>
      <w:r w:rsidRPr="00507A31">
        <w:rPr>
          <w:rStyle w:val="ucoz-forum-post"/>
          <w:rFonts w:eastAsiaTheme="majorEastAsia"/>
          <w:bCs/>
          <w:color w:val="000000" w:themeColor="text1"/>
          <w:sz w:val="16"/>
          <w:szCs w:val="16"/>
          <w:lang w:val="en-US"/>
        </w:rPr>
        <w:t xml:space="preserve">1 </w:t>
      </w:r>
      <w:r w:rsidRPr="00507A31">
        <w:rPr>
          <w:rStyle w:val="ucoz-forum-post"/>
          <w:rFonts w:eastAsiaTheme="majorEastAsia"/>
          <w:bCs/>
          <w:color w:val="000000" w:themeColor="text1"/>
          <w:sz w:val="16"/>
          <w:szCs w:val="16"/>
        </w:rPr>
        <w:t>октября</w:t>
      </w:r>
      <w:r w:rsidRPr="00507A31">
        <w:rPr>
          <w:rStyle w:val="ucoz-forum-post"/>
          <w:rFonts w:eastAsiaTheme="majorEastAsia"/>
          <w:bCs/>
          <w:color w:val="000000" w:themeColor="text1"/>
          <w:sz w:val="16"/>
          <w:szCs w:val="16"/>
          <w:lang w:val="en-US"/>
        </w:rPr>
        <w:t xml:space="preserve"> 1930 </w:t>
      </w:r>
      <w:r w:rsidRPr="00507A31">
        <w:rPr>
          <w:rStyle w:val="ucoz-forum-post"/>
          <w:rFonts w:eastAsiaTheme="majorEastAsia"/>
          <w:bCs/>
          <w:color w:val="000000" w:themeColor="text1"/>
          <w:sz w:val="16"/>
          <w:szCs w:val="16"/>
        </w:rPr>
        <w:t>года</w:t>
      </w:r>
      <w:r w:rsidRPr="00507A31">
        <w:rPr>
          <w:rStyle w:val="ucoz-forum-post"/>
          <w:rFonts w:eastAsiaTheme="majorEastAsia"/>
          <w:color w:val="000000" w:themeColor="text1"/>
          <w:sz w:val="16"/>
          <w:szCs w:val="16"/>
        </w:rPr>
        <w:t>Путёмслияния</w:t>
      </w:r>
      <w:r w:rsidRPr="00507A31">
        <w:rPr>
          <w:rStyle w:val="ucoz-forum-post"/>
          <w:rFonts w:eastAsiaTheme="majorEastAsia"/>
          <w:color w:val="000000" w:themeColor="text1"/>
          <w:sz w:val="16"/>
          <w:szCs w:val="16"/>
          <w:lang w:val="en-US"/>
        </w:rPr>
        <w:t xml:space="preserve"> Western Air Express </w:t>
      </w:r>
      <w:r w:rsidRPr="00507A31">
        <w:rPr>
          <w:rStyle w:val="ucoz-forum-post"/>
          <w:rFonts w:eastAsiaTheme="majorEastAsia"/>
          <w:color w:val="000000" w:themeColor="text1"/>
          <w:sz w:val="16"/>
          <w:szCs w:val="16"/>
        </w:rPr>
        <w:t>и</w:t>
      </w:r>
      <w:r w:rsidRPr="00507A31">
        <w:rPr>
          <w:rStyle w:val="ucoz-forum-post"/>
          <w:rFonts w:eastAsiaTheme="majorEastAsia"/>
          <w:color w:val="000000" w:themeColor="text1"/>
          <w:sz w:val="16"/>
          <w:szCs w:val="16"/>
          <w:lang w:val="en-US"/>
        </w:rPr>
        <w:t xml:space="preserve"> Transcontinental Air Transport </w:t>
      </w:r>
      <w:r w:rsidRPr="00507A31">
        <w:rPr>
          <w:rStyle w:val="ucoz-forum-post"/>
          <w:rFonts w:eastAsiaTheme="majorEastAsia"/>
          <w:color w:val="000000" w:themeColor="text1"/>
          <w:sz w:val="16"/>
          <w:szCs w:val="16"/>
        </w:rPr>
        <w:t>вСШАпоявиласьноваяавиакомпания</w:t>
      </w:r>
      <w:r w:rsidRPr="00507A31">
        <w:rPr>
          <w:rStyle w:val="ucoz-forum-post"/>
          <w:rFonts w:eastAsiaTheme="majorEastAsia"/>
          <w:color w:val="000000" w:themeColor="text1"/>
          <w:sz w:val="16"/>
          <w:szCs w:val="16"/>
          <w:lang w:val="en-US"/>
        </w:rPr>
        <w:t xml:space="preserve"> Trans Continental and Western Airlines. </w:t>
      </w:r>
      <w:r w:rsidRPr="00507A31">
        <w:rPr>
          <w:rStyle w:val="ucoz-forum-post"/>
          <w:rFonts w:eastAsiaTheme="majorEastAsia"/>
          <w:color w:val="000000" w:themeColor="text1"/>
          <w:sz w:val="16"/>
          <w:szCs w:val="16"/>
        </w:rPr>
        <w:t>До начала XXI_го века TWA оставалась в числе крупнейших авиакомпаний мира. Подобно Pan American она немало сделала для развития мирового воздушного транспорта (14786).</w:t>
      </w:r>
    </w:p>
    <w:p w14:paraId="320CE8AD" w14:textId="77777777" w:rsidR="00CD4949" w:rsidRPr="00507A31" w:rsidRDefault="00CD4949" w:rsidP="00507A31">
      <w:pPr>
        <w:jc w:val="both"/>
        <w:rPr>
          <w:rStyle w:val="ucoz-forum-post"/>
          <w:rFonts w:eastAsiaTheme="majorEastAsia"/>
          <w:color w:val="000000" w:themeColor="text1"/>
          <w:sz w:val="16"/>
          <w:szCs w:val="16"/>
        </w:rPr>
      </w:pPr>
    </w:p>
    <w:p w14:paraId="61E13EA8" w14:textId="77777777" w:rsidR="001603A2" w:rsidRPr="00507A31" w:rsidRDefault="001603A2" w:rsidP="00507A31">
      <w:pPr>
        <w:jc w:val="both"/>
        <w:rPr>
          <w:color w:val="0070C0"/>
          <w:sz w:val="16"/>
          <w:szCs w:val="16"/>
        </w:rPr>
      </w:pPr>
      <w:r w:rsidRPr="00507A31">
        <w:rPr>
          <w:color w:val="0070C0"/>
          <w:sz w:val="16"/>
          <w:szCs w:val="16"/>
        </w:rPr>
        <w:t xml:space="preserve">1 октября 1930 </w:t>
      </w:r>
      <w:r w:rsidRPr="00507A31">
        <w:rPr>
          <w:color w:val="0070C0"/>
          <w:sz w:val="16"/>
          <w:szCs w:val="16"/>
          <w:lang w:val="en-US"/>
        </w:rPr>
        <w:t>Western</w:t>
      </w:r>
      <w:r w:rsidRPr="00507A31">
        <w:rPr>
          <w:color w:val="0070C0"/>
          <w:sz w:val="16"/>
          <w:szCs w:val="16"/>
        </w:rPr>
        <w:t xml:space="preserve"> </w:t>
      </w:r>
      <w:r w:rsidRPr="00507A31">
        <w:rPr>
          <w:color w:val="0070C0"/>
          <w:sz w:val="16"/>
          <w:szCs w:val="16"/>
          <w:lang w:val="en-US"/>
        </w:rPr>
        <w:t>Air</w:t>
      </w:r>
      <w:r w:rsidRPr="00507A31">
        <w:rPr>
          <w:color w:val="0070C0"/>
          <w:sz w:val="16"/>
          <w:szCs w:val="16"/>
        </w:rPr>
        <w:t xml:space="preserve"> </w:t>
      </w:r>
      <w:r w:rsidRPr="00507A31">
        <w:rPr>
          <w:color w:val="0070C0"/>
          <w:sz w:val="16"/>
          <w:szCs w:val="16"/>
          <w:lang w:val="en-US"/>
        </w:rPr>
        <w:t>Express</w:t>
      </w:r>
      <w:r w:rsidRPr="00507A31">
        <w:rPr>
          <w:color w:val="0070C0"/>
          <w:sz w:val="16"/>
          <w:szCs w:val="16"/>
        </w:rPr>
        <w:t xml:space="preserve"> и </w:t>
      </w:r>
      <w:r w:rsidRPr="00507A31">
        <w:rPr>
          <w:color w:val="0070C0"/>
          <w:sz w:val="16"/>
          <w:szCs w:val="16"/>
          <w:lang w:val="en-US"/>
        </w:rPr>
        <w:t>Transcontinental</w:t>
      </w:r>
      <w:r w:rsidRPr="00507A31">
        <w:rPr>
          <w:color w:val="0070C0"/>
          <w:sz w:val="16"/>
          <w:szCs w:val="16"/>
        </w:rPr>
        <w:t xml:space="preserve"> </w:t>
      </w:r>
      <w:r w:rsidRPr="00507A31">
        <w:rPr>
          <w:color w:val="0070C0"/>
          <w:sz w:val="16"/>
          <w:szCs w:val="16"/>
          <w:lang w:val="en-US"/>
        </w:rPr>
        <w:t>Air</w:t>
      </w:r>
      <w:r w:rsidRPr="00507A31">
        <w:rPr>
          <w:color w:val="0070C0"/>
          <w:sz w:val="16"/>
          <w:szCs w:val="16"/>
        </w:rPr>
        <w:t xml:space="preserve"> </w:t>
      </w:r>
      <w:r w:rsidRPr="00507A31">
        <w:rPr>
          <w:color w:val="0070C0"/>
          <w:sz w:val="16"/>
          <w:szCs w:val="16"/>
          <w:lang w:val="en-US"/>
        </w:rPr>
        <w:t>Transport</w:t>
      </w:r>
      <w:r w:rsidRPr="00507A31">
        <w:rPr>
          <w:color w:val="0070C0"/>
          <w:sz w:val="16"/>
          <w:szCs w:val="16"/>
        </w:rPr>
        <w:t xml:space="preserve"> объединяются в компании </w:t>
      </w:r>
      <w:r w:rsidRPr="00507A31">
        <w:rPr>
          <w:color w:val="0070C0"/>
          <w:sz w:val="16"/>
          <w:szCs w:val="16"/>
          <w:lang w:val="en-US"/>
        </w:rPr>
        <w:t>Transcontinental</w:t>
      </w:r>
      <w:r w:rsidRPr="00507A31">
        <w:rPr>
          <w:color w:val="0070C0"/>
          <w:sz w:val="16"/>
          <w:szCs w:val="16"/>
        </w:rPr>
        <w:t xml:space="preserve"> и </w:t>
      </w:r>
      <w:r w:rsidRPr="00507A31">
        <w:rPr>
          <w:color w:val="0070C0"/>
          <w:sz w:val="16"/>
          <w:szCs w:val="16"/>
          <w:lang w:val="en-US"/>
        </w:rPr>
        <w:t>Western</w:t>
      </w:r>
      <w:r w:rsidRPr="00507A31">
        <w:rPr>
          <w:color w:val="0070C0"/>
          <w:sz w:val="16"/>
          <w:szCs w:val="16"/>
        </w:rPr>
        <w:t xml:space="preserve"> </w:t>
      </w:r>
      <w:r w:rsidRPr="00507A31">
        <w:rPr>
          <w:color w:val="0070C0"/>
          <w:sz w:val="16"/>
          <w:szCs w:val="16"/>
          <w:lang w:val="en-US"/>
        </w:rPr>
        <w:t>Air</w:t>
      </w:r>
      <w:r w:rsidRPr="00507A31">
        <w:rPr>
          <w:color w:val="0070C0"/>
          <w:sz w:val="16"/>
          <w:szCs w:val="16"/>
        </w:rPr>
        <w:t xml:space="preserve">, </w:t>
      </w:r>
      <w:r w:rsidRPr="00507A31">
        <w:rPr>
          <w:color w:val="0070C0"/>
          <w:sz w:val="16"/>
          <w:szCs w:val="16"/>
          <w:lang w:val="en-US"/>
        </w:rPr>
        <w:t>Inc</w:t>
      </w:r>
      <w:r w:rsidRPr="00507A31">
        <w:rPr>
          <w:color w:val="0070C0"/>
          <w:sz w:val="16"/>
          <w:szCs w:val="16"/>
        </w:rPr>
        <w:t xml:space="preserve">., которые в 1950 году будут переименованы в </w:t>
      </w:r>
      <w:r w:rsidRPr="00507A31">
        <w:rPr>
          <w:color w:val="0070C0"/>
          <w:sz w:val="16"/>
          <w:szCs w:val="16"/>
          <w:lang w:val="en-US"/>
        </w:rPr>
        <w:t>Trans</w:t>
      </w:r>
      <w:r w:rsidRPr="00507A31">
        <w:rPr>
          <w:color w:val="0070C0"/>
          <w:sz w:val="16"/>
          <w:szCs w:val="16"/>
        </w:rPr>
        <w:t xml:space="preserve"> </w:t>
      </w:r>
      <w:r w:rsidRPr="00507A31">
        <w:rPr>
          <w:color w:val="0070C0"/>
          <w:sz w:val="16"/>
          <w:szCs w:val="16"/>
          <w:lang w:val="en-US"/>
        </w:rPr>
        <w:t>World</w:t>
      </w:r>
      <w:r w:rsidRPr="00507A31">
        <w:rPr>
          <w:color w:val="0070C0"/>
          <w:sz w:val="16"/>
          <w:szCs w:val="16"/>
        </w:rPr>
        <w:t xml:space="preserve"> </w:t>
      </w:r>
      <w:r w:rsidRPr="00507A31">
        <w:rPr>
          <w:color w:val="0070C0"/>
          <w:sz w:val="16"/>
          <w:szCs w:val="16"/>
          <w:lang w:val="en-US"/>
        </w:rPr>
        <w:t>Airlines</w:t>
      </w:r>
      <w:r w:rsidRPr="00507A31">
        <w:rPr>
          <w:color w:val="0070C0"/>
          <w:sz w:val="16"/>
          <w:szCs w:val="16"/>
        </w:rPr>
        <w:t xml:space="preserve"> (20805).</w:t>
      </w:r>
    </w:p>
    <w:p w14:paraId="192DAF57" w14:textId="77777777" w:rsidR="001603A2" w:rsidRPr="00507A31" w:rsidRDefault="001603A2" w:rsidP="00507A31">
      <w:pPr>
        <w:jc w:val="both"/>
        <w:rPr>
          <w:color w:val="0070C0"/>
          <w:sz w:val="16"/>
          <w:szCs w:val="16"/>
        </w:rPr>
      </w:pPr>
    </w:p>
    <w:p w14:paraId="344713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 Великобритания возвратила Китаю ВМ базу в Вайхавее, арендуемую с 1898 (3481).</w:t>
      </w:r>
    </w:p>
    <w:p w14:paraId="25C33F56" w14:textId="77777777" w:rsidR="00537E5F" w:rsidRPr="00507A31" w:rsidRDefault="00537E5F" w:rsidP="00507A31">
      <w:pPr>
        <w:autoSpaceDE w:val="0"/>
        <w:autoSpaceDN w:val="0"/>
        <w:adjustRightInd w:val="0"/>
        <w:jc w:val="both"/>
        <w:rPr>
          <w:color w:val="000000" w:themeColor="text1"/>
          <w:sz w:val="16"/>
          <w:szCs w:val="16"/>
        </w:rPr>
      </w:pPr>
    </w:p>
    <w:p w14:paraId="4E617E1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D2E1205" w14:textId="77777777" w:rsidR="00537E5F" w:rsidRPr="00507A31" w:rsidRDefault="00537E5F" w:rsidP="00507A31">
      <w:pPr>
        <w:autoSpaceDE w:val="0"/>
        <w:autoSpaceDN w:val="0"/>
        <w:adjustRightInd w:val="0"/>
        <w:jc w:val="both"/>
        <w:rPr>
          <w:iCs/>
          <w:color w:val="000000" w:themeColor="text1"/>
          <w:sz w:val="16"/>
          <w:szCs w:val="16"/>
        </w:rPr>
      </w:pPr>
    </w:p>
    <w:p w14:paraId="3B75F40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октября 1930 года самолет Р7 был передан из ЦАГИ в НИИ ВВС и начались гос. испытания (6925).</w:t>
      </w:r>
    </w:p>
    <w:p w14:paraId="371E87F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95281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октября 1930 состоялось заседание РВС, на котором А.Н.Туполев и Б.С.Стечкин выдвинули перечень мероприятий по обеспечению усиления темпов опытного строительства по самолетам и моторам. Самое главное - завершение строительства и импорт (1026,116).</w:t>
      </w:r>
    </w:p>
    <w:p w14:paraId="5D37ECEC" w14:textId="77777777" w:rsidR="00537E5F" w:rsidRPr="00507A31" w:rsidRDefault="00537E5F" w:rsidP="00507A31">
      <w:pPr>
        <w:autoSpaceDE w:val="0"/>
        <w:autoSpaceDN w:val="0"/>
        <w:adjustRightInd w:val="0"/>
        <w:jc w:val="both"/>
        <w:rPr>
          <w:color w:val="000000" w:themeColor="text1"/>
          <w:sz w:val="16"/>
          <w:szCs w:val="16"/>
        </w:rPr>
      </w:pPr>
    </w:p>
    <w:p w14:paraId="4588F4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октября 1930 года врид начальника 2 отдела НИИ ВВС Машкевич писал письмо N 247 в 1 секцию НТК.</w:t>
      </w:r>
    </w:p>
    <w:p w14:paraId="320C1F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сем препровождается материал по испытанию головного серийного самолета АНТ-9 N 451-101.</w:t>
      </w:r>
    </w:p>
    <w:p w14:paraId="160FA1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Цель работы</w:t>
      </w:r>
    </w:p>
    <w:p w14:paraId="70B057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головного серийного самолета на устойчивость, управляемость, взлет, посадку и эффективность органов управления.</w:t>
      </w:r>
    </w:p>
    <w:p w14:paraId="380A09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начато 16 сентября 1930 г.</w:t>
      </w:r>
    </w:p>
    <w:p w14:paraId="74217F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окончено 25 сентября 1930 г.</w:t>
      </w:r>
    </w:p>
    <w:p w14:paraId="442222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Продолжительность 9 дней</w:t>
      </w:r>
    </w:p>
    <w:p w14:paraId="6C9A56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Совершено полетов - 10</w:t>
      </w:r>
    </w:p>
    <w:p w14:paraId="78043A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Налетано - 7 час. 10 мин.</w:t>
      </w:r>
    </w:p>
    <w:p w14:paraId="55399A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1DEB26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устранения недостаточной эффективности рулей и недостатков эксплуатационного порядка в серию пущен быть не может (3250,4-18).</w:t>
      </w:r>
    </w:p>
    <w:p w14:paraId="61296DAD" w14:textId="77777777" w:rsidR="00537E5F" w:rsidRPr="00507A31" w:rsidRDefault="00537E5F" w:rsidP="00507A31">
      <w:pPr>
        <w:autoSpaceDE w:val="0"/>
        <w:autoSpaceDN w:val="0"/>
        <w:adjustRightInd w:val="0"/>
        <w:jc w:val="both"/>
        <w:rPr>
          <w:color w:val="000000" w:themeColor="text1"/>
          <w:sz w:val="16"/>
          <w:szCs w:val="16"/>
        </w:rPr>
      </w:pPr>
    </w:p>
    <w:p w14:paraId="0D6182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 8 - или с 2 по 15 272,375) октября 1930 были проведены перелеты на большую дальность и в неблагоприятных метеорологических условиях на АИР-4 А.С.Я. Летали по маршрутам Москва - Киев -Одесса - Севастополь - Феодосия - Харьков - Москва - 3650 за 24:30 м Москва - Воронеж - Севастополь - Харьков - Москва - 3270 км за 32:30 (271,122).</w:t>
      </w:r>
    </w:p>
    <w:p w14:paraId="70E7B7D3" w14:textId="77777777" w:rsidR="00537E5F" w:rsidRPr="00507A31" w:rsidRDefault="00537E5F" w:rsidP="00507A31">
      <w:pPr>
        <w:autoSpaceDE w:val="0"/>
        <w:autoSpaceDN w:val="0"/>
        <w:adjustRightInd w:val="0"/>
        <w:jc w:val="both"/>
        <w:rPr>
          <w:color w:val="000000" w:themeColor="text1"/>
          <w:sz w:val="16"/>
          <w:szCs w:val="16"/>
        </w:rPr>
      </w:pPr>
    </w:p>
    <w:p w14:paraId="048406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октября 1930 года оба АИР-4 СССР-312 вылетели в круговой перелет. Намеренно было выбрано самое тяжелое по метеоусловиям время - октябрь. Самолет с надписью на борту и крыле "СССР-312" вели Ю. И. Пионтковский и механик Б. Н. Подлесный. Полет прошел по маршруту Москва-Киев-Одесса-Севастополь-Харьков-Москва. На самолете "СССР-311" летели слушатель ВВА С. К. Огородников и механик Я. Я. Пионтковский по маршруту Москва-Воронеж-Ростов-Севастополь- Харьков-Москва. Как и предполагалось, с самого начала пришлось вступить в жестокую борьбу с погодой. Дожди, снежные вьюги, сильнейшая болтанка, ветер до 17 м/с и злейший враг самолета - туман сопровождали авиетки почти по всему пути. Ю. И. Пионтковский из-за тумана сделал две вынужденные посадки прямо на свежевспаханную, размокшую от дождя землю и поднялся с нее же. Срезав на этапе Одесса-Севастополь значительный участок пути, он прошел над открытым морем. За Евпаторией самолет попал в область сильнейшей болтанки. Броски по вертикали превышали 100 м, а с крыла на крыло перекидывало на 60 градусов. Полет над горами сопровождался еще большей болтанкой. Самолет швыряло как щепку, местами восходящие потоки были настолько сильны, что машина помимо воли летчика почти вертикально взмывала вверх. Самолет мог парить с выключенным мотором, хотя нагрузка на крыло в этот момент достигла 43 кг/м . Прочная конструкция АИР-4 выдержала.</w:t>
      </w:r>
    </w:p>
    <w:p w14:paraId="5800D9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24 часа 30 минут летного времени самолет покрыл 3650 км с очень высокой для авиетки при таком дальнем пути средней скоростью 150 км/ч. За все время пилотом не было замечено каких-либо неисправностей самолета. Особенно ценным качеством оказалась способность использовать самые небольшие и неприспособленные площадки. По оценке пилота, оборудование кабины и удобство размещения экипажа были максимально возможными для подобного типа самолета.</w:t>
      </w:r>
    </w:p>
    <w:p w14:paraId="33A184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Еще более трудным оказался перелет самолета №311. Из-за отказов мотора было несколько посадок на неровные площадки, на поле подсолнухов, на деревенскую улицу. Взлетали с мокрой пахоты с разворотом перед препятствием - лесом - на малой скорости. Широко расставленное безосное шасси обеспечивало боковую устойчивость при взлете, посадке и на стоянке при сильном ветре. При посадке в подсолнухи машина не скапотировала. Посадка со смятым колесом обнаружила большую прочность шасси. Вынужденные посадки из-за неполадок в моторе дали возможность лишний раз подчеркнуть прекрасные качества самолета. Свой маршрут в 3270 км он прошел за 23 часа 20 минут летного времени со средней скоростью 140 км/ч.</w:t>
      </w:r>
    </w:p>
    <w:p w14:paraId="566C0A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Я. Я. Пионтковский писал, что АИР-4 в отношении технического обслуживания сделан образцово. Все те мелкие, значительно усложняющие работу механика конструктивные недочеты, которыми изобилует самолет, когда конструктор не знаком с практической работой на аэродроме, в АИР-4 совершенно отсутствуют. Прекрасный подход к мотору, съемные на шомполах алюминиевые полы, люк в фюзеляже для смены амортизатора костыля и многое другое располагают механика к машине, значительно облегчая его тяжелую, ответственную работу (11981).</w:t>
      </w:r>
    </w:p>
    <w:p w14:paraId="4FC8F053" w14:textId="77777777" w:rsidR="001603A2" w:rsidRPr="00507A31" w:rsidRDefault="001603A2" w:rsidP="00507A31">
      <w:pPr>
        <w:autoSpaceDE w:val="0"/>
        <w:autoSpaceDN w:val="0"/>
        <w:adjustRightInd w:val="0"/>
        <w:jc w:val="both"/>
        <w:rPr>
          <w:i/>
          <w:iCs/>
          <w:color w:val="000000" w:themeColor="text1"/>
          <w:sz w:val="16"/>
          <w:szCs w:val="16"/>
        </w:rPr>
      </w:pPr>
    </w:p>
    <w:p w14:paraId="09E9793C" w14:textId="74006FAB"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CDCA812" w14:textId="77777777" w:rsidR="00537E5F" w:rsidRPr="00507A31" w:rsidRDefault="00537E5F" w:rsidP="00507A31">
      <w:pPr>
        <w:autoSpaceDE w:val="0"/>
        <w:autoSpaceDN w:val="0"/>
        <w:adjustRightInd w:val="0"/>
        <w:jc w:val="both"/>
        <w:rPr>
          <w:iCs/>
          <w:color w:val="000000" w:themeColor="text1"/>
          <w:sz w:val="16"/>
          <w:szCs w:val="16"/>
        </w:rPr>
      </w:pPr>
    </w:p>
    <w:p w14:paraId="18289A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октября 1930 37 мм зенитный автомат обр. 1928 на опытном лафете Б-5 был доставлен в НИАП и на следующий день начались испытания (1116,42).</w:t>
      </w:r>
    </w:p>
    <w:p w14:paraId="68A8B535" w14:textId="77777777" w:rsidR="00537E5F" w:rsidRPr="00507A31" w:rsidRDefault="00537E5F" w:rsidP="00507A31">
      <w:pPr>
        <w:autoSpaceDE w:val="0"/>
        <w:autoSpaceDN w:val="0"/>
        <w:adjustRightInd w:val="0"/>
        <w:jc w:val="both"/>
        <w:rPr>
          <w:color w:val="000000" w:themeColor="text1"/>
          <w:sz w:val="16"/>
          <w:szCs w:val="16"/>
        </w:rPr>
      </w:pPr>
    </w:p>
    <w:p w14:paraId="2B3CAF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октября 1930 года на НИАП был доставлен 37-мм автомат обр. 1928 г. на первом опытном лафете Б-5, и на следующий день были начаты его испытания. Время перехода Б-5 из походного положения в боевое составляло 1 минуту 12 секунд, а обратно - 3 минуты 40 секунд. В ходе испытаний обнаружилось несколько конструктивных недостатков и лафет в конце октября был возвращен на "Большевик" (3861).</w:t>
      </w:r>
    </w:p>
    <w:p w14:paraId="523268B4" w14:textId="77777777" w:rsidR="00537E5F" w:rsidRPr="00507A31" w:rsidRDefault="00537E5F" w:rsidP="00507A31">
      <w:pPr>
        <w:autoSpaceDE w:val="0"/>
        <w:autoSpaceDN w:val="0"/>
        <w:adjustRightInd w:val="0"/>
        <w:jc w:val="both"/>
        <w:rPr>
          <w:color w:val="000000" w:themeColor="text1"/>
          <w:sz w:val="16"/>
          <w:szCs w:val="16"/>
        </w:rPr>
      </w:pPr>
    </w:p>
    <w:p w14:paraId="72E791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октября 1930 РВС принял Постановление РВС об опытной системе бронетанкового вооружения в части самоходных артиллерийских установок и заводам к 1 октября 1931 поручалось спроектировать и изготовить около 20 различных видов САУ (4306).</w:t>
      </w:r>
    </w:p>
    <w:p w14:paraId="38C828CA" w14:textId="77777777" w:rsidR="00537E5F" w:rsidRPr="00507A31" w:rsidRDefault="00537E5F" w:rsidP="00507A31">
      <w:pPr>
        <w:autoSpaceDE w:val="0"/>
        <w:autoSpaceDN w:val="0"/>
        <w:adjustRightInd w:val="0"/>
        <w:jc w:val="both"/>
        <w:rPr>
          <w:color w:val="000000" w:themeColor="text1"/>
          <w:sz w:val="16"/>
          <w:szCs w:val="16"/>
        </w:rPr>
      </w:pPr>
    </w:p>
    <w:p w14:paraId="71D1A1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октября 1930 г. Решением РВС СССР как и решением РВС СССР от 13 августа и совещанием замов от 6 сентября с.г. были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 (11210).</w:t>
      </w:r>
    </w:p>
    <w:p w14:paraId="1228D178" w14:textId="77777777" w:rsidR="00537E5F" w:rsidRPr="00507A31" w:rsidRDefault="00537E5F" w:rsidP="00507A31">
      <w:pPr>
        <w:autoSpaceDE w:val="0"/>
        <w:autoSpaceDN w:val="0"/>
        <w:adjustRightInd w:val="0"/>
        <w:jc w:val="both"/>
        <w:rPr>
          <w:color w:val="000000" w:themeColor="text1"/>
          <w:sz w:val="16"/>
          <w:szCs w:val="16"/>
        </w:rPr>
      </w:pPr>
    </w:p>
    <w:p w14:paraId="42F8AA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2 октября 1930 РВС СССР принял </w:t>
      </w:r>
      <w:r w:rsidRPr="00507A31">
        <w:rPr>
          <w:iCs/>
          <w:color w:val="000000" w:themeColor="text1"/>
          <w:sz w:val="16"/>
          <w:szCs w:val="16"/>
        </w:rPr>
        <w:t>«Постановление РВС об опытной системе бронетанкового вооружения в час</w:t>
      </w:r>
      <w:r w:rsidRPr="00507A31">
        <w:rPr>
          <w:iCs/>
          <w:color w:val="000000" w:themeColor="text1"/>
          <w:sz w:val="16"/>
          <w:szCs w:val="16"/>
        </w:rPr>
        <w:softHyphen/>
        <w:t xml:space="preserve">ти самоходных артиллерийских установок». </w:t>
      </w:r>
      <w:r w:rsidRPr="00507A31">
        <w:rPr>
          <w:color w:val="000000" w:themeColor="text1"/>
          <w:sz w:val="16"/>
          <w:szCs w:val="16"/>
        </w:rPr>
        <w:t>Суть постанов</w:t>
      </w:r>
      <w:r w:rsidRPr="00507A31">
        <w:rPr>
          <w:color w:val="000000" w:themeColor="text1"/>
          <w:sz w:val="16"/>
          <w:szCs w:val="16"/>
        </w:rPr>
        <w:softHyphen/>
        <w:t>ления заключалась в том, что заводам и КБ надлежало к 1 октября 1931 г. завершить проектирование и изготовле</w:t>
      </w:r>
      <w:r w:rsidRPr="00507A31">
        <w:rPr>
          <w:color w:val="000000" w:themeColor="text1"/>
          <w:sz w:val="16"/>
          <w:szCs w:val="16"/>
        </w:rPr>
        <w:softHyphen/>
        <w:t>ние большого количества различных типов бронетехники, и в частности, шести базовых САУ:</w:t>
      </w:r>
    </w:p>
    <w:p w14:paraId="58A497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 — </w:t>
      </w:r>
      <w:r w:rsidRPr="00507A31">
        <w:rPr>
          <w:iCs/>
          <w:color w:val="000000" w:themeColor="text1"/>
          <w:sz w:val="16"/>
          <w:szCs w:val="16"/>
        </w:rPr>
        <w:t>танкетку, аналогичную по характеристикам пуле</w:t>
      </w:r>
      <w:r w:rsidRPr="00507A31">
        <w:rPr>
          <w:iCs/>
          <w:color w:val="000000" w:themeColor="text1"/>
          <w:sz w:val="16"/>
          <w:szCs w:val="16"/>
        </w:rPr>
        <w:softHyphen/>
        <w:t>метной танкетке сопровождения, но с вооружением в виде одной 37-мм пушки ЕМ. Назначение танкетки — противо</w:t>
      </w:r>
      <w:r w:rsidRPr="00507A31">
        <w:rPr>
          <w:iCs/>
          <w:color w:val="000000" w:themeColor="text1"/>
          <w:sz w:val="16"/>
          <w:szCs w:val="16"/>
        </w:rPr>
        <w:softHyphen/>
        <w:t>танковая борьба с танками противника;</w:t>
      </w:r>
    </w:p>
    <w:p w14:paraId="3D6424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 самоходную пушку (артиллерия сопровождения) меха</w:t>
      </w:r>
      <w:r w:rsidRPr="00507A31">
        <w:rPr>
          <w:iCs/>
          <w:color w:val="000000" w:themeColor="text1"/>
          <w:sz w:val="16"/>
          <w:szCs w:val="16"/>
        </w:rPr>
        <w:softHyphen/>
        <w:t>низированных частей. Назначение — подготовка и поддержка танковой атаки, борьба против танков. Шасси малого тан</w:t>
      </w:r>
      <w:r w:rsidRPr="00507A31">
        <w:rPr>
          <w:iCs/>
          <w:color w:val="000000" w:themeColor="text1"/>
          <w:sz w:val="16"/>
          <w:szCs w:val="16"/>
        </w:rPr>
        <w:softHyphen/>
        <w:t>ка Калибр 76мм. Вес не более 7,5тн. Скорость хода 25-30 клм в час. Броня 7-10мм. Угол возвышения не менее ЗОгр. Горизон</w:t>
      </w:r>
      <w:r w:rsidRPr="00507A31">
        <w:rPr>
          <w:iCs/>
          <w:color w:val="000000" w:themeColor="text1"/>
          <w:sz w:val="16"/>
          <w:szCs w:val="16"/>
        </w:rPr>
        <w:softHyphen/>
        <w:t>тальное наведение не менее 12 гр.</w:t>
      </w:r>
    </w:p>
    <w:p w14:paraId="45D73E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 самоходную дивизионную пушку поддержки. Назначе</w:t>
      </w:r>
      <w:r w:rsidRPr="00507A31">
        <w:rPr>
          <w:iCs/>
          <w:color w:val="000000" w:themeColor="text1"/>
          <w:sz w:val="16"/>
          <w:szCs w:val="16"/>
        </w:rPr>
        <w:softHyphen/>
        <w:t>ние — подготовка и поддержка атаки пехоты, борьба с за</w:t>
      </w:r>
      <w:r w:rsidRPr="00507A31">
        <w:rPr>
          <w:iCs/>
          <w:color w:val="000000" w:themeColor="text1"/>
          <w:sz w:val="16"/>
          <w:szCs w:val="16"/>
        </w:rPr>
        <w:softHyphen/>
        <w:t>граждениями, укреплениями и огневыми точками. Шасси среднего трактора. Вес 7,5-9тн, скорость хода 20—25 клм, броневая защита — орудийный щит толщиной 7—8мм, воору</w:t>
      </w:r>
      <w:r w:rsidRPr="00507A31">
        <w:rPr>
          <w:iCs/>
          <w:color w:val="000000" w:themeColor="text1"/>
          <w:sz w:val="16"/>
          <w:szCs w:val="16"/>
        </w:rPr>
        <w:softHyphen/>
        <w:t>жение 76,2-мм дивизионная пушка обр. 1902/30 гг. Установ</w:t>
      </w:r>
      <w:r w:rsidRPr="00507A31">
        <w:rPr>
          <w:iCs/>
          <w:color w:val="000000" w:themeColor="text1"/>
          <w:sz w:val="16"/>
          <w:szCs w:val="16"/>
        </w:rPr>
        <w:softHyphen/>
        <w:t>ка должна перевозить 3-4 человек команды и 40 выстрелов. Рассмотреть вопрос возможности создания на том же шас</w:t>
      </w:r>
      <w:r w:rsidRPr="00507A31">
        <w:rPr>
          <w:iCs/>
          <w:color w:val="000000" w:themeColor="text1"/>
          <w:sz w:val="16"/>
          <w:szCs w:val="16"/>
        </w:rPr>
        <w:softHyphen/>
        <w:t>си 122-мм самоходной гаубицы.</w:t>
      </w:r>
    </w:p>
    <w:p w14:paraId="6D7520C3"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 самоходную зенитную пулеметную установку. Назначе</w:t>
      </w:r>
      <w:r w:rsidRPr="00507A31">
        <w:rPr>
          <w:iCs/>
          <w:color w:val="000000" w:themeColor="text1"/>
          <w:sz w:val="16"/>
          <w:szCs w:val="16"/>
        </w:rPr>
        <w:softHyphen/>
        <w:t>ние — охрана частей на походе и в бою от нападения авиации (бреющий полет). Шасси малого танка, или среднего тракто</w:t>
      </w:r>
      <w:r w:rsidRPr="00507A31">
        <w:rPr>
          <w:iCs/>
          <w:color w:val="000000" w:themeColor="text1"/>
          <w:sz w:val="16"/>
          <w:szCs w:val="16"/>
        </w:rPr>
        <w:softHyphen/>
        <w:t xml:space="preserve">ра. Вес 7—7,5тн. Скорость хода — 25—30клм. Броня — 7—10 </w:t>
      </w:r>
      <w:r w:rsidRPr="00507A31">
        <w:rPr>
          <w:color w:val="000000" w:themeColor="text1"/>
          <w:sz w:val="16"/>
          <w:szCs w:val="16"/>
        </w:rPr>
        <w:t xml:space="preserve">•им. </w:t>
      </w:r>
      <w:r w:rsidRPr="00507A31">
        <w:rPr>
          <w:iCs/>
          <w:color w:val="000000" w:themeColor="text1"/>
          <w:sz w:val="16"/>
          <w:szCs w:val="16"/>
        </w:rPr>
        <w:t>Вооружение - универсальный четырехствольный станко</w:t>
      </w:r>
      <w:r w:rsidRPr="00507A31">
        <w:rPr>
          <w:iCs/>
          <w:color w:val="000000" w:themeColor="text1"/>
          <w:sz w:val="16"/>
          <w:szCs w:val="16"/>
        </w:rPr>
        <w:softHyphen/>
        <w:t>вый пулемет калибром 7,62-мм. Установка должна перевозить не менее 2-х человек команды и 4000 патрон.</w:t>
      </w:r>
    </w:p>
    <w:p w14:paraId="4176CC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 </w:t>
      </w:r>
      <w:r w:rsidRPr="00507A31">
        <w:rPr>
          <w:iCs/>
          <w:color w:val="000000" w:themeColor="text1"/>
          <w:sz w:val="16"/>
          <w:szCs w:val="16"/>
        </w:rPr>
        <w:t>самоходную зенитную пушечную установку. Назначе</w:t>
      </w:r>
      <w:r w:rsidRPr="00507A31">
        <w:rPr>
          <w:iCs/>
          <w:color w:val="000000" w:themeColor="text1"/>
          <w:sz w:val="16"/>
          <w:szCs w:val="16"/>
        </w:rPr>
        <w:softHyphen/>
        <w:t>ние — оборона механизированных и пехотных частей на походе и в бою от легкой и бомбардировочной авиации, а также по</w:t>
      </w:r>
      <w:r w:rsidRPr="00507A31">
        <w:rPr>
          <w:iCs/>
          <w:color w:val="000000" w:themeColor="text1"/>
          <w:sz w:val="16"/>
          <w:szCs w:val="16"/>
        </w:rPr>
        <w:softHyphen/>
        <w:t>движное противотанковое средство большой досягаемости. Шасси малого танка, или среднего трактора. Вес 7—7,5 тн. Скорость хода — 25—30 клм. Броня — 7—10 мм. Вооружение -спаренная 37-мм зенитная пушка. Установка должна перево</w:t>
      </w:r>
      <w:r w:rsidRPr="00507A31">
        <w:rPr>
          <w:iCs/>
          <w:color w:val="000000" w:themeColor="text1"/>
          <w:sz w:val="16"/>
          <w:szCs w:val="16"/>
        </w:rPr>
        <w:softHyphen/>
        <w:t>зить не менее 2-х человек орудийных номеров и 100 выстрелов.</w:t>
      </w:r>
    </w:p>
    <w:p w14:paraId="058003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 самоходную зенитную пушечную установку большой до</w:t>
      </w:r>
      <w:r w:rsidRPr="00507A31">
        <w:rPr>
          <w:iCs/>
          <w:color w:val="000000" w:themeColor="text1"/>
          <w:sz w:val="16"/>
          <w:szCs w:val="16"/>
        </w:rPr>
        <w:softHyphen/>
        <w:t>сягаемости. Назначение — оборона штабов, мест развертыва</w:t>
      </w:r>
      <w:r w:rsidRPr="00507A31">
        <w:rPr>
          <w:iCs/>
          <w:color w:val="000000" w:themeColor="text1"/>
          <w:sz w:val="16"/>
          <w:szCs w:val="16"/>
        </w:rPr>
        <w:softHyphen/>
        <w:t>ния резервов, узловых ж.д. станций от налетов вражеских тя</w:t>
      </w:r>
      <w:r w:rsidRPr="00507A31">
        <w:rPr>
          <w:iCs/>
          <w:color w:val="000000" w:themeColor="text1"/>
          <w:sz w:val="16"/>
          <w:szCs w:val="16"/>
        </w:rPr>
        <w:softHyphen/>
        <w:t>желых бомбардировщиков. Шасси — маневренный танк, или тяжелого трактора, вес 10—12 тн., скорость — 15-20 клм, броня — 8—15мм...»</w:t>
      </w:r>
    </w:p>
    <w:p w14:paraId="1B0746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Причем три САУ - самоходную пушку сопровождения механизированных частей, самоходное дивизионное ору</w:t>
      </w:r>
      <w:r w:rsidRPr="00507A31">
        <w:rPr>
          <w:color w:val="000000" w:themeColor="text1"/>
          <w:sz w:val="16"/>
          <w:szCs w:val="16"/>
        </w:rPr>
        <w:softHyphen/>
        <w:t>дие поддержки пехоты и самоходную пушечную зенитную установку, следовало изготовить и испытать до конца 1931 г.</w:t>
      </w:r>
    </w:p>
    <w:p w14:paraId="011BB1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отношении же самоходных артиллерийских устано</w:t>
      </w:r>
      <w:r w:rsidRPr="00507A31">
        <w:rPr>
          <w:color w:val="000000" w:themeColor="text1"/>
          <w:sz w:val="16"/>
          <w:szCs w:val="16"/>
        </w:rPr>
        <w:softHyphen/>
        <w:t>вок большой мощности предлагалось пока ограничиться поиском решений и разработкой эскизного проекта 152-мм гаубицы обр. 1930 г. и 203-мм гаубицы обр. 1929 г. (11417).</w:t>
      </w:r>
    </w:p>
    <w:p w14:paraId="1E7603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06770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октября 1930 г. Постановлением РВС СССР от опытный цех завода «Большевик» начал детальное проектирование и из</w:t>
      </w:r>
      <w:r w:rsidRPr="00507A31">
        <w:rPr>
          <w:color w:val="000000" w:themeColor="text1"/>
          <w:sz w:val="16"/>
          <w:szCs w:val="16"/>
        </w:rPr>
        <w:softHyphen/>
        <w:t>готовление самоходной установки 76,2-мм полевой пушки обр. 1902/30 гг. на шасси трактора «Коммунар».</w:t>
      </w:r>
    </w:p>
    <w:p w14:paraId="0B44E0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Самоходная артиллерия поддержки пехоты считалась в то время оружием «второго эшелона», и потому для его со</w:t>
      </w:r>
      <w:r w:rsidRPr="00507A31">
        <w:rPr>
          <w:color w:val="000000" w:themeColor="text1"/>
          <w:sz w:val="16"/>
          <w:szCs w:val="16"/>
        </w:rPr>
        <w:softHyphen/>
        <w:t>здания предписывалось использовать шасси сельскохозяй</w:t>
      </w:r>
      <w:r w:rsidRPr="00507A31">
        <w:rPr>
          <w:color w:val="000000" w:themeColor="text1"/>
          <w:sz w:val="16"/>
          <w:szCs w:val="16"/>
        </w:rPr>
        <w:softHyphen/>
        <w:t>ственных и строительных гусеничных тракторов, а броне</w:t>
      </w:r>
      <w:r w:rsidRPr="00507A31">
        <w:rPr>
          <w:color w:val="000000" w:themeColor="text1"/>
          <w:sz w:val="16"/>
          <w:szCs w:val="16"/>
        </w:rPr>
        <w:softHyphen/>
        <w:t>вую защиту ограничить противоосколочным щитом.</w:t>
      </w:r>
    </w:p>
    <w:p w14:paraId="6C7541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Задачи этих САУ определялись следующим образом: </w:t>
      </w:r>
      <w:r w:rsidRPr="00507A31">
        <w:rPr>
          <w:iCs/>
          <w:color w:val="000000" w:themeColor="text1"/>
          <w:sz w:val="16"/>
          <w:szCs w:val="16"/>
        </w:rPr>
        <w:t>«Назначение — сопровождение и поддержка аттаки танков вторых эшелонов и огневая поддержка пехоты. Шасси -трактора типа «Коммунар», «Сталинец», масса 9—10 тонн, скорость 12—15 км/ч. Вооружение — 76 мм полковая пушка (горизонтальный обстрел, не менее 300 град, и вертикальный в 30 град.) и 76мм зенитная пушка кругового обстрела».</w:t>
      </w:r>
    </w:p>
    <w:p w14:paraId="694E19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Ориентир на использование «гражданских» тракторов был особо привлекательным с точки зрения двойного ис</w:t>
      </w:r>
      <w:r w:rsidRPr="00507A31">
        <w:rPr>
          <w:color w:val="000000" w:themeColor="text1"/>
          <w:sz w:val="16"/>
          <w:szCs w:val="16"/>
        </w:rPr>
        <w:softHyphen/>
        <w:t>пользования матчасти (в мирное время для вспашки полей и строительства, в военное — для базы САУ и транспортеров пехоты) и простого освоения боевых машин гражданскими специалистами. К тому же «гражданские» тракторы были много дешевле боевых машин специальной постройки.</w:t>
      </w:r>
    </w:p>
    <w:p w14:paraId="74308B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Опытный образец самоходной установки, получившей индекс СУ-2, изготавливался совместно с работниками во</w:t>
      </w:r>
      <w:r w:rsidRPr="00507A31">
        <w:rPr>
          <w:color w:val="000000" w:themeColor="text1"/>
          <w:sz w:val="16"/>
          <w:szCs w:val="16"/>
        </w:rPr>
        <w:softHyphen/>
        <w:t>енного склада № 60 в г. Брянске, занимавшимися изготов</w:t>
      </w:r>
      <w:r w:rsidRPr="00507A31">
        <w:rPr>
          <w:color w:val="000000" w:themeColor="text1"/>
          <w:sz w:val="16"/>
          <w:szCs w:val="16"/>
        </w:rPr>
        <w:softHyphen/>
        <w:t>лением и монтажом вооружения на бронепоезда.</w:t>
      </w:r>
    </w:p>
    <w:p w14:paraId="0566C7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Однако использовать шасси трактора без переделок не удалось. Его пришлось усиливать, дополнять утолщенным металлическим настилом, который в месте кабины был уширен. Бензобак трактора перенесли на правый борт, си</w:t>
      </w:r>
      <w:r w:rsidRPr="00507A31">
        <w:rPr>
          <w:color w:val="000000" w:themeColor="text1"/>
          <w:sz w:val="16"/>
          <w:szCs w:val="16"/>
        </w:rPr>
        <w:softHyphen/>
        <w:t>денье водителя было значительно упрощено и сдвинуто от</w:t>
      </w:r>
      <w:r w:rsidRPr="00507A31">
        <w:rPr>
          <w:color w:val="000000" w:themeColor="text1"/>
          <w:sz w:val="16"/>
          <w:szCs w:val="16"/>
        </w:rPr>
        <w:softHyphen/>
        <w:t xml:space="preserve">носительно первоначального положения, </w:t>
      </w:r>
      <w:r w:rsidRPr="00507A31">
        <w:rPr>
          <w:color w:val="000000" w:themeColor="text1"/>
          <w:sz w:val="16"/>
          <w:szCs w:val="16"/>
        </w:rPr>
        <w:lastRenderedPageBreak/>
        <w:t>изменены тяги управления. Броневая защита САУ должна была состоять из сварно-клепаной броневой коробки, частично закрыва</w:t>
      </w:r>
      <w:r w:rsidRPr="00507A31">
        <w:rPr>
          <w:color w:val="000000" w:themeColor="text1"/>
          <w:sz w:val="16"/>
          <w:szCs w:val="16"/>
        </w:rPr>
        <w:softHyphen/>
        <w:t>ющей двигатель, кабину и боевую платформу, с толщиной стенок 8—10 мм и пушечного щита толщиной 8 мм.</w:t>
      </w:r>
    </w:p>
    <w:p w14:paraId="52F924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Вооружение СУ-2 представляло собой 76,2-мм диви</w:t>
      </w:r>
      <w:r w:rsidRPr="00507A31">
        <w:rPr>
          <w:color w:val="000000" w:themeColor="text1"/>
          <w:sz w:val="16"/>
          <w:szCs w:val="16"/>
        </w:rPr>
        <w:softHyphen/>
        <w:t>зионную пушку обр. 1902 г. на бронепоездной тумбовой установке Сормовского завода, обеспечивающей орудию круговое вращение, но заряжать и вести огонь «в корму» САУ было нельзя. Боекомплект к орудию перевозился на прицепной тележке.</w:t>
      </w:r>
    </w:p>
    <w:p w14:paraId="3AF268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Параллельно с проектированием СУ-2 завод «Больше</w:t>
      </w:r>
      <w:r w:rsidRPr="00507A31">
        <w:rPr>
          <w:color w:val="000000" w:themeColor="text1"/>
          <w:sz w:val="16"/>
          <w:szCs w:val="16"/>
        </w:rPr>
        <w:softHyphen/>
        <w:t>вик» вел работы по самоходной установке, имевшей индекс СУ-4, вскоре смененный на СУ-5 (не путать с СУ-5 на базе танка Т-26). Эта машина делалась по схеме СУ-2, но без брони и вместо бронепоездной тумбы Сормовского завода оснащалась зенитной тумбой с 76,2-мм орудием обр. 1915г. Тарнавского—Лендера. Для лучшей устойчивости СУ-4 (СУ-5) должна была дополняться откидными упорами (11417).</w:t>
      </w:r>
    </w:p>
    <w:p w14:paraId="009DF2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676639A" w14:textId="77777777" w:rsidR="00540F8E" w:rsidRPr="00507A31" w:rsidRDefault="00540F8E" w:rsidP="00507A31">
      <w:pPr>
        <w:jc w:val="both"/>
        <w:rPr>
          <w:bCs/>
          <w:color w:val="000000" w:themeColor="text1"/>
          <w:sz w:val="16"/>
          <w:szCs w:val="16"/>
        </w:rPr>
      </w:pPr>
      <w:r w:rsidRPr="00507A31">
        <w:rPr>
          <w:color w:val="000000" w:themeColor="text1"/>
          <w:sz w:val="16"/>
          <w:szCs w:val="16"/>
        </w:rPr>
        <w:t>После 2 октября 1930 г.</w:t>
      </w:r>
    </w:p>
    <w:p w14:paraId="46D7D919" w14:textId="77777777" w:rsidR="00540F8E" w:rsidRPr="00507A31" w:rsidRDefault="00540F8E" w:rsidP="00507A31">
      <w:pPr>
        <w:jc w:val="both"/>
        <w:rPr>
          <w:bCs/>
          <w:color w:val="000000" w:themeColor="text1"/>
          <w:sz w:val="16"/>
          <w:szCs w:val="16"/>
        </w:rPr>
      </w:pPr>
      <w:r w:rsidRPr="00507A31">
        <w:rPr>
          <w:color w:val="000000" w:themeColor="text1"/>
          <w:sz w:val="16"/>
          <w:szCs w:val="16"/>
        </w:rPr>
        <w:t>Письмо И. В. Сталина В. Р. Менжинскому о желательных направлениях следствия в отношении «будущих показаний» Л. К. Рамзина и других«руководителей контрреволюционных организаций». [После 2 октября 1930 г.]</w:t>
      </w:r>
    </w:p>
    <w:p w14:paraId="61B06454" w14:textId="77777777" w:rsidR="00540F8E" w:rsidRPr="00507A31" w:rsidRDefault="00540F8E" w:rsidP="00507A31">
      <w:pPr>
        <w:jc w:val="both"/>
        <w:rPr>
          <w:bCs/>
          <w:color w:val="000000" w:themeColor="text1"/>
          <w:sz w:val="16"/>
          <w:szCs w:val="16"/>
        </w:rPr>
      </w:pPr>
      <w:r w:rsidRPr="00507A31">
        <w:rPr>
          <w:bCs/>
          <w:color w:val="000000" w:themeColor="text1"/>
          <w:sz w:val="16"/>
          <w:szCs w:val="16"/>
        </w:rPr>
        <w:t>Источник: </w:t>
      </w:r>
    </w:p>
    <w:p w14:paraId="4705D8F6" w14:textId="77777777" w:rsidR="00540F8E" w:rsidRPr="00507A31" w:rsidRDefault="00540F8E"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661252A" w14:textId="77777777" w:rsidR="00540F8E" w:rsidRPr="00507A31" w:rsidRDefault="00540F8E" w:rsidP="00507A31">
      <w:pPr>
        <w:pStyle w:val="rteright"/>
        <w:spacing w:before="0" w:after="0"/>
        <w:jc w:val="both"/>
        <w:rPr>
          <w:color w:val="000000" w:themeColor="text1"/>
          <w:sz w:val="16"/>
          <w:szCs w:val="16"/>
        </w:rPr>
      </w:pPr>
      <w:r w:rsidRPr="00507A31">
        <w:rPr>
          <w:color w:val="000000" w:themeColor="text1"/>
          <w:sz w:val="16"/>
          <w:szCs w:val="16"/>
        </w:rPr>
        <w:t>[После 2 октября 1930 г.]</w:t>
      </w:r>
    </w:p>
    <w:p w14:paraId="17DBA742"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Тов. Менжинский!</w:t>
      </w:r>
    </w:p>
    <w:p w14:paraId="60AC5123"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Письмо от 2.Х и материалы получил. Показания Рамзина очень интересны. По-моему, самое интересное в его показаниях — это вопрос об интервенции вообще и особенно вопрос о сроке инт[ервен]ции. Выходит, что предполагали инт[ервен]цию в 1930 г., но отложили на 1931 или даже на 1932 г. Это очень вероятно и важно, что исходит от первоисточника, т. е. от группы Рябушинского, Гукасова, Денисова, Нобеля, представляющей самую сильную как в смысле капитала, так и в смысле связи с французским и английск[им] правительствами. Может показаться, что ТКП или «Промпартия», или «партия» Милюкова представляют главную силу. Но это неверно. Главная сила — группа Рябушинского, Денисова, Нобеля и т. п., т. е. «Торгпром». ТКП, «Промпартия», «партия» Милюкова — мальчики на побегушках у «Торгпрома». Тем более интересны сведения о сроке инт[ервен]ции, исходящие от «Торгпрома». А вопрос об интервенции вообще, о сроке инт[ервен]ции в особенности, представляет, как известно, для нас первостепенный интерес.</w:t>
      </w:r>
    </w:p>
    <w:p w14:paraId="4DB19477"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Отсюда мои предложения.</w:t>
      </w:r>
    </w:p>
    <w:p w14:paraId="30997086"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а) Сделать одним из самых важных узловых пунктов новых (будущих) показаний верхушки ТКП, «Промпартии» и особенно РАМЗИНА вопрос об инт[ервен]ции и сроке инт[ервен]ции (1. Почему отложили инт[ервен]цию в 1930 г.? 2. Не потому ли, что Польша еще не готова? 3. Может быть потому, что Румыния не готова? 4. Может быть потому, что лимитрофы еще не сомкнулись с Польшей? 5. Почему отложили инт[ервен]цию на 1931 г.? 6. Почему «могут» отложить на 1932 г.? 7. И т. д. и т. п.)</w:t>
      </w:r>
    </w:p>
    <w:p w14:paraId="097E8F9D"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б) Привлечь к делу ЛАРИЧЕВА и других членов ЦК Промпартии и допросить их строжайше о том же, дав им прочесть показания РАМЗИНА.</w:t>
      </w:r>
    </w:p>
    <w:p w14:paraId="57581FB9"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в) Строжайше допросить ГРОМАНА, который по показанию РАМЗИНА, заявил как-то в «Объединенном центре», что «инт[ервен]ция отложена на 1932 г.».</w:t>
      </w:r>
    </w:p>
    <w:p w14:paraId="6AC5E40E"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г) Провести сквозь строй г. г. КОНДРАТЬЕВА, ЮРОВСКОГО, ЧАЯНОВА и т. д., хитро увиливающих от «тенденции к интервенции», но являющихся (бесспорно!) интервенционистами, и строжайше допросить их о сроках инт[ервен]ции (КОНДРАТЬЕВ, ЮРОВСКИЙ И ЧАЯНОВ должны знать об этом так же, как знает об этом МИЛЮКОВ, к которому они ездили на беседу).</w:t>
      </w:r>
    </w:p>
    <w:p w14:paraId="44CAE3D9"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Если показания РАМЗИНА получат подтверждение и конкретизацию в показаниях других обвиняемых (ГРОМАН, ЛАРИЧЕВ, КОНДРАТЬЕВ и К° и т. д.), то это будет серьезным успехом ОГПУ, так как полученный таким образом материал сделаем в той или иной форме достоянием секций КИ и рабочих всех стран, поведем широчайшую кампанию против интервенционистов и добьемся того, что парализуем, подорвем попытки к интервенции на ближайшие 1-2 года, что для нас немаловажно.</w:t>
      </w:r>
    </w:p>
    <w:p w14:paraId="3693D1ED" w14:textId="77777777" w:rsidR="00540F8E" w:rsidRPr="00507A31" w:rsidRDefault="00540F8E" w:rsidP="00507A31">
      <w:pPr>
        <w:pStyle w:val="ae"/>
        <w:spacing w:before="0" w:after="0"/>
        <w:jc w:val="both"/>
        <w:rPr>
          <w:color w:val="000000" w:themeColor="text1"/>
          <w:sz w:val="16"/>
          <w:szCs w:val="16"/>
        </w:rPr>
      </w:pPr>
      <w:r w:rsidRPr="00507A31">
        <w:rPr>
          <w:color w:val="000000" w:themeColor="text1"/>
          <w:sz w:val="16"/>
          <w:szCs w:val="16"/>
        </w:rPr>
        <w:t>Понятно?</w:t>
      </w:r>
    </w:p>
    <w:p w14:paraId="5FE93F9F" w14:textId="77777777" w:rsidR="00540F8E" w:rsidRPr="00507A31" w:rsidRDefault="00540F8E" w:rsidP="00507A31">
      <w:pPr>
        <w:pStyle w:val="ae"/>
        <w:spacing w:before="0" w:after="0"/>
        <w:jc w:val="both"/>
        <w:rPr>
          <w:color w:val="000000" w:themeColor="text1"/>
          <w:sz w:val="16"/>
          <w:szCs w:val="16"/>
        </w:rPr>
      </w:pPr>
      <w:r w:rsidRPr="00507A31">
        <w:rPr>
          <w:color w:val="000000" w:themeColor="text1"/>
          <w:sz w:val="16"/>
          <w:szCs w:val="16"/>
        </w:rPr>
        <w:t>Привет!</w:t>
      </w:r>
    </w:p>
    <w:p w14:paraId="123A9E64" w14:textId="77777777" w:rsidR="00540F8E" w:rsidRPr="00507A31" w:rsidRDefault="00540F8E" w:rsidP="00507A31">
      <w:pPr>
        <w:pStyle w:val="ae"/>
        <w:spacing w:before="0" w:after="0"/>
        <w:jc w:val="both"/>
        <w:rPr>
          <w:color w:val="000000" w:themeColor="text1"/>
          <w:sz w:val="16"/>
          <w:szCs w:val="16"/>
        </w:rPr>
      </w:pPr>
      <w:r w:rsidRPr="00507A31">
        <w:rPr>
          <w:color w:val="000000" w:themeColor="text1"/>
          <w:sz w:val="16"/>
          <w:szCs w:val="16"/>
        </w:rPr>
        <w:t>И. Сталин</w:t>
      </w:r>
    </w:p>
    <w:p w14:paraId="6DDB1DD2" w14:textId="77777777" w:rsidR="00540F8E" w:rsidRPr="00507A31" w:rsidRDefault="00540F8E" w:rsidP="00507A31">
      <w:pPr>
        <w:pStyle w:val="ae"/>
        <w:spacing w:before="0" w:after="0"/>
        <w:jc w:val="both"/>
        <w:rPr>
          <w:color w:val="000000" w:themeColor="text1"/>
          <w:sz w:val="16"/>
          <w:szCs w:val="16"/>
        </w:rPr>
      </w:pPr>
      <w:r w:rsidRPr="00507A31">
        <w:rPr>
          <w:rStyle w:val="af0"/>
          <w:i w:val="0"/>
          <w:color w:val="000000" w:themeColor="text1"/>
          <w:sz w:val="16"/>
          <w:szCs w:val="16"/>
        </w:rPr>
        <w:t>Опубликовано по рукописному подлиннику: Коммунист. 1990. М 11. С. 99-100. Надпись на конверте: «ОГПУ. Т. Менжинскому. Только лично. От Сталина».</w:t>
      </w:r>
    </w:p>
    <w:p w14:paraId="0A13E3AC" w14:textId="77777777" w:rsidR="00540F8E" w:rsidRPr="00507A31" w:rsidRDefault="00540F8E" w:rsidP="00507A31">
      <w:pPr>
        <w:pStyle w:val="ae"/>
        <w:spacing w:before="0" w:after="0"/>
        <w:jc w:val="both"/>
        <w:rPr>
          <w:color w:val="000000" w:themeColor="text1"/>
          <w:sz w:val="16"/>
          <w:szCs w:val="16"/>
        </w:rPr>
      </w:pPr>
      <w:r w:rsidRPr="00507A31">
        <w:rPr>
          <w:rStyle w:val="af0"/>
          <w:i w:val="0"/>
          <w:color w:val="000000" w:themeColor="text1"/>
          <w:sz w:val="16"/>
          <w:szCs w:val="16"/>
        </w:rPr>
        <w:t>Переопубликовано: Письма И. В. Сталина И. В. Молотову... С. 187-188.</w:t>
      </w:r>
    </w:p>
    <w:p w14:paraId="381203FE" w14:textId="77777777" w:rsidR="00540F8E" w:rsidRPr="00507A31" w:rsidRDefault="00540F8E" w:rsidP="00507A31">
      <w:pPr>
        <w:pStyle w:val="ae"/>
        <w:spacing w:before="0" w:after="0"/>
        <w:jc w:val="both"/>
        <w:rPr>
          <w:color w:val="000000" w:themeColor="text1"/>
          <w:sz w:val="16"/>
          <w:szCs w:val="16"/>
        </w:rPr>
      </w:pPr>
      <w:r w:rsidRPr="00507A31">
        <w:rPr>
          <w:rStyle w:val="af0"/>
          <w:i w:val="0"/>
          <w:color w:val="000000" w:themeColor="text1"/>
          <w:sz w:val="16"/>
          <w:szCs w:val="16"/>
        </w:rPr>
        <w:t>Переопубликовано по машинописной копии (ЦА ФСБ РФ. Ф. 2. On. 9. Д. 388. Л. 270-271): Лубянка. Сталин и ВЧК-ГПУ-ОГПУ-НКВД. Январь 1922 — декабрь 1936. М., 2003. С. 256-257 (18707).</w:t>
      </w:r>
    </w:p>
    <w:p w14:paraId="262FFE31" w14:textId="77777777" w:rsidR="00540F8E" w:rsidRPr="00507A31" w:rsidRDefault="00540F8E" w:rsidP="00507A31">
      <w:pPr>
        <w:jc w:val="both"/>
        <w:rPr>
          <w:color w:val="000000" w:themeColor="text1"/>
          <w:sz w:val="16"/>
          <w:szCs w:val="16"/>
        </w:rPr>
      </w:pPr>
    </w:p>
    <w:p w14:paraId="1A376C41" w14:textId="77777777" w:rsidR="00540F8E" w:rsidRPr="00507A31" w:rsidRDefault="00540F8E" w:rsidP="00507A31">
      <w:pPr>
        <w:jc w:val="both"/>
        <w:rPr>
          <w:color w:val="000000" w:themeColor="text1"/>
          <w:sz w:val="16"/>
          <w:szCs w:val="16"/>
        </w:rPr>
      </w:pPr>
      <w:r w:rsidRPr="00507A31">
        <w:rPr>
          <w:color w:val="000000" w:themeColor="text1"/>
          <w:sz w:val="16"/>
          <w:szCs w:val="16"/>
        </w:rPr>
        <w:t>2[1] октября 1930 г.</w:t>
      </w:r>
    </w:p>
    <w:p w14:paraId="5B40B3E8" w14:textId="77777777" w:rsidR="00540F8E" w:rsidRPr="00507A31" w:rsidRDefault="00540F8E" w:rsidP="00507A31">
      <w:pPr>
        <w:jc w:val="both"/>
        <w:rPr>
          <w:color w:val="000000" w:themeColor="text1"/>
          <w:sz w:val="16"/>
          <w:szCs w:val="16"/>
        </w:rPr>
      </w:pPr>
      <w:r w:rsidRPr="00507A31">
        <w:rPr>
          <w:color w:val="000000" w:themeColor="text1"/>
          <w:sz w:val="16"/>
          <w:szCs w:val="16"/>
        </w:rPr>
        <w:t>Сопроводительное письмо № П962 о рассылке членам и кандидатам Политбюро и членам Президиума ЦКК ВКП(б) показаний «о террористической деятельности Промпартии» от 2[1] октября 1930 г.</w:t>
      </w:r>
    </w:p>
    <w:p w14:paraId="5C42B142" w14:textId="77777777" w:rsidR="00540F8E" w:rsidRPr="00507A31" w:rsidRDefault="00540F8E" w:rsidP="00507A31">
      <w:pPr>
        <w:jc w:val="both"/>
        <w:rPr>
          <w:color w:val="000000" w:themeColor="text1"/>
          <w:sz w:val="16"/>
          <w:szCs w:val="16"/>
        </w:rPr>
      </w:pPr>
      <w:r w:rsidRPr="00507A31">
        <w:rPr>
          <w:color w:val="000000" w:themeColor="text1"/>
          <w:sz w:val="16"/>
          <w:szCs w:val="16"/>
        </w:rPr>
        <w:t>Источник: </w:t>
      </w:r>
    </w:p>
    <w:p w14:paraId="059712FD" w14:textId="77777777" w:rsidR="00540F8E" w:rsidRPr="00507A31" w:rsidRDefault="00540F8E"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FC01781" w14:textId="77777777" w:rsidR="00540F8E" w:rsidRPr="00507A31" w:rsidRDefault="00540F8E" w:rsidP="00507A31">
      <w:pPr>
        <w:jc w:val="both"/>
        <w:rPr>
          <w:color w:val="000000" w:themeColor="text1"/>
          <w:sz w:val="16"/>
          <w:szCs w:val="16"/>
        </w:rPr>
      </w:pPr>
      <w:r w:rsidRPr="00507A31">
        <w:rPr>
          <w:color w:val="000000" w:themeColor="text1"/>
          <w:sz w:val="16"/>
          <w:szCs w:val="16"/>
        </w:rPr>
        <w:t>от 2[1] октября 1930 г.</w:t>
      </w:r>
    </w:p>
    <w:p w14:paraId="57526E0D" w14:textId="77777777" w:rsidR="00540F8E" w:rsidRPr="00507A31" w:rsidRDefault="00540F8E" w:rsidP="00507A31">
      <w:pPr>
        <w:jc w:val="both"/>
        <w:rPr>
          <w:color w:val="000000" w:themeColor="text1"/>
          <w:sz w:val="16"/>
          <w:szCs w:val="16"/>
        </w:rPr>
      </w:pPr>
      <w:r w:rsidRPr="00507A31">
        <w:rPr>
          <w:color w:val="000000" w:themeColor="text1"/>
          <w:sz w:val="16"/>
          <w:szCs w:val="16"/>
        </w:rPr>
        <w:t>СТРОГО СЕКРЕТНО</w:t>
      </w:r>
    </w:p>
    <w:p w14:paraId="1054DFC9" w14:textId="77777777" w:rsidR="00540F8E" w:rsidRPr="00507A31" w:rsidRDefault="00540F8E" w:rsidP="00507A31">
      <w:pPr>
        <w:jc w:val="both"/>
        <w:rPr>
          <w:color w:val="000000" w:themeColor="text1"/>
          <w:sz w:val="16"/>
          <w:szCs w:val="16"/>
        </w:rPr>
      </w:pPr>
      <w:r w:rsidRPr="00507A31">
        <w:rPr>
          <w:color w:val="000000" w:themeColor="text1"/>
          <w:sz w:val="16"/>
          <w:szCs w:val="16"/>
        </w:rPr>
        <w:t>ЧЛЕНАМ И КАНДИДАТАМ ПОЛИТБЮРО: т.т. Андрееву, Ворошилову, Кагановичу, Калинину, Кирову, Косиору Ст., Куйбышеву, Микояну, Молотову, Петровскому, Рудзутаку, Рыкову, Сталину, Сырцову, Чубарю.</w:t>
      </w:r>
    </w:p>
    <w:p w14:paraId="2319ED8D" w14:textId="77777777" w:rsidR="00540F8E" w:rsidRPr="00507A31" w:rsidRDefault="00540F8E" w:rsidP="00507A31">
      <w:pPr>
        <w:jc w:val="both"/>
        <w:rPr>
          <w:color w:val="000000" w:themeColor="text1"/>
          <w:sz w:val="16"/>
          <w:szCs w:val="16"/>
        </w:rPr>
      </w:pPr>
      <w:r w:rsidRPr="00507A31">
        <w:rPr>
          <w:color w:val="000000" w:themeColor="text1"/>
          <w:sz w:val="16"/>
          <w:szCs w:val="16"/>
        </w:rPr>
        <w:t>ЧЛЕНАМ ПРЕЗИДИУМА ЦКК: т.т. Акулову, Ильину, Орджоникидзе, Павлуновскому, Розенгольцу, Сольцу, Шкирятову, Янсону, Ярославскому.</w:t>
      </w:r>
    </w:p>
    <w:p w14:paraId="34BAF14C" w14:textId="77777777" w:rsidR="00540F8E" w:rsidRPr="00507A31" w:rsidRDefault="00540F8E" w:rsidP="00507A31">
      <w:pPr>
        <w:jc w:val="both"/>
        <w:rPr>
          <w:color w:val="000000" w:themeColor="text1"/>
          <w:sz w:val="16"/>
          <w:szCs w:val="16"/>
        </w:rPr>
      </w:pPr>
      <w:r w:rsidRPr="00507A31">
        <w:rPr>
          <w:color w:val="000000" w:themeColor="text1"/>
          <w:sz w:val="16"/>
          <w:szCs w:val="16"/>
        </w:rPr>
        <w:t>СЕКРЕТАРЯМ ЦК: т.т. Бауману, Постышеву.</w:t>
      </w:r>
    </w:p>
    <w:p w14:paraId="02C7B77F" w14:textId="77777777" w:rsidR="00540F8E" w:rsidRPr="00507A31" w:rsidRDefault="00540F8E" w:rsidP="00507A31">
      <w:pPr>
        <w:jc w:val="both"/>
        <w:rPr>
          <w:color w:val="000000" w:themeColor="text1"/>
          <w:sz w:val="16"/>
          <w:szCs w:val="16"/>
        </w:rPr>
      </w:pPr>
      <w:r w:rsidRPr="00507A31">
        <w:rPr>
          <w:color w:val="000000" w:themeColor="text1"/>
          <w:sz w:val="16"/>
          <w:szCs w:val="16"/>
        </w:rPr>
        <w:t>По поручению т. Сталина посылаются Вам для сведения показания Предтеченского от 19.Х.30 г., Евреинова от 17.X., Шишова от 16, 17 и 18.Х, Дыдзинского от 17.X., Козлинского от 18.X., Липпе от 17.X., Мороза от 17.Х. и Давидова от 17.Х. о террористической деятельности Промпартии.</w:t>
      </w:r>
    </w:p>
    <w:p w14:paraId="42D7302B" w14:textId="77777777" w:rsidR="00540F8E" w:rsidRPr="00507A31" w:rsidRDefault="00540F8E" w:rsidP="00507A31">
      <w:pPr>
        <w:jc w:val="both"/>
        <w:rPr>
          <w:color w:val="000000" w:themeColor="text1"/>
          <w:sz w:val="16"/>
          <w:szCs w:val="16"/>
        </w:rPr>
      </w:pPr>
      <w:r w:rsidRPr="00507A31">
        <w:rPr>
          <w:color w:val="000000" w:themeColor="text1"/>
          <w:sz w:val="16"/>
          <w:szCs w:val="16"/>
        </w:rPr>
        <w:t>ПРИЛОЖЕНИЕ: экз. №....... на 31 листе.</w:t>
      </w:r>
    </w:p>
    <w:p w14:paraId="545FC1D5" w14:textId="77777777" w:rsidR="00540F8E" w:rsidRPr="00507A31" w:rsidRDefault="00540F8E" w:rsidP="00507A31">
      <w:pPr>
        <w:jc w:val="both"/>
        <w:rPr>
          <w:color w:val="000000" w:themeColor="text1"/>
          <w:sz w:val="16"/>
          <w:szCs w:val="16"/>
        </w:rPr>
      </w:pPr>
      <w:r w:rsidRPr="00507A31">
        <w:rPr>
          <w:color w:val="000000" w:themeColor="text1"/>
          <w:sz w:val="16"/>
          <w:szCs w:val="16"/>
        </w:rPr>
        <w:t>Зам. Зав. СО ЦК</w:t>
      </w:r>
    </w:p>
    <w:p w14:paraId="789BDB8C" w14:textId="77777777" w:rsidR="00540F8E" w:rsidRPr="00507A31" w:rsidRDefault="00540F8E" w:rsidP="00507A31">
      <w:pPr>
        <w:jc w:val="both"/>
        <w:rPr>
          <w:color w:val="000000" w:themeColor="text1"/>
          <w:sz w:val="16"/>
          <w:szCs w:val="16"/>
        </w:rPr>
      </w:pPr>
      <w:r w:rsidRPr="00507A31">
        <w:rPr>
          <w:color w:val="000000" w:themeColor="text1"/>
          <w:sz w:val="16"/>
          <w:szCs w:val="16"/>
        </w:rPr>
        <w:t>Д. 354. Л. 92. Машинописная копия того времени на бланке ЦК ВКП(б). Номер документа (№ П962) и дата «20 октября 1930 г.» машинописью. Датируется на основании данных (штампы) о размножении протоколов допросов с вписанной от руки датой «21.X.1930 г.», подпись-автограф Хряпкиной (Л. 93,104, 112, 113, 115,118,120,130,135, 137, 139) (18475).</w:t>
      </w:r>
    </w:p>
    <w:p w14:paraId="0E427B87" w14:textId="77777777" w:rsidR="00540F8E" w:rsidRPr="00507A31" w:rsidRDefault="00540F8E" w:rsidP="00507A31">
      <w:pPr>
        <w:jc w:val="both"/>
        <w:rPr>
          <w:color w:val="000000" w:themeColor="text1"/>
          <w:sz w:val="16"/>
          <w:szCs w:val="16"/>
        </w:rPr>
      </w:pPr>
    </w:p>
    <w:p w14:paraId="2789B2A6" w14:textId="77777777" w:rsidR="00540F8E" w:rsidRPr="00507A31" w:rsidRDefault="00540F8E"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8976484" w14:textId="77777777" w:rsidR="00540F8E" w:rsidRPr="00507A31" w:rsidRDefault="00540F8E" w:rsidP="00507A31">
      <w:pPr>
        <w:autoSpaceDE w:val="0"/>
        <w:autoSpaceDN w:val="0"/>
        <w:adjustRightInd w:val="0"/>
        <w:jc w:val="both"/>
        <w:rPr>
          <w:iCs/>
          <w:color w:val="000000" w:themeColor="text1"/>
          <w:sz w:val="16"/>
          <w:szCs w:val="16"/>
        </w:rPr>
      </w:pPr>
    </w:p>
    <w:p w14:paraId="12F81078" w14:textId="77777777" w:rsidR="00540F8E" w:rsidRPr="00507A31" w:rsidRDefault="00540F8E" w:rsidP="00507A31">
      <w:pPr>
        <w:jc w:val="both"/>
        <w:rPr>
          <w:bCs/>
          <w:color w:val="000000" w:themeColor="text1"/>
          <w:sz w:val="16"/>
          <w:szCs w:val="16"/>
        </w:rPr>
      </w:pPr>
      <w:r w:rsidRPr="00507A31">
        <w:rPr>
          <w:color w:val="000000" w:themeColor="text1"/>
          <w:sz w:val="16"/>
          <w:szCs w:val="16"/>
        </w:rPr>
        <w:t>2 октября 1930 г.</w:t>
      </w:r>
    </w:p>
    <w:p w14:paraId="519C9061" w14:textId="77777777" w:rsidR="00540F8E" w:rsidRPr="00507A31" w:rsidRDefault="00540F8E" w:rsidP="00507A31">
      <w:pPr>
        <w:jc w:val="both"/>
        <w:rPr>
          <w:bCs/>
          <w:color w:val="000000" w:themeColor="text1"/>
          <w:sz w:val="16"/>
          <w:szCs w:val="16"/>
        </w:rPr>
      </w:pPr>
      <w:r w:rsidRPr="00507A31">
        <w:rPr>
          <w:color w:val="000000" w:themeColor="text1"/>
          <w:sz w:val="16"/>
          <w:szCs w:val="16"/>
        </w:rPr>
        <w:t>Записка председателя ОГПУ В. Р. Менжинского И. В. Сталину о ходе следствия по «делу Трудовой крестьянской партии» и возможных связях ее с «Промпартией». 2 октября 1930 г.</w:t>
      </w:r>
    </w:p>
    <w:p w14:paraId="7E5BA955" w14:textId="77777777" w:rsidR="00540F8E" w:rsidRPr="00507A31" w:rsidRDefault="00540F8E" w:rsidP="00507A31">
      <w:pPr>
        <w:jc w:val="both"/>
        <w:rPr>
          <w:bCs/>
          <w:color w:val="000000" w:themeColor="text1"/>
          <w:sz w:val="16"/>
          <w:szCs w:val="16"/>
        </w:rPr>
      </w:pPr>
      <w:r w:rsidRPr="00507A31">
        <w:rPr>
          <w:bCs/>
          <w:color w:val="000000" w:themeColor="text1"/>
          <w:sz w:val="16"/>
          <w:szCs w:val="16"/>
        </w:rPr>
        <w:t>Источник: </w:t>
      </w:r>
    </w:p>
    <w:p w14:paraId="1D7C28C1" w14:textId="77777777" w:rsidR="00540F8E" w:rsidRPr="00507A31" w:rsidRDefault="00540F8E"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3425CB" w14:textId="77777777" w:rsidR="00540F8E" w:rsidRPr="00507A31" w:rsidRDefault="00540F8E" w:rsidP="00507A31">
      <w:pPr>
        <w:pStyle w:val="rteright"/>
        <w:spacing w:before="0" w:after="0"/>
        <w:jc w:val="both"/>
        <w:rPr>
          <w:color w:val="000000" w:themeColor="text1"/>
          <w:sz w:val="16"/>
          <w:szCs w:val="16"/>
        </w:rPr>
      </w:pPr>
      <w:r w:rsidRPr="00507A31">
        <w:rPr>
          <w:color w:val="000000" w:themeColor="text1"/>
          <w:sz w:val="16"/>
          <w:szCs w:val="16"/>
        </w:rPr>
        <w:t>2 октября 1930 г.</w:t>
      </w:r>
    </w:p>
    <w:p w14:paraId="4E9AA0A1" w14:textId="77777777" w:rsidR="00540F8E" w:rsidRPr="00507A31" w:rsidRDefault="00540F8E" w:rsidP="00507A31">
      <w:pPr>
        <w:pStyle w:val="ae"/>
        <w:spacing w:before="0" w:after="0"/>
        <w:jc w:val="both"/>
        <w:rPr>
          <w:color w:val="000000" w:themeColor="text1"/>
          <w:sz w:val="16"/>
          <w:szCs w:val="16"/>
        </w:rPr>
      </w:pPr>
      <w:r w:rsidRPr="00507A31">
        <w:rPr>
          <w:color w:val="000000" w:themeColor="text1"/>
          <w:sz w:val="16"/>
          <w:szCs w:val="16"/>
        </w:rPr>
        <w:t>т. Сталину</w:t>
      </w:r>
    </w:p>
    <w:p w14:paraId="1D11300F"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Хотя Кондратьев молчит о военной организации, но мы все-таки добираемся до нее по линии особого отдела. Арестованные им б[ывшие] колчаковцы — Буров (один из авторов переворота Колчака) и Коллегов, преподаватель Военной академии б. нач[альник] оперативного отд[ела] ставки Колчака, по их показаниям, возглавляли группу, ставившую себе целью «дворцовый переворот» — намечено его произвести или помогая правым, или самостоятельно. Пока они занимались сколачиванием кадров. В их группу входили громановец б. м[еньшеви]к Городисский, б. преподаватель Военной академии, Кремков, нач. штаба 4 корпуса и Чикалин, б. с[оциалист-]р[еволюционер] нач. артиллерийского сектора Штаба Р. К.К.[А.]</w:t>
      </w:r>
    </w:p>
    <w:p w14:paraId="376D74AF"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Буров и Коллегов показывают, что их военное ядро связано с организацией, кот[орую] представлял Городисский. Организация Городисскаго намечала правительство в составе: Кондратьев — премьер, Юровский — министр финансов. Городисский подробно излагал на собраниях программу: в основном, по нашему мнению, программа Т. К.П.</w:t>
      </w:r>
    </w:p>
    <w:p w14:paraId="7D22311E"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lastRenderedPageBreak/>
        <w:t>Дело в самом начале, Городисскаго сейчас привезли, а Кремкова и Чикалина опасаемся взять в виду известного Вам дела; думаю, что на верном следу, но 1) это не исчерпывает всех связей Т.К.П. и Промышленной партии; 2) зато, видимо, контрреволюционные] военные группировки от монархистов до б. коммунистов связаны друг с другом рядом переходов.</w:t>
      </w:r>
    </w:p>
    <w:p w14:paraId="23C33A0C"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[3]) Шпионаж вредительского] Центра доказан очень ярко, немало данных и о Т.К.П.</w:t>
      </w:r>
    </w:p>
    <w:p w14:paraId="13969270"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[4]) Очень прошу Вас прочесть показания известного &lt;проф.&gt; Рамзина. Во втором из них от 29/IX-I/X с. г. Рамзин рассказывает, как промышленная партия (инженерный вредительский центр) проводила свою линию по всем отраслям советской работы через Рыкова, Ломова и др. Это — скромное начало, благодаря перекрестным допросам участников «обработки» наших правых и дальнейшим уточнениям самого Рамзина продолжение должно дать не только полную картину право-вредительского переплета в советской работе, но и связей, разговоров, откровений — и, надо думать, некоего политического контакта. Никаких неясностей здесь терпеть нельзя. Но само собой разумеется, что и Кондратьев с Громаном, и Рамзин, и Ларичев понимают роковое значение для них этой темы и всячески от нея отвиливают, ссылаясь просто на общность установок с правыми, боясь друзей в компартии превратить в ярых врагов. Думаю, что в течение Октября все-таки добьемся правды.</w:t>
      </w:r>
    </w:p>
    <w:p w14:paraId="127C8F62"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Новый момент в деле — террор: у Рамзина была террористическая группа из молодых инженеров. Здесь, как и в вопросе о военной организации, арестованные террористы начали признаваться. Прилагаю показание одного из них Евреинова. Очень прошу не разсылать пока этих показаний.</w:t>
      </w:r>
    </w:p>
    <w:p w14:paraId="4F955B06" w14:textId="77777777" w:rsidR="00540F8E" w:rsidRPr="00507A31" w:rsidRDefault="00540F8E" w:rsidP="00507A31">
      <w:pPr>
        <w:pStyle w:val="rtejustify"/>
        <w:spacing w:before="0" w:after="0"/>
        <w:rPr>
          <w:color w:val="000000" w:themeColor="text1"/>
          <w:sz w:val="16"/>
          <w:szCs w:val="16"/>
        </w:rPr>
      </w:pPr>
      <w:r w:rsidRPr="00507A31">
        <w:rPr>
          <w:color w:val="000000" w:themeColor="text1"/>
          <w:sz w:val="16"/>
          <w:szCs w:val="16"/>
        </w:rPr>
        <w:t>В. Менежинский</w:t>
      </w:r>
    </w:p>
    <w:p w14:paraId="2FD1C667" w14:textId="77777777" w:rsidR="00540F8E" w:rsidRPr="00507A31" w:rsidRDefault="00540F8E" w:rsidP="00507A31">
      <w:pPr>
        <w:pStyle w:val="ae"/>
        <w:spacing w:before="0" w:after="0"/>
        <w:jc w:val="both"/>
        <w:rPr>
          <w:color w:val="000000" w:themeColor="text1"/>
          <w:sz w:val="16"/>
          <w:szCs w:val="16"/>
        </w:rPr>
      </w:pPr>
      <w:r w:rsidRPr="00507A31">
        <w:rPr>
          <w:rStyle w:val="af0"/>
          <w:i w:val="0"/>
          <w:color w:val="000000" w:themeColor="text1"/>
          <w:sz w:val="16"/>
          <w:szCs w:val="16"/>
        </w:rPr>
        <w:t>АП РФ. Ф. 3. On. 58. Д. 353. Л. 102-103. Рукописный подлинник на листах в линейку (из блокнота), автограф В. Р. Менжинского. В конце записки (Л. 103) во фразе «Прилагаю показание одного из них Евреинова» слово «Прилагаю» отмечено знаком «х», внизу листа под этим же знаком — рукописное примечание другим почерком «Приложение в архив не поступило».</w:t>
      </w:r>
    </w:p>
    <w:p w14:paraId="1DB5335D" w14:textId="77777777" w:rsidR="00540F8E" w:rsidRPr="00507A31" w:rsidRDefault="00540F8E" w:rsidP="00507A31">
      <w:pPr>
        <w:pStyle w:val="ae"/>
        <w:spacing w:before="0" w:after="0"/>
        <w:jc w:val="both"/>
        <w:rPr>
          <w:color w:val="000000" w:themeColor="text1"/>
          <w:sz w:val="16"/>
          <w:szCs w:val="16"/>
        </w:rPr>
      </w:pPr>
      <w:r w:rsidRPr="00507A31">
        <w:rPr>
          <w:rStyle w:val="af0"/>
          <w:i w:val="0"/>
          <w:color w:val="000000" w:themeColor="text1"/>
          <w:sz w:val="16"/>
          <w:szCs w:val="16"/>
        </w:rPr>
        <w:t>Опубликовано: Судебный процесс «Промпартии» 1930 г.: подготовка, проведение, итоги: в 2 кн. Кн. 1. М., 2016. С. 131-132 (18706).</w:t>
      </w:r>
    </w:p>
    <w:p w14:paraId="4B80375F" w14:textId="77777777" w:rsidR="00540F8E" w:rsidRPr="00507A31" w:rsidRDefault="00540F8E" w:rsidP="00507A31">
      <w:pPr>
        <w:jc w:val="both"/>
        <w:rPr>
          <w:color w:val="000000" w:themeColor="text1"/>
          <w:sz w:val="16"/>
          <w:szCs w:val="16"/>
        </w:rPr>
      </w:pPr>
    </w:p>
    <w:p w14:paraId="3111ECAF" w14:textId="77777777" w:rsidR="001603A2" w:rsidRPr="00507A31" w:rsidRDefault="001603A2"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7B1B5F1" w14:textId="77777777" w:rsidR="001603A2" w:rsidRPr="00507A31" w:rsidRDefault="001603A2" w:rsidP="00507A31">
      <w:pPr>
        <w:autoSpaceDE w:val="0"/>
        <w:autoSpaceDN w:val="0"/>
        <w:adjustRightInd w:val="0"/>
        <w:jc w:val="both"/>
        <w:rPr>
          <w:iCs/>
          <w:color w:val="000000" w:themeColor="text1"/>
          <w:sz w:val="16"/>
          <w:szCs w:val="16"/>
        </w:rPr>
      </w:pPr>
    </w:p>
    <w:p w14:paraId="6AB88E12" w14:textId="77777777" w:rsidR="001603A2" w:rsidRPr="00507A31" w:rsidRDefault="001603A2" w:rsidP="00507A31">
      <w:pPr>
        <w:jc w:val="both"/>
        <w:rPr>
          <w:color w:val="0070C0"/>
          <w:sz w:val="16"/>
          <w:szCs w:val="16"/>
        </w:rPr>
      </w:pPr>
      <w:r w:rsidRPr="00507A31">
        <w:rPr>
          <w:color w:val="0070C0"/>
          <w:sz w:val="16"/>
          <w:szCs w:val="16"/>
        </w:rPr>
        <w:t>2 октября 1930 года — первый полёт санитарного самолёта Guillemin JG.40. /Франция/</w:t>
      </w:r>
    </w:p>
    <w:p w14:paraId="452F3449" w14:textId="77777777" w:rsidR="001603A2" w:rsidRPr="00507A31" w:rsidRDefault="001603A2" w:rsidP="00507A31">
      <w:pPr>
        <w:jc w:val="both"/>
        <w:rPr>
          <w:color w:val="0070C0"/>
          <w:sz w:val="16"/>
          <w:szCs w:val="16"/>
        </w:rPr>
      </w:pPr>
      <w:r w:rsidRPr="00507A31">
        <w:rPr>
          <w:color w:val="0070C0"/>
          <w:sz w:val="16"/>
          <w:szCs w:val="16"/>
        </w:rPr>
        <w:t>В конце 1920-х годов Франция нуждалась в небольшом санитарном самолёте для использования в своих многочисленных колониях. Необходимым условием была возможность эксплуатации на неподготовленных аэродромах. Одним из предложенных самолётов стал Guillemin JG.40 от инженера Жана Гийемена.</w:t>
      </w:r>
    </w:p>
    <w:p w14:paraId="3EF5B600" w14:textId="77777777" w:rsidR="001603A2" w:rsidRPr="00507A31" w:rsidRDefault="001603A2" w:rsidP="00507A31">
      <w:pPr>
        <w:jc w:val="both"/>
        <w:rPr>
          <w:color w:val="0070C0"/>
          <w:sz w:val="16"/>
          <w:szCs w:val="16"/>
        </w:rPr>
      </w:pPr>
      <w:r w:rsidRPr="00507A31">
        <w:rPr>
          <w:color w:val="0070C0"/>
          <w:sz w:val="16"/>
          <w:szCs w:val="16"/>
        </w:rPr>
        <w:t>JG.40 представлял собой высокоплан с неубирающимся шасси. Кабина лётчика была смещена к хвосту, а центральную часть фюзеляжа занимал отсек для носилок на 1 пациента. На самолёте был установлен двигатель Salmson 9Nc, позволявший развить скорость до 150 км/ч. Дальность полёта — 500 км.</w:t>
      </w:r>
    </w:p>
    <w:p w14:paraId="735403E6" w14:textId="77777777" w:rsidR="001603A2" w:rsidRPr="00507A31" w:rsidRDefault="001603A2" w:rsidP="00507A31">
      <w:pPr>
        <w:jc w:val="both"/>
        <w:rPr>
          <w:color w:val="0070C0"/>
          <w:sz w:val="16"/>
          <w:szCs w:val="16"/>
        </w:rPr>
      </w:pPr>
      <w:r w:rsidRPr="00507A31">
        <w:rPr>
          <w:color w:val="0070C0"/>
          <w:sz w:val="16"/>
          <w:szCs w:val="16"/>
        </w:rPr>
        <w:t>Несмотря на хорошие результаты испытаний, в серийное производство Guillemin JG.40 не запустили. Выбрали более совершенный самолёт Bloch MB.81. Всего на заводе Blériot Aéronautique построили 2 экземпляра JG.40, отличавшихся установленными двигателями. Попытка переделать их в почтовые самолёты тоже не принесла успеха (22300).</w:t>
      </w:r>
    </w:p>
    <w:p w14:paraId="79268FF4" w14:textId="77777777" w:rsidR="001603A2" w:rsidRPr="00507A31" w:rsidRDefault="001603A2" w:rsidP="00507A31">
      <w:pPr>
        <w:jc w:val="both"/>
        <w:rPr>
          <w:color w:val="0070C0"/>
          <w:sz w:val="16"/>
          <w:szCs w:val="16"/>
        </w:rPr>
      </w:pPr>
    </w:p>
    <w:p w14:paraId="10D9276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5C89558" w14:textId="77777777" w:rsidR="00537E5F" w:rsidRPr="00507A31" w:rsidRDefault="00537E5F" w:rsidP="00507A31">
      <w:pPr>
        <w:autoSpaceDE w:val="0"/>
        <w:autoSpaceDN w:val="0"/>
        <w:adjustRightInd w:val="0"/>
        <w:jc w:val="both"/>
        <w:rPr>
          <w:iCs/>
          <w:color w:val="000000" w:themeColor="text1"/>
          <w:sz w:val="16"/>
          <w:szCs w:val="16"/>
        </w:rPr>
      </w:pPr>
    </w:p>
    <w:p w14:paraId="2B163A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октября 1930 г. самолет И-6 доставили в НИИ ВВС. 5 ок</w:t>
      </w:r>
      <w:r w:rsidRPr="00507A31">
        <w:rPr>
          <w:color w:val="000000" w:themeColor="text1"/>
          <w:sz w:val="16"/>
          <w:szCs w:val="16"/>
        </w:rPr>
        <w:softHyphen/>
        <w:t>тября на нем выполнили первый полет. Обнаружилась недостаточно надежная работа приводов топливных на</w:t>
      </w:r>
      <w:r w:rsidRPr="00507A31">
        <w:rPr>
          <w:color w:val="000000" w:themeColor="text1"/>
          <w:sz w:val="16"/>
          <w:szCs w:val="16"/>
        </w:rPr>
        <w:softHyphen/>
        <w:t>сосов. 2 ноября 1930 г. самолет вернули на завод для пе</w:t>
      </w:r>
      <w:r w:rsidRPr="00507A31">
        <w:rPr>
          <w:color w:val="000000" w:themeColor="text1"/>
          <w:sz w:val="16"/>
          <w:szCs w:val="16"/>
        </w:rPr>
        <w:softHyphen/>
        <w:t>ределок. Затем испытания возобновились. Пилотажные свойства машины были очень хорошими. В отчете о лет</w:t>
      </w:r>
      <w:r w:rsidRPr="00507A31">
        <w:rPr>
          <w:color w:val="000000" w:themeColor="text1"/>
          <w:sz w:val="16"/>
          <w:szCs w:val="16"/>
        </w:rPr>
        <w:softHyphen/>
        <w:t>ных испытаниях, подписанном 8 декабря 1930 г., отмеча</w:t>
      </w:r>
      <w:r w:rsidRPr="00507A31">
        <w:rPr>
          <w:color w:val="000000" w:themeColor="text1"/>
          <w:sz w:val="16"/>
          <w:szCs w:val="16"/>
        </w:rPr>
        <w:softHyphen/>
        <w:t>лось: «Самолет на всех режимах устойчив... В горизонтальном полете при скорости 150 км/ч идет с от</w:t>
      </w:r>
      <w:r w:rsidRPr="00507A31">
        <w:rPr>
          <w:color w:val="000000" w:themeColor="text1"/>
          <w:sz w:val="16"/>
          <w:szCs w:val="16"/>
        </w:rPr>
        <w:softHyphen/>
        <w:t>пущенной ручкой... Ввод в штопор очень вялый, што</w:t>
      </w:r>
      <w:r w:rsidRPr="00507A31">
        <w:rPr>
          <w:color w:val="000000" w:themeColor="text1"/>
          <w:sz w:val="16"/>
          <w:szCs w:val="16"/>
        </w:rPr>
        <w:softHyphen/>
        <w:t>пор крутой, неравномерный, рывками». При взлетном весе 1480 кг И-6 развивал у земли мак</w:t>
      </w:r>
      <w:r w:rsidRPr="00507A31">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507A31">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507A31">
        <w:rPr>
          <w:color w:val="000000" w:themeColor="text1"/>
          <w:sz w:val="16"/>
          <w:szCs w:val="16"/>
        </w:rPr>
        <w:softHyphen/>
        <w:t>ный винт изменяемого шага конструкции ЦАГИ, кото</w:t>
      </w:r>
      <w:r w:rsidRPr="00507A31">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507A31">
        <w:rPr>
          <w:color w:val="000000" w:themeColor="text1"/>
          <w:sz w:val="16"/>
          <w:szCs w:val="16"/>
        </w:rPr>
        <w:softHyphen/>
        <w:t>люцию в отчете о летных испытаниях истребителя И-6: «...Самолет практической ценности для ВВС не пред</w:t>
      </w:r>
      <w:r w:rsidRPr="00507A31">
        <w:rPr>
          <w:color w:val="000000" w:themeColor="text1"/>
          <w:sz w:val="16"/>
          <w:szCs w:val="16"/>
        </w:rPr>
        <w:softHyphen/>
        <w:t>ставляет» (10667).</w:t>
      </w:r>
    </w:p>
    <w:p w14:paraId="0ECAFE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C80E5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октября 1930 машину И-6 приняли в НИИ ВВС, а 5 октября состоялся первый ознакоми</w:t>
      </w:r>
      <w:r w:rsidRPr="00507A31">
        <w:rPr>
          <w:color w:val="000000" w:themeColor="text1"/>
          <w:sz w:val="16"/>
          <w:szCs w:val="16"/>
        </w:rPr>
        <w:softHyphen/>
        <w:t>тельный полет. Летали включительно по 29 ноября 1930 г., всего совершили 17 полетов с общим налетом 15 часов 20 минут. Провели и 4 учебных воздушных боя с И-4 и И-5. В отчете по испытаниям отмечалось, что самолет на всех режимах с закреп</w:t>
      </w:r>
      <w:r w:rsidRPr="00507A31">
        <w:rPr>
          <w:color w:val="000000" w:themeColor="text1"/>
          <w:sz w:val="16"/>
          <w:szCs w:val="16"/>
        </w:rPr>
        <w:softHyphen/>
        <w:t>ленными рулями устойчив. Ввод в што</w:t>
      </w:r>
      <w:r w:rsidRPr="00507A31">
        <w:rPr>
          <w:color w:val="000000" w:themeColor="text1"/>
          <w:sz w:val="16"/>
          <w:szCs w:val="16"/>
        </w:rPr>
        <w:softHyphen/>
        <w:t>пор вялый, тенденций к плоскому харак</w:t>
      </w:r>
      <w:r w:rsidRPr="00507A31">
        <w:rPr>
          <w:color w:val="000000" w:themeColor="text1"/>
          <w:sz w:val="16"/>
          <w:szCs w:val="16"/>
        </w:rPr>
        <w:softHyphen/>
        <w:t>теру штопора не наблюдалось. Замечен</w:t>
      </w:r>
      <w:r w:rsidRPr="00507A31">
        <w:rPr>
          <w:color w:val="000000" w:themeColor="text1"/>
          <w:sz w:val="16"/>
          <w:szCs w:val="16"/>
        </w:rPr>
        <w:softHyphen/>
        <w:t>ное биение элеронов предлагалось уст</w:t>
      </w:r>
      <w:r w:rsidRPr="00507A31">
        <w:rPr>
          <w:color w:val="000000" w:themeColor="text1"/>
          <w:sz w:val="16"/>
          <w:szCs w:val="16"/>
        </w:rPr>
        <w:softHyphen/>
        <w:t>ранить, уменьшив передаточное число в проводке управления. Обзор вниз и вбок был затруднен из-за скруглен пости фю</w:t>
      </w:r>
      <w:r w:rsidRPr="00507A31">
        <w:rPr>
          <w:color w:val="000000" w:themeColor="text1"/>
          <w:sz w:val="16"/>
          <w:szCs w:val="16"/>
        </w:rPr>
        <w:softHyphen/>
        <w:t>зеляжа и сравнительно большой шири</w:t>
      </w:r>
      <w:r w:rsidRPr="00507A31">
        <w:rPr>
          <w:color w:val="000000" w:themeColor="text1"/>
          <w:sz w:val="16"/>
          <w:szCs w:val="16"/>
        </w:rPr>
        <w:softHyphen/>
        <w:t>ны нижнего крыла. Маневренность и скороподъемность были хуже, чем у дру</w:t>
      </w:r>
      <w:r w:rsidRPr="00507A31">
        <w:rPr>
          <w:color w:val="000000" w:themeColor="text1"/>
          <w:sz w:val="16"/>
          <w:szCs w:val="16"/>
        </w:rPr>
        <w:softHyphen/>
        <w:t>гих истребителей. Главный инженер НИИ ВВС по сухо</w:t>
      </w:r>
      <w:r w:rsidRPr="00507A31">
        <w:rPr>
          <w:color w:val="000000" w:themeColor="text1"/>
          <w:sz w:val="16"/>
          <w:szCs w:val="16"/>
        </w:rPr>
        <w:softHyphen/>
        <w:t>путным самолетам Горощенко в заклю</w:t>
      </w:r>
      <w:r w:rsidRPr="00507A31">
        <w:rPr>
          <w:color w:val="000000" w:themeColor="text1"/>
          <w:sz w:val="16"/>
          <w:szCs w:val="16"/>
        </w:rPr>
        <w:softHyphen/>
        <w:t>чении по испытаниям И-6 обращался на имя Начальника ВВС: «...Согласно Вашей директиве мною в отношении этого самолета приняты следующие решения.</w:t>
      </w:r>
    </w:p>
    <w:p w14:paraId="17F25D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Так как самолет практической ценно</w:t>
      </w:r>
      <w:r w:rsidRPr="00507A31">
        <w:rPr>
          <w:color w:val="000000" w:themeColor="text1"/>
          <w:sz w:val="16"/>
          <w:szCs w:val="16"/>
        </w:rPr>
        <w:softHyphen/>
        <w:t>сти для ВВС не представляет, дальней</w:t>
      </w:r>
      <w:r w:rsidRPr="00507A31">
        <w:rPr>
          <w:color w:val="000000" w:themeColor="text1"/>
          <w:sz w:val="16"/>
          <w:szCs w:val="16"/>
        </w:rPr>
        <w:softHyphen/>
        <w:t>шие его испытания в НИИ не произво</w:t>
      </w:r>
      <w:r w:rsidRPr="00507A31">
        <w:rPr>
          <w:color w:val="000000" w:themeColor="text1"/>
          <w:sz w:val="16"/>
          <w:szCs w:val="16"/>
        </w:rPr>
        <w:softHyphen/>
        <w:t>дить, ограничившись заводскими испы</w:t>
      </w:r>
      <w:r w:rsidRPr="00507A31">
        <w:rPr>
          <w:color w:val="000000" w:themeColor="text1"/>
          <w:sz w:val="16"/>
          <w:szCs w:val="16"/>
        </w:rPr>
        <w:softHyphen/>
        <w:t>таниями поведения элеронов в воздухе и испытаниями вооружения. Самолет 2 ноября передан на завод №39 для устра</w:t>
      </w:r>
      <w:r w:rsidRPr="00507A31">
        <w:rPr>
          <w:color w:val="000000" w:themeColor="text1"/>
          <w:sz w:val="16"/>
          <w:szCs w:val="16"/>
        </w:rPr>
        <w:softHyphen/>
        <w:t>нения дефектов элеронов и доработки вооружения.</w:t>
      </w:r>
    </w:p>
    <w:p w14:paraId="4801D7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Построенные 2 экземпляра могут быть использованы как тренировочные или персонального использования, при</w:t>
      </w:r>
      <w:r w:rsidRPr="00507A31">
        <w:rPr>
          <w:color w:val="000000" w:themeColor="text1"/>
          <w:sz w:val="16"/>
          <w:szCs w:val="16"/>
        </w:rPr>
        <w:softHyphen/>
        <w:t>чем, ввиду отсутствия особенностей пи</w:t>
      </w:r>
      <w:r w:rsidRPr="00507A31">
        <w:rPr>
          <w:color w:val="000000" w:themeColor="text1"/>
          <w:sz w:val="16"/>
          <w:szCs w:val="16"/>
        </w:rPr>
        <w:softHyphen/>
        <w:t>лотирования, за исключением отмечен</w:t>
      </w:r>
      <w:r w:rsidRPr="00507A31">
        <w:rPr>
          <w:color w:val="000000" w:themeColor="text1"/>
          <w:sz w:val="16"/>
          <w:szCs w:val="16"/>
        </w:rPr>
        <w:softHyphen/>
        <w:t>ных в сводке, самолеты должны быть переданы непосредственно с завода, с уст</w:t>
      </w:r>
      <w:r w:rsidRPr="00507A31">
        <w:rPr>
          <w:color w:val="000000" w:themeColor="text1"/>
          <w:sz w:val="16"/>
          <w:szCs w:val="16"/>
        </w:rPr>
        <w:softHyphen/>
        <w:t>ранением отмеченных дефектов. 3. Разрешение вопроса о целесообразно</w:t>
      </w:r>
      <w:r w:rsidRPr="00507A31">
        <w:rPr>
          <w:color w:val="000000" w:themeColor="text1"/>
          <w:sz w:val="16"/>
          <w:szCs w:val="16"/>
        </w:rPr>
        <w:softHyphen/>
        <w:t>сти постройки 4-го экземпляра самолета И-6 Ю-У1 передать ВАО». (ВАО - Все</w:t>
      </w:r>
      <w:r w:rsidRPr="00507A31">
        <w:rPr>
          <w:color w:val="000000" w:themeColor="text1"/>
          <w:sz w:val="16"/>
          <w:szCs w:val="16"/>
        </w:rPr>
        <w:softHyphen/>
        <w:t>союзное авиационное объединение, ор</w:t>
      </w:r>
      <w:r w:rsidRPr="00507A31">
        <w:rPr>
          <w:color w:val="000000" w:themeColor="text1"/>
          <w:sz w:val="16"/>
          <w:szCs w:val="16"/>
        </w:rPr>
        <w:softHyphen/>
        <w:t>ганизовано на базе Авиатреста) (10729).</w:t>
      </w:r>
    </w:p>
    <w:p w14:paraId="09BACE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E92C97E" w14:textId="77777777" w:rsidR="00032649" w:rsidRPr="00507A31" w:rsidRDefault="00032649" w:rsidP="00507A31">
      <w:pPr>
        <w:jc w:val="both"/>
        <w:rPr>
          <w:color w:val="000000" w:themeColor="text1"/>
          <w:sz w:val="16"/>
          <w:szCs w:val="16"/>
        </w:rPr>
      </w:pPr>
      <w:r w:rsidRPr="00507A31">
        <w:rPr>
          <w:color w:val="000000" w:themeColor="text1"/>
          <w:sz w:val="16"/>
          <w:szCs w:val="16"/>
        </w:rPr>
        <w:t>3 октя</w:t>
      </w:r>
      <w:r w:rsidRPr="00507A31">
        <w:rPr>
          <w:color w:val="000000" w:themeColor="text1"/>
          <w:sz w:val="16"/>
          <w:szCs w:val="16"/>
        </w:rPr>
        <w:softHyphen/>
        <w:t>бря 1930 2-й экзем</w:t>
      </w:r>
      <w:r w:rsidRPr="00507A31">
        <w:rPr>
          <w:color w:val="000000" w:themeColor="text1"/>
          <w:sz w:val="16"/>
          <w:szCs w:val="16"/>
        </w:rPr>
        <w:softHyphen/>
        <w:t>пляр И-6 приняли в Н И И ВВС на госиспытания, а 5 октября состоялся первый ознакомительный полет. Летали включительно по 29 ноября 1930 г., всего совершили 17 полетов с общим налетом 15 часов 20 минут. В числе прочего выполни</w:t>
      </w:r>
      <w:r w:rsidRPr="00507A31">
        <w:rPr>
          <w:color w:val="000000" w:themeColor="text1"/>
          <w:sz w:val="16"/>
          <w:szCs w:val="16"/>
        </w:rPr>
        <w:softHyphen/>
        <w:t>ли 4 полета на проведение воздушного боя с И-4 и И-5.</w:t>
      </w:r>
    </w:p>
    <w:p w14:paraId="4048D18C" w14:textId="77777777" w:rsidR="00032649" w:rsidRPr="00507A31" w:rsidRDefault="00032649" w:rsidP="00507A31">
      <w:pPr>
        <w:jc w:val="both"/>
        <w:rPr>
          <w:color w:val="000000" w:themeColor="text1"/>
          <w:sz w:val="16"/>
          <w:szCs w:val="16"/>
        </w:rPr>
      </w:pPr>
      <w:r w:rsidRPr="00507A31">
        <w:rPr>
          <w:color w:val="000000" w:themeColor="text1"/>
          <w:sz w:val="16"/>
          <w:szCs w:val="16"/>
        </w:rPr>
        <w:t>По результатам полетов указывалось, что самолет на всех режимах с закрепленными рулями устойчив. Ввод в штопор вялый, тен</w:t>
      </w:r>
      <w:r w:rsidRPr="00507A31">
        <w:rPr>
          <w:color w:val="000000" w:themeColor="text1"/>
          <w:sz w:val="16"/>
          <w:szCs w:val="16"/>
        </w:rPr>
        <w:softHyphen/>
        <w:t>денций к плоскому характеру штопора не на</w:t>
      </w:r>
      <w:r w:rsidRPr="00507A31">
        <w:rPr>
          <w:color w:val="000000" w:themeColor="text1"/>
          <w:sz w:val="16"/>
          <w:szCs w:val="16"/>
        </w:rPr>
        <w:softHyphen/>
        <w:t>блюдалось. Отмечалось биение элеронов, предлагалось уменьшить передаточное число в проводке управления. «Обзор вниз и вбок затруднен благодаря скругленности фюзеля</w:t>
      </w:r>
      <w:r w:rsidRPr="00507A31">
        <w:rPr>
          <w:color w:val="000000" w:themeColor="text1"/>
          <w:sz w:val="16"/>
          <w:szCs w:val="16"/>
        </w:rPr>
        <w:softHyphen/>
        <w:t>жа и сравнительно большой ширине нижне</w:t>
      </w:r>
      <w:r w:rsidRPr="00507A31">
        <w:rPr>
          <w:color w:val="000000" w:themeColor="text1"/>
          <w:sz w:val="16"/>
          <w:szCs w:val="16"/>
        </w:rPr>
        <w:softHyphen/>
        <w:t>го крыла. Маневренность хуже, чем у других истребителей, скороподъемность не удовлет</w:t>
      </w:r>
      <w:r w:rsidRPr="00507A31">
        <w:rPr>
          <w:color w:val="000000" w:themeColor="text1"/>
          <w:sz w:val="16"/>
          <w:szCs w:val="16"/>
        </w:rPr>
        <w:softHyphen/>
        <w:t>воряет».Главный инженер НИИ ВВС по сухопутным самолетам Б.Т. Горошенко в заключении по испытаниям И-6 обращался на имя Начальни</w:t>
      </w:r>
      <w:r w:rsidRPr="00507A31">
        <w:rPr>
          <w:color w:val="000000" w:themeColor="text1"/>
          <w:sz w:val="16"/>
          <w:szCs w:val="16"/>
        </w:rPr>
        <w:softHyphen/>
        <w:t>ка ВВС: «...Согласно Вашей директиве мною в отношении этого самолета приняты следу</w:t>
      </w:r>
      <w:r w:rsidRPr="00507A31">
        <w:rPr>
          <w:color w:val="000000" w:themeColor="text1"/>
          <w:sz w:val="16"/>
          <w:szCs w:val="16"/>
        </w:rPr>
        <w:softHyphen/>
        <w:t>ющие решения.</w:t>
      </w:r>
    </w:p>
    <w:p w14:paraId="449BBB7B" w14:textId="77777777" w:rsidR="00032649" w:rsidRPr="00507A31" w:rsidRDefault="00032649" w:rsidP="00507A31">
      <w:pPr>
        <w:pStyle w:val="4b"/>
        <w:shd w:val="clear" w:color="auto" w:fill="auto"/>
        <w:spacing w:after="0" w:line="240" w:lineRule="auto"/>
        <w:jc w:val="both"/>
        <w:rPr>
          <w:rFonts w:ascii="Times New Roman" w:hAnsi="Times New Roman"/>
          <w:color w:val="000000" w:themeColor="text1"/>
          <w:sz w:val="16"/>
          <w:szCs w:val="16"/>
          <w:lang w:val="ru-RU"/>
        </w:rPr>
      </w:pPr>
      <w:r w:rsidRPr="00507A31">
        <w:rPr>
          <w:rFonts w:ascii="Times New Roman" w:hAnsi="Times New Roman"/>
          <w:color w:val="000000" w:themeColor="text1"/>
          <w:sz w:val="16"/>
          <w:szCs w:val="16"/>
          <w:lang w:val="ru-RU"/>
        </w:rPr>
        <w:t>Сравнительная таблица самолетов И-3, И-4, И-5, И-6 (1-й экз.), подготовленная в НИИ ВВС</w:t>
      </w:r>
    </w:p>
    <w:tbl>
      <w:tblPr>
        <w:tblW w:w="0" w:type="auto"/>
        <w:tblLayout w:type="fixed"/>
        <w:tblCellMar>
          <w:left w:w="10" w:type="dxa"/>
          <w:right w:w="10" w:type="dxa"/>
        </w:tblCellMar>
        <w:tblLook w:val="0000" w:firstRow="0" w:lastRow="0" w:firstColumn="0" w:lastColumn="0" w:noHBand="0" w:noVBand="0"/>
      </w:tblPr>
      <w:tblGrid>
        <w:gridCol w:w="3139"/>
        <w:gridCol w:w="1303"/>
        <w:gridCol w:w="1307"/>
        <w:gridCol w:w="1307"/>
        <w:gridCol w:w="1307"/>
        <w:gridCol w:w="1336"/>
      </w:tblGrid>
      <w:tr w:rsidR="00E371BA" w:rsidRPr="00507A31" w14:paraId="3D349C10" w14:textId="77777777" w:rsidTr="00032649">
        <w:trPr>
          <w:trHeight w:val="256"/>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25742C6F"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Тип/характеристики</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4D9747D"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И-6</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556DB44"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И-5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026A349"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И-4 опытный</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6552EA5B"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И-3</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38F57FCD"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И-6ТТТ</w:t>
            </w:r>
          </w:p>
        </w:tc>
      </w:tr>
      <w:tr w:rsidR="00E371BA" w:rsidRPr="00507A31" w14:paraId="4EE06A29" w14:textId="77777777" w:rsidTr="00032649">
        <w:trPr>
          <w:trHeight w:val="248"/>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2653DB52"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Вес пустого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A119388"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1023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F55B1D5"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852</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659401BB"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921</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A135C77"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1420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53CF32E5"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910</w:t>
            </w:r>
          </w:p>
        </w:tc>
      </w:tr>
      <w:tr w:rsidR="00E371BA" w:rsidRPr="00507A31" w14:paraId="0E777B87"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255811C"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Полетный вес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546DD52"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1418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AA57DF0"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1262</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9DD306F"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1363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59800C5"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1862,8</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23625584"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1300</w:t>
            </w:r>
          </w:p>
        </w:tc>
      </w:tr>
      <w:tr w:rsidR="00E371BA" w:rsidRPr="00507A31" w14:paraId="62AA0784" w14:textId="77777777" w:rsidTr="00032649">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8CAA3F7"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Мощность двигателя (л.с.)</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100FDDE"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480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E17FDE6"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480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497428A3"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480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847C504"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500/730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445DEF16"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480</w:t>
            </w:r>
          </w:p>
        </w:tc>
      </w:tr>
      <w:tr w:rsidR="00E371BA" w:rsidRPr="00507A31" w14:paraId="652BB6CE" w14:textId="77777777" w:rsidTr="00032649">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2FEF3BB4"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Площадь крыла (м</w:t>
            </w:r>
            <w:r w:rsidRPr="00507A31">
              <w:rPr>
                <w:rFonts w:ascii="Times New Roman" w:hAnsi="Times New Roman" w:cs="Times New Roman"/>
                <w:b w:val="0"/>
                <w:color w:val="000000" w:themeColor="text1"/>
                <w:sz w:val="16"/>
                <w:szCs w:val="16"/>
                <w:vertAlign w:val="superscript"/>
              </w:rPr>
              <w:t>2</w:t>
            </w:r>
            <w:r w:rsidRPr="00507A31">
              <w:rPr>
                <w:rFonts w:ascii="Times New Roman" w:hAnsi="Times New Roman" w:cs="Times New Roman"/>
                <w:b w:val="0"/>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07D23FB0"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21,6</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27E1E781"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21.0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207B0BEB"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23,8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2B84F7DC"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27,8</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27258352"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21,6</w:t>
            </w:r>
          </w:p>
        </w:tc>
      </w:tr>
      <w:tr w:rsidR="00E371BA" w:rsidRPr="00507A31" w14:paraId="4DCB08D0" w14:textId="77777777" w:rsidTr="00032649">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910EAC1"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Нагр. на крыло (кг/м</w:t>
            </w:r>
            <w:r w:rsidRPr="00507A31">
              <w:rPr>
                <w:rFonts w:ascii="Times New Roman" w:hAnsi="Times New Roman" w:cs="Times New Roman"/>
                <w:b w:val="0"/>
                <w:color w:val="000000" w:themeColor="text1"/>
                <w:sz w:val="16"/>
                <w:szCs w:val="16"/>
                <w:vertAlign w:val="superscript"/>
              </w:rPr>
              <w:t>2</w:t>
            </w:r>
            <w:r w:rsidRPr="00507A31">
              <w:rPr>
                <w:rFonts w:ascii="Times New Roman" w:hAnsi="Times New Roman" w:cs="Times New Roman"/>
                <w:b w:val="0"/>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90AD9DB"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65,7</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054AE68"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60,0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BB38B65"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57,3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1F783B2"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66,8</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3F8433FB" w14:textId="77777777" w:rsidR="00032649" w:rsidRPr="00507A31" w:rsidRDefault="00032649" w:rsidP="00507A31">
            <w:pPr>
              <w:pStyle w:val="42"/>
              <w:shd w:val="clear" w:color="auto" w:fill="auto"/>
              <w:spacing w:line="240" w:lineRule="auto"/>
              <w:jc w:val="both"/>
              <w:rPr>
                <w:rFonts w:ascii="Times New Roman" w:hAnsi="Times New Roman" w:cs="Times New Roman"/>
                <w:color w:val="000000" w:themeColor="text1"/>
                <w:sz w:val="16"/>
                <w:szCs w:val="16"/>
              </w:rPr>
            </w:pPr>
            <w:r w:rsidRPr="00507A31">
              <w:rPr>
                <w:rFonts w:ascii="Times New Roman" w:hAnsi="Times New Roman" w:cs="Times New Roman"/>
                <w:color w:val="000000" w:themeColor="text1"/>
                <w:sz w:val="16"/>
                <w:szCs w:val="16"/>
              </w:rPr>
              <w:t>-</w:t>
            </w:r>
          </w:p>
        </w:tc>
      </w:tr>
      <w:tr w:rsidR="00E371BA" w:rsidRPr="00507A31" w14:paraId="7BFACBF0"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011DEB3C"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 у земли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3D5FDD6"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261</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377FEEA"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268,3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D7B4C45"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253,5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E29D73E"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283,0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0633601C" w14:textId="77777777" w:rsidR="00032649" w:rsidRPr="00507A31" w:rsidRDefault="00032649" w:rsidP="00507A31">
            <w:pPr>
              <w:pStyle w:val="43"/>
              <w:shd w:val="clear" w:color="auto" w:fill="auto"/>
              <w:spacing w:line="240" w:lineRule="auto"/>
              <w:jc w:val="both"/>
              <w:rPr>
                <w:rFonts w:ascii="Times New Roman" w:hAnsi="Times New Roman" w:cs="Times New Roman"/>
                <w:color w:val="000000" w:themeColor="text1"/>
                <w:sz w:val="16"/>
                <w:szCs w:val="16"/>
              </w:rPr>
            </w:pPr>
            <w:r w:rsidRPr="00507A31">
              <w:rPr>
                <w:rFonts w:ascii="Times New Roman" w:hAnsi="Times New Roman" w:cs="Times New Roman"/>
                <w:color w:val="000000" w:themeColor="text1"/>
                <w:sz w:val="16"/>
                <w:szCs w:val="16"/>
              </w:rPr>
              <w:t>-</w:t>
            </w:r>
          </w:p>
        </w:tc>
      </w:tr>
      <w:tr w:rsidR="00E371BA" w:rsidRPr="00507A31" w14:paraId="71B84B44"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F6EB81D"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на высоте 3000 м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59A092D"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250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15ED89D"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258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EA8F3FF"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245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12A56C4F"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276</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6F38D109" w14:textId="77777777" w:rsidR="00032649" w:rsidRPr="00507A31" w:rsidRDefault="00032649" w:rsidP="00507A31">
            <w:pPr>
              <w:pStyle w:val="43"/>
              <w:shd w:val="clear" w:color="auto" w:fill="auto"/>
              <w:spacing w:line="240" w:lineRule="auto"/>
              <w:jc w:val="both"/>
              <w:rPr>
                <w:rFonts w:ascii="Times New Roman" w:hAnsi="Times New Roman" w:cs="Times New Roman"/>
                <w:color w:val="000000" w:themeColor="text1"/>
                <w:sz w:val="16"/>
                <w:szCs w:val="16"/>
              </w:rPr>
            </w:pPr>
            <w:r w:rsidRPr="00507A31">
              <w:rPr>
                <w:rFonts w:ascii="Times New Roman" w:hAnsi="Times New Roman" w:cs="Times New Roman"/>
                <w:color w:val="000000" w:themeColor="text1"/>
                <w:sz w:val="16"/>
                <w:szCs w:val="16"/>
              </w:rPr>
              <w:t>-</w:t>
            </w:r>
          </w:p>
        </w:tc>
      </w:tr>
      <w:tr w:rsidR="00E371BA" w:rsidRPr="00507A31" w14:paraId="30B38A79"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62C596D"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Скорость макс, на высоте 5000 м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2E6F8FD4"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241</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8ED7AB5"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252</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19891832"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234</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B71F09C"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252</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1D285E3A" w14:textId="77777777" w:rsidR="00032649" w:rsidRPr="00507A31" w:rsidRDefault="00032649" w:rsidP="00507A31">
            <w:pPr>
              <w:pStyle w:val="410"/>
              <w:shd w:val="clear" w:color="auto" w:fill="auto"/>
              <w:spacing w:before="0" w:after="0" w:line="240" w:lineRule="auto"/>
              <w:jc w:val="both"/>
              <w:rPr>
                <w:rFonts w:ascii="Times New Roman" w:hAnsi="Times New Roman" w:cs="Times New Roman"/>
                <w:i w:val="0"/>
                <w:color w:val="000000" w:themeColor="text1"/>
                <w:sz w:val="16"/>
                <w:szCs w:val="16"/>
              </w:rPr>
            </w:pPr>
            <w:r w:rsidRPr="00507A31">
              <w:rPr>
                <w:rFonts w:ascii="Times New Roman" w:hAnsi="Times New Roman" w:cs="Times New Roman"/>
                <w:i w:val="0"/>
                <w:color w:val="000000" w:themeColor="text1"/>
                <w:sz w:val="16"/>
                <w:szCs w:val="16"/>
              </w:rPr>
              <w:t>-</w:t>
            </w:r>
          </w:p>
        </w:tc>
      </w:tr>
      <w:tr w:rsidR="00E371BA" w:rsidRPr="00507A31" w14:paraId="275C11F8"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2D40EA8"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5000 м (мин.)</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C4346E8"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14,0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4C040022"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8,58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085E7A0"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10,9</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C13C5B5"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10,20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5D948FC3" w14:textId="77777777" w:rsidR="00032649" w:rsidRPr="00507A31" w:rsidRDefault="00032649" w:rsidP="00507A31">
            <w:pPr>
              <w:pStyle w:val="42"/>
              <w:shd w:val="clear" w:color="auto" w:fill="auto"/>
              <w:spacing w:line="240" w:lineRule="auto"/>
              <w:jc w:val="both"/>
              <w:rPr>
                <w:rFonts w:ascii="Times New Roman" w:hAnsi="Times New Roman" w:cs="Times New Roman"/>
                <w:color w:val="000000" w:themeColor="text1"/>
                <w:sz w:val="16"/>
                <w:szCs w:val="16"/>
              </w:rPr>
            </w:pPr>
            <w:r w:rsidRPr="00507A31">
              <w:rPr>
                <w:rFonts w:ascii="Times New Roman" w:hAnsi="Times New Roman" w:cs="Times New Roman"/>
                <w:color w:val="000000" w:themeColor="text1"/>
                <w:sz w:val="16"/>
                <w:szCs w:val="16"/>
              </w:rPr>
              <w:t>-</w:t>
            </w:r>
          </w:p>
        </w:tc>
      </w:tr>
      <w:tr w:rsidR="00E371BA" w:rsidRPr="00507A31" w14:paraId="338E87F6"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22A20AD"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Практич. потолок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5344E8F"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6860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2B6A940"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8220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6487EC44"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7650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4D7FDBD2"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7100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3D20EF71"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7500-8000</w:t>
            </w:r>
          </w:p>
        </w:tc>
      </w:tr>
      <w:tr w:rsidR="00E371BA" w:rsidRPr="00507A31" w14:paraId="16CE8B1E" w14:textId="77777777" w:rsidTr="00032649">
        <w:trPr>
          <w:trHeight w:val="259"/>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E02ADE6"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виража (сек.)</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7D63FF9"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1611132"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9,1-9,3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3DD678F"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11,5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FDA9BDC"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11,35</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609A3420" w14:textId="77777777" w:rsidR="00032649" w:rsidRPr="00507A31" w:rsidRDefault="00032649" w:rsidP="00507A31">
            <w:pPr>
              <w:pStyle w:val="410"/>
              <w:shd w:val="clear" w:color="auto" w:fill="auto"/>
              <w:spacing w:before="0" w:after="0" w:line="240" w:lineRule="auto"/>
              <w:jc w:val="both"/>
              <w:rPr>
                <w:rFonts w:ascii="Times New Roman" w:hAnsi="Times New Roman" w:cs="Times New Roman"/>
                <w:i w:val="0"/>
                <w:color w:val="000000" w:themeColor="text1"/>
                <w:sz w:val="16"/>
                <w:szCs w:val="16"/>
              </w:rPr>
            </w:pPr>
            <w:r w:rsidRPr="00507A31">
              <w:rPr>
                <w:rFonts w:ascii="Times New Roman" w:hAnsi="Times New Roman" w:cs="Times New Roman"/>
                <w:i w:val="0"/>
                <w:color w:val="000000" w:themeColor="text1"/>
                <w:sz w:val="16"/>
                <w:szCs w:val="16"/>
              </w:rPr>
              <w:t>-</w:t>
            </w:r>
          </w:p>
        </w:tc>
      </w:tr>
    </w:tbl>
    <w:p w14:paraId="0CBBA910" w14:textId="77777777" w:rsidR="00032649" w:rsidRPr="00507A31" w:rsidRDefault="00032649" w:rsidP="00507A31">
      <w:pPr>
        <w:jc w:val="both"/>
        <w:rPr>
          <w:color w:val="000000" w:themeColor="text1"/>
          <w:sz w:val="16"/>
          <w:szCs w:val="16"/>
        </w:rPr>
      </w:pPr>
      <w:r w:rsidRPr="00507A31">
        <w:rPr>
          <w:color w:val="000000" w:themeColor="text1"/>
          <w:sz w:val="16"/>
          <w:szCs w:val="16"/>
        </w:rPr>
        <w:t>1. Так как самолет практической ценности для ВВС не представляет, дальнейшие его ис</w:t>
      </w:r>
      <w:r w:rsidRPr="00507A31">
        <w:rPr>
          <w:color w:val="000000" w:themeColor="text1"/>
          <w:sz w:val="16"/>
          <w:szCs w:val="16"/>
        </w:rPr>
        <w:softHyphen/>
        <w:t>пытания в НИИ не производить, ограничив</w:t>
      </w:r>
      <w:r w:rsidRPr="00507A31">
        <w:rPr>
          <w:color w:val="000000" w:themeColor="text1"/>
          <w:sz w:val="16"/>
          <w:szCs w:val="16"/>
        </w:rPr>
        <w:softHyphen/>
        <w:t>шись заводскими испытаниями поведения элеронов в воздухе и испытаниями вооруже</w:t>
      </w:r>
      <w:r w:rsidRPr="00507A31">
        <w:rPr>
          <w:color w:val="000000" w:themeColor="text1"/>
          <w:sz w:val="16"/>
          <w:szCs w:val="16"/>
        </w:rPr>
        <w:softHyphen/>
        <w:t>ния. Самолет 2 ноября передан на завод №39 для устранения дефектов элеронов и доработ</w:t>
      </w:r>
      <w:r w:rsidRPr="00507A31">
        <w:rPr>
          <w:color w:val="000000" w:themeColor="text1"/>
          <w:sz w:val="16"/>
          <w:szCs w:val="16"/>
        </w:rPr>
        <w:softHyphen/>
        <w:t>ки вооружения.</w:t>
      </w:r>
    </w:p>
    <w:p w14:paraId="16516FE8" w14:textId="77777777" w:rsidR="00032649" w:rsidRPr="00507A31" w:rsidRDefault="00032649" w:rsidP="00507A31">
      <w:pPr>
        <w:tabs>
          <w:tab w:val="left" w:pos="376"/>
        </w:tabs>
        <w:jc w:val="both"/>
        <w:rPr>
          <w:color w:val="000000" w:themeColor="text1"/>
          <w:sz w:val="16"/>
          <w:szCs w:val="16"/>
        </w:rPr>
      </w:pPr>
      <w:r w:rsidRPr="00507A31">
        <w:rPr>
          <w:color w:val="000000" w:themeColor="text1"/>
          <w:sz w:val="16"/>
          <w:szCs w:val="16"/>
        </w:rPr>
        <w:t>2. Построенные 2 экземпляра могут быть ис</w:t>
      </w:r>
      <w:r w:rsidRPr="00507A31">
        <w:rPr>
          <w:color w:val="000000" w:themeColor="text1"/>
          <w:sz w:val="16"/>
          <w:szCs w:val="16"/>
        </w:rPr>
        <w:softHyphen/>
        <w:t>пользованы как тренировочные или персо</w:t>
      </w:r>
      <w:r w:rsidRPr="00507A31">
        <w:rPr>
          <w:color w:val="000000" w:themeColor="text1"/>
          <w:sz w:val="16"/>
          <w:szCs w:val="16"/>
        </w:rPr>
        <w:softHyphen/>
        <w:t>нального использования, причем, ввиду отсут</w:t>
      </w:r>
      <w:r w:rsidRPr="00507A31">
        <w:rPr>
          <w:color w:val="000000" w:themeColor="text1"/>
          <w:sz w:val="16"/>
          <w:szCs w:val="16"/>
        </w:rPr>
        <w:softHyphen/>
        <w:t>ствия особенностей пилотирования, за исклю</w:t>
      </w:r>
      <w:r w:rsidRPr="00507A31">
        <w:rPr>
          <w:color w:val="000000" w:themeColor="text1"/>
          <w:sz w:val="16"/>
          <w:szCs w:val="16"/>
        </w:rPr>
        <w:softHyphen/>
        <w:t>чением отмеченных в сводке, самолеты долж</w:t>
      </w:r>
      <w:r w:rsidRPr="00507A31">
        <w:rPr>
          <w:color w:val="000000" w:themeColor="text1"/>
          <w:sz w:val="16"/>
          <w:szCs w:val="16"/>
        </w:rPr>
        <w:softHyphen/>
        <w:t>ны быть переданы непосредственно с завода, с устранением отмеченных дефектов.</w:t>
      </w:r>
    </w:p>
    <w:p w14:paraId="4D3EC762" w14:textId="77777777" w:rsidR="00032649" w:rsidRPr="00507A31" w:rsidRDefault="00032649" w:rsidP="00507A31">
      <w:pPr>
        <w:tabs>
          <w:tab w:val="left" w:pos="430"/>
        </w:tabs>
        <w:jc w:val="both"/>
        <w:rPr>
          <w:color w:val="000000" w:themeColor="text1"/>
          <w:sz w:val="16"/>
          <w:szCs w:val="16"/>
        </w:rPr>
      </w:pPr>
      <w:r w:rsidRPr="00507A31">
        <w:rPr>
          <w:color w:val="000000" w:themeColor="text1"/>
          <w:sz w:val="16"/>
          <w:szCs w:val="16"/>
        </w:rPr>
        <w:t>3. Разрешение вопроса о целесообразно</w:t>
      </w:r>
      <w:r w:rsidRPr="00507A31">
        <w:rPr>
          <w:color w:val="000000" w:themeColor="text1"/>
          <w:sz w:val="16"/>
          <w:szCs w:val="16"/>
        </w:rPr>
        <w:softHyphen/>
        <w:t>сти постройки 4-го экземпляра самолета И-6 Ю-У1 передать ВАО».</w:t>
      </w:r>
    </w:p>
    <w:p w14:paraId="7C73EBF7" w14:textId="77777777" w:rsidR="00032649" w:rsidRPr="00507A31" w:rsidRDefault="00032649" w:rsidP="00507A31">
      <w:pPr>
        <w:jc w:val="both"/>
        <w:rPr>
          <w:color w:val="000000" w:themeColor="text1"/>
          <w:sz w:val="16"/>
          <w:szCs w:val="16"/>
        </w:rPr>
      </w:pPr>
      <w:r w:rsidRPr="00507A31">
        <w:rPr>
          <w:color w:val="000000" w:themeColor="text1"/>
          <w:sz w:val="16"/>
          <w:szCs w:val="16"/>
        </w:rPr>
        <w:lastRenderedPageBreak/>
        <w:t>В дальнейшем судьба опытных истребите</w:t>
      </w:r>
      <w:r w:rsidRPr="00507A31">
        <w:rPr>
          <w:color w:val="000000" w:themeColor="text1"/>
          <w:sz w:val="16"/>
          <w:szCs w:val="16"/>
        </w:rPr>
        <w:softHyphen/>
        <w:t>лей И-6 сложилась следующим образом. От изготовления 4-го экземпляра отказались, построенные 2-й и 3-й экземпляры в конце 1931 г. передали в строевые части. Согласно сводной ведомости наличия самолетов-ис- требителей по состоянию на 1 января 1932 г. в ВВС РККА числились два И-6 (один неи</w:t>
      </w:r>
      <w:r w:rsidRPr="00507A31">
        <w:rPr>
          <w:color w:val="000000" w:themeColor="text1"/>
          <w:sz w:val="16"/>
          <w:szCs w:val="16"/>
        </w:rPr>
        <w:softHyphen/>
        <w:t>справный). 1 января 1933 г. в строю оставал</w:t>
      </w:r>
      <w:r w:rsidRPr="00507A31">
        <w:rPr>
          <w:color w:val="000000" w:themeColor="text1"/>
          <w:sz w:val="16"/>
          <w:szCs w:val="16"/>
        </w:rPr>
        <w:softHyphen/>
        <w:t>ся один И-6.</w:t>
      </w:r>
    </w:p>
    <w:p w14:paraId="06305C1E" w14:textId="77777777" w:rsidR="00032649" w:rsidRPr="00507A31" w:rsidRDefault="00032649" w:rsidP="00507A31">
      <w:pPr>
        <w:jc w:val="both"/>
        <w:rPr>
          <w:color w:val="000000" w:themeColor="text1"/>
          <w:sz w:val="16"/>
          <w:szCs w:val="16"/>
        </w:rPr>
      </w:pPr>
      <w:r w:rsidRPr="00507A31">
        <w:rPr>
          <w:color w:val="000000" w:themeColor="text1"/>
          <w:sz w:val="16"/>
          <w:szCs w:val="16"/>
        </w:rPr>
        <w:t>Размеры И-6 (2-й экземпляр) приведен</w:t>
      </w:r>
      <w:r w:rsidRPr="00507A31">
        <w:rPr>
          <w:color w:val="000000" w:themeColor="text1"/>
          <w:sz w:val="16"/>
          <w:szCs w:val="16"/>
        </w:rPr>
        <w:softHyphen/>
        <w:t>ные в отчете НИИ ВВС.</w:t>
      </w:r>
    </w:p>
    <w:tbl>
      <w:tblPr>
        <w:tblW w:w="0" w:type="auto"/>
        <w:tblLayout w:type="fixed"/>
        <w:tblCellMar>
          <w:left w:w="10" w:type="dxa"/>
          <w:right w:w="10" w:type="dxa"/>
        </w:tblCellMar>
        <w:tblLook w:val="0000" w:firstRow="0" w:lastRow="0" w:firstColumn="0" w:lastColumn="0" w:noHBand="0" w:noVBand="0"/>
      </w:tblPr>
      <w:tblGrid>
        <w:gridCol w:w="2272"/>
        <w:gridCol w:w="1379"/>
      </w:tblGrid>
      <w:tr w:rsidR="00E371BA" w:rsidRPr="00507A31" w14:paraId="55465FD1" w14:textId="77777777" w:rsidTr="00032649">
        <w:trPr>
          <w:trHeight w:val="252"/>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084AA845"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Длина в линии полета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3326097A"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6,175</w:t>
            </w:r>
          </w:p>
        </w:tc>
      </w:tr>
      <w:tr w:rsidR="00E371BA" w:rsidRPr="00507A31" w14:paraId="30B99388" w14:textId="77777777" w:rsidTr="00032649">
        <w:trPr>
          <w:trHeight w:val="245"/>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07D6AE3E"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Высота в линии полета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51E747C8"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3,175</w:t>
            </w:r>
          </w:p>
        </w:tc>
      </w:tr>
      <w:tr w:rsidR="00E371BA" w:rsidRPr="00507A31" w14:paraId="59DFDC1D" w14:textId="77777777" w:rsidTr="00032649">
        <w:trPr>
          <w:trHeight w:val="241"/>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5A5D9402"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Размах верхнего крыла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5303F521"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9,750</w:t>
            </w:r>
          </w:p>
        </w:tc>
      </w:tr>
      <w:tr w:rsidR="00E371BA" w:rsidRPr="00507A31" w14:paraId="531DC52E" w14:textId="77777777" w:rsidTr="00032649">
        <w:trPr>
          <w:trHeight w:val="245"/>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7C0C184D"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Размах нижнего крыла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770D4505"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6500</w:t>
            </w:r>
          </w:p>
        </w:tc>
      </w:tr>
      <w:tr w:rsidR="00E371BA" w:rsidRPr="00507A31" w14:paraId="295A228E" w14:textId="77777777" w:rsidTr="00032649">
        <w:trPr>
          <w:trHeight w:val="256"/>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382252FF"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Площадь крыльев (м</w:t>
            </w:r>
            <w:r w:rsidRPr="00507A31">
              <w:rPr>
                <w:rFonts w:ascii="Times New Roman" w:hAnsi="Times New Roman" w:cs="Times New Roman"/>
                <w:b w:val="0"/>
                <w:color w:val="000000" w:themeColor="text1"/>
                <w:sz w:val="16"/>
                <w:szCs w:val="16"/>
                <w:vertAlign w:val="superscript"/>
              </w:rPr>
              <w:t>3</w:t>
            </w:r>
            <w:r w:rsidRPr="00507A31">
              <w:rPr>
                <w:rFonts w:ascii="Times New Roman" w:hAnsi="Times New Roman" w:cs="Times New Roman"/>
                <w:b w:val="0"/>
                <w:color w:val="000000" w:themeColor="text1"/>
                <w:sz w:val="16"/>
                <w:szCs w:val="16"/>
              </w:rPr>
              <w:t>)</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17D6DFF3" w14:textId="77777777" w:rsidR="00032649" w:rsidRPr="00507A31" w:rsidRDefault="0003264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21,6</w:t>
            </w:r>
          </w:p>
        </w:tc>
      </w:tr>
    </w:tbl>
    <w:p w14:paraId="01EC5AAF" w14:textId="77777777" w:rsidR="00032649" w:rsidRPr="00507A31" w:rsidRDefault="00032649" w:rsidP="00507A31">
      <w:pPr>
        <w:pStyle w:val="4a"/>
        <w:shd w:val="clear" w:color="auto" w:fill="auto"/>
        <w:spacing w:before="0" w:line="240" w:lineRule="auto"/>
        <w:jc w:val="both"/>
        <w:rPr>
          <w:rFonts w:ascii="Times New Roman" w:hAnsi="Times New Roman"/>
          <w:color w:val="000000" w:themeColor="text1"/>
          <w:spacing w:val="0"/>
          <w:sz w:val="16"/>
          <w:szCs w:val="16"/>
        </w:rPr>
      </w:pPr>
      <w:r w:rsidRPr="00507A31">
        <w:rPr>
          <w:rFonts w:ascii="Times New Roman" w:hAnsi="Times New Roman"/>
          <w:color w:val="000000" w:themeColor="text1"/>
          <w:spacing w:val="0"/>
          <w:sz w:val="16"/>
          <w:szCs w:val="16"/>
        </w:rPr>
        <w:t>(12295).</w:t>
      </w:r>
    </w:p>
    <w:p w14:paraId="635FAEC8" w14:textId="77777777" w:rsidR="00032649" w:rsidRPr="00507A31" w:rsidRDefault="00032649" w:rsidP="00507A31">
      <w:pPr>
        <w:pStyle w:val="4a"/>
        <w:shd w:val="clear" w:color="auto" w:fill="auto"/>
        <w:spacing w:before="0" w:line="240" w:lineRule="auto"/>
        <w:jc w:val="both"/>
        <w:rPr>
          <w:rFonts w:ascii="Times New Roman" w:hAnsi="Times New Roman"/>
          <w:color w:val="000000" w:themeColor="text1"/>
          <w:spacing w:val="0"/>
          <w:sz w:val="16"/>
          <w:szCs w:val="16"/>
        </w:rPr>
      </w:pPr>
    </w:p>
    <w:p w14:paraId="68C12C3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5CAFB1F" w14:textId="77777777" w:rsidR="00537E5F" w:rsidRPr="00507A31" w:rsidRDefault="00537E5F" w:rsidP="00507A31">
      <w:pPr>
        <w:autoSpaceDE w:val="0"/>
        <w:autoSpaceDN w:val="0"/>
        <w:adjustRightInd w:val="0"/>
        <w:jc w:val="both"/>
        <w:rPr>
          <w:iCs/>
          <w:color w:val="000000" w:themeColor="text1"/>
          <w:sz w:val="16"/>
          <w:szCs w:val="16"/>
        </w:rPr>
      </w:pPr>
    </w:p>
    <w:p w14:paraId="6710C1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3 и 9 октября 1930. Протокол заседания Политбюро № 12, 1930 г.</w:t>
      </w:r>
    </w:p>
    <w:p w14:paraId="08E50B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Об улучшении дела государственного планирования </w:t>
      </w:r>
    </w:p>
    <w:p w14:paraId="55ECD0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Ввиду гигантского роста социалистической индустрии и совхозно-колхозного строительства и ввиду того, что это требует, особенно со стороны центральных органов, коренного улучшения дела государственного планирования, крайне отстающего от требований хозяйственного строительства, признать в качестве неотложных мероприятий необходимым: </w:t>
      </w:r>
    </w:p>
    <w:p w14:paraId="790D07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 немедленное укрепление квалифицированными партийными и беспартийными силами Госплана СССР и плановых органов наркоматов; </w:t>
      </w:r>
    </w:p>
    <w:p w14:paraId="03DB52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создание Плановой академии в Москве (11652).</w:t>
      </w:r>
    </w:p>
    <w:p w14:paraId="0FFCB4A4" w14:textId="77777777" w:rsidR="00537E5F" w:rsidRPr="00507A31" w:rsidRDefault="00537E5F" w:rsidP="00507A31">
      <w:pPr>
        <w:autoSpaceDE w:val="0"/>
        <w:autoSpaceDN w:val="0"/>
        <w:adjustRightInd w:val="0"/>
        <w:jc w:val="both"/>
        <w:rPr>
          <w:color w:val="000000" w:themeColor="text1"/>
          <w:sz w:val="16"/>
          <w:szCs w:val="16"/>
        </w:rPr>
      </w:pPr>
    </w:p>
    <w:p w14:paraId="6CAAB11F" w14:textId="77777777" w:rsidR="00BB0350" w:rsidRPr="00507A31" w:rsidRDefault="00BB0350" w:rsidP="00507A31">
      <w:pPr>
        <w:jc w:val="both"/>
        <w:rPr>
          <w:bCs/>
          <w:color w:val="000000" w:themeColor="text1"/>
          <w:sz w:val="16"/>
          <w:szCs w:val="16"/>
        </w:rPr>
      </w:pPr>
      <w:r w:rsidRPr="00507A31">
        <w:rPr>
          <w:color w:val="000000" w:themeColor="text1"/>
          <w:sz w:val="16"/>
          <w:szCs w:val="16"/>
        </w:rPr>
        <w:t>3 октября 1930 г.</w:t>
      </w:r>
    </w:p>
    <w:p w14:paraId="6B59DF48" w14:textId="77777777" w:rsidR="00BB0350" w:rsidRPr="00507A31" w:rsidRDefault="00BB0350" w:rsidP="00507A31">
      <w:pPr>
        <w:jc w:val="both"/>
        <w:rPr>
          <w:bCs/>
          <w:color w:val="000000" w:themeColor="text1"/>
          <w:sz w:val="16"/>
          <w:szCs w:val="16"/>
        </w:rPr>
      </w:pPr>
      <w:r w:rsidRPr="00507A31">
        <w:rPr>
          <w:color w:val="000000" w:themeColor="text1"/>
          <w:sz w:val="16"/>
          <w:szCs w:val="16"/>
        </w:rPr>
        <w:t>Информационное письмо Агитпропотдела Исполкома Коминтерна в связи с «раскрытыми и ликвидированными двумя новыми контрреволюционными группами». 3 октября 1930 г.</w:t>
      </w:r>
    </w:p>
    <w:p w14:paraId="71D7B215" w14:textId="77777777" w:rsidR="00BB0350" w:rsidRPr="00507A31" w:rsidRDefault="00BB0350" w:rsidP="00507A31">
      <w:pPr>
        <w:jc w:val="both"/>
        <w:rPr>
          <w:bCs/>
          <w:color w:val="000000" w:themeColor="text1"/>
          <w:sz w:val="16"/>
          <w:szCs w:val="16"/>
        </w:rPr>
      </w:pPr>
      <w:r w:rsidRPr="00507A31">
        <w:rPr>
          <w:bCs/>
          <w:color w:val="000000" w:themeColor="text1"/>
          <w:sz w:val="16"/>
          <w:szCs w:val="16"/>
        </w:rPr>
        <w:t>Источник: </w:t>
      </w:r>
    </w:p>
    <w:p w14:paraId="7AD7C33D" w14:textId="77777777" w:rsidR="00BB0350" w:rsidRPr="00507A31" w:rsidRDefault="00BB035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6A05DA" w14:textId="77777777" w:rsidR="00BB0350" w:rsidRPr="00507A31" w:rsidRDefault="00BB0350" w:rsidP="00507A31">
      <w:pPr>
        <w:jc w:val="both"/>
        <w:rPr>
          <w:bCs/>
          <w:color w:val="000000" w:themeColor="text1"/>
          <w:sz w:val="16"/>
          <w:szCs w:val="16"/>
        </w:rPr>
      </w:pPr>
      <w:r w:rsidRPr="00507A31">
        <w:rPr>
          <w:bCs/>
          <w:color w:val="000000" w:themeColor="text1"/>
          <w:sz w:val="16"/>
          <w:szCs w:val="16"/>
        </w:rPr>
        <w:t>Архив: </w:t>
      </w:r>
    </w:p>
    <w:p w14:paraId="786F5E6C" w14:textId="77777777" w:rsidR="00BB0350" w:rsidRPr="00507A31" w:rsidRDefault="00BB0350" w:rsidP="00507A31">
      <w:pPr>
        <w:jc w:val="both"/>
        <w:rPr>
          <w:color w:val="000000" w:themeColor="text1"/>
          <w:sz w:val="16"/>
          <w:szCs w:val="16"/>
        </w:rPr>
      </w:pPr>
      <w:r w:rsidRPr="00507A31">
        <w:rPr>
          <w:color w:val="000000" w:themeColor="text1"/>
          <w:sz w:val="16"/>
          <w:szCs w:val="16"/>
        </w:rPr>
        <w:t>РГАСПИ. Ф. 495. On. 30. Д. 656. Л. 102-108</w:t>
      </w:r>
    </w:p>
    <w:p w14:paraId="63865A74" w14:textId="77777777" w:rsidR="00BB0350" w:rsidRPr="00507A31" w:rsidRDefault="00BB0350" w:rsidP="00507A31">
      <w:pPr>
        <w:pStyle w:val="rteright"/>
        <w:spacing w:before="0" w:after="0"/>
        <w:jc w:val="both"/>
        <w:rPr>
          <w:color w:val="000000" w:themeColor="text1"/>
          <w:sz w:val="16"/>
          <w:szCs w:val="16"/>
        </w:rPr>
      </w:pPr>
      <w:r w:rsidRPr="00507A31">
        <w:rPr>
          <w:color w:val="000000" w:themeColor="text1"/>
          <w:sz w:val="16"/>
          <w:szCs w:val="16"/>
        </w:rPr>
        <w:t>3 октября 1930 г.</w:t>
      </w:r>
    </w:p>
    <w:p w14:paraId="344912D8" w14:textId="77777777" w:rsidR="00BB0350" w:rsidRPr="00507A31" w:rsidRDefault="00BB0350"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7264C839" w14:textId="77777777" w:rsidR="00BB0350" w:rsidRPr="00507A31" w:rsidRDefault="00BB0350" w:rsidP="00507A31">
      <w:pPr>
        <w:pStyle w:val="ae"/>
        <w:spacing w:before="0" w:after="0"/>
        <w:jc w:val="both"/>
        <w:rPr>
          <w:color w:val="000000" w:themeColor="text1"/>
          <w:sz w:val="16"/>
          <w:szCs w:val="16"/>
        </w:rPr>
      </w:pPr>
      <w:r w:rsidRPr="00507A31">
        <w:rPr>
          <w:color w:val="000000" w:themeColor="text1"/>
          <w:sz w:val="16"/>
          <w:szCs w:val="16"/>
        </w:rPr>
        <w:t>ИНФОРМАЦИОННОЕ ПИСЬМО</w:t>
      </w:r>
    </w:p>
    <w:p w14:paraId="1F623828" w14:textId="77777777" w:rsidR="00BB0350" w:rsidRPr="00507A31" w:rsidRDefault="00BB0350" w:rsidP="00507A31">
      <w:pPr>
        <w:pStyle w:val="ae"/>
        <w:spacing w:before="0" w:after="0"/>
        <w:jc w:val="both"/>
        <w:rPr>
          <w:color w:val="000000" w:themeColor="text1"/>
          <w:sz w:val="16"/>
          <w:szCs w:val="16"/>
        </w:rPr>
      </w:pPr>
      <w:r w:rsidRPr="00507A31">
        <w:rPr>
          <w:color w:val="000000" w:themeColor="text1"/>
          <w:sz w:val="16"/>
          <w:szCs w:val="16"/>
        </w:rPr>
        <w:t>Дорогие товарищи!</w:t>
      </w:r>
    </w:p>
    <w:p w14:paraId="16111D57"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Недавно в Москве органами Г.П.У. раскрыты и ликвидированы две новые контр-революционные группы, возглавляемые профессорами специалистами, работавшими в правительственных органах и в научно-исследовательских учреждениях СССР.</w:t>
      </w:r>
    </w:p>
    <w:p w14:paraId="299F5F09"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Арестованные руководители этих групп дали подробнейшие показания, позволяющие установить подготовку с 1927 г. обширного контр-революционного заговора, ставящего своей целью свержение Советской власти с помощью империалистических держав. В частности, одним из лейбористских депутатов английского парламента контрреволюционным заговорщикам была обещана полная поддержка со стороны «рабочего» правительства Макдональда. Насколько далеко зашли планы контр-революции, показателем может служить тот факт, что ЦК ТКП обсуждал вопрос о персональном составе нового правительства, которое может создаться в результате переворота.</w:t>
      </w:r>
    </w:p>
    <w:p w14:paraId="620D9A3C"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Организаторами и руководителями одной из этих групп, именующейся «Трудовая крестьянская партия», были бывшие эсэры и кадеты: профессор Кондратьев, проф. Юровский, проф. Макаров, Садырин и др.</w:t>
      </w:r>
    </w:p>
    <w:p w14:paraId="3EE2D1F4"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Организаторами другой группы были бывшие меньшевики: Громан, Суханов, Базаров и др.</w:t>
      </w:r>
    </w:p>
    <w:p w14:paraId="1E9D5589"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Обе эти группы блокировались на платформе Кондратьева — идеолога и председателя Центрального Комитета Трудовой крестьянской партии.</w:t>
      </w:r>
    </w:p>
    <w:p w14:paraId="14E71EB9"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Платформа «ТКП» — КОНДРАТЬЕВА И ЕЕ ПОЛИТИКО-ЭКОНОМИЧЕСКОЙ ЧАСТИ — СВОДИТСЯ К СЛЕДУЮЩЕМУ:</w:t>
      </w:r>
    </w:p>
    <w:p w14:paraId="01924A4C"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1)  Свержение диктатуры пролетариата и замена ее «республиканско-демократическим строем», «буржуазно-парламентской властью» на основе товарно-капиталистических производительных отношений.</w:t>
      </w:r>
    </w:p>
    <w:p w14:paraId="6438E3BB"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2) Признание необходимости капиталистической реставрации и аграрно-индустриального пути развития народного хозяйства России.</w:t>
      </w:r>
    </w:p>
    <w:p w14:paraId="75855785"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3)  Отмена национализации земли и установление частной собственности на землю.</w:t>
      </w:r>
    </w:p>
    <w:p w14:paraId="177B85C6"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4)  Денационализация промышленных предприятий.</w:t>
      </w:r>
    </w:p>
    <w:p w14:paraId="78C7CB87"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5)  Отмена монополии внешней торговли.</w:t>
      </w:r>
    </w:p>
    <w:p w14:paraId="23D7E8A4"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6)  Признание царских долгов в целях получения дальнейших кредитов и др.</w:t>
      </w:r>
    </w:p>
    <w:p w14:paraId="2D0492F4"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ТАКТИЧЕСКИЕ ПОЛОЖЕНИЯ ПЛАТФОРМЫ:</w:t>
      </w:r>
    </w:p>
    <w:p w14:paraId="23865709"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1) ТКП признает главной своей опорой крестьянство в его кулацкой и зажиточной части середняков, без которых кулачество не может быть достаточной реальной силой, чтобы справиться с поставленными «ТКП» задачами.</w:t>
      </w:r>
    </w:p>
    <w:p w14:paraId="73C5B72D"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2)  Одновременно руководители ТКП ставили своей задачей проводить консолидацию всех других враждебных советской власти элементов (остатки бывших господствующих классов) с целью использования их в борьбе против Советской власти. В этих целях ТКП планировала использовать крестьянские (кулацкие) восстания под руководством «ТКП» как необходимое средство борьбы с Советской властью.</w:t>
      </w:r>
    </w:p>
    <w:p w14:paraId="0311416C"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3) ЦК ТКП считал &lt;...&gt; проводить вредительство как средство срыва социалистического строительства и поддержки частно-капиталистического и кулацкого сектора народного хозяйства.</w:t>
      </w:r>
    </w:p>
    <w:p w14:paraId="48077A51"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4) Руководители ТКП использовали свое положение ответственных работников в государственных учреждениях СССР для того, чтобы искажать политику Советской власти, направляя работу государственного аппарата в духе буржуазной программы ТКП.</w:t>
      </w:r>
    </w:p>
    <w:p w14:paraId="61EC441A"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5)   В работе по искажению революционной линии Советской власти ТКП систематически опиралась на правых в ВКП(б), считая, что взгляды правых уклонистов в ВКП(б) в основном совпадают с политической программой ТКП.</w:t>
      </w:r>
    </w:p>
    <w:p w14:paraId="3FFD7FA6"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СВЯЗЬ ТКП С ДРУГИМИ КОНТР-РЕВОЛЮЦИОННЫМИ ГРУППАМИ</w:t>
      </w:r>
    </w:p>
    <w:p w14:paraId="7B16D3D9"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Для осуществления своей программы руководители ТКП еще в 1927 году установили связь с «инженерно-техническим центром» вредителей промышленности, который ставил себе задачу реставрации капитализма и установления военной диктатуры в стране. Члены ЦК ТКП, хотя и заявляли в своих показаниях, что они против военной диктатуры и за демократическую республику, на деле держали тесный контакт с инженерами-вредителями и были в курсе их преступной деятельности. В том числе ТКП имела связь и с группой вредителей с проф. Рязанцевым во главе, которая за деньги английских капиталистов вела работу по дезорганизации рабочего снабжения, дабы вызвать голод в Советском Союзе с целью облегчения реставрации капитализма в СССР.</w:t>
      </w:r>
    </w:p>
    <w:p w14:paraId="35CA3627"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ТКП Кондратьева имела тесную связь с «республиканско-демократическим» и кадетским объединением заграничных белых эмигрантов в лице их представителей: Прокоповича, Керенского, Маслова Сергея, Кусковой, Милюкова и других. Члены ТКП, работавшие в наших советских и научно-исследовательских учреждениях, использовали свои заграничные командировки для установления связи и контакта в работе (борьбе против Соввласти) с этим белоэмигрантским объединением, информируя его о политическом и экономическом положении СССР, о настроении крестьянства и оппозиционной буржуазной интеллигенции, о ходе работы ТКП и пр. И, обратно, по приезде из-за границы они информировали ТКП о состоянии эмигрантских групп и их тактических позиций по отношению к СССР. Суханов Н. Н., долго проживавший в Берлине и Париже, имевший там тесную связь с эмигрантами меньшевиками: Даном, Далиным, Абрамовичем и др., заверял ТКП Кондратьева о том, что меньшевики вполне могут сотрудничать с ТКП.</w:t>
      </w:r>
    </w:p>
    <w:p w14:paraId="298C35A2"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Руководители ТКП имели широкие связи с иностранными промышленными, финансовыми и правительственными кругами; информировали их о политическом и экономическом положении Советского Союза и о деятельности ТКП.</w:t>
      </w:r>
    </w:p>
    <w:p w14:paraId="02F25BED"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 xml:space="preserve">«Специалисты» из ТКП разрабатывали и пропагандировали, облекая в социалистическую фразеологию, буржуазные теории о том, что советская система хозяйства является «особой формой товарно-денежного хозяйства», искаженного неправильной экономической политикой и этим только отличавшегося от обыкновенной товарно-капиталистической формы хозяйства, которая в смысле быстроты развития производительных сил общества имеет гораздо больше преимуществ, чем [ны]нешняя советская система хозяйства. Отсюда делались выводы о непримиримости противоречий между нынешней системой советской экономики с ее </w:t>
      </w:r>
      <w:r w:rsidRPr="00507A31">
        <w:rPr>
          <w:color w:val="000000" w:themeColor="text1"/>
          <w:sz w:val="16"/>
          <w:szCs w:val="16"/>
        </w:rPr>
        <w:lastRenderedPageBreak/>
        <w:t>монополией внешней торговли и регулированием внутреннего рынка, с одной стороны, и неизменными и не могущими быть измененными товарно-денежными законами регулирования экономической жизни промышленно развитых государств, с другой.</w:t>
      </w:r>
    </w:p>
    <w:p w14:paraId="26BD3EEF"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Эти и подобные программные и тактические положения ТКП клались в основу всякого рода «научных» работ, докладов, докладных записок социально-экономического и финансового характера, которые подготовлялись ЦК ТКП для советских органов при разработке последними важнейших мероприятий в области промышленности, налоговой и с.-х. политики и т. д. Для обоснования этих записок и предложений составлялись заведомо ложные конъюнктурные сводки.</w:t>
      </w:r>
    </w:p>
    <w:p w14:paraId="45241445"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Одновременно проводилась работа по прямому срыву социалистического строительства и поддержка частно-капиталистических и кулацких хозяйств. Например, при проведении мероприятий советской власти по борьбе с засухой через аппарат Наркомзема давались директивы, обеспечивающие преимущественную поддержку госкредитом кулацких и богатых хозяйств, лишая помощи бедноту и маломощные крестьянские хозяйства; при организации кредитования сельского хозяйства на практике проводился принцип выдачи ссуды по кредитоспособности, что по сути дела означало кредитование кулаков и отказ в кредите бедноте. Все эти и подобные извращения классовой линии они скрывали под видом необходимости усиления роста производительных сил страны и т. п.</w:t>
      </w:r>
    </w:p>
    <w:p w14:paraId="142A6373"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Как выяснилось по данным следствия, ЦК ТКП принадлежит защищавшееся одно время право-оппортунистическими элементами предложение о снижении темпов промышленности и о защите интересов сельского хозяйства от «непосильных изъятий в пользу промышленности»; против неслыханных и невозможных темпов индустриализации; против «административного вмешательства в функции рынка» и т. п.</w:t>
      </w:r>
    </w:p>
    <w:p w14:paraId="3935F816"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Кроме всего этого профессора — члены партии ТКП в своих лекциях и занятиях со студентами и аспирантами высших и научно-исследовательских учреждений, особенно в с.-х. Академии, преподавали свою контрреволюционную программу и вербовали среди студенчества и аспирантуры активных участников ТКП, ставя при этом своей специальной задачей вносить разложение в ряды ячеек ВКП(б) в университетах, ссылками на Маркса и Ленина они доказывали неправильность курса ВКП(б) на коллективизацию с.-х. и, наоборот, защищая взгляды правых оппортунистов.</w:t>
      </w:r>
    </w:p>
    <w:p w14:paraId="667B3E81"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ОТНОШЕНИЕ ТКП К ПРАВОЙ ГРУППЕ в ВКП(б)</w:t>
      </w:r>
    </w:p>
    <w:p w14:paraId="2119C4E4"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Руководители ТКП возлагали большие надежды на право-оппортунистическую группу в ВКП(б), старались влиять на нее с целью изменения политики партии.</w:t>
      </w:r>
    </w:p>
    <w:p w14:paraId="74A31320"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ЦК ТКП старался через правых коммунистов, руководителей советских учреждений проводить свое влияние на соваппарат.</w:t>
      </w:r>
    </w:p>
    <w:p w14:paraId="2F21AA96"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Как доказывают данные следствия, им удавалось в отдельных случаях использовать правых уклонистов, стоящих во главе советских органов, чтобы проводить на деле свою политику. В частности, это имело место в практике Наркомзема, Наркомфина и Госплана.</w:t>
      </w:r>
    </w:p>
    <w:p w14:paraId="399A0EFD"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Кондратьев заявляет в своих показаниях, что он никогда не скрывал своих политических взглядов от Сокольникова, Теодоровича и некоторых других видных коммунистов, ибо он не видел существенных расхождений между своими взглядами и взглядами последних по основным вопросам текущей экономической политики и направления подъема сельского хозяйства.</w:t>
      </w:r>
    </w:p>
    <w:p w14:paraId="663DD939"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Из показаний членов ЦК ТКП явствует, что некоторые правые уклонисты, занимавшие видные государственные посты, хотя ничего не знали о существовании ТКП, хорошо знали Кондратьева и других членов ТКП лично, знали их политическое прошлое, знали их политические убеждения, и тем не менее оказывали им безграничное доверие. Дело доходило до того, что Кондратьев получал секретные материалы и документы ЦК ВКП(б).</w:t>
      </w:r>
    </w:p>
    <w:p w14:paraId="6DC34D53"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Правую группу в ВКП(б) кулацкая партия Кондратьева рассматривала как силу, двигающ[у]ю события в направлении осуществления ее (ТКП) программных задач. По словам Кондратьева, в борьбе правых партия ТКП рассматривала себя как третью силу, которая, в случае победы политики правых и неизбежного усиления капиталистических элементов на основе этой политики, могла бы воспользоваться этим обстоятельством, захватить власть и образовать правительство ТКП с некоторым участием в этом правительстве и правых коммунистов. Сам Кондратьев сомневался в том, что политические события могут удержаться на этом уровне развития, а, вероятнее всего, пойдут дальше, и правые коммунисты будут совершенно отброшены, поэтому ТКП будет вынуждена образовать коалиционное правительство с капиталистическими кругами, стоящими правее ее самой.</w:t>
      </w:r>
    </w:p>
    <w:p w14:paraId="787A5F63"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ТКП находила опору и среди троцкистов. По словам Кондратьева, Сокольников говорил Кондратьеву, что считает Зиновьева и Каменева людьми правых убеждений. При этом Сокольников подчеркивал, что, когда он был комиссаром финансов, а Каменев председателем Совета Труда и Обороны, ему легко было проводить свою линию, ибо он встречал поддержку со стороны Каменева, а теперь он потерял доверие ВКП(б) и не имеет возможности проводить своей линии. На вопрос Кондратьева: каким образом правый Сокольников вместе с Троцким, последний будто бы ответил, что это объясняется, с одной стороны, личными связями с Каменевым, а, с другой — соображениями общего политического характера.</w:t>
      </w:r>
    </w:p>
    <w:p w14:paraId="09AA4B16"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После капитуляции правых в ноябре 1929 года кондратьевцы считали отказ правых от своей линии неискренним. Кондратьев сообщает, что в ЦК ТКП считали, что правые не сложат оружия. В пользу этого, по мнению Кондратьева, говорили те перегибы и искажения линии партии в деревне, которые должны были усилить позиции правых в партии, что окрылило надежды кондратьевцев. Кондратьев с горечью заключает, что все эти надежды рухнули с появлением статей Сталина от имени Центрального Комитета партии, которые исправили линию партии и распутали обстановку в деревне.</w:t>
      </w:r>
    </w:p>
    <w:p w14:paraId="650F30AE"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РЕАЛЬНЫЕ СИЛЫ ТКП И ЕЕ СОЦИАЛЬНЫЕ КОРНИ</w:t>
      </w:r>
    </w:p>
    <w:p w14:paraId="12CB6B11"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Кулацкая партия Кондратьева и ее союзница — меньшевистская группа Громана-Суханова не могли опереться на более или менее широкие слои населения Советского Союза. Они не нашли никакой опоры ни в рабочем классе, ни среди бедняцко-середняцких слоев крестьянства, ни в широких массах советской интеллигенции. Они очень стремились проникнуть в Красную армию с целью вербовки там своих сторонников, но это им никак не удавалось по той простой причине, по их словам, что в Красной армии &lt;...&gt; коммунистический командный состав. Единственная надежда и опора было кулачество и остатки «бывших людей» — деклассированных элементов, разгромленных пролетариатом бывших эксплуататорских классов, силы которых ТКП ставила себе задачу «консолидировать».</w:t>
      </w:r>
    </w:p>
    <w:p w14:paraId="20D71536"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Немногочисленные кадры (около 1.000 чел. во всем СССР) самой ТКП, не имеющей никаких масс за собой, состояли из верхушки специалистов советского аппарата, главным образом, земельных органов и сельско-хозяйственной кооперации, буржуазных идеологов и их единомышленников, работающих в низовой сети этих органов. Социальный состав этого контр-революционного блока виден из характеристики социального положения его руководителей. Например, КОНДРАТЬЕВ —  профессор, до 1919 г. состоял членом партии социалистов-революционеров, занимал должность директора Конъюнктурного Института НКФ СССР. ЮРОВСКИЙ — профессор Саратовского Университета, занимал пост начальника Валютного Управления НКФ СССР. МАКАРОВ — профессор, член президиума Земплана НКЗ СССР. ЧАЯНОВ — профессор, директор Института сельско-хозяйственной экономики. САДЫРИН П. А. — бывший член ЦК партии «Народной Свободы» (кадетская), член правления Госбанка СССР, деятель кооперации. ФАБРИКАНТ — профессор, бывший меньшевик, редактор журнала «Агроном». ГРОМАН — статистико-экономист, бывший меньшевик, член Президиума Госплана СССР, член коллегии ЦСУ СССР, СУХАНОВ Н. Н. — литератор, бывший меньшевик, член президиума Земплана НКЗ. В том же духе характеристика и других главарей.</w:t>
      </w:r>
    </w:p>
    <w:p w14:paraId="76558EA2"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Эти элементы сначала считали, что НЭП является отказом большевиков от строительства социализма, поэтому они добросовестно взялись помогать Советской власти, полагая, что помогают развитию советской экономики по пути капитализма. Но когда ВКП(б), вопреки троцкистам и правым взялась за реализацию 5-летки в 4 года, взяла курс на сплошную коллективизацию сельского хозяйства и окончательного выкорчевывания корней капитализма в с.-х., они вступили на путь контрреволюционного вредительства, авантюр. Г.П.У. ликвидировало эту контр-революционную банду.</w:t>
      </w:r>
    </w:p>
    <w:p w14:paraId="4B4DCAC5" w14:textId="77777777" w:rsidR="00BB0350" w:rsidRPr="00507A31" w:rsidRDefault="00BB0350" w:rsidP="00507A31">
      <w:pPr>
        <w:pStyle w:val="ae"/>
        <w:spacing w:before="0" w:after="0"/>
        <w:jc w:val="both"/>
        <w:rPr>
          <w:color w:val="000000" w:themeColor="text1"/>
          <w:sz w:val="16"/>
          <w:szCs w:val="16"/>
        </w:rPr>
      </w:pPr>
      <w:r w:rsidRPr="00507A31">
        <w:rPr>
          <w:color w:val="000000" w:themeColor="text1"/>
          <w:sz w:val="16"/>
          <w:szCs w:val="16"/>
        </w:rPr>
        <w:t>Агитпроп ИККИ</w:t>
      </w:r>
    </w:p>
    <w:p w14:paraId="0268D364" w14:textId="77777777" w:rsidR="00BB0350" w:rsidRPr="00507A31" w:rsidRDefault="00BB0350" w:rsidP="00507A31">
      <w:pPr>
        <w:pStyle w:val="ae"/>
        <w:spacing w:before="0" w:after="0"/>
        <w:jc w:val="both"/>
        <w:rPr>
          <w:color w:val="000000" w:themeColor="text1"/>
          <w:sz w:val="16"/>
          <w:szCs w:val="16"/>
        </w:rPr>
      </w:pPr>
      <w:r w:rsidRPr="00507A31">
        <w:rPr>
          <w:rStyle w:val="af0"/>
          <w:i w:val="0"/>
          <w:color w:val="000000" w:themeColor="text1"/>
          <w:sz w:val="16"/>
          <w:szCs w:val="16"/>
        </w:rPr>
        <w:t>РГАСПИ. Ф. 495. On. 30. Д. 656. Л. 102-108. Машинописный экземпляр того времени. На Л. 102 штамп «Окончательный текст» и рукописная помета «Окончательный текст. 3/Х-1930». Датируется по этой помете (18903).</w:t>
      </w:r>
    </w:p>
    <w:p w14:paraId="0A82656B" w14:textId="77777777" w:rsidR="00BB0350" w:rsidRPr="00507A31" w:rsidRDefault="00BB0350" w:rsidP="00507A31">
      <w:pPr>
        <w:jc w:val="both"/>
        <w:rPr>
          <w:color w:val="000000" w:themeColor="text1"/>
          <w:sz w:val="16"/>
          <w:szCs w:val="16"/>
        </w:rPr>
      </w:pPr>
    </w:p>
    <w:p w14:paraId="4779754B" w14:textId="77777777" w:rsidR="00BB0350" w:rsidRPr="00507A31" w:rsidRDefault="00BB0350"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19958A4B" w14:textId="77777777" w:rsidR="00BB0350" w:rsidRPr="00507A31" w:rsidRDefault="00BB0350" w:rsidP="00507A31">
      <w:pPr>
        <w:autoSpaceDE w:val="0"/>
        <w:autoSpaceDN w:val="0"/>
        <w:adjustRightInd w:val="0"/>
        <w:jc w:val="both"/>
        <w:rPr>
          <w:iCs/>
          <w:color w:val="000000" w:themeColor="text1"/>
          <w:sz w:val="16"/>
          <w:szCs w:val="16"/>
        </w:rPr>
      </w:pPr>
    </w:p>
    <w:p w14:paraId="18E71173" w14:textId="77777777" w:rsidR="00BB0350" w:rsidRPr="00507A31" w:rsidRDefault="00BB0350" w:rsidP="00507A31">
      <w:pPr>
        <w:jc w:val="both"/>
        <w:rPr>
          <w:bCs/>
          <w:color w:val="000000" w:themeColor="text1"/>
          <w:sz w:val="16"/>
          <w:szCs w:val="16"/>
        </w:rPr>
      </w:pPr>
      <w:r w:rsidRPr="00507A31">
        <w:rPr>
          <w:color w:val="000000" w:themeColor="text1"/>
          <w:sz w:val="16"/>
          <w:szCs w:val="16"/>
        </w:rPr>
        <w:t>3 октября 1930 г.</w:t>
      </w:r>
    </w:p>
    <w:p w14:paraId="73953713" w14:textId="77777777" w:rsidR="00BB0350" w:rsidRPr="00507A31" w:rsidRDefault="00BB0350" w:rsidP="00507A31">
      <w:pPr>
        <w:jc w:val="both"/>
        <w:rPr>
          <w:bCs/>
          <w:color w:val="000000" w:themeColor="text1"/>
          <w:sz w:val="16"/>
          <w:szCs w:val="16"/>
        </w:rPr>
      </w:pPr>
      <w:r w:rsidRPr="00507A31">
        <w:rPr>
          <w:color w:val="000000" w:themeColor="text1"/>
          <w:sz w:val="16"/>
          <w:szCs w:val="16"/>
        </w:rPr>
        <w:t>Из письма полпреда СССР во Франции В. С. Довгалевского наркому иностранных дел СССР М. М. Литвинову. 3 октября 1930 г.</w:t>
      </w:r>
    </w:p>
    <w:p w14:paraId="3E6ECCFD" w14:textId="77777777" w:rsidR="00BB0350" w:rsidRPr="00507A31" w:rsidRDefault="00BB0350" w:rsidP="00507A31">
      <w:pPr>
        <w:jc w:val="both"/>
        <w:rPr>
          <w:bCs/>
          <w:color w:val="000000" w:themeColor="text1"/>
          <w:sz w:val="16"/>
          <w:szCs w:val="16"/>
        </w:rPr>
      </w:pPr>
      <w:r w:rsidRPr="00507A31">
        <w:rPr>
          <w:bCs/>
          <w:color w:val="000000" w:themeColor="text1"/>
          <w:sz w:val="16"/>
          <w:szCs w:val="16"/>
        </w:rPr>
        <w:t>Источник: </w:t>
      </w:r>
    </w:p>
    <w:p w14:paraId="3BBACDC4" w14:textId="77777777" w:rsidR="00BB0350" w:rsidRPr="00507A31" w:rsidRDefault="00BB035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74B977" w14:textId="77777777" w:rsidR="00BB0350" w:rsidRPr="00507A31" w:rsidRDefault="00BB0350" w:rsidP="00507A31">
      <w:pPr>
        <w:pStyle w:val="rteright"/>
        <w:spacing w:before="0" w:after="0"/>
        <w:jc w:val="both"/>
        <w:rPr>
          <w:color w:val="000000" w:themeColor="text1"/>
          <w:sz w:val="16"/>
          <w:szCs w:val="16"/>
        </w:rPr>
      </w:pPr>
      <w:r w:rsidRPr="00507A31">
        <w:rPr>
          <w:color w:val="000000" w:themeColor="text1"/>
          <w:sz w:val="16"/>
          <w:szCs w:val="16"/>
        </w:rPr>
        <w:t>3 октября 1930 г.</w:t>
      </w:r>
    </w:p>
    <w:p w14:paraId="00FBB4DE" w14:textId="77777777" w:rsidR="00BB0350" w:rsidRPr="00507A31" w:rsidRDefault="00BB0350"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535669AF" w14:textId="77777777" w:rsidR="00BB0350" w:rsidRPr="00507A31" w:rsidRDefault="00BB0350" w:rsidP="00507A31">
      <w:pPr>
        <w:pStyle w:val="ae"/>
        <w:spacing w:before="0" w:after="0"/>
        <w:jc w:val="both"/>
        <w:rPr>
          <w:color w:val="000000" w:themeColor="text1"/>
          <w:sz w:val="16"/>
          <w:szCs w:val="16"/>
        </w:rPr>
      </w:pPr>
      <w:r w:rsidRPr="00507A31">
        <w:rPr>
          <w:color w:val="000000" w:themeColor="text1"/>
          <w:sz w:val="16"/>
          <w:szCs w:val="16"/>
        </w:rPr>
        <w:t>Париж, 3-го октября 1930 года</w:t>
      </w:r>
    </w:p>
    <w:p w14:paraId="352151E4" w14:textId="77777777" w:rsidR="00BB0350" w:rsidRPr="00507A31" w:rsidRDefault="00BB0350" w:rsidP="00507A31">
      <w:pPr>
        <w:pStyle w:val="ae"/>
        <w:spacing w:before="0" w:after="0"/>
        <w:jc w:val="both"/>
        <w:rPr>
          <w:color w:val="000000" w:themeColor="text1"/>
          <w:sz w:val="16"/>
          <w:szCs w:val="16"/>
        </w:rPr>
      </w:pPr>
      <w:r w:rsidRPr="00507A31">
        <w:rPr>
          <w:color w:val="000000" w:themeColor="text1"/>
          <w:sz w:val="16"/>
          <w:szCs w:val="16"/>
        </w:rPr>
        <w:t>№ 452/с</w:t>
      </w:r>
    </w:p>
    <w:p w14:paraId="5A4F6BAC" w14:textId="77777777" w:rsidR="00BB0350" w:rsidRPr="00507A31" w:rsidRDefault="00BB0350" w:rsidP="00507A31">
      <w:pPr>
        <w:pStyle w:val="ae"/>
        <w:spacing w:before="0" w:after="0"/>
        <w:jc w:val="both"/>
        <w:rPr>
          <w:color w:val="000000" w:themeColor="text1"/>
          <w:sz w:val="16"/>
          <w:szCs w:val="16"/>
        </w:rPr>
      </w:pPr>
      <w:r w:rsidRPr="00507A31">
        <w:rPr>
          <w:color w:val="000000" w:themeColor="text1"/>
          <w:sz w:val="16"/>
          <w:szCs w:val="16"/>
        </w:rPr>
        <w:t>НАРКОМИНДЕЛ</w:t>
      </w:r>
    </w:p>
    <w:p w14:paraId="33E28924" w14:textId="77777777" w:rsidR="00BB0350" w:rsidRPr="00507A31" w:rsidRDefault="00BB0350" w:rsidP="00507A31">
      <w:pPr>
        <w:pStyle w:val="ae"/>
        <w:spacing w:before="0" w:after="0"/>
        <w:jc w:val="both"/>
        <w:rPr>
          <w:color w:val="000000" w:themeColor="text1"/>
          <w:sz w:val="16"/>
          <w:szCs w:val="16"/>
        </w:rPr>
      </w:pPr>
      <w:r w:rsidRPr="00507A31">
        <w:rPr>
          <w:color w:val="000000" w:themeColor="text1"/>
          <w:sz w:val="16"/>
          <w:szCs w:val="16"/>
        </w:rPr>
        <w:t>тов. М.М.ЛИТИНОВУ</w:t>
      </w:r>
    </w:p>
    <w:p w14:paraId="14B3F3E3" w14:textId="77777777" w:rsidR="00BB0350" w:rsidRPr="00507A31" w:rsidRDefault="00BB0350" w:rsidP="00507A31">
      <w:pPr>
        <w:pStyle w:val="ae"/>
        <w:spacing w:before="0" w:after="0"/>
        <w:jc w:val="both"/>
        <w:rPr>
          <w:color w:val="000000" w:themeColor="text1"/>
          <w:sz w:val="16"/>
          <w:szCs w:val="16"/>
        </w:rPr>
      </w:pPr>
      <w:r w:rsidRPr="00507A31">
        <w:rPr>
          <w:color w:val="000000" w:themeColor="text1"/>
          <w:sz w:val="16"/>
          <w:szCs w:val="16"/>
        </w:rPr>
        <w:t>Москва</w:t>
      </w:r>
    </w:p>
    <w:p w14:paraId="569FFBB8"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Уважаемый Товарищ,</w:t>
      </w:r>
    </w:p>
    <w:p w14:paraId="52889AC8" w14:textId="77777777" w:rsidR="00BB0350" w:rsidRPr="00507A31" w:rsidRDefault="00BB0350" w:rsidP="00507A31">
      <w:pPr>
        <w:numPr>
          <w:ilvl w:val="0"/>
          <w:numId w:val="43"/>
        </w:numPr>
        <w:ind w:left="0" w:firstLine="0"/>
        <w:jc w:val="both"/>
        <w:rPr>
          <w:color w:val="000000" w:themeColor="text1"/>
          <w:sz w:val="16"/>
          <w:szCs w:val="16"/>
        </w:rPr>
      </w:pPr>
      <w:r w:rsidRPr="00507A31">
        <w:rPr>
          <w:color w:val="000000" w:themeColor="text1"/>
          <w:sz w:val="16"/>
          <w:szCs w:val="16"/>
        </w:rPr>
        <w:t xml:space="preserve">Состоявшееся сегодня постановление Совета Министров о введении во Франции лицензионной системы в отношении ряда товаров советского экспорта открывает новый этап в области франко-советских отношений, которые этим постановлением выводятся из состояния «мерцающей лампады», на которой францпра поддерживало их в течение последних трех лет. В настоящую минуту нам еще неизвестна система, которая будет применяться к нашему экспорту, равно как неизвестен и точный цикл товаров, которые будут подвергнуты режиму лицензий. В газетных сообщениях названы: «хлеб, мясо, яйца, сахар, лес, лен, клей, желатин </w:t>
      </w:r>
      <w:r w:rsidRPr="00507A31">
        <w:rPr>
          <w:color w:val="000000" w:themeColor="text1"/>
          <w:sz w:val="16"/>
          <w:szCs w:val="16"/>
        </w:rPr>
        <w:lastRenderedPageBreak/>
        <w:t>и т. д.». Ссылка на статью пятую закона от 29-го марта 1910 года, положенную в основу постановления совета министров, кажется не только при поверхностном, но и при внимательном изучении совершенно непонятной и трудно применимой к данному случаю. В самом деле статья эта гласит следующее: «Всякое лицо, купец, промышленник или коммивояжер, разъезжающие по Франции в целях собирания заказов за счет фирм, учрежденных в чужих странах, будет обложено налогами, равными патентным сборам и внутренним налогам, которым подвержены в этих странах купцы, промышленники и коммивояжеры, занимающиеся этими же операциями за счет фирм, учрежденных во Франции. Та же взаимность будет применяться в том, что касается условий допущения образцов и моделей».</w:t>
      </w:r>
    </w:p>
    <w:p w14:paraId="5DA6DBCC"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Фактическое положение, созданное новым режимом, до известной степени выяснится, когда появится декрет, опубликование которого ожидается завтра.</w:t>
      </w:r>
    </w:p>
    <w:p w14:paraId="654B0596"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Сейчас, под свежим впечатлением постановления совета министров трудно еще определенно сказать, какими соображениями руководствовалось францпра и какие цели преследует оно изданием этого декрета: собирается ли оно вступить в экономическую войну с СССР всерьез и надолго или же новый режим является лишь устрашающим ходом, чтобы побудить совпра приступить к урегулированию основных вопросов, стоящих между обеими странами, как мне об этом прозрачно намекнул Вертело? Францпра не могло не знать, с какой решительностью мы всегда отвергали многочисленные попытки искусственного создания против нашей монополии внешней торговли монопольных лицензионных систем и режимов контингентирования Принимая декрет о введении лицензионной системы, францпра таким образом заведомо и сознательно снаряжалось не только в серьезную экономическую войну, но, что гораздо серьезнее, в войну принципов, войну систем. Стремление уравновесить баланс франко-советской торговли, пассивной для Франции, может быть признано только одной из причин, и то не самой главной. Декрет, который, если не сведет совсем на нет фран[ко]-советскую торговлю, то во всяком случае снизит ее до весьма низкого уровня, ударит, конечно, одним концом по СССР, но зато безусловно другим концом весьма больно ударит и по Франции. Для того, чтобы францпра на это решилось, необходимо, чтобы с этим шагом была увязана широкая внешнеполитическая акция, основанная на стремлении консолидировать экономическое и политическое положение своих сателлитов и на уверенности, что этому шагу последуют и другие страны.</w:t>
      </w:r>
    </w:p>
    <w:p w14:paraId="0A223B97"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У нас еще слишком мало данных для того, чтобы подвергнуть подробному анализу создавшееся положение. Одно можно почти с уверенностью уже сейчас сказать: среди политических партий во Франции, за исключением коммунистов, францпра встретит одобрение. От радикал-социалистов на днях высказались Эррио и Кайо, которые призывали к созданию единого фронта против «советского дэмпинга». Социалисты, хотя и не высказывались[,] но в глубине души, разумеется, сочувствуют созданию этого фронта. Таким образом, в данный момент францпра имеет за собой все так называемое общественное мнение страны, за исключением только тех представителей торгового мира, которые непосредственно заинтересованы в совершении тех или иных торговых операций с нами.</w:t>
      </w:r>
    </w:p>
    <w:p w14:paraId="5E54B924"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О моем мимолетном и поверхностном разговоре сегодня с Вертело на тему о новом декрете, я Вам сегодня протелеграфировал. Выразив удивление по поводу той келейности, в которой эта мера подготовлялась, без попытки предварить нас о ней, равно как по поводу странного способа претворения в жизнь возвещенной Брианом в начале июля программы «устранения препятствий на пути развития франко-советских экономических отношений», я, о[т]говорившись незнанием декрета, относительно которого Вертело отказался просветить меня, отговорившись тоже незнанием, заявил Вертело, что резервирую за собою дальнейшие демарши впредь до ближайшего ознакомления с вопросом.</w:t>
      </w:r>
    </w:p>
    <w:p w14:paraId="734F7723"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И. о. Торгпреда тов. Бреслав запросил сегодня от Наркомторга директив в отношении тех товаров, которые запроданы во Францию, но находятся еще в пути. Ответ на это Наркомторг, разумеется, сможет дать уже после того, как познакомится с декретом. Тогда же и я буду ждать от Вас директив в отношении того дипломатического демарша, который несомненно надо будет сделать. По получении этих директив я немедленно попрошу свидания у Бриана.</w:t>
      </w:r>
    </w:p>
    <w:p w14:paraId="4A9A6A7B" w14:textId="77777777" w:rsidR="00BB0350" w:rsidRPr="00507A31" w:rsidRDefault="00BB0350" w:rsidP="00507A31">
      <w:pPr>
        <w:numPr>
          <w:ilvl w:val="0"/>
          <w:numId w:val="44"/>
        </w:numPr>
        <w:ind w:left="0" w:firstLine="0"/>
        <w:jc w:val="both"/>
        <w:rPr>
          <w:color w:val="000000" w:themeColor="text1"/>
          <w:sz w:val="16"/>
          <w:szCs w:val="16"/>
        </w:rPr>
      </w:pPr>
      <w:r w:rsidRPr="00507A31">
        <w:rPr>
          <w:color w:val="000000" w:themeColor="text1"/>
          <w:sz w:val="16"/>
          <w:szCs w:val="16"/>
        </w:rPr>
        <w:t>Летние судебные каникулы уже закончились вчера и близится срок слушания наших многообразных судебных дел. В связи с этим я был сегодня у Вертело. Он прочел мне частью целиком, а частью в отрывках письменные заключения двух юрисконсультов по делу Герцфельда и в частности по вопросу о пределах ответственности государства и Торгпредства. Оба заключения составлены для нас весьма благоприятно. В обоих указывается на неправомерность решений первых инстанций. Юрисконсульты высказывают мнение, что для выигрыша процесса нам достаточно и необходимо убедительно доказать на суде[,] во-первых, что Доброфлот есть самостоятельное юридическое лицо, за которое государство не отвечает, и[,] во-вторых, что советское законодательство допускает существование подобных юридических лиц. Заключения подчеркивают, что советское законодательство является в данном вопросе обязательным для французского суда постольку, поскольку оно не противоречит существующему во Франции ордр-пюблик. Так как, однако, из быстрого оглашения Вертело этих весьма объемистых заключений я не мог удержать в памяти все, то мы уговорились, что в начале будущей недели (сегодня пятница) тов. Рейхель зайдет к Лабулэ, которому Вертело передаст заключения юрисконсультов после одобрения их Брианом. Я напомнил Вертело, что дело может быть назначено к слушанию в ближайшее же время и, что очень важно, чтобы демарш Кэ д’Орсэ перед министром юстиции или Судебной Палатой состоялся возможно скорее. Вертело ответил, что это будет сделано примерно дней через 10, когда вернется из отпуска юрисконсульт по фамилии Лион, автор одного из цитированных выше заключений, которому поручено будет изложить точку зрения Кэ д’Орсэ. Вертело уверен, что раньше этого срока дело к слушанию не будет назначено.</w:t>
      </w:r>
    </w:p>
    <w:p w14:paraId="20F3D8C3" w14:textId="77777777" w:rsidR="00BB0350" w:rsidRPr="00507A31" w:rsidRDefault="00BB0350" w:rsidP="00507A31">
      <w:pPr>
        <w:numPr>
          <w:ilvl w:val="0"/>
          <w:numId w:val="45"/>
        </w:numPr>
        <w:ind w:left="0" w:firstLine="0"/>
        <w:jc w:val="both"/>
        <w:rPr>
          <w:color w:val="000000" w:themeColor="text1"/>
          <w:sz w:val="16"/>
          <w:szCs w:val="16"/>
        </w:rPr>
      </w:pPr>
      <w:r w:rsidRPr="00507A31">
        <w:rPr>
          <w:color w:val="000000" w:themeColor="text1"/>
          <w:sz w:val="16"/>
          <w:szCs w:val="16"/>
        </w:rPr>
        <w:t>В исполнение Вашей директивы я составил безыменную и без подписи бумажку по поводу инцидента с казачьим военным парадом и вручил ее через тов. Мещерякова Сикару для передачи Вертело. Сикар весьма любезно согласился выполнить это поручение. На сегодняшнем свидании Вертело ни словом не обмолвился обо всем этом инциденте, обошел его молчанием и я. Его таким образом следует считать исчерпанным. Если, однако, мне позволено иметь свое мнение по этому поводу, то я считаю своим долгом довести до Вашего сведения, что я отнюдь не согласен с линией нашего поведения в этом деле. Если уж мы сочли нужным придать гласности мой протест и ответ Вертело на него, то нам отнюдь не следовало проглотить весь афронт, который затем был причинен нам благодаря нелойяльному поведению оказавшегося в затруднительном положении Вертело. Мы должны были обязательно выпустить еще одно коммюнике, в котором подчеркнули бы нашу правоту и в котором советское правительство взяло бы под защиту своего посла, подвергшегося незаслуженным нападкам. А сейчас выходит, что публично последнее слово осталось за Вертело и французской прессой, которые облили помоями ТАСС, совпра и меня, которого обвинили во лжи. Таким образом, и совпра не выиграло в престиже, который, наоборот, пострадал, и мой авторитет умален.</w:t>
      </w:r>
    </w:p>
    <w:p w14:paraId="45CF6FC8"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w:t>
      </w:r>
    </w:p>
    <w:p w14:paraId="42001550"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С товарищеским приветом</w:t>
      </w:r>
    </w:p>
    <w:p w14:paraId="183E66BF"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В. Довгалевский</w:t>
      </w:r>
    </w:p>
    <w:p w14:paraId="2CF86835" w14:textId="77777777" w:rsidR="00BB0350" w:rsidRPr="00507A31" w:rsidRDefault="00BB0350" w:rsidP="00507A31">
      <w:pPr>
        <w:numPr>
          <w:ilvl w:val="0"/>
          <w:numId w:val="46"/>
        </w:numPr>
        <w:ind w:left="0" w:firstLine="0"/>
        <w:jc w:val="both"/>
        <w:rPr>
          <w:color w:val="000000" w:themeColor="text1"/>
          <w:sz w:val="16"/>
          <w:szCs w:val="16"/>
        </w:rPr>
      </w:pPr>
      <w:r w:rsidRPr="00507A31">
        <w:rPr>
          <w:color w:val="000000" w:themeColor="text1"/>
          <w:sz w:val="16"/>
          <w:szCs w:val="16"/>
        </w:rPr>
        <w:t>Х.30. П. С. Только что появился «Журналь Офиссиель» с полным текстом декрета. В декрете точно перечислены подлежащие новому режиму товары, а именно: птица живая и битая, свинина охлажденная и мороженая, яйца, хлебные злаки и их дериваты, сахар, патока, лес, лен, клей рыбий, клей костяной, желатин, олеин и стеарин, кислота олеиновая и стеариновая. Таким образом, вне лицензионного режима окажутся из крупных объектов нашего экспорта такие, как: нефть (которая, впрочем, уже ранее была подвергнута общей системе контингентирования), уголь, меха, разные руды, в том числе марганцовая, сухие овощи, тряпье. Некоторый приближенный анализ той роли, которую играли до сих пор в нашем импорте во Францию эти статьи, дается в прилагаемой справке т. ДИВИЛЬКОВСКОГО. Почта уходит через несколько часов; поэтому более продуманный анализ создавшегося положения мы сможем дать только следующим курьером.</w:t>
      </w:r>
    </w:p>
    <w:p w14:paraId="50C28348" w14:textId="77777777" w:rsidR="00BB0350" w:rsidRPr="00507A31" w:rsidRDefault="00BB0350" w:rsidP="00507A31">
      <w:pPr>
        <w:pStyle w:val="rtejustify"/>
        <w:spacing w:before="0" w:after="0"/>
        <w:rPr>
          <w:color w:val="000000" w:themeColor="text1"/>
          <w:sz w:val="16"/>
          <w:szCs w:val="16"/>
        </w:rPr>
      </w:pPr>
      <w:r w:rsidRPr="00507A31">
        <w:rPr>
          <w:color w:val="000000" w:themeColor="text1"/>
          <w:sz w:val="16"/>
          <w:szCs w:val="16"/>
        </w:rPr>
        <w:t>По тексту «Журналь Офиссиель» мы также выяснили недоразумение, создавшееся вследствие ссылки нового декрета на статью 5-ю закона 1910 года. Выше я писал, что эта статья, при самом внимательном изучении, кажется совершенно неприменимой к данному случаю. На самом деле, в тексте закона имелась опечатка. Декрет принят на основании не пятой, а третьей статьи закона от 29 Марта 1910 года, перефразированной в ст. ст. 17 и 18 кодифицированного таможенного закона от 28 декабря 1926 года. Текст статьи Вы найдете в приложении. Эту разницу стоит отметить, т. к. статья 3 не только устанавливает право правительства простым постановлением кабинета Министров «принимать в срочном порядке все соответствующие обстоятельствам меры в тех случаях, когда мероприятия иностранных держав способны препятствовать французской торговле», но и предусматривает обязательное внесение принятых на основании этой статьи постановлений на утверждение Палат немедленно по началу очередной сессии.</w:t>
      </w:r>
    </w:p>
    <w:p w14:paraId="51334CAD" w14:textId="77777777" w:rsidR="00BB0350" w:rsidRPr="00507A31" w:rsidRDefault="00BB0350" w:rsidP="00507A31">
      <w:pPr>
        <w:pStyle w:val="ae"/>
        <w:spacing w:before="0" w:after="0"/>
        <w:jc w:val="both"/>
        <w:rPr>
          <w:color w:val="000000" w:themeColor="text1"/>
          <w:sz w:val="16"/>
          <w:szCs w:val="16"/>
        </w:rPr>
      </w:pPr>
      <w:r w:rsidRPr="00507A31">
        <w:rPr>
          <w:color w:val="000000" w:themeColor="text1"/>
          <w:sz w:val="16"/>
          <w:szCs w:val="16"/>
        </w:rPr>
        <w:t>В. Довгалевский</w:t>
      </w:r>
    </w:p>
    <w:p w14:paraId="38117BCA" w14:textId="77777777" w:rsidR="00BB0350" w:rsidRPr="00507A31" w:rsidRDefault="00BB0350"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010. On. 1. П. 5.Д. 83. Л. 7-10. Машинописный подлинник, подпись - автограф. Штамп Секретариата замнаркома НКИД СССР с вписанными от руки номером и датой получения «8.X.1930 г.» Гриф секретности машинописью. На Л. 9 (перед Постскриптумом) машинописная делопроизводственная помета о количестве распечатанных экземпляров документа (7 экз.) и адрес рассылки «6 - т. Литвинову, 1 - в дело». Не публикуется часть письма (п. 4-6), не имеющая отношения к теме сборника (18796).</w:t>
      </w:r>
    </w:p>
    <w:p w14:paraId="11C6C04A" w14:textId="77777777" w:rsidR="00BB0350" w:rsidRPr="00507A31" w:rsidRDefault="00BB0350" w:rsidP="00507A31">
      <w:pPr>
        <w:jc w:val="both"/>
        <w:rPr>
          <w:color w:val="000000" w:themeColor="text1"/>
          <w:sz w:val="16"/>
          <w:szCs w:val="16"/>
        </w:rPr>
      </w:pPr>
    </w:p>
    <w:p w14:paraId="10CB8A7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B8A9CF6" w14:textId="77777777" w:rsidR="00537E5F" w:rsidRPr="00507A31" w:rsidRDefault="00537E5F" w:rsidP="00507A31">
      <w:pPr>
        <w:autoSpaceDE w:val="0"/>
        <w:autoSpaceDN w:val="0"/>
        <w:adjustRightInd w:val="0"/>
        <w:jc w:val="both"/>
        <w:rPr>
          <w:iCs/>
          <w:color w:val="000000" w:themeColor="text1"/>
          <w:sz w:val="16"/>
          <w:szCs w:val="16"/>
        </w:rPr>
      </w:pPr>
    </w:p>
    <w:p w14:paraId="3FB485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октября 1930 - образован НИИ ГВФ (62,690). На базе авиамастерских Добролета и конструкторской группы А.И.Путилова (420,74). Летное подразделение разместилось на ЦА, но летали и в Тушино (173,312).</w:t>
      </w:r>
    </w:p>
    <w:p w14:paraId="0B5F1F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в Москве был создан ГСНИИ ГА решением СНК (62,186).</w:t>
      </w:r>
    </w:p>
    <w:p w14:paraId="5B51DEEB" w14:textId="77777777" w:rsidR="00537E5F" w:rsidRPr="00507A31" w:rsidRDefault="00537E5F" w:rsidP="00507A31">
      <w:pPr>
        <w:autoSpaceDE w:val="0"/>
        <w:autoSpaceDN w:val="0"/>
        <w:adjustRightInd w:val="0"/>
        <w:jc w:val="both"/>
        <w:rPr>
          <w:color w:val="000000" w:themeColor="text1"/>
          <w:sz w:val="16"/>
          <w:szCs w:val="16"/>
        </w:rPr>
      </w:pPr>
    </w:p>
    <w:p w14:paraId="6EE1B2DD" w14:textId="77777777" w:rsidR="00AA5059" w:rsidRPr="00507A31" w:rsidRDefault="00AA5059" w:rsidP="00507A31">
      <w:pPr>
        <w:pStyle w:val="rtejustify"/>
        <w:shd w:val="clear" w:color="auto" w:fill="FFFFFF"/>
        <w:spacing w:before="0" w:after="0"/>
        <w:rPr>
          <w:color w:val="000000" w:themeColor="text1"/>
          <w:sz w:val="16"/>
          <w:szCs w:val="16"/>
        </w:rPr>
      </w:pPr>
      <w:r w:rsidRPr="00507A31">
        <w:rPr>
          <w:color w:val="000000" w:themeColor="text1"/>
          <w:sz w:val="16"/>
          <w:szCs w:val="16"/>
        </w:rPr>
        <w:t>4 октября 1930 года группа ОСД «Добролета» (конструкторскую группу по стальному самолетостроению), под эгидой Главной инспекции ГВФ была реорганизована в НИИ ГВФ. Заведующим отделом опытного самолетостроения и главным конструктором НИИ ГВФ назначили А. И. Путилова. Освободившуюся должность начальника бригады №4 АГОС ЦАГИ занял П. О. Сухой (19171).</w:t>
      </w:r>
    </w:p>
    <w:p w14:paraId="6397ABCA" w14:textId="77777777" w:rsidR="00AA5059" w:rsidRPr="00507A31" w:rsidRDefault="00AA5059" w:rsidP="00507A31">
      <w:pPr>
        <w:pStyle w:val="rtejustify"/>
        <w:shd w:val="clear" w:color="auto" w:fill="FFFFFF"/>
        <w:spacing w:before="0" w:after="0"/>
        <w:rPr>
          <w:color w:val="000000" w:themeColor="text1"/>
          <w:sz w:val="16"/>
          <w:szCs w:val="16"/>
        </w:rPr>
      </w:pPr>
    </w:p>
    <w:p w14:paraId="4CA646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4 октября 1930 г. на базе авиамастерских "Добролета" и кон</w:t>
      </w:r>
      <w:r w:rsidRPr="00507A31">
        <w:rPr>
          <w:color w:val="000000" w:themeColor="text1"/>
          <w:sz w:val="16"/>
          <w:szCs w:val="16"/>
        </w:rPr>
        <w:softHyphen/>
        <w:t>структорской группы А.И.Путилова был создан Научно-исследова</w:t>
      </w:r>
      <w:r w:rsidRPr="00507A31">
        <w:rPr>
          <w:color w:val="000000" w:themeColor="text1"/>
          <w:sz w:val="16"/>
          <w:szCs w:val="16"/>
        </w:rPr>
        <w:softHyphen/>
        <w:t>тельский институт ГВФ (НИИ ГВФ), основной задачей которого, в первый- период.его деятельности, было, проектирование и постройка опытных пассажирских самолетов, их испытание и внедрение в эксплуатацию яа воздушных линиях. Через год НИИ ГВФ.имел в своем составе самолетный и моторный отделы, отдел электрооборудования, группу.технической эксплу</w:t>
      </w:r>
      <w:r w:rsidRPr="00507A31">
        <w:rPr>
          <w:color w:val="000000" w:themeColor="text1"/>
          <w:sz w:val="16"/>
          <w:szCs w:val="16"/>
        </w:rPr>
        <w:softHyphen/>
        <w:t>атации и экспериментальные аБиамастерские для строительства самолетов. Комплектование НИИ ГВФ кадрами было организовано за счет инженерно-технического и летного состава ВЕС и преимущественно из числа окончивших Военно-воздушную инженерную академию им. Н.Е.Жуковского. В числе первых таких выпускников акадещи были инженеры самолетного отдела П.В.Дементьев (впоследствии долгое время был министром авиационной промышленности СССР), С.И.Комаров, С.Е.Куз</w:t>
      </w:r>
      <w:r w:rsidRPr="00507A31">
        <w:rPr>
          <w:color w:val="000000" w:themeColor="text1"/>
          <w:sz w:val="16"/>
          <w:szCs w:val="16"/>
        </w:rPr>
        <w:softHyphen/>
        <w:t>нецов и др. Первым начальником НИИ ГВФ был И.Р.Гроза (11114).</w:t>
      </w:r>
    </w:p>
    <w:p w14:paraId="21EFD3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8A0D063" w14:textId="77777777" w:rsidR="006C205C" w:rsidRPr="00507A31" w:rsidRDefault="006C205C" w:rsidP="00507A31">
      <w:pPr>
        <w:jc w:val="both"/>
        <w:rPr>
          <w:color w:val="000000" w:themeColor="text1"/>
          <w:sz w:val="16"/>
          <w:szCs w:val="16"/>
        </w:rPr>
      </w:pPr>
      <w:r w:rsidRPr="00507A31">
        <w:rPr>
          <w:color w:val="000000" w:themeColor="text1"/>
          <w:sz w:val="16"/>
          <w:szCs w:val="16"/>
        </w:rPr>
        <w:t>4 октября 1930 г. группа ОСД «Добролета» под эгидой Главной инспекции ГВФ была реорганизована в НИИ ГВФ. Заведующим отделом опытного самолетостроения и главным конструктором НИИ ГВФ назначили А.И.Путилова. Освободившуюся должность начальника бригады №4 АГОС ЦАГИ занял П.О. Сухой.</w:t>
      </w:r>
    </w:p>
    <w:p w14:paraId="1C67116D" w14:textId="77777777" w:rsidR="006C205C" w:rsidRPr="00507A31" w:rsidRDefault="006C205C" w:rsidP="00507A31">
      <w:pPr>
        <w:jc w:val="both"/>
        <w:rPr>
          <w:color w:val="000000" w:themeColor="text1"/>
          <w:sz w:val="16"/>
          <w:szCs w:val="16"/>
        </w:rPr>
      </w:pPr>
      <w:r w:rsidRPr="00507A31">
        <w:rPr>
          <w:color w:val="000000" w:themeColor="text1"/>
          <w:sz w:val="16"/>
          <w:szCs w:val="16"/>
        </w:rPr>
        <w:t>В октябре 1930 г. П.О. Сухой в составе группы специалистов ЦАГИ был командирован в Германию и Италию для ознакомления с авиационной промышленностью этих государств. До середины января 1931 г. Павел Осипович посетил фирмы: Junkers, Dornier, Rohrbach, Heinkel, Arado, Albatros, Focke-Wulf, BMW, Fiat, SiAi, CANT, Isotta-Fraschini, Caproni, Геттингенскую аэродинамическую лабораторию, Гамбургский и Римский гидроканалы (12230).</w:t>
      </w:r>
    </w:p>
    <w:p w14:paraId="39144390" w14:textId="77777777" w:rsidR="006C205C" w:rsidRPr="00507A31" w:rsidRDefault="006C205C" w:rsidP="00507A31">
      <w:pPr>
        <w:jc w:val="both"/>
        <w:rPr>
          <w:color w:val="000000" w:themeColor="text1"/>
          <w:sz w:val="16"/>
          <w:szCs w:val="16"/>
        </w:rPr>
      </w:pPr>
    </w:p>
    <w:p w14:paraId="5970B14B" w14:textId="77777777" w:rsidR="00CD4949" w:rsidRPr="00507A31" w:rsidRDefault="00CD4949"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4 октября </w:t>
      </w:r>
      <w:r w:rsidRPr="00507A31">
        <w:rPr>
          <w:color w:val="000000" w:themeColor="text1"/>
          <w:sz w:val="16"/>
          <w:szCs w:val="16"/>
        </w:rPr>
        <w:t>в 1930 году на базе авиамастерских Добролета и конструкторской группы А.И.Путилова образован НИИ ГВФ (с августа 1954 - Государственный научно-исследовательский институт гражданской авиации - ГосНИИ ГА). На сегодняшний день в ГосНИИ ГА все новые самолеты, двигатели, системы проходят комплекс всевозможных исследований. В целом это и есть государственные испытания, после которых пассажирские лайнеры допускаются к перевозкам пассажиров;</w:t>
      </w:r>
    </w:p>
    <w:p w14:paraId="534E7D1C" w14:textId="77777777" w:rsidR="00CD4949" w:rsidRPr="00507A31" w:rsidRDefault="00CD4949" w:rsidP="00507A31">
      <w:pPr>
        <w:jc w:val="both"/>
        <w:rPr>
          <w:color w:val="000000" w:themeColor="text1"/>
          <w:sz w:val="16"/>
          <w:szCs w:val="16"/>
        </w:rPr>
      </w:pPr>
    </w:p>
    <w:p w14:paraId="05228679" w14:textId="77777777" w:rsidR="00CD4949" w:rsidRPr="00507A31" w:rsidRDefault="00CD4949" w:rsidP="00507A31">
      <w:pPr>
        <w:jc w:val="both"/>
        <w:rPr>
          <w:color w:val="000000" w:themeColor="text1"/>
          <w:sz w:val="16"/>
          <w:szCs w:val="16"/>
        </w:rPr>
      </w:pPr>
      <w:r w:rsidRPr="00507A31">
        <w:rPr>
          <w:color w:val="000000" w:themeColor="text1"/>
          <w:sz w:val="16"/>
          <w:szCs w:val="16"/>
        </w:rPr>
        <w:t>4 октября 1930 г. группу ССД «Добролета» под эгидой Главной инспекции ГВФ реор</w:t>
      </w:r>
      <w:r w:rsidRPr="00507A31">
        <w:rPr>
          <w:color w:val="000000" w:themeColor="text1"/>
          <w:sz w:val="16"/>
          <w:szCs w:val="16"/>
        </w:rPr>
        <w:softHyphen/>
        <w:t>ганизовали в НИИ ГВФ. Заведующим отделом опытного самолётостроения и главным конструктором НИИ ГВФ назначили А.И. Путилова. Освободившуюся должность началь</w:t>
      </w:r>
      <w:r w:rsidRPr="00507A31">
        <w:rPr>
          <w:color w:val="000000" w:themeColor="text1"/>
          <w:sz w:val="16"/>
          <w:szCs w:val="16"/>
        </w:rPr>
        <w:softHyphen/>
        <w:t>ника бригады № 4 АГОС ЦАГИ уже официально занял П.О. Сухой.</w:t>
      </w:r>
    </w:p>
    <w:p w14:paraId="188D87A2" w14:textId="77777777" w:rsidR="00CD4949" w:rsidRPr="00507A31" w:rsidRDefault="00CD4949" w:rsidP="00507A31">
      <w:pPr>
        <w:jc w:val="both"/>
        <w:rPr>
          <w:color w:val="000000" w:themeColor="text1"/>
          <w:sz w:val="16"/>
          <w:szCs w:val="16"/>
        </w:rPr>
      </w:pPr>
      <w:r w:rsidRPr="00507A31">
        <w:rPr>
          <w:color w:val="000000" w:themeColor="text1"/>
          <w:sz w:val="16"/>
          <w:szCs w:val="16"/>
        </w:rPr>
        <w:t>Как видим, до октября 1930 г. никакой бригады П.О. Сухого просто не существовало. Кроме того, лишь в начале декабря 1931 г. начальник ЦАГИ Н.Е. Пауфлер принял реше</w:t>
      </w:r>
      <w:r w:rsidRPr="00507A31">
        <w:rPr>
          <w:color w:val="000000" w:themeColor="text1"/>
          <w:sz w:val="16"/>
          <w:szCs w:val="16"/>
        </w:rPr>
        <w:softHyphen/>
        <w:t>ние организовать работу ЦКБ по бригадному принципу, т.е. когда объекты, поручаемые бригадам для исполнения, прорабатывались этой бригадой от начала проектирования и вплоть до внесения изменений при серийной постройке. Начальник бригады полностью отвечал за порученные ему к исполнению самолёты.</w:t>
      </w:r>
    </w:p>
    <w:p w14:paraId="089903C2" w14:textId="77777777" w:rsidR="00CD4949" w:rsidRPr="00507A31" w:rsidRDefault="00CD4949" w:rsidP="00507A31">
      <w:pPr>
        <w:jc w:val="both"/>
        <w:rPr>
          <w:color w:val="000000" w:themeColor="text1"/>
          <w:sz w:val="16"/>
          <w:szCs w:val="16"/>
        </w:rPr>
      </w:pPr>
      <w:r w:rsidRPr="00507A31">
        <w:rPr>
          <w:color w:val="000000" w:themeColor="text1"/>
          <w:sz w:val="16"/>
          <w:szCs w:val="16"/>
        </w:rPr>
        <w:t>В связи с этим в структуре ЦКБ образовали семь секторов: сектор тяжёлых самолё</w:t>
      </w:r>
      <w:r w:rsidRPr="00507A31">
        <w:rPr>
          <w:color w:val="000000" w:themeColor="text1"/>
          <w:sz w:val="16"/>
          <w:szCs w:val="16"/>
        </w:rPr>
        <w:softHyphen/>
        <w:t>тов — руководитель А.Н. Туполев; сектор лёгких самолётов — руководитель Д.П. Григо</w:t>
      </w:r>
      <w:r w:rsidRPr="00507A31">
        <w:rPr>
          <w:color w:val="000000" w:themeColor="text1"/>
          <w:sz w:val="16"/>
          <w:szCs w:val="16"/>
        </w:rPr>
        <w:softHyphen/>
        <w:t>рович; сектор особых конструкций — руководитель В.Н. Чернышев; сектор вооружений — руководитель А.В. Надашкевич; сектор общих работ — руководитель А.И. Рафаэлянц; планово-технический сектор и административно-хозяйственный сектор.</w:t>
      </w:r>
    </w:p>
    <w:p w14:paraId="7131DBE7" w14:textId="77777777" w:rsidR="00CD4949" w:rsidRPr="00507A31" w:rsidRDefault="00CD4949" w:rsidP="00507A31">
      <w:pPr>
        <w:jc w:val="both"/>
        <w:rPr>
          <w:color w:val="000000" w:themeColor="text1"/>
          <w:sz w:val="16"/>
          <w:szCs w:val="16"/>
        </w:rPr>
      </w:pPr>
      <w:r w:rsidRPr="00507A31">
        <w:rPr>
          <w:color w:val="000000" w:themeColor="text1"/>
          <w:sz w:val="16"/>
          <w:szCs w:val="16"/>
        </w:rPr>
        <w:t>В сектор лёгких самолётов входили: бригада № 4 П.О. Сухого (заместитель Н.Н. По</w:t>
      </w:r>
      <w:r w:rsidRPr="00507A31">
        <w:rPr>
          <w:color w:val="000000" w:themeColor="text1"/>
          <w:sz w:val="16"/>
          <w:szCs w:val="16"/>
        </w:rPr>
        <w:softHyphen/>
        <w:t>ликарпов) и бригада № 5 С.А. Кочеригина (заместитель Петров). Сектор особых конст</w:t>
      </w:r>
      <w:r w:rsidRPr="00507A31">
        <w:rPr>
          <w:color w:val="000000" w:themeColor="text1"/>
          <w:sz w:val="16"/>
          <w:szCs w:val="16"/>
        </w:rPr>
        <w:softHyphen/>
        <w:t>рукций включал: бригаду № 3 В.Н. Чернышёва (заместитель Г.О. Бертош) и бригаду № 6 В.А. Чижевского. Уместно отметить, что полностью специализация бригад по ти</w:t>
      </w:r>
      <w:r w:rsidRPr="00507A31">
        <w:rPr>
          <w:color w:val="000000" w:themeColor="text1"/>
          <w:sz w:val="16"/>
          <w:szCs w:val="16"/>
        </w:rPr>
        <w:softHyphen/>
        <w:t>пам самолётов завершилась лишь в 1935 г. (15801).</w:t>
      </w:r>
    </w:p>
    <w:p w14:paraId="20CE1020" w14:textId="77777777" w:rsidR="00CD4949" w:rsidRPr="00507A31" w:rsidRDefault="00CD4949" w:rsidP="00507A31">
      <w:pPr>
        <w:jc w:val="both"/>
        <w:rPr>
          <w:color w:val="000000" w:themeColor="text1"/>
          <w:sz w:val="16"/>
          <w:szCs w:val="16"/>
        </w:rPr>
      </w:pPr>
    </w:p>
    <w:p w14:paraId="1C4D61F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 октября 1930 года мотор для тяжелых бомбардировщ. ФЭД после 20 минут работы потерпел аварию, в результате которой разбит картер, блоки вследствие обрыва гл. шатуна. Мотор выбыл из строя (Наблюдающий инженер Войтов) (6998).</w:t>
      </w:r>
    </w:p>
    <w:p w14:paraId="5FB4C987"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5A416B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3090A34" w14:textId="77777777" w:rsidR="00537E5F" w:rsidRPr="00507A31" w:rsidRDefault="00537E5F" w:rsidP="00507A31">
      <w:pPr>
        <w:autoSpaceDE w:val="0"/>
        <w:autoSpaceDN w:val="0"/>
        <w:adjustRightInd w:val="0"/>
        <w:jc w:val="both"/>
        <w:rPr>
          <w:iCs/>
          <w:color w:val="000000" w:themeColor="text1"/>
          <w:sz w:val="16"/>
          <w:szCs w:val="16"/>
        </w:rPr>
      </w:pPr>
    </w:p>
    <w:p w14:paraId="3CD959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 4 октября 1930 года был назначен первый торжественный [301] полет в Индию: так планировалось открыть британские воздухоплавательные пассажирские перевозки. В Кардингтоне собрались все сливки британского высшего общества, чтобы стать свидетелями столь знаменательного события. На борту R.101 находилась команда в составе 42 человек и 12 пассажиров, среди них — министр воздушного флота Томпсон и другие высшие чины министерства (11324). </w:t>
      </w:r>
    </w:p>
    <w:p w14:paraId="795B24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Основные характеристики R.101 (до его переделки) и R. 100 </w:t>
      </w:r>
      <w:r w:rsidRPr="00507A31">
        <w:rPr>
          <w:iCs/>
          <w:color w:val="000000" w:themeColor="text1"/>
          <w:sz w:val="16"/>
          <w:szCs w:val="16"/>
        </w:rPr>
        <w:t>(стр. 295)</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448"/>
        <w:gridCol w:w="4344"/>
        <w:gridCol w:w="3566"/>
      </w:tblGrid>
      <w:tr w:rsidR="00E371BA" w:rsidRPr="00507A31" w14:paraId="19FE5754" w14:textId="77777777">
        <w:tc>
          <w:tcPr>
            <w:tcW w:w="1448" w:type="dxa"/>
            <w:tcBorders>
              <w:top w:val="single" w:sz="12" w:space="0" w:color="000000"/>
            </w:tcBorders>
          </w:tcPr>
          <w:p w14:paraId="3896E894" w14:textId="77777777" w:rsidR="00537E5F" w:rsidRPr="00507A31" w:rsidRDefault="00537E5F" w:rsidP="00507A31">
            <w:pPr>
              <w:autoSpaceDE w:val="0"/>
              <w:autoSpaceDN w:val="0"/>
              <w:adjustRightInd w:val="0"/>
              <w:jc w:val="both"/>
              <w:rPr>
                <w:color w:val="000000" w:themeColor="text1"/>
                <w:sz w:val="16"/>
                <w:szCs w:val="16"/>
              </w:rPr>
            </w:pPr>
          </w:p>
        </w:tc>
        <w:tc>
          <w:tcPr>
            <w:tcW w:w="4344" w:type="dxa"/>
            <w:tcBorders>
              <w:top w:val="single" w:sz="12" w:space="0" w:color="000000"/>
            </w:tcBorders>
          </w:tcPr>
          <w:p w14:paraId="106553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R.100 </w:t>
            </w:r>
          </w:p>
        </w:tc>
        <w:tc>
          <w:tcPr>
            <w:tcW w:w="3566" w:type="dxa"/>
            <w:tcBorders>
              <w:top w:val="single" w:sz="12" w:space="0" w:color="000000"/>
            </w:tcBorders>
          </w:tcPr>
          <w:p w14:paraId="1A35B8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R.101 </w:t>
            </w:r>
          </w:p>
        </w:tc>
      </w:tr>
      <w:tr w:rsidR="00E371BA" w:rsidRPr="00507A31" w14:paraId="09D0C5CD" w14:textId="77777777">
        <w:tc>
          <w:tcPr>
            <w:tcW w:w="1448" w:type="dxa"/>
          </w:tcPr>
          <w:p w14:paraId="4D68EB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Объем, куб. м </w:t>
            </w:r>
          </w:p>
        </w:tc>
        <w:tc>
          <w:tcPr>
            <w:tcW w:w="4344" w:type="dxa"/>
          </w:tcPr>
          <w:p w14:paraId="4D1A0A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140 000 </w:t>
            </w:r>
          </w:p>
        </w:tc>
        <w:tc>
          <w:tcPr>
            <w:tcW w:w="3566" w:type="dxa"/>
          </w:tcPr>
          <w:p w14:paraId="7B2307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141 600 </w:t>
            </w:r>
          </w:p>
        </w:tc>
      </w:tr>
      <w:tr w:rsidR="00E371BA" w:rsidRPr="00507A31" w14:paraId="2EB612E9" w14:textId="77777777">
        <w:tc>
          <w:tcPr>
            <w:tcW w:w="1448" w:type="dxa"/>
          </w:tcPr>
          <w:p w14:paraId="2940F6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Длина, м </w:t>
            </w:r>
          </w:p>
        </w:tc>
        <w:tc>
          <w:tcPr>
            <w:tcW w:w="4344" w:type="dxa"/>
          </w:tcPr>
          <w:p w14:paraId="3C3D93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216,5 </w:t>
            </w:r>
          </w:p>
        </w:tc>
        <w:tc>
          <w:tcPr>
            <w:tcW w:w="3566" w:type="dxa"/>
          </w:tcPr>
          <w:p w14:paraId="213FFC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219,6 </w:t>
            </w:r>
          </w:p>
        </w:tc>
      </w:tr>
      <w:tr w:rsidR="00E371BA" w:rsidRPr="00507A31" w14:paraId="778FD2F3" w14:textId="77777777">
        <w:tc>
          <w:tcPr>
            <w:tcW w:w="1448" w:type="dxa"/>
          </w:tcPr>
          <w:p w14:paraId="1A003C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Высота, м </w:t>
            </w:r>
          </w:p>
        </w:tc>
        <w:tc>
          <w:tcPr>
            <w:tcW w:w="4344" w:type="dxa"/>
          </w:tcPr>
          <w:p w14:paraId="16181C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41,15 </w:t>
            </w:r>
          </w:p>
        </w:tc>
        <w:tc>
          <w:tcPr>
            <w:tcW w:w="3566" w:type="dxa"/>
          </w:tcPr>
          <w:p w14:paraId="35F79E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41,0 </w:t>
            </w:r>
          </w:p>
        </w:tc>
      </w:tr>
      <w:tr w:rsidR="00E371BA" w:rsidRPr="00507A31" w14:paraId="27A3D414" w14:textId="77777777">
        <w:tc>
          <w:tcPr>
            <w:tcW w:w="1448" w:type="dxa"/>
          </w:tcPr>
          <w:p w14:paraId="639CAE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Максимальный диаметр, м </w:t>
            </w:r>
          </w:p>
        </w:tc>
        <w:tc>
          <w:tcPr>
            <w:tcW w:w="4344" w:type="dxa"/>
          </w:tcPr>
          <w:p w14:paraId="0CE46E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40,6 </w:t>
            </w:r>
          </w:p>
        </w:tc>
        <w:tc>
          <w:tcPr>
            <w:tcW w:w="3566" w:type="dxa"/>
          </w:tcPr>
          <w:p w14:paraId="3270AC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40,0 </w:t>
            </w:r>
          </w:p>
        </w:tc>
      </w:tr>
      <w:tr w:rsidR="00E371BA" w:rsidRPr="00507A31" w14:paraId="6E4B00A5" w14:textId="77777777">
        <w:tc>
          <w:tcPr>
            <w:tcW w:w="1448" w:type="dxa"/>
          </w:tcPr>
          <w:p w14:paraId="530BD5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Относительное удлинение </w:t>
            </w:r>
          </w:p>
        </w:tc>
        <w:tc>
          <w:tcPr>
            <w:tcW w:w="4344" w:type="dxa"/>
          </w:tcPr>
          <w:p w14:paraId="080BD3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6,33 </w:t>
            </w:r>
          </w:p>
        </w:tc>
        <w:tc>
          <w:tcPr>
            <w:tcW w:w="3566" w:type="dxa"/>
          </w:tcPr>
          <w:p w14:paraId="48BF4F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6,5 </w:t>
            </w:r>
          </w:p>
        </w:tc>
      </w:tr>
      <w:tr w:rsidR="00E371BA" w:rsidRPr="00507A31" w14:paraId="7302402A" w14:textId="77777777">
        <w:tc>
          <w:tcPr>
            <w:tcW w:w="1448" w:type="dxa"/>
          </w:tcPr>
          <w:p w14:paraId="4E64B6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Количество шпангоутов </w:t>
            </w:r>
          </w:p>
        </w:tc>
        <w:tc>
          <w:tcPr>
            <w:tcW w:w="4344" w:type="dxa"/>
          </w:tcPr>
          <w:p w14:paraId="08B915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w:t>
            </w:r>
          </w:p>
        </w:tc>
        <w:tc>
          <w:tcPr>
            <w:tcW w:w="3566" w:type="dxa"/>
          </w:tcPr>
          <w:p w14:paraId="3F7E80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16 </w:t>
            </w:r>
          </w:p>
        </w:tc>
      </w:tr>
      <w:tr w:rsidR="00E371BA" w:rsidRPr="00507A31" w14:paraId="754E4484" w14:textId="77777777">
        <w:tc>
          <w:tcPr>
            <w:tcW w:w="1448" w:type="dxa"/>
          </w:tcPr>
          <w:p w14:paraId="386491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Количество газовых баллонов </w:t>
            </w:r>
          </w:p>
        </w:tc>
        <w:tc>
          <w:tcPr>
            <w:tcW w:w="4344" w:type="dxa"/>
          </w:tcPr>
          <w:p w14:paraId="052455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 </w:t>
            </w:r>
          </w:p>
        </w:tc>
        <w:tc>
          <w:tcPr>
            <w:tcW w:w="3566" w:type="dxa"/>
          </w:tcPr>
          <w:p w14:paraId="5DF404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16 </w:t>
            </w:r>
          </w:p>
        </w:tc>
      </w:tr>
      <w:tr w:rsidR="00E371BA" w:rsidRPr="00507A31" w14:paraId="35F00B51" w14:textId="77777777">
        <w:tc>
          <w:tcPr>
            <w:tcW w:w="1448" w:type="dxa"/>
          </w:tcPr>
          <w:p w14:paraId="56A76B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Стабилизаторы и рули </w:t>
            </w:r>
          </w:p>
        </w:tc>
        <w:tc>
          <w:tcPr>
            <w:tcW w:w="4344" w:type="dxa"/>
          </w:tcPr>
          <w:p w14:paraId="6FD1D9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(288 кв. м) и 1 нижний (233 кв. м); рули направления неуравновешены, рули высоты — уравновешены </w:t>
            </w:r>
          </w:p>
        </w:tc>
        <w:tc>
          <w:tcPr>
            <w:tcW w:w="3566" w:type="dxa"/>
          </w:tcPr>
          <w:p w14:paraId="608052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(по 195 кв. м); все рули уравновешены </w:t>
            </w:r>
          </w:p>
        </w:tc>
      </w:tr>
      <w:tr w:rsidR="00E371BA" w:rsidRPr="00507A31" w14:paraId="4B97C193" w14:textId="77777777">
        <w:tc>
          <w:tcPr>
            <w:tcW w:w="1448" w:type="dxa"/>
          </w:tcPr>
          <w:p w14:paraId="54EEE7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Основные элементы каркаса </w:t>
            </w:r>
          </w:p>
        </w:tc>
        <w:tc>
          <w:tcPr>
            <w:tcW w:w="4344" w:type="dxa"/>
          </w:tcPr>
          <w:p w14:paraId="6C3FD1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Трубы из дюралюминиевой ленты, намотанной спиралью и склепанной </w:t>
            </w:r>
          </w:p>
        </w:tc>
        <w:tc>
          <w:tcPr>
            <w:tcW w:w="3566" w:type="dxa"/>
          </w:tcPr>
          <w:p w14:paraId="675BE6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Стальные трубы, соединенные решетками из дюралюминия или же поперечными трубами </w:t>
            </w:r>
          </w:p>
        </w:tc>
      </w:tr>
      <w:tr w:rsidR="00E371BA" w:rsidRPr="00507A31" w14:paraId="0BAC72FB" w14:textId="77777777">
        <w:tc>
          <w:tcPr>
            <w:tcW w:w="1448" w:type="dxa"/>
          </w:tcPr>
          <w:p w14:paraId="17E9F2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Шпангоуты </w:t>
            </w:r>
          </w:p>
        </w:tc>
        <w:tc>
          <w:tcPr>
            <w:tcW w:w="4344" w:type="dxa"/>
          </w:tcPr>
          <w:p w14:paraId="050816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Толщина шпангоута 0,73 м. Шпангоуты с радиальными расчалками, закрепленными на осевой балке </w:t>
            </w:r>
          </w:p>
        </w:tc>
        <w:tc>
          <w:tcPr>
            <w:tcW w:w="3566" w:type="dxa"/>
          </w:tcPr>
          <w:p w14:paraId="225400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Толщина шпангоута 3,15 м. Шпангоуты жесткие, без расчалок </w:t>
            </w:r>
          </w:p>
        </w:tc>
      </w:tr>
      <w:tr w:rsidR="00E371BA" w:rsidRPr="00507A31" w14:paraId="09FCFD84" w14:textId="77777777">
        <w:tc>
          <w:tcPr>
            <w:tcW w:w="1448" w:type="dxa"/>
          </w:tcPr>
          <w:p w14:paraId="71C3BC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Закрепление газовых баллонов </w:t>
            </w:r>
          </w:p>
        </w:tc>
        <w:tc>
          <w:tcPr>
            <w:tcW w:w="4344" w:type="dxa"/>
          </w:tcPr>
          <w:p w14:paraId="7D1ED4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Сетчатые диафрагмы </w:t>
            </w:r>
          </w:p>
        </w:tc>
        <w:tc>
          <w:tcPr>
            <w:tcW w:w="3566" w:type="dxa"/>
          </w:tcPr>
          <w:p w14:paraId="22BB64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«Парашютная» система </w:t>
            </w:r>
          </w:p>
        </w:tc>
      </w:tr>
      <w:tr w:rsidR="00E371BA" w:rsidRPr="00507A31" w14:paraId="088847C8" w14:textId="77777777">
        <w:tc>
          <w:tcPr>
            <w:tcW w:w="1448" w:type="dxa"/>
          </w:tcPr>
          <w:p w14:paraId="499654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Моторные гондолы </w:t>
            </w:r>
          </w:p>
        </w:tc>
        <w:tc>
          <w:tcPr>
            <w:tcW w:w="4344" w:type="dxa"/>
          </w:tcPr>
          <w:p w14:paraId="27449C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гондолы, каждая с двумя двигателями, из которых один с толкающим, а другой с тянущим винтом </w:t>
            </w:r>
          </w:p>
        </w:tc>
        <w:tc>
          <w:tcPr>
            <w:tcW w:w="3566" w:type="dxa"/>
          </w:tcPr>
          <w:p w14:paraId="0E30FD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гондол с одним двигателем в каждой </w:t>
            </w:r>
          </w:p>
        </w:tc>
      </w:tr>
      <w:tr w:rsidR="00E371BA" w:rsidRPr="00507A31" w14:paraId="6F9A6937" w14:textId="77777777">
        <w:tc>
          <w:tcPr>
            <w:tcW w:w="1448" w:type="dxa"/>
          </w:tcPr>
          <w:p w14:paraId="6F3669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Двигатели </w:t>
            </w:r>
          </w:p>
        </w:tc>
        <w:tc>
          <w:tcPr>
            <w:tcW w:w="4344" w:type="dxa"/>
          </w:tcPr>
          <w:p w14:paraId="156B9D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бензиновых двигателей Роллс-Ройс «Кондор III» по 660 л. с. каждый </w:t>
            </w:r>
          </w:p>
        </w:tc>
        <w:tc>
          <w:tcPr>
            <w:tcW w:w="3566" w:type="dxa"/>
          </w:tcPr>
          <w:p w14:paraId="5C7AD7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дизельных двигателей «Бердмор» по 686 л. с. каждый </w:t>
            </w:r>
          </w:p>
        </w:tc>
      </w:tr>
      <w:tr w:rsidR="00E371BA" w:rsidRPr="00507A31" w14:paraId="2D64CD60" w14:textId="77777777">
        <w:tc>
          <w:tcPr>
            <w:tcW w:w="1448" w:type="dxa"/>
          </w:tcPr>
          <w:p w14:paraId="11C357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Каюты для пассажиров и экипажа </w:t>
            </w:r>
          </w:p>
        </w:tc>
        <w:tc>
          <w:tcPr>
            <w:tcW w:w="4344" w:type="dxa"/>
          </w:tcPr>
          <w:p w14:paraId="0DFAA8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Расположены на трех палубах между 5-м и 6-м шпангоутами </w:t>
            </w:r>
          </w:p>
        </w:tc>
        <w:tc>
          <w:tcPr>
            <w:tcW w:w="3566" w:type="dxa"/>
          </w:tcPr>
          <w:p w14:paraId="6415A4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Расположены на двух палубах между 6-м и 8-м шпангоутами </w:t>
            </w:r>
          </w:p>
        </w:tc>
      </w:tr>
      <w:tr w:rsidR="00E371BA" w:rsidRPr="00507A31" w14:paraId="607AD790" w14:textId="77777777">
        <w:tc>
          <w:tcPr>
            <w:tcW w:w="1448" w:type="dxa"/>
          </w:tcPr>
          <w:p w14:paraId="0F2794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Общая подъемная сила, т </w:t>
            </w:r>
          </w:p>
        </w:tc>
        <w:tc>
          <w:tcPr>
            <w:tcW w:w="4344" w:type="dxa"/>
          </w:tcPr>
          <w:p w14:paraId="7C8AD7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156 </w:t>
            </w:r>
          </w:p>
        </w:tc>
        <w:tc>
          <w:tcPr>
            <w:tcW w:w="3566" w:type="dxa"/>
          </w:tcPr>
          <w:p w14:paraId="758092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150 </w:t>
            </w:r>
          </w:p>
        </w:tc>
      </w:tr>
      <w:tr w:rsidR="00E371BA" w:rsidRPr="00507A31" w14:paraId="654FAF4C" w14:textId="77777777">
        <w:tc>
          <w:tcPr>
            <w:tcW w:w="1448" w:type="dxa"/>
          </w:tcPr>
          <w:p w14:paraId="63ACA5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Вес конструкции, т </w:t>
            </w:r>
          </w:p>
        </w:tc>
        <w:tc>
          <w:tcPr>
            <w:tcW w:w="4344" w:type="dxa"/>
          </w:tcPr>
          <w:p w14:paraId="71663D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92 </w:t>
            </w:r>
          </w:p>
        </w:tc>
        <w:tc>
          <w:tcPr>
            <w:tcW w:w="3566" w:type="dxa"/>
          </w:tcPr>
          <w:p w14:paraId="7A45DD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103 </w:t>
            </w:r>
          </w:p>
        </w:tc>
      </w:tr>
      <w:tr w:rsidR="00E371BA" w:rsidRPr="00507A31" w14:paraId="395B00B9" w14:textId="77777777">
        <w:tc>
          <w:tcPr>
            <w:tcW w:w="1448" w:type="dxa"/>
          </w:tcPr>
          <w:p w14:paraId="3D04E6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Вес двигателей, т </w:t>
            </w:r>
          </w:p>
        </w:tc>
        <w:tc>
          <w:tcPr>
            <w:tcW w:w="4344" w:type="dxa"/>
          </w:tcPr>
          <w:p w14:paraId="7FFF37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11 </w:t>
            </w:r>
          </w:p>
        </w:tc>
        <w:tc>
          <w:tcPr>
            <w:tcW w:w="3566" w:type="dxa"/>
          </w:tcPr>
          <w:p w14:paraId="7D1212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21 </w:t>
            </w:r>
          </w:p>
        </w:tc>
      </w:tr>
      <w:tr w:rsidR="00E371BA" w:rsidRPr="00507A31" w14:paraId="0DDD8EDB" w14:textId="77777777">
        <w:tc>
          <w:tcPr>
            <w:tcW w:w="1448" w:type="dxa"/>
          </w:tcPr>
          <w:p w14:paraId="73379A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Нормальный платный груз </w:t>
            </w:r>
          </w:p>
        </w:tc>
        <w:tc>
          <w:tcPr>
            <w:tcW w:w="4344" w:type="dxa"/>
          </w:tcPr>
          <w:p w14:paraId="373078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100 пассажиров и 10 т груза </w:t>
            </w:r>
          </w:p>
        </w:tc>
        <w:tc>
          <w:tcPr>
            <w:tcW w:w="3566" w:type="dxa"/>
          </w:tcPr>
          <w:p w14:paraId="597C3A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50 пассажиров и 7 т груза </w:t>
            </w:r>
          </w:p>
        </w:tc>
      </w:tr>
      <w:tr w:rsidR="00E371BA" w:rsidRPr="00507A31" w14:paraId="48CC0383" w14:textId="77777777">
        <w:tc>
          <w:tcPr>
            <w:tcW w:w="1448" w:type="dxa"/>
          </w:tcPr>
          <w:p w14:paraId="07BE24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Наибольшая скорость, км/ч </w:t>
            </w:r>
          </w:p>
        </w:tc>
        <w:tc>
          <w:tcPr>
            <w:tcW w:w="4344" w:type="dxa"/>
          </w:tcPr>
          <w:p w14:paraId="247EAA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132 </w:t>
            </w:r>
          </w:p>
        </w:tc>
        <w:tc>
          <w:tcPr>
            <w:tcW w:w="3566" w:type="dxa"/>
          </w:tcPr>
          <w:p w14:paraId="2A52E2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113 </w:t>
            </w:r>
          </w:p>
        </w:tc>
      </w:tr>
      <w:tr w:rsidR="00E371BA" w:rsidRPr="00507A31" w14:paraId="61D894C3" w14:textId="77777777">
        <w:tc>
          <w:tcPr>
            <w:tcW w:w="1448" w:type="dxa"/>
            <w:tcBorders>
              <w:bottom w:val="single" w:sz="12" w:space="0" w:color="000000"/>
            </w:tcBorders>
          </w:tcPr>
          <w:p w14:paraId="55AFA3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Дальность полета, км </w:t>
            </w:r>
          </w:p>
        </w:tc>
        <w:tc>
          <w:tcPr>
            <w:tcW w:w="4344" w:type="dxa"/>
            <w:tcBorders>
              <w:bottom w:val="single" w:sz="12" w:space="0" w:color="000000"/>
            </w:tcBorders>
          </w:tcPr>
          <w:p w14:paraId="4E0F7A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6000 </w:t>
            </w:r>
          </w:p>
        </w:tc>
        <w:tc>
          <w:tcPr>
            <w:tcW w:w="3566" w:type="dxa"/>
            <w:tcBorders>
              <w:bottom w:val="single" w:sz="12" w:space="0" w:color="000000"/>
            </w:tcBorders>
          </w:tcPr>
          <w:p w14:paraId="42EB8E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3000 </w:t>
            </w:r>
          </w:p>
        </w:tc>
      </w:tr>
    </w:tbl>
    <w:p w14:paraId="4CCFE0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(11324).</w:t>
      </w:r>
    </w:p>
    <w:p w14:paraId="5DE152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18.36 дирижабль отправился в сверхдальний перелет. Метеорологические условия были неблагоприятными. Дирижабль летел на высоте 500 м под нижней кромкой облаков. Шел сильный дождь. В 19.35 R.101 снизился до 300 м и продолжал полет на этой высоте. В 2 часа ночи 5 октября дирижабль находился над северной частью Франции в районе Бове. Дул сильный юго-восточный практически [302] встречный ветер со скоростью 60 км/ч, при порывах — до 80 км/ч, который уменьшал путевую скорость дирижабля почти до 30 км/ч. Продолжал идти сильный дождь. Порывы ветра вызывали сильные продольные колебания и боковую качку корабля, что приводило к потере газа через газовые клапаны (следует отметить, что R.101 ранее никогда не летал в таких сложных погодных условиях). </w:t>
      </w:r>
    </w:p>
    <w:p w14:paraId="281657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2.05 вследствие разрыва переднего газового баллона R.101 резко опустил нос и в течение 30 секунд быстро снижался. Отрицательный дифферент усугубился перемещением газовых баллонов к корме, а также перетеканием водорода, выходившего из разрушенного баллона, в хвостовую часть дирижабля. R.101 плохо слушался рулей, тем не менее путем отклонения руля высоты удалось восстановить его горизонтальное положение. Была отдана команда на уменьшение режима работы двигателей и сброс балласта. Но практически одновременно с ней R.101 вторично опустил нос, в результате чего столкнулся с лесистым холмом. Удар был несильным вследствие невысокой скорости полета. Однако от искры, возникшей, видимо, в поврежденной электросистеме, воспламенился водород. Последовавший за этим взрыв уничтожил дирижабль. Погибло 48 человек.</w:t>
      </w:r>
    </w:p>
    <w:p w14:paraId="7C1F17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Целесообразно более подробно рассмотреть некоторые этапы постройки и испытаний R.101, поскольку это позволит выявить характерные факторы, обусловившие причины катастрофы. При постройке оказалось, что дирижабль значительно перетяжелили. Вместо ожидаемых 60 т его полезная нагрузка была близка к 35 т. Это перетяжеление во многом объяснялось использованием тяжелых дизельных двигателей, которые к тому же не могли развивать свою расчетную мощность 700 л. с. из-за возникавших при больших оборотах вибраций. Первоначально планировали установить на все двигатели винты изменяемого шага, но так как они разрушались при испытаниях на стенде, от них отказались. Взамен этого один из пяти двигателей был оборудован реверсивным винтом, привод которого дополнительно утяжелил силовую установку. В результате ее масса достигла 21 т. </w:t>
      </w:r>
    </w:p>
    <w:p w14:paraId="4FCFF2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Для облегчения дирижабля с него сняли часть оборудования, в [303] том числе проволочные сети, ограничивавшие перемещение газовых баллонов. В результате этого освобожденные от сдерживавших связей баллоны получили возможность перемещаться вперед и назад на значительное расстояние. Вместе с ними перемещался и центр подъемной силы. Поэтому R.101 стал неустойчивым в продольном направлении. Если он двигался с поднятым или опущенным носом, то при этом дифферент имел тенденцию не уменьшаться, а возрастать (по абсолютной величине). Это существенно усложняло пилотирование, и штурвальному по рулю высоты приходилось непрерывно отслеживать изменение направления дирижабля. </w:t>
      </w:r>
    </w:p>
    <w:p w14:paraId="779F76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Снятие проволочных ограничителей привело также к многочисленным повреждениям газовых баллонов. При перемещении они терлись друг о друга и об элементы конструкции, в результате в них образовывалось большое число отверстий, через которые непрерывно утекал несущий газ. </w:t>
      </w:r>
    </w:p>
    <w:p w14:paraId="3B7ED3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Утечка газа происходила и через слишком чувствительные газовые клапаны, которые регулярно открывались, несмотря на то что дирижабль в испытательных полетах не летал на высотах, где должен был происходить автоматический выпуск водорода через эти клапаны. Из-за непрерывной потери газа для уравновешивания дирижабля приходилось сбрасывать большое количество балласта. Непрочной была внешняя обшивка R. 101, которая неоднократно рвалась на больших участках. </w:t>
      </w:r>
    </w:p>
    <w:p w14:paraId="0B78B5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Что же касается испытаний дирижабля, то они проводились далеко не в полном объеме. После гибели R.38 английские специалисты в области воздухоплавания считали, что до выполнения сверхдальних перелетов дирижабли должны подвергаться 150-часовым летным испытаниям, включавшим в себя скоростные испытания и 48-часовой полет в неспокойной атмосфере. R.101 налетал только 102 часа. При этом он не выполнил 48-часовой полет и не прошел скоростные испытания. [304] </w:t>
      </w:r>
    </w:p>
    <w:p w14:paraId="30DA99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Кроме того, все эти мероприятия проводились до увеличения объема R.101. </w:t>
      </w:r>
    </w:p>
    <w:p w14:paraId="4D4A24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После введения дополнительного отсека было выполнено всего 2 полета, наиболее продолжительный из которых составил чуть более 16 часов. Причем из-за неисправности в одном из двигателей и в этом 16-часовом полете не проводились скоростные испытаний. К тому же поскольку полет проходил в спокойной атмосфере, не вызывавшей изменение положения продольной оси дирижабля и вращение дирижабля вокруг этой оси, практически невозможно было сделать заключение об устранении выявленных в предыдущих полетах недостатков, связанных с работой газовых клапанов и перемещением газовых баллонов. Несмотря на все это и не принимая во внимание неблагоприятный прогноз погоды на ближайшие несколько суток, было решено одобрить перелет в Индию. Скоростные испытания намеревались провести вскоре после отплытия из Кардингтона. Предполагалось, что в случае неудовлетворительных результатов R.101 вернется на базу. </w:t>
      </w:r>
    </w:p>
    <w:p w14:paraId="3072F7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Таким образом, основной технической причиной катастрофы явилась чрезмерная потеря газа как через поврежденный газовый баллон, так и через газовые клапаны. Были и ошибки пилотирования. Во-первых, R.101 шел на слишком малой высоте, что при имевшей место недостаточной продольной устойчивости было крайне опасно. Во-вторых, помимо снижения скорости спасительным для дирижабля мог стать своевременный сброс балласта, особенно носового, что позволило бы возвратить дирижабль в режим горизонтального полета и прекратить спуск. Но сделать это не удалось. В-третьих, практически весь носовой балласт к моменту катастрофы был израсходован. </w:t>
      </w:r>
    </w:p>
    <w:p w14:paraId="459D6F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того, в этой катастрофе большую роль сыграло форсирование старта дирижабля. Несмотря на то, что многие недостатки R.101, выявленные в процессе испытаний, так и не были устранены, полет состоялся (11324).</w:t>
      </w:r>
    </w:p>
    <w:p w14:paraId="43DAA49E" w14:textId="77777777" w:rsidR="00537E5F" w:rsidRPr="00507A31" w:rsidRDefault="00537E5F" w:rsidP="00507A31">
      <w:pPr>
        <w:autoSpaceDE w:val="0"/>
        <w:autoSpaceDN w:val="0"/>
        <w:adjustRightInd w:val="0"/>
        <w:jc w:val="both"/>
        <w:rPr>
          <w:color w:val="000000" w:themeColor="text1"/>
          <w:sz w:val="16"/>
          <w:szCs w:val="16"/>
        </w:rPr>
      </w:pPr>
    </w:p>
    <w:p w14:paraId="35EA27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октября 1930 в Бразилии из-за либеральной революции и стремлении военных помешать избранному президенту Хулио Престесу вступить в должность ввели военное положение (3481).</w:t>
      </w:r>
    </w:p>
    <w:p w14:paraId="730C6ED8" w14:textId="77777777" w:rsidR="00537E5F" w:rsidRPr="00507A31" w:rsidRDefault="00537E5F" w:rsidP="00507A31">
      <w:pPr>
        <w:autoSpaceDE w:val="0"/>
        <w:autoSpaceDN w:val="0"/>
        <w:adjustRightInd w:val="0"/>
        <w:jc w:val="both"/>
        <w:rPr>
          <w:color w:val="000000" w:themeColor="text1"/>
          <w:sz w:val="16"/>
          <w:szCs w:val="16"/>
        </w:rPr>
      </w:pPr>
    </w:p>
    <w:p w14:paraId="3F054A2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8FBAE56" w14:textId="77777777" w:rsidR="00537E5F" w:rsidRPr="00507A31" w:rsidRDefault="00537E5F" w:rsidP="00507A31">
      <w:pPr>
        <w:autoSpaceDE w:val="0"/>
        <w:autoSpaceDN w:val="0"/>
        <w:adjustRightInd w:val="0"/>
        <w:jc w:val="both"/>
        <w:rPr>
          <w:iCs/>
          <w:color w:val="000000" w:themeColor="text1"/>
          <w:sz w:val="16"/>
          <w:szCs w:val="16"/>
        </w:rPr>
      </w:pPr>
    </w:p>
    <w:p w14:paraId="7A5BFB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октября 1930 года поступил на гос. испытания в НИИ ВВС И6-ЮVI 480 (6998, 9-14).</w:t>
      </w:r>
    </w:p>
    <w:p w14:paraId="35BCD077" w14:textId="77777777" w:rsidR="00537E5F" w:rsidRPr="00507A31" w:rsidRDefault="00537E5F" w:rsidP="00507A31">
      <w:pPr>
        <w:autoSpaceDE w:val="0"/>
        <w:autoSpaceDN w:val="0"/>
        <w:adjustRightInd w:val="0"/>
        <w:jc w:val="both"/>
        <w:rPr>
          <w:color w:val="000000" w:themeColor="text1"/>
          <w:sz w:val="16"/>
          <w:szCs w:val="16"/>
        </w:rPr>
      </w:pPr>
    </w:p>
    <w:p w14:paraId="27962B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ок</w:t>
      </w:r>
      <w:r w:rsidRPr="00507A31">
        <w:rPr>
          <w:color w:val="000000" w:themeColor="text1"/>
          <w:sz w:val="16"/>
          <w:szCs w:val="16"/>
        </w:rPr>
        <w:softHyphen/>
        <w:t>тября 1930 на И-6 в НИИ ВВС выполнили первый полет. Обнаружилась недостаточно надежная работа приводов топливных на</w:t>
      </w:r>
      <w:r w:rsidRPr="00507A31">
        <w:rPr>
          <w:color w:val="000000" w:themeColor="text1"/>
          <w:sz w:val="16"/>
          <w:szCs w:val="16"/>
        </w:rPr>
        <w:softHyphen/>
        <w:t>сосов. 2 ноября 1930 г. самолет вернули на завод для пе</w:t>
      </w:r>
      <w:r w:rsidRPr="00507A31">
        <w:rPr>
          <w:color w:val="000000" w:themeColor="text1"/>
          <w:sz w:val="16"/>
          <w:szCs w:val="16"/>
        </w:rPr>
        <w:softHyphen/>
        <w:t>ределок. Затем испытания возобновились. Пилотажные свойства машины были очень хорошими. В отчете о лет</w:t>
      </w:r>
      <w:r w:rsidRPr="00507A31">
        <w:rPr>
          <w:color w:val="000000" w:themeColor="text1"/>
          <w:sz w:val="16"/>
          <w:szCs w:val="16"/>
        </w:rPr>
        <w:softHyphen/>
        <w:t>ных испытаниях, подписанном 8 декабря 1930 г., отмеча</w:t>
      </w:r>
      <w:r w:rsidRPr="00507A31">
        <w:rPr>
          <w:color w:val="000000" w:themeColor="text1"/>
          <w:sz w:val="16"/>
          <w:szCs w:val="16"/>
        </w:rPr>
        <w:softHyphen/>
        <w:t>лось: «Самолет на всех режимах устойчив... В горизонтальном полете при скорости 150 км/ч идет с от</w:t>
      </w:r>
      <w:r w:rsidRPr="00507A31">
        <w:rPr>
          <w:color w:val="000000" w:themeColor="text1"/>
          <w:sz w:val="16"/>
          <w:szCs w:val="16"/>
        </w:rPr>
        <w:softHyphen/>
        <w:t>пущенной ручкой... Ввод в штопор очень вялый, што</w:t>
      </w:r>
      <w:r w:rsidRPr="00507A31">
        <w:rPr>
          <w:color w:val="000000" w:themeColor="text1"/>
          <w:sz w:val="16"/>
          <w:szCs w:val="16"/>
        </w:rPr>
        <w:softHyphen/>
        <w:t>пор крутой, неравномерный, рывками». При взлетном весе 1480 кг И-6 развивал у земли мак</w:t>
      </w:r>
      <w:r w:rsidRPr="00507A31">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507A31">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507A31">
        <w:rPr>
          <w:color w:val="000000" w:themeColor="text1"/>
          <w:sz w:val="16"/>
          <w:szCs w:val="16"/>
        </w:rPr>
        <w:softHyphen/>
        <w:t>ный винт изменяемого шага конструкции ЦАГИ, кото</w:t>
      </w:r>
      <w:r w:rsidRPr="00507A31">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507A31">
        <w:rPr>
          <w:color w:val="000000" w:themeColor="text1"/>
          <w:sz w:val="16"/>
          <w:szCs w:val="16"/>
        </w:rPr>
        <w:softHyphen/>
        <w:t>люцию в отчете о летных испытаниях истребителя И-6: «...Самолет практической ценности для ВВС не пред</w:t>
      </w:r>
      <w:r w:rsidRPr="00507A31">
        <w:rPr>
          <w:color w:val="000000" w:themeColor="text1"/>
          <w:sz w:val="16"/>
          <w:szCs w:val="16"/>
        </w:rPr>
        <w:softHyphen/>
        <w:t>ставляет» (10667).</w:t>
      </w:r>
    </w:p>
    <w:p w14:paraId="4718C8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CD3A4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октября 1930 состоялся первый ознакоми</w:t>
      </w:r>
      <w:r w:rsidRPr="00507A31">
        <w:rPr>
          <w:color w:val="000000" w:themeColor="text1"/>
          <w:sz w:val="16"/>
          <w:szCs w:val="16"/>
        </w:rPr>
        <w:softHyphen/>
        <w:t>тельный полет 2-го И-6. Летали включительно по 29 ноября 1930 г., всего совершили 17 полетов с общим налетом 15 часов 20 минут. Провели и 4 учебных воздушных боя с И-4 и И-5. В отчете по испытаниям отмечалось, что самолет на всех режимах с закреп</w:t>
      </w:r>
      <w:r w:rsidRPr="00507A31">
        <w:rPr>
          <w:color w:val="000000" w:themeColor="text1"/>
          <w:sz w:val="16"/>
          <w:szCs w:val="16"/>
        </w:rPr>
        <w:softHyphen/>
        <w:t>ленными рулями устойчив. Ввод в што</w:t>
      </w:r>
      <w:r w:rsidRPr="00507A31">
        <w:rPr>
          <w:color w:val="000000" w:themeColor="text1"/>
          <w:sz w:val="16"/>
          <w:szCs w:val="16"/>
        </w:rPr>
        <w:softHyphen/>
        <w:t>пор вялый, тенденций к плоскому харак</w:t>
      </w:r>
      <w:r w:rsidRPr="00507A31">
        <w:rPr>
          <w:color w:val="000000" w:themeColor="text1"/>
          <w:sz w:val="16"/>
          <w:szCs w:val="16"/>
        </w:rPr>
        <w:softHyphen/>
        <w:t>теру штопора не наблюдалось. Замечен</w:t>
      </w:r>
      <w:r w:rsidRPr="00507A31">
        <w:rPr>
          <w:color w:val="000000" w:themeColor="text1"/>
          <w:sz w:val="16"/>
          <w:szCs w:val="16"/>
        </w:rPr>
        <w:softHyphen/>
        <w:t>ное биение элеронов предлагалось уст</w:t>
      </w:r>
      <w:r w:rsidRPr="00507A31">
        <w:rPr>
          <w:color w:val="000000" w:themeColor="text1"/>
          <w:sz w:val="16"/>
          <w:szCs w:val="16"/>
        </w:rPr>
        <w:softHyphen/>
        <w:t>ранить, уменьшив передаточное число в проводке управления. Обзор вниз и вбок был затруднен из-за скруглен пости фю</w:t>
      </w:r>
      <w:r w:rsidRPr="00507A31">
        <w:rPr>
          <w:color w:val="000000" w:themeColor="text1"/>
          <w:sz w:val="16"/>
          <w:szCs w:val="16"/>
        </w:rPr>
        <w:softHyphen/>
        <w:t>зеляжа и сравнительно большой шири</w:t>
      </w:r>
      <w:r w:rsidRPr="00507A31">
        <w:rPr>
          <w:color w:val="000000" w:themeColor="text1"/>
          <w:sz w:val="16"/>
          <w:szCs w:val="16"/>
        </w:rPr>
        <w:softHyphen/>
        <w:t>ны нижнего крыла. Маневренность и скороподъемность были хуже, чем у дру</w:t>
      </w:r>
      <w:r w:rsidRPr="00507A31">
        <w:rPr>
          <w:color w:val="000000" w:themeColor="text1"/>
          <w:sz w:val="16"/>
          <w:szCs w:val="16"/>
        </w:rPr>
        <w:softHyphen/>
        <w:t>гих истребителей. Главный инженер НИИ ВВС по сухо</w:t>
      </w:r>
      <w:r w:rsidRPr="00507A31">
        <w:rPr>
          <w:color w:val="000000" w:themeColor="text1"/>
          <w:sz w:val="16"/>
          <w:szCs w:val="16"/>
        </w:rPr>
        <w:softHyphen/>
        <w:t>путным самолетам Горощенко в заклю</w:t>
      </w:r>
      <w:r w:rsidRPr="00507A31">
        <w:rPr>
          <w:color w:val="000000" w:themeColor="text1"/>
          <w:sz w:val="16"/>
          <w:szCs w:val="16"/>
        </w:rPr>
        <w:softHyphen/>
        <w:t>чении по испытаниям И-6 обращался на имя Начальника ВВС: «...Согласно Вашей директиве мною в отношении этого самолета приняты следующие решения.</w:t>
      </w:r>
    </w:p>
    <w:p w14:paraId="7E4FB2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Так как самолет практической ценно</w:t>
      </w:r>
      <w:r w:rsidRPr="00507A31">
        <w:rPr>
          <w:color w:val="000000" w:themeColor="text1"/>
          <w:sz w:val="16"/>
          <w:szCs w:val="16"/>
        </w:rPr>
        <w:softHyphen/>
        <w:t>сти для ВВС не представляет, дальней</w:t>
      </w:r>
      <w:r w:rsidRPr="00507A31">
        <w:rPr>
          <w:color w:val="000000" w:themeColor="text1"/>
          <w:sz w:val="16"/>
          <w:szCs w:val="16"/>
        </w:rPr>
        <w:softHyphen/>
        <w:t>шие его испытания в НИИ не произво</w:t>
      </w:r>
      <w:r w:rsidRPr="00507A31">
        <w:rPr>
          <w:color w:val="000000" w:themeColor="text1"/>
          <w:sz w:val="16"/>
          <w:szCs w:val="16"/>
        </w:rPr>
        <w:softHyphen/>
        <w:t>дить, ограничившись заводскими испы</w:t>
      </w:r>
      <w:r w:rsidRPr="00507A31">
        <w:rPr>
          <w:color w:val="000000" w:themeColor="text1"/>
          <w:sz w:val="16"/>
          <w:szCs w:val="16"/>
        </w:rPr>
        <w:softHyphen/>
        <w:t>таниями поведения элеронов в воздухе и испытаниями вооружения. Самолет 2 ноября передан на завод №39 для устра</w:t>
      </w:r>
      <w:r w:rsidRPr="00507A31">
        <w:rPr>
          <w:color w:val="000000" w:themeColor="text1"/>
          <w:sz w:val="16"/>
          <w:szCs w:val="16"/>
        </w:rPr>
        <w:softHyphen/>
        <w:t>нения дефектов элеронов и доработки вооружения.</w:t>
      </w:r>
    </w:p>
    <w:p w14:paraId="5284FD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Построенные 2 экземпляра могут быть использованы как тренировочные или персонального использования, при</w:t>
      </w:r>
      <w:r w:rsidRPr="00507A31">
        <w:rPr>
          <w:color w:val="000000" w:themeColor="text1"/>
          <w:sz w:val="16"/>
          <w:szCs w:val="16"/>
        </w:rPr>
        <w:softHyphen/>
        <w:t>чем, ввиду отсутствия особенностей пи</w:t>
      </w:r>
      <w:r w:rsidRPr="00507A31">
        <w:rPr>
          <w:color w:val="000000" w:themeColor="text1"/>
          <w:sz w:val="16"/>
          <w:szCs w:val="16"/>
        </w:rPr>
        <w:softHyphen/>
        <w:t>лотирования, за исключением отмечен</w:t>
      </w:r>
      <w:r w:rsidRPr="00507A31">
        <w:rPr>
          <w:color w:val="000000" w:themeColor="text1"/>
          <w:sz w:val="16"/>
          <w:szCs w:val="16"/>
        </w:rPr>
        <w:softHyphen/>
        <w:t>ных в сводке, самолеты должны быть переданы непосредственно с завода, с уст</w:t>
      </w:r>
      <w:r w:rsidRPr="00507A31">
        <w:rPr>
          <w:color w:val="000000" w:themeColor="text1"/>
          <w:sz w:val="16"/>
          <w:szCs w:val="16"/>
        </w:rPr>
        <w:softHyphen/>
        <w:t>ранением отмеченных дефектов. 3. Разрешение вопроса о целесообразно</w:t>
      </w:r>
      <w:r w:rsidRPr="00507A31">
        <w:rPr>
          <w:color w:val="000000" w:themeColor="text1"/>
          <w:sz w:val="16"/>
          <w:szCs w:val="16"/>
        </w:rPr>
        <w:softHyphen/>
        <w:t>сти постройки 4-го экземпляра самолета И-6 Ю-У1 передать ВАО». (ВАО - Все</w:t>
      </w:r>
      <w:r w:rsidRPr="00507A31">
        <w:rPr>
          <w:color w:val="000000" w:themeColor="text1"/>
          <w:sz w:val="16"/>
          <w:szCs w:val="16"/>
        </w:rPr>
        <w:softHyphen/>
        <w:t>союзное авиационное объединение, ор</w:t>
      </w:r>
      <w:r w:rsidRPr="00507A31">
        <w:rPr>
          <w:color w:val="000000" w:themeColor="text1"/>
          <w:sz w:val="16"/>
          <w:szCs w:val="16"/>
        </w:rPr>
        <w:softHyphen/>
        <w:t>ганизовано на базе Авиатреста) (10729).</w:t>
      </w:r>
    </w:p>
    <w:p w14:paraId="52F222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E31090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 октября 1930 года закончились испытания представленного ВАО первого опытного экземпляра самолета И5 с четырьмя пулеметами, которые проходили с 27 сентября 1931 в НИИ ВВС и НИИ сочло, что установка вооружения и оборудования недоработаны ………………. (6943, 143).</w:t>
      </w:r>
    </w:p>
    <w:p w14:paraId="2A340B9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9AE57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октября 1930 по результатам гос. испытаний АНТ-7 (Р-6) составили спец. протокол о не устраненных ЦАГИ недостатках. Доработали машину и снова передали в НИИ ВВС, где испытывали до 17 октября 1930 (2671,13).</w:t>
      </w:r>
    </w:p>
    <w:p w14:paraId="2050952E" w14:textId="77777777" w:rsidR="00537E5F" w:rsidRPr="00507A31" w:rsidRDefault="00537E5F" w:rsidP="00507A31">
      <w:pPr>
        <w:autoSpaceDE w:val="0"/>
        <w:autoSpaceDN w:val="0"/>
        <w:adjustRightInd w:val="0"/>
        <w:jc w:val="both"/>
        <w:rPr>
          <w:color w:val="000000" w:themeColor="text1"/>
          <w:sz w:val="16"/>
          <w:szCs w:val="16"/>
        </w:rPr>
      </w:pPr>
    </w:p>
    <w:p w14:paraId="4E77CE8A" w14:textId="77777777" w:rsidR="006C205C" w:rsidRPr="00507A31" w:rsidRDefault="006C205C" w:rsidP="00507A31">
      <w:pPr>
        <w:jc w:val="both"/>
        <w:rPr>
          <w:color w:val="000000" w:themeColor="text1"/>
          <w:sz w:val="16"/>
          <w:szCs w:val="16"/>
        </w:rPr>
      </w:pPr>
      <w:r w:rsidRPr="00507A31">
        <w:rPr>
          <w:color w:val="000000" w:themeColor="text1"/>
          <w:sz w:val="16"/>
          <w:szCs w:val="16"/>
        </w:rPr>
        <w:t>5 октября 1930 г. по результатам испытаний Р-6 составили специальный протокол о неустранённых недостатках. Ряд из них ЦАГИ исправил очень быстро. Окно у летнаба продлили вниз, усилили обтекатели осей; суфлерные трубки моторов, брызгавшие маслом, вывели за капот; смонтировали новые глушители; козырёк пилотской кабины обрамили жёсткой рамкой; поставили боковое остекление - слева стекло при необходимости опускалось вниз, как у автомобиля. Чертежи усиленных моторам подготовили, но решили установить их уже на первый серийный Р-6.</w:t>
      </w:r>
    </w:p>
    <w:p w14:paraId="653B7340" w14:textId="77777777" w:rsidR="006C205C" w:rsidRPr="00507A31" w:rsidRDefault="006C205C" w:rsidP="00507A31">
      <w:pPr>
        <w:jc w:val="both"/>
        <w:rPr>
          <w:color w:val="000000" w:themeColor="text1"/>
          <w:sz w:val="16"/>
          <w:szCs w:val="16"/>
        </w:rPr>
      </w:pPr>
      <w:r w:rsidRPr="00507A31">
        <w:rPr>
          <w:color w:val="000000" w:themeColor="text1"/>
          <w:sz w:val="16"/>
          <w:szCs w:val="16"/>
        </w:rPr>
        <w:t>После этих переделок опытный образец опять попал в НИИ ВВС на дополнительные испытания, которые шли до 17 октября. На этот раз военных интересовали в первую очередь боевые возможности Р-6. На основе анализа лётных данных и пилотажных качеств машины попытались определить её роль в будущей войне. Отзывы в целом были вполне благожелательны: «хорошо пикирует при угле 60°», «сильное стрелковое вооружение», «боевой разворот выполняется просто, самолёт устойчив, нагрузки на руле нормальны» (12264).</w:t>
      </w:r>
    </w:p>
    <w:p w14:paraId="34C14667" w14:textId="77777777" w:rsidR="006C205C" w:rsidRPr="00507A31" w:rsidRDefault="006C205C" w:rsidP="00507A31">
      <w:pPr>
        <w:jc w:val="both"/>
        <w:rPr>
          <w:color w:val="000000" w:themeColor="text1"/>
          <w:sz w:val="16"/>
          <w:szCs w:val="16"/>
        </w:rPr>
      </w:pPr>
    </w:p>
    <w:p w14:paraId="75B6A3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5 октября 1930 составили специальный протокол о неустраненных недостатках. Некоторые из них в ЦАГИ исправили очень быстро. Окно у летнаба увеличили вниз, усилили обтекатели осей, суфлерные трубки моторов, брызгавшие маслом на радиаторы, вывели за капот, смонтировали новые глушители, у козырька пилотской кабины сделали жесткую рамку и поставили боковое остекление; слева стекло при необходимости опускалось вниз, как у автомобиля. Чертежи усиленных моторам подготовили, но решили поставить их уже на первом серийном Р-6.</w:t>
      </w:r>
    </w:p>
    <w:p w14:paraId="7AA493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Опытный самолет после этих переделок опять попал в НИИ ВВС на дополнительные испытания, которые шли до 17 октября. На этот раз военных больше интересовали боевые возможности "крейсера". На основе анализа летных данных и пилотажных качеств машины попытались определить ее роль в будущей войне. Отзывы в целом были вполне благожелательными: "хорошо пикирует при угле 60°", "сильное стрелковое вооружение", "боевой разворот выполняется просто, самолет устойчив, нагрузки на рули нормальны". В итоге сделали выводы, что Р-6 может быть применен как дальний разведчик, самолет сопровождения тяжелых бомбардировщиков и многоместный истребитель. В отношении последней функции возможности оказались весьма ограниченными. С одной стороны, в акте НИИ прямо записали, что как многоместный истребитель машина использована быть не может "вследствие недостаточной маневренности из-за большого полетного веса". С другой стороны, в том же документе указывается: "...может быть применен как многоместный истребитель для ведения воздушного боя на больших дистанциях с тяжелыми бомбардировочными самолетами". Короче говоря, Р-6 не мог вести маневренный бой не только с одноместными истребителями, но и со средними и легкими бомбардировщиками, и только неуклюжий тяжелый бомбовоз мог быть успешно атакован "крейсером". Но самый главный вывод по результатам дополнительных испытаний гласил: "Может быть рекомендован для постройки серии" (12036).</w:t>
      </w:r>
    </w:p>
    <w:p w14:paraId="16AA22C8" w14:textId="77777777" w:rsidR="00537E5F" w:rsidRPr="00507A31" w:rsidRDefault="00537E5F" w:rsidP="00507A31">
      <w:pPr>
        <w:autoSpaceDE w:val="0"/>
        <w:autoSpaceDN w:val="0"/>
        <w:adjustRightInd w:val="0"/>
        <w:jc w:val="both"/>
        <w:rPr>
          <w:color w:val="000000" w:themeColor="text1"/>
          <w:sz w:val="16"/>
          <w:szCs w:val="16"/>
        </w:rPr>
      </w:pPr>
    </w:p>
    <w:p w14:paraId="18050A08" w14:textId="77777777" w:rsidR="006C205C"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45E914D" w14:textId="77777777" w:rsidR="006C205C" w:rsidRPr="00507A31" w:rsidRDefault="006C205C" w:rsidP="00507A31">
      <w:pPr>
        <w:autoSpaceDE w:val="0"/>
        <w:autoSpaceDN w:val="0"/>
        <w:adjustRightInd w:val="0"/>
        <w:jc w:val="both"/>
        <w:rPr>
          <w:iCs/>
          <w:color w:val="000000" w:themeColor="text1"/>
          <w:sz w:val="16"/>
          <w:szCs w:val="16"/>
        </w:rPr>
      </w:pPr>
    </w:p>
    <w:p w14:paraId="0AF8F9E3" w14:textId="77777777" w:rsidR="006C205C" w:rsidRPr="00507A31" w:rsidRDefault="006C205C" w:rsidP="00507A31">
      <w:pPr>
        <w:jc w:val="both"/>
        <w:rPr>
          <w:color w:val="000000" w:themeColor="text1"/>
          <w:sz w:val="16"/>
          <w:szCs w:val="16"/>
          <w:u w:color="002060"/>
        </w:rPr>
      </w:pPr>
      <w:r w:rsidRPr="00507A31">
        <w:rPr>
          <w:color w:val="000000" w:themeColor="text1"/>
          <w:sz w:val="16"/>
          <w:szCs w:val="16"/>
          <w:u w:color="002060"/>
        </w:rPr>
        <w:t>5 октября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10. Решения ПБ от 30 сентября 1930 г. 16/21. О заказах военведа ВЭО (ПБ от 20 августа 1930 г., пр. № 5, п. 9/17). 44/62. О Сталинградском тракторном заводе (ПБ от 25 сентября 1930 г., пр. № 10, п. 4). (Политбюро... Т. 2. С. 85, 86) (12416).</w:t>
      </w:r>
    </w:p>
    <w:p w14:paraId="0C9734D0" w14:textId="77777777" w:rsidR="006C205C" w:rsidRPr="00507A31" w:rsidRDefault="006C205C" w:rsidP="00507A31">
      <w:pPr>
        <w:jc w:val="both"/>
        <w:rPr>
          <w:color w:val="000000" w:themeColor="text1"/>
          <w:sz w:val="16"/>
          <w:szCs w:val="16"/>
          <w:u w:color="002060"/>
        </w:rPr>
      </w:pPr>
    </w:p>
    <w:p w14:paraId="68030E81" w14:textId="77777777" w:rsidR="00C91E54" w:rsidRPr="00507A31" w:rsidRDefault="00C91E54" w:rsidP="00507A31">
      <w:pPr>
        <w:jc w:val="both"/>
        <w:rPr>
          <w:color w:val="0070C0"/>
          <w:sz w:val="16"/>
          <w:szCs w:val="16"/>
        </w:rPr>
      </w:pPr>
      <w:r w:rsidRPr="00507A31">
        <w:rPr>
          <w:color w:val="0070C0"/>
          <w:sz w:val="16"/>
          <w:szCs w:val="16"/>
        </w:rPr>
        <w:t>5 октября 1930 состоялось заседание ПБ (Протокол № 11)</w:t>
      </w:r>
    </w:p>
    <w:p w14:paraId="5850684B" w14:textId="77777777" w:rsidR="00C91E54" w:rsidRPr="00507A31" w:rsidRDefault="00C91E54" w:rsidP="00507A31">
      <w:pPr>
        <w:jc w:val="both"/>
        <w:rPr>
          <w:color w:val="0070C0"/>
          <w:sz w:val="16"/>
          <w:szCs w:val="16"/>
        </w:rPr>
      </w:pPr>
      <w:r w:rsidRPr="00507A31">
        <w:rPr>
          <w:color w:val="0070C0"/>
          <w:sz w:val="16"/>
          <w:szCs w:val="16"/>
        </w:rPr>
        <w:t>30 сентября 1930 опросом членов ПБ</w:t>
      </w:r>
    </w:p>
    <w:p w14:paraId="1FBDE1A3" w14:textId="77777777" w:rsidR="00C91E54" w:rsidRPr="00507A31" w:rsidRDefault="00C91E54" w:rsidP="00507A31">
      <w:pPr>
        <w:jc w:val="both"/>
        <w:rPr>
          <w:color w:val="0070C0"/>
          <w:sz w:val="16"/>
          <w:szCs w:val="16"/>
        </w:rPr>
      </w:pPr>
      <w:r w:rsidRPr="00507A31">
        <w:rPr>
          <w:color w:val="0070C0"/>
          <w:sz w:val="16"/>
          <w:szCs w:val="16"/>
        </w:rPr>
        <w:t>14. О Каучуке и цветных металлах.</w:t>
      </w:r>
    </w:p>
    <w:p w14:paraId="5285DC44" w14:textId="77777777" w:rsidR="00C91E54" w:rsidRPr="00507A31" w:rsidRDefault="00C91E54" w:rsidP="00507A31">
      <w:pPr>
        <w:jc w:val="both"/>
        <w:rPr>
          <w:color w:val="0070C0"/>
          <w:sz w:val="16"/>
          <w:szCs w:val="16"/>
        </w:rPr>
      </w:pPr>
      <w:r w:rsidRPr="00507A31">
        <w:rPr>
          <w:color w:val="0070C0"/>
          <w:sz w:val="16"/>
          <w:szCs w:val="16"/>
        </w:rPr>
        <w:t>(ПБ от 25.1Х.30 г., пр. № 10, п. 13)</w:t>
      </w:r>
    </w:p>
    <w:p w14:paraId="7460036D" w14:textId="77777777" w:rsidR="00C91E54" w:rsidRPr="00507A31" w:rsidRDefault="00C91E54" w:rsidP="00507A31">
      <w:pPr>
        <w:jc w:val="both"/>
        <w:rPr>
          <w:color w:val="0070C0"/>
          <w:sz w:val="16"/>
          <w:szCs w:val="16"/>
        </w:rPr>
      </w:pPr>
      <w:r w:rsidRPr="00507A31">
        <w:rPr>
          <w:color w:val="0070C0"/>
          <w:sz w:val="16"/>
          <w:szCs w:val="16"/>
        </w:rPr>
        <w:t>(т.т. Микоян, Фушман).</w:t>
      </w:r>
    </w:p>
    <w:p w14:paraId="22706DED" w14:textId="77777777" w:rsidR="00C91E54" w:rsidRPr="00507A31" w:rsidRDefault="00C91E54" w:rsidP="00507A31">
      <w:pPr>
        <w:jc w:val="both"/>
        <w:rPr>
          <w:color w:val="0070C0"/>
          <w:sz w:val="16"/>
          <w:szCs w:val="16"/>
        </w:rPr>
      </w:pPr>
      <w:r w:rsidRPr="00507A31">
        <w:rPr>
          <w:color w:val="0070C0"/>
          <w:sz w:val="16"/>
          <w:szCs w:val="16"/>
        </w:rPr>
        <w:t>а) Разрешить Наркомторгу использовать мировую конъюнктуру и закупить по ценам не выше сегодняшних (450 руб.-тон</w:t>
      </w:r>
      <w:r w:rsidRPr="00507A31">
        <w:rPr>
          <w:color w:val="0070C0"/>
          <w:sz w:val="16"/>
          <w:szCs w:val="16"/>
        </w:rPr>
        <w:softHyphen/>
        <w:t>на меди и 365 руб. тонна каучука) на 5 мил. рубл. меди и на 5 мил. Руб. каучука.</w:t>
      </w:r>
    </w:p>
    <w:p w14:paraId="4E35E45B" w14:textId="77777777" w:rsidR="00C91E54" w:rsidRPr="00507A31" w:rsidRDefault="00C91E54" w:rsidP="00507A31">
      <w:pPr>
        <w:jc w:val="both"/>
        <w:rPr>
          <w:color w:val="0070C0"/>
          <w:sz w:val="16"/>
          <w:szCs w:val="16"/>
        </w:rPr>
      </w:pPr>
      <w:r w:rsidRPr="00507A31">
        <w:rPr>
          <w:color w:val="0070C0"/>
          <w:sz w:val="16"/>
          <w:szCs w:val="16"/>
        </w:rPr>
        <w:t>б) Поручить HКTоpгy доложить Политбюро 15 октября о ходе закупок меди и каучука и о дальнейших перспективах в этой области.</w:t>
      </w:r>
    </w:p>
    <w:p w14:paraId="048646F0" w14:textId="77777777" w:rsidR="00C91E54" w:rsidRPr="00507A31" w:rsidRDefault="00C91E54" w:rsidP="00507A31">
      <w:pPr>
        <w:jc w:val="both"/>
        <w:rPr>
          <w:color w:val="0070C0"/>
          <w:sz w:val="16"/>
          <w:szCs w:val="16"/>
        </w:rPr>
      </w:pPr>
      <w:r w:rsidRPr="00507A31">
        <w:rPr>
          <w:color w:val="0070C0"/>
          <w:sz w:val="16"/>
          <w:szCs w:val="16"/>
        </w:rPr>
        <w:t>Выписка послана: т. Микояну.</w:t>
      </w:r>
    </w:p>
    <w:p w14:paraId="2E5C0A6E" w14:textId="77777777" w:rsidR="00C91E54" w:rsidRPr="00507A31" w:rsidRDefault="00C91E54" w:rsidP="00507A31">
      <w:pPr>
        <w:jc w:val="both"/>
        <w:rPr>
          <w:color w:val="0070C0"/>
          <w:sz w:val="16"/>
          <w:szCs w:val="16"/>
        </w:rPr>
      </w:pPr>
      <w:r w:rsidRPr="00507A31">
        <w:rPr>
          <w:color w:val="0070C0"/>
          <w:sz w:val="16"/>
          <w:szCs w:val="16"/>
        </w:rPr>
        <w:t>34.-О переговорах с Фордом и Джеисраль Моторс.</w:t>
      </w:r>
    </w:p>
    <w:p w14:paraId="1C08DC01" w14:textId="77777777" w:rsidR="00C91E54" w:rsidRPr="00507A31" w:rsidRDefault="00C91E54" w:rsidP="00507A31">
      <w:pPr>
        <w:jc w:val="both"/>
        <w:rPr>
          <w:color w:val="0070C0"/>
          <w:sz w:val="16"/>
          <w:szCs w:val="16"/>
        </w:rPr>
      </w:pPr>
      <w:r w:rsidRPr="00507A31">
        <w:rPr>
          <w:color w:val="0070C0"/>
          <w:sz w:val="16"/>
          <w:szCs w:val="16"/>
        </w:rPr>
        <w:t>(т.т. Осинский ,Ворошилов, Микоян, Рыков) .</w:t>
      </w:r>
    </w:p>
    <w:p w14:paraId="1AECD521" w14:textId="77777777" w:rsidR="00C91E54" w:rsidRPr="00507A31" w:rsidRDefault="00C91E54" w:rsidP="00507A31">
      <w:pPr>
        <w:jc w:val="both"/>
        <w:rPr>
          <w:color w:val="0070C0"/>
          <w:sz w:val="16"/>
          <w:szCs w:val="16"/>
        </w:rPr>
      </w:pPr>
      <w:r w:rsidRPr="00507A31">
        <w:rPr>
          <w:color w:val="0070C0"/>
          <w:sz w:val="16"/>
          <w:szCs w:val="16"/>
        </w:rPr>
        <w:t>а) Предложения представителя Дженераль—Моторс отвергнуть.</w:t>
      </w:r>
    </w:p>
    <w:p w14:paraId="0AB90066" w14:textId="77777777" w:rsidR="00C91E54" w:rsidRPr="00507A31" w:rsidRDefault="00C91E54" w:rsidP="00507A31">
      <w:pPr>
        <w:jc w:val="both"/>
        <w:rPr>
          <w:color w:val="0070C0"/>
          <w:sz w:val="16"/>
          <w:szCs w:val="16"/>
        </w:rPr>
      </w:pPr>
      <w:r w:rsidRPr="00507A31">
        <w:rPr>
          <w:color w:val="0070C0"/>
          <w:sz w:val="16"/>
          <w:szCs w:val="16"/>
        </w:rPr>
        <w:t>б) Указать т. Осинскому, что переговоры с этими представителями возможны только по вопросу об организации авто</w:t>
      </w:r>
      <w:r w:rsidRPr="00507A31">
        <w:rPr>
          <w:color w:val="0070C0"/>
          <w:sz w:val="16"/>
          <w:szCs w:val="16"/>
        </w:rPr>
        <w:softHyphen/>
        <w:t>строения внутри СССР.</w:t>
      </w:r>
    </w:p>
    <w:p w14:paraId="7650FF60" w14:textId="77777777" w:rsidR="00C91E54" w:rsidRPr="00507A31" w:rsidRDefault="00C91E54" w:rsidP="00507A31">
      <w:pPr>
        <w:jc w:val="both"/>
        <w:rPr>
          <w:color w:val="0070C0"/>
          <w:sz w:val="16"/>
          <w:szCs w:val="16"/>
        </w:rPr>
      </w:pPr>
      <w:r w:rsidRPr="00507A31">
        <w:rPr>
          <w:color w:val="0070C0"/>
          <w:sz w:val="16"/>
          <w:szCs w:val="16"/>
        </w:rPr>
        <w:t>Выписки посланы: т.т. Осинскому, Микояну (21117).</w:t>
      </w:r>
    </w:p>
    <w:p w14:paraId="1C61FA2B" w14:textId="77777777" w:rsidR="00C91E54" w:rsidRPr="00507A31" w:rsidRDefault="00C91E54" w:rsidP="00507A31">
      <w:pPr>
        <w:jc w:val="both"/>
        <w:rPr>
          <w:color w:val="0070C0"/>
          <w:sz w:val="16"/>
          <w:szCs w:val="16"/>
        </w:rPr>
      </w:pPr>
    </w:p>
    <w:p w14:paraId="1FD1BDA5" w14:textId="77777777" w:rsidR="006C205C" w:rsidRPr="00507A31" w:rsidRDefault="006C205C" w:rsidP="00507A31">
      <w:pPr>
        <w:jc w:val="both"/>
        <w:rPr>
          <w:color w:val="000000" w:themeColor="text1"/>
          <w:sz w:val="16"/>
          <w:szCs w:val="16"/>
          <w:u w:color="002060"/>
        </w:rPr>
      </w:pPr>
      <w:r w:rsidRPr="00507A31">
        <w:rPr>
          <w:color w:val="000000" w:themeColor="text1"/>
          <w:sz w:val="16"/>
          <w:szCs w:val="16"/>
          <w:u w:color="002060"/>
        </w:rPr>
        <w:t>5 октября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об ассигновании военной промышленности на октябрь-декабрь 1930 г. (ГА РФ. Ф. Р?8418. Оп. 4. Д. 223. Л. 1?2) (12415).</w:t>
      </w:r>
    </w:p>
    <w:p w14:paraId="4C65319E" w14:textId="77777777" w:rsidR="006C205C" w:rsidRPr="00507A31" w:rsidRDefault="006C205C" w:rsidP="00507A31">
      <w:pPr>
        <w:jc w:val="both"/>
        <w:rPr>
          <w:color w:val="000000" w:themeColor="text1"/>
          <w:sz w:val="16"/>
          <w:szCs w:val="16"/>
          <w:u w:color="002060"/>
        </w:rPr>
      </w:pPr>
    </w:p>
    <w:p w14:paraId="612D4999" w14:textId="77777777" w:rsidR="00AA5059" w:rsidRPr="00507A31" w:rsidRDefault="00AA5059"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16D4C33" w14:textId="77777777" w:rsidR="00AA5059" w:rsidRPr="00507A31" w:rsidRDefault="00AA5059" w:rsidP="00507A31">
      <w:pPr>
        <w:autoSpaceDE w:val="0"/>
        <w:autoSpaceDN w:val="0"/>
        <w:adjustRightInd w:val="0"/>
        <w:jc w:val="both"/>
        <w:rPr>
          <w:iCs/>
          <w:color w:val="000000" w:themeColor="text1"/>
          <w:sz w:val="16"/>
          <w:szCs w:val="16"/>
        </w:rPr>
      </w:pPr>
    </w:p>
    <w:p w14:paraId="7910FD4B" w14:textId="77777777" w:rsidR="00AA5059" w:rsidRPr="00507A31" w:rsidRDefault="00AA5059" w:rsidP="00507A31">
      <w:pPr>
        <w:jc w:val="both"/>
        <w:rPr>
          <w:color w:val="000000" w:themeColor="text1"/>
          <w:sz w:val="16"/>
          <w:szCs w:val="16"/>
        </w:rPr>
      </w:pPr>
      <w:r w:rsidRPr="00507A31">
        <w:rPr>
          <w:color w:val="000000" w:themeColor="text1"/>
          <w:sz w:val="16"/>
          <w:szCs w:val="16"/>
        </w:rPr>
        <w:t>5 октября 1930</w:t>
      </w:r>
    </w:p>
    <w:p w14:paraId="1BD20C00" w14:textId="77777777" w:rsidR="00AA5059" w:rsidRPr="00507A31" w:rsidRDefault="00AA5059" w:rsidP="00507A31">
      <w:pPr>
        <w:jc w:val="both"/>
        <w:rPr>
          <w:color w:val="000000" w:themeColor="text1"/>
          <w:sz w:val="16"/>
          <w:szCs w:val="16"/>
        </w:rPr>
      </w:pPr>
      <w:r w:rsidRPr="00507A31">
        <w:rPr>
          <w:color w:val="000000" w:themeColor="text1"/>
          <w:sz w:val="16"/>
          <w:szCs w:val="16"/>
        </w:rPr>
        <w:t>Протокол № 11 от 5-го октября 1930 г.</w:t>
      </w:r>
    </w:p>
    <w:p w14:paraId="64232940" w14:textId="77777777" w:rsidR="00AA5059" w:rsidRPr="00507A31" w:rsidRDefault="00AA5059" w:rsidP="00507A31">
      <w:pPr>
        <w:jc w:val="both"/>
        <w:rPr>
          <w:color w:val="000000" w:themeColor="text1"/>
          <w:sz w:val="16"/>
          <w:szCs w:val="16"/>
        </w:rPr>
      </w:pPr>
      <w:r w:rsidRPr="00507A31">
        <w:rPr>
          <w:color w:val="000000" w:themeColor="text1"/>
          <w:sz w:val="16"/>
          <w:szCs w:val="16"/>
        </w:rPr>
        <w:t>Заседание Политбюро ЦК ВКП(б) от 5-го октября 1930 г.</w:t>
      </w:r>
    </w:p>
    <w:p w14:paraId="33F26081" w14:textId="77777777" w:rsidR="00AA5059" w:rsidRPr="00507A31" w:rsidRDefault="00AA5059" w:rsidP="00507A31">
      <w:pPr>
        <w:jc w:val="both"/>
        <w:rPr>
          <w:color w:val="000000" w:themeColor="text1"/>
          <w:sz w:val="16"/>
          <w:szCs w:val="16"/>
        </w:rPr>
      </w:pPr>
      <w:r w:rsidRPr="00507A31">
        <w:rPr>
          <w:color w:val="000000" w:themeColor="text1"/>
          <w:sz w:val="16"/>
          <w:szCs w:val="16"/>
        </w:rPr>
        <w:t>п. 75/75: О “Декаде Обороны”</w:t>
      </w:r>
    </w:p>
    <w:p w14:paraId="746D100C" w14:textId="77777777" w:rsidR="00AA5059" w:rsidRPr="00507A31" w:rsidRDefault="00AA5059" w:rsidP="00507A31">
      <w:pPr>
        <w:jc w:val="both"/>
        <w:rPr>
          <w:color w:val="000000" w:themeColor="text1"/>
          <w:sz w:val="16"/>
          <w:szCs w:val="16"/>
        </w:rPr>
      </w:pPr>
      <w:r w:rsidRPr="00507A31">
        <w:rPr>
          <w:color w:val="000000" w:themeColor="text1"/>
          <w:sz w:val="16"/>
          <w:szCs w:val="16"/>
        </w:rPr>
        <w:t>(ОБ от 3.X.30 г., пр. № 17, п. 2</w:t>
      </w:r>
      <w:r w:rsidRPr="00507A31">
        <w:rPr>
          <w:color w:val="000000" w:themeColor="text1"/>
          <w:sz w:val="16"/>
          <w:szCs w:val="16"/>
        </w:rPr>
        <w:noBreakHyphen/>
        <w:t>гс).</w:t>
      </w:r>
    </w:p>
    <w:p w14:paraId="170D9EBD" w14:textId="77777777" w:rsidR="00AA5059" w:rsidRPr="00507A31" w:rsidRDefault="00AA5059" w:rsidP="00507A31">
      <w:pPr>
        <w:jc w:val="both"/>
        <w:rPr>
          <w:color w:val="000000" w:themeColor="text1"/>
          <w:sz w:val="16"/>
          <w:szCs w:val="16"/>
        </w:rPr>
      </w:pPr>
      <w:r w:rsidRPr="00507A31">
        <w:rPr>
          <w:color w:val="000000" w:themeColor="text1"/>
          <w:sz w:val="16"/>
          <w:szCs w:val="16"/>
        </w:rPr>
        <w:t>а) Согласиться с предложением Реввоенсовете и Осоавиахима о проведении “Декады Обороны” в связи с 10</w:t>
      </w:r>
      <w:r w:rsidRPr="00507A31">
        <w:rPr>
          <w:color w:val="000000" w:themeColor="text1"/>
          <w:sz w:val="16"/>
          <w:szCs w:val="16"/>
        </w:rPr>
        <w:noBreakHyphen/>
        <w:t>й годовщиной ликвидации основных фронтов гражданской войны и империалистической интервенции.</w:t>
      </w:r>
    </w:p>
    <w:p w14:paraId="008F6E3D" w14:textId="77777777" w:rsidR="00AA5059" w:rsidRPr="00507A31" w:rsidRDefault="00AA5059" w:rsidP="00507A31">
      <w:pPr>
        <w:jc w:val="both"/>
        <w:rPr>
          <w:color w:val="000000" w:themeColor="text1"/>
          <w:sz w:val="16"/>
          <w:szCs w:val="16"/>
        </w:rPr>
      </w:pPr>
      <w:r w:rsidRPr="00507A31">
        <w:rPr>
          <w:color w:val="000000" w:themeColor="text1"/>
          <w:sz w:val="16"/>
          <w:szCs w:val="16"/>
        </w:rPr>
        <w:t>б) Основными задачами “Декады Обороны” установить:</w:t>
      </w:r>
    </w:p>
    <w:p w14:paraId="1984C8C5" w14:textId="77777777" w:rsidR="00AA5059" w:rsidRPr="00507A31" w:rsidRDefault="00AA5059" w:rsidP="00507A31">
      <w:pPr>
        <w:jc w:val="both"/>
        <w:rPr>
          <w:color w:val="000000" w:themeColor="text1"/>
          <w:sz w:val="16"/>
          <w:szCs w:val="16"/>
        </w:rPr>
      </w:pPr>
      <w:r w:rsidRPr="00507A31">
        <w:rPr>
          <w:color w:val="000000" w:themeColor="text1"/>
          <w:sz w:val="16"/>
          <w:szCs w:val="16"/>
        </w:rPr>
        <w:t>1. Широкая пропаганда решений XVI съезда ВКП(б) по вопросам обороны страны и мобилизация рабочего класса и трудящихся масс на выполнение задач индустриализации страны и проведения сплошной коллективизации, как основы укрепления обороноспособности СССР.</w:t>
      </w:r>
    </w:p>
    <w:p w14:paraId="1616E04C" w14:textId="77777777" w:rsidR="00AA5059" w:rsidRPr="00507A31" w:rsidRDefault="00AA5059" w:rsidP="00507A31">
      <w:pPr>
        <w:jc w:val="both"/>
        <w:rPr>
          <w:color w:val="000000" w:themeColor="text1"/>
          <w:sz w:val="16"/>
          <w:szCs w:val="16"/>
        </w:rPr>
      </w:pPr>
      <w:r w:rsidRPr="00507A31">
        <w:rPr>
          <w:color w:val="000000" w:themeColor="text1"/>
          <w:sz w:val="16"/>
          <w:szCs w:val="16"/>
        </w:rPr>
        <w:t>2. Освещение перед рабочим классом и трудящимися СССР, особенно перед пролетарской молодежью, героического прошлого гражданской войны.</w:t>
      </w:r>
    </w:p>
    <w:p w14:paraId="06A78177" w14:textId="77777777" w:rsidR="00AA5059" w:rsidRPr="00507A31" w:rsidRDefault="00AA5059" w:rsidP="00507A31">
      <w:pPr>
        <w:jc w:val="both"/>
        <w:rPr>
          <w:color w:val="000000" w:themeColor="text1"/>
          <w:sz w:val="16"/>
          <w:szCs w:val="16"/>
        </w:rPr>
      </w:pPr>
      <w:r w:rsidRPr="00507A31">
        <w:rPr>
          <w:color w:val="000000" w:themeColor="text1"/>
          <w:sz w:val="16"/>
          <w:szCs w:val="16"/>
        </w:rPr>
        <w:t>3. Дальнейшее укрепление связи рабочих с частями РККА и пролетарского влияния на нее, а также установление связи частей Краской армии с колхозами.</w:t>
      </w:r>
    </w:p>
    <w:p w14:paraId="631E76C0" w14:textId="77777777" w:rsidR="00AA5059" w:rsidRPr="00507A31" w:rsidRDefault="00AA5059" w:rsidP="00507A31">
      <w:pPr>
        <w:jc w:val="both"/>
        <w:rPr>
          <w:color w:val="000000" w:themeColor="text1"/>
          <w:sz w:val="16"/>
          <w:szCs w:val="16"/>
        </w:rPr>
      </w:pPr>
      <w:r w:rsidRPr="00507A31">
        <w:rPr>
          <w:color w:val="000000" w:themeColor="text1"/>
          <w:sz w:val="16"/>
          <w:szCs w:val="16"/>
        </w:rPr>
        <w:t>4. Привлечение внимания трудящихся к вопросам строительства гражданской авиации и дирижаблестроению, механизации и моторизации РККА.</w:t>
      </w:r>
    </w:p>
    <w:p w14:paraId="22BE9502" w14:textId="77777777" w:rsidR="00AA5059" w:rsidRPr="00507A31" w:rsidRDefault="00AA5059" w:rsidP="00507A31">
      <w:pPr>
        <w:jc w:val="both"/>
        <w:rPr>
          <w:color w:val="000000" w:themeColor="text1"/>
          <w:sz w:val="16"/>
          <w:szCs w:val="16"/>
        </w:rPr>
      </w:pPr>
      <w:r w:rsidRPr="00507A31">
        <w:rPr>
          <w:color w:val="000000" w:themeColor="text1"/>
          <w:sz w:val="16"/>
          <w:szCs w:val="16"/>
        </w:rPr>
        <w:t>5. Укрепление организаций Осоавиахима (кадры, рост, материальная база и  др.).</w:t>
      </w:r>
    </w:p>
    <w:p w14:paraId="04672314" w14:textId="77777777" w:rsidR="00AA5059" w:rsidRPr="00507A31" w:rsidRDefault="00AA5059" w:rsidP="00507A31">
      <w:pPr>
        <w:jc w:val="both"/>
        <w:rPr>
          <w:color w:val="000000" w:themeColor="text1"/>
          <w:sz w:val="16"/>
          <w:szCs w:val="16"/>
        </w:rPr>
      </w:pPr>
      <w:r w:rsidRPr="00507A31">
        <w:rPr>
          <w:color w:val="000000" w:themeColor="text1"/>
          <w:sz w:val="16"/>
          <w:szCs w:val="16"/>
        </w:rPr>
        <w:t>в) При проведении “Декады Обороны” отметить, в связи с исполняющейся 5</w:t>
      </w:r>
      <w:r w:rsidRPr="00507A31">
        <w:rPr>
          <w:color w:val="000000" w:themeColor="text1"/>
          <w:sz w:val="16"/>
          <w:szCs w:val="16"/>
        </w:rPr>
        <w:noBreakHyphen/>
        <w:t>й годовщиной смерти М. В. Фрунзе, его роль в гражданской войне и укреплении обороны страны.</w:t>
      </w:r>
    </w:p>
    <w:p w14:paraId="03B97655" w14:textId="77777777" w:rsidR="00AA5059" w:rsidRPr="00507A31" w:rsidRDefault="00AA5059" w:rsidP="00507A31">
      <w:pPr>
        <w:jc w:val="both"/>
        <w:rPr>
          <w:color w:val="000000" w:themeColor="text1"/>
          <w:sz w:val="16"/>
          <w:szCs w:val="16"/>
        </w:rPr>
      </w:pPr>
      <w:r w:rsidRPr="00507A31">
        <w:rPr>
          <w:color w:val="000000" w:themeColor="text1"/>
          <w:sz w:val="16"/>
          <w:szCs w:val="16"/>
        </w:rPr>
        <w:t>г) Провести “Декаду Обороны” между 15 (день окончательного разгрома Врангеля) и 25 ноября.</w:t>
      </w:r>
    </w:p>
    <w:p w14:paraId="7CFD59F7" w14:textId="77777777" w:rsidR="00AA5059" w:rsidRPr="00507A31" w:rsidRDefault="00AA5059" w:rsidP="00507A31">
      <w:pPr>
        <w:jc w:val="both"/>
        <w:rPr>
          <w:color w:val="000000" w:themeColor="text1"/>
          <w:sz w:val="16"/>
          <w:szCs w:val="16"/>
        </w:rPr>
      </w:pPr>
      <w:r w:rsidRPr="00507A31">
        <w:rPr>
          <w:color w:val="000000" w:themeColor="text1"/>
          <w:sz w:val="16"/>
          <w:szCs w:val="16"/>
        </w:rPr>
        <w:t>д) Для руководства проведением “Декады Обороны” создать при Ц.С. Осоавиахима СССР комиссию с участием представителей Агитмассового отдела ЦК, ВЦСПС, ПУР'а и ЦК ВЛКСМ.</w:t>
      </w:r>
    </w:p>
    <w:p w14:paraId="1E7156B0" w14:textId="77777777" w:rsidR="00AA5059" w:rsidRPr="00507A31" w:rsidRDefault="00AA5059" w:rsidP="00507A31">
      <w:pPr>
        <w:jc w:val="both"/>
        <w:rPr>
          <w:color w:val="000000" w:themeColor="text1"/>
          <w:sz w:val="16"/>
          <w:szCs w:val="16"/>
        </w:rPr>
      </w:pPr>
    </w:p>
    <w:p w14:paraId="7D175E7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48F4AAE" w14:textId="77777777" w:rsidR="00537E5F" w:rsidRPr="00507A31" w:rsidRDefault="00537E5F" w:rsidP="00507A31">
      <w:pPr>
        <w:autoSpaceDE w:val="0"/>
        <w:autoSpaceDN w:val="0"/>
        <w:adjustRightInd w:val="0"/>
        <w:jc w:val="both"/>
        <w:rPr>
          <w:iCs/>
          <w:color w:val="000000" w:themeColor="text1"/>
          <w:sz w:val="16"/>
          <w:szCs w:val="16"/>
        </w:rPr>
      </w:pPr>
    </w:p>
    <w:p w14:paraId="0830B414" w14:textId="77777777" w:rsidR="00CD4949" w:rsidRPr="00507A31" w:rsidRDefault="00CD4949" w:rsidP="00507A31">
      <w:pPr>
        <w:jc w:val="both"/>
        <w:rPr>
          <w:color w:val="000000" w:themeColor="text1"/>
          <w:sz w:val="16"/>
          <w:szCs w:val="16"/>
        </w:rPr>
      </w:pPr>
      <w:r w:rsidRPr="00507A31">
        <w:rPr>
          <w:color w:val="000000" w:themeColor="text1"/>
          <w:sz w:val="16"/>
          <w:szCs w:val="16"/>
        </w:rPr>
        <w:t>5 октября в 1930 году около 02:00, неподалеку от Бовэ, Франция. Дирижабль «Royal Airship Works» «R-101» компании «Air Council» выполняет свой первый рейс из Кардингтона (графство Бедфоршир, Англия) в Карачи (Пакистан). В первую ночь полета во время бури он внезапно идет носом вниз, затем на короткое время выравнивается, затем снова начинает пикировать, сталкивается с землей и сгорает. Из 54 человек на борту погибают 48 (включая лорда Томсона, государственного секретаря по авиации, и генерал-майора сэра Сэфтона Бранкера, директора гражданской авиации). Приготовления к полету по политическим причанам делались в спешке, и дирижабль не прошел полноскоростных испытаний. Скорее всего, во время сильного ветра с дождем разорвалась передняя часть оболочки, так что два газовых баллона одновременно были порваны. Сброс балласта помог поднять нос, но только по той причине, что сохранялась аэродинамическая подъемная сила. Когда скорость дирижабля была снижена (что было сделано чтобы сохранить оставшиеся баллоны), нос снова опустился к земле. Эта катастрофа положила конец строительству в Великобритании больших пассажирских дирижаблей. R-101 был крупнейшим британским дирижаблем: его длина достигала 236,8 метра, объем - 155995 куб.м (14790).</w:t>
      </w:r>
    </w:p>
    <w:p w14:paraId="4F7925F4" w14:textId="77777777" w:rsidR="00CD4949" w:rsidRPr="00507A31" w:rsidRDefault="00CD4949" w:rsidP="00507A31">
      <w:pPr>
        <w:jc w:val="both"/>
        <w:rPr>
          <w:color w:val="000000" w:themeColor="text1"/>
          <w:sz w:val="16"/>
          <w:szCs w:val="16"/>
        </w:rPr>
      </w:pPr>
    </w:p>
    <w:p w14:paraId="75B1CE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октября 1930 недалеко от Бовэ во Франции потерпел катастрофу английский дирижабль R-101 компании Air Concil, который выполнял первый рейс из Кардингтона в Карачи (Пакистан). Эта катастрофа закончила эру строительства больших дирижаблей в Англии (3481).</w:t>
      </w:r>
    </w:p>
    <w:p w14:paraId="4149A5DC" w14:textId="77777777" w:rsidR="00537E5F" w:rsidRPr="00507A31" w:rsidRDefault="00537E5F" w:rsidP="00507A31">
      <w:pPr>
        <w:autoSpaceDE w:val="0"/>
        <w:autoSpaceDN w:val="0"/>
        <w:adjustRightInd w:val="0"/>
        <w:jc w:val="both"/>
        <w:rPr>
          <w:color w:val="000000" w:themeColor="text1"/>
          <w:sz w:val="16"/>
          <w:szCs w:val="16"/>
        </w:rPr>
      </w:pPr>
    </w:p>
    <w:p w14:paraId="416CB679" w14:textId="77777777" w:rsidR="00DA1AA9" w:rsidRPr="00507A31" w:rsidRDefault="00DA1AA9" w:rsidP="00507A31">
      <w:pPr>
        <w:pStyle w:val="a3"/>
        <w:autoSpaceDE/>
        <w:autoSpaceDN/>
        <w:adjustRightInd/>
        <w:rPr>
          <w:color w:val="000000" w:themeColor="text1"/>
          <w:lang w:val="ru-RU"/>
        </w:rPr>
      </w:pPr>
      <w:r w:rsidRPr="00507A31">
        <w:rPr>
          <w:color w:val="000000" w:themeColor="text1"/>
          <w:lang w:val="ru-RU"/>
        </w:rPr>
        <w:t>5 октября 1930 г. над Северной Фран</w:t>
      </w:r>
      <w:r w:rsidRPr="00507A31">
        <w:rPr>
          <w:color w:val="000000" w:themeColor="text1"/>
          <w:lang w:val="ru-RU"/>
        </w:rPr>
        <w:softHyphen/>
        <w:t>цией разбился английский дирижабль В 101 (объем - 141000 м</w:t>
      </w:r>
      <w:r w:rsidRPr="00507A31">
        <w:rPr>
          <w:color w:val="000000" w:themeColor="text1"/>
          <w:vertAlign w:val="superscript"/>
          <w:lang w:val="ru-RU"/>
        </w:rPr>
        <w:t>3</w:t>
      </w:r>
      <w:r w:rsidRPr="00507A31">
        <w:rPr>
          <w:color w:val="000000" w:themeColor="text1"/>
          <w:lang w:val="ru-RU"/>
        </w:rPr>
        <w:t>, длина - 220 м, мощность моторов - 3250 л.е.). Погибли 48 человек из 54, находившихся на борту, после чего строительство дирижаблей в Великобритании было свернуто (12732).</w:t>
      </w:r>
    </w:p>
    <w:p w14:paraId="02A119BA" w14:textId="77777777" w:rsidR="00DA1AA9" w:rsidRPr="00507A31" w:rsidRDefault="00DA1AA9" w:rsidP="00507A31">
      <w:pPr>
        <w:pStyle w:val="a3"/>
        <w:autoSpaceDE/>
        <w:autoSpaceDN/>
        <w:adjustRightInd/>
        <w:rPr>
          <w:color w:val="000000" w:themeColor="text1"/>
          <w:lang w:val="ru-RU"/>
        </w:rPr>
      </w:pPr>
    </w:p>
    <w:p w14:paraId="1CADAC74" w14:textId="77777777" w:rsidR="00C91E54" w:rsidRPr="00507A31" w:rsidRDefault="00C91E54" w:rsidP="00507A31">
      <w:pPr>
        <w:jc w:val="both"/>
        <w:rPr>
          <w:color w:val="0070C0"/>
          <w:sz w:val="16"/>
          <w:szCs w:val="16"/>
        </w:rPr>
      </w:pPr>
      <w:r w:rsidRPr="00507A31">
        <w:rPr>
          <w:color w:val="0070C0"/>
          <w:sz w:val="16"/>
          <w:szCs w:val="16"/>
        </w:rPr>
        <w:t>5 октября 1930 британский дирижабль R101, в то время самый большой дирижабль в мире, терпит крушение во Франции во время полета из Кардингтона, Бедфордшир, Англия, в Карачи в Британской Индии. Сорок восемь из 54 человек на борту погибли, в том числе вице-маршал авиации Королевских ВВС сэр Сефтон Бранкер, ирландский летчик и спортсмен Герберт Кармайкл Ирвин , который был капитаном R101, известный британский пилот дирижабля и инженер Джордж Герберт Скотт и британский государственный секретарь по вопросам авиации Кристофер Томсон, первый барон Томсон (20805).</w:t>
      </w:r>
    </w:p>
    <w:p w14:paraId="4DBD9DE7" w14:textId="77777777" w:rsidR="00C91E54" w:rsidRPr="00507A31" w:rsidRDefault="00C91E54" w:rsidP="00507A31">
      <w:pPr>
        <w:jc w:val="both"/>
        <w:rPr>
          <w:color w:val="0070C0"/>
          <w:sz w:val="16"/>
          <w:szCs w:val="16"/>
        </w:rPr>
      </w:pPr>
    </w:p>
    <w:p w14:paraId="7E5F96DB" w14:textId="77777777" w:rsidR="00C91E54" w:rsidRPr="00507A31" w:rsidRDefault="00C91E54" w:rsidP="00507A31">
      <w:pPr>
        <w:jc w:val="both"/>
        <w:rPr>
          <w:color w:val="0070C0"/>
          <w:sz w:val="16"/>
          <w:szCs w:val="16"/>
        </w:rPr>
      </w:pPr>
      <w:r w:rsidRPr="00507A31">
        <w:rPr>
          <w:color w:val="0070C0"/>
          <w:sz w:val="16"/>
          <w:szCs w:val="16"/>
        </w:rPr>
        <w:lastRenderedPageBreak/>
        <w:t>5 октября 1930 - Крупнейшая на то время катастрофа в воздухе: британский дирижабль R101, направлявшийся в Индию, врезался в холм во Франции. В результате взрыва водорода от ВС остался лишь металлический каркас. Погибли 48 из 54 пассажиров и членов экипажа, среди них был и воздушный министр Великобритании лорд Томпсон.</w:t>
      </w:r>
    </w:p>
    <w:p w14:paraId="342B5E00" w14:textId="77777777" w:rsidR="00C91E54" w:rsidRPr="00507A31" w:rsidRDefault="00C91E54" w:rsidP="00507A31">
      <w:pPr>
        <w:jc w:val="both"/>
        <w:rPr>
          <w:color w:val="0070C0"/>
          <w:sz w:val="16"/>
          <w:szCs w:val="16"/>
        </w:rPr>
      </w:pPr>
      <w:r w:rsidRPr="00507A31">
        <w:rPr>
          <w:color w:val="0070C0"/>
          <w:sz w:val="16"/>
          <w:szCs w:val="16"/>
        </w:rPr>
        <w:t>Специалисты пришли к выводу, что причиной аварии мог быть проливной дождь и порывистый ветер, из-за чего дирижабль потерял высоту и на скорости всего 20 км/ч взрезался в склон холма. А злые языки утверждали, что непосредственным виновником был сам министр. В полёт он взял багаж, эквивалентный весу 24 человек, что, мол, и привело к перегрузке дирижабля (22346).</w:t>
      </w:r>
    </w:p>
    <w:p w14:paraId="7EC1E503" w14:textId="77777777" w:rsidR="00C91E54" w:rsidRPr="00507A31" w:rsidRDefault="00C91E54" w:rsidP="00507A31">
      <w:pPr>
        <w:jc w:val="both"/>
        <w:rPr>
          <w:color w:val="0070C0"/>
          <w:sz w:val="16"/>
          <w:szCs w:val="16"/>
        </w:rPr>
      </w:pPr>
    </w:p>
    <w:p w14:paraId="6F7B9B13" w14:textId="77777777" w:rsidR="00C91E54" w:rsidRPr="00507A31" w:rsidRDefault="00C91E54" w:rsidP="00507A31">
      <w:pPr>
        <w:jc w:val="both"/>
        <w:rPr>
          <w:color w:val="0070C0"/>
          <w:sz w:val="16"/>
          <w:szCs w:val="16"/>
        </w:rPr>
      </w:pPr>
      <w:r w:rsidRPr="00507A31">
        <w:rPr>
          <w:color w:val="0070C0"/>
          <w:sz w:val="16"/>
          <w:szCs w:val="16"/>
        </w:rPr>
        <w:t>5 октября 1930 первый полет Junkers Ju 52 (20805).</w:t>
      </w:r>
    </w:p>
    <w:p w14:paraId="73F912D2" w14:textId="77777777" w:rsidR="00C91E54" w:rsidRPr="00507A31" w:rsidRDefault="00C91E54" w:rsidP="00507A31">
      <w:pPr>
        <w:jc w:val="both"/>
        <w:rPr>
          <w:color w:val="0070C0"/>
          <w:sz w:val="16"/>
          <w:szCs w:val="16"/>
        </w:rPr>
      </w:pPr>
    </w:p>
    <w:p w14:paraId="35540A49" w14:textId="77777777" w:rsidR="00C91E54" w:rsidRPr="00507A31" w:rsidRDefault="00C91E54" w:rsidP="00507A31">
      <w:pPr>
        <w:jc w:val="both"/>
        <w:rPr>
          <w:color w:val="0070C0"/>
          <w:sz w:val="16"/>
          <w:szCs w:val="16"/>
        </w:rPr>
      </w:pPr>
      <w:r w:rsidRPr="00507A31">
        <w:rPr>
          <w:color w:val="0070C0"/>
          <w:sz w:val="16"/>
          <w:szCs w:val="16"/>
        </w:rPr>
        <w:t>5 октября 1930 года — первый полёт лёгкого самолёта Curtiss-Wright CW-1 Junior (он же Curtiss-Robertson CR-1 Skeeter). /США/</w:t>
      </w:r>
    </w:p>
    <w:p w14:paraId="741B6011" w14:textId="77777777" w:rsidR="00C91E54" w:rsidRPr="00507A31" w:rsidRDefault="00C91E54" w:rsidP="00507A31">
      <w:pPr>
        <w:jc w:val="both"/>
        <w:rPr>
          <w:color w:val="0070C0"/>
          <w:sz w:val="16"/>
          <w:szCs w:val="16"/>
        </w:rPr>
      </w:pPr>
      <w:r w:rsidRPr="00507A31">
        <w:rPr>
          <w:color w:val="0070C0"/>
          <w:sz w:val="16"/>
          <w:szCs w:val="16"/>
        </w:rPr>
        <w:t>Curtiss-Robertson собиралась производить недорогие лёгкие самолёты, цена которых не превышала бы цену автомобиля среднего класса. В 1930 году компания представила свой первый проект — CR-1 Skeeter. После слияния с компанией Wright в 1931 году самолёт переименовали в CW-1 Junior.</w:t>
      </w:r>
    </w:p>
    <w:p w14:paraId="59416C4D" w14:textId="77777777" w:rsidR="00C91E54" w:rsidRPr="00507A31" w:rsidRDefault="00C91E54" w:rsidP="00507A31">
      <w:pPr>
        <w:jc w:val="both"/>
        <w:rPr>
          <w:color w:val="0070C0"/>
          <w:sz w:val="16"/>
          <w:szCs w:val="16"/>
        </w:rPr>
      </w:pPr>
      <w:r w:rsidRPr="00507A31">
        <w:rPr>
          <w:color w:val="0070C0"/>
          <w:sz w:val="16"/>
          <w:szCs w:val="16"/>
        </w:rPr>
        <w:t>Это был двухместный моноплан с крылом типа «парасоль» и неубираемым шасси. Каркас фюзеляжа выполнен из труб и обтянут полотном. Двигатель Szekely SR-3 (45 л.с.) вращал толкающий винт. Максимальная скорость — 130 км/ч, дальность полёта — 320 км.</w:t>
      </w:r>
    </w:p>
    <w:p w14:paraId="3DE4B731" w14:textId="77777777" w:rsidR="00C91E54" w:rsidRPr="00507A31" w:rsidRDefault="00C91E54" w:rsidP="00507A31">
      <w:pPr>
        <w:jc w:val="both"/>
        <w:rPr>
          <w:color w:val="0070C0"/>
          <w:sz w:val="16"/>
          <w:szCs w:val="16"/>
        </w:rPr>
      </w:pPr>
      <w:r w:rsidRPr="00507A31">
        <w:rPr>
          <w:color w:val="0070C0"/>
          <w:sz w:val="16"/>
          <w:szCs w:val="16"/>
        </w:rPr>
        <w:t>Выпустили 270 самолётов CW-1 Junior уже за первый год. Но проект быстро свернули. Причины — двигатели имели тенденцию к взрыву цилиндров + пассажиры во время стоянки на земле могли попасть под вращающийся винт + ряд авиакатастроф. Сегодня несколько оригинальных CW-1 сохранилось в лётном состоянии и в музеях. (22300).</w:t>
      </w:r>
    </w:p>
    <w:p w14:paraId="0A5497E3" w14:textId="77777777" w:rsidR="00C91E54" w:rsidRPr="00507A31" w:rsidRDefault="00C91E54" w:rsidP="00507A31">
      <w:pPr>
        <w:jc w:val="both"/>
        <w:rPr>
          <w:color w:val="0070C0"/>
          <w:sz w:val="16"/>
          <w:szCs w:val="16"/>
        </w:rPr>
      </w:pPr>
    </w:p>
    <w:p w14:paraId="796498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октября 1930 в Афинах на конференции балканских государств, которая продолжалась до 12 октября, были заложены основы формирования балканской Антанты и в феврале 1934 был заключен соответствующий пакт (3481).</w:t>
      </w:r>
    </w:p>
    <w:p w14:paraId="234B0029" w14:textId="77777777" w:rsidR="00537E5F" w:rsidRPr="00507A31" w:rsidRDefault="00537E5F" w:rsidP="00507A31">
      <w:pPr>
        <w:autoSpaceDE w:val="0"/>
        <w:autoSpaceDN w:val="0"/>
        <w:adjustRightInd w:val="0"/>
        <w:jc w:val="both"/>
        <w:rPr>
          <w:color w:val="000000" w:themeColor="text1"/>
          <w:sz w:val="16"/>
          <w:szCs w:val="16"/>
        </w:rPr>
      </w:pPr>
    </w:p>
    <w:p w14:paraId="0F51E377" w14:textId="77777777" w:rsidR="00CD4949" w:rsidRPr="00507A31" w:rsidRDefault="00CD4949" w:rsidP="00507A31">
      <w:pPr>
        <w:jc w:val="both"/>
        <w:rPr>
          <w:color w:val="000000" w:themeColor="text1"/>
          <w:sz w:val="16"/>
          <w:szCs w:val="16"/>
        </w:rPr>
      </w:pPr>
      <w:r w:rsidRPr="00507A31">
        <w:rPr>
          <w:color w:val="000000" w:themeColor="text1"/>
          <w:sz w:val="16"/>
          <w:szCs w:val="16"/>
        </w:rPr>
        <w:t>5 октября в 1930 году в Афинах открывается конференция балканских государств (работает по 12 октября), которая закладывает основы формирования балканской Антанты (пакт заключен в феврале 1934 г.) (14790).</w:t>
      </w:r>
    </w:p>
    <w:p w14:paraId="538FF30B" w14:textId="77777777" w:rsidR="00CD4949" w:rsidRPr="00507A31" w:rsidRDefault="00CD4949" w:rsidP="00507A31">
      <w:pPr>
        <w:jc w:val="both"/>
        <w:rPr>
          <w:color w:val="000000" w:themeColor="text1"/>
          <w:sz w:val="16"/>
          <w:szCs w:val="16"/>
        </w:rPr>
      </w:pPr>
    </w:p>
    <w:p w14:paraId="546BCA4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63C0B77" w14:textId="77777777" w:rsidR="00537E5F" w:rsidRPr="00507A31" w:rsidRDefault="00537E5F" w:rsidP="00507A31">
      <w:pPr>
        <w:autoSpaceDE w:val="0"/>
        <w:autoSpaceDN w:val="0"/>
        <w:adjustRightInd w:val="0"/>
        <w:jc w:val="both"/>
        <w:rPr>
          <w:iCs/>
          <w:color w:val="000000" w:themeColor="text1"/>
          <w:sz w:val="16"/>
          <w:szCs w:val="16"/>
        </w:rPr>
      </w:pPr>
    </w:p>
    <w:p w14:paraId="0890AFD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 октября 1930 года ЦАГИ заявил, что самолет И8 закончен постройкой (6925).</w:t>
      </w:r>
    </w:p>
    <w:p w14:paraId="31B7B71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FF87061" w14:textId="77777777" w:rsidR="006C205C" w:rsidRPr="00507A31" w:rsidRDefault="006C205C" w:rsidP="00507A31">
      <w:pPr>
        <w:jc w:val="both"/>
        <w:rPr>
          <w:color w:val="000000" w:themeColor="text1"/>
          <w:sz w:val="16"/>
          <w:szCs w:val="16"/>
        </w:rPr>
      </w:pPr>
      <w:r w:rsidRPr="00507A31">
        <w:rPr>
          <w:color w:val="000000" w:themeColor="text1"/>
          <w:sz w:val="16"/>
          <w:szCs w:val="16"/>
        </w:rPr>
        <w:t>6 октября 1930 г. сняли с плана И-10. На переломе 1929—1930 гг. плани</w:t>
      </w:r>
      <w:r w:rsidRPr="00507A31">
        <w:rPr>
          <w:color w:val="000000" w:themeColor="text1"/>
          <w:sz w:val="16"/>
          <w:szCs w:val="16"/>
        </w:rPr>
        <w:softHyphen/>
        <w:t>ровались проектирование и постройка истре</w:t>
      </w:r>
      <w:r w:rsidRPr="00507A31">
        <w:rPr>
          <w:color w:val="000000" w:themeColor="text1"/>
          <w:sz w:val="16"/>
          <w:szCs w:val="16"/>
        </w:rPr>
        <w:softHyphen/>
        <w:t>бителя И-10, в конструкции которого предпо</w:t>
      </w:r>
      <w:r w:rsidRPr="00507A31">
        <w:rPr>
          <w:color w:val="000000" w:themeColor="text1"/>
          <w:sz w:val="16"/>
          <w:szCs w:val="16"/>
        </w:rPr>
        <w:softHyphen/>
        <w:t>лагалось использовать сплав электрон. Одна</w:t>
      </w:r>
      <w:r w:rsidRPr="00507A31">
        <w:rPr>
          <w:color w:val="000000" w:themeColor="text1"/>
          <w:sz w:val="16"/>
          <w:szCs w:val="16"/>
        </w:rPr>
        <w:softHyphen/>
        <w:t>ко, в связи с неопределенностью решения ряда технологических вопросов при его производст</w:t>
      </w:r>
      <w:r w:rsidRPr="00507A31">
        <w:rPr>
          <w:color w:val="000000" w:themeColor="text1"/>
          <w:sz w:val="16"/>
          <w:szCs w:val="16"/>
        </w:rPr>
        <w:softHyphen/>
        <w:t>ве.</w:t>
      </w:r>
    </w:p>
    <w:p w14:paraId="28FC36D2" w14:textId="77777777" w:rsidR="006C205C" w:rsidRPr="00507A31" w:rsidRDefault="006C205C" w:rsidP="00507A31">
      <w:pPr>
        <w:jc w:val="both"/>
        <w:rPr>
          <w:color w:val="000000" w:themeColor="text1"/>
          <w:sz w:val="16"/>
          <w:szCs w:val="16"/>
        </w:rPr>
      </w:pPr>
      <w:r w:rsidRPr="00507A31">
        <w:rPr>
          <w:color w:val="000000" w:themeColor="text1"/>
          <w:sz w:val="16"/>
          <w:szCs w:val="16"/>
        </w:rPr>
        <w:t>Сразу за проектом И-10 следовали истре</w:t>
      </w:r>
      <w:r w:rsidRPr="00507A31">
        <w:rPr>
          <w:color w:val="000000" w:themeColor="text1"/>
          <w:sz w:val="16"/>
          <w:szCs w:val="16"/>
        </w:rPr>
        <w:softHyphen/>
        <w:t>бители И-11 и И-13, вошедшие в план ави</w:t>
      </w:r>
      <w:r w:rsidRPr="00507A31">
        <w:rPr>
          <w:color w:val="000000" w:themeColor="text1"/>
          <w:sz w:val="16"/>
          <w:szCs w:val="16"/>
        </w:rPr>
        <w:softHyphen/>
        <w:t>апромышленности 1929—1932 гг. Впрочем, эти самолеты, которые так и остались лишь проектными разработками, относятся к сле</w:t>
      </w:r>
      <w:r w:rsidRPr="00507A31">
        <w:rPr>
          <w:color w:val="000000" w:themeColor="text1"/>
          <w:sz w:val="16"/>
          <w:szCs w:val="16"/>
        </w:rPr>
        <w:softHyphen/>
        <w:t>дующему десятилетию и по возможности бу</w:t>
      </w:r>
      <w:r w:rsidRPr="00507A31">
        <w:rPr>
          <w:color w:val="000000" w:themeColor="text1"/>
          <w:sz w:val="16"/>
          <w:szCs w:val="16"/>
        </w:rPr>
        <w:softHyphen/>
        <w:t>дут описаны в повествовании, посвященно</w:t>
      </w:r>
      <w:r w:rsidRPr="00507A31">
        <w:rPr>
          <w:color w:val="000000" w:themeColor="text1"/>
          <w:sz w:val="16"/>
          <w:szCs w:val="16"/>
        </w:rPr>
        <w:softHyphen/>
        <w:t>му советским истребителям 1930-х годов (12295).</w:t>
      </w:r>
    </w:p>
    <w:p w14:paraId="6ECFDA3F" w14:textId="77777777" w:rsidR="006C205C" w:rsidRPr="00507A31" w:rsidRDefault="006C205C" w:rsidP="00507A31">
      <w:pPr>
        <w:jc w:val="both"/>
        <w:rPr>
          <w:color w:val="000000" w:themeColor="text1"/>
          <w:sz w:val="16"/>
          <w:szCs w:val="16"/>
        </w:rPr>
      </w:pPr>
    </w:p>
    <w:p w14:paraId="36F4996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 октября 1930 года был направлен План опытного строительства самолетов на период 1930-1933 годов (6919).</w:t>
      </w:r>
    </w:p>
    <w:p w14:paraId="60AEABD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E371BA" w:rsidRPr="00507A31" w14:paraId="3197CF48" w14:textId="77777777">
        <w:tc>
          <w:tcPr>
            <w:tcW w:w="3369" w:type="dxa"/>
          </w:tcPr>
          <w:p w14:paraId="2803F8C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3B6BCCA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ТБ-4</w:t>
            </w:r>
          </w:p>
        </w:tc>
      </w:tr>
      <w:tr w:rsidR="00E371BA" w:rsidRPr="00507A31" w14:paraId="38190486" w14:textId="77777777">
        <w:tc>
          <w:tcPr>
            <w:tcW w:w="3369" w:type="dxa"/>
          </w:tcPr>
          <w:p w14:paraId="27F7CD1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6884576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w:t>
            </w:r>
          </w:p>
        </w:tc>
      </w:tr>
      <w:tr w:rsidR="00E371BA" w:rsidRPr="00507A31" w14:paraId="6B48C36D" w14:textId="77777777">
        <w:tc>
          <w:tcPr>
            <w:tcW w:w="3369" w:type="dxa"/>
          </w:tcPr>
          <w:p w14:paraId="32CF4BD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559C612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200/3000</w:t>
            </w:r>
          </w:p>
        </w:tc>
      </w:tr>
      <w:tr w:rsidR="00E371BA" w:rsidRPr="00507A31" w14:paraId="3E13855A" w14:textId="77777777">
        <w:tc>
          <w:tcPr>
            <w:tcW w:w="3369" w:type="dxa"/>
          </w:tcPr>
          <w:p w14:paraId="617E22C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3F08578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6981CCB2" w14:textId="77777777">
        <w:tc>
          <w:tcPr>
            <w:tcW w:w="3369" w:type="dxa"/>
          </w:tcPr>
          <w:p w14:paraId="0DEFB25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3F98F1D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5000-6000</w:t>
            </w:r>
          </w:p>
        </w:tc>
      </w:tr>
      <w:tr w:rsidR="00E371BA" w:rsidRPr="00507A31" w14:paraId="619D7792" w14:textId="77777777">
        <w:tc>
          <w:tcPr>
            <w:tcW w:w="3369" w:type="dxa"/>
          </w:tcPr>
          <w:p w14:paraId="3396A67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357D59A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7000 бомб</w:t>
            </w:r>
          </w:p>
          <w:p w14:paraId="24E64D5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6-8 пулеметов</w:t>
            </w:r>
          </w:p>
          <w:p w14:paraId="3232CA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пушка 20-37 мм</w:t>
            </w:r>
          </w:p>
        </w:tc>
      </w:tr>
      <w:tr w:rsidR="00E371BA" w:rsidRPr="00507A31" w14:paraId="05301E11" w14:textId="77777777">
        <w:tc>
          <w:tcPr>
            <w:tcW w:w="3369" w:type="dxa"/>
          </w:tcPr>
          <w:p w14:paraId="7100FC7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4DE27F0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1000</w:t>
            </w:r>
          </w:p>
        </w:tc>
      </w:tr>
      <w:tr w:rsidR="00E371BA" w:rsidRPr="00507A31" w14:paraId="597E727A" w14:textId="77777777">
        <w:tc>
          <w:tcPr>
            <w:tcW w:w="3369" w:type="dxa"/>
          </w:tcPr>
          <w:p w14:paraId="21FE229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2D816EA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декабря 1931 года</w:t>
            </w:r>
          </w:p>
        </w:tc>
      </w:tr>
      <w:tr w:rsidR="00E371BA" w:rsidRPr="00507A31" w14:paraId="5F6CBD72" w14:textId="77777777">
        <w:tc>
          <w:tcPr>
            <w:tcW w:w="3369" w:type="dxa"/>
          </w:tcPr>
          <w:p w14:paraId="62FA978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4294BEE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ТБ5-2 ФЕД</w:t>
            </w:r>
          </w:p>
        </w:tc>
      </w:tr>
      <w:tr w:rsidR="00E371BA" w:rsidRPr="00507A31" w14:paraId="27D38CBE" w14:textId="77777777">
        <w:tc>
          <w:tcPr>
            <w:tcW w:w="3369" w:type="dxa"/>
          </w:tcPr>
          <w:p w14:paraId="69AC9F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1E651B4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w:t>
            </w:r>
          </w:p>
        </w:tc>
      </w:tr>
      <w:tr w:rsidR="00E371BA" w:rsidRPr="00507A31" w14:paraId="3C48F37B" w14:textId="77777777">
        <w:tc>
          <w:tcPr>
            <w:tcW w:w="3369" w:type="dxa"/>
          </w:tcPr>
          <w:p w14:paraId="79CB1FB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008D001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205/0</w:t>
            </w:r>
          </w:p>
        </w:tc>
      </w:tr>
      <w:tr w:rsidR="00E371BA" w:rsidRPr="00507A31" w14:paraId="2D1DA4B7" w14:textId="77777777">
        <w:tc>
          <w:tcPr>
            <w:tcW w:w="3369" w:type="dxa"/>
          </w:tcPr>
          <w:p w14:paraId="55B184F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1646970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22/3000</w:t>
            </w:r>
          </w:p>
        </w:tc>
      </w:tr>
      <w:tr w:rsidR="00E371BA" w:rsidRPr="00507A31" w14:paraId="410619B5" w14:textId="77777777">
        <w:tc>
          <w:tcPr>
            <w:tcW w:w="3369" w:type="dxa"/>
          </w:tcPr>
          <w:p w14:paraId="6544D5E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1CCEB51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4200</w:t>
            </w:r>
          </w:p>
        </w:tc>
      </w:tr>
      <w:tr w:rsidR="00E371BA" w:rsidRPr="00507A31" w14:paraId="3498DF71" w14:textId="77777777">
        <w:tc>
          <w:tcPr>
            <w:tcW w:w="3369" w:type="dxa"/>
          </w:tcPr>
          <w:p w14:paraId="2215133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1D8FE6E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1500 кг бомб</w:t>
            </w:r>
          </w:p>
        </w:tc>
      </w:tr>
      <w:tr w:rsidR="00E371BA" w:rsidRPr="00507A31" w14:paraId="6DA64BEC" w14:textId="77777777">
        <w:tc>
          <w:tcPr>
            <w:tcW w:w="3369" w:type="dxa"/>
          </w:tcPr>
          <w:p w14:paraId="67C0B12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665889A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600</w:t>
            </w:r>
          </w:p>
        </w:tc>
      </w:tr>
      <w:tr w:rsidR="00E371BA" w:rsidRPr="00507A31" w14:paraId="02F3B95C" w14:textId="77777777">
        <w:tc>
          <w:tcPr>
            <w:tcW w:w="3369" w:type="dxa"/>
          </w:tcPr>
          <w:p w14:paraId="1FBB7EA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76F7292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мая 1931 года</w:t>
            </w:r>
          </w:p>
        </w:tc>
      </w:tr>
      <w:tr w:rsidR="00E371BA" w:rsidRPr="00507A31" w14:paraId="4238AB25" w14:textId="77777777">
        <w:tc>
          <w:tcPr>
            <w:tcW w:w="3369" w:type="dxa"/>
          </w:tcPr>
          <w:p w14:paraId="5B1AA46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28222D8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Д2-М17</w:t>
            </w:r>
          </w:p>
        </w:tc>
      </w:tr>
      <w:tr w:rsidR="00E371BA" w:rsidRPr="00507A31" w14:paraId="2CA8B207" w14:textId="77777777">
        <w:tc>
          <w:tcPr>
            <w:tcW w:w="3369" w:type="dxa"/>
          </w:tcPr>
          <w:p w14:paraId="130A78E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13CCA37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w:t>
            </w:r>
          </w:p>
        </w:tc>
      </w:tr>
      <w:tr w:rsidR="00E371BA" w:rsidRPr="00507A31" w14:paraId="6B7591E1" w14:textId="77777777">
        <w:tc>
          <w:tcPr>
            <w:tcW w:w="3369" w:type="dxa"/>
          </w:tcPr>
          <w:p w14:paraId="5EC2722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64A3656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250/3000</w:t>
            </w:r>
          </w:p>
        </w:tc>
      </w:tr>
      <w:tr w:rsidR="00E371BA" w:rsidRPr="00507A31" w14:paraId="0527244F" w14:textId="77777777">
        <w:tc>
          <w:tcPr>
            <w:tcW w:w="3369" w:type="dxa"/>
          </w:tcPr>
          <w:p w14:paraId="186A5BC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4350931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9/3000</w:t>
            </w:r>
          </w:p>
        </w:tc>
      </w:tr>
      <w:tr w:rsidR="00E371BA" w:rsidRPr="00507A31" w14:paraId="6CAF58E6" w14:textId="77777777">
        <w:tc>
          <w:tcPr>
            <w:tcW w:w="3369" w:type="dxa"/>
          </w:tcPr>
          <w:p w14:paraId="49A8AD7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67135BA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03B2C195" w14:textId="77777777">
        <w:tc>
          <w:tcPr>
            <w:tcW w:w="3369" w:type="dxa"/>
          </w:tcPr>
          <w:p w14:paraId="1DF263D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76ED2BB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 пулемета</w:t>
            </w:r>
          </w:p>
        </w:tc>
      </w:tr>
      <w:tr w:rsidR="00E371BA" w:rsidRPr="00507A31" w14:paraId="3DC5296A" w14:textId="77777777">
        <w:tc>
          <w:tcPr>
            <w:tcW w:w="3369" w:type="dxa"/>
          </w:tcPr>
          <w:p w14:paraId="7BB92A4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0998962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250-275</w:t>
            </w:r>
          </w:p>
        </w:tc>
      </w:tr>
      <w:tr w:rsidR="00E371BA" w:rsidRPr="00507A31" w14:paraId="1FF329CC" w14:textId="77777777">
        <w:tc>
          <w:tcPr>
            <w:tcW w:w="3369" w:type="dxa"/>
          </w:tcPr>
          <w:p w14:paraId="4FD299C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5D62521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февраля 1931 года</w:t>
            </w:r>
          </w:p>
        </w:tc>
      </w:tr>
      <w:tr w:rsidR="00E371BA" w:rsidRPr="00507A31" w14:paraId="24FE4ADA" w14:textId="77777777">
        <w:tc>
          <w:tcPr>
            <w:tcW w:w="3369" w:type="dxa"/>
          </w:tcPr>
          <w:p w14:paraId="4E9745D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1C5FDF1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МИ3-2М34</w:t>
            </w:r>
          </w:p>
        </w:tc>
      </w:tr>
      <w:tr w:rsidR="00E371BA" w:rsidRPr="00507A31" w14:paraId="1BEFABD2" w14:textId="77777777">
        <w:tc>
          <w:tcPr>
            <w:tcW w:w="3369" w:type="dxa"/>
          </w:tcPr>
          <w:p w14:paraId="4A8A4A5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3652A77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w:t>
            </w:r>
          </w:p>
        </w:tc>
      </w:tr>
      <w:tr w:rsidR="00E371BA" w:rsidRPr="00507A31" w14:paraId="0347DB2D" w14:textId="77777777">
        <w:tc>
          <w:tcPr>
            <w:tcW w:w="3369" w:type="dxa"/>
          </w:tcPr>
          <w:p w14:paraId="549F491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7DC4D5B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300/5000</w:t>
            </w:r>
          </w:p>
        </w:tc>
      </w:tr>
      <w:tr w:rsidR="00E371BA" w:rsidRPr="00507A31" w14:paraId="7A70DD7B" w14:textId="77777777">
        <w:tc>
          <w:tcPr>
            <w:tcW w:w="3369" w:type="dxa"/>
          </w:tcPr>
          <w:p w14:paraId="76AFED0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5625927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15-18/5000</w:t>
            </w:r>
          </w:p>
        </w:tc>
      </w:tr>
      <w:tr w:rsidR="00E371BA" w:rsidRPr="00507A31" w14:paraId="6FAD2B7E" w14:textId="77777777">
        <w:tc>
          <w:tcPr>
            <w:tcW w:w="3369" w:type="dxa"/>
          </w:tcPr>
          <w:p w14:paraId="56EDBA5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79132C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7000-8000</w:t>
            </w:r>
          </w:p>
        </w:tc>
      </w:tr>
      <w:tr w:rsidR="00E371BA" w:rsidRPr="00507A31" w14:paraId="6142996E" w14:textId="77777777">
        <w:tc>
          <w:tcPr>
            <w:tcW w:w="3369" w:type="dxa"/>
          </w:tcPr>
          <w:p w14:paraId="616A81E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4E05470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4-6 пулеметов</w:t>
            </w:r>
          </w:p>
          <w:p w14:paraId="3B8239B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автоматическая пушка</w:t>
            </w:r>
          </w:p>
          <w:p w14:paraId="0DED3CC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 пулемета</w:t>
            </w:r>
          </w:p>
        </w:tc>
      </w:tr>
      <w:tr w:rsidR="00E371BA" w:rsidRPr="00507A31" w14:paraId="3C4AC325" w14:textId="77777777">
        <w:tc>
          <w:tcPr>
            <w:tcW w:w="3369" w:type="dxa"/>
          </w:tcPr>
          <w:p w14:paraId="5304EEB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7F46056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1000</w:t>
            </w:r>
          </w:p>
        </w:tc>
      </w:tr>
      <w:tr w:rsidR="00E371BA" w:rsidRPr="00507A31" w14:paraId="1CB9E1D1" w14:textId="77777777">
        <w:tc>
          <w:tcPr>
            <w:tcW w:w="3369" w:type="dxa"/>
          </w:tcPr>
          <w:p w14:paraId="1B2D443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329F1A1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января 1932 года</w:t>
            </w:r>
          </w:p>
        </w:tc>
      </w:tr>
      <w:tr w:rsidR="00E371BA" w:rsidRPr="00507A31" w14:paraId="79C957BE" w14:textId="77777777">
        <w:tc>
          <w:tcPr>
            <w:tcW w:w="3369" w:type="dxa"/>
          </w:tcPr>
          <w:p w14:paraId="2218DE8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2F1CAA9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Р8-М27</w:t>
            </w:r>
          </w:p>
        </w:tc>
      </w:tr>
      <w:tr w:rsidR="00E371BA" w:rsidRPr="00507A31" w14:paraId="73DC7425" w14:textId="77777777">
        <w:tc>
          <w:tcPr>
            <w:tcW w:w="3369" w:type="dxa"/>
          </w:tcPr>
          <w:p w14:paraId="3C37FBA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4ABDF13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w:t>
            </w:r>
          </w:p>
        </w:tc>
      </w:tr>
      <w:tr w:rsidR="00E371BA" w:rsidRPr="00507A31" w14:paraId="092B44B5" w14:textId="77777777">
        <w:tc>
          <w:tcPr>
            <w:tcW w:w="3369" w:type="dxa"/>
          </w:tcPr>
          <w:p w14:paraId="6B60981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73B8874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245/3000</w:t>
            </w:r>
          </w:p>
        </w:tc>
      </w:tr>
      <w:tr w:rsidR="00E371BA" w:rsidRPr="00507A31" w14:paraId="38C73D99" w14:textId="77777777">
        <w:tc>
          <w:tcPr>
            <w:tcW w:w="3369" w:type="dxa"/>
          </w:tcPr>
          <w:p w14:paraId="5BF77BF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405C878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10/3000</w:t>
            </w:r>
          </w:p>
        </w:tc>
      </w:tr>
      <w:tr w:rsidR="00E371BA" w:rsidRPr="00507A31" w14:paraId="420246A9" w14:textId="77777777">
        <w:tc>
          <w:tcPr>
            <w:tcW w:w="3369" w:type="dxa"/>
          </w:tcPr>
          <w:p w14:paraId="4E92F95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7774418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7000</w:t>
            </w:r>
          </w:p>
        </w:tc>
      </w:tr>
      <w:tr w:rsidR="00E371BA" w:rsidRPr="00507A31" w14:paraId="00E4F302" w14:textId="77777777">
        <w:tc>
          <w:tcPr>
            <w:tcW w:w="3369" w:type="dxa"/>
          </w:tcPr>
          <w:p w14:paraId="6C5D95D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Вооружение</w:t>
            </w:r>
          </w:p>
        </w:tc>
        <w:tc>
          <w:tcPr>
            <w:tcW w:w="7229" w:type="dxa"/>
          </w:tcPr>
          <w:p w14:paraId="5D4A27C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 пулемета</w:t>
            </w:r>
          </w:p>
        </w:tc>
      </w:tr>
      <w:tr w:rsidR="00E371BA" w:rsidRPr="00507A31" w14:paraId="56A29628" w14:textId="77777777">
        <w:tc>
          <w:tcPr>
            <w:tcW w:w="3369" w:type="dxa"/>
          </w:tcPr>
          <w:p w14:paraId="6A4B54E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67056FE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6064D30C" w14:textId="77777777">
        <w:tc>
          <w:tcPr>
            <w:tcW w:w="3369" w:type="dxa"/>
          </w:tcPr>
          <w:p w14:paraId="366760F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36FE99F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мая 1931 года</w:t>
            </w:r>
          </w:p>
        </w:tc>
      </w:tr>
      <w:tr w:rsidR="00E371BA" w:rsidRPr="00507A31" w14:paraId="525988C3" w14:textId="77777777">
        <w:tc>
          <w:tcPr>
            <w:tcW w:w="3369" w:type="dxa"/>
          </w:tcPr>
          <w:p w14:paraId="1701500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2868AA4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Р8-М34</w:t>
            </w:r>
          </w:p>
        </w:tc>
      </w:tr>
      <w:tr w:rsidR="00E371BA" w:rsidRPr="00507A31" w14:paraId="4919CFAA" w14:textId="77777777">
        <w:tc>
          <w:tcPr>
            <w:tcW w:w="3369" w:type="dxa"/>
          </w:tcPr>
          <w:p w14:paraId="4FE07D4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7233D25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w:t>
            </w:r>
          </w:p>
        </w:tc>
      </w:tr>
      <w:tr w:rsidR="00E371BA" w:rsidRPr="00507A31" w14:paraId="208475F8" w14:textId="77777777">
        <w:tc>
          <w:tcPr>
            <w:tcW w:w="3369" w:type="dxa"/>
          </w:tcPr>
          <w:p w14:paraId="7E40881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0CB1EAA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250/3000</w:t>
            </w:r>
          </w:p>
        </w:tc>
      </w:tr>
      <w:tr w:rsidR="00E371BA" w:rsidRPr="00507A31" w14:paraId="2584C72F" w14:textId="77777777">
        <w:tc>
          <w:tcPr>
            <w:tcW w:w="3369" w:type="dxa"/>
          </w:tcPr>
          <w:p w14:paraId="14AE686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01E767C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8/10/3000</w:t>
            </w:r>
          </w:p>
        </w:tc>
      </w:tr>
      <w:tr w:rsidR="00E371BA" w:rsidRPr="00507A31" w14:paraId="793F6F48" w14:textId="77777777">
        <w:tc>
          <w:tcPr>
            <w:tcW w:w="3369" w:type="dxa"/>
          </w:tcPr>
          <w:p w14:paraId="71DA2F0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5A4A8E3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7000-7500</w:t>
            </w:r>
          </w:p>
        </w:tc>
      </w:tr>
      <w:tr w:rsidR="00E371BA" w:rsidRPr="00507A31" w14:paraId="0BF99C40" w14:textId="77777777">
        <w:tc>
          <w:tcPr>
            <w:tcW w:w="3369" w:type="dxa"/>
          </w:tcPr>
          <w:p w14:paraId="119D150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523D127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 пулемета</w:t>
            </w:r>
          </w:p>
        </w:tc>
      </w:tr>
      <w:tr w:rsidR="00E371BA" w:rsidRPr="00507A31" w14:paraId="7990B090" w14:textId="77777777">
        <w:tc>
          <w:tcPr>
            <w:tcW w:w="3369" w:type="dxa"/>
          </w:tcPr>
          <w:p w14:paraId="01EBE7E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522BE8D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650-750</w:t>
            </w:r>
          </w:p>
        </w:tc>
      </w:tr>
      <w:tr w:rsidR="00E371BA" w:rsidRPr="00507A31" w14:paraId="19C81408" w14:textId="77777777">
        <w:tc>
          <w:tcPr>
            <w:tcW w:w="3369" w:type="dxa"/>
          </w:tcPr>
          <w:p w14:paraId="3ED26C1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298977D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октября 1931 года</w:t>
            </w:r>
          </w:p>
        </w:tc>
      </w:tr>
      <w:tr w:rsidR="00E371BA" w:rsidRPr="00507A31" w14:paraId="09B13715" w14:textId="77777777">
        <w:tc>
          <w:tcPr>
            <w:tcW w:w="3369" w:type="dxa"/>
          </w:tcPr>
          <w:p w14:paraId="2BB539F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627DA85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МДР3</w:t>
            </w:r>
          </w:p>
        </w:tc>
      </w:tr>
      <w:tr w:rsidR="00E371BA" w:rsidRPr="00507A31" w14:paraId="62E68658" w14:textId="77777777">
        <w:tc>
          <w:tcPr>
            <w:tcW w:w="3369" w:type="dxa"/>
          </w:tcPr>
          <w:p w14:paraId="6E9AC9B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4338537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200/3000</w:t>
            </w:r>
          </w:p>
        </w:tc>
      </w:tr>
      <w:tr w:rsidR="00E371BA" w:rsidRPr="00507A31" w14:paraId="2F962236" w14:textId="77777777">
        <w:tc>
          <w:tcPr>
            <w:tcW w:w="3369" w:type="dxa"/>
          </w:tcPr>
          <w:p w14:paraId="40BCCBD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25E3CF5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20/3000</w:t>
            </w:r>
          </w:p>
        </w:tc>
      </w:tr>
      <w:tr w:rsidR="00E371BA" w:rsidRPr="00507A31" w14:paraId="6367EBA9" w14:textId="77777777">
        <w:tc>
          <w:tcPr>
            <w:tcW w:w="3369" w:type="dxa"/>
          </w:tcPr>
          <w:p w14:paraId="2DAB30C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1B7B47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5000</w:t>
            </w:r>
          </w:p>
        </w:tc>
      </w:tr>
      <w:tr w:rsidR="00E371BA" w:rsidRPr="00507A31" w14:paraId="0AFA0062" w14:textId="77777777">
        <w:tc>
          <w:tcPr>
            <w:tcW w:w="3369" w:type="dxa"/>
          </w:tcPr>
          <w:p w14:paraId="24C894B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3DFD7CD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 пулемета</w:t>
            </w:r>
          </w:p>
          <w:p w14:paraId="40ABB1A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автоматическая пушка</w:t>
            </w:r>
          </w:p>
          <w:p w14:paraId="15CA3FB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500 кг бомб</w:t>
            </w:r>
          </w:p>
        </w:tc>
      </w:tr>
      <w:tr w:rsidR="00E371BA" w:rsidRPr="00507A31" w14:paraId="1D9586A4" w14:textId="77777777">
        <w:tc>
          <w:tcPr>
            <w:tcW w:w="3369" w:type="dxa"/>
          </w:tcPr>
          <w:p w14:paraId="33ED60F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34AE4B8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1000-1200</w:t>
            </w:r>
          </w:p>
        </w:tc>
      </w:tr>
      <w:tr w:rsidR="00E371BA" w:rsidRPr="00507A31" w14:paraId="454C0D24" w14:textId="77777777">
        <w:tc>
          <w:tcPr>
            <w:tcW w:w="3369" w:type="dxa"/>
          </w:tcPr>
          <w:p w14:paraId="0C5B055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1AE7AFB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июня 1931 года</w:t>
            </w:r>
          </w:p>
        </w:tc>
      </w:tr>
    </w:tbl>
    <w:p w14:paraId="11A0F0E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E371BA" w:rsidRPr="00507A31" w14:paraId="14AD3822" w14:textId="77777777">
        <w:tc>
          <w:tcPr>
            <w:tcW w:w="3369" w:type="dxa"/>
          </w:tcPr>
          <w:p w14:paraId="6645903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15B9D1A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ДИ4-КК</w:t>
            </w:r>
          </w:p>
        </w:tc>
      </w:tr>
      <w:tr w:rsidR="00E371BA" w:rsidRPr="00507A31" w14:paraId="0D729FAE" w14:textId="77777777">
        <w:tc>
          <w:tcPr>
            <w:tcW w:w="3369" w:type="dxa"/>
          </w:tcPr>
          <w:p w14:paraId="544F2D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7C9F7C5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w:t>
            </w:r>
          </w:p>
        </w:tc>
      </w:tr>
      <w:tr w:rsidR="00E371BA" w:rsidRPr="00507A31" w14:paraId="0AD53FA1" w14:textId="77777777">
        <w:tc>
          <w:tcPr>
            <w:tcW w:w="3369" w:type="dxa"/>
          </w:tcPr>
          <w:p w14:paraId="016489F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090E761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280/5000</w:t>
            </w:r>
          </w:p>
        </w:tc>
      </w:tr>
      <w:tr w:rsidR="00E371BA" w:rsidRPr="00507A31" w14:paraId="02FE36CA" w14:textId="77777777">
        <w:tc>
          <w:tcPr>
            <w:tcW w:w="3369" w:type="dxa"/>
          </w:tcPr>
          <w:p w14:paraId="31F6B85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610B210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8,5/5000</w:t>
            </w:r>
          </w:p>
        </w:tc>
      </w:tr>
      <w:tr w:rsidR="00E371BA" w:rsidRPr="00507A31" w14:paraId="6443737F" w14:textId="77777777">
        <w:tc>
          <w:tcPr>
            <w:tcW w:w="3369" w:type="dxa"/>
          </w:tcPr>
          <w:p w14:paraId="6D88922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2B5B2FB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8000</w:t>
            </w:r>
          </w:p>
        </w:tc>
      </w:tr>
      <w:tr w:rsidR="00E371BA" w:rsidRPr="00507A31" w14:paraId="1C7AE5D3" w14:textId="77777777">
        <w:tc>
          <w:tcPr>
            <w:tcW w:w="3369" w:type="dxa"/>
          </w:tcPr>
          <w:p w14:paraId="0AB2C96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07E5F87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 пулемета</w:t>
            </w:r>
          </w:p>
        </w:tc>
      </w:tr>
      <w:tr w:rsidR="00E371BA" w:rsidRPr="00507A31" w14:paraId="41BD26F0" w14:textId="77777777">
        <w:tc>
          <w:tcPr>
            <w:tcW w:w="3369" w:type="dxa"/>
          </w:tcPr>
          <w:p w14:paraId="31CF804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00791F9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450-500</w:t>
            </w:r>
          </w:p>
        </w:tc>
      </w:tr>
      <w:tr w:rsidR="00E371BA" w:rsidRPr="00507A31" w14:paraId="22BC7453" w14:textId="77777777">
        <w:tc>
          <w:tcPr>
            <w:tcW w:w="3369" w:type="dxa"/>
          </w:tcPr>
          <w:p w14:paraId="108BAB8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5940B71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сентября 1931 года</w:t>
            </w:r>
          </w:p>
        </w:tc>
      </w:tr>
      <w:tr w:rsidR="00E371BA" w:rsidRPr="00507A31" w14:paraId="45FFAF51" w14:textId="77777777">
        <w:tc>
          <w:tcPr>
            <w:tcW w:w="3369" w:type="dxa"/>
          </w:tcPr>
          <w:p w14:paraId="32C769D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2735620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ДИ5-ФЕД</w:t>
            </w:r>
          </w:p>
        </w:tc>
      </w:tr>
      <w:tr w:rsidR="00E371BA" w:rsidRPr="00507A31" w14:paraId="076EF14D" w14:textId="77777777">
        <w:tc>
          <w:tcPr>
            <w:tcW w:w="3369" w:type="dxa"/>
          </w:tcPr>
          <w:p w14:paraId="7CF5966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749807C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w:t>
            </w:r>
          </w:p>
        </w:tc>
      </w:tr>
      <w:tr w:rsidR="00E371BA" w:rsidRPr="00507A31" w14:paraId="53E44C2D" w14:textId="77777777">
        <w:tc>
          <w:tcPr>
            <w:tcW w:w="3369" w:type="dxa"/>
          </w:tcPr>
          <w:p w14:paraId="462BDDA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1BE24E5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270/3000</w:t>
            </w:r>
          </w:p>
        </w:tc>
      </w:tr>
      <w:tr w:rsidR="00E371BA" w:rsidRPr="00507A31" w14:paraId="2FFFBD98" w14:textId="77777777">
        <w:tc>
          <w:tcPr>
            <w:tcW w:w="3369" w:type="dxa"/>
          </w:tcPr>
          <w:p w14:paraId="784B3BC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79403A0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7,6/3000</w:t>
            </w:r>
          </w:p>
        </w:tc>
      </w:tr>
      <w:tr w:rsidR="00E371BA" w:rsidRPr="00507A31" w14:paraId="1FD9A517" w14:textId="77777777">
        <w:tc>
          <w:tcPr>
            <w:tcW w:w="3369" w:type="dxa"/>
          </w:tcPr>
          <w:p w14:paraId="011944F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41777BE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8000</w:t>
            </w:r>
          </w:p>
        </w:tc>
      </w:tr>
      <w:tr w:rsidR="00E371BA" w:rsidRPr="00507A31" w14:paraId="085B583C" w14:textId="77777777">
        <w:tc>
          <w:tcPr>
            <w:tcW w:w="3369" w:type="dxa"/>
          </w:tcPr>
          <w:p w14:paraId="7B9F239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2324651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 пулемета</w:t>
            </w:r>
          </w:p>
          <w:p w14:paraId="46460C8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автоматическая пушка</w:t>
            </w:r>
          </w:p>
        </w:tc>
      </w:tr>
      <w:tr w:rsidR="00E371BA" w:rsidRPr="00507A31" w14:paraId="5559ED4E" w14:textId="77777777">
        <w:tc>
          <w:tcPr>
            <w:tcW w:w="3369" w:type="dxa"/>
          </w:tcPr>
          <w:p w14:paraId="3354AA5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5216F24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5837BB93" w14:textId="77777777">
        <w:tc>
          <w:tcPr>
            <w:tcW w:w="3369" w:type="dxa"/>
          </w:tcPr>
          <w:p w14:paraId="75F19CC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5119720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июня 1931 года</w:t>
            </w:r>
          </w:p>
        </w:tc>
      </w:tr>
      <w:tr w:rsidR="00E371BA" w:rsidRPr="00507A31" w14:paraId="50D32AE5" w14:textId="77777777">
        <w:tc>
          <w:tcPr>
            <w:tcW w:w="3369" w:type="dxa"/>
          </w:tcPr>
          <w:p w14:paraId="6D23D21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124088F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МУ3-М11</w:t>
            </w:r>
          </w:p>
        </w:tc>
      </w:tr>
      <w:tr w:rsidR="00E371BA" w:rsidRPr="00507A31" w14:paraId="11DE1F45" w14:textId="77777777">
        <w:tc>
          <w:tcPr>
            <w:tcW w:w="3369" w:type="dxa"/>
          </w:tcPr>
          <w:p w14:paraId="502171C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2E15B56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w:t>
            </w:r>
          </w:p>
        </w:tc>
      </w:tr>
      <w:tr w:rsidR="00E371BA" w:rsidRPr="00507A31" w14:paraId="0CFA3C85" w14:textId="77777777">
        <w:tc>
          <w:tcPr>
            <w:tcW w:w="3369" w:type="dxa"/>
          </w:tcPr>
          <w:p w14:paraId="1162598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05118A7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мая 1931 года</w:t>
            </w:r>
          </w:p>
        </w:tc>
      </w:tr>
      <w:tr w:rsidR="00E371BA" w:rsidRPr="00507A31" w14:paraId="65B3A3CB" w14:textId="77777777">
        <w:tc>
          <w:tcPr>
            <w:tcW w:w="3369" w:type="dxa"/>
          </w:tcPr>
          <w:p w14:paraId="76F077C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022F253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ТШ1-2М34</w:t>
            </w:r>
          </w:p>
        </w:tc>
      </w:tr>
      <w:tr w:rsidR="00E371BA" w:rsidRPr="00507A31" w14:paraId="596C38FE" w14:textId="77777777">
        <w:tc>
          <w:tcPr>
            <w:tcW w:w="3369" w:type="dxa"/>
          </w:tcPr>
          <w:p w14:paraId="379F836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7D81036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w:t>
            </w:r>
          </w:p>
        </w:tc>
      </w:tr>
      <w:tr w:rsidR="00E371BA" w:rsidRPr="00507A31" w14:paraId="5CF6EC87" w14:textId="77777777">
        <w:tc>
          <w:tcPr>
            <w:tcW w:w="3369" w:type="dxa"/>
          </w:tcPr>
          <w:p w14:paraId="27D3597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721CFBD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250/1000</w:t>
            </w:r>
          </w:p>
        </w:tc>
      </w:tr>
      <w:tr w:rsidR="00E371BA" w:rsidRPr="00507A31" w14:paraId="581B6A8D" w14:textId="77777777">
        <w:tc>
          <w:tcPr>
            <w:tcW w:w="3369" w:type="dxa"/>
          </w:tcPr>
          <w:p w14:paraId="07DCED8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41904E5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3263247E" w14:textId="77777777">
        <w:tc>
          <w:tcPr>
            <w:tcW w:w="3369" w:type="dxa"/>
          </w:tcPr>
          <w:p w14:paraId="2ED38D7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04E7242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434A4DE1" w14:textId="77777777">
        <w:tc>
          <w:tcPr>
            <w:tcW w:w="3369" w:type="dxa"/>
          </w:tcPr>
          <w:p w14:paraId="207BC95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47E7169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4-6 пулеметов</w:t>
            </w:r>
          </w:p>
          <w:p w14:paraId="0759B9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автоматическая пушка</w:t>
            </w:r>
          </w:p>
          <w:p w14:paraId="1827A0A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800 кг бомб</w:t>
            </w:r>
          </w:p>
        </w:tc>
      </w:tr>
      <w:tr w:rsidR="00E371BA" w:rsidRPr="00507A31" w14:paraId="0B84EABF" w14:textId="77777777">
        <w:tc>
          <w:tcPr>
            <w:tcW w:w="3369" w:type="dxa"/>
          </w:tcPr>
          <w:p w14:paraId="149A813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065BD19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150</w:t>
            </w:r>
          </w:p>
        </w:tc>
      </w:tr>
      <w:tr w:rsidR="00E371BA" w:rsidRPr="00507A31" w14:paraId="58DC44B7" w14:textId="77777777">
        <w:tc>
          <w:tcPr>
            <w:tcW w:w="3369" w:type="dxa"/>
          </w:tcPr>
          <w:p w14:paraId="052E672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6037D46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января 1932 года</w:t>
            </w:r>
          </w:p>
        </w:tc>
      </w:tr>
      <w:tr w:rsidR="00E371BA" w:rsidRPr="00507A31" w14:paraId="7C4096C5" w14:textId="77777777">
        <w:tc>
          <w:tcPr>
            <w:tcW w:w="3369" w:type="dxa"/>
          </w:tcPr>
          <w:p w14:paraId="1544FD6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12B9C82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МТБ3</w:t>
            </w:r>
          </w:p>
        </w:tc>
      </w:tr>
      <w:tr w:rsidR="00E371BA" w:rsidRPr="00507A31" w14:paraId="442B81F4" w14:textId="77777777">
        <w:tc>
          <w:tcPr>
            <w:tcW w:w="3369" w:type="dxa"/>
          </w:tcPr>
          <w:p w14:paraId="54E5078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715E27D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w:t>
            </w:r>
          </w:p>
        </w:tc>
      </w:tr>
      <w:tr w:rsidR="00E371BA" w:rsidRPr="00507A31" w14:paraId="63A50713" w14:textId="77777777">
        <w:tc>
          <w:tcPr>
            <w:tcW w:w="3369" w:type="dxa"/>
          </w:tcPr>
          <w:p w14:paraId="54254A7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35A7062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200/3000</w:t>
            </w:r>
          </w:p>
        </w:tc>
      </w:tr>
      <w:tr w:rsidR="00E371BA" w:rsidRPr="00507A31" w14:paraId="44F1EA22" w14:textId="77777777">
        <w:tc>
          <w:tcPr>
            <w:tcW w:w="3369" w:type="dxa"/>
          </w:tcPr>
          <w:p w14:paraId="4D0D411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1087CDE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5B1368B1" w14:textId="77777777">
        <w:tc>
          <w:tcPr>
            <w:tcW w:w="3369" w:type="dxa"/>
          </w:tcPr>
          <w:p w14:paraId="0FAFF97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6D01046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4500-5000</w:t>
            </w:r>
          </w:p>
        </w:tc>
      </w:tr>
      <w:tr w:rsidR="00E371BA" w:rsidRPr="00507A31" w14:paraId="6E247469" w14:textId="77777777">
        <w:tc>
          <w:tcPr>
            <w:tcW w:w="3369" w:type="dxa"/>
          </w:tcPr>
          <w:p w14:paraId="12A436D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40D8256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4-6 пулеметов</w:t>
            </w:r>
          </w:p>
          <w:p w14:paraId="3F1FB7B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автоматическая пушка</w:t>
            </w:r>
          </w:p>
          <w:p w14:paraId="3ED78C0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3200-4000 кг бомб</w:t>
            </w:r>
          </w:p>
        </w:tc>
      </w:tr>
      <w:tr w:rsidR="00E371BA" w:rsidRPr="00507A31" w14:paraId="57D0B907" w14:textId="77777777">
        <w:tc>
          <w:tcPr>
            <w:tcW w:w="3369" w:type="dxa"/>
          </w:tcPr>
          <w:p w14:paraId="0792C80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250F523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1000</w:t>
            </w:r>
          </w:p>
        </w:tc>
      </w:tr>
      <w:tr w:rsidR="00E371BA" w:rsidRPr="00507A31" w14:paraId="7603C18A" w14:textId="77777777">
        <w:tc>
          <w:tcPr>
            <w:tcW w:w="3369" w:type="dxa"/>
          </w:tcPr>
          <w:p w14:paraId="7D5727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13887BD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октября 1932 года</w:t>
            </w:r>
          </w:p>
        </w:tc>
      </w:tr>
    </w:tbl>
    <w:p w14:paraId="0924D48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E371BA" w:rsidRPr="00507A31" w14:paraId="54D9C100" w14:textId="77777777">
        <w:tc>
          <w:tcPr>
            <w:tcW w:w="3369" w:type="dxa"/>
          </w:tcPr>
          <w:p w14:paraId="64FB042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0CDB51B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Р9-2М26</w:t>
            </w:r>
          </w:p>
        </w:tc>
      </w:tr>
      <w:tr w:rsidR="00E371BA" w:rsidRPr="00507A31" w14:paraId="55139C74" w14:textId="77777777">
        <w:tc>
          <w:tcPr>
            <w:tcW w:w="3369" w:type="dxa"/>
          </w:tcPr>
          <w:p w14:paraId="40CE04B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3A972FD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w:t>
            </w:r>
          </w:p>
        </w:tc>
      </w:tr>
      <w:tr w:rsidR="00E371BA" w:rsidRPr="00507A31" w14:paraId="4C57B7BD" w14:textId="77777777">
        <w:tc>
          <w:tcPr>
            <w:tcW w:w="3369" w:type="dxa"/>
          </w:tcPr>
          <w:p w14:paraId="6C65FB4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1F66F87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200/3000</w:t>
            </w:r>
          </w:p>
        </w:tc>
      </w:tr>
      <w:tr w:rsidR="00E371BA" w:rsidRPr="00507A31" w14:paraId="6CB97A3C" w14:textId="77777777">
        <w:tc>
          <w:tcPr>
            <w:tcW w:w="3369" w:type="dxa"/>
          </w:tcPr>
          <w:p w14:paraId="5C30AFD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52D5BCD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12,8/3000</w:t>
            </w:r>
          </w:p>
        </w:tc>
      </w:tr>
      <w:tr w:rsidR="00E371BA" w:rsidRPr="00507A31" w14:paraId="2EC2E8FE" w14:textId="77777777">
        <w:tc>
          <w:tcPr>
            <w:tcW w:w="3369" w:type="dxa"/>
          </w:tcPr>
          <w:p w14:paraId="2293479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072EF03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486096DA" w14:textId="77777777">
        <w:tc>
          <w:tcPr>
            <w:tcW w:w="3369" w:type="dxa"/>
          </w:tcPr>
          <w:p w14:paraId="06711EC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3CB6B59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6A9B37FD" w14:textId="77777777">
        <w:tc>
          <w:tcPr>
            <w:tcW w:w="3369" w:type="dxa"/>
          </w:tcPr>
          <w:p w14:paraId="3C8809D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49EED62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150-200</w:t>
            </w:r>
          </w:p>
        </w:tc>
      </w:tr>
      <w:tr w:rsidR="00E371BA" w:rsidRPr="00507A31" w14:paraId="5EF928D2" w14:textId="77777777">
        <w:tc>
          <w:tcPr>
            <w:tcW w:w="3369" w:type="dxa"/>
          </w:tcPr>
          <w:p w14:paraId="5FBFD53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5D63F69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марта 1932 года</w:t>
            </w:r>
          </w:p>
        </w:tc>
      </w:tr>
      <w:tr w:rsidR="00E371BA" w:rsidRPr="00507A31" w14:paraId="104AF4B1" w14:textId="77777777">
        <w:tc>
          <w:tcPr>
            <w:tcW w:w="3369" w:type="dxa"/>
          </w:tcPr>
          <w:p w14:paraId="179FF22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6E1AAC2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xml:space="preserve">ТШ2-М17 </w:t>
            </w:r>
          </w:p>
        </w:tc>
      </w:tr>
      <w:tr w:rsidR="00E371BA" w:rsidRPr="00507A31" w14:paraId="68BDDA4D" w14:textId="77777777">
        <w:tc>
          <w:tcPr>
            <w:tcW w:w="3369" w:type="dxa"/>
          </w:tcPr>
          <w:p w14:paraId="2699D77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76EC77D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w:t>
            </w:r>
          </w:p>
        </w:tc>
      </w:tr>
      <w:tr w:rsidR="00E371BA" w:rsidRPr="00507A31" w14:paraId="09A6DFFD" w14:textId="77777777">
        <w:tc>
          <w:tcPr>
            <w:tcW w:w="3369" w:type="dxa"/>
          </w:tcPr>
          <w:p w14:paraId="566CB78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Максимальная горизонтальная скорость/на высоте</w:t>
            </w:r>
          </w:p>
        </w:tc>
        <w:tc>
          <w:tcPr>
            <w:tcW w:w="7229" w:type="dxa"/>
          </w:tcPr>
          <w:p w14:paraId="23C9A40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200/0</w:t>
            </w:r>
          </w:p>
        </w:tc>
      </w:tr>
      <w:tr w:rsidR="00E371BA" w:rsidRPr="00507A31" w14:paraId="05090278" w14:textId="77777777">
        <w:tc>
          <w:tcPr>
            <w:tcW w:w="3369" w:type="dxa"/>
          </w:tcPr>
          <w:p w14:paraId="61EBA3E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27FBE18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11,6/3000</w:t>
            </w:r>
          </w:p>
        </w:tc>
      </w:tr>
      <w:tr w:rsidR="00E371BA" w:rsidRPr="00507A31" w14:paraId="7F586D42" w14:textId="77777777">
        <w:tc>
          <w:tcPr>
            <w:tcW w:w="3369" w:type="dxa"/>
          </w:tcPr>
          <w:p w14:paraId="45B06F1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1CA19E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5860</w:t>
            </w:r>
          </w:p>
        </w:tc>
      </w:tr>
      <w:tr w:rsidR="00E371BA" w:rsidRPr="00507A31" w14:paraId="0B075B43" w14:textId="77777777">
        <w:tc>
          <w:tcPr>
            <w:tcW w:w="3369" w:type="dxa"/>
          </w:tcPr>
          <w:p w14:paraId="7E64692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6D23A1E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 пулеметов</w:t>
            </w:r>
          </w:p>
        </w:tc>
      </w:tr>
      <w:tr w:rsidR="00E371BA" w:rsidRPr="00507A31" w14:paraId="5E8092AA" w14:textId="77777777">
        <w:tc>
          <w:tcPr>
            <w:tcW w:w="3369" w:type="dxa"/>
          </w:tcPr>
          <w:p w14:paraId="3444D74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5004AD7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2671A566" w14:textId="77777777">
        <w:tc>
          <w:tcPr>
            <w:tcW w:w="3369" w:type="dxa"/>
          </w:tcPr>
          <w:p w14:paraId="0587601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357D63F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декабря 1930 года</w:t>
            </w:r>
          </w:p>
        </w:tc>
      </w:tr>
      <w:tr w:rsidR="00E371BA" w:rsidRPr="00507A31" w14:paraId="30969790" w14:textId="77777777">
        <w:tc>
          <w:tcPr>
            <w:tcW w:w="3369" w:type="dxa"/>
          </w:tcPr>
          <w:p w14:paraId="70E2EE4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4CDC0AC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МДР-2М17</w:t>
            </w:r>
          </w:p>
        </w:tc>
      </w:tr>
      <w:tr w:rsidR="00E371BA" w:rsidRPr="00507A31" w14:paraId="545058F9" w14:textId="77777777">
        <w:tc>
          <w:tcPr>
            <w:tcW w:w="3369" w:type="dxa"/>
          </w:tcPr>
          <w:p w14:paraId="1C41414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0E725C6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w:t>
            </w:r>
          </w:p>
        </w:tc>
      </w:tr>
      <w:tr w:rsidR="00E371BA" w:rsidRPr="00507A31" w14:paraId="6515E0EF" w14:textId="77777777">
        <w:tc>
          <w:tcPr>
            <w:tcW w:w="3369" w:type="dxa"/>
          </w:tcPr>
          <w:p w14:paraId="29723C1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1E7762C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185/3000</w:t>
            </w:r>
          </w:p>
        </w:tc>
      </w:tr>
      <w:tr w:rsidR="00E371BA" w:rsidRPr="00507A31" w14:paraId="72476D2D" w14:textId="77777777">
        <w:tc>
          <w:tcPr>
            <w:tcW w:w="3369" w:type="dxa"/>
          </w:tcPr>
          <w:p w14:paraId="13630CD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59F049A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36/3000</w:t>
            </w:r>
          </w:p>
        </w:tc>
      </w:tr>
      <w:tr w:rsidR="00E371BA" w:rsidRPr="00507A31" w14:paraId="2906208C" w14:textId="77777777">
        <w:tc>
          <w:tcPr>
            <w:tcW w:w="3369" w:type="dxa"/>
          </w:tcPr>
          <w:p w14:paraId="393456C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27F2CF4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4250</w:t>
            </w:r>
          </w:p>
        </w:tc>
      </w:tr>
      <w:tr w:rsidR="00E371BA" w:rsidRPr="00507A31" w14:paraId="4494C8FF" w14:textId="77777777">
        <w:tc>
          <w:tcPr>
            <w:tcW w:w="3369" w:type="dxa"/>
          </w:tcPr>
          <w:p w14:paraId="6B1B613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146D6A5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 пулемета</w:t>
            </w:r>
          </w:p>
        </w:tc>
      </w:tr>
      <w:tr w:rsidR="00E371BA" w:rsidRPr="00507A31" w14:paraId="72E11F73" w14:textId="77777777">
        <w:tc>
          <w:tcPr>
            <w:tcW w:w="3369" w:type="dxa"/>
          </w:tcPr>
          <w:p w14:paraId="1AEFA61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76C4B1A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6BD42DBE" w14:textId="77777777">
        <w:tc>
          <w:tcPr>
            <w:tcW w:w="3369" w:type="dxa"/>
          </w:tcPr>
          <w:p w14:paraId="4180644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7594E2F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декабря 1930 года</w:t>
            </w:r>
          </w:p>
        </w:tc>
      </w:tr>
      <w:tr w:rsidR="00E371BA" w:rsidRPr="00507A31" w14:paraId="1D2757B5" w14:textId="77777777">
        <w:tc>
          <w:tcPr>
            <w:tcW w:w="3369" w:type="dxa"/>
          </w:tcPr>
          <w:p w14:paraId="45EBB05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7DD9874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МДР1-2М17</w:t>
            </w:r>
          </w:p>
        </w:tc>
      </w:tr>
      <w:tr w:rsidR="00E371BA" w:rsidRPr="00507A31" w14:paraId="731BB623" w14:textId="77777777">
        <w:tc>
          <w:tcPr>
            <w:tcW w:w="3369" w:type="dxa"/>
          </w:tcPr>
          <w:p w14:paraId="095C752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3B06133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w:t>
            </w:r>
          </w:p>
        </w:tc>
      </w:tr>
      <w:tr w:rsidR="00E371BA" w:rsidRPr="00507A31" w14:paraId="54BB6104" w14:textId="77777777">
        <w:tc>
          <w:tcPr>
            <w:tcW w:w="3369" w:type="dxa"/>
          </w:tcPr>
          <w:p w14:paraId="09274D6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43D16FD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165/3000</w:t>
            </w:r>
          </w:p>
        </w:tc>
      </w:tr>
      <w:tr w:rsidR="00E371BA" w:rsidRPr="00507A31" w14:paraId="071374EF" w14:textId="77777777">
        <w:tc>
          <w:tcPr>
            <w:tcW w:w="3369" w:type="dxa"/>
          </w:tcPr>
          <w:p w14:paraId="3385CA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2EAB922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32/3000</w:t>
            </w:r>
          </w:p>
        </w:tc>
      </w:tr>
      <w:tr w:rsidR="00E371BA" w:rsidRPr="00507A31" w14:paraId="75C7AC10" w14:textId="77777777">
        <w:tc>
          <w:tcPr>
            <w:tcW w:w="3369" w:type="dxa"/>
          </w:tcPr>
          <w:p w14:paraId="1079AB3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26AA7E9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4500</w:t>
            </w:r>
          </w:p>
        </w:tc>
      </w:tr>
      <w:tr w:rsidR="00E371BA" w:rsidRPr="00507A31" w14:paraId="6E826182" w14:textId="77777777">
        <w:tc>
          <w:tcPr>
            <w:tcW w:w="3369" w:type="dxa"/>
          </w:tcPr>
          <w:p w14:paraId="0820E50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70FE800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5FAB21FC" w14:textId="77777777">
        <w:tc>
          <w:tcPr>
            <w:tcW w:w="3369" w:type="dxa"/>
          </w:tcPr>
          <w:p w14:paraId="1AE3B7D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2D1026B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400</w:t>
            </w:r>
          </w:p>
        </w:tc>
      </w:tr>
      <w:tr w:rsidR="00E371BA" w:rsidRPr="00507A31" w14:paraId="09D13AF6" w14:textId="77777777">
        <w:tc>
          <w:tcPr>
            <w:tcW w:w="3369" w:type="dxa"/>
          </w:tcPr>
          <w:p w14:paraId="4343AE0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1677B7C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апреля 1931 года</w:t>
            </w:r>
          </w:p>
        </w:tc>
      </w:tr>
      <w:tr w:rsidR="00E371BA" w:rsidRPr="00507A31" w14:paraId="73451024" w14:textId="77777777">
        <w:tc>
          <w:tcPr>
            <w:tcW w:w="3369" w:type="dxa"/>
          </w:tcPr>
          <w:p w14:paraId="3ACFACA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4C1F993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И12</w:t>
            </w:r>
          </w:p>
        </w:tc>
      </w:tr>
      <w:tr w:rsidR="00E371BA" w:rsidRPr="00507A31" w14:paraId="5E537396" w14:textId="77777777">
        <w:tc>
          <w:tcPr>
            <w:tcW w:w="3369" w:type="dxa"/>
          </w:tcPr>
          <w:p w14:paraId="3B89346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19AB5E7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w:t>
            </w:r>
          </w:p>
        </w:tc>
      </w:tr>
      <w:tr w:rsidR="00E371BA" w:rsidRPr="00507A31" w14:paraId="5F48DD27" w14:textId="77777777">
        <w:tc>
          <w:tcPr>
            <w:tcW w:w="3369" w:type="dxa"/>
          </w:tcPr>
          <w:p w14:paraId="42862D7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Максимальная горизонтальная скорость/на высоте</w:t>
            </w:r>
          </w:p>
        </w:tc>
        <w:tc>
          <w:tcPr>
            <w:tcW w:w="7229" w:type="dxa"/>
          </w:tcPr>
          <w:p w14:paraId="308AFE4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0906EE0F" w14:textId="77777777">
        <w:tc>
          <w:tcPr>
            <w:tcW w:w="3369" w:type="dxa"/>
          </w:tcPr>
          <w:p w14:paraId="0958FD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Скороподъемность/на высоту</w:t>
            </w:r>
          </w:p>
        </w:tc>
        <w:tc>
          <w:tcPr>
            <w:tcW w:w="7229" w:type="dxa"/>
          </w:tcPr>
          <w:p w14:paraId="35FB696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3ECFE7F5" w14:textId="77777777">
        <w:tc>
          <w:tcPr>
            <w:tcW w:w="3369" w:type="dxa"/>
          </w:tcPr>
          <w:p w14:paraId="69E768E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7229" w:type="dxa"/>
          </w:tcPr>
          <w:p w14:paraId="6DB11DC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46028E4E" w14:textId="77777777">
        <w:tc>
          <w:tcPr>
            <w:tcW w:w="3369" w:type="dxa"/>
          </w:tcPr>
          <w:p w14:paraId="4902704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7229" w:type="dxa"/>
          </w:tcPr>
          <w:p w14:paraId="7D9B330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пушка ДРП</w:t>
            </w:r>
          </w:p>
        </w:tc>
      </w:tr>
      <w:tr w:rsidR="00E371BA" w:rsidRPr="00507A31" w14:paraId="2D2D666C" w14:textId="77777777">
        <w:tc>
          <w:tcPr>
            <w:tcW w:w="3369" w:type="dxa"/>
          </w:tcPr>
          <w:p w14:paraId="6B1A27A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7229" w:type="dxa"/>
          </w:tcPr>
          <w:p w14:paraId="6570A31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4E4D8DB7" w14:textId="77777777">
        <w:tc>
          <w:tcPr>
            <w:tcW w:w="3369" w:type="dxa"/>
          </w:tcPr>
          <w:p w14:paraId="41BF187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5B1BA31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июля 1931 года</w:t>
            </w:r>
          </w:p>
        </w:tc>
      </w:tr>
      <w:tr w:rsidR="00E371BA" w:rsidRPr="00507A31" w14:paraId="71B73CD0" w14:textId="77777777">
        <w:tc>
          <w:tcPr>
            <w:tcW w:w="3369" w:type="dxa"/>
          </w:tcPr>
          <w:p w14:paraId="10427AD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616EC6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И11-М41 (электронный)</w:t>
            </w:r>
          </w:p>
        </w:tc>
      </w:tr>
      <w:tr w:rsidR="00E371BA" w:rsidRPr="00507A31" w14:paraId="24305D89" w14:textId="77777777">
        <w:tc>
          <w:tcPr>
            <w:tcW w:w="3369" w:type="dxa"/>
          </w:tcPr>
          <w:p w14:paraId="1DA4FC0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7229" w:type="dxa"/>
          </w:tcPr>
          <w:p w14:paraId="5D65C48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w:t>
            </w:r>
          </w:p>
        </w:tc>
      </w:tr>
    </w:tbl>
    <w:p w14:paraId="6E810DF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Модернизация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E371BA" w:rsidRPr="00507A31" w14:paraId="6AB14330" w14:textId="77777777">
        <w:tc>
          <w:tcPr>
            <w:tcW w:w="3369" w:type="dxa"/>
          </w:tcPr>
          <w:p w14:paraId="680265B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3F062B2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xml:space="preserve">Армейский разведчик </w:t>
            </w:r>
          </w:p>
        </w:tc>
      </w:tr>
      <w:tr w:rsidR="00E371BA" w:rsidRPr="00507A31" w14:paraId="0F4AC795" w14:textId="77777777">
        <w:tc>
          <w:tcPr>
            <w:tcW w:w="3369" w:type="dxa"/>
          </w:tcPr>
          <w:p w14:paraId="2D6B7D1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0FAB212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Установка мотора М19 - 1 декабря 1930 года</w:t>
            </w:r>
          </w:p>
          <w:p w14:paraId="3324367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Установка мотора М34 – 1 квартал 1932 года</w:t>
            </w:r>
          </w:p>
        </w:tc>
      </w:tr>
      <w:tr w:rsidR="00E371BA" w:rsidRPr="00507A31" w14:paraId="1D11087A" w14:textId="77777777">
        <w:tc>
          <w:tcPr>
            <w:tcW w:w="3369" w:type="dxa"/>
          </w:tcPr>
          <w:p w14:paraId="42D749C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5835A53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Одноместный истребитель И5</w:t>
            </w:r>
          </w:p>
        </w:tc>
      </w:tr>
      <w:tr w:rsidR="00E371BA" w:rsidRPr="00507A31" w14:paraId="00946B8B" w14:textId="77777777">
        <w:tc>
          <w:tcPr>
            <w:tcW w:w="3369" w:type="dxa"/>
          </w:tcPr>
          <w:p w14:paraId="317EF8B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6F17D6B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Установка мотора М15 - IV квартал 1931 года</w:t>
            </w:r>
          </w:p>
        </w:tc>
      </w:tr>
      <w:tr w:rsidR="00E371BA" w:rsidRPr="00507A31" w14:paraId="67399F39" w14:textId="77777777">
        <w:tc>
          <w:tcPr>
            <w:tcW w:w="3369" w:type="dxa"/>
          </w:tcPr>
          <w:p w14:paraId="58EE772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Наименование самолета</w:t>
            </w:r>
          </w:p>
        </w:tc>
        <w:tc>
          <w:tcPr>
            <w:tcW w:w="7229" w:type="dxa"/>
          </w:tcPr>
          <w:p w14:paraId="4F5E143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Тяжелый бомбардировщик ТБ4</w:t>
            </w:r>
          </w:p>
        </w:tc>
      </w:tr>
      <w:tr w:rsidR="00E371BA" w:rsidRPr="00507A31" w14:paraId="0AD28858" w14:textId="77777777">
        <w:tc>
          <w:tcPr>
            <w:tcW w:w="3369" w:type="dxa"/>
          </w:tcPr>
          <w:p w14:paraId="289E3E7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7229" w:type="dxa"/>
          </w:tcPr>
          <w:p w14:paraId="59CF8FF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Установка мотора М35 – II квартал 1932 года</w:t>
            </w:r>
          </w:p>
        </w:tc>
      </w:tr>
    </w:tbl>
    <w:p w14:paraId="49C53F6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Примечания:</w:t>
      </w:r>
    </w:p>
    <w:p w14:paraId="2F1D5AE9"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Заканчивающиеся постройкой самолеты ТБ2, ТБ3, МТБ1, Р6, Р7, И6, И8 и ЛА-1 из плана исключаются и сроки предъявления на гос. испытания, предъявленные ранее не изменяются.</w:t>
      </w:r>
    </w:p>
    <w:p w14:paraId="14355AFD"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Морские ближние разведчики МБР-1 и МТБ-2 исключаются из плана и заменяются лицензионным САВОЙЯ 62 БИС, на котором впредь до выхода мотора М-34 устанавливается М27. Кроме того ВАО предусматривается установка Р5 на поплавки.</w:t>
      </w:r>
    </w:p>
    <w:p w14:paraId="5DF0542E"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И7-М17 заменяется лицензионным НД-37-М17.</w:t>
      </w:r>
    </w:p>
    <w:p w14:paraId="67DA525C"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Самолеты ХБ1 (химический боевик) и С1 (для связи) должны быть построены приспособлением соответствующих самолетов гражданской авиации.</w:t>
      </w:r>
    </w:p>
    <w:p w14:paraId="3D96719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Самолеты ДИ3, МИ2, как дублирующие образцы к ДИ4 и МИ3, а также И10, за отсутствием техпомощи, И9 из плана исключаются (6919, 10-11).</w:t>
      </w:r>
    </w:p>
    <w:p w14:paraId="4F912D8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Программа самолето и моторостроения ВОГВФ и ВВС до 1934 года включительно</w:t>
      </w:r>
    </w:p>
    <w:p w14:paraId="0F8BCB2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сухопутным самолетам</w:t>
      </w:r>
    </w:p>
    <w:p w14:paraId="00FCE1AC"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ТБ6 6М35 или 4М44 под пассажирский и грузовой 15 тонн коммерческой грузоподъемности дать два экземпляра в 1933 году. Дальность полета 1500 км.</w:t>
      </w:r>
    </w:p>
    <w:p w14:paraId="006A42CE"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ТБ7-6М44 30 тонн коммерческой грузоподъемности, пассажирский и грузовой. Дать 2 экземпляра в 1934 году. Дальность полета 2000 км.</w:t>
      </w:r>
    </w:p>
    <w:p w14:paraId="0791789C"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Х-1 2М34 коммерческой грузоподъемности 3 тонны. Пассажирский. Дальность 1500 км. Дать два экземпляра в 1932 году.</w:t>
      </w:r>
    </w:p>
    <w:p w14:paraId="72CCB83E"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ВС 2М самолет фотосъемочный, ОБВ, пассажирский. Коммерческой грузоподъемности 1 тонна. Дать два экземпляра в 1932 году.</w:t>
      </w:r>
    </w:p>
    <w:p w14:paraId="32C52399"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местной авиации П-3 1М-52. На 5 мест. Дать один экземпляр в 1932 году.</w:t>
      </w:r>
    </w:p>
    <w:p w14:paraId="4FF375E1"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У-3 М-48 связи, санитарный, спортивный, туризм. Дать один экземпляр в 1932 году.</w:t>
      </w:r>
    </w:p>
    <w:p w14:paraId="49FE15A6"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Пассажирский самолет горных районов 2М-35 тандем. Коммерческой грузоподъемности в 3,5 тонны. Нормальная работа Н=5000 м. Дальность 1500 км. Дать один экземпляр в 1933 году.</w:t>
      </w:r>
    </w:p>
    <w:p w14:paraId="3391642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Гидро</w:t>
      </w:r>
    </w:p>
    <w:p w14:paraId="6BBB5C98"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МДР-4 2М35 или 4М34, коммерческой грузоподъемности в 3 тонны. Скорость 250 км/час. Дальность 1500 км. Пассажирский. Дать два экземпляра в 1934 году.</w:t>
      </w:r>
    </w:p>
    <w:p w14:paraId="0DDC10CF"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МТБ-3 6М34 или 4М35. Коммерческой грузоподъемности в 5 тонн. Пассажирский 1 экземпляр и 1 экземпляр грузовой. Дать два экземпляра в 1933 году.</w:t>
      </w:r>
    </w:p>
    <w:p w14:paraId="4E7D83BB"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МБР-5 М-35 санитарный, опылитель, фотосъемочный, пассажирский. Коммерческая грузоподъемность 1 тонна. Дать два экземпляра в 1933 году.</w:t>
      </w:r>
    </w:p>
    <w:p w14:paraId="40336F0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Амфибия</w:t>
      </w:r>
    </w:p>
    <w:p w14:paraId="103848ED"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Амфибия для речных районов 4М-34 тандем, коммерческой грузоподъемностью 4 тонны. Пассажирский. Дальность 1000 км. Срок готовности май 1933 года.</w:t>
      </w:r>
    </w:p>
    <w:p w14:paraId="5A526198"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Амфибия 2М-35 тандем, коммерческой грузоподъемностью 4 тонны, пассажирский, грузовой. Дать два экземпляра в 1933 году.</w:t>
      </w:r>
    </w:p>
    <w:p w14:paraId="2576F896"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Амфибия 6М-35 тандем, коммерческой грузоподъемностью 7 тонн. Дальность 2000 км. Пассажирский, грузовой. Дать один экземпляр в 1934 году.</w:t>
      </w:r>
    </w:p>
    <w:p w14:paraId="602B4957"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Фотосъемочная амфибия 2М-52 коммерческой грузоподъемностью 1 тонна. Срок готовности 1933 год.</w:t>
      </w:r>
    </w:p>
    <w:p w14:paraId="77A966F1"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Амфибия пассажирская 2М-34, коммерческой грузоподъемностью в 2,5 тонны. Срок готовности 1933 год.</w:t>
      </w:r>
    </w:p>
    <w:p w14:paraId="38DF31A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опытным моторам</w:t>
      </w:r>
    </w:p>
    <w:p w14:paraId="658172B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М-33 блок М-34 300 л.с. Срок готовности 1932 год.</w:t>
      </w:r>
    </w:p>
    <w:p w14:paraId="321AD18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М-34 готовность 1932 год 750 л.с.</w:t>
      </w:r>
    </w:p>
    <w:p w14:paraId="49E4722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М-48 готовность 1932 год 165 л.с.</w:t>
      </w:r>
    </w:p>
    <w:p w14:paraId="5BFCC4D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Арктический мотор готовность в 1933 году</w:t>
      </w:r>
    </w:p>
    <w:p w14:paraId="0B17870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НАМИ 65 л.с. пустить в серию</w:t>
      </w:r>
    </w:p>
    <w:p w14:paraId="20A3F01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Усовершенствовать М-26 готовность 1933 год</w:t>
      </w:r>
    </w:p>
    <w:p w14:paraId="4C3F307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М-22 с редуктором 1932 год 500 л.с.</w:t>
      </w:r>
    </w:p>
    <w:p w14:paraId="2F3364A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М-15 усовершенствовать к январю 1933 года</w:t>
      </w:r>
    </w:p>
    <w:p w14:paraId="61AA2F1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Моторы на тяжелом топливе</w:t>
      </w:r>
    </w:p>
    <w:p w14:paraId="58DC806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Дизель 300 л.с. типа Паккард – 1933 год</w:t>
      </w:r>
    </w:p>
    <w:p w14:paraId="1E37F35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Дизель 600 л.с. – 1933 год</w:t>
      </w:r>
    </w:p>
    <w:p w14:paraId="637E783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Дизель 450 л.с. – 1933 год</w:t>
      </w:r>
    </w:p>
    <w:p w14:paraId="05D5BCC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Дизель 750-900 л.с. –1934 год</w:t>
      </w:r>
    </w:p>
    <w:p w14:paraId="73B7007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Дизель 1000-1200 л.с. –1934 год</w:t>
      </w:r>
    </w:p>
    <w:p w14:paraId="4E9ACD7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Опытные моторы на тяжелом топливе на 1933 год</w:t>
      </w:r>
    </w:p>
    <w:p w14:paraId="23C8690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Мотор водяного охлаждения М-35 срок готовности 1933 год</w:t>
      </w:r>
    </w:p>
    <w:p w14:paraId="5A7115F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Мотор водяного охлаждения М-44 срок готовности 1933 год</w:t>
      </w:r>
    </w:p>
    <w:p w14:paraId="3F6587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М-52 срок готовности 1933 год (6919, 57-58).6 октября 1931 г. начальник 1-го отдела Горощенко писал письмо N 508с начальнику ВВС.</w:t>
      </w:r>
    </w:p>
    <w:p w14:paraId="35182E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сем представляется сводка результатов испытания самолета И4 N 1514 ЮVI -480 л.с.</w:t>
      </w:r>
    </w:p>
    <w:p w14:paraId="7BCBFC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Цель работы</w:t>
      </w:r>
    </w:p>
    <w:p w14:paraId="5BA0D2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Определение летно-технических данных самолета И4 моноплана и влияние на летные данные разрезного крыла и особого вида капота.</w:t>
      </w:r>
    </w:p>
    <w:p w14:paraId="43AE88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предъявлен на испытание в НИИ 6 сентября 1931 г.</w:t>
      </w:r>
    </w:p>
    <w:p w14:paraId="19A98A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закончено 23 сентября 1931 г.</w:t>
      </w:r>
    </w:p>
    <w:p w14:paraId="184527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Количество полетов - 40</w:t>
      </w:r>
    </w:p>
    <w:p w14:paraId="3000D1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Налетано часов - 20 час. 14 мин.</w:t>
      </w:r>
    </w:p>
    <w:p w14:paraId="2A653A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088454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Ввиду уменьшения прочности самолета И4-ЮVI моноплана и незначительному улучшению его летных данных, считать переделку построенных самолетов И4-ЮVI под монопланы нерациональной (3262).</w:t>
      </w:r>
    </w:p>
    <w:p w14:paraId="57BA9476" w14:textId="77777777" w:rsidR="00537E5F" w:rsidRPr="00507A31" w:rsidRDefault="00537E5F" w:rsidP="00507A31">
      <w:pPr>
        <w:autoSpaceDE w:val="0"/>
        <w:autoSpaceDN w:val="0"/>
        <w:adjustRightInd w:val="0"/>
        <w:jc w:val="both"/>
        <w:rPr>
          <w:color w:val="000000" w:themeColor="text1"/>
          <w:sz w:val="16"/>
          <w:szCs w:val="16"/>
        </w:rPr>
      </w:pPr>
    </w:p>
    <w:p w14:paraId="2BDE4B9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A066F5F" w14:textId="77777777" w:rsidR="00537E5F" w:rsidRPr="00507A31" w:rsidRDefault="00537E5F" w:rsidP="00507A31">
      <w:pPr>
        <w:autoSpaceDE w:val="0"/>
        <w:autoSpaceDN w:val="0"/>
        <w:adjustRightInd w:val="0"/>
        <w:jc w:val="both"/>
        <w:rPr>
          <w:iCs/>
          <w:color w:val="000000" w:themeColor="text1"/>
          <w:sz w:val="16"/>
          <w:szCs w:val="16"/>
        </w:rPr>
      </w:pPr>
    </w:p>
    <w:p w14:paraId="33EB33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октября 1930 г. вышли ПРЕДЛОЖЕНИЯ УММ В ГОСПО О СТРОИТЕЛЬСТВЕ СОЮЗНОГО МЕХАНИЗИРОВАННОГО МОТОРИЗИРОВАННОГО ЦЕНТРА</w:t>
      </w:r>
    </w:p>
    <w:p w14:paraId="612870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676122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 время нашей с Вами командировки, осуществленной по постановлению Правительства с за</w:t>
      </w:r>
      <w:r w:rsidRPr="00507A31">
        <w:rPr>
          <w:color w:val="000000" w:themeColor="text1"/>
          <w:sz w:val="16"/>
          <w:szCs w:val="16"/>
        </w:rPr>
        <w:softHyphen/>
        <w:t>дачей купить образцы танков, Вы могли лично убедиться в том, как капиталистические страны со своими промышленными предприятиями увязали свою работу с точки зрения испытаний образцов на соответствующих военных полигонах. Мы с Вами видели, что «Виккерс Армстронг» пользуется танковым полем танкового корпуса Британской Армии. Мы также констатировали тот факт, что фирма «Сомуа» и фирма «Ситроен» пользуются танковым полем под Версалем.</w:t>
      </w:r>
    </w:p>
    <w:p w14:paraId="1485F8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РВС СССР принято решение организовать Союзный механизированный и моторизированный центр под Москвой, в 75 километрах от Москвы, в районе Наро-Фоминска, Строительные работы предполагается начать с весны будущего года.</w:t>
      </w:r>
    </w:p>
    <w:p w14:paraId="72AD53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Учитывая опыт Иностранных армий по организации испытательных полигонов и моторизиро-ванных центров, РВС СССР считает, что в части, касающейся постройки полигона, организации тан</w:t>
      </w:r>
      <w:r w:rsidRPr="00507A31">
        <w:rPr>
          <w:color w:val="000000" w:themeColor="text1"/>
          <w:sz w:val="16"/>
          <w:szCs w:val="16"/>
        </w:rPr>
        <w:softHyphen/>
        <w:t>кодрома и автодрома, должны принять участие и промышленные предприятия, ибо это, с одной стороны, даст надлежащую увязку совместных работ, с другой стороны, будет большим сбережением государственных средств.</w:t>
      </w:r>
    </w:p>
    <w:p w14:paraId="7E6D31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РВС полагает, что участие в строительстве Полигона должны принять участие следующие организации: НКВМ (УММ), ГОСПО, ПАРВАГДИЗ, ВАТО, МПУ. Для этой цели все должны внести по од-; ному миллиону рублей. РВС, со своей стороны, в смете один миллион предусмотрело.</w:t>
      </w:r>
    </w:p>
    <w:p w14:paraId="3E0D43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основании всего вышеизложенного прошу:</w:t>
      </w:r>
    </w:p>
    <w:p w14:paraId="1DDE25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предусмотреть в своей смете в 1931 году один миллион рублей;</w:t>
      </w:r>
    </w:p>
    <w:p w14:paraId="6E5FA2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выделить ответственное лицо, которое бы приняло непосредственное участие в составлении) проектов, а также в контроле и наблюдении за строительством.</w:t>
      </w:r>
    </w:p>
    <w:p w14:paraId="65F33E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 откажите в просьбе о Вашем решении поставить меня в известность.</w:t>
      </w:r>
    </w:p>
    <w:p w14:paraId="3FBECC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УММ РШ Халепский</w:t>
      </w:r>
    </w:p>
    <w:p w14:paraId="15CB15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368. Л. 47 - 48. Копия (11210).</w:t>
      </w:r>
    </w:p>
    <w:p w14:paraId="2AF25E79" w14:textId="77777777" w:rsidR="00537E5F" w:rsidRPr="00507A31" w:rsidRDefault="00537E5F" w:rsidP="00507A31">
      <w:pPr>
        <w:autoSpaceDE w:val="0"/>
        <w:autoSpaceDN w:val="0"/>
        <w:adjustRightInd w:val="0"/>
        <w:jc w:val="both"/>
        <w:rPr>
          <w:color w:val="000000" w:themeColor="text1"/>
          <w:sz w:val="16"/>
          <w:szCs w:val="16"/>
        </w:rPr>
      </w:pPr>
    </w:p>
    <w:p w14:paraId="2F1F12E3" w14:textId="77777777" w:rsidR="008B6C1D" w:rsidRPr="00507A31" w:rsidRDefault="008B6C1D" w:rsidP="00507A31">
      <w:pPr>
        <w:jc w:val="both"/>
        <w:rPr>
          <w:color w:val="000000" w:themeColor="text1"/>
          <w:sz w:val="16"/>
          <w:szCs w:val="16"/>
        </w:rPr>
      </w:pPr>
      <w:r w:rsidRPr="00507A31">
        <w:rPr>
          <w:color w:val="000000" w:themeColor="text1"/>
          <w:sz w:val="16"/>
          <w:szCs w:val="16"/>
        </w:rPr>
        <w:t>6 октября 1930 г.</w:t>
      </w:r>
    </w:p>
    <w:p w14:paraId="56245A84" w14:textId="77777777" w:rsidR="008B6C1D" w:rsidRPr="00507A31" w:rsidRDefault="008B6C1D" w:rsidP="00507A31">
      <w:pPr>
        <w:jc w:val="both"/>
        <w:rPr>
          <w:color w:val="000000" w:themeColor="text1"/>
          <w:sz w:val="16"/>
          <w:szCs w:val="16"/>
        </w:rPr>
      </w:pPr>
      <w:r w:rsidRPr="00507A31">
        <w:rPr>
          <w:color w:val="000000" w:themeColor="text1"/>
          <w:sz w:val="16"/>
          <w:szCs w:val="16"/>
        </w:rPr>
        <w:t>Показания В. А. Ларичева о деятельности членов «Инженерно-Технического Центра» в отношении «ответственных партийных работников» и связях с «правой оппозицией» в партии. 6 октября 1930 г.</w:t>
      </w:r>
    </w:p>
    <w:p w14:paraId="4BB161CE" w14:textId="77777777" w:rsidR="008B6C1D" w:rsidRPr="00507A31" w:rsidRDefault="008B6C1D" w:rsidP="00507A31">
      <w:pPr>
        <w:jc w:val="both"/>
        <w:rPr>
          <w:color w:val="000000" w:themeColor="text1"/>
          <w:sz w:val="16"/>
          <w:szCs w:val="16"/>
        </w:rPr>
      </w:pPr>
      <w:r w:rsidRPr="00507A31">
        <w:rPr>
          <w:color w:val="000000" w:themeColor="text1"/>
          <w:sz w:val="16"/>
          <w:szCs w:val="16"/>
        </w:rPr>
        <w:t>Источник: </w:t>
      </w:r>
    </w:p>
    <w:p w14:paraId="6F01EC3B" w14:textId="77777777" w:rsidR="008B6C1D" w:rsidRPr="00507A31" w:rsidRDefault="008B6C1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7D08FD1" w14:textId="77777777" w:rsidR="008B6C1D" w:rsidRPr="00507A31" w:rsidRDefault="008B6C1D" w:rsidP="00507A31">
      <w:pPr>
        <w:jc w:val="both"/>
        <w:rPr>
          <w:color w:val="000000" w:themeColor="text1"/>
          <w:sz w:val="16"/>
          <w:szCs w:val="16"/>
        </w:rPr>
      </w:pPr>
      <w:r w:rsidRPr="00507A31">
        <w:rPr>
          <w:color w:val="000000" w:themeColor="text1"/>
          <w:sz w:val="16"/>
          <w:szCs w:val="16"/>
        </w:rPr>
        <w:t>6 октября 1930 г.</w:t>
      </w:r>
    </w:p>
    <w:p w14:paraId="572A0C7B" w14:textId="77777777" w:rsidR="008B6C1D" w:rsidRPr="00507A31" w:rsidRDefault="008B6C1D" w:rsidP="00507A31">
      <w:pPr>
        <w:jc w:val="both"/>
        <w:rPr>
          <w:color w:val="000000" w:themeColor="text1"/>
          <w:sz w:val="16"/>
          <w:szCs w:val="16"/>
        </w:rPr>
      </w:pPr>
      <w:r w:rsidRPr="00507A31">
        <w:rPr>
          <w:color w:val="000000" w:themeColor="text1"/>
          <w:sz w:val="16"/>
          <w:szCs w:val="16"/>
        </w:rPr>
        <w:t>[СТРОГО СЕКРЕТНО]</w:t>
      </w:r>
    </w:p>
    <w:p w14:paraId="032DB66F" w14:textId="77777777" w:rsidR="008B6C1D" w:rsidRPr="00507A31" w:rsidRDefault="008B6C1D" w:rsidP="00507A31">
      <w:pPr>
        <w:jc w:val="both"/>
        <w:rPr>
          <w:color w:val="000000" w:themeColor="text1"/>
          <w:sz w:val="16"/>
          <w:szCs w:val="16"/>
        </w:rPr>
      </w:pPr>
      <w:r w:rsidRPr="00507A31">
        <w:rPr>
          <w:color w:val="000000" w:themeColor="text1"/>
          <w:sz w:val="16"/>
          <w:szCs w:val="16"/>
        </w:rPr>
        <w:t>ПОКАЗАНИЯ</w:t>
      </w:r>
    </w:p>
    <w:p w14:paraId="0BBC7B72" w14:textId="77777777" w:rsidR="008B6C1D" w:rsidRPr="00507A31" w:rsidRDefault="008B6C1D" w:rsidP="00507A31">
      <w:pPr>
        <w:jc w:val="both"/>
        <w:rPr>
          <w:color w:val="000000" w:themeColor="text1"/>
          <w:sz w:val="16"/>
          <w:szCs w:val="16"/>
        </w:rPr>
      </w:pPr>
      <w:r w:rsidRPr="00507A31">
        <w:rPr>
          <w:color w:val="000000" w:themeColor="text1"/>
          <w:sz w:val="16"/>
          <w:szCs w:val="16"/>
        </w:rPr>
        <w:t>ЛАРИЧЕВА Виктора Алексеевича</w:t>
      </w:r>
    </w:p>
    <w:p w14:paraId="58D883F4" w14:textId="77777777" w:rsidR="008B6C1D" w:rsidRPr="00507A31" w:rsidRDefault="008B6C1D" w:rsidP="00507A31">
      <w:pPr>
        <w:jc w:val="both"/>
        <w:rPr>
          <w:color w:val="000000" w:themeColor="text1"/>
          <w:sz w:val="16"/>
          <w:szCs w:val="16"/>
        </w:rPr>
      </w:pPr>
      <w:r w:rsidRPr="00507A31">
        <w:rPr>
          <w:color w:val="000000" w:themeColor="text1"/>
          <w:sz w:val="16"/>
          <w:szCs w:val="16"/>
        </w:rPr>
        <w:t>от 6/Х 1930 г.</w:t>
      </w:r>
    </w:p>
    <w:p w14:paraId="054B19AD" w14:textId="77777777" w:rsidR="008B6C1D" w:rsidRPr="00507A31" w:rsidRDefault="008B6C1D" w:rsidP="00507A31">
      <w:pPr>
        <w:jc w:val="both"/>
        <w:rPr>
          <w:color w:val="000000" w:themeColor="text1"/>
          <w:sz w:val="16"/>
          <w:szCs w:val="16"/>
        </w:rPr>
      </w:pPr>
      <w:r w:rsidRPr="00507A31">
        <w:rPr>
          <w:color w:val="000000" w:themeColor="text1"/>
          <w:sz w:val="16"/>
          <w:szCs w:val="16"/>
        </w:rPr>
        <w:t>В развитие и дополнение моих показаний о деятельности членов Инженерно-Технического Центра в направлении воздействия на ответственных партийных работников и усиления правой оппозиции в партии показываю следующие известные мне факты:</w:t>
      </w:r>
    </w:p>
    <w:p w14:paraId="2D24B793" w14:textId="77777777" w:rsidR="008B6C1D" w:rsidRPr="00507A31" w:rsidRDefault="008B6C1D" w:rsidP="00507A31">
      <w:pPr>
        <w:jc w:val="both"/>
        <w:rPr>
          <w:color w:val="000000" w:themeColor="text1"/>
          <w:sz w:val="16"/>
          <w:szCs w:val="16"/>
        </w:rPr>
      </w:pPr>
      <w:r w:rsidRPr="00507A31">
        <w:rPr>
          <w:color w:val="000000" w:themeColor="text1"/>
          <w:sz w:val="16"/>
          <w:szCs w:val="16"/>
        </w:rPr>
        <w:t>Как я уже показал, использование внутрипартийных разногласий инж.[-]тех. центр считал одной из основных задач деятельности своих членов, особенно тех, кто пользовался личным доверием и имел соприкосновение с высшими партийными работниками. Обработка их взглядов на основные вопросы хозяйственной политики давала основание рассчитывать на усиление правой оппозиции в рядах партии и создавала надежду на раскол в партии, что, конечно, соответствовало целевым установкам инженерно-технического центра.</w:t>
      </w:r>
    </w:p>
    <w:p w14:paraId="74A33EF1" w14:textId="77777777" w:rsidR="008B6C1D" w:rsidRPr="00507A31" w:rsidRDefault="008B6C1D" w:rsidP="00507A31">
      <w:pPr>
        <w:jc w:val="both"/>
        <w:rPr>
          <w:color w:val="000000" w:themeColor="text1"/>
          <w:sz w:val="16"/>
          <w:szCs w:val="16"/>
        </w:rPr>
      </w:pPr>
      <w:r w:rsidRPr="00507A31">
        <w:rPr>
          <w:color w:val="000000" w:themeColor="text1"/>
          <w:sz w:val="16"/>
          <w:szCs w:val="16"/>
        </w:rPr>
        <w:t>Эти вопросы подвергались детальному обсуждению среди видных членов инж.[-]тех. центр[а] и вырабатывались директивы и методы такого воздействия на партийных работников. Из моей работы в Инж.[-] Технич. Центре мне известны следующие моменты этой деятельности.</w:t>
      </w:r>
    </w:p>
    <w:p w14:paraId="35B29AC3" w14:textId="77777777" w:rsidR="008B6C1D" w:rsidRPr="00507A31" w:rsidRDefault="008B6C1D" w:rsidP="00507A31">
      <w:pPr>
        <w:jc w:val="both"/>
        <w:rPr>
          <w:color w:val="000000" w:themeColor="text1"/>
          <w:sz w:val="16"/>
          <w:szCs w:val="16"/>
        </w:rPr>
      </w:pPr>
      <w:r w:rsidRPr="00507A31">
        <w:rPr>
          <w:color w:val="000000" w:themeColor="text1"/>
          <w:sz w:val="16"/>
          <w:szCs w:val="16"/>
        </w:rPr>
        <w:t>Членам Инж.[-]Техн. Центра — РАБИНОВИЧУ, ФЕДОРОВИЧУ и мне была поручена обработка Г. И. Ломова. Ему нужно прежде всего было доказать, что намеченный вредительской организацией план развития Донбасса является предельно возможным и что развитие топливной базы страны строго ограничено известным лимитом, от которого зависит и все развитие народного хозяйства. Эти положения внедрялись в его сознание кроме нас и всей вредительской организацией Донугля — его техническим Советом, где председателем и руководителем был РАБИНОВИЧ[,] и техническим директором БОЯРШИНОВЫМ. В личных беседах с ЛОМОВЫМ усиленно преувеличивались трудности осуществления нового шахтного строительства, подчеркивались и указывались ненормальности положения специалистов среди рабочих организаций и неправильность политики партийных органов в отношении усиления контроля деятельности специалистов и образования треугольников, — как мешающих работе, и т. п. вопросы хозяйственной и партийной жизни. До ареста Шахтинской группы эти нажимы давали свои определенные результаты в том, что вредительская деятельность в Донугле шла весьма интенсивно и через посредство ЛОМОВА устранялись всякие препятствия для ее осуществления. Труднее пришлось мне после Шахтинского процесса воздействовать на ЛОМОВА, доказывая ему, что в конце концов вредительство в ДОНБАССЕ искусственно раздуто Шахтинским процессом и что действительно осуществление нового строительства крайне трудно. При составлении пятилетки я поддерживал его убеждения, что больше, чем 50 мл. тн. Донбасс дать не может. Во время его приезда в Москву мне с ним приходилось вести разговоры относительно общего топливного положения, как явно недостаточного для быстрых темпов развития народного хозяйства.</w:t>
      </w:r>
    </w:p>
    <w:p w14:paraId="1FE80462" w14:textId="77777777" w:rsidR="008B6C1D" w:rsidRPr="00507A31" w:rsidRDefault="008B6C1D" w:rsidP="00507A31">
      <w:pPr>
        <w:jc w:val="both"/>
        <w:rPr>
          <w:color w:val="000000" w:themeColor="text1"/>
          <w:sz w:val="16"/>
          <w:szCs w:val="16"/>
        </w:rPr>
      </w:pPr>
      <w:r w:rsidRPr="00507A31">
        <w:rPr>
          <w:color w:val="000000" w:themeColor="text1"/>
          <w:sz w:val="16"/>
          <w:szCs w:val="16"/>
        </w:rPr>
        <w:t>Такую обработку Г. И. ЛОМОВА Инж.[-]Техн. Центр считал необходимым вести потому, что близко знавшие его не считали его политические убеждения устойчивыми и что он сам может [в]стать в ряды правой оппозиции. Кроме того, мы знали, что он находится в весьма близких отношениях с А. И. РЫКОВЫМ и часто у него бывает. Поэтому его косвенное влияние как крупного хозяйственника на отношение РЫКОВА к вопросам нового строительства и темпам будет иметь определенные результаты.</w:t>
      </w:r>
    </w:p>
    <w:p w14:paraId="22FCD967" w14:textId="77777777" w:rsidR="008B6C1D" w:rsidRPr="00507A31" w:rsidRDefault="008B6C1D" w:rsidP="00507A31">
      <w:pPr>
        <w:jc w:val="both"/>
        <w:rPr>
          <w:color w:val="000000" w:themeColor="text1"/>
          <w:sz w:val="16"/>
          <w:szCs w:val="16"/>
        </w:rPr>
      </w:pPr>
      <w:r w:rsidRPr="00507A31">
        <w:rPr>
          <w:color w:val="000000" w:themeColor="text1"/>
          <w:sz w:val="16"/>
          <w:szCs w:val="16"/>
        </w:rPr>
        <w:t>СТРИЖОВУ было дано аналогичное задание в отношении обработки руководителей Нефтетрестов — БАРИНОВА и ГАНШИНА. Эта задача членами вредительской организации нефтяной промышленности выполнялась довольно успешно; и если они не выступали как правые уклонисты, то в вопросах хозяйственной политики партии и нажима на темпы считали их необоснованными. В этом отношении создание среди них оппортунистического отношения к вопросам хозяйственной политики партии было достигнуто в достаточной мере.</w:t>
      </w:r>
    </w:p>
    <w:p w14:paraId="592D07ED" w14:textId="77777777" w:rsidR="008B6C1D" w:rsidRPr="00507A31" w:rsidRDefault="008B6C1D" w:rsidP="00507A31">
      <w:pPr>
        <w:jc w:val="both"/>
        <w:rPr>
          <w:color w:val="000000" w:themeColor="text1"/>
          <w:sz w:val="16"/>
          <w:szCs w:val="16"/>
        </w:rPr>
      </w:pPr>
      <w:r w:rsidRPr="00507A31">
        <w:rPr>
          <w:color w:val="000000" w:themeColor="text1"/>
          <w:sz w:val="16"/>
          <w:szCs w:val="16"/>
        </w:rPr>
        <w:t xml:space="preserve">В отношении ЧУБАРОВА я уже показывал, что он полностью был во власти членов вредительской организации ГЛАВГОРТОПА (СТРИЖОВА, СКАРУТО, НАЗИМОВА, КАПЕЛЯНСКОГО, ПРОРВИЧА и др.) и был для вредительской организации надежным проводником политики инженерно-технического центра. Им пользовался Инж.[-]Техн. Центр для освещения перед РУХИМОВИЧЕМ топливного положения и выработки в нем неверия в возможности быстрого развертывания нового строительства в топливной промышленности. Лично я при встречах с РУХИМОВИЧЕМ на заседаниях и в приемной СТО также убеждал его в этом и судя по </w:t>
      </w:r>
      <w:r w:rsidRPr="00507A31">
        <w:rPr>
          <w:color w:val="000000" w:themeColor="text1"/>
          <w:sz w:val="16"/>
          <w:szCs w:val="16"/>
        </w:rPr>
        <w:lastRenderedPageBreak/>
        <w:t>его отношению к вопросам ассигнования на капитальные затраты по топливной промышленности и по его взглядам на общее развитие топливной базы он во многом разделял наши взгляды на невозможность повышения размеров топливодобычи сверх намеченных пятилеткой.</w:t>
      </w:r>
    </w:p>
    <w:p w14:paraId="2F960230" w14:textId="77777777" w:rsidR="008B6C1D" w:rsidRPr="00507A31" w:rsidRDefault="008B6C1D" w:rsidP="00507A31">
      <w:pPr>
        <w:jc w:val="both"/>
        <w:rPr>
          <w:color w:val="000000" w:themeColor="text1"/>
          <w:sz w:val="16"/>
          <w:szCs w:val="16"/>
        </w:rPr>
      </w:pPr>
      <w:r w:rsidRPr="00507A31">
        <w:rPr>
          <w:color w:val="000000" w:themeColor="text1"/>
          <w:sz w:val="16"/>
          <w:szCs w:val="16"/>
        </w:rPr>
        <w:t>Таким образом[,] в отношении топливной промышленности нашей группой принимались меры, и с известными результатами, по подготовке мнения партийных работников в их отношениях к пятилетке — этому основному вопросу борьбы против осуществления быстрого перехода к крупному социалистическому строительству.</w:t>
      </w:r>
    </w:p>
    <w:p w14:paraId="28DEC547" w14:textId="77777777" w:rsidR="008B6C1D" w:rsidRPr="00507A31" w:rsidRDefault="008B6C1D" w:rsidP="00507A31">
      <w:pPr>
        <w:jc w:val="both"/>
        <w:rPr>
          <w:color w:val="000000" w:themeColor="text1"/>
          <w:sz w:val="16"/>
          <w:szCs w:val="16"/>
        </w:rPr>
      </w:pPr>
      <w:r w:rsidRPr="00507A31">
        <w:rPr>
          <w:color w:val="000000" w:themeColor="text1"/>
          <w:sz w:val="16"/>
          <w:szCs w:val="16"/>
        </w:rPr>
        <w:t>Из разговоров и докладов на совещаниях членов Инжен.[-]Техн. Центра мне известно, что подобную же работу в ВСНХ вели по металлу — ХРЕННИКОВ, ЖДАНОВ и КУТСКИЙ; по химпромышленности — КРАВЕЦ и ШЕИН, среди руководителей соответствующих хозорганов и по отношению МЕЖЛАУКА и ЮЛИНА.</w:t>
      </w:r>
    </w:p>
    <w:p w14:paraId="05430678" w14:textId="77777777" w:rsidR="008B6C1D" w:rsidRPr="00507A31" w:rsidRDefault="008B6C1D" w:rsidP="00507A31">
      <w:pPr>
        <w:jc w:val="both"/>
        <w:rPr>
          <w:color w:val="000000" w:themeColor="text1"/>
          <w:sz w:val="16"/>
          <w:szCs w:val="16"/>
        </w:rPr>
      </w:pPr>
      <w:r w:rsidRPr="00507A31">
        <w:rPr>
          <w:color w:val="000000" w:themeColor="text1"/>
          <w:sz w:val="16"/>
          <w:szCs w:val="16"/>
        </w:rPr>
        <w:t>Это была так сказать «текущая работа» членов вредительских организаций. Гораздо серьезней перед Инж.[-]Техн. Центром стояла задача охватить своим влиянием таких партийных работников, как КРЖИЖАНОВСКИЙ и РЫКОВ, которые своим влиянием сыграли бы решающую роль на прохождение пятилетки в правительстве.</w:t>
      </w:r>
    </w:p>
    <w:p w14:paraId="775BDC9E" w14:textId="77777777" w:rsidR="008B6C1D" w:rsidRPr="00507A31" w:rsidRDefault="008B6C1D" w:rsidP="00507A31">
      <w:pPr>
        <w:jc w:val="both"/>
        <w:rPr>
          <w:color w:val="000000" w:themeColor="text1"/>
          <w:sz w:val="16"/>
          <w:szCs w:val="16"/>
        </w:rPr>
      </w:pPr>
      <w:r w:rsidRPr="00507A31">
        <w:rPr>
          <w:color w:val="000000" w:themeColor="text1"/>
          <w:sz w:val="16"/>
          <w:szCs w:val="16"/>
        </w:rPr>
        <w:t>В отношении подчинения своему влиянию КРЖИЖАНОВСКОГО задание было дано ГОРЕВУ, КАЛИННИКОВУ и мне по следующим основаниям: 1) мы пользовались очень большим личным доверием КРЖИЖАНОВСКОГО и 2) надо было действовать на него по линии особо-чувствительного для него места — по вопросам энергетики. Выработать в КРЖИЖАНОВСКОМ неверие в осуществление быстрых темпов развития народного хозяйства было вполне возможно, доказав ему невозможность быстрого развития энергетической базы, как в отношении электростроительства, так и топливодобычи. В процессе совместной работы в секторе энергетики и в частых личных беседах мы проводили ряд доказательств наших ограниченных возможностей (по времени) выполнить широкую программу строительства в топливной промышленности и сооружения электростанций. КАЛИННИКОВ доказывал невозможность требуемого развития электропромышленности и машиностроения по изготовлению теплосилового оборудования (котлов, турбогенераторов и проч.) и, следовательно, нашу полную зависимость от импорта. В подобных убеждениях КРЖИЖАНОВСКОГО большую помощь нам оказывал в этом же направлении РАМЗИН, с мнением которого он очень считался. Зам. Пред. ГОСПЛАНА — ОСАДЧИЙ был также привлечен к воздействию на КРЖИЖАНОВСКОГО, принимая непосредственное участие в наших с ним разговорах по этим вопросам.</w:t>
      </w:r>
    </w:p>
    <w:p w14:paraId="1A2B8DFD" w14:textId="77777777" w:rsidR="008B6C1D" w:rsidRPr="00507A31" w:rsidRDefault="008B6C1D" w:rsidP="00507A31">
      <w:pPr>
        <w:jc w:val="both"/>
        <w:rPr>
          <w:color w:val="000000" w:themeColor="text1"/>
          <w:sz w:val="16"/>
          <w:szCs w:val="16"/>
        </w:rPr>
      </w:pPr>
      <w:r w:rsidRPr="00507A31">
        <w:rPr>
          <w:color w:val="000000" w:themeColor="text1"/>
          <w:sz w:val="16"/>
          <w:szCs w:val="16"/>
        </w:rPr>
        <w:t>Поскольку КРЖИЖАНОВСКИЙ, как сам энергетик, был убежден, что без достаточного развития энергетической базы невозможно развитие всего народного хозяйства, то вполне доверяя нам он был вполне убежден, что даже отправной вариант пятилетки будет трудно осуществить, а оптимальный вариант вообще практически не осуществим. В обработке его мнения по этому основному вопросу о пятилетке мы считали, что наша задача выполнена вполне успешно. </w:t>
      </w:r>
    </w:p>
    <w:p w14:paraId="13F2EEAA" w14:textId="77777777" w:rsidR="008B6C1D" w:rsidRPr="00507A31" w:rsidRDefault="008B6C1D" w:rsidP="00507A31">
      <w:pPr>
        <w:jc w:val="both"/>
        <w:rPr>
          <w:color w:val="000000" w:themeColor="text1"/>
          <w:sz w:val="16"/>
          <w:szCs w:val="16"/>
        </w:rPr>
      </w:pPr>
      <w:r w:rsidRPr="00507A31">
        <w:rPr>
          <w:color w:val="000000" w:themeColor="text1"/>
          <w:sz w:val="16"/>
          <w:szCs w:val="16"/>
        </w:rPr>
        <w:t>Кроме нашей обработки КРЖИЖАНОВСКОГО[,] велась усиленная компания со стороны экономистов ГОСПЛАНА — ГРОМАНА, БАЗАРОВА, ОГАНОВСКОГО по сель[скому] хоз[яйст]ву; это было необходимо, чтобы давлением остальной партийной группы ГОСПЛАНА КРЖИЖАНОВСКИЙ не сдал бы завоеванных нами позиций. О влиянии экономических кругов на КРЖИЖАНОВСКОГО и остальных партийных работников ГОСПЛАНА я уже говорил в своем предыдущем показании. Хотя КРЖИЖАНОВСКИЙ и не выступал как один из участников правой оппозиции, но в Инженерно-Техническом Центре мы считали, что он достаточно обработан и практически близок к правым по своим взглядам.</w:t>
      </w:r>
    </w:p>
    <w:p w14:paraId="69BABBBC" w14:textId="77777777" w:rsidR="008B6C1D" w:rsidRPr="00507A31" w:rsidRDefault="008B6C1D" w:rsidP="00507A31">
      <w:pPr>
        <w:jc w:val="both"/>
        <w:rPr>
          <w:color w:val="000000" w:themeColor="text1"/>
          <w:sz w:val="16"/>
          <w:szCs w:val="16"/>
        </w:rPr>
      </w:pPr>
      <w:r w:rsidRPr="00507A31">
        <w:rPr>
          <w:color w:val="000000" w:themeColor="text1"/>
          <w:sz w:val="16"/>
          <w:szCs w:val="16"/>
        </w:rPr>
        <w:t>В центре внимания нашей организации стоял вопрос воздействия на А. И. РЫКОВА. Различные влияния на него начали производиться уже давно через отдельных лиц, которые могли иметь с ним непосредственные сношения. Например: в [19]27 году по вопросам металлопромышленности он имел беседы с ХРЕННИКОВЫМ, который делая доклад развивал перед ним основную мысль вредительских организаций о невозможности развернуть строительство ряда новых металлургических заводов и что необходимо ограничиться пока приступом к строительству одного какого-либо завода, а также о нецелесообразности затрат на крупную реконструкцию существующих старых заводов и т. п. Насколько помню из разговора в Инж.[-]Техн. Центре по вопросам Текстильной промышленности с РЫКОВЫМ вел разговоры в соответствующем духе ФЕДОТОВ.</w:t>
      </w:r>
    </w:p>
    <w:p w14:paraId="3BC0FC2E" w14:textId="77777777" w:rsidR="008B6C1D" w:rsidRPr="00507A31" w:rsidRDefault="008B6C1D" w:rsidP="00507A31">
      <w:pPr>
        <w:jc w:val="both"/>
        <w:rPr>
          <w:color w:val="000000" w:themeColor="text1"/>
          <w:sz w:val="16"/>
          <w:szCs w:val="16"/>
        </w:rPr>
      </w:pPr>
      <w:r w:rsidRPr="00507A31">
        <w:rPr>
          <w:color w:val="000000" w:themeColor="text1"/>
          <w:sz w:val="16"/>
          <w:szCs w:val="16"/>
        </w:rPr>
        <w:t>Трудность непосредственных сношений с РЫКОВЫМ заставляла членов Инж.[-]Техн. организаций прибегать к косвенным методам его обработки. Для этой цели и были использованы посещения его ЛОМОВЫМ, ГАНШИНЫМ, БАРИНОВЫМ и др. хозяйственниками.</w:t>
      </w:r>
    </w:p>
    <w:p w14:paraId="7597453A" w14:textId="77777777" w:rsidR="008B6C1D" w:rsidRPr="00507A31" w:rsidRDefault="008B6C1D" w:rsidP="00507A31">
      <w:pPr>
        <w:jc w:val="both"/>
        <w:rPr>
          <w:color w:val="000000" w:themeColor="text1"/>
          <w:sz w:val="16"/>
          <w:szCs w:val="16"/>
        </w:rPr>
      </w:pPr>
      <w:r w:rsidRPr="00507A31">
        <w:rPr>
          <w:color w:val="000000" w:themeColor="text1"/>
          <w:sz w:val="16"/>
          <w:szCs w:val="16"/>
        </w:rPr>
        <w:t>Когда мы уже определенно поняли, что РЫКОВ является одним из лидеров правой оппозиции, то было решено еще больше усилить воздействие на него членов вредительской организации. В 1928 году, весной[,] на одном из заседаний членов Инж.[-]Техн. Центра было решено поручить эту задачу РАМЗИНУ и мне, привлекая тех лиц, которых мы сочтем необходимыми. Мне лично предстояло доказать ему, что топливо будет лимитом в развитии народного хозяйства, особенно в тяжелой промышленности; осуществление же быстрых темпов развития топливной и энергетической базы невозможно по техническим моментам. Мне не удалось попасть на личный прием к РЫКОВУ и пришлось для этого использовать свои выступления в СТО, где я, в докладе или в ответах на личные вопросы РЫКОВА, давал соответствующую оценку топливного положения и развивал указанные выше моменты. Кроме того, пользовался посещениями ЛОМОВА, чтобы через него доказать трудность Донбасского строительства; точно также и через КРЖИЖАНОВСКОГО во время его докладов у РЫКОВА, как у Председателя] СТО.</w:t>
      </w:r>
    </w:p>
    <w:p w14:paraId="4747BE14" w14:textId="77777777" w:rsidR="008B6C1D" w:rsidRPr="00507A31" w:rsidRDefault="008B6C1D" w:rsidP="00507A31">
      <w:pPr>
        <w:jc w:val="both"/>
        <w:rPr>
          <w:color w:val="000000" w:themeColor="text1"/>
          <w:sz w:val="16"/>
          <w:szCs w:val="16"/>
        </w:rPr>
      </w:pPr>
      <w:r w:rsidRPr="00507A31">
        <w:rPr>
          <w:color w:val="000000" w:themeColor="text1"/>
          <w:sz w:val="16"/>
          <w:szCs w:val="16"/>
        </w:rPr>
        <w:t>Когда я делал сообщение в Инж.[-]Техн. Центре о том, как идет выполнение порученной задачи, было признано необходимым усилить и расширить круг воздействия членов Инженерно-Технического Центра на Рыкова. Были мобилизованы ШЕИН и КАЛИННИКОВ для воздействия в других направлениях. ШЕИНУ было поручено добиться личного посещения РЫКОВА, что он мог сделать, как видный общественный работник, а кроме того использовать косвенный, но с нашей точки зрения очень верный путь воздействия через В. М. СВЕРДЛОВА. Нам было известно, что В. М. СВЕРДЛОВ часто бывает у РЫКОВА запросто в семейной обстановке, о многом его информирует и ведет с ним разговоры по наиболее злободневным вопросам в том числе и о пятилетке. Осуществить этим путем косвенное влияние должен был ШЕИН, т. к. он находился в приятельских отношениях с В. М. СВЕРДЛОВЫМ. Давая характеристику работ по составлению пятилетки и связанных с нею трудностей нового строительства, ШЕИН должен был через СВЕРДЛОВА провести еще и следующую мысль, которую Инж.[-]Техн. Центр подхватил от экономистов-конъюнктурщиков — ГРОМАНА и ГИНЗБУРГА. Начало [ 19]28—29 года было связано с большими затруднениями конъюнктурного порядка, в особенности по сельско-хозяйственному фронту, поэтому нужно было делать упор на то, чтобы не отрываться от конъюнктуры при составлении пятилетки и не гнаться за большими темпами индустриализации, а усилить внимание в отношении сельского хозяйства и направить усилия на развитие той части промышленности, которая помогла бы упрочить положение сельского хозяйства (оказывая помощь индивидуальным крестьянским хозяйствам) т. е. в снабжении его сель[ско-]хоз[яйственными] машинами и удобрениями. При этом для того, чтобы упрочить общее положение нужно было бы сосредоточить внимание на ближайших двух-трех годах. КАЛИННИКОВУ было поручено подготовить соответствующую записку по промышленности и кроме того ему же поручено было переговорить с ГРОМАНОМ, чтобы он указанные выше положения проводил при докладах о конъюнктуре в СТО. Этим преследовалась мысль отвлечь внимание от основных вопросов пятилетки и направить внимание на конъюнктурные затруднения сегодняшнего дня, а саму пятилетку превратить в двухлетку.</w:t>
      </w:r>
    </w:p>
    <w:p w14:paraId="2653D06C" w14:textId="77777777" w:rsidR="008B6C1D" w:rsidRPr="00507A31" w:rsidRDefault="008B6C1D" w:rsidP="00507A31">
      <w:pPr>
        <w:jc w:val="both"/>
        <w:rPr>
          <w:color w:val="000000" w:themeColor="text1"/>
          <w:sz w:val="16"/>
          <w:szCs w:val="16"/>
        </w:rPr>
      </w:pPr>
      <w:r w:rsidRPr="00507A31">
        <w:rPr>
          <w:color w:val="000000" w:themeColor="text1"/>
          <w:sz w:val="16"/>
          <w:szCs w:val="16"/>
        </w:rPr>
        <w:t>Из разговоров и отдельных сообщений в Инж.[-]Техн. Центре мне известно, что ШЕИН[Ы]М и КАЛИННИКОВЫМ эти поручения выполнялись успешно. Подтверждением этому служит отмеченн[о]е мною в предыдущем показании отношение РЫКОВА к пятилетке в его заключительном слове при обсуждении ее в СНК.</w:t>
      </w:r>
    </w:p>
    <w:p w14:paraId="786F79D3" w14:textId="77777777" w:rsidR="008B6C1D" w:rsidRPr="00507A31" w:rsidRDefault="008B6C1D" w:rsidP="00507A31">
      <w:pPr>
        <w:jc w:val="both"/>
        <w:rPr>
          <w:color w:val="000000" w:themeColor="text1"/>
          <w:sz w:val="16"/>
          <w:szCs w:val="16"/>
        </w:rPr>
      </w:pPr>
      <w:r w:rsidRPr="00507A31">
        <w:rPr>
          <w:color w:val="000000" w:themeColor="text1"/>
          <w:sz w:val="16"/>
          <w:szCs w:val="16"/>
        </w:rPr>
        <w:t>Пользуясь общественным положением ШЕИНА, Инж.[-]Техн. Центр использовал его также для ведения идеологической контрреволюционной работы, как Председателя ВМБИТа и как работника НТУ ВСНХ. Здесь ему поручено было вести соответствующую обработку и снабжение необходимыми материалами других видных членов правой оппозиции — ТОМСКОГО и БУХАРИНА. По линии НТУ в отношении БУХАРИНА совместно с ШЕИН[Ы]М работал и РАМЗИН. Технические детали и методы воздействия на этих лиц могут указать сами ШЕИН и РАМЗИН.</w:t>
      </w:r>
    </w:p>
    <w:p w14:paraId="67A19580" w14:textId="77777777" w:rsidR="008B6C1D" w:rsidRPr="00507A31" w:rsidRDefault="008B6C1D" w:rsidP="00507A31">
      <w:pPr>
        <w:jc w:val="both"/>
        <w:rPr>
          <w:color w:val="000000" w:themeColor="text1"/>
          <w:sz w:val="16"/>
          <w:szCs w:val="16"/>
        </w:rPr>
      </w:pPr>
      <w:r w:rsidRPr="00507A31">
        <w:rPr>
          <w:color w:val="000000" w:themeColor="text1"/>
          <w:sz w:val="16"/>
          <w:szCs w:val="16"/>
        </w:rPr>
        <w:t>Записано под мою диктовку и мною прочитано.</w:t>
      </w:r>
    </w:p>
    <w:p w14:paraId="3CF14776" w14:textId="77777777" w:rsidR="008B6C1D" w:rsidRPr="00507A31" w:rsidRDefault="008B6C1D" w:rsidP="00507A31">
      <w:pPr>
        <w:jc w:val="both"/>
        <w:rPr>
          <w:color w:val="000000" w:themeColor="text1"/>
          <w:sz w:val="16"/>
          <w:szCs w:val="16"/>
        </w:rPr>
      </w:pPr>
      <w:r w:rsidRPr="00507A31">
        <w:rPr>
          <w:color w:val="000000" w:themeColor="text1"/>
          <w:sz w:val="16"/>
          <w:szCs w:val="16"/>
        </w:rPr>
        <w:t>В. ЛАРИЧЕВ.</w:t>
      </w:r>
    </w:p>
    <w:p w14:paraId="0F4F4C4B" w14:textId="77777777" w:rsidR="008B6C1D" w:rsidRPr="00507A31" w:rsidRDefault="008B6C1D" w:rsidP="00507A31">
      <w:pPr>
        <w:jc w:val="both"/>
        <w:rPr>
          <w:color w:val="000000" w:themeColor="text1"/>
          <w:sz w:val="16"/>
          <w:szCs w:val="16"/>
        </w:rPr>
      </w:pPr>
      <w:r w:rsidRPr="00507A31">
        <w:rPr>
          <w:color w:val="000000" w:themeColor="text1"/>
          <w:sz w:val="16"/>
          <w:szCs w:val="16"/>
        </w:rPr>
        <w:t>ДОПРОСИЛ: Пом. Нач. I-ro Отд[еле]ния ЭКУ ОГПУ (Ржавский) «...» окт. 30 г.</w:t>
      </w:r>
    </w:p>
    <w:p w14:paraId="702E853A" w14:textId="77777777" w:rsidR="008B6C1D" w:rsidRPr="00507A31" w:rsidRDefault="008B6C1D" w:rsidP="00507A31">
      <w:pPr>
        <w:jc w:val="both"/>
        <w:rPr>
          <w:color w:val="000000" w:themeColor="text1"/>
          <w:sz w:val="16"/>
          <w:szCs w:val="16"/>
        </w:rPr>
      </w:pPr>
      <w:r w:rsidRPr="00507A31">
        <w:rPr>
          <w:color w:val="000000" w:themeColor="text1"/>
          <w:sz w:val="16"/>
          <w:szCs w:val="16"/>
        </w:rPr>
        <w:t>Л. 158-165. Машинописный экземпляр того времени. На Л. 158 вверху слева — штамп делопроизводства ЦК ВКП(б) с вписанными от руки данными о размножении документа (500 экз.) и датой «18.X.1930 г.», подпись-автограф Хряпкиной. На Л. 157 — сопроводительное письмо от 18 октября 1930 г., направленное членам и кандидатам в члены ЦК и членам ЦКК ВКП(б): «По поручению тов. Сталина посылаются Вам лля сведения: 1) показания Ларичева от 6.Х.30 г.; 2) показания Аккерман, Покровского, Ефремова, Предтеченского, Нольде, Михаленко, Иванова, Неандера и Федотова от 11, 12 и 13. Х.ЗО г. ПРИЛОЖЕНИЕ: экз. № на 23 листах. Зам. Зав. С.О. ЦК» (подпись отсутствует). Машинописная копия того времени (бланк ЦК В КП (б) воспроизведен машинописью); гриф «СТРОГО СЕКРЕТНО», дата и номер (№ П954) документа машинописью (18451).</w:t>
      </w:r>
    </w:p>
    <w:p w14:paraId="43B9F3D0" w14:textId="77777777" w:rsidR="008B6C1D" w:rsidRPr="00507A31" w:rsidRDefault="008B6C1D" w:rsidP="00507A31">
      <w:pPr>
        <w:jc w:val="both"/>
        <w:rPr>
          <w:color w:val="000000" w:themeColor="text1"/>
          <w:sz w:val="16"/>
          <w:szCs w:val="16"/>
        </w:rPr>
      </w:pPr>
    </w:p>
    <w:p w14:paraId="4FCB4236" w14:textId="77777777" w:rsidR="00CF653C"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3B7EEAE" w14:textId="77777777" w:rsidR="00CF653C" w:rsidRPr="00507A31" w:rsidRDefault="00CF653C" w:rsidP="00507A31">
      <w:pPr>
        <w:autoSpaceDE w:val="0"/>
        <w:autoSpaceDN w:val="0"/>
        <w:adjustRightInd w:val="0"/>
        <w:jc w:val="both"/>
        <w:rPr>
          <w:iCs/>
          <w:color w:val="000000" w:themeColor="text1"/>
          <w:sz w:val="16"/>
          <w:szCs w:val="16"/>
        </w:rPr>
      </w:pPr>
    </w:p>
    <w:p w14:paraId="024C539E" w14:textId="77777777" w:rsidR="00CF653C" w:rsidRPr="00507A31" w:rsidRDefault="00CF653C" w:rsidP="00507A31">
      <w:pPr>
        <w:shd w:val="clear" w:color="auto" w:fill="FFFFFF"/>
        <w:jc w:val="both"/>
        <w:rPr>
          <w:color w:val="000000" w:themeColor="text1"/>
          <w:sz w:val="16"/>
          <w:szCs w:val="16"/>
        </w:rPr>
      </w:pPr>
      <w:r w:rsidRPr="00507A31">
        <w:rPr>
          <w:color w:val="000000" w:themeColor="text1"/>
          <w:sz w:val="16"/>
          <w:szCs w:val="16"/>
        </w:rPr>
        <w:t>В начале октября 1930 года истребитель И-6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(15223).</w:t>
      </w:r>
    </w:p>
    <w:p w14:paraId="45309609" w14:textId="77777777" w:rsidR="00CF653C" w:rsidRPr="00507A31" w:rsidRDefault="00CF653C" w:rsidP="00507A31">
      <w:pPr>
        <w:shd w:val="clear" w:color="auto" w:fill="FFFFFF"/>
        <w:jc w:val="both"/>
        <w:rPr>
          <w:color w:val="000000" w:themeColor="text1"/>
          <w:sz w:val="16"/>
          <w:szCs w:val="16"/>
        </w:rPr>
      </w:pPr>
    </w:p>
    <w:p w14:paraId="73F8B59B" w14:textId="77777777" w:rsidR="00527F91" w:rsidRPr="00507A31" w:rsidRDefault="00527F91" w:rsidP="00507A31">
      <w:pPr>
        <w:jc w:val="both"/>
        <w:rPr>
          <w:color w:val="000000" w:themeColor="text1"/>
          <w:sz w:val="16"/>
          <w:szCs w:val="16"/>
        </w:rPr>
      </w:pPr>
      <w:r w:rsidRPr="00507A31">
        <w:rPr>
          <w:color w:val="000000" w:themeColor="text1"/>
          <w:sz w:val="16"/>
          <w:szCs w:val="16"/>
        </w:rPr>
        <w:t xml:space="preserve">В начале октября 1930 года истребитель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w:t>
      </w:r>
      <w:r w:rsidRPr="00507A31">
        <w:rPr>
          <w:color w:val="000000" w:themeColor="text1"/>
          <w:sz w:val="16"/>
          <w:szCs w:val="16"/>
        </w:rPr>
        <w:lastRenderedPageBreak/>
        <w:t>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(18293).</w:t>
      </w:r>
    </w:p>
    <w:p w14:paraId="275BE017" w14:textId="77777777" w:rsidR="00527F91" w:rsidRPr="00507A31" w:rsidRDefault="00527F91" w:rsidP="00507A31">
      <w:pPr>
        <w:jc w:val="both"/>
        <w:rPr>
          <w:color w:val="000000" w:themeColor="text1"/>
          <w:sz w:val="16"/>
          <w:szCs w:val="16"/>
        </w:rPr>
      </w:pPr>
    </w:p>
    <w:p w14:paraId="0AB091AC" w14:textId="77777777" w:rsidR="00527F91" w:rsidRPr="00507A31" w:rsidRDefault="00527F91" w:rsidP="00507A31">
      <w:pPr>
        <w:pStyle w:val="rtejustify"/>
        <w:shd w:val="clear" w:color="auto" w:fill="FFFFFF"/>
        <w:spacing w:before="0" w:after="0"/>
        <w:rPr>
          <w:color w:val="000000" w:themeColor="text1"/>
          <w:sz w:val="16"/>
          <w:szCs w:val="16"/>
        </w:rPr>
      </w:pPr>
      <w:r w:rsidRPr="00507A31">
        <w:rPr>
          <w:color w:val="000000" w:themeColor="text1"/>
          <w:sz w:val="16"/>
          <w:szCs w:val="16"/>
        </w:rPr>
        <w:t>В начале октября 1930 постройка самолета И-8, в основном, была завершена, после чего началась доводка и доработка отдельных узлов и агрегатов. При взвешивании оказалось, что полетная масса самолета превысила проектную на 74 кг. Емкость бензинового бака оказалась на 48 кг (около 37 литров) меньше, чем требовалось по ТТТ. Начало испытаний задерживалось из-за отсутствия воздушного винта, кислородного прибора, синхронизатора (19171).</w:t>
      </w:r>
    </w:p>
    <w:p w14:paraId="32D1399E" w14:textId="77777777" w:rsidR="00527F91" w:rsidRPr="00507A31" w:rsidRDefault="00527F91" w:rsidP="00507A31">
      <w:pPr>
        <w:pStyle w:val="rtejustify"/>
        <w:shd w:val="clear" w:color="auto" w:fill="FFFFFF"/>
        <w:spacing w:before="0" w:after="0"/>
        <w:rPr>
          <w:color w:val="000000" w:themeColor="text1"/>
          <w:sz w:val="16"/>
          <w:szCs w:val="16"/>
        </w:rPr>
      </w:pPr>
    </w:p>
    <w:p w14:paraId="1F9C3CD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7D6C0CC" w14:textId="77777777" w:rsidR="00537E5F" w:rsidRPr="00507A31" w:rsidRDefault="00537E5F" w:rsidP="00507A31">
      <w:pPr>
        <w:autoSpaceDE w:val="0"/>
        <w:autoSpaceDN w:val="0"/>
        <w:adjustRightInd w:val="0"/>
        <w:jc w:val="both"/>
        <w:rPr>
          <w:iCs/>
          <w:color w:val="000000" w:themeColor="text1"/>
          <w:sz w:val="16"/>
          <w:szCs w:val="16"/>
        </w:rPr>
      </w:pPr>
    </w:p>
    <w:p w14:paraId="14AF30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первых числах октября 1930 при проверке работы по обеспечению броней оказалось, что на Ижорском заводе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Начинает раскачиваться также Мобилизационно-плановое управление ВСНХ (11210).</w:t>
      </w:r>
    </w:p>
    <w:p w14:paraId="1FF3926A" w14:textId="77777777" w:rsidR="00537E5F" w:rsidRPr="00507A31" w:rsidRDefault="00537E5F" w:rsidP="00507A31">
      <w:pPr>
        <w:autoSpaceDE w:val="0"/>
        <w:autoSpaceDN w:val="0"/>
        <w:adjustRightInd w:val="0"/>
        <w:jc w:val="both"/>
        <w:rPr>
          <w:color w:val="000000" w:themeColor="text1"/>
          <w:sz w:val="16"/>
          <w:szCs w:val="16"/>
        </w:rPr>
      </w:pPr>
    </w:p>
    <w:p w14:paraId="5E44C27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EE49CBB" w14:textId="77777777" w:rsidR="00537E5F" w:rsidRPr="00507A31" w:rsidRDefault="00537E5F" w:rsidP="00507A31">
      <w:pPr>
        <w:autoSpaceDE w:val="0"/>
        <w:autoSpaceDN w:val="0"/>
        <w:adjustRightInd w:val="0"/>
        <w:jc w:val="both"/>
        <w:rPr>
          <w:iCs/>
          <w:color w:val="000000" w:themeColor="text1"/>
          <w:sz w:val="16"/>
          <w:szCs w:val="16"/>
        </w:rPr>
      </w:pPr>
    </w:p>
    <w:p w14:paraId="735D7B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C 7 по 11 октября 1930 года на ЦВХП проводились испытания 10 кг осколочно-химических и осколочных бомб с корпусом стальным и корпусом железным с насыпными осколками (3326).</w:t>
      </w:r>
    </w:p>
    <w:p w14:paraId="645558CB" w14:textId="77777777" w:rsidR="00537E5F" w:rsidRPr="00507A31" w:rsidRDefault="00537E5F" w:rsidP="00507A31">
      <w:pPr>
        <w:autoSpaceDE w:val="0"/>
        <w:autoSpaceDN w:val="0"/>
        <w:adjustRightInd w:val="0"/>
        <w:jc w:val="both"/>
        <w:rPr>
          <w:color w:val="000000" w:themeColor="text1"/>
          <w:sz w:val="16"/>
          <w:szCs w:val="16"/>
        </w:rPr>
      </w:pPr>
    </w:p>
    <w:p w14:paraId="393C4D2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9695A43" w14:textId="77777777" w:rsidR="00537E5F" w:rsidRPr="00507A31" w:rsidRDefault="00537E5F" w:rsidP="00507A31">
      <w:pPr>
        <w:autoSpaceDE w:val="0"/>
        <w:autoSpaceDN w:val="0"/>
        <w:adjustRightInd w:val="0"/>
        <w:jc w:val="both"/>
        <w:rPr>
          <w:iCs/>
          <w:color w:val="000000" w:themeColor="text1"/>
          <w:sz w:val="16"/>
          <w:szCs w:val="16"/>
        </w:rPr>
      </w:pPr>
    </w:p>
    <w:p w14:paraId="39B8AE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октября 1930 г. вышло ПРЕДЛОЖЕНИЕ УММ В МПУ ВСНХ СССР О СТРОИТЕЛЬСТВЕ ОБЪЕДИНЕННОГО ПОЛИГОНА</w:t>
      </w:r>
    </w:p>
    <w:p w14:paraId="7D1AC9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Как Вам известно, РВС СССР в своем заседании постановил строить объединенный полигон со</w:t>
      </w:r>
      <w:r w:rsidRPr="00507A31">
        <w:rPr>
          <w:color w:val="000000" w:themeColor="text1"/>
          <w:sz w:val="16"/>
          <w:szCs w:val="16"/>
        </w:rPr>
        <w:softHyphen/>
        <w:t>вместными силами с промышленностью. На первый период строительства РВС со своей стороны предусматривает один миллион рублей. В строительстве должны участвовать ВАТО, ПАРВАГДИЗ, ГОСПО и МПУ.</w:t>
      </w:r>
    </w:p>
    <w:p w14:paraId="07B8EC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вышеуказанными учреждениями по данному вопросу я уже вошел с соответствующей просьбой принять участие и ассигновать по одному миллиону рублей.</w:t>
      </w:r>
    </w:p>
    <w:p w14:paraId="5C657D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Необходимость совместной организации и постройки такого полигона вызывается прямой целе</w:t>
      </w:r>
      <w:r w:rsidRPr="00507A31">
        <w:rPr>
          <w:color w:val="000000" w:themeColor="text1"/>
          <w:sz w:val="16"/>
          <w:szCs w:val="16"/>
        </w:rPr>
        <w:softHyphen/>
        <w:t>сообразностью, ибо крупное танкостроение не может быть мыслимо без такого испытательного по</w:t>
      </w:r>
      <w:r w:rsidRPr="00507A31">
        <w:rPr>
          <w:color w:val="000000" w:themeColor="text1"/>
          <w:sz w:val="16"/>
          <w:szCs w:val="16"/>
        </w:rPr>
        <w:softHyphen/>
        <w:t>лигона. В этом мы убедились тогда, когда совместно с начальником ГОСПО т. Будняком были в за</w:t>
      </w:r>
      <w:r w:rsidRPr="00507A31">
        <w:rPr>
          <w:color w:val="000000" w:themeColor="text1"/>
          <w:sz w:val="16"/>
          <w:szCs w:val="16"/>
        </w:rPr>
        <w:softHyphen/>
        <w:t>граничной командировке по покупке образцов танков. Мы видели, что в Англии «Виккерс» пользу</w:t>
      </w:r>
      <w:r w:rsidRPr="00507A31">
        <w:rPr>
          <w:color w:val="000000" w:themeColor="text1"/>
          <w:sz w:val="16"/>
          <w:szCs w:val="16"/>
        </w:rPr>
        <w:softHyphen/>
        <w:t>ется полигоном и танковым полем танкового корпуса. Во Франции фирмы «Сомуа» и «Шнейдер» пользуются танковым полигоном и полем механизированной и моторизованной части под Версалем. Также дело обстоит в Америке. Не подлежит никакому сомнению, что нам нужен тоже такой поли</w:t>
      </w:r>
      <w:r w:rsidRPr="00507A31">
        <w:rPr>
          <w:color w:val="000000" w:themeColor="text1"/>
          <w:sz w:val="16"/>
          <w:szCs w:val="16"/>
        </w:rPr>
        <w:softHyphen/>
        <w:t>гон, и нет надобности, чтобы каждый Наркомат строил это обособленно.</w:t>
      </w:r>
    </w:p>
    <w:p w14:paraId="3C8BEB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основании всего выше изложенного прошу об ассигновании одного миллиона рублей и вы</w:t>
      </w:r>
      <w:r w:rsidRPr="00507A31">
        <w:rPr>
          <w:color w:val="000000" w:themeColor="text1"/>
          <w:sz w:val="16"/>
          <w:szCs w:val="16"/>
        </w:rPr>
        <w:softHyphen/>
        <w:t>делении специального лица, которое бы приняло непосредственное участие в разработке проекта полигона и непосредственное участие в строительстве.</w:t>
      </w:r>
    </w:p>
    <w:p w14:paraId="5EE56E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РГВА.Ф. 31811. Оп. 1. Д. 368. Л. 49. Подлинник.</w:t>
      </w:r>
    </w:p>
    <w:p w14:paraId="22D115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Управления механизации и моторизации РККА Халепский (11210).</w:t>
      </w:r>
    </w:p>
    <w:p w14:paraId="4A4271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207762B" w14:textId="77777777" w:rsidR="00C91E54" w:rsidRPr="00507A31" w:rsidRDefault="00C91E54"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34D41F6" w14:textId="77777777" w:rsidR="00C91E54" w:rsidRPr="00507A31" w:rsidRDefault="00C91E54" w:rsidP="00507A31">
      <w:pPr>
        <w:autoSpaceDE w:val="0"/>
        <w:autoSpaceDN w:val="0"/>
        <w:adjustRightInd w:val="0"/>
        <w:jc w:val="both"/>
        <w:rPr>
          <w:iCs/>
          <w:color w:val="000000" w:themeColor="text1"/>
          <w:sz w:val="16"/>
          <w:szCs w:val="16"/>
        </w:rPr>
      </w:pPr>
    </w:p>
    <w:p w14:paraId="4159D3C0" w14:textId="77777777" w:rsidR="00C91E54" w:rsidRPr="00507A31" w:rsidRDefault="00C91E54" w:rsidP="00507A31">
      <w:pPr>
        <w:jc w:val="both"/>
        <w:rPr>
          <w:color w:val="0070C0"/>
          <w:sz w:val="16"/>
          <w:szCs w:val="16"/>
        </w:rPr>
      </w:pPr>
      <w:r w:rsidRPr="00507A31">
        <w:rPr>
          <w:color w:val="0070C0"/>
          <w:sz w:val="16"/>
          <w:szCs w:val="16"/>
        </w:rPr>
        <w:t>7 октября 1930 по завершении финальной игры Мировой серии 1930 года в Филадельфии, штат Пенсильвания, Фрэнк Хоукс отправляет фотографии игры в аэропорт Норт-Бич в Куинсе, штат Нью-Йорк, на Travel Air Type R Texaco 13 доставляя их. всего через 20 минут после окончания игры и быстрее, чем телеграфные услуги, что демонстрирует возможность использования скоростных курьерских служб (20805).</w:t>
      </w:r>
    </w:p>
    <w:p w14:paraId="2E1D397A" w14:textId="77777777" w:rsidR="00C91E54" w:rsidRPr="00507A31" w:rsidRDefault="00C91E54" w:rsidP="00507A31">
      <w:pPr>
        <w:jc w:val="both"/>
        <w:rPr>
          <w:color w:val="0070C0"/>
          <w:sz w:val="16"/>
          <w:szCs w:val="16"/>
        </w:rPr>
      </w:pPr>
    </w:p>
    <w:p w14:paraId="71FC838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F4F4E2C" w14:textId="77777777" w:rsidR="00537E5F" w:rsidRPr="00507A31" w:rsidRDefault="00537E5F" w:rsidP="00507A31">
      <w:pPr>
        <w:autoSpaceDE w:val="0"/>
        <w:autoSpaceDN w:val="0"/>
        <w:adjustRightInd w:val="0"/>
        <w:jc w:val="both"/>
        <w:rPr>
          <w:iCs/>
          <w:color w:val="000000" w:themeColor="text1"/>
          <w:sz w:val="16"/>
          <w:szCs w:val="16"/>
        </w:rPr>
      </w:pPr>
    </w:p>
    <w:p w14:paraId="2076F6BB" w14:textId="77777777" w:rsidR="006C205C" w:rsidRPr="00507A31" w:rsidRDefault="006C205C" w:rsidP="00507A31">
      <w:pPr>
        <w:jc w:val="both"/>
        <w:rPr>
          <w:color w:val="000000" w:themeColor="text1"/>
          <w:sz w:val="16"/>
          <w:szCs w:val="16"/>
        </w:rPr>
      </w:pPr>
      <w:r w:rsidRPr="00507A31">
        <w:rPr>
          <w:color w:val="000000" w:themeColor="text1"/>
          <w:sz w:val="16"/>
          <w:szCs w:val="16"/>
        </w:rPr>
        <w:t>8 октября 1930 г. состоялся осмотр полноразмерного макета самолета ДИ-2 (иногда обозна</w:t>
      </w:r>
      <w:r w:rsidRPr="00507A31">
        <w:rPr>
          <w:color w:val="000000" w:themeColor="text1"/>
          <w:sz w:val="16"/>
          <w:szCs w:val="16"/>
        </w:rPr>
        <w:softHyphen/>
        <w:t>чался ИД - БМВУ1), который разрабатывался в соот</w:t>
      </w:r>
      <w:r w:rsidRPr="00507A31">
        <w:rPr>
          <w:color w:val="000000" w:themeColor="text1"/>
          <w:sz w:val="16"/>
          <w:szCs w:val="16"/>
        </w:rPr>
        <w:softHyphen/>
        <w:t>ветствии с требованиями ВВС как двухмест</w:t>
      </w:r>
      <w:r w:rsidRPr="00507A31">
        <w:rPr>
          <w:color w:val="000000" w:themeColor="text1"/>
          <w:sz w:val="16"/>
          <w:szCs w:val="16"/>
        </w:rPr>
        <w:softHyphen/>
        <w:t>ный истребитель, предназначенный для воз</w:t>
      </w:r>
      <w:r w:rsidRPr="00507A31">
        <w:rPr>
          <w:color w:val="000000" w:themeColor="text1"/>
          <w:sz w:val="16"/>
          <w:szCs w:val="16"/>
        </w:rPr>
        <w:softHyphen/>
        <w:t>душного боя и разведки. Вооружение по за</w:t>
      </w:r>
      <w:r w:rsidRPr="00507A31">
        <w:rPr>
          <w:color w:val="000000" w:themeColor="text1"/>
          <w:sz w:val="16"/>
          <w:szCs w:val="16"/>
        </w:rPr>
        <w:softHyphen/>
        <w:t>данию первоначально составляло два син</w:t>
      </w:r>
      <w:r w:rsidRPr="00507A31">
        <w:rPr>
          <w:color w:val="000000" w:themeColor="text1"/>
          <w:sz w:val="16"/>
          <w:szCs w:val="16"/>
        </w:rPr>
        <w:softHyphen/>
        <w:t>хронных пулемета вперед и два пулемета на турели назад. Однако са</w:t>
      </w:r>
      <w:r w:rsidRPr="00507A31">
        <w:rPr>
          <w:color w:val="000000" w:themeColor="text1"/>
          <w:sz w:val="16"/>
          <w:szCs w:val="16"/>
        </w:rPr>
        <w:softHyphen/>
        <w:t>молет построен не был, так как предпочтение отдал и следующему типу — двухместному ис</w:t>
      </w:r>
      <w:r w:rsidRPr="00507A31">
        <w:rPr>
          <w:color w:val="000000" w:themeColor="text1"/>
          <w:sz w:val="16"/>
          <w:szCs w:val="16"/>
        </w:rPr>
        <w:softHyphen/>
        <w:t>требителю Д И-3 (12295).</w:t>
      </w:r>
    </w:p>
    <w:p w14:paraId="0EE42A72" w14:textId="77777777" w:rsidR="006C205C" w:rsidRPr="00507A31" w:rsidRDefault="006C205C" w:rsidP="00507A31">
      <w:pPr>
        <w:jc w:val="both"/>
        <w:rPr>
          <w:color w:val="000000" w:themeColor="text1"/>
          <w:sz w:val="16"/>
          <w:szCs w:val="16"/>
        </w:rPr>
      </w:pPr>
    </w:p>
    <w:p w14:paraId="623D07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8 октября 1930 первую катапульту Хейнкеля смонтировали на линкоре Парижская Коммуна в Севастополе и 8 провели пробный пуск, но за три - 12 октября 1930 - сломали. Где-то в начале осени в Ленинграде собирали и проверяли и сами HD.55 и 14 октября 1930 один потерпел аварию при рулежке врезавшись в борт крейсера Профинтерн (1083,7).</w:t>
      </w:r>
    </w:p>
    <w:p w14:paraId="5A67838B" w14:textId="77777777" w:rsidR="00537E5F" w:rsidRPr="00507A31" w:rsidRDefault="00537E5F" w:rsidP="00507A31">
      <w:pPr>
        <w:autoSpaceDE w:val="0"/>
        <w:autoSpaceDN w:val="0"/>
        <w:adjustRightInd w:val="0"/>
        <w:jc w:val="both"/>
        <w:rPr>
          <w:color w:val="000000" w:themeColor="text1"/>
          <w:sz w:val="16"/>
          <w:szCs w:val="16"/>
        </w:rPr>
      </w:pPr>
    </w:p>
    <w:p w14:paraId="502E4C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октября 1930 г. был произведен первый успешный старт с катапульту К-3, однако уже вскоре катапульта вышла из строя. Последовали доработки, которые продлились до следующего года.</w:t>
      </w:r>
    </w:p>
    <w:p w14:paraId="1B2C5A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Несмотря на первоначальные планы заказать Хейнкелю две катапульты, бы</w:t>
      </w:r>
      <w:r w:rsidRPr="00507A31">
        <w:rPr>
          <w:color w:val="000000" w:themeColor="text1"/>
          <w:sz w:val="16"/>
          <w:szCs w:val="16"/>
        </w:rPr>
        <w:softHyphen/>
        <w:t>ла приобретена только одна, которую планировалось установить на новый крейсер «Красный Кавказ». Так как крейсер находился в стадии постройки, первоначально катапульту разместили на линкоре «Парижская Коммуна».</w:t>
      </w:r>
    </w:p>
    <w:p w14:paraId="0F8B1F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Катапульта К-3 являлась усовершен</w:t>
      </w:r>
      <w:r w:rsidRPr="00507A31">
        <w:rPr>
          <w:color w:val="000000" w:themeColor="text1"/>
          <w:sz w:val="16"/>
          <w:szCs w:val="16"/>
        </w:rPr>
        <w:softHyphen/>
        <w:t>ствованным вариантом предыдущей конструкции К-2, испытанной на паро</w:t>
      </w:r>
      <w:r w:rsidRPr="00507A31">
        <w:rPr>
          <w:color w:val="000000" w:themeColor="text1"/>
          <w:sz w:val="16"/>
          <w:szCs w:val="16"/>
        </w:rPr>
        <w:softHyphen/>
        <w:t>ходе «Бремен». Это была полиспастная пневматическая катапульта, смонтиро</w:t>
      </w:r>
      <w:r w:rsidRPr="00507A31">
        <w:rPr>
          <w:color w:val="000000" w:themeColor="text1"/>
          <w:sz w:val="16"/>
          <w:szCs w:val="16"/>
        </w:rPr>
        <w:softHyphen/>
        <w:t>ванная на ферменной балке, склепанной из стальных профилей. В верхней части конструкции была оборудована стартовая дорожка с направляющими, по которым передвигались особые салазки с закреплен</w:t>
      </w:r>
      <w:r w:rsidRPr="00507A31">
        <w:rPr>
          <w:color w:val="000000" w:themeColor="text1"/>
          <w:sz w:val="16"/>
          <w:szCs w:val="16"/>
        </w:rPr>
        <w:softHyphen/>
        <w:t>ным самолетом. Механизм ускорения размещался внутри фермы, он состоял из баллона сжатого воздуха и рабоче</w:t>
      </w:r>
      <w:r w:rsidRPr="00507A31">
        <w:rPr>
          <w:color w:val="000000" w:themeColor="text1"/>
          <w:sz w:val="16"/>
          <w:szCs w:val="16"/>
        </w:rPr>
        <w:softHyphen/>
        <w:t>го цилиндра. Передача усилия салазкам производилась стальным тросом, связанным через систему блоков (по</w:t>
      </w:r>
      <w:r w:rsidRPr="00507A31">
        <w:rPr>
          <w:color w:val="000000" w:themeColor="text1"/>
          <w:sz w:val="16"/>
          <w:szCs w:val="16"/>
        </w:rPr>
        <w:softHyphen/>
        <w:t>лиспаст) с рабочим цилиндром катапульты. После вклю</w:t>
      </w:r>
      <w:r w:rsidRPr="00507A31">
        <w:rPr>
          <w:color w:val="000000" w:themeColor="text1"/>
          <w:sz w:val="16"/>
          <w:szCs w:val="16"/>
        </w:rPr>
        <w:softHyphen/>
        <w:t>чения механизма трос тянул салазки и разгонял самолет до взлетной скорости. На конечном участке салазки оста</w:t>
      </w:r>
      <w:r w:rsidRPr="00507A31">
        <w:rPr>
          <w:color w:val="000000" w:themeColor="text1"/>
          <w:sz w:val="16"/>
          <w:szCs w:val="16"/>
        </w:rPr>
        <w:softHyphen/>
        <w:t>навливались специальными щековыми тормозами, разъе</w:t>
      </w:r>
      <w:r w:rsidRPr="00507A31">
        <w:rPr>
          <w:color w:val="000000" w:themeColor="text1"/>
          <w:sz w:val="16"/>
          <w:szCs w:val="16"/>
        </w:rPr>
        <w:softHyphen/>
        <w:t>динялся запорный крюк (слипгакен), и самолет отправ</w:t>
      </w:r>
      <w:r w:rsidRPr="00507A31">
        <w:rPr>
          <w:color w:val="000000" w:themeColor="text1"/>
          <w:sz w:val="16"/>
          <w:szCs w:val="16"/>
        </w:rPr>
        <w:softHyphen/>
        <w:t>лялся в небо.</w:t>
      </w:r>
    </w:p>
    <w:p w14:paraId="674248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Катапульту К-3 испытали в Германии, затем ее разобра</w:t>
      </w:r>
      <w:r w:rsidRPr="00507A31">
        <w:rPr>
          <w:color w:val="000000" w:themeColor="text1"/>
          <w:sz w:val="16"/>
          <w:szCs w:val="16"/>
        </w:rPr>
        <w:softHyphen/>
        <w:t>ли и морем доставили из порта Росток в Ленинград. Да</w:t>
      </w:r>
      <w:r w:rsidRPr="00507A31">
        <w:rPr>
          <w:color w:val="000000" w:themeColor="text1"/>
          <w:sz w:val="16"/>
          <w:szCs w:val="16"/>
        </w:rPr>
        <w:softHyphen/>
        <w:t>лее ее перевезли по железной дороге в Севастополь, где под руководством специалистов фирмы Хейнкель устано</w:t>
      </w:r>
      <w:r w:rsidRPr="00507A31">
        <w:rPr>
          <w:color w:val="000000" w:themeColor="text1"/>
          <w:sz w:val="16"/>
          <w:szCs w:val="16"/>
        </w:rPr>
        <w:softHyphen/>
        <w:t>вили на третьей орудийной башне линкора «Парижская Коммуна» (11107).</w:t>
      </w:r>
    </w:p>
    <w:p w14:paraId="74ED12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5EB161C" w14:textId="77777777" w:rsidR="006C205C" w:rsidRPr="00507A31" w:rsidRDefault="006C205C" w:rsidP="00507A31">
      <w:pPr>
        <w:jc w:val="both"/>
        <w:rPr>
          <w:color w:val="000000" w:themeColor="text1"/>
          <w:sz w:val="16"/>
          <w:szCs w:val="16"/>
        </w:rPr>
      </w:pPr>
      <w:r w:rsidRPr="00507A31">
        <w:rPr>
          <w:color w:val="000000" w:themeColor="text1"/>
          <w:sz w:val="16"/>
          <w:szCs w:val="16"/>
        </w:rPr>
        <w:t>8 октября 1930 г. был произведен первый успешный старт с К-3, однако уже скоро катапульта вышла из строя. Последовали доработки, ко</w:t>
      </w:r>
      <w:r w:rsidRPr="00507A31">
        <w:rPr>
          <w:color w:val="000000" w:themeColor="text1"/>
          <w:sz w:val="16"/>
          <w:szCs w:val="16"/>
        </w:rPr>
        <w:softHyphen/>
        <w:t>торые продлились до наступления следующе</w:t>
      </w:r>
      <w:r w:rsidRPr="00507A31">
        <w:rPr>
          <w:color w:val="000000" w:themeColor="text1"/>
          <w:sz w:val="16"/>
          <w:szCs w:val="16"/>
        </w:rPr>
        <w:softHyphen/>
        <w:t>го года.</w:t>
      </w:r>
    </w:p>
    <w:p w14:paraId="66BBFBC6" w14:textId="77777777" w:rsidR="006C205C" w:rsidRPr="00507A31" w:rsidRDefault="006C205C" w:rsidP="00507A31">
      <w:pPr>
        <w:jc w:val="both"/>
        <w:rPr>
          <w:color w:val="000000" w:themeColor="text1"/>
          <w:sz w:val="16"/>
          <w:szCs w:val="16"/>
        </w:rPr>
      </w:pPr>
      <w:r w:rsidRPr="00507A31">
        <w:rPr>
          <w:color w:val="000000" w:themeColor="text1"/>
          <w:sz w:val="16"/>
          <w:szCs w:val="16"/>
        </w:rPr>
        <w:t>Катапульта К-3 являлась усовершенство</w:t>
      </w:r>
      <w:r w:rsidRPr="00507A31">
        <w:rPr>
          <w:color w:val="000000" w:themeColor="text1"/>
          <w:sz w:val="16"/>
          <w:szCs w:val="16"/>
        </w:rPr>
        <w:softHyphen/>
        <w:t>ванным вариантом предыдущей конструк</w:t>
      </w:r>
      <w:r w:rsidRPr="00507A31">
        <w:rPr>
          <w:color w:val="000000" w:themeColor="text1"/>
          <w:sz w:val="16"/>
          <w:szCs w:val="16"/>
        </w:rPr>
        <w:softHyphen/>
        <w:t>ции К-1, смонтированной и испытанной на пароходе «Бремен». Классифицировалась как толиспастная пневматическая катапульта, .монтированная на ферменной балке, скле</w:t>
      </w:r>
      <w:r w:rsidRPr="00507A31">
        <w:rPr>
          <w:color w:val="000000" w:themeColor="text1"/>
          <w:sz w:val="16"/>
          <w:szCs w:val="16"/>
        </w:rPr>
        <w:softHyphen/>
        <w:t>енной из стальных профилей. В верхней ча</w:t>
      </w:r>
      <w:r w:rsidRPr="00507A31">
        <w:rPr>
          <w:color w:val="000000" w:themeColor="text1"/>
          <w:sz w:val="16"/>
          <w:szCs w:val="16"/>
        </w:rPr>
        <w:softHyphen/>
        <w:t>сти конструкции оборудована стартовая до</w:t>
      </w:r>
      <w:r w:rsidRPr="00507A31">
        <w:rPr>
          <w:color w:val="000000" w:themeColor="text1"/>
          <w:sz w:val="16"/>
          <w:szCs w:val="16"/>
        </w:rPr>
        <w:softHyphen/>
        <w:t>лжка с направляющими, по которым пере</w:t>
      </w:r>
      <w:r w:rsidRPr="00507A31">
        <w:rPr>
          <w:color w:val="000000" w:themeColor="text1"/>
          <w:sz w:val="16"/>
          <w:szCs w:val="16"/>
        </w:rPr>
        <w:softHyphen/>
        <w:t>двигались особые салазки с закрепленным самолетом. Механизм ускорения размешался внутри фермы, он состоял из баллона сжатого воздуха и рабочего цилиндра. Передача уси</w:t>
      </w:r>
      <w:r w:rsidRPr="00507A31">
        <w:rPr>
          <w:color w:val="000000" w:themeColor="text1"/>
          <w:sz w:val="16"/>
          <w:szCs w:val="16"/>
        </w:rPr>
        <w:softHyphen/>
        <w:t>лия салазкам производилась стальным тро</w:t>
      </w:r>
      <w:r w:rsidRPr="00507A31">
        <w:rPr>
          <w:color w:val="000000" w:themeColor="text1"/>
          <w:sz w:val="16"/>
          <w:szCs w:val="16"/>
        </w:rPr>
        <w:softHyphen/>
        <w:t>сом, связанным через систему блоков (поли</w:t>
      </w:r>
      <w:r w:rsidRPr="00507A31">
        <w:rPr>
          <w:color w:val="000000" w:themeColor="text1"/>
          <w:sz w:val="16"/>
          <w:szCs w:val="16"/>
        </w:rPr>
        <w:softHyphen/>
        <w:t>спаст) с рабочим цилиндром катапульты. По</w:t>
      </w:r>
      <w:r w:rsidRPr="00507A31">
        <w:rPr>
          <w:color w:val="000000" w:themeColor="text1"/>
          <w:sz w:val="16"/>
          <w:szCs w:val="16"/>
        </w:rPr>
        <w:softHyphen/>
        <w:t>сле включения механизма трос вытягивал са</w:t>
      </w:r>
      <w:r w:rsidRPr="00507A31">
        <w:rPr>
          <w:color w:val="000000" w:themeColor="text1"/>
          <w:sz w:val="16"/>
          <w:szCs w:val="16"/>
        </w:rPr>
        <w:softHyphen/>
        <w:t>лазки и разгонял самолет до взлетной скоро</w:t>
      </w:r>
      <w:r w:rsidRPr="00507A31">
        <w:rPr>
          <w:color w:val="000000" w:themeColor="text1"/>
          <w:sz w:val="16"/>
          <w:szCs w:val="16"/>
        </w:rPr>
        <w:softHyphen/>
        <w:t>сти. На конечном участке салазки останавли</w:t>
      </w:r>
      <w:r w:rsidRPr="00507A31">
        <w:rPr>
          <w:color w:val="000000" w:themeColor="text1"/>
          <w:sz w:val="16"/>
          <w:szCs w:val="16"/>
        </w:rPr>
        <w:softHyphen/>
        <w:t>вались специальными щековыми тормозами, а самолет отправлялся в небо.</w:t>
      </w:r>
    </w:p>
    <w:p w14:paraId="54B6BF55" w14:textId="77777777" w:rsidR="006C205C" w:rsidRPr="00507A31" w:rsidRDefault="006C205C" w:rsidP="00507A31">
      <w:pPr>
        <w:jc w:val="both"/>
        <w:rPr>
          <w:color w:val="000000" w:themeColor="text1"/>
          <w:sz w:val="16"/>
          <w:szCs w:val="16"/>
        </w:rPr>
      </w:pPr>
      <w:r w:rsidRPr="00507A31">
        <w:rPr>
          <w:color w:val="000000" w:themeColor="text1"/>
          <w:sz w:val="16"/>
          <w:szCs w:val="16"/>
        </w:rPr>
        <w:t>Несмотря на первоначальные планы зака</w:t>
      </w:r>
      <w:r w:rsidRPr="00507A31">
        <w:rPr>
          <w:color w:val="000000" w:themeColor="text1"/>
          <w:sz w:val="16"/>
          <w:szCs w:val="16"/>
        </w:rPr>
        <w:softHyphen/>
        <w:t>зать Хейнкелю две катапульты, была прио</w:t>
      </w:r>
      <w:r w:rsidRPr="00507A31">
        <w:rPr>
          <w:color w:val="000000" w:themeColor="text1"/>
          <w:sz w:val="16"/>
          <w:szCs w:val="16"/>
        </w:rPr>
        <w:softHyphen/>
        <w:t>бретена только одна, которую планировалось &gt;становить на новый крейсер «Красный Кав</w:t>
      </w:r>
      <w:r w:rsidRPr="00507A31">
        <w:rPr>
          <w:color w:val="000000" w:themeColor="text1"/>
          <w:sz w:val="16"/>
          <w:szCs w:val="16"/>
        </w:rPr>
        <w:softHyphen/>
        <w:t>каз». Так как крейсер находился в стадии пере</w:t>
      </w:r>
      <w:r w:rsidRPr="00507A31">
        <w:rPr>
          <w:color w:val="000000" w:themeColor="text1"/>
          <w:sz w:val="16"/>
          <w:szCs w:val="16"/>
        </w:rPr>
        <w:softHyphen/>
        <w:t>оборудования, первоначально катапульту раз</w:t>
      </w:r>
      <w:r w:rsidRPr="00507A31">
        <w:rPr>
          <w:color w:val="000000" w:themeColor="text1"/>
          <w:sz w:val="16"/>
          <w:szCs w:val="16"/>
        </w:rPr>
        <w:softHyphen/>
        <w:t>местили на линкоре «Парижская Коммуна».</w:t>
      </w:r>
    </w:p>
    <w:p w14:paraId="01D70902" w14:textId="77777777" w:rsidR="006C205C" w:rsidRPr="00507A31" w:rsidRDefault="006C205C" w:rsidP="00507A31">
      <w:pPr>
        <w:jc w:val="both"/>
        <w:rPr>
          <w:color w:val="000000" w:themeColor="text1"/>
          <w:sz w:val="16"/>
          <w:szCs w:val="16"/>
        </w:rPr>
      </w:pPr>
      <w:r w:rsidRPr="00507A31">
        <w:rPr>
          <w:color w:val="000000" w:themeColor="text1"/>
          <w:sz w:val="16"/>
          <w:szCs w:val="16"/>
        </w:rPr>
        <w:t>После изготовления катапульту К-3 испы</w:t>
      </w:r>
      <w:r w:rsidRPr="00507A31">
        <w:rPr>
          <w:color w:val="000000" w:themeColor="text1"/>
          <w:sz w:val="16"/>
          <w:szCs w:val="16"/>
        </w:rPr>
        <w:softHyphen/>
        <w:t>тали в Германии, затем ее разобрали и морем доставили из порта Росток в Ленинград. Да</w:t>
      </w:r>
      <w:r w:rsidRPr="00507A31">
        <w:rPr>
          <w:color w:val="000000" w:themeColor="text1"/>
          <w:sz w:val="16"/>
          <w:szCs w:val="16"/>
        </w:rPr>
        <w:softHyphen/>
        <w:t>лее перевезли по железной дороге в Севас</w:t>
      </w:r>
      <w:r w:rsidRPr="00507A31">
        <w:rPr>
          <w:color w:val="000000" w:themeColor="text1"/>
          <w:sz w:val="16"/>
          <w:szCs w:val="16"/>
        </w:rPr>
        <w:softHyphen/>
        <w:t>тополь, где под руководством специалистов фирмы Хейнкеля установили на третьей ору</w:t>
      </w:r>
      <w:r w:rsidRPr="00507A31">
        <w:rPr>
          <w:color w:val="000000" w:themeColor="text1"/>
          <w:sz w:val="16"/>
          <w:szCs w:val="16"/>
        </w:rPr>
        <w:softHyphen/>
        <w:t>дийной башне линкора «Парижская Комму</w:t>
      </w:r>
      <w:r w:rsidRPr="00507A31">
        <w:rPr>
          <w:color w:val="000000" w:themeColor="text1"/>
          <w:sz w:val="16"/>
          <w:szCs w:val="16"/>
        </w:rPr>
        <w:softHyphen/>
        <w:t>на».</w:t>
      </w:r>
    </w:p>
    <w:p w14:paraId="31813F22" w14:textId="77777777" w:rsidR="006C205C" w:rsidRPr="00507A31" w:rsidRDefault="006C205C" w:rsidP="00507A31">
      <w:pPr>
        <w:jc w:val="both"/>
        <w:rPr>
          <w:color w:val="000000" w:themeColor="text1"/>
          <w:sz w:val="16"/>
          <w:szCs w:val="16"/>
        </w:rPr>
      </w:pPr>
      <w:r w:rsidRPr="00507A31">
        <w:rPr>
          <w:color w:val="000000" w:themeColor="text1"/>
          <w:sz w:val="16"/>
          <w:szCs w:val="16"/>
        </w:rPr>
        <w:t>В феврале 1931 г. испытания продол</w:t>
      </w:r>
      <w:r w:rsidRPr="00507A31">
        <w:rPr>
          <w:color w:val="000000" w:themeColor="text1"/>
          <w:sz w:val="16"/>
          <w:szCs w:val="16"/>
        </w:rPr>
        <w:softHyphen/>
        <w:t>жились, после чего К-3 успешно эксплуати</w:t>
      </w:r>
      <w:r w:rsidRPr="00507A31">
        <w:rPr>
          <w:color w:val="000000" w:themeColor="text1"/>
          <w:sz w:val="16"/>
          <w:szCs w:val="16"/>
        </w:rPr>
        <w:softHyphen/>
        <w:t>ровалась в течение нескольких последующих лет. Размещение катапульты на линкоре «Парнжская Коммуна» продолжалось до 1935 г. Затем ее перенесли на крейсер «Красный Кавказ», считающийся самым современным чораблем Черноморского флота. На нем ка</w:t>
      </w:r>
      <w:r w:rsidRPr="00507A31">
        <w:rPr>
          <w:color w:val="000000" w:themeColor="text1"/>
          <w:sz w:val="16"/>
          <w:szCs w:val="16"/>
        </w:rPr>
        <w:softHyphen/>
        <w:t>тапульта находилась вплоть до 1941 г. (12301).</w:t>
      </w:r>
    </w:p>
    <w:p w14:paraId="465FD80A" w14:textId="77777777" w:rsidR="006C205C" w:rsidRPr="00507A31" w:rsidRDefault="006C205C" w:rsidP="00507A31">
      <w:pPr>
        <w:jc w:val="both"/>
        <w:rPr>
          <w:color w:val="000000" w:themeColor="text1"/>
          <w:sz w:val="16"/>
          <w:szCs w:val="16"/>
        </w:rPr>
      </w:pPr>
      <w:r w:rsidRPr="00507A31">
        <w:rPr>
          <w:color w:val="000000" w:themeColor="text1"/>
          <w:sz w:val="16"/>
          <w:szCs w:val="16"/>
        </w:rPr>
        <w:t>Катапульта К-3, построенная для СССР, в целом соответствовала первым катапультам Хейнкеля К-1 и К-2.</w:t>
      </w:r>
    </w:p>
    <w:p w14:paraId="65EFDC8F" w14:textId="77777777" w:rsidR="006C205C" w:rsidRPr="00507A31" w:rsidRDefault="006C205C" w:rsidP="00507A31">
      <w:pPr>
        <w:jc w:val="both"/>
        <w:rPr>
          <w:color w:val="000000" w:themeColor="text1"/>
          <w:sz w:val="16"/>
          <w:szCs w:val="16"/>
        </w:rPr>
      </w:pPr>
      <w:r w:rsidRPr="00507A31">
        <w:rPr>
          <w:color w:val="000000" w:themeColor="text1"/>
          <w:sz w:val="16"/>
          <w:szCs w:val="16"/>
        </w:rPr>
        <w:t>Она также была выпол</w:t>
      </w:r>
      <w:r w:rsidRPr="00507A31">
        <w:rPr>
          <w:color w:val="000000" w:themeColor="text1"/>
          <w:sz w:val="16"/>
          <w:szCs w:val="16"/>
        </w:rPr>
        <w:softHyphen/>
        <w:t>нена в виде пространственной клепаной фер</w:t>
      </w:r>
      <w:r w:rsidRPr="00507A31">
        <w:rPr>
          <w:color w:val="000000" w:themeColor="text1"/>
          <w:sz w:val="16"/>
          <w:szCs w:val="16"/>
        </w:rPr>
        <w:softHyphen/>
        <w:t>мы из высококачественной стали. Отлича</w:t>
      </w:r>
      <w:r w:rsidRPr="00507A31">
        <w:rPr>
          <w:color w:val="000000" w:themeColor="text1"/>
          <w:sz w:val="16"/>
          <w:szCs w:val="16"/>
        </w:rPr>
        <w:softHyphen/>
        <w:t>лась способностью поворачиваться в направ</w:t>
      </w:r>
      <w:r w:rsidRPr="00507A31">
        <w:rPr>
          <w:color w:val="000000" w:themeColor="text1"/>
          <w:sz w:val="16"/>
          <w:szCs w:val="16"/>
        </w:rPr>
        <w:softHyphen/>
        <w:t>лении на встречный воздушный поток для получения наиболее благоприятного стар</w:t>
      </w:r>
      <w:r w:rsidRPr="00507A31">
        <w:rPr>
          <w:color w:val="000000" w:themeColor="text1"/>
          <w:sz w:val="16"/>
          <w:szCs w:val="16"/>
        </w:rPr>
        <w:softHyphen/>
        <w:t>та самолета. Справочные данные указывали следующие характеристики катапульты К-3: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9"/>
        <w:gridCol w:w="2146"/>
      </w:tblGrid>
      <w:tr w:rsidR="00E371BA" w:rsidRPr="00507A31" w14:paraId="6A5C38F8" w14:textId="77777777" w:rsidTr="001C0A69">
        <w:tc>
          <w:tcPr>
            <w:tcW w:w="3349" w:type="dxa"/>
          </w:tcPr>
          <w:p w14:paraId="3DED4D7D" w14:textId="77777777" w:rsidR="006C205C" w:rsidRPr="00507A31" w:rsidRDefault="006C205C" w:rsidP="00507A31">
            <w:pPr>
              <w:jc w:val="both"/>
              <w:rPr>
                <w:color w:val="000000" w:themeColor="text1"/>
                <w:sz w:val="16"/>
                <w:szCs w:val="16"/>
              </w:rPr>
            </w:pPr>
            <w:r w:rsidRPr="00507A31">
              <w:rPr>
                <w:color w:val="000000" w:themeColor="text1"/>
                <w:sz w:val="16"/>
                <w:szCs w:val="16"/>
              </w:rPr>
              <w:t>Вес самолета (кг)</w:t>
            </w:r>
          </w:p>
        </w:tc>
        <w:tc>
          <w:tcPr>
            <w:tcW w:w="2146" w:type="dxa"/>
          </w:tcPr>
          <w:p w14:paraId="53C291B2" w14:textId="77777777" w:rsidR="006C205C" w:rsidRPr="00507A31" w:rsidRDefault="006C205C" w:rsidP="00507A31">
            <w:pPr>
              <w:jc w:val="both"/>
              <w:rPr>
                <w:color w:val="000000" w:themeColor="text1"/>
                <w:sz w:val="16"/>
                <w:szCs w:val="16"/>
              </w:rPr>
            </w:pPr>
            <w:r w:rsidRPr="00507A31">
              <w:rPr>
                <w:color w:val="000000" w:themeColor="text1"/>
                <w:sz w:val="16"/>
                <w:szCs w:val="16"/>
              </w:rPr>
              <w:t xml:space="preserve">3500 </w:t>
            </w:r>
          </w:p>
        </w:tc>
      </w:tr>
      <w:tr w:rsidR="00E371BA" w:rsidRPr="00507A31" w14:paraId="624CE412" w14:textId="77777777" w:rsidTr="001C0A69">
        <w:tc>
          <w:tcPr>
            <w:tcW w:w="3349" w:type="dxa"/>
          </w:tcPr>
          <w:p w14:paraId="6F028417" w14:textId="77777777" w:rsidR="006C205C" w:rsidRPr="00507A31" w:rsidRDefault="002A11A5" w:rsidP="00507A31">
            <w:pPr>
              <w:jc w:val="both"/>
              <w:rPr>
                <w:color w:val="000000" w:themeColor="text1"/>
                <w:sz w:val="16"/>
                <w:szCs w:val="16"/>
              </w:rPr>
            </w:pPr>
            <w:r w:rsidRPr="00507A31">
              <w:rPr>
                <w:color w:val="000000" w:themeColor="text1"/>
                <w:sz w:val="16"/>
                <w:szCs w:val="16"/>
              </w:rPr>
              <w:t xml:space="preserve">Рабочее давление </w:t>
            </w:r>
            <w:r w:rsidR="006C205C" w:rsidRPr="00507A31">
              <w:rPr>
                <w:color w:val="000000" w:themeColor="text1"/>
                <w:sz w:val="16"/>
                <w:szCs w:val="16"/>
              </w:rPr>
              <w:t>сжатого воздуха (атм)</w:t>
            </w:r>
          </w:p>
        </w:tc>
        <w:tc>
          <w:tcPr>
            <w:tcW w:w="2146" w:type="dxa"/>
          </w:tcPr>
          <w:p w14:paraId="4E926C2D" w14:textId="77777777" w:rsidR="006C205C" w:rsidRPr="00507A31" w:rsidRDefault="006C205C" w:rsidP="00507A31">
            <w:pPr>
              <w:jc w:val="both"/>
              <w:rPr>
                <w:color w:val="000000" w:themeColor="text1"/>
                <w:sz w:val="16"/>
                <w:szCs w:val="16"/>
              </w:rPr>
            </w:pPr>
            <w:r w:rsidRPr="00507A31">
              <w:rPr>
                <w:color w:val="000000" w:themeColor="text1"/>
                <w:sz w:val="16"/>
                <w:szCs w:val="16"/>
              </w:rPr>
              <w:t xml:space="preserve">85 </w:t>
            </w:r>
          </w:p>
        </w:tc>
      </w:tr>
      <w:tr w:rsidR="00E371BA" w:rsidRPr="00507A31" w14:paraId="26354B87" w14:textId="77777777" w:rsidTr="001C0A69">
        <w:tc>
          <w:tcPr>
            <w:tcW w:w="3349" w:type="dxa"/>
          </w:tcPr>
          <w:p w14:paraId="3AD66BB1" w14:textId="77777777" w:rsidR="006C205C" w:rsidRPr="00507A31" w:rsidRDefault="002A11A5" w:rsidP="00507A31">
            <w:pPr>
              <w:jc w:val="both"/>
              <w:rPr>
                <w:color w:val="000000" w:themeColor="text1"/>
                <w:sz w:val="16"/>
                <w:szCs w:val="16"/>
              </w:rPr>
            </w:pPr>
            <w:r w:rsidRPr="00507A31">
              <w:rPr>
                <w:color w:val="000000" w:themeColor="text1"/>
                <w:sz w:val="16"/>
                <w:szCs w:val="16"/>
              </w:rPr>
              <w:lastRenderedPageBreak/>
              <w:t xml:space="preserve">Скорость </w:t>
            </w:r>
            <w:r w:rsidR="006C205C" w:rsidRPr="00507A31">
              <w:rPr>
                <w:color w:val="000000" w:themeColor="text1"/>
                <w:sz w:val="16"/>
                <w:szCs w:val="16"/>
              </w:rPr>
              <w:t>старта (м/с)</w:t>
            </w:r>
          </w:p>
        </w:tc>
        <w:tc>
          <w:tcPr>
            <w:tcW w:w="2146" w:type="dxa"/>
          </w:tcPr>
          <w:p w14:paraId="4EEE4762" w14:textId="77777777" w:rsidR="006C205C" w:rsidRPr="00507A31" w:rsidRDefault="006C205C" w:rsidP="00507A31">
            <w:pPr>
              <w:jc w:val="both"/>
              <w:rPr>
                <w:color w:val="000000" w:themeColor="text1"/>
                <w:sz w:val="16"/>
                <w:szCs w:val="16"/>
              </w:rPr>
            </w:pPr>
            <w:r w:rsidRPr="00507A31">
              <w:rPr>
                <w:color w:val="000000" w:themeColor="text1"/>
                <w:sz w:val="16"/>
                <w:szCs w:val="16"/>
              </w:rPr>
              <w:t>30,6 (около 110 км/ч)</w:t>
            </w:r>
          </w:p>
        </w:tc>
      </w:tr>
      <w:tr w:rsidR="00E371BA" w:rsidRPr="00507A31" w14:paraId="1BD9E1AE" w14:textId="77777777" w:rsidTr="001C0A69">
        <w:tc>
          <w:tcPr>
            <w:tcW w:w="3349" w:type="dxa"/>
          </w:tcPr>
          <w:p w14:paraId="659F341C" w14:textId="77777777" w:rsidR="006C205C" w:rsidRPr="00507A31" w:rsidRDefault="006C205C" w:rsidP="00507A31">
            <w:pPr>
              <w:jc w:val="both"/>
              <w:rPr>
                <w:color w:val="000000" w:themeColor="text1"/>
                <w:sz w:val="16"/>
                <w:szCs w:val="16"/>
              </w:rPr>
            </w:pPr>
            <w:r w:rsidRPr="00507A31">
              <w:rPr>
                <w:color w:val="000000" w:themeColor="text1"/>
                <w:sz w:val="16"/>
                <w:szCs w:val="16"/>
              </w:rPr>
              <w:t>Длина катапульты (м)</w:t>
            </w:r>
          </w:p>
        </w:tc>
        <w:tc>
          <w:tcPr>
            <w:tcW w:w="2146" w:type="dxa"/>
          </w:tcPr>
          <w:p w14:paraId="279F0D9C" w14:textId="77777777" w:rsidR="006C205C" w:rsidRPr="00507A31" w:rsidRDefault="006C205C" w:rsidP="00507A31">
            <w:pPr>
              <w:jc w:val="both"/>
              <w:rPr>
                <w:color w:val="000000" w:themeColor="text1"/>
                <w:sz w:val="16"/>
                <w:szCs w:val="16"/>
              </w:rPr>
            </w:pPr>
            <w:r w:rsidRPr="00507A31">
              <w:rPr>
                <w:color w:val="000000" w:themeColor="text1"/>
                <w:sz w:val="16"/>
                <w:szCs w:val="16"/>
              </w:rPr>
              <w:t>27,32</w:t>
            </w:r>
          </w:p>
        </w:tc>
      </w:tr>
      <w:tr w:rsidR="00E371BA" w:rsidRPr="00507A31" w14:paraId="6FB3C4E6" w14:textId="77777777" w:rsidTr="001C0A69">
        <w:tc>
          <w:tcPr>
            <w:tcW w:w="3349" w:type="dxa"/>
          </w:tcPr>
          <w:p w14:paraId="10B3990B" w14:textId="77777777" w:rsidR="006C205C" w:rsidRPr="00507A31" w:rsidRDefault="006C205C" w:rsidP="00507A31">
            <w:pPr>
              <w:jc w:val="both"/>
              <w:rPr>
                <w:color w:val="000000" w:themeColor="text1"/>
                <w:sz w:val="16"/>
                <w:szCs w:val="16"/>
              </w:rPr>
            </w:pPr>
            <w:r w:rsidRPr="00507A31">
              <w:rPr>
                <w:color w:val="000000" w:themeColor="text1"/>
                <w:sz w:val="16"/>
                <w:szCs w:val="16"/>
              </w:rPr>
              <w:t>Полный вес (кг)</w:t>
            </w:r>
          </w:p>
        </w:tc>
        <w:tc>
          <w:tcPr>
            <w:tcW w:w="2146" w:type="dxa"/>
          </w:tcPr>
          <w:p w14:paraId="550303C0" w14:textId="77777777" w:rsidR="006C205C" w:rsidRPr="00507A31" w:rsidRDefault="006C205C" w:rsidP="00507A31">
            <w:pPr>
              <w:jc w:val="both"/>
              <w:rPr>
                <w:color w:val="000000" w:themeColor="text1"/>
                <w:sz w:val="16"/>
                <w:szCs w:val="16"/>
              </w:rPr>
            </w:pPr>
            <w:r w:rsidRPr="00507A31">
              <w:rPr>
                <w:color w:val="000000" w:themeColor="text1"/>
                <w:sz w:val="16"/>
                <w:szCs w:val="16"/>
              </w:rPr>
              <w:t>18 000</w:t>
            </w:r>
          </w:p>
        </w:tc>
      </w:tr>
      <w:tr w:rsidR="00E371BA" w:rsidRPr="00507A31" w14:paraId="73BD7B25" w14:textId="77777777" w:rsidTr="001C0A69">
        <w:tc>
          <w:tcPr>
            <w:tcW w:w="3349" w:type="dxa"/>
          </w:tcPr>
          <w:p w14:paraId="5E9597D3" w14:textId="77777777" w:rsidR="006C205C" w:rsidRPr="00507A31" w:rsidRDefault="006C205C" w:rsidP="00507A31">
            <w:pPr>
              <w:jc w:val="both"/>
              <w:rPr>
                <w:color w:val="000000" w:themeColor="text1"/>
                <w:sz w:val="16"/>
                <w:szCs w:val="16"/>
              </w:rPr>
            </w:pPr>
            <w:r w:rsidRPr="00507A31">
              <w:rPr>
                <w:color w:val="000000" w:themeColor="text1"/>
                <w:sz w:val="16"/>
                <w:szCs w:val="16"/>
              </w:rPr>
              <w:t>Длина стартового пути (м)</w:t>
            </w:r>
          </w:p>
        </w:tc>
        <w:tc>
          <w:tcPr>
            <w:tcW w:w="2146" w:type="dxa"/>
          </w:tcPr>
          <w:p w14:paraId="2BEE65A0" w14:textId="77777777" w:rsidR="006C205C" w:rsidRPr="00507A31" w:rsidRDefault="006C205C" w:rsidP="00507A31">
            <w:pPr>
              <w:jc w:val="both"/>
              <w:rPr>
                <w:color w:val="000000" w:themeColor="text1"/>
                <w:sz w:val="16"/>
                <w:szCs w:val="16"/>
              </w:rPr>
            </w:pPr>
            <w:r w:rsidRPr="00507A31">
              <w:rPr>
                <w:color w:val="000000" w:themeColor="text1"/>
                <w:sz w:val="16"/>
                <w:szCs w:val="16"/>
              </w:rPr>
              <w:t>20,0</w:t>
            </w:r>
          </w:p>
        </w:tc>
      </w:tr>
      <w:tr w:rsidR="00E371BA" w:rsidRPr="00507A31" w14:paraId="244CA1BC" w14:textId="77777777" w:rsidTr="001C0A69">
        <w:tc>
          <w:tcPr>
            <w:tcW w:w="3349" w:type="dxa"/>
          </w:tcPr>
          <w:p w14:paraId="472A3A58" w14:textId="77777777" w:rsidR="006C205C" w:rsidRPr="00507A31" w:rsidRDefault="006C205C" w:rsidP="00507A31">
            <w:pPr>
              <w:jc w:val="both"/>
              <w:rPr>
                <w:color w:val="000000" w:themeColor="text1"/>
                <w:sz w:val="16"/>
                <w:szCs w:val="16"/>
              </w:rPr>
            </w:pPr>
            <w:r w:rsidRPr="00507A31">
              <w:rPr>
                <w:color w:val="000000" w:themeColor="text1"/>
                <w:sz w:val="16"/>
                <w:szCs w:val="16"/>
              </w:rPr>
              <w:t>Длина тормозного пути (м)</w:t>
            </w:r>
          </w:p>
        </w:tc>
        <w:tc>
          <w:tcPr>
            <w:tcW w:w="2146" w:type="dxa"/>
          </w:tcPr>
          <w:p w14:paraId="3A0D1E35" w14:textId="77777777" w:rsidR="006C205C" w:rsidRPr="00507A31" w:rsidRDefault="006C205C" w:rsidP="00507A31">
            <w:pPr>
              <w:jc w:val="both"/>
              <w:rPr>
                <w:color w:val="000000" w:themeColor="text1"/>
                <w:sz w:val="16"/>
                <w:szCs w:val="16"/>
              </w:rPr>
            </w:pPr>
            <w:r w:rsidRPr="00507A31">
              <w:rPr>
                <w:color w:val="000000" w:themeColor="text1"/>
                <w:sz w:val="16"/>
                <w:szCs w:val="16"/>
              </w:rPr>
              <w:t>3,0</w:t>
            </w:r>
          </w:p>
        </w:tc>
      </w:tr>
    </w:tbl>
    <w:p w14:paraId="2AE571E7" w14:textId="77777777" w:rsidR="006C205C" w:rsidRPr="00507A31" w:rsidRDefault="006C205C" w:rsidP="00507A31">
      <w:pPr>
        <w:jc w:val="both"/>
        <w:rPr>
          <w:color w:val="000000" w:themeColor="text1"/>
          <w:sz w:val="16"/>
          <w:szCs w:val="16"/>
        </w:rPr>
      </w:pPr>
      <w:r w:rsidRPr="00507A31">
        <w:rPr>
          <w:color w:val="000000" w:themeColor="text1"/>
          <w:sz w:val="16"/>
          <w:szCs w:val="16"/>
        </w:rPr>
        <w:t>Заметим, что указанная длина катапульты значительно более требуемых поначалу 21,5 метров. Между тем на практике советская катапульта оказалась тяжелее и несколько длиннее справочных значений, ее полная длина составила около 29 метров.</w:t>
      </w:r>
    </w:p>
    <w:p w14:paraId="3F4F8522" w14:textId="77777777" w:rsidR="006C205C" w:rsidRPr="00507A31" w:rsidRDefault="006C205C" w:rsidP="00507A31">
      <w:pPr>
        <w:jc w:val="both"/>
        <w:rPr>
          <w:color w:val="000000" w:themeColor="text1"/>
          <w:sz w:val="16"/>
          <w:szCs w:val="16"/>
        </w:rPr>
      </w:pPr>
      <w:r w:rsidRPr="00507A31">
        <w:rPr>
          <w:rStyle w:val="9pt"/>
          <w:rFonts w:ascii="Times New Roman" w:cs="Times New Roman"/>
          <w:b w:val="0"/>
          <w:i w:val="0"/>
          <w:color w:val="000000" w:themeColor="text1"/>
          <w:sz w:val="16"/>
          <w:szCs w:val="16"/>
        </w:rPr>
        <w:t>Описание</w:t>
      </w:r>
      <w:r w:rsidRPr="00507A31">
        <w:rPr>
          <w:color w:val="000000" w:themeColor="text1"/>
          <w:sz w:val="16"/>
          <w:szCs w:val="16"/>
        </w:rPr>
        <w:t>К-3 следует начать с одного из основных элементов — стартовой дорожки. Стартовая дорожка образована двумя фер</w:t>
      </w:r>
      <w:r w:rsidRPr="00507A31">
        <w:rPr>
          <w:color w:val="000000" w:themeColor="text1"/>
          <w:sz w:val="16"/>
          <w:szCs w:val="16"/>
        </w:rPr>
        <w:softHyphen/>
        <w:t>менными консольными балками, верхняя часть которых оборудована тщательно обра</w:t>
      </w:r>
      <w:r w:rsidRPr="00507A31">
        <w:rPr>
          <w:color w:val="000000" w:themeColor="text1"/>
          <w:sz w:val="16"/>
          <w:szCs w:val="16"/>
        </w:rPr>
        <w:softHyphen/>
        <w:t>ботанными и выставленными с особой точ</w:t>
      </w:r>
      <w:r w:rsidRPr="00507A31">
        <w:rPr>
          <w:color w:val="000000" w:themeColor="text1"/>
          <w:sz w:val="16"/>
          <w:szCs w:val="16"/>
        </w:rPr>
        <w:softHyphen/>
        <w:t>ностью направляющими. Направляющие служат для перемещения башмаков (выпол</w:t>
      </w:r>
      <w:r w:rsidRPr="00507A31">
        <w:rPr>
          <w:color w:val="000000" w:themeColor="text1"/>
          <w:sz w:val="16"/>
          <w:szCs w:val="16"/>
        </w:rPr>
        <w:softHyphen/>
        <w:t>нены из бронзы) салазок, на которых закре</w:t>
      </w:r>
      <w:r w:rsidRPr="00507A31">
        <w:rPr>
          <w:color w:val="000000" w:themeColor="text1"/>
          <w:sz w:val="16"/>
          <w:szCs w:val="16"/>
        </w:rPr>
        <w:softHyphen/>
        <w:t>плен самолет. Сами салазки представляют собой рамную платформу особой прочности, так как на конечном участке при их торможе</w:t>
      </w:r>
      <w:r w:rsidRPr="00507A31">
        <w:rPr>
          <w:color w:val="000000" w:themeColor="text1"/>
          <w:sz w:val="16"/>
          <w:szCs w:val="16"/>
        </w:rPr>
        <w:softHyphen/>
        <w:t>нии отрицательное ускорение достигало зна</w:t>
      </w:r>
      <w:r w:rsidRPr="00507A31">
        <w:rPr>
          <w:color w:val="000000" w:themeColor="text1"/>
          <w:sz w:val="16"/>
          <w:szCs w:val="16"/>
        </w:rPr>
        <w:softHyphen/>
        <w:t>чений 40-60</w:t>
      </w:r>
    </w:p>
    <w:p w14:paraId="68B33780" w14:textId="77777777" w:rsidR="006C205C" w:rsidRPr="00507A31" w:rsidRDefault="006C205C" w:rsidP="00507A31">
      <w:pPr>
        <w:jc w:val="both"/>
        <w:rPr>
          <w:color w:val="000000" w:themeColor="text1"/>
          <w:sz w:val="16"/>
          <w:szCs w:val="16"/>
        </w:rPr>
      </w:pPr>
      <w:r w:rsidRPr="00507A31">
        <w:rPr>
          <w:color w:val="000000" w:themeColor="text1"/>
          <w:sz w:val="16"/>
          <w:szCs w:val="16"/>
        </w:rPr>
        <w:t>Механизм, задающий ускорение всей си</w:t>
      </w:r>
      <w:r w:rsidRPr="00507A31">
        <w:rPr>
          <w:color w:val="000000" w:themeColor="text1"/>
          <w:sz w:val="16"/>
          <w:szCs w:val="16"/>
        </w:rPr>
        <w:softHyphen/>
        <w:t>стеме, размещался внутри ферменной кон</w:t>
      </w:r>
      <w:r w:rsidRPr="00507A31">
        <w:rPr>
          <w:color w:val="000000" w:themeColor="text1"/>
          <w:sz w:val="16"/>
          <w:szCs w:val="16"/>
        </w:rPr>
        <w:softHyphen/>
        <w:t>струкции катапульты (представлен на рисун</w:t>
      </w:r>
      <w:r w:rsidRPr="00507A31">
        <w:rPr>
          <w:color w:val="000000" w:themeColor="text1"/>
          <w:sz w:val="16"/>
          <w:szCs w:val="16"/>
        </w:rPr>
        <w:softHyphen/>
        <w:t>ке). Он состоял из резервуара сжатого воз</w:t>
      </w:r>
      <w:r w:rsidRPr="00507A31">
        <w:rPr>
          <w:color w:val="000000" w:themeColor="text1"/>
          <w:sz w:val="16"/>
          <w:szCs w:val="16"/>
        </w:rPr>
        <w:softHyphen/>
        <w:t>духа (А), который соединялся трубопрово</w:t>
      </w:r>
      <w:r w:rsidRPr="00507A31">
        <w:rPr>
          <w:color w:val="000000" w:themeColor="text1"/>
          <w:sz w:val="16"/>
          <w:szCs w:val="16"/>
        </w:rPr>
        <w:softHyphen/>
        <w:t>дом с рабочим цилиндром (В). Передача уси</w:t>
      </w:r>
      <w:r w:rsidRPr="00507A31">
        <w:rPr>
          <w:color w:val="000000" w:themeColor="text1"/>
          <w:sz w:val="16"/>
          <w:szCs w:val="16"/>
        </w:rPr>
        <w:softHyphen/>
        <w:t>лия салазкам (С) производилась посредством стального троса, который, начинаясь у сала</w:t>
      </w:r>
      <w:r w:rsidRPr="00507A31">
        <w:rPr>
          <w:color w:val="000000" w:themeColor="text1"/>
          <w:sz w:val="16"/>
          <w:szCs w:val="16"/>
        </w:rPr>
        <w:softHyphen/>
        <w:t>зок, охватывал затем блоки (О) и (Е), а так</w:t>
      </w:r>
      <w:r w:rsidRPr="00507A31">
        <w:rPr>
          <w:color w:val="000000" w:themeColor="text1"/>
          <w:sz w:val="16"/>
          <w:szCs w:val="16"/>
        </w:rPr>
        <w:softHyphen/>
        <w:t>же блоки на головке рабочего цилиндра и на конце поршня. Вторым свободным кон</w:t>
      </w:r>
      <w:r w:rsidRPr="00507A31">
        <w:rPr>
          <w:color w:val="000000" w:themeColor="text1"/>
          <w:sz w:val="16"/>
          <w:szCs w:val="16"/>
        </w:rPr>
        <w:softHyphen/>
        <w:t>цом трос жестко прикрепляется к ферме ка</w:t>
      </w:r>
      <w:r w:rsidRPr="00507A31">
        <w:rPr>
          <w:color w:val="000000" w:themeColor="text1"/>
          <w:sz w:val="16"/>
          <w:szCs w:val="16"/>
        </w:rPr>
        <w:softHyphen/>
        <w:t>тапульты. Полученным таким образом поли</w:t>
      </w:r>
      <w:r w:rsidRPr="00507A31">
        <w:rPr>
          <w:color w:val="000000" w:themeColor="text1"/>
          <w:sz w:val="16"/>
          <w:szCs w:val="16"/>
        </w:rPr>
        <w:softHyphen/>
        <w:t>спастом ход поршня в цилиндре передавал</w:t>
      </w:r>
      <w:r w:rsidRPr="00507A31">
        <w:rPr>
          <w:color w:val="000000" w:themeColor="text1"/>
          <w:sz w:val="16"/>
          <w:szCs w:val="16"/>
        </w:rPr>
        <w:softHyphen/>
        <w:t>ся самолету увеличенным на передаточное число полиспаста (1:6). Движение поршня и штока, вызываемое поступлением в рабочий цилиндр сжатого воздуха, отодвигало бло</w:t>
      </w:r>
      <w:r w:rsidRPr="00507A31">
        <w:rPr>
          <w:color w:val="000000" w:themeColor="text1"/>
          <w:sz w:val="16"/>
          <w:szCs w:val="16"/>
        </w:rPr>
        <w:softHyphen/>
        <w:t>ки на поршне и, раздвигая полиспаст, пере</w:t>
      </w:r>
      <w:r w:rsidRPr="00507A31">
        <w:rPr>
          <w:color w:val="000000" w:themeColor="text1"/>
          <w:sz w:val="16"/>
          <w:szCs w:val="16"/>
        </w:rPr>
        <w:softHyphen/>
        <w:t>мещало салазки. Чтобы при открытии глав</w:t>
      </w:r>
      <w:r w:rsidRPr="00507A31">
        <w:rPr>
          <w:color w:val="000000" w:themeColor="text1"/>
          <w:sz w:val="16"/>
          <w:szCs w:val="16"/>
        </w:rPr>
        <w:softHyphen/>
        <w:t>ного клапана воспрепятствовать поступле</w:t>
      </w:r>
      <w:r w:rsidRPr="00507A31">
        <w:rPr>
          <w:color w:val="000000" w:themeColor="text1"/>
          <w:sz w:val="16"/>
          <w:szCs w:val="16"/>
        </w:rPr>
        <w:softHyphen/>
        <w:t>нию сжатого воздуха с полным давлением в цилиндр и таким образом избежать ударно</w:t>
      </w:r>
      <w:r w:rsidRPr="00507A31">
        <w:rPr>
          <w:color w:val="000000" w:themeColor="text1"/>
          <w:sz w:val="16"/>
          <w:szCs w:val="16"/>
        </w:rPr>
        <w:softHyphen/>
        <w:t>го действия, система оборудована дросселем.</w:t>
      </w:r>
    </w:p>
    <w:p w14:paraId="3E6514A6" w14:textId="77777777" w:rsidR="006C205C" w:rsidRPr="00507A31" w:rsidRDefault="006C205C" w:rsidP="00507A31">
      <w:pPr>
        <w:jc w:val="both"/>
        <w:rPr>
          <w:color w:val="000000" w:themeColor="text1"/>
          <w:sz w:val="16"/>
          <w:szCs w:val="16"/>
        </w:rPr>
      </w:pPr>
      <w:r w:rsidRPr="00507A31">
        <w:rPr>
          <w:color w:val="000000" w:themeColor="text1"/>
          <w:sz w:val="16"/>
          <w:szCs w:val="16"/>
        </w:rPr>
        <w:t>который</w:t>
      </w:r>
      <w:r w:rsidRPr="00507A31">
        <w:rPr>
          <w:rStyle w:val="8pt"/>
          <w:rFonts w:ascii="Times New Roman" w:cs="Times New Roman"/>
          <w:color w:val="000000" w:themeColor="text1"/>
          <w:spacing w:val="0"/>
        </w:rPr>
        <w:t xml:space="preserve"> регулировал поступление сжатого </w:t>
      </w:r>
      <w:r w:rsidRPr="00507A31">
        <w:rPr>
          <w:color w:val="000000" w:themeColor="text1"/>
          <w:sz w:val="16"/>
          <w:szCs w:val="16"/>
        </w:rPr>
        <w:t>воздуха в первой стадии движения поршня и обеспечивал плавное нарастание ускорения стартовым салазкам.</w:t>
      </w:r>
    </w:p>
    <w:p w14:paraId="46D5F467" w14:textId="77777777" w:rsidR="006C205C" w:rsidRPr="00507A31" w:rsidRDefault="006C205C" w:rsidP="00507A31">
      <w:pPr>
        <w:jc w:val="both"/>
        <w:rPr>
          <w:color w:val="000000" w:themeColor="text1"/>
          <w:sz w:val="16"/>
          <w:szCs w:val="16"/>
        </w:rPr>
      </w:pPr>
      <w:r w:rsidRPr="00507A31">
        <w:rPr>
          <w:color w:val="000000" w:themeColor="text1"/>
          <w:sz w:val="16"/>
          <w:szCs w:val="16"/>
        </w:rPr>
        <w:t>Перед стартом самолет, установленный на салазки, удерживался запорным крюком - слипгакеном (Р), освобождающим салазки автоматически с помощью сжатого воздуха. Отделение самолета от салазок катапульты происходило в момент, когда стартовые са</w:t>
      </w:r>
      <w:r w:rsidRPr="00507A31">
        <w:rPr>
          <w:color w:val="000000" w:themeColor="text1"/>
          <w:sz w:val="16"/>
          <w:szCs w:val="16"/>
        </w:rPr>
        <w:softHyphen/>
        <w:t>лазки входят в щековые тормоза (О) в конце фермы. Щековые тормоза были выполнены в виде двух стальных полос, прижимаемых друг к другу рычажной передачей от специальных цилиндров со сжатым воздухом. Ножи из ли</w:t>
      </w:r>
      <w:r w:rsidRPr="00507A31">
        <w:rPr>
          <w:color w:val="000000" w:themeColor="text1"/>
          <w:sz w:val="16"/>
          <w:szCs w:val="16"/>
        </w:rPr>
        <w:softHyphen/>
        <w:t>стовой стали, прикрепленные к нижней ча</w:t>
      </w:r>
      <w:r w:rsidRPr="00507A31">
        <w:rPr>
          <w:color w:val="000000" w:themeColor="text1"/>
          <w:sz w:val="16"/>
          <w:szCs w:val="16"/>
        </w:rPr>
        <w:softHyphen/>
        <w:t>сти салазок, преодолевая давление сжатого воздуха в тормозных цилиндрах, вклинива</w:t>
      </w:r>
      <w:r w:rsidRPr="00507A31">
        <w:rPr>
          <w:color w:val="000000" w:themeColor="text1"/>
          <w:sz w:val="16"/>
          <w:szCs w:val="16"/>
        </w:rPr>
        <w:softHyphen/>
        <w:t>лись между щеками тормозов, раздвигали их, и за счет создавшейся силы трения салазки тормозились. Помимо торможения трением, в катапульте Хейнкеля была предусмотрена вторая, одновременно действующая система торможения. Для этого блоки (О) и (Е) разме</w:t>
      </w:r>
      <w:r w:rsidRPr="00507A31">
        <w:rPr>
          <w:color w:val="000000" w:themeColor="text1"/>
          <w:sz w:val="16"/>
          <w:szCs w:val="16"/>
        </w:rPr>
        <w:softHyphen/>
        <w:t>щены так, как указано на рисунке, - один по</w:t>
      </w:r>
      <w:r w:rsidRPr="00507A31">
        <w:rPr>
          <w:color w:val="000000" w:themeColor="text1"/>
          <w:sz w:val="16"/>
          <w:szCs w:val="16"/>
        </w:rPr>
        <w:softHyphen/>
        <w:t>зади другого. На участке между блоками Э и Е ускорение салазок падало, так как горизон</w:t>
      </w:r>
      <w:r w:rsidRPr="00507A31">
        <w:rPr>
          <w:color w:val="000000" w:themeColor="text1"/>
          <w:sz w:val="16"/>
          <w:szCs w:val="16"/>
        </w:rPr>
        <w:softHyphen/>
        <w:t>тальная составляющая усилия в тросе все вре</w:t>
      </w:r>
      <w:r w:rsidRPr="00507A31">
        <w:rPr>
          <w:color w:val="000000" w:themeColor="text1"/>
          <w:sz w:val="16"/>
          <w:szCs w:val="16"/>
        </w:rPr>
        <w:softHyphen/>
        <w:t>мя уменьшалась и в момент достижения са</w:t>
      </w:r>
      <w:r w:rsidRPr="00507A31">
        <w:rPr>
          <w:color w:val="000000" w:themeColor="text1"/>
          <w:sz w:val="16"/>
          <w:szCs w:val="16"/>
        </w:rPr>
        <w:softHyphen/>
        <w:t>лазками тормозного участка доходила до ну</w:t>
      </w:r>
      <w:r w:rsidRPr="00507A31">
        <w:rPr>
          <w:color w:val="000000" w:themeColor="text1"/>
          <w:sz w:val="16"/>
          <w:szCs w:val="16"/>
        </w:rPr>
        <w:softHyphen/>
        <w:t>ля. На тормозном участке горизонтальная со</w:t>
      </w:r>
      <w:r w:rsidRPr="00507A31">
        <w:rPr>
          <w:color w:val="000000" w:themeColor="text1"/>
          <w:sz w:val="16"/>
          <w:szCs w:val="16"/>
        </w:rPr>
        <w:softHyphen/>
        <w:t>ставляющая усилия в тросе меняла знак. Са</w:t>
      </w:r>
      <w:r w:rsidRPr="00507A31">
        <w:rPr>
          <w:color w:val="000000" w:themeColor="text1"/>
          <w:sz w:val="16"/>
          <w:szCs w:val="16"/>
        </w:rPr>
        <w:softHyphen/>
        <w:t>лазки, обладающие большим запасом энер</w:t>
      </w:r>
      <w:r w:rsidRPr="00507A31">
        <w:rPr>
          <w:color w:val="000000" w:themeColor="text1"/>
          <w:sz w:val="16"/>
          <w:szCs w:val="16"/>
        </w:rPr>
        <w:softHyphen/>
        <w:t>гии, стремились переместиться вперед, одна</w:t>
      </w:r>
      <w:r w:rsidRPr="00507A31">
        <w:rPr>
          <w:color w:val="000000" w:themeColor="text1"/>
          <w:sz w:val="16"/>
          <w:szCs w:val="16"/>
        </w:rPr>
        <w:softHyphen/>
        <w:t>ко всякое их перемещение передавалось че</w:t>
      </w:r>
      <w:r w:rsidRPr="00507A31">
        <w:rPr>
          <w:color w:val="000000" w:themeColor="text1"/>
          <w:sz w:val="16"/>
          <w:szCs w:val="16"/>
        </w:rPr>
        <w:softHyphen/>
        <w:t>рез трос на поршень, который, входя обрат</w:t>
      </w:r>
      <w:r w:rsidRPr="00507A31">
        <w:rPr>
          <w:color w:val="000000" w:themeColor="text1"/>
          <w:sz w:val="16"/>
          <w:szCs w:val="16"/>
        </w:rPr>
        <w:softHyphen/>
        <w:t>но в цилиндр, содействовал сокращению тор</w:t>
      </w:r>
      <w:r w:rsidRPr="00507A31">
        <w:rPr>
          <w:color w:val="000000" w:themeColor="text1"/>
          <w:sz w:val="16"/>
          <w:szCs w:val="16"/>
        </w:rPr>
        <w:softHyphen/>
        <w:t>мозного пути салазок (12301).</w:t>
      </w:r>
    </w:p>
    <w:p w14:paraId="190DF3EE" w14:textId="77777777" w:rsidR="006C205C" w:rsidRPr="00507A31" w:rsidRDefault="006C205C" w:rsidP="00507A31">
      <w:pPr>
        <w:jc w:val="both"/>
        <w:rPr>
          <w:color w:val="000000" w:themeColor="text1"/>
          <w:sz w:val="16"/>
          <w:szCs w:val="16"/>
        </w:rPr>
      </w:pPr>
    </w:p>
    <w:p w14:paraId="4753A323" w14:textId="77777777" w:rsidR="00537E5F" w:rsidRPr="00507A31" w:rsidRDefault="00AC735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EA65FF6" w14:textId="77777777" w:rsidR="00537E5F" w:rsidRPr="00507A31" w:rsidRDefault="00537E5F" w:rsidP="00507A31">
      <w:pPr>
        <w:shd w:val="clear" w:color="auto" w:fill="FFFFFF"/>
        <w:autoSpaceDE w:val="0"/>
        <w:autoSpaceDN w:val="0"/>
        <w:adjustRightInd w:val="0"/>
        <w:jc w:val="both"/>
        <w:rPr>
          <w:iCs/>
          <w:color w:val="000000" w:themeColor="text1"/>
          <w:sz w:val="16"/>
          <w:szCs w:val="16"/>
        </w:rPr>
      </w:pPr>
    </w:p>
    <w:p w14:paraId="7FBC4F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октября 1930 г. мотопробег благополучно завершился. За 18 ходовых дней мотоциклы прошли 3212 км, из которых 580 - по просёлку от Харькова до Киева. Всё время шел дождь, 10 дней да</w:t>
      </w:r>
      <w:r w:rsidRPr="00507A31">
        <w:rPr>
          <w:color w:val="000000" w:themeColor="text1"/>
          <w:sz w:val="16"/>
          <w:szCs w:val="16"/>
        </w:rPr>
        <w:softHyphen/>
        <w:t>же со снегом, температура не поднималась выше 8 °С. Сущест</w:t>
      </w:r>
      <w:r w:rsidRPr="00507A31">
        <w:rPr>
          <w:color w:val="000000" w:themeColor="text1"/>
          <w:sz w:val="16"/>
          <w:szCs w:val="16"/>
        </w:rPr>
        <w:softHyphen/>
        <w:t>венных поломок не было. Для тщательного отчёта руководителя технической комиссии П.В. Можарова по наблюдениям был дан материал, в который П.В. Можаров внёс 41 поправку по конст</w:t>
      </w:r>
      <w:r w:rsidRPr="00507A31">
        <w:rPr>
          <w:color w:val="000000" w:themeColor="text1"/>
          <w:sz w:val="16"/>
          <w:szCs w:val="16"/>
        </w:rPr>
        <w:softHyphen/>
        <w:t>рукторским недоработкам и сделал замечания по их устранению. Наиболее существенными были следующие: изменить конструк</w:t>
      </w:r>
      <w:r w:rsidRPr="00507A31">
        <w:rPr>
          <w:color w:val="000000" w:themeColor="text1"/>
          <w:sz w:val="16"/>
          <w:szCs w:val="16"/>
        </w:rPr>
        <w:softHyphen/>
        <w:t>цию и расположение магнето; приподнять переднее крыло, что</w:t>
      </w:r>
      <w:r w:rsidRPr="00507A31">
        <w:rPr>
          <w:color w:val="000000" w:themeColor="text1"/>
          <w:sz w:val="16"/>
          <w:szCs w:val="16"/>
        </w:rPr>
        <w:softHyphen/>
        <w:t>бы под ним не набивалась грязь; улучшить крепление передней вилки и инструментальных сумок; увеличить диаметр колесных спиц и др. Большое внимание техническая комиссия уделила ана</w:t>
      </w:r>
      <w:r w:rsidRPr="00507A31">
        <w:rPr>
          <w:color w:val="000000" w:themeColor="text1"/>
          <w:sz w:val="16"/>
          <w:szCs w:val="16"/>
        </w:rPr>
        <w:softHyphen/>
        <w:t>лизу износа двигателя, устойчивости движения и удобству езды мотоциклиста [4.31] (11429).</w:t>
      </w:r>
    </w:p>
    <w:p w14:paraId="76536F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9E935B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2BEEB47" w14:textId="77777777" w:rsidR="00537E5F" w:rsidRPr="00507A31" w:rsidRDefault="00537E5F" w:rsidP="00507A31">
      <w:pPr>
        <w:autoSpaceDE w:val="0"/>
        <w:autoSpaceDN w:val="0"/>
        <w:adjustRightInd w:val="0"/>
        <w:jc w:val="both"/>
        <w:rPr>
          <w:iCs/>
          <w:color w:val="000000" w:themeColor="text1"/>
          <w:sz w:val="16"/>
          <w:szCs w:val="16"/>
        </w:rPr>
      </w:pPr>
    </w:p>
    <w:p w14:paraId="7154BA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октября 1930 в США женщина Laura Inglas впервые совершила трансконтинентальный перелет (3481).</w:t>
      </w:r>
    </w:p>
    <w:p w14:paraId="5A710046" w14:textId="77777777" w:rsidR="00537E5F" w:rsidRPr="00507A31" w:rsidRDefault="00537E5F" w:rsidP="00507A31">
      <w:pPr>
        <w:autoSpaceDE w:val="0"/>
        <w:autoSpaceDN w:val="0"/>
        <w:adjustRightInd w:val="0"/>
        <w:jc w:val="both"/>
        <w:rPr>
          <w:color w:val="000000" w:themeColor="text1"/>
          <w:sz w:val="16"/>
          <w:szCs w:val="16"/>
        </w:rPr>
      </w:pPr>
    </w:p>
    <w:p w14:paraId="3122D708" w14:textId="77777777" w:rsidR="008B5271" w:rsidRPr="00507A31" w:rsidRDefault="008B5271" w:rsidP="00507A31">
      <w:pPr>
        <w:jc w:val="both"/>
        <w:rPr>
          <w:color w:val="0070C0"/>
          <w:sz w:val="16"/>
          <w:szCs w:val="16"/>
        </w:rPr>
      </w:pPr>
      <w:r w:rsidRPr="00507A31">
        <w:rPr>
          <w:color w:val="0070C0"/>
          <w:sz w:val="16"/>
          <w:szCs w:val="16"/>
        </w:rPr>
        <w:t>9–10 октября 1930 первый полет канадского пилота капитана Дж. Эрролла Бойда (1891-1960) из Северной Америки (гавань Грейс, Нидерланды) в Англию на лайнере Wright-Bellanca WB-2 Maple Leaf (он же Колумбия), которым руководил американец лейтенант. Гарри Коннор. Этот рейс также отличался перевозкой почты с почтовым оттиском в качестве памятной надпечатки (20805).</w:t>
      </w:r>
    </w:p>
    <w:p w14:paraId="20A0158A" w14:textId="77777777" w:rsidR="008B5271" w:rsidRPr="00507A31" w:rsidRDefault="008B5271" w:rsidP="00507A31">
      <w:pPr>
        <w:jc w:val="both"/>
        <w:rPr>
          <w:color w:val="0070C0"/>
          <w:sz w:val="16"/>
          <w:szCs w:val="16"/>
        </w:rPr>
      </w:pPr>
    </w:p>
    <w:p w14:paraId="3C245F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октября 1930 года датируются первые мировые рекорды для вертолетов, офици</w:t>
      </w:r>
      <w:r w:rsidRPr="00507A31">
        <w:rPr>
          <w:color w:val="000000" w:themeColor="text1"/>
          <w:sz w:val="16"/>
          <w:szCs w:val="16"/>
        </w:rPr>
        <w:softHyphen/>
        <w:t>ально признанные FAI. В этот день воен</w:t>
      </w:r>
      <w:r w:rsidRPr="00507A31">
        <w:rPr>
          <w:color w:val="000000" w:themeColor="text1"/>
          <w:sz w:val="16"/>
          <w:szCs w:val="16"/>
        </w:rPr>
        <w:softHyphen/>
        <w:t>ный летчик Маринелло Нелли уста</w:t>
      </w:r>
      <w:r w:rsidRPr="00507A31">
        <w:rPr>
          <w:color w:val="000000" w:themeColor="text1"/>
          <w:sz w:val="16"/>
          <w:szCs w:val="16"/>
        </w:rPr>
        <w:softHyphen/>
        <w:t>новил в одном полете на вертолете двухвинтовой соосной схемы итальян</w:t>
      </w:r>
      <w:r w:rsidRPr="00507A31">
        <w:rPr>
          <w:color w:val="000000" w:themeColor="text1"/>
          <w:sz w:val="16"/>
          <w:szCs w:val="16"/>
        </w:rPr>
        <w:softHyphen/>
        <w:t>ского конструктора д'Асканио сразу три мировых рекорда: дальности — 1078 м по замкнутому маршруту (от одного края аэродрома до другого), продолжительности - 8 мин 34 с и высоты - 18м. Взлетная масса верто</w:t>
      </w:r>
      <w:r w:rsidRPr="00507A31">
        <w:rPr>
          <w:color w:val="000000" w:themeColor="text1"/>
          <w:sz w:val="16"/>
          <w:szCs w:val="16"/>
        </w:rPr>
        <w:softHyphen/>
        <w:t>лета составляла 800 кг, скорость полета не превышала 10-15 км/ч. В этом и последующих полетах машина устой</w:t>
      </w:r>
      <w:r w:rsidRPr="00507A31">
        <w:rPr>
          <w:color w:val="000000" w:themeColor="text1"/>
          <w:sz w:val="16"/>
          <w:szCs w:val="16"/>
        </w:rPr>
        <w:softHyphen/>
        <w:t>чиво летала, совершала развороты, де</w:t>
      </w:r>
      <w:r w:rsidRPr="00507A31">
        <w:rPr>
          <w:color w:val="000000" w:themeColor="text1"/>
          <w:sz w:val="16"/>
          <w:szCs w:val="16"/>
        </w:rPr>
        <w:softHyphen/>
        <w:t>монстрируя хорошую управляемость. Вертолет д'Асканио имел фюзеляж ферменной конструкции с хвостовой и двумя боковыми балками, широко раз</w:t>
      </w:r>
      <w:r w:rsidRPr="00507A31">
        <w:rPr>
          <w:color w:val="000000" w:themeColor="text1"/>
          <w:sz w:val="16"/>
          <w:szCs w:val="16"/>
        </w:rPr>
        <w:softHyphen/>
        <w:t>несенным четырехколесным шасси и авиационным ПД А-505 компании ФИАТ мощностью 95 л.с. Через редук</w:t>
      </w:r>
      <w:r w:rsidRPr="00507A31">
        <w:rPr>
          <w:color w:val="000000" w:themeColor="text1"/>
          <w:sz w:val="16"/>
          <w:szCs w:val="16"/>
        </w:rPr>
        <w:softHyphen/>
        <w:t>тор двигатель приводил во вращение соосные двухлопастные несущие вин</w:t>
      </w:r>
      <w:r w:rsidRPr="00507A31">
        <w:rPr>
          <w:color w:val="000000" w:themeColor="text1"/>
          <w:sz w:val="16"/>
          <w:szCs w:val="16"/>
        </w:rPr>
        <w:softHyphen/>
        <w:t>ты диаметром 1 3 м, а также три вспо</w:t>
      </w:r>
      <w:r w:rsidRPr="00507A31">
        <w:rPr>
          <w:color w:val="000000" w:themeColor="text1"/>
          <w:sz w:val="16"/>
          <w:szCs w:val="16"/>
        </w:rPr>
        <w:softHyphen/>
        <w:t>могательных винта для управления вер</w:t>
      </w:r>
      <w:r w:rsidRPr="00507A31">
        <w:rPr>
          <w:color w:val="000000" w:themeColor="text1"/>
          <w:sz w:val="16"/>
          <w:szCs w:val="16"/>
        </w:rPr>
        <w:softHyphen/>
        <w:t>толетом. Два из них — на хвостовой и левой балках, создавая вертикальную тягу, обеспечивали продольное и по</w:t>
      </w:r>
      <w:r w:rsidRPr="00507A31">
        <w:rPr>
          <w:color w:val="000000" w:themeColor="text1"/>
          <w:sz w:val="16"/>
          <w:szCs w:val="16"/>
        </w:rPr>
        <w:softHyphen/>
        <w:t>перечное управление. Третий, установ</w:t>
      </w:r>
      <w:r w:rsidRPr="00507A31">
        <w:rPr>
          <w:color w:val="000000" w:themeColor="text1"/>
          <w:sz w:val="16"/>
          <w:szCs w:val="16"/>
        </w:rPr>
        <w:softHyphen/>
        <w:t>ленный на правой балке, создавал го</w:t>
      </w:r>
      <w:r w:rsidRPr="00507A31">
        <w:rPr>
          <w:color w:val="000000" w:themeColor="text1"/>
          <w:sz w:val="16"/>
          <w:szCs w:val="16"/>
        </w:rPr>
        <w:softHyphen/>
        <w:t>ризонтальную тягу, обеспечивая путе</w:t>
      </w:r>
      <w:r w:rsidRPr="00507A31">
        <w:rPr>
          <w:color w:val="000000" w:themeColor="text1"/>
          <w:sz w:val="16"/>
          <w:szCs w:val="16"/>
        </w:rPr>
        <w:softHyphen/>
        <w:t>вое управление. Двухлопастные несу</w:t>
      </w:r>
      <w:r w:rsidRPr="00507A31">
        <w:rPr>
          <w:color w:val="000000" w:themeColor="text1"/>
          <w:sz w:val="16"/>
          <w:szCs w:val="16"/>
        </w:rPr>
        <w:softHyphen/>
        <w:t>щие винты были снабжены гори</w:t>
      </w:r>
      <w:r w:rsidRPr="00507A31">
        <w:rPr>
          <w:color w:val="000000" w:themeColor="text1"/>
          <w:sz w:val="16"/>
          <w:szCs w:val="16"/>
        </w:rPr>
        <w:softHyphen/>
        <w:t>зонтальными шарнирами, как у авто</w:t>
      </w:r>
      <w:r w:rsidRPr="00507A31">
        <w:rPr>
          <w:color w:val="000000" w:themeColor="text1"/>
          <w:sz w:val="16"/>
          <w:szCs w:val="16"/>
        </w:rPr>
        <w:softHyphen/>
        <w:t>жиров Сиервы, с предохранительными растяжками для ограничения свеса ло</w:t>
      </w:r>
      <w:r w:rsidRPr="00507A31">
        <w:rPr>
          <w:color w:val="000000" w:themeColor="text1"/>
          <w:sz w:val="16"/>
          <w:szCs w:val="16"/>
        </w:rPr>
        <w:softHyphen/>
        <w:t>пастей. Сами лопасти имели каркас</w:t>
      </w:r>
      <w:r w:rsidRPr="00507A31">
        <w:rPr>
          <w:color w:val="000000" w:themeColor="text1"/>
          <w:sz w:val="16"/>
          <w:szCs w:val="16"/>
        </w:rPr>
        <w:softHyphen/>
        <w:t>ную конструкцию, как крылья самоле</w:t>
      </w:r>
      <w:r w:rsidRPr="00507A31">
        <w:rPr>
          <w:color w:val="000000" w:themeColor="text1"/>
          <w:sz w:val="16"/>
          <w:szCs w:val="16"/>
        </w:rPr>
        <w:softHyphen/>
        <w:t>тов того времени, и были снабжены закрылками Флеттнера, обеспечиваю</w:t>
      </w:r>
      <w:r w:rsidRPr="00507A31">
        <w:rPr>
          <w:color w:val="000000" w:themeColor="text1"/>
          <w:sz w:val="16"/>
          <w:szCs w:val="16"/>
        </w:rPr>
        <w:softHyphen/>
        <w:t>щими управление шагом лопастей. Результаты, достигнутые итальянцем, ненамного отличались от неофициальных, показанных на вертолетах Нескора, Ботезата и Эмишена в 1922-1924 гг., хотя со времени достижения последних прошло 6-8 лет. Не лишним будет напомнить, что самолеты за эти же годы сделали ги</w:t>
      </w:r>
      <w:r w:rsidRPr="00507A31">
        <w:rPr>
          <w:color w:val="000000" w:themeColor="text1"/>
          <w:sz w:val="16"/>
          <w:szCs w:val="16"/>
        </w:rPr>
        <w:softHyphen/>
        <w:t>гантский шаг вперед: в 1920 году был превзойден 300-километровый рубеж скорости, в 1929 году — 500-километ</w:t>
      </w:r>
      <w:r w:rsidRPr="00507A31">
        <w:rPr>
          <w:color w:val="000000" w:themeColor="text1"/>
          <w:sz w:val="16"/>
          <w:szCs w:val="16"/>
        </w:rPr>
        <w:softHyphen/>
        <w:t>ровый. В то время самолетам уже были «подвластны» огромные расстояния: в 1927 году, например, американский летчик Чарлз Линдберг совершил бес</w:t>
      </w:r>
      <w:r w:rsidRPr="00507A31">
        <w:rPr>
          <w:color w:val="000000" w:themeColor="text1"/>
          <w:sz w:val="16"/>
          <w:szCs w:val="16"/>
        </w:rPr>
        <w:softHyphen/>
        <w:t>посадочный перелет протяженностью 5809 км из Нью-Йорка в Париж через Атлантический океан, в 1929 году со</w:t>
      </w:r>
      <w:r w:rsidRPr="00507A31">
        <w:rPr>
          <w:color w:val="000000" w:themeColor="text1"/>
          <w:sz w:val="16"/>
          <w:szCs w:val="16"/>
        </w:rPr>
        <w:softHyphen/>
        <w:t>ветские летчики на самолете АНТ-4 «Страна Советов» совершили перелет по маршруту Москва - Петропавловск-на-Камчатке - Сиэтл - Сан-Францис</w:t>
      </w:r>
      <w:r w:rsidRPr="00507A31">
        <w:rPr>
          <w:color w:val="000000" w:themeColor="text1"/>
          <w:sz w:val="16"/>
          <w:szCs w:val="16"/>
        </w:rPr>
        <w:softHyphen/>
        <w:t>ко - Нью-Йорк протяженностью бо</w:t>
      </w:r>
      <w:r w:rsidRPr="00507A31">
        <w:rPr>
          <w:color w:val="000000" w:themeColor="text1"/>
          <w:sz w:val="16"/>
          <w:szCs w:val="16"/>
        </w:rPr>
        <w:softHyphen/>
        <w:t>лее 21000 км (11401).</w:t>
      </w:r>
    </w:p>
    <w:p w14:paraId="5A76B541" w14:textId="77777777" w:rsidR="00537E5F" w:rsidRPr="00507A31" w:rsidRDefault="00537E5F" w:rsidP="00507A31">
      <w:pPr>
        <w:shd w:val="clear" w:color="auto" w:fill="FFFFFF"/>
        <w:autoSpaceDE w:val="0"/>
        <w:autoSpaceDN w:val="0"/>
        <w:adjustRightInd w:val="0"/>
        <w:jc w:val="both"/>
        <w:rPr>
          <w:bCs/>
          <w:color w:val="000000" w:themeColor="text1"/>
          <w:sz w:val="16"/>
          <w:szCs w:val="16"/>
        </w:rPr>
      </w:pPr>
    </w:p>
    <w:p w14:paraId="171456C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252EEA9" w14:textId="77777777" w:rsidR="00537E5F" w:rsidRPr="00507A31" w:rsidRDefault="00537E5F" w:rsidP="00507A31">
      <w:pPr>
        <w:autoSpaceDE w:val="0"/>
        <w:autoSpaceDN w:val="0"/>
        <w:adjustRightInd w:val="0"/>
        <w:jc w:val="both"/>
        <w:rPr>
          <w:iCs/>
          <w:color w:val="000000" w:themeColor="text1"/>
          <w:sz w:val="16"/>
          <w:szCs w:val="16"/>
        </w:rPr>
      </w:pPr>
    </w:p>
    <w:p w14:paraId="429A8A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октября 1930 года Миль пишет Камову из Новочер</w:t>
      </w:r>
      <w:r w:rsidRPr="00507A31">
        <w:rPr>
          <w:color w:val="000000" w:themeColor="text1"/>
          <w:sz w:val="16"/>
          <w:szCs w:val="16"/>
        </w:rPr>
        <w:softHyphen/>
        <w:t>касска:</w:t>
      </w:r>
    </w:p>
    <w:p w14:paraId="3DBAB1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«Уважаемый Николай Ильич! Посылаю Вам обещанный список лите</w:t>
      </w:r>
      <w:r w:rsidRPr="00507A31">
        <w:rPr>
          <w:color w:val="000000" w:themeColor="text1"/>
          <w:sz w:val="16"/>
          <w:szCs w:val="16"/>
        </w:rPr>
        <w:softHyphen/>
        <w:t>ратуры по автожиру, среди которой преобл., главным образом англий</w:t>
      </w:r>
      <w:r w:rsidRPr="00507A31">
        <w:rPr>
          <w:color w:val="000000" w:themeColor="text1"/>
          <w:sz w:val="16"/>
          <w:szCs w:val="16"/>
        </w:rPr>
        <w:softHyphen/>
        <w:t>ская.</w:t>
      </w:r>
    </w:p>
    <w:p w14:paraId="3E34C6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днях я закончу перевод второй статьи и тогда пошлю обе вместе... Меня очень интересуют успехи Вашей машины. Поставили ли Вы новый мотор?..</w:t>
      </w:r>
    </w:p>
    <w:p w14:paraId="09A7C0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Желаю Вам всяких успехов в «вертолетном» деле. Всего хорошего.</w:t>
      </w:r>
    </w:p>
    <w:p w14:paraId="039A64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Р.З.</w:t>
      </w:r>
    </w:p>
    <w:p w14:paraId="55128C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Привет Николаю Кирилловичу и Крейдлину, а также Кошицу, если он еще не уехал.</w:t>
      </w:r>
    </w:p>
    <w:p w14:paraId="43B2CC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Чуть не забыл! Напишите, пожалуйста, могу ли я в докладе у нас в Авиасекции говорить о Вашей машине и ее достижениях?» (10224,32)</w:t>
      </w:r>
    </w:p>
    <w:p w14:paraId="3D4D0F23" w14:textId="77777777" w:rsidR="00537E5F" w:rsidRPr="00507A31" w:rsidRDefault="00537E5F" w:rsidP="00507A31">
      <w:pPr>
        <w:autoSpaceDE w:val="0"/>
        <w:autoSpaceDN w:val="0"/>
        <w:adjustRightInd w:val="0"/>
        <w:jc w:val="both"/>
        <w:rPr>
          <w:iCs/>
          <w:color w:val="000000" w:themeColor="text1"/>
          <w:sz w:val="16"/>
          <w:szCs w:val="16"/>
        </w:rPr>
      </w:pPr>
    </w:p>
    <w:p w14:paraId="29F63CE9" w14:textId="77777777" w:rsidR="008B5271" w:rsidRPr="00507A31" w:rsidRDefault="008B5271" w:rsidP="00507A31">
      <w:pPr>
        <w:jc w:val="both"/>
        <w:rPr>
          <w:color w:val="0070C0"/>
          <w:sz w:val="16"/>
          <w:szCs w:val="16"/>
          <w:shd w:val="clear" w:color="auto" w:fill="FFFFFF"/>
        </w:rPr>
      </w:pPr>
      <w:r w:rsidRPr="00507A31">
        <w:rPr>
          <w:color w:val="0070C0"/>
          <w:sz w:val="16"/>
          <w:szCs w:val="16"/>
        </w:rPr>
        <w:t>10 октября 1930 г. состоялось заседание РЗ СТО</w:t>
      </w:r>
    </w:p>
    <w:p w14:paraId="668B8A6A" w14:textId="77777777" w:rsidR="008B5271" w:rsidRPr="00507A31" w:rsidRDefault="008B5271" w:rsidP="00507A31">
      <w:pPr>
        <w:shd w:val="clear" w:color="auto" w:fill="FFFFFF"/>
        <w:jc w:val="both"/>
        <w:rPr>
          <w:color w:val="0070C0"/>
          <w:sz w:val="16"/>
          <w:szCs w:val="16"/>
        </w:rPr>
      </w:pPr>
      <w:r w:rsidRPr="00507A31">
        <w:rPr>
          <w:color w:val="0070C0"/>
          <w:sz w:val="16"/>
          <w:szCs w:val="16"/>
        </w:rPr>
        <w:t>Протокол № 58 от 10 октября 1930 г.:</w:t>
      </w:r>
    </w:p>
    <w:p w14:paraId="1249ECB3" w14:textId="77777777" w:rsidR="008B5271" w:rsidRPr="00507A31" w:rsidRDefault="008B5271" w:rsidP="00507A31">
      <w:pPr>
        <w:shd w:val="clear" w:color="auto" w:fill="FFFFFF"/>
        <w:jc w:val="both"/>
        <w:rPr>
          <w:color w:val="0070C0"/>
          <w:sz w:val="16"/>
          <w:szCs w:val="16"/>
        </w:rPr>
      </w:pPr>
      <w:r w:rsidRPr="00507A31">
        <w:rPr>
          <w:color w:val="0070C0"/>
          <w:sz w:val="16"/>
          <w:szCs w:val="16"/>
        </w:rPr>
        <w:t>Об ассигнованиях военной промышленности и Всесоюзному авиаобъединению на октябрь- декабрь 1930 г. (постановление РЗ СТО от 5.10.1930 г. к протоколу РЗ СТО № 58 от 10.10.1930 г. по п. 7) (21566).</w:t>
      </w:r>
    </w:p>
    <w:p w14:paraId="390A4547" w14:textId="77777777" w:rsidR="008B5271" w:rsidRPr="00507A31" w:rsidRDefault="008B5271" w:rsidP="00507A31">
      <w:pPr>
        <w:jc w:val="both"/>
        <w:rPr>
          <w:color w:val="0070C0"/>
          <w:sz w:val="16"/>
          <w:szCs w:val="16"/>
        </w:rPr>
      </w:pPr>
    </w:p>
    <w:p w14:paraId="504A77B2" w14:textId="77777777" w:rsidR="00373CA1"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3DEDA87" w14:textId="77777777" w:rsidR="00373CA1" w:rsidRPr="00507A31" w:rsidRDefault="00373CA1" w:rsidP="00507A31">
      <w:pPr>
        <w:autoSpaceDE w:val="0"/>
        <w:autoSpaceDN w:val="0"/>
        <w:adjustRightInd w:val="0"/>
        <w:jc w:val="both"/>
        <w:rPr>
          <w:iCs/>
          <w:color w:val="000000" w:themeColor="text1"/>
          <w:sz w:val="16"/>
          <w:szCs w:val="16"/>
        </w:rPr>
      </w:pPr>
    </w:p>
    <w:p w14:paraId="27725858" w14:textId="77777777" w:rsidR="00373CA1" w:rsidRPr="00507A31" w:rsidRDefault="00373CA1" w:rsidP="00507A31">
      <w:pPr>
        <w:jc w:val="both"/>
        <w:rPr>
          <w:color w:val="000000" w:themeColor="text1"/>
          <w:sz w:val="16"/>
          <w:szCs w:val="16"/>
        </w:rPr>
      </w:pPr>
      <w:r w:rsidRPr="00507A31">
        <w:rPr>
          <w:color w:val="000000" w:themeColor="text1"/>
          <w:sz w:val="16"/>
          <w:szCs w:val="16"/>
        </w:rPr>
        <w:t>10 октября 1930 г. — Письмо начальника ВМС РККА Р. А. Муклевича в правление объединения «Союзверфь» о привлечении иностранной технической помощи для модернизации судостроения</w:t>
      </w:r>
    </w:p>
    <w:p w14:paraId="68B3DFA3" w14:textId="77777777" w:rsidR="00373CA1" w:rsidRPr="00507A31" w:rsidRDefault="00373CA1" w:rsidP="00507A31">
      <w:pPr>
        <w:jc w:val="both"/>
        <w:rPr>
          <w:color w:val="000000" w:themeColor="text1"/>
          <w:sz w:val="16"/>
          <w:szCs w:val="16"/>
        </w:rPr>
      </w:pPr>
      <w:r w:rsidRPr="00507A31">
        <w:rPr>
          <w:rStyle w:val="af0"/>
          <w:i w:val="0"/>
          <w:color w:val="000000" w:themeColor="text1"/>
          <w:sz w:val="16"/>
          <w:szCs w:val="16"/>
        </w:rPr>
        <w:t>Секретно.</w:t>
      </w:r>
    </w:p>
    <w:p w14:paraId="57976ED8"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lastRenderedPageBreak/>
        <w:t>По вопросу, поднятому Вашей докладной запиской в Президиум ВСНХ СССР — ИНО (о приобретении за границей проектов броненосной канлодки для Балтийского моря и сторожевого крейсера для Д[альнего] В[остока]), сообщаю:</w:t>
      </w:r>
    </w:p>
    <w:p w14:paraId="67842D42"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1. Необходимость для Союзверфи иностранной технической помощи в деле судостроения, и особенно военного, очевидна: без этой помощи Союзверфь современных боевых кораблей строить не в состоянии. Самый лучший и наиболее современный военный корабль по проекту устаревает у нас за время постройки и к моменту вступления встрой обладает более слабыми тактическими данными по сравнению с одновременно вступившими в строй иностранными военными судами.</w:t>
      </w:r>
    </w:p>
    <w:p w14:paraId="54C9202E"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2. Конструкторские силы СССР, при своей сравнительной малочисленности, далеко не плохи, но, связанные необходимостью учитывать реальные производственные возможности промышленности, строят свои проекты применительно к последним, что заставляет конструкторов сдерживать свое стремление к применению новейших конструктивных форм и методов постройки.</w:t>
      </w:r>
    </w:p>
    <w:p w14:paraId="42E4716F"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3. Из сказанного следует, что иностранную техническую помощь надо направить в первую очередь по линии модернизации и коренного улучшения самого производства, а также усвоения заграничных темпов постройки. Без этого фундамента не спасет положения самый лучший проект.</w:t>
      </w:r>
    </w:p>
    <w:p w14:paraId="50E0784E"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4. Переходя к Вашему ходатайству о приобретении проектов, нахожу необходимым отметить, что если даже иностранцы и дадут нам действительно ценные в военном отношении проекты, то эти проекты, составленные без учета наших производственных возможностей, могут оказаться для нас малополезными по причине трудной исполнимости (возможно, и вовсе не исполнимыми в отдельных частях), и поэтому затрата 800 тыс. руб. валютой окажется малопродуктивной.</w:t>
      </w:r>
    </w:p>
    <w:p w14:paraId="4E741F07"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5. Как вывод из всего изложенного выше следует:</w:t>
      </w:r>
    </w:p>
    <w:p w14:paraId="57D72F73"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а) необходимо широко привлечь иностранную технику для модернизации и рационализации судостроительных заводов Союзверфи;</w:t>
      </w:r>
    </w:p>
    <w:p w14:paraId="75443BCC"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б) усилить посылку нашего рабочего и инженерно-технического персонала за границу для углубленного изучения производственной техники и новых методов судостроения;</w:t>
      </w:r>
    </w:p>
    <w:p w14:paraId="55B6E5F6"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в) от затраты же 800 тыс. руб. на приобретение проектов воздержаться.</w:t>
      </w:r>
    </w:p>
    <w:p w14:paraId="64A0FB16" w14:textId="77777777" w:rsidR="00373CA1" w:rsidRPr="00507A31" w:rsidRDefault="00373CA1"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Начальник Военно-морских сил РККА </w:t>
      </w:r>
      <w:hyperlink r:id="rId152" w:history="1">
        <w:r w:rsidRPr="00507A31">
          <w:rPr>
            <w:rStyle w:val="af0"/>
            <w:i w:val="0"/>
            <w:color w:val="000000" w:themeColor="text1"/>
            <w:sz w:val="16"/>
            <w:szCs w:val="16"/>
          </w:rPr>
          <w:t>Муклевич</w:t>
        </w:r>
      </w:hyperlink>
    </w:p>
    <w:p w14:paraId="0ECD6A57" w14:textId="77777777" w:rsidR="00373CA1" w:rsidRPr="00507A31" w:rsidRDefault="00373CA1"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Примечание</w:t>
      </w:r>
      <w:r w:rsidRPr="00507A31">
        <w:rPr>
          <w:color w:val="000000" w:themeColor="text1"/>
          <w:sz w:val="16"/>
          <w:szCs w:val="16"/>
        </w:rPr>
        <w:t>:</w:t>
      </w:r>
    </w:p>
    <w:p w14:paraId="79753BEE" w14:textId="77777777" w:rsidR="00373CA1" w:rsidRPr="00507A31" w:rsidRDefault="00373CA1" w:rsidP="00507A31">
      <w:pPr>
        <w:pStyle w:val="ae"/>
        <w:spacing w:before="0" w:after="0"/>
        <w:jc w:val="both"/>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Копия направлена в Президиум ВСНХ СССР.</w:t>
      </w:r>
    </w:p>
    <w:p w14:paraId="21891FBC" w14:textId="77777777" w:rsidR="00373CA1" w:rsidRPr="00507A31" w:rsidRDefault="00373CA1" w:rsidP="00507A31">
      <w:pPr>
        <w:pStyle w:val="ae"/>
        <w:spacing w:before="0" w:after="0"/>
        <w:jc w:val="both"/>
        <w:rPr>
          <w:color w:val="000000" w:themeColor="text1"/>
          <w:sz w:val="16"/>
          <w:szCs w:val="16"/>
        </w:rPr>
      </w:pPr>
      <w:r w:rsidRPr="00507A31">
        <w:rPr>
          <w:color w:val="000000" w:themeColor="text1"/>
          <w:sz w:val="16"/>
          <w:szCs w:val="16"/>
        </w:rPr>
        <w:t>РГАВМФ. Ф. р-360. Оп. 2. Д. 196. Л. 137—137 об. Копия.</w:t>
      </w:r>
    </w:p>
    <w:p w14:paraId="249335F5" w14:textId="77777777" w:rsidR="00373CA1" w:rsidRPr="00507A31" w:rsidRDefault="00373CA1" w:rsidP="00507A31">
      <w:pPr>
        <w:jc w:val="both"/>
        <w:rPr>
          <w:color w:val="000000" w:themeColor="text1"/>
          <w:sz w:val="16"/>
          <w:szCs w:val="16"/>
        </w:rPr>
      </w:pPr>
      <w:r w:rsidRPr="00507A31">
        <w:rPr>
          <w:color w:val="000000" w:themeColor="text1"/>
          <w:sz w:val="16"/>
          <w:szCs w:val="16"/>
        </w:rPr>
        <w:t xml:space="preserve">Архив: РГАВМФ. Ф. р-360. Оп. 2. Д. 196. Л. 137—137 об. Копия. </w:t>
      </w:r>
    </w:p>
    <w:p w14:paraId="3E89B67F" w14:textId="77777777" w:rsidR="00373CA1" w:rsidRPr="00507A31" w:rsidRDefault="00373CA1"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493-494 (12516).</w:t>
      </w:r>
    </w:p>
    <w:p w14:paraId="442AEC58" w14:textId="77777777" w:rsidR="00373CA1" w:rsidRPr="00507A31" w:rsidRDefault="00373CA1" w:rsidP="00507A31">
      <w:pPr>
        <w:jc w:val="both"/>
        <w:rPr>
          <w:color w:val="000000" w:themeColor="text1"/>
          <w:sz w:val="16"/>
          <w:szCs w:val="16"/>
        </w:rPr>
      </w:pPr>
    </w:p>
    <w:p w14:paraId="3DB9CD60" w14:textId="77777777" w:rsidR="00897F09" w:rsidRPr="00507A31" w:rsidRDefault="00897F09"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C08BAD0" w14:textId="77777777" w:rsidR="00897F09" w:rsidRPr="00507A31" w:rsidRDefault="00897F09" w:rsidP="00507A31">
      <w:pPr>
        <w:autoSpaceDE w:val="0"/>
        <w:autoSpaceDN w:val="0"/>
        <w:adjustRightInd w:val="0"/>
        <w:jc w:val="both"/>
        <w:rPr>
          <w:iCs/>
          <w:color w:val="000000" w:themeColor="text1"/>
          <w:sz w:val="16"/>
          <w:szCs w:val="16"/>
        </w:rPr>
      </w:pPr>
    </w:p>
    <w:p w14:paraId="15F3765C" w14:textId="77777777" w:rsidR="00897F09" w:rsidRPr="00507A31" w:rsidRDefault="00897F09" w:rsidP="00507A31">
      <w:pPr>
        <w:jc w:val="both"/>
        <w:rPr>
          <w:color w:val="000000" w:themeColor="text1"/>
          <w:sz w:val="16"/>
          <w:szCs w:val="16"/>
        </w:rPr>
      </w:pPr>
      <w:r w:rsidRPr="00507A31">
        <w:rPr>
          <w:color w:val="000000" w:themeColor="text1"/>
          <w:sz w:val="16"/>
          <w:szCs w:val="16"/>
        </w:rPr>
        <w:t xml:space="preserve">10 октября 1930 после подведения итогов 1929/30 учебного года Я.И. Алкснис провел в Управлении ВВС РККА совещание. На нем был заслушан доклад начальника 2-го управления УВВС Колесова «Материальный план ВВС РККА на 1931 год». Материальный план ВВС на 1931 год имел значительные отличия от планов Штаба РККА, что было обусловлено учетом авиаторами отсутствия достаточных средств для реализации планируемых мероприятий. В «Материальном плане …» не предусматривается формирование авиабригад, не просматриваются многоместные истребители и т.д. Между тем в октябре – декабре 1930 г. началось согласование между УВВС и Штабом РККА перспективного плана строительства ВВС до 1933 г. </w:t>
      </w:r>
    </w:p>
    <w:p w14:paraId="38107520" w14:textId="77777777" w:rsidR="00897F09" w:rsidRPr="00507A31" w:rsidRDefault="00897F09" w:rsidP="00507A31">
      <w:pPr>
        <w:jc w:val="both"/>
        <w:rPr>
          <w:color w:val="000000" w:themeColor="text1"/>
          <w:sz w:val="16"/>
          <w:szCs w:val="16"/>
        </w:rPr>
      </w:pPr>
      <w:r w:rsidRPr="00507A31">
        <w:rPr>
          <w:color w:val="000000" w:themeColor="text1"/>
          <w:sz w:val="16"/>
          <w:szCs w:val="16"/>
        </w:rPr>
        <w:t>В протоколе совещания № 92/0492 Я.И. Алкснис называется не заместителем, а начальником ВВС РККА. Данное обстоятельство объясняется тем, что осенью 1930 г. П.И. Баранов фактически взял на себя кураторство над Всесоюзным Авиационным Объединением и уже не мог из-за занятости глубоко вникать в дела ВВС (19566).</w:t>
      </w:r>
    </w:p>
    <w:p w14:paraId="6A6A0DF6" w14:textId="77777777" w:rsidR="00897F09" w:rsidRPr="00507A31" w:rsidRDefault="00897F09" w:rsidP="00507A31">
      <w:pPr>
        <w:jc w:val="both"/>
        <w:rPr>
          <w:color w:val="000000" w:themeColor="text1"/>
          <w:sz w:val="16"/>
          <w:szCs w:val="16"/>
        </w:rPr>
      </w:pPr>
    </w:p>
    <w:p w14:paraId="01A67F3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B6A590F" w14:textId="77777777" w:rsidR="00537E5F" w:rsidRPr="00507A31" w:rsidRDefault="00537E5F" w:rsidP="00507A31">
      <w:pPr>
        <w:autoSpaceDE w:val="0"/>
        <w:autoSpaceDN w:val="0"/>
        <w:adjustRightInd w:val="0"/>
        <w:jc w:val="both"/>
        <w:rPr>
          <w:iCs/>
          <w:color w:val="000000" w:themeColor="text1"/>
          <w:sz w:val="16"/>
          <w:szCs w:val="16"/>
        </w:rPr>
      </w:pPr>
    </w:p>
    <w:p w14:paraId="69E781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10 и 16 октября 1930. Протокол заседания Политбюро № 13, 1930 г.</w:t>
      </w:r>
    </w:p>
    <w:p w14:paraId="716488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 работе в угольных районах в дни октябрьских праздников </w:t>
      </w:r>
    </w:p>
    <w:p w14:paraId="38E10A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 Ввиду напряженного состояния с топливом, признать необходимым вести добычу угля в Донбассе и других угольных районах 8 ноября, обязав соответствующие хозорганы использовать день 7 ноября для ремонта оборудования и механизмов. Погрузку и вывоз угля производить без перерыва. </w:t>
      </w:r>
    </w:p>
    <w:p w14:paraId="2C6524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 Предложить ЦК КП(б)У и соответствующим обкомам провести массовую работу для обеспечения максимальной выхождаемости рабочих в эти дни (11652). </w:t>
      </w:r>
    </w:p>
    <w:p w14:paraId="3F387B7C" w14:textId="77777777" w:rsidR="00537E5F" w:rsidRPr="00507A31" w:rsidRDefault="00537E5F" w:rsidP="00507A31">
      <w:pPr>
        <w:autoSpaceDE w:val="0"/>
        <w:autoSpaceDN w:val="0"/>
        <w:adjustRightInd w:val="0"/>
        <w:jc w:val="both"/>
        <w:rPr>
          <w:color w:val="000000" w:themeColor="text1"/>
          <w:sz w:val="16"/>
          <w:szCs w:val="16"/>
        </w:rPr>
      </w:pPr>
    </w:p>
    <w:p w14:paraId="74E60F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октября 1930 Туркменская ССР. Восстание Керим-хана. Снявшись со своего становища, 100 туркменских семей на караване из 300 верблюдов под охраной 60 басмачей двинулись к границе с Афганистаном (10687).</w:t>
      </w:r>
    </w:p>
    <w:p w14:paraId="38E7B83A" w14:textId="77777777" w:rsidR="00537E5F" w:rsidRPr="00507A31" w:rsidRDefault="00537E5F" w:rsidP="00507A31">
      <w:pPr>
        <w:autoSpaceDE w:val="0"/>
        <w:autoSpaceDN w:val="0"/>
        <w:adjustRightInd w:val="0"/>
        <w:jc w:val="both"/>
        <w:rPr>
          <w:color w:val="000000" w:themeColor="text1"/>
          <w:sz w:val="16"/>
          <w:szCs w:val="16"/>
        </w:rPr>
      </w:pPr>
    </w:p>
    <w:p w14:paraId="2C935C5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C4961B3" w14:textId="77777777" w:rsidR="00537E5F" w:rsidRPr="00507A31" w:rsidRDefault="00537E5F" w:rsidP="00507A31">
      <w:pPr>
        <w:autoSpaceDE w:val="0"/>
        <w:autoSpaceDN w:val="0"/>
        <w:adjustRightInd w:val="0"/>
        <w:jc w:val="both"/>
        <w:rPr>
          <w:iCs/>
          <w:color w:val="000000" w:themeColor="text1"/>
          <w:sz w:val="16"/>
          <w:szCs w:val="16"/>
        </w:rPr>
      </w:pPr>
    </w:p>
    <w:p w14:paraId="1635D4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10 и 16 октября 1930. Протокол заседания Политбюро № 13, 1930 г.</w:t>
      </w:r>
    </w:p>
    <w:p w14:paraId="2A23A0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 международной конференции по борьбе с наркотиками </w:t>
      </w:r>
    </w:p>
    <w:p w14:paraId="33C9C5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 Не возражать против посылки делегатов на международную конференцию по борьбе с наркотиками. </w:t>
      </w:r>
    </w:p>
    <w:p w14:paraId="5EA8A2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Поручить НКИД наметить кандидатов из числа наших служащих за границей для посылки на конференцию и внести на утверждение Секретариата ЦК (11652).</w:t>
      </w:r>
    </w:p>
    <w:p w14:paraId="067FF369" w14:textId="77777777" w:rsidR="00537E5F" w:rsidRPr="00507A31" w:rsidRDefault="00537E5F" w:rsidP="00507A31">
      <w:pPr>
        <w:autoSpaceDE w:val="0"/>
        <w:autoSpaceDN w:val="0"/>
        <w:adjustRightInd w:val="0"/>
        <w:jc w:val="both"/>
        <w:rPr>
          <w:color w:val="000000" w:themeColor="text1"/>
          <w:sz w:val="16"/>
          <w:szCs w:val="16"/>
        </w:rPr>
      </w:pPr>
    </w:p>
    <w:p w14:paraId="376202B5" w14:textId="77777777" w:rsidR="008B5271" w:rsidRPr="00507A31" w:rsidRDefault="008B5271"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60EA6EE" w14:textId="77777777" w:rsidR="008B5271" w:rsidRPr="00507A31" w:rsidRDefault="008B5271" w:rsidP="00507A31">
      <w:pPr>
        <w:autoSpaceDE w:val="0"/>
        <w:autoSpaceDN w:val="0"/>
        <w:adjustRightInd w:val="0"/>
        <w:jc w:val="both"/>
        <w:rPr>
          <w:iCs/>
          <w:color w:val="000000" w:themeColor="text1"/>
          <w:sz w:val="16"/>
          <w:szCs w:val="16"/>
        </w:rPr>
      </w:pPr>
    </w:p>
    <w:p w14:paraId="75144F03" w14:textId="77777777" w:rsidR="008B5271" w:rsidRPr="00507A31" w:rsidRDefault="008B5271" w:rsidP="00507A31">
      <w:pPr>
        <w:jc w:val="both"/>
        <w:rPr>
          <w:color w:val="0070C0"/>
          <w:sz w:val="16"/>
          <w:szCs w:val="16"/>
        </w:rPr>
      </w:pPr>
      <w:r w:rsidRPr="00507A31">
        <w:rPr>
          <w:color w:val="0070C0"/>
          <w:sz w:val="16"/>
          <w:szCs w:val="16"/>
        </w:rPr>
        <w:t xml:space="preserve">10 октября 1930 первый полет Short S.15 KF1, прототип Kawanishi H3K (20805). </w:t>
      </w:r>
    </w:p>
    <w:p w14:paraId="27280FF7" w14:textId="77777777" w:rsidR="008B5271" w:rsidRPr="00507A31" w:rsidRDefault="008B5271" w:rsidP="00507A31">
      <w:pPr>
        <w:jc w:val="both"/>
        <w:rPr>
          <w:color w:val="0070C0"/>
          <w:sz w:val="16"/>
          <w:szCs w:val="16"/>
        </w:rPr>
      </w:pPr>
    </w:p>
    <w:p w14:paraId="46F94388" w14:textId="77777777" w:rsidR="008B5271" w:rsidRPr="00507A31" w:rsidRDefault="008B5271" w:rsidP="00507A31">
      <w:pPr>
        <w:jc w:val="both"/>
        <w:rPr>
          <w:color w:val="0070C0"/>
          <w:sz w:val="16"/>
          <w:szCs w:val="16"/>
        </w:rPr>
      </w:pPr>
      <w:r w:rsidRPr="00507A31">
        <w:rPr>
          <w:color w:val="0070C0"/>
          <w:sz w:val="16"/>
          <w:szCs w:val="16"/>
        </w:rPr>
        <w:t>10 октября 1930 - Первый полёт Short-Kawanishi S.15 KF1 по заказу императорского флота Японии. Первая лодка построена фирмой Short в Англии, остальные четыре построены фирмой Kawanishi в Японии (22341).</w:t>
      </w:r>
    </w:p>
    <w:p w14:paraId="63A09936" w14:textId="77777777" w:rsidR="008B5271" w:rsidRPr="00507A31" w:rsidRDefault="008B5271" w:rsidP="00507A31">
      <w:pPr>
        <w:jc w:val="both"/>
        <w:rPr>
          <w:color w:val="0070C0"/>
          <w:sz w:val="16"/>
          <w:szCs w:val="16"/>
        </w:rPr>
      </w:pPr>
    </w:p>
    <w:p w14:paraId="75A9C04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C4292C1" w14:textId="77777777" w:rsidR="00537E5F" w:rsidRPr="00507A31" w:rsidRDefault="00537E5F" w:rsidP="00507A31">
      <w:pPr>
        <w:autoSpaceDE w:val="0"/>
        <w:autoSpaceDN w:val="0"/>
        <w:adjustRightInd w:val="0"/>
        <w:jc w:val="both"/>
        <w:rPr>
          <w:iCs/>
          <w:color w:val="000000" w:themeColor="text1"/>
          <w:sz w:val="16"/>
          <w:szCs w:val="16"/>
        </w:rPr>
      </w:pPr>
    </w:p>
    <w:p w14:paraId="7104AE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октября 1930 года на ЦВХП закончились испытания 10 кг осколочно-химических и осколочных бомб с корпусом стальным и корпусом железным с насыпными осколками, которые проводились с 7 октября 1930 (3326).</w:t>
      </w:r>
    </w:p>
    <w:p w14:paraId="5BAE4EBB" w14:textId="77777777" w:rsidR="00537E5F" w:rsidRPr="00507A31" w:rsidRDefault="00537E5F" w:rsidP="00507A31">
      <w:pPr>
        <w:autoSpaceDE w:val="0"/>
        <w:autoSpaceDN w:val="0"/>
        <w:adjustRightInd w:val="0"/>
        <w:jc w:val="both"/>
        <w:rPr>
          <w:color w:val="000000" w:themeColor="text1"/>
          <w:sz w:val="16"/>
          <w:szCs w:val="16"/>
        </w:rPr>
      </w:pPr>
    </w:p>
    <w:p w14:paraId="490F502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октября 1930 года самолет ТБ3 был взвешен в одном положении – в линии полета. Была начата разборка и 13 октября 1930 года приступлено к перевозке на аэродром. 17 октября 1930 года перевозка закончена (6925).</w:t>
      </w:r>
    </w:p>
    <w:p w14:paraId="6B82911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B048CD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89C3FEA" w14:textId="77777777" w:rsidR="00537E5F" w:rsidRPr="00507A31" w:rsidRDefault="00537E5F" w:rsidP="00507A31">
      <w:pPr>
        <w:autoSpaceDE w:val="0"/>
        <w:autoSpaceDN w:val="0"/>
        <w:adjustRightInd w:val="0"/>
        <w:jc w:val="both"/>
        <w:rPr>
          <w:iCs/>
          <w:color w:val="000000" w:themeColor="text1"/>
          <w:sz w:val="16"/>
          <w:szCs w:val="16"/>
        </w:rPr>
      </w:pPr>
    </w:p>
    <w:p w14:paraId="2D4CE1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октября 1930 г. эскизный проект, разработан</w:t>
      </w:r>
      <w:r w:rsidRPr="00507A31">
        <w:rPr>
          <w:color w:val="000000" w:themeColor="text1"/>
          <w:sz w:val="16"/>
          <w:szCs w:val="16"/>
        </w:rPr>
        <w:softHyphen/>
        <w:t>ный "вредителями" - А.Н.Асафовым - под руководством ОГПУ, одобрил начальник Морских сил Р. А. Муклевич, а 23 ноября его утвердил Реввоенсо</w:t>
      </w:r>
      <w:r w:rsidRPr="00507A31">
        <w:rPr>
          <w:color w:val="000000" w:themeColor="text1"/>
          <w:sz w:val="16"/>
          <w:szCs w:val="16"/>
        </w:rPr>
        <w:softHyphen/>
        <w:t>вет СССР (3898).</w:t>
      </w:r>
    </w:p>
    <w:p w14:paraId="79648E44" w14:textId="77777777" w:rsidR="00537E5F" w:rsidRPr="00507A31" w:rsidRDefault="00537E5F" w:rsidP="00507A31">
      <w:pPr>
        <w:autoSpaceDE w:val="0"/>
        <w:autoSpaceDN w:val="0"/>
        <w:adjustRightInd w:val="0"/>
        <w:jc w:val="both"/>
        <w:rPr>
          <w:color w:val="000000" w:themeColor="text1"/>
          <w:sz w:val="16"/>
          <w:szCs w:val="16"/>
        </w:rPr>
      </w:pPr>
    </w:p>
    <w:p w14:paraId="21B2AF28" w14:textId="77777777" w:rsidR="00043112" w:rsidRPr="00507A31" w:rsidRDefault="00043112" w:rsidP="00507A31">
      <w:pPr>
        <w:jc w:val="both"/>
        <w:rPr>
          <w:color w:val="000000" w:themeColor="text1"/>
          <w:sz w:val="16"/>
          <w:szCs w:val="16"/>
        </w:rPr>
      </w:pPr>
      <w:r w:rsidRPr="00507A31">
        <w:rPr>
          <w:color w:val="000000" w:themeColor="text1"/>
          <w:sz w:val="16"/>
          <w:szCs w:val="16"/>
        </w:rPr>
        <w:t>11 октября 1930 г. после рассмотрения в Управлении ВМС проект эскадренной двухкорпусной ПЛ серии IV (предусматривал установку на ней двух артиллерийских башен с орудиями калибра 130 мм, одного 37-мм орудия и увеличение надводной скорости до 23 - 24 уз, что соответствовало полной скорости находившихся в строю линейных кораблей. Дальность плавания надводной скоростью 11 уз должна была составлять 9650 миль, дальность плавания той же скоростью под водой - 23 мили. Торпедное вооружение оставалось таким же, как и у средних ПЛ типа "Щука": 4 носовых и 2 кормовых ТВ, общий боезапас - 10 торпед) был одобрен начальником ВМС Р.А.Муклевичем и 23 ноября того же года его представили на утверждение РВС СССР (12719).</w:t>
      </w:r>
    </w:p>
    <w:p w14:paraId="5EF64D19" w14:textId="77777777" w:rsidR="00043112" w:rsidRPr="00507A31" w:rsidRDefault="00043112" w:rsidP="00507A31">
      <w:pPr>
        <w:jc w:val="both"/>
        <w:rPr>
          <w:color w:val="000000" w:themeColor="text1"/>
          <w:sz w:val="16"/>
          <w:szCs w:val="16"/>
        </w:rPr>
      </w:pPr>
    </w:p>
    <w:p w14:paraId="29F8A16F" w14:textId="77777777" w:rsidR="00466309" w:rsidRPr="00507A31" w:rsidRDefault="00466309"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255E1A3" w14:textId="77777777" w:rsidR="00466309" w:rsidRPr="00507A31" w:rsidRDefault="00466309" w:rsidP="00507A31">
      <w:pPr>
        <w:autoSpaceDE w:val="0"/>
        <w:autoSpaceDN w:val="0"/>
        <w:adjustRightInd w:val="0"/>
        <w:jc w:val="both"/>
        <w:rPr>
          <w:iCs/>
          <w:color w:val="000000" w:themeColor="text1"/>
          <w:sz w:val="16"/>
          <w:szCs w:val="16"/>
        </w:rPr>
      </w:pPr>
    </w:p>
    <w:p w14:paraId="73BDFA89"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5A414F2E" w14:textId="77777777" w:rsidR="00466309" w:rsidRPr="00507A31" w:rsidRDefault="00466309" w:rsidP="00507A31">
      <w:pPr>
        <w:jc w:val="both"/>
        <w:rPr>
          <w:color w:val="000000" w:themeColor="text1"/>
          <w:sz w:val="16"/>
          <w:szCs w:val="16"/>
        </w:rPr>
      </w:pPr>
      <w:r w:rsidRPr="00507A31">
        <w:rPr>
          <w:color w:val="000000" w:themeColor="text1"/>
          <w:sz w:val="16"/>
          <w:szCs w:val="16"/>
        </w:rPr>
        <w:t>Показания И. Н. Аккермана о распространении среди специалистов «Грознефти» слухов и «разговоров» об ожидаемой интервенции западных держав против СССР. 11 октября 1930 г.</w:t>
      </w:r>
    </w:p>
    <w:p w14:paraId="168789D4" w14:textId="77777777" w:rsidR="00466309" w:rsidRPr="00507A31" w:rsidRDefault="00466309" w:rsidP="00507A31">
      <w:pPr>
        <w:jc w:val="both"/>
        <w:rPr>
          <w:color w:val="000000" w:themeColor="text1"/>
          <w:sz w:val="16"/>
          <w:szCs w:val="16"/>
        </w:rPr>
      </w:pPr>
      <w:r w:rsidRPr="00507A31">
        <w:rPr>
          <w:color w:val="000000" w:themeColor="text1"/>
          <w:sz w:val="16"/>
          <w:szCs w:val="16"/>
        </w:rPr>
        <w:t>Источник: </w:t>
      </w:r>
    </w:p>
    <w:p w14:paraId="68BF55FE" w14:textId="77777777" w:rsidR="00466309" w:rsidRPr="00507A31" w:rsidRDefault="00466309" w:rsidP="00507A31">
      <w:pPr>
        <w:jc w:val="both"/>
        <w:rPr>
          <w:color w:val="000000" w:themeColor="text1"/>
          <w:sz w:val="16"/>
          <w:szCs w:val="16"/>
        </w:rPr>
      </w:pPr>
      <w:r w:rsidRPr="00507A31">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F52D229"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77551D0C" w14:textId="77777777" w:rsidR="00466309" w:rsidRPr="00507A31" w:rsidRDefault="00466309" w:rsidP="00507A31">
      <w:pPr>
        <w:jc w:val="both"/>
        <w:rPr>
          <w:color w:val="000000" w:themeColor="text1"/>
          <w:sz w:val="16"/>
          <w:szCs w:val="16"/>
        </w:rPr>
      </w:pPr>
      <w:r w:rsidRPr="00507A31">
        <w:rPr>
          <w:color w:val="000000" w:themeColor="text1"/>
          <w:sz w:val="16"/>
          <w:szCs w:val="16"/>
        </w:rPr>
        <w:t>[Секретно]</w:t>
      </w:r>
    </w:p>
    <w:p w14:paraId="1748515E" w14:textId="77777777" w:rsidR="00466309" w:rsidRPr="00507A31" w:rsidRDefault="00466309" w:rsidP="00507A31">
      <w:pPr>
        <w:jc w:val="both"/>
        <w:rPr>
          <w:color w:val="000000" w:themeColor="text1"/>
          <w:sz w:val="16"/>
          <w:szCs w:val="16"/>
        </w:rPr>
      </w:pPr>
      <w:r w:rsidRPr="00507A31">
        <w:rPr>
          <w:color w:val="000000" w:themeColor="text1"/>
          <w:sz w:val="16"/>
          <w:szCs w:val="16"/>
        </w:rPr>
        <w:t>ПОКАЗАНИЯ</w:t>
      </w:r>
    </w:p>
    <w:p w14:paraId="4C664E4D" w14:textId="77777777" w:rsidR="00466309" w:rsidRPr="00507A31" w:rsidRDefault="00466309" w:rsidP="00507A31">
      <w:pPr>
        <w:jc w:val="both"/>
        <w:rPr>
          <w:color w:val="000000" w:themeColor="text1"/>
          <w:sz w:val="16"/>
          <w:szCs w:val="16"/>
        </w:rPr>
      </w:pPr>
      <w:r w:rsidRPr="00507A31">
        <w:rPr>
          <w:color w:val="000000" w:themeColor="text1"/>
          <w:sz w:val="16"/>
          <w:szCs w:val="16"/>
        </w:rPr>
        <w:t>АККЕРМАНА Иллариона Николаевича от 11 октября 1930 года.</w:t>
      </w:r>
    </w:p>
    <w:p w14:paraId="0BD6C0EF" w14:textId="77777777" w:rsidR="00466309" w:rsidRPr="00507A31" w:rsidRDefault="00466309" w:rsidP="00507A31">
      <w:pPr>
        <w:jc w:val="both"/>
        <w:rPr>
          <w:color w:val="000000" w:themeColor="text1"/>
          <w:sz w:val="16"/>
          <w:szCs w:val="16"/>
        </w:rPr>
      </w:pPr>
      <w:r w:rsidRPr="00507A31">
        <w:rPr>
          <w:color w:val="000000" w:themeColor="text1"/>
          <w:sz w:val="16"/>
          <w:szCs w:val="16"/>
        </w:rPr>
        <w:t>С самого моего поступления на службу в Грознефть (летом [19]23-го года) среди специалистов Грознефти и Главгортопа, входивших во вредительскую организацию неоднократно велись разговоры о том, что надо ожидать интервенции, при которой в первую очередь будет занят Кавказ. Весною [19]26 года Н. И. РОДНЕНСКИЙ в моем присутствии сказал П. И. УМНИКОВУ, что вопрос об интервенции за границей решен в положительном смысле, она ожидается осенью [19]28-го года и надо приложить все усилия к тому, чтобы к этому сроку построить завод в Туапсе.</w:t>
      </w:r>
    </w:p>
    <w:p w14:paraId="48B445F3" w14:textId="77777777" w:rsidR="00466309" w:rsidRPr="00507A31" w:rsidRDefault="00466309" w:rsidP="00507A31">
      <w:pPr>
        <w:jc w:val="both"/>
        <w:rPr>
          <w:color w:val="000000" w:themeColor="text1"/>
          <w:sz w:val="16"/>
          <w:szCs w:val="16"/>
        </w:rPr>
      </w:pPr>
      <w:r w:rsidRPr="00507A31">
        <w:rPr>
          <w:color w:val="000000" w:themeColor="text1"/>
          <w:sz w:val="16"/>
          <w:szCs w:val="16"/>
        </w:rPr>
        <w:t>Летом или осенью [19]27 года о том же мне говорил и И. В. ПОКРОВСКИЙ, который и мотивировал этот срок тем, что интервенцию собирается возглавить Англия и это удобнее сделать пока у власти находится консервативное правительство.</w:t>
      </w:r>
    </w:p>
    <w:p w14:paraId="46EC4CCD" w14:textId="77777777" w:rsidR="00466309" w:rsidRPr="00507A31" w:rsidRDefault="00466309" w:rsidP="00507A31">
      <w:pPr>
        <w:jc w:val="both"/>
        <w:rPr>
          <w:color w:val="000000" w:themeColor="text1"/>
          <w:sz w:val="16"/>
          <w:szCs w:val="16"/>
        </w:rPr>
      </w:pPr>
      <w:r w:rsidRPr="00507A31">
        <w:rPr>
          <w:color w:val="000000" w:themeColor="text1"/>
          <w:sz w:val="16"/>
          <w:szCs w:val="16"/>
        </w:rPr>
        <w:t>Осенью [19]27 года, во время моей встречи в Берлине с инж. ЛОМАКСОМ (служащий фирмы Виккерса) последний интересовался будет ли завод в Туапсе закончен к осени [19]28 года и сказал, что в связи с намечающимися политическими сдвигами желательно, чтобы завод был закончен к осени [19]28-го года.</w:t>
      </w:r>
    </w:p>
    <w:p w14:paraId="724B1FEC" w14:textId="77777777" w:rsidR="00466309" w:rsidRPr="00507A31" w:rsidRDefault="00466309" w:rsidP="00507A31">
      <w:pPr>
        <w:jc w:val="both"/>
        <w:rPr>
          <w:color w:val="000000" w:themeColor="text1"/>
          <w:sz w:val="16"/>
          <w:szCs w:val="16"/>
        </w:rPr>
      </w:pPr>
      <w:r w:rsidRPr="00507A31">
        <w:rPr>
          <w:color w:val="000000" w:themeColor="text1"/>
          <w:sz w:val="16"/>
          <w:szCs w:val="16"/>
        </w:rPr>
        <w:t>Летом [19]28-го года И. В. ПОКРОВСКИЙ мне сказал, что произошли некоторые изменения в общей политике и интервенция откладывается года на 2 и теперь ее надо ожидать в конце лета или осенью [19]30-го года. Хотя ПОКРОВСКИЙ ни [в] этот раз, ни прежде не говорил мне, откуда он имеет эти сведения, но я зная о его тесной связи с вредительским центром и в частности со СТРИЖЕВЫМ, от которого он получал указания, не сомневался, что все эти сведения идут через И. Н. СТРИЖЕВА. Мотивом отсрочки интервенции ПОКРОВСКИЙ мне выставил с одной стороны трудность создания прочного антисоветского блока, а затем еще следующее: в интервенции должны были участвовать кроме Англии и Франции также Польша и Румыния. Армии этих последних не были готовы для успешной борьбы против Союза ССР. Поэтому было решено использовать остающиеся 2 года отсрочки на спешное перевооружение Польши и Румынии, а также за это время втянуть в противосоветский блок и Прибалтийские государства. Этот мотив мне, как человеку в прошлом военному, был вполне понятен.</w:t>
      </w:r>
    </w:p>
    <w:p w14:paraId="47149D91" w14:textId="77777777" w:rsidR="00466309" w:rsidRPr="00507A31" w:rsidRDefault="00466309" w:rsidP="00507A31">
      <w:pPr>
        <w:jc w:val="both"/>
        <w:rPr>
          <w:color w:val="000000" w:themeColor="text1"/>
          <w:sz w:val="16"/>
          <w:szCs w:val="16"/>
        </w:rPr>
      </w:pPr>
      <w:r w:rsidRPr="00507A31">
        <w:rPr>
          <w:color w:val="000000" w:themeColor="text1"/>
          <w:sz w:val="16"/>
          <w:szCs w:val="16"/>
        </w:rPr>
        <w:t>И. АККЕРМАН.</w:t>
      </w:r>
    </w:p>
    <w:p w14:paraId="7CED8ED3" w14:textId="77777777" w:rsidR="00466309" w:rsidRPr="00507A31" w:rsidRDefault="00466309" w:rsidP="00507A31">
      <w:pPr>
        <w:jc w:val="both"/>
        <w:rPr>
          <w:color w:val="000000" w:themeColor="text1"/>
          <w:sz w:val="16"/>
          <w:szCs w:val="16"/>
        </w:rPr>
      </w:pPr>
      <w:r w:rsidRPr="00507A31">
        <w:rPr>
          <w:color w:val="000000" w:themeColor="text1"/>
          <w:sz w:val="16"/>
          <w:szCs w:val="16"/>
        </w:rPr>
        <w:t>ДОПРОСИЛ: Пом. Нач. 1-го Отделения] ЭКУ ОГПУ: (РЖАВСКИЙ).</w:t>
      </w:r>
    </w:p>
    <w:p w14:paraId="408D3BF9" w14:textId="77777777" w:rsidR="00466309" w:rsidRPr="00507A31" w:rsidRDefault="00466309" w:rsidP="00507A31">
      <w:pPr>
        <w:jc w:val="both"/>
        <w:rPr>
          <w:color w:val="000000" w:themeColor="text1"/>
          <w:sz w:val="16"/>
          <w:szCs w:val="16"/>
        </w:rPr>
      </w:pPr>
      <w:r w:rsidRPr="00507A31">
        <w:rPr>
          <w:color w:val="000000" w:themeColor="text1"/>
          <w:sz w:val="16"/>
          <w:szCs w:val="16"/>
        </w:rPr>
        <w:t>Д. 353. Л. 167-168. Машинописная копия того времени. На Л. 167 делопроизводственная помета о перепечатке текста (машинопись), штамп о рассылке документа (номер и дата отсутствуют). На Л. 157 — сопроводительное письмо от 18 октября 1930 г. (М П954) об отправке членам и кандидатам в члены ЦК и членам ЦКК ВКП(б) «для сведения» показаний Ларичева, Аккермана, Покровского, Ефремова, Предтеченского, Нольде, Михаленко, Иванова, Неандера и Федотова. (См. легенду к док. №353-17.) (18449).</w:t>
      </w:r>
    </w:p>
    <w:p w14:paraId="05429B19" w14:textId="77777777" w:rsidR="00466309" w:rsidRPr="00507A31" w:rsidRDefault="00466309" w:rsidP="00507A31">
      <w:pPr>
        <w:jc w:val="both"/>
        <w:rPr>
          <w:color w:val="000000" w:themeColor="text1"/>
          <w:sz w:val="16"/>
          <w:szCs w:val="16"/>
        </w:rPr>
      </w:pPr>
    </w:p>
    <w:p w14:paraId="6744C72D"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5499F2EC" w14:textId="77777777" w:rsidR="00466309" w:rsidRPr="00507A31" w:rsidRDefault="00466309" w:rsidP="00507A31">
      <w:pPr>
        <w:jc w:val="both"/>
        <w:rPr>
          <w:color w:val="000000" w:themeColor="text1"/>
          <w:sz w:val="16"/>
          <w:szCs w:val="16"/>
        </w:rPr>
      </w:pPr>
      <w:r w:rsidRPr="00507A31">
        <w:rPr>
          <w:color w:val="000000" w:themeColor="text1"/>
          <w:sz w:val="16"/>
          <w:szCs w:val="16"/>
        </w:rPr>
        <w:t xml:space="preserve">Показания И. В. Покровского о заграничных связях «контр-революционной организации» в нефтяной промышленности. 11 октября </w:t>
      </w:r>
    </w:p>
    <w:p w14:paraId="31091EF4" w14:textId="77777777" w:rsidR="00466309" w:rsidRPr="00507A31" w:rsidRDefault="00466309" w:rsidP="00507A31">
      <w:pPr>
        <w:jc w:val="both"/>
        <w:rPr>
          <w:color w:val="000000" w:themeColor="text1"/>
          <w:sz w:val="16"/>
          <w:szCs w:val="16"/>
        </w:rPr>
      </w:pPr>
      <w:r w:rsidRPr="00507A31">
        <w:rPr>
          <w:color w:val="000000" w:themeColor="text1"/>
          <w:sz w:val="16"/>
          <w:szCs w:val="16"/>
        </w:rPr>
        <w:t>Источник: </w:t>
      </w:r>
    </w:p>
    <w:p w14:paraId="45F53A9A" w14:textId="77777777" w:rsidR="00466309" w:rsidRPr="00507A31" w:rsidRDefault="0046630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D5F61E"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0A4FC461" w14:textId="77777777" w:rsidR="00466309" w:rsidRPr="00507A31" w:rsidRDefault="00466309" w:rsidP="00507A31">
      <w:pPr>
        <w:jc w:val="both"/>
        <w:rPr>
          <w:color w:val="000000" w:themeColor="text1"/>
          <w:sz w:val="16"/>
          <w:szCs w:val="16"/>
        </w:rPr>
      </w:pPr>
      <w:r w:rsidRPr="00507A31">
        <w:rPr>
          <w:color w:val="000000" w:themeColor="text1"/>
          <w:sz w:val="16"/>
          <w:szCs w:val="16"/>
        </w:rPr>
        <w:t>СЕКРЕТНО</w:t>
      </w:r>
    </w:p>
    <w:p w14:paraId="312D6ADF" w14:textId="77777777" w:rsidR="00466309" w:rsidRPr="00507A31" w:rsidRDefault="00466309" w:rsidP="00507A31">
      <w:pPr>
        <w:jc w:val="both"/>
        <w:rPr>
          <w:color w:val="000000" w:themeColor="text1"/>
          <w:sz w:val="16"/>
          <w:szCs w:val="16"/>
        </w:rPr>
      </w:pPr>
      <w:r w:rsidRPr="00507A31">
        <w:rPr>
          <w:color w:val="000000" w:themeColor="text1"/>
          <w:sz w:val="16"/>
          <w:szCs w:val="16"/>
        </w:rPr>
        <w:t>ПРОТОКОЛ ДОПРОСА</w:t>
      </w:r>
    </w:p>
    <w:p w14:paraId="3669B83E" w14:textId="77777777" w:rsidR="00466309" w:rsidRPr="00507A31" w:rsidRDefault="00466309" w:rsidP="00507A31">
      <w:pPr>
        <w:jc w:val="both"/>
        <w:rPr>
          <w:color w:val="000000" w:themeColor="text1"/>
          <w:sz w:val="16"/>
          <w:szCs w:val="16"/>
        </w:rPr>
      </w:pPr>
      <w:r w:rsidRPr="00507A31">
        <w:rPr>
          <w:color w:val="000000" w:themeColor="text1"/>
          <w:sz w:val="16"/>
          <w:szCs w:val="16"/>
        </w:rPr>
        <w:t>инженера ПОКРОВСКОГО Ипполита Владимировича от 11/Х-1930 г.</w:t>
      </w:r>
    </w:p>
    <w:p w14:paraId="10CDE417" w14:textId="77777777" w:rsidR="00466309" w:rsidRPr="00507A31" w:rsidRDefault="00466309" w:rsidP="00507A31">
      <w:pPr>
        <w:jc w:val="both"/>
        <w:rPr>
          <w:color w:val="000000" w:themeColor="text1"/>
          <w:sz w:val="16"/>
          <w:szCs w:val="16"/>
        </w:rPr>
      </w:pPr>
      <w:r w:rsidRPr="00507A31">
        <w:rPr>
          <w:color w:val="000000" w:themeColor="text1"/>
          <w:sz w:val="16"/>
          <w:szCs w:val="16"/>
        </w:rPr>
        <w:t>Состоя в контр-революционной организации, руководимой по нефтяной промышленности И. Н. СТРИЖЕВЫМ, я имел с ним неоднократно обмен мнений о внутреннем положении Советского Союза и тех затруднениях, которые встречались в развитии производительных сил страны. Учитывая эти затруднения и ту диспропорцию в развитии различных отраслей промышленности, которую создавали вредители, исходя из общей обстановки и сообщения СТРИЖЕВА, я знал, что интервенция будет не позже [19]28 года летом или осенью. Об этом СТРИЖЕВ получил сообщение и соответствующие директивы от заграничного центра (Торгпрома) через Английское Посольство, которое СТРИЖЕВ затем передал мне, как члену к.-р. организации, работавшему тогда в Госплане СССР в топливной секции. Весной или летом [19]26 г. о намечавшейся интервенции говорили мне ЛАРИЧЕВ и И. И. ФЕДОРОВИЧ, возглавлявшие топливную секцию Госплана.</w:t>
      </w:r>
    </w:p>
    <w:p w14:paraId="45B3F75C" w14:textId="77777777" w:rsidR="00466309" w:rsidRPr="00507A31" w:rsidRDefault="00466309" w:rsidP="00507A31">
      <w:pPr>
        <w:jc w:val="both"/>
        <w:rPr>
          <w:color w:val="000000" w:themeColor="text1"/>
          <w:sz w:val="16"/>
          <w:szCs w:val="16"/>
        </w:rPr>
      </w:pPr>
      <w:r w:rsidRPr="00507A31">
        <w:rPr>
          <w:color w:val="000000" w:themeColor="text1"/>
          <w:sz w:val="16"/>
          <w:szCs w:val="16"/>
        </w:rPr>
        <w:t>СТРИЖЕВ получил эти директивы от Густава НОБЕЛЬ, как руководителя нефтяного центра заграницей. Причины, почему именно должно было ожидать интервенции летом или осенью, лежали в необходимости подготовить военные действия, когда внутри стран-интервентов шла соответствующая подготовка.</w:t>
      </w:r>
    </w:p>
    <w:p w14:paraId="24255652" w14:textId="77777777" w:rsidR="00466309" w:rsidRPr="00507A31" w:rsidRDefault="00466309" w:rsidP="00507A31">
      <w:pPr>
        <w:jc w:val="both"/>
        <w:rPr>
          <w:color w:val="000000" w:themeColor="text1"/>
          <w:sz w:val="16"/>
          <w:szCs w:val="16"/>
        </w:rPr>
      </w:pPr>
      <w:r w:rsidRPr="00507A31">
        <w:rPr>
          <w:color w:val="000000" w:themeColor="text1"/>
          <w:sz w:val="16"/>
          <w:szCs w:val="16"/>
        </w:rPr>
        <w:t>Мне, равно как и другим участникам организации было ясно и известно, что Густав НОБЕЛЬ, стоя во главе заграничной нефтяной организации, как хорошо знающий русские условия работы, оставил внутри СССР крупных служащих быв. Т-ва бр[атьев] Нобель, как членов организации, и был тесно связан с ДЕТЕРДИНГОМ (Роял Датч) по субсидированию тех мероприятий, которые должны были повести к возвращению нефтяных предприятий прежним крупным владельцам. Об этом же говорил СТРИЖЕВ и И. И. ЕЛИН. Затем Н. И. РОДНЕНСКИЙ передал о том же после своей поездки за границу в [19)26/27 г., а также А. В. ИВАНОВ после возвращения СТРИЖЕВА в [19]28 г. весной из заграницы. Внутри страны троцкизм также заставлял считать, что интервенция будет в [19]28 г., когда «раскол» среди большевиков должен был достигнуть своего апогея и тем самым усилить почву для подготовки интервенции.</w:t>
      </w:r>
    </w:p>
    <w:p w14:paraId="476D4FB8" w14:textId="77777777" w:rsidR="00466309" w:rsidRPr="00507A31" w:rsidRDefault="00466309" w:rsidP="00507A31">
      <w:pPr>
        <w:jc w:val="both"/>
        <w:rPr>
          <w:color w:val="000000" w:themeColor="text1"/>
          <w:sz w:val="16"/>
          <w:szCs w:val="16"/>
        </w:rPr>
      </w:pPr>
      <w:r w:rsidRPr="00507A31">
        <w:rPr>
          <w:color w:val="000000" w:themeColor="text1"/>
          <w:sz w:val="16"/>
          <w:szCs w:val="16"/>
        </w:rPr>
        <w:t>СТРИЖЕВ получил сообщения и директивы при поездке заграницу в [19]27 году, и что мне стало известно от Ал.В. ИВАНОВА при моем приезде в Москву весной [19]28 года, что интервенция отложена до лета или осени 1930 г., так как страны-интервенты недостаточно подготовили буржуазное общественное мнение для интервенции в [19]28 г. и что часть этих стран не готова в военном отношении. Помню также, что УМНИКОВ рассказывал мне о своей беседе с РОДНЕНСКИМ в присутствии АККЕРМАНА по вопросу о сроках интервенции. РОДНЕНСКИЙ, вернувшись из заграницы, сперва сообщил об ожидании интервенции на [19]28 г., а затем им говорил, что интервенция переносится вероятнее всего на осень 1930 г. Кроме того, АККЕРМАН, вернувшись из заграницы, рассказывал о своих встречах заграницей и что ему говорили о том, что интервенция должна ожидаться к осени [19]30 года, объясняя это также неподготовкой в военном отношении интервентов. Такие данные АККЕРМАН получил, как он мне говорил, от представителей английского командования (лиц АККЕРМАН не называл), с которыми он был связан через работников фирмы «Виккерс». АККЕРМАН был вторично заграницей с октября [19]27 года до конца или середины февраля [19]28 г. и разговоры об интервенции были и имели место в Туапсе после его приезда из заграницы.</w:t>
      </w:r>
    </w:p>
    <w:p w14:paraId="47982E12" w14:textId="77777777" w:rsidR="00466309" w:rsidRPr="00507A31" w:rsidRDefault="00466309" w:rsidP="00507A31">
      <w:pPr>
        <w:jc w:val="both"/>
        <w:rPr>
          <w:color w:val="000000" w:themeColor="text1"/>
          <w:sz w:val="16"/>
          <w:szCs w:val="16"/>
        </w:rPr>
      </w:pPr>
      <w:r w:rsidRPr="00507A31">
        <w:rPr>
          <w:color w:val="000000" w:themeColor="text1"/>
          <w:sz w:val="16"/>
          <w:szCs w:val="16"/>
        </w:rPr>
        <w:t>После этого в течение [19]28 года и насколько помню в начале 1929 г. представитель Виккерса, строивший крэкинги в Грозном и Баку — ЛОМАКС сообщал и говорил АККЕРМАНУ, а последний передавал мне, что подготовка [к] интервенции продолжается и что таковая должна последовать в 1930 г.</w:t>
      </w:r>
    </w:p>
    <w:p w14:paraId="342C356B" w14:textId="77777777" w:rsidR="00466309" w:rsidRPr="00507A31" w:rsidRDefault="00466309" w:rsidP="00507A31">
      <w:pPr>
        <w:jc w:val="both"/>
        <w:rPr>
          <w:color w:val="000000" w:themeColor="text1"/>
          <w:sz w:val="16"/>
          <w:szCs w:val="16"/>
        </w:rPr>
      </w:pPr>
      <w:r w:rsidRPr="00507A31">
        <w:rPr>
          <w:color w:val="000000" w:themeColor="text1"/>
          <w:sz w:val="16"/>
          <w:szCs w:val="16"/>
        </w:rPr>
        <w:t>И. ПОКРОВСКИЙ.</w:t>
      </w:r>
    </w:p>
    <w:p w14:paraId="1F0A0B49" w14:textId="77777777" w:rsidR="00466309" w:rsidRPr="00507A31" w:rsidRDefault="00466309" w:rsidP="00507A31">
      <w:pPr>
        <w:jc w:val="both"/>
        <w:rPr>
          <w:color w:val="000000" w:themeColor="text1"/>
          <w:sz w:val="16"/>
          <w:szCs w:val="16"/>
        </w:rPr>
      </w:pPr>
      <w:r w:rsidRPr="00507A31">
        <w:rPr>
          <w:color w:val="000000" w:themeColor="text1"/>
          <w:sz w:val="16"/>
          <w:szCs w:val="16"/>
        </w:rPr>
        <w:t>Д. 353. Л. 169-171. Машинописная копия того времени. На Л. 169 вверху делопроизводственные и рукописные пометы о перепечатке текста «об интерв. 2 стр.», здесь же штамп о рассылке документа (дата и номер отсутствуют). На Л. 157 — сопроводительное письмо от 18 октября 1930 г. (№ П954) об отправке членам и кандидатам в члены ЦК и членам ЦКК В КП (б) показаний Ларичева, Аккермана, Покровского, Ефремова, Предтеченского, Нольде, Михаленко, Иванова, Неандера и Федотова. (См. легенду к док. № 353-17.) (18448).</w:t>
      </w:r>
    </w:p>
    <w:p w14:paraId="5F5FB8F3" w14:textId="77777777" w:rsidR="00466309" w:rsidRPr="00507A31" w:rsidRDefault="00466309" w:rsidP="00507A31">
      <w:pPr>
        <w:jc w:val="both"/>
        <w:rPr>
          <w:color w:val="000000" w:themeColor="text1"/>
          <w:sz w:val="16"/>
          <w:szCs w:val="16"/>
        </w:rPr>
      </w:pPr>
    </w:p>
    <w:p w14:paraId="76471C6A"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2119FC0E" w14:textId="77777777" w:rsidR="00466309" w:rsidRPr="00507A31" w:rsidRDefault="00466309" w:rsidP="00507A31">
      <w:pPr>
        <w:jc w:val="both"/>
        <w:rPr>
          <w:color w:val="000000" w:themeColor="text1"/>
          <w:sz w:val="16"/>
          <w:szCs w:val="16"/>
        </w:rPr>
      </w:pPr>
      <w:r w:rsidRPr="00507A31">
        <w:rPr>
          <w:color w:val="000000" w:themeColor="text1"/>
          <w:sz w:val="16"/>
          <w:szCs w:val="16"/>
        </w:rPr>
        <w:t>Показания Г. И. Ефремова о подготовке и сроках «предстоящей интервенции против СССР». 11 октября 1930 г.</w:t>
      </w:r>
    </w:p>
    <w:p w14:paraId="7CE76E23" w14:textId="77777777" w:rsidR="00466309" w:rsidRPr="00507A31" w:rsidRDefault="00466309" w:rsidP="00507A31">
      <w:pPr>
        <w:jc w:val="both"/>
        <w:rPr>
          <w:color w:val="000000" w:themeColor="text1"/>
          <w:sz w:val="16"/>
          <w:szCs w:val="16"/>
        </w:rPr>
      </w:pPr>
      <w:r w:rsidRPr="00507A31">
        <w:rPr>
          <w:color w:val="000000" w:themeColor="text1"/>
          <w:sz w:val="16"/>
          <w:szCs w:val="16"/>
        </w:rPr>
        <w:t>Источник: </w:t>
      </w:r>
    </w:p>
    <w:p w14:paraId="557938BD" w14:textId="77777777" w:rsidR="00466309" w:rsidRPr="00507A31" w:rsidRDefault="0046630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6828699"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7872708C" w14:textId="77777777" w:rsidR="00466309" w:rsidRPr="00507A31" w:rsidRDefault="00466309" w:rsidP="00507A31">
      <w:pPr>
        <w:jc w:val="both"/>
        <w:rPr>
          <w:color w:val="000000" w:themeColor="text1"/>
          <w:sz w:val="16"/>
          <w:szCs w:val="16"/>
        </w:rPr>
      </w:pPr>
      <w:r w:rsidRPr="00507A31">
        <w:rPr>
          <w:color w:val="000000" w:themeColor="text1"/>
          <w:sz w:val="16"/>
          <w:szCs w:val="16"/>
        </w:rPr>
        <w:t>[Секретно]</w:t>
      </w:r>
    </w:p>
    <w:p w14:paraId="5954AA50" w14:textId="77777777" w:rsidR="00466309" w:rsidRPr="00507A31" w:rsidRDefault="00466309" w:rsidP="00507A31">
      <w:pPr>
        <w:jc w:val="both"/>
        <w:rPr>
          <w:color w:val="000000" w:themeColor="text1"/>
          <w:sz w:val="16"/>
          <w:szCs w:val="16"/>
        </w:rPr>
      </w:pPr>
      <w:r w:rsidRPr="00507A31">
        <w:rPr>
          <w:color w:val="000000" w:themeColor="text1"/>
          <w:sz w:val="16"/>
          <w:szCs w:val="16"/>
        </w:rPr>
        <w:t>ПРОТОКОЛ</w:t>
      </w:r>
    </w:p>
    <w:p w14:paraId="201697DB" w14:textId="77777777" w:rsidR="00466309" w:rsidRPr="00507A31" w:rsidRDefault="00466309" w:rsidP="00507A31">
      <w:pPr>
        <w:jc w:val="both"/>
        <w:rPr>
          <w:color w:val="000000" w:themeColor="text1"/>
          <w:sz w:val="16"/>
          <w:szCs w:val="16"/>
        </w:rPr>
      </w:pPr>
      <w:r w:rsidRPr="00507A31">
        <w:rPr>
          <w:color w:val="000000" w:themeColor="text1"/>
          <w:sz w:val="16"/>
          <w:szCs w:val="16"/>
        </w:rPr>
        <w:t>дополнительного показания, данного 1930 г. Октября 11 дня</w:t>
      </w:r>
    </w:p>
    <w:p w14:paraId="1DCC6967" w14:textId="77777777" w:rsidR="00466309" w:rsidRPr="00507A31" w:rsidRDefault="00466309" w:rsidP="00507A31">
      <w:pPr>
        <w:jc w:val="both"/>
        <w:rPr>
          <w:color w:val="000000" w:themeColor="text1"/>
          <w:sz w:val="16"/>
          <w:szCs w:val="16"/>
        </w:rPr>
      </w:pPr>
      <w:r w:rsidRPr="00507A31">
        <w:rPr>
          <w:color w:val="000000" w:themeColor="text1"/>
          <w:sz w:val="16"/>
          <w:szCs w:val="16"/>
        </w:rPr>
        <w:t>ЕФРЕМОВЫМ Гавриилом Ивановичем, который показал:</w:t>
      </w:r>
    </w:p>
    <w:p w14:paraId="45F45AC7" w14:textId="77777777" w:rsidR="00466309" w:rsidRPr="00507A31" w:rsidRDefault="00466309" w:rsidP="00507A31">
      <w:pPr>
        <w:jc w:val="both"/>
        <w:rPr>
          <w:color w:val="000000" w:themeColor="text1"/>
          <w:sz w:val="16"/>
          <w:szCs w:val="16"/>
        </w:rPr>
      </w:pPr>
      <w:r w:rsidRPr="00507A31">
        <w:rPr>
          <w:color w:val="000000" w:themeColor="text1"/>
          <w:sz w:val="16"/>
          <w:szCs w:val="16"/>
        </w:rPr>
        <w:t>На поставленный мне вопрос когда, с кем и при каких обстоятельствах, где я имел разговор о предстоящей интервенции против СССР, когда интервенция предполагается, какие державы в первую очередь должны были выступить против Советского Союза и какой разговор и с кем был после указанного выше на эту же тему показываю:</w:t>
      </w:r>
    </w:p>
    <w:p w14:paraId="4A4B4D46" w14:textId="77777777" w:rsidR="00466309" w:rsidRPr="00507A31" w:rsidRDefault="00466309" w:rsidP="00507A31">
      <w:pPr>
        <w:jc w:val="both"/>
        <w:rPr>
          <w:color w:val="000000" w:themeColor="text1"/>
          <w:sz w:val="16"/>
          <w:szCs w:val="16"/>
        </w:rPr>
      </w:pPr>
      <w:r w:rsidRPr="00507A31">
        <w:rPr>
          <w:color w:val="000000" w:themeColor="text1"/>
          <w:sz w:val="16"/>
          <w:szCs w:val="16"/>
        </w:rPr>
        <w:t>Служа в Представительстве фирмы «Метрополитен-Виккерс», как я показывал раньше, я был близок с английским инженером ТОРНТОНа, с которым часто беседовал о международном положении вообще и в частности о положении СССР.</w:t>
      </w:r>
    </w:p>
    <w:p w14:paraId="45E04D1F" w14:textId="77777777" w:rsidR="00466309" w:rsidRPr="00507A31" w:rsidRDefault="00466309" w:rsidP="00507A31">
      <w:pPr>
        <w:jc w:val="both"/>
        <w:rPr>
          <w:color w:val="000000" w:themeColor="text1"/>
          <w:sz w:val="16"/>
          <w:szCs w:val="16"/>
        </w:rPr>
      </w:pPr>
      <w:r w:rsidRPr="00507A31">
        <w:rPr>
          <w:color w:val="000000" w:themeColor="text1"/>
          <w:sz w:val="16"/>
          <w:szCs w:val="16"/>
        </w:rPr>
        <w:t>Эти беседы бывали в большинстве случаев после возвращения ТОРНТОНА из Англии, куда он выезжал обыкновенно на праздники. Естественно я, зная, что ТОРНТОН близок к Английской разведке, интересовался, что в Англии слышно про Советский Союз.</w:t>
      </w:r>
    </w:p>
    <w:p w14:paraId="48FB7E2B" w14:textId="77777777" w:rsidR="00466309" w:rsidRPr="00507A31" w:rsidRDefault="00466309" w:rsidP="00507A31">
      <w:pPr>
        <w:jc w:val="both"/>
        <w:rPr>
          <w:color w:val="000000" w:themeColor="text1"/>
          <w:sz w:val="16"/>
          <w:szCs w:val="16"/>
        </w:rPr>
      </w:pPr>
      <w:r w:rsidRPr="00507A31">
        <w:rPr>
          <w:color w:val="000000" w:themeColor="text1"/>
          <w:sz w:val="16"/>
          <w:szCs w:val="16"/>
        </w:rPr>
        <w:lastRenderedPageBreak/>
        <w:t>Особо ярко я помню разговор с ТОРНТОНОМ на эту тему во второй половине 1928 года, а также после моего приезда из Англии, куда я уехал в начале января м-ца 1929 года.</w:t>
      </w:r>
    </w:p>
    <w:p w14:paraId="732424A4" w14:textId="77777777" w:rsidR="00466309" w:rsidRPr="00507A31" w:rsidRDefault="00466309" w:rsidP="00507A31">
      <w:pPr>
        <w:jc w:val="both"/>
        <w:rPr>
          <w:color w:val="000000" w:themeColor="text1"/>
          <w:sz w:val="16"/>
          <w:szCs w:val="16"/>
        </w:rPr>
      </w:pPr>
      <w:r w:rsidRPr="00507A31">
        <w:rPr>
          <w:color w:val="000000" w:themeColor="text1"/>
          <w:sz w:val="16"/>
          <w:szCs w:val="16"/>
        </w:rPr>
        <w:t>Как до моего отъезда в Англию, так и после возвращения оттуда, я часто заходил по утрам в контору фирмы «Метрополитен-Виккерс» в Ленинграде (ул. Войкова, 13, кв. 2), где до сбора служащих конторы, т. е. до 9 ч. утра, я разговаривал с ТОРНТОНОМ. В этих беседах, на мой вопрос о положении СССР, ТОРНТОН говорил, что положение Советского Союза тяжелое и что иностранные государства готовятся к решительному военному выступлению против Союза. Как сказал мне ТОРНТОН интервенция должна произойти скоро и во всяком случае не позднее 1930 года. По словам ТОРНТОН А в первую очередь должны будут выступить против СССР Польша, Румыния, Финляндия и возможно другие Прибалтийские страны, входящие в антисоветский блок. Задачей Англии и Франции в первое время будет лишь снабжение армий этих стран боевыми припасами, снаряжением и возможно техническими войсками, как то артиллерия, броневые части, воздушный флот, а также блокада морского побережья французским и английским флотом. В случае неудачи этих стран против Союза Англия якобы должна будет послать свои части в помощь, а возможно даже самостоятельно выступит. Район действия английских войск на случай самостоятельного выступления ТОРНТОН мне не указал.</w:t>
      </w:r>
    </w:p>
    <w:p w14:paraId="4C9E8C6E" w14:textId="77777777" w:rsidR="00466309" w:rsidRPr="00507A31" w:rsidRDefault="00466309" w:rsidP="00507A31">
      <w:pPr>
        <w:jc w:val="both"/>
        <w:rPr>
          <w:color w:val="000000" w:themeColor="text1"/>
          <w:sz w:val="16"/>
          <w:szCs w:val="16"/>
        </w:rPr>
      </w:pPr>
      <w:r w:rsidRPr="00507A31">
        <w:rPr>
          <w:color w:val="000000" w:themeColor="text1"/>
          <w:sz w:val="16"/>
          <w:szCs w:val="16"/>
        </w:rPr>
        <w:t>ТОРНТОН говорил, что задачей стран, входящих в антисоветский блок, в настоящее время является спровоцировать Советский Союз на военные действия, а для этого принимаются всевозможные меры, как то: покушения на убийства послов Союза, в связи с чем в случае неудовлетворения требований Советского Правительства последнее должно будет объявить войну той стране, в которой произведено убийство советского посла или произведено на него покушение.</w:t>
      </w:r>
    </w:p>
    <w:p w14:paraId="797E44AE" w14:textId="77777777" w:rsidR="00466309" w:rsidRPr="00507A31" w:rsidRDefault="00466309" w:rsidP="00507A31">
      <w:pPr>
        <w:jc w:val="both"/>
        <w:rPr>
          <w:color w:val="000000" w:themeColor="text1"/>
          <w:sz w:val="16"/>
          <w:szCs w:val="16"/>
        </w:rPr>
      </w:pPr>
      <w:r w:rsidRPr="00507A31">
        <w:rPr>
          <w:color w:val="000000" w:themeColor="text1"/>
          <w:sz w:val="16"/>
          <w:szCs w:val="16"/>
        </w:rPr>
        <w:t>Кроме этого помню и еще разговор с ТОРНТОНОМ, когда последний приезжал в Орехово-Зуево (август 1930 г.), где я от фирмы «Метро-Виккерс» производил сушку генератора этой фирмы на фабрике [3]-го Хлопчатобумажного треста.</w:t>
      </w:r>
    </w:p>
    <w:p w14:paraId="7C1DB68D" w14:textId="77777777" w:rsidR="00466309" w:rsidRPr="00507A31" w:rsidRDefault="00466309" w:rsidP="00507A31">
      <w:pPr>
        <w:jc w:val="both"/>
        <w:rPr>
          <w:color w:val="000000" w:themeColor="text1"/>
          <w:sz w:val="16"/>
          <w:szCs w:val="16"/>
        </w:rPr>
      </w:pPr>
      <w:r w:rsidRPr="00507A31">
        <w:rPr>
          <w:color w:val="000000" w:themeColor="text1"/>
          <w:sz w:val="16"/>
          <w:szCs w:val="16"/>
        </w:rPr>
        <w:t>Встретившись с ТОРНТОНОМ я с ним разговорился о текущих международных событиях и в частности о покушении на взрыв Советского Посольства в Варшаве.</w:t>
      </w:r>
    </w:p>
    <w:p w14:paraId="1AF13C6E" w14:textId="77777777" w:rsidR="00466309" w:rsidRPr="00507A31" w:rsidRDefault="00466309" w:rsidP="00507A31">
      <w:pPr>
        <w:jc w:val="both"/>
        <w:rPr>
          <w:color w:val="000000" w:themeColor="text1"/>
          <w:sz w:val="16"/>
          <w:szCs w:val="16"/>
        </w:rPr>
      </w:pPr>
      <w:r w:rsidRPr="00507A31">
        <w:rPr>
          <w:color w:val="000000" w:themeColor="text1"/>
          <w:sz w:val="16"/>
          <w:szCs w:val="16"/>
        </w:rPr>
        <w:t>В этом разговоре ТОРНТОН усмехаясь сказал, — «нужно же каким-то образом сбросить большевиков». Развивая этот разговор ТОРНТОН указал[:] все[,] что предпринимается за границей[,] направлено исключительно с целью заставить Советский Союз объявить первым войну одному из пограничных с ним государству.</w:t>
      </w:r>
    </w:p>
    <w:p w14:paraId="33A80F85" w14:textId="77777777" w:rsidR="00466309" w:rsidRPr="00507A31" w:rsidRDefault="00466309" w:rsidP="00507A31">
      <w:pPr>
        <w:jc w:val="both"/>
        <w:rPr>
          <w:color w:val="000000" w:themeColor="text1"/>
          <w:sz w:val="16"/>
          <w:szCs w:val="16"/>
        </w:rPr>
      </w:pPr>
      <w:r w:rsidRPr="00507A31">
        <w:rPr>
          <w:color w:val="000000" w:themeColor="text1"/>
          <w:sz w:val="16"/>
          <w:szCs w:val="16"/>
        </w:rPr>
        <w:t>По словам ТОРНТОНА, объявление войны со стороны Советского Правительства дает возможность остальным государствам считать Советский Союз страной нападающей, а следовательно по пакту Келлога все страны могут принять участие в войне против Союза и тем самым усыпить общественное мнение Европы.</w:t>
      </w:r>
    </w:p>
    <w:p w14:paraId="516826B3" w14:textId="77777777" w:rsidR="00466309" w:rsidRPr="00507A31" w:rsidRDefault="00466309" w:rsidP="00507A31">
      <w:pPr>
        <w:jc w:val="both"/>
        <w:rPr>
          <w:color w:val="000000" w:themeColor="text1"/>
          <w:sz w:val="16"/>
          <w:szCs w:val="16"/>
        </w:rPr>
      </w:pPr>
      <w:r w:rsidRPr="00507A31">
        <w:rPr>
          <w:color w:val="000000" w:themeColor="text1"/>
          <w:sz w:val="16"/>
          <w:szCs w:val="16"/>
        </w:rPr>
        <w:t>В этом ж разговоре ТОРНТОН сказал, что целью антисоветского блока является уничтожение Советской власти в России и восстановление капитализма. На мой вопрос, что же намерены предпринять иностранные державы, если Советский Союз откажется первым объявить войну, как он делал до настоящего времени — ТОРНТОН говорил, что если все эти средства не удадутся, то Польша или Финляндия должны под каким[-]нибудь предлогом сами начать военные действия предварительно подготовив общественное мнение в ту сторону, что это делает, т. е. объявляет войну не то государство, а Советское Правительство, и тогда выступают остальные государства против Советского Союза.</w:t>
      </w:r>
    </w:p>
    <w:p w14:paraId="23A18283" w14:textId="77777777" w:rsidR="00466309" w:rsidRPr="00507A31" w:rsidRDefault="00466309" w:rsidP="00507A31">
      <w:pPr>
        <w:jc w:val="both"/>
        <w:rPr>
          <w:color w:val="000000" w:themeColor="text1"/>
          <w:sz w:val="16"/>
          <w:szCs w:val="16"/>
        </w:rPr>
      </w:pPr>
      <w:r w:rsidRPr="00507A31">
        <w:rPr>
          <w:color w:val="000000" w:themeColor="text1"/>
          <w:sz w:val="16"/>
          <w:szCs w:val="16"/>
        </w:rPr>
        <w:t>В свой приезд в Орехово-Зуево ТОРНТОН был там недолго и в тот же день выехал через Москву в Иваново-Вознесенск на строительство электростанции. Как в этой беседе, так и до этого, в частности в начале июля или в конце июня м-ца 1929 года во время выпивки у ТОРНТОНА на квартире, после того, как он, ТОРНТОН, попал под электрический ток на Москва-Мтищенской электр[ической] жел[лезной] дороге, в разговоре на указанную выше тему ТОРНТОН утверждал, что военные действия со стороны государств, входящих в антисоветский блок и граничащих с СССР, против последнего начнутся не позднее 1930 г.</w:t>
      </w:r>
    </w:p>
    <w:p w14:paraId="06189B22" w14:textId="77777777" w:rsidR="00466309" w:rsidRPr="00507A31" w:rsidRDefault="00466309" w:rsidP="00507A31">
      <w:pPr>
        <w:jc w:val="both"/>
        <w:rPr>
          <w:color w:val="000000" w:themeColor="text1"/>
          <w:sz w:val="16"/>
          <w:szCs w:val="16"/>
        </w:rPr>
      </w:pPr>
      <w:r w:rsidRPr="00507A31">
        <w:rPr>
          <w:color w:val="000000" w:themeColor="text1"/>
          <w:sz w:val="16"/>
          <w:szCs w:val="16"/>
        </w:rPr>
        <w:t>Это же самое ТОРНТОН мне подтвердил и в Орехово-Зуеве при нашей, описанной выше, беседе.</w:t>
      </w:r>
    </w:p>
    <w:p w14:paraId="79041C06" w14:textId="77777777" w:rsidR="00466309" w:rsidRPr="00507A31" w:rsidRDefault="00466309" w:rsidP="00507A31">
      <w:pPr>
        <w:jc w:val="both"/>
        <w:rPr>
          <w:color w:val="000000" w:themeColor="text1"/>
          <w:sz w:val="16"/>
          <w:szCs w:val="16"/>
        </w:rPr>
      </w:pPr>
      <w:r w:rsidRPr="00507A31">
        <w:rPr>
          <w:color w:val="000000" w:themeColor="text1"/>
          <w:sz w:val="16"/>
          <w:szCs w:val="16"/>
        </w:rPr>
        <w:t>В начале этого года во время выпивки у него на квартире я спрашивал ТОРНТОНА[,] когда же начнется интервенция[,] и он опять повторил, что обязательно в этом, т. е. в 1930 году, но указать месяца не мог.</w:t>
      </w:r>
    </w:p>
    <w:p w14:paraId="2DB4069F" w14:textId="77777777" w:rsidR="00466309" w:rsidRPr="00507A31" w:rsidRDefault="00466309" w:rsidP="00507A31">
      <w:pPr>
        <w:jc w:val="both"/>
        <w:rPr>
          <w:color w:val="000000" w:themeColor="text1"/>
          <w:sz w:val="16"/>
          <w:szCs w:val="16"/>
        </w:rPr>
      </w:pPr>
      <w:r w:rsidRPr="00507A31">
        <w:rPr>
          <w:color w:val="000000" w:themeColor="text1"/>
          <w:sz w:val="16"/>
          <w:szCs w:val="16"/>
        </w:rPr>
        <w:t>Г. Ефремов.</w:t>
      </w:r>
    </w:p>
    <w:p w14:paraId="6E6EBFBA" w14:textId="77777777" w:rsidR="00466309" w:rsidRPr="00507A31" w:rsidRDefault="00466309" w:rsidP="00507A31">
      <w:pPr>
        <w:jc w:val="both"/>
        <w:rPr>
          <w:color w:val="000000" w:themeColor="text1"/>
          <w:sz w:val="16"/>
          <w:szCs w:val="16"/>
        </w:rPr>
      </w:pPr>
      <w:r w:rsidRPr="00507A31">
        <w:rPr>
          <w:color w:val="000000" w:themeColor="text1"/>
          <w:sz w:val="16"/>
          <w:szCs w:val="16"/>
        </w:rPr>
        <w:t>ДОПРОСИЛ: Пом. Нач. ЭКУ ОГПУ: (Молочников)</w:t>
      </w:r>
    </w:p>
    <w:p w14:paraId="29BE24BA" w14:textId="77777777" w:rsidR="00466309" w:rsidRPr="00507A31" w:rsidRDefault="00466309" w:rsidP="00507A31">
      <w:pPr>
        <w:jc w:val="both"/>
        <w:rPr>
          <w:color w:val="000000" w:themeColor="text1"/>
          <w:sz w:val="16"/>
          <w:szCs w:val="16"/>
        </w:rPr>
      </w:pPr>
      <w:r w:rsidRPr="00507A31">
        <w:rPr>
          <w:color w:val="000000" w:themeColor="text1"/>
          <w:sz w:val="16"/>
          <w:szCs w:val="16"/>
        </w:rPr>
        <w:t>Д-353.Л. 172-175. Машинописная копия того времени. На Л. 172 вверху делопроизводственная помета о перепечатке текста (машинопись), штамп о рассылке документа (дата и номер отсутствуют).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(18447).</w:t>
      </w:r>
    </w:p>
    <w:p w14:paraId="7E93CB9C" w14:textId="77777777" w:rsidR="00466309" w:rsidRPr="00507A31" w:rsidRDefault="00466309" w:rsidP="00507A31">
      <w:pPr>
        <w:jc w:val="both"/>
        <w:rPr>
          <w:color w:val="000000" w:themeColor="text1"/>
          <w:sz w:val="16"/>
          <w:szCs w:val="16"/>
        </w:rPr>
      </w:pPr>
    </w:p>
    <w:p w14:paraId="06F709ED"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4E446C17" w14:textId="77777777" w:rsidR="00466309" w:rsidRPr="00507A31" w:rsidRDefault="00466309" w:rsidP="00507A31">
      <w:pPr>
        <w:jc w:val="both"/>
        <w:rPr>
          <w:color w:val="000000" w:themeColor="text1"/>
          <w:sz w:val="16"/>
          <w:szCs w:val="16"/>
        </w:rPr>
      </w:pPr>
      <w:r w:rsidRPr="00507A31">
        <w:rPr>
          <w:color w:val="000000" w:themeColor="text1"/>
          <w:sz w:val="16"/>
          <w:szCs w:val="16"/>
        </w:rPr>
        <w:t>Показания С. А. Предтеченского о «подготовительных мерах» и установках Инженерного центра «на случай интервенции» против СССР. 11 октября 1930 г.</w:t>
      </w:r>
    </w:p>
    <w:p w14:paraId="31F38187" w14:textId="77777777" w:rsidR="00466309" w:rsidRPr="00507A31" w:rsidRDefault="00466309" w:rsidP="00507A31">
      <w:pPr>
        <w:jc w:val="both"/>
        <w:rPr>
          <w:color w:val="000000" w:themeColor="text1"/>
          <w:sz w:val="16"/>
          <w:szCs w:val="16"/>
        </w:rPr>
      </w:pPr>
      <w:r w:rsidRPr="00507A31">
        <w:rPr>
          <w:color w:val="000000" w:themeColor="text1"/>
          <w:sz w:val="16"/>
          <w:szCs w:val="16"/>
        </w:rPr>
        <w:t>Источник: </w:t>
      </w:r>
    </w:p>
    <w:p w14:paraId="65BCE358" w14:textId="77777777" w:rsidR="00466309" w:rsidRPr="00507A31" w:rsidRDefault="0046630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6A95DE"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06041289" w14:textId="77777777" w:rsidR="00466309" w:rsidRPr="00507A31" w:rsidRDefault="00466309" w:rsidP="00507A31">
      <w:pPr>
        <w:jc w:val="both"/>
        <w:rPr>
          <w:color w:val="000000" w:themeColor="text1"/>
          <w:sz w:val="16"/>
          <w:szCs w:val="16"/>
        </w:rPr>
      </w:pPr>
      <w:r w:rsidRPr="00507A31">
        <w:rPr>
          <w:color w:val="000000" w:themeColor="text1"/>
          <w:sz w:val="16"/>
          <w:szCs w:val="16"/>
        </w:rPr>
        <w:t>[Секретно]</w:t>
      </w:r>
    </w:p>
    <w:p w14:paraId="6547BDAD" w14:textId="77777777" w:rsidR="00466309" w:rsidRPr="00507A31" w:rsidRDefault="00466309" w:rsidP="00507A31">
      <w:pPr>
        <w:jc w:val="both"/>
        <w:rPr>
          <w:color w:val="000000" w:themeColor="text1"/>
          <w:sz w:val="16"/>
          <w:szCs w:val="16"/>
        </w:rPr>
      </w:pPr>
      <w:r w:rsidRPr="00507A31">
        <w:rPr>
          <w:color w:val="000000" w:themeColor="text1"/>
          <w:sz w:val="16"/>
          <w:szCs w:val="16"/>
        </w:rPr>
        <w:t>ПОКАЗАНИЯ</w:t>
      </w:r>
    </w:p>
    <w:p w14:paraId="0C4480A0" w14:textId="77777777" w:rsidR="00466309" w:rsidRPr="00507A31" w:rsidRDefault="00466309" w:rsidP="00507A31">
      <w:pPr>
        <w:jc w:val="both"/>
        <w:rPr>
          <w:color w:val="000000" w:themeColor="text1"/>
          <w:sz w:val="16"/>
          <w:szCs w:val="16"/>
        </w:rPr>
      </w:pPr>
      <w:r w:rsidRPr="00507A31">
        <w:rPr>
          <w:color w:val="000000" w:themeColor="text1"/>
          <w:sz w:val="16"/>
          <w:szCs w:val="16"/>
        </w:rPr>
        <w:t>Инж. ПРЕДТЕЧЕНСКОГО Сергея Алексеевича</w:t>
      </w:r>
    </w:p>
    <w:p w14:paraId="3B072762" w14:textId="77777777" w:rsidR="00466309" w:rsidRPr="00507A31" w:rsidRDefault="00466309" w:rsidP="00507A31">
      <w:pPr>
        <w:jc w:val="both"/>
        <w:rPr>
          <w:color w:val="000000" w:themeColor="text1"/>
          <w:sz w:val="16"/>
          <w:szCs w:val="16"/>
        </w:rPr>
      </w:pPr>
      <w:r w:rsidRPr="00507A31">
        <w:rPr>
          <w:color w:val="000000" w:themeColor="text1"/>
          <w:sz w:val="16"/>
          <w:szCs w:val="16"/>
        </w:rPr>
        <w:t>От 11 октября 1930 года.</w:t>
      </w:r>
    </w:p>
    <w:p w14:paraId="1C7EA95B" w14:textId="77777777" w:rsidR="00466309" w:rsidRPr="00507A31" w:rsidRDefault="00466309" w:rsidP="00507A31">
      <w:pPr>
        <w:jc w:val="both"/>
        <w:rPr>
          <w:color w:val="000000" w:themeColor="text1"/>
          <w:sz w:val="16"/>
          <w:szCs w:val="16"/>
        </w:rPr>
      </w:pPr>
      <w:r w:rsidRPr="00507A31">
        <w:rPr>
          <w:color w:val="000000" w:themeColor="text1"/>
          <w:sz w:val="16"/>
          <w:szCs w:val="16"/>
        </w:rPr>
        <w:t>В своих предыдущих показаниях я частично останавливался на тех подготовительных мерах, которые предпринимались вредительским инженерным центром на случай интервенции. Показываю дополнительно все, что мне известно по этому вопросу из разговоров с Л. К. РАМЗИНЫМ.</w:t>
      </w:r>
    </w:p>
    <w:p w14:paraId="4233B7DD" w14:textId="77777777" w:rsidR="00466309" w:rsidRPr="00507A31" w:rsidRDefault="00466309" w:rsidP="00507A31">
      <w:pPr>
        <w:jc w:val="both"/>
        <w:rPr>
          <w:color w:val="000000" w:themeColor="text1"/>
          <w:sz w:val="16"/>
          <w:szCs w:val="16"/>
        </w:rPr>
      </w:pPr>
      <w:r w:rsidRPr="00507A31">
        <w:rPr>
          <w:color w:val="000000" w:themeColor="text1"/>
          <w:sz w:val="16"/>
          <w:szCs w:val="16"/>
        </w:rPr>
        <w:t>I.</w:t>
      </w:r>
    </w:p>
    <w:p w14:paraId="55216EC7" w14:textId="77777777" w:rsidR="00466309" w:rsidRPr="00507A31" w:rsidRDefault="00466309" w:rsidP="00507A31">
      <w:pPr>
        <w:jc w:val="both"/>
        <w:rPr>
          <w:color w:val="000000" w:themeColor="text1"/>
          <w:sz w:val="16"/>
          <w:szCs w:val="16"/>
        </w:rPr>
      </w:pPr>
      <w:r w:rsidRPr="00507A31">
        <w:rPr>
          <w:color w:val="000000" w:themeColor="text1"/>
          <w:sz w:val="16"/>
          <w:szCs w:val="16"/>
        </w:rPr>
        <w:t>Наметившийся в конце 1928 года курс перехода от НЭПа к индустриализации страны, организации крупных совхозов и далее переход к коллективизации сельского хозяйства и связанной с нею ликвидацией кулачества, как класса, окончательно разбили иллюзии на мирное перерождение НЭПа и возвращение к буржуазным формам государственных взаимоотношений.</w:t>
      </w:r>
    </w:p>
    <w:p w14:paraId="7EA3ABCB" w14:textId="77777777" w:rsidR="00466309" w:rsidRPr="00507A31" w:rsidRDefault="00466309" w:rsidP="00507A31">
      <w:pPr>
        <w:jc w:val="both"/>
        <w:rPr>
          <w:color w:val="000000" w:themeColor="text1"/>
          <w:sz w:val="16"/>
          <w:szCs w:val="16"/>
        </w:rPr>
      </w:pPr>
      <w:r w:rsidRPr="00507A31">
        <w:rPr>
          <w:color w:val="000000" w:themeColor="text1"/>
          <w:sz w:val="16"/>
          <w:szCs w:val="16"/>
        </w:rPr>
        <w:t>Такое положение дела весьма сильно волновало капиталистические круги заграницей, заинтересованные в создании в Советском Союзе государственной формы управления, обеспечивающ[ей] возможность получения как довоенных, так и военных долгов и создание из СССР огромного по емкости рынка сбыта своей продукции.</w:t>
      </w:r>
    </w:p>
    <w:p w14:paraId="68029357" w14:textId="77777777" w:rsidR="00466309" w:rsidRPr="00507A31" w:rsidRDefault="00466309" w:rsidP="00507A31">
      <w:pPr>
        <w:jc w:val="both"/>
        <w:rPr>
          <w:color w:val="000000" w:themeColor="text1"/>
          <w:sz w:val="16"/>
          <w:szCs w:val="16"/>
        </w:rPr>
      </w:pPr>
      <w:r w:rsidRPr="00507A31">
        <w:rPr>
          <w:color w:val="000000" w:themeColor="text1"/>
          <w:sz w:val="16"/>
          <w:szCs w:val="16"/>
        </w:rPr>
        <w:t>Рост советской, как тяжелой, так и легкой индустрии, успешное выполнение пятилетки создавали из Союза в перспективе ближайших лет страну, независимую от импорта, самостоятельную и непобедимую.</w:t>
      </w:r>
    </w:p>
    <w:p w14:paraId="45DB4F8A" w14:textId="77777777" w:rsidR="00466309" w:rsidRPr="00507A31" w:rsidRDefault="00466309" w:rsidP="00507A31">
      <w:pPr>
        <w:jc w:val="both"/>
        <w:rPr>
          <w:color w:val="000000" w:themeColor="text1"/>
          <w:sz w:val="16"/>
          <w:szCs w:val="16"/>
        </w:rPr>
      </w:pPr>
      <w:r w:rsidRPr="00507A31">
        <w:rPr>
          <w:color w:val="000000" w:themeColor="text1"/>
          <w:sz w:val="16"/>
          <w:szCs w:val="16"/>
        </w:rPr>
        <w:t>Боязнь опоздать упустить время вмешательства в дела СССР и стать лицом к лицу со страною, успешно и победоносно завершившей первый этап по пути строительства социализма, все более и более овладевал[а] умами капиталистических стран.</w:t>
      </w:r>
    </w:p>
    <w:p w14:paraId="0987404C" w14:textId="77777777" w:rsidR="00466309" w:rsidRPr="00507A31" w:rsidRDefault="00466309" w:rsidP="00507A31">
      <w:pPr>
        <w:jc w:val="both"/>
        <w:rPr>
          <w:color w:val="000000" w:themeColor="text1"/>
          <w:sz w:val="16"/>
          <w:szCs w:val="16"/>
        </w:rPr>
      </w:pPr>
      <w:r w:rsidRPr="00507A31">
        <w:rPr>
          <w:color w:val="000000" w:themeColor="text1"/>
          <w:sz w:val="16"/>
          <w:szCs w:val="16"/>
        </w:rPr>
        <w:t>Отсюда отдельные попытки скомпрометировать и даже вовсе прекратить наш экспорт.</w:t>
      </w:r>
    </w:p>
    <w:p w14:paraId="24BA4AF3" w14:textId="77777777" w:rsidR="00466309" w:rsidRPr="00507A31" w:rsidRDefault="00466309" w:rsidP="00507A31">
      <w:pPr>
        <w:jc w:val="both"/>
        <w:rPr>
          <w:color w:val="000000" w:themeColor="text1"/>
          <w:sz w:val="16"/>
          <w:szCs w:val="16"/>
        </w:rPr>
      </w:pPr>
      <w:r w:rsidRPr="00507A31">
        <w:rPr>
          <w:color w:val="000000" w:themeColor="text1"/>
          <w:sz w:val="16"/>
          <w:szCs w:val="16"/>
        </w:rPr>
        <w:t>Отсюда надежды на разлад в рядах партии и ставка на правый уклон.</w:t>
      </w:r>
    </w:p>
    <w:p w14:paraId="19DA0D9E" w14:textId="77777777" w:rsidR="00466309" w:rsidRPr="00507A31" w:rsidRDefault="00466309" w:rsidP="00507A31">
      <w:pPr>
        <w:jc w:val="both"/>
        <w:rPr>
          <w:color w:val="000000" w:themeColor="text1"/>
          <w:sz w:val="16"/>
          <w:szCs w:val="16"/>
        </w:rPr>
      </w:pPr>
      <w:r w:rsidRPr="00507A31">
        <w:rPr>
          <w:color w:val="000000" w:themeColor="text1"/>
          <w:sz w:val="16"/>
          <w:szCs w:val="16"/>
        </w:rPr>
        <w:t>Отсюда же всемерная поддержка всех оппозиционно настроенных организаций и элементов с целью при их помощи замедлить ход социалистического строительства, создать ряд противоречий, внутренних недовольств и подготовить помощь изнутри на случай интервенции.</w:t>
      </w:r>
    </w:p>
    <w:p w14:paraId="5D4928DC" w14:textId="77777777" w:rsidR="00466309" w:rsidRPr="00507A31" w:rsidRDefault="00466309" w:rsidP="00507A31">
      <w:pPr>
        <w:jc w:val="both"/>
        <w:rPr>
          <w:color w:val="000000" w:themeColor="text1"/>
          <w:sz w:val="16"/>
          <w:szCs w:val="16"/>
        </w:rPr>
      </w:pPr>
      <w:r w:rsidRPr="00507A31">
        <w:rPr>
          <w:color w:val="000000" w:themeColor="text1"/>
          <w:sz w:val="16"/>
          <w:szCs w:val="16"/>
        </w:rPr>
        <w:t>Заграницей со слов Л. К. РАМЗИНА с живейшим интересом следили за борьбой и развитием правого уклона партии, возлагая надежды, что в случае его торжества, раскулачивание будет прекращено и в деревне будет сохранена широкая база для мелко буржуазной реставрации.</w:t>
      </w:r>
    </w:p>
    <w:p w14:paraId="5AB15E2E" w14:textId="77777777" w:rsidR="00466309" w:rsidRPr="00507A31" w:rsidRDefault="00466309" w:rsidP="00507A31">
      <w:pPr>
        <w:jc w:val="both"/>
        <w:rPr>
          <w:color w:val="000000" w:themeColor="text1"/>
          <w:sz w:val="16"/>
          <w:szCs w:val="16"/>
        </w:rPr>
      </w:pPr>
      <w:r w:rsidRPr="00507A31">
        <w:rPr>
          <w:color w:val="000000" w:themeColor="text1"/>
          <w:sz w:val="16"/>
          <w:szCs w:val="16"/>
        </w:rPr>
        <w:t>Влияние этой мелко буржуазной стихии неминуемо, по общему мнению, должно было право-уклонистское правительство поставить на путь отступления от диктатуры пролетариата и направить его к коалиции с живыми силами страны, крестьянство, интеллигенция и рабочие.</w:t>
      </w:r>
    </w:p>
    <w:p w14:paraId="6176F7E1" w14:textId="77777777" w:rsidR="00466309" w:rsidRPr="00507A31" w:rsidRDefault="00466309" w:rsidP="00507A31">
      <w:pPr>
        <w:jc w:val="both"/>
        <w:rPr>
          <w:color w:val="000000" w:themeColor="text1"/>
          <w:sz w:val="16"/>
          <w:szCs w:val="16"/>
        </w:rPr>
      </w:pPr>
      <w:r w:rsidRPr="00507A31">
        <w:rPr>
          <w:color w:val="000000" w:themeColor="text1"/>
          <w:sz w:val="16"/>
          <w:szCs w:val="16"/>
        </w:rPr>
        <w:t>XVI-й съезд партии и полное поражение на нем правого уклона создали настроение[,] при котором эволюционный путь мелко-буржуазной реставрации был признан утопией.</w:t>
      </w:r>
    </w:p>
    <w:p w14:paraId="2C106588" w14:textId="77777777" w:rsidR="00466309" w:rsidRPr="00507A31" w:rsidRDefault="00466309" w:rsidP="00507A31">
      <w:pPr>
        <w:jc w:val="both"/>
        <w:rPr>
          <w:color w:val="000000" w:themeColor="text1"/>
          <w:sz w:val="16"/>
          <w:szCs w:val="16"/>
        </w:rPr>
      </w:pPr>
      <w:r w:rsidRPr="00507A31">
        <w:rPr>
          <w:color w:val="000000" w:themeColor="text1"/>
          <w:sz w:val="16"/>
          <w:szCs w:val="16"/>
        </w:rPr>
        <w:t>На смену этим иллюзиям все тверже и тверже делалась ставка на интервенцию.</w:t>
      </w:r>
    </w:p>
    <w:p w14:paraId="0C13D060" w14:textId="77777777" w:rsidR="00466309" w:rsidRPr="00507A31" w:rsidRDefault="00466309" w:rsidP="00507A31">
      <w:pPr>
        <w:jc w:val="both"/>
        <w:rPr>
          <w:color w:val="000000" w:themeColor="text1"/>
          <w:sz w:val="16"/>
          <w:szCs w:val="16"/>
        </w:rPr>
      </w:pPr>
      <w:r w:rsidRPr="00507A31">
        <w:rPr>
          <w:color w:val="000000" w:themeColor="text1"/>
          <w:sz w:val="16"/>
          <w:szCs w:val="16"/>
        </w:rPr>
        <w:t>II.</w:t>
      </w:r>
    </w:p>
    <w:p w14:paraId="6F2DAEAA" w14:textId="77777777" w:rsidR="00466309" w:rsidRPr="00507A31" w:rsidRDefault="00466309" w:rsidP="00507A31">
      <w:pPr>
        <w:jc w:val="both"/>
        <w:rPr>
          <w:color w:val="000000" w:themeColor="text1"/>
          <w:sz w:val="16"/>
          <w:szCs w:val="16"/>
        </w:rPr>
      </w:pPr>
      <w:r w:rsidRPr="00507A31">
        <w:rPr>
          <w:color w:val="000000" w:themeColor="text1"/>
          <w:sz w:val="16"/>
          <w:szCs w:val="16"/>
        </w:rPr>
        <w:t>По возвращении своем из заграницы летом этого года Л. К. РАМЗИН в присутствии В. И. ХУДЯКОВА у себя на квартире рассказывал мне, что интервенцию нужно считать решенной и в зависимости от положения дел внутри Союза она может состояться уже зимою [19]30/31 года.</w:t>
      </w:r>
    </w:p>
    <w:p w14:paraId="4692AE03" w14:textId="77777777" w:rsidR="00466309" w:rsidRPr="00507A31" w:rsidRDefault="00466309" w:rsidP="00507A31">
      <w:pPr>
        <w:jc w:val="both"/>
        <w:rPr>
          <w:color w:val="000000" w:themeColor="text1"/>
          <w:sz w:val="16"/>
          <w:szCs w:val="16"/>
        </w:rPr>
      </w:pPr>
      <w:r w:rsidRPr="00507A31">
        <w:rPr>
          <w:color w:val="000000" w:themeColor="text1"/>
          <w:sz w:val="16"/>
          <w:szCs w:val="16"/>
        </w:rPr>
        <w:t>ДЕНИСОВ, председатель Торгпрома, рассказывал ему, что сейчас идет процесс усиленной подготовки пограничных с Союзом государств и в первую очередь Полын[и]. Руководство всей этой работой ведет Франция, которая усиленно вооружает Польшу и Румынию.</w:t>
      </w:r>
    </w:p>
    <w:p w14:paraId="042A857B" w14:textId="77777777" w:rsidR="00466309" w:rsidRPr="00507A31" w:rsidRDefault="00466309" w:rsidP="00507A31">
      <w:pPr>
        <w:jc w:val="both"/>
        <w:rPr>
          <w:color w:val="000000" w:themeColor="text1"/>
          <w:sz w:val="16"/>
          <w:szCs w:val="16"/>
        </w:rPr>
      </w:pPr>
      <w:r w:rsidRPr="00507A31">
        <w:rPr>
          <w:color w:val="000000" w:themeColor="text1"/>
          <w:sz w:val="16"/>
          <w:szCs w:val="16"/>
        </w:rPr>
        <w:t>В основных чертах, намеченный план сводился к быстрой оккупации право Днепровья силами Польши и Румынии. С севера должна была двинуться Финляндия, Латвия и Эстония, а с Кавказа Англия.</w:t>
      </w:r>
    </w:p>
    <w:p w14:paraId="6E4F71BC" w14:textId="77777777" w:rsidR="00466309" w:rsidRPr="00507A31" w:rsidRDefault="00466309" w:rsidP="00507A31">
      <w:pPr>
        <w:jc w:val="both"/>
        <w:rPr>
          <w:color w:val="000000" w:themeColor="text1"/>
          <w:sz w:val="16"/>
          <w:szCs w:val="16"/>
        </w:rPr>
      </w:pPr>
      <w:r w:rsidRPr="00507A31">
        <w:rPr>
          <w:color w:val="000000" w:themeColor="text1"/>
          <w:sz w:val="16"/>
          <w:szCs w:val="16"/>
        </w:rPr>
        <w:t>К этому времени нужно было закончить все подготовительные работы по использованию недовольства, утомления масс, искусственно созданного и усиленного вредительской работой во всех отраслях народного хозяйства. К этому времени нужно было иметь наготове согласованные с организациями и партиями списки нового коалиционного правительства. Л. К. РАМЗИН говорил мне, что более подробные инструкции будут даны вредительскому инженерному центру Французской миссией в Москве, связь с которой прочно установлена.</w:t>
      </w:r>
    </w:p>
    <w:p w14:paraId="78CB2005" w14:textId="77777777" w:rsidR="00466309" w:rsidRPr="00507A31" w:rsidRDefault="00466309" w:rsidP="00507A31">
      <w:pPr>
        <w:jc w:val="both"/>
        <w:rPr>
          <w:color w:val="000000" w:themeColor="text1"/>
          <w:sz w:val="16"/>
          <w:szCs w:val="16"/>
        </w:rPr>
      </w:pPr>
      <w:r w:rsidRPr="00507A31">
        <w:rPr>
          <w:color w:val="000000" w:themeColor="text1"/>
          <w:sz w:val="16"/>
          <w:szCs w:val="16"/>
        </w:rPr>
        <w:t>III.</w:t>
      </w:r>
    </w:p>
    <w:p w14:paraId="23986138" w14:textId="77777777" w:rsidR="00466309" w:rsidRPr="00507A31" w:rsidRDefault="00466309" w:rsidP="00507A31">
      <w:pPr>
        <w:jc w:val="both"/>
        <w:rPr>
          <w:color w:val="000000" w:themeColor="text1"/>
          <w:sz w:val="16"/>
          <w:szCs w:val="16"/>
        </w:rPr>
      </w:pPr>
      <w:r w:rsidRPr="00507A31">
        <w:rPr>
          <w:color w:val="000000" w:themeColor="text1"/>
          <w:sz w:val="16"/>
          <w:szCs w:val="16"/>
        </w:rPr>
        <w:lastRenderedPageBreak/>
        <w:t>Иностранцы обжегшись на интервенции 1919-20 г., по словам Л. К. РАМЗИНА, ясно себе представляли, что полной реставрации и возвращения капиталистов и помещиков в свои фабрики и усадьбы, через 13 лет не может быть. Такой курс ни политически, ни экономически нереален, а технически, после коренной реконструкции всех фабрик и заводов и постройки ряда новых, неосуществим.</w:t>
      </w:r>
    </w:p>
    <w:p w14:paraId="27D66F7F" w14:textId="77777777" w:rsidR="00466309" w:rsidRPr="00507A31" w:rsidRDefault="00466309" w:rsidP="00507A31">
      <w:pPr>
        <w:jc w:val="both"/>
        <w:rPr>
          <w:color w:val="000000" w:themeColor="text1"/>
          <w:sz w:val="16"/>
          <w:szCs w:val="16"/>
        </w:rPr>
      </w:pPr>
      <w:r w:rsidRPr="00507A31">
        <w:rPr>
          <w:color w:val="000000" w:themeColor="text1"/>
          <w:sz w:val="16"/>
          <w:szCs w:val="16"/>
        </w:rPr>
        <w:t>Поэтому ставка на мелко-собственнические интересы крестьянства, оставление крупных отраслей промышленности и предприятий в руках государства, Советская система строя, но без диктатуры пролетариата, и вхождение в состав правительства представителей правого уклона компартии должн[ы] был[и], по их мнению, обеспечить успех и поддержку интервенции. Такая система государственного строя и его состав полностью обеспечил[и] бы интересы иностранцев, одновременно положив конец строительству социализма.</w:t>
      </w:r>
    </w:p>
    <w:p w14:paraId="68801FEB" w14:textId="77777777" w:rsidR="00466309" w:rsidRPr="00507A31" w:rsidRDefault="00466309" w:rsidP="00507A31">
      <w:pPr>
        <w:jc w:val="both"/>
        <w:rPr>
          <w:color w:val="000000" w:themeColor="text1"/>
          <w:sz w:val="16"/>
          <w:szCs w:val="16"/>
        </w:rPr>
      </w:pPr>
      <w:r w:rsidRPr="00507A31">
        <w:rPr>
          <w:color w:val="000000" w:themeColor="text1"/>
          <w:sz w:val="16"/>
          <w:szCs w:val="16"/>
        </w:rPr>
        <w:t>Записано под мою диктовку и мною прочитано:</w:t>
      </w:r>
    </w:p>
    <w:p w14:paraId="165570D6" w14:textId="77777777" w:rsidR="00466309" w:rsidRPr="00507A31" w:rsidRDefault="00466309" w:rsidP="00507A31">
      <w:pPr>
        <w:jc w:val="both"/>
        <w:rPr>
          <w:color w:val="000000" w:themeColor="text1"/>
          <w:sz w:val="16"/>
          <w:szCs w:val="16"/>
        </w:rPr>
      </w:pPr>
      <w:r w:rsidRPr="00507A31">
        <w:rPr>
          <w:color w:val="000000" w:themeColor="text1"/>
          <w:sz w:val="16"/>
          <w:szCs w:val="16"/>
        </w:rPr>
        <w:t>С. А. Предтеченский.</w:t>
      </w:r>
    </w:p>
    <w:p w14:paraId="66D67BE2" w14:textId="77777777" w:rsidR="00466309" w:rsidRPr="00507A31" w:rsidRDefault="00466309" w:rsidP="00507A31">
      <w:pPr>
        <w:jc w:val="both"/>
        <w:rPr>
          <w:color w:val="000000" w:themeColor="text1"/>
          <w:sz w:val="16"/>
          <w:szCs w:val="16"/>
        </w:rPr>
      </w:pPr>
      <w:r w:rsidRPr="00507A31">
        <w:rPr>
          <w:color w:val="000000" w:themeColor="text1"/>
          <w:sz w:val="16"/>
          <w:szCs w:val="16"/>
        </w:rPr>
        <w:t>ДОПРОСИЛИ: Пом. Нач. ЭКУ ОГПУ: (Молочников)</w:t>
      </w:r>
    </w:p>
    <w:p w14:paraId="4D5B8B81" w14:textId="77777777" w:rsidR="00466309" w:rsidRPr="00507A31" w:rsidRDefault="00466309" w:rsidP="00507A31">
      <w:pPr>
        <w:jc w:val="both"/>
        <w:rPr>
          <w:color w:val="000000" w:themeColor="text1"/>
          <w:sz w:val="16"/>
          <w:szCs w:val="16"/>
        </w:rPr>
      </w:pPr>
      <w:r w:rsidRPr="00507A31">
        <w:rPr>
          <w:color w:val="000000" w:themeColor="text1"/>
          <w:sz w:val="16"/>
          <w:szCs w:val="16"/>
        </w:rPr>
        <w:t>Пом. Нач. I Отделения] ЭКУ ОГПУ: (Ржавский)</w:t>
      </w:r>
    </w:p>
    <w:p w14:paraId="4C03BE1C" w14:textId="77777777" w:rsidR="00466309" w:rsidRPr="00507A31" w:rsidRDefault="00466309" w:rsidP="00507A31">
      <w:pPr>
        <w:jc w:val="both"/>
        <w:rPr>
          <w:color w:val="000000" w:themeColor="text1"/>
          <w:sz w:val="16"/>
          <w:szCs w:val="16"/>
        </w:rPr>
      </w:pPr>
      <w:r w:rsidRPr="00507A31">
        <w:rPr>
          <w:color w:val="000000" w:themeColor="text1"/>
          <w:sz w:val="16"/>
          <w:szCs w:val="16"/>
        </w:rPr>
        <w:t>Д.353.Л. 176-179. Машинописная копия того времени. На Л. 176 вверху делопроизводственные машинописные и рукописные пометы о перепечатке текста «об интервенции 3 стр.»; штамп о рассылке документа (дата и номер отсутствуют).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№353-17) (18419).</w:t>
      </w:r>
    </w:p>
    <w:p w14:paraId="46A127BD" w14:textId="77777777" w:rsidR="00466309" w:rsidRPr="00507A31" w:rsidRDefault="00466309" w:rsidP="00507A31">
      <w:pPr>
        <w:jc w:val="both"/>
        <w:rPr>
          <w:color w:val="000000" w:themeColor="text1"/>
          <w:sz w:val="16"/>
          <w:szCs w:val="16"/>
        </w:rPr>
      </w:pPr>
    </w:p>
    <w:p w14:paraId="2F7E6942"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1F98DC86" w14:textId="77777777" w:rsidR="00466309" w:rsidRPr="00507A31" w:rsidRDefault="00466309" w:rsidP="00507A31">
      <w:pPr>
        <w:jc w:val="both"/>
        <w:rPr>
          <w:color w:val="000000" w:themeColor="text1"/>
          <w:sz w:val="16"/>
          <w:szCs w:val="16"/>
        </w:rPr>
      </w:pPr>
      <w:r w:rsidRPr="00507A31">
        <w:rPr>
          <w:color w:val="000000" w:themeColor="text1"/>
          <w:sz w:val="16"/>
          <w:szCs w:val="16"/>
        </w:rPr>
        <w:t>Показания Д. М. Михаленко о «вредительстве» в области водного хозяйства и деятельности «контр-революционных организаций» специалистов по подготовке интервенции в СССР. 11 октября 1930 г.</w:t>
      </w:r>
    </w:p>
    <w:p w14:paraId="4650C876" w14:textId="77777777" w:rsidR="00466309" w:rsidRPr="00507A31" w:rsidRDefault="00466309" w:rsidP="00507A31">
      <w:pPr>
        <w:jc w:val="both"/>
        <w:rPr>
          <w:color w:val="000000" w:themeColor="text1"/>
          <w:sz w:val="16"/>
          <w:szCs w:val="16"/>
        </w:rPr>
      </w:pPr>
      <w:r w:rsidRPr="00507A31">
        <w:rPr>
          <w:color w:val="000000" w:themeColor="text1"/>
          <w:sz w:val="16"/>
          <w:szCs w:val="16"/>
        </w:rPr>
        <w:t>Источник: </w:t>
      </w:r>
    </w:p>
    <w:p w14:paraId="24273128" w14:textId="77777777" w:rsidR="00466309" w:rsidRPr="00507A31" w:rsidRDefault="0046630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95A0A7"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1D40E755" w14:textId="77777777" w:rsidR="00466309" w:rsidRPr="00507A31" w:rsidRDefault="00466309" w:rsidP="00507A31">
      <w:pPr>
        <w:jc w:val="both"/>
        <w:rPr>
          <w:color w:val="000000" w:themeColor="text1"/>
          <w:sz w:val="16"/>
          <w:szCs w:val="16"/>
        </w:rPr>
      </w:pPr>
      <w:r w:rsidRPr="00507A31">
        <w:rPr>
          <w:color w:val="000000" w:themeColor="text1"/>
          <w:sz w:val="16"/>
          <w:szCs w:val="16"/>
        </w:rPr>
        <w:t>[Секретно]</w:t>
      </w:r>
    </w:p>
    <w:p w14:paraId="5DF7785A" w14:textId="77777777" w:rsidR="00466309" w:rsidRPr="00507A31" w:rsidRDefault="00466309" w:rsidP="00507A31">
      <w:pPr>
        <w:jc w:val="both"/>
        <w:rPr>
          <w:color w:val="000000" w:themeColor="text1"/>
          <w:sz w:val="16"/>
          <w:szCs w:val="16"/>
        </w:rPr>
      </w:pPr>
      <w:r w:rsidRPr="00507A31">
        <w:rPr>
          <w:color w:val="000000" w:themeColor="text1"/>
          <w:sz w:val="16"/>
          <w:szCs w:val="16"/>
        </w:rPr>
        <w:t>ПОКАЗАНИЯ МИХАЛЕНКО Д. М. от 11/Х-1930 г.</w:t>
      </w:r>
    </w:p>
    <w:p w14:paraId="79D0F1AE" w14:textId="77777777" w:rsidR="00466309" w:rsidRPr="00507A31" w:rsidRDefault="00466309" w:rsidP="00507A31">
      <w:pPr>
        <w:jc w:val="both"/>
        <w:rPr>
          <w:color w:val="000000" w:themeColor="text1"/>
          <w:sz w:val="16"/>
          <w:szCs w:val="16"/>
        </w:rPr>
      </w:pPr>
      <w:r w:rsidRPr="00507A31">
        <w:rPr>
          <w:color w:val="000000" w:themeColor="text1"/>
          <w:sz w:val="16"/>
          <w:szCs w:val="16"/>
        </w:rPr>
        <w:t>ДОПРОШЕННОГО СТАРШИМ УПОЛНОМОЧЕННЫМ</w:t>
      </w:r>
    </w:p>
    <w:p w14:paraId="5FD48A02" w14:textId="77777777" w:rsidR="00466309" w:rsidRPr="00507A31" w:rsidRDefault="00466309" w:rsidP="00507A31">
      <w:pPr>
        <w:jc w:val="both"/>
        <w:rPr>
          <w:color w:val="000000" w:themeColor="text1"/>
          <w:sz w:val="16"/>
          <w:szCs w:val="16"/>
        </w:rPr>
      </w:pPr>
      <w:r w:rsidRPr="00507A31">
        <w:rPr>
          <w:color w:val="000000" w:themeColor="text1"/>
          <w:sz w:val="16"/>
          <w:szCs w:val="16"/>
        </w:rPr>
        <w:t>3 ОТДЕЛЕНИЯ ЭКУ ОГПУ ЗАЗОВСКИМ.</w:t>
      </w:r>
    </w:p>
    <w:p w14:paraId="77BF5AD8" w14:textId="77777777" w:rsidR="00466309" w:rsidRPr="00507A31" w:rsidRDefault="00466309" w:rsidP="00507A31">
      <w:pPr>
        <w:jc w:val="both"/>
        <w:rPr>
          <w:color w:val="000000" w:themeColor="text1"/>
          <w:sz w:val="16"/>
          <w:szCs w:val="16"/>
        </w:rPr>
      </w:pPr>
      <w:r w:rsidRPr="00507A31">
        <w:rPr>
          <w:color w:val="000000" w:themeColor="text1"/>
          <w:sz w:val="16"/>
          <w:szCs w:val="16"/>
        </w:rPr>
        <w:t>ВОЕННАЯ ОРГАНИЗАЦИЯ И ИНТЕРВЕНЦИЯ В СССР.</w:t>
      </w:r>
    </w:p>
    <w:p w14:paraId="030D14CC" w14:textId="77777777" w:rsidR="00466309" w:rsidRPr="00507A31" w:rsidRDefault="00466309" w:rsidP="00507A31">
      <w:pPr>
        <w:jc w:val="both"/>
        <w:rPr>
          <w:color w:val="000000" w:themeColor="text1"/>
          <w:sz w:val="16"/>
          <w:szCs w:val="16"/>
        </w:rPr>
      </w:pPr>
      <w:r w:rsidRPr="00507A31">
        <w:rPr>
          <w:color w:val="000000" w:themeColor="text1"/>
          <w:sz w:val="16"/>
          <w:szCs w:val="16"/>
        </w:rPr>
        <w:t>К.-р. организация по водному х[озяйст]ву, ставя своей прямой и непосредственной задачей экономическое вредительство путем создания нецелесообразных и нерентабельных объектов работ, в то же время выполняла задания и в области подготовки интервенции, участвуя таким образом в совокупности мероприятий по подрыву и свержению советского строя. В этой деятельности она состояла в контакте с общесоюзным центром вредительских организаций, образовавшемся в Госплане СССР. Этот центр давал общие директивы, находившие соответствующее отражение в направлении хозяйства, ведущем к искажению его целей и интересов в ущерб советскому государству, а также к созданию благоприятных условий для победы интервентов.</w:t>
      </w:r>
    </w:p>
    <w:p w14:paraId="27E38132" w14:textId="77777777" w:rsidR="00466309" w:rsidRPr="00507A31" w:rsidRDefault="00466309" w:rsidP="00507A31">
      <w:pPr>
        <w:jc w:val="both"/>
        <w:rPr>
          <w:color w:val="000000" w:themeColor="text1"/>
          <w:sz w:val="16"/>
          <w:szCs w:val="16"/>
        </w:rPr>
      </w:pPr>
      <w:r w:rsidRPr="00507A31">
        <w:rPr>
          <w:color w:val="000000" w:themeColor="text1"/>
          <w:sz w:val="16"/>
          <w:szCs w:val="16"/>
        </w:rPr>
        <w:t>Об организации подготовки войны я не располагаю систематизированными данными, которые дали бы мне возможность полностью и всесторонне ее обрисовать; в этом отношении свои показания я могу строить на тех отрывочных сведениях, которые я получал из разговоров со своими товарищами по организации.</w:t>
      </w:r>
    </w:p>
    <w:p w14:paraId="5DE01FA6" w14:textId="77777777" w:rsidR="00466309" w:rsidRPr="00507A31" w:rsidRDefault="00466309" w:rsidP="00507A31">
      <w:pPr>
        <w:jc w:val="both"/>
        <w:rPr>
          <w:color w:val="000000" w:themeColor="text1"/>
          <w:sz w:val="16"/>
          <w:szCs w:val="16"/>
        </w:rPr>
      </w:pPr>
      <w:r w:rsidRPr="00507A31">
        <w:rPr>
          <w:color w:val="000000" w:themeColor="text1"/>
          <w:sz w:val="16"/>
          <w:szCs w:val="16"/>
        </w:rPr>
        <w:t>Еще в бытность мою на службе в НКЗеме, приблизительно в начале 1927 года, во время вечеринки у Спарро зашел разговор о способах, которыми может быть уничтожена большевистская власть. Присутствовали, кроме меня, еще БРОНГУЛЕЕВ, МАТТИСЕН, СОЛОВЬЕВ и КРИВОБОКОВ. Последний, ссылаясь на сведения, полученные им из госплановских и НКПСовских кругов, рассказывал нам о планах будущей войны, которые рисуются в следующих основных чертах: в результате фашизации пограничных с СССР государств Зап[адной] Европы (прибалтийские лимитрофы, Польша и Румыния), их правительства, снабженные материалами и инструктажем со стороны Франции и Англии, выступают объединен[н]о против СССР с е[го] западной границы, причем войска прибалтийских государств будут иметь своей целью овладение районом Ленинграда и Карелией, Польша направляет свой удар на Москву и Киев, а Румыния — на южную Украину и Крым. С моря им оказывает поддержку англо-французский флот, который производит десанты в Крыму, на Кубани и в Грузии. Английские войска со стороны Ирака продвигаются на Азербайджан, а со стороны Афганистана — на Среднеазиатские республики. Наконец, на Дальнем Востоке японо-манчжурские войска овладевают Приморским краем. Эти операции производятся под командованием англо-французского военного штаба, по единому, согласованному плану. В этот же план входит организация восстаний и др. видов содействия интервентам внутри СССР, как то: расстройство транспорта, промышленности и снабжения. Этим путем предполагается коротким ударом парализовать действие Красной Армии и принудить Советскую власть к капитуляции. Срок для этого намечается — осень 1928 г.</w:t>
      </w:r>
    </w:p>
    <w:p w14:paraId="7A2B14E5" w14:textId="77777777" w:rsidR="00466309" w:rsidRPr="00507A31" w:rsidRDefault="00466309" w:rsidP="00507A31">
      <w:pPr>
        <w:jc w:val="both"/>
        <w:rPr>
          <w:color w:val="000000" w:themeColor="text1"/>
          <w:sz w:val="16"/>
          <w:szCs w:val="16"/>
        </w:rPr>
      </w:pPr>
      <w:r w:rsidRPr="00507A31">
        <w:rPr>
          <w:color w:val="000000" w:themeColor="text1"/>
          <w:sz w:val="16"/>
          <w:szCs w:val="16"/>
        </w:rPr>
        <w:t>Спарро к этому добавил уже ранее известное большинству из присутствующих о роли мелиоративных работ в приграничной полосе для осушения болот, в целях облегчения вторжения в пределы СССР неприятельских войск, что входит в общий план содействия интервенции. В этой части программа работ разрабатывается, по словам Спарро, в секции водного хозяйства в лице Кенича, Ризенкампфа и Цейдлера, которые, в свою очередь, получают директивы от центральной группы в Госплане, во главе которой стоит Громан.</w:t>
      </w:r>
    </w:p>
    <w:p w14:paraId="61CD7D1D" w14:textId="77777777" w:rsidR="00466309" w:rsidRPr="00507A31" w:rsidRDefault="00466309" w:rsidP="00507A31">
      <w:pPr>
        <w:jc w:val="both"/>
        <w:rPr>
          <w:color w:val="000000" w:themeColor="text1"/>
          <w:sz w:val="16"/>
          <w:szCs w:val="16"/>
        </w:rPr>
      </w:pPr>
      <w:r w:rsidRPr="00507A31">
        <w:rPr>
          <w:color w:val="000000" w:themeColor="text1"/>
          <w:sz w:val="16"/>
          <w:szCs w:val="16"/>
        </w:rPr>
        <w:t>Других фамилий при этом Спарро не называл; по крайней мере, в моей памяти они решительно не сохранились.</w:t>
      </w:r>
    </w:p>
    <w:p w14:paraId="2345BF58" w14:textId="77777777" w:rsidR="00466309" w:rsidRPr="00507A31" w:rsidRDefault="00466309" w:rsidP="00507A31">
      <w:pPr>
        <w:jc w:val="both"/>
        <w:rPr>
          <w:color w:val="000000" w:themeColor="text1"/>
          <w:sz w:val="16"/>
          <w:szCs w:val="16"/>
        </w:rPr>
      </w:pPr>
      <w:r w:rsidRPr="00507A31">
        <w:rPr>
          <w:color w:val="000000" w:themeColor="text1"/>
          <w:sz w:val="16"/>
          <w:szCs w:val="16"/>
        </w:rPr>
        <w:t>Разговор на эту тему я возобновил с Прозоровым, который был в тесном контакте с Госпланом и был в курсе всех вопросов, занимавших его работников, как в официальной, так и закулисной части. Здесь моя информация пополнилась некоторыми деталями о практической деятельности тех организаций, которые непосредственно ведут подготовку к интервенции. Я узнал, что:</w:t>
      </w:r>
    </w:p>
    <w:p w14:paraId="45CA4578" w14:textId="77777777" w:rsidR="00466309" w:rsidRPr="00507A31" w:rsidRDefault="00466309" w:rsidP="00507A31">
      <w:pPr>
        <w:jc w:val="both"/>
        <w:rPr>
          <w:color w:val="000000" w:themeColor="text1"/>
          <w:sz w:val="16"/>
          <w:szCs w:val="16"/>
        </w:rPr>
      </w:pPr>
      <w:r w:rsidRPr="00507A31">
        <w:rPr>
          <w:color w:val="000000" w:themeColor="text1"/>
          <w:sz w:val="16"/>
          <w:szCs w:val="16"/>
        </w:rPr>
        <w:t>1) деятельность центральной вредительской организации в Госплане охватывает все отрасли народного хозяйства и проходит в связи и по указаниям заграничной группы б. собственников «Торгпром» (Рябушинский, Нобель и др.);</w:t>
      </w:r>
    </w:p>
    <w:p w14:paraId="7BD7F6C4" w14:textId="77777777" w:rsidR="00466309" w:rsidRPr="00507A31" w:rsidRDefault="00466309" w:rsidP="00507A31">
      <w:pPr>
        <w:jc w:val="both"/>
        <w:rPr>
          <w:color w:val="000000" w:themeColor="text1"/>
          <w:sz w:val="16"/>
          <w:szCs w:val="16"/>
        </w:rPr>
      </w:pPr>
      <w:r w:rsidRPr="00507A31">
        <w:rPr>
          <w:color w:val="000000" w:themeColor="text1"/>
          <w:sz w:val="16"/>
          <w:szCs w:val="16"/>
        </w:rPr>
        <w:t>2) этот же самый Торгпром служит посредником между английским и французским военными штабами — с одной стороны[,] и тем ответвлением Госплановской центральной вредительской организации, которое ведет подготовку интервенции — с другой; он же и финансирует все вредительские организации;</w:t>
      </w:r>
    </w:p>
    <w:p w14:paraId="2722A5CE" w14:textId="77777777" w:rsidR="00466309" w:rsidRPr="00507A31" w:rsidRDefault="00466309" w:rsidP="00507A31">
      <w:pPr>
        <w:jc w:val="both"/>
        <w:rPr>
          <w:color w:val="000000" w:themeColor="text1"/>
          <w:sz w:val="16"/>
          <w:szCs w:val="16"/>
        </w:rPr>
      </w:pPr>
      <w:r w:rsidRPr="00507A31">
        <w:rPr>
          <w:color w:val="000000" w:themeColor="text1"/>
          <w:sz w:val="16"/>
          <w:szCs w:val="16"/>
        </w:rPr>
        <w:t>3) ядро военной организации состоит как из бывших военных, работающих на гражданской службе, так и настоящих военно-служащих, объединяемых общими антисоветскими убеждениями, и является будущим внутренним военным штабом в случае войны, действующим по директивам, получаемым через Торгпром из заграницы. (Прозоров, ввиду сугубой конфиденциальности сообщаемых им сведений, полученных им под большим секретом от Цейдлера, никаких именно участников этого «штаба» не упоминал, почему я и не могу их здесь привести);</w:t>
      </w:r>
    </w:p>
    <w:p w14:paraId="773F9930" w14:textId="77777777" w:rsidR="00466309" w:rsidRPr="00507A31" w:rsidRDefault="00466309" w:rsidP="00507A31">
      <w:pPr>
        <w:jc w:val="both"/>
        <w:rPr>
          <w:color w:val="000000" w:themeColor="text1"/>
          <w:sz w:val="16"/>
          <w:szCs w:val="16"/>
        </w:rPr>
      </w:pPr>
      <w:r w:rsidRPr="00507A31">
        <w:rPr>
          <w:color w:val="000000" w:themeColor="text1"/>
          <w:sz w:val="16"/>
          <w:szCs w:val="16"/>
        </w:rPr>
        <w:t>4) основными предметами деятельности «штаба» являются:</w:t>
      </w:r>
    </w:p>
    <w:p w14:paraId="5DE4BFF8" w14:textId="77777777" w:rsidR="00466309" w:rsidRPr="00507A31" w:rsidRDefault="00466309" w:rsidP="00507A31">
      <w:pPr>
        <w:jc w:val="both"/>
        <w:rPr>
          <w:color w:val="000000" w:themeColor="text1"/>
          <w:sz w:val="16"/>
          <w:szCs w:val="16"/>
        </w:rPr>
      </w:pPr>
      <w:r w:rsidRPr="00507A31">
        <w:rPr>
          <w:color w:val="000000" w:themeColor="text1"/>
          <w:sz w:val="16"/>
          <w:szCs w:val="16"/>
        </w:rPr>
        <w:t>а) организация военного шпионажа путем окружения комсостава антисоветскими элементами, незаметно выпытывающими у них необходимые военные сведения и тайны; с особым успехом здесь действуют женщины, с которыми доверчивые краскомы входят в более или менее прочную связь, разлагающую их как в моральном, так и в служебном отношениях; подбор и инструктирование таких женщин входит в задачу «штаба» и его местных филиалов; немаловажную роль также будет играть использование новейших землеустроительных и инженерных съемок, планы которых, неохраняемые специальными запретами, легко доступны для копирования и передачи соответствующими штабами;</w:t>
      </w:r>
    </w:p>
    <w:p w14:paraId="2BA57EE9" w14:textId="77777777" w:rsidR="00466309" w:rsidRPr="00507A31" w:rsidRDefault="00466309" w:rsidP="00507A31">
      <w:pPr>
        <w:jc w:val="both"/>
        <w:rPr>
          <w:color w:val="000000" w:themeColor="text1"/>
          <w:sz w:val="16"/>
          <w:szCs w:val="16"/>
        </w:rPr>
      </w:pPr>
      <w:r w:rsidRPr="00507A31">
        <w:rPr>
          <w:color w:val="000000" w:themeColor="text1"/>
          <w:sz w:val="16"/>
          <w:szCs w:val="16"/>
        </w:rPr>
        <w:t>б) выбор наиболее ответственных пунктов, играющих роль в обороне СССР, для производства диверсионных актов (уничтожение мостов, водокачек, станций, заводов, складов); здесь главной задачей организации было привлечение людей, способных в нужный момент выполнить возложенное на них задание, и они комплектовались, напр., из бывших рабочих и служащих данного предприятия, оставшихся недовольными увольнением или по др. причинам;</w:t>
      </w:r>
    </w:p>
    <w:p w14:paraId="0702871E" w14:textId="77777777" w:rsidR="00466309" w:rsidRPr="00507A31" w:rsidRDefault="00466309" w:rsidP="00507A31">
      <w:pPr>
        <w:jc w:val="both"/>
        <w:rPr>
          <w:color w:val="000000" w:themeColor="text1"/>
          <w:sz w:val="16"/>
          <w:szCs w:val="16"/>
        </w:rPr>
      </w:pPr>
      <w:r w:rsidRPr="00507A31">
        <w:rPr>
          <w:color w:val="000000" w:themeColor="text1"/>
          <w:sz w:val="16"/>
          <w:szCs w:val="16"/>
        </w:rPr>
        <w:t>в) создание агентуры среди антисоветских элементов (кулаки, торговцы, б. люди) для будирования и углубления недовольства советской властью в среде несознательного населения, из которого можно было бы черпать повстанческие кадры в случае войны или хотя бы создавать организованные группы, способные противодействовать советским органам в их мероприятиях в наиболее острые моменты;</w:t>
      </w:r>
    </w:p>
    <w:p w14:paraId="07062E8B" w14:textId="77777777" w:rsidR="00466309" w:rsidRPr="00507A31" w:rsidRDefault="00466309" w:rsidP="00507A31">
      <w:pPr>
        <w:jc w:val="both"/>
        <w:rPr>
          <w:color w:val="000000" w:themeColor="text1"/>
          <w:sz w:val="16"/>
          <w:szCs w:val="16"/>
        </w:rPr>
      </w:pPr>
      <w:r w:rsidRPr="00507A31">
        <w:rPr>
          <w:color w:val="000000" w:themeColor="text1"/>
          <w:sz w:val="16"/>
          <w:szCs w:val="16"/>
        </w:rPr>
        <w:t>г) выявление лиц, которых можно было бы использовать для комплектования внутри страны антисоветских боевых отрядов в период развития внешних военных действий; наиболее подходящим материалом считаются для этого: вычищенные служащие, лишенцы, раскулаченные, б. белогвардейцы и т. п.;</w:t>
      </w:r>
    </w:p>
    <w:p w14:paraId="13343728" w14:textId="77777777" w:rsidR="00466309" w:rsidRPr="00507A31" w:rsidRDefault="00466309" w:rsidP="00507A31">
      <w:pPr>
        <w:jc w:val="both"/>
        <w:rPr>
          <w:color w:val="000000" w:themeColor="text1"/>
          <w:sz w:val="16"/>
          <w:szCs w:val="16"/>
        </w:rPr>
      </w:pPr>
      <w:r w:rsidRPr="00507A31">
        <w:rPr>
          <w:color w:val="000000" w:themeColor="text1"/>
          <w:sz w:val="16"/>
          <w:szCs w:val="16"/>
        </w:rPr>
        <w:t>д) разложение частей Красной Армии путем воздействия в антисоветском духе на к[расноармей]цев через письма родных и др. способами;</w:t>
      </w:r>
    </w:p>
    <w:p w14:paraId="5534B6E6" w14:textId="77777777" w:rsidR="00466309" w:rsidRPr="00507A31" w:rsidRDefault="00466309" w:rsidP="00507A31">
      <w:pPr>
        <w:jc w:val="both"/>
        <w:rPr>
          <w:color w:val="000000" w:themeColor="text1"/>
          <w:sz w:val="16"/>
          <w:szCs w:val="16"/>
        </w:rPr>
      </w:pPr>
      <w:r w:rsidRPr="00507A31">
        <w:rPr>
          <w:color w:val="000000" w:themeColor="text1"/>
          <w:sz w:val="16"/>
          <w:szCs w:val="16"/>
        </w:rPr>
        <w:t>е) распределение по стране запасов продовольствия, военных материалов, транспортных средств и др. предметов, играющих роль в деле обороны, таким образом, чтобы они в нужный момент не могли быть использованы в интересах советской власти, но в то же время явились бы на пользу ее врагам;</w:t>
      </w:r>
    </w:p>
    <w:p w14:paraId="62596653" w14:textId="77777777" w:rsidR="00466309" w:rsidRPr="00507A31" w:rsidRDefault="00466309" w:rsidP="00507A31">
      <w:pPr>
        <w:jc w:val="both"/>
        <w:rPr>
          <w:color w:val="000000" w:themeColor="text1"/>
          <w:sz w:val="16"/>
          <w:szCs w:val="16"/>
        </w:rPr>
      </w:pPr>
      <w:r w:rsidRPr="00507A31">
        <w:rPr>
          <w:color w:val="000000" w:themeColor="text1"/>
          <w:sz w:val="16"/>
          <w:szCs w:val="16"/>
        </w:rPr>
        <w:t>ж) постановка производства на заводах, имеющих военное значение, с таким расчетом, чтобы в период, когда потребуется их наивысшая продуктивность, они оказались неспособными удовлетворить нуждам обороны СССР.</w:t>
      </w:r>
    </w:p>
    <w:p w14:paraId="1AB77704" w14:textId="77777777" w:rsidR="00466309" w:rsidRPr="00507A31" w:rsidRDefault="00466309" w:rsidP="00507A31">
      <w:pPr>
        <w:jc w:val="both"/>
        <w:rPr>
          <w:color w:val="000000" w:themeColor="text1"/>
          <w:sz w:val="16"/>
          <w:szCs w:val="16"/>
        </w:rPr>
      </w:pPr>
      <w:r w:rsidRPr="00507A31">
        <w:rPr>
          <w:color w:val="000000" w:themeColor="text1"/>
          <w:sz w:val="16"/>
          <w:szCs w:val="16"/>
        </w:rPr>
        <w:t xml:space="preserve">Чтобы быть точным, я должен отметить, что вышеизложенная сводка, в которой я попытался в сжатой форме описать деятельность вредительской организации в области военного дела, как я ее воспринял, явилась результатом не одного только разговора с Прозоровым. К этой теме мы с ним возвращались несколько (2-3) раз, и в обсуждении ее, происходившем в стенах НКЗ, принимали тогда участие и БРОНГУЛЕЕВ[,] и СПАРРО, и КРИВОБОКОВ и др. сослуживцы, посвященные во вредительские дела. Сейчас я затрудняюсь расчленить из вышеизложенного, кто что именно сказал, но утверждаю, что в основном программа была описана </w:t>
      </w:r>
      <w:r w:rsidRPr="00507A31">
        <w:rPr>
          <w:color w:val="000000" w:themeColor="text1"/>
          <w:sz w:val="16"/>
          <w:szCs w:val="16"/>
        </w:rPr>
        <w:lastRenderedPageBreak/>
        <w:t>Прозоровым со слов Цейдлера. Отдельных конкретных фактов деятельности военной организации Прозоров не приводил, так как разговоры велись в общем виде, и частности имели место только в отношении проведения мелиоративных работ военно-вредительского значения. Мне неизвестно, принимал ли он сам или кто-либо из членов нашей организации непосредственное участие в осуществлении тех задач, которые мною изложены выше; по крайней мере, никто из них мне в этом не признавался.</w:t>
      </w:r>
    </w:p>
    <w:p w14:paraId="0B5D8768" w14:textId="77777777" w:rsidR="00466309" w:rsidRPr="00507A31" w:rsidRDefault="00466309" w:rsidP="00507A31">
      <w:pPr>
        <w:jc w:val="both"/>
        <w:rPr>
          <w:color w:val="000000" w:themeColor="text1"/>
          <w:sz w:val="16"/>
          <w:szCs w:val="16"/>
        </w:rPr>
      </w:pPr>
      <w:r w:rsidRPr="00507A31">
        <w:rPr>
          <w:color w:val="000000" w:themeColor="text1"/>
          <w:sz w:val="16"/>
          <w:szCs w:val="16"/>
        </w:rPr>
        <w:t>Выехав из Москвы летом 1927 г., я отстал от тех вопросов, которые ставились в области подготовки интервенции в среде мелиораторов. Мимолетные встречи во Владикавказе со Спарро (май 1928 г.) и Прозоровым (декабрь 1928 г.) не дали мне в этом отношении ничего нового, с этими вопросами я вплотную столкнулся лишь летом 1929 г., когда Скорняков открыл мне сущность тех заданий, которые выпадают на возглавлявшийся тогда мною Плавстрой, и которые изложены в особом &lt;показании&gt;. За это время изменились сроки ожидаемой интервенции; вместо осени 1928 г. она намечалась на осень 1930 г.</w:t>
      </w:r>
    </w:p>
    <w:p w14:paraId="1E20680A" w14:textId="77777777" w:rsidR="00466309" w:rsidRPr="00507A31" w:rsidRDefault="00466309" w:rsidP="00507A31">
      <w:pPr>
        <w:jc w:val="both"/>
        <w:rPr>
          <w:color w:val="000000" w:themeColor="text1"/>
          <w:sz w:val="16"/>
          <w:szCs w:val="16"/>
        </w:rPr>
      </w:pPr>
      <w:r w:rsidRPr="00507A31">
        <w:rPr>
          <w:color w:val="000000" w:themeColor="text1"/>
          <w:sz w:val="16"/>
          <w:szCs w:val="16"/>
        </w:rPr>
        <w:t>Кроме того, за это время у меня были беседы по поводу предстоящей интервенции с сев[еро]-кавказскими мелиораторами, тоже входившими в нашу к.-р. организацию. Видаясь весною 1928 г. с Елишевым во Владикавказе, я затронул эту тему, зная его как природного донского казака, отражающего в себе местные настроения. Елишев с большой резкостью заявил о том, что-де Дон только ждет сигнала о восстании, что между казаками идут разговоры об организации отрядов, о снабжениях их оружием и т. п., чтобы выступить против Советской власти во время открытия внешних военных действий. Казачье население с нетерпением ожидает возвращения своих земляков из эмиграции, где те готовят отряды для «избавления от большевиков» казачьих земель; по этому поводу ведутся между ними оживленные нелегальные сношения. По станицам образуются ячейки будущих боевых единиц, собирается для них оружие и припасы, намечаются кандидаты на командные должности и разрабатываются планы военных операций в ближайших районах. В орбиту этой деятельности вовлекаются и т. [н.] «иногородние», почему-либо недовольные советской властью; среди них исподволь ведется пропаганда идей казачьей автономии, на принципах воссоздания земельной собственности по известным нормам. Стратегической задачей Дона, по словам Елишева, является — с одной стороны — оказание поддержки десанту интервентов на Кубани, с другой — овладение Донбассом и выведение его из строя хозяйственной жизни страны или хотя бы частичное расстройство его отдельными партизанскими нападениями и деморализацией рабочего населения. Одновременно Донская «Вандея» должна послужить заслоном от частей Красной Армии, движущихся с севера на выручку Кавказа, всемерно препятствуя использованию ими средств сообщения как по железным дорогам, так и по групповым путям — на всем протяжении от Азовского моря до Волги. При том однако Елишев жаловался на репрессии по отношению к казачеству, которое сильно ослаблено и дезорганизовано ими настолько, что само оно не в состоянии будет с успехом бороться с большевиками, и вся надежда на поддержку прочего, не-казачьего населения, достаточно, по мнению Елишева, раздраженного политикой сов. власти в области хлебозаготовок и т. п.</w:t>
      </w:r>
    </w:p>
    <w:p w14:paraId="5C441781" w14:textId="77777777" w:rsidR="00466309" w:rsidRPr="00507A31" w:rsidRDefault="00466309" w:rsidP="00507A31">
      <w:pPr>
        <w:jc w:val="both"/>
        <w:rPr>
          <w:color w:val="000000" w:themeColor="text1"/>
          <w:sz w:val="16"/>
          <w:szCs w:val="16"/>
        </w:rPr>
      </w:pPr>
      <w:r w:rsidRPr="00507A31">
        <w:rPr>
          <w:color w:val="000000" w:themeColor="text1"/>
          <w:sz w:val="16"/>
          <w:szCs w:val="16"/>
        </w:rPr>
        <w:t>Далее Елишев рассказывал, что, работая по изысканиям Закубанских плавень и затем на Терских каналах, он входил в общение с местными деятелями Кубанского и Терского казачеств, поддерживая взаимную информацию о ходе подготовки к восстанию, о настроениях, о степени бдительности властей в тех или иных районах и т. п. и служа так[им] образом посредником в объединении к.-р. деятельности кавказских казачеств: донского, кубанского и терского. Эта же «работа» велась им и при инспекторских поездках по Сев[ерному] Кавказу, в бытность его работником Сев[еро]-Кавказ[ского] КрайЗУ.</w:t>
      </w:r>
    </w:p>
    <w:p w14:paraId="3B46A1D4" w14:textId="77777777" w:rsidR="00466309" w:rsidRPr="00507A31" w:rsidRDefault="00466309" w:rsidP="00507A31">
      <w:pPr>
        <w:jc w:val="both"/>
        <w:rPr>
          <w:color w:val="000000" w:themeColor="text1"/>
          <w:sz w:val="16"/>
          <w:szCs w:val="16"/>
        </w:rPr>
      </w:pPr>
      <w:r w:rsidRPr="00507A31">
        <w:rPr>
          <w:color w:val="000000" w:themeColor="text1"/>
          <w:sz w:val="16"/>
          <w:szCs w:val="16"/>
        </w:rPr>
        <w:t>Подобным же делом занимался и КАЛИМАНОВ. Будучи сыном станичного атамана, он сильнее Елишева был насыщен казачьими традициями и считал, что Дон в настоящее время находится под «большевистской оккупацией», которая не может продолжаться долго, ввиду специфических особенностей бытового и хозяйственного уклада казачества, благодаря которым оно не примирится с советским режимом, опрокидывающим все, чем жило до этого казачество, и оно воспользуется первым же замешательством советского строя, чтобы вернуть себе прежние права и льготы. Калиманов рассказывал о том, что он играл некоторую роль в правительстве Краснова (эпоха «всевеликого войска Донского») и надеется еще послужить казачьему делу, заняв какой-нибудь пост в будущем донском правительстве; он говорил о своем авторитете в казачьей среде, о поддерживаемых им связях с отдельными казачьими деятелями как внутри СССР, так и заграницей и об участии своем в разработке планов «воскрешения казачества». Никаких имен Калиманов так же, как и Елишев, мне не называл; разговоры эти происходили раза 2-3 во время совместных служебных поездок по работам Алханчуртского строительства. Калиманов упоминал еще о некоторых своих встречах с представителями Терского Казачьего «движения» во Владикавказе, чем он поддерживал контакт между своими донцами и терцами, в целях взаимного осведомления и инструктирования по вопросам подготовки к совместным повстанческим действиям. Калиманов вполне уверенно говорил о предстоящем успехе этих последних ввиду тщательной и всесторонней подготовке к ним.</w:t>
      </w:r>
    </w:p>
    <w:p w14:paraId="1FBB266C" w14:textId="77777777" w:rsidR="00466309" w:rsidRPr="00507A31" w:rsidRDefault="00466309" w:rsidP="00507A31">
      <w:pPr>
        <w:jc w:val="both"/>
        <w:rPr>
          <w:color w:val="000000" w:themeColor="text1"/>
          <w:sz w:val="16"/>
          <w:szCs w:val="16"/>
        </w:rPr>
      </w:pPr>
      <w:r w:rsidRPr="00507A31">
        <w:rPr>
          <w:color w:val="000000" w:themeColor="text1"/>
          <w:sz w:val="16"/>
          <w:szCs w:val="16"/>
        </w:rPr>
        <w:t>Д. 353. Л. 183-190. Машинописная копия того времени. На Л. 183 вверху делопроизводственные машинописные и рукописные пометы о перепечатке текста «об интервенции стр. 6», штамп о рассылке документа (номер и дата отсутствуют). На Л. 157 — сопроводительное письмо от 18 октября 1930 г. (№ П954) об отправке членам и кандидатам в члены ЦК и членам ЦКК В КП (б) показаний Ларичева, Аккермана, Покровского, Ефремова, Предтеченского, Нольде, Михаленко, Иванова, Неандера и Федотова (см. легенду к док. № 353-17) (18418).</w:t>
      </w:r>
    </w:p>
    <w:p w14:paraId="69BDBFFE" w14:textId="77777777" w:rsidR="00466309" w:rsidRPr="00507A31" w:rsidRDefault="00466309" w:rsidP="00507A31">
      <w:pPr>
        <w:jc w:val="both"/>
        <w:rPr>
          <w:color w:val="000000" w:themeColor="text1"/>
          <w:sz w:val="16"/>
          <w:szCs w:val="16"/>
        </w:rPr>
      </w:pPr>
    </w:p>
    <w:p w14:paraId="2F7B6D68"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2D210B78" w14:textId="77777777" w:rsidR="00466309" w:rsidRPr="00507A31" w:rsidRDefault="00466309" w:rsidP="00507A31">
      <w:pPr>
        <w:jc w:val="both"/>
        <w:rPr>
          <w:color w:val="000000" w:themeColor="text1"/>
          <w:sz w:val="16"/>
          <w:szCs w:val="16"/>
        </w:rPr>
      </w:pPr>
      <w:r w:rsidRPr="00507A31">
        <w:rPr>
          <w:color w:val="000000" w:themeColor="text1"/>
          <w:sz w:val="16"/>
          <w:szCs w:val="16"/>
        </w:rPr>
        <w:t>Протокол допроса А. А. Нольде об отношении членов «вредительской организации» в текстильной промышленности к «возможности иностранной интервенции». 11 октября 1930 г.</w:t>
      </w:r>
    </w:p>
    <w:p w14:paraId="67C1C884" w14:textId="77777777" w:rsidR="00466309" w:rsidRPr="00507A31" w:rsidRDefault="00466309" w:rsidP="00507A31">
      <w:pPr>
        <w:jc w:val="both"/>
        <w:rPr>
          <w:color w:val="000000" w:themeColor="text1"/>
          <w:sz w:val="16"/>
          <w:szCs w:val="16"/>
        </w:rPr>
      </w:pPr>
      <w:r w:rsidRPr="00507A31">
        <w:rPr>
          <w:color w:val="000000" w:themeColor="text1"/>
          <w:sz w:val="16"/>
          <w:szCs w:val="16"/>
        </w:rPr>
        <w:t>Источник: </w:t>
      </w:r>
    </w:p>
    <w:p w14:paraId="10366C90" w14:textId="77777777" w:rsidR="00466309" w:rsidRPr="00507A31" w:rsidRDefault="0046630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2EF866A"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0A044988" w14:textId="77777777" w:rsidR="00466309" w:rsidRPr="00507A31" w:rsidRDefault="00466309" w:rsidP="00507A31">
      <w:pPr>
        <w:jc w:val="both"/>
        <w:rPr>
          <w:color w:val="000000" w:themeColor="text1"/>
          <w:sz w:val="16"/>
          <w:szCs w:val="16"/>
        </w:rPr>
      </w:pPr>
      <w:r w:rsidRPr="00507A31">
        <w:rPr>
          <w:color w:val="000000" w:themeColor="text1"/>
          <w:sz w:val="16"/>
          <w:szCs w:val="16"/>
        </w:rPr>
        <w:t>[Секретно]</w:t>
      </w:r>
    </w:p>
    <w:p w14:paraId="6185A2A6" w14:textId="77777777" w:rsidR="00466309" w:rsidRPr="00507A31" w:rsidRDefault="00466309" w:rsidP="00507A31">
      <w:pPr>
        <w:jc w:val="both"/>
        <w:rPr>
          <w:color w:val="000000" w:themeColor="text1"/>
          <w:sz w:val="16"/>
          <w:szCs w:val="16"/>
        </w:rPr>
      </w:pPr>
      <w:r w:rsidRPr="00507A31">
        <w:rPr>
          <w:color w:val="000000" w:themeColor="text1"/>
          <w:sz w:val="16"/>
          <w:szCs w:val="16"/>
        </w:rPr>
        <w:t>ПРОТОКОЛ ДОПРОСА</w:t>
      </w:r>
    </w:p>
    <w:p w14:paraId="5EBD95A4" w14:textId="77777777" w:rsidR="00466309" w:rsidRPr="00507A31" w:rsidRDefault="00466309" w:rsidP="00507A31">
      <w:pPr>
        <w:jc w:val="both"/>
        <w:rPr>
          <w:color w:val="000000" w:themeColor="text1"/>
          <w:sz w:val="16"/>
          <w:szCs w:val="16"/>
        </w:rPr>
      </w:pPr>
      <w:r w:rsidRPr="00507A31">
        <w:rPr>
          <w:color w:val="000000" w:themeColor="text1"/>
          <w:sz w:val="16"/>
          <w:szCs w:val="16"/>
        </w:rPr>
        <w:t>НОЛЬДЕ Александра Александровича от 11 октября 1930 г.</w:t>
      </w:r>
    </w:p>
    <w:p w14:paraId="2A229E87" w14:textId="77777777" w:rsidR="00466309" w:rsidRPr="00507A31" w:rsidRDefault="00466309" w:rsidP="00507A31">
      <w:pPr>
        <w:jc w:val="both"/>
        <w:rPr>
          <w:color w:val="000000" w:themeColor="text1"/>
          <w:sz w:val="16"/>
          <w:szCs w:val="16"/>
        </w:rPr>
      </w:pPr>
      <w:r w:rsidRPr="00507A31">
        <w:rPr>
          <w:color w:val="000000" w:themeColor="text1"/>
          <w:sz w:val="16"/>
          <w:szCs w:val="16"/>
        </w:rPr>
        <w:t>Вопрос о возможности иностранной интервенции подвергался обсуждению в отдельных группах членов вредительской текстильной организации в связи с приездом тех или иных представителей текстильной промышленности из-за границы (ШТУЦЕР, А[Н]ГИН, ЗУБЧАНИНОВ); однако, в 1926-1927 г. серьезных разговоров об интервенции не было, ее вероятность казалась минимальной в связи с существующим тогда международным положением: раздоры между державами, нежелание широких масс участвовать в подобных авантюрах и т. д. Более положительные и определенные сведения по вопросу об интервенции сообщили приезжавший в 1928 г. из Франции ЛАЗАРКЕВИЧ и вернувшийся из поездки за границу в 1929 г. ФЕДОТОВ. Первый во время обмена мнений по этому вопросу в перерыве между заседаниями пеньковой конференции, говоря о положении заграницей, отметил, что Франция употребляет большие усилия — в значительной степени при участии русских эмигрантских кругов — к тому, чтобы склонить другие державы к интервенции при помощи в первую очередь Польши, Румынии и лимитрофов; затруднения в вопросе об интервенции возникают в связи с позицией Англии и отчасти Германии, которая боится нового усиления Польши. Судя по настроению французских промышленных кругов[,] интервенция едва ли может иметь место ранее 1930 или 1931 г. и то при условии, если руки держав не будут связаны собственными внешними и внутренними делами. ФЕДОТОВ, посетивший Германию и Англию, высказался по этому вопросу еще более определенно. Он также отмечал усилия Франции организовать интервенцию при помощи Польши, Румынии и лимитрофов и при поддержке со стороны Англии; по его мнению обстановка в 1929 г. более благоприятна: подросло новое поколение, ничего или очень мало знающее об ужасах прошлой войны; основные финансовые и экономические разногласия между державами получили достаточно удовлетворительное разрешение; развивающаяся промышленность Соединенных Штатов ищет новых рынков; дальнейшее восстановление и развитие английской промышленности, стесняемое американской конкуренцией, толкает и Англию на искание новых рынков, хотя бы путем интервенции; по сведениям иностранных газет сближение Польши, Румынии и лимитрофов сделало значительные шаги вперед; наконец, фашистская политика почти всех европейских держав делает более возможным и вероятным согласование их действий в этом вопросе и создание соответствующего настроения в торгово-промышленных и финансовых кругах и даже среди более зажиточных слоев населения. Все это заставляет многих представителей промышленных кругов заграницей считать весьма вероятным, что удастся организовать интервенцию в 1930 или 1931 г., если только какие[-]либо серьезные внешние и внутренние события не отвлекут внимания и энергию держав в другую сторону.</w:t>
      </w:r>
    </w:p>
    <w:p w14:paraId="0D2874BE" w14:textId="77777777" w:rsidR="00466309" w:rsidRPr="00507A31" w:rsidRDefault="00466309" w:rsidP="00507A31">
      <w:pPr>
        <w:jc w:val="both"/>
        <w:rPr>
          <w:color w:val="000000" w:themeColor="text1"/>
          <w:sz w:val="16"/>
          <w:szCs w:val="16"/>
        </w:rPr>
      </w:pPr>
      <w:r w:rsidRPr="00507A31">
        <w:rPr>
          <w:color w:val="000000" w:themeColor="text1"/>
          <w:sz w:val="16"/>
          <w:szCs w:val="16"/>
        </w:rPr>
        <w:t>В связи с указанным выше положением вопроса о возможности интервенции и направление вредительской деятельности текстильной организации приобрело более решительный характер: вместо прежней политики замедления роста промышленности, вредительства в деле строительства отдельных объектов и т. д. она приобретает более активный характер, выразившийся в той директиве 1928 г., о которой я писал ранее и которая сводилась к построению явно преувеличенных планов, как в деле развития народного хозяйства внутри страны, так и во внешней торговле, к срыву сырьевых заготовок и т. д., что должно было в результате создать целый ряд затруднений и провалов. На необходимость настойчивого проведения этой директивы ФЕДОТОВ вновь указывал, характеризуя положение вопроса об интервенции после своей поездки заграницу в 1928 г.; эти директивы получались ФЕДОТОВЫМ от тех кругов, от которых он получал их ранее, причем последняя директива 1928 г. имела непосредственную связь зарубежной подготовки интервенции с усилением вредительства в СССР.</w:t>
      </w:r>
    </w:p>
    <w:p w14:paraId="64134C60" w14:textId="77777777" w:rsidR="00466309" w:rsidRPr="00507A31" w:rsidRDefault="00466309" w:rsidP="00507A31">
      <w:pPr>
        <w:jc w:val="both"/>
        <w:rPr>
          <w:color w:val="000000" w:themeColor="text1"/>
          <w:sz w:val="16"/>
          <w:szCs w:val="16"/>
        </w:rPr>
      </w:pPr>
      <w:r w:rsidRPr="00507A31">
        <w:rPr>
          <w:color w:val="000000" w:themeColor="text1"/>
          <w:sz w:val="16"/>
          <w:szCs w:val="16"/>
        </w:rPr>
        <w:t>А. НОЛЬДЕ.</w:t>
      </w:r>
    </w:p>
    <w:p w14:paraId="5365F749" w14:textId="77777777" w:rsidR="00466309" w:rsidRPr="00507A31" w:rsidRDefault="00466309" w:rsidP="00507A31">
      <w:pPr>
        <w:jc w:val="both"/>
        <w:rPr>
          <w:color w:val="000000" w:themeColor="text1"/>
          <w:sz w:val="16"/>
          <w:szCs w:val="16"/>
        </w:rPr>
      </w:pPr>
      <w:r w:rsidRPr="00507A31">
        <w:rPr>
          <w:color w:val="000000" w:themeColor="text1"/>
          <w:sz w:val="16"/>
          <w:szCs w:val="16"/>
        </w:rPr>
        <w:t>Д. 353. Л. 180-1832. Машинописная копия того времени. На Л. 180 — машинописная делопроизводственная помета о перепечатке текста, штамп о рассылке документа (дата и номер отсутствуют).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(18417).</w:t>
      </w:r>
    </w:p>
    <w:p w14:paraId="09CC8164" w14:textId="77777777" w:rsidR="00466309" w:rsidRPr="00507A31" w:rsidRDefault="00466309" w:rsidP="00507A31">
      <w:pPr>
        <w:jc w:val="both"/>
        <w:rPr>
          <w:color w:val="000000" w:themeColor="text1"/>
          <w:sz w:val="16"/>
          <w:szCs w:val="16"/>
        </w:rPr>
      </w:pPr>
    </w:p>
    <w:p w14:paraId="058C92F4" w14:textId="77777777" w:rsidR="00466309" w:rsidRPr="00507A31" w:rsidRDefault="00466309" w:rsidP="00507A31">
      <w:pPr>
        <w:jc w:val="both"/>
        <w:rPr>
          <w:color w:val="000000" w:themeColor="text1"/>
          <w:sz w:val="16"/>
          <w:szCs w:val="16"/>
        </w:rPr>
      </w:pPr>
      <w:r w:rsidRPr="00507A31">
        <w:rPr>
          <w:color w:val="000000" w:themeColor="text1"/>
          <w:sz w:val="16"/>
          <w:szCs w:val="16"/>
        </w:rPr>
        <w:lastRenderedPageBreak/>
        <w:t>11 октября 1930 г. Показания М. Ф. Неандера по вопросу о сроках готовящейся интервенции против СССР и роли в ней Англии. 11 октября 1930 г.</w:t>
      </w:r>
    </w:p>
    <w:p w14:paraId="7CEE41E6" w14:textId="77777777" w:rsidR="00466309" w:rsidRPr="00507A31" w:rsidRDefault="00466309" w:rsidP="00507A31">
      <w:pPr>
        <w:jc w:val="both"/>
        <w:rPr>
          <w:color w:val="000000" w:themeColor="text1"/>
          <w:sz w:val="16"/>
          <w:szCs w:val="16"/>
        </w:rPr>
      </w:pPr>
      <w:r w:rsidRPr="00507A31">
        <w:rPr>
          <w:color w:val="000000" w:themeColor="text1"/>
          <w:sz w:val="16"/>
          <w:szCs w:val="16"/>
        </w:rPr>
        <w:t>Источник: </w:t>
      </w:r>
    </w:p>
    <w:p w14:paraId="5B631BA6" w14:textId="77777777" w:rsidR="00466309" w:rsidRPr="00507A31" w:rsidRDefault="0046630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4289C54" w14:textId="77777777" w:rsidR="00466309" w:rsidRPr="00507A31" w:rsidRDefault="00466309" w:rsidP="00507A31">
      <w:pPr>
        <w:jc w:val="both"/>
        <w:rPr>
          <w:color w:val="000000" w:themeColor="text1"/>
          <w:sz w:val="16"/>
          <w:szCs w:val="16"/>
        </w:rPr>
      </w:pPr>
      <w:r w:rsidRPr="00507A31">
        <w:rPr>
          <w:color w:val="000000" w:themeColor="text1"/>
          <w:sz w:val="16"/>
          <w:szCs w:val="16"/>
        </w:rPr>
        <w:t>11 октября 1930 г.</w:t>
      </w:r>
    </w:p>
    <w:p w14:paraId="25020102" w14:textId="77777777" w:rsidR="00466309" w:rsidRPr="00507A31" w:rsidRDefault="00466309" w:rsidP="00507A31">
      <w:pPr>
        <w:jc w:val="both"/>
        <w:rPr>
          <w:color w:val="000000" w:themeColor="text1"/>
          <w:sz w:val="16"/>
          <w:szCs w:val="16"/>
        </w:rPr>
      </w:pPr>
      <w:r w:rsidRPr="00507A31">
        <w:rPr>
          <w:color w:val="000000" w:themeColor="text1"/>
          <w:sz w:val="16"/>
          <w:szCs w:val="16"/>
        </w:rPr>
        <w:t>[Секретно]</w:t>
      </w:r>
    </w:p>
    <w:p w14:paraId="58ED6FEF" w14:textId="77777777" w:rsidR="00466309" w:rsidRPr="00507A31" w:rsidRDefault="00466309" w:rsidP="00507A31">
      <w:pPr>
        <w:jc w:val="both"/>
        <w:rPr>
          <w:color w:val="000000" w:themeColor="text1"/>
          <w:sz w:val="16"/>
          <w:szCs w:val="16"/>
        </w:rPr>
      </w:pPr>
      <w:r w:rsidRPr="00507A31">
        <w:rPr>
          <w:color w:val="000000" w:themeColor="text1"/>
          <w:sz w:val="16"/>
          <w:szCs w:val="16"/>
        </w:rPr>
        <w:t>ПРОТОКОЛ</w:t>
      </w:r>
    </w:p>
    <w:p w14:paraId="27EC053C" w14:textId="77777777" w:rsidR="00466309" w:rsidRPr="00507A31" w:rsidRDefault="00466309" w:rsidP="00507A31">
      <w:pPr>
        <w:jc w:val="both"/>
        <w:rPr>
          <w:color w:val="000000" w:themeColor="text1"/>
          <w:sz w:val="16"/>
          <w:szCs w:val="16"/>
        </w:rPr>
      </w:pPr>
      <w:r w:rsidRPr="00507A31">
        <w:rPr>
          <w:color w:val="000000" w:themeColor="text1"/>
          <w:sz w:val="16"/>
          <w:szCs w:val="16"/>
        </w:rPr>
        <w:t>дополнительного показания, данного 1930 года, Октября 11 дня, гр-ном НЕАНДЕРОМ Михаилом Федоровичем, который показал:</w:t>
      </w:r>
    </w:p>
    <w:p w14:paraId="2491875F" w14:textId="77777777" w:rsidR="00466309" w:rsidRPr="00507A31" w:rsidRDefault="00466309" w:rsidP="00507A31">
      <w:pPr>
        <w:jc w:val="both"/>
        <w:rPr>
          <w:color w:val="000000" w:themeColor="text1"/>
          <w:sz w:val="16"/>
          <w:szCs w:val="16"/>
        </w:rPr>
      </w:pPr>
      <w:r w:rsidRPr="00507A31">
        <w:rPr>
          <w:color w:val="000000" w:themeColor="text1"/>
          <w:sz w:val="16"/>
          <w:szCs w:val="16"/>
        </w:rPr>
        <w:t>В дополнение к предыдущим показаниям сообщаю следующее:</w:t>
      </w:r>
    </w:p>
    <w:p w14:paraId="7E03004E" w14:textId="77777777" w:rsidR="00466309" w:rsidRPr="00507A31" w:rsidRDefault="00466309" w:rsidP="00507A31">
      <w:pPr>
        <w:jc w:val="both"/>
        <w:rPr>
          <w:color w:val="000000" w:themeColor="text1"/>
          <w:sz w:val="16"/>
          <w:szCs w:val="16"/>
        </w:rPr>
      </w:pPr>
      <w:r w:rsidRPr="00507A31">
        <w:rPr>
          <w:color w:val="000000" w:themeColor="text1"/>
          <w:sz w:val="16"/>
          <w:szCs w:val="16"/>
        </w:rPr>
        <w:t>По вопросу о предполагавшейся интервенции на территорию Советского Союза у меня с НОЭЛЕМ за время его пребывания на «Красном Октябре», т. е. примерно с осени 1928 года до начала 1930 года, разговор у меня происходил несколько раз. Разговор на эту тему, насколько помню, возникал всегда по моей инициативе, так как меня волновала мысль о той мировой войне, которую, по моему мнению, повлекла бы подобная интервенция, и массе жертв и других последствий этой войны. Разговоры об интервенции проходили по пути с «Красного Октября» в рабочий городок, где были расположены моя и НОЭЛЯ квартиры, так как в это время мы с ним оставались наедине. НОЭЛЬ неохотно и скупо говорил на эту тему, однако, подтверждал, что интервенция состоится, так как английское правительство твердо, по его словам, решило свергнуть этим путем Советскую власть; и вопрос только в выборе момента, когда интервенция осуществится.</w:t>
      </w:r>
    </w:p>
    <w:p w14:paraId="542FA466" w14:textId="77777777" w:rsidR="00466309" w:rsidRPr="00507A31" w:rsidRDefault="00466309" w:rsidP="00507A31">
      <w:pPr>
        <w:jc w:val="both"/>
        <w:rPr>
          <w:color w:val="000000" w:themeColor="text1"/>
          <w:sz w:val="16"/>
          <w:szCs w:val="16"/>
        </w:rPr>
      </w:pPr>
      <w:r w:rsidRPr="00507A31">
        <w:rPr>
          <w:color w:val="000000" w:themeColor="text1"/>
          <w:sz w:val="16"/>
          <w:szCs w:val="16"/>
        </w:rPr>
        <w:t>По словам НОЭЛЯ, осуществление интервенции должно было иметь место «в скором времени» (от момента разговора). Уточняя, на мои вопросы, это время, НОЭЛЬ говорил, что интервенция состоится в 1929 или, самое позднее, в 1930 году. В последний раз я говорил с НОЭЛЕМ на эту тему в начале 1930 г. в связи со статьей, напечатанной в одном из номеров газеты «Турбина», издававшейся завкомом «Красного Октября». На высказанное мною сомнение в возможности интервенции в виду того, что у власти в Англии стоит рабочая партия, НОЭЛЬ возразил, что это не имеет значения, так как, по его словам, «Англия управляется общественным мнением», а общественное мнение Англии, он говорил, против Советской власти. По словам НОЭЛЯ, непосредственными исполнителями намечавшейся интервенции будут прибалтийские государства и, главным образом, Польша, которая подготовляется к этому Англией и вооружается на средства последней. Каких[-]либо подробностей о подготовке к интервенции пограничных с СССР государств НОЭЛЬ мне не сообщил, но с его слов я знаю, что англичане рассчитывали на возникновение в Союзе различных затруднений для Советской власти вследствие недостатка продовольствия, материалов и т. д., а также на возникновение восстаний по причине недовольства некоторых групп населения Советской властью. Во всех этих разговорах НОЭЛЬ утверждал, что интервенция будет не позже 1930 г. Других разговоров о сроках интервенции у меня с НОЭЛЕМ не было.</w:t>
      </w:r>
    </w:p>
    <w:p w14:paraId="42C2C4D5" w14:textId="77777777" w:rsidR="00466309" w:rsidRPr="00507A31" w:rsidRDefault="00466309" w:rsidP="00507A31">
      <w:pPr>
        <w:jc w:val="both"/>
        <w:rPr>
          <w:color w:val="000000" w:themeColor="text1"/>
          <w:sz w:val="16"/>
          <w:szCs w:val="16"/>
        </w:rPr>
      </w:pPr>
      <w:r w:rsidRPr="00507A31">
        <w:rPr>
          <w:color w:val="000000" w:themeColor="text1"/>
          <w:sz w:val="16"/>
          <w:szCs w:val="16"/>
        </w:rPr>
        <w:t>М. Неандер.</w:t>
      </w:r>
    </w:p>
    <w:p w14:paraId="4505E8CF" w14:textId="77777777" w:rsidR="00466309" w:rsidRPr="00507A31" w:rsidRDefault="00466309" w:rsidP="00507A31">
      <w:pPr>
        <w:jc w:val="both"/>
        <w:rPr>
          <w:color w:val="000000" w:themeColor="text1"/>
          <w:sz w:val="16"/>
          <w:szCs w:val="16"/>
        </w:rPr>
      </w:pPr>
      <w:r w:rsidRPr="00507A31">
        <w:rPr>
          <w:color w:val="000000" w:themeColor="text1"/>
          <w:sz w:val="16"/>
          <w:szCs w:val="16"/>
        </w:rPr>
        <w:t>Допросил — Пом. Нач. ЭКУ ОГПУ (Молочников)</w:t>
      </w:r>
    </w:p>
    <w:p w14:paraId="0EC12757" w14:textId="77777777" w:rsidR="00466309" w:rsidRPr="00507A31" w:rsidRDefault="00466309" w:rsidP="00507A31">
      <w:pPr>
        <w:jc w:val="both"/>
        <w:rPr>
          <w:color w:val="000000" w:themeColor="text1"/>
          <w:sz w:val="16"/>
          <w:szCs w:val="16"/>
        </w:rPr>
      </w:pPr>
      <w:r w:rsidRPr="00507A31">
        <w:rPr>
          <w:color w:val="000000" w:themeColor="text1"/>
          <w:sz w:val="16"/>
          <w:szCs w:val="16"/>
        </w:rPr>
        <w:t>Д. 353. Л. 195-196. Машинописная копия того времени. На Л. 195 вверху делопроизводственная помета (машинописью) о распечатке текста, штамп о рассылке документа (номер и дата отсутствуют).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(18454).</w:t>
      </w:r>
    </w:p>
    <w:p w14:paraId="230EFBCA" w14:textId="77777777" w:rsidR="00466309" w:rsidRPr="00507A31" w:rsidRDefault="00466309" w:rsidP="00507A31">
      <w:pPr>
        <w:jc w:val="both"/>
        <w:rPr>
          <w:color w:val="000000" w:themeColor="text1"/>
          <w:sz w:val="16"/>
          <w:szCs w:val="16"/>
        </w:rPr>
      </w:pPr>
    </w:p>
    <w:p w14:paraId="10DE3D4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8E20F9B" w14:textId="77777777" w:rsidR="00537E5F" w:rsidRPr="00507A31" w:rsidRDefault="00537E5F" w:rsidP="00507A31">
      <w:pPr>
        <w:autoSpaceDE w:val="0"/>
        <w:autoSpaceDN w:val="0"/>
        <w:adjustRightInd w:val="0"/>
        <w:jc w:val="both"/>
        <w:rPr>
          <w:iCs/>
          <w:color w:val="000000" w:themeColor="text1"/>
          <w:sz w:val="16"/>
          <w:szCs w:val="16"/>
        </w:rPr>
      </w:pPr>
    </w:p>
    <w:p w14:paraId="537D91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октября 1930 г. Реввоенсовет СССР утвердил план опытных работ на 1930-33 годы. В нем задавались следующие параметры нового бомбардировщика ТБ-4: максимальная скорость 200 км/ч, практический потолок 5000 - 6000 м, радиус действия 1000 км. бомбовая нагрузка 7000 кг, вооружение из шести - восьми пулеметов и одной пушки (калибром 20 или 37 мм). Почему не задавали точно, какую пушку хотят иметь на самолете? Потому, что их еще не существовало! У нас испытывали швейцарскую авиационную автомати- одним из вариантов ческую пушку "Эрликон", немецкую "Рейн- вооружения металл", французскую "Гочкисс". А свои еще только собирались проектировать...</w:t>
      </w:r>
    </w:p>
    <w:p w14:paraId="133D7C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готовности опытного образца огромного бомбардировщика определялся к 1 декабря 1931 г. Приоритетность предъявленных требований четко определялась: на первое место ставилась грузоподъемность, на второе - дальность полета, на третье - "огневая независимость" (способность самостоятельно обороняться от истребителей противника), а высота и скорость шли в последнюю очередь.</w:t>
      </w:r>
    </w:p>
    <w:p w14:paraId="38ECF8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Первоначально предполагалось, что самолет получит четыре мотора М-35 мощностью по 1500 - 1800 л.с. каждый. Многие путают этот двигатель с появившимся гораздо позже микулинским же АМ-35, который тоже первоначально именовался М-35. Но этот первый М-35 разрабатывался гораздо раньше, с 1930 г., в Институте авиационного моторостроения (ИАМ) под руководством того же А.А. Микулина как дальнейшее развитие его же удачного М-34. Последовательно спроектировали три варианта мотора: W- образный из трех блоков от М-34, спаренный из двух М-34, работающих на общий редуктор, и 12-цилиндровый V-образный - как бы увеличенный М-34 с большим диаметром цилиндров. Но все три не дошли даже до стадии изготовления опытных образцов. В 1933 г. работы по М-35 окончательно прекратили.</w:t>
      </w:r>
    </w:p>
    <w:p w14:paraId="76132A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Практика проектирования самолета под еще не существующие моторы, безусловно, являлась порочной. Но для грандиозных советских планов она была нормой - поэтому их постоянно приходилось перелицовывать, подгоняя под фактическую ситуацию. Хотелось получить все побыстрее и с самой лучшей, самой новой комплектацией. Поэтому в задания вписывали двигатели, которые лишь прочерчены на бумаге, приборы, которых еще нет, несуществующие пушки и пулеметы, которые проходят мучительный процесс доводки (12024).</w:t>
      </w:r>
    </w:p>
    <w:p w14:paraId="586258E7" w14:textId="77777777" w:rsidR="00537E5F" w:rsidRPr="00507A31" w:rsidRDefault="00537E5F" w:rsidP="00507A31">
      <w:pPr>
        <w:autoSpaceDE w:val="0"/>
        <w:autoSpaceDN w:val="0"/>
        <w:adjustRightInd w:val="0"/>
        <w:jc w:val="both"/>
        <w:rPr>
          <w:color w:val="000000" w:themeColor="text1"/>
          <w:sz w:val="16"/>
          <w:szCs w:val="16"/>
        </w:rPr>
      </w:pPr>
    </w:p>
    <w:p w14:paraId="4FF986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октября 1930 г. Реввоенсовет СССР утвердил план опытных работ на 1930-1933 годы. В нем задавались следующие параметры нового бомбардировщика: ТБ-4 максимальная скорость 200 км/ч, практический потолок 5000 - 6000 м, радиус действия 1000 км, бомбовая нагрузка 7000 кг, вооружение из шести - восьми пулеметов и одной пушки (калибром 20 или 37 мм). Срок готовности опытного образца огромного бомбардировщика определялся к 1 декабря 1931 г. Приоритетность предъявленных требований четко определялась: на первое место ставилась грузоподъемность, на второе - дальность полета, на третье - "огневая независимость" (способность самостоятельно обороняться от истребителей противника), а высота и скорость шли в последнюю очередь.</w:t>
      </w:r>
    </w:p>
    <w:p w14:paraId="32AB0F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Первоначально предполагалось, что самолет получит четыре мотора М-35 мощностью по 1500 - 1800 л.с. каждый. Многие путают этот двигатель с появившимся гораздо позже АМ-35 (который тоже первоначально именовался М-35). Этот первый М-35 разрабатывался с 1930 г. в Институте авиационного моторостроения (ИАМ) под руководством А.А. Микулина как дальнейшее развитие удачного М-34. Последовательно спроектировали три варианта мотора: W-об- разный из трех блоков от М-34, спаренный из двух М-34, работающих на общий редуктор, и 12-цилиндровый V-об- разный - как бы увеличенный М-34 с большим диаметром цилиндров. Но все три не дошли даже до стадии изготовления опытных образцов. В 1933 г. работы по М-35 окончательно прекратили.</w:t>
      </w:r>
    </w:p>
    <w:p w14:paraId="678B44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Практика проектирования самолета под еще не существующие моторы, безусловно, являлась порочной. Но для грандиозных советских планов она была нормой - поэтому их постоянно приходилось перелицовывать, подгоняя под фактическую ситуацию. Хотелось получить все побыстрее и с самой лучшей, самой новой комплектацией. Поэтому в задания вписывали двигатели, которые лишь прочерчены на бумаге, приборы, которых еще нет, пушки и пулеметы, которые проходят мучительный процесс доводки (12036).</w:t>
      </w:r>
    </w:p>
    <w:p w14:paraId="64E13807" w14:textId="77777777" w:rsidR="00537E5F" w:rsidRPr="00507A31" w:rsidRDefault="00537E5F" w:rsidP="00507A31">
      <w:pPr>
        <w:autoSpaceDE w:val="0"/>
        <w:autoSpaceDN w:val="0"/>
        <w:adjustRightInd w:val="0"/>
        <w:jc w:val="both"/>
        <w:rPr>
          <w:color w:val="000000" w:themeColor="text1"/>
          <w:sz w:val="16"/>
          <w:szCs w:val="16"/>
        </w:rPr>
      </w:pPr>
    </w:p>
    <w:p w14:paraId="2F2F5A4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12 октября 1930 года зам. начальника ОТО ЦАГИ писал письмо № Н4-488 в 1 секцию НТК УВВС</w:t>
      </w:r>
    </w:p>
    <w:p w14:paraId="46A6572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Отчет о работах экспериментальной части ОТО за 1929-1930 год, ведущихся по заданию НТК УВВС</w:t>
      </w:r>
    </w:p>
    <w:p w14:paraId="766AC12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Аэродинамические исследования самолета</w:t>
      </w:r>
    </w:p>
    <w:p w14:paraId="78808EF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Эти работы велись на самолете АНТ-3. Зимой 1929-1930 года самолет находился на капитальном ремонте. Большая часть работы была проведена весной и летом 1930 года.</w:t>
      </w:r>
    </w:p>
    <w:p w14:paraId="76F89FF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Исследования неустановившегося движения и фигур</w:t>
      </w:r>
    </w:p>
    <w:p w14:paraId="3B1DE70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Работы проводились на самолете Р-3 Лоррен Дитрих (6955).</w:t>
      </w:r>
    </w:p>
    <w:p w14:paraId="0533D93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1211A9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E0656F1" w14:textId="77777777" w:rsidR="00537E5F" w:rsidRPr="00507A31" w:rsidRDefault="00537E5F" w:rsidP="00507A31">
      <w:pPr>
        <w:autoSpaceDE w:val="0"/>
        <w:autoSpaceDN w:val="0"/>
        <w:adjustRightInd w:val="0"/>
        <w:jc w:val="both"/>
        <w:rPr>
          <w:iCs/>
          <w:color w:val="000000" w:themeColor="text1"/>
          <w:sz w:val="16"/>
          <w:szCs w:val="16"/>
        </w:rPr>
      </w:pPr>
    </w:p>
    <w:p w14:paraId="344242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октября 1930 г. прошло заседание Политбюро ЦК, посвященное вопросам реорганизации тракторного производства. В развитие решения Политбюро группу специалистов во главе с Б.Н. Воронковым перевели на строящийся Харьковский тракторостроительный завод (ХТЗ).</w:t>
      </w:r>
    </w:p>
    <w:p w14:paraId="6D0F57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В1931 г. в связи с переводом Б.Н. Воронкова на новый завод работы по промышленному трактору на ХПЗ возглавили. Г. Зубарев. Трактор также получил новое наименование - "Коминтерн", вчестъ завода-изготовителя. Название трактора и завода были помещены на радиаторе. В дальнейшем надпись ХПЗ уступила место надписи "3-Д №183", однако встречались "Коминтерны" и вовсе без каких-либо обозначений (12008).</w:t>
      </w:r>
    </w:p>
    <w:p w14:paraId="00A02A9B" w14:textId="77777777" w:rsidR="00CF653C" w:rsidRPr="00507A31" w:rsidRDefault="00CF653C" w:rsidP="00507A31">
      <w:pPr>
        <w:autoSpaceDE w:val="0"/>
        <w:autoSpaceDN w:val="0"/>
        <w:adjustRightInd w:val="0"/>
        <w:jc w:val="both"/>
        <w:rPr>
          <w:iCs/>
          <w:color w:val="000000" w:themeColor="text1"/>
          <w:sz w:val="16"/>
          <w:szCs w:val="16"/>
        </w:rPr>
      </w:pPr>
    </w:p>
    <w:p w14:paraId="1B8F1B68" w14:textId="77777777" w:rsidR="000225DD" w:rsidRPr="00507A31" w:rsidRDefault="000225DD"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C1B26DE" w14:textId="77777777" w:rsidR="000225DD" w:rsidRPr="00507A31" w:rsidRDefault="000225DD" w:rsidP="00507A31">
      <w:pPr>
        <w:autoSpaceDE w:val="0"/>
        <w:autoSpaceDN w:val="0"/>
        <w:adjustRightInd w:val="0"/>
        <w:jc w:val="both"/>
        <w:rPr>
          <w:iCs/>
          <w:color w:val="000000" w:themeColor="text1"/>
          <w:sz w:val="16"/>
          <w:szCs w:val="16"/>
        </w:rPr>
      </w:pPr>
    </w:p>
    <w:p w14:paraId="18AEFFEF" w14:textId="77777777" w:rsidR="000225DD" w:rsidRPr="00507A31" w:rsidRDefault="000225DD" w:rsidP="00507A31">
      <w:pPr>
        <w:jc w:val="both"/>
        <w:rPr>
          <w:color w:val="000000" w:themeColor="text1"/>
          <w:sz w:val="16"/>
          <w:szCs w:val="16"/>
        </w:rPr>
      </w:pPr>
      <w:r w:rsidRPr="00507A31">
        <w:rPr>
          <w:color w:val="000000" w:themeColor="text1"/>
          <w:sz w:val="16"/>
          <w:szCs w:val="16"/>
        </w:rPr>
        <w:t>12 октября 1930 г.</w:t>
      </w:r>
    </w:p>
    <w:p w14:paraId="0C9D3790" w14:textId="77777777" w:rsidR="000225DD" w:rsidRPr="00507A31" w:rsidRDefault="000225DD" w:rsidP="00507A31">
      <w:pPr>
        <w:jc w:val="both"/>
        <w:rPr>
          <w:color w:val="000000" w:themeColor="text1"/>
          <w:sz w:val="16"/>
          <w:szCs w:val="16"/>
        </w:rPr>
      </w:pPr>
      <w:r w:rsidRPr="00507A31">
        <w:rPr>
          <w:color w:val="000000" w:themeColor="text1"/>
          <w:sz w:val="16"/>
          <w:szCs w:val="16"/>
        </w:rPr>
        <w:t>Показания А. А. Федотова о связях «Совета инженерных организаций» с белоэмигрантскими кругами, их деятельности по подготовке интервенции в СССР, «вредительстве» в текстильной промышленности. 12 октября 1930 г.</w:t>
      </w:r>
    </w:p>
    <w:p w14:paraId="06694A96" w14:textId="77777777" w:rsidR="000225DD" w:rsidRPr="00507A31" w:rsidRDefault="000225DD" w:rsidP="00507A31">
      <w:pPr>
        <w:jc w:val="both"/>
        <w:rPr>
          <w:color w:val="000000" w:themeColor="text1"/>
          <w:sz w:val="16"/>
          <w:szCs w:val="16"/>
        </w:rPr>
      </w:pPr>
      <w:r w:rsidRPr="00507A31">
        <w:rPr>
          <w:color w:val="000000" w:themeColor="text1"/>
          <w:sz w:val="16"/>
          <w:szCs w:val="16"/>
        </w:rPr>
        <w:t>Источник: </w:t>
      </w:r>
    </w:p>
    <w:p w14:paraId="105F039C" w14:textId="77777777" w:rsidR="000225DD" w:rsidRPr="00507A31" w:rsidRDefault="000225D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81A241B" w14:textId="77777777" w:rsidR="000225DD" w:rsidRPr="00507A31" w:rsidRDefault="000225DD" w:rsidP="00507A31">
      <w:pPr>
        <w:jc w:val="both"/>
        <w:rPr>
          <w:color w:val="000000" w:themeColor="text1"/>
          <w:sz w:val="16"/>
          <w:szCs w:val="16"/>
        </w:rPr>
      </w:pPr>
      <w:r w:rsidRPr="00507A31">
        <w:rPr>
          <w:color w:val="000000" w:themeColor="text1"/>
          <w:sz w:val="16"/>
          <w:szCs w:val="16"/>
        </w:rPr>
        <w:t>Архив: </w:t>
      </w:r>
    </w:p>
    <w:p w14:paraId="0DE7EEA3" w14:textId="77777777" w:rsidR="000225DD" w:rsidRPr="00507A31" w:rsidRDefault="000225DD" w:rsidP="00507A31">
      <w:pPr>
        <w:jc w:val="both"/>
        <w:rPr>
          <w:color w:val="000000" w:themeColor="text1"/>
          <w:sz w:val="16"/>
          <w:szCs w:val="16"/>
        </w:rPr>
      </w:pPr>
      <w:r w:rsidRPr="00507A31">
        <w:rPr>
          <w:color w:val="000000" w:themeColor="text1"/>
          <w:sz w:val="16"/>
          <w:szCs w:val="16"/>
        </w:rPr>
        <w:t>ЦА ФСБ РФ. Ф. Р-42280. Т. 10. Л. 202-203 об. Машинописная копия того времени, заверенная Н. Голубевой</w:t>
      </w:r>
    </w:p>
    <w:p w14:paraId="15BA99FE" w14:textId="77777777" w:rsidR="000225DD" w:rsidRPr="00507A31" w:rsidRDefault="000225DD" w:rsidP="00507A31">
      <w:pPr>
        <w:jc w:val="both"/>
        <w:rPr>
          <w:color w:val="000000" w:themeColor="text1"/>
          <w:sz w:val="16"/>
          <w:szCs w:val="16"/>
        </w:rPr>
      </w:pPr>
      <w:r w:rsidRPr="00507A31">
        <w:rPr>
          <w:color w:val="000000" w:themeColor="text1"/>
          <w:sz w:val="16"/>
          <w:szCs w:val="16"/>
        </w:rPr>
        <w:t>12 октября 1930 г.</w:t>
      </w:r>
    </w:p>
    <w:p w14:paraId="32B25049" w14:textId="77777777" w:rsidR="000225DD" w:rsidRPr="00507A31" w:rsidRDefault="000225DD" w:rsidP="00507A31">
      <w:pPr>
        <w:jc w:val="both"/>
        <w:rPr>
          <w:color w:val="000000" w:themeColor="text1"/>
          <w:sz w:val="16"/>
          <w:szCs w:val="16"/>
        </w:rPr>
      </w:pPr>
      <w:r w:rsidRPr="00507A31">
        <w:rPr>
          <w:color w:val="000000" w:themeColor="text1"/>
          <w:sz w:val="16"/>
          <w:szCs w:val="16"/>
        </w:rPr>
        <w:t>[Секретно]</w:t>
      </w:r>
    </w:p>
    <w:p w14:paraId="7DBEBE08" w14:textId="77777777" w:rsidR="000225DD" w:rsidRPr="00507A31" w:rsidRDefault="000225DD" w:rsidP="00507A31">
      <w:pPr>
        <w:jc w:val="both"/>
        <w:rPr>
          <w:color w:val="000000" w:themeColor="text1"/>
          <w:sz w:val="16"/>
          <w:szCs w:val="16"/>
        </w:rPr>
      </w:pPr>
      <w:r w:rsidRPr="00507A31">
        <w:rPr>
          <w:color w:val="000000" w:themeColor="text1"/>
          <w:sz w:val="16"/>
          <w:szCs w:val="16"/>
        </w:rPr>
        <w:t>ПРОТОКОЛ ДОПРОСА</w:t>
      </w:r>
    </w:p>
    <w:p w14:paraId="198D3DFB" w14:textId="77777777" w:rsidR="000225DD" w:rsidRPr="00507A31" w:rsidRDefault="000225DD" w:rsidP="00507A31">
      <w:pPr>
        <w:jc w:val="both"/>
        <w:rPr>
          <w:color w:val="000000" w:themeColor="text1"/>
          <w:sz w:val="16"/>
          <w:szCs w:val="16"/>
        </w:rPr>
      </w:pPr>
      <w:r w:rsidRPr="00507A31">
        <w:rPr>
          <w:color w:val="000000" w:themeColor="text1"/>
          <w:sz w:val="16"/>
          <w:szCs w:val="16"/>
        </w:rPr>
        <w:t>ФЕДОТОВА Александра Александровича от 12/Х-1930 г.</w:t>
      </w:r>
    </w:p>
    <w:p w14:paraId="5A8F9070" w14:textId="77777777" w:rsidR="000225DD" w:rsidRPr="00507A31" w:rsidRDefault="000225DD" w:rsidP="00507A31">
      <w:pPr>
        <w:jc w:val="both"/>
        <w:rPr>
          <w:color w:val="000000" w:themeColor="text1"/>
          <w:sz w:val="16"/>
          <w:szCs w:val="16"/>
        </w:rPr>
      </w:pPr>
      <w:r w:rsidRPr="00507A31">
        <w:rPr>
          <w:color w:val="000000" w:themeColor="text1"/>
          <w:sz w:val="16"/>
          <w:szCs w:val="16"/>
        </w:rPr>
        <w:t>Первый разговор об интервенции я имел с эмигрантом КАРПОВЫМ в Берлине в 1923 г., но так как этот разговор был настолько общий и ничего не знач[а]щий, что на нем останавливаться нет оснований.</w:t>
      </w:r>
    </w:p>
    <w:p w14:paraId="50A4F2C0" w14:textId="77777777" w:rsidR="000225DD" w:rsidRPr="00507A31" w:rsidRDefault="000225DD" w:rsidP="00507A31">
      <w:pPr>
        <w:jc w:val="both"/>
        <w:rPr>
          <w:color w:val="000000" w:themeColor="text1"/>
          <w:sz w:val="16"/>
          <w:szCs w:val="16"/>
        </w:rPr>
      </w:pPr>
      <w:r w:rsidRPr="00507A31">
        <w:rPr>
          <w:color w:val="000000" w:themeColor="text1"/>
          <w:sz w:val="16"/>
          <w:szCs w:val="16"/>
        </w:rPr>
        <w:t>Следующий разговор был с эмигрантом КРЕСТОВНИКОВЫМ в Лондоне в 1925 г. Он сообщил, что Торгпром ведет усиленную кампанию в пользу склонения Франции к вмешательству в дела Союза и с этой целью ведет переговоры с рядом влиятельных общественных деятелей Франции, между прочим Пуанкаре, а также ведет травлю и агитацию в прессе с целью подготовки общественного мнения, но он добавил, что обеспечить вооруженное вмешательство необходимо, чтобы в самом Союзе выявилось недовольство Советской властью среди рабочих и крестьян. Он указал, что по этому вопросу Торгпром держит в курсе дела инж. ЛОПАТИНА.</w:t>
      </w:r>
    </w:p>
    <w:p w14:paraId="63019653" w14:textId="77777777" w:rsidR="000225DD" w:rsidRPr="00507A31" w:rsidRDefault="000225DD" w:rsidP="00507A31">
      <w:pPr>
        <w:jc w:val="both"/>
        <w:rPr>
          <w:color w:val="000000" w:themeColor="text1"/>
          <w:sz w:val="16"/>
          <w:szCs w:val="16"/>
        </w:rPr>
      </w:pPr>
      <w:r w:rsidRPr="00507A31">
        <w:rPr>
          <w:color w:val="000000" w:themeColor="text1"/>
          <w:sz w:val="16"/>
          <w:szCs w:val="16"/>
        </w:rPr>
        <w:t>Из последующего разговора с ЛОПАТИНЫМ выясняется, что он находится в постоянной связи по этому вопросу с эмиграцией и что вопрос об интервенции был предметом обсуждения Центр[альной] инженерной вред[ительской] организации. ЛОПАТИН подтвердил, что действительно, эмиграция ведет подготовку интервенции в военных кругах Франции, что она рассчитывает также на содействие Польши, а может быть и Румынии, но что необходимо развить более усиленную вред[ительскую] деятельность в Союзе, для создания условий вызывающих недовольство в рабочей массе, для чего необходимо разрушить плановую работу и довести страну до остановок фабрик и кризисов в промышленности. Эта установка обсуждалась по сообщению ЛОПАТИНА на Совете инженерных организаций и была полностью одобрена.</w:t>
      </w:r>
    </w:p>
    <w:p w14:paraId="4EF0E18B" w14:textId="77777777" w:rsidR="000225DD" w:rsidRPr="00507A31" w:rsidRDefault="000225DD" w:rsidP="00507A31">
      <w:pPr>
        <w:jc w:val="both"/>
        <w:rPr>
          <w:color w:val="000000" w:themeColor="text1"/>
          <w:sz w:val="16"/>
          <w:szCs w:val="16"/>
        </w:rPr>
      </w:pPr>
      <w:r w:rsidRPr="00507A31">
        <w:rPr>
          <w:color w:val="000000" w:themeColor="text1"/>
          <w:sz w:val="16"/>
          <w:szCs w:val="16"/>
        </w:rPr>
        <w:t>Состава участников Совета[,] обсуждавщего эту установку в Совете, ЛОПАТИН не называл.</w:t>
      </w:r>
    </w:p>
    <w:p w14:paraId="0A0960D9" w14:textId="77777777" w:rsidR="000225DD" w:rsidRPr="00507A31" w:rsidRDefault="000225DD" w:rsidP="00507A31">
      <w:pPr>
        <w:jc w:val="both"/>
        <w:rPr>
          <w:color w:val="000000" w:themeColor="text1"/>
          <w:sz w:val="16"/>
          <w:szCs w:val="16"/>
        </w:rPr>
      </w:pPr>
      <w:r w:rsidRPr="00507A31">
        <w:rPr>
          <w:color w:val="000000" w:themeColor="text1"/>
          <w:sz w:val="16"/>
          <w:szCs w:val="16"/>
        </w:rPr>
        <w:t>В конце 1927 г. у меня был разговор на ту же тему с инж. ХРЕННИКОВЫМ. В общем ХРЕННИКОВ подтвердил сообщение инж. ЛОПАТИНА, но указал, что работа по подготовке общественного мнения в Союзе и настроения рабочих масс путем дезорганизации промышленности идет недостаточным темпом и что если она будет так продолжаться, то, по его мнению[,] интервенции в ближайшее время ожидать нельзя, но что в Совете инженерн[ых] организаций имеется группа (ЧАРНОВСКИЙ, РАМЗИН), которая верит в более скорое выступление иностран[ных] держав. Как вывод из этого ХРЕННИКОВ высказал необходимость, чтобы отраслевые организации проводили более настойчиво начатую уже вредит[ельскую] работу в планировании и подготовке кризисов с тем, чтобы к 1932-33 г., т. е. к концу пятилетки[,] невозможность ее осуществления была вполне выявлена и чтобы она среди широких рабоч[их] масс и крестьянства была вполне дискредитирована. Только тогда возможно общее недовольство и на его почве вмешательство Франции и др. держав.</w:t>
      </w:r>
    </w:p>
    <w:p w14:paraId="24D52606" w14:textId="77777777" w:rsidR="000225DD" w:rsidRPr="00507A31" w:rsidRDefault="000225DD" w:rsidP="00507A31">
      <w:pPr>
        <w:jc w:val="both"/>
        <w:rPr>
          <w:color w:val="000000" w:themeColor="text1"/>
          <w:sz w:val="16"/>
          <w:szCs w:val="16"/>
        </w:rPr>
      </w:pPr>
      <w:r w:rsidRPr="00507A31">
        <w:rPr>
          <w:color w:val="000000" w:themeColor="text1"/>
          <w:sz w:val="16"/>
          <w:szCs w:val="16"/>
        </w:rPr>
        <w:t>Эти указания он предложил проводить и в текстильной организации. Этот разговор был мною передан руководящей группе (КУПРИЯНОВ, ДЕРЖАВИН, КИРПОТЕНКО, НОЛЬДЕ), как директивное указание Совета.</w:t>
      </w:r>
    </w:p>
    <w:p w14:paraId="202068B5" w14:textId="77777777" w:rsidR="000225DD" w:rsidRPr="00507A31" w:rsidRDefault="000225DD" w:rsidP="00507A31">
      <w:pPr>
        <w:jc w:val="both"/>
        <w:rPr>
          <w:color w:val="000000" w:themeColor="text1"/>
          <w:sz w:val="16"/>
          <w:szCs w:val="16"/>
        </w:rPr>
      </w:pPr>
      <w:r w:rsidRPr="00507A31">
        <w:rPr>
          <w:color w:val="000000" w:themeColor="text1"/>
          <w:sz w:val="16"/>
          <w:szCs w:val="16"/>
        </w:rPr>
        <w:t>В феврале 1929 г. в Союзе в Москве был директор завода [«]ПЛАТТ[»], он же председатель союза английск[их] машиностроительных фирм НУТОЛЬД, который между прочим был приглашен осмотреть здание НИТИ3. Я заехал в гостиницу за ним несколько раньше и тем временем, когда собирались остальные, имел с ним следующий разговор. Он спросил у меня, достаточно ли прочна Сов. власть и можно ли рассчитывать на оплату заказов на машины. Я ответил, и задал ему вопрос о возможности участия Англии в вооруженном выступлении. Он ответил, что при создавшемся в Англии политическом соотношении партий (период Макдональда) на участие Англии &lt;рассчитывать нельзя&gt; и более того, он думает, что и во Франции пол&lt;итическая&gt; ситуация такова, что круги, близкие к Торгпрому &lt;могут не полу&gt;чить перевеса. Из разговоров с НУТОЛЬДОМ я пон&lt;ял, что его ин&gt;тересовал вопрос чисто с коммерческой стороны, в &lt;реак&gt;ционных кругах Англии и Франции этот вопрос ост&lt;авался по-прежне&gt;му на повестке дня.</w:t>
      </w:r>
    </w:p>
    <w:p w14:paraId="165DA7E5" w14:textId="77777777" w:rsidR="000225DD" w:rsidRPr="00507A31" w:rsidRDefault="000225DD" w:rsidP="00507A31">
      <w:pPr>
        <w:jc w:val="both"/>
        <w:rPr>
          <w:color w:val="000000" w:themeColor="text1"/>
          <w:sz w:val="16"/>
          <w:szCs w:val="16"/>
        </w:rPr>
      </w:pPr>
      <w:r w:rsidRPr="00507A31">
        <w:rPr>
          <w:color w:val="000000" w:themeColor="text1"/>
          <w:sz w:val="16"/>
          <w:szCs w:val="16"/>
        </w:rPr>
        <w:t>В том же 1929 году несколько позднее я имел &lt;разговор&gt; с ЧАРНОВСКИМ, который указал, что процесс вредите&lt;льства&gt; идет в Союзе быстрее, чем предполагалось в Совете инженерных] организаций, что на лицо уже имеется крестьянское недовольство и волнения, а также имеют место отдельные забастовки рабочих на фабриках и что по мере того, как коллективизация крестьянских хозяйств пойдет дальше, можно быть уверенным на нарастание недовольства среди крестьян, что, по мере выявления результатов вредит[ельской] деятельности в промышленности, нужно рассчитывать на недовольство среди рабочих. По мнению ЧАРНОВСКОГО, чем скорее этот процесс будет завершаться, тем скорее возможна интервенция и даже ранее, чем обнаружится провал 5-летки. Я сообщил ЧАРНОВСКОМУ о мнении НУТОЛЬДА, но он возражал, что участие Англии не обязательно, что необходимо только, чтобы в ней был проведен финансовый заем Польши и Румынии, что это имеет полные шансы на осуществление и что, по его сведениям, белая эмиграция в Париже рассчитывает на полный успех своей агитации и склонит французское правительство к интервенции.</w:t>
      </w:r>
    </w:p>
    <w:p w14:paraId="21FEC240" w14:textId="77777777" w:rsidR="000225DD" w:rsidRPr="00507A31" w:rsidRDefault="000225DD" w:rsidP="00507A31">
      <w:pPr>
        <w:jc w:val="both"/>
        <w:rPr>
          <w:color w:val="000000" w:themeColor="text1"/>
          <w:sz w:val="16"/>
          <w:szCs w:val="16"/>
        </w:rPr>
      </w:pPr>
      <w:r w:rsidRPr="00507A31">
        <w:rPr>
          <w:color w:val="000000" w:themeColor="text1"/>
          <w:sz w:val="16"/>
          <w:szCs w:val="16"/>
        </w:rPr>
        <w:t>Таким образом, вопрос об интервенции белая эмиграция ставила, как основное условие борьбы с Советской властью, для этого она вела травлю и агитацию, а также и подготовку общественного мнения Франции. Этой установкой определялась и работа Союза инженерн[ых] организаций, который, в свою очередь, давал соответствующие директивы отраслевым организациям. Это нашло отражение в работе вредительской организации по расстройству плановой работы в промышленности, влекшей за собой разруху и кризисы.</w:t>
      </w:r>
    </w:p>
    <w:p w14:paraId="456EE4B8" w14:textId="77777777" w:rsidR="000225DD" w:rsidRPr="00507A31" w:rsidRDefault="000225DD" w:rsidP="00507A31">
      <w:pPr>
        <w:jc w:val="both"/>
        <w:rPr>
          <w:color w:val="000000" w:themeColor="text1"/>
          <w:sz w:val="16"/>
          <w:szCs w:val="16"/>
        </w:rPr>
      </w:pPr>
      <w:r w:rsidRPr="00507A31">
        <w:rPr>
          <w:color w:val="000000" w:themeColor="text1"/>
          <w:sz w:val="16"/>
          <w:szCs w:val="16"/>
        </w:rPr>
        <w:t>Связь с эмиграцией, как по вопросу об интервенции, так и вообще всякое согласование вредительства в СССР, осуществлялась ЛОПАТИНЫМ, как по линии текстиля, так и по линии Совета инженерн[ых] организаций, но помимо ЛОПАТИНА, Совет инженерн[ых] организаций также имел лиц (ПАЛЬЧИНСКИЙ и др.), которые поддерживали связь с Торгпромом, как равно и каждая отраслевая организация должна была иметь и имела лиц, подобных ЛОПАТИНУ.</w:t>
      </w:r>
    </w:p>
    <w:p w14:paraId="4A494E05" w14:textId="77777777" w:rsidR="000225DD" w:rsidRPr="00507A31" w:rsidRDefault="000225DD" w:rsidP="00507A31">
      <w:pPr>
        <w:jc w:val="both"/>
        <w:rPr>
          <w:color w:val="000000" w:themeColor="text1"/>
          <w:sz w:val="16"/>
          <w:szCs w:val="16"/>
        </w:rPr>
      </w:pPr>
      <w:r w:rsidRPr="00507A31">
        <w:rPr>
          <w:color w:val="000000" w:themeColor="text1"/>
          <w:sz w:val="16"/>
          <w:szCs w:val="16"/>
        </w:rPr>
        <w:t>А. А. ФЕДОТОВ.</w:t>
      </w:r>
    </w:p>
    <w:p w14:paraId="7942F439" w14:textId="77777777" w:rsidR="000225DD" w:rsidRPr="00507A31" w:rsidRDefault="000225DD" w:rsidP="00507A31">
      <w:pPr>
        <w:jc w:val="both"/>
        <w:rPr>
          <w:color w:val="000000" w:themeColor="text1"/>
          <w:sz w:val="16"/>
          <w:szCs w:val="16"/>
        </w:rPr>
      </w:pPr>
      <w:r w:rsidRPr="00507A31">
        <w:rPr>
          <w:color w:val="000000" w:themeColor="text1"/>
          <w:sz w:val="16"/>
          <w:szCs w:val="16"/>
        </w:rPr>
        <w:t>Допросил: НАЧ. 2 ОТДЕЛЕНИЯ] ЭКУ ОГПУ (Дмитриев)</w:t>
      </w:r>
    </w:p>
    <w:p w14:paraId="18A029D1" w14:textId="77777777" w:rsidR="000225DD" w:rsidRPr="00507A31" w:rsidRDefault="000225DD" w:rsidP="00507A31">
      <w:pPr>
        <w:jc w:val="both"/>
        <w:rPr>
          <w:color w:val="000000" w:themeColor="text1"/>
          <w:sz w:val="16"/>
          <w:szCs w:val="16"/>
        </w:rPr>
      </w:pPr>
      <w:r w:rsidRPr="00507A31">
        <w:rPr>
          <w:color w:val="000000" w:themeColor="text1"/>
          <w:sz w:val="16"/>
          <w:szCs w:val="16"/>
        </w:rPr>
        <w:t>Д. 353. Л. 197-201. Машинописная копия того времени. На Л. 197 вверху делопроизводственная помета (машинописью) о распечатке текста, штамп о рассылке документа (номер и дата отсутствуют).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(18457).</w:t>
      </w:r>
    </w:p>
    <w:p w14:paraId="5370FB2F" w14:textId="77777777" w:rsidR="000225DD" w:rsidRPr="00507A31" w:rsidRDefault="000225DD" w:rsidP="00507A31">
      <w:pPr>
        <w:jc w:val="both"/>
        <w:rPr>
          <w:color w:val="000000" w:themeColor="text1"/>
          <w:sz w:val="16"/>
          <w:szCs w:val="16"/>
        </w:rPr>
      </w:pPr>
    </w:p>
    <w:p w14:paraId="335C498D" w14:textId="77777777" w:rsidR="008B5271" w:rsidRPr="00507A31" w:rsidRDefault="008B5271"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67E7A24" w14:textId="77777777" w:rsidR="008B5271" w:rsidRPr="00507A31" w:rsidRDefault="008B5271" w:rsidP="00507A31">
      <w:pPr>
        <w:autoSpaceDE w:val="0"/>
        <w:autoSpaceDN w:val="0"/>
        <w:adjustRightInd w:val="0"/>
        <w:jc w:val="both"/>
        <w:rPr>
          <w:iCs/>
          <w:color w:val="000000" w:themeColor="text1"/>
          <w:sz w:val="16"/>
          <w:szCs w:val="16"/>
        </w:rPr>
      </w:pPr>
    </w:p>
    <w:p w14:paraId="29AC8B4E" w14:textId="77777777" w:rsidR="008B5271" w:rsidRPr="00507A31" w:rsidRDefault="008B5271" w:rsidP="00507A31">
      <w:pPr>
        <w:jc w:val="both"/>
        <w:rPr>
          <w:color w:val="0070C0"/>
          <w:sz w:val="16"/>
          <w:szCs w:val="16"/>
        </w:rPr>
      </w:pPr>
      <w:r w:rsidRPr="00507A31">
        <w:rPr>
          <w:color w:val="0070C0"/>
          <w:sz w:val="16"/>
          <w:szCs w:val="16"/>
        </w:rPr>
        <w:t>12 октября 1930 - Первый полёт SPAD S-922. Главным новшеством самолёта стал хвост типа "бабочка". После проведения нескольких испытательных полётов было принято решение, что это новшество себя не оправдало (22339).</w:t>
      </w:r>
    </w:p>
    <w:p w14:paraId="5B68E86E" w14:textId="77777777" w:rsidR="008B5271" w:rsidRPr="00507A31" w:rsidRDefault="008B5271" w:rsidP="00507A31">
      <w:pPr>
        <w:jc w:val="both"/>
        <w:rPr>
          <w:color w:val="0070C0"/>
          <w:sz w:val="16"/>
          <w:szCs w:val="16"/>
        </w:rPr>
      </w:pPr>
    </w:p>
    <w:p w14:paraId="3061261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A004A42" w14:textId="77777777" w:rsidR="00537E5F" w:rsidRPr="00507A31" w:rsidRDefault="00537E5F" w:rsidP="00507A31">
      <w:pPr>
        <w:autoSpaceDE w:val="0"/>
        <w:autoSpaceDN w:val="0"/>
        <w:adjustRightInd w:val="0"/>
        <w:jc w:val="both"/>
        <w:rPr>
          <w:iCs/>
          <w:color w:val="000000" w:themeColor="text1"/>
          <w:sz w:val="16"/>
          <w:szCs w:val="16"/>
        </w:rPr>
      </w:pPr>
    </w:p>
    <w:p w14:paraId="182D7509" w14:textId="77777777" w:rsidR="00CF653C" w:rsidRPr="00507A31" w:rsidRDefault="00CF653C" w:rsidP="00507A31">
      <w:pPr>
        <w:autoSpaceDE w:val="0"/>
        <w:autoSpaceDN w:val="0"/>
        <w:adjustRightInd w:val="0"/>
        <w:jc w:val="both"/>
        <w:rPr>
          <w:color w:val="000000" w:themeColor="text1"/>
          <w:sz w:val="16"/>
          <w:szCs w:val="16"/>
        </w:rPr>
      </w:pPr>
      <w:r w:rsidRPr="00507A31">
        <w:rPr>
          <w:color w:val="000000" w:themeColor="text1"/>
          <w:sz w:val="16"/>
          <w:szCs w:val="16"/>
        </w:rPr>
        <w:t>13 октября 1930 авиаотряду им. "Правды" выделили три самолета Р-5. Этот отряд, деятельность которого считалась очень важной, возил матрицы центральных газет в различные города страны. К "матричникам" относились с большим уважением, на последней странице газеты печатали: "Матрицы доставлены на самолете летчиком..." Авиацией перевозились матрицы "Правды" и "Известий" (12034).</w:t>
      </w:r>
    </w:p>
    <w:p w14:paraId="22EF9072" w14:textId="77777777" w:rsidR="00CF653C" w:rsidRPr="00507A31" w:rsidRDefault="00CF653C" w:rsidP="00507A31">
      <w:pPr>
        <w:autoSpaceDE w:val="0"/>
        <w:autoSpaceDN w:val="0"/>
        <w:adjustRightInd w:val="0"/>
        <w:jc w:val="both"/>
        <w:rPr>
          <w:color w:val="000000" w:themeColor="text1"/>
          <w:sz w:val="16"/>
          <w:szCs w:val="16"/>
        </w:rPr>
      </w:pPr>
    </w:p>
    <w:p w14:paraId="5B85256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DF8BEE8" w14:textId="77777777" w:rsidR="00537E5F" w:rsidRPr="00507A31" w:rsidRDefault="00537E5F" w:rsidP="00507A31">
      <w:pPr>
        <w:autoSpaceDE w:val="0"/>
        <w:autoSpaceDN w:val="0"/>
        <w:adjustRightInd w:val="0"/>
        <w:jc w:val="both"/>
        <w:rPr>
          <w:iCs/>
          <w:color w:val="000000" w:themeColor="text1"/>
          <w:sz w:val="16"/>
          <w:szCs w:val="16"/>
        </w:rPr>
      </w:pPr>
    </w:p>
    <w:p w14:paraId="6AC07F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октября 1930 г. в соответствии с пост. Президиума ВСНХ № 1304 началась реконструкция завода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и восстановление производства пушечных гильз.</w:t>
      </w:r>
    </w:p>
    <w:p w14:paraId="75ED29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марте 1922 г. на Паратском заводе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сданы в эксплуатацию </w:t>
      </w:r>
      <w:r w:rsidRPr="00507A31">
        <w:rPr>
          <w:color w:val="000000" w:themeColor="text1"/>
          <w:sz w:val="16"/>
          <w:szCs w:val="16"/>
        </w:rPr>
        <w:lastRenderedPageBreak/>
        <w:t>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w:t>
      </w:r>
    </w:p>
    <w:p w14:paraId="266DDB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507A31">
        <w:rPr>
          <w:color w:val="000000" w:themeColor="text1"/>
          <w:sz w:val="16"/>
          <w:szCs w:val="16"/>
          <w:vertAlign w:val="superscript"/>
        </w:rPr>
        <w:t>139</w:t>
      </w:r>
      <w:r w:rsidRPr="00507A31">
        <w:rPr>
          <w:color w:val="000000" w:themeColor="text1"/>
          <w:sz w:val="16"/>
          <w:szCs w:val="16"/>
        </w:rPr>
        <w:t xml:space="preserve"> В 02.1939 г. завод № 184 21ГУ НКОП передан в ведение 21ГУ НКБ. В 12.1942-09.1944 г. - в ведении 5ГУ НКБ.</w:t>
      </w:r>
    </w:p>
    <w:p w14:paraId="5F8915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290ED0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Приказом № 0223 от 28.09.1937 г. заводу была установлена программа по выпуску в 1938 г. 205 станков и 10 спецмашин.</w:t>
      </w:r>
    </w:p>
    <w:p w14:paraId="385036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783654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5752EE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1959 г. завод одним из первых в стране освоил выпуск бытовых холодильников.</w:t>
      </w:r>
    </w:p>
    <w:p w14:paraId="238682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184 - в ведении МОП (1953 г.). Имел наименование «п/я 1» (1950-66 г.)</w:t>
      </w:r>
    </w:p>
    <w:p w14:paraId="7A4044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0E8F7A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315393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(конец 1901 г.)- около 800 чел., (1902 г.)- около 200 чел., (12.1942 г.)- 5006 чел.</w:t>
      </w:r>
      <w:r w:rsidRPr="00507A31">
        <w:rPr>
          <w:color w:val="000000" w:themeColor="text1"/>
          <w:sz w:val="16"/>
          <w:szCs w:val="16"/>
          <w:vertAlign w:val="superscript"/>
        </w:rPr>
        <w:t>132</w:t>
      </w:r>
    </w:p>
    <w:p w14:paraId="6E42B9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(02.1935-7.06.1937 г.)- М.В. Хруничев, (7.06.1937-9.02.1938 г.)-  Г.И. Волошинов, (9.02.1938 г.-)- В.В. Сытин, (6.12.1941-43 г.)- А.В. Саханицкий, (1943 г.-)- Г.И. Рудаков. Гендиректор (2002 г.)- О.В. Филиппов,</w:t>
      </w:r>
      <w:r w:rsidRPr="00507A31">
        <w:rPr>
          <w:color w:val="000000" w:themeColor="text1"/>
          <w:sz w:val="16"/>
          <w:szCs w:val="16"/>
          <w:vertAlign w:val="superscript"/>
        </w:rPr>
        <w:t>69</w:t>
      </w:r>
      <w:r w:rsidRPr="00507A31">
        <w:rPr>
          <w:color w:val="000000" w:themeColor="text1"/>
          <w:sz w:val="16"/>
          <w:szCs w:val="16"/>
        </w:rPr>
        <w:t xml:space="preserve"> (1998- 2006 г.-)- Р.Ш. Хасанов.</w:t>
      </w:r>
    </w:p>
    <w:p w14:paraId="10E5C3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59918B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(1935-37; 8.03.1938 г.-)- Н.В. Мартынов, (-29.04.1937 г.)- С.З. Довконт (снят).</w:t>
      </w:r>
    </w:p>
    <w:p w14:paraId="3F90A0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энергетик (-1935 г.)- Н.В. Мартынов.</w:t>
      </w:r>
    </w:p>
    <w:p w14:paraId="2A79B1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507A31">
        <w:rPr>
          <w:color w:val="000000" w:themeColor="text1"/>
          <w:sz w:val="16"/>
          <w:szCs w:val="16"/>
          <w:vertAlign w:val="superscript"/>
        </w:rPr>
        <w:t>69</w:t>
      </w:r>
      <w:r w:rsidRPr="00507A31">
        <w:rPr>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507A31">
        <w:rPr>
          <w:color w:val="000000" w:themeColor="text1"/>
          <w:sz w:val="16"/>
          <w:szCs w:val="16"/>
          <w:vertAlign w:val="superscript"/>
        </w:rPr>
        <w:t>101</w:t>
      </w:r>
      <w:r w:rsidRPr="00507A31">
        <w:rPr>
          <w:color w:val="000000" w:themeColor="text1"/>
          <w:sz w:val="16"/>
          <w:szCs w:val="16"/>
        </w:rPr>
        <w:t xml:space="preserve"> автоматическая роторная линия ДСП-116 (1976-77)-4;</w:t>
      </w:r>
    </w:p>
    <w:p w14:paraId="19A252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холодильники: «Мир» ДХ-120 (1959-), «Свияга» (1971-), "</w:t>
      </w:r>
      <w:r w:rsidRPr="00507A31">
        <w:rPr>
          <w:color w:val="000000" w:themeColor="text1"/>
          <w:sz w:val="16"/>
          <w:szCs w:val="16"/>
          <w:lang w:val="en-US"/>
        </w:rPr>
        <w:t>POZIS</w:t>
      </w:r>
      <w:r w:rsidRPr="00507A31">
        <w:rPr>
          <w:color w:val="000000" w:themeColor="text1"/>
          <w:sz w:val="16"/>
          <w:szCs w:val="16"/>
        </w:rPr>
        <w:t>-</w:t>
      </w:r>
      <w:r w:rsidRPr="00507A31">
        <w:rPr>
          <w:color w:val="000000" w:themeColor="text1"/>
          <w:sz w:val="16"/>
          <w:szCs w:val="16"/>
          <w:lang w:val="en-US"/>
        </w:rPr>
        <w:t>Premier</w:t>
      </w:r>
      <w:r w:rsidRPr="00507A31">
        <w:rPr>
          <w:color w:val="000000" w:themeColor="text1"/>
          <w:sz w:val="16"/>
          <w:szCs w:val="16"/>
        </w:rPr>
        <w:t xml:space="preserve"> (2003-), -</w:t>
      </w:r>
      <w:r w:rsidRPr="00507A31">
        <w:rPr>
          <w:color w:val="000000" w:themeColor="text1"/>
          <w:sz w:val="16"/>
          <w:szCs w:val="16"/>
          <w:lang w:val="en-US"/>
        </w:rPr>
        <w:t>Classic</w:t>
      </w:r>
      <w:r w:rsidRPr="00507A31">
        <w:rPr>
          <w:color w:val="000000" w:themeColor="text1"/>
          <w:sz w:val="16"/>
          <w:szCs w:val="16"/>
        </w:rPr>
        <w:t>, -</w:t>
      </w:r>
      <w:r w:rsidRPr="00507A31">
        <w:rPr>
          <w:color w:val="000000" w:themeColor="text1"/>
          <w:sz w:val="16"/>
          <w:szCs w:val="16"/>
          <w:lang w:val="en-US"/>
        </w:rPr>
        <w:t>ELECTROFROST</w:t>
      </w:r>
      <w:r w:rsidRPr="00507A31">
        <w:rPr>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03400C5E" w14:textId="77777777" w:rsidR="00CF653C" w:rsidRPr="00507A31" w:rsidRDefault="00CF653C" w:rsidP="00507A31">
      <w:pPr>
        <w:shd w:val="clear" w:color="auto" w:fill="FFFFFF"/>
        <w:autoSpaceDE w:val="0"/>
        <w:autoSpaceDN w:val="0"/>
        <w:adjustRightInd w:val="0"/>
        <w:jc w:val="both"/>
        <w:rPr>
          <w:color w:val="000000" w:themeColor="text1"/>
          <w:sz w:val="16"/>
          <w:szCs w:val="16"/>
        </w:rPr>
      </w:pPr>
    </w:p>
    <w:p w14:paraId="4B2728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октября 1930 г. был подготовлен ПРОТОКОЛ СОВЕЩАНИЯ УММ И ОРУЖОРУДОБЪЕДИНЕНИЯ О ПРОИЗВОДСТВЕ ТАНКА Т-18 НА ММЗ</w:t>
      </w:r>
    </w:p>
    <w:p w14:paraId="384B57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Мотовилиха-завод</w:t>
      </w:r>
    </w:p>
    <w:p w14:paraId="3D7270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 начальник 2 управления УММ т. Бокис. Присутствовали: от Оружорудобъединения — т. Поляков Н.Н.</w:t>
      </w:r>
    </w:p>
    <w:p w14:paraId="6A48A7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УММ — Адрианов, Мизонов, Морозов. Докладчики —тт. Морозов и Поляков. Постановили:</w:t>
      </w:r>
    </w:p>
    <w:p w14:paraId="005F32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Еще раз подтвердить Оружорудобъединению, что в заказе на комплекты запасных частей не предусматривается индивидуальных комплектов запчастей, сдаваемых одновременно с каждой вы</w:t>
      </w:r>
      <w:r w:rsidRPr="00507A31">
        <w:rPr>
          <w:color w:val="000000" w:themeColor="text1"/>
          <w:sz w:val="16"/>
          <w:szCs w:val="16"/>
        </w:rPr>
        <w:softHyphen/>
        <w:t>пускаемой машиной.</w:t>
      </w:r>
    </w:p>
    <w:p w14:paraId="5F13A9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Окончательная сдача машин должна быть выполнена:</w:t>
      </w:r>
    </w:p>
    <w:p w14:paraId="106341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- 3 машины — не позднее 1 ноября; - 8 машин — не позднее 15 ноября;</w:t>
      </w:r>
    </w:p>
    <w:p w14:paraId="4AC846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В особом квартале ММЗ должен выполнить:</w:t>
      </w:r>
    </w:p>
    <w:p w14:paraId="0039C6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недодел в 11 машин (см. пункт 2); - недодел в 15 танкомоторов;</w:t>
      </w:r>
    </w:p>
    <w:p w14:paraId="438AA4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изготовить вновь 5 танкомоторов.</w:t>
      </w:r>
    </w:p>
    <w:p w14:paraId="38DEE3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 течение особого квартала на ММЗ должны быть закончены:</w:t>
      </w:r>
    </w:p>
    <w:p w14:paraId="59CD12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технологический процесс производства; - установка оборудования;</w:t>
      </w:r>
    </w:p>
    <w:p w14:paraId="2B39AD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снабжение инструментами и приспособлениями;</w:t>
      </w:r>
    </w:p>
    <w:p w14:paraId="5EBD08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технико-производственная планировка выпуска деталей, законченных механической обработ</w:t>
      </w:r>
      <w:r w:rsidRPr="00507A31">
        <w:rPr>
          <w:color w:val="000000" w:themeColor="text1"/>
          <w:sz w:val="16"/>
          <w:szCs w:val="16"/>
        </w:rPr>
        <w:softHyphen/>
        <w:t>кой, на 50 машин Т- 18 - третьей серии;</w:t>
      </w:r>
    </w:p>
    <w:p w14:paraId="14E8D6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срок окончательной сдачи первых 10 машин (из числа 50) — февраль 1931 г.</w:t>
      </w:r>
    </w:p>
    <w:p w14:paraId="438602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Просить начальника УММ т. Халепского и председателя Объединения т. Будняка лично вы</w:t>
      </w:r>
      <w:r w:rsidRPr="00507A31">
        <w:rPr>
          <w:color w:val="000000" w:themeColor="text1"/>
          <w:sz w:val="16"/>
          <w:szCs w:val="16"/>
        </w:rPr>
        <w:softHyphen/>
        <w:t>ехать на ММЗ и дать установку заводоуправлению по вопросам танкостроения, в частности:</w:t>
      </w:r>
    </w:p>
    <w:p w14:paraId="071D4B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немедленного освобождения помещения для танкового производства, ремонта и устройства с таким расчетом, чтобы к 15 ноября помещение было пущено в эксплуатацию;</w:t>
      </w:r>
    </w:p>
    <w:p w14:paraId="09D5B5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оборудования кузницы для сборки и клепки корпусов с большей пропускной способностью пе</w:t>
      </w:r>
      <w:r w:rsidRPr="00507A31">
        <w:rPr>
          <w:color w:val="000000" w:themeColor="text1"/>
          <w:sz w:val="16"/>
          <w:szCs w:val="16"/>
        </w:rPr>
        <w:softHyphen/>
        <w:t>чей — в чугунно- литейном цехе;</w:t>
      </w:r>
    </w:p>
    <w:p w14:paraId="66A39F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расширения площадей для испытательной станции моторов и соответственного оборудования таковой;</w:t>
      </w:r>
    </w:p>
    <w:p w14:paraId="2E2C7A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обеспечение танкового производства рабсилой согласно постановлению заводоуправления от 28 июня 1930 г.;</w:t>
      </w:r>
    </w:p>
    <w:p w14:paraId="7B71D1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налаживания термической обработки брони и танковых деталей;</w:t>
      </w:r>
    </w:p>
    <w:p w14:paraId="587E8F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обеспечение покупными изделиями, полуфабрикатами и инструментами путем кооперирова</w:t>
      </w:r>
      <w:r w:rsidRPr="00507A31">
        <w:rPr>
          <w:color w:val="000000" w:themeColor="text1"/>
          <w:sz w:val="16"/>
          <w:szCs w:val="16"/>
        </w:rPr>
        <w:softHyphen/>
        <w:t>ния заводов Объединения и т. д.</w:t>
      </w:r>
    </w:p>
    <w:p w14:paraId="0A546C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2 управления УММ РККА Бокис</w:t>
      </w:r>
    </w:p>
    <w:p w14:paraId="63C147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253. Л. 208 (11210).</w:t>
      </w:r>
    </w:p>
    <w:p w14:paraId="08EB3A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3394D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октября 1930 г. в газете "Известия" со статьей "К вопросу о научно-исследовательской работе в судостроении" выступили на</w:t>
      </w:r>
      <w:r w:rsidRPr="00507A31">
        <w:rPr>
          <w:color w:val="000000" w:themeColor="text1"/>
          <w:sz w:val="16"/>
          <w:szCs w:val="16"/>
        </w:rPr>
        <w:softHyphen/>
        <w:t>чальник гидромеханического отдела НИСС Ю. В. Кривцов и на</w:t>
      </w:r>
      <w:r w:rsidRPr="00507A31">
        <w:rPr>
          <w:color w:val="000000" w:themeColor="text1"/>
          <w:sz w:val="16"/>
          <w:szCs w:val="16"/>
        </w:rPr>
        <w:softHyphen/>
        <w:t>чальник Опытового бассейна Н. В. Алякринский. В статье говори</w:t>
      </w:r>
      <w:r w:rsidRPr="00507A31">
        <w:rPr>
          <w:color w:val="000000" w:themeColor="text1"/>
          <w:sz w:val="16"/>
          <w:szCs w:val="16"/>
        </w:rPr>
        <w:softHyphen/>
        <w:t>лось о необходимости создания современной (по тем временам) экспериментально-опытной базы судостроения, в том числе "мощ</w:t>
      </w:r>
      <w:r w:rsidRPr="00507A31">
        <w:rPr>
          <w:color w:val="000000" w:themeColor="text1"/>
          <w:sz w:val="16"/>
          <w:szCs w:val="16"/>
        </w:rPr>
        <w:softHyphen/>
        <w:t>ного полномерного опытового бассейна". В 1932 г. для разработ</w:t>
      </w:r>
      <w:r w:rsidRPr="00507A31">
        <w:rPr>
          <w:color w:val="000000" w:themeColor="text1"/>
          <w:sz w:val="16"/>
          <w:szCs w:val="16"/>
        </w:rPr>
        <w:softHyphen/>
        <w:t>ки проекта сооружений и средств проведения научных исследова</w:t>
      </w:r>
      <w:r w:rsidRPr="00507A31">
        <w:rPr>
          <w:color w:val="000000" w:themeColor="text1"/>
          <w:sz w:val="16"/>
          <w:szCs w:val="16"/>
        </w:rPr>
        <w:softHyphen/>
        <w:t>ний в интересах судостроения в НИСС было создано проектное бюро из специалистов НИСС и НИВК под общим руководством Ю. В. Кривцова (3898).</w:t>
      </w:r>
    </w:p>
    <w:p w14:paraId="0855CCB3" w14:textId="77777777" w:rsidR="00537E5F" w:rsidRPr="00507A31" w:rsidRDefault="00537E5F" w:rsidP="00507A31">
      <w:pPr>
        <w:autoSpaceDE w:val="0"/>
        <w:autoSpaceDN w:val="0"/>
        <w:adjustRightInd w:val="0"/>
        <w:jc w:val="both"/>
        <w:rPr>
          <w:color w:val="000000" w:themeColor="text1"/>
          <w:sz w:val="16"/>
          <w:szCs w:val="16"/>
        </w:rPr>
      </w:pPr>
    </w:p>
    <w:p w14:paraId="5E9A9BD5" w14:textId="77777777" w:rsidR="00CF653C" w:rsidRPr="00507A31" w:rsidRDefault="00CF653C"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13 октября </w:t>
      </w:r>
      <w:r w:rsidRPr="00507A31">
        <w:rPr>
          <w:color w:val="000000" w:themeColor="text1"/>
          <w:sz w:val="16"/>
          <w:szCs w:val="16"/>
        </w:rPr>
        <w:t>в 1930 году СНК СССР принял постановление об организации в ведении Наркомата почт и телеграфов Московского и Ленинградского институтов инженеров связи (ныне Санкт-Петербургский государственный университет телекоммуникаций имени профессора М.А.Бонч-Бруевича)</w:t>
      </w:r>
    </w:p>
    <w:p w14:paraId="6C592C0B" w14:textId="77777777" w:rsidR="00CF653C" w:rsidRPr="00507A31" w:rsidRDefault="00CF653C" w:rsidP="00507A31">
      <w:pPr>
        <w:jc w:val="both"/>
        <w:rPr>
          <w:color w:val="000000" w:themeColor="text1"/>
          <w:sz w:val="16"/>
          <w:szCs w:val="16"/>
        </w:rPr>
      </w:pPr>
    </w:p>
    <w:p w14:paraId="33FB90E4" w14:textId="77777777" w:rsidR="00CF653C" w:rsidRPr="00507A31" w:rsidRDefault="00CF653C"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13 октября </w:t>
      </w:r>
      <w:r w:rsidRPr="00507A31">
        <w:rPr>
          <w:color w:val="000000" w:themeColor="text1"/>
          <w:sz w:val="16"/>
          <w:szCs w:val="16"/>
        </w:rPr>
        <w:t>в 1930 году Наркомпочтель провел совещание о развитии телевидения. Было принято решение о необходимости организации научно-исследовательского института телевидения («Правда», 1930, 19 октября). Совнарком СССР принял соответствующее постановление (14798).</w:t>
      </w:r>
    </w:p>
    <w:p w14:paraId="54F24E13" w14:textId="77777777" w:rsidR="00CF653C" w:rsidRPr="00507A31" w:rsidRDefault="00CF653C" w:rsidP="00507A31">
      <w:pPr>
        <w:jc w:val="both"/>
        <w:rPr>
          <w:color w:val="000000" w:themeColor="text1"/>
          <w:sz w:val="16"/>
          <w:szCs w:val="16"/>
        </w:rPr>
      </w:pPr>
    </w:p>
    <w:p w14:paraId="6EAA012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AFBDFC3" w14:textId="77777777" w:rsidR="00537E5F" w:rsidRPr="00507A31" w:rsidRDefault="00537E5F" w:rsidP="00507A31">
      <w:pPr>
        <w:autoSpaceDE w:val="0"/>
        <w:autoSpaceDN w:val="0"/>
        <w:adjustRightInd w:val="0"/>
        <w:jc w:val="both"/>
        <w:rPr>
          <w:iCs/>
          <w:color w:val="000000" w:themeColor="text1"/>
          <w:sz w:val="16"/>
          <w:szCs w:val="16"/>
        </w:rPr>
      </w:pPr>
    </w:p>
    <w:p w14:paraId="7BC3E92B" w14:textId="77777777" w:rsidR="007253E7" w:rsidRPr="00507A31" w:rsidRDefault="007253E7" w:rsidP="00507A31">
      <w:pPr>
        <w:jc w:val="both"/>
        <w:rPr>
          <w:color w:val="000000" w:themeColor="text1"/>
          <w:sz w:val="16"/>
          <w:szCs w:val="16"/>
        </w:rPr>
      </w:pPr>
      <w:r w:rsidRPr="00507A31">
        <w:rPr>
          <w:color w:val="000000" w:themeColor="text1"/>
          <w:sz w:val="16"/>
          <w:szCs w:val="16"/>
        </w:rPr>
        <w:t>13 октября 1930 г.Показания А. В. Иванова о «вредительстве» в нефтяной промышленности, о подготовке и сроках интервенции в СССР. 13 октября 1930 г.</w:t>
      </w:r>
    </w:p>
    <w:p w14:paraId="25D512B4" w14:textId="77777777" w:rsidR="007253E7" w:rsidRPr="00507A31" w:rsidRDefault="007253E7" w:rsidP="00507A31">
      <w:pPr>
        <w:jc w:val="both"/>
        <w:rPr>
          <w:color w:val="000000" w:themeColor="text1"/>
          <w:sz w:val="16"/>
          <w:szCs w:val="16"/>
        </w:rPr>
      </w:pPr>
      <w:r w:rsidRPr="00507A31">
        <w:rPr>
          <w:color w:val="000000" w:themeColor="text1"/>
          <w:sz w:val="16"/>
          <w:szCs w:val="16"/>
        </w:rPr>
        <w:t>Источник: </w:t>
      </w:r>
    </w:p>
    <w:p w14:paraId="7A3B556F" w14:textId="77777777" w:rsidR="007253E7" w:rsidRPr="00507A31" w:rsidRDefault="007253E7" w:rsidP="00507A31">
      <w:pPr>
        <w:jc w:val="both"/>
        <w:rPr>
          <w:color w:val="000000" w:themeColor="text1"/>
          <w:sz w:val="16"/>
          <w:szCs w:val="16"/>
        </w:rPr>
      </w:pPr>
      <w:r w:rsidRPr="00507A31">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497F8E" w14:textId="77777777" w:rsidR="007253E7" w:rsidRPr="00507A31" w:rsidRDefault="007253E7" w:rsidP="00507A31">
      <w:pPr>
        <w:jc w:val="both"/>
        <w:rPr>
          <w:color w:val="000000" w:themeColor="text1"/>
          <w:sz w:val="16"/>
          <w:szCs w:val="16"/>
        </w:rPr>
      </w:pPr>
      <w:r w:rsidRPr="00507A31">
        <w:rPr>
          <w:color w:val="000000" w:themeColor="text1"/>
          <w:sz w:val="16"/>
          <w:szCs w:val="16"/>
        </w:rPr>
        <w:t>13 октября 1930 г.</w:t>
      </w:r>
    </w:p>
    <w:p w14:paraId="0BAF4AB9" w14:textId="77777777" w:rsidR="007253E7" w:rsidRPr="00507A31" w:rsidRDefault="007253E7" w:rsidP="00507A31">
      <w:pPr>
        <w:jc w:val="both"/>
        <w:rPr>
          <w:color w:val="000000" w:themeColor="text1"/>
          <w:sz w:val="16"/>
          <w:szCs w:val="16"/>
        </w:rPr>
      </w:pPr>
      <w:r w:rsidRPr="00507A31">
        <w:rPr>
          <w:color w:val="000000" w:themeColor="text1"/>
          <w:sz w:val="16"/>
          <w:szCs w:val="16"/>
        </w:rPr>
        <w:t>[Секретно]</w:t>
      </w:r>
    </w:p>
    <w:p w14:paraId="5ED25068" w14:textId="77777777" w:rsidR="007253E7" w:rsidRPr="00507A31" w:rsidRDefault="007253E7" w:rsidP="00507A31">
      <w:pPr>
        <w:jc w:val="both"/>
        <w:rPr>
          <w:color w:val="000000" w:themeColor="text1"/>
          <w:sz w:val="16"/>
          <w:szCs w:val="16"/>
        </w:rPr>
      </w:pPr>
      <w:r w:rsidRPr="00507A31">
        <w:rPr>
          <w:color w:val="000000" w:themeColor="text1"/>
          <w:sz w:val="16"/>
          <w:szCs w:val="16"/>
        </w:rPr>
        <w:t>ПРОТОКОЛ ДОПРОСА</w:t>
      </w:r>
    </w:p>
    <w:p w14:paraId="45637E46" w14:textId="77777777" w:rsidR="007253E7" w:rsidRPr="00507A31" w:rsidRDefault="007253E7" w:rsidP="00507A31">
      <w:pPr>
        <w:jc w:val="both"/>
        <w:rPr>
          <w:color w:val="000000" w:themeColor="text1"/>
          <w:sz w:val="16"/>
          <w:szCs w:val="16"/>
        </w:rPr>
      </w:pPr>
      <w:r w:rsidRPr="00507A31">
        <w:rPr>
          <w:color w:val="000000" w:themeColor="text1"/>
          <w:sz w:val="16"/>
          <w:szCs w:val="16"/>
        </w:rPr>
        <w:t>ИНЖ. ИВАНОВА АЛЕКСАНДРА ВАСИЛЬЕВИЧА ОТ 13/Х-1930 г.</w:t>
      </w:r>
    </w:p>
    <w:p w14:paraId="14F00AC4" w14:textId="77777777" w:rsidR="007253E7" w:rsidRPr="00507A31" w:rsidRDefault="007253E7" w:rsidP="00507A31">
      <w:pPr>
        <w:jc w:val="both"/>
        <w:rPr>
          <w:color w:val="000000" w:themeColor="text1"/>
          <w:sz w:val="16"/>
          <w:szCs w:val="16"/>
        </w:rPr>
      </w:pPr>
      <w:r w:rsidRPr="00507A31">
        <w:rPr>
          <w:color w:val="000000" w:themeColor="text1"/>
          <w:sz w:val="16"/>
          <w:szCs w:val="16"/>
        </w:rPr>
        <w:t>Как я уже показывал, ранее, в СССР существовала огромная вредительская организация в нефтяной промышленности. Будучи членом этой организации, я знал, что и целый ряд других крупных отраслей промышленности, как металлургия, химпромышленность, текстиль, уголь и пр., были охвачены подобными же вредительскими организациями.</w:t>
      </w:r>
    </w:p>
    <w:p w14:paraId="57D9B1AE" w14:textId="77777777" w:rsidR="007253E7" w:rsidRPr="00507A31" w:rsidRDefault="007253E7" w:rsidP="00507A31">
      <w:pPr>
        <w:jc w:val="both"/>
        <w:rPr>
          <w:color w:val="000000" w:themeColor="text1"/>
          <w:sz w:val="16"/>
          <w:szCs w:val="16"/>
        </w:rPr>
      </w:pPr>
      <w:r w:rsidRPr="00507A31">
        <w:rPr>
          <w:color w:val="000000" w:themeColor="text1"/>
          <w:sz w:val="16"/>
          <w:szCs w:val="16"/>
        </w:rPr>
        <w:t>Еще в мою последнюю поездку заграницу — 1924 г. (Германия, Англия) я слышал от лиц, состоящих членами Торгпрома — НОБЕЛЯ и Кянджунцева, что НЭП разложит советскую власть и партию большевиков, создав благоприятную обстановку для постепенного перехода к буржуазно-демократической республике. Торгпром был настолько уверен в реконструкции советской власти и в возврате в той или иной форме буржуазии к власти, что русские нефтяные ценности стали вновь котироваться на Парижской и Лондонской биржах.</w:t>
      </w:r>
    </w:p>
    <w:p w14:paraId="55824E0E" w14:textId="77777777" w:rsidR="007253E7" w:rsidRPr="00507A31" w:rsidRDefault="007253E7" w:rsidP="00507A31">
      <w:pPr>
        <w:jc w:val="both"/>
        <w:rPr>
          <w:color w:val="000000" w:themeColor="text1"/>
          <w:sz w:val="16"/>
          <w:szCs w:val="16"/>
        </w:rPr>
      </w:pPr>
      <w:r w:rsidRPr="00507A31">
        <w:rPr>
          <w:color w:val="000000" w:themeColor="text1"/>
          <w:sz w:val="16"/>
          <w:szCs w:val="16"/>
        </w:rPr>
        <w:t>Соответственно этому и вредительские директивы Торгпрома в части нефтяной промышленности сводились к срыву наших кредитов заграницей, блокаде нашего экспорта, задержке развития наших богатейших нефтеносных районов, задержке капитального строительства и пр. Появление оппозиции в рядах большевистской партии служило как бы лучшим симптомом приведенной выше концепции. Но расчеты Торгпрома и наших вредительских организаций оказались ложными. Правительство взяло новый курс на усиленное строительство в области промышленности, найдя средства внутри страны и от усиления экспорта.</w:t>
      </w:r>
    </w:p>
    <w:p w14:paraId="02F953DE" w14:textId="77777777" w:rsidR="007253E7" w:rsidRPr="00507A31" w:rsidRDefault="007253E7" w:rsidP="00507A31">
      <w:pPr>
        <w:jc w:val="both"/>
        <w:rPr>
          <w:color w:val="000000" w:themeColor="text1"/>
          <w:sz w:val="16"/>
          <w:szCs w:val="16"/>
        </w:rPr>
      </w:pPr>
      <w:r w:rsidRPr="00507A31">
        <w:rPr>
          <w:color w:val="000000" w:themeColor="text1"/>
          <w:sz w:val="16"/>
          <w:szCs w:val="16"/>
        </w:rPr>
        <w:t>Мелко-буржуазная крестьянская стихия коллективизируется и переходит на новые технические рельсы. Уже в 1926 и [19]27 г.г. я начал слышал от члена английской миссии УАЙТА новые идеи. Правительства Франции и Англии, ранее загипнотизированные агитацией Торгпрома и буржуазной прессой в быстром развале советской власти под влиянием НЭПа, раскола партии и деятельности вредительских организаций, стали более пристально присматриваться к строительству в СССР и видеть на цифрах и фактах мощный рост нашей промышленности и всего х[озяйст]ва.</w:t>
      </w:r>
    </w:p>
    <w:p w14:paraId="32132AE4" w14:textId="77777777" w:rsidR="007253E7" w:rsidRPr="00507A31" w:rsidRDefault="007253E7" w:rsidP="00507A31">
      <w:pPr>
        <w:jc w:val="both"/>
        <w:rPr>
          <w:color w:val="000000" w:themeColor="text1"/>
          <w:sz w:val="16"/>
          <w:szCs w:val="16"/>
        </w:rPr>
      </w:pPr>
      <w:r w:rsidRPr="00507A31">
        <w:rPr>
          <w:color w:val="000000" w:themeColor="text1"/>
          <w:sz w:val="16"/>
          <w:szCs w:val="16"/>
        </w:rPr>
        <w:t>Для них и для Торгпрома год от года становилось ясней, что Советское Правительство справляется с разрухой и быстро становится на самостоятельные ноги. Надежда Торгпрома на возврат б. фабрик и заводов гибла на глазах у всех. Надежда буржуазных правительств и вместе с ними буржуазии Англии и Франции обратить СССР в свою колонию, лопалась как мыльный пузырь. Становилось очевидным для всех, что указанными выше мерами развалить СССР и свергнуть большевистское правительство нельзя. Нужен был какой[-]то дополнительный железный кулак, способный раздробить страну на части. Таковым кулаком может быть только вооруженная интервенция, в пределах СССР.</w:t>
      </w:r>
    </w:p>
    <w:p w14:paraId="24612BFF" w14:textId="77777777" w:rsidR="007253E7" w:rsidRPr="00507A31" w:rsidRDefault="007253E7" w:rsidP="00507A31">
      <w:pPr>
        <w:jc w:val="both"/>
        <w:rPr>
          <w:color w:val="000000" w:themeColor="text1"/>
          <w:sz w:val="16"/>
          <w:szCs w:val="16"/>
        </w:rPr>
      </w:pPr>
      <w:r w:rsidRPr="00507A31">
        <w:rPr>
          <w:color w:val="000000" w:themeColor="text1"/>
          <w:sz w:val="16"/>
          <w:szCs w:val="16"/>
        </w:rPr>
        <w:t>Кольцо лимитрофов из Румынии, Польши, Латвии, Эстонии и Финляндии, вместо защитных идей от вторжения Красной Армии в их пределы, получает новое задание быть авангардом для вторжения в СССР с целью захвата промышленных районов.</w:t>
      </w:r>
    </w:p>
    <w:p w14:paraId="3EE1A4D6" w14:textId="77777777" w:rsidR="007253E7" w:rsidRPr="00507A31" w:rsidRDefault="007253E7" w:rsidP="00507A31">
      <w:pPr>
        <w:jc w:val="both"/>
        <w:rPr>
          <w:color w:val="000000" w:themeColor="text1"/>
          <w:sz w:val="16"/>
          <w:szCs w:val="16"/>
        </w:rPr>
      </w:pPr>
      <w:r w:rsidRPr="00507A31">
        <w:rPr>
          <w:color w:val="000000" w:themeColor="text1"/>
          <w:sz w:val="16"/>
          <w:szCs w:val="16"/>
        </w:rPr>
        <w:t>УАЙТ передавал мне, что английский и французский штабы вошли в полный контакт с Торгпромом в части координирования своих действий. Характер вредительской работы начал меняться под влиянием новых директив Торгпрома.</w:t>
      </w:r>
    </w:p>
    <w:p w14:paraId="717D7F5B" w14:textId="77777777" w:rsidR="007253E7" w:rsidRPr="00507A31" w:rsidRDefault="007253E7" w:rsidP="00507A31">
      <w:pPr>
        <w:jc w:val="both"/>
        <w:rPr>
          <w:color w:val="000000" w:themeColor="text1"/>
          <w:sz w:val="16"/>
          <w:szCs w:val="16"/>
        </w:rPr>
      </w:pPr>
      <w:r w:rsidRPr="00507A31">
        <w:rPr>
          <w:color w:val="000000" w:themeColor="text1"/>
          <w:sz w:val="16"/>
          <w:szCs w:val="16"/>
        </w:rPr>
        <w:t>Все вредительские организации, как я узнал в 1927 или 1928 г.[,] связываются общим инженерным центром, получающим задания от Торгпрома через различные иностранные миссии (гл[авным] обр[азом] через английскую и французскую миссии).</w:t>
      </w:r>
    </w:p>
    <w:p w14:paraId="768BA930" w14:textId="77777777" w:rsidR="007253E7" w:rsidRPr="00507A31" w:rsidRDefault="007253E7" w:rsidP="00507A31">
      <w:pPr>
        <w:jc w:val="both"/>
        <w:rPr>
          <w:color w:val="000000" w:themeColor="text1"/>
          <w:sz w:val="16"/>
          <w:szCs w:val="16"/>
        </w:rPr>
      </w:pPr>
      <w:r w:rsidRPr="00507A31">
        <w:rPr>
          <w:color w:val="000000" w:themeColor="text1"/>
          <w:sz w:val="16"/>
          <w:szCs w:val="16"/>
        </w:rPr>
        <w:t>Нефтяная промышленность получает задание через Уайта организовать в местах возможной высадки десантов (Батум и Туапсе) специальные военны[е] групп[ы] из бывших военных инженеров и бывших офицеров; в задачи этих групп входило принятие различных мер по облегчению дессантских операций, углублению портов для военных судов, заготовки материалов и др. Я в точности не смогу сказать, в каком объеме было выполнено это задание, но одно звено этого рода вредительства в виде прокладки нефтепровода и постройки мощных нефтеперегонных заводов в Туапсе, было выполнено полностью. Сосредоточие больших нефтяных масс в Туапсе давало возможность свободного маневрирования военным иностранным судам в Черном море. В этом выразилась наиболее конкретная помощь интервентам со стороны вредительской организации нефтяной промышленности.</w:t>
      </w:r>
    </w:p>
    <w:p w14:paraId="66E67C43" w14:textId="77777777" w:rsidR="007253E7" w:rsidRPr="00507A31" w:rsidRDefault="007253E7" w:rsidP="00507A31">
      <w:pPr>
        <w:jc w:val="both"/>
        <w:rPr>
          <w:color w:val="000000" w:themeColor="text1"/>
          <w:sz w:val="16"/>
          <w:szCs w:val="16"/>
        </w:rPr>
      </w:pPr>
      <w:r w:rsidRPr="00507A31">
        <w:rPr>
          <w:color w:val="000000" w:themeColor="text1"/>
          <w:sz w:val="16"/>
          <w:szCs w:val="16"/>
        </w:rPr>
        <w:t>Из всех моих бесед с Уайтом я знал, что интервенция назначена на лето-осень 1928 г. Аналогичные разговоры об определении срока интервенции были у меня и с другими инженерами-нефтяниками, и в том числе со Стрижевым. От приехавшего из заграницы Стрижева (весной 1928 г.) я узнал, что интервенция откладывается до 1930/31 г. Стрижев, по его словам, виделся в Париже с Нобелем Густавом, сообщившем ему, что лимитрофы, Польша и Румыния, по мнению заграничных военных кругов[,] не достаточно подготовлены для вооруженного выступления против СССР.</w:t>
      </w:r>
    </w:p>
    <w:p w14:paraId="333A10D9" w14:textId="77777777" w:rsidR="007253E7" w:rsidRPr="00507A31" w:rsidRDefault="007253E7" w:rsidP="00507A31">
      <w:pPr>
        <w:jc w:val="both"/>
        <w:rPr>
          <w:color w:val="000000" w:themeColor="text1"/>
          <w:sz w:val="16"/>
          <w:szCs w:val="16"/>
        </w:rPr>
      </w:pPr>
      <w:r w:rsidRPr="00507A31">
        <w:rPr>
          <w:color w:val="000000" w:themeColor="text1"/>
          <w:sz w:val="16"/>
          <w:szCs w:val="16"/>
        </w:rPr>
        <w:t>Другим мотивом к отсрочке интервенции служило то, что недостаточно оформился анти-советский блок, в каковой в это время втягивались более усиленно такие страны, как Латвия и Финляндия.</w:t>
      </w:r>
    </w:p>
    <w:p w14:paraId="55A52DFF" w14:textId="77777777" w:rsidR="007253E7" w:rsidRPr="00507A31" w:rsidRDefault="007253E7" w:rsidP="00507A31">
      <w:pPr>
        <w:jc w:val="both"/>
        <w:rPr>
          <w:color w:val="000000" w:themeColor="text1"/>
          <w:sz w:val="16"/>
          <w:szCs w:val="16"/>
        </w:rPr>
      </w:pPr>
      <w:r w:rsidRPr="00507A31">
        <w:rPr>
          <w:color w:val="000000" w:themeColor="text1"/>
          <w:sz w:val="16"/>
          <w:szCs w:val="16"/>
        </w:rPr>
        <w:t>Неоднократно обсуждая вопрос об интервенции в среде вредительской организации в нефтепромышленности (Стрижев, Ларичев и др.), мы неуклонно приходили к убеждению, что Советская власть может быть свергнута только путем вооруженной интервенции.</w:t>
      </w:r>
    </w:p>
    <w:p w14:paraId="3CE26F52" w14:textId="77777777" w:rsidR="007253E7" w:rsidRPr="00507A31" w:rsidRDefault="007253E7" w:rsidP="00507A31">
      <w:pPr>
        <w:jc w:val="both"/>
        <w:rPr>
          <w:color w:val="000000" w:themeColor="text1"/>
          <w:sz w:val="16"/>
          <w:szCs w:val="16"/>
        </w:rPr>
      </w:pPr>
      <w:r w:rsidRPr="00507A31">
        <w:rPr>
          <w:color w:val="000000" w:themeColor="text1"/>
          <w:sz w:val="16"/>
          <w:szCs w:val="16"/>
        </w:rPr>
        <w:t>Записал собственноручно — А. В. ИВАНОВ.</w:t>
      </w:r>
    </w:p>
    <w:p w14:paraId="55D574E7" w14:textId="77777777" w:rsidR="007253E7" w:rsidRPr="00507A31" w:rsidRDefault="007253E7" w:rsidP="00507A31">
      <w:pPr>
        <w:jc w:val="both"/>
        <w:rPr>
          <w:color w:val="000000" w:themeColor="text1"/>
          <w:sz w:val="16"/>
          <w:szCs w:val="16"/>
        </w:rPr>
      </w:pPr>
      <w:r w:rsidRPr="00507A31">
        <w:rPr>
          <w:color w:val="000000" w:themeColor="text1"/>
          <w:sz w:val="16"/>
          <w:szCs w:val="16"/>
        </w:rPr>
        <w:t>Допросил: Пом. Нач. 1-го Отделения] ЭКУ ОГПУ (Ржавский)</w:t>
      </w:r>
    </w:p>
    <w:p w14:paraId="78F2B322" w14:textId="77777777" w:rsidR="007253E7" w:rsidRPr="00507A31" w:rsidRDefault="007253E7" w:rsidP="00507A31">
      <w:pPr>
        <w:jc w:val="both"/>
        <w:rPr>
          <w:color w:val="000000" w:themeColor="text1"/>
          <w:sz w:val="16"/>
          <w:szCs w:val="16"/>
        </w:rPr>
      </w:pPr>
      <w:r w:rsidRPr="00507A31">
        <w:rPr>
          <w:color w:val="000000" w:themeColor="text1"/>
          <w:sz w:val="16"/>
          <w:szCs w:val="16"/>
        </w:rPr>
        <w:t>Д. 383. Л. 191-194. Машинописная копия того времени. На Л. 191 вверху — делопроизводственная помета (машинописью) о перепечатке текста, штамп о рассылке документа (номер и дата отсутствуют). На Л. 193 абзац «Из всех бесед с Уайтом [...] для вооруженного выступления против СССР» отчеркнут вертикальной чертой на поле слева, рядом от руки написано «NB».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(18456).</w:t>
      </w:r>
    </w:p>
    <w:p w14:paraId="11CF0ACD" w14:textId="77777777" w:rsidR="007253E7" w:rsidRPr="00507A31" w:rsidRDefault="007253E7" w:rsidP="00507A31">
      <w:pPr>
        <w:jc w:val="both"/>
        <w:rPr>
          <w:color w:val="000000" w:themeColor="text1"/>
          <w:sz w:val="16"/>
          <w:szCs w:val="16"/>
        </w:rPr>
      </w:pPr>
    </w:p>
    <w:p w14:paraId="4EDE20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октября 1930 в Воронеже руководство областного представительства ОГПУ направило первому секретарю Центрально-Черноземного обкома ВКП(б) И.Варейкису секретное донесение с информацией о гибели урожая в Рышковском объединении совхозов Медвенского района ЦЧО: "Яровые хлеба... до сих пор находятся в поле. Хлеб гниет и прорастает" (10687).</w:t>
      </w:r>
    </w:p>
    <w:p w14:paraId="3A875565" w14:textId="77777777" w:rsidR="00537E5F" w:rsidRPr="00507A31" w:rsidRDefault="00537E5F" w:rsidP="00507A31">
      <w:pPr>
        <w:autoSpaceDE w:val="0"/>
        <w:autoSpaceDN w:val="0"/>
        <w:adjustRightInd w:val="0"/>
        <w:jc w:val="both"/>
        <w:rPr>
          <w:color w:val="000000" w:themeColor="text1"/>
          <w:sz w:val="16"/>
          <w:szCs w:val="16"/>
        </w:rPr>
      </w:pPr>
    </w:p>
    <w:p w14:paraId="2CDD72BF" w14:textId="77777777" w:rsidR="008B5271" w:rsidRPr="00507A31" w:rsidRDefault="008B5271"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687D2F7" w14:textId="77777777" w:rsidR="008B5271" w:rsidRPr="00507A31" w:rsidRDefault="008B5271" w:rsidP="00507A31">
      <w:pPr>
        <w:autoSpaceDE w:val="0"/>
        <w:autoSpaceDN w:val="0"/>
        <w:adjustRightInd w:val="0"/>
        <w:jc w:val="both"/>
        <w:rPr>
          <w:iCs/>
          <w:color w:val="000000" w:themeColor="text1"/>
          <w:sz w:val="16"/>
          <w:szCs w:val="16"/>
        </w:rPr>
      </w:pPr>
    </w:p>
    <w:p w14:paraId="4FA4D1C5" w14:textId="77777777" w:rsidR="008B5271" w:rsidRPr="00507A31" w:rsidRDefault="008B5271" w:rsidP="00507A31">
      <w:pPr>
        <w:jc w:val="both"/>
        <w:rPr>
          <w:color w:val="0070C0"/>
          <w:sz w:val="16"/>
          <w:szCs w:val="16"/>
        </w:rPr>
      </w:pPr>
      <w:r w:rsidRPr="00507A31">
        <w:rPr>
          <w:color w:val="0070C0"/>
          <w:sz w:val="16"/>
          <w:szCs w:val="16"/>
        </w:rPr>
        <w:t>13 октября 1930 первый полет Junkers Ju 52 / 1m  (20805).</w:t>
      </w:r>
    </w:p>
    <w:p w14:paraId="011064D6" w14:textId="77777777" w:rsidR="008B5271" w:rsidRPr="00507A31" w:rsidRDefault="008B5271" w:rsidP="00507A31">
      <w:pPr>
        <w:jc w:val="both"/>
        <w:rPr>
          <w:color w:val="0070C0"/>
          <w:sz w:val="16"/>
          <w:szCs w:val="16"/>
        </w:rPr>
      </w:pPr>
    </w:p>
    <w:p w14:paraId="6CF9194A" w14:textId="77777777" w:rsidR="008B5271" w:rsidRPr="00507A31" w:rsidRDefault="008B5271" w:rsidP="00507A31">
      <w:pPr>
        <w:jc w:val="both"/>
        <w:rPr>
          <w:color w:val="0070C0"/>
          <w:sz w:val="16"/>
          <w:szCs w:val="16"/>
        </w:rPr>
      </w:pPr>
      <w:r w:rsidRPr="00507A31">
        <w:rPr>
          <w:color w:val="0070C0"/>
          <w:sz w:val="16"/>
          <w:szCs w:val="16"/>
        </w:rPr>
        <w:t>13 октября 1930 года — первый полёт транспортного самолёт Junkers Ju 52/1m. /Германия/</w:t>
      </w:r>
    </w:p>
    <w:p w14:paraId="2B4C2AE4" w14:textId="77777777" w:rsidR="008B5271" w:rsidRPr="00507A31" w:rsidRDefault="008B5271" w:rsidP="00507A31">
      <w:pPr>
        <w:jc w:val="both"/>
        <w:rPr>
          <w:color w:val="0070C0"/>
          <w:sz w:val="16"/>
          <w:szCs w:val="16"/>
        </w:rPr>
      </w:pPr>
      <w:r w:rsidRPr="00507A31">
        <w:rPr>
          <w:color w:val="0070C0"/>
          <w:sz w:val="16"/>
          <w:szCs w:val="16"/>
        </w:rPr>
        <w:t>Авиакомпания Junkers Luftverkehr Persien, входившая в Junkers Flugzeug- und Motorenwerke, в 1929 году предложила разработать новый транспортный самолёт. Основные требования — перевозка 2 тонн груза на расстояние 800 км. Работу над проектом Ju 52/1m начала команда инженеров во главе с Эрнстом Зинделем (Ernst Zindel).</w:t>
      </w:r>
    </w:p>
    <w:p w14:paraId="24162759" w14:textId="77777777" w:rsidR="008B5271" w:rsidRPr="00507A31" w:rsidRDefault="008B5271" w:rsidP="00507A31">
      <w:pPr>
        <w:jc w:val="both"/>
        <w:rPr>
          <w:color w:val="0070C0"/>
          <w:sz w:val="16"/>
          <w:szCs w:val="16"/>
        </w:rPr>
      </w:pPr>
      <w:r w:rsidRPr="00507A31">
        <w:rPr>
          <w:color w:val="0070C0"/>
          <w:sz w:val="16"/>
          <w:szCs w:val="16"/>
        </w:rPr>
        <w:t>Это был цельнометаллический низкоплан с неубираемым шасси (колёсным, лыжным или поплавковым) и типичной для Junkers гофрированной дюралюминиевой обшивкой. Оснащался двигателем BMW VII (504 л.с.) Крейсерская скорость — 165 км/ч, дальность полёта — 1500 км. Брал на борт 15 пассажиров или 2170 кг груза.</w:t>
      </w:r>
    </w:p>
    <w:p w14:paraId="00F055DB" w14:textId="77777777" w:rsidR="008B5271" w:rsidRPr="00507A31" w:rsidRDefault="008B5271" w:rsidP="00507A31">
      <w:pPr>
        <w:jc w:val="both"/>
        <w:rPr>
          <w:color w:val="0070C0"/>
          <w:sz w:val="16"/>
          <w:szCs w:val="16"/>
        </w:rPr>
      </w:pPr>
      <w:r w:rsidRPr="00507A31">
        <w:rPr>
          <w:color w:val="0070C0"/>
          <w:sz w:val="16"/>
          <w:szCs w:val="16"/>
        </w:rPr>
        <w:t>Ju 52/1m не стал особо успешным — построили всего 7 самолётов. Причина банальна — одного двигателя было мало как по мощности, так и в плане безопасности. Поэтому Зиндель переделал Ju 52/1m в трёхмоторный самолёт. Так появился знаменитый и гораздо более успешный Ju 52/3m (22300).</w:t>
      </w:r>
    </w:p>
    <w:p w14:paraId="1F1A61D7" w14:textId="77777777" w:rsidR="008B5271" w:rsidRPr="00507A31" w:rsidRDefault="008B5271" w:rsidP="00507A31">
      <w:pPr>
        <w:jc w:val="both"/>
        <w:rPr>
          <w:color w:val="0070C0"/>
          <w:sz w:val="16"/>
          <w:szCs w:val="16"/>
        </w:rPr>
      </w:pPr>
    </w:p>
    <w:p w14:paraId="74E3D4F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36ECAD2" w14:textId="77777777" w:rsidR="00537E5F" w:rsidRPr="00507A31" w:rsidRDefault="00537E5F" w:rsidP="00507A31">
      <w:pPr>
        <w:autoSpaceDE w:val="0"/>
        <w:autoSpaceDN w:val="0"/>
        <w:adjustRightInd w:val="0"/>
        <w:jc w:val="both"/>
        <w:rPr>
          <w:iCs/>
          <w:color w:val="000000" w:themeColor="text1"/>
          <w:sz w:val="16"/>
          <w:szCs w:val="16"/>
        </w:rPr>
      </w:pPr>
    </w:p>
    <w:p w14:paraId="2C67BD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октября 1930 был подан двигатель для Т-20 мощностью 60 нр для Т-20, но реально давал 57. Хотели ставить и на Т-18 новых серий, танкетку Т-23, малые и средние трактора РККА. Т-20 из-за процессов Промпартии не достроили и летом 1931 машину передали для изготовления 60-сильного среднего трактора РККА (4243,14).</w:t>
      </w:r>
    </w:p>
    <w:p w14:paraId="22CF1825" w14:textId="77777777" w:rsidR="00537E5F" w:rsidRPr="00507A31" w:rsidRDefault="00537E5F" w:rsidP="00507A31">
      <w:pPr>
        <w:autoSpaceDE w:val="0"/>
        <w:autoSpaceDN w:val="0"/>
        <w:adjustRightInd w:val="0"/>
        <w:jc w:val="both"/>
        <w:rPr>
          <w:color w:val="000000" w:themeColor="text1"/>
          <w:sz w:val="16"/>
          <w:szCs w:val="16"/>
        </w:rPr>
      </w:pPr>
    </w:p>
    <w:p w14:paraId="7DDDFA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октября 1930 двигатель танка мощностью 60 л.с. (кторый запоздал почти на полгода) был подан и развил на стенде мощ</w:t>
      </w:r>
      <w:r w:rsidRPr="00507A31">
        <w:rPr>
          <w:color w:val="000000" w:themeColor="text1"/>
          <w:sz w:val="16"/>
          <w:szCs w:val="16"/>
        </w:rPr>
        <w:softHyphen/>
        <w:t>ность 57 л.с, правда, при несколько лучшей экономичности, чем ожидалось. Этот двигатель планировалось устанавли</w:t>
      </w:r>
      <w:r w:rsidRPr="00507A31">
        <w:rPr>
          <w:color w:val="000000" w:themeColor="text1"/>
          <w:sz w:val="16"/>
          <w:szCs w:val="16"/>
        </w:rPr>
        <w:softHyphen/>
        <w:t>вать также на танки Т-18 новых серий, танкетки Т-23, а так</w:t>
      </w:r>
      <w:r w:rsidRPr="00507A31">
        <w:rPr>
          <w:color w:val="000000" w:themeColor="text1"/>
          <w:sz w:val="16"/>
          <w:szCs w:val="16"/>
        </w:rPr>
        <w:softHyphen/>
        <w:t>же средние тракторы РККА (10733,95).</w:t>
      </w:r>
    </w:p>
    <w:p w14:paraId="47E620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27C98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14 октября 1930 по приказанию Зам. пред. РВС СССР т. Уборевича, под непосредственным руководством секции был выполнен эскизный проект и проведено бронирование вооружением бронеплощадки Ижорского завода с 76 мм зенитными пушками и поступил на испытание (10977).</w:t>
      </w:r>
    </w:p>
    <w:p w14:paraId="61035054" w14:textId="77777777" w:rsidR="00537E5F" w:rsidRPr="00507A31" w:rsidRDefault="00537E5F" w:rsidP="00507A31">
      <w:pPr>
        <w:autoSpaceDE w:val="0"/>
        <w:autoSpaceDN w:val="0"/>
        <w:adjustRightInd w:val="0"/>
        <w:jc w:val="both"/>
        <w:rPr>
          <w:color w:val="000000" w:themeColor="text1"/>
          <w:sz w:val="16"/>
          <w:szCs w:val="16"/>
        </w:rPr>
      </w:pPr>
    </w:p>
    <w:p w14:paraId="572D820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7E131E4" w14:textId="77777777" w:rsidR="00537E5F" w:rsidRPr="00507A31" w:rsidRDefault="00537E5F" w:rsidP="00507A31">
      <w:pPr>
        <w:autoSpaceDE w:val="0"/>
        <w:autoSpaceDN w:val="0"/>
        <w:adjustRightInd w:val="0"/>
        <w:jc w:val="both"/>
        <w:rPr>
          <w:iCs/>
          <w:color w:val="000000" w:themeColor="text1"/>
          <w:sz w:val="16"/>
          <w:szCs w:val="16"/>
        </w:rPr>
      </w:pPr>
    </w:p>
    <w:p w14:paraId="65439CE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14 октября 1930 вышло Постановление ЦИК и СНК об обязательном всеобщем начальном образовании. С 1927 по 1933 число учащихся общеобразовательных школ возрастает с 1 млн. 600 тыс. до 21 млн. 400 тыс.</w:t>
      </w:r>
    </w:p>
    <w:p w14:paraId="6DE7B9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октября 1930 Туркменская ССР. Части Красной Армии и пограничники при поддержке авиации сорвали попытку массовой эмиграции туркмен в Афганистан. Убито 90 чел, захвачено 258 человек, 210 верблюдов, 9261 баран. Через границу в Афганистан прорвались 13 туркменских хозяйств и 20 басмачей во главе с Керим-ханом (10687).</w:t>
      </w:r>
    </w:p>
    <w:p w14:paraId="6DD1381B" w14:textId="77777777" w:rsidR="00537E5F" w:rsidRPr="00507A31" w:rsidRDefault="00537E5F" w:rsidP="00507A31">
      <w:pPr>
        <w:autoSpaceDE w:val="0"/>
        <w:autoSpaceDN w:val="0"/>
        <w:adjustRightInd w:val="0"/>
        <w:jc w:val="both"/>
        <w:rPr>
          <w:color w:val="000000" w:themeColor="text1"/>
          <w:sz w:val="16"/>
          <w:szCs w:val="16"/>
        </w:rPr>
      </w:pPr>
    </w:p>
    <w:p w14:paraId="0E625D45" w14:textId="77777777" w:rsidR="00C839F9" w:rsidRPr="00507A31" w:rsidRDefault="00C839F9" w:rsidP="00507A31">
      <w:pPr>
        <w:jc w:val="both"/>
        <w:rPr>
          <w:color w:val="000000" w:themeColor="text1"/>
          <w:sz w:val="16"/>
          <w:szCs w:val="16"/>
        </w:rPr>
      </w:pPr>
      <w:r w:rsidRPr="00507A31">
        <w:rPr>
          <w:color w:val="000000" w:themeColor="text1"/>
          <w:sz w:val="16"/>
          <w:szCs w:val="16"/>
        </w:rPr>
        <w:t>14 октября 1930 г.</w:t>
      </w:r>
    </w:p>
    <w:p w14:paraId="6EA0E479" w14:textId="77777777" w:rsidR="00C839F9" w:rsidRPr="00507A31" w:rsidRDefault="00C839F9" w:rsidP="00507A31">
      <w:pPr>
        <w:jc w:val="both"/>
        <w:rPr>
          <w:color w:val="000000" w:themeColor="text1"/>
          <w:sz w:val="16"/>
          <w:szCs w:val="16"/>
        </w:rPr>
      </w:pPr>
      <w:r w:rsidRPr="00507A31">
        <w:rPr>
          <w:color w:val="000000" w:themeColor="text1"/>
          <w:sz w:val="16"/>
          <w:szCs w:val="16"/>
        </w:rPr>
        <w:t>Письмо председателя ОГПУ В. Р. Менжинского И. В. Сталину об отправке в Политбюро ЦК ВКП(б) протоколов допросов «участников дела ТКП и Промпартии» о подготовке интервенции в СССР. 14 октября 1930 г.</w:t>
      </w:r>
    </w:p>
    <w:p w14:paraId="2D69EFF1" w14:textId="77777777" w:rsidR="00C839F9" w:rsidRPr="00507A31" w:rsidRDefault="00C839F9" w:rsidP="00507A31">
      <w:pPr>
        <w:jc w:val="both"/>
        <w:rPr>
          <w:color w:val="000000" w:themeColor="text1"/>
          <w:sz w:val="16"/>
          <w:szCs w:val="16"/>
        </w:rPr>
      </w:pPr>
      <w:r w:rsidRPr="00507A31">
        <w:rPr>
          <w:color w:val="000000" w:themeColor="text1"/>
          <w:sz w:val="16"/>
          <w:szCs w:val="16"/>
        </w:rPr>
        <w:t>Источник: </w:t>
      </w:r>
    </w:p>
    <w:p w14:paraId="5426BF4D" w14:textId="77777777" w:rsidR="00C839F9" w:rsidRPr="00507A31" w:rsidRDefault="00C839F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D85C323" w14:textId="77777777" w:rsidR="00C839F9" w:rsidRPr="00507A31" w:rsidRDefault="00C839F9" w:rsidP="00507A31">
      <w:pPr>
        <w:jc w:val="both"/>
        <w:rPr>
          <w:color w:val="000000" w:themeColor="text1"/>
          <w:sz w:val="16"/>
          <w:szCs w:val="16"/>
        </w:rPr>
      </w:pPr>
      <w:r w:rsidRPr="00507A31">
        <w:rPr>
          <w:color w:val="000000" w:themeColor="text1"/>
          <w:sz w:val="16"/>
          <w:szCs w:val="16"/>
        </w:rPr>
        <w:t>14 октября 1930 г.</w:t>
      </w:r>
    </w:p>
    <w:p w14:paraId="3F9C1192" w14:textId="77777777" w:rsidR="00C839F9" w:rsidRPr="00507A31" w:rsidRDefault="00C839F9" w:rsidP="00507A31">
      <w:pPr>
        <w:jc w:val="both"/>
        <w:rPr>
          <w:color w:val="000000" w:themeColor="text1"/>
          <w:sz w:val="16"/>
          <w:szCs w:val="16"/>
        </w:rPr>
      </w:pPr>
      <w:r w:rsidRPr="00507A31">
        <w:rPr>
          <w:color w:val="000000" w:themeColor="text1"/>
          <w:sz w:val="16"/>
          <w:szCs w:val="16"/>
        </w:rPr>
        <w:t>COBEPШEHHO СЕКРЕТНО.</w:t>
      </w:r>
    </w:p>
    <w:p w14:paraId="615AF19E" w14:textId="77777777" w:rsidR="00C839F9" w:rsidRPr="00507A31" w:rsidRDefault="00C839F9" w:rsidP="00507A31">
      <w:pPr>
        <w:jc w:val="both"/>
        <w:rPr>
          <w:color w:val="000000" w:themeColor="text1"/>
          <w:sz w:val="16"/>
          <w:szCs w:val="16"/>
        </w:rPr>
      </w:pPr>
      <w:r w:rsidRPr="00507A31">
        <w:rPr>
          <w:color w:val="000000" w:themeColor="text1"/>
          <w:sz w:val="16"/>
          <w:szCs w:val="16"/>
        </w:rPr>
        <w:t>В ПОЛИТБЮРО ЦК ВКП(б)</w:t>
      </w:r>
    </w:p>
    <w:p w14:paraId="78F42398" w14:textId="77777777" w:rsidR="00C839F9" w:rsidRPr="00507A31" w:rsidRDefault="00C839F9" w:rsidP="00507A31">
      <w:pPr>
        <w:jc w:val="both"/>
        <w:rPr>
          <w:color w:val="000000" w:themeColor="text1"/>
          <w:sz w:val="16"/>
          <w:szCs w:val="16"/>
        </w:rPr>
      </w:pPr>
      <w:r w:rsidRPr="00507A31">
        <w:rPr>
          <w:color w:val="000000" w:themeColor="text1"/>
          <w:sz w:val="16"/>
          <w:szCs w:val="16"/>
        </w:rPr>
        <w:t>т. СТАЛИНУ.</w:t>
      </w:r>
    </w:p>
    <w:p w14:paraId="49067F52" w14:textId="77777777" w:rsidR="00C839F9" w:rsidRPr="00507A31" w:rsidRDefault="00C839F9" w:rsidP="00507A31">
      <w:pPr>
        <w:jc w:val="both"/>
        <w:rPr>
          <w:color w:val="000000" w:themeColor="text1"/>
          <w:sz w:val="16"/>
          <w:szCs w:val="16"/>
        </w:rPr>
      </w:pPr>
      <w:r w:rsidRPr="00507A31">
        <w:rPr>
          <w:color w:val="000000" w:themeColor="text1"/>
          <w:sz w:val="16"/>
          <w:szCs w:val="16"/>
        </w:rPr>
        <w:t>Посылаю Вам полученные за последние 3 дня показания об интервенции от участников дела ТКП и Промпартии, а также дело Метро-ВИК[К]ЕРС.</w:t>
      </w:r>
    </w:p>
    <w:p w14:paraId="194F456F" w14:textId="77777777" w:rsidR="00C839F9" w:rsidRPr="00507A31" w:rsidRDefault="00C839F9" w:rsidP="00507A31">
      <w:pPr>
        <w:jc w:val="both"/>
        <w:rPr>
          <w:color w:val="000000" w:themeColor="text1"/>
          <w:sz w:val="16"/>
          <w:szCs w:val="16"/>
        </w:rPr>
      </w:pPr>
      <w:r w:rsidRPr="00507A31">
        <w:rPr>
          <w:color w:val="000000" w:themeColor="text1"/>
          <w:sz w:val="16"/>
          <w:szCs w:val="16"/>
        </w:rPr>
        <w:t>Прилагаются показания: от 11/X — инженеров АККЕРМАН и ПОКРОВСКОГО, работавших в Грознефти; ЕФРЕМОВА, сотрудника Представительства Метро-Вик[к]ерс в СССР; ПРЕДТЕЧЕНСКОГО, профессора Теплотехнического Института; НОЛЬДЕ, б. барона, сотрудника Льнопромышленности; МИХАЛЕНКО — инженера[-]мелиоратора, работавшего по осушению Кубанских плавней; и показания ИВАНОВА, инженера Нефтедиректората ВСНХ СССР, сотрудника английской разведки — от 13-го октября.</w:t>
      </w:r>
    </w:p>
    <w:p w14:paraId="1127623C" w14:textId="77777777" w:rsidR="00C839F9" w:rsidRPr="00507A31" w:rsidRDefault="00C839F9" w:rsidP="00507A31">
      <w:pPr>
        <w:jc w:val="both"/>
        <w:rPr>
          <w:color w:val="000000" w:themeColor="text1"/>
          <w:sz w:val="16"/>
          <w:szCs w:val="16"/>
        </w:rPr>
      </w:pPr>
      <w:r w:rsidRPr="00507A31">
        <w:rPr>
          <w:color w:val="000000" w:themeColor="text1"/>
          <w:sz w:val="16"/>
          <w:szCs w:val="16"/>
        </w:rPr>
        <w:t>Все последние дни идут допросы членов ТКП и Промпартии по вопросам интервенции.</w:t>
      </w:r>
    </w:p>
    <w:p w14:paraId="2EF04009" w14:textId="77777777" w:rsidR="00C839F9" w:rsidRPr="00507A31" w:rsidRDefault="00C839F9" w:rsidP="00507A31">
      <w:pPr>
        <w:jc w:val="both"/>
        <w:rPr>
          <w:color w:val="000000" w:themeColor="text1"/>
          <w:sz w:val="16"/>
          <w:szCs w:val="16"/>
        </w:rPr>
      </w:pPr>
      <w:r w:rsidRPr="00507A31">
        <w:rPr>
          <w:color w:val="000000" w:themeColor="text1"/>
          <w:sz w:val="16"/>
          <w:szCs w:val="16"/>
        </w:rPr>
        <w:t>Все получаемые новые данные будут Вам немедленно сообщаться.</w:t>
      </w:r>
    </w:p>
    <w:p w14:paraId="51D56180" w14:textId="77777777" w:rsidR="00C839F9" w:rsidRPr="00507A31" w:rsidRDefault="00C839F9" w:rsidP="00507A31">
      <w:pPr>
        <w:jc w:val="both"/>
        <w:rPr>
          <w:color w:val="000000" w:themeColor="text1"/>
          <w:sz w:val="16"/>
          <w:szCs w:val="16"/>
        </w:rPr>
      </w:pPr>
      <w:r w:rsidRPr="00507A31">
        <w:rPr>
          <w:color w:val="000000" w:themeColor="text1"/>
          <w:sz w:val="16"/>
          <w:szCs w:val="16"/>
        </w:rPr>
        <w:t>ПРЕДСЕДАТЕЛЬ ОГПУ: В. Менжинский</w:t>
      </w:r>
    </w:p>
    <w:p w14:paraId="020A493D" w14:textId="77777777" w:rsidR="00C839F9" w:rsidRPr="00507A31" w:rsidRDefault="00C839F9" w:rsidP="00507A31">
      <w:pPr>
        <w:jc w:val="both"/>
        <w:rPr>
          <w:color w:val="000000" w:themeColor="text1"/>
          <w:sz w:val="16"/>
          <w:szCs w:val="16"/>
        </w:rPr>
      </w:pPr>
      <w:r w:rsidRPr="00507A31">
        <w:rPr>
          <w:color w:val="000000" w:themeColor="text1"/>
          <w:sz w:val="16"/>
          <w:szCs w:val="16"/>
        </w:rPr>
        <w:t>Д. 353. Л. 166-166 об. Машинописный подлинник на бланке ОГПУ, подпись — автограф. Дата и номер документа (№ 44838) вписаны от руки в угловой штамп бланка (Л. 166). Гриф секретности машинописью (18450).</w:t>
      </w:r>
    </w:p>
    <w:p w14:paraId="5FA8658D" w14:textId="77777777" w:rsidR="00C839F9" w:rsidRPr="00507A31" w:rsidRDefault="00C839F9" w:rsidP="00507A31">
      <w:pPr>
        <w:jc w:val="both"/>
        <w:rPr>
          <w:color w:val="000000" w:themeColor="text1"/>
          <w:sz w:val="16"/>
          <w:szCs w:val="16"/>
        </w:rPr>
      </w:pPr>
    </w:p>
    <w:p w14:paraId="5A4CBB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октября 1930 г. было письмо А.Кана в ВСНХ СССР, согласно которому эффективное сотрудничество с фирмой Госпроектстрою организовать не удалось: «Оказалось невозможным обеспечить достаточное количество хорошо квалифицированных советских архитекторов и инженеров [...]. Наши люди были вынуждены сами выполнять значительную часть чертёжной работы [...]. Они сделались чертёжниками вместо того, чтобы быть руководителями чертёжного бюро». В другом письме А.Кана председателю Союзстроя Н.П.Комарову сообщалось: «Из 300 работников очень немногие являются опытными, большинство [...] имеет небольшой стаж, а многие являются просто учениками [...]. Если бы какая-либо деловая организация в Соединённых Штатах или в какой-либо другой стране имела такой состав работников, то не прошло бы и нескольких месяцев, как эта организация потерпела бы банкротство» (11596).</w:t>
      </w:r>
    </w:p>
    <w:p w14:paraId="4CC1EFD9" w14:textId="77777777" w:rsidR="00537E5F" w:rsidRPr="00507A31" w:rsidRDefault="00537E5F" w:rsidP="00507A31">
      <w:pPr>
        <w:autoSpaceDE w:val="0"/>
        <w:autoSpaceDN w:val="0"/>
        <w:adjustRightInd w:val="0"/>
        <w:jc w:val="both"/>
        <w:rPr>
          <w:color w:val="000000" w:themeColor="text1"/>
          <w:sz w:val="16"/>
          <w:szCs w:val="16"/>
        </w:rPr>
      </w:pPr>
    </w:p>
    <w:p w14:paraId="471B233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7229E1D" w14:textId="77777777" w:rsidR="00537E5F" w:rsidRPr="00507A31" w:rsidRDefault="00537E5F" w:rsidP="00507A31">
      <w:pPr>
        <w:autoSpaceDE w:val="0"/>
        <w:autoSpaceDN w:val="0"/>
        <w:adjustRightInd w:val="0"/>
        <w:jc w:val="both"/>
        <w:rPr>
          <w:iCs/>
          <w:color w:val="000000" w:themeColor="text1"/>
          <w:sz w:val="16"/>
          <w:szCs w:val="16"/>
        </w:rPr>
      </w:pPr>
    </w:p>
    <w:p w14:paraId="0618B4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октября 1930 спустя шесть недель после победы революции в Аргентине состоялся военный переворот в Бразилии во главе с Гетулио Варгасом (2438,147).</w:t>
      </w:r>
    </w:p>
    <w:p w14:paraId="7CBF1CD2" w14:textId="77777777" w:rsidR="00537E5F" w:rsidRPr="00507A31" w:rsidRDefault="00537E5F" w:rsidP="00507A31">
      <w:pPr>
        <w:autoSpaceDE w:val="0"/>
        <w:autoSpaceDN w:val="0"/>
        <w:adjustRightInd w:val="0"/>
        <w:jc w:val="both"/>
        <w:rPr>
          <w:color w:val="000000" w:themeColor="text1"/>
          <w:sz w:val="16"/>
          <w:szCs w:val="16"/>
        </w:rPr>
      </w:pPr>
    </w:p>
    <w:p w14:paraId="4AC1B1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октября 1930 была попытка фашистского путча в Финляндии (3481).</w:t>
      </w:r>
    </w:p>
    <w:p w14:paraId="03D2D073" w14:textId="77777777" w:rsidR="00537E5F" w:rsidRPr="00507A31" w:rsidRDefault="00537E5F" w:rsidP="00507A31">
      <w:pPr>
        <w:autoSpaceDE w:val="0"/>
        <w:autoSpaceDN w:val="0"/>
        <w:adjustRightInd w:val="0"/>
        <w:jc w:val="both"/>
        <w:rPr>
          <w:color w:val="000000" w:themeColor="text1"/>
          <w:sz w:val="16"/>
          <w:szCs w:val="16"/>
        </w:rPr>
      </w:pPr>
    </w:p>
    <w:p w14:paraId="499383F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B3ACA23" w14:textId="77777777" w:rsidR="00537E5F" w:rsidRPr="00507A31" w:rsidRDefault="00537E5F" w:rsidP="00507A31">
      <w:pPr>
        <w:autoSpaceDE w:val="0"/>
        <w:autoSpaceDN w:val="0"/>
        <w:adjustRightInd w:val="0"/>
        <w:jc w:val="both"/>
        <w:rPr>
          <w:iCs/>
          <w:color w:val="000000" w:themeColor="text1"/>
          <w:sz w:val="16"/>
          <w:szCs w:val="16"/>
        </w:rPr>
      </w:pPr>
    </w:p>
    <w:p w14:paraId="5969830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ночь с 15 на 16 октября 1930 года производились испытания геликоптера ВГ1 на Аэродроме, после ликвидации поломок 16 сентября 1930 года (6925, 72-77).</w:t>
      </w:r>
    </w:p>
    <w:p w14:paraId="3FD43CA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C275A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октября 1930 г.постановлением Президиума ВСНХ 1900 г механические мастерские при Киевском политехническом институте механических, созданные в 1900 для практических занятий студентов и с 1914 освоившие производство запасных частей для авиационных двигателей, автомобилей и других машин становятся заводом, который передается в состав Всесоюзного объединения автотракторной промышленности (ВАТО). В 1914 при мастерских открывается авиационно-автомобильный отдел для ремонта автомашин и аэропланов. С 1922 г мастерские осваивают выпуск запасных частей для тракторов иностранных марок. В этом же году мастерские получили название «Учебно-механический завод КПИ».</w:t>
      </w:r>
    </w:p>
    <w:p w14:paraId="1CB4F7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1933 г по заказу Научно-исследовательского института авиадвигателей работники предприятия произвели бензиновый двигатель для агитсамолета «Максим Горький» (11241).</w:t>
      </w:r>
    </w:p>
    <w:p w14:paraId="657F8F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1934 г – освоение заводом выпуска запасных частей для отечественных тракторов. Для оказания практической помощи селу непосредственно на заводе организуется ремонт тракторов и сельскохозяйственной техники (11241).</w:t>
      </w:r>
    </w:p>
    <w:p w14:paraId="69AA3A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1936 г– на заводе вводится в эксплуатацию специальный цех для капитального ремонта двигателей и коробок скоростей танков (11241).</w:t>
      </w:r>
    </w:p>
    <w:p w14:paraId="42A231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1937 г– коллектив завода производит серию специальных станков, гидропрессов и экспериментальных машин для металлургической промышленности (11241).</w:t>
      </w:r>
    </w:p>
    <w:p w14:paraId="635461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1941 г, август– эвакуация завода на восток страны в связи с началом Великой Отечественной Войны (11241).</w:t>
      </w:r>
    </w:p>
    <w:p w14:paraId="372816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1941 г, октябрь – выпуск заводом в тылу первой партии запасных частей к тракторам (11241).</w:t>
      </w:r>
    </w:p>
    <w:p w14:paraId="1802BD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1942 г– освоение коллективом завода выпуска военной продукции. (11241).</w:t>
      </w:r>
    </w:p>
    <w:p w14:paraId="3C35A2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1944 г, апрель– приказом Наркомата среднего машиностроения завод включается в число предприятий, которые подлежат восстановлению (11241).</w:t>
      </w:r>
    </w:p>
    <w:p w14:paraId="70B258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1944 г, ноябрь– произведена первая партия запасных частей на восстановленном заводе (11241).</w:t>
      </w:r>
    </w:p>
    <w:p w14:paraId="0502A6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1970 г– завод осваивает производство редукторов для механизации работ в животноводстве. (11241).</w:t>
      </w:r>
    </w:p>
    <w:p w14:paraId="51B64D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1972 г, июнь– завод становится главным предприятием производственного объединения «Киевтрактородеталь» (11241).</w:t>
      </w:r>
    </w:p>
    <w:p w14:paraId="59D48F63" w14:textId="77777777" w:rsidR="00537E5F" w:rsidRPr="00507A31" w:rsidRDefault="00537E5F" w:rsidP="00507A31">
      <w:pPr>
        <w:autoSpaceDE w:val="0"/>
        <w:autoSpaceDN w:val="0"/>
        <w:adjustRightInd w:val="0"/>
        <w:jc w:val="both"/>
        <w:rPr>
          <w:color w:val="000000" w:themeColor="text1"/>
          <w:sz w:val="16"/>
          <w:szCs w:val="16"/>
        </w:rPr>
      </w:pPr>
    </w:p>
    <w:p w14:paraId="4A8DACD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82CB92E" w14:textId="77777777" w:rsidR="00537E5F" w:rsidRPr="00507A31" w:rsidRDefault="00537E5F" w:rsidP="00507A31">
      <w:pPr>
        <w:autoSpaceDE w:val="0"/>
        <w:autoSpaceDN w:val="0"/>
        <w:adjustRightInd w:val="0"/>
        <w:jc w:val="both"/>
        <w:rPr>
          <w:iCs/>
          <w:color w:val="000000" w:themeColor="text1"/>
          <w:sz w:val="16"/>
          <w:szCs w:val="16"/>
        </w:rPr>
      </w:pPr>
    </w:p>
    <w:p w14:paraId="26C8E3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октября 1930 собрали средний танк Т-12 с корпусом из простого металла, но дооборудование продлилось до зимы (4243,21).</w:t>
      </w:r>
    </w:p>
    <w:p w14:paraId="03DE54CC" w14:textId="77777777" w:rsidR="00537E5F" w:rsidRPr="00507A31" w:rsidRDefault="00537E5F" w:rsidP="00507A31">
      <w:pPr>
        <w:autoSpaceDE w:val="0"/>
        <w:autoSpaceDN w:val="0"/>
        <w:adjustRightInd w:val="0"/>
        <w:jc w:val="both"/>
        <w:rPr>
          <w:color w:val="000000" w:themeColor="text1"/>
          <w:sz w:val="16"/>
          <w:szCs w:val="16"/>
        </w:rPr>
      </w:pPr>
    </w:p>
    <w:p w14:paraId="0367D654" w14:textId="77777777" w:rsidR="00373CA1" w:rsidRPr="00507A31" w:rsidRDefault="00373CA1" w:rsidP="00507A31">
      <w:pPr>
        <w:jc w:val="both"/>
        <w:rPr>
          <w:color w:val="000000" w:themeColor="text1"/>
          <w:sz w:val="16"/>
          <w:szCs w:val="16"/>
          <w:u w:color="002060"/>
        </w:rPr>
      </w:pPr>
      <w:r w:rsidRPr="00507A31">
        <w:rPr>
          <w:color w:val="000000" w:themeColor="text1"/>
          <w:sz w:val="16"/>
          <w:szCs w:val="16"/>
          <w:u w:color="002060"/>
        </w:rPr>
        <w:t>15 октября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12. 13. О производстве дорожных машин (ПБ от 25 сентября 1930 г., пр. № 10, п. 29) (Уханов, Лобов, Доценко, Толмачев, Серебряков, Каганович М., Волков, Булат, Осинский, Лежава). Решения ПБ от 10 октября 1930 г. 7/9. О заказе военведа ВЭО (ПБ от 20 августа 1930 г., пр. № 5, п. 9/17) (Павлуновский, Жуков, Мартинович, Ворошилов, Уборевич, Синявский, Романовский). — ОП. Постановили: а) подтвердить решение Политбюро от 20 августа о выполнении ВЭО заказа военведа на, указав на обязательность принятия нового заказа; б) выполнение заказа на приборы «ВЭМИ» (№ 1 и № 2), включая настройку и регулировку, возложить целиком на ВЭО; в) военвед принимает от ВЭО приборы «ВЭМИ» (№ 1 и № 2) совершенно законченными, настроенными и отрегулированными; г) предложить военведу установить для первых серий приборов несколько пониженные сроки их беспрерывного действия, как минимум 50 суток беспрерывной работы приборов, причем указать на необходимость дальнейшей работы над тем, чтобы норму в 110 суток беспрерывного действия прибора обязательно выполнить. (Политбюро... Т. 2. С. 88, 89; РГАСПИ. Ф. 17. Оп. 162. Д. 9. Л. 48) (12416).</w:t>
      </w:r>
    </w:p>
    <w:p w14:paraId="4195FB2E" w14:textId="77777777" w:rsidR="00373CA1" w:rsidRPr="00507A31" w:rsidRDefault="00373CA1" w:rsidP="00507A31">
      <w:pPr>
        <w:jc w:val="both"/>
        <w:rPr>
          <w:color w:val="000000" w:themeColor="text1"/>
          <w:sz w:val="16"/>
          <w:szCs w:val="16"/>
          <w:u w:color="002060"/>
        </w:rPr>
      </w:pPr>
    </w:p>
    <w:p w14:paraId="31D1E310" w14:textId="77777777" w:rsidR="00ED7041" w:rsidRPr="00507A31" w:rsidRDefault="00ED7041" w:rsidP="00507A31">
      <w:pPr>
        <w:jc w:val="both"/>
        <w:rPr>
          <w:color w:val="000000" w:themeColor="text1"/>
          <w:sz w:val="16"/>
          <w:szCs w:val="16"/>
        </w:rPr>
      </w:pPr>
      <w:r w:rsidRPr="00507A31">
        <w:rPr>
          <w:color w:val="000000" w:themeColor="text1"/>
          <w:sz w:val="16"/>
          <w:szCs w:val="16"/>
        </w:rPr>
        <w:t>15 октября 1930</w:t>
      </w:r>
    </w:p>
    <w:p w14:paraId="5C009E00" w14:textId="77777777" w:rsidR="00ED7041" w:rsidRPr="00507A31" w:rsidRDefault="00ED7041" w:rsidP="00507A31">
      <w:pPr>
        <w:jc w:val="both"/>
        <w:rPr>
          <w:color w:val="000000" w:themeColor="text1"/>
          <w:sz w:val="16"/>
          <w:szCs w:val="16"/>
        </w:rPr>
      </w:pPr>
      <w:r w:rsidRPr="00507A31">
        <w:rPr>
          <w:color w:val="000000" w:themeColor="text1"/>
          <w:sz w:val="16"/>
          <w:szCs w:val="16"/>
        </w:rPr>
        <w:t>п. 15: О виновных в срыве темпов строительства Березниковского комбината</w:t>
      </w:r>
    </w:p>
    <w:p w14:paraId="1EBA40E4" w14:textId="77777777" w:rsidR="00ED7041" w:rsidRPr="00507A31" w:rsidRDefault="00ED7041" w:rsidP="00507A31">
      <w:pPr>
        <w:jc w:val="both"/>
        <w:rPr>
          <w:color w:val="000000" w:themeColor="text1"/>
          <w:sz w:val="16"/>
          <w:szCs w:val="16"/>
        </w:rPr>
      </w:pPr>
      <w:r w:rsidRPr="00507A31">
        <w:rPr>
          <w:color w:val="000000" w:themeColor="text1"/>
          <w:sz w:val="16"/>
          <w:szCs w:val="16"/>
        </w:rPr>
        <w:t>(ПБ от 10.X.30 г., пр. № 12, п. 13/15).</w:t>
      </w:r>
    </w:p>
    <w:p w14:paraId="6A582AF7" w14:textId="77777777" w:rsidR="00ED7041" w:rsidRPr="00507A31" w:rsidRDefault="00ED7041" w:rsidP="00507A31">
      <w:pPr>
        <w:jc w:val="both"/>
        <w:rPr>
          <w:color w:val="000000" w:themeColor="text1"/>
          <w:sz w:val="16"/>
          <w:szCs w:val="16"/>
        </w:rPr>
      </w:pPr>
      <w:r w:rsidRPr="00507A31">
        <w:rPr>
          <w:color w:val="000000" w:themeColor="text1"/>
          <w:sz w:val="16"/>
          <w:szCs w:val="16"/>
        </w:rPr>
        <w:t>(Янсон, Гольцман, Межлаук).</w:t>
      </w:r>
    </w:p>
    <w:p w14:paraId="53753227" w14:textId="77777777" w:rsidR="00ED7041" w:rsidRPr="00507A31" w:rsidRDefault="00ED7041" w:rsidP="00507A31">
      <w:pPr>
        <w:jc w:val="both"/>
        <w:rPr>
          <w:color w:val="000000" w:themeColor="text1"/>
          <w:sz w:val="16"/>
          <w:szCs w:val="16"/>
        </w:rPr>
      </w:pPr>
      <w:r w:rsidRPr="00507A31">
        <w:rPr>
          <w:color w:val="000000" w:themeColor="text1"/>
          <w:sz w:val="16"/>
          <w:szCs w:val="16"/>
        </w:rPr>
        <w:t>Утвердить предложения комиссии:</w:t>
      </w:r>
    </w:p>
    <w:p w14:paraId="5211D5A3" w14:textId="77777777" w:rsidR="00ED7041" w:rsidRPr="00507A31" w:rsidRDefault="00ED7041" w:rsidP="00507A31">
      <w:pPr>
        <w:jc w:val="both"/>
        <w:rPr>
          <w:color w:val="000000" w:themeColor="text1"/>
          <w:sz w:val="16"/>
          <w:szCs w:val="16"/>
        </w:rPr>
      </w:pPr>
      <w:r w:rsidRPr="00507A31">
        <w:rPr>
          <w:color w:val="000000" w:themeColor="text1"/>
          <w:sz w:val="16"/>
          <w:szCs w:val="16"/>
        </w:rPr>
        <w:t>а) Привлечь к уголовной ответственности бывшего члена правления Всехимпрома Лугового, бывшего члена правления Фина, Самарского, Сулима-Грандовского, Инженеров — Ерошкина, Ковровцева, Тверитинова и ответработников — Розенберга, Цукервара и Квятковского.</w:t>
      </w:r>
    </w:p>
    <w:p w14:paraId="113DB565" w14:textId="77777777" w:rsidR="00ED7041" w:rsidRPr="00507A31" w:rsidRDefault="00ED7041" w:rsidP="00507A31">
      <w:pPr>
        <w:jc w:val="both"/>
        <w:rPr>
          <w:color w:val="000000" w:themeColor="text1"/>
          <w:sz w:val="16"/>
          <w:szCs w:val="16"/>
        </w:rPr>
      </w:pPr>
      <w:r w:rsidRPr="00507A31">
        <w:rPr>
          <w:color w:val="000000" w:themeColor="text1"/>
          <w:sz w:val="16"/>
          <w:szCs w:val="16"/>
        </w:rPr>
        <w:t>б) Считать нецелесообразным к членам партии: Луговому, Фину, Самарскому, Сулима-Грандовскому применять меру социальной защиты в виде лишения свободы.</w:t>
      </w:r>
    </w:p>
    <w:p w14:paraId="07649BBE" w14:textId="77777777" w:rsidR="00ED7041" w:rsidRPr="00507A31" w:rsidRDefault="00ED7041" w:rsidP="00507A31">
      <w:pPr>
        <w:jc w:val="both"/>
        <w:rPr>
          <w:color w:val="000000" w:themeColor="text1"/>
          <w:sz w:val="16"/>
          <w:szCs w:val="16"/>
        </w:rPr>
      </w:pPr>
      <w:r w:rsidRPr="00507A31">
        <w:rPr>
          <w:color w:val="000000" w:themeColor="text1"/>
          <w:sz w:val="16"/>
          <w:szCs w:val="16"/>
        </w:rPr>
        <w:lastRenderedPageBreak/>
        <w:t>в) Считать целесообразным в отношении Лугового ограничиться в решении суда общественным порицанием с запрещением занимать ответственную должность на срок, по усмотрению суда.</w:t>
      </w:r>
    </w:p>
    <w:p w14:paraId="39B77668" w14:textId="77777777" w:rsidR="00ED7041" w:rsidRPr="00507A31" w:rsidRDefault="00ED7041" w:rsidP="00507A31">
      <w:pPr>
        <w:jc w:val="both"/>
        <w:rPr>
          <w:color w:val="000000" w:themeColor="text1"/>
          <w:sz w:val="16"/>
          <w:szCs w:val="16"/>
        </w:rPr>
      </w:pPr>
      <w:r w:rsidRPr="00507A31">
        <w:rPr>
          <w:color w:val="000000" w:themeColor="text1"/>
          <w:sz w:val="16"/>
          <w:szCs w:val="16"/>
        </w:rPr>
        <w:t>г) Считать нецелесообразным дальнейшее привлечение по этому делу кого-либо из работников Всехимпрома.</w:t>
      </w:r>
    </w:p>
    <w:p w14:paraId="4E4637F7" w14:textId="77777777" w:rsidR="00ED7041" w:rsidRPr="00507A31" w:rsidRDefault="00ED7041" w:rsidP="00507A31">
      <w:pPr>
        <w:jc w:val="both"/>
        <w:rPr>
          <w:color w:val="000000" w:themeColor="text1"/>
          <w:sz w:val="16"/>
          <w:szCs w:val="16"/>
        </w:rPr>
      </w:pPr>
    </w:p>
    <w:p w14:paraId="76DDE3CE" w14:textId="77777777" w:rsidR="00ED7041" w:rsidRPr="00507A31" w:rsidRDefault="00ED7041" w:rsidP="00507A31">
      <w:pPr>
        <w:jc w:val="both"/>
        <w:rPr>
          <w:bCs/>
          <w:color w:val="000000" w:themeColor="text1"/>
          <w:sz w:val="16"/>
          <w:szCs w:val="16"/>
        </w:rPr>
      </w:pPr>
      <w:r w:rsidRPr="00507A31">
        <w:rPr>
          <w:color w:val="000000" w:themeColor="text1"/>
          <w:sz w:val="16"/>
          <w:szCs w:val="16"/>
        </w:rPr>
        <w:t>15-27 октября 1930 г.</w:t>
      </w:r>
    </w:p>
    <w:p w14:paraId="39795750" w14:textId="77777777" w:rsidR="00ED7041" w:rsidRPr="00507A31" w:rsidRDefault="00ED7041" w:rsidP="00507A31">
      <w:pPr>
        <w:jc w:val="both"/>
        <w:rPr>
          <w:bCs/>
          <w:color w:val="000000" w:themeColor="text1"/>
          <w:sz w:val="16"/>
          <w:szCs w:val="16"/>
        </w:rPr>
      </w:pPr>
      <w:r w:rsidRPr="00507A31">
        <w:rPr>
          <w:color w:val="000000" w:themeColor="text1"/>
          <w:sz w:val="16"/>
          <w:szCs w:val="16"/>
        </w:rPr>
        <w:t>Показания Л. К. Рамзина о «разведовательной деятельности», связях «Промпартии» с иностранными фирмами и Торгпромом. 15-27 октября 1930 г.</w:t>
      </w:r>
    </w:p>
    <w:p w14:paraId="7F176D1A" w14:textId="77777777" w:rsidR="00ED7041" w:rsidRPr="00507A31" w:rsidRDefault="00ED7041" w:rsidP="00507A31">
      <w:pPr>
        <w:jc w:val="both"/>
        <w:rPr>
          <w:bCs/>
          <w:color w:val="000000" w:themeColor="text1"/>
          <w:sz w:val="16"/>
          <w:szCs w:val="16"/>
        </w:rPr>
      </w:pPr>
      <w:r w:rsidRPr="00507A31">
        <w:rPr>
          <w:bCs/>
          <w:color w:val="000000" w:themeColor="text1"/>
          <w:sz w:val="16"/>
          <w:szCs w:val="16"/>
        </w:rPr>
        <w:t>Источник: </w:t>
      </w:r>
    </w:p>
    <w:p w14:paraId="40C184DE" w14:textId="77777777" w:rsidR="00ED7041" w:rsidRPr="00507A31" w:rsidRDefault="00ED7041"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130D64" w14:textId="77777777" w:rsidR="00ED7041" w:rsidRPr="00507A31" w:rsidRDefault="00ED7041" w:rsidP="00507A31">
      <w:pPr>
        <w:pStyle w:val="rteright"/>
        <w:spacing w:before="0" w:after="0"/>
        <w:jc w:val="both"/>
        <w:rPr>
          <w:color w:val="000000" w:themeColor="text1"/>
          <w:sz w:val="16"/>
          <w:szCs w:val="16"/>
        </w:rPr>
      </w:pPr>
      <w:r w:rsidRPr="00507A31">
        <w:rPr>
          <w:color w:val="000000" w:themeColor="text1"/>
          <w:sz w:val="16"/>
          <w:szCs w:val="16"/>
        </w:rPr>
        <w:t>15-27 октября 1930 г.</w:t>
      </w:r>
    </w:p>
    <w:p w14:paraId="04F59FE1" w14:textId="77777777" w:rsidR="00ED7041" w:rsidRPr="00507A31" w:rsidRDefault="00ED7041" w:rsidP="00507A31">
      <w:pPr>
        <w:pStyle w:val="ae"/>
        <w:spacing w:before="0" w:after="0"/>
        <w:jc w:val="both"/>
        <w:rPr>
          <w:color w:val="000000" w:themeColor="text1"/>
          <w:sz w:val="16"/>
          <w:szCs w:val="16"/>
        </w:rPr>
      </w:pPr>
      <w:r w:rsidRPr="00507A31">
        <w:rPr>
          <w:color w:val="000000" w:themeColor="text1"/>
          <w:sz w:val="16"/>
          <w:szCs w:val="16"/>
        </w:rPr>
        <w:t>Показание проф. Л. К. Рамзина</w:t>
      </w:r>
    </w:p>
    <w:p w14:paraId="5E033974" w14:textId="77777777" w:rsidR="00ED7041" w:rsidRPr="00507A31" w:rsidRDefault="00ED7041" w:rsidP="00507A31">
      <w:pPr>
        <w:pStyle w:val="ae"/>
        <w:spacing w:before="0" w:after="0"/>
        <w:jc w:val="both"/>
        <w:rPr>
          <w:color w:val="000000" w:themeColor="text1"/>
          <w:sz w:val="16"/>
          <w:szCs w:val="16"/>
        </w:rPr>
      </w:pPr>
      <w:r w:rsidRPr="00507A31">
        <w:rPr>
          <w:color w:val="000000" w:themeColor="text1"/>
          <w:sz w:val="16"/>
          <w:szCs w:val="16"/>
        </w:rPr>
        <w:t>от 15-27 октября 1930 года.</w:t>
      </w:r>
    </w:p>
    <w:p w14:paraId="3CBFF241" w14:textId="77777777" w:rsidR="00ED7041" w:rsidRPr="00507A31" w:rsidRDefault="00ED7041" w:rsidP="00507A31">
      <w:pPr>
        <w:pStyle w:val="ae"/>
        <w:spacing w:before="0" w:after="0"/>
        <w:jc w:val="both"/>
        <w:rPr>
          <w:color w:val="000000" w:themeColor="text1"/>
          <w:sz w:val="16"/>
          <w:szCs w:val="16"/>
        </w:rPr>
      </w:pPr>
      <w:r w:rsidRPr="00507A31">
        <w:rPr>
          <w:color w:val="000000" w:themeColor="text1"/>
          <w:sz w:val="16"/>
          <w:szCs w:val="16"/>
        </w:rPr>
        <w:t>Допросили: Пом. Нач. СОУ ОГПУ Агранов</w:t>
      </w:r>
    </w:p>
    <w:p w14:paraId="2ABD7CA9" w14:textId="77777777" w:rsidR="00ED7041" w:rsidRPr="00507A31" w:rsidRDefault="00ED7041" w:rsidP="00507A31">
      <w:pPr>
        <w:pStyle w:val="ae"/>
        <w:spacing w:before="0" w:after="0"/>
        <w:jc w:val="both"/>
        <w:rPr>
          <w:color w:val="000000" w:themeColor="text1"/>
          <w:sz w:val="16"/>
          <w:szCs w:val="16"/>
        </w:rPr>
      </w:pPr>
      <w:r w:rsidRPr="00507A31">
        <w:rPr>
          <w:color w:val="000000" w:themeColor="text1"/>
          <w:sz w:val="16"/>
          <w:szCs w:val="16"/>
        </w:rPr>
        <w:t>и Пом. Нач. 3 отд. СО ОГПУ Радзивиловский</w:t>
      </w:r>
    </w:p>
    <w:p w14:paraId="42641917" w14:textId="77777777" w:rsidR="00ED7041" w:rsidRPr="00507A31" w:rsidRDefault="00ED7041" w:rsidP="00507A31">
      <w:pPr>
        <w:pStyle w:val="ae"/>
        <w:spacing w:before="0" w:after="0"/>
        <w:jc w:val="both"/>
        <w:rPr>
          <w:color w:val="000000" w:themeColor="text1"/>
          <w:sz w:val="16"/>
          <w:szCs w:val="16"/>
        </w:rPr>
      </w:pPr>
      <w:r w:rsidRPr="00507A31">
        <w:rPr>
          <w:color w:val="000000" w:themeColor="text1"/>
          <w:sz w:val="16"/>
          <w:szCs w:val="16"/>
        </w:rPr>
        <w:t>Разведывательная деятельность Промпартии.</w:t>
      </w:r>
    </w:p>
    <w:p w14:paraId="15235BF4"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Разведывательная деятельность Промпартии как таковой шла по пути сообщения сведений прежде всего Торгпрому, а затем французскому посольству и французскому штабу. Из сношений с английскими кругами мне известны лишь единичные случаи.</w:t>
      </w:r>
    </w:p>
    <w:p w14:paraId="088B55E4" w14:textId="77777777" w:rsidR="00ED7041" w:rsidRPr="00507A31" w:rsidRDefault="00ED7041" w:rsidP="00507A31">
      <w:pPr>
        <w:pStyle w:val="rtecenter"/>
        <w:spacing w:before="0" w:after="0"/>
        <w:jc w:val="both"/>
        <w:rPr>
          <w:color w:val="000000" w:themeColor="text1"/>
          <w:sz w:val="16"/>
          <w:szCs w:val="16"/>
        </w:rPr>
      </w:pPr>
      <w:r w:rsidRPr="00507A31">
        <w:rPr>
          <w:color w:val="000000" w:themeColor="text1"/>
          <w:sz w:val="16"/>
          <w:szCs w:val="16"/>
        </w:rPr>
        <w:t>Торгпром</w:t>
      </w:r>
    </w:p>
    <w:p w14:paraId="646AD2C9"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Торгпрому с самого начала своей деятельности Инженерный Центр, а потом ЦК Промпартии давал информации об экономическом и политическом положении СССР. Эта связь до ареста Пальчинского и Хренникова осуществлялась через них и, насколько мне известно, различными путями — используя поездки членов Промпартии заграницу, приезды иностранцев, а также и письменно. Эти информации приобрели более или менее регулярный характер с конца 1928 года, после моего и Ларичева свидания в Париже с членами Торгпрома.</w:t>
      </w:r>
    </w:p>
    <w:p w14:paraId="71254361"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С конца 1928 года ЦК Промпартии направлял Торгпрому примерно через каждые 3 месяца, т. е. поквартально общие сводки об экономическом положении СССР. Эти сводки составлялись под руководством Осадчего, Ларичева и Калинникова, за плату отдельными специалистами, по преимуществу из числа сотрудников Госплана СССР и передавались Ларичевым г. Кюферу для отправки Торгпрому. Помимо этого я периодически давал информацию Торгпому через г. Анрио о работе Промпартии, об общем политическом положении, которые дополнялись также Ларичевым и Калинниковым при их встречах с Кюфером и г. Анрио.</w:t>
      </w:r>
    </w:p>
    <w:p w14:paraId="3D96E2B0"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Специальные информации по отдельным вопросам также давались Торгпрому. Так, по моему поручению инж. В. Л. Гордон и инж. М. Л. Каменецкий составляли записку о состоянии энергохозяйства и энергоимпорта, которую инж. Гордон передал г. Анрио для отправки в Торгпром.</w:t>
      </w:r>
    </w:p>
    <w:p w14:paraId="60835CEB"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Для пополнения сведений я поручил Евреинову давать В. Л. Гордону имевшиеся у Евреинова данные об энергохозяйстве промышленности.</w:t>
      </w:r>
    </w:p>
    <w:p w14:paraId="2A907B30"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Подобные же специальные информации по отдельным вопросам давались Торгпрому и другими руководящими членами Промпартии. Так напр. Калинниковым было организовано составление подобной информации по лесной промышленности В. И. Майером, по конъюнктуре народного хозяйства СССР — Громаном, Гинзбургом и Кондратьевым. Осадчим — по электротехнической промышленности и энергостроительству, совместно с Горевым, Кукель-Краевским и Угримовым. Федотовым — по текстильной промышленности; Коган-Бернштейном — по транспорту, Шеиным по химической промышленности, Чарновским — по металлопромышленности и металлургии, Ларичевым и Стрижовым — по топливоснабжению, нефтяной и угольной промышленности. По моей просьбе Чаяновым А. В. в конце 1929 года была составлена специальная записка о состоянии сельского хозяйства и его перспективах.</w:t>
      </w:r>
    </w:p>
    <w:p w14:paraId="03D2B5C9" w14:textId="77777777" w:rsidR="00ED7041" w:rsidRPr="00507A31" w:rsidRDefault="00ED7041" w:rsidP="00507A31">
      <w:pPr>
        <w:pStyle w:val="rtecenter"/>
        <w:spacing w:before="0" w:after="0"/>
        <w:jc w:val="both"/>
        <w:rPr>
          <w:color w:val="000000" w:themeColor="text1"/>
          <w:sz w:val="16"/>
          <w:szCs w:val="16"/>
        </w:rPr>
      </w:pPr>
      <w:r w:rsidRPr="00507A31">
        <w:rPr>
          <w:color w:val="000000" w:themeColor="text1"/>
          <w:sz w:val="16"/>
          <w:szCs w:val="16"/>
        </w:rPr>
        <w:t>Французское посольство и генштаб</w:t>
      </w:r>
    </w:p>
    <w:p w14:paraId="45948F39"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При свидании моем и Калинникова с г. Кюфером у меня на квартире в середине 1928 г. г. Кюфер просил давать ему сведения о положении военной промышленности. Во исполнение данного обещания Калинников и Чарновский по их сообщениям несколько раз давали г. Кюферу эти сведения; сведения об энергетическом оборудовании военных заводов сообщал по моему поручению Калинникову инж. Евреинов</w:t>
      </w:r>
    </w:p>
    <w:p w14:paraId="6F47682D"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По моей просьбе проф. Б. С. Стечкиным была составлена записка о состоянии авиации в СССР и была далее передана мною г. Анрио.</w:t>
      </w:r>
    </w:p>
    <w:p w14:paraId="21748AD3"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Далее по моей просьбе проф. Б. С. Стечкин взял на себя совместно с ген. Новицким разработку вопроса об аэробазах в районе Ленинграда. Эта записка, по сообщению Стечкина и Калинникова, была затем получена последним от ген. Новицкого и передана г. Кюферу.</w:t>
      </w:r>
    </w:p>
    <w:p w14:paraId="0EFE7987" w14:textId="77777777" w:rsidR="00ED7041" w:rsidRPr="00507A31" w:rsidRDefault="00ED7041" w:rsidP="00507A31">
      <w:pPr>
        <w:pStyle w:val="rtecenter"/>
        <w:spacing w:before="0" w:after="0"/>
        <w:jc w:val="both"/>
        <w:rPr>
          <w:color w:val="000000" w:themeColor="text1"/>
          <w:sz w:val="16"/>
          <w:szCs w:val="16"/>
        </w:rPr>
      </w:pPr>
      <w:r w:rsidRPr="00507A31">
        <w:rPr>
          <w:color w:val="000000" w:themeColor="text1"/>
          <w:sz w:val="16"/>
          <w:szCs w:val="16"/>
        </w:rPr>
        <w:t>Английское посольство и генштаб</w:t>
      </w:r>
    </w:p>
    <w:p w14:paraId="5388DE59"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Ларичевым и Стрижовым по поручению английского генштаба в 1929-1928 г. разрабатывался вопрос о трассировке Грозненского нефтепровода и проектировании Туапсинского рейда, чтобы последний можно было использовать в качестве морской базы для английских военных судов.</w:t>
      </w:r>
    </w:p>
    <w:p w14:paraId="44C6DFE9"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Инж. Айзенштадтом М. Е. собирался материал об энергетическом хозяйстве и оборудовании и направлялся фирме Бабкок и Вилькокс, а также английскому генштабу.</w:t>
      </w:r>
    </w:p>
    <w:p w14:paraId="1C88D6D9"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Подобные же сведения и в частности об энергетическом хозяйстве МОГЭСа сообщал английскому генштабу и инженер Н. М. Савелов.</w:t>
      </w:r>
    </w:p>
    <w:p w14:paraId="48A6F735"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Как я уже показывал, связь с английским посольством и английскими кругами инж. А. А. Федотов и инж. Н. А. Давидов (через Чарнока).</w:t>
      </w:r>
    </w:p>
    <w:p w14:paraId="486684D2" w14:textId="77777777" w:rsidR="00ED7041" w:rsidRPr="00507A31" w:rsidRDefault="00ED7041" w:rsidP="00507A31">
      <w:pPr>
        <w:pStyle w:val="rtecenter"/>
        <w:spacing w:before="0" w:after="0"/>
        <w:jc w:val="both"/>
        <w:rPr>
          <w:color w:val="000000" w:themeColor="text1"/>
          <w:sz w:val="16"/>
          <w:szCs w:val="16"/>
        </w:rPr>
      </w:pPr>
      <w:r w:rsidRPr="00507A31">
        <w:rPr>
          <w:color w:val="000000" w:themeColor="text1"/>
          <w:sz w:val="16"/>
          <w:szCs w:val="16"/>
        </w:rPr>
        <w:t>Польское посольство</w:t>
      </w:r>
    </w:p>
    <w:p w14:paraId="20023A97"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Связь с польским посольством имел Н. Ф. Чарновский, который иногда сообщал информацию из польских кругов. Кроме того, связь с польскими кругами имел проф. М. В. Кирпичев, насколько мне известно, через своего б[ывшего]Ф компаньона по трубопроводной фирме «Альфа», которую Кирпичев организовал совместно с Малером и проф. В. Э. Классен.</w:t>
      </w:r>
    </w:p>
    <w:p w14:paraId="108E8594" w14:textId="77777777" w:rsidR="00ED7041" w:rsidRPr="00507A31" w:rsidRDefault="00ED7041" w:rsidP="00507A31">
      <w:pPr>
        <w:pStyle w:val="rtecenter"/>
        <w:spacing w:before="0" w:after="0"/>
        <w:jc w:val="both"/>
        <w:rPr>
          <w:color w:val="000000" w:themeColor="text1"/>
          <w:sz w:val="16"/>
          <w:szCs w:val="16"/>
        </w:rPr>
      </w:pPr>
      <w:r w:rsidRPr="00507A31">
        <w:rPr>
          <w:color w:val="000000" w:themeColor="text1"/>
          <w:sz w:val="16"/>
          <w:szCs w:val="16"/>
        </w:rPr>
        <w:t>Иностранные фирмы</w:t>
      </w:r>
    </w:p>
    <w:p w14:paraId="46A7469F"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Общие интересы и политика Промпартии не могли, конечно, совпадать с противоречивыми интересами отдельных иностранных фирм. Поэтому Промпартии не могла и не имела оснований поддерживать какие-либо определенные фирмы в ущерб другим. Тем не менее, отдельные члены Промпартии использовывали представителей иностранных фирм для проведения основных установок Промпартии и достижения определенных целей, при чем такое использование неизбежно приобретало индивидуальный характер.</w:t>
      </w:r>
    </w:p>
    <w:p w14:paraId="1A4D2305"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Использование представителей иностранных фирм в интересах Промпартии мыслилось в следующих направлениях:</w:t>
      </w:r>
    </w:p>
    <w:p w14:paraId="1C4547D1" w14:textId="77777777" w:rsidR="00ED7041" w:rsidRPr="00507A31" w:rsidRDefault="00ED7041" w:rsidP="00507A31">
      <w:pPr>
        <w:numPr>
          <w:ilvl w:val="0"/>
          <w:numId w:val="47"/>
        </w:numPr>
        <w:ind w:left="0" w:firstLine="0"/>
        <w:jc w:val="both"/>
        <w:rPr>
          <w:color w:val="000000" w:themeColor="text1"/>
          <w:sz w:val="16"/>
          <w:szCs w:val="16"/>
        </w:rPr>
      </w:pPr>
      <w:r w:rsidRPr="00507A31">
        <w:rPr>
          <w:color w:val="000000" w:themeColor="text1"/>
          <w:sz w:val="16"/>
          <w:szCs w:val="16"/>
        </w:rPr>
        <w:t>Получение информации о намерениях и настроениях заграничных кругов.</w:t>
      </w:r>
    </w:p>
    <w:p w14:paraId="28E0DDF7" w14:textId="77777777" w:rsidR="00ED7041" w:rsidRPr="00507A31" w:rsidRDefault="00ED7041" w:rsidP="00507A31">
      <w:pPr>
        <w:numPr>
          <w:ilvl w:val="0"/>
          <w:numId w:val="47"/>
        </w:numPr>
        <w:ind w:left="0" w:firstLine="0"/>
        <w:jc w:val="both"/>
        <w:rPr>
          <w:color w:val="000000" w:themeColor="text1"/>
          <w:sz w:val="16"/>
          <w:szCs w:val="16"/>
        </w:rPr>
      </w:pPr>
      <w:r w:rsidRPr="00507A31">
        <w:rPr>
          <w:color w:val="000000" w:themeColor="text1"/>
          <w:sz w:val="16"/>
          <w:szCs w:val="16"/>
        </w:rPr>
        <w:t>Осуществление связи с заграницею.</w:t>
      </w:r>
    </w:p>
    <w:p w14:paraId="55B019AE" w14:textId="77777777" w:rsidR="00ED7041" w:rsidRPr="00507A31" w:rsidRDefault="00ED7041" w:rsidP="00507A31">
      <w:pPr>
        <w:numPr>
          <w:ilvl w:val="0"/>
          <w:numId w:val="47"/>
        </w:numPr>
        <w:ind w:left="0" w:firstLine="0"/>
        <w:jc w:val="both"/>
        <w:rPr>
          <w:color w:val="000000" w:themeColor="text1"/>
          <w:sz w:val="16"/>
          <w:szCs w:val="16"/>
        </w:rPr>
      </w:pPr>
      <w:r w:rsidRPr="00507A31">
        <w:rPr>
          <w:color w:val="000000" w:themeColor="text1"/>
          <w:sz w:val="16"/>
          <w:szCs w:val="16"/>
        </w:rPr>
        <w:t>Сообщение иностранцам сведений о политическом и экономическом положении СССР в духе и освещении, благоприятствующих интервенции.</w:t>
      </w:r>
    </w:p>
    <w:p w14:paraId="5FD616F4" w14:textId="77777777" w:rsidR="00ED7041" w:rsidRPr="00507A31" w:rsidRDefault="00ED7041" w:rsidP="00507A31">
      <w:pPr>
        <w:numPr>
          <w:ilvl w:val="0"/>
          <w:numId w:val="47"/>
        </w:numPr>
        <w:ind w:left="0" w:firstLine="0"/>
        <w:jc w:val="both"/>
        <w:rPr>
          <w:color w:val="000000" w:themeColor="text1"/>
          <w:sz w:val="16"/>
          <w:szCs w:val="16"/>
        </w:rPr>
      </w:pPr>
      <w:r w:rsidRPr="00507A31">
        <w:rPr>
          <w:color w:val="000000" w:themeColor="text1"/>
          <w:sz w:val="16"/>
          <w:szCs w:val="16"/>
        </w:rPr>
        <w:t>Проведение через посредство или с помощью иностранных фирм вредительских планов Промпартии и ее технической политики.</w:t>
      </w:r>
    </w:p>
    <w:p w14:paraId="333B7A50"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Связи с представительствами иностранных фирм носили индивидуальный характер, ибо эти связи естественно шли по специальности отдельных руководящих членов Промпартии; поэтому мне известны лишь связи с фирмами, работающими в области энергетики.</w:t>
      </w:r>
    </w:p>
    <w:p w14:paraId="0BD02994"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Почти каждый представитель иностранной фирмы использовался для получения информации о загранице и для пропаганды взглядов о тяжелом экономическом и политическом положении СССР. Однако, более откровенные разговоры имели место лишь с немногими отдельными лицами.</w:t>
      </w:r>
    </w:p>
    <w:p w14:paraId="4BD7D66D" w14:textId="77777777" w:rsidR="00ED7041" w:rsidRPr="00507A31" w:rsidRDefault="00ED7041" w:rsidP="00507A31">
      <w:pPr>
        <w:numPr>
          <w:ilvl w:val="0"/>
          <w:numId w:val="48"/>
        </w:numPr>
        <w:ind w:left="0" w:firstLine="0"/>
        <w:jc w:val="both"/>
        <w:rPr>
          <w:color w:val="000000" w:themeColor="text1"/>
          <w:sz w:val="16"/>
          <w:szCs w:val="16"/>
        </w:rPr>
      </w:pPr>
      <w:r w:rsidRPr="00507A31">
        <w:rPr>
          <w:color w:val="000000" w:themeColor="text1"/>
          <w:sz w:val="16"/>
          <w:szCs w:val="16"/>
        </w:rPr>
        <w:t>Из моих личных сношений с иностранными представителями я могу прежде всего указать на директора фирмы Метрополитен Виккерс инж. А. А. Симон. С инж. А. А. Симон я был знаком более 20 лет, ибо он являлся моим товарищем по Высшему Московскому Техническому Училищу. После перерыва это знакомство снова возобновилось в Лондоне в 1924 году и поддерживалось приездами инж. Симон в Москву и моей поездкой в Лондон в 1928 году. В 1928 году в Лондоне я даже имел на квартире инж. Симон свидание с одним из главных руководителей фирмы Виккерс и сообщил о деятельности Промпартии и связи ее с Торгпромом. Содержание этой беседы изложено в моем предыдущем показании. После этого я виделся с инж. Симон при его приезде в Москву в 1929 году. При свидании в Лондоне в 1928 г. инж. Симон весьма интересовался крупными электростанциями, предполагавшимися к постройке в СССР, их мощностью, родом топлива, местоположением и т. п., и высказал мысль, что фирма Виккерс не прочь бы взять на себя целиком постройку и оборудование целой крупной станции. Я сообщил ему мнение Кржижановского, который благоприятно относился к идее такой выстройки станции иностранной фирмой, сказав, что для такой концессионной постройки станции почва будет по[-]видимому весьма благоприятная. Как на наиболее интересные крупные станции, которые будут строиться в ближайшие годы, я указал на новую Ленинградскую станцию на торф[е], новую Московскую станцию — Тверскую или Бобриковскую, соответственно на торф[е] или на подмосковном угле, и на новую станцию для Донбасса — Зуевскую или Тошковскую. Симон особенно заинтересовался Бобриковской станцией; я тоже советовал эту станцию, указав однако на ряд трудностей — водоснабжение, сжигание подмосковного угля и т. п.</w:t>
      </w:r>
    </w:p>
    <w:p w14:paraId="3249EE43"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При моей встрече с инж Симон в Москве в 1929 году Симон интересовался как техническими устремлениями в СССР при постройке и оборудовании электростанций, так в частности и количеством и мощностью турбин, подлежащих заказу. По последнему вопросу я детальными сведениями не располагал, а потому направил его к Гореву и Каменецкому, от которых он и получил эту информацию. Я же осветил Симону технические тенденции в СССР при выборе и заказе турбин, а именно стремление к крупным единицам порядка 44 000-66 000 квт, к давлениям пара ок. 35 атм и т[емперату]рам его ок. 420-430°Ц при тенденции к более высоким давлениям, с которыми фирма Виккерса совершенно не имела опыта. В этой беседе я сообщил Симону о тех затруднениях и неполадках, которые имелись на Штеровской станции, главным образом в области сжигания и размола антрацитового штыба, а также об авариях и неприятностях с турбинами Лезеля на Шатуре и Красном Октябре.</w:t>
      </w:r>
    </w:p>
    <w:p w14:paraId="594651EF"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lastRenderedPageBreak/>
        <w:t>Далее по вопросу об общем экономическом и политическом положении я указывал на многочисленные аресты среди инженеров, на рост недовольства и паники в инженерных кругах, на невозможность продуктивной работы инженеров, на сильно растущее недовольство в деревне, выливающееся даже в бунтах и восстаниях, что создает благоприятную почву для интервенции. Вместе с тем, я указал на усиление партийной борьбы внутри ВКП(б), которая сильно ослабляет ее.</w:t>
      </w:r>
    </w:p>
    <w:p w14:paraId="79C2369B"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Близко знаком с инж. Симон был также проф. Горев, имевший с ним свидания.</w:t>
      </w:r>
    </w:p>
    <w:p w14:paraId="2AB5D105" w14:textId="77777777" w:rsidR="00ED7041" w:rsidRPr="00507A31" w:rsidRDefault="00ED7041" w:rsidP="00507A31">
      <w:pPr>
        <w:numPr>
          <w:ilvl w:val="0"/>
          <w:numId w:val="49"/>
        </w:numPr>
        <w:ind w:left="0" w:firstLine="0"/>
        <w:jc w:val="both"/>
        <w:rPr>
          <w:color w:val="000000" w:themeColor="text1"/>
          <w:sz w:val="16"/>
          <w:szCs w:val="16"/>
        </w:rPr>
      </w:pPr>
      <w:r w:rsidRPr="00507A31">
        <w:rPr>
          <w:color w:val="000000" w:themeColor="text1"/>
          <w:sz w:val="16"/>
          <w:szCs w:val="16"/>
        </w:rPr>
        <w:t>Инж. Меткаф — бывший директор фирмы Бабкок и Вилькокс, а затем — фирмы Руте имел со мною встречи с 1924 года. Я вспоминаю разговоры с Меткаф в Лондоне, в 1928 году и в Москве, в середине 1929 года. С инж. Меткаф у меня не было столь близких отношений, как с Симоном; однако при встречах имели место беседы об общем политическом и экономическом положении Союза. Я, также как и другим иностранным представителям, обрисовывал положение СССР мрачными красками, говоря, что народное хозяйство идет к расстройству, и что в 1930 году надо ожидать очень тяжелого экономического кризиса. Я также давал Меткаф информации о направлениях котельного хозяйства СССР, о результатах испытаний котлов и топок в СССР, производившихся как с котлами Бабкок и Вилькокс, так и других фирм; в частности сообщал данные об опытах сжигания пылетоплива в Теплоинституте и на промышленных станциях, а также о результатах работ Теплоинститута, главным образом по сжиганию разных топлив, давая сведения и об их свойствах. Одновременно я информировал Меткаф о тенденциях в СССР в области котельной техники — стремление к мощным единицам, к экранированию топок, сжиганию порошка, повышению давлений и т. п. и советовал учесть это при предложениях фирмы.</w:t>
      </w:r>
    </w:p>
    <w:p w14:paraId="1C207846"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Меткаф, перейдя в фирму Руте, которая готовит паровые аккумуляторы, весьма интересовался возможностью их распространения в СССР и предлагал даже, чтобы Теплоинститут в лице своего Строительно-Монтажного Бюро взял бы на себя изготовление корпусов, по лицензиям фирмы Руте, распространение и монтаж аккумуляторов. Я обещал свою помощь, путем пропаганды аккумуляторов и сообщил те отрасли применения, где они смогут найти особенно большое распространение.</w:t>
      </w:r>
    </w:p>
    <w:p w14:paraId="24B2C589" w14:textId="77777777" w:rsidR="00ED7041" w:rsidRPr="00507A31" w:rsidRDefault="00ED7041" w:rsidP="00507A31">
      <w:pPr>
        <w:numPr>
          <w:ilvl w:val="0"/>
          <w:numId w:val="50"/>
        </w:numPr>
        <w:ind w:left="0" w:firstLine="0"/>
        <w:jc w:val="both"/>
        <w:rPr>
          <w:color w:val="000000" w:themeColor="text1"/>
          <w:sz w:val="16"/>
          <w:szCs w:val="16"/>
        </w:rPr>
      </w:pPr>
      <w:r w:rsidRPr="00507A31">
        <w:rPr>
          <w:color w:val="000000" w:themeColor="text1"/>
          <w:sz w:val="16"/>
          <w:szCs w:val="16"/>
        </w:rPr>
        <w:t>Инж. Туркус. ближайший помощник Меткаф, сначала по фирме Бабкок и Вилькокс, а потом по фирме Руте, был близко знаком с рядом активных членов Промпартии — напр. с инж. Евреиновым, Савеловым Н. М. и др.</w:t>
      </w:r>
    </w:p>
    <w:p w14:paraId="7950E3C5"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При приезде Туркуса в Москву в 1929 г. я имел с ним более откровенную беседу об аккумуляторах Руте. А именно, Туркус сказал, что их интересует работа с аккумуляторами Руте, ибо она позволит собрать много данных по отдельным фабрикам и заводам, так как для технического расчета и выбора аккумулятора необходимо иметь ряд довольно подробных данных о самом производстве — роде товара, его количествах и т. п. Инж. Туркус предлагал вести работу по аккумуляторам Рутса совместно с Теплоинститутом, а именно, чтобы Строительно-Монтажное Бюро делало корпусы и монтаж, РЭТ — производил бы необходимые исследования теплового хозяйства предприятий, а фирма Руте на основании этих данных будет подбирать размеры аккумуляторов, давать гарантии, доставлять и устанавливать тонкую аппаратуру.</w:t>
      </w:r>
    </w:p>
    <w:p w14:paraId="2F3EF5F4"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Я дал на это принципиальное согласие, обещав продвинуть вопрос в НТУ и ВСНХ, но вследствие передачи Строительно-Монтажного Бюро из Института и последовавшего затем длительного периода реорганизации это не было осуществлено.</w:t>
      </w:r>
    </w:p>
    <w:p w14:paraId="1D6E4F02"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Пропаганду паровых аккумуляторов мы начали, поместив для этого напр. статью Давидова Н. А. в [«]Известиях[»] Теплоинститута, а также несколько статей (на память не помню) в других журналах.</w:t>
      </w:r>
    </w:p>
    <w:p w14:paraId="2BD9D080" w14:textId="77777777" w:rsidR="00ED7041" w:rsidRPr="00507A31" w:rsidRDefault="00ED7041" w:rsidP="00507A31">
      <w:pPr>
        <w:numPr>
          <w:ilvl w:val="0"/>
          <w:numId w:val="51"/>
        </w:numPr>
        <w:ind w:left="0" w:firstLine="0"/>
        <w:jc w:val="both"/>
        <w:rPr>
          <w:color w:val="000000" w:themeColor="text1"/>
          <w:sz w:val="16"/>
          <w:szCs w:val="16"/>
        </w:rPr>
      </w:pPr>
      <w:r w:rsidRPr="00507A31">
        <w:rPr>
          <w:color w:val="000000" w:themeColor="text1"/>
          <w:sz w:val="16"/>
          <w:szCs w:val="16"/>
        </w:rPr>
        <w:t>Инж. М. Е. Айзенштадт — представитель фирмы Бабкок и Вилькокс в Москве и представитель Аркоса, как я уже показывал, служил Ларичеву для связи с английским генштабом и английским посольством. По моему указанию инж. Евреинов сообщал Айзенштадту ряд данных об энергетическом оборудовании заводов Военпрома. Кроме того, я и инж. Козлинский неоднократно сообщали Айзенштадту результаты испытаний топок и котлов, как фирмы Бабкок и Вилькокс, так и других фирм, производившихся Институтом; я и Козлинский давали также Айзенштадту сведения о результатах работ Теплоинститута в области котельной техники. Насколько мне известно, инж. Айзенштадт имел подобную же информацию из отдела Промэнергетики Главэлектро, напр. через инж. В. А. Краснопольского, из МОГЭСа — через Савелова и др., из Энергостроя и др. учреждений.</w:t>
      </w:r>
    </w:p>
    <w:p w14:paraId="5E2090FF" w14:textId="77777777" w:rsidR="00ED7041" w:rsidRPr="00507A31" w:rsidRDefault="00ED7041" w:rsidP="00507A31">
      <w:pPr>
        <w:numPr>
          <w:ilvl w:val="0"/>
          <w:numId w:val="52"/>
        </w:numPr>
        <w:ind w:left="0" w:firstLine="0"/>
        <w:jc w:val="both"/>
        <w:rPr>
          <w:color w:val="000000" w:themeColor="text1"/>
          <w:sz w:val="16"/>
          <w:szCs w:val="16"/>
        </w:rPr>
      </w:pPr>
      <w:r w:rsidRPr="00507A31">
        <w:rPr>
          <w:color w:val="000000" w:themeColor="text1"/>
          <w:sz w:val="16"/>
          <w:szCs w:val="16"/>
        </w:rPr>
        <w:t>Инж. Азимус — представитель фирмы Керн (Чехословакия) имел со мною неоднократно беседы на темы об общем положении СССР, которое освещалось мною в тех же мрачных тонах, как это обычно делалось перед иностранцами членами Промпартии. Такое же освещение положения давали инж. Азимус по моим указаниям напр. инж. Евреинов, Давидов и др. В своих беседах я особенно подчеркивал, что в 1930 году будет разгар экономического кризиса. По техническим вопросам я давал инж. Азимус информацию о проектируемых теплоцентралях в Москве и Ленинграде, при чем более детальные данные Азимус получал по этому вопросу в Энергострое. Вопрос о теплоцентралях особенно интересовал фирму Керн в связи с возможностью установки здесь котлов Леффлера, производимых этой фирмой (Витковицкий завод). Далее я, и по моему указанию инж. Давидов Н. А., сообщали инж. Азимус сведения о неполадках, неудачах и авариях с турбинами Лезеля. Помимо этого, я и другие сотрудники Теплоинститута давали Азимус сведения о результатах экспериментальных работ Института.</w:t>
      </w:r>
    </w:p>
    <w:p w14:paraId="22675FF4"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Особенно близко был связан с Витковицким заводом, входящим в концерн Керн, проф. Т. Ф. Макарьев, находившийся с ним в деловой связи по постройке топок его системы, и сообщавший заводу различные информации технического и экономического характера.</w:t>
      </w:r>
    </w:p>
    <w:p w14:paraId="72D8DAE5" w14:textId="77777777" w:rsidR="00ED7041" w:rsidRPr="00507A31" w:rsidRDefault="00ED7041" w:rsidP="00507A31">
      <w:pPr>
        <w:numPr>
          <w:ilvl w:val="0"/>
          <w:numId w:val="53"/>
        </w:numPr>
        <w:ind w:left="0" w:firstLine="0"/>
        <w:jc w:val="both"/>
        <w:rPr>
          <w:color w:val="000000" w:themeColor="text1"/>
          <w:sz w:val="16"/>
          <w:szCs w:val="16"/>
        </w:rPr>
      </w:pPr>
      <w:r w:rsidRPr="00507A31">
        <w:rPr>
          <w:color w:val="000000" w:themeColor="text1"/>
          <w:sz w:val="16"/>
          <w:szCs w:val="16"/>
        </w:rPr>
        <w:t>Инж. Кокс — старший инженер фирмы Метрополитен Виккерс часто встречался со многими активными членами Промпартии, живя долгое время в СССР.</w:t>
      </w:r>
    </w:p>
    <w:p w14:paraId="0452796F"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Я лично имел, кажется, несколько встреч с инж. Кокс; разговоры касались технических вопросов, интересовавших фирму Виккерс. А именно, по вопросу о заказе турбин для новых крупных станций я сообщил инж. Кокс основные требования на турбины — а именно параметры состояния пара, мощность, число цилиндров, гарантии расхода пара и т. п. Далее я сообщал инж. Кокс сведения о результатах испытаний разных турбин. Более подробные сведения по этому вопросу на основании испытаний Теплоинститута давал инж[енеру] Кокс по моей просьбе инж. Давидов Н. А.</w:t>
      </w:r>
    </w:p>
    <w:p w14:paraId="6B093CB6"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Более тесную и постоянную связь с инж. Кокс, жившим обычно в Ленинграде, имели тамошние члены Промпартии, а именно напр. проф. А. Ю. Винблад, проф. Т. Ф. Макарьев, проф. Кирпичев М. В. и др.</w:t>
      </w:r>
    </w:p>
    <w:p w14:paraId="5C6B0475" w14:textId="77777777" w:rsidR="00ED7041" w:rsidRPr="00507A31" w:rsidRDefault="00ED7041" w:rsidP="00507A31">
      <w:pPr>
        <w:numPr>
          <w:ilvl w:val="0"/>
          <w:numId w:val="54"/>
        </w:numPr>
        <w:ind w:left="0" w:firstLine="0"/>
        <w:jc w:val="both"/>
        <w:rPr>
          <w:color w:val="000000" w:themeColor="text1"/>
          <w:sz w:val="16"/>
          <w:szCs w:val="16"/>
        </w:rPr>
      </w:pPr>
      <w:r w:rsidRPr="00507A31">
        <w:rPr>
          <w:color w:val="000000" w:themeColor="text1"/>
          <w:sz w:val="16"/>
          <w:szCs w:val="16"/>
        </w:rPr>
        <w:t>Инж. Бодмер (Париж). Я познакомился с инж. Бодмер в Париже в 1927 г. через проф. В. И. Худякова. Инж. Бодмер был, правда неофициально, связан с фирмой Штейн, поставлявшей в СССР пылеприготовительное оборудование, и всемерно пропагандировал мельницы Резолютор этой фирмы. Как я уже указывал, эти мельницы явно непригодны для твердых топлив СССР, как напр. для антрацита и подмосковного угля с его высоким содержанием колчедана. Тем не менее, с вредительскими целями проф. В. И. Худякову, совместно с инж. Каменецким М. Л., сотрудниками МОГЭСа и др. удалось осуществить заказ на большое количество мельниц Резолютор. Это действие было облегчено благодаря связи проф. В. И. Худякова с инж. Бодмер, который как консультант Торгпредства в Париже имел там большое влияние. Я, зная о непригодности мельниц для ряда станций, не приостановил этого заказа.</w:t>
      </w:r>
    </w:p>
    <w:p w14:paraId="1096DD8A"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Я лично сообщил Бодмеру данные о свойствах углей СССР и указал ряд станций, где их можно установить.</w:t>
      </w:r>
    </w:p>
    <w:p w14:paraId="06BDB33B"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Более близкое знакомство с инж. Бодмер имел проф. В. И. Худяков.</w:t>
      </w:r>
    </w:p>
    <w:p w14:paraId="36918579" w14:textId="77777777" w:rsidR="00ED7041" w:rsidRPr="00507A31" w:rsidRDefault="00ED7041" w:rsidP="00507A31">
      <w:pPr>
        <w:numPr>
          <w:ilvl w:val="0"/>
          <w:numId w:val="55"/>
        </w:numPr>
        <w:ind w:left="0" w:firstLine="0"/>
        <w:jc w:val="both"/>
        <w:rPr>
          <w:color w:val="000000" w:themeColor="text1"/>
          <w:sz w:val="16"/>
          <w:szCs w:val="16"/>
        </w:rPr>
      </w:pPr>
      <w:r w:rsidRPr="00507A31">
        <w:rPr>
          <w:color w:val="000000" w:themeColor="text1"/>
          <w:sz w:val="16"/>
          <w:szCs w:val="16"/>
        </w:rPr>
        <w:t>Помимо перечисленных лиц я имел отдельные встречи с иностранными представителями различных фирм, как напр. Сименс-Шуккерт, Всеобщая Кампания Электричества, Броун Боверг, Вальтер и др., и часто использовал эти свидания для специфического освещения внутреннего положения СССР.</w:t>
      </w:r>
    </w:p>
    <w:p w14:paraId="07BA3ECA"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Из других членов Промпартии знакомства и связи с иностранными представителями имели почти все активные ее члены. Я могу здесь указать главным образом связи и знакомства по линии энергетики.</w:t>
      </w:r>
    </w:p>
    <w:p w14:paraId="0F0777F8"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Весьма частые встречи с вышеуказанными представителями фирм имели инж. М. Л. Каменецкий, проф. Осадчий, проф. Горев, проф. Сушкин, инж. Кукель-Краевский, инж. Вашков Н. П. и многие другие, также используя эти встречи с иностранцами для взаимной информации экономического, политического и технического характера. В частности я могу указать на следующие связи.</w:t>
      </w:r>
    </w:p>
    <w:p w14:paraId="2C921B7E"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Проф. В. И. Хуляков был связан с рядом французских фирм и их представителями, работавшими в СССР, а именно с фирмой Штейн, поставлявшей пылеприготовительное оборудование в виде мельниц Резолютор, для Штеровской станции и др.; проф. Худяков провел в жизнь целый ряд установок этой фирмы; далее Худяков имел связь с французской фирмой Пратт, поставлявшей воздушные подогреватели для ряда станций, с фирмой Фив-Лилль, поставлявшей котлы и т. д. В фирме Штейн Худяков имел близкую связь с инж. Налбандьян (Париж). Указанные связи Худякова помимо информаций позволяли осуществлять и вредительские цели.</w:t>
      </w:r>
    </w:p>
    <w:p w14:paraId="7C3585AA"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Помимо Худякова с теми же французскими фирмами были связаны сотрудники МОГЭСа, и особенно инж. Б. А. Барсуков.</w:t>
      </w:r>
    </w:p>
    <w:p w14:paraId="2C55C33E"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Инж. Давидов Н. А., как я уже показывал выше, находился в связи с фирмой Виккерс через инж. Кокс, а также с другими турбинными фирмами, как напр. Броун Боверг, Рато и др.</w:t>
      </w:r>
    </w:p>
    <w:p w14:paraId="712FFE5B"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Инж. К. Ф. Евреинов имел связь с представителем фирмы Бабкоке и Вилькокс, инж[енером] М. Е. Айзенштадт, сообщая ему сведения по энергетике промышленности; кроме того, инж. Евреинов часто встречался с представителем фирмы Р. Каблиц, инженером Штейнберг (?), сообщал последнему ряд данных и давая советы по проведению фабрика — тов фирмы — экономайзеров и механических топок. Помимо этого инж. Евреинов встречался неоднократно с инж. Азимус, давал ему освещение экономического и бытового положения СССР в духе, преподанном мною, и служил таким образом связью между мною и инж. Азимусом.</w:t>
      </w:r>
    </w:p>
    <w:p w14:paraId="593DEB48"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Проф. П. М. Соловьев совместно с проф. Фокиным, инж. Солодовни- ковым, инж. Гурфинкель и инж. Гавриловым Н. Н. имел связи с фирмами, работающими по газификации, а именно А. Крейза, Шкода, Монд и др., помогал им проводить в жизнь в СССР явно невыгодные идеи в области газификации и переработки топлива, несмотря на неблагоприятные или недостаточные результаты опытов. Для проведения этих идей фирмам сообщались различные экономические данные, а также и общая информация об СССР.</w:t>
      </w:r>
    </w:p>
    <w:p w14:paraId="37781DAC"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Подобные же связи по своей специальности с представителями отдельных фирм имели и другие руководящие работники Промпартии.</w:t>
      </w:r>
    </w:p>
    <w:p w14:paraId="16171445"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Так например:</w:t>
      </w:r>
    </w:p>
    <w:p w14:paraId="0E716B2B"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Ларичев и Стрижов имели связи с нефтяными и угольными фирмами.</w:t>
      </w:r>
    </w:p>
    <w:p w14:paraId="30290AC4"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lastRenderedPageBreak/>
        <w:t>Федотов и другие текстильщики — с текстильными фирмами.</w:t>
      </w:r>
    </w:p>
    <w:p w14:paraId="318ED93F"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Чарновский. Жданов, Кутский и др. с металлическими и металлургическими фирмами, по станкам, тракторам и т. д.</w:t>
      </w:r>
    </w:p>
    <w:p w14:paraId="503109C5"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Подробности по этим связям могут дать вышеуказанные лица.</w:t>
      </w:r>
    </w:p>
    <w:p w14:paraId="0450BA23" w14:textId="77777777" w:rsidR="00ED7041" w:rsidRPr="00507A31" w:rsidRDefault="00ED7041" w:rsidP="00507A31">
      <w:pPr>
        <w:pStyle w:val="rtecenter"/>
        <w:spacing w:before="0" w:after="0"/>
        <w:jc w:val="both"/>
        <w:rPr>
          <w:color w:val="000000" w:themeColor="text1"/>
          <w:sz w:val="16"/>
          <w:szCs w:val="16"/>
        </w:rPr>
      </w:pPr>
      <w:r w:rsidRPr="00507A31">
        <w:rPr>
          <w:color w:val="000000" w:themeColor="text1"/>
          <w:sz w:val="16"/>
          <w:szCs w:val="16"/>
        </w:rPr>
        <w:t>Заграничные поездки</w:t>
      </w:r>
    </w:p>
    <w:p w14:paraId="280195F3"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При поездках заграницу отдельных членов Промпартии им иногда давались различные поручения. Этот способ применялся Пальчинским главным образом в первый период деятельности Инженерного Центра, примерно до конца 1928 года; с этого же момента, когда установились более регулярные сношения через французское и частью через английское посольства, дача поручений отдельным инженерам при их поездках заграницу практиковал[ась] уже реже.</w:t>
      </w:r>
    </w:p>
    <w:p w14:paraId="5FE25ED2"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Относительно моих поездок заграницу в 1927, 1928 и 1930 годах, о моих встречах и беседах с Симон, Лоуренс, Торгпромом, Лукомским, Жуанвиль, Ценкером и Ясинским я подробно показывал раньше. Сообщал также известные мне сведения о свиданиях Ларичева с Патриком, Лоуренс и членами Торгпрома. Поручения инженерам, ездившим заграницу, давались различными членами ЦК ПП и ее руководящими работниками, при чем содержание и выполнение ряда таких поручений мне неизвестно. Ниже я привожу поручения, известные мне лично, или со слов других.</w:t>
      </w:r>
    </w:p>
    <w:p w14:paraId="0A5C8C70"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Летом 1929 года при поездке заграницу инж. Козлинского, инж. Давидова Н. А. и инж. Домонтовича я просил их повидаться в Берлине с инж. Феникеви и проф. Ясинским и информировать их о положении дела и работе Промпартии для дальнейшей передачи в Торгпром; информация эта носила общий характер освещения очевидцами внутреннего положения. Я особенно просил их подчеркнуть крайнее обострение Партийной борьбы в ВКП(б) и рост недовольства в деревне, как благоприятные факторы для интервенции.</w:t>
      </w:r>
    </w:p>
    <w:p w14:paraId="1B84589E"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Такую же общую информацию Торгпрому я просил сделать проф. Н И. Сушкина при его поездке в Париж в 1929 и 1930 годах.</w:t>
      </w:r>
    </w:p>
    <w:p w14:paraId="3F485427"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Поездка Савелова и Яновицкого в Америку для заказа оборудования для Бобриковской станции была использована Промпартией для задержки постройки этой станции, ибо уже заранее на основании знакомства с американским рынком была ясна трудность заказа там котлов и турбин высокого давления, а способ ведения переговоров в Америке сделал этот заказ явно невыгодным и невыполнимым.</w:t>
      </w:r>
    </w:p>
    <w:p w14:paraId="54D14332"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Савелов Н. М. при своей поездке в Англию в начале 1930 года имел целью информировать английские круги о внутреннем положении, работе Промпартии и особенно о диверсионной организации Промпартии. При этом Савелов уже имел разработанный в МОГЭСе список запасных частей, которые необходимо иметь после диверсий, для замены испорченного оборудования, во избежание длительных простоев станций после окончания контр-революционного переворота. Савелов должен был договориться с фирмами о заготовке и заказе этих запасных частей. В курсе неизвестных мне технических подробностей по вопросу о запасных частях находились инж. Кирпичников и инж. Яновицкий.</w:t>
      </w:r>
    </w:p>
    <w:p w14:paraId="7B0BA5A2"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Проф. П. С. Осадчий говорил мне об использовании им проф. М. А. Шателена при его поездках во Францию в1929 и 1930 годах для информации Торгпрома по вопросам электротехнической промышленности и энергостроительства, а также и для информации общего характера.</w:t>
      </w:r>
    </w:p>
    <w:p w14:paraId="08DE3B34"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Точно так же, по сообщениям Калинникова и Шеина, они просили акад. Ипатьева переговорить заграницей по вопросам военной промышленности, и в частности о диверсиях в ней.</w:t>
      </w:r>
    </w:p>
    <w:p w14:paraId="5091FD66"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Проф. П. С. Осадчий в июле 1930 г. в Берлине должен был по моей просьбе встретился с Денисовым и представителями французских кругов, для подробной взаимной информации и восстановления связей. Результаты мне неизвестны, ибо до своего ареста я после возвращения проф. Осадчего его не встречал.</w:t>
      </w:r>
    </w:p>
    <w:p w14:paraId="0BB32526" w14:textId="77777777" w:rsidR="00ED7041" w:rsidRPr="00507A31" w:rsidRDefault="00ED7041" w:rsidP="00507A31">
      <w:pPr>
        <w:pStyle w:val="ae"/>
        <w:spacing w:before="0" w:after="0"/>
        <w:jc w:val="both"/>
        <w:rPr>
          <w:color w:val="000000" w:themeColor="text1"/>
          <w:sz w:val="16"/>
          <w:szCs w:val="16"/>
        </w:rPr>
      </w:pPr>
      <w:r w:rsidRPr="00507A31">
        <w:rPr>
          <w:color w:val="000000" w:themeColor="text1"/>
          <w:sz w:val="16"/>
          <w:szCs w:val="16"/>
        </w:rPr>
        <w:t>Содержание записок для Торгпрома</w:t>
      </w:r>
    </w:p>
    <w:p w14:paraId="72A4D647" w14:textId="77777777" w:rsidR="00ED7041" w:rsidRPr="00507A31" w:rsidRDefault="00ED7041" w:rsidP="00507A31">
      <w:pPr>
        <w:numPr>
          <w:ilvl w:val="0"/>
          <w:numId w:val="56"/>
        </w:numPr>
        <w:ind w:left="0" w:firstLine="0"/>
        <w:jc w:val="both"/>
        <w:rPr>
          <w:color w:val="000000" w:themeColor="text1"/>
          <w:sz w:val="16"/>
          <w:szCs w:val="16"/>
        </w:rPr>
      </w:pPr>
      <w:r w:rsidRPr="00507A31">
        <w:rPr>
          <w:color w:val="000000" w:themeColor="text1"/>
          <w:sz w:val="16"/>
          <w:szCs w:val="16"/>
        </w:rPr>
        <w:t>Поквартальные экономические сводки, как я уже показывал, составлялись под общим руководством Осадчего, Ларичева и Калинникова, главным образом, специалистами Госплана. Эти сводки давали конъюнктурные обзоры народного хозяйства с главнейшими показателями по отдельным его отраслям: топливо, металл, текстиль, химия, пищевая и лесная промышленность, стройматериалы, легкая индустрия и общий обзор промышленности в целом, транспорт, сельское хозяйство и т. п., давал[и] добычу и производство, число рабочих, цены и индексы их и т. д. Эти сводки состояли главным образом из отдельных цифровых таблиц с кратким пояснительным текстом, выводами и перспективами. Помимо этих сводок посылались и печатные издания по статистике и конъюнктуре народного хозяйства СССР. Общее редактирование таких сводок обычно делалось Осадчим.</w:t>
      </w:r>
    </w:p>
    <w:p w14:paraId="38BD59D4"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Из отдельных специальных записок, составленных для Торгпрома или французских кругов, я могу указать содержание записок, прошедших через меня.</w:t>
      </w:r>
    </w:p>
    <w:p w14:paraId="532BF38E" w14:textId="77777777" w:rsidR="00ED7041" w:rsidRPr="00507A31" w:rsidRDefault="00ED7041" w:rsidP="00507A31">
      <w:pPr>
        <w:numPr>
          <w:ilvl w:val="0"/>
          <w:numId w:val="57"/>
        </w:numPr>
        <w:ind w:left="0" w:firstLine="0"/>
        <w:jc w:val="both"/>
        <w:rPr>
          <w:color w:val="000000" w:themeColor="text1"/>
          <w:sz w:val="16"/>
          <w:szCs w:val="16"/>
        </w:rPr>
      </w:pPr>
      <w:r w:rsidRPr="00507A31">
        <w:rPr>
          <w:color w:val="000000" w:themeColor="text1"/>
          <w:sz w:val="16"/>
          <w:szCs w:val="16"/>
        </w:rPr>
        <w:t>По энергохозяйству и энергоимпорту записка была составлена Каменецким и Гордоном в середине 1929 года. Для составления ее были использованы записки, собранные ранее ВСНХ (инж. Сахаров), и дополнены данными, имевшимися у авторов записки. Эта записка заключала сведения о количестве котлов и первичных двигателей, их мощности и возрасте. Далее указывалось количество, подлежащее смене на 1930 и следующие года пятилетки; размер собственного производства котлов и машин и как разница — потребность в импорте их на 1930 год. Кроме того, давались сведения о фактическом ввозе энергооборудования за 1928 г. по отдельным странам.</w:t>
      </w:r>
    </w:p>
    <w:p w14:paraId="582B6ABF" w14:textId="77777777" w:rsidR="00ED7041" w:rsidRPr="00507A31" w:rsidRDefault="00ED7041" w:rsidP="00507A31">
      <w:pPr>
        <w:numPr>
          <w:ilvl w:val="0"/>
          <w:numId w:val="57"/>
        </w:numPr>
        <w:ind w:left="0" w:firstLine="0"/>
        <w:jc w:val="both"/>
        <w:rPr>
          <w:color w:val="000000" w:themeColor="text1"/>
          <w:sz w:val="16"/>
          <w:szCs w:val="16"/>
        </w:rPr>
      </w:pPr>
      <w:r w:rsidRPr="00507A31">
        <w:rPr>
          <w:color w:val="000000" w:themeColor="text1"/>
          <w:sz w:val="16"/>
          <w:szCs w:val="16"/>
        </w:rPr>
        <w:t>Записка о состоянии авиации в СССР, составленная проф. Б. С. Стечкиным, давала в сжатой форме обзор типов аэропланов, применяющихся в СССР, с данными об их подъемной силе, скорости и высоте полета, мощности моторов и т. п. Отмечены успехи металлического самолетостроения и некоторые специальные вопросы в области теории и техники авиации, как напр. достижения ЦАГИ.</w:t>
      </w:r>
    </w:p>
    <w:p w14:paraId="14AB0B43" w14:textId="77777777" w:rsidR="00ED7041" w:rsidRPr="00507A31" w:rsidRDefault="00ED7041" w:rsidP="00507A31">
      <w:pPr>
        <w:numPr>
          <w:ilvl w:val="0"/>
          <w:numId w:val="57"/>
        </w:numPr>
        <w:ind w:left="0" w:firstLine="0"/>
        <w:jc w:val="both"/>
        <w:rPr>
          <w:color w:val="000000" w:themeColor="text1"/>
          <w:sz w:val="16"/>
          <w:szCs w:val="16"/>
        </w:rPr>
      </w:pPr>
      <w:r w:rsidRPr="00507A31">
        <w:rPr>
          <w:color w:val="000000" w:themeColor="text1"/>
          <w:sz w:val="16"/>
          <w:szCs w:val="16"/>
        </w:rPr>
        <w:t>Записка по сельскому хозяйству проф. А. В. Чаянова, составленная в конце 1929 г., содержала основные характеристики сельского хозяйства, размеры посевной площади, продукции, урожайность по единоличным хозяйствам, колхозам и совхозам, и планы на 1930 год. Освещен вопрос о рабочем скоте и о тракторизации сельского хозяйства. Особенно подчеркнут вопрос об раскулачивании, крестьянских волнениях, разрушениях единоличных кулацких хозяйств и больших размерах этих разрушений.</w:t>
      </w:r>
    </w:p>
    <w:p w14:paraId="00DBD612" w14:textId="77777777" w:rsidR="00ED7041" w:rsidRPr="00507A31" w:rsidRDefault="00ED7041" w:rsidP="00507A31">
      <w:pPr>
        <w:pStyle w:val="rtejustify"/>
        <w:spacing w:before="0" w:after="0"/>
        <w:rPr>
          <w:color w:val="000000" w:themeColor="text1"/>
          <w:sz w:val="16"/>
          <w:szCs w:val="16"/>
        </w:rPr>
      </w:pPr>
      <w:r w:rsidRPr="00507A31">
        <w:rPr>
          <w:color w:val="000000" w:themeColor="text1"/>
          <w:sz w:val="16"/>
          <w:szCs w:val="16"/>
        </w:rPr>
        <w:t>Содержание остальных записок могут сообщить их авторы и организаторы их составления.</w:t>
      </w:r>
    </w:p>
    <w:p w14:paraId="0CB02405" w14:textId="77777777" w:rsidR="00ED7041" w:rsidRPr="00507A31" w:rsidRDefault="00ED7041" w:rsidP="00507A31">
      <w:pPr>
        <w:pStyle w:val="ae"/>
        <w:spacing w:before="0" w:after="0"/>
        <w:jc w:val="both"/>
        <w:rPr>
          <w:color w:val="000000" w:themeColor="text1"/>
          <w:sz w:val="16"/>
          <w:szCs w:val="16"/>
        </w:rPr>
      </w:pPr>
      <w:r w:rsidRPr="00507A31">
        <w:rPr>
          <w:color w:val="000000" w:themeColor="text1"/>
          <w:sz w:val="16"/>
          <w:szCs w:val="16"/>
        </w:rPr>
        <w:t>Л. Рамзин</w:t>
      </w:r>
    </w:p>
    <w:p w14:paraId="5C627F20" w14:textId="77777777" w:rsidR="00ED7041" w:rsidRPr="00507A31" w:rsidRDefault="00ED7041" w:rsidP="00507A31">
      <w:pPr>
        <w:pStyle w:val="ae"/>
        <w:spacing w:before="0" w:after="0"/>
        <w:jc w:val="both"/>
        <w:rPr>
          <w:color w:val="000000" w:themeColor="text1"/>
          <w:sz w:val="16"/>
          <w:szCs w:val="16"/>
        </w:rPr>
      </w:pPr>
      <w:r w:rsidRPr="00507A31">
        <w:rPr>
          <w:color w:val="000000" w:themeColor="text1"/>
          <w:sz w:val="16"/>
          <w:szCs w:val="16"/>
        </w:rPr>
        <w:t>Допросили:</w:t>
      </w:r>
    </w:p>
    <w:p w14:paraId="49B3D384" w14:textId="77777777" w:rsidR="00ED7041" w:rsidRPr="00507A31" w:rsidRDefault="00ED7041" w:rsidP="00507A31">
      <w:pPr>
        <w:pStyle w:val="ae"/>
        <w:spacing w:before="0" w:after="0"/>
        <w:jc w:val="both"/>
        <w:rPr>
          <w:color w:val="000000" w:themeColor="text1"/>
          <w:sz w:val="16"/>
          <w:szCs w:val="16"/>
        </w:rPr>
      </w:pPr>
      <w:r w:rsidRPr="00507A31">
        <w:rPr>
          <w:color w:val="000000" w:themeColor="text1"/>
          <w:sz w:val="16"/>
          <w:szCs w:val="16"/>
        </w:rPr>
        <w:t>Пом. Нач. СОУ ОГПУ</w:t>
      </w:r>
    </w:p>
    <w:p w14:paraId="12C64BDE" w14:textId="77777777" w:rsidR="00ED7041" w:rsidRPr="00507A31" w:rsidRDefault="00ED7041" w:rsidP="00507A31">
      <w:pPr>
        <w:pStyle w:val="ae"/>
        <w:spacing w:before="0" w:after="0"/>
        <w:jc w:val="both"/>
        <w:rPr>
          <w:color w:val="000000" w:themeColor="text1"/>
          <w:sz w:val="16"/>
          <w:szCs w:val="16"/>
        </w:rPr>
      </w:pPr>
      <w:r w:rsidRPr="00507A31">
        <w:rPr>
          <w:color w:val="000000" w:themeColor="text1"/>
          <w:sz w:val="16"/>
          <w:szCs w:val="16"/>
        </w:rPr>
        <w:t>и пом. Нач. 3 Отд. СО ОГПУ Радзивиловский</w:t>
      </w:r>
    </w:p>
    <w:p w14:paraId="5C59401D" w14:textId="77777777" w:rsidR="00ED7041" w:rsidRPr="00507A31" w:rsidRDefault="00ED7041" w:rsidP="00507A31">
      <w:pPr>
        <w:pStyle w:val="ae"/>
        <w:spacing w:before="0" w:after="0"/>
        <w:jc w:val="both"/>
        <w:rPr>
          <w:color w:val="000000" w:themeColor="text1"/>
          <w:sz w:val="16"/>
          <w:szCs w:val="16"/>
        </w:rPr>
      </w:pPr>
      <w:r w:rsidRPr="00507A31">
        <w:rPr>
          <w:rStyle w:val="af0"/>
          <w:i w:val="0"/>
          <w:color w:val="000000" w:themeColor="text1"/>
          <w:sz w:val="16"/>
          <w:szCs w:val="16"/>
        </w:rPr>
        <w:t>ГА РФ. Ф. 9474. On. 7. Д. 405. Л. 31-38 об. (А) Рукописный подлинник, автограф Л. К. Рамзина на 16-ти стр. (написано фиолетовыми чернилами). Сведения о проводивших допрос следователях в начале и в конце документа написаны синими чернилами и, видимо, рукой Радзивиловского. Подпись Агранова в конце документа отсутствует, подпись Радзивиловского — автограф.</w:t>
      </w:r>
    </w:p>
    <w:p w14:paraId="66FD88C7" w14:textId="77777777" w:rsidR="00ED7041" w:rsidRPr="00507A31" w:rsidRDefault="00ED7041" w:rsidP="00507A31">
      <w:pPr>
        <w:pStyle w:val="ae"/>
        <w:spacing w:before="0" w:after="0"/>
        <w:jc w:val="both"/>
        <w:rPr>
          <w:color w:val="000000" w:themeColor="text1"/>
          <w:sz w:val="16"/>
          <w:szCs w:val="16"/>
        </w:rPr>
      </w:pPr>
      <w:r w:rsidRPr="00507A31">
        <w:rPr>
          <w:rStyle w:val="af0"/>
          <w:i w:val="0"/>
          <w:color w:val="000000" w:themeColor="text1"/>
          <w:sz w:val="16"/>
          <w:szCs w:val="16"/>
        </w:rPr>
        <w:t>Там же.Д. 418. Л. 120-128. (Б) Машинописная копия того времени. Кроме отмеченных в подстрочнике, имеются разночтения в написании отдельных слов (ок. — около, напр. — например, г. — год, при чем — причем, энергоимпорту — энерго-импорту и др.). Все фамилии напечатаны прописными буквами. Проставлены знаки препинания, отсутствующие в рукописи (запятые, двоеточия) — выделены вводные слова, деепричастные обороты и т. п. (18708).</w:t>
      </w:r>
    </w:p>
    <w:p w14:paraId="277517E1" w14:textId="77777777" w:rsidR="00ED7041" w:rsidRPr="00507A31" w:rsidRDefault="00ED7041" w:rsidP="00507A31">
      <w:pPr>
        <w:jc w:val="both"/>
        <w:rPr>
          <w:color w:val="000000" w:themeColor="text1"/>
          <w:sz w:val="16"/>
          <w:szCs w:val="16"/>
        </w:rPr>
      </w:pPr>
    </w:p>
    <w:p w14:paraId="5221E78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9BD2419" w14:textId="77777777" w:rsidR="00537E5F" w:rsidRPr="00507A31" w:rsidRDefault="00537E5F" w:rsidP="00507A31">
      <w:pPr>
        <w:autoSpaceDE w:val="0"/>
        <w:autoSpaceDN w:val="0"/>
        <w:adjustRightInd w:val="0"/>
        <w:jc w:val="both"/>
        <w:rPr>
          <w:iCs/>
          <w:color w:val="000000" w:themeColor="text1"/>
          <w:sz w:val="16"/>
          <w:szCs w:val="16"/>
        </w:rPr>
      </w:pPr>
    </w:p>
    <w:p w14:paraId="681EDA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октября 1930 Врид Начальник ВВС Я.И.Алкснис послал доклад пред. РВС "О необходимых мероприятиях по ЦАГИ для обеспечения усиления темпов опытного строительства по самолетам и моторам" (1026,116).</w:t>
      </w:r>
    </w:p>
    <w:p w14:paraId="02AD7D0F" w14:textId="77777777" w:rsidR="00537E5F" w:rsidRPr="00507A31" w:rsidRDefault="00537E5F" w:rsidP="00507A31">
      <w:pPr>
        <w:autoSpaceDE w:val="0"/>
        <w:autoSpaceDN w:val="0"/>
        <w:adjustRightInd w:val="0"/>
        <w:jc w:val="both"/>
        <w:rPr>
          <w:color w:val="000000" w:themeColor="text1"/>
          <w:sz w:val="16"/>
          <w:szCs w:val="16"/>
        </w:rPr>
      </w:pPr>
    </w:p>
    <w:p w14:paraId="54A361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октября 1930 Врид. Нач. ВВС РККА Алкснис писал доклад Пред. РВС СССР О необходимых мериприятиях по ЦАГИ для обеспечения усиления темпов опытного строительства по самолетам и моторам:</w:t>
      </w:r>
    </w:p>
    <w:p w14:paraId="1AE1FB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По разделе УП. Выполнение плана работ целиком разделяю и поддерживаю предложения ЦАГИ, изложенные в настоящем разделе, кроме предложения освободить ЦАГИ от доделки АНТ-9 /из-за недоделанности хвостового оперения самолет АНТ-9 с моторами Райт сильно заворачивает влево при взлете и посадке/. Эту работу ЦАГИ должен доделать и притом в наикратчайший срок, так как данного типа самолет выпускается в большом количестве в серийном производстве...</w:t>
      </w:r>
    </w:p>
    <w:p w14:paraId="6A69CF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ЦАСА, ф. 4, оп. 1, д. 1469, л. 72-73 (1026,116).</w:t>
      </w:r>
    </w:p>
    <w:p w14:paraId="785426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F5ECB4B" w14:textId="77777777" w:rsidR="00537E5F" w:rsidRPr="00507A31" w:rsidRDefault="00AC735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2A9E3BA" w14:textId="77777777" w:rsidR="00537E5F" w:rsidRPr="00507A31" w:rsidRDefault="00537E5F" w:rsidP="00507A31">
      <w:pPr>
        <w:shd w:val="clear" w:color="auto" w:fill="FFFFFF"/>
        <w:autoSpaceDE w:val="0"/>
        <w:autoSpaceDN w:val="0"/>
        <w:adjustRightInd w:val="0"/>
        <w:jc w:val="both"/>
        <w:rPr>
          <w:iCs/>
          <w:color w:val="000000" w:themeColor="text1"/>
          <w:sz w:val="16"/>
          <w:szCs w:val="16"/>
        </w:rPr>
      </w:pPr>
    </w:p>
    <w:p w14:paraId="4A9204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октября 1930 г. был подготовлен ОТЧЕТ О РАБОТЕ 1 ОТДЕЛА ТЕХНИЧЕСКОГО УПРАВЛЕНИЯ УММ ЗА 1929-1930 гг.</w:t>
      </w:r>
    </w:p>
    <w:p w14:paraId="5EB52A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6722B5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Улучшение существующих и внедрение в производство новых образцов</w:t>
      </w:r>
    </w:p>
    <w:p w14:paraId="39AA86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На основании войскового опыта, в 3 серию танков Т-18 (МС-1) введен целый ряд конструктивных изменений, из которых основными являются: повышение мощности мотора до 40 НР. Ведущее колесо с внешним зацеплением, гусеница "орлиный коготь", катки с защитой от грязи и другие. 4-х скоростная | коробка передач не введена по причине задержки в изготовлении и испытании опытного образца.</w:t>
      </w:r>
    </w:p>
    <w:p w14:paraId="5DE7DC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Внедрены в серийное производство и получены: а) трактор "Коммунар" типа ЕУ со скоростью до 12 км (для частей зенитной артиллерии), б) тракторная повозка 1,75 тонная типа П-18 (с железной рамой и одним поворотным кругом).</w:t>
      </w:r>
    </w:p>
    <w:p w14:paraId="230D9A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 Изготовлены опытные образцы, испытаны и намечены к внедрению в производство по планам! особого квартала и 1931 года: а) средний танк типа Т-24 (Т-12), б) трактор "Коммунар" типа 3-90 со| скоростью до 16 км, в) тракторная повозка трехтонная типа П-20 (П-26), г) цистерна на тракторной| повозке в 1,75 т.</w:t>
      </w:r>
    </w:p>
    <w:p w14:paraId="5BF6BD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Готовятся опытные образцы намеченные к внедрению в производство по плану 1931 года:а)| малого танка типа Т-20, б) малого танка типа Т-19, в) танкетки типа К-25 (Карден-Лойд), г) среднего! трактора 6,5 т с мотором 100-120 НР.</w:t>
      </w:r>
    </w:p>
    <w:p w14:paraId="23D093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Заканчиваются проекты намеченных к внедрению в производство по плану 1931 года: а) по-| ходной мастерской на 2 прицепных повозках, б) цистерны на прицепной повозке трехтонные.</w:t>
      </w:r>
    </w:p>
    <w:p w14:paraId="13C0BB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Реализация заготовительного плана 1929/30 года</w:t>
      </w:r>
    </w:p>
    <w:p w14:paraId="63E0A2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Из намеченного по заготовительному плану совершенно не выданы следующие заказы: а) танкет</w:t>
      </w:r>
      <w:r w:rsidRPr="00507A31">
        <w:rPr>
          <w:color w:val="000000" w:themeColor="text1"/>
          <w:sz w:val="16"/>
          <w:szCs w:val="16"/>
        </w:rPr>
        <w:softHyphen/>
        <w:t>ки 10 шт. Заказ не выдавался ввиду отсутствия опытного образца. При внесении в смету имелась в виду выполнявшаяся заводом "Большевик" танкетка Т-17, которая после заводских испытаний оказалась не</w:t>
      </w:r>
      <w:r w:rsidRPr="00507A31">
        <w:rPr>
          <w:color w:val="000000" w:themeColor="text1"/>
          <w:sz w:val="16"/>
          <w:szCs w:val="16"/>
        </w:rPr>
        <w:softHyphen/>
        <w:t>удовлетворительной, б) танки средние Т-12 30 шт. Заказ на 15 шт. (согласно решению РВС) был выдан, не ожидая результатов испытания опытного образца, который вместо 1 декабря 1929 г. был предъявлен заво</w:t>
      </w:r>
      <w:r w:rsidRPr="00507A31">
        <w:rPr>
          <w:color w:val="000000" w:themeColor="text1"/>
          <w:sz w:val="16"/>
          <w:szCs w:val="16"/>
        </w:rPr>
        <w:softHyphen/>
        <w:t>дом только в июле 1930 г. Несмотря на все принятые меры получить от Промышленности 15 машин до 1 октября 1930 г. не удалось, поэтому заказ перенесен на особый квартал 1930 г., в) оборудование походных мастерских на прицепных тракторных повозках — 150 000 руб. При внесении в смету имелось в виду за</w:t>
      </w:r>
      <w:r w:rsidRPr="00507A31">
        <w:rPr>
          <w:color w:val="000000" w:themeColor="text1"/>
          <w:sz w:val="16"/>
          <w:szCs w:val="16"/>
        </w:rPr>
        <w:softHyphen/>
        <w:t>казать опытную серию походных мастерских в количестве 10 шт. НТК УММ были составлены техниче</w:t>
      </w:r>
      <w:r w:rsidRPr="00507A31">
        <w:rPr>
          <w:color w:val="000000" w:themeColor="text1"/>
          <w:sz w:val="16"/>
          <w:szCs w:val="16"/>
        </w:rPr>
        <w:softHyphen/>
        <w:t>ские требования и выдан заказ ГВООПО (ОАТ) на разработку проекта мастерской. Проект этот ГВООПО до сего времени не выполнен, поэтому заказ на 10 мастерских не было возможности выдать, г) оборудова</w:t>
      </w:r>
      <w:r w:rsidRPr="00507A31">
        <w:rPr>
          <w:color w:val="000000" w:themeColor="text1"/>
          <w:sz w:val="16"/>
          <w:szCs w:val="16"/>
        </w:rPr>
        <w:softHyphen/>
        <w:t>ние подвижных мастерских — 150 000 руб. Вопросы организации и оборудования подвижных мастерских переданы в ведение 4 отдела вместе с кредитами на эти надобности. 4 отделом разработаны проекты табе</w:t>
      </w:r>
      <w:r w:rsidRPr="00507A31">
        <w:rPr>
          <w:color w:val="000000" w:themeColor="text1"/>
          <w:sz w:val="16"/>
          <w:szCs w:val="16"/>
        </w:rPr>
        <w:softHyphen/>
        <w:t>лей мастерских, но никаких заказов сделано не было, д) тракторы легкие — 25 шт. Задание по изготовле</w:t>
      </w:r>
      <w:r w:rsidRPr="00507A31">
        <w:rPr>
          <w:color w:val="000000" w:themeColor="text1"/>
          <w:sz w:val="16"/>
          <w:szCs w:val="16"/>
        </w:rPr>
        <w:softHyphen/>
        <w:t>нию опытного образца заводом "Большевик" до сего времени не выполнено, поэтому выдать заказ на 'опытную серию возможности не было, е) ремонт танков МС-1 — 13 шт. В связи с прорывами на заводе "Большевик" по выполнению программы танкостроения (305 шт.), ремонт 13 машин выполнен не был, а, кроме того, заводом с этих машин был снят целый ряд различных деталей для постановки их на выпуска</w:t>
      </w:r>
      <w:r w:rsidRPr="00507A31">
        <w:rPr>
          <w:color w:val="000000" w:themeColor="text1"/>
          <w:sz w:val="16"/>
          <w:szCs w:val="16"/>
        </w:rPr>
        <w:softHyphen/>
        <w:t>емые новые машины. Для разбора этого дела на заводе была создана особая комиссия с участием предста</w:t>
      </w:r>
      <w:r w:rsidRPr="00507A31">
        <w:rPr>
          <w:color w:val="000000" w:themeColor="text1"/>
          <w:sz w:val="16"/>
          <w:szCs w:val="16"/>
        </w:rPr>
        <w:softHyphen/>
        <w:t>вителей ОПТУ, которая установила количество снятых деталей и потребовала от завода возмещения их новыми. Выполнение ремонта этих машин включено в программу особого квартала 1930 года.</w:t>
      </w:r>
    </w:p>
    <w:p w14:paraId="3BC1EA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Заказы по плану 1929/30 года Промышленность не выполнила в срок полностью почти по всей номенклатуре. Совершенно не выполнен заказ на тракторы "Большевик" 100 шт. и даже не закончен недодел по ним 1928/29 г. 12 шт. По тракторам "Коммунар" заказ выполнен на 46%, по танкам МС-1 на 40%. Полностью сданы только тракторы "Фордзон", которые поступили даже не</w:t>
      </w:r>
      <w:r w:rsidRPr="00507A31">
        <w:rPr>
          <w:color w:val="000000" w:themeColor="text1"/>
          <w:sz w:val="16"/>
          <w:szCs w:val="16"/>
        </w:rPr>
        <w:softHyphen/>
        <w:t>сколько ранее установленных сроков. Особенно необходимо отметить недодел по запасным час</w:t>
      </w:r>
      <w:r w:rsidRPr="00507A31">
        <w:rPr>
          <w:color w:val="000000" w:themeColor="text1"/>
          <w:sz w:val="16"/>
          <w:szCs w:val="16"/>
        </w:rPr>
        <w:softHyphen/>
        <w:t>тям для машин всех типов, т.к. промышленность до сих пор считает изготовление их делом второ</w:t>
      </w:r>
      <w:r w:rsidRPr="00507A31">
        <w:rPr>
          <w:color w:val="000000" w:themeColor="text1"/>
          <w:sz w:val="16"/>
          <w:szCs w:val="16"/>
        </w:rPr>
        <w:softHyphen/>
        <w:t>степенным. Задержка в сдаче запасных частей вызывает серьезные осложнения, нарушая нор</w:t>
      </w:r>
      <w:r w:rsidRPr="00507A31">
        <w:rPr>
          <w:color w:val="000000" w:themeColor="text1"/>
          <w:sz w:val="16"/>
          <w:szCs w:val="16"/>
        </w:rPr>
        <w:softHyphen/>
        <w:t>мальную эксплуатацию машин.</w:t>
      </w:r>
    </w:p>
    <w:p w14:paraId="1942C8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По качеству продукции истекший год характеризовался как положительными, так и отрицательны</w:t>
      </w:r>
      <w:r w:rsidRPr="00507A31">
        <w:rPr>
          <w:color w:val="000000" w:themeColor="text1"/>
          <w:sz w:val="16"/>
          <w:szCs w:val="16"/>
        </w:rPr>
        <w:softHyphen/>
        <w:t>ми показателями. К числу положительных показателей относятся конструктивные улучшения танка Т-18, значительно повысившие его качества (против 2-й серии), а также и некоторые достижения в улучшении качества обработки деталей. Отрицательными показателями являются: наблюдавшаяся во многих случа</w:t>
      </w:r>
      <w:r w:rsidRPr="00507A31">
        <w:rPr>
          <w:color w:val="000000" w:themeColor="text1"/>
          <w:sz w:val="16"/>
          <w:szCs w:val="16"/>
        </w:rPr>
        <w:softHyphen/>
        <w:t>ях недоброкачественность сборки (Т-18, "Коммунар", "Фордзон") и порча готовой продукции из-за не</w:t>
      </w:r>
      <w:r w:rsidRPr="00507A31">
        <w:rPr>
          <w:color w:val="000000" w:themeColor="text1"/>
          <w:sz w:val="16"/>
          <w:szCs w:val="16"/>
        </w:rPr>
        <w:softHyphen/>
        <w:t>брежной упаковки (запчасти для трактора "Коммунар", отправлявшиеся с ГХПЗ). В некоторых случаях эти отрицательные явления объясняются слабой квалификацией рабочей силы, но в основном их все же следует отнести к небрежному выполнению работы. Принятыми мерами (более тщательная приемка, ус</w:t>
      </w:r>
      <w:r w:rsidRPr="00507A31">
        <w:rPr>
          <w:color w:val="000000" w:themeColor="text1"/>
          <w:sz w:val="16"/>
          <w:szCs w:val="16"/>
        </w:rPr>
        <w:softHyphen/>
        <w:t>тановление ответственности сборочных бригад и административно-технического персонала, пломбиро</w:t>
      </w:r>
      <w:r w:rsidRPr="00507A31">
        <w:rPr>
          <w:color w:val="000000" w:themeColor="text1"/>
          <w:sz w:val="16"/>
          <w:szCs w:val="16"/>
        </w:rPr>
        <w:softHyphen/>
        <w:t>вание картеров и т.п.) удалось достигнуть некоторых улучшений, но имеющиеся достижения не могут по</w:t>
      </w:r>
      <w:r w:rsidRPr="00507A31">
        <w:rPr>
          <w:color w:val="000000" w:themeColor="text1"/>
          <w:sz w:val="16"/>
          <w:szCs w:val="16"/>
        </w:rPr>
        <w:softHyphen/>
        <w:t>ка считаться вполне достаточными и требуют дальнейшей работы в вопросах улучшения качества.</w:t>
      </w:r>
    </w:p>
    <w:p w14:paraId="3224CA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 снижении цен истекший операционный год не отличался сколько-нибудь значительными достижениями против предыдущего; некоторое снижение было проведено только по трактору "Ком</w:t>
      </w:r>
      <w:r w:rsidRPr="00507A31">
        <w:rPr>
          <w:color w:val="000000" w:themeColor="text1"/>
          <w:sz w:val="16"/>
          <w:szCs w:val="16"/>
        </w:rPr>
        <w:softHyphen/>
        <w:t>мунар" (около 3%). Особенно ненормальное положение наблюдалось с ценами на прицепные трак</w:t>
      </w:r>
      <w:r w:rsidRPr="00507A31">
        <w:rPr>
          <w:color w:val="000000" w:themeColor="text1"/>
          <w:sz w:val="16"/>
          <w:szCs w:val="16"/>
        </w:rPr>
        <w:softHyphen/>
        <w:t>торные повозки, относительная стоимость которых не выдерживает сравнения даже с высокими це</w:t>
      </w:r>
      <w:r w:rsidRPr="00507A31">
        <w:rPr>
          <w:color w:val="000000" w:themeColor="text1"/>
          <w:sz w:val="16"/>
          <w:szCs w:val="16"/>
        </w:rPr>
        <w:softHyphen/>
        <w:t>нами на танки и тракторы. Значительные достижения в снижении цен наметились только в планах на особый квартал и 1931 год (по новым заказам).</w:t>
      </w:r>
    </w:p>
    <w:p w14:paraId="48798C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Благодаря непрерывному давлению на Промышленность, установлению тесной связи с нею и оказанию постоянной помощи ей, за истекший год удалось добиться следующих положительных ре</w:t>
      </w:r>
      <w:r w:rsidRPr="00507A31">
        <w:rPr>
          <w:color w:val="000000" w:themeColor="text1"/>
          <w:sz w:val="16"/>
          <w:szCs w:val="16"/>
        </w:rPr>
        <w:softHyphen/>
        <w:t>зультатов: а) увеличение выпуска продукции на заводе "Большевик", которое обеспечивает своевре</w:t>
      </w:r>
      <w:r w:rsidRPr="00507A31">
        <w:rPr>
          <w:color w:val="000000" w:themeColor="text1"/>
          <w:sz w:val="16"/>
          <w:szCs w:val="16"/>
        </w:rPr>
        <w:softHyphen/>
        <w:t>менное поступление этой продукции в дальнейшем (за сентябрь на заводе собрано 82 машины);</w:t>
      </w:r>
    </w:p>
    <w:p w14:paraId="7A18C1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внедрение в производство на ГХПЗ танка Т-24 (Т-12); в) подготовка к внедрению в производство на заводе №2 (ВАТО) танкетки К-25 (Карден-Лойд).</w:t>
      </w:r>
    </w:p>
    <w:p w14:paraId="22D422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Снабжение</w:t>
      </w:r>
    </w:p>
    <w:p w14:paraId="3F2914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 связи с крупными недоделами по заготовительному плану 1929/30 года, не мог быть реализован в установленные промежуточные сроки и план распределения. Однако, к конечному сроку плана, т.е. к 1 января 1931 г., план распределения будет осуществлен полностью, т.к. все недоделы должны быть ликвидированы в течение особого квартала 1930 г. Исключением явится трактор "Большевик", которых вместо 112 намечено к получению только 25 шт.</w:t>
      </w:r>
    </w:p>
    <w:p w14:paraId="25FF47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 отчетном периоде был произведен пересмотр, а в некоторых случаях и составление вновь, различных норм и комплектов имущества, положенного к содержанию в войсковых частях. При пересмотре принимался во внимание имевшийся войсковой опыт, благодаря чему нормы и комплекты удалось более приблизить к фактическим потребностям. В результате дальнейшего опыта необходимо будет вносить дополнительные изменения, что особенно относится к нормам на запасные части,</w:t>
      </w:r>
    </w:p>
    <w:p w14:paraId="4D5741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Табелем срочных донесений по линии УММ не предусмотрено представление войсковыми частями и округами каких-либо сведений, благодаря чему нет возможности иметь точный учет обеспеченности. Необходимо в табель срочных донесений включить представление сведений аналогично! установленным по линии УВВС, т.к. имущество УММ не менее сложно и ценно, чем имущество ВВС.</w:t>
      </w:r>
    </w:p>
    <w:p w14:paraId="277CA1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Эксплуатация</w:t>
      </w:r>
    </w:p>
    <w:p w14:paraId="7351CB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Ввиду выяснившегося в начале года недостатка предусмотренных сметой кредитов на эксплуатацию, своевременно был поставлен и разрешен в положительном смысле вопрос об увеличен этих кредитов, благодаря чему потребности войсковых частей были удовлетворены полностью, а, следовательно, мог быть выполнен и план боевой подготовки.</w:t>
      </w:r>
    </w:p>
    <w:p w14:paraId="23EF12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Резко отрицательным явлением нужно признать отсутствие систематизированных данных! различным вопросам эксплуатации, т.к. никаких сведений с мест не получается (не предусмотрен табелем срочных донесений), а выезды на места не могли практиковаться за отсутствием времен Вследствие этого, невозможно сделать и каких-либо серьезных выводов, могущих послужить оси ванием для мероприятий по улучшению всех отраслей дела эксплуатации.</w:t>
      </w:r>
    </w:p>
    <w:p w14:paraId="259F87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Летом 1930 года округам были даны основные указания по использованию имущества, но пр верить их выполнение не удалось по указанным выше причинам.</w:t>
      </w:r>
    </w:p>
    <w:p w14:paraId="741ED3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Ремонт</w:t>
      </w:r>
    </w:p>
    <w:p w14:paraId="5D9497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План ремонта машин в отчетном году был выполнен в отношении тракторов (склад №37) и та ков старых типов (завод №2), незначительные недоделы по которому ликвидируются в первом нес це особого квартала.</w:t>
      </w:r>
    </w:p>
    <w:p w14:paraId="287E75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Не выполнен ремонт 13 танков МС-1 на заводе "Большевик" который сосредоточил основно внимание на выполнении основной программы (выпуск 305 танков МС-1) и вопросам ремонта ник кого внимания не уделял.</w:t>
      </w:r>
    </w:p>
    <w:p w14:paraId="166D2B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Мастерская склада №37 расширена, благодаря чему ее пропускная способность увеличивае ся вдвое, но при помощи только этой мастерской выполнить план ремонта на особый квартал и I 1931 год невозможно.</w:t>
      </w:r>
    </w:p>
    <w:p w14:paraId="75195C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Снятие с завода №2 обязанностей по выполнению ремонта старых танков выдвигает вопрос о необходимости изыскания другой базы для ремонта танков старых типов (главным образом "Рикардо"). МПУ пока такой базы не указывало.</w:t>
      </w:r>
    </w:p>
    <w:p w14:paraId="690CDE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Вопрос о ремонте танков МС-1 до сего времени окончательного решения не получил, т.к.: вод "Большевик" производить этот ремонт не считает возможным, а другой базы до сего времени! найдено, несмотря на все принятые меры.</w:t>
      </w:r>
    </w:p>
    <w:p w14:paraId="2DBA3E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начальника 1 отдела ТУ Мизон</w:t>
      </w:r>
    </w:p>
    <w:p w14:paraId="5CFD2D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РГВАФ. 31811. Оп. 1. Д. 172. Л. 34-35. Подлинник (11210).</w:t>
      </w:r>
    </w:p>
    <w:p w14:paraId="77C3FEB7" w14:textId="77777777" w:rsidR="00537E5F" w:rsidRPr="00507A31" w:rsidRDefault="00537E5F" w:rsidP="00507A31">
      <w:pPr>
        <w:autoSpaceDE w:val="0"/>
        <w:autoSpaceDN w:val="0"/>
        <w:adjustRightInd w:val="0"/>
        <w:jc w:val="both"/>
        <w:rPr>
          <w:color w:val="000000" w:themeColor="text1"/>
          <w:sz w:val="16"/>
          <w:szCs w:val="16"/>
        </w:rPr>
      </w:pPr>
    </w:p>
    <w:p w14:paraId="350FB010" w14:textId="77777777" w:rsidR="00DF037A" w:rsidRPr="00507A31" w:rsidRDefault="00DF037A" w:rsidP="00507A31">
      <w:pPr>
        <w:jc w:val="both"/>
        <w:rPr>
          <w:color w:val="000000" w:themeColor="text1"/>
          <w:sz w:val="16"/>
          <w:szCs w:val="16"/>
        </w:rPr>
      </w:pPr>
      <w:r w:rsidRPr="00507A31">
        <w:rPr>
          <w:color w:val="000000" w:themeColor="text1"/>
          <w:sz w:val="16"/>
          <w:szCs w:val="16"/>
        </w:rPr>
        <w:t>Не позднее 16 октября 1930 г.</w:t>
      </w:r>
    </w:p>
    <w:p w14:paraId="35E219C6" w14:textId="77777777" w:rsidR="00DF037A" w:rsidRPr="00507A31" w:rsidRDefault="00DF037A" w:rsidP="00507A31">
      <w:pPr>
        <w:jc w:val="both"/>
        <w:rPr>
          <w:color w:val="000000" w:themeColor="text1"/>
          <w:sz w:val="16"/>
          <w:szCs w:val="16"/>
        </w:rPr>
      </w:pPr>
      <w:r w:rsidRPr="00507A31">
        <w:rPr>
          <w:color w:val="000000" w:themeColor="text1"/>
          <w:sz w:val="16"/>
          <w:szCs w:val="16"/>
        </w:rPr>
        <w:t>Список ответственных партийных и хозяйственных работников, которым были разосланы «показания проф. Рамзина». Не позднее 16 октября 1930 г.</w:t>
      </w:r>
    </w:p>
    <w:p w14:paraId="3E03911A" w14:textId="77777777" w:rsidR="00DF037A" w:rsidRPr="00507A31" w:rsidRDefault="00DF037A" w:rsidP="00507A31">
      <w:pPr>
        <w:jc w:val="both"/>
        <w:rPr>
          <w:color w:val="000000" w:themeColor="text1"/>
          <w:sz w:val="16"/>
          <w:szCs w:val="16"/>
        </w:rPr>
      </w:pPr>
      <w:r w:rsidRPr="00507A31">
        <w:rPr>
          <w:color w:val="000000" w:themeColor="text1"/>
          <w:sz w:val="16"/>
          <w:szCs w:val="16"/>
        </w:rPr>
        <w:t>Источник: </w:t>
      </w:r>
    </w:p>
    <w:p w14:paraId="29E279EC" w14:textId="77777777" w:rsidR="00DF037A" w:rsidRPr="00507A31" w:rsidRDefault="00DF037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06C26A7" w14:textId="77777777" w:rsidR="00DF037A" w:rsidRPr="00507A31" w:rsidRDefault="00DF037A" w:rsidP="00507A31">
      <w:pPr>
        <w:jc w:val="both"/>
        <w:rPr>
          <w:color w:val="000000" w:themeColor="text1"/>
          <w:sz w:val="16"/>
          <w:szCs w:val="16"/>
        </w:rPr>
      </w:pPr>
      <w:r w:rsidRPr="00507A31">
        <w:rPr>
          <w:color w:val="000000" w:themeColor="text1"/>
          <w:sz w:val="16"/>
          <w:szCs w:val="16"/>
        </w:rPr>
        <w:t>Не позднее 16 октября 1930 г.</w:t>
      </w:r>
    </w:p>
    <w:p w14:paraId="0013BF4C" w14:textId="77777777" w:rsidR="00DF037A" w:rsidRPr="00507A31" w:rsidRDefault="00DF037A" w:rsidP="00507A31">
      <w:pPr>
        <w:jc w:val="both"/>
        <w:rPr>
          <w:color w:val="000000" w:themeColor="text1"/>
          <w:sz w:val="16"/>
          <w:szCs w:val="16"/>
        </w:rPr>
      </w:pPr>
      <w:r w:rsidRPr="00507A31">
        <w:rPr>
          <w:color w:val="000000" w:themeColor="text1"/>
          <w:sz w:val="16"/>
          <w:szCs w:val="16"/>
        </w:rPr>
        <w:t>[Секретно]</w:t>
      </w:r>
    </w:p>
    <w:p w14:paraId="109E6602" w14:textId="77777777" w:rsidR="00DF037A" w:rsidRPr="00507A31" w:rsidRDefault="00DF037A" w:rsidP="00507A31">
      <w:pPr>
        <w:jc w:val="both"/>
        <w:rPr>
          <w:color w:val="000000" w:themeColor="text1"/>
          <w:sz w:val="16"/>
          <w:szCs w:val="16"/>
        </w:rPr>
      </w:pPr>
      <w:r w:rsidRPr="00507A31">
        <w:rPr>
          <w:color w:val="000000" w:themeColor="text1"/>
          <w:sz w:val="16"/>
          <w:szCs w:val="16"/>
        </w:rPr>
        <w:t>СПИСОК ТОВАРИЩЕЙ НА ПОЛУЧЕНИЕ ПОКАЗАНИЙ</w:t>
      </w:r>
    </w:p>
    <w:p w14:paraId="27BC1254" w14:textId="77777777" w:rsidR="00DF037A" w:rsidRPr="00507A31" w:rsidRDefault="00DF037A" w:rsidP="00507A31">
      <w:pPr>
        <w:jc w:val="both"/>
        <w:rPr>
          <w:color w:val="000000" w:themeColor="text1"/>
          <w:sz w:val="16"/>
          <w:szCs w:val="16"/>
        </w:rPr>
      </w:pPr>
      <w:r w:rsidRPr="00507A31">
        <w:rPr>
          <w:color w:val="000000" w:themeColor="text1"/>
          <w:sz w:val="16"/>
          <w:szCs w:val="16"/>
        </w:rPr>
        <w:t>ПРОФ. РАМЗИНА.</w:t>
      </w:r>
    </w:p>
    <w:p w14:paraId="7517D91A" w14:textId="77777777" w:rsidR="00DF037A" w:rsidRPr="00507A31" w:rsidRDefault="00DF037A" w:rsidP="00507A31">
      <w:pPr>
        <w:jc w:val="both"/>
        <w:rPr>
          <w:color w:val="000000" w:themeColor="text1"/>
          <w:sz w:val="16"/>
          <w:szCs w:val="16"/>
        </w:rPr>
      </w:pPr>
      <w:r w:rsidRPr="00507A31">
        <w:rPr>
          <w:color w:val="000000" w:themeColor="text1"/>
          <w:sz w:val="16"/>
          <w:szCs w:val="16"/>
        </w:rPr>
        <w:t>I. Членам и кандидатам ЦК ВКП(б).</w:t>
      </w:r>
    </w:p>
    <w:p w14:paraId="2EF0B81A" w14:textId="77777777" w:rsidR="00DF037A" w:rsidRPr="00507A31" w:rsidRDefault="00DF037A" w:rsidP="00507A31">
      <w:pPr>
        <w:jc w:val="both"/>
        <w:rPr>
          <w:color w:val="000000" w:themeColor="text1"/>
          <w:sz w:val="16"/>
          <w:szCs w:val="16"/>
        </w:rPr>
      </w:pPr>
      <w:r w:rsidRPr="00507A31">
        <w:rPr>
          <w:color w:val="000000" w:themeColor="text1"/>
          <w:sz w:val="16"/>
          <w:szCs w:val="16"/>
        </w:rPr>
        <w:t>II. Членам ЦКК ВКП(б).</w:t>
      </w:r>
    </w:p>
    <w:p w14:paraId="63D38872" w14:textId="77777777" w:rsidR="00DF037A" w:rsidRPr="00507A31" w:rsidRDefault="00DF037A" w:rsidP="00507A31">
      <w:pPr>
        <w:jc w:val="both"/>
        <w:rPr>
          <w:color w:val="000000" w:themeColor="text1"/>
          <w:sz w:val="16"/>
          <w:szCs w:val="16"/>
        </w:rPr>
      </w:pPr>
      <w:r w:rsidRPr="00507A31">
        <w:rPr>
          <w:color w:val="000000" w:themeColor="text1"/>
          <w:sz w:val="16"/>
          <w:szCs w:val="16"/>
        </w:rPr>
        <w:lastRenderedPageBreak/>
        <w:t>III. Членам Центр[альной] Ревизионной комиссии.</w:t>
      </w:r>
    </w:p>
    <w:p w14:paraId="452676CC" w14:textId="77777777" w:rsidR="00DF037A" w:rsidRPr="00507A31" w:rsidRDefault="00DF037A" w:rsidP="00507A31">
      <w:pPr>
        <w:jc w:val="both"/>
        <w:rPr>
          <w:color w:val="000000" w:themeColor="text1"/>
          <w:sz w:val="16"/>
          <w:szCs w:val="16"/>
        </w:rPr>
      </w:pPr>
      <w:r w:rsidRPr="00507A31">
        <w:rPr>
          <w:color w:val="000000" w:themeColor="text1"/>
          <w:sz w:val="16"/>
          <w:szCs w:val="16"/>
        </w:rPr>
        <w:t>IV. Хозяйственникам:</w:t>
      </w:r>
    </w:p>
    <w:p w14:paraId="6FA853D6" w14:textId="77777777" w:rsidR="00DF037A" w:rsidRPr="00507A31" w:rsidRDefault="00DF037A" w:rsidP="00507A31">
      <w:pPr>
        <w:jc w:val="both"/>
        <w:rPr>
          <w:color w:val="000000" w:themeColor="text1"/>
          <w:sz w:val="16"/>
          <w:szCs w:val="16"/>
        </w:rPr>
      </w:pPr>
      <w:r w:rsidRPr="00507A31">
        <w:rPr>
          <w:color w:val="000000" w:themeColor="text1"/>
          <w:sz w:val="16"/>
          <w:szCs w:val="16"/>
        </w:rPr>
        <w:t>1) Адамович — Союзсахар</w:t>
      </w:r>
    </w:p>
    <w:p w14:paraId="27A52FE1" w14:textId="77777777" w:rsidR="00DF037A" w:rsidRPr="00507A31" w:rsidRDefault="00DF037A" w:rsidP="00507A31">
      <w:pPr>
        <w:jc w:val="both"/>
        <w:rPr>
          <w:color w:val="000000" w:themeColor="text1"/>
          <w:sz w:val="16"/>
          <w:szCs w:val="16"/>
        </w:rPr>
      </w:pPr>
      <w:r w:rsidRPr="00507A31">
        <w:rPr>
          <w:color w:val="000000" w:themeColor="text1"/>
          <w:sz w:val="16"/>
          <w:szCs w:val="16"/>
        </w:rPr>
        <w:t>2) Будняк — Орудийно-оруж[ейное] объединение</w:t>
      </w:r>
    </w:p>
    <w:p w14:paraId="072A9D63" w14:textId="77777777" w:rsidR="00DF037A" w:rsidRPr="00507A31" w:rsidRDefault="00DF037A" w:rsidP="00507A31">
      <w:pPr>
        <w:jc w:val="both"/>
        <w:rPr>
          <w:color w:val="000000" w:themeColor="text1"/>
          <w:sz w:val="16"/>
          <w:szCs w:val="16"/>
        </w:rPr>
      </w:pPr>
      <w:r w:rsidRPr="00507A31">
        <w:rPr>
          <w:color w:val="000000" w:themeColor="text1"/>
          <w:sz w:val="16"/>
          <w:szCs w:val="16"/>
        </w:rPr>
        <w:t>3) Бейка — Промысловая кооперация</w:t>
      </w:r>
    </w:p>
    <w:p w14:paraId="08E49FDB" w14:textId="77777777" w:rsidR="00DF037A" w:rsidRPr="00507A31" w:rsidRDefault="00DF037A" w:rsidP="00507A31">
      <w:pPr>
        <w:jc w:val="both"/>
        <w:rPr>
          <w:color w:val="000000" w:themeColor="text1"/>
          <w:sz w:val="16"/>
          <w:szCs w:val="16"/>
        </w:rPr>
      </w:pPr>
      <w:r w:rsidRPr="00507A31">
        <w:rPr>
          <w:color w:val="000000" w:themeColor="text1"/>
          <w:sz w:val="16"/>
          <w:szCs w:val="16"/>
        </w:rPr>
        <w:t>4) Альперович — Станкостроение</w:t>
      </w:r>
    </w:p>
    <w:p w14:paraId="45D55393" w14:textId="77777777" w:rsidR="00DF037A" w:rsidRPr="00507A31" w:rsidRDefault="00DF037A" w:rsidP="00507A31">
      <w:pPr>
        <w:jc w:val="both"/>
        <w:rPr>
          <w:color w:val="000000" w:themeColor="text1"/>
          <w:sz w:val="16"/>
          <w:szCs w:val="16"/>
        </w:rPr>
      </w:pPr>
      <w:r w:rsidRPr="00507A31">
        <w:rPr>
          <w:color w:val="000000" w:themeColor="text1"/>
          <w:sz w:val="16"/>
          <w:szCs w:val="16"/>
        </w:rPr>
        <w:t>5) Баринов — Грознефть</w:t>
      </w:r>
    </w:p>
    <w:p w14:paraId="23F3FF07" w14:textId="77777777" w:rsidR="00DF037A" w:rsidRPr="00507A31" w:rsidRDefault="00DF037A" w:rsidP="00507A31">
      <w:pPr>
        <w:jc w:val="both"/>
        <w:rPr>
          <w:color w:val="000000" w:themeColor="text1"/>
          <w:sz w:val="16"/>
          <w:szCs w:val="16"/>
        </w:rPr>
      </w:pPr>
      <w:r w:rsidRPr="00507A31">
        <w:rPr>
          <w:color w:val="000000" w:themeColor="text1"/>
          <w:sz w:val="16"/>
          <w:szCs w:val="16"/>
        </w:rPr>
        <w:t>6) Борисов — Сельмашстрой</w:t>
      </w:r>
    </w:p>
    <w:p w14:paraId="628B741A" w14:textId="77777777" w:rsidR="00DF037A" w:rsidRPr="00507A31" w:rsidRDefault="00DF037A" w:rsidP="00507A31">
      <w:pPr>
        <w:jc w:val="both"/>
        <w:rPr>
          <w:color w:val="000000" w:themeColor="text1"/>
          <w:sz w:val="16"/>
          <w:szCs w:val="16"/>
        </w:rPr>
      </w:pPr>
      <w:r w:rsidRPr="00507A31">
        <w:rPr>
          <w:color w:val="000000" w:themeColor="text1"/>
          <w:sz w:val="16"/>
          <w:szCs w:val="16"/>
        </w:rPr>
        <w:t>7) Бирман — Новосталь</w:t>
      </w:r>
    </w:p>
    <w:p w14:paraId="1AF1EB01" w14:textId="77777777" w:rsidR="00DF037A" w:rsidRPr="00507A31" w:rsidRDefault="00DF037A" w:rsidP="00507A31">
      <w:pPr>
        <w:jc w:val="both"/>
        <w:rPr>
          <w:color w:val="000000" w:themeColor="text1"/>
          <w:sz w:val="16"/>
          <w:szCs w:val="16"/>
        </w:rPr>
      </w:pPr>
      <w:r w:rsidRPr="00507A31">
        <w:rPr>
          <w:color w:val="000000" w:themeColor="text1"/>
          <w:sz w:val="16"/>
          <w:szCs w:val="16"/>
        </w:rPr>
        <w:t>8) Благонравов — НКПС</w:t>
      </w:r>
    </w:p>
    <w:p w14:paraId="4DD14BDF" w14:textId="77777777" w:rsidR="00DF037A" w:rsidRPr="00507A31" w:rsidRDefault="00DF037A" w:rsidP="00507A31">
      <w:pPr>
        <w:jc w:val="both"/>
        <w:rPr>
          <w:color w:val="000000" w:themeColor="text1"/>
          <w:sz w:val="16"/>
          <w:szCs w:val="16"/>
        </w:rPr>
      </w:pPr>
      <w:r w:rsidRPr="00507A31">
        <w:rPr>
          <w:color w:val="000000" w:themeColor="text1"/>
          <w:sz w:val="16"/>
          <w:szCs w:val="16"/>
        </w:rPr>
        <w:t>9) Венецкий — Патронно-трубн[ое] объединение.</w:t>
      </w:r>
    </w:p>
    <w:p w14:paraId="715880ED" w14:textId="77777777" w:rsidR="00DF037A" w:rsidRPr="00507A31" w:rsidRDefault="00DF037A" w:rsidP="00507A31">
      <w:pPr>
        <w:jc w:val="both"/>
        <w:rPr>
          <w:color w:val="000000" w:themeColor="text1"/>
          <w:sz w:val="16"/>
          <w:szCs w:val="16"/>
        </w:rPr>
      </w:pPr>
      <w:r w:rsidRPr="00507A31">
        <w:rPr>
          <w:color w:val="000000" w:themeColor="text1"/>
          <w:sz w:val="16"/>
          <w:szCs w:val="16"/>
        </w:rPr>
        <w:t>10) Воробьев — Союзверфь</w:t>
      </w:r>
    </w:p>
    <w:p w14:paraId="6B56F8E9" w14:textId="77777777" w:rsidR="00DF037A" w:rsidRPr="00507A31" w:rsidRDefault="00DF037A" w:rsidP="00507A31">
      <w:pPr>
        <w:jc w:val="both"/>
        <w:rPr>
          <w:color w:val="000000" w:themeColor="text1"/>
          <w:sz w:val="16"/>
          <w:szCs w:val="16"/>
        </w:rPr>
      </w:pPr>
      <w:r w:rsidRPr="00507A31">
        <w:rPr>
          <w:color w:val="000000" w:themeColor="text1"/>
          <w:sz w:val="16"/>
          <w:szCs w:val="16"/>
        </w:rPr>
        <w:t>11) Гринько — НКЗем</w:t>
      </w:r>
    </w:p>
    <w:p w14:paraId="0297E362" w14:textId="77777777" w:rsidR="00DF037A" w:rsidRPr="00507A31" w:rsidRDefault="00DF037A" w:rsidP="00507A31">
      <w:pPr>
        <w:jc w:val="both"/>
        <w:rPr>
          <w:color w:val="000000" w:themeColor="text1"/>
          <w:sz w:val="16"/>
          <w:szCs w:val="16"/>
        </w:rPr>
      </w:pPr>
      <w:r w:rsidRPr="00507A31">
        <w:rPr>
          <w:color w:val="000000" w:themeColor="text1"/>
          <w:sz w:val="16"/>
          <w:szCs w:val="16"/>
        </w:rPr>
        <w:t>12) Ганынин — Грознефть</w:t>
      </w:r>
    </w:p>
    <w:p w14:paraId="17FAC6E6" w14:textId="77777777" w:rsidR="00DF037A" w:rsidRPr="00507A31" w:rsidRDefault="00DF037A" w:rsidP="00507A31">
      <w:pPr>
        <w:jc w:val="both"/>
        <w:rPr>
          <w:color w:val="000000" w:themeColor="text1"/>
          <w:sz w:val="16"/>
          <w:szCs w:val="16"/>
        </w:rPr>
      </w:pPr>
      <w:r w:rsidRPr="00507A31">
        <w:rPr>
          <w:color w:val="000000" w:themeColor="text1"/>
          <w:sz w:val="16"/>
          <w:szCs w:val="16"/>
        </w:rPr>
        <w:t>13) Герчиков — Зернотрест</w:t>
      </w:r>
    </w:p>
    <w:p w14:paraId="0AAD240D" w14:textId="77777777" w:rsidR="00DF037A" w:rsidRPr="00507A31" w:rsidRDefault="00DF037A" w:rsidP="00507A31">
      <w:pPr>
        <w:jc w:val="both"/>
        <w:rPr>
          <w:color w:val="000000" w:themeColor="text1"/>
          <w:sz w:val="16"/>
          <w:szCs w:val="16"/>
        </w:rPr>
      </w:pPr>
      <w:r w:rsidRPr="00507A31">
        <w:rPr>
          <w:color w:val="000000" w:themeColor="text1"/>
          <w:sz w:val="16"/>
          <w:szCs w:val="16"/>
        </w:rPr>
        <w:t>14) Гулин — Цветметзолото</w:t>
      </w:r>
    </w:p>
    <w:p w14:paraId="2F4CBD92" w14:textId="77777777" w:rsidR="00DF037A" w:rsidRPr="00507A31" w:rsidRDefault="00DF037A" w:rsidP="00507A31">
      <w:pPr>
        <w:jc w:val="both"/>
        <w:rPr>
          <w:color w:val="000000" w:themeColor="text1"/>
          <w:sz w:val="16"/>
          <w:szCs w:val="16"/>
        </w:rPr>
      </w:pPr>
      <w:r w:rsidRPr="00507A31">
        <w:rPr>
          <w:color w:val="000000" w:themeColor="text1"/>
          <w:sz w:val="16"/>
          <w:szCs w:val="16"/>
        </w:rPr>
        <w:t>15) Грушевский — НКЗ — «Скотовод»</w:t>
      </w:r>
    </w:p>
    <w:p w14:paraId="2E116262" w14:textId="77777777" w:rsidR="00DF037A" w:rsidRPr="00507A31" w:rsidRDefault="00DF037A" w:rsidP="00507A31">
      <w:pPr>
        <w:jc w:val="both"/>
        <w:rPr>
          <w:color w:val="000000" w:themeColor="text1"/>
          <w:sz w:val="16"/>
          <w:szCs w:val="16"/>
        </w:rPr>
      </w:pPr>
      <w:r w:rsidRPr="00507A31">
        <w:rPr>
          <w:color w:val="000000" w:themeColor="text1"/>
          <w:sz w:val="16"/>
          <w:szCs w:val="16"/>
        </w:rPr>
        <w:t>16) Гольдин — Овцевод</w:t>
      </w:r>
    </w:p>
    <w:p w14:paraId="6BF802FF" w14:textId="77777777" w:rsidR="00DF037A" w:rsidRPr="00507A31" w:rsidRDefault="00DF037A" w:rsidP="00507A31">
      <w:pPr>
        <w:jc w:val="both"/>
        <w:rPr>
          <w:color w:val="000000" w:themeColor="text1"/>
          <w:sz w:val="16"/>
          <w:szCs w:val="16"/>
        </w:rPr>
      </w:pPr>
      <w:r w:rsidRPr="00507A31">
        <w:rPr>
          <w:color w:val="000000" w:themeColor="text1"/>
          <w:sz w:val="16"/>
          <w:szCs w:val="16"/>
        </w:rPr>
        <w:t>17) Доренко — Средн[ее] машиностроение</w:t>
      </w:r>
    </w:p>
    <w:p w14:paraId="2497CFB9" w14:textId="77777777" w:rsidR="00DF037A" w:rsidRPr="00507A31" w:rsidRDefault="00DF037A" w:rsidP="00507A31">
      <w:pPr>
        <w:jc w:val="both"/>
        <w:rPr>
          <w:color w:val="000000" w:themeColor="text1"/>
          <w:sz w:val="16"/>
          <w:szCs w:val="16"/>
        </w:rPr>
      </w:pPr>
      <w:r w:rsidRPr="00507A31">
        <w:rPr>
          <w:color w:val="000000" w:themeColor="text1"/>
          <w:sz w:val="16"/>
          <w:szCs w:val="16"/>
        </w:rPr>
        <w:t>18) Жариков — Уралмет</w:t>
      </w:r>
    </w:p>
    <w:p w14:paraId="6F08B303" w14:textId="77777777" w:rsidR="00DF037A" w:rsidRPr="00507A31" w:rsidRDefault="00DF037A" w:rsidP="00507A31">
      <w:pPr>
        <w:jc w:val="both"/>
        <w:rPr>
          <w:color w:val="000000" w:themeColor="text1"/>
          <w:sz w:val="16"/>
          <w:szCs w:val="16"/>
        </w:rPr>
      </w:pPr>
      <w:r w:rsidRPr="00507A31">
        <w:rPr>
          <w:color w:val="000000" w:themeColor="text1"/>
          <w:sz w:val="16"/>
          <w:szCs w:val="16"/>
        </w:rPr>
        <w:t>19) Зоф — НКПС</w:t>
      </w:r>
    </w:p>
    <w:p w14:paraId="3BC86CE1" w14:textId="77777777" w:rsidR="00DF037A" w:rsidRPr="00507A31" w:rsidRDefault="00DF037A" w:rsidP="00507A31">
      <w:pPr>
        <w:jc w:val="both"/>
        <w:rPr>
          <w:color w:val="000000" w:themeColor="text1"/>
          <w:sz w:val="16"/>
          <w:szCs w:val="16"/>
        </w:rPr>
      </w:pPr>
      <w:r w:rsidRPr="00507A31">
        <w:rPr>
          <w:color w:val="000000" w:themeColor="text1"/>
          <w:sz w:val="16"/>
          <w:szCs w:val="16"/>
        </w:rPr>
        <w:t>20) Яковлева — НКФ РСФСР</w:t>
      </w:r>
    </w:p>
    <w:p w14:paraId="1305D812" w14:textId="77777777" w:rsidR="00DF037A" w:rsidRPr="00507A31" w:rsidRDefault="00DF037A" w:rsidP="00507A31">
      <w:pPr>
        <w:jc w:val="both"/>
        <w:rPr>
          <w:color w:val="000000" w:themeColor="text1"/>
          <w:sz w:val="16"/>
          <w:szCs w:val="16"/>
        </w:rPr>
      </w:pPr>
      <w:r w:rsidRPr="00507A31">
        <w:rPr>
          <w:color w:val="000000" w:themeColor="text1"/>
          <w:sz w:val="16"/>
          <w:szCs w:val="16"/>
        </w:rPr>
        <w:t>21) Корнюшин — Союзмясо</w:t>
      </w:r>
    </w:p>
    <w:p w14:paraId="623EE655" w14:textId="77777777" w:rsidR="00DF037A" w:rsidRPr="00507A31" w:rsidRDefault="00DF037A" w:rsidP="00507A31">
      <w:pPr>
        <w:jc w:val="both"/>
        <w:rPr>
          <w:color w:val="000000" w:themeColor="text1"/>
          <w:sz w:val="16"/>
          <w:szCs w:val="16"/>
        </w:rPr>
      </w:pPr>
      <w:r w:rsidRPr="00507A31">
        <w:rPr>
          <w:color w:val="000000" w:themeColor="text1"/>
          <w:sz w:val="16"/>
          <w:szCs w:val="16"/>
        </w:rPr>
        <w:t>22) Лежава — СНК РСФСР</w:t>
      </w:r>
    </w:p>
    <w:p w14:paraId="221722C6" w14:textId="77777777" w:rsidR="00DF037A" w:rsidRPr="00507A31" w:rsidRDefault="00DF037A" w:rsidP="00507A31">
      <w:pPr>
        <w:jc w:val="both"/>
        <w:rPr>
          <w:color w:val="000000" w:themeColor="text1"/>
          <w:sz w:val="16"/>
          <w:szCs w:val="16"/>
        </w:rPr>
      </w:pPr>
      <w:r w:rsidRPr="00507A31">
        <w:rPr>
          <w:color w:val="000000" w:themeColor="text1"/>
          <w:sz w:val="16"/>
          <w:szCs w:val="16"/>
        </w:rPr>
        <w:t>23) Локацков — Союзлес</w:t>
      </w:r>
    </w:p>
    <w:p w14:paraId="6C9DBBE0" w14:textId="77777777" w:rsidR="00DF037A" w:rsidRPr="00507A31" w:rsidRDefault="00DF037A" w:rsidP="00507A31">
      <w:pPr>
        <w:jc w:val="both"/>
        <w:rPr>
          <w:color w:val="000000" w:themeColor="text1"/>
          <w:sz w:val="16"/>
          <w:szCs w:val="16"/>
        </w:rPr>
      </w:pPr>
      <w:r w:rsidRPr="00507A31">
        <w:rPr>
          <w:color w:val="000000" w:themeColor="text1"/>
          <w:sz w:val="16"/>
          <w:szCs w:val="16"/>
        </w:rPr>
        <w:t>24) Маркевич — Трактороцентр</w:t>
      </w:r>
    </w:p>
    <w:p w14:paraId="7A3D782F" w14:textId="77777777" w:rsidR="00DF037A" w:rsidRPr="00507A31" w:rsidRDefault="00DF037A" w:rsidP="00507A31">
      <w:pPr>
        <w:jc w:val="both"/>
        <w:rPr>
          <w:color w:val="000000" w:themeColor="text1"/>
          <w:sz w:val="16"/>
          <w:szCs w:val="16"/>
        </w:rPr>
      </w:pPr>
      <w:r w:rsidRPr="00507A31">
        <w:rPr>
          <w:color w:val="000000" w:themeColor="text1"/>
          <w:sz w:val="16"/>
          <w:szCs w:val="16"/>
        </w:rPr>
        <w:t>25) Манцев — ВСНХ</w:t>
      </w:r>
    </w:p>
    <w:p w14:paraId="23388E00" w14:textId="77777777" w:rsidR="00DF037A" w:rsidRPr="00507A31" w:rsidRDefault="00DF037A" w:rsidP="00507A31">
      <w:pPr>
        <w:jc w:val="both"/>
        <w:rPr>
          <w:color w:val="000000" w:themeColor="text1"/>
          <w:sz w:val="16"/>
          <w:szCs w:val="16"/>
        </w:rPr>
      </w:pPr>
      <w:r w:rsidRPr="00507A31">
        <w:rPr>
          <w:color w:val="000000" w:themeColor="text1"/>
          <w:sz w:val="16"/>
          <w:szCs w:val="16"/>
        </w:rPr>
        <w:t>26) Мельничанский — ВТО</w:t>
      </w:r>
    </w:p>
    <w:p w14:paraId="4BAC5145" w14:textId="77777777" w:rsidR="00DF037A" w:rsidRPr="00507A31" w:rsidRDefault="00DF037A" w:rsidP="00507A31">
      <w:pPr>
        <w:jc w:val="both"/>
        <w:rPr>
          <w:color w:val="000000" w:themeColor="text1"/>
          <w:sz w:val="16"/>
          <w:szCs w:val="16"/>
        </w:rPr>
      </w:pPr>
      <w:r w:rsidRPr="00507A31">
        <w:rPr>
          <w:color w:val="000000" w:themeColor="text1"/>
          <w:sz w:val="16"/>
          <w:szCs w:val="16"/>
        </w:rPr>
        <w:t>27) Муралов А. И. — НКЗем РСФСР</w:t>
      </w:r>
    </w:p>
    <w:p w14:paraId="2CB6918B" w14:textId="77777777" w:rsidR="00DF037A" w:rsidRPr="00507A31" w:rsidRDefault="00DF037A" w:rsidP="00507A31">
      <w:pPr>
        <w:jc w:val="both"/>
        <w:rPr>
          <w:color w:val="000000" w:themeColor="text1"/>
          <w:sz w:val="16"/>
          <w:szCs w:val="16"/>
        </w:rPr>
      </w:pPr>
      <w:r w:rsidRPr="00507A31">
        <w:rPr>
          <w:color w:val="000000" w:themeColor="text1"/>
          <w:sz w:val="16"/>
          <w:szCs w:val="16"/>
        </w:rPr>
        <w:t>28) Наговицын — НКСО</w:t>
      </w:r>
    </w:p>
    <w:p w14:paraId="72FA544A" w14:textId="77777777" w:rsidR="00DF037A" w:rsidRPr="00507A31" w:rsidRDefault="00DF037A" w:rsidP="00507A31">
      <w:pPr>
        <w:jc w:val="both"/>
        <w:rPr>
          <w:color w:val="000000" w:themeColor="text1"/>
          <w:sz w:val="16"/>
          <w:szCs w:val="16"/>
        </w:rPr>
      </w:pPr>
      <w:r w:rsidRPr="00507A31">
        <w:rPr>
          <w:color w:val="000000" w:themeColor="text1"/>
          <w:sz w:val="16"/>
          <w:szCs w:val="16"/>
        </w:rPr>
        <w:t>29) Максимов — Резинообъединение</w:t>
      </w:r>
    </w:p>
    <w:p w14:paraId="08809013" w14:textId="77777777" w:rsidR="00DF037A" w:rsidRPr="00507A31" w:rsidRDefault="00DF037A" w:rsidP="00507A31">
      <w:pPr>
        <w:jc w:val="both"/>
        <w:rPr>
          <w:color w:val="000000" w:themeColor="text1"/>
          <w:sz w:val="16"/>
          <w:szCs w:val="16"/>
        </w:rPr>
      </w:pPr>
      <w:r w:rsidRPr="00507A31">
        <w:rPr>
          <w:color w:val="000000" w:themeColor="text1"/>
          <w:sz w:val="16"/>
          <w:szCs w:val="16"/>
        </w:rPr>
        <w:t>30) Одинцов — Союз Союзов</w:t>
      </w:r>
    </w:p>
    <w:p w14:paraId="4723DFAD" w14:textId="77777777" w:rsidR="00DF037A" w:rsidRPr="00507A31" w:rsidRDefault="00DF037A" w:rsidP="00507A31">
      <w:pPr>
        <w:jc w:val="both"/>
        <w:rPr>
          <w:color w:val="000000" w:themeColor="text1"/>
          <w:sz w:val="16"/>
          <w:szCs w:val="16"/>
        </w:rPr>
      </w:pPr>
      <w:r w:rsidRPr="00507A31">
        <w:rPr>
          <w:color w:val="000000" w:themeColor="text1"/>
          <w:sz w:val="16"/>
          <w:szCs w:val="16"/>
        </w:rPr>
        <w:t>31) Пастухов — ВСНХ РСФСР</w:t>
      </w:r>
    </w:p>
    <w:p w14:paraId="4648C138" w14:textId="77777777" w:rsidR="00DF037A" w:rsidRPr="00507A31" w:rsidRDefault="00DF037A" w:rsidP="00507A31">
      <w:pPr>
        <w:jc w:val="both"/>
        <w:rPr>
          <w:color w:val="000000" w:themeColor="text1"/>
          <w:sz w:val="16"/>
          <w:szCs w:val="16"/>
        </w:rPr>
      </w:pPr>
      <w:r w:rsidRPr="00507A31">
        <w:rPr>
          <w:color w:val="000000" w:themeColor="text1"/>
          <w:sz w:val="16"/>
          <w:szCs w:val="16"/>
        </w:rPr>
        <w:t>32) Постников — НКПС</w:t>
      </w:r>
    </w:p>
    <w:p w14:paraId="70296538" w14:textId="77777777" w:rsidR="00DF037A" w:rsidRPr="00507A31" w:rsidRDefault="00DF037A" w:rsidP="00507A31">
      <w:pPr>
        <w:jc w:val="both"/>
        <w:rPr>
          <w:color w:val="000000" w:themeColor="text1"/>
          <w:sz w:val="16"/>
          <w:szCs w:val="16"/>
        </w:rPr>
      </w:pPr>
      <w:r w:rsidRPr="00507A31">
        <w:rPr>
          <w:color w:val="000000" w:themeColor="text1"/>
          <w:sz w:val="16"/>
          <w:szCs w:val="16"/>
        </w:rPr>
        <w:t>33) Розе — С[ель].-хоз. импорт.</w:t>
      </w:r>
    </w:p>
    <w:p w14:paraId="7F1D1A6A" w14:textId="77777777" w:rsidR="00DF037A" w:rsidRPr="00507A31" w:rsidRDefault="00DF037A" w:rsidP="00507A31">
      <w:pPr>
        <w:jc w:val="both"/>
        <w:rPr>
          <w:color w:val="000000" w:themeColor="text1"/>
          <w:sz w:val="16"/>
          <w:szCs w:val="16"/>
        </w:rPr>
      </w:pPr>
      <w:r w:rsidRPr="00507A31">
        <w:rPr>
          <w:color w:val="000000" w:themeColor="text1"/>
          <w:sz w:val="16"/>
          <w:szCs w:val="16"/>
        </w:rPr>
        <w:t>34) Толмачев — НКВД</w:t>
      </w:r>
    </w:p>
    <w:p w14:paraId="1A8B4521" w14:textId="77777777" w:rsidR="00DF037A" w:rsidRPr="00507A31" w:rsidRDefault="00DF037A" w:rsidP="00507A31">
      <w:pPr>
        <w:jc w:val="both"/>
        <w:rPr>
          <w:color w:val="000000" w:themeColor="text1"/>
          <w:sz w:val="16"/>
          <w:szCs w:val="16"/>
        </w:rPr>
      </w:pPr>
      <w:r w:rsidRPr="00507A31">
        <w:rPr>
          <w:color w:val="000000" w:themeColor="text1"/>
          <w:sz w:val="16"/>
          <w:szCs w:val="16"/>
        </w:rPr>
        <w:t>35) Сыромолотов — Геологическое объединение</w:t>
      </w:r>
    </w:p>
    <w:p w14:paraId="6BE7B6C3" w14:textId="77777777" w:rsidR="00DF037A" w:rsidRPr="00507A31" w:rsidRDefault="00DF037A" w:rsidP="00507A31">
      <w:pPr>
        <w:jc w:val="both"/>
        <w:rPr>
          <w:color w:val="000000" w:themeColor="text1"/>
          <w:sz w:val="16"/>
          <w:szCs w:val="16"/>
        </w:rPr>
      </w:pPr>
      <w:r w:rsidRPr="00507A31">
        <w:rPr>
          <w:color w:val="000000" w:themeColor="text1"/>
          <w:sz w:val="16"/>
          <w:szCs w:val="16"/>
        </w:rPr>
        <w:t>36) Харламов — «Свиновод»</w:t>
      </w:r>
    </w:p>
    <w:p w14:paraId="335B4463" w14:textId="77777777" w:rsidR="00DF037A" w:rsidRPr="00507A31" w:rsidRDefault="00DF037A" w:rsidP="00507A31">
      <w:pPr>
        <w:jc w:val="both"/>
        <w:rPr>
          <w:color w:val="000000" w:themeColor="text1"/>
          <w:sz w:val="16"/>
          <w:szCs w:val="16"/>
        </w:rPr>
      </w:pPr>
      <w:r w:rsidRPr="00507A31">
        <w:rPr>
          <w:color w:val="000000" w:themeColor="text1"/>
          <w:sz w:val="16"/>
          <w:szCs w:val="16"/>
        </w:rPr>
        <w:t>37) Халатов — ГИЗ</w:t>
      </w:r>
    </w:p>
    <w:p w14:paraId="4F5B5305" w14:textId="77777777" w:rsidR="00DF037A" w:rsidRPr="00507A31" w:rsidRDefault="00DF037A" w:rsidP="00507A31">
      <w:pPr>
        <w:jc w:val="both"/>
        <w:rPr>
          <w:color w:val="000000" w:themeColor="text1"/>
          <w:sz w:val="16"/>
          <w:szCs w:val="16"/>
        </w:rPr>
      </w:pPr>
      <w:r w:rsidRPr="00507A31">
        <w:rPr>
          <w:color w:val="000000" w:themeColor="text1"/>
          <w:sz w:val="16"/>
          <w:szCs w:val="16"/>
        </w:rPr>
        <w:t>38) Чухрита — Союзплодоовощ</w:t>
      </w:r>
    </w:p>
    <w:p w14:paraId="7D8CC479" w14:textId="77777777" w:rsidR="00DF037A" w:rsidRPr="00507A31" w:rsidRDefault="00DF037A" w:rsidP="00507A31">
      <w:pPr>
        <w:jc w:val="both"/>
        <w:rPr>
          <w:color w:val="000000" w:themeColor="text1"/>
          <w:sz w:val="16"/>
          <w:szCs w:val="16"/>
        </w:rPr>
      </w:pPr>
      <w:r w:rsidRPr="00507A31">
        <w:rPr>
          <w:color w:val="000000" w:themeColor="text1"/>
          <w:sz w:val="16"/>
          <w:szCs w:val="16"/>
        </w:rPr>
        <w:t>39) Эйсмонт — НКТ[орговли] РСФСР</w:t>
      </w:r>
    </w:p>
    <w:p w14:paraId="1C5A581C" w14:textId="77777777" w:rsidR="00DF037A" w:rsidRPr="00507A31" w:rsidRDefault="00DF037A" w:rsidP="00507A31">
      <w:pPr>
        <w:jc w:val="both"/>
        <w:rPr>
          <w:color w:val="000000" w:themeColor="text1"/>
          <w:sz w:val="16"/>
          <w:szCs w:val="16"/>
        </w:rPr>
      </w:pPr>
      <w:r w:rsidRPr="00507A31">
        <w:rPr>
          <w:color w:val="000000" w:themeColor="text1"/>
          <w:sz w:val="16"/>
          <w:szCs w:val="16"/>
        </w:rPr>
        <w:t>40) Демьян Бедный -</w:t>
      </w:r>
    </w:p>
    <w:p w14:paraId="50F2F147" w14:textId="77777777" w:rsidR="00DF037A" w:rsidRPr="00507A31" w:rsidRDefault="00DF037A" w:rsidP="00507A31">
      <w:pPr>
        <w:jc w:val="both"/>
        <w:rPr>
          <w:color w:val="000000" w:themeColor="text1"/>
          <w:sz w:val="16"/>
          <w:szCs w:val="16"/>
        </w:rPr>
      </w:pPr>
      <w:r w:rsidRPr="00507A31">
        <w:rPr>
          <w:color w:val="000000" w:themeColor="text1"/>
          <w:sz w:val="16"/>
          <w:szCs w:val="16"/>
        </w:rPr>
        <w:t>41) Дыбец С. С. — Автострой (Н. Новгород)</w:t>
      </w:r>
    </w:p>
    <w:p w14:paraId="131F1919" w14:textId="77777777" w:rsidR="00DF037A" w:rsidRPr="00507A31" w:rsidRDefault="00DF037A" w:rsidP="00507A31">
      <w:pPr>
        <w:jc w:val="both"/>
        <w:rPr>
          <w:color w:val="000000" w:themeColor="text1"/>
          <w:sz w:val="16"/>
          <w:szCs w:val="16"/>
        </w:rPr>
      </w:pPr>
      <w:r w:rsidRPr="00507A31">
        <w:rPr>
          <w:color w:val="000000" w:themeColor="text1"/>
          <w:sz w:val="16"/>
          <w:szCs w:val="16"/>
        </w:rPr>
        <w:t>42) Иванов В. И. — Сталинград, Тракторострой</w:t>
      </w:r>
    </w:p>
    <w:p w14:paraId="2B128191" w14:textId="77777777" w:rsidR="00DF037A" w:rsidRPr="00507A31" w:rsidRDefault="00DF037A" w:rsidP="00507A31">
      <w:pPr>
        <w:jc w:val="both"/>
        <w:rPr>
          <w:color w:val="000000" w:themeColor="text1"/>
          <w:sz w:val="16"/>
          <w:szCs w:val="16"/>
        </w:rPr>
      </w:pPr>
      <w:r w:rsidRPr="00507A31">
        <w:rPr>
          <w:color w:val="000000" w:themeColor="text1"/>
          <w:sz w:val="16"/>
          <w:szCs w:val="16"/>
        </w:rPr>
        <w:t>43) Ловин К. П. — Челябтракторострой, Челябинск</w:t>
      </w:r>
    </w:p>
    <w:p w14:paraId="000154F9" w14:textId="77777777" w:rsidR="00DF037A" w:rsidRPr="00507A31" w:rsidRDefault="00DF037A" w:rsidP="00507A31">
      <w:pPr>
        <w:jc w:val="both"/>
        <w:rPr>
          <w:color w:val="000000" w:themeColor="text1"/>
          <w:sz w:val="16"/>
          <w:szCs w:val="16"/>
        </w:rPr>
      </w:pPr>
      <w:r w:rsidRPr="00507A31">
        <w:rPr>
          <w:color w:val="000000" w:themeColor="text1"/>
          <w:sz w:val="16"/>
          <w:szCs w:val="16"/>
        </w:rPr>
        <w:t>44) Рейнгольд — Главхлопком</w:t>
      </w:r>
    </w:p>
    <w:p w14:paraId="4E2577E6" w14:textId="77777777" w:rsidR="00DF037A" w:rsidRPr="00507A31" w:rsidRDefault="00DF037A" w:rsidP="00507A31">
      <w:pPr>
        <w:jc w:val="both"/>
        <w:rPr>
          <w:color w:val="000000" w:themeColor="text1"/>
          <w:sz w:val="16"/>
          <w:szCs w:val="16"/>
        </w:rPr>
      </w:pPr>
      <w:r w:rsidRPr="00507A31">
        <w:rPr>
          <w:color w:val="000000" w:themeColor="text1"/>
          <w:sz w:val="16"/>
          <w:szCs w:val="16"/>
        </w:rPr>
        <w:t>45) Морин А. И. — Сибкомбайнстрой, Новосибирск</w:t>
      </w:r>
    </w:p>
    <w:p w14:paraId="0E75892D" w14:textId="77777777" w:rsidR="00DF037A" w:rsidRPr="00507A31" w:rsidRDefault="00DF037A" w:rsidP="00507A31">
      <w:pPr>
        <w:jc w:val="both"/>
        <w:rPr>
          <w:color w:val="000000" w:themeColor="text1"/>
          <w:sz w:val="16"/>
          <w:szCs w:val="16"/>
        </w:rPr>
      </w:pPr>
      <w:r w:rsidRPr="00507A31">
        <w:rPr>
          <w:color w:val="000000" w:themeColor="text1"/>
          <w:sz w:val="16"/>
          <w:szCs w:val="16"/>
        </w:rPr>
        <w:t>46) Шмидт Я. П. — Магнитстрой, Магнитогорск</w:t>
      </w:r>
    </w:p>
    <w:p w14:paraId="4E1C43C9" w14:textId="77777777" w:rsidR="00DF037A" w:rsidRPr="00507A31" w:rsidRDefault="00DF037A" w:rsidP="00507A31">
      <w:pPr>
        <w:jc w:val="both"/>
        <w:rPr>
          <w:color w:val="000000" w:themeColor="text1"/>
          <w:sz w:val="16"/>
          <w:szCs w:val="16"/>
        </w:rPr>
      </w:pPr>
      <w:r w:rsidRPr="00507A31">
        <w:rPr>
          <w:color w:val="000000" w:themeColor="text1"/>
          <w:sz w:val="16"/>
          <w:szCs w:val="16"/>
        </w:rPr>
        <w:t>47) Франкфурт — Кузнецкстрой, Кузнецк</w:t>
      </w:r>
    </w:p>
    <w:p w14:paraId="2D6157F4" w14:textId="77777777" w:rsidR="00DF037A" w:rsidRPr="00507A31" w:rsidRDefault="00DF037A" w:rsidP="00507A31">
      <w:pPr>
        <w:jc w:val="both"/>
        <w:rPr>
          <w:color w:val="000000" w:themeColor="text1"/>
          <w:sz w:val="16"/>
          <w:szCs w:val="16"/>
        </w:rPr>
      </w:pPr>
      <w:r w:rsidRPr="00507A31">
        <w:rPr>
          <w:color w:val="000000" w:themeColor="text1"/>
          <w:sz w:val="16"/>
          <w:szCs w:val="16"/>
        </w:rPr>
        <w:t>48) Каменский А. 3. — Промакадемия</w:t>
      </w:r>
    </w:p>
    <w:p w14:paraId="0A77EEA1" w14:textId="77777777" w:rsidR="00DF037A" w:rsidRPr="00507A31" w:rsidRDefault="00DF037A" w:rsidP="00507A31">
      <w:pPr>
        <w:jc w:val="both"/>
        <w:rPr>
          <w:color w:val="000000" w:themeColor="text1"/>
          <w:sz w:val="16"/>
          <w:szCs w:val="16"/>
        </w:rPr>
      </w:pPr>
      <w:r w:rsidRPr="00507A31">
        <w:rPr>
          <w:color w:val="000000" w:themeColor="text1"/>
          <w:sz w:val="16"/>
          <w:szCs w:val="16"/>
        </w:rPr>
        <w:t>49) Макогон В. Н. — Каучуконос</w:t>
      </w:r>
    </w:p>
    <w:p w14:paraId="360A58CD" w14:textId="77777777" w:rsidR="00DF037A" w:rsidRPr="00507A31" w:rsidRDefault="00DF037A" w:rsidP="00507A31">
      <w:pPr>
        <w:jc w:val="both"/>
        <w:rPr>
          <w:color w:val="000000" w:themeColor="text1"/>
          <w:sz w:val="16"/>
          <w:szCs w:val="16"/>
        </w:rPr>
      </w:pPr>
      <w:r w:rsidRPr="00507A31">
        <w:rPr>
          <w:color w:val="000000" w:themeColor="text1"/>
          <w:sz w:val="16"/>
          <w:szCs w:val="16"/>
        </w:rPr>
        <w:t>50) Авдеев — Энергоцентр</w:t>
      </w:r>
    </w:p>
    <w:p w14:paraId="45FD80CC" w14:textId="77777777" w:rsidR="00DF037A" w:rsidRPr="00507A31" w:rsidRDefault="00DF037A" w:rsidP="00507A31">
      <w:pPr>
        <w:jc w:val="both"/>
        <w:rPr>
          <w:color w:val="000000" w:themeColor="text1"/>
          <w:sz w:val="16"/>
          <w:szCs w:val="16"/>
        </w:rPr>
      </w:pPr>
      <w:r w:rsidRPr="00507A31">
        <w:rPr>
          <w:color w:val="000000" w:themeColor="text1"/>
          <w:sz w:val="16"/>
          <w:szCs w:val="16"/>
        </w:rPr>
        <w:t>51) Грановский М. А. — Березниковское строительство</w:t>
      </w:r>
    </w:p>
    <w:p w14:paraId="2942E129" w14:textId="77777777" w:rsidR="00DF037A" w:rsidRPr="00507A31" w:rsidRDefault="00DF037A" w:rsidP="00507A31">
      <w:pPr>
        <w:jc w:val="both"/>
        <w:rPr>
          <w:color w:val="000000" w:themeColor="text1"/>
          <w:sz w:val="16"/>
          <w:szCs w:val="16"/>
        </w:rPr>
      </w:pPr>
      <w:r w:rsidRPr="00507A31">
        <w:rPr>
          <w:color w:val="000000" w:themeColor="text1"/>
          <w:sz w:val="16"/>
          <w:szCs w:val="16"/>
        </w:rPr>
        <w:t>52) Берзин — Разведупр</w:t>
      </w:r>
    </w:p>
    <w:p w14:paraId="05C4AD93" w14:textId="77777777" w:rsidR="00DF037A" w:rsidRPr="00507A31" w:rsidRDefault="00DF037A" w:rsidP="00507A31">
      <w:pPr>
        <w:jc w:val="both"/>
        <w:rPr>
          <w:color w:val="000000" w:themeColor="text1"/>
          <w:sz w:val="16"/>
          <w:szCs w:val="16"/>
        </w:rPr>
      </w:pPr>
      <w:r w:rsidRPr="00507A31">
        <w:rPr>
          <w:color w:val="000000" w:themeColor="text1"/>
          <w:sz w:val="16"/>
          <w:szCs w:val="16"/>
        </w:rPr>
        <w:t>53) Данишевский — Экспортлес</w:t>
      </w:r>
    </w:p>
    <w:p w14:paraId="6543A569" w14:textId="77777777" w:rsidR="00DF037A" w:rsidRPr="00507A31" w:rsidRDefault="00DF037A" w:rsidP="00507A31">
      <w:pPr>
        <w:jc w:val="both"/>
        <w:rPr>
          <w:color w:val="000000" w:themeColor="text1"/>
          <w:sz w:val="16"/>
          <w:szCs w:val="16"/>
        </w:rPr>
      </w:pPr>
      <w:r w:rsidRPr="00507A31">
        <w:rPr>
          <w:color w:val="000000" w:themeColor="text1"/>
          <w:sz w:val="16"/>
          <w:szCs w:val="16"/>
        </w:rPr>
        <w:t>54) Мышков — Харьков, Тракторострой</w:t>
      </w:r>
    </w:p>
    <w:p w14:paraId="6F2D9225" w14:textId="77777777" w:rsidR="00DF037A" w:rsidRPr="00507A31" w:rsidRDefault="00DF037A" w:rsidP="00507A31">
      <w:pPr>
        <w:jc w:val="both"/>
        <w:rPr>
          <w:color w:val="000000" w:themeColor="text1"/>
          <w:sz w:val="16"/>
          <w:szCs w:val="16"/>
        </w:rPr>
      </w:pPr>
      <w:r w:rsidRPr="00507A31">
        <w:rPr>
          <w:color w:val="000000" w:themeColor="text1"/>
          <w:sz w:val="16"/>
          <w:szCs w:val="16"/>
        </w:rPr>
        <w:t>55) Лихачев — AM О</w:t>
      </w:r>
    </w:p>
    <w:p w14:paraId="424C8FF3" w14:textId="77777777" w:rsidR="00DF037A" w:rsidRPr="00507A31" w:rsidRDefault="00DF037A" w:rsidP="00507A31">
      <w:pPr>
        <w:jc w:val="both"/>
        <w:rPr>
          <w:color w:val="000000" w:themeColor="text1"/>
          <w:sz w:val="16"/>
          <w:szCs w:val="16"/>
        </w:rPr>
      </w:pPr>
      <w:r w:rsidRPr="00507A31">
        <w:rPr>
          <w:color w:val="000000" w:themeColor="text1"/>
          <w:sz w:val="16"/>
          <w:szCs w:val="16"/>
        </w:rPr>
        <w:t>56) Бородин — Пред. Правд. Союзбумаги</w:t>
      </w:r>
    </w:p>
    <w:p w14:paraId="0E3B3685" w14:textId="77777777" w:rsidR="00DF037A" w:rsidRPr="00507A31" w:rsidRDefault="00DF037A" w:rsidP="00507A31">
      <w:pPr>
        <w:jc w:val="both"/>
        <w:rPr>
          <w:color w:val="000000" w:themeColor="text1"/>
          <w:sz w:val="16"/>
          <w:szCs w:val="16"/>
        </w:rPr>
      </w:pPr>
      <w:r w:rsidRPr="00507A31">
        <w:rPr>
          <w:color w:val="000000" w:themeColor="text1"/>
          <w:sz w:val="16"/>
          <w:szCs w:val="16"/>
        </w:rPr>
        <w:t>57) Пакун — Пред. Всеспичпромд</w:t>
      </w:r>
    </w:p>
    <w:p w14:paraId="10A74C9C" w14:textId="77777777" w:rsidR="00DF037A" w:rsidRPr="00507A31" w:rsidRDefault="00DF037A" w:rsidP="00507A31">
      <w:pPr>
        <w:jc w:val="both"/>
        <w:rPr>
          <w:color w:val="000000" w:themeColor="text1"/>
          <w:sz w:val="16"/>
          <w:szCs w:val="16"/>
        </w:rPr>
      </w:pPr>
      <w:r w:rsidRPr="00507A31">
        <w:rPr>
          <w:color w:val="000000" w:themeColor="text1"/>
          <w:sz w:val="16"/>
          <w:szCs w:val="16"/>
        </w:rPr>
        <w:t>58) Глебов-Авилов — Сельмашстрой</w:t>
      </w:r>
    </w:p>
    <w:p w14:paraId="7D32AA4D" w14:textId="77777777" w:rsidR="00DF037A" w:rsidRPr="00507A31" w:rsidRDefault="00DF037A" w:rsidP="00507A31">
      <w:pPr>
        <w:jc w:val="both"/>
        <w:rPr>
          <w:color w:val="000000" w:themeColor="text1"/>
          <w:sz w:val="16"/>
          <w:szCs w:val="16"/>
        </w:rPr>
      </w:pPr>
      <w:r w:rsidRPr="00507A31">
        <w:rPr>
          <w:color w:val="000000" w:themeColor="text1"/>
          <w:sz w:val="16"/>
          <w:szCs w:val="16"/>
        </w:rPr>
        <w:t>59) Аралов С. И. — Член Президиума] ВСНХ СССР</w:t>
      </w:r>
    </w:p>
    <w:p w14:paraId="1BBC3D91" w14:textId="77777777" w:rsidR="00DF037A" w:rsidRPr="00507A31" w:rsidRDefault="00DF037A" w:rsidP="00507A31">
      <w:pPr>
        <w:jc w:val="both"/>
        <w:rPr>
          <w:color w:val="000000" w:themeColor="text1"/>
          <w:sz w:val="16"/>
          <w:szCs w:val="16"/>
        </w:rPr>
      </w:pPr>
      <w:r w:rsidRPr="00507A31">
        <w:rPr>
          <w:color w:val="000000" w:themeColor="text1"/>
          <w:sz w:val="16"/>
          <w:szCs w:val="16"/>
        </w:rPr>
        <w:t>60) Золотарев А. С. — “ “ “ “</w:t>
      </w:r>
    </w:p>
    <w:p w14:paraId="1F92A53E" w14:textId="77777777" w:rsidR="00DF037A" w:rsidRPr="00507A31" w:rsidRDefault="00DF037A" w:rsidP="00507A31">
      <w:pPr>
        <w:jc w:val="both"/>
        <w:rPr>
          <w:color w:val="000000" w:themeColor="text1"/>
          <w:sz w:val="16"/>
          <w:szCs w:val="16"/>
        </w:rPr>
      </w:pPr>
      <w:r w:rsidRPr="00507A31">
        <w:rPr>
          <w:color w:val="000000" w:themeColor="text1"/>
          <w:sz w:val="16"/>
          <w:szCs w:val="16"/>
        </w:rPr>
        <w:t>61) [Р]озенталь К. — “ “ ““</w:t>
      </w:r>
    </w:p>
    <w:p w14:paraId="57D9EC87" w14:textId="77777777" w:rsidR="00DF037A" w:rsidRPr="00507A31" w:rsidRDefault="00DF037A" w:rsidP="00507A31">
      <w:pPr>
        <w:jc w:val="both"/>
        <w:rPr>
          <w:color w:val="000000" w:themeColor="text1"/>
          <w:sz w:val="16"/>
          <w:szCs w:val="16"/>
        </w:rPr>
      </w:pPr>
      <w:r w:rsidRPr="00507A31">
        <w:rPr>
          <w:color w:val="000000" w:themeColor="text1"/>
          <w:sz w:val="16"/>
          <w:szCs w:val="16"/>
        </w:rPr>
        <w:t>62) Ронин — “ “ “ “</w:t>
      </w:r>
    </w:p>
    <w:p w14:paraId="5E53C8F0" w14:textId="77777777" w:rsidR="00DF037A" w:rsidRPr="00507A31" w:rsidRDefault="00DF037A" w:rsidP="00507A31">
      <w:pPr>
        <w:jc w:val="both"/>
        <w:rPr>
          <w:color w:val="000000" w:themeColor="text1"/>
          <w:sz w:val="16"/>
          <w:szCs w:val="16"/>
        </w:rPr>
      </w:pPr>
      <w:r w:rsidRPr="00507A31">
        <w:rPr>
          <w:color w:val="000000" w:themeColor="text1"/>
          <w:sz w:val="16"/>
          <w:szCs w:val="16"/>
        </w:rPr>
        <w:t>63) Смилга И. Т. — “ “ МПУ ВСНХ СССР</w:t>
      </w:r>
    </w:p>
    <w:p w14:paraId="4F508D7B" w14:textId="77777777" w:rsidR="00DF037A" w:rsidRPr="00507A31" w:rsidRDefault="00DF037A" w:rsidP="00507A31">
      <w:pPr>
        <w:jc w:val="both"/>
        <w:rPr>
          <w:color w:val="000000" w:themeColor="text1"/>
          <w:sz w:val="16"/>
          <w:szCs w:val="16"/>
        </w:rPr>
      </w:pPr>
      <w:r w:rsidRPr="00507A31">
        <w:rPr>
          <w:color w:val="000000" w:themeColor="text1"/>
          <w:sz w:val="16"/>
          <w:szCs w:val="16"/>
        </w:rPr>
        <w:t>64) Дейч Н. А. — “ “ ВСНХ СССР</w:t>
      </w:r>
    </w:p>
    <w:p w14:paraId="60508FE8" w14:textId="77777777" w:rsidR="00DF037A" w:rsidRPr="00507A31" w:rsidRDefault="00DF037A" w:rsidP="00507A31">
      <w:pPr>
        <w:jc w:val="both"/>
        <w:rPr>
          <w:color w:val="000000" w:themeColor="text1"/>
          <w:sz w:val="16"/>
          <w:szCs w:val="16"/>
        </w:rPr>
      </w:pPr>
      <w:r w:rsidRPr="00507A31">
        <w:rPr>
          <w:color w:val="000000" w:themeColor="text1"/>
          <w:sz w:val="16"/>
          <w:szCs w:val="16"/>
        </w:rPr>
        <w:t>65) Дмитриев В. Ф. — “ “ “ “ ВДТО</w:t>
      </w:r>
    </w:p>
    <w:p w14:paraId="0DADAA86" w14:textId="77777777" w:rsidR="00DF037A" w:rsidRPr="00507A31" w:rsidRDefault="00DF037A" w:rsidP="00507A31">
      <w:pPr>
        <w:jc w:val="both"/>
        <w:rPr>
          <w:color w:val="000000" w:themeColor="text1"/>
          <w:sz w:val="16"/>
          <w:szCs w:val="16"/>
        </w:rPr>
      </w:pPr>
      <w:r w:rsidRPr="00507A31">
        <w:rPr>
          <w:color w:val="000000" w:themeColor="text1"/>
          <w:sz w:val="16"/>
          <w:szCs w:val="16"/>
        </w:rPr>
        <w:t>66) Брагинский М. Н. — “ “ “ РСФСР</w:t>
      </w:r>
    </w:p>
    <w:p w14:paraId="5A739817" w14:textId="77777777" w:rsidR="00DF037A" w:rsidRPr="00507A31" w:rsidRDefault="00DF037A" w:rsidP="00507A31">
      <w:pPr>
        <w:jc w:val="both"/>
        <w:rPr>
          <w:color w:val="000000" w:themeColor="text1"/>
          <w:sz w:val="16"/>
          <w:szCs w:val="16"/>
        </w:rPr>
      </w:pPr>
      <w:r w:rsidRPr="00507A31">
        <w:rPr>
          <w:color w:val="000000" w:themeColor="text1"/>
          <w:sz w:val="16"/>
          <w:szCs w:val="16"/>
        </w:rPr>
        <w:t>67) Ганецкий Я. С. — “ “ “ “</w:t>
      </w:r>
    </w:p>
    <w:p w14:paraId="1F9E9A27" w14:textId="77777777" w:rsidR="00DF037A" w:rsidRPr="00507A31" w:rsidRDefault="00DF037A" w:rsidP="00507A31">
      <w:pPr>
        <w:jc w:val="both"/>
        <w:rPr>
          <w:color w:val="000000" w:themeColor="text1"/>
          <w:sz w:val="16"/>
          <w:szCs w:val="16"/>
        </w:rPr>
      </w:pPr>
      <w:r w:rsidRPr="00507A31">
        <w:rPr>
          <w:color w:val="000000" w:themeColor="text1"/>
          <w:sz w:val="16"/>
          <w:szCs w:val="16"/>
        </w:rPr>
        <w:t>68) Меленковский — “ “ “ “</w:t>
      </w:r>
    </w:p>
    <w:p w14:paraId="228C7DF2" w14:textId="77777777" w:rsidR="00DF037A" w:rsidRPr="00507A31" w:rsidRDefault="00DF037A" w:rsidP="00507A31">
      <w:pPr>
        <w:jc w:val="both"/>
        <w:rPr>
          <w:color w:val="000000" w:themeColor="text1"/>
          <w:sz w:val="16"/>
          <w:szCs w:val="16"/>
        </w:rPr>
      </w:pPr>
      <w:r w:rsidRPr="00507A31">
        <w:rPr>
          <w:color w:val="000000" w:themeColor="text1"/>
          <w:sz w:val="16"/>
          <w:szCs w:val="16"/>
        </w:rPr>
        <w:t>69) Корнев —   “</w:t>
      </w:r>
    </w:p>
    <w:p w14:paraId="02C8741A" w14:textId="77777777" w:rsidR="00DF037A" w:rsidRPr="00507A31" w:rsidRDefault="00DF037A" w:rsidP="00507A31">
      <w:pPr>
        <w:jc w:val="both"/>
        <w:rPr>
          <w:color w:val="000000" w:themeColor="text1"/>
          <w:sz w:val="16"/>
          <w:szCs w:val="16"/>
        </w:rPr>
      </w:pPr>
      <w:r w:rsidRPr="00507A31">
        <w:rPr>
          <w:color w:val="000000" w:themeColor="text1"/>
          <w:sz w:val="16"/>
          <w:szCs w:val="16"/>
        </w:rPr>
        <w:t>70) Кузнецов — “ “ “ “</w:t>
      </w:r>
    </w:p>
    <w:p w14:paraId="5F1AABFC" w14:textId="77777777" w:rsidR="00DF037A" w:rsidRPr="00507A31" w:rsidRDefault="00DF037A" w:rsidP="00507A31">
      <w:pPr>
        <w:jc w:val="both"/>
        <w:rPr>
          <w:color w:val="000000" w:themeColor="text1"/>
          <w:sz w:val="16"/>
          <w:szCs w:val="16"/>
        </w:rPr>
      </w:pPr>
      <w:r w:rsidRPr="00507A31">
        <w:rPr>
          <w:color w:val="000000" w:themeColor="text1"/>
          <w:sz w:val="16"/>
          <w:szCs w:val="16"/>
        </w:rPr>
        <w:t>71) Илюшин — “ “ “ “</w:t>
      </w:r>
    </w:p>
    <w:p w14:paraId="1D44D8A3" w14:textId="77777777" w:rsidR="00DF037A" w:rsidRPr="00507A31" w:rsidRDefault="00DF037A" w:rsidP="00507A31">
      <w:pPr>
        <w:jc w:val="both"/>
        <w:rPr>
          <w:color w:val="000000" w:themeColor="text1"/>
          <w:sz w:val="16"/>
          <w:szCs w:val="16"/>
        </w:rPr>
      </w:pPr>
      <w:r w:rsidRPr="00507A31">
        <w:rPr>
          <w:color w:val="000000" w:themeColor="text1"/>
          <w:sz w:val="16"/>
          <w:szCs w:val="16"/>
        </w:rPr>
        <w:t>Д. 353. Л. 154-156. Машинописная копия того времени. Датируется по «Служебной записке» на бланке секретаря Экономического управления ОГПУ при СНК СССР от 16.Х.1930 г.: «В ЦК ВКП(б) тов. Двинскому. По поручению нач. ЭКУ ОГПУ т. Прокофьева возвращаю вам присланный список, при чем сообщаю, что у т. Прокофьева никаких возражений нет». (Рукописный подлинник, подпись — автограф, неразборчиво.) На Л. 153 — записка Б. Двинского: «Т. Прокофьев! Прошу просмотреть прилагаемый список и срочно возвратить. Б. Двинский». (Рукописный подлинник на листке из блокнота, автограф Б. Двинского; дата отсутствует.) (18452).</w:t>
      </w:r>
    </w:p>
    <w:p w14:paraId="7537B9E2" w14:textId="77777777" w:rsidR="00DF037A" w:rsidRPr="00507A31" w:rsidRDefault="00DF037A" w:rsidP="00507A31">
      <w:pPr>
        <w:jc w:val="both"/>
        <w:rPr>
          <w:color w:val="000000" w:themeColor="text1"/>
          <w:sz w:val="16"/>
          <w:szCs w:val="16"/>
        </w:rPr>
      </w:pPr>
    </w:p>
    <w:p w14:paraId="75E2F6AE"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1F1E5A7D"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Показания Л. К. Рамзина о деятельности «Промпартии» по подготовке «интервенции против СССР». 16 октября 1930 г.</w:t>
      </w:r>
    </w:p>
    <w:p w14:paraId="6A8228D3" w14:textId="77777777" w:rsidR="00DF037A" w:rsidRPr="00507A31" w:rsidRDefault="00DF037A" w:rsidP="00507A31">
      <w:pPr>
        <w:jc w:val="both"/>
        <w:rPr>
          <w:color w:val="000000" w:themeColor="text1"/>
          <w:sz w:val="16"/>
          <w:szCs w:val="16"/>
        </w:rPr>
      </w:pPr>
      <w:r w:rsidRPr="00507A31">
        <w:rPr>
          <w:color w:val="000000" w:themeColor="text1"/>
          <w:sz w:val="16"/>
          <w:szCs w:val="16"/>
        </w:rPr>
        <w:t>Источник: </w:t>
      </w:r>
    </w:p>
    <w:p w14:paraId="1E65286E" w14:textId="77777777" w:rsidR="00DF037A" w:rsidRPr="00507A31" w:rsidRDefault="00DF037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CCCE84"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311B6D87" w14:textId="77777777" w:rsidR="00DF037A" w:rsidRPr="00507A31" w:rsidRDefault="00DF037A" w:rsidP="00507A31">
      <w:pPr>
        <w:jc w:val="both"/>
        <w:rPr>
          <w:color w:val="000000" w:themeColor="text1"/>
          <w:sz w:val="16"/>
          <w:szCs w:val="16"/>
        </w:rPr>
      </w:pPr>
      <w:r w:rsidRPr="00507A31">
        <w:rPr>
          <w:color w:val="000000" w:themeColor="text1"/>
          <w:sz w:val="16"/>
          <w:szCs w:val="16"/>
        </w:rPr>
        <w:lastRenderedPageBreak/>
        <w:t>[Строго секретно]</w:t>
      </w:r>
    </w:p>
    <w:p w14:paraId="0445AA24"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ПОКАЗАНИЕ</w:t>
      </w:r>
    </w:p>
    <w:p w14:paraId="7F9CCF3C" w14:textId="77777777" w:rsidR="00DF037A" w:rsidRPr="00507A31" w:rsidRDefault="00DF037A" w:rsidP="00507A31">
      <w:pPr>
        <w:jc w:val="both"/>
        <w:rPr>
          <w:color w:val="000000" w:themeColor="text1"/>
          <w:sz w:val="16"/>
          <w:szCs w:val="16"/>
        </w:rPr>
      </w:pPr>
      <w:r w:rsidRPr="00507A31">
        <w:rPr>
          <w:color w:val="000000" w:themeColor="text1"/>
          <w:sz w:val="16"/>
          <w:szCs w:val="16"/>
        </w:rPr>
        <w:t>профессора Л. К. РАМЗИНА. от 16-го октября 1930 г.</w:t>
      </w:r>
    </w:p>
    <w:p w14:paraId="3DC73EC9" w14:textId="77777777" w:rsidR="00DF037A" w:rsidRPr="00507A31" w:rsidRDefault="00DF037A" w:rsidP="00507A31">
      <w:pPr>
        <w:jc w:val="both"/>
        <w:rPr>
          <w:color w:val="000000" w:themeColor="text1"/>
          <w:sz w:val="16"/>
          <w:szCs w:val="16"/>
        </w:rPr>
      </w:pPr>
      <w:r w:rsidRPr="00507A31">
        <w:rPr>
          <w:color w:val="000000" w:themeColor="text1"/>
          <w:sz w:val="16"/>
          <w:szCs w:val="16"/>
        </w:rPr>
        <w:t>Допросили: НАЧ. СООГПУ — тов. АГРАНОВ</w:t>
      </w:r>
    </w:p>
    <w:p w14:paraId="1FC086F4" w14:textId="77777777" w:rsidR="00DF037A" w:rsidRPr="00507A31" w:rsidRDefault="00DF037A" w:rsidP="00507A31">
      <w:pPr>
        <w:jc w:val="both"/>
        <w:rPr>
          <w:color w:val="000000" w:themeColor="text1"/>
          <w:sz w:val="16"/>
          <w:szCs w:val="16"/>
        </w:rPr>
      </w:pPr>
      <w:r w:rsidRPr="00507A31">
        <w:rPr>
          <w:color w:val="000000" w:themeColor="text1"/>
          <w:sz w:val="16"/>
          <w:szCs w:val="16"/>
        </w:rPr>
        <w:t>и пом. нач. 3 отделения] СООГПУ — тов. РАДЗИВИЛОВСКИЙ.</w:t>
      </w:r>
    </w:p>
    <w:p w14:paraId="380601A1" w14:textId="77777777" w:rsidR="00DF037A" w:rsidRPr="00507A31" w:rsidRDefault="00DF037A" w:rsidP="00507A31">
      <w:pPr>
        <w:jc w:val="both"/>
        <w:rPr>
          <w:color w:val="000000" w:themeColor="text1"/>
          <w:sz w:val="16"/>
          <w:szCs w:val="16"/>
        </w:rPr>
      </w:pPr>
      <w:r w:rsidRPr="00507A31">
        <w:rPr>
          <w:color w:val="000000" w:themeColor="text1"/>
          <w:sz w:val="16"/>
          <w:szCs w:val="16"/>
        </w:rPr>
        <w:t>Отношение Промышленной Партии к интервенции против СССР.</w:t>
      </w:r>
    </w:p>
    <w:p w14:paraId="59793FCC" w14:textId="77777777" w:rsidR="00DF037A" w:rsidRPr="00507A31" w:rsidRDefault="00DF037A" w:rsidP="00507A31">
      <w:pPr>
        <w:jc w:val="both"/>
        <w:rPr>
          <w:color w:val="000000" w:themeColor="text1"/>
          <w:sz w:val="16"/>
          <w:szCs w:val="16"/>
        </w:rPr>
      </w:pPr>
      <w:r w:rsidRPr="00507A31">
        <w:rPr>
          <w:color w:val="000000" w:themeColor="text1"/>
          <w:sz w:val="16"/>
          <w:szCs w:val="16"/>
        </w:rPr>
        <w:t>Основной целью деятельности Промышленной партии, выросшей из объединенной инженерной вредительской организации, являлось свержение советской власти при помощи контр-революционного переворота. С самого начала деятельности Промпартии ее основно[й] ставкой была ставка на интервенцию против Советского Союза, ибо лишь интервенция признавалась верным и быстрым способом совершения контрреволюционного переворота.</w:t>
      </w:r>
    </w:p>
    <w:p w14:paraId="1B916BCC" w14:textId="77777777" w:rsidR="00DF037A" w:rsidRPr="00507A31" w:rsidRDefault="00DF037A" w:rsidP="00507A31">
      <w:pPr>
        <w:jc w:val="both"/>
        <w:rPr>
          <w:color w:val="000000" w:themeColor="text1"/>
          <w:sz w:val="16"/>
          <w:szCs w:val="16"/>
        </w:rPr>
      </w:pPr>
      <w:r w:rsidRPr="00507A31">
        <w:rPr>
          <w:color w:val="000000" w:themeColor="text1"/>
          <w:sz w:val="16"/>
          <w:szCs w:val="16"/>
        </w:rPr>
        <w:t>Будучи тесно связана в своей деятельности с объединением бывших промышленников в лице Русского Торгово-промышленного комитета (Торгпрома), также стремившегося к осуществлению интервенции против СССР, Промышленная партия в общем по договоренности с Торгпромом разделила работу по подготовке интервенции между Торгпромом и собою следующим образом: Торгпром вел всю внешнюю подготовку интервенции, а именно: все переговоры с иностранными правительствами, главным образом, с Францией и Англией, проводил за границей агитацию и пропаганду интервенции, должен был изыскать средства для ее финансирования, а также брал на себя и организацию военной ее части при помощи иностранных держав. Промпартия же проводила внутреннюю подготовку интервенции в СССР, путем искусственного создания и углубления экономических кризисов и всевозможной помощи интервенции изнутри. С этой целью, по указаниям Торгпрома, и по собственной инициативе ЦК Промпартии вступил в связь с иностранными генштабами.</w:t>
      </w:r>
    </w:p>
    <w:p w14:paraId="34E14029" w14:textId="77777777" w:rsidR="00DF037A" w:rsidRPr="00507A31" w:rsidRDefault="00DF037A" w:rsidP="00507A31">
      <w:pPr>
        <w:jc w:val="both"/>
        <w:rPr>
          <w:color w:val="000000" w:themeColor="text1"/>
          <w:sz w:val="16"/>
          <w:szCs w:val="16"/>
        </w:rPr>
      </w:pPr>
      <w:r w:rsidRPr="00507A31">
        <w:rPr>
          <w:color w:val="000000" w:themeColor="text1"/>
          <w:sz w:val="16"/>
          <w:szCs w:val="16"/>
        </w:rPr>
        <w:t>Связь с иностранными генштабами.</w:t>
      </w:r>
    </w:p>
    <w:p w14:paraId="40673093" w14:textId="77777777" w:rsidR="00DF037A" w:rsidRPr="00507A31" w:rsidRDefault="00DF037A" w:rsidP="00507A31">
      <w:pPr>
        <w:jc w:val="both"/>
        <w:rPr>
          <w:color w:val="000000" w:themeColor="text1"/>
          <w:sz w:val="16"/>
          <w:szCs w:val="16"/>
        </w:rPr>
      </w:pPr>
      <w:r w:rsidRPr="00507A31">
        <w:rPr>
          <w:color w:val="000000" w:themeColor="text1"/>
          <w:sz w:val="16"/>
          <w:szCs w:val="16"/>
        </w:rPr>
        <w:t>Французский генеральный штаб.</w:t>
      </w:r>
    </w:p>
    <w:p w14:paraId="51BF3C69" w14:textId="77777777" w:rsidR="00DF037A" w:rsidRPr="00507A31" w:rsidRDefault="00DF037A" w:rsidP="00507A31">
      <w:pPr>
        <w:jc w:val="both"/>
        <w:rPr>
          <w:color w:val="000000" w:themeColor="text1"/>
          <w:sz w:val="16"/>
          <w:szCs w:val="16"/>
        </w:rPr>
      </w:pPr>
      <w:r w:rsidRPr="00507A31">
        <w:rPr>
          <w:color w:val="000000" w:themeColor="text1"/>
          <w:sz w:val="16"/>
          <w:szCs w:val="16"/>
        </w:rPr>
        <w:t>Связь с французским генеральным штабом существовала еще в первый период существования инженерного центра, в области военной промышленности. Эта связь осуществлялась ген. Михайловым и ген. Высочанским.</w:t>
      </w:r>
    </w:p>
    <w:p w14:paraId="307D6D26" w14:textId="77777777" w:rsidR="00DF037A" w:rsidRPr="00507A31" w:rsidRDefault="00DF037A" w:rsidP="00507A31">
      <w:pPr>
        <w:jc w:val="both"/>
        <w:rPr>
          <w:color w:val="000000" w:themeColor="text1"/>
          <w:sz w:val="16"/>
          <w:szCs w:val="16"/>
        </w:rPr>
      </w:pPr>
      <w:r w:rsidRPr="00507A31">
        <w:rPr>
          <w:color w:val="000000" w:themeColor="text1"/>
          <w:sz w:val="16"/>
          <w:szCs w:val="16"/>
        </w:rPr>
        <w:t>В 1928 году я воспользовался своей поездкой в Париж, чтобы установить там специальную связь с французским генеральным штабом по вопросу о подготовке интервенции. Эта связь была осуществлена следующим образом. Из моих переговоров с председателем Торгпрома Денисовым, я выяснил, что: 1) при французском штабе организована специальная комиссия по интервенции против СССР, во главе которой стоит генерал Жанен; 2) во французском штабе установлена тесная связь с намечавшимся военным руководителем интервенции ген. Лукомским через полковника] французского генштаба Жуанвиль, являющегося активным деятелем по подготовке интервенции. Тогда я предложил Денисову устроить свидание мое с ген[ералом] Лукомским и полковником] Жуанвиль в присутствии Денисова, для обсуждения ряда вопросов о контакте с Промпартией по практической подготовке интервенции. Это совещание состоялось в первой половине октября (ок[оло] 8 октября) 1928 года в Париже на частной квартире, в составе: Рамзин, Денисов, Лукомский и Жуанвиль.</w:t>
      </w:r>
    </w:p>
    <w:p w14:paraId="56D11EF3" w14:textId="77777777" w:rsidR="00DF037A" w:rsidRPr="00507A31" w:rsidRDefault="00DF037A" w:rsidP="00507A31">
      <w:pPr>
        <w:jc w:val="both"/>
        <w:rPr>
          <w:color w:val="000000" w:themeColor="text1"/>
          <w:sz w:val="16"/>
          <w:szCs w:val="16"/>
        </w:rPr>
      </w:pPr>
      <w:r w:rsidRPr="00507A31">
        <w:rPr>
          <w:color w:val="000000" w:themeColor="text1"/>
          <w:sz w:val="16"/>
          <w:szCs w:val="16"/>
        </w:rPr>
        <w:t>На этом совещании Лукомский выдвинул предложение о создании при ЦК Промпартии специальной военной комиссии и связи ее с ним через французский генштаб. После обсуждения были намечены основные задачи военной комиссии, о коих подробно изложено в других моих показаниях. Здесь же была установлена и постоянная связь с французским генштабом через французское посольство в Москве. А именно, прямую связь со мной должен был осуществлять по указанию Денисова секретарь французского посольства — Реньо, а прямую связь с членом ЦК Промпартии инженером Ларичевым г. Кюфер. При этом Денисов сообщил, что соответствующие указания будут даны французской миссии в Москве. Связь с французским генштабом должна была нормально идти и осуществлялась впоследствии г. Кюфером через Ларичева и председателя промсекции Госплана СССР проф. И. А. Калинникова. После Калинников передал, по моему указанию, эту связь члену военной организации промпартии ген. Новицкому, профессору Академии Военно-Воздушного флота.</w:t>
      </w:r>
    </w:p>
    <w:p w14:paraId="2F9D2971" w14:textId="77777777" w:rsidR="00DF037A" w:rsidRPr="00507A31" w:rsidRDefault="00DF037A" w:rsidP="00507A31">
      <w:pPr>
        <w:jc w:val="both"/>
        <w:rPr>
          <w:color w:val="000000" w:themeColor="text1"/>
          <w:sz w:val="16"/>
          <w:szCs w:val="16"/>
        </w:rPr>
      </w:pPr>
      <w:r w:rsidRPr="00507A31">
        <w:rPr>
          <w:color w:val="000000" w:themeColor="text1"/>
          <w:sz w:val="16"/>
          <w:szCs w:val="16"/>
        </w:rPr>
        <w:t>В конце 1929 года г. Эрбет передал мне через г. Реньо, что существующий способ сношения с французским штабом через длинное посредство неудовлетворителен и поэтому французский генштаб предлагает установить прямую связь с военными членами Военного Центра Промпартии и выдвигает для этой цели полк[овника] Ришар. Я передал об этом И. А. Калинникову, державшему связь с французским генштабом и с ген. Новицким и просил его сообщить об этом ген. Новицкому. Насколько мне известно, в виду отъезда из Москвы г. Кюфера и Реньо эта связь не была реализована.</w:t>
      </w:r>
    </w:p>
    <w:p w14:paraId="3B4BB3BC" w14:textId="77777777" w:rsidR="00DF037A" w:rsidRPr="00507A31" w:rsidRDefault="00DF037A" w:rsidP="00507A31">
      <w:pPr>
        <w:jc w:val="both"/>
        <w:rPr>
          <w:color w:val="000000" w:themeColor="text1"/>
          <w:sz w:val="16"/>
          <w:szCs w:val="16"/>
        </w:rPr>
      </w:pPr>
      <w:r w:rsidRPr="00507A31">
        <w:rPr>
          <w:color w:val="000000" w:themeColor="text1"/>
          <w:sz w:val="16"/>
          <w:szCs w:val="16"/>
        </w:rPr>
        <w:t>Английский генштаб.</w:t>
      </w:r>
    </w:p>
    <w:p w14:paraId="623B0B69" w14:textId="77777777" w:rsidR="00DF037A" w:rsidRPr="00507A31" w:rsidRDefault="00DF037A" w:rsidP="00507A31">
      <w:pPr>
        <w:jc w:val="both"/>
        <w:rPr>
          <w:color w:val="000000" w:themeColor="text1"/>
          <w:sz w:val="16"/>
          <w:szCs w:val="16"/>
        </w:rPr>
      </w:pPr>
      <w:r w:rsidRPr="00507A31">
        <w:rPr>
          <w:color w:val="000000" w:themeColor="text1"/>
          <w:sz w:val="16"/>
          <w:szCs w:val="16"/>
        </w:rPr>
        <w:t>Видный деятель инженерного центра проф. Стрижов и Ларичев еще в 1927-1928 г. имели связь с английским штабом по частному вопросу о проектировке Грозненского нефтепровода. Пользуясь этими и нефтяными связями, Ларичев во время своего пребывания в Лондоне в период ок[оло] 24 сентября — 4 октября установил в английском штабе связь с г. Патрик и полковником] Лоуренс, о чем мне Ларичев тогда и сообщил. Для связи с английским генштабом я предложил Ларичеву использовать московского представителя фирмы «Бабкок и Вилькокс» инженера М. Е. Айзенштадт, являющегося представителем фирмы «Бабкок и Вилькокс» в Москве, и имевшего постоянные сношения с английскими инженерами; кроме того, я указал Ларичеву, что можно использовать для связи и инженера Н. М. Савелова, прибегая к этому лишь в крайнем случае. Связь через М. Е. Айзенштадта и была использована Ларичевым. Дополнительные связи по этой линии, имевшиеся у Ларичева, может дать последний.</w:t>
      </w:r>
    </w:p>
    <w:p w14:paraId="0E31AC5D" w14:textId="77777777" w:rsidR="00DF037A" w:rsidRPr="00507A31" w:rsidRDefault="00DF037A" w:rsidP="00507A31">
      <w:pPr>
        <w:jc w:val="both"/>
        <w:rPr>
          <w:color w:val="000000" w:themeColor="text1"/>
          <w:sz w:val="16"/>
          <w:szCs w:val="16"/>
        </w:rPr>
      </w:pPr>
      <w:r w:rsidRPr="00507A31">
        <w:rPr>
          <w:color w:val="000000" w:themeColor="text1"/>
          <w:sz w:val="16"/>
          <w:szCs w:val="16"/>
        </w:rPr>
        <w:t>Связь с французским посольством.</w:t>
      </w:r>
    </w:p>
    <w:p w14:paraId="22AE30DF" w14:textId="77777777" w:rsidR="00DF037A" w:rsidRPr="00507A31" w:rsidRDefault="00DF037A" w:rsidP="00507A31">
      <w:pPr>
        <w:jc w:val="both"/>
        <w:rPr>
          <w:color w:val="000000" w:themeColor="text1"/>
          <w:sz w:val="16"/>
          <w:szCs w:val="16"/>
        </w:rPr>
      </w:pPr>
      <w:r w:rsidRPr="00507A31">
        <w:rPr>
          <w:color w:val="000000" w:themeColor="text1"/>
          <w:sz w:val="16"/>
          <w:szCs w:val="16"/>
        </w:rPr>
        <w:t>Из числа членов французской миссии в Москве я находился в связи с французским послом — г. Эрбет, с секретарем посольства — г. Реньо и с г. Кюфером.</w:t>
      </w:r>
    </w:p>
    <w:p w14:paraId="0F95A0A0" w14:textId="77777777" w:rsidR="00DF037A" w:rsidRPr="00507A31" w:rsidRDefault="00DF037A" w:rsidP="00507A31">
      <w:pPr>
        <w:jc w:val="both"/>
        <w:rPr>
          <w:color w:val="000000" w:themeColor="text1"/>
          <w:sz w:val="16"/>
          <w:szCs w:val="16"/>
        </w:rPr>
      </w:pPr>
      <w:r w:rsidRPr="00507A31">
        <w:rPr>
          <w:color w:val="000000" w:themeColor="text1"/>
          <w:sz w:val="16"/>
          <w:szCs w:val="16"/>
        </w:rPr>
        <w:t>Как я уже показывал, связь с г. Реньо была установлена во время моего пребывания в Париже. Связь с г. Эрбет была мне доставлена То[р]г- промом из Парижа.</w:t>
      </w:r>
    </w:p>
    <w:p w14:paraId="7A3FC3C8" w14:textId="77777777" w:rsidR="00DF037A" w:rsidRPr="00507A31" w:rsidRDefault="00DF037A" w:rsidP="00507A31">
      <w:pPr>
        <w:jc w:val="both"/>
        <w:rPr>
          <w:color w:val="000000" w:themeColor="text1"/>
          <w:sz w:val="16"/>
          <w:szCs w:val="16"/>
        </w:rPr>
      </w:pPr>
      <w:r w:rsidRPr="00507A31">
        <w:rPr>
          <w:color w:val="000000" w:themeColor="text1"/>
          <w:sz w:val="16"/>
          <w:szCs w:val="16"/>
        </w:rPr>
        <w:t>С г. Реньо я встречался лично один раз у меня на квартире в конце 1928 г., когда я познакомил его с членом Промпартии В. И. Очкиным; на квартире И. А. Калинникова весной 1929 года и в квартире В. И. Очкина в конце 1929 года.</w:t>
      </w:r>
    </w:p>
    <w:p w14:paraId="7B46CF8E" w14:textId="77777777" w:rsidR="00DF037A" w:rsidRPr="00507A31" w:rsidRDefault="00DF037A" w:rsidP="00507A31">
      <w:pPr>
        <w:jc w:val="both"/>
        <w:rPr>
          <w:color w:val="000000" w:themeColor="text1"/>
          <w:sz w:val="16"/>
          <w:szCs w:val="16"/>
        </w:rPr>
      </w:pPr>
      <w:r w:rsidRPr="00507A31">
        <w:rPr>
          <w:color w:val="000000" w:themeColor="text1"/>
          <w:sz w:val="16"/>
          <w:szCs w:val="16"/>
        </w:rPr>
        <w:t>С Кюфером я встречался два раза у меня на квартире в середине 1928 года, когда я познакомил его с Калинниковым, и в конце 1928 г. на квартире Ларичева.</w:t>
      </w:r>
    </w:p>
    <w:p w14:paraId="66957D2F" w14:textId="77777777" w:rsidR="00DF037A" w:rsidRPr="00507A31" w:rsidRDefault="00DF037A" w:rsidP="00507A31">
      <w:pPr>
        <w:jc w:val="both"/>
        <w:rPr>
          <w:color w:val="000000" w:themeColor="text1"/>
          <w:sz w:val="16"/>
          <w:szCs w:val="16"/>
        </w:rPr>
      </w:pPr>
      <w:r w:rsidRPr="00507A31">
        <w:rPr>
          <w:color w:val="000000" w:themeColor="text1"/>
          <w:sz w:val="16"/>
          <w:szCs w:val="16"/>
        </w:rPr>
        <w:t>Связь с Кюфером я получил через Рябушинского; в конце 1927 г. в Париже Рябушинский указал мне, что Кюфер по распоряжению из Парижа свяжется со мною в Москве. Тогда же была условлена и моя связь с г. Эрбет.</w:t>
      </w:r>
    </w:p>
    <w:p w14:paraId="0FF064FF" w14:textId="77777777" w:rsidR="00DF037A" w:rsidRPr="00507A31" w:rsidRDefault="00DF037A" w:rsidP="00507A31">
      <w:pPr>
        <w:jc w:val="both"/>
        <w:rPr>
          <w:color w:val="000000" w:themeColor="text1"/>
          <w:sz w:val="16"/>
          <w:szCs w:val="16"/>
        </w:rPr>
      </w:pPr>
      <w:r w:rsidRPr="00507A31">
        <w:rPr>
          <w:color w:val="000000" w:themeColor="text1"/>
          <w:sz w:val="16"/>
          <w:szCs w:val="16"/>
        </w:rPr>
        <w:t>Для письменных сообщений с Торгпромом через французское посольство я по соглашению с Реньо использовал следующие связи; 1) через инж. В. Л. Гордон, передававшего письма через иностранных инженеров Электроимпорта; 2) через В. И. Очкина. Ларичев и Калинников сносились через г. Кюфера.</w:t>
      </w:r>
    </w:p>
    <w:p w14:paraId="145F33DA" w14:textId="77777777" w:rsidR="00DF037A" w:rsidRPr="00507A31" w:rsidRDefault="00DF037A" w:rsidP="00507A31">
      <w:pPr>
        <w:jc w:val="both"/>
        <w:rPr>
          <w:color w:val="000000" w:themeColor="text1"/>
          <w:sz w:val="16"/>
          <w:szCs w:val="16"/>
        </w:rPr>
      </w:pPr>
      <w:r w:rsidRPr="00507A31">
        <w:rPr>
          <w:color w:val="000000" w:themeColor="text1"/>
          <w:sz w:val="16"/>
          <w:szCs w:val="16"/>
        </w:rPr>
        <w:t>С французским послом в Москве г. Эрбет я сносился через г. Реньо. Неоднократно ставили вопрос о личном свидании моем с г. Эрбет, с которым я встретился на торжественном чае в Теплотехническом Институте, в 1925 году; через г. Реньо мы намечали разные места для встречи, но по конспиративным соображениям вынуждены были от них отказаться.</w:t>
      </w:r>
    </w:p>
    <w:p w14:paraId="2354E1ED" w14:textId="77777777" w:rsidR="00DF037A" w:rsidRPr="00507A31" w:rsidRDefault="00DF037A" w:rsidP="00507A31">
      <w:pPr>
        <w:jc w:val="both"/>
        <w:rPr>
          <w:color w:val="000000" w:themeColor="text1"/>
          <w:sz w:val="16"/>
          <w:szCs w:val="16"/>
        </w:rPr>
      </w:pPr>
      <w:r w:rsidRPr="00507A31">
        <w:rPr>
          <w:color w:val="000000" w:themeColor="text1"/>
          <w:sz w:val="16"/>
          <w:szCs w:val="16"/>
        </w:rPr>
        <w:t>Общая картина интервенции.</w:t>
      </w:r>
    </w:p>
    <w:p w14:paraId="0A6C0FA0" w14:textId="77777777" w:rsidR="00DF037A" w:rsidRPr="00507A31" w:rsidRDefault="00DF037A" w:rsidP="00507A31">
      <w:pPr>
        <w:jc w:val="both"/>
        <w:rPr>
          <w:color w:val="000000" w:themeColor="text1"/>
          <w:sz w:val="16"/>
          <w:szCs w:val="16"/>
        </w:rPr>
      </w:pPr>
      <w:r w:rsidRPr="00507A31">
        <w:rPr>
          <w:color w:val="000000" w:themeColor="text1"/>
          <w:sz w:val="16"/>
          <w:szCs w:val="16"/>
        </w:rPr>
        <w:t>План интервенции 1930 г.</w:t>
      </w:r>
    </w:p>
    <w:p w14:paraId="6EA02E63" w14:textId="77777777" w:rsidR="00DF037A" w:rsidRPr="00507A31" w:rsidRDefault="00DF037A" w:rsidP="00507A31">
      <w:pPr>
        <w:jc w:val="both"/>
        <w:rPr>
          <w:color w:val="000000" w:themeColor="text1"/>
          <w:sz w:val="16"/>
          <w:szCs w:val="16"/>
        </w:rPr>
      </w:pPr>
      <w:r w:rsidRPr="00507A31">
        <w:rPr>
          <w:color w:val="000000" w:themeColor="text1"/>
          <w:sz w:val="16"/>
          <w:szCs w:val="16"/>
        </w:rPr>
        <w:t>В конце 1928 года и в первой половине 1929 года полученные сведения из разных источников позволяют уяснить общий план интервенции. Срок интервенции в это время единодушно намечался на лето 1930 года, по следующим мотивам, которые всецело поддерживались и разделялись ЦК Промпартии:</w:t>
      </w:r>
    </w:p>
    <w:p w14:paraId="12206DD3" w14:textId="77777777" w:rsidR="00DF037A" w:rsidRPr="00507A31" w:rsidRDefault="00DF037A" w:rsidP="00507A31">
      <w:pPr>
        <w:jc w:val="both"/>
        <w:rPr>
          <w:color w:val="000000" w:themeColor="text1"/>
          <w:sz w:val="16"/>
          <w:szCs w:val="16"/>
        </w:rPr>
      </w:pPr>
      <w:r w:rsidRPr="00507A31">
        <w:rPr>
          <w:color w:val="000000" w:themeColor="text1"/>
          <w:sz w:val="16"/>
          <w:szCs w:val="16"/>
        </w:rPr>
        <w:t>Как один из первых годов пятилетки, 1930 год оценивался всеми, как наиболее тяжелый в экономическом отношении, а потому и наиболее благоприятный для интервенции, ибо требуя больших затрат на капитальное строительство этот год не мог еще давать возврата прежних крупных капитальных расходов.</w:t>
      </w:r>
    </w:p>
    <w:p w14:paraId="0121F3D3" w14:textId="77777777" w:rsidR="00DF037A" w:rsidRPr="00507A31" w:rsidRDefault="00DF037A" w:rsidP="00507A31">
      <w:pPr>
        <w:jc w:val="both"/>
        <w:rPr>
          <w:color w:val="000000" w:themeColor="text1"/>
          <w:sz w:val="16"/>
          <w:szCs w:val="16"/>
        </w:rPr>
      </w:pPr>
      <w:r w:rsidRPr="00507A31">
        <w:rPr>
          <w:color w:val="000000" w:themeColor="text1"/>
          <w:sz w:val="16"/>
          <w:szCs w:val="16"/>
        </w:rPr>
        <w:t>По времени, потребному для дипломатической и технической подготовки интервенции — 1930 год являлся также подходящим.</w:t>
      </w:r>
    </w:p>
    <w:p w14:paraId="0E9393A9" w14:textId="77777777" w:rsidR="00DF037A" w:rsidRPr="00507A31" w:rsidRDefault="00DF037A" w:rsidP="00507A31">
      <w:pPr>
        <w:jc w:val="both"/>
        <w:rPr>
          <w:color w:val="000000" w:themeColor="text1"/>
          <w:sz w:val="16"/>
          <w:szCs w:val="16"/>
        </w:rPr>
      </w:pPr>
      <w:r w:rsidRPr="00507A31">
        <w:rPr>
          <w:color w:val="000000" w:themeColor="text1"/>
          <w:sz w:val="16"/>
          <w:szCs w:val="16"/>
        </w:rPr>
        <w:t>При большом напряжении на капитальное строительство оборонные расходы неизбежно в начале пятилетки должны были отставать от общего темпа экономического развития страны, почему условия обороноспособности СССР в 1930 году расценивались ниже, чем в последующие годы.</w:t>
      </w:r>
    </w:p>
    <w:p w14:paraId="4E94821A" w14:textId="77777777" w:rsidR="00DF037A" w:rsidRPr="00507A31" w:rsidRDefault="00DF037A" w:rsidP="00507A31">
      <w:pPr>
        <w:jc w:val="both"/>
        <w:rPr>
          <w:color w:val="000000" w:themeColor="text1"/>
          <w:sz w:val="16"/>
          <w:szCs w:val="16"/>
        </w:rPr>
      </w:pPr>
      <w:r w:rsidRPr="00507A31">
        <w:rPr>
          <w:color w:val="000000" w:themeColor="text1"/>
          <w:sz w:val="16"/>
          <w:szCs w:val="16"/>
        </w:rPr>
        <w:t>Интервенция должна была начаться выступлением Румынии под предлогом придирки, например — к пограничному инциденту, с последующим формальным объявлением войны Польшей и выступлением лимитрофов. В интервенции должны были принять участие врангельские войска, проходящие через Румынию. Англия должна была поддержать интервенцию своим флотом: а) на Черном море, имея целью отрезать кавказские нефтяные месторождения и б) в Финском заливе в операциях против Ленинграда. Предполагалось также высадить на Черном море десант красновских казаков, которые должны были поддержать и усилить восстание на Дону. Весьма серьезные расчеты строились на восстание на Украине и, как результат его, перерыв сообщения между Донбассом и Москвой.</w:t>
      </w:r>
    </w:p>
    <w:p w14:paraId="324FFE45" w14:textId="77777777" w:rsidR="00DF037A" w:rsidRPr="00507A31" w:rsidRDefault="00DF037A" w:rsidP="00507A31">
      <w:pPr>
        <w:jc w:val="both"/>
        <w:rPr>
          <w:color w:val="000000" w:themeColor="text1"/>
          <w:sz w:val="16"/>
          <w:szCs w:val="16"/>
        </w:rPr>
      </w:pPr>
      <w:r w:rsidRPr="00507A31">
        <w:rPr>
          <w:color w:val="000000" w:themeColor="text1"/>
          <w:sz w:val="16"/>
          <w:szCs w:val="16"/>
        </w:rPr>
        <w:t>Общий план сводился к комбинированному двойному удару — главный — на Москву, и вспомогательный — на Ленинград, с движением южной армии, опираясь на правый берег Днепра. Изнутри операции интервентов должны были быть поддержаны, кроме массовых восстаний, помощью со стороны Промпартии путем углубления и усиления кризиса диверсиями на военных заводах, электростанциях, желдорогах и т. п.</w:t>
      </w:r>
    </w:p>
    <w:p w14:paraId="41DA5E8E" w14:textId="77777777" w:rsidR="00DF037A" w:rsidRPr="00507A31" w:rsidRDefault="00DF037A" w:rsidP="00507A31">
      <w:pPr>
        <w:jc w:val="both"/>
        <w:rPr>
          <w:color w:val="000000" w:themeColor="text1"/>
          <w:sz w:val="16"/>
          <w:szCs w:val="16"/>
        </w:rPr>
      </w:pPr>
      <w:r w:rsidRPr="00507A31">
        <w:rPr>
          <w:color w:val="000000" w:themeColor="text1"/>
          <w:sz w:val="16"/>
          <w:szCs w:val="16"/>
        </w:rPr>
        <w:t>План интервенции 1931 года.</w:t>
      </w:r>
    </w:p>
    <w:p w14:paraId="716A3DFB" w14:textId="77777777" w:rsidR="00DF037A" w:rsidRPr="00507A31" w:rsidRDefault="00DF037A" w:rsidP="00507A31">
      <w:pPr>
        <w:jc w:val="both"/>
        <w:rPr>
          <w:color w:val="000000" w:themeColor="text1"/>
          <w:sz w:val="16"/>
          <w:szCs w:val="16"/>
        </w:rPr>
      </w:pPr>
      <w:r w:rsidRPr="00507A31">
        <w:rPr>
          <w:color w:val="000000" w:themeColor="text1"/>
          <w:sz w:val="16"/>
          <w:szCs w:val="16"/>
        </w:rPr>
        <w:t>Уже во второй половине 1929 г. стали поступать из-за границы сообщения о невозможности интервенции в 1930 году и о переносе ее на следующий год.</w:t>
      </w:r>
    </w:p>
    <w:p w14:paraId="13D8C291" w14:textId="77777777" w:rsidR="00DF037A" w:rsidRPr="00507A31" w:rsidRDefault="00DF037A" w:rsidP="00507A31">
      <w:pPr>
        <w:jc w:val="both"/>
        <w:rPr>
          <w:color w:val="000000" w:themeColor="text1"/>
          <w:sz w:val="16"/>
          <w:szCs w:val="16"/>
        </w:rPr>
      </w:pPr>
      <w:r w:rsidRPr="00507A31">
        <w:rPr>
          <w:color w:val="000000" w:themeColor="text1"/>
          <w:sz w:val="16"/>
          <w:szCs w:val="16"/>
        </w:rPr>
        <w:t>Основные причины этого переноса таковы: 1) рост революционной активности пролетарских масс; 2) осложнение военного положения Франции, в виду обострения отношений с Италией; 3) невыясненность позиции Германии и противоречивость ее интересов с Польшей; 4) неудача дальневосточной авантюры, доказавшая трудность борьбы с Красной армией и 5) отсутствие соглашения между основными участниками интервенции.</w:t>
      </w:r>
    </w:p>
    <w:p w14:paraId="7DACFC3B" w14:textId="77777777" w:rsidR="00DF037A" w:rsidRPr="00507A31" w:rsidRDefault="00DF037A" w:rsidP="00507A31">
      <w:pPr>
        <w:jc w:val="both"/>
        <w:rPr>
          <w:color w:val="000000" w:themeColor="text1"/>
          <w:sz w:val="16"/>
          <w:szCs w:val="16"/>
        </w:rPr>
      </w:pPr>
      <w:r w:rsidRPr="00507A31">
        <w:rPr>
          <w:color w:val="000000" w:themeColor="text1"/>
          <w:sz w:val="16"/>
          <w:szCs w:val="16"/>
        </w:rPr>
        <w:t xml:space="preserve">В связи с изменением общей обстановки начал выясняться несколько видоизмененный план на 1931 г. В этом плане уже учитывали малую вероятность крупных внутренних восстаний и особенно на Украине под влиянием разгрома контр-революционных организаций, как СВУ, и общего улучшения экономического положения в будущем году. Поэтому в новом плане к внутренней помощи со стороны Промпартии выдвигались уже гораздо более серьезные требования, с упором на развитие </w:t>
      </w:r>
      <w:r w:rsidRPr="00507A31">
        <w:rPr>
          <w:color w:val="000000" w:themeColor="text1"/>
          <w:sz w:val="16"/>
          <w:szCs w:val="16"/>
        </w:rPr>
        <w:lastRenderedPageBreak/>
        <w:t>диверсионной, шпионской и явно изменнической деятельности. Для предварительного возможного ослабления Советского Союза и частичной компенсации этим его экономического и военного укрепления по сравнению с 1930 годом, в новый план вводилась экономическая блокада СССР.</w:t>
      </w:r>
    </w:p>
    <w:p w14:paraId="70554F2E" w14:textId="77777777" w:rsidR="00DF037A" w:rsidRPr="00507A31" w:rsidRDefault="00DF037A" w:rsidP="00507A31">
      <w:pPr>
        <w:jc w:val="both"/>
        <w:rPr>
          <w:color w:val="000000" w:themeColor="text1"/>
          <w:sz w:val="16"/>
          <w:szCs w:val="16"/>
        </w:rPr>
      </w:pPr>
      <w:r w:rsidRPr="00507A31">
        <w:rPr>
          <w:color w:val="000000" w:themeColor="text1"/>
          <w:sz w:val="16"/>
          <w:szCs w:val="16"/>
        </w:rPr>
        <w:t>В новом плане значительно усиливалась роль Англии и северного [«]кулака[»], долженствующего ударить по Ленинграду, за счет участия Финляндии, причем в этой операции должны были принять участие сухопутные, морские и воздушные силы. Южная группа из польских, румынских и врангелевских войск, захватив правобережную Украину, должна была двигаться к Москве, по возможности, по кратчайшей линии. Неопределенным оставалось в этой операции участие Германии, ибо Польша естественно опасается пропустить германские войска через Восточную Пруссию, несмотря на имеющиеся возможности мобилизовать в Германии значительные массы из среды, например — «Стального Шлема».</w:t>
      </w:r>
    </w:p>
    <w:p w14:paraId="13CB7958" w14:textId="77777777" w:rsidR="00DF037A" w:rsidRPr="00507A31" w:rsidRDefault="00DF037A" w:rsidP="00507A31">
      <w:pPr>
        <w:jc w:val="both"/>
        <w:rPr>
          <w:color w:val="000000" w:themeColor="text1"/>
          <w:sz w:val="16"/>
          <w:szCs w:val="16"/>
        </w:rPr>
      </w:pPr>
      <w:r w:rsidRPr="00507A31">
        <w:rPr>
          <w:color w:val="000000" w:themeColor="text1"/>
          <w:sz w:val="16"/>
          <w:szCs w:val="16"/>
        </w:rPr>
        <w:t>Придавая и в этом плане существенное значение нарушению связи Москвы с Донецким бассейном, это предполагали выполнить путем диверсий на электрических станциях Донбасса, для срыва добычи угля, и на желдорогах, соединяющих Донбасс с Москвой.</w:t>
      </w:r>
    </w:p>
    <w:p w14:paraId="7FFAF284" w14:textId="77777777" w:rsidR="00DF037A" w:rsidRPr="00507A31" w:rsidRDefault="00DF037A" w:rsidP="00507A31">
      <w:pPr>
        <w:jc w:val="both"/>
        <w:rPr>
          <w:color w:val="000000" w:themeColor="text1"/>
          <w:sz w:val="16"/>
          <w:szCs w:val="16"/>
        </w:rPr>
      </w:pPr>
      <w:r w:rsidRPr="00507A31">
        <w:rPr>
          <w:color w:val="000000" w:themeColor="text1"/>
          <w:sz w:val="16"/>
          <w:szCs w:val="16"/>
        </w:rPr>
        <w:t>Поскольку в новом плане отводилась значительная роль морским операциям, срок интервенции намечался на весну 1931 года.</w:t>
      </w:r>
    </w:p>
    <w:p w14:paraId="5936B214" w14:textId="77777777" w:rsidR="00DF037A" w:rsidRPr="00507A31" w:rsidRDefault="00DF037A" w:rsidP="00507A31">
      <w:pPr>
        <w:jc w:val="both"/>
        <w:rPr>
          <w:color w:val="000000" w:themeColor="text1"/>
          <w:sz w:val="16"/>
          <w:szCs w:val="16"/>
        </w:rPr>
      </w:pPr>
      <w:r w:rsidRPr="00507A31">
        <w:rPr>
          <w:color w:val="000000" w:themeColor="text1"/>
          <w:sz w:val="16"/>
          <w:szCs w:val="16"/>
        </w:rPr>
        <w:t>Оба приведенные выше кратких наброска плана интервенции составлены мною как синтез отдельных разнообразных, иногда отрывочных сообщений и информаций, получавшихся от Торгпрома, английского и французского посольств и генштабов, а также от отдельных заграничных инженеров.</w:t>
      </w:r>
    </w:p>
    <w:p w14:paraId="225A9A7C" w14:textId="77777777" w:rsidR="00DF037A" w:rsidRPr="00507A31" w:rsidRDefault="00DF037A" w:rsidP="00507A31">
      <w:pPr>
        <w:jc w:val="both"/>
        <w:rPr>
          <w:color w:val="000000" w:themeColor="text1"/>
          <w:sz w:val="16"/>
          <w:szCs w:val="16"/>
        </w:rPr>
      </w:pPr>
      <w:r w:rsidRPr="00507A31">
        <w:rPr>
          <w:color w:val="000000" w:themeColor="text1"/>
          <w:sz w:val="16"/>
          <w:szCs w:val="16"/>
        </w:rPr>
        <w:t>Заграничные задания по подготовке интервенции.</w:t>
      </w:r>
    </w:p>
    <w:p w14:paraId="08E54C22" w14:textId="77777777" w:rsidR="00DF037A" w:rsidRPr="00507A31" w:rsidRDefault="00DF037A" w:rsidP="00507A31">
      <w:pPr>
        <w:jc w:val="both"/>
        <w:rPr>
          <w:color w:val="000000" w:themeColor="text1"/>
          <w:sz w:val="16"/>
          <w:szCs w:val="16"/>
        </w:rPr>
      </w:pPr>
      <w:r w:rsidRPr="00507A31">
        <w:rPr>
          <w:color w:val="000000" w:themeColor="text1"/>
          <w:sz w:val="16"/>
          <w:szCs w:val="16"/>
        </w:rPr>
        <w:t>Регулярная связь с французским и английским генштабами наладилась в конце 1928 года, после поездки моей и Ларичева в Лондон и Париж. До этого времени, насколько я знаю, эти связи тоже существовали, но носили спорадический характер. Известные мне задания и поручения из заграничных кругов поступали, главным образом, с конца 1928 года. Задания и поручения, даваемые из-за границы, прежде всего, преследовали цели получения информации по вопросам, связанным с интервенцией; небольшая часть заданий касалась организационных вопросов и, наконец, последняя группа обнимает задания оперативного и планового характера.</w:t>
      </w:r>
    </w:p>
    <w:p w14:paraId="5FA679F5" w14:textId="77777777" w:rsidR="00DF037A" w:rsidRPr="00507A31" w:rsidRDefault="00DF037A" w:rsidP="00507A31">
      <w:pPr>
        <w:jc w:val="both"/>
        <w:rPr>
          <w:color w:val="000000" w:themeColor="text1"/>
          <w:sz w:val="16"/>
          <w:szCs w:val="16"/>
        </w:rPr>
      </w:pPr>
      <w:r w:rsidRPr="00507A31">
        <w:rPr>
          <w:color w:val="000000" w:themeColor="text1"/>
          <w:sz w:val="16"/>
          <w:szCs w:val="16"/>
        </w:rPr>
        <w:t>Информационные задания.</w:t>
      </w:r>
    </w:p>
    <w:p w14:paraId="10A1A265" w14:textId="77777777" w:rsidR="00DF037A" w:rsidRPr="00507A31" w:rsidRDefault="00DF037A" w:rsidP="00507A31">
      <w:pPr>
        <w:jc w:val="both"/>
        <w:rPr>
          <w:color w:val="000000" w:themeColor="text1"/>
          <w:sz w:val="16"/>
          <w:szCs w:val="16"/>
        </w:rPr>
      </w:pPr>
      <w:r w:rsidRPr="00507A31">
        <w:rPr>
          <w:color w:val="000000" w:themeColor="text1"/>
          <w:sz w:val="16"/>
          <w:szCs w:val="16"/>
        </w:rPr>
        <w:t>Сведения об экономическом положении СССР давались и ранее, но нерегулярно и несистематично. После личных переговоров моих и Ларичева с Торгпромом в октябре 1928 года, по договоренности с Торгпромом, ЦК Промпартии, примерно, каждые 3 месяца, т. е. поквартально посылало Торгпрому сводки экономического положения СССР. Эта работа выполнялась за плату отдельными специалистами, под руководством Ларичева и Калинникова, с привлечением Громана и др. экономистов и пересылалась в Торгпром через г, Кюфера Ларичевым.</w:t>
      </w:r>
    </w:p>
    <w:p w14:paraId="23DFAFDF" w14:textId="77777777" w:rsidR="00DF037A" w:rsidRPr="00507A31" w:rsidRDefault="00DF037A" w:rsidP="00507A31">
      <w:pPr>
        <w:jc w:val="both"/>
        <w:rPr>
          <w:color w:val="000000" w:themeColor="text1"/>
          <w:sz w:val="16"/>
          <w:szCs w:val="16"/>
        </w:rPr>
      </w:pPr>
      <w:r w:rsidRPr="00507A31">
        <w:rPr>
          <w:color w:val="000000" w:themeColor="text1"/>
          <w:sz w:val="16"/>
          <w:szCs w:val="16"/>
        </w:rPr>
        <w:t>В середине 1928 г. у меня на квартире при свидании с г. Кюфером моем и Калинникова, Кюфер просил давать ему для Торгпрома и французского генштаба регулярные систематические сведения о состоянии, положении и перспективах военной промышленности СССР. Я и Калинников обещали это делать. По моему поручению такие сведения составлялись под руководством Калинникова и Чарновского и 3-4 раза передавались Калинниковым Кюферу. К этим общим сведениям о военной промышленности присоединялись специальные сведения об энергетическом оборудовании военных заводов, составлявшиеся по моему поручению Евреиновым и передаваемые им Калинникову.</w:t>
      </w:r>
    </w:p>
    <w:p w14:paraId="576AB3CF" w14:textId="77777777" w:rsidR="00DF037A" w:rsidRPr="00507A31" w:rsidRDefault="00DF037A" w:rsidP="00507A31">
      <w:pPr>
        <w:jc w:val="both"/>
        <w:rPr>
          <w:color w:val="000000" w:themeColor="text1"/>
          <w:sz w:val="16"/>
          <w:szCs w:val="16"/>
        </w:rPr>
      </w:pPr>
      <w:r w:rsidRPr="00507A31">
        <w:rPr>
          <w:color w:val="000000" w:themeColor="text1"/>
          <w:sz w:val="16"/>
          <w:szCs w:val="16"/>
        </w:rPr>
        <w:t>По заданию Торгпрома я несколько раз в год пересылал ему через Реньо сведения об общем политическом положении СССР, партийной борьбе в ВКП(б), работе Промпартии и оценку будущих перспектив. Эти сведения дополнялись в личных беседах.</w:t>
      </w:r>
    </w:p>
    <w:p w14:paraId="3380F613" w14:textId="77777777" w:rsidR="00DF037A" w:rsidRPr="00507A31" w:rsidRDefault="00DF037A" w:rsidP="00507A31">
      <w:pPr>
        <w:jc w:val="both"/>
        <w:rPr>
          <w:color w:val="000000" w:themeColor="text1"/>
          <w:sz w:val="16"/>
          <w:szCs w:val="16"/>
        </w:rPr>
      </w:pPr>
      <w:r w:rsidRPr="00507A31">
        <w:rPr>
          <w:color w:val="000000" w:themeColor="text1"/>
          <w:sz w:val="16"/>
          <w:szCs w:val="16"/>
        </w:rPr>
        <w:t>По заданию моему проф. Б. С. Стечкин давал сведения о состоянии авиации, которые я передавал Реньо для Торгпрома и французского штаба.</w:t>
      </w:r>
    </w:p>
    <w:p w14:paraId="756D03A0" w14:textId="77777777" w:rsidR="00DF037A" w:rsidRPr="00507A31" w:rsidRDefault="00DF037A" w:rsidP="00507A31">
      <w:pPr>
        <w:jc w:val="both"/>
        <w:rPr>
          <w:color w:val="000000" w:themeColor="text1"/>
          <w:sz w:val="16"/>
          <w:szCs w:val="16"/>
        </w:rPr>
      </w:pPr>
      <w:r w:rsidRPr="00507A31">
        <w:rPr>
          <w:color w:val="000000" w:themeColor="text1"/>
          <w:sz w:val="16"/>
          <w:szCs w:val="16"/>
        </w:rPr>
        <w:t>От французского генштаба через Кюфера к Калинникову, Ларичеву, а через Реньо ко мне неоднократно поступали настойчивые требования организовать получение и доставку им материалов чисто военного характера. С такой же просьбой к Ларичеву обращался и Патрик от английского генштаба. Калинникову было поручено в начале 1930 года передать эти просьбы генералу Новицкому проф. Академии Воздушного флота для выполнения, путем пересылки подобных сведений прямо ген. Лукомскому, после установления им необходимых военных связей.</w:t>
      </w:r>
    </w:p>
    <w:p w14:paraId="72311153" w14:textId="77777777" w:rsidR="00DF037A" w:rsidRPr="00507A31" w:rsidRDefault="00DF037A" w:rsidP="00507A31">
      <w:pPr>
        <w:jc w:val="both"/>
        <w:rPr>
          <w:color w:val="000000" w:themeColor="text1"/>
          <w:sz w:val="16"/>
          <w:szCs w:val="16"/>
        </w:rPr>
      </w:pPr>
      <w:r w:rsidRPr="00507A31">
        <w:rPr>
          <w:color w:val="000000" w:themeColor="text1"/>
          <w:sz w:val="16"/>
          <w:szCs w:val="16"/>
        </w:rPr>
        <w:t>Организационные задания.</w:t>
      </w:r>
    </w:p>
    <w:p w14:paraId="5F729543" w14:textId="77777777" w:rsidR="00DF037A" w:rsidRPr="00507A31" w:rsidRDefault="00DF037A" w:rsidP="00507A31">
      <w:pPr>
        <w:jc w:val="both"/>
        <w:rPr>
          <w:color w:val="000000" w:themeColor="text1"/>
          <w:sz w:val="16"/>
          <w:szCs w:val="16"/>
        </w:rPr>
      </w:pPr>
      <w:r w:rsidRPr="00507A31">
        <w:rPr>
          <w:color w:val="000000" w:themeColor="text1"/>
          <w:sz w:val="16"/>
          <w:szCs w:val="16"/>
        </w:rPr>
        <w:t>Часть этих заданий касалась установления связей между ЦК Промпартии, с одной стороны, и с Торгпромом, французским и английским посольствами и штабами, с другой.</w:t>
      </w:r>
    </w:p>
    <w:p w14:paraId="49D50BC6" w14:textId="77777777" w:rsidR="00DF037A" w:rsidRPr="00507A31" w:rsidRDefault="00DF037A" w:rsidP="00507A31">
      <w:pPr>
        <w:jc w:val="both"/>
        <w:rPr>
          <w:color w:val="000000" w:themeColor="text1"/>
          <w:sz w:val="16"/>
          <w:szCs w:val="16"/>
        </w:rPr>
      </w:pPr>
      <w:r w:rsidRPr="00507A31">
        <w:rPr>
          <w:color w:val="000000" w:themeColor="text1"/>
          <w:sz w:val="16"/>
          <w:szCs w:val="16"/>
        </w:rPr>
        <w:t>Основным вопросом было здесь задание по созданию военной организации Промпартии, выдвинутое ген. Лукомским при личном свидании со мной в Париже в конце 1928 г. Подробности о задачах военной организации изложены в моем показании о военной организации, к созданию которой ЦК Промпартии приступил весной 1929 года.</w:t>
      </w:r>
    </w:p>
    <w:p w14:paraId="0D317C01" w14:textId="77777777" w:rsidR="00DF037A" w:rsidRPr="00507A31" w:rsidRDefault="00DF037A" w:rsidP="00507A31">
      <w:pPr>
        <w:jc w:val="both"/>
        <w:rPr>
          <w:color w:val="000000" w:themeColor="text1"/>
          <w:sz w:val="16"/>
          <w:szCs w:val="16"/>
        </w:rPr>
      </w:pPr>
      <w:r w:rsidRPr="00507A31">
        <w:rPr>
          <w:color w:val="000000" w:themeColor="text1"/>
          <w:sz w:val="16"/>
          <w:szCs w:val="16"/>
        </w:rPr>
        <w:t>Оперативные и плановые задания.</w:t>
      </w:r>
    </w:p>
    <w:p w14:paraId="3E6EFA5F" w14:textId="77777777" w:rsidR="00DF037A" w:rsidRPr="00507A31" w:rsidRDefault="00DF037A" w:rsidP="00507A31">
      <w:pPr>
        <w:jc w:val="both"/>
        <w:rPr>
          <w:color w:val="000000" w:themeColor="text1"/>
          <w:sz w:val="16"/>
          <w:szCs w:val="16"/>
        </w:rPr>
      </w:pPr>
      <w:r w:rsidRPr="00507A31">
        <w:rPr>
          <w:color w:val="000000" w:themeColor="text1"/>
          <w:sz w:val="16"/>
          <w:szCs w:val="16"/>
        </w:rPr>
        <w:t>В 1927-1928 г.г. от английского генштаба Стрижов и Ларичев, согласно их сообщения в ЦК Промпартии, получили задания относительно трассировки Грозненского нефтепровода и углубления Туапсинского рейда, для использования последнего в качестве морской базы для военных судов на Черном море. Проработка и выполнение этого вопроса производилась Ларичевым и Стрижовым. Местность вдоль нефтепровода предполагалось использовать также для устройства авиабаз.</w:t>
      </w:r>
    </w:p>
    <w:p w14:paraId="4287D758" w14:textId="77777777" w:rsidR="00DF037A" w:rsidRPr="00507A31" w:rsidRDefault="00DF037A" w:rsidP="00507A31">
      <w:pPr>
        <w:jc w:val="both"/>
        <w:rPr>
          <w:color w:val="000000" w:themeColor="text1"/>
          <w:sz w:val="16"/>
          <w:szCs w:val="16"/>
        </w:rPr>
      </w:pPr>
      <w:r w:rsidRPr="00507A31">
        <w:rPr>
          <w:color w:val="000000" w:themeColor="text1"/>
          <w:sz w:val="16"/>
          <w:szCs w:val="16"/>
        </w:rPr>
        <w:t>В конце 1929 года от Реньо при свидании на квартире у Очкина, я получил просьбу разработать вопрос о создании аэро-баз в районе Ленинграда. Выполнение этого поручения было передано мной лично члену Промпартии — проф. Академии Воздухофлота — Б. С. Стечкину, который проработал этот вопрос совместно с ген. Новицким и др. лицами и передал затем материал И. А. Калинникову, который переслал его во Французский штаб.</w:t>
      </w:r>
    </w:p>
    <w:p w14:paraId="705D13B9" w14:textId="77777777" w:rsidR="00DF037A" w:rsidRPr="00507A31" w:rsidRDefault="00DF037A" w:rsidP="00507A31">
      <w:pPr>
        <w:jc w:val="both"/>
        <w:rPr>
          <w:color w:val="000000" w:themeColor="text1"/>
          <w:sz w:val="16"/>
          <w:szCs w:val="16"/>
        </w:rPr>
      </w:pPr>
      <w:r w:rsidRPr="00507A31">
        <w:rPr>
          <w:color w:val="000000" w:themeColor="text1"/>
          <w:sz w:val="16"/>
          <w:szCs w:val="16"/>
        </w:rPr>
        <w:t>Ларичев сообщал о получении им от г. Кюфера в середине 1928 г. просьбы об организации бензиновых баз для авто и авиамоторов в западной части Союза и в районе Ленинграда; что было принято к исполнению.</w:t>
      </w:r>
    </w:p>
    <w:p w14:paraId="3DCA885C" w14:textId="77777777" w:rsidR="00DF037A" w:rsidRPr="00507A31" w:rsidRDefault="00DF037A" w:rsidP="00507A31">
      <w:pPr>
        <w:jc w:val="both"/>
        <w:rPr>
          <w:color w:val="000000" w:themeColor="text1"/>
          <w:sz w:val="16"/>
          <w:szCs w:val="16"/>
        </w:rPr>
      </w:pPr>
      <w:r w:rsidRPr="00507A31">
        <w:rPr>
          <w:color w:val="000000" w:themeColor="text1"/>
          <w:sz w:val="16"/>
          <w:szCs w:val="16"/>
        </w:rPr>
        <w:t>Вопросы диверсии во время интервенции подвергались неоднократно обсуждениям и проработке, главным образом, по трем направлениям: а) по военной промышленности; б) по электростанциям и в) по жел[езным] дорогам. Эти вопросы начали усиленно обсуждаться с конца 1928 г. как в ЦК Промпартии, так и с отдельными лицами, а также с представителями иностранных генштабов и миссий. Не перечисляя здесь отдельных разговоров и сообщений, которые шли по различным линиям, я укажу пока здесь на основные пути и здания.</w:t>
      </w:r>
    </w:p>
    <w:p w14:paraId="1DDDF77B" w14:textId="77777777" w:rsidR="00DF037A" w:rsidRPr="00507A31" w:rsidRDefault="00DF037A" w:rsidP="00507A31">
      <w:pPr>
        <w:jc w:val="both"/>
        <w:rPr>
          <w:color w:val="000000" w:themeColor="text1"/>
          <w:sz w:val="16"/>
          <w:szCs w:val="16"/>
        </w:rPr>
      </w:pPr>
      <w:r w:rsidRPr="00507A31">
        <w:rPr>
          <w:color w:val="000000" w:themeColor="text1"/>
          <w:sz w:val="16"/>
          <w:szCs w:val="16"/>
        </w:rPr>
        <w:t>По военной промышленности (преимущественно через Калинникова и частью Чарновского). Французский и английский штабы особенно интересовались здесь возможностью остановки и выведения из строя заводов, готовящих боевые припасы, как-то: снарядных, пороховых, трубочных заводов, заводов удушливых газов и т. п. Далее, по сообщению Калинникова, иностранные генштабы считали особенно важным обстановку и выведение из строя заводов, расположенных вдали от начальной зоны интервенции, т. е. вблизи Москвы, а также на север и восток от нее. При составлении диверсионного плана военной промышленности Калинниковым и Чарновским был намечен в согласовании с иностранными генштабами список военных заводов, в смысле очередности диверсионных мероприятий и разрабатывался план специальных диверсионных мероприятий в военной промышленности. Одновременно с этим мною было дано поручение инж. Е. Ф. Евреинову проработать диверсионные мероприятия на электростанциях военных заводов, совместно с инженерами энергетиками Военпрома и в согласии со списком очередности, который Евреинов получил от Калинникова.</w:t>
      </w:r>
    </w:p>
    <w:p w14:paraId="676BFD27" w14:textId="77777777" w:rsidR="00DF037A" w:rsidRPr="00507A31" w:rsidRDefault="00DF037A" w:rsidP="00507A31">
      <w:pPr>
        <w:jc w:val="both"/>
        <w:rPr>
          <w:color w:val="000000" w:themeColor="text1"/>
          <w:sz w:val="16"/>
          <w:szCs w:val="16"/>
        </w:rPr>
      </w:pPr>
      <w:r w:rsidRPr="00507A31">
        <w:rPr>
          <w:color w:val="000000" w:themeColor="text1"/>
          <w:sz w:val="16"/>
          <w:szCs w:val="16"/>
        </w:rPr>
        <w:t>Проработка вопроса по удушливым газам была поручена ЦК Промпартии инженеру С. Д. Шейну.</w:t>
      </w:r>
    </w:p>
    <w:p w14:paraId="34DBA858" w14:textId="77777777" w:rsidR="00DF037A" w:rsidRPr="00507A31" w:rsidRDefault="00DF037A" w:rsidP="00507A31">
      <w:pPr>
        <w:jc w:val="both"/>
        <w:rPr>
          <w:color w:val="000000" w:themeColor="text1"/>
          <w:sz w:val="16"/>
          <w:szCs w:val="16"/>
        </w:rPr>
      </w:pPr>
      <w:r w:rsidRPr="00507A31">
        <w:rPr>
          <w:color w:val="000000" w:themeColor="text1"/>
          <w:sz w:val="16"/>
          <w:szCs w:val="16"/>
        </w:rPr>
        <w:t>По электростанциям.</w:t>
      </w:r>
    </w:p>
    <w:p w14:paraId="69D61660" w14:textId="77777777" w:rsidR="00DF037A" w:rsidRPr="00507A31" w:rsidRDefault="00DF037A" w:rsidP="00507A31">
      <w:pPr>
        <w:jc w:val="both"/>
        <w:rPr>
          <w:color w:val="000000" w:themeColor="text1"/>
          <w:sz w:val="16"/>
          <w:szCs w:val="16"/>
        </w:rPr>
      </w:pPr>
      <w:r w:rsidRPr="00507A31">
        <w:rPr>
          <w:color w:val="000000" w:themeColor="text1"/>
          <w:sz w:val="16"/>
          <w:szCs w:val="16"/>
        </w:rPr>
        <w:t>В этом направлении мною был предложен план, согласованный в 1929 г. с ЦК Промпартии и с французским генштабом через г. Реньо у Калинникова на квартире; этот план касался диверсий на крупнейших электростанциях Союза; в первую очередь, в Московском объединении электрических станций (Могэс), в Ленинградском Электротоке, на станциях Донбасса, на Нижегородской электростанции и т. д. Для технической его проработки и дальнейшего осуществления мною были организованы диверсионные ячейки в МОГЭСе и Электротоке и начата организация такой ячейки в Донбассе.</w:t>
      </w:r>
    </w:p>
    <w:p w14:paraId="55255BFB" w14:textId="77777777" w:rsidR="00DF037A" w:rsidRPr="00507A31" w:rsidRDefault="00DF037A" w:rsidP="00507A31">
      <w:pPr>
        <w:jc w:val="both"/>
        <w:rPr>
          <w:color w:val="000000" w:themeColor="text1"/>
          <w:sz w:val="16"/>
          <w:szCs w:val="16"/>
        </w:rPr>
      </w:pPr>
      <w:r w:rsidRPr="00507A31">
        <w:rPr>
          <w:color w:val="000000" w:themeColor="text1"/>
          <w:sz w:val="16"/>
          <w:szCs w:val="16"/>
        </w:rPr>
        <w:t>По железным дорогам.</w:t>
      </w:r>
    </w:p>
    <w:p w14:paraId="154696BC" w14:textId="77777777" w:rsidR="00DF037A" w:rsidRPr="00507A31" w:rsidRDefault="00DF037A" w:rsidP="00507A31">
      <w:pPr>
        <w:jc w:val="both"/>
        <w:rPr>
          <w:color w:val="000000" w:themeColor="text1"/>
          <w:sz w:val="16"/>
          <w:szCs w:val="16"/>
        </w:rPr>
      </w:pPr>
      <w:r w:rsidRPr="00507A31">
        <w:rPr>
          <w:color w:val="000000" w:themeColor="text1"/>
          <w:sz w:val="16"/>
          <w:szCs w:val="16"/>
        </w:rPr>
        <w:t>По сообщению Ларичева, от Кюфера им получена была просьба, разработать план и подготовить осуществление диверсий на желез[ной] дороге по важнейшим направлениям, и особенно для разрыва связи Москвы с Донбассом. Разработка этого плана была поручена Ларичеву и председателю транспортной секции Госплана Коган-Бернштейну.</w:t>
      </w:r>
    </w:p>
    <w:p w14:paraId="50116903" w14:textId="77777777" w:rsidR="00DF037A" w:rsidRPr="00507A31" w:rsidRDefault="00DF037A" w:rsidP="00507A31">
      <w:pPr>
        <w:jc w:val="both"/>
        <w:rPr>
          <w:color w:val="000000" w:themeColor="text1"/>
          <w:sz w:val="16"/>
          <w:szCs w:val="16"/>
        </w:rPr>
      </w:pPr>
      <w:r w:rsidRPr="00507A31">
        <w:rPr>
          <w:color w:val="000000" w:themeColor="text1"/>
          <w:sz w:val="16"/>
          <w:szCs w:val="16"/>
        </w:rPr>
        <w:t>1. После установления прямой связи ген. Новицкого с ген. Лукомским (через Калинникова), ген. Новицкий получил ряд заданий по выполнению программы деятельности военной организации в ее военной части и, в частности, приступил к укомплектованию военной группы.</w:t>
      </w:r>
    </w:p>
    <w:p w14:paraId="46F67334" w14:textId="77777777" w:rsidR="00DF037A" w:rsidRPr="00507A31" w:rsidRDefault="00DF037A" w:rsidP="00507A31">
      <w:pPr>
        <w:jc w:val="both"/>
        <w:rPr>
          <w:color w:val="000000" w:themeColor="text1"/>
          <w:sz w:val="16"/>
          <w:szCs w:val="16"/>
        </w:rPr>
      </w:pPr>
      <w:r w:rsidRPr="00507A31">
        <w:rPr>
          <w:color w:val="000000" w:themeColor="text1"/>
          <w:sz w:val="16"/>
          <w:szCs w:val="16"/>
        </w:rPr>
        <w:t>2. По личным сообщениям Калинникова и Чарновского и в ЦК Промпартии, в течение 1928 и 1929 г.г. ими был получен ряд заданий от иностранных генштабов по плановой части военной промышленности, ставящих основной целью всемерную задержку строительства и расширения военных заводов и возможное сужение их производственной и строительной программы.</w:t>
      </w:r>
    </w:p>
    <w:p w14:paraId="77AE66EE" w14:textId="77777777" w:rsidR="00DF037A" w:rsidRPr="00507A31" w:rsidRDefault="00DF037A" w:rsidP="00507A31">
      <w:pPr>
        <w:jc w:val="both"/>
        <w:rPr>
          <w:color w:val="000000" w:themeColor="text1"/>
          <w:sz w:val="16"/>
          <w:szCs w:val="16"/>
        </w:rPr>
      </w:pPr>
      <w:r w:rsidRPr="00507A31">
        <w:rPr>
          <w:color w:val="000000" w:themeColor="text1"/>
          <w:sz w:val="16"/>
          <w:szCs w:val="16"/>
        </w:rPr>
        <w:t>Сущность информаций, полученных об интервенции.</w:t>
      </w:r>
    </w:p>
    <w:p w14:paraId="78AFBEE1" w14:textId="77777777" w:rsidR="00DF037A" w:rsidRPr="00507A31" w:rsidRDefault="00DF037A" w:rsidP="00507A31">
      <w:pPr>
        <w:jc w:val="both"/>
        <w:rPr>
          <w:color w:val="000000" w:themeColor="text1"/>
          <w:sz w:val="16"/>
          <w:szCs w:val="16"/>
        </w:rPr>
      </w:pPr>
      <w:r w:rsidRPr="00507A31">
        <w:rPr>
          <w:color w:val="000000" w:themeColor="text1"/>
          <w:sz w:val="16"/>
          <w:szCs w:val="16"/>
        </w:rPr>
        <w:t>Я привожу ниже отдельные информации и их содержание, поскольку мне удалось их восстановить в памяти, примерно, в хронологическом порядке.</w:t>
      </w:r>
    </w:p>
    <w:p w14:paraId="093AB8D9" w14:textId="77777777" w:rsidR="00DF037A" w:rsidRPr="00507A31" w:rsidRDefault="00DF037A" w:rsidP="00507A31">
      <w:pPr>
        <w:jc w:val="both"/>
        <w:rPr>
          <w:color w:val="000000" w:themeColor="text1"/>
          <w:sz w:val="16"/>
          <w:szCs w:val="16"/>
        </w:rPr>
      </w:pPr>
      <w:r w:rsidRPr="00507A31">
        <w:rPr>
          <w:color w:val="000000" w:themeColor="text1"/>
          <w:sz w:val="16"/>
          <w:szCs w:val="16"/>
        </w:rPr>
        <w:t>В 1928 году в Лондоне, в период с 24 сентября — 4 октября, я имел беседу на квартире инж. А. А. Симон (директор фирмы «Виккерс») с ним и с одним из руководителей фирмы «Виккерс», сэром Филипп. Не касаясь технических и экономических вопросов, я сообщу лишь сведения, полученные здесь мной об интервенции. Инж. А. А. Симон и сэр Филипп сообщили, что центром подготовки интервенции является в данное время Франция, предполагающая действовать военными силами Польши, Румынии и лимитрофов; что Англия тоже принимает участие в этой подготовке совместно с Францией, помогая деньгами, снаряжением и пр.; что Англия предполагает также оказать и военную поддержку интервенции своим флотом; что душой интервенции является лорд Черчилль; что Англия особенно заинтересована в русских нефтяных делах, а потому охотно выступит со своим флотом на Черном море.</w:t>
      </w:r>
    </w:p>
    <w:p w14:paraId="2CD22118" w14:textId="77777777" w:rsidR="00DF037A" w:rsidRPr="00507A31" w:rsidRDefault="00DF037A" w:rsidP="00507A31">
      <w:pPr>
        <w:jc w:val="both"/>
        <w:rPr>
          <w:color w:val="000000" w:themeColor="text1"/>
          <w:sz w:val="16"/>
          <w:szCs w:val="16"/>
        </w:rPr>
      </w:pPr>
      <w:r w:rsidRPr="00507A31">
        <w:rPr>
          <w:color w:val="000000" w:themeColor="text1"/>
          <w:sz w:val="16"/>
          <w:szCs w:val="16"/>
        </w:rPr>
        <w:lastRenderedPageBreak/>
        <w:t>В виду того, что у Ларичева имелись нефтяные связи и связь с английским штабом, установленная еще ранее по вопросу о Грозненском нефтепроводе, Ларичев, бывший в это время тоже в Лондоне, взял на себя переговоры с нефтяниками и с английским штабом, и сообщил мне, что он связался с нефтяными английскими кругами и, в частности, с представителями Детердинга; одновременно Ларичев сообщил мне об установлении им связи в английском штабе с г. Патрик и полковником Лоуренс. По сообщению Ларичева, сведения, сообщенные мне Симоном, сходятся с полученными им сведениями; что финансирование интервенции в значительной степени будет производиться английскими нефтяными кругами, действующими совместно с Торгпромом, что англичане намереваются поддержать интервенцию флотом не только на Черном море, &lt;но&gt; и в Финском заливе.</w:t>
      </w:r>
    </w:p>
    <w:p w14:paraId="144C5B68" w14:textId="77777777" w:rsidR="00DF037A" w:rsidRPr="00507A31" w:rsidRDefault="00DF037A" w:rsidP="00507A31">
      <w:pPr>
        <w:jc w:val="both"/>
        <w:rPr>
          <w:color w:val="000000" w:themeColor="text1"/>
          <w:sz w:val="16"/>
          <w:szCs w:val="16"/>
        </w:rPr>
      </w:pPr>
      <w:r w:rsidRPr="00507A31">
        <w:rPr>
          <w:color w:val="000000" w:themeColor="text1"/>
          <w:sz w:val="16"/>
          <w:szCs w:val="16"/>
        </w:rPr>
        <w:t>Наиболее полную и надежную информацию об интервенции я и Ларичев получили в эту же поездку в Париже от Торгпрома, в период 5-10 октября 1928 года. Эту информацию я считал более надежной, потому что Торгпром был более в курсе переговоров, чем отдельные лица и более объективен, чем представители генштабов отдельных стран.</w:t>
      </w:r>
    </w:p>
    <w:p w14:paraId="505B5569" w14:textId="77777777" w:rsidR="00DF037A" w:rsidRPr="00507A31" w:rsidRDefault="00DF037A" w:rsidP="00507A31">
      <w:pPr>
        <w:jc w:val="both"/>
        <w:rPr>
          <w:color w:val="000000" w:themeColor="text1"/>
          <w:sz w:val="16"/>
          <w:szCs w:val="16"/>
        </w:rPr>
      </w:pPr>
      <w:r w:rsidRPr="00507A31">
        <w:rPr>
          <w:color w:val="000000" w:themeColor="text1"/>
          <w:sz w:val="16"/>
          <w:szCs w:val="16"/>
        </w:rPr>
        <w:t>Здесь я и ЛАРИЧЕВ присутствовали по приглашению Торгпрома на заседании, на котором были ДЕНИСОВ, НОБЕЛЬ, ГУКАСОВ, МЕЩЕРСКИЙ, СТАРИНКЕВИЧ, КОНОВАЛОВ и, если не ошибаюсь, РЯБУШИНСКИЙ. По вопросу об интервенции на этом заседании ДЕНИСОВ сообщил, что всю работу по подготовке интервенции необходимо разделить на две части: подготовку заграницей и подготовку внутри СССР; что первую работу, а именно дипломатические переговоры с правительствами, финансирование интервенции и организацию ее военной части — берет на себя Торгпром; наоборот, на обязанности Промпартии ложится вся внутренняя подготовка интервенции внутри страны, путем создания и углубления экономических кризисов и помощи интервентам изнутри; что Торгпром уже имеет поддержку Франции и Англии в этом вопросе; что основное руководство интервенцией берет на себя Франция, которая рассчитывает выдвинуть военные силы Польши и Румынии, а также лимитрофов, а Англия поддержит интервенцию своим флотом; что сроком интервенции по[-]прежнему намечается лето 1930 года, как наиболее благоприятное для интервенции (с чем я и ЛАРИЧЕВ согласились) и лишь в крайнем случае 1931 год; что поэтому всю работу инженерного центра надо вести с расчетом на разгар кризиса в 1930 году.</w:t>
      </w:r>
    </w:p>
    <w:p w14:paraId="5AE87290" w14:textId="77777777" w:rsidR="00DF037A" w:rsidRPr="00507A31" w:rsidRDefault="00DF037A" w:rsidP="00507A31">
      <w:pPr>
        <w:jc w:val="both"/>
        <w:rPr>
          <w:color w:val="000000" w:themeColor="text1"/>
          <w:sz w:val="16"/>
          <w:szCs w:val="16"/>
        </w:rPr>
      </w:pPr>
      <w:r w:rsidRPr="00507A31">
        <w:rPr>
          <w:color w:val="000000" w:themeColor="text1"/>
          <w:sz w:val="16"/>
          <w:szCs w:val="16"/>
        </w:rPr>
        <w:t>При следующей нашей встрече (моей и ЛАРИЧЕВА) в тот же день, вечером в кабинете ресторана в районе Больших Бульваров, были — ДЕНИСОВ, НОБЕЛЬ, ГУКАСОВ, МЕЩЕРСКИЙ, ТРЕТЬЯКОВ и КАШТАНОВ. Я разговаривал главным образом в это время с ДЕНИСОВЫМ. ДЕНИСОВ говорил, что у них имеется полная уверенность в успехе интервенции, ибо на этот раз интервенция будет поставлена солидно, как с военной стороны, так и со стороны снабжения и прежние ошибки теперь не повторятся. Кажется, ТРЕТЬЯКОВ сказал, что при использовании войск Польши, Румынии, Прибалтийских стран и врангелевской армии — ок[оло] 100 тыс. человек — интервенция будет располагать прекрасно оборудованной армией; что, по мнению многих больших промышленников при морской поддержке на юге и на севере, можно рассчитывать на успех даже с небольшой армией в 600-800 тыс. человек; что здесь считают наиболее успешным комбинированный двойной удар на Москву и Ленинград. На мой вопрос относительно финансирования интервенции ДЕНИСОВ не дал четкого ответа, сказал, что этот вопрос пока, конечно, не вполне ясен; я понял из слов ДЕНИСОВА и НОБЕЛЯ, что средства для интервенции даются нефтяными промышленными кругами и, в частности, ДЕТЕРДИНГОМ, правительствами Франции и Англии, а частью бывшими русскими промышленниками.</w:t>
      </w:r>
    </w:p>
    <w:p w14:paraId="227FDADA" w14:textId="77777777" w:rsidR="00DF037A" w:rsidRPr="00507A31" w:rsidRDefault="00DF037A" w:rsidP="00507A31">
      <w:pPr>
        <w:jc w:val="both"/>
        <w:rPr>
          <w:color w:val="000000" w:themeColor="text1"/>
          <w:sz w:val="16"/>
          <w:szCs w:val="16"/>
        </w:rPr>
      </w:pPr>
      <w:r w:rsidRPr="00507A31">
        <w:rPr>
          <w:color w:val="000000" w:themeColor="text1"/>
          <w:sz w:val="16"/>
          <w:szCs w:val="16"/>
        </w:rPr>
        <w:t>При встрече моей в промежутке 5-10 октября 1928 г. в Париже с ДЕНИСОВЫМ, ЛУКОМСКИМ и полковником] ЖУАНВИЛЬ, на квартире, как я уже показывал, основным вопросом являлся деловой вопрос об создании военной организации Промпартии, которого я здесь не буду касаться. Разговор происходил по-русски, вследствие моего очень плохого знания французского языка. Время от времени ДЕНИСОВ и ЛУКОМСКИЙ переводили по[-]французски сущность разговора. Полк[овник] ЖУАНВИЛЬ больше всего интересовался возможностью получения военных сведений о Красной армии и возможной военной помощью изнутри СССР, путем диверсий и т. п. На мой вопрос о располагаемых силах и плане интервенции ген. ЛУКОМСКИЙ ответил, что пока не закончились переговоры, рано еще считать силы и составлять планы, но что повторенный мной план, слышанный в Торгпроме, почти единственный; что при хорошем снабжении и вооружении армии никакого сомнения в успехе быть не может, особенно при активной помощи со стороны Промпартии ее военной организации, которой будут даны конкретные указания и планы действий.</w:t>
      </w:r>
    </w:p>
    <w:p w14:paraId="1DFB9D30" w14:textId="77777777" w:rsidR="00DF037A" w:rsidRPr="00507A31" w:rsidRDefault="00DF037A" w:rsidP="00507A31">
      <w:pPr>
        <w:jc w:val="both"/>
        <w:rPr>
          <w:color w:val="000000" w:themeColor="text1"/>
          <w:sz w:val="16"/>
          <w:szCs w:val="16"/>
        </w:rPr>
      </w:pPr>
      <w:r w:rsidRPr="00507A31">
        <w:rPr>
          <w:color w:val="000000" w:themeColor="text1"/>
          <w:sz w:val="16"/>
          <w:szCs w:val="16"/>
        </w:rPr>
        <w:t>В конце свидания ДЕНИСОВ сообщил еще, что основные переговоры об организации интервенции ведутся во Франции с Брианом, а в Англии с Черчиллем; что переговоры об организации интервенции затрудняются аппетитами ее участников; так например — Польша претендует, конечно, на правобережную Украину.</w:t>
      </w:r>
    </w:p>
    <w:p w14:paraId="58C9F28F" w14:textId="77777777" w:rsidR="00DF037A" w:rsidRPr="00507A31" w:rsidRDefault="00DF037A" w:rsidP="00507A31">
      <w:pPr>
        <w:jc w:val="both"/>
        <w:rPr>
          <w:color w:val="000000" w:themeColor="text1"/>
          <w:sz w:val="16"/>
          <w:szCs w:val="16"/>
        </w:rPr>
      </w:pPr>
      <w:r w:rsidRPr="00507A31">
        <w:rPr>
          <w:color w:val="000000" w:themeColor="text1"/>
          <w:sz w:val="16"/>
          <w:szCs w:val="16"/>
        </w:rPr>
        <w:t>При моей поездке в Берлин 14-25 июня 1930 г. со мной, по поручению Торгпрома, говорил инж. А. А. ЦЕНКЕР. По вопросу об интервенции он пытался меня убедить, что переговоры об ее организации близятся к концу и что Торгпром твердо уверен в осуществлении интервенции в 1931 году и поэтому необходимо приложить все усилия, чтобы продлить работу до этого времени и активно помочь интервенции. По словам ЦЕНКЕРА, имеются основания рас[с]читывать на активное участие в интервенции и Германии; что, несмотря на опасения Польши, последняя под гарантией Англии и Франции согласится пропустить германские войска; что развитие деятельности «Стального шлема», по словам Гитлера, несмотря на усиление коммунистических настроений в Германии, позволит мобилизовать без затруднений корпус порядка 300 тысяч человек. В общем информация Ценкера о шансах интервенции была составлена в оптимистических тонах.</w:t>
      </w:r>
    </w:p>
    <w:p w14:paraId="566B33A9" w14:textId="77777777" w:rsidR="00DF037A" w:rsidRPr="00507A31" w:rsidRDefault="00DF037A" w:rsidP="00507A31">
      <w:pPr>
        <w:jc w:val="both"/>
        <w:rPr>
          <w:color w:val="000000" w:themeColor="text1"/>
          <w:sz w:val="16"/>
          <w:szCs w:val="16"/>
        </w:rPr>
      </w:pPr>
      <w:r w:rsidRPr="00507A31">
        <w:rPr>
          <w:color w:val="000000" w:themeColor="text1"/>
          <w:sz w:val="16"/>
          <w:szCs w:val="16"/>
        </w:rPr>
        <w:t>Профессор В. И. ЯСИНСКИЙ, являющийся по существу представителем Промпартии в Берлине, осветил мне положение в более умеренных тонах, не высказывая такой уверенности в участии Германии в интервенции.</w:t>
      </w:r>
    </w:p>
    <w:p w14:paraId="69A9C0D2" w14:textId="77777777" w:rsidR="00DF037A" w:rsidRPr="00507A31" w:rsidRDefault="00DF037A" w:rsidP="00507A31">
      <w:pPr>
        <w:jc w:val="both"/>
        <w:rPr>
          <w:color w:val="000000" w:themeColor="text1"/>
          <w:sz w:val="16"/>
          <w:szCs w:val="16"/>
        </w:rPr>
      </w:pPr>
      <w:r w:rsidRPr="00507A31">
        <w:rPr>
          <w:color w:val="000000" w:themeColor="text1"/>
          <w:sz w:val="16"/>
          <w:szCs w:val="16"/>
        </w:rPr>
        <w:t>ЦЕНКЕР сообщил мне, что ввиду моего предупреждения о моем пребывании в Берлине 10-15 июля, ДЕНИСОВ, а также представители французского штаба обещались приехать в Берлин в начале июля для свидания со мной и восстановления нарушенных связей с отъездом ЭРБЕТА. Однако, в виду моего спешного отъезда в Москву я просил ЯСИНСКОГО связать с ними П. С. ОСАДЧЕГО, который оставался в Берлине, о чем я также предупредил ОСАДЧЕГО и получил его согласие. После возвращения в Москву я до ареста ОСАДЧЕГО не видел, а потому не знаю результатов его переговоров.</w:t>
      </w:r>
    </w:p>
    <w:p w14:paraId="30571DBE" w14:textId="77777777" w:rsidR="00DF037A" w:rsidRPr="00507A31" w:rsidRDefault="00DF037A" w:rsidP="00507A31">
      <w:pPr>
        <w:jc w:val="both"/>
        <w:rPr>
          <w:color w:val="000000" w:themeColor="text1"/>
          <w:sz w:val="16"/>
          <w:szCs w:val="16"/>
        </w:rPr>
      </w:pPr>
      <w:r w:rsidRPr="00507A31">
        <w:rPr>
          <w:color w:val="000000" w:themeColor="text1"/>
          <w:sz w:val="16"/>
          <w:szCs w:val="16"/>
        </w:rPr>
        <w:t>Помимо ЦЕНКЕРА и ЯСИНСКОГО я разговаривал в Берлине с инж. И. И. ФЕНИКЕВИ, хорошо знающим германскую обстановку[,] и с рядом фирменных инженеров, при чем получил противоречивую оценку внутреннего политического положения Германии.</w:t>
      </w:r>
    </w:p>
    <w:p w14:paraId="191CD99E" w14:textId="77777777" w:rsidR="00DF037A" w:rsidRPr="00507A31" w:rsidRDefault="00DF037A" w:rsidP="00507A31">
      <w:pPr>
        <w:jc w:val="both"/>
        <w:rPr>
          <w:color w:val="000000" w:themeColor="text1"/>
          <w:sz w:val="16"/>
          <w:szCs w:val="16"/>
        </w:rPr>
      </w:pPr>
      <w:r w:rsidRPr="00507A31">
        <w:rPr>
          <w:color w:val="000000" w:themeColor="text1"/>
          <w:sz w:val="16"/>
          <w:szCs w:val="16"/>
        </w:rPr>
        <w:t>Информация из французского посольства и штаба через КЮФЕРА, РЕНЬО, от Торгпрома и из английских источников поступал[а] примерно до марта 1930 года к разным членам ЦК Промпартии в виде отдельных, часто отрывочных сообщений.</w:t>
      </w:r>
    </w:p>
    <w:p w14:paraId="02D542D7" w14:textId="77777777" w:rsidR="00DF037A" w:rsidRPr="00507A31" w:rsidRDefault="00DF037A" w:rsidP="00507A31">
      <w:pPr>
        <w:jc w:val="both"/>
        <w:rPr>
          <w:color w:val="000000" w:themeColor="text1"/>
          <w:sz w:val="16"/>
          <w:szCs w:val="16"/>
        </w:rPr>
      </w:pPr>
      <w:r w:rsidRPr="00507A31">
        <w:rPr>
          <w:color w:val="000000" w:themeColor="text1"/>
          <w:sz w:val="16"/>
          <w:szCs w:val="16"/>
        </w:rPr>
        <w:t>По вопросу о планах интервенции, данные выше схематические планы составлены частью на основании сообщений при беседах заграницей, но и, главным образом, по сообщениям КЮФЕРА, РЕНЬО и Торгпрома, а частью от английского генштаба.</w:t>
      </w:r>
    </w:p>
    <w:p w14:paraId="4A71EDAC" w14:textId="77777777" w:rsidR="00DF037A" w:rsidRPr="00507A31" w:rsidRDefault="00DF037A" w:rsidP="00507A31">
      <w:pPr>
        <w:jc w:val="both"/>
        <w:rPr>
          <w:color w:val="000000" w:themeColor="text1"/>
          <w:sz w:val="16"/>
          <w:szCs w:val="16"/>
        </w:rPr>
      </w:pPr>
      <w:r w:rsidRPr="00507A31">
        <w:rPr>
          <w:color w:val="000000" w:themeColor="text1"/>
          <w:sz w:val="16"/>
          <w:szCs w:val="16"/>
        </w:rPr>
        <w:t>Срок первой интервенции оставался с конца 1928 года довольно устойчивым — летом 1930 года, подтверждаясь затем неоднократными сообщениями Торгпрома, Кюфера и Реньо. Первые сообщения о переносе интервенции были получены из английских источников ФЕДОТОВЫМ, а затем ЛАРИЧЕВЫМ от КЮФЕРА и мною от Торгпрома и французского посольства (РЕНЬО) во второй половине 1929 года.</w:t>
      </w:r>
    </w:p>
    <w:p w14:paraId="0FB7C8D7" w14:textId="77777777" w:rsidR="00DF037A" w:rsidRPr="00507A31" w:rsidRDefault="00DF037A" w:rsidP="00507A31">
      <w:pPr>
        <w:jc w:val="both"/>
        <w:rPr>
          <w:color w:val="000000" w:themeColor="text1"/>
          <w:sz w:val="16"/>
          <w:szCs w:val="16"/>
        </w:rPr>
      </w:pPr>
      <w:r w:rsidRPr="00507A31">
        <w:rPr>
          <w:color w:val="000000" w:themeColor="text1"/>
          <w:sz w:val="16"/>
          <w:szCs w:val="16"/>
        </w:rPr>
        <w:t>Сообщения о том, что срок интервенции намечается на весну 1931 года[,] были получены ЛАРИЧЕВЫМ от английского генштаба в начале 1930 года; тот же срок указывал мне РЕНЬО и ЦЕНКЕР. По[-]видимому единственное противоречащее сообщение было сделано, кажется, ЧАРНОВСКИМ (из польских источников), в котором срок намечался на начало 1931 года.</w:t>
      </w:r>
    </w:p>
    <w:p w14:paraId="18A0930F" w14:textId="77777777" w:rsidR="00DF037A" w:rsidRPr="00507A31" w:rsidRDefault="00DF037A" w:rsidP="00507A31">
      <w:pPr>
        <w:jc w:val="both"/>
        <w:rPr>
          <w:color w:val="000000" w:themeColor="text1"/>
          <w:sz w:val="16"/>
          <w:szCs w:val="16"/>
        </w:rPr>
      </w:pPr>
      <w:r w:rsidRPr="00507A31">
        <w:rPr>
          <w:color w:val="000000" w:themeColor="text1"/>
          <w:sz w:val="16"/>
          <w:szCs w:val="16"/>
        </w:rPr>
        <w:t>С начала 1930 года, после установления связи с ген. ЛУКОМСКИМ, ген. НОВИЦКИЙ начал получать от него через французское посольство задания и информации по вопросам деятельности военной организации.</w:t>
      </w:r>
    </w:p>
    <w:p w14:paraId="63366DB4" w14:textId="77777777" w:rsidR="00DF037A" w:rsidRPr="00507A31" w:rsidRDefault="00DF037A" w:rsidP="00507A31">
      <w:pPr>
        <w:jc w:val="both"/>
        <w:rPr>
          <w:color w:val="000000" w:themeColor="text1"/>
          <w:sz w:val="16"/>
          <w:szCs w:val="16"/>
        </w:rPr>
      </w:pPr>
      <w:r w:rsidRPr="00507A31">
        <w:rPr>
          <w:color w:val="000000" w:themeColor="text1"/>
          <w:sz w:val="16"/>
          <w:szCs w:val="16"/>
        </w:rPr>
        <w:t>Денежные средства с конца 1928 года Промпартия получала от Торгпрома через французское посольство в Москве, через посредство г. КЮФЕРА и г. РЕНЬО. Деньги доставлялись обычно ЛАРИЧЕВУ и в редких случаях (3 раза) ко мне. Распределением денежных средств ведал ЛАРИЧЕВ. За 11/2 года, с конца 1928 г. до марта 1930 г., было получено, по моим сведениям, ок[оло] 1600 тыс. рублей.</w:t>
      </w:r>
    </w:p>
    <w:p w14:paraId="3A1B88A1" w14:textId="77777777" w:rsidR="00DF037A" w:rsidRPr="00507A31" w:rsidRDefault="00DF037A" w:rsidP="00507A31">
      <w:pPr>
        <w:jc w:val="both"/>
        <w:rPr>
          <w:color w:val="000000" w:themeColor="text1"/>
          <w:sz w:val="16"/>
          <w:szCs w:val="16"/>
        </w:rPr>
      </w:pPr>
      <w:r w:rsidRPr="00507A31">
        <w:rPr>
          <w:color w:val="000000" w:themeColor="text1"/>
          <w:sz w:val="16"/>
          <w:szCs w:val="16"/>
        </w:rPr>
        <w:t>РАМЗИН.</w:t>
      </w:r>
    </w:p>
    <w:p w14:paraId="4D555417" w14:textId="77777777" w:rsidR="00DF037A" w:rsidRPr="00507A31" w:rsidRDefault="00DF037A" w:rsidP="00507A31">
      <w:pPr>
        <w:jc w:val="both"/>
        <w:rPr>
          <w:color w:val="000000" w:themeColor="text1"/>
          <w:sz w:val="16"/>
          <w:szCs w:val="16"/>
        </w:rPr>
      </w:pPr>
      <w:r w:rsidRPr="00507A31">
        <w:rPr>
          <w:color w:val="000000" w:themeColor="text1"/>
          <w:sz w:val="16"/>
          <w:szCs w:val="16"/>
        </w:rPr>
        <w:t>ДОПРОСИЛИ: НАЧ СООГПУ — АГРАНОВ</w:t>
      </w:r>
    </w:p>
    <w:p w14:paraId="5D87DAC2" w14:textId="77777777" w:rsidR="00DF037A" w:rsidRPr="00507A31" w:rsidRDefault="00DF037A" w:rsidP="00507A31">
      <w:pPr>
        <w:jc w:val="both"/>
        <w:rPr>
          <w:color w:val="000000" w:themeColor="text1"/>
          <w:sz w:val="16"/>
          <w:szCs w:val="16"/>
        </w:rPr>
      </w:pPr>
      <w:r w:rsidRPr="00507A31">
        <w:rPr>
          <w:color w:val="000000" w:themeColor="text1"/>
          <w:sz w:val="16"/>
          <w:szCs w:val="16"/>
        </w:rPr>
        <w:t>П[ОМ]/НАЧ 3 ОТДЕЛЕНИЯ] СООГПУ — РАДЗИВИЛОВСКИЙ.</w:t>
      </w:r>
    </w:p>
    <w:p w14:paraId="3FE02D9A" w14:textId="77777777" w:rsidR="00DF037A" w:rsidRPr="00507A31" w:rsidRDefault="00DF037A" w:rsidP="00507A31">
      <w:pPr>
        <w:jc w:val="both"/>
        <w:rPr>
          <w:color w:val="000000" w:themeColor="text1"/>
          <w:sz w:val="16"/>
          <w:szCs w:val="16"/>
        </w:rPr>
      </w:pPr>
      <w:r w:rsidRPr="00507A31">
        <w:rPr>
          <w:color w:val="000000" w:themeColor="text1"/>
          <w:sz w:val="16"/>
          <w:szCs w:val="16"/>
        </w:rPr>
        <w:t>Д. 354. Л. 14-30. Заверенная машинописная копия того времени. На Л. 14 вверху — штамп с вписанными от руки данными о распечатке (50 экз.) текста и датой «19.X.1930 г.», подпись-автограф Хряпкиной. Рядом штамп о рассылке документа (номер и дата отсутствуют).</w:t>
      </w:r>
    </w:p>
    <w:p w14:paraId="164240B8" w14:textId="77777777" w:rsidR="00DF037A" w:rsidRPr="00507A31" w:rsidRDefault="00DF037A" w:rsidP="00507A31">
      <w:pPr>
        <w:jc w:val="both"/>
        <w:rPr>
          <w:color w:val="000000" w:themeColor="text1"/>
          <w:sz w:val="16"/>
          <w:szCs w:val="16"/>
        </w:rPr>
      </w:pPr>
      <w:r w:rsidRPr="00507A31">
        <w:rPr>
          <w:color w:val="000000" w:themeColor="text1"/>
          <w:sz w:val="16"/>
          <w:szCs w:val="16"/>
        </w:rPr>
        <w:t>В тексте содержатся многочисленные подчеркивания, рукописные пометы карандашом, знаки на полях. На Л. 16 (подраздел «Французский генеральный штаб») обведена фамилия проф. Академии Военно-Воздушного флота ген. Новицкого, рядом на поле слева поставлен знак «X»; на Л. 17 (раздел «Связь с французским посольством») подчеркнута фамилия В. И. Очкина, на полях слева также поставлен знак «X»; на Л. 20 (подраздел «План интервенции 1931 года», второй абзац: «В связи с изменением общей обстановки начал выясняться несколько видоизмененный план на 1931 г. [...]») подчеркнуты слова: «с упором на развитие диверсионной, шпионской и явно изменнической деятельности», «по сравнению с 1930 годом, в новый план вводилась экономическая блокада СССР», на полях слева написано от руки «Именно!», поставлен знак «XX»; на Л. 22, п. «4. По заданию моему проф. Б. С. Стечкин давал сведения о состоянии авиации [...]» подчеркнута фамилия Стечкина, рядом поставлен знак «X»; на Л. 29, п. «6. При моей поездке в Берлин 14-25 июня 1930 г. со мной, по поручению Торгпрома, говорил инж. А. А. ЦЕНКЕР. По вопросу об интервенции он пытался меня убедить [...]» подчеркнута фамилия Ценкера, на поле слева рукописная помета «Кто такой?»; ниже подчеркнута фамилия проф. В. И. Ясинского, на полях слева рукописная помета «Кто т[акой]?»; ниже во фразе: «После возвращения в Москву я до ареста ОСАДЧЕГО не видел, а потому не знаю результатов его переговоров» подчеркнута фамилия Осадчего, на полях написано от руки «Арестовать», рядом знак «XX».</w:t>
      </w:r>
    </w:p>
    <w:p w14:paraId="06B9892C"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Показания Л. К. Рамзина были направлены «для сведения» членам и кандидатам в члены Политбюро ЦК В КП (б) и членам президиума ЦКК ВКП(б) 19 октября 1930 г. наряду с копиями протоколов допросов Евреинова от 1.X.30 г. («о террористической организации промпартии»); Калинникова, Ларичева, Чарновского, Предтеченского, Соловьева, Мюллера, Кирпотенко от 16 и 17.X.30 г. — «по вопросу об интервенции». (Копия сопроводительного письма на Л. 1; см. легенду к док. № 354-1 «Показания Е. Ф. Евреинова [...]».)</w:t>
      </w:r>
    </w:p>
    <w:p w14:paraId="16D0048D" w14:textId="77777777" w:rsidR="00DF037A" w:rsidRPr="00507A31" w:rsidRDefault="00DF037A" w:rsidP="00507A31">
      <w:pPr>
        <w:jc w:val="both"/>
        <w:rPr>
          <w:color w:val="000000" w:themeColor="text1"/>
          <w:sz w:val="16"/>
          <w:szCs w:val="16"/>
        </w:rPr>
      </w:pPr>
      <w:r w:rsidRPr="00507A31">
        <w:rPr>
          <w:color w:val="000000" w:themeColor="text1"/>
          <w:sz w:val="16"/>
          <w:szCs w:val="16"/>
        </w:rPr>
        <w:lastRenderedPageBreak/>
        <w:t>ЦА ФСБ РФ. Ф. Р-42280. Т. 2. Л. 161-167. Рукописный подлинник (черновик), написанный Л. К. Рамзиным собственноручно. Внизу каждого листа заверительная подпись-автограф Рамзина. На Л. 161 в «шапку», написанную Рамзиным по форме протокола, вписаны фамилии Агранова и Радзивиловского с их подписями-автографами (18458).</w:t>
      </w:r>
    </w:p>
    <w:p w14:paraId="454B451A" w14:textId="77777777" w:rsidR="00DF037A" w:rsidRPr="00507A31" w:rsidRDefault="00DF037A" w:rsidP="00507A31">
      <w:pPr>
        <w:jc w:val="both"/>
        <w:rPr>
          <w:color w:val="000000" w:themeColor="text1"/>
          <w:sz w:val="16"/>
          <w:szCs w:val="16"/>
        </w:rPr>
      </w:pPr>
    </w:p>
    <w:p w14:paraId="73A6D2E7"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61F5EDAA"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Показания И. А. Калинникова о связях «Промпартии» «с иностранными и эмигрантскими кругами» во Франции и Англии, подготовке и сроках «иностранной интервенции». 16 октября 1930 г.</w:t>
      </w:r>
    </w:p>
    <w:p w14:paraId="32AB7571" w14:textId="77777777" w:rsidR="00DF037A" w:rsidRPr="00507A31" w:rsidRDefault="00DF037A" w:rsidP="00507A31">
      <w:pPr>
        <w:jc w:val="both"/>
        <w:rPr>
          <w:color w:val="000000" w:themeColor="text1"/>
          <w:sz w:val="16"/>
          <w:szCs w:val="16"/>
        </w:rPr>
      </w:pPr>
      <w:r w:rsidRPr="00507A31">
        <w:rPr>
          <w:color w:val="000000" w:themeColor="text1"/>
          <w:sz w:val="16"/>
          <w:szCs w:val="16"/>
        </w:rPr>
        <w:t>Источник: </w:t>
      </w:r>
    </w:p>
    <w:p w14:paraId="76C52BFE" w14:textId="77777777" w:rsidR="00DF037A" w:rsidRPr="00507A31" w:rsidRDefault="00DF037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535951B" w14:textId="77777777" w:rsidR="00DF037A" w:rsidRPr="00507A31" w:rsidRDefault="00DF037A" w:rsidP="00507A31">
      <w:pPr>
        <w:jc w:val="both"/>
        <w:rPr>
          <w:color w:val="000000" w:themeColor="text1"/>
          <w:sz w:val="16"/>
          <w:szCs w:val="16"/>
        </w:rPr>
      </w:pPr>
      <w:r w:rsidRPr="00507A31">
        <w:rPr>
          <w:color w:val="000000" w:themeColor="text1"/>
          <w:sz w:val="16"/>
          <w:szCs w:val="16"/>
        </w:rPr>
        <w:t>Архив: </w:t>
      </w:r>
    </w:p>
    <w:p w14:paraId="73A5DA96" w14:textId="77777777" w:rsidR="00DF037A" w:rsidRPr="00507A31" w:rsidRDefault="00DF037A" w:rsidP="00507A31">
      <w:pPr>
        <w:jc w:val="both"/>
        <w:rPr>
          <w:color w:val="000000" w:themeColor="text1"/>
          <w:sz w:val="16"/>
          <w:szCs w:val="16"/>
        </w:rPr>
      </w:pPr>
      <w:r w:rsidRPr="00507A31">
        <w:rPr>
          <w:color w:val="000000" w:themeColor="text1"/>
          <w:sz w:val="16"/>
          <w:szCs w:val="16"/>
        </w:rPr>
        <w:t>ЦА ФСБ РФ. Ф. Р-42280. Т. 10. Л. 146-151 об. Машинописная копия того времени, заверенная Кошеверовым</w:t>
      </w:r>
    </w:p>
    <w:p w14:paraId="3CBFAC05"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20371BA7" w14:textId="77777777" w:rsidR="00DF037A" w:rsidRPr="00507A31" w:rsidRDefault="00DF037A" w:rsidP="00507A31">
      <w:pPr>
        <w:jc w:val="both"/>
        <w:rPr>
          <w:color w:val="000000" w:themeColor="text1"/>
          <w:sz w:val="16"/>
          <w:szCs w:val="16"/>
        </w:rPr>
      </w:pPr>
      <w:r w:rsidRPr="00507A31">
        <w:rPr>
          <w:color w:val="000000" w:themeColor="text1"/>
          <w:sz w:val="16"/>
          <w:szCs w:val="16"/>
        </w:rPr>
        <w:t>[Строго секретно]</w:t>
      </w:r>
    </w:p>
    <w:p w14:paraId="7D2C955B"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ПОКАЗАНИЯ</w:t>
      </w:r>
    </w:p>
    <w:p w14:paraId="326AAD09" w14:textId="77777777" w:rsidR="00DF037A" w:rsidRPr="00507A31" w:rsidRDefault="00DF037A" w:rsidP="00507A31">
      <w:pPr>
        <w:jc w:val="both"/>
        <w:rPr>
          <w:color w:val="000000" w:themeColor="text1"/>
          <w:sz w:val="16"/>
          <w:szCs w:val="16"/>
        </w:rPr>
      </w:pPr>
      <w:r w:rsidRPr="00507A31">
        <w:rPr>
          <w:color w:val="000000" w:themeColor="text1"/>
          <w:sz w:val="16"/>
          <w:szCs w:val="16"/>
        </w:rPr>
        <w:t>КАЛИННИКОВА Ивана Андреевича от 16/Х-30 г.</w:t>
      </w:r>
    </w:p>
    <w:p w14:paraId="417CF82E" w14:textId="77777777" w:rsidR="00DF037A" w:rsidRPr="00507A31" w:rsidRDefault="00DF037A" w:rsidP="00507A31">
      <w:pPr>
        <w:jc w:val="both"/>
        <w:rPr>
          <w:color w:val="000000" w:themeColor="text1"/>
          <w:sz w:val="16"/>
          <w:szCs w:val="16"/>
        </w:rPr>
      </w:pPr>
      <w:r w:rsidRPr="00507A31">
        <w:rPr>
          <w:color w:val="000000" w:themeColor="text1"/>
          <w:sz w:val="16"/>
          <w:szCs w:val="16"/>
        </w:rPr>
        <w:t>ДОПРОСИЛИ: ПОМНАЧСОУ ОГПУ АГРАНОВ и</w:t>
      </w:r>
    </w:p>
    <w:p w14:paraId="7249C23E" w14:textId="77777777" w:rsidR="00DF037A" w:rsidRPr="00507A31" w:rsidRDefault="00DF037A" w:rsidP="00507A31">
      <w:pPr>
        <w:jc w:val="both"/>
        <w:rPr>
          <w:color w:val="000000" w:themeColor="text1"/>
          <w:sz w:val="16"/>
          <w:szCs w:val="16"/>
        </w:rPr>
      </w:pPr>
      <w:r w:rsidRPr="00507A31">
        <w:rPr>
          <w:color w:val="000000" w:themeColor="text1"/>
          <w:sz w:val="16"/>
          <w:szCs w:val="16"/>
        </w:rPr>
        <w:t>ПОМНАЧ. 3 ОТДЕЛЕНИЯ СО РАДЗИВИЛОВСКИЙ</w:t>
      </w:r>
    </w:p>
    <w:p w14:paraId="12ADB3F2" w14:textId="77777777" w:rsidR="00DF037A" w:rsidRPr="00507A31" w:rsidRDefault="00DF037A" w:rsidP="00507A31">
      <w:pPr>
        <w:jc w:val="both"/>
        <w:rPr>
          <w:color w:val="000000" w:themeColor="text1"/>
          <w:sz w:val="16"/>
          <w:szCs w:val="16"/>
        </w:rPr>
      </w:pPr>
      <w:r w:rsidRPr="00507A31">
        <w:rPr>
          <w:color w:val="000000" w:themeColor="text1"/>
          <w:sz w:val="16"/>
          <w:szCs w:val="16"/>
        </w:rPr>
        <w:t>В развитие и дополнение моих предыдущих показаний, настоящим сообщаю следующее:</w:t>
      </w:r>
    </w:p>
    <w:p w14:paraId="2CDD024A" w14:textId="77777777" w:rsidR="00DF037A" w:rsidRPr="00507A31" w:rsidRDefault="00DF037A" w:rsidP="00507A31">
      <w:pPr>
        <w:jc w:val="both"/>
        <w:rPr>
          <w:color w:val="000000" w:themeColor="text1"/>
          <w:sz w:val="16"/>
          <w:szCs w:val="16"/>
        </w:rPr>
      </w:pPr>
      <w:r w:rsidRPr="00507A31">
        <w:rPr>
          <w:color w:val="000000" w:themeColor="text1"/>
          <w:sz w:val="16"/>
          <w:szCs w:val="16"/>
        </w:rPr>
        <w:t>Об интервенции.</w:t>
      </w:r>
    </w:p>
    <w:p w14:paraId="35AD8D47" w14:textId="77777777" w:rsidR="00DF037A" w:rsidRPr="00507A31" w:rsidRDefault="00DF037A" w:rsidP="00507A31">
      <w:pPr>
        <w:jc w:val="both"/>
        <w:rPr>
          <w:color w:val="000000" w:themeColor="text1"/>
          <w:sz w:val="16"/>
          <w:szCs w:val="16"/>
        </w:rPr>
      </w:pPr>
      <w:r w:rsidRPr="00507A31">
        <w:rPr>
          <w:color w:val="000000" w:themeColor="text1"/>
          <w:sz w:val="16"/>
          <w:szCs w:val="16"/>
        </w:rPr>
        <w:t>1. Возникновение идеи иностранной интервенции и Промышленная партия.</w:t>
      </w:r>
    </w:p>
    <w:p w14:paraId="5E119FB4" w14:textId="77777777" w:rsidR="00DF037A" w:rsidRPr="00507A31" w:rsidRDefault="00DF037A" w:rsidP="00507A31">
      <w:pPr>
        <w:jc w:val="both"/>
        <w:rPr>
          <w:color w:val="000000" w:themeColor="text1"/>
          <w:sz w:val="16"/>
          <w:szCs w:val="16"/>
        </w:rPr>
      </w:pPr>
      <w:r w:rsidRPr="00507A31">
        <w:rPr>
          <w:color w:val="000000" w:themeColor="text1"/>
          <w:sz w:val="16"/>
          <w:szCs w:val="16"/>
        </w:rPr>
        <w:t>Вообще идея иностранной интервенции и попытки ее проведения не сходят со сцены международных отношений с начала Октябрьской революции. В период гражданских войн иностранные государства фактически проводили оперативные выступления против Советского Союза, поддерживая денежными средствами, материальным техническим снабжением и вооружением Корнилова, Деникина, Юденича, Врангеля и Петлюру.</w:t>
      </w:r>
    </w:p>
    <w:p w14:paraId="65289E18" w14:textId="77777777" w:rsidR="00DF037A" w:rsidRPr="00507A31" w:rsidRDefault="00DF037A" w:rsidP="00507A31">
      <w:pPr>
        <w:jc w:val="both"/>
        <w:rPr>
          <w:color w:val="000000" w:themeColor="text1"/>
          <w:sz w:val="16"/>
          <w:szCs w:val="16"/>
        </w:rPr>
      </w:pPr>
      <w:r w:rsidRPr="00507A31">
        <w:rPr>
          <w:color w:val="000000" w:themeColor="text1"/>
          <w:sz w:val="16"/>
          <w:szCs w:val="16"/>
        </w:rPr>
        <w:t>Победоносное отражение советской властью всех попыток иностранной интервенции — не похоронили навсегда попытки интервенции у правительств иностранных государств и у русских эмигрантских кругов заграницей, но повторный приступ к ее проведению был отсрочен надолго, т. к. стало ясно, что на стороне Советского Союза стоят грандиозные потенциальные возможности и исключительные интеллектуально-организующие силы рабочих, без подрыва коих немыслимо с успехом провести интервенцию.</w:t>
      </w:r>
    </w:p>
    <w:p w14:paraId="6245F986" w14:textId="77777777" w:rsidR="00DF037A" w:rsidRPr="00507A31" w:rsidRDefault="00DF037A" w:rsidP="00507A31">
      <w:pPr>
        <w:jc w:val="both"/>
        <w:rPr>
          <w:color w:val="000000" w:themeColor="text1"/>
          <w:sz w:val="16"/>
          <w:szCs w:val="16"/>
        </w:rPr>
      </w:pPr>
      <w:r w:rsidRPr="00507A31">
        <w:rPr>
          <w:color w:val="000000" w:themeColor="text1"/>
          <w:sz w:val="16"/>
          <w:szCs w:val="16"/>
        </w:rPr>
        <w:t>Таким образом, планы интервентов, т. е. правительств Франции и Англии и русских бело-эмигрантских кругов заграницей, направились на подрыв экономической мощи Советского Союза и на укрепление капиталистических элементов внутри СССР. Отсюда усиленное стремление иностранных капиталистов — бывш. владельцев промышленными предприятиями в России — к получению концессий на их бывшие предприятия. Идеологами и пособниками этих вожделений иностранных капиталистов в Инженерном центре, а затем в Промышленной партии были их руководители: ПАЛЬЧИНСКИЙ, РАБИНОВИЧ, ФЕДОРОВИЧ и ЯНУШЕВСКИЙ, к ним примыкали ГАРТВАН, ТАУБЕ, ФЕДОТОВ и другие.</w:t>
      </w:r>
    </w:p>
    <w:p w14:paraId="31827EB8" w14:textId="77777777" w:rsidR="00DF037A" w:rsidRPr="00507A31" w:rsidRDefault="00DF037A" w:rsidP="00507A31">
      <w:pPr>
        <w:jc w:val="both"/>
        <w:rPr>
          <w:color w:val="000000" w:themeColor="text1"/>
          <w:sz w:val="16"/>
          <w:szCs w:val="16"/>
        </w:rPr>
      </w:pPr>
      <w:r w:rsidRPr="00507A31">
        <w:rPr>
          <w:color w:val="000000" w:themeColor="text1"/>
          <w:sz w:val="16"/>
          <w:szCs w:val="16"/>
        </w:rPr>
        <w:t>Позднее ХРЕННИКОВ, также один из руководителей этих контрреволюционных организаций очень энергично работал за широкую сдачу в концессию промышленных предприятий их бывшим владельцам.</w:t>
      </w:r>
    </w:p>
    <w:p w14:paraId="7644280A" w14:textId="77777777" w:rsidR="00DF037A" w:rsidRPr="00507A31" w:rsidRDefault="00DF037A" w:rsidP="00507A31">
      <w:pPr>
        <w:jc w:val="both"/>
        <w:rPr>
          <w:color w:val="000000" w:themeColor="text1"/>
          <w:sz w:val="16"/>
          <w:szCs w:val="16"/>
        </w:rPr>
      </w:pPr>
      <w:r w:rsidRPr="00507A31">
        <w:rPr>
          <w:color w:val="000000" w:themeColor="text1"/>
          <w:sz w:val="16"/>
          <w:szCs w:val="16"/>
        </w:rPr>
        <w:t>Когда выяснилось в 1926 году, что объявленная Советским Союзом программа широкого привлечения иностранных концессий не может быть реализована, в виду неприемлемости требований бывших владельцев — иностранцев, а в то же время народное хозяйство Советского Союза невиданно быстрыми темпами заканчивало свое восстановление, в особенности в промышленности и на транспорте, идея интервенции и заграницей и в инженерном центре, а затем в Промышленной партии стала крепнуть и усиливаться, так как быстрое усиление экономической мощи Советского Союза и роста авторитета Коммунистической Партии и Советской власти среди населения Советского Союза становились грозными противниками на пути осуществления будущей интервенции.</w:t>
      </w:r>
    </w:p>
    <w:p w14:paraId="2FC1079D" w14:textId="77777777" w:rsidR="00DF037A" w:rsidRPr="00507A31" w:rsidRDefault="00DF037A" w:rsidP="00507A31">
      <w:pPr>
        <w:jc w:val="both"/>
        <w:rPr>
          <w:color w:val="000000" w:themeColor="text1"/>
          <w:sz w:val="16"/>
          <w:szCs w:val="16"/>
        </w:rPr>
      </w:pPr>
      <w:r w:rsidRPr="00507A31">
        <w:rPr>
          <w:color w:val="000000" w:themeColor="text1"/>
          <w:sz w:val="16"/>
          <w:szCs w:val="16"/>
        </w:rPr>
        <w:t>ХРЕННИКОВ и ФЕДОТОВ из командировок своих заграницу в 1927 г. привезли в Инженерный центр сведения о том, что правительственные круги Франции и Англии считают нужным спешить с проведением интервенции, что же касается русских бело-эмигрантских кругов во Франции, то у этой стороны, по[-]видимому, еще не созрело убеждение в своевременности спешить с проведением интервенции, так как русским эмигрантам Торгпрома не хотелось получить после интервенции еще недостаточно, по их мнению, восстановленные их прежние промышленные предприятия. Однако, под настоянием правительственных кругов Франции, Торгпром согласился, примерно, к концу 1927 года с необходимостью развернуть работы по подготовке интервенции — об этом инженерный центр был осведомлен ХРЕННИКОВЫМ и РАМЗИНЫМ через КЮФЕРА из Французского посольства в Москве. Сообщения ХРЕННИКОВА, ФЕДОТОВА и РАМЗИНА были сделаны осенью 1927 г. на групповом собрании Инженерного центра в составе: ПАЛЬЧИНСКИЙ, РАБИНОВИЧ, ЯНУШЕВСКИЙ, КРАСОВСКИЙ, ХРЕННИКОВ, ФЕДОТОВ, РАМЗИН, ЧАРНОВСКИЙ, ЛАРИЧЕВ и я — КАЛИННИКОВ.</w:t>
      </w:r>
    </w:p>
    <w:p w14:paraId="1B4DCECE" w14:textId="77777777" w:rsidR="00DF037A" w:rsidRPr="00507A31" w:rsidRDefault="00DF037A" w:rsidP="00507A31">
      <w:pPr>
        <w:jc w:val="both"/>
        <w:rPr>
          <w:color w:val="000000" w:themeColor="text1"/>
          <w:sz w:val="16"/>
          <w:szCs w:val="16"/>
        </w:rPr>
      </w:pPr>
      <w:r w:rsidRPr="00507A31">
        <w:rPr>
          <w:color w:val="000000" w:themeColor="text1"/>
          <w:sz w:val="16"/>
          <w:szCs w:val="16"/>
        </w:rPr>
        <w:t>Так возникла и сформировалась идея интервенции и с этого момента стали усиленно к ней подготовляться правительственные и русские эмигрантские круги во Франции. В это, примерно, время происходит оформление политических концессий в рядах к[онтр]-р[еволюционных] вредительских организаций, объединенных в инженерном центре и превращается в Промышленную партию с Центральным Комитетом. С этого момента идея иностранной интервенции все более и более стала занимать ЦК Промышленной партии.</w:t>
      </w:r>
    </w:p>
    <w:p w14:paraId="1303743A" w14:textId="77777777" w:rsidR="00DF037A" w:rsidRPr="00507A31" w:rsidRDefault="00DF037A" w:rsidP="00507A31">
      <w:pPr>
        <w:jc w:val="both"/>
        <w:rPr>
          <w:color w:val="000000" w:themeColor="text1"/>
          <w:sz w:val="16"/>
          <w:szCs w:val="16"/>
        </w:rPr>
      </w:pPr>
      <w:r w:rsidRPr="00507A31">
        <w:rPr>
          <w:color w:val="000000" w:themeColor="text1"/>
          <w:sz w:val="16"/>
          <w:szCs w:val="16"/>
        </w:rPr>
        <w:t>2. Установление и поддержание связи ПК Промышленной партии с иностранными и эмигрантскими кругами.</w:t>
      </w:r>
    </w:p>
    <w:p w14:paraId="068EA22D" w14:textId="77777777" w:rsidR="00DF037A" w:rsidRPr="00507A31" w:rsidRDefault="00DF037A" w:rsidP="00507A31">
      <w:pPr>
        <w:jc w:val="both"/>
        <w:rPr>
          <w:color w:val="000000" w:themeColor="text1"/>
          <w:sz w:val="16"/>
          <w:szCs w:val="16"/>
        </w:rPr>
      </w:pPr>
      <w:r w:rsidRPr="00507A31">
        <w:rPr>
          <w:color w:val="000000" w:themeColor="text1"/>
          <w:sz w:val="16"/>
          <w:szCs w:val="16"/>
        </w:rPr>
        <w:t>Связь с иностранными правительственными и капиталистическими (банки) кругами и русскими эмигрантскими кругами поддерживалась следующим порядком и лицами:</w:t>
      </w:r>
    </w:p>
    <w:p w14:paraId="28F0484E" w14:textId="77777777" w:rsidR="00DF037A" w:rsidRPr="00507A31" w:rsidRDefault="00DF037A" w:rsidP="00507A31">
      <w:pPr>
        <w:jc w:val="both"/>
        <w:rPr>
          <w:color w:val="000000" w:themeColor="text1"/>
          <w:sz w:val="16"/>
          <w:szCs w:val="16"/>
        </w:rPr>
      </w:pPr>
      <w:r w:rsidRPr="00507A31">
        <w:rPr>
          <w:color w:val="000000" w:themeColor="text1"/>
          <w:sz w:val="16"/>
          <w:szCs w:val="16"/>
        </w:rPr>
        <w:t>а) Связь с английскими капиталистическими кругами поддерживали ПАЛЬЧИНСКИЙ и ХРЕННИКОВ через сотрудников английского посольства в Москве ЧАРНОКА и ПАТРИКА и, кроме того, ХРЕННИКОВ непосредственно, во время своих многочисленных заграничных командировок, имел свидания и беседы с представителями фирмы Виккерс и бывшим акционером], ныне Сталинского металлургического з[аво]да мистером ГЛЯС. ФЕДОРОВИЧ поддерживал связь с УРК[В]АРТОМ через Ч[А]РНОКА, секретаря английского посольства в Москве. ФЕДОТОВ, кроме связи через английское посольство, имел и непосредственные разговоры с представителями известнейшей текстильной фирмой КНОП и Ко. Позднее, РАМЗИН имел связь с фирмами, изготовляющими энергетическое оборудование, и правительственными кругами Англии, о чем сказано ниже.</w:t>
      </w:r>
    </w:p>
    <w:p w14:paraId="25129568" w14:textId="77777777" w:rsidR="00DF037A" w:rsidRPr="00507A31" w:rsidRDefault="00DF037A" w:rsidP="00507A31">
      <w:pPr>
        <w:jc w:val="both"/>
        <w:rPr>
          <w:color w:val="000000" w:themeColor="text1"/>
          <w:sz w:val="16"/>
          <w:szCs w:val="16"/>
        </w:rPr>
      </w:pPr>
      <w:r w:rsidRPr="00507A31">
        <w:rPr>
          <w:color w:val="000000" w:themeColor="text1"/>
          <w:sz w:val="16"/>
          <w:szCs w:val="16"/>
        </w:rPr>
        <w:t>б) Связь с французским правительством и французскими парламентскими кругами, а также с русскими эмигрантскими кругами через Торгпром в Париже осуществлялась двояко: во-первых, через Французское посольство в Москве и, во-вторых, посредством использования заграничных командировок членов ЦК ПП и отдельных членов ПП.</w:t>
      </w:r>
    </w:p>
    <w:p w14:paraId="54FA6BAE" w14:textId="77777777" w:rsidR="00DF037A" w:rsidRPr="00507A31" w:rsidRDefault="00DF037A" w:rsidP="00507A31">
      <w:pPr>
        <w:jc w:val="both"/>
        <w:rPr>
          <w:color w:val="000000" w:themeColor="text1"/>
          <w:sz w:val="16"/>
          <w:szCs w:val="16"/>
        </w:rPr>
      </w:pPr>
      <w:r w:rsidRPr="00507A31">
        <w:rPr>
          <w:color w:val="000000" w:themeColor="text1"/>
          <w:sz w:val="16"/>
          <w:szCs w:val="16"/>
        </w:rPr>
        <w:t>Мне известно, что связь с французскими правительственными кругами и русскими эмигрантами Торгпрома сначала, главным образом, поддерживалась ХРЕННИКОВЫМ и ФЕДОТОВЫМ и, отчасти, РАМЗИНЫМ, а позднее — с 1928 г. и особенно 1929 г. главным образом, РАМЗИНЫМ и ЛАРИЧЕВЫМ, а частью мною — КАЛИННИКОВЫМ. Связь осуществлялась в Москве через французское посольство при посредстве КЮФЕРА, а РАМЗИН, по словам ЛАРИЧЕВА, имел связь персонально с французским послом в Москве Жан-Эрбертом. Кроме того, за исключением меня, КАЛИННИКОВА, ни разу за время существования советской власти, не ездившего заграницу, руководители Ц.К. ПП ХРЕННИКОВ, ФЕДОТОВ, РАМЗИН и ЛАРИЧЕВ, во время своих заграничных поездок, входили в непосредственное сношение с правительственными и парламентскими кругами Франции и руководителями Торгпрома — РЯБУШИНСКИМ, ГУКАСОВЫМ, МАН[Т]АШЕВЫМ и др.</w:t>
      </w:r>
    </w:p>
    <w:p w14:paraId="2601D531" w14:textId="77777777" w:rsidR="00DF037A" w:rsidRPr="00507A31" w:rsidRDefault="00DF037A" w:rsidP="00507A31">
      <w:pPr>
        <w:jc w:val="both"/>
        <w:rPr>
          <w:color w:val="000000" w:themeColor="text1"/>
          <w:sz w:val="16"/>
          <w:szCs w:val="16"/>
        </w:rPr>
      </w:pPr>
      <w:r w:rsidRPr="00507A31">
        <w:rPr>
          <w:color w:val="000000" w:themeColor="text1"/>
          <w:sz w:val="16"/>
          <w:szCs w:val="16"/>
        </w:rPr>
        <w:t>От ЛАРИЧЕВА я знаю, что первое время 1927 г. — 1928 г. РАМЗИН имел свидание с КЮФЕРОМ и РЕНЬО у себя на квартире в Теплотехническом институте, а позднее, когда РАМЗИН вошел в непосредственный контакт с французским послом, он передал ЛАРИЧЕВУ с осени 1928 г. сношения с КЮФЕРОМ.</w:t>
      </w:r>
    </w:p>
    <w:p w14:paraId="2F5C909E" w14:textId="77777777" w:rsidR="00DF037A" w:rsidRPr="00507A31" w:rsidRDefault="00DF037A" w:rsidP="00507A31">
      <w:pPr>
        <w:jc w:val="both"/>
        <w:rPr>
          <w:color w:val="000000" w:themeColor="text1"/>
          <w:sz w:val="16"/>
          <w:szCs w:val="16"/>
        </w:rPr>
      </w:pPr>
      <w:r w:rsidRPr="00507A31">
        <w:rPr>
          <w:color w:val="000000" w:themeColor="text1"/>
          <w:sz w:val="16"/>
          <w:szCs w:val="16"/>
        </w:rPr>
        <w:t>Встречи ЛАРИЧЕВА с КЮФЕРОМ обычно устраивались на квартире у ЛАРИЧЕВА, на одном свидании ЛАРИЧЕВА с КЮФЕРОМ присутствовал и я. Содержание вышеуказанных сношений будет описано мною в последующем.</w:t>
      </w:r>
    </w:p>
    <w:p w14:paraId="0D24D2BF" w14:textId="77777777" w:rsidR="00DF037A" w:rsidRPr="00507A31" w:rsidRDefault="00DF037A" w:rsidP="00507A31">
      <w:pPr>
        <w:jc w:val="both"/>
        <w:rPr>
          <w:color w:val="000000" w:themeColor="text1"/>
          <w:sz w:val="16"/>
          <w:szCs w:val="16"/>
        </w:rPr>
      </w:pPr>
      <w:r w:rsidRPr="00507A31">
        <w:rPr>
          <w:color w:val="000000" w:themeColor="text1"/>
          <w:sz w:val="16"/>
          <w:szCs w:val="16"/>
        </w:rPr>
        <w:t>в) связь с правительственными и капиталистич[ескими] кругами Польши поддерживали РАБИНОВИЧ — до своего ареста — и ЧАРНОВСКИЙ с лета 1928 г. при посредстве польской миссии в Москве персонально через кого в миссии — мне не известно. РАБИНОВИЧ был связан через ДВОРЖАНЧИКА с промышленными кругами Польши, а ЧАРНОВСКИЙ с правительственными кругами и штабом Польши.</w:t>
      </w:r>
    </w:p>
    <w:p w14:paraId="58B59897" w14:textId="77777777" w:rsidR="00DF037A" w:rsidRPr="00507A31" w:rsidRDefault="00DF037A" w:rsidP="00507A31">
      <w:pPr>
        <w:jc w:val="both"/>
        <w:rPr>
          <w:color w:val="000000" w:themeColor="text1"/>
          <w:sz w:val="16"/>
          <w:szCs w:val="16"/>
        </w:rPr>
      </w:pPr>
      <w:r w:rsidRPr="00507A31">
        <w:rPr>
          <w:color w:val="000000" w:themeColor="text1"/>
          <w:sz w:val="16"/>
          <w:szCs w:val="16"/>
        </w:rPr>
        <w:t>3.   Роль Франции и Торттгрома в подготовке интервенции.</w:t>
      </w:r>
    </w:p>
    <w:p w14:paraId="49ABC354" w14:textId="77777777" w:rsidR="00DF037A" w:rsidRPr="00507A31" w:rsidRDefault="00DF037A" w:rsidP="00507A31">
      <w:pPr>
        <w:jc w:val="both"/>
        <w:rPr>
          <w:color w:val="000000" w:themeColor="text1"/>
          <w:sz w:val="16"/>
          <w:szCs w:val="16"/>
        </w:rPr>
      </w:pPr>
      <w:r w:rsidRPr="00507A31">
        <w:rPr>
          <w:color w:val="000000" w:themeColor="text1"/>
          <w:sz w:val="16"/>
          <w:szCs w:val="16"/>
        </w:rPr>
        <w:t>А. Организующие силы в подготовке иностранной интервенции.</w:t>
      </w:r>
    </w:p>
    <w:p w14:paraId="5D714BA0" w14:textId="77777777" w:rsidR="00DF037A" w:rsidRPr="00507A31" w:rsidRDefault="00DF037A" w:rsidP="00507A31">
      <w:pPr>
        <w:jc w:val="both"/>
        <w:rPr>
          <w:color w:val="000000" w:themeColor="text1"/>
          <w:sz w:val="16"/>
          <w:szCs w:val="16"/>
        </w:rPr>
      </w:pPr>
      <w:r w:rsidRPr="00507A31">
        <w:rPr>
          <w:color w:val="000000" w:themeColor="text1"/>
          <w:sz w:val="16"/>
          <w:szCs w:val="16"/>
        </w:rPr>
        <w:t>Сношениями ХРЕННИКОВА, ФЕДОТОВА и РАМЗИНА через французское посольство в Москве и непосредственными встречами с правительственными кругами (пол[ковник] РИШАР и б. министр ЛУШЕР при посредстве Торгпрома) и с РЯБУШИНСКИМ, ГУКАСОВЫМ, МАНТАШЕВЫМ, КОНОВАЛОВЫМ, МОРОЗОВЫМ, БАРДЫГИНЫМ и другими установлено, что организующими интервенцию силами являются правительственные круги Франции и Англии и русские эмигранты в лице Торгпрома. Непосредственными исполнителями интервенции намечаются лимитрофные государства — Польша, Румыния и Латвия. Основными политико-экономическими предпосылками, определяющими целесообразность иностранной интервенции и реализации ее в ближайшее время[,] признаются положения:</w:t>
      </w:r>
    </w:p>
    <w:p w14:paraId="5E6F185B" w14:textId="77777777" w:rsidR="00DF037A" w:rsidRPr="00507A31" w:rsidRDefault="00DF037A" w:rsidP="00507A31">
      <w:pPr>
        <w:jc w:val="both"/>
        <w:rPr>
          <w:color w:val="000000" w:themeColor="text1"/>
          <w:sz w:val="16"/>
          <w:szCs w:val="16"/>
        </w:rPr>
      </w:pPr>
      <w:r w:rsidRPr="00507A31">
        <w:rPr>
          <w:color w:val="000000" w:themeColor="text1"/>
          <w:sz w:val="16"/>
          <w:szCs w:val="16"/>
        </w:rPr>
        <w:lastRenderedPageBreak/>
        <w:t>1.  Хозяйство Советского Союза быстро восстанавливается и развивается.</w:t>
      </w:r>
    </w:p>
    <w:p w14:paraId="67065617" w14:textId="77777777" w:rsidR="00DF037A" w:rsidRPr="00507A31" w:rsidRDefault="00DF037A" w:rsidP="00507A31">
      <w:pPr>
        <w:jc w:val="both"/>
        <w:rPr>
          <w:color w:val="000000" w:themeColor="text1"/>
          <w:sz w:val="16"/>
          <w:szCs w:val="16"/>
        </w:rPr>
      </w:pPr>
      <w:r w:rsidRPr="00507A31">
        <w:rPr>
          <w:color w:val="000000" w:themeColor="text1"/>
          <w:sz w:val="16"/>
          <w:szCs w:val="16"/>
        </w:rPr>
        <w:t>2.  Обороноспособность Советского Союза отстает значительно от современных заграничных достижений в технике вооружения и снаряжения армий.</w:t>
      </w:r>
    </w:p>
    <w:p w14:paraId="792193EF" w14:textId="77777777" w:rsidR="00DF037A" w:rsidRPr="00507A31" w:rsidRDefault="00DF037A" w:rsidP="00507A31">
      <w:pPr>
        <w:jc w:val="both"/>
        <w:rPr>
          <w:color w:val="000000" w:themeColor="text1"/>
          <w:sz w:val="16"/>
          <w:szCs w:val="16"/>
        </w:rPr>
      </w:pPr>
      <w:r w:rsidRPr="00507A31">
        <w:rPr>
          <w:color w:val="000000" w:themeColor="text1"/>
          <w:sz w:val="16"/>
          <w:szCs w:val="16"/>
        </w:rPr>
        <w:t>3.  Особо угрожающим интервенции моментом является рост интеллекта (психики) Красной армии и ее связей с рабочим классом и крестьянством.</w:t>
      </w:r>
    </w:p>
    <w:p w14:paraId="18352107" w14:textId="77777777" w:rsidR="00DF037A" w:rsidRPr="00507A31" w:rsidRDefault="00DF037A" w:rsidP="00507A31">
      <w:pPr>
        <w:jc w:val="both"/>
        <w:rPr>
          <w:color w:val="000000" w:themeColor="text1"/>
          <w:sz w:val="16"/>
          <w:szCs w:val="16"/>
        </w:rPr>
      </w:pPr>
      <w:r w:rsidRPr="00507A31">
        <w:rPr>
          <w:color w:val="000000" w:themeColor="text1"/>
          <w:sz w:val="16"/>
          <w:szCs w:val="16"/>
        </w:rPr>
        <w:t>Вывод — медлить с подготовкой интервенции недопустимо по мнению и правительственных кругов Франции и Англии, к которому присоединяются и русские эмигрантские круги. Несколько позднее РАМЗИН от ЭРБЕТТА получил подтверждение этих сведений из заграницы и сообщил в групповом собрании ЦК П.П. дополнительно, что при французском штабе была созвана международная комиссия под председательством генер[ала] ЖАНЕНА в состав[е] представителей Франции, Англии и Польши по поводу распределения ролей в руководстве и проведения русской интервенции. Этой комиссией было принято, что руководство проведением интервенции берет на себя Франция, она же будет вести заготовку и поставку боевых снаряжений и вооружения интервенирующих армий. Оперативную подготовку и роль застрельщика берет на себя Польша.</w:t>
      </w:r>
    </w:p>
    <w:p w14:paraId="4940BDEB" w14:textId="77777777" w:rsidR="00DF037A" w:rsidRPr="00507A31" w:rsidRDefault="00DF037A" w:rsidP="00507A31">
      <w:pPr>
        <w:jc w:val="both"/>
        <w:rPr>
          <w:color w:val="000000" w:themeColor="text1"/>
          <w:sz w:val="16"/>
          <w:szCs w:val="16"/>
        </w:rPr>
      </w:pPr>
      <w:r w:rsidRPr="00507A31">
        <w:rPr>
          <w:color w:val="000000" w:themeColor="text1"/>
          <w:sz w:val="16"/>
          <w:szCs w:val="16"/>
        </w:rPr>
        <w:t>После принятого комиссией ЖАНЕНА решения, Англия несколько охладела к интервенции, так как отпал ее главный экономический интерес — дать своей промышленности хорошо подработать на поставках вооружения и снаряжения интервенирующим армиям. Подробности знает РАМЗИН. Кроме того, РАМЗИН через французского посла ЭРБЕТТА имел сношения с полковником французского генерального штаба РИШАРОМ. Эти сведения у меня со слов ЛАРИЧЕВА.</w:t>
      </w:r>
    </w:p>
    <w:p w14:paraId="53C2B8EF" w14:textId="77777777" w:rsidR="00DF037A" w:rsidRPr="00507A31" w:rsidRDefault="00DF037A" w:rsidP="00507A31">
      <w:pPr>
        <w:jc w:val="both"/>
        <w:rPr>
          <w:color w:val="000000" w:themeColor="text1"/>
          <w:sz w:val="16"/>
          <w:szCs w:val="16"/>
        </w:rPr>
      </w:pPr>
      <w:r w:rsidRPr="00507A31">
        <w:rPr>
          <w:color w:val="000000" w:themeColor="text1"/>
          <w:sz w:val="16"/>
          <w:szCs w:val="16"/>
        </w:rPr>
        <w:t>Б. Срок иностранной интервенции.</w:t>
      </w:r>
    </w:p>
    <w:p w14:paraId="703D9D7C" w14:textId="77777777" w:rsidR="00DF037A" w:rsidRPr="00507A31" w:rsidRDefault="00DF037A" w:rsidP="00507A31">
      <w:pPr>
        <w:jc w:val="both"/>
        <w:rPr>
          <w:color w:val="000000" w:themeColor="text1"/>
          <w:sz w:val="16"/>
          <w:szCs w:val="16"/>
        </w:rPr>
      </w:pPr>
      <w:r w:rsidRPr="00507A31">
        <w:rPr>
          <w:color w:val="000000" w:themeColor="text1"/>
          <w:sz w:val="16"/>
          <w:szCs w:val="16"/>
        </w:rPr>
        <w:t>Правительством Франции и Англии и русской бело-эмиграцией Торгпрома намечался ближайший срок интервенции — с[е]редина 1930 года.</w:t>
      </w:r>
    </w:p>
    <w:p w14:paraId="06CF9723" w14:textId="77777777" w:rsidR="00DF037A" w:rsidRPr="00507A31" w:rsidRDefault="00DF037A" w:rsidP="00507A31">
      <w:pPr>
        <w:jc w:val="both"/>
        <w:rPr>
          <w:color w:val="000000" w:themeColor="text1"/>
          <w:sz w:val="16"/>
          <w:szCs w:val="16"/>
        </w:rPr>
      </w:pPr>
      <w:r w:rsidRPr="00507A31">
        <w:rPr>
          <w:color w:val="000000" w:themeColor="text1"/>
          <w:sz w:val="16"/>
          <w:szCs w:val="16"/>
        </w:rPr>
        <w:t>Эти сведения получил РАМЗИН из французского посольства от КЮФЕРА во второй половине 1928 года, одновременно ему же был сообщен приводимый мною ниже схематический план проведения интервенции.</w:t>
      </w:r>
    </w:p>
    <w:p w14:paraId="64E5BB35" w14:textId="77777777" w:rsidR="00DF037A" w:rsidRPr="00507A31" w:rsidRDefault="00DF037A" w:rsidP="00507A31">
      <w:pPr>
        <w:jc w:val="both"/>
        <w:rPr>
          <w:color w:val="000000" w:themeColor="text1"/>
          <w:sz w:val="16"/>
          <w:szCs w:val="16"/>
        </w:rPr>
      </w:pPr>
      <w:r w:rsidRPr="00507A31">
        <w:rPr>
          <w:color w:val="000000" w:themeColor="text1"/>
          <w:sz w:val="16"/>
          <w:szCs w:val="16"/>
        </w:rPr>
        <w:t>В. План иностранной интервенции.</w:t>
      </w:r>
    </w:p>
    <w:p w14:paraId="5C4BC182" w14:textId="77777777" w:rsidR="00DF037A" w:rsidRPr="00507A31" w:rsidRDefault="00DF037A" w:rsidP="00507A31">
      <w:pPr>
        <w:jc w:val="both"/>
        <w:rPr>
          <w:color w:val="000000" w:themeColor="text1"/>
          <w:sz w:val="16"/>
          <w:szCs w:val="16"/>
        </w:rPr>
      </w:pPr>
      <w:r w:rsidRPr="00507A31">
        <w:rPr>
          <w:color w:val="000000" w:themeColor="text1"/>
          <w:sz w:val="16"/>
          <w:szCs w:val="16"/>
        </w:rPr>
        <w:t>1.  Франция руководит, снабжает и вооружает интервенирующие армии, условия снабжения и вооружения устанавливаются путем соглашения Франции с лимитрофными государствами.</w:t>
      </w:r>
    </w:p>
    <w:p w14:paraId="614B8F96" w14:textId="77777777" w:rsidR="00DF037A" w:rsidRPr="00507A31" w:rsidRDefault="00DF037A" w:rsidP="00507A31">
      <w:pPr>
        <w:jc w:val="both"/>
        <w:rPr>
          <w:color w:val="000000" w:themeColor="text1"/>
          <w:sz w:val="16"/>
          <w:szCs w:val="16"/>
        </w:rPr>
      </w:pPr>
      <w:r w:rsidRPr="00507A31">
        <w:rPr>
          <w:color w:val="000000" w:themeColor="text1"/>
          <w:sz w:val="16"/>
          <w:szCs w:val="16"/>
        </w:rPr>
        <w:t>2.  Лимитрофные государства — Польша, Румыния и Латвия — непосредственно вооруженными силами проводят интервенцию по оперативному плану, разработанному Францией и Польшей. Агрессивные действия в пограничных полосах начинают Румыния и Польша с целью вызвать Советский союз на открытие им первым военных действий.</w:t>
      </w:r>
    </w:p>
    <w:p w14:paraId="2AD054E5" w14:textId="77777777" w:rsidR="00DF037A" w:rsidRPr="00507A31" w:rsidRDefault="00DF037A" w:rsidP="00507A31">
      <w:pPr>
        <w:jc w:val="both"/>
        <w:rPr>
          <w:color w:val="000000" w:themeColor="text1"/>
          <w:sz w:val="16"/>
          <w:szCs w:val="16"/>
        </w:rPr>
      </w:pPr>
      <w:r w:rsidRPr="00507A31">
        <w:rPr>
          <w:color w:val="000000" w:themeColor="text1"/>
          <w:sz w:val="16"/>
          <w:szCs w:val="16"/>
        </w:rPr>
        <w:t>3.  Экономическая блокада обязательно предшествует началу военных действий и их сопровождает.</w:t>
      </w:r>
    </w:p>
    <w:p w14:paraId="1555A225" w14:textId="77777777" w:rsidR="00DF037A" w:rsidRPr="00507A31" w:rsidRDefault="00DF037A" w:rsidP="00507A31">
      <w:pPr>
        <w:jc w:val="both"/>
        <w:rPr>
          <w:color w:val="000000" w:themeColor="text1"/>
          <w:sz w:val="16"/>
          <w:szCs w:val="16"/>
        </w:rPr>
      </w:pPr>
      <w:r w:rsidRPr="00507A31">
        <w:rPr>
          <w:color w:val="000000" w:themeColor="text1"/>
          <w:sz w:val="16"/>
          <w:szCs w:val="16"/>
        </w:rPr>
        <w:t>4.  Руководителем интервенирующими армиями выдвигается известный русский генерал ЛУКОМСКИЙ.</w:t>
      </w:r>
    </w:p>
    <w:p w14:paraId="113A2DD3" w14:textId="77777777" w:rsidR="00DF037A" w:rsidRPr="00507A31" w:rsidRDefault="00DF037A" w:rsidP="00507A31">
      <w:pPr>
        <w:jc w:val="both"/>
        <w:rPr>
          <w:color w:val="000000" w:themeColor="text1"/>
          <w:sz w:val="16"/>
          <w:szCs w:val="16"/>
        </w:rPr>
      </w:pPr>
      <w:r w:rsidRPr="00507A31">
        <w:rPr>
          <w:color w:val="000000" w:themeColor="text1"/>
          <w:sz w:val="16"/>
          <w:szCs w:val="16"/>
        </w:rPr>
        <w:t>Г. Отсрочка иностранной интервенции.</w:t>
      </w:r>
    </w:p>
    <w:p w14:paraId="7FFCBCF5" w14:textId="77777777" w:rsidR="00DF037A" w:rsidRPr="00507A31" w:rsidRDefault="00DF037A" w:rsidP="00507A31">
      <w:pPr>
        <w:jc w:val="both"/>
        <w:rPr>
          <w:color w:val="000000" w:themeColor="text1"/>
          <w:sz w:val="16"/>
          <w:szCs w:val="16"/>
        </w:rPr>
      </w:pPr>
      <w:r w:rsidRPr="00507A31">
        <w:rPr>
          <w:color w:val="000000" w:themeColor="text1"/>
          <w:sz w:val="16"/>
          <w:szCs w:val="16"/>
        </w:rPr>
        <w:t>Возвращаясь с Лондонской Всемирной Энергетической конференции через Париж в СССР, РАМЗИН и ЛАРИЧЕВ установили связь с Торгпромом в лице РЯБУШИНСКОГО, поддерживавшего сношения с французским правительством через ЛУШЕРА. Они узнали, что ввиду происшедших задержек в снаряжении и вооружении армий для интервенции и взаимной недоговоренности лимитрофных государств по проведению интервенции, а также в виду того, что Советский Союз не начнет сам военных действий, так как это сорвало бы удачно осуществляемую пятилетку, придется вероятно отсрочить интервенцию на год или полтора года. Торгпром с своей стороны мотивировал необходимость переноса интервенции на год еще тем, что по многолетним статистическим наблюдениям можно ожидать в 1931 г. неурожая большого размера в Советском Союзе.</w:t>
      </w:r>
    </w:p>
    <w:p w14:paraId="1DEA03E2" w14:textId="77777777" w:rsidR="00DF037A" w:rsidRPr="00507A31" w:rsidRDefault="00DF037A" w:rsidP="00507A31">
      <w:pPr>
        <w:jc w:val="both"/>
        <w:rPr>
          <w:color w:val="000000" w:themeColor="text1"/>
          <w:sz w:val="16"/>
          <w:szCs w:val="16"/>
        </w:rPr>
      </w:pPr>
      <w:r w:rsidRPr="00507A31">
        <w:rPr>
          <w:color w:val="000000" w:themeColor="text1"/>
          <w:sz w:val="16"/>
          <w:szCs w:val="16"/>
        </w:rPr>
        <w:t>В виду некоторой вялости, с которой велись разговоры непосредственно представителями французских правительственных кругов и представителей русской эмиграции в Париже с руководителями ЦК РАМЗИНЫМ и ЛАРИЧЕВЫМ в Париже, а отчасти с ЛАРИЧЕВЫМ и со мной (КЮФЕР) в Москве, ЦК ПП ожидал сообщение о возможной отсрочке и принял по предложению РАМЗИНА, как я уже показывал ранее в статье о военных организациях ПП, развернуть работу по организации ячеек ПП в военных учреждениях Красной армии.</w:t>
      </w:r>
    </w:p>
    <w:p w14:paraId="35A3B8C3" w14:textId="77777777" w:rsidR="00DF037A" w:rsidRPr="00507A31" w:rsidRDefault="00DF037A" w:rsidP="00507A31">
      <w:pPr>
        <w:jc w:val="both"/>
        <w:rPr>
          <w:color w:val="000000" w:themeColor="text1"/>
          <w:sz w:val="16"/>
          <w:szCs w:val="16"/>
        </w:rPr>
      </w:pPr>
      <w:r w:rsidRPr="00507A31">
        <w:rPr>
          <w:color w:val="000000" w:themeColor="text1"/>
          <w:sz w:val="16"/>
          <w:szCs w:val="16"/>
        </w:rPr>
        <w:t>4. Роль Англии в подготовке иностранной интервенции.</w:t>
      </w:r>
    </w:p>
    <w:p w14:paraId="64F3EB80" w14:textId="77777777" w:rsidR="00DF037A" w:rsidRPr="00507A31" w:rsidRDefault="00DF037A" w:rsidP="00507A31">
      <w:pPr>
        <w:jc w:val="both"/>
        <w:rPr>
          <w:color w:val="000000" w:themeColor="text1"/>
          <w:sz w:val="16"/>
          <w:szCs w:val="16"/>
        </w:rPr>
      </w:pPr>
      <w:r w:rsidRPr="00507A31">
        <w:rPr>
          <w:color w:val="000000" w:themeColor="text1"/>
          <w:sz w:val="16"/>
          <w:szCs w:val="16"/>
        </w:rPr>
        <w:t>По сведениям от ХРЕННИКОВА, ему удалось через фирму Виккерс получить осведомление об участии правительственных кругов Англии в подготовке интервенции. Сообщения ХРЕННИКОВА совпадают с сведениями РАМЗИН А, полученными им от ЭРБЕТТА и КЮФЕРА и приведенными выше в пункте «А» сообщениями.</w:t>
      </w:r>
    </w:p>
    <w:p w14:paraId="7C9E8575" w14:textId="77777777" w:rsidR="00DF037A" w:rsidRPr="00507A31" w:rsidRDefault="00DF037A" w:rsidP="00507A31">
      <w:pPr>
        <w:jc w:val="both"/>
        <w:rPr>
          <w:color w:val="000000" w:themeColor="text1"/>
          <w:sz w:val="16"/>
          <w:szCs w:val="16"/>
        </w:rPr>
      </w:pPr>
      <w:r w:rsidRPr="00507A31">
        <w:rPr>
          <w:color w:val="000000" w:themeColor="text1"/>
          <w:sz w:val="16"/>
          <w:szCs w:val="16"/>
        </w:rPr>
        <w:t>Связь с английскими правительственными и промышленными кругами, после ареста ХРЕННИКОВА (лето 1929 года) и затем ФЕДОТОВА, у П.П. временно прервалась. Осенью 1929 г. ожидался приезд нового английского посла и восстановление дипломатических отношений. Во время перерыва официальных отношений Советского Союза с Англией 27-Х-[19]30 г. защита интересов английских подданных, проживающих в Советском Союзе, была Англией поручена Норвегии через норвежскую миссию в Москве.</w:t>
      </w:r>
    </w:p>
    <w:p w14:paraId="6872D249" w14:textId="77777777" w:rsidR="00DF037A" w:rsidRPr="00507A31" w:rsidRDefault="00DF037A" w:rsidP="00507A31">
      <w:pPr>
        <w:jc w:val="both"/>
        <w:rPr>
          <w:color w:val="000000" w:themeColor="text1"/>
          <w:sz w:val="16"/>
          <w:szCs w:val="16"/>
        </w:rPr>
      </w:pPr>
      <w:r w:rsidRPr="00507A31">
        <w:rPr>
          <w:color w:val="000000" w:themeColor="text1"/>
          <w:sz w:val="16"/>
          <w:szCs w:val="16"/>
        </w:rPr>
        <w:t>В групповых беседах ЦК ПП осенью 1929 г. о возобновлении связей ПП с английскими правительственными и промышленными кругами через вновь организованное английское посольство в Москве было, между прочим, предложение и мне заняться возобновлением этой связи, однако я это предложение отклонил в виду отсутствия у &lt;меня&gt; необходимых д[ля] этого данных. ХРЕННИКОВ и ФЕДОТОВ имели прочные и долголетние знакомства и деловые связи с английскими промышленниками и последним хорошо известны еще в дореволюционное время. Эти знакомства облегчали и делали возможным установление связей с правительственными кругами Англии и ее посольством в Москве, а во время перерыва дипломатических отношений — поддерживать эту связь через норвежскую миссию.</w:t>
      </w:r>
    </w:p>
    <w:p w14:paraId="17FA333B" w14:textId="77777777" w:rsidR="00DF037A" w:rsidRPr="00507A31" w:rsidRDefault="00DF037A" w:rsidP="00507A31">
      <w:pPr>
        <w:jc w:val="both"/>
        <w:rPr>
          <w:color w:val="000000" w:themeColor="text1"/>
          <w:sz w:val="16"/>
          <w:szCs w:val="16"/>
        </w:rPr>
      </w:pPr>
      <w:r w:rsidRPr="00507A31">
        <w:rPr>
          <w:color w:val="000000" w:themeColor="text1"/>
          <w:sz w:val="16"/>
          <w:szCs w:val="16"/>
        </w:rPr>
        <w:t>Принимая во внимание спешность для Промышленной Партии возобновления связи П.П. с английскими кругами, РАМЗИН взял на себя это поручение Ц.К., рас[с]читывая использовать для этой цели полученные им и ЛАРИЧЕВЫМ по предыдущим поездкам в Лондон знакомства с правительственными кругами Англии и с фирмами, изготовляющими для Советского Союза энергетическо[е] оборудование как напр. ВИККЕРС, БАБКОКС-ВИЛЬКОКС. РАМЗИН и ЛАРИЧЕВ, когда были в Лондоне на Всемирной Энергетической Конференции, установили связь с полковником генерального штаба ЛОУРЕН[С]ОМ, известным поборником идеи интервенции СССР.</w:t>
      </w:r>
    </w:p>
    <w:p w14:paraId="748C29CF" w14:textId="77777777" w:rsidR="00DF037A" w:rsidRPr="00507A31" w:rsidRDefault="00DF037A" w:rsidP="00507A31">
      <w:pPr>
        <w:jc w:val="both"/>
        <w:rPr>
          <w:color w:val="000000" w:themeColor="text1"/>
          <w:sz w:val="16"/>
          <w:szCs w:val="16"/>
        </w:rPr>
      </w:pPr>
      <w:r w:rsidRPr="00507A31">
        <w:rPr>
          <w:color w:val="000000" w:themeColor="text1"/>
          <w:sz w:val="16"/>
          <w:szCs w:val="16"/>
        </w:rPr>
        <w:t>Действительность в ближайшее время подтвердила правильность принятого РАМЗИНЫМ решения, РАМЗИНУ вскоре по открытии английского посольства в Москве (Х-[19]29 [г.]) через ПАТРИКА удалось установить регулярную связь с английскими кругами и он получил интересное сообщение, относящееся к интервенции, в связи с инцидентом на Восточно-Китайской ж. д. Авантюра с нападением на эту дорогу и вооруженные столкновения на Дальне-Восточной границе Советского Союза были предприняты по инициативе и содействии Англии и имели целью произвести разведку о боевой, технической и тактической подготовленности Красной армии, что очень важно было знать при составлении оперативного плана военных действий интервентов.</w:t>
      </w:r>
    </w:p>
    <w:p w14:paraId="402CE010" w14:textId="77777777" w:rsidR="00DF037A" w:rsidRPr="00507A31" w:rsidRDefault="00DF037A" w:rsidP="00507A31">
      <w:pPr>
        <w:jc w:val="both"/>
        <w:rPr>
          <w:color w:val="000000" w:themeColor="text1"/>
          <w:sz w:val="16"/>
          <w:szCs w:val="16"/>
        </w:rPr>
      </w:pPr>
      <w:r w:rsidRPr="00507A31">
        <w:rPr>
          <w:color w:val="000000" w:themeColor="text1"/>
          <w:sz w:val="16"/>
          <w:szCs w:val="16"/>
        </w:rPr>
        <w:t>5.  Мои — КАЛИННИКОВА — встречи с секретарем французского] посольства месье КЮФЕРОМ.</w:t>
      </w:r>
    </w:p>
    <w:p w14:paraId="149C9504" w14:textId="77777777" w:rsidR="00DF037A" w:rsidRPr="00507A31" w:rsidRDefault="00DF037A" w:rsidP="00507A31">
      <w:pPr>
        <w:jc w:val="both"/>
        <w:rPr>
          <w:color w:val="000000" w:themeColor="text1"/>
          <w:sz w:val="16"/>
          <w:szCs w:val="16"/>
        </w:rPr>
      </w:pPr>
      <w:r w:rsidRPr="00507A31">
        <w:rPr>
          <w:color w:val="000000" w:themeColor="text1"/>
          <w:sz w:val="16"/>
          <w:szCs w:val="16"/>
        </w:rPr>
        <w:t>Я встречался с КЮФЕРОМ три раза. Я познакомился с ним через РАМЗИНА летом [19]28 г. Для этого РАМЗИН пригласил меня к себе на квартиру в Теплотехнический Институт к определенному часу. Приехав к РАМЗИНУ, я застал у него, как он представил, месье КЮФЕРА. КЮФЕР в это время подтверждал известные РАМЗИНУ и ЦК намерения французского правительства и Торгпрома произвести интервенцию летом (VI) 1930 г. Подробно это сообщение КЮФЕРА и сообщения ХРЕННИКОВА и ФЕДОТОВА из их заграничных поездок мною приведены выше в настоящем показании п. «А» ст. 3. Пробыв у РАМЗИНА не более часа, я уехал, КЮФЕР остался.</w:t>
      </w:r>
    </w:p>
    <w:p w14:paraId="560D6DB4" w14:textId="77777777" w:rsidR="00DF037A" w:rsidRPr="00507A31" w:rsidRDefault="00DF037A" w:rsidP="00507A31">
      <w:pPr>
        <w:jc w:val="both"/>
        <w:rPr>
          <w:color w:val="000000" w:themeColor="text1"/>
          <w:sz w:val="16"/>
          <w:szCs w:val="16"/>
        </w:rPr>
      </w:pPr>
      <w:r w:rsidRPr="00507A31">
        <w:rPr>
          <w:color w:val="000000" w:themeColor="text1"/>
          <w:sz w:val="16"/>
          <w:szCs w:val="16"/>
        </w:rPr>
        <w:t>Вторая моя встреча с КЮФЕРОМ произошла осенью [19]28 г. на премьере &lt;спектакля&gt; «Наталия Тарпова» в Камерном театре в антракте в фойе. На премьеру я поехал, отчасти в надежде встретить КЮФЕРА, так как знал еще при встрече у РАМЗИНА о симпатии персонала французского посольства к постановкам Камерного театра.</w:t>
      </w:r>
    </w:p>
    <w:p w14:paraId="5C367585" w14:textId="77777777" w:rsidR="00DF037A" w:rsidRPr="00507A31" w:rsidRDefault="00DF037A" w:rsidP="00507A31">
      <w:pPr>
        <w:jc w:val="both"/>
        <w:rPr>
          <w:color w:val="000000" w:themeColor="text1"/>
          <w:sz w:val="16"/>
          <w:szCs w:val="16"/>
        </w:rPr>
      </w:pPr>
      <w:r w:rsidRPr="00507A31">
        <w:rPr>
          <w:color w:val="000000" w:themeColor="text1"/>
          <w:sz w:val="16"/>
          <w:szCs w:val="16"/>
        </w:rPr>
        <w:t>КЮФЕРА я встретил в фойе в обществе двух дам и одного мужчины, которого КЮФЕР представил мне, назвав мосье РЕНЬО, сотрудник французского посольства. В следующем антракте КЮФЕР подтвердил мне уже известные в ЦК сведения от РАМЗИНА о предполагаемом плане интервенции, что подробно мною изложено в настоящем показании ст. 3 п. «В». По предварительному соглашению с РАМЗИНЫМ, я никаких сообщений КЮФЕРУ не делал, да и не нужно было, так как у КЮФЕРА была недавно встреча и с РАМЗИНЫМ и ЛАРИЧЕВЫМ, с которыми он поддерживал постоянную по делам Промышленной партии связь. Беседа длилась не более 20-ти минут.</w:t>
      </w:r>
    </w:p>
    <w:p w14:paraId="30475512" w14:textId="77777777" w:rsidR="00DF037A" w:rsidRPr="00507A31" w:rsidRDefault="00DF037A" w:rsidP="00507A31">
      <w:pPr>
        <w:jc w:val="both"/>
        <w:rPr>
          <w:color w:val="000000" w:themeColor="text1"/>
          <w:sz w:val="16"/>
          <w:szCs w:val="16"/>
        </w:rPr>
      </w:pPr>
      <w:r w:rsidRPr="00507A31">
        <w:rPr>
          <w:color w:val="000000" w:themeColor="text1"/>
          <w:sz w:val="16"/>
          <w:szCs w:val="16"/>
        </w:rPr>
        <w:t>Наконец, 3[-я] моя встреча с КЮФЕРОМ состоялась по приглашению ЛАРИЧЕВА на квартире ЛАРИЧЕВА в декабре [19]29 г. Сообщив о точном сроке переноса интервенции на осень 1931 г., КЮФЕР настаивал по поручению правительственных кругов Франции на ускорении организации военных ячеек Промышленной партии. Из осторожности и это свидание было очень кратким не более полчаса. ЛАРИЧЕВ об этом разговоре впоследствие сообщил на групповом собрании ЦК.</w:t>
      </w:r>
    </w:p>
    <w:p w14:paraId="3B9760A4" w14:textId="77777777" w:rsidR="00DF037A" w:rsidRPr="00507A31" w:rsidRDefault="00DF037A" w:rsidP="00507A31">
      <w:pPr>
        <w:jc w:val="both"/>
        <w:rPr>
          <w:color w:val="000000" w:themeColor="text1"/>
          <w:sz w:val="16"/>
          <w:szCs w:val="16"/>
        </w:rPr>
      </w:pPr>
      <w:r w:rsidRPr="00507A31">
        <w:rPr>
          <w:color w:val="000000" w:themeColor="text1"/>
          <w:sz w:val="16"/>
          <w:szCs w:val="16"/>
        </w:rPr>
        <w:t>6. Установление связи ПП с правительственными и русскими эмигрантскими кругами Франции в 1930 году.</w:t>
      </w:r>
    </w:p>
    <w:p w14:paraId="396349E5" w14:textId="77777777" w:rsidR="00DF037A" w:rsidRPr="00507A31" w:rsidRDefault="00DF037A" w:rsidP="00507A31">
      <w:pPr>
        <w:jc w:val="both"/>
        <w:rPr>
          <w:color w:val="000000" w:themeColor="text1"/>
          <w:sz w:val="16"/>
          <w:szCs w:val="16"/>
        </w:rPr>
      </w:pPr>
      <w:r w:rsidRPr="00507A31">
        <w:rPr>
          <w:color w:val="000000" w:themeColor="text1"/>
          <w:sz w:val="16"/>
          <w:szCs w:val="16"/>
        </w:rPr>
        <w:t>В моем показании о военных организациях П.П. от 14 октября 1930 года я привел данные об организации военного штаба П.П. для объединения и направления ячеек П.П. при учреждениях и частях Красной армии. Там было показано, что председатель ЦК и военного штаба П.П. РАМЗИН должен был, по его собственному заявлению в ЦК, в ближайшую поездку заграницу установить непосредственную связь с правительственными кругами Франции и Англии по военным вопросам интервенции. Со слов РАМЗИ НА мне известно, что он предполагал использовать связь РЯБУШИНСКОГО с ЛУШЕРОМ, который покровительствует Торгпрому (так РЯБУШИНСКИЙ передавал РАМЗИНУ на последнем с ним свидании). РАМЗИН предполагал установить связь и с ген. ЛУ КОМСКИМ для получения руководящих указаний для военного штаба П.П.</w:t>
      </w:r>
    </w:p>
    <w:p w14:paraId="3116B99F" w14:textId="77777777" w:rsidR="00DF037A" w:rsidRPr="00507A31" w:rsidRDefault="00DF037A" w:rsidP="00507A31">
      <w:pPr>
        <w:jc w:val="both"/>
        <w:rPr>
          <w:color w:val="000000" w:themeColor="text1"/>
          <w:sz w:val="16"/>
          <w:szCs w:val="16"/>
        </w:rPr>
      </w:pPr>
      <w:r w:rsidRPr="00507A31">
        <w:rPr>
          <w:color w:val="000000" w:themeColor="text1"/>
          <w:sz w:val="16"/>
          <w:szCs w:val="16"/>
        </w:rPr>
        <w:t>В период от возвращения РАМЗИНА из заграницы в конце июня или в начале июля сего года до моего ареста 22 июля с. г. мне не удалось встретиться с РАМЗИНЫМ, поэтому я не могу ничего сообщить о конкретных результатах поездки РАМЗИНА в исполнении взятых им на себя поручений.</w:t>
      </w:r>
    </w:p>
    <w:p w14:paraId="4FDBE406" w14:textId="77777777" w:rsidR="00DF037A" w:rsidRPr="00507A31" w:rsidRDefault="00DF037A" w:rsidP="00507A31">
      <w:pPr>
        <w:jc w:val="both"/>
        <w:rPr>
          <w:color w:val="000000" w:themeColor="text1"/>
          <w:sz w:val="16"/>
          <w:szCs w:val="16"/>
        </w:rPr>
      </w:pPr>
      <w:r w:rsidRPr="00507A31">
        <w:rPr>
          <w:color w:val="000000" w:themeColor="text1"/>
          <w:sz w:val="16"/>
          <w:szCs w:val="16"/>
        </w:rPr>
        <w:t>КАЛИННИКОВ.</w:t>
      </w:r>
    </w:p>
    <w:p w14:paraId="41C79D29"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года.</w:t>
      </w:r>
    </w:p>
    <w:p w14:paraId="21E505B6" w14:textId="77777777" w:rsidR="00DF037A" w:rsidRPr="00507A31" w:rsidRDefault="00DF037A" w:rsidP="00507A31">
      <w:pPr>
        <w:jc w:val="both"/>
        <w:rPr>
          <w:color w:val="000000" w:themeColor="text1"/>
          <w:sz w:val="16"/>
          <w:szCs w:val="16"/>
        </w:rPr>
      </w:pPr>
      <w:r w:rsidRPr="00507A31">
        <w:rPr>
          <w:color w:val="000000" w:themeColor="text1"/>
          <w:sz w:val="16"/>
          <w:szCs w:val="16"/>
        </w:rPr>
        <w:lastRenderedPageBreak/>
        <w:t>ДОПРОСИЛИ: ПОМ. НАЧ. СОУ ОГПУ АГРАНОВ</w:t>
      </w:r>
    </w:p>
    <w:p w14:paraId="6A18EC75" w14:textId="77777777" w:rsidR="00DF037A" w:rsidRPr="00507A31" w:rsidRDefault="00DF037A" w:rsidP="00507A31">
      <w:pPr>
        <w:jc w:val="both"/>
        <w:rPr>
          <w:color w:val="000000" w:themeColor="text1"/>
          <w:sz w:val="16"/>
          <w:szCs w:val="16"/>
        </w:rPr>
      </w:pPr>
      <w:r w:rsidRPr="00507A31">
        <w:rPr>
          <w:color w:val="000000" w:themeColor="text1"/>
          <w:sz w:val="16"/>
          <w:szCs w:val="16"/>
        </w:rPr>
        <w:t>ПОМ. НАЧ. 3 ОТДЕЛЕНИЯ СО ОГПУ РАДЗИВИЛОВСКИЙ.</w:t>
      </w:r>
    </w:p>
    <w:p w14:paraId="5934406F" w14:textId="77777777" w:rsidR="00DF037A" w:rsidRPr="00507A31" w:rsidRDefault="00DF037A" w:rsidP="00507A31">
      <w:pPr>
        <w:jc w:val="both"/>
        <w:rPr>
          <w:color w:val="000000" w:themeColor="text1"/>
          <w:sz w:val="16"/>
          <w:szCs w:val="16"/>
        </w:rPr>
      </w:pPr>
      <w:r w:rsidRPr="00507A31">
        <w:rPr>
          <w:color w:val="000000" w:themeColor="text1"/>
          <w:sz w:val="16"/>
          <w:szCs w:val="16"/>
        </w:rPr>
        <w:t>Д. 354. Л. 31-42. Заверенная машинописная копия того времени. На Л. 31 вверху — штамп с вписанными от руки данными о распечатке (50 экз.) текста и датой «19.Х.1930 г.», подпись-автограф Хряпкиной. Рядом штамп о рассылке документа (номер и дата отсутствуют). Показания И. А. Калинникова были направлены «для сведения» членам и. кандидатам в члены Политбюро ЦК В КП (б)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Ларичева, Чарновского, Предтеченского, Соловьева, Мюллера, Кирпотенко от 16 и 17.Х.30 г. — «по вопросу об интервенции». (Копия сопроводительного письма на Л. 1; см. легенду к док. № 354-1 «Показания Е. Ф. Евреинова [...]».) (18459).</w:t>
      </w:r>
    </w:p>
    <w:p w14:paraId="4498CCCC" w14:textId="77777777" w:rsidR="00DF037A" w:rsidRPr="00507A31" w:rsidRDefault="00DF037A" w:rsidP="00507A31">
      <w:pPr>
        <w:jc w:val="both"/>
        <w:rPr>
          <w:color w:val="000000" w:themeColor="text1"/>
          <w:sz w:val="16"/>
          <w:szCs w:val="16"/>
        </w:rPr>
      </w:pPr>
    </w:p>
    <w:p w14:paraId="34F58C38"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4B111F94"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Показания В. А. Ларичева о связях «Промпартии» «с иностранными военными кругами и Торгпромом» и подготовке интервенции. 16 октября 1930 г.</w:t>
      </w:r>
    </w:p>
    <w:p w14:paraId="6AF5456F" w14:textId="77777777" w:rsidR="00DF037A" w:rsidRPr="00507A31" w:rsidRDefault="00DF037A" w:rsidP="00507A31">
      <w:pPr>
        <w:jc w:val="both"/>
        <w:rPr>
          <w:color w:val="000000" w:themeColor="text1"/>
          <w:sz w:val="16"/>
          <w:szCs w:val="16"/>
        </w:rPr>
      </w:pPr>
      <w:r w:rsidRPr="00507A31">
        <w:rPr>
          <w:color w:val="000000" w:themeColor="text1"/>
          <w:sz w:val="16"/>
          <w:szCs w:val="16"/>
        </w:rPr>
        <w:t>Источник: </w:t>
      </w:r>
    </w:p>
    <w:p w14:paraId="5E7596E7" w14:textId="77777777" w:rsidR="00DF037A" w:rsidRPr="00507A31" w:rsidRDefault="00DF037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2B0531"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6D730A81" w14:textId="77777777" w:rsidR="00DF037A" w:rsidRPr="00507A31" w:rsidRDefault="00DF037A" w:rsidP="00507A31">
      <w:pPr>
        <w:jc w:val="both"/>
        <w:rPr>
          <w:color w:val="000000" w:themeColor="text1"/>
          <w:sz w:val="16"/>
          <w:szCs w:val="16"/>
        </w:rPr>
      </w:pPr>
      <w:r w:rsidRPr="00507A31">
        <w:rPr>
          <w:color w:val="000000" w:themeColor="text1"/>
          <w:sz w:val="16"/>
          <w:szCs w:val="16"/>
        </w:rPr>
        <w:t>[Строго секретно]</w:t>
      </w:r>
    </w:p>
    <w:p w14:paraId="7166F1AB" w14:textId="77777777" w:rsidR="00DF037A" w:rsidRPr="00507A31" w:rsidRDefault="00DF037A" w:rsidP="00507A31">
      <w:pPr>
        <w:jc w:val="both"/>
        <w:rPr>
          <w:color w:val="000000" w:themeColor="text1"/>
          <w:sz w:val="16"/>
          <w:szCs w:val="16"/>
        </w:rPr>
      </w:pPr>
      <w:r w:rsidRPr="00507A31">
        <w:rPr>
          <w:color w:val="000000" w:themeColor="text1"/>
          <w:sz w:val="16"/>
          <w:szCs w:val="16"/>
        </w:rPr>
        <w:t>ПРОТОКОЛ ПОКАЗАНИЙ</w:t>
      </w:r>
    </w:p>
    <w:p w14:paraId="1552223D" w14:textId="77777777" w:rsidR="00DF037A" w:rsidRPr="00507A31" w:rsidRDefault="00DF037A" w:rsidP="00507A31">
      <w:pPr>
        <w:jc w:val="both"/>
        <w:rPr>
          <w:color w:val="000000" w:themeColor="text1"/>
          <w:sz w:val="16"/>
          <w:szCs w:val="16"/>
        </w:rPr>
      </w:pPr>
      <w:r w:rsidRPr="00507A31">
        <w:rPr>
          <w:color w:val="000000" w:themeColor="text1"/>
          <w:sz w:val="16"/>
          <w:szCs w:val="16"/>
        </w:rPr>
        <w:t>ЛАРИЧЕВА Виктора Алексеевича от 16/Х-1930 года.</w:t>
      </w:r>
    </w:p>
    <w:p w14:paraId="0AF82E0B" w14:textId="77777777" w:rsidR="00DF037A" w:rsidRPr="00507A31" w:rsidRDefault="00DF037A" w:rsidP="00507A31">
      <w:pPr>
        <w:jc w:val="both"/>
        <w:rPr>
          <w:color w:val="000000" w:themeColor="text1"/>
          <w:sz w:val="16"/>
          <w:szCs w:val="16"/>
        </w:rPr>
      </w:pPr>
      <w:r w:rsidRPr="00507A31">
        <w:rPr>
          <w:color w:val="000000" w:themeColor="text1"/>
          <w:sz w:val="16"/>
          <w:szCs w:val="16"/>
        </w:rPr>
        <w:t>Допрошенный нач. секретного отдела ОГПУ АГРАНОВЫМ и пом. нач. 3 отделения СО ОГПУ РАДЗИВИЛОВСКИМ — я показал следующее:</w:t>
      </w:r>
    </w:p>
    <w:p w14:paraId="6E0B1218" w14:textId="77777777" w:rsidR="00DF037A" w:rsidRPr="00507A31" w:rsidRDefault="00DF037A" w:rsidP="00507A31">
      <w:pPr>
        <w:jc w:val="both"/>
        <w:rPr>
          <w:color w:val="000000" w:themeColor="text1"/>
          <w:sz w:val="16"/>
          <w:szCs w:val="16"/>
        </w:rPr>
      </w:pPr>
      <w:r w:rsidRPr="00507A31">
        <w:rPr>
          <w:color w:val="000000" w:themeColor="text1"/>
          <w:sz w:val="16"/>
          <w:szCs w:val="16"/>
        </w:rPr>
        <w:t>О подготовке интервенции против СССР. Промышленная партия[,] объединившая все вредительские и контр-революционные организации Инженерно-Технического центра, с самого начала своей деятельности видела в интервенции главную реальную силу, могущую привести к свержению советской власти. Это положение полностью разделялось и идейным вдохновителем и руководителем Промышленной партии — Торгово-Промышленным комитетом в Париже (так наз. Торгпромом), являвшимся объединением бывш. собственников царской России.</w:t>
      </w:r>
    </w:p>
    <w:p w14:paraId="39C2021A" w14:textId="77777777" w:rsidR="00DF037A" w:rsidRPr="00507A31" w:rsidRDefault="00DF037A" w:rsidP="00507A31">
      <w:pPr>
        <w:jc w:val="both"/>
        <w:rPr>
          <w:color w:val="000000" w:themeColor="text1"/>
          <w:sz w:val="16"/>
          <w:szCs w:val="16"/>
        </w:rPr>
      </w:pPr>
      <w:r w:rsidRPr="00507A31">
        <w:rPr>
          <w:color w:val="000000" w:themeColor="text1"/>
          <w:sz w:val="16"/>
          <w:szCs w:val="16"/>
        </w:rPr>
        <w:t>Первые общие указания о необходимости подготовки к интервенции были получены от Торгпрома еще в конце 1925 г. руководителями и организаторами инженерно-технического центра — ПАЛЬЧИНСКИМ и ХРЕННИКОВЫМ. Такого же порядка указания получались и от английской миссии в Москве, связь с которой ПАЛЬЧИНСКИЙ и ХРЕННИКОВ вели через сотрудника миссии ЧАРНО[К]. В начале 1926 г. видным членом Инж[енерно]-Техн[ического] центра СТРИЖОВЫМ было получено, через секретаря английской миссии в Москве — УАЙТОМ, специальное задание от английского военного штаба. Задание это заключалось в том, чтобы, используя решение советского правительства о постройке нефтепроводов на Туапсе и Батум, путем углубления портов и соответствующего им технического оборудования, подготовить их как базы для интервенции и высадки здесь иностранных войск.</w:t>
      </w:r>
    </w:p>
    <w:p w14:paraId="62D78220" w14:textId="77777777" w:rsidR="00DF037A" w:rsidRPr="00507A31" w:rsidRDefault="00DF037A" w:rsidP="00507A31">
      <w:pPr>
        <w:jc w:val="both"/>
        <w:rPr>
          <w:color w:val="000000" w:themeColor="text1"/>
          <w:sz w:val="16"/>
          <w:szCs w:val="16"/>
        </w:rPr>
      </w:pPr>
      <w:r w:rsidRPr="00507A31">
        <w:rPr>
          <w:color w:val="000000" w:themeColor="text1"/>
          <w:sz w:val="16"/>
          <w:szCs w:val="16"/>
        </w:rPr>
        <w:t>В конце 1927 г. во время пребывания в Париже проф. РАМЗИНА — одного из деятельнейших членов Инж[енерно]-Техн[ического] центра и позднее председателя ЦК Промышленной партии — им были получены более определенные указания от Торгпрома и французского военного штаба о необходимости форсирования мероприятий, проводимых вредительскими организациями, по подготовке к интервенции, общая схема проведения интервенции и возможные срывы ее осуществления. При чем, первоначально этот срок намечался на 1928 г. Одновременно с этим проф. РАМЗИНЫМ была установлена связь с французским посольством в Москве для ведения переговоров и сношений с заграничными кругами, так как старые связи через английскую миссию в Москве, ввиду прекращения дипломатических сношений с Англией прекратились.</w:t>
      </w:r>
    </w:p>
    <w:p w14:paraId="00A7E7EF" w14:textId="77777777" w:rsidR="00DF037A" w:rsidRPr="00507A31" w:rsidRDefault="00DF037A" w:rsidP="00507A31">
      <w:pPr>
        <w:jc w:val="both"/>
        <w:rPr>
          <w:color w:val="000000" w:themeColor="text1"/>
          <w:sz w:val="16"/>
          <w:szCs w:val="16"/>
        </w:rPr>
      </w:pPr>
      <w:r w:rsidRPr="00507A31">
        <w:rPr>
          <w:color w:val="000000" w:themeColor="text1"/>
          <w:sz w:val="16"/>
          <w:szCs w:val="16"/>
        </w:rPr>
        <w:t>Свои связи с французским посольством РАМЗИН постепенно распространил и среди видных членов промышленной партии, составлявших ее ЦК, в первую очередь он связал ХРЕННИКОВА. Затем весной в 1928 г. РАМЗИН познакомил меня с сотрудником французского посольства в Москве КЮФЕРОМ. Свидание это было на квартире РАМЗИНА в его кабинете ок[оло] 11 час. вечера. По его указаниям, с КЮФЕРОМ я должен был поддерживать связь для получения переписки и денег от Торгпрома, а также для обратной передачи, посылаемых Промышленной Партией заграницу, сведений и ответов по отдельным запросам французского посольства. Деньги и переписка доставлялись ко мне или РАМЗИНУ на квартиру лично КЮФЕРОМ. Ко мне он заходил вечером от 11-12 ч. Чтобы увеличить круг лиц, через которых могли итти сношения французского посольства и не возбуждать подозрений частыми посещениями одного лица — я познакомил с КЮФЕРОМ КАЛИННИКОВА (члена ЦК Промышленной партии), свидание это было в конце 1928 г. во время одного из посещений моей квартиры КЮФЕРОМ.</w:t>
      </w:r>
    </w:p>
    <w:p w14:paraId="44797B4A" w14:textId="77777777" w:rsidR="00DF037A" w:rsidRPr="00507A31" w:rsidRDefault="00DF037A" w:rsidP="00507A31">
      <w:pPr>
        <w:jc w:val="both"/>
        <w:rPr>
          <w:color w:val="000000" w:themeColor="text1"/>
          <w:sz w:val="16"/>
          <w:szCs w:val="16"/>
        </w:rPr>
      </w:pPr>
      <w:r w:rsidRPr="00507A31">
        <w:rPr>
          <w:color w:val="000000" w:themeColor="text1"/>
          <w:sz w:val="16"/>
          <w:szCs w:val="16"/>
        </w:rPr>
        <w:t>Еще ранее КАЛИННИКОВ установил связь с секретарем французского посольства в Москве — РЕНЬО, которого я встретил однажды (осенью 1928 г.) у него на квартире. Через РЕНЬО КАЛИННИКОВ должен был передавать дополнительные сведения французскому посольству, в частности о мероприятиях по подготовке и проведению экономической блокады, как одного из важнейших орудий, направленных против СССР. Через РЕНЬО же КАЛИННИКОВ должен был установить связь с польским посольством в Москве.</w:t>
      </w:r>
    </w:p>
    <w:p w14:paraId="037B99F5" w14:textId="77777777" w:rsidR="00DF037A" w:rsidRPr="00507A31" w:rsidRDefault="00DF037A" w:rsidP="00507A31">
      <w:pPr>
        <w:jc w:val="both"/>
        <w:rPr>
          <w:color w:val="000000" w:themeColor="text1"/>
          <w:sz w:val="16"/>
          <w:szCs w:val="16"/>
        </w:rPr>
      </w:pPr>
      <w:r w:rsidRPr="00507A31">
        <w:rPr>
          <w:color w:val="000000" w:themeColor="text1"/>
          <w:sz w:val="16"/>
          <w:szCs w:val="16"/>
        </w:rPr>
        <w:t>В сентябре-октябре 1928 г. РАМЗИН и я были командированы на мировую энергетическую конференцию в Лондоне. Этой командировкой мы воспользовались, чтобы на обратном пути побывать в Париже и переговорить с нашей руководящей организацией — Торгпромом. По приезде в Париж, 8 октября 1928 г., после телефонных переговоров РАМЗИНА, председатель объединения бывших собственников Торгпрома ДЕНИСОВ пригласил нас приехать к нему для переговоров. По приезде к нему, у него в кабинете состоялось совещание, на котором кроме Денисова присутствовали — РЯБУШИНСКИЙ, НОБЕЛЬ, ГУКАСОВ, СТАРИНКЕВИЧ. РАМЗИН сделал доклад о работе нашей организации и об общих мероприятиях вредительской деятельности, проводившейся в Союзе, и дал оценку насколько они соответствуют директивам Торгпрома и задачам подготовки к интервенции. Особенно много внимания уделялось событиям, нарушившим деятельность промышленной партии — раскрытию вредительской деятельности в Донбассе и Шахтинскому процессу, а также провалу транспортной вредительской организации. Эти вопросы сильно интересовали представителей Торгпрома (ДЕНИСОВА, РЯБУШИНСКОГО и др.), как осложняли дальнейшую нашу работу и цельность проводимых мероприятий по подготовке общего кризиса в стране. ДЕНИСОВЫМ был сделан упор на то, чтобы теперь обратить внимание на металлопромышленность, добиваясь здесь резких диспропорций и ослабляя эффект производимых капиталовложений. НОБЕЛЕМ и ГУКАСОВЫМ мне был задан ряд вопросов о положении нефтяной промышленности, о прочности нефтяной вредительской организации, а также о проведении вредительских мероприятий по задержке нового строительства и сокращения экспорта. Они указали, что общие директивы в отношении работы в нефтяной промышленности ими даны СТРИЖОВУ при его пребывании в Париже. В отношении общего положения Торгпрома и нашей организации ДЕНИСОВ нам указал, что, несмотря на провал отдельных вредительских организаций, работу нашу необходимо, во что бы то ни стало, продолжать и сохранить организацию Промышленной партии. ДЕНИСОВ особенно подчеркивал, что Торгпром имеет определенную и твердую поддержку со стороны французского и английского правительств, и что вопрос об интервенции, хотя отложенной с 1928 г. в силу ряда соображений на 1930 г., ни в коем случае не снимается, а наоборот, — к интервенции идет деятельная подготовка за границей и следовательно особенно важной является работа Промышленной партии внутри Союза.</w:t>
      </w:r>
    </w:p>
    <w:p w14:paraId="37CE034D" w14:textId="77777777" w:rsidR="00DF037A" w:rsidRPr="00507A31" w:rsidRDefault="00DF037A" w:rsidP="00507A31">
      <w:pPr>
        <w:jc w:val="both"/>
        <w:rPr>
          <w:color w:val="000000" w:themeColor="text1"/>
          <w:sz w:val="16"/>
          <w:szCs w:val="16"/>
        </w:rPr>
      </w:pPr>
      <w:r w:rsidRPr="00507A31">
        <w:rPr>
          <w:color w:val="000000" w:themeColor="text1"/>
          <w:sz w:val="16"/>
          <w:szCs w:val="16"/>
        </w:rPr>
        <w:t>На следующий день РАМЗИН имел свидание с председателем] Торгпрома ДЕНИСОВЫМ, белоэмигрантским генералом ЛУКОМСКИМ и представителем французского штаба Ж[У]АНВИЛЬ (фамилию эту назвал мне РАМЗИН). На этом совещании РАМЗИНЫМ были получены определенные указания и подтверждения о сроках намечаемой интервенции (т. е. на лето 1930 г.) о методах подготовки к ней, а также сообщение о формировании экспедиционного корпуса во главе с генералом ЛУКОМСКИМ. Вечером этого же дня у РАМЗИНА должна была состояться встреча с полковником французского штаба РИШАР; на это свидание он пригласил и меня. Состоялось оно у него на квартире. Так как я французского языка, на котором шли разговоры, не знал, то могу сообщить, со слов РАМЗИНА, что речь шла о подготовке Польши и Румынии к выступлению и что французский штаб принимает в этом направлении энергичные шаги. С своей стороны РИШАР интересовался как общим направлением нашей работы, так особенно деталями нового строительства, могущего иметь оборонное значение, а также положением военной и химической промышленности.</w:t>
      </w:r>
    </w:p>
    <w:p w14:paraId="75617CC2" w14:textId="77777777" w:rsidR="00DF037A" w:rsidRPr="00507A31" w:rsidRDefault="00DF037A" w:rsidP="00507A31">
      <w:pPr>
        <w:jc w:val="both"/>
        <w:rPr>
          <w:color w:val="000000" w:themeColor="text1"/>
          <w:sz w:val="16"/>
          <w:szCs w:val="16"/>
        </w:rPr>
      </w:pPr>
      <w:r w:rsidRPr="00507A31">
        <w:rPr>
          <w:color w:val="000000" w:themeColor="text1"/>
          <w:sz w:val="16"/>
          <w:szCs w:val="16"/>
        </w:rPr>
        <w:t>Во время нашего пребывания в Лондоне, т. е. в сентябре 1928 г. РАМЗИНЫМ была организована встреча (в отеле «Савой») с известным полковником ЛОУРЕНСОМ. При этом свидании был и я. Разговор шел вокруг общего отношения английских военных кругов к интервенции. Эту идею полковник ЛОУРЕНС всячески подчеркивал и уверял, что английские военные круги также относятся вполне положительно к общему участию в интервенции против СССР, и что ими разрабатываются определенные мероприятия и кроме того принимаются серьезные шаги для парализации ведущейся со стороны СССР пропаганды и влияния на Востоке и в Китае. Деталей этой работы он не сообщал.</w:t>
      </w:r>
    </w:p>
    <w:p w14:paraId="37FC0BDF" w14:textId="77777777" w:rsidR="00DF037A" w:rsidRPr="00507A31" w:rsidRDefault="00DF037A" w:rsidP="00507A31">
      <w:pPr>
        <w:jc w:val="both"/>
        <w:rPr>
          <w:color w:val="000000" w:themeColor="text1"/>
          <w:sz w:val="16"/>
          <w:szCs w:val="16"/>
        </w:rPr>
      </w:pPr>
      <w:r w:rsidRPr="00507A31">
        <w:rPr>
          <w:color w:val="000000" w:themeColor="text1"/>
          <w:sz w:val="16"/>
          <w:szCs w:val="16"/>
        </w:rPr>
        <w:t>Перед поездкой в Лондон ко мне обратился СТРИЖОВ с предложением установить связь с представителем английского военного штаба ПАТРИКОМ, по вопросам, которые были поручены СТРИЖОВУ в отношении подготовки для интервенции морских баз в Туапсе и Батуме[,] и сообщить ему положение дел. Зная плохо английский язык и будучи первый раз в Лондоне, я обратился за помощью &lt;в&gt; организации этой встречи к работавшему в Лондоне в Аркосе бывш. крупному нефтяному работнику А. И. МАНЧО, который снесся с ПАТРИКОМ и устроил мне с ним свидание в одном из ресторанов, где-то на Сахо. При нашем свидании ПАТРИК, кроме сведений о положении в Туапсе и Батуме просил устроить ему вообще связь с нашей организацией через работавших в СССР английских инженеров. За указаниями я обратился к РАМЗИ НУ, который предложил мне использовать для этих целей инженера АЙЗЕНШТАДТА, представителя фирмы «Бабкок и Вилькокс». По возвращении в Москву, я познакомился с ним через посредство работавшего в МОГЭСе инженера САВЕЛОВА, во время посещения 1-й электрической] ст[анции] МОГЭСа, где шла установка новых котлов Бабкока. Об установлении связи с ПАТРИКОМ я сообщил СТРИЖОВУ для возможности облегчить его сношения с Англией. Кроме того[,] для установления связи Промышленной партии с английскими военными кругами я познакомил инженера АЙЗЕНШТАДТА с КАЛИННИКОВЫМ, устроив свидание весной 1929 г. в Петровском парке.</w:t>
      </w:r>
    </w:p>
    <w:p w14:paraId="5B604B58" w14:textId="77777777" w:rsidR="00DF037A" w:rsidRPr="00507A31" w:rsidRDefault="00DF037A" w:rsidP="00507A31">
      <w:pPr>
        <w:jc w:val="both"/>
        <w:rPr>
          <w:color w:val="000000" w:themeColor="text1"/>
          <w:sz w:val="16"/>
          <w:szCs w:val="16"/>
        </w:rPr>
      </w:pPr>
      <w:r w:rsidRPr="00507A31">
        <w:rPr>
          <w:color w:val="000000" w:themeColor="text1"/>
          <w:sz w:val="16"/>
          <w:szCs w:val="16"/>
        </w:rPr>
        <w:lastRenderedPageBreak/>
        <w:t>В конце 1929 г. РАМЗИНУ удалось видеться с французским послом ЭРБЕТОМ (где он мне указал), который лично ему указал на необходимость получения французским штабом более детальных сведений о состоянии Красной армии, а в нашей работе приступить к организации военного штаба Промпартии.</w:t>
      </w:r>
    </w:p>
    <w:p w14:paraId="183746F0" w14:textId="77777777" w:rsidR="00DF037A" w:rsidRPr="00507A31" w:rsidRDefault="00DF037A" w:rsidP="00507A31">
      <w:pPr>
        <w:jc w:val="both"/>
        <w:rPr>
          <w:color w:val="000000" w:themeColor="text1"/>
          <w:sz w:val="16"/>
          <w:szCs w:val="16"/>
        </w:rPr>
      </w:pPr>
      <w:r w:rsidRPr="00507A31">
        <w:rPr>
          <w:color w:val="000000" w:themeColor="text1"/>
          <w:sz w:val="16"/>
          <w:szCs w:val="16"/>
        </w:rPr>
        <w:t>Таковы известные мне связи Промпартии с иностранными военными кругами и Торгпромом.</w:t>
      </w:r>
    </w:p>
    <w:p w14:paraId="1BA9221B" w14:textId="77777777" w:rsidR="00DF037A" w:rsidRPr="00507A31" w:rsidRDefault="00DF037A" w:rsidP="00507A31">
      <w:pPr>
        <w:jc w:val="both"/>
        <w:rPr>
          <w:color w:val="000000" w:themeColor="text1"/>
          <w:sz w:val="16"/>
          <w:szCs w:val="16"/>
        </w:rPr>
      </w:pPr>
      <w:r w:rsidRPr="00507A31">
        <w:rPr>
          <w:color w:val="000000" w:themeColor="text1"/>
          <w:sz w:val="16"/>
          <w:szCs w:val="16"/>
        </w:rPr>
        <w:t>О самом плане интервенции мне известно следующее:</w:t>
      </w:r>
    </w:p>
    <w:p w14:paraId="428E3322" w14:textId="77777777" w:rsidR="00DF037A" w:rsidRPr="00507A31" w:rsidRDefault="00DF037A" w:rsidP="00507A31">
      <w:pPr>
        <w:jc w:val="both"/>
        <w:rPr>
          <w:color w:val="000000" w:themeColor="text1"/>
          <w:sz w:val="16"/>
          <w:szCs w:val="16"/>
        </w:rPr>
      </w:pPr>
      <w:r w:rsidRPr="00507A31">
        <w:rPr>
          <w:color w:val="000000" w:themeColor="text1"/>
          <w:sz w:val="16"/>
          <w:szCs w:val="16"/>
        </w:rPr>
        <w:t>Путем систематических мероприятий, проводимых Промпартией через вредительские организации по различным отраслям народного хозяйства должен быть подготовлен общий кризис внутри страны, в особенности по линии расстройства транспорта, металлоснабжения и топливоснабжения. Одновременно должны быть проведены мероприятия по ослаблению снабжения Красной армии военной промышленностью. Одним из важнейших стимулов должны быть затруднения в продовольственном снабжении и еще большее его расстройство в период военных действий и неудовлетворительной работы транспорта.</w:t>
      </w:r>
    </w:p>
    <w:p w14:paraId="644C8A92" w14:textId="77777777" w:rsidR="00DF037A" w:rsidRPr="00507A31" w:rsidRDefault="00DF037A" w:rsidP="00507A31">
      <w:pPr>
        <w:jc w:val="both"/>
        <w:rPr>
          <w:color w:val="000000" w:themeColor="text1"/>
          <w:sz w:val="16"/>
          <w:szCs w:val="16"/>
        </w:rPr>
      </w:pPr>
      <w:r w:rsidRPr="00507A31">
        <w:rPr>
          <w:color w:val="000000" w:themeColor="text1"/>
          <w:sz w:val="16"/>
          <w:szCs w:val="16"/>
        </w:rPr>
        <w:t>Подготовка общего кризиса в стране должна была служить моментом благоприятным для открытого выступления интервентов.</w:t>
      </w:r>
    </w:p>
    <w:p w14:paraId="676D0078" w14:textId="77777777" w:rsidR="00DF037A" w:rsidRPr="00507A31" w:rsidRDefault="00DF037A" w:rsidP="00507A31">
      <w:pPr>
        <w:jc w:val="both"/>
        <w:rPr>
          <w:color w:val="000000" w:themeColor="text1"/>
          <w:sz w:val="16"/>
          <w:szCs w:val="16"/>
        </w:rPr>
      </w:pPr>
      <w:r w:rsidRPr="00507A31">
        <w:rPr>
          <w:color w:val="000000" w:themeColor="text1"/>
          <w:sz w:val="16"/>
          <w:szCs w:val="16"/>
        </w:rPr>
        <w:t>Руководящая роль в организации интервенции принадлежит Франции, проводившей свои планы подготовки при активном участии английского правительства. При этом в деятельности последнего имелось в виду проведение определенных мероприятий, диктуемых группой ДЕТЕРДИНГА (захват Баку и Грозного).</w:t>
      </w:r>
    </w:p>
    <w:p w14:paraId="5BB7D7FB" w14:textId="77777777" w:rsidR="00DF037A" w:rsidRPr="00507A31" w:rsidRDefault="00DF037A" w:rsidP="00507A31">
      <w:pPr>
        <w:jc w:val="both"/>
        <w:rPr>
          <w:color w:val="000000" w:themeColor="text1"/>
          <w:sz w:val="16"/>
          <w:szCs w:val="16"/>
        </w:rPr>
      </w:pPr>
      <w:r w:rsidRPr="00507A31">
        <w:rPr>
          <w:color w:val="000000" w:themeColor="text1"/>
          <w:sz w:val="16"/>
          <w:szCs w:val="16"/>
        </w:rPr>
        <w:t>Осуществление интервенции должно быть проведено выступлением Польши, при участии других держав — Румынии и Прибалтийских стран. Поэтому для организации антисоветского блока среди этих держав было направлено главное внимание Франции и Англии. Организацию военных сил Польши и Румынии проводил французский штаб, как пут[ем] инструктажа, так и материального и технического снабжения, особенно по линии воздушного флота. С своей стороны английским правительством велась подготовка морских баз: на Черном море — в Констанце и на Балтийском — в Данциге и Ревеле и принимались меры по подготовке высадки дессантов в наших черноморских портах — Туапсе и Батуме, для захвата Сев[ерного] Кавказа и Закавказья.</w:t>
      </w:r>
    </w:p>
    <w:p w14:paraId="36E5909A" w14:textId="77777777" w:rsidR="00DF037A" w:rsidRPr="00507A31" w:rsidRDefault="00DF037A" w:rsidP="00507A31">
      <w:pPr>
        <w:jc w:val="both"/>
        <w:rPr>
          <w:color w:val="000000" w:themeColor="text1"/>
          <w:sz w:val="16"/>
          <w:szCs w:val="16"/>
        </w:rPr>
      </w:pPr>
      <w:r w:rsidRPr="00507A31">
        <w:rPr>
          <w:color w:val="000000" w:themeColor="text1"/>
          <w:sz w:val="16"/>
          <w:szCs w:val="16"/>
        </w:rPr>
        <w:t>По возвращении РАМЗИНА из Парижа, в конце 1927 года, были получены более точные указания относительно подготовляемых мероприятий заграницей. Разрыв дипломатических сношений с Англией должен был послужить к ускорению образования антисоветского блока Прибалтийских держав и подчинению их общему руководству французского штаба в организации их военных сил. Особое значение в этот момент придавалось вовлечению Германии в антисоветскую ориентацию (под давлением Франции и Англии), путем соответствующих уступок со стороны бывших союзников. Этим самым должны быть развязаны руки Польше и обеспечена возможность быстрого ее военного снабжения из Франции — через Германию — во время военных действий. Торгпромом и французским штабом были предприняты меры к организации белогвардейских кругов за границей. По предположениям французского штаба события могли развернуться довольно быстро и осуществление плана интервенции могло бы быть в 1928 г.</w:t>
      </w:r>
    </w:p>
    <w:p w14:paraId="1FE92450" w14:textId="77777777" w:rsidR="00DF037A" w:rsidRPr="00507A31" w:rsidRDefault="00DF037A" w:rsidP="00507A31">
      <w:pPr>
        <w:jc w:val="both"/>
        <w:rPr>
          <w:color w:val="000000" w:themeColor="text1"/>
          <w:sz w:val="16"/>
          <w:szCs w:val="16"/>
        </w:rPr>
      </w:pPr>
      <w:r w:rsidRPr="00507A31">
        <w:rPr>
          <w:color w:val="000000" w:themeColor="text1"/>
          <w:sz w:val="16"/>
          <w:szCs w:val="16"/>
        </w:rPr>
        <w:t>По сообщениям СТРИЖОВА, во время выступления Польши, т. е. начала общего выступления интервентов, английским штабом организуется захват Черноморских кавказских портов, как базы для высадки колониальных или других войск и их быстрого распространения и овладения Сев[ерным] Кавказом и Закавказьем и основными нефтяными р[айона]ми.</w:t>
      </w:r>
    </w:p>
    <w:p w14:paraId="4E22C5A9" w14:textId="77777777" w:rsidR="00DF037A" w:rsidRPr="00507A31" w:rsidRDefault="00DF037A" w:rsidP="00507A31">
      <w:pPr>
        <w:jc w:val="both"/>
        <w:rPr>
          <w:color w:val="000000" w:themeColor="text1"/>
          <w:sz w:val="16"/>
          <w:szCs w:val="16"/>
        </w:rPr>
      </w:pPr>
      <w:r w:rsidRPr="00507A31">
        <w:rPr>
          <w:color w:val="000000" w:themeColor="text1"/>
          <w:sz w:val="16"/>
          <w:szCs w:val="16"/>
        </w:rPr>
        <w:t>В соответствии с этим планом должна быть направлена вредительская деятельность внутри страны — особенно по линии дезорганизации транспорта, металла и топлива.</w:t>
      </w:r>
    </w:p>
    <w:p w14:paraId="2705D1DE" w14:textId="77777777" w:rsidR="00DF037A" w:rsidRPr="00507A31" w:rsidRDefault="00DF037A" w:rsidP="00507A31">
      <w:pPr>
        <w:jc w:val="both"/>
        <w:rPr>
          <w:color w:val="000000" w:themeColor="text1"/>
          <w:sz w:val="16"/>
          <w:szCs w:val="16"/>
        </w:rPr>
      </w:pPr>
      <w:r w:rsidRPr="00507A31">
        <w:rPr>
          <w:color w:val="000000" w:themeColor="text1"/>
          <w:sz w:val="16"/>
          <w:szCs w:val="16"/>
        </w:rPr>
        <w:t>В 1928 г. от Торгпрома были получены указания, что срок интервенции отодвигается и по[-]видимому должен быть отодвинут на 1930 г. Во время нашего с РАМЗИНЫМ пребывания в Париже и посещения Торгпрома мне стало известно, что сложность политической обстановки заграницей, главным образом, двойственная политика Германии, торговавшейся с об[е]ими сторонами за свою ориентацию, а также позиция, занятая Литвой в отношении Польши, делала несвоевременным открытое выступление против Советского Союза. Но несмотря на это представитель французского штаба — ЖАНВИЛЬ и ДЕНИСОВ при личном их свидании с РАМЗИНЫМ заверяли, что позиция французского правительства относительно поддержки интервенции останется неизменной и французским штабом энергично ведутся работы по усилению военной мощи Польши и Румынии и производится формирование и подготовка экспедиционного корпуса белогвардейских эмигрантских сил. Руководство этой работой осуществляется также французским штабом (комиссией под председ[ательством] ЖАНЕН) и имеются соответствующие материальные и финансовые средства, получаемые в значительной мере от французского военного министерства. Возглавление экспедиционного корпуса поручается генералу ЛУКОМСКОМУ.</w:t>
      </w:r>
    </w:p>
    <w:p w14:paraId="2550F396" w14:textId="77777777" w:rsidR="00DF037A" w:rsidRPr="00507A31" w:rsidRDefault="00DF037A" w:rsidP="00507A31">
      <w:pPr>
        <w:jc w:val="both"/>
        <w:rPr>
          <w:color w:val="000000" w:themeColor="text1"/>
          <w:sz w:val="16"/>
          <w:szCs w:val="16"/>
        </w:rPr>
      </w:pPr>
      <w:r w:rsidRPr="00507A31">
        <w:rPr>
          <w:color w:val="000000" w:themeColor="text1"/>
          <w:sz w:val="16"/>
          <w:szCs w:val="16"/>
        </w:rPr>
        <w:t>По вопросу о подготовке к интервенции внутри страны, которая чрезвычайно осложнялась раскрытием вредительских организаций в Донбассе и на транспорте, мы получили указания, что необходимо усилить работу в другом направлении в отношении металлопромышленности и обострения кризиса и срыва дальнейшего строительства с этой стороны. Упор же вредительской деятельности на создание общего кризисного состояния страны должен быть сделан при составлении пятилетки.</w:t>
      </w:r>
    </w:p>
    <w:p w14:paraId="2D9D9557" w14:textId="77777777" w:rsidR="00DF037A" w:rsidRPr="00507A31" w:rsidRDefault="00DF037A" w:rsidP="00507A31">
      <w:pPr>
        <w:jc w:val="both"/>
        <w:rPr>
          <w:color w:val="000000" w:themeColor="text1"/>
          <w:sz w:val="16"/>
          <w:szCs w:val="16"/>
        </w:rPr>
      </w:pPr>
      <w:r w:rsidRPr="00507A31">
        <w:rPr>
          <w:color w:val="000000" w:themeColor="text1"/>
          <w:sz w:val="16"/>
          <w:szCs w:val="16"/>
        </w:rPr>
        <w:t>Годом наибольшего кризиса должен быть 1930 г., благодаря диспропорции в развитии отдельных отраслей, особенно металла и неоконченности большинства начинаемых строительством новых крупных предприятий. Такая директива о подготовке интервенции к 1930 году была нами дана различным членам промышленной партии и составила главный момент политической борьбы при составлении пятилетки.</w:t>
      </w:r>
    </w:p>
    <w:p w14:paraId="1176E7E6" w14:textId="77777777" w:rsidR="00DF037A" w:rsidRPr="00507A31" w:rsidRDefault="00DF037A" w:rsidP="00507A31">
      <w:pPr>
        <w:jc w:val="both"/>
        <w:rPr>
          <w:color w:val="000000" w:themeColor="text1"/>
          <w:sz w:val="16"/>
          <w:szCs w:val="16"/>
        </w:rPr>
      </w:pPr>
      <w:r w:rsidRPr="00507A31">
        <w:rPr>
          <w:color w:val="000000" w:themeColor="text1"/>
          <w:sz w:val="16"/>
          <w:szCs w:val="16"/>
        </w:rPr>
        <w:t>Возникший летом 1929 г. конфликт на Китайско-Восточной дороге, как я узнал от РАМЗИНА и КАЛИННИКОВА, явился диверсионным шагом французского и английского штаба; с одной стороны, выявить наши мобилизационные способности и боеспособность Красной армии, с другой стороны[,] выяснить отношение широких кругов населения к вопросу о возможности войны и о степени прочности советской власти и ее влияния на рабочую и крестьянскую массу в моменты внутренних и внешних затруднений.</w:t>
      </w:r>
    </w:p>
    <w:p w14:paraId="19AB2C5D" w14:textId="77777777" w:rsidR="00DF037A" w:rsidRPr="00507A31" w:rsidRDefault="00DF037A" w:rsidP="00507A31">
      <w:pPr>
        <w:jc w:val="both"/>
        <w:rPr>
          <w:color w:val="000000" w:themeColor="text1"/>
          <w:sz w:val="16"/>
          <w:szCs w:val="16"/>
        </w:rPr>
      </w:pPr>
      <w:r w:rsidRPr="00507A31">
        <w:rPr>
          <w:color w:val="000000" w:themeColor="text1"/>
          <w:sz w:val="16"/>
          <w:szCs w:val="16"/>
        </w:rPr>
        <w:t>Неудача иностранных военных и дипломатических кругов в этом вопросе в значительной мере объяснялась нами, как результат высокой подготовки нашего военного командования и показала, что Красная армия представляет огромную силу.</w:t>
      </w:r>
    </w:p>
    <w:p w14:paraId="56D19C0A" w14:textId="77777777" w:rsidR="00DF037A" w:rsidRPr="00507A31" w:rsidRDefault="00DF037A" w:rsidP="00507A31">
      <w:pPr>
        <w:jc w:val="both"/>
        <w:rPr>
          <w:color w:val="000000" w:themeColor="text1"/>
          <w:sz w:val="16"/>
          <w:szCs w:val="16"/>
        </w:rPr>
      </w:pPr>
      <w:r w:rsidRPr="00507A31">
        <w:rPr>
          <w:color w:val="000000" w:themeColor="text1"/>
          <w:sz w:val="16"/>
          <w:szCs w:val="16"/>
        </w:rPr>
        <w:t>Создавшееся положение вызвало еще большее озлобление в иностранных кругах против СССР — но с другой стороны привело к необходимости еще раз вернуться к вопросу о сроках интервенции, отложив намечавшийся срок с 1930 г. по крайней мере на год. Об этом указывалось в письмах Торгпрома и в личных разговорах моих с КЮФЕРОМ и КАЛИННИКОВА с РЕНЬО.</w:t>
      </w:r>
    </w:p>
    <w:p w14:paraId="425C0493" w14:textId="77777777" w:rsidR="00DF037A" w:rsidRPr="00507A31" w:rsidRDefault="00DF037A" w:rsidP="00507A31">
      <w:pPr>
        <w:jc w:val="both"/>
        <w:rPr>
          <w:color w:val="000000" w:themeColor="text1"/>
          <w:sz w:val="16"/>
          <w:szCs w:val="16"/>
        </w:rPr>
      </w:pPr>
      <w:r w:rsidRPr="00507A31">
        <w:rPr>
          <w:color w:val="000000" w:themeColor="text1"/>
          <w:sz w:val="16"/>
          <w:szCs w:val="16"/>
        </w:rPr>
        <w:t>Последовавшее затем свидание РАМЗИНА с ЭРБЕТОМ показало, что французский штаб считает работу промышленной партии по линии технической подготовки к интервенции недостаточной и предлагает расширить ее путем охвата частей Красной армии и организацией соответствующего военного ядра в Промышленной партии. Задачами его должно быть получение и передача иностранным штабам более точных данных о состоянии различных частей Красной армии и, самое главное — вовлечение в работу по подготовке к интервенции военных специалистов, которые активно противодействовали бы ведущейся технической и политической подготовки армии и содействовали бы ее разложению. Без надежной опоры в частях Красной армии в лице контр-революционных организаций и без руководства их деятельностью, наша работа по подготовке к интервенции была явно недостаточна. Таковая была точка зрения РАМЗИНА на положение, которая явилась следствием указаний[,] данных ему лично ЭРБЕТОМ. Этот вопрос им был поставлен перед ЦК Промпартии, как очередная важнейшая работа по подготовке к интервенции. Самый же срок интервенции, насколько мне было известно до моего ареста, отодвигался на 1931 год.</w:t>
      </w:r>
    </w:p>
    <w:p w14:paraId="5F28462E" w14:textId="77777777" w:rsidR="00DF037A" w:rsidRPr="00507A31" w:rsidRDefault="00DF037A" w:rsidP="00507A31">
      <w:pPr>
        <w:jc w:val="both"/>
        <w:rPr>
          <w:color w:val="000000" w:themeColor="text1"/>
          <w:sz w:val="16"/>
          <w:szCs w:val="16"/>
        </w:rPr>
      </w:pPr>
      <w:r w:rsidRPr="00507A31">
        <w:rPr>
          <w:color w:val="000000" w:themeColor="text1"/>
          <w:sz w:val="16"/>
          <w:szCs w:val="16"/>
        </w:rPr>
        <w:t>Общий же план выступления интервентов в общем не менялся. По[-] прежнему французским штабом указывалось, что инициатива выступления будет за Польшей и Румынией. Как на возможность такого выступления указывалось, что Польша путем открытого захвата Литвы, продолжавшей свою советскую ориентацию, создаст международный конфликт, в который должен бы[ть] вовлечен и СССР и приведет к вооруженному столкновению Союза, как с Польшей, так и с Румынией, связанной с ней военным договором.</w:t>
      </w:r>
    </w:p>
    <w:p w14:paraId="27193731" w14:textId="77777777" w:rsidR="00DF037A" w:rsidRPr="00507A31" w:rsidRDefault="00DF037A" w:rsidP="00507A31">
      <w:pPr>
        <w:jc w:val="both"/>
        <w:rPr>
          <w:color w:val="000000" w:themeColor="text1"/>
          <w:sz w:val="16"/>
          <w:szCs w:val="16"/>
        </w:rPr>
      </w:pPr>
      <w:r w:rsidRPr="00507A31">
        <w:rPr>
          <w:color w:val="000000" w:themeColor="text1"/>
          <w:sz w:val="16"/>
          <w:szCs w:val="16"/>
        </w:rPr>
        <w:t>Записано под мою диктовку и мною прочитано.</w:t>
      </w:r>
    </w:p>
    <w:p w14:paraId="0D671C89" w14:textId="77777777" w:rsidR="00DF037A" w:rsidRPr="00507A31" w:rsidRDefault="00DF037A" w:rsidP="00507A31">
      <w:pPr>
        <w:jc w:val="both"/>
        <w:rPr>
          <w:color w:val="000000" w:themeColor="text1"/>
          <w:sz w:val="16"/>
          <w:szCs w:val="16"/>
        </w:rPr>
      </w:pPr>
      <w:r w:rsidRPr="00507A31">
        <w:rPr>
          <w:color w:val="000000" w:themeColor="text1"/>
          <w:sz w:val="16"/>
          <w:szCs w:val="16"/>
        </w:rPr>
        <w:t>ЛАРИЧЕВ.</w:t>
      </w:r>
    </w:p>
    <w:p w14:paraId="47BE5D0E" w14:textId="77777777" w:rsidR="00DF037A" w:rsidRPr="00507A31" w:rsidRDefault="00DF037A" w:rsidP="00507A31">
      <w:pPr>
        <w:jc w:val="both"/>
        <w:rPr>
          <w:color w:val="000000" w:themeColor="text1"/>
          <w:sz w:val="16"/>
          <w:szCs w:val="16"/>
        </w:rPr>
      </w:pPr>
      <w:r w:rsidRPr="00507A31">
        <w:rPr>
          <w:color w:val="000000" w:themeColor="text1"/>
          <w:sz w:val="16"/>
          <w:szCs w:val="16"/>
        </w:rPr>
        <w:t>ДОПРОСИЛИ — НАЧ. СООГПУ АГРАНОВ</w:t>
      </w:r>
    </w:p>
    <w:p w14:paraId="6D04BF25" w14:textId="77777777" w:rsidR="00DF037A" w:rsidRPr="00507A31" w:rsidRDefault="00DF037A" w:rsidP="00507A31">
      <w:pPr>
        <w:jc w:val="both"/>
        <w:rPr>
          <w:color w:val="000000" w:themeColor="text1"/>
          <w:sz w:val="16"/>
          <w:szCs w:val="16"/>
        </w:rPr>
      </w:pPr>
      <w:r w:rsidRPr="00507A31">
        <w:rPr>
          <w:color w:val="000000" w:themeColor="text1"/>
          <w:sz w:val="16"/>
          <w:szCs w:val="16"/>
        </w:rPr>
        <w:t>НАЧ. 3 ОТДЕЛЕНИЯ СООГПУ: СЛАВАТИНСКИЙ.</w:t>
      </w:r>
    </w:p>
    <w:p w14:paraId="6A25DF35" w14:textId="77777777" w:rsidR="00DF037A" w:rsidRPr="00507A31" w:rsidRDefault="00DF037A" w:rsidP="00507A31">
      <w:pPr>
        <w:jc w:val="both"/>
        <w:rPr>
          <w:color w:val="000000" w:themeColor="text1"/>
          <w:sz w:val="16"/>
          <w:szCs w:val="16"/>
        </w:rPr>
      </w:pPr>
      <w:r w:rsidRPr="00507A31">
        <w:rPr>
          <w:color w:val="000000" w:themeColor="text1"/>
          <w:sz w:val="16"/>
          <w:szCs w:val="16"/>
        </w:rPr>
        <w:t>Д. 354. Л. 43-52. Заверенная машинописная копия того времени. В начале протокола допроса (Л. 43) в качестве второго следователя назван помощник начальника 3 отдела СО ОГПУ Радзивиловский. На Л. 43 вверху — штамп с вписанными от руки данными о распечатке (50 экз.) текста и датой «19.Х.1930 г.», подпись-автограф Хряпкиной. Рядом штамп о рассылке документа (номер и дата отсутствуют).</w:t>
      </w:r>
    </w:p>
    <w:p w14:paraId="49F0DC54"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Показания В. А. Ларичева были направлены «для сведения» членам и кандидатам в члены Политбюро ЦК В КП (б)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Чарновского, Предтеченского, Соловьева, Мюллера, Кирпотенко от 16 и 17X30 г. — «по вопросу об интервенции». (Копия сопроводительного письма на Л. 1; см. легенду к док. № 354-1 «Показания Е. Ф. Евреинова [...]».,) (18463).</w:t>
      </w:r>
    </w:p>
    <w:p w14:paraId="384167D2" w14:textId="77777777" w:rsidR="00DF037A" w:rsidRPr="00507A31" w:rsidRDefault="00DF037A" w:rsidP="00507A31">
      <w:pPr>
        <w:jc w:val="both"/>
        <w:rPr>
          <w:color w:val="000000" w:themeColor="text1"/>
          <w:sz w:val="16"/>
          <w:szCs w:val="16"/>
        </w:rPr>
      </w:pPr>
    </w:p>
    <w:p w14:paraId="4038ACF2"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594F8898"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Показания С. А. Предтеченского о составе и задачах «военной секции инженерно-вредительского центра». 16 октября 1930 г.</w:t>
      </w:r>
    </w:p>
    <w:p w14:paraId="5B381066" w14:textId="77777777" w:rsidR="00DF037A" w:rsidRPr="00507A31" w:rsidRDefault="00DF037A" w:rsidP="00507A31">
      <w:pPr>
        <w:jc w:val="both"/>
        <w:rPr>
          <w:color w:val="000000" w:themeColor="text1"/>
          <w:sz w:val="16"/>
          <w:szCs w:val="16"/>
        </w:rPr>
      </w:pPr>
      <w:r w:rsidRPr="00507A31">
        <w:rPr>
          <w:color w:val="000000" w:themeColor="text1"/>
          <w:sz w:val="16"/>
          <w:szCs w:val="16"/>
        </w:rPr>
        <w:t>Источник: </w:t>
      </w:r>
    </w:p>
    <w:p w14:paraId="10DA0973" w14:textId="77777777" w:rsidR="00DF037A" w:rsidRPr="00507A31" w:rsidRDefault="00DF037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7A945F0"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53ECD4C3" w14:textId="77777777" w:rsidR="00DF037A" w:rsidRPr="00507A31" w:rsidRDefault="00DF037A" w:rsidP="00507A31">
      <w:pPr>
        <w:jc w:val="both"/>
        <w:rPr>
          <w:color w:val="000000" w:themeColor="text1"/>
          <w:sz w:val="16"/>
          <w:szCs w:val="16"/>
        </w:rPr>
      </w:pPr>
      <w:r w:rsidRPr="00507A31">
        <w:rPr>
          <w:color w:val="000000" w:themeColor="text1"/>
          <w:sz w:val="16"/>
          <w:szCs w:val="16"/>
        </w:rPr>
        <w:t>[Строго секретно]</w:t>
      </w:r>
    </w:p>
    <w:p w14:paraId="3FAB2F1B"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ПОКАЗАНИЯ</w:t>
      </w:r>
    </w:p>
    <w:p w14:paraId="253AF8B9" w14:textId="77777777" w:rsidR="00DF037A" w:rsidRPr="00507A31" w:rsidRDefault="00DF037A" w:rsidP="00507A31">
      <w:pPr>
        <w:jc w:val="both"/>
        <w:rPr>
          <w:color w:val="000000" w:themeColor="text1"/>
          <w:sz w:val="16"/>
          <w:szCs w:val="16"/>
        </w:rPr>
      </w:pPr>
      <w:r w:rsidRPr="00507A31">
        <w:rPr>
          <w:color w:val="000000" w:themeColor="text1"/>
          <w:sz w:val="16"/>
          <w:szCs w:val="16"/>
        </w:rPr>
        <w:t>инженера ПРЕДТЕЧЕСКОГО Сергея Алексеевича</w:t>
      </w:r>
    </w:p>
    <w:p w14:paraId="6264A9D8" w14:textId="77777777" w:rsidR="00DF037A" w:rsidRPr="00507A31" w:rsidRDefault="00DF037A" w:rsidP="00507A31">
      <w:pPr>
        <w:jc w:val="both"/>
        <w:rPr>
          <w:color w:val="000000" w:themeColor="text1"/>
          <w:sz w:val="16"/>
          <w:szCs w:val="16"/>
        </w:rPr>
      </w:pPr>
      <w:r w:rsidRPr="00507A31">
        <w:rPr>
          <w:color w:val="000000" w:themeColor="text1"/>
          <w:sz w:val="16"/>
          <w:szCs w:val="16"/>
        </w:rPr>
        <w:lastRenderedPageBreak/>
        <w:t>от 16-го Октября 1930 г.</w:t>
      </w:r>
    </w:p>
    <w:p w14:paraId="4AD4BF1A" w14:textId="77777777" w:rsidR="00DF037A" w:rsidRPr="00507A31" w:rsidRDefault="00DF037A" w:rsidP="00507A31">
      <w:pPr>
        <w:jc w:val="both"/>
        <w:rPr>
          <w:color w:val="000000" w:themeColor="text1"/>
          <w:sz w:val="16"/>
          <w:szCs w:val="16"/>
        </w:rPr>
      </w:pPr>
      <w:r w:rsidRPr="00507A31">
        <w:rPr>
          <w:color w:val="000000" w:themeColor="text1"/>
          <w:sz w:val="16"/>
          <w:szCs w:val="16"/>
        </w:rPr>
        <w:t>Летом 1929 г. в составе инженерно-вредительского центра организована военная секция для координирования работы отдельных вредительских организаций, работающих на военных предприятиях, инженерных частях и военно-учебных заведениях.</w:t>
      </w:r>
    </w:p>
    <w:p w14:paraId="5EB4170B" w14:textId="77777777" w:rsidR="00DF037A" w:rsidRPr="00507A31" w:rsidRDefault="00DF037A" w:rsidP="00507A31">
      <w:pPr>
        <w:jc w:val="both"/>
        <w:rPr>
          <w:color w:val="000000" w:themeColor="text1"/>
          <w:sz w:val="16"/>
          <w:szCs w:val="16"/>
        </w:rPr>
      </w:pPr>
      <w:r w:rsidRPr="00507A31">
        <w:rPr>
          <w:color w:val="000000" w:themeColor="text1"/>
          <w:sz w:val="16"/>
          <w:szCs w:val="16"/>
        </w:rPr>
        <w:t>В состав этой секции вошли И. А. КАЛИННИКОВ, В. А. ЛАРИЧЕВ, НОВИЦКИЙ, Л. К. РАМЗИН под общим руководством П. С. ОСАДЧЕГО[.] РАМЗИН поручил мне от имени секции установить связь с военной промышленностью, используя мою работу в строительно-монтажном Бюро Тепло-Технического Института. Эта связь по линии комиссии по мобилизации и демобилизации промышленности была установлена через В. И. АНИЧКОВА, а по линии Военпрома через [М.] А. ГУБИНА. Далее мне известно, что по авиа- и авто-моторной промышленности работает группа, возглавляемая Н. Р. БРИЛИНГОМ. На Тульском</w:t>
      </w:r>
    </w:p>
    <w:p w14:paraId="3DE4EF97" w14:textId="77777777" w:rsidR="00DF037A" w:rsidRPr="00507A31" w:rsidRDefault="00DF037A" w:rsidP="00507A31">
      <w:pPr>
        <w:jc w:val="both"/>
        <w:rPr>
          <w:color w:val="000000" w:themeColor="text1"/>
          <w:sz w:val="16"/>
          <w:szCs w:val="16"/>
        </w:rPr>
      </w:pPr>
      <w:r w:rsidRPr="00507A31">
        <w:rPr>
          <w:color w:val="000000" w:themeColor="text1"/>
          <w:sz w:val="16"/>
          <w:szCs w:val="16"/>
        </w:rPr>
        <w:t>Оружейном заводе с инженерным центром и его военной секцией связан главный механик ВАСИЛЕВСКИЙ. Группу заводов тяжелой индустрии и Обуховского связывает С. И. КРАУЗЕ. Судотрест связан с центром через С. Г. ТАМАНЦЕВА.</w:t>
      </w:r>
    </w:p>
    <w:p w14:paraId="12C85198" w14:textId="77777777" w:rsidR="00DF037A" w:rsidRPr="00507A31" w:rsidRDefault="00DF037A" w:rsidP="00507A31">
      <w:pPr>
        <w:jc w:val="both"/>
        <w:rPr>
          <w:color w:val="000000" w:themeColor="text1"/>
          <w:sz w:val="16"/>
          <w:szCs w:val="16"/>
        </w:rPr>
      </w:pPr>
      <w:r w:rsidRPr="00507A31">
        <w:rPr>
          <w:color w:val="000000" w:themeColor="text1"/>
          <w:sz w:val="16"/>
          <w:szCs w:val="16"/>
        </w:rPr>
        <w:t>Для создания прочной опоры на случай интервенции в рядах красной армии и мобилизации сторонников среди лиц военного командования, установлена связь инженерного центра с генералом ВЕРХОВСКИМ.</w:t>
      </w:r>
    </w:p>
    <w:p w14:paraId="29EEF09D" w14:textId="77777777" w:rsidR="00DF037A" w:rsidRPr="00507A31" w:rsidRDefault="00DF037A" w:rsidP="00507A31">
      <w:pPr>
        <w:jc w:val="both"/>
        <w:rPr>
          <w:color w:val="000000" w:themeColor="text1"/>
          <w:sz w:val="16"/>
          <w:szCs w:val="16"/>
        </w:rPr>
      </w:pPr>
      <w:r w:rsidRPr="00507A31">
        <w:rPr>
          <w:color w:val="000000" w:themeColor="text1"/>
          <w:sz w:val="16"/>
          <w:szCs w:val="16"/>
        </w:rPr>
        <w:t>Одним из наиболее актуальных способов вербовки и создания надежных групп из командиров запаса инженерный центр рекомендовал путь использования повторных лагерных сборов для офицеров запаса.</w:t>
      </w:r>
    </w:p>
    <w:p w14:paraId="4E9179F2" w14:textId="77777777" w:rsidR="00DF037A" w:rsidRPr="00507A31" w:rsidRDefault="00DF037A" w:rsidP="00507A31">
      <w:pPr>
        <w:jc w:val="both"/>
        <w:rPr>
          <w:color w:val="000000" w:themeColor="text1"/>
          <w:sz w:val="16"/>
          <w:szCs w:val="16"/>
        </w:rPr>
      </w:pPr>
      <w:r w:rsidRPr="00507A31">
        <w:rPr>
          <w:color w:val="000000" w:themeColor="text1"/>
          <w:sz w:val="16"/>
          <w:szCs w:val="16"/>
        </w:rPr>
        <w:t>Призванные на эти сборы члены вредительских организаций получали задания вербовать в свои ряды приезжающих с мест и распределять между ними вредительские к. р. задания. Такие поручения выполняли А. И. МОРОЗ и Н. И. ЛАЗАРЕВ во время отбытия ими лагерного сбора.</w:t>
      </w:r>
    </w:p>
    <w:p w14:paraId="3E001A9F" w14:textId="77777777" w:rsidR="00DF037A" w:rsidRPr="00507A31" w:rsidRDefault="00DF037A" w:rsidP="00507A31">
      <w:pPr>
        <w:jc w:val="both"/>
        <w:rPr>
          <w:color w:val="000000" w:themeColor="text1"/>
          <w:sz w:val="16"/>
          <w:szCs w:val="16"/>
        </w:rPr>
      </w:pPr>
      <w:r w:rsidRPr="00507A31">
        <w:rPr>
          <w:color w:val="000000" w:themeColor="text1"/>
          <w:sz w:val="16"/>
          <w:szCs w:val="16"/>
        </w:rPr>
        <w:t>Для этих же целей по заданию инженерного центра был взят курс на концентрацию и подбор в штаты учреждений и предприятий большого числа сотрудников из числа бывш. белых офицеров запаса.</w:t>
      </w:r>
    </w:p>
    <w:p w14:paraId="250A1A35" w14:textId="77777777" w:rsidR="00DF037A" w:rsidRPr="00507A31" w:rsidRDefault="00DF037A" w:rsidP="00507A31">
      <w:pPr>
        <w:jc w:val="both"/>
        <w:rPr>
          <w:color w:val="000000" w:themeColor="text1"/>
          <w:sz w:val="16"/>
          <w:szCs w:val="16"/>
        </w:rPr>
      </w:pPr>
      <w:r w:rsidRPr="00507A31">
        <w:rPr>
          <w:color w:val="000000" w:themeColor="text1"/>
          <w:sz w:val="16"/>
          <w:szCs w:val="16"/>
        </w:rPr>
        <w:t>Такие военные группы естественно представляли собою большую ценность с точки зрения возможности оказания широкой и активной помощи интервентам.</w:t>
      </w:r>
    </w:p>
    <w:p w14:paraId="0F9C31EF" w14:textId="77777777" w:rsidR="00DF037A" w:rsidRPr="00507A31" w:rsidRDefault="00DF037A" w:rsidP="00507A31">
      <w:pPr>
        <w:jc w:val="both"/>
        <w:rPr>
          <w:color w:val="000000" w:themeColor="text1"/>
          <w:sz w:val="16"/>
          <w:szCs w:val="16"/>
        </w:rPr>
      </w:pPr>
      <w:r w:rsidRPr="00507A31">
        <w:rPr>
          <w:color w:val="000000" w:themeColor="text1"/>
          <w:sz w:val="16"/>
          <w:szCs w:val="16"/>
        </w:rPr>
        <w:t>Такие группы[,] я знаю со слов В. А. ЛАРИЧЕВА, были организованы в нефтяной промышленности в области постройки нефтепроводов и перегонных заводов во главе с АККЕРМАНОМ и БУЛГАКОВЫМ.</w:t>
      </w:r>
    </w:p>
    <w:p w14:paraId="763446A8" w14:textId="77777777" w:rsidR="00DF037A" w:rsidRPr="00507A31" w:rsidRDefault="00DF037A" w:rsidP="00507A31">
      <w:pPr>
        <w:jc w:val="both"/>
        <w:rPr>
          <w:color w:val="000000" w:themeColor="text1"/>
          <w:sz w:val="16"/>
          <w:szCs w:val="16"/>
        </w:rPr>
      </w:pPr>
      <w:r w:rsidRPr="00507A31">
        <w:rPr>
          <w:color w:val="000000" w:themeColor="text1"/>
          <w:sz w:val="16"/>
          <w:szCs w:val="16"/>
        </w:rPr>
        <w:t>Углубление Туапсинского порта до осадки иностранных военных судов, являются примерами работы этой группы. Такие же военные группы были и в Управлении[,] и на рудниках Донбасса.</w:t>
      </w:r>
    </w:p>
    <w:p w14:paraId="4E879B02" w14:textId="77777777" w:rsidR="00DF037A" w:rsidRPr="00507A31" w:rsidRDefault="00DF037A" w:rsidP="00507A31">
      <w:pPr>
        <w:jc w:val="both"/>
        <w:rPr>
          <w:color w:val="000000" w:themeColor="text1"/>
          <w:sz w:val="16"/>
          <w:szCs w:val="16"/>
        </w:rPr>
      </w:pPr>
      <w:r w:rsidRPr="00507A31">
        <w:rPr>
          <w:color w:val="000000" w:themeColor="text1"/>
          <w:sz w:val="16"/>
          <w:szCs w:val="16"/>
        </w:rPr>
        <w:t>Распоряжением Л. К. РАМЗИНА мне было поручено организовать это дело в Институте. Приемный аппарат Тепло-технич[еского] Ин-та «Донтопа» удалось снабдить хорошо развитой офицерской группой, возглавляемой бывш. офицером ХРОНОВЫМ в составе САМОЙЛОВА, ТОМАЕВА, МАРЧЕНКО, ЗИНЬКО, БОНДАРЕВА, МУРАШЕВА, ШЕВКАЛЕНКО, ПЕНЗИНА, НАЙДЕНОВА, БОГАТЫРЕВА, ШЕВЧЕНКО, МАКАРЫЧЕВА, АПАШИНСКОГО, КАМИНСКОГО. Я лично в целях укомплектования этой группы направил в нее ТОМАЕВА и санкционировал перевод из Института ХРОПОВА.</w:t>
      </w:r>
    </w:p>
    <w:p w14:paraId="43527EDB" w14:textId="77777777" w:rsidR="00DF037A" w:rsidRPr="00507A31" w:rsidRDefault="00DF037A" w:rsidP="00507A31">
      <w:pPr>
        <w:jc w:val="both"/>
        <w:rPr>
          <w:color w:val="000000" w:themeColor="text1"/>
          <w:sz w:val="16"/>
          <w:szCs w:val="16"/>
        </w:rPr>
      </w:pPr>
      <w:r w:rsidRPr="00507A31">
        <w:rPr>
          <w:color w:val="000000" w:themeColor="text1"/>
          <w:sz w:val="16"/>
          <w:szCs w:val="16"/>
        </w:rPr>
        <w:t>В Строительно-монтажном Бюро офицерская группа была создана под моим руководством и во главе последней был мною поставлен бывш. казачий полковник И. Н. ВАЗ&lt;...&gt;, в составе А. А. ГАГАРИНА, В. А. МАКСИМОВА, Н. И. ЛАЗАРЕВА, &lt;...&gt; и др. И наконец в Центральном аппарате Ин-та была группа возглавляемая В. К. НИКОЛАЕВЫМ[,] бывш. ПОЛКОВНИКОМ[,] В СОСТАВЕ НОСОВА, РЫБНИКОВА, АРНОЛЬДА, МОРОЗ и др. На В. К. НИКОЛАЕВЕ лежало руководство и координация деятельности офицерскими группами, находящимися в филиалах Ин-та (Донтоп, Строительно-] монт[ажное] Бюро РЭТ). В общей сложности по одной Москве в составе Ин[ститу]та числилось до 45 чел. 6ывш[их] офицеров и 18-20 в аппарате Донтопа.</w:t>
      </w:r>
    </w:p>
    <w:p w14:paraId="4ED97D50" w14:textId="77777777" w:rsidR="00DF037A" w:rsidRPr="00507A31" w:rsidRDefault="00DF037A" w:rsidP="00507A31">
      <w:pPr>
        <w:jc w:val="both"/>
        <w:rPr>
          <w:color w:val="000000" w:themeColor="text1"/>
          <w:sz w:val="16"/>
          <w:szCs w:val="16"/>
        </w:rPr>
      </w:pPr>
      <w:r w:rsidRPr="00507A31">
        <w:rPr>
          <w:color w:val="000000" w:themeColor="text1"/>
          <w:sz w:val="16"/>
          <w:szCs w:val="16"/>
        </w:rPr>
        <w:t>Такой состав работников был специально подобран для использования его в случае интервенции в разнообразных направлениях в зависимости от требования и обстановки и специальности, причем строевое офицерство этих групп должно было &lt;быть&gt; направлено в распоряжение военного командования для ведения разлагающей работы в частях красной армии, а также для возглавления ими частей, которые должны были восстать в первую очередь против Советской власти в начале интервенции.</w:t>
      </w:r>
    </w:p>
    <w:p w14:paraId="08A9332B" w14:textId="77777777" w:rsidR="00DF037A" w:rsidRPr="00507A31" w:rsidRDefault="00DF037A" w:rsidP="00507A31">
      <w:pPr>
        <w:jc w:val="both"/>
        <w:rPr>
          <w:color w:val="000000" w:themeColor="text1"/>
          <w:sz w:val="16"/>
          <w:szCs w:val="16"/>
        </w:rPr>
      </w:pPr>
      <w:r w:rsidRPr="00507A31">
        <w:rPr>
          <w:color w:val="000000" w:themeColor="text1"/>
          <w:sz w:val="16"/>
          <w:szCs w:val="16"/>
        </w:rPr>
        <w:t>Третьей боевой задачей[,] поставленной перед к. р. вредительскими организациями инженерно-вредительским центром[,] являлась задача укомплектования промышленных предприятий людьми[,] способными взять на себя осуществления диверсионных актов в случае интервенции, и чтобы при помощи их предприятия могли быть выведены из строя в зависимости от требований обстановки.</w:t>
      </w:r>
    </w:p>
    <w:p w14:paraId="5E1CA893" w14:textId="77777777" w:rsidR="00DF037A" w:rsidRPr="00507A31" w:rsidRDefault="00DF037A" w:rsidP="00507A31">
      <w:pPr>
        <w:jc w:val="both"/>
        <w:rPr>
          <w:color w:val="000000" w:themeColor="text1"/>
          <w:sz w:val="16"/>
          <w:szCs w:val="16"/>
        </w:rPr>
      </w:pPr>
      <w:r w:rsidRPr="00507A31">
        <w:rPr>
          <w:color w:val="000000" w:themeColor="text1"/>
          <w:sz w:val="16"/>
          <w:szCs w:val="16"/>
        </w:rPr>
        <w:t>Соприкасаясь в своей повседневной работе с работниками Энергоцентра, отдельные члены вредительской организации Ин-та были в курсе имевшихся в этом вопросе настроений.</w:t>
      </w:r>
    </w:p>
    <w:p w14:paraId="0C7BF2D6" w14:textId="77777777" w:rsidR="00DF037A" w:rsidRPr="00507A31" w:rsidRDefault="00DF037A" w:rsidP="00507A31">
      <w:pPr>
        <w:jc w:val="both"/>
        <w:rPr>
          <w:color w:val="000000" w:themeColor="text1"/>
          <w:sz w:val="16"/>
          <w:szCs w:val="16"/>
        </w:rPr>
      </w:pPr>
      <w:r w:rsidRPr="00507A31">
        <w:rPr>
          <w:color w:val="000000" w:themeColor="text1"/>
          <w:sz w:val="16"/>
          <w:szCs w:val="16"/>
        </w:rPr>
        <w:t>Этот вопрос ставился на обсуждение в одном из нелегальных совещаний вредительской организации Ин-та, которая поручила проводить его</w:t>
      </w:r>
    </w:p>
    <w:p w14:paraId="0A1FB0A5" w14:textId="77777777" w:rsidR="00DF037A" w:rsidRPr="00507A31" w:rsidRDefault="00DF037A" w:rsidP="00507A31">
      <w:pPr>
        <w:jc w:val="both"/>
        <w:rPr>
          <w:color w:val="000000" w:themeColor="text1"/>
          <w:sz w:val="16"/>
          <w:szCs w:val="16"/>
        </w:rPr>
      </w:pPr>
      <w:r w:rsidRPr="00507A31">
        <w:rPr>
          <w:color w:val="000000" w:themeColor="text1"/>
          <w:sz w:val="16"/>
          <w:szCs w:val="16"/>
        </w:rPr>
        <w:t>В. И. &lt;ХУДЯ&gt;КОВУ, работавшему в то время в Энергострое и имевшему возможность бывать заграницей. Мне известно со слов Л. К. РАМЗИНА и В. И. &lt;ХУДЯ&gt;КОВА[,] что осуществление этой директивы инженерного центра согласились принять по линии МОГЭС Г. С. САНГОВИЧ, Я. П. ВЕТ&lt;ЧИНК&gt;ИН[,] в Главэлектро С. Н. СТАФРИН и &lt;...&gt;, в Харьковском районе КАПЕЛЛЕР, Северной Волге СТУПИН.</w:t>
      </w:r>
    </w:p>
    <w:p w14:paraId="7CC8668E" w14:textId="77777777" w:rsidR="00DF037A" w:rsidRPr="00507A31" w:rsidRDefault="00DF037A" w:rsidP="00507A31">
      <w:pPr>
        <w:jc w:val="both"/>
        <w:rPr>
          <w:color w:val="000000" w:themeColor="text1"/>
          <w:sz w:val="16"/>
          <w:szCs w:val="16"/>
        </w:rPr>
      </w:pPr>
      <w:r w:rsidRPr="00507A31">
        <w:rPr>
          <w:color w:val="000000" w:themeColor="text1"/>
          <w:sz w:val="16"/>
          <w:szCs w:val="16"/>
        </w:rPr>
        <w:t>Вышеперечисленные лица вошли в связь с районными инженерами Главэлектро, фамилии которых мне неизвестны. На нелегальных совещаниях вредительской организации Тепло-Техн[ического] Ин-та &lt;В. И. ХУДЯКОВ&gt; делал время от времени сообщения о ходе этой работы.</w:t>
      </w:r>
    </w:p>
    <w:p w14:paraId="2F1353C4" w14:textId="77777777" w:rsidR="00DF037A" w:rsidRPr="00507A31" w:rsidRDefault="00DF037A" w:rsidP="00507A31">
      <w:pPr>
        <w:jc w:val="both"/>
        <w:rPr>
          <w:color w:val="000000" w:themeColor="text1"/>
          <w:sz w:val="16"/>
          <w:szCs w:val="16"/>
        </w:rPr>
      </w:pPr>
      <w:r w:rsidRPr="00507A31">
        <w:rPr>
          <w:color w:val="000000" w:themeColor="text1"/>
          <w:sz w:val="16"/>
          <w:szCs w:val="16"/>
        </w:rPr>
        <w:t>Из этих сообщений усматривается, что такие диверсионные группы успешно создавались на большинстве наиболее ответственных предприятиях. Записано под мою диктовку и мною прочитано:</w:t>
      </w:r>
    </w:p>
    <w:p w14:paraId="13815B8D" w14:textId="77777777" w:rsidR="00DF037A" w:rsidRPr="00507A31" w:rsidRDefault="00DF037A" w:rsidP="00507A31">
      <w:pPr>
        <w:jc w:val="both"/>
        <w:rPr>
          <w:color w:val="000000" w:themeColor="text1"/>
          <w:sz w:val="16"/>
          <w:szCs w:val="16"/>
        </w:rPr>
      </w:pPr>
      <w:r w:rsidRPr="00507A31">
        <w:rPr>
          <w:color w:val="000000" w:themeColor="text1"/>
          <w:sz w:val="16"/>
          <w:szCs w:val="16"/>
        </w:rPr>
        <w:t>С. ПРЕДТЕЧЕНСКИЙ.</w:t>
      </w:r>
    </w:p>
    <w:p w14:paraId="64A1DF6D" w14:textId="77777777" w:rsidR="00DF037A" w:rsidRPr="00507A31" w:rsidRDefault="00DF037A" w:rsidP="00507A31">
      <w:pPr>
        <w:jc w:val="both"/>
        <w:rPr>
          <w:color w:val="000000" w:themeColor="text1"/>
          <w:sz w:val="16"/>
          <w:szCs w:val="16"/>
        </w:rPr>
      </w:pPr>
      <w:r w:rsidRPr="00507A31">
        <w:rPr>
          <w:color w:val="000000" w:themeColor="text1"/>
          <w:sz w:val="16"/>
          <w:szCs w:val="16"/>
        </w:rPr>
        <w:t>Допросил: Пом. Нач. 1-го От-ния ЭКУ ОГПУ: Ржавский</w:t>
      </w:r>
    </w:p>
    <w:p w14:paraId="31054312" w14:textId="77777777" w:rsidR="00DF037A" w:rsidRPr="00507A31" w:rsidRDefault="00DF037A" w:rsidP="00507A31">
      <w:pPr>
        <w:jc w:val="both"/>
        <w:rPr>
          <w:color w:val="000000" w:themeColor="text1"/>
          <w:sz w:val="16"/>
          <w:szCs w:val="16"/>
        </w:rPr>
      </w:pPr>
      <w:r w:rsidRPr="00507A31">
        <w:rPr>
          <w:color w:val="000000" w:themeColor="text1"/>
          <w:sz w:val="16"/>
          <w:szCs w:val="16"/>
        </w:rPr>
        <w:t>Д. 354. Л. 60-63. Машинописная копия того времени. На Л. 60 вверху — штамп с вписанными от руки данными о распечатке (50 экз.) текста и датой «19.X.1930 г.», подпись-автограф Хряпкиной. Рядом штамп о рассылке документа (номер и дата отсутствуют).</w:t>
      </w:r>
    </w:p>
    <w:p w14:paraId="31EAE7A6"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Показания С. А. Предтеченского были направлены «для сведения» членам и кандидатам Политбюро ЦК В КП (б)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Соловьева, Мюллера, Кирпотенко от 16 и 17.Х.30 г. — «по вопросу об интервенции». (Копия сопроводительного письма на Л. 1; см. легенду к док. № 354-1 «Показания Е. Ф. Евреинова [...]».) (18464).</w:t>
      </w:r>
    </w:p>
    <w:p w14:paraId="1BC5AA8B" w14:textId="77777777" w:rsidR="00DF037A" w:rsidRPr="00507A31" w:rsidRDefault="00DF037A" w:rsidP="00507A31">
      <w:pPr>
        <w:jc w:val="both"/>
        <w:rPr>
          <w:color w:val="000000" w:themeColor="text1"/>
          <w:sz w:val="16"/>
          <w:szCs w:val="16"/>
        </w:rPr>
      </w:pPr>
    </w:p>
    <w:p w14:paraId="092C44CE"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0258500E"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Показания А. А. Кирпотенко о «заграничных связях вредительской организации». 16 октября 1930 г.</w:t>
      </w:r>
    </w:p>
    <w:p w14:paraId="1103EBED" w14:textId="77777777" w:rsidR="00DF037A" w:rsidRPr="00507A31" w:rsidRDefault="00DF037A" w:rsidP="00507A31">
      <w:pPr>
        <w:jc w:val="both"/>
        <w:rPr>
          <w:color w:val="000000" w:themeColor="text1"/>
          <w:sz w:val="16"/>
          <w:szCs w:val="16"/>
        </w:rPr>
      </w:pPr>
      <w:r w:rsidRPr="00507A31">
        <w:rPr>
          <w:color w:val="000000" w:themeColor="text1"/>
          <w:sz w:val="16"/>
          <w:szCs w:val="16"/>
        </w:rPr>
        <w:t>Источник: </w:t>
      </w:r>
    </w:p>
    <w:p w14:paraId="5E7E9779" w14:textId="77777777" w:rsidR="00DF037A" w:rsidRPr="00507A31" w:rsidRDefault="00DF037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985EC87" w14:textId="77777777" w:rsidR="00DF037A" w:rsidRPr="00507A31" w:rsidRDefault="00DF037A" w:rsidP="00507A31">
      <w:pPr>
        <w:jc w:val="both"/>
        <w:rPr>
          <w:color w:val="000000" w:themeColor="text1"/>
          <w:sz w:val="16"/>
          <w:szCs w:val="16"/>
        </w:rPr>
      </w:pPr>
      <w:r w:rsidRPr="00507A31">
        <w:rPr>
          <w:color w:val="000000" w:themeColor="text1"/>
          <w:sz w:val="16"/>
          <w:szCs w:val="16"/>
        </w:rPr>
        <w:t>Архив: </w:t>
      </w:r>
    </w:p>
    <w:p w14:paraId="61CFBC46" w14:textId="77777777" w:rsidR="00DF037A" w:rsidRPr="00507A31" w:rsidRDefault="00DF037A" w:rsidP="00507A31">
      <w:pPr>
        <w:jc w:val="both"/>
        <w:rPr>
          <w:color w:val="000000" w:themeColor="text1"/>
          <w:sz w:val="16"/>
          <w:szCs w:val="16"/>
        </w:rPr>
      </w:pPr>
      <w:r w:rsidRPr="00507A31">
        <w:rPr>
          <w:color w:val="000000" w:themeColor="text1"/>
          <w:sz w:val="16"/>
          <w:szCs w:val="16"/>
        </w:rPr>
        <w:t>ЦА ФСБ РФ. Ф.Р-42280. Т. 10. Л. 245-246. Заверенная машинописная копия того времени</w:t>
      </w:r>
    </w:p>
    <w:p w14:paraId="7976C356"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5C30A863" w14:textId="77777777" w:rsidR="00DF037A" w:rsidRPr="00507A31" w:rsidRDefault="00DF037A" w:rsidP="00507A31">
      <w:pPr>
        <w:jc w:val="both"/>
        <w:rPr>
          <w:color w:val="000000" w:themeColor="text1"/>
          <w:sz w:val="16"/>
          <w:szCs w:val="16"/>
        </w:rPr>
      </w:pPr>
      <w:r w:rsidRPr="00507A31">
        <w:rPr>
          <w:color w:val="000000" w:themeColor="text1"/>
          <w:sz w:val="16"/>
          <w:szCs w:val="16"/>
        </w:rPr>
        <w:t>[Строго секретно]</w:t>
      </w:r>
    </w:p>
    <w:p w14:paraId="51B8B867" w14:textId="77777777" w:rsidR="00DF037A" w:rsidRPr="00507A31" w:rsidRDefault="00DF037A" w:rsidP="00507A31">
      <w:pPr>
        <w:jc w:val="both"/>
        <w:rPr>
          <w:color w:val="000000" w:themeColor="text1"/>
          <w:sz w:val="16"/>
          <w:szCs w:val="16"/>
        </w:rPr>
      </w:pPr>
      <w:r w:rsidRPr="00507A31">
        <w:rPr>
          <w:color w:val="000000" w:themeColor="text1"/>
          <w:sz w:val="16"/>
          <w:szCs w:val="16"/>
        </w:rPr>
        <w:t>СОБСТВЕННОРУЧНОЕ ПОКАЗАНИЕ</w:t>
      </w:r>
    </w:p>
    <w:p w14:paraId="36872A79" w14:textId="77777777" w:rsidR="00DF037A" w:rsidRPr="00507A31" w:rsidRDefault="00DF037A" w:rsidP="00507A31">
      <w:pPr>
        <w:jc w:val="both"/>
        <w:rPr>
          <w:color w:val="000000" w:themeColor="text1"/>
          <w:sz w:val="16"/>
          <w:szCs w:val="16"/>
        </w:rPr>
      </w:pPr>
      <w:r w:rsidRPr="00507A31">
        <w:rPr>
          <w:color w:val="000000" w:themeColor="text1"/>
          <w:sz w:val="16"/>
          <w:szCs w:val="16"/>
        </w:rPr>
        <w:t>КИРПОТЕНКО А. А. от 16-го Октября 1930 г.</w:t>
      </w:r>
    </w:p>
    <w:p w14:paraId="7A7542BD" w14:textId="77777777" w:rsidR="00DF037A" w:rsidRPr="00507A31" w:rsidRDefault="00DF037A" w:rsidP="00507A31">
      <w:pPr>
        <w:jc w:val="both"/>
        <w:rPr>
          <w:color w:val="000000" w:themeColor="text1"/>
          <w:sz w:val="16"/>
          <w:szCs w:val="16"/>
        </w:rPr>
      </w:pPr>
      <w:r w:rsidRPr="00507A31">
        <w:rPr>
          <w:color w:val="000000" w:themeColor="text1"/>
          <w:sz w:val="16"/>
          <w:szCs w:val="16"/>
        </w:rPr>
        <w:t>В середине 1927 г. после моего возвращения из заграничной командировки в Германию, я имел беседу с ФЕДОТОВЫМ А. А., в которой он мне сказал о том, что им получена директива от Заграничного Объединения б[ывших] русских фабрикантов, в частности, от КАРПОВА Ф. Г. о необходимости активизации деятельности нашей вредительской организации, при чем эта активизация должна пойти по линии подготовки к интервенции, над осуществлением которой занимается Англия, а позднее эта роль перешла к Франции, привлекающей к ней и другие государства.</w:t>
      </w:r>
    </w:p>
    <w:p w14:paraId="7F8E443E" w14:textId="77777777" w:rsidR="00DF037A" w:rsidRPr="00507A31" w:rsidRDefault="00DF037A" w:rsidP="00507A31">
      <w:pPr>
        <w:jc w:val="both"/>
        <w:rPr>
          <w:color w:val="000000" w:themeColor="text1"/>
          <w:sz w:val="16"/>
          <w:szCs w:val="16"/>
        </w:rPr>
      </w:pPr>
      <w:r w:rsidRPr="00507A31">
        <w:rPr>
          <w:color w:val="000000" w:themeColor="text1"/>
          <w:sz w:val="16"/>
          <w:szCs w:val="16"/>
        </w:rPr>
        <w:t>Проведение этой интервенции намечается к 1930/31 году. Во исполнение этой директивы перед вредорганизацией, по словам ФЕДОТОВА, стояла первоочередная задача охватить своим влиянием мобилизационный отдел, а тогда Мобилизационное Управление ВСНХ, быть в курсе всех мобпланов по текстильной промышленности, для того, чтобы, во 1) ФЕДОТОВ мог информировать о них через КАРПОВА Ф. Г. заграничное объединение бывших русских фабрикантов [и] французское правительство и во 2) чтобы в нужный момент сорвать выполнение этих мобпланов по снабжению Кр[асной] Армии, что ослабило бы ее обороноспособность.</w:t>
      </w:r>
    </w:p>
    <w:p w14:paraId="0FDCFAD5" w14:textId="77777777" w:rsidR="00DF037A" w:rsidRPr="00507A31" w:rsidRDefault="00DF037A" w:rsidP="00507A31">
      <w:pPr>
        <w:jc w:val="both"/>
        <w:rPr>
          <w:color w:val="000000" w:themeColor="text1"/>
          <w:sz w:val="16"/>
          <w:szCs w:val="16"/>
        </w:rPr>
      </w:pPr>
      <w:r w:rsidRPr="00507A31">
        <w:rPr>
          <w:color w:val="000000" w:themeColor="text1"/>
          <w:sz w:val="16"/>
          <w:szCs w:val="16"/>
        </w:rPr>
        <w:t>Приехавший в 1928 г. из заграницы СИТНИН К. В. также сказал мне о том, что им получена директива от КАРПОВА Ф. Г. и КОНОВАЛОВА А. И. о подготовке к интервенции, которая, по его словам, намечается Францией к 1930-31 г. с участием Англии. Для внедрения вредорганизации в мобработу членом таковой КУПРИЯНОВЫМ С. В., возглавлявшим производство хлопчато-бумажной промышленности, в Моботдел был влит в качестве представителя этой отрасли промышленности ОБРЕЗКОВ М. А. (член н/вредорганизации), который по существу являлся нашим осведомителем в Моботделе.</w:t>
      </w:r>
    </w:p>
    <w:p w14:paraId="2B8F7E0B" w14:textId="77777777" w:rsidR="00DF037A" w:rsidRPr="00507A31" w:rsidRDefault="00DF037A" w:rsidP="00507A31">
      <w:pPr>
        <w:jc w:val="both"/>
        <w:rPr>
          <w:color w:val="000000" w:themeColor="text1"/>
          <w:sz w:val="16"/>
          <w:szCs w:val="16"/>
        </w:rPr>
      </w:pPr>
      <w:r w:rsidRPr="00507A31">
        <w:rPr>
          <w:color w:val="000000" w:themeColor="text1"/>
          <w:sz w:val="16"/>
          <w:szCs w:val="16"/>
        </w:rPr>
        <w:t>В самый момент интервенции мы должны были мобилизовать всех членов вредорганизации для дезорганизации снабжения хлопком и пряжей хлопчато-бумажных фабрик[,] для выездов отдельных членов организации на предприятия для остановки их путем вредительства (порча машин, порча сырья и т. д.) и для ведения контр-революционной агитации среди широких слоев населения.</w:t>
      </w:r>
    </w:p>
    <w:p w14:paraId="3AE33C78" w14:textId="77777777" w:rsidR="00DF037A" w:rsidRPr="00507A31" w:rsidRDefault="00DF037A" w:rsidP="00507A31">
      <w:pPr>
        <w:jc w:val="both"/>
        <w:rPr>
          <w:color w:val="000000" w:themeColor="text1"/>
          <w:sz w:val="16"/>
          <w:szCs w:val="16"/>
        </w:rPr>
      </w:pPr>
      <w:r w:rsidRPr="00507A31">
        <w:rPr>
          <w:color w:val="000000" w:themeColor="text1"/>
          <w:sz w:val="16"/>
          <w:szCs w:val="16"/>
        </w:rPr>
        <w:t>А. КИРПОТЕНКО.</w:t>
      </w:r>
    </w:p>
    <w:p w14:paraId="3A93A495" w14:textId="77777777" w:rsidR="00DF037A" w:rsidRPr="00507A31" w:rsidRDefault="00DF037A" w:rsidP="00507A31">
      <w:pPr>
        <w:jc w:val="both"/>
        <w:rPr>
          <w:color w:val="000000" w:themeColor="text1"/>
          <w:sz w:val="16"/>
          <w:szCs w:val="16"/>
        </w:rPr>
      </w:pPr>
      <w:r w:rsidRPr="00507A31">
        <w:rPr>
          <w:color w:val="000000" w:themeColor="text1"/>
          <w:sz w:val="16"/>
          <w:szCs w:val="16"/>
        </w:rPr>
        <w:lastRenderedPageBreak/>
        <w:t>Допросил: Уполномоченный IV-ro Отделения ЭКУ ОГПУ</w:t>
      </w:r>
    </w:p>
    <w:p w14:paraId="4D1DAB90" w14:textId="77777777" w:rsidR="00DF037A" w:rsidRPr="00507A31" w:rsidRDefault="00DF037A" w:rsidP="00507A31">
      <w:pPr>
        <w:jc w:val="both"/>
        <w:rPr>
          <w:color w:val="000000" w:themeColor="text1"/>
          <w:sz w:val="16"/>
          <w:szCs w:val="16"/>
        </w:rPr>
      </w:pPr>
      <w:r w:rsidRPr="00507A31">
        <w:rPr>
          <w:color w:val="000000" w:themeColor="text1"/>
          <w:sz w:val="16"/>
          <w:szCs w:val="16"/>
        </w:rPr>
        <w:t>(РАДИЩЕВ)</w:t>
      </w:r>
    </w:p>
    <w:p w14:paraId="064B9F70" w14:textId="77777777" w:rsidR="00DF037A" w:rsidRPr="00507A31" w:rsidRDefault="00DF037A" w:rsidP="00507A31">
      <w:pPr>
        <w:jc w:val="both"/>
        <w:rPr>
          <w:color w:val="000000" w:themeColor="text1"/>
          <w:sz w:val="16"/>
          <w:szCs w:val="16"/>
        </w:rPr>
      </w:pPr>
      <w:r w:rsidRPr="00507A31">
        <w:rPr>
          <w:color w:val="000000" w:themeColor="text1"/>
          <w:sz w:val="16"/>
          <w:szCs w:val="16"/>
        </w:rPr>
        <w:t>Д. 354. Л. 69 — 70. Машинописная копия того времени. На Л. 69 вверху — штамп с вписанными от руки данными о распечатке (50 экз.) текста и датой «19.Х. 1930 г.», подпись-автограф Хряпкиной. Рядом штамп о рассылке документа (номер и дата отсутствуют). Показания А. А. Кирпотенко были направлены «для сведения» членам и кандидатам в члены Политбюро ЦК ВКП(б)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Предтеченского, Соловьева, Мюллера от 16 и 17.Х.30г. — «по вопросу об интервенции». (Копия сопроводительного письма на Л. 1; см. легенду к док. № 354-1 «Показания Е. Ф. Евреинова [...]».) (18465).</w:t>
      </w:r>
    </w:p>
    <w:p w14:paraId="1E304349" w14:textId="77777777" w:rsidR="00DF037A" w:rsidRPr="00507A31" w:rsidRDefault="00DF037A" w:rsidP="00507A31">
      <w:pPr>
        <w:jc w:val="both"/>
        <w:rPr>
          <w:color w:val="000000" w:themeColor="text1"/>
          <w:sz w:val="16"/>
          <w:szCs w:val="16"/>
        </w:rPr>
      </w:pPr>
    </w:p>
    <w:p w14:paraId="3C9218D1"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4BCEE6D6" w14:textId="77777777" w:rsidR="00DF037A" w:rsidRPr="00507A31" w:rsidRDefault="00DF037A" w:rsidP="00507A31">
      <w:pPr>
        <w:jc w:val="both"/>
        <w:rPr>
          <w:color w:val="000000" w:themeColor="text1"/>
          <w:sz w:val="16"/>
          <w:szCs w:val="16"/>
        </w:rPr>
      </w:pPr>
      <w:r w:rsidRPr="00507A31">
        <w:rPr>
          <w:color w:val="000000" w:themeColor="text1"/>
          <w:sz w:val="16"/>
          <w:szCs w:val="16"/>
        </w:rPr>
        <w:t>Протокол показаний П. М. Соловьева о «подготовке интервенции против СССР». 16 октября 1930 г.</w:t>
      </w:r>
    </w:p>
    <w:p w14:paraId="5B7A8292" w14:textId="77777777" w:rsidR="00DF037A" w:rsidRPr="00507A31" w:rsidRDefault="00DF037A" w:rsidP="00507A31">
      <w:pPr>
        <w:jc w:val="both"/>
        <w:rPr>
          <w:color w:val="000000" w:themeColor="text1"/>
          <w:sz w:val="16"/>
          <w:szCs w:val="16"/>
        </w:rPr>
      </w:pPr>
      <w:r w:rsidRPr="00507A31">
        <w:rPr>
          <w:color w:val="000000" w:themeColor="text1"/>
          <w:sz w:val="16"/>
          <w:szCs w:val="16"/>
        </w:rPr>
        <w:t>Источник: </w:t>
      </w:r>
    </w:p>
    <w:p w14:paraId="05F00B49" w14:textId="77777777" w:rsidR="00DF037A" w:rsidRPr="00507A31" w:rsidRDefault="00DF037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4EDA6BD"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0C229BD9" w14:textId="77777777" w:rsidR="00DF037A" w:rsidRPr="00507A31" w:rsidRDefault="00DF037A" w:rsidP="00507A31">
      <w:pPr>
        <w:jc w:val="both"/>
        <w:rPr>
          <w:color w:val="000000" w:themeColor="text1"/>
          <w:sz w:val="16"/>
          <w:szCs w:val="16"/>
        </w:rPr>
      </w:pPr>
      <w:r w:rsidRPr="00507A31">
        <w:rPr>
          <w:color w:val="000000" w:themeColor="text1"/>
          <w:sz w:val="16"/>
          <w:szCs w:val="16"/>
        </w:rPr>
        <w:t>[Строго секретно]</w:t>
      </w:r>
    </w:p>
    <w:p w14:paraId="26C178A0" w14:textId="77777777" w:rsidR="00DF037A" w:rsidRPr="00507A31" w:rsidRDefault="00DF037A" w:rsidP="00507A31">
      <w:pPr>
        <w:jc w:val="both"/>
        <w:rPr>
          <w:color w:val="000000" w:themeColor="text1"/>
          <w:sz w:val="16"/>
          <w:szCs w:val="16"/>
        </w:rPr>
      </w:pPr>
      <w:r w:rsidRPr="00507A31">
        <w:rPr>
          <w:color w:val="000000" w:themeColor="text1"/>
          <w:sz w:val="16"/>
          <w:szCs w:val="16"/>
        </w:rPr>
        <w:t>ПРОТОКОЛ</w:t>
      </w:r>
    </w:p>
    <w:p w14:paraId="673D4CB8" w14:textId="77777777" w:rsidR="00DF037A" w:rsidRPr="00507A31" w:rsidRDefault="00DF037A" w:rsidP="00507A31">
      <w:pPr>
        <w:jc w:val="both"/>
        <w:rPr>
          <w:color w:val="000000" w:themeColor="text1"/>
          <w:sz w:val="16"/>
          <w:szCs w:val="16"/>
        </w:rPr>
      </w:pPr>
      <w:r w:rsidRPr="00507A31">
        <w:rPr>
          <w:color w:val="000000" w:themeColor="text1"/>
          <w:sz w:val="16"/>
          <w:szCs w:val="16"/>
        </w:rPr>
        <w:t>показания, данного профессором СОЛОВЬЕВЫМ</w:t>
      </w:r>
    </w:p>
    <w:p w14:paraId="35B50A55" w14:textId="77777777" w:rsidR="00DF037A" w:rsidRPr="00507A31" w:rsidRDefault="00DF037A" w:rsidP="00507A31">
      <w:pPr>
        <w:jc w:val="both"/>
        <w:rPr>
          <w:color w:val="000000" w:themeColor="text1"/>
          <w:sz w:val="16"/>
          <w:szCs w:val="16"/>
        </w:rPr>
      </w:pPr>
      <w:r w:rsidRPr="00507A31">
        <w:rPr>
          <w:color w:val="000000" w:themeColor="text1"/>
          <w:sz w:val="16"/>
          <w:szCs w:val="16"/>
        </w:rPr>
        <w:t>Павлом Михайловичем</w:t>
      </w:r>
    </w:p>
    <w:p w14:paraId="7D5A3066" w14:textId="77777777" w:rsidR="00DF037A" w:rsidRPr="00507A31" w:rsidRDefault="00DF037A" w:rsidP="00507A31">
      <w:pPr>
        <w:jc w:val="both"/>
        <w:rPr>
          <w:color w:val="000000" w:themeColor="text1"/>
          <w:sz w:val="16"/>
          <w:szCs w:val="16"/>
        </w:rPr>
      </w:pPr>
      <w:r w:rsidRPr="00507A31">
        <w:rPr>
          <w:color w:val="000000" w:themeColor="text1"/>
          <w:sz w:val="16"/>
          <w:szCs w:val="16"/>
        </w:rPr>
        <w:t>1930 года Октября 17 дня, который показал:</w:t>
      </w:r>
    </w:p>
    <w:p w14:paraId="07FFAAE0" w14:textId="77777777" w:rsidR="00DF037A" w:rsidRPr="00507A31" w:rsidRDefault="00DF037A" w:rsidP="00507A31">
      <w:pPr>
        <w:jc w:val="both"/>
        <w:rPr>
          <w:color w:val="000000" w:themeColor="text1"/>
          <w:sz w:val="16"/>
          <w:szCs w:val="16"/>
        </w:rPr>
      </w:pPr>
      <w:r w:rsidRPr="00507A31">
        <w:rPr>
          <w:color w:val="000000" w:themeColor="text1"/>
          <w:sz w:val="16"/>
          <w:szCs w:val="16"/>
        </w:rPr>
        <w:t>Из разговоров с проф. В. И. ХУДЯКОВЫМ, имевшим место в Москве в конце 1928 и в начале 1929 г. после возвращения его из-за границы мне стало известно о том, что заграницей идет подготовка к интервенции против СССР.</w:t>
      </w:r>
    </w:p>
    <w:p w14:paraId="764B038D" w14:textId="77777777" w:rsidR="00DF037A" w:rsidRPr="00507A31" w:rsidRDefault="00DF037A" w:rsidP="00507A31">
      <w:pPr>
        <w:jc w:val="both"/>
        <w:rPr>
          <w:color w:val="000000" w:themeColor="text1"/>
          <w:sz w:val="16"/>
          <w:szCs w:val="16"/>
        </w:rPr>
      </w:pPr>
      <w:r w:rsidRPr="00507A31">
        <w:rPr>
          <w:color w:val="000000" w:themeColor="text1"/>
          <w:sz w:val="16"/>
          <w:szCs w:val="16"/>
        </w:rPr>
        <w:t>ХУДЯКОВ говорил, что им, как и проф. РАМЗИНЫМ во время пребывания их заграницей была налажена связь с русскими капиталистами — РЯБУШИНСКИМ, КОНОВАЛОВЫМ, НОБЕЛЕМ и др„ в ходе переговоров с которыми он, — ХУДЯКОВ и РАМЗИН информировали их о деятельности к.-р. организации и были в свою очередь проинформированы о мероприятиях империалистических правительств по отношению к Советскому] Союзу.</w:t>
      </w:r>
    </w:p>
    <w:p w14:paraId="36D4308F" w14:textId="77777777" w:rsidR="00DF037A" w:rsidRPr="00507A31" w:rsidRDefault="00DF037A" w:rsidP="00507A31">
      <w:pPr>
        <w:jc w:val="both"/>
        <w:rPr>
          <w:color w:val="000000" w:themeColor="text1"/>
          <w:sz w:val="16"/>
          <w:szCs w:val="16"/>
        </w:rPr>
      </w:pPr>
      <w:r w:rsidRPr="00507A31">
        <w:rPr>
          <w:color w:val="000000" w:themeColor="text1"/>
          <w:sz w:val="16"/>
          <w:szCs w:val="16"/>
        </w:rPr>
        <w:t>Информация РЯБУШИНСКОГО, КОНОВАЛОВА, НОБЕЛЯ и др., по словам ХУДЯКОВА, сводилась к тому, что в кругах империалистов окончательно оставлена надежда на перерождение диктатуры пролетариата в России эволюционным путем и что в империалистических кругах твердо взят курс на интервенцию.</w:t>
      </w:r>
    </w:p>
    <w:p w14:paraId="0557AD01" w14:textId="77777777" w:rsidR="00DF037A" w:rsidRPr="00507A31" w:rsidRDefault="00DF037A" w:rsidP="00507A31">
      <w:pPr>
        <w:jc w:val="both"/>
        <w:rPr>
          <w:color w:val="000000" w:themeColor="text1"/>
          <w:sz w:val="16"/>
          <w:szCs w:val="16"/>
        </w:rPr>
      </w:pPr>
      <w:r w:rsidRPr="00507A31">
        <w:rPr>
          <w:color w:val="000000" w:themeColor="text1"/>
          <w:sz w:val="16"/>
          <w:szCs w:val="16"/>
        </w:rPr>
        <w:t>ХУДЯКОВ говорил, что для подготовки интервенции, которая, по информации РЯБУШИНСКОГО и др.[,] конкретными странами, и, особенно, Францией, через Польское Правительство организуются всякого рода провокационные действия в целях вызова Советского Правительства на объявление войны. Для этой же цели, как было уже известно ХУДЯКОВУ, а от него и мне, Польское Правительство подготовило взрыв Советского посольства в Варшаве, что впоследствии действительно имело место. С этой же целью был произведен захват К. В. Ж. Д. и арест советской администрации этой дороги.</w:t>
      </w:r>
    </w:p>
    <w:p w14:paraId="0F94A4AE" w14:textId="77777777" w:rsidR="00DF037A" w:rsidRPr="00507A31" w:rsidRDefault="00DF037A" w:rsidP="00507A31">
      <w:pPr>
        <w:jc w:val="both"/>
        <w:rPr>
          <w:color w:val="000000" w:themeColor="text1"/>
          <w:sz w:val="16"/>
          <w:szCs w:val="16"/>
        </w:rPr>
      </w:pPr>
      <w:r w:rsidRPr="00507A31">
        <w:rPr>
          <w:color w:val="000000" w:themeColor="text1"/>
          <w:sz w:val="16"/>
          <w:szCs w:val="16"/>
        </w:rPr>
        <w:t>Все это делалось, по рассказам ХУДЯКОВА, для юридического оформления военного натиска на СССР, каковой необходимо было увязывать с получившим обязательную силу пактом КЕЛЛОГА. Другими словами, надо было найти повод возложить ответственность за военные действия при интервенции на Советское Правительство, как на нападавшую сторону.</w:t>
      </w:r>
    </w:p>
    <w:p w14:paraId="547E6C38" w14:textId="77777777" w:rsidR="00DF037A" w:rsidRPr="00507A31" w:rsidRDefault="00DF037A" w:rsidP="00507A31">
      <w:pPr>
        <w:jc w:val="both"/>
        <w:rPr>
          <w:color w:val="000000" w:themeColor="text1"/>
          <w:sz w:val="16"/>
          <w:szCs w:val="16"/>
        </w:rPr>
      </w:pPr>
      <w:r w:rsidRPr="00507A31">
        <w:rPr>
          <w:color w:val="000000" w:themeColor="text1"/>
          <w:sz w:val="16"/>
          <w:szCs w:val="16"/>
        </w:rPr>
        <w:t>После этого проф. Л. К. РАМЗИН проводил несколько собраний к.-р. организации. Мне известно о проведении одно[го] из них в помещении Бюро &lt;Теплотехнических&gt; Съездов примерно в конце ноября или в начале декабря [1929 г.] в присутствии РАМЗИНА, ОЧКИНА, ПРЕДТЕЧЕНСКОГО и еще двух или трех лиц, кого точно, не помню, была подтверждена информация, которую я уже знал от ХУДЯКОВА, о планах интервенции против СССР, где РАМЗИН обратился к присутствующим с просьбой сообщать о настроениях среди крестьянства, интеллигенции и рабочих антисоветского характера. Эту просьбу, или, вернее, сообщение, РАМЗИН мотивировал необходимостью этих сведений для подготовки интервенции, через французского посла ЭРБЕТА и сотрудника французского посольства КЮФЕРА, а также через английское посольство в Москве (персональную связь с последним он не называл).</w:t>
      </w:r>
    </w:p>
    <w:p w14:paraId="110A855A" w14:textId="77777777" w:rsidR="00DF037A" w:rsidRPr="00507A31" w:rsidRDefault="00DF037A" w:rsidP="00507A31">
      <w:pPr>
        <w:jc w:val="both"/>
        <w:rPr>
          <w:color w:val="000000" w:themeColor="text1"/>
          <w:sz w:val="16"/>
          <w:szCs w:val="16"/>
        </w:rPr>
      </w:pPr>
      <w:r w:rsidRPr="00507A31">
        <w:rPr>
          <w:color w:val="000000" w:themeColor="text1"/>
          <w:sz w:val="16"/>
          <w:szCs w:val="16"/>
        </w:rPr>
        <w:t>Тогда же РАМЗИН говорил, что в недалеком времени Польское Правительство должно будет перебросить на территорию СССР, а именно на Украину, своих людей, знакомых с военным делом, которые должны будут организовать восстания, возглавлять &lt;их&gt; и давать инструкции уже организованным диверсантским и террористическим группам.</w:t>
      </w:r>
    </w:p>
    <w:p w14:paraId="5BAA7B7A" w14:textId="77777777" w:rsidR="00DF037A" w:rsidRPr="00507A31" w:rsidRDefault="00DF037A" w:rsidP="00507A31">
      <w:pPr>
        <w:jc w:val="both"/>
        <w:rPr>
          <w:color w:val="000000" w:themeColor="text1"/>
          <w:sz w:val="16"/>
          <w:szCs w:val="16"/>
        </w:rPr>
      </w:pPr>
      <w:r w:rsidRPr="00507A31">
        <w:rPr>
          <w:color w:val="000000" w:themeColor="text1"/>
          <w:sz w:val="16"/>
          <w:szCs w:val="16"/>
        </w:rPr>
        <w:t>Развивая свою мысль, РАМЗИН говорил, что если общественное мнение Европы будет не готово для выступления империалистических государств против СССР, помимо желания последнего, то в задачи руководителей повстанческого движения будет входить захват некоторой территории Союза, отторжение этой территории и объявление ее независимым государством.</w:t>
      </w:r>
    </w:p>
    <w:p w14:paraId="364FD07C" w14:textId="77777777" w:rsidR="00DF037A" w:rsidRPr="00507A31" w:rsidRDefault="00DF037A" w:rsidP="00507A31">
      <w:pPr>
        <w:jc w:val="both"/>
        <w:rPr>
          <w:color w:val="000000" w:themeColor="text1"/>
          <w:sz w:val="16"/>
          <w:szCs w:val="16"/>
        </w:rPr>
      </w:pPr>
      <w:r w:rsidRPr="00507A31">
        <w:rPr>
          <w:color w:val="000000" w:themeColor="text1"/>
          <w:sz w:val="16"/>
          <w:szCs w:val="16"/>
        </w:rPr>
        <w:t>В случае желания Советского Правительства вооруженной силой присоединить отобранную территорию к Союзу, а это по мнению РАМЗИ НА должно быть обязательно, вновь созданное (как предполагалось, демократическое) правительство должно было бы обратиться к Польше с просьбой защитить новое государство от захватнической политики Москвы. Последнее обстоятельство было бы поводом, не противоречащим пакту КЕЛЛОГА, к внешнему выступлению против СССР.</w:t>
      </w:r>
    </w:p>
    <w:p w14:paraId="2EFE04BB" w14:textId="77777777" w:rsidR="00DF037A" w:rsidRPr="00507A31" w:rsidRDefault="00DF037A" w:rsidP="00507A31">
      <w:pPr>
        <w:jc w:val="both"/>
        <w:rPr>
          <w:color w:val="000000" w:themeColor="text1"/>
          <w:sz w:val="16"/>
          <w:szCs w:val="16"/>
        </w:rPr>
      </w:pPr>
      <w:r w:rsidRPr="00507A31">
        <w:rPr>
          <w:color w:val="000000" w:themeColor="text1"/>
          <w:sz w:val="16"/>
          <w:szCs w:val="16"/>
        </w:rPr>
        <w:t>Все сказанное выше о сроках интервенции, о словах РАМЗИНА, могут подтвердить ОЧКИН и ПРЕДТЕЧЕНСКИЙ.</w:t>
      </w:r>
    </w:p>
    <w:p w14:paraId="6208520C" w14:textId="77777777" w:rsidR="00DF037A" w:rsidRPr="00507A31" w:rsidRDefault="00DF037A" w:rsidP="00507A31">
      <w:pPr>
        <w:jc w:val="both"/>
        <w:rPr>
          <w:color w:val="000000" w:themeColor="text1"/>
          <w:sz w:val="16"/>
          <w:szCs w:val="16"/>
        </w:rPr>
      </w:pPr>
      <w:r w:rsidRPr="00507A31">
        <w:rPr>
          <w:color w:val="000000" w:themeColor="text1"/>
          <w:sz w:val="16"/>
          <w:szCs w:val="16"/>
        </w:rPr>
        <w:t>С ХУДЯКОВЫМ же у меня был разговор с глазу на глаз.</w:t>
      </w:r>
    </w:p>
    <w:p w14:paraId="74408793" w14:textId="77777777" w:rsidR="00DF037A" w:rsidRPr="00507A31" w:rsidRDefault="00DF037A" w:rsidP="00507A31">
      <w:pPr>
        <w:jc w:val="both"/>
        <w:rPr>
          <w:color w:val="000000" w:themeColor="text1"/>
          <w:sz w:val="16"/>
          <w:szCs w:val="16"/>
        </w:rPr>
      </w:pPr>
      <w:r w:rsidRPr="00507A31">
        <w:rPr>
          <w:color w:val="000000" w:themeColor="text1"/>
          <w:sz w:val="16"/>
          <w:szCs w:val="16"/>
        </w:rPr>
        <w:t>П. Соловьев</w:t>
      </w:r>
    </w:p>
    <w:p w14:paraId="6A9DFDD9" w14:textId="77777777" w:rsidR="00DF037A" w:rsidRPr="00507A31" w:rsidRDefault="00DF037A" w:rsidP="00507A31">
      <w:pPr>
        <w:jc w:val="both"/>
        <w:rPr>
          <w:color w:val="000000" w:themeColor="text1"/>
          <w:sz w:val="16"/>
          <w:szCs w:val="16"/>
        </w:rPr>
      </w:pPr>
      <w:r w:rsidRPr="00507A31">
        <w:rPr>
          <w:color w:val="000000" w:themeColor="text1"/>
          <w:sz w:val="16"/>
          <w:szCs w:val="16"/>
        </w:rPr>
        <w:t>Допросили: Пом. Нач. I Отделения] ЭКУ ОГПУ: Ржавский</w:t>
      </w:r>
    </w:p>
    <w:p w14:paraId="4A2059F4" w14:textId="77777777" w:rsidR="00DF037A" w:rsidRPr="00507A31" w:rsidRDefault="00DF037A" w:rsidP="00507A31">
      <w:pPr>
        <w:jc w:val="both"/>
        <w:rPr>
          <w:color w:val="000000" w:themeColor="text1"/>
          <w:sz w:val="16"/>
          <w:szCs w:val="16"/>
        </w:rPr>
      </w:pPr>
      <w:r w:rsidRPr="00507A31">
        <w:rPr>
          <w:color w:val="000000" w:themeColor="text1"/>
          <w:sz w:val="16"/>
          <w:szCs w:val="16"/>
        </w:rPr>
        <w:t>Ст[арший] Уполномоченный] I Отделения] ЭКУ ОГПУ: Тарнуев</w:t>
      </w:r>
    </w:p>
    <w:p w14:paraId="5627C39A" w14:textId="77777777" w:rsidR="00DF037A" w:rsidRPr="00507A31" w:rsidRDefault="00DF037A" w:rsidP="00507A31">
      <w:pPr>
        <w:jc w:val="both"/>
        <w:rPr>
          <w:color w:val="000000" w:themeColor="text1"/>
          <w:sz w:val="16"/>
          <w:szCs w:val="16"/>
        </w:rPr>
      </w:pPr>
      <w:r w:rsidRPr="00507A31">
        <w:rPr>
          <w:color w:val="000000" w:themeColor="text1"/>
          <w:sz w:val="16"/>
          <w:szCs w:val="16"/>
        </w:rPr>
        <w:t>Д. 354. Л. 64-66. Машинописная копия того времени. На Л. 64 вверху — штамп с вписанными от руки данными о распечатке (50 экз.) текста и датой «19.X.1930 г.», подпись-автограф Хряпкиной. Рядом штамп о рассылке документа (номер и дата отсутствуют). Показания П. М. Соловьева были направлены «для сведения» членам и кандидатам в члены Политбюро ЦК ВКП(б)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Предтеченского, Мюллера, Кирпотенко от 16 и 17Х.30 г. —  «по вопросу об интервенции». (Копия сопроводительного письма на Л. 1; см. легенду к док. № 354-1 «Показания Е. Ф. Евреинова [...]».) (18466).</w:t>
      </w:r>
    </w:p>
    <w:p w14:paraId="4E87BC3E" w14:textId="77777777" w:rsidR="00DF037A" w:rsidRPr="00507A31" w:rsidRDefault="00DF037A" w:rsidP="00507A31">
      <w:pPr>
        <w:jc w:val="both"/>
        <w:rPr>
          <w:color w:val="000000" w:themeColor="text1"/>
          <w:sz w:val="16"/>
          <w:szCs w:val="16"/>
        </w:rPr>
      </w:pPr>
    </w:p>
    <w:p w14:paraId="484D736F"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5E524C27" w14:textId="77777777" w:rsidR="00DF037A" w:rsidRPr="00507A31" w:rsidRDefault="00DF037A" w:rsidP="00507A31">
      <w:pPr>
        <w:jc w:val="both"/>
        <w:rPr>
          <w:color w:val="000000" w:themeColor="text1"/>
          <w:sz w:val="16"/>
          <w:szCs w:val="16"/>
        </w:rPr>
      </w:pPr>
      <w:r w:rsidRPr="00507A31">
        <w:rPr>
          <w:color w:val="000000" w:themeColor="text1"/>
          <w:sz w:val="16"/>
          <w:szCs w:val="16"/>
        </w:rPr>
        <w:t>Записка председателя ОГПУ В. Р. Менжинского И. В. Сталину в связи с отправкой «показаний об интервенции» подследственных по делу «Промпартии». 16 октября 1930 г.</w:t>
      </w:r>
    </w:p>
    <w:p w14:paraId="1640646A" w14:textId="77777777" w:rsidR="00DF037A" w:rsidRPr="00507A31" w:rsidRDefault="00DF037A" w:rsidP="00507A31">
      <w:pPr>
        <w:jc w:val="both"/>
        <w:rPr>
          <w:color w:val="000000" w:themeColor="text1"/>
          <w:sz w:val="16"/>
          <w:szCs w:val="16"/>
        </w:rPr>
      </w:pPr>
      <w:r w:rsidRPr="00507A31">
        <w:rPr>
          <w:color w:val="000000" w:themeColor="text1"/>
          <w:sz w:val="16"/>
          <w:szCs w:val="16"/>
        </w:rPr>
        <w:t>Источник: </w:t>
      </w:r>
    </w:p>
    <w:p w14:paraId="3F58EDBB" w14:textId="77777777" w:rsidR="00DF037A" w:rsidRPr="00507A31" w:rsidRDefault="00DF037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A4F3C0" w14:textId="77777777" w:rsidR="00DF037A" w:rsidRPr="00507A31" w:rsidRDefault="00DF037A" w:rsidP="00507A31">
      <w:pPr>
        <w:jc w:val="both"/>
        <w:rPr>
          <w:color w:val="000000" w:themeColor="text1"/>
          <w:sz w:val="16"/>
          <w:szCs w:val="16"/>
        </w:rPr>
      </w:pPr>
      <w:r w:rsidRPr="00507A31">
        <w:rPr>
          <w:color w:val="000000" w:themeColor="text1"/>
          <w:sz w:val="16"/>
          <w:szCs w:val="16"/>
        </w:rPr>
        <w:t>16 октября 1930 г.</w:t>
      </w:r>
    </w:p>
    <w:p w14:paraId="4027FE44" w14:textId="77777777" w:rsidR="00DF037A" w:rsidRPr="00507A31" w:rsidRDefault="00DF037A" w:rsidP="00507A31">
      <w:pPr>
        <w:jc w:val="both"/>
        <w:rPr>
          <w:color w:val="000000" w:themeColor="text1"/>
          <w:sz w:val="16"/>
          <w:szCs w:val="16"/>
        </w:rPr>
      </w:pPr>
      <w:r w:rsidRPr="00507A31">
        <w:rPr>
          <w:color w:val="000000" w:themeColor="text1"/>
          <w:sz w:val="16"/>
          <w:szCs w:val="16"/>
        </w:rPr>
        <w:t>Совершенно секретно</w:t>
      </w:r>
    </w:p>
    <w:p w14:paraId="595257A9" w14:textId="77777777" w:rsidR="00DF037A" w:rsidRPr="00507A31" w:rsidRDefault="00DF037A" w:rsidP="00507A31">
      <w:pPr>
        <w:jc w:val="both"/>
        <w:rPr>
          <w:color w:val="000000" w:themeColor="text1"/>
          <w:sz w:val="16"/>
          <w:szCs w:val="16"/>
        </w:rPr>
      </w:pPr>
      <w:r w:rsidRPr="00507A31">
        <w:rPr>
          <w:color w:val="000000" w:themeColor="text1"/>
          <w:sz w:val="16"/>
          <w:szCs w:val="16"/>
        </w:rPr>
        <w:t>СЕКРЕТАРЮ Ц.К. В.К.П.(б)</w:t>
      </w:r>
    </w:p>
    <w:p w14:paraId="46F9C9E2" w14:textId="77777777" w:rsidR="00DF037A" w:rsidRPr="00507A31" w:rsidRDefault="00DF037A" w:rsidP="00507A31">
      <w:pPr>
        <w:jc w:val="both"/>
        <w:rPr>
          <w:color w:val="000000" w:themeColor="text1"/>
          <w:sz w:val="16"/>
          <w:szCs w:val="16"/>
        </w:rPr>
      </w:pPr>
      <w:r w:rsidRPr="00507A31">
        <w:rPr>
          <w:color w:val="000000" w:themeColor="text1"/>
          <w:sz w:val="16"/>
          <w:szCs w:val="16"/>
        </w:rPr>
        <w:t>Тов. СТАЛИНУ.</w:t>
      </w:r>
    </w:p>
    <w:p w14:paraId="77C2B49F" w14:textId="77777777" w:rsidR="00DF037A" w:rsidRPr="00507A31" w:rsidRDefault="00DF037A" w:rsidP="00507A31">
      <w:pPr>
        <w:jc w:val="both"/>
        <w:rPr>
          <w:color w:val="000000" w:themeColor="text1"/>
          <w:sz w:val="16"/>
          <w:szCs w:val="16"/>
        </w:rPr>
      </w:pPr>
      <w:r w:rsidRPr="00507A31">
        <w:rPr>
          <w:color w:val="000000" w:themeColor="text1"/>
          <w:sz w:val="16"/>
          <w:szCs w:val="16"/>
        </w:rPr>
        <w:t>При сем прилагается показания об интервенции:</w:t>
      </w:r>
    </w:p>
    <w:p w14:paraId="03982995" w14:textId="77777777" w:rsidR="00DF037A" w:rsidRPr="00507A31" w:rsidRDefault="00DF037A" w:rsidP="00507A31">
      <w:pPr>
        <w:jc w:val="both"/>
        <w:rPr>
          <w:color w:val="000000" w:themeColor="text1"/>
          <w:sz w:val="16"/>
          <w:szCs w:val="16"/>
        </w:rPr>
      </w:pPr>
      <w:r w:rsidRPr="00507A31">
        <w:rPr>
          <w:color w:val="000000" w:themeColor="text1"/>
          <w:sz w:val="16"/>
          <w:szCs w:val="16"/>
        </w:rPr>
        <w:t>1) проф. Л. К. РАМЗИНА от 16.Х. с. г. 2) КАЛИННИКОВА, Ив. Андр. от 16.Х. с. г. 3) ЛАРИЧЕВА, В. А. от 16.Х. с. г. 4) проф. ЧАРНОВСКОГО, Н. Ф. от 16.Х. с. г. 5) инженера ПРЕДТЕЧЕНСКОГО, С. А. от 16.Х. с. г. 6) профессора СОЛОВЬЕВА, П. М. от 17.Х. с. г. 7) МЮЛЛЕРА, А. Н. от 17.Х. 8) КИРПОТЕНКО, А. А. от 16.Х. с. г.</w:t>
      </w:r>
    </w:p>
    <w:p w14:paraId="7F7FE94E" w14:textId="77777777" w:rsidR="00DF037A" w:rsidRPr="00507A31" w:rsidRDefault="00DF037A" w:rsidP="00507A31">
      <w:pPr>
        <w:jc w:val="both"/>
        <w:rPr>
          <w:color w:val="000000" w:themeColor="text1"/>
          <w:sz w:val="16"/>
          <w:szCs w:val="16"/>
        </w:rPr>
      </w:pPr>
      <w:r w:rsidRPr="00507A31">
        <w:rPr>
          <w:color w:val="000000" w:themeColor="text1"/>
          <w:sz w:val="16"/>
          <w:szCs w:val="16"/>
        </w:rPr>
        <w:t>ПРЕДСЕДАТЕЛЬ О.Г.П.У. В. Менжинский</w:t>
      </w:r>
    </w:p>
    <w:p w14:paraId="69264DAB" w14:textId="77777777" w:rsidR="00DF037A" w:rsidRPr="00507A31" w:rsidRDefault="00DF037A" w:rsidP="00507A31">
      <w:pPr>
        <w:jc w:val="both"/>
        <w:rPr>
          <w:color w:val="000000" w:themeColor="text1"/>
          <w:sz w:val="16"/>
          <w:szCs w:val="16"/>
        </w:rPr>
      </w:pPr>
      <w:r w:rsidRPr="00507A31">
        <w:rPr>
          <w:color w:val="000000" w:themeColor="text1"/>
          <w:sz w:val="16"/>
          <w:szCs w:val="16"/>
        </w:rPr>
        <w:t>Д. 354. Л. 13. Машинописный подлинник на бланке ОГПУ, подпись — автограф. Дата и номер документа (№ 2946) вписаны от руки в угловой штамп бланка, гриф секретности машинописью (18468).</w:t>
      </w:r>
    </w:p>
    <w:p w14:paraId="7D7E8E88" w14:textId="77777777" w:rsidR="00DF037A" w:rsidRPr="00507A31" w:rsidRDefault="00DF037A" w:rsidP="00507A31">
      <w:pPr>
        <w:jc w:val="both"/>
        <w:rPr>
          <w:color w:val="000000" w:themeColor="text1"/>
          <w:sz w:val="16"/>
          <w:szCs w:val="16"/>
        </w:rPr>
      </w:pPr>
    </w:p>
    <w:p w14:paraId="7B2EE97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1BEA5EF" w14:textId="77777777" w:rsidR="00537E5F" w:rsidRPr="00507A31" w:rsidRDefault="00537E5F" w:rsidP="00507A31">
      <w:pPr>
        <w:autoSpaceDE w:val="0"/>
        <w:autoSpaceDN w:val="0"/>
        <w:adjustRightInd w:val="0"/>
        <w:jc w:val="both"/>
        <w:rPr>
          <w:iCs/>
          <w:color w:val="000000" w:themeColor="text1"/>
          <w:sz w:val="16"/>
          <w:szCs w:val="16"/>
        </w:rPr>
      </w:pPr>
    </w:p>
    <w:p w14:paraId="19F0B4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октября 1930 вышел первый номер Moscow News и выходила до 1990 с перерывом в 1949-1955 (3481).</w:t>
      </w:r>
    </w:p>
    <w:p w14:paraId="42566EFA" w14:textId="22AEF4A2" w:rsidR="00537E5F" w:rsidRPr="00507A31" w:rsidRDefault="00537E5F" w:rsidP="00507A31">
      <w:pPr>
        <w:autoSpaceDE w:val="0"/>
        <w:autoSpaceDN w:val="0"/>
        <w:adjustRightInd w:val="0"/>
        <w:jc w:val="both"/>
        <w:rPr>
          <w:color w:val="000000" w:themeColor="text1"/>
          <w:sz w:val="16"/>
          <w:szCs w:val="16"/>
        </w:rPr>
      </w:pPr>
    </w:p>
    <w:p w14:paraId="2CEB9D5B" w14:textId="36A2B1FE" w:rsidR="008B5271" w:rsidRPr="00507A31" w:rsidRDefault="008B5271" w:rsidP="00507A31">
      <w:pPr>
        <w:autoSpaceDE w:val="0"/>
        <w:autoSpaceDN w:val="0"/>
        <w:adjustRightInd w:val="0"/>
        <w:jc w:val="both"/>
        <w:rPr>
          <w:i/>
          <w:iCs/>
          <w:color w:val="000000" w:themeColor="text1"/>
          <w:sz w:val="16"/>
          <w:szCs w:val="16"/>
        </w:rPr>
      </w:pPr>
      <w:r w:rsidRPr="00507A31">
        <w:rPr>
          <w:i/>
          <w:iCs/>
          <w:color w:val="000000" w:themeColor="text1"/>
          <w:sz w:val="16"/>
          <w:szCs w:val="16"/>
        </w:rPr>
        <w:t>За рубежом:</w:t>
      </w:r>
    </w:p>
    <w:p w14:paraId="39D08040" w14:textId="77777777" w:rsidR="008B5271" w:rsidRPr="00507A31" w:rsidRDefault="008B5271" w:rsidP="00507A31">
      <w:pPr>
        <w:autoSpaceDE w:val="0"/>
        <w:autoSpaceDN w:val="0"/>
        <w:adjustRightInd w:val="0"/>
        <w:jc w:val="both"/>
        <w:rPr>
          <w:i/>
          <w:iCs/>
          <w:color w:val="000000" w:themeColor="text1"/>
          <w:sz w:val="16"/>
          <w:szCs w:val="16"/>
        </w:rPr>
      </w:pPr>
    </w:p>
    <w:p w14:paraId="49DFB0A5" w14:textId="77777777" w:rsidR="008B5271" w:rsidRPr="00507A31" w:rsidRDefault="008B5271" w:rsidP="00507A31">
      <w:pPr>
        <w:jc w:val="both"/>
        <w:rPr>
          <w:color w:val="0070C0"/>
          <w:sz w:val="16"/>
          <w:szCs w:val="16"/>
        </w:rPr>
      </w:pPr>
      <w:r w:rsidRPr="00507A31">
        <w:rPr>
          <w:color w:val="0070C0"/>
          <w:sz w:val="16"/>
          <w:szCs w:val="16"/>
        </w:rPr>
        <w:t xml:space="preserve">16 октября 1930 первый полет Saro A.21 Windhover ZK-ABW (20805). </w:t>
      </w:r>
    </w:p>
    <w:p w14:paraId="258891DE" w14:textId="77777777" w:rsidR="008B5271" w:rsidRPr="00507A31" w:rsidRDefault="008B5271" w:rsidP="00507A31">
      <w:pPr>
        <w:jc w:val="both"/>
        <w:rPr>
          <w:color w:val="0070C0"/>
          <w:sz w:val="16"/>
          <w:szCs w:val="16"/>
        </w:rPr>
      </w:pPr>
    </w:p>
    <w:p w14:paraId="08EC429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Авиапромышленность:</w:t>
      </w:r>
    </w:p>
    <w:p w14:paraId="6AC45A0C" w14:textId="77777777" w:rsidR="00537E5F" w:rsidRPr="00507A31" w:rsidRDefault="00537E5F" w:rsidP="00507A31">
      <w:pPr>
        <w:autoSpaceDE w:val="0"/>
        <w:autoSpaceDN w:val="0"/>
        <w:adjustRightInd w:val="0"/>
        <w:jc w:val="both"/>
        <w:rPr>
          <w:iCs/>
          <w:color w:val="000000" w:themeColor="text1"/>
          <w:sz w:val="16"/>
          <w:szCs w:val="16"/>
        </w:rPr>
      </w:pPr>
    </w:p>
    <w:p w14:paraId="09BF767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17 октября 1930 года перевозка ТБ3 на аэродром была закончена и началась сборка (6925).</w:t>
      </w:r>
    </w:p>
    <w:p w14:paraId="1130BA08"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55D6F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октября 1930 закончились гос. испытания АНТ-7 (Р-6) после доработки, которые начались 25 сентября 1930. После этого НИИ ВВС рекомендовал в серию в качестве "самолета дальней разведки" и "самолета сопровождения" (346,35). Пикировал под углом до 60 гр., но пришли к выводу, что как многоместный истребитель машина использована быть не может, "вследствие недостаточной маневренности и большого полетного веса" (2671,14).</w:t>
      </w:r>
    </w:p>
    <w:p w14:paraId="3C8FC8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Вообще испытания шли с 11 марта 1930 (1852,47).</w:t>
      </w:r>
    </w:p>
    <w:p w14:paraId="7308069C" w14:textId="77777777" w:rsidR="00537E5F" w:rsidRPr="00507A31" w:rsidRDefault="00537E5F" w:rsidP="00507A31">
      <w:pPr>
        <w:autoSpaceDE w:val="0"/>
        <w:autoSpaceDN w:val="0"/>
        <w:adjustRightInd w:val="0"/>
        <w:jc w:val="both"/>
        <w:rPr>
          <w:color w:val="000000" w:themeColor="text1"/>
          <w:sz w:val="16"/>
          <w:szCs w:val="16"/>
        </w:rPr>
      </w:pPr>
    </w:p>
    <w:p w14:paraId="15F27D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17 октября 1930 шли дополнительные испытания Р-6 в НИИ ВВС. 5 октября 1930 составили специальный протокол о неустраненных недостатках. Некоторые из них в ЦАГИ исправили очень быстро. Окно у летнаба увеличили вниз, усилили обтекатели осей, суфлерные трубки моторов, брызгавшие маслом на радиаторы, вывели за капот, смонтировали новые глушители, у козырька пилотской кабины сделали жесткую рамку и поставили боковое остекление; слева стекло при необходимости опускалось вниз, как у автомобиля. Чертежи усиленных моторам подготовили, но решили поставить их уже на первом серийном Р-6. На этот раз военных больше интересовали боевые возможности "крейсера". На основе анализа летных данных и пилотажных качеств машины попытались определить ее роль в будущей войне. Отзывы в целом были вполне благожелательными: "хорошо пикирует при угле 60°", "сильное стрелковое вооружение", "боевой разворот выполняется просто, самолет устойчив, нагрузки на рули нормальны". В итоге сделали выводы, что Р-6 может быть применен как дальний разведчик, самолет сопровождения тяжелых бомбардировщиков и многоместный истребитель. В отношении последней функции возможности оказались весьма ограниченными. С одной стороны, в акте НИИ прямо записали, что как многоместный истребитель машина использована быть не может "вследствие недостаточной маневренности из-за большого полетного веса". С другой стороны, в том же документе указывается: "...может быть применен как многоместный истребитель для ведения воздушного боя на больших дистанциях с тяжелыми бомбардировочными самолетами". Короче говоря, Р-6 не мог вести маневренный бой не только с одноместными истребителями, но и со средними и легкими бомбардировщиками, и только неуклюжий тяжелый бомбовоз мог быть успешно атакован "крейсером". Но самый главный вывод по результатам дополнительных испытаний гласил: "Может быть рекомендован для постройки серии" (12036).</w:t>
      </w:r>
    </w:p>
    <w:p w14:paraId="12D0969C" w14:textId="77777777" w:rsidR="00537E5F" w:rsidRPr="00507A31" w:rsidRDefault="00537E5F" w:rsidP="00507A31">
      <w:pPr>
        <w:autoSpaceDE w:val="0"/>
        <w:autoSpaceDN w:val="0"/>
        <w:adjustRightInd w:val="0"/>
        <w:jc w:val="both"/>
        <w:rPr>
          <w:color w:val="000000" w:themeColor="text1"/>
          <w:sz w:val="16"/>
          <w:szCs w:val="16"/>
        </w:rPr>
      </w:pPr>
    </w:p>
    <w:p w14:paraId="672EAB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октября 1930 Я.И.Алкснис как Врид начальника ВВС написал письмо N 234 сс/ч.т.к. пред. РВС, копии замам пред. Я.Б.Гамарнику, И.П.Уборевичу, С.С.Каменеву, нач. штаба Б.М.Шапошникову и нач. ВАО Урываеву "О работах по разрезным крыльям". В ЦАГИ работы велись с 1927. Тут же о нефтяных двигателях. Работы велись с 1925 в ЦАГИ и НАМИ. в тот же день нарком нанес резолюцию "Предложения Я.И.Алксниса принимаю и самому Я.И.Алкснису поручаю лично следить за ходом выполнения сделанных предложений..." (1026,120).</w:t>
      </w:r>
    </w:p>
    <w:p w14:paraId="047801A4" w14:textId="77777777" w:rsidR="00537E5F" w:rsidRPr="00507A31" w:rsidRDefault="00537E5F" w:rsidP="00507A31">
      <w:pPr>
        <w:autoSpaceDE w:val="0"/>
        <w:autoSpaceDN w:val="0"/>
        <w:adjustRightInd w:val="0"/>
        <w:jc w:val="both"/>
        <w:rPr>
          <w:color w:val="000000" w:themeColor="text1"/>
          <w:sz w:val="16"/>
          <w:szCs w:val="16"/>
        </w:rPr>
      </w:pPr>
    </w:p>
    <w:p w14:paraId="0AE393A6" w14:textId="77777777" w:rsidR="00373CA1" w:rsidRPr="00507A31" w:rsidRDefault="00AC735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7A3FB14" w14:textId="77777777" w:rsidR="00373CA1" w:rsidRPr="00507A31" w:rsidRDefault="00373CA1" w:rsidP="00507A31">
      <w:pPr>
        <w:shd w:val="clear" w:color="auto" w:fill="FFFFFF"/>
        <w:autoSpaceDE w:val="0"/>
        <w:autoSpaceDN w:val="0"/>
        <w:adjustRightInd w:val="0"/>
        <w:jc w:val="both"/>
        <w:rPr>
          <w:iCs/>
          <w:color w:val="000000" w:themeColor="text1"/>
          <w:sz w:val="16"/>
          <w:szCs w:val="16"/>
        </w:rPr>
      </w:pPr>
    </w:p>
    <w:p w14:paraId="48E41BD0" w14:textId="77777777" w:rsidR="00373CA1" w:rsidRPr="00507A31" w:rsidRDefault="00373CA1" w:rsidP="00507A31">
      <w:pPr>
        <w:jc w:val="both"/>
        <w:rPr>
          <w:color w:val="000000" w:themeColor="text1"/>
          <w:sz w:val="16"/>
          <w:szCs w:val="16"/>
        </w:rPr>
      </w:pPr>
      <w:r w:rsidRPr="00507A31">
        <w:rPr>
          <w:color w:val="000000" w:themeColor="text1"/>
          <w:sz w:val="16"/>
          <w:szCs w:val="16"/>
        </w:rPr>
        <w:t>17 октября 1930 г. Выписка из протокола заседания Президиума ВСНХ СССР о состоянии работ на заводах военной промышленности по переходу на сжигание парафинистых мазутов (РГАЭ. Ф. 3429. Оп. 6. Д. 198. Л. 404) (12417).</w:t>
      </w:r>
    </w:p>
    <w:p w14:paraId="720BC377" w14:textId="77777777" w:rsidR="00373CA1" w:rsidRPr="00507A31" w:rsidRDefault="00373CA1" w:rsidP="00507A31">
      <w:pPr>
        <w:jc w:val="both"/>
        <w:rPr>
          <w:color w:val="000000" w:themeColor="text1"/>
          <w:sz w:val="16"/>
          <w:szCs w:val="16"/>
        </w:rPr>
      </w:pPr>
    </w:p>
    <w:p w14:paraId="4856A251" w14:textId="77777777" w:rsidR="00984AA6" w:rsidRPr="00507A31" w:rsidRDefault="00984AA6" w:rsidP="00507A31">
      <w:pPr>
        <w:jc w:val="both"/>
        <w:rPr>
          <w:color w:val="000000" w:themeColor="text1"/>
          <w:sz w:val="16"/>
          <w:szCs w:val="16"/>
        </w:rPr>
      </w:pPr>
      <w:r w:rsidRPr="00507A31">
        <w:rPr>
          <w:color w:val="000000" w:themeColor="text1"/>
          <w:sz w:val="16"/>
          <w:szCs w:val="16"/>
        </w:rPr>
        <w:t>17 октября 1930 г.</w:t>
      </w:r>
    </w:p>
    <w:p w14:paraId="3E9DE175" w14:textId="77777777" w:rsidR="00984AA6" w:rsidRPr="00507A31" w:rsidRDefault="00984AA6" w:rsidP="00507A31">
      <w:pPr>
        <w:jc w:val="both"/>
        <w:rPr>
          <w:color w:val="000000" w:themeColor="text1"/>
          <w:sz w:val="16"/>
          <w:szCs w:val="16"/>
        </w:rPr>
      </w:pPr>
      <w:r w:rsidRPr="00507A31">
        <w:rPr>
          <w:color w:val="000000" w:themeColor="text1"/>
          <w:sz w:val="16"/>
          <w:szCs w:val="16"/>
        </w:rPr>
        <w:t>Показания А. Н. Мюллера о подготовке интервенции против СССР. 17 октября 1930 г.</w:t>
      </w:r>
    </w:p>
    <w:p w14:paraId="49DF0BC9" w14:textId="77777777" w:rsidR="00984AA6" w:rsidRPr="00507A31" w:rsidRDefault="00984AA6" w:rsidP="00507A31">
      <w:pPr>
        <w:jc w:val="both"/>
        <w:rPr>
          <w:color w:val="000000" w:themeColor="text1"/>
          <w:sz w:val="16"/>
          <w:szCs w:val="16"/>
        </w:rPr>
      </w:pPr>
      <w:r w:rsidRPr="00507A31">
        <w:rPr>
          <w:color w:val="000000" w:themeColor="text1"/>
          <w:sz w:val="16"/>
          <w:szCs w:val="16"/>
        </w:rPr>
        <w:t>Источник: </w:t>
      </w:r>
    </w:p>
    <w:p w14:paraId="0CD40666" w14:textId="77777777" w:rsidR="00984AA6" w:rsidRPr="00507A31" w:rsidRDefault="00984AA6"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D062B81" w14:textId="77777777" w:rsidR="00984AA6" w:rsidRPr="00507A31" w:rsidRDefault="00984AA6" w:rsidP="00507A31">
      <w:pPr>
        <w:jc w:val="both"/>
        <w:rPr>
          <w:color w:val="000000" w:themeColor="text1"/>
          <w:sz w:val="16"/>
          <w:szCs w:val="16"/>
        </w:rPr>
      </w:pPr>
      <w:r w:rsidRPr="00507A31">
        <w:rPr>
          <w:color w:val="000000" w:themeColor="text1"/>
          <w:sz w:val="16"/>
          <w:szCs w:val="16"/>
        </w:rPr>
        <w:t>17 октября 1930 г.</w:t>
      </w:r>
    </w:p>
    <w:p w14:paraId="30BFD366" w14:textId="77777777" w:rsidR="00984AA6" w:rsidRPr="00507A31" w:rsidRDefault="00984AA6" w:rsidP="00507A31">
      <w:pPr>
        <w:jc w:val="both"/>
        <w:rPr>
          <w:color w:val="000000" w:themeColor="text1"/>
          <w:sz w:val="16"/>
          <w:szCs w:val="16"/>
        </w:rPr>
      </w:pPr>
      <w:r w:rsidRPr="00507A31">
        <w:rPr>
          <w:color w:val="000000" w:themeColor="text1"/>
          <w:sz w:val="16"/>
          <w:szCs w:val="16"/>
        </w:rPr>
        <w:t>[Строго секретно]</w:t>
      </w:r>
    </w:p>
    <w:p w14:paraId="4A1DBA3C" w14:textId="77777777" w:rsidR="00984AA6" w:rsidRPr="00507A31" w:rsidRDefault="00984AA6" w:rsidP="00507A31">
      <w:pPr>
        <w:jc w:val="both"/>
        <w:rPr>
          <w:color w:val="000000" w:themeColor="text1"/>
          <w:sz w:val="16"/>
          <w:szCs w:val="16"/>
        </w:rPr>
      </w:pPr>
      <w:r w:rsidRPr="00507A31">
        <w:rPr>
          <w:color w:val="000000" w:themeColor="text1"/>
          <w:sz w:val="16"/>
          <w:szCs w:val="16"/>
        </w:rPr>
        <w:t>ПРОТОКОЛ ПОКАЗАНИЯ</w:t>
      </w:r>
    </w:p>
    <w:p w14:paraId="717E62E4" w14:textId="77777777" w:rsidR="00984AA6" w:rsidRPr="00507A31" w:rsidRDefault="00984AA6" w:rsidP="00507A31">
      <w:pPr>
        <w:jc w:val="both"/>
        <w:rPr>
          <w:color w:val="000000" w:themeColor="text1"/>
          <w:sz w:val="16"/>
          <w:szCs w:val="16"/>
        </w:rPr>
      </w:pPr>
      <w:r w:rsidRPr="00507A31">
        <w:rPr>
          <w:color w:val="000000" w:themeColor="text1"/>
          <w:sz w:val="16"/>
          <w:szCs w:val="16"/>
        </w:rPr>
        <w:t>данного МЮЛЛЕРОМ Антоном Николаевичем,</w:t>
      </w:r>
    </w:p>
    <w:p w14:paraId="18A4AF87" w14:textId="77777777" w:rsidR="00984AA6" w:rsidRPr="00507A31" w:rsidRDefault="00984AA6" w:rsidP="00507A31">
      <w:pPr>
        <w:jc w:val="both"/>
        <w:rPr>
          <w:color w:val="000000" w:themeColor="text1"/>
          <w:sz w:val="16"/>
          <w:szCs w:val="16"/>
        </w:rPr>
      </w:pPr>
      <w:r w:rsidRPr="00507A31">
        <w:rPr>
          <w:color w:val="000000" w:themeColor="text1"/>
          <w:sz w:val="16"/>
          <w:szCs w:val="16"/>
        </w:rPr>
        <w:t>от 17 октября 1930 года.</w:t>
      </w:r>
    </w:p>
    <w:p w14:paraId="00EE9AB3" w14:textId="77777777" w:rsidR="00984AA6" w:rsidRPr="00507A31" w:rsidRDefault="00984AA6" w:rsidP="00507A31">
      <w:pPr>
        <w:jc w:val="both"/>
        <w:rPr>
          <w:color w:val="000000" w:themeColor="text1"/>
          <w:sz w:val="16"/>
          <w:szCs w:val="16"/>
        </w:rPr>
      </w:pPr>
      <w:r w:rsidRPr="00507A31">
        <w:rPr>
          <w:color w:val="000000" w:themeColor="text1"/>
          <w:sz w:val="16"/>
          <w:szCs w:val="16"/>
        </w:rPr>
        <w:t>По вопросу о готовящейся против СССР интервенции сообщаю следующие известные мне данные.</w:t>
      </w:r>
    </w:p>
    <w:p w14:paraId="5CB17189" w14:textId="77777777" w:rsidR="00984AA6" w:rsidRPr="00507A31" w:rsidRDefault="00984AA6" w:rsidP="00507A31">
      <w:pPr>
        <w:jc w:val="both"/>
        <w:rPr>
          <w:color w:val="000000" w:themeColor="text1"/>
          <w:sz w:val="16"/>
          <w:szCs w:val="16"/>
        </w:rPr>
      </w:pPr>
      <w:r w:rsidRPr="00507A31">
        <w:rPr>
          <w:color w:val="000000" w:themeColor="text1"/>
          <w:sz w:val="16"/>
          <w:szCs w:val="16"/>
        </w:rPr>
        <w:t>На одном из заседаний контр-революционной организации Теплотехнического] Ин-та, имевшем место, насколько помню, в начале 1929 г., когда РАМЗИН Л. К. вернулся из Лондона со Всемирной Энергетической Конференции^] он сообщил, что в бытность его проездом в Париже, при свиданиях с белоэмигрантскими политическими и промышленными кругами ему сообщено о подготавливающейся интервенции, против СССР, капиталистическими странами во главе с Францией. Началом интервенции по сообщению РАМЗИ НА намечался 1930 г.</w:t>
      </w:r>
    </w:p>
    <w:p w14:paraId="1E5D6A91" w14:textId="77777777" w:rsidR="00984AA6" w:rsidRPr="00507A31" w:rsidRDefault="00984AA6" w:rsidP="00507A31">
      <w:pPr>
        <w:jc w:val="both"/>
        <w:rPr>
          <w:color w:val="000000" w:themeColor="text1"/>
          <w:sz w:val="16"/>
          <w:szCs w:val="16"/>
        </w:rPr>
      </w:pPr>
      <w:r w:rsidRPr="00507A31">
        <w:rPr>
          <w:color w:val="000000" w:themeColor="text1"/>
          <w:sz w:val="16"/>
          <w:szCs w:val="16"/>
        </w:rPr>
        <w:t>Это заседание контр-революционной организации имело место, насколько помню, в кабинете ученого Секретаря Теплотехнического] Института ОЧКИНА; на нем присутствовали: РАМЗИН, я МЮЛЛЕР, ОЧКИН, ПРЕДТЕЧЕНСКИЙ, других не помню.</w:t>
      </w:r>
    </w:p>
    <w:p w14:paraId="00CDFACC" w14:textId="77777777" w:rsidR="00984AA6" w:rsidRPr="00507A31" w:rsidRDefault="00984AA6" w:rsidP="00507A31">
      <w:pPr>
        <w:jc w:val="both"/>
        <w:rPr>
          <w:color w:val="000000" w:themeColor="text1"/>
          <w:sz w:val="16"/>
          <w:szCs w:val="16"/>
        </w:rPr>
      </w:pPr>
      <w:r w:rsidRPr="00507A31">
        <w:rPr>
          <w:color w:val="000000" w:themeColor="text1"/>
          <w:sz w:val="16"/>
          <w:szCs w:val="16"/>
        </w:rPr>
        <w:t>Второе сообщение РАМЗИНА по вопросу об интервенции состоялось в конце 1929 г. на одном из заседаний контр-революционной организации Теплот[ехнического] Ин-та, которое было в помещении Бюро Тепло-технич[еских] съездов (ЮШКОВ). РАМЗИН в это время возвратился из командировки из Америки, куда он ездил вместе с А. И. МОРОЗОМ. В этот раз РАМЗИН сообщил, что по полученным им сведениям подготовка к интервенции против СССР ведется Западными европейскими государствами во главе с Францией, которая намерена осуществить интервенцию при помощи граничащих с СССР государств, в частности Польши.</w:t>
      </w:r>
    </w:p>
    <w:p w14:paraId="791B0779" w14:textId="77777777" w:rsidR="00984AA6" w:rsidRPr="00507A31" w:rsidRDefault="00984AA6" w:rsidP="00507A31">
      <w:pPr>
        <w:jc w:val="both"/>
        <w:rPr>
          <w:color w:val="000000" w:themeColor="text1"/>
          <w:sz w:val="16"/>
          <w:szCs w:val="16"/>
        </w:rPr>
      </w:pPr>
      <w:r w:rsidRPr="00507A31">
        <w:rPr>
          <w:color w:val="000000" w:themeColor="text1"/>
          <w:sz w:val="16"/>
          <w:szCs w:val="16"/>
        </w:rPr>
        <w:t>На этом заседании РАМЗИН также указывал, что в задачи Польши должн[а] войти переброска опытных военных руководителей, из белоэмигрантов на территорию Украины для организации в приграничной полосе военных выступлений антисоветских элементов. Срок осуществления интервенции по сообщению РАМЗИНА на этом заседании приурочивался к зиме 1930/31 г.</w:t>
      </w:r>
    </w:p>
    <w:p w14:paraId="1CFAA2F9" w14:textId="77777777" w:rsidR="00984AA6" w:rsidRPr="00507A31" w:rsidRDefault="00984AA6" w:rsidP="00507A31">
      <w:pPr>
        <w:jc w:val="both"/>
        <w:rPr>
          <w:color w:val="000000" w:themeColor="text1"/>
          <w:sz w:val="16"/>
          <w:szCs w:val="16"/>
        </w:rPr>
      </w:pPr>
      <w:r w:rsidRPr="00507A31">
        <w:rPr>
          <w:color w:val="000000" w:themeColor="text1"/>
          <w:sz w:val="16"/>
          <w:szCs w:val="16"/>
        </w:rPr>
        <w:t>На этом же заседании РАМЗИН обращался к присутствовавшим[,] из коих помню СОЛОВЬЕВА, ОЧКИНА, ЩЕГОЛЕВА, с указанием на необходимость нашей контр-революционной организации сообщать ему о настроениях среди населения, инженерства, интеллигенции для информации интервентских кругов. В частности, указывал на французское посольство, с которым он связан.</w:t>
      </w:r>
    </w:p>
    <w:p w14:paraId="564AECC4" w14:textId="77777777" w:rsidR="00984AA6" w:rsidRPr="00507A31" w:rsidRDefault="00984AA6" w:rsidP="00507A31">
      <w:pPr>
        <w:jc w:val="both"/>
        <w:rPr>
          <w:color w:val="000000" w:themeColor="text1"/>
          <w:sz w:val="16"/>
          <w:szCs w:val="16"/>
        </w:rPr>
      </w:pPr>
      <w:r w:rsidRPr="00507A31">
        <w:rPr>
          <w:color w:val="000000" w:themeColor="text1"/>
          <w:sz w:val="16"/>
          <w:szCs w:val="16"/>
        </w:rPr>
        <w:t>Записано собственноручно. А. Мюллер.</w:t>
      </w:r>
    </w:p>
    <w:p w14:paraId="136A11E5" w14:textId="77777777" w:rsidR="00984AA6" w:rsidRPr="00507A31" w:rsidRDefault="00984AA6" w:rsidP="00507A31">
      <w:pPr>
        <w:jc w:val="both"/>
        <w:rPr>
          <w:color w:val="000000" w:themeColor="text1"/>
          <w:sz w:val="16"/>
          <w:szCs w:val="16"/>
        </w:rPr>
      </w:pPr>
      <w:r w:rsidRPr="00507A31">
        <w:rPr>
          <w:color w:val="000000" w:themeColor="text1"/>
          <w:sz w:val="16"/>
          <w:szCs w:val="16"/>
        </w:rPr>
        <w:t>Пом. Нач. I Отделения] ЭКУ ОГПУ: Ржавский</w:t>
      </w:r>
    </w:p>
    <w:p w14:paraId="673D26E0" w14:textId="77777777" w:rsidR="00984AA6" w:rsidRPr="00507A31" w:rsidRDefault="00984AA6" w:rsidP="00507A31">
      <w:pPr>
        <w:jc w:val="both"/>
        <w:rPr>
          <w:color w:val="000000" w:themeColor="text1"/>
          <w:sz w:val="16"/>
          <w:szCs w:val="16"/>
        </w:rPr>
      </w:pPr>
      <w:r w:rsidRPr="00507A31">
        <w:rPr>
          <w:color w:val="000000" w:themeColor="text1"/>
          <w:sz w:val="16"/>
          <w:szCs w:val="16"/>
        </w:rPr>
        <w:t>ДОПРОСИЛ: Ст[арший] Уполномоченный] I Отделения] ЭКУ ОГПУ: Тарнуев</w:t>
      </w:r>
    </w:p>
    <w:p w14:paraId="3009516B" w14:textId="77777777" w:rsidR="00984AA6" w:rsidRPr="00507A31" w:rsidRDefault="00984AA6" w:rsidP="00507A31">
      <w:pPr>
        <w:jc w:val="both"/>
        <w:rPr>
          <w:color w:val="000000" w:themeColor="text1"/>
          <w:sz w:val="16"/>
          <w:szCs w:val="16"/>
        </w:rPr>
      </w:pPr>
      <w:r w:rsidRPr="00507A31">
        <w:rPr>
          <w:color w:val="000000" w:themeColor="text1"/>
          <w:sz w:val="16"/>
          <w:szCs w:val="16"/>
        </w:rPr>
        <w:t>Д. 354. Л. 67-68. Машинописная копия того времени. На Л. 67 вверху — штамп с вписанными от руки данными о распечатке (50 экз.) текста и датой «19.X.1930 г&gt;, подпись-автограф Хряпкиной. Рядом штамп о рассылке документа (номер и дата отсутствуют). Показания А. Н. Мюллера были направлены «для сведения» членам и кандидатам в члены Политбюро ЦК ВКП(б)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Предтеченского, Соловьева, Кирпотенко от 16 и 17.Х.30 г. —  «по вопросу об интервенции». (Копия сопроводительного письма на Л. 1; см. легенду к док. № 354-1 «Показания Е. Ф. Евреинова [...]».) (18467).</w:t>
      </w:r>
    </w:p>
    <w:p w14:paraId="70853AE1" w14:textId="77777777" w:rsidR="00984AA6" w:rsidRPr="00507A31" w:rsidRDefault="00984AA6" w:rsidP="00507A31">
      <w:pPr>
        <w:jc w:val="both"/>
        <w:rPr>
          <w:color w:val="000000" w:themeColor="text1"/>
          <w:sz w:val="16"/>
          <w:szCs w:val="16"/>
        </w:rPr>
      </w:pPr>
    </w:p>
    <w:p w14:paraId="4230AEBE" w14:textId="77777777" w:rsidR="00537E5F" w:rsidRPr="00507A31" w:rsidRDefault="00AC735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0AC832B" w14:textId="77777777" w:rsidR="00537E5F" w:rsidRPr="00507A31" w:rsidRDefault="00537E5F" w:rsidP="00507A31">
      <w:pPr>
        <w:shd w:val="clear" w:color="auto" w:fill="FFFFFF"/>
        <w:autoSpaceDE w:val="0"/>
        <w:autoSpaceDN w:val="0"/>
        <w:adjustRightInd w:val="0"/>
        <w:jc w:val="both"/>
        <w:rPr>
          <w:iCs/>
          <w:color w:val="000000" w:themeColor="text1"/>
          <w:sz w:val="16"/>
          <w:szCs w:val="16"/>
        </w:rPr>
      </w:pPr>
    </w:p>
    <w:p w14:paraId="5530E1C9" w14:textId="77777777" w:rsidR="005242C5" w:rsidRPr="00507A31" w:rsidRDefault="005242C5" w:rsidP="00507A31">
      <w:pPr>
        <w:pStyle w:val="ae"/>
        <w:shd w:val="clear" w:color="auto" w:fill="FFFFFF"/>
        <w:spacing w:before="0" w:after="0"/>
        <w:jc w:val="both"/>
        <w:rPr>
          <w:color w:val="000000" w:themeColor="text1"/>
          <w:sz w:val="16"/>
          <w:szCs w:val="16"/>
        </w:rPr>
      </w:pPr>
      <w:r w:rsidRPr="00507A31">
        <w:rPr>
          <w:color w:val="000000" w:themeColor="text1"/>
          <w:sz w:val="16"/>
          <w:szCs w:val="16"/>
        </w:rPr>
        <w:t>К 18 октября 1930 из 305 предусмотренных планом танков Т-19 было передано на приёмку только 216. В авральном порядке оставшиеся машины достраивались без башен, которые недопоставил Ижорский завод. К утру 1 ноября завод доложил о готовности, в том или ином виде, 312 танков. Но 10 ноября к первому пробегу было предъявлено 238 танков, 151 из которых удалось сдать. Не хватало 82 башен.</w:t>
      </w:r>
    </w:p>
    <w:p w14:paraId="4F52BBB4" w14:textId="77777777" w:rsidR="005242C5" w:rsidRPr="00507A31" w:rsidRDefault="005242C5" w:rsidP="00507A31">
      <w:pPr>
        <w:pStyle w:val="ae"/>
        <w:shd w:val="clear" w:color="auto" w:fill="FFFFFF"/>
        <w:spacing w:before="0" w:after="0"/>
        <w:jc w:val="both"/>
        <w:rPr>
          <w:color w:val="000000" w:themeColor="text1"/>
          <w:sz w:val="16"/>
          <w:szCs w:val="16"/>
        </w:rPr>
      </w:pPr>
      <w:r w:rsidRPr="00507A31">
        <w:rPr>
          <w:color w:val="000000" w:themeColor="text1"/>
          <w:sz w:val="16"/>
          <w:szCs w:val="16"/>
        </w:rPr>
        <w:t>Такое положение вещей спровоцировало проверку силами ОГПУ и стало причиной первой волны репрессий, которые прокатилась по советским танкостроителям. Пострадали ответственные исполнители на «Большевике», Ижорском заводе и других предприятиях. Арестованными оказались и некоторые сотрудники КБ ОАТ, например, Н.В. Цейц. Реальный объём выпущенных танков составил 305 штук, причём последние из них досдавались позже определённого планом срока.</w:t>
      </w:r>
    </w:p>
    <w:p w14:paraId="33F7C082" w14:textId="77777777" w:rsidR="005242C5" w:rsidRPr="00507A31" w:rsidRDefault="005242C5" w:rsidP="00507A31">
      <w:pPr>
        <w:pStyle w:val="ae"/>
        <w:shd w:val="clear" w:color="auto" w:fill="FFFFFF"/>
        <w:spacing w:before="0" w:after="0"/>
        <w:jc w:val="both"/>
        <w:rPr>
          <w:color w:val="000000" w:themeColor="text1"/>
          <w:sz w:val="16"/>
          <w:szCs w:val="16"/>
        </w:rPr>
      </w:pPr>
      <w:r w:rsidRPr="00507A31">
        <w:rPr>
          <w:color w:val="000000" w:themeColor="text1"/>
          <w:sz w:val="16"/>
          <w:szCs w:val="16"/>
        </w:rPr>
        <w:t>Проблемы с производством корпусов сильно тормозили производство Т-18. Интерес вызывает весьма странная отчётность завода. Начиная с осени 1930 года заводские данные существенно расходятся с теми, которые шли в Управление механизации и моторизации Красной армии (УММ). Например, дополнительно (по «особому кварталу») в последние 3 месяца 1930 года завод сдавал 90 танков. Фактически сдавались эти машины вплоть до весны 1931 года. Реальный объём выпуска Т-18 в этот период, включая 12 танков, сданных Мотовилихинским машиностроительным заводом, составил 317+90 машин, то есть 407 танков. В ряде справочников указывается, что 317 танков было произведено в 1929 и 90 — в 1930 годах, связано это с изменением системы учёта выпуска. На самом деле эти 407 танков выпускались в 1930 году и в начале 1931 года.</w:t>
      </w:r>
    </w:p>
    <w:p w14:paraId="42A10615" w14:textId="77777777" w:rsidR="005242C5" w:rsidRPr="00507A31" w:rsidRDefault="005242C5" w:rsidP="00507A31">
      <w:pPr>
        <w:pStyle w:val="ae"/>
        <w:shd w:val="clear" w:color="auto" w:fill="FFFFFF"/>
        <w:spacing w:before="0" w:after="0"/>
        <w:jc w:val="both"/>
        <w:rPr>
          <w:color w:val="000000" w:themeColor="text1"/>
          <w:sz w:val="16"/>
          <w:szCs w:val="16"/>
        </w:rPr>
      </w:pPr>
      <w:r w:rsidRPr="00507A31">
        <w:rPr>
          <w:color w:val="000000" w:themeColor="text1"/>
          <w:sz w:val="16"/>
          <w:szCs w:val="16"/>
        </w:rPr>
        <w:t xml:space="preserve">Выпуск танков «особого квартала» совпал с внедрением в конструкцию изменений, которые должны были получить танки четвёртой производственной серии. Была усилена подвеска, установлена наконец 4-скоростная коробка передач. В ноябре 1930 года прошли испытания трёх типов ведущих колёс. Наиболее удачным оказалось </w:t>
      </w:r>
      <w:r w:rsidRPr="00507A31">
        <w:rPr>
          <w:color w:val="000000" w:themeColor="text1"/>
          <w:sz w:val="16"/>
          <w:szCs w:val="16"/>
        </w:rPr>
        <w:lastRenderedPageBreak/>
        <w:t>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367318B7" w14:textId="77777777" w:rsidR="005242C5" w:rsidRPr="00507A31" w:rsidRDefault="005242C5" w:rsidP="00507A31">
      <w:pPr>
        <w:jc w:val="both"/>
        <w:rPr>
          <w:color w:val="000000" w:themeColor="text1"/>
          <w:sz w:val="16"/>
          <w:szCs w:val="16"/>
        </w:rPr>
      </w:pPr>
    </w:p>
    <w:p w14:paraId="47FE1932" w14:textId="77777777" w:rsidR="008B5271" w:rsidRPr="00507A31" w:rsidRDefault="008B5271" w:rsidP="00507A31">
      <w:pPr>
        <w:pStyle w:val="article-renderblock"/>
        <w:shd w:val="clear" w:color="auto" w:fill="FFFFFF"/>
        <w:spacing w:before="0" w:beforeAutospacing="0" w:after="0" w:afterAutospacing="0"/>
        <w:jc w:val="both"/>
        <w:rPr>
          <w:color w:val="0070C0"/>
          <w:sz w:val="16"/>
          <w:szCs w:val="16"/>
        </w:rPr>
      </w:pPr>
      <w:r w:rsidRPr="00507A31">
        <w:rPr>
          <w:color w:val="0070C0"/>
          <w:sz w:val="16"/>
          <w:szCs w:val="16"/>
        </w:rPr>
        <w:t>18 октября 1930 года выяснилось, что по Т-19 "Большевик" опаздывал уже на 1,5 месяца. Можно всё списать на завод, но давайте еще раз внимательно посмотрим на хронологию событий. Закупочная комиссия Халепского не теряло времени даром. 28 мая 1930 года был подписан контракт с Vickers-Armstrongs на поставку 15 танков сопровождения Vickers Mk.E Type A. Не совсем то, что хотели Калиновский с В.К.Триандафилловым, но зато здесь и сейчас. Первый из танков прибыл в СССР к ноябрю 1930 года, когда Т-19 еще дорабатывался. Несмотря на то, что в ходе последующих испытаний В-26 (так Vickers Mk.E называли в СССР) выявились некоторые недостатки, общее мнение в УММ КА было однозначным. Английский танк, который приобретался с лицензией на серийный выпуск, по ряду параметров явно превосходил еще не родившийся Т-19.</w:t>
      </w:r>
    </w:p>
    <w:p w14:paraId="7A19620F" w14:textId="77777777" w:rsidR="008B5271" w:rsidRPr="00507A31" w:rsidRDefault="008B5271" w:rsidP="00507A31">
      <w:pPr>
        <w:pStyle w:val="article-renderblock"/>
        <w:shd w:val="clear" w:color="auto" w:fill="FFFFFF"/>
        <w:spacing w:before="0" w:beforeAutospacing="0" w:after="0" w:afterAutospacing="0"/>
        <w:jc w:val="both"/>
        <w:rPr>
          <w:color w:val="0070C0"/>
          <w:sz w:val="16"/>
          <w:szCs w:val="16"/>
        </w:rPr>
      </w:pPr>
      <w:r w:rsidRPr="00507A31">
        <w:rPr>
          <w:color w:val="0070C0"/>
          <w:sz w:val="16"/>
          <w:szCs w:val="16"/>
        </w:rPr>
        <w:t>Исходя из испытаний В-26, Гинзбург, который ими руководил, предложил доработать Т-19 с учетом конструкции английского танка. В частности, предполагалось использовать на Т-19 ходовую часть, а также трансмиссию. Некоторые исследователи восприняли это как попытку одного из создателей Т-19 спасти танк, но они не попали от слова совсем. Во-первых, Гинзбург на тот момент являлся представителем НКТ УММ КА, то есть по другую сторону баррикад. Во-вторых, у Семена Александровича имелись вполне здравые соображения, зачем так надо было делать. Компоновка моторного отделения В-26 не нравилась многим, так что мысль об отечественном моторе, стоящем вертикально (а не лежащем на боку), появилась сразу. Также освоить такую помесь "Большевику" было бы проще и быстрее (20842).</w:t>
      </w:r>
    </w:p>
    <w:p w14:paraId="3AD3E3EB" w14:textId="77777777" w:rsidR="008B5271" w:rsidRPr="00507A31" w:rsidRDefault="008B5271" w:rsidP="00507A31">
      <w:pPr>
        <w:pStyle w:val="article-renderblock"/>
        <w:shd w:val="clear" w:color="auto" w:fill="FFFFFF"/>
        <w:spacing w:before="0" w:beforeAutospacing="0" w:after="0" w:afterAutospacing="0"/>
        <w:jc w:val="both"/>
        <w:rPr>
          <w:color w:val="0070C0"/>
          <w:sz w:val="16"/>
          <w:szCs w:val="16"/>
        </w:rPr>
      </w:pPr>
    </w:p>
    <w:p w14:paraId="7887EA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октября 1930 г. был подготовлен документ ИТОГИ КАЛЬКУЛЯЦИОННОЙ РАБОТЫ ТЕХНИЧЕСКОГО УПРАВЛЕНИЯ УММ ЗА 1929/30 г.</w:t>
      </w:r>
    </w:p>
    <w:p w14:paraId="112C44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6A4816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Калькуляционная работа технического управления за 1929/30 операционный год протекала в ус</w:t>
      </w:r>
      <w:r w:rsidRPr="00507A31">
        <w:rPr>
          <w:color w:val="000000" w:themeColor="text1"/>
          <w:sz w:val="16"/>
          <w:szCs w:val="16"/>
        </w:rPr>
        <w:softHyphen/>
        <w:t>ловиях организации ее и проведении в жизнь приказа РВС СССР №041 1930 г.</w:t>
      </w:r>
    </w:p>
    <w:p w14:paraId="6A9EAC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Отсутствие до августа сего года калькуляционной комиссии, конечно, не могло не отразиться на темпах развертывания работы, особенно в отношении проверки калькуляции по договорам прошлых лет, а также установления цен по вновь заключенном договорам в 1929/30 операционном году.</w:t>
      </w:r>
    </w:p>
    <w:p w14:paraId="644AC8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Несмотря на это, основная задача, поставленная Реввоенсоветом в приказе №041 1930 г. о сни</w:t>
      </w:r>
      <w:r w:rsidRPr="00507A31">
        <w:rPr>
          <w:color w:val="000000" w:themeColor="text1"/>
          <w:sz w:val="16"/>
          <w:szCs w:val="16"/>
        </w:rPr>
        <w:softHyphen/>
        <w:t>жении цен на 1930/31 г. на 30 процентов - ТУ выполнена.</w:t>
      </w:r>
    </w:p>
    <w:p w14:paraId="23E80E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Новые цены, установленные на особый квартал, дают в общем снижение по сравнению с 1929/30 операционным годом на 30,6 процентов.</w:t>
      </w:r>
    </w:p>
    <w:p w14:paraId="1874D4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Самое большое снижение имеем по танкам и тракторам — 43 процента. Такое снижение стало возможным благодаря тому, что производство этих предметов стало принимать вследствие увеличе</w:t>
      </w:r>
      <w:r w:rsidRPr="00507A31">
        <w:rPr>
          <w:color w:val="000000" w:themeColor="text1"/>
          <w:sz w:val="16"/>
          <w:szCs w:val="16"/>
        </w:rPr>
        <w:softHyphen/>
        <w:t>ния программы заказов характер серийного производства, с одной стороны, а с другой — эти пред</w:t>
      </w:r>
      <w:r w:rsidRPr="00507A31">
        <w:rPr>
          <w:color w:val="000000" w:themeColor="text1"/>
          <w:sz w:val="16"/>
          <w:szCs w:val="16"/>
        </w:rPr>
        <w:softHyphen/>
        <w:t>меты полностью изготовляются нашей промышленностью и не зависят от импорта.</w:t>
      </w:r>
    </w:p>
    <w:p w14:paraId="550AF6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автотранспорту (без Фордов-А и АА) снижение равно 25 процентам. Не полное (то есть не 30 процентная) снижение объясняется тем, что некоторые части машин являются импортными (по ко</w:t>
      </w:r>
      <w:r w:rsidRPr="00507A31">
        <w:rPr>
          <w:color w:val="000000" w:themeColor="text1"/>
          <w:sz w:val="16"/>
          <w:szCs w:val="16"/>
        </w:rPr>
        <w:softHyphen/>
        <w:t>торым снижения нет) и тем, что автопромышленность СССР только развертывается.</w:t>
      </w:r>
    </w:p>
    <w:p w14:paraId="20AE88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Фордам вследствие ввоза из-за границы всех частей (в СССР осуществляется только сборка), имеется снижение лишь на 3 процента.</w:t>
      </w:r>
    </w:p>
    <w:p w14:paraId="62BA8A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Что же касается снижения цен по заказам 1929/30 г., то здесь необходимо констатировать неко</w:t>
      </w:r>
      <w:r w:rsidRPr="00507A31">
        <w:rPr>
          <w:color w:val="000000" w:themeColor="text1"/>
          <w:sz w:val="16"/>
          <w:szCs w:val="16"/>
        </w:rPr>
        <w:softHyphen/>
        <w:t>торую недостаточность в достигнутых результатах (общее снижение — на 12 процентов по отноше</w:t>
      </w:r>
      <w:r w:rsidRPr="00507A31">
        <w:rPr>
          <w:color w:val="000000" w:themeColor="text1"/>
          <w:sz w:val="16"/>
          <w:szCs w:val="16"/>
        </w:rPr>
        <w:softHyphen/>
        <w:t>нию к 1928/29 г.). Факт переплаты промышленности по некоторым заказам показывает, что 12 про</w:t>
      </w:r>
      <w:r w:rsidRPr="00507A31">
        <w:rPr>
          <w:color w:val="000000" w:themeColor="text1"/>
          <w:sz w:val="16"/>
          <w:szCs w:val="16"/>
        </w:rPr>
        <w:softHyphen/>
        <w:t>центное снижение является не полным, не вполне характеризующим действительную возможность снижения цен на продукцию 1929/30 г.</w:t>
      </w:r>
    </w:p>
    <w:p w14:paraId="295A90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Основные трудности калькуляционной работы в прошлом году были и остаются также на буду</w:t>
      </w:r>
      <w:r w:rsidRPr="00507A31">
        <w:rPr>
          <w:color w:val="000000" w:themeColor="text1"/>
          <w:sz w:val="16"/>
          <w:szCs w:val="16"/>
        </w:rPr>
        <w:softHyphen/>
        <w:t>щий год. Это, во-первых, трудности (в некоторых случаях даже невозможность) проверки калькуля</w:t>
      </w:r>
      <w:r w:rsidRPr="00507A31">
        <w:rPr>
          <w:color w:val="000000" w:themeColor="text1"/>
          <w:sz w:val="16"/>
          <w:szCs w:val="16"/>
        </w:rPr>
        <w:softHyphen/>
        <w:t>ций без проверки таковых на производстве и, во-вторых, специфичность многих заказов, являю</w:t>
      </w:r>
      <w:r w:rsidRPr="00507A31">
        <w:rPr>
          <w:color w:val="000000" w:themeColor="text1"/>
          <w:sz w:val="16"/>
          <w:szCs w:val="16"/>
        </w:rPr>
        <w:softHyphen/>
        <w:t>щихся для промышленности новыми и усложняющими поэтому определение стоимости продукции даже самой промышленностью.</w:t>
      </w:r>
    </w:p>
    <w:p w14:paraId="1272478B" w14:textId="77777777" w:rsidR="00537E5F" w:rsidRPr="00507A31" w:rsidRDefault="00537E5F" w:rsidP="00507A31">
      <w:pPr>
        <w:shd w:val="clear" w:color="auto" w:fill="FFFFFF"/>
        <w:autoSpaceDE w:val="0"/>
        <w:autoSpaceDN w:val="0"/>
        <w:adjustRightInd w:val="0"/>
        <w:jc w:val="both"/>
        <w:rPr>
          <w:iCs/>
          <w:color w:val="000000" w:themeColor="text1"/>
          <w:sz w:val="16"/>
          <w:szCs w:val="16"/>
        </w:rPr>
      </w:pPr>
      <w:r w:rsidRPr="00507A31">
        <w:rPr>
          <w:color w:val="000000" w:themeColor="text1"/>
          <w:sz w:val="16"/>
          <w:szCs w:val="16"/>
        </w:rPr>
        <w:t xml:space="preserve">Член калькуляционной комиссии УММ РККА </w:t>
      </w:r>
      <w:r w:rsidRPr="00507A31">
        <w:rPr>
          <w:iCs/>
          <w:color w:val="000000" w:themeColor="text1"/>
          <w:sz w:val="16"/>
          <w:szCs w:val="16"/>
        </w:rPr>
        <w:t>Кобрин</w:t>
      </w:r>
    </w:p>
    <w:p w14:paraId="452F5A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Сведения о снижении цен на новые заказы особого квартала 1930 г.</w:t>
      </w:r>
    </w:p>
    <w:tbl>
      <w:tblPr>
        <w:tblW w:w="0" w:type="auto"/>
        <w:tblInd w:w="40" w:type="dxa"/>
        <w:tblLayout w:type="fixed"/>
        <w:tblCellMar>
          <w:left w:w="40" w:type="dxa"/>
          <w:right w:w="40" w:type="dxa"/>
        </w:tblCellMar>
        <w:tblLook w:val="0000" w:firstRow="0" w:lastRow="0" w:firstColumn="0" w:lastColumn="0" w:noHBand="0" w:noVBand="0"/>
      </w:tblPr>
      <w:tblGrid>
        <w:gridCol w:w="2333"/>
        <w:gridCol w:w="893"/>
        <w:gridCol w:w="893"/>
        <w:gridCol w:w="893"/>
        <w:gridCol w:w="902"/>
        <w:gridCol w:w="883"/>
        <w:gridCol w:w="912"/>
      </w:tblGrid>
      <w:tr w:rsidR="00E371BA" w:rsidRPr="00507A31" w14:paraId="1F9B5B50" w14:textId="77777777">
        <w:trPr>
          <w:trHeight w:val="595"/>
        </w:trPr>
        <w:tc>
          <w:tcPr>
            <w:tcW w:w="2333" w:type="dxa"/>
            <w:tcBorders>
              <w:top w:val="single" w:sz="6" w:space="0" w:color="auto"/>
              <w:left w:val="single" w:sz="6" w:space="0" w:color="auto"/>
              <w:bottom w:val="single" w:sz="6" w:space="0" w:color="auto"/>
              <w:right w:val="single" w:sz="6" w:space="0" w:color="auto"/>
            </w:tcBorders>
          </w:tcPr>
          <w:p w14:paraId="449D1F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Наименования</w:t>
            </w:r>
          </w:p>
          <w:p w14:paraId="5AE069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E2CD5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Кол-во</w:t>
            </w:r>
          </w:p>
          <w:p w14:paraId="49084F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EE532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Цена 29/ЗОг.</w:t>
            </w:r>
          </w:p>
          <w:p w14:paraId="19DAE0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F4BB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Стоимость</w:t>
            </w:r>
          </w:p>
          <w:p w14:paraId="53C9BC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469C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Цена особого квартала</w:t>
            </w:r>
          </w:p>
          <w:p w14:paraId="18ED5F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569AC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Стоимость по ценам особого квартала</w:t>
            </w:r>
          </w:p>
          <w:p w14:paraId="2201D7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BBE21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Снижение в</w:t>
            </w:r>
          </w:p>
          <w:p w14:paraId="0826CC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3708B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86A3592"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60ADA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Танки МС-1</w:t>
            </w:r>
          </w:p>
          <w:p w14:paraId="097EF3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64F36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w:t>
            </w:r>
          </w:p>
          <w:p w14:paraId="07DF73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25F1D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41500</w:t>
            </w:r>
          </w:p>
          <w:p w14:paraId="35F847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0DC95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2697500</w:t>
            </w:r>
          </w:p>
          <w:p w14:paraId="7956B3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3434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25000</w:t>
            </w:r>
          </w:p>
          <w:p w14:paraId="03C421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637F8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1625000</w:t>
            </w:r>
          </w:p>
          <w:p w14:paraId="7C474C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473B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39,75</w:t>
            </w:r>
          </w:p>
          <w:p w14:paraId="05C959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D7208A6"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3D95E0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Танки Т-24</w:t>
            </w:r>
          </w:p>
          <w:p w14:paraId="39D0A7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C009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263B44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ACA8F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90000</w:t>
            </w:r>
          </w:p>
          <w:p w14:paraId="57E9B8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C59B8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1350000</w:t>
            </w:r>
          </w:p>
          <w:p w14:paraId="590F0C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14C7A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w:t>
            </w:r>
          </w:p>
          <w:p w14:paraId="5E1493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66CEC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750000</w:t>
            </w:r>
          </w:p>
          <w:p w14:paraId="2BC81B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6DD6E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44,5</w:t>
            </w:r>
          </w:p>
          <w:p w14:paraId="67E2A8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211BF28"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1AC2BC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Тракторы "Коммунар"</w:t>
            </w:r>
          </w:p>
          <w:p w14:paraId="3BB8AA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66D74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w:t>
            </w:r>
          </w:p>
          <w:p w14:paraId="2023D8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A341F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18900</w:t>
            </w:r>
          </w:p>
          <w:p w14:paraId="5CA39C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B8E9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2268000</w:t>
            </w:r>
          </w:p>
          <w:p w14:paraId="4FD9CA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129CB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p w14:paraId="6B6C6D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9AA29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1200000</w:t>
            </w:r>
          </w:p>
          <w:p w14:paraId="4FFA3C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F95B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47,00</w:t>
            </w:r>
          </w:p>
          <w:p w14:paraId="72318D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17DD495"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DDF51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Прицепные повозки П-12</w:t>
            </w:r>
          </w:p>
          <w:p w14:paraId="6B4856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13D9C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w:t>
            </w:r>
          </w:p>
          <w:p w14:paraId="43BBC2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52215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3200</w:t>
            </w:r>
          </w:p>
          <w:p w14:paraId="579CB7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23515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320000</w:t>
            </w:r>
          </w:p>
          <w:p w14:paraId="3988BD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D42A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1800</w:t>
            </w:r>
          </w:p>
          <w:p w14:paraId="5F5E8C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94FE1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180000</w:t>
            </w:r>
          </w:p>
          <w:p w14:paraId="189BAF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7AC3A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43,8</w:t>
            </w:r>
          </w:p>
          <w:p w14:paraId="15448A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BD9CF71"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350F8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Прицепные повозки П-18</w:t>
            </w:r>
          </w:p>
          <w:p w14:paraId="6462AB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85CE7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w:t>
            </w:r>
          </w:p>
          <w:p w14:paraId="5F2D66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CB6D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6300</w:t>
            </w:r>
          </w:p>
          <w:p w14:paraId="76359A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165AA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315000</w:t>
            </w:r>
          </w:p>
          <w:p w14:paraId="345D9A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EEC5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1420</w:t>
            </w:r>
          </w:p>
          <w:p w14:paraId="3411DE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C8D4B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90000</w:t>
            </w:r>
          </w:p>
          <w:p w14:paraId="439C13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592F5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0</w:t>
            </w:r>
          </w:p>
          <w:p w14:paraId="01DE65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A181E6F"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7DF80D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Легковые Форд А</w:t>
            </w:r>
          </w:p>
          <w:p w14:paraId="303C03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58CE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140</w:t>
            </w:r>
          </w:p>
          <w:p w14:paraId="2F0984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B1D71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1495</w:t>
            </w:r>
          </w:p>
          <w:p w14:paraId="53A37A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94B1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209300</w:t>
            </w:r>
          </w:p>
          <w:p w14:paraId="0073F2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36C3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2152</w:t>
            </w:r>
          </w:p>
          <w:p w14:paraId="7F021F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F79DE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198800</w:t>
            </w:r>
          </w:p>
          <w:p w14:paraId="5169B6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F9525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w:t>
            </w:r>
          </w:p>
          <w:p w14:paraId="77BBC8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2E5D5D2" w14:textId="77777777">
        <w:trPr>
          <w:trHeight w:val="211"/>
        </w:trPr>
        <w:tc>
          <w:tcPr>
            <w:tcW w:w="2333" w:type="dxa"/>
            <w:tcBorders>
              <w:top w:val="single" w:sz="6" w:space="0" w:color="auto"/>
              <w:left w:val="single" w:sz="6" w:space="0" w:color="auto"/>
              <w:bottom w:val="single" w:sz="6" w:space="0" w:color="auto"/>
              <w:right w:val="single" w:sz="6" w:space="0" w:color="auto"/>
            </w:tcBorders>
          </w:tcPr>
          <w:p w14:paraId="0A548F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Грузовые Форд АА</w:t>
            </w:r>
          </w:p>
          <w:p w14:paraId="691A68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522FF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869</w:t>
            </w:r>
          </w:p>
          <w:p w14:paraId="1AA6DB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E4329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w:t>
            </w:r>
          </w:p>
          <w:p w14:paraId="419D6C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F535F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1911800</w:t>
            </w:r>
          </w:p>
          <w:p w14:paraId="4C76A2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E3B62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1952</w:t>
            </w:r>
          </w:p>
          <w:p w14:paraId="474BBA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F2C9C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1870088</w:t>
            </w:r>
          </w:p>
          <w:p w14:paraId="2D76DB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C3F7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w:t>
            </w:r>
          </w:p>
          <w:p w14:paraId="4FF486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EBB0850"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7648D2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Шасси Форд АА</w:t>
            </w:r>
          </w:p>
          <w:p w14:paraId="62CCB4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2646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111</w:t>
            </w:r>
          </w:p>
          <w:p w14:paraId="7165BC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03BB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w:t>
            </w:r>
          </w:p>
          <w:p w14:paraId="152A93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5614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222000</w:t>
            </w:r>
          </w:p>
          <w:p w14:paraId="0A6AF5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46062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6865</w:t>
            </w:r>
          </w:p>
          <w:p w14:paraId="40BD90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367E9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216672</w:t>
            </w:r>
          </w:p>
          <w:p w14:paraId="047A75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90C72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w:t>
            </w:r>
          </w:p>
          <w:p w14:paraId="1D9456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A3D20AB"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483ACA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Грузовые АМО Ф-15</w:t>
            </w:r>
          </w:p>
          <w:p w14:paraId="127AE1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2682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145</w:t>
            </w:r>
          </w:p>
          <w:p w14:paraId="535D4D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7C57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8286</w:t>
            </w:r>
          </w:p>
          <w:p w14:paraId="66431A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5374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1201470</w:t>
            </w:r>
          </w:p>
          <w:p w14:paraId="17B87F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BFAC4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6690</w:t>
            </w:r>
          </w:p>
          <w:p w14:paraId="7E444D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D6319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995425</w:t>
            </w:r>
          </w:p>
          <w:p w14:paraId="7DD7AD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2071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w:t>
            </w:r>
          </w:p>
          <w:p w14:paraId="35BFCD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DB3B46E"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361B0B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Шасси АМО Ф-15</w:t>
            </w:r>
          </w:p>
          <w:p w14:paraId="46921D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E744E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w:t>
            </w:r>
          </w:p>
          <w:p w14:paraId="7EEA26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7C345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7566</w:t>
            </w:r>
          </w:p>
          <w:p w14:paraId="193EB1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53487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226980</w:t>
            </w:r>
          </w:p>
          <w:p w14:paraId="1B2D17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F1EC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6340</w:t>
            </w:r>
          </w:p>
          <w:p w14:paraId="7AFECA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BBC9A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200700</w:t>
            </w:r>
          </w:p>
          <w:p w14:paraId="2D71B3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DF9D1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10,5</w:t>
            </w:r>
          </w:p>
          <w:p w14:paraId="73F233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53CB2F6"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621DAD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Грузовые АМО-2</w:t>
            </w:r>
          </w:p>
          <w:p w14:paraId="278515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8876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93</w:t>
            </w:r>
          </w:p>
          <w:p w14:paraId="0933C2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1AB75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9319</w:t>
            </w:r>
          </w:p>
          <w:p w14:paraId="49C115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6A23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866667</w:t>
            </w:r>
          </w:p>
          <w:p w14:paraId="75CDD9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515FC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6128</w:t>
            </w:r>
          </w:p>
          <w:p w14:paraId="678CFD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6D3DB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589620</w:t>
            </w:r>
          </w:p>
          <w:p w14:paraId="28A4DE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80464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32,0</w:t>
            </w:r>
          </w:p>
          <w:p w14:paraId="3B96DA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7868F1C"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4AA4D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Шасси АМО-2</w:t>
            </w:r>
          </w:p>
          <w:p w14:paraId="346082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798F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w:t>
            </w:r>
          </w:p>
          <w:p w14:paraId="5389E3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E95E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9107</w:t>
            </w:r>
          </w:p>
          <w:p w14:paraId="72DBF6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9C97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63749</w:t>
            </w:r>
          </w:p>
          <w:p w14:paraId="415C77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63AA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9967</w:t>
            </w:r>
          </w:p>
          <w:p w14:paraId="717F8D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55C1E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42896</w:t>
            </w:r>
          </w:p>
          <w:p w14:paraId="79FEC3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AD10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32,0</w:t>
            </w:r>
          </w:p>
          <w:p w14:paraId="336BBE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4BB4BA6" w14:textId="77777777">
        <w:trPr>
          <w:trHeight w:val="211"/>
        </w:trPr>
        <w:tc>
          <w:tcPr>
            <w:tcW w:w="2333" w:type="dxa"/>
            <w:tcBorders>
              <w:top w:val="single" w:sz="6" w:space="0" w:color="auto"/>
              <w:left w:val="single" w:sz="6" w:space="0" w:color="auto"/>
              <w:bottom w:val="single" w:sz="6" w:space="0" w:color="auto"/>
              <w:right w:val="single" w:sz="6" w:space="0" w:color="auto"/>
            </w:tcBorders>
          </w:tcPr>
          <w:p w14:paraId="102D09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Грузовые Я-5 3,5т</w:t>
            </w:r>
          </w:p>
          <w:p w14:paraId="2AC116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C866A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98</w:t>
            </w:r>
          </w:p>
          <w:p w14:paraId="5BB389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1BB70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13892</w:t>
            </w:r>
          </w:p>
          <w:p w14:paraId="5EDB44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D5F4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1361416</w:t>
            </w:r>
          </w:p>
          <w:p w14:paraId="570789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72CF6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9083</w:t>
            </w:r>
          </w:p>
          <w:p w14:paraId="72EEA8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8D052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976766</w:t>
            </w:r>
          </w:p>
          <w:p w14:paraId="7B08C8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AFBD2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28,3</w:t>
            </w:r>
          </w:p>
          <w:p w14:paraId="49CD51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3C8D11C"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0051FE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Шасси Я-5 3,5т</w:t>
            </w:r>
          </w:p>
          <w:p w14:paraId="648D89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4E3C8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5197BD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53E06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13008</w:t>
            </w:r>
          </w:p>
          <w:p w14:paraId="778973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111D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26016</w:t>
            </w:r>
          </w:p>
          <w:p w14:paraId="7EB824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54F9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2014</w:t>
            </w:r>
          </w:p>
          <w:p w14:paraId="4BEE12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4CD7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18166</w:t>
            </w:r>
          </w:p>
          <w:p w14:paraId="29FB86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5672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29,6</w:t>
            </w:r>
          </w:p>
          <w:p w14:paraId="5C7C9E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4380C8F"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3A0AFE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Санитарные кузова</w:t>
            </w:r>
          </w:p>
          <w:p w14:paraId="52CBD0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00DA5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w:t>
            </w:r>
          </w:p>
          <w:p w14:paraId="5691AF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DF58A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3170</w:t>
            </w:r>
          </w:p>
          <w:p w14:paraId="3FCC1F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CE7E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110950</w:t>
            </w:r>
          </w:p>
          <w:p w14:paraId="50D3CD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7B7A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6020</w:t>
            </w:r>
          </w:p>
          <w:p w14:paraId="6410AB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E9BB5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70490</w:t>
            </w:r>
          </w:p>
          <w:p w14:paraId="6694D4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69ED2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36,5</w:t>
            </w:r>
          </w:p>
          <w:p w14:paraId="45F85D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92FB41D"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546C4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Пожарное оборудование</w:t>
            </w:r>
          </w:p>
          <w:p w14:paraId="16E8B5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89336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w:t>
            </w:r>
          </w:p>
          <w:p w14:paraId="42AE86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C7442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8600</w:t>
            </w:r>
          </w:p>
          <w:p w14:paraId="531C7F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74814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258000</w:t>
            </w:r>
          </w:p>
          <w:p w14:paraId="733618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5F87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4500</w:t>
            </w:r>
          </w:p>
          <w:p w14:paraId="54ECF4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15D14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180600</w:t>
            </w:r>
          </w:p>
          <w:p w14:paraId="0AE6C1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19041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w:t>
            </w:r>
          </w:p>
          <w:p w14:paraId="26229E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90123E5"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61D8A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Кузова для кинопередвижек</w:t>
            </w:r>
          </w:p>
          <w:p w14:paraId="464467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523E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w:t>
            </w:r>
          </w:p>
          <w:p w14:paraId="732C7A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51E3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4500</w:t>
            </w:r>
          </w:p>
          <w:p w14:paraId="3C858C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A6A9D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72000</w:t>
            </w:r>
          </w:p>
          <w:p w14:paraId="173782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9FDA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84</w:t>
            </w:r>
          </w:p>
          <w:p w14:paraId="5A90A5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3740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72000</w:t>
            </w:r>
          </w:p>
          <w:p w14:paraId="349F86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EBA3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0</w:t>
            </w:r>
          </w:p>
          <w:p w14:paraId="78F98F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3CC17CE"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BCAB8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Велосипеды</w:t>
            </w:r>
          </w:p>
          <w:p w14:paraId="0B0467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F04A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w:t>
            </w:r>
          </w:p>
          <w:p w14:paraId="176274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10F0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118</w:t>
            </w:r>
          </w:p>
          <w:p w14:paraId="1FEABA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0D44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118000</w:t>
            </w:r>
          </w:p>
          <w:p w14:paraId="170AEB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8EAFC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3800</w:t>
            </w:r>
          </w:p>
          <w:p w14:paraId="09EC28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3D4E4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84000</w:t>
            </w:r>
          </w:p>
          <w:p w14:paraId="5955B4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80756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28,8</w:t>
            </w:r>
          </w:p>
          <w:p w14:paraId="5C8D4C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2E292D3" w14:textId="77777777">
        <w:trPr>
          <w:trHeight w:val="211"/>
        </w:trPr>
        <w:tc>
          <w:tcPr>
            <w:tcW w:w="2333" w:type="dxa"/>
            <w:tcBorders>
              <w:top w:val="single" w:sz="6" w:space="0" w:color="auto"/>
              <w:left w:val="single" w:sz="6" w:space="0" w:color="auto"/>
              <w:bottom w:val="single" w:sz="6" w:space="0" w:color="auto"/>
              <w:right w:val="single" w:sz="6" w:space="0" w:color="auto"/>
            </w:tcBorders>
          </w:tcPr>
          <w:p w14:paraId="37BA04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Оборудование аэростартер.</w:t>
            </w:r>
          </w:p>
          <w:p w14:paraId="763EA0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9819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34</w:t>
            </w:r>
          </w:p>
          <w:p w14:paraId="7510EC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54094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w:t>
            </w:r>
          </w:p>
          <w:p w14:paraId="3985F2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B384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170000</w:t>
            </w:r>
          </w:p>
          <w:p w14:paraId="1BE7DD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1772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20,50</w:t>
            </w:r>
          </w:p>
          <w:p w14:paraId="038880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6C17B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129200</w:t>
            </w:r>
          </w:p>
          <w:p w14:paraId="679F7D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CA1B0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24,0</w:t>
            </w:r>
          </w:p>
          <w:p w14:paraId="11F22E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A572AAB"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192762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Бочки металлические</w:t>
            </w:r>
          </w:p>
          <w:p w14:paraId="170044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4D3C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w:t>
            </w:r>
          </w:p>
          <w:p w14:paraId="2E0E11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CD0FD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30,20</w:t>
            </w:r>
          </w:p>
          <w:p w14:paraId="28A346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AE00C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60400</w:t>
            </w:r>
          </w:p>
          <w:p w14:paraId="203EFA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1536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1100</w:t>
            </w:r>
          </w:p>
          <w:p w14:paraId="67D53D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99AC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41000</w:t>
            </w:r>
          </w:p>
          <w:p w14:paraId="74744A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C52A8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33,0</w:t>
            </w:r>
          </w:p>
          <w:p w14:paraId="7A159D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ACA505E"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6D0C98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Броня 8 мм и 10 мм</w:t>
            </w:r>
          </w:p>
          <w:p w14:paraId="17525A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692A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150</w:t>
            </w:r>
          </w:p>
          <w:p w14:paraId="568A38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9CD7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1600</w:t>
            </w:r>
          </w:p>
          <w:p w14:paraId="0F08EF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4E9A9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240000</w:t>
            </w:r>
          </w:p>
          <w:p w14:paraId="7320E8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07FF1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10000</w:t>
            </w:r>
          </w:p>
          <w:p w14:paraId="574FB7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834D9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165000</w:t>
            </w:r>
          </w:p>
          <w:p w14:paraId="0E823A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50218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30,0</w:t>
            </w:r>
          </w:p>
          <w:p w14:paraId="2C80F8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7631987"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6E7A08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Бронирование</w:t>
            </w:r>
          </w:p>
          <w:p w14:paraId="5AA050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33087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w:t>
            </w:r>
          </w:p>
          <w:p w14:paraId="07C044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FE0A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w:t>
            </w:r>
          </w:p>
          <w:p w14:paraId="2DEC2B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846C3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625000</w:t>
            </w:r>
          </w:p>
          <w:p w14:paraId="2DC7EA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98030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5E393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69213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500000</w:t>
            </w:r>
          </w:p>
          <w:p w14:paraId="1D0583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77FBB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w:t>
            </w:r>
          </w:p>
          <w:p w14:paraId="7A5058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2CB426A"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FD742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w:t>
            </w:r>
          </w:p>
          <w:p w14:paraId="7017AA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6FC01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CD429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23600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CC5BE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1AB4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14694248</w:t>
            </w:r>
          </w:p>
          <w:p w14:paraId="608E50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A11A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58540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41423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10196423</w:t>
            </w:r>
          </w:p>
          <w:p w14:paraId="038FED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9539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30,6</w:t>
            </w:r>
          </w:p>
          <w:p w14:paraId="4EDC41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3617C00" w14:textId="77777777">
        <w:trPr>
          <w:trHeight w:val="240"/>
        </w:trPr>
        <w:tc>
          <w:tcPr>
            <w:tcW w:w="5914" w:type="dxa"/>
            <w:gridSpan w:val="5"/>
            <w:tcBorders>
              <w:top w:val="single" w:sz="6" w:space="0" w:color="auto"/>
              <w:left w:val="single" w:sz="6" w:space="0" w:color="auto"/>
              <w:bottom w:val="single" w:sz="6" w:space="0" w:color="auto"/>
              <w:right w:val="single" w:sz="6" w:space="0" w:color="auto"/>
            </w:tcBorders>
          </w:tcPr>
          <w:p w14:paraId="7ABFE3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Снижение на сумму</w:t>
            </w:r>
          </w:p>
          <w:p w14:paraId="2E7FF8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7E6C7C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4497825 руб</w:t>
            </w:r>
          </w:p>
          <w:p w14:paraId="22E196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0DDED8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Член калькуляционной комиссии УММ Кобрин</w:t>
      </w:r>
    </w:p>
    <w:p w14:paraId="392771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w:t>
      </w:r>
    </w:p>
    <w:p w14:paraId="394087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Сведения о снижении цен на повторяющиеся заказы 1929/30 г. по сравнению с ценами 1928/29 операционного года</w:t>
      </w:r>
    </w:p>
    <w:tbl>
      <w:tblPr>
        <w:tblW w:w="0" w:type="auto"/>
        <w:tblInd w:w="40" w:type="dxa"/>
        <w:tblLayout w:type="fixed"/>
        <w:tblCellMar>
          <w:left w:w="40" w:type="dxa"/>
          <w:right w:w="40" w:type="dxa"/>
        </w:tblCellMar>
        <w:tblLook w:val="0000" w:firstRow="0" w:lastRow="0" w:firstColumn="0" w:lastColumn="0" w:noHBand="0" w:noVBand="0"/>
      </w:tblPr>
      <w:tblGrid>
        <w:gridCol w:w="2669"/>
        <w:gridCol w:w="19"/>
        <w:gridCol w:w="624"/>
        <w:gridCol w:w="10"/>
        <w:gridCol w:w="633"/>
        <w:gridCol w:w="10"/>
        <w:gridCol w:w="1065"/>
        <w:gridCol w:w="10"/>
        <w:gridCol w:w="739"/>
        <w:gridCol w:w="19"/>
        <w:gridCol w:w="1066"/>
        <w:gridCol w:w="595"/>
      </w:tblGrid>
      <w:tr w:rsidR="00E371BA" w:rsidRPr="00507A31" w14:paraId="28786F4B" w14:textId="77777777">
        <w:trPr>
          <w:trHeight w:val="298"/>
        </w:trPr>
        <w:tc>
          <w:tcPr>
            <w:tcW w:w="2688" w:type="dxa"/>
            <w:gridSpan w:val="2"/>
            <w:tcBorders>
              <w:top w:val="single" w:sz="6" w:space="0" w:color="auto"/>
              <w:left w:val="single" w:sz="6" w:space="0" w:color="auto"/>
              <w:bottom w:val="single" w:sz="6" w:space="0" w:color="auto"/>
              <w:right w:val="single" w:sz="6" w:space="0" w:color="auto"/>
            </w:tcBorders>
          </w:tcPr>
          <w:p w14:paraId="7B893C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Наименование</w:t>
            </w:r>
          </w:p>
          <w:p w14:paraId="5AF28B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5EE5E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Коли</w:t>
            </w:r>
            <w:r w:rsidRPr="00507A31">
              <w:rPr>
                <w:color w:val="000000" w:themeColor="text1"/>
                <w:sz w:val="16"/>
                <w:szCs w:val="16"/>
              </w:rPr>
              <w:softHyphen/>
              <w:t>чество</w:t>
            </w:r>
          </w:p>
          <w:p w14:paraId="44B60E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175CA5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Цена 29/ЗОг.</w:t>
            </w:r>
          </w:p>
          <w:p w14:paraId="584376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F3285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Стоимость по ценам 1929/ЗОг</w:t>
            </w:r>
          </w:p>
          <w:p w14:paraId="402EA0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57D997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Цена 28/29г</w:t>
            </w:r>
          </w:p>
          <w:p w14:paraId="5198DA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00693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Стоимость по ценам 1 928/29г.</w:t>
            </w:r>
          </w:p>
          <w:p w14:paraId="4761A5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80E3B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Сниже</w:t>
            </w:r>
            <w:r w:rsidRPr="00507A31">
              <w:rPr>
                <w:color w:val="000000" w:themeColor="text1"/>
                <w:sz w:val="16"/>
                <w:szCs w:val="16"/>
              </w:rPr>
              <w:softHyphen/>
              <w:t>ние в %</w:t>
            </w:r>
          </w:p>
          <w:p w14:paraId="24FD67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CE6F841" w14:textId="77777777">
        <w:trPr>
          <w:trHeight w:val="202"/>
        </w:trPr>
        <w:tc>
          <w:tcPr>
            <w:tcW w:w="2688" w:type="dxa"/>
            <w:gridSpan w:val="2"/>
            <w:tcBorders>
              <w:top w:val="single" w:sz="6" w:space="0" w:color="auto"/>
              <w:left w:val="single" w:sz="6" w:space="0" w:color="auto"/>
              <w:bottom w:val="single" w:sz="6" w:space="0" w:color="auto"/>
              <w:right w:val="single" w:sz="6" w:space="0" w:color="auto"/>
            </w:tcBorders>
          </w:tcPr>
          <w:p w14:paraId="2F5269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Танки МС-1</w:t>
            </w:r>
          </w:p>
          <w:p w14:paraId="079D01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D3F89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w:t>
            </w:r>
          </w:p>
          <w:p w14:paraId="79850B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002283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41500</w:t>
            </w:r>
          </w:p>
          <w:p w14:paraId="471F73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C9B02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12450000</w:t>
            </w:r>
          </w:p>
          <w:p w14:paraId="01C34B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3C3213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47000</w:t>
            </w:r>
          </w:p>
          <w:p w14:paraId="6828D3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13B1A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14100000</w:t>
            </w:r>
          </w:p>
          <w:p w14:paraId="537D2B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3EE8D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11,7</w:t>
            </w:r>
          </w:p>
          <w:p w14:paraId="71ABF5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9C6456A" w14:textId="77777777">
        <w:trPr>
          <w:trHeight w:val="221"/>
        </w:trPr>
        <w:tc>
          <w:tcPr>
            <w:tcW w:w="2688" w:type="dxa"/>
            <w:gridSpan w:val="2"/>
            <w:tcBorders>
              <w:top w:val="single" w:sz="6" w:space="0" w:color="auto"/>
              <w:left w:val="single" w:sz="6" w:space="0" w:color="auto"/>
              <w:bottom w:val="single" w:sz="6" w:space="0" w:color="auto"/>
              <w:right w:val="single" w:sz="6" w:space="0" w:color="auto"/>
            </w:tcBorders>
          </w:tcPr>
          <w:p w14:paraId="73CEC1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Тракторы "Коммунар"</w:t>
            </w:r>
          </w:p>
          <w:p w14:paraId="5DEB27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150C0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208</w:t>
            </w:r>
          </w:p>
          <w:p w14:paraId="31EB04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200938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19400</w:t>
            </w:r>
          </w:p>
          <w:p w14:paraId="1CCA80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FA2AA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E7532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311470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81E57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EFDE5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D4E32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BE453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1530A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91AE396" w14:textId="77777777">
        <w:trPr>
          <w:trHeight w:val="202"/>
        </w:trPr>
        <w:tc>
          <w:tcPr>
            <w:tcW w:w="2688" w:type="dxa"/>
            <w:gridSpan w:val="2"/>
            <w:tcBorders>
              <w:top w:val="single" w:sz="6" w:space="0" w:color="auto"/>
              <w:left w:val="single" w:sz="6" w:space="0" w:color="auto"/>
              <w:bottom w:val="single" w:sz="6" w:space="0" w:color="auto"/>
              <w:right w:val="single" w:sz="6" w:space="0" w:color="auto"/>
            </w:tcBorders>
          </w:tcPr>
          <w:p w14:paraId="6661AB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BFC5B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B4D86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w:t>
            </w:r>
          </w:p>
          <w:p w14:paraId="58212A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0B6F80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18900</w:t>
            </w:r>
          </w:p>
          <w:p w14:paraId="4FA44A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6CD220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8193200</w:t>
            </w:r>
          </w:p>
          <w:p w14:paraId="54272B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7DBB44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22000</w:t>
            </w:r>
          </w:p>
          <w:p w14:paraId="144A6A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5DAD8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9416000</w:t>
            </w:r>
          </w:p>
          <w:p w14:paraId="37B8B8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48CCB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13,0</w:t>
            </w:r>
          </w:p>
          <w:p w14:paraId="6864AB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8CBEAF0"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1799E6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Тракторы "Большевик"</w:t>
            </w:r>
          </w:p>
          <w:p w14:paraId="06223F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6AE232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w:t>
            </w:r>
          </w:p>
          <w:p w14:paraId="02A8E8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24F928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17900</w:t>
            </w:r>
          </w:p>
          <w:p w14:paraId="058200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676271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1790000</w:t>
            </w:r>
          </w:p>
          <w:p w14:paraId="46B0DE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0A57CB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17900</w:t>
            </w:r>
          </w:p>
          <w:p w14:paraId="653810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2E1D0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1790000</w:t>
            </w:r>
          </w:p>
          <w:p w14:paraId="1C0099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E171F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0</w:t>
            </w:r>
          </w:p>
          <w:p w14:paraId="38275A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7C03FE9"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2200D1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Тракторы "Фордзон"</w:t>
            </w:r>
          </w:p>
          <w:p w14:paraId="148447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31A59D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w:t>
            </w:r>
          </w:p>
          <w:p w14:paraId="39A76F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677CA1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2650</w:t>
            </w:r>
          </w:p>
          <w:p w14:paraId="3342CD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4DDD1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521000</w:t>
            </w:r>
          </w:p>
          <w:p w14:paraId="6CC531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3F7D2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4500</w:t>
            </w:r>
          </w:p>
          <w:p w14:paraId="355958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FA57F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900000</w:t>
            </w:r>
          </w:p>
          <w:p w14:paraId="4B18DF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44EFC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41,0</w:t>
            </w:r>
          </w:p>
          <w:p w14:paraId="353EDD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2E0B6CD"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3560AD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Грузовые АМО Ф-15</w:t>
            </w:r>
          </w:p>
          <w:p w14:paraId="58F786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AFD58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73</w:t>
            </w:r>
          </w:p>
          <w:p w14:paraId="5427B2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11E699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7880</w:t>
            </w:r>
          </w:p>
          <w:p w14:paraId="56AC06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09330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575240</w:t>
            </w:r>
          </w:p>
          <w:p w14:paraId="49B1EC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49BC20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8940</w:t>
            </w:r>
          </w:p>
          <w:p w14:paraId="5134D4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2BBE5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652680</w:t>
            </w:r>
          </w:p>
          <w:p w14:paraId="2D552A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75C85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11,86</w:t>
            </w:r>
          </w:p>
          <w:p w14:paraId="737CB9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0245D68"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51D193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Шасси АМОФ- 15</w:t>
            </w:r>
          </w:p>
          <w:p w14:paraId="70272F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A5AB1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199</w:t>
            </w:r>
          </w:p>
          <w:p w14:paraId="7445C0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2FA4E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7160</w:t>
            </w:r>
          </w:p>
          <w:p w14:paraId="479E8E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8CC95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1424840</w:t>
            </w:r>
          </w:p>
          <w:p w14:paraId="4B94AA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2151BA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8200</w:t>
            </w:r>
          </w:p>
          <w:p w14:paraId="576B6E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F8B52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1631800</w:t>
            </w:r>
          </w:p>
          <w:p w14:paraId="2ED813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2614D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12,68</w:t>
            </w:r>
          </w:p>
          <w:p w14:paraId="59D58A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530DF17"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3E2061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Шасси АМО СП</w:t>
            </w:r>
          </w:p>
          <w:p w14:paraId="7B4A76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72C01C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93</w:t>
            </w:r>
          </w:p>
          <w:p w14:paraId="4F2107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412229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7355</w:t>
            </w:r>
          </w:p>
          <w:p w14:paraId="56958E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28340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684015</w:t>
            </w:r>
          </w:p>
          <w:p w14:paraId="405DC3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82E2A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9100</w:t>
            </w:r>
          </w:p>
          <w:p w14:paraId="4E1AA6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F75D3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846300</w:t>
            </w:r>
          </w:p>
          <w:p w14:paraId="162DD4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73D9F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19,18</w:t>
            </w:r>
          </w:p>
          <w:p w14:paraId="121E73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B11C940"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2EEB4A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Гусматики</w:t>
            </w:r>
          </w:p>
          <w:p w14:paraId="139AAA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F9469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w:t>
            </w:r>
          </w:p>
          <w:p w14:paraId="6BABBB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639C3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217</w:t>
            </w:r>
          </w:p>
          <w:p w14:paraId="60FB0D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A345A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217000</w:t>
            </w:r>
          </w:p>
          <w:p w14:paraId="657EB9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49B1A1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390</w:t>
            </w:r>
          </w:p>
          <w:p w14:paraId="3E91A5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938C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390000</w:t>
            </w:r>
          </w:p>
          <w:p w14:paraId="5B8CBB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10339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44,36</w:t>
            </w:r>
          </w:p>
          <w:p w14:paraId="33BD2A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B71A773"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74628F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Санитарные кузова</w:t>
            </w:r>
          </w:p>
          <w:p w14:paraId="043315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36D8E0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w:t>
            </w:r>
          </w:p>
          <w:p w14:paraId="391FAB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0EF992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,_ 3170</w:t>
            </w:r>
          </w:p>
          <w:p w14:paraId="176FD0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79112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634000</w:t>
            </w:r>
          </w:p>
          <w:p w14:paraId="53856A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40456F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4200</w:t>
            </w:r>
          </w:p>
          <w:p w14:paraId="42D515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nil"/>
              <w:right w:val="single" w:sz="6" w:space="0" w:color="auto"/>
            </w:tcBorders>
          </w:tcPr>
          <w:p w14:paraId="03A64F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840000</w:t>
            </w:r>
          </w:p>
          <w:p w14:paraId="1E365B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2673B8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,24,52</w:t>
            </w:r>
          </w:p>
          <w:p w14:paraId="40864E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9ADC693"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5231F3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Железные оцинк. бочки</w:t>
            </w:r>
          </w:p>
          <w:p w14:paraId="614B87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9AA62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2100</w:t>
            </w:r>
          </w:p>
          <w:p w14:paraId="089FBB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2E2A0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30,20</w:t>
            </w:r>
          </w:p>
          <w:p w14:paraId="7B2767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1C865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63420</w:t>
            </w:r>
          </w:p>
          <w:p w14:paraId="6FF70F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7422C4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34,70</w:t>
            </w:r>
          </w:p>
          <w:p w14:paraId="74E9DC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nil"/>
              <w:left w:val="single" w:sz="6" w:space="0" w:color="auto"/>
              <w:bottom w:val="single" w:sz="6" w:space="0" w:color="auto"/>
              <w:right w:val="single" w:sz="6" w:space="0" w:color="auto"/>
            </w:tcBorders>
          </w:tcPr>
          <w:p w14:paraId="4ABF75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72870</w:t>
            </w:r>
          </w:p>
          <w:p w14:paraId="2DFD2D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single" w:sz="6" w:space="0" w:color="auto"/>
              <w:right w:val="single" w:sz="6" w:space="0" w:color="auto"/>
            </w:tcBorders>
          </w:tcPr>
          <w:p w14:paraId="64C1E9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43,00</w:t>
            </w:r>
          </w:p>
          <w:p w14:paraId="7E14A9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CAE03B4"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1AA7FC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Велосипеды</w:t>
            </w:r>
          </w:p>
          <w:p w14:paraId="399A00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641767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w:t>
            </w:r>
          </w:p>
          <w:p w14:paraId="70FB9C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FC242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107</w:t>
            </w:r>
          </w:p>
          <w:p w14:paraId="5A8C17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B7D46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267500</w:t>
            </w:r>
          </w:p>
          <w:p w14:paraId="1FFAA0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CF646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107</w:t>
            </w:r>
          </w:p>
          <w:p w14:paraId="3EF42D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86F2C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267500</w:t>
            </w:r>
          </w:p>
          <w:p w14:paraId="1C183E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9141B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___ 0__</w:t>
            </w:r>
          </w:p>
          <w:p w14:paraId="436D21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4ACD22F" w14:textId="77777777">
        <w:trPr>
          <w:trHeight w:val="374"/>
        </w:trPr>
        <w:tc>
          <w:tcPr>
            <w:tcW w:w="2688" w:type="dxa"/>
            <w:gridSpan w:val="2"/>
            <w:tcBorders>
              <w:top w:val="single" w:sz="6" w:space="0" w:color="auto"/>
              <w:left w:val="single" w:sz="6" w:space="0" w:color="auto"/>
              <w:bottom w:val="single" w:sz="6" w:space="0" w:color="auto"/>
              <w:right w:val="single" w:sz="6" w:space="0" w:color="auto"/>
            </w:tcBorders>
          </w:tcPr>
          <w:p w14:paraId="4AD101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Автомобильные свечи 22 мм для Форд-А и Форд-АА</w:t>
            </w:r>
          </w:p>
          <w:p w14:paraId="4F34A2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3159A8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12000</w:t>
            </w:r>
          </w:p>
          <w:p w14:paraId="579655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D66E9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1,86</w:t>
            </w:r>
          </w:p>
          <w:p w14:paraId="301D69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36648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22320</w:t>
            </w:r>
          </w:p>
          <w:p w14:paraId="35E6AC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D6E06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2,25</w:t>
            </w:r>
          </w:p>
          <w:p w14:paraId="310503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858E8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27000</w:t>
            </w:r>
          </w:p>
          <w:p w14:paraId="75EEF8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BBFD7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17,34</w:t>
            </w:r>
          </w:p>
          <w:p w14:paraId="39C138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36E260C" w14:textId="77777777">
        <w:trPr>
          <w:trHeight w:val="365"/>
        </w:trPr>
        <w:tc>
          <w:tcPr>
            <w:tcW w:w="2669" w:type="dxa"/>
            <w:tcBorders>
              <w:top w:val="single" w:sz="6" w:space="0" w:color="auto"/>
              <w:left w:val="single" w:sz="6" w:space="0" w:color="auto"/>
              <w:bottom w:val="single" w:sz="6" w:space="0" w:color="auto"/>
              <w:right w:val="single" w:sz="6" w:space="0" w:color="auto"/>
            </w:tcBorders>
          </w:tcPr>
          <w:p w14:paraId="35083A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Пожарное оборудование с монтировкой на шасси АМО-Ф-15</w:t>
            </w:r>
          </w:p>
          <w:p w14:paraId="17B464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E8F6D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w:t>
            </w:r>
          </w:p>
          <w:p w14:paraId="5F76E5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6F4379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8600</w:t>
            </w:r>
          </w:p>
          <w:p w14:paraId="0A9018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4FCFE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258000</w:t>
            </w:r>
          </w:p>
          <w:p w14:paraId="08C0E6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6B45E4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9560</w:t>
            </w:r>
          </w:p>
          <w:p w14:paraId="7349A4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6B3B98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286800</w:t>
            </w:r>
          </w:p>
          <w:p w14:paraId="6865DF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74424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w:t>
            </w:r>
          </w:p>
          <w:p w14:paraId="7C3760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7986BA8" w14:textId="77777777">
        <w:trPr>
          <w:trHeight w:val="211"/>
        </w:trPr>
        <w:tc>
          <w:tcPr>
            <w:tcW w:w="2669" w:type="dxa"/>
            <w:tcBorders>
              <w:top w:val="single" w:sz="6" w:space="0" w:color="auto"/>
              <w:left w:val="single" w:sz="6" w:space="0" w:color="auto"/>
              <w:bottom w:val="single" w:sz="6" w:space="0" w:color="auto"/>
              <w:right w:val="single" w:sz="6" w:space="0" w:color="auto"/>
            </w:tcBorders>
          </w:tcPr>
          <w:p w14:paraId="63B696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Двигатель АМО-Ф-1 5</w:t>
            </w:r>
          </w:p>
          <w:p w14:paraId="6EB91F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4EE8C1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w:t>
            </w:r>
          </w:p>
          <w:p w14:paraId="525C3F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7F750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1860</w:t>
            </w:r>
          </w:p>
          <w:p w14:paraId="25D986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512DA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123900</w:t>
            </w:r>
          </w:p>
          <w:p w14:paraId="5F6391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09D2AC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3315,12</w:t>
            </w:r>
          </w:p>
          <w:p w14:paraId="723D11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2BC666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215482,80</w:t>
            </w:r>
          </w:p>
          <w:p w14:paraId="75458C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81A1F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43,9</w:t>
            </w:r>
          </w:p>
          <w:p w14:paraId="6D37FA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6C47417" w14:textId="77777777">
        <w:trPr>
          <w:trHeight w:val="211"/>
        </w:trPr>
        <w:tc>
          <w:tcPr>
            <w:tcW w:w="2669" w:type="dxa"/>
            <w:tcBorders>
              <w:top w:val="single" w:sz="6" w:space="0" w:color="auto"/>
              <w:left w:val="single" w:sz="6" w:space="0" w:color="auto"/>
              <w:bottom w:val="single" w:sz="6" w:space="0" w:color="auto"/>
              <w:right w:val="single" w:sz="6" w:space="0" w:color="auto"/>
            </w:tcBorders>
          </w:tcPr>
          <w:p w14:paraId="4D66D7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Броня 8 мм и 10 мм</w:t>
            </w:r>
          </w:p>
          <w:p w14:paraId="7D6586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AE640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115</w:t>
            </w:r>
          </w:p>
          <w:p w14:paraId="2E56CA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52940B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1600</w:t>
            </w:r>
          </w:p>
          <w:p w14:paraId="1494C4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A3BDD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184000</w:t>
            </w:r>
          </w:p>
          <w:p w14:paraId="55AFFF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5BF667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w:t>
            </w:r>
          </w:p>
          <w:p w14:paraId="16E95F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11FF2C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230000</w:t>
            </w:r>
          </w:p>
          <w:p w14:paraId="054992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284AB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w:t>
            </w:r>
          </w:p>
          <w:p w14:paraId="66AEB0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61A3123" w14:textId="77777777">
        <w:trPr>
          <w:trHeight w:val="211"/>
        </w:trPr>
        <w:tc>
          <w:tcPr>
            <w:tcW w:w="2669" w:type="dxa"/>
            <w:tcBorders>
              <w:top w:val="single" w:sz="6" w:space="0" w:color="auto"/>
              <w:left w:val="single" w:sz="6" w:space="0" w:color="auto"/>
              <w:bottom w:val="single" w:sz="6" w:space="0" w:color="auto"/>
              <w:right w:val="single" w:sz="6" w:space="0" w:color="auto"/>
            </w:tcBorders>
          </w:tcPr>
          <w:p w14:paraId="49A673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Бронирование АМО</w:t>
            </w:r>
          </w:p>
          <w:p w14:paraId="11B219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892FE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182</w:t>
            </w:r>
          </w:p>
          <w:p w14:paraId="3A4D36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F218F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w:t>
            </w:r>
          </w:p>
          <w:p w14:paraId="059BB3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14C4E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2475000</w:t>
            </w:r>
          </w:p>
          <w:p w14:paraId="2763DF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3D728B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12500</w:t>
            </w:r>
          </w:p>
          <w:p w14:paraId="6E679A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1798DC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2475000</w:t>
            </w:r>
          </w:p>
          <w:p w14:paraId="5E5AFB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36EB6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0</w:t>
            </w:r>
          </w:p>
          <w:p w14:paraId="295D94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B015304" w14:textId="77777777">
        <w:trPr>
          <w:trHeight w:val="221"/>
        </w:trPr>
        <w:tc>
          <w:tcPr>
            <w:tcW w:w="2669" w:type="dxa"/>
            <w:tcBorders>
              <w:top w:val="single" w:sz="6" w:space="0" w:color="auto"/>
              <w:left w:val="single" w:sz="6" w:space="0" w:color="auto"/>
              <w:bottom w:val="single" w:sz="6" w:space="0" w:color="auto"/>
              <w:right w:val="single" w:sz="6" w:space="0" w:color="auto"/>
            </w:tcBorders>
          </w:tcPr>
          <w:p w14:paraId="35DBBB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w:t>
            </w:r>
          </w:p>
          <w:p w14:paraId="49BE52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256CD0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A82D6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686169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C21EB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C5AFC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29883435</w:t>
            </w:r>
          </w:p>
          <w:p w14:paraId="09A5E9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3CE9EF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59273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0E6A8A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34141432,80</w:t>
            </w:r>
          </w:p>
          <w:p w14:paraId="285DC3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016A5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12,2</w:t>
            </w:r>
          </w:p>
          <w:p w14:paraId="6FD0DE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772ED11" w14:textId="77777777">
        <w:trPr>
          <w:trHeight w:val="230"/>
        </w:trPr>
        <w:tc>
          <w:tcPr>
            <w:tcW w:w="5779" w:type="dxa"/>
            <w:gridSpan w:val="9"/>
            <w:tcBorders>
              <w:top w:val="single" w:sz="6" w:space="0" w:color="auto"/>
              <w:left w:val="single" w:sz="6" w:space="0" w:color="auto"/>
              <w:bottom w:val="single" w:sz="6" w:space="0" w:color="auto"/>
              <w:right w:val="single" w:sz="6" w:space="0" w:color="auto"/>
            </w:tcBorders>
          </w:tcPr>
          <w:p w14:paraId="3CDA9E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Снижение на сумму</w:t>
            </w:r>
          </w:p>
          <w:p w14:paraId="2A0A79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680" w:type="dxa"/>
            <w:gridSpan w:val="3"/>
            <w:tcBorders>
              <w:top w:val="single" w:sz="6" w:space="0" w:color="auto"/>
              <w:left w:val="single" w:sz="6" w:space="0" w:color="auto"/>
              <w:bottom w:val="single" w:sz="6" w:space="0" w:color="auto"/>
              <w:right w:val="single" w:sz="6" w:space="0" w:color="auto"/>
            </w:tcBorders>
          </w:tcPr>
          <w:p w14:paraId="6ED6E2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4257997,80</w:t>
            </w:r>
          </w:p>
          <w:p w14:paraId="44B0A3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1EFD8E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Член калькуляционной комиссии УММ РККА Кобрин</w:t>
      </w:r>
    </w:p>
    <w:p w14:paraId="005D12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РГВА.Ф. 31811. Оп. 1. Д. 108. Л. 26-28. Подлинник (11210).</w:t>
      </w:r>
    </w:p>
    <w:p w14:paraId="0DA881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48DF1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октября 1930 г. вышло ПОСТАНОВЛЕНИЕ ЭКОНОМИЧЕСКОГО СОВЕТА РСФСР О РАСПРЕДЕЛЕНИИ АВТОМАШИН НА ОКТЯБРЬ-ДЕКАБРЬ 1930 г. №29</w:t>
      </w:r>
    </w:p>
    <w:p w14:paraId="24752E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3E79D0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Экономический Совет РСФСР постановляет:</w:t>
      </w:r>
    </w:p>
    <w:p w14:paraId="6233E0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Утвердить прилагаемый при сем план распределения автомашин по контингенту РСФСР на | квартал октябрь- декабрь 1930 г.</w:t>
      </w:r>
    </w:p>
    <w:p w14:paraId="7B4326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Председателя Экономического совета РСФСР</w:t>
      </w:r>
    </w:p>
    <w:p w14:paraId="5A2358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Лежава</w:t>
      </w:r>
    </w:p>
    <w:p w14:paraId="1910F3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Управляющий делами СНК и Экономического совета РСФСР</w:t>
      </w:r>
    </w:p>
    <w:p w14:paraId="3A52AF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Усиевич</w:t>
      </w:r>
    </w:p>
    <w:p w14:paraId="111957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Секретарь Экономического совета РСФСР</w:t>
      </w:r>
    </w:p>
    <w:p w14:paraId="1442A1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Колдомасов</w:t>
      </w:r>
    </w:p>
    <w:p w14:paraId="5B438D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w:t>
      </w:r>
    </w:p>
    <w:p w14:paraId="499D15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План распределения автомашин по контингенту РСФСР на квартал октябрь-декабрь 1930 г.</w:t>
      </w:r>
    </w:p>
    <w:tbl>
      <w:tblPr>
        <w:tblW w:w="0" w:type="auto"/>
        <w:tblInd w:w="40" w:type="dxa"/>
        <w:tblLayout w:type="fixed"/>
        <w:tblCellMar>
          <w:left w:w="40" w:type="dxa"/>
          <w:right w:w="40" w:type="dxa"/>
        </w:tblCellMar>
        <w:tblLook w:val="0000" w:firstRow="0" w:lastRow="0" w:firstColumn="0" w:lastColumn="0" w:noHBand="0" w:noVBand="0"/>
      </w:tblPr>
      <w:tblGrid>
        <w:gridCol w:w="2268"/>
        <w:gridCol w:w="354"/>
        <w:gridCol w:w="357"/>
        <w:gridCol w:w="284"/>
        <w:gridCol w:w="283"/>
        <w:gridCol w:w="333"/>
        <w:gridCol w:w="28"/>
        <w:gridCol w:w="358"/>
        <w:gridCol w:w="13"/>
        <w:gridCol w:w="361"/>
        <w:gridCol w:w="293"/>
        <w:gridCol w:w="361"/>
        <w:gridCol w:w="335"/>
        <w:gridCol w:w="26"/>
        <w:gridCol w:w="361"/>
        <w:gridCol w:w="369"/>
        <w:gridCol w:w="293"/>
        <w:gridCol w:w="369"/>
        <w:gridCol w:w="371"/>
        <w:gridCol w:w="449"/>
        <w:gridCol w:w="7"/>
        <w:gridCol w:w="9"/>
      </w:tblGrid>
      <w:tr w:rsidR="00E371BA" w:rsidRPr="00507A31" w14:paraId="32AAFA34" w14:textId="77777777">
        <w:trPr>
          <w:trHeight w:val="202"/>
        </w:trPr>
        <w:tc>
          <w:tcPr>
            <w:tcW w:w="2268" w:type="dxa"/>
            <w:tcBorders>
              <w:top w:val="single" w:sz="6" w:space="0" w:color="auto"/>
              <w:left w:val="single" w:sz="6" w:space="0" w:color="auto"/>
              <w:bottom w:val="nil"/>
              <w:right w:val="single" w:sz="6" w:space="0" w:color="auto"/>
            </w:tcBorders>
          </w:tcPr>
          <w:p w14:paraId="2A4643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486FF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611" w:type="dxa"/>
            <w:gridSpan w:val="5"/>
            <w:tcBorders>
              <w:top w:val="single" w:sz="6" w:space="0" w:color="auto"/>
              <w:left w:val="single" w:sz="6" w:space="0" w:color="auto"/>
              <w:bottom w:val="single" w:sz="6" w:space="0" w:color="auto"/>
              <w:right w:val="single" w:sz="6" w:space="0" w:color="auto"/>
            </w:tcBorders>
          </w:tcPr>
          <w:p w14:paraId="2A0B3A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Октябрь</w:t>
            </w:r>
          </w:p>
          <w:p w14:paraId="0BE0A7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749" w:type="dxa"/>
            <w:gridSpan w:val="7"/>
            <w:tcBorders>
              <w:top w:val="single" w:sz="6" w:space="0" w:color="auto"/>
              <w:left w:val="single" w:sz="6" w:space="0" w:color="auto"/>
              <w:bottom w:val="single" w:sz="6" w:space="0" w:color="auto"/>
              <w:right w:val="single" w:sz="6" w:space="0" w:color="auto"/>
            </w:tcBorders>
          </w:tcPr>
          <w:p w14:paraId="447F5C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Ноябрь</w:t>
            </w:r>
          </w:p>
          <w:p w14:paraId="65044D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768" w:type="dxa"/>
            <w:gridSpan w:val="6"/>
            <w:tcBorders>
              <w:top w:val="single" w:sz="6" w:space="0" w:color="auto"/>
              <w:left w:val="single" w:sz="6" w:space="0" w:color="auto"/>
              <w:bottom w:val="single" w:sz="6" w:space="0" w:color="auto"/>
              <w:right w:val="single" w:sz="6" w:space="0" w:color="auto"/>
            </w:tcBorders>
          </w:tcPr>
          <w:p w14:paraId="711E71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Декабрь</w:t>
            </w:r>
          </w:p>
        </w:tc>
        <w:tc>
          <w:tcPr>
            <w:tcW w:w="459" w:type="dxa"/>
            <w:gridSpan w:val="3"/>
            <w:tcBorders>
              <w:top w:val="single" w:sz="6" w:space="0" w:color="auto"/>
              <w:left w:val="single" w:sz="6" w:space="0" w:color="auto"/>
              <w:bottom w:val="nil"/>
              <w:right w:val="single" w:sz="6" w:space="0" w:color="auto"/>
            </w:tcBorders>
          </w:tcPr>
          <w:p w14:paraId="37E6F7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w:t>
            </w:r>
          </w:p>
        </w:tc>
      </w:tr>
      <w:tr w:rsidR="00E371BA" w:rsidRPr="00507A31" w14:paraId="4DC33272" w14:textId="77777777">
        <w:trPr>
          <w:gridAfter w:val="1"/>
          <w:wAfter w:w="9" w:type="dxa"/>
          <w:trHeight w:val="1037"/>
        </w:trPr>
        <w:tc>
          <w:tcPr>
            <w:tcW w:w="2268" w:type="dxa"/>
            <w:tcBorders>
              <w:top w:val="nil"/>
              <w:left w:val="single" w:sz="6" w:space="0" w:color="auto"/>
              <w:bottom w:val="single" w:sz="6" w:space="0" w:color="auto"/>
              <w:right w:val="single" w:sz="6" w:space="0" w:color="auto"/>
            </w:tcBorders>
          </w:tcPr>
          <w:p w14:paraId="644D6891" w14:textId="77777777" w:rsidR="00537E5F" w:rsidRPr="00507A31" w:rsidRDefault="00537E5F" w:rsidP="00507A31">
            <w:pPr>
              <w:autoSpaceDE w:val="0"/>
              <w:autoSpaceDN w:val="0"/>
              <w:adjustRightInd w:val="0"/>
              <w:jc w:val="both"/>
              <w:rPr>
                <w:color w:val="000000" w:themeColor="text1"/>
                <w:sz w:val="16"/>
                <w:szCs w:val="16"/>
              </w:rPr>
            </w:pPr>
          </w:p>
          <w:p w14:paraId="08B16E0D" w14:textId="77777777" w:rsidR="00537E5F" w:rsidRPr="00507A31" w:rsidRDefault="00537E5F" w:rsidP="00507A31">
            <w:pPr>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9D7A7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АМО Ф-15</w:t>
            </w:r>
          </w:p>
        </w:tc>
        <w:tc>
          <w:tcPr>
            <w:tcW w:w="357" w:type="dxa"/>
            <w:tcBorders>
              <w:top w:val="single" w:sz="6" w:space="0" w:color="auto"/>
              <w:left w:val="single" w:sz="6" w:space="0" w:color="auto"/>
              <w:bottom w:val="single" w:sz="6" w:space="0" w:color="auto"/>
              <w:right w:val="single" w:sz="6" w:space="0" w:color="auto"/>
            </w:tcBorders>
          </w:tcPr>
          <w:p w14:paraId="013C6E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 АА</w:t>
            </w:r>
          </w:p>
          <w:p w14:paraId="067879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6DECE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 А</w:t>
            </w:r>
          </w:p>
          <w:p w14:paraId="3CB0BE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639503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Пожарные</w:t>
            </w:r>
          </w:p>
          <w:p w14:paraId="66B28D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AF6B3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АМО Ф-15</w:t>
            </w:r>
          </w:p>
        </w:tc>
        <w:tc>
          <w:tcPr>
            <w:tcW w:w="358" w:type="dxa"/>
            <w:tcBorders>
              <w:top w:val="single" w:sz="6" w:space="0" w:color="auto"/>
              <w:left w:val="single" w:sz="6" w:space="0" w:color="auto"/>
              <w:bottom w:val="single" w:sz="6" w:space="0" w:color="auto"/>
              <w:right w:val="single" w:sz="6" w:space="0" w:color="auto"/>
            </w:tcBorders>
          </w:tcPr>
          <w:p w14:paraId="154AB7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Я-15</w:t>
            </w:r>
          </w:p>
        </w:tc>
        <w:tc>
          <w:tcPr>
            <w:tcW w:w="369" w:type="dxa"/>
            <w:gridSpan w:val="2"/>
            <w:tcBorders>
              <w:top w:val="single" w:sz="6" w:space="0" w:color="auto"/>
              <w:left w:val="single" w:sz="6" w:space="0" w:color="auto"/>
              <w:bottom w:val="single" w:sz="6" w:space="0" w:color="auto"/>
              <w:right w:val="single" w:sz="6" w:space="0" w:color="auto"/>
            </w:tcBorders>
          </w:tcPr>
          <w:p w14:paraId="6E5FE1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 АА</w:t>
            </w:r>
          </w:p>
          <w:p w14:paraId="6F6733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651D18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 А</w:t>
            </w:r>
          </w:p>
        </w:tc>
        <w:tc>
          <w:tcPr>
            <w:tcW w:w="358" w:type="dxa"/>
            <w:tcBorders>
              <w:top w:val="single" w:sz="6" w:space="0" w:color="auto"/>
              <w:left w:val="single" w:sz="6" w:space="0" w:color="auto"/>
              <w:bottom w:val="single" w:sz="6" w:space="0" w:color="auto"/>
              <w:right w:val="single" w:sz="6" w:space="0" w:color="auto"/>
            </w:tcBorders>
          </w:tcPr>
          <w:p w14:paraId="284FAC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Автобусы</w:t>
            </w:r>
          </w:p>
          <w:p w14:paraId="138F14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72FFF3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Пожарные</w:t>
            </w:r>
          </w:p>
          <w:p w14:paraId="603461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549439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АМО</w:t>
            </w:r>
          </w:p>
        </w:tc>
        <w:tc>
          <w:tcPr>
            <w:tcW w:w="369" w:type="dxa"/>
            <w:tcBorders>
              <w:top w:val="single" w:sz="6" w:space="0" w:color="auto"/>
              <w:left w:val="single" w:sz="6" w:space="0" w:color="auto"/>
              <w:bottom w:val="single" w:sz="6" w:space="0" w:color="auto"/>
              <w:right w:val="single" w:sz="6" w:space="0" w:color="auto"/>
            </w:tcBorders>
          </w:tcPr>
          <w:p w14:paraId="5573EB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 АА</w:t>
            </w:r>
          </w:p>
          <w:p w14:paraId="5B1E33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30A460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 А</w:t>
            </w:r>
          </w:p>
        </w:tc>
        <w:tc>
          <w:tcPr>
            <w:tcW w:w="369" w:type="dxa"/>
            <w:tcBorders>
              <w:top w:val="single" w:sz="6" w:space="0" w:color="auto"/>
              <w:left w:val="single" w:sz="6" w:space="0" w:color="auto"/>
              <w:bottom w:val="single" w:sz="6" w:space="0" w:color="auto"/>
              <w:right w:val="single" w:sz="6" w:space="0" w:color="auto"/>
            </w:tcBorders>
          </w:tcPr>
          <w:p w14:paraId="2D04DB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Автобусы</w:t>
            </w:r>
          </w:p>
          <w:p w14:paraId="2E54CB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612D3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Пожарные</w:t>
            </w:r>
          </w:p>
          <w:p w14:paraId="1B4E23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56" w:type="dxa"/>
            <w:gridSpan w:val="2"/>
            <w:tcBorders>
              <w:top w:val="nil"/>
              <w:left w:val="single" w:sz="6" w:space="0" w:color="auto"/>
              <w:bottom w:val="single" w:sz="6" w:space="0" w:color="auto"/>
              <w:right w:val="single" w:sz="6" w:space="0" w:color="auto"/>
            </w:tcBorders>
          </w:tcPr>
          <w:p w14:paraId="1FB3E4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353B7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A98C38C"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547320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Резерв</w:t>
            </w:r>
          </w:p>
          <w:p w14:paraId="5FA7F8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9EBD5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773A4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2A8351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ACA60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10E41D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A5E20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814F9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7B489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7410AF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F1907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E3807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6897C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636B29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21145F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2597ED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07779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28BEE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D40FA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0D4F3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49815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96F10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4CDF2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BDE42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38A8C1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3D087F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A12C6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D617A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F9B79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A85DA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C1DDC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60AA1B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78DF53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0765D5E"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4192AD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НКВД</w:t>
            </w:r>
          </w:p>
          <w:p w14:paraId="330B41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1CDC9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5EADB2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489854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6E397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34453F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FAE02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1A4BB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p w14:paraId="17CB6C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721194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77617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872F6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w:t>
            </w:r>
          </w:p>
          <w:p w14:paraId="6D6F60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64CAC5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w:t>
            </w:r>
          </w:p>
          <w:p w14:paraId="51FADC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FE86C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298C3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2991B9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5695C5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4AB4B6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w:t>
            </w:r>
          </w:p>
          <w:p w14:paraId="11C06F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E8CAD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5D8FA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0140A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5BDBB9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75E12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EF4F0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65CBA9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512FF2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772FC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w:t>
            </w:r>
          </w:p>
          <w:p w14:paraId="51417B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583380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w:t>
            </w:r>
          </w:p>
          <w:p w14:paraId="4AC486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B205909"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07E8C8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ВСНХ РСФСР</w:t>
            </w:r>
          </w:p>
          <w:p w14:paraId="086EF8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43625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5</w:t>
            </w:r>
          </w:p>
          <w:p w14:paraId="4C3E55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0E5FCA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w:t>
            </w:r>
          </w:p>
          <w:p w14:paraId="0BEF42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4E10C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w:t>
            </w:r>
          </w:p>
          <w:p w14:paraId="78AD61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E6F8D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w:t>
            </w:r>
          </w:p>
          <w:p w14:paraId="089AFA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3C921D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5</w:t>
            </w:r>
          </w:p>
          <w:p w14:paraId="4C74F1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D590C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w:t>
            </w:r>
          </w:p>
          <w:p w14:paraId="1C4757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77E2AB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17</w:t>
            </w:r>
          </w:p>
          <w:p w14:paraId="4DCB76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183E1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w:t>
            </w:r>
          </w:p>
          <w:p w14:paraId="0B81B3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09C960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w:t>
            </w:r>
          </w:p>
          <w:p w14:paraId="0D7997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CC238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2</w:t>
            </w:r>
          </w:p>
          <w:p w14:paraId="11F389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46EF90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34</w:t>
            </w:r>
          </w:p>
          <w:p w14:paraId="6F8B43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C9FF0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14</w:t>
            </w:r>
          </w:p>
          <w:p w14:paraId="2ED0A6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59B37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w:t>
            </w:r>
          </w:p>
          <w:p w14:paraId="7EA172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2B728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w:t>
            </w:r>
          </w:p>
          <w:p w14:paraId="179803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DCBD8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w:t>
            </w:r>
          </w:p>
          <w:p w14:paraId="50317F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15EAD3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80</w:t>
            </w:r>
          </w:p>
          <w:p w14:paraId="6CBEB4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ADFAB89"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53049E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Н.К.З.Д.Пв.РСФСР</w:t>
            </w:r>
          </w:p>
          <w:p w14:paraId="735044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6964B5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7936B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4D9C81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827A5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40A25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443C3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76A513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5E580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408CF4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A8E98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4B7925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1B370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5BE5D4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1B1F24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4D41B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82A12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11D4A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BCF57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2C6B5C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DC9A8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2C588B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BDD3C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515DAB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1902E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634705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6ACD0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EC12C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3C629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42793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D514B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42D865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02B528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491D3AD"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71C49C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Н.К.Зем.</w:t>
            </w:r>
          </w:p>
          <w:p w14:paraId="1EAE59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1AC37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6D165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0A41F0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1EBCDF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4ECF24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7BAF7E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168487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54689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2E1CBE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FCD38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EFED9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1EED0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31B313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E0682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ABED5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2615F3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32A6A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D41F9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7086B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905A4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897B5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F0EB1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21AF00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51AD7F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07F391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61BD4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4A7C2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2D10D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290155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32B9F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2B8CC0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w:t>
            </w:r>
          </w:p>
          <w:p w14:paraId="51D3C7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1F33C48"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297273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Автотрест Карелии _]</w:t>
            </w:r>
          </w:p>
          <w:p w14:paraId="26C9E0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9B249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7B7A0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1A8421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w:t>
            </w:r>
          </w:p>
          <w:p w14:paraId="5A0766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68F60A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202D9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2692A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7827D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408CF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10DAC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64AD26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1A507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131EFF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w:t>
            </w:r>
          </w:p>
          <w:p w14:paraId="273C4D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4F7FBB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254AD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59A3F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9716D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F92EA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2325C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12177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BF36F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7514EB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EA254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7499D1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C05B7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254A1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3C147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8CFE5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A9DFA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39A937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w:t>
            </w:r>
          </w:p>
          <w:p w14:paraId="2BC0E3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0B85B95"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0B5C4E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Авто-техникумы</w:t>
            </w:r>
          </w:p>
          <w:p w14:paraId="6F30F5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44C32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A3658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51E5AB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2E5DD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75E42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63918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7770A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CE892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1371D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A6A83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235528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4EF06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30CE57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76F9FC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6F6033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897F8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591A89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A1742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1956D7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3A8ED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2A104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63506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5B480C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w:t>
            </w:r>
          </w:p>
          <w:p w14:paraId="761987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4C6C71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74A47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779D9F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50D09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04010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4D012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3D732B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w:t>
            </w:r>
          </w:p>
          <w:p w14:paraId="065C5F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2C42041" w14:textId="77777777">
        <w:trPr>
          <w:gridAfter w:val="1"/>
          <w:wAfter w:w="9" w:type="dxa"/>
          <w:trHeight w:val="374"/>
        </w:trPr>
        <w:tc>
          <w:tcPr>
            <w:tcW w:w="2268" w:type="dxa"/>
            <w:tcBorders>
              <w:top w:val="single" w:sz="6" w:space="0" w:color="auto"/>
              <w:left w:val="single" w:sz="6" w:space="0" w:color="auto"/>
              <w:bottom w:val="single" w:sz="6" w:space="0" w:color="auto"/>
              <w:right w:val="single" w:sz="6" w:space="0" w:color="auto"/>
            </w:tcBorders>
          </w:tcPr>
          <w:p w14:paraId="5B9E2A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Главдортрансу для дорожного строительства</w:t>
            </w:r>
          </w:p>
          <w:p w14:paraId="5DCCE7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8E6EE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w:t>
            </w:r>
          </w:p>
          <w:p w14:paraId="6E607A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063B39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91FB5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409136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DD29A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3860E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8F01B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E51BD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50F084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61E5D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p w14:paraId="460623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7494FC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w:t>
            </w:r>
          </w:p>
          <w:p w14:paraId="12A486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4CB605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7E063B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5025D7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6DC2F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5817F2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9AC17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4A184F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w:t>
            </w:r>
          </w:p>
          <w:p w14:paraId="21BF51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39BE9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w:t>
            </w:r>
          </w:p>
          <w:p w14:paraId="4F68EF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07B8DE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A3385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58B20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57AB4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F6031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84919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277369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w:t>
            </w:r>
          </w:p>
          <w:p w14:paraId="11AD5C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C3A596E" w14:textId="77777777">
        <w:trPr>
          <w:gridAfter w:val="1"/>
          <w:wAfter w:w="9" w:type="dxa"/>
          <w:trHeight w:val="211"/>
        </w:trPr>
        <w:tc>
          <w:tcPr>
            <w:tcW w:w="2268" w:type="dxa"/>
            <w:tcBorders>
              <w:top w:val="single" w:sz="6" w:space="0" w:color="auto"/>
              <w:left w:val="single" w:sz="6" w:space="0" w:color="auto"/>
              <w:bottom w:val="single" w:sz="6" w:space="0" w:color="auto"/>
              <w:right w:val="single" w:sz="6" w:space="0" w:color="auto"/>
            </w:tcBorders>
          </w:tcPr>
          <w:p w14:paraId="79163C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НКТорг РСФСР</w:t>
            </w:r>
          </w:p>
          <w:p w14:paraId="652365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A03AF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A68DF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444224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874C6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2FD3D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828CE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0885A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9FFF1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ADD2F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273F9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63C24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C501C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485DC1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w:t>
            </w:r>
          </w:p>
          <w:p w14:paraId="4FC40D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2F4D8C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D199E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6AD84D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7146D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35AAE8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89E81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3DFC5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A9722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31F94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D8EE8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5E7B5A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D4560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298744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549F5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14D76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3CE07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21FF35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w:t>
            </w:r>
          </w:p>
          <w:p w14:paraId="56A392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1130216"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4585B6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Ижорскому з-ду</w:t>
            </w:r>
          </w:p>
          <w:p w14:paraId="35C517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nil"/>
              <w:right w:val="single" w:sz="6" w:space="0" w:color="auto"/>
            </w:tcBorders>
          </w:tcPr>
          <w:p w14:paraId="651C99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52F2A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nil"/>
              <w:right w:val="single" w:sz="6" w:space="0" w:color="auto"/>
            </w:tcBorders>
          </w:tcPr>
          <w:p w14:paraId="4D74AD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02FB4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nil"/>
              <w:right w:val="single" w:sz="6" w:space="0" w:color="auto"/>
            </w:tcBorders>
          </w:tcPr>
          <w:p w14:paraId="11351F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DF833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nil"/>
              <w:right w:val="single" w:sz="6" w:space="0" w:color="auto"/>
            </w:tcBorders>
          </w:tcPr>
          <w:p w14:paraId="75E9AC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0970B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nil"/>
              <w:right w:val="single" w:sz="6" w:space="0" w:color="auto"/>
            </w:tcBorders>
          </w:tcPr>
          <w:p w14:paraId="5D99E9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4B22D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nil"/>
              <w:right w:val="single" w:sz="6" w:space="0" w:color="auto"/>
            </w:tcBorders>
          </w:tcPr>
          <w:p w14:paraId="7298E4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6E93D7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38C038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135F4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4DF65F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FAD9B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42282F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A9FD8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nil"/>
              <w:right w:val="single" w:sz="6" w:space="0" w:color="auto"/>
            </w:tcBorders>
          </w:tcPr>
          <w:p w14:paraId="013FE8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BD8BA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14749C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8AA62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nil"/>
              <w:right w:val="single" w:sz="6" w:space="0" w:color="auto"/>
            </w:tcBorders>
          </w:tcPr>
          <w:p w14:paraId="1B8C41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EBF2D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373DE0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BCCE4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5E7636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80C28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05718B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0045C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725782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224661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EE3BE2A"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5143C7C7" w14:textId="77777777" w:rsidR="00537E5F" w:rsidRPr="00507A31" w:rsidRDefault="00537E5F" w:rsidP="00507A31">
            <w:pPr>
              <w:autoSpaceDE w:val="0"/>
              <w:autoSpaceDN w:val="0"/>
              <w:adjustRightInd w:val="0"/>
              <w:jc w:val="both"/>
              <w:rPr>
                <w:color w:val="000000" w:themeColor="text1"/>
                <w:sz w:val="16"/>
                <w:szCs w:val="16"/>
              </w:rPr>
            </w:pPr>
          </w:p>
          <w:p w14:paraId="30540991" w14:textId="77777777" w:rsidR="00537E5F" w:rsidRPr="00507A31" w:rsidRDefault="00537E5F" w:rsidP="00507A31">
            <w:pPr>
              <w:autoSpaceDE w:val="0"/>
              <w:autoSpaceDN w:val="0"/>
              <w:adjustRightInd w:val="0"/>
              <w:jc w:val="both"/>
              <w:rPr>
                <w:color w:val="000000" w:themeColor="text1"/>
                <w:sz w:val="16"/>
                <w:szCs w:val="16"/>
              </w:rPr>
            </w:pPr>
          </w:p>
        </w:tc>
        <w:tc>
          <w:tcPr>
            <w:tcW w:w="354" w:type="dxa"/>
            <w:tcBorders>
              <w:top w:val="nil"/>
              <w:left w:val="single" w:sz="6" w:space="0" w:color="auto"/>
              <w:bottom w:val="single" w:sz="6" w:space="0" w:color="auto"/>
              <w:right w:val="single" w:sz="6" w:space="0" w:color="auto"/>
            </w:tcBorders>
          </w:tcPr>
          <w:p w14:paraId="22FFD0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AF53D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nil"/>
              <w:left w:val="single" w:sz="6" w:space="0" w:color="auto"/>
              <w:bottom w:val="single" w:sz="6" w:space="0" w:color="auto"/>
              <w:right w:val="single" w:sz="6" w:space="0" w:color="auto"/>
            </w:tcBorders>
          </w:tcPr>
          <w:p w14:paraId="3D53FA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9BAA3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nil"/>
              <w:left w:val="single" w:sz="6" w:space="0" w:color="auto"/>
              <w:bottom w:val="single" w:sz="6" w:space="0" w:color="auto"/>
              <w:right w:val="single" w:sz="6" w:space="0" w:color="auto"/>
            </w:tcBorders>
          </w:tcPr>
          <w:p w14:paraId="6815B9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48A6D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nil"/>
              <w:left w:val="single" w:sz="6" w:space="0" w:color="auto"/>
              <w:bottom w:val="single" w:sz="6" w:space="0" w:color="auto"/>
              <w:right w:val="single" w:sz="6" w:space="0" w:color="auto"/>
            </w:tcBorders>
          </w:tcPr>
          <w:p w14:paraId="6D8DF3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9D30C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nil"/>
              <w:left w:val="single" w:sz="6" w:space="0" w:color="auto"/>
              <w:bottom w:val="single" w:sz="6" w:space="0" w:color="auto"/>
              <w:right w:val="single" w:sz="6" w:space="0" w:color="auto"/>
            </w:tcBorders>
          </w:tcPr>
          <w:p w14:paraId="308C04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69369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nil"/>
              <w:left w:val="single" w:sz="6" w:space="0" w:color="auto"/>
              <w:bottom w:val="single" w:sz="6" w:space="0" w:color="auto"/>
              <w:right w:val="single" w:sz="6" w:space="0" w:color="auto"/>
            </w:tcBorders>
          </w:tcPr>
          <w:p w14:paraId="60507A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A87DE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196785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38186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0B0793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CC397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368BD1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D0306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nil"/>
              <w:left w:val="single" w:sz="6" w:space="0" w:color="auto"/>
              <w:bottom w:val="single" w:sz="6" w:space="0" w:color="auto"/>
              <w:right w:val="single" w:sz="6" w:space="0" w:color="auto"/>
            </w:tcBorders>
          </w:tcPr>
          <w:p w14:paraId="681DAD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58C4C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024DE2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0FD75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nil"/>
              <w:left w:val="single" w:sz="6" w:space="0" w:color="auto"/>
              <w:bottom w:val="single" w:sz="6" w:space="0" w:color="auto"/>
              <w:right w:val="single" w:sz="6" w:space="0" w:color="auto"/>
            </w:tcBorders>
          </w:tcPr>
          <w:p w14:paraId="1681CB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C6203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271C7A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A9B00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77623B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EA2BA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13D24B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59CEA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6FE8A8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B96AF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F1E7AF0" w14:textId="77777777">
        <w:trPr>
          <w:gridAfter w:val="2"/>
          <w:wAfter w:w="16" w:type="dxa"/>
          <w:trHeight w:val="317"/>
        </w:trPr>
        <w:tc>
          <w:tcPr>
            <w:tcW w:w="2268" w:type="dxa"/>
            <w:tcBorders>
              <w:top w:val="single" w:sz="6" w:space="0" w:color="auto"/>
              <w:left w:val="single" w:sz="6" w:space="0" w:color="auto"/>
              <w:bottom w:val="single" w:sz="6" w:space="0" w:color="auto"/>
              <w:right w:val="single" w:sz="6" w:space="0" w:color="auto"/>
            </w:tcBorders>
          </w:tcPr>
          <w:p w14:paraId="320337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 по центру</w:t>
            </w:r>
          </w:p>
          <w:p w14:paraId="4084B9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3ED853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0C0A01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6EA09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w:t>
            </w:r>
          </w:p>
          <w:p w14:paraId="0B7F96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38CC6D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15A44F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B8A3A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p w14:paraId="60EBE8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5597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4FA05F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66E90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6AA33B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33479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w:t>
            </w:r>
          </w:p>
          <w:p w14:paraId="5F3036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57B93E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78970B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5A101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1CD46F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CCCA2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719333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72F0B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w:t>
            </w:r>
          </w:p>
          <w:p w14:paraId="22D3AA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D46A7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w:t>
            </w:r>
          </w:p>
          <w:p w14:paraId="0A95BE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2DAFD5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DA2F5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FB9A6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103762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37BAD1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14FEC1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0C5D36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299</w:t>
            </w:r>
          </w:p>
          <w:p w14:paraId="6F01B2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5E3B564"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3F5F21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Единич. потреб.</w:t>
            </w:r>
          </w:p>
          <w:p w14:paraId="3F9058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1F8F1E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09C7E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EA536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320C6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B6DA0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7B459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7CE0F4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D0804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7A6A7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777B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5C535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99A5E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21DCB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C03DF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4B95D4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E0C25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3178F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9FC0B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51C3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CB89C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14702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C39A9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7B2F0C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6F1A7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FA865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A5A64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8C7A5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E1E9E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27AAA8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91275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3432CF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C3FC7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DD75673"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1BB28F14" w14:textId="77777777" w:rsidR="00537E5F" w:rsidRPr="00507A31" w:rsidRDefault="00537E5F" w:rsidP="00507A31">
            <w:pPr>
              <w:autoSpaceDE w:val="0"/>
              <w:autoSpaceDN w:val="0"/>
              <w:adjustRightInd w:val="0"/>
              <w:jc w:val="both"/>
              <w:rPr>
                <w:color w:val="000000" w:themeColor="text1"/>
                <w:sz w:val="16"/>
                <w:szCs w:val="16"/>
              </w:rPr>
            </w:pPr>
          </w:p>
          <w:p w14:paraId="2C27AC43" w14:textId="77777777" w:rsidR="00537E5F" w:rsidRPr="00507A31" w:rsidRDefault="00537E5F" w:rsidP="00507A31">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090850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F02F1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EF929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7CB41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BACAA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A1FE5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4AA2C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F7269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33F8F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87CDF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98F64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D0C0F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2B699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232B7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5EACE2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97D07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C93D6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E8A02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F97A4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79C7F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9D2AF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2964A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AB405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75567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26F03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7E3DD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BAC64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F8647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7D7A3C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5693E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41851D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AC976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EBDC6A3"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191C3A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Дальневост.Испа.</w:t>
            </w:r>
          </w:p>
          <w:p w14:paraId="6AF231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6871A0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A3A19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1E1B2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A83A0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6BBBE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B907D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11EE3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8FCB4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196CD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148F4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06C5DC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A22F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C0CAD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D74B8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11DC28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601BD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BDD25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DF14F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2D8FC5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F9922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0D183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0A8F5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CCCE5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B8D8F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00CCFB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52D14F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42DEFB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F6828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59D56F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C1EFB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7BAD36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3F16F4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F7B5F12"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017A4611" w14:textId="77777777" w:rsidR="00537E5F" w:rsidRPr="00507A31" w:rsidRDefault="00537E5F" w:rsidP="00507A31">
            <w:pPr>
              <w:autoSpaceDE w:val="0"/>
              <w:autoSpaceDN w:val="0"/>
              <w:adjustRightInd w:val="0"/>
              <w:jc w:val="both"/>
              <w:rPr>
                <w:color w:val="000000" w:themeColor="text1"/>
                <w:sz w:val="16"/>
                <w:szCs w:val="16"/>
              </w:rPr>
            </w:pPr>
          </w:p>
          <w:p w14:paraId="4ADEAE8D" w14:textId="77777777" w:rsidR="00537E5F" w:rsidRPr="00507A31" w:rsidRDefault="00537E5F" w:rsidP="00507A31">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5BDB2F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2C532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6221A6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FFDA6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0F285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2F8DF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09609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6EFB9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AA28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BE17B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145B94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86394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F47C2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EFEFA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56E1CB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F5465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3B719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25DA7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4DFC07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8BFFA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7F6FB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91621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11CDC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B4A62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1FAC66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3DB5E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01C21F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F3BF8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0ABD16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31A9B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7ED006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D91DA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556C0E3" w14:textId="77777777">
        <w:trPr>
          <w:gridAfter w:val="2"/>
          <w:wAfter w:w="16" w:type="dxa"/>
          <w:trHeight w:val="221"/>
        </w:trPr>
        <w:tc>
          <w:tcPr>
            <w:tcW w:w="2268" w:type="dxa"/>
            <w:tcBorders>
              <w:top w:val="single" w:sz="6" w:space="0" w:color="auto"/>
              <w:left w:val="single" w:sz="6" w:space="0" w:color="auto"/>
              <w:bottom w:val="single" w:sz="6" w:space="0" w:color="auto"/>
              <w:right w:val="single" w:sz="6" w:space="0" w:color="auto"/>
            </w:tcBorders>
          </w:tcPr>
          <w:p w14:paraId="2AFB00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Киргизок. АССР</w:t>
            </w:r>
          </w:p>
          <w:p w14:paraId="7A4807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386419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32057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AD2CA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3B7E5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0F639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1056D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484A7B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C6F9D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10275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65E0C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011F5E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B7C69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ED8BE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C0943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4A6634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4E04D0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9BAD1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EFBB2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8F29E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EC64F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8EC22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5EEA3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F031F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5ED54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7CCE32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0D872B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59686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AA6DA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7E1DD0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8E481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515ABC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20F941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9F1AB6A" w14:textId="77777777">
        <w:trPr>
          <w:gridAfter w:val="2"/>
          <w:wAfter w:w="16" w:type="dxa"/>
          <w:trHeight w:val="211"/>
        </w:trPr>
        <w:tc>
          <w:tcPr>
            <w:tcW w:w="2268" w:type="dxa"/>
            <w:tcBorders>
              <w:top w:val="single" w:sz="6" w:space="0" w:color="auto"/>
              <w:left w:val="single" w:sz="6" w:space="0" w:color="auto"/>
              <w:bottom w:val="single" w:sz="6" w:space="0" w:color="auto"/>
              <w:right w:val="single" w:sz="6" w:space="0" w:color="auto"/>
            </w:tcBorders>
          </w:tcPr>
          <w:p w14:paraId="3C3275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Казахстан</w:t>
            </w:r>
          </w:p>
          <w:p w14:paraId="76CB8E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7A302B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511E4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A727F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58C89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B7253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C00BD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37E7D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697CB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28772E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F3E96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1F243F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CAD9B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B3F3A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3C191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33EBD0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789884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E1EC6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DC39D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647AC1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4595F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3BF48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C4F03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E49A4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A442A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3419D5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E2A07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D7966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54F33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4A884A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98C4E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46A87B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48A2D5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0E7D14B"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3749B7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М.К. ВКП (б)</w:t>
            </w:r>
          </w:p>
          <w:p w14:paraId="2223F4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nil"/>
              <w:right w:val="single" w:sz="6" w:space="0" w:color="auto"/>
            </w:tcBorders>
          </w:tcPr>
          <w:p w14:paraId="58563E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FA32C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nil"/>
              <w:right w:val="single" w:sz="6" w:space="0" w:color="auto"/>
            </w:tcBorders>
          </w:tcPr>
          <w:p w14:paraId="31F41B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CC406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nil"/>
              <w:right w:val="single" w:sz="6" w:space="0" w:color="auto"/>
            </w:tcBorders>
          </w:tcPr>
          <w:p w14:paraId="073F5A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w:t>
            </w:r>
          </w:p>
          <w:p w14:paraId="248F39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58C2E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DEAF1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94E85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46E13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2DE966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E0EDB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B0F44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3C8D6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ACDD9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6197E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B1CEF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010DD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20F5C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2665A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BB2E8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99FEE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77F03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EB2BF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1A6BF1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A0EFF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C712E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D1D8F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0227FB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2DBB3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517010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w:t>
            </w:r>
          </w:p>
          <w:p w14:paraId="534533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2D75218"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7854EB0E" w14:textId="77777777" w:rsidR="00537E5F" w:rsidRPr="00507A31" w:rsidRDefault="00537E5F" w:rsidP="00507A31">
            <w:pPr>
              <w:autoSpaceDE w:val="0"/>
              <w:autoSpaceDN w:val="0"/>
              <w:adjustRightInd w:val="0"/>
              <w:jc w:val="both"/>
              <w:rPr>
                <w:color w:val="000000" w:themeColor="text1"/>
                <w:sz w:val="16"/>
                <w:szCs w:val="16"/>
              </w:rPr>
            </w:pPr>
          </w:p>
          <w:p w14:paraId="6CCA7CDB" w14:textId="77777777" w:rsidR="00537E5F" w:rsidRPr="00507A31" w:rsidRDefault="00537E5F" w:rsidP="00507A31">
            <w:pPr>
              <w:autoSpaceDE w:val="0"/>
              <w:autoSpaceDN w:val="0"/>
              <w:adjustRightInd w:val="0"/>
              <w:jc w:val="both"/>
              <w:rPr>
                <w:color w:val="000000" w:themeColor="text1"/>
                <w:sz w:val="16"/>
                <w:szCs w:val="16"/>
              </w:rPr>
            </w:pPr>
          </w:p>
        </w:tc>
        <w:tc>
          <w:tcPr>
            <w:tcW w:w="354" w:type="dxa"/>
            <w:tcBorders>
              <w:top w:val="nil"/>
              <w:left w:val="single" w:sz="6" w:space="0" w:color="auto"/>
              <w:bottom w:val="single" w:sz="6" w:space="0" w:color="auto"/>
              <w:right w:val="single" w:sz="6" w:space="0" w:color="auto"/>
            </w:tcBorders>
          </w:tcPr>
          <w:p w14:paraId="2F24D8AB" w14:textId="77777777" w:rsidR="00537E5F" w:rsidRPr="00507A31" w:rsidRDefault="00537E5F" w:rsidP="00507A31">
            <w:pPr>
              <w:autoSpaceDE w:val="0"/>
              <w:autoSpaceDN w:val="0"/>
              <w:adjustRightInd w:val="0"/>
              <w:jc w:val="both"/>
              <w:rPr>
                <w:color w:val="000000" w:themeColor="text1"/>
                <w:sz w:val="16"/>
                <w:szCs w:val="16"/>
              </w:rPr>
            </w:pPr>
          </w:p>
          <w:p w14:paraId="3398DC62" w14:textId="77777777" w:rsidR="00537E5F" w:rsidRPr="00507A31" w:rsidRDefault="00537E5F" w:rsidP="00507A31">
            <w:pPr>
              <w:autoSpaceDE w:val="0"/>
              <w:autoSpaceDN w:val="0"/>
              <w:adjustRightInd w:val="0"/>
              <w:jc w:val="both"/>
              <w:rPr>
                <w:color w:val="000000" w:themeColor="text1"/>
                <w:sz w:val="16"/>
                <w:szCs w:val="16"/>
              </w:rPr>
            </w:pPr>
          </w:p>
        </w:tc>
        <w:tc>
          <w:tcPr>
            <w:tcW w:w="355" w:type="dxa"/>
            <w:tcBorders>
              <w:top w:val="nil"/>
              <w:left w:val="single" w:sz="6" w:space="0" w:color="auto"/>
              <w:bottom w:val="single" w:sz="6" w:space="0" w:color="auto"/>
              <w:right w:val="single" w:sz="6" w:space="0" w:color="auto"/>
            </w:tcBorders>
          </w:tcPr>
          <w:p w14:paraId="0A4B614A" w14:textId="77777777" w:rsidR="00537E5F" w:rsidRPr="00507A31" w:rsidRDefault="00537E5F" w:rsidP="00507A31">
            <w:pPr>
              <w:autoSpaceDE w:val="0"/>
              <w:autoSpaceDN w:val="0"/>
              <w:adjustRightInd w:val="0"/>
              <w:jc w:val="both"/>
              <w:rPr>
                <w:color w:val="000000" w:themeColor="text1"/>
                <w:sz w:val="16"/>
                <w:szCs w:val="16"/>
              </w:rPr>
            </w:pPr>
          </w:p>
          <w:p w14:paraId="08E00484" w14:textId="77777777" w:rsidR="00537E5F" w:rsidRPr="00507A31" w:rsidRDefault="00537E5F" w:rsidP="00507A31">
            <w:pPr>
              <w:autoSpaceDE w:val="0"/>
              <w:autoSpaceDN w:val="0"/>
              <w:adjustRightInd w:val="0"/>
              <w:jc w:val="both"/>
              <w:rPr>
                <w:color w:val="000000" w:themeColor="text1"/>
                <w:sz w:val="16"/>
                <w:szCs w:val="16"/>
              </w:rPr>
            </w:pPr>
          </w:p>
        </w:tc>
        <w:tc>
          <w:tcPr>
            <w:tcW w:w="284" w:type="dxa"/>
            <w:tcBorders>
              <w:top w:val="nil"/>
              <w:left w:val="single" w:sz="6" w:space="0" w:color="auto"/>
              <w:bottom w:val="single" w:sz="6" w:space="0" w:color="auto"/>
              <w:right w:val="single" w:sz="6" w:space="0" w:color="auto"/>
            </w:tcBorders>
          </w:tcPr>
          <w:p w14:paraId="1519EB03" w14:textId="77777777" w:rsidR="00537E5F" w:rsidRPr="00507A31" w:rsidRDefault="00537E5F" w:rsidP="00507A31">
            <w:pPr>
              <w:autoSpaceDE w:val="0"/>
              <w:autoSpaceDN w:val="0"/>
              <w:adjustRightInd w:val="0"/>
              <w:jc w:val="both"/>
              <w:rPr>
                <w:color w:val="000000" w:themeColor="text1"/>
                <w:sz w:val="16"/>
                <w:szCs w:val="16"/>
              </w:rPr>
            </w:pPr>
          </w:p>
          <w:p w14:paraId="1E598844" w14:textId="77777777" w:rsidR="00537E5F" w:rsidRPr="00507A31" w:rsidRDefault="00537E5F" w:rsidP="00507A31">
            <w:pPr>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6BCD58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FD05C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78466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D68DA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6A88EA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1A339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DD7E9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F301A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36775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324BE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3B96C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B81B8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A9434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2A1A3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DFE85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8599B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0A3DD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97185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30DB6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016C5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49D0F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86AA0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0D9036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09980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4BDB79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DD36B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9B1F983" w14:textId="77777777">
        <w:trPr>
          <w:gridAfter w:val="2"/>
          <w:wAfter w:w="16" w:type="dxa"/>
          <w:trHeight w:val="221"/>
        </w:trPr>
        <w:tc>
          <w:tcPr>
            <w:tcW w:w="2268" w:type="dxa"/>
            <w:tcBorders>
              <w:top w:val="single" w:sz="6" w:space="0" w:color="auto"/>
              <w:left w:val="single" w:sz="6" w:space="0" w:color="auto"/>
              <w:bottom w:val="single" w:sz="6" w:space="0" w:color="auto"/>
              <w:right w:val="single" w:sz="6" w:space="0" w:color="auto"/>
            </w:tcBorders>
          </w:tcPr>
          <w:p w14:paraId="497559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Восточно-иб.</w:t>
            </w:r>
          </w:p>
          <w:p w14:paraId="35E55A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3ACFBA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E3199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FD448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DFC31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EF89F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317B5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F900A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3E6EC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D0FD3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3354D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4EEC0F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12265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FA33A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40F95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4F5C3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3490C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48407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80E45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67DBA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07077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5A2DA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3AC1A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C866F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C5E1F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21EC82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96640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2C6D4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0D557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6386E2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8994D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3C4015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197DA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4BB6238" w14:textId="77777777">
        <w:trPr>
          <w:gridAfter w:val="2"/>
          <w:wAfter w:w="16" w:type="dxa"/>
          <w:trHeight w:val="115"/>
        </w:trPr>
        <w:tc>
          <w:tcPr>
            <w:tcW w:w="2268" w:type="dxa"/>
            <w:tcBorders>
              <w:top w:val="single" w:sz="6" w:space="0" w:color="auto"/>
              <w:left w:val="single" w:sz="6" w:space="0" w:color="auto"/>
              <w:bottom w:val="nil"/>
              <w:right w:val="single" w:sz="6" w:space="0" w:color="auto"/>
            </w:tcBorders>
          </w:tcPr>
          <w:p w14:paraId="7BBDE6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Крайисполком</w:t>
            </w:r>
          </w:p>
          <w:p w14:paraId="3F5079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0D52CD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C9C5D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5B2F1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CEDD9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BB18C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556E6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1E222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B52F1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47F75E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800F7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832F1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56A3E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7F5A4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5A8A2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217D32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AFDE1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8BBD9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99C4A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BDE19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27B4D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F5C93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D94EE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58999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AC5B4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2DA6AC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6E37AF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696096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9815C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32B5BD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12A78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556ED2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1786AD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25B3C5B" w14:textId="77777777">
        <w:trPr>
          <w:gridAfter w:val="2"/>
          <w:wAfter w:w="16" w:type="dxa"/>
          <w:trHeight w:val="106"/>
        </w:trPr>
        <w:tc>
          <w:tcPr>
            <w:tcW w:w="2268" w:type="dxa"/>
            <w:tcBorders>
              <w:top w:val="nil"/>
              <w:left w:val="single" w:sz="6" w:space="0" w:color="auto"/>
              <w:bottom w:val="single" w:sz="6" w:space="0" w:color="auto"/>
              <w:right w:val="single" w:sz="6" w:space="0" w:color="auto"/>
            </w:tcBorders>
          </w:tcPr>
          <w:p w14:paraId="43B3B9D6" w14:textId="77777777" w:rsidR="00537E5F" w:rsidRPr="00507A31" w:rsidRDefault="00537E5F" w:rsidP="00507A31">
            <w:pPr>
              <w:autoSpaceDE w:val="0"/>
              <w:autoSpaceDN w:val="0"/>
              <w:adjustRightInd w:val="0"/>
              <w:jc w:val="both"/>
              <w:rPr>
                <w:color w:val="000000" w:themeColor="text1"/>
                <w:sz w:val="16"/>
                <w:szCs w:val="16"/>
              </w:rPr>
            </w:pPr>
          </w:p>
          <w:p w14:paraId="60ED291F" w14:textId="77777777" w:rsidR="00537E5F" w:rsidRPr="00507A31" w:rsidRDefault="00537E5F" w:rsidP="00507A31">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054F77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4974A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B0DFD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2C7C3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4A056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61AD8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EECD5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ED82E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68E2D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77509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3007D5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79379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FA0B2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2E5D4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619BF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4C655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7BC2A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8BB33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0B1DD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285BB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F708C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BC975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3AA768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36913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312628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FDF1D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4D7721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E5890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56A140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32819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34680A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6616B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ECDE123" w14:textId="77777777">
        <w:trPr>
          <w:gridAfter w:val="2"/>
          <w:wAfter w:w="16" w:type="dxa"/>
          <w:trHeight w:val="115"/>
        </w:trPr>
        <w:tc>
          <w:tcPr>
            <w:tcW w:w="2268" w:type="dxa"/>
            <w:tcBorders>
              <w:top w:val="single" w:sz="6" w:space="0" w:color="auto"/>
              <w:left w:val="single" w:sz="6" w:space="0" w:color="auto"/>
              <w:bottom w:val="nil"/>
              <w:right w:val="single" w:sz="6" w:space="0" w:color="auto"/>
            </w:tcBorders>
          </w:tcPr>
          <w:p w14:paraId="71272F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Башкир.АССР</w:t>
            </w:r>
          </w:p>
          <w:p w14:paraId="07673C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1E80D9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035E4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E89A0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0DEA2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3804EA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FAA75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97582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C1E2F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D14A1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B94D4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17A8C5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0C010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34E10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4E942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3B86B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4F6DC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D721B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D9DC2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68450A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BC300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30076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3D89C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7E5E7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9DC93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5E01D9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081027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6ED339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85DBA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7ED052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8FF7A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1BFF02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210E5B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07A116A"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7B42D03B" w14:textId="77777777" w:rsidR="00537E5F" w:rsidRPr="00507A31" w:rsidRDefault="00537E5F" w:rsidP="00507A31">
            <w:pPr>
              <w:autoSpaceDE w:val="0"/>
              <w:autoSpaceDN w:val="0"/>
              <w:adjustRightInd w:val="0"/>
              <w:jc w:val="both"/>
              <w:rPr>
                <w:color w:val="000000" w:themeColor="text1"/>
                <w:sz w:val="16"/>
                <w:szCs w:val="16"/>
              </w:rPr>
            </w:pPr>
          </w:p>
          <w:p w14:paraId="4D3B6370" w14:textId="77777777" w:rsidR="00537E5F" w:rsidRPr="00507A31" w:rsidRDefault="00537E5F" w:rsidP="00507A31">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7A62B1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734F8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63B78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28973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E0FA3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8F871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E3395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C0D67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95B62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1E833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6415F1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8E2FB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6E8E3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F7575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381DC7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96EAB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5C239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72BB0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219A5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CF663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34864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B479C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556EA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26DDC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4BAECA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B947B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5A534B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888F6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495F50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8ABC9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2160E4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D3CCC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573BAF8" w14:textId="77777777">
        <w:trPr>
          <w:gridAfter w:val="2"/>
          <w:wAfter w:w="16" w:type="dxa"/>
          <w:trHeight w:val="221"/>
        </w:trPr>
        <w:tc>
          <w:tcPr>
            <w:tcW w:w="2268" w:type="dxa"/>
            <w:tcBorders>
              <w:top w:val="single" w:sz="6" w:space="0" w:color="auto"/>
              <w:left w:val="single" w:sz="6" w:space="0" w:color="auto"/>
              <w:bottom w:val="single" w:sz="6" w:space="0" w:color="auto"/>
              <w:right w:val="single" w:sz="6" w:space="0" w:color="auto"/>
            </w:tcBorders>
          </w:tcPr>
          <w:p w14:paraId="25FAD7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Бурято-Монгол.</w:t>
            </w:r>
          </w:p>
          <w:p w14:paraId="2324EC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5A8032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33121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EE5B6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DA29E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2B513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7C823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4052A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536B0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7E18A8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2FDFE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351FDE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2B45C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C574D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C573E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7A169C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508101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017E7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007E2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98EB6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300E1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3DF9E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4CF20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91FF1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97DAB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152383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E85E1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131FB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58C66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663212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9EA4B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1C7130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3D501C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EA81877" w14:textId="77777777">
        <w:trPr>
          <w:gridAfter w:val="2"/>
          <w:wAfter w:w="16" w:type="dxa"/>
          <w:trHeight w:val="336"/>
        </w:trPr>
        <w:tc>
          <w:tcPr>
            <w:tcW w:w="2268" w:type="dxa"/>
            <w:tcBorders>
              <w:top w:val="single" w:sz="6" w:space="0" w:color="auto"/>
              <w:left w:val="single" w:sz="6" w:space="0" w:color="auto"/>
              <w:bottom w:val="single" w:sz="6" w:space="0" w:color="auto"/>
              <w:right w:val="single" w:sz="6" w:space="0" w:color="auto"/>
            </w:tcBorders>
          </w:tcPr>
          <w:p w14:paraId="03D89F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p w14:paraId="2866F3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108CD6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06175A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903E0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w:t>
            </w:r>
          </w:p>
          <w:p w14:paraId="34C135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32D70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313057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692D2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p w14:paraId="699ED6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D8549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4D5E72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3B52D0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7317AB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E159E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80</w:t>
            </w:r>
          </w:p>
          <w:p w14:paraId="4E77D3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5F55A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p w14:paraId="109428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EE4D1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4B4946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33C1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3DA09F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61069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w:t>
            </w:r>
          </w:p>
          <w:p w14:paraId="4EAAF0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EE376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w:t>
            </w:r>
          </w:p>
          <w:p w14:paraId="474CC5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7336D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p w14:paraId="3B00E5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C799A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5035D9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3CD8D6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65A720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578F7B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315</w:t>
            </w:r>
          </w:p>
          <w:p w14:paraId="368385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41BF72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75. Л. 90. Копия.</w:t>
      </w:r>
    </w:p>
    <w:p w14:paraId="689F7B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Управляющий делами СНК и Экономического совета РСФСР В. Усиевич</w:t>
      </w:r>
    </w:p>
    <w:p w14:paraId="494AA0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Секретарь Экономического совета РСФСР Колдомасов (11210).</w:t>
      </w:r>
    </w:p>
    <w:p w14:paraId="4F07B229" w14:textId="77777777" w:rsidR="00537E5F" w:rsidRPr="00507A31" w:rsidRDefault="00537E5F" w:rsidP="00507A31">
      <w:pPr>
        <w:autoSpaceDE w:val="0"/>
        <w:autoSpaceDN w:val="0"/>
        <w:adjustRightInd w:val="0"/>
        <w:jc w:val="both"/>
        <w:rPr>
          <w:iCs/>
          <w:color w:val="000000" w:themeColor="text1"/>
          <w:sz w:val="16"/>
          <w:szCs w:val="16"/>
        </w:rPr>
      </w:pPr>
    </w:p>
    <w:p w14:paraId="754AB8F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EA7C9E8" w14:textId="77777777" w:rsidR="00537E5F" w:rsidRPr="00507A31" w:rsidRDefault="00537E5F" w:rsidP="00507A31">
      <w:pPr>
        <w:autoSpaceDE w:val="0"/>
        <w:autoSpaceDN w:val="0"/>
        <w:adjustRightInd w:val="0"/>
        <w:jc w:val="both"/>
        <w:rPr>
          <w:iCs/>
          <w:color w:val="000000" w:themeColor="text1"/>
          <w:sz w:val="16"/>
          <w:szCs w:val="16"/>
        </w:rPr>
      </w:pPr>
    </w:p>
    <w:p w14:paraId="15F996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 октября 1930 постановлением СТО было организовано Всесоюзное объединение гражданского воздушного флота - ВОГВФ (271,122).</w:t>
      </w:r>
    </w:p>
    <w:p w14:paraId="231C4325" w14:textId="77777777" w:rsidR="00537E5F" w:rsidRPr="00507A31" w:rsidRDefault="00537E5F" w:rsidP="00507A31">
      <w:pPr>
        <w:autoSpaceDE w:val="0"/>
        <w:autoSpaceDN w:val="0"/>
        <w:adjustRightInd w:val="0"/>
        <w:jc w:val="both"/>
        <w:rPr>
          <w:color w:val="000000" w:themeColor="text1"/>
          <w:sz w:val="16"/>
          <w:szCs w:val="16"/>
        </w:rPr>
      </w:pPr>
    </w:p>
    <w:p w14:paraId="0E48AD26" w14:textId="77777777" w:rsidR="006908A4" w:rsidRPr="00507A31" w:rsidRDefault="006908A4" w:rsidP="00507A31">
      <w:pPr>
        <w:jc w:val="both"/>
        <w:rPr>
          <w:color w:val="000000" w:themeColor="text1"/>
          <w:sz w:val="16"/>
          <w:szCs w:val="16"/>
        </w:rPr>
      </w:pPr>
      <w:r w:rsidRPr="00507A31">
        <w:rPr>
          <w:color w:val="000000" w:themeColor="text1"/>
          <w:sz w:val="16"/>
          <w:szCs w:val="16"/>
        </w:rPr>
        <w:t>19 и 29 октября 1930 г. Постановлениями Совнаркома СССР было образовано «Всесоюзное объединение Гражданского воздушного флота» с подчинением его непосредственно СТО СССР, а действующее на началах хозяйственного расчета Правление общества «Добролет» и Главная инспекция ГВФ были расформированы и влились в это вновь учрежденное объединение (19566).</w:t>
      </w:r>
    </w:p>
    <w:p w14:paraId="152741F4" w14:textId="77777777" w:rsidR="006908A4" w:rsidRPr="00507A31" w:rsidRDefault="006908A4" w:rsidP="00507A31">
      <w:pPr>
        <w:jc w:val="both"/>
        <w:rPr>
          <w:color w:val="000000" w:themeColor="text1"/>
          <w:sz w:val="16"/>
          <w:szCs w:val="16"/>
        </w:rPr>
      </w:pPr>
    </w:p>
    <w:p w14:paraId="72D1E89D" w14:textId="77777777" w:rsidR="006F7990" w:rsidRPr="00507A31" w:rsidRDefault="006F7990" w:rsidP="00507A31">
      <w:pPr>
        <w:shd w:val="clear" w:color="auto" w:fill="FFFFFF"/>
        <w:jc w:val="both"/>
        <w:textAlignment w:val="top"/>
        <w:rPr>
          <w:color w:val="0070C0"/>
          <w:sz w:val="16"/>
          <w:szCs w:val="16"/>
        </w:rPr>
      </w:pPr>
      <w:r w:rsidRPr="00507A31">
        <w:rPr>
          <w:color w:val="0070C0"/>
          <w:sz w:val="16"/>
          <w:szCs w:val="16"/>
        </w:rPr>
        <w:t>19 октября 1930 года</w:t>
      </w:r>
    </w:p>
    <w:p w14:paraId="79D5CA5D" w14:textId="77777777" w:rsidR="006F7990" w:rsidRPr="00507A31" w:rsidRDefault="006F7990" w:rsidP="00507A31">
      <w:pPr>
        <w:shd w:val="clear" w:color="auto" w:fill="FFFFFF"/>
        <w:jc w:val="both"/>
        <w:textAlignment w:val="top"/>
        <w:rPr>
          <w:color w:val="0070C0"/>
          <w:sz w:val="16"/>
          <w:szCs w:val="16"/>
        </w:rPr>
      </w:pPr>
      <w:r w:rsidRPr="00507A31">
        <w:rPr>
          <w:color w:val="0070C0"/>
          <w:sz w:val="16"/>
          <w:szCs w:val="16"/>
        </w:rPr>
        <w:t>Постановление СНК №561 «Об образовании всесоюзного объединения гражданской авиации» (Образовать в непосредственном ведении Совета труда и обороны всесоюзное объединение гражданской авиации), изменено 29 октября 1930 года (20226).</w:t>
      </w:r>
    </w:p>
    <w:p w14:paraId="19C15164" w14:textId="77777777" w:rsidR="006F7990" w:rsidRPr="00507A31" w:rsidRDefault="006F7990" w:rsidP="00507A31">
      <w:pPr>
        <w:shd w:val="clear" w:color="auto" w:fill="FFFFFF"/>
        <w:jc w:val="both"/>
        <w:textAlignment w:val="top"/>
        <w:rPr>
          <w:color w:val="0070C0"/>
          <w:sz w:val="16"/>
          <w:szCs w:val="16"/>
        </w:rPr>
      </w:pPr>
    </w:p>
    <w:p w14:paraId="1E19FB7E" w14:textId="77777777" w:rsidR="00373CA1"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5D1E00C" w14:textId="77777777" w:rsidR="00373CA1" w:rsidRPr="00507A31" w:rsidRDefault="00373CA1" w:rsidP="00507A31">
      <w:pPr>
        <w:autoSpaceDE w:val="0"/>
        <w:autoSpaceDN w:val="0"/>
        <w:adjustRightInd w:val="0"/>
        <w:jc w:val="both"/>
        <w:rPr>
          <w:iCs/>
          <w:color w:val="000000" w:themeColor="text1"/>
          <w:sz w:val="16"/>
          <w:szCs w:val="16"/>
        </w:rPr>
      </w:pPr>
    </w:p>
    <w:p w14:paraId="3F8D0CF1" w14:textId="77777777" w:rsidR="00373CA1" w:rsidRPr="00507A31" w:rsidRDefault="00373CA1" w:rsidP="00507A31">
      <w:pPr>
        <w:jc w:val="both"/>
        <w:rPr>
          <w:color w:val="000000" w:themeColor="text1"/>
          <w:sz w:val="16"/>
          <w:szCs w:val="16"/>
        </w:rPr>
      </w:pPr>
      <w:r w:rsidRPr="00507A31">
        <w:rPr>
          <w:color w:val="000000" w:themeColor="text1"/>
          <w:sz w:val="16"/>
          <w:szCs w:val="16"/>
        </w:rPr>
        <w:t>19 октября 1930 г. Постановление закрытого заседания Президиума ВСНХ СССР о результатах обследования завода № 1 Всехимпрома (РГАЭ. Ф. 3429. Оп. 6. Д. 198. Л. 60?58) (12417).</w:t>
      </w:r>
    </w:p>
    <w:p w14:paraId="21365890" w14:textId="77777777" w:rsidR="00373CA1" w:rsidRPr="00507A31" w:rsidRDefault="00373CA1" w:rsidP="00507A31">
      <w:pPr>
        <w:jc w:val="both"/>
        <w:rPr>
          <w:color w:val="000000" w:themeColor="text1"/>
          <w:sz w:val="16"/>
          <w:szCs w:val="16"/>
        </w:rPr>
      </w:pPr>
    </w:p>
    <w:p w14:paraId="3CF04C1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9A364D8" w14:textId="77777777" w:rsidR="00537E5F" w:rsidRPr="00507A31" w:rsidRDefault="00537E5F" w:rsidP="00507A31">
      <w:pPr>
        <w:autoSpaceDE w:val="0"/>
        <w:autoSpaceDN w:val="0"/>
        <w:adjustRightInd w:val="0"/>
        <w:jc w:val="both"/>
        <w:rPr>
          <w:iCs/>
          <w:color w:val="000000" w:themeColor="text1"/>
          <w:sz w:val="16"/>
          <w:szCs w:val="16"/>
        </w:rPr>
      </w:pPr>
    </w:p>
    <w:p w14:paraId="3C609A8B" w14:textId="77777777" w:rsidR="006908A4" w:rsidRPr="00507A31" w:rsidRDefault="006908A4" w:rsidP="00507A31">
      <w:pPr>
        <w:pStyle w:val="rtejustify"/>
        <w:shd w:val="clear" w:color="auto" w:fill="FFFFFF"/>
        <w:spacing w:before="0" w:after="0"/>
        <w:rPr>
          <w:color w:val="000000" w:themeColor="text1"/>
          <w:sz w:val="16"/>
          <w:szCs w:val="16"/>
        </w:rPr>
      </w:pPr>
      <w:r w:rsidRPr="00507A31">
        <w:rPr>
          <w:color w:val="000000" w:themeColor="text1"/>
          <w:sz w:val="16"/>
          <w:szCs w:val="16"/>
        </w:rPr>
        <w:t>20 октября 1930 воздушный винт для И-8 был получен и установлен. 23-25 октября при пробе двигателя выяснилось, что он работал только на заливке, из бака топливо не поступало. Потребовалась замена бензопроводов. Все было готово к испытаниям, но перед выводом самолета из цеха на него уронили доску, повредившую стабилизатор и руль высоты (19171).</w:t>
      </w:r>
    </w:p>
    <w:p w14:paraId="6115ABCC" w14:textId="77777777" w:rsidR="006908A4" w:rsidRPr="00507A31" w:rsidRDefault="006908A4" w:rsidP="00507A31">
      <w:pPr>
        <w:pStyle w:val="rtejustify"/>
        <w:shd w:val="clear" w:color="auto" w:fill="FFFFFF"/>
        <w:spacing w:before="0" w:after="0"/>
        <w:rPr>
          <w:color w:val="000000" w:themeColor="text1"/>
          <w:sz w:val="16"/>
          <w:szCs w:val="16"/>
        </w:rPr>
      </w:pPr>
    </w:p>
    <w:p w14:paraId="176CA1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 октября 1930 г. Пом. секр. РВС СССР Орлов писал Зам.Начальника УВВС РККА-т. АЛКСНИСУ</w:t>
      </w:r>
    </w:p>
    <w:p w14:paraId="3D6E37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Сообщается для исполнения, резолюция Наркома Вашем докладе от 17/Х-1930 г., за № 234 сс/НТК,</w:t>
      </w:r>
    </w:p>
    <w:p w14:paraId="485A7C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"Предложения т. Алксниса принимаю и самому т. Алкснису же поручаю лично следить за ходом выполнения сделанных им предложений, как по разрезному крылу, так и по нефтян. мотору» В отношении мотора "Фиат", если такой в природе уже имеется или вскоре может появиться, необходимо пред</w:t>
      </w:r>
      <w:r w:rsidRPr="00507A31">
        <w:rPr>
          <w:color w:val="000000" w:themeColor="text1"/>
          <w:sz w:val="16"/>
          <w:szCs w:val="16"/>
        </w:rPr>
        <w:softHyphen/>
        <w:t>принять более реальные меры, чем предлагает т. Алкснис, а именно- необходимо мотор приобрести, использовав для это</w:t>
      </w:r>
      <w:r w:rsidRPr="00507A31">
        <w:rPr>
          <w:color w:val="000000" w:themeColor="text1"/>
          <w:sz w:val="16"/>
          <w:szCs w:val="16"/>
        </w:rPr>
        <w:softHyphen/>
        <w:t>го наши связи и договор с Ит. Пр-вом. На наших конструк</w:t>
      </w:r>
      <w:r w:rsidRPr="00507A31">
        <w:rPr>
          <w:color w:val="000000" w:themeColor="text1"/>
          <w:sz w:val="16"/>
          <w:szCs w:val="16"/>
        </w:rPr>
        <w:softHyphen/>
        <w:t xml:space="preserve">торов </w:t>
      </w:r>
      <w:r w:rsidRPr="00507A31">
        <w:rPr>
          <w:color w:val="000000" w:themeColor="text1"/>
          <w:sz w:val="16"/>
          <w:szCs w:val="16"/>
        </w:rPr>
        <w:lastRenderedPageBreak/>
        <w:t>следует нажимать и помогать в их работе, чего по настоящему не делало, результатом этого и является трехлетнее барахтанье над проблемой разрезного крыла то время, как эта проблема давно превратилась в живую практику в Воздушн.флотах буржуазии.</w:t>
      </w:r>
    </w:p>
    <w:p w14:paraId="525F86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Ворошилов 18/Х-30 г. </w:t>
      </w:r>
    </w:p>
    <w:p w14:paraId="35B289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ЦАСА, ф. 4, оп. 1, д.1481, л. 87 (1026,129).</w:t>
      </w:r>
    </w:p>
    <w:p w14:paraId="1D4A68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696E1D1" w14:textId="77777777" w:rsidR="00682230" w:rsidRPr="00507A31" w:rsidRDefault="002D4D90" w:rsidP="00507A31">
      <w:pPr>
        <w:pStyle w:val="ae"/>
        <w:shd w:val="clear" w:color="auto" w:fill="FFFFFF"/>
        <w:spacing w:before="0" w:after="0"/>
        <w:jc w:val="both"/>
        <w:rPr>
          <w:color w:val="0070C0"/>
          <w:sz w:val="16"/>
          <w:szCs w:val="16"/>
        </w:rPr>
      </w:pPr>
      <w:hyperlink r:id="rId153" w:tooltip="20 октября" w:history="1">
        <w:r w:rsidR="00682230" w:rsidRPr="00507A31">
          <w:rPr>
            <w:rStyle w:val="a5"/>
            <w:rFonts w:eastAsiaTheme="majorEastAsia"/>
            <w:color w:val="0070C0"/>
            <w:sz w:val="16"/>
            <w:szCs w:val="16"/>
            <w:u w:val="none"/>
          </w:rPr>
          <w:t>20 октября</w:t>
        </w:r>
      </w:hyperlink>
      <w:r w:rsidR="00682230" w:rsidRPr="00507A31">
        <w:rPr>
          <w:color w:val="0070C0"/>
          <w:sz w:val="16"/>
          <w:szCs w:val="16"/>
        </w:rPr>
        <w:t> </w:t>
      </w:r>
      <w:hyperlink r:id="rId154" w:tooltip="1930 год" w:history="1">
        <w:r w:rsidR="00682230" w:rsidRPr="00507A31">
          <w:rPr>
            <w:rStyle w:val="a5"/>
            <w:rFonts w:eastAsiaTheme="majorEastAsia"/>
            <w:color w:val="0070C0"/>
            <w:sz w:val="16"/>
            <w:szCs w:val="16"/>
            <w:u w:val="none"/>
          </w:rPr>
          <w:t>1930 года</w:t>
        </w:r>
      </w:hyperlink>
      <w:r w:rsidR="00682230" w:rsidRPr="00507A31">
        <w:rPr>
          <w:color w:val="0070C0"/>
          <w:sz w:val="16"/>
          <w:szCs w:val="16"/>
        </w:rPr>
        <w:t> Стечкин был арестован по </w:t>
      </w:r>
      <w:hyperlink r:id="rId155" w:tooltip="Дело Промпартии" w:history="1">
        <w:r w:rsidR="00682230" w:rsidRPr="00507A31">
          <w:rPr>
            <w:rStyle w:val="a5"/>
            <w:rFonts w:eastAsiaTheme="majorEastAsia"/>
            <w:color w:val="0070C0"/>
            <w:sz w:val="16"/>
            <w:szCs w:val="16"/>
            <w:u w:val="none"/>
          </w:rPr>
          <w:t>делу Промпартии</w:t>
        </w:r>
      </w:hyperlink>
      <w:r w:rsidR="00682230" w:rsidRPr="00507A31">
        <w:rPr>
          <w:color w:val="0070C0"/>
          <w:sz w:val="16"/>
          <w:szCs w:val="16"/>
        </w:rPr>
        <w:t>, осуждён на тюремное заключение сроком 3 года, но, благодаря вмешательству академика </w:t>
      </w:r>
      <w:hyperlink r:id="rId156" w:tooltip="Чаплыгин, Сергей Алексеевич" w:history="1">
        <w:r w:rsidR="00682230" w:rsidRPr="00507A31">
          <w:rPr>
            <w:rStyle w:val="a5"/>
            <w:rFonts w:eastAsiaTheme="majorEastAsia"/>
            <w:color w:val="0070C0"/>
            <w:sz w:val="16"/>
            <w:szCs w:val="16"/>
            <w:u w:val="none"/>
          </w:rPr>
          <w:t>С. А. Чаплыгина</w:t>
        </w:r>
      </w:hyperlink>
      <w:r w:rsidR="00682230" w:rsidRPr="00507A31">
        <w:rPr>
          <w:color w:val="0070C0"/>
          <w:sz w:val="16"/>
          <w:szCs w:val="16"/>
        </w:rPr>
        <w:t>, освобождён досрочно в конце 1931 года в связи с пересмотром дела (21447).</w:t>
      </w:r>
    </w:p>
    <w:p w14:paraId="0561E506" w14:textId="77777777" w:rsidR="00682230" w:rsidRPr="00507A31" w:rsidRDefault="00682230" w:rsidP="00507A31">
      <w:pPr>
        <w:pStyle w:val="ae"/>
        <w:shd w:val="clear" w:color="auto" w:fill="FFFFFF"/>
        <w:spacing w:before="0" w:after="0"/>
        <w:jc w:val="both"/>
        <w:rPr>
          <w:color w:val="0070C0"/>
          <w:sz w:val="16"/>
          <w:szCs w:val="16"/>
        </w:rPr>
      </w:pPr>
    </w:p>
    <w:p w14:paraId="4A8F37B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3588193" w14:textId="77777777" w:rsidR="00537E5F" w:rsidRPr="00507A31" w:rsidRDefault="00537E5F" w:rsidP="00507A31">
      <w:pPr>
        <w:autoSpaceDE w:val="0"/>
        <w:autoSpaceDN w:val="0"/>
        <w:adjustRightInd w:val="0"/>
        <w:jc w:val="both"/>
        <w:rPr>
          <w:iCs/>
          <w:color w:val="000000" w:themeColor="text1"/>
          <w:sz w:val="16"/>
          <w:szCs w:val="16"/>
        </w:rPr>
      </w:pPr>
    </w:p>
    <w:p w14:paraId="222FCA5C" w14:textId="77777777" w:rsidR="00682230" w:rsidRPr="00507A31" w:rsidRDefault="00682230" w:rsidP="00507A31">
      <w:pPr>
        <w:jc w:val="both"/>
        <w:rPr>
          <w:color w:val="0070C0"/>
          <w:sz w:val="16"/>
          <w:szCs w:val="16"/>
        </w:rPr>
      </w:pPr>
      <w:r w:rsidRPr="00507A31">
        <w:rPr>
          <w:color w:val="0070C0"/>
          <w:sz w:val="16"/>
          <w:szCs w:val="16"/>
        </w:rPr>
        <w:t>20 октября 1930 опросом членов ПБ</w:t>
      </w:r>
    </w:p>
    <w:p w14:paraId="1E72FE4C" w14:textId="77777777" w:rsidR="00682230" w:rsidRPr="00507A31" w:rsidRDefault="00682230" w:rsidP="00507A31">
      <w:pPr>
        <w:jc w:val="both"/>
        <w:rPr>
          <w:color w:val="0070C0"/>
          <w:sz w:val="16"/>
          <w:szCs w:val="16"/>
        </w:rPr>
      </w:pPr>
      <w:r w:rsidRPr="00507A31">
        <w:rPr>
          <w:color w:val="0070C0"/>
          <w:sz w:val="16"/>
          <w:szCs w:val="16"/>
        </w:rPr>
        <w:t>8/20.-Об экспедиции Ситроена</w:t>
      </w:r>
    </w:p>
    <w:p w14:paraId="3C92590A" w14:textId="77777777" w:rsidR="00682230" w:rsidRPr="00507A31" w:rsidRDefault="00682230" w:rsidP="00507A31">
      <w:pPr>
        <w:jc w:val="both"/>
        <w:rPr>
          <w:color w:val="0070C0"/>
          <w:sz w:val="16"/>
          <w:szCs w:val="16"/>
        </w:rPr>
      </w:pPr>
      <w:r w:rsidRPr="00507A31">
        <w:rPr>
          <w:color w:val="0070C0"/>
          <w:sz w:val="16"/>
          <w:szCs w:val="16"/>
        </w:rPr>
        <w:t>Во изменение решения ПБ от 20.У1.30 г. отказать фирме Ситроен в пробеге гусеничных автомобилей через территорию СССР.</w:t>
      </w:r>
    </w:p>
    <w:p w14:paraId="556EADA6" w14:textId="77777777" w:rsidR="00682230" w:rsidRPr="00507A31" w:rsidRDefault="00682230" w:rsidP="00507A31">
      <w:pPr>
        <w:jc w:val="both"/>
        <w:rPr>
          <w:color w:val="0070C0"/>
          <w:sz w:val="16"/>
          <w:szCs w:val="16"/>
        </w:rPr>
      </w:pPr>
      <w:r w:rsidRPr="00507A31">
        <w:rPr>
          <w:color w:val="0070C0"/>
          <w:sz w:val="16"/>
          <w:szCs w:val="16"/>
        </w:rPr>
        <w:t>Выписки послана: т.т. Литвинову, Менжинскому</w:t>
      </w:r>
    </w:p>
    <w:p w14:paraId="12088B0E" w14:textId="77777777" w:rsidR="00682230" w:rsidRPr="00507A31" w:rsidRDefault="00682230" w:rsidP="00507A31">
      <w:pPr>
        <w:jc w:val="both"/>
        <w:rPr>
          <w:color w:val="0070C0"/>
          <w:sz w:val="16"/>
          <w:szCs w:val="16"/>
        </w:rPr>
      </w:pPr>
      <w:r w:rsidRPr="00507A31">
        <w:rPr>
          <w:color w:val="0070C0"/>
          <w:sz w:val="16"/>
          <w:szCs w:val="16"/>
        </w:rPr>
        <w:t>25 октября 1930 состоялось заседание ПБ (Протокол № 13) (21118).</w:t>
      </w:r>
    </w:p>
    <w:p w14:paraId="6CCB5214" w14:textId="77777777" w:rsidR="00682230" w:rsidRPr="00507A31" w:rsidRDefault="00682230" w:rsidP="00507A31">
      <w:pPr>
        <w:jc w:val="both"/>
        <w:rPr>
          <w:color w:val="0070C0"/>
          <w:sz w:val="16"/>
          <w:szCs w:val="16"/>
        </w:rPr>
      </w:pPr>
    </w:p>
    <w:p w14:paraId="256FE368" w14:textId="77777777" w:rsidR="00373CA1" w:rsidRPr="00507A31" w:rsidRDefault="00373CA1" w:rsidP="00507A31">
      <w:pPr>
        <w:jc w:val="both"/>
        <w:rPr>
          <w:color w:val="000000" w:themeColor="text1"/>
          <w:sz w:val="16"/>
          <w:szCs w:val="16"/>
        </w:rPr>
      </w:pPr>
      <w:r w:rsidRPr="00507A31">
        <w:rPr>
          <w:rStyle w:val="a7"/>
          <w:b w:val="0"/>
          <w:color w:val="000000" w:themeColor="text1"/>
          <w:sz w:val="16"/>
          <w:szCs w:val="16"/>
        </w:rPr>
        <w:t xml:space="preserve">20 октября 1930 </w:t>
      </w:r>
      <w:r w:rsidRPr="00507A31">
        <w:rPr>
          <w:color w:val="000000" w:themeColor="text1"/>
          <w:sz w:val="16"/>
          <w:szCs w:val="16"/>
        </w:rPr>
        <w:t>Политбюро ЦК ВКП (б) утвердило проект постановления ЦК ВКП (б) «О мероприятиях по плановому обеспечению народного хозяйства рабочей силой и борьбе с текучестью»; одобрило решение совещания заместителей председателя СНК и СТО о договоре на заказ оборудования для Магнитостроя с американской фирмой «Макки»; обратило внимание СНК на необходимость увеличить прирост промышленной продукции на особый квартал 1930 г. до 35-40% (12265).</w:t>
      </w:r>
    </w:p>
    <w:p w14:paraId="5073E220" w14:textId="77777777" w:rsidR="00373CA1" w:rsidRPr="00507A31" w:rsidRDefault="00373CA1" w:rsidP="00507A31">
      <w:pPr>
        <w:jc w:val="both"/>
        <w:rPr>
          <w:color w:val="000000" w:themeColor="text1"/>
          <w:sz w:val="16"/>
          <w:szCs w:val="16"/>
        </w:rPr>
      </w:pPr>
      <w:r w:rsidRPr="00507A31">
        <w:rPr>
          <w:color w:val="000000" w:themeColor="text1"/>
          <w:sz w:val="16"/>
          <w:szCs w:val="16"/>
        </w:rPr>
        <w:t> </w:t>
      </w:r>
    </w:p>
    <w:p w14:paraId="08B6BB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октября 1930 года Политбюро ЦК ВКП(б) предложило ОГПУ диверсионные группы Ромпартии арестовать немедленно. Была проявлена забота о Сталине, ему было предложено немедленно прекратить хождение пешком. Были предприняты меры по очистке Кремля от ряда живущих там не вполне надежных жильцов и др. (11248)</w:t>
      </w:r>
    </w:p>
    <w:p w14:paraId="65383146" w14:textId="77777777" w:rsidR="00537E5F" w:rsidRPr="00507A31" w:rsidRDefault="00537E5F" w:rsidP="00507A31">
      <w:pPr>
        <w:autoSpaceDE w:val="0"/>
        <w:autoSpaceDN w:val="0"/>
        <w:adjustRightInd w:val="0"/>
        <w:jc w:val="both"/>
        <w:rPr>
          <w:color w:val="000000" w:themeColor="text1"/>
          <w:sz w:val="16"/>
          <w:szCs w:val="16"/>
        </w:rPr>
      </w:pPr>
    </w:p>
    <w:p w14:paraId="37C7288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E6B155D" w14:textId="77777777" w:rsidR="00537E5F" w:rsidRPr="00507A31" w:rsidRDefault="00537E5F" w:rsidP="00507A31">
      <w:pPr>
        <w:autoSpaceDE w:val="0"/>
        <w:autoSpaceDN w:val="0"/>
        <w:adjustRightInd w:val="0"/>
        <w:jc w:val="both"/>
        <w:rPr>
          <w:iCs/>
          <w:color w:val="000000" w:themeColor="text1"/>
          <w:sz w:val="16"/>
          <w:szCs w:val="16"/>
        </w:rPr>
      </w:pPr>
    </w:p>
    <w:p w14:paraId="1D1F8BD2" w14:textId="77777777" w:rsidR="006908A4" w:rsidRPr="00507A31" w:rsidRDefault="006908A4" w:rsidP="00507A31">
      <w:pPr>
        <w:jc w:val="both"/>
        <w:rPr>
          <w:color w:val="000000" w:themeColor="text1"/>
          <w:sz w:val="16"/>
          <w:szCs w:val="16"/>
        </w:rPr>
      </w:pPr>
      <w:r w:rsidRPr="00507A31">
        <w:rPr>
          <w:color w:val="000000" w:themeColor="text1"/>
          <w:sz w:val="16"/>
          <w:szCs w:val="16"/>
        </w:rPr>
        <w:t>20 октября 1930 г.</w:t>
      </w:r>
    </w:p>
    <w:p w14:paraId="5E43B4A7" w14:textId="77777777" w:rsidR="006908A4" w:rsidRPr="00507A31" w:rsidRDefault="006908A4" w:rsidP="00507A31">
      <w:pPr>
        <w:jc w:val="both"/>
        <w:rPr>
          <w:color w:val="000000" w:themeColor="text1"/>
          <w:sz w:val="16"/>
          <w:szCs w:val="16"/>
        </w:rPr>
      </w:pPr>
      <w:r w:rsidRPr="00507A31">
        <w:rPr>
          <w:color w:val="000000" w:themeColor="text1"/>
          <w:sz w:val="16"/>
          <w:szCs w:val="16"/>
        </w:rPr>
        <w:t>Сопроводительное письмо № П961 о рассылке членам и кандидатам Политбюро и членам Президиума ЦКК ВКП(б) показаний «о террористической деятельности Промпартии». 20 октября 1930 г.</w:t>
      </w:r>
    </w:p>
    <w:p w14:paraId="667661CD" w14:textId="77777777" w:rsidR="006908A4" w:rsidRPr="00507A31" w:rsidRDefault="006908A4" w:rsidP="00507A31">
      <w:pPr>
        <w:jc w:val="both"/>
        <w:rPr>
          <w:color w:val="000000" w:themeColor="text1"/>
          <w:sz w:val="16"/>
          <w:szCs w:val="16"/>
        </w:rPr>
      </w:pPr>
      <w:r w:rsidRPr="00507A31">
        <w:rPr>
          <w:color w:val="000000" w:themeColor="text1"/>
          <w:sz w:val="16"/>
          <w:szCs w:val="16"/>
        </w:rPr>
        <w:t>Источник: </w:t>
      </w:r>
    </w:p>
    <w:p w14:paraId="6692EE54" w14:textId="77777777" w:rsidR="006908A4" w:rsidRPr="00507A31" w:rsidRDefault="006908A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CE0C32" w14:textId="77777777" w:rsidR="006908A4" w:rsidRPr="00507A31" w:rsidRDefault="006908A4" w:rsidP="00507A31">
      <w:pPr>
        <w:jc w:val="both"/>
        <w:rPr>
          <w:color w:val="000000" w:themeColor="text1"/>
          <w:sz w:val="16"/>
          <w:szCs w:val="16"/>
        </w:rPr>
      </w:pPr>
      <w:r w:rsidRPr="00507A31">
        <w:rPr>
          <w:color w:val="000000" w:themeColor="text1"/>
          <w:sz w:val="16"/>
          <w:szCs w:val="16"/>
        </w:rPr>
        <w:t>Архив: </w:t>
      </w:r>
    </w:p>
    <w:p w14:paraId="54B6A16C" w14:textId="77777777" w:rsidR="006908A4" w:rsidRPr="00507A31" w:rsidRDefault="006908A4" w:rsidP="00507A31">
      <w:pPr>
        <w:jc w:val="both"/>
        <w:rPr>
          <w:color w:val="000000" w:themeColor="text1"/>
          <w:sz w:val="16"/>
          <w:szCs w:val="16"/>
        </w:rPr>
      </w:pPr>
      <w:r w:rsidRPr="00507A31">
        <w:rPr>
          <w:color w:val="000000" w:themeColor="text1"/>
          <w:sz w:val="16"/>
          <w:szCs w:val="16"/>
        </w:rPr>
        <w:t>Д. 354. Л. 71. Машинописный отпуск на бланке ЦК ВКП(б). Номер документа (№ П961) и дата машинописью</w:t>
      </w:r>
    </w:p>
    <w:p w14:paraId="7D5B7C1B" w14:textId="77777777" w:rsidR="006908A4" w:rsidRPr="00507A31" w:rsidRDefault="006908A4" w:rsidP="00507A31">
      <w:pPr>
        <w:jc w:val="both"/>
        <w:rPr>
          <w:color w:val="000000" w:themeColor="text1"/>
          <w:sz w:val="16"/>
          <w:szCs w:val="16"/>
        </w:rPr>
      </w:pPr>
      <w:r w:rsidRPr="00507A31">
        <w:rPr>
          <w:color w:val="000000" w:themeColor="text1"/>
          <w:sz w:val="16"/>
          <w:szCs w:val="16"/>
        </w:rPr>
        <w:t>от 20 октября 1930 г.</w:t>
      </w:r>
    </w:p>
    <w:p w14:paraId="39B509C6" w14:textId="77777777" w:rsidR="006908A4" w:rsidRPr="00507A31" w:rsidRDefault="006908A4" w:rsidP="00507A31">
      <w:pPr>
        <w:jc w:val="both"/>
        <w:rPr>
          <w:color w:val="000000" w:themeColor="text1"/>
          <w:sz w:val="16"/>
          <w:szCs w:val="16"/>
        </w:rPr>
      </w:pPr>
      <w:r w:rsidRPr="00507A31">
        <w:rPr>
          <w:color w:val="000000" w:themeColor="text1"/>
          <w:sz w:val="16"/>
          <w:szCs w:val="16"/>
        </w:rPr>
        <w:t>СТРОГО СЕКРЕТНО</w:t>
      </w:r>
    </w:p>
    <w:p w14:paraId="7144D568" w14:textId="77777777" w:rsidR="006908A4" w:rsidRPr="00507A31" w:rsidRDefault="006908A4" w:rsidP="00507A31">
      <w:pPr>
        <w:jc w:val="both"/>
        <w:rPr>
          <w:color w:val="000000" w:themeColor="text1"/>
          <w:sz w:val="16"/>
          <w:szCs w:val="16"/>
        </w:rPr>
      </w:pPr>
      <w:r w:rsidRPr="00507A31">
        <w:rPr>
          <w:color w:val="000000" w:themeColor="text1"/>
          <w:sz w:val="16"/>
          <w:szCs w:val="16"/>
        </w:rPr>
        <w:t>ЧЛЕНАМ И КАНДИДАТАМ ПОЛИТБЮРО: т.т. Андрееву, Ворошилову, Кагановичу, Калинину, Кирову, Косиору Ст., Куйбышеву, Микояну, Молотову, Петровскому, Рудзутаку, Рют[ин]у, Сталину, Сырцову, Чубарю.</w:t>
      </w:r>
    </w:p>
    <w:p w14:paraId="78BBE6DF" w14:textId="77777777" w:rsidR="006908A4" w:rsidRPr="00507A31" w:rsidRDefault="006908A4" w:rsidP="00507A31">
      <w:pPr>
        <w:jc w:val="both"/>
        <w:rPr>
          <w:color w:val="000000" w:themeColor="text1"/>
          <w:sz w:val="16"/>
          <w:szCs w:val="16"/>
        </w:rPr>
      </w:pPr>
      <w:r w:rsidRPr="00507A31">
        <w:rPr>
          <w:color w:val="000000" w:themeColor="text1"/>
          <w:sz w:val="16"/>
          <w:szCs w:val="16"/>
        </w:rPr>
        <w:t>ЧЛЕНАМ ПРЕЗИДИУМА ЦКК: т.т. Акулову, Ильину, Орджоникидзе, Павлуновскому, Розенгольцу, Сольцу, Шкирятову, Янсону, Крестинскому.</w:t>
      </w:r>
    </w:p>
    <w:p w14:paraId="5B94EF06" w14:textId="77777777" w:rsidR="006908A4" w:rsidRPr="00507A31" w:rsidRDefault="006908A4" w:rsidP="00507A31">
      <w:pPr>
        <w:jc w:val="both"/>
        <w:rPr>
          <w:color w:val="000000" w:themeColor="text1"/>
          <w:sz w:val="16"/>
          <w:szCs w:val="16"/>
        </w:rPr>
      </w:pPr>
      <w:r w:rsidRPr="00507A31">
        <w:rPr>
          <w:color w:val="000000" w:themeColor="text1"/>
          <w:sz w:val="16"/>
          <w:szCs w:val="16"/>
        </w:rPr>
        <w:t>СЕКРЕТАРЯМ ЦК: т.т. Бауману, Постышеву.</w:t>
      </w:r>
    </w:p>
    <w:p w14:paraId="7BA29650" w14:textId="77777777" w:rsidR="006908A4" w:rsidRPr="00507A31" w:rsidRDefault="006908A4" w:rsidP="00507A31">
      <w:pPr>
        <w:jc w:val="both"/>
        <w:rPr>
          <w:color w:val="000000" w:themeColor="text1"/>
          <w:sz w:val="16"/>
          <w:szCs w:val="16"/>
        </w:rPr>
      </w:pPr>
      <w:r w:rsidRPr="00507A31">
        <w:rPr>
          <w:color w:val="000000" w:themeColor="text1"/>
          <w:sz w:val="16"/>
          <w:szCs w:val="16"/>
        </w:rPr>
        <w:t>По поручению тов. Сталина посылаются Вам для сведения показания Рамзина от 16.Х, Калинникова от 17.Х, Чарновского от 18.X и Смирнова от 16.Х.30 г. о террористической деятельности промпартии.</w:t>
      </w:r>
    </w:p>
    <w:p w14:paraId="276D72CD" w14:textId="77777777" w:rsidR="006908A4" w:rsidRPr="00507A31" w:rsidRDefault="006908A4" w:rsidP="00507A31">
      <w:pPr>
        <w:jc w:val="both"/>
        <w:rPr>
          <w:color w:val="000000" w:themeColor="text1"/>
          <w:sz w:val="16"/>
          <w:szCs w:val="16"/>
        </w:rPr>
      </w:pPr>
      <w:r w:rsidRPr="00507A31">
        <w:rPr>
          <w:color w:val="000000" w:themeColor="text1"/>
          <w:sz w:val="16"/>
          <w:szCs w:val="16"/>
        </w:rPr>
        <w:t>ПРИЛОЖЕНИЕ: экз. №___ на 14 листах</w:t>
      </w:r>
    </w:p>
    <w:p w14:paraId="2CD9E024" w14:textId="77777777" w:rsidR="006908A4" w:rsidRPr="00507A31" w:rsidRDefault="006908A4" w:rsidP="00507A31">
      <w:pPr>
        <w:jc w:val="both"/>
        <w:rPr>
          <w:color w:val="000000" w:themeColor="text1"/>
          <w:sz w:val="16"/>
          <w:szCs w:val="16"/>
        </w:rPr>
      </w:pPr>
      <w:r w:rsidRPr="00507A31">
        <w:rPr>
          <w:color w:val="000000" w:themeColor="text1"/>
          <w:sz w:val="16"/>
          <w:szCs w:val="16"/>
        </w:rPr>
        <w:t>ЗАМ. ЗАВ. СО ЦК (Двинский) (18469).</w:t>
      </w:r>
    </w:p>
    <w:p w14:paraId="3D788B5D" w14:textId="77777777" w:rsidR="006908A4" w:rsidRPr="00507A31" w:rsidRDefault="006908A4" w:rsidP="00507A31">
      <w:pPr>
        <w:jc w:val="both"/>
        <w:rPr>
          <w:color w:val="000000" w:themeColor="text1"/>
          <w:sz w:val="16"/>
          <w:szCs w:val="16"/>
        </w:rPr>
      </w:pPr>
    </w:p>
    <w:p w14:paraId="548730CC" w14:textId="77777777" w:rsidR="006908A4" w:rsidRPr="00507A31" w:rsidRDefault="006908A4" w:rsidP="00507A31">
      <w:pPr>
        <w:jc w:val="both"/>
        <w:rPr>
          <w:color w:val="000000" w:themeColor="text1"/>
          <w:sz w:val="16"/>
          <w:szCs w:val="16"/>
        </w:rPr>
      </w:pPr>
      <w:r w:rsidRPr="00507A31">
        <w:rPr>
          <w:color w:val="000000" w:themeColor="text1"/>
          <w:sz w:val="16"/>
          <w:szCs w:val="16"/>
        </w:rPr>
        <w:t>20 октября 1930 г.</w:t>
      </w:r>
    </w:p>
    <w:p w14:paraId="6167DCEC" w14:textId="77777777" w:rsidR="006908A4" w:rsidRPr="00507A31" w:rsidRDefault="006908A4" w:rsidP="00507A31">
      <w:pPr>
        <w:jc w:val="both"/>
        <w:rPr>
          <w:color w:val="000000" w:themeColor="text1"/>
          <w:sz w:val="16"/>
          <w:szCs w:val="16"/>
        </w:rPr>
      </w:pPr>
      <w:r w:rsidRPr="00507A31">
        <w:rPr>
          <w:color w:val="000000" w:themeColor="text1"/>
          <w:sz w:val="16"/>
          <w:szCs w:val="16"/>
        </w:rPr>
        <w:t>Показания Л. К. Рамзина «о террористической деятельности Промпартии». Приложение к сопроводительному письму № П961 о рассылке материалов следствия. 20 октября 1930 г.</w:t>
      </w:r>
    </w:p>
    <w:p w14:paraId="68932944" w14:textId="77777777" w:rsidR="006908A4" w:rsidRPr="00507A31" w:rsidRDefault="006908A4" w:rsidP="00507A31">
      <w:pPr>
        <w:jc w:val="both"/>
        <w:rPr>
          <w:color w:val="000000" w:themeColor="text1"/>
          <w:sz w:val="16"/>
          <w:szCs w:val="16"/>
        </w:rPr>
      </w:pPr>
      <w:r w:rsidRPr="00507A31">
        <w:rPr>
          <w:color w:val="000000" w:themeColor="text1"/>
          <w:sz w:val="16"/>
          <w:szCs w:val="16"/>
        </w:rPr>
        <w:t>Источник: </w:t>
      </w:r>
    </w:p>
    <w:p w14:paraId="70A3063E" w14:textId="77777777" w:rsidR="006908A4" w:rsidRPr="00507A31" w:rsidRDefault="006908A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93371FC" w14:textId="77777777" w:rsidR="006908A4" w:rsidRPr="00507A31" w:rsidRDefault="006908A4" w:rsidP="00507A31">
      <w:pPr>
        <w:jc w:val="both"/>
        <w:rPr>
          <w:color w:val="000000" w:themeColor="text1"/>
          <w:sz w:val="16"/>
          <w:szCs w:val="16"/>
        </w:rPr>
      </w:pPr>
      <w:r w:rsidRPr="00507A31">
        <w:rPr>
          <w:color w:val="000000" w:themeColor="text1"/>
          <w:sz w:val="16"/>
          <w:szCs w:val="16"/>
        </w:rPr>
        <w:t>Архив: </w:t>
      </w:r>
    </w:p>
    <w:p w14:paraId="05A894F6" w14:textId="77777777" w:rsidR="006908A4" w:rsidRPr="00507A31" w:rsidRDefault="006908A4" w:rsidP="00507A31">
      <w:pPr>
        <w:jc w:val="both"/>
        <w:rPr>
          <w:color w:val="000000" w:themeColor="text1"/>
          <w:sz w:val="16"/>
          <w:szCs w:val="16"/>
        </w:rPr>
      </w:pPr>
      <w:r w:rsidRPr="00507A31">
        <w:rPr>
          <w:color w:val="000000" w:themeColor="text1"/>
          <w:sz w:val="16"/>
          <w:szCs w:val="16"/>
        </w:rPr>
        <w:t>Д. 354. Л. 72 — 77. Заверенная машинописная копия того времени</w:t>
      </w:r>
    </w:p>
    <w:p w14:paraId="2F674EA0" w14:textId="77777777" w:rsidR="006908A4" w:rsidRPr="00507A31" w:rsidRDefault="006908A4" w:rsidP="00507A31">
      <w:pPr>
        <w:jc w:val="both"/>
        <w:rPr>
          <w:color w:val="000000" w:themeColor="text1"/>
          <w:sz w:val="16"/>
          <w:szCs w:val="16"/>
        </w:rPr>
      </w:pPr>
      <w:r w:rsidRPr="00507A31">
        <w:rPr>
          <w:color w:val="000000" w:themeColor="text1"/>
          <w:sz w:val="16"/>
          <w:szCs w:val="16"/>
        </w:rPr>
        <w:t>от 20 октября 1930 г.</w:t>
      </w:r>
    </w:p>
    <w:p w14:paraId="29401EE0" w14:textId="77777777" w:rsidR="006908A4" w:rsidRPr="00507A31" w:rsidRDefault="006908A4" w:rsidP="00507A31">
      <w:pPr>
        <w:jc w:val="both"/>
        <w:rPr>
          <w:color w:val="000000" w:themeColor="text1"/>
          <w:sz w:val="16"/>
          <w:szCs w:val="16"/>
        </w:rPr>
      </w:pPr>
      <w:r w:rsidRPr="00507A31">
        <w:rPr>
          <w:color w:val="000000" w:themeColor="text1"/>
          <w:sz w:val="16"/>
          <w:szCs w:val="16"/>
        </w:rPr>
        <w:t>СТРОГО СЕКРЕТНО</w:t>
      </w:r>
    </w:p>
    <w:p w14:paraId="1BED4D8C" w14:textId="77777777" w:rsidR="006908A4" w:rsidRPr="00507A31" w:rsidRDefault="006908A4" w:rsidP="00507A31">
      <w:pPr>
        <w:jc w:val="both"/>
        <w:rPr>
          <w:color w:val="000000" w:themeColor="text1"/>
          <w:sz w:val="16"/>
          <w:szCs w:val="16"/>
        </w:rPr>
      </w:pPr>
      <w:r w:rsidRPr="00507A31">
        <w:rPr>
          <w:color w:val="000000" w:themeColor="text1"/>
          <w:sz w:val="16"/>
          <w:szCs w:val="16"/>
        </w:rPr>
        <w:t>ПРОТОКОЛ ДОПРОСА</w:t>
      </w:r>
    </w:p>
    <w:p w14:paraId="79C4A2FC" w14:textId="77777777" w:rsidR="006908A4" w:rsidRPr="00507A31" w:rsidRDefault="006908A4" w:rsidP="00507A31">
      <w:pPr>
        <w:jc w:val="both"/>
        <w:rPr>
          <w:color w:val="000000" w:themeColor="text1"/>
          <w:sz w:val="16"/>
          <w:szCs w:val="16"/>
        </w:rPr>
      </w:pPr>
      <w:r w:rsidRPr="00507A31">
        <w:rPr>
          <w:color w:val="000000" w:themeColor="text1"/>
          <w:sz w:val="16"/>
          <w:szCs w:val="16"/>
        </w:rPr>
        <w:t>проф. Л. К. РАМЗИНА — 16 октября 1930 г.</w:t>
      </w:r>
    </w:p>
    <w:p w14:paraId="07ADA76B" w14:textId="77777777" w:rsidR="006908A4" w:rsidRPr="00507A31" w:rsidRDefault="006908A4" w:rsidP="00507A31">
      <w:pPr>
        <w:jc w:val="both"/>
        <w:rPr>
          <w:color w:val="000000" w:themeColor="text1"/>
          <w:sz w:val="16"/>
          <w:szCs w:val="16"/>
        </w:rPr>
      </w:pPr>
      <w:r w:rsidRPr="00507A31">
        <w:rPr>
          <w:color w:val="000000" w:themeColor="text1"/>
          <w:sz w:val="16"/>
          <w:szCs w:val="16"/>
        </w:rPr>
        <w:t>Допросили: ПОМ. НАЧ. СОУ ОГПУ АГРАНОВ</w:t>
      </w:r>
    </w:p>
    <w:p w14:paraId="2BFC6FBE" w14:textId="77777777" w:rsidR="006908A4" w:rsidRPr="00507A31" w:rsidRDefault="006908A4" w:rsidP="00507A31">
      <w:pPr>
        <w:jc w:val="both"/>
        <w:rPr>
          <w:color w:val="000000" w:themeColor="text1"/>
          <w:sz w:val="16"/>
          <w:szCs w:val="16"/>
        </w:rPr>
      </w:pPr>
      <w:r w:rsidRPr="00507A31">
        <w:rPr>
          <w:color w:val="000000" w:themeColor="text1"/>
          <w:sz w:val="16"/>
          <w:szCs w:val="16"/>
        </w:rPr>
        <w:t>ПОМ. НАЧ. 3 ОТДЕЛЕНИЯ] СО РАДЗИВИЛОВСКИЙ</w:t>
      </w:r>
    </w:p>
    <w:p w14:paraId="0E578486" w14:textId="77777777" w:rsidR="006908A4" w:rsidRPr="00507A31" w:rsidRDefault="006908A4" w:rsidP="00507A31">
      <w:pPr>
        <w:jc w:val="both"/>
        <w:rPr>
          <w:color w:val="000000" w:themeColor="text1"/>
          <w:sz w:val="16"/>
          <w:szCs w:val="16"/>
        </w:rPr>
      </w:pPr>
      <w:r w:rsidRPr="00507A31">
        <w:rPr>
          <w:color w:val="000000" w:themeColor="text1"/>
          <w:sz w:val="16"/>
          <w:szCs w:val="16"/>
        </w:rPr>
        <w:t>Террористическая деятельность Промпартии.</w:t>
      </w:r>
    </w:p>
    <w:p w14:paraId="4E83BA82" w14:textId="77777777" w:rsidR="006908A4" w:rsidRPr="00507A31" w:rsidRDefault="006908A4" w:rsidP="00507A31">
      <w:pPr>
        <w:jc w:val="both"/>
        <w:rPr>
          <w:color w:val="000000" w:themeColor="text1"/>
          <w:sz w:val="16"/>
          <w:szCs w:val="16"/>
        </w:rPr>
      </w:pPr>
      <w:r w:rsidRPr="00507A31">
        <w:rPr>
          <w:color w:val="000000" w:themeColor="text1"/>
          <w:sz w:val="16"/>
          <w:szCs w:val="16"/>
        </w:rPr>
        <w:t>В конце мая или начале июня с. г. в Госплане в кабинете КАЛИННИКОВА состоялось экстренное заседание ЦК Промпартии в составе: КАЛИННИКОВ, РАМЗИИ, ОСАДЧИЙ, ЧАРНОВСКИЙ и ШЕИН. В связи с предстоящим XVI съездом ВКП(б), на котором должна была по предположениям ЦК Промпартии быть решена ожесточенная борьба между генеральной линией ВКП(б) и правой оппозицией, мною был поставлен вопрос об активном вмешательстве Промпартии в эту борьбу с целью обеспечения победы правых коммунистов. Из общего знакомства с положением и соотношением сил внутри ВКП(б) на основании разговоров членов ЦК Промпартии с лидерами правой оппозиции ЦК Промпартии было ясно, что главной силой, препятствующей победе правых, являлся т. СТАЛИН, и что поэтому устранение т. СТАЛИНА путем террористического акта почти целиком обеспечит победу правой оппозиции. Изложив эти соображения, подтвержденные ОСАДЧИМ, КАЛИННИКОВЫМ и ШЕИНЫМ, на основании их близкого знакомства с руководящими партийными кругами ВКП(б), я далее указал, что после убийства т. СТАЛИНА и несомненной тогда победы правой оппозиции даже в случае обнаружения активного участия Промпартии в выполнении этого теракта, положение инженерства резко изменится к лучшему, ибо многие сотни инженеров, томящихся в тюрьмах и ссылках[,] будут возвращены к жизни и к работе, а тысячи инженеров, ежедневно дрожащих за свою судьбу, в ожидании арестов и репрессий вздохнут свободно. К этому ОСАДЧИЙ и ШЕИН добавили, что они считают такую оценку правильной, ибо правые будут считать себя, хотя бы косвенно, моральными соучастниками террористического акта. КАЛИННИКОВ и ЧАРНОВСКИЙ, однако, считали, что пока окончательно закрепится победа правых[,] пройдет известное время, а в этот период ОГПУ успеет провести массовый красный террор, а поэтому необходимо одновременно разрушить головку ОГПУ, устранив путем теракта т. МЕНЖИНСКОГО и т. ЯГОДУ. К этому присоединились я и другие участники совещания, добавив, что т. МЕНЖИНСКИЙ и т. ЯГОДА, являясь одними из наиболее сильных защитников т. СТАЛИНА и генеральной линии ВКП(б), опираясь на мощный аппарат ОГПУ, как на реальную силу, не подчинятся правым, продолжат борьбу против них и вырвут у них из рук победу. Вместе с этим высказывались соображения, что и Красная армия, как реальная физическая сила может быть направлена против правых коммунистов, кроме того крупной силой в рядах центра ВКП(б) остается т. КУЙБЫШЕВ. Поэтому желательно произвести и теракты против т. ВОРОШИЛОВА и т. КУЙБЫШЕВА, если хватит сил у боевой организации Промпартии.</w:t>
      </w:r>
    </w:p>
    <w:p w14:paraId="2E96DF0D" w14:textId="77777777" w:rsidR="006908A4" w:rsidRPr="00507A31" w:rsidRDefault="006908A4" w:rsidP="00507A31">
      <w:pPr>
        <w:jc w:val="both"/>
        <w:rPr>
          <w:color w:val="000000" w:themeColor="text1"/>
          <w:sz w:val="16"/>
          <w:szCs w:val="16"/>
        </w:rPr>
      </w:pPr>
      <w:r w:rsidRPr="00507A31">
        <w:rPr>
          <w:color w:val="000000" w:themeColor="text1"/>
          <w:sz w:val="16"/>
          <w:szCs w:val="16"/>
        </w:rPr>
        <w:t>При голосовании в конце заседания все единогласно приняли следующее решение[:]</w:t>
      </w:r>
    </w:p>
    <w:p w14:paraId="6CF7B6AF" w14:textId="77777777" w:rsidR="006908A4" w:rsidRPr="00507A31" w:rsidRDefault="006908A4" w:rsidP="00507A31">
      <w:pPr>
        <w:jc w:val="both"/>
        <w:rPr>
          <w:color w:val="000000" w:themeColor="text1"/>
          <w:sz w:val="16"/>
          <w:szCs w:val="16"/>
        </w:rPr>
      </w:pPr>
      <w:r w:rsidRPr="00507A31">
        <w:rPr>
          <w:color w:val="000000" w:themeColor="text1"/>
          <w:sz w:val="16"/>
          <w:szCs w:val="16"/>
        </w:rPr>
        <w:t>1.  Поручить боевой организации Промпартии в лице ее начальника инж. С. А. ПРЕДТЕЧЕНСКОГО произвести по возможности одновременно теракты против т. СТАЛИНА, т. МЕНЖИНСКОГО и т. ЯГОДЫ, приурочив их к началу XVI съезда ВКП(б).</w:t>
      </w:r>
    </w:p>
    <w:p w14:paraId="762843EB" w14:textId="77777777" w:rsidR="006908A4" w:rsidRPr="00507A31" w:rsidRDefault="006908A4" w:rsidP="00507A31">
      <w:pPr>
        <w:jc w:val="both"/>
        <w:rPr>
          <w:color w:val="000000" w:themeColor="text1"/>
          <w:sz w:val="16"/>
          <w:szCs w:val="16"/>
        </w:rPr>
      </w:pPr>
      <w:r w:rsidRPr="00507A31">
        <w:rPr>
          <w:color w:val="000000" w:themeColor="text1"/>
          <w:sz w:val="16"/>
          <w:szCs w:val="16"/>
        </w:rPr>
        <w:t>2.  Если боевая организация Промпартии будет обладать достаточными силами, то в то же время совершить теракты против т. ВОРОШИЛОВА и т. КУЙБЫШЕВА.</w:t>
      </w:r>
    </w:p>
    <w:p w14:paraId="01C28164" w14:textId="77777777" w:rsidR="006908A4" w:rsidRPr="00507A31" w:rsidRDefault="006908A4" w:rsidP="00507A31">
      <w:pPr>
        <w:jc w:val="both"/>
        <w:rPr>
          <w:color w:val="000000" w:themeColor="text1"/>
          <w:sz w:val="16"/>
          <w:szCs w:val="16"/>
        </w:rPr>
      </w:pPr>
      <w:r w:rsidRPr="00507A31">
        <w:rPr>
          <w:color w:val="000000" w:themeColor="text1"/>
          <w:sz w:val="16"/>
          <w:szCs w:val="16"/>
        </w:rPr>
        <w:t>3.  Поручить РАМЗИНУ связаться с боевой организацией Промпартии, передать ей решение ЦК Промпартии для исполнения.</w:t>
      </w:r>
    </w:p>
    <w:p w14:paraId="1DEA85EA" w14:textId="77777777" w:rsidR="006908A4" w:rsidRPr="00507A31" w:rsidRDefault="006908A4" w:rsidP="00507A31">
      <w:pPr>
        <w:jc w:val="both"/>
        <w:rPr>
          <w:color w:val="000000" w:themeColor="text1"/>
          <w:sz w:val="16"/>
          <w:szCs w:val="16"/>
        </w:rPr>
      </w:pPr>
      <w:r w:rsidRPr="00507A31">
        <w:rPr>
          <w:color w:val="000000" w:themeColor="text1"/>
          <w:sz w:val="16"/>
          <w:szCs w:val="16"/>
        </w:rPr>
        <w:lastRenderedPageBreak/>
        <w:t>Несмотря на всю тяжесть своего чудовищного преступления и мою неизгладимую вину, разоружаясь до конца, я считаю своим долгом заявить, что, будучи активным врагом советской власти, я был инициатором и идейным руководителем этого преступления, почему вся тяжесть ответственности за него должна пасть на меня.</w:t>
      </w:r>
    </w:p>
    <w:p w14:paraId="49201868" w14:textId="77777777" w:rsidR="006908A4" w:rsidRPr="00507A31" w:rsidRDefault="006908A4" w:rsidP="00507A31">
      <w:pPr>
        <w:jc w:val="both"/>
        <w:rPr>
          <w:color w:val="000000" w:themeColor="text1"/>
          <w:sz w:val="16"/>
          <w:szCs w:val="16"/>
        </w:rPr>
      </w:pPr>
      <w:r w:rsidRPr="00507A31">
        <w:rPr>
          <w:color w:val="000000" w:themeColor="text1"/>
          <w:sz w:val="16"/>
          <w:szCs w:val="16"/>
        </w:rPr>
        <w:t>Во исполнение указанного решения ЦК Промпартии я собрал у себя в служебном кабинете Теплотехнического Института в начале июня С. А. ПРЕДТЕЧЕНСКОГО, как начальника Б[оевой] Организации], а также Е. Ф. ЕВРЕИНОВА и Н. А. ДАВИДОВА, как руководителей двух московских групп боевой организации. Сообщил им о решении ЦК Промпартии, которое все беспрекословно приняли, я поставил на обсуждение вопрос о возможностях Б[оевой] Организации] в смысле количества терактов, которые она в состоянии выполнить, и о способах их выполнения. На этом совещании было установлено, что выполнение наиболее важного теракта против т. СТАЛИНА поручается основной группе ЕВРЕИНОВА в лице С. М. СМИРНОВА, О. И. ДЫДЗИНСКОГО, ПРАСОЛОВА и др. Выполнение теракта против т. ЯГОДЫ и т. МЕНЖИНСКОГО — группе Н. А. ДАВИДОВА, при этом теракт против т. ЯГОДЫ возлагался на подгруппу КОЗЛИНСКОГО под руководством последнего (Козлинский, Мороз, Липпе и др.), а против т. МЕНЖИНСКОГО — подгруппе Машинной Лаборатории — Н. А. ДАВИДОВ, РУБИНШТЕЙН, ЩЕГЛЯЕВ и др., под руководством Н. А. ДАВИДОВА. Численность каждой из трех групп намечена ок[оло] 4 человек, причем общее руководство должно было осуществляться С. А. ПРЕДТЕЧЕНСКИМ, который должен был окончательно установить с ЕВРЕИНОВЫМ и ДАВИДОВЫМ персональный состав отдельных групп и их подкрепление из актива Б[оевой] Организации].</w:t>
      </w:r>
    </w:p>
    <w:p w14:paraId="6F5539AD" w14:textId="77777777" w:rsidR="006908A4" w:rsidRPr="00507A31" w:rsidRDefault="006908A4" w:rsidP="00507A31">
      <w:pPr>
        <w:jc w:val="both"/>
        <w:rPr>
          <w:color w:val="000000" w:themeColor="text1"/>
          <w:sz w:val="16"/>
          <w:szCs w:val="16"/>
        </w:rPr>
      </w:pPr>
      <w:r w:rsidRPr="00507A31">
        <w:rPr>
          <w:color w:val="000000" w:themeColor="text1"/>
          <w:sz w:val="16"/>
          <w:szCs w:val="16"/>
        </w:rPr>
        <w:t>Что касается возможности организации остальных двух терактов, против т. ВОРОШИЛОВА и т. КУЙБЫШЕВА, то все участники совещания выражали сомнение в их осуществимости за такой короткий срок.</w:t>
      </w:r>
    </w:p>
    <w:p w14:paraId="33929144" w14:textId="77777777" w:rsidR="006908A4" w:rsidRPr="00507A31" w:rsidRDefault="006908A4" w:rsidP="00507A31">
      <w:pPr>
        <w:jc w:val="both"/>
        <w:rPr>
          <w:color w:val="000000" w:themeColor="text1"/>
          <w:sz w:val="16"/>
          <w:szCs w:val="16"/>
        </w:rPr>
      </w:pPr>
      <w:r w:rsidRPr="00507A31">
        <w:rPr>
          <w:color w:val="000000" w:themeColor="text1"/>
          <w:sz w:val="16"/>
          <w:szCs w:val="16"/>
        </w:rPr>
        <w:t>Тем не менее, С. А. ПРЕДТЕЧЕНСКИЙ указал, что можно попытаться сорганизовать еще две группы, поручив ЕВРЕИНОВУ использовать находящиеся под его руководством группы быв. Строительно-Монтажного Бюро (Ревокатов)[,] быв. Тепло и Сила (Доллежаль) и МОГЭСа (Ветчинкин), а Н. А. ДАВИДОВУ — группу МВТУ и А. А. НАДЕЖИНА. Окончательное решение по этому вопросу, после его выяснения[,] должен был принять С. А. ПРЕДТЕЧЕНСКИЙ.</w:t>
      </w:r>
    </w:p>
    <w:p w14:paraId="18DBBB71" w14:textId="77777777" w:rsidR="006908A4" w:rsidRPr="00507A31" w:rsidRDefault="006908A4" w:rsidP="00507A31">
      <w:pPr>
        <w:jc w:val="both"/>
        <w:rPr>
          <w:color w:val="000000" w:themeColor="text1"/>
          <w:sz w:val="16"/>
          <w:szCs w:val="16"/>
        </w:rPr>
      </w:pPr>
      <w:r w:rsidRPr="00507A31">
        <w:rPr>
          <w:color w:val="000000" w:themeColor="text1"/>
          <w:sz w:val="16"/>
          <w:szCs w:val="16"/>
        </w:rPr>
        <w:t>По вопросу об оружии было решено применить бомбы, вооружив членов боевых дружин револьверами для самозащиты и в качестве запасного оружия. Заготовку и получение оружия брал на себя С. А. ПРЕДТЕЧЕНСКИЙ совместно с Е. Ф. ЕВРЕИНОВЫМ и Н. А. ДАВИДОВЫМ.</w:t>
      </w:r>
    </w:p>
    <w:p w14:paraId="40B29A71" w14:textId="77777777" w:rsidR="006908A4" w:rsidRPr="00507A31" w:rsidRDefault="006908A4" w:rsidP="00507A31">
      <w:pPr>
        <w:jc w:val="both"/>
        <w:rPr>
          <w:color w:val="000000" w:themeColor="text1"/>
          <w:sz w:val="16"/>
          <w:szCs w:val="16"/>
        </w:rPr>
      </w:pPr>
      <w:r w:rsidRPr="00507A31">
        <w:rPr>
          <w:color w:val="000000" w:themeColor="text1"/>
          <w:sz w:val="16"/>
          <w:szCs w:val="16"/>
        </w:rPr>
        <w:t>Для подготовки к терактам члены боевых групп должны были начать наблюдение за т. СТАЛИНЫМ, т. МЕНЖИНСКИМ и т. ЯГОДОЙ, а в случае организации еще дополнительных двух групп и за т. ВОРОШИЛОВЫМ и т. КУЙБЫШЕВЫМ.</w:t>
      </w:r>
    </w:p>
    <w:p w14:paraId="1EDBCA54" w14:textId="77777777" w:rsidR="006908A4" w:rsidRPr="00507A31" w:rsidRDefault="006908A4" w:rsidP="00507A31">
      <w:pPr>
        <w:jc w:val="both"/>
        <w:rPr>
          <w:color w:val="000000" w:themeColor="text1"/>
          <w:sz w:val="16"/>
          <w:szCs w:val="16"/>
        </w:rPr>
      </w:pPr>
      <w:r w:rsidRPr="00507A31">
        <w:rPr>
          <w:color w:val="000000" w:themeColor="text1"/>
          <w:sz w:val="16"/>
          <w:szCs w:val="16"/>
        </w:rPr>
        <w:t>Сигнал к боевым действиям, в виду моего отъезда заграницу, должен был дать С. А. ПРЕДТЕЧЕНСКИЙ, через ЕВРЕИНОВА и ДАВИДОВА.</w:t>
      </w:r>
    </w:p>
    <w:p w14:paraId="70EDB3DB" w14:textId="77777777" w:rsidR="006908A4" w:rsidRPr="00507A31" w:rsidRDefault="006908A4" w:rsidP="00507A31">
      <w:pPr>
        <w:jc w:val="both"/>
        <w:rPr>
          <w:color w:val="000000" w:themeColor="text1"/>
          <w:sz w:val="16"/>
          <w:szCs w:val="16"/>
        </w:rPr>
      </w:pPr>
      <w:r w:rsidRPr="00507A31">
        <w:rPr>
          <w:color w:val="000000" w:themeColor="text1"/>
          <w:sz w:val="16"/>
          <w:szCs w:val="16"/>
        </w:rPr>
        <w:t>12-го июня я уехал заграницу в Берлин, оставив все руководство терактами на С. А. ПРЕДТЕЧЕНСКОМ, помощниками коего и самостоятельными руководителями групп являлись Е. Ф. ЕВРЕИНОВ и Н. А. ДАВИДОВ.</w:t>
      </w:r>
    </w:p>
    <w:p w14:paraId="6A19D35D" w14:textId="77777777" w:rsidR="006908A4" w:rsidRPr="00507A31" w:rsidRDefault="006908A4" w:rsidP="00507A31">
      <w:pPr>
        <w:jc w:val="both"/>
        <w:rPr>
          <w:color w:val="000000" w:themeColor="text1"/>
          <w:sz w:val="16"/>
          <w:szCs w:val="16"/>
        </w:rPr>
      </w:pPr>
      <w:r w:rsidRPr="00507A31">
        <w:rPr>
          <w:color w:val="000000" w:themeColor="text1"/>
          <w:sz w:val="16"/>
          <w:szCs w:val="16"/>
        </w:rPr>
        <w:t>Во время моего пребывания в Берлине у меня возникли большие сомнения в целесообразности начатого предприятия, ибо устранение даже пяти крупнейших представителей ВКП(б) не обеспечивало бы еще победы правых, при несомненном риске террора против Промпартии и инженеров вообще. После разговоров с А. А. ЦЕНКЕРОМ, ЯСИНСКИМ и другими в Берлине я пришел к убеждению, что такую решительную меру, как террористические акты, можно было бы рискнуть применить лишь в решающий момент борьбы — в момент самого контр-революционного переворота, т. е. вооруженного восстания или интервенции. Придя к такому решению я, незакончив своих дел в Берлине, срочно выехал в Москву, чтобы приостановить намеченные теракты. Я приехал в Москву 29-го июня, на второй день съезда ВКП(б) и связался с С. А. ПРЕДТЕЧЕНСКИМ и Е. Ф. ЕВРЕИНОВЫМ и предложил им собственной властью, но сославшись на решение ЦК, немедленно отменить теракты и приостановить их подготовку.</w:t>
      </w:r>
    </w:p>
    <w:p w14:paraId="7BCE8BE5" w14:textId="77777777" w:rsidR="006908A4" w:rsidRPr="00507A31" w:rsidRDefault="006908A4" w:rsidP="00507A31">
      <w:pPr>
        <w:jc w:val="both"/>
        <w:rPr>
          <w:color w:val="000000" w:themeColor="text1"/>
          <w:sz w:val="16"/>
          <w:szCs w:val="16"/>
        </w:rPr>
      </w:pPr>
      <w:r w:rsidRPr="00507A31">
        <w:rPr>
          <w:color w:val="000000" w:themeColor="text1"/>
          <w:sz w:val="16"/>
          <w:szCs w:val="16"/>
        </w:rPr>
        <w:t>Из сообщения С. А. ПРЕДТЕЧЕНСКОГО я узнал, что им были организованы три группы — против т. СТАЛИНА, т. ЯГОДЫ и т. МЕНЖИНСКОГО; пытались организовать еще две группы, но эта работа осталась еще не законченной; что на руках у членов тергрупп оружия не имеется, ибо они должны его иметь лишь в день выполнения теракта.</w:t>
      </w:r>
    </w:p>
    <w:p w14:paraId="3DD9CCB9" w14:textId="77777777" w:rsidR="006908A4" w:rsidRPr="00507A31" w:rsidRDefault="006908A4" w:rsidP="00507A31">
      <w:pPr>
        <w:jc w:val="both"/>
        <w:rPr>
          <w:color w:val="000000" w:themeColor="text1"/>
          <w:sz w:val="16"/>
          <w:szCs w:val="16"/>
        </w:rPr>
      </w:pPr>
      <w:r w:rsidRPr="00507A31">
        <w:rPr>
          <w:color w:val="000000" w:themeColor="text1"/>
          <w:sz w:val="16"/>
          <w:szCs w:val="16"/>
        </w:rPr>
        <w:t>Относительно действий членов террористических групп я получил противоречивые сообщения. В то время как С. А. ПРЕДТЕЧЕНСКИЙ и ЕВРЕИНОВ говорили мне, что шло лишь наблюдение без выдачи оружия на руки, КОЗЛИНСКИЙ сообщил мне, что оружие было у них на руках и теракты не были приведены в исполнение только благодаря случайным причинам.</w:t>
      </w:r>
    </w:p>
    <w:p w14:paraId="678FAAD9" w14:textId="77777777" w:rsidR="006908A4" w:rsidRPr="00507A31" w:rsidRDefault="006908A4" w:rsidP="00507A31">
      <w:pPr>
        <w:jc w:val="both"/>
        <w:rPr>
          <w:color w:val="000000" w:themeColor="text1"/>
          <w:sz w:val="16"/>
          <w:szCs w:val="16"/>
        </w:rPr>
      </w:pPr>
      <w:r w:rsidRPr="00507A31">
        <w:rPr>
          <w:color w:val="000000" w:themeColor="text1"/>
          <w:sz w:val="16"/>
          <w:szCs w:val="16"/>
        </w:rPr>
        <w:t>Откуда, в каком количестве и какое оружие приготовил С. А. ПРЕДТЕЧЕНСКИЙ или его помощники — я не знаю. Не имею также сведения о том, куда оружие было ими сдано или спрятано.</w:t>
      </w:r>
    </w:p>
    <w:p w14:paraId="0D9A3847" w14:textId="77777777" w:rsidR="006908A4" w:rsidRPr="00507A31" w:rsidRDefault="006908A4" w:rsidP="00507A31">
      <w:pPr>
        <w:jc w:val="both"/>
        <w:rPr>
          <w:color w:val="000000" w:themeColor="text1"/>
          <w:sz w:val="16"/>
          <w:szCs w:val="16"/>
        </w:rPr>
      </w:pPr>
      <w:r w:rsidRPr="00507A31">
        <w:rPr>
          <w:color w:val="000000" w:themeColor="text1"/>
          <w:sz w:val="16"/>
          <w:szCs w:val="16"/>
        </w:rPr>
        <w:t>Позже я сообщил членам ЦК КАЛИННИКОВУ и ЧАРНОВСКОМУ об отмене террористических актов с просьбой передать об этом ОСАДЧЕМУ и ШЕИНУ.</w:t>
      </w:r>
    </w:p>
    <w:p w14:paraId="706DAF6A" w14:textId="77777777" w:rsidR="006908A4" w:rsidRPr="00507A31" w:rsidRDefault="006908A4" w:rsidP="00507A31">
      <w:pPr>
        <w:jc w:val="both"/>
        <w:rPr>
          <w:color w:val="000000" w:themeColor="text1"/>
          <w:sz w:val="16"/>
          <w:szCs w:val="16"/>
        </w:rPr>
      </w:pPr>
      <w:r w:rsidRPr="00507A31">
        <w:rPr>
          <w:color w:val="000000" w:themeColor="text1"/>
          <w:sz w:val="16"/>
          <w:szCs w:val="16"/>
        </w:rPr>
        <w:t>Сущность моих разговоров в Берлине сводилась к следующему. Когда я сообщил раздельно А. А. ЦЕНКЕРУ и проф. В. И. ЯСИНСКОМУ (представитель Промпартии в Берлине) о подготовляющихся терактах с предупреждением хранить эти сведения в глубочайшей тайне, то оба совершенно самостоятельно, не зная мнения один другого[,] выдвинули мне почти одинаковые и весьма решительные возражения. По их мнению, решение относительно терактов принято членами ЦК в порыве отчаяния, под влиянием понятной им тяжести обстановки; это решение совершенно нецелесообразно, ибо неизбежно приведет даже в случае удачи к красному террору и к полному уничтожению инженерства и интеллигенции в СССР; что на такой шаг можно было бы рискнуть лишь в момент интервенции, к концу ее, когда теракты смогут склонить победу на сторону интервентов, а быстрое завершение последней — предотвратить опасность красного террора.</w:t>
      </w:r>
    </w:p>
    <w:p w14:paraId="3AEF7B7B" w14:textId="77777777" w:rsidR="006908A4" w:rsidRPr="00507A31" w:rsidRDefault="006908A4" w:rsidP="00507A31">
      <w:pPr>
        <w:jc w:val="both"/>
        <w:rPr>
          <w:color w:val="000000" w:themeColor="text1"/>
          <w:sz w:val="16"/>
          <w:szCs w:val="16"/>
        </w:rPr>
      </w:pPr>
      <w:r w:rsidRPr="00507A31">
        <w:rPr>
          <w:color w:val="000000" w:themeColor="text1"/>
          <w:sz w:val="16"/>
          <w:szCs w:val="16"/>
        </w:rPr>
        <w:t>Переговорив по этому вопросу с ОСАДЧИМ, бывш[им] в то время в Берлине, я убедился, что под влиянием берлинской обстановки и сообщений и его взгляд совпадает с моим. Поэтому мы условились с ОСАДЧИМ, что я срочно выеду в Москву, а он проведет в Берлине необходимые переговоры по делам Промпартии с различными лицами.</w:t>
      </w:r>
    </w:p>
    <w:p w14:paraId="1060EED6" w14:textId="77777777" w:rsidR="006908A4" w:rsidRPr="00507A31" w:rsidRDefault="006908A4" w:rsidP="00507A31">
      <w:pPr>
        <w:jc w:val="both"/>
        <w:rPr>
          <w:color w:val="000000" w:themeColor="text1"/>
          <w:sz w:val="16"/>
          <w:szCs w:val="16"/>
        </w:rPr>
      </w:pPr>
      <w:r w:rsidRPr="00507A31">
        <w:rPr>
          <w:color w:val="000000" w:themeColor="text1"/>
          <w:sz w:val="16"/>
          <w:szCs w:val="16"/>
        </w:rPr>
        <w:t>Л. РАМЗИН.</w:t>
      </w:r>
    </w:p>
    <w:p w14:paraId="71B7305A" w14:textId="77777777" w:rsidR="006908A4" w:rsidRPr="00507A31" w:rsidRDefault="006908A4" w:rsidP="00507A31">
      <w:pPr>
        <w:jc w:val="both"/>
        <w:rPr>
          <w:color w:val="000000" w:themeColor="text1"/>
          <w:sz w:val="16"/>
          <w:szCs w:val="16"/>
        </w:rPr>
      </w:pPr>
      <w:r w:rsidRPr="00507A31">
        <w:rPr>
          <w:color w:val="000000" w:themeColor="text1"/>
          <w:sz w:val="16"/>
          <w:szCs w:val="16"/>
        </w:rPr>
        <w:t>ДОПРОСИЛИ — НАЧСОУ ОГПУ — АГРАНОВ</w:t>
      </w:r>
    </w:p>
    <w:p w14:paraId="1BC6D7C5" w14:textId="77777777" w:rsidR="006908A4" w:rsidRPr="00507A31" w:rsidRDefault="006908A4" w:rsidP="00507A31">
      <w:pPr>
        <w:jc w:val="both"/>
        <w:rPr>
          <w:color w:val="000000" w:themeColor="text1"/>
          <w:sz w:val="16"/>
          <w:szCs w:val="16"/>
        </w:rPr>
      </w:pPr>
      <w:r w:rsidRPr="00507A31">
        <w:rPr>
          <w:color w:val="000000" w:themeColor="text1"/>
          <w:sz w:val="16"/>
          <w:szCs w:val="16"/>
        </w:rPr>
        <w:t>ПОМНАЧ. 3 ОТДЕЛЕНИЯ] СО ОГПУ — РАДЗИВИЛОВСКИЙ.</w:t>
      </w:r>
    </w:p>
    <w:p w14:paraId="365069C6" w14:textId="77777777" w:rsidR="006908A4" w:rsidRPr="00507A31" w:rsidRDefault="006908A4" w:rsidP="00507A31">
      <w:pPr>
        <w:jc w:val="both"/>
        <w:rPr>
          <w:color w:val="000000" w:themeColor="text1"/>
          <w:sz w:val="16"/>
          <w:szCs w:val="16"/>
        </w:rPr>
      </w:pPr>
      <w:r w:rsidRPr="00507A31">
        <w:rPr>
          <w:color w:val="000000" w:themeColor="text1"/>
          <w:sz w:val="16"/>
          <w:szCs w:val="16"/>
        </w:rPr>
        <w:t>На Л. 72 вверху — штамп о рассылке документа (номер и дата отсутствуют) (18470).</w:t>
      </w:r>
    </w:p>
    <w:p w14:paraId="45F6962A" w14:textId="77777777" w:rsidR="006908A4" w:rsidRPr="00507A31" w:rsidRDefault="006908A4" w:rsidP="00507A31">
      <w:pPr>
        <w:jc w:val="both"/>
        <w:rPr>
          <w:color w:val="000000" w:themeColor="text1"/>
          <w:sz w:val="16"/>
          <w:szCs w:val="16"/>
        </w:rPr>
      </w:pPr>
    </w:p>
    <w:p w14:paraId="1FEB9CCE" w14:textId="77777777" w:rsidR="006908A4" w:rsidRPr="00507A31" w:rsidRDefault="006908A4" w:rsidP="00507A31">
      <w:pPr>
        <w:jc w:val="both"/>
        <w:rPr>
          <w:color w:val="000000" w:themeColor="text1"/>
          <w:sz w:val="16"/>
          <w:szCs w:val="16"/>
        </w:rPr>
      </w:pPr>
      <w:r w:rsidRPr="00507A31">
        <w:rPr>
          <w:color w:val="000000" w:themeColor="text1"/>
          <w:sz w:val="16"/>
          <w:szCs w:val="16"/>
        </w:rPr>
        <w:t>20 октября 1930 г.</w:t>
      </w:r>
    </w:p>
    <w:p w14:paraId="2CEB529E" w14:textId="77777777" w:rsidR="006908A4" w:rsidRPr="00507A31" w:rsidRDefault="006908A4" w:rsidP="00507A31">
      <w:pPr>
        <w:jc w:val="both"/>
        <w:rPr>
          <w:color w:val="000000" w:themeColor="text1"/>
          <w:sz w:val="16"/>
          <w:szCs w:val="16"/>
        </w:rPr>
      </w:pPr>
      <w:r w:rsidRPr="00507A31">
        <w:rPr>
          <w:color w:val="000000" w:themeColor="text1"/>
          <w:sz w:val="16"/>
          <w:szCs w:val="16"/>
        </w:rPr>
        <w:t>Показания С. М. Смирнова о составе «террористической группы» и «подготовке теракта» против И. В. Сталина. Приложение к сопроводительному письму № П961 о рассылке материалов следствия. 20 октября 1930 г.</w:t>
      </w:r>
    </w:p>
    <w:p w14:paraId="5ACD51B0" w14:textId="77777777" w:rsidR="006908A4" w:rsidRPr="00507A31" w:rsidRDefault="006908A4" w:rsidP="00507A31">
      <w:pPr>
        <w:jc w:val="both"/>
        <w:rPr>
          <w:color w:val="000000" w:themeColor="text1"/>
          <w:sz w:val="16"/>
          <w:szCs w:val="16"/>
        </w:rPr>
      </w:pPr>
      <w:r w:rsidRPr="00507A31">
        <w:rPr>
          <w:color w:val="000000" w:themeColor="text1"/>
          <w:sz w:val="16"/>
          <w:szCs w:val="16"/>
        </w:rPr>
        <w:t>Источник: </w:t>
      </w:r>
    </w:p>
    <w:p w14:paraId="11C3A20F" w14:textId="77777777" w:rsidR="006908A4" w:rsidRPr="00507A31" w:rsidRDefault="006908A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92CDA1D" w14:textId="77777777" w:rsidR="006908A4" w:rsidRPr="00507A31" w:rsidRDefault="006908A4" w:rsidP="00507A31">
      <w:pPr>
        <w:jc w:val="both"/>
        <w:rPr>
          <w:color w:val="000000" w:themeColor="text1"/>
          <w:sz w:val="16"/>
          <w:szCs w:val="16"/>
        </w:rPr>
      </w:pPr>
      <w:r w:rsidRPr="00507A31">
        <w:rPr>
          <w:color w:val="000000" w:themeColor="text1"/>
          <w:sz w:val="16"/>
          <w:szCs w:val="16"/>
        </w:rPr>
        <w:t>Архив: </w:t>
      </w:r>
    </w:p>
    <w:p w14:paraId="68B85B02" w14:textId="77777777" w:rsidR="006908A4" w:rsidRPr="00507A31" w:rsidRDefault="006908A4" w:rsidP="00507A31">
      <w:pPr>
        <w:jc w:val="both"/>
        <w:rPr>
          <w:color w:val="000000" w:themeColor="text1"/>
          <w:sz w:val="16"/>
          <w:szCs w:val="16"/>
        </w:rPr>
      </w:pPr>
      <w:r w:rsidRPr="00507A31">
        <w:rPr>
          <w:color w:val="000000" w:themeColor="text1"/>
          <w:sz w:val="16"/>
          <w:szCs w:val="16"/>
        </w:rPr>
        <w:t>ЦА ФСБ РФ. Ф. Р-42280. Т. 2. Л. 168-171 об. Рукописный подлинник, написанный Врачевым.</w:t>
      </w:r>
    </w:p>
    <w:p w14:paraId="038838B7" w14:textId="77777777" w:rsidR="006908A4" w:rsidRPr="00507A31" w:rsidRDefault="006908A4" w:rsidP="00507A31">
      <w:pPr>
        <w:jc w:val="both"/>
        <w:rPr>
          <w:color w:val="000000" w:themeColor="text1"/>
          <w:sz w:val="16"/>
          <w:szCs w:val="16"/>
        </w:rPr>
      </w:pPr>
      <w:r w:rsidRPr="00507A31">
        <w:rPr>
          <w:color w:val="000000" w:themeColor="text1"/>
          <w:sz w:val="16"/>
          <w:szCs w:val="16"/>
        </w:rPr>
        <w:t>от 20 октября 1930 г.</w:t>
      </w:r>
    </w:p>
    <w:p w14:paraId="1BF487EB" w14:textId="77777777" w:rsidR="006908A4" w:rsidRPr="00507A31" w:rsidRDefault="006908A4" w:rsidP="00507A31">
      <w:pPr>
        <w:jc w:val="both"/>
        <w:rPr>
          <w:color w:val="000000" w:themeColor="text1"/>
          <w:sz w:val="16"/>
          <w:szCs w:val="16"/>
        </w:rPr>
      </w:pPr>
      <w:r w:rsidRPr="00507A31">
        <w:rPr>
          <w:color w:val="000000" w:themeColor="text1"/>
          <w:sz w:val="16"/>
          <w:szCs w:val="16"/>
        </w:rPr>
        <w:t>[СТРОГО СЕКРЕТНО]</w:t>
      </w:r>
    </w:p>
    <w:p w14:paraId="0F0F0822" w14:textId="77777777" w:rsidR="006908A4" w:rsidRPr="00507A31" w:rsidRDefault="006908A4" w:rsidP="00507A31">
      <w:pPr>
        <w:jc w:val="both"/>
        <w:rPr>
          <w:color w:val="000000" w:themeColor="text1"/>
          <w:sz w:val="16"/>
          <w:szCs w:val="16"/>
        </w:rPr>
      </w:pPr>
      <w:r w:rsidRPr="00507A31">
        <w:rPr>
          <w:color w:val="000000" w:themeColor="text1"/>
          <w:sz w:val="16"/>
          <w:szCs w:val="16"/>
        </w:rPr>
        <w:t>ПРОТОКОЛ ДОПРОСА</w:t>
      </w:r>
    </w:p>
    <w:p w14:paraId="4EB7B7F3" w14:textId="77777777" w:rsidR="006908A4" w:rsidRPr="00507A31" w:rsidRDefault="006908A4" w:rsidP="00507A31">
      <w:pPr>
        <w:jc w:val="both"/>
        <w:rPr>
          <w:color w:val="000000" w:themeColor="text1"/>
          <w:sz w:val="16"/>
          <w:szCs w:val="16"/>
        </w:rPr>
      </w:pPr>
      <w:r w:rsidRPr="00507A31">
        <w:rPr>
          <w:color w:val="000000" w:themeColor="text1"/>
          <w:sz w:val="16"/>
          <w:szCs w:val="16"/>
        </w:rPr>
        <w:t>Инженера СМИРНОВА Сергея Михайловича «16» Октября 1930 года.</w:t>
      </w:r>
    </w:p>
    <w:p w14:paraId="7918B692" w14:textId="77777777" w:rsidR="006908A4" w:rsidRPr="00507A31" w:rsidRDefault="006908A4" w:rsidP="00507A31">
      <w:pPr>
        <w:jc w:val="both"/>
        <w:rPr>
          <w:color w:val="000000" w:themeColor="text1"/>
          <w:sz w:val="16"/>
          <w:szCs w:val="16"/>
        </w:rPr>
      </w:pPr>
      <w:r w:rsidRPr="00507A31">
        <w:rPr>
          <w:color w:val="000000" w:themeColor="text1"/>
          <w:sz w:val="16"/>
          <w:szCs w:val="16"/>
        </w:rPr>
        <w:t>Настоящим я приношу свое полное и чистосердечное раскаяние в том, что я на протяжении, примерно, последних 2-х лет принимал участие в деятельности контр-революционной организации, именовавшей себя Промышленной партией.</w:t>
      </w:r>
    </w:p>
    <w:p w14:paraId="44210250" w14:textId="77777777" w:rsidR="006908A4" w:rsidRPr="00507A31" w:rsidRDefault="006908A4" w:rsidP="00507A31">
      <w:pPr>
        <w:jc w:val="both"/>
        <w:rPr>
          <w:color w:val="000000" w:themeColor="text1"/>
          <w:sz w:val="16"/>
          <w:szCs w:val="16"/>
        </w:rPr>
      </w:pPr>
      <w:r w:rsidRPr="00507A31">
        <w:rPr>
          <w:color w:val="000000" w:themeColor="text1"/>
          <w:sz w:val="16"/>
          <w:szCs w:val="16"/>
        </w:rPr>
        <w:t>В упомянутую организацию я был завербован в 1928 г. инженером Евреиновым Евгением Федоровичем, с которым я работал с 1925 г. в Техническом отделе теплотехнического Института. В качестве других членов упомянутой организации мне были известны инженеры технического отдела теплотехнического института Дыдзинский Олег Иванович, БУЛАШЕВИЧ Александр Флорович, ШИШОВ Всеволод Федорович и ПРАСОЛОВ Михаил Николаевич.</w:t>
      </w:r>
    </w:p>
    <w:p w14:paraId="416299E5" w14:textId="77777777" w:rsidR="006908A4" w:rsidRPr="00507A31" w:rsidRDefault="006908A4" w:rsidP="00507A31">
      <w:pPr>
        <w:jc w:val="both"/>
        <w:rPr>
          <w:color w:val="000000" w:themeColor="text1"/>
          <w:sz w:val="16"/>
          <w:szCs w:val="16"/>
        </w:rPr>
      </w:pPr>
      <w:r w:rsidRPr="00507A31">
        <w:rPr>
          <w:color w:val="000000" w:themeColor="text1"/>
          <w:sz w:val="16"/>
          <w:szCs w:val="16"/>
        </w:rPr>
        <w:t>1. Цели и задачи Промышленной партии.</w:t>
      </w:r>
    </w:p>
    <w:p w14:paraId="7EB6B011" w14:textId="77777777" w:rsidR="006908A4" w:rsidRPr="00507A31" w:rsidRDefault="006908A4" w:rsidP="00507A31">
      <w:pPr>
        <w:jc w:val="both"/>
        <w:rPr>
          <w:color w:val="000000" w:themeColor="text1"/>
          <w:sz w:val="16"/>
          <w:szCs w:val="16"/>
        </w:rPr>
      </w:pPr>
      <w:r w:rsidRPr="00507A31">
        <w:rPr>
          <w:color w:val="000000" w:themeColor="text1"/>
          <w:sz w:val="16"/>
          <w:szCs w:val="16"/>
        </w:rPr>
        <w:t>А. Основной установкой Промышленной партии при ея организации, как мне сообщил ЕВРЕИНОВ, была установка на буржуазно-демократическую республику при доминирующем влиянии технической интеллигенции, при коалиции с правыми элементами ВКП(б) и при внешне советском оформлении всей системы.</w:t>
      </w:r>
    </w:p>
    <w:p w14:paraId="418D8020" w14:textId="77777777" w:rsidR="006908A4" w:rsidRPr="00507A31" w:rsidRDefault="006908A4" w:rsidP="00507A31">
      <w:pPr>
        <w:jc w:val="both"/>
        <w:rPr>
          <w:color w:val="000000" w:themeColor="text1"/>
          <w:sz w:val="16"/>
          <w:szCs w:val="16"/>
        </w:rPr>
      </w:pPr>
      <w:r w:rsidRPr="00507A31">
        <w:rPr>
          <w:color w:val="000000" w:themeColor="text1"/>
          <w:sz w:val="16"/>
          <w:szCs w:val="16"/>
        </w:rPr>
        <w:t>Партия организовалась в виде ячеек по отдельным промышленным предприятиям, объединяемых одним общим центром. Главою ячейки Технического отдела и являлся инженер ЕВРЕИНОВ.</w:t>
      </w:r>
    </w:p>
    <w:p w14:paraId="6C792084" w14:textId="77777777" w:rsidR="006908A4" w:rsidRPr="00507A31" w:rsidRDefault="006908A4" w:rsidP="00507A31">
      <w:pPr>
        <w:jc w:val="both"/>
        <w:rPr>
          <w:color w:val="000000" w:themeColor="text1"/>
          <w:sz w:val="16"/>
          <w:szCs w:val="16"/>
        </w:rPr>
      </w:pPr>
      <w:r w:rsidRPr="00507A31">
        <w:rPr>
          <w:color w:val="000000" w:themeColor="text1"/>
          <w:sz w:val="16"/>
          <w:szCs w:val="16"/>
        </w:rPr>
        <w:t>Б. С течением времени, как это мне стало известно из разговоров с Евреиновым, в связи с усиленным выполнением плана 1-го года пятилетки и выдвинутыми Коммунистической партией лозунгами индустриализации страны, ликвидации кулачества, как класса, коллективизации сельского хозяйства и разгромом правого уклона, установка Промышленной партии изменилась и она стала ориентироваться, как крайний случай[,] на интервенцию и террористические методы борьбы с советской властью для принуждения ея к уступкам в духе идей промышленной партии.</w:t>
      </w:r>
    </w:p>
    <w:p w14:paraId="7DE1606F" w14:textId="77777777" w:rsidR="006908A4" w:rsidRPr="00507A31" w:rsidRDefault="006908A4" w:rsidP="00507A31">
      <w:pPr>
        <w:jc w:val="both"/>
        <w:rPr>
          <w:color w:val="000000" w:themeColor="text1"/>
          <w:sz w:val="16"/>
          <w:szCs w:val="16"/>
        </w:rPr>
      </w:pPr>
      <w:r w:rsidRPr="00507A31">
        <w:rPr>
          <w:color w:val="000000" w:themeColor="text1"/>
          <w:sz w:val="16"/>
          <w:szCs w:val="16"/>
        </w:rPr>
        <w:t>По мнению руководителей партии, как мне сообщил ЕВРЕИНОВ, интервенцию можно было бы ожидать в 1930 г.</w:t>
      </w:r>
    </w:p>
    <w:p w14:paraId="4A3D8586" w14:textId="77777777" w:rsidR="006908A4" w:rsidRPr="00507A31" w:rsidRDefault="006908A4" w:rsidP="00507A31">
      <w:pPr>
        <w:jc w:val="both"/>
        <w:rPr>
          <w:color w:val="000000" w:themeColor="text1"/>
          <w:sz w:val="16"/>
          <w:szCs w:val="16"/>
        </w:rPr>
      </w:pPr>
      <w:r w:rsidRPr="00507A31">
        <w:rPr>
          <w:color w:val="000000" w:themeColor="text1"/>
          <w:sz w:val="16"/>
          <w:szCs w:val="16"/>
        </w:rPr>
        <w:t>Интервенции должна была предшествовать экономическая блокада.</w:t>
      </w:r>
    </w:p>
    <w:p w14:paraId="3538419E" w14:textId="77777777" w:rsidR="006908A4" w:rsidRPr="00507A31" w:rsidRDefault="006908A4" w:rsidP="00507A31">
      <w:pPr>
        <w:jc w:val="both"/>
        <w:rPr>
          <w:color w:val="000000" w:themeColor="text1"/>
          <w:sz w:val="16"/>
          <w:szCs w:val="16"/>
        </w:rPr>
      </w:pPr>
      <w:r w:rsidRPr="00507A31">
        <w:rPr>
          <w:color w:val="000000" w:themeColor="text1"/>
          <w:sz w:val="16"/>
          <w:szCs w:val="16"/>
        </w:rPr>
        <w:t>В случае наступления интервенции, задачи промышленной партии должны были сводиться к следующему:</w:t>
      </w:r>
    </w:p>
    <w:p w14:paraId="4A3A1F5E" w14:textId="77777777" w:rsidR="006908A4" w:rsidRPr="00507A31" w:rsidRDefault="006908A4" w:rsidP="00507A31">
      <w:pPr>
        <w:jc w:val="both"/>
        <w:rPr>
          <w:color w:val="000000" w:themeColor="text1"/>
          <w:sz w:val="16"/>
          <w:szCs w:val="16"/>
        </w:rPr>
      </w:pPr>
      <w:r w:rsidRPr="00507A31">
        <w:rPr>
          <w:color w:val="000000" w:themeColor="text1"/>
          <w:sz w:val="16"/>
          <w:szCs w:val="16"/>
        </w:rPr>
        <w:t>Диверсионные акты в целях парализования военной промышленности и уменьшения обороноспособности Союза.</w:t>
      </w:r>
    </w:p>
    <w:p w14:paraId="32D2323D" w14:textId="77777777" w:rsidR="006908A4" w:rsidRPr="00507A31" w:rsidRDefault="006908A4" w:rsidP="00507A31">
      <w:pPr>
        <w:jc w:val="both"/>
        <w:rPr>
          <w:color w:val="000000" w:themeColor="text1"/>
          <w:sz w:val="16"/>
          <w:szCs w:val="16"/>
        </w:rPr>
      </w:pPr>
      <w:r w:rsidRPr="00507A31">
        <w:rPr>
          <w:color w:val="000000" w:themeColor="text1"/>
          <w:sz w:val="16"/>
          <w:szCs w:val="16"/>
        </w:rPr>
        <w:t>Диверсионные акты в области транспорта, воздушного флота и т. д.</w:t>
      </w:r>
    </w:p>
    <w:p w14:paraId="44DE26E0" w14:textId="77777777" w:rsidR="006908A4" w:rsidRPr="00507A31" w:rsidRDefault="006908A4" w:rsidP="00507A31">
      <w:pPr>
        <w:jc w:val="both"/>
        <w:rPr>
          <w:color w:val="000000" w:themeColor="text1"/>
          <w:sz w:val="16"/>
          <w:szCs w:val="16"/>
        </w:rPr>
      </w:pPr>
      <w:r w:rsidRPr="00507A31">
        <w:rPr>
          <w:color w:val="000000" w:themeColor="text1"/>
          <w:sz w:val="16"/>
          <w:szCs w:val="16"/>
        </w:rPr>
        <w:lastRenderedPageBreak/>
        <w:t>Диверсионные акты в области энергетики в целях перерывов в подаче энергии, что неминуемо вызвало бы простой ряда заводов и фабрик.</w:t>
      </w:r>
    </w:p>
    <w:p w14:paraId="19863B9D" w14:textId="77777777" w:rsidR="006908A4" w:rsidRPr="00507A31" w:rsidRDefault="006908A4" w:rsidP="00507A31">
      <w:pPr>
        <w:jc w:val="both"/>
        <w:rPr>
          <w:color w:val="000000" w:themeColor="text1"/>
          <w:sz w:val="16"/>
          <w:szCs w:val="16"/>
        </w:rPr>
      </w:pPr>
      <w:r w:rsidRPr="00507A31">
        <w:rPr>
          <w:color w:val="000000" w:themeColor="text1"/>
          <w:sz w:val="16"/>
          <w:szCs w:val="16"/>
        </w:rPr>
        <w:t>2. Террористическая группа.</w:t>
      </w:r>
    </w:p>
    <w:p w14:paraId="4DA9C083" w14:textId="77777777" w:rsidR="006908A4" w:rsidRPr="00507A31" w:rsidRDefault="006908A4" w:rsidP="00507A31">
      <w:pPr>
        <w:jc w:val="both"/>
        <w:rPr>
          <w:color w:val="000000" w:themeColor="text1"/>
          <w:sz w:val="16"/>
          <w:szCs w:val="16"/>
        </w:rPr>
      </w:pPr>
      <w:r w:rsidRPr="00507A31">
        <w:rPr>
          <w:color w:val="000000" w:themeColor="text1"/>
          <w:sz w:val="16"/>
          <w:szCs w:val="16"/>
        </w:rPr>
        <w:t>В 1929 году, после изменения установки Промышленной партии в сторону интервенции и террора, я был включен инженеров ЕВРЕИНОВЫМ в состав террористической группы, или организованной. Основанием для такого включения было то, что в прошлом я был офицером царской армии.</w:t>
      </w:r>
    </w:p>
    <w:p w14:paraId="044B5090" w14:textId="77777777" w:rsidR="006908A4" w:rsidRPr="00507A31" w:rsidRDefault="006908A4" w:rsidP="00507A31">
      <w:pPr>
        <w:jc w:val="both"/>
        <w:rPr>
          <w:color w:val="000000" w:themeColor="text1"/>
          <w:sz w:val="16"/>
          <w:szCs w:val="16"/>
        </w:rPr>
      </w:pPr>
      <w:r w:rsidRPr="00507A31">
        <w:rPr>
          <w:color w:val="000000" w:themeColor="text1"/>
          <w:sz w:val="16"/>
          <w:szCs w:val="16"/>
        </w:rPr>
        <w:t>Кроме меня в состав указанной группы входили следующие лица: ДЫДЗИНСКИЙ О. И., БУЛАШЕВИЧ А. Ф., ШИШОВ В. Ф., ПРАСОЛОВ М. Н.</w:t>
      </w:r>
    </w:p>
    <w:p w14:paraId="585E5829" w14:textId="77777777" w:rsidR="006908A4" w:rsidRPr="00507A31" w:rsidRDefault="006908A4" w:rsidP="00507A31">
      <w:pPr>
        <w:jc w:val="both"/>
        <w:rPr>
          <w:color w:val="000000" w:themeColor="text1"/>
          <w:sz w:val="16"/>
          <w:szCs w:val="16"/>
        </w:rPr>
      </w:pPr>
      <w:r w:rsidRPr="00507A31">
        <w:rPr>
          <w:color w:val="000000" w:themeColor="text1"/>
          <w:sz w:val="16"/>
          <w:szCs w:val="16"/>
        </w:rPr>
        <w:t>Группа находилась в распоряжении Ц.К. Промышленной партии и непосредственно была подчинена ЕВРЕИНОВУ, через которого в нужный момент и должна была получать соответствующие директивы.</w:t>
      </w:r>
    </w:p>
    <w:p w14:paraId="36691169" w14:textId="77777777" w:rsidR="006908A4" w:rsidRPr="00507A31" w:rsidRDefault="006908A4" w:rsidP="00507A31">
      <w:pPr>
        <w:jc w:val="both"/>
        <w:rPr>
          <w:color w:val="000000" w:themeColor="text1"/>
          <w:sz w:val="16"/>
          <w:szCs w:val="16"/>
        </w:rPr>
      </w:pPr>
      <w:r w:rsidRPr="00507A31">
        <w:rPr>
          <w:color w:val="000000" w:themeColor="text1"/>
          <w:sz w:val="16"/>
          <w:szCs w:val="16"/>
        </w:rPr>
        <w:t>Мне известно, что помимо указанной группы в ведении ЕВРЕИНОВА находилась так называемая резервная группа, организованная им среди студентов МВТУ. Персональный состав этой группы ЕВРЕИНОВ не сообщал, но назначением ея было служить в качестве резерва для пополнения основной группы при техническом отделе в случае ея полной или частичной ликвидации.</w:t>
      </w:r>
    </w:p>
    <w:p w14:paraId="77CDADED" w14:textId="77777777" w:rsidR="006908A4" w:rsidRPr="00507A31" w:rsidRDefault="006908A4" w:rsidP="00507A31">
      <w:pPr>
        <w:jc w:val="both"/>
        <w:rPr>
          <w:color w:val="000000" w:themeColor="text1"/>
          <w:sz w:val="16"/>
          <w:szCs w:val="16"/>
        </w:rPr>
      </w:pPr>
      <w:r w:rsidRPr="00507A31">
        <w:rPr>
          <w:color w:val="000000" w:themeColor="text1"/>
          <w:sz w:val="16"/>
          <w:szCs w:val="16"/>
        </w:rPr>
        <w:t>Сигнал для начала действий должен быть дан ЕВРЕИНОВЫМ по указанию Ц.К. Промышленной партии. Нам же было сообщено, что в случае гибели того или иного участника группы заботу и обеспечение о его семье должен был взять на себя ЦК Промышленной партии.</w:t>
      </w:r>
    </w:p>
    <w:p w14:paraId="28965390" w14:textId="77777777" w:rsidR="006908A4" w:rsidRPr="00507A31" w:rsidRDefault="006908A4" w:rsidP="00507A31">
      <w:pPr>
        <w:jc w:val="both"/>
        <w:rPr>
          <w:color w:val="000000" w:themeColor="text1"/>
          <w:sz w:val="16"/>
          <w:szCs w:val="16"/>
        </w:rPr>
      </w:pPr>
      <w:r w:rsidRPr="00507A31">
        <w:rPr>
          <w:color w:val="000000" w:themeColor="text1"/>
          <w:sz w:val="16"/>
          <w:szCs w:val="16"/>
        </w:rPr>
        <w:t>3. Подготовка террористических актов.</w:t>
      </w:r>
    </w:p>
    <w:p w14:paraId="2A107589" w14:textId="77777777" w:rsidR="006908A4" w:rsidRPr="00507A31" w:rsidRDefault="006908A4" w:rsidP="00507A31">
      <w:pPr>
        <w:jc w:val="both"/>
        <w:rPr>
          <w:color w:val="000000" w:themeColor="text1"/>
          <w:sz w:val="16"/>
          <w:szCs w:val="16"/>
        </w:rPr>
      </w:pPr>
      <w:r w:rsidRPr="00507A31">
        <w:rPr>
          <w:color w:val="000000" w:themeColor="text1"/>
          <w:sz w:val="16"/>
          <w:szCs w:val="16"/>
        </w:rPr>
        <w:t>Приблизительно за две недели до открытия XVI партийного съезда ЕВРЕИНОВ сообщил нашей группе, что ЦК Промышленной партии вынес решение произвести террористические акты в отношении следующих членов советского правительства и представителей власти: т.т. Сталина, Ворошилова, Менжинского и Ягоды, причем нашей группе было поручено произвести террористический акт в отношении генерального секретаря Всесоюзной Коммунистической партии тов. Сталина.</w:t>
      </w:r>
    </w:p>
    <w:p w14:paraId="5479C16A" w14:textId="77777777" w:rsidR="006908A4" w:rsidRPr="00507A31" w:rsidRDefault="006908A4" w:rsidP="00507A31">
      <w:pPr>
        <w:jc w:val="both"/>
        <w:rPr>
          <w:color w:val="000000" w:themeColor="text1"/>
          <w:sz w:val="16"/>
          <w:szCs w:val="16"/>
        </w:rPr>
      </w:pPr>
      <w:r w:rsidRPr="00507A31">
        <w:rPr>
          <w:color w:val="000000" w:themeColor="text1"/>
          <w:sz w:val="16"/>
          <w:szCs w:val="16"/>
        </w:rPr>
        <w:t>Евреинов приказал мне и ДЫДЗИНСКОМУ быть непосредственными исполнителями террористического акта, а остальным членам группы: БУЛАШЕВИЧУ, ШИШОВУ и ПРАСОЛОВУ было приказано быть в нашем распоряжении для несения разведывательной службы и сигнализации.</w:t>
      </w:r>
    </w:p>
    <w:p w14:paraId="5DFDE5A2" w14:textId="77777777" w:rsidR="006908A4" w:rsidRPr="00507A31" w:rsidRDefault="006908A4" w:rsidP="00507A31">
      <w:pPr>
        <w:jc w:val="both"/>
        <w:rPr>
          <w:color w:val="000000" w:themeColor="text1"/>
          <w:sz w:val="16"/>
          <w:szCs w:val="16"/>
        </w:rPr>
      </w:pPr>
      <w:r w:rsidRPr="00507A31">
        <w:rPr>
          <w:color w:val="000000" w:themeColor="text1"/>
          <w:sz w:val="16"/>
          <w:szCs w:val="16"/>
        </w:rPr>
        <w:t>Евреинов далее указал, что террористический акт должен &lt;быть&gt; совершен посредством метания бомбы.</w:t>
      </w:r>
    </w:p>
    <w:p w14:paraId="705F67CB" w14:textId="77777777" w:rsidR="006908A4" w:rsidRPr="00507A31" w:rsidRDefault="006908A4" w:rsidP="00507A31">
      <w:pPr>
        <w:jc w:val="both"/>
        <w:rPr>
          <w:color w:val="000000" w:themeColor="text1"/>
          <w:sz w:val="16"/>
          <w:szCs w:val="16"/>
        </w:rPr>
      </w:pPr>
      <w:r w:rsidRPr="00507A31">
        <w:rPr>
          <w:color w:val="000000" w:themeColor="text1"/>
          <w:sz w:val="16"/>
          <w:szCs w:val="16"/>
        </w:rPr>
        <w:t>После получения приказания ЕВРЕИНОВА наша группа немедленно приступила к организации наблюдения за т. Сталиным. Наблюдение велось мною и ДЫДЗИНСКИМ, в разное время дня. Я вел наблюдение обычно вечером, но раза два приходил днем. Наблюдение велось несистематически. Пунктом наблюдения была выбрана Старая площадь у здания Ц.К. ВКП(б) со стороны ближе к Ильинским воротам. За все время наблюдения я видел т. Сталина раза два, в разное время дня. Результаты наблюдения докладывались ЕВРЕИНОВУ.</w:t>
      </w:r>
    </w:p>
    <w:p w14:paraId="171DBED3" w14:textId="77777777" w:rsidR="006908A4" w:rsidRPr="00507A31" w:rsidRDefault="006908A4" w:rsidP="00507A31">
      <w:pPr>
        <w:jc w:val="both"/>
        <w:rPr>
          <w:color w:val="000000" w:themeColor="text1"/>
          <w:sz w:val="16"/>
          <w:szCs w:val="16"/>
        </w:rPr>
      </w:pPr>
      <w:r w:rsidRPr="00507A31">
        <w:rPr>
          <w:color w:val="000000" w:themeColor="text1"/>
          <w:sz w:val="16"/>
          <w:szCs w:val="16"/>
        </w:rPr>
        <w:t>Накануне открытия XVI партсъезда в кабинете ЕВРЕИНОВА им было роздано участникам террористической группы оружие. Я получил бомбу и револьвер системы Браунинг № 2. ДЫДЗИНСКИЙ также получил бомбу и револьвер. БУЛАШЕВИЧУ, ШИШОВУ и ПРАСОЛОВУ были розданы только револьверы. По словам ЕВРЕИНОВА оружие было доставлено от Предтеченского.</w:t>
      </w:r>
    </w:p>
    <w:p w14:paraId="6B2E63AA" w14:textId="77777777" w:rsidR="006908A4" w:rsidRPr="00507A31" w:rsidRDefault="006908A4" w:rsidP="00507A31">
      <w:pPr>
        <w:jc w:val="both"/>
        <w:rPr>
          <w:color w:val="000000" w:themeColor="text1"/>
          <w:sz w:val="16"/>
          <w:szCs w:val="16"/>
        </w:rPr>
      </w:pPr>
      <w:r w:rsidRPr="00507A31">
        <w:rPr>
          <w:color w:val="000000" w:themeColor="text1"/>
          <w:sz w:val="16"/>
          <w:szCs w:val="16"/>
        </w:rPr>
        <w:t>Я или Дыдзинский должны были совершить террористический акт путем метания бомбы, револьверы же были выданы на предмет защиты себя и наведения паники после взрыва бомбы.</w:t>
      </w:r>
    </w:p>
    <w:p w14:paraId="6DB267BE" w14:textId="77777777" w:rsidR="006908A4" w:rsidRPr="00507A31" w:rsidRDefault="006908A4" w:rsidP="00507A31">
      <w:pPr>
        <w:jc w:val="both"/>
        <w:rPr>
          <w:color w:val="000000" w:themeColor="text1"/>
          <w:sz w:val="16"/>
          <w:szCs w:val="16"/>
        </w:rPr>
      </w:pPr>
      <w:r w:rsidRPr="00507A31">
        <w:rPr>
          <w:color w:val="000000" w:themeColor="text1"/>
          <w:sz w:val="16"/>
          <w:szCs w:val="16"/>
        </w:rPr>
        <w:t>Накануне съезда, примерно, с шестнадцати до восемнадцати часов, я и Дыдзинский, вооруженные бомбами и револьверами[,] заняли Старую площадь с двух сторон — я со стороны Ильинки, а Дыдзинский со стороны улицы Варварки.</w:t>
      </w:r>
    </w:p>
    <w:p w14:paraId="7042CEF2" w14:textId="77777777" w:rsidR="006908A4" w:rsidRPr="00507A31" w:rsidRDefault="006908A4" w:rsidP="00507A31">
      <w:pPr>
        <w:jc w:val="both"/>
        <w:rPr>
          <w:color w:val="000000" w:themeColor="text1"/>
          <w:sz w:val="16"/>
          <w:szCs w:val="16"/>
        </w:rPr>
      </w:pPr>
      <w:r w:rsidRPr="00507A31">
        <w:rPr>
          <w:color w:val="000000" w:themeColor="text1"/>
          <w:sz w:val="16"/>
          <w:szCs w:val="16"/>
        </w:rPr>
        <w:t>Мы условились с ДЫДЗИНСКИМ так: если т. Сталин появится с моей стороны — я бросаю бомбу и ДЫДЗИНСКИЙ, услышав взрыв, должен немедленно скрыться; если же бросает бомбу Дыдзинский, я должен после взрыва немедленно оставить свою позицию.</w:t>
      </w:r>
    </w:p>
    <w:p w14:paraId="4E09FB8C" w14:textId="77777777" w:rsidR="006908A4" w:rsidRPr="00507A31" w:rsidRDefault="006908A4" w:rsidP="00507A31">
      <w:pPr>
        <w:jc w:val="both"/>
        <w:rPr>
          <w:color w:val="000000" w:themeColor="text1"/>
          <w:sz w:val="16"/>
          <w:szCs w:val="16"/>
        </w:rPr>
      </w:pPr>
      <w:r w:rsidRPr="00507A31">
        <w:rPr>
          <w:color w:val="000000" w:themeColor="text1"/>
          <w:sz w:val="16"/>
          <w:szCs w:val="16"/>
        </w:rPr>
        <w:t>В этот день совершить террористический акт нам не удалось, т. к. ни я, ни Дыдзинский т. Сталина не видели. Мы возвратились в свое учреждение «Котлотурбина» и оставили бомбы и револьверы в ящиках письменных столов, за которыми мы работали.</w:t>
      </w:r>
    </w:p>
    <w:p w14:paraId="7003F768" w14:textId="77777777" w:rsidR="006908A4" w:rsidRPr="00507A31" w:rsidRDefault="006908A4" w:rsidP="00507A31">
      <w:pPr>
        <w:jc w:val="both"/>
        <w:rPr>
          <w:color w:val="000000" w:themeColor="text1"/>
          <w:sz w:val="16"/>
          <w:szCs w:val="16"/>
        </w:rPr>
      </w:pPr>
      <w:r w:rsidRPr="00507A31">
        <w:rPr>
          <w:color w:val="000000" w:themeColor="text1"/>
          <w:sz w:val="16"/>
          <w:szCs w:val="16"/>
        </w:rPr>
        <w:t>На второй день партсъезда я и Дыдзинский, вновь вооружившись бомбами и револьверами, направились к Большому Театру, где заседал XVI партсъезд. На этот раз с нами были и другие участники террористической группы: БУЛАШЕВИЧ, ШИШОВ и ПРАСОЛОВ.</w:t>
      </w:r>
    </w:p>
    <w:p w14:paraId="633750E8" w14:textId="77777777" w:rsidR="006908A4" w:rsidRPr="00507A31" w:rsidRDefault="006908A4" w:rsidP="00507A31">
      <w:pPr>
        <w:jc w:val="both"/>
        <w:rPr>
          <w:color w:val="000000" w:themeColor="text1"/>
          <w:sz w:val="16"/>
          <w:szCs w:val="16"/>
        </w:rPr>
      </w:pPr>
      <w:r w:rsidRPr="00507A31">
        <w:rPr>
          <w:color w:val="000000" w:themeColor="text1"/>
          <w:sz w:val="16"/>
          <w:szCs w:val="16"/>
        </w:rPr>
        <w:t>Я занял позицию против правительственного подъезда, БУЛАШЕВИЧ находился неподалеку от меня, ДЫДЗИНСКИЙ и ШИШОВ вели наблюдение со стороны Петровки, Прасолов должен был быть связью между нами, мною и Дыдзинским.</w:t>
      </w:r>
    </w:p>
    <w:p w14:paraId="5C27C57F" w14:textId="77777777" w:rsidR="006908A4" w:rsidRPr="00507A31" w:rsidRDefault="006908A4" w:rsidP="00507A31">
      <w:pPr>
        <w:jc w:val="both"/>
        <w:rPr>
          <w:color w:val="000000" w:themeColor="text1"/>
          <w:sz w:val="16"/>
          <w:szCs w:val="16"/>
        </w:rPr>
      </w:pPr>
      <w:r w:rsidRPr="00507A31">
        <w:rPr>
          <w:color w:val="000000" w:themeColor="text1"/>
          <w:sz w:val="16"/>
          <w:szCs w:val="16"/>
        </w:rPr>
        <w:t>Во время обеденного перерыва я заметил, что из правительственного подъезда вышел т. Сталин. Он был одет в темное пальто, белый костюм, белую фуражку и черные сапоги. Тов. Сталин, выйдя из подъезда, остановился на улице. Около него находились т.т. ОРДЖОНИКИДЗЕ, МОЛОТОВ и еще несколько лиц, мне неизвестных. Я находился неподалеку от этой группы, БУЛАШЕВИЧ стоял рядом со мной. Когда члены правительства и делегаты съезда стали разъезжаться на машинах, т.т. Сталин, Молотов, ОРДЖОНИКИДЗЕ и другие направились пешком к пл. Свердлова.</w:t>
      </w:r>
    </w:p>
    <w:p w14:paraId="7CD08495" w14:textId="77777777" w:rsidR="006908A4" w:rsidRPr="00507A31" w:rsidRDefault="006908A4" w:rsidP="00507A31">
      <w:pPr>
        <w:jc w:val="both"/>
        <w:rPr>
          <w:color w:val="000000" w:themeColor="text1"/>
          <w:sz w:val="16"/>
          <w:szCs w:val="16"/>
        </w:rPr>
      </w:pPr>
      <w:r w:rsidRPr="00507A31">
        <w:rPr>
          <w:color w:val="000000" w:themeColor="text1"/>
          <w:sz w:val="16"/>
          <w:szCs w:val="16"/>
        </w:rPr>
        <w:t>Я направился навстречу этой группе. Бомба находилась у меня в боковом кармане пиджака, револьвер я держал в правом кармане пальто.</w:t>
      </w:r>
    </w:p>
    <w:p w14:paraId="667B3419" w14:textId="77777777" w:rsidR="006908A4" w:rsidRPr="00507A31" w:rsidRDefault="006908A4" w:rsidP="00507A31">
      <w:pPr>
        <w:jc w:val="both"/>
        <w:rPr>
          <w:color w:val="000000" w:themeColor="text1"/>
          <w:sz w:val="16"/>
          <w:szCs w:val="16"/>
        </w:rPr>
      </w:pPr>
      <w:r w:rsidRPr="00507A31">
        <w:rPr>
          <w:color w:val="000000" w:themeColor="text1"/>
          <w:sz w:val="16"/>
          <w:szCs w:val="16"/>
        </w:rPr>
        <w:t>Приблизившись к т. Сталину я должен был бросить бомбу, но у меня не хватило решимости это сделать. Я попробовал набраться решимости и пропустив мимо себя эту группу, последовал за ней, не упуская т. Сталина из своих глаз. БУЛАШЕВИЧ следовал за мной, но вскоре я потерял его из виду. За тов. СТАЛИНЫМ я следовал через всю площадь Свердлова, дошел до начала пл. Революции и остановился.</w:t>
      </w:r>
    </w:p>
    <w:p w14:paraId="1F8A998C" w14:textId="77777777" w:rsidR="006908A4" w:rsidRPr="00507A31" w:rsidRDefault="006908A4" w:rsidP="00507A31">
      <w:pPr>
        <w:jc w:val="both"/>
        <w:rPr>
          <w:color w:val="000000" w:themeColor="text1"/>
          <w:sz w:val="16"/>
          <w:szCs w:val="16"/>
        </w:rPr>
      </w:pPr>
      <w:r w:rsidRPr="00507A31">
        <w:rPr>
          <w:color w:val="000000" w:themeColor="text1"/>
          <w:sz w:val="16"/>
          <w:szCs w:val="16"/>
        </w:rPr>
        <w:t>У меня не поднялась рука на т. Сталина и я не смог выполнить порученной мне задачи. Остальных подробностей не помню, т. к. я очень волновался.</w:t>
      </w:r>
    </w:p>
    <w:p w14:paraId="23314A01" w14:textId="77777777" w:rsidR="006908A4" w:rsidRPr="00507A31" w:rsidRDefault="006908A4" w:rsidP="00507A31">
      <w:pPr>
        <w:jc w:val="both"/>
        <w:rPr>
          <w:color w:val="000000" w:themeColor="text1"/>
          <w:sz w:val="16"/>
          <w:szCs w:val="16"/>
        </w:rPr>
      </w:pPr>
      <w:r w:rsidRPr="00507A31">
        <w:rPr>
          <w:color w:val="000000" w:themeColor="text1"/>
          <w:sz w:val="16"/>
          <w:szCs w:val="16"/>
        </w:rPr>
        <w:t>Вечером того же дня в служебном кабинете ЕВРЕИНОВА я подробно доложил ему об этом. ЕВРЕИНОВ в резкой форме обрушился на меня, он называл меня «трусом», «тряпкой» и категорически заявил, что за нарушение решения Ц.К. Промышленной партии меня ожидает теперь кара. Евреинов приказал мне немедленно искупить свою вину и террористический акт в отношении т. Сталина во что бы то ни стало совершить. Я отказался. Евреинов предложил мне немедленно сдать бомбу и револьвер и сказал, что в отношении меня будет учинена физическая расправа.</w:t>
      </w:r>
    </w:p>
    <w:p w14:paraId="34F0E068" w14:textId="77777777" w:rsidR="006908A4" w:rsidRPr="00507A31" w:rsidRDefault="006908A4" w:rsidP="00507A31">
      <w:pPr>
        <w:jc w:val="both"/>
        <w:rPr>
          <w:color w:val="000000" w:themeColor="text1"/>
          <w:sz w:val="16"/>
          <w:szCs w:val="16"/>
        </w:rPr>
      </w:pPr>
      <w:r w:rsidRPr="00507A31">
        <w:rPr>
          <w:color w:val="000000" w:themeColor="text1"/>
          <w:sz w:val="16"/>
          <w:szCs w:val="16"/>
        </w:rPr>
        <w:t>Даю описание имевшегося у меня оружия:</w:t>
      </w:r>
    </w:p>
    <w:p w14:paraId="17DDB9AB" w14:textId="77777777" w:rsidR="006908A4" w:rsidRPr="00507A31" w:rsidRDefault="006908A4" w:rsidP="00507A31">
      <w:pPr>
        <w:jc w:val="both"/>
        <w:rPr>
          <w:color w:val="000000" w:themeColor="text1"/>
          <w:sz w:val="16"/>
          <w:szCs w:val="16"/>
        </w:rPr>
      </w:pPr>
      <w:r w:rsidRPr="00507A31">
        <w:rPr>
          <w:color w:val="000000" w:themeColor="text1"/>
          <w:sz w:val="16"/>
          <w:szCs w:val="16"/>
        </w:rPr>
        <w:t>револьвер системы Бра[у]нинг № 2 и к нему семь боевых патрон[ов].</w:t>
      </w:r>
    </w:p>
    <w:p w14:paraId="30289E54" w14:textId="77777777" w:rsidR="006908A4" w:rsidRPr="00507A31" w:rsidRDefault="006908A4" w:rsidP="00507A31">
      <w:pPr>
        <w:jc w:val="both"/>
        <w:rPr>
          <w:color w:val="000000" w:themeColor="text1"/>
          <w:sz w:val="16"/>
          <w:szCs w:val="16"/>
        </w:rPr>
      </w:pPr>
      <w:r w:rsidRPr="00507A31">
        <w:rPr>
          <w:color w:val="000000" w:themeColor="text1"/>
          <w:sz w:val="16"/>
          <w:szCs w:val="16"/>
        </w:rPr>
        <w:t>Бомба весом около двух кило, обернутая в серого цвета бумагу, имевшая вид прямоугольной коробки, с боковой стороны которой находилась пружина, приводившая в действие спусковой механизм. Для взрыва бомбы требовалось нажать пружину и сию же минуту бросить бомбу в нужном направлении.</w:t>
      </w:r>
    </w:p>
    <w:p w14:paraId="214EC1C0" w14:textId="77777777" w:rsidR="006908A4" w:rsidRPr="00507A31" w:rsidRDefault="006908A4" w:rsidP="00507A31">
      <w:pPr>
        <w:jc w:val="both"/>
        <w:rPr>
          <w:color w:val="000000" w:themeColor="text1"/>
          <w:sz w:val="16"/>
          <w:szCs w:val="16"/>
        </w:rPr>
      </w:pPr>
      <w:r w:rsidRPr="00507A31">
        <w:rPr>
          <w:color w:val="000000" w:themeColor="text1"/>
          <w:sz w:val="16"/>
          <w:szCs w:val="16"/>
        </w:rPr>
        <w:t>Показание записано собственноручно.</w:t>
      </w:r>
    </w:p>
    <w:p w14:paraId="656BB64B" w14:textId="77777777" w:rsidR="006908A4" w:rsidRPr="00507A31" w:rsidRDefault="006908A4" w:rsidP="00507A31">
      <w:pPr>
        <w:jc w:val="both"/>
        <w:rPr>
          <w:color w:val="000000" w:themeColor="text1"/>
          <w:sz w:val="16"/>
          <w:szCs w:val="16"/>
        </w:rPr>
      </w:pPr>
      <w:r w:rsidRPr="00507A31">
        <w:rPr>
          <w:color w:val="000000" w:themeColor="text1"/>
          <w:sz w:val="16"/>
          <w:szCs w:val="16"/>
        </w:rPr>
        <w:t>С. СМИРНОВ.</w:t>
      </w:r>
    </w:p>
    <w:p w14:paraId="703D4963" w14:textId="77777777" w:rsidR="006908A4" w:rsidRPr="00507A31" w:rsidRDefault="006908A4" w:rsidP="00507A31">
      <w:pPr>
        <w:jc w:val="both"/>
        <w:rPr>
          <w:color w:val="000000" w:themeColor="text1"/>
          <w:sz w:val="16"/>
          <w:szCs w:val="16"/>
        </w:rPr>
      </w:pPr>
      <w:r w:rsidRPr="00507A31">
        <w:rPr>
          <w:color w:val="000000" w:themeColor="text1"/>
          <w:sz w:val="16"/>
          <w:szCs w:val="16"/>
        </w:rPr>
        <w:t>Допросил: Пом. нач. 8-го отделения СООГПУ ВРАЧЕВ.</w:t>
      </w:r>
    </w:p>
    <w:p w14:paraId="7A355B9D" w14:textId="77777777" w:rsidR="006908A4" w:rsidRPr="00507A31" w:rsidRDefault="006908A4" w:rsidP="00507A31">
      <w:pPr>
        <w:jc w:val="both"/>
        <w:rPr>
          <w:color w:val="000000" w:themeColor="text1"/>
          <w:sz w:val="16"/>
          <w:szCs w:val="16"/>
        </w:rPr>
      </w:pPr>
      <w:r w:rsidRPr="00507A31">
        <w:rPr>
          <w:color w:val="000000" w:themeColor="text1"/>
          <w:sz w:val="16"/>
          <w:szCs w:val="16"/>
        </w:rPr>
        <w:t>Д. 354. Л. 86-91. Заверенная машинописная копия того времени. На Л. 86 вверху — штамп о рассылке документа (номер и дата отсутствуют).</w:t>
      </w:r>
    </w:p>
    <w:p w14:paraId="6C089197" w14:textId="77777777" w:rsidR="006908A4" w:rsidRPr="00507A31" w:rsidRDefault="006908A4" w:rsidP="00507A31">
      <w:pPr>
        <w:jc w:val="both"/>
        <w:rPr>
          <w:color w:val="000000" w:themeColor="text1"/>
          <w:sz w:val="16"/>
          <w:szCs w:val="16"/>
        </w:rPr>
      </w:pPr>
      <w:r w:rsidRPr="00507A31">
        <w:rPr>
          <w:color w:val="000000" w:themeColor="text1"/>
          <w:sz w:val="16"/>
          <w:szCs w:val="16"/>
        </w:rPr>
        <w:t>ЦА ФСБ РФ. Ф. Р-42280. Т. 2. Л. 168-171 об. Рукописный подлинник, написанный Врачевым. Внизу каждого листа заверителъная подпись-автограф С. М. Смирнова. На Л. 171 об. подпись-автограф Врачева (18471).</w:t>
      </w:r>
    </w:p>
    <w:p w14:paraId="1FC63BED" w14:textId="77777777" w:rsidR="006908A4" w:rsidRPr="00507A31" w:rsidRDefault="006908A4" w:rsidP="00507A31">
      <w:pPr>
        <w:jc w:val="both"/>
        <w:rPr>
          <w:color w:val="000000" w:themeColor="text1"/>
          <w:sz w:val="16"/>
          <w:szCs w:val="16"/>
        </w:rPr>
      </w:pPr>
    </w:p>
    <w:p w14:paraId="12F5C67F" w14:textId="77777777" w:rsidR="006908A4" w:rsidRPr="00507A31" w:rsidRDefault="006908A4" w:rsidP="00507A31">
      <w:pPr>
        <w:jc w:val="both"/>
        <w:rPr>
          <w:color w:val="000000" w:themeColor="text1"/>
          <w:sz w:val="16"/>
          <w:szCs w:val="16"/>
        </w:rPr>
      </w:pPr>
      <w:r w:rsidRPr="00507A31">
        <w:rPr>
          <w:color w:val="000000" w:themeColor="text1"/>
          <w:sz w:val="16"/>
          <w:szCs w:val="16"/>
        </w:rPr>
        <w:t>20 октября 1930 г.</w:t>
      </w:r>
    </w:p>
    <w:p w14:paraId="79CCAFFA" w14:textId="77777777" w:rsidR="006908A4" w:rsidRPr="00507A31" w:rsidRDefault="006908A4" w:rsidP="00507A31">
      <w:pPr>
        <w:jc w:val="both"/>
        <w:rPr>
          <w:color w:val="000000" w:themeColor="text1"/>
          <w:sz w:val="16"/>
          <w:szCs w:val="16"/>
        </w:rPr>
      </w:pPr>
      <w:r w:rsidRPr="00507A31">
        <w:rPr>
          <w:color w:val="000000" w:themeColor="text1"/>
          <w:sz w:val="16"/>
          <w:szCs w:val="16"/>
        </w:rPr>
        <w:t>Показания И. А. Калинникова о подготовке терактов «против руководителей ВКП(б) и советского правительства». Приложение к сопроводительному письму № П961 о рассылке материалов следствия. 20 октября 1930 г.</w:t>
      </w:r>
    </w:p>
    <w:p w14:paraId="3C8812B7" w14:textId="77777777" w:rsidR="006908A4" w:rsidRPr="00507A31" w:rsidRDefault="006908A4" w:rsidP="00507A31">
      <w:pPr>
        <w:jc w:val="both"/>
        <w:rPr>
          <w:color w:val="000000" w:themeColor="text1"/>
          <w:sz w:val="16"/>
          <w:szCs w:val="16"/>
        </w:rPr>
      </w:pPr>
      <w:r w:rsidRPr="00507A31">
        <w:rPr>
          <w:color w:val="000000" w:themeColor="text1"/>
          <w:sz w:val="16"/>
          <w:szCs w:val="16"/>
        </w:rPr>
        <w:t>Источник: </w:t>
      </w:r>
    </w:p>
    <w:p w14:paraId="4B42CAED" w14:textId="77777777" w:rsidR="006908A4" w:rsidRPr="00507A31" w:rsidRDefault="006908A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C6FB4C5" w14:textId="77777777" w:rsidR="006908A4" w:rsidRPr="00507A31" w:rsidRDefault="006908A4" w:rsidP="00507A31">
      <w:pPr>
        <w:jc w:val="both"/>
        <w:rPr>
          <w:color w:val="000000" w:themeColor="text1"/>
          <w:sz w:val="16"/>
          <w:szCs w:val="16"/>
        </w:rPr>
      </w:pPr>
      <w:r w:rsidRPr="00507A31">
        <w:rPr>
          <w:color w:val="000000" w:themeColor="text1"/>
          <w:sz w:val="16"/>
          <w:szCs w:val="16"/>
        </w:rPr>
        <w:t>Архив: </w:t>
      </w:r>
    </w:p>
    <w:p w14:paraId="4476DF21" w14:textId="77777777" w:rsidR="006908A4" w:rsidRPr="00507A31" w:rsidRDefault="006908A4" w:rsidP="00507A31">
      <w:pPr>
        <w:jc w:val="both"/>
        <w:rPr>
          <w:color w:val="000000" w:themeColor="text1"/>
          <w:sz w:val="16"/>
          <w:szCs w:val="16"/>
        </w:rPr>
      </w:pPr>
      <w:r w:rsidRPr="00507A31">
        <w:rPr>
          <w:color w:val="000000" w:themeColor="text1"/>
          <w:sz w:val="16"/>
          <w:szCs w:val="16"/>
        </w:rPr>
        <w:t>ЦА ФСБ РФ. Ф. Р-42280. Т. 2. Л. 235-239</w:t>
      </w:r>
    </w:p>
    <w:p w14:paraId="1F5ACE9B" w14:textId="77777777" w:rsidR="006908A4" w:rsidRPr="00507A31" w:rsidRDefault="006908A4" w:rsidP="00507A31">
      <w:pPr>
        <w:jc w:val="both"/>
        <w:rPr>
          <w:color w:val="000000" w:themeColor="text1"/>
          <w:sz w:val="16"/>
          <w:szCs w:val="16"/>
        </w:rPr>
      </w:pPr>
      <w:r w:rsidRPr="00507A31">
        <w:rPr>
          <w:color w:val="000000" w:themeColor="text1"/>
          <w:sz w:val="16"/>
          <w:szCs w:val="16"/>
        </w:rPr>
        <w:t>от 20 октября 1930 г.</w:t>
      </w:r>
    </w:p>
    <w:p w14:paraId="79B4CD12" w14:textId="77777777" w:rsidR="006908A4" w:rsidRPr="00507A31" w:rsidRDefault="006908A4" w:rsidP="00507A31">
      <w:pPr>
        <w:jc w:val="both"/>
        <w:rPr>
          <w:color w:val="000000" w:themeColor="text1"/>
          <w:sz w:val="16"/>
          <w:szCs w:val="16"/>
        </w:rPr>
      </w:pPr>
      <w:r w:rsidRPr="00507A31">
        <w:rPr>
          <w:color w:val="000000" w:themeColor="text1"/>
          <w:sz w:val="16"/>
          <w:szCs w:val="16"/>
        </w:rPr>
        <w:t>[СТРОГО СЕКРЕТНО]</w:t>
      </w:r>
    </w:p>
    <w:p w14:paraId="282C37A8" w14:textId="77777777" w:rsidR="006908A4" w:rsidRPr="00507A31" w:rsidRDefault="006908A4" w:rsidP="00507A31">
      <w:pPr>
        <w:jc w:val="both"/>
        <w:rPr>
          <w:color w:val="000000" w:themeColor="text1"/>
          <w:sz w:val="16"/>
          <w:szCs w:val="16"/>
        </w:rPr>
      </w:pPr>
      <w:r w:rsidRPr="00507A31">
        <w:rPr>
          <w:color w:val="000000" w:themeColor="text1"/>
          <w:sz w:val="16"/>
          <w:szCs w:val="16"/>
        </w:rPr>
        <w:t>ПРОТОКОЛ ДОПРОСА</w:t>
      </w:r>
    </w:p>
    <w:p w14:paraId="435FF548" w14:textId="77777777" w:rsidR="006908A4" w:rsidRPr="00507A31" w:rsidRDefault="006908A4" w:rsidP="00507A31">
      <w:pPr>
        <w:jc w:val="both"/>
        <w:rPr>
          <w:color w:val="000000" w:themeColor="text1"/>
          <w:sz w:val="16"/>
          <w:szCs w:val="16"/>
        </w:rPr>
      </w:pPr>
      <w:r w:rsidRPr="00507A31">
        <w:rPr>
          <w:color w:val="000000" w:themeColor="text1"/>
          <w:sz w:val="16"/>
          <w:szCs w:val="16"/>
        </w:rPr>
        <w:t>КАЛИННИКОВА Ивана Андреевича от 17/Х-1930 г.</w:t>
      </w:r>
    </w:p>
    <w:p w14:paraId="5351AF69" w14:textId="77777777" w:rsidR="006908A4" w:rsidRPr="00507A31" w:rsidRDefault="006908A4" w:rsidP="00507A31">
      <w:pPr>
        <w:jc w:val="both"/>
        <w:rPr>
          <w:color w:val="000000" w:themeColor="text1"/>
          <w:sz w:val="16"/>
          <w:szCs w:val="16"/>
        </w:rPr>
      </w:pPr>
      <w:r w:rsidRPr="00507A31">
        <w:rPr>
          <w:color w:val="000000" w:themeColor="text1"/>
          <w:sz w:val="16"/>
          <w:szCs w:val="16"/>
        </w:rPr>
        <w:t>Допросили: пом. нач. СОУ ОГПУ т. АГРАНОВ</w:t>
      </w:r>
    </w:p>
    <w:p w14:paraId="7FC32A54" w14:textId="77777777" w:rsidR="006908A4" w:rsidRPr="00507A31" w:rsidRDefault="006908A4" w:rsidP="00507A31">
      <w:pPr>
        <w:jc w:val="both"/>
        <w:rPr>
          <w:color w:val="000000" w:themeColor="text1"/>
          <w:sz w:val="16"/>
          <w:szCs w:val="16"/>
        </w:rPr>
      </w:pPr>
      <w:r w:rsidRPr="00507A31">
        <w:rPr>
          <w:color w:val="000000" w:themeColor="text1"/>
          <w:sz w:val="16"/>
          <w:szCs w:val="16"/>
        </w:rPr>
        <w:t>пом. нач. 3 отделения СО т. РАДЗИВИЛОВСКИЙ</w:t>
      </w:r>
    </w:p>
    <w:p w14:paraId="7D3BDAE3" w14:textId="77777777" w:rsidR="006908A4" w:rsidRPr="00507A31" w:rsidRDefault="006908A4" w:rsidP="00507A31">
      <w:pPr>
        <w:jc w:val="both"/>
        <w:rPr>
          <w:color w:val="000000" w:themeColor="text1"/>
          <w:sz w:val="16"/>
          <w:szCs w:val="16"/>
        </w:rPr>
      </w:pPr>
      <w:r w:rsidRPr="00507A31">
        <w:rPr>
          <w:color w:val="000000" w:themeColor="text1"/>
          <w:sz w:val="16"/>
          <w:szCs w:val="16"/>
        </w:rPr>
        <w:t>Примерно в средних числах мая с. г. РАМЗИН поручил мне повести переговоры с б[ыв]. генералом НОВИЦКИМ на предмет выявления отношения военной организации «Промышленной партии» к террористическим актам против руководителей ВКП(б) и советского правительства, а также выявления вопроса о снабжении оружием и необходимым снаряжением боевой организации Промышленной партии.</w:t>
      </w:r>
    </w:p>
    <w:p w14:paraId="7C4938C3" w14:textId="77777777" w:rsidR="006908A4" w:rsidRPr="00507A31" w:rsidRDefault="006908A4" w:rsidP="00507A31">
      <w:pPr>
        <w:jc w:val="both"/>
        <w:rPr>
          <w:color w:val="000000" w:themeColor="text1"/>
          <w:sz w:val="16"/>
          <w:szCs w:val="16"/>
        </w:rPr>
      </w:pPr>
      <w:r w:rsidRPr="00507A31">
        <w:rPr>
          <w:color w:val="000000" w:themeColor="text1"/>
          <w:sz w:val="16"/>
          <w:szCs w:val="16"/>
        </w:rPr>
        <w:t>Во исполнение этого поручения РАМЗИН А я имел беседу с б[ыв]. генер[алом] НОВИЦКИМ, из которой выяснил, что генер[ал] НОВИЦКИЙ имел непосредственно это поручение от РАМЗИНА и сообщил уже ему, что возглавляемая НОВИЦКИМ военная организация «Промпартии» сочувствует совершению терактов, однако способствовать выдаче оружия и снаряжения для этого может при условии организации теракта против председателя] Реввоенсовета т. ВОРОШИЛОВА. Этот теракт, по мнению военной организации «Промпартии», со слов НОВИЦКОГО, должен был способствовать устранению одного из видных членов ЦК ВКП(б) и проводников генеральной линии ВКП(б) и ослаблению командования в Красной армии.</w:t>
      </w:r>
    </w:p>
    <w:p w14:paraId="20138C40" w14:textId="77777777" w:rsidR="006908A4" w:rsidRPr="00507A31" w:rsidRDefault="006908A4" w:rsidP="00507A31">
      <w:pPr>
        <w:jc w:val="both"/>
        <w:rPr>
          <w:color w:val="000000" w:themeColor="text1"/>
          <w:sz w:val="16"/>
          <w:szCs w:val="16"/>
        </w:rPr>
      </w:pPr>
      <w:r w:rsidRPr="00507A31">
        <w:rPr>
          <w:color w:val="000000" w:themeColor="text1"/>
          <w:sz w:val="16"/>
          <w:szCs w:val="16"/>
        </w:rPr>
        <w:lastRenderedPageBreak/>
        <w:t>О своих переговорах с НОВИЦКИМ и сведениях, полученных мною от НОВИЦКОГО[,] я счел бе[с]полезным сообщать РАМЗИНУ, как ему уже известных из непосредственного сношения с НОВИЦКИМ.</w:t>
      </w:r>
    </w:p>
    <w:p w14:paraId="28F82D05" w14:textId="77777777" w:rsidR="006908A4" w:rsidRPr="00507A31" w:rsidRDefault="006908A4" w:rsidP="00507A31">
      <w:pPr>
        <w:jc w:val="both"/>
        <w:rPr>
          <w:color w:val="000000" w:themeColor="text1"/>
          <w:sz w:val="16"/>
          <w:szCs w:val="16"/>
        </w:rPr>
      </w:pPr>
      <w:r w:rsidRPr="00507A31">
        <w:rPr>
          <w:color w:val="000000" w:themeColor="text1"/>
          <w:sz w:val="16"/>
          <w:szCs w:val="16"/>
        </w:rPr>
        <w:t>Вслед за этим в конце мая с. г. состоялось экстренное заседание Центрального комитета «Промпартии» в составе: РАМЗИНА, ЧАРНОВСКОГО, меня — КАЛИННИКОВА, ОСАДЧЕГО и ШЕИНА.</w:t>
      </w:r>
    </w:p>
    <w:p w14:paraId="53E3F461" w14:textId="77777777" w:rsidR="006908A4" w:rsidRPr="00507A31" w:rsidRDefault="006908A4" w:rsidP="00507A31">
      <w:pPr>
        <w:jc w:val="both"/>
        <w:rPr>
          <w:color w:val="000000" w:themeColor="text1"/>
          <w:sz w:val="16"/>
          <w:szCs w:val="16"/>
        </w:rPr>
      </w:pPr>
      <w:r w:rsidRPr="00507A31">
        <w:rPr>
          <w:color w:val="000000" w:themeColor="text1"/>
          <w:sz w:val="16"/>
          <w:szCs w:val="16"/>
        </w:rPr>
        <w:t>РАМЗИН выступил с прямым предложением террористического акта против СТАЛИНА. Я по предложению РАМЗИНА, информируя ЦК на основе Рамзинских и моих переговоров с генералом НОВИЦКИМ, о настроении военной организации за теракты, передал их предложение, как объекта теракта, т. ВОРОШИЛОВА. ШЕИН предложил теракт против КУЙБЫШЕВА.</w:t>
      </w:r>
    </w:p>
    <w:p w14:paraId="6B2305BA" w14:textId="77777777" w:rsidR="006908A4" w:rsidRPr="00507A31" w:rsidRDefault="006908A4" w:rsidP="00507A31">
      <w:pPr>
        <w:jc w:val="both"/>
        <w:rPr>
          <w:color w:val="000000" w:themeColor="text1"/>
          <w:sz w:val="16"/>
          <w:szCs w:val="16"/>
        </w:rPr>
      </w:pPr>
      <w:r w:rsidRPr="00507A31">
        <w:rPr>
          <w:color w:val="000000" w:themeColor="text1"/>
          <w:sz w:val="16"/>
          <w:szCs w:val="16"/>
        </w:rPr>
        <w:t>ЦК «Промпартии» принял предложение РАМЗИНА и внесенные на заседания дополнения и поручил РАМЗИНУ организовать покушения в следующем порядке — СТАЛИН, ВОРОШИЛОВ, ЯГОДА, МЕНЖИНСКИЙ и КУЙБЫШЕВ.</w:t>
      </w:r>
    </w:p>
    <w:p w14:paraId="399F9E44" w14:textId="77777777" w:rsidR="006908A4" w:rsidRPr="00507A31" w:rsidRDefault="006908A4" w:rsidP="00507A31">
      <w:pPr>
        <w:jc w:val="both"/>
        <w:rPr>
          <w:color w:val="000000" w:themeColor="text1"/>
          <w:sz w:val="16"/>
          <w:szCs w:val="16"/>
        </w:rPr>
      </w:pPr>
      <w:r w:rsidRPr="00507A31">
        <w:rPr>
          <w:color w:val="000000" w:themeColor="text1"/>
          <w:sz w:val="16"/>
          <w:szCs w:val="16"/>
        </w:rPr>
        <w:t>Предлагая теракт против СТАЛИНА, РАМЗИН мотивировал его необходимостью устранить главного руководителя генеральной линии ВКП(б) и тем самым способствовать укреплению и победе правых в партии большевиков. Проведение этого акта накануне XVI партсъезда должно было способствовать парализации большинства в ЦК ВКП(б) и окончательной победе правых.</w:t>
      </w:r>
    </w:p>
    <w:p w14:paraId="3B876D8C" w14:textId="77777777" w:rsidR="006908A4" w:rsidRPr="00507A31" w:rsidRDefault="006908A4" w:rsidP="00507A31">
      <w:pPr>
        <w:jc w:val="both"/>
        <w:rPr>
          <w:color w:val="000000" w:themeColor="text1"/>
          <w:sz w:val="16"/>
          <w:szCs w:val="16"/>
        </w:rPr>
      </w:pPr>
      <w:r w:rsidRPr="00507A31">
        <w:rPr>
          <w:color w:val="000000" w:themeColor="text1"/>
          <w:sz w:val="16"/>
          <w:szCs w:val="16"/>
        </w:rPr>
        <w:t>Одновременно с переходом руководства в ВКП(б) к правым должно измениться положение инженерства. В ответ на ту помощь, которую Промпартия оказала бы правым коммунистам в завоевании руководящего положения в ВКП(б), правые должны будут стать на защиту угнетенного, по мнению ЦК Промпартии, инженерства. ОСАДЧИЙ и ШЕЙН согласились с такой установкой РАМЗИНА, ибо правые коммунисты явились бы, таким образом, моральными соучастниками террористических актов и пошли бы на значительное смягчение участи и наказания заключенных инженеров и на предоставление больших льгот инженерам, находящимся на свободе. ЧАРНОВСКИЙ выставлял следующие соображения в случае убийства ЯГОДЫ и МЕНЖИНСКОГО. По его мнению, снятие головки ОГПУ должно на некоторое время произвести деморализацию руководящего состава ОГПУ и до назначения новых руководителей ОГПУ со стороны правых коммунистов затормозить работу ОГПУ и тем самым предотвратить красный террор со стороны ОГПУ.</w:t>
      </w:r>
    </w:p>
    <w:p w14:paraId="55825B57" w14:textId="77777777" w:rsidR="006908A4" w:rsidRPr="00507A31" w:rsidRDefault="006908A4" w:rsidP="00507A31">
      <w:pPr>
        <w:jc w:val="both"/>
        <w:rPr>
          <w:color w:val="000000" w:themeColor="text1"/>
          <w:sz w:val="16"/>
          <w:szCs w:val="16"/>
        </w:rPr>
      </w:pPr>
      <w:r w:rsidRPr="00507A31">
        <w:rPr>
          <w:color w:val="000000" w:themeColor="text1"/>
          <w:sz w:val="16"/>
          <w:szCs w:val="16"/>
        </w:rPr>
        <w:t>ЦК Промпартии, принимая решение о терактах против ЯГОДЫ и МЕНЖИНСКОГО, считал их особенно яркими сторонниками сталинской линии ВКП(б) и лично СТАЛИНА.</w:t>
      </w:r>
    </w:p>
    <w:p w14:paraId="04F6FD63" w14:textId="77777777" w:rsidR="006908A4" w:rsidRPr="00507A31" w:rsidRDefault="006908A4" w:rsidP="00507A31">
      <w:pPr>
        <w:jc w:val="both"/>
        <w:rPr>
          <w:color w:val="000000" w:themeColor="text1"/>
          <w:sz w:val="16"/>
          <w:szCs w:val="16"/>
        </w:rPr>
      </w:pPr>
      <w:r w:rsidRPr="00507A31">
        <w:rPr>
          <w:color w:val="000000" w:themeColor="text1"/>
          <w:sz w:val="16"/>
          <w:szCs w:val="16"/>
        </w:rPr>
        <w:t>ШЕЙН, выдвигая теракт против КУЙБЫШЕВА, мотивировал необходимость его устранения тем, что КУЙБЫШЕВ без критики соглашается с предложениями ОГПУ об арестах инженеров и тем самым способствует усилению репрессий и угнетенному положению инженеров.</w:t>
      </w:r>
    </w:p>
    <w:p w14:paraId="12637E35" w14:textId="77777777" w:rsidR="006908A4" w:rsidRPr="00507A31" w:rsidRDefault="006908A4" w:rsidP="00507A31">
      <w:pPr>
        <w:jc w:val="both"/>
        <w:rPr>
          <w:color w:val="000000" w:themeColor="text1"/>
          <w:sz w:val="16"/>
          <w:szCs w:val="16"/>
        </w:rPr>
      </w:pPr>
      <w:r w:rsidRPr="00507A31">
        <w:rPr>
          <w:color w:val="000000" w:themeColor="text1"/>
          <w:sz w:val="16"/>
          <w:szCs w:val="16"/>
        </w:rPr>
        <w:t>В исполнение настоящего решения ЦК «Промпартии», РАМЗИН должен был привлечь к организации терактов инж. ПРЕДТЕЧЕНСКОГО, как руководителя боевых дружин, и генерала НОВИЦКОГО, руководителя военной организацией Промпартии.</w:t>
      </w:r>
    </w:p>
    <w:p w14:paraId="0DED766C" w14:textId="77777777" w:rsidR="006908A4" w:rsidRPr="00507A31" w:rsidRDefault="006908A4" w:rsidP="00507A31">
      <w:pPr>
        <w:jc w:val="both"/>
        <w:rPr>
          <w:color w:val="000000" w:themeColor="text1"/>
          <w:sz w:val="16"/>
          <w:szCs w:val="16"/>
        </w:rPr>
      </w:pPr>
      <w:r w:rsidRPr="00507A31">
        <w:rPr>
          <w:color w:val="000000" w:themeColor="text1"/>
          <w:sz w:val="16"/>
          <w:szCs w:val="16"/>
        </w:rPr>
        <w:t>РАМЗИН информировал ЦК Промпартии, что общее количество членов боевой организации Промпартии около 30-40 человек, во главе которых стоят руководители отдельных групп — ЕВРЕИНОВ, КОЗЛИНСКИЙ и ДАВИДОВ и что им, РАМЗИНЫМ, подготовлена специальная инструкция для исполнителей террористических актов.</w:t>
      </w:r>
    </w:p>
    <w:p w14:paraId="69E4C56E" w14:textId="77777777" w:rsidR="006908A4" w:rsidRPr="00507A31" w:rsidRDefault="006908A4" w:rsidP="00507A31">
      <w:pPr>
        <w:jc w:val="both"/>
        <w:rPr>
          <w:color w:val="000000" w:themeColor="text1"/>
          <w:sz w:val="16"/>
          <w:szCs w:val="16"/>
        </w:rPr>
      </w:pPr>
      <w:r w:rsidRPr="00507A31">
        <w:rPr>
          <w:color w:val="000000" w:themeColor="text1"/>
          <w:sz w:val="16"/>
          <w:szCs w:val="16"/>
        </w:rPr>
        <w:t>Вскоре после этого заседания ЦК Промпартии я встретился в Академии В[оенно-]В[оздушного] Флота с НОВИЦКИМ и осведомился относительно данного им обязательства по доставке оружия и снаряжения. НОВИЦКИЙ сообщил мне, что он уже договорился о получении 10-12 револьверов от заведующего складом военно-технического снабжения слушательского и командного состава Академии Военного Воздушного Флота. Для снабжения боевой организации бомбами НОВИЦКИЙ вел переговоры со знакомыми ему артиллеристами. По состоявшемуся соглашению НОВИЦКОГО с РАМЗИНЫМ[,] как мне сказал НОВИЦКИЙ, оружие и бомбы он непосредственно передаст РАМЗИНУ, который в свою очередь направит их ПРЕДТЕЧЕНСКОМУ.</w:t>
      </w:r>
    </w:p>
    <w:p w14:paraId="0876EFA5" w14:textId="77777777" w:rsidR="006908A4" w:rsidRPr="00507A31" w:rsidRDefault="006908A4" w:rsidP="00507A31">
      <w:pPr>
        <w:jc w:val="both"/>
        <w:rPr>
          <w:color w:val="000000" w:themeColor="text1"/>
          <w:sz w:val="16"/>
          <w:szCs w:val="16"/>
        </w:rPr>
      </w:pPr>
      <w:r w:rsidRPr="00507A31">
        <w:rPr>
          <w:color w:val="000000" w:themeColor="text1"/>
          <w:sz w:val="16"/>
          <w:szCs w:val="16"/>
        </w:rPr>
        <w:t>В конце мая я встретился с РАМЗИНЫМ в Госплане и мы поехали с ним в Академию Военного Воздушного Флота на машине РАМ ЗИНА. Приехав в Академию, я прошел в Лабораторию испытания материалов, а РАМЗИН в главное здание Академии к НОВИЦКОМУ. Через час, примерно, за мной в Лабораторию зашли РАМЗИН и НОВИЦКИЙ с туго наполненными портфелями и еще со свертками «книг» в картонных папках, у каждого было по портфелю и по свертку «книг». Я догадался, почему НОВИЦКИЙ так упаковал; на портфели и книги не требуется пропуска у ворот Академии. Дорогой я узнал, что в свертках и портфелях были упакованы полдюжины револьверов и несколько бомб. С НОВИЦКИМ и РАМЗИНЫМ я доехал до Садовой, они по Тверской поехали к центру, а я на трамвае (5) домой.</w:t>
      </w:r>
    </w:p>
    <w:p w14:paraId="55D448E2" w14:textId="77777777" w:rsidR="006908A4" w:rsidRPr="00507A31" w:rsidRDefault="006908A4" w:rsidP="00507A31">
      <w:pPr>
        <w:jc w:val="both"/>
        <w:rPr>
          <w:color w:val="000000" w:themeColor="text1"/>
          <w:sz w:val="16"/>
          <w:szCs w:val="16"/>
        </w:rPr>
      </w:pPr>
      <w:r w:rsidRPr="00507A31">
        <w:rPr>
          <w:color w:val="000000" w:themeColor="text1"/>
          <w:sz w:val="16"/>
          <w:szCs w:val="16"/>
        </w:rPr>
        <w:t>Дня через два я должен быть в Академии на занятиях и условился с НОВИЦКИМ и РАМЗИНЫМ (когда мы ехали из Академии), что НОВИЦКИЙ перешлет со мною еще один такой же сверток на подобие «книг» и я их привезу в Госплан, куда РАМЗИН, извещенный НОВИЦКИМ, вышлет за ним на машине ПРЕДТЕЧЕНСКОГО. Так было мною исполнено, т. е. еще сверток доставлен РАМЗИНУ.</w:t>
      </w:r>
    </w:p>
    <w:p w14:paraId="4BFCEBEE" w14:textId="77777777" w:rsidR="006908A4" w:rsidRPr="00507A31" w:rsidRDefault="006908A4" w:rsidP="00507A31">
      <w:pPr>
        <w:jc w:val="both"/>
        <w:rPr>
          <w:color w:val="000000" w:themeColor="text1"/>
          <w:sz w:val="16"/>
          <w:szCs w:val="16"/>
        </w:rPr>
      </w:pPr>
      <w:r w:rsidRPr="00507A31">
        <w:rPr>
          <w:color w:val="000000" w:themeColor="text1"/>
          <w:sz w:val="16"/>
          <w:szCs w:val="16"/>
        </w:rPr>
        <w:t>В заключении настоящего тягостного показания считаю долгом особенно подчеркнуть, что инициатором, проводником через ЦК Промпартии и оперативным исполнителем задуманных террористических актов был злой гений РАМЗИНА, который своей непреклонной волей и своей дьявольской настойчивостью растворял и устранял всякие попытки сопротивления с моей стороны.</w:t>
      </w:r>
    </w:p>
    <w:p w14:paraId="40F3DD88" w14:textId="77777777" w:rsidR="006908A4" w:rsidRPr="00507A31" w:rsidRDefault="006908A4" w:rsidP="00507A31">
      <w:pPr>
        <w:jc w:val="both"/>
        <w:rPr>
          <w:color w:val="000000" w:themeColor="text1"/>
          <w:sz w:val="16"/>
          <w:szCs w:val="16"/>
        </w:rPr>
      </w:pPr>
      <w:r w:rsidRPr="00507A31">
        <w:rPr>
          <w:color w:val="000000" w:themeColor="text1"/>
          <w:sz w:val="16"/>
          <w:szCs w:val="16"/>
        </w:rPr>
        <w:t>17/Х-30 г. И. КАЛИННИКОВ.</w:t>
      </w:r>
    </w:p>
    <w:p w14:paraId="66867C9A" w14:textId="77777777" w:rsidR="006908A4" w:rsidRPr="00507A31" w:rsidRDefault="006908A4" w:rsidP="00507A31">
      <w:pPr>
        <w:jc w:val="both"/>
        <w:rPr>
          <w:color w:val="000000" w:themeColor="text1"/>
          <w:sz w:val="16"/>
          <w:szCs w:val="16"/>
        </w:rPr>
      </w:pPr>
      <w:r w:rsidRPr="00507A31">
        <w:rPr>
          <w:color w:val="000000" w:themeColor="text1"/>
          <w:sz w:val="16"/>
          <w:szCs w:val="16"/>
        </w:rPr>
        <w:t>Допросили: ПОМ НАЧ СОУ ОГПУ АГРАНОВ</w:t>
      </w:r>
    </w:p>
    <w:p w14:paraId="506703C0" w14:textId="77777777" w:rsidR="006908A4" w:rsidRPr="00507A31" w:rsidRDefault="006908A4" w:rsidP="00507A31">
      <w:pPr>
        <w:jc w:val="both"/>
        <w:rPr>
          <w:color w:val="000000" w:themeColor="text1"/>
          <w:sz w:val="16"/>
          <w:szCs w:val="16"/>
        </w:rPr>
      </w:pPr>
      <w:r w:rsidRPr="00507A31">
        <w:rPr>
          <w:color w:val="000000" w:themeColor="text1"/>
          <w:sz w:val="16"/>
          <w:szCs w:val="16"/>
        </w:rPr>
        <w:t>П/НАЧ 3 ОТД СО РАДЗИВИЛОВСКИЙ</w:t>
      </w:r>
    </w:p>
    <w:p w14:paraId="1B07B47E" w14:textId="77777777" w:rsidR="006908A4" w:rsidRPr="00507A31" w:rsidRDefault="006908A4" w:rsidP="00507A31">
      <w:pPr>
        <w:jc w:val="both"/>
        <w:rPr>
          <w:color w:val="000000" w:themeColor="text1"/>
          <w:sz w:val="16"/>
          <w:szCs w:val="16"/>
        </w:rPr>
      </w:pPr>
      <w:r w:rsidRPr="00507A31">
        <w:rPr>
          <w:color w:val="000000" w:themeColor="text1"/>
          <w:sz w:val="16"/>
          <w:szCs w:val="16"/>
        </w:rPr>
        <w:t>Д. 354. Л. 78-81. Заверенная машинописная копия того времени. На Л. 78 вверху — штамп о рассылке документа (номер и дата отсутствуют).</w:t>
      </w:r>
    </w:p>
    <w:p w14:paraId="11A41427" w14:textId="77777777" w:rsidR="006908A4" w:rsidRPr="00507A31" w:rsidRDefault="006908A4" w:rsidP="00507A31">
      <w:pPr>
        <w:jc w:val="both"/>
        <w:rPr>
          <w:color w:val="000000" w:themeColor="text1"/>
          <w:sz w:val="16"/>
          <w:szCs w:val="16"/>
        </w:rPr>
      </w:pPr>
      <w:r w:rsidRPr="00507A31">
        <w:rPr>
          <w:color w:val="000000" w:themeColor="text1"/>
          <w:sz w:val="16"/>
          <w:szCs w:val="16"/>
        </w:rPr>
        <w:t>ЦА ФСБ РФ. Ф. Р-42280. Т. 2. Л. 235-239. Рукописный подлинник показаний И. А. Калинникова от 17 октября 1930 г., написанный им собственноручно в форме протокола допроса с указанием допросивших (Агранов и Радзивиловский). В конце каждого листа заверителъная подпись-автограф Калинникова. На Л. 239 — подпись-автограф Раздзивиловского (18472).</w:t>
      </w:r>
    </w:p>
    <w:p w14:paraId="5EA5CF7E" w14:textId="77777777" w:rsidR="006908A4" w:rsidRPr="00507A31" w:rsidRDefault="006908A4" w:rsidP="00507A31">
      <w:pPr>
        <w:jc w:val="both"/>
        <w:rPr>
          <w:color w:val="000000" w:themeColor="text1"/>
          <w:sz w:val="16"/>
          <w:szCs w:val="16"/>
        </w:rPr>
      </w:pPr>
    </w:p>
    <w:p w14:paraId="1A15FEE0" w14:textId="77777777" w:rsidR="006908A4" w:rsidRPr="00507A31" w:rsidRDefault="006908A4" w:rsidP="00507A31">
      <w:pPr>
        <w:jc w:val="both"/>
        <w:rPr>
          <w:color w:val="000000" w:themeColor="text1"/>
          <w:sz w:val="16"/>
          <w:szCs w:val="16"/>
        </w:rPr>
      </w:pPr>
      <w:r w:rsidRPr="00507A31">
        <w:rPr>
          <w:color w:val="000000" w:themeColor="text1"/>
          <w:sz w:val="16"/>
          <w:szCs w:val="16"/>
        </w:rPr>
        <w:t>20 октября 1930 г.</w:t>
      </w:r>
    </w:p>
    <w:p w14:paraId="58DF92A4" w14:textId="77777777" w:rsidR="006908A4" w:rsidRPr="00507A31" w:rsidRDefault="006908A4" w:rsidP="00507A31">
      <w:pPr>
        <w:jc w:val="both"/>
        <w:rPr>
          <w:color w:val="000000" w:themeColor="text1"/>
          <w:sz w:val="16"/>
          <w:szCs w:val="16"/>
        </w:rPr>
      </w:pPr>
      <w:r w:rsidRPr="00507A31">
        <w:rPr>
          <w:color w:val="000000" w:themeColor="text1"/>
          <w:sz w:val="16"/>
          <w:szCs w:val="16"/>
        </w:rPr>
        <w:t>Показания Н. Ф. Чарновского о подготовке терактов «против вождей партии и политических деятелей». Приложение к сопроводительному письму № П961 о рассылке материалов следствия от 20 октября 1930 г.</w:t>
      </w:r>
    </w:p>
    <w:p w14:paraId="1409916C" w14:textId="77777777" w:rsidR="006908A4" w:rsidRPr="00507A31" w:rsidRDefault="006908A4" w:rsidP="00507A31">
      <w:pPr>
        <w:jc w:val="both"/>
        <w:rPr>
          <w:color w:val="000000" w:themeColor="text1"/>
          <w:sz w:val="16"/>
          <w:szCs w:val="16"/>
        </w:rPr>
      </w:pPr>
      <w:r w:rsidRPr="00507A31">
        <w:rPr>
          <w:color w:val="000000" w:themeColor="text1"/>
          <w:sz w:val="16"/>
          <w:szCs w:val="16"/>
        </w:rPr>
        <w:t>Источник: </w:t>
      </w:r>
    </w:p>
    <w:p w14:paraId="4E1C88AB" w14:textId="77777777" w:rsidR="006908A4" w:rsidRPr="00507A31" w:rsidRDefault="006908A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7B3D6F2" w14:textId="77777777" w:rsidR="006908A4" w:rsidRPr="00507A31" w:rsidRDefault="006908A4" w:rsidP="00507A31">
      <w:pPr>
        <w:jc w:val="both"/>
        <w:rPr>
          <w:color w:val="000000" w:themeColor="text1"/>
          <w:sz w:val="16"/>
          <w:szCs w:val="16"/>
        </w:rPr>
      </w:pPr>
      <w:r w:rsidRPr="00507A31">
        <w:rPr>
          <w:color w:val="000000" w:themeColor="text1"/>
          <w:sz w:val="16"/>
          <w:szCs w:val="16"/>
        </w:rPr>
        <w:t>Архив: </w:t>
      </w:r>
    </w:p>
    <w:p w14:paraId="0949DF0E" w14:textId="77777777" w:rsidR="006908A4" w:rsidRPr="00507A31" w:rsidRDefault="006908A4" w:rsidP="00507A31">
      <w:pPr>
        <w:jc w:val="both"/>
        <w:rPr>
          <w:color w:val="000000" w:themeColor="text1"/>
          <w:sz w:val="16"/>
          <w:szCs w:val="16"/>
        </w:rPr>
      </w:pPr>
      <w:r w:rsidRPr="00507A31">
        <w:rPr>
          <w:color w:val="000000" w:themeColor="text1"/>
          <w:sz w:val="16"/>
          <w:szCs w:val="16"/>
        </w:rPr>
        <w:t>ЦА ФСБ РФ. Ф. Р-42280. Т. 2. Л. 250-252</w:t>
      </w:r>
    </w:p>
    <w:p w14:paraId="71FEC718" w14:textId="77777777" w:rsidR="006908A4" w:rsidRPr="00507A31" w:rsidRDefault="006908A4" w:rsidP="00507A31">
      <w:pPr>
        <w:jc w:val="both"/>
        <w:rPr>
          <w:color w:val="000000" w:themeColor="text1"/>
          <w:sz w:val="16"/>
          <w:szCs w:val="16"/>
        </w:rPr>
      </w:pPr>
      <w:r w:rsidRPr="00507A31">
        <w:rPr>
          <w:color w:val="000000" w:themeColor="text1"/>
          <w:sz w:val="16"/>
          <w:szCs w:val="16"/>
        </w:rPr>
        <w:t>от 20 октября 1930 г.</w:t>
      </w:r>
    </w:p>
    <w:p w14:paraId="5628C799" w14:textId="77777777" w:rsidR="006908A4" w:rsidRPr="00507A31" w:rsidRDefault="006908A4" w:rsidP="00507A31">
      <w:pPr>
        <w:jc w:val="both"/>
        <w:rPr>
          <w:color w:val="000000" w:themeColor="text1"/>
          <w:sz w:val="16"/>
          <w:szCs w:val="16"/>
        </w:rPr>
      </w:pPr>
      <w:r w:rsidRPr="00507A31">
        <w:rPr>
          <w:color w:val="000000" w:themeColor="text1"/>
          <w:sz w:val="16"/>
          <w:szCs w:val="16"/>
        </w:rPr>
        <w:t>СТРОГО СЕКРЕТНО</w:t>
      </w:r>
    </w:p>
    <w:p w14:paraId="757E175D" w14:textId="77777777" w:rsidR="006908A4" w:rsidRPr="00507A31" w:rsidRDefault="006908A4" w:rsidP="00507A31">
      <w:pPr>
        <w:jc w:val="both"/>
        <w:rPr>
          <w:color w:val="000000" w:themeColor="text1"/>
          <w:sz w:val="16"/>
          <w:szCs w:val="16"/>
        </w:rPr>
      </w:pPr>
      <w:r w:rsidRPr="00507A31">
        <w:rPr>
          <w:color w:val="000000" w:themeColor="text1"/>
          <w:sz w:val="16"/>
          <w:szCs w:val="16"/>
        </w:rPr>
        <w:t>ПОКАЗАНИЯ</w:t>
      </w:r>
    </w:p>
    <w:p w14:paraId="01534260" w14:textId="77777777" w:rsidR="006908A4" w:rsidRPr="00507A31" w:rsidRDefault="006908A4" w:rsidP="00507A31">
      <w:pPr>
        <w:jc w:val="both"/>
        <w:rPr>
          <w:color w:val="000000" w:themeColor="text1"/>
          <w:sz w:val="16"/>
          <w:szCs w:val="16"/>
        </w:rPr>
      </w:pPr>
      <w:r w:rsidRPr="00507A31">
        <w:rPr>
          <w:color w:val="000000" w:themeColor="text1"/>
          <w:sz w:val="16"/>
          <w:szCs w:val="16"/>
        </w:rPr>
        <w:t>ЧАРНОВСКОГО Н. Ф. от 18/Х-1930 года.</w:t>
      </w:r>
    </w:p>
    <w:p w14:paraId="72260C74" w14:textId="77777777" w:rsidR="006908A4" w:rsidRPr="00507A31" w:rsidRDefault="006908A4" w:rsidP="00507A31">
      <w:pPr>
        <w:jc w:val="both"/>
        <w:rPr>
          <w:color w:val="000000" w:themeColor="text1"/>
          <w:sz w:val="16"/>
          <w:szCs w:val="16"/>
        </w:rPr>
      </w:pPr>
      <w:r w:rsidRPr="00507A31">
        <w:rPr>
          <w:color w:val="000000" w:themeColor="text1"/>
          <w:sz w:val="16"/>
          <w:szCs w:val="16"/>
        </w:rPr>
        <w:t>ДОПРОСИЛИ: ПОМНАЧ. СОУ АГРАНОВ и</w:t>
      </w:r>
    </w:p>
    <w:p w14:paraId="38B8A518" w14:textId="77777777" w:rsidR="006908A4" w:rsidRPr="00507A31" w:rsidRDefault="006908A4" w:rsidP="00507A31">
      <w:pPr>
        <w:jc w:val="both"/>
        <w:rPr>
          <w:color w:val="000000" w:themeColor="text1"/>
          <w:sz w:val="16"/>
          <w:szCs w:val="16"/>
        </w:rPr>
      </w:pPr>
      <w:r w:rsidRPr="00507A31">
        <w:rPr>
          <w:color w:val="000000" w:themeColor="text1"/>
          <w:sz w:val="16"/>
          <w:szCs w:val="16"/>
        </w:rPr>
        <w:t>П[ОМ]/НАЧ. 3 ОТДЕЛЕНИЯ] СО РАДЗИВИЛОВСКИЙ.</w:t>
      </w:r>
    </w:p>
    <w:p w14:paraId="1EA25EC4" w14:textId="77777777" w:rsidR="006908A4" w:rsidRPr="00507A31" w:rsidRDefault="006908A4" w:rsidP="00507A31">
      <w:pPr>
        <w:jc w:val="both"/>
        <w:rPr>
          <w:color w:val="000000" w:themeColor="text1"/>
          <w:sz w:val="16"/>
          <w:szCs w:val="16"/>
        </w:rPr>
      </w:pPr>
      <w:r w:rsidRPr="00507A31">
        <w:rPr>
          <w:color w:val="000000" w:themeColor="text1"/>
          <w:sz w:val="16"/>
          <w:szCs w:val="16"/>
        </w:rPr>
        <w:t>В подтверждение моей полной и окончательной разоруженности в отношении соввласти, которую считаю наиболее подходящей формой государственного строя для населения нашей страны и его хозяйственного преуспевания, показываю следующее — о самом тягостном акте, замышлявшемся в среде Промышленной] партии, но к счастью не приведенном в исполнение.</w:t>
      </w:r>
    </w:p>
    <w:p w14:paraId="561A3EE6" w14:textId="77777777" w:rsidR="006908A4" w:rsidRPr="00507A31" w:rsidRDefault="006908A4" w:rsidP="00507A31">
      <w:pPr>
        <w:jc w:val="both"/>
        <w:rPr>
          <w:color w:val="000000" w:themeColor="text1"/>
          <w:sz w:val="16"/>
          <w:szCs w:val="16"/>
        </w:rPr>
      </w:pPr>
      <w:r w:rsidRPr="00507A31">
        <w:rPr>
          <w:color w:val="000000" w:themeColor="text1"/>
          <w:sz w:val="16"/>
          <w:szCs w:val="16"/>
        </w:rPr>
        <w:t>В мае 1930 года в собрании небольшого числа лиц из состава Центр[ального] к[омите]та пром. партии, а именно: КАЛИННИКОВА, ОСАДЧЕГО, ШЕЙНА, РАМЗИНА, ЧАРНОВСКОГО, — в кабинете КАЛИННИКОВА в Госплане, РАМЗИН внес предложение о совершении террористических актов против главнейших вождей партии и политических деятелей — СТАЛИНА и ВОРОШИЛОВА. Мотивировка предложения состояла в том, что в период ожесточенной борьбы между сторонниками правой оппозиции и правительственного большинства на XVI парт. съезде устранение крупнейших деятелей правительственного большинства создало бы обстановку, благоприятную для победы правой оппозиции, а этим самым положение инженерства сразу улучшилось бы[,] так как правые считали бы себя обязанными своей победой — соучастникам указанных терактов. В отношении подготовки самого акта и плана его выполнения РАМЗИН, не вдаваясь в подробности, указал, что он уже заручился моральной поддержкой военной организации и ее технической помощью в виде оружия, войдя в соглашение с генералом НОВИЦКИМ, а непосредственных исполнителей завербовал из состава находящейся в его, РАМЗИНА, ведении боевой дружины, состоящей под управлением ПРЕДТЕЧЕНСКОГО при Теплотехническом институте, причем в числе активнейших лиц из этой дружины РАМЗИН назвал КОЗЛИНСКОГО и кого-то еще. РАМЗИН сообщил также, что им разработан уже детальный план покушения, указаны методы выслеживания намеченных лиц и поведение непосредственных исполнителей в момент удачи или неудачи покушения, причем наблюдение за проведением плана взял на себя ЕВРЕИНОВ Е. Ф. В частности, по вопросу о выборе именно указанных двух лиц как объектов покушения, РАМЗИН заязил, что устранением именно этих крупнейших деятелей имеется в виду создать в В КП временное сильнейшее замешательство, которое и должно закончиться победой правых.</w:t>
      </w:r>
    </w:p>
    <w:p w14:paraId="47EBD226" w14:textId="77777777" w:rsidR="006908A4" w:rsidRPr="00507A31" w:rsidRDefault="006908A4" w:rsidP="00507A31">
      <w:pPr>
        <w:jc w:val="both"/>
        <w:rPr>
          <w:color w:val="000000" w:themeColor="text1"/>
          <w:sz w:val="16"/>
          <w:szCs w:val="16"/>
        </w:rPr>
      </w:pPr>
      <w:r w:rsidRPr="00507A31">
        <w:rPr>
          <w:color w:val="000000" w:themeColor="text1"/>
          <w:sz w:val="16"/>
          <w:szCs w:val="16"/>
        </w:rPr>
        <w:t xml:space="preserve">На предложенный мною и КАЛИННИКОВЫМ вопрос: каким образом РАМЗИН думает выполнить столь серьезный акт, имея против себя весь механизм ОГПУ с его руководителями, МЕНЖИНСКИМ и ЯГОДОЙ, а в своем распоряжении — лишь малочисленную дружину из молодежи, РАМЗИН сообщил, что дружина состоит из нескольких десятков, которые, по его мнению, будут достаточны. Тогда КАЛИННИКОВ и я заявили, что без одновременного устранения указанных руководителей </w:t>
      </w:r>
      <w:r w:rsidRPr="00507A31">
        <w:rPr>
          <w:color w:val="000000" w:themeColor="text1"/>
          <w:sz w:val="16"/>
          <w:szCs w:val="16"/>
        </w:rPr>
        <w:lastRenderedPageBreak/>
        <w:t>ОГПУ план осужден или на полную победу или на полную неудачу, или на самые ужасные последствия для всех, кто сколько[-]нибудь связан с инженерным центром П.П., а потому отсюда естественно вытекает наше предложение: включить и указанных лиц в число объектов покушения. На такое предложение РАМЗИН ответил полным согласием и уверением, что силы его дружины достаточны и для этого задания.</w:t>
      </w:r>
    </w:p>
    <w:p w14:paraId="3CE9D86B" w14:textId="77777777" w:rsidR="006908A4" w:rsidRPr="00507A31" w:rsidRDefault="006908A4" w:rsidP="00507A31">
      <w:pPr>
        <w:jc w:val="both"/>
        <w:rPr>
          <w:color w:val="000000" w:themeColor="text1"/>
          <w:sz w:val="16"/>
          <w:szCs w:val="16"/>
        </w:rPr>
      </w:pPr>
      <w:r w:rsidRPr="00507A31">
        <w:rPr>
          <w:color w:val="000000" w:themeColor="text1"/>
          <w:sz w:val="16"/>
          <w:szCs w:val="16"/>
        </w:rPr>
        <w:t>После этого ШЕЙН и, если не ошибаюсь, ОСАДЧИЙ заявили, что по их мнению КУЙБЫШЕВ один из важнейших деятелей правительственной ориентации, и в то же время наименее расположенный к защите положения страдающего инженерства в промышленности, также предложил[и] бы включить в этот список объектов покушения. РАМЗИН заявил, что не будет никаких затруднений в проведении покушения на всех пятерых указанных лиц.</w:t>
      </w:r>
    </w:p>
    <w:p w14:paraId="722047D3" w14:textId="77777777" w:rsidR="006908A4" w:rsidRPr="00507A31" w:rsidRDefault="006908A4" w:rsidP="00507A31">
      <w:pPr>
        <w:jc w:val="both"/>
        <w:rPr>
          <w:color w:val="000000" w:themeColor="text1"/>
          <w:sz w:val="16"/>
          <w:szCs w:val="16"/>
        </w:rPr>
      </w:pPr>
      <w:r w:rsidRPr="00507A31">
        <w:rPr>
          <w:color w:val="000000" w:themeColor="text1"/>
          <w:sz w:val="16"/>
          <w:szCs w:val="16"/>
        </w:rPr>
        <w:t>Далее, членами собрания поставлен был вопрос РАМЗИНУ: считает ли он достаточным для решения столь ответственного вопроса — решение всего лишь 5 собравшихся лиц из ЦК ПП, в то время как даже принципиальное отношение к вопросу о терроре среди Пром. партии не было выяснено? Кроме того[,] поставлен был также вопрос о том, какое впечатление этот ряд терактов произведет на общественно-политические круги заграницей? На эти вопросы РАМЗИН дал уклончивые ответы, но в отношении ответственности перед Промышленной] парт[ией] заявил, что принимает всю ответственность на себя, как на инициатора этих актов, и отчитается после их выполнения. После такого заявления и подтверждения РАМЗИНА, что он будет проводить свой план в отношении всех названных лиц — СТАЛИНА, ВОРОШИЛОВА, МЕНЖИНСКОГО, ЯГОДЫ, КУЙБЫШЕВА, собрание закончилось общим предупреждением РАМЗИНУ, что неудача может в этом случае привести к гибели множества инженеров и что при сколько[-]нибудь слабых шансах на успех он лучше сделает, если совсем откажется от этих планов.</w:t>
      </w:r>
    </w:p>
    <w:p w14:paraId="5B706A61" w14:textId="77777777" w:rsidR="006908A4" w:rsidRPr="00507A31" w:rsidRDefault="006908A4" w:rsidP="00507A31">
      <w:pPr>
        <w:jc w:val="both"/>
        <w:rPr>
          <w:color w:val="000000" w:themeColor="text1"/>
          <w:sz w:val="16"/>
          <w:szCs w:val="16"/>
        </w:rPr>
      </w:pPr>
      <w:r w:rsidRPr="00507A31">
        <w:rPr>
          <w:color w:val="000000" w:themeColor="text1"/>
          <w:sz w:val="16"/>
          <w:szCs w:val="16"/>
        </w:rPr>
        <w:t>В дальнейшем выяснилось, что, как и следовало ожидать, замышляемые акты к счастью не могли состояться, ибо дружина оказалась просто неспособной их выполнить, — от слов перешли к делу. Насколько мне известно из дальнейших сообщений КАЛИННИКОВА, РАМЗИН, оценив всю тяжесть последствий и учитывая полный провал правых на съезде, поспешил выполнить прямое указание, данное ПК ПП — об отказе от этих актов.</w:t>
      </w:r>
    </w:p>
    <w:p w14:paraId="02ADE77B" w14:textId="77777777" w:rsidR="006908A4" w:rsidRPr="00507A31" w:rsidRDefault="006908A4" w:rsidP="00507A31">
      <w:pPr>
        <w:jc w:val="both"/>
        <w:rPr>
          <w:color w:val="000000" w:themeColor="text1"/>
          <w:sz w:val="16"/>
          <w:szCs w:val="16"/>
        </w:rPr>
      </w:pPr>
      <w:r w:rsidRPr="00507A31">
        <w:rPr>
          <w:color w:val="000000" w:themeColor="text1"/>
          <w:sz w:val="16"/>
          <w:szCs w:val="16"/>
        </w:rPr>
        <w:t>Вопрос о впечатлении, которое должно было бы произвести намечавшееся покушение на заграничные круги, на что РАМЗИН ранее затруднялся ответом, отчасти был освещен сообщением самого РАМЗИНА в тесном кругу его сотрудников-теплотехников по возвращении его из-за границы, а именно — РАМЗИН из беседы с проф. ЯСИНСКИМ и инженером ЦЕНКЕРОМ в Берлине вынес впечатление, что такие акты произвели бы самое тягостное впечатление на общественные круги европейские и даже эмигрантские. Ему указали, что большие политические задачи не решаются такими мерами, как устранение отдельных лиц и что такие акты способны лишь оттолкнуть общественное мнение от лиц и партий, совершающих этих акты и тем даже парализуют возможность дальнейшей активной поддержки тем, кто решился идти путем террора.</w:t>
      </w:r>
    </w:p>
    <w:p w14:paraId="6495FDCC" w14:textId="77777777" w:rsidR="006908A4" w:rsidRPr="00507A31" w:rsidRDefault="006908A4" w:rsidP="00507A31">
      <w:pPr>
        <w:jc w:val="both"/>
        <w:rPr>
          <w:color w:val="000000" w:themeColor="text1"/>
          <w:sz w:val="16"/>
          <w:szCs w:val="16"/>
        </w:rPr>
      </w:pPr>
      <w:r w:rsidRPr="00507A31">
        <w:rPr>
          <w:color w:val="000000" w:themeColor="text1"/>
          <w:sz w:val="16"/>
          <w:szCs w:val="16"/>
        </w:rPr>
        <w:t>Исключения в этом отношении возможно лишь для тех случаев, когда самые теракты являются лишь придатком массовых движений, началом коренных политических переговоров, подготовляемых в глубинах народных масс. Судя по дошедшим до ПП данным РАМЗИНА, политические круги Франции склонны были бы усматривать в хозяйственной жизни СССР признаки таких назревающих взрывов, и в этом случае теракты с точки зрения этих кругов нашли бы свое оправдание. По[-]видимому, РАМЗИН получил подтверждение этих взглядов из общения с французскими кругами и отсюда быть может его решимость на эти акты.</w:t>
      </w:r>
    </w:p>
    <w:p w14:paraId="69366A14" w14:textId="77777777" w:rsidR="006908A4" w:rsidRPr="00507A31" w:rsidRDefault="006908A4" w:rsidP="00507A31">
      <w:pPr>
        <w:jc w:val="both"/>
        <w:rPr>
          <w:color w:val="000000" w:themeColor="text1"/>
          <w:sz w:val="16"/>
          <w:szCs w:val="16"/>
        </w:rPr>
      </w:pPr>
      <w:r w:rsidRPr="00507A31">
        <w:rPr>
          <w:color w:val="000000" w:themeColor="text1"/>
          <w:sz w:val="16"/>
          <w:szCs w:val="16"/>
        </w:rPr>
        <w:t>ЦК ПП, основываясь на таких же соображениях, считал невозможным организацию терактов до момента интервенции и проявления взрывов среди масс.</w:t>
      </w:r>
    </w:p>
    <w:p w14:paraId="6790727B" w14:textId="77777777" w:rsidR="006908A4" w:rsidRPr="00507A31" w:rsidRDefault="006908A4" w:rsidP="00507A31">
      <w:pPr>
        <w:jc w:val="both"/>
        <w:rPr>
          <w:color w:val="000000" w:themeColor="text1"/>
          <w:sz w:val="16"/>
          <w:szCs w:val="16"/>
        </w:rPr>
      </w:pPr>
      <w:r w:rsidRPr="00507A31">
        <w:rPr>
          <w:color w:val="000000" w:themeColor="text1"/>
          <w:sz w:val="16"/>
          <w:szCs w:val="16"/>
        </w:rPr>
        <w:t>ЧАРНОВСКИЙ.</w:t>
      </w:r>
    </w:p>
    <w:p w14:paraId="2B84C422" w14:textId="77777777" w:rsidR="006908A4" w:rsidRPr="00507A31" w:rsidRDefault="006908A4" w:rsidP="00507A31">
      <w:pPr>
        <w:jc w:val="both"/>
        <w:rPr>
          <w:color w:val="000000" w:themeColor="text1"/>
          <w:sz w:val="16"/>
          <w:szCs w:val="16"/>
        </w:rPr>
      </w:pPr>
      <w:r w:rsidRPr="00507A31">
        <w:rPr>
          <w:color w:val="000000" w:themeColor="text1"/>
          <w:sz w:val="16"/>
          <w:szCs w:val="16"/>
        </w:rPr>
        <w:t>Допросили: Я. Агранов</w:t>
      </w:r>
    </w:p>
    <w:p w14:paraId="1F6511F6" w14:textId="77777777" w:rsidR="006908A4" w:rsidRPr="00507A31" w:rsidRDefault="006908A4" w:rsidP="00507A31">
      <w:pPr>
        <w:jc w:val="both"/>
        <w:rPr>
          <w:color w:val="000000" w:themeColor="text1"/>
          <w:sz w:val="16"/>
          <w:szCs w:val="16"/>
        </w:rPr>
      </w:pPr>
      <w:r w:rsidRPr="00507A31">
        <w:rPr>
          <w:color w:val="000000" w:themeColor="text1"/>
          <w:sz w:val="16"/>
          <w:szCs w:val="16"/>
        </w:rPr>
        <w:t>Радзивиловский.</w:t>
      </w:r>
    </w:p>
    <w:p w14:paraId="036EDA65" w14:textId="77777777" w:rsidR="006908A4" w:rsidRPr="00507A31" w:rsidRDefault="006908A4" w:rsidP="00507A31">
      <w:pPr>
        <w:jc w:val="both"/>
        <w:rPr>
          <w:color w:val="000000" w:themeColor="text1"/>
          <w:sz w:val="16"/>
          <w:szCs w:val="16"/>
        </w:rPr>
      </w:pPr>
      <w:r w:rsidRPr="00507A31">
        <w:rPr>
          <w:color w:val="000000" w:themeColor="text1"/>
          <w:sz w:val="16"/>
          <w:szCs w:val="16"/>
        </w:rPr>
        <w:t>Д. 354. Л. 82-85. Заверенная машинописная копия того времени. На Л. 82 вверху — штамп о рассылке документа (номер и дата отсутствуют).</w:t>
      </w:r>
    </w:p>
    <w:p w14:paraId="4EBD07DE" w14:textId="77777777" w:rsidR="006908A4" w:rsidRPr="00507A31" w:rsidRDefault="006908A4" w:rsidP="00507A31">
      <w:pPr>
        <w:jc w:val="both"/>
        <w:rPr>
          <w:color w:val="000000" w:themeColor="text1"/>
          <w:sz w:val="16"/>
          <w:szCs w:val="16"/>
        </w:rPr>
      </w:pPr>
      <w:r w:rsidRPr="00507A31">
        <w:rPr>
          <w:color w:val="000000" w:themeColor="text1"/>
          <w:sz w:val="16"/>
          <w:szCs w:val="16"/>
        </w:rPr>
        <w:t>ЦА ФСБ РФ. Ф. Р-42280. Т. 2. Л. 250-252. Рукописный подлинник (черновик) показаний Н. Ф. Чарновского о подготовке «терактов» (написано собственноручно) с рядом вставок и вычеркиваний. Подписи Агранова и Раздзивиловского отсутствуют (18473).</w:t>
      </w:r>
    </w:p>
    <w:p w14:paraId="44E3ABCF" w14:textId="77777777" w:rsidR="006908A4" w:rsidRPr="00507A31" w:rsidRDefault="006908A4" w:rsidP="00507A31">
      <w:pPr>
        <w:jc w:val="both"/>
        <w:rPr>
          <w:color w:val="000000" w:themeColor="text1"/>
          <w:sz w:val="16"/>
          <w:szCs w:val="16"/>
        </w:rPr>
      </w:pPr>
    </w:p>
    <w:p w14:paraId="6D430E12" w14:textId="77777777" w:rsidR="006908A4" w:rsidRPr="00507A31" w:rsidRDefault="006908A4" w:rsidP="00507A31">
      <w:pPr>
        <w:jc w:val="both"/>
        <w:rPr>
          <w:color w:val="000000" w:themeColor="text1"/>
          <w:sz w:val="16"/>
          <w:szCs w:val="16"/>
        </w:rPr>
      </w:pPr>
      <w:r w:rsidRPr="00507A31">
        <w:rPr>
          <w:color w:val="000000" w:themeColor="text1"/>
          <w:sz w:val="16"/>
          <w:szCs w:val="16"/>
        </w:rPr>
        <w:t>20 октября 1930 г.</w:t>
      </w:r>
    </w:p>
    <w:p w14:paraId="407FBBA1" w14:textId="77777777" w:rsidR="006908A4" w:rsidRPr="00507A31" w:rsidRDefault="006908A4" w:rsidP="00507A31">
      <w:pPr>
        <w:jc w:val="both"/>
        <w:rPr>
          <w:color w:val="000000" w:themeColor="text1"/>
          <w:sz w:val="16"/>
          <w:szCs w:val="16"/>
        </w:rPr>
      </w:pPr>
      <w:r w:rsidRPr="00507A31">
        <w:rPr>
          <w:color w:val="000000" w:themeColor="text1"/>
          <w:sz w:val="16"/>
          <w:szCs w:val="16"/>
        </w:rPr>
        <w:t>Решение Политбюро ЦК ВКП(б) о мерах по усилению безопасности в Кремле. Из протокола заседания Политбюро № 13, п. 2/7 от 20 октября 1930 г.</w:t>
      </w:r>
    </w:p>
    <w:p w14:paraId="7F4DE953" w14:textId="77777777" w:rsidR="006908A4" w:rsidRPr="00507A31" w:rsidRDefault="006908A4" w:rsidP="00507A31">
      <w:pPr>
        <w:jc w:val="both"/>
        <w:rPr>
          <w:color w:val="000000" w:themeColor="text1"/>
          <w:sz w:val="16"/>
          <w:szCs w:val="16"/>
        </w:rPr>
      </w:pPr>
      <w:r w:rsidRPr="00507A31">
        <w:rPr>
          <w:color w:val="000000" w:themeColor="text1"/>
          <w:sz w:val="16"/>
          <w:szCs w:val="16"/>
        </w:rPr>
        <w:t>Источник: </w:t>
      </w:r>
    </w:p>
    <w:p w14:paraId="6AFD0D2F" w14:textId="77777777" w:rsidR="006908A4" w:rsidRPr="00507A31" w:rsidRDefault="006908A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EFC3FB" w14:textId="77777777" w:rsidR="006908A4" w:rsidRPr="00507A31" w:rsidRDefault="006908A4" w:rsidP="00507A31">
      <w:pPr>
        <w:jc w:val="both"/>
        <w:rPr>
          <w:color w:val="000000" w:themeColor="text1"/>
          <w:sz w:val="16"/>
          <w:szCs w:val="16"/>
        </w:rPr>
      </w:pPr>
      <w:r w:rsidRPr="00507A31">
        <w:rPr>
          <w:color w:val="000000" w:themeColor="text1"/>
          <w:sz w:val="16"/>
          <w:szCs w:val="16"/>
        </w:rPr>
        <w:t>Архив: </w:t>
      </w:r>
    </w:p>
    <w:p w14:paraId="713E2A0E" w14:textId="77777777" w:rsidR="006908A4" w:rsidRPr="00507A31" w:rsidRDefault="006908A4" w:rsidP="00507A31">
      <w:pPr>
        <w:jc w:val="both"/>
        <w:rPr>
          <w:color w:val="000000" w:themeColor="text1"/>
          <w:sz w:val="16"/>
          <w:szCs w:val="16"/>
        </w:rPr>
      </w:pPr>
      <w:r w:rsidRPr="00507A31">
        <w:rPr>
          <w:color w:val="000000" w:themeColor="text1"/>
          <w:sz w:val="16"/>
          <w:szCs w:val="16"/>
        </w:rPr>
        <w:t>РГАСПИ. Ф. 17. On. 3. Д. 801. Л. 9</w:t>
      </w:r>
    </w:p>
    <w:p w14:paraId="78E04BED" w14:textId="77777777" w:rsidR="006908A4" w:rsidRPr="00507A31" w:rsidRDefault="006908A4" w:rsidP="00507A31">
      <w:pPr>
        <w:jc w:val="both"/>
        <w:rPr>
          <w:color w:val="000000" w:themeColor="text1"/>
          <w:sz w:val="16"/>
          <w:szCs w:val="16"/>
        </w:rPr>
      </w:pPr>
      <w:r w:rsidRPr="00507A31">
        <w:rPr>
          <w:color w:val="000000" w:themeColor="text1"/>
          <w:sz w:val="16"/>
          <w:szCs w:val="16"/>
        </w:rPr>
        <w:t>от 20 октября 1930 г.</w:t>
      </w:r>
    </w:p>
    <w:p w14:paraId="4FCDB237" w14:textId="77777777" w:rsidR="006908A4" w:rsidRPr="00507A31" w:rsidRDefault="006908A4" w:rsidP="00507A31">
      <w:pPr>
        <w:jc w:val="both"/>
        <w:rPr>
          <w:color w:val="000000" w:themeColor="text1"/>
          <w:sz w:val="16"/>
          <w:szCs w:val="16"/>
        </w:rPr>
      </w:pPr>
      <w:r w:rsidRPr="00507A31">
        <w:rPr>
          <w:color w:val="000000" w:themeColor="text1"/>
          <w:sz w:val="16"/>
          <w:szCs w:val="16"/>
        </w:rPr>
        <w:t>СТРОГО СЕКРЕТНО</w:t>
      </w:r>
    </w:p>
    <w:p w14:paraId="213AD035" w14:textId="77777777" w:rsidR="006908A4" w:rsidRPr="00507A31" w:rsidRDefault="006908A4" w:rsidP="00507A31">
      <w:pPr>
        <w:jc w:val="both"/>
        <w:rPr>
          <w:color w:val="000000" w:themeColor="text1"/>
          <w:sz w:val="16"/>
          <w:szCs w:val="16"/>
        </w:rPr>
      </w:pPr>
      <w:r w:rsidRPr="00507A31">
        <w:rPr>
          <w:color w:val="000000" w:themeColor="text1"/>
          <w:sz w:val="16"/>
          <w:szCs w:val="16"/>
        </w:rPr>
        <w:t>(Из О[собой] Папки)</w:t>
      </w:r>
    </w:p>
    <w:p w14:paraId="68524E21" w14:textId="77777777" w:rsidR="006908A4" w:rsidRPr="00507A31" w:rsidRDefault="006908A4" w:rsidP="00507A31">
      <w:pPr>
        <w:jc w:val="both"/>
        <w:rPr>
          <w:color w:val="000000" w:themeColor="text1"/>
          <w:sz w:val="16"/>
          <w:szCs w:val="16"/>
        </w:rPr>
      </w:pPr>
      <w:r w:rsidRPr="00507A31">
        <w:rPr>
          <w:color w:val="000000" w:themeColor="text1"/>
          <w:sz w:val="16"/>
          <w:szCs w:val="16"/>
        </w:rPr>
        <w:t>Решение Политбюро 20.Х.30 г.</w:t>
      </w:r>
    </w:p>
    <w:p w14:paraId="388C2FC4" w14:textId="77777777" w:rsidR="006908A4" w:rsidRPr="00507A31" w:rsidRDefault="006908A4" w:rsidP="00507A31">
      <w:pPr>
        <w:jc w:val="both"/>
        <w:rPr>
          <w:color w:val="000000" w:themeColor="text1"/>
          <w:sz w:val="16"/>
          <w:szCs w:val="16"/>
        </w:rPr>
      </w:pPr>
      <w:r w:rsidRPr="00507A31">
        <w:rPr>
          <w:color w:val="000000" w:themeColor="text1"/>
          <w:sz w:val="16"/>
          <w:szCs w:val="16"/>
        </w:rPr>
        <w:t>2/7 Сообщение ОГПУ о показаниях членов ПК промпартии</w:t>
      </w:r>
    </w:p>
    <w:p w14:paraId="75113BA1" w14:textId="77777777" w:rsidR="006908A4" w:rsidRPr="00507A31" w:rsidRDefault="006908A4" w:rsidP="00507A31">
      <w:pPr>
        <w:jc w:val="both"/>
        <w:rPr>
          <w:color w:val="000000" w:themeColor="text1"/>
          <w:sz w:val="16"/>
          <w:szCs w:val="16"/>
        </w:rPr>
      </w:pPr>
      <w:r w:rsidRPr="00507A31">
        <w:rPr>
          <w:color w:val="000000" w:themeColor="text1"/>
          <w:sz w:val="16"/>
          <w:szCs w:val="16"/>
        </w:rPr>
        <w:t>(т.т. Агранов, Менжинский, Ягода).</w:t>
      </w:r>
    </w:p>
    <w:p w14:paraId="31298FFE" w14:textId="77777777" w:rsidR="006908A4" w:rsidRPr="00507A31" w:rsidRDefault="006908A4" w:rsidP="00507A31">
      <w:pPr>
        <w:jc w:val="both"/>
        <w:rPr>
          <w:color w:val="000000" w:themeColor="text1"/>
          <w:sz w:val="16"/>
          <w:szCs w:val="16"/>
        </w:rPr>
      </w:pPr>
      <w:r w:rsidRPr="00507A31">
        <w:rPr>
          <w:color w:val="000000" w:themeColor="text1"/>
          <w:sz w:val="16"/>
          <w:szCs w:val="16"/>
        </w:rPr>
        <w:t>а) Сообщение ОГПУ о последних показаниях членов ЦК промпартии о террористической деятельности принять к сведению и предложить продолжать дальнейшее расследование.</w:t>
      </w:r>
    </w:p>
    <w:p w14:paraId="2285CA88" w14:textId="77777777" w:rsidR="006908A4" w:rsidRPr="00507A31" w:rsidRDefault="006908A4" w:rsidP="00507A31">
      <w:pPr>
        <w:jc w:val="both"/>
        <w:rPr>
          <w:color w:val="000000" w:themeColor="text1"/>
          <w:sz w:val="16"/>
          <w:szCs w:val="16"/>
        </w:rPr>
      </w:pPr>
      <w:r w:rsidRPr="00507A31">
        <w:rPr>
          <w:color w:val="000000" w:themeColor="text1"/>
          <w:sz w:val="16"/>
          <w:szCs w:val="16"/>
        </w:rPr>
        <w:t>б) Предложить ОГПУ вопросы о необходимых арестах согласовывать с Секретариатом ЦК. Диверсантские группы арестовать немедленно.</w:t>
      </w:r>
    </w:p>
    <w:p w14:paraId="01B79349" w14:textId="77777777" w:rsidR="006908A4" w:rsidRPr="00507A31" w:rsidRDefault="006908A4" w:rsidP="00507A31">
      <w:pPr>
        <w:jc w:val="both"/>
        <w:rPr>
          <w:color w:val="000000" w:themeColor="text1"/>
          <w:sz w:val="16"/>
          <w:szCs w:val="16"/>
        </w:rPr>
      </w:pPr>
      <w:r w:rsidRPr="00507A31">
        <w:rPr>
          <w:color w:val="000000" w:themeColor="text1"/>
          <w:sz w:val="16"/>
          <w:szCs w:val="16"/>
        </w:rPr>
        <w:t>в) Обязать т. Сталина немедленно прекратить хождение по городу пешком.</w:t>
      </w:r>
    </w:p>
    <w:p w14:paraId="7A99FCC1" w14:textId="77777777" w:rsidR="006908A4" w:rsidRPr="00507A31" w:rsidRDefault="006908A4" w:rsidP="00507A31">
      <w:pPr>
        <w:jc w:val="both"/>
        <w:rPr>
          <w:color w:val="000000" w:themeColor="text1"/>
          <w:sz w:val="16"/>
          <w:szCs w:val="16"/>
        </w:rPr>
      </w:pPr>
      <w:r w:rsidRPr="00507A31">
        <w:rPr>
          <w:color w:val="000000" w:themeColor="text1"/>
          <w:sz w:val="16"/>
          <w:szCs w:val="16"/>
        </w:rPr>
        <w:t>г) Признать необходимым в кратчайший срок перевести Секретный отдел ЦК со Старой площади в Кремль.</w:t>
      </w:r>
    </w:p>
    <w:p w14:paraId="008282E3" w14:textId="77777777" w:rsidR="006908A4" w:rsidRPr="00507A31" w:rsidRDefault="006908A4" w:rsidP="00507A31">
      <w:pPr>
        <w:jc w:val="both"/>
        <w:rPr>
          <w:color w:val="000000" w:themeColor="text1"/>
          <w:sz w:val="16"/>
          <w:szCs w:val="16"/>
        </w:rPr>
      </w:pPr>
      <w:r w:rsidRPr="00507A31">
        <w:rPr>
          <w:color w:val="000000" w:themeColor="text1"/>
          <w:sz w:val="16"/>
          <w:szCs w:val="16"/>
        </w:rPr>
        <w:t>д) Поручить т. Ворошилову ускорить дальнейшую очистку Кремля от ряда живущих там не вполне надежных жильцов.</w:t>
      </w:r>
    </w:p>
    <w:p w14:paraId="29E3F1F1" w14:textId="77777777" w:rsidR="006908A4" w:rsidRPr="00507A31" w:rsidRDefault="006908A4" w:rsidP="00507A31">
      <w:pPr>
        <w:jc w:val="both"/>
        <w:rPr>
          <w:color w:val="000000" w:themeColor="text1"/>
          <w:sz w:val="16"/>
          <w:szCs w:val="16"/>
        </w:rPr>
      </w:pPr>
      <w:r w:rsidRPr="00507A31">
        <w:rPr>
          <w:color w:val="000000" w:themeColor="text1"/>
          <w:sz w:val="16"/>
          <w:szCs w:val="16"/>
        </w:rPr>
        <w:t>СЕКРЕТАРЬ ЦК</w:t>
      </w:r>
    </w:p>
    <w:p w14:paraId="28C57C3A" w14:textId="77777777" w:rsidR="006908A4" w:rsidRPr="00507A31" w:rsidRDefault="006908A4" w:rsidP="00507A31">
      <w:pPr>
        <w:jc w:val="both"/>
        <w:rPr>
          <w:color w:val="000000" w:themeColor="text1"/>
          <w:sz w:val="16"/>
          <w:szCs w:val="16"/>
        </w:rPr>
      </w:pPr>
      <w:r w:rsidRPr="00507A31">
        <w:rPr>
          <w:color w:val="000000" w:themeColor="text1"/>
          <w:sz w:val="16"/>
          <w:szCs w:val="16"/>
        </w:rPr>
        <w:t>Д. 354. Л. 141. Машинописная выписка на бланке ЦК ВКП(б). Номер протокола «П13/7рс» и дата «20.Х.1930 г.» впечатаны в графы бланка. В центре машинописью — адрес рассылки: «Т.т. Менжинскому, Постышеву — все; Ворошилову — г, д; Енукидзе — г».</w:t>
      </w:r>
    </w:p>
    <w:p w14:paraId="3B3B7B99" w14:textId="77777777" w:rsidR="006908A4" w:rsidRPr="00507A31" w:rsidRDefault="006908A4" w:rsidP="00507A31">
      <w:pPr>
        <w:jc w:val="both"/>
        <w:rPr>
          <w:color w:val="000000" w:themeColor="text1"/>
          <w:sz w:val="16"/>
          <w:szCs w:val="16"/>
        </w:rPr>
      </w:pPr>
      <w:r w:rsidRPr="00507A31">
        <w:rPr>
          <w:color w:val="000000" w:themeColor="text1"/>
          <w:sz w:val="16"/>
          <w:szCs w:val="16"/>
        </w:rPr>
        <w:t xml:space="preserve">РГАСПИ. Ф. 17. </w:t>
      </w:r>
      <w:r w:rsidRPr="00507A31">
        <w:rPr>
          <w:color w:val="000000" w:themeColor="text1"/>
          <w:sz w:val="16"/>
          <w:szCs w:val="16"/>
          <w:lang w:val="en-US"/>
        </w:rPr>
        <w:t>On</w:t>
      </w:r>
      <w:r w:rsidRPr="00507A31">
        <w:rPr>
          <w:color w:val="000000" w:themeColor="text1"/>
          <w:sz w:val="16"/>
          <w:szCs w:val="16"/>
        </w:rPr>
        <w:t>. 3. Д. 801. Л. 9. «Подписной» протокол заседаний Политбюро ЦК ВКП(б) от 20 октября 1930 г. Машинописная копия того времени, заверенная печатью ЦКВКП(б), подпись-факсимиле И. В. Сталина. Вместо текста постановления записано: «Решение — особая папка».</w:t>
      </w:r>
    </w:p>
    <w:p w14:paraId="74017974" w14:textId="77777777" w:rsidR="006908A4" w:rsidRPr="00507A31" w:rsidRDefault="006908A4" w:rsidP="00507A31">
      <w:pPr>
        <w:jc w:val="both"/>
        <w:rPr>
          <w:color w:val="000000" w:themeColor="text1"/>
          <w:sz w:val="16"/>
          <w:szCs w:val="16"/>
        </w:rPr>
      </w:pPr>
      <w:r w:rsidRPr="00507A31">
        <w:rPr>
          <w:color w:val="000000" w:themeColor="text1"/>
          <w:sz w:val="16"/>
          <w:szCs w:val="16"/>
        </w:rPr>
        <w:t>Там же. Ф. 17. On. 162. Д. 9. Л. 54. «Особая папка» «подписного» протокола заседания Политбюро. Машинописная копия того времени, заверенная печатью ЦК ВКП(б), подпись-факсимиле И. В. Сталина. Внизу машинописная помета о рассылке: «Выписки посланы: т. Менжинскому, т. Постышеву — все, т. Ворошилову — г, д, т. Енукидзе — г».</w:t>
      </w:r>
    </w:p>
    <w:p w14:paraId="779D49A1" w14:textId="77777777" w:rsidR="006908A4" w:rsidRPr="00507A31" w:rsidRDefault="006908A4" w:rsidP="00507A31">
      <w:pPr>
        <w:jc w:val="both"/>
        <w:rPr>
          <w:color w:val="000000" w:themeColor="text1"/>
          <w:sz w:val="16"/>
          <w:szCs w:val="16"/>
        </w:rPr>
      </w:pPr>
      <w:r w:rsidRPr="00507A31">
        <w:rPr>
          <w:color w:val="000000" w:themeColor="text1"/>
          <w:sz w:val="16"/>
          <w:szCs w:val="16"/>
        </w:rPr>
        <w:t>Опубликовано: Лубянка. Сталин и ВЧК — ГПУ — ОГПУ — НКВД. Январь 1922 — декабрь 1936. М.:МФД, 2003. С. 255-256 (18474).</w:t>
      </w:r>
    </w:p>
    <w:p w14:paraId="681E944E" w14:textId="77777777" w:rsidR="006908A4" w:rsidRPr="00507A31" w:rsidRDefault="006908A4" w:rsidP="00507A31">
      <w:pPr>
        <w:jc w:val="both"/>
        <w:rPr>
          <w:color w:val="000000" w:themeColor="text1"/>
          <w:sz w:val="16"/>
          <w:szCs w:val="16"/>
        </w:rPr>
      </w:pPr>
    </w:p>
    <w:p w14:paraId="782C670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 октября 1930 образована Хакасская автономная область (4962).</w:t>
      </w:r>
    </w:p>
    <w:p w14:paraId="5A7A3B1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E397B0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E32AD8B" w14:textId="77777777" w:rsidR="00537E5F" w:rsidRPr="00507A31" w:rsidRDefault="00537E5F" w:rsidP="00507A31">
      <w:pPr>
        <w:autoSpaceDE w:val="0"/>
        <w:autoSpaceDN w:val="0"/>
        <w:adjustRightInd w:val="0"/>
        <w:jc w:val="both"/>
        <w:rPr>
          <w:iCs/>
          <w:color w:val="000000" w:themeColor="text1"/>
          <w:sz w:val="16"/>
          <w:szCs w:val="16"/>
        </w:rPr>
      </w:pPr>
    </w:p>
    <w:p w14:paraId="19385E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октября 1930 в Великобритании была опубликована Белая книга Пассифилда о Палестине (3907,162).</w:t>
      </w:r>
    </w:p>
    <w:p w14:paraId="2296C603" w14:textId="77777777" w:rsidR="00537E5F" w:rsidRPr="00507A31" w:rsidRDefault="00537E5F" w:rsidP="00507A31">
      <w:pPr>
        <w:autoSpaceDE w:val="0"/>
        <w:autoSpaceDN w:val="0"/>
        <w:adjustRightInd w:val="0"/>
        <w:jc w:val="both"/>
        <w:rPr>
          <w:color w:val="000000" w:themeColor="text1"/>
          <w:sz w:val="16"/>
          <w:szCs w:val="16"/>
        </w:rPr>
      </w:pPr>
    </w:p>
    <w:p w14:paraId="0D371CA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 октября 1930 британские власти в Израиле ограничили евреев в правах по покупке земель у арабов (4962).</w:t>
      </w:r>
    </w:p>
    <w:p w14:paraId="1653426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3266BE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406C055" w14:textId="77777777" w:rsidR="00537E5F" w:rsidRPr="00507A31" w:rsidRDefault="00537E5F" w:rsidP="00507A31">
      <w:pPr>
        <w:autoSpaceDE w:val="0"/>
        <w:autoSpaceDN w:val="0"/>
        <w:adjustRightInd w:val="0"/>
        <w:jc w:val="both"/>
        <w:rPr>
          <w:iCs/>
          <w:color w:val="000000" w:themeColor="text1"/>
          <w:sz w:val="16"/>
          <w:szCs w:val="16"/>
        </w:rPr>
      </w:pPr>
    </w:p>
    <w:p w14:paraId="520D4B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октября 1930 НИИ ВВС направил письмом N 398/1394с в ЦАГИ сводки результатов испытаний И5 и Р5 (1041).</w:t>
      </w:r>
    </w:p>
    <w:p w14:paraId="6326B523" w14:textId="77777777" w:rsidR="00537E5F" w:rsidRPr="00507A31" w:rsidRDefault="00537E5F" w:rsidP="00507A31">
      <w:pPr>
        <w:autoSpaceDE w:val="0"/>
        <w:autoSpaceDN w:val="0"/>
        <w:adjustRightInd w:val="0"/>
        <w:jc w:val="both"/>
        <w:rPr>
          <w:color w:val="000000" w:themeColor="text1"/>
          <w:sz w:val="16"/>
          <w:szCs w:val="16"/>
        </w:rPr>
      </w:pPr>
    </w:p>
    <w:p w14:paraId="5EFFEB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октября 1930 Нач. 2-го отдела НИИ ВВС писал письмо № 398/1394с в ЦАГИ АГОС на № И7-98 от 27 сентября 1930:</w:t>
      </w:r>
    </w:p>
    <w:p w14:paraId="1AEA90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сем препровождаются сводки результатов испытания самолетов И-5 и Р-5 (10757).</w:t>
      </w:r>
    </w:p>
    <w:p w14:paraId="33A2FDC8" w14:textId="77777777" w:rsidR="00537E5F" w:rsidRPr="00507A31" w:rsidRDefault="00537E5F" w:rsidP="00507A31">
      <w:pPr>
        <w:autoSpaceDE w:val="0"/>
        <w:autoSpaceDN w:val="0"/>
        <w:adjustRightInd w:val="0"/>
        <w:jc w:val="both"/>
        <w:rPr>
          <w:color w:val="000000" w:themeColor="text1"/>
          <w:sz w:val="16"/>
          <w:szCs w:val="16"/>
        </w:rPr>
      </w:pPr>
    </w:p>
    <w:p w14:paraId="0EEEBA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октября 1930 г. НТК утвердил основные требования к морскому разведчику на базе Р-5. Машину хотели установить на два больших деревянных поплавка, при этом вес должен был вырасти не более, чем на 10%. Оборудование самолета требовалось дополнить плавучим и донным якорями, а также ручным инерционным стартером для запуска мотора механиком, стоящим на поплавке. Двухлопастный винт хотели заменить четырехлопастным меньшего диаметра, чтобы увеличить расстояние от его концов до воды.</w:t>
      </w:r>
    </w:p>
    <w:p w14:paraId="7781E9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Проектирование морского Р-5а велось в ЦКБ под руководством ДА. Михайлова. Он и В.Б. Шавров сконструировали поплавки и раму для крепления их к фюзеляжу и нижнему крылу. Поскольку требовалось обеспечить эксплуатацию машины при волнении до 0,8 м, понадобилось усилить первую раму фюзеляжа и передний </w:t>
      </w:r>
      <w:r w:rsidRPr="00507A31">
        <w:rPr>
          <w:color w:val="000000" w:themeColor="text1"/>
          <w:sz w:val="16"/>
          <w:szCs w:val="16"/>
        </w:rPr>
        <w:lastRenderedPageBreak/>
        <w:t>лонжерон нижнего крыла. Уложиться при этом в десятипроцентный лимит не смогли. С учетом возросшей боковой поверхности самолета площадь киля увеличили почти в 2 раза. Ненужный на воде костыль заменили причальным кольцом. А вот пропеллер остался таким же, как у сухопутного разведчика.</w:t>
      </w:r>
    </w:p>
    <w:p w14:paraId="4DF9CD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Бомбовое вооружение было значительно слабее, чем у колесного варианта. По заданию требовалась подвеска 250-кг бомбы по оси фюзеляжа, но этому мешала рама поплавков. Ограничились шестью бомбодержателями под 100 кг каждый: 4 - под нижним крылом, 2 - под фюзеляжем. Но и это оказалось для Р-5а чрезмерным. В результате поставили 4 балки Дер-7 под крылом и две Дер-6 - под фюзеляжем. Максимальная нагрузка составляла 492 кг - шесть АФ-82 (11936).</w:t>
      </w:r>
    </w:p>
    <w:p w14:paraId="03504B42" w14:textId="77777777" w:rsidR="00537E5F" w:rsidRPr="00507A31" w:rsidRDefault="00537E5F" w:rsidP="00507A31">
      <w:pPr>
        <w:autoSpaceDE w:val="0"/>
        <w:autoSpaceDN w:val="0"/>
        <w:adjustRightInd w:val="0"/>
        <w:jc w:val="both"/>
        <w:rPr>
          <w:color w:val="000000" w:themeColor="text1"/>
          <w:sz w:val="16"/>
          <w:szCs w:val="16"/>
        </w:rPr>
      </w:pPr>
    </w:p>
    <w:p w14:paraId="3A63E8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октября 1930 г. НТК УВВС утвердил основные требования к поплавковому разведчику на базе Р-5.</w:t>
      </w:r>
    </w:p>
    <w:p w14:paraId="25CA73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морской авиации в конце 1920-х гг. эксплуатировались ближние разведчики МР-1. Это был поплавковый вариант уже упоминавшегося устаревшего самолета Р-1. Ему требовалась замена. Чтобы решить эту проблему просто и дешево, намеревались поставить на поплавки Р-5. Эту работу включили в план, утвержденный Реввоенсоветом СССР 1 октября 1930 г. В 1931 г. военные рассчитывали приобрести первые восемь машин, а всего в дальнейшем планировали закупить только для ВВС 300 самолетов.</w:t>
      </w:r>
    </w:p>
    <w:p w14:paraId="62BADD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Аналогично МР-1, машину хотели установить на два больших деревянных поплавка, соединенных между собой и с самолетом фермой из стальных и дюралевых труб. При этом вес пустого самолета должен был вырасти не более, чем на 10%. Поплавковое шасси при необходимости должно было заменяться колесами или лыжами. Оборудование требовалось дополнить плавучим и донным якорями, а также ручным инерционным стартером для заводки мотора механиком, стоящим на поплавке. В комплектацию включили спасательные жилеты и запас продовольствия и воды. Двухлопастной винт Р-5 хотели заменить четырехлопастным меньшего диаметра, чтобы увеличить просвет от его кончиков до воды.</w:t>
      </w:r>
    </w:p>
    <w:p w14:paraId="35C723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Проектирование морского Р-5а велось в ЦКБ под руководством инженера Д.А. Михайлова. Он и В.Б. Шавров сконструировали полностью деревянные поплавки и раму для крепления их к фюзеляжу и нижнему крылу. Сначала хотели сохранить большую часть колесного шасси, пропустив поперечную трубу рамы через гнезда для полуосей, но к маю 1931 г. от этого решения отказались. Поскольку заданием требовалась эксплуатация машины при волнении до 0,8 м, понадобилось произвести усиление первой рамы фюзеляжа, переднего лонжерона нижнего крыла и ряд местных подкреплений. Поскольку передние подкосы от поплавков через башмак крепились к мотораме, ее тоже усилили. Уложиться при этом в поставленный 10%-ный лимит оказалось невозможно. Учитывая увеличение боковой поверхности самолета площадь киля нарастили почти в два раза. Ненужный на воде костыль заменили причальным кольцом. А вот требование об установке нового пропеллера проигнорировали - он остался таким же, как у сухопутного разведчика.</w:t>
      </w:r>
    </w:p>
    <w:p w14:paraId="33B5BF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Бомбовое вооружение было значительно слабее, чем у колесного варианта. По первоначальному заданию требовали подвеску бомбы весом 250 кг по оси фюзеляжа, но ее креплению мешала рама поплавков. Потом ограничились шестью бомбодержателями под 100-кг бомбу каждый: четыре под нижним крылом, два - под фюзеляжем. Но и этот вес оказался для Р-5а чрезмерным. В результате компоновку сохранили - поставили четыре балки Дер-6 под крыльями и две Дер-7 под фюзеляжем, но вес бомб ограничили. Максимальная нагрузка составляла 492 кг - шесть АФ-82. Бомб крупных калибров морской разведчик нести не мог. Стрелковое вооружение соответствовало Р-5 (12034).</w:t>
      </w:r>
    </w:p>
    <w:p w14:paraId="5E8247A8" w14:textId="77777777" w:rsidR="00537E5F" w:rsidRPr="00507A31" w:rsidRDefault="00537E5F" w:rsidP="00507A31">
      <w:pPr>
        <w:autoSpaceDE w:val="0"/>
        <w:autoSpaceDN w:val="0"/>
        <w:adjustRightInd w:val="0"/>
        <w:jc w:val="both"/>
        <w:rPr>
          <w:color w:val="000000" w:themeColor="text1"/>
          <w:sz w:val="16"/>
          <w:szCs w:val="16"/>
        </w:rPr>
      </w:pPr>
    </w:p>
    <w:p w14:paraId="4703E427" w14:textId="77777777" w:rsidR="00BF0E8A" w:rsidRPr="00507A31" w:rsidRDefault="00BF0E8A"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B548A20" w14:textId="77777777" w:rsidR="00BF0E8A" w:rsidRPr="00507A31" w:rsidRDefault="00BF0E8A" w:rsidP="00507A31">
      <w:pPr>
        <w:shd w:val="clear" w:color="auto" w:fill="FFFFFF"/>
        <w:autoSpaceDE w:val="0"/>
        <w:autoSpaceDN w:val="0"/>
        <w:adjustRightInd w:val="0"/>
        <w:jc w:val="both"/>
        <w:rPr>
          <w:iCs/>
          <w:color w:val="000000" w:themeColor="text1"/>
          <w:sz w:val="16"/>
          <w:szCs w:val="16"/>
        </w:rPr>
      </w:pPr>
    </w:p>
    <w:p w14:paraId="7543E548" w14:textId="77777777" w:rsidR="00BF0E8A" w:rsidRPr="00507A31" w:rsidRDefault="00BF0E8A" w:rsidP="00507A31">
      <w:pPr>
        <w:jc w:val="both"/>
        <w:rPr>
          <w:color w:val="000000" w:themeColor="text1"/>
          <w:sz w:val="16"/>
          <w:szCs w:val="16"/>
        </w:rPr>
      </w:pPr>
      <w:r w:rsidRPr="00507A31">
        <w:rPr>
          <w:color w:val="000000" w:themeColor="text1"/>
          <w:sz w:val="16"/>
          <w:szCs w:val="16"/>
        </w:rPr>
        <w:t>21 октября 1930 г.</w:t>
      </w:r>
    </w:p>
    <w:p w14:paraId="48BFFE81" w14:textId="77777777" w:rsidR="00BF0E8A" w:rsidRPr="00507A31" w:rsidRDefault="00BF0E8A" w:rsidP="00507A31">
      <w:pPr>
        <w:jc w:val="both"/>
        <w:rPr>
          <w:color w:val="000000" w:themeColor="text1"/>
          <w:sz w:val="16"/>
          <w:szCs w:val="16"/>
        </w:rPr>
      </w:pPr>
      <w:r w:rsidRPr="00507A31">
        <w:rPr>
          <w:color w:val="000000" w:themeColor="text1"/>
          <w:sz w:val="16"/>
          <w:szCs w:val="16"/>
        </w:rPr>
        <w:t>Показания С. А. Предтеченского о подготовке к интервенции и деятельности «боевой организации» «Промпартии». Приложение к письму № П962 о рассылке материалов следствия от 21 октября 1930 г.</w:t>
      </w:r>
    </w:p>
    <w:p w14:paraId="089384BE" w14:textId="77777777" w:rsidR="00BF0E8A" w:rsidRPr="00507A31" w:rsidRDefault="00BF0E8A" w:rsidP="00507A31">
      <w:pPr>
        <w:jc w:val="both"/>
        <w:rPr>
          <w:color w:val="000000" w:themeColor="text1"/>
          <w:sz w:val="16"/>
          <w:szCs w:val="16"/>
        </w:rPr>
      </w:pPr>
      <w:r w:rsidRPr="00507A31">
        <w:rPr>
          <w:color w:val="000000" w:themeColor="text1"/>
          <w:sz w:val="16"/>
          <w:szCs w:val="16"/>
        </w:rPr>
        <w:t>Источник: </w:t>
      </w:r>
    </w:p>
    <w:p w14:paraId="1E581364" w14:textId="77777777" w:rsidR="00BF0E8A" w:rsidRPr="00507A31" w:rsidRDefault="00BF0E8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EC96CE" w14:textId="77777777" w:rsidR="00BF0E8A" w:rsidRPr="00507A31" w:rsidRDefault="00BF0E8A" w:rsidP="00507A31">
      <w:pPr>
        <w:jc w:val="both"/>
        <w:rPr>
          <w:color w:val="000000" w:themeColor="text1"/>
          <w:sz w:val="16"/>
          <w:szCs w:val="16"/>
        </w:rPr>
      </w:pPr>
      <w:r w:rsidRPr="00507A31">
        <w:rPr>
          <w:color w:val="000000" w:themeColor="text1"/>
          <w:sz w:val="16"/>
          <w:szCs w:val="16"/>
        </w:rPr>
        <w:t>Архив: </w:t>
      </w:r>
    </w:p>
    <w:p w14:paraId="16622E83" w14:textId="77777777" w:rsidR="00BF0E8A" w:rsidRPr="00507A31" w:rsidRDefault="00BF0E8A" w:rsidP="00507A31">
      <w:pPr>
        <w:jc w:val="both"/>
        <w:rPr>
          <w:color w:val="000000" w:themeColor="text1"/>
          <w:sz w:val="16"/>
          <w:szCs w:val="16"/>
        </w:rPr>
      </w:pPr>
      <w:r w:rsidRPr="00507A31">
        <w:rPr>
          <w:color w:val="000000" w:themeColor="text1"/>
          <w:sz w:val="16"/>
          <w:szCs w:val="16"/>
        </w:rPr>
        <w:t>ЦА ФСБ РФ. Ф. Р-42280. Т. 2. Л. 216-226</w:t>
      </w:r>
    </w:p>
    <w:p w14:paraId="4F9F0A9E" w14:textId="77777777" w:rsidR="00BF0E8A" w:rsidRPr="00507A31" w:rsidRDefault="00BF0E8A" w:rsidP="00507A31">
      <w:pPr>
        <w:jc w:val="both"/>
        <w:rPr>
          <w:color w:val="000000" w:themeColor="text1"/>
          <w:sz w:val="16"/>
          <w:szCs w:val="16"/>
        </w:rPr>
      </w:pPr>
      <w:r w:rsidRPr="00507A31">
        <w:rPr>
          <w:color w:val="000000" w:themeColor="text1"/>
          <w:sz w:val="16"/>
          <w:szCs w:val="16"/>
        </w:rPr>
        <w:t>от 2[1] октября 1930 г.</w:t>
      </w:r>
    </w:p>
    <w:p w14:paraId="23671DA0" w14:textId="77777777" w:rsidR="00BF0E8A" w:rsidRPr="00507A31" w:rsidRDefault="00BF0E8A" w:rsidP="00507A31">
      <w:pPr>
        <w:jc w:val="both"/>
        <w:rPr>
          <w:color w:val="000000" w:themeColor="text1"/>
          <w:sz w:val="16"/>
          <w:szCs w:val="16"/>
        </w:rPr>
      </w:pPr>
      <w:r w:rsidRPr="00507A31">
        <w:rPr>
          <w:color w:val="000000" w:themeColor="text1"/>
          <w:sz w:val="16"/>
          <w:szCs w:val="16"/>
        </w:rPr>
        <w:t>СТРОГО СЕКРЕТНО</w:t>
      </w:r>
    </w:p>
    <w:p w14:paraId="45E84EE1" w14:textId="77777777" w:rsidR="00BF0E8A" w:rsidRPr="00507A31" w:rsidRDefault="00BF0E8A" w:rsidP="00507A31">
      <w:pPr>
        <w:jc w:val="both"/>
        <w:rPr>
          <w:color w:val="000000" w:themeColor="text1"/>
          <w:sz w:val="16"/>
          <w:szCs w:val="16"/>
        </w:rPr>
      </w:pPr>
      <w:r w:rsidRPr="00507A31">
        <w:rPr>
          <w:color w:val="000000" w:themeColor="text1"/>
          <w:sz w:val="16"/>
          <w:szCs w:val="16"/>
        </w:rPr>
        <w:t>ПРОТОКОЛ ДОПРОСА</w:t>
      </w:r>
    </w:p>
    <w:p w14:paraId="7C26D9B6" w14:textId="77777777" w:rsidR="00BF0E8A" w:rsidRPr="00507A31" w:rsidRDefault="00BF0E8A" w:rsidP="00507A31">
      <w:pPr>
        <w:jc w:val="both"/>
        <w:rPr>
          <w:color w:val="000000" w:themeColor="text1"/>
          <w:sz w:val="16"/>
          <w:szCs w:val="16"/>
        </w:rPr>
      </w:pPr>
      <w:r w:rsidRPr="00507A31">
        <w:rPr>
          <w:color w:val="000000" w:themeColor="text1"/>
          <w:sz w:val="16"/>
          <w:szCs w:val="16"/>
        </w:rPr>
        <w:t>инженера ПРЕДТЕЧЕНСКОГО СЕРГЕЯ АЛЕКСЕЕВИЧА</w:t>
      </w:r>
    </w:p>
    <w:p w14:paraId="797B225C" w14:textId="77777777" w:rsidR="00BF0E8A" w:rsidRPr="00507A31" w:rsidRDefault="00BF0E8A" w:rsidP="00507A31">
      <w:pPr>
        <w:jc w:val="both"/>
        <w:rPr>
          <w:color w:val="000000" w:themeColor="text1"/>
          <w:sz w:val="16"/>
          <w:szCs w:val="16"/>
        </w:rPr>
      </w:pPr>
      <w:r w:rsidRPr="00507A31">
        <w:rPr>
          <w:color w:val="000000" w:themeColor="text1"/>
          <w:sz w:val="16"/>
          <w:szCs w:val="16"/>
        </w:rPr>
        <w:t>от 19/Х-1930 г.</w:t>
      </w:r>
    </w:p>
    <w:p w14:paraId="03E21E62" w14:textId="77777777" w:rsidR="00BF0E8A" w:rsidRPr="00507A31" w:rsidRDefault="00BF0E8A" w:rsidP="00507A31">
      <w:pPr>
        <w:jc w:val="both"/>
        <w:rPr>
          <w:color w:val="000000" w:themeColor="text1"/>
          <w:sz w:val="16"/>
          <w:szCs w:val="16"/>
        </w:rPr>
      </w:pPr>
      <w:r w:rsidRPr="00507A31">
        <w:rPr>
          <w:color w:val="000000" w:themeColor="text1"/>
          <w:sz w:val="16"/>
          <w:szCs w:val="16"/>
        </w:rPr>
        <w:t>ДОПРОСИЛИ: НАЧ. СО ОГПУ — тов. АГРАНОВ.</w:t>
      </w:r>
    </w:p>
    <w:p w14:paraId="14B44BED" w14:textId="77777777" w:rsidR="00BF0E8A" w:rsidRPr="00507A31" w:rsidRDefault="00BF0E8A" w:rsidP="00507A31">
      <w:pPr>
        <w:jc w:val="both"/>
        <w:rPr>
          <w:color w:val="000000" w:themeColor="text1"/>
          <w:sz w:val="16"/>
          <w:szCs w:val="16"/>
        </w:rPr>
      </w:pPr>
      <w:r w:rsidRPr="00507A31">
        <w:rPr>
          <w:color w:val="000000" w:themeColor="text1"/>
          <w:sz w:val="16"/>
          <w:szCs w:val="16"/>
        </w:rPr>
        <w:t>и НАЧ. 3 ОТДЕЛЕНИЯ] СООГПУ — тов. СЛАВАТИНСКИЙ.</w:t>
      </w:r>
    </w:p>
    <w:p w14:paraId="63D19105" w14:textId="77777777" w:rsidR="00BF0E8A" w:rsidRPr="00507A31" w:rsidRDefault="00BF0E8A" w:rsidP="00507A31">
      <w:pPr>
        <w:jc w:val="both"/>
        <w:rPr>
          <w:color w:val="000000" w:themeColor="text1"/>
          <w:sz w:val="16"/>
          <w:szCs w:val="16"/>
        </w:rPr>
      </w:pPr>
      <w:r w:rsidRPr="00507A31">
        <w:rPr>
          <w:color w:val="000000" w:themeColor="text1"/>
          <w:sz w:val="16"/>
          <w:szCs w:val="16"/>
        </w:rPr>
        <w:t>1.  Признаю себя виновным в том, что я состоял членом контрреволюционной организации, именовавшей себя «Промышленной Партией».</w:t>
      </w:r>
    </w:p>
    <w:p w14:paraId="79B5696B" w14:textId="77777777" w:rsidR="00BF0E8A" w:rsidRPr="00507A31" w:rsidRDefault="00BF0E8A" w:rsidP="00507A31">
      <w:pPr>
        <w:jc w:val="both"/>
        <w:rPr>
          <w:color w:val="000000" w:themeColor="text1"/>
          <w:sz w:val="16"/>
          <w:szCs w:val="16"/>
        </w:rPr>
      </w:pPr>
      <w:r w:rsidRPr="00507A31">
        <w:rPr>
          <w:color w:val="000000" w:themeColor="text1"/>
          <w:sz w:val="16"/>
          <w:szCs w:val="16"/>
        </w:rPr>
        <w:t>В организацию эту меня вовлек приблизительно в конце 1928 года профессор РАМЗИН Леонид Константинович.</w:t>
      </w:r>
    </w:p>
    <w:p w14:paraId="3F9A30B2" w14:textId="77777777" w:rsidR="00BF0E8A" w:rsidRPr="00507A31" w:rsidRDefault="00BF0E8A" w:rsidP="00507A31">
      <w:pPr>
        <w:jc w:val="both"/>
        <w:rPr>
          <w:color w:val="000000" w:themeColor="text1"/>
          <w:sz w:val="16"/>
          <w:szCs w:val="16"/>
        </w:rPr>
      </w:pPr>
      <w:r w:rsidRPr="00507A31">
        <w:rPr>
          <w:color w:val="000000" w:themeColor="text1"/>
          <w:sz w:val="16"/>
          <w:szCs w:val="16"/>
        </w:rPr>
        <w:t>«Промышленная Партия» ставила своей задачей свержение советской власти и создание буржуазно-демократической республики, что мыслилось ею возможным путем комбинирования вредительства, диверсионной и террористической работы и интервенции.</w:t>
      </w:r>
    </w:p>
    <w:p w14:paraId="194AFC33" w14:textId="77777777" w:rsidR="00BF0E8A" w:rsidRPr="00507A31" w:rsidRDefault="00BF0E8A" w:rsidP="00507A31">
      <w:pPr>
        <w:jc w:val="both"/>
        <w:rPr>
          <w:color w:val="000000" w:themeColor="text1"/>
          <w:sz w:val="16"/>
          <w:szCs w:val="16"/>
        </w:rPr>
      </w:pPr>
      <w:r w:rsidRPr="00507A31">
        <w:rPr>
          <w:color w:val="000000" w:themeColor="text1"/>
          <w:sz w:val="16"/>
          <w:szCs w:val="16"/>
        </w:rPr>
        <w:t>Интервенция являлась одной из основных установок «Промышленной Партии» и таковая вела напряженную работу в этом направлении, чтобы, с одной стороны, ослабить хозяйственную мощь СССР и ее обороноспособность и, с другой, чтобы стимулировать агрессивную политику буржуазных стран против советской России.</w:t>
      </w:r>
    </w:p>
    <w:p w14:paraId="6CB9FAB4" w14:textId="77777777" w:rsidR="00BF0E8A" w:rsidRPr="00507A31" w:rsidRDefault="00BF0E8A" w:rsidP="00507A31">
      <w:pPr>
        <w:jc w:val="both"/>
        <w:rPr>
          <w:color w:val="000000" w:themeColor="text1"/>
          <w:sz w:val="16"/>
          <w:szCs w:val="16"/>
        </w:rPr>
      </w:pPr>
      <w:r w:rsidRPr="00507A31">
        <w:rPr>
          <w:color w:val="000000" w:themeColor="text1"/>
          <w:sz w:val="16"/>
          <w:szCs w:val="16"/>
        </w:rPr>
        <w:t>Последнее достигалось путем сношения членов Центрального Комитета ПП с правительственными учреждениями буржуазных стран и, в частности, с военными штабами таковых, а также с зарубежными эмигрантскими центрами.</w:t>
      </w:r>
    </w:p>
    <w:p w14:paraId="35D3C4DA" w14:textId="77777777" w:rsidR="00BF0E8A" w:rsidRPr="00507A31" w:rsidRDefault="00BF0E8A" w:rsidP="00507A31">
      <w:pPr>
        <w:jc w:val="both"/>
        <w:rPr>
          <w:color w:val="000000" w:themeColor="text1"/>
          <w:sz w:val="16"/>
          <w:szCs w:val="16"/>
        </w:rPr>
      </w:pPr>
      <w:r w:rsidRPr="00507A31">
        <w:rPr>
          <w:color w:val="000000" w:themeColor="text1"/>
          <w:sz w:val="16"/>
          <w:szCs w:val="16"/>
        </w:rPr>
        <w:t>Материальные средства на свою работу Промышленная Партия получала от Торгово-Промышленного Комитета через французское посольство в Москве. Денежные средства от французов П.П. получала в лице членов Ц.К. — РАМЗИНА и ЛАРИЧЕВА. Деньги РАМЗИНУ и ЛАРИЧЕВУ обычно передавал сотрудник французского посольства КЮФЕР.</w:t>
      </w:r>
    </w:p>
    <w:p w14:paraId="1833A39C" w14:textId="77777777" w:rsidR="00BF0E8A" w:rsidRPr="00507A31" w:rsidRDefault="00BF0E8A" w:rsidP="00507A31">
      <w:pPr>
        <w:jc w:val="both"/>
        <w:rPr>
          <w:color w:val="000000" w:themeColor="text1"/>
          <w:sz w:val="16"/>
          <w:szCs w:val="16"/>
        </w:rPr>
      </w:pPr>
      <w:r w:rsidRPr="00507A31">
        <w:rPr>
          <w:color w:val="000000" w:themeColor="text1"/>
          <w:sz w:val="16"/>
          <w:szCs w:val="16"/>
        </w:rPr>
        <w:t>Через французское посольство ЦК «Промпартии» получил в общей сложности около полтора миллионов рублей. Из этой суммы я лично получил от РАМЗИНА в несколько приемов триста тысяч рублей. Деньги эти в основном предназначались на организацию вредительства, проводимого «Промышленной Партией» в различных областях народного хозяйства и, в первую очередь, в энергетике, которая нами рассматривалась &lt;как&gt; жизненный нерв страны.</w:t>
      </w:r>
    </w:p>
    <w:p w14:paraId="101844EF" w14:textId="77777777" w:rsidR="00BF0E8A" w:rsidRPr="00507A31" w:rsidRDefault="00BF0E8A" w:rsidP="00507A31">
      <w:pPr>
        <w:jc w:val="both"/>
        <w:rPr>
          <w:color w:val="000000" w:themeColor="text1"/>
          <w:sz w:val="16"/>
          <w:szCs w:val="16"/>
        </w:rPr>
      </w:pPr>
      <w:r w:rsidRPr="00507A31">
        <w:rPr>
          <w:color w:val="000000" w:themeColor="text1"/>
          <w:sz w:val="16"/>
          <w:szCs w:val="16"/>
        </w:rPr>
        <w:t>2.   Боевая организация Промпартии.</w:t>
      </w:r>
    </w:p>
    <w:p w14:paraId="0E192D37" w14:textId="77777777" w:rsidR="00BF0E8A" w:rsidRPr="00507A31" w:rsidRDefault="00BF0E8A" w:rsidP="00507A31">
      <w:pPr>
        <w:jc w:val="both"/>
        <w:rPr>
          <w:color w:val="000000" w:themeColor="text1"/>
          <w:sz w:val="16"/>
          <w:szCs w:val="16"/>
        </w:rPr>
      </w:pPr>
      <w:r w:rsidRPr="00507A31">
        <w:rPr>
          <w:color w:val="000000" w:themeColor="text1"/>
          <w:sz w:val="16"/>
          <w:szCs w:val="16"/>
        </w:rPr>
        <w:t>В 1929 году в связи с курсом ВКП(б) на ликвидацию кулака, как класса, Промпартия потеряла веру в эволюционное перерождение соввласти.</w:t>
      </w:r>
    </w:p>
    <w:p w14:paraId="76E846C8" w14:textId="77777777" w:rsidR="00BF0E8A" w:rsidRPr="00507A31" w:rsidRDefault="00BF0E8A" w:rsidP="00507A31">
      <w:pPr>
        <w:jc w:val="both"/>
        <w:rPr>
          <w:color w:val="000000" w:themeColor="text1"/>
          <w:sz w:val="16"/>
          <w:szCs w:val="16"/>
        </w:rPr>
      </w:pPr>
      <w:r w:rsidRPr="00507A31">
        <w:rPr>
          <w:color w:val="000000" w:themeColor="text1"/>
          <w:sz w:val="16"/>
          <w:szCs w:val="16"/>
        </w:rPr>
        <w:t>Ориентируясь по[-]прежнему на правые элементы внутри ВКП(б), Промпартия в силу этого решила поддержать позиции правых путем физического устранения тех руководителей ВКП(б) и правительства, которые проводили генеральную линию партии и таким образом препятствовали Промпартии в достижении ея конечных задач, о которых я говорил выше. Потому, наряду с вредительством Центральный комитет Промпартии выдвинул террор индивидуального характера, как метод борьбы с соввластью.</w:t>
      </w:r>
    </w:p>
    <w:p w14:paraId="47F06283" w14:textId="77777777" w:rsidR="00BF0E8A" w:rsidRPr="00507A31" w:rsidRDefault="00BF0E8A" w:rsidP="00507A31">
      <w:pPr>
        <w:jc w:val="both"/>
        <w:rPr>
          <w:color w:val="000000" w:themeColor="text1"/>
          <w:sz w:val="16"/>
          <w:szCs w:val="16"/>
        </w:rPr>
      </w:pPr>
      <w:r w:rsidRPr="00507A31">
        <w:rPr>
          <w:color w:val="000000" w:themeColor="text1"/>
          <w:sz w:val="16"/>
          <w:szCs w:val="16"/>
        </w:rPr>
        <w:t>В марте 1929 года Центральный комитет выделил специальную военную секцию, поручив ей создание боевых дружин Промпартии для организации террористических актов. В состав этой военной секции вошли следующие лица: П. С. ОСАДЧИЙ (руководитель) и члены Л. К. РАМЗИН, В. А. ЛАРИЧЕВ, И. А. КАЛИННИКОВ, С. Д. ШЕЙН и профессор Военно-Воздушной Академии НОВИЦКИЙ. Тогда же руководителем московской боевой организации Промпартии Ц.К. назначил меня, о чем сообщил лично мне РАМЗИН в мае с/г.</w:t>
      </w:r>
    </w:p>
    <w:p w14:paraId="6C001F2B" w14:textId="77777777" w:rsidR="00BF0E8A" w:rsidRPr="00507A31" w:rsidRDefault="00BF0E8A" w:rsidP="00507A31">
      <w:pPr>
        <w:jc w:val="both"/>
        <w:rPr>
          <w:color w:val="000000" w:themeColor="text1"/>
          <w:sz w:val="16"/>
          <w:szCs w:val="16"/>
        </w:rPr>
      </w:pPr>
      <w:r w:rsidRPr="00507A31">
        <w:rPr>
          <w:color w:val="000000" w:themeColor="text1"/>
          <w:sz w:val="16"/>
          <w:szCs w:val="16"/>
        </w:rPr>
        <w:t>В функции военной секции вошли следующие задачи:</w:t>
      </w:r>
    </w:p>
    <w:p w14:paraId="5BB89DD2" w14:textId="77777777" w:rsidR="00BF0E8A" w:rsidRPr="00507A31" w:rsidRDefault="00BF0E8A" w:rsidP="00507A31">
      <w:pPr>
        <w:jc w:val="both"/>
        <w:rPr>
          <w:color w:val="000000" w:themeColor="text1"/>
          <w:sz w:val="16"/>
          <w:szCs w:val="16"/>
        </w:rPr>
      </w:pPr>
      <w:r w:rsidRPr="00507A31">
        <w:rPr>
          <w:color w:val="000000" w:themeColor="text1"/>
          <w:sz w:val="16"/>
          <w:szCs w:val="16"/>
        </w:rPr>
        <w:t>а) Организация боевых групп для выполнения террористических актов по специальным приказам Центрального комитета Промпартии.</w:t>
      </w:r>
    </w:p>
    <w:p w14:paraId="548B5C07" w14:textId="77777777" w:rsidR="00BF0E8A" w:rsidRPr="00507A31" w:rsidRDefault="00BF0E8A" w:rsidP="00507A31">
      <w:pPr>
        <w:jc w:val="both"/>
        <w:rPr>
          <w:color w:val="000000" w:themeColor="text1"/>
          <w:sz w:val="16"/>
          <w:szCs w:val="16"/>
        </w:rPr>
      </w:pPr>
      <w:r w:rsidRPr="00507A31">
        <w:rPr>
          <w:color w:val="000000" w:themeColor="text1"/>
          <w:sz w:val="16"/>
          <w:szCs w:val="16"/>
        </w:rPr>
        <w:t>б) Организация диверсионных групп в промышленности на ея наиболее ответственных участках.</w:t>
      </w:r>
    </w:p>
    <w:p w14:paraId="0156511D" w14:textId="77777777" w:rsidR="00BF0E8A" w:rsidRPr="00507A31" w:rsidRDefault="00BF0E8A" w:rsidP="00507A31">
      <w:pPr>
        <w:jc w:val="both"/>
        <w:rPr>
          <w:color w:val="000000" w:themeColor="text1"/>
          <w:sz w:val="16"/>
          <w:szCs w:val="16"/>
        </w:rPr>
      </w:pPr>
      <w:r w:rsidRPr="00507A31">
        <w:rPr>
          <w:color w:val="000000" w:themeColor="text1"/>
          <w:sz w:val="16"/>
          <w:szCs w:val="16"/>
        </w:rPr>
        <w:t>в) Укомплектование промышленных предприятий и учреждений офицерскими группами.</w:t>
      </w:r>
    </w:p>
    <w:p w14:paraId="67726D78" w14:textId="77777777" w:rsidR="00BF0E8A" w:rsidRPr="00507A31" w:rsidRDefault="00BF0E8A" w:rsidP="00507A31">
      <w:pPr>
        <w:jc w:val="both"/>
        <w:rPr>
          <w:color w:val="000000" w:themeColor="text1"/>
          <w:sz w:val="16"/>
          <w:szCs w:val="16"/>
        </w:rPr>
      </w:pPr>
      <w:r w:rsidRPr="00507A31">
        <w:rPr>
          <w:color w:val="000000" w:themeColor="text1"/>
          <w:sz w:val="16"/>
          <w:szCs w:val="16"/>
        </w:rPr>
        <w:t>д) Установление связи Промпартии с Красной армией, в частности со штабом РККА, Военно-учебными заведениями, морским и воздушным флотом (через ЦАГИ и НАМИ) и с военной промышленностью.</w:t>
      </w:r>
    </w:p>
    <w:p w14:paraId="2BDE8DAE" w14:textId="77777777" w:rsidR="00BF0E8A" w:rsidRPr="00507A31" w:rsidRDefault="00BF0E8A" w:rsidP="00507A31">
      <w:pPr>
        <w:jc w:val="both"/>
        <w:rPr>
          <w:color w:val="000000" w:themeColor="text1"/>
          <w:sz w:val="16"/>
          <w:szCs w:val="16"/>
        </w:rPr>
      </w:pPr>
      <w:r w:rsidRPr="00507A31">
        <w:rPr>
          <w:color w:val="000000" w:themeColor="text1"/>
          <w:sz w:val="16"/>
          <w:szCs w:val="16"/>
        </w:rPr>
        <w:t>С марта 1929 года по июнь 1930 года военная секция провела большую работу по укомплектованию боевых групп.</w:t>
      </w:r>
    </w:p>
    <w:p w14:paraId="13EE1F89" w14:textId="77777777" w:rsidR="00BF0E8A" w:rsidRPr="00507A31" w:rsidRDefault="00BF0E8A" w:rsidP="00507A31">
      <w:pPr>
        <w:jc w:val="both"/>
        <w:rPr>
          <w:color w:val="000000" w:themeColor="text1"/>
          <w:sz w:val="16"/>
          <w:szCs w:val="16"/>
        </w:rPr>
      </w:pPr>
      <w:r w:rsidRPr="00507A31">
        <w:rPr>
          <w:color w:val="000000" w:themeColor="text1"/>
          <w:sz w:val="16"/>
          <w:szCs w:val="16"/>
        </w:rPr>
        <w:t>В результате — по состоянию на июнь 1930 года из известных мне таких боевых групп могу назвать следующие:</w:t>
      </w:r>
    </w:p>
    <w:p w14:paraId="313C7DA6" w14:textId="77777777" w:rsidR="00BF0E8A" w:rsidRPr="00507A31" w:rsidRDefault="00BF0E8A" w:rsidP="00507A31">
      <w:pPr>
        <w:jc w:val="both"/>
        <w:rPr>
          <w:color w:val="000000" w:themeColor="text1"/>
          <w:sz w:val="16"/>
          <w:szCs w:val="16"/>
        </w:rPr>
      </w:pPr>
      <w:r w:rsidRPr="00507A31">
        <w:rPr>
          <w:color w:val="000000" w:themeColor="text1"/>
          <w:sz w:val="16"/>
          <w:szCs w:val="16"/>
        </w:rPr>
        <w:t>1.   Террористическая группа инж. ЕВРЕИНОВА Е. Ф., ея состав: БУЛАШЕВИЧ, ШИШОВ, ПРАСОЛОВ, СМИРНОВ, ДЫДЗИНСКИЙ, САВЕЛЬЕВ (шоффер РАМЗИНА, член ВКП(б)), ТИТОВ.</w:t>
      </w:r>
    </w:p>
    <w:p w14:paraId="78AD0997" w14:textId="77777777" w:rsidR="00BF0E8A" w:rsidRPr="00507A31" w:rsidRDefault="00BF0E8A" w:rsidP="00507A31">
      <w:pPr>
        <w:jc w:val="both"/>
        <w:rPr>
          <w:color w:val="000000" w:themeColor="text1"/>
          <w:sz w:val="16"/>
          <w:szCs w:val="16"/>
        </w:rPr>
      </w:pPr>
      <w:r w:rsidRPr="00507A31">
        <w:rPr>
          <w:color w:val="000000" w:themeColor="text1"/>
          <w:sz w:val="16"/>
          <w:szCs w:val="16"/>
        </w:rPr>
        <w:t>Группа эта, за исключением САВЕЛЬЕВА, состояла целиком из инженеров Котлотурбин[ного] Объединения.</w:t>
      </w:r>
    </w:p>
    <w:p w14:paraId="2155E037" w14:textId="77777777" w:rsidR="00BF0E8A" w:rsidRPr="00507A31" w:rsidRDefault="00BF0E8A" w:rsidP="00507A31">
      <w:pPr>
        <w:jc w:val="both"/>
        <w:rPr>
          <w:color w:val="000000" w:themeColor="text1"/>
          <w:sz w:val="16"/>
          <w:szCs w:val="16"/>
        </w:rPr>
      </w:pPr>
      <w:r w:rsidRPr="00507A31">
        <w:rPr>
          <w:color w:val="000000" w:themeColor="text1"/>
          <w:sz w:val="16"/>
          <w:szCs w:val="16"/>
        </w:rPr>
        <w:t>2.  Террористическая группа инженера РЕВОКАТОВА Н. П., ея состав: ШАДРИН А. К., ЛЮБЛИНСКИЙ Б. А., БИМАН, МАМОНТОВ, РУНОВ, СБРОДОВ, ШУВАЛОВ, РУКИН, КУВАЛДИН. Из этих лиц — все, за исключением БИМАНА и МАМОНТОВА, которые являлись инженерами бюро Рационализации энергохозяйства, — являлись инженерами Котлотурбины.</w:t>
      </w:r>
    </w:p>
    <w:p w14:paraId="76876948" w14:textId="77777777" w:rsidR="00BF0E8A" w:rsidRPr="00507A31" w:rsidRDefault="00BF0E8A" w:rsidP="00507A31">
      <w:pPr>
        <w:jc w:val="both"/>
        <w:rPr>
          <w:color w:val="000000" w:themeColor="text1"/>
          <w:sz w:val="16"/>
          <w:szCs w:val="16"/>
        </w:rPr>
      </w:pPr>
      <w:r w:rsidRPr="00507A31">
        <w:rPr>
          <w:color w:val="000000" w:themeColor="text1"/>
          <w:sz w:val="16"/>
          <w:szCs w:val="16"/>
        </w:rPr>
        <w:lastRenderedPageBreak/>
        <w:t>3.  Террористическая группа профессора ДОЛ[Л]ЕЖАЛЬ Н. А. (Плехановский Ин[ститу]т). Ея состав: КОНЮХОВ, ЛЕДНЕВ, БУДКЕВИЧ, ПОПОВ и ШЛЯПНИКОВ, все инженеры Котлотурбины.</w:t>
      </w:r>
    </w:p>
    <w:p w14:paraId="43DEDE0D" w14:textId="77777777" w:rsidR="00BF0E8A" w:rsidRPr="00507A31" w:rsidRDefault="00BF0E8A" w:rsidP="00507A31">
      <w:pPr>
        <w:jc w:val="both"/>
        <w:rPr>
          <w:color w:val="000000" w:themeColor="text1"/>
          <w:sz w:val="16"/>
          <w:szCs w:val="16"/>
        </w:rPr>
      </w:pPr>
      <w:r w:rsidRPr="00507A31">
        <w:rPr>
          <w:color w:val="000000" w:themeColor="text1"/>
          <w:sz w:val="16"/>
          <w:szCs w:val="16"/>
        </w:rPr>
        <w:t>4.  Террористическая группа инженера КОЗЛИНСКОГО Г. Ю. Эта группа состояла из преподавателей МВТУ и инженеров Теплотехнического Института. В ея состав входили: ЛИППЕ (кандидат в члены ВКП(б)), ОЧКИН, ДОМАНТОВИЧ, СЕМЕНОВ В. Н.</w:t>
      </w:r>
    </w:p>
    <w:p w14:paraId="57F96BF8" w14:textId="77777777" w:rsidR="00BF0E8A" w:rsidRPr="00507A31" w:rsidRDefault="00BF0E8A" w:rsidP="00507A31">
      <w:pPr>
        <w:jc w:val="both"/>
        <w:rPr>
          <w:color w:val="000000" w:themeColor="text1"/>
          <w:sz w:val="16"/>
          <w:szCs w:val="16"/>
        </w:rPr>
      </w:pPr>
      <w:r w:rsidRPr="00507A31">
        <w:rPr>
          <w:color w:val="000000" w:themeColor="text1"/>
          <w:sz w:val="16"/>
          <w:szCs w:val="16"/>
        </w:rPr>
        <w:t>5.  Террористическая группа профессора ДАВИДОВА Н. А. Группа состояла целиком из инженеров Теплотехнического Института: НОВИ В. О., НОВИ Ю. О., МОРОЗ А. И., ДАВИДОВА (брат Н. А. ДАВИДОВА), АРНОЛЬДА В. Л., НЕЧАЕВА В. Н.</w:t>
      </w:r>
    </w:p>
    <w:p w14:paraId="16AFDB5E" w14:textId="77777777" w:rsidR="00BF0E8A" w:rsidRPr="00507A31" w:rsidRDefault="00BF0E8A" w:rsidP="00507A31">
      <w:pPr>
        <w:jc w:val="both"/>
        <w:rPr>
          <w:color w:val="000000" w:themeColor="text1"/>
          <w:sz w:val="16"/>
          <w:szCs w:val="16"/>
        </w:rPr>
      </w:pPr>
      <w:r w:rsidRPr="00507A31">
        <w:rPr>
          <w:color w:val="000000" w:themeColor="text1"/>
          <w:sz w:val="16"/>
          <w:szCs w:val="16"/>
        </w:rPr>
        <w:t>6.   Террористическая группа профессора Плехановского Института и МВТУ НАДЕЖДИНА А. А. Группа состояла из инженеров: КРАСНОПОЛЬСКОГО (преподаватель Плехановского Института), КАМЕНЕЦКОГО, СТЮНКЕЛЬ (инженер, ныне в Харькове), ШЕРШНЕВА (инженер).</w:t>
      </w:r>
    </w:p>
    <w:p w14:paraId="737F698E" w14:textId="77777777" w:rsidR="00BF0E8A" w:rsidRPr="00507A31" w:rsidRDefault="00BF0E8A" w:rsidP="00507A31">
      <w:pPr>
        <w:jc w:val="both"/>
        <w:rPr>
          <w:color w:val="000000" w:themeColor="text1"/>
          <w:sz w:val="16"/>
          <w:szCs w:val="16"/>
        </w:rPr>
      </w:pPr>
      <w:r w:rsidRPr="00507A31">
        <w:rPr>
          <w:color w:val="000000" w:themeColor="text1"/>
          <w:sz w:val="16"/>
          <w:szCs w:val="16"/>
        </w:rPr>
        <w:t>Из периферийных террористических групп ПП мне известны следующие:</w:t>
      </w:r>
    </w:p>
    <w:p w14:paraId="7A016691" w14:textId="77777777" w:rsidR="00BF0E8A" w:rsidRPr="00507A31" w:rsidRDefault="00BF0E8A" w:rsidP="00507A31">
      <w:pPr>
        <w:jc w:val="both"/>
        <w:rPr>
          <w:color w:val="000000" w:themeColor="text1"/>
          <w:sz w:val="16"/>
          <w:szCs w:val="16"/>
        </w:rPr>
      </w:pPr>
      <w:r w:rsidRPr="00507A31">
        <w:rPr>
          <w:color w:val="000000" w:themeColor="text1"/>
          <w:sz w:val="16"/>
          <w:szCs w:val="16"/>
        </w:rPr>
        <w:t>1.  Ленинградская террористическая группа инженера КРАУЗЕ С. И. (Гипромез). Ея состав: инженер ГОТГЕЛЬФ (трест Промвентиляция), БУТУСОВ (тоже), ГЛАДКОВ (тоже), ЩЕНКОВ (Котлотурбина).</w:t>
      </w:r>
    </w:p>
    <w:p w14:paraId="22C8BDCA" w14:textId="77777777" w:rsidR="00BF0E8A" w:rsidRPr="00507A31" w:rsidRDefault="00BF0E8A" w:rsidP="00507A31">
      <w:pPr>
        <w:jc w:val="both"/>
        <w:rPr>
          <w:color w:val="000000" w:themeColor="text1"/>
          <w:sz w:val="16"/>
          <w:szCs w:val="16"/>
        </w:rPr>
      </w:pPr>
      <w:r w:rsidRPr="00507A31">
        <w:rPr>
          <w:color w:val="000000" w:themeColor="text1"/>
          <w:sz w:val="16"/>
          <w:szCs w:val="16"/>
        </w:rPr>
        <w:t>2.  Харьковская террористическая группа инженера СЕМИХАТОВА. Ея состав — инженер ЦЕЛИБЕЕВ (Госплан УССР), СТЮНКЕЛЬ (Донток), ИВАНИЦКИЙ (Котлотурбина).</w:t>
      </w:r>
    </w:p>
    <w:p w14:paraId="0A25C4A1" w14:textId="77777777" w:rsidR="00BF0E8A" w:rsidRPr="00507A31" w:rsidRDefault="00BF0E8A" w:rsidP="00507A31">
      <w:pPr>
        <w:jc w:val="both"/>
        <w:rPr>
          <w:color w:val="000000" w:themeColor="text1"/>
          <w:sz w:val="16"/>
          <w:szCs w:val="16"/>
        </w:rPr>
      </w:pPr>
      <w:r w:rsidRPr="00507A31">
        <w:rPr>
          <w:color w:val="000000" w:themeColor="text1"/>
          <w:sz w:val="16"/>
          <w:szCs w:val="16"/>
        </w:rPr>
        <w:t>[3.] Ростовская террористическая группа, в составе инженеров — ФЕДОРОВСКОГО (Тепло и Сила), ШЕЙНИНА (бюро РЭТа).</w:t>
      </w:r>
    </w:p>
    <w:p w14:paraId="65F50A96" w14:textId="77777777" w:rsidR="00BF0E8A" w:rsidRPr="00507A31" w:rsidRDefault="00BF0E8A" w:rsidP="00507A31">
      <w:pPr>
        <w:jc w:val="both"/>
        <w:rPr>
          <w:color w:val="000000" w:themeColor="text1"/>
          <w:sz w:val="16"/>
          <w:szCs w:val="16"/>
        </w:rPr>
      </w:pPr>
      <w:r w:rsidRPr="00507A31">
        <w:rPr>
          <w:color w:val="000000" w:themeColor="text1"/>
          <w:sz w:val="16"/>
          <w:szCs w:val="16"/>
        </w:rPr>
        <w:t>Поскольку на периферии террористические группы в основном возглавлялись руководителями отдельных промышленных предприятий и преподавателями, таковые группы пополнялись студентами для организации резервных групп и для несения службы наблюдения и связи в случае необходимости при организации террактов.</w:t>
      </w:r>
    </w:p>
    <w:p w14:paraId="04A3FBE1" w14:textId="77777777" w:rsidR="00BF0E8A" w:rsidRPr="00507A31" w:rsidRDefault="00BF0E8A" w:rsidP="00507A31">
      <w:pPr>
        <w:jc w:val="both"/>
        <w:rPr>
          <w:color w:val="000000" w:themeColor="text1"/>
          <w:sz w:val="16"/>
          <w:szCs w:val="16"/>
        </w:rPr>
      </w:pPr>
      <w:r w:rsidRPr="00507A31">
        <w:rPr>
          <w:color w:val="000000" w:themeColor="text1"/>
          <w:sz w:val="16"/>
          <w:szCs w:val="16"/>
        </w:rPr>
        <w:t>Комплектование террористических групп производилось на началах строгой конспирации и индивидуальной обработки, каковая производилась руководителями групп. Каждая террористическая группа распоряжением ее руководителя разбивалась по следующим признакам: наблюдение, связь, выполнение теракта, руководство.</w:t>
      </w:r>
    </w:p>
    <w:p w14:paraId="2202A2FC" w14:textId="77777777" w:rsidR="00BF0E8A" w:rsidRPr="00507A31" w:rsidRDefault="00BF0E8A" w:rsidP="00507A31">
      <w:pPr>
        <w:jc w:val="both"/>
        <w:rPr>
          <w:color w:val="000000" w:themeColor="text1"/>
          <w:sz w:val="16"/>
          <w:szCs w:val="16"/>
        </w:rPr>
      </w:pPr>
      <w:r w:rsidRPr="00507A31">
        <w:rPr>
          <w:color w:val="000000" w:themeColor="text1"/>
          <w:sz w:val="16"/>
          <w:szCs w:val="16"/>
        </w:rPr>
        <w:t>В группах поддерживалась строжайшая дисциплина, т. к. специальное постановление Центрального комитета Промышленной партии от марта 1930 года устанавливало наказание смертью, как за измену, так и за неисполнение боевого приказа.</w:t>
      </w:r>
    </w:p>
    <w:p w14:paraId="5A335285" w14:textId="77777777" w:rsidR="00BF0E8A" w:rsidRPr="00507A31" w:rsidRDefault="00BF0E8A" w:rsidP="00507A31">
      <w:pPr>
        <w:jc w:val="both"/>
        <w:rPr>
          <w:color w:val="000000" w:themeColor="text1"/>
          <w:sz w:val="16"/>
          <w:szCs w:val="16"/>
        </w:rPr>
      </w:pPr>
      <w:r w:rsidRPr="00507A31">
        <w:rPr>
          <w:color w:val="000000" w:themeColor="text1"/>
          <w:sz w:val="16"/>
          <w:szCs w:val="16"/>
        </w:rPr>
        <w:t>3.   Подготовка Центральным Комитетом ПП террористических актов против СТАЛИНА. ЯГОЛЫ. МЕНЖИНСКОГО-ВОРОШИЛОВА и КУЙБЫШЕВА.</w:t>
      </w:r>
    </w:p>
    <w:p w14:paraId="7DF1A243" w14:textId="77777777" w:rsidR="00BF0E8A" w:rsidRPr="00507A31" w:rsidRDefault="00BF0E8A" w:rsidP="00507A31">
      <w:pPr>
        <w:jc w:val="both"/>
        <w:rPr>
          <w:color w:val="000000" w:themeColor="text1"/>
          <w:sz w:val="16"/>
          <w:szCs w:val="16"/>
        </w:rPr>
      </w:pPr>
      <w:r w:rsidRPr="00507A31">
        <w:rPr>
          <w:color w:val="000000" w:themeColor="text1"/>
          <w:sz w:val="16"/>
          <w:szCs w:val="16"/>
        </w:rPr>
        <w:t>Незадолго от открытия XVI партсъезда РАМЗИН устроил в своем служебном кабинете в Теплотехническом Институте строго конспиративное собрание группы членов «Промышленной партии». На этом собрании присутствовали следующие лица: РАМЗИН Л. К., я, ПРЕДТЕЧЕНСКИЙ С. А., ЕВРЕИНОВ Е. Ф., ОЧКИН В. А., КОЗЛИНСКИЙ Г. Ю., ДАВЫДОВ Н. А. На этом заседании РАМЗИН заявил о том, что Центральный комитет Промышленной партии на своем специальном заседании вынес постановление об убийстве СТАЛИНА и ЯГОДЫ, приурочивая эти теракты к открытию XVI партсъезда.</w:t>
      </w:r>
    </w:p>
    <w:p w14:paraId="39EADE66" w14:textId="77777777" w:rsidR="00BF0E8A" w:rsidRPr="00507A31" w:rsidRDefault="00BF0E8A" w:rsidP="00507A31">
      <w:pPr>
        <w:jc w:val="both"/>
        <w:rPr>
          <w:color w:val="000000" w:themeColor="text1"/>
          <w:sz w:val="16"/>
          <w:szCs w:val="16"/>
        </w:rPr>
      </w:pPr>
      <w:r w:rsidRPr="00507A31">
        <w:rPr>
          <w:color w:val="000000" w:themeColor="text1"/>
          <w:sz w:val="16"/>
          <w:szCs w:val="16"/>
        </w:rPr>
        <w:t>Далее, в силу этого постановления были намечены теракты и в отношении МЕНЖИНСКОГО, ВОРОШИЛОВА и КУЙБЫШЕВА. Последние теракты должны были быть выполнены по особому приказу Центрального комитета.</w:t>
      </w:r>
    </w:p>
    <w:p w14:paraId="0262C4DA" w14:textId="77777777" w:rsidR="00BF0E8A" w:rsidRPr="00507A31" w:rsidRDefault="00BF0E8A" w:rsidP="00507A31">
      <w:pPr>
        <w:jc w:val="both"/>
        <w:rPr>
          <w:color w:val="000000" w:themeColor="text1"/>
          <w:sz w:val="16"/>
          <w:szCs w:val="16"/>
        </w:rPr>
      </w:pPr>
      <w:r w:rsidRPr="00507A31">
        <w:rPr>
          <w:color w:val="000000" w:themeColor="text1"/>
          <w:sz w:val="16"/>
          <w:szCs w:val="16"/>
        </w:rPr>
        <w:t>Это постановление, по словам РАМЗИНА, Центральный комитет аргументировал следующим образом: правые уклонисты на партсъезде несомненно победят; в силу этого необходимо физическим устранением СТАЛИНА завершить победу правых и укрепить их позиции, с тем, чтобы такая ситуация дала бы возможность «Промышленной партии», ориентируясь на политические установки правых, добиваться дальнейших отступлений ВКП(б) от своих генеральных установок, что в конечном результате приблизило бы Промышленную партию к осуществлению ея конечной политической задачи — создания буржуазно-демократической республики. Победа правых элементов внутри ВКП(б) ослабила бы социалистический сектор народного хозяйства СССР и ея обороноспособность, что в общем результате создало бы почву, благоприятную для интервенции, на котор[ую] вообще ориентируется Промышленная партия.</w:t>
      </w:r>
    </w:p>
    <w:p w14:paraId="222691D9" w14:textId="77777777" w:rsidR="00BF0E8A" w:rsidRPr="00507A31" w:rsidRDefault="00BF0E8A" w:rsidP="00507A31">
      <w:pPr>
        <w:jc w:val="both"/>
        <w:rPr>
          <w:color w:val="000000" w:themeColor="text1"/>
          <w:sz w:val="16"/>
          <w:szCs w:val="16"/>
        </w:rPr>
      </w:pPr>
      <w:r w:rsidRPr="00507A31">
        <w:rPr>
          <w:color w:val="000000" w:themeColor="text1"/>
          <w:sz w:val="16"/>
          <w:szCs w:val="16"/>
        </w:rPr>
        <w:t>Исходя из этих установок Центральный комитет ПП, по словам РАМЗИНА, и решил произвести теракты в первую очередь в отношении СТАЛИНА и ЯГОДЫ с целью, как указано выше, закрепить позиции правых элементов ВКП(б) и внести дезорганизацию в работу ОГПУ. Ознакомив нас с этим постановлением Центрального комитета ПП[,] РАМЗИН далее сообщил, что по решению Центрального комитета выполнение теракта в отношении СТАЛИНА должна взять на себя террористическая группа Промпартии во главе с ЕВРЕИНОВЫМ, а в отношении ЯГОДЫ — террористическая группа КОЗЛИНСКОГО. РАМЗИН сообщил нам также и о том, что Центральный комитет П.П. обсуждал вопрос и о третьей террористической ея группе, возглавляемой Н. Н. РЕВОКАТОВЫМ, в смысле привлечения и этой группы к выполнению террористических актов. Однако эта мысль об использовании для терактов группы РЕВОКАТОВА была отвергнута в силу того, что ЦК ПП считал эту группу молодой и недостаточно организованной.</w:t>
      </w:r>
    </w:p>
    <w:p w14:paraId="3CB60395" w14:textId="77777777" w:rsidR="00BF0E8A" w:rsidRPr="00507A31" w:rsidRDefault="00BF0E8A" w:rsidP="00507A31">
      <w:pPr>
        <w:jc w:val="both"/>
        <w:rPr>
          <w:color w:val="000000" w:themeColor="text1"/>
          <w:sz w:val="16"/>
          <w:szCs w:val="16"/>
        </w:rPr>
      </w:pPr>
      <w:r w:rsidRPr="00507A31">
        <w:rPr>
          <w:color w:val="000000" w:themeColor="text1"/>
          <w:sz w:val="16"/>
          <w:szCs w:val="16"/>
        </w:rPr>
        <w:t>В заключение РАМЗИН огласил подробную письменную инструкцию, разработанную Центральным комитетом ПП, относительно проведения в жизнь терактов против СТАЛИНА и ЯГОДЫ. Инструкция эта была весьма обширной и затрагивала все вопросы техники терактов, вроде предварительной слежки на улицах за СТАЛИНЫМ и ЯГОДОЙ, хранения оружия, обеспечения выполнителей терактов возможностью к бегству (автомобилем) и т. п. Постановление ЦК ПП об убийстве СТАЛИНА и ЯГОДЫ и инструкция ЦК о тактике терактов собранием не обсуждалось и было молчаливо принято к исполнению.</w:t>
      </w:r>
    </w:p>
    <w:p w14:paraId="2DB43C21" w14:textId="77777777" w:rsidR="00BF0E8A" w:rsidRPr="00507A31" w:rsidRDefault="00BF0E8A" w:rsidP="00507A31">
      <w:pPr>
        <w:jc w:val="both"/>
        <w:rPr>
          <w:color w:val="000000" w:themeColor="text1"/>
          <w:sz w:val="16"/>
          <w:szCs w:val="16"/>
        </w:rPr>
      </w:pPr>
      <w:r w:rsidRPr="00507A31">
        <w:rPr>
          <w:color w:val="000000" w:themeColor="text1"/>
          <w:sz w:val="16"/>
          <w:szCs w:val="16"/>
        </w:rPr>
        <w:t>На меня лично Центральный комитет П.П. через РАМЗИНА возложил общее руководство по выполнению терактов, в частности — поручение по передаче руководителям террористических групп оружия для выполнения терактов.</w:t>
      </w:r>
    </w:p>
    <w:p w14:paraId="76737F06" w14:textId="77777777" w:rsidR="00BF0E8A" w:rsidRPr="00507A31" w:rsidRDefault="00BF0E8A" w:rsidP="00507A31">
      <w:pPr>
        <w:jc w:val="both"/>
        <w:rPr>
          <w:color w:val="000000" w:themeColor="text1"/>
          <w:sz w:val="16"/>
          <w:szCs w:val="16"/>
        </w:rPr>
      </w:pPr>
      <w:r w:rsidRPr="00507A31">
        <w:rPr>
          <w:color w:val="000000" w:themeColor="text1"/>
          <w:sz w:val="16"/>
          <w:szCs w:val="16"/>
        </w:rPr>
        <w:t>Добавляю, что, со слов РАМЗИНА, на специальном заседании Ц.К. Промпартии, на котором было вынесено решение об убийстве СТАЛИНА и ЯГОДЫ,] присутствовали следующие члены Ц.К. Промпартии: РАМЗИН, ОСАДЧИЙ, ШЕЙН и БАШКОВ.</w:t>
      </w:r>
    </w:p>
    <w:p w14:paraId="47DCFC7F" w14:textId="77777777" w:rsidR="00BF0E8A" w:rsidRPr="00507A31" w:rsidRDefault="00BF0E8A" w:rsidP="00507A31">
      <w:pPr>
        <w:jc w:val="both"/>
        <w:rPr>
          <w:color w:val="000000" w:themeColor="text1"/>
          <w:sz w:val="16"/>
          <w:szCs w:val="16"/>
        </w:rPr>
      </w:pPr>
      <w:r w:rsidRPr="00507A31">
        <w:rPr>
          <w:color w:val="000000" w:themeColor="text1"/>
          <w:sz w:val="16"/>
          <w:szCs w:val="16"/>
        </w:rPr>
        <w:t>Во исполнение решения Центрального комитета Промпартии, я лично явился к РАМЗИНУ на его квартиру и в присутствии ХУДЯКОВА Владимира Ильича — получил от РАМЗИНА оружие: 6 бомб, упакованных в две лубяных коробки[,] и шесть револьверов — три нагана и три автоматических пистолета. Оружие это РАМЗИН достал в упакованном виде из тумбы дивана, находившегося в кабинете его квартиры. Оружие было прикрыто в тумбе книгами. Получив от РАМЗИНА оружие (вспоминаю, что это происходило часов в 10 вечера)[,] я направился в свою квартиру (я жил в доме, соседнем с домом, где жил РАМЗИН) и запрятал это оружие в своей квартире.</w:t>
      </w:r>
    </w:p>
    <w:p w14:paraId="03CF5C99" w14:textId="77777777" w:rsidR="00BF0E8A" w:rsidRPr="00507A31" w:rsidRDefault="00BF0E8A" w:rsidP="00507A31">
      <w:pPr>
        <w:jc w:val="both"/>
        <w:rPr>
          <w:color w:val="000000" w:themeColor="text1"/>
          <w:sz w:val="16"/>
          <w:szCs w:val="16"/>
        </w:rPr>
      </w:pPr>
      <w:r w:rsidRPr="00507A31">
        <w:rPr>
          <w:color w:val="000000" w:themeColor="text1"/>
          <w:sz w:val="16"/>
          <w:szCs w:val="16"/>
        </w:rPr>
        <w:t>На другой день утром я передал сверток, в котором было 3 бомбы и 3 револьвера[,] шофферу САВЕЛЬЕВУ Ивану Степановичу, посвятив его в сущность дела, т. е. объяснив ему, что я передал ему бомбы и револьверы. САВЕЛЬЕВ по моему поручению отвез пакет с оружием в «Тепло и Силу», где передал из рук в руки КОЗЛИНСКОМУ в своем служебном кабинете в Теплотехническом Институте.</w:t>
      </w:r>
    </w:p>
    <w:p w14:paraId="451FFF7F" w14:textId="77777777" w:rsidR="00BF0E8A" w:rsidRPr="00507A31" w:rsidRDefault="00BF0E8A" w:rsidP="00507A31">
      <w:pPr>
        <w:jc w:val="both"/>
        <w:rPr>
          <w:color w:val="000000" w:themeColor="text1"/>
          <w:sz w:val="16"/>
          <w:szCs w:val="16"/>
        </w:rPr>
      </w:pPr>
      <w:r w:rsidRPr="00507A31">
        <w:rPr>
          <w:color w:val="000000" w:themeColor="text1"/>
          <w:sz w:val="16"/>
          <w:szCs w:val="16"/>
        </w:rPr>
        <w:t>Получив от меня оружие[,] ЕВРЕИНОВ и КОЗЛИНСКИЙ приступили к подготовке терактов, первый в отношении СТАЛИНА и второй ЯГОДЫ.</w:t>
      </w:r>
    </w:p>
    <w:p w14:paraId="77998187" w14:textId="77777777" w:rsidR="00BF0E8A" w:rsidRPr="00507A31" w:rsidRDefault="00BF0E8A" w:rsidP="00507A31">
      <w:pPr>
        <w:jc w:val="both"/>
        <w:rPr>
          <w:color w:val="000000" w:themeColor="text1"/>
          <w:sz w:val="16"/>
          <w:szCs w:val="16"/>
        </w:rPr>
      </w:pPr>
      <w:r w:rsidRPr="00507A31">
        <w:rPr>
          <w:color w:val="000000" w:themeColor="text1"/>
          <w:sz w:val="16"/>
          <w:szCs w:val="16"/>
        </w:rPr>
        <w:t>Вскоре после передачи ЕВРЕИНОВУ и КОЗЛИНСКОМУ оружия, я уехал в отпуск в Ялту, откуда вернулся в Москву через месяц, т. е. 27 июня.</w:t>
      </w:r>
    </w:p>
    <w:p w14:paraId="570B0271" w14:textId="77777777" w:rsidR="00BF0E8A" w:rsidRPr="00507A31" w:rsidRDefault="00BF0E8A" w:rsidP="00507A31">
      <w:pPr>
        <w:jc w:val="both"/>
        <w:rPr>
          <w:color w:val="000000" w:themeColor="text1"/>
          <w:sz w:val="16"/>
          <w:szCs w:val="16"/>
        </w:rPr>
      </w:pPr>
      <w:r w:rsidRPr="00507A31">
        <w:rPr>
          <w:color w:val="000000" w:themeColor="text1"/>
          <w:sz w:val="16"/>
          <w:szCs w:val="16"/>
        </w:rPr>
        <w:t>По приезде в Москву я передал полученную мною через ХУДЯКОВА от НОВИЦКОГО новую партию оружия 6 бомб и 6 револьверов — РЕВОКАТОВУ и ДОЛЛЕЖАЛЮ для организации терактов против МЕНЖИНСКОГО, ВОРОШИЛОВА, КУЙБЫШЕВА. В Москве РАМЗИНА я не застал, так как он был в то время заграницей, где пробыл две-две с половиной недели. Из разговоров с КОЗЛИНСКИМ и ЕВРЕИНОВЫМ я узнал, что они с момента открытия съезда установили непрерывное наблюдение за путями следования в Большой театр СТАЛИНА и ЯГОДЫ, с целью производства террористического акта в отношении их на улице. Мне известно также со слов тех же лиц, т. е. КОЗЛИНСКОГО и ЕВРЕИНОВА о том, что в организацию терактов ими был вовлечен шоффер РАМЗИНА — САВЕЛЬЕВ Иван Степанович, который находился в моменты производства наблюдения за СТАЛИНЫМ и ЯГОДОЙ недалеко от пунктов наблюдения.</w:t>
      </w:r>
    </w:p>
    <w:p w14:paraId="5C698031" w14:textId="77777777" w:rsidR="00BF0E8A" w:rsidRPr="00507A31" w:rsidRDefault="00BF0E8A" w:rsidP="00507A31">
      <w:pPr>
        <w:jc w:val="both"/>
        <w:rPr>
          <w:color w:val="000000" w:themeColor="text1"/>
          <w:sz w:val="16"/>
          <w:szCs w:val="16"/>
        </w:rPr>
      </w:pPr>
      <w:r w:rsidRPr="00507A31">
        <w:rPr>
          <w:color w:val="000000" w:themeColor="text1"/>
          <w:sz w:val="16"/>
          <w:szCs w:val="16"/>
        </w:rPr>
        <w:t>Террористические акты в отношении СТАЛИНА [и] ЯГОДЫ не были выполнены по специальному постановлению Центрального Комитета.</w:t>
      </w:r>
    </w:p>
    <w:p w14:paraId="5667BB28" w14:textId="77777777" w:rsidR="00BF0E8A" w:rsidRPr="00507A31" w:rsidRDefault="00BF0E8A" w:rsidP="00507A31">
      <w:pPr>
        <w:jc w:val="both"/>
        <w:rPr>
          <w:color w:val="000000" w:themeColor="text1"/>
          <w:sz w:val="16"/>
          <w:szCs w:val="16"/>
        </w:rPr>
      </w:pPr>
      <w:r w:rsidRPr="00507A31">
        <w:rPr>
          <w:color w:val="000000" w:themeColor="text1"/>
          <w:sz w:val="16"/>
          <w:szCs w:val="16"/>
        </w:rPr>
        <w:t>Ц.К. «Промпартии»[,] отменяя свое прежнее постановление об убийстве СТАЛИНА и ЯГОДЫ, что имело место приблизительно через неделю после открытия партсъезда[,] мотивировал свое новое решение тем, что на съезде выяснилась нереальность представлений ЦК Промпартии о победе правого уклона.</w:t>
      </w:r>
    </w:p>
    <w:p w14:paraId="6483C1D3" w14:textId="77777777" w:rsidR="00BF0E8A" w:rsidRPr="00507A31" w:rsidRDefault="00BF0E8A" w:rsidP="00507A31">
      <w:pPr>
        <w:jc w:val="both"/>
        <w:rPr>
          <w:color w:val="000000" w:themeColor="text1"/>
          <w:sz w:val="16"/>
          <w:szCs w:val="16"/>
        </w:rPr>
      </w:pPr>
      <w:r w:rsidRPr="00507A31">
        <w:rPr>
          <w:color w:val="000000" w:themeColor="text1"/>
          <w:sz w:val="16"/>
          <w:szCs w:val="16"/>
        </w:rPr>
        <w:t>В силу этого ЦК решил, что даже убийством СТАЛИНА нельзя будет поддержать позицию правых, а потому не стоит ставить себя и террористические группы под удар ГПУ и что вследствие этого вопрос об убийстве СТАЛИНА и ЯГОДЫ необходимо отложить до другой[,] более подходящей ситуации, в частности к моменту интервенции.</w:t>
      </w:r>
    </w:p>
    <w:p w14:paraId="2DAFA2C1" w14:textId="77777777" w:rsidR="00BF0E8A" w:rsidRPr="00507A31" w:rsidRDefault="00BF0E8A" w:rsidP="00507A31">
      <w:pPr>
        <w:jc w:val="both"/>
        <w:rPr>
          <w:color w:val="000000" w:themeColor="text1"/>
          <w:sz w:val="16"/>
          <w:szCs w:val="16"/>
        </w:rPr>
      </w:pPr>
      <w:r w:rsidRPr="00507A31">
        <w:rPr>
          <w:color w:val="000000" w:themeColor="text1"/>
          <w:sz w:val="16"/>
          <w:szCs w:val="16"/>
        </w:rPr>
        <w:t>Это новое решение Центрального Комитета мне сообщил ХУДЯКОВ Владимир Ильич. Я в свою очередь уведомил об этом КОЗЛИНСКОГО и ЕВРЕИНОВА.</w:t>
      </w:r>
    </w:p>
    <w:p w14:paraId="46039D8E" w14:textId="77777777" w:rsidR="00BF0E8A" w:rsidRPr="00507A31" w:rsidRDefault="00BF0E8A" w:rsidP="00507A31">
      <w:pPr>
        <w:jc w:val="both"/>
        <w:rPr>
          <w:color w:val="000000" w:themeColor="text1"/>
          <w:sz w:val="16"/>
          <w:szCs w:val="16"/>
        </w:rPr>
      </w:pPr>
      <w:r w:rsidRPr="00507A31">
        <w:rPr>
          <w:color w:val="000000" w:themeColor="text1"/>
          <w:sz w:val="16"/>
          <w:szCs w:val="16"/>
        </w:rPr>
        <w:t>Поскольку теракты были отменены — КОЗЛИНСКИЙ и ЕВРЕИНОВ возвратили мне полученное от меня оружие[,] т. е. шесть бомб и шесть револьверов с патронами. Это оружие я передал шофферу САВЕЛЬЕВУ, и попросил его отвезти оружие за город и зарыть его в землю. Выполняя мое поручение[,] САВЕЛЬЕВ зарыл бомбы и револьверы, где[-]то недалеко от Царицына, куда он ездил специально для того на машине РАМЗИНА. Теракты в отношении МЕНЖИНСКОГО, ВОРОШИЛОВА и КУЙБЫШЕВА не были подтверждены Ц.К. и в силу этого к организации их группы РЕВОКАТОВА и ДОЛЛЕЖАЛЯ не приступали. РЕВОКАТОВ и ДОЛЛЕЖАЛЬ бомбы и револьверы мне не вернули.</w:t>
      </w:r>
    </w:p>
    <w:p w14:paraId="13C02974" w14:textId="77777777" w:rsidR="00BF0E8A" w:rsidRPr="00507A31" w:rsidRDefault="00BF0E8A" w:rsidP="00507A31">
      <w:pPr>
        <w:jc w:val="both"/>
        <w:rPr>
          <w:color w:val="000000" w:themeColor="text1"/>
          <w:sz w:val="16"/>
          <w:szCs w:val="16"/>
        </w:rPr>
      </w:pPr>
      <w:r w:rsidRPr="00507A31">
        <w:rPr>
          <w:color w:val="000000" w:themeColor="text1"/>
          <w:sz w:val="16"/>
          <w:szCs w:val="16"/>
        </w:rPr>
        <w:t>4. Военная организация Промпартии.</w:t>
      </w:r>
    </w:p>
    <w:p w14:paraId="4E030AF3" w14:textId="77777777" w:rsidR="00BF0E8A" w:rsidRPr="00507A31" w:rsidRDefault="00BF0E8A" w:rsidP="00507A31">
      <w:pPr>
        <w:jc w:val="both"/>
        <w:rPr>
          <w:color w:val="000000" w:themeColor="text1"/>
          <w:sz w:val="16"/>
          <w:szCs w:val="16"/>
        </w:rPr>
      </w:pPr>
      <w:r w:rsidRPr="00507A31">
        <w:rPr>
          <w:color w:val="000000" w:themeColor="text1"/>
          <w:sz w:val="16"/>
          <w:szCs w:val="16"/>
        </w:rPr>
        <w:t>Придавая серьезнейшее внимание своей работе в Красной армии и в военной промышленности — «Промышленной Партии» в лице своей Военной секции — за короткое сравнительно время своего существования провела большую организационную работу. Военная работа «Пром. Партии» носила строго конспиративный характер, однако, благодаря тому, что у меня были с РАМЗИНЫМ весьма близкие отношения[,] РАМЗИН нередко рассказывал о военной работе П.П. В результате из его рассказов в отношении военной работы ПП я знаю следующее.</w:t>
      </w:r>
    </w:p>
    <w:p w14:paraId="65C7F4E0" w14:textId="77777777" w:rsidR="00BF0E8A" w:rsidRPr="00507A31" w:rsidRDefault="00BF0E8A" w:rsidP="00507A31">
      <w:pPr>
        <w:jc w:val="both"/>
        <w:rPr>
          <w:color w:val="000000" w:themeColor="text1"/>
          <w:sz w:val="16"/>
          <w:szCs w:val="16"/>
        </w:rPr>
      </w:pPr>
      <w:r w:rsidRPr="00507A31">
        <w:rPr>
          <w:color w:val="000000" w:themeColor="text1"/>
          <w:sz w:val="16"/>
          <w:szCs w:val="16"/>
        </w:rPr>
        <w:t>В Красной армии имеется разветвленная сеть ячеек Промпартии.</w:t>
      </w:r>
    </w:p>
    <w:p w14:paraId="430A2518" w14:textId="77777777" w:rsidR="00BF0E8A" w:rsidRPr="00507A31" w:rsidRDefault="00BF0E8A" w:rsidP="00507A31">
      <w:pPr>
        <w:jc w:val="both"/>
        <w:rPr>
          <w:color w:val="000000" w:themeColor="text1"/>
          <w:sz w:val="16"/>
          <w:szCs w:val="16"/>
        </w:rPr>
      </w:pPr>
      <w:r w:rsidRPr="00507A31">
        <w:rPr>
          <w:color w:val="000000" w:themeColor="text1"/>
          <w:sz w:val="16"/>
          <w:szCs w:val="16"/>
        </w:rPr>
        <w:t>Из этих ячеек мне известны следующие[:]</w:t>
      </w:r>
    </w:p>
    <w:p w14:paraId="773DDCE3" w14:textId="77777777" w:rsidR="00BF0E8A" w:rsidRPr="00507A31" w:rsidRDefault="00BF0E8A" w:rsidP="00507A31">
      <w:pPr>
        <w:jc w:val="both"/>
        <w:rPr>
          <w:color w:val="000000" w:themeColor="text1"/>
          <w:sz w:val="16"/>
          <w:szCs w:val="16"/>
        </w:rPr>
      </w:pPr>
      <w:r w:rsidRPr="00507A31">
        <w:rPr>
          <w:color w:val="000000" w:themeColor="text1"/>
          <w:sz w:val="16"/>
          <w:szCs w:val="16"/>
        </w:rPr>
        <w:t>а) ячейка П.П. в Штабе РККА. Состав этой ячейки мне неизвестен. Работой ея руководила непосредственно Военная Секция Центрального Комитета, которая в лице РАМЗИНА — в свое время вела переговоры с ВЕРХОВСКИМ о его вступлении в Промпартию. Вступил ли он в Пром. Партию[,] я не знаю.</w:t>
      </w:r>
    </w:p>
    <w:p w14:paraId="1B4FE222" w14:textId="77777777" w:rsidR="00BF0E8A" w:rsidRPr="00507A31" w:rsidRDefault="00BF0E8A" w:rsidP="00507A31">
      <w:pPr>
        <w:jc w:val="both"/>
        <w:rPr>
          <w:color w:val="000000" w:themeColor="text1"/>
          <w:sz w:val="16"/>
          <w:szCs w:val="16"/>
        </w:rPr>
      </w:pPr>
      <w:r w:rsidRPr="00507A31">
        <w:rPr>
          <w:color w:val="000000" w:themeColor="text1"/>
          <w:sz w:val="16"/>
          <w:szCs w:val="16"/>
        </w:rPr>
        <w:lastRenderedPageBreak/>
        <w:t>б) ячейка П.П. в Военн[о-]Воздушном флоте. Кто персонально возглавлял эту ячейку я не знаю, однако со слов РАМЗИНА мне известно, что в эту ячейку входил профессор БРИЛЛИНГ Николай Романович. С этой ячейкой Промпартии были связаны группы Промпартии в ЦАРИ и НАМИ, каковые в свою очередь имели разветвление на военных авиационных и автомобильных заводах.</w:t>
      </w:r>
    </w:p>
    <w:p w14:paraId="62A2FAF5" w14:textId="77777777" w:rsidR="00BF0E8A" w:rsidRPr="00507A31" w:rsidRDefault="00BF0E8A" w:rsidP="00507A31">
      <w:pPr>
        <w:jc w:val="both"/>
        <w:rPr>
          <w:color w:val="000000" w:themeColor="text1"/>
          <w:sz w:val="16"/>
          <w:szCs w:val="16"/>
        </w:rPr>
      </w:pPr>
      <w:r w:rsidRPr="00507A31">
        <w:rPr>
          <w:color w:val="000000" w:themeColor="text1"/>
          <w:sz w:val="16"/>
          <w:szCs w:val="16"/>
        </w:rPr>
        <w:t>в) Ячейка П.П. в Военно-Морском флоте. В штабе начморсил работой Промпартии руководил какой[-]то механик флота, с фамилией, начинающейся на букву А. Кроме этого имеются ячейки Промпартии в Черноморском флоте, в организации которых принимал участие КОЗЛИНСКИЙ.</w:t>
      </w:r>
    </w:p>
    <w:p w14:paraId="21826338" w14:textId="77777777" w:rsidR="00BF0E8A" w:rsidRPr="00507A31" w:rsidRDefault="00BF0E8A" w:rsidP="00507A31">
      <w:pPr>
        <w:jc w:val="both"/>
        <w:rPr>
          <w:color w:val="000000" w:themeColor="text1"/>
          <w:sz w:val="16"/>
          <w:szCs w:val="16"/>
        </w:rPr>
      </w:pPr>
      <w:r w:rsidRPr="00507A31">
        <w:rPr>
          <w:color w:val="000000" w:themeColor="text1"/>
          <w:sz w:val="16"/>
          <w:szCs w:val="16"/>
        </w:rPr>
        <w:t>г) В инженерных частях Красной армии работой Промпартии руководит военный инженер ВАСИН Андрей Иванович.</w:t>
      </w:r>
    </w:p>
    <w:p w14:paraId="2225297F" w14:textId="77777777" w:rsidR="00BF0E8A" w:rsidRPr="00507A31" w:rsidRDefault="00BF0E8A" w:rsidP="00507A31">
      <w:pPr>
        <w:jc w:val="both"/>
        <w:rPr>
          <w:color w:val="000000" w:themeColor="text1"/>
          <w:sz w:val="16"/>
          <w:szCs w:val="16"/>
        </w:rPr>
      </w:pPr>
      <w:r w:rsidRPr="00507A31">
        <w:rPr>
          <w:color w:val="000000" w:themeColor="text1"/>
          <w:sz w:val="16"/>
          <w:szCs w:val="16"/>
        </w:rPr>
        <w:t>д) В Военной промышленности работой Промпартии руководит член П.П. АНИЧКОВ Владимир Иванович и ГУБИН Митрофан Александрович (по Военпром[у]).</w:t>
      </w:r>
    </w:p>
    <w:p w14:paraId="06B5B1ED" w14:textId="77777777" w:rsidR="00BF0E8A" w:rsidRPr="00507A31" w:rsidRDefault="00BF0E8A" w:rsidP="00507A31">
      <w:pPr>
        <w:jc w:val="both"/>
        <w:rPr>
          <w:color w:val="000000" w:themeColor="text1"/>
          <w:sz w:val="16"/>
          <w:szCs w:val="16"/>
        </w:rPr>
      </w:pPr>
      <w:r w:rsidRPr="00507A31">
        <w:rPr>
          <w:color w:val="000000" w:themeColor="text1"/>
          <w:sz w:val="16"/>
          <w:szCs w:val="16"/>
        </w:rPr>
        <w:t>е) На Тульском военном заводе работой руководит член П.П. ВАСИЛЬКОВСКИЙ.</w:t>
      </w:r>
    </w:p>
    <w:p w14:paraId="03777AD6" w14:textId="77777777" w:rsidR="00BF0E8A" w:rsidRPr="00507A31" w:rsidRDefault="00BF0E8A" w:rsidP="00507A31">
      <w:pPr>
        <w:jc w:val="both"/>
        <w:rPr>
          <w:color w:val="000000" w:themeColor="text1"/>
          <w:sz w:val="16"/>
          <w:szCs w:val="16"/>
        </w:rPr>
      </w:pPr>
      <w:r w:rsidRPr="00507A31">
        <w:rPr>
          <w:color w:val="000000" w:themeColor="text1"/>
          <w:sz w:val="16"/>
          <w:szCs w:val="16"/>
        </w:rPr>
        <w:t>ж) В Судо-тресте (Ленинград) — член П.П. ТАМАНЦЕВ Семен Григорьевич.</w:t>
      </w:r>
    </w:p>
    <w:p w14:paraId="19B01DE4" w14:textId="77777777" w:rsidR="00BF0E8A" w:rsidRPr="00507A31" w:rsidRDefault="00BF0E8A" w:rsidP="00507A31">
      <w:pPr>
        <w:jc w:val="both"/>
        <w:rPr>
          <w:color w:val="000000" w:themeColor="text1"/>
          <w:sz w:val="16"/>
          <w:szCs w:val="16"/>
        </w:rPr>
      </w:pPr>
      <w:r w:rsidRPr="00507A31">
        <w:rPr>
          <w:color w:val="000000" w:themeColor="text1"/>
          <w:sz w:val="16"/>
          <w:szCs w:val="16"/>
        </w:rPr>
        <w:t>з) На Обуховском заводе и по Ленинградской тяжелой индустрии работой руководит член Пром. Партии КРАУЗЕ Сергей Иеронимович.</w:t>
      </w:r>
    </w:p>
    <w:p w14:paraId="14776582" w14:textId="77777777" w:rsidR="00BF0E8A" w:rsidRPr="00507A31" w:rsidRDefault="00BF0E8A" w:rsidP="00507A31">
      <w:pPr>
        <w:jc w:val="both"/>
        <w:rPr>
          <w:color w:val="000000" w:themeColor="text1"/>
          <w:sz w:val="16"/>
          <w:szCs w:val="16"/>
        </w:rPr>
      </w:pPr>
      <w:r w:rsidRPr="00507A31">
        <w:rPr>
          <w:color w:val="000000" w:themeColor="text1"/>
          <w:sz w:val="16"/>
          <w:szCs w:val="16"/>
        </w:rPr>
        <w:t>О ячейках Промпартии в Войсковых частях мне ничего неизвестно.</w:t>
      </w:r>
    </w:p>
    <w:p w14:paraId="437DF01D" w14:textId="77777777" w:rsidR="00BF0E8A" w:rsidRPr="00507A31" w:rsidRDefault="00BF0E8A" w:rsidP="00507A31">
      <w:pPr>
        <w:jc w:val="both"/>
        <w:rPr>
          <w:color w:val="000000" w:themeColor="text1"/>
          <w:sz w:val="16"/>
          <w:szCs w:val="16"/>
        </w:rPr>
      </w:pPr>
      <w:r w:rsidRPr="00507A31">
        <w:rPr>
          <w:color w:val="000000" w:themeColor="text1"/>
          <w:sz w:val="16"/>
          <w:szCs w:val="16"/>
        </w:rPr>
        <w:t>В заключение добавляю.</w:t>
      </w:r>
    </w:p>
    <w:p w14:paraId="517151BD" w14:textId="77777777" w:rsidR="00BF0E8A" w:rsidRPr="00507A31" w:rsidRDefault="00BF0E8A" w:rsidP="00507A31">
      <w:pPr>
        <w:jc w:val="both"/>
        <w:rPr>
          <w:color w:val="000000" w:themeColor="text1"/>
          <w:sz w:val="16"/>
          <w:szCs w:val="16"/>
        </w:rPr>
      </w:pPr>
      <w:r w:rsidRPr="00507A31">
        <w:rPr>
          <w:color w:val="000000" w:themeColor="text1"/>
          <w:sz w:val="16"/>
          <w:szCs w:val="16"/>
        </w:rPr>
        <w:t>Вступая на путь безоговорочного признания своих тяжких преступлений — я доказываю свое полное разоружение перед Советской властью тем, что вскрываю всю известную мне преступную деятельность Промышленной Партии.</w:t>
      </w:r>
    </w:p>
    <w:p w14:paraId="0359AB43" w14:textId="77777777" w:rsidR="00BF0E8A" w:rsidRPr="00507A31" w:rsidRDefault="00BF0E8A" w:rsidP="00507A31">
      <w:pPr>
        <w:jc w:val="both"/>
        <w:rPr>
          <w:color w:val="000000" w:themeColor="text1"/>
          <w:sz w:val="16"/>
          <w:szCs w:val="16"/>
        </w:rPr>
      </w:pPr>
      <w:r w:rsidRPr="00507A31">
        <w:rPr>
          <w:color w:val="000000" w:themeColor="text1"/>
          <w:sz w:val="16"/>
          <w:szCs w:val="16"/>
        </w:rPr>
        <w:t>Признавая целиком и полностью себя виновным[,] я заявляю, что самоотверженной работой не за страх, а за совесть я искуплю свои преступления и посвящу остаток своей жизни интересам рабочего класса.</w:t>
      </w:r>
    </w:p>
    <w:p w14:paraId="220BD686" w14:textId="77777777" w:rsidR="00BF0E8A" w:rsidRPr="00507A31" w:rsidRDefault="00BF0E8A" w:rsidP="00507A31">
      <w:pPr>
        <w:jc w:val="both"/>
        <w:rPr>
          <w:color w:val="000000" w:themeColor="text1"/>
          <w:sz w:val="16"/>
          <w:szCs w:val="16"/>
        </w:rPr>
      </w:pPr>
      <w:r w:rsidRPr="00507A31">
        <w:rPr>
          <w:color w:val="000000" w:themeColor="text1"/>
          <w:sz w:val="16"/>
          <w:szCs w:val="16"/>
        </w:rPr>
        <w:t>Показания записаны с моих слов и мною прочитаны.</w:t>
      </w:r>
    </w:p>
    <w:p w14:paraId="3B319A76" w14:textId="77777777" w:rsidR="00BF0E8A" w:rsidRPr="00507A31" w:rsidRDefault="00BF0E8A" w:rsidP="00507A31">
      <w:pPr>
        <w:jc w:val="both"/>
        <w:rPr>
          <w:color w:val="000000" w:themeColor="text1"/>
          <w:sz w:val="16"/>
          <w:szCs w:val="16"/>
        </w:rPr>
      </w:pPr>
      <w:r w:rsidRPr="00507A31">
        <w:rPr>
          <w:color w:val="000000" w:themeColor="text1"/>
          <w:sz w:val="16"/>
          <w:szCs w:val="16"/>
        </w:rPr>
        <w:t>С. А. ПРЕДТЕЧЕНСКИЙ.</w:t>
      </w:r>
    </w:p>
    <w:p w14:paraId="78FF7B27" w14:textId="77777777" w:rsidR="00BF0E8A" w:rsidRPr="00507A31" w:rsidRDefault="00BF0E8A" w:rsidP="00507A31">
      <w:pPr>
        <w:jc w:val="both"/>
        <w:rPr>
          <w:color w:val="000000" w:themeColor="text1"/>
          <w:sz w:val="16"/>
          <w:szCs w:val="16"/>
        </w:rPr>
      </w:pPr>
      <w:r w:rsidRPr="00507A31">
        <w:rPr>
          <w:color w:val="000000" w:themeColor="text1"/>
          <w:sz w:val="16"/>
          <w:szCs w:val="16"/>
        </w:rPr>
        <w:t>Допросили: НАЧ. СО ОГПУ АГРАНОВ и</w:t>
      </w:r>
    </w:p>
    <w:p w14:paraId="7C2482A5" w14:textId="77777777" w:rsidR="00BF0E8A" w:rsidRPr="00507A31" w:rsidRDefault="00BF0E8A" w:rsidP="00507A31">
      <w:pPr>
        <w:jc w:val="both"/>
        <w:rPr>
          <w:color w:val="000000" w:themeColor="text1"/>
          <w:sz w:val="16"/>
          <w:szCs w:val="16"/>
        </w:rPr>
      </w:pPr>
      <w:r w:rsidRPr="00507A31">
        <w:rPr>
          <w:color w:val="000000" w:themeColor="text1"/>
          <w:sz w:val="16"/>
          <w:szCs w:val="16"/>
        </w:rPr>
        <w:t>НАЧ. 3 ОТДЕЛЕНИЯ] СО ОГПУ СЛАВАТИНСКИЙ.</w:t>
      </w:r>
    </w:p>
    <w:p w14:paraId="1FB50155" w14:textId="77777777" w:rsidR="00BF0E8A" w:rsidRPr="00507A31" w:rsidRDefault="00BF0E8A" w:rsidP="00507A31">
      <w:pPr>
        <w:jc w:val="both"/>
        <w:rPr>
          <w:color w:val="000000" w:themeColor="text1"/>
          <w:sz w:val="16"/>
          <w:szCs w:val="16"/>
        </w:rPr>
      </w:pPr>
      <w:r w:rsidRPr="00507A31">
        <w:rPr>
          <w:color w:val="000000" w:themeColor="text1"/>
          <w:sz w:val="16"/>
          <w:szCs w:val="16"/>
        </w:rPr>
        <w:t>Д. 354. Л. 93-103. Заверенная машинописная копия того времени. На Л. 93 вверху штамп с вписанными от руки датой «21.X.1930 г.» и данными о количестве размноженных экземпляров текста (50 экз.), подпись-автограф Хряпкиной. Здесь же штамп о рассылке документа (номер и дата отсутствуют).</w:t>
      </w:r>
    </w:p>
    <w:p w14:paraId="7E00EA6C" w14:textId="77777777" w:rsidR="00BF0E8A" w:rsidRPr="00507A31" w:rsidRDefault="00BF0E8A" w:rsidP="00507A31">
      <w:pPr>
        <w:jc w:val="both"/>
        <w:rPr>
          <w:color w:val="000000" w:themeColor="text1"/>
          <w:sz w:val="16"/>
          <w:szCs w:val="16"/>
        </w:rPr>
      </w:pPr>
      <w:r w:rsidRPr="00507A31">
        <w:rPr>
          <w:color w:val="000000" w:themeColor="text1"/>
          <w:sz w:val="16"/>
          <w:szCs w:val="16"/>
        </w:rPr>
        <w:t>ЦА ФСБ РФ. Ф. Р-42280. Т. 2. Л. 216-226. Подлинный протокол допроса, написанный Славатинским. Внизу каждого листа заверителъная подпись-автограф С. А. Предтеченского. В подлиннике протокол датирован 17 октября 1930 г. На Л. 226 фраза «Показания записаны с моих слов правильно и мною прочитаны» написана рукой Предтеченского (18476).</w:t>
      </w:r>
    </w:p>
    <w:p w14:paraId="042E3B8E" w14:textId="77777777" w:rsidR="00BF0E8A" w:rsidRPr="00507A31" w:rsidRDefault="00BF0E8A" w:rsidP="00507A31">
      <w:pPr>
        <w:jc w:val="both"/>
        <w:rPr>
          <w:color w:val="000000" w:themeColor="text1"/>
          <w:sz w:val="16"/>
          <w:szCs w:val="16"/>
        </w:rPr>
      </w:pPr>
    </w:p>
    <w:p w14:paraId="7CAF760C" w14:textId="77777777" w:rsidR="00BF0E8A" w:rsidRPr="00507A31" w:rsidRDefault="00BF0E8A" w:rsidP="00507A31">
      <w:pPr>
        <w:jc w:val="both"/>
        <w:rPr>
          <w:color w:val="000000" w:themeColor="text1"/>
          <w:sz w:val="16"/>
          <w:szCs w:val="16"/>
        </w:rPr>
      </w:pPr>
      <w:r w:rsidRPr="00507A31">
        <w:rPr>
          <w:color w:val="000000" w:themeColor="text1"/>
          <w:sz w:val="16"/>
          <w:szCs w:val="16"/>
        </w:rPr>
        <w:t>21 октября 1930 г.</w:t>
      </w:r>
    </w:p>
    <w:p w14:paraId="7250A4CA" w14:textId="77777777" w:rsidR="00BF0E8A" w:rsidRPr="00507A31" w:rsidRDefault="00BF0E8A" w:rsidP="00507A31">
      <w:pPr>
        <w:jc w:val="both"/>
        <w:rPr>
          <w:color w:val="000000" w:themeColor="text1"/>
          <w:sz w:val="16"/>
          <w:szCs w:val="16"/>
        </w:rPr>
      </w:pPr>
      <w:r w:rsidRPr="00507A31">
        <w:rPr>
          <w:color w:val="000000" w:themeColor="text1"/>
          <w:sz w:val="16"/>
          <w:szCs w:val="16"/>
        </w:rPr>
        <w:t>Показания Г. Ю. Козлинского о «террористической деятельности» «Промпартии». Приложение к письму № П962 о рассылке материалов следствия от 21 октября 1930 г.</w:t>
      </w:r>
    </w:p>
    <w:p w14:paraId="1ACED218" w14:textId="77777777" w:rsidR="00BF0E8A" w:rsidRPr="00507A31" w:rsidRDefault="00BF0E8A" w:rsidP="00507A31">
      <w:pPr>
        <w:jc w:val="both"/>
        <w:rPr>
          <w:color w:val="000000" w:themeColor="text1"/>
          <w:sz w:val="16"/>
          <w:szCs w:val="16"/>
        </w:rPr>
      </w:pPr>
      <w:r w:rsidRPr="00507A31">
        <w:rPr>
          <w:color w:val="000000" w:themeColor="text1"/>
          <w:sz w:val="16"/>
          <w:szCs w:val="16"/>
        </w:rPr>
        <w:t>Источник: </w:t>
      </w:r>
    </w:p>
    <w:p w14:paraId="0B5EAE2D" w14:textId="77777777" w:rsidR="00BF0E8A" w:rsidRPr="00507A31" w:rsidRDefault="00BF0E8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4CA474" w14:textId="77777777" w:rsidR="00BF0E8A" w:rsidRPr="00507A31" w:rsidRDefault="00BF0E8A" w:rsidP="00507A31">
      <w:pPr>
        <w:jc w:val="both"/>
        <w:rPr>
          <w:color w:val="000000" w:themeColor="text1"/>
          <w:sz w:val="16"/>
          <w:szCs w:val="16"/>
        </w:rPr>
      </w:pPr>
      <w:r w:rsidRPr="00507A31">
        <w:rPr>
          <w:color w:val="000000" w:themeColor="text1"/>
          <w:sz w:val="16"/>
          <w:szCs w:val="16"/>
        </w:rPr>
        <w:t>от 2[1] октября 1930 г.</w:t>
      </w:r>
    </w:p>
    <w:p w14:paraId="794DC124" w14:textId="77777777" w:rsidR="00BF0E8A" w:rsidRPr="00507A31" w:rsidRDefault="00BF0E8A" w:rsidP="00507A31">
      <w:pPr>
        <w:jc w:val="both"/>
        <w:rPr>
          <w:color w:val="000000" w:themeColor="text1"/>
          <w:sz w:val="16"/>
          <w:szCs w:val="16"/>
        </w:rPr>
      </w:pPr>
      <w:r w:rsidRPr="00507A31">
        <w:rPr>
          <w:color w:val="000000" w:themeColor="text1"/>
          <w:sz w:val="16"/>
          <w:szCs w:val="16"/>
        </w:rPr>
        <w:t>СТРОГО СЕКРЕТНО</w:t>
      </w:r>
    </w:p>
    <w:p w14:paraId="36F77B76" w14:textId="77777777" w:rsidR="00BF0E8A" w:rsidRPr="00507A31" w:rsidRDefault="00BF0E8A" w:rsidP="00507A31">
      <w:pPr>
        <w:jc w:val="both"/>
        <w:rPr>
          <w:color w:val="000000" w:themeColor="text1"/>
          <w:sz w:val="16"/>
          <w:szCs w:val="16"/>
        </w:rPr>
      </w:pPr>
      <w:r w:rsidRPr="00507A31">
        <w:rPr>
          <w:color w:val="000000" w:themeColor="text1"/>
          <w:sz w:val="16"/>
          <w:szCs w:val="16"/>
        </w:rPr>
        <w:t>ПРОТОКОЛ ДОПРОСА</w:t>
      </w:r>
    </w:p>
    <w:p w14:paraId="4F484199" w14:textId="77777777" w:rsidR="00BF0E8A" w:rsidRPr="00507A31" w:rsidRDefault="00BF0E8A" w:rsidP="00507A31">
      <w:pPr>
        <w:jc w:val="both"/>
        <w:rPr>
          <w:color w:val="000000" w:themeColor="text1"/>
          <w:sz w:val="16"/>
          <w:szCs w:val="16"/>
        </w:rPr>
      </w:pPr>
      <w:r w:rsidRPr="00507A31">
        <w:rPr>
          <w:color w:val="000000" w:themeColor="text1"/>
          <w:sz w:val="16"/>
          <w:szCs w:val="16"/>
        </w:rPr>
        <w:t>инженера КОЗЛИНСКОГО Георгия Юльевича от 18/Х-30 г.</w:t>
      </w:r>
    </w:p>
    <w:p w14:paraId="22095B5B" w14:textId="77777777" w:rsidR="00BF0E8A" w:rsidRPr="00507A31" w:rsidRDefault="00BF0E8A" w:rsidP="00507A31">
      <w:pPr>
        <w:jc w:val="both"/>
        <w:rPr>
          <w:color w:val="000000" w:themeColor="text1"/>
          <w:sz w:val="16"/>
          <w:szCs w:val="16"/>
        </w:rPr>
      </w:pPr>
      <w:r w:rsidRPr="00507A31">
        <w:rPr>
          <w:color w:val="000000" w:themeColor="text1"/>
          <w:sz w:val="16"/>
          <w:szCs w:val="16"/>
        </w:rPr>
        <w:t>ДОПРАШИВАЛИ: НАЧ. 3 ОТДЕЛЕНИЯ СО ОГПУ СЛАВАТИНСКИЙ и ПОМНАЧ. 4 ОТДЕЛЕНИЯ СО ОГПУ ЧЕРТОК.</w:t>
      </w:r>
    </w:p>
    <w:p w14:paraId="5C02848E" w14:textId="77777777" w:rsidR="00BF0E8A" w:rsidRPr="00507A31" w:rsidRDefault="00BF0E8A" w:rsidP="00507A31">
      <w:pPr>
        <w:jc w:val="both"/>
        <w:rPr>
          <w:color w:val="000000" w:themeColor="text1"/>
          <w:sz w:val="16"/>
          <w:szCs w:val="16"/>
        </w:rPr>
      </w:pPr>
      <w:r w:rsidRPr="00507A31">
        <w:rPr>
          <w:color w:val="000000" w:themeColor="text1"/>
          <w:sz w:val="16"/>
          <w:szCs w:val="16"/>
        </w:rPr>
        <w:t>Я (КОЗЛИНСКИЙ) являлся руководителем террористической группы боевой организации «Промышленной Партии». В мою террористическую группу входили инженеры ЛИППЕ и МОРОЗ.</w:t>
      </w:r>
    </w:p>
    <w:p w14:paraId="67A414E6" w14:textId="77777777" w:rsidR="00BF0E8A" w:rsidRPr="00507A31" w:rsidRDefault="00BF0E8A" w:rsidP="00507A31">
      <w:pPr>
        <w:jc w:val="both"/>
        <w:rPr>
          <w:color w:val="000000" w:themeColor="text1"/>
          <w:sz w:val="16"/>
          <w:szCs w:val="16"/>
        </w:rPr>
      </w:pPr>
      <w:r w:rsidRPr="00507A31">
        <w:rPr>
          <w:color w:val="000000" w:themeColor="text1"/>
          <w:sz w:val="16"/>
          <w:szCs w:val="16"/>
        </w:rPr>
        <w:t>Кроме того, мне известны следующие террористические группы боевой организации «Пром. Партии»:</w:t>
      </w:r>
    </w:p>
    <w:p w14:paraId="1CC2A92D" w14:textId="77777777" w:rsidR="00BF0E8A" w:rsidRPr="00507A31" w:rsidRDefault="00BF0E8A" w:rsidP="00507A31">
      <w:pPr>
        <w:jc w:val="both"/>
        <w:rPr>
          <w:color w:val="000000" w:themeColor="text1"/>
          <w:sz w:val="16"/>
          <w:szCs w:val="16"/>
        </w:rPr>
      </w:pPr>
      <w:r w:rsidRPr="00507A31">
        <w:rPr>
          <w:color w:val="000000" w:themeColor="text1"/>
          <w:sz w:val="16"/>
          <w:szCs w:val="16"/>
        </w:rPr>
        <w:t>а) Группа во главе с ДАВИДОВЫМ в машинной лаборатории Теплотехнического Ин[ститу]та;</w:t>
      </w:r>
    </w:p>
    <w:p w14:paraId="72E0F338" w14:textId="77777777" w:rsidR="00BF0E8A" w:rsidRPr="00507A31" w:rsidRDefault="00BF0E8A" w:rsidP="00507A31">
      <w:pPr>
        <w:jc w:val="both"/>
        <w:rPr>
          <w:color w:val="000000" w:themeColor="text1"/>
          <w:sz w:val="16"/>
          <w:szCs w:val="16"/>
        </w:rPr>
      </w:pPr>
      <w:r w:rsidRPr="00507A31">
        <w:rPr>
          <w:color w:val="000000" w:themeColor="text1"/>
          <w:sz w:val="16"/>
          <w:szCs w:val="16"/>
        </w:rPr>
        <w:t>б) группа ЕВРЕИНОВА в котлотуробъединении (б[ывшее] общество «Тепло и Сила»);</w:t>
      </w:r>
    </w:p>
    <w:p w14:paraId="3ADF9D4F" w14:textId="77777777" w:rsidR="00BF0E8A" w:rsidRPr="00507A31" w:rsidRDefault="00BF0E8A" w:rsidP="00507A31">
      <w:pPr>
        <w:jc w:val="both"/>
        <w:rPr>
          <w:color w:val="000000" w:themeColor="text1"/>
          <w:sz w:val="16"/>
          <w:szCs w:val="16"/>
        </w:rPr>
      </w:pPr>
      <w:r w:rsidRPr="00507A31">
        <w:rPr>
          <w:color w:val="000000" w:themeColor="text1"/>
          <w:sz w:val="16"/>
          <w:szCs w:val="16"/>
        </w:rPr>
        <w:t>в) тергруппа в отделе рационализации Теплотехнического Ин[ститу]та, в которую входил и БУЛАШЕВИЧ. Кто входил в эти тергруппы, кроме ДАВИДОВА, ЕВРЕИНОВА и БУЛАШЕВИЧА, мне неизвестно.</w:t>
      </w:r>
    </w:p>
    <w:p w14:paraId="2FA2C42E" w14:textId="77777777" w:rsidR="00BF0E8A" w:rsidRPr="00507A31" w:rsidRDefault="00BF0E8A" w:rsidP="00507A31">
      <w:pPr>
        <w:jc w:val="both"/>
        <w:rPr>
          <w:color w:val="000000" w:themeColor="text1"/>
          <w:sz w:val="16"/>
          <w:szCs w:val="16"/>
        </w:rPr>
      </w:pPr>
      <w:r w:rsidRPr="00507A31">
        <w:rPr>
          <w:color w:val="000000" w:themeColor="text1"/>
          <w:sz w:val="16"/>
          <w:szCs w:val="16"/>
        </w:rPr>
        <w:t>Моя террористическая группа существует с конца 1928 г. Все мы тогда в «Пром. Партию» и в тергруппу были завербованы РАМЗИНЫМ.</w:t>
      </w:r>
    </w:p>
    <w:p w14:paraId="124CE272" w14:textId="77777777" w:rsidR="00BF0E8A" w:rsidRPr="00507A31" w:rsidRDefault="00BF0E8A" w:rsidP="00507A31">
      <w:pPr>
        <w:jc w:val="both"/>
        <w:rPr>
          <w:color w:val="000000" w:themeColor="text1"/>
          <w:sz w:val="16"/>
          <w:szCs w:val="16"/>
        </w:rPr>
      </w:pPr>
      <w:r w:rsidRPr="00507A31">
        <w:rPr>
          <w:color w:val="000000" w:themeColor="text1"/>
          <w:sz w:val="16"/>
          <w:szCs w:val="16"/>
        </w:rPr>
        <w:t>РАМЗИН нам давал следующие установки по террору:</w:t>
      </w:r>
    </w:p>
    <w:p w14:paraId="2A97D8B4" w14:textId="77777777" w:rsidR="00BF0E8A" w:rsidRPr="00507A31" w:rsidRDefault="00BF0E8A" w:rsidP="00507A31">
      <w:pPr>
        <w:jc w:val="both"/>
        <w:rPr>
          <w:color w:val="000000" w:themeColor="text1"/>
          <w:sz w:val="16"/>
          <w:szCs w:val="16"/>
        </w:rPr>
      </w:pPr>
      <w:r w:rsidRPr="00507A31">
        <w:rPr>
          <w:color w:val="000000" w:themeColor="text1"/>
          <w:sz w:val="16"/>
          <w:szCs w:val="16"/>
        </w:rPr>
        <w:t>а) террор оправдывает себя, как метод борьбы с соввластью;</w:t>
      </w:r>
    </w:p>
    <w:p w14:paraId="1E612817" w14:textId="77777777" w:rsidR="00BF0E8A" w:rsidRPr="00507A31" w:rsidRDefault="00BF0E8A" w:rsidP="00507A31">
      <w:pPr>
        <w:jc w:val="both"/>
        <w:rPr>
          <w:color w:val="000000" w:themeColor="text1"/>
          <w:sz w:val="16"/>
          <w:szCs w:val="16"/>
        </w:rPr>
      </w:pPr>
      <w:r w:rsidRPr="00507A31">
        <w:rPr>
          <w:color w:val="000000" w:themeColor="text1"/>
          <w:sz w:val="16"/>
          <w:szCs w:val="16"/>
        </w:rPr>
        <w:t>б) террор нужно применять против руководящих членов ЦК ВКП(б), сторонников генеральной линии партии, чтобы этим самым усилить позиции правого уклона;</w:t>
      </w:r>
    </w:p>
    <w:p w14:paraId="104BC4C3" w14:textId="77777777" w:rsidR="00BF0E8A" w:rsidRPr="00507A31" w:rsidRDefault="00BF0E8A" w:rsidP="00507A31">
      <w:pPr>
        <w:jc w:val="both"/>
        <w:rPr>
          <w:color w:val="000000" w:themeColor="text1"/>
          <w:sz w:val="16"/>
          <w:szCs w:val="16"/>
        </w:rPr>
      </w:pPr>
      <w:r w:rsidRPr="00507A31">
        <w:rPr>
          <w:color w:val="000000" w:themeColor="text1"/>
          <w:sz w:val="16"/>
          <w:szCs w:val="16"/>
        </w:rPr>
        <w:t>в) ЦК «Промпартии» даст сигнал, когда нужно будет начинать террористические акты. К началу интервенции теракты должны сыграть решающую роль, способствуя свержению соввласти.</w:t>
      </w:r>
    </w:p>
    <w:p w14:paraId="45C82E7A" w14:textId="77777777" w:rsidR="00BF0E8A" w:rsidRPr="00507A31" w:rsidRDefault="00BF0E8A" w:rsidP="00507A31">
      <w:pPr>
        <w:jc w:val="both"/>
        <w:rPr>
          <w:color w:val="000000" w:themeColor="text1"/>
          <w:sz w:val="16"/>
          <w:szCs w:val="16"/>
        </w:rPr>
      </w:pPr>
      <w:r w:rsidRPr="00507A31">
        <w:rPr>
          <w:color w:val="000000" w:themeColor="text1"/>
          <w:sz w:val="16"/>
          <w:szCs w:val="16"/>
        </w:rPr>
        <w:t>Во всей своей деятельности по «Промпартии» я был связан непосредственно с РАМЗИНЫМ, который вначале мне был известен, как один из руководителей «Пром. Партии». В 1930 году РАМЗИН мне сообщил, что он член ЦК этой партии.</w:t>
      </w:r>
    </w:p>
    <w:p w14:paraId="2BABDCA8" w14:textId="77777777" w:rsidR="00BF0E8A" w:rsidRPr="00507A31" w:rsidRDefault="00BF0E8A" w:rsidP="00507A31">
      <w:pPr>
        <w:jc w:val="both"/>
        <w:rPr>
          <w:color w:val="000000" w:themeColor="text1"/>
          <w:sz w:val="16"/>
          <w:szCs w:val="16"/>
        </w:rPr>
      </w:pPr>
      <w:r w:rsidRPr="00507A31">
        <w:rPr>
          <w:color w:val="000000" w:themeColor="text1"/>
          <w:sz w:val="16"/>
          <w:szCs w:val="16"/>
        </w:rPr>
        <w:t>В конце мая с. г. я был вечером вызван в кабинет к РАМЗИНУ на совещание. Там присутствовали: РАМЗИН, ЕВРЕИНОВ, ПРЕДТЕЧЕНСКИЙ, ДАВИДОВ и ОЧКИН.</w:t>
      </w:r>
    </w:p>
    <w:p w14:paraId="7B3CE6CE" w14:textId="77777777" w:rsidR="00BF0E8A" w:rsidRPr="00507A31" w:rsidRDefault="00BF0E8A" w:rsidP="00507A31">
      <w:pPr>
        <w:jc w:val="both"/>
        <w:rPr>
          <w:color w:val="000000" w:themeColor="text1"/>
          <w:sz w:val="16"/>
          <w:szCs w:val="16"/>
        </w:rPr>
      </w:pPr>
      <w:r w:rsidRPr="00507A31">
        <w:rPr>
          <w:color w:val="000000" w:themeColor="text1"/>
          <w:sz w:val="16"/>
          <w:szCs w:val="16"/>
        </w:rPr>
        <w:t>На этом совещании РАМЗИН передал постановление ЦК «Пром. Партии» о необходимости в ближайшее время произвести теракты против СТАЛИНА, ЯГОДЫ, КУЙБЫШЕВА, ВОРОШИЛОВА и КАГАНОВИЧА. В первую очередь нужно провести теракты против СТАЛИНА и ЯГОДЫ и выполнением должны заняться немедленно: тергруппа ЕВРЕИНОВА против СТАЛИНА и моя тергруппа против ЯГОДЫ. Тогда же РАМЗИН указал, что ЦК Промпартии предполагает, после убийства ЯГОДЫ, подготовить теракт и против МЕНЖИНСКОГО.</w:t>
      </w:r>
    </w:p>
    <w:p w14:paraId="6A6F5B81" w14:textId="77777777" w:rsidR="00BF0E8A" w:rsidRPr="00507A31" w:rsidRDefault="00BF0E8A" w:rsidP="00507A31">
      <w:pPr>
        <w:jc w:val="both"/>
        <w:rPr>
          <w:color w:val="000000" w:themeColor="text1"/>
          <w:sz w:val="16"/>
          <w:szCs w:val="16"/>
        </w:rPr>
      </w:pPr>
      <w:r w:rsidRPr="00507A31">
        <w:rPr>
          <w:color w:val="000000" w:themeColor="text1"/>
          <w:sz w:val="16"/>
          <w:szCs w:val="16"/>
        </w:rPr>
        <w:t>Это решение ЦК Промпартии вызвано тем, что в ближайшее время ожидается XVI съезд ВКП(б), на котором вероятна победа правого уклона, если заранее будет убит СТАЛИН. Убийство ЯГОДЫ деморализует ОГПУ, которое способствует большинству ЦК ВКП(б) проводить свою линию.</w:t>
      </w:r>
    </w:p>
    <w:p w14:paraId="4D1648A4" w14:textId="77777777" w:rsidR="00BF0E8A" w:rsidRPr="00507A31" w:rsidRDefault="00BF0E8A" w:rsidP="00507A31">
      <w:pPr>
        <w:jc w:val="both"/>
        <w:rPr>
          <w:color w:val="000000" w:themeColor="text1"/>
          <w:sz w:val="16"/>
          <w:szCs w:val="16"/>
        </w:rPr>
      </w:pPr>
      <w:r w:rsidRPr="00507A31">
        <w:rPr>
          <w:color w:val="000000" w:themeColor="text1"/>
          <w:sz w:val="16"/>
          <w:szCs w:val="16"/>
        </w:rPr>
        <w:t>Оружие будет дано ЦК Промпартии. Оружие будет состоять из револьверов и бомб.</w:t>
      </w:r>
    </w:p>
    <w:p w14:paraId="6AEDA12E" w14:textId="77777777" w:rsidR="00BF0E8A" w:rsidRPr="00507A31" w:rsidRDefault="00BF0E8A" w:rsidP="00507A31">
      <w:pPr>
        <w:jc w:val="both"/>
        <w:rPr>
          <w:color w:val="000000" w:themeColor="text1"/>
          <w:sz w:val="16"/>
          <w:szCs w:val="16"/>
        </w:rPr>
      </w:pPr>
      <w:r w:rsidRPr="00507A31">
        <w:rPr>
          <w:color w:val="000000" w:themeColor="text1"/>
          <w:sz w:val="16"/>
          <w:szCs w:val="16"/>
        </w:rPr>
        <w:t>Подробные указания тергруппам РАМЗИН даст дополнительно.</w:t>
      </w:r>
    </w:p>
    <w:p w14:paraId="394D473D" w14:textId="77777777" w:rsidR="00BF0E8A" w:rsidRPr="00507A31" w:rsidRDefault="00BF0E8A" w:rsidP="00507A31">
      <w:pPr>
        <w:jc w:val="both"/>
        <w:rPr>
          <w:color w:val="000000" w:themeColor="text1"/>
          <w:sz w:val="16"/>
          <w:szCs w:val="16"/>
        </w:rPr>
      </w:pPr>
      <w:r w:rsidRPr="00507A31">
        <w:rPr>
          <w:color w:val="000000" w:themeColor="text1"/>
          <w:sz w:val="16"/>
          <w:szCs w:val="16"/>
        </w:rPr>
        <w:t>В заключение РАМЗИН подчеркивал, что ЦК Промпартии настаивает на этом решении и требует проведения этих терактов в ближайшее время. Для этого надо энергично взяться за подготовку и проведение этих терактов.</w:t>
      </w:r>
    </w:p>
    <w:p w14:paraId="64B2CDCB" w14:textId="77777777" w:rsidR="00BF0E8A" w:rsidRPr="00507A31" w:rsidRDefault="00BF0E8A" w:rsidP="00507A31">
      <w:pPr>
        <w:jc w:val="both"/>
        <w:rPr>
          <w:color w:val="000000" w:themeColor="text1"/>
          <w:sz w:val="16"/>
          <w:szCs w:val="16"/>
        </w:rPr>
      </w:pPr>
      <w:r w:rsidRPr="00507A31">
        <w:rPr>
          <w:color w:val="000000" w:themeColor="text1"/>
          <w:sz w:val="16"/>
          <w:szCs w:val="16"/>
        </w:rPr>
        <w:t>На другой день я и ЛИППЕ были вечером вызваны к РАМЗИНУ. Искали МОРОЗА и ДАВИДОВА, но их не нашли.</w:t>
      </w:r>
    </w:p>
    <w:p w14:paraId="3A8DCE65" w14:textId="77777777" w:rsidR="00BF0E8A" w:rsidRPr="00507A31" w:rsidRDefault="00BF0E8A" w:rsidP="00507A31">
      <w:pPr>
        <w:jc w:val="both"/>
        <w:rPr>
          <w:color w:val="000000" w:themeColor="text1"/>
          <w:sz w:val="16"/>
          <w:szCs w:val="16"/>
        </w:rPr>
      </w:pPr>
      <w:r w:rsidRPr="00507A31">
        <w:rPr>
          <w:color w:val="000000" w:themeColor="text1"/>
          <w:sz w:val="16"/>
          <w:szCs w:val="16"/>
        </w:rPr>
        <w:t>Здесь РАМЗИНЫМ были даны детальные указания, как осуществить теракт против ЯГОДЫ.</w:t>
      </w:r>
    </w:p>
    <w:p w14:paraId="6D33D6E0" w14:textId="77777777" w:rsidR="00BF0E8A" w:rsidRPr="00507A31" w:rsidRDefault="00BF0E8A" w:rsidP="00507A31">
      <w:pPr>
        <w:jc w:val="both"/>
        <w:rPr>
          <w:color w:val="000000" w:themeColor="text1"/>
          <w:sz w:val="16"/>
          <w:szCs w:val="16"/>
        </w:rPr>
      </w:pPr>
      <w:r w:rsidRPr="00507A31">
        <w:rPr>
          <w:color w:val="000000" w:themeColor="text1"/>
          <w:sz w:val="16"/>
          <w:szCs w:val="16"/>
        </w:rPr>
        <w:t>До того, как я и ЛИППЕ были вызваны к РАМЗИНУ, я сообщил ДАВИДОВУ, ЛИППЕ и МОРОЗУ о решении ЦК «Промпартии» и о том, что нашей тергруппе поручен теракт против ЯГОДЫ. Указания РАМЗИНА, данные им мне и ЛИППЕ как провести теракт[,] в основном сводились к следующему:</w:t>
      </w:r>
    </w:p>
    <w:p w14:paraId="78C73593" w14:textId="77777777" w:rsidR="00BF0E8A" w:rsidRPr="00507A31" w:rsidRDefault="00BF0E8A" w:rsidP="00507A31">
      <w:pPr>
        <w:jc w:val="both"/>
        <w:rPr>
          <w:color w:val="000000" w:themeColor="text1"/>
          <w:sz w:val="16"/>
          <w:szCs w:val="16"/>
        </w:rPr>
      </w:pPr>
      <w:r w:rsidRPr="00507A31">
        <w:rPr>
          <w:color w:val="000000" w:themeColor="text1"/>
          <w:sz w:val="16"/>
          <w:szCs w:val="16"/>
        </w:rPr>
        <w:t>а) Установить слежку за главным подъездом ОГПУ, что выходит на Лубянскую площадь, т. к. по его мнению, через этот подъезд ходит ЯГОДА;</w:t>
      </w:r>
    </w:p>
    <w:p w14:paraId="0D5F3F51" w14:textId="77777777" w:rsidR="00BF0E8A" w:rsidRPr="00507A31" w:rsidRDefault="00BF0E8A" w:rsidP="00507A31">
      <w:pPr>
        <w:jc w:val="both"/>
        <w:rPr>
          <w:color w:val="000000" w:themeColor="text1"/>
          <w:sz w:val="16"/>
          <w:szCs w:val="16"/>
        </w:rPr>
      </w:pPr>
      <w:r w:rsidRPr="00507A31">
        <w:rPr>
          <w:color w:val="000000" w:themeColor="text1"/>
          <w:sz w:val="16"/>
          <w:szCs w:val="16"/>
        </w:rPr>
        <w:t>б) для опознания ЯГОДЫ он, РАМЗИН, даст его фотокарточку, которую необходимо перепечатать в 5-ти экз. Для этой цели использовать инженера НОВИ Валерия;</w:t>
      </w:r>
    </w:p>
    <w:p w14:paraId="1A0CC418" w14:textId="77777777" w:rsidR="00BF0E8A" w:rsidRPr="00507A31" w:rsidRDefault="00BF0E8A" w:rsidP="00507A31">
      <w:pPr>
        <w:jc w:val="both"/>
        <w:rPr>
          <w:color w:val="000000" w:themeColor="text1"/>
          <w:sz w:val="16"/>
          <w:szCs w:val="16"/>
        </w:rPr>
      </w:pPr>
      <w:r w:rsidRPr="00507A31">
        <w:rPr>
          <w:color w:val="000000" w:themeColor="text1"/>
          <w:sz w:val="16"/>
          <w:szCs w:val="16"/>
        </w:rPr>
        <w:t>в) убийство ЯГОДЫ лучше всего произвести, когда он будет подъезжать на машине к ОГПУ или будет выходить из здания ОГПУ;</w:t>
      </w:r>
    </w:p>
    <w:p w14:paraId="76CB9300" w14:textId="77777777" w:rsidR="00BF0E8A" w:rsidRPr="00507A31" w:rsidRDefault="00BF0E8A" w:rsidP="00507A31">
      <w:pPr>
        <w:jc w:val="both"/>
        <w:rPr>
          <w:color w:val="000000" w:themeColor="text1"/>
          <w:sz w:val="16"/>
          <w:szCs w:val="16"/>
        </w:rPr>
      </w:pPr>
      <w:r w:rsidRPr="00507A31">
        <w:rPr>
          <w:color w:val="000000" w:themeColor="text1"/>
          <w:sz w:val="16"/>
          <w:szCs w:val="16"/>
        </w:rPr>
        <w:t>г) оружие будет выдано в ближайшие дни. Оружие будет состоять из двух бомб и 4-х револьверов;</w:t>
      </w:r>
    </w:p>
    <w:p w14:paraId="7AD34F5F" w14:textId="77777777" w:rsidR="00BF0E8A" w:rsidRPr="00507A31" w:rsidRDefault="00BF0E8A" w:rsidP="00507A31">
      <w:pPr>
        <w:jc w:val="both"/>
        <w:rPr>
          <w:color w:val="000000" w:themeColor="text1"/>
          <w:sz w:val="16"/>
          <w:szCs w:val="16"/>
        </w:rPr>
      </w:pPr>
      <w:r w:rsidRPr="00507A31">
        <w:rPr>
          <w:color w:val="000000" w:themeColor="text1"/>
          <w:sz w:val="16"/>
          <w:szCs w:val="16"/>
        </w:rPr>
        <w:t>д) для того, чтобы было легче скрыться после совершения теракта, РАМЗИН представляет в наше распоряжение две машины, из которых одной будет управлять его шоффер САВЕЛЬЕВ Иван Степанович, а другая машина с шоффером будет подыскана САВЕЛЬЕВЫМ. РАМЗИН считает, что машины лучше всего поставить у здания Политехнического музея;</w:t>
      </w:r>
    </w:p>
    <w:p w14:paraId="1798F0C4" w14:textId="77777777" w:rsidR="00BF0E8A" w:rsidRPr="00507A31" w:rsidRDefault="00BF0E8A" w:rsidP="00507A31">
      <w:pPr>
        <w:jc w:val="both"/>
        <w:rPr>
          <w:color w:val="000000" w:themeColor="text1"/>
          <w:sz w:val="16"/>
          <w:szCs w:val="16"/>
        </w:rPr>
      </w:pPr>
      <w:r w:rsidRPr="00507A31">
        <w:rPr>
          <w:color w:val="000000" w:themeColor="text1"/>
          <w:sz w:val="16"/>
          <w:szCs w:val="16"/>
        </w:rPr>
        <w:t>е) в совершении теракта должны участвовать: я, ЛИППЕ, МОРОЗ и ДАВИДОВ. На меня возлагается руководство терактом. В заместители мне придается ДАВИДОВ, руководитель тергруппы в машинной лаборатории.</w:t>
      </w:r>
    </w:p>
    <w:p w14:paraId="61594F6A" w14:textId="77777777" w:rsidR="00BF0E8A" w:rsidRPr="00507A31" w:rsidRDefault="00BF0E8A" w:rsidP="00507A31">
      <w:pPr>
        <w:jc w:val="both"/>
        <w:rPr>
          <w:color w:val="000000" w:themeColor="text1"/>
          <w:sz w:val="16"/>
          <w:szCs w:val="16"/>
        </w:rPr>
      </w:pPr>
      <w:r w:rsidRPr="00507A31">
        <w:rPr>
          <w:color w:val="000000" w:themeColor="text1"/>
          <w:sz w:val="16"/>
          <w:szCs w:val="16"/>
        </w:rPr>
        <w:t>После ухода ЛИППЕ РАМЗИИ дал мне дополнительные указания, которые в основном сводились к следующему:</w:t>
      </w:r>
    </w:p>
    <w:p w14:paraId="3A4888E6" w14:textId="77777777" w:rsidR="00BF0E8A" w:rsidRPr="00507A31" w:rsidRDefault="00BF0E8A" w:rsidP="00507A31">
      <w:pPr>
        <w:jc w:val="both"/>
        <w:rPr>
          <w:color w:val="000000" w:themeColor="text1"/>
          <w:sz w:val="16"/>
          <w:szCs w:val="16"/>
        </w:rPr>
      </w:pPr>
      <w:r w:rsidRPr="00507A31">
        <w:rPr>
          <w:color w:val="000000" w:themeColor="text1"/>
          <w:sz w:val="16"/>
          <w:szCs w:val="16"/>
        </w:rPr>
        <w:t>а) оружие я получу непосредственно от РАМЗИНА или от ПРЕДТЕЧЕНСКОГО;</w:t>
      </w:r>
    </w:p>
    <w:p w14:paraId="0BB8AEE8" w14:textId="77777777" w:rsidR="00BF0E8A" w:rsidRPr="00507A31" w:rsidRDefault="00BF0E8A" w:rsidP="00507A31">
      <w:pPr>
        <w:jc w:val="both"/>
        <w:rPr>
          <w:color w:val="000000" w:themeColor="text1"/>
          <w:sz w:val="16"/>
          <w:szCs w:val="16"/>
        </w:rPr>
      </w:pPr>
      <w:r w:rsidRPr="00507A31">
        <w:rPr>
          <w:color w:val="000000" w:themeColor="text1"/>
          <w:sz w:val="16"/>
          <w:szCs w:val="16"/>
        </w:rPr>
        <w:t>б) при совершении теракта пользоваться револьверами, прибегая к бомбам только в случае необходимости, так как бомба производит много шуму;</w:t>
      </w:r>
    </w:p>
    <w:p w14:paraId="471ABB78" w14:textId="77777777" w:rsidR="00BF0E8A" w:rsidRPr="00507A31" w:rsidRDefault="00BF0E8A" w:rsidP="00507A31">
      <w:pPr>
        <w:jc w:val="both"/>
        <w:rPr>
          <w:color w:val="000000" w:themeColor="text1"/>
          <w:sz w:val="16"/>
          <w:szCs w:val="16"/>
        </w:rPr>
      </w:pPr>
      <w:r w:rsidRPr="00507A31">
        <w:rPr>
          <w:color w:val="000000" w:themeColor="text1"/>
          <w:sz w:val="16"/>
          <w:szCs w:val="16"/>
        </w:rPr>
        <w:t>в) после совершения теракта оружие передать РАМЗИНУ или шофферу САВЕЛЬЕВУ, который оружие отвезет на дачу к ПРЕДТЕЧЕНСКОМУ;</w:t>
      </w:r>
    </w:p>
    <w:p w14:paraId="6796C57B" w14:textId="77777777" w:rsidR="00BF0E8A" w:rsidRPr="00507A31" w:rsidRDefault="00BF0E8A" w:rsidP="00507A31">
      <w:pPr>
        <w:jc w:val="both"/>
        <w:rPr>
          <w:color w:val="000000" w:themeColor="text1"/>
          <w:sz w:val="16"/>
          <w:szCs w:val="16"/>
        </w:rPr>
      </w:pPr>
      <w:r w:rsidRPr="00507A31">
        <w:rPr>
          <w:color w:val="000000" w:themeColor="text1"/>
          <w:sz w:val="16"/>
          <w:szCs w:val="16"/>
        </w:rPr>
        <w:t>г) В случае легкого ранения кого[-]либо из участников теракта, необходимо его подобрать и отвезти на дачу к ПРЕДТЕЧЕНСКОМУ. В случае тяжелого ранения и невозможности подобрать и увезти, пристрелить на месте, чтобы не выдал участников теракта;</w:t>
      </w:r>
    </w:p>
    <w:p w14:paraId="1E22E630" w14:textId="77777777" w:rsidR="00BF0E8A" w:rsidRPr="00507A31" w:rsidRDefault="00BF0E8A" w:rsidP="00507A31">
      <w:pPr>
        <w:jc w:val="both"/>
        <w:rPr>
          <w:color w:val="000000" w:themeColor="text1"/>
          <w:sz w:val="16"/>
          <w:szCs w:val="16"/>
        </w:rPr>
      </w:pPr>
      <w:r w:rsidRPr="00507A31">
        <w:rPr>
          <w:color w:val="000000" w:themeColor="text1"/>
          <w:sz w:val="16"/>
          <w:szCs w:val="16"/>
        </w:rPr>
        <w:t>д) Задержанных во время совершения теракта попытаться отбить. Задержанным ни в коем случае не сознаваться, что они участвовали в теракте, по поручению ЦК «Промпартии», и никого не выдавать. Теракт во время следствия объяснять личной местью.</w:t>
      </w:r>
    </w:p>
    <w:p w14:paraId="3BE5857F" w14:textId="77777777" w:rsidR="00BF0E8A" w:rsidRPr="00507A31" w:rsidRDefault="00BF0E8A" w:rsidP="00507A31">
      <w:pPr>
        <w:jc w:val="both"/>
        <w:rPr>
          <w:color w:val="000000" w:themeColor="text1"/>
          <w:sz w:val="16"/>
          <w:szCs w:val="16"/>
        </w:rPr>
      </w:pPr>
      <w:r w:rsidRPr="00507A31">
        <w:rPr>
          <w:color w:val="000000" w:themeColor="text1"/>
          <w:sz w:val="16"/>
          <w:szCs w:val="16"/>
        </w:rPr>
        <w:t>е) Участники теракта не должны иметь при себе никаких документов и бумаг;</w:t>
      </w:r>
    </w:p>
    <w:p w14:paraId="6F3F2C9B" w14:textId="77777777" w:rsidR="00BF0E8A" w:rsidRPr="00507A31" w:rsidRDefault="00BF0E8A" w:rsidP="00507A31">
      <w:pPr>
        <w:jc w:val="both"/>
        <w:rPr>
          <w:color w:val="000000" w:themeColor="text1"/>
          <w:sz w:val="16"/>
          <w:szCs w:val="16"/>
        </w:rPr>
      </w:pPr>
      <w:r w:rsidRPr="00507A31">
        <w:rPr>
          <w:color w:val="000000" w:themeColor="text1"/>
          <w:sz w:val="16"/>
          <w:szCs w:val="16"/>
        </w:rPr>
        <w:lastRenderedPageBreak/>
        <w:t>ж) Если участникам теракта надо будет скрыться, РАМЗИН снабдит их деньгами и паспортами и переправит заграницу. Если надо будет временно скрыться из Москвы, РАМЗИН даст деньги и документы. Для того, чтобы доказать алиби участников теракта, РАМЗИН проведет их задним числом по приказу, как находящихся в командировке во время совершения теракта;</w:t>
      </w:r>
    </w:p>
    <w:p w14:paraId="659F1D7C" w14:textId="77777777" w:rsidR="00BF0E8A" w:rsidRPr="00507A31" w:rsidRDefault="00BF0E8A" w:rsidP="00507A31">
      <w:pPr>
        <w:jc w:val="both"/>
        <w:rPr>
          <w:color w:val="000000" w:themeColor="text1"/>
          <w:sz w:val="16"/>
          <w:szCs w:val="16"/>
        </w:rPr>
      </w:pPr>
      <w:r w:rsidRPr="00507A31">
        <w:rPr>
          <w:color w:val="000000" w:themeColor="text1"/>
          <w:sz w:val="16"/>
          <w:szCs w:val="16"/>
        </w:rPr>
        <w:t>з) После совершения теракта участникам такового ЦК «Пром. Партии» выдаст деньги. Сумму РАМЗИН не указал.</w:t>
      </w:r>
    </w:p>
    <w:p w14:paraId="243AFC89" w14:textId="77777777" w:rsidR="00BF0E8A" w:rsidRPr="00507A31" w:rsidRDefault="00BF0E8A" w:rsidP="00507A31">
      <w:pPr>
        <w:jc w:val="both"/>
        <w:rPr>
          <w:color w:val="000000" w:themeColor="text1"/>
          <w:sz w:val="16"/>
          <w:szCs w:val="16"/>
        </w:rPr>
      </w:pPr>
      <w:r w:rsidRPr="00507A31">
        <w:rPr>
          <w:color w:val="000000" w:themeColor="text1"/>
          <w:sz w:val="16"/>
          <w:szCs w:val="16"/>
        </w:rPr>
        <w:t>и) Если кто-либо из участников теракта погибнет, ЦК «Промпартии» обеспечит его семью.</w:t>
      </w:r>
    </w:p>
    <w:p w14:paraId="05F6C91F" w14:textId="77777777" w:rsidR="00BF0E8A" w:rsidRPr="00507A31" w:rsidRDefault="00BF0E8A" w:rsidP="00507A31">
      <w:pPr>
        <w:jc w:val="both"/>
        <w:rPr>
          <w:color w:val="000000" w:themeColor="text1"/>
          <w:sz w:val="16"/>
          <w:szCs w:val="16"/>
        </w:rPr>
      </w:pPr>
      <w:r w:rsidRPr="00507A31">
        <w:rPr>
          <w:color w:val="000000" w:themeColor="text1"/>
          <w:sz w:val="16"/>
          <w:szCs w:val="16"/>
        </w:rPr>
        <w:t>к) Если будет выявлен провокатор среди участников теракта, то он должен быть немедленно уничтожен.</w:t>
      </w:r>
    </w:p>
    <w:p w14:paraId="678E6A53" w14:textId="77777777" w:rsidR="00BF0E8A" w:rsidRPr="00507A31" w:rsidRDefault="00BF0E8A" w:rsidP="00507A31">
      <w:pPr>
        <w:jc w:val="both"/>
        <w:rPr>
          <w:color w:val="000000" w:themeColor="text1"/>
          <w:sz w:val="16"/>
          <w:szCs w:val="16"/>
        </w:rPr>
      </w:pPr>
      <w:r w:rsidRPr="00507A31">
        <w:rPr>
          <w:color w:val="000000" w:themeColor="text1"/>
          <w:sz w:val="16"/>
          <w:szCs w:val="16"/>
        </w:rPr>
        <w:t>л) Участники теракта должны соблюдать строгую конспирацию во избежание провала.</w:t>
      </w:r>
    </w:p>
    <w:p w14:paraId="5D91D79B" w14:textId="77777777" w:rsidR="00BF0E8A" w:rsidRPr="00507A31" w:rsidRDefault="00BF0E8A" w:rsidP="00507A31">
      <w:pPr>
        <w:jc w:val="both"/>
        <w:rPr>
          <w:color w:val="000000" w:themeColor="text1"/>
          <w:sz w:val="16"/>
          <w:szCs w:val="16"/>
        </w:rPr>
      </w:pPr>
      <w:r w:rsidRPr="00507A31">
        <w:rPr>
          <w:color w:val="000000" w:themeColor="text1"/>
          <w:sz w:val="16"/>
          <w:szCs w:val="16"/>
        </w:rPr>
        <w:t>м) Участники теракта, как члены боевой организации «Промпартии» должны выполнить свой долг перед партией, не останавливаясь перед риском погибнуть, жертвуя своей жизнью, если это необходимо во имя идей «Промпартии».</w:t>
      </w:r>
    </w:p>
    <w:p w14:paraId="3F092CE6" w14:textId="77777777" w:rsidR="00BF0E8A" w:rsidRPr="00507A31" w:rsidRDefault="00BF0E8A" w:rsidP="00507A31">
      <w:pPr>
        <w:jc w:val="both"/>
        <w:rPr>
          <w:color w:val="000000" w:themeColor="text1"/>
          <w:sz w:val="16"/>
          <w:szCs w:val="16"/>
        </w:rPr>
      </w:pPr>
      <w:r w:rsidRPr="00507A31">
        <w:rPr>
          <w:color w:val="000000" w:themeColor="text1"/>
          <w:sz w:val="16"/>
          <w:szCs w:val="16"/>
        </w:rPr>
        <w:t>н) Результаты теракта немедленно сообщить по телефону РАМЗИНУ.</w:t>
      </w:r>
    </w:p>
    <w:p w14:paraId="5E0C5A5B" w14:textId="77777777" w:rsidR="00BF0E8A" w:rsidRPr="00507A31" w:rsidRDefault="00BF0E8A" w:rsidP="00507A31">
      <w:pPr>
        <w:jc w:val="both"/>
        <w:rPr>
          <w:color w:val="000000" w:themeColor="text1"/>
          <w:sz w:val="16"/>
          <w:szCs w:val="16"/>
        </w:rPr>
      </w:pPr>
      <w:r w:rsidRPr="00507A31">
        <w:rPr>
          <w:color w:val="000000" w:themeColor="text1"/>
          <w:sz w:val="16"/>
          <w:szCs w:val="16"/>
        </w:rPr>
        <w:t>о) Содержание разговора передать участникам теракта.</w:t>
      </w:r>
    </w:p>
    <w:p w14:paraId="1AF336FE" w14:textId="77777777" w:rsidR="00BF0E8A" w:rsidRPr="00507A31" w:rsidRDefault="00BF0E8A" w:rsidP="00507A31">
      <w:pPr>
        <w:jc w:val="both"/>
        <w:rPr>
          <w:color w:val="000000" w:themeColor="text1"/>
          <w:sz w:val="16"/>
          <w:szCs w:val="16"/>
        </w:rPr>
      </w:pPr>
      <w:r w:rsidRPr="00507A31">
        <w:rPr>
          <w:color w:val="000000" w:themeColor="text1"/>
          <w:sz w:val="16"/>
          <w:szCs w:val="16"/>
        </w:rPr>
        <w:t>На следующий день я сообщил МОРОЗУ, ЛИППЕ и ДАВИДОВУ все указания РАМЗИНА и было решено после получения фотокарточки ЯГОДЫ пойти всем вести слежку за ЯГОДОЙ у здания ОГПУ.</w:t>
      </w:r>
    </w:p>
    <w:p w14:paraId="7F917141" w14:textId="77777777" w:rsidR="00BF0E8A" w:rsidRPr="00507A31" w:rsidRDefault="00BF0E8A" w:rsidP="00507A31">
      <w:pPr>
        <w:jc w:val="both"/>
        <w:rPr>
          <w:color w:val="000000" w:themeColor="text1"/>
          <w:sz w:val="16"/>
          <w:szCs w:val="16"/>
        </w:rPr>
      </w:pPr>
      <w:r w:rsidRPr="00507A31">
        <w:rPr>
          <w:color w:val="000000" w:themeColor="text1"/>
          <w:sz w:val="16"/>
          <w:szCs w:val="16"/>
        </w:rPr>
        <w:t>Дня через три РАМЗИН дал мне фотоснимок ЯГОДЫ, вырезанный им из какого-то журнала. Фотоснимок был величиной немного меньше открытки. На этом снимке ЯГОДА был сфотографирован в военной форме до пояса. РАМЗИН тогда объяснил, что фотокарточку он не достал и придется довольствоваться этим снимком. На следующий день я этот снимок передал НОВИ Валерию, сказав ему, что это снимок ЯГОДЫ и с него надо снять пять копий. НОВИ Валерий заявил, что он знает в чем дело и обещал снять копии со снимка в 3-4 дня.</w:t>
      </w:r>
    </w:p>
    <w:p w14:paraId="09B2D9A8" w14:textId="77777777" w:rsidR="00BF0E8A" w:rsidRPr="00507A31" w:rsidRDefault="00BF0E8A" w:rsidP="00507A31">
      <w:pPr>
        <w:jc w:val="both"/>
        <w:rPr>
          <w:color w:val="000000" w:themeColor="text1"/>
          <w:sz w:val="16"/>
          <w:szCs w:val="16"/>
        </w:rPr>
      </w:pPr>
      <w:r w:rsidRPr="00507A31">
        <w:rPr>
          <w:color w:val="000000" w:themeColor="text1"/>
          <w:sz w:val="16"/>
          <w:szCs w:val="16"/>
        </w:rPr>
        <w:t>Мы все четверо: я, ДАВИДОВ, МОРОЗ и ЛИППЕ обсуждали, как нам вести слежку за зданием ОГПУ. Когда я с ЛИППЕ были у РАМЗИНА, последний предлагал выставить для наблюдения четыре поста: уг[ол] Болын[ой] Лубянки и Софийки, напротив этого места — у Никольских ворот, уг[ол] Мясницкой и Лубянской площади, на той стороне, где здание ОГПУ и напротив этого места у Китайгородской стены. Вобщем план слежки по предложению РАМЗИНА должен быть таков, чтобы занять постами все четыре угла Лубянской площади, выставив на каждый угол по одному человеку.</w:t>
      </w:r>
    </w:p>
    <w:p w14:paraId="2D54AC11" w14:textId="77777777" w:rsidR="00BF0E8A" w:rsidRPr="00507A31" w:rsidRDefault="00BF0E8A" w:rsidP="00507A31">
      <w:pPr>
        <w:jc w:val="both"/>
        <w:rPr>
          <w:color w:val="000000" w:themeColor="text1"/>
          <w:sz w:val="16"/>
          <w:szCs w:val="16"/>
        </w:rPr>
      </w:pPr>
      <w:r w:rsidRPr="00507A31">
        <w:rPr>
          <w:color w:val="000000" w:themeColor="text1"/>
          <w:sz w:val="16"/>
          <w:szCs w:val="16"/>
        </w:rPr>
        <w:t>В результате обсуждения было решено ограничиться двумя постами: уг[ол] Софийки и Б[олыной] Лубянки и Лубянской площади и Мясницкой, т. к. с двух дальних постов наблюдение вести очень трудно. Дней через пять, числа 10-го июня с. г. НОВИ Валерий привез мне в кабинет переданный ему снимок ЯГОДЫ из журнала и пять копий, из которых одна была испорчена. Эт[а] испорчен[ая] копи[я], оригинал и негатив были мною немедленно уничтожены. Я роздал по одному снимку ЯГОДЫ — ДАВИДОВУ, МОРОЗУ и ЛИППЕ и последний оставил у себя. В тот же день, а возможно и на следующий день, я, ЛИППЕ, МОРОЗ и ДАВИДОВ, предварительно условившись, в часов 5-6 вечера отправились вести наблюдение за ЯГОДОЙ к зданию ОГПУ.</w:t>
      </w:r>
    </w:p>
    <w:p w14:paraId="2459DE32" w14:textId="77777777" w:rsidR="00BF0E8A" w:rsidRPr="00507A31" w:rsidRDefault="00BF0E8A" w:rsidP="00507A31">
      <w:pPr>
        <w:jc w:val="both"/>
        <w:rPr>
          <w:color w:val="000000" w:themeColor="text1"/>
          <w:sz w:val="16"/>
          <w:szCs w:val="16"/>
        </w:rPr>
      </w:pPr>
      <w:r w:rsidRPr="00507A31">
        <w:rPr>
          <w:color w:val="000000" w:themeColor="text1"/>
          <w:sz w:val="16"/>
          <w:szCs w:val="16"/>
        </w:rPr>
        <w:t>Сборным пунктом служил сквер около Ильинских ворот.</w:t>
      </w:r>
    </w:p>
    <w:p w14:paraId="26ADEBB9" w14:textId="77777777" w:rsidR="00BF0E8A" w:rsidRPr="00507A31" w:rsidRDefault="00BF0E8A" w:rsidP="00507A31">
      <w:pPr>
        <w:jc w:val="both"/>
        <w:rPr>
          <w:color w:val="000000" w:themeColor="text1"/>
          <w:sz w:val="16"/>
          <w:szCs w:val="16"/>
        </w:rPr>
      </w:pPr>
      <w:r w:rsidRPr="00507A31">
        <w:rPr>
          <w:color w:val="000000" w:themeColor="text1"/>
          <w:sz w:val="16"/>
          <w:szCs w:val="16"/>
        </w:rPr>
        <w:t>Возле здания ОГПУ мы ходили часов до 11-ти вечера; ходили мы по двое, а иногда в одиночку. У каждого в кармане была фотокарточка. Чаще всего мы стояли и ходили взад и вперед на уг[лу] Б[олыной] Лубянки и Софийки и Лубянской площади и Мясницкой. Иногда проходили мимо здания ОГПУ и по площади, огибая фонтан.</w:t>
      </w:r>
    </w:p>
    <w:p w14:paraId="7938DD96" w14:textId="77777777" w:rsidR="00BF0E8A" w:rsidRPr="00507A31" w:rsidRDefault="00BF0E8A" w:rsidP="00507A31">
      <w:pPr>
        <w:jc w:val="both"/>
        <w:rPr>
          <w:color w:val="000000" w:themeColor="text1"/>
          <w:sz w:val="16"/>
          <w:szCs w:val="16"/>
        </w:rPr>
      </w:pPr>
      <w:r w:rsidRPr="00507A31">
        <w:rPr>
          <w:color w:val="000000" w:themeColor="text1"/>
          <w:sz w:val="16"/>
          <w:szCs w:val="16"/>
        </w:rPr>
        <w:t>Такую слежку за ЯГОДОЙ у здания ОГПУ мы вели в течение 3-х дней с 5-ти — 6 часов вечера до 11-12 часов ночи. За это время один раз ЛИППЕ заявил, что он видел ЯГОДУ[,] и один раз ДАВИДОВ. Оба говорили, что они видели ЯГОДУ в тот момент, когда ЯГОДА подъехал на машине к главному подъезду здания ОГПУ.</w:t>
      </w:r>
    </w:p>
    <w:p w14:paraId="1599CB57" w14:textId="77777777" w:rsidR="00BF0E8A" w:rsidRPr="00507A31" w:rsidRDefault="00BF0E8A" w:rsidP="00507A31">
      <w:pPr>
        <w:jc w:val="both"/>
        <w:rPr>
          <w:color w:val="000000" w:themeColor="text1"/>
          <w:sz w:val="16"/>
          <w:szCs w:val="16"/>
        </w:rPr>
      </w:pPr>
      <w:r w:rsidRPr="00507A31">
        <w:rPr>
          <w:color w:val="000000" w:themeColor="text1"/>
          <w:sz w:val="16"/>
          <w:szCs w:val="16"/>
        </w:rPr>
        <w:t>ЛИППЕ говорил, что ЯГОДА подъехал в закрытом автомобиле (лимузине), темной окраски, а ДАВИДОВ заявлял, что ЯГОДА подъехал на длинной открытой машине сероватого цвета. Оба говорили, что узнали ЯГОДУ по сходству с фотокарточкой.</w:t>
      </w:r>
    </w:p>
    <w:p w14:paraId="481A8838" w14:textId="77777777" w:rsidR="00BF0E8A" w:rsidRPr="00507A31" w:rsidRDefault="00BF0E8A" w:rsidP="00507A31">
      <w:pPr>
        <w:jc w:val="both"/>
        <w:rPr>
          <w:color w:val="000000" w:themeColor="text1"/>
          <w:sz w:val="16"/>
          <w:szCs w:val="16"/>
        </w:rPr>
      </w:pPr>
      <w:r w:rsidRPr="00507A31">
        <w:rPr>
          <w:color w:val="000000" w:themeColor="text1"/>
          <w:sz w:val="16"/>
          <w:szCs w:val="16"/>
        </w:rPr>
        <w:t>Тогда же ДАВИДОВ заявил, что он ясно разглядел ЯГОДУ. Последний выше среднего роста, лицо немного продолговатое, носит усы. ЯГОДА, по словам ДАВИДОВА, был в военной форме и насколько мне помнится, ДАВИДОВ указал, что ЯГОДА был в плаще защитного цвета.</w:t>
      </w:r>
    </w:p>
    <w:p w14:paraId="3CE8AE5A" w14:textId="77777777" w:rsidR="00BF0E8A" w:rsidRPr="00507A31" w:rsidRDefault="00BF0E8A" w:rsidP="00507A31">
      <w:pPr>
        <w:jc w:val="both"/>
        <w:rPr>
          <w:color w:val="000000" w:themeColor="text1"/>
          <w:sz w:val="16"/>
          <w:szCs w:val="16"/>
        </w:rPr>
      </w:pPr>
      <w:r w:rsidRPr="00507A31">
        <w:rPr>
          <w:color w:val="000000" w:themeColor="text1"/>
          <w:sz w:val="16"/>
          <w:szCs w:val="16"/>
        </w:rPr>
        <w:t>После того, как мы три раза следили за ЯГОДОЙ, приблизительно числа 15[-го] я получил оружие. За день или два до этого РАМЗИИ меня предупредил, что оружие я на днях получу. В день получения оружия мне звонила по телефону секретарь ОПОРОВА, которая сказала, что РАМЗИИ просил передать, чтобы я вечером был у себя в лаборатории Института, т. к. мне принесут посылку от ПРЕДТЕЧЕНСКОГО. Вечером этого дня в мой кабинет шоффер РАМЗИНА САВЕЛЬЕВ принес лубяную коробку, в которой находилось оружие. Коробка была перевязана веревкой и кажется обернута бумагой. САВЕЛЬЕВ, передавая этот пакет, заявил, что «это от ПРЕДТЕЧЕНСКОГО». Насколько мне помнится, когда САВЕЛЬЕВ передавал мне пакет, в мою комнату заглядывал МОРОЗ. МОРОЗ, ЛИППЕ и ДАВИДОВ были мною днем предупреждены, что вечером доставят оружие, ввиду чего они все находились в Ин[ститу]те.</w:t>
      </w:r>
    </w:p>
    <w:p w14:paraId="45757CA6" w14:textId="77777777" w:rsidR="00BF0E8A" w:rsidRPr="00507A31" w:rsidRDefault="00BF0E8A" w:rsidP="00507A31">
      <w:pPr>
        <w:jc w:val="both"/>
        <w:rPr>
          <w:color w:val="000000" w:themeColor="text1"/>
          <w:sz w:val="16"/>
          <w:szCs w:val="16"/>
        </w:rPr>
      </w:pPr>
      <w:r w:rsidRPr="00507A31">
        <w:rPr>
          <w:color w:val="000000" w:themeColor="text1"/>
          <w:sz w:val="16"/>
          <w:szCs w:val="16"/>
        </w:rPr>
        <w:t>В пакете находилось следующее оружие: бомбы и 4 револьвера (два нагана и два автомата). Точно какой системы были автоматы я не знаю. В наганах было в барабане по семь патрон, а в автоматах полные обоймы — семь или восемь штук патрон.</w:t>
      </w:r>
    </w:p>
    <w:p w14:paraId="473BD0DC" w14:textId="77777777" w:rsidR="00BF0E8A" w:rsidRPr="00507A31" w:rsidRDefault="00BF0E8A" w:rsidP="00507A31">
      <w:pPr>
        <w:jc w:val="both"/>
        <w:rPr>
          <w:color w:val="000000" w:themeColor="text1"/>
          <w:sz w:val="16"/>
          <w:szCs w:val="16"/>
        </w:rPr>
      </w:pPr>
      <w:r w:rsidRPr="00507A31">
        <w:rPr>
          <w:color w:val="000000" w:themeColor="text1"/>
          <w:sz w:val="16"/>
          <w:szCs w:val="16"/>
        </w:rPr>
        <w:t>Бомбы были плоские, продолговатые и прямоугольные. Примерно длина бомбы — 150 милиметров, ширина 100 милиметров, толщина 40 милиметров. Вес бомбы примерно около кило.</w:t>
      </w:r>
    </w:p>
    <w:p w14:paraId="5CC8589E" w14:textId="77777777" w:rsidR="00BF0E8A" w:rsidRPr="00507A31" w:rsidRDefault="00BF0E8A" w:rsidP="00507A31">
      <w:pPr>
        <w:jc w:val="both"/>
        <w:rPr>
          <w:color w:val="000000" w:themeColor="text1"/>
          <w:sz w:val="16"/>
          <w:szCs w:val="16"/>
        </w:rPr>
      </w:pPr>
      <w:r w:rsidRPr="00507A31">
        <w:rPr>
          <w:color w:val="000000" w:themeColor="text1"/>
          <w:sz w:val="16"/>
          <w:szCs w:val="16"/>
        </w:rPr>
        <w:t>Бомбы были с ударниками. На ударниках надеты колпачки. Бомбы возможно были кустарного изготовления, но такие части, как ударник[,] полагаю[,] были фабричного изготовления. На каждой бомбе была наклеена инструкция, печатанная на пишущей машинке. В инструкции было сказано: снять предохранительный колпачок, ударить головкой о руку или колено и бросать через пять секунд.</w:t>
      </w:r>
    </w:p>
    <w:p w14:paraId="0CFC974B" w14:textId="77777777" w:rsidR="00BF0E8A" w:rsidRPr="00507A31" w:rsidRDefault="00BF0E8A" w:rsidP="00507A31">
      <w:pPr>
        <w:jc w:val="both"/>
        <w:rPr>
          <w:color w:val="000000" w:themeColor="text1"/>
          <w:sz w:val="16"/>
          <w:szCs w:val="16"/>
        </w:rPr>
      </w:pPr>
      <w:r w:rsidRPr="00507A31">
        <w:rPr>
          <w:color w:val="000000" w:themeColor="text1"/>
          <w:sz w:val="16"/>
          <w:szCs w:val="16"/>
        </w:rPr>
        <w:t>В комнату, где сидел[и] МОРОЗ и ЛИППЕ[,] я отнес одну бомбу и два нагана. Кроме ЛИППЕ и МОРОЗА в комнате никого не было. МОРОЗУ я дал бомбу и «наган», ЛИППЕ «наган». Затем я вызвал ДАВИДОВА по телефону из машинной лаборатории и вручил ему автоматический револьвер. Себе я оставил автоматический револьвер и бомбу.</w:t>
      </w:r>
    </w:p>
    <w:p w14:paraId="5144CF51" w14:textId="77777777" w:rsidR="00BF0E8A" w:rsidRPr="00507A31" w:rsidRDefault="00BF0E8A" w:rsidP="00507A31">
      <w:pPr>
        <w:jc w:val="both"/>
        <w:rPr>
          <w:color w:val="000000" w:themeColor="text1"/>
          <w:sz w:val="16"/>
          <w:szCs w:val="16"/>
        </w:rPr>
      </w:pPr>
      <w:r w:rsidRPr="00507A31">
        <w:rPr>
          <w:color w:val="000000" w:themeColor="text1"/>
          <w:sz w:val="16"/>
          <w:szCs w:val="16"/>
        </w:rPr>
        <w:t>Тут же мы условились на другой день пойти уже с оружием к зданию ОГПУ, чтобы совершить теракт.</w:t>
      </w:r>
    </w:p>
    <w:p w14:paraId="57D243AC" w14:textId="77777777" w:rsidR="00BF0E8A" w:rsidRPr="00507A31" w:rsidRDefault="00BF0E8A" w:rsidP="00507A31">
      <w:pPr>
        <w:jc w:val="both"/>
        <w:rPr>
          <w:color w:val="000000" w:themeColor="text1"/>
          <w:sz w:val="16"/>
          <w:szCs w:val="16"/>
        </w:rPr>
      </w:pPr>
      <w:r w:rsidRPr="00507A31">
        <w:rPr>
          <w:color w:val="000000" w:themeColor="text1"/>
          <w:sz w:val="16"/>
          <w:szCs w:val="16"/>
        </w:rPr>
        <w:t>На другой день в служебное время часов в 12-ть я вызвал к себе шоффера РАМЗИНА, САВЕЛЬЕВА и спросил его подготовлена ли вторая машина с шоффером. САВЕЛЬЕВ заявил, что вторая машина с шоффером готова. Я ему указал, что сегодня к 7-ми часам обе машины должны стоять около Политехнического музея и спросил его[,] давал ли ему РАМЗИН инструкции и какие. САВЕЛЬЕВ со мной подробно не говорил[,] ограничившись тем, что подробные инструкции он получил от РАМЗИНА и что уезжать надо к Варвар[ин]ской площади, где одна машина под его управлением поедет налево в сторону Таганской площади, а другая направо, вдоль по Набережной к «храму Христа спасителя».</w:t>
      </w:r>
    </w:p>
    <w:p w14:paraId="387AF0E1" w14:textId="77777777" w:rsidR="00BF0E8A" w:rsidRPr="00507A31" w:rsidRDefault="00BF0E8A" w:rsidP="00507A31">
      <w:pPr>
        <w:jc w:val="both"/>
        <w:rPr>
          <w:color w:val="000000" w:themeColor="text1"/>
          <w:sz w:val="16"/>
          <w:szCs w:val="16"/>
        </w:rPr>
      </w:pPr>
      <w:r w:rsidRPr="00507A31">
        <w:rPr>
          <w:color w:val="000000" w:themeColor="text1"/>
          <w:sz w:val="16"/>
          <w:szCs w:val="16"/>
        </w:rPr>
        <w:t>Я вторично переспросил САВЕЛЬЕВА знает ли он в чем дело? САВЕЛЬЕВ мне заявил, что знает и снова повторил, что подробные инструкции он получил от РАМЗИНА.</w:t>
      </w:r>
    </w:p>
    <w:p w14:paraId="5F77C7F2" w14:textId="77777777" w:rsidR="00BF0E8A" w:rsidRPr="00507A31" w:rsidRDefault="00BF0E8A" w:rsidP="00507A31">
      <w:pPr>
        <w:jc w:val="both"/>
        <w:rPr>
          <w:color w:val="000000" w:themeColor="text1"/>
          <w:sz w:val="16"/>
          <w:szCs w:val="16"/>
        </w:rPr>
      </w:pPr>
      <w:r w:rsidRPr="00507A31">
        <w:rPr>
          <w:color w:val="000000" w:themeColor="text1"/>
          <w:sz w:val="16"/>
          <w:szCs w:val="16"/>
        </w:rPr>
        <w:t>Я сообщил ЛИППЕ, МОРОЗУ и ДАВИДОВУ, что две машины в 7 час. будут на месте у Политехнического музея и что к этому времени они с оружием должны быть на сквере у Ильинских ворот.</w:t>
      </w:r>
    </w:p>
    <w:p w14:paraId="113E7173" w14:textId="77777777" w:rsidR="00BF0E8A" w:rsidRPr="00507A31" w:rsidRDefault="00BF0E8A" w:rsidP="00507A31">
      <w:pPr>
        <w:jc w:val="both"/>
        <w:rPr>
          <w:color w:val="000000" w:themeColor="text1"/>
          <w:sz w:val="16"/>
          <w:szCs w:val="16"/>
        </w:rPr>
      </w:pPr>
      <w:r w:rsidRPr="00507A31">
        <w:rPr>
          <w:color w:val="000000" w:themeColor="text1"/>
          <w:sz w:val="16"/>
          <w:szCs w:val="16"/>
        </w:rPr>
        <w:t>Около 7-ми часов вечера мы все: я, ЛИППЕ, ДАВИДОВ и МОРОЗ встретились и пошли по два человека к зданию ОГПУ.</w:t>
      </w:r>
    </w:p>
    <w:p w14:paraId="2392F6C9" w14:textId="77777777" w:rsidR="00BF0E8A" w:rsidRPr="00507A31" w:rsidRDefault="00BF0E8A" w:rsidP="00507A31">
      <w:pPr>
        <w:jc w:val="both"/>
        <w:rPr>
          <w:color w:val="000000" w:themeColor="text1"/>
          <w:sz w:val="16"/>
          <w:szCs w:val="16"/>
        </w:rPr>
      </w:pPr>
      <w:r w:rsidRPr="00507A31">
        <w:rPr>
          <w:color w:val="000000" w:themeColor="text1"/>
          <w:sz w:val="16"/>
          <w:szCs w:val="16"/>
        </w:rPr>
        <w:t>Я с ДАВИДОВЫМ, а ЛИППЕ с МОРОЗОМ. У меня был автоматический револьвер и бомба, у Давидова — автоматический револьвер, у МОРОЗА бомба и «наган», у ЛИППЕ «наган».</w:t>
      </w:r>
    </w:p>
    <w:p w14:paraId="581244BA" w14:textId="77777777" w:rsidR="00BF0E8A" w:rsidRPr="00507A31" w:rsidRDefault="00BF0E8A" w:rsidP="00507A31">
      <w:pPr>
        <w:jc w:val="both"/>
        <w:rPr>
          <w:color w:val="000000" w:themeColor="text1"/>
          <w:sz w:val="16"/>
          <w:szCs w:val="16"/>
        </w:rPr>
      </w:pPr>
      <w:r w:rsidRPr="00507A31">
        <w:rPr>
          <w:color w:val="000000" w:themeColor="text1"/>
          <w:sz w:val="16"/>
          <w:szCs w:val="16"/>
        </w:rPr>
        <w:t>Одна «двойка» стояла уг[ол] Б[ольшой] Лубянки и Софийки, а другая уг[ол] Лубянской площади и Мясницкой. Время от времени мы менялись местами, ходили по двое и по одиночке мимо главного подъезда здания ОГПУ. Ходили и по площади, огибая фонтан.</w:t>
      </w:r>
    </w:p>
    <w:p w14:paraId="4FE366E4" w14:textId="77777777" w:rsidR="00BF0E8A" w:rsidRPr="00507A31" w:rsidRDefault="00BF0E8A" w:rsidP="00507A31">
      <w:pPr>
        <w:jc w:val="both"/>
        <w:rPr>
          <w:color w:val="000000" w:themeColor="text1"/>
          <w:sz w:val="16"/>
          <w:szCs w:val="16"/>
        </w:rPr>
      </w:pPr>
      <w:r w:rsidRPr="00507A31">
        <w:rPr>
          <w:color w:val="000000" w:themeColor="text1"/>
          <w:sz w:val="16"/>
          <w:szCs w:val="16"/>
        </w:rPr>
        <w:t>Предварительно было договорено, что первый, увидевший Ягоду должен вынуть платок и обтереть им лицо. Это будет являться сигналом к нападению. Ближайший к Ягоде должен в него стрелять или же бросить бомбу. Остальные открывают стрельбу по Ягоде и бросается вторая бомба, сообразуясь с обстановкой. После совершения теракта бросаемся бегом к машине. Я и ДАВИДОВ в машину под управлением САВЕЛЬЕВА, а ЛИППЕ и МОРОЗ во вторую.</w:t>
      </w:r>
    </w:p>
    <w:p w14:paraId="61EF1211" w14:textId="77777777" w:rsidR="00BF0E8A" w:rsidRPr="00507A31" w:rsidRDefault="00BF0E8A" w:rsidP="00507A31">
      <w:pPr>
        <w:jc w:val="both"/>
        <w:rPr>
          <w:color w:val="000000" w:themeColor="text1"/>
          <w:sz w:val="16"/>
          <w:szCs w:val="16"/>
        </w:rPr>
      </w:pPr>
      <w:r w:rsidRPr="00507A31">
        <w:rPr>
          <w:color w:val="000000" w:themeColor="text1"/>
          <w:sz w:val="16"/>
          <w:szCs w:val="16"/>
        </w:rPr>
        <w:t>Когда мы проходили мимо Политехнического музея[,] мы видели, что машины стоят на месте. Затем мы несколько раз проверяли стоят ли машины у Музея, посылая по одному человеку с поста.</w:t>
      </w:r>
    </w:p>
    <w:p w14:paraId="2B94FCD4" w14:textId="77777777" w:rsidR="00BF0E8A" w:rsidRPr="00507A31" w:rsidRDefault="00BF0E8A" w:rsidP="00507A31">
      <w:pPr>
        <w:jc w:val="both"/>
        <w:rPr>
          <w:color w:val="000000" w:themeColor="text1"/>
          <w:sz w:val="16"/>
          <w:szCs w:val="16"/>
        </w:rPr>
      </w:pPr>
      <w:r w:rsidRPr="00507A31">
        <w:rPr>
          <w:color w:val="000000" w:themeColor="text1"/>
          <w:sz w:val="16"/>
          <w:szCs w:val="16"/>
        </w:rPr>
        <w:t>Дежурили мы у здания ОГПУ до 12-ти часов ночи. После этого я отпустил машины[,] и мы разошлись. МОРОЗ и ЛИППЕ кажется уехали на машине САВЕЛЬЕВА.</w:t>
      </w:r>
    </w:p>
    <w:p w14:paraId="0DB42503" w14:textId="77777777" w:rsidR="00BF0E8A" w:rsidRPr="00507A31" w:rsidRDefault="00BF0E8A" w:rsidP="00507A31">
      <w:pPr>
        <w:jc w:val="both"/>
        <w:rPr>
          <w:color w:val="000000" w:themeColor="text1"/>
          <w:sz w:val="16"/>
          <w:szCs w:val="16"/>
        </w:rPr>
      </w:pPr>
      <w:r w:rsidRPr="00507A31">
        <w:rPr>
          <w:color w:val="000000" w:themeColor="text1"/>
          <w:sz w:val="16"/>
          <w:szCs w:val="16"/>
        </w:rPr>
        <w:t>За все время дежурства мы Ягоду не видели. Не видели и машин, о которых говорили ранее ЛИППЕ и ДАВИДОВ.</w:t>
      </w:r>
    </w:p>
    <w:p w14:paraId="52FCAF51" w14:textId="77777777" w:rsidR="00BF0E8A" w:rsidRPr="00507A31" w:rsidRDefault="00BF0E8A" w:rsidP="00507A31">
      <w:pPr>
        <w:jc w:val="both"/>
        <w:rPr>
          <w:color w:val="000000" w:themeColor="text1"/>
          <w:sz w:val="16"/>
          <w:szCs w:val="16"/>
        </w:rPr>
      </w:pPr>
      <w:r w:rsidRPr="00507A31">
        <w:rPr>
          <w:color w:val="000000" w:themeColor="text1"/>
          <w:sz w:val="16"/>
          <w:szCs w:val="16"/>
        </w:rPr>
        <w:t>На следующий день мы снова в то же самое время пошли с оружием к зданию ОГ ПУ. Условились мы утром в тот же день. В этот же день был предупрежден и шоффер САВЕЛЬЕВ.</w:t>
      </w:r>
    </w:p>
    <w:p w14:paraId="42DE9E5A" w14:textId="77777777" w:rsidR="00BF0E8A" w:rsidRPr="00507A31" w:rsidRDefault="00BF0E8A" w:rsidP="00507A31">
      <w:pPr>
        <w:jc w:val="both"/>
        <w:rPr>
          <w:color w:val="000000" w:themeColor="text1"/>
          <w:sz w:val="16"/>
          <w:szCs w:val="16"/>
        </w:rPr>
      </w:pPr>
      <w:r w:rsidRPr="00507A31">
        <w:rPr>
          <w:color w:val="000000" w:themeColor="text1"/>
          <w:sz w:val="16"/>
          <w:szCs w:val="16"/>
        </w:rPr>
        <w:t>Снова мы встретились у Ильинских ворот и по двое пошли к зданию ОГПУ. Машины опять были на старом месте у Политехнического музея.</w:t>
      </w:r>
    </w:p>
    <w:p w14:paraId="716DBA0F" w14:textId="77777777" w:rsidR="00BF0E8A" w:rsidRPr="00507A31" w:rsidRDefault="00BF0E8A" w:rsidP="00507A31">
      <w:pPr>
        <w:jc w:val="both"/>
        <w:rPr>
          <w:color w:val="000000" w:themeColor="text1"/>
          <w:sz w:val="16"/>
          <w:szCs w:val="16"/>
        </w:rPr>
      </w:pPr>
      <w:r w:rsidRPr="00507A31">
        <w:rPr>
          <w:color w:val="000000" w:themeColor="text1"/>
          <w:sz w:val="16"/>
          <w:szCs w:val="16"/>
        </w:rPr>
        <w:t>Опять мы[,] как и в первый день[,] стояли по углам и ходили вдоль здания ОГПУ и по площади, огибая фонтан.</w:t>
      </w:r>
    </w:p>
    <w:p w14:paraId="1987C9B6" w14:textId="77777777" w:rsidR="00BF0E8A" w:rsidRPr="00507A31" w:rsidRDefault="00BF0E8A" w:rsidP="00507A31">
      <w:pPr>
        <w:jc w:val="both"/>
        <w:rPr>
          <w:color w:val="000000" w:themeColor="text1"/>
          <w:sz w:val="16"/>
          <w:szCs w:val="16"/>
        </w:rPr>
      </w:pPr>
      <w:r w:rsidRPr="00507A31">
        <w:rPr>
          <w:color w:val="000000" w:themeColor="text1"/>
          <w:sz w:val="16"/>
          <w:szCs w:val="16"/>
        </w:rPr>
        <w:t>Мы продежурили до 12-ти часов ночи и разошлись[,] не встретив Ягоды. Машины были отпущены. На другой день мы все: я, ЛИППЕ, МОРОЗ и ДАВИДОВ собрались к котельной лаборатории и решили вечером пойти для совершения теракта. Но тут же ДАВИДОВ, а затем и я высказали соображения о необходимости отложить совершение теракта на семь-восемь дней. Соображения эти были следующего характера: во[-]первых, точно установить ЯГОДУ и его машину не удалось, во[-]вторых, частые дежурства у здания ОГПУ могут привести к провалу. Вынесено было решение, чтобы через несколько дней снова начать наблюдение за ЯГОДОЙ, но уже в одиночку.</w:t>
      </w:r>
    </w:p>
    <w:p w14:paraId="09521320" w14:textId="77777777" w:rsidR="00BF0E8A" w:rsidRPr="00507A31" w:rsidRDefault="00BF0E8A" w:rsidP="00507A31">
      <w:pPr>
        <w:jc w:val="both"/>
        <w:rPr>
          <w:color w:val="000000" w:themeColor="text1"/>
          <w:sz w:val="16"/>
          <w:szCs w:val="16"/>
        </w:rPr>
      </w:pPr>
      <w:r w:rsidRPr="00507A31">
        <w:rPr>
          <w:color w:val="000000" w:themeColor="text1"/>
          <w:sz w:val="16"/>
          <w:szCs w:val="16"/>
        </w:rPr>
        <w:t>Дней через семь-восемь ЛИППЕ и МОРОЗ мне сообщил[и], что они будут вести наблюдение за ЯГОДОЙ. Затем ЛИППЕ мне сообщил, что он был два раза, МОРОЗ, что он был один раз. У обоих наблюдений результатов не дало. Тогда мы все решили отложить теракт до приезда РАМЗИНА из заграницы.</w:t>
      </w:r>
    </w:p>
    <w:p w14:paraId="2CB47B75" w14:textId="77777777" w:rsidR="00BF0E8A" w:rsidRPr="00507A31" w:rsidRDefault="00BF0E8A" w:rsidP="00507A31">
      <w:pPr>
        <w:jc w:val="both"/>
        <w:rPr>
          <w:color w:val="000000" w:themeColor="text1"/>
          <w:sz w:val="16"/>
          <w:szCs w:val="16"/>
        </w:rPr>
      </w:pPr>
      <w:r w:rsidRPr="00507A31">
        <w:rPr>
          <w:color w:val="000000" w:themeColor="text1"/>
          <w:sz w:val="16"/>
          <w:szCs w:val="16"/>
        </w:rPr>
        <w:lastRenderedPageBreak/>
        <w:t>Оружие было мною забрано и спрятано у меня в кабинете на службе в шкафу, ключ от которого хранился у меня.</w:t>
      </w:r>
    </w:p>
    <w:p w14:paraId="22F10043" w14:textId="77777777" w:rsidR="00BF0E8A" w:rsidRPr="00507A31" w:rsidRDefault="00BF0E8A" w:rsidP="00507A31">
      <w:pPr>
        <w:jc w:val="both"/>
        <w:rPr>
          <w:color w:val="000000" w:themeColor="text1"/>
          <w:sz w:val="16"/>
          <w:szCs w:val="16"/>
        </w:rPr>
      </w:pPr>
      <w:r w:rsidRPr="00507A31">
        <w:rPr>
          <w:color w:val="000000" w:themeColor="text1"/>
          <w:sz w:val="16"/>
          <w:szCs w:val="16"/>
        </w:rPr>
        <w:t>После приезда РАМЗИНА я ему подробно доложил о всей нашей работе по совершению теракта против Ягоды и о причинах неуспеха. РАМЗИИ заявил, что с совершением теракта можно подождать. Когда нужно будет снова приступить к выполнению теракта[,] он даст новые указания. Пока же он велел сдать ему оружие, которое он отправит ПРЕДТЕЧЕНСКОМУ. В тот же день я принес оружие в кабинет РАМЗИНА в два приема. Оружие РАМЗИН запер в письменный стол в своем кабинете. В дальнейшем РАМЗИН более не давал заданий приступить к теракту. Кроме того[,] ЛИППЕ и МОРОЗ уехали из Москвы.</w:t>
      </w:r>
    </w:p>
    <w:p w14:paraId="12A3CC21" w14:textId="77777777" w:rsidR="00BF0E8A" w:rsidRPr="00507A31" w:rsidRDefault="00BF0E8A" w:rsidP="00507A31">
      <w:pPr>
        <w:jc w:val="both"/>
        <w:rPr>
          <w:color w:val="000000" w:themeColor="text1"/>
          <w:sz w:val="16"/>
          <w:szCs w:val="16"/>
        </w:rPr>
      </w:pPr>
      <w:r w:rsidRPr="00507A31">
        <w:rPr>
          <w:color w:val="000000" w:themeColor="text1"/>
          <w:sz w:val="16"/>
          <w:szCs w:val="16"/>
        </w:rPr>
        <w:t>В конце июля или в начале августа РАМЗИН уехал в отпуск, где был арестован.</w:t>
      </w:r>
    </w:p>
    <w:p w14:paraId="30DAD3E6" w14:textId="77777777" w:rsidR="00BF0E8A" w:rsidRPr="00507A31" w:rsidRDefault="00BF0E8A" w:rsidP="00507A31">
      <w:pPr>
        <w:jc w:val="both"/>
        <w:rPr>
          <w:color w:val="000000" w:themeColor="text1"/>
          <w:sz w:val="16"/>
          <w:szCs w:val="16"/>
        </w:rPr>
      </w:pPr>
      <w:r w:rsidRPr="00507A31">
        <w:rPr>
          <w:color w:val="000000" w:themeColor="text1"/>
          <w:sz w:val="16"/>
          <w:szCs w:val="16"/>
        </w:rPr>
        <w:t>А затем и мы все: Я, ЛИППЕ, МОРОЗ и ДАВИДОВ были тоже арестованы.</w:t>
      </w:r>
    </w:p>
    <w:p w14:paraId="55FFE416" w14:textId="77777777" w:rsidR="00BF0E8A" w:rsidRPr="00507A31" w:rsidRDefault="00BF0E8A" w:rsidP="00507A31">
      <w:pPr>
        <w:jc w:val="both"/>
        <w:rPr>
          <w:color w:val="000000" w:themeColor="text1"/>
          <w:sz w:val="16"/>
          <w:szCs w:val="16"/>
        </w:rPr>
      </w:pPr>
      <w:r w:rsidRPr="00507A31">
        <w:rPr>
          <w:color w:val="000000" w:themeColor="text1"/>
          <w:sz w:val="16"/>
          <w:szCs w:val="16"/>
        </w:rPr>
        <w:t>Записано с моих слов верно, мне прочитано.</w:t>
      </w:r>
    </w:p>
    <w:p w14:paraId="54DE0F69" w14:textId="77777777" w:rsidR="00BF0E8A" w:rsidRPr="00507A31" w:rsidRDefault="00BF0E8A" w:rsidP="00507A31">
      <w:pPr>
        <w:jc w:val="both"/>
        <w:rPr>
          <w:color w:val="000000" w:themeColor="text1"/>
          <w:sz w:val="16"/>
          <w:szCs w:val="16"/>
        </w:rPr>
      </w:pPr>
      <w:r w:rsidRPr="00507A31">
        <w:rPr>
          <w:color w:val="000000" w:themeColor="text1"/>
          <w:sz w:val="16"/>
          <w:szCs w:val="16"/>
        </w:rPr>
        <w:t>КОЗЛИНСКИЙ.</w:t>
      </w:r>
    </w:p>
    <w:p w14:paraId="66020CCE" w14:textId="77777777" w:rsidR="00BF0E8A" w:rsidRPr="00507A31" w:rsidRDefault="00BF0E8A" w:rsidP="00507A31">
      <w:pPr>
        <w:jc w:val="both"/>
        <w:rPr>
          <w:color w:val="000000" w:themeColor="text1"/>
          <w:sz w:val="16"/>
          <w:szCs w:val="16"/>
        </w:rPr>
      </w:pPr>
      <w:r w:rsidRPr="00507A31">
        <w:rPr>
          <w:color w:val="000000" w:themeColor="text1"/>
          <w:sz w:val="16"/>
          <w:szCs w:val="16"/>
        </w:rPr>
        <w:t>Нач. 3 ОТДЕЛЕНИЯ] СО ОГПУ СЛАВАТИНСКИЙ.</w:t>
      </w:r>
    </w:p>
    <w:p w14:paraId="77B2169F" w14:textId="77777777" w:rsidR="00BF0E8A" w:rsidRPr="00507A31" w:rsidRDefault="00BF0E8A" w:rsidP="00507A31">
      <w:pPr>
        <w:jc w:val="both"/>
        <w:rPr>
          <w:color w:val="000000" w:themeColor="text1"/>
          <w:sz w:val="16"/>
          <w:szCs w:val="16"/>
        </w:rPr>
      </w:pPr>
      <w:r w:rsidRPr="00507A31">
        <w:rPr>
          <w:color w:val="000000" w:themeColor="text1"/>
          <w:sz w:val="16"/>
          <w:szCs w:val="16"/>
        </w:rPr>
        <w:t>ДОПРОСИЛ: ПОМ. НАЧ. 4 ОТДЕЛЕНИЯ] СО ОГПУ ЧЕРТОК.</w:t>
      </w:r>
    </w:p>
    <w:p w14:paraId="061ABF29" w14:textId="77777777" w:rsidR="00BF0E8A" w:rsidRPr="00507A31" w:rsidRDefault="00BF0E8A" w:rsidP="00507A31">
      <w:pPr>
        <w:jc w:val="both"/>
        <w:rPr>
          <w:color w:val="000000" w:themeColor="text1"/>
          <w:sz w:val="16"/>
          <w:szCs w:val="16"/>
        </w:rPr>
      </w:pPr>
      <w:r w:rsidRPr="00507A31">
        <w:rPr>
          <w:color w:val="000000" w:themeColor="text1"/>
          <w:sz w:val="16"/>
          <w:szCs w:val="16"/>
        </w:rPr>
        <w:t>Д. 354. Л. 120-129. Заверенная машинописная копия того времени. На Л. 120 вверху штамп с вписанными от руки датой «21.Х.1930 г.» и данными о количестве размноженных экземпляров текста (50 экз.), подпись-автограф Хряпкиной. Здесь же штамп о рассылке документа (номер и дата отсутствуют ) (18478).</w:t>
      </w:r>
    </w:p>
    <w:p w14:paraId="4B2442DD" w14:textId="77777777" w:rsidR="00BF0E8A" w:rsidRPr="00507A31" w:rsidRDefault="00BF0E8A" w:rsidP="00507A31">
      <w:pPr>
        <w:jc w:val="both"/>
        <w:rPr>
          <w:color w:val="000000" w:themeColor="text1"/>
          <w:sz w:val="16"/>
          <w:szCs w:val="16"/>
        </w:rPr>
      </w:pPr>
    </w:p>
    <w:p w14:paraId="4925F040" w14:textId="77777777" w:rsidR="00BF0E8A" w:rsidRPr="00507A31" w:rsidRDefault="00BF0E8A" w:rsidP="00507A31">
      <w:pPr>
        <w:jc w:val="both"/>
        <w:rPr>
          <w:color w:val="000000" w:themeColor="text1"/>
          <w:sz w:val="16"/>
          <w:szCs w:val="16"/>
        </w:rPr>
      </w:pPr>
      <w:r w:rsidRPr="00507A31">
        <w:rPr>
          <w:color w:val="000000" w:themeColor="text1"/>
          <w:sz w:val="16"/>
          <w:szCs w:val="16"/>
        </w:rPr>
        <w:t>21 октября 1930 г.</w:t>
      </w:r>
    </w:p>
    <w:p w14:paraId="4F7EAA88" w14:textId="77777777" w:rsidR="00BF0E8A" w:rsidRPr="00507A31" w:rsidRDefault="00BF0E8A" w:rsidP="00507A31">
      <w:pPr>
        <w:jc w:val="both"/>
        <w:rPr>
          <w:color w:val="000000" w:themeColor="text1"/>
          <w:sz w:val="16"/>
          <w:szCs w:val="16"/>
        </w:rPr>
      </w:pPr>
      <w:r w:rsidRPr="00507A31">
        <w:rPr>
          <w:color w:val="000000" w:themeColor="text1"/>
          <w:sz w:val="16"/>
          <w:szCs w:val="16"/>
        </w:rPr>
        <w:t>Показания А. И. Мороза об участии в подготовке «террористического акта» против Г. Г. Ягоды. Приложение к письму № П962 о рассылке материалов следствия от 21 октября 1930 г.</w:t>
      </w:r>
    </w:p>
    <w:p w14:paraId="4960F0BB" w14:textId="77777777" w:rsidR="00BF0E8A" w:rsidRPr="00507A31" w:rsidRDefault="00BF0E8A" w:rsidP="00507A31">
      <w:pPr>
        <w:jc w:val="both"/>
        <w:rPr>
          <w:color w:val="000000" w:themeColor="text1"/>
          <w:sz w:val="16"/>
          <w:szCs w:val="16"/>
        </w:rPr>
      </w:pPr>
      <w:r w:rsidRPr="00507A31">
        <w:rPr>
          <w:color w:val="000000" w:themeColor="text1"/>
          <w:sz w:val="16"/>
          <w:szCs w:val="16"/>
        </w:rPr>
        <w:t>Источник: </w:t>
      </w:r>
    </w:p>
    <w:p w14:paraId="27002128" w14:textId="77777777" w:rsidR="00BF0E8A" w:rsidRPr="00507A31" w:rsidRDefault="00BF0E8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04D299" w14:textId="77777777" w:rsidR="00BF0E8A" w:rsidRPr="00507A31" w:rsidRDefault="00BF0E8A" w:rsidP="00507A31">
      <w:pPr>
        <w:jc w:val="both"/>
        <w:rPr>
          <w:color w:val="000000" w:themeColor="text1"/>
          <w:sz w:val="16"/>
          <w:szCs w:val="16"/>
        </w:rPr>
      </w:pPr>
      <w:r w:rsidRPr="00507A31">
        <w:rPr>
          <w:color w:val="000000" w:themeColor="text1"/>
          <w:sz w:val="16"/>
          <w:szCs w:val="16"/>
        </w:rPr>
        <w:t>Архив: </w:t>
      </w:r>
    </w:p>
    <w:p w14:paraId="131013F9" w14:textId="77777777" w:rsidR="00BF0E8A" w:rsidRPr="00507A31" w:rsidRDefault="00BF0E8A" w:rsidP="00507A31">
      <w:pPr>
        <w:jc w:val="both"/>
        <w:rPr>
          <w:color w:val="000000" w:themeColor="text1"/>
          <w:sz w:val="16"/>
          <w:szCs w:val="16"/>
        </w:rPr>
      </w:pPr>
      <w:r w:rsidRPr="00507A31">
        <w:rPr>
          <w:color w:val="000000" w:themeColor="text1"/>
          <w:sz w:val="16"/>
          <w:szCs w:val="16"/>
        </w:rPr>
        <w:t>ЦА ФСБ РФ. Ф. Р-42280. Т. 2. Л. 204-205 об.</w:t>
      </w:r>
    </w:p>
    <w:p w14:paraId="6ADAE982" w14:textId="77777777" w:rsidR="00BF0E8A" w:rsidRPr="00507A31" w:rsidRDefault="00BF0E8A" w:rsidP="00507A31">
      <w:pPr>
        <w:jc w:val="both"/>
        <w:rPr>
          <w:color w:val="000000" w:themeColor="text1"/>
          <w:sz w:val="16"/>
          <w:szCs w:val="16"/>
        </w:rPr>
      </w:pPr>
      <w:r w:rsidRPr="00507A31">
        <w:rPr>
          <w:color w:val="000000" w:themeColor="text1"/>
          <w:sz w:val="16"/>
          <w:szCs w:val="16"/>
        </w:rPr>
        <w:t>от 2[1] октября 1930 г.</w:t>
      </w:r>
    </w:p>
    <w:p w14:paraId="6B3D06F3" w14:textId="77777777" w:rsidR="00BF0E8A" w:rsidRPr="00507A31" w:rsidRDefault="00BF0E8A" w:rsidP="00507A31">
      <w:pPr>
        <w:jc w:val="both"/>
        <w:rPr>
          <w:color w:val="000000" w:themeColor="text1"/>
          <w:sz w:val="16"/>
          <w:szCs w:val="16"/>
        </w:rPr>
      </w:pPr>
      <w:r w:rsidRPr="00507A31">
        <w:rPr>
          <w:color w:val="000000" w:themeColor="text1"/>
          <w:sz w:val="16"/>
          <w:szCs w:val="16"/>
        </w:rPr>
        <w:t>СТРОГО СЕКРЕТНО</w:t>
      </w:r>
    </w:p>
    <w:p w14:paraId="1F4099AE" w14:textId="77777777" w:rsidR="00BF0E8A" w:rsidRPr="00507A31" w:rsidRDefault="00BF0E8A" w:rsidP="00507A31">
      <w:pPr>
        <w:jc w:val="both"/>
        <w:rPr>
          <w:color w:val="000000" w:themeColor="text1"/>
          <w:sz w:val="16"/>
          <w:szCs w:val="16"/>
        </w:rPr>
      </w:pPr>
      <w:r w:rsidRPr="00507A31">
        <w:rPr>
          <w:color w:val="000000" w:themeColor="text1"/>
          <w:sz w:val="16"/>
          <w:szCs w:val="16"/>
        </w:rPr>
        <w:t>ПРОТОКОЛ ДОПРОСА</w:t>
      </w:r>
    </w:p>
    <w:p w14:paraId="0C54765D" w14:textId="77777777" w:rsidR="00BF0E8A" w:rsidRPr="00507A31" w:rsidRDefault="00BF0E8A" w:rsidP="00507A31">
      <w:pPr>
        <w:jc w:val="both"/>
        <w:rPr>
          <w:color w:val="000000" w:themeColor="text1"/>
          <w:sz w:val="16"/>
          <w:szCs w:val="16"/>
        </w:rPr>
      </w:pPr>
      <w:r w:rsidRPr="00507A31">
        <w:rPr>
          <w:color w:val="000000" w:themeColor="text1"/>
          <w:sz w:val="16"/>
          <w:szCs w:val="16"/>
        </w:rPr>
        <w:t>МОРОЗА Александра Ивановича от 17/Х-1930 г.</w:t>
      </w:r>
    </w:p>
    <w:p w14:paraId="1F4D9292" w14:textId="77777777" w:rsidR="00BF0E8A" w:rsidRPr="00507A31" w:rsidRDefault="00BF0E8A" w:rsidP="00507A31">
      <w:pPr>
        <w:jc w:val="both"/>
        <w:rPr>
          <w:color w:val="000000" w:themeColor="text1"/>
          <w:sz w:val="16"/>
          <w:szCs w:val="16"/>
        </w:rPr>
      </w:pPr>
      <w:r w:rsidRPr="00507A31">
        <w:rPr>
          <w:color w:val="000000" w:themeColor="text1"/>
          <w:sz w:val="16"/>
          <w:szCs w:val="16"/>
        </w:rPr>
        <w:t>Допросил: ПОМНАЧ. 3 ОТДЕЛЕНИЯ СО ОГПУ РАДЗИВИЛОВСКИЙ</w:t>
      </w:r>
    </w:p>
    <w:p w14:paraId="7DFCBB22" w14:textId="77777777" w:rsidR="00BF0E8A" w:rsidRPr="00507A31" w:rsidRDefault="00BF0E8A" w:rsidP="00507A31">
      <w:pPr>
        <w:jc w:val="both"/>
        <w:rPr>
          <w:color w:val="000000" w:themeColor="text1"/>
          <w:sz w:val="16"/>
          <w:szCs w:val="16"/>
        </w:rPr>
      </w:pPr>
      <w:r w:rsidRPr="00507A31">
        <w:rPr>
          <w:color w:val="000000" w:themeColor="text1"/>
          <w:sz w:val="16"/>
          <w:szCs w:val="16"/>
        </w:rPr>
        <w:t>Желая целиком и полностью разоружиться в преступной деятельности, направленной против советской власти[,] я решил показать следующее:</w:t>
      </w:r>
    </w:p>
    <w:p w14:paraId="63A40E38" w14:textId="77777777" w:rsidR="00BF0E8A" w:rsidRPr="00507A31" w:rsidRDefault="00BF0E8A" w:rsidP="00507A31">
      <w:pPr>
        <w:jc w:val="both"/>
        <w:rPr>
          <w:color w:val="000000" w:themeColor="text1"/>
          <w:sz w:val="16"/>
          <w:szCs w:val="16"/>
        </w:rPr>
      </w:pPr>
      <w:r w:rsidRPr="00507A31">
        <w:rPr>
          <w:color w:val="000000" w:themeColor="text1"/>
          <w:sz w:val="16"/>
          <w:szCs w:val="16"/>
        </w:rPr>
        <w:t>1.  В начале [19]30 г. или в конце 1929 г. я был вовлечен проф. РАМЗИНЫМ в контр-революционную организацию под наименованием «Промышленная партия».</w:t>
      </w:r>
    </w:p>
    <w:p w14:paraId="27C278C0" w14:textId="77777777" w:rsidR="00BF0E8A" w:rsidRPr="00507A31" w:rsidRDefault="00BF0E8A" w:rsidP="00507A31">
      <w:pPr>
        <w:jc w:val="both"/>
        <w:rPr>
          <w:color w:val="000000" w:themeColor="text1"/>
          <w:sz w:val="16"/>
          <w:szCs w:val="16"/>
        </w:rPr>
      </w:pPr>
      <w:r w:rsidRPr="00507A31">
        <w:rPr>
          <w:color w:val="000000" w:themeColor="text1"/>
          <w:sz w:val="16"/>
          <w:szCs w:val="16"/>
        </w:rPr>
        <w:t>2.  Вслед за вовлечением меня в «Промышленную партию» РАМЗИН связал меня с инж. КОЗЛИНСКИМ, как руководителем террористической боевой организации «Промпартии».</w:t>
      </w:r>
    </w:p>
    <w:p w14:paraId="6A9F21A2" w14:textId="77777777" w:rsidR="00BF0E8A" w:rsidRPr="00507A31" w:rsidRDefault="00BF0E8A" w:rsidP="00507A31">
      <w:pPr>
        <w:jc w:val="both"/>
        <w:rPr>
          <w:color w:val="000000" w:themeColor="text1"/>
          <w:sz w:val="16"/>
          <w:szCs w:val="16"/>
        </w:rPr>
      </w:pPr>
      <w:r w:rsidRPr="00507A31">
        <w:rPr>
          <w:color w:val="000000" w:themeColor="text1"/>
          <w:sz w:val="16"/>
          <w:szCs w:val="16"/>
        </w:rPr>
        <w:t>3.  Кроме КОЗЛИНСКОГО и меня в данную террористическую группу входили: ЛИППЕ и НОВИ Валерий. КОЗЛИНСКИЙ обрабатывал и намечал к вовлечению в нашу тергруппу Ал[ексан]дра ДАВИДОВА и МУРОМЦЕВА.</w:t>
      </w:r>
    </w:p>
    <w:p w14:paraId="75DA336B" w14:textId="77777777" w:rsidR="00BF0E8A" w:rsidRPr="00507A31" w:rsidRDefault="00BF0E8A" w:rsidP="00507A31">
      <w:pPr>
        <w:jc w:val="both"/>
        <w:rPr>
          <w:color w:val="000000" w:themeColor="text1"/>
          <w:sz w:val="16"/>
          <w:szCs w:val="16"/>
        </w:rPr>
      </w:pPr>
      <w:r w:rsidRPr="00507A31">
        <w:rPr>
          <w:color w:val="000000" w:themeColor="text1"/>
          <w:sz w:val="16"/>
          <w:szCs w:val="16"/>
        </w:rPr>
        <w:t>4.  Мне было также известно о существовании группы[,] возглавляемой ДАВИДОВЫМ Н. А., по словам которого в состав ее входили:</w:t>
      </w:r>
    </w:p>
    <w:p w14:paraId="4EF37B78" w14:textId="77777777" w:rsidR="00BF0E8A" w:rsidRPr="00507A31" w:rsidRDefault="00BF0E8A" w:rsidP="00507A31">
      <w:pPr>
        <w:jc w:val="both"/>
        <w:rPr>
          <w:color w:val="000000" w:themeColor="text1"/>
          <w:sz w:val="16"/>
          <w:szCs w:val="16"/>
        </w:rPr>
      </w:pPr>
      <w:r w:rsidRPr="00507A31">
        <w:rPr>
          <w:color w:val="000000" w:themeColor="text1"/>
          <w:sz w:val="16"/>
          <w:szCs w:val="16"/>
        </w:rPr>
        <w:t>РУБИНШТЕЙН, МОРОЗОВ и БЕРМАН. Остальных не знаю.</w:t>
      </w:r>
    </w:p>
    <w:p w14:paraId="6DD47E23" w14:textId="77777777" w:rsidR="00BF0E8A" w:rsidRPr="00507A31" w:rsidRDefault="00BF0E8A" w:rsidP="00507A31">
      <w:pPr>
        <w:jc w:val="both"/>
        <w:rPr>
          <w:color w:val="000000" w:themeColor="text1"/>
          <w:sz w:val="16"/>
          <w:szCs w:val="16"/>
        </w:rPr>
      </w:pPr>
      <w:r w:rsidRPr="00507A31">
        <w:rPr>
          <w:color w:val="000000" w:themeColor="text1"/>
          <w:sz w:val="16"/>
          <w:szCs w:val="16"/>
        </w:rPr>
        <w:t>5.  Основной задачей «Промышленной партии» являлось свержение диктатуры пролетариата и установление диктатуры интеллигенции, как переходной ступени к буржуазно-демократической Республики.</w:t>
      </w:r>
    </w:p>
    <w:p w14:paraId="0BF7F2DD" w14:textId="77777777" w:rsidR="00BF0E8A" w:rsidRPr="00507A31" w:rsidRDefault="00BF0E8A" w:rsidP="00507A31">
      <w:pPr>
        <w:jc w:val="both"/>
        <w:rPr>
          <w:color w:val="000000" w:themeColor="text1"/>
          <w:sz w:val="16"/>
          <w:szCs w:val="16"/>
        </w:rPr>
      </w:pPr>
      <w:r w:rsidRPr="00507A31">
        <w:rPr>
          <w:color w:val="000000" w:themeColor="text1"/>
          <w:sz w:val="16"/>
          <w:szCs w:val="16"/>
        </w:rPr>
        <w:t>6.  Свержение пролетарской диктатуры должно было произойти путем контр-революционного переворота внутри СССР и интервенции со стороны капиталистических государств.</w:t>
      </w:r>
    </w:p>
    <w:p w14:paraId="422CBC5C" w14:textId="77777777" w:rsidR="00BF0E8A" w:rsidRPr="00507A31" w:rsidRDefault="00BF0E8A" w:rsidP="00507A31">
      <w:pPr>
        <w:jc w:val="both"/>
        <w:rPr>
          <w:color w:val="000000" w:themeColor="text1"/>
          <w:sz w:val="16"/>
          <w:szCs w:val="16"/>
        </w:rPr>
      </w:pPr>
      <w:r w:rsidRPr="00507A31">
        <w:rPr>
          <w:color w:val="000000" w:themeColor="text1"/>
          <w:sz w:val="16"/>
          <w:szCs w:val="16"/>
        </w:rPr>
        <w:t>7.  Со слов РАМЗИНА мне известно, что «Промышленная партия» имела связи в рядах Красной армии.</w:t>
      </w:r>
    </w:p>
    <w:p w14:paraId="4942F87A" w14:textId="77777777" w:rsidR="00BF0E8A" w:rsidRPr="00507A31" w:rsidRDefault="00BF0E8A" w:rsidP="00507A31">
      <w:pPr>
        <w:jc w:val="both"/>
        <w:rPr>
          <w:color w:val="000000" w:themeColor="text1"/>
          <w:sz w:val="16"/>
          <w:szCs w:val="16"/>
        </w:rPr>
      </w:pPr>
      <w:r w:rsidRPr="00507A31">
        <w:rPr>
          <w:color w:val="000000" w:themeColor="text1"/>
          <w:sz w:val="16"/>
          <w:szCs w:val="16"/>
        </w:rPr>
        <w:t>8.  Из числа членов Центрального комитета «Промышленной партии» мне известен один проф. РАМЗИН.</w:t>
      </w:r>
    </w:p>
    <w:p w14:paraId="29433F1B" w14:textId="77777777" w:rsidR="00BF0E8A" w:rsidRPr="00507A31" w:rsidRDefault="00BF0E8A" w:rsidP="00507A31">
      <w:pPr>
        <w:jc w:val="both"/>
        <w:rPr>
          <w:color w:val="000000" w:themeColor="text1"/>
          <w:sz w:val="16"/>
          <w:szCs w:val="16"/>
        </w:rPr>
      </w:pPr>
      <w:r w:rsidRPr="00507A31">
        <w:rPr>
          <w:color w:val="000000" w:themeColor="text1"/>
          <w:sz w:val="16"/>
          <w:szCs w:val="16"/>
        </w:rPr>
        <w:t>9.  Примерно числа 10-го июня с. г. КОЗЛИНСКИЙ мне сообщил, что по указанию проф. РАМЗИНА, в ближайшем будущем должны быть начаты террористические акты против руководителей партии и советского] правительства.</w:t>
      </w:r>
    </w:p>
    <w:p w14:paraId="13D8C009" w14:textId="77777777" w:rsidR="00BF0E8A" w:rsidRPr="00507A31" w:rsidRDefault="00BF0E8A" w:rsidP="00507A31">
      <w:pPr>
        <w:jc w:val="both"/>
        <w:rPr>
          <w:color w:val="000000" w:themeColor="text1"/>
          <w:sz w:val="16"/>
          <w:szCs w:val="16"/>
        </w:rPr>
      </w:pPr>
      <w:r w:rsidRPr="00507A31">
        <w:rPr>
          <w:color w:val="000000" w:themeColor="text1"/>
          <w:sz w:val="16"/>
          <w:szCs w:val="16"/>
        </w:rPr>
        <w:t>Наша группа должна была совершить террористический акт против ЗАМПРЕД ОГПУ тов. ЯГОДА. Оружие должно было быть получено от КОЗЛИНСКОГО.</w:t>
      </w:r>
    </w:p>
    <w:p w14:paraId="7D4BC8D8" w14:textId="77777777" w:rsidR="00BF0E8A" w:rsidRPr="00507A31" w:rsidRDefault="00BF0E8A" w:rsidP="00507A31">
      <w:pPr>
        <w:jc w:val="both"/>
        <w:rPr>
          <w:color w:val="000000" w:themeColor="text1"/>
          <w:sz w:val="16"/>
          <w:szCs w:val="16"/>
        </w:rPr>
      </w:pPr>
      <w:r w:rsidRPr="00507A31">
        <w:rPr>
          <w:color w:val="000000" w:themeColor="text1"/>
          <w:sz w:val="16"/>
          <w:szCs w:val="16"/>
        </w:rPr>
        <w:t>Через несколько дней после этого в помещении котельной лаборатории Теплотехнического ин[ститу]та, в кабинете КОЗЛИНСКОГО, в присутствии ЛИППЕ и ДАВИДОВА Николая Андреевича нами было получено от КОЗЛИНСКОГО оружие. Я получил «Наган» с семью патронами, ЛИППЕ также получил «Наган», ДАВИДОВ Н. А. получил бомбу и «Браунинг», у КОЗЛИНСКОГО был автоматический револьвер. При вторичном нашем возвращении к зд[анию] ОГПУ я уже также имел у себя бомбу. Эти две бомбы были кустарного происхождения. К моменту совершения намеченного акта у нас на руках было 4 фотокарточки ЗАМПРЕД ОГПУ тов. ЯГОДА. Машина Теплотехнического ин[ститу]та была установлена КОЗЛИНСКИМ около Политехнического Ин[ститу]та.</w:t>
      </w:r>
    </w:p>
    <w:p w14:paraId="5F6513C8" w14:textId="77777777" w:rsidR="00BF0E8A" w:rsidRPr="00507A31" w:rsidRDefault="00BF0E8A" w:rsidP="00507A31">
      <w:pPr>
        <w:jc w:val="both"/>
        <w:rPr>
          <w:color w:val="000000" w:themeColor="text1"/>
          <w:sz w:val="16"/>
          <w:szCs w:val="16"/>
        </w:rPr>
      </w:pPr>
      <w:r w:rsidRPr="00507A31">
        <w:rPr>
          <w:color w:val="000000" w:themeColor="text1"/>
          <w:sz w:val="16"/>
          <w:szCs w:val="16"/>
        </w:rPr>
        <w:t>Насколько я помню ЗАМПРЕД ОГПУ ЯГОДУ мы видели при входе в ОГПУ 2 раза. Мы в это время находились напротив здания ОГПУ.</w:t>
      </w:r>
    </w:p>
    <w:p w14:paraId="43B4CFAD" w14:textId="77777777" w:rsidR="00BF0E8A" w:rsidRPr="00507A31" w:rsidRDefault="00BF0E8A" w:rsidP="00507A31">
      <w:pPr>
        <w:jc w:val="both"/>
        <w:rPr>
          <w:color w:val="000000" w:themeColor="text1"/>
          <w:sz w:val="16"/>
          <w:szCs w:val="16"/>
        </w:rPr>
      </w:pPr>
      <w:r w:rsidRPr="00507A31">
        <w:rPr>
          <w:color w:val="000000" w:themeColor="text1"/>
          <w:sz w:val="16"/>
          <w:szCs w:val="16"/>
        </w:rPr>
        <w:t>Это происходило вечером. Террористический акт не произошел потому, что мы не были уверены точно в том, что это был ЯГОДА. Оружие и бомбы на следующий день были нами сданы КОЗЛИНСКОМУ.</w:t>
      </w:r>
    </w:p>
    <w:p w14:paraId="0A8FE888" w14:textId="77777777" w:rsidR="00BF0E8A" w:rsidRPr="00507A31" w:rsidRDefault="00BF0E8A" w:rsidP="00507A31">
      <w:pPr>
        <w:jc w:val="both"/>
        <w:rPr>
          <w:color w:val="000000" w:themeColor="text1"/>
          <w:sz w:val="16"/>
          <w:szCs w:val="16"/>
        </w:rPr>
      </w:pPr>
      <w:r w:rsidRPr="00507A31">
        <w:rPr>
          <w:color w:val="000000" w:themeColor="text1"/>
          <w:sz w:val="16"/>
          <w:szCs w:val="16"/>
        </w:rPr>
        <w:t>Все детали по данному факту и о всей известной мне контр-революционной деятельности «Промпартии» дам полно и подробно дополнительно.</w:t>
      </w:r>
    </w:p>
    <w:p w14:paraId="4DD86439" w14:textId="77777777" w:rsidR="00BF0E8A" w:rsidRPr="00507A31" w:rsidRDefault="00BF0E8A" w:rsidP="00507A31">
      <w:pPr>
        <w:jc w:val="both"/>
        <w:rPr>
          <w:color w:val="000000" w:themeColor="text1"/>
          <w:sz w:val="16"/>
          <w:szCs w:val="16"/>
        </w:rPr>
      </w:pPr>
      <w:r w:rsidRPr="00507A31">
        <w:rPr>
          <w:color w:val="000000" w:themeColor="text1"/>
          <w:sz w:val="16"/>
          <w:szCs w:val="16"/>
        </w:rPr>
        <w:t>Изложенное верно записано с моих слов и соответствует действительности.</w:t>
      </w:r>
    </w:p>
    <w:p w14:paraId="0189CF1B" w14:textId="77777777" w:rsidR="00BF0E8A" w:rsidRPr="00507A31" w:rsidRDefault="00BF0E8A" w:rsidP="00507A31">
      <w:pPr>
        <w:jc w:val="both"/>
        <w:rPr>
          <w:color w:val="000000" w:themeColor="text1"/>
          <w:sz w:val="16"/>
          <w:szCs w:val="16"/>
        </w:rPr>
      </w:pPr>
      <w:r w:rsidRPr="00507A31">
        <w:rPr>
          <w:color w:val="000000" w:themeColor="text1"/>
          <w:sz w:val="16"/>
          <w:szCs w:val="16"/>
        </w:rPr>
        <w:t>А. МОРОЗ.</w:t>
      </w:r>
    </w:p>
    <w:p w14:paraId="1EDADD9B" w14:textId="77777777" w:rsidR="00BF0E8A" w:rsidRPr="00507A31" w:rsidRDefault="00BF0E8A" w:rsidP="00507A31">
      <w:pPr>
        <w:jc w:val="both"/>
        <w:rPr>
          <w:color w:val="000000" w:themeColor="text1"/>
          <w:sz w:val="16"/>
          <w:szCs w:val="16"/>
        </w:rPr>
      </w:pPr>
      <w:r w:rsidRPr="00507A31">
        <w:rPr>
          <w:color w:val="000000" w:themeColor="text1"/>
          <w:sz w:val="16"/>
          <w:szCs w:val="16"/>
        </w:rPr>
        <w:t>17/Х-30 г.</w:t>
      </w:r>
    </w:p>
    <w:p w14:paraId="4D744FE3" w14:textId="77777777" w:rsidR="00BF0E8A" w:rsidRPr="00507A31" w:rsidRDefault="00BF0E8A" w:rsidP="00507A31">
      <w:pPr>
        <w:jc w:val="both"/>
        <w:rPr>
          <w:color w:val="000000" w:themeColor="text1"/>
          <w:sz w:val="16"/>
          <w:szCs w:val="16"/>
        </w:rPr>
      </w:pPr>
      <w:r w:rsidRPr="00507A31">
        <w:rPr>
          <w:color w:val="000000" w:themeColor="text1"/>
          <w:sz w:val="16"/>
          <w:szCs w:val="16"/>
        </w:rPr>
        <w:t>Допросил: ПОМНАЧ. 3 ОТДЕЛЕНИЯ СО ОГПУ РАДЗИВИЛОВСКИЙ.</w:t>
      </w:r>
    </w:p>
    <w:p w14:paraId="02298EDF" w14:textId="77777777" w:rsidR="00BF0E8A" w:rsidRPr="00507A31" w:rsidRDefault="00BF0E8A" w:rsidP="00507A31">
      <w:pPr>
        <w:jc w:val="both"/>
        <w:rPr>
          <w:color w:val="000000" w:themeColor="text1"/>
          <w:sz w:val="16"/>
          <w:szCs w:val="16"/>
        </w:rPr>
      </w:pPr>
      <w:r w:rsidRPr="00507A31">
        <w:rPr>
          <w:color w:val="000000" w:themeColor="text1"/>
          <w:sz w:val="16"/>
          <w:szCs w:val="16"/>
        </w:rPr>
        <w:t>Д. 354. Л. 137-138. Заверенная машинописная копия того времени. На Л. 137 вверху штамп с вписанными от руки датой «21.Х.1930 г.» и данными о количестве размноженных экземпляров текста (50 экз.), подпись-автограф Хряпкиной. Здесь же штамп о рассылке документе (номер и дата отсутствуют ).</w:t>
      </w:r>
    </w:p>
    <w:p w14:paraId="0F5AC340" w14:textId="77777777" w:rsidR="00BF0E8A" w:rsidRPr="00507A31" w:rsidRDefault="00BF0E8A" w:rsidP="00507A31">
      <w:pPr>
        <w:jc w:val="both"/>
        <w:rPr>
          <w:color w:val="000000" w:themeColor="text1"/>
          <w:sz w:val="16"/>
          <w:szCs w:val="16"/>
        </w:rPr>
      </w:pPr>
      <w:r w:rsidRPr="00507A31">
        <w:rPr>
          <w:color w:val="000000" w:themeColor="text1"/>
          <w:sz w:val="16"/>
          <w:szCs w:val="16"/>
        </w:rPr>
        <w:t>ЦА ФСБ РФ. Ф. Р-42280. Т. 2. Л. 204-205 об. Подлинный протокол допроса, написанный Радзивиловским. Внизу каждого листа заверителъная подпись-автограф А. И. Мороза (18479).</w:t>
      </w:r>
    </w:p>
    <w:p w14:paraId="2801379C" w14:textId="77777777" w:rsidR="00BF0E8A" w:rsidRPr="00507A31" w:rsidRDefault="00BF0E8A" w:rsidP="00507A31">
      <w:pPr>
        <w:jc w:val="both"/>
        <w:rPr>
          <w:color w:val="000000" w:themeColor="text1"/>
          <w:sz w:val="16"/>
          <w:szCs w:val="16"/>
        </w:rPr>
      </w:pPr>
    </w:p>
    <w:p w14:paraId="51BF1F7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C279A49" w14:textId="77777777" w:rsidR="00537E5F" w:rsidRPr="00507A31" w:rsidRDefault="00537E5F" w:rsidP="00507A31">
      <w:pPr>
        <w:autoSpaceDE w:val="0"/>
        <w:autoSpaceDN w:val="0"/>
        <w:adjustRightInd w:val="0"/>
        <w:jc w:val="both"/>
        <w:rPr>
          <w:iCs/>
          <w:color w:val="000000" w:themeColor="text1"/>
          <w:sz w:val="16"/>
          <w:szCs w:val="16"/>
        </w:rPr>
      </w:pPr>
    </w:p>
    <w:p w14:paraId="4DE1D0CD" w14:textId="77777777" w:rsidR="00682230" w:rsidRPr="00507A31" w:rsidRDefault="00682230" w:rsidP="00507A31">
      <w:pPr>
        <w:jc w:val="both"/>
        <w:rPr>
          <w:color w:val="0070C0"/>
          <w:sz w:val="16"/>
          <w:szCs w:val="16"/>
        </w:rPr>
      </w:pPr>
      <w:r w:rsidRPr="00507A31">
        <w:rPr>
          <w:color w:val="0070C0"/>
          <w:sz w:val="16"/>
          <w:szCs w:val="16"/>
        </w:rPr>
        <w:t>21 октября 1930 года — первый полёт лёгкого транспортного самолёта Couzinet 30. /Франция/</w:t>
      </w:r>
    </w:p>
    <w:p w14:paraId="6B142A8D" w14:textId="77777777" w:rsidR="00682230" w:rsidRPr="00507A31" w:rsidRDefault="00682230" w:rsidP="00507A31">
      <w:pPr>
        <w:jc w:val="both"/>
        <w:rPr>
          <w:color w:val="0070C0"/>
          <w:sz w:val="16"/>
          <w:szCs w:val="16"/>
        </w:rPr>
      </w:pPr>
      <w:r w:rsidRPr="00507A31">
        <w:rPr>
          <w:color w:val="0070C0"/>
          <w:sz w:val="16"/>
          <w:szCs w:val="16"/>
        </w:rPr>
        <w:t>В 1928 году конструктор Рене Кузине (Rene Couzinet) спроектировал Couzinet 10 — первый самолёт семейства Arc en ciel («Радуга»). Он предназначался для установления рекорда дальности полёта, но потерпел аварию и был разрушен. Дальнейшим его развитием стал Couzinet 30 для туристических полётов и почтовых перевозок.</w:t>
      </w:r>
    </w:p>
    <w:p w14:paraId="7FB15A81" w14:textId="77777777" w:rsidR="00682230" w:rsidRPr="00507A31" w:rsidRDefault="00682230" w:rsidP="00507A31">
      <w:pPr>
        <w:jc w:val="both"/>
        <w:rPr>
          <w:color w:val="0070C0"/>
          <w:sz w:val="16"/>
          <w:szCs w:val="16"/>
        </w:rPr>
      </w:pPr>
      <w:r w:rsidRPr="00507A31">
        <w:rPr>
          <w:color w:val="0070C0"/>
          <w:sz w:val="16"/>
          <w:szCs w:val="16"/>
        </w:rPr>
        <w:t>Как и его предшественники, Couzinet 30 представлял собой деревянный низкоплан с неубирающимся шасси и оригинальной формой хвостовой части. 3 × двигателя Salmson 9AD позволяли развить скорость до 178 км/ч, дальность полёта — 2000 км. В кабине самолёта размещались 1-2 члена экипажа (пилот и штурман) и 4 пассажира.</w:t>
      </w:r>
    </w:p>
    <w:p w14:paraId="51EA0DA9" w14:textId="77777777" w:rsidR="00682230" w:rsidRPr="00507A31" w:rsidRDefault="00682230" w:rsidP="00507A31">
      <w:pPr>
        <w:jc w:val="both"/>
        <w:rPr>
          <w:color w:val="0070C0"/>
          <w:sz w:val="16"/>
          <w:szCs w:val="16"/>
        </w:rPr>
      </w:pPr>
      <w:r w:rsidRPr="00507A31">
        <w:rPr>
          <w:color w:val="0070C0"/>
          <w:sz w:val="16"/>
          <w:szCs w:val="16"/>
        </w:rPr>
        <w:t>Couzinet 30 показал отличные лётные характеристики и демонстрировался на авиасалоне Ле-Бурже. Но покупателей найти не удалось и в серийное производство самолёт не запустили. Единственный построенный Couzinet 30 использовался лично Рене Кузине до 1935 года (22300).</w:t>
      </w:r>
    </w:p>
    <w:p w14:paraId="1B1ADD8B" w14:textId="77777777" w:rsidR="00682230" w:rsidRPr="00507A31" w:rsidRDefault="00682230" w:rsidP="00507A31">
      <w:pPr>
        <w:pStyle w:val="ae"/>
        <w:shd w:val="clear" w:color="auto" w:fill="FFFFFF"/>
        <w:spacing w:before="0" w:after="0"/>
        <w:jc w:val="both"/>
        <w:rPr>
          <w:color w:val="0070C0"/>
          <w:sz w:val="16"/>
          <w:szCs w:val="16"/>
        </w:rPr>
      </w:pPr>
    </w:p>
    <w:p w14:paraId="0656AB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октября 1930 в результате взрыва на угольной шахте в Ахене в Германии погибло 262 чел. и 25 октября от другого взрыва в Сааре - еще 100 (3907,162).</w:t>
      </w:r>
    </w:p>
    <w:p w14:paraId="460C838C" w14:textId="77777777" w:rsidR="00537E5F" w:rsidRPr="00507A31" w:rsidRDefault="00537E5F" w:rsidP="00507A31">
      <w:pPr>
        <w:autoSpaceDE w:val="0"/>
        <w:autoSpaceDN w:val="0"/>
        <w:adjustRightInd w:val="0"/>
        <w:jc w:val="both"/>
        <w:rPr>
          <w:color w:val="000000" w:themeColor="text1"/>
          <w:sz w:val="16"/>
          <w:szCs w:val="16"/>
        </w:rPr>
      </w:pPr>
    </w:p>
    <w:p w14:paraId="691F5D2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345DCC9" w14:textId="77777777" w:rsidR="00537E5F" w:rsidRPr="00507A31" w:rsidRDefault="00537E5F" w:rsidP="00507A31">
      <w:pPr>
        <w:autoSpaceDE w:val="0"/>
        <w:autoSpaceDN w:val="0"/>
        <w:adjustRightInd w:val="0"/>
        <w:jc w:val="both"/>
        <w:rPr>
          <w:iCs/>
          <w:color w:val="000000" w:themeColor="text1"/>
          <w:sz w:val="16"/>
          <w:szCs w:val="16"/>
        </w:rPr>
      </w:pPr>
    </w:p>
    <w:p w14:paraId="5A3404A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22 октября 1930 года во время испытаний на аэродроме геликоптер ВГ1 потерпел аварию (6925).</w:t>
      </w:r>
    </w:p>
    <w:p w14:paraId="18A266D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94FEB1F" w14:textId="77777777" w:rsidR="00500BF5" w:rsidRPr="00507A31" w:rsidRDefault="00500BF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9FBD3C2" w14:textId="77777777" w:rsidR="00500BF5" w:rsidRPr="00507A31" w:rsidRDefault="00500BF5" w:rsidP="00507A31">
      <w:pPr>
        <w:shd w:val="clear" w:color="auto" w:fill="FFFFFF"/>
        <w:autoSpaceDE w:val="0"/>
        <w:autoSpaceDN w:val="0"/>
        <w:adjustRightInd w:val="0"/>
        <w:jc w:val="both"/>
        <w:rPr>
          <w:iCs/>
          <w:color w:val="000000" w:themeColor="text1"/>
          <w:sz w:val="16"/>
          <w:szCs w:val="16"/>
        </w:rPr>
      </w:pPr>
    </w:p>
    <w:p w14:paraId="4CF7AEF7" w14:textId="77777777" w:rsidR="00500BF5" w:rsidRPr="00507A31" w:rsidRDefault="00500BF5" w:rsidP="00507A31">
      <w:pPr>
        <w:jc w:val="both"/>
        <w:rPr>
          <w:color w:val="000000" w:themeColor="text1"/>
          <w:sz w:val="16"/>
          <w:szCs w:val="16"/>
        </w:rPr>
      </w:pPr>
      <w:r w:rsidRPr="00507A31">
        <w:rPr>
          <w:color w:val="000000" w:themeColor="text1"/>
          <w:sz w:val="16"/>
          <w:szCs w:val="16"/>
        </w:rPr>
        <w:t>22 октября 1930 г.</w:t>
      </w:r>
    </w:p>
    <w:p w14:paraId="55000C60" w14:textId="77777777" w:rsidR="00500BF5" w:rsidRPr="00507A31" w:rsidRDefault="00500BF5" w:rsidP="00507A31">
      <w:pPr>
        <w:jc w:val="both"/>
        <w:rPr>
          <w:color w:val="000000" w:themeColor="text1"/>
          <w:sz w:val="16"/>
          <w:szCs w:val="16"/>
        </w:rPr>
      </w:pPr>
      <w:r w:rsidRPr="00507A31">
        <w:rPr>
          <w:color w:val="000000" w:themeColor="text1"/>
          <w:sz w:val="16"/>
          <w:szCs w:val="16"/>
        </w:rPr>
        <w:t>Записка председателя ОГПУ В. Р. Менжинского И. В. Сталину в связи с отправкой «протоколов допросов по интервенции» подследственных по делу «Промпартии». 22 октября 1930 г.</w:t>
      </w:r>
    </w:p>
    <w:p w14:paraId="7DE7A61F" w14:textId="77777777" w:rsidR="00500BF5" w:rsidRPr="00507A31" w:rsidRDefault="00500BF5" w:rsidP="00507A31">
      <w:pPr>
        <w:jc w:val="both"/>
        <w:rPr>
          <w:color w:val="000000" w:themeColor="text1"/>
          <w:sz w:val="16"/>
          <w:szCs w:val="16"/>
        </w:rPr>
      </w:pPr>
      <w:r w:rsidRPr="00507A31">
        <w:rPr>
          <w:color w:val="000000" w:themeColor="text1"/>
          <w:sz w:val="16"/>
          <w:szCs w:val="16"/>
        </w:rPr>
        <w:lastRenderedPageBreak/>
        <w:t>Источник: </w:t>
      </w:r>
    </w:p>
    <w:p w14:paraId="3ADCFF01" w14:textId="77777777" w:rsidR="00500BF5" w:rsidRPr="00507A31" w:rsidRDefault="00500BF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2F9A10" w14:textId="77777777" w:rsidR="00500BF5" w:rsidRPr="00507A31" w:rsidRDefault="00500BF5" w:rsidP="00507A31">
      <w:pPr>
        <w:jc w:val="both"/>
        <w:rPr>
          <w:color w:val="000000" w:themeColor="text1"/>
          <w:sz w:val="16"/>
          <w:szCs w:val="16"/>
        </w:rPr>
      </w:pPr>
      <w:r w:rsidRPr="00507A31">
        <w:rPr>
          <w:color w:val="000000" w:themeColor="text1"/>
          <w:sz w:val="16"/>
          <w:szCs w:val="16"/>
        </w:rPr>
        <w:t>22 октября 1930 г.</w:t>
      </w:r>
    </w:p>
    <w:p w14:paraId="7C362356" w14:textId="77777777" w:rsidR="00500BF5" w:rsidRPr="00507A31" w:rsidRDefault="00500BF5" w:rsidP="00507A31">
      <w:pPr>
        <w:jc w:val="both"/>
        <w:rPr>
          <w:color w:val="000000" w:themeColor="text1"/>
          <w:sz w:val="16"/>
          <w:szCs w:val="16"/>
        </w:rPr>
      </w:pPr>
      <w:r w:rsidRPr="00507A31">
        <w:rPr>
          <w:color w:val="000000" w:themeColor="text1"/>
          <w:sz w:val="16"/>
          <w:szCs w:val="16"/>
        </w:rPr>
        <w:t>СОВЕРШЕННО СЕКРЕТНО</w:t>
      </w:r>
    </w:p>
    <w:p w14:paraId="43F69E0B" w14:textId="77777777" w:rsidR="00500BF5" w:rsidRPr="00507A31" w:rsidRDefault="00500BF5" w:rsidP="00507A31">
      <w:pPr>
        <w:jc w:val="both"/>
        <w:rPr>
          <w:color w:val="000000" w:themeColor="text1"/>
          <w:sz w:val="16"/>
          <w:szCs w:val="16"/>
        </w:rPr>
      </w:pPr>
      <w:r w:rsidRPr="00507A31">
        <w:rPr>
          <w:color w:val="000000" w:themeColor="text1"/>
          <w:sz w:val="16"/>
          <w:szCs w:val="16"/>
        </w:rPr>
        <w:t>СЕКРЕТАРЮ ЦК ВКП(б)</w:t>
      </w:r>
    </w:p>
    <w:p w14:paraId="6719D2F3" w14:textId="77777777" w:rsidR="00500BF5" w:rsidRPr="00507A31" w:rsidRDefault="00500BF5" w:rsidP="00507A31">
      <w:pPr>
        <w:jc w:val="both"/>
        <w:rPr>
          <w:color w:val="000000" w:themeColor="text1"/>
          <w:sz w:val="16"/>
          <w:szCs w:val="16"/>
        </w:rPr>
      </w:pPr>
      <w:r w:rsidRPr="00507A31">
        <w:rPr>
          <w:color w:val="000000" w:themeColor="text1"/>
          <w:sz w:val="16"/>
          <w:szCs w:val="16"/>
        </w:rPr>
        <w:t>тов. СТАЛИНУ.</w:t>
      </w:r>
    </w:p>
    <w:p w14:paraId="64BEB501" w14:textId="77777777" w:rsidR="00500BF5" w:rsidRPr="00507A31" w:rsidRDefault="00500BF5" w:rsidP="00507A31">
      <w:pPr>
        <w:jc w:val="both"/>
        <w:rPr>
          <w:color w:val="000000" w:themeColor="text1"/>
          <w:sz w:val="16"/>
          <w:szCs w:val="16"/>
        </w:rPr>
      </w:pPr>
      <w:r w:rsidRPr="00507A31">
        <w:rPr>
          <w:color w:val="000000" w:themeColor="text1"/>
          <w:sz w:val="16"/>
          <w:szCs w:val="16"/>
        </w:rPr>
        <w:t>При сем препровождаю протоколы допросов по интервенции:</w:t>
      </w:r>
    </w:p>
    <w:p w14:paraId="0332C374" w14:textId="77777777" w:rsidR="00500BF5" w:rsidRPr="00507A31" w:rsidRDefault="00500BF5" w:rsidP="00507A31">
      <w:pPr>
        <w:jc w:val="both"/>
        <w:rPr>
          <w:color w:val="000000" w:themeColor="text1"/>
          <w:sz w:val="16"/>
          <w:szCs w:val="16"/>
        </w:rPr>
      </w:pPr>
      <w:r w:rsidRPr="00507A31">
        <w:rPr>
          <w:color w:val="000000" w:themeColor="text1"/>
          <w:sz w:val="16"/>
          <w:szCs w:val="16"/>
        </w:rPr>
        <w:t>СИТНИНА К. В. от 18/Х-30 г.</w:t>
      </w:r>
    </w:p>
    <w:p w14:paraId="4D80F5AF" w14:textId="77777777" w:rsidR="00500BF5" w:rsidRPr="00507A31" w:rsidRDefault="00500BF5" w:rsidP="00507A31">
      <w:pPr>
        <w:jc w:val="both"/>
        <w:rPr>
          <w:color w:val="000000" w:themeColor="text1"/>
          <w:sz w:val="16"/>
          <w:szCs w:val="16"/>
        </w:rPr>
      </w:pPr>
      <w:r w:rsidRPr="00507A31">
        <w:rPr>
          <w:color w:val="000000" w:themeColor="text1"/>
          <w:sz w:val="16"/>
          <w:szCs w:val="16"/>
        </w:rPr>
        <w:t>ДЕРЖАВИНА А. Н. от 18/Х-30 г.</w:t>
      </w:r>
    </w:p>
    <w:p w14:paraId="675E0B6C" w14:textId="77777777" w:rsidR="00500BF5" w:rsidRPr="00507A31" w:rsidRDefault="00500BF5" w:rsidP="00507A31">
      <w:pPr>
        <w:jc w:val="both"/>
        <w:rPr>
          <w:color w:val="000000" w:themeColor="text1"/>
          <w:sz w:val="16"/>
          <w:szCs w:val="16"/>
        </w:rPr>
      </w:pPr>
      <w:r w:rsidRPr="00507A31">
        <w:rPr>
          <w:color w:val="000000" w:themeColor="text1"/>
          <w:sz w:val="16"/>
          <w:szCs w:val="16"/>
        </w:rPr>
        <w:t>НОЛЬДЕ А. А. от 18/Х-30 г.</w:t>
      </w:r>
    </w:p>
    <w:p w14:paraId="1DE91EB4" w14:textId="77777777" w:rsidR="00500BF5" w:rsidRPr="00507A31" w:rsidRDefault="00500BF5" w:rsidP="00507A31">
      <w:pPr>
        <w:jc w:val="both"/>
        <w:rPr>
          <w:color w:val="000000" w:themeColor="text1"/>
          <w:sz w:val="16"/>
          <w:szCs w:val="16"/>
        </w:rPr>
      </w:pPr>
      <w:r w:rsidRPr="00507A31">
        <w:rPr>
          <w:color w:val="000000" w:themeColor="text1"/>
          <w:sz w:val="16"/>
          <w:szCs w:val="16"/>
        </w:rPr>
        <w:t>СЕРАЦИНСКОГО В. К. от 17/Х-30 г. и 18/Х-30 г.</w:t>
      </w:r>
    </w:p>
    <w:p w14:paraId="134BAB85" w14:textId="77777777" w:rsidR="00500BF5" w:rsidRPr="00507A31" w:rsidRDefault="00500BF5" w:rsidP="00507A31">
      <w:pPr>
        <w:jc w:val="both"/>
        <w:rPr>
          <w:color w:val="000000" w:themeColor="text1"/>
          <w:sz w:val="16"/>
          <w:szCs w:val="16"/>
        </w:rPr>
      </w:pPr>
      <w:r w:rsidRPr="00507A31">
        <w:rPr>
          <w:color w:val="000000" w:themeColor="text1"/>
          <w:sz w:val="16"/>
          <w:szCs w:val="16"/>
        </w:rPr>
        <w:t>ПРОЗОРОВА А. А. от 18/Х-30 г.</w:t>
      </w:r>
    </w:p>
    <w:p w14:paraId="58FFD5C5" w14:textId="77777777" w:rsidR="00500BF5" w:rsidRPr="00507A31" w:rsidRDefault="00500BF5" w:rsidP="00507A31">
      <w:pPr>
        <w:jc w:val="both"/>
        <w:rPr>
          <w:color w:val="000000" w:themeColor="text1"/>
          <w:sz w:val="16"/>
          <w:szCs w:val="16"/>
        </w:rPr>
      </w:pPr>
      <w:r w:rsidRPr="00507A31">
        <w:rPr>
          <w:color w:val="000000" w:themeColor="text1"/>
          <w:sz w:val="16"/>
          <w:szCs w:val="16"/>
        </w:rPr>
        <w:t>СКОРНЯКОВА Е. Е. от 18/Х-30 г.</w:t>
      </w:r>
    </w:p>
    <w:p w14:paraId="69B8D934" w14:textId="77777777" w:rsidR="00500BF5" w:rsidRPr="00507A31" w:rsidRDefault="00500BF5" w:rsidP="00507A31">
      <w:pPr>
        <w:jc w:val="both"/>
        <w:rPr>
          <w:color w:val="000000" w:themeColor="text1"/>
          <w:sz w:val="16"/>
          <w:szCs w:val="16"/>
        </w:rPr>
      </w:pPr>
      <w:r w:rsidRPr="00507A31">
        <w:rPr>
          <w:color w:val="000000" w:themeColor="text1"/>
          <w:sz w:val="16"/>
          <w:szCs w:val="16"/>
        </w:rPr>
        <w:t>ОЧКИНА В. И. от 19/Х-30 г. и 20/Х-30 г.</w:t>
      </w:r>
    </w:p>
    <w:p w14:paraId="73719CA5" w14:textId="77777777" w:rsidR="00500BF5" w:rsidRPr="00507A31" w:rsidRDefault="00500BF5" w:rsidP="00507A31">
      <w:pPr>
        <w:jc w:val="both"/>
        <w:rPr>
          <w:color w:val="000000" w:themeColor="text1"/>
          <w:sz w:val="16"/>
          <w:szCs w:val="16"/>
        </w:rPr>
      </w:pPr>
      <w:r w:rsidRPr="00507A31">
        <w:rPr>
          <w:color w:val="000000" w:themeColor="text1"/>
          <w:sz w:val="16"/>
          <w:szCs w:val="16"/>
        </w:rPr>
        <w:t>ФЕДОТОВА А. А. от 20/Х и 21/Х-30 г.</w:t>
      </w:r>
    </w:p>
    <w:p w14:paraId="68935056" w14:textId="77777777" w:rsidR="00500BF5" w:rsidRPr="00507A31" w:rsidRDefault="00500BF5" w:rsidP="00507A31">
      <w:pPr>
        <w:jc w:val="both"/>
        <w:rPr>
          <w:color w:val="000000" w:themeColor="text1"/>
          <w:sz w:val="16"/>
          <w:szCs w:val="16"/>
        </w:rPr>
      </w:pPr>
      <w:r w:rsidRPr="00507A31">
        <w:rPr>
          <w:color w:val="000000" w:themeColor="text1"/>
          <w:sz w:val="16"/>
          <w:szCs w:val="16"/>
        </w:rPr>
        <w:t>ПРЕДСЕДАТЕЛЬ ОГПУ Менжинский</w:t>
      </w:r>
    </w:p>
    <w:p w14:paraId="767DF0BE" w14:textId="77777777" w:rsidR="00500BF5" w:rsidRPr="00507A31" w:rsidRDefault="00500BF5" w:rsidP="00507A31">
      <w:pPr>
        <w:jc w:val="both"/>
        <w:rPr>
          <w:color w:val="000000" w:themeColor="text1"/>
          <w:sz w:val="16"/>
          <w:szCs w:val="16"/>
        </w:rPr>
      </w:pPr>
      <w:r w:rsidRPr="00507A31">
        <w:rPr>
          <w:color w:val="000000" w:themeColor="text1"/>
          <w:sz w:val="16"/>
          <w:szCs w:val="16"/>
        </w:rPr>
        <w:t>Д. 354. Л. 143. Машинописный подлинник на бланке ОГПУ при СНК СССР, подпись — автограф. В угловой штамп бланка впечатана дата (число от руки), вписан от руки номер документа. Гриф секретности машинописью. Вверху — штамп делопроизводства ЦК ВКП(б) с вписанными от руки данными о количестве размноженных экземпляров (50 экз.) и датой «23.X.1930 г.», подпись-автограф Суховой. Рядом штамп о рассылке документов (протоколов допросов) с вписанными от руки номером (№ П968) и датой (23.X.1930 г.) (18477).</w:t>
      </w:r>
    </w:p>
    <w:p w14:paraId="5889B2BE" w14:textId="77777777" w:rsidR="00500BF5" w:rsidRPr="00507A31" w:rsidRDefault="00500BF5" w:rsidP="00507A31">
      <w:pPr>
        <w:jc w:val="both"/>
        <w:rPr>
          <w:color w:val="000000" w:themeColor="text1"/>
          <w:sz w:val="16"/>
          <w:szCs w:val="16"/>
        </w:rPr>
      </w:pPr>
    </w:p>
    <w:p w14:paraId="65503B30" w14:textId="77777777" w:rsidR="00F96E5F" w:rsidRPr="00507A31" w:rsidRDefault="00F96E5F"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1FB7E52" w14:textId="77777777" w:rsidR="00F96E5F" w:rsidRPr="00507A31" w:rsidRDefault="00F96E5F" w:rsidP="00507A31">
      <w:pPr>
        <w:autoSpaceDE w:val="0"/>
        <w:autoSpaceDN w:val="0"/>
        <w:adjustRightInd w:val="0"/>
        <w:jc w:val="both"/>
        <w:rPr>
          <w:iCs/>
          <w:color w:val="000000" w:themeColor="text1"/>
          <w:sz w:val="16"/>
          <w:szCs w:val="16"/>
        </w:rPr>
      </w:pPr>
    </w:p>
    <w:p w14:paraId="3A4127E9" w14:textId="77777777" w:rsidR="00F96E5F" w:rsidRPr="00507A31" w:rsidRDefault="00F96E5F" w:rsidP="00507A31">
      <w:pPr>
        <w:jc w:val="both"/>
        <w:rPr>
          <w:color w:val="0070C0"/>
          <w:sz w:val="16"/>
          <w:szCs w:val="16"/>
        </w:rPr>
      </w:pPr>
      <w:r w:rsidRPr="00507A31">
        <w:rPr>
          <w:color w:val="0070C0"/>
          <w:sz w:val="16"/>
          <w:szCs w:val="16"/>
        </w:rPr>
        <w:t>22 октября 1930 первый полет Fairchild 100 (20805).</w:t>
      </w:r>
    </w:p>
    <w:p w14:paraId="70A4F10E" w14:textId="77777777" w:rsidR="00F96E5F" w:rsidRPr="00507A31" w:rsidRDefault="00F96E5F" w:rsidP="00507A31">
      <w:pPr>
        <w:jc w:val="both"/>
        <w:rPr>
          <w:color w:val="0070C0"/>
          <w:sz w:val="16"/>
          <w:szCs w:val="16"/>
        </w:rPr>
      </w:pPr>
    </w:p>
    <w:p w14:paraId="02C09702" w14:textId="77777777" w:rsidR="00F96E5F" w:rsidRPr="00507A31" w:rsidRDefault="00F96E5F" w:rsidP="00507A31">
      <w:pPr>
        <w:jc w:val="both"/>
        <w:rPr>
          <w:color w:val="0070C0"/>
          <w:sz w:val="16"/>
          <w:szCs w:val="16"/>
        </w:rPr>
      </w:pPr>
      <w:r w:rsidRPr="00507A31">
        <w:rPr>
          <w:color w:val="0070C0"/>
          <w:sz w:val="16"/>
          <w:szCs w:val="16"/>
        </w:rPr>
        <w:t>22 октября 1930 года — первый полёт пассажирского самолёта Fairchild 100 Pilgrim. /США/</w:t>
      </w:r>
    </w:p>
    <w:p w14:paraId="316DD103" w14:textId="77777777" w:rsidR="00F96E5F" w:rsidRPr="00507A31" w:rsidRDefault="00F96E5F" w:rsidP="00507A31">
      <w:pPr>
        <w:jc w:val="both"/>
        <w:rPr>
          <w:color w:val="0070C0"/>
          <w:sz w:val="16"/>
          <w:szCs w:val="16"/>
        </w:rPr>
      </w:pPr>
      <w:r w:rsidRPr="00507A31">
        <w:rPr>
          <w:color w:val="0070C0"/>
          <w:sz w:val="16"/>
          <w:szCs w:val="16"/>
        </w:rPr>
        <w:t>Шерман Фэрчайлд, основатель компании Fairchild Aircraft, считал, что для самолёта главное практичность и эффективность, а не изящный внешний вид. Не стал исключением и небольшой авиалайнер Fairchild 100 Pilgrim, спроектированный конструктором Вирджиниусом Кларком на базе модели Fairchild 71.</w:t>
      </w:r>
    </w:p>
    <w:p w14:paraId="5CF83D27" w14:textId="77777777" w:rsidR="00F96E5F" w:rsidRPr="00507A31" w:rsidRDefault="00F96E5F" w:rsidP="00507A31">
      <w:pPr>
        <w:jc w:val="both"/>
        <w:rPr>
          <w:color w:val="0070C0"/>
          <w:sz w:val="16"/>
          <w:szCs w:val="16"/>
        </w:rPr>
      </w:pPr>
      <w:r w:rsidRPr="00507A31">
        <w:rPr>
          <w:color w:val="0070C0"/>
          <w:sz w:val="16"/>
          <w:szCs w:val="16"/>
        </w:rPr>
        <w:t>Pilgrim был подкосным высокопланом с неубирающимся шасси. На уровне крыла находилась кабина пилота, а в пассажирском салоне могло разместиться до 9 пассажиров. Устанавливался двигатель Wright R-1820-1 Cyclone. Максимальная скорость — до 217 км/ч, дальность полёта — 821 км.</w:t>
      </w:r>
    </w:p>
    <w:p w14:paraId="3A4EE293" w14:textId="77777777" w:rsidR="00F96E5F" w:rsidRPr="00507A31" w:rsidRDefault="00F96E5F" w:rsidP="00507A31">
      <w:pPr>
        <w:jc w:val="both"/>
        <w:rPr>
          <w:color w:val="0070C0"/>
          <w:sz w:val="16"/>
          <w:szCs w:val="16"/>
        </w:rPr>
      </w:pPr>
      <w:r w:rsidRPr="00507A31">
        <w:rPr>
          <w:color w:val="0070C0"/>
          <w:sz w:val="16"/>
          <w:szCs w:val="16"/>
        </w:rPr>
        <w:t>Всего было выпущено 27 самолётов Fairchild 100 Pilgrim всех модификаций. Они эксплуатировались авиакомпанией American Airways, ВВС США и другими владельцами (в основном в труднодоступной местности). На сегодня в мире сохранился 1 экземпляр Piligrim в лётном состоянии. Он находится в Авиационном музее Аляски (22300).</w:t>
      </w:r>
    </w:p>
    <w:p w14:paraId="7F570055" w14:textId="77777777" w:rsidR="00F96E5F" w:rsidRPr="00507A31" w:rsidRDefault="00F96E5F" w:rsidP="00507A31">
      <w:pPr>
        <w:jc w:val="both"/>
        <w:rPr>
          <w:color w:val="0070C0"/>
          <w:sz w:val="16"/>
          <w:szCs w:val="16"/>
        </w:rPr>
      </w:pPr>
    </w:p>
    <w:p w14:paraId="359AF77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5148545" w14:textId="77777777" w:rsidR="00537E5F" w:rsidRPr="00507A31" w:rsidRDefault="00537E5F" w:rsidP="00507A31">
      <w:pPr>
        <w:autoSpaceDE w:val="0"/>
        <w:autoSpaceDN w:val="0"/>
        <w:adjustRightInd w:val="0"/>
        <w:jc w:val="both"/>
        <w:rPr>
          <w:iCs/>
          <w:color w:val="000000" w:themeColor="text1"/>
          <w:sz w:val="16"/>
          <w:szCs w:val="16"/>
        </w:rPr>
      </w:pPr>
    </w:p>
    <w:p w14:paraId="4F4977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октября 1930 при стрельбе на земле из АПК-1 с Р-ЗЛД "особого назначения", который в НИИ ВВС вооружили 76-мм динамореактивной (безоткатной) пушкой (ДРП) АПК-1 конструкции Курчевского, опять получила сильные повреждения. Из НИИ ВВС сообщили в УВВС: "Самолет разрушен".</w:t>
      </w:r>
    </w:p>
    <w:p w14:paraId="507145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247D17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6DFD88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32643EB5" w14:textId="77777777" w:rsidR="00537E5F" w:rsidRPr="00507A31" w:rsidRDefault="00537E5F" w:rsidP="00507A31">
      <w:pPr>
        <w:autoSpaceDE w:val="0"/>
        <w:autoSpaceDN w:val="0"/>
        <w:adjustRightInd w:val="0"/>
        <w:jc w:val="both"/>
        <w:rPr>
          <w:color w:val="000000" w:themeColor="text1"/>
          <w:sz w:val="16"/>
          <w:szCs w:val="16"/>
        </w:rPr>
      </w:pPr>
    </w:p>
    <w:p w14:paraId="4AC67C2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B9581D7" w14:textId="77777777" w:rsidR="00537E5F" w:rsidRPr="00507A31" w:rsidRDefault="00537E5F" w:rsidP="00507A31">
      <w:pPr>
        <w:autoSpaceDE w:val="0"/>
        <w:autoSpaceDN w:val="0"/>
        <w:adjustRightInd w:val="0"/>
        <w:jc w:val="both"/>
        <w:rPr>
          <w:iCs/>
          <w:color w:val="000000" w:themeColor="text1"/>
          <w:sz w:val="16"/>
          <w:szCs w:val="16"/>
        </w:rPr>
      </w:pPr>
    </w:p>
    <w:p w14:paraId="71A2EC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 октября 1930 г. вышел ПРИКАЗ УММ О РАЗРАБОТКЕ НОМЕНКЛАТУРЫ ИМУЩЕСТВА УПРАВЛЕНИЯ №110</w:t>
      </w:r>
    </w:p>
    <w:p w14:paraId="124E10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57D1EE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основании приказа РВС СССР № 60' 1929 года и Постановления РВС СССР от 11 декабря 1929 года Приказываю:</w:t>
      </w:r>
    </w:p>
    <w:p w14:paraId="2BC96E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Всем отделам ТУ совместно с НТК УММ немедленно приступить к разработке номенклатуры имущества УММ, руководствуясь специальной инструкцией.</w:t>
      </w:r>
    </w:p>
    <w:p w14:paraId="69AB4A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Разработанная номенклатура должна охватывать все имущество УММ, фактически состоящее на снабжении в настоящее время, а также и имущество новых уже принятых образцов.</w:t>
      </w:r>
    </w:p>
    <w:p w14:paraId="6B601A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Каждый отдел составляет частную номенклатуру по имуществу, относящемуся к его ведению, после чего НТК составляет общую номенклатуру имущества УММ.</w:t>
      </w:r>
    </w:p>
    <w:p w14:paraId="60F1A7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Общее руководство и разрешение всех вопросов при разработке номенклатур отделами, воз</w:t>
      </w:r>
      <w:r w:rsidRPr="00507A31">
        <w:rPr>
          <w:color w:val="000000" w:themeColor="text1"/>
          <w:sz w:val="16"/>
          <w:szCs w:val="16"/>
        </w:rPr>
        <w:softHyphen/>
        <w:t>лагаю на председателя [...] секции НТК т. Власова.</w:t>
      </w:r>
    </w:p>
    <w:p w14:paraId="31A2A9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Ответственность за своевременное составление частных номенклатур возлагаю на начальников отделов по принадлежности; ответственность за составление общей номенклатуры на председателя статсекции НТК УММ т. Власова.</w:t>
      </w:r>
    </w:p>
    <w:p w14:paraId="485D4A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Всю работу закончить к 1 января 1931 года.</w:t>
      </w:r>
    </w:p>
    <w:p w14:paraId="3DEFB3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начальника Управления по механизации и моторизации РККА Бокис</w:t>
      </w:r>
    </w:p>
    <w:p w14:paraId="2FC499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РГВА.Ф. 31811. Оп. 1.Д. 17. Л. 105. Подлинник (11210).</w:t>
      </w:r>
    </w:p>
    <w:p w14:paraId="244833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0E20673" w14:textId="77777777" w:rsidR="00CE5133" w:rsidRPr="00507A31" w:rsidRDefault="00CE5133"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A1E1D1A" w14:textId="77777777" w:rsidR="00CE5133" w:rsidRPr="00507A31" w:rsidRDefault="00CE5133" w:rsidP="00507A31">
      <w:pPr>
        <w:shd w:val="clear" w:color="auto" w:fill="FFFFFF"/>
        <w:autoSpaceDE w:val="0"/>
        <w:autoSpaceDN w:val="0"/>
        <w:adjustRightInd w:val="0"/>
        <w:jc w:val="both"/>
        <w:rPr>
          <w:iCs/>
          <w:color w:val="000000" w:themeColor="text1"/>
          <w:sz w:val="16"/>
          <w:szCs w:val="16"/>
        </w:rPr>
      </w:pPr>
    </w:p>
    <w:p w14:paraId="704F588B"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2F04B9AB" w14:textId="77777777" w:rsidR="00CE5133" w:rsidRPr="00507A31" w:rsidRDefault="00CE5133" w:rsidP="00507A31">
      <w:pPr>
        <w:jc w:val="both"/>
        <w:rPr>
          <w:color w:val="000000" w:themeColor="text1"/>
          <w:sz w:val="16"/>
          <w:szCs w:val="16"/>
        </w:rPr>
      </w:pPr>
      <w:r w:rsidRPr="00507A31">
        <w:rPr>
          <w:color w:val="000000" w:themeColor="text1"/>
          <w:sz w:val="16"/>
          <w:szCs w:val="16"/>
        </w:rPr>
        <w:t>Сопроводительное письмо № П968 о рассылке членам и кандидатам Политбюро и членам Президиума ЦКК ВКП(б) показаний подследственных по делу «Промпартии» по вопросу «об интервенции». 23 октября 1930 г.</w:t>
      </w:r>
    </w:p>
    <w:p w14:paraId="6353A19F" w14:textId="77777777" w:rsidR="00CE5133" w:rsidRPr="00507A31" w:rsidRDefault="00CE5133" w:rsidP="00507A31">
      <w:pPr>
        <w:jc w:val="both"/>
        <w:rPr>
          <w:color w:val="000000" w:themeColor="text1"/>
          <w:sz w:val="16"/>
          <w:szCs w:val="16"/>
        </w:rPr>
      </w:pPr>
      <w:r w:rsidRPr="00507A31">
        <w:rPr>
          <w:color w:val="000000" w:themeColor="text1"/>
          <w:sz w:val="16"/>
          <w:szCs w:val="16"/>
        </w:rPr>
        <w:t>Источник: </w:t>
      </w:r>
    </w:p>
    <w:p w14:paraId="1A6C3C10" w14:textId="77777777" w:rsidR="00CE5133" w:rsidRPr="00507A31" w:rsidRDefault="00CE513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548E97C" w14:textId="77777777" w:rsidR="00CE5133" w:rsidRPr="00507A31" w:rsidRDefault="00CE5133" w:rsidP="00507A31">
      <w:pPr>
        <w:jc w:val="both"/>
        <w:rPr>
          <w:color w:val="000000" w:themeColor="text1"/>
          <w:sz w:val="16"/>
          <w:szCs w:val="16"/>
        </w:rPr>
      </w:pPr>
      <w:r w:rsidRPr="00507A31">
        <w:rPr>
          <w:color w:val="000000" w:themeColor="text1"/>
          <w:sz w:val="16"/>
          <w:szCs w:val="16"/>
        </w:rPr>
        <w:t>от 23 октября 1930 г.</w:t>
      </w:r>
    </w:p>
    <w:p w14:paraId="19321251" w14:textId="77777777" w:rsidR="00CE5133" w:rsidRPr="00507A31" w:rsidRDefault="00CE5133" w:rsidP="00507A31">
      <w:pPr>
        <w:jc w:val="both"/>
        <w:rPr>
          <w:color w:val="000000" w:themeColor="text1"/>
          <w:sz w:val="16"/>
          <w:szCs w:val="16"/>
        </w:rPr>
      </w:pPr>
      <w:r w:rsidRPr="00507A31">
        <w:rPr>
          <w:color w:val="000000" w:themeColor="text1"/>
          <w:sz w:val="16"/>
          <w:szCs w:val="16"/>
        </w:rPr>
        <w:t>СТРОГО СЕКРЕТНО</w:t>
      </w:r>
    </w:p>
    <w:p w14:paraId="30F55FDB" w14:textId="77777777" w:rsidR="00CE5133" w:rsidRPr="00507A31" w:rsidRDefault="00CE5133" w:rsidP="00507A31">
      <w:pPr>
        <w:jc w:val="both"/>
        <w:rPr>
          <w:color w:val="000000" w:themeColor="text1"/>
          <w:sz w:val="16"/>
          <w:szCs w:val="16"/>
        </w:rPr>
      </w:pPr>
      <w:r w:rsidRPr="00507A31">
        <w:rPr>
          <w:color w:val="000000" w:themeColor="text1"/>
          <w:sz w:val="16"/>
          <w:szCs w:val="16"/>
        </w:rPr>
        <w:t>ЧЛЕНАМ И КАНДИДАТАМ ПОЛИТБЮРО: т.т. Андрееву, Ворошилову, Кагановичу, Калинину, Кирову, Косиору Ст., Куйбышеву, Микояну, Молотову, Петровскому, Рудзутаку, Рыкову, Сталину, Сырцову, Чубарю.</w:t>
      </w:r>
    </w:p>
    <w:p w14:paraId="506B1166" w14:textId="77777777" w:rsidR="00CE5133" w:rsidRPr="00507A31" w:rsidRDefault="00CE5133" w:rsidP="00507A31">
      <w:pPr>
        <w:jc w:val="both"/>
        <w:rPr>
          <w:color w:val="000000" w:themeColor="text1"/>
          <w:sz w:val="16"/>
          <w:szCs w:val="16"/>
        </w:rPr>
      </w:pPr>
      <w:r w:rsidRPr="00507A31">
        <w:rPr>
          <w:color w:val="000000" w:themeColor="text1"/>
          <w:sz w:val="16"/>
          <w:szCs w:val="16"/>
        </w:rPr>
        <w:t>ЧЛЕНАМ ПРЕЗИДИУМА ЦКК: т.т. Акулову, Ильину, Орджоникидзе, Павлуновскому, Розенгольцу, Сольцу, Шкирятову, Янсону, Ярославскому.</w:t>
      </w:r>
    </w:p>
    <w:p w14:paraId="368762C7" w14:textId="77777777" w:rsidR="00CE5133" w:rsidRPr="00507A31" w:rsidRDefault="00CE5133" w:rsidP="00507A31">
      <w:pPr>
        <w:jc w:val="both"/>
        <w:rPr>
          <w:color w:val="000000" w:themeColor="text1"/>
          <w:sz w:val="16"/>
          <w:szCs w:val="16"/>
        </w:rPr>
      </w:pPr>
      <w:r w:rsidRPr="00507A31">
        <w:rPr>
          <w:color w:val="000000" w:themeColor="text1"/>
          <w:sz w:val="16"/>
          <w:szCs w:val="16"/>
        </w:rPr>
        <w:t>СЕКРЕТАРЯМ ЦК: т.т. Бауману, Постышеву.</w:t>
      </w:r>
    </w:p>
    <w:p w14:paraId="02E53547" w14:textId="77777777" w:rsidR="00CE5133" w:rsidRPr="00507A31" w:rsidRDefault="00CE5133" w:rsidP="00507A31">
      <w:pPr>
        <w:jc w:val="both"/>
        <w:rPr>
          <w:color w:val="000000" w:themeColor="text1"/>
          <w:sz w:val="16"/>
          <w:szCs w:val="16"/>
        </w:rPr>
      </w:pPr>
      <w:r w:rsidRPr="00507A31">
        <w:rPr>
          <w:color w:val="000000" w:themeColor="text1"/>
          <w:sz w:val="16"/>
          <w:szCs w:val="16"/>
        </w:rPr>
        <w:t>По поручению т. Сталина посылаются Вам для сведения показания Ситнина от 18.Х., Державина от 18.Х., Нольде от 18.Х., Серацинского от 17 и 18.Х., Прозорова от 18.Х., Скорнякова от 18.Х., Очкина от 19.Х. и 20.Х. и Федотова от 21 и 21.Х.30 г. — об интервенции.</w:t>
      </w:r>
    </w:p>
    <w:p w14:paraId="2E399520" w14:textId="77777777" w:rsidR="00CE5133" w:rsidRPr="00507A31" w:rsidRDefault="00CE5133" w:rsidP="00507A31">
      <w:pPr>
        <w:jc w:val="both"/>
        <w:rPr>
          <w:color w:val="000000" w:themeColor="text1"/>
          <w:sz w:val="16"/>
          <w:szCs w:val="16"/>
        </w:rPr>
      </w:pPr>
      <w:r w:rsidRPr="00507A31">
        <w:rPr>
          <w:color w:val="000000" w:themeColor="text1"/>
          <w:sz w:val="16"/>
          <w:szCs w:val="16"/>
        </w:rPr>
        <w:t>ПРИЛОЖЕНИЕ: экз. № на 25 листах.</w:t>
      </w:r>
    </w:p>
    <w:p w14:paraId="721AA62B" w14:textId="77777777" w:rsidR="00CE5133" w:rsidRPr="00507A31" w:rsidRDefault="00CE5133" w:rsidP="00507A31">
      <w:pPr>
        <w:jc w:val="both"/>
        <w:rPr>
          <w:color w:val="000000" w:themeColor="text1"/>
          <w:sz w:val="16"/>
          <w:szCs w:val="16"/>
        </w:rPr>
      </w:pPr>
      <w:r w:rsidRPr="00507A31">
        <w:rPr>
          <w:color w:val="000000" w:themeColor="text1"/>
          <w:sz w:val="16"/>
          <w:szCs w:val="16"/>
        </w:rPr>
        <w:t>Зам. зав. С.О. ЦК Б. Двинский</w:t>
      </w:r>
    </w:p>
    <w:p w14:paraId="0365C3A6" w14:textId="77777777" w:rsidR="00CE5133" w:rsidRPr="00507A31" w:rsidRDefault="00CE5133" w:rsidP="00507A31">
      <w:pPr>
        <w:jc w:val="both"/>
        <w:rPr>
          <w:color w:val="000000" w:themeColor="text1"/>
          <w:sz w:val="16"/>
          <w:szCs w:val="16"/>
        </w:rPr>
      </w:pPr>
      <w:r w:rsidRPr="00507A31">
        <w:rPr>
          <w:color w:val="000000" w:themeColor="text1"/>
          <w:sz w:val="16"/>
          <w:szCs w:val="16"/>
        </w:rPr>
        <w:t>Д. 354. Л. 142. Машинописный отпуск на бланке ЦК ВКП(б), подпись Двинского факсимиле. Вверху справа рукописная помета: «Текущ[ее] дело» (18480).</w:t>
      </w:r>
    </w:p>
    <w:p w14:paraId="720F6CE0" w14:textId="77777777" w:rsidR="00CE5133" w:rsidRPr="00507A31" w:rsidRDefault="00CE5133" w:rsidP="00507A31">
      <w:pPr>
        <w:jc w:val="both"/>
        <w:rPr>
          <w:color w:val="000000" w:themeColor="text1"/>
          <w:sz w:val="16"/>
          <w:szCs w:val="16"/>
        </w:rPr>
      </w:pPr>
    </w:p>
    <w:p w14:paraId="54D0C8B5" w14:textId="77777777" w:rsidR="00CE5133" w:rsidRPr="00507A31" w:rsidRDefault="00CE5133" w:rsidP="00507A31">
      <w:pPr>
        <w:jc w:val="both"/>
        <w:rPr>
          <w:color w:val="000000" w:themeColor="text1"/>
          <w:sz w:val="16"/>
          <w:szCs w:val="16"/>
        </w:rPr>
      </w:pPr>
      <w:r w:rsidRPr="00507A31">
        <w:rPr>
          <w:color w:val="000000" w:themeColor="text1"/>
          <w:sz w:val="16"/>
          <w:szCs w:val="16"/>
        </w:rPr>
        <w:lastRenderedPageBreak/>
        <w:t>23 октября 1930 г.</w:t>
      </w:r>
    </w:p>
    <w:p w14:paraId="68B0A0FE"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Показания Л. К. Рамзина «о возможности получения оружия» через французское посольство в Москве. 23 октября 1930 г.</w:t>
      </w:r>
    </w:p>
    <w:p w14:paraId="5B1D16ED" w14:textId="77777777" w:rsidR="00CE5133" w:rsidRPr="00507A31" w:rsidRDefault="00CE5133" w:rsidP="00507A31">
      <w:pPr>
        <w:jc w:val="both"/>
        <w:rPr>
          <w:color w:val="000000" w:themeColor="text1"/>
          <w:sz w:val="16"/>
          <w:szCs w:val="16"/>
        </w:rPr>
      </w:pPr>
      <w:r w:rsidRPr="00507A31">
        <w:rPr>
          <w:color w:val="000000" w:themeColor="text1"/>
          <w:sz w:val="16"/>
          <w:szCs w:val="16"/>
        </w:rPr>
        <w:t>Источник: </w:t>
      </w:r>
    </w:p>
    <w:p w14:paraId="06055619" w14:textId="77777777" w:rsidR="00CE5133" w:rsidRPr="00507A31" w:rsidRDefault="00CE513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C4A1F3"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3385A8D7" w14:textId="77777777" w:rsidR="00CE5133" w:rsidRPr="00507A31" w:rsidRDefault="00CE5133" w:rsidP="00507A31">
      <w:pPr>
        <w:jc w:val="both"/>
        <w:rPr>
          <w:color w:val="000000" w:themeColor="text1"/>
          <w:sz w:val="16"/>
          <w:szCs w:val="16"/>
        </w:rPr>
      </w:pPr>
      <w:r w:rsidRPr="00507A31">
        <w:rPr>
          <w:color w:val="000000" w:themeColor="text1"/>
          <w:sz w:val="16"/>
          <w:szCs w:val="16"/>
        </w:rPr>
        <w:t>[СТРОГО СЕКРЕТНО]</w:t>
      </w:r>
    </w:p>
    <w:p w14:paraId="29AB1779" w14:textId="77777777" w:rsidR="00CE5133" w:rsidRPr="00507A31" w:rsidRDefault="00CE5133" w:rsidP="00507A31">
      <w:pPr>
        <w:jc w:val="both"/>
        <w:rPr>
          <w:color w:val="000000" w:themeColor="text1"/>
          <w:sz w:val="16"/>
          <w:szCs w:val="16"/>
        </w:rPr>
      </w:pPr>
      <w:r w:rsidRPr="00507A31">
        <w:rPr>
          <w:color w:val="000000" w:themeColor="text1"/>
          <w:sz w:val="16"/>
          <w:szCs w:val="16"/>
        </w:rPr>
        <w:t>ВЫПИСКА ИЗ ПОКАЗАНИЯ</w:t>
      </w:r>
    </w:p>
    <w:p w14:paraId="23B04EDB" w14:textId="77777777" w:rsidR="00CE5133" w:rsidRPr="00507A31" w:rsidRDefault="00CE5133" w:rsidP="00507A31">
      <w:pPr>
        <w:jc w:val="both"/>
        <w:rPr>
          <w:color w:val="000000" w:themeColor="text1"/>
          <w:sz w:val="16"/>
          <w:szCs w:val="16"/>
        </w:rPr>
      </w:pPr>
      <w:r w:rsidRPr="00507A31">
        <w:rPr>
          <w:color w:val="000000" w:themeColor="text1"/>
          <w:sz w:val="16"/>
          <w:szCs w:val="16"/>
        </w:rPr>
        <w:t>профессора Л. К. РАМЗИНА от 23 октября 1930 г.</w:t>
      </w:r>
    </w:p>
    <w:p w14:paraId="3DCDEF7D" w14:textId="77777777" w:rsidR="00CE5133" w:rsidRPr="00507A31" w:rsidRDefault="00CE5133" w:rsidP="00507A31">
      <w:pPr>
        <w:jc w:val="both"/>
        <w:rPr>
          <w:color w:val="000000" w:themeColor="text1"/>
          <w:sz w:val="16"/>
          <w:szCs w:val="16"/>
        </w:rPr>
      </w:pPr>
      <w:r w:rsidRPr="00507A31">
        <w:rPr>
          <w:color w:val="000000" w:themeColor="text1"/>
          <w:sz w:val="16"/>
          <w:szCs w:val="16"/>
        </w:rPr>
        <w:t>3. Третьим источником возможного получения оружия в виде револьверов и гранат являлось французское посольство в Москве. На основании моих переговоров с г. Реньо в конце 1929 г. последний на мой вопрос о возможности получении оружия дал утвердительный ответ. Получение оружия связывалось здесь с обсуждением вопроса о диверсиях, причем оружие предполагалось использовать с целью, главным образом, самозащиты и небольших разрушений при производстве диверсионных актов. Вопрос шел о получении относительно небольших количеств оружия — порядка 1 десятка револьверов и гранат, которые можно получить в любое время. Вследствие отъезда г. Реньо этот источник не был нами использован. В том же разговоре г. Реньо указывал на обратную сдачу оружия, в случае надобности, во французское посольство как в надежное место для длительного хранения оружия. В курсе последнего обстоятельства был В. И. ОЧКИН.</w:t>
      </w:r>
    </w:p>
    <w:p w14:paraId="206976A3" w14:textId="77777777" w:rsidR="00CE5133" w:rsidRPr="00507A31" w:rsidRDefault="00CE5133" w:rsidP="00507A31">
      <w:pPr>
        <w:jc w:val="both"/>
        <w:rPr>
          <w:color w:val="000000" w:themeColor="text1"/>
          <w:sz w:val="16"/>
          <w:szCs w:val="16"/>
        </w:rPr>
      </w:pPr>
      <w:r w:rsidRPr="00507A31">
        <w:rPr>
          <w:color w:val="000000" w:themeColor="text1"/>
          <w:sz w:val="16"/>
          <w:szCs w:val="16"/>
        </w:rPr>
        <w:t>Д. 356. Л. 26. Заверенная машинописная копия того времени. В деле (Л. 17) имеется сопроводительная записка председателя ОГПУ В. Р. Менжинского на имя И. В. Сталина от 25 октября 1930 г. в связи с отправкой в ЦК ВКП(б) материалов следствия по «делу Промпартии»:</w:t>
      </w:r>
    </w:p>
    <w:p w14:paraId="08F91818" w14:textId="77777777" w:rsidR="00CE5133" w:rsidRPr="00507A31" w:rsidRDefault="00CE5133" w:rsidP="00507A31">
      <w:pPr>
        <w:jc w:val="both"/>
        <w:rPr>
          <w:color w:val="000000" w:themeColor="text1"/>
          <w:sz w:val="16"/>
          <w:szCs w:val="16"/>
        </w:rPr>
      </w:pPr>
      <w:r w:rsidRPr="00507A31">
        <w:rPr>
          <w:color w:val="000000" w:themeColor="text1"/>
          <w:sz w:val="16"/>
          <w:szCs w:val="16"/>
        </w:rPr>
        <w:t>«СТРОГО СЕКРЕТНО</w:t>
      </w:r>
    </w:p>
    <w:p w14:paraId="571E1221" w14:textId="77777777" w:rsidR="00CE5133" w:rsidRPr="00507A31" w:rsidRDefault="00CE5133" w:rsidP="00507A31">
      <w:pPr>
        <w:jc w:val="both"/>
        <w:rPr>
          <w:color w:val="000000" w:themeColor="text1"/>
          <w:sz w:val="16"/>
          <w:szCs w:val="16"/>
        </w:rPr>
      </w:pPr>
      <w:r w:rsidRPr="00507A31">
        <w:rPr>
          <w:color w:val="000000" w:themeColor="text1"/>
          <w:sz w:val="16"/>
          <w:szCs w:val="16"/>
        </w:rPr>
        <w:t>СЕКРЕТАРЮ ЦК ВКП(б) т. СТАЛИНУ.</w:t>
      </w:r>
    </w:p>
    <w:p w14:paraId="37AA6BC8" w14:textId="77777777" w:rsidR="00CE5133" w:rsidRPr="00507A31" w:rsidRDefault="00CE5133" w:rsidP="00507A31">
      <w:pPr>
        <w:jc w:val="both"/>
        <w:rPr>
          <w:color w:val="000000" w:themeColor="text1"/>
          <w:sz w:val="16"/>
          <w:szCs w:val="16"/>
        </w:rPr>
      </w:pPr>
      <w:r w:rsidRPr="00507A31">
        <w:rPr>
          <w:color w:val="000000" w:themeColor="text1"/>
          <w:sz w:val="16"/>
          <w:szCs w:val="16"/>
        </w:rPr>
        <w:t>ПРОТОКОЛЫ ДОПРОСОВ</w:t>
      </w:r>
    </w:p>
    <w:p w14:paraId="1FF5B1CC" w14:textId="77777777" w:rsidR="00CE5133" w:rsidRPr="00507A31" w:rsidRDefault="00CE5133" w:rsidP="00507A31">
      <w:pPr>
        <w:jc w:val="both"/>
        <w:rPr>
          <w:color w:val="000000" w:themeColor="text1"/>
          <w:sz w:val="16"/>
          <w:szCs w:val="16"/>
        </w:rPr>
      </w:pPr>
      <w:r w:rsidRPr="00507A31">
        <w:rPr>
          <w:color w:val="000000" w:themeColor="text1"/>
          <w:sz w:val="16"/>
          <w:szCs w:val="16"/>
        </w:rPr>
        <w:t>по делу «Промышленной Партии»</w:t>
      </w:r>
    </w:p>
    <w:p w14:paraId="2FB2A64B" w14:textId="77777777" w:rsidR="00CE5133" w:rsidRPr="00507A31" w:rsidRDefault="00CE5133" w:rsidP="00507A31">
      <w:pPr>
        <w:jc w:val="both"/>
        <w:rPr>
          <w:color w:val="000000" w:themeColor="text1"/>
          <w:sz w:val="16"/>
          <w:szCs w:val="16"/>
        </w:rPr>
      </w:pPr>
      <w:r w:rsidRPr="00507A31">
        <w:rPr>
          <w:color w:val="000000" w:themeColor="text1"/>
          <w:sz w:val="16"/>
          <w:szCs w:val="16"/>
        </w:rPr>
        <w:t>по вопросам: 1) об интервенции (сводный протокол допроса чл. ЦК ТКП ЮРОВСКОГО)</w:t>
      </w:r>
    </w:p>
    <w:p w14:paraId="73A25426" w14:textId="77777777" w:rsidR="00CE5133" w:rsidRPr="00507A31" w:rsidRDefault="00CE5133" w:rsidP="00507A31">
      <w:pPr>
        <w:jc w:val="both"/>
        <w:rPr>
          <w:color w:val="000000" w:themeColor="text1"/>
          <w:sz w:val="16"/>
          <w:szCs w:val="16"/>
        </w:rPr>
      </w:pPr>
      <w:r w:rsidRPr="00507A31">
        <w:rPr>
          <w:color w:val="000000" w:themeColor="text1"/>
          <w:sz w:val="16"/>
          <w:szCs w:val="16"/>
        </w:rPr>
        <w:t>2) об источниках оружия для боевой организации «Промпартия» (связь с французским и английским посольствами в Москве).</w:t>
      </w:r>
    </w:p>
    <w:p w14:paraId="35832BE5" w14:textId="77777777" w:rsidR="00CE5133" w:rsidRPr="00507A31" w:rsidRDefault="00CE5133" w:rsidP="00507A31">
      <w:pPr>
        <w:jc w:val="both"/>
        <w:rPr>
          <w:color w:val="000000" w:themeColor="text1"/>
          <w:sz w:val="16"/>
          <w:szCs w:val="16"/>
        </w:rPr>
      </w:pPr>
      <w:r w:rsidRPr="00507A31">
        <w:rPr>
          <w:color w:val="000000" w:themeColor="text1"/>
          <w:sz w:val="16"/>
          <w:szCs w:val="16"/>
        </w:rPr>
        <w:t>Пред. ОГПУ В. Менжинский 25/XI 30 г.</w:t>
      </w:r>
    </w:p>
    <w:p w14:paraId="0437ADDD" w14:textId="77777777" w:rsidR="00CE5133" w:rsidRPr="00507A31" w:rsidRDefault="00CE5133" w:rsidP="00507A31">
      <w:pPr>
        <w:jc w:val="both"/>
        <w:rPr>
          <w:color w:val="000000" w:themeColor="text1"/>
          <w:sz w:val="16"/>
          <w:szCs w:val="16"/>
        </w:rPr>
      </w:pPr>
      <w:r w:rsidRPr="00507A31">
        <w:rPr>
          <w:color w:val="000000" w:themeColor="text1"/>
          <w:sz w:val="16"/>
          <w:szCs w:val="16"/>
        </w:rPr>
        <w:t>Оглавление</w:t>
      </w:r>
    </w:p>
    <w:p w14:paraId="67159734" w14:textId="77777777" w:rsidR="00CE5133" w:rsidRPr="00507A31" w:rsidRDefault="00CE5133" w:rsidP="00507A31">
      <w:pPr>
        <w:jc w:val="both"/>
        <w:rPr>
          <w:color w:val="000000" w:themeColor="text1"/>
          <w:sz w:val="16"/>
          <w:szCs w:val="16"/>
        </w:rPr>
      </w:pPr>
      <w:r w:rsidRPr="00507A31">
        <w:rPr>
          <w:color w:val="000000" w:themeColor="text1"/>
          <w:sz w:val="16"/>
          <w:szCs w:val="16"/>
        </w:rPr>
        <w:t>1) Протокол допроса ЮРОВСКОГО Л. Н. от 23/XI—1930 г. со стр. 1 по 6</w:t>
      </w:r>
    </w:p>
    <w:p w14:paraId="42568E44" w14:textId="77777777" w:rsidR="00CE5133" w:rsidRPr="00507A31" w:rsidRDefault="00CE5133" w:rsidP="00507A31">
      <w:pPr>
        <w:jc w:val="both"/>
        <w:rPr>
          <w:color w:val="000000" w:themeColor="text1"/>
          <w:sz w:val="16"/>
          <w:szCs w:val="16"/>
        </w:rPr>
      </w:pPr>
      <w:r w:rsidRPr="00507A31">
        <w:rPr>
          <w:color w:val="000000" w:themeColor="text1"/>
          <w:sz w:val="16"/>
          <w:szCs w:val="16"/>
        </w:rPr>
        <w:t>2) РАМЗИНА Л. К. 21/XI-1930 г. 7 8</w:t>
      </w:r>
    </w:p>
    <w:p w14:paraId="0D9CA185" w14:textId="77777777" w:rsidR="00CE5133" w:rsidRPr="00507A31" w:rsidRDefault="00CE5133" w:rsidP="00507A31">
      <w:pPr>
        <w:jc w:val="both"/>
        <w:rPr>
          <w:color w:val="000000" w:themeColor="text1"/>
          <w:sz w:val="16"/>
          <w:szCs w:val="16"/>
        </w:rPr>
      </w:pPr>
      <w:r w:rsidRPr="00507A31">
        <w:rPr>
          <w:color w:val="000000" w:themeColor="text1"/>
          <w:sz w:val="16"/>
          <w:szCs w:val="16"/>
        </w:rPr>
        <w:t>3) Выписка из протокола РАМЗИНА Л. К. “-“ 23/Х-1930 г. 9</w:t>
      </w:r>
    </w:p>
    <w:p w14:paraId="4CED247C" w14:textId="77777777" w:rsidR="00CE5133" w:rsidRPr="00507A31" w:rsidRDefault="00CE5133" w:rsidP="00507A31">
      <w:pPr>
        <w:jc w:val="both"/>
        <w:rPr>
          <w:color w:val="000000" w:themeColor="text1"/>
          <w:sz w:val="16"/>
          <w:szCs w:val="16"/>
        </w:rPr>
      </w:pPr>
      <w:r w:rsidRPr="00507A31">
        <w:rPr>
          <w:color w:val="000000" w:themeColor="text1"/>
          <w:sz w:val="16"/>
          <w:szCs w:val="16"/>
        </w:rPr>
        <w:t>4) Протокол допроса ПРЕДТЕЧЕНСКОГО “ 17/XI-1930 г. “-“ 10“-“ 13</w:t>
      </w:r>
    </w:p>
    <w:p w14:paraId="409D9997" w14:textId="77777777" w:rsidR="00CE5133" w:rsidRPr="00507A31" w:rsidRDefault="00CE5133" w:rsidP="00507A31">
      <w:pPr>
        <w:jc w:val="both"/>
        <w:rPr>
          <w:color w:val="000000" w:themeColor="text1"/>
          <w:sz w:val="16"/>
          <w:szCs w:val="16"/>
        </w:rPr>
      </w:pPr>
      <w:r w:rsidRPr="00507A31">
        <w:rPr>
          <w:color w:val="000000" w:themeColor="text1"/>
          <w:sz w:val="16"/>
          <w:szCs w:val="16"/>
        </w:rPr>
        <w:t>5) ПРЕДТЕЧЕНСКОГО 18/XI “-“ 14</w:t>
      </w:r>
    </w:p>
    <w:p w14:paraId="791A08F3" w14:textId="77777777" w:rsidR="00CE5133" w:rsidRPr="00507A31" w:rsidRDefault="00CE5133" w:rsidP="00507A31">
      <w:pPr>
        <w:jc w:val="both"/>
        <w:rPr>
          <w:color w:val="000000" w:themeColor="text1"/>
          <w:sz w:val="16"/>
          <w:szCs w:val="16"/>
        </w:rPr>
      </w:pPr>
      <w:r w:rsidRPr="00507A31">
        <w:rPr>
          <w:color w:val="000000" w:themeColor="text1"/>
          <w:sz w:val="16"/>
          <w:szCs w:val="16"/>
        </w:rPr>
        <w:t>6)  Акт Пом. нач. 3 и 4 отделения]. СООГПУ “-“ 18/XI “-“ 15</w:t>
      </w:r>
    </w:p>
    <w:p w14:paraId="76D63CF9" w14:textId="77777777" w:rsidR="00CE5133" w:rsidRPr="00507A31" w:rsidRDefault="00CE5133" w:rsidP="00507A31">
      <w:pPr>
        <w:jc w:val="both"/>
        <w:rPr>
          <w:color w:val="000000" w:themeColor="text1"/>
          <w:sz w:val="16"/>
          <w:szCs w:val="16"/>
        </w:rPr>
      </w:pPr>
      <w:r w:rsidRPr="00507A31">
        <w:rPr>
          <w:color w:val="000000" w:themeColor="text1"/>
          <w:sz w:val="16"/>
          <w:szCs w:val="16"/>
        </w:rPr>
        <w:t>7) Протокол допроса ПРЕДТЕЧЕНСКОГО 22/XI 16 18</w:t>
      </w:r>
    </w:p>
    <w:p w14:paraId="13EE0F7A" w14:textId="77777777" w:rsidR="00CE5133" w:rsidRPr="00507A31" w:rsidRDefault="00CE5133" w:rsidP="00507A31">
      <w:pPr>
        <w:jc w:val="both"/>
        <w:rPr>
          <w:color w:val="000000" w:themeColor="text1"/>
          <w:sz w:val="16"/>
          <w:szCs w:val="16"/>
        </w:rPr>
      </w:pPr>
      <w:r w:rsidRPr="00507A31">
        <w:rPr>
          <w:color w:val="000000" w:themeColor="text1"/>
          <w:sz w:val="16"/>
          <w:szCs w:val="16"/>
        </w:rPr>
        <w:t>8) ЕВРЕИНОВА 15/XI “-“ 19 “-“ 20</w:t>
      </w:r>
    </w:p>
    <w:p w14:paraId="2ED467E7" w14:textId="77777777" w:rsidR="00CE5133" w:rsidRPr="00507A31" w:rsidRDefault="00CE5133" w:rsidP="00507A31">
      <w:pPr>
        <w:jc w:val="both"/>
        <w:rPr>
          <w:color w:val="000000" w:themeColor="text1"/>
          <w:sz w:val="16"/>
          <w:szCs w:val="16"/>
        </w:rPr>
      </w:pPr>
      <w:r w:rsidRPr="00507A31">
        <w:rPr>
          <w:color w:val="000000" w:themeColor="text1"/>
          <w:sz w:val="16"/>
          <w:szCs w:val="16"/>
        </w:rPr>
        <w:t>9) ЕВРЕИНОВА 22/XI “-“ 21 “-“ 23».</w:t>
      </w:r>
    </w:p>
    <w:p w14:paraId="25A2E5AE" w14:textId="77777777" w:rsidR="00CE5133" w:rsidRPr="00507A31" w:rsidRDefault="00CE5133" w:rsidP="00507A31">
      <w:pPr>
        <w:jc w:val="both"/>
        <w:rPr>
          <w:color w:val="000000" w:themeColor="text1"/>
          <w:sz w:val="16"/>
          <w:szCs w:val="16"/>
        </w:rPr>
      </w:pPr>
      <w:r w:rsidRPr="00507A31">
        <w:rPr>
          <w:color w:val="000000" w:themeColor="text1"/>
          <w:sz w:val="16"/>
          <w:szCs w:val="16"/>
        </w:rPr>
        <w:t>(Машинописный подлинник на листе простой бумаги. Формула «Пред. ОГПУ», подпись и дата — автограф В. Р. Менжинского. Гриф секретности машинописью.) (18524).</w:t>
      </w:r>
    </w:p>
    <w:p w14:paraId="7552191A" w14:textId="77777777" w:rsidR="00CE5133" w:rsidRPr="00507A31" w:rsidRDefault="00CE5133" w:rsidP="00507A31">
      <w:pPr>
        <w:jc w:val="both"/>
        <w:rPr>
          <w:color w:val="000000" w:themeColor="text1"/>
          <w:sz w:val="16"/>
          <w:szCs w:val="16"/>
        </w:rPr>
      </w:pPr>
    </w:p>
    <w:p w14:paraId="6999F2EE"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5209714C"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Показания В. К. Серацинского от 17 и 18 октября 1930 г. о подготовке интервенции против СССР. Приложение к письму № П968 о рассылке материалов следствия. 23 октября 1930 г.</w:t>
      </w:r>
    </w:p>
    <w:p w14:paraId="4F4C4C79" w14:textId="77777777" w:rsidR="00CE5133" w:rsidRPr="00507A31" w:rsidRDefault="00CE5133" w:rsidP="00507A31">
      <w:pPr>
        <w:jc w:val="both"/>
        <w:rPr>
          <w:color w:val="000000" w:themeColor="text1"/>
          <w:sz w:val="16"/>
          <w:szCs w:val="16"/>
        </w:rPr>
      </w:pPr>
      <w:r w:rsidRPr="00507A31">
        <w:rPr>
          <w:color w:val="000000" w:themeColor="text1"/>
          <w:sz w:val="16"/>
          <w:szCs w:val="16"/>
        </w:rPr>
        <w:t>Источник: </w:t>
      </w:r>
    </w:p>
    <w:p w14:paraId="3D1E8BF5" w14:textId="77777777" w:rsidR="00CE5133" w:rsidRPr="00507A31" w:rsidRDefault="00CE513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EC1337" w14:textId="77777777" w:rsidR="00CE5133" w:rsidRPr="00507A31" w:rsidRDefault="00CE5133" w:rsidP="00507A31">
      <w:pPr>
        <w:jc w:val="both"/>
        <w:rPr>
          <w:color w:val="000000" w:themeColor="text1"/>
          <w:sz w:val="16"/>
          <w:szCs w:val="16"/>
        </w:rPr>
      </w:pPr>
      <w:r w:rsidRPr="00507A31">
        <w:rPr>
          <w:color w:val="000000" w:themeColor="text1"/>
          <w:sz w:val="16"/>
          <w:szCs w:val="16"/>
        </w:rPr>
        <w:t>от 23 октября 1930 г.</w:t>
      </w:r>
    </w:p>
    <w:p w14:paraId="16A9FD53" w14:textId="77777777" w:rsidR="00CE5133" w:rsidRPr="00507A31" w:rsidRDefault="00CE5133" w:rsidP="00507A31">
      <w:pPr>
        <w:jc w:val="both"/>
        <w:rPr>
          <w:color w:val="000000" w:themeColor="text1"/>
          <w:sz w:val="16"/>
          <w:szCs w:val="16"/>
        </w:rPr>
      </w:pPr>
      <w:r w:rsidRPr="00507A31">
        <w:rPr>
          <w:color w:val="000000" w:themeColor="text1"/>
          <w:sz w:val="16"/>
          <w:szCs w:val="16"/>
        </w:rPr>
        <w:t>СТРОГО СЕКРЕТНО</w:t>
      </w:r>
    </w:p>
    <w:p w14:paraId="1268128D" w14:textId="77777777" w:rsidR="00CE5133" w:rsidRPr="00507A31" w:rsidRDefault="00CE5133" w:rsidP="00507A31">
      <w:pPr>
        <w:jc w:val="both"/>
        <w:rPr>
          <w:color w:val="000000" w:themeColor="text1"/>
          <w:sz w:val="16"/>
          <w:szCs w:val="16"/>
        </w:rPr>
      </w:pPr>
      <w:r w:rsidRPr="00507A31">
        <w:rPr>
          <w:color w:val="000000" w:themeColor="text1"/>
          <w:sz w:val="16"/>
          <w:szCs w:val="16"/>
        </w:rPr>
        <w:t>ПРОТОКОЛ ДОПРОСА</w:t>
      </w:r>
    </w:p>
    <w:p w14:paraId="3D9C63F2" w14:textId="77777777" w:rsidR="00CE5133" w:rsidRPr="00507A31" w:rsidRDefault="00CE5133" w:rsidP="00507A31">
      <w:pPr>
        <w:jc w:val="both"/>
        <w:rPr>
          <w:color w:val="000000" w:themeColor="text1"/>
          <w:sz w:val="16"/>
          <w:szCs w:val="16"/>
        </w:rPr>
      </w:pPr>
      <w:r w:rsidRPr="00507A31">
        <w:rPr>
          <w:color w:val="000000" w:themeColor="text1"/>
          <w:sz w:val="16"/>
          <w:szCs w:val="16"/>
        </w:rPr>
        <w:t>СЕРАЦИНСКОГО Владимира Карловича</w:t>
      </w:r>
    </w:p>
    <w:p w14:paraId="33B301A6" w14:textId="77777777" w:rsidR="00CE5133" w:rsidRPr="00507A31" w:rsidRDefault="00CE5133" w:rsidP="00507A31">
      <w:pPr>
        <w:jc w:val="both"/>
        <w:rPr>
          <w:color w:val="000000" w:themeColor="text1"/>
          <w:sz w:val="16"/>
          <w:szCs w:val="16"/>
        </w:rPr>
      </w:pPr>
      <w:r w:rsidRPr="00507A31">
        <w:rPr>
          <w:color w:val="000000" w:themeColor="text1"/>
          <w:sz w:val="16"/>
          <w:szCs w:val="16"/>
        </w:rPr>
        <w:t>от 17 октября 1930 г.</w:t>
      </w:r>
    </w:p>
    <w:p w14:paraId="755302C3" w14:textId="77777777" w:rsidR="00CE5133" w:rsidRPr="00507A31" w:rsidRDefault="00CE5133" w:rsidP="00507A31">
      <w:pPr>
        <w:jc w:val="both"/>
        <w:rPr>
          <w:color w:val="000000" w:themeColor="text1"/>
          <w:sz w:val="16"/>
          <w:szCs w:val="16"/>
        </w:rPr>
      </w:pPr>
      <w:r w:rsidRPr="00507A31">
        <w:rPr>
          <w:color w:val="000000" w:themeColor="text1"/>
          <w:sz w:val="16"/>
          <w:szCs w:val="16"/>
        </w:rPr>
        <w:t>О нападении на наш Союз ССР иностранных государств мне приходилось иметь директивные разговоры с проф. ШТАММ и проф. КУЗНЕЦОВЫМ и частные случайные разговоры с НОА.</w:t>
      </w:r>
    </w:p>
    <w:p w14:paraId="0C9DDB4B" w14:textId="77777777" w:rsidR="00CE5133" w:rsidRPr="00507A31" w:rsidRDefault="00CE5133" w:rsidP="00507A31">
      <w:pPr>
        <w:jc w:val="both"/>
        <w:rPr>
          <w:color w:val="000000" w:themeColor="text1"/>
          <w:sz w:val="16"/>
          <w:szCs w:val="16"/>
        </w:rPr>
      </w:pPr>
      <w:r w:rsidRPr="00507A31">
        <w:rPr>
          <w:color w:val="000000" w:themeColor="text1"/>
          <w:sz w:val="16"/>
          <w:szCs w:val="16"/>
        </w:rPr>
        <w:t>Разговоры эти обычно происходили после их возвращения из заграницы, куда они выезжали не случайно, а за получением определенных директив. Полученные директивы от ШТАММА и КУЗНЕЦОВА носили настолько идентичный характер, что нет надобности расчленять эти директивы по их содержанию, что совершенно определенно указывало о происхождении их от единого руководящего центра заграницей. Смысл этих директив передавался на фоне того, что Франция стоит во главе предполагаемой интервенции при активном содействии и помощи со стороны белой эмиграции. Срок для нападения ни тем, ни другим хотя и не указывался, но из разговоров следовало понимать, что он не заходит за срок окончания пятилетнего плана и должен быть осуществлен в ближайшие годы, примерно, [19]30-й, [19]31-й год. Как ШТАММ, так и КУЗНЕЦОВ указывали, что организацией нападения на Союз ССР занимался и руководил Французский Генеральный Штаб и что они получали директивы в Берлине, через приезжавших специально белых эмигрантов и только лишь по вредительству по технической линии, т. е. создания условий в промышленности, обеспечивающих успех интервенции. Эти директивные указания от КУЗНЕЦОВА я получал после его возвращения из заграницы осенью [19]28 г. в Техсовете ВСНХ СССР, от ШТАММА после его поездки заграницу в 1929 г.[;] и НОА делился подобного рода разговорами со мной в годы [19]26—27 г. после его возвращения из командировок.</w:t>
      </w:r>
    </w:p>
    <w:p w14:paraId="1EF287D1" w14:textId="77777777" w:rsidR="00CE5133" w:rsidRPr="00507A31" w:rsidRDefault="00CE5133" w:rsidP="00507A31">
      <w:pPr>
        <w:jc w:val="both"/>
        <w:rPr>
          <w:color w:val="000000" w:themeColor="text1"/>
          <w:sz w:val="16"/>
          <w:szCs w:val="16"/>
        </w:rPr>
      </w:pPr>
      <w:r w:rsidRPr="00507A31">
        <w:rPr>
          <w:color w:val="000000" w:themeColor="text1"/>
          <w:sz w:val="16"/>
          <w:szCs w:val="16"/>
        </w:rPr>
        <w:t>Из той обстановки нападения на СССР для нас[,] специалистов, вставал вопрос не только вредительства технико-экономического порядка, но и известная подготовка тех баз, которые необходимы и облегчают нападение путем устройства в известных стратегических пунктах специальных площадок и платформ для орудий, скрытых в виде фундаментов под механизмы; устройства складов, позволяющих быстро превращать их в ангары для военно-воздушной флотилии, а во время войны вредительская организация должна была производить взрывы фабрик, устройство пожаров. На основе этих директив организация устраивала такие площадки, скрытые в виде фундаментов главным образом на Кавказе в районе Туапсе, где расположены наши нефтеперегонные заводы — в Батуме и Эривани. Склады же, могущие[,] по мысли интервентов, быть превращенными в ангары[,] устраивались в районе Ленинграда, как хранилища для преципитата и в районе Архангельска, как лесопильные заводы. КУЗНЕЦОВ и ШТАММ говорили мне также, что Ингурская бумажная фабрика строится в выгодной стратегической зоне с тем, чтобы в случае войны ее можно было использовать для производства взрывчатых веществ и что замысел ее постройки имеет тот же характер, как немцы в империалистическую войну построили бумажную фабрику в Ревеле. Должен сказать, что вся эта фабрика вплоть до жилого поселка проектировалась в Германии.</w:t>
      </w:r>
    </w:p>
    <w:p w14:paraId="59511FE9" w14:textId="77777777" w:rsidR="00CE5133" w:rsidRPr="00507A31" w:rsidRDefault="00CE5133" w:rsidP="00507A31">
      <w:pPr>
        <w:jc w:val="both"/>
        <w:rPr>
          <w:color w:val="000000" w:themeColor="text1"/>
          <w:sz w:val="16"/>
          <w:szCs w:val="16"/>
        </w:rPr>
      </w:pPr>
      <w:r w:rsidRPr="00507A31">
        <w:rPr>
          <w:color w:val="000000" w:themeColor="text1"/>
          <w:sz w:val="16"/>
          <w:szCs w:val="16"/>
        </w:rPr>
        <w:t>Проф. В. СЕРОЦИНСКИЙ.</w:t>
      </w:r>
    </w:p>
    <w:p w14:paraId="18421652" w14:textId="77777777" w:rsidR="00CE5133" w:rsidRPr="00507A31" w:rsidRDefault="00CE5133" w:rsidP="00507A31">
      <w:pPr>
        <w:jc w:val="both"/>
        <w:rPr>
          <w:color w:val="000000" w:themeColor="text1"/>
          <w:sz w:val="16"/>
          <w:szCs w:val="16"/>
        </w:rPr>
      </w:pPr>
      <w:r w:rsidRPr="00507A31">
        <w:rPr>
          <w:color w:val="000000" w:themeColor="text1"/>
          <w:sz w:val="16"/>
          <w:szCs w:val="16"/>
        </w:rPr>
        <w:t>Допросил: П[ом.]/Нач. 2 отд[еления] ЭКУ ОГПУ ЛЕВАНОВ.</w:t>
      </w:r>
    </w:p>
    <w:p w14:paraId="3A5F181D" w14:textId="77777777" w:rsidR="00CE5133" w:rsidRPr="00507A31" w:rsidRDefault="00CE5133" w:rsidP="00507A31">
      <w:pPr>
        <w:jc w:val="both"/>
        <w:rPr>
          <w:color w:val="000000" w:themeColor="text1"/>
          <w:sz w:val="16"/>
          <w:szCs w:val="16"/>
        </w:rPr>
      </w:pPr>
      <w:r w:rsidRPr="00507A31">
        <w:rPr>
          <w:color w:val="000000" w:themeColor="text1"/>
          <w:sz w:val="16"/>
          <w:szCs w:val="16"/>
        </w:rPr>
        <w:t>ПРОТОКОЛ ДОПРОСА</w:t>
      </w:r>
    </w:p>
    <w:p w14:paraId="6D2CDF95" w14:textId="77777777" w:rsidR="00CE5133" w:rsidRPr="00507A31" w:rsidRDefault="00CE5133" w:rsidP="00507A31">
      <w:pPr>
        <w:jc w:val="both"/>
        <w:rPr>
          <w:color w:val="000000" w:themeColor="text1"/>
          <w:sz w:val="16"/>
          <w:szCs w:val="16"/>
        </w:rPr>
      </w:pPr>
      <w:r w:rsidRPr="00507A31">
        <w:rPr>
          <w:color w:val="000000" w:themeColor="text1"/>
          <w:sz w:val="16"/>
          <w:szCs w:val="16"/>
        </w:rPr>
        <w:t>СЕРАЦИНСКОГО Владимира Карловича от 18/Х-1930 г.</w:t>
      </w:r>
    </w:p>
    <w:p w14:paraId="6D8A492B" w14:textId="77777777" w:rsidR="00CE5133" w:rsidRPr="00507A31" w:rsidRDefault="00CE5133" w:rsidP="00507A31">
      <w:pPr>
        <w:jc w:val="both"/>
        <w:rPr>
          <w:color w:val="000000" w:themeColor="text1"/>
          <w:sz w:val="16"/>
          <w:szCs w:val="16"/>
        </w:rPr>
      </w:pPr>
      <w:r w:rsidRPr="00507A31">
        <w:rPr>
          <w:color w:val="000000" w:themeColor="text1"/>
          <w:sz w:val="16"/>
          <w:szCs w:val="16"/>
        </w:rPr>
        <w:t>Обычно, как правило, большинство встреч и разговоров на разные вредительские темы более или менее определенным кругом участников вредительской организации происходило на квартире КЛЕВЕЗАЛЯ. Внешне эти встречи обставлялись тем, что КЛЕВЕЗАЛЬ частенько прихварывал, поэтому для служебных разговоров к нему собирались как лица, не имевшие отношения к организации, так и участники последней. Более или менее постоянный состав, бывавший на квартире КЛЕВЕЗАЛЯ, состоял[,] кроме меня, &lt;из&gt; КУЗНЕЦОВА, МАСЛОВА, реже БИРЮКОВА, НОА, ШТАММА, КУДРЯВЦЕВА и ДОБРЯКОВА. В этом же составе на квартире КЛЕВЕЗАЛЯ происходило обсуждение и о предполагаемой интервенции со стороны иностранных государств на СССР.</w:t>
      </w:r>
    </w:p>
    <w:p w14:paraId="6D25E224" w14:textId="77777777" w:rsidR="00CE5133" w:rsidRPr="00507A31" w:rsidRDefault="00CE5133" w:rsidP="00507A31">
      <w:pPr>
        <w:jc w:val="both"/>
        <w:rPr>
          <w:color w:val="000000" w:themeColor="text1"/>
          <w:sz w:val="16"/>
          <w:szCs w:val="16"/>
        </w:rPr>
      </w:pPr>
      <w:r w:rsidRPr="00507A31">
        <w:rPr>
          <w:color w:val="000000" w:themeColor="text1"/>
          <w:sz w:val="16"/>
          <w:szCs w:val="16"/>
        </w:rPr>
        <w:t xml:space="preserve">Припоминая наиболее яркие моменты относительно интервенции, я постараюсь насколько возможно привести их подробно. Так, примерно в конце [19]26 или в начале [19]27 года, после возвращения НОА из заграничной командировки, мы в том составе, как указано выше[,] собрались в квартире КЛЕВЕЗАЛЯ по инициативе НОА. Тут НОА еще далеко неопределенно обрисовал картину тех интервенционистских настроений, которые, если можно так выразиться, начали формироваться незадолго до его пребывания заграницей. Начал это он с того, при чем не скрывал восторгов о быстром возрождении Германии, подтверждая это фактами национального движения, когда немцы «стиснув зубы днем и ночью строят новый торговый флот, восстановив почти во всех областях свою хозяйственную жизнь». «Да, это не вшивая Россия с ее таким же коммунизмом» — закончил он свои впечатления о поездке. Переходя к вредительству вообще, он приблизительно сказал следующее: «мы, т. е. наша организация, не является одинокой и протягивающей руку за материальной помощью, что движение против коммунизма в России (так он </w:t>
      </w:r>
      <w:r w:rsidRPr="00507A31">
        <w:rPr>
          <w:color w:val="000000" w:themeColor="text1"/>
          <w:sz w:val="16"/>
          <w:szCs w:val="16"/>
        </w:rPr>
        <w:lastRenderedPageBreak/>
        <w:t>всегда называл на Советский Союз) разрослось необычайно и приобретает формы не столько экономического наступления, сколько наступления военного, в осуществление которого[,] судя по тону[,] он твердо верил. Далее он указал, что руководящие нити военного наступления находятся во Франции и что это обстоятельство надо в настоящее время рассматривать как благоприятное, т. к. Германия не только ищет сближения с Францией и что это сближение стало весьма вероятным и что кроме этого Франция по своему удельному весу в Европе и ее непримиримой политик[е] к СССР, является единственной страной, могущей осуществить это выступление, опираясь гл[авным] образом на подготовляемые ею с этой целью лимитрофные государства. На участие Англии в этот момент, по его мнению, особых надежд не возлагалось, поскольку она была занята своими внутренними делами — всеобщей английск[ой] забастовкой, но что после ликвидации забастовки и она примет участие наравне с Францией. Говорил это НОА настолько уверенно, что, по его мнению, судьбы большевистской России предрешались успехом затеваемой интервенции. Это совещание носило скорее информационный характер, как бы воодушевлявшее колеблющихся и маловеров, поэтому каких[-]либо практических шагов на этом совещании еще не намечалось, а было лишь оформление руководящего состава организации в лице пятерки — НОА, КУЗНЕЦОВА, ШТАММА, КЛЕВЕЗАЛЯ и КУДРЯВЦЕВА. Это я говорю на том основании, что вскоре за этим совещанием нам — мне, БИРЮКОВУ, МАСЛОВУ, САМОЙЛОВУ и другим участникам организации было указано, что в нашей дальнейшей вредительской работе никакой перестройки не происходит, но что всю работу нужно согласовывать предварительно с КЛЕВЕЗАЛЕМ, ШТАММОМ и КУЗНЕЦОВЫМ и их указаниями руководствоваться. Следующее совещание происходило в конце [19]27-го или в начале [19]28 года, когда НОА вернулся из второй заграничной командировки. На этом совещании, кроме указанных выше лиц[,] присутствовали: ИЖЕВСКИЙ Мих. Мих., работник КОМСТО[,] и КУ&lt;Ж&gt;ИН Павел Иванович, работник военно-промышл[енного] управления.</w:t>
      </w:r>
    </w:p>
    <w:p w14:paraId="61617217" w14:textId="77777777" w:rsidR="00CE5133" w:rsidRPr="00507A31" w:rsidRDefault="00CE5133" w:rsidP="00507A31">
      <w:pPr>
        <w:jc w:val="both"/>
        <w:rPr>
          <w:color w:val="000000" w:themeColor="text1"/>
          <w:sz w:val="16"/>
          <w:szCs w:val="16"/>
        </w:rPr>
      </w:pPr>
      <w:r w:rsidRPr="00507A31">
        <w:rPr>
          <w:color w:val="000000" w:themeColor="text1"/>
          <w:sz w:val="16"/>
          <w:szCs w:val="16"/>
        </w:rPr>
        <w:t>Здесь НОА более определенно высказался, что нашей организации отныне придется получать директивы от белых эмигрантов, фамилии которых я назвать не могу, так как или не помню, или они просто не назывались; что эти эмигранты состоят в тесной связи с французским генеральным штабом и находятся в его распоряжении, что они же (белые эмигранты) приезжают в Берлин по мере надобности для встреч с деятелями вредительских организаций в СССР и что лица, приезжающие с такой целью в Берлин[,] обычно хорошо знают ту или иную часть России и поэтому прекрасно ориентируются и что все директивы, получаемые таким обра30м через руки эмигрантов, как директивы французского генерального штаба[,] для нашей организации являются обязательными к исполнению. Это совещание носило уже явно административный характер, из которого следовало, что каждый участник организации связывает себя выполнением тех или других работ по прямым директивам зарубежных кругов. Поэтому на этом заседании НОА откровенно выразил желание наметить практические мероприятия только в присутствии указанной выше пятерки, а остальным заявил, что все решения, какие эта пятерка примет[,] каждый из нас узнает на другой день. Действительно, на другой или на третий день в Техсовете ВСНХ СССР мне КЛЕВЕЗАЛЬ передал, что они (пятерка) принимают на себя ведение всей работы: экспертизу и назначение докладчиков в Техсовете по всем без исключения проектам и всяким сооружениям на Кавказе и лесопильным заводам Северного района на себя, а нам[,] участникам организации[,] остается все строительство на остальной территории и пространстве СССР, т. е. рассмотрение проектов и экспертиза по этому строительству, причем и эта работа должна была проходить в полной согласованности с КЛЕВЕЗАЛЕМ или КУЗНЕЦОВЫМ. Тут же КЛЕВЕЗАЛЬ мне объяснил, что подобного рода разграничение работы преследует цели, отвечающие требованиям интервенции, что район Кавказа и Севера представляют собою стратегическую зону[,] на территории которой и следует все выдвигаемые сооружения строить под таким углом зрения, чтобы они в случае войны могли быть в руках неприятеля использованы в военных целях.</w:t>
      </w:r>
    </w:p>
    <w:p w14:paraId="7262D5A9" w14:textId="77777777" w:rsidR="00CE5133" w:rsidRPr="00507A31" w:rsidRDefault="00CE5133" w:rsidP="00507A31">
      <w:pPr>
        <w:jc w:val="both"/>
        <w:rPr>
          <w:color w:val="000000" w:themeColor="text1"/>
          <w:sz w:val="16"/>
          <w:szCs w:val="16"/>
        </w:rPr>
      </w:pPr>
      <w:r w:rsidRPr="00507A31">
        <w:rPr>
          <w:color w:val="000000" w:themeColor="text1"/>
          <w:sz w:val="16"/>
          <w:szCs w:val="16"/>
        </w:rPr>
        <w:t>Таким образом[,] устранившись от проектной работы и строительства на Кавказе и на Севере[,] мне уже позднее из случайных разговоров стало известно то, что строилось именно в целях облегчения интервенции. Так[,] напр.[,] в разговоре с КЛЕВЕЗАЛЕМ о советском достижении в строительной] промышленности, который происходил в присутствии НОА, КУЗНЕЦОВА и ШТАММА на квартире КЛЕВЕЗАЛЯ, НОА, а за ним и ШТАММ и КУЗНЕЦОВ общими недвусмысленными фразами подчеркнули, что это достижение имеет двоякую цену, т. к. под видом советского строительства в районе Кавказа удалось устроить площадки и платформы, скрытые под видом фундамента под механизмы и двигатели для устройства на них орудий, а также построить склады как места для хранения тех или других материалов, которые в любой момент могут быть превращены в ангары для военно[-]воздушных флотилий. Причем НОА высказывается в этом же смысле отдельными фразами, добавляя, что в этом нового ничего нет, что они, т. е. члены вредительской] организации, копируют это с Германии времен подготовки ее к империалистической войне, когда она воздвигаемые здания и сооружения, вплоть до ателье, где производятся киносъемки[,] строила с таким расчетом, что&lt;бы&gt; в нужный момент превратить эти сооружения, отвечающим военным целям[.] Кажется несколько позднее, а может быть и в этот раз КЛЕВЕЗАЛЬ подчеркивал и о том, что нефтеперегонный трубопровод Грозный — Туапсе заложен на открытой местности, что его даже видно в бинокль с моря. Это обстоятельство высказывалось с особым ироническим подчеркиванием и было ясно для каждого слушателя, что нефтепровод может быть подвергнут обстрелу и что сделано это руками вредительской организации. В 1928 г. встал вопрос о постройке Ингурской бумажной фабрики, весь ход событий связанных с этой постройкой был весьма странный и подозрительный; все дело этой фабрики находилось в руках КЛЕВЕЗАЛЯ и с ним лишь работали, как советчики ШТАММ и КУЗНЕЦОВ. Прежде всего всех поражало, что эти лица[,] призванные осуществлять техническую экспертизу, входили в рассмотрение экономической стороны дела — района, где она должна была строит[ь]ся, или короче говоря, стремились к тому, чтобы она строилась в определенном месте. Наконец проектирование фабрики без всяких оснований затягивалось на длительный период и, как впоследствии оказалось[,] только для того, чтобы передать проектирование не только самой фабрики, но и жилищного поселка в Германию, что и удалось сделать. Уже позднее на квартире КЛЕВЕЗАЛЯ, в присутствии моем, ШТАММА и КУЗНЕЦОВА, КЛЕВЕЗАЛЬ, а ему в то[н] и двое последних говорили[,] что эта фабрика строится в заранее подготовленном пункте, важном в стратегическом отношении и согласованном &lt;с&gt; французским генеральным штабом и будет оправдывать двоякие цели: с одной стороны[,] она может немедленно перейти на работу взрывчатых веществ, а в самом поселке может быть расквартирован дессант войск.</w:t>
      </w:r>
    </w:p>
    <w:p w14:paraId="54ABB785" w14:textId="77777777" w:rsidR="00CE5133" w:rsidRPr="00507A31" w:rsidRDefault="00CE5133" w:rsidP="00507A31">
      <w:pPr>
        <w:jc w:val="both"/>
        <w:rPr>
          <w:color w:val="000000" w:themeColor="text1"/>
          <w:sz w:val="16"/>
          <w:szCs w:val="16"/>
        </w:rPr>
      </w:pPr>
      <w:r w:rsidRPr="00507A31">
        <w:rPr>
          <w:color w:val="000000" w:themeColor="text1"/>
          <w:sz w:val="16"/>
          <w:szCs w:val="16"/>
        </w:rPr>
        <w:t>Только после этих разговоров мне стали ясны все перепитии замедления проектирования в СССР и передача разработки проекта в Германию вплоть до жилых помещений поселка, составлявшего, как видно, не столько трудностей и сложностей его проекта, сколько предмет военных замыслов.</w:t>
      </w:r>
    </w:p>
    <w:p w14:paraId="5AAC3E5C" w14:textId="77777777" w:rsidR="00CE5133" w:rsidRPr="00507A31" w:rsidRDefault="00CE5133" w:rsidP="00507A31">
      <w:pPr>
        <w:jc w:val="both"/>
        <w:rPr>
          <w:color w:val="000000" w:themeColor="text1"/>
          <w:sz w:val="16"/>
          <w:szCs w:val="16"/>
        </w:rPr>
      </w:pPr>
      <w:r w:rsidRPr="00507A31">
        <w:rPr>
          <w:color w:val="000000" w:themeColor="text1"/>
          <w:sz w:val="16"/>
          <w:szCs w:val="16"/>
        </w:rPr>
        <w:t>Возвращение КУЗНЕЦОВА из заграничной командировки не было ознаменовано специальным собранием, т. к. сам КУЗНЕЦОВ в Техсовете мне, МИЛЕВСКОМУ и САМОЙЛОВУ в присутствии КЛЕВЕЗАЛЯ сообщил, что они — НОА, ШТАММ, КЛЕВЕЗАЛЬ и КУЗНЕЦОВ успели уже посовещаться относительно привезенных директив и что имеется согласованное мнение, но в общих чертах он тут же в присутствии тех же лиц сказал, что вооруженное нападение на Советский Союз теперь уже неизбежно, что срок этого выступления не заходит за пределы окончания пятилетнего плана и что его на основе полученных заграницей указаний нужно ожидать в 1930 г. и в крайнем случае в 1931 году. Тут же он сказал, что на основе полученных им директив перед нашей организацией стоит задача по возможности пропускать проекты со всеми в них недостатками, не раздражая проектирующие организации и одобряя всякие нелепости увлекающейся молодежи. В то же время следует подвергнуть критике всякие наши законодательные нормы, чтобы спутать этим окончательно проектирующие организации и внести в дело проектирования такой хаос, при котором наиболее легко проводить вредительские замыслы. С этого момента КЛЕВЕЗАЛЬ стал устраивать частые заседания по пересмотру разных законодательных мероприятий, писал полученные на заседаниях замечания в КОМСТО, там их перерабатывали, затем появились на свет «Единые нормы», а старые не были отменены[,] и страна в настоящее время не знает каким нормам следовать. Примерно то же самое, только с большей настойчивостью, подтвердил это и ШТАММ после его возвращения из заграничной командировки в 1929 году. Он в Техсовете в присутствии моем, МАСЛОВА, КЛЕВЕЗАЛЯ, МИЛЕВСКОГО и САМОЙЛОВА сообщил, что изменений в сроке предполагаемой интервенции за границей не произошло, что выступление ожидается [в] 1930-31 году. Он же еще раз подтвердил, что руководит организацией выступления французский генеральный штаб, а обработкой общественного мнения заграницей в пользу нападения на Советский Союза занимаются видные французские деятели, в частности была упомянута в числе других лиц фамилия ЭРБЕТА. Далее ШТАММ указал, что при встрече в Берлине с представителями белой эмиграции, он внес предложение внести путаницу в порядок прохождения проектов и их утверждения, каковой существовал до сих пор в СССР[,] и что это его предложение было принято и поэтому он, КЛЕВЕЗАЛЬ и КУЗНЕЦОВ постараются внушить проектирующим организациям необходимость подвергнуть критике существующий до сих пор порядок[,] и действительно в результате поднятой шумихи появился так называемый закон 26 декабря [19]29 г., который смешал функции отраслевых НТСов, Техсовета, НКТруда и друг[их] органов настолько, что его осуществление является до сих пор невозможным, а отсюда как следствие появились многие Техсоветы при отраслевых НТСах, ничем в своей работе не координируемые, не ведущие единой строительной политики. Все это настолько дезорганизовало всю проектную работу, что требуется срочное вмешательство для кардинального пересмотра постановки дела в целом.</w:t>
      </w:r>
    </w:p>
    <w:p w14:paraId="1CE12F7B" w14:textId="77777777" w:rsidR="00CE5133" w:rsidRPr="00507A31" w:rsidRDefault="00CE5133" w:rsidP="00507A31">
      <w:pPr>
        <w:jc w:val="both"/>
        <w:rPr>
          <w:color w:val="000000" w:themeColor="text1"/>
          <w:sz w:val="16"/>
          <w:szCs w:val="16"/>
        </w:rPr>
      </w:pPr>
      <w:r w:rsidRPr="00507A31">
        <w:rPr>
          <w:color w:val="000000" w:themeColor="text1"/>
          <w:sz w:val="16"/>
          <w:szCs w:val="16"/>
        </w:rPr>
        <w:t>Кроме КУЖИНА вредительская организация строительной промышленности была связана через КЛЕВЕЗАЛЯ с главой вредительской организации военной промышленности МИХАЙЛОВЫМ.</w:t>
      </w:r>
    </w:p>
    <w:p w14:paraId="05E75648" w14:textId="77777777" w:rsidR="00CE5133" w:rsidRPr="00507A31" w:rsidRDefault="00CE5133" w:rsidP="00507A31">
      <w:pPr>
        <w:jc w:val="both"/>
        <w:rPr>
          <w:color w:val="000000" w:themeColor="text1"/>
          <w:sz w:val="16"/>
          <w:szCs w:val="16"/>
        </w:rPr>
      </w:pPr>
      <w:r w:rsidRPr="00507A31">
        <w:rPr>
          <w:color w:val="000000" w:themeColor="text1"/>
          <w:sz w:val="16"/>
          <w:szCs w:val="16"/>
        </w:rPr>
        <w:t>В. СЕРОЦИНСКИЙ.</w:t>
      </w:r>
    </w:p>
    <w:p w14:paraId="16E5BE68" w14:textId="77777777" w:rsidR="00CE5133" w:rsidRPr="00507A31" w:rsidRDefault="00CE5133" w:rsidP="00507A31">
      <w:pPr>
        <w:jc w:val="both"/>
        <w:rPr>
          <w:color w:val="000000" w:themeColor="text1"/>
          <w:sz w:val="16"/>
          <w:szCs w:val="16"/>
        </w:rPr>
      </w:pPr>
      <w:r w:rsidRPr="00507A31">
        <w:rPr>
          <w:color w:val="000000" w:themeColor="text1"/>
          <w:sz w:val="16"/>
          <w:szCs w:val="16"/>
        </w:rPr>
        <w:t>Допросил: Пом. Нач. 2-го Отд[еления] ЭКУ ОГПУ (Иванов).</w:t>
      </w:r>
    </w:p>
    <w:p w14:paraId="06C662BE" w14:textId="77777777" w:rsidR="00CE5133" w:rsidRPr="00507A31" w:rsidRDefault="00CE5133" w:rsidP="00507A31">
      <w:pPr>
        <w:jc w:val="both"/>
        <w:rPr>
          <w:color w:val="000000" w:themeColor="text1"/>
          <w:sz w:val="16"/>
          <w:szCs w:val="16"/>
        </w:rPr>
      </w:pPr>
      <w:r w:rsidRPr="00507A31">
        <w:rPr>
          <w:color w:val="000000" w:themeColor="text1"/>
          <w:sz w:val="16"/>
          <w:szCs w:val="16"/>
        </w:rPr>
        <w:t>Д. 354. Л. 151-152, 153-159. Незаверенные машинописные копии того времени. На Л. 151 и 153 вверху — делопроизводственные пометы (машинописью), штампы о размножении документа (не заполнены) и рассылке с вписанными от руки датой (23.X.1930) и номером (№ П968) (18481).</w:t>
      </w:r>
    </w:p>
    <w:p w14:paraId="03C6C707" w14:textId="77777777" w:rsidR="00CE5133" w:rsidRPr="00507A31" w:rsidRDefault="00CE5133" w:rsidP="00507A31">
      <w:pPr>
        <w:jc w:val="both"/>
        <w:rPr>
          <w:color w:val="000000" w:themeColor="text1"/>
          <w:sz w:val="16"/>
          <w:szCs w:val="16"/>
        </w:rPr>
      </w:pPr>
    </w:p>
    <w:p w14:paraId="7BCE0D43"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2ADFCC9C"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Показания К. В. Ситнина о методах подготовки «почвы для интервенции» в СССР. Приложение к письму № П968 о рассылке материалов следствия. 23 октября 1930 г.</w:t>
      </w:r>
    </w:p>
    <w:p w14:paraId="66B94D84" w14:textId="77777777" w:rsidR="00CE5133" w:rsidRPr="00507A31" w:rsidRDefault="00CE5133" w:rsidP="00507A31">
      <w:pPr>
        <w:jc w:val="both"/>
        <w:rPr>
          <w:color w:val="000000" w:themeColor="text1"/>
          <w:sz w:val="16"/>
          <w:szCs w:val="16"/>
        </w:rPr>
      </w:pPr>
      <w:r w:rsidRPr="00507A31">
        <w:rPr>
          <w:color w:val="000000" w:themeColor="text1"/>
          <w:sz w:val="16"/>
          <w:szCs w:val="16"/>
        </w:rPr>
        <w:t>Источник: </w:t>
      </w:r>
    </w:p>
    <w:p w14:paraId="6DDFC0C7" w14:textId="77777777" w:rsidR="00CE5133" w:rsidRPr="00507A31" w:rsidRDefault="00CE513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BF38DDA" w14:textId="77777777" w:rsidR="00CE5133" w:rsidRPr="00507A31" w:rsidRDefault="00CE5133" w:rsidP="00507A31">
      <w:pPr>
        <w:jc w:val="both"/>
        <w:rPr>
          <w:color w:val="000000" w:themeColor="text1"/>
          <w:sz w:val="16"/>
          <w:szCs w:val="16"/>
        </w:rPr>
      </w:pPr>
      <w:r w:rsidRPr="00507A31">
        <w:rPr>
          <w:color w:val="000000" w:themeColor="text1"/>
          <w:sz w:val="16"/>
          <w:szCs w:val="16"/>
        </w:rPr>
        <w:t>Архив: </w:t>
      </w:r>
    </w:p>
    <w:p w14:paraId="0995ABE8" w14:textId="77777777" w:rsidR="00CE5133" w:rsidRPr="00507A31" w:rsidRDefault="00CE5133" w:rsidP="00507A31">
      <w:pPr>
        <w:jc w:val="both"/>
        <w:rPr>
          <w:color w:val="000000" w:themeColor="text1"/>
          <w:sz w:val="16"/>
          <w:szCs w:val="16"/>
        </w:rPr>
      </w:pPr>
      <w:r w:rsidRPr="00507A31">
        <w:rPr>
          <w:color w:val="000000" w:themeColor="text1"/>
          <w:sz w:val="16"/>
          <w:szCs w:val="16"/>
        </w:rPr>
        <w:lastRenderedPageBreak/>
        <w:t>ЦА ФСБ РФ. Ф. Р-42280. Т. 10. Л. 267-267</w:t>
      </w:r>
    </w:p>
    <w:p w14:paraId="4DF0903D"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20DA4D67" w14:textId="77777777" w:rsidR="00CE5133" w:rsidRPr="00507A31" w:rsidRDefault="00CE5133" w:rsidP="00507A31">
      <w:pPr>
        <w:jc w:val="both"/>
        <w:rPr>
          <w:color w:val="000000" w:themeColor="text1"/>
          <w:sz w:val="16"/>
          <w:szCs w:val="16"/>
        </w:rPr>
      </w:pPr>
      <w:r w:rsidRPr="00507A31">
        <w:rPr>
          <w:color w:val="000000" w:themeColor="text1"/>
          <w:sz w:val="16"/>
          <w:szCs w:val="16"/>
        </w:rPr>
        <w:t>СТРОГО СЕКРЕТНО</w:t>
      </w:r>
    </w:p>
    <w:p w14:paraId="71D828B4" w14:textId="77777777" w:rsidR="00CE5133" w:rsidRPr="00507A31" w:rsidRDefault="00CE5133" w:rsidP="00507A31">
      <w:pPr>
        <w:jc w:val="both"/>
        <w:rPr>
          <w:color w:val="000000" w:themeColor="text1"/>
          <w:sz w:val="16"/>
          <w:szCs w:val="16"/>
        </w:rPr>
      </w:pPr>
      <w:r w:rsidRPr="00507A31">
        <w:rPr>
          <w:color w:val="000000" w:themeColor="text1"/>
          <w:sz w:val="16"/>
          <w:szCs w:val="16"/>
        </w:rPr>
        <w:t>ПРОТОКОЛ ДОПРОСА</w:t>
      </w:r>
    </w:p>
    <w:p w14:paraId="0C9E7BC1" w14:textId="77777777" w:rsidR="00CE5133" w:rsidRPr="00507A31" w:rsidRDefault="00CE5133" w:rsidP="00507A31">
      <w:pPr>
        <w:jc w:val="both"/>
        <w:rPr>
          <w:color w:val="000000" w:themeColor="text1"/>
          <w:sz w:val="16"/>
          <w:szCs w:val="16"/>
        </w:rPr>
      </w:pPr>
      <w:r w:rsidRPr="00507A31">
        <w:rPr>
          <w:color w:val="000000" w:themeColor="text1"/>
          <w:sz w:val="16"/>
          <w:szCs w:val="16"/>
        </w:rPr>
        <w:t>СИТНИНА Ксенофонта Васильевича от 18/Х-30 г.</w:t>
      </w:r>
    </w:p>
    <w:p w14:paraId="36FE400E" w14:textId="77777777" w:rsidR="00CE5133" w:rsidRPr="00507A31" w:rsidRDefault="00CE5133" w:rsidP="00507A31">
      <w:pPr>
        <w:jc w:val="both"/>
        <w:rPr>
          <w:color w:val="000000" w:themeColor="text1"/>
          <w:sz w:val="16"/>
          <w:szCs w:val="16"/>
        </w:rPr>
      </w:pPr>
      <w:r w:rsidRPr="00507A31">
        <w:rPr>
          <w:color w:val="000000" w:themeColor="text1"/>
          <w:sz w:val="16"/>
          <w:szCs w:val="16"/>
        </w:rPr>
        <w:t>В 1928 году, перед отъездом заграницу КУПРИЯНОВ С. В. просил меня, проездом через ПАРИЖ, зайти к его бывшему хозяину И. А. КОНОВАЛОВУ, для того чтобы, с одной стороны, передать ему, как обстоят дела в организации и [в] текстильной промышленности (каковую информацию он мне тут же сообщил), и с другой узнать у него, как обстоят дела заграницей. Просьбу свою он мотивировал тем, что, если А. А. ФЕДОТОВ выедет заграницу, то мой визит будет не нужен, но, может быть, ему не удастся, почему[-]либо, выехать, тогда мое посещение будет крайне необходимо.</w:t>
      </w:r>
    </w:p>
    <w:p w14:paraId="52EC219E" w14:textId="77777777" w:rsidR="00CE5133" w:rsidRPr="00507A31" w:rsidRDefault="00CE5133" w:rsidP="00507A31">
      <w:pPr>
        <w:jc w:val="both"/>
        <w:rPr>
          <w:color w:val="000000" w:themeColor="text1"/>
          <w:sz w:val="16"/>
          <w:szCs w:val="16"/>
        </w:rPr>
      </w:pPr>
      <w:r w:rsidRPr="00507A31">
        <w:rPr>
          <w:color w:val="000000" w:themeColor="text1"/>
          <w:sz w:val="16"/>
          <w:szCs w:val="16"/>
        </w:rPr>
        <w:t>КОНОВАЛОВ, получив мою информацию о положении дел у нас, в свою очередь разсказал мне о том, что ПУАНКАРЕ вызывал недавно и дал аудиенцию ТРЕТЬЯКОВУ и РЯБУШИНСКОМУ. Во время этой аудиенции, которая была незадолго перед формированием им своего кабинета, он сказал мне, что настоящий момент нового крупного поворота влево советской политики является весьма удобным для борьбы с Советской властью. Согласно этому, он предложил ТРЕТЬЯКОВУ и РЯБУШИНСКОМУ как представителям ТОРГПРОМА — дать указание советским инженерным организациям о подготовке почвы для интервенции. Подготовка эта, по словам КОНОВАЛОВА, как директива ТОРГПРОМА, должна заключаться в том, чтобы к желательному моменту интервенции (1930-31 год) возможно более обострить экономический и материальный кризис в СССР и тем вызвать соответственное настроение, как в рабочих, так и крестьянских массах. КОНОВАЛОВ сообщил также, что связь с ТОРГПРОМОМ по этим вопросам надо вести через Французское Посольство, где посол ЖАН ЭРБЕТТ и Пом[ощник] атташе ЛУИ КЮФЕР знаю[т] об этом.</w:t>
      </w:r>
    </w:p>
    <w:p w14:paraId="47D27DA5" w14:textId="77777777" w:rsidR="00CE5133" w:rsidRPr="00507A31" w:rsidRDefault="00CE5133" w:rsidP="00507A31">
      <w:pPr>
        <w:jc w:val="both"/>
        <w:rPr>
          <w:color w:val="000000" w:themeColor="text1"/>
          <w:sz w:val="16"/>
          <w:szCs w:val="16"/>
        </w:rPr>
      </w:pPr>
      <w:r w:rsidRPr="00507A31">
        <w:rPr>
          <w:color w:val="000000" w:themeColor="text1"/>
          <w:sz w:val="16"/>
          <w:szCs w:val="16"/>
        </w:rPr>
        <w:t>По приезде в Москву, я сообщал об этом ФЕДОТОВУ, КУПРИЯНОВУ, КИРПОТЕНКО, ДЕРЖАВИНУ и НОЛЬДЕ. Сообщения эти были сделаны мною в ВТС в кабинете С. В. КУПРИЯНОВА. Для связи с миссией намечены были по[-]старому КИРПОТЕНКО и НОЛЬДЕ.</w:t>
      </w:r>
    </w:p>
    <w:p w14:paraId="712AF536" w14:textId="77777777" w:rsidR="00CE5133" w:rsidRPr="00507A31" w:rsidRDefault="00CE5133" w:rsidP="00507A31">
      <w:pPr>
        <w:jc w:val="both"/>
        <w:rPr>
          <w:color w:val="000000" w:themeColor="text1"/>
          <w:sz w:val="16"/>
          <w:szCs w:val="16"/>
        </w:rPr>
      </w:pPr>
      <w:r w:rsidRPr="00507A31">
        <w:rPr>
          <w:color w:val="000000" w:themeColor="text1"/>
          <w:sz w:val="16"/>
          <w:szCs w:val="16"/>
        </w:rPr>
        <w:t>ФЕДОТОВ сообщил тоже самое о своих разговорах с КРАПОВЫМ, которого он видел в БЕРЛИНЕ. При этом ФЕДОТОВ добавил, что КАРПОВ сказал ему, что, якобы во время визита членов ПРЕЗИДИУМА ТОРГПРОМА [к] ПУАНКАРЕ, последний сказал, что практическая работа по подготовке интервенции поручена Французскому Генштабу. Мы же получать будем директивы только от Торгпрома.</w:t>
      </w:r>
    </w:p>
    <w:p w14:paraId="180E0365" w14:textId="77777777" w:rsidR="00CE5133" w:rsidRPr="00507A31" w:rsidRDefault="00CE5133" w:rsidP="00507A31">
      <w:pPr>
        <w:jc w:val="both"/>
        <w:rPr>
          <w:color w:val="000000" w:themeColor="text1"/>
          <w:sz w:val="16"/>
          <w:szCs w:val="16"/>
        </w:rPr>
      </w:pPr>
      <w:r w:rsidRPr="00507A31">
        <w:rPr>
          <w:color w:val="000000" w:themeColor="text1"/>
          <w:sz w:val="16"/>
          <w:szCs w:val="16"/>
        </w:rPr>
        <w:t>ФЕДОТОВ изложил мероприятия, могущия к этому сроку ([19]30—31 г.) подготовить почву для интервенции[,] это:</w:t>
      </w:r>
    </w:p>
    <w:p w14:paraId="6CA4E705" w14:textId="77777777" w:rsidR="00CE5133" w:rsidRPr="00507A31" w:rsidRDefault="00CE5133" w:rsidP="00507A31">
      <w:pPr>
        <w:jc w:val="both"/>
        <w:rPr>
          <w:color w:val="000000" w:themeColor="text1"/>
          <w:sz w:val="16"/>
          <w:szCs w:val="16"/>
        </w:rPr>
      </w:pPr>
      <w:r w:rsidRPr="00507A31">
        <w:rPr>
          <w:color w:val="000000" w:themeColor="text1"/>
          <w:sz w:val="16"/>
          <w:szCs w:val="16"/>
        </w:rPr>
        <w:t>1)   Создавать нереальные планы заготовок сырья (хлопок, лен, шерсть), чтобы на основе их развивать нереальное строительство.</w:t>
      </w:r>
    </w:p>
    <w:p w14:paraId="0D3FA6E7" w14:textId="77777777" w:rsidR="00CE5133" w:rsidRPr="00507A31" w:rsidRDefault="00CE5133" w:rsidP="00507A31">
      <w:pPr>
        <w:jc w:val="both"/>
        <w:rPr>
          <w:color w:val="000000" w:themeColor="text1"/>
          <w:sz w:val="16"/>
          <w:szCs w:val="16"/>
        </w:rPr>
      </w:pPr>
      <w:r w:rsidRPr="00507A31">
        <w:rPr>
          <w:color w:val="000000" w:themeColor="text1"/>
          <w:sz w:val="16"/>
          <w:szCs w:val="16"/>
        </w:rPr>
        <w:t>2)   Создавать срыв заготовок продовольствия[,] хлебозаготовок, лесозаготовок и т. д. путем умышленного недоснабжения промтоварами этих районов с целью создания продовольственных затруднений и на этой почве вызова недовольства рабочих.</w:t>
      </w:r>
    </w:p>
    <w:p w14:paraId="5DF2979A" w14:textId="77777777" w:rsidR="00CE5133" w:rsidRPr="00507A31" w:rsidRDefault="00CE5133" w:rsidP="00507A31">
      <w:pPr>
        <w:jc w:val="both"/>
        <w:rPr>
          <w:color w:val="000000" w:themeColor="text1"/>
          <w:sz w:val="16"/>
          <w:szCs w:val="16"/>
        </w:rPr>
      </w:pPr>
      <w:r w:rsidRPr="00507A31">
        <w:rPr>
          <w:color w:val="000000" w:themeColor="text1"/>
          <w:sz w:val="16"/>
          <w:szCs w:val="16"/>
        </w:rPr>
        <w:t>3)   Развитие строительства текстильных фаб[ри]к в пограничных районах и местах[,] близких к границам (Кавказ, Белоруссия), могущих, по намекам ФЕДОТОВА, быть использованным в помощь интервенции.</w:t>
      </w:r>
    </w:p>
    <w:p w14:paraId="3EAEC4D0" w14:textId="77777777" w:rsidR="00CE5133" w:rsidRPr="00507A31" w:rsidRDefault="00CE5133" w:rsidP="00507A31">
      <w:pPr>
        <w:jc w:val="both"/>
        <w:rPr>
          <w:color w:val="000000" w:themeColor="text1"/>
          <w:sz w:val="16"/>
          <w:szCs w:val="16"/>
        </w:rPr>
      </w:pPr>
      <w:r w:rsidRPr="00507A31">
        <w:rPr>
          <w:color w:val="000000" w:themeColor="text1"/>
          <w:sz w:val="16"/>
          <w:szCs w:val="16"/>
        </w:rPr>
        <w:t>К. СИТНИН. 18/Х-1930 г.</w:t>
      </w:r>
    </w:p>
    <w:p w14:paraId="51C13F8B" w14:textId="77777777" w:rsidR="00CE5133" w:rsidRPr="00507A31" w:rsidRDefault="00CE5133" w:rsidP="00507A31">
      <w:pPr>
        <w:jc w:val="both"/>
        <w:rPr>
          <w:color w:val="000000" w:themeColor="text1"/>
          <w:sz w:val="16"/>
          <w:szCs w:val="16"/>
        </w:rPr>
      </w:pPr>
      <w:r w:rsidRPr="00507A31">
        <w:rPr>
          <w:color w:val="000000" w:themeColor="text1"/>
          <w:sz w:val="16"/>
          <w:szCs w:val="16"/>
        </w:rPr>
        <w:t>ДОПРОСИЛ: Ст[арший] Уполномоченный] 2-го [Отделения] ЭКУ ОГПУ</w:t>
      </w:r>
    </w:p>
    <w:p w14:paraId="7DAFAB7B" w14:textId="77777777" w:rsidR="00CE5133" w:rsidRPr="00507A31" w:rsidRDefault="00CE5133" w:rsidP="00507A31">
      <w:pPr>
        <w:jc w:val="both"/>
        <w:rPr>
          <w:color w:val="000000" w:themeColor="text1"/>
          <w:sz w:val="16"/>
          <w:szCs w:val="16"/>
        </w:rPr>
      </w:pPr>
      <w:r w:rsidRPr="00507A31">
        <w:rPr>
          <w:color w:val="000000" w:themeColor="text1"/>
          <w:sz w:val="16"/>
          <w:szCs w:val="16"/>
        </w:rPr>
        <w:t>(Наседкин)</w:t>
      </w:r>
    </w:p>
    <w:p w14:paraId="575294C7" w14:textId="77777777" w:rsidR="00CE5133" w:rsidRPr="00507A31" w:rsidRDefault="00CE5133" w:rsidP="00507A31">
      <w:pPr>
        <w:jc w:val="both"/>
        <w:rPr>
          <w:color w:val="000000" w:themeColor="text1"/>
          <w:sz w:val="16"/>
          <w:szCs w:val="16"/>
        </w:rPr>
      </w:pPr>
      <w:r w:rsidRPr="00507A31">
        <w:rPr>
          <w:color w:val="000000" w:themeColor="text1"/>
          <w:sz w:val="16"/>
          <w:szCs w:val="16"/>
        </w:rPr>
        <w:t>Д. 354. Л. 144-145. Незаверенная машинописная копия того времени. На Л. 144 вверху — делопроизводственная помета (машинописью), штампы о размножении (не заполнен) и рассылке документа с вписанными от руки датой (23.X.1930) и номером (№ П968).</w:t>
      </w:r>
    </w:p>
    <w:p w14:paraId="16228351" w14:textId="77777777" w:rsidR="00CE5133" w:rsidRPr="00507A31" w:rsidRDefault="00CE5133" w:rsidP="00507A31">
      <w:pPr>
        <w:jc w:val="both"/>
        <w:rPr>
          <w:color w:val="000000" w:themeColor="text1"/>
          <w:sz w:val="16"/>
          <w:szCs w:val="16"/>
        </w:rPr>
      </w:pPr>
      <w:r w:rsidRPr="00507A31">
        <w:rPr>
          <w:color w:val="000000" w:themeColor="text1"/>
          <w:sz w:val="16"/>
          <w:szCs w:val="16"/>
        </w:rPr>
        <w:t>ЦА ФСБ РФ. Ф. Р-42280. Т. 10. Л. 267-267 об. Заверенная машинописная копия того времени (18482).</w:t>
      </w:r>
    </w:p>
    <w:p w14:paraId="451478EA" w14:textId="77777777" w:rsidR="00CE5133" w:rsidRPr="00507A31" w:rsidRDefault="00CE5133" w:rsidP="00507A31">
      <w:pPr>
        <w:jc w:val="both"/>
        <w:rPr>
          <w:color w:val="000000" w:themeColor="text1"/>
          <w:sz w:val="16"/>
          <w:szCs w:val="16"/>
        </w:rPr>
      </w:pPr>
    </w:p>
    <w:p w14:paraId="3D6F9594"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7CCA302B"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Показания А. Н. Державина о планах и сроках «интервенции» против СССР. Приложение к письму № П968 о рассылке материалов следствия от 23 октября 1930 г.</w:t>
      </w:r>
    </w:p>
    <w:p w14:paraId="73A6E6EA" w14:textId="77777777" w:rsidR="00CE5133" w:rsidRPr="00507A31" w:rsidRDefault="00CE5133" w:rsidP="00507A31">
      <w:pPr>
        <w:jc w:val="both"/>
        <w:rPr>
          <w:color w:val="000000" w:themeColor="text1"/>
          <w:sz w:val="16"/>
          <w:szCs w:val="16"/>
        </w:rPr>
      </w:pPr>
      <w:r w:rsidRPr="00507A31">
        <w:rPr>
          <w:color w:val="000000" w:themeColor="text1"/>
          <w:sz w:val="16"/>
          <w:szCs w:val="16"/>
        </w:rPr>
        <w:t>Источник: </w:t>
      </w:r>
    </w:p>
    <w:p w14:paraId="64F5A49A" w14:textId="77777777" w:rsidR="00CE5133" w:rsidRPr="00507A31" w:rsidRDefault="00CE513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EB8A30E" w14:textId="77777777" w:rsidR="00CE5133" w:rsidRPr="00507A31" w:rsidRDefault="00CE5133" w:rsidP="00507A31">
      <w:pPr>
        <w:jc w:val="both"/>
        <w:rPr>
          <w:color w:val="000000" w:themeColor="text1"/>
          <w:sz w:val="16"/>
          <w:szCs w:val="16"/>
        </w:rPr>
      </w:pPr>
      <w:r w:rsidRPr="00507A31">
        <w:rPr>
          <w:color w:val="000000" w:themeColor="text1"/>
          <w:sz w:val="16"/>
          <w:szCs w:val="16"/>
        </w:rPr>
        <w:t>Архив: </w:t>
      </w:r>
    </w:p>
    <w:p w14:paraId="4C541445" w14:textId="77777777" w:rsidR="00CE5133" w:rsidRPr="00507A31" w:rsidRDefault="00CE5133" w:rsidP="00507A31">
      <w:pPr>
        <w:jc w:val="both"/>
        <w:rPr>
          <w:color w:val="000000" w:themeColor="text1"/>
          <w:sz w:val="16"/>
          <w:szCs w:val="16"/>
        </w:rPr>
      </w:pPr>
      <w:r w:rsidRPr="00507A31">
        <w:rPr>
          <w:color w:val="000000" w:themeColor="text1"/>
          <w:sz w:val="16"/>
          <w:szCs w:val="16"/>
        </w:rPr>
        <w:t>ЦА ФСБ РФ. Ф. Р-42280. Т. 10. Л. 306</w:t>
      </w:r>
    </w:p>
    <w:p w14:paraId="509A8025"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5232E68E" w14:textId="77777777" w:rsidR="00CE5133" w:rsidRPr="00507A31" w:rsidRDefault="00CE5133" w:rsidP="00507A31">
      <w:pPr>
        <w:jc w:val="both"/>
        <w:rPr>
          <w:color w:val="000000" w:themeColor="text1"/>
          <w:sz w:val="16"/>
          <w:szCs w:val="16"/>
        </w:rPr>
      </w:pPr>
      <w:r w:rsidRPr="00507A31">
        <w:rPr>
          <w:color w:val="000000" w:themeColor="text1"/>
          <w:sz w:val="16"/>
          <w:szCs w:val="16"/>
        </w:rPr>
        <w:t>СТРОГО СЕКРЕТНО</w:t>
      </w:r>
    </w:p>
    <w:p w14:paraId="05C3AAA2"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ПОКАЗАНИЯ</w:t>
      </w:r>
    </w:p>
    <w:p w14:paraId="3E75C28C" w14:textId="77777777" w:rsidR="00CE5133" w:rsidRPr="00507A31" w:rsidRDefault="00CE5133" w:rsidP="00507A31">
      <w:pPr>
        <w:jc w:val="both"/>
        <w:rPr>
          <w:color w:val="000000" w:themeColor="text1"/>
          <w:sz w:val="16"/>
          <w:szCs w:val="16"/>
        </w:rPr>
      </w:pPr>
      <w:r w:rsidRPr="00507A31">
        <w:rPr>
          <w:color w:val="000000" w:themeColor="text1"/>
          <w:sz w:val="16"/>
          <w:szCs w:val="16"/>
        </w:rPr>
        <w:t>ДЕРЖАВИНА А. Н. ОТ 18/Х-1930 г.</w:t>
      </w:r>
    </w:p>
    <w:p w14:paraId="46B54974" w14:textId="77777777" w:rsidR="00CE5133" w:rsidRPr="00507A31" w:rsidRDefault="00CE5133" w:rsidP="00507A31">
      <w:pPr>
        <w:jc w:val="both"/>
        <w:rPr>
          <w:color w:val="000000" w:themeColor="text1"/>
          <w:sz w:val="16"/>
          <w:szCs w:val="16"/>
        </w:rPr>
      </w:pPr>
      <w:r w:rsidRPr="00507A31">
        <w:rPr>
          <w:color w:val="000000" w:themeColor="text1"/>
          <w:sz w:val="16"/>
          <w:szCs w:val="16"/>
        </w:rPr>
        <w:t>В Январе или Феврале 1929 года состоялась конференция по рационализации текстильной промышленности.</w:t>
      </w:r>
    </w:p>
    <w:p w14:paraId="33CFC3C1" w14:textId="77777777" w:rsidR="00CE5133" w:rsidRPr="00507A31" w:rsidRDefault="00CE5133" w:rsidP="00507A31">
      <w:pPr>
        <w:jc w:val="both"/>
        <w:rPr>
          <w:color w:val="000000" w:themeColor="text1"/>
          <w:sz w:val="16"/>
          <w:szCs w:val="16"/>
        </w:rPr>
      </w:pPr>
      <w:r w:rsidRPr="00507A31">
        <w:rPr>
          <w:color w:val="000000" w:themeColor="text1"/>
          <w:sz w:val="16"/>
          <w:szCs w:val="16"/>
        </w:rPr>
        <w:t>В один из перерывов собрался небольшой кружок, состоявший из ФЕДОТОВА, КУПРИЯНОВА, меня, КОЛЬЦОВА, КИРПОТИНА, СИТНИНА. ФЕДОТОВ передавал впечатления о своей заграничной поездке и в частности сообщения эмигрантов, с которыми ему приходилось говорить, о возможности интервенции. В период 1924-27 г. большинство эмигрантов рас[с]читывали на постепенную эволюцию Советской власти в сторону капитализма, и потому все старания активных кругов эмиграции были направлены на поддержку и развитие капиталистических элементов в стране и ослабление государственного фактора. Однако, уже в 1927 г. наметился перелом в политике Советской власти в сторону подавления капиталистических элементов — деревенского кулака и городской крупной буржуазии. В связи с намечавшимися репрессиями против этих элементов надежды эмиграции на постепенное перерастание Советского строя в капиталистический рушил[ись] и единственным средством перемены строя в России явилась интервенция. С целью продвинуть это дело, Президиум Торгпрома добился аудиенции у ПУАНКАРЕ, который в то время составлял свой будущий кабинет. ПУАНКАРЕ будто бы обещал начать активную политику в смысле интервенции, потребовал предварительной подготовки внутри СССР для дезорганизации наладившегося экономического положения, чтобы вызвать внутри страны недовольство властью. По сообщению ФЕДОТОВА срок интервенции назначался Торгпромом на [19]30-31 г. Средства[,] намечавшиеся вредительской организацией для этой цели, мною были изложены в показании от 14-го Октября.</w:t>
      </w:r>
    </w:p>
    <w:p w14:paraId="44958A12" w14:textId="77777777" w:rsidR="00CE5133" w:rsidRPr="00507A31" w:rsidRDefault="00CE5133" w:rsidP="00507A31">
      <w:pPr>
        <w:jc w:val="both"/>
        <w:rPr>
          <w:color w:val="000000" w:themeColor="text1"/>
          <w:sz w:val="16"/>
          <w:szCs w:val="16"/>
        </w:rPr>
      </w:pPr>
      <w:r w:rsidRPr="00507A31">
        <w:rPr>
          <w:color w:val="000000" w:themeColor="text1"/>
          <w:sz w:val="16"/>
          <w:szCs w:val="16"/>
        </w:rPr>
        <w:t>А. ДЕРЖАВИН.</w:t>
      </w:r>
    </w:p>
    <w:p w14:paraId="37DEAEE7" w14:textId="77777777" w:rsidR="00CE5133" w:rsidRPr="00507A31" w:rsidRDefault="00CE5133" w:rsidP="00507A31">
      <w:pPr>
        <w:jc w:val="both"/>
        <w:rPr>
          <w:color w:val="000000" w:themeColor="text1"/>
          <w:sz w:val="16"/>
          <w:szCs w:val="16"/>
        </w:rPr>
      </w:pPr>
      <w:r w:rsidRPr="00507A31">
        <w:rPr>
          <w:color w:val="000000" w:themeColor="text1"/>
          <w:sz w:val="16"/>
          <w:szCs w:val="16"/>
        </w:rPr>
        <w:t>Допросил СТ[АРШИЙ] УПОЛНОМОЧЕННЫЙ] 2 ОТДЕЛЕНИЯ] ЭКУ ОГПУ</w:t>
      </w:r>
    </w:p>
    <w:p w14:paraId="74E8B000" w14:textId="77777777" w:rsidR="00CE5133" w:rsidRPr="00507A31" w:rsidRDefault="00CE5133" w:rsidP="00507A31">
      <w:pPr>
        <w:jc w:val="both"/>
        <w:rPr>
          <w:color w:val="000000" w:themeColor="text1"/>
          <w:sz w:val="16"/>
          <w:szCs w:val="16"/>
        </w:rPr>
      </w:pPr>
      <w:r w:rsidRPr="00507A31">
        <w:rPr>
          <w:color w:val="000000" w:themeColor="text1"/>
          <w:sz w:val="16"/>
          <w:szCs w:val="16"/>
        </w:rPr>
        <w:t>(НАСЕДКИН)</w:t>
      </w:r>
    </w:p>
    <w:p w14:paraId="1DB4F945" w14:textId="77777777" w:rsidR="00CE5133" w:rsidRPr="00507A31" w:rsidRDefault="00CE5133" w:rsidP="00507A31">
      <w:pPr>
        <w:jc w:val="both"/>
        <w:rPr>
          <w:color w:val="000000" w:themeColor="text1"/>
          <w:sz w:val="16"/>
          <w:szCs w:val="16"/>
        </w:rPr>
      </w:pPr>
      <w:r w:rsidRPr="00507A31">
        <w:rPr>
          <w:color w:val="000000" w:themeColor="text1"/>
          <w:sz w:val="16"/>
          <w:szCs w:val="16"/>
        </w:rPr>
        <w:t>Д. 354. Л. 146. Незаверенная машинописная копия того времени. Вверху листа — делопроизводственная помета (машинописью), штампы о размножении (не заполнен) и рассылке документа с вписанными от руки датой (23.X.1930) и номером (№ П968).</w:t>
      </w:r>
    </w:p>
    <w:p w14:paraId="42CB9CEA" w14:textId="77777777" w:rsidR="00CE5133" w:rsidRPr="00507A31" w:rsidRDefault="00CE5133" w:rsidP="00507A31">
      <w:pPr>
        <w:jc w:val="both"/>
        <w:rPr>
          <w:color w:val="000000" w:themeColor="text1"/>
          <w:sz w:val="16"/>
          <w:szCs w:val="16"/>
        </w:rPr>
      </w:pPr>
      <w:r w:rsidRPr="00507A31">
        <w:rPr>
          <w:color w:val="000000" w:themeColor="text1"/>
          <w:sz w:val="16"/>
          <w:szCs w:val="16"/>
        </w:rPr>
        <w:t>ЦА ФСБ РФ. Ф. Р-42280. Т. 10. Л. 306. Заверенная машинописная копия того времени (18483).</w:t>
      </w:r>
    </w:p>
    <w:p w14:paraId="184F967A" w14:textId="77777777" w:rsidR="00CE5133" w:rsidRPr="00507A31" w:rsidRDefault="00CE5133" w:rsidP="00507A31">
      <w:pPr>
        <w:jc w:val="both"/>
        <w:rPr>
          <w:color w:val="000000" w:themeColor="text1"/>
          <w:sz w:val="16"/>
          <w:szCs w:val="16"/>
        </w:rPr>
      </w:pPr>
    </w:p>
    <w:p w14:paraId="404C7527"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503720CC"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Показания А. А. Нольде о связях «вредительских» организаций «с белой эмиграцией» и подготовке интервенции. Приложение к письму № П968 о рассылке материалов следствия от 23 октября 1930 г.</w:t>
      </w:r>
    </w:p>
    <w:p w14:paraId="6DF224D2" w14:textId="77777777" w:rsidR="00CE5133" w:rsidRPr="00507A31" w:rsidRDefault="00CE5133" w:rsidP="00507A31">
      <w:pPr>
        <w:jc w:val="both"/>
        <w:rPr>
          <w:color w:val="000000" w:themeColor="text1"/>
          <w:sz w:val="16"/>
          <w:szCs w:val="16"/>
        </w:rPr>
      </w:pPr>
      <w:r w:rsidRPr="00507A31">
        <w:rPr>
          <w:color w:val="000000" w:themeColor="text1"/>
          <w:sz w:val="16"/>
          <w:szCs w:val="16"/>
        </w:rPr>
        <w:t>Источник: </w:t>
      </w:r>
    </w:p>
    <w:p w14:paraId="7D7B9002" w14:textId="77777777" w:rsidR="00CE5133" w:rsidRPr="00507A31" w:rsidRDefault="00CE513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50A985" w14:textId="77777777" w:rsidR="00CE5133" w:rsidRPr="00507A31" w:rsidRDefault="00CE5133" w:rsidP="00507A31">
      <w:pPr>
        <w:jc w:val="both"/>
        <w:rPr>
          <w:color w:val="000000" w:themeColor="text1"/>
          <w:sz w:val="16"/>
          <w:szCs w:val="16"/>
        </w:rPr>
      </w:pPr>
      <w:r w:rsidRPr="00507A31">
        <w:rPr>
          <w:color w:val="000000" w:themeColor="text1"/>
          <w:sz w:val="16"/>
          <w:szCs w:val="16"/>
        </w:rPr>
        <w:t>Архив: </w:t>
      </w:r>
    </w:p>
    <w:p w14:paraId="1984127C" w14:textId="77777777" w:rsidR="00CE5133" w:rsidRPr="00507A31" w:rsidRDefault="00CE5133" w:rsidP="00507A31">
      <w:pPr>
        <w:jc w:val="both"/>
        <w:rPr>
          <w:color w:val="000000" w:themeColor="text1"/>
          <w:sz w:val="16"/>
          <w:szCs w:val="16"/>
        </w:rPr>
      </w:pPr>
      <w:r w:rsidRPr="00507A31">
        <w:rPr>
          <w:color w:val="000000" w:themeColor="text1"/>
          <w:sz w:val="16"/>
          <w:szCs w:val="16"/>
        </w:rPr>
        <w:t>ЦА ФСБ РФ. Ф. Р-42280. Т. 10. Л. 276-277</w:t>
      </w:r>
    </w:p>
    <w:p w14:paraId="7AC5D73D" w14:textId="77777777" w:rsidR="00CE5133" w:rsidRPr="00507A31" w:rsidRDefault="00CE5133" w:rsidP="00507A31">
      <w:pPr>
        <w:jc w:val="both"/>
        <w:rPr>
          <w:color w:val="000000" w:themeColor="text1"/>
          <w:sz w:val="16"/>
          <w:szCs w:val="16"/>
        </w:rPr>
      </w:pPr>
      <w:r w:rsidRPr="00507A31">
        <w:rPr>
          <w:color w:val="000000" w:themeColor="text1"/>
          <w:sz w:val="16"/>
          <w:szCs w:val="16"/>
        </w:rPr>
        <w:t>от 23 октября 1930 г.</w:t>
      </w:r>
    </w:p>
    <w:p w14:paraId="12DF4835" w14:textId="77777777" w:rsidR="00CE5133" w:rsidRPr="00507A31" w:rsidRDefault="00CE5133" w:rsidP="00507A31">
      <w:pPr>
        <w:jc w:val="both"/>
        <w:rPr>
          <w:color w:val="000000" w:themeColor="text1"/>
          <w:sz w:val="16"/>
          <w:szCs w:val="16"/>
        </w:rPr>
      </w:pPr>
      <w:r w:rsidRPr="00507A31">
        <w:rPr>
          <w:color w:val="000000" w:themeColor="text1"/>
          <w:sz w:val="16"/>
          <w:szCs w:val="16"/>
        </w:rPr>
        <w:t>СТРОГО СЕКРЕТНО</w:t>
      </w:r>
    </w:p>
    <w:p w14:paraId="1AE1D546" w14:textId="77777777" w:rsidR="00CE5133" w:rsidRPr="00507A31" w:rsidRDefault="00CE5133" w:rsidP="00507A31">
      <w:pPr>
        <w:jc w:val="both"/>
        <w:rPr>
          <w:color w:val="000000" w:themeColor="text1"/>
          <w:sz w:val="16"/>
          <w:szCs w:val="16"/>
        </w:rPr>
      </w:pPr>
      <w:r w:rsidRPr="00507A31">
        <w:rPr>
          <w:color w:val="000000" w:themeColor="text1"/>
          <w:sz w:val="16"/>
          <w:szCs w:val="16"/>
        </w:rPr>
        <w:t>ПРОТОКОЛ ДОПРОСА.</w:t>
      </w:r>
    </w:p>
    <w:p w14:paraId="64BFA4DC" w14:textId="77777777" w:rsidR="00CE5133" w:rsidRPr="00507A31" w:rsidRDefault="00CE5133" w:rsidP="00507A31">
      <w:pPr>
        <w:jc w:val="both"/>
        <w:rPr>
          <w:color w:val="000000" w:themeColor="text1"/>
          <w:sz w:val="16"/>
          <w:szCs w:val="16"/>
        </w:rPr>
      </w:pPr>
      <w:r w:rsidRPr="00507A31">
        <w:rPr>
          <w:color w:val="000000" w:themeColor="text1"/>
          <w:sz w:val="16"/>
          <w:szCs w:val="16"/>
        </w:rPr>
        <w:t>НОЛЬДЕ Александра Александровича</w:t>
      </w:r>
    </w:p>
    <w:p w14:paraId="2724823C" w14:textId="77777777" w:rsidR="00CE5133" w:rsidRPr="00507A31" w:rsidRDefault="00CE5133" w:rsidP="00507A31">
      <w:pPr>
        <w:jc w:val="both"/>
        <w:rPr>
          <w:color w:val="000000" w:themeColor="text1"/>
          <w:sz w:val="16"/>
          <w:szCs w:val="16"/>
        </w:rPr>
      </w:pPr>
      <w:r w:rsidRPr="00507A31">
        <w:rPr>
          <w:color w:val="000000" w:themeColor="text1"/>
          <w:sz w:val="16"/>
          <w:szCs w:val="16"/>
        </w:rPr>
        <w:t>18 октября 1930 года.</w:t>
      </w:r>
    </w:p>
    <w:p w14:paraId="3EA50A5E" w14:textId="77777777" w:rsidR="00CE5133" w:rsidRPr="00507A31" w:rsidRDefault="00CE5133" w:rsidP="00507A31">
      <w:pPr>
        <w:jc w:val="both"/>
        <w:rPr>
          <w:color w:val="000000" w:themeColor="text1"/>
          <w:sz w:val="16"/>
          <w:szCs w:val="16"/>
        </w:rPr>
      </w:pPr>
      <w:r w:rsidRPr="00507A31">
        <w:rPr>
          <w:color w:val="000000" w:themeColor="text1"/>
          <w:sz w:val="16"/>
          <w:szCs w:val="16"/>
        </w:rPr>
        <w:t xml:space="preserve">В Париже связывающим центром вредительской организации в СССР с белой эмиграцией являлся А. И. ШТУЦЕР, который состоял на работе в Парижском Торгпредстве по экспорту льна. По всем сведениям, которыми я располагаю, ШТУЦЕР находился в связи с Торгпромом, с ним согласовывал общую политику вредительства в СССР и от него получал директивы. Все это делалось через белого эмигранта ПОПЛАВСКОГО, являвшегося деятелем Торгпрома (заведывал не то управлением делами, не то каким[-]то отделом). В 1928 г. в начале лета из Парижа приехал ЛАЗАРКЕВИЧ; неофициально ЛАЗАРКЕВИЧ приехал с поручением от ШТУЦЕРА, как осведомителя о делах работы организации, так и дать указания о дальнейшей работе. В этот же раз он привез и деньги. В перерыв одного из заседаний &lt;пень&gt;ковой конференции в помещении НТУ ВСНХ ЛАЗАРКЕВИЧ мне и АНГИНУ передал, что эмигрантские круги, особенно нефтепромышленники (Лианозовы), горнопромышленники, фамилии не помню, ведут активную работу по подготовке интервенции в СССР. Подоплеку этой подготовки он передавал в таком виде, что Лианозовы и другие деятели белой эмиграции совместно с промышленными и финансовыми кругами Франции склоняют французское правительство на вооруженное </w:t>
      </w:r>
      <w:r w:rsidRPr="00507A31">
        <w:rPr>
          <w:color w:val="000000" w:themeColor="text1"/>
          <w:sz w:val="16"/>
          <w:szCs w:val="16"/>
        </w:rPr>
        <w:lastRenderedPageBreak/>
        <w:t>выступление, обещая при этом в случае успеха, в который[,] по словам ЛАЗАРКЕВИЧА, они твердо верили, все привилегии и преимущества в эксплоатации богатств СССР. О сроке он хотя и говорил, что это намечается к 1930-31 г.г., но что это будет зависеть от подготовленности малых держав (Польша, Румыния, лимитрофы), на которые, как на физическую силу и строились расчеты французским правительством. В связи с этим ЛАЗАРКЕВИЧ просил нас с АНГИНЫМ не только быть готовыми к возможной интервенции, но и оказать ей содействие возможными средствами, в виде затруднений в работе фабрик, их останова, что и делалось вредительской организацией, путем чрезмерных вывозов сырья на внешний рынок. Из разговоров с ЛАЗАРКЕВИЧЕМ у меня сложилось определенное впечатление, что он имел вредительское поручение от белой эмиграции и к работникам кооперации — Льноцентру и Союзу Союзов, причем мне известно, что по Льноцентру он виделся со СТЕРНОМ, которому также передавал деньги. В этот же раз ЛАЗАРКЕВИЧ мне сообщил, что им налажена связь через французскую миссию и то, что будет в дальнейшем поступать от него и ШТУЦЕРА из Парижа[,] пойдет через французскую миссию на имя СУЗДАЛЬЦЕВА. И действительно в 1929 г. СУЗДАЛЬЦЕВ передал мне письмо от ШТУЦЕРА, полученное им через французскую миссию. В этом письме указывалось, что у него, ШТУЦЕРА, были ТИХОМИРОВ (умерший в Париже) и ЗУБЧАНИНОВ, которому он дал указания и ввел в курс о делах, связанных с вредительской работой вообще и интервенцией в частности. Мне лишь в письме указывалось, что подготовка к интервенции идет довольно успешно, что между державами надо ожидать в ближайшем времени соглашения и что в сроке все круги, как официальные правительственные, так и общественные эмигрантские сходятся на 1930 или 1931 г. В этом же письме он обращался ко мне с тем, чтобы вредительская льняная организация вместе со всей текстильной должна учесть предстоящие события и быть во всеоружии. В течение 1928 г. и отчасти 1929 г. со мной говорил инж. СУЗДАЛЬЦЕВ, поддерживавший сношения с фирмой Малькольм через эстонскую миссию. По его словам[,] к нему сведения об интервенции шли от работников фирмы Малькольм Реймер и Нольм, которые принимались в эмигрантских кругах Лондона и, таким образом, осведомлялись об общем положении дел и уже возвращаясь в Ригу, писали ему через Эстонскую миссию. По его сведениям, довольно общим, лимитрофы и Польша вели усиленную работу по подготовке интервенции в виде совещаний военных штабов и промышленных организаций и что со стороны Польши и других мелких государств велись уже определенные разговоры о размерах средств от Франции и Англии для обеспечения планов интервенции. Говоря о роли эмигрантов в данном деле[,] СУЗДАЛЬЦЕВ указывал, что английское отделение Торгпрома в лице РЯБУШИНСКОГО Мих[аила] ведет общую согласованную линию с Торгпромом в Париже и что всем этим делом руководит Франция. Ссылаясь на полученные сведения[,] СУЗДАЛЬЦЕВ также говорил, что начало интервенции возможно уже в 1930 или 1931 г. Эти сведения мною были сообщены ФЕДОТОВУ, для которого, однако, они не являлись новыми, и он хотел в предполагающу[ю]ся тогда поездку заграницу узнать все сведения. После приезда ФЕДОТОВ в ЦНТС в присутствии ДЕРЖАВИНА (и кажется, КУПРИЯНОВА) рассказал, что он виделся с КАРПОВЫМ, от которого он узнал, что ситуация[,] сложившаяся заграницей[,] позволяет говорить о начале интервенции в 1930 или 1931 г., что к этому имеются все предпосылки, моменты разногласий между великими державами удалось устранить, общественное мнение европейских государств по крайней мере в части его более значительных групп исподволь подготовляется; подросло новое поколение, незнающее ужасов прошедшей войны; удалось достигнуть соглашения между Германией и Польшей; что вся сумма этой работы сделана белой эмиграцией и Торгпромом и что КАРПОВ подчеркивал ФЕДОТОВУ большую энергию, проявленную в этой работе РЯБУШИНСКИМ. Тут же ФЕДОТОВ сказал, что по сообщению КАРПОВА белой эмиграции это удалось сделать не только в контакте с правительством Франции, а и с военными кругами. На основе этого ФЕДОТОВ предложил не ослаблять темпа вредительской работы, а если можно[,] даже усилить по тем фабрикам, которые производят изделия для военного ведомства. С этой целью льняная организация вывезла и намечала к вывозу в 1930 г. на экспорт более значительное количество средних номеров, что и должно было уменьшить выработку палаточной ткани и хаки.</w:t>
      </w:r>
    </w:p>
    <w:p w14:paraId="5C8B986E" w14:textId="77777777" w:rsidR="00CE5133" w:rsidRPr="00507A31" w:rsidRDefault="00CE5133" w:rsidP="00507A31">
      <w:pPr>
        <w:jc w:val="both"/>
        <w:rPr>
          <w:color w:val="000000" w:themeColor="text1"/>
          <w:sz w:val="16"/>
          <w:szCs w:val="16"/>
        </w:rPr>
      </w:pPr>
      <w:r w:rsidRPr="00507A31">
        <w:rPr>
          <w:color w:val="000000" w:themeColor="text1"/>
          <w:sz w:val="16"/>
          <w:szCs w:val="16"/>
        </w:rPr>
        <w:t>А. Нольде.</w:t>
      </w:r>
    </w:p>
    <w:p w14:paraId="72639D75" w14:textId="77777777" w:rsidR="00CE5133" w:rsidRPr="00507A31" w:rsidRDefault="00CE5133" w:rsidP="00507A31">
      <w:pPr>
        <w:jc w:val="both"/>
        <w:rPr>
          <w:color w:val="000000" w:themeColor="text1"/>
          <w:sz w:val="16"/>
          <w:szCs w:val="16"/>
        </w:rPr>
      </w:pPr>
      <w:r w:rsidRPr="00507A31">
        <w:rPr>
          <w:color w:val="000000" w:themeColor="text1"/>
          <w:sz w:val="16"/>
          <w:szCs w:val="16"/>
        </w:rPr>
        <w:t>ДОПРОСИЛ: Пом. Нач. 2 Отделения] ЭКУ ОГПУ</w:t>
      </w:r>
    </w:p>
    <w:p w14:paraId="729C881D" w14:textId="77777777" w:rsidR="00CE5133" w:rsidRPr="00507A31" w:rsidRDefault="00CE5133" w:rsidP="00507A31">
      <w:pPr>
        <w:jc w:val="both"/>
        <w:rPr>
          <w:color w:val="000000" w:themeColor="text1"/>
          <w:sz w:val="16"/>
          <w:szCs w:val="16"/>
        </w:rPr>
      </w:pPr>
      <w:r w:rsidRPr="00507A31">
        <w:rPr>
          <w:color w:val="000000" w:themeColor="text1"/>
          <w:sz w:val="16"/>
          <w:szCs w:val="16"/>
        </w:rPr>
        <w:t>(Леванов)</w:t>
      </w:r>
    </w:p>
    <w:p w14:paraId="7A1EAF0D" w14:textId="77777777" w:rsidR="00CE5133" w:rsidRPr="00507A31" w:rsidRDefault="00CE5133" w:rsidP="00507A31">
      <w:pPr>
        <w:jc w:val="both"/>
        <w:rPr>
          <w:color w:val="000000" w:themeColor="text1"/>
          <w:sz w:val="16"/>
          <w:szCs w:val="16"/>
        </w:rPr>
      </w:pPr>
      <w:r w:rsidRPr="00507A31">
        <w:rPr>
          <w:color w:val="000000" w:themeColor="text1"/>
          <w:sz w:val="16"/>
          <w:szCs w:val="16"/>
        </w:rPr>
        <w:t>Д. 354. Л. 147-150. Незаверенная машинописная копия того времени. На Л. 147 вверху — делопроизводственная помета (машинописью), штампы о размножении (не заполнен) и рассылке документа с вписанными от руки датой (23.Х.1930) и номером (№ П968).</w:t>
      </w:r>
    </w:p>
    <w:p w14:paraId="062E82EF" w14:textId="77777777" w:rsidR="00CE5133" w:rsidRPr="00507A31" w:rsidRDefault="00CE5133" w:rsidP="00507A31">
      <w:pPr>
        <w:jc w:val="both"/>
        <w:rPr>
          <w:color w:val="000000" w:themeColor="text1"/>
          <w:sz w:val="16"/>
          <w:szCs w:val="16"/>
        </w:rPr>
      </w:pPr>
      <w:r w:rsidRPr="00507A31">
        <w:rPr>
          <w:color w:val="000000" w:themeColor="text1"/>
          <w:sz w:val="16"/>
          <w:szCs w:val="16"/>
        </w:rPr>
        <w:t>ЦА ФСБ РФ. Ф. Р-42280. Т. 10. Л. 276-277 об. Заверенная машинописная копия того времени (18484).</w:t>
      </w:r>
    </w:p>
    <w:p w14:paraId="4161AC05" w14:textId="77777777" w:rsidR="00CE5133" w:rsidRPr="00507A31" w:rsidRDefault="00CE5133" w:rsidP="00507A31">
      <w:pPr>
        <w:jc w:val="both"/>
        <w:rPr>
          <w:color w:val="000000" w:themeColor="text1"/>
          <w:sz w:val="16"/>
          <w:szCs w:val="16"/>
        </w:rPr>
      </w:pPr>
    </w:p>
    <w:p w14:paraId="5B110133"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3667E303"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Показания А. А. Прозорова о «военной организации и подготовке к интервенции». Приложение к письму № П968 о рассылке материалов следствия от 23 октября 1930 г.</w:t>
      </w:r>
    </w:p>
    <w:p w14:paraId="4A7CA9A1" w14:textId="77777777" w:rsidR="00CE5133" w:rsidRPr="00507A31" w:rsidRDefault="00CE5133" w:rsidP="00507A31">
      <w:pPr>
        <w:jc w:val="both"/>
        <w:rPr>
          <w:color w:val="000000" w:themeColor="text1"/>
          <w:sz w:val="16"/>
          <w:szCs w:val="16"/>
        </w:rPr>
      </w:pPr>
      <w:r w:rsidRPr="00507A31">
        <w:rPr>
          <w:color w:val="000000" w:themeColor="text1"/>
          <w:sz w:val="16"/>
          <w:szCs w:val="16"/>
        </w:rPr>
        <w:t>Источник: </w:t>
      </w:r>
    </w:p>
    <w:p w14:paraId="2B846087" w14:textId="77777777" w:rsidR="00CE5133" w:rsidRPr="00507A31" w:rsidRDefault="00CE513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077E91F"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63370813" w14:textId="77777777" w:rsidR="00CE5133" w:rsidRPr="00507A31" w:rsidRDefault="00CE5133" w:rsidP="00507A31">
      <w:pPr>
        <w:jc w:val="both"/>
        <w:rPr>
          <w:color w:val="000000" w:themeColor="text1"/>
          <w:sz w:val="16"/>
          <w:szCs w:val="16"/>
        </w:rPr>
      </w:pPr>
      <w:r w:rsidRPr="00507A31">
        <w:rPr>
          <w:color w:val="000000" w:themeColor="text1"/>
          <w:sz w:val="16"/>
          <w:szCs w:val="16"/>
        </w:rPr>
        <w:t>СТРОГО СЕКРЕТНО</w:t>
      </w:r>
    </w:p>
    <w:p w14:paraId="513DBB7C" w14:textId="77777777" w:rsidR="00CE5133" w:rsidRPr="00507A31" w:rsidRDefault="00CE5133" w:rsidP="00507A31">
      <w:pPr>
        <w:jc w:val="both"/>
        <w:rPr>
          <w:color w:val="000000" w:themeColor="text1"/>
          <w:sz w:val="16"/>
          <w:szCs w:val="16"/>
        </w:rPr>
      </w:pPr>
      <w:r w:rsidRPr="00507A31">
        <w:rPr>
          <w:color w:val="000000" w:themeColor="text1"/>
          <w:sz w:val="16"/>
          <w:szCs w:val="16"/>
        </w:rPr>
        <w:t>ПРОТОКОЛ ДОПРОСА</w:t>
      </w:r>
    </w:p>
    <w:p w14:paraId="484E642E" w14:textId="77777777" w:rsidR="00CE5133" w:rsidRPr="00507A31" w:rsidRDefault="00CE5133" w:rsidP="00507A31">
      <w:pPr>
        <w:jc w:val="both"/>
        <w:rPr>
          <w:color w:val="000000" w:themeColor="text1"/>
          <w:sz w:val="16"/>
          <w:szCs w:val="16"/>
        </w:rPr>
      </w:pPr>
      <w:r w:rsidRPr="00507A31">
        <w:rPr>
          <w:color w:val="000000" w:themeColor="text1"/>
          <w:sz w:val="16"/>
          <w:szCs w:val="16"/>
        </w:rPr>
        <w:t>1930 г., Октября 18 дня, допрошенный Ст. Уполномоченным</w:t>
      </w:r>
    </w:p>
    <w:p w14:paraId="02661447" w14:textId="77777777" w:rsidR="00CE5133" w:rsidRPr="00507A31" w:rsidRDefault="00CE5133" w:rsidP="00507A31">
      <w:pPr>
        <w:jc w:val="both"/>
        <w:rPr>
          <w:color w:val="000000" w:themeColor="text1"/>
          <w:sz w:val="16"/>
          <w:szCs w:val="16"/>
        </w:rPr>
      </w:pPr>
      <w:r w:rsidRPr="00507A31">
        <w:rPr>
          <w:color w:val="000000" w:themeColor="text1"/>
          <w:sz w:val="16"/>
          <w:szCs w:val="16"/>
        </w:rPr>
        <w:t>8-го Отделения ЭКУ ОГПУ ЯКУБОВСКИМ — гр. ПРОЗОРОВ А. А.</w:t>
      </w:r>
    </w:p>
    <w:p w14:paraId="212499EC"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ПОКАЗАЛ:</w:t>
      </w:r>
    </w:p>
    <w:p w14:paraId="1431BA12" w14:textId="77777777" w:rsidR="00CE5133" w:rsidRPr="00507A31" w:rsidRDefault="00CE5133" w:rsidP="00507A31">
      <w:pPr>
        <w:jc w:val="both"/>
        <w:rPr>
          <w:color w:val="000000" w:themeColor="text1"/>
          <w:sz w:val="16"/>
          <w:szCs w:val="16"/>
        </w:rPr>
      </w:pPr>
      <w:r w:rsidRPr="00507A31">
        <w:rPr>
          <w:color w:val="000000" w:themeColor="text1"/>
          <w:sz w:val="16"/>
          <w:szCs w:val="16"/>
        </w:rPr>
        <w:t>О военной организации и подготовке к интервенции.</w:t>
      </w:r>
    </w:p>
    <w:p w14:paraId="52BC0C05" w14:textId="77777777" w:rsidR="00CE5133" w:rsidRPr="00507A31" w:rsidRDefault="00CE5133" w:rsidP="00507A31">
      <w:pPr>
        <w:jc w:val="both"/>
        <w:rPr>
          <w:color w:val="000000" w:themeColor="text1"/>
          <w:sz w:val="16"/>
          <w:szCs w:val="16"/>
        </w:rPr>
      </w:pPr>
      <w:r w:rsidRPr="00507A31">
        <w:rPr>
          <w:color w:val="000000" w:themeColor="text1"/>
          <w:sz w:val="16"/>
          <w:szCs w:val="16"/>
        </w:rPr>
        <w:t>В дополнение к допросу от 28 сентября добавляю следующие сведения о к. р. организации, в которой я состоял. Во второй половине 1926 г. инж. ПАНПУЛОВ, сообщив мне основные данные по к. р. организации, действующей в области ирригации и мелиорации и возглавляемой РИЗЕНКАМПФОМ и [К]ЕНИНГОМ, добавил, что эта к. р. организация является лишь частью. В Госплане, по его словам, помимо отрасли водного хозяйства есть также ячейки и в других областях, ставящие себе аналогичные задачи. Возможно, что им тогда сообщались и более подробные сведения, но не имея тогда этого понятия о работе Госплана и не зная его работников, я не могу сейчас вспомнить всего и изложу лишь задачи в области военной. Здесь ставилась цель такого рода развития промышленности, в тех областях, которые являются особенно существенными в случае войны, чтобы эти отрасли промышленности с наибольшими затруднениями могли бы[ть] приспособлены к войне и не могли бы осуществлять в случае надобности задач военного снабжения. Точно такие же цели должна была выполнять ячейка в области транспорта. В деятельности в различных областях в этой сфере было такое согласование, что, по словам ПАНПУЛОВА, в случае наступления войны можно было бы ожидать самых серьезных затруднений. Помимо этой беседы некоторые сведения сообщались мне и в дальнейшем, при посещениях мною Госплана, причем возможно, что при этом присутствовали и кто[-]нибудь из Водной Секции — м[ожет] б[ыть,] ЦЕЙДЛЕР или КОПЫЛОВ, которые передавали такие существующие по этому поводу слухи. Не отдавая себе тогда ясного отчета о действительном значении этих разговоров[,] я многое сейчас упустил из памяти, но помню, что одну из таких бесед я, придя в НКЗ[,] изложил инж. МИХАЛЕНКО, сообщив ему о наличии военных задач у действующей в Госплане организации. Эти задачи сводились к соответствующей, как я указал, дезорганизации промышленности на случай военных действий и к тому, чтобы эта промышленность была лишена необходимых для мобилизации ее кадров. Кроме того, говорилось о местах и возможностях нанесения таких повреждений на транспорте и в промышленных предприятиях, которые бы могли нанести серьезные угрозы своевременному развитию военных действий. Не отнесясь в то время с надлежащей серьезностью к этим сведениям и считая их за слухи и зная также способности ПАНПУЛОВА прибавлять к действительности — я не запомнил подробностей, но по[-]видимому ставился вопрос о серьезной подготовке к интервенции.</w:t>
      </w:r>
    </w:p>
    <w:p w14:paraId="13260099" w14:textId="77777777" w:rsidR="00CE5133" w:rsidRPr="00507A31" w:rsidRDefault="00CE5133" w:rsidP="00507A31">
      <w:pPr>
        <w:jc w:val="both"/>
        <w:rPr>
          <w:color w:val="000000" w:themeColor="text1"/>
          <w:sz w:val="16"/>
          <w:szCs w:val="16"/>
        </w:rPr>
      </w:pPr>
      <w:r w:rsidRPr="00507A31">
        <w:rPr>
          <w:color w:val="000000" w:themeColor="text1"/>
          <w:sz w:val="16"/>
          <w:szCs w:val="16"/>
        </w:rPr>
        <w:t>В частности[,] помню, что как[-]то указывалось, что создание таких крупных центров энергоснабжения, как напр[имер] Волховстрой, находящихся вблизи границы и легко могущих быть выведены из действия путем вредительских актов или воздушных налетов противника, может сразу оставить большие промышленные районы без энергии. Это[,] очевидно, я тоже слышал в Госплане.</w:t>
      </w:r>
    </w:p>
    <w:p w14:paraId="33F1ACD3" w14:textId="77777777" w:rsidR="00CE5133" w:rsidRPr="00507A31" w:rsidRDefault="00CE5133" w:rsidP="00507A31">
      <w:pPr>
        <w:jc w:val="both"/>
        <w:rPr>
          <w:color w:val="000000" w:themeColor="text1"/>
          <w:sz w:val="16"/>
          <w:szCs w:val="16"/>
        </w:rPr>
      </w:pPr>
      <w:r w:rsidRPr="00507A31">
        <w:rPr>
          <w:color w:val="000000" w:themeColor="text1"/>
          <w:sz w:val="16"/>
          <w:szCs w:val="16"/>
        </w:rPr>
        <w:t>А. ПРОЗОРОВ.</w:t>
      </w:r>
    </w:p>
    <w:p w14:paraId="597FD9D1" w14:textId="77777777" w:rsidR="00CE5133" w:rsidRPr="00507A31" w:rsidRDefault="00CE5133" w:rsidP="00507A31">
      <w:pPr>
        <w:jc w:val="both"/>
        <w:rPr>
          <w:color w:val="000000" w:themeColor="text1"/>
          <w:sz w:val="16"/>
          <w:szCs w:val="16"/>
        </w:rPr>
      </w:pPr>
      <w:r w:rsidRPr="00507A31">
        <w:rPr>
          <w:color w:val="000000" w:themeColor="text1"/>
          <w:sz w:val="16"/>
          <w:szCs w:val="16"/>
        </w:rPr>
        <w:t>Д. 354. Л. 160-161. Незаверенная машинописная копия того времени. На Л. 160 вверху — делопроизводственная помета (машинописью), штампы о размножении (не заполнен) и рассылке документа с вписанными от руки датой (23.X. 1930) и номером (№ П968) (18485).</w:t>
      </w:r>
    </w:p>
    <w:p w14:paraId="18D4057D" w14:textId="77777777" w:rsidR="00CE5133" w:rsidRPr="00507A31" w:rsidRDefault="00CE5133" w:rsidP="00507A31">
      <w:pPr>
        <w:jc w:val="both"/>
        <w:rPr>
          <w:color w:val="000000" w:themeColor="text1"/>
          <w:sz w:val="16"/>
          <w:szCs w:val="16"/>
        </w:rPr>
      </w:pPr>
    </w:p>
    <w:p w14:paraId="18E348BB"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6269E9E0"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Показания Е. Е. Скорнякова «о связи контрреволюционной организации в ирригации с заграницей». Приложение к письму № П968 о рассылке материалов следствия от 23 октября 1930 г.</w:t>
      </w:r>
    </w:p>
    <w:p w14:paraId="143E1C35" w14:textId="77777777" w:rsidR="00CE5133" w:rsidRPr="00507A31" w:rsidRDefault="00CE5133" w:rsidP="00507A31">
      <w:pPr>
        <w:jc w:val="both"/>
        <w:rPr>
          <w:color w:val="000000" w:themeColor="text1"/>
          <w:sz w:val="16"/>
          <w:szCs w:val="16"/>
        </w:rPr>
      </w:pPr>
      <w:r w:rsidRPr="00507A31">
        <w:rPr>
          <w:color w:val="000000" w:themeColor="text1"/>
          <w:sz w:val="16"/>
          <w:szCs w:val="16"/>
        </w:rPr>
        <w:t>Источник: </w:t>
      </w:r>
    </w:p>
    <w:p w14:paraId="2DCCCAF6" w14:textId="77777777" w:rsidR="00CE5133" w:rsidRPr="00507A31" w:rsidRDefault="00CE513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931191" w14:textId="77777777" w:rsidR="00CE5133" w:rsidRPr="00507A31" w:rsidRDefault="00CE5133" w:rsidP="00507A31">
      <w:pPr>
        <w:jc w:val="both"/>
        <w:rPr>
          <w:color w:val="000000" w:themeColor="text1"/>
          <w:sz w:val="16"/>
          <w:szCs w:val="16"/>
        </w:rPr>
      </w:pPr>
      <w:r w:rsidRPr="00507A31">
        <w:rPr>
          <w:color w:val="000000" w:themeColor="text1"/>
          <w:sz w:val="16"/>
          <w:szCs w:val="16"/>
        </w:rPr>
        <w:t>от 23 октября 1930 г.‌СТРОГО СЕКРЕТНО</w:t>
      </w:r>
    </w:p>
    <w:p w14:paraId="3915A51E" w14:textId="77777777" w:rsidR="00CE5133" w:rsidRPr="00507A31" w:rsidRDefault="00CE5133" w:rsidP="00507A31">
      <w:pPr>
        <w:jc w:val="both"/>
        <w:rPr>
          <w:color w:val="000000" w:themeColor="text1"/>
          <w:sz w:val="16"/>
          <w:szCs w:val="16"/>
        </w:rPr>
      </w:pPr>
      <w:r w:rsidRPr="00507A31">
        <w:rPr>
          <w:color w:val="000000" w:themeColor="text1"/>
          <w:sz w:val="16"/>
          <w:szCs w:val="16"/>
        </w:rPr>
        <w:t>ПРОТОКОЛ ДОПРОСА‌СКОРНЯКОВА Евгения Евгеньевича от 18 октября 1930 г.</w:t>
      </w:r>
    </w:p>
    <w:p w14:paraId="0E6C47A5" w14:textId="77777777" w:rsidR="00CE5133" w:rsidRPr="00507A31" w:rsidRDefault="00CE5133" w:rsidP="00507A31">
      <w:pPr>
        <w:jc w:val="both"/>
        <w:rPr>
          <w:color w:val="000000" w:themeColor="text1"/>
          <w:sz w:val="16"/>
          <w:szCs w:val="16"/>
        </w:rPr>
      </w:pPr>
      <w:r w:rsidRPr="00507A31">
        <w:rPr>
          <w:color w:val="000000" w:themeColor="text1"/>
          <w:sz w:val="16"/>
          <w:szCs w:val="16"/>
        </w:rPr>
        <w:t>Допрошенный Ст[арший] Уполномоченный 8 Отделения ЭКУ ОГПУ, ЗАЗОВСКИМ, я показал следующее:</w:t>
      </w:r>
    </w:p>
    <w:p w14:paraId="6B052CF3" w14:textId="77777777" w:rsidR="00CE5133" w:rsidRPr="00507A31" w:rsidRDefault="00CE5133" w:rsidP="00507A31">
      <w:pPr>
        <w:jc w:val="both"/>
        <w:rPr>
          <w:color w:val="000000" w:themeColor="text1"/>
          <w:sz w:val="16"/>
          <w:szCs w:val="16"/>
        </w:rPr>
      </w:pPr>
      <w:r w:rsidRPr="00507A31">
        <w:rPr>
          <w:color w:val="000000" w:themeColor="text1"/>
          <w:sz w:val="16"/>
          <w:szCs w:val="16"/>
        </w:rPr>
        <w:t xml:space="preserve">По вопросу о связи контр-революционной организации в ирригации с заграницей мне известно из разговора с РИЗЕНКАМПФОМ в 1925 г. (весной) при встрече с ним в Москве около здания Мосфинотдела на площади Революции следующее: Связь поддерживается через Давида Самсоновича ФЛЕКСОРА (Зам. директора Ленинградского Научно-Мелиорационного Института) и его брата[,] живущего в Германии, а также через Василия Эмильевича ШОЛЬЦА, уехавшего в Германию и </w:t>
      </w:r>
      <w:r w:rsidRPr="00507A31">
        <w:rPr>
          <w:color w:val="000000" w:themeColor="text1"/>
          <w:sz w:val="16"/>
          <w:szCs w:val="16"/>
        </w:rPr>
        <w:lastRenderedPageBreak/>
        <w:t>имеющего там большие связи. РИЗЕНКАМПФ информировал меня о том, что заграницей эмигрировавшие капиталисты-текстильщики РЯБУШИНСКИЙ, ВТОРОВ, КУЗНЕЦОВ и др. заинтересованы в получении обратно своих фабрик и взятии концессий на орошение в Туркестане (Голодная Степь, Дальверзин и др.). РИЗЕНКАМПФ говорил мне, что он собирается ехать заграницу и договориться о получении концессии у Советского Правительства на орошение Голодной Степи. Концессию эту формально должна была взять одна немецкая фирма (кажется Ю. Бергер), фактически в ней были заинтересованы РЯБУШИНСКИЙ, ВТОРОВ и др., желавшие получить точку опоры в Советской стране и подготовить почву для будущей капиталистической реставрации. РИЗЕНКАМПФ сообщил, что он действует по продвижению концессии с советской стороны, а ШОЛЬЦ должен вести соответствующую работу по подготовке и переговорам о концессии с немецкой стороны и среди эмигрантов. Мне сообщил тогда РИЗЕНКАМПФ, что дело теперь движется, т. к. в этом заинтересованы бывшие собственники, которые денег на это предприятие не пожалеют. О связи с находящимся заграницей эмигрантами бывшими собственниками мне говорил также Р. П. СПАРРО, причем он говорил о поездке заграницу жены РИЗЕНКАМПФА, ездившей с письмом от ФЛЕКСОРА к его брату заграницу. Примерно в 1925 г. ЦЕЙДЛЕР говорил мне о том, что к.-р. организация получает деньги на свою работу из заграницы. РИЗЕНКАМПФ мне говорил в том же 1925 г., что заграницей бывшие собственники создали свою организацию, стремящуюся к реставрации в России и что к.-р. организация работников ирригации, поддерживаемая этой зарубежной организацией белоэмигрантов[,] ведет свою деятельность, направленную к свержению Соввласти. Я лично поддерживал связь с сотрудником Датского Посольства, бывш. служащим Министерства Земледелия А. А. КОФФОДОМ. Я приглашал его к себе домой и был у него в Посольстве. Говорил я с ним при встрече в Госплане о кризисе в СССР и о тяжести жизни в России. КОФФОД привез мне из заграницы 10 шт. рычажков для пишущей машинки. Сотрудник Госплана ЖАНТИЕВ С. Н.[,] в комнате коего в Госплане я как[-]то встретил КОФФОДА (с которым ЖАНТИЕВ —  старый приятель), советовал мне быть осторожнее во встречах с КОФФОДОМ и вообще с иностранцами; так как за этим следит ГПУ и могут быть неприятности.</w:t>
      </w:r>
    </w:p>
    <w:p w14:paraId="409A6655" w14:textId="77777777" w:rsidR="00CE5133" w:rsidRPr="00507A31" w:rsidRDefault="00CE5133" w:rsidP="00507A31">
      <w:pPr>
        <w:jc w:val="both"/>
        <w:rPr>
          <w:color w:val="000000" w:themeColor="text1"/>
          <w:sz w:val="16"/>
          <w:szCs w:val="16"/>
        </w:rPr>
      </w:pPr>
      <w:r w:rsidRPr="00507A31">
        <w:rPr>
          <w:color w:val="000000" w:themeColor="text1"/>
          <w:sz w:val="16"/>
          <w:szCs w:val="16"/>
        </w:rPr>
        <w:t>Записано под мою диктовку верно, прочитано: Е. СКОРНЯКОВ.</w:t>
      </w:r>
    </w:p>
    <w:p w14:paraId="7E548EAF" w14:textId="77777777" w:rsidR="00CE5133" w:rsidRPr="00507A31" w:rsidRDefault="00CE5133" w:rsidP="00507A31">
      <w:pPr>
        <w:jc w:val="both"/>
        <w:rPr>
          <w:color w:val="000000" w:themeColor="text1"/>
          <w:sz w:val="16"/>
          <w:szCs w:val="16"/>
        </w:rPr>
      </w:pPr>
      <w:r w:rsidRPr="00507A31">
        <w:rPr>
          <w:color w:val="000000" w:themeColor="text1"/>
          <w:sz w:val="16"/>
          <w:szCs w:val="16"/>
        </w:rPr>
        <w:t>Д. 354. Л. 162-163. Незаверенная машинописная копия того времени. Вверху листа — делопроизводственная помета (машинописью), штампы о размножении (не заполнен) и рассылке документа с вписанными от руки датой (23.X. 1930) и номером (№ П968). В левом верхнем углу написано от руки «Возвращ&lt;ено&gt;» (подпись-росчерк, неразборчиво) (18486).</w:t>
      </w:r>
    </w:p>
    <w:p w14:paraId="0CF2DE8A" w14:textId="77777777" w:rsidR="00CE5133" w:rsidRPr="00507A31" w:rsidRDefault="00CE5133" w:rsidP="00507A31">
      <w:pPr>
        <w:jc w:val="both"/>
        <w:rPr>
          <w:color w:val="000000" w:themeColor="text1"/>
          <w:sz w:val="16"/>
          <w:szCs w:val="16"/>
        </w:rPr>
      </w:pPr>
    </w:p>
    <w:p w14:paraId="5C501D7C"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08881796"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Показания В. И. Очкина о планах подготовки «диверсий» на электростанциях, «террористических актов» и интервенции, данные им 19 и 20 октября 1930 г. Приложение к письму № П968 о рассылке материалов следствия от 23 октября 1930 г.</w:t>
      </w:r>
    </w:p>
    <w:p w14:paraId="67FD7A6E" w14:textId="77777777" w:rsidR="00CE5133" w:rsidRPr="00507A31" w:rsidRDefault="00CE5133" w:rsidP="00507A31">
      <w:pPr>
        <w:jc w:val="both"/>
        <w:rPr>
          <w:color w:val="000000" w:themeColor="text1"/>
          <w:sz w:val="16"/>
          <w:szCs w:val="16"/>
        </w:rPr>
      </w:pPr>
      <w:r w:rsidRPr="00507A31">
        <w:rPr>
          <w:color w:val="000000" w:themeColor="text1"/>
          <w:sz w:val="16"/>
          <w:szCs w:val="16"/>
        </w:rPr>
        <w:t>Источник: </w:t>
      </w:r>
    </w:p>
    <w:p w14:paraId="024EBCDC" w14:textId="77777777" w:rsidR="00CE5133" w:rsidRPr="00507A31" w:rsidRDefault="00CE513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AFF0CE" w14:textId="77777777" w:rsidR="00CE5133" w:rsidRPr="00507A31" w:rsidRDefault="00CE5133" w:rsidP="00507A31">
      <w:pPr>
        <w:jc w:val="both"/>
        <w:rPr>
          <w:color w:val="000000" w:themeColor="text1"/>
          <w:sz w:val="16"/>
          <w:szCs w:val="16"/>
        </w:rPr>
      </w:pPr>
      <w:r w:rsidRPr="00507A31">
        <w:rPr>
          <w:color w:val="000000" w:themeColor="text1"/>
          <w:sz w:val="16"/>
          <w:szCs w:val="16"/>
        </w:rPr>
        <w:t>от 23 октября 1930 г.‌СТРОГО СЕКРЕТНО</w:t>
      </w:r>
    </w:p>
    <w:p w14:paraId="75B5E11B" w14:textId="77777777" w:rsidR="00CE5133" w:rsidRPr="00507A31" w:rsidRDefault="00CE5133" w:rsidP="00507A31">
      <w:pPr>
        <w:jc w:val="both"/>
        <w:rPr>
          <w:color w:val="000000" w:themeColor="text1"/>
          <w:sz w:val="16"/>
          <w:szCs w:val="16"/>
        </w:rPr>
      </w:pPr>
      <w:r w:rsidRPr="00507A31">
        <w:rPr>
          <w:color w:val="000000" w:themeColor="text1"/>
          <w:sz w:val="16"/>
          <w:szCs w:val="16"/>
        </w:rPr>
        <w:t>ПРОТОКОЛ ДОПРОСА‌Инженера ОЧКИНА В. И. от «19» октября 1930 г.</w:t>
      </w:r>
    </w:p>
    <w:p w14:paraId="5D89CA95" w14:textId="77777777" w:rsidR="00CE5133" w:rsidRPr="00507A31" w:rsidRDefault="00CE5133" w:rsidP="00507A31">
      <w:pPr>
        <w:jc w:val="both"/>
        <w:rPr>
          <w:color w:val="000000" w:themeColor="text1"/>
          <w:sz w:val="16"/>
          <w:szCs w:val="16"/>
        </w:rPr>
      </w:pPr>
      <w:r w:rsidRPr="00507A31">
        <w:rPr>
          <w:color w:val="000000" w:themeColor="text1"/>
          <w:sz w:val="16"/>
          <w:szCs w:val="16"/>
        </w:rPr>
        <w:t>Подтверждая свои показания от 17 октября, дополнительно показываю:</w:t>
      </w:r>
    </w:p>
    <w:p w14:paraId="0A2DA70D" w14:textId="77777777" w:rsidR="00CE5133" w:rsidRPr="00507A31" w:rsidRDefault="00CE5133" w:rsidP="00507A31">
      <w:pPr>
        <w:jc w:val="both"/>
        <w:rPr>
          <w:color w:val="000000" w:themeColor="text1"/>
          <w:sz w:val="16"/>
          <w:szCs w:val="16"/>
        </w:rPr>
      </w:pPr>
      <w:r w:rsidRPr="00507A31">
        <w:rPr>
          <w:color w:val="000000" w:themeColor="text1"/>
          <w:sz w:val="16"/>
          <w:szCs w:val="16"/>
        </w:rPr>
        <w:t>По возвращении проф. РАМЗИНА в октябре 1928 года из заграницы у него на квартире состоялось нелегальное собрание членов к.-р.</w:t>
      </w:r>
    </w:p>
    <w:p w14:paraId="146E46F0" w14:textId="77777777" w:rsidR="00CE5133" w:rsidRPr="00507A31" w:rsidRDefault="00CE5133" w:rsidP="00507A31">
      <w:pPr>
        <w:jc w:val="both"/>
        <w:rPr>
          <w:color w:val="000000" w:themeColor="text1"/>
          <w:sz w:val="16"/>
          <w:szCs w:val="16"/>
        </w:rPr>
      </w:pPr>
      <w:r w:rsidRPr="00507A31">
        <w:rPr>
          <w:color w:val="000000" w:themeColor="text1"/>
          <w:sz w:val="16"/>
          <w:szCs w:val="16"/>
        </w:rPr>
        <w:t>вредительской организации Теплотехнического Института, на котором присутствовали: я, ОЧКИН, ЕВРЕИНОВ, В. И. ХУДЯКОВ, ПРЕДТЕЧЕНСКИЙ, ЛАРИЧЕВ, КОЗЛИНСКИЙ, ДАВЫДОВ и где проф. РАМЗИИ сделал доклад о предстоящей в конце 1930 года интервенции со стороны Франции, окончательно решенной заграницей. Он рассказал о своих встречах вместе с ЛАРИЧЕВЫМ заграницей с представителями Торгпрома.аименнос РЯБУШИНСКИМ, НОБЕЛЕМ, ДЕНИСОВЫМ, которые также подтвердили решение об интервенции в указанный выше срок. В связи с этим докладом РАМЗИНА все присутствовавшие на собрании обменялись мнениями и приняли предложенный РАМЗИНЫМ план действий, направленный к успешной подгото[в]ке к предстоящей интервенции. Этот план включал в себя ряд вредительских мероприятий диверсантского порядка по линии энергохозяйства, а именно: путем расстройства электроснабжения через остановку и аварии электростанций и срыва топливоснабжения ответственных потребителей, в первую голову промышленности, работающей на оборону страны. Кроме этих мероприятий, наша к.-р. вредительская организация наметила устройство террористических актов против членов Правительства и вождей ВКП(б). Этот план был единогласно принят всеми присутствовавшими на собрании вышеуказанными членами к.-р. вредительской организации.</w:t>
      </w:r>
    </w:p>
    <w:p w14:paraId="65A414EA" w14:textId="77777777" w:rsidR="00CE5133" w:rsidRPr="00507A31" w:rsidRDefault="00CE5133" w:rsidP="00507A31">
      <w:pPr>
        <w:jc w:val="both"/>
        <w:rPr>
          <w:color w:val="000000" w:themeColor="text1"/>
          <w:sz w:val="16"/>
          <w:szCs w:val="16"/>
        </w:rPr>
      </w:pPr>
      <w:r w:rsidRPr="00507A31">
        <w:rPr>
          <w:color w:val="000000" w:themeColor="text1"/>
          <w:sz w:val="16"/>
          <w:szCs w:val="16"/>
        </w:rPr>
        <w:t>Для проведения в жизнь вышеуказанных принятых мероприятий РАМЗИН возложил на каждого из нас следующие обязанности:</w:t>
      </w:r>
    </w:p>
    <w:p w14:paraId="62C349E5" w14:textId="77777777" w:rsidR="00CE5133" w:rsidRPr="00507A31" w:rsidRDefault="00CE5133" w:rsidP="00507A31">
      <w:pPr>
        <w:jc w:val="both"/>
        <w:rPr>
          <w:color w:val="000000" w:themeColor="text1"/>
          <w:sz w:val="16"/>
          <w:szCs w:val="16"/>
        </w:rPr>
      </w:pPr>
      <w:r w:rsidRPr="00507A31">
        <w:rPr>
          <w:color w:val="000000" w:themeColor="text1"/>
          <w:sz w:val="16"/>
          <w:szCs w:val="16"/>
        </w:rPr>
        <w:t>а) на ПРЕДТЕЧЕНСКОГО, ХУДЯКОВА и меня (ОЧКИНА) возложена была подготовка диверсантских актов на электростанциях Московского района;</w:t>
      </w:r>
    </w:p>
    <w:p w14:paraId="78F6BDD0" w14:textId="77777777" w:rsidR="00CE5133" w:rsidRPr="00507A31" w:rsidRDefault="00CE5133" w:rsidP="00507A31">
      <w:pPr>
        <w:jc w:val="both"/>
        <w:rPr>
          <w:color w:val="000000" w:themeColor="text1"/>
          <w:sz w:val="16"/>
          <w:szCs w:val="16"/>
        </w:rPr>
      </w:pPr>
      <w:r w:rsidRPr="00507A31">
        <w:rPr>
          <w:color w:val="000000" w:themeColor="text1"/>
          <w:sz w:val="16"/>
          <w:szCs w:val="16"/>
        </w:rPr>
        <w:t>б) на КОЗЛИНСКОГО и ДАВЫДОВА — тоже в Ленинградском районе;</w:t>
      </w:r>
    </w:p>
    <w:p w14:paraId="2CDCDCC9" w14:textId="77777777" w:rsidR="00CE5133" w:rsidRPr="00507A31" w:rsidRDefault="00CE5133" w:rsidP="00507A31">
      <w:pPr>
        <w:jc w:val="both"/>
        <w:rPr>
          <w:color w:val="000000" w:themeColor="text1"/>
          <w:sz w:val="16"/>
          <w:szCs w:val="16"/>
        </w:rPr>
      </w:pPr>
      <w:r w:rsidRPr="00507A31">
        <w:rPr>
          <w:color w:val="000000" w:themeColor="text1"/>
          <w:sz w:val="16"/>
          <w:szCs w:val="16"/>
        </w:rPr>
        <w:t>в) на ЕВРЕИНОВА — террористические акты и</w:t>
      </w:r>
    </w:p>
    <w:p w14:paraId="300EC730" w14:textId="77777777" w:rsidR="00CE5133" w:rsidRPr="00507A31" w:rsidRDefault="00CE5133" w:rsidP="00507A31">
      <w:pPr>
        <w:jc w:val="both"/>
        <w:rPr>
          <w:color w:val="000000" w:themeColor="text1"/>
          <w:sz w:val="16"/>
          <w:szCs w:val="16"/>
        </w:rPr>
      </w:pPr>
      <w:r w:rsidRPr="00507A31">
        <w:rPr>
          <w:color w:val="000000" w:themeColor="text1"/>
          <w:sz w:val="16"/>
          <w:szCs w:val="16"/>
        </w:rPr>
        <w:t>г) на ЛАРИЧЕВА — срыв топливных планов.</w:t>
      </w:r>
    </w:p>
    <w:p w14:paraId="41FC50CF" w14:textId="77777777" w:rsidR="00CE5133" w:rsidRPr="00507A31" w:rsidRDefault="00CE5133" w:rsidP="00507A31">
      <w:pPr>
        <w:jc w:val="both"/>
        <w:rPr>
          <w:color w:val="000000" w:themeColor="text1"/>
          <w:sz w:val="16"/>
          <w:szCs w:val="16"/>
        </w:rPr>
      </w:pPr>
      <w:r w:rsidRPr="00507A31">
        <w:rPr>
          <w:color w:val="000000" w:themeColor="text1"/>
          <w:sz w:val="16"/>
          <w:szCs w:val="16"/>
        </w:rPr>
        <w:t>Для осуществления возложенной на нас — меня, ПРЕДТЕЧЕНКОГО и ХУДЯКОВА — задачи мы связались в первую очередь с работниками МОГЭСа КИРПИЧНИКОВЫМ и САНГОВИЧЕМ, которым мы дали директивы об организации аварий на станции и взрывов электропередач в момент наступления интервентов. Они согласились и взяли на себя выполнение этих диверсантских актов. О ходе выполнения возложенной на нас задачи по подготовке диверсантских актов мы докладывали РАМЗИНУ, который рекомендовал нам вести неослабное наблюдение.</w:t>
      </w:r>
    </w:p>
    <w:p w14:paraId="07B4DCE9" w14:textId="77777777" w:rsidR="00CE5133" w:rsidRPr="00507A31" w:rsidRDefault="00CE5133" w:rsidP="00507A31">
      <w:pPr>
        <w:jc w:val="both"/>
        <w:rPr>
          <w:color w:val="000000" w:themeColor="text1"/>
          <w:sz w:val="16"/>
          <w:szCs w:val="16"/>
        </w:rPr>
      </w:pPr>
      <w:r w:rsidRPr="00507A31">
        <w:rPr>
          <w:color w:val="000000" w:themeColor="text1"/>
          <w:sz w:val="16"/>
          <w:szCs w:val="16"/>
        </w:rPr>
        <w:t>Второе нелегальное собрание нашей к.-р. вредительской организации состоялось осенью прошлого года в моем кабинете Городской Конторы Теплотехнического Института, на котором присутствовали: я, ОЧКИН, РАМЗИН, МЮЛЛЕР, СОЛОВЬЕВ, ЩЕГОЛЕВ, ШАХОВСКОЙ, КОЗЛИНСКИЙ, ПРЕДТЕЧЕНСКИЙ, ДАВЫДОВ, ЛУРЬЕ и где РАМЗИН сделал доклад о своей поездке заграницу и о предстоящей интервенции иностранных государств против СССР. Он сообщил о своих переговорах с представителями Торгпрома и Французского и Английского Генштабов.</w:t>
      </w:r>
    </w:p>
    <w:p w14:paraId="408B839A" w14:textId="77777777" w:rsidR="00CE5133" w:rsidRPr="00507A31" w:rsidRDefault="00CE5133" w:rsidP="00507A31">
      <w:pPr>
        <w:jc w:val="both"/>
        <w:rPr>
          <w:color w:val="000000" w:themeColor="text1"/>
          <w:sz w:val="16"/>
          <w:szCs w:val="16"/>
        </w:rPr>
      </w:pPr>
      <w:r w:rsidRPr="00507A31">
        <w:rPr>
          <w:color w:val="000000" w:themeColor="text1"/>
          <w:sz w:val="16"/>
          <w:szCs w:val="16"/>
        </w:rPr>
        <w:t>В связи с возможностью в самом ближайшем будущем (1930 г.) интервенции, РАМЗИИ указал на предстоящие решительные действия со стороны Польши и лимитрофных государств, на переброску на территорию СССР специальных людей, которые смогли бы подымать восстания, организовать террористические и диверсантские акты и тем самым облегчить продвижение интервентов. Этот доклад был информационным и РАМЗИИ дал общую директиву быть готовыми к интервенции и выполнять ранее данные указания.</w:t>
      </w:r>
    </w:p>
    <w:p w14:paraId="4344842F" w14:textId="77777777" w:rsidR="00CE5133" w:rsidRPr="00507A31" w:rsidRDefault="00CE5133" w:rsidP="00507A31">
      <w:pPr>
        <w:jc w:val="both"/>
        <w:rPr>
          <w:color w:val="000000" w:themeColor="text1"/>
          <w:sz w:val="16"/>
          <w:szCs w:val="16"/>
        </w:rPr>
      </w:pPr>
      <w:r w:rsidRPr="00507A31">
        <w:rPr>
          <w:color w:val="000000" w:themeColor="text1"/>
          <w:sz w:val="16"/>
          <w:szCs w:val="16"/>
        </w:rPr>
        <w:t>Написано с моих слов правильно и мне прочитано.</w:t>
      </w:r>
    </w:p>
    <w:p w14:paraId="368FE5BA" w14:textId="77777777" w:rsidR="00CE5133" w:rsidRPr="00507A31" w:rsidRDefault="00CE5133" w:rsidP="00507A31">
      <w:pPr>
        <w:jc w:val="both"/>
        <w:rPr>
          <w:color w:val="000000" w:themeColor="text1"/>
          <w:sz w:val="16"/>
          <w:szCs w:val="16"/>
        </w:rPr>
      </w:pPr>
      <w:r w:rsidRPr="00507A31">
        <w:rPr>
          <w:color w:val="000000" w:themeColor="text1"/>
          <w:sz w:val="16"/>
          <w:szCs w:val="16"/>
        </w:rPr>
        <w:t>В. И. ОЧКИН.</w:t>
      </w:r>
    </w:p>
    <w:p w14:paraId="496CE491" w14:textId="77777777" w:rsidR="00CE5133" w:rsidRPr="00507A31" w:rsidRDefault="00CE5133" w:rsidP="00507A31">
      <w:pPr>
        <w:jc w:val="both"/>
        <w:rPr>
          <w:color w:val="000000" w:themeColor="text1"/>
          <w:sz w:val="16"/>
          <w:szCs w:val="16"/>
        </w:rPr>
      </w:pPr>
      <w:r w:rsidRPr="00507A31">
        <w:rPr>
          <w:color w:val="000000" w:themeColor="text1"/>
          <w:sz w:val="16"/>
          <w:szCs w:val="16"/>
        </w:rPr>
        <w:t>ДОПРОСИЛИ: Пом. Нач. ЭКУ ОГПУ (Молочников)‌Пом. Нач. 1 Отделения] ЭКУ ОГПУ (Михельс)</w:t>
      </w:r>
    </w:p>
    <w:p w14:paraId="718959E7" w14:textId="77777777" w:rsidR="00CE5133" w:rsidRPr="00507A31" w:rsidRDefault="00CE5133" w:rsidP="00507A31">
      <w:pPr>
        <w:jc w:val="both"/>
        <w:rPr>
          <w:color w:val="000000" w:themeColor="text1"/>
          <w:sz w:val="16"/>
          <w:szCs w:val="16"/>
        </w:rPr>
      </w:pPr>
      <w:r w:rsidRPr="00507A31">
        <w:rPr>
          <w:color w:val="000000" w:themeColor="text1"/>
          <w:sz w:val="16"/>
          <w:szCs w:val="16"/>
        </w:rPr>
        <w:t>ПРОТОКОЛ ДОПРОСА‌Инженера ОЧКИНА В. И. от 20 октября [19]30 г.</w:t>
      </w:r>
    </w:p>
    <w:p w14:paraId="3D4ADAD8" w14:textId="77777777" w:rsidR="00CE5133" w:rsidRPr="00507A31" w:rsidRDefault="00CE5133" w:rsidP="00507A31">
      <w:pPr>
        <w:jc w:val="both"/>
        <w:rPr>
          <w:color w:val="000000" w:themeColor="text1"/>
          <w:sz w:val="16"/>
          <w:szCs w:val="16"/>
        </w:rPr>
      </w:pPr>
      <w:r w:rsidRPr="00507A31">
        <w:rPr>
          <w:color w:val="000000" w:themeColor="text1"/>
          <w:sz w:val="16"/>
          <w:szCs w:val="16"/>
        </w:rPr>
        <w:t>В развитие своих показаний от 19-го Октября 1930 г. показываю:</w:t>
      </w:r>
    </w:p>
    <w:p w14:paraId="7BBA67E8" w14:textId="77777777" w:rsidR="00CE5133" w:rsidRPr="00507A31" w:rsidRDefault="00CE5133" w:rsidP="00507A31">
      <w:pPr>
        <w:jc w:val="both"/>
        <w:rPr>
          <w:color w:val="000000" w:themeColor="text1"/>
          <w:sz w:val="16"/>
          <w:szCs w:val="16"/>
        </w:rPr>
      </w:pPr>
      <w:r w:rsidRPr="00507A31">
        <w:rPr>
          <w:color w:val="000000" w:themeColor="text1"/>
          <w:sz w:val="16"/>
          <w:szCs w:val="16"/>
        </w:rPr>
        <w:t>I. На нелегальном собрании членов контр-революционной вредительской организации, происходившем на квартире у РАМЗИНА в октябре 1928 г.,</w:t>
      </w:r>
    </w:p>
    <w:p w14:paraId="39312E83" w14:textId="77777777" w:rsidR="00CE5133" w:rsidRPr="00507A31" w:rsidRDefault="00CE5133" w:rsidP="00507A31">
      <w:pPr>
        <w:jc w:val="both"/>
        <w:rPr>
          <w:color w:val="000000" w:themeColor="text1"/>
          <w:sz w:val="16"/>
          <w:szCs w:val="16"/>
        </w:rPr>
      </w:pPr>
      <w:r w:rsidRPr="00507A31">
        <w:rPr>
          <w:color w:val="000000" w:themeColor="text1"/>
          <w:sz w:val="16"/>
          <w:szCs w:val="16"/>
        </w:rPr>
        <w:t>Проф. РАМЗИН дал директиву о подготовке к организации диверсионных актов, в связи с предстоящей интервенцией. Он указал следующие объекты диверсий:</w:t>
      </w:r>
    </w:p>
    <w:p w14:paraId="2ED21B8D" w14:textId="77777777" w:rsidR="00CE5133" w:rsidRPr="00507A31" w:rsidRDefault="00CE5133" w:rsidP="00507A31">
      <w:pPr>
        <w:jc w:val="both"/>
        <w:rPr>
          <w:color w:val="000000" w:themeColor="text1"/>
          <w:sz w:val="16"/>
          <w:szCs w:val="16"/>
        </w:rPr>
      </w:pPr>
      <w:r w:rsidRPr="00507A31">
        <w:rPr>
          <w:color w:val="000000" w:themeColor="text1"/>
          <w:sz w:val="16"/>
          <w:szCs w:val="16"/>
        </w:rPr>
        <w:t>A.  1) МОГЭС 2) КАШИРА 3) ШАТУРА 4) ЭЛЕКТРОПЕРЕДАЧА им. Классона — в Московском районе.</w:t>
      </w:r>
    </w:p>
    <w:p w14:paraId="4D77C065" w14:textId="77777777" w:rsidR="00CE5133" w:rsidRPr="00507A31" w:rsidRDefault="00CE5133" w:rsidP="00507A31">
      <w:pPr>
        <w:jc w:val="both"/>
        <w:rPr>
          <w:color w:val="000000" w:themeColor="text1"/>
          <w:sz w:val="16"/>
          <w:szCs w:val="16"/>
        </w:rPr>
      </w:pPr>
      <w:r w:rsidRPr="00507A31">
        <w:rPr>
          <w:color w:val="000000" w:themeColor="text1"/>
          <w:sz w:val="16"/>
          <w:szCs w:val="16"/>
        </w:rPr>
        <w:t>Б. 1) 1 и 2 Государственные электростанции 2) «Красный Октябрь» — по Ленинградскому району.</w:t>
      </w:r>
    </w:p>
    <w:p w14:paraId="061CCA2C" w14:textId="77777777" w:rsidR="00CE5133" w:rsidRPr="00507A31" w:rsidRDefault="00CE5133" w:rsidP="00507A31">
      <w:pPr>
        <w:jc w:val="both"/>
        <w:rPr>
          <w:color w:val="000000" w:themeColor="text1"/>
          <w:sz w:val="16"/>
          <w:szCs w:val="16"/>
        </w:rPr>
      </w:pPr>
      <w:r w:rsidRPr="00507A31">
        <w:rPr>
          <w:color w:val="000000" w:themeColor="text1"/>
          <w:sz w:val="16"/>
          <w:szCs w:val="16"/>
        </w:rPr>
        <w:t>B.   1) Ореховская электроцентраль — по Иваново-Вознесенску.</w:t>
      </w:r>
    </w:p>
    <w:p w14:paraId="1984A78B" w14:textId="77777777" w:rsidR="00CE5133" w:rsidRPr="00507A31" w:rsidRDefault="00CE5133" w:rsidP="00507A31">
      <w:pPr>
        <w:jc w:val="both"/>
        <w:rPr>
          <w:color w:val="000000" w:themeColor="text1"/>
          <w:sz w:val="16"/>
          <w:szCs w:val="16"/>
        </w:rPr>
      </w:pPr>
      <w:r w:rsidRPr="00507A31">
        <w:rPr>
          <w:color w:val="000000" w:themeColor="text1"/>
          <w:sz w:val="16"/>
          <w:szCs w:val="16"/>
        </w:rPr>
        <w:t>Г. 1) Штеровская и 2) Электростанции Донбасстока.</w:t>
      </w:r>
    </w:p>
    <w:p w14:paraId="111C43C2" w14:textId="77777777" w:rsidR="00CE5133" w:rsidRPr="00507A31" w:rsidRDefault="00CE5133" w:rsidP="00507A31">
      <w:pPr>
        <w:jc w:val="both"/>
        <w:rPr>
          <w:color w:val="000000" w:themeColor="text1"/>
          <w:sz w:val="16"/>
          <w:szCs w:val="16"/>
        </w:rPr>
      </w:pPr>
      <w:r w:rsidRPr="00507A31">
        <w:rPr>
          <w:color w:val="000000" w:themeColor="text1"/>
          <w:sz w:val="16"/>
          <w:szCs w:val="16"/>
        </w:rPr>
        <w:t>Д. 1) Кизеловская — по Уралу.</w:t>
      </w:r>
    </w:p>
    <w:p w14:paraId="04602F2A" w14:textId="77777777" w:rsidR="00CE5133" w:rsidRPr="00507A31" w:rsidRDefault="00CE5133" w:rsidP="00507A31">
      <w:pPr>
        <w:jc w:val="both"/>
        <w:rPr>
          <w:color w:val="000000" w:themeColor="text1"/>
          <w:sz w:val="16"/>
          <w:szCs w:val="16"/>
        </w:rPr>
      </w:pPr>
      <w:r w:rsidRPr="00507A31">
        <w:rPr>
          <w:color w:val="000000" w:themeColor="text1"/>
          <w:sz w:val="16"/>
          <w:szCs w:val="16"/>
        </w:rPr>
        <w:t>Е. 1) Нигрэс — по Нижкраю.</w:t>
      </w:r>
    </w:p>
    <w:p w14:paraId="78FE0EE2" w14:textId="77777777" w:rsidR="00CE5133" w:rsidRPr="00507A31" w:rsidRDefault="00CE5133" w:rsidP="00507A31">
      <w:pPr>
        <w:jc w:val="both"/>
        <w:rPr>
          <w:color w:val="000000" w:themeColor="text1"/>
          <w:sz w:val="16"/>
          <w:szCs w:val="16"/>
        </w:rPr>
      </w:pPr>
      <w:r w:rsidRPr="00507A31">
        <w:rPr>
          <w:color w:val="000000" w:themeColor="text1"/>
          <w:sz w:val="16"/>
          <w:szCs w:val="16"/>
        </w:rPr>
        <w:t>Указанные электростанции имеют огромные мощности, отключение которых в момент интервенции обрекло бы города и предприятия оборонной промышленности на полную бездеятельность — паралич и оказало бы самую активную помощь интервентам.</w:t>
      </w:r>
    </w:p>
    <w:p w14:paraId="458DEFE2" w14:textId="77777777" w:rsidR="00CE5133" w:rsidRPr="00507A31" w:rsidRDefault="00CE5133" w:rsidP="00507A31">
      <w:pPr>
        <w:jc w:val="both"/>
        <w:rPr>
          <w:color w:val="000000" w:themeColor="text1"/>
          <w:sz w:val="16"/>
          <w:szCs w:val="16"/>
        </w:rPr>
      </w:pPr>
      <w:r w:rsidRPr="00507A31">
        <w:rPr>
          <w:color w:val="000000" w:themeColor="text1"/>
          <w:sz w:val="16"/>
          <w:szCs w:val="16"/>
        </w:rPr>
        <w:t>Диверсионные акты должны были быть достигнуты путем: а) вылета (вывода) турбогенераторов, б) расстройства топливоснабжения, в) израсходования мобзапасов топлива, г) диспетчерских специальных мероприятий, е) аварий на линиях электропередач.</w:t>
      </w:r>
    </w:p>
    <w:p w14:paraId="71388DA3" w14:textId="77777777" w:rsidR="00CE5133" w:rsidRPr="00507A31" w:rsidRDefault="00CE5133" w:rsidP="00507A31">
      <w:pPr>
        <w:jc w:val="both"/>
        <w:rPr>
          <w:color w:val="000000" w:themeColor="text1"/>
          <w:sz w:val="16"/>
          <w:szCs w:val="16"/>
        </w:rPr>
      </w:pPr>
      <w:r w:rsidRPr="00507A31">
        <w:rPr>
          <w:color w:val="000000" w:themeColor="text1"/>
          <w:sz w:val="16"/>
          <w:szCs w:val="16"/>
        </w:rPr>
        <w:t>Эту программу мы, — я, С. А. ПРЕДТЕЧЕНСКИЙ и В. И. ХУДЯКОВ приняли на себя для проведения в жизнь по предложению РАМЗИНА.</w:t>
      </w:r>
    </w:p>
    <w:p w14:paraId="219E8C92" w14:textId="77777777" w:rsidR="00CE5133" w:rsidRPr="00507A31" w:rsidRDefault="00CE5133" w:rsidP="00507A31">
      <w:pPr>
        <w:jc w:val="both"/>
        <w:rPr>
          <w:color w:val="000000" w:themeColor="text1"/>
          <w:sz w:val="16"/>
          <w:szCs w:val="16"/>
        </w:rPr>
      </w:pPr>
      <w:r w:rsidRPr="00507A31">
        <w:rPr>
          <w:color w:val="000000" w:themeColor="text1"/>
          <w:sz w:val="16"/>
          <w:szCs w:val="16"/>
        </w:rPr>
        <w:t>РАМЗИН позже мне сообщил, что на всех вышеуказанных станциях организованы диверсантские ячейки, причем по МОГЭСу состав ячейки был следующий: КИРПИЧНИКОВ В. Д., САНГОВИЧ Г. С., ВЕТЧИНКИН Я. П„ МАКЕЕВ В. А., БАРСУКОВ и КРЫЛОВ.</w:t>
      </w:r>
    </w:p>
    <w:p w14:paraId="5A83754F" w14:textId="77777777" w:rsidR="00CE5133" w:rsidRPr="00507A31" w:rsidRDefault="00CE5133" w:rsidP="00507A31">
      <w:pPr>
        <w:jc w:val="both"/>
        <w:rPr>
          <w:color w:val="000000" w:themeColor="text1"/>
          <w:sz w:val="16"/>
          <w:szCs w:val="16"/>
        </w:rPr>
      </w:pPr>
      <w:r w:rsidRPr="00507A31">
        <w:rPr>
          <w:color w:val="000000" w:themeColor="text1"/>
          <w:sz w:val="16"/>
          <w:szCs w:val="16"/>
        </w:rPr>
        <w:t>По Ленинградским станциям указания были даны инж. КОТОМИНУ.</w:t>
      </w:r>
    </w:p>
    <w:p w14:paraId="0038415A" w14:textId="77777777" w:rsidR="00CE5133" w:rsidRPr="00507A31" w:rsidRDefault="00CE5133" w:rsidP="00507A31">
      <w:pPr>
        <w:jc w:val="both"/>
        <w:rPr>
          <w:color w:val="000000" w:themeColor="text1"/>
          <w:sz w:val="16"/>
          <w:szCs w:val="16"/>
        </w:rPr>
      </w:pPr>
      <w:r w:rsidRPr="00507A31">
        <w:rPr>
          <w:color w:val="000000" w:themeColor="text1"/>
          <w:sz w:val="16"/>
          <w:szCs w:val="16"/>
        </w:rPr>
        <w:t>Аналогичные ячейки были, по словам РАМЗИНА, организованы и на всех остальных вышеперечисленных электростанциях, персональный состав которых он мне не сообщил.</w:t>
      </w:r>
    </w:p>
    <w:p w14:paraId="092FD185" w14:textId="77777777" w:rsidR="00CE5133" w:rsidRPr="00507A31" w:rsidRDefault="00CE5133" w:rsidP="00507A31">
      <w:pPr>
        <w:jc w:val="both"/>
        <w:rPr>
          <w:color w:val="000000" w:themeColor="text1"/>
          <w:sz w:val="16"/>
          <w:szCs w:val="16"/>
        </w:rPr>
      </w:pPr>
      <w:r w:rsidRPr="00507A31">
        <w:rPr>
          <w:color w:val="000000" w:themeColor="text1"/>
          <w:sz w:val="16"/>
          <w:szCs w:val="16"/>
        </w:rPr>
        <w:t>Кто должен был дать сигнал о начале диверсионных актов — мне неизвестно и РАМЗИН не сообщал.</w:t>
      </w:r>
    </w:p>
    <w:p w14:paraId="0A859B29" w14:textId="77777777" w:rsidR="00CE5133" w:rsidRPr="00507A31" w:rsidRDefault="00CE5133" w:rsidP="00507A31">
      <w:pPr>
        <w:jc w:val="both"/>
        <w:rPr>
          <w:color w:val="000000" w:themeColor="text1"/>
          <w:sz w:val="16"/>
          <w:szCs w:val="16"/>
        </w:rPr>
      </w:pPr>
      <w:r w:rsidRPr="00507A31">
        <w:rPr>
          <w:color w:val="000000" w:themeColor="text1"/>
          <w:sz w:val="16"/>
          <w:szCs w:val="16"/>
        </w:rPr>
        <w:t>Вышеуказанный диверсионный план был согласован с вредительской организацией Госплана.</w:t>
      </w:r>
    </w:p>
    <w:p w14:paraId="429E2C75" w14:textId="77777777" w:rsidR="00CE5133" w:rsidRPr="00507A31" w:rsidRDefault="00CE5133" w:rsidP="00507A31">
      <w:pPr>
        <w:jc w:val="both"/>
        <w:rPr>
          <w:color w:val="000000" w:themeColor="text1"/>
          <w:sz w:val="16"/>
          <w:szCs w:val="16"/>
        </w:rPr>
      </w:pPr>
      <w:r w:rsidRPr="00507A31">
        <w:rPr>
          <w:color w:val="000000" w:themeColor="text1"/>
          <w:sz w:val="16"/>
          <w:szCs w:val="16"/>
        </w:rPr>
        <w:t>В дальнейшем был составлен план диверсионных действий в военной промышленности, в частности, в отношении заводских электростанций.</w:t>
      </w:r>
    </w:p>
    <w:p w14:paraId="491C5468" w14:textId="77777777" w:rsidR="00CE5133" w:rsidRPr="00507A31" w:rsidRDefault="00CE5133" w:rsidP="00507A31">
      <w:pPr>
        <w:jc w:val="both"/>
        <w:rPr>
          <w:color w:val="000000" w:themeColor="text1"/>
          <w:sz w:val="16"/>
          <w:szCs w:val="16"/>
        </w:rPr>
      </w:pPr>
      <w:r w:rsidRPr="00507A31">
        <w:rPr>
          <w:color w:val="000000" w:themeColor="text1"/>
          <w:sz w:val="16"/>
          <w:szCs w:val="16"/>
        </w:rPr>
        <w:t>Одновременно с вышеуказанным планом сознательно не обращалось внимание на устройство противогазовых убежищ на случай налетов аэропланов на электростанции.</w:t>
      </w:r>
    </w:p>
    <w:p w14:paraId="5EDEECCD" w14:textId="77777777" w:rsidR="00CE5133" w:rsidRPr="00507A31" w:rsidRDefault="00CE5133" w:rsidP="00507A31">
      <w:pPr>
        <w:jc w:val="both"/>
        <w:rPr>
          <w:color w:val="000000" w:themeColor="text1"/>
          <w:sz w:val="16"/>
          <w:szCs w:val="16"/>
        </w:rPr>
      </w:pPr>
      <w:r w:rsidRPr="00507A31">
        <w:rPr>
          <w:color w:val="000000" w:themeColor="text1"/>
          <w:sz w:val="16"/>
          <w:szCs w:val="16"/>
        </w:rPr>
        <w:lastRenderedPageBreak/>
        <w:t>На одном из заседаний на квартире РАМЗИНА в 1928 г. последний преподал следующие директивы по проведению террористических актов.</w:t>
      </w:r>
    </w:p>
    <w:p w14:paraId="292F5834" w14:textId="77777777" w:rsidR="00CE5133" w:rsidRPr="00507A31" w:rsidRDefault="00CE5133" w:rsidP="00507A31">
      <w:pPr>
        <w:jc w:val="both"/>
        <w:rPr>
          <w:color w:val="000000" w:themeColor="text1"/>
          <w:sz w:val="16"/>
          <w:szCs w:val="16"/>
        </w:rPr>
      </w:pPr>
      <w:r w:rsidRPr="00507A31">
        <w:rPr>
          <w:color w:val="000000" w:themeColor="text1"/>
          <w:sz w:val="16"/>
          <w:szCs w:val="16"/>
        </w:rPr>
        <w:t>а) Убийства СТАЛИНА, ВОРОШИЛОВА, ЯГОДЫ, МЕНЖИНСКОГО и УНШЛИХТА.</w:t>
      </w:r>
    </w:p>
    <w:p w14:paraId="185793AB" w14:textId="77777777" w:rsidR="00CE5133" w:rsidRPr="00507A31" w:rsidRDefault="00CE5133" w:rsidP="00507A31">
      <w:pPr>
        <w:jc w:val="both"/>
        <w:rPr>
          <w:color w:val="000000" w:themeColor="text1"/>
          <w:sz w:val="16"/>
          <w:szCs w:val="16"/>
        </w:rPr>
      </w:pPr>
      <w:r w:rsidRPr="00507A31">
        <w:rPr>
          <w:color w:val="000000" w:themeColor="text1"/>
          <w:sz w:val="16"/>
          <w:szCs w:val="16"/>
        </w:rPr>
        <w:t>б) Провести террористические акты во время съездов Советов и партии, как путем убийства названных членов правительства и вождей ВКП(б), так и путем газовой атаки Большого театра в дни заседаний Съездов. Проведение всех тер-актов было возложено на инженера Е. Ф. ЕВРЕИНОВА, причем РАМЗИН дал последнему поручение организовать боевые группы террористов из числа студентов МВТУ и Ломоносовского Института, что касается оружия для тер-актов, то РАМЗИН заявил, что таковое он может представить в любой момент. В случае выезда объектов террора в Ленинград, то РАМЗИН сделает распоряжение о командировании туда.</w:t>
      </w:r>
    </w:p>
    <w:p w14:paraId="72C8B340" w14:textId="77777777" w:rsidR="00CE5133" w:rsidRPr="00507A31" w:rsidRDefault="00CE5133" w:rsidP="00507A31">
      <w:pPr>
        <w:jc w:val="both"/>
        <w:rPr>
          <w:color w:val="000000" w:themeColor="text1"/>
          <w:sz w:val="16"/>
          <w:szCs w:val="16"/>
        </w:rPr>
      </w:pPr>
      <w:r w:rsidRPr="00507A31">
        <w:rPr>
          <w:color w:val="000000" w:themeColor="text1"/>
          <w:sz w:val="16"/>
          <w:szCs w:val="16"/>
        </w:rPr>
        <w:t>В ожидании интервенции и для информации французского генштаба и торгпрома о положении в СССР, в первую очередь о состоянии военной промышленности, о подготовке диверсантских и террористических актов и о работе Инженерной организации проф. РАМЗИН поддерживал связи с французским посольством как путем посещения последнего, так и принятием представителей означенных посольств у себя на квартире в Теплотехническом Институте. Свои связи с французским посольством РАМЗИИ осуществлял через сотрудников посольства КИФЕРА и РЕНЬОНА. С последним меня познакомил у себя на квартире проф. РАМЗИН. Кроме того, посредником между РАМЗИНЫМ и заграницей являлся сотрудник Теплот[ехнического] Ин[ститу]та ГАНКАР Максимилиан Альфредович, которого я подозреваю в шпионаже. Мне известно, что РАМЗИИ поддерживал постоянную связь с Московским представителем английской фирмы «Бабкок и Вилькокс» инж. М. Е. АЙЗЕНШТАДТ[,] к которому РАМЗИИ неоднократно предлагал мне обращаться. РАМЗИИ поддерживал также связь с инж. ТУРКУС, приезжавшим из Англии.</w:t>
      </w:r>
    </w:p>
    <w:p w14:paraId="18919DEE"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Показание мною написано собственноручно и прочитано В. И. ОЧКИН.</w:t>
      </w:r>
    </w:p>
    <w:p w14:paraId="25647AB8" w14:textId="77777777" w:rsidR="00CE5133" w:rsidRPr="00507A31" w:rsidRDefault="00CE5133" w:rsidP="00507A31">
      <w:pPr>
        <w:jc w:val="both"/>
        <w:rPr>
          <w:color w:val="000000" w:themeColor="text1"/>
          <w:sz w:val="16"/>
          <w:szCs w:val="16"/>
        </w:rPr>
      </w:pPr>
      <w:r w:rsidRPr="00507A31">
        <w:rPr>
          <w:color w:val="000000" w:themeColor="text1"/>
          <w:sz w:val="16"/>
          <w:szCs w:val="16"/>
        </w:rPr>
        <w:t>Допросили: Пом. Нач. ЭКУ ОГПУ (МОЛОЧНИКОВ)‌Пом. Нач. 1 Отделения] ЭКУ (МИХЕЛЬС)</w:t>
      </w:r>
    </w:p>
    <w:p w14:paraId="1AC4B4B8" w14:textId="77777777" w:rsidR="00CE5133" w:rsidRPr="00507A31" w:rsidRDefault="00CE5133" w:rsidP="00507A31">
      <w:pPr>
        <w:jc w:val="both"/>
        <w:rPr>
          <w:color w:val="000000" w:themeColor="text1"/>
          <w:sz w:val="16"/>
          <w:szCs w:val="16"/>
        </w:rPr>
      </w:pPr>
      <w:r w:rsidRPr="00507A31">
        <w:rPr>
          <w:color w:val="000000" w:themeColor="text1"/>
          <w:sz w:val="16"/>
          <w:szCs w:val="16"/>
        </w:rPr>
        <w:t>ПРОТОКОЛ ДОПРОСА‌ИНЖЕНЕРА ОЧКИНА В. И. — от 20 октября 1930 года.</w:t>
      </w:r>
    </w:p>
    <w:p w14:paraId="0755C273" w14:textId="77777777" w:rsidR="00CE5133" w:rsidRPr="00507A31" w:rsidRDefault="00CE5133" w:rsidP="00507A31">
      <w:pPr>
        <w:jc w:val="both"/>
        <w:rPr>
          <w:color w:val="000000" w:themeColor="text1"/>
          <w:sz w:val="16"/>
          <w:szCs w:val="16"/>
        </w:rPr>
      </w:pPr>
      <w:r w:rsidRPr="00507A31">
        <w:rPr>
          <w:color w:val="000000" w:themeColor="text1"/>
          <w:sz w:val="16"/>
          <w:szCs w:val="16"/>
        </w:rPr>
        <w:t>Профессор РАМЗИН поддерживал связи с французским генеральным штабом и парижским Торгпромом через французское посольство в Москве.</w:t>
      </w:r>
    </w:p>
    <w:p w14:paraId="001173D2" w14:textId="77777777" w:rsidR="00CE5133" w:rsidRPr="00507A31" w:rsidRDefault="00CE5133" w:rsidP="00507A31">
      <w:pPr>
        <w:jc w:val="both"/>
        <w:rPr>
          <w:color w:val="000000" w:themeColor="text1"/>
          <w:sz w:val="16"/>
          <w:szCs w:val="16"/>
        </w:rPr>
      </w:pPr>
      <w:r w:rsidRPr="00507A31">
        <w:rPr>
          <w:color w:val="000000" w:themeColor="text1"/>
          <w:sz w:val="16"/>
          <w:szCs w:val="16"/>
        </w:rPr>
        <w:t>В 1925 году состоялось торжественное открытие Теплотехнического Института, на котором присутствовал французский посол [г.] ЭРБЕТТ. С этого момента проф. РАМЗИН завязал непосредственные связи с французским послом.</w:t>
      </w:r>
    </w:p>
    <w:p w14:paraId="3895020D" w14:textId="77777777" w:rsidR="00CE5133" w:rsidRPr="00507A31" w:rsidRDefault="00CE5133" w:rsidP="00507A31">
      <w:pPr>
        <w:jc w:val="both"/>
        <w:rPr>
          <w:color w:val="000000" w:themeColor="text1"/>
          <w:sz w:val="16"/>
          <w:szCs w:val="16"/>
        </w:rPr>
      </w:pPr>
      <w:r w:rsidRPr="00507A31">
        <w:rPr>
          <w:color w:val="000000" w:themeColor="text1"/>
          <w:sz w:val="16"/>
          <w:szCs w:val="16"/>
        </w:rPr>
        <w:t>В дальнейшем посредниками были:</w:t>
      </w:r>
    </w:p>
    <w:p w14:paraId="477C807E" w14:textId="77777777" w:rsidR="00CE5133" w:rsidRPr="00507A31" w:rsidRDefault="00CE5133" w:rsidP="00507A31">
      <w:pPr>
        <w:jc w:val="both"/>
        <w:rPr>
          <w:color w:val="000000" w:themeColor="text1"/>
          <w:sz w:val="16"/>
          <w:szCs w:val="16"/>
        </w:rPr>
      </w:pPr>
      <w:r w:rsidRPr="00507A31">
        <w:rPr>
          <w:color w:val="000000" w:themeColor="text1"/>
          <w:sz w:val="16"/>
          <w:szCs w:val="16"/>
        </w:rPr>
        <w:t>сотрудники французского посольства — РЕНЬО и КИФЕР, инж. ГОРДОН сотрудник Электроимпорта, АЙЗЕНШТАДТ Московский представитель английской фирмы «БАБКОК и ВИЛЬКОКС» и я ОЧКИН.</w:t>
      </w:r>
    </w:p>
    <w:p w14:paraId="0E5A4C1A" w14:textId="77777777" w:rsidR="00CE5133" w:rsidRPr="00507A31" w:rsidRDefault="00CE5133" w:rsidP="00507A31">
      <w:pPr>
        <w:jc w:val="both"/>
        <w:rPr>
          <w:color w:val="000000" w:themeColor="text1"/>
          <w:sz w:val="16"/>
          <w:szCs w:val="16"/>
        </w:rPr>
      </w:pPr>
      <w:r w:rsidRPr="00507A31">
        <w:rPr>
          <w:color w:val="000000" w:themeColor="text1"/>
          <w:sz w:val="16"/>
          <w:szCs w:val="16"/>
        </w:rPr>
        <w:t>РАМЗИН посылал заграницу информацию об экономическом положении СССР и другие шпионские сведения через меня, ГОРДОНА и АЙЗЕНШТАДТА. Я передавал означенные сведения при свиданиях с РЕНЬО, с которым меня познакомил у себя на квартире РАМЗИН.</w:t>
      </w:r>
    </w:p>
    <w:p w14:paraId="39262B42" w14:textId="77777777" w:rsidR="00CE5133" w:rsidRPr="00507A31" w:rsidRDefault="00CE5133" w:rsidP="00507A31">
      <w:pPr>
        <w:jc w:val="both"/>
        <w:rPr>
          <w:color w:val="000000" w:themeColor="text1"/>
          <w:sz w:val="16"/>
          <w:szCs w:val="16"/>
        </w:rPr>
      </w:pPr>
      <w:r w:rsidRPr="00507A31">
        <w:rPr>
          <w:color w:val="000000" w:themeColor="text1"/>
          <w:sz w:val="16"/>
          <w:szCs w:val="16"/>
        </w:rPr>
        <w:t>В конце 1929 года ко мне на квартиру позвонил РАМЗИН с просьбой принять его. Я согласился. Он приехал ко мне с сотрудником французского посольства РЕНЬО, где последний получил очередные шпионские сведения.</w:t>
      </w:r>
    </w:p>
    <w:p w14:paraId="08564418" w14:textId="77777777" w:rsidR="00CE5133" w:rsidRPr="00507A31" w:rsidRDefault="00CE5133" w:rsidP="00507A31">
      <w:pPr>
        <w:jc w:val="both"/>
        <w:rPr>
          <w:color w:val="000000" w:themeColor="text1"/>
          <w:sz w:val="16"/>
          <w:szCs w:val="16"/>
        </w:rPr>
      </w:pPr>
      <w:r w:rsidRPr="00507A31">
        <w:rPr>
          <w:color w:val="000000" w:themeColor="text1"/>
          <w:sz w:val="16"/>
          <w:szCs w:val="16"/>
        </w:rPr>
        <w:t>Кроме того, РЕНЬО дал задание заготовить материал по военной линии.</w:t>
      </w:r>
    </w:p>
    <w:p w14:paraId="707EFA46" w14:textId="77777777" w:rsidR="00CE5133" w:rsidRPr="00507A31" w:rsidRDefault="00CE5133" w:rsidP="00507A31">
      <w:pPr>
        <w:jc w:val="both"/>
        <w:rPr>
          <w:color w:val="000000" w:themeColor="text1"/>
          <w:sz w:val="16"/>
          <w:szCs w:val="16"/>
        </w:rPr>
      </w:pPr>
      <w:r w:rsidRPr="00507A31">
        <w:rPr>
          <w:color w:val="000000" w:themeColor="text1"/>
          <w:sz w:val="16"/>
          <w:szCs w:val="16"/>
        </w:rPr>
        <w:t>Я встречался с РЕНЬО по предварительным телефонным сговорам в разных местах города, иногда на улице, а иногда в моем кабинете, в городской конторе Института. Пакеты для французского посольства я получал от личного секретаря РАМЗИНА, Анны Сергеевны СПОРОВОЙ.</w:t>
      </w:r>
    </w:p>
    <w:p w14:paraId="52543A0D" w14:textId="77777777" w:rsidR="00CE5133" w:rsidRPr="00507A31" w:rsidRDefault="00CE5133" w:rsidP="00507A31">
      <w:pPr>
        <w:jc w:val="both"/>
        <w:rPr>
          <w:color w:val="000000" w:themeColor="text1"/>
          <w:sz w:val="16"/>
          <w:szCs w:val="16"/>
        </w:rPr>
      </w:pPr>
      <w:r w:rsidRPr="00507A31">
        <w:rPr>
          <w:color w:val="000000" w:themeColor="text1"/>
          <w:sz w:val="16"/>
          <w:szCs w:val="16"/>
        </w:rPr>
        <w:t>РЕНЬО при встречах со мной иногда передавал мне пакеты для профессора РАМЗИНА Л. К., которые я, в свою очередь[,] лично сдавал А. С. СПОРОВОЙ.</w:t>
      </w:r>
    </w:p>
    <w:p w14:paraId="0443F0D9"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Показание написано мной собственноручно.</w:t>
      </w:r>
    </w:p>
    <w:p w14:paraId="3D7B6C6E" w14:textId="77777777" w:rsidR="00CE5133" w:rsidRPr="00507A31" w:rsidRDefault="00CE5133" w:rsidP="00507A31">
      <w:pPr>
        <w:jc w:val="both"/>
        <w:rPr>
          <w:color w:val="000000" w:themeColor="text1"/>
          <w:sz w:val="16"/>
          <w:szCs w:val="16"/>
        </w:rPr>
      </w:pPr>
      <w:r w:rsidRPr="00507A31">
        <w:rPr>
          <w:color w:val="000000" w:themeColor="text1"/>
          <w:sz w:val="16"/>
          <w:szCs w:val="16"/>
        </w:rPr>
        <w:t>Инж. В. И. ОЧКИН.</w:t>
      </w:r>
    </w:p>
    <w:p w14:paraId="42FB8942" w14:textId="77777777" w:rsidR="00CE5133" w:rsidRPr="00507A31" w:rsidRDefault="00CE5133" w:rsidP="00507A31">
      <w:pPr>
        <w:jc w:val="both"/>
        <w:rPr>
          <w:color w:val="000000" w:themeColor="text1"/>
          <w:sz w:val="16"/>
          <w:szCs w:val="16"/>
        </w:rPr>
      </w:pPr>
      <w:r w:rsidRPr="00507A31">
        <w:rPr>
          <w:color w:val="000000" w:themeColor="text1"/>
          <w:sz w:val="16"/>
          <w:szCs w:val="16"/>
        </w:rPr>
        <w:t>ДОПРОСИЛ: ПОМ. НАЧ. ЭКУ ОГПУ‌(МОЛОЧНИКОВ)</w:t>
      </w:r>
    </w:p>
    <w:p w14:paraId="46CD85E3" w14:textId="77777777" w:rsidR="00CE5133" w:rsidRPr="00507A31" w:rsidRDefault="00CE5133" w:rsidP="00507A31">
      <w:pPr>
        <w:jc w:val="both"/>
        <w:rPr>
          <w:color w:val="000000" w:themeColor="text1"/>
          <w:sz w:val="16"/>
          <w:szCs w:val="16"/>
        </w:rPr>
      </w:pPr>
      <w:r w:rsidRPr="00507A31">
        <w:rPr>
          <w:color w:val="000000" w:themeColor="text1"/>
          <w:sz w:val="16"/>
          <w:szCs w:val="16"/>
        </w:rPr>
        <w:t>ПОМ. НАЧ. 1 ОТДЕЛЕНИЯ ЭКУ ОГПУ‌(МИХЕЛЬС)</w:t>
      </w:r>
    </w:p>
    <w:p w14:paraId="5596384B" w14:textId="77777777" w:rsidR="00CE5133" w:rsidRPr="00507A31" w:rsidRDefault="00CE5133" w:rsidP="00507A31">
      <w:pPr>
        <w:jc w:val="both"/>
        <w:rPr>
          <w:color w:val="000000" w:themeColor="text1"/>
          <w:sz w:val="16"/>
          <w:szCs w:val="16"/>
        </w:rPr>
      </w:pPr>
      <w:r w:rsidRPr="00507A31">
        <w:rPr>
          <w:color w:val="000000" w:themeColor="text1"/>
          <w:sz w:val="16"/>
          <w:szCs w:val="16"/>
        </w:rPr>
        <w:t>Д. 354. Л. 164-166, 167-169, 170-171. Незаверенные машинописные копии того времени. На Л. 164, 167, 170 вверху — делопроизводственные пометы (машинописью), штампы о размножении (не заполнены) и рассылке документа с вписанными от руки датой (23.X.1930) и номером (№ П968). На Л. 170 вверху слева написано от руки «т. Менжинскому Ягоде Агранову Прокофьеву» (18487).</w:t>
      </w:r>
    </w:p>
    <w:p w14:paraId="7EFA857C" w14:textId="77777777" w:rsidR="00CE5133" w:rsidRPr="00507A31" w:rsidRDefault="00CE5133" w:rsidP="00507A31">
      <w:pPr>
        <w:jc w:val="both"/>
        <w:rPr>
          <w:color w:val="000000" w:themeColor="text1"/>
          <w:sz w:val="16"/>
          <w:szCs w:val="16"/>
        </w:rPr>
      </w:pPr>
    </w:p>
    <w:p w14:paraId="6BDFE9FE" w14:textId="77777777" w:rsidR="00CE5133" w:rsidRPr="00507A31" w:rsidRDefault="00CE5133" w:rsidP="00507A31">
      <w:pPr>
        <w:jc w:val="both"/>
        <w:rPr>
          <w:color w:val="000000" w:themeColor="text1"/>
          <w:sz w:val="16"/>
          <w:szCs w:val="16"/>
        </w:rPr>
      </w:pPr>
      <w:r w:rsidRPr="00507A31">
        <w:rPr>
          <w:color w:val="000000" w:themeColor="text1"/>
          <w:sz w:val="16"/>
          <w:szCs w:val="16"/>
        </w:rPr>
        <w:t>23 октября 1930 г.</w:t>
      </w:r>
    </w:p>
    <w:p w14:paraId="0820B089"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Показания А. А. Федотова о «возможности» и сроках интервенции против СССР, данные им 20 и 21 октября 1930 г. Приложение к письму № П968 о рассылке материалов следствия от 23 октября 1930 г.</w:t>
      </w:r>
    </w:p>
    <w:p w14:paraId="6921239A" w14:textId="77777777" w:rsidR="00CE5133" w:rsidRPr="00507A31" w:rsidRDefault="00CE5133" w:rsidP="00507A31">
      <w:pPr>
        <w:jc w:val="both"/>
        <w:rPr>
          <w:color w:val="000000" w:themeColor="text1"/>
          <w:sz w:val="16"/>
          <w:szCs w:val="16"/>
        </w:rPr>
      </w:pPr>
      <w:r w:rsidRPr="00507A31">
        <w:rPr>
          <w:color w:val="000000" w:themeColor="text1"/>
          <w:sz w:val="16"/>
          <w:szCs w:val="16"/>
        </w:rPr>
        <w:t>Источник: </w:t>
      </w:r>
    </w:p>
    <w:p w14:paraId="375FAEC0" w14:textId="77777777" w:rsidR="00CE5133" w:rsidRPr="00507A31" w:rsidRDefault="00CE513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CBFD37D" w14:textId="77777777" w:rsidR="00CE5133" w:rsidRPr="00507A31" w:rsidRDefault="00CE5133" w:rsidP="00507A31">
      <w:pPr>
        <w:jc w:val="both"/>
        <w:rPr>
          <w:color w:val="000000" w:themeColor="text1"/>
          <w:sz w:val="16"/>
          <w:szCs w:val="16"/>
        </w:rPr>
      </w:pPr>
      <w:r w:rsidRPr="00507A31">
        <w:rPr>
          <w:color w:val="000000" w:themeColor="text1"/>
          <w:sz w:val="16"/>
          <w:szCs w:val="16"/>
        </w:rPr>
        <w:t>от 23 октября 1930 г.‌СТРОГО СЕКРЕТНО</w:t>
      </w:r>
    </w:p>
    <w:p w14:paraId="16215727" w14:textId="77777777" w:rsidR="00CE5133" w:rsidRPr="00507A31" w:rsidRDefault="00CE5133" w:rsidP="00507A31">
      <w:pPr>
        <w:jc w:val="both"/>
        <w:rPr>
          <w:color w:val="000000" w:themeColor="text1"/>
          <w:sz w:val="16"/>
          <w:szCs w:val="16"/>
        </w:rPr>
      </w:pPr>
      <w:r w:rsidRPr="00507A31">
        <w:rPr>
          <w:color w:val="000000" w:themeColor="text1"/>
          <w:sz w:val="16"/>
          <w:szCs w:val="16"/>
        </w:rPr>
        <w:t>ПРОТОКОЛ ДОПРОСА‌профессора ФЕДОТОВА Александра Александровича,‌20 октября 1930 года.</w:t>
      </w:r>
    </w:p>
    <w:p w14:paraId="181926A5" w14:textId="77777777" w:rsidR="00CE5133" w:rsidRPr="00507A31" w:rsidRDefault="00CE5133" w:rsidP="00507A31">
      <w:pPr>
        <w:jc w:val="both"/>
        <w:rPr>
          <w:color w:val="000000" w:themeColor="text1"/>
          <w:sz w:val="16"/>
          <w:szCs w:val="16"/>
        </w:rPr>
      </w:pPr>
      <w:r w:rsidRPr="00507A31">
        <w:rPr>
          <w:color w:val="000000" w:themeColor="text1"/>
          <w:sz w:val="16"/>
          <w:szCs w:val="16"/>
        </w:rPr>
        <w:t>ОБ ИНТЕРВЕНЦИИ.</w:t>
      </w:r>
    </w:p>
    <w:p w14:paraId="17EC599E" w14:textId="77777777" w:rsidR="00CE5133" w:rsidRPr="00507A31" w:rsidRDefault="00CE5133" w:rsidP="00507A31">
      <w:pPr>
        <w:jc w:val="both"/>
        <w:rPr>
          <w:color w:val="000000" w:themeColor="text1"/>
          <w:sz w:val="16"/>
          <w:szCs w:val="16"/>
        </w:rPr>
      </w:pPr>
      <w:r w:rsidRPr="00507A31">
        <w:rPr>
          <w:color w:val="000000" w:themeColor="text1"/>
          <w:sz w:val="16"/>
          <w:szCs w:val="16"/>
        </w:rPr>
        <w:t>Первые сведения об интервенции и о ее возможности я получил из разговора с КАРПОВЫМИ в 1923 году, который я описал в протоколе от 12/Х-30 г. В то время КАРПОВЫ считали, что возвращение белоэмигрантов в Россию произойдет в самом скором времени и главным образом благодаря вмешательству Англии. Следующий, уже более подробный разговор, я имел в Лондоне с КРЕСТОВНИКОВЫМ, который был у меня в гостинице по поручению КОНОВАЛОВА. Разговор этот также описан мною раньше, и что касается финансовой части разговора, я его здесь повторять не буду, об интервенции же он мне тогда сообщил, что в Париже в Торгпроме по этому поводу ведется усиленная работа, как по подготовке общественного мнения, так и по связи с общественными и правительственными кругами Франции. С целью повлиять на общественное мнение ведется травля Советского Правительства, используется всякий случай и повод и не только в русской эмигрантской печати, но также и во французской, что стоит больших денег. Он сообщил мне, между прочим, «что Торгпром дает субсидию газете “Последние Новости”».</w:t>
      </w:r>
    </w:p>
    <w:p w14:paraId="6136B56C" w14:textId="77777777" w:rsidR="00CE5133" w:rsidRPr="00507A31" w:rsidRDefault="00CE5133" w:rsidP="00507A31">
      <w:pPr>
        <w:jc w:val="both"/>
        <w:rPr>
          <w:color w:val="000000" w:themeColor="text1"/>
          <w:sz w:val="16"/>
          <w:szCs w:val="16"/>
        </w:rPr>
      </w:pPr>
      <w:r w:rsidRPr="00507A31">
        <w:rPr>
          <w:color w:val="000000" w:themeColor="text1"/>
          <w:sz w:val="16"/>
          <w:szCs w:val="16"/>
        </w:rPr>
        <w:t>Об отношениях Торгпрома с кругами Англии он сказал, что поддерживается связь с Комитетом русских кредиторов в Лондоне, во главе которого стоит УРКВАРТ, а также с ДЕТЕРДИНГОМ, и через посредство их, с консервативной партией Англии и что есть основание ожидать со стороны Англии, если не активного участия в интервенции, то финансовой и дипломатической поддержки. Однако, для успешности и возможности интервенции необходимо — указал далее КРЕСТОВНИКОВ, на что просил обратить внимание КОНОВАЛОВ — чтобы почва для нее была подготовлена в России, всякими мерами, которые могут вызвать недовольство рабочих масс и крестьянства, расстройством промышленности, расстройством снабжения товарами населения и т. д. Он просил переговорить по этому поводу с инж. ЛОПАТИНЫМ и написать в Париж через английскую миссию.</w:t>
      </w:r>
    </w:p>
    <w:p w14:paraId="0ADAE4D4" w14:textId="77777777" w:rsidR="00CE5133" w:rsidRPr="00507A31" w:rsidRDefault="00CE5133" w:rsidP="00507A31">
      <w:pPr>
        <w:jc w:val="both"/>
        <w:rPr>
          <w:color w:val="000000" w:themeColor="text1"/>
          <w:sz w:val="16"/>
          <w:szCs w:val="16"/>
        </w:rPr>
      </w:pPr>
      <w:r w:rsidRPr="00507A31">
        <w:rPr>
          <w:color w:val="000000" w:themeColor="text1"/>
          <w:sz w:val="16"/>
          <w:szCs w:val="16"/>
        </w:rPr>
        <w:t>Разговор этот я сообщил И. Н. ЛОПАТИНУ, кот[орый] и подтвердил мне, что он в курсе дела, что расчеты на интервенцию имеют в основе вмешательство Польши и Румынии, а по вопросу о подготовке почвы для интервенции в Союзе, он сообщил, что вопрос этот обсуждался в Союзе инженерных организаций и там подтверждено, что взятая уже ранее линия на подготовку разрухи промышленности правильна и только должна быть усилена с тем, чтобы расстройство плановой работы привело бы скорее к кризисам снабжения фабрик сырьем и к их остановкам, что поведет к недовольству рабочих и населения. Эта установка и дается Центр[альным] Советом всем отраслевым организациям, а в том числе и текстильной.</w:t>
      </w:r>
    </w:p>
    <w:p w14:paraId="0A893E69" w14:textId="77777777" w:rsidR="00CE5133" w:rsidRPr="00507A31" w:rsidRDefault="00CE5133" w:rsidP="00507A31">
      <w:pPr>
        <w:jc w:val="both"/>
        <w:rPr>
          <w:color w:val="000000" w:themeColor="text1"/>
          <w:sz w:val="16"/>
          <w:szCs w:val="16"/>
        </w:rPr>
      </w:pPr>
      <w:r w:rsidRPr="00507A31">
        <w:rPr>
          <w:color w:val="000000" w:themeColor="text1"/>
          <w:sz w:val="16"/>
          <w:szCs w:val="16"/>
        </w:rPr>
        <w:t>В конце 1927 года инж. ХРЕННИКОВ имел со мною разговор на ту же тему и указал, что работа по подготовке идет недостаточно быстро, что нет тех проявлений недовольства, которые ожидались в этом направлении, и что Торгпром просит работу усилить, с тем, чтобы сделать интервенцию возможной к 1931-32 г. или даже ранее — в 1930-31 году.</w:t>
      </w:r>
    </w:p>
    <w:p w14:paraId="4E2BE7C2" w14:textId="77777777" w:rsidR="00CE5133" w:rsidRPr="00507A31" w:rsidRDefault="00CE5133" w:rsidP="00507A31">
      <w:pPr>
        <w:jc w:val="both"/>
        <w:rPr>
          <w:color w:val="000000" w:themeColor="text1"/>
          <w:sz w:val="16"/>
          <w:szCs w:val="16"/>
        </w:rPr>
      </w:pPr>
      <w:r w:rsidRPr="00507A31">
        <w:rPr>
          <w:color w:val="000000" w:themeColor="text1"/>
          <w:sz w:val="16"/>
          <w:szCs w:val="16"/>
        </w:rPr>
        <w:t>Поручение Торгпрома Совету было передано РАМЗИНЫМ, который только что вернулся из заграницы.</w:t>
      </w:r>
    </w:p>
    <w:p w14:paraId="0566DE5D" w14:textId="77777777" w:rsidR="00CE5133" w:rsidRPr="00507A31" w:rsidRDefault="00CE5133" w:rsidP="00507A31">
      <w:pPr>
        <w:jc w:val="both"/>
        <w:rPr>
          <w:color w:val="000000" w:themeColor="text1"/>
          <w:sz w:val="16"/>
          <w:szCs w:val="16"/>
        </w:rPr>
      </w:pPr>
      <w:r w:rsidRPr="00507A31">
        <w:rPr>
          <w:color w:val="000000" w:themeColor="text1"/>
          <w:sz w:val="16"/>
          <w:szCs w:val="16"/>
        </w:rPr>
        <w:t>Этот разговор был передан мною директивной группе текст[ильной] организации — КУПРИЯНОВУ, КИРПОТЕНКО, ДЕРЖАВИНУ и НОЛЬДЕ.</w:t>
      </w:r>
    </w:p>
    <w:p w14:paraId="566D43F1" w14:textId="77777777" w:rsidR="00CE5133" w:rsidRPr="00507A31" w:rsidRDefault="00CE5133" w:rsidP="00507A31">
      <w:pPr>
        <w:jc w:val="both"/>
        <w:rPr>
          <w:color w:val="000000" w:themeColor="text1"/>
          <w:sz w:val="16"/>
          <w:szCs w:val="16"/>
        </w:rPr>
      </w:pPr>
      <w:r w:rsidRPr="00507A31">
        <w:rPr>
          <w:color w:val="000000" w:themeColor="text1"/>
          <w:sz w:val="16"/>
          <w:szCs w:val="16"/>
        </w:rPr>
        <w:t>Связь текст[ильной] группы с эмиграцией велась ЛОПАТИНЫМ, главным образом через Английскую миссию, через советника миссии ЧАРНОКА и посла ХОДЖСОНА, но ЛОПАТИН имел возможность посылки и получения писем также и через французскую миссию.</w:t>
      </w:r>
    </w:p>
    <w:p w14:paraId="38D44A32" w14:textId="77777777" w:rsidR="00CE5133" w:rsidRPr="00507A31" w:rsidRDefault="00CE5133" w:rsidP="00507A31">
      <w:pPr>
        <w:jc w:val="both"/>
        <w:rPr>
          <w:color w:val="000000" w:themeColor="text1"/>
          <w:sz w:val="16"/>
          <w:szCs w:val="16"/>
        </w:rPr>
      </w:pPr>
      <w:r w:rsidRPr="00507A31">
        <w:rPr>
          <w:color w:val="000000" w:themeColor="text1"/>
          <w:sz w:val="16"/>
          <w:szCs w:val="16"/>
        </w:rPr>
        <w:t>В 1928 году я был командирован в Германию и Англию с научной целью, и в Берлине встретился с Фед. КАРПОВЫМ, который приехал туда специально с тем, чтобы повидаться со мною. Раньше меня в том же году выезжал заграницу СИТНИН К. В., ему было поручено повидаться с КОНОВАЛОВЫМ, независимо от моего свидания, которое могло и не состояться. По словам КАРПОВА, основной целью его приезда в Берлин было необходимо переговорить о подготовке интервенции, которая намечается Торгпромом уже в 1930-31 году, что к этому времени уже должна в полной мере проявиться разруха в промышленности, недостаток товаров и недовольство населения. Он сообщил, что ТОРНТ ведет в последнее время особенно усиленную деятельность и рас[с]читывает на успех, хотя в Англии шансы на ее вмешательство все уменьшаются, зато во Франции увеличиваются.</w:t>
      </w:r>
    </w:p>
    <w:p w14:paraId="432F2B3E" w14:textId="77777777" w:rsidR="00CE5133" w:rsidRPr="00507A31" w:rsidRDefault="00CE5133" w:rsidP="00507A31">
      <w:pPr>
        <w:jc w:val="both"/>
        <w:rPr>
          <w:color w:val="000000" w:themeColor="text1"/>
          <w:sz w:val="16"/>
          <w:szCs w:val="16"/>
        </w:rPr>
      </w:pPr>
      <w:r w:rsidRPr="00507A31">
        <w:rPr>
          <w:color w:val="000000" w:themeColor="text1"/>
          <w:sz w:val="16"/>
          <w:szCs w:val="16"/>
        </w:rPr>
        <w:t>По его рассказу, представители Торгпрома были с визитом [у] ПУАНКАРЕ — были РЯБУШИНСКИЙ, ТРЕТЬЯКОВ и ЛИАНОЗОВ, что ПУАНКАРЕ выразил готовность серьезно рассмотреть этот вопрос и передал его на изучение Генер[ального] Штаба, в котором Торгпром имеет свои непосредственные связи, через военные эмигрантские круги, и что нет сомнения, что Генштаб даст ПУАНКАРЕ благоприятный для интервенции ответ. Практически интервенция предполагается, главным образом, силами Польши, Румынии, Эстонии и Латвии, с небольшим участием французских войск и флота, под руководством Французского] Штаба и офицеров.</w:t>
      </w:r>
    </w:p>
    <w:p w14:paraId="039AC384" w14:textId="77777777" w:rsidR="00CE5133" w:rsidRPr="00507A31" w:rsidRDefault="00CE5133" w:rsidP="00507A31">
      <w:pPr>
        <w:jc w:val="both"/>
        <w:rPr>
          <w:color w:val="000000" w:themeColor="text1"/>
          <w:sz w:val="16"/>
          <w:szCs w:val="16"/>
        </w:rPr>
      </w:pPr>
      <w:r w:rsidRPr="00507A31">
        <w:rPr>
          <w:color w:val="000000" w:themeColor="text1"/>
          <w:sz w:val="16"/>
          <w:szCs w:val="16"/>
        </w:rPr>
        <w:lastRenderedPageBreak/>
        <w:t>Но наряду с обещанием разработать вопрос об интервенции, ПУАНКАРЕ особенно настойчиво указал на необходимость более детальной подготовки в России. Хотя в Союзе уже замечаются проявления разрухи и особенно недостатка товаров, но обещанного эмиграцией недовольства населения не проявляется в должной мере, поэтому вред[ительскую] работу нужно всемерно усилить.</w:t>
      </w:r>
    </w:p>
    <w:p w14:paraId="634B5832" w14:textId="77777777" w:rsidR="00CE5133" w:rsidRPr="00507A31" w:rsidRDefault="00CE5133" w:rsidP="00507A31">
      <w:pPr>
        <w:jc w:val="both"/>
        <w:rPr>
          <w:color w:val="000000" w:themeColor="text1"/>
          <w:sz w:val="16"/>
          <w:szCs w:val="16"/>
        </w:rPr>
      </w:pPr>
      <w:r w:rsidRPr="00507A31">
        <w:rPr>
          <w:color w:val="000000" w:themeColor="text1"/>
          <w:sz w:val="16"/>
          <w:szCs w:val="16"/>
        </w:rPr>
        <w:t>В виду этого, Торгпром специально просит усилить разрушение плановой работы и особенно 5-летнего плана индустриализации. Неосуществление 5-летки должно дискредитировать Советскую власть, что особенно важно для успеха интервенции.</w:t>
      </w:r>
    </w:p>
    <w:p w14:paraId="5C836DAC" w14:textId="77777777" w:rsidR="00CE5133" w:rsidRPr="00507A31" w:rsidRDefault="00CE5133" w:rsidP="00507A31">
      <w:pPr>
        <w:jc w:val="both"/>
        <w:rPr>
          <w:color w:val="000000" w:themeColor="text1"/>
          <w:sz w:val="16"/>
          <w:szCs w:val="16"/>
        </w:rPr>
      </w:pPr>
      <w:r w:rsidRPr="00507A31">
        <w:rPr>
          <w:color w:val="000000" w:themeColor="text1"/>
          <w:sz w:val="16"/>
          <w:szCs w:val="16"/>
        </w:rPr>
        <w:t>Связь с Торгпромом он предложил поддерживать через Французскую миссию, через коммерческаго атташе Луи КИФЕР, и что об этом неоффициально знает и посол ЭРБЕТ.</w:t>
      </w:r>
    </w:p>
    <w:p w14:paraId="391354D3" w14:textId="77777777" w:rsidR="00CE5133" w:rsidRPr="00507A31" w:rsidRDefault="00CE5133" w:rsidP="00507A31">
      <w:pPr>
        <w:jc w:val="both"/>
        <w:rPr>
          <w:color w:val="000000" w:themeColor="text1"/>
          <w:sz w:val="16"/>
          <w:szCs w:val="16"/>
        </w:rPr>
      </w:pPr>
      <w:r w:rsidRPr="00507A31">
        <w:rPr>
          <w:color w:val="000000" w:themeColor="text1"/>
          <w:sz w:val="16"/>
          <w:szCs w:val="16"/>
        </w:rPr>
        <w:t>И Франция, и Польша, по его словам, рассчитывают впоследствии на возможность эксплоатации внутренних богатств России, Франция в виде разного рода концессий, Польша рас[с]читывает на сбыт в Россию своих товаров, но что ни в коем случае никто из членов Торгпрома не считает возможным предать интересы России, как государства, превратить ее в колонию, и что если такие опасения есть в отдельных кругах — их нужно успокоить.</w:t>
      </w:r>
    </w:p>
    <w:p w14:paraId="35A9E75D" w14:textId="77777777" w:rsidR="00CE5133" w:rsidRPr="00507A31" w:rsidRDefault="00CE5133" w:rsidP="00507A31">
      <w:pPr>
        <w:jc w:val="both"/>
        <w:rPr>
          <w:color w:val="000000" w:themeColor="text1"/>
          <w:sz w:val="16"/>
          <w:szCs w:val="16"/>
        </w:rPr>
      </w:pPr>
      <w:r w:rsidRPr="00507A31">
        <w:rPr>
          <w:color w:val="000000" w:themeColor="text1"/>
          <w:sz w:val="16"/>
          <w:szCs w:val="16"/>
        </w:rPr>
        <w:t>Развивая далее вопрос о подготовке почвы для интервенции в самом Союзе, КАРПОВ, как член Торгпрома, с своей стороны указал на возможность и желательность проведения следующих мер:</w:t>
      </w:r>
    </w:p>
    <w:p w14:paraId="521DA3EA" w14:textId="77777777" w:rsidR="00CE5133" w:rsidRPr="00507A31" w:rsidRDefault="00CE5133" w:rsidP="00507A31">
      <w:pPr>
        <w:jc w:val="both"/>
        <w:rPr>
          <w:color w:val="000000" w:themeColor="text1"/>
          <w:sz w:val="16"/>
          <w:szCs w:val="16"/>
        </w:rPr>
      </w:pPr>
      <w:r w:rsidRPr="00507A31">
        <w:rPr>
          <w:color w:val="000000" w:themeColor="text1"/>
          <w:sz w:val="16"/>
          <w:szCs w:val="16"/>
        </w:rPr>
        <w:t>Последовательная и неуклонная работа по разрушению советского плана индустриализации, созданию несоответствий в разных отраслях промышленности и отсюда кризисов и остановок фабрик, увеличения недостатка товаров путем задержки выработки фабрик или выработки ненужных сортов товара, ухудшения качества товаров. Все эти меры должны вызвать недовольство населения, как рабочих, так и крестьян, которое отзовется и в армии, так как армия ведь крестьянская, а это облегчит борьбу интервентов с русской Красной армией.</w:t>
      </w:r>
    </w:p>
    <w:p w14:paraId="56262CA3" w14:textId="77777777" w:rsidR="00CE5133" w:rsidRPr="00507A31" w:rsidRDefault="00CE5133" w:rsidP="00507A31">
      <w:pPr>
        <w:jc w:val="both"/>
        <w:rPr>
          <w:color w:val="000000" w:themeColor="text1"/>
          <w:sz w:val="16"/>
          <w:szCs w:val="16"/>
        </w:rPr>
      </w:pPr>
      <w:r w:rsidRPr="00507A31">
        <w:rPr>
          <w:color w:val="000000" w:themeColor="text1"/>
          <w:sz w:val="16"/>
          <w:szCs w:val="16"/>
        </w:rPr>
        <w:t>По поводу Красной Армии и работы в ней он сказал, что наряду с Торгпромом, но вне его, имеется заграницей военная группа, которая имеет связи и с Россией и ведет успешную работу, но по понятным причинам подробностей он сообщать не может.</w:t>
      </w:r>
    </w:p>
    <w:p w14:paraId="118B40E2" w14:textId="77777777" w:rsidR="00CE5133" w:rsidRPr="00507A31" w:rsidRDefault="00CE5133" w:rsidP="00507A31">
      <w:pPr>
        <w:jc w:val="both"/>
        <w:rPr>
          <w:color w:val="000000" w:themeColor="text1"/>
          <w:sz w:val="16"/>
          <w:szCs w:val="16"/>
        </w:rPr>
      </w:pPr>
      <w:r w:rsidRPr="00507A31">
        <w:rPr>
          <w:color w:val="000000" w:themeColor="text1"/>
          <w:sz w:val="16"/>
          <w:szCs w:val="16"/>
        </w:rPr>
        <w:t>Ему известно, что строительство в текстильн[ой] промышленности в Союзе значительно сократилось, но в случае его возобновления полезно было бы рекомендовать постройку фабрик на окраинах, особенно в Белоруссии, так как фабрики, после захвата их легко могут быть использованы, как опора в военном деле для складов подготовки материалов и т. п.</w:t>
      </w:r>
    </w:p>
    <w:p w14:paraId="2644E583" w14:textId="77777777" w:rsidR="00CE5133" w:rsidRPr="00507A31" w:rsidRDefault="00CE5133" w:rsidP="00507A31">
      <w:pPr>
        <w:jc w:val="both"/>
        <w:rPr>
          <w:color w:val="000000" w:themeColor="text1"/>
          <w:sz w:val="16"/>
          <w:szCs w:val="16"/>
        </w:rPr>
      </w:pPr>
      <w:r w:rsidRPr="00507A31">
        <w:rPr>
          <w:color w:val="000000" w:themeColor="text1"/>
          <w:sz w:val="16"/>
          <w:szCs w:val="16"/>
        </w:rPr>
        <w:t>Было бы очень полезно провести агитацию в среде молодежи — студентов ВУЗов в смысле подготовки их к оппозиционной работе. Достаточно вспомнить роль студенчества в подготовке революции в царское время. Подобные кружки в ВУЗах могли подготовить настроение общей студенческой массы к критике правительственных мер и недовольству ими. Особенное внимание нужно обратить на пропаганду идей правого уклона, так как расслоение для партии ВКП чрезвычайно полезно для контр-революции.</w:t>
      </w:r>
    </w:p>
    <w:p w14:paraId="3C258A0A" w14:textId="77777777" w:rsidR="00CE5133" w:rsidRPr="00507A31" w:rsidRDefault="00CE5133" w:rsidP="00507A31">
      <w:pPr>
        <w:jc w:val="both"/>
        <w:rPr>
          <w:color w:val="000000" w:themeColor="text1"/>
          <w:sz w:val="16"/>
          <w:szCs w:val="16"/>
        </w:rPr>
      </w:pPr>
      <w:r w:rsidRPr="00507A31">
        <w:rPr>
          <w:color w:val="000000" w:themeColor="text1"/>
          <w:sz w:val="16"/>
          <w:szCs w:val="16"/>
        </w:rPr>
        <w:t>Желательно иметь в руках планы подготовки мобилизационных материалов для снабжения армии текст[ильными] материалами — тканями, палаточным полотном, парусиной, брезентами и т. п., с тем, чтобы эти планы по возможности не выполнялись и нарушались.</w:t>
      </w:r>
    </w:p>
    <w:p w14:paraId="072D64FF" w14:textId="77777777" w:rsidR="00CE5133" w:rsidRPr="00507A31" w:rsidRDefault="00CE5133" w:rsidP="00507A31">
      <w:pPr>
        <w:jc w:val="both"/>
        <w:rPr>
          <w:color w:val="000000" w:themeColor="text1"/>
          <w:sz w:val="16"/>
          <w:szCs w:val="16"/>
        </w:rPr>
      </w:pPr>
      <w:r w:rsidRPr="00507A31">
        <w:rPr>
          <w:color w:val="000000" w:themeColor="text1"/>
          <w:sz w:val="16"/>
          <w:szCs w:val="16"/>
        </w:rPr>
        <w:t>О возможном составе Правительства в случае успеха интервенции он сказал, что определенного соглашения еще не достигнуто и точный состав не намечен, но со стороны Торгпрома выдвигаются РЯБУШИНСКИЙ и ЛИАНОЗОВ и ТРЕТЬЯКОВ, в качестве министра иностранных дел МИЛЮКОВ, из современных деятелей внутри Союза — РАМЗИИ и кто-нибудь еще по рекомендации Совета Союза и кто-нибудь из состава земледельческих групп, как КОНДРАТЬЕВ и т. п., а также из экономистов, как ГРОМАН. Но все это еще только обсуждается.</w:t>
      </w:r>
    </w:p>
    <w:p w14:paraId="7388496C" w14:textId="77777777" w:rsidR="00CE5133" w:rsidRPr="00507A31" w:rsidRDefault="00CE5133" w:rsidP="00507A31">
      <w:pPr>
        <w:jc w:val="both"/>
        <w:rPr>
          <w:color w:val="000000" w:themeColor="text1"/>
          <w:sz w:val="16"/>
          <w:szCs w:val="16"/>
        </w:rPr>
      </w:pPr>
      <w:r w:rsidRPr="00507A31">
        <w:rPr>
          <w:color w:val="000000" w:themeColor="text1"/>
          <w:sz w:val="16"/>
          <w:szCs w:val="16"/>
        </w:rPr>
        <w:t>После моего возвращения в Москву я подробно сообщил обо всем разговоре КУПРИЯНОВУ, ДЕРЖАВИНУ, КИРПОТЕНКО и НОЛЬДЕ. Сообщение было принято к сведению, по существу же предложенных КАРПОВЫМ мер указано, что проведение вред[ительской] работы в плановом порядке ведется уже очень интенсивно и усилено быть не может, что текст[ильная] организация и раньше указывала, что полный эффект разрушение планов может иметь только к концу 5-летки, т. е. к 1931-32 г.г., а ранее будут частичные кризисы, которые последуют и ранее".</w:t>
      </w:r>
    </w:p>
    <w:p w14:paraId="4E75BCAE" w14:textId="77777777" w:rsidR="00CE5133" w:rsidRPr="00507A31" w:rsidRDefault="00CE5133" w:rsidP="00507A31">
      <w:pPr>
        <w:jc w:val="both"/>
        <w:rPr>
          <w:color w:val="000000" w:themeColor="text1"/>
          <w:sz w:val="16"/>
          <w:szCs w:val="16"/>
        </w:rPr>
      </w:pPr>
      <w:r w:rsidRPr="00507A31">
        <w:rPr>
          <w:color w:val="000000" w:themeColor="text1"/>
          <w:sz w:val="16"/>
          <w:szCs w:val="16"/>
        </w:rPr>
        <w:t>КИРПОТЕНКО указал, что с мобилизационными] планами снабжения можно познакомиться через инж. ОБРЕЗКОВА, работающего в этом деле, НОЛЬДЕ указал, что изменение программы снабжения армии палаточным полотном может быть легко достигнуто излишней продажей льна заграницу и что в этом направлении уже принимаются меры.</w:t>
      </w:r>
    </w:p>
    <w:p w14:paraId="15D43036" w14:textId="77777777" w:rsidR="00CE5133" w:rsidRPr="00507A31" w:rsidRDefault="00CE5133" w:rsidP="00507A31">
      <w:pPr>
        <w:jc w:val="both"/>
        <w:rPr>
          <w:color w:val="000000" w:themeColor="text1"/>
          <w:sz w:val="16"/>
          <w:szCs w:val="16"/>
        </w:rPr>
      </w:pPr>
      <w:r w:rsidRPr="00507A31">
        <w:rPr>
          <w:color w:val="000000" w:themeColor="text1"/>
          <w:sz w:val="16"/>
          <w:szCs w:val="16"/>
        </w:rPr>
        <w:t>По поводу строительства] фабрик на окраинах КИРПОТЕНКО сказал, что строительство очень сокращено, что имеется в виду постройка небольших льняных фабрик и как раз в Белоруссии, что соответствует директивам КАРПОВА.</w:t>
      </w:r>
    </w:p>
    <w:p w14:paraId="084A48A9" w14:textId="77777777" w:rsidR="00CE5133" w:rsidRPr="00507A31" w:rsidRDefault="00CE5133" w:rsidP="00507A31">
      <w:pPr>
        <w:jc w:val="both"/>
        <w:rPr>
          <w:color w:val="000000" w:themeColor="text1"/>
          <w:sz w:val="16"/>
          <w:szCs w:val="16"/>
        </w:rPr>
      </w:pPr>
      <w:r w:rsidRPr="00507A31">
        <w:rPr>
          <w:color w:val="000000" w:themeColor="text1"/>
          <w:sz w:val="16"/>
          <w:szCs w:val="16"/>
        </w:rPr>
        <w:t>По поводу увеличения недостатка товаров КУПРИЯНОВ сообщил, что в этом направлении им ведется вместе с Торговым Отделом ВТ[О] большая работа по искусственно неправильному распределению товаров, по задержке доставления товаров в места заготовок хлеба, льна и хлопка и по засылке его в деревни, притом в сортах, ненужных для крестьянского населения, отчего срываются заготовки нужных нам продуктов, а ненужный крестьянам товар, попадая в руки спекулянтов, возвращается в город и продается по повышенным ценам, чем вызывается недовольство в населении и в рабочей среде.</w:t>
      </w:r>
    </w:p>
    <w:p w14:paraId="24D221FC" w14:textId="77777777" w:rsidR="00CE5133" w:rsidRPr="00507A31" w:rsidRDefault="00CE5133" w:rsidP="00507A31">
      <w:pPr>
        <w:jc w:val="both"/>
        <w:rPr>
          <w:color w:val="000000" w:themeColor="text1"/>
          <w:sz w:val="16"/>
          <w:szCs w:val="16"/>
        </w:rPr>
      </w:pPr>
      <w:r w:rsidRPr="00507A31">
        <w:rPr>
          <w:color w:val="000000" w:themeColor="text1"/>
          <w:sz w:val="16"/>
          <w:szCs w:val="16"/>
        </w:rPr>
        <w:t>По поводу связи с французской миссией постановлено оставить ее в Руках НОЛЬДЕ, СУЗДАЛЬЦЕВА и КИРПОТЕНКО, кот[орые] и прежде имели дело с КИФЕРОМ.</w:t>
      </w:r>
    </w:p>
    <w:p w14:paraId="2C6E88EE" w14:textId="77777777" w:rsidR="00CE5133" w:rsidRPr="00507A31" w:rsidRDefault="00CE5133" w:rsidP="00507A31">
      <w:pPr>
        <w:jc w:val="both"/>
        <w:rPr>
          <w:color w:val="000000" w:themeColor="text1"/>
          <w:sz w:val="16"/>
          <w:szCs w:val="16"/>
        </w:rPr>
      </w:pPr>
      <w:r w:rsidRPr="00507A31">
        <w:rPr>
          <w:color w:val="000000" w:themeColor="text1"/>
          <w:sz w:val="16"/>
          <w:szCs w:val="16"/>
        </w:rPr>
        <w:t>КУПРИЯНОВ сообщил затем, что вернувшийся из заграницы ранее меня СИТНИН, видевшийся там с А. И. КОНОВАЛОВЫМ, привез приблизительно те же сведения и поручения, какие сделал мне КАРПОВ.</w:t>
      </w:r>
    </w:p>
    <w:p w14:paraId="2787D7C5" w14:textId="77777777" w:rsidR="00CE5133" w:rsidRPr="00507A31" w:rsidRDefault="00CE5133" w:rsidP="00507A31">
      <w:pPr>
        <w:jc w:val="both"/>
        <w:rPr>
          <w:color w:val="000000" w:themeColor="text1"/>
          <w:sz w:val="16"/>
          <w:szCs w:val="16"/>
        </w:rPr>
      </w:pPr>
      <w:r w:rsidRPr="00507A31">
        <w:rPr>
          <w:color w:val="000000" w:themeColor="text1"/>
          <w:sz w:val="16"/>
          <w:szCs w:val="16"/>
        </w:rPr>
        <w:t>Несколько времени спустя я имел случай сообщить это Совету инженерных организаций через В. А. ЧАРНОВСКОГО. При разговоре присутствовал КАЛИННИКОВ и еще 2 члена Совета, фамилии которых не упомню (в кабинете у ХРЕННИКОВА).</w:t>
      </w:r>
    </w:p>
    <w:p w14:paraId="216D7B15" w14:textId="77777777" w:rsidR="00CE5133" w:rsidRPr="00507A31" w:rsidRDefault="00CE5133" w:rsidP="00507A31">
      <w:pPr>
        <w:jc w:val="both"/>
        <w:rPr>
          <w:color w:val="000000" w:themeColor="text1"/>
          <w:sz w:val="16"/>
          <w:szCs w:val="16"/>
        </w:rPr>
      </w:pPr>
      <w:r w:rsidRPr="00507A31">
        <w:rPr>
          <w:color w:val="000000" w:themeColor="text1"/>
          <w:sz w:val="16"/>
          <w:szCs w:val="16"/>
        </w:rPr>
        <w:t>Сообщая об интервенции и о тех требованиях ее подготовки, котор[ые] выдвигаются Торгпромом, я сообщил также и о работе текст[ильной] группы. ЧАРНОВСКИЙ взял на себя принятие соответствующих мер по другим отраслям вред[ительской] организации.</w:t>
      </w:r>
    </w:p>
    <w:p w14:paraId="0017984B" w14:textId="77777777" w:rsidR="00CE5133" w:rsidRPr="00507A31" w:rsidRDefault="00CE5133" w:rsidP="00507A31">
      <w:pPr>
        <w:jc w:val="both"/>
        <w:rPr>
          <w:color w:val="000000" w:themeColor="text1"/>
          <w:sz w:val="16"/>
          <w:szCs w:val="16"/>
        </w:rPr>
      </w:pPr>
      <w:r w:rsidRPr="00507A31">
        <w:rPr>
          <w:color w:val="000000" w:themeColor="text1"/>
          <w:sz w:val="16"/>
          <w:szCs w:val="16"/>
        </w:rPr>
        <w:t>В феврале 1929 года в Москву приезжал председатель концерна англи[йских] текстильн[ых] машинозаводчиков, председатель Правления завода бр[атьев] ПЛАТТ, я имел случай спросить его о возможности интервенции (случай этот представился в связи с посещением им НИТИ). Он сообщил, что в виду изменения состава правительства, вступления МАКДОНАЛЬДА, рас[с]читывать на возможность участия Англии в интервенции нельзя, хотя в консервативных кругах по-прежнему настроение враждебное к Советской власти, что, по его мнению, и во Франции складывается такая конъюнктура, что вопрос об интервенции должен быть отложен.</w:t>
      </w:r>
    </w:p>
    <w:p w14:paraId="243A298C" w14:textId="77777777" w:rsidR="00CE5133" w:rsidRPr="00507A31" w:rsidRDefault="00CE5133" w:rsidP="00507A31">
      <w:pPr>
        <w:jc w:val="both"/>
        <w:rPr>
          <w:color w:val="000000" w:themeColor="text1"/>
          <w:sz w:val="16"/>
          <w:szCs w:val="16"/>
        </w:rPr>
      </w:pPr>
      <w:r w:rsidRPr="00507A31">
        <w:rPr>
          <w:color w:val="000000" w:themeColor="text1"/>
          <w:sz w:val="16"/>
          <w:szCs w:val="16"/>
        </w:rPr>
        <w:t>В 1929 году А. А. НОЛЬДЕ получил из Франции от ШТУЦЕРА письмо, в котором виды на интервенцию Франции оставались по-прежнему благоприятными. Точно также, как мне сообщил ЧАРНОВСКИЙ, благоприятные сведения привез из своей поездки заграницу РАМЗИН, также в 1929 году, который подтверждал, что выступление намечено на 1930-31 г.</w:t>
      </w:r>
    </w:p>
    <w:p w14:paraId="6658B175" w14:textId="77777777" w:rsidR="00CE5133" w:rsidRPr="00507A31" w:rsidRDefault="00CE5133" w:rsidP="00507A31">
      <w:pPr>
        <w:jc w:val="both"/>
        <w:rPr>
          <w:color w:val="000000" w:themeColor="text1"/>
          <w:sz w:val="16"/>
          <w:szCs w:val="16"/>
        </w:rPr>
      </w:pPr>
      <w:r w:rsidRPr="00507A31">
        <w:rPr>
          <w:color w:val="000000" w:themeColor="text1"/>
          <w:sz w:val="16"/>
          <w:szCs w:val="16"/>
        </w:rPr>
        <w:t>В этом разговоре ЧАРНОВСКИЙ высказал мысль, что срок этот вовсе не является преждевременным, что недовольство уже достаточно глубоко, особенно для крестьянства в связи с проведением колхозов и конфискации мелкого живого инвентаря, что и среди рабочих замечается недовольство и были отдельные забастовки, и что в успехе интервенции не может быть сомнения.</w:t>
      </w:r>
    </w:p>
    <w:p w14:paraId="739CB58F" w14:textId="77777777" w:rsidR="00CE5133" w:rsidRPr="00507A31" w:rsidRDefault="00CE5133" w:rsidP="00507A31">
      <w:pPr>
        <w:jc w:val="both"/>
        <w:rPr>
          <w:color w:val="000000" w:themeColor="text1"/>
          <w:sz w:val="16"/>
          <w:szCs w:val="16"/>
        </w:rPr>
      </w:pPr>
      <w:r w:rsidRPr="00507A31">
        <w:rPr>
          <w:color w:val="000000" w:themeColor="text1"/>
          <w:sz w:val="16"/>
          <w:szCs w:val="16"/>
        </w:rPr>
        <w:t>Я сообщил ему мнение НУТОЛЛЯ, он возразил, что в современных планах интервенции Англи[я] и не принимается во внимание, что зато обеспечено участие Румынии, Польши и лим[и]трофов, но что Англия и мешать интервенции не будет, а вероятно даст заем Польше.</w:t>
      </w:r>
    </w:p>
    <w:p w14:paraId="5DEE29E8" w14:textId="77777777" w:rsidR="00CE5133" w:rsidRPr="00507A31" w:rsidRDefault="00CE5133" w:rsidP="00507A31">
      <w:pPr>
        <w:jc w:val="both"/>
        <w:rPr>
          <w:color w:val="000000" w:themeColor="text1"/>
          <w:sz w:val="16"/>
          <w:szCs w:val="16"/>
        </w:rPr>
      </w:pPr>
      <w:r w:rsidRPr="00507A31">
        <w:rPr>
          <w:color w:val="000000" w:themeColor="text1"/>
          <w:sz w:val="16"/>
          <w:szCs w:val="16"/>
        </w:rPr>
        <w:t>По поводу подготовки студенческой молодежи в ВУЗах он сказал, что образовались группы в Московском Техническом Училище и в Теплотехническом Институте, и что группа РАМЗИНА настолько воодушевлена, что готова принять участие в террористических выступлениях.</w:t>
      </w:r>
    </w:p>
    <w:p w14:paraId="14CA85F8" w14:textId="77777777" w:rsidR="00CE5133" w:rsidRPr="00507A31" w:rsidRDefault="00CE5133" w:rsidP="00507A31">
      <w:pPr>
        <w:jc w:val="both"/>
        <w:rPr>
          <w:color w:val="000000" w:themeColor="text1"/>
          <w:sz w:val="16"/>
          <w:szCs w:val="16"/>
        </w:rPr>
      </w:pPr>
      <w:r w:rsidRPr="00507A31">
        <w:rPr>
          <w:color w:val="000000" w:themeColor="text1"/>
          <w:sz w:val="16"/>
          <w:szCs w:val="16"/>
        </w:rPr>
        <w:t>ЧАРНОВСКИЙ указал еще, что кризисы промышленности на почве несоответствующего снабжения уже достаточно ярки и в металлической и в текст[ильной] промышленности, и недовольство населения недостатком товаров всем достаточно заметно и что соответственное сообщение Советом организации было сделано и Торгпрому.</w:t>
      </w:r>
    </w:p>
    <w:p w14:paraId="38824905" w14:textId="77777777" w:rsidR="00CE5133" w:rsidRPr="00507A31" w:rsidRDefault="00CE5133" w:rsidP="00507A31">
      <w:pPr>
        <w:jc w:val="both"/>
        <w:rPr>
          <w:color w:val="000000" w:themeColor="text1"/>
          <w:sz w:val="16"/>
          <w:szCs w:val="16"/>
        </w:rPr>
      </w:pPr>
      <w:r w:rsidRPr="00507A31">
        <w:rPr>
          <w:color w:val="000000" w:themeColor="text1"/>
          <w:sz w:val="16"/>
          <w:szCs w:val="16"/>
        </w:rPr>
        <w:t>Ал. ФЕДОТОВ.</w:t>
      </w:r>
    </w:p>
    <w:p w14:paraId="79381B0E" w14:textId="77777777" w:rsidR="00CE5133" w:rsidRPr="00507A31" w:rsidRDefault="00CE5133" w:rsidP="00507A31">
      <w:pPr>
        <w:jc w:val="both"/>
        <w:rPr>
          <w:color w:val="000000" w:themeColor="text1"/>
          <w:sz w:val="16"/>
          <w:szCs w:val="16"/>
        </w:rPr>
      </w:pPr>
      <w:r w:rsidRPr="00507A31">
        <w:rPr>
          <w:color w:val="000000" w:themeColor="text1"/>
          <w:sz w:val="16"/>
          <w:szCs w:val="16"/>
        </w:rPr>
        <w:t>20 октября 1930 г.</w:t>
      </w:r>
    </w:p>
    <w:p w14:paraId="7872EAE8" w14:textId="77777777" w:rsidR="00CE5133" w:rsidRPr="00507A31" w:rsidRDefault="00CE5133" w:rsidP="00507A31">
      <w:pPr>
        <w:jc w:val="both"/>
        <w:rPr>
          <w:color w:val="000000" w:themeColor="text1"/>
          <w:sz w:val="16"/>
          <w:szCs w:val="16"/>
        </w:rPr>
      </w:pPr>
      <w:r w:rsidRPr="00507A31">
        <w:rPr>
          <w:color w:val="000000" w:themeColor="text1"/>
          <w:sz w:val="16"/>
          <w:szCs w:val="16"/>
        </w:rPr>
        <w:t>Допросил: Ст[арший] Уполномоченный 2-го Отделения ЭКУ ОГПУ НАСЕДКИН.</w:t>
      </w:r>
    </w:p>
    <w:p w14:paraId="6BAACC2D" w14:textId="77777777" w:rsidR="00CE5133" w:rsidRPr="00507A31" w:rsidRDefault="00CE5133" w:rsidP="00507A31">
      <w:pPr>
        <w:jc w:val="both"/>
        <w:rPr>
          <w:color w:val="000000" w:themeColor="text1"/>
          <w:sz w:val="16"/>
          <w:szCs w:val="16"/>
        </w:rPr>
      </w:pPr>
      <w:r w:rsidRPr="00507A31">
        <w:rPr>
          <w:color w:val="000000" w:themeColor="text1"/>
          <w:sz w:val="16"/>
          <w:szCs w:val="16"/>
        </w:rPr>
        <w:t>ПОКАЗАНИЕ А. А. ФЕДОТОВА‌21 октября 1930 года.</w:t>
      </w:r>
    </w:p>
    <w:p w14:paraId="1267CAF8" w14:textId="77777777" w:rsidR="00CE5133" w:rsidRPr="00507A31" w:rsidRDefault="00CE5133" w:rsidP="00507A31">
      <w:pPr>
        <w:jc w:val="both"/>
        <w:rPr>
          <w:color w:val="000000" w:themeColor="text1"/>
          <w:sz w:val="16"/>
          <w:szCs w:val="16"/>
        </w:rPr>
      </w:pPr>
      <w:r w:rsidRPr="00507A31">
        <w:rPr>
          <w:color w:val="000000" w:themeColor="text1"/>
          <w:sz w:val="16"/>
          <w:szCs w:val="16"/>
        </w:rPr>
        <w:t>Когда я доложил С. А. ХРЕННИКОВУ о моем свидании с Ф. Г. КАРПОВЫМ в 1928 г., он сказал мне в свою очередь, что РАМЗИН и ЛАРИЧЕВ уехали за границу, будут в Париже и завяжут там непосредственные связи с военной группой, ведающей дело об интервенции.</w:t>
      </w:r>
    </w:p>
    <w:p w14:paraId="32E23FDF" w14:textId="77777777" w:rsidR="00CE5133" w:rsidRPr="00507A31" w:rsidRDefault="00CE5133" w:rsidP="00507A31">
      <w:pPr>
        <w:jc w:val="both"/>
        <w:rPr>
          <w:color w:val="000000" w:themeColor="text1"/>
          <w:sz w:val="16"/>
          <w:szCs w:val="16"/>
        </w:rPr>
      </w:pPr>
      <w:r w:rsidRPr="00507A31">
        <w:rPr>
          <w:color w:val="000000" w:themeColor="text1"/>
          <w:sz w:val="16"/>
          <w:szCs w:val="16"/>
        </w:rPr>
        <w:t>После возвращения РАМЗИНА из-за границы он собрал в начале [19]29 г. собрание в Госплане, на котором я не присутствовал, но о котором мне подробно сообщил С. А. ХРЕННИКОВ. Оказывается, что РАМЗИ НУ удалось войти в близкие соглашения не только с виднейшими членами Торгпрома, но и с руководителями военной группы при эмиграции генералом ЛУКОМСКИМ, а через посредство последнего и с офицерами французского генерального штаба, разрабатывающими вопрос интервенции против Советского Союза — генералом ЖАНЕНОМ и полковником ЖУАНВИЛЬ. РАМЗИН сообщил, что в результате его переговоров выясняется необходимость подготовки интервенции в Союзе не только на почве промышленно-экономической разрухи, так как это было до сих пор, но и посредством работы в самой Красной Армии, и образованием в ней ячеек, на которые военно-эмигрантская группа могла бы опереться.</w:t>
      </w:r>
    </w:p>
    <w:p w14:paraId="2CB91532" w14:textId="77777777" w:rsidR="00CE5133" w:rsidRPr="00507A31" w:rsidRDefault="00CE5133" w:rsidP="00507A31">
      <w:pPr>
        <w:jc w:val="both"/>
        <w:rPr>
          <w:color w:val="000000" w:themeColor="text1"/>
          <w:sz w:val="16"/>
          <w:szCs w:val="16"/>
        </w:rPr>
      </w:pPr>
      <w:r w:rsidRPr="00507A31">
        <w:rPr>
          <w:color w:val="000000" w:themeColor="text1"/>
          <w:sz w:val="16"/>
          <w:szCs w:val="16"/>
        </w:rPr>
        <w:t>После обсуждения вопроса собрание постановило образовать отдельную военную комиссию в составе КАЛИННИКОВА, ОСАДЧЕГО, ЛАРИЧЕВА, под председательством самого РАМЗИНА, причем ЛАРИЧЕВУ была поручена работа во флоте, КАЛИННИКОВУ в военно-воздушных частях, ОСАДЧЕМУ — как будто в войсках сообщения связи, ХРЕННИКОВУ и ЧАРНОВСКОМУ поручено было завязать связи с военной промышленностью и с органами, ведающими организацией снабжения.</w:t>
      </w:r>
    </w:p>
    <w:p w14:paraId="536EE812" w14:textId="77777777" w:rsidR="00CE5133" w:rsidRPr="00507A31" w:rsidRDefault="00CE5133" w:rsidP="00507A31">
      <w:pPr>
        <w:jc w:val="both"/>
        <w:rPr>
          <w:color w:val="000000" w:themeColor="text1"/>
          <w:sz w:val="16"/>
          <w:szCs w:val="16"/>
        </w:rPr>
      </w:pPr>
      <w:r w:rsidRPr="00507A31">
        <w:rPr>
          <w:color w:val="000000" w:themeColor="text1"/>
          <w:sz w:val="16"/>
          <w:szCs w:val="16"/>
        </w:rPr>
        <w:lastRenderedPageBreak/>
        <w:t>Целью образуемых ячеек ставил[а]сь прежде всего информация о положении дел и настроении в Красной Армии и флоте, разработка мероприятий по понижению боеспособности Красной Армии, разработки мер по расстройству сообщений, выработка мер по понижению обороноспособности страны, вплоть до проведения диверсионных актов, выведение из строя наиболее важных заводов, электростанций, фабрик и т. п., захват влияния в мобилизационных отделах снабжения армии и расстройство этого снабжения, а также и мобилизационных отделах промышленности.</w:t>
      </w:r>
    </w:p>
    <w:p w14:paraId="60C9CA43" w14:textId="77777777" w:rsidR="00CE5133" w:rsidRPr="00507A31" w:rsidRDefault="00CE5133" w:rsidP="00507A31">
      <w:pPr>
        <w:jc w:val="both"/>
        <w:rPr>
          <w:color w:val="000000" w:themeColor="text1"/>
          <w:sz w:val="16"/>
          <w:szCs w:val="16"/>
        </w:rPr>
      </w:pPr>
      <w:r w:rsidRPr="00507A31">
        <w:rPr>
          <w:color w:val="000000" w:themeColor="text1"/>
          <w:sz w:val="16"/>
          <w:szCs w:val="16"/>
        </w:rPr>
        <w:t>Признавая, что текстильная группа может работать только по последнему вопросу, он просил меня разработать вопрос о снабжении армии текстильными материалами, о характере этого снабжения, способах его исполнения, о тех тканях, в которых скорее всего может оказаться нужда в случае открытия военных действий и о мерах, могущих создать еще большую нехватку в ней.</w:t>
      </w:r>
    </w:p>
    <w:p w14:paraId="3861505F" w14:textId="77777777" w:rsidR="00CE5133" w:rsidRPr="00507A31" w:rsidRDefault="00CE5133" w:rsidP="00507A31">
      <w:pPr>
        <w:jc w:val="both"/>
        <w:rPr>
          <w:color w:val="000000" w:themeColor="text1"/>
          <w:sz w:val="16"/>
          <w:szCs w:val="16"/>
        </w:rPr>
      </w:pPr>
      <w:r w:rsidRPr="00507A31">
        <w:rPr>
          <w:color w:val="000000" w:themeColor="text1"/>
          <w:sz w:val="16"/>
          <w:szCs w:val="16"/>
        </w:rPr>
        <w:t>Результаты работы текстильной группы должны сообщаться мною или ему или Чарновскому. Я в свою очередь просил его обращаться помимо меня также к КУПРИЯНОВУ и НОЛЬДЕ, ввиду того, что из-за переезда НИТИ к Нескучному саду, нахожусь от них слишком далеко.</w:t>
      </w:r>
    </w:p>
    <w:p w14:paraId="085512CC" w14:textId="77777777" w:rsidR="00CE5133" w:rsidRPr="00507A31" w:rsidRDefault="00CE5133" w:rsidP="00507A31">
      <w:pPr>
        <w:jc w:val="both"/>
        <w:rPr>
          <w:color w:val="000000" w:themeColor="text1"/>
          <w:sz w:val="16"/>
          <w:szCs w:val="16"/>
        </w:rPr>
      </w:pPr>
      <w:r w:rsidRPr="00507A31">
        <w:rPr>
          <w:color w:val="000000" w:themeColor="text1"/>
          <w:sz w:val="16"/>
          <w:szCs w:val="16"/>
        </w:rPr>
        <w:t>Это поручение в тот же день было передано мною КУПРИЯНОВУ, который обещал снестись с НОЛЬДЕ по льну и со СТАВРОВСКИМ —  по шерсти. КУПРИЯНОВ предложил использовать для собрания необходимых сведений по мобработе и [о] военном снабжении ГРЕБЕНЩИКОВА Н. В., работающего по мобилизации и заготовок снабжения для армии в НЭУ ВТО. Напомню, что этот вопрос, как указано мною в предыдущем протоколе, обсуждался подробно в текстильной группе, был поставлен на очередь и в льняной отрасли уже образовался недостаток палаточного полотна, как сообщил об этом НОЛЬДЕ. Кроме того[,] КУПРИЯНОВ наметил для этой же работы ОБРЕЗКОВА и БАГРЕЦОВА, работавших по снабженческой линии и военным заказам в ВТО, а НОЛЬДЕ еще с ГОНЧАРОВЫМ в Льняном Управлении.</w:t>
      </w:r>
    </w:p>
    <w:p w14:paraId="42BEDE1F" w14:textId="77777777" w:rsidR="00CE5133" w:rsidRPr="00507A31" w:rsidRDefault="00CE5133" w:rsidP="00507A31">
      <w:pPr>
        <w:jc w:val="both"/>
        <w:rPr>
          <w:color w:val="000000" w:themeColor="text1"/>
          <w:sz w:val="16"/>
          <w:szCs w:val="16"/>
        </w:rPr>
      </w:pPr>
      <w:r w:rsidRPr="00507A31">
        <w:rPr>
          <w:color w:val="000000" w:themeColor="text1"/>
          <w:sz w:val="16"/>
          <w:szCs w:val="16"/>
        </w:rPr>
        <w:t>Несколько времени спустя при встрече с ХРЕННИКОВЫМ в ВСНХ, он мне сообщил, что работа в Военной Комиссии началась, что КАЛИННИКОВ связался с профессором НОВИЦКИМ, работавшим как-будто в Военной Академии, и вместе с ним они уже образовали небольшую ячейку в этой области. ОСАДЧИЙ также начал работу в отделе военных сообщений, а ЛАРИЧЕВ по флоту совместно с профессором СТРУННИКОВЫМ из Госплана, сам же РАМЗИН связался с Военным Штабом РККА, если не ошибаюсь, то с СОКОЛОВЫМ, бывш. генералом. Что же касается ХРЕННИКОВА, то последний прощупывает почву в Мобуправлении ВСНХ, связался пока с АНИЧКОВЫМ и ПЕТРОВЫМ, но указал на большие трудности в этом деле, в виду того, что там трудно завязать связь в военных кругах, а также ввиду начавшихся арестов в Военпроме, лиц с которыми уже имелась связь, как-то МИХАЙЛОВ, ДЕХАНОВ и другие.</w:t>
      </w:r>
    </w:p>
    <w:p w14:paraId="2F5C2613" w14:textId="77777777" w:rsidR="00CE5133" w:rsidRPr="00507A31" w:rsidRDefault="00CE5133" w:rsidP="00507A31">
      <w:pPr>
        <w:jc w:val="both"/>
        <w:rPr>
          <w:color w:val="000000" w:themeColor="text1"/>
          <w:sz w:val="16"/>
          <w:szCs w:val="16"/>
        </w:rPr>
      </w:pPr>
      <w:r w:rsidRPr="00507A31">
        <w:rPr>
          <w:color w:val="000000" w:themeColor="text1"/>
          <w:sz w:val="16"/>
          <w:szCs w:val="16"/>
        </w:rPr>
        <w:t>Вскоре после этого разговора ХРЕННИКОВ также был арестован. В текстильной группе почувствовалась паника и на некоторое время связь с Центром была оборвана. Спустя некоторое время уже в конце [19]29 г. я встретился с профессором ЧАРНО[ВС]КИМ, который мне сообщил, что комитет вредительский существует, носит название промышленной партии, что во главе его стал проф. РАМЗИН, было избрано бюро партии, РАМЗИН, ЧАРНО[ВС]КИЙ, ЛАРИЧЕВ, КАЛИННИКОВ, ОСАДЧИЙ, я и еще кто-то[,] сейчас не помню. Но это бюро ни разу после того не собиралось, по крайней мере, я не присутствовал. На одном из совещаний этого бюро, по словам ЧАРНО[ВС]КОГО, было постановлено, ввиду усилившихся арестов, менее выдвигать деятельность членов Бюро, чтобы избежать от арестов, но работа особенно в военной организации идет четко. Связь налажена. Профессор НОВИЦКИЙ уже связался непосредственно через французскую миссию с генералом ЛУКОМСКИМ, несмотря на аресты настроение бодрое, французский Генштаб определенно рассчитывает на полную возможность интервенции в [19]30 г. Здесь я ему указал на мнение англичанина НУТТОЛЯ, о чем я писал в предыдущем протоколе. Но это не повлияло на его выводы.</w:t>
      </w:r>
    </w:p>
    <w:p w14:paraId="7D2D866F" w14:textId="77777777" w:rsidR="00CE5133" w:rsidRPr="00507A31" w:rsidRDefault="00CE5133" w:rsidP="00507A31">
      <w:pPr>
        <w:jc w:val="both"/>
        <w:rPr>
          <w:color w:val="000000" w:themeColor="text1"/>
          <w:sz w:val="16"/>
          <w:szCs w:val="16"/>
        </w:rPr>
      </w:pPr>
      <w:r w:rsidRPr="00507A31">
        <w:rPr>
          <w:color w:val="000000" w:themeColor="text1"/>
          <w:sz w:val="16"/>
          <w:szCs w:val="16"/>
        </w:rPr>
        <w:t>Затем он осведомился о работе текстильной группы, я сообщил, что связь с намеченными ранее лицами (ОБРЕЗКОВ, ГРЕБЕНЩИКОВ, БАГРЕЦОВ и др.) завязана[,] и работа ими в этом направлении уже начата, КУПРИЯНОВЫМ уже намечены фабрики — хлопчато-бумажные, шерстяные и льняные, в которых будут вызваны затруднения в работе на почве снабжения армии при открытии военных действий. Кроме того, КУПРИЯНОВ по моему поручению наметил ряд лиц, которых он рассчитывает привлечь в ячейку для использования их по установлению связи с военными частями, как-то АНУЧКИНА, ранее работавшего в штабе РККА, по подготовке войск, ИЛЬИНА — раньше работавшего в Главвоздухофлоте, КРЕММЕРА — ранее работавшего в Моботделе Главвоздухофлота, ДЕРЗАЕВА, ранее работавшего в Управлении Штаба РККА и др. не растерявших еще связи с военными людьми.</w:t>
      </w:r>
    </w:p>
    <w:p w14:paraId="568B40DE" w14:textId="77777777" w:rsidR="00CE5133" w:rsidRPr="00507A31" w:rsidRDefault="00CE5133" w:rsidP="00507A31">
      <w:pPr>
        <w:jc w:val="both"/>
        <w:rPr>
          <w:color w:val="000000" w:themeColor="text1"/>
          <w:sz w:val="16"/>
          <w:szCs w:val="16"/>
        </w:rPr>
      </w:pPr>
      <w:r w:rsidRPr="00507A31">
        <w:rPr>
          <w:color w:val="000000" w:themeColor="text1"/>
          <w:sz w:val="16"/>
          <w:szCs w:val="16"/>
        </w:rPr>
        <w:t>Кроме того, предполагается провести агитацию среди бывших офицеров белой армии, работающих в настоящее время в ВТО[,] для создания из них военной ячейки. ЧАРНОВСКИЙ все это одобрил. Затем ЧАРНОВСКИЙ сообщил мне, что от РАМЗИНА поступило секретное сообщение, что ему во время пребывания в Париже пришлось от имени Союза организаций вредительских согласиться на те уступки интервентам, за счет России, которые сделал Торгпром, как-то: часть Кавказа, главным образом, где нефтяные промыслы[,] уступить Англии, часть Правобережной Украины— Польше и Франции. Я указал ЧАРНОВСКОМУ, что наоборот КАРПОВ от имени Торгпрома уверял нас, что интересы государства в случае интервенции не пострадают и специально просил передать это инженерам текстильной группы и, что это сообщение РАМЗИНА я отказываюсь передать в нашу вредительскую организацию, а прошу ЧАРНОВСКОГО лично сообщить его КУПРИЯНОВУ и НОЛЬДЕ.</w:t>
      </w:r>
    </w:p>
    <w:p w14:paraId="374457E5" w14:textId="77777777" w:rsidR="00CE5133" w:rsidRPr="00507A31" w:rsidRDefault="00CE5133" w:rsidP="00507A31">
      <w:pPr>
        <w:jc w:val="both"/>
        <w:rPr>
          <w:color w:val="000000" w:themeColor="text1"/>
          <w:sz w:val="16"/>
          <w:szCs w:val="16"/>
        </w:rPr>
      </w:pPr>
      <w:r w:rsidRPr="00507A31">
        <w:rPr>
          <w:color w:val="000000" w:themeColor="text1"/>
          <w:sz w:val="16"/>
          <w:szCs w:val="16"/>
        </w:rPr>
        <w:t>Возвращаясь к началу разговора о сроке интервенции, назначенной французским генштабом на [19]30 г., я еще раз указал, что из слов представителя английских машинозаводчиков НУТТОЛЯ, приезжавшего в [19]29 г. с большой английской делегацией[,] видно, что в Англии прекрасно осведомлены о положении дел в России и о настроениях рабочих и крестьян, что эти сведения они имеют не только от нас, а также из данных, собираемых их делегациями и их миссиями и, что конечно, не только английская, но и французская миссии очень внимательно следят за нами и проверяют наши действия, а также следят и за нашими успехами, а эти успехи в данное время вовсе не отвечают требованиям Генерального Штаба Франции и других интервентов. ЧАРНОВСКИЙ с этим согласился и сообщил, что недавно по сведениям, полученным им из польских источников[,] интервенция действительно предполагается быть перенесенной на [19]31 год. (Разговор этот с ЧАРНОВСКИМ происходил в НТУ ВСНХ в конце [19]29 года).</w:t>
      </w:r>
    </w:p>
    <w:p w14:paraId="53ECBE76" w14:textId="77777777" w:rsidR="00CE5133" w:rsidRPr="00507A31" w:rsidRDefault="00CE5133" w:rsidP="00507A31">
      <w:pPr>
        <w:jc w:val="both"/>
        <w:rPr>
          <w:color w:val="000000" w:themeColor="text1"/>
          <w:sz w:val="16"/>
          <w:szCs w:val="16"/>
        </w:rPr>
      </w:pPr>
      <w:r w:rsidRPr="00507A31">
        <w:rPr>
          <w:color w:val="000000" w:themeColor="text1"/>
          <w:sz w:val="16"/>
          <w:szCs w:val="16"/>
        </w:rPr>
        <w:t>Из сообщения А. А. НОЛЬДЕ, полученн[ого] им из-за границы от ШТУЦЕРА (из Парижа)[,] факт переноса срока интервенции подтверждается Торгпромом на [19]31 год. Разговор этот был в начале [19]30 г. До сего ареста я с ЧАРНОВСКИМ более уже не встречался, а также не встречался и с другими членами промышленной партии.</w:t>
      </w:r>
    </w:p>
    <w:p w14:paraId="3C539FA4" w14:textId="77777777" w:rsidR="00CE5133" w:rsidRPr="00507A31" w:rsidRDefault="00CE5133" w:rsidP="00507A31">
      <w:pPr>
        <w:jc w:val="both"/>
        <w:rPr>
          <w:color w:val="000000" w:themeColor="text1"/>
          <w:sz w:val="16"/>
          <w:szCs w:val="16"/>
        </w:rPr>
      </w:pPr>
      <w:r w:rsidRPr="00507A31">
        <w:rPr>
          <w:color w:val="000000" w:themeColor="text1"/>
          <w:sz w:val="16"/>
          <w:szCs w:val="16"/>
        </w:rPr>
        <w:t>А. ФЕДОТОВ</w:t>
      </w:r>
    </w:p>
    <w:p w14:paraId="6F202A32" w14:textId="77777777" w:rsidR="00CE5133" w:rsidRPr="00507A31" w:rsidRDefault="00CE5133" w:rsidP="00507A31">
      <w:pPr>
        <w:jc w:val="both"/>
        <w:rPr>
          <w:color w:val="000000" w:themeColor="text1"/>
          <w:sz w:val="16"/>
          <w:szCs w:val="16"/>
        </w:rPr>
      </w:pPr>
      <w:r w:rsidRPr="00507A31">
        <w:rPr>
          <w:color w:val="000000" w:themeColor="text1"/>
          <w:sz w:val="16"/>
          <w:szCs w:val="16"/>
        </w:rPr>
        <w:t>Допросил: СТ[АРШИЙ] УПОЛНОМОЧЕННЫЙ 2 ОТДЕЛЕНИЯ ЭКУ ОГПУ НАСЕДКИН</w:t>
      </w:r>
    </w:p>
    <w:p w14:paraId="3FFFB547" w14:textId="77777777" w:rsidR="00CE5133" w:rsidRPr="00507A31" w:rsidRDefault="00CE5133" w:rsidP="00507A31">
      <w:pPr>
        <w:jc w:val="both"/>
        <w:rPr>
          <w:color w:val="000000" w:themeColor="text1"/>
          <w:sz w:val="16"/>
          <w:szCs w:val="16"/>
        </w:rPr>
      </w:pPr>
      <w:r w:rsidRPr="00507A31">
        <w:rPr>
          <w:color w:val="000000" w:themeColor="text1"/>
          <w:sz w:val="16"/>
          <w:szCs w:val="16"/>
        </w:rPr>
        <w:t>Д. 354. Л. 172-180, 181-185. Незаверенные машинописные копии того времени. На Л. 172,181 вверху — делопроизводственные пометы (машинописью), штампы о размножении (не заполнены) и рассылке документа с вписанными от руки датой (23.X.1930) и номером (№ П968) (18488).</w:t>
      </w:r>
    </w:p>
    <w:p w14:paraId="4FDA3B09" w14:textId="77777777" w:rsidR="00CE5133" w:rsidRPr="00507A31" w:rsidRDefault="00CE5133" w:rsidP="00507A31">
      <w:pPr>
        <w:jc w:val="both"/>
        <w:rPr>
          <w:color w:val="000000" w:themeColor="text1"/>
          <w:sz w:val="16"/>
          <w:szCs w:val="16"/>
        </w:rPr>
      </w:pPr>
    </w:p>
    <w:p w14:paraId="0217A4B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0177951" w14:textId="77777777" w:rsidR="00537E5F" w:rsidRPr="00507A31" w:rsidRDefault="00537E5F" w:rsidP="00507A31">
      <w:pPr>
        <w:autoSpaceDE w:val="0"/>
        <w:autoSpaceDN w:val="0"/>
        <w:adjustRightInd w:val="0"/>
        <w:jc w:val="both"/>
        <w:rPr>
          <w:iCs/>
          <w:color w:val="000000" w:themeColor="text1"/>
          <w:sz w:val="16"/>
          <w:szCs w:val="16"/>
        </w:rPr>
      </w:pPr>
    </w:p>
    <w:p w14:paraId="7F95FB0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23 октября 1930 И.В.С. писал В.М.М.: “Что касается Тухачевского, то он оказался чист на 100%. Это очень хорошо.” (9089,132).</w:t>
      </w:r>
    </w:p>
    <w:p w14:paraId="37CC543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4C8D5E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7C37AD4" w14:textId="77777777" w:rsidR="00537E5F" w:rsidRPr="00507A31" w:rsidRDefault="00537E5F" w:rsidP="00507A31">
      <w:pPr>
        <w:autoSpaceDE w:val="0"/>
        <w:autoSpaceDN w:val="0"/>
        <w:adjustRightInd w:val="0"/>
        <w:jc w:val="both"/>
        <w:rPr>
          <w:iCs/>
          <w:color w:val="000000" w:themeColor="text1"/>
          <w:sz w:val="16"/>
          <w:szCs w:val="16"/>
        </w:rPr>
      </w:pPr>
    </w:p>
    <w:p w14:paraId="414BE4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октября 1930 король Египта изменил конституцию и стал контролировать выборы в парламент (3907,162).</w:t>
      </w:r>
    </w:p>
    <w:p w14:paraId="1786A8B4" w14:textId="77777777" w:rsidR="00537E5F" w:rsidRPr="00507A31" w:rsidRDefault="00537E5F" w:rsidP="00507A31">
      <w:pPr>
        <w:autoSpaceDE w:val="0"/>
        <w:autoSpaceDN w:val="0"/>
        <w:adjustRightInd w:val="0"/>
        <w:jc w:val="both"/>
        <w:rPr>
          <w:color w:val="000000" w:themeColor="text1"/>
          <w:sz w:val="16"/>
          <w:szCs w:val="16"/>
        </w:rPr>
      </w:pPr>
    </w:p>
    <w:p w14:paraId="2402ADF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5D90639" w14:textId="77777777" w:rsidR="00537E5F" w:rsidRPr="00507A31" w:rsidRDefault="00537E5F" w:rsidP="00507A31">
      <w:pPr>
        <w:autoSpaceDE w:val="0"/>
        <w:autoSpaceDN w:val="0"/>
        <w:adjustRightInd w:val="0"/>
        <w:jc w:val="both"/>
        <w:rPr>
          <w:iCs/>
          <w:color w:val="000000" w:themeColor="text1"/>
          <w:sz w:val="16"/>
          <w:szCs w:val="16"/>
        </w:rPr>
      </w:pPr>
    </w:p>
    <w:p w14:paraId="41D067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октября 1930 в Тегеран из Москвы прибыло звено военных летчиков под командованием Ф.В.Лиховицкого для участия в конкурсе. Из-за плохой погоды смогли прилететь только мы на Р-5 и французы на Потез-25. Выиграли и полетели назад 2 декабря (438,614).</w:t>
      </w:r>
    </w:p>
    <w:p w14:paraId="731561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Сравнение ЛTX отечественных и иностранных разведчиков (поданным испытаний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E371BA" w:rsidRPr="00507A31" w14:paraId="47578772" w14:textId="77777777">
        <w:tc>
          <w:tcPr>
            <w:tcW w:w="1401" w:type="dxa"/>
            <w:tcBorders>
              <w:top w:val="single" w:sz="12" w:space="0" w:color="auto"/>
            </w:tcBorders>
          </w:tcPr>
          <w:p w14:paraId="1641E3FF" w14:textId="77777777" w:rsidR="00537E5F" w:rsidRPr="00507A31" w:rsidRDefault="00537E5F" w:rsidP="00507A31">
            <w:pPr>
              <w:autoSpaceDE w:val="0"/>
              <w:autoSpaceDN w:val="0"/>
              <w:adjustRightInd w:val="0"/>
              <w:jc w:val="both"/>
              <w:rPr>
                <w:color w:val="000000" w:themeColor="text1"/>
                <w:sz w:val="16"/>
                <w:szCs w:val="16"/>
              </w:rPr>
            </w:pPr>
          </w:p>
        </w:tc>
        <w:tc>
          <w:tcPr>
            <w:tcW w:w="1401" w:type="dxa"/>
            <w:tcBorders>
              <w:top w:val="single" w:sz="12" w:space="0" w:color="auto"/>
            </w:tcBorders>
          </w:tcPr>
          <w:p w14:paraId="78D463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Р-5 гол. сер. №4141</w:t>
            </w:r>
          </w:p>
        </w:tc>
        <w:tc>
          <w:tcPr>
            <w:tcW w:w="1401" w:type="dxa"/>
            <w:tcBorders>
              <w:top w:val="single" w:sz="12" w:space="0" w:color="auto"/>
            </w:tcBorders>
          </w:tcPr>
          <w:p w14:paraId="06EEE3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Р-1</w:t>
            </w:r>
          </w:p>
        </w:tc>
        <w:tc>
          <w:tcPr>
            <w:tcW w:w="1401" w:type="dxa"/>
            <w:tcBorders>
              <w:top w:val="single" w:sz="12" w:space="0" w:color="auto"/>
            </w:tcBorders>
          </w:tcPr>
          <w:p w14:paraId="159DCA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Р-ЗМ5</w:t>
            </w:r>
          </w:p>
        </w:tc>
        <w:tc>
          <w:tcPr>
            <w:tcW w:w="1401" w:type="dxa"/>
            <w:tcBorders>
              <w:top w:val="single" w:sz="12" w:space="0" w:color="auto"/>
            </w:tcBorders>
          </w:tcPr>
          <w:p w14:paraId="61774E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Р-ЗЛД</w:t>
            </w:r>
          </w:p>
        </w:tc>
        <w:tc>
          <w:tcPr>
            <w:tcW w:w="1401" w:type="dxa"/>
            <w:tcBorders>
              <w:top w:val="single" w:sz="12" w:space="0" w:color="auto"/>
            </w:tcBorders>
          </w:tcPr>
          <w:p w14:paraId="390EA4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Бреге Вг1982</w:t>
            </w:r>
          </w:p>
        </w:tc>
        <w:tc>
          <w:tcPr>
            <w:tcW w:w="1401" w:type="dxa"/>
            <w:tcBorders>
              <w:top w:val="single" w:sz="12" w:space="0" w:color="auto"/>
            </w:tcBorders>
          </w:tcPr>
          <w:p w14:paraId="01C91A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Потэ 25А2</w:t>
            </w:r>
          </w:p>
        </w:tc>
        <w:tc>
          <w:tcPr>
            <w:tcW w:w="1401" w:type="dxa"/>
            <w:tcBorders>
              <w:top w:val="single" w:sz="12" w:space="0" w:color="auto"/>
            </w:tcBorders>
          </w:tcPr>
          <w:p w14:paraId="1B0FC7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Фоккер CVE</w:t>
            </w:r>
          </w:p>
        </w:tc>
      </w:tr>
      <w:tr w:rsidR="00E371BA" w:rsidRPr="00507A31" w14:paraId="462B6CAB" w14:textId="77777777">
        <w:tc>
          <w:tcPr>
            <w:tcW w:w="1401" w:type="dxa"/>
          </w:tcPr>
          <w:p w14:paraId="03F409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 пустого, кг</w:t>
            </w:r>
          </w:p>
        </w:tc>
        <w:tc>
          <w:tcPr>
            <w:tcW w:w="1401" w:type="dxa"/>
          </w:tcPr>
          <w:p w14:paraId="441627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1917</w:t>
            </w:r>
          </w:p>
        </w:tc>
        <w:tc>
          <w:tcPr>
            <w:tcW w:w="1401" w:type="dxa"/>
          </w:tcPr>
          <w:p w14:paraId="20EE2A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1450</w:t>
            </w:r>
          </w:p>
        </w:tc>
        <w:tc>
          <w:tcPr>
            <w:tcW w:w="1401" w:type="dxa"/>
          </w:tcPr>
          <w:p w14:paraId="6BF1DF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1378</w:t>
            </w:r>
          </w:p>
        </w:tc>
        <w:tc>
          <w:tcPr>
            <w:tcW w:w="1401" w:type="dxa"/>
          </w:tcPr>
          <w:p w14:paraId="391CDD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1366</w:t>
            </w:r>
          </w:p>
        </w:tc>
        <w:tc>
          <w:tcPr>
            <w:tcW w:w="1401" w:type="dxa"/>
          </w:tcPr>
          <w:p w14:paraId="237AE7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1470</w:t>
            </w:r>
          </w:p>
        </w:tc>
        <w:tc>
          <w:tcPr>
            <w:tcW w:w="1401" w:type="dxa"/>
          </w:tcPr>
          <w:p w14:paraId="3D0B27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1175</w:t>
            </w:r>
          </w:p>
        </w:tc>
        <w:tc>
          <w:tcPr>
            <w:tcW w:w="1401" w:type="dxa"/>
          </w:tcPr>
          <w:p w14:paraId="6FFC89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1410</w:t>
            </w:r>
          </w:p>
        </w:tc>
      </w:tr>
      <w:tr w:rsidR="00E371BA" w:rsidRPr="00507A31" w14:paraId="1DEF247C" w14:textId="77777777">
        <w:tc>
          <w:tcPr>
            <w:tcW w:w="1401" w:type="dxa"/>
          </w:tcPr>
          <w:p w14:paraId="0AF4A9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 полетный, кг</w:t>
            </w:r>
          </w:p>
        </w:tc>
        <w:tc>
          <w:tcPr>
            <w:tcW w:w="1401" w:type="dxa"/>
          </w:tcPr>
          <w:p w14:paraId="672984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2790</w:t>
            </w:r>
          </w:p>
        </w:tc>
        <w:tc>
          <w:tcPr>
            <w:tcW w:w="1401" w:type="dxa"/>
          </w:tcPr>
          <w:p w14:paraId="3ED5DA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2200</w:t>
            </w:r>
          </w:p>
        </w:tc>
        <w:tc>
          <w:tcPr>
            <w:tcW w:w="1401" w:type="dxa"/>
          </w:tcPr>
          <w:p w14:paraId="2D2CD8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2128</w:t>
            </w:r>
          </w:p>
        </w:tc>
        <w:tc>
          <w:tcPr>
            <w:tcW w:w="1401" w:type="dxa"/>
          </w:tcPr>
          <w:p w14:paraId="2C8C3B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2116</w:t>
            </w:r>
          </w:p>
        </w:tc>
        <w:tc>
          <w:tcPr>
            <w:tcW w:w="1401" w:type="dxa"/>
          </w:tcPr>
          <w:p w14:paraId="1AD340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2500</w:t>
            </w:r>
          </w:p>
        </w:tc>
        <w:tc>
          <w:tcPr>
            <w:tcW w:w="1401" w:type="dxa"/>
          </w:tcPr>
          <w:p w14:paraId="356694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1955</w:t>
            </w:r>
          </w:p>
        </w:tc>
        <w:tc>
          <w:tcPr>
            <w:tcW w:w="1401" w:type="dxa"/>
          </w:tcPr>
          <w:p w14:paraId="3B5DF0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2210</w:t>
            </w:r>
          </w:p>
        </w:tc>
      </w:tr>
      <w:tr w:rsidR="00E371BA" w:rsidRPr="00507A31" w14:paraId="6369CDA3" w14:textId="77777777">
        <w:tc>
          <w:tcPr>
            <w:tcW w:w="1401" w:type="dxa"/>
          </w:tcPr>
          <w:p w14:paraId="7A5771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набора высоты 3000 м, мин</w:t>
            </w:r>
          </w:p>
        </w:tc>
        <w:tc>
          <w:tcPr>
            <w:tcW w:w="1401" w:type="dxa"/>
          </w:tcPr>
          <w:p w14:paraId="07B2CD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22,3</w:t>
            </w:r>
          </w:p>
        </w:tc>
        <w:tc>
          <w:tcPr>
            <w:tcW w:w="1401" w:type="dxa"/>
          </w:tcPr>
          <w:p w14:paraId="718C2F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23,5</w:t>
            </w:r>
          </w:p>
        </w:tc>
        <w:tc>
          <w:tcPr>
            <w:tcW w:w="1401" w:type="dxa"/>
          </w:tcPr>
          <w:p w14:paraId="29FC43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19,6</w:t>
            </w:r>
          </w:p>
        </w:tc>
        <w:tc>
          <w:tcPr>
            <w:tcW w:w="1401" w:type="dxa"/>
          </w:tcPr>
          <w:p w14:paraId="4DB541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14,73</w:t>
            </w:r>
          </w:p>
        </w:tc>
        <w:tc>
          <w:tcPr>
            <w:tcW w:w="1401" w:type="dxa"/>
          </w:tcPr>
          <w:p w14:paraId="3D9B4B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1" w:type="dxa"/>
          </w:tcPr>
          <w:p w14:paraId="09B734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1" w:type="dxa"/>
          </w:tcPr>
          <w:p w14:paraId="54628A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14,2</w:t>
            </w:r>
          </w:p>
        </w:tc>
      </w:tr>
      <w:tr w:rsidR="00E371BA" w:rsidRPr="00507A31" w14:paraId="56DA1DB5" w14:textId="77777777">
        <w:tc>
          <w:tcPr>
            <w:tcW w:w="1401" w:type="dxa"/>
          </w:tcPr>
          <w:p w14:paraId="6D02C9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Практический потолок, м</w:t>
            </w:r>
          </w:p>
        </w:tc>
        <w:tc>
          <w:tcPr>
            <w:tcW w:w="1401" w:type="dxa"/>
          </w:tcPr>
          <w:p w14:paraId="1EFBB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6150</w:t>
            </w:r>
          </w:p>
        </w:tc>
        <w:tc>
          <w:tcPr>
            <w:tcW w:w="1401" w:type="dxa"/>
          </w:tcPr>
          <w:p w14:paraId="3A2836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4800</w:t>
            </w:r>
          </w:p>
        </w:tc>
        <w:tc>
          <w:tcPr>
            <w:tcW w:w="1401" w:type="dxa"/>
          </w:tcPr>
          <w:p w14:paraId="33AE95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4640</w:t>
            </w:r>
          </w:p>
        </w:tc>
        <w:tc>
          <w:tcPr>
            <w:tcW w:w="1401" w:type="dxa"/>
          </w:tcPr>
          <w:p w14:paraId="4BA9FD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5100</w:t>
            </w:r>
          </w:p>
        </w:tc>
        <w:tc>
          <w:tcPr>
            <w:tcW w:w="1401" w:type="dxa"/>
          </w:tcPr>
          <w:p w14:paraId="537D8B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4880</w:t>
            </w:r>
          </w:p>
        </w:tc>
        <w:tc>
          <w:tcPr>
            <w:tcW w:w="1401" w:type="dxa"/>
          </w:tcPr>
          <w:p w14:paraId="125554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1401" w:type="dxa"/>
          </w:tcPr>
          <w:p w14:paraId="6E9B4C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5590</w:t>
            </w:r>
          </w:p>
        </w:tc>
      </w:tr>
      <w:tr w:rsidR="00E371BA" w:rsidRPr="00507A31" w14:paraId="51D28D09" w14:textId="77777777">
        <w:tc>
          <w:tcPr>
            <w:tcW w:w="1401" w:type="dxa"/>
          </w:tcPr>
          <w:p w14:paraId="08B288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Максимальная скорость у земли, км/ч</w:t>
            </w:r>
          </w:p>
        </w:tc>
        <w:tc>
          <w:tcPr>
            <w:tcW w:w="1401" w:type="dxa"/>
          </w:tcPr>
          <w:p w14:paraId="443A48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205</w:t>
            </w:r>
          </w:p>
        </w:tc>
        <w:tc>
          <w:tcPr>
            <w:tcW w:w="1401" w:type="dxa"/>
          </w:tcPr>
          <w:p w14:paraId="0AEA0D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202</w:t>
            </w:r>
          </w:p>
        </w:tc>
        <w:tc>
          <w:tcPr>
            <w:tcW w:w="1401" w:type="dxa"/>
          </w:tcPr>
          <w:p w14:paraId="5002D9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w:t>
            </w:r>
          </w:p>
        </w:tc>
        <w:tc>
          <w:tcPr>
            <w:tcW w:w="1401" w:type="dxa"/>
          </w:tcPr>
          <w:p w14:paraId="1862BF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199,8</w:t>
            </w:r>
          </w:p>
        </w:tc>
        <w:tc>
          <w:tcPr>
            <w:tcW w:w="1401" w:type="dxa"/>
          </w:tcPr>
          <w:p w14:paraId="1F646F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206</w:t>
            </w:r>
          </w:p>
        </w:tc>
        <w:tc>
          <w:tcPr>
            <w:tcW w:w="1401" w:type="dxa"/>
          </w:tcPr>
          <w:p w14:paraId="6B2456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207</w:t>
            </w:r>
          </w:p>
        </w:tc>
        <w:tc>
          <w:tcPr>
            <w:tcW w:w="1401" w:type="dxa"/>
          </w:tcPr>
          <w:p w14:paraId="6C0689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205</w:t>
            </w:r>
          </w:p>
        </w:tc>
      </w:tr>
      <w:tr w:rsidR="00E371BA" w:rsidRPr="00507A31" w14:paraId="3BFB1800" w14:textId="77777777">
        <w:tc>
          <w:tcPr>
            <w:tcW w:w="1401" w:type="dxa"/>
          </w:tcPr>
          <w:p w14:paraId="157970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Максимальная скорость на </w:t>
            </w:r>
            <w:r w:rsidRPr="00507A31">
              <w:rPr>
                <w:color w:val="000000" w:themeColor="text1"/>
                <w:sz w:val="16"/>
                <w:szCs w:val="16"/>
              </w:rPr>
              <w:lastRenderedPageBreak/>
              <w:t>высоте 3000 м, км/ч</w:t>
            </w:r>
          </w:p>
        </w:tc>
        <w:tc>
          <w:tcPr>
            <w:tcW w:w="1401" w:type="dxa"/>
          </w:tcPr>
          <w:p w14:paraId="6EED37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220</w:t>
            </w:r>
          </w:p>
        </w:tc>
        <w:tc>
          <w:tcPr>
            <w:tcW w:w="1401" w:type="dxa"/>
          </w:tcPr>
          <w:p w14:paraId="1D7993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178</w:t>
            </w:r>
          </w:p>
        </w:tc>
        <w:tc>
          <w:tcPr>
            <w:tcW w:w="1401" w:type="dxa"/>
          </w:tcPr>
          <w:p w14:paraId="5C2A45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180</w:t>
            </w:r>
          </w:p>
        </w:tc>
        <w:tc>
          <w:tcPr>
            <w:tcW w:w="1401" w:type="dxa"/>
          </w:tcPr>
          <w:p w14:paraId="5CAD8D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190</w:t>
            </w:r>
          </w:p>
        </w:tc>
        <w:tc>
          <w:tcPr>
            <w:tcW w:w="1401" w:type="dxa"/>
          </w:tcPr>
          <w:p w14:paraId="0908BE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196,2</w:t>
            </w:r>
          </w:p>
        </w:tc>
        <w:tc>
          <w:tcPr>
            <w:tcW w:w="1401" w:type="dxa"/>
          </w:tcPr>
          <w:p w14:paraId="2F8DB1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174</w:t>
            </w:r>
          </w:p>
        </w:tc>
        <w:tc>
          <w:tcPr>
            <w:tcW w:w="1401" w:type="dxa"/>
          </w:tcPr>
          <w:p w14:paraId="69CEC2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0E880EED" w14:textId="77777777">
        <w:tc>
          <w:tcPr>
            <w:tcW w:w="1401" w:type="dxa"/>
            <w:tcBorders>
              <w:bottom w:val="single" w:sz="12" w:space="0" w:color="auto"/>
            </w:tcBorders>
          </w:tcPr>
          <w:p w14:paraId="2AD49C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выполнения круга левого, с</w:t>
            </w:r>
          </w:p>
        </w:tc>
        <w:tc>
          <w:tcPr>
            <w:tcW w:w="1401" w:type="dxa"/>
            <w:tcBorders>
              <w:bottom w:val="single" w:sz="12" w:space="0" w:color="auto"/>
            </w:tcBorders>
          </w:tcPr>
          <w:p w14:paraId="399523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16,7</w:t>
            </w:r>
          </w:p>
        </w:tc>
        <w:tc>
          <w:tcPr>
            <w:tcW w:w="1401" w:type="dxa"/>
            <w:tcBorders>
              <w:bottom w:val="single" w:sz="12" w:space="0" w:color="auto"/>
            </w:tcBorders>
          </w:tcPr>
          <w:p w14:paraId="298501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18,6</w:t>
            </w:r>
          </w:p>
        </w:tc>
        <w:tc>
          <w:tcPr>
            <w:tcW w:w="1401" w:type="dxa"/>
            <w:tcBorders>
              <w:bottom w:val="single" w:sz="12" w:space="0" w:color="auto"/>
            </w:tcBorders>
          </w:tcPr>
          <w:p w14:paraId="6E976A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1" w:type="dxa"/>
            <w:tcBorders>
              <w:bottom w:val="single" w:sz="12" w:space="0" w:color="auto"/>
            </w:tcBorders>
          </w:tcPr>
          <w:p w14:paraId="41E962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w:t>
            </w:r>
          </w:p>
        </w:tc>
        <w:tc>
          <w:tcPr>
            <w:tcW w:w="1401" w:type="dxa"/>
            <w:tcBorders>
              <w:bottom w:val="single" w:sz="12" w:space="0" w:color="auto"/>
            </w:tcBorders>
          </w:tcPr>
          <w:p w14:paraId="31818B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1" w:type="dxa"/>
            <w:tcBorders>
              <w:bottom w:val="single" w:sz="12" w:space="0" w:color="auto"/>
            </w:tcBorders>
          </w:tcPr>
          <w:p w14:paraId="51C8EC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1" w:type="dxa"/>
            <w:tcBorders>
              <w:bottom w:val="single" w:sz="12" w:space="0" w:color="auto"/>
            </w:tcBorders>
          </w:tcPr>
          <w:p w14:paraId="2437DF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bl>
    <w:p w14:paraId="14B140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(12034).</w:t>
      </w:r>
    </w:p>
    <w:p w14:paraId="6EFFE8D5" w14:textId="77777777" w:rsidR="00537E5F" w:rsidRPr="00507A31" w:rsidRDefault="00537E5F" w:rsidP="00507A31">
      <w:pPr>
        <w:autoSpaceDE w:val="0"/>
        <w:autoSpaceDN w:val="0"/>
        <w:adjustRightInd w:val="0"/>
        <w:jc w:val="both"/>
        <w:rPr>
          <w:color w:val="000000" w:themeColor="text1"/>
          <w:sz w:val="16"/>
          <w:szCs w:val="16"/>
        </w:rPr>
      </w:pPr>
    </w:p>
    <w:p w14:paraId="6A942F8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1F073DC" w14:textId="77777777" w:rsidR="00537E5F" w:rsidRPr="00507A31" w:rsidRDefault="00537E5F" w:rsidP="00507A31">
      <w:pPr>
        <w:autoSpaceDE w:val="0"/>
        <w:autoSpaceDN w:val="0"/>
        <w:adjustRightInd w:val="0"/>
        <w:jc w:val="both"/>
        <w:rPr>
          <w:iCs/>
          <w:color w:val="000000" w:themeColor="text1"/>
          <w:sz w:val="16"/>
          <w:szCs w:val="16"/>
        </w:rPr>
      </w:pPr>
    </w:p>
    <w:p w14:paraId="109997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октября 1930 года были выполнены стрельбы из 76,2-мм батальонной мортиры ОАТ вариант 2. Попытка подобрать снаряд для начальной скорости 180 м/с. Испытания выявили неисправности противооткатных приспособлений. В частности, система оставалась на полном откате. Для устранения неисправностей мортира была с НИАПа отправлена на завод № 7 (3861).</w:t>
      </w:r>
    </w:p>
    <w:p w14:paraId="6F5B2473" w14:textId="77777777" w:rsidR="00537E5F" w:rsidRPr="00507A31" w:rsidRDefault="00537E5F" w:rsidP="00507A31">
      <w:pPr>
        <w:autoSpaceDE w:val="0"/>
        <w:autoSpaceDN w:val="0"/>
        <w:adjustRightInd w:val="0"/>
        <w:jc w:val="both"/>
        <w:rPr>
          <w:color w:val="000000" w:themeColor="text1"/>
          <w:sz w:val="16"/>
          <w:szCs w:val="16"/>
        </w:rPr>
      </w:pPr>
    </w:p>
    <w:p w14:paraId="169240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 октября 1930 г. был подготовлен ДОКЛАД ПРЕДСТАВИТЕЛЯ УММ О СОВЕЩАНИИ В ГОСПЛАНЕ</w:t>
      </w:r>
    </w:p>
    <w:p w14:paraId="03C5DC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58A99C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Согласно Вашего приказания был вчера в Госплане СССР на совещании о контрольных цифрах по горючему, резине и запасным частям на 1931 год для автотранспорта.</w:t>
      </w:r>
    </w:p>
    <w:p w14:paraId="7DD67D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горючему принята согласованная с ЦУДОРТРАНС цифра 340 000 тонн, но предложено уточнить нормы расхода горючего отдельными типами автомашин и принять все меры к уменьшению его расхода.</w:t>
      </w:r>
    </w:p>
    <w:p w14:paraId="28A1C1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резине Резинообъединение ВСНХ СССР наметило выпуск 975 000 условных покрышек (ги</w:t>
      </w:r>
      <w:r w:rsidRPr="00507A31">
        <w:rPr>
          <w:color w:val="000000" w:themeColor="text1"/>
          <w:sz w:val="16"/>
          <w:szCs w:val="16"/>
        </w:rPr>
        <w:softHyphen/>
        <w:t>гант одна покрышка вместо трех) и 110% камер. Однако из этого количества 120 000 условных покры</w:t>
      </w:r>
      <w:r w:rsidRPr="00507A31">
        <w:rPr>
          <w:color w:val="000000" w:themeColor="text1"/>
          <w:sz w:val="16"/>
          <w:szCs w:val="16"/>
        </w:rPr>
        <w:softHyphen/>
        <w:t>шек с соответствующим количеством камер намечено к выпуску Ярославским заводом. Последний же сможет выполнить эту программу лишь в том случае, если будут средства, которые позволят за</w:t>
      </w:r>
      <w:r w:rsidRPr="00507A31">
        <w:rPr>
          <w:color w:val="000000" w:themeColor="text1"/>
          <w:sz w:val="16"/>
          <w:szCs w:val="16"/>
        </w:rPr>
        <w:softHyphen/>
        <w:t>кончить в необходимом размере строительные работы и оборудование к 1 ноября 1931 года. На полу</w:t>
      </w:r>
      <w:r w:rsidRPr="00507A31">
        <w:rPr>
          <w:color w:val="000000" w:themeColor="text1"/>
          <w:sz w:val="16"/>
          <w:szCs w:val="16"/>
        </w:rPr>
        <w:softHyphen/>
        <w:t>чение этих средств особой надежды нет, а потому возможно, что вместо 975 000 покрышек будут из</w:t>
      </w:r>
      <w:r w:rsidRPr="00507A31">
        <w:rPr>
          <w:color w:val="000000" w:themeColor="text1"/>
          <w:sz w:val="16"/>
          <w:szCs w:val="16"/>
        </w:rPr>
        <w:softHyphen/>
        <w:t>готовлены лишь 855000. При сопоставлении этих цифр с цифрой потребности, определенной ЦУДОР-ТРАНСом в 110 000, получается недопокрытие потребности на 10-20%. В связи со сказанным постановлено предложить всем автохозяйствам принять самые энергичные меры к сбережению ре</w:t>
      </w:r>
      <w:r w:rsidRPr="00507A31">
        <w:rPr>
          <w:color w:val="000000" w:themeColor="text1"/>
          <w:sz w:val="16"/>
          <w:szCs w:val="16"/>
        </w:rPr>
        <w:softHyphen/>
        <w:t>зины, надлежащему уходу за ней и своевременному ремонту, что нами уже сделано.</w:t>
      </w:r>
    </w:p>
    <w:p w14:paraId="60846F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Затем представитель Авторемснаба доложил о мерах, принимаемых ими для обеспечения ремон</w:t>
      </w:r>
      <w:r w:rsidRPr="00507A31">
        <w:rPr>
          <w:color w:val="000000" w:themeColor="text1"/>
          <w:sz w:val="16"/>
          <w:szCs w:val="16"/>
        </w:rPr>
        <w:softHyphen/>
        <w:t>том автотранспорта. Эти меры слагаются из заготовки запасных частей внутреннего и заграничного производства и организации ремонтных баз.</w:t>
      </w:r>
    </w:p>
    <w:p w14:paraId="53AE6D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Запасные части предположено заготовить для различных машин на следующую сумму на машину.</w:t>
      </w:r>
    </w:p>
    <w:p w14:paraId="65BB39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АМО-Ф15 на 1000 руб. АМО-2 на 800 руб. Я-5 на 660 руб. Форд-А на 100 руб. Форд-АА на 200 руб.</w:t>
      </w:r>
    </w:p>
    <w:p w14:paraId="5A892E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отношении машин, уже проходящих на заводах ВАТО (АМО-Ф15 и части шасси), вопрос об</w:t>
      </w:r>
      <w:r w:rsidRPr="00507A31">
        <w:rPr>
          <w:color w:val="000000" w:themeColor="text1"/>
          <w:sz w:val="16"/>
          <w:szCs w:val="16"/>
        </w:rPr>
        <w:softHyphen/>
        <w:t>стоит благополучно, если только заводы не уклонятся от изготовления этих частей. То же касается импорта, до сих пор НКТорг ничего отрицательного не говорит и как будет с ними неизвестно.</w:t>
      </w:r>
    </w:p>
    <w:p w14:paraId="5BCC78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Что касается сети ремонтных мастерских, то таковая, согласно плана, сообщенного и нам, должна начать свою работу с конца четвертого квартала 1931 года. Сейчас в СШСА командирована группа из 20 лиц для изучения постановки этого дела.</w:t>
      </w:r>
    </w:p>
    <w:p w14:paraId="4E32AC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 как упомянутые мастерские проектируются только для авторемонта, это не обеспечивает интересы НКВМ. В отношении ремонта тракторов постановлено обсудить вопрос совместного с сельхозсекцией Госплана.</w:t>
      </w:r>
    </w:p>
    <w:p w14:paraId="090FA7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прочим отдельным вопросам о запчастях ремонтных мастерских вынесены постановления о выде</w:t>
      </w:r>
      <w:r w:rsidRPr="00507A31">
        <w:rPr>
          <w:color w:val="000000" w:themeColor="text1"/>
          <w:sz w:val="16"/>
          <w:szCs w:val="16"/>
        </w:rPr>
        <w:softHyphen/>
        <w:t>лении специальных заводов для изготовления этих частей и т.д. Протокол будет прислан по напечатании.</w:t>
      </w:r>
    </w:p>
    <w:p w14:paraId="389D8C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Помощник начальника 2 отдела М.В. Кашпаров</w:t>
      </w:r>
    </w:p>
    <w:p w14:paraId="0F1B1E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1. Д. 75. Л. 87. Рукописный подлинник (11210).</w:t>
      </w:r>
    </w:p>
    <w:p w14:paraId="1E65D3F4" w14:textId="77777777" w:rsidR="00537E5F" w:rsidRPr="00507A31" w:rsidRDefault="00537E5F" w:rsidP="00507A31">
      <w:pPr>
        <w:autoSpaceDE w:val="0"/>
        <w:autoSpaceDN w:val="0"/>
        <w:adjustRightInd w:val="0"/>
        <w:jc w:val="both"/>
        <w:rPr>
          <w:color w:val="000000" w:themeColor="text1"/>
          <w:sz w:val="16"/>
          <w:szCs w:val="16"/>
        </w:rPr>
      </w:pPr>
    </w:p>
    <w:p w14:paraId="4380EDAA" w14:textId="77777777" w:rsidR="00373CA1" w:rsidRPr="00507A31" w:rsidRDefault="00373CA1" w:rsidP="00507A31">
      <w:pPr>
        <w:jc w:val="both"/>
        <w:rPr>
          <w:color w:val="000000" w:themeColor="text1"/>
          <w:sz w:val="16"/>
          <w:szCs w:val="16"/>
        </w:rPr>
      </w:pPr>
      <w:r w:rsidRPr="00507A31">
        <w:rPr>
          <w:color w:val="000000" w:themeColor="text1"/>
          <w:sz w:val="16"/>
          <w:szCs w:val="16"/>
        </w:rPr>
        <w:t>24 октября 1930 г. — Из доклада Госплана СССР в Политбюро ЦК ВКП(б) «О подготовке промышленности к обороне»</w:t>
      </w:r>
    </w:p>
    <w:p w14:paraId="442A6B2C" w14:textId="77777777" w:rsidR="00373CA1" w:rsidRPr="00507A31" w:rsidRDefault="00373CA1"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2A5E5DB6" w14:textId="77777777" w:rsidR="00373CA1" w:rsidRPr="00507A31" w:rsidRDefault="00373CA1" w:rsidP="00507A31">
      <w:pPr>
        <w:jc w:val="both"/>
        <w:rPr>
          <w:color w:val="000000" w:themeColor="text1"/>
          <w:sz w:val="16"/>
          <w:szCs w:val="16"/>
        </w:rPr>
      </w:pPr>
      <w:r w:rsidRPr="00507A31">
        <w:rPr>
          <w:color w:val="000000" w:themeColor="text1"/>
          <w:sz w:val="16"/>
          <w:szCs w:val="16"/>
        </w:rPr>
        <w:t>Размер мобилизационного задания по мобплану С</w:t>
      </w:r>
      <w:r w:rsidRPr="00507A31">
        <w:rPr>
          <w:color w:val="000000" w:themeColor="text1"/>
          <w:sz w:val="16"/>
          <w:szCs w:val="16"/>
        </w:rPr>
        <w:noBreakHyphen/>
        <w:t>30</w:t>
      </w:r>
    </w:p>
    <w:p w14:paraId="013DEA16" w14:textId="77777777" w:rsidR="00373CA1" w:rsidRPr="00507A31" w:rsidRDefault="00373CA1" w:rsidP="00507A31">
      <w:pPr>
        <w:jc w:val="both"/>
        <w:rPr>
          <w:color w:val="000000" w:themeColor="text1"/>
          <w:sz w:val="16"/>
          <w:szCs w:val="16"/>
        </w:rPr>
      </w:pPr>
      <w:r w:rsidRPr="00507A31">
        <w:rPr>
          <w:color w:val="000000" w:themeColor="text1"/>
          <w:sz w:val="16"/>
          <w:szCs w:val="16"/>
        </w:rPr>
        <w:t>Постановлением РЗ СТО от 21 января 1930 г.²* вследствие неудовлетворительности представленного мобплана литеры «С» на ВСНХ была возложена задача к 1 июля 1930 г. закончить разработку конкретного плана мобилизации промышленности, обеспечивающего полную подачу для вооруженных сил боевого снабжения в следующих минимальных размерах в течение первого года войны: артиллерийских выстрелов — 19 млн. (в т. ч. 4,5 млн. гаубичных выстрелов); винтовочных патронов — 3 млрд.; станковых и ручных пулеметов — 53,5 тыс. шт.; орудий — в количестве, предусмотренном постановлением РЗ СТО от 23 августа 1928 г. Кроме того, ВСНХ было предложено «при разработке мобплана обеспечить резервы мощностей для производства мелкокалиберной артиллерии и снарядов на первый и второй годы войны».</w:t>
      </w:r>
    </w:p>
    <w:p w14:paraId="3F49EEBC" w14:textId="77777777" w:rsidR="00373CA1" w:rsidRPr="00507A31" w:rsidRDefault="00373CA1" w:rsidP="00507A31">
      <w:pPr>
        <w:jc w:val="both"/>
        <w:rPr>
          <w:color w:val="000000" w:themeColor="text1"/>
          <w:sz w:val="16"/>
          <w:szCs w:val="16"/>
        </w:rPr>
      </w:pPr>
      <w:r w:rsidRPr="00507A31">
        <w:rPr>
          <w:color w:val="000000" w:themeColor="text1"/>
          <w:sz w:val="16"/>
          <w:szCs w:val="16"/>
        </w:rPr>
        <w:t>Обеспечение мобплана С</w:t>
      </w:r>
      <w:r w:rsidRPr="00507A31">
        <w:rPr>
          <w:color w:val="000000" w:themeColor="text1"/>
          <w:sz w:val="16"/>
          <w:szCs w:val="16"/>
        </w:rPr>
        <w:noBreakHyphen/>
        <w:t>ЗО по производственным возможностям</w:t>
      </w:r>
    </w:p>
    <w:p w14:paraId="12588A9A" w14:textId="77777777" w:rsidR="00373CA1" w:rsidRPr="00507A31" w:rsidRDefault="00373CA1" w:rsidP="00507A31">
      <w:pPr>
        <w:jc w:val="both"/>
        <w:rPr>
          <w:color w:val="000000" w:themeColor="text1"/>
          <w:sz w:val="16"/>
          <w:szCs w:val="16"/>
        </w:rPr>
      </w:pPr>
      <w:r w:rsidRPr="00507A31">
        <w:rPr>
          <w:color w:val="000000" w:themeColor="text1"/>
          <w:sz w:val="16"/>
          <w:szCs w:val="16"/>
        </w:rPr>
        <w:t>Составленный ВСНХ мобилизационный план С</w:t>
      </w:r>
      <w:r w:rsidRPr="00507A31">
        <w:rPr>
          <w:color w:val="000000" w:themeColor="text1"/>
          <w:sz w:val="16"/>
          <w:szCs w:val="16"/>
        </w:rPr>
        <w:noBreakHyphen/>
        <w:t>30 проектирует следующую подачу вооружения в первый год войны.</w:t>
      </w:r>
    </w:p>
    <w:p w14:paraId="69C9EEE3" w14:textId="77777777" w:rsidR="00373CA1" w:rsidRPr="00507A31" w:rsidRDefault="00373CA1" w:rsidP="00507A31">
      <w:pPr>
        <w:jc w:val="both"/>
        <w:rPr>
          <w:color w:val="000000" w:themeColor="text1"/>
          <w:sz w:val="16"/>
          <w:szCs w:val="16"/>
        </w:rPr>
      </w:pPr>
      <w:r w:rsidRPr="00507A31">
        <w:rPr>
          <w:color w:val="000000" w:themeColor="text1"/>
          <w:sz w:val="16"/>
          <w:szCs w:val="16"/>
        </w:rPr>
        <w:t>Артвыстрелы — 23,3 млн., т. е. 122,6% от задания (19 млн.). Эта подача обеспечена корпусами снарядов полностью, взрывателями и трубками — в размере 17,5 млн. шт., взрывчатыми веществами — полностью и порохами — на 94%. Запроектированная подача базируется на незаконченном строительстве снарядного цеха на «Красном Сормово» и на заводах Московского куста по взрывателям, т. е. 17,5 млн. надо считать в известной мере условными. Следовательно, реально обеспеченной по производственным мощностям надо считать программу примерно 17 млн. выстрелов в первый год войны, что составляет 89,4% от утвержденного правительством задания.</w:t>
      </w:r>
    </w:p>
    <w:p w14:paraId="02DE7C78" w14:textId="77777777" w:rsidR="00373CA1" w:rsidRPr="00507A31" w:rsidRDefault="00373CA1" w:rsidP="00507A31">
      <w:pPr>
        <w:jc w:val="both"/>
        <w:rPr>
          <w:color w:val="000000" w:themeColor="text1"/>
          <w:sz w:val="16"/>
          <w:szCs w:val="16"/>
        </w:rPr>
      </w:pPr>
      <w:r w:rsidRPr="00507A31">
        <w:rPr>
          <w:color w:val="000000" w:themeColor="text1"/>
          <w:sz w:val="16"/>
          <w:szCs w:val="16"/>
        </w:rPr>
        <w:t>Винтпатроны — 3 млрд., т. е. 100% задания.</w:t>
      </w:r>
    </w:p>
    <w:p w14:paraId="2C59C0B1" w14:textId="77777777" w:rsidR="00373CA1" w:rsidRPr="00507A31" w:rsidRDefault="00373CA1" w:rsidP="00507A31">
      <w:pPr>
        <w:jc w:val="both"/>
        <w:rPr>
          <w:color w:val="000000" w:themeColor="text1"/>
          <w:sz w:val="16"/>
          <w:szCs w:val="16"/>
        </w:rPr>
      </w:pPr>
      <w:r w:rsidRPr="00507A31">
        <w:rPr>
          <w:color w:val="000000" w:themeColor="text1"/>
          <w:sz w:val="16"/>
          <w:szCs w:val="16"/>
        </w:rPr>
        <w:t>Винтовки — 942 тыс., т. е. 105% от задания.</w:t>
      </w:r>
    </w:p>
    <w:p w14:paraId="0A420984" w14:textId="77777777" w:rsidR="00373CA1" w:rsidRPr="00507A31" w:rsidRDefault="00373CA1" w:rsidP="00507A31">
      <w:pPr>
        <w:jc w:val="both"/>
        <w:rPr>
          <w:color w:val="000000" w:themeColor="text1"/>
          <w:sz w:val="16"/>
          <w:szCs w:val="16"/>
        </w:rPr>
      </w:pPr>
      <w:r w:rsidRPr="00507A31">
        <w:rPr>
          <w:color w:val="000000" w:themeColor="text1"/>
          <w:sz w:val="16"/>
          <w:szCs w:val="16"/>
        </w:rPr>
        <w:t>Пулеметы Максима — 18,5 тыс., т. е. 103% от задания.</w:t>
      </w:r>
    </w:p>
    <w:p w14:paraId="2273D4D0" w14:textId="77777777" w:rsidR="00373CA1" w:rsidRPr="00507A31" w:rsidRDefault="00373CA1" w:rsidP="00507A31">
      <w:pPr>
        <w:jc w:val="both"/>
        <w:rPr>
          <w:color w:val="000000" w:themeColor="text1"/>
          <w:sz w:val="16"/>
          <w:szCs w:val="16"/>
        </w:rPr>
      </w:pPr>
      <w:r w:rsidRPr="00507A31">
        <w:rPr>
          <w:color w:val="000000" w:themeColor="text1"/>
          <w:sz w:val="16"/>
          <w:szCs w:val="16"/>
        </w:rPr>
        <w:t>Пулеметы Дегтярева — 37,1 тыс., т. е. 100% задания; магазинами эта подача обеспечена только наполовину.</w:t>
      </w:r>
    </w:p>
    <w:p w14:paraId="50B7EA75" w14:textId="77777777" w:rsidR="00373CA1" w:rsidRPr="00507A31" w:rsidRDefault="00373CA1" w:rsidP="00507A31">
      <w:pPr>
        <w:jc w:val="both"/>
        <w:rPr>
          <w:color w:val="000000" w:themeColor="text1"/>
          <w:sz w:val="16"/>
          <w:szCs w:val="16"/>
        </w:rPr>
      </w:pPr>
      <w:r w:rsidRPr="00507A31">
        <w:rPr>
          <w:color w:val="000000" w:themeColor="text1"/>
          <w:sz w:val="16"/>
          <w:szCs w:val="16"/>
        </w:rPr>
        <w:t>По орудиям — мобплан С</w:t>
      </w:r>
      <w:r w:rsidRPr="00507A31">
        <w:rPr>
          <w:color w:val="000000" w:themeColor="text1"/>
          <w:sz w:val="16"/>
          <w:szCs w:val="16"/>
        </w:rPr>
        <w:noBreakHyphen/>
        <w:t>30 не обеспечивает задания ни по одной системе, в том числе по 76</w:t>
      </w:r>
      <w:r w:rsidRPr="00507A31">
        <w:rPr>
          <w:color w:val="000000" w:themeColor="text1"/>
          <w:sz w:val="16"/>
          <w:szCs w:val="16"/>
        </w:rPr>
        <w:noBreakHyphen/>
        <w:t>мм пушкам не обеспечивается 23% от задания, по 107</w:t>
      </w:r>
      <w:r w:rsidRPr="00507A31">
        <w:rPr>
          <w:color w:val="000000" w:themeColor="text1"/>
          <w:sz w:val="16"/>
          <w:szCs w:val="16"/>
        </w:rPr>
        <w:noBreakHyphen/>
        <w:t>мм пушкам — 50%, по полевым гаубицам — 39%, по мелкокалиберной артиллерии — 59% и т. д. Еще большее невыполнение задания намечается по отравляющим веществам, танкам, минам, торпедам, противогазам и радиостанциям.</w:t>
      </w:r>
    </w:p>
    <w:p w14:paraId="3AAA5B81" w14:textId="77777777" w:rsidR="00373CA1" w:rsidRPr="00507A31" w:rsidRDefault="00373CA1" w:rsidP="00507A31">
      <w:pPr>
        <w:jc w:val="both"/>
        <w:rPr>
          <w:color w:val="000000" w:themeColor="text1"/>
          <w:sz w:val="16"/>
          <w:szCs w:val="16"/>
        </w:rPr>
      </w:pPr>
      <w:r w:rsidRPr="00507A31">
        <w:rPr>
          <w:color w:val="000000" w:themeColor="text1"/>
          <w:sz w:val="16"/>
          <w:szCs w:val="16"/>
        </w:rPr>
        <w:t>Таким образом, мы должны констатировать, что мобплан С</w:t>
      </w:r>
      <w:r w:rsidRPr="00507A31">
        <w:rPr>
          <w:color w:val="000000" w:themeColor="text1"/>
          <w:sz w:val="16"/>
          <w:szCs w:val="16"/>
        </w:rPr>
        <w:noBreakHyphen/>
        <w:t>30 далеко не обеспечивает учтенными в нем производственными мощностями выполнения утвержденной правительством заявки, если исходить из необходимости полной подготовленности к началу войны требуемых мощностей. Именно такое требование было поставлено перед ВСНХ, когда давались задания для мобплана С</w:t>
      </w:r>
      <w:r w:rsidRPr="00507A31">
        <w:rPr>
          <w:color w:val="000000" w:themeColor="text1"/>
          <w:sz w:val="16"/>
          <w:szCs w:val="16"/>
        </w:rPr>
        <w:noBreakHyphen/>
        <w:t>30. ВСНХ этой установки не выполнил, построив мобплан на частично незаконченных или нереальных мощностях, не предусмотрев в мобплане мероприятий, подлежащих осуществлению во время войны.</w:t>
      </w:r>
    </w:p>
    <w:p w14:paraId="348524E7" w14:textId="77777777" w:rsidR="00373CA1" w:rsidRPr="00507A31" w:rsidRDefault="00373CA1" w:rsidP="00507A31">
      <w:pPr>
        <w:jc w:val="both"/>
        <w:rPr>
          <w:color w:val="000000" w:themeColor="text1"/>
          <w:sz w:val="16"/>
          <w:szCs w:val="16"/>
        </w:rPr>
      </w:pPr>
      <w:r w:rsidRPr="00507A31">
        <w:rPr>
          <w:color w:val="000000" w:themeColor="text1"/>
          <w:sz w:val="16"/>
          <w:szCs w:val="16"/>
        </w:rPr>
        <w:t>Обеспечение мобплана С</w:t>
      </w:r>
      <w:r w:rsidRPr="00507A31">
        <w:rPr>
          <w:color w:val="000000" w:themeColor="text1"/>
          <w:sz w:val="16"/>
          <w:szCs w:val="16"/>
        </w:rPr>
        <w:noBreakHyphen/>
        <w:t>30 в исходных материалах</w:t>
      </w:r>
    </w:p>
    <w:p w14:paraId="72E57EDE"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Второй крупный дефект мобплана С</w:t>
      </w:r>
      <w:r w:rsidRPr="00507A31">
        <w:rPr>
          <w:color w:val="000000" w:themeColor="text1"/>
          <w:sz w:val="16"/>
          <w:szCs w:val="16"/>
        </w:rPr>
        <w:noBreakHyphen/>
        <w:t>30 состоит в том, что намеченная производственная программа по военным производствам не обеспечена материальным и техническим снабжением. Конкретно это выражается в следующем.</w:t>
      </w:r>
    </w:p>
    <w:p w14:paraId="6940F964" w14:textId="77777777" w:rsidR="00373CA1" w:rsidRPr="00507A31" w:rsidRDefault="00373CA1" w:rsidP="00507A31">
      <w:pPr>
        <w:pStyle w:val="rtejustify"/>
        <w:spacing w:before="0" w:after="0"/>
        <w:rPr>
          <w:color w:val="000000" w:themeColor="text1"/>
          <w:sz w:val="16"/>
          <w:szCs w:val="16"/>
        </w:rPr>
      </w:pPr>
      <w:r w:rsidRPr="00507A31">
        <w:rPr>
          <w:rStyle w:val="af0"/>
          <w:i w:val="0"/>
          <w:color w:val="000000" w:themeColor="text1"/>
          <w:sz w:val="16"/>
          <w:szCs w:val="16"/>
        </w:rPr>
        <w:t>По цветным металлам</w:t>
      </w:r>
      <w:r w:rsidRPr="00507A31">
        <w:rPr>
          <w:color w:val="000000" w:themeColor="text1"/>
          <w:sz w:val="16"/>
          <w:szCs w:val="16"/>
        </w:rPr>
        <w:t xml:space="preserve"> программа обеспечена: по цинку электролитному — на 50%, по свинцу — на 86%, по олову — на 73%, по никелю — на 59% при условии полного отказа в удовлетворении потребностей народного хозяйства точно так же, как и в отношении других материалов, где мобзаявка обеспечивается полностью.</w:t>
      </w:r>
    </w:p>
    <w:p w14:paraId="7CAC5D26" w14:textId="77777777" w:rsidR="00373CA1" w:rsidRPr="00507A31" w:rsidRDefault="00373CA1" w:rsidP="00507A31">
      <w:pPr>
        <w:pStyle w:val="rtejustify"/>
        <w:spacing w:before="0" w:after="0"/>
        <w:rPr>
          <w:color w:val="000000" w:themeColor="text1"/>
          <w:sz w:val="16"/>
          <w:szCs w:val="16"/>
        </w:rPr>
      </w:pPr>
      <w:r w:rsidRPr="00507A31">
        <w:rPr>
          <w:rStyle w:val="af0"/>
          <w:i w:val="0"/>
          <w:color w:val="000000" w:themeColor="text1"/>
          <w:sz w:val="16"/>
          <w:szCs w:val="16"/>
        </w:rPr>
        <w:t>По инструментальной стали</w:t>
      </w:r>
      <w:r w:rsidRPr="00507A31">
        <w:rPr>
          <w:color w:val="000000" w:themeColor="text1"/>
          <w:sz w:val="16"/>
          <w:szCs w:val="16"/>
        </w:rPr>
        <w:t xml:space="preserve"> программа обеспечивается на 70</w:t>
      </w:r>
      <w:r w:rsidRPr="00507A31">
        <w:rPr>
          <w:color w:val="000000" w:themeColor="text1"/>
          <w:sz w:val="16"/>
          <w:szCs w:val="16"/>
        </w:rPr>
        <w:noBreakHyphen/>
        <w:t>80%.</w:t>
      </w:r>
    </w:p>
    <w:p w14:paraId="7B7E6340" w14:textId="77777777" w:rsidR="00373CA1" w:rsidRPr="00507A31" w:rsidRDefault="00373CA1" w:rsidP="00507A31">
      <w:pPr>
        <w:pStyle w:val="rtejustify"/>
        <w:spacing w:before="0" w:after="0"/>
        <w:rPr>
          <w:color w:val="000000" w:themeColor="text1"/>
          <w:sz w:val="16"/>
          <w:szCs w:val="16"/>
        </w:rPr>
      </w:pPr>
      <w:r w:rsidRPr="00507A31">
        <w:rPr>
          <w:rStyle w:val="af0"/>
          <w:i w:val="0"/>
          <w:color w:val="000000" w:themeColor="text1"/>
          <w:sz w:val="16"/>
          <w:szCs w:val="16"/>
        </w:rPr>
        <w:t>По ферросплавам</w:t>
      </w:r>
      <w:r w:rsidRPr="00507A31">
        <w:rPr>
          <w:color w:val="000000" w:themeColor="text1"/>
          <w:sz w:val="16"/>
          <w:szCs w:val="16"/>
        </w:rPr>
        <w:t xml:space="preserve"> обеспеченность очень низкая, за исключением ферросилиция. Артиллерийская и оружейная программа обеспечена ферросплавами в среднем только на 33,5%. Потребность народного хозяйства в ферросплавах совершенно не удовлетворяется.</w:t>
      </w:r>
    </w:p>
    <w:p w14:paraId="3AB2968C"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 xml:space="preserve">Обеспеченность мобплана </w:t>
      </w:r>
      <w:r w:rsidRPr="00507A31">
        <w:rPr>
          <w:rStyle w:val="af0"/>
          <w:i w:val="0"/>
          <w:color w:val="000000" w:themeColor="text1"/>
          <w:sz w:val="16"/>
          <w:szCs w:val="16"/>
        </w:rPr>
        <w:t>контрольно-мерительным инструментом</w:t>
      </w:r>
      <w:r w:rsidRPr="00507A31">
        <w:rPr>
          <w:color w:val="000000" w:themeColor="text1"/>
          <w:sz w:val="16"/>
          <w:szCs w:val="16"/>
        </w:rPr>
        <w:t xml:space="preserve"> далеко недостаточная; например, по металлическим элементам выстрела она составляет в среднем 40%.</w:t>
      </w:r>
    </w:p>
    <w:p w14:paraId="70463BEB"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 xml:space="preserve">Громадная необеспеченность программы имеется </w:t>
      </w:r>
      <w:r w:rsidRPr="00507A31">
        <w:rPr>
          <w:rStyle w:val="af0"/>
          <w:i w:val="0"/>
          <w:color w:val="000000" w:themeColor="text1"/>
          <w:sz w:val="16"/>
          <w:szCs w:val="16"/>
        </w:rPr>
        <w:t xml:space="preserve">по техническому снабжению </w:t>
      </w:r>
      <w:r w:rsidRPr="00507A31">
        <w:rPr>
          <w:color w:val="000000" w:themeColor="text1"/>
          <w:sz w:val="16"/>
          <w:szCs w:val="16"/>
        </w:rPr>
        <w:t>(шарикоподшипники, электрооборудование, приборы и инструменты для судостроения, зеркальные отражатели для прожекторов и т. п.), что делает нереальной запроектированную подачу танков, автотракторного имущества, военно-технического имущества, военно-морского флота и т. д.</w:t>
      </w:r>
    </w:p>
    <w:p w14:paraId="51759603"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 xml:space="preserve">В отношении </w:t>
      </w:r>
      <w:r w:rsidRPr="00507A31">
        <w:rPr>
          <w:rStyle w:val="af0"/>
          <w:i w:val="0"/>
          <w:color w:val="000000" w:themeColor="text1"/>
          <w:sz w:val="16"/>
          <w:szCs w:val="16"/>
        </w:rPr>
        <w:t>химического снабжения</w:t>
      </w:r>
      <w:r w:rsidRPr="00507A31">
        <w:rPr>
          <w:color w:val="000000" w:themeColor="text1"/>
          <w:sz w:val="16"/>
          <w:szCs w:val="16"/>
        </w:rPr>
        <w:t xml:space="preserve"> запроектированная подача по существу тоже не обеспечена, так как и в этой части имеется прорыв по пороху и большие условности, создаваемые базированием мобплана на ряде незаконченных строительств. Кроме того, обеспечение подачи по химии достигается путем полного изъятия химпродуктов для военных надобностей при нулевом или близком к нулю обеспечении народного хозяйства. Это обстоятельство, разумеется, вносит еще большую условность в химическую часть мобплана С</w:t>
      </w:r>
      <w:r w:rsidRPr="00507A31">
        <w:rPr>
          <w:color w:val="000000" w:themeColor="text1"/>
          <w:sz w:val="16"/>
          <w:szCs w:val="16"/>
        </w:rPr>
        <w:noBreakHyphen/>
        <w:t>30.</w:t>
      </w:r>
    </w:p>
    <w:p w14:paraId="2708E3CF"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lastRenderedPageBreak/>
        <w:t>В отношении внутренних мобзапасов мобплан обеспечен только на 30%. Большая необеспеченность имеется также со стороны рабтехсилы, а также со стороны перевозок в мобпериод. Таким образом, необходимо признать, что мобплан С</w:t>
      </w:r>
      <w:r w:rsidRPr="00507A31">
        <w:rPr>
          <w:color w:val="000000" w:themeColor="text1"/>
          <w:sz w:val="16"/>
          <w:szCs w:val="16"/>
        </w:rPr>
        <w:noBreakHyphen/>
        <w:t>30 нереален и в отношении материального и технического снабжения.</w:t>
      </w:r>
    </w:p>
    <w:p w14:paraId="1B183333"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К сказанному необходимо еще добавить, что мобплан С</w:t>
      </w:r>
      <w:r w:rsidRPr="00507A31">
        <w:rPr>
          <w:color w:val="000000" w:themeColor="text1"/>
          <w:sz w:val="16"/>
          <w:szCs w:val="16"/>
        </w:rPr>
        <w:noBreakHyphen/>
        <w:t>30 почти совершенно не отражает модернизации вооружения РККА, так что в случае войны промышленность будет подавать на фронт те виды боевого снабжения, которые в настоящее время или сняты, или снимаются с вооружения. Следует отметить также, что самое производство боевых изделий на многих заводах не установлено.</w:t>
      </w:r>
    </w:p>
    <w:p w14:paraId="0A70EB72"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Все перечисленные дефекты в значительной мере обесценивают мобплан промышленности. Мобилизационный план, который характеризуется большим количеством провалов, условностей и оговорок, не может быть признан удовлетворительным мобпланом, соответствующим тем требованиям, которые были поставлены правительством (безусловность и реальность всех запроектированных мероприятий). В результате мы не в состоянии по представленным ВСНХ материалам определить, на какую же реальную и полностью обеспеченную военную программу должны рассчитывать вооруженные силы в случае войны.</w:t>
      </w:r>
    </w:p>
    <w:p w14:paraId="29052592"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Таким образом, приходится констатировать, что за истекший срок промышленность не осуществила тех мероприятий, которые должны были обеспечить мобплан С</w:t>
      </w:r>
      <w:r w:rsidRPr="00507A31">
        <w:rPr>
          <w:color w:val="000000" w:themeColor="text1"/>
          <w:sz w:val="16"/>
          <w:szCs w:val="16"/>
        </w:rPr>
        <w:noBreakHyphen/>
        <w:t>30, в результате чего новый мобплан является в значительной мере нереальным. Нереальность мобплана явилась также следствием невыполнения плана завоза импортных мобзапасов.</w:t>
      </w:r>
    </w:p>
    <w:p w14:paraId="457F0B82"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В то же время необходимо отметить, что в мобплане С</w:t>
      </w:r>
      <w:r w:rsidRPr="00507A31">
        <w:rPr>
          <w:color w:val="000000" w:themeColor="text1"/>
          <w:sz w:val="16"/>
          <w:szCs w:val="16"/>
        </w:rPr>
        <w:noBreakHyphen/>
        <w:t>30 имеются известные достижения: более высокий уровень подачи боевых средств, несколько большая обеспеченность мобзапасами, более короткие сроки развертывания, лучшая организация производственного снабжения, лучшая увязка производства сложных изделий и т. п. В итоге, мобплан С</w:t>
      </w:r>
      <w:r w:rsidRPr="00507A31">
        <w:rPr>
          <w:color w:val="000000" w:themeColor="text1"/>
          <w:sz w:val="16"/>
          <w:szCs w:val="16"/>
        </w:rPr>
        <w:noBreakHyphen/>
        <w:t>30 после необходимой доработки и более полного обеспечения мобзапасами, особенно импортного происхождения, сможет послужить к весне 1931 г. основой для планомерной мобилизации промышленности на общем уровне утвержденных правительством заданий.</w:t>
      </w:r>
    </w:p>
    <w:p w14:paraId="35E96048"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При этом необходимо подчеркнуть, что мобплан С</w:t>
      </w:r>
      <w:r w:rsidRPr="00507A31">
        <w:rPr>
          <w:color w:val="000000" w:themeColor="text1"/>
          <w:sz w:val="16"/>
          <w:szCs w:val="16"/>
        </w:rPr>
        <w:noBreakHyphen/>
        <w:t>30 далеко не полностью отражает имеющиеся в промышленности возможности. Эти неучтенные пока производственные резервы, вероятно, позволят в случае войны в 1931 г. повысить уровень выполнения заявки НКВМ по сравнению с тем, что запроектировано в мобплане С</w:t>
      </w:r>
      <w:r w:rsidRPr="00507A31">
        <w:rPr>
          <w:color w:val="000000" w:themeColor="text1"/>
          <w:sz w:val="16"/>
          <w:szCs w:val="16"/>
        </w:rPr>
        <w:noBreakHyphen/>
        <w:t>30. Более полное выявление этих резервов и приведение их в состояние мобготовности является одной из важнейших задач промышленности в ближайший период.</w:t>
      </w:r>
    </w:p>
    <w:p w14:paraId="551F6CC4" w14:textId="77777777" w:rsidR="00373CA1" w:rsidRPr="00507A31" w:rsidRDefault="00373CA1" w:rsidP="00507A31">
      <w:pPr>
        <w:jc w:val="both"/>
        <w:rPr>
          <w:color w:val="000000" w:themeColor="text1"/>
          <w:sz w:val="16"/>
          <w:szCs w:val="16"/>
        </w:rPr>
      </w:pPr>
      <w:r w:rsidRPr="00507A31">
        <w:rPr>
          <w:color w:val="000000" w:themeColor="text1"/>
          <w:sz w:val="16"/>
          <w:szCs w:val="16"/>
        </w:rPr>
        <w:t>Каковы причины неудовлетворительного положения?</w:t>
      </w:r>
    </w:p>
    <w:p w14:paraId="319C8767"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1. Основная причина слабой мобготовности промышленности заключается в отставании тех отраслей промышленности, которые представляют базу снабжения для военных производств, т. е. главным образом основной химии, цветной металлургии и ферросплавов. Это отставание не было объективно неизбежным, оно было обусловлено недостаточным вниманием к этим участкам промышленности и недостаточной концентрацией сил и средств на подтягивании их к уровню потребностей народного хозяйства и обороны, несмотря на ряд прямых директив партии и правительства.</w:t>
      </w:r>
    </w:p>
    <w:p w14:paraId="5D0338FB"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2. Вторая причина низкой мобготовности промышленности заключается в систематическом невыполнении планов специального оборонного строительства и в безобразно плохом, благоприятствовавшем вредительству ведении капитального строительства, вследствие чего создавались диспропорции в подготовке отдельных производств, капитальные вложения давали очень малую эффективность, строительства чрезвычайно растягивались во времени и т. п. Все эти явления в основном проистекали от того, что оборонное строительство не было выдвинуто на первый план, основные аппараты промышленности по-прежнему игнорировали оборонные задачи, необходимые условия для успешного хода этого строительства не были созданы и не были приняты своевременно меры для его оздоровления.</w:t>
      </w:r>
    </w:p>
    <w:p w14:paraId="5FADE8B9"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3. Чрезвычайно большим недостатком мобплана и в то же время причиной многих его условностей является то обстоятельство, что мобплан, охватывающий работу только в той части промышленности, которая занята обслуживанием фронта, составлен вне общего плана работы промышленности и всего народного хозяйства во время войны, т. е. без опоры на основную базу. Только оторванностью мобплана от работы и потребностей всего народнохозяйственного целого можно объяснить такое распределение материальных ресурсов, принятое в мобплане, по которому 100% химических продуктов, цветных металлов, ферросплавов и других дефицитных предметов забираются для мобзадания, а для народного хозяйства не остается ничего или почти ничего. Мобплан, построенный на такой порочной основе, экономически не обоснован и нереален, поскольку он не обеспечивает основной базы обороны.</w:t>
      </w:r>
    </w:p>
    <w:p w14:paraId="2DC5DE7F"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4. Немалую роль сыграл в отставании оборонной подготовки промышленности слишком запоздалый переход к реконструкции военных производств на базе максимального использования общей промышленности через специальное ее приспособление для производства военных изделий. В этом вопросе за последние 2</w:t>
      </w:r>
      <w:r w:rsidRPr="00507A31">
        <w:rPr>
          <w:color w:val="000000" w:themeColor="text1"/>
          <w:sz w:val="16"/>
          <w:szCs w:val="16"/>
        </w:rPr>
        <w:noBreakHyphen/>
        <w:t>3 года ВСНХ оставался на почве общих разговоров о реконструкции, а практически никаких серьезных шагов до лета нынешнего года не предпринималось. За это топтание на месте и за упущенное время приходится теперь расплачиваться тяжелой ценой неподготовленности промышленности к войне.</w:t>
      </w:r>
    </w:p>
    <w:p w14:paraId="1AF56716"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Заметные сдвиги в области этой реконструкции намечаются лишь к осуществлению в 1931 г., причем и эти проектировки делаются при отсутствии перспективного плана реконструкции лишь в разрезе годовой программы, в чем кроется немалая опасность. Между тем без проведения реконструкции военных производств не мыслим быстрый подъем обороноспособности страны на ту высоту, которая диктуется характером современной войны и нашим международным положением.</w:t>
      </w:r>
    </w:p>
    <w:p w14:paraId="53806C44"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То же самое надо сказать и о работах в области суррогатирования и замены дефицитных импортных материалов. То преступное топтание на месте и та инерция, которые наблюдались в этом деле, нельзя иначе назвать, как саботажем и вредительством со стороны аппарата. Результаты очень печальные, постановление правительства от 21 января 1930 г. о замене патронной латуни и пульного мельхиора не выполнено, а подача снарядов из сталистого чугуна запроектирована по мобплану лишь в размере 2 млн. шт.</w:t>
      </w:r>
    </w:p>
    <w:p w14:paraId="00C64C2A"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Наконец, необходимо еще указать на крайне медленное развертывание рационализаторских работ в военной промышленности, осуществление которых, как показывает опыт, должно дать значительное наращение мощностей на действующих заводах.</w:t>
      </w:r>
    </w:p>
    <w:p w14:paraId="5264AA78"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Таковы в основном причины, что и предопределило нынешнее неудовлетворительное состояние оборонной подготовки промышленности.</w:t>
      </w:r>
    </w:p>
    <w:p w14:paraId="7AEC94CF" w14:textId="77777777" w:rsidR="00373CA1" w:rsidRPr="00507A31" w:rsidRDefault="00373CA1" w:rsidP="00507A31">
      <w:pPr>
        <w:jc w:val="both"/>
        <w:rPr>
          <w:color w:val="000000" w:themeColor="text1"/>
          <w:sz w:val="16"/>
          <w:szCs w:val="16"/>
        </w:rPr>
      </w:pPr>
      <w:r w:rsidRPr="00507A31">
        <w:rPr>
          <w:color w:val="000000" w:themeColor="text1"/>
          <w:sz w:val="16"/>
          <w:szCs w:val="16"/>
        </w:rPr>
        <w:t>Возможен ли переход к большой программе мобилизации промышленности к весне 1932 г.?</w:t>
      </w:r>
    </w:p>
    <w:p w14:paraId="6115BEFC"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Промышленность стоит теперь перед гигантской задачей — подготовить к началу 1932 г. переход от нынешнего уровня готовности к мобилизационному развертыванию мощностей, обеспечивающих подачу около 50 млн. выстрелов в первый год войны. Естественно, возникает вопрос, сможет ли промышленность осуществить эту задачу?</w:t>
      </w:r>
    </w:p>
    <w:p w14:paraId="1A4CB812"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Госплан полагает, что, несмотря на всю трудность этой задачи, она в основном посильна и осуществлена должна быть во что бы то ни стало. Ниже дается анализ новой заявки НКВМ (10 вар[иант]) и тех требований, которые она предъявляет к народному хозяйству. Здесь мы ограничиваемся только следующими замечаниями.</w:t>
      </w:r>
    </w:p>
    <w:p w14:paraId="0C3E3AF2"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Не подлежит никакому сомнению, что мобилизационный план С</w:t>
      </w:r>
      <w:r w:rsidRPr="00507A31">
        <w:rPr>
          <w:color w:val="000000" w:themeColor="text1"/>
          <w:sz w:val="16"/>
          <w:szCs w:val="16"/>
        </w:rPr>
        <w:noBreakHyphen/>
        <w:t>30 далеко не в полной мере учитывает имеющиеся производственные возможности. Промышленность, несомненно, обладает еще большими неучтенными и не выявленными резервами мощностей, которые значительно повышают действительные возможности производства военных изделий в случае войны. Достаточно указать на такие источники повышения производственных мощностей, как рационализация, сокращение сроков развертывания и реконструкция военных производств.</w:t>
      </w:r>
    </w:p>
    <w:p w14:paraId="4A68166D"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Опыт показал, что проверка технологических процессов на заводах, более рациональное использование оборудования, лучшая организация труда, более высокое качество работы дают громадный эффект в смысле повышения производственных возможностей заводов. Работа эта только еще начата и в дальнейшем выявит несомненно большие скрытые резервы (что, без сомнения, имело бы место даже в случае начала войны в настоящий момент). В этом же направлении будет действовать и установка производства на тех предприятиях, на которых производство еще не освоено, а таких предприятий немало.</w:t>
      </w:r>
    </w:p>
    <w:p w14:paraId="16313C80"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Возможности повышения выпуска изделий за счет сокращения сроков развертывания далеко еще не исчерпаны. Сроки развертывания производства, принятые в мобплане С</w:t>
      </w:r>
      <w:r w:rsidRPr="00507A31">
        <w:rPr>
          <w:color w:val="000000" w:themeColor="text1"/>
          <w:sz w:val="16"/>
          <w:szCs w:val="16"/>
        </w:rPr>
        <w:noBreakHyphen/>
        <w:t>30, еще очень длинные и могут быть значительно ужаты, что автоматически даст увеличение продукции в первый год войны. Наконец, громадный, почти нетронутый еще резерв кроется в тех мероприятиях реконструктивного порядка, которые намечены к осуществлению в 1931 г. и которые в известной части могут быть осуществлены и в том случае, если бы война произошла в настоящее время.</w:t>
      </w:r>
    </w:p>
    <w:p w14:paraId="79EAB95D"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Все это вместе взятое позволит уже существующую производственную базу использовать гораздо более эффективно, чем это имеет место в настоящее время. Эти мероприятия вполне могут быть осуществлены в течение 1931 г., что должно обеспечить переход в 1932 г. на большую программу мобилизации промышленности.</w:t>
      </w:r>
    </w:p>
    <w:p w14:paraId="3CD60DD6"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Кроме того, необходимо учитывать, что промышленное оборонное строительство будет продолжаться форсированным темпом и во время войны. Уровень развития нашего машиностроения в 1932 г. вполне позволит успешно производить строительство важнейших для обороны объектов, которые не смогут быть закончены в течение 1931 г. Этот дополнительный резерв должен быть учтен в следующем варианте мобилизации промышленности путем составления мобилизационных планов на важнейших для обороны строительствах. Эти мобилизационные планы должны будут обеспечить безусловное окончание таких строительств в кратчайший срок в условиях войны.</w:t>
      </w:r>
    </w:p>
    <w:p w14:paraId="7ADD97B1"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Что касается снабженческой базы, то вопрос обеспечения большой мобилизационной программы в основном решается развитием химии и цветной металлургии. Как показал опыт работы по контрольным цифрам на 1930/31 г., эти две отрасли при надлежащем напряжении и организационно-политическом обеспечении могут и должны быть подняты в течение 1931 г. на требуемую высоту. Кроме того, 1931 г. должен дать решительный перелом в области суррогатирования и замены, а также в области ликвидации некоторых мелких диспропорций в производстве сложных изделий (шарикоподшипники, электрооборудование, различные детали).</w:t>
      </w:r>
    </w:p>
    <w:p w14:paraId="2211500C"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Таким образом, требуемый скачок от нынешней программы к большой (на весну 1932 г. на базе третьего года пятилетки) программе мобилизации промышленности при ближайшем рассмотрении представляется в общем посильным и осуществимым. Этот скачок должен быть сделан во что бы то ни стало в кратчайший срок, так как длительных сроков на подготовку к войне нам, вероятно, не дано.</w:t>
      </w:r>
    </w:p>
    <w:p w14:paraId="0D38A1D2" w14:textId="77777777" w:rsidR="00373CA1" w:rsidRPr="00507A31" w:rsidRDefault="00373CA1" w:rsidP="00507A31">
      <w:pPr>
        <w:jc w:val="both"/>
        <w:rPr>
          <w:color w:val="000000" w:themeColor="text1"/>
          <w:sz w:val="16"/>
          <w:szCs w:val="16"/>
        </w:rPr>
      </w:pPr>
      <w:r w:rsidRPr="00507A31">
        <w:rPr>
          <w:color w:val="000000" w:themeColor="text1"/>
          <w:sz w:val="16"/>
          <w:szCs w:val="16"/>
        </w:rPr>
        <w:t>Как разрешить вопрос о мобилизационном плане на 1931 г.?</w:t>
      </w:r>
    </w:p>
    <w:p w14:paraId="50A4B760" w14:textId="77777777" w:rsidR="00373CA1" w:rsidRPr="00507A31" w:rsidRDefault="00373CA1" w:rsidP="00507A31">
      <w:pPr>
        <w:jc w:val="both"/>
        <w:rPr>
          <w:color w:val="000000" w:themeColor="text1"/>
          <w:sz w:val="16"/>
          <w:szCs w:val="16"/>
        </w:rPr>
      </w:pPr>
      <w:r w:rsidRPr="00507A31">
        <w:rPr>
          <w:color w:val="000000" w:themeColor="text1"/>
          <w:sz w:val="16"/>
          <w:szCs w:val="16"/>
        </w:rPr>
        <w:t>Госплан полагает, что к весне 1931 г. необходимо во что бы то ни стало закончить работу по всестороннему обеспечению мобплана С</w:t>
      </w:r>
      <w:r w:rsidRPr="00507A31">
        <w:rPr>
          <w:color w:val="000000" w:themeColor="text1"/>
          <w:sz w:val="16"/>
          <w:szCs w:val="16"/>
        </w:rPr>
        <w:noBreakHyphen/>
        <w:t xml:space="preserve">30 с увеличением подачи по тем элементам заявки, по которым в результате строительства особого квартала³* будет расширенная база, и вместе с тем поставить задачу по максимальной </w:t>
      </w:r>
      <w:r w:rsidRPr="00507A31">
        <w:rPr>
          <w:color w:val="000000" w:themeColor="text1"/>
          <w:sz w:val="16"/>
          <w:szCs w:val="16"/>
        </w:rPr>
        <w:lastRenderedPageBreak/>
        <w:t>ликвидации всех имеющихся в плане диспропорций и прорывов с целью подготовить планомерную мобилизацию промышленности на бронированном и на 100-процентном обеспеченном минимуме.</w:t>
      </w:r>
    </w:p>
    <w:p w14:paraId="5A1BBFA8" w14:textId="77777777" w:rsidR="00373CA1" w:rsidRPr="00507A31" w:rsidRDefault="00373CA1" w:rsidP="00507A31">
      <w:pPr>
        <w:jc w:val="both"/>
        <w:rPr>
          <w:color w:val="000000" w:themeColor="text1"/>
          <w:sz w:val="16"/>
          <w:szCs w:val="16"/>
        </w:rPr>
      </w:pPr>
      <w:r w:rsidRPr="00507A31">
        <w:rPr>
          <w:color w:val="000000" w:themeColor="text1"/>
          <w:sz w:val="16"/>
          <w:szCs w:val="16"/>
        </w:rPr>
        <w:t>Анализ посильности заявки НКВМ (по вар[ианту] № 10 к весне 1932 г.)</w:t>
      </w:r>
    </w:p>
    <w:p w14:paraId="75946B71" w14:textId="77777777" w:rsidR="00373CA1" w:rsidRPr="00507A31" w:rsidRDefault="00373CA1" w:rsidP="00507A31">
      <w:pPr>
        <w:jc w:val="both"/>
        <w:rPr>
          <w:color w:val="000000" w:themeColor="text1"/>
          <w:sz w:val="16"/>
          <w:szCs w:val="16"/>
        </w:rPr>
      </w:pPr>
      <w:r w:rsidRPr="00507A31">
        <w:rPr>
          <w:color w:val="000000" w:themeColor="text1"/>
          <w:sz w:val="16"/>
          <w:szCs w:val="16"/>
        </w:rPr>
        <w:t>Вопрос о посильности и приемлемости заявки НКВМ (вар[иант] № 10) разрешается в свете оценки двух моментов: 1. Возможность организационно-технического выполнения подготовки в течение 1931 г. к этой программе (вопрос о мощностях и технологических процессах); 2. Материальное обеспечение программы (вопрос о сырье и общенародной хозяйственной базе).</w:t>
      </w:r>
    </w:p>
    <w:p w14:paraId="59EABEF7" w14:textId="77777777" w:rsidR="00373CA1" w:rsidRPr="00507A31" w:rsidRDefault="00373CA1" w:rsidP="00507A31">
      <w:pPr>
        <w:jc w:val="both"/>
        <w:rPr>
          <w:color w:val="000000" w:themeColor="text1"/>
          <w:sz w:val="16"/>
          <w:szCs w:val="16"/>
        </w:rPr>
      </w:pPr>
      <w:r w:rsidRPr="00507A31">
        <w:rPr>
          <w:color w:val="000000" w:themeColor="text1"/>
          <w:sz w:val="16"/>
          <w:szCs w:val="16"/>
        </w:rPr>
        <w:t>При оценке первого момента необходимо остановиться па рассмотрении решающих элементов программы в отдельности.</w:t>
      </w:r>
    </w:p>
    <w:p w14:paraId="1DACFFBF" w14:textId="77777777" w:rsidR="00373CA1" w:rsidRPr="00507A31" w:rsidRDefault="00373CA1" w:rsidP="00507A31">
      <w:pPr>
        <w:jc w:val="both"/>
        <w:rPr>
          <w:color w:val="000000" w:themeColor="text1"/>
          <w:sz w:val="16"/>
          <w:szCs w:val="16"/>
        </w:rPr>
      </w:pPr>
      <w:r w:rsidRPr="00507A31">
        <w:rPr>
          <w:color w:val="000000" w:themeColor="text1"/>
          <w:sz w:val="16"/>
          <w:szCs w:val="16"/>
        </w:rPr>
        <w:t>Металлическая часть⁴*</w:t>
      </w:r>
    </w:p>
    <w:p w14:paraId="10DBF916"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Рассмотренный выше мобплан С-30 рассчитан на подачу 23 млн. выстрелов, из которых на первое полугодие (период развертывания) приходится около 7 млн., а на второе — свыше 15 млн. выстрелов. Если отвлечься от периода развертывания, то даже мобплан С</w:t>
      </w:r>
      <w:r w:rsidRPr="00507A31">
        <w:rPr>
          <w:color w:val="000000" w:themeColor="text1"/>
          <w:sz w:val="16"/>
          <w:szCs w:val="16"/>
        </w:rPr>
        <w:noBreakHyphen/>
        <w:t>30, заведомо оставляющий значительные неиспользованные резервы, свидетельствует о возможности (с точки зрения производственных мощностей) годовой подачи свыше 30 млн. выстрелов.</w:t>
      </w:r>
    </w:p>
    <w:p w14:paraId="61EF8B65"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Во время мировой войны (1916 г.) развертывание мощностей по металлическим элементам выстрела составляло свыше 31 млн. снарядов (см. табл. № 2)⁵*. За последние годы мы вложили в военную промышленность около 700</w:t>
      </w:r>
      <w:r w:rsidRPr="00507A31">
        <w:rPr>
          <w:color w:val="000000" w:themeColor="text1"/>
          <w:sz w:val="16"/>
          <w:szCs w:val="16"/>
        </w:rPr>
        <w:noBreakHyphen/>
        <w:t>800 млн. руб.; основной капитал военной промышленности составит к концу 1931 г. примерно около 1 млрд. руб.</w:t>
      </w:r>
    </w:p>
    <w:p w14:paraId="3DC389B1"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Базой для развертывания программы по металлической части выстрелов являются металлообрабатывающие и машиностроительные заводы. По сравнению с той базой, на которой развернула свою подачу по выстрелам царская Россия, мы ушли далеко вперед, что видно из следующих цифр, стоимость валовой продукции металлообрабатывающей промышленности в 1913 г. составляла 850 млн. довоенных руб.; в 1931 г. намечается около 3,8 млрд. руб. довоенных; стоимость валовой продукции общего машиностроения будет соответственно 475 млн. руб. и 2 млрд. руб. Поэтому мы считаем необходимым и возможным поставить перед собой задачу по подготовке производственной программы около 50 млн. выстрелов.</w:t>
      </w:r>
    </w:p>
    <w:p w14:paraId="118629A3"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Основным и совершенно бесспорным выводом является то, что решающим обстоятельством в определении по выстрелам являются не «мощности» и не особенности производства (так как, за исключением мелкокалиберной артиллерии, в заявке по варианту № 10 нет ни одного нового, сравнительно с мировой войной, типа снаряда), а обеспеченность в исходных материалах (об .этом ниже).</w:t>
      </w:r>
    </w:p>
    <w:p w14:paraId="62F81FFD" w14:textId="77777777" w:rsidR="00373CA1" w:rsidRPr="00507A31" w:rsidRDefault="00373CA1" w:rsidP="00507A31">
      <w:pPr>
        <w:jc w:val="both"/>
        <w:rPr>
          <w:color w:val="000000" w:themeColor="text1"/>
          <w:sz w:val="16"/>
          <w:szCs w:val="16"/>
        </w:rPr>
      </w:pPr>
      <w:r w:rsidRPr="00507A31">
        <w:rPr>
          <w:color w:val="000000" w:themeColor="text1"/>
          <w:sz w:val="16"/>
          <w:szCs w:val="16"/>
        </w:rPr>
        <w:t>Материальная часть артиллерии</w:t>
      </w:r>
    </w:p>
    <w:p w14:paraId="63F01B94" w14:textId="77777777" w:rsidR="00373CA1" w:rsidRPr="00507A31" w:rsidRDefault="00373CA1" w:rsidP="00507A31">
      <w:pPr>
        <w:jc w:val="both"/>
        <w:rPr>
          <w:color w:val="000000" w:themeColor="text1"/>
          <w:sz w:val="16"/>
          <w:szCs w:val="16"/>
        </w:rPr>
      </w:pPr>
      <w:r w:rsidRPr="00507A31">
        <w:rPr>
          <w:color w:val="000000" w:themeColor="text1"/>
          <w:sz w:val="16"/>
          <w:szCs w:val="16"/>
        </w:rPr>
        <w:t>То же самое следует сказать в отношении материальной части артиллерии. Программа в целом, с точки зрения мощностей, сейчас не может вызвать серьезных сомнений, за исключением гаубиц (122</w:t>
      </w:r>
      <w:r w:rsidRPr="00507A31">
        <w:rPr>
          <w:color w:val="000000" w:themeColor="text1"/>
          <w:sz w:val="16"/>
          <w:szCs w:val="16"/>
        </w:rPr>
        <w:noBreakHyphen/>
        <w:t>мм и 152</w:t>
      </w:r>
      <w:r w:rsidRPr="00507A31">
        <w:rPr>
          <w:color w:val="000000" w:themeColor="text1"/>
          <w:sz w:val="16"/>
          <w:szCs w:val="16"/>
        </w:rPr>
        <w:noBreakHyphen/>
        <w:t>мм) и мелкокалиберной артиллерии, в отношении которых можно сказать, что если в течение первого года войны при наличном темпе работ полностью подать все количество не удастся, то при надлежащем форсировании работ гаубичная программа может быть реализована. Труднее обстоит дело с мелкокалиберной артиллерией, в отношении которой у нас нет никакого опыта, а сделать какие-либо выводы из договора с «Рейнметаллом» — еще нет данных. В отношении мелкокалиберной артиллерии придется на данной стадии остановиться на программе ВСНХ.</w:t>
      </w:r>
    </w:p>
    <w:p w14:paraId="0D5EE179" w14:textId="77777777" w:rsidR="00373CA1" w:rsidRPr="00507A31" w:rsidRDefault="00373CA1" w:rsidP="00507A31">
      <w:pPr>
        <w:jc w:val="both"/>
        <w:rPr>
          <w:color w:val="000000" w:themeColor="text1"/>
          <w:sz w:val="16"/>
          <w:szCs w:val="16"/>
        </w:rPr>
      </w:pPr>
      <w:r w:rsidRPr="00507A31">
        <w:rPr>
          <w:color w:val="000000" w:themeColor="text1"/>
          <w:sz w:val="16"/>
          <w:szCs w:val="16"/>
        </w:rPr>
        <w:t>Военно-техническое имущество</w:t>
      </w:r>
    </w:p>
    <w:p w14:paraId="0BFC973B" w14:textId="77777777" w:rsidR="00373CA1" w:rsidRPr="00507A31" w:rsidRDefault="00373CA1" w:rsidP="00507A31">
      <w:pPr>
        <w:jc w:val="both"/>
        <w:rPr>
          <w:color w:val="000000" w:themeColor="text1"/>
          <w:sz w:val="16"/>
          <w:szCs w:val="16"/>
        </w:rPr>
      </w:pPr>
      <w:r w:rsidRPr="00507A31">
        <w:rPr>
          <w:color w:val="000000" w:themeColor="text1"/>
          <w:sz w:val="16"/>
          <w:szCs w:val="16"/>
        </w:rPr>
        <w:t>Основным затруднением являются здесь радиостанции (вместо примерно 8 тыс. ВСНХ считает возможным принять программу в 6 тыс. шт.). Здесь, без сомнения, есть еще резервы за счет сокращения количества типа радиостанций, что повысит их выход. Во всяком случае, военно-техническая программа не ставит перед промышленностью непосильных, в смысле производственном и техническом, задач. Остающиеся 1,5 года времени подготовки делают возможным полное разрешение всех проблем, связанных с выполнением заявки НКВМ. Основа реальности — в материальной обеспеченности, в общенародно-хозяйственной базе.</w:t>
      </w:r>
    </w:p>
    <w:p w14:paraId="744275B7" w14:textId="77777777" w:rsidR="00373CA1" w:rsidRPr="00507A31" w:rsidRDefault="00373CA1" w:rsidP="00507A31">
      <w:pPr>
        <w:jc w:val="both"/>
        <w:rPr>
          <w:color w:val="000000" w:themeColor="text1"/>
          <w:sz w:val="16"/>
          <w:szCs w:val="16"/>
        </w:rPr>
      </w:pPr>
      <w:r w:rsidRPr="00507A31">
        <w:rPr>
          <w:color w:val="000000" w:themeColor="text1"/>
          <w:sz w:val="16"/>
          <w:szCs w:val="16"/>
        </w:rPr>
        <w:t>Авиация</w:t>
      </w:r>
    </w:p>
    <w:p w14:paraId="34AAF208"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Авиационная промышленность полностью принимает заявку НКВМ, правда, с некоторым изменением в соотношениях между отдельными типами моторов и самолетов. При интенсификации и рационализации опытного и конструкторского дела это соотношение можно выправить без особых затруднений. Необходимо, однако, прямо заявить, что такое принятие авиапромышленностью заявки создает лишь внешнюю видимость благополучия. Наши самолетные и моторные заводы носят пока характер «сборочных» мастерских, так как базируются на импортных деталях (валы, магнето, приборы зажигания, свечи, дюралюминиевые трубы, помпы, шарикоподшипники и т. д.). Проблема нашей обороноспособности в воздухе сейчас решается не в плоскости количественных размеров подачи, не в «мощностях», а в создании собственного завершенного цикла производства, без которого не будет ни большой, ни малой программы и с разрешением которого будет обеспечена возможность перехода к новой программе. По своему техническому содержанию эта проблема до весны 1932 г. вполне разрешима. Все дело опять-таки в материально-техническом обеспечении этой программы.</w:t>
      </w:r>
    </w:p>
    <w:p w14:paraId="1D13DCD3" w14:textId="77777777" w:rsidR="00373CA1" w:rsidRPr="00507A31" w:rsidRDefault="00373CA1" w:rsidP="00507A31">
      <w:pPr>
        <w:jc w:val="both"/>
        <w:rPr>
          <w:color w:val="000000" w:themeColor="text1"/>
          <w:sz w:val="16"/>
          <w:szCs w:val="16"/>
        </w:rPr>
      </w:pPr>
      <w:r w:rsidRPr="00507A31">
        <w:rPr>
          <w:color w:val="000000" w:themeColor="text1"/>
          <w:sz w:val="16"/>
          <w:szCs w:val="16"/>
        </w:rPr>
        <w:t>Химия</w:t>
      </w:r>
    </w:p>
    <w:p w14:paraId="1E0B3BCF" w14:textId="77777777" w:rsidR="00373CA1" w:rsidRPr="00507A31" w:rsidRDefault="00373CA1" w:rsidP="00507A31">
      <w:pPr>
        <w:jc w:val="both"/>
        <w:rPr>
          <w:color w:val="000000" w:themeColor="text1"/>
          <w:sz w:val="16"/>
          <w:szCs w:val="16"/>
        </w:rPr>
      </w:pPr>
      <w:r w:rsidRPr="00507A31">
        <w:rPr>
          <w:color w:val="000000" w:themeColor="text1"/>
          <w:sz w:val="16"/>
          <w:szCs w:val="16"/>
        </w:rPr>
        <w:t>Больше, чем где бы то ни было, здесь проблема лежит в общей народнохозяйственной базе, в основных химических производствах, в химическом машиностроении и аппаратуре, а не в мощностях самой военно-химической промышленности. Между тем здесь все еще мы имеем особое неблагополучие, которое выражается, как известно: а) в резком отставании химии от уровня развития всего народного хозяйства; б) в резком отставании всей оборонной химической базы от уровня развития военно-химической промышленности, несмотря на развитие химической промышленности в целом; в) в резких диспропорциях внутри военно-химической промышленности — в отставании пороховой группы заводов от снаряжательных, кислотного хозяйства, от производства взрывчатых веществ, в разрыве между мощностями заводов и обеспеченности их энергией, водой и т. д.; г) в крайней слабости кадров.</w:t>
      </w:r>
    </w:p>
    <w:p w14:paraId="30022DAC" w14:textId="77777777" w:rsidR="00373CA1" w:rsidRPr="00507A31" w:rsidRDefault="00373CA1" w:rsidP="00507A31">
      <w:pPr>
        <w:jc w:val="both"/>
        <w:rPr>
          <w:color w:val="000000" w:themeColor="text1"/>
          <w:sz w:val="16"/>
          <w:szCs w:val="16"/>
        </w:rPr>
      </w:pPr>
      <w:r w:rsidRPr="00507A31">
        <w:rPr>
          <w:color w:val="000000" w:themeColor="text1"/>
          <w:sz w:val="16"/>
          <w:szCs w:val="16"/>
        </w:rPr>
        <w:t>Что касается диспропорции внутри военно-химической промышленности, то работа с контрольными цифрами на 1930/31 г. показала, что их ликвидация к весне 1932 г. в основном возможна и должна быть во что бы то ни стало выполнена. Об общей химической базе речь будет идти ниже.</w:t>
      </w:r>
    </w:p>
    <w:p w14:paraId="5E9EDF2C" w14:textId="77777777" w:rsidR="00373CA1" w:rsidRPr="00507A31" w:rsidRDefault="00373CA1" w:rsidP="00507A31">
      <w:pPr>
        <w:jc w:val="both"/>
        <w:rPr>
          <w:color w:val="000000" w:themeColor="text1"/>
          <w:sz w:val="16"/>
          <w:szCs w:val="16"/>
        </w:rPr>
      </w:pPr>
      <w:r w:rsidRPr="00507A31">
        <w:rPr>
          <w:color w:val="000000" w:themeColor="text1"/>
          <w:sz w:val="16"/>
          <w:szCs w:val="16"/>
        </w:rPr>
        <w:t>Авто-броне-танко-тракторная программа</w:t>
      </w:r>
    </w:p>
    <w:p w14:paraId="0FE483F6" w14:textId="77777777" w:rsidR="00373CA1" w:rsidRPr="00507A31" w:rsidRDefault="00373CA1" w:rsidP="00507A31">
      <w:pPr>
        <w:jc w:val="both"/>
        <w:rPr>
          <w:color w:val="000000" w:themeColor="text1"/>
          <w:sz w:val="16"/>
          <w:szCs w:val="16"/>
        </w:rPr>
      </w:pPr>
      <w:r w:rsidRPr="00507A31">
        <w:rPr>
          <w:color w:val="000000" w:themeColor="text1"/>
          <w:sz w:val="16"/>
          <w:szCs w:val="16"/>
        </w:rPr>
        <w:t>Если в отношении автомобильно-тракторной программы общее развитие автотракторной промышленности снимает какие бы то ни было затруднения в смысле «мощности», то совершенно иначе обстоит дело в отношении танковой программы. Опыт работы до сего времени показал полную неподготовленность нашей промышленности к производству танков. До сего времени нет еще никакого проработанного плана развития танкостроения. Предложение ВСНХ о базировании всей программы танкостроения на Сталинграде принципиально вполне правильно, однако еще ни в какой степени практически не разработано и даже еще не разрешено руководящими органами в смысле принципиальном. Если даже принять немедленно это предложение, то объем и характер работ таковы, что к весне 1932 г. они закончены быть не могут, так как при максимальном напряжении эти работы потребуют, вероятно, около двух лет.</w:t>
      </w:r>
    </w:p>
    <w:p w14:paraId="4CA73A33" w14:textId="77777777" w:rsidR="00373CA1" w:rsidRPr="00507A31" w:rsidRDefault="00373CA1" w:rsidP="00507A31">
      <w:pPr>
        <w:jc w:val="both"/>
        <w:rPr>
          <w:color w:val="000000" w:themeColor="text1"/>
          <w:sz w:val="16"/>
          <w:szCs w:val="16"/>
        </w:rPr>
      </w:pPr>
      <w:r w:rsidRPr="00507A31">
        <w:rPr>
          <w:color w:val="000000" w:themeColor="text1"/>
          <w:sz w:val="16"/>
          <w:szCs w:val="16"/>
        </w:rPr>
        <w:t>Если подвести итог краткому рассмотрению важнейших элементов заявки, то его можно сформулировать следующим образом: проблема удовлетворения заявки лежит в основном не в мощностях по военным производствам, а в материально-техническом обеспечении производственной программы в условиях военного времени в общенародной хозяйственной базе⁶*.</w:t>
      </w:r>
    </w:p>
    <w:p w14:paraId="46709B75" w14:textId="77777777" w:rsidR="00373CA1" w:rsidRPr="00507A31" w:rsidRDefault="00373CA1" w:rsidP="00507A31">
      <w:pPr>
        <w:jc w:val="both"/>
        <w:rPr>
          <w:color w:val="000000" w:themeColor="text1"/>
          <w:sz w:val="16"/>
          <w:szCs w:val="16"/>
        </w:rPr>
      </w:pPr>
      <w:r w:rsidRPr="00507A31">
        <w:rPr>
          <w:color w:val="000000" w:themeColor="text1"/>
          <w:sz w:val="16"/>
          <w:szCs w:val="16"/>
        </w:rPr>
        <w:t>Выводы и предложения</w:t>
      </w:r>
    </w:p>
    <w:p w14:paraId="6908A4AE"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На основании вышеизложенного Госплан приходит к следующим выводам и предложениям:</w:t>
      </w:r>
    </w:p>
    <w:p w14:paraId="0BA28480"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1. И теперь, ознакомившись с мобпланом С</w:t>
      </w:r>
      <w:r w:rsidRPr="00507A31">
        <w:rPr>
          <w:color w:val="000000" w:themeColor="text1"/>
          <w:sz w:val="16"/>
          <w:szCs w:val="16"/>
        </w:rPr>
        <w:noBreakHyphen/>
        <w:t>30, мы вновь должны констатировать, что специальная подготовка промышленности к обороне значительно отстает как от общего уровня развития производительности страны за годы реконструктивного периода, так и от требований современной войны. Поэтому важнейшей политической и хозяйственной задачей предстоящего года является ликвидация этого отставания и поднятия мобилизационной готовности промышленности на тот уровень, который диктуется характером современной войны и международным положением пролетарского государства, все более окружаемого фашистским фронтом враждебных капиталистических стран.</w:t>
      </w:r>
    </w:p>
    <w:p w14:paraId="74C1DB71"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2. В основу оборонной подготовки промышленности в 1931 г. необходимо положить заявку вооруженных сил по 10 варианту, уточнив в процессе составления контрольных цифр на 1931 г. размеры подачи по отдельным элементам заявки.</w:t>
      </w:r>
    </w:p>
    <w:p w14:paraId="4C0C800D"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3. Оборонное строительство 1931 г. должно пойти под знаком глубокой реконструкции военных производств, на базе широкого использования гражданских заводов, специализации военных заводов, рационализации производственных процессов, широкого применения методов кооперирования предприятий, постановки мирных производств на незагруженных военных заводах и цехах и т. п.</w:t>
      </w:r>
    </w:p>
    <w:p w14:paraId="16995242"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Поставить перед промышленностью категорическую задачу — в течение ближайших 2</w:t>
      </w:r>
      <w:r w:rsidRPr="00507A31">
        <w:rPr>
          <w:color w:val="000000" w:themeColor="text1"/>
          <w:sz w:val="16"/>
          <w:szCs w:val="16"/>
        </w:rPr>
        <w:noBreakHyphen/>
        <w:t>3 месяцев разработать перспективный план оборонного строительства на оставшиеся 3 года пятилетия, обязав НКВМ в месячный срок составить свою заявку на конец пятилетия.</w:t>
      </w:r>
    </w:p>
    <w:p w14:paraId="12F57829"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4. В целях оздоровления оборонного строительства и обеспечения успешного выполнения оборонных программ необходимо на деле поставить оборонную работу и оборонные нужды на первый план в работе всех хозяйственных и планирующих органов, тем более что укрепление обороноспособности не находится ни в каком противоречии с развитием производительных сил страны. Необходимо возложить действительную политическую ответственность за оборонную подготовку промышленности на коммунистов, поставленных в руководстве тех или иных отраслей, рассматривая игнорирование интересов обороны или невыполнение оборонных программ как неумение или нежелание проводить генеральную линию партии.</w:t>
      </w:r>
    </w:p>
    <w:p w14:paraId="6E0F69A0"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С этой точки зрения необходимо после специального расследования привлечь к партийной и судебной ответственности ряд лиц, своими действиями способствовавших срыву оборонного строительства в истекшем хозяйственном году. Надо, наконец, к задачам оборонной подготовки ближе привлечь партийные организации и расширить рамки контроля и воздействия партийной рабочей общественности.</w:t>
      </w:r>
    </w:p>
    <w:p w14:paraId="605409D2"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 xml:space="preserve">5. Решающее значение для обеспечения большой программы мобилизации промышленности имеет подъем химии и цветной металлургии, отставание которых является наиболее уязвимым местом нашей подготовки к войне. Поэтому важнейшей директивой для народнохозяйственного плана на 1931 г. должно быть </w:t>
      </w:r>
      <w:r w:rsidRPr="00507A31">
        <w:rPr>
          <w:color w:val="000000" w:themeColor="text1"/>
          <w:sz w:val="16"/>
          <w:szCs w:val="16"/>
        </w:rPr>
        <w:lastRenderedPageBreak/>
        <w:t>преодоление «узких» мест по линии химии и цветных металлов. Строительство этих двух отраслей должно быть поднято на такую же политическую высоту, как и строительство металлической и каменноугольной промышленности. Для организационного и технического укрепления этих участков строительного фронта надо немедленно провести партийную мобилизацию, всколыхнуть рабочую массу, широко привлечь иностранную техническую помощь.</w:t>
      </w:r>
    </w:p>
    <w:p w14:paraId="1309B04F"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6. К весне 1931 г. необходимо прокорректировать и обеспечить мобплан С</w:t>
      </w:r>
      <w:r w:rsidRPr="00507A31">
        <w:rPr>
          <w:color w:val="000000" w:themeColor="text1"/>
          <w:sz w:val="16"/>
          <w:szCs w:val="16"/>
        </w:rPr>
        <w:noBreakHyphen/>
        <w:t>30, ликвидировав все имеющиеся в нем диспропорции и прорывы и подготовив планомерную организованную мобилизацию промышленности на полностью обеспеченной базе. К началу 1932 г. на основе осуществления программы оборонного строительства 1931 г. надо составить новый мобилизационный план промышленности.</w:t>
      </w:r>
    </w:p>
    <w:p w14:paraId="75BD7334"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7. Явственно надвигающаяся опасность войны требует от партии, от рабочего класса решительно повернуться лицом к обороне. Все наше строительство должно пойти под знаком развернутого наступления на фронте пролетарской обороны.</w:t>
      </w:r>
    </w:p>
    <w:p w14:paraId="7FF98E0B"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rPr>
        <w:t>Ввиду громадного актуального значения, какое получает в данный момент проблема подготовки к войне, необходимо сосредоточить максимум сил, мобилизовать энергию рабочего класса на преодоление в кратчайший срок угрожающего отставания оборонной подготовки промышленности. Надо в первую очередь оздоровить оборонный участок нашего хозяйственного фронта и сделать это оздоровление главным рычагом форсированного преодоления всех и всяческих трудностей и быстрейшего изживания всех прорывов в социалистическом строительстве.</w:t>
      </w:r>
    </w:p>
    <w:p w14:paraId="23CB3B73" w14:textId="77777777" w:rsidR="00373CA1" w:rsidRPr="00507A31" w:rsidRDefault="00373CA1"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Председатель Госплана СССР </w:t>
      </w:r>
      <w:hyperlink r:id="rId157" w:history="1">
        <w:r w:rsidRPr="00507A31">
          <w:rPr>
            <w:rStyle w:val="af0"/>
            <w:i w:val="0"/>
            <w:color w:val="000000" w:themeColor="text1"/>
            <w:sz w:val="16"/>
            <w:szCs w:val="16"/>
          </w:rPr>
          <w:t>Г. Кржижановский</w:t>
        </w:r>
      </w:hyperlink>
    </w:p>
    <w:p w14:paraId="46B48391" w14:textId="77777777" w:rsidR="00373CA1" w:rsidRPr="00507A31" w:rsidRDefault="00373CA1"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Член президиума и председатель Сектора обороны Госплана СССР </w:t>
      </w:r>
      <w:hyperlink r:id="rId158" w:history="1">
        <w:r w:rsidRPr="00507A31">
          <w:rPr>
            <w:rStyle w:val="af0"/>
            <w:i w:val="0"/>
            <w:color w:val="000000" w:themeColor="text1"/>
            <w:sz w:val="16"/>
            <w:szCs w:val="16"/>
          </w:rPr>
          <w:t>Мехоношин</w:t>
        </w:r>
      </w:hyperlink>
    </w:p>
    <w:p w14:paraId="162834E2" w14:textId="77777777" w:rsidR="00373CA1" w:rsidRPr="00507A31" w:rsidRDefault="00373CA1"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1F818876"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Копия направлена в РЗ СТО СССР.</w:t>
      </w:r>
    </w:p>
    <w:p w14:paraId="475CDFD9"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w:t>
      </w:r>
      <w:r w:rsidRPr="00507A31">
        <w:rPr>
          <w:rStyle w:val="af0"/>
          <w:i w:val="0"/>
          <w:color w:val="000000" w:themeColor="text1"/>
          <w:sz w:val="16"/>
          <w:szCs w:val="16"/>
        </w:rPr>
        <w:t>21 января 1930 г.</w:t>
      </w:r>
      <w:r w:rsidRPr="00507A31">
        <w:rPr>
          <w:color w:val="000000" w:themeColor="text1"/>
          <w:sz w:val="16"/>
          <w:szCs w:val="16"/>
        </w:rPr>
        <w:t xml:space="preserve"> принято </w:t>
      </w:r>
      <w:r w:rsidRPr="00507A31">
        <w:rPr>
          <w:rStyle w:val="af0"/>
          <w:i w:val="0"/>
          <w:color w:val="000000" w:themeColor="text1"/>
          <w:sz w:val="16"/>
          <w:szCs w:val="16"/>
        </w:rPr>
        <w:t>постановление РЗ СТО СССР «О мобилизационной подготовке промышленности».</w:t>
      </w:r>
      <w:r w:rsidRPr="00507A31">
        <w:rPr>
          <w:color w:val="000000" w:themeColor="text1"/>
          <w:sz w:val="16"/>
          <w:szCs w:val="16"/>
        </w:rPr>
        <w:t xml:space="preserve"> Им отменялось постановление РЗ СТО от 30 декабря 1929 г. в отношении оценки мобилизационной работы промышленности. РЗ СТО признало, что ВСНХ не разработал план мобилизации промышленности.</w:t>
      </w:r>
    </w:p>
    <w:p w14:paraId="51045E86"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vertAlign w:val="superscript"/>
        </w:rPr>
        <w:t>3</w:t>
      </w:r>
      <w:r w:rsidRPr="00507A31">
        <w:rPr>
          <w:color w:val="000000" w:themeColor="text1"/>
          <w:sz w:val="16"/>
          <w:szCs w:val="16"/>
        </w:rPr>
        <w:t>* </w:t>
      </w:r>
      <w:r w:rsidRPr="00507A31">
        <w:rPr>
          <w:rStyle w:val="af0"/>
          <w:i w:val="0"/>
          <w:color w:val="000000" w:themeColor="text1"/>
          <w:sz w:val="16"/>
          <w:szCs w:val="16"/>
        </w:rPr>
        <w:t>Особый квартал.</w:t>
      </w:r>
      <w:r w:rsidRPr="00507A31">
        <w:rPr>
          <w:color w:val="000000" w:themeColor="text1"/>
          <w:sz w:val="16"/>
          <w:szCs w:val="16"/>
        </w:rPr>
        <w:t xml:space="preserve"> 20 сентября 1930 г. ЦИК и СНК СССР было принято постановление «О переносе начала хозяйственного года с 1 октября на 1 января». Существующий до этого времени хозяйственный год (установлен после Гражданской войны) с 1 октября по 30 сентября соответствовал циклу сельскохозяйственного производства. Индустриализация страны и укрепление плановости народного хозяйства привели к целесообразности переноса начала хозяйственного и бюджетного года на 1 января, приравняв их к календарному исчислению. Оставшиеся месяцы 1930 г. (октябрь-декабрь) решено было выделить в особый (ударный) квартал. (СЗ СССР. 1990. № 49. Ст. 510).</w:t>
      </w:r>
    </w:p>
    <w:p w14:paraId="2FAB1A97"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vertAlign w:val="superscript"/>
        </w:rPr>
        <w:t>4</w:t>
      </w:r>
      <w:r w:rsidRPr="00507A31">
        <w:rPr>
          <w:color w:val="000000" w:themeColor="text1"/>
          <w:sz w:val="16"/>
          <w:szCs w:val="16"/>
        </w:rPr>
        <w:t>* Заголовок зачеркнут; предложены варианты: «Выстрелы», «Производство».</w:t>
      </w:r>
    </w:p>
    <w:p w14:paraId="5227D983"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vertAlign w:val="superscript"/>
        </w:rPr>
        <w:t>5</w:t>
      </w:r>
      <w:r w:rsidRPr="00507A31">
        <w:rPr>
          <w:color w:val="000000" w:themeColor="text1"/>
          <w:sz w:val="16"/>
          <w:szCs w:val="16"/>
        </w:rPr>
        <w:t>* Приложения не публикуются (см. там же, л. 17</w:t>
      </w:r>
      <w:r w:rsidRPr="00507A31">
        <w:rPr>
          <w:color w:val="000000" w:themeColor="text1"/>
          <w:sz w:val="16"/>
          <w:szCs w:val="16"/>
        </w:rPr>
        <w:noBreakHyphen/>
        <w:t>13).</w:t>
      </w:r>
    </w:p>
    <w:p w14:paraId="5DD05B71" w14:textId="77777777" w:rsidR="00373CA1" w:rsidRPr="00507A31" w:rsidRDefault="00373CA1" w:rsidP="00507A31">
      <w:pPr>
        <w:pStyle w:val="rtejustify"/>
        <w:spacing w:before="0" w:after="0"/>
        <w:rPr>
          <w:color w:val="000000" w:themeColor="text1"/>
          <w:sz w:val="16"/>
          <w:szCs w:val="16"/>
        </w:rPr>
      </w:pPr>
      <w:r w:rsidRPr="00507A31">
        <w:rPr>
          <w:color w:val="000000" w:themeColor="text1"/>
          <w:sz w:val="16"/>
          <w:szCs w:val="16"/>
          <w:vertAlign w:val="superscript"/>
        </w:rPr>
        <w:t>6</w:t>
      </w:r>
      <w:r w:rsidRPr="00507A31">
        <w:rPr>
          <w:color w:val="000000" w:themeColor="text1"/>
          <w:sz w:val="16"/>
          <w:szCs w:val="16"/>
        </w:rPr>
        <w:t>* Опущены разделы «Потребность в исходных материалах» и «Необходимые условия для выполнения плана по подготовке варианта № 10».</w:t>
      </w:r>
    </w:p>
    <w:p w14:paraId="1D50EAA0" w14:textId="77777777" w:rsidR="00373CA1" w:rsidRPr="00507A31" w:rsidRDefault="00373CA1" w:rsidP="00507A31">
      <w:pPr>
        <w:pStyle w:val="ae"/>
        <w:spacing w:before="0" w:after="0"/>
        <w:jc w:val="both"/>
        <w:rPr>
          <w:color w:val="000000" w:themeColor="text1"/>
          <w:sz w:val="16"/>
          <w:szCs w:val="16"/>
        </w:rPr>
      </w:pPr>
      <w:r w:rsidRPr="00507A31">
        <w:rPr>
          <w:color w:val="000000" w:themeColor="text1"/>
          <w:sz w:val="16"/>
          <w:szCs w:val="16"/>
        </w:rPr>
        <w:t>РГАЭ. Ф. 4372. Оп. 91. Д. 668. Л. 41 —18. Заверенная копия.</w:t>
      </w:r>
    </w:p>
    <w:p w14:paraId="4445B72B" w14:textId="77777777" w:rsidR="00373CA1" w:rsidRPr="00507A31" w:rsidRDefault="00373CA1" w:rsidP="00507A31">
      <w:pPr>
        <w:jc w:val="both"/>
        <w:rPr>
          <w:color w:val="000000" w:themeColor="text1"/>
          <w:sz w:val="16"/>
          <w:szCs w:val="16"/>
        </w:rPr>
      </w:pPr>
      <w:r w:rsidRPr="00507A31">
        <w:rPr>
          <w:color w:val="000000" w:themeColor="text1"/>
          <w:sz w:val="16"/>
          <w:szCs w:val="16"/>
        </w:rPr>
        <w:t xml:space="preserve">Архив: РГАЭ. Ф. 4372. Оп. 91. Д. 668. Л. 41 —18. Заверенная копия. </w:t>
      </w:r>
    </w:p>
    <w:p w14:paraId="4190CB8E" w14:textId="77777777" w:rsidR="00373CA1" w:rsidRPr="00507A31" w:rsidRDefault="00373CA1"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494-503 (12517).</w:t>
      </w:r>
    </w:p>
    <w:p w14:paraId="6ADDE5BE" w14:textId="77777777" w:rsidR="00373CA1" w:rsidRPr="00507A31" w:rsidRDefault="00373CA1" w:rsidP="00507A31">
      <w:pPr>
        <w:jc w:val="both"/>
        <w:rPr>
          <w:color w:val="000000" w:themeColor="text1"/>
          <w:sz w:val="16"/>
          <w:szCs w:val="16"/>
        </w:rPr>
      </w:pPr>
    </w:p>
    <w:p w14:paraId="5DC39E1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349499C5" w14:textId="77777777" w:rsidR="00537E5F" w:rsidRPr="00507A31" w:rsidRDefault="00537E5F" w:rsidP="00507A31">
      <w:pPr>
        <w:autoSpaceDE w:val="0"/>
        <w:autoSpaceDN w:val="0"/>
        <w:adjustRightInd w:val="0"/>
        <w:jc w:val="both"/>
        <w:rPr>
          <w:iCs/>
          <w:color w:val="000000" w:themeColor="text1"/>
          <w:sz w:val="16"/>
          <w:szCs w:val="16"/>
        </w:rPr>
      </w:pPr>
    </w:p>
    <w:p w14:paraId="7FCADD5F" w14:textId="77777777" w:rsidR="00F96E5F" w:rsidRPr="00507A31" w:rsidRDefault="00F96E5F" w:rsidP="00507A31">
      <w:pPr>
        <w:jc w:val="both"/>
        <w:rPr>
          <w:color w:val="0070C0"/>
          <w:sz w:val="16"/>
          <w:szCs w:val="16"/>
        </w:rPr>
      </w:pPr>
      <w:r w:rsidRPr="00507A31">
        <w:rPr>
          <w:color w:val="0070C0"/>
          <w:sz w:val="16"/>
          <w:szCs w:val="16"/>
        </w:rPr>
        <w:t>24 октября 1930 г. вышел Приказ Реввоенсовета СССР № 080 «Об итогах боевой подготовки РККА за 1929/30 год и об учебных целях на 1931 год», в котором были отмечены удачные опыты по организации воздушных десантов как достижение ВВС. Кроме того, Штабу РККА было предписано тщательно изучить техническую и тактическую стороны эксперимента для разработки мероприятий по развитию воздушнодесантного дела в РККА (Архив ЦДА и К. Ф. 50. Оп. 1. Д. 2. Л. 59) (21402)</w:t>
      </w:r>
    </w:p>
    <w:p w14:paraId="249B9035" w14:textId="77777777" w:rsidR="00F96E5F" w:rsidRPr="00507A31" w:rsidRDefault="00F96E5F" w:rsidP="00507A31">
      <w:pPr>
        <w:jc w:val="both"/>
        <w:rPr>
          <w:color w:val="0070C0"/>
          <w:sz w:val="16"/>
          <w:szCs w:val="16"/>
        </w:rPr>
      </w:pPr>
    </w:p>
    <w:p w14:paraId="43DBE3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 октября 1930 г. вышел приказ Реввоенсовета СССР, в котором говорилось: «В ка</w:t>
      </w:r>
      <w:r w:rsidRPr="00507A31">
        <w:rPr>
          <w:color w:val="000000" w:themeColor="text1"/>
          <w:sz w:val="16"/>
          <w:szCs w:val="16"/>
        </w:rPr>
        <w:softHyphen/>
        <w:t>честве достижений необходимо от</w:t>
      </w:r>
      <w:r w:rsidRPr="00507A31">
        <w:rPr>
          <w:color w:val="000000" w:themeColor="text1"/>
          <w:sz w:val="16"/>
          <w:szCs w:val="16"/>
        </w:rPr>
        <w:softHyphen/>
        <w:t>метить удачные опыты по органи</w:t>
      </w:r>
      <w:r w:rsidRPr="00507A31">
        <w:rPr>
          <w:color w:val="000000" w:themeColor="text1"/>
          <w:sz w:val="16"/>
          <w:szCs w:val="16"/>
        </w:rPr>
        <w:softHyphen/>
        <w:t>зации воздушных десантов...» (10690).</w:t>
      </w:r>
    </w:p>
    <w:p w14:paraId="65C687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C53A47A" w14:textId="77777777" w:rsidR="00537E5F" w:rsidRPr="00507A31" w:rsidRDefault="00AC735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FD9A539" w14:textId="77777777" w:rsidR="00537E5F" w:rsidRPr="00507A31" w:rsidRDefault="00537E5F" w:rsidP="00507A31">
      <w:pPr>
        <w:shd w:val="clear" w:color="auto" w:fill="FFFFFF"/>
        <w:autoSpaceDE w:val="0"/>
        <w:autoSpaceDN w:val="0"/>
        <w:adjustRightInd w:val="0"/>
        <w:jc w:val="both"/>
        <w:rPr>
          <w:iCs/>
          <w:color w:val="000000" w:themeColor="text1"/>
          <w:sz w:val="16"/>
          <w:szCs w:val="16"/>
        </w:rPr>
      </w:pPr>
    </w:p>
    <w:p w14:paraId="5BA471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24 и 30 октября 1930. Протокол заседания Политбюро № 13, 1930 г.</w:t>
      </w:r>
    </w:p>
    <w:p w14:paraId="4EAE5C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командировках за границу</w:t>
      </w:r>
    </w:p>
    <w:p w14:paraId="122A04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Временно, впредь до особого постановления ЦК, запретить командировки за границу театров, спортивных команд, делегатов на выставки, литераторов, музыкантов и т. п., а также, как правило, делегатов на научные съезды. Исключения допускать лишь в каждом отдельном случае по особому постановлению ЦК.</w:t>
      </w:r>
    </w:p>
    <w:p w14:paraId="70FE63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Сократить планы ведомств по заграничным командировкам, за исключением командировок на учебу, особенно жестко урезать командировки по операциям, которые могут быть проведены аппаратом торгпредств. </w:t>
      </w:r>
    </w:p>
    <w:p w14:paraId="6A46A4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В целях сокращения сроков командировок признать необходимым выдачу заграничных паспортов на ограниченные сроки (3-6 месяцев). </w:t>
      </w:r>
    </w:p>
    <w:p w14:paraId="33127F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В целях повышения ответственности ведомств запретить комиссии ЦК по выездам рассматривать командировки, не утвержденные наркомом (в промышленности — персонально утвержденные председателями объединений и уполномоченными на то зам. пред. ВСНХ). Вместе с тем ответственность за персональный подбор командируемых возложить на одного из членов коллегии по утверждению ЦК. </w:t>
      </w:r>
    </w:p>
    <w:p w14:paraId="67AC1D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Комиссии ЦК по выездам совместно с валютным управлением НКФ разработать и в декадный срок представить на утверждение ЦК прожиточный минимум для каждой страны, куда даются командировки, а также стоимость (валютная ее часть) проезда. Размер выдачи валюты на каждую поездку утверждать в комиссии по выездам. Категорически запретить как ведомствам, так и торгпредствам под страхом уголовной ответственности производить какие бы то ни было дополнительные выдачи валюты командируемым. </w:t>
      </w:r>
    </w:p>
    <w:p w14:paraId="50E70D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В случае досрочного выполнения заданий или дискредитирующего поведения командируемых представители РКИ (Рабоче-крестьянской инспекции.— "Власть") сообщают об этом полпреду и торгпреду на предмет откомандирования в Советский Союз. </w:t>
      </w:r>
    </w:p>
    <w:p w14:paraId="4B0D1B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Предоставить право полпредам по предложению представителей РКИ в 24 часа откомандировывать в Москву лиц, находящихся в заграничных командировках (11652).</w:t>
      </w:r>
    </w:p>
    <w:p w14:paraId="50DB5944" w14:textId="77777777" w:rsidR="00537E5F" w:rsidRPr="00507A31" w:rsidRDefault="00537E5F" w:rsidP="00507A31">
      <w:pPr>
        <w:autoSpaceDE w:val="0"/>
        <w:autoSpaceDN w:val="0"/>
        <w:adjustRightInd w:val="0"/>
        <w:jc w:val="both"/>
        <w:rPr>
          <w:color w:val="000000" w:themeColor="text1"/>
          <w:sz w:val="16"/>
          <w:szCs w:val="16"/>
        </w:rPr>
      </w:pPr>
    </w:p>
    <w:p w14:paraId="09FC58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24 и 30 октября 1930. Протокол заседания Политбюро № 13, 1930 г.</w:t>
      </w:r>
    </w:p>
    <w:p w14:paraId="30DED5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 железнодорожных тарифах </w:t>
      </w:r>
    </w:p>
    <w:p w14:paraId="6FA5B8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 Повысить железнодорожный тариф пассажирского движения (исключая пригородное) на 25% с 1 ноября с одновременным повышением тарифа на перевозку багажа. </w:t>
      </w:r>
    </w:p>
    <w:p w14:paraId="43978E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Поручить Совнаркому СССР в пятидневный срок рассмотреть в связи с этим вопрос о таксе на почтовые посылки (11652).</w:t>
      </w:r>
    </w:p>
    <w:p w14:paraId="2840FEF0" w14:textId="77777777" w:rsidR="00537E5F" w:rsidRPr="00507A31" w:rsidRDefault="00537E5F" w:rsidP="00507A31">
      <w:pPr>
        <w:autoSpaceDE w:val="0"/>
        <w:autoSpaceDN w:val="0"/>
        <w:adjustRightInd w:val="0"/>
        <w:jc w:val="both"/>
        <w:rPr>
          <w:color w:val="000000" w:themeColor="text1"/>
          <w:sz w:val="16"/>
          <w:szCs w:val="16"/>
        </w:rPr>
      </w:pPr>
    </w:p>
    <w:p w14:paraId="60810E4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20CE858" w14:textId="77777777" w:rsidR="00537E5F" w:rsidRPr="00507A31" w:rsidRDefault="00537E5F" w:rsidP="00507A31">
      <w:pPr>
        <w:autoSpaceDE w:val="0"/>
        <w:autoSpaceDN w:val="0"/>
        <w:adjustRightInd w:val="0"/>
        <w:jc w:val="both"/>
        <w:rPr>
          <w:iCs/>
          <w:color w:val="000000" w:themeColor="text1"/>
          <w:sz w:val="16"/>
          <w:szCs w:val="16"/>
        </w:rPr>
      </w:pPr>
    </w:p>
    <w:p w14:paraId="543A67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октября 1930 власть в Бразилии захватил Жетулиу Дорнелис Варгас (3186).</w:t>
      </w:r>
    </w:p>
    <w:p w14:paraId="5F947F03" w14:textId="77777777" w:rsidR="00537E5F" w:rsidRPr="00507A31" w:rsidRDefault="00537E5F" w:rsidP="00507A31">
      <w:pPr>
        <w:autoSpaceDE w:val="0"/>
        <w:autoSpaceDN w:val="0"/>
        <w:adjustRightInd w:val="0"/>
        <w:jc w:val="both"/>
        <w:rPr>
          <w:color w:val="000000" w:themeColor="text1"/>
          <w:sz w:val="16"/>
          <w:szCs w:val="16"/>
        </w:rPr>
      </w:pPr>
    </w:p>
    <w:p w14:paraId="5ED97E3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8CCD66E" w14:textId="77777777" w:rsidR="00537E5F" w:rsidRPr="00507A31" w:rsidRDefault="00537E5F" w:rsidP="00507A31">
      <w:pPr>
        <w:autoSpaceDE w:val="0"/>
        <w:autoSpaceDN w:val="0"/>
        <w:adjustRightInd w:val="0"/>
        <w:jc w:val="both"/>
        <w:rPr>
          <w:iCs/>
          <w:color w:val="000000" w:themeColor="text1"/>
          <w:sz w:val="16"/>
          <w:szCs w:val="16"/>
        </w:rPr>
      </w:pPr>
    </w:p>
    <w:p w14:paraId="454B25DC" w14:textId="77777777" w:rsidR="00CF653C" w:rsidRPr="00507A31" w:rsidRDefault="00CF653C" w:rsidP="00507A31">
      <w:pPr>
        <w:jc w:val="both"/>
        <w:rPr>
          <w:color w:val="000000" w:themeColor="text1"/>
          <w:sz w:val="16"/>
          <w:szCs w:val="16"/>
        </w:rPr>
      </w:pPr>
      <w:r w:rsidRPr="00507A31">
        <w:rPr>
          <w:color w:val="000000" w:themeColor="text1"/>
          <w:sz w:val="16"/>
          <w:szCs w:val="16"/>
        </w:rPr>
        <w:t>25 октября 1930 г. в НТК УВВС поступил предварительный проект истребителя И-12 (АНТ-18), вооружённого пушками ДРП (Ведущий инженер проекта — В.Н. Чернышев). В пояснительной записке отмечалось, что ЦАГИ предлагалось рассмотреть два варианта техтребований к самолёту. Первый — одноме</w:t>
      </w:r>
      <w:r w:rsidRPr="00507A31">
        <w:rPr>
          <w:color w:val="000000" w:themeColor="text1"/>
          <w:sz w:val="16"/>
          <w:szCs w:val="16"/>
        </w:rPr>
        <w:softHyphen/>
        <w:t>стный вариант И-12 с полезной нагрузкой 340 кг и второй — с нагрузкой 1115 кг: «...От разработки второго варианта — мы отказались по следующим мотивам:</w:t>
      </w:r>
    </w:p>
    <w:p w14:paraId="6EF831F9" w14:textId="77777777" w:rsidR="00CF653C" w:rsidRPr="00507A31" w:rsidRDefault="00CF653C" w:rsidP="00507A31">
      <w:pPr>
        <w:tabs>
          <w:tab w:val="left" w:pos="411"/>
        </w:tabs>
        <w:jc w:val="both"/>
        <w:rPr>
          <w:color w:val="000000" w:themeColor="text1"/>
          <w:sz w:val="16"/>
          <w:szCs w:val="16"/>
        </w:rPr>
      </w:pPr>
      <w:r w:rsidRPr="00507A31">
        <w:rPr>
          <w:color w:val="000000" w:themeColor="text1"/>
          <w:sz w:val="16"/>
          <w:szCs w:val="16"/>
        </w:rPr>
        <w:t>1. 6" пушка по условиям работы её требует специально приспособленный фюзеляж.</w:t>
      </w:r>
    </w:p>
    <w:p w14:paraId="42A2217B" w14:textId="77777777" w:rsidR="00CF653C" w:rsidRPr="00507A31" w:rsidRDefault="00CF653C" w:rsidP="00507A31">
      <w:pPr>
        <w:tabs>
          <w:tab w:val="left" w:pos="418"/>
        </w:tabs>
        <w:jc w:val="both"/>
        <w:rPr>
          <w:color w:val="000000" w:themeColor="text1"/>
          <w:sz w:val="16"/>
          <w:szCs w:val="16"/>
        </w:rPr>
      </w:pPr>
      <w:r w:rsidRPr="00507A31">
        <w:rPr>
          <w:color w:val="000000" w:themeColor="text1"/>
          <w:sz w:val="16"/>
          <w:szCs w:val="16"/>
        </w:rPr>
        <w:t>2. Проектирование специального фюзеляжа потребует предварительного изучения на земле поведения его во время стрельбы.</w:t>
      </w:r>
    </w:p>
    <w:p w14:paraId="60EB479E" w14:textId="77777777" w:rsidR="00CF653C" w:rsidRPr="00507A31" w:rsidRDefault="00CF653C" w:rsidP="00507A31">
      <w:pPr>
        <w:tabs>
          <w:tab w:val="left" w:pos="435"/>
        </w:tabs>
        <w:jc w:val="both"/>
        <w:rPr>
          <w:color w:val="000000" w:themeColor="text1"/>
          <w:sz w:val="16"/>
          <w:szCs w:val="16"/>
        </w:rPr>
      </w:pPr>
      <w:r w:rsidRPr="00507A31">
        <w:rPr>
          <w:color w:val="000000" w:themeColor="text1"/>
          <w:sz w:val="16"/>
          <w:szCs w:val="16"/>
        </w:rPr>
        <w:t>3. Сама 6" пушка ещё окончательно не доработана.</w:t>
      </w:r>
    </w:p>
    <w:p w14:paraId="3D2773BB" w14:textId="77777777" w:rsidR="00CF653C" w:rsidRPr="00507A31" w:rsidRDefault="00CF653C" w:rsidP="00507A31">
      <w:pPr>
        <w:tabs>
          <w:tab w:val="left" w:pos="418"/>
        </w:tabs>
        <w:jc w:val="both"/>
        <w:rPr>
          <w:color w:val="000000" w:themeColor="text1"/>
          <w:sz w:val="16"/>
          <w:szCs w:val="16"/>
        </w:rPr>
      </w:pPr>
      <w:r w:rsidRPr="00507A31">
        <w:rPr>
          <w:color w:val="000000" w:themeColor="text1"/>
          <w:sz w:val="16"/>
          <w:szCs w:val="16"/>
        </w:rPr>
        <w:t>4. Производственно-конструкторская ёмкость всей работы настолько велика, что ма</w:t>
      </w:r>
      <w:r w:rsidRPr="00507A31">
        <w:rPr>
          <w:color w:val="000000" w:themeColor="text1"/>
          <w:sz w:val="16"/>
          <w:szCs w:val="16"/>
        </w:rPr>
        <w:softHyphen/>
        <w:t>шина не может быть дана в столь короткие сроки.</w:t>
      </w:r>
    </w:p>
    <w:p w14:paraId="2D8FA606" w14:textId="77777777" w:rsidR="00CF653C" w:rsidRPr="00507A31" w:rsidRDefault="00CF653C" w:rsidP="00507A31">
      <w:pPr>
        <w:jc w:val="both"/>
        <w:rPr>
          <w:color w:val="000000" w:themeColor="text1"/>
          <w:sz w:val="16"/>
          <w:szCs w:val="16"/>
        </w:rPr>
      </w:pPr>
      <w:r w:rsidRPr="00507A31">
        <w:rPr>
          <w:color w:val="000000" w:themeColor="text1"/>
          <w:sz w:val="16"/>
          <w:szCs w:val="16"/>
        </w:rPr>
        <w:t>Имея в виду все эти соображения, мы остановились, по договоренности с конструк</w:t>
      </w:r>
      <w:r w:rsidRPr="00507A31">
        <w:rPr>
          <w:color w:val="000000" w:themeColor="text1"/>
          <w:sz w:val="16"/>
          <w:szCs w:val="16"/>
        </w:rPr>
        <w:softHyphen/>
        <w:t>тором пушки, на первом варианте технических требований, т.е. на истребителе, воору</w:t>
      </w:r>
      <w:r w:rsidRPr="00507A31">
        <w:rPr>
          <w:color w:val="000000" w:themeColor="text1"/>
          <w:sz w:val="16"/>
          <w:szCs w:val="16"/>
        </w:rPr>
        <w:softHyphen/>
        <w:t>жённом двумя пушками ДРП калибром в 3", расположенными в крыльях.</w:t>
      </w:r>
    </w:p>
    <w:p w14:paraId="7AE10CE4" w14:textId="77777777" w:rsidR="00CF653C" w:rsidRPr="00507A31" w:rsidRDefault="00CF653C" w:rsidP="00507A31">
      <w:pPr>
        <w:jc w:val="both"/>
        <w:rPr>
          <w:color w:val="000000" w:themeColor="text1"/>
          <w:sz w:val="16"/>
          <w:szCs w:val="16"/>
        </w:rPr>
      </w:pPr>
      <w:r w:rsidRPr="00507A31">
        <w:rPr>
          <w:color w:val="000000" w:themeColor="text1"/>
          <w:sz w:val="16"/>
          <w:szCs w:val="16"/>
        </w:rPr>
        <w:t>Проработка техтребований, проводилась нами в двух направлениях — одноместного и двухместного истребителя ...В проработке этого типа машины (двухместный истреби</w:t>
      </w:r>
      <w:r w:rsidRPr="00507A31">
        <w:rPr>
          <w:color w:val="000000" w:themeColor="text1"/>
          <w:sz w:val="16"/>
          <w:szCs w:val="16"/>
        </w:rPr>
        <w:softHyphen/>
        <w:t>тель — прим. авт.) мы стремились достигнуть лётно-тактических данных, указанных НТК в отношении одноместного истребителя И-12.</w:t>
      </w:r>
    </w:p>
    <w:p w14:paraId="26B8896E" w14:textId="77777777" w:rsidR="00CF653C" w:rsidRPr="00507A31" w:rsidRDefault="00CF653C" w:rsidP="00507A31">
      <w:pPr>
        <w:jc w:val="both"/>
        <w:rPr>
          <w:color w:val="000000" w:themeColor="text1"/>
          <w:sz w:val="16"/>
          <w:szCs w:val="16"/>
        </w:rPr>
      </w:pPr>
      <w:r w:rsidRPr="00507A31">
        <w:rPr>
          <w:color w:val="000000" w:themeColor="text1"/>
          <w:sz w:val="16"/>
          <w:szCs w:val="16"/>
        </w:rPr>
        <w:lastRenderedPageBreak/>
        <w:t>...Машины просчитывались под моторы Хорнет сер. В, М-29 и Сидлей-Ягуар с ком</w:t>
      </w:r>
      <w:r w:rsidRPr="00507A31">
        <w:rPr>
          <w:color w:val="000000" w:themeColor="text1"/>
          <w:sz w:val="16"/>
          <w:szCs w:val="16"/>
        </w:rPr>
        <w:softHyphen/>
        <w:t>прессором, первый из них не высотный, остальные — высотные. ...Сравнительные дан</w:t>
      </w:r>
      <w:r w:rsidRPr="00507A31">
        <w:rPr>
          <w:color w:val="000000" w:themeColor="text1"/>
          <w:sz w:val="16"/>
          <w:szCs w:val="16"/>
        </w:rPr>
        <w:softHyphen/>
        <w:t>ные аэродинамического расчёта с различными моторами показали, что наиболее подходящими моторами для нашей цели являются М-29 и Сидлей-Ягуар с компрес</w:t>
      </w:r>
      <w:r w:rsidRPr="00507A31">
        <w:rPr>
          <w:color w:val="000000" w:themeColor="text1"/>
          <w:sz w:val="16"/>
          <w:szCs w:val="16"/>
        </w:rPr>
        <w:softHyphen/>
        <w:t>сором ...Конструкция обеих машин цельнометаллическая кольчугалюминиевая» (15823).</w:t>
      </w:r>
    </w:p>
    <w:p w14:paraId="107D0B85" w14:textId="77777777" w:rsidR="00CF653C" w:rsidRPr="00507A31" w:rsidRDefault="00CF653C" w:rsidP="00507A31">
      <w:pPr>
        <w:jc w:val="both"/>
        <w:rPr>
          <w:color w:val="000000" w:themeColor="text1"/>
          <w:sz w:val="16"/>
          <w:szCs w:val="16"/>
        </w:rPr>
      </w:pPr>
    </w:p>
    <w:p w14:paraId="282F9687"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color w:val="000000" w:themeColor="text1"/>
          <w:sz w:val="16"/>
          <w:szCs w:val="16"/>
        </w:rPr>
        <w:t>25 октября 1930 года в НТК УВВС поступил предварительный проект истребителя И-12 (АНТ-18), вооруженного пушками ДРП (Ведущий инженер проекта – В. Н. Чернышев). В пояснительной записке отмечалось, что ЦАГИ было предложено рассмотреть два варианта техтребований к самолету. Первый – одноместный вариант И-12 с полезной нагрузкой 340 кг и второй – с нагрузкой 1115 кг.</w:t>
      </w:r>
    </w:p>
    <w:p w14:paraId="44AE8F23"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 От разработки второго варианта … мы отказались по следующим мотивам:</w:t>
      </w:r>
    </w:p>
    <w:p w14:paraId="77B6003D"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1. Установка 6″ пушки по условиям работы ее требует специально приспособленный фюзеляж.</w:t>
      </w:r>
    </w:p>
    <w:p w14:paraId="1C340BCA"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2. Проектирование специального фюзеляжа потребует предварительного изучения на земле поведения его во время стрельбы.</w:t>
      </w:r>
    </w:p>
    <w:p w14:paraId="13B4FFF4"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3. Сама 6″ пушка еще окончательно не доработана.</w:t>
      </w:r>
    </w:p>
    <w:p w14:paraId="21CBF6A1"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4. Производственно-конструкторская емкость всей работы настолько велика, что машина не может быть дана в столь короткие сроки.</w:t>
      </w:r>
    </w:p>
    <w:p w14:paraId="28C140CD"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Имея в виду все эти соображения, мы остановились, по договоренности с конструктором пушки, на первом варианте технических требований, т.е. на истребителе, вооруженном двумя пушками ДРП калибром в 3″, расположенными в крыльях.</w:t>
      </w:r>
    </w:p>
    <w:p w14:paraId="18DFC8CC"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Проработка техтребований, проводилась нами в двух направлениях – одноместного и двухместного истребителя.</w:t>
      </w:r>
    </w:p>
    <w:p w14:paraId="5C270928"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 проработке этого типа машины </w:t>
      </w:r>
      <w:r w:rsidRPr="00507A31">
        <w:rPr>
          <w:color w:val="000000" w:themeColor="text1"/>
          <w:sz w:val="16"/>
          <w:szCs w:val="16"/>
          <w:bdr w:val="none" w:sz="0" w:space="0" w:color="auto" w:frame="1"/>
        </w:rPr>
        <w:t>(двухместный истребитель – примеч. автора)</w:t>
      </w:r>
      <w:r w:rsidRPr="00507A31">
        <w:rPr>
          <w:rStyle w:val="af0"/>
          <w:i w:val="0"/>
          <w:color w:val="000000" w:themeColor="text1"/>
          <w:sz w:val="16"/>
          <w:szCs w:val="16"/>
          <w:bdr w:val="none" w:sz="0" w:space="0" w:color="auto" w:frame="1"/>
        </w:rPr>
        <w:t> мы стремились достигнуть летно-тактических данных, указанных НТК в отношении одноместного истребителя И-12.</w:t>
      </w:r>
    </w:p>
    <w:p w14:paraId="60973592"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…Машины просчитывались под моторы Хорнет сер. В, М-29 и Сидлей-Ягуар с компрессором, первый из них не высотный, остальные – высотные.</w:t>
      </w:r>
    </w:p>
    <w:p w14:paraId="23EF0D6A"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…Сравнительные данные аэродинамического расчета с различными моторами показали, что наиболее подходящими моторами для нашей цели являются М-29 и Сидлей-Ягуар с компрессором.</w:t>
      </w:r>
    </w:p>
    <w:p w14:paraId="24E25A26" w14:textId="77777777" w:rsidR="00E2212E" w:rsidRPr="00507A31" w:rsidRDefault="00E2212E"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…Конструкция обеих машин цельнометаллическая кольчугалюминиевая.» (19172).</w:t>
      </w:r>
    </w:p>
    <w:p w14:paraId="1AA937F4" w14:textId="77777777" w:rsidR="00E2212E" w:rsidRPr="00507A31" w:rsidRDefault="00E2212E" w:rsidP="00507A31">
      <w:pPr>
        <w:pStyle w:val="ae"/>
        <w:shd w:val="clear" w:color="auto" w:fill="FFFFFF"/>
        <w:spacing w:before="0" w:after="0"/>
        <w:jc w:val="both"/>
        <w:textAlignment w:val="baseline"/>
        <w:rPr>
          <w:color w:val="000000" w:themeColor="text1"/>
          <w:sz w:val="16"/>
          <w:szCs w:val="16"/>
        </w:rPr>
      </w:pPr>
    </w:p>
    <w:p w14:paraId="68D43E7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 октября 1930 года в НТК представлен был представлен эскизный проект одноместного и двухместного И-12 (6925).</w:t>
      </w:r>
    </w:p>
    <w:p w14:paraId="316C54B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D8FD9DF" w14:textId="77777777" w:rsidR="005A3377" w:rsidRPr="00507A31" w:rsidRDefault="005A3377" w:rsidP="00507A31">
      <w:pPr>
        <w:jc w:val="both"/>
        <w:rPr>
          <w:color w:val="0070C0"/>
          <w:sz w:val="16"/>
          <w:szCs w:val="16"/>
        </w:rPr>
      </w:pPr>
      <w:r w:rsidRPr="00507A31">
        <w:rPr>
          <w:color w:val="0070C0"/>
          <w:sz w:val="16"/>
          <w:szCs w:val="16"/>
        </w:rPr>
        <w:t>25 октября 1930 г. проект АНТ-23 (И-12) был представлен ЦАГИ в НТК УВВС в нескольких вариантах (одноместный и двухместный со всеми этими вариантами силовой установки). Предварительным ТТТ ВВС удовлетворял только вариант с М-29, но не было уверенности в возможности запуска этого мотора в серию и АГОС было поручено проработать вариант с 2 Ю-VI.</w:t>
      </w:r>
    </w:p>
    <w:p w14:paraId="22A619DA" w14:textId="77777777" w:rsidR="005A3377" w:rsidRPr="00507A31" w:rsidRDefault="005A3377" w:rsidP="00507A31">
      <w:pPr>
        <w:jc w:val="both"/>
        <w:rPr>
          <w:color w:val="0070C0"/>
          <w:sz w:val="16"/>
          <w:szCs w:val="16"/>
        </w:rPr>
      </w:pPr>
      <w:r w:rsidRPr="00507A31">
        <w:rPr>
          <w:color w:val="0070C0"/>
          <w:sz w:val="16"/>
          <w:szCs w:val="16"/>
        </w:rPr>
        <w:t>Наблюдающим инженером от НТК (представителем Заказчика) был назначен военинженер Межак.</w:t>
      </w:r>
    </w:p>
    <w:p w14:paraId="593A91DE" w14:textId="77777777" w:rsidR="005A3377" w:rsidRPr="00507A31" w:rsidRDefault="005A3377" w:rsidP="00507A31">
      <w:pPr>
        <w:jc w:val="both"/>
        <w:rPr>
          <w:color w:val="0070C0"/>
          <w:sz w:val="16"/>
          <w:szCs w:val="16"/>
        </w:rPr>
      </w:pPr>
      <w:r w:rsidRPr="00507A31">
        <w:rPr>
          <w:color w:val="0070C0"/>
          <w:sz w:val="16"/>
          <w:szCs w:val="16"/>
        </w:rPr>
        <w:t xml:space="preserve">05.11.30 г. на совещании в НТК ВВС окончательно была выбрана двухбалочная схема с тандемной СУ с двумя моторами Ю-VI.   Примерно в это же время вышел правительственный документ, определявший строительство двух опытных самолетов и дату сдачи на ГИ экз. № 1 </w:t>
      </w:r>
      <w:r w:rsidRPr="00507A31">
        <w:rPr>
          <w:color w:val="0070C0"/>
          <w:sz w:val="16"/>
          <w:szCs w:val="16"/>
        </w:rPr>
        <w:softHyphen/>
        <w:t>– к 01.07.31 г. (23136).</w:t>
      </w:r>
    </w:p>
    <w:p w14:paraId="36FACB0A" w14:textId="77777777" w:rsidR="005A3377" w:rsidRPr="00507A31" w:rsidRDefault="005A3377" w:rsidP="00507A31">
      <w:pPr>
        <w:jc w:val="both"/>
        <w:rPr>
          <w:color w:val="0070C0"/>
          <w:sz w:val="16"/>
          <w:szCs w:val="16"/>
        </w:rPr>
      </w:pPr>
    </w:p>
    <w:p w14:paraId="23FB886A" w14:textId="77777777" w:rsidR="00E2212E" w:rsidRPr="00507A31" w:rsidRDefault="00E2212E" w:rsidP="00507A31">
      <w:pPr>
        <w:autoSpaceDE w:val="0"/>
        <w:autoSpaceDN w:val="0"/>
        <w:adjustRightInd w:val="0"/>
        <w:jc w:val="both"/>
        <w:rPr>
          <w:color w:val="000000" w:themeColor="text1"/>
          <w:sz w:val="16"/>
          <w:szCs w:val="16"/>
        </w:rPr>
      </w:pPr>
      <w:r w:rsidRPr="00507A31">
        <w:rPr>
          <w:color w:val="000000" w:themeColor="text1"/>
          <w:sz w:val="16"/>
          <w:szCs w:val="16"/>
        </w:rPr>
        <w:t>25 октября 1930 состоялось 27 заседание 1 секции НТК о предварительном аэродинамическом расчете ТБ-4 (1077,171).</w:t>
      </w:r>
    </w:p>
    <w:p w14:paraId="03AD155D" w14:textId="77777777" w:rsidR="00E2212E" w:rsidRPr="00507A31" w:rsidRDefault="00E2212E" w:rsidP="00507A31">
      <w:pPr>
        <w:autoSpaceDE w:val="0"/>
        <w:autoSpaceDN w:val="0"/>
        <w:adjustRightInd w:val="0"/>
        <w:jc w:val="both"/>
        <w:rPr>
          <w:color w:val="000000" w:themeColor="text1"/>
          <w:sz w:val="16"/>
          <w:szCs w:val="16"/>
        </w:rPr>
      </w:pPr>
    </w:p>
    <w:p w14:paraId="221955DF" w14:textId="77777777" w:rsidR="00E2212E" w:rsidRPr="00507A31" w:rsidRDefault="00E2212E" w:rsidP="00507A31">
      <w:pPr>
        <w:jc w:val="both"/>
        <w:rPr>
          <w:color w:val="000000" w:themeColor="text1"/>
          <w:sz w:val="16"/>
          <w:szCs w:val="16"/>
        </w:rPr>
      </w:pPr>
      <w:r w:rsidRPr="00507A31">
        <w:rPr>
          <w:color w:val="000000" w:themeColor="text1"/>
          <w:sz w:val="16"/>
          <w:szCs w:val="16"/>
        </w:rPr>
        <w:t>25 октября 1930</w:t>
      </w:r>
    </w:p>
    <w:p w14:paraId="4100119F" w14:textId="77777777" w:rsidR="00E2212E" w:rsidRPr="00507A31" w:rsidRDefault="00E2212E" w:rsidP="00507A31">
      <w:pPr>
        <w:jc w:val="both"/>
        <w:rPr>
          <w:color w:val="000000" w:themeColor="text1"/>
          <w:sz w:val="16"/>
          <w:szCs w:val="16"/>
        </w:rPr>
      </w:pPr>
      <w:r w:rsidRPr="00507A31">
        <w:rPr>
          <w:color w:val="000000" w:themeColor="text1"/>
          <w:sz w:val="16"/>
          <w:szCs w:val="16"/>
        </w:rPr>
        <w:t>п. 27/39: Об “Объединении гражданской авиации”</w:t>
      </w:r>
    </w:p>
    <w:p w14:paraId="3AB0D0C9" w14:textId="77777777" w:rsidR="00E2212E" w:rsidRPr="00507A31" w:rsidRDefault="00E2212E" w:rsidP="00507A31">
      <w:pPr>
        <w:jc w:val="both"/>
        <w:rPr>
          <w:color w:val="000000" w:themeColor="text1"/>
          <w:sz w:val="16"/>
          <w:szCs w:val="16"/>
        </w:rPr>
      </w:pPr>
      <w:r w:rsidRPr="00507A31">
        <w:rPr>
          <w:color w:val="000000" w:themeColor="text1"/>
          <w:sz w:val="16"/>
          <w:szCs w:val="16"/>
        </w:rPr>
        <w:t>(Гольцман).</w:t>
      </w:r>
    </w:p>
    <w:p w14:paraId="2C46888F" w14:textId="77777777" w:rsidR="00E2212E" w:rsidRPr="00507A31" w:rsidRDefault="00E2212E" w:rsidP="00507A31">
      <w:pPr>
        <w:jc w:val="both"/>
        <w:rPr>
          <w:color w:val="000000" w:themeColor="text1"/>
          <w:sz w:val="16"/>
          <w:szCs w:val="16"/>
        </w:rPr>
      </w:pPr>
      <w:r w:rsidRPr="00507A31">
        <w:rPr>
          <w:color w:val="000000" w:themeColor="text1"/>
          <w:sz w:val="16"/>
          <w:szCs w:val="16"/>
        </w:rPr>
        <w:t>а) Расформировать Акционерное общество “Добролет”, передав его функции и имущество Объединению гражданской авиации при СТО.</w:t>
      </w:r>
    </w:p>
    <w:p w14:paraId="28F1B21D" w14:textId="77777777" w:rsidR="00E2212E" w:rsidRPr="00507A31" w:rsidRDefault="00E2212E" w:rsidP="00507A31">
      <w:pPr>
        <w:jc w:val="both"/>
        <w:rPr>
          <w:color w:val="000000" w:themeColor="text1"/>
          <w:sz w:val="16"/>
          <w:szCs w:val="16"/>
        </w:rPr>
      </w:pPr>
      <w:r w:rsidRPr="00507A31">
        <w:rPr>
          <w:color w:val="000000" w:themeColor="text1"/>
          <w:sz w:val="16"/>
          <w:szCs w:val="16"/>
        </w:rPr>
        <w:t>б) Поручить фракции правления “Добролета” оформить ликвидацию общества в 20</w:t>
      </w:r>
      <w:r w:rsidRPr="00507A31">
        <w:rPr>
          <w:color w:val="000000" w:themeColor="text1"/>
          <w:sz w:val="16"/>
          <w:szCs w:val="16"/>
        </w:rPr>
        <w:noBreakHyphen/>
        <w:t>дневный срок (18334).</w:t>
      </w:r>
    </w:p>
    <w:p w14:paraId="5B4AC60B" w14:textId="77777777" w:rsidR="00E2212E" w:rsidRPr="00507A31" w:rsidRDefault="00E2212E" w:rsidP="00507A31">
      <w:pPr>
        <w:jc w:val="both"/>
        <w:rPr>
          <w:color w:val="000000" w:themeColor="text1"/>
          <w:sz w:val="16"/>
          <w:szCs w:val="16"/>
        </w:rPr>
      </w:pPr>
    </w:p>
    <w:p w14:paraId="411AF687" w14:textId="77777777" w:rsidR="005A3377" w:rsidRPr="00507A31" w:rsidRDefault="005A3377" w:rsidP="00507A31">
      <w:pPr>
        <w:shd w:val="clear" w:color="auto" w:fill="FFFFFF"/>
        <w:jc w:val="both"/>
        <w:textAlignment w:val="top"/>
        <w:rPr>
          <w:color w:val="0070C0"/>
          <w:sz w:val="16"/>
          <w:szCs w:val="16"/>
        </w:rPr>
      </w:pPr>
      <w:r w:rsidRPr="00507A31">
        <w:rPr>
          <w:color w:val="0070C0"/>
          <w:sz w:val="16"/>
          <w:szCs w:val="16"/>
        </w:rPr>
        <w:t>25 октября 1930 года</w:t>
      </w:r>
    </w:p>
    <w:p w14:paraId="4270641F" w14:textId="77777777" w:rsidR="005A3377" w:rsidRPr="00507A31" w:rsidRDefault="005A3377" w:rsidP="00507A31">
      <w:pPr>
        <w:shd w:val="clear" w:color="auto" w:fill="FFFFFF"/>
        <w:jc w:val="both"/>
        <w:textAlignment w:val="top"/>
        <w:rPr>
          <w:color w:val="0070C0"/>
          <w:sz w:val="16"/>
          <w:szCs w:val="16"/>
        </w:rPr>
      </w:pPr>
      <w:r w:rsidRPr="00507A31">
        <w:rPr>
          <w:color w:val="0070C0"/>
          <w:sz w:val="16"/>
          <w:szCs w:val="16"/>
        </w:rPr>
        <w:t>Протокол ПБ № 13 от 25 октября 1930 г. п.27/39: Об Объединении гражданской авиации (Гольцман). Решено: а) расформировать Акционерное общество «Добролет», передав его функции и имущество Объединению гражданской авиации при СТО; б) поручить фракции правления «Добролета» оформить ликвидацию общества в 20-дневный срок (20226).</w:t>
      </w:r>
    </w:p>
    <w:p w14:paraId="6CBDD340" w14:textId="77777777" w:rsidR="005A3377" w:rsidRPr="00507A31" w:rsidRDefault="005A3377" w:rsidP="00507A31">
      <w:pPr>
        <w:shd w:val="clear" w:color="auto" w:fill="FFFFFF"/>
        <w:jc w:val="both"/>
        <w:textAlignment w:val="top"/>
        <w:rPr>
          <w:color w:val="0070C0"/>
          <w:sz w:val="16"/>
          <w:szCs w:val="16"/>
        </w:rPr>
      </w:pPr>
    </w:p>
    <w:p w14:paraId="5E9C871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5F730D5" w14:textId="77777777" w:rsidR="00537E5F" w:rsidRPr="00507A31" w:rsidRDefault="00537E5F" w:rsidP="00507A31">
      <w:pPr>
        <w:autoSpaceDE w:val="0"/>
        <w:autoSpaceDN w:val="0"/>
        <w:adjustRightInd w:val="0"/>
        <w:jc w:val="both"/>
        <w:rPr>
          <w:iCs/>
          <w:color w:val="000000" w:themeColor="text1"/>
          <w:sz w:val="16"/>
          <w:szCs w:val="16"/>
        </w:rPr>
      </w:pPr>
    </w:p>
    <w:p w14:paraId="14D929B8" w14:textId="77777777" w:rsidR="005A3377" w:rsidRPr="00507A31" w:rsidRDefault="005A3377" w:rsidP="00507A31">
      <w:pPr>
        <w:jc w:val="both"/>
        <w:rPr>
          <w:color w:val="0070C0"/>
          <w:sz w:val="16"/>
          <w:szCs w:val="16"/>
        </w:rPr>
      </w:pPr>
      <w:r w:rsidRPr="00507A31">
        <w:rPr>
          <w:color w:val="0070C0"/>
          <w:sz w:val="16"/>
          <w:szCs w:val="16"/>
        </w:rPr>
        <w:t>25 октября 1930 состоялось заседание ПБ (Протокол № 13)</w:t>
      </w:r>
    </w:p>
    <w:p w14:paraId="6A22343C" w14:textId="77777777" w:rsidR="005A3377" w:rsidRPr="00507A31" w:rsidRDefault="005A3377" w:rsidP="00507A31">
      <w:pPr>
        <w:jc w:val="both"/>
        <w:rPr>
          <w:color w:val="0070C0"/>
          <w:sz w:val="16"/>
          <w:szCs w:val="16"/>
        </w:rPr>
      </w:pPr>
      <w:r w:rsidRPr="00507A31">
        <w:rPr>
          <w:color w:val="0070C0"/>
          <w:sz w:val="16"/>
          <w:szCs w:val="16"/>
        </w:rPr>
        <w:t>20 октября 1930 опросом членов ПБ</w:t>
      </w:r>
    </w:p>
    <w:p w14:paraId="3D3ACB12" w14:textId="77777777" w:rsidR="005A3377" w:rsidRPr="00507A31" w:rsidRDefault="005A3377" w:rsidP="00507A31">
      <w:pPr>
        <w:jc w:val="both"/>
        <w:rPr>
          <w:color w:val="0070C0"/>
          <w:sz w:val="16"/>
          <w:szCs w:val="16"/>
        </w:rPr>
      </w:pPr>
      <w:r w:rsidRPr="00507A31">
        <w:rPr>
          <w:color w:val="0070C0"/>
          <w:sz w:val="16"/>
          <w:szCs w:val="16"/>
        </w:rPr>
        <w:t>8/20.-Об экспедиции Ситроена</w:t>
      </w:r>
    </w:p>
    <w:p w14:paraId="138D5340" w14:textId="77777777" w:rsidR="005A3377" w:rsidRPr="00507A31" w:rsidRDefault="005A3377" w:rsidP="00507A31">
      <w:pPr>
        <w:jc w:val="both"/>
        <w:rPr>
          <w:color w:val="0070C0"/>
          <w:sz w:val="16"/>
          <w:szCs w:val="16"/>
        </w:rPr>
      </w:pPr>
      <w:r w:rsidRPr="00507A31">
        <w:rPr>
          <w:color w:val="0070C0"/>
          <w:sz w:val="16"/>
          <w:szCs w:val="16"/>
        </w:rPr>
        <w:t>Во изменение решения ПБ от 20.У1.30 г. отказать фирме Ситроен в пробеге гусеничных автомобилей через территорию СССР.</w:t>
      </w:r>
    </w:p>
    <w:p w14:paraId="2FBF6C55" w14:textId="77777777" w:rsidR="005A3377" w:rsidRPr="00507A31" w:rsidRDefault="005A3377" w:rsidP="00507A31">
      <w:pPr>
        <w:jc w:val="both"/>
        <w:rPr>
          <w:color w:val="0070C0"/>
          <w:sz w:val="16"/>
          <w:szCs w:val="16"/>
        </w:rPr>
      </w:pPr>
      <w:r w:rsidRPr="00507A31">
        <w:rPr>
          <w:color w:val="0070C0"/>
          <w:sz w:val="16"/>
          <w:szCs w:val="16"/>
        </w:rPr>
        <w:t>Выписки послана: т.т. Литвинову, Менжинскому (21118).</w:t>
      </w:r>
    </w:p>
    <w:p w14:paraId="5DABC78D" w14:textId="77777777" w:rsidR="005A3377" w:rsidRPr="00507A31" w:rsidRDefault="005A3377" w:rsidP="00507A31">
      <w:pPr>
        <w:jc w:val="both"/>
        <w:rPr>
          <w:color w:val="0070C0"/>
          <w:sz w:val="16"/>
          <w:szCs w:val="16"/>
        </w:rPr>
      </w:pPr>
    </w:p>
    <w:p w14:paraId="67192D0C" w14:textId="77777777" w:rsidR="00373CA1" w:rsidRPr="00507A31" w:rsidRDefault="00373CA1" w:rsidP="00507A31">
      <w:pPr>
        <w:jc w:val="both"/>
        <w:rPr>
          <w:color w:val="000000" w:themeColor="text1"/>
          <w:sz w:val="16"/>
          <w:szCs w:val="16"/>
          <w:u w:color="002060"/>
        </w:rPr>
      </w:pPr>
      <w:r w:rsidRPr="00507A31">
        <w:rPr>
          <w:color w:val="000000" w:themeColor="text1"/>
          <w:sz w:val="16"/>
          <w:szCs w:val="16"/>
          <w:u w:color="002060"/>
        </w:rPr>
        <w:t>25 октября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13. 22. О работах по расширению цеха тракторостроения Харьковского паровозостроительного завода (ПБ от 15 октября 1930 г., пр. № 12, п. 13) (Лобов, Осинский, Павлуновский, Курицын). 24. Об автотракторной промышленности (Осинский, Лобов, Каминский, Розенгольц). 26. О состоянии снабжения металлом всей промышленности (ПБ от 20 октября 1930 г., пр. № 13, п. 22/34) (Шмидт, Лобов, Каганович, Межлаук, Косиор И.). Решения ПБ от 20 октября 1930 г. 22/34. О снабжении металлом всей промышленности (Каганович, Лобов). (Политбюро... Т. 2. С. 91, 92) (12416).</w:t>
      </w:r>
    </w:p>
    <w:p w14:paraId="4BE2251D" w14:textId="77777777" w:rsidR="00373CA1" w:rsidRPr="00507A31" w:rsidRDefault="00373CA1" w:rsidP="00507A31">
      <w:pPr>
        <w:jc w:val="both"/>
        <w:rPr>
          <w:color w:val="000000" w:themeColor="text1"/>
          <w:sz w:val="16"/>
          <w:szCs w:val="16"/>
          <w:u w:color="002060"/>
        </w:rPr>
      </w:pPr>
    </w:p>
    <w:p w14:paraId="3DB697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 октября 1930 г. вышло ЗАДАНИЕ УММ ПРОЕКТНОМУ БЮРО ВСУ НА ПРОЕКТИРОВАНИЕ АВТОТРАКТОРОТАНКОДРОМА</w:t>
      </w:r>
    </w:p>
    <w:p w14:paraId="20E8DF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20D696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Местность должна иметь участок с пересеченным рельефом, допускающим наиболее экономич</w:t>
      </w:r>
      <w:r w:rsidRPr="00507A31">
        <w:rPr>
          <w:color w:val="000000" w:themeColor="text1"/>
          <w:sz w:val="16"/>
          <w:szCs w:val="16"/>
        </w:rPr>
        <w:softHyphen/>
        <w:t>ное развитие сети дорог различного типа и с различными подъемами. Общая площадь этого участка должна быть не менее 10 кв. км и должна содержать в себе следующие дорожные сооружения:</w:t>
      </w:r>
    </w:p>
    <w:p w14:paraId="634CDD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Две взаимно перпендикулярных горизонтальных дорожки (бетонных или с другим гладким покровом), длиною каждая 1,5-2 км и шириной 9,5 метров. Расположение одной из дорожек должно быть выбрано по возможности в направлении господствующих ветров.</w:t>
      </w:r>
    </w:p>
    <w:p w14:paraId="16C8E9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Подъемы: а) 7 процентов длиною 250-500 м с бетонным покровом; б) 15 процентов длиною 50-100 м с гравийным покровом; в) 25 процентов длиною 50 м с гравийным покровом; г) 35 процентов длиною 25 м, состоящий из двух параллельных дорожек — одна с гравийным покровом, другая из ес</w:t>
      </w:r>
      <w:r w:rsidRPr="00507A31">
        <w:rPr>
          <w:color w:val="000000" w:themeColor="text1"/>
          <w:sz w:val="16"/>
          <w:szCs w:val="16"/>
        </w:rPr>
        <w:softHyphen/>
        <w:t>тественного грунта; д) 45 процентов длиною 25 м из естественного грунта; е) 50 процентов длиною 25 м из естественного грунта; ж) 70 процентов длиною 25 м из естественного грунта.</w:t>
      </w:r>
    </w:p>
    <w:p w14:paraId="34C132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Ширина дорожек для всех подъемов должна быть 9,5 метров.</w:t>
      </w:r>
    </w:p>
    <w:p w14:paraId="72B6A4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Круговая дорожка любой замкнутой формы с гравийным покровом, длиной не менее 4 км должна включать в себе по возможности большинство указанных выше подъемов, но с таким расче</w:t>
      </w:r>
      <w:r w:rsidRPr="00507A31">
        <w:rPr>
          <w:color w:val="000000" w:themeColor="text1"/>
          <w:sz w:val="16"/>
          <w:szCs w:val="16"/>
        </w:rPr>
        <w:softHyphen/>
        <w:t>том, чтобы эти подъемы можно было в случае надобности объезжать.</w:t>
      </w:r>
    </w:p>
    <w:p w14:paraId="63D881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Песчаная дорога или участок песку длиной 50-100 м.</w:t>
      </w:r>
    </w:p>
    <w:p w14:paraId="03E161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Болотистый участок длиной 50-100 м.</w:t>
      </w:r>
    </w:p>
    <w:p w14:paraId="785B2C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Бетонированный брод для автомобилей и танков глубиной до 2 м с постепенным въездом и вы</w:t>
      </w:r>
      <w:r w:rsidRPr="00507A31">
        <w:rPr>
          <w:color w:val="000000" w:themeColor="text1"/>
          <w:sz w:val="16"/>
          <w:szCs w:val="16"/>
        </w:rPr>
        <w:softHyphen/>
        <w:t>ездом и с возможностью изменения уровня воды в пределах от 0 до 2 м.</w:t>
      </w:r>
    </w:p>
    <w:p w14:paraId="5CCFF3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Участок с инженерными сооружениями для испытания танков, тракторов, "шестиколесок", содержащий следующие препятствия: а) искусственные препятствия: окопы и ходы сообщения всех видов, как наши, так и иностранные с соответствующими заграждениями; б) противотанковые спе</w:t>
      </w:r>
      <w:r w:rsidRPr="00507A31">
        <w:rPr>
          <w:color w:val="000000" w:themeColor="text1"/>
          <w:sz w:val="16"/>
          <w:szCs w:val="16"/>
        </w:rPr>
        <w:softHyphen/>
        <w:t>циальные препятствия, как-то: рвы с переменной шириной пролета, засеки, надолбы, бетонные и тросовые заборы, деревянные и кирпичные стенки разной толщины; в) лунный ландшафт с ворон</w:t>
      </w:r>
      <w:r w:rsidRPr="00507A31">
        <w:rPr>
          <w:color w:val="000000" w:themeColor="text1"/>
          <w:sz w:val="16"/>
          <w:szCs w:val="16"/>
        </w:rPr>
        <w:softHyphen/>
        <w:t>ками [от снарядов] всех калибров от 75 мм до 203 мм. !</w:t>
      </w:r>
    </w:p>
    <w:p w14:paraId="30AFE4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Естественный водоем для испытаний проходимости машин через водные препятствия (брод),</w:t>
      </w:r>
    </w:p>
    <w:p w14:paraId="66D737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Зам. Начальника УММ РККА Калиновский</w:t>
      </w:r>
    </w:p>
    <w:p w14:paraId="69695F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НТК УММ РККА Лебедев</w:t>
      </w:r>
    </w:p>
    <w:p w14:paraId="0A8630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368. Л. 22. Подлинник (11210).</w:t>
      </w:r>
    </w:p>
    <w:p w14:paraId="5906357D" w14:textId="77777777" w:rsidR="00537E5F" w:rsidRPr="00507A31" w:rsidRDefault="00537E5F" w:rsidP="00507A31">
      <w:pPr>
        <w:autoSpaceDE w:val="0"/>
        <w:autoSpaceDN w:val="0"/>
        <w:adjustRightInd w:val="0"/>
        <w:jc w:val="both"/>
        <w:rPr>
          <w:color w:val="000000" w:themeColor="text1"/>
          <w:sz w:val="16"/>
          <w:szCs w:val="16"/>
        </w:rPr>
      </w:pPr>
    </w:p>
    <w:p w14:paraId="5E3ED1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октября 1930 г. в повестке дня заседания Политбюро значится:</w:t>
      </w:r>
    </w:p>
    <w:p w14:paraId="2AFECE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О работах по расширению цеха тракторостроения Харьковского паровозостроительного завода."</w:t>
      </w:r>
    </w:p>
    <w:p w14:paraId="0C50C9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После окончания Гражданской войны перед Советской Россией встала задача наращивания вооружений. Как иначе можно было противостоять враждебному окружению? И одним из самых важных направлений стало усиление огневой мощи артиллерийских орудий, повышение дальности стрельбы, скорострельности и маневренности. Широко применявшаяся до этого конная тяга уже не отвечала современным правилам ведения боя - существенно возросла масса новых артсистем, особенно корпусных и большой мощности. Требовались машины, специально созданные для перевозки противотанковых, зенитных и полевых орудий.</w:t>
      </w:r>
    </w:p>
    <w:p w14:paraId="125A4E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Поэтому в 1924 году на Харьковском паровозостроительном заводе имени Коминтерна (ХПЗ) началось производство промышленного гусеничного трактора «Коммунар». Прототипом для него был выбран немецкий трактор «Hanomag WD-50». При технической конторе ХПЗ создали конструкторскую группу, которая стала сопровождать производство. Вновь созданный трактор применялся как в мирной жизни, так и в Красной Армии - там с их помощью буксировали тяжелые (массой до 11 т) артсистемы. Однако первые «Коммунары» с этим плохо справлялись, и по заказу военных конструкторы ХПЗ разработали модификацию «3-90» с двигателем мощностью 90 л.с. Скорость машины повысилась до 15 км/ч. </w:t>
      </w:r>
    </w:p>
    <w:p w14:paraId="2D81A7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Что же до "военного назначения", то цехами военного назначения тракторные цеха ХПЗ стали только в 1934 году, когда полностью перешли на выпуск специальных артиллерийских тягачей. До этого там делали промышленный трактор, который МОГ быть использован для тягания артиллерии, но не очень для этого годился. Вообще, это было общей проблемой для РККА. Вместо специально сконструированных арттягачей, промышленность в основном поставляла конверсии промышленных тракторов (либо даже неконвертированные пром.трактора), плохо подходившие для нужд армии. Вот что пишет Е.Прочко, в заключении к книжке "Артиллерийские тягачи Красной армии": </w:t>
      </w:r>
    </w:p>
    <w:p w14:paraId="62015C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Тяжелый, с трудным холодным запуском тракторный керосиновый двигатель СТЗ-1МА, в угоду действующему массовому производству, не был переведен для работы на бензине или лигроине, что было бы вполне целесообразным для армейской службы и позволило бы его форсировать до мощности в 65 — 68 л.с, которой так не хватало тягачу СТЗ-5. Форсированныйтракторный дизельный двигатель М-17 в транспортной модификации для тягача С-2 [этот делали на ЧТЗ - fat-yankey] развивал мощность до 105 — 113 л.с., сохранив присущую ему безотказность, выносливость, надежный холодный запуск. Но, будучи в основе своей тракторным, он недостаточно удовлетворял требованиям к армейским тягачам по массе и габаритам.</w:t>
      </w:r>
    </w:p>
    <w:p w14:paraId="69582B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своих тяжелых тягачей «Коммунар» и «Коминтерн» ХПЗ был вынужден создавать оригинальные двигатели — четырехцилиндровые, бензиновые, с увеличенным рабочим объемом. И хотя они по старой заводской традиции делались весьма добротно, были выносливыми, удобными в обслуживании и, что важно, — «тяговитыми», заложенные в них конструктивные решения, более свойственные стационарным и тракторным моторам, не давали возможности считать их полноценными транспортными двигателями.</w:t>
      </w:r>
    </w:p>
    <w:p w14:paraId="76794C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Что касается трансмиссий, то они на всех довоенных тягачах были достаточно примитивными, более подходящими для использования на тихоходных тракторах. Многодисковые главные фрикционы и коробки передач с надвижными шестернями (зубчатые муфты и синхронизаторы появились на тягачах только в 1940-е годы) не позволяли водителю, не имевшему определенных навыков, переключать передачи в КП «на ходу», без потери скорости машины. Фактически он мог это сделать только после ее остановки, что снижало среднюю скорость движения по бездорожью, мешало эффективно использовать мощность двигателя и приводило к частым поломкам в трансмиссии.</w:t>
      </w:r>
    </w:p>
    <w:p w14:paraId="2672C1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Приоритетом для тракторных заводов был выпуск пром.тракторов (прежде всего пахотных), а транспортные модели (т.е. арт.тягачи) сделанные на их базе плохо подходили для своей роли.</w:t>
      </w:r>
    </w:p>
    <w:p w14:paraId="1B6339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этом мрачном фоне было только да светлых пятна - специально сконструированные армейские тягачи "Комсомолец" (выпускался на танковом заводе №37) и "Ворошиловец" (сменил "Коминтерн" на Харьковском паровозном). Первый предназначался для полковой и батальонной артиллерии, последний - для тяжёлой артиллерии и эвакуации танков.</w:t>
      </w:r>
    </w:p>
    <w:p w14:paraId="489175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Иными словами, собственно тракторные заводы (СТЗ и ЧТЗ) производили конструкции удовлетворявшие требованиям гражданских, но плохо приспособленные для военных. Как полагаете, что было приоритетом? Отвечать не надо, вопрос риторический (11579).</w:t>
      </w:r>
    </w:p>
    <w:p w14:paraId="0F53BE08" w14:textId="77777777" w:rsidR="00537E5F" w:rsidRPr="00507A31" w:rsidRDefault="00537E5F" w:rsidP="00507A31">
      <w:pPr>
        <w:autoSpaceDE w:val="0"/>
        <w:autoSpaceDN w:val="0"/>
        <w:adjustRightInd w:val="0"/>
        <w:jc w:val="both"/>
        <w:rPr>
          <w:color w:val="000000" w:themeColor="text1"/>
          <w:sz w:val="16"/>
          <w:szCs w:val="16"/>
        </w:rPr>
      </w:pPr>
    </w:p>
    <w:p w14:paraId="1AADF90C" w14:textId="77777777" w:rsidR="007F2DE5" w:rsidRPr="00507A31" w:rsidRDefault="007F2DE5"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25 октября </w:t>
      </w:r>
      <w:r w:rsidRPr="00507A31">
        <w:rPr>
          <w:color w:val="000000" w:themeColor="text1"/>
          <w:sz w:val="16"/>
          <w:szCs w:val="16"/>
        </w:rPr>
        <w:t>в 1930 году в Печорском крае, в районе рек Ухта и Чибью разведочно-эксплуатационная скважина N 5 (буровой мастер - И.И.Косолапкин) дала с глубины 388, 7 м приток первой на европейском Севере СССР промышленной нефти (около 4 тыс. т в сутки). Было открыто знаменитое Чибьюское месторождение девонской нефти (14810).</w:t>
      </w:r>
    </w:p>
    <w:p w14:paraId="1F38076B" w14:textId="77777777" w:rsidR="007F2DE5" w:rsidRPr="00507A31" w:rsidRDefault="007F2DE5" w:rsidP="00507A31">
      <w:pPr>
        <w:jc w:val="both"/>
        <w:rPr>
          <w:color w:val="000000" w:themeColor="text1"/>
          <w:sz w:val="16"/>
          <w:szCs w:val="16"/>
        </w:rPr>
      </w:pPr>
    </w:p>
    <w:p w14:paraId="43816757" w14:textId="77777777" w:rsidR="00B517D4" w:rsidRPr="00507A31" w:rsidRDefault="00B517D4" w:rsidP="00507A31">
      <w:pPr>
        <w:jc w:val="both"/>
        <w:rPr>
          <w:color w:val="000000" w:themeColor="text1"/>
          <w:sz w:val="16"/>
          <w:szCs w:val="16"/>
        </w:rPr>
      </w:pPr>
      <w:r w:rsidRPr="00507A31">
        <w:rPr>
          <w:color w:val="000000" w:themeColor="text1"/>
          <w:sz w:val="16"/>
          <w:szCs w:val="16"/>
        </w:rPr>
        <w:t>25 октября 1930 г.</w:t>
      </w:r>
    </w:p>
    <w:p w14:paraId="56665BC8" w14:textId="77777777" w:rsidR="00B517D4" w:rsidRPr="00507A31" w:rsidRDefault="00B517D4" w:rsidP="00507A31">
      <w:pPr>
        <w:jc w:val="both"/>
        <w:rPr>
          <w:color w:val="000000" w:themeColor="text1"/>
          <w:sz w:val="16"/>
          <w:szCs w:val="16"/>
        </w:rPr>
      </w:pPr>
      <w:r w:rsidRPr="00507A31">
        <w:rPr>
          <w:color w:val="000000" w:themeColor="text1"/>
          <w:sz w:val="16"/>
          <w:szCs w:val="16"/>
        </w:rPr>
        <w:t>от 25 октября 1930 г. СТРОГО СЕКРЕТНО‌(Из О[собой] Папки)</w:t>
      </w:r>
    </w:p>
    <w:p w14:paraId="2FDBE611" w14:textId="77777777" w:rsidR="00B517D4" w:rsidRPr="00507A31" w:rsidRDefault="00B517D4" w:rsidP="00507A31">
      <w:pPr>
        <w:jc w:val="both"/>
        <w:rPr>
          <w:color w:val="000000" w:themeColor="text1"/>
          <w:sz w:val="16"/>
          <w:szCs w:val="16"/>
        </w:rPr>
      </w:pPr>
      <w:r w:rsidRPr="00507A31">
        <w:rPr>
          <w:color w:val="000000" w:themeColor="text1"/>
          <w:sz w:val="16"/>
          <w:szCs w:val="16"/>
        </w:rPr>
        <w:t>17. Об использовании показаний вредителей по линии интервенции.‌(т. Сталин).</w:t>
      </w:r>
    </w:p>
    <w:p w14:paraId="2215EEEC" w14:textId="77777777" w:rsidR="00B517D4" w:rsidRPr="00507A31" w:rsidRDefault="00B517D4" w:rsidP="00507A31">
      <w:pPr>
        <w:jc w:val="both"/>
        <w:rPr>
          <w:color w:val="000000" w:themeColor="text1"/>
          <w:sz w:val="16"/>
          <w:szCs w:val="16"/>
        </w:rPr>
      </w:pPr>
      <w:r w:rsidRPr="00507A31">
        <w:rPr>
          <w:color w:val="000000" w:themeColor="text1"/>
          <w:sz w:val="16"/>
          <w:szCs w:val="16"/>
        </w:rPr>
        <w:t>а) Признать необходимым немедленно предать суду контр-революционный объединенный центр, поставив на суде центральным вопросом показания вредителей о подготовке интервенции.</w:t>
      </w:r>
    </w:p>
    <w:p w14:paraId="3E7B97EB" w14:textId="77777777" w:rsidR="00B517D4" w:rsidRPr="00507A31" w:rsidRDefault="00B517D4" w:rsidP="00507A31">
      <w:pPr>
        <w:jc w:val="both"/>
        <w:rPr>
          <w:color w:val="000000" w:themeColor="text1"/>
          <w:sz w:val="16"/>
          <w:szCs w:val="16"/>
        </w:rPr>
      </w:pPr>
      <w:r w:rsidRPr="00507A31">
        <w:rPr>
          <w:color w:val="000000" w:themeColor="text1"/>
          <w:sz w:val="16"/>
          <w:szCs w:val="16"/>
        </w:rPr>
        <w:t>б) Создать комиссию в составе т.т. Литвинова, Ворошилова, Сталина, Менжинского и Крыленко для просмотра — в кратчайший срок — показаний вредителей &lt;об&gt; интервенции с целью опубликования в печати.</w:t>
      </w:r>
    </w:p>
    <w:p w14:paraId="267FF774" w14:textId="77777777" w:rsidR="00B517D4" w:rsidRPr="00507A31" w:rsidRDefault="00B517D4" w:rsidP="00507A31">
      <w:pPr>
        <w:jc w:val="both"/>
        <w:rPr>
          <w:color w:val="000000" w:themeColor="text1"/>
          <w:sz w:val="16"/>
          <w:szCs w:val="16"/>
        </w:rPr>
      </w:pPr>
      <w:r w:rsidRPr="00507A31">
        <w:rPr>
          <w:color w:val="000000" w:themeColor="text1"/>
          <w:sz w:val="16"/>
          <w:szCs w:val="16"/>
        </w:rPr>
        <w:t>Созыв комиссии за т. Литвиновым.</w:t>
      </w:r>
    </w:p>
    <w:p w14:paraId="1644D1E5" w14:textId="77777777" w:rsidR="00B517D4" w:rsidRPr="00507A31" w:rsidRDefault="00B517D4" w:rsidP="00507A31">
      <w:pPr>
        <w:jc w:val="both"/>
        <w:rPr>
          <w:color w:val="000000" w:themeColor="text1"/>
          <w:sz w:val="16"/>
          <w:szCs w:val="16"/>
        </w:rPr>
      </w:pPr>
      <w:r w:rsidRPr="00507A31">
        <w:rPr>
          <w:color w:val="000000" w:themeColor="text1"/>
          <w:sz w:val="16"/>
          <w:szCs w:val="16"/>
        </w:rPr>
        <w:t>Секретарь ЦК</w:t>
      </w:r>
    </w:p>
    <w:p w14:paraId="6934ECDF" w14:textId="77777777" w:rsidR="00B517D4" w:rsidRPr="00507A31" w:rsidRDefault="00B517D4" w:rsidP="00507A31">
      <w:pPr>
        <w:jc w:val="both"/>
        <w:rPr>
          <w:color w:val="000000" w:themeColor="text1"/>
          <w:sz w:val="16"/>
          <w:szCs w:val="16"/>
        </w:rPr>
      </w:pPr>
      <w:r w:rsidRPr="00507A31">
        <w:rPr>
          <w:color w:val="000000" w:themeColor="text1"/>
          <w:sz w:val="16"/>
          <w:szCs w:val="16"/>
        </w:rPr>
        <w:t>Д. 354. Л. 186. Машинописная выписка на бланке ЦК ВКП(б). Номер протокола «№ П13/17-с» и дата впечатаны в графы бланка. Вверху машинописью адреса рассылки: «Т.т. Менжинскому — все; Крыленко — все; Литвинову, Ворошилову, Сталину — б».</w:t>
      </w:r>
    </w:p>
    <w:p w14:paraId="2E700712" w14:textId="77777777" w:rsidR="00B517D4" w:rsidRPr="00507A31" w:rsidRDefault="00B517D4" w:rsidP="00507A31">
      <w:pPr>
        <w:jc w:val="both"/>
        <w:rPr>
          <w:color w:val="000000" w:themeColor="text1"/>
          <w:sz w:val="16"/>
          <w:szCs w:val="16"/>
        </w:rPr>
      </w:pPr>
      <w:r w:rsidRPr="00507A31">
        <w:rPr>
          <w:color w:val="000000" w:themeColor="text1"/>
          <w:sz w:val="16"/>
          <w:szCs w:val="16"/>
        </w:rPr>
        <w:t xml:space="preserve">РГАСПИ. Ф. 17. </w:t>
      </w:r>
      <w:r w:rsidRPr="00507A31">
        <w:rPr>
          <w:color w:val="000000" w:themeColor="text1"/>
          <w:sz w:val="16"/>
          <w:szCs w:val="16"/>
          <w:lang w:val="en-US"/>
        </w:rPr>
        <w:t>On</w:t>
      </w:r>
      <w:r w:rsidRPr="00507A31">
        <w:rPr>
          <w:color w:val="000000" w:themeColor="text1"/>
          <w:sz w:val="16"/>
          <w:szCs w:val="16"/>
        </w:rPr>
        <w:t>. 3. Д. 801. Л. 3. «Подписной» протокол заседаний Политбюро ЦК ВКП(б) от 25 октября 1930 г. Машинописная копия того времени, заверенная печатью ЦК ВКП(б), подпись-факсимиле И. В. Сталина. Вместо текста постановления записано «Решение — особая папка».</w:t>
      </w:r>
    </w:p>
    <w:p w14:paraId="1ACC1223" w14:textId="77777777" w:rsidR="00B517D4" w:rsidRPr="00507A31" w:rsidRDefault="00B517D4" w:rsidP="00507A31">
      <w:pPr>
        <w:jc w:val="both"/>
        <w:rPr>
          <w:color w:val="000000" w:themeColor="text1"/>
          <w:sz w:val="16"/>
          <w:szCs w:val="16"/>
        </w:rPr>
      </w:pPr>
      <w:r w:rsidRPr="00507A31">
        <w:rPr>
          <w:color w:val="000000" w:themeColor="text1"/>
          <w:sz w:val="16"/>
          <w:szCs w:val="16"/>
        </w:rPr>
        <w:t>Там же. On. 162. Д. 9. Л. 53. «Особая папка» «подписного» протокола заседания Политбюро. Машинописная копия того времени, заверенная печатью ЦК ВКП(б), подпись-факсимиле И. В. Сталина. Внизу машинописная помета о рассылке: «Выписки посланы: т. Крыленко, т. Менжинскому — все, т. Литвинову, т. Ворошилову, т. Сталину — б».</w:t>
      </w:r>
    </w:p>
    <w:p w14:paraId="21E07EF7" w14:textId="77777777" w:rsidR="00B517D4" w:rsidRPr="00507A31" w:rsidRDefault="00B517D4" w:rsidP="00507A31">
      <w:pPr>
        <w:jc w:val="both"/>
        <w:rPr>
          <w:color w:val="000000" w:themeColor="text1"/>
          <w:sz w:val="16"/>
          <w:szCs w:val="16"/>
        </w:rPr>
      </w:pPr>
      <w:r w:rsidRPr="00507A31">
        <w:rPr>
          <w:color w:val="000000" w:themeColor="text1"/>
          <w:sz w:val="16"/>
          <w:szCs w:val="16"/>
        </w:rPr>
        <w:t>Там же. On. 166. Д. 375. Л. 8. «Особая папка» протокола заседания Политбюро. Рукописный черновой подлинник на бланке протоколов Политбюро ЦК ВКП(б). Номер протокола (№ 13 пункт 17) и дата (25.Х.1930г.) вписаны от руки в графы бланка. В колонке «Слушали» ниже текста «Об использовании показаний вредителей по линии интервенции (т. Сталин)» проставлено от руки «(О.П.)». В колонке «Постановили» пункт «б)» первоначально имел формулировку: «Создать комиссию в составе т.т. Литвинова, Ворошилова, Сталина, Менжинского и Крыленко для просмотра показаний вредителей с целью использования на суде и для опубликования в печати показаний об интервенции». В ходе редактирования вписано от руки над строкой: после слов «для просмотра» — «в кратчайший срок», после слова «вредителей» — «об интервенции»; зачеркнуты слова «использования на суде» и «показаний об интервенции». В графе «Выписки т.т.» написано от руки столбцом «а) Крыленко Менжинскому б) Членам комиссии». В графе «Архив дело №» проставлено от руки «ОГПУ».</w:t>
      </w:r>
    </w:p>
    <w:p w14:paraId="3C7390B0" w14:textId="77777777" w:rsidR="00B517D4" w:rsidRPr="00507A31" w:rsidRDefault="00B517D4" w:rsidP="00507A31">
      <w:pPr>
        <w:jc w:val="both"/>
        <w:rPr>
          <w:color w:val="000000" w:themeColor="text1"/>
          <w:sz w:val="16"/>
          <w:szCs w:val="16"/>
        </w:rPr>
      </w:pPr>
      <w:r w:rsidRPr="00507A31">
        <w:rPr>
          <w:color w:val="000000" w:themeColor="text1"/>
          <w:sz w:val="16"/>
          <w:szCs w:val="16"/>
        </w:rPr>
        <w:t>Опубликовано: Лубянка. Сталин и ВЧК — ГПУ — ОГПУ — НКВД. Январь 1922 — декабрь 1936. С. 257 (18489).</w:t>
      </w:r>
    </w:p>
    <w:p w14:paraId="38828A4D" w14:textId="77777777" w:rsidR="00B517D4" w:rsidRPr="00507A31" w:rsidRDefault="00B517D4" w:rsidP="00507A31">
      <w:pPr>
        <w:jc w:val="both"/>
        <w:rPr>
          <w:color w:val="000000" w:themeColor="text1"/>
          <w:sz w:val="16"/>
          <w:szCs w:val="16"/>
        </w:rPr>
      </w:pPr>
    </w:p>
    <w:p w14:paraId="0300881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6708A5B" w14:textId="77777777" w:rsidR="00537E5F" w:rsidRPr="00507A31" w:rsidRDefault="00537E5F" w:rsidP="00507A31">
      <w:pPr>
        <w:autoSpaceDE w:val="0"/>
        <w:autoSpaceDN w:val="0"/>
        <w:adjustRightInd w:val="0"/>
        <w:jc w:val="both"/>
        <w:rPr>
          <w:iCs/>
          <w:color w:val="000000" w:themeColor="text1"/>
          <w:sz w:val="16"/>
          <w:szCs w:val="16"/>
        </w:rPr>
      </w:pPr>
    </w:p>
    <w:p w14:paraId="667895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октября 1930 в США начала работать трансконтинентальная коммерческая авиалиния между Нью Йорком и Лос Анджелосом (2273).</w:t>
      </w:r>
    </w:p>
    <w:p w14:paraId="3B1BD5C0" w14:textId="77777777" w:rsidR="00537E5F" w:rsidRPr="00507A31" w:rsidRDefault="00537E5F" w:rsidP="00507A31">
      <w:pPr>
        <w:autoSpaceDE w:val="0"/>
        <w:autoSpaceDN w:val="0"/>
        <w:adjustRightInd w:val="0"/>
        <w:jc w:val="both"/>
        <w:rPr>
          <w:color w:val="000000" w:themeColor="text1"/>
          <w:sz w:val="16"/>
          <w:szCs w:val="16"/>
        </w:rPr>
      </w:pPr>
    </w:p>
    <w:p w14:paraId="11B8384B" w14:textId="77777777" w:rsidR="005A3377" w:rsidRPr="00507A31" w:rsidRDefault="005A3377" w:rsidP="00507A31">
      <w:pPr>
        <w:jc w:val="both"/>
        <w:rPr>
          <w:color w:val="0070C0"/>
          <w:sz w:val="16"/>
          <w:szCs w:val="16"/>
        </w:rPr>
      </w:pPr>
      <w:r w:rsidRPr="00507A31">
        <w:rPr>
          <w:color w:val="0070C0"/>
          <w:sz w:val="16"/>
          <w:szCs w:val="16"/>
        </w:rPr>
        <w:t>25 октября 1930 Трансконтинентал и Western Air начинает первый пассажирский сервис от побережья до побережья в Соединенных Штатах с регулярных пассажирских рейсов между Нью - Йорк, Нью - Йорк и Лос - Анджелесе, штат Калифорния. Поездка занимает 30 часов и включает ночевку в Канзас-Сити, штат Миссури (20805).</w:t>
      </w:r>
    </w:p>
    <w:p w14:paraId="63544533" w14:textId="77777777" w:rsidR="005A3377" w:rsidRPr="00507A31" w:rsidRDefault="005A3377" w:rsidP="00507A31">
      <w:pPr>
        <w:jc w:val="both"/>
        <w:rPr>
          <w:color w:val="0070C0"/>
          <w:sz w:val="16"/>
          <w:szCs w:val="16"/>
        </w:rPr>
      </w:pPr>
    </w:p>
    <w:p w14:paraId="35E3F2E1" w14:textId="77777777" w:rsidR="007F2DE5" w:rsidRPr="00507A31" w:rsidRDefault="007F2DE5"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25 октября </w:t>
      </w:r>
      <w:r w:rsidRPr="00507A31">
        <w:rPr>
          <w:color w:val="000000" w:themeColor="text1"/>
          <w:sz w:val="16"/>
          <w:szCs w:val="16"/>
        </w:rPr>
        <w:t>в 1930 году "Нью-Йорк Таймс" сообщила об удивительном случае, произошедшем недавно на одной из автострад в Саксонии. Одновременно на дороге заглохли моторы у 40 автомашин, и, несмотря на все усилия, владельцы не могли их завести. Так же неожиданно (и тоже одновременно) через час моторы вдруг заработали (14810).</w:t>
      </w:r>
    </w:p>
    <w:p w14:paraId="04E96A33" w14:textId="77777777" w:rsidR="007F2DE5" w:rsidRPr="00507A31" w:rsidRDefault="007F2DE5" w:rsidP="00507A31">
      <w:pPr>
        <w:jc w:val="both"/>
        <w:rPr>
          <w:color w:val="000000" w:themeColor="text1"/>
          <w:sz w:val="16"/>
          <w:szCs w:val="16"/>
        </w:rPr>
      </w:pPr>
    </w:p>
    <w:p w14:paraId="099BCC7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8FEE172" w14:textId="77777777" w:rsidR="00537E5F" w:rsidRPr="00507A31" w:rsidRDefault="00537E5F" w:rsidP="00507A31">
      <w:pPr>
        <w:autoSpaceDE w:val="0"/>
        <w:autoSpaceDN w:val="0"/>
        <w:adjustRightInd w:val="0"/>
        <w:jc w:val="both"/>
        <w:rPr>
          <w:iCs/>
          <w:color w:val="000000" w:themeColor="text1"/>
          <w:sz w:val="16"/>
          <w:szCs w:val="16"/>
        </w:rPr>
      </w:pPr>
    </w:p>
    <w:p w14:paraId="251B967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октября 1930 года самолет ТБ3 после сборки был впервые выведен из ангара на НОА для пробы мотора, которая в этот день не состоялась (6925).</w:t>
      </w:r>
    </w:p>
    <w:p w14:paraId="2E6790E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62F6AB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октября 1930 года в УВВС были предъявлены предварительные соображения о выборе схемы и мотора в вариантах: двух- и одноместного самолета И-12 ЦАГИ. Предъявленным ориентировочн. Техтребованиям удовлетворяет только с мотором М29, реальность которого под сомнением. ЦАГИ дано задание проработать вариант под 2 мотора ЮVI тандем. (Наблюдающий инженер Межак) (6998).</w:t>
      </w:r>
    </w:p>
    <w:p w14:paraId="741E35D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60546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26 октября 1930 К.Е.В. прошелся карандашом и вынес резолюции по докладу ЦАГИ Наркомвоенмору и пред. РВС (1026,130).</w:t>
      </w:r>
    </w:p>
    <w:p w14:paraId="536A1B68" w14:textId="77777777" w:rsidR="00537E5F" w:rsidRPr="00507A31" w:rsidRDefault="00537E5F" w:rsidP="00507A31">
      <w:pPr>
        <w:autoSpaceDE w:val="0"/>
        <w:autoSpaceDN w:val="0"/>
        <w:adjustRightInd w:val="0"/>
        <w:jc w:val="both"/>
        <w:rPr>
          <w:color w:val="000000" w:themeColor="text1"/>
          <w:sz w:val="16"/>
          <w:szCs w:val="16"/>
        </w:rPr>
      </w:pPr>
    </w:p>
    <w:p w14:paraId="28AA3D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октября 1930 все три Р-5 в Тегеране поднялись в воздух под предлогом пробы моторов и начали крутить пилотаж над базаром, шахским дворцом и военным министерством. Делали даже петли, вообще-то для данной машины запрещенные. Лиховицкий в рапорте написал: "Все высыпали на улицу и крыши, восхищаясь самолетами, свободно и легко проделывающими фигуры".</w:t>
      </w:r>
    </w:p>
    <w:p w14:paraId="260BCD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конкурс отправили три самолета, на этот раз в комплектации разведчиков. На машинах стояли радиостанции, фотоаппараты, посадочные фары и полный комплект вооружения. Колеса и резину на них смонтировали французские. Дополнительные бензобаки отсутствовали, стойки и подкосы шасси не усиливались. Пилотами были Лозовский, Широкий и Лиховицкий (командир группы). За материальную часть отвечал инженер А.С. Метло. В Тегеран добирались "своим ходом", по воздуху. Перелет не обошелся без приключений. На подходе к Туле летчики столкнулись с густым туманом и дальше пошли по компасу. За Курском облачность уже стояла стеной. Ее попытались обойти, но безуспешно. Все закончилось вынужденной посадкой на лугу у станции Сараевка. Потом делали остановки в Харькове. Минеральных Водах и Баку. Очень труден был участок от Баку до Тегерана. Летели над облаками, ориентируясь по вершинам гор, замерзли и опять опустились вниз. Успешно выйдя к городку Ке- редж в 40 км от Тегерана, перешли на бреющий полет. Над центром иранской столицы эффектно прошли строем на высоте всего 10 м над крышами. Как сообщал советский представитель: "Офицеры, в особенности французской ориентации, стояли в недоумении в беспомощной растерянности и бессильной злобе, не веря своим собственным глазам, увидевшим большевистские красные звезды над феодальной Персией". На аэродроме Р-5 встретил советский военный атташе Маликов, командующий иранской военной авиацией майор Хосровани и "весь личный состав военного воздушного флота персармии" (в то время весьма немногочисленный).</w:t>
      </w:r>
    </w:p>
    <w:p w14:paraId="2DC8BA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Конкурентами являлись французы, представившие разведчик и легкий бомбардировщик Потэ 25А2. У них самолет был всего один, его пилотировал испытатель капитан Шаль. Нашим тоже предложили выбрать из трех машин одну. Взяли самолет Ф.С. Широкого, у которого был самый хороший двигатель.</w:t>
      </w:r>
    </w:p>
    <w:p w14:paraId="08999A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ходе испытаний Р-5 довольно проело выполнил условия, превзойдя все требования иранцев, за исключением разбега на взлете (намеряли 151 м при заданном 140 м) и времени набора высоты 5000 м (24,5 мин. вместо 23 мин.). Капитан Шаль на "потэ" в дистанцию разбега уложился, зато все остальное было гораздо хуже, чем у Широкого. При этом француз летал без вооружения с балластом 170 кг, а Р-5 - с вооружением и балластом 310 кг (правда, наши с разрешения хозяев сняли фары, генератор освещения, радиостанцию и аккумуляторы). Широкий продемонстрировал иранцам стрельбу и бомбометание.</w:t>
      </w:r>
    </w:p>
    <w:p w14:paraId="07B877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в ходе испытаний наши летчики постоянно сталкивались с поломками, связанными с небрежным изготовлением. Потекло масло из двигателя - нашли рваную прокладку, вскрыли неисправный маслонасос - обнаружили неудаленную формовочную землю. Лопнули три клапанные пружины. На самолете Широкого лопнули обе покрышки - "разули" уже стоявшую без маслонасо- са машину Лиховицкого. Еще до этого у Лозовского сняли педали и переставили Широкому вместо вышедших из строя. Посланные морем из Баку запчасти прибыли уже к самому концу испытаний.</w:t>
      </w:r>
    </w:p>
    <w:p w14:paraId="4AD54C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середине ноября провели перелет Тегеран - Шираз. На местах наблюдателей в обоих самолетах, советском и французском, сидели иранские офицеры. Наши вне зачета выпустили и вторую машину. Лиховицкий фактически шел лидером у менее опытного в навигации Широкого.</w:t>
      </w:r>
    </w:p>
    <w:p w14:paraId="73E193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24 ноября майор Хосровани объявил о завершении программы. В пользу Р-5 говорили летные данные, простота ремонта и пилотирования, отмеченные иранцами. Некоторое опасение вызывало применение бензин-бензольной смеси, которой в Иране не имелось (на испытания привезли из СССР). Свои симпатии имелись и у членов комиссии: половина их училась летному делу во Франции. </w:t>
      </w:r>
    </w:p>
    <w:p w14:paraId="2FEE99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половина - в России. К общему решению они не пришли и решили объявить весной 1931 г. второй тур конкурса, на который пригласили также англичан, итальянцев и чехов (12034).</w:t>
      </w:r>
    </w:p>
    <w:p w14:paraId="6F81A31F" w14:textId="77777777" w:rsidR="00537E5F" w:rsidRPr="00507A31" w:rsidRDefault="00537E5F" w:rsidP="00507A31">
      <w:pPr>
        <w:autoSpaceDE w:val="0"/>
        <w:autoSpaceDN w:val="0"/>
        <w:adjustRightInd w:val="0"/>
        <w:jc w:val="both"/>
        <w:rPr>
          <w:color w:val="000000" w:themeColor="text1"/>
          <w:sz w:val="16"/>
          <w:szCs w:val="16"/>
        </w:rPr>
      </w:pPr>
    </w:p>
    <w:p w14:paraId="5B5BCE0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BFACC02" w14:textId="77777777" w:rsidR="00537E5F" w:rsidRPr="00507A31" w:rsidRDefault="00537E5F" w:rsidP="00507A31">
      <w:pPr>
        <w:autoSpaceDE w:val="0"/>
        <w:autoSpaceDN w:val="0"/>
        <w:adjustRightInd w:val="0"/>
        <w:jc w:val="both"/>
        <w:rPr>
          <w:iCs/>
          <w:color w:val="000000" w:themeColor="text1"/>
          <w:sz w:val="16"/>
          <w:szCs w:val="16"/>
        </w:rPr>
      </w:pPr>
    </w:p>
    <w:p w14:paraId="2D5675A2" w14:textId="77777777" w:rsidR="00003ADA" w:rsidRPr="00507A31" w:rsidRDefault="00003ADA" w:rsidP="00507A31">
      <w:pPr>
        <w:shd w:val="clear" w:color="auto" w:fill="FFFFFF"/>
        <w:jc w:val="both"/>
        <w:rPr>
          <w:color w:val="0070C0"/>
          <w:sz w:val="16"/>
          <w:szCs w:val="16"/>
        </w:rPr>
      </w:pPr>
      <w:r w:rsidRPr="00507A31">
        <w:rPr>
          <w:color w:val="0070C0"/>
          <w:sz w:val="16"/>
          <w:szCs w:val="16"/>
        </w:rPr>
        <w:t>26 октября 1930 г. состоялось заседание РЗ СТО</w:t>
      </w:r>
    </w:p>
    <w:p w14:paraId="68EBA3DD" w14:textId="77777777" w:rsidR="00003ADA" w:rsidRPr="00507A31" w:rsidRDefault="00003ADA" w:rsidP="00507A31">
      <w:pPr>
        <w:shd w:val="clear" w:color="auto" w:fill="FFFFFF"/>
        <w:jc w:val="both"/>
        <w:rPr>
          <w:color w:val="0070C0"/>
          <w:sz w:val="16"/>
          <w:szCs w:val="16"/>
        </w:rPr>
      </w:pPr>
      <w:r w:rsidRPr="00507A31">
        <w:rPr>
          <w:color w:val="0070C0"/>
          <w:sz w:val="16"/>
          <w:szCs w:val="16"/>
        </w:rPr>
        <w:t>Протокол № 59 от 26 октября 1930 г.:</w:t>
      </w:r>
    </w:p>
    <w:p w14:paraId="32FA3139" w14:textId="77777777" w:rsidR="00003ADA" w:rsidRPr="00507A31" w:rsidRDefault="00003ADA" w:rsidP="00507A31">
      <w:pPr>
        <w:shd w:val="clear" w:color="auto" w:fill="FFFFFF"/>
        <w:jc w:val="both"/>
        <w:rPr>
          <w:color w:val="0070C0"/>
          <w:sz w:val="16"/>
          <w:szCs w:val="16"/>
        </w:rPr>
      </w:pPr>
      <w:r w:rsidRPr="00507A31">
        <w:rPr>
          <w:color w:val="0070C0"/>
          <w:sz w:val="16"/>
          <w:szCs w:val="16"/>
        </w:rPr>
        <w:t>О мобилизационной подготовке промышленности (постановление РЗ СТО от 26.10.1930 г. к протоколу РЗ СТО № 59 от 26.10.1930 г. по п. 1).</w:t>
      </w:r>
    </w:p>
    <w:p w14:paraId="433F2CAD" w14:textId="77777777" w:rsidR="00003ADA" w:rsidRPr="00507A31" w:rsidRDefault="00003ADA" w:rsidP="00507A31">
      <w:pPr>
        <w:shd w:val="clear" w:color="auto" w:fill="FFFFFF"/>
        <w:jc w:val="both"/>
        <w:rPr>
          <w:color w:val="0070C0"/>
          <w:sz w:val="16"/>
          <w:szCs w:val="16"/>
        </w:rPr>
      </w:pPr>
      <w:r w:rsidRPr="00507A31">
        <w:rPr>
          <w:color w:val="0070C0"/>
          <w:sz w:val="16"/>
          <w:szCs w:val="16"/>
        </w:rPr>
        <w:t>…О назначении секретарем Распорядительных Заседаний Совета Труда и Обороны тов.Куйбышева Н.В. (постановление РЗ СТО от 24.10.1930 г. к протоколу РЗ СТО № 59 от 26.10.1930 г. по п. 7).</w:t>
      </w:r>
    </w:p>
    <w:p w14:paraId="69A1C1EF" w14:textId="77777777" w:rsidR="00003ADA" w:rsidRPr="00507A31" w:rsidRDefault="00003ADA" w:rsidP="00507A31">
      <w:pPr>
        <w:shd w:val="clear" w:color="auto" w:fill="FFFFFF"/>
        <w:jc w:val="both"/>
        <w:rPr>
          <w:color w:val="0070C0"/>
          <w:sz w:val="16"/>
          <w:szCs w:val="16"/>
        </w:rPr>
      </w:pPr>
      <w:r w:rsidRPr="00507A31">
        <w:rPr>
          <w:color w:val="0070C0"/>
          <w:sz w:val="16"/>
          <w:szCs w:val="16"/>
        </w:rPr>
        <w:t>Об отпуске из резервного фонда Валютной комиссии на особый квартал 1930 г. инвалюты 612 тыс. руб. для закупки техснабжения Авиаобъединению (постановление РЗ СТО от 26.10.1930 г. к протоколу РЗ СТО № 59 от 26.10.1930 г. по п. 8);.Об освобождении т.Хинчука от обязанностей председателя Комиссии для руководства переговорами по продаже продукции военной промышленности в страны Востока и о назначении председателем комиссии т.Розенгольца; - (постановление РЗ СТО от 26.10.1930 г. к протоколу РЗ СТО № 59 от 26.10.1930 г. по п. 9) (21566).</w:t>
      </w:r>
    </w:p>
    <w:p w14:paraId="7D99ECE6" w14:textId="77777777" w:rsidR="00003ADA" w:rsidRPr="00507A31" w:rsidRDefault="00003ADA" w:rsidP="00507A31">
      <w:pPr>
        <w:jc w:val="both"/>
        <w:rPr>
          <w:color w:val="0070C0"/>
          <w:sz w:val="16"/>
          <w:szCs w:val="16"/>
        </w:rPr>
      </w:pPr>
    </w:p>
    <w:p w14:paraId="0F716C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 октября 1930 г. вышло РАСПОРЯЖЕНИЕ НАЧАЛЬНИКА УММ ДИРЕКТОРУ ИЖОРСКОГО ЗАВОДА ПО БРОНИРОВАНИЮ ТАНКА Т-24</w:t>
      </w:r>
    </w:p>
    <w:p w14:paraId="0D4EDE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25C32E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Результаты обстрела брони для первых пяти корпусов Т-24 не дают достаточно данных для уточ</w:t>
      </w:r>
      <w:r w:rsidRPr="00507A31">
        <w:rPr>
          <w:color w:val="000000" w:themeColor="text1"/>
          <w:sz w:val="16"/>
          <w:szCs w:val="16"/>
        </w:rPr>
        <w:softHyphen/>
        <w:t>нения требований по приемо-сдаточным испытаниям брони, так как не содержат ни цены плит, вы</w:t>
      </w:r>
      <w:r w:rsidRPr="00507A31">
        <w:rPr>
          <w:color w:val="000000" w:themeColor="text1"/>
          <w:sz w:val="16"/>
          <w:szCs w:val="16"/>
        </w:rPr>
        <w:softHyphen/>
        <w:t>раженной в наибольшей скорости при ударе, при которой получаются только кондиционные дефор</w:t>
      </w:r>
      <w:r w:rsidRPr="00507A31">
        <w:rPr>
          <w:color w:val="000000" w:themeColor="text1"/>
          <w:sz w:val="16"/>
          <w:szCs w:val="16"/>
        </w:rPr>
        <w:softHyphen/>
        <w:t>мации тыльной стороны листа, ни указаний на результаты испытаний пулей Кутового согласно ТУ.</w:t>
      </w:r>
    </w:p>
    <w:p w14:paraId="4BE684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Тем не менее, уже полученные результаты указывают на необеспеченность при исполнении ГИЗ требований ТУ, при скорости удара в 400 м/сек.</w:t>
      </w:r>
    </w:p>
    <w:p w14:paraId="657F88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характеру полученных поражений, учитывая такие данные других испытаний, можно рас</w:t>
      </w:r>
      <w:r w:rsidRPr="00507A31">
        <w:rPr>
          <w:color w:val="000000" w:themeColor="text1"/>
          <w:sz w:val="16"/>
          <w:szCs w:val="16"/>
        </w:rPr>
        <w:softHyphen/>
        <w:t>считывать на получение кондиционных попаданий лишь при скорости удара для снаряда весом 0,5±2% кг около 350±2% м/с.</w:t>
      </w:r>
    </w:p>
    <w:p w14:paraId="689BCD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Последнюю скорость следует принять для последующих испытаний 30 мм брони, изменяя ее лишь в соответствии с весом снаряда согласно зависимости Жакоб-де-Марра.</w:t>
      </w:r>
    </w:p>
    <w:p w14:paraId="3C1673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Окончательное уточнение требований ТУ будет произведено по обработке результатов испыта</w:t>
      </w:r>
      <w:r w:rsidRPr="00507A31">
        <w:rPr>
          <w:color w:val="000000" w:themeColor="text1"/>
          <w:sz w:val="16"/>
          <w:szCs w:val="16"/>
        </w:rPr>
        <w:softHyphen/>
        <w:t>ний брони на эти корпуса.</w:t>
      </w:r>
    </w:p>
    <w:p w14:paraId="446AC6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Требования на пули Кутового остаются без изменения.</w:t>
      </w:r>
    </w:p>
    <w:p w14:paraId="4F5E85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Обращается Ваше внимание на необходимость исполнения требований ТУ к заклепочному мате</w:t>
      </w:r>
      <w:r w:rsidRPr="00507A31">
        <w:rPr>
          <w:color w:val="000000" w:themeColor="text1"/>
          <w:sz w:val="16"/>
          <w:szCs w:val="16"/>
        </w:rPr>
        <w:softHyphen/>
        <w:t>риалу, в отношении марки стали при изготовлении всех идущих в производстве броневых корпусов.</w:t>
      </w:r>
    </w:p>
    <w:p w14:paraId="782B04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отсутствии на рынке медной уплотняющей сетки, удостоверенному военным представите</w:t>
      </w:r>
      <w:r w:rsidRPr="00507A31">
        <w:rPr>
          <w:color w:val="000000" w:themeColor="text1"/>
          <w:sz w:val="16"/>
          <w:szCs w:val="16"/>
        </w:rPr>
        <w:softHyphen/>
        <w:t>лем УММ на заводе разрешается на первые 15 машин применение сборки водонепроницаемой части корпуса на холщевой прокладке.</w:t>
      </w:r>
    </w:p>
    <w:p w14:paraId="2568CA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Уплотнение выполнить на высоту до 800 мм от днища.</w:t>
      </w:r>
    </w:p>
    <w:p w14:paraId="4033E2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Ввиду наличия в выполненных заводом чертежах башен Т-24 уклонений от номинала в толщине го</w:t>
      </w:r>
      <w:r w:rsidRPr="00507A31">
        <w:rPr>
          <w:color w:val="000000" w:themeColor="text1"/>
          <w:sz w:val="16"/>
          <w:szCs w:val="16"/>
        </w:rPr>
        <w:softHyphen/>
        <w:t>ризонтальной брони от 8,5 мм, требующиеся по ТУ, проверить все чертежи и исправить на указанный размер, поставив одновременно везде на рабочих чертежах марку стали, аналогично чертежам на Т-18.</w:t>
      </w:r>
    </w:p>
    <w:p w14:paraId="218732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окончании сборки первого корпуса и башен выслать в УММ проверенные работой чертежи со всеми внесенными изменениями как в части чертежей, исполненных ГХПЗ, так и ГИЗ.</w:t>
      </w:r>
    </w:p>
    <w:p w14:paraId="5AAF45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Указания по изменению конструкции даны отдельным отношением.</w:t>
      </w:r>
    </w:p>
    <w:p w14:paraId="110649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начальника УММ РККА Бокис</w:t>
      </w:r>
    </w:p>
    <w:p w14:paraId="3934E5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НТК УММ РККА Лебедев</w:t>
      </w:r>
    </w:p>
    <w:p w14:paraId="3D423F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2. Д. 339. Л. 155. Копия (11210).</w:t>
      </w:r>
    </w:p>
    <w:p w14:paraId="318B70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D7593D1" w14:textId="77777777" w:rsidR="00373CA1" w:rsidRPr="00507A31" w:rsidRDefault="00373CA1" w:rsidP="00507A31">
      <w:pPr>
        <w:pStyle w:val="rtejustify"/>
        <w:spacing w:before="0" w:after="0"/>
        <w:rPr>
          <w:color w:val="000000" w:themeColor="text1"/>
          <w:sz w:val="16"/>
          <w:szCs w:val="16"/>
        </w:rPr>
      </w:pPr>
      <w:r w:rsidRPr="00507A31">
        <w:rPr>
          <w:rStyle w:val="af0"/>
          <w:i w:val="0"/>
          <w:color w:val="000000" w:themeColor="text1"/>
          <w:sz w:val="16"/>
          <w:szCs w:val="16"/>
        </w:rPr>
        <w:t xml:space="preserve">26 октября 1930 г. Протокол Реввоенсовета № 24. </w:t>
      </w:r>
      <w:r w:rsidRPr="00507A31">
        <w:rPr>
          <w:color w:val="000000" w:themeColor="text1"/>
          <w:sz w:val="16"/>
          <w:szCs w:val="16"/>
        </w:rPr>
        <w:t>2. Контрольные цифры бюджета НКВМ на 1931 г. и план заказов. (Хрулев, Шапошников). (РГВА. Ф. 4. Оп. 18. Д. 19. Л. 404</w:t>
      </w:r>
      <w:r w:rsidRPr="00507A31">
        <w:rPr>
          <w:color w:val="000000" w:themeColor="text1"/>
          <w:sz w:val="16"/>
          <w:szCs w:val="16"/>
        </w:rPr>
        <w:noBreakHyphen/>
        <w:t>405) (12342).</w:t>
      </w:r>
    </w:p>
    <w:p w14:paraId="32B4A858" w14:textId="77777777" w:rsidR="00373CA1" w:rsidRPr="00507A31" w:rsidRDefault="00373CA1" w:rsidP="00507A31">
      <w:pPr>
        <w:pStyle w:val="rtejustify"/>
        <w:spacing w:before="0" w:after="0"/>
        <w:rPr>
          <w:color w:val="000000" w:themeColor="text1"/>
          <w:sz w:val="16"/>
          <w:szCs w:val="16"/>
        </w:rPr>
      </w:pPr>
    </w:p>
    <w:p w14:paraId="57AB15A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9699D46" w14:textId="77777777" w:rsidR="00537E5F" w:rsidRPr="00507A31" w:rsidRDefault="00537E5F" w:rsidP="00507A31">
      <w:pPr>
        <w:autoSpaceDE w:val="0"/>
        <w:autoSpaceDN w:val="0"/>
        <w:adjustRightInd w:val="0"/>
        <w:jc w:val="both"/>
        <w:rPr>
          <w:iCs/>
          <w:color w:val="000000" w:themeColor="text1"/>
          <w:sz w:val="16"/>
          <w:szCs w:val="16"/>
        </w:rPr>
      </w:pPr>
    </w:p>
    <w:p w14:paraId="43C373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октября 1930 в Бразилии была установлена диктатура Ж.Варгаса (2443,406).</w:t>
      </w:r>
    </w:p>
    <w:p w14:paraId="3C3F46FC" w14:textId="77777777" w:rsidR="00537E5F" w:rsidRPr="00507A31" w:rsidRDefault="00537E5F" w:rsidP="00507A31">
      <w:pPr>
        <w:autoSpaceDE w:val="0"/>
        <w:autoSpaceDN w:val="0"/>
        <w:adjustRightInd w:val="0"/>
        <w:jc w:val="both"/>
        <w:rPr>
          <w:color w:val="000000" w:themeColor="text1"/>
          <w:sz w:val="16"/>
          <w:szCs w:val="16"/>
        </w:rPr>
      </w:pPr>
    </w:p>
    <w:p w14:paraId="6293098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DE0C9DF" w14:textId="77777777" w:rsidR="00537E5F" w:rsidRPr="00507A31" w:rsidRDefault="00537E5F" w:rsidP="00507A31">
      <w:pPr>
        <w:autoSpaceDE w:val="0"/>
        <w:autoSpaceDN w:val="0"/>
        <w:adjustRightInd w:val="0"/>
        <w:jc w:val="both"/>
        <w:rPr>
          <w:iCs/>
          <w:color w:val="000000" w:themeColor="text1"/>
          <w:sz w:val="16"/>
          <w:szCs w:val="16"/>
        </w:rPr>
      </w:pPr>
    </w:p>
    <w:p w14:paraId="73AD3D5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27-31 октября 1930 года производилась проба моторов на ТБ3 на НОА (6925).</w:t>
      </w:r>
    </w:p>
    <w:p w14:paraId="5816F777"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7DB87A0" w14:textId="77777777" w:rsidR="005F121A" w:rsidRPr="00507A31" w:rsidRDefault="005F121A"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BEEEC13" w14:textId="77777777" w:rsidR="005F121A" w:rsidRPr="00507A31" w:rsidRDefault="005F121A" w:rsidP="00507A31">
      <w:pPr>
        <w:autoSpaceDE w:val="0"/>
        <w:autoSpaceDN w:val="0"/>
        <w:adjustRightInd w:val="0"/>
        <w:jc w:val="both"/>
        <w:rPr>
          <w:iCs/>
          <w:color w:val="000000" w:themeColor="text1"/>
          <w:sz w:val="16"/>
          <w:szCs w:val="16"/>
        </w:rPr>
      </w:pPr>
    </w:p>
    <w:p w14:paraId="403EC1E1" w14:textId="77777777" w:rsidR="005F121A" w:rsidRPr="00507A31" w:rsidRDefault="005F121A" w:rsidP="00507A31">
      <w:pPr>
        <w:shd w:val="clear" w:color="auto" w:fill="FFFFFF"/>
        <w:jc w:val="both"/>
        <w:rPr>
          <w:color w:val="0070C0"/>
          <w:sz w:val="16"/>
          <w:szCs w:val="16"/>
        </w:rPr>
      </w:pPr>
      <w:r w:rsidRPr="00507A31">
        <w:rPr>
          <w:color w:val="0070C0"/>
          <w:sz w:val="16"/>
          <w:szCs w:val="16"/>
        </w:rPr>
        <w:lastRenderedPageBreak/>
        <w:t>27 октября 1930, почти на месяц позже установленного срока собрали первый корпус Т-20. Что еще хуже, первый пробег Т-20 с мотором Т-18 выявил массу проблем с ходовой частью. Пробег, состоявшийся 17 ноября, выявил большие проблемы с поддерживающими катками. 27 ноября на завод прибыл конструктор с ГКБ ОАТ. После устранения проблемы танк пошел во второй пробег, он состоялся 10 декабря.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42A09ADF" w14:textId="77777777" w:rsidR="005F121A" w:rsidRPr="00507A31" w:rsidRDefault="005F121A" w:rsidP="00507A31">
      <w:pPr>
        <w:jc w:val="both"/>
        <w:rPr>
          <w:color w:val="0070C0"/>
          <w:sz w:val="16"/>
          <w:szCs w:val="16"/>
        </w:rPr>
      </w:pPr>
    </w:p>
    <w:p w14:paraId="04206760" w14:textId="77777777" w:rsidR="00DC212A" w:rsidRPr="00507A31" w:rsidRDefault="00DC212A"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A2A8ADD" w14:textId="77777777" w:rsidR="00DC212A" w:rsidRPr="00507A31" w:rsidRDefault="00DC212A" w:rsidP="00507A31">
      <w:pPr>
        <w:shd w:val="clear" w:color="auto" w:fill="FFFFFF"/>
        <w:autoSpaceDE w:val="0"/>
        <w:autoSpaceDN w:val="0"/>
        <w:adjustRightInd w:val="0"/>
        <w:jc w:val="both"/>
        <w:rPr>
          <w:iCs/>
          <w:color w:val="000000" w:themeColor="text1"/>
          <w:sz w:val="16"/>
          <w:szCs w:val="16"/>
        </w:rPr>
      </w:pPr>
    </w:p>
    <w:p w14:paraId="7D1E3AF0" w14:textId="77777777" w:rsidR="00DC212A" w:rsidRPr="00507A31" w:rsidRDefault="00DC212A" w:rsidP="00507A31">
      <w:pPr>
        <w:jc w:val="both"/>
        <w:rPr>
          <w:bCs/>
          <w:color w:val="000000" w:themeColor="text1"/>
          <w:sz w:val="16"/>
          <w:szCs w:val="16"/>
        </w:rPr>
      </w:pPr>
      <w:r w:rsidRPr="00507A31">
        <w:rPr>
          <w:color w:val="000000" w:themeColor="text1"/>
          <w:sz w:val="16"/>
          <w:szCs w:val="16"/>
        </w:rPr>
        <w:t>27 октября 1930 г.</w:t>
      </w:r>
    </w:p>
    <w:p w14:paraId="0BC816A8" w14:textId="77777777" w:rsidR="00DC212A" w:rsidRPr="00507A31" w:rsidRDefault="00DC212A" w:rsidP="00507A31">
      <w:pPr>
        <w:jc w:val="both"/>
        <w:rPr>
          <w:bCs/>
          <w:color w:val="000000" w:themeColor="text1"/>
          <w:sz w:val="16"/>
          <w:szCs w:val="16"/>
        </w:rPr>
      </w:pPr>
      <w:r w:rsidRPr="00507A31">
        <w:rPr>
          <w:color w:val="000000" w:themeColor="text1"/>
          <w:sz w:val="16"/>
          <w:szCs w:val="16"/>
        </w:rPr>
        <w:t>«Протокол экстренного заседания Центрального Бюро ВАРНИТСО» в связи с предстоящим процессом «Промпартии». 27 октября 1930 г.</w:t>
      </w:r>
    </w:p>
    <w:p w14:paraId="1619DC1D" w14:textId="77777777" w:rsidR="00DC212A" w:rsidRPr="00507A31" w:rsidRDefault="00DC212A" w:rsidP="00507A31">
      <w:pPr>
        <w:jc w:val="both"/>
        <w:rPr>
          <w:bCs/>
          <w:color w:val="000000" w:themeColor="text1"/>
          <w:sz w:val="16"/>
          <w:szCs w:val="16"/>
        </w:rPr>
      </w:pPr>
      <w:r w:rsidRPr="00507A31">
        <w:rPr>
          <w:bCs/>
          <w:color w:val="000000" w:themeColor="text1"/>
          <w:sz w:val="16"/>
          <w:szCs w:val="16"/>
        </w:rPr>
        <w:t>Источник: </w:t>
      </w:r>
    </w:p>
    <w:p w14:paraId="791DF709" w14:textId="77777777" w:rsidR="00DC212A" w:rsidRPr="00507A31" w:rsidRDefault="00DC212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D9AFE72" w14:textId="77777777" w:rsidR="00DC212A" w:rsidRPr="00507A31" w:rsidRDefault="00DC212A" w:rsidP="00507A31">
      <w:pPr>
        <w:pStyle w:val="rteright"/>
        <w:spacing w:before="0" w:after="0"/>
        <w:jc w:val="both"/>
        <w:rPr>
          <w:color w:val="000000" w:themeColor="text1"/>
          <w:sz w:val="16"/>
          <w:szCs w:val="16"/>
        </w:rPr>
      </w:pPr>
      <w:r w:rsidRPr="00507A31">
        <w:rPr>
          <w:color w:val="000000" w:themeColor="text1"/>
          <w:sz w:val="16"/>
          <w:szCs w:val="16"/>
        </w:rPr>
        <w:t>27 октября 1930 г.</w:t>
      </w:r>
    </w:p>
    <w:p w14:paraId="0E201DBB" w14:textId="77777777" w:rsidR="00DC212A" w:rsidRPr="00507A31" w:rsidRDefault="00DC212A" w:rsidP="00507A31">
      <w:pPr>
        <w:pStyle w:val="ae"/>
        <w:spacing w:before="0" w:after="0"/>
        <w:jc w:val="both"/>
        <w:rPr>
          <w:color w:val="000000" w:themeColor="text1"/>
          <w:sz w:val="16"/>
          <w:szCs w:val="16"/>
        </w:rPr>
      </w:pPr>
      <w:r w:rsidRPr="00507A31">
        <w:rPr>
          <w:color w:val="000000" w:themeColor="text1"/>
          <w:sz w:val="16"/>
          <w:szCs w:val="16"/>
        </w:rPr>
        <w:t>Протокол № 76/19</w:t>
      </w:r>
    </w:p>
    <w:p w14:paraId="012138E6" w14:textId="77777777" w:rsidR="00DC212A" w:rsidRPr="00507A31" w:rsidRDefault="00DC212A" w:rsidP="00507A31">
      <w:pPr>
        <w:pStyle w:val="ae"/>
        <w:spacing w:before="0" w:after="0"/>
        <w:jc w:val="both"/>
        <w:rPr>
          <w:color w:val="000000" w:themeColor="text1"/>
          <w:sz w:val="16"/>
          <w:szCs w:val="16"/>
        </w:rPr>
      </w:pPr>
      <w:r w:rsidRPr="00507A31">
        <w:rPr>
          <w:color w:val="000000" w:themeColor="text1"/>
          <w:sz w:val="16"/>
          <w:szCs w:val="16"/>
        </w:rPr>
        <w:t>Экстренного Заседания Центрального Бюро ВАРНИТСО</w:t>
      </w:r>
    </w:p>
    <w:p w14:paraId="7290783D" w14:textId="77777777" w:rsidR="00DC212A" w:rsidRPr="00507A31" w:rsidRDefault="00DC212A" w:rsidP="00507A31">
      <w:pPr>
        <w:pStyle w:val="ae"/>
        <w:spacing w:before="0" w:after="0"/>
        <w:jc w:val="both"/>
        <w:rPr>
          <w:color w:val="000000" w:themeColor="text1"/>
          <w:sz w:val="16"/>
          <w:szCs w:val="16"/>
        </w:rPr>
      </w:pPr>
      <w:r w:rsidRPr="00507A31">
        <w:rPr>
          <w:color w:val="000000" w:themeColor="text1"/>
          <w:sz w:val="16"/>
          <w:szCs w:val="16"/>
        </w:rPr>
        <w:t>от 27/Х-30 г.</w:t>
      </w:r>
    </w:p>
    <w:p w14:paraId="2B61AE34" w14:textId="77777777" w:rsidR="00DC212A" w:rsidRPr="00507A31" w:rsidRDefault="00DC212A" w:rsidP="00507A31">
      <w:pPr>
        <w:jc w:val="both"/>
        <w:rPr>
          <w:color w:val="000000" w:themeColor="text1"/>
          <w:sz w:val="16"/>
          <w:szCs w:val="16"/>
        </w:rPr>
      </w:pPr>
      <w:r w:rsidRPr="00507A31">
        <w:rPr>
          <w:color w:val="000000" w:themeColor="text1"/>
          <w:sz w:val="16"/>
          <w:szCs w:val="16"/>
        </w:rPr>
        <w:t>Присутствовали: т.т. БАХ, СВЕРДЛОВ, ПОЗНЕР, ЗБАРСКИЙ, ОПАРИН, ЗАВАДОВСКИЙ Б. М., ШНЕЕРСОН, СЕПП, РОЗЕНОЕР.</w:t>
      </w:r>
    </w:p>
    <w:p w14:paraId="5D64D170" w14:textId="77777777" w:rsidR="00DC212A" w:rsidRPr="00507A31" w:rsidRDefault="00DC212A" w:rsidP="00507A31">
      <w:pPr>
        <w:jc w:val="both"/>
        <w:rPr>
          <w:color w:val="000000" w:themeColor="text1"/>
          <w:sz w:val="16"/>
          <w:szCs w:val="16"/>
        </w:rPr>
      </w:pPr>
      <w:r w:rsidRPr="00507A31">
        <w:rPr>
          <w:color w:val="000000" w:themeColor="text1"/>
          <w:sz w:val="16"/>
          <w:szCs w:val="16"/>
        </w:rPr>
        <w:t>Председатель — А. Н. БАХ Секретарь — Б. Б. Ульянская</w:t>
      </w:r>
    </w:p>
    <w:tbl>
      <w:tblPr>
        <w:tblpPr w:leftFromText="45" w:rightFromText="45" w:vertAnchor="text"/>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27"/>
        <w:gridCol w:w="6695"/>
      </w:tblGrid>
      <w:tr w:rsidR="00E371BA" w:rsidRPr="00507A31" w14:paraId="6731C02F"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7FC399A3" w14:textId="77777777" w:rsidR="00DC212A" w:rsidRPr="00507A31" w:rsidRDefault="00DC212A" w:rsidP="00507A31">
            <w:pPr>
              <w:pStyle w:val="ae"/>
              <w:spacing w:before="0" w:after="0"/>
              <w:jc w:val="both"/>
              <w:rPr>
                <w:color w:val="000000" w:themeColor="text1"/>
                <w:sz w:val="16"/>
                <w:szCs w:val="16"/>
              </w:rPr>
            </w:pPr>
            <w:r w:rsidRPr="00507A31">
              <w:rPr>
                <w:color w:val="000000" w:themeColor="text1"/>
                <w:sz w:val="16"/>
                <w:szCs w:val="16"/>
              </w:rPr>
              <w:t>Слушали: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A0E42" w14:textId="77777777" w:rsidR="00DC212A" w:rsidRPr="00507A31" w:rsidRDefault="00DC212A" w:rsidP="00507A31">
            <w:pPr>
              <w:pStyle w:val="ae"/>
              <w:spacing w:before="0" w:after="0"/>
              <w:jc w:val="both"/>
              <w:rPr>
                <w:color w:val="000000" w:themeColor="text1"/>
                <w:sz w:val="16"/>
                <w:szCs w:val="16"/>
              </w:rPr>
            </w:pPr>
            <w:r w:rsidRPr="00507A31">
              <w:rPr>
                <w:color w:val="000000" w:themeColor="text1"/>
                <w:sz w:val="16"/>
                <w:szCs w:val="16"/>
              </w:rPr>
              <w:t>Постановили:</w:t>
            </w:r>
          </w:p>
        </w:tc>
      </w:tr>
      <w:tr w:rsidR="00E371BA" w:rsidRPr="00507A31" w14:paraId="48CA91A2"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7AA6AC7A" w14:textId="77777777" w:rsidR="00DC212A" w:rsidRPr="00507A31" w:rsidRDefault="00DC212A" w:rsidP="00507A31">
            <w:pPr>
              <w:pStyle w:val="ae"/>
              <w:spacing w:before="0" w:after="0"/>
              <w:jc w:val="both"/>
              <w:rPr>
                <w:color w:val="000000" w:themeColor="text1"/>
                <w:sz w:val="16"/>
                <w:szCs w:val="16"/>
              </w:rPr>
            </w:pPr>
            <w:r w:rsidRPr="00507A31">
              <w:rPr>
                <w:color w:val="000000" w:themeColor="text1"/>
                <w:sz w:val="16"/>
                <w:szCs w:val="16"/>
              </w:rPr>
              <w:t>Сообщение о раскрытии контрреволюционной организации, действовавшей подпольно под названием «промышленной партии», и о передаче дела в Верховный Суд.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3C99E" w14:textId="77777777" w:rsidR="00DC212A" w:rsidRPr="00507A31" w:rsidRDefault="00DC212A" w:rsidP="00507A31">
            <w:pPr>
              <w:pStyle w:val="ae"/>
              <w:spacing w:before="0" w:after="0"/>
              <w:jc w:val="both"/>
              <w:rPr>
                <w:color w:val="000000" w:themeColor="text1"/>
                <w:sz w:val="16"/>
                <w:szCs w:val="16"/>
              </w:rPr>
            </w:pPr>
            <w:r w:rsidRPr="00507A31">
              <w:rPr>
                <w:color w:val="000000" w:themeColor="text1"/>
                <w:sz w:val="16"/>
                <w:szCs w:val="16"/>
              </w:rPr>
              <w:t>1. Развернутое социалистическое наступление, обострение классовой борьбы вызвало яростное сопротивление со стороны классовых врагов Советской Власти — международной буржуазии и кулачества и его агентов — верхушечной части буржуазной интеллигенции.</w:t>
            </w:r>
          </w:p>
        </w:tc>
      </w:tr>
    </w:tbl>
    <w:p w14:paraId="1E41C886" w14:textId="77777777" w:rsidR="00DC212A" w:rsidRPr="00507A31" w:rsidRDefault="00DC212A" w:rsidP="00507A31">
      <w:pPr>
        <w:jc w:val="both"/>
        <w:rPr>
          <w:color w:val="000000" w:themeColor="text1"/>
          <w:sz w:val="16"/>
          <w:szCs w:val="16"/>
        </w:rPr>
      </w:pPr>
      <w:r w:rsidRPr="00507A31">
        <w:rPr>
          <w:color w:val="000000" w:themeColor="text1"/>
          <w:sz w:val="16"/>
          <w:szCs w:val="16"/>
        </w:rPr>
        <w:t>ВАРНИТСО ставит своей задачей решительную борьбу с классовыми врагами Советской Власти, с вредительством, правыми реакционными антисоветскими элементами, со всей решительностью разоблачая их враждебные действия в отношении социалистического строительства, ведя работу по классовому расслоению среди интеллигенции, всеми методами и способами разоблачая вред нейтральности и аполитичности, являющейся на настоящем историческом этапе объективным вредительством.</w:t>
      </w:r>
    </w:p>
    <w:p w14:paraId="5CB679E5" w14:textId="77777777" w:rsidR="00DC212A" w:rsidRPr="00507A31" w:rsidRDefault="00DC212A" w:rsidP="00507A31">
      <w:pPr>
        <w:pStyle w:val="rtejustify"/>
        <w:spacing w:before="0" w:after="0"/>
        <w:rPr>
          <w:color w:val="000000" w:themeColor="text1"/>
          <w:sz w:val="16"/>
          <w:szCs w:val="16"/>
        </w:rPr>
      </w:pPr>
      <w:r w:rsidRPr="00507A31">
        <w:rPr>
          <w:color w:val="000000" w:themeColor="text1"/>
          <w:sz w:val="16"/>
          <w:szCs w:val="16"/>
        </w:rPr>
        <w:t>Центральное Бюро ВАРНИТСО считает необходимым выступить в качестве общественного обвинителя этих продавшихся международной буржуазии врагов рабочего класса с тем, чтобы не только заклеймить позором это величайшее предательство в период напряжения всех сил рабочего класса за выполнение пятилетки в четыре года, — но и, вместе с тем, показать всей честно работающей советской трудовой интеллигенции, что вместе с рабочим классом под руководством ВКП(б) идут широкие массы революционной интеллигенции, что ряды искренне преданных Октябрьской Революции пламенных энтузиастов строительства социализма все более и более будут расширяться и что только в условиях советской социалистической системы хозяйства открывается реальная возможность для широкой творческой работы научно-технической интеллигенции.</w:t>
      </w:r>
    </w:p>
    <w:p w14:paraId="5F6F2F64" w14:textId="77777777" w:rsidR="00DC212A" w:rsidRPr="00507A31" w:rsidRDefault="00DC212A" w:rsidP="00507A31">
      <w:pPr>
        <w:pStyle w:val="rtejustify"/>
        <w:spacing w:before="0" w:after="0"/>
        <w:rPr>
          <w:color w:val="000000" w:themeColor="text1"/>
          <w:sz w:val="16"/>
          <w:szCs w:val="16"/>
        </w:rPr>
      </w:pPr>
      <w:r w:rsidRPr="00507A31">
        <w:rPr>
          <w:color w:val="000000" w:themeColor="text1"/>
          <w:sz w:val="16"/>
          <w:szCs w:val="16"/>
        </w:rPr>
        <w:t>1.  Обратиться в соответствующие органы с ходатайством о разрешении ВАРНИТСО выступить общественным обвинителем на предстоящем процессе.</w:t>
      </w:r>
    </w:p>
    <w:p w14:paraId="4779EA11" w14:textId="77777777" w:rsidR="00DC212A" w:rsidRPr="00507A31" w:rsidRDefault="00DC212A" w:rsidP="00507A31">
      <w:pPr>
        <w:pStyle w:val="ae"/>
        <w:spacing w:before="0" w:after="0"/>
        <w:jc w:val="both"/>
        <w:rPr>
          <w:color w:val="000000" w:themeColor="text1"/>
          <w:sz w:val="16"/>
          <w:szCs w:val="16"/>
        </w:rPr>
      </w:pPr>
      <w:r w:rsidRPr="00507A31">
        <w:rPr>
          <w:color w:val="000000" w:themeColor="text1"/>
          <w:sz w:val="16"/>
          <w:szCs w:val="16"/>
        </w:rPr>
        <w:t>ПРЕДСЕДАТЕЛЬ А. Бах</w:t>
      </w:r>
    </w:p>
    <w:p w14:paraId="2B1566BE" w14:textId="77777777" w:rsidR="00DC212A" w:rsidRPr="00507A31" w:rsidRDefault="00DC212A" w:rsidP="00507A31">
      <w:pPr>
        <w:pStyle w:val="ae"/>
        <w:spacing w:before="0" w:after="0"/>
        <w:jc w:val="both"/>
        <w:rPr>
          <w:color w:val="000000" w:themeColor="text1"/>
          <w:sz w:val="16"/>
          <w:szCs w:val="16"/>
        </w:rPr>
      </w:pPr>
      <w:r w:rsidRPr="00507A31">
        <w:rPr>
          <w:color w:val="000000" w:themeColor="text1"/>
          <w:sz w:val="16"/>
          <w:szCs w:val="16"/>
        </w:rPr>
        <w:t>СЕКРЕТАРЬ Б. Ульянская</w:t>
      </w:r>
    </w:p>
    <w:p w14:paraId="6F135552" w14:textId="77777777" w:rsidR="00DC212A" w:rsidRPr="00507A31" w:rsidRDefault="00DC212A" w:rsidP="00507A31">
      <w:pPr>
        <w:pStyle w:val="ae"/>
        <w:spacing w:before="0" w:after="0"/>
        <w:jc w:val="both"/>
        <w:rPr>
          <w:color w:val="000000" w:themeColor="text1"/>
          <w:sz w:val="16"/>
          <w:szCs w:val="16"/>
        </w:rPr>
      </w:pPr>
      <w:r w:rsidRPr="00507A31">
        <w:rPr>
          <w:rStyle w:val="af0"/>
          <w:i w:val="0"/>
          <w:color w:val="000000" w:themeColor="text1"/>
          <w:sz w:val="16"/>
          <w:szCs w:val="16"/>
        </w:rPr>
        <w:t>ГА РФ. Ф. 9474. On. 7.Д. 418. Л. 141. Машинописный подлинник, подписи — автографы. Рядом — машинописные расшифровки подписей «(А. Н. БАХ)», «(Б. Б. УЛЬЯНСКАЯ)» (18709).</w:t>
      </w:r>
    </w:p>
    <w:p w14:paraId="53BD23DF" w14:textId="77777777" w:rsidR="00DC212A" w:rsidRPr="00507A31" w:rsidRDefault="00DC212A" w:rsidP="00507A31">
      <w:pPr>
        <w:jc w:val="both"/>
        <w:rPr>
          <w:color w:val="000000" w:themeColor="text1"/>
          <w:sz w:val="16"/>
          <w:szCs w:val="16"/>
        </w:rPr>
      </w:pPr>
    </w:p>
    <w:p w14:paraId="1A16103C" w14:textId="77777777" w:rsidR="007464FC" w:rsidRPr="00507A31" w:rsidRDefault="007464FC"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5B7988B0" w14:textId="77777777" w:rsidR="007464FC" w:rsidRPr="00507A31" w:rsidRDefault="007464FC" w:rsidP="00507A31">
      <w:pPr>
        <w:autoSpaceDE w:val="0"/>
        <w:autoSpaceDN w:val="0"/>
        <w:adjustRightInd w:val="0"/>
        <w:jc w:val="both"/>
        <w:rPr>
          <w:iCs/>
          <w:color w:val="000000" w:themeColor="text1"/>
          <w:sz w:val="16"/>
          <w:szCs w:val="16"/>
        </w:rPr>
      </w:pPr>
    </w:p>
    <w:p w14:paraId="607DBF4C" w14:textId="77777777" w:rsidR="007464FC" w:rsidRPr="00507A31" w:rsidRDefault="007464FC" w:rsidP="00507A31">
      <w:pPr>
        <w:jc w:val="both"/>
        <w:rPr>
          <w:bCs/>
          <w:color w:val="000000" w:themeColor="text1"/>
          <w:sz w:val="16"/>
          <w:szCs w:val="16"/>
        </w:rPr>
      </w:pPr>
      <w:r w:rsidRPr="00507A31">
        <w:rPr>
          <w:color w:val="000000" w:themeColor="text1"/>
          <w:sz w:val="16"/>
          <w:szCs w:val="16"/>
        </w:rPr>
        <w:t>27 октября 1930 г.</w:t>
      </w:r>
    </w:p>
    <w:p w14:paraId="5320AE02" w14:textId="77777777" w:rsidR="007464FC" w:rsidRPr="00507A31" w:rsidRDefault="007464FC" w:rsidP="00507A31">
      <w:pPr>
        <w:jc w:val="both"/>
        <w:rPr>
          <w:bCs/>
          <w:color w:val="000000" w:themeColor="text1"/>
          <w:sz w:val="16"/>
          <w:szCs w:val="16"/>
        </w:rPr>
      </w:pPr>
      <w:r w:rsidRPr="00507A31">
        <w:rPr>
          <w:color w:val="000000" w:themeColor="text1"/>
          <w:sz w:val="16"/>
          <w:szCs w:val="16"/>
        </w:rPr>
        <w:t>Письмо заведующего подотделом торговой политики НКИД СССР Е. А. Гельфанда полпреду СССР во Франции В. С. Довгалевскому о «номенклатуре импортных товаров». 27 октября 1930 г.</w:t>
      </w:r>
    </w:p>
    <w:p w14:paraId="27C0760B" w14:textId="77777777" w:rsidR="007464FC" w:rsidRPr="00507A31" w:rsidRDefault="007464FC" w:rsidP="00507A31">
      <w:pPr>
        <w:jc w:val="both"/>
        <w:rPr>
          <w:bCs/>
          <w:color w:val="000000" w:themeColor="text1"/>
          <w:sz w:val="16"/>
          <w:szCs w:val="16"/>
        </w:rPr>
      </w:pPr>
      <w:r w:rsidRPr="00507A31">
        <w:rPr>
          <w:bCs/>
          <w:color w:val="000000" w:themeColor="text1"/>
          <w:sz w:val="16"/>
          <w:szCs w:val="16"/>
        </w:rPr>
        <w:t>Источник: </w:t>
      </w:r>
    </w:p>
    <w:p w14:paraId="1D7D4C61" w14:textId="77777777" w:rsidR="007464FC" w:rsidRPr="00507A31" w:rsidRDefault="007464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E7EA8B" w14:textId="77777777" w:rsidR="007464FC" w:rsidRPr="00507A31" w:rsidRDefault="007464FC" w:rsidP="00507A31">
      <w:pPr>
        <w:jc w:val="both"/>
        <w:rPr>
          <w:bCs/>
          <w:color w:val="000000" w:themeColor="text1"/>
          <w:sz w:val="16"/>
          <w:szCs w:val="16"/>
        </w:rPr>
      </w:pPr>
      <w:r w:rsidRPr="00507A31">
        <w:rPr>
          <w:bCs/>
          <w:color w:val="000000" w:themeColor="text1"/>
          <w:sz w:val="16"/>
          <w:szCs w:val="16"/>
        </w:rPr>
        <w:t>Архив: </w:t>
      </w:r>
    </w:p>
    <w:p w14:paraId="5E1DD75F" w14:textId="77777777" w:rsidR="007464FC" w:rsidRPr="00507A31" w:rsidRDefault="007464FC" w:rsidP="00507A31">
      <w:pPr>
        <w:jc w:val="both"/>
        <w:rPr>
          <w:color w:val="000000" w:themeColor="text1"/>
          <w:sz w:val="16"/>
          <w:szCs w:val="16"/>
        </w:rPr>
      </w:pPr>
      <w:r w:rsidRPr="00507A31">
        <w:rPr>
          <w:color w:val="000000" w:themeColor="text1"/>
          <w:sz w:val="16"/>
          <w:szCs w:val="16"/>
        </w:rPr>
        <w:t>АВП РФ. Ф. 010. On. 1. П. 5. Д. 82. Л. 6.</w:t>
      </w:r>
    </w:p>
    <w:p w14:paraId="39DC4189" w14:textId="77777777" w:rsidR="007464FC" w:rsidRPr="00507A31" w:rsidRDefault="007464FC" w:rsidP="00507A31">
      <w:pPr>
        <w:pStyle w:val="rteright"/>
        <w:spacing w:before="0" w:after="0"/>
        <w:jc w:val="both"/>
        <w:rPr>
          <w:color w:val="000000" w:themeColor="text1"/>
          <w:sz w:val="16"/>
          <w:szCs w:val="16"/>
        </w:rPr>
      </w:pPr>
      <w:r w:rsidRPr="00507A31">
        <w:rPr>
          <w:color w:val="000000" w:themeColor="text1"/>
          <w:sz w:val="16"/>
          <w:szCs w:val="16"/>
        </w:rPr>
        <w:t>27 октября 1930 г.</w:t>
      </w:r>
    </w:p>
    <w:p w14:paraId="51CAFF6F" w14:textId="77777777" w:rsidR="007464FC" w:rsidRPr="00507A31" w:rsidRDefault="007464FC"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73B616EB"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Полпреду СССР во Франции</w:t>
      </w:r>
    </w:p>
    <w:p w14:paraId="2B9A2E28"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Тов. ДОВГАЛЕВСКОМУ</w:t>
      </w:r>
    </w:p>
    <w:p w14:paraId="54E986E0"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Уважаемый Валериан Савельевич,</w:t>
      </w:r>
    </w:p>
    <w:p w14:paraId="1DE8311E"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Выработка мероприятий по отношению к Франции, связанных с применением декрета СНК СССР от 20.Х/1930 г., поручена Наркомторгу. Там, два дня тому назад состоялось совещание, протокол которого этой же почтой направляется Нарко[м]торгом в Торгпредство. В этом протоколе подробно перечислена номенклатура импортных товаров, заказы которых нужно прекратить или максимально сократить во Франции. В частности, уже дана директива, в силу которой надлежит прекратить покупку во Франции шерстей, кожсырья, фосфоритов и других удобрителей, пробковой коры, дубителей, химикалий и красителей; ограничить заказы преимущественно электрооборудованием; сократить количество закупок цветных металлов; не размещать более 4-х котлов и приспособлений к ним по Зуевке, с перенесением остальных заказов в другие страны.</w:t>
      </w:r>
    </w:p>
    <w:p w14:paraId="6FB11B65"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Эта директива, по постановлению совещания Наркомторга, распространяется и на отделения французских фирм, находящиеся вне Франции.</w:t>
      </w:r>
    </w:p>
    <w:p w14:paraId="7874E72D"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С товарищеским приветом</w:t>
      </w:r>
    </w:p>
    <w:p w14:paraId="37D5A25C"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Гельфанд</w:t>
      </w:r>
    </w:p>
    <w:p w14:paraId="19C26463" w14:textId="77777777" w:rsidR="007464FC" w:rsidRPr="00507A31" w:rsidRDefault="007464FC"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010. On. 1. П. 5. Д. 82. Л. 6. Машинописный подлинник, подпись-автограф. В левом углу машинописью - угловой штамп 3-го Западного отдела НКИД СССР с вписанным отруки номером «№ 13018/с». Вверху по центру напечатано «Экз. № 2» (цифра вписана от руки). Ниже - штамп Секретариата замнаркома НКИД СССР с вписанными от руки номером и датой поступления документа (1.XI.1930 г.). Гриф секретности машинописью. Внизу слева столбцом делопроизводственные пометы (машинописью) о количестве отпечатанных (3 экз.) и отправленных экземпляров: «№ 1 - в адр[ес], № 2 - т; Крестинскому, № 3 - в дело» (фамилия вписана отруки) (18797).</w:t>
      </w:r>
    </w:p>
    <w:p w14:paraId="5191EFF2" w14:textId="77777777" w:rsidR="007464FC" w:rsidRPr="00507A31" w:rsidRDefault="007464FC" w:rsidP="00507A31">
      <w:pPr>
        <w:jc w:val="both"/>
        <w:rPr>
          <w:color w:val="000000" w:themeColor="text1"/>
          <w:sz w:val="16"/>
          <w:szCs w:val="16"/>
        </w:rPr>
      </w:pPr>
    </w:p>
    <w:p w14:paraId="66AF09C7" w14:textId="77777777" w:rsidR="007464FC" w:rsidRPr="00507A31" w:rsidRDefault="007464FC" w:rsidP="00507A31">
      <w:pPr>
        <w:jc w:val="both"/>
        <w:rPr>
          <w:bCs/>
          <w:color w:val="000000" w:themeColor="text1"/>
          <w:sz w:val="16"/>
          <w:szCs w:val="16"/>
        </w:rPr>
      </w:pPr>
      <w:r w:rsidRPr="00507A31">
        <w:rPr>
          <w:color w:val="000000" w:themeColor="text1"/>
          <w:sz w:val="16"/>
          <w:szCs w:val="16"/>
        </w:rPr>
        <w:t>27 октября 1930 г.</w:t>
      </w:r>
    </w:p>
    <w:p w14:paraId="64170297" w14:textId="77777777" w:rsidR="007464FC" w:rsidRPr="00507A31" w:rsidRDefault="007464FC" w:rsidP="00507A31">
      <w:pPr>
        <w:jc w:val="both"/>
        <w:rPr>
          <w:bCs/>
          <w:color w:val="000000" w:themeColor="text1"/>
          <w:sz w:val="16"/>
          <w:szCs w:val="16"/>
        </w:rPr>
      </w:pPr>
      <w:r w:rsidRPr="00507A31">
        <w:rPr>
          <w:color w:val="000000" w:themeColor="text1"/>
          <w:sz w:val="16"/>
          <w:szCs w:val="16"/>
        </w:rPr>
        <w:t>Депеша посла Франции в СССР Ж. Эрбета министру иностранных дел Франции А. Бриану о сообщении ТАСС о предстоящем процессе «Промпартии». 27 октября 1930 г.</w:t>
      </w:r>
    </w:p>
    <w:p w14:paraId="61CB38E4" w14:textId="77777777" w:rsidR="007464FC" w:rsidRPr="00507A31" w:rsidRDefault="007464FC" w:rsidP="00507A31">
      <w:pPr>
        <w:jc w:val="both"/>
        <w:rPr>
          <w:bCs/>
          <w:color w:val="000000" w:themeColor="text1"/>
          <w:sz w:val="16"/>
          <w:szCs w:val="16"/>
        </w:rPr>
      </w:pPr>
      <w:r w:rsidRPr="00507A31">
        <w:rPr>
          <w:bCs/>
          <w:color w:val="000000" w:themeColor="text1"/>
          <w:sz w:val="16"/>
          <w:szCs w:val="16"/>
        </w:rPr>
        <w:t>Источник: </w:t>
      </w:r>
    </w:p>
    <w:p w14:paraId="4C525B18" w14:textId="77777777" w:rsidR="007464FC" w:rsidRPr="00507A31" w:rsidRDefault="007464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7D8083" w14:textId="77777777" w:rsidR="007464FC" w:rsidRPr="00507A31" w:rsidRDefault="007464FC" w:rsidP="00507A31">
      <w:pPr>
        <w:pStyle w:val="rteright"/>
        <w:spacing w:before="0" w:after="0"/>
        <w:jc w:val="both"/>
        <w:rPr>
          <w:color w:val="000000" w:themeColor="text1"/>
          <w:sz w:val="16"/>
          <w:szCs w:val="16"/>
        </w:rPr>
      </w:pPr>
      <w:r w:rsidRPr="00507A31">
        <w:rPr>
          <w:color w:val="000000" w:themeColor="text1"/>
          <w:sz w:val="16"/>
          <w:szCs w:val="16"/>
        </w:rPr>
        <w:t>27 октября 1930 г.</w:t>
      </w:r>
    </w:p>
    <w:p w14:paraId="7FB7DE6E" w14:textId="77777777" w:rsidR="007464FC" w:rsidRPr="00507A31" w:rsidRDefault="007464FC" w:rsidP="00507A31">
      <w:pPr>
        <w:pStyle w:val="ae"/>
        <w:spacing w:before="0" w:after="0"/>
        <w:jc w:val="both"/>
        <w:rPr>
          <w:color w:val="000000" w:themeColor="text1"/>
          <w:sz w:val="16"/>
          <w:szCs w:val="16"/>
        </w:rPr>
      </w:pPr>
      <w:r w:rsidRPr="00507A31">
        <w:rPr>
          <w:color w:val="000000" w:themeColor="text1"/>
          <w:sz w:val="16"/>
          <w:szCs w:val="16"/>
        </w:rPr>
        <w:t>Посольство Французской Республики в СССР</w:t>
      </w:r>
    </w:p>
    <w:p w14:paraId="4BDD0EAE" w14:textId="77777777" w:rsidR="007464FC" w:rsidRPr="00507A31" w:rsidRDefault="007464FC" w:rsidP="00507A31">
      <w:pPr>
        <w:pStyle w:val="ae"/>
        <w:spacing w:before="0" w:after="0"/>
        <w:jc w:val="both"/>
        <w:rPr>
          <w:color w:val="000000" w:themeColor="text1"/>
          <w:sz w:val="16"/>
          <w:szCs w:val="16"/>
        </w:rPr>
      </w:pPr>
      <w:r w:rsidRPr="00507A31">
        <w:rPr>
          <w:color w:val="000000" w:themeColor="text1"/>
          <w:sz w:val="16"/>
          <w:szCs w:val="16"/>
        </w:rPr>
        <w:t>Департамент политических и торговых дел</w:t>
      </w:r>
    </w:p>
    <w:p w14:paraId="7A8918A0" w14:textId="77777777" w:rsidR="007464FC" w:rsidRPr="00507A31" w:rsidRDefault="007464FC" w:rsidP="00507A31">
      <w:pPr>
        <w:pStyle w:val="ae"/>
        <w:spacing w:before="0" w:after="0"/>
        <w:jc w:val="both"/>
        <w:rPr>
          <w:color w:val="000000" w:themeColor="text1"/>
          <w:sz w:val="16"/>
          <w:szCs w:val="16"/>
        </w:rPr>
      </w:pPr>
      <w:r w:rsidRPr="00507A31">
        <w:rPr>
          <w:color w:val="000000" w:themeColor="text1"/>
          <w:sz w:val="16"/>
          <w:szCs w:val="16"/>
        </w:rPr>
        <w:t>Депеша № 603</w:t>
      </w:r>
    </w:p>
    <w:p w14:paraId="7882B625" w14:textId="77777777" w:rsidR="007464FC" w:rsidRPr="00507A31" w:rsidRDefault="007464FC" w:rsidP="00507A31">
      <w:pPr>
        <w:pStyle w:val="ae"/>
        <w:spacing w:before="0" w:after="0"/>
        <w:jc w:val="both"/>
        <w:rPr>
          <w:color w:val="000000" w:themeColor="text1"/>
          <w:sz w:val="16"/>
          <w:szCs w:val="16"/>
        </w:rPr>
      </w:pPr>
      <w:r w:rsidRPr="00507A31">
        <w:rPr>
          <w:color w:val="000000" w:themeColor="text1"/>
          <w:sz w:val="16"/>
          <w:szCs w:val="16"/>
        </w:rPr>
        <w:t>(Европа)</w:t>
      </w:r>
    </w:p>
    <w:p w14:paraId="4992ABBE"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Посол Французской Республики в Москве Жан Эрбет министру иностранных дел Аристиду Бриану</w:t>
      </w:r>
    </w:p>
    <w:p w14:paraId="1AD36D12"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Процесс по обвинению во вредительстве против профессора Рамзина и его коллег. Намеки на их связи с русским комитетом в Париже</w:t>
      </w:r>
    </w:p>
    <w:p w14:paraId="3C0C053C"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 xml:space="preserve">ГПУ опубликовало через ТАСС следующее официальное сообщение, которое было перепечатано в сегодняшних газетах: «Недавно органами ОГПУ раскрыта контр-революционная вредительская организация, состоявшая преимущественно из инженеров и действовавшая подпольно под названием «Промышленной Партии». Организация ставила себе целью искусственное создание кризиса путем вредительства во всех областях народного хозяйства, приурочивая развертывание кризиса к моменту иностранной интервенции. Организация была связана с эмигрантским центром в Париже, именуемым Торгово-Промышленным Комитетом (Денисов, </w:t>
      </w:r>
      <w:r w:rsidRPr="00507A31">
        <w:rPr>
          <w:color w:val="000000" w:themeColor="text1"/>
          <w:sz w:val="16"/>
          <w:szCs w:val="16"/>
        </w:rPr>
        <w:lastRenderedPageBreak/>
        <w:t>Гукасов, Нобель, Манташев, Рябушинский, Мещерский и др.), волю и директивы которого выполняла она во всей свое вредительской работе. Арестованы члены центра «Промышленной Партии» Рамзин, Ларичев, Федотов, Чарновский, Куприянов, Калинников и др., которые дали подробные показания о деятельности организации на территории СССР и в Париже. Дело передается в Верховный Суд и будет слушаться в ближайшее время».</w:t>
      </w:r>
    </w:p>
    <w:p w14:paraId="3431A364"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Речь идет о группе хорошо известных специалистов, которые работают в системе образования и промышленности. Самый главный среди них — профессор Рамзин, о котором я писал в своей депеше № 590 от 22-го октября.</w:t>
      </w:r>
    </w:p>
    <w:p w14:paraId="6F560FF0"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Если сравнивать обвинения, предъявленные до настоящего момента профессору Рамзину, с обвинениями во вредительстве и в контрреволюционных действиях, которые выдвигает против него ГПУ, складывается впечатление полного несоответствия. Претензии к профессору Рамзину чисто технического свойства, и опыт этого ученого скорее говорит в его пользу, чем в пользу его клеветников. Напротив, обвинения в сговоре с эмигрантами с целью выполнения вредительства в промышленности и свержения власти являются обвинениями политическими, но до настоящего момента общественности не было представлено даже намека на доказательства.</w:t>
      </w:r>
    </w:p>
    <w:p w14:paraId="53AE5782"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Тем не менее, еще до того, как были представлены какие бы то ни было доказательства, газета «За индустриализацию» орган печати при ведомстве госпромышленности использует заявление ГПУ, чтобы переложить ответственность за настоящий экономический кризис на предполагаемых вредителей, как если бы речь шла о том, чтобы предоставить некую разрядку для недовольства населения. Газета «За индустриализацию» доходит до того, чтобы поздравлять «пролетариат» с успехами в промышленности, несмотря на «изысканное вредительство людей, призванных управлять этой областью».</w:t>
      </w:r>
    </w:p>
    <w:p w14:paraId="625FF0AA"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Эта тактика удивительным образом походит на ту, которая использовалась в прошлом месяце, когда многочисленные казни подавили так называемый заговор среди служащих в секторе продовольственного снабжения и когда государственная пресса поспешила перенести ответственность на этих вредителей за дефицит продуктов, который, впрочем, пережил их самих.</w:t>
      </w:r>
    </w:p>
    <w:p w14:paraId="15A08CD1"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Как бы то ни было, необходимо пристально следить за процессом, объявленным в коммюнике ГПУ. Возможно, будут попытки настроить общество против иностранцев, и в частности против французов, под предлогом того, что обвиняемые во вредительстве люди имели связь с русскими беженцами в Париже. Это было бы еще одним отвлекающим маневром. Но так как нам не в чем себя упрекать, у нас нет причин идти на поводу</w:t>
      </w:r>
    </w:p>
    <w:p w14:paraId="4B46E659" w14:textId="77777777" w:rsidR="007464FC" w:rsidRPr="00507A31" w:rsidRDefault="007464FC" w:rsidP="00507A31">
      <w:pPr>
        <w:pStyle w:val="rtejustify"/>
        <w:spacing w:before="0" w:after="0"/>
        <w:rPr>
          <w:color w:val="000000" w:themeColor="text1"/>
          <w:sz w:val="16"/>
          <w:szCs w:val="16"/>
        </w:rPr>
      </w:pPr>
      <w:r w:rsidRPr="00507A31">
        <w:rPr>
          <w:color w:val="000000" w:themeColor="text1"/>
          <w:sz w:val="16"/>
          <w:szCs w:val="16"/>
        </w:rPr>
        <w:t>Эрбет</w:t>
      </w:r>
    </w:p>
    <w:p w14:paraId="79FFB58D" w14:textId="77777777" w:rsidR="007464FC" w:rsidRPr="00507A31" w:rsidRDefault="007464FC"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2-3. Машинописный подлинник, подпись- автограф. Штамп Кабинета министра с датой получения «3 нояб. 1930». Второй штамп Департамента политических и торговых дел с датой получения «6 нояб. 1930» и вписанным от руки номером о сдаче в архив «z 619-20 s/d5» (18748).</w:t>
      </w:r>
    </w:p>
    <w:p w14:paraId="61E4DE87" w14:textId="77777777" w:rsidR="007464FC" w:rsidRPr="00507A31" w:rsidRDefault="007464FC" w:rsidP="00507A31">
      <w:pPr>
        <w:jc w:val="both"/>
        <w:rPr>
          <w:color w:val="000000" w:themeColor="text1"/>
          <w:sz w:val="16"/>
          <w:szCs w:val="16"/>
        </w:rPr>
      </w:pPr>
    </w:p>
    <w:p w14:paraId="2439C812" w14:textId="77777777" w:rsidR="007464FC" w:rsidRPr="00507A31" w:rsidRDefault="007464FC" w:rsidP="00507A31">
      <w:pPr>
        <w:jc w:val="both"/>
        <w:rPr>
          <w:color w:val="000000" w:themeColor="text1"/>
          <w:sz w:val="16"/>
          <w:szCs w:val="16"/>
        </w:rPr>
      </w:pPr>
      <w:r w:rsidRPr="00507A31">
        <w:rPr>
          <w:color w:val="000000" w:themeColor="text1"/>
          <w:sz w:val="16"/>
          <w:szCs w:val="16"/>
        </w:rPr>
        <w:t>Не позднее 27 октября 1930 г.</w:t>
      </w:r>
    </w:p>
    <w:p w14:paraId="57BD2B03" w14:textId="77777777" w:rsidR="007464FC" w:rsidRPr="00507A31" w:rsidRDefault="007464FC" w:rsidP="00507A31">
      <w:pPr>
        <w:jc w:val="both"/>
        <w:rPr>
          <w:color w:val="000000" w:themeColor="text1"/>
          <w:sz w:val="16"/>
          <w:szCs w:val="16"/>
        </w:rPr>
      </w:pPr>
      <w:r w:rsidRPr="00507A31">
        <w:rPr>
          <w:color w:val="000000" w:themeColor="text1"/>
          <w:sz w:val="16"/>
          <w:szCs w:val="16"/>
        </w:rPr>
        <w:t>Текст информационного сообщения ТАСС о раскрытии «контр-революционной вредительской» организации «Промышленная партия». Не позднее 27 октября 1930 г.</w:t>
      </w:r>
    </w:p>
    <w:p w14:paraId="0F27EF14" w14:textId="77777777" w:rsidR="007464FC" w:rsidRPr="00507A31" w:rsidRDefault="007464FC" w:rsidP="00507A31">
      <w:pPr>
        <w:jc w:val="both"/>
        <w:rPr>
          <w:color w:val="000000" w:themeColor="text1"/>
          <w:sz w:val="16"/>
          <w:szCs w:val="16"/>
        </w:rPr>
      </w:pPr>
      <w:r w:rsidRPr="00507A31">
        <w:rPr>
          <w:color w:val="000000" w:themeColor="text1"/>
          <w:sz w:val="16"/>
          <w:szCs w:val="16"/>
        </w:rPr>
        <w:t>Источник: </w:t>
      </w:r>
    </w:p>
    <w:p w14:paraId="0A0B95B4" w14:textId="77777777" w:rsidR="007464FC" w:rsidRPr="00507A31" w:rsidRDefault="007464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97AE025" w14:textId="77777777" w:rsidR="007464FC" w:rsidRPr="00507A31" w:rsidRDefault="007464FC" w:rsidP="00507A31">
      <w:pPr>
        <w:jc w:val="both"/>
        <w:rPr>
          <w:color w:val="000000" w:themeColor="text1"/>
          <w:sz w:val="16"/>
          <w:szCs w:val="16"/>
        </w:rPr>
      </w:pPr>
      <w:r w:rsidRPr="00507A31">
        <w:rPr>
          <w:color w:val="000000" w:themeColor="text1"/>
          <w:sz w:val="16"/>
          <w:szCs w:val="16"/>
        </w:rPr>
        <w:t>Не позднее 27 октября 1930 г.</w:t>
      </w:r>
    </w:p>
    <w:p w14:paraId="79F5EFC3" w14:textId="77777777" w:rsidR="007464FC" w:rsidRPr="00507A31" w:rsidRDefault="007464FC" w:rsidP="00507A31">
      <w:pPr>
        <w:jc w:val="both"/>
        <w:rPr>
          <w:color w:val="000000" w:themeColor="text1"/>
          <w:sz w:val="16"/>
          <w:szCs w:val="16"/>
        </w:rPr>
      </w:pPr>
      <w:r w:rsidRPr="00507A31">
        <w:rPr>
          <w:color w:val="000000" w:themeColor="text1"/>
          <w:sz w:val="16"/>
          <w:szCs w:val="16"/>
        </w:rPr>
        <w:t>РАСКРЫТИЕ КОНТР-РЕВОЛЮЦИОННОЙ] ОРГАНИЗАЦИИ.</w:t>
      </w:r>
    </w:p>
    <w:p w14:paraId="6AFC03A6" w14:textId="77777777" w:rsidR="007464FC" w:rsidRPr="00507A31" w:rsidRDefault="007464FC" w:rsidP="00507A31">
      <w:pPr>
        <w:jc w:val="both"/>
        <w:rPr>
          <w:color w:val="000000" w:themeColor="text1"/>
          <w:sz w:val="16"/>
          <w:szCs w:val="16"/>
        </w:rPr>
      </w:pPr>
      <w:r w:rsidRPr="00507A31">
        <w:rPr>
          <w:color w:val="000000" w:themeColor="text1"/>
          <w:sz w:val="16"/>
          <w:szCs w:val="16"/>
        </w:rPr>
        <w:t>Недавно органами ОГПУ раскрыта контр-революционная, вредительская организация, состоявшая преимущественно из инженеров и действовавшая подпольно под названием «Промышленной Партии». Организация ставила себе целью искусственное создание кризиса путем вредительства во всех областях народного хозяйства, приурочивая развертывание кризиса к моменту иностранной интервенции. Организация была связана с эмигрантским центром в Париже, именуемым Торгово-Промышленным Комитетом (Денисов, Гукасов, Нобель, Манташев, Рябушинский, Мещерский и др.), волю и директивы которого выполняла она во всей своей вредительской работе. Арестованы члены центра «Промышленной Партии» Рамзии, Ларичев, Федотов, Чарновский, Куприянов, Калинников и др., которые дали подробные показания о деятельности организации на территории СССР и в Париже.</w:t>
      </w:r>
    </w:p>
    <w:p w14:paraId="6124E23A" w14:textId="77777777" w:rsidR="007464FC" w:rsidRPr="00507A31" w:rsidRDefault="007464FC" w:rsidP="00507A31">
      <w:pPr>
        <w:jc w:val="both"/>
        <w:rPr>
          <w:color w:val="000000" w:themeColor="text1"/>
          <w:sz w:val="16"/>
          <w:szCs w:val="16"/>
        </w:rPr>
      </w:pPr>
      <w:r w:rsidRPr="00507A31">
        <w:rPr>
          <w:color w:val="000000" w:themeColor="text1"/>
          <w:sz w:val="16"/>
          <w:szCs w:val="16"/>
        </w:rPr>
        <w:t>Дело передается в Верховный Суд и будет слушаться в ближайшее время.</w:t>
      </w:r>
    </w:p>
    <w:p w14:paraId="5F07ACB3" w14:textId="77777777" w:rsidR="007464FC" w:rsidRPr="00507A31" w:rsidRDefault="007464FC" w:rsidP="00507A31">
      <w:pPr>
        <w:jc w:val="both"/>
        <w:rPr>
          <w:color w:val="000000" w:themeColor="text1"/>
          <w:sz w:val="16"/>
          <w:szCs w:val="16"/>
        </w:rPr>
      </w:pPr>
      <w:r w:rsidRPr="00507A31">
        <w:rPr>
          <w:color w:val="000000" w:themeColor="text1"/>
          <w:sz w:val="16"/>
          <w:szCs w:val="16"/>
        </w:rPr>
        <w:t>Д. 354. Л. 188-188 об. (А) Рукописный подлинник (черновик) с правкой. Внизу Л. 188 об. рукописная помета «Опубликовано 27.X.1930 г.». Датируется по этой помете.</w:t>
      </w:r>
    </w:p>
    <w:p w14:paraId="447942DE" w14:textId="77777777" w:rsidR="007464FC" w:rsidRPr="00507A31" w:rsidRDefault="007464FC" w:rsidP="00507A31">
      <w:pPr>
        <w:jc w:val="both"/>
        <w:rPr>
          <w:color w:val="000000" w:themeColor="text1"/>
          <w:sz w:val="16"/>
          <w:szCs w:val="16"/>
        </w:rPr>
      </w:pPr>
      <w:r w:rsidRPr="00507A31">
        <w:rPr>
          <w:color w:val="000000" w:themeColor="text1"/>
          <w:sz w:val="16"/>
          <w:szCs w:val="16"/>
        </w:rPr>
        <w:t>Там же. Л. 187. (Б) Машинописный экземпляр того времени с полностью воспроизведенной правкой чернового варианта. Внизу листа — рукописная помета (в скобках) «(Опубликовано 27.X.1930 г.)» (18490).</w:t>
      </w:r>
    </w:p>
    <w:p w14:paraId="7B071171" w14:textId="77777777" w:rsidR="007464FC" w:rsidRPr="00507A31" w:rsidRDefault="007464FC" w:rsidP="00507A31">
      <w:pPr>
        <w:jc w:val="both"/>
        <w:rPr>
          <w:color w:val="000000" w:themeColor="text1"/>
          <w:sz w:val="16"/>
          <w:szCs w:val="16"/>
        </w:rPr>
      </w:pPr>
    </w:p>
    <w:p w14:paraId="5935113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3E32E4B" w14:textId="77777777" w:rsidR="00537E5F" w:rsidRPr="00507A31" w:rsidRDefault="00537E5F" w:rsidP="00507A31">
      <w:pPr>
        <w:autoSpaceDE w:val="0"/>
        <w:autoSpaceDN w:val="0"/>
        <w:adjustRightInd w:val="0"/>
        <w:jc w:val="both"/>
        <w:rPr>
          <w:iCs/>
          <w:color w:val="000000" w:themeColor="text1"/>
          <w:sz w:val="16"/>
          <w:szCs w:val="16"/>
        </w:rPr>
      </w:pPr>
    </w:p>
    <w:p w14:paraId="1D73EA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октября 1930 состоялся первый полет И-8 (АНТ-13). Не пошел, так как не стали осваивать импортный двигатель (92,412).</w:t>
      </w:r>
    </w:p>
    <w:p w14:paraId="030A83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 в декабре 1930</w:t>
      </w:r>
    </w:p>
    <w:p w14:paraId="4552DB86" w14:textId="77777777" w:rsidR="00537E5F" w:rsidRPr="00507A31" w:rsidRDefault="00537E5F" w:rsidP="00507A31">
      <w:pPr>
        <w:autoSpaceDE w:val="0"/>
        <w:autoSpaceDN w:val="0"/>
        <w:adjustRightInd w:val="0"/>
        <w:jc w:val="both"/>
        <w:rPr>
          <w:color w:val="000000" w:themeColor="text1"/>
          <w:sz w:val="16"/>
          <w:szCs w:val="16"/>
        </w:rPr>
      </w:pPr>
    </w:p>
    <w:p w14:paraId="16BC6DF0" w14:textId="77777777" w:rsidR="00A3695E" w:rsidRPr="00507A31" w:rsidRDefault="00A3695E" w:rsidP="00507A31">
      <w:pPr>
        <w:pStyle w:val="rtejustify"/>
        <w:shd w:val="clear" w:color="auto" w:fill="FFFFFF"/>
        <w:spacing w:before="0" w:after="0"/>
        <w:rPr>
          <w:color w:val="000000" w:themeColor="text1"/>
          <w:sz w:val="16"/>
          <w:szCs w:val="16"/>
        </w:rPr>
      </w:pPr>
      <w:r w:rsidRPr="00507A31">
        <w:rPr>
          <w:color w:val="000000" w:themeColor="text1"/>
          <w:sz w:val="16"/>
          <w:szCs w:val="16"/>
        </w:rPr>
        <w:t>28 октября 1930, во второй половине дня, летчик-испытатель М. М. Громов поднял И-8 в воздух.</w:t>
      </w:r>
    </w:p>
    <w:p w14:paraId="55D25AE4" w14:textId="77777777" w:rsidR="00A3695E" w:rsidRPr="00507A31" w:rsidRDefault="00A3695E" w:rsidP="00507A31">
      <w:pPr>
        <w:pStyle w:val="rtejustify"/>
        <w:shd w:val="clear" w:color="auto" w:fill="FFFFFF"/>
        <w:spacing w:before="0" w:after="0"/>
        <w:rPr>
          <w:color w:val="000000" w:themeColor="text1"/>
          <w:sz w:val="16"/>
          <w:szCs w:val="16"/>
        </w:rPr>
      </w:pPr>
      <w:r w:rsidRPr="00507A31">
        <w:rPr>
          <w:color w:val="000000" w:themeColor="text1"/>
          <w:sz w:val="16"/>
          <w:szCs w:val="16"/>
        </w:rPr>
        <w:t>В последующих полетах самолет проверили на устойчивость и управляемость, выполнили виражи и петли, а также выполнили один полет с обтекателями шасси. По отзывам летчиков: самолет устойчив, управление элеронами достаточно эффективно, но имеют место большие нагрузки на руле высоты. Полет с обтекателями колес не дал ожидаемого прироста скорости, впоследствии небольшой прирост скорости был получен с обтекателями, закрывающими только спицы колес. По проекту хвостовое оперение самолета изготавливалось из хромомолибденовых труб с полотняной обшивкой, но из-за неполучения труб было выполнено из дюралевых, с гофрированной обшивкой.</w:t>
      </w:r>
    </w:p>
    <w:p w14:paraId="01F5BA58" w14:textId="77777777" w:rsidR="00A3695E" w:rsidRPr="00507A31" w:rsidRDefault="00A3695E" w:rsidP="00507A31">
      <w:pPr>
        <w:pStyle w:val="rtejustify"/>
        <w:shd w:val="clear" w:color="auto" w:fill="FFFFFF"/>
        <w:spacing w:before="0" w:after="0"/>
        <w:rPr>
          <w:color w:val="000000" w:themeColor="text1"/>
          <w:sz w:val="16"/>
          <w:szCs w:val="16"/>
        </w:rPr>
      </w:pPr>
      <w:r w:rsidRPr="00507A31">
        <w:rPr>
          <w:color w:val="000000" w:themeColor="text1"/>
          <w:sz w:val="16"/>
          <w:szCs w:val="16"/>
        </w:rPr>
        <w:t>В полете 4 ноября самолет достиг максимальной скорости у земли 290 км/ч (на 41 км/ч меньше проектной) (19171).</w:t>
      </w:r>
    </w:p>
    <w:p w14:paraId="4AFA6975" w14:textId="77777777" w:rsidR="00A3695E" w:rsidRPr="00507A31" w:rsidRDefault="00A3695E" w:rsidP="00507A31">
      <w:pPr>
        <w:pStyle w:val="rtejustify"/>
        <w:shd w:val="clear" w:color="auto" w:fill="FFFFFF"/>
        <w:spacing w:before="0" w:after="0"/>
        <w:rPr>
          <w:color w:val="000000" w:themeColor="text1"/>
          <w:sz w:val="16"/>
          <w:szCs w:val="16"/>
        </w:rPr>
      </w:pPr>
    </w:p>
    <w:p w14:paraId="03AC7C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октября 1930 в Крыму на Всесоюзных планерных состязаниях летчик В.А.Степанченок впервые в СССР сделал на планере КЗ С.П.К. (СК-3) три мертвых петли (438,615).</w:t>
      </w:r>
    </w:p>
    <w:p w14:paraId="0B3BD5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 на К-9 В.К.Грибовского и всего было 115 петель (172,63).</w:t>
      </w:r>
    </w:p>
    <w:p w14:paraId="1188EEAF" w14:textId="77777777" w:rsidR="00537E5F" w:rsidRPr="00507A31" w:rsidRDefault="00537E5F" w:rsidP="00507A31">
      <w:pPr>
        <w:autoSpaceDE w:val="0"/>
        <w:autoSpaceDN w:val="0"/>
        <w:adjustRightInd w:val="0"/>
        <w:jc w:val="both"/>
        <w:rPr>
          <w:color w:val="000000" w:themeColor="text1"/>
          <w:sz w:val="16"/>
          <w:szCs w:val="16"/>
        </w:rPr>
      </w:pPr>
    </w:p>
    <w:p w14:paraId="4D397029" w14:textId="77777777" w:rsidR="00A56388" w:rsidRPr="00507A31" w:rsidRDefault="00A56388"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28 октября </w:t>
      </w:r>
      <w:r w:rsidRPr="00507A31">
        <w:rPr>
          <w:color w:val="000000" w:themeColor="text1"/>
          <w:sz w:val="16"/>
          <w:szCs w:val="16"/>
        </w:rPr>
        <w:t>в 1930 году в Крыму на Всесоюзных планерных состязаниях летчик В.А.Степанченок впервые в СССР сделал на планере "Красная Звезда" конструкции С.П.Королева три мертвых петли (14813).</w:t>
      </w:r>
    </w:p>
    <w:p w14:paraId="2F90C4C4" w14:textId="77777777" w:rsidR="00A56388" w:rsidRPr="00507A31" w:rsidRDefault="00A56388" w:rsidP="00507A31">
      <w:pPr>
        <w:jc w:val="both"/>
        <w:rPr>
          <w:color w:val="000000" w:themeColor="text1"/>
          <w:sz w:val="16"/>
          <w:szCs w:val="16"/>
        </w:rPr>
      </w:pPr>
    </w:p>
    <w:p w14:paraId="5FD94DF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E902657" w14:textId="77777777" w:rsidR="00537E5F" w:rsidRPr="00507A31" w:rsidRDefault="00537E5F" w:rsidP="00507A31">
      <w:pPr>
        <w:autoSpaceDE w:val="0"/>
        <w:autoSpaceDN w:val="0"/>
        <w:adjustRightInd w:val="0"/>
        <w:jc w:val="both"/>
        <w:rPr>
          <w:iCs/>
          <w:color w:val="000000" w:themeColor="text1"/>
          <w:sz w:val="16"/>
          <w:szCs w:val="16"/>
        </w:rPr>
      </w:pPr>
    </w:p>
    <w:p w14:paraId="6B1BA0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октября 1930 года одна 76,2-мм батальонная мортира ГШТ прибыла на НИАП. Длина гильзы 54,0 мм. Комиссия сочла, что мортира ГШТ на вооружение принята быть не может, но поскольку орудий с дистанционным краном до сих пор в СССР нет, то надо ее переделать и испытывать вновь с целью изучения работы крана.</w:t>
      </w:r>
    </w:p>
    <w:p w14:paraId="1DF7F0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Устройство</w:t>
      </w:r>
    </w:p>
    <w:p w14:paraId="4BD89F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Мортира имела газоотводный кран, что позволяло с одним унитарным патроном иметь несколько начальных скоростей.</w:t>
      </w:r>
    </w:p>
    <w:p w14:paraId="507065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Заряжание мортиры происходило путем переламывания ствола, причем расчет заряжание производил стоя. Последнее вызвало серьезное удовлетворение комиссии.</w:t>
      </w:r>
    </w:p>
    <w:p w14:paraId="030188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Цапфы расположены выше оси канала ствола. Подъемный механизм секторный. Компрессор гидравлический. Накатник пружинный.</w:t>
      </w:r>
    </w:p>
    <w:p w14:paraId="6CCF81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Катки откидные. Стрельба велась с платформы, опущенной на грунт (3861).</w:t>
      </w:r>
    </w:p>
    <w:p w14:paraId="6FA4F19D" w14:textId="77777777" w:rsidR="00537E5F" w:rsidRPr="00507A31" w:rsidRDefault="00537E5F" w:rsidP="00507A31">
      <w:pPr>
        <w:autoSpaceDE w:val="0"/>
        <w:autoSpaceDN w:val="0"/>
        <w:adjustRightInd w:val="0"/>
        <w:jc w:val="both"/>
        <w:rPr>
          <w:color w:val="000000" w:themeColor="text1"/>
          <w:sz w:val="16"/>
          <w:szCs w:val="16"/>
        </w:rPr>
      </w:pPr>
    </w:p>
    <w:p w14:paraId="25D5FBA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D246454" w14:textId="77777777" w:rsidR="00537E5F" w:rsidRPr="00507A31" w:rsidRDefault="00537E5F" w:rsidP="00507A31">
      <w:pPr>
        <w:autoSpaceDE w:val="0"/>
        <w:autoSpaceDN w:val="0"/>
        <w:adjustRightInd w:val="0"/>
        <w:jc w:val="both"/>
        <w:rPr>
          <w:iCs/>
          <w:color w:val="000000" w:themeColor="text1"/>
          <w:sz w:val="16"/>
          <w:szCs w:val="16"/>
        </w:rPr>
      </w:pPr>
    </w:p>
    <w:p w14:paraId="1829AD8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29 октября 1930 года в НИИ были закончены дополнительные испытания и самолет Р6 был передан в ЦАГИ (6925).</w:t>
      </w:r>
    </w:p>
    <w:p w14:paraId="11F1F02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997BEA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29 октября 1930 года в ЦАГИ состоялся полет на Р6 с перегрузкой в 1 тонну (6925).</w:t>
      </w:r>
    </w:p>
    <w:p w14:paraId="1D7A9B8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3ADA2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октября 1930 постановлением СНК было образовано Всесоюзное объединение ГВФ (ВОГВФ) при СТО (Добролет и Гл. инспекция - упразднены) (62,187).</w:t>
      </w:r>
    </w:p>
    <w:p w14:paraId="373DDA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в этот день ВОГВФ подчинили СТО (333,32). В ВОГФ вошел и Дирижаблестрой (7375).</w:t>
      </w:r>
    </w:p>
    <w:p w14:paraId="5AFF3606" w14:textId="77777777" w:rsidR="00537E5F" w:rsidRPr="00507A31" w:rsidRDefault="00537E5F" w:rsidP="00507A31">
      <w:pPr>
        <w:autoSpaceDE w:val="0"/>
        <w:autoSpaceDN w:val="0"/>
        <w:adjustRightInd w:val="0"/>
        <w:jc w:val="both"/>
        <w:rPr>
          <w:color w:val="000000" w:themeColor="text1"/>
          <w:sz w:val="16"/>
          <w:szCs w:val="16"/>
        </w:rPr>
      </w:pPr>
    </w:p>
    <w:p w14:paraId="0BC858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 октября 1930 года в результате мероприятий по дальнейшей централиза</w:t>
      </w:r>
      <w:r w:rsidRPr="00507A31">
        <w:rPr>
          <w:color w:val="000000" w:themeColor="text1"/>
          <w:sz w:val="16"/>
          <w:szCs w:val="16"/>
        </w:rPr>
        <w:softHyphen/>
        <w:t>ции управления гражданской авиации СССР постановле</w:t>
      </w:r>
      <w:r w:rsidRPr="00507A31">
        <w:rPr>
          <w:color w:val="000000" w:themeColor="text1"/>
          <w:sz w:val="16"/>
          <w:szCs w:val="16"/>
        </w:rPr>
        <w:softHyphen/>
        <w:t>нием СНК СССР было образовано Всесоюзное объединение ГВФ (ВОГВФ) при Совете Труда и Обороны СССР, а 25 февраля 1932 года ВОГВФ было преобразо</w:t>
      </w:r>
      <w:r w:rsidRPr="00507A31">
        <w:rPr>
          <w:color w:val="000000" w:themeColor="text1"/>
          <w:sz w:val="16"/>
          <w:szCs w:val="16"/>
        </w:rPr>
        <w:softHyphen/>
        <w:t xml:space="preserve">вано в Главное управление ГВФ (ГУГВФ) </w:t>
      </w:r>
      <w:r w:rsidRPr="00507A31">
        <w:rPr>
          <w:color w:val="000000" w:themeColor="text1"/>
          <w:sz w:val="16"/>
          <w:szCs w:val="16"/>
        </w:rPr>
        <w:lastRenderedPageBreak/>
        <w:t>при СНК СССР, на которое возлагалось регулирование всей деятельности гражданской авиации. Постановлением СНК СССР «О реорганизации органов управления гражданского воздушного флота» от 19 мая 1934 года были образованы 12 территориальных управлений Граж</w:t>
      </w:r>
      <w:r w:rsidRPr="00507A31">
        <w:rPr>
          <w:color w:val="000000" w:themeColor="text1"/>
          <w:sz w:val="16"/>
          <w:szCs w:val="16"/>
        </w:rPr>
        <w:softHyphen/>
        <w:t>данской авиации СССР: Московское, Украинское, Среднеазиатское, Закавказс</w:t>
      </w:r>
      <w:r w:rsidRPr="00507A31">
        <w:rPr>
          <w:color w:val="000000" w:themeColor="text1"/>
          <w:sz w:val="16"/>
          <w:szCs w:val="16"/>
        </w:rPr>
        <w:softHyphen/>
        <w:t>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 сельскохозяйственная авиация (в ноябре 1932-го) и из Нар-комздрава СССР санитарная авиация (в ноябре 1937-го) ('История гражданской авиации. Научно-популярный очерк. Под общ. ред. Бугаева Б.П. С. 58,60, 75,85.) (11710,355).</w:t>
      </w:r>
    </w:p>
    <w:p w14:paraId="1FF141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563A01D" w14:textId="77777777" w:rsidR="00A56388" w:rsidRPr="00507A31" w:rsidRDefault="00A56388" w:rsidP="00507A31">
      <w:pPr>
        <w:jc w:val="both"/>
        <w:rPr>
          <w:rStyle w:val="ucoz-forum-post"/>
          <w:rFonts w:eastAsiaTheme="majorEastAsia"/>
          <w:color w:val="000000" w:themeColor="text1"/>
          <w:sz w:val="16"/>
          <w:szCs w:val="16"/>
        </w:rPr>
      </w:pPr>
      <w:r w:rsidRPr="00507A31">
        <w:rPr>
          <w:rStyle w:val="ucoz-forum-post"/>
          <w:rFonts w:eastAsiaTheme="majorEastAsia"/>
          <w:bCs/>
          <w:color w:val="000000" w:themeColor="text1"/>
          <w:sz w:val="16"/>
          <w:szCs w:val="16"/>
        </w:rPr>
        <w:t>29 октября 1930 года</w:t>
      </w:r>
      <w:r w:rsidRPr="00507A31">
        <w:rPr>
          <w:rStyle w:val="ucoz-forum-post"/>
          <w:rFonts w:eastAsiaTheme="majorEastAsia"/>
          <w:color w:val="000000" w:themeColor="text1"/>
          <w:sz w:val="16"/>
          <w:szCs w:val="16"/>
        </w:rPr>
        <w:t xml:space="preserve"> Создано Всесоюзное объединение гражданского воздушного флота при Совете труда и обороны. Общество «Добролет» и Главная инспекция упразднены. В систему объединения вошел «Дирежаблестрой» (14814).</w:t>
      </w:r>
    </w:p>
    <w:p w14:paraId="5A022A49" w14:textId="77777777" w:rsidR="00A56388" w:rsidRPr="00507A31" w:rsidRDefault="00A56388" w:rsidP="00507A31">
      <w:pPr>
        <w:jc w:val="both"/>
        <w:rPr>
          <w:rStyle w:val="ucoz-forum-post"/>
          <w:rFonts w:eastAsiaTheme="majorEastAsia"/>
          <w:color w:val="000000" w:themeColor="text1"/>
          <w:sz w:val="16"/>
          <w:szCs w:val="16"/>
        </w:rPr>
      </w:pPr>
    </w:p>
    <w:p w14:paraId="69383AFE" w14:textId="77777777" w:rsidR="00A56388" w:rsidRPr="00507A31" w:rsidRDefault="00A56388" w:rsidP="00507A31">
      <w:pPr>
        <w:pStyle w:val="2a"/>
        <w:shd w:val="clear" w:color="auto" w:fill="auto"/>
        <w:spacing w:line="240" w:lineRule="auto"/>
        <w:rPr>
          <w:rFonts w:ascii="Times New Roman" w:hAnsi="Times New Roman" w:cs="Times New Roman"/>
          <w:color w:val="000000" w:themeColor="text1"/>
          <w:sz w:val="16"/>
          <w:szCs w:val="16"/>
        </w:rPr>
      </w:pPr>
      <w:r w:rsidRPr="00507A31">
        <w:rPr>
          <w:rFonts w:ascii="Times New Roman" w:hAnsi="Times New Roman" w:cs="Times New Roman"/>
          <w:color w:val="000000" w:themeColor="text1"/>
          <w:sz w:val="16"/>
          <w:szCs w:val="16"/>
        </w:rPr>
        <w:t>29 октября 1930 г. Постановление ЦИК и СНК СССР № 591 «О Всесоюзном объединении гражданского воздушного флота»</w:t>
      </w:r>
    </w:p>
    <w:p w14:paraId="2D3C18A9" w14:textId="77777777" w:rsidR="00A56388" w:rsidRPr="00507A31" w:rsidRDefault="00A56388" w:rsidP="00507A31">
      <w:pPr>
        <w:pStyle w:val="a3"/>
        <w:rPr>
          <w:color w:val="000000" w:themeColor="text1"/>
          <w:lang w:val="ru-RU"/>
        </w:rPr>
      </w:pPr>
      <w:r w:rsidRPr="00507A31">
        <w:rPr>
          <w:color w:val="000000" w:themeColor="text1"/>
          <w:lang w:val="ru-RU"/>
        </w:rPr>
        <w:t>Во изменение постановления Совета народных комиссаров Сою</w:t>
      </w:r>
      <w:r w:rsidRPr="00507A31">
        <w:rPr>
          <w:color w:val="000000" w:themeColor="text1"/>
          <w:lang w:val="ru-RU"/>
        </w:rPr>
        <w:softHyphen/>
        <w:t>за ССР от 19 октября 1930 г. об образовании Всесоюзного объединения гражданской авиации (Собр. Зак. Союза ССР 1930 г. № 52, ст. 549) Со</w:t>
      </w:r>
      <w:r w:rsidRPr="00507A31">
        <w:rPr>
          <w:color w:val="000000" w:themeColor="text1"/>
          <w:lang w:val="ru-RU"/>
        </w:rPr>
        <w:softHyphen/>
        <w:t>вет народных комиссаров Союза ССР постановляет:</w:t>
      </w:r>
    </w:p>
    <w:p w14:paraId="758AE4EE" w14:textId="77777777" w:rsidR="00A56388" w:rsidRPr="00507A31" w:rsidRDefault="00A56388" w:rsidP="00507A31">
      <w:pPr>
        <w:pStyle w:val="a3"/>
        <w:tabs>
          <w:tab w:val="left" w:pos="793"/>
        </w:tabs>
        <w:rPr>
          <w:color w:val="000000" w:themeColor="text1"/>
          <w:lang w:val="ru-RU"/>
        </w:rPr>
      </w:pPr>
      <w:r w:rsidRPr="00507A31">
        <w:rPr>
          <w:color w:val="000000" w:themeColor="text1"/>
          <w:lang w:val="ru-RU"/>
        </w:rPr>
        <w:t>1. В непосредственном ведении Совета труда и обороны органи</w:t>
      </w:r>
      <w:r w:rsidRPr="00507A31">
        <w:rPr>
          <w:color w:val="000000" w:themeColor="text1"/>
          <w:lang w:val="ru-RU"/>
        </w:rPr>
        <w:softHyphen/>
        <w:t>зуется Всесоюзное объединение гражданского воздушного флота, дей</w:t>
      </w:r>
      <w:r w:rsidRPr="00507A31">
        <w:rPr>
          <w:color w:val="000000" w:themeColor="text1"/>
          <w:lang w:val="ru-RU"/>
        </w:rPr>
        <w:softHyphen/>
        <w:t>ствующее на началах хозяйственного расчета.</w:t>
      </w:r>
    </w:p>
    <w:p w14:paraId="6C7D80FC" w14:textId="77777777" w:rsidR="00A56388" w:rsidRPr="00507A31" w:rsidRDefault="00A56388" w:rsidP="00507A31">
      <w:pPr>
        <w:pStyle w:val="a3"/>
        <w:tabs>
          <w:tab w:val="left" w:pos="802"/>
        </w:tabs>
        <w:rPr>
          <w:color w:val="000000" w:themeColor="text1"/>
          <w:lang w:val="ru-RU"/>
        </w:rPr>
      </w:pPr>
      <w:r w:rsidRPr="00507A31">
        <w:rPr>
          <w:color w:val="000000" w:themeColor="text1"/>
          <w:lang w:val="ru-RU"/>
        </w:rPr>
        <w:t>2. На Всесоюзное объединение гражданского воздушного флота возлагается:</w:t>
      </w:r>
    </w:p>
    <w:p w14:paraId="25CA2D93" w14:textId="77777777" w:rsidR="00A56388" w:rsidRPr="00507A31" w:rsidRDefault="00A56388" w:rsidP="00507A31">
      <w:pPr>
        <w:pStyle w:val="a3"/>
        <w:tabs>
          <w:tab w:val="left" w:pos="930"/>
        </w:tabs>
        <w:rPr>
          <w:color w:val="000000" w:themeColor="text1"/>
          <w:lang w:val="ru-RU"/>
        </w:rPr>
      </w:pPr>
      <w:r w:rsidRPr="00507A31">
        <w:rPr>
          <w:color w:val="000000" w:themeColor="text1"/>
          <w:lang w:val="ru-RU"/>
        </w:rPr>
        <w:t>а) эксплуатация воздушных путей сообщения;</w:t>
      </w:r>
    </w:p>
    <w:p w14:paraId="584314C7" w14:textId="77777777" w:rsidR="00A56388" w:rsidRPr="00507A31" w:rsidRDefault="00A56388" w:rsidP="00507A31">
      <w:pPr>
        <w:pStyle w:val="a3"/>
        <w:tabs>
          <w:tab w:val="left" w:pos="980"/>
        </w:tabs>
        <w:rPr>
          <w:color w:val="000000" w:themeColor="text1"/>
          <w:lang w:val="ru-RU"/>
        </w:rPr>
      </w:pPr>
      <w:r w:rsidRPr="00507A31">
        <w:rPr>
          <w:color w:val="000000" w:themeColor="text1"/>
          <w:lang w:val="ru-RU"/>
        </w:rPr>
        <w:t>б) планирование и регулирование гражданского воздушного флота, находящегося в ведении объединения и других организаций;</w:t>
      </w:r>
    </w:p>
    <w:p w14:paraId="2080EEDC" w14:textId="77777777" w:rsidR="00A56388" w:rsidRPr="00507A31" w:rsidRDefault="00A56388" w:rsidP="00507A31">
      <w:pPr>
        <w:pStyle w:val="a3"/>
        <w:tabs>
          <w:tab w:val="left" w:pos="940"/>
        </w:tabs>
        <w:rPr>
          <w:color w:val="000000" w:themeColor="text1"/>
          <w:lang w:val="ru-RU"/>
        </w:rPr>
      </w:pPr>
      <w:r w:rsidRPr="00507A31">
        <w:rPr>
          <w:color w:val="000000" w:themeColor="text1"/>
          <w:lang w:val="ru-RU"/>
        </w:rPr>
        <w:t>в) изыскание и организация новых воздушных линий;</w:t>
      </w:r>
    </w:p>
    <w:p w14:paraId="0D583C3A" w14:textId="77777777" w:rsidR="00A56388" w:rsidRPr="00507A31" w:rsidRDefault="00A56388" w:rsidP="00507A31">
      <w:pPr>
        <w:pStyle w:val="a3"/>
        <w:tabs>
          <w:tab w:val="left" w:pos="916"/>
        </w:tabs>
        <w:rPr>
          <w:color w:val="000000" w:themeColor="text1"/>
          <w:lang w:val="ru-RU"/>
        </w:rPr>
      </w:pPr>
      <w:r w:rsidRPr="00507A31">
        <w:rPr>
          <w:color w:val="000000" w:themeColor="text1"/>
          <w:lang w:val="ru-RU"/>
        </w:rPr>
        <w:t>г) подготовка кадров для гражданского воздушного флота;</w:t>
      </w:r>
    </w:p>
    <w:p w14:paraId="0D0B296E" w14:textId="77777777" w:rsidR="00A56388" w:rsidRPr="00507A31" w:rsidRDefault="00A56388" w:rsidP="00507A31">
      <w:pPr>
        <w:pStyle w:val="a3"/>
        <w:tabs>
          <w:tab w:val="left" w:pos="908"/>
        </w:tabs>
        <w:rPr>
          <w:color w:val="000000" w:themeColor="text1"/>
          <w:lang w:val="ru-RU"/>
        </w:rPr>
      </w:pPr>
      <w:r w:rsidRPr="00507A31">
        <w:rPr>
          <w:color w:val="000000" w:themeColor="text1"/>
          <w:lang w:val="ru-RU"/>
        </w:rPr>
        <w:t>д) опытное строительство воздушных судов, моторов и прибо</w:t>
      </w:r>
      <w:r w:rsidRPr="00507A31">
        <w:rPr>
          <w:color w:val="000000" w:themeColor="text1"/>
          <w:lang w:val="ru-RU"/>
        </w:rPr>
        <w:softHyphen/>
        <w:t>ров к ним;</w:t>
      </w:r>
    </w:p>
    <w:p w14:paraId="004128D2" w14:textId="77777777" w:rsidR="00A56388" w:rsidRPr="00507A31" w:rsidRDefault="00A56388" w:rsidP="00507A31">
      <w:pPr>
        <w:pStyle w:val="a3"/>
        <w:tabs>
          <w:tab w:val="left" w:pos="878"/>
        </w:tabs>
        <w:rPr>
          <w:color w:val="000000" w:themeColor="text1"/>
          <w:lang w:val="ru-RU"/>
        </w:rPr>
      </w:pPr>
      <w:r w:rsidRPr="00507A31">
        <w:rPr>
          <w:color w:val="000000" w:themeColor="text1"/>
          <w:lang w:val="ru-RU"/>
        </w:rPr>
        <w:t>е) дирижаблестроение.</w:t>
      </w:r>
    </w:p>
    <w:p w14:paraId="5EC7BB2E" w14:textId="77777777" w:rsidR="00A56388" w:rsidRPr="00507A31" w:rsidRDefault="00A56388" w:rsidP="00507A31">
      <w:pPr>
        <w:pStyle w:val="a3"/>
        <w:tabs>
          <w:tab w:val="left" w:pos="812"/>
        </w:tabs>
        <w:rPr>
          <w:color w:val="000000" w:themeColor="text1"/>
          <w:lang w:val="ru-RU"/>
        </w:rPr>
      </w:pPr>
      <w:r w:rsidRPr="00507A31">
        <w:rPr>
          <w:color w:val="000000" w:themeColor="text1"/>
          <w:lang w:val="ru-RU"/>
        </w:rPr>
        <w:t>3. Главная инспекция гражданского воздушного флота, при На</w:t>
      </w:r>
      <w:r w:rsidRPr="00507A31">
        <w:rPr>
          <w:color w:val="000000" w:themeColor="text1"/>
          <w:lang w:val="ru-RU"/>
        </w:rPr>
        <w:softHyphen/>
        <w:t>родном комиссариате по военным и морским делам с 10 ноября 1930 г. упраздняется и функции ее, а также имущество и отпущенные на 1930 г. неизрасходованные средства, передаются Всесоюзному объединению гражданского воздушного флота.</w:t>
      </w:r>
    </w:p>
    <w:p w14:paraId="2F64CB13" w14:textId="77777777" w:rsidR="00A56388" w:rsidRPr="00507A31" w:rsidRDefault="00A56388" w:rsidP="00507A31">
      <w:pPr>
        <w:pStyle w:val="a3"/>
        <w:tabs>
          <w:tab w:val="left" w:pos="826"/>
        </w:tabs>
        <w:rPr>
          <w:color w:val="000000" w:themeColor="text1"/>
          <w:lang w:val="ru-RU"/>
        </w:rPr>
      </w:pPr>
      <w:r w:rsidRPr="00507A31">
        <w:rPr>
          <w:color w:val="000000" w:themeColor="text1"/>
          <w:lang w:val="ru-RU"/>
        </w:rPr>
        <w:t>4. Капиталы и имущество акционерного общества «Добролет», согласно решению общего собрания его акционеров, передаются Все</w:t>
      </w:r>
      <w:r w:rsidRPr="00507A31">
        <w:rPr>
          <w:color w:val="000000" w:themeColor="text1"/>
          <w:lang w:val="ru-RU"/>
        </w:rPr>
        <w:softHyphen/>
        <w:t>союзному объединению гражданского воздушного флота.</w:t>
      </w:r>
    </w:p>
    <w:p w14:paraId="48CF6753" w14:textId="77777777" w:rsidR="00A56388" w:rsidRPr="00507A31" w:rsidRDefault="00A56388" w:rsidP="00507A31">
      <w:pPr>
        <w:pStyle w:val="a3"/>
        <w:rPr>
          <w:color w:val="000000" w:themeColor="text1"/>
          <w:lang w:val="ru-RU"/>
        </w:rPr>
      </w:pPr>
      <w:r w:rsidRPr="00507A31">
        <w:rPr>
          <w:color w:val="000000" w:themeColor="text1"/>
          <w:lang w:val="ru-RU"/>
        </w:rPr>
        <w:t>Всесоюзное объединение обязано до 1 января 1932 г. выплатить частным лицам — держателям акций акционерного общества «Добро- лет» стоимость этих акций.</w:t>
      </w:r>
    </w:p>
    <w:p w14:paraId="57BBC9AC" w14:textId="77777777" w:rsidR="00A56388" w:rsidRPr="00507A31" w:rsidRDefault="00A56388" w:rsidP="00507A31">
      <w:pPr>
        <w:pStyle w:val="a3"/>
        <w:rPr>
          <w:color w:val="000000" w:themeColor="text1"/>
          <w:lang w:val="ru-RU"/>
        </w:rPr>
      </w:pPr>
      <w:r w:rsidRPr="00507A31">
        <w:rPr>
          <w:color w:val="000000" w:themeColor="text1"/>
          <w:lang w:val="ru-RU"/>
        </w:rPr>
        <w:t>Акции акционерного общества «Добролет», принадлежащие частным лицам, не предъявленные к оплате до 1 января 1932 г., анну</w:t>
      </w:r>
      <w:r w:rsidRPr="00507A31">
        <w:rPr>
          <w:color w:val="000000" w:themeColor="text1"/>
          <w:lang w:val="ru-RU"/>
        </w:rPr>
        <w:softHyphen/>
        <w:t>лируются.</w:t>
      </w:r>
    </w:p>
    <w:p w14:paraId="5A34A240" w14:textId="77777777" w:rsidR="00A56388" w:rsidRPr="00507A31" w:rsidRDefault="00A56388" w:rsidP="00507A31">
      <w:pPr>
        <w:pStyle w:val="a3"/>
        <w:tabs>
          <w:tab w:val="left" w:pos="788"/>
        </w:tabs>
        <w:rPr>
          <w:color w:val="000000" w:themeColor="text1"/>
          <w:lang w:val="ru-RU"/>
        </w:rPr>
      </w:pPr>
      <w:r w:rsidRPr="00507A31">
        <w:rPr>
          <w:color w:val="000000" w:themeColor="text1"/>
          <w:lang w:val="ru-RU"/>
        </w:rPr>
        <w:t>5. Правлению объединения поручается в месячный срок разрабо</w:t>
      </w:r>
      <w:r w:rsidRPr="00507A31">
        <w:rPr>
          <w:color w:val="000000" w:themeColor="text1"/>
          <w:lang w:val="ru-RU"/>
        </w:rPr>
        <w:softHyphen/>
        <w:t>тать й представить на утверждение Совета труда и обороны проект уста</w:t>
      </w:r>
      <w:r w:rsidRPr="00507A31">
        <w:rPr>
          <w:color w:val="000000" w:themeColor="text1"/>
          <w:lang w:val="ru-RU"/>
        </w:rPr>
        <w:softHyphen/>
        <w:t>ва объединения, согласовав размеры уставного капитала с Народным комиссариатом финансов Союза ССР.</w:t>
      </w:r>
    </w:p>
    <w:p w14:paraId="30415821" w14:textId="77777777" w:rsidR="00A56388" w:rsidRPr="00507A31" w:rsidRDefault="00A56388" w:rsidP="00507A31">
      <w:pPr>
        <w:pStyle w:val="a3"/>
        <w:tabs>
          <w:tab w:val="left" w:pos="5377"/>
        </w:tabs>
        <w:rPr>
          <w:color w:val="000000" w:themeColor="text1"/>
          <w:lang w:val="ru-RU"/>
        </w:rPr>
      </w:pPr>
      <w:r w:rsidRPr="00507A31">
        <w:rPr>
          <w:color w:val="000000" w:themeColor="text1"/>
          <w:lang w:val="ru-RU"/>
        </w:rPr>
        <w:t>Председатель СНК Союза ССР</w:t>
      </w:r>
      <w:r w:rsidRPr="00507A31">
        <w:rPr>
          <w:color w:val="000000" w:themeColor="text1"/>
          <w:lang w:val="ru-RU"/>
        </w:rPr>
        <w:tab/>
        <w:t>А. И. Рыков</w:t>
      </w:r>
    </w:p>
    <w:p w14:paraId="55DEAC86" w14:textId="77777777" w:rsidR="00A56388" w:rsidRPr="00507A31" w:rsidRDefault="00A56388" w:rsidP="00507A31">
      <w:pPr>
        <w:pStyle w:val="a3"/>
        <w:rPr>
          <w:color w:val="000000" w:themeColor="text1"/>
          <w:lang w:val="ru-RU"/>
        </w:rPr>
      </w:pPr>
      <w:r w:rsidRPr="00507A31">
        <w:rPr>
          <w:color w:val="000000" w:themeColor="text1"/>
          <w:lang w:val="ru-RU"/>
        </w:rPr>
        <w:t>Зам. Управляющего делами СНК</w:t>
      </w:r>
    </w:p>
    <w:p w14:paraId="5A8D75E8" w14:textId="77777777" w:rsidR="00A56388" w:rsidRPr="00507A31" w:rsidRDefault="00A56388" w:rsidP="00507A31">
      <w:pPr>
        <w:pStyle w:val="a3"/>
        <w:tabs>
          <w:tab w:val="left" w:pos="5372"/>
        </w:tabs>
        <w:rPr>
          <w:color w:val="000000" w:themeColor="text1"/>
          <w:lang w:val="ru-RU"/>
        </w:rPr>
      </w:pPr>
      <w:r w:rsidRPr="00507A31">
        <w:rPr>
          <w:color w:val="000000" w:themeColor="text1"/>
          <w:lang w:val="ru-RU"/>
        </w:rPr>
        <w:t>Союза ССР и СТО</w:t>
      </w:r>
      <w:r w:rsidRPr="00507A31">
        <w:rPr>
          <w:color w:val="000000" w:themeColor="text1"/>
          <w:lang w:val="ru-RU"/>
        </w:rPr>
        <w:tab/>
        <w:t>Н. Матвеев</w:t>
      </w:r>
    </w:p>
    <w:p w14:paraId="7FF12E54" w14:textId="77777777" w:rsidR="00A56388" w:rsidRPr="00507A31" w:rsidRDefault="00A56388" w:rsidP="00507A31">
      <w:pPr>
        <w:pStyle w:val="310"/>
        <w:shd w:val="clear" w:color="auto" w:fill="auto"/>
        <w:spacing w:line="240" w:lineRule="auto"/>
        <w:jc w:val="both"/>
        <w:rPr>
          <w:b w:val="0"/>
          <w:i w:val="0"/>
          <w:color w:val="000000" w:themeColor="text1"/>
          <w:sz w:val="16"/>
          <w:szCs w:val="16"/>
          <w:lang w:val="ru-RU"/>
        </w:rPr>
      </w:pPr>
      <w:r w:rsidRPr="00507A31">
        <w:rPr>
          <w:b w:val="0"/>
          <w:i w:val="0"/>
          <w:color w:val="000000" w:themeColor="text1"/>
          <w:sz w:val="16"/>
          <w:szCs w:val="16"/>
          <w:lang w:val="ru-RU"/>
        </w:rPr>
        <w:t>СЗСССР. 1930. № 54. Ст. 574 (15633).</w:t>
      </w:r>
    </w:p>
    <w:p w14:paraId="628B3FAE" w14:textId="77777777" w:rsidR="00A56388" w:rsidRPr="00507A31" w:rsidRDefault="00A56388" w:rsidP="00507A31">
      <w:pPr>
        <w:pStyle w:val="2a"/>
        <w:shd w:val="clear" w:color="auto" w:fill="auto"/>
        <w:spacing w:line="240" w:lineRule="auto"/>
        <w:rPr>
          <w:rFonts w:ascii="Times New Roman" w:hAnsi="Times New Roman" w:cs="Times New Roman"/>
          <w:color w:val="000000" w:themeColor="text1"/>
          <w:sz w:val="16"/>
          <w:szCs w:val="16"/>
        </w:rPr>
      </w:pPr>
    </w:p>
    <w:p w14:paraId="06103BED" w14:textId="77777777" w:rsidR="00BA0A84" w:rsidRPr="00507A31" w:rsidRDefault="00BA0A84" w:rsidP="00507A31">
      <w:pPr>
        <w:shd w:val="clear" w:color="auto" w:fill="FFFFFF"/>
        <w:jc w:val="both"/>
        <w:textAlignment w:val="baseline"/>
        <w:rPr>
          <w:color w:val="0070C0"/>
          <w:sz w:val="16"/>
          <w:szCs w:val="16"/>
        </w:rPr>
      </w:pPr>
      <w:bookmarkStart w:id="99" w:name="_Hlk56763713"/>
      <w:r w:rsidRPr="00507A31">
        <w:rPr>
          <w:color w:val="0070C0"/>
          <w:sz w:val="16"/>
          <w:szCs w:val="16"/>
        </w:rPr>
        <w:t>29 октября 1930 года на базе обществ «Добролет» и «Укрвоздухпуть» было образовано Всесоюзное объединение гражданского воздушного флота «Добролет». 25 февраля 1932 года было образовано Главное управление Гражданского воздушного флота (ГУ ГВФ), а спустя месяц учреждено официальное сокращенное наименование гражданской авиации страны — «Аэрофлот». На многочисленных линиях воздушного сообщения эксплуатировались уже советские самолеты АНТ-9, К-4, К-5, Сталь-2, П-5 (21249).</w:t>
      </w:r>
    </w:p>
    <w:p w14:paraId="37D799E9" w14:textId="77777777" w:rsidR="00BA0A84" w:rsidRPr="00507A31" w:rsidRDefault="00BA0A84" w:rsidP="00507A31">
      <w:pPr>
        <w:shd w:val="clear" w:color="auto" w:fill="FFFFFF"/>
        <w:jc w:val="both"/>
        <w:textAlignment w:val="top"/>
        <w:rPr>
          <w:color w:val="0070C0"/>
          <w:sz w:val="16"/>
          <w:szCs w:val="16"/>
        </w:rPr>
      </w:pPr>
    </w:p>
    <w:p w14:paraId="65385CEE" w14:textId="77777777" w:rsidR="00BA0A84" w:rsidRPr="00507A31" w:rsidRDefault="00BA0A84" w:rsidP="00507A31">
      <w:pPr>
        <w:jc w:val="both"/>
        <w:rPr>
          <w:color w:val="0070C0"/>
          <w:sz w:val="16"/>
          <w:szCs w:val="16"/>
          <w:shd w:val="clear" w:color="auto" w:fill="FFFFFF"/>
        </w:rPr>
      </w:pPr>
      <w:r w:rsidRPr="00507A31">
        <w:rPr>
          <w:color w:val="0070C0"/>
          <w:sz w:val="16"/>
          <w:szCs w:val="16"/>
          <w:shd w:val="clear" w:color="auto" w:fill="FFFFFF"/>
        </w:rPr>
        <w:t>29 октября 1930 года образовано Всесоюзное объединение гражданского воздушного флота при Совете Труда и Обороны (ВО ГВФ). Общество «Добролёт», Общество «Укрвоздухпуть» и Главная Инспекция воздушного флота (учрежденная 1 декабря 1922 года Приказом Революционного Военного Совета Республики при Главном управлении Рабоче - Крестьянского Красного Воздушного Флота - Главвоздухофлот) — упразднены, на их базе и было создано новое объединение - «Добролёт СССР».</w:t>
      </w:r>
    </w:p>
    <w:p w14:paraId="3E51F5C5" w14:textId="77777777" w:rsidR="00BA0A84" w:rsidRPr="00507A31" w:rsidRDefault="00BA0A84" w:rsidP="00507A31">
      <w:pPr>
        <w:jc w:val="both"/>
        <w:rPr>
          <w:color w:val="0070C0"/>
          <w:sz w:val="16"/>
          <w:szCs w:val="16"/>
          <w:shd w:val="clear" w:color="auto" w:fill="FFFFFF"/>
        </w:rPr>
      </w:pPr>
      <w:r w:rsidRPr="00507A31">
        <w:rPr>
          <w:color w:val="0070C0"/>
          <w:sz w:val="16"/>
          <w:szCs w:val="16"/>
          <w:shd w:val="clear" w:color="auto" w:fill="FFFFFF"/>
        </w:rPr>
        <w:t>К этому моменту общая протяжённость линий Общества составляла 26 тысяч километров; было перевезено 47 тысяч пассажиров и 408 тонн грузов. В конце 20-х годов компания занималась так же сборкой по лицензии грузопассажирских самолетов Junkers F.13 (21413).</w:t>
      </w:r>
    </w:p>
    <w:p w14:paraId="694E6234" w14:textId="77777777" w:rsidR="00BA0A84" w:rsidRPr="00507A31" w:rsidRDefault="00BA0A84" w:rsidP="00507A31">
      <w:pPr>
        <w:jc w:val="both"/>
        <w:rPr>
          <w:color w:val="0070C0"/>
          <w:sz w:val="16"/>
          <w:szCs w:val="16"/>
          <w:shd w:val="clear" w:color="auto" w:fill="FFFFFF"/>
        </w:rPr>
      </w:pPr>
    </w:p>
    <w:p w14:paraId="7F1A4459" w14:textId="77777777" w:rsidR="00BA0A84" w:rsidRPr="00507A31" w:rsidRDefault="00BA0A84" w:rsidP="00507A31">
      <w:pPr>
        <w:shd w:val="clear" w:color="auto" w:fill="FFFFFF"/>
        <w:jc w:val="both"/>
        <w:textAlignment w:val="top"/>
        <w:rPr>
          <w:color w:val="0070C0"/>
          <w:sz w:val="16"/>
          <w:szCs w:val="16"/>
        </w:rPr>
      </w:pPr>
      <w:r w:rsidRPr="00507A31">
        <w:rPr>
          <w:color w:val="0070C0"/>
          <w:sz w:val="16"/>
          <w:szCs w:val="16"/>
        </w:rPr>
        <w:t>29 октября 1930 года</w:t>
      </w:r>
    </w:p>
    <w:p w14:paraId="2DBCF3E8" w14:textId="77777777" w:rsidR="00BA0A84" w:rsidRPr="00507A31" w:rsidRDefault="00BA0A84" w:rsidP="00507A31">
      <w:pPr>
        <w:shd w:val="clear" w:color="auto" w:fill="FFFFFF"/>
        <w:jc w:val="both"/>
        <w:textAlignment w:val="top"/>
        <w:rPr>
          <w:color w:val="0070C0"/>
          <w:sz w:val="16"/>
          <w:szCs w:val="16"/>
        </w:rPr>
      </w:pPr>
      <w:r w:rsidRPr="00507A31">
        <w:rPr>
          <w:color w:val="0070C0"/>
          <w:sz w:val="16"/>
          <w:szCs w:val="16"/>
        </w:rPr>
        <w:t>Постановление СНК №591 от 29 октября 1931 года «О Всесоюзном объединении гражданского воздушного флота” (Во изменение постановления Совета народных комиссаров Союза ССР от 19 октября 1930 г. об образовании Всесоюзного объединения гражданской авиации (Собр. Зак. Союза ССР 1930 г. № 52, ст. 549) Совет народных комиссаров Союза ССР постановляет: В непосредственном ведении Совета труда и обороны организуется Всесоюзное объединение гражданского воздушного флота, действующее на началах хозяйственного расчета.... Капиталы и имущество акционерного общества “Добролет”, согласно решения общего собрания его акционеров, передаются Всесоюзному объединению гражданского воздушного флота.) (20226)</w:t>
      </w:r>
    </w:p>
    <w:p w14:paraId="44E5E293" w14:textId="77777777" w:rsidR="00BA0A84" w:rsidRPr="00507A31" w:rsidRDefault="00BA0A84" w:rsidP="00507A31">
      <w:pPr>
        <w:shd w:val="clear" w:color="auto" w:fill="FFFFFF"/>
        <w:jc w:val="both"/>
        <w:textAlignment w:val="top"/>
        <w:rPr>
          <w:color w:val="0070C0"/>
          <w:sz w:val="16"/>
          <w:szCs w:val="16"/>
        </w:rPr>
      </w:pPr>
    </w:p>
    <w:bookmarkEnd w:id="99"/>
    <w:p w14:paraId="1316D71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E46883C" w14:textId="77777777" w:rsidR="00537E5F" w:rsidRPr="00507A31" w:rsidRDefault="00537E5F" w:rsidP="00507A31">
      <w:pPr>
        <w:autoSpaceDE w:val="0"/>
        <w:autoSpaceDN w:val="0"/>
        <w:adjustRightInd w:val="0"/>
        <w:jc w:val="both"/>
        <w:rPr>
          <w:iCs/>
          <w:color w:val="000000" w:themeColor="text1"/>
          <w:sz w:val="16"/>
          <w:szCs w:val="16"/>
        </w:rPr>
      </w:pPr>
    </w:p>
    <w:p w14:paraId="22E561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29 октября 1930 года Дыренков писал начальнику УММ РККА И.Халепскому: </w:t>
      </w:r>
    </w:p>
    <w:p w14:paraId="54E5E6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"Сообщаю, что вследствие обычных для Ижорского завода неполадок, коробки, поддерживающие танк на гусеничном ходу, в третий раз испорчены заводом. В настоящее время они отлиты в четвертый раз. Корпус танка после переклепки сегодня ночью хвостовой части снят со станка. В работе остались шевронные шестерни передачи и редуктора, взамен испорченных заводом. С сегодняшнего дня начаты работы по сборке и монтажу наружных механизмов на корпусе" (10291).</w:t>
      </w:r>
    </w:p>
    <w:p w14:paraId="12DB58DF" w14:textId="77777777" w:rsidR="00537E5F" w:rsidRPr="00507A31" w:rsidRDefault="00537E5F" w:rsidP="00507A31">
      <w:pPr>
        <w:autoSpaceDE w:val="0"/>
        <w:autoSpaceDN w:val="0"/>
        <w:adjustRightInd w:val="0"/>
        <w:jc w:val="both"/>
        <w:rPr>
          <w:color w:val="000000" w:themeColor="text1"/>
          <w:sz w:val="16"/>
          <w:szCs w:val="16"/>
        </w:rPr>
      </w:pPr>
    </w:p>
    <w:p w14:paraId="03ED1824" w14:textId="77777777" w:rsidR="00E0447F" w:rsidRPr="00507A31" w:rsidRDefault="00E0447F" w:rsidP="00507A31">
      <w:pPr>
        <w:jc w:val="both"/>
        <w:rPr>
          <w:color w:val="000000" w:themeColor="text1"/>
          <w:sz w:val="16"/>
          <w:szCs w:val="16"/>
        </w:rPr>
      </w:pPr>
      <w:r w:rsidRPr="00507A31">
        <w:rPr>
          <w:color w:val="000000" w:themeColor="text1"/>
          <w:sz w:val="16"/>
          <w:szCs w:val="16"/>
        </w:rPr>
        <w:t>29 октября 1930 года Дыренков отправил начальнику УММ РККА И.Халепскому следующее донесение:</w:t>
      </w:r>
    </w:p>
    <w:p w14:paraId="39C3C83D" w14:textId="77777777" w:rsidR="00E0447F" w:rsidRPr="00507A31" w:rsidRDefault="00E0447F" w:rsidP="00507A31">
      <w:pPr>
        <w:jc w:val="both"/>
        <w:rPr>
          <w:color w:val="000000" w:themeColor="text1"/>
          <w:sz w:val="16"/>
          <w:szCs w:val="16"/>
        </w:rPr>
      </w:pPr>
      <w:r w:rsidRPr="00507A31">
        <w:rPr>
          <w:color w:val="000000" w:themeColor="text1"/>
          <w:sz w:val="16"/>
          <w:szCs w:val="16"/>
        </w:rPr>
        <w:t xml:space="preserve">“Сообщаю, что вследствие обычных для Ижорского завода неполадок, коробки, поддерживающие </w:t>
      </w:r>
      <w:hyperlink r:id="rId159" w:tgtFrame="_blank" w:history="1">
        <w:r w:rsidRPr="00507A31">
          <w:rPr>
            <w:color w:val="000000" w:themeColor="text1"/>
            <w:sz w:val="16"/>
            <w:szCs w:val="16"/>
          </w:rPr>
          <w:t>танк</w:t>
        </w:r>
      </w:hyperlink>
      <w:r w:rsidRPr="00507A31">
        <w:rPr>
          <w:color w:val="000000" w:themeColor="text1"/>
          <w:sz w:val="16"/>
          <w:szCs w:val="16"/>
        </w:rPr>
        <w:t xml:space="preserve"> на гусеничном ходу, в третий раз испорчены заводом. В настоящее время они отлиты в четвертый раз. Корпус </w:t>
      </w:r>
      <w:hyperlink r:id="rId160" w:tgtFrame="_blank" w:history="1">
        <w:r w:rsidRPr="00507A31">
          <w:rPr>
            <w:color w:val="000000" w:themeColor="text1"/>
            <w:sz w:val="16"/>
            <w:szCs w:val="16"/>
          </w:rPr>
          <w:t>танк</w:t>
        </w:r>
      </w:hyperlink>
      <w:r w:rsidRPr="00507A31">
        <w:rPr>
          <w:color w:val="000000" w:themeColor="text1"/>
          <w:sz w:val="16"/>
          <w:szCs w:val="16"/>
        </w:rPr>
        <w:t>а после переклепки сегодня ночью хвостовой части снят со с</w:t>
      </w:r>
      <w:hyperlink r:id="rId161" w:tgtFrame="_blank" w:history="1">
        <w:r w:rsidRPr="00507A31">
          <w:rPr>
            <w:color w:val="000000" w:themeColor="text1"/>
            <w:sz w:val="16"/>
            <w:szCs w:val="16"/>
          </w:rPr>
          <w:t>танк</w:t>
        </w:r>
      </w:hyperlink>
      <w:r w:rsidRPr="00507A31">
        <w:rPr>
          <w:color w:val="000000" w:themeColor="text1"/>
          <w:sz w:val="16"/>
          <w:szCs w:val="16"/>
        </w:rPr>
        <w:t>а. В работе остались шевронные шестерни передачи и редуктора, взамен испорченных заводом. С сегодняшнего дня начаты работы по сборке и монтажу наружных механизмов на корпусе”.</w:t>
      </w:r>
    </w:p>
    <w:p w14:paraId="26E5979D" w14:textId="77777777" w:rsidR="00E0447F" w:rsidRPr="00507A31" w:rsidRDefault="00E0447F" w:rsidP="00507A31">
      <w:pPr>
        <w:jc w:val="both"/>
        <w:rPr>
          <w:color w:val="000000" w:themeColor="text1"/>
          <w:sz w:val="16"/>
          <w:szCs w:val="16"/>
        </w:rPr>
      </w:pPr>
      <w:r w:rsidRPr="00507A31">
        <w:rPr>
          <w:color w:val="000000" w:themeColor="text1"/>
          <w:sz w:val="16"/>
          <w:szCs w:val="16"/>
        </w:rPr>
        <w:t>В это же время Дыренков был назначен руководителем опытно-конструкторское и испытательное бюро находившемся в Москве, поэтому окончательную сборку Д-4 производили на на территории Московского железнодорожного ремонтного завода (Можерез, позднее - литейно-механический завод в Люблино) (15618).</w:t>
      </w:r>
    </w:p>
    <w:p w14:paraId="50F63880" w14:textId="77777777" w:rsidR="00E0447F" w:rsidRPr="00507A31" w:rsidRDefault="00E0447F" w:rsidP="00507A31">
      <w:pPr>
        <w:jc w:val="both"/>
        <w:rPr>
          <w:color w:val="000000" w:themeColor="text1"/>
          <w:sz w:val="16"/>
          <w:szCs w:val="16"/>
        </w:rPr>
      </w:pPr>
    </w:p>
    <w:p w14:paraId="10E277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 октября 1930 года Учитывая широкий диапазон Дыренкова, было сформировано опытно-конструкторское и испытательное бюро УММ РККА под его руководством. Следует отметить, что за 2 года существования этого КБ, расформированного 1 декабря 1932 года, Дыренков спроектировал (часть была изготовлена) более 50 раз</w:t>
      </w:r>
      <w:r w:rsidRPr="00507A31">
        <w:rPr>
          <w:color w:val="000000" w:themeColor="text1"/>
          <w:sz w:val="16"/>
          <w:szCs w:val="16"/>
        </w:rPr>
        <w:softHyphen/>
        <w:t>личных боевых машин — танки, бронеавтомобили, мото-броневагоны, бронедрезины, вездеходы, танковые башни и коробки перемены передач и даже разработал танко</w:t>
      </w:r>
      <w:r w:rsidRPr="00507A31">
        <w:rPr>
          <w:color w:val="000000" w:themeColor="text1"/>
          <w:sz w:val="16"/>
          <w:szCs w:val="16"/>
        </w:rPr>
        <w:softHyphen/>
        <w:t>вую броню марки Д. Причем более 20 его машин были во</w:t>
      </w:r>
      <w:r w:rsidRPr="00507A31">
        <w:rPr>
          <w:color w:val="000000" w:themeColor="text1"/>
          <w:sz w:val="16"/>
          <w:szCs w:val="16"/>
        </w:rPr>
        <w:softHyphen/>
        <w:t>площены в металле! Поэтому ничего удивительного в том, что в ноябре 1930 года проектирование бронеавтомоби</w:t>
      </w:r>
      <w:r w:rsidRPr="00507A31">
        <w:rPr>
          <w:color w:val="000000" w:themeColor="text1"/>
          <w:sz w:val="16"/>
          <w:szCs w:val="16"/>
        </w:rPr>
        <w:softHyphen/>
        <w:t>лей передали из КБ Ижорского завода в КБ одаренного самоучки (11284).</w:t>
      </w:r>
    </w:p>
    <w:p w14:paraId="5B1D52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EF94DDB" w14:textId="77777777" w:rsidR="00373CA1" w:rsidRPr="00507A31" w:rsidRDefault="00373CA1" w:rsidP="00507A31">
      <w:pPr>
        <w:jc w:val="both"/>
        <w:rPr>
          <w:color w:val="000000" w:themeColor="text1"/>
          <w:sz w:val="16"/>
          <w:szCs w:val="16"/>
        </w:rPr>
      </w:pPr>
      <w:r w:rsidRPr="00507A31">
        <w:rPr>
          <w:color w:val="000000" w:themeColor="text1"/>
          <w:sz w:val="16"/>
          <w:szCs w:val="16"/>
        </w:rPr>
        <w:t>29 октября 1930 г. Постановление Президиума ВСНХ СССР о перспективном плане реконструкции заводов тяжелого машиностроения (доклад ВОМТ) (РГАЭ. Ф. 3429. Оп. 1. Д. 5195. Л. 145?152) (12417).</w:t>
      </w:r>
    </w:p>
    <w:p w14:paraId="0D2C74F9" w14:textId="77777777" w:rsidR="00373CA1" w:rsidRPr="00507A31" w:rsidRDefault="00373CA1" w:rsidP="00507A31">
      <w:pPr>
        <w:jc w:val="both"/>
        <w:rPr>
          <w:color w:val="000000" w:themeColor="text1"/>
          <w:sz w:val="16"/>
          <w:szCs w:val="16"/>
        </w:rPr>
      </w:pPr>
    </w:p>
    <w:p w14:paraId="7D90209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D3F1A2C" w14:textId="77777777" w:rsidR="00537E5F" w:rsidRPr="00507A31" w:rsidRDefault="00537E5F" w:rsidP="00507A31">
      <w:pPr>
        <w:autoSpaceDE w:val="0"/>
        <w:autoSpaceDN w:val="0"/>
        <w:adjustRightInd w:val="0"/>
        <w:jc w:val="both"/>
        <w:rPr>
          <w:iCs/>
          <w:color w:val="000000" w:themeColor="text1"/>
          <w:sz w:val="16"/>
          <w:szCs w:val="16"/>
        </w:rPr>
      </w:pPr>
    </w:p>
    <w:p w14:paraId="18DBD13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30 октября 1930 года в ЦАГИ состоялся полет на Р6 пробный с перегрузкой в 1,5 тонны (6925).</w:t>
      </w:r>
    </w:p>
    <w:p w14:paraId="43F7076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2FC4B5B" w14:textId="77777777" w:rsidR="00D6127F" w:rsidRPr="00507A31" w:rsidRDefault="00D6127F" w:rsidP="00507A31">
      <w:pPr>
        <w:jc w:val="both"/>
        <w:rPr>
          <w:color w:val="0070C0"/>
          <w:sz w:val="16"/>
          <w:szCs w:val="16"/>
          <w:lang w:bidi="ru-RU"/>
        </w:rPr>
      </w:pPr>
      <w:r w:rsidRPr="00507A31">
        <w:rPr>
          <w:color w:val="0070C0"/>
          <w:sz w:val="16"/>
          <w:szCs w:val="16"/>
          <w:lang w:bidi="ru-RU"/>
        </w:rPr>
        <w:t>30 ок</w:t>
      </w:r>
      <w:r w:rsidRPr="00507A31">
        <w:rPr>
          <w:color w:val="0070C0"/>
          <w:sz w:val="16"/>
          <w:szCs w:val="16"/>
          <w:lang w:bidi="ru-RU"/>
        </w:rPr>
        <w:softHyphen/>
        <w:t>тября 1930 в УВВС решили заказать поплавковое шасси в Англии, у известной фирмы «Шорт». Тем временем «Шорт» продала Советскому Союзу пару поплавков подходящей грузоподъемности. Они были не</w:t>
      </w:r>
      <w:r w:rsidRPr="00507A31">
        <w:rPr>
          <w:color w:val="0070C0"/>
          <w:sz w:val="16"/>
          <w:szCs w:val="16"/>
          <w:lang w:bidi="ru-RU"/>
        </w:rPr>
        <w:softHyphen/>
        <w:t>много больше использованных ранее и имели более «пол</w:t>
      </w:r>
      <w:r w:rsidRPr="00507A31">
        <w:rPr>
          <w:color w:val="0070C0"/>
          <w:sz w:val="16"/>
          <w:szCs w:val="16"/>
          <w:lang w:bidi="ru-RU"/>
        </w:rPr>
        <w:softHyphen/>
        <w:t>ные» очертания (20325).</w:t>
      </w:r>
    </w:p>
    <w:p w14:paraId="03E3C08C" w14:textId="77777777" w:rsidR="00D6127F" w:rsidRPr="00507A31" w:rsidRDefault="00D6127F" w:rsidP="00507A31">
      <w:pPr>
        <w:jc w:val="both"/>
        <w:rPr>
          <w:color w:val="0070C0"/>
          <w:sz w:val="16"/>
          <w:szCs w:val="16"/>
          <w:lang w:bidi="ru-RU"/>
        </w:rPr>
      </w:pPr>
    </w:p>
    <w:p w14:paraId="535E7035" w14:textId="77777777" w:rsidR="00D6127F" w:rsidRPr="00507A31" w:rsidRDefault="00D6127F" w:rsidP="00507A31">
      <w:pPr>
        <w:shd w:val="clear" w:color="auto" w:fill="FFFFFF"/>
        <w:jc w:val="both"/>
        <w:rPr>
          <w:color w:val="0070C0"/>
          <w:sz w:val="16"/>
          <w:szCs w:val="16"/>
        </w:rPr>
      </w:pPr>
      <w:r w:rsidRPr="00507A31">
        <w:rPr>
          <w:color w:val="0070C0"/>
          <w:sz w:val="16"/>
          <w:szCs w:val="16"/>
        </w:rPr>
        <w:t>30 октября 1930 г., согласно отчёту АГОС, «АНТ-2 бис строился внепланово, с использованием задела Кольчугинского завода, и намеченный срок выпуска самолёта АНТ-2 бис 10.IV-30 г. не был выполнен» (21472).</w:t>
      </w:r>
    </w:p>
    <w:p w14:paraId="690387AE" w14:textId="77777777" w:rsidR="00D6127F" w:rsidRPr="00507A31" w:rsidRDefault="00D6127F" w:rsidP="00507A31">
      <w:pPr>
        <w:shd w:val="clear" w:color="auto" w:fill="FFFFFF"/>
        <w:jc w:val="both"/>
        <w:rPr>
          <w:color w:val="0070C0"/>
          <w:sz w:val="16"/>
          <w:szCs w:val="16"/>
        </w:rPr>
      </w:pPr>
    </w:p>
    <w:p w14:paraId="76E39FA8" w14:textId="77777777" w:rsidR="005242C5" w:rsidRPr="00507A31" w:rsidRDefault="005242C5" w:rsidP="00507A31">
      <w:pPr>
        <w:jc w:val="both"/>
        <w:rPr>
          <w:color w:val="000000" w:themeColor="text1"/>
          <w:sz w:val="16"/>
          <w:szCs w:val="16"/>
        </w:rPr>
      </w:pPr>
      <w:r w:rsidRPr="00507A31">
        <w:rPr>
          <w:color w:val="000000" w:themeColor="text1"/>
          <w:sz w:val="16"/>
          <w:szCs w:val="16"/>
        </w:rPr>
        <w:t xml:space="preserve">30 октября 1930 г. в отчёте АГОС сообщалось, что «АНТ-2 бис строился внепланово, с использованием задела Кольчугинского завода, и намеченный срок выпуска самолёта АНТ-2 бис 10.IV-30 г. не был выполнен». В материалах АГОС от 25 июня 1930 г. сообщалось, что самолёт сделал только один полёт, испытания пришлось прервать из-за течи масла </w:t>
      </w:r>
      <w:hyperlink r:id="rId162" w:history="1">
        <w:r w:rsidRPr="00507A31">
          <w:rPr>
            <w:color w:val="000000" w:themeColor="text1"/>
            <w:sz w:val="16"/>
            <w:szCs w:val="16"/>
          </w:rPr>
          <w:t>[33]</w:t>
        </w:r>
      </w:hyperlink>
      <w:r w:rsidRPr="00507A31">
        <w:rPr>
          <w:color w:val="000000" w:themeColor="text1"/>
          <w:sz w:val="16"/>
          <w:szCs w:val="16"/>
        </w:rPr>
        <w:t xml:space="preserve"> . Да он был уже и не нужен, так как разворачивался серийный выпуск 9-местного АНТ-9 со значительно лучшими характеристиками (17489).</w:t>
      </w:r>
    </w:p>
    <w:p w14:paraId="1570D470" w14:textId="77777777" w:rsidR="005242C5" w:rsidRPr="00507A31" w:rsidRDefault="005242C5" w:rsidP="00507A31">
      <w:pPr>
        <w:jc w:val="both"/>
        <w:rPr>
          <w:color w:val="000000" w:themeColor="text1"/>
          <w:sz w:val="16"/>
          <w:szCs w:val="16"/>
        </w:rPr>
      </w:pPr>
    </w:p>
    <w:p w14:paraId="24928F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октября 1930 была закончена постройка АНТ-8 МДР-2 (1017,212).</w:t>
      </w:r>
    </w:p>
    <w:p w14:paraId="2596028D" w14:textId="77777777" w:rsidR="00537E5F" w:rsidRPr="00507A31" w:rsidRDefault="00537E5F" w:rsidP="00507A31">
      <w:pPr>
        <w:autoSpaceDE w:val="0"/>
        <w:autoSpaceDN w:val="0"/>
        <w:adjustRightInd w:val="0"/>
        <w:jc w:val="both"/>
        <w:rPr>
          <w:color w:val="000000" w:themeColor="text1"/>
          <w:sz w:val="16"/>
          <w:szCs w:val="16"/>
        </w:rPr>
      </w:pPr>
    </w:p>
    <w:p w14:paraId="06EC91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октября 1930 года было утверждено место для строительства завода М в 4 км к югу от центра города Перми, по водоразделу между речками Егошиха и Дагилиха. Весной 1931 года было приступлено к строительству завода. В 1932 году началось строительство производственных корпусов. В марте 1934 года директором завода был назначен Побережский И.И. В середине 1933 года завод получил задание подготовиться на 1934 год к производству моторов М-25.</w:t>
      </w:r>
    </w:p>
    <w:p w14:paraId="3C9875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3FEB76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4724C4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689ECB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2EFF73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w:t>
      </w:r>
    </w:p>
    <w:p w14:paraId="18F1ED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1434CA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483CA7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59EBA4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Правительственная программа 1939 года определялась выпуском моторов М-25В, М-62, М-62ИР и М-63.</w:t>
      </w:r>
    </w:p>
    <w:p w14:paraId="4004F1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того, была поставлена задача по освоению и выпуску нового агрегата-турбокомпрессора.</w:t>
      </w:r>
    </w:p>
    <w:p w14:paraId="18B11E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5DE369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программу 1939 года выполнил на 81%, а 1940 года – на 64%.</w:t>
      </w:r>
    </w:p>
    <w:p w14:paraId="785DC4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40584C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166C6E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58D6B0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3F2E02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E371BA" w:rsidRPr="00507A31" w14:paraId="1B060ADA" w14:textId="77777777">
        <w:tc>
          <w:tcPr>
            <w:tcW w:w="1160" w:type="dxa"/>
          </w:tcPr>
          <w:p w14:paraId="63173F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Типы изделий</w:t>
            </w:r>
          </w:p>
        </w:tc>
        <w:tc>
          <w:tcPr>
            <w:tcW w:w="791" w:type="dxa"/>
          </w:tcPr>
          <w:p w14:paraId="0DFC92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1950 год</w:t>
            </w:r>
          </w:p>
        </w:tc>
        <w:tc>
          <w:tcPr>
            <w:tcW w:w="851" w:type="dxa"/>
          </w:tcPr>
          <w:p w14:paraId="2D96FB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1951 год</w:t>
            </w:r>
          </w:p>
        </w:tc>
        <w:tc>
          <w:tcPr>
            <w:tcW w:w="850" w:type="dxa"/>
          </w:tcPr>
          <w:p w14:paraId="144069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1952 год</w:t>
            </w:r>
          </w:p>
        </w:tc>
        <w:tc>
          <w:tcPr>
            <w:tcW w:w="851" w:type="dxa"/>
          </w:tcPr>
          <w:p w14:paraId="062C1D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1953 год</w:t>
            </w:r>
          </w:p>
        </w:tc>
        <w:tc>
          <w:tcPr>
            <w:tcW w:w="850" w:type="dxa"/>
          </w:tcPr>
          <w:p w14:paraId="657C91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1954 год</w:t>
            </w:r>
          </w:p>
        </w:tc>
        <w:tc>
          <w:tcPr>
            <w:tcW w:w="851" w:type="dxa"/>
          </w:tcPr>
          <w:p w14:paraId="76E9B9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1955 год</w:t>
            </w:r>
          </w:p>
        </w:tc>
        <w:tc>
          <w:tcPr>
            <w:tcW w:w="850" w:type="dxa"/>
          </w:tcPr>
          <w:p w14:paraId="7F6C08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1956 год</w:t>
            </w:r>
          </w:p>
        </w:tc>
        <w:tc>
          <w:tcPr>
            <w:tcW w:w="851" w:type="dxa"/>
          </w:tcPr>
          <w:p w14:paraId="6E8931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1957 год</w:t>
            </w:r>
          </w:p>
        </w:tc>
        <w:tc>
          <w:tcPr>
            <w:tcW w:w="850" w:type="dxa"/>
          </w:tcPr>
          <w:p w14:paraId="203136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1958 год</w:t>
            </w:r>
          </w:p>
        </w:tc>
      </w:tr>
      <w:tr w:rsidR="00E371BA" w:rsidRPr="00507A31" w14:paraId="40B77EA4" w14:textId="77777777">
        <w:tc>
          <w:tcPr>
            <w:tcW w:w="1160" w:type="dxa"/>
          </w:tcPr>
          <w:p w14:paraId="51DB01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АШ-82ФН</w:t>
            </w:r>
          </w:p>
        </w:tc>
        <w:tc>
          <w:tcPr>
            <w:tcW w:w="791" w:type="dxa"/>
          </w:tcPr>
          <w:p w14:paraId="59E675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851" w:type="dxa"/>
          </w:tcPr>
          <w:p w14:paraId="794818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510</w:t>
            </w:r>
          </w:p>
        </w:tc>
        <w:tc>
          <w:tcPr>
            <w:tcW w:w="850" w:type="dxa"/>
          </w:tcPr>
          <w:p w14:paraId="5DCFF268"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0D935C79"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694F3584"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1EC50590"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07731B6A"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5EF6A87"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2CD69FA6"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44D38DC" w14:textId="77777777">
        <w:tc>
          <w:tcPr>
            <w:tcW w:w="1160" w:type="dxa"/>
          </w:tcPr>
          <w:p w14:paraId="5A8243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АШ-73</w:t>
            </w:r>
          </w:p>
        </w:tc>
        <w:tc>
          <w:tcPr>
            <w:tcW w:w="791" w:type="dxa"/>
          </w:tcPr>
          <w:p w14:paraId="526565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1973</w:t>
            </w:r>
          </w:p>
        </w:tc>
        <w:tc>
          <w:tcPr>
            <w:tcW w:w="851" w:type="dxa"/>
          </w:tcPr>
          <w:p w14:paraId="16FCD9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1939</w:t>
            </w:r>
          </w:p>
        </w:tc>
        <w:tc>
          <w:tcPr>
            <w:tcW w:w="850" w:type="dxa"/>
          </w:tcPr>
          <w:p w14:paraId="7D2C30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1207</w:t>
            </w:r>
          </w:p>
        </w:tc>
        <w:tc>
          <w:tcPr>
            <w:tcW w:w="851" w:type="dxa"/>
          </w:tcPr>
          <w:p w14:paraId="23453664"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31445419"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255B1EA5"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33B3786F"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072001A9"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71EC60D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530D924" w14:textId="77777777">
        <w:tc>
          <w:tcPr>
            <w:tcW w:w="1160" w:type="dxa"/>
          </w:tcPr>
          <w:p w14:paraId="718B0E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ТК-19</w:t>
            </w:r>
          </w:p>
        </w:tc>
        <w:tc>
          <w:tcPr>
            <w:tcW w:w="791" w:type="dxa"/>
          </w:tcPr>
          <w:p w14:paraId="7EB79E95"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54BBD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3678</w:t>
            </w:r>
          </w:p>
        </w:tc>
        <w:tc>
          <w:tcPr>
            <w:tcW w:w="850" w:type="dxa"/>
          </w:tcPr>
          <w:p w14:paraId="25C21A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2800</w:t>
            </w:r>
          </w:p>
        </w:tc>
        <w:tc>
          <w:tcPr>
            <w:tcW w:w="851" w:type="dxa"/>
          </w:tcPr>
          <w:p w14:paraId="227C55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68</w:t>
            </w:r>
          </w:p>
        </w:tc>
        <w:tc>
          <w:tcPr>
            <w:tcW w:w="850" w:type="dxa"/>
          </w:tcPr>
          <w:p w14:paraId="16DEBAE3"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79B45301"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15E14494"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7E1094F0"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5D2EBDB6"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52F5A4A" w14:textId="77777777">
        <w:tc>
          <w:tcPr>
            <w:tcW w:w="1160" w:type="dxa"/>
          </w:tcPr>
          <w:p w14:paraId="1E0714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АШ-82В</w:t>
            </w:r>
          </w:p>
        </w:tc>
        <w:tc>
          <w:tcPr>
            <w:tcW w:w="791" w:type="dxa"/>
          </w:tcPr>
          <w:p w14:paraId="10B38EA0"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53733C2F"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06D8A9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183</w:t>
            </w:r>
          </w:p>
        </w:tc>
        <w:tc>
          <w:tcPr>
            <w:tcW w:w="851" w:type="dxa"/>
          </w:tcPr>
          <w:p w14:paraId="40E85F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650</w:t>
            </w:r>
          </w:p>
        </w:tc>
        <w:tc>
          <w:tcPr>
            <w:tcW w:w="850" w:type="dxa"/>
          </w:tcPr>
          <w:p w14:paraId="2DA8D9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93</w:t>
            </w:r>
          </w:p>
        </w:tc>
        <w:tc>
          <w:tcPr>
            <w:tcW w:w="851" w:type="dxa"/>
          </w:tcPr>
          <w:p w14:paraId="41AE2B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850" w:type="dxa"/>
          </w:tcPr>
          <w:p w14:paraId="51D6C2D6"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36FD72FF"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34315FA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3D42C05" w14:textId="77777777">
        <w:tc>
          <w:tcPr>
            <w:tcW w:w="1160" w:type="dxa"/>
          </w:tcPr>
          <w:p w14:paraId="64A7B3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АШ-82Т</w:t>
            </w:r>
          </w:p>
        </w:tc>
        <w:tc>
          <w:tcPr>
            <w:tcW w:w="791" w:type="dxa"/>
          </w:tcPr>
          <w:p w14:paraId="10A9C765"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5C533433"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7F065F71"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328866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850" w:type="dxa"/>
          </w:tcPr>
          <w:p w14:paraId="35DF0D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255</w:t>
            </w:r>
          </w:p>
        </w:tc>
        <w:tc>
          <w:tcPr>
            <w:tcW w:w="851" w:type="dxa"/>
          </w:tcPr>
          <w:p w14:paraId="49033F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850" w:type="dxa"/>
          </w:tcPr>
          <w:p w14:paraId="1CA409F1"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5C1E2CE1"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0CAC94C6"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F6950BD" w14:textId="77777777">
        <w:tc>
          <w:tcPr>
            <w:tcW w:w="1160" w:type="dxa"/>
          </w:tcPr>
          <w:p w14:paraId="0DA9AF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ВК-1А</w:t>
            </w:r>
          </w:p>
        </w:tc>
        <w:tc>
          <w:tcPr>
            <w:tcW w:w="791" w:type="dxa"/>
          </w:tcPr>
          <w:p w14:paraId="41C1B2F5"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3EFB33F3"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4604CE0A"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41612A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44</w:t>
            </w:r>
          </w:p>
        </w:tc>
        <w:tc>
          <w:tcPr>
            <w:tcW w:w="850" w:type="dxa"/>
          </w:tcPr>
          <w:p w14:paraId="47A94F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954</w:t>
            </w:r>
          </w:p>
        </w:tc>
        <w:tc>
          <w:tcPr>
            <w:tcW w:w="851" w:type="dxa"/>
          </w:tcPr>
          <w:p w14:paraId="454EDB18"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7D380394"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8EE3921"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1612844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FCCA069" w14:textId="77777777">
        <w:tc>
          <w:tcPr>
            <w:tcW w:w="1160" w:type="dxa"/>
          </w:tcPr>
          <w:p w14:paraId="664B3E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АМ-3</w:t>
            </w:r>
          </w:p>
        </w:tc>
        <w:tc>
          <w:tcPr>
            <w:tcW w:w="791" w:type="dxa"/>
          </w:tcPr>
          <w:p w14:paraId="6FA1C911"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2CAB7AC0"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4990EF0B"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582F43EC"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284DA727"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461244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435</w:t>
            </w:r>
          </w:p>
        </w:tc>
        <w:tc>
          <w:tcPr>
            <w:tcW w:w="850" w:type="dxa"/>
          </w:tcPr>
          <w:p w14:paraId="45E0B1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556</w:t>
            </w:r>
          </w:p>
        </w:tc>
        <w:tc>
          <w:tcPr>
            <w:tcW w:w="851" w:type="dxa"/>
          </w:tcPr>
          <w:p w14:paraId="58039E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271</w:t>
            </w:r>
          </w:p>
        </w:tc>
        <w:tc>
          <w:tcPr>
            <w:tcW w:w="850" w:type="dxa"/>
          </w:tcPr>
          <w:p w14:paraId="1DF6CABE"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8DDE6E1" w14:textId="77777777">
        <w:tc>
          <w:tcPr>
            <w:tcW w:w="1160" w:type="dxa"/>
          </w:tcPr>
          <w:p w14:paraId="083297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Редуктор Р-5</w:t>
            </w:r>
          </w:p>
        </w:tc>
        <w:tc>
          <w:tcPr>
            <w:tcW w:w="791" w:type="dxa"/>
          </w:tcPr>
          <w:p w14:paraId="17E1CB3F"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4C3EE490"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23D336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102</w:t>
            </w:r>
          </w:p>
        </w:tc>
        <w:tc>
          <w:tcPr>
            <w:tcW w:w="851" w:type="dxa"/>
          </w:tcPr>
          <w:p w14:paraId="78DA58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588</w:t>
            </w:r>
          </w:p>
        </w:tc>
        <w:tc>
          <w:tcPr>
            <w:tcW w:w="850" w:type="dxa"/>
          </w:tcPr>
          <w:p w14:paraId="6B7457A9"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953CE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w:t>
            </w:r>
          </w:p>
        </w:tc>
        <w:tc>
          <w:tcPr>
            <w:tcW w:w="850" w:type="dxa"/>
          </w:tcPr>
          <w:p w14:paraId="4F26EC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240</w:t>
            </w:r>
          </w:p>
        </w:tc>
        <w:tc>
          <w:tcPr>
            <w:tcW w:w="851" w:type="dxa"/>
          </w:tcPr>
          <w:p w14:paraId="2352AE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325</w:t>
            </w:r>
          </w:p>
        </w:tc>
        <w:tc>
          <w:tcPr>
            <w:tcW w:w="850" w:type="dxa"/>
          </w:tcPr>
          <w:p w14:paraId="3603BF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320</w:t>
            </w:r>
          </w:p>
        </w:tc>
      </w:tr>
      <w:tr w:rsidR="00E371BA" w:rsidRPr="00507A31" w14:paraId="30B417C4" w14:textId="77777777">
        <w:tc>
          <w:tcPr>
            <w:tcW w:w="1160" w:type="dxa"/>
          </w:tcPr>
          <w:p w14:paraId="03EF30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Редуктор Р-3-4</w:t>
            </w:r>
          </w:p>
        </w:tc>
        <w:tc>
          <w:tcPr>
            <w:tcW w:w="791" w:type="dxa"/>
          </w:tcPr>
          <w:p w14:paraId="0A13A5FD"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2ED39C06"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071566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52</w:t>
            </w:r>
          </w:p>
        </w:tc>
        <w:tc>
          <w:tcPr>
            <w:tcW w:w="851" w:type="dxa"/>
          </w:tcPr>
          <w:p w14:paraId="5AFAB7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102</w:t>
            </w:r>
          </w:p>
        </w:tc>
        <w:tc>
          <w:tcPr>
            <w:tcW w:w="850" w:type="dxa"/>
          </w:tcPr>
          <w:p w14:paraId="5F666070"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758E7FAD"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76C50BA0"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005BFC07"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63E0589B"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B4A876B" w14:textId="77777777">
        <w:tc>
          <w:tcPr>
            <w:tcW w:w="1160" w:type="dxa"/>
          </w:tcPr>
          <w:p w14:paraId="080079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Редуктор ВР-1</w:t>
            </w:r>
          </w:p>
        </w:tc>
        <w:tc>
          <w:tcPr>
            <w:tcW w:w="791" w:type="dxa"/>
          </w:tcPr>
          <w:p w14:paraId="154E28EF"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728522C7"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789410D8"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35725AE"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214D5DC1"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30126AEA"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4D9C56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240</w:t>
            </w:r>
          </w:p>
        </w:tc>
        <w:tc>
          <w:tcPr>
            <w:tcW w:w="851" w:type="dxa"/>
          </w:tcPr>
          <w:p w14:paraId="01AFF9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320</w:t>
            </w:r>
          </w:p>
        </w:tc>
        <w:tc>
          <w:tcPr>
            <w:tcW w:w="850" w:type="dxa"/>
          </w:tcPr>
          <w:p w14:paraId="56F1F4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411</w:t>
            </w:r>
          </w:p>
        </w:tc>
      </w:tr>
      <w:tr w:rsidR="00E371BA" w:rsidRPr="00507A31" w14:paraId="03680790" w14:textId="77777777">
        <w:tc>
          <w:tcPr>
            <w:tcW w:w="1160" w:type="dxa"/>
          </w:tcPr>
          <w:p w14:paraId="1539DD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РД-3М</w:t>
            </w:r>
          </w:p>
        </w:tc>
        <w:tc>
          <w:tcPr>
            <w:tcW w:w="791" w:type="dxa"/>
          </w:tcPr>
          <w:p w14:paraId="6802AC13"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499047D8"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3F20F55F"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E72176C"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29F9893D"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512BE80"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1B23306F"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3005D6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617</w:t>
            </w:r>
          </w:p>
        </w:tc>
        <w:tc>
          <w:tcPr>
            <w:tcW w:w="850" w:type="dxa"/>
          </w:tcPr>
          <w:p w14:paraId="6B003E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570</w:t>
            </w:r>
          </w:p>
        </w:tc>
      </w:tr>
      <w:tr w:rsidR="00E371BA" w:rsidRPr="00507A31" w14:paraId="2682E1B3" w14:textId="77777777">
        <w:tc>
          <w:tcPr>
            <w:tcW w:w="1160" w:type="dxa"/>
          </w:tcPr>
          <w:p w14:paraId="48F6CD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АИ-20</w:t>
            </w:r>
          </w:p>
        </w:tc>
        <w:tc>
          <w:tcPr>
            <w:tcW w:w="791" w:type="dxa"/>
          </w:tcPr>
          <w:p w14:paraId="3F3DE9D9"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45410EE9"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6BE5DBC1"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6C2C7685"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00CBAC74"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20A3936B"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3E5B28F8" w14:textId="77777777" w:rsidR="00537E5F" w:rsidRPr="00507A31" w:rsidRDefault="00537E5F" w:rsidP="00507A31">
            <w:pPr>
              <w:autoSpaceDE w:val="0"/>
              <w:autoSpaceDN w:val="0"/>
              <w:adjustRightInd w:val="0"/>
              <w:jc w:val="both"/>
              <w:rPr>
                <w:color w:val="000000" w:themeColor="text1"/>
                <w:sz w:val="16"/>
                <w:szCs w:val="16"/>
              </w:rPr>
            </w:pPr>
          </w:p>
        </w:tc>
        <w:tc>
          <w:tcPr>
            <w:tcW w:w="851" w:type="dxa"/>
          </w:tcPr>
          <w:p w14:paraId="4A3F80CE" w14:textId="77777777" w:rsidR="00537E5F" w:rsidRPr="00507A31" w:rsidRDefault="00537E5F" w:rsidP="00507A31">
            <w:pPr>
              <w:autoSpaceDE w:val="0"/>
              <w:autoSpaceDN w:val="0"/>
              <w:adjustRightInd w:val="0"/>
              <w:jc w:val="both"/>
              <w:rPr>
                <w:color w:val="000000" w:themeColor="text1"/>
                <w:sz w:val="16"/>
                <w:szCs w:val="16"/>
              </w:rPr>
            </w:pPr>
          </w:p>
        </w:tc>
        <w:tc>
          <w:tcPr>
            <w:tcW w:w="850" w:type="dxa"/>
          </w:tcPr>
          <w:p w14:paraId="013D44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bl>
    <w:p w14:paraId="06195E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(9731).</w:t>
      </w:r>
    </w:p>
    <w:p w14:paraId="163BFB21" w14:textId="77777777" w:rsidR="00537E5F" w:rsidRPr="00507A31" w:rsidRDefault="00537E5F" w:rsidP="00507A31">
      <w:pPr>
        <w:autoSpaceDE w:val="0"/>
        <w:autoSpaceDN w:val="0"/>
        <w:adjustRightInd w:val="0"/>
        <w:jc w:val="both"/>
        <w:rPr>
          <w:iCs/>
          <w:color w:val="000000" w:themeColor="text1"/>
          <w:sz w:val="16"/>
          <w:szCs w:val="16"/>
        </w:rPr>
      </w:pPr>
    </w:p>
    <w:p w14:paraId="161DDD7F"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30 октября 1931 г. «Пан-Америкэн эруэйз» (Объединение Панамериканских воздушных линий) обратилось с письмом к Всесоюзному объединению Гражданского воздушного флота, в котором, сообщая о том, что в течение последних лет это Объединение руководило эксплуатацией воздушных линий Центральной и Южной Америки, Вест-Индии и через Карибское море, предлагает на основе накопленного ими опыта обсудить вопрос об организации совместно с ВОГВФ транстихоокеанского воздушного сообщения. При этом председатель этого Объединения Трипп3, указывая, что несмотря на то, что открытию такого рода обслуживания должны предшествовать предварительные шаги и исследования, уже тогда выдвинул основные наметки для возможных переговоров: </w:t>
      </w:r>
    </w:p>
    <w:p w14:paraId="12C70B52"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а) совместная работа с ВОГВФ по организации эксплуатации транстихоокеанского воздушного сообщения; </w:t>
      </w:r>
    </w:p>
    <w:p w14:paraId="790A1121"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обмен техническими данными о самолетах, моторах, оборудовании, изобретениях и т.д.; </w:t>
      </w:r>
    </w:p>
    <w:p w14:paraId="12401A5C"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г) обмен информацией и статистическими данными; </w:t>
      </w:r>
    </w:p>
    <w:p w14:paraId="404004ED"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д) сотрудничество по всем вопросам гражданской авиации в СССР и США. </w:t>
      </w:r>
    </w:p>
    <w:p w14:paraId="7309D934"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2. 22.XI.31 г. ВОГВФ за подписью тов. Гольцмана4, препровождая нам вышеназванное письмо «Пан-Америкэн эруэйз»,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 </w:t>
      </w:r>
    </w:p>
    <w:p w14:paraId="5BDE8950"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0346B1C9"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4. Уже после этого, 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4A1F18D4"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5. 11.II.32 г. на запрос тов. Мирошникова6 дать заключение по этому последнему предложению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26084853"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26CB5153"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60FBA754"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314F3AFA"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47964D28"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9. Примечание: </w:t>
      </w:r>
    </w:p>
    <w:p w14:paraId="6C1AC42E"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59E511F2"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43EE46DB"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27212683"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б) «Форд инструмент Ко»; </w:t>
      </w:r>
    </w:p>
    <w:p w14:paraId="3DCF3918"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«Берлинер — Джойс эркрафт корпорейшн», производящей быстроходные военные самолеты и </w:t>
      </w:r>
    </w:p>
    <w:p w14:paraId="51CE2ED3"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6DE73E13"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5B454E8B"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0CE31D37"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Зав. 3-м Западным отделом Е. РУБИНИН </w:t>
      </w:r>
    </w:p>
    <w:p w14:paraId="7FE47DF9"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 xml:space="preserve">Отв. референт С. СТОЛЯР </w:t>
      </w:r>
    </w:p>
    <w:p w14:paraId="7BC1C618" w14:textId="77777777" w:rsidR="009D7E4B" w:rsidRPr="00507A31" w:rsidRDefault="009D7E4B" w:rsidP="00507A31">
      <w:pPr>
        <w:autoSpaceDE w:val="0"/>
        <w:autoSpaceDN w:val="0"/>
        <w:adjustRightInd w:val="0"/>
        <w:jc w:val="both"/>
        <w:rPr>
          <w:color w:val="000000" w:themeColor="text1"/>
          <w:sz w:val="16"/>
          <w:szCs w:val="16"/>
        </w:rPr>
      </w:pPr>
      <w:r w:rsidRPr="00507A31">
        <w:rPr>
          <w:color w:val="000000" w:themeColor="text1"/>
          <w:sz w:val="16"/>
          <w:szCs w:val="16"/>
        </w:rPr>
        <w:t>АВП РФ. Ф. 05. Оп. 14. П. 101. Д. 84. Л. 1—3. Подлинник (11430).</w:t>
      </w:r>
    </w:p>
    <w:p w14:paraId="53D984AC" w14:textId="77777777" w:rsidR="009D7E4B" w:rsidRPr="00507A31" w:rsidRDefault="009D7E4B" w:rsidP="00507A31">
      <w:pPr>
        <w:autoSpaceDE w:val="0"/>
        <w:autoSpaceDN w:val="0"/>
        <w:adjustRightInd w:val="0"/>
        <w:jc w:val="both"/>
        <w:rPr>
          <w:color w:val="000000" w:themeColor="text1"/>
          <w:sz w:val="16"/>
          <w:szCs w:val="16"/>
        </w:rPr>
      </w:pPr>
    </w:p>
    <w:p w14:paraId="5AC3A15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E122F53" w14:textId="77777777" w:rsidR="00537E5F" w:rsidRPr="00507A31" w:rsidRDefault="00537E5F" w:rsidP="00507A31">
      <w:pPr>
        <w:autoSpaceDE w:val="0"/>
        <w:autoSpaceDN w:val="0"/>
        <w:adjustRightInd w:val="0"/>
        <w:jc w:val="both"/>
        <w:rPr>
          <w:iCs/>
          <w:color w:val="000000" w:themeColor="text1"/>
          <w:sz w:val="16"/>
          <w:szCs w:val="16"/>
        </w:rPr>
      </w:pPr>
    </w:p>
    <w:p w14:paraId="3AAE42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октября 1930 г. был подготовлен ОТЧЕТ НТК УММ О КОМАНДИРОВКЕ НА ЗАВОД «БОЛЬШЕВИК»</w:t>
      </w:r>
    </w:p>
    <w:p w14:paraId="4A277C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Администрация завода почти полностью поглощена выполнением программы и мало уделяет внимания опытным работам. Так, например: чтобы собрать совещание по поводу опытной машины Т-20 с мотором КБ, потребовалось 4 дня. Все же в результате этого совещания, явилось некоторое усиление внимания, что выразилось в принятии некоторых, хотя и недостаточных мер по форсиро</w:t>
      </w:r>
      <w:r w:rsidRPr="00507A31">
        <w:rPr>
          <w:color w:val="000000" w:themeColor="text1"/>
          <w:sz w:val="16"/>
          <w:szCs w:val="16"/>
        </w:rPr>
        <w:softHyphen/>
        <w:t>ванию работ вышеупомянутой машины. Мероприятия эти изложены в постановлении по докладу начальника опытных работ т. Шумилина. Согласно, этого постановления, Т-20 будет предъявлена к испытаниям 15 октября, между тем по плану это предъявление должно состояться 1 октября. Этот срок принят промышленностью на заседании у заместителя председателя от 1 -5 июля сего года.</w:t>
      </w:r>
    </w:p>
    <w:p w14:paraId="67E02D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Возможности завода по выполнению опытных работ. 1) Опытная мастерская обладает следующей мощностью:</w:t>
      </w:r>
    </w:p>
    <w:p w14:paraId="1E44B3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по оборудованию мощность мастерской выражается в 42 механизмах, из которых полностью могут быть загружены только 30. Остальные механизмы могут быть загружены частично, или явля</w:t>
      </w:r>
      <w:r w:rsidRPr="00507A31">
        <w:rPr>
          <w:color w:val="000000" w:themeColor="text1"/>
          <w:sz w:val="16"/>
          <w:szCs w:val="16"/>
        </w:rPr>
        <w:softHyphen/>
        <w:t>ются подсобными, до полного оборудования требуется добавить 8 станков.</w:t>
      </w:r>
    </w:p>
    <w:p w14:paraId="4CA98F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По рабсиле. Станочников имеется 35 человек, слесарей 19 человек. Для работы в две смены требуется еще около 30 человек станочников. Эти люди добавляются в настоящее время из частей Ленинградского гарнизона.</w:t>
      </w:r>
    </w:p>
    <w:p w14:paraId="1FE87D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Производительность мастерской при 2-х сменах и наличии оборудования выражается при</w:t>
      </w:r>
      <w:r w:rsidRPr="00507A31">
        <w:rPr>
          <w:color w:val="000000" w:themeColor="text1"/>
          <w:sz w:val="16"/>
          <w:szCs w:val="16"/>
        </w:rPr>
        <w:softHyphen/>
        <w:t>мерно в 7500 часах машинного времени в месяц. Использование оборудования при этом выражает</w:t>
      </w:r>
      <w:r w:rsidRPr="00507A31">
        <w:rPr>
          <w:color w:val="000000" w:themeColor="text1"/>
          <w:sz w:val="16"/>
          <w:szCs w:val="16"/>
        </w:rPr>
        <w:softHyphen/>
        <w:t>ся в 65 - 70%. Остальное время (35 - 30%) расходуется на ремонт, изготовление инструмента и приспо</w:t>
      </w:r>
      <w:r w:rsidRPr="00507A31">
        <w:rPr>
          <w:color w:val="000000" w:themeColor="text1"/>
          <w:sz w:val="16"/>
          <w:szCs w:val="16"/>
        </w:rPr>
        <w:softHyphen/>
        <w:t>соблений, простой и прогулы. В случае дооборудования мастерской 8 потребными станками, машин</w:t>
      </w:r>
      <w:r w:rsidRPr="00507A31">
        <w:rPr>
          <w:color w:val="000000" w:themeColor="text1"/>
          <w:sz w:val="16"/>
          <w:szCs w:val="16"/>
        </w:rPr>
        <w:softHyphen/>
        <w:t>ное время может быть поднято до 10000 станкочасов.</w:t>
      </w:r>
    </w:p>
    <w:p w14:paraId="353045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На машину Т-18 в 1928 - 1929 году, когда работа производилась в старой мастерской, требова-1 лось 3500 часов механической обработки. Полагая для опытной машины того же класса коэффици-1 ент 3, получим необходимое число часов механической обработки около 10500 часов, которое укла</w:t>
      </w:r>
      <w:r w:rsidRPr="00507A31">
        <w:rPr>
          <w:color w:val="000000" w:themeColor="text1"/>
          <w:sz w:val="16"/>
          <w:szCs w:val="16"/>
        </w:rPr>
        <w:softHyphen/>
        <w:t>дывается в период 1,5 месяца при наличии оборудования и 1 месяц при условии пополнения оборудования 8 станками. Следовательно опытная мастерская может каждые 1,5 месяца или каждый ме</w:t>
      </w:r>
      <w:r w:rsidRPr="00507A31">
        <w:rPr>
          <w:color w:val="000000" w:themeColor="text1"/>
          <w:sz w:val="16"/>
          <w:szCs w:val="16"/>
        </w:rPr>
        <w:softHyphen/>
        <w:t>сяц выпускать одну опытную машину с мотором. Моторы соответственно через месяц и 20 дней. Это конечно не дает гарантии, что мы можем в эти сроки получить годные машины. Кроме того, эти сро</w:t>
      </w:r>
      <w:r w:rsidRPr="00507A31">
        <w:rPr>
          <w:color w:val="000000" w:themeColor="text1"/>
          <w:sz w:val="16"/>
          <w:szCs w:val="16"/>
        </w:rPr>
        <w:softHyphen/>
        <w:t>ки могут быть примерно выдержаны при условии своевременной подачи заготовок и своевремен</w:t>
      </w:r>
      <w:r w:rsidRPr="00507A31">
        <w:rPr>
          <w:color w:val="000000" w:themeColor="text1"/>
          <w:sz w:val="16"/>
          <w:szCs w:val="16"/>
        </w:rPr>
        <w:softHyphen/>
        <w:t>ного изготовления моделей. На сборку и монтаж машины потребуется примерно, по словам т. Шу</w:t>
      </w:r>
      <w:r w:rsidRPr="00507A31">
        <w:rPr>
          <w:color w:val="000000" w:themeColor="text1"/>
          <w:sz w:val="16"/>
          <w:szCs w:val="16"/>
        </w:rPr>
        <w:softHyphen/>
        <w:t>милина и других, 20-10 дней на двигатель и 10 дней на ходовую часть.</w:t>
      </w:r>
    </w:p>
    <w:p w14:paraId="17E503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На основании этих данных выполнение опытной танковой программы может быть представ</w:t>
      </w:r>
      <w:r w:rsidRPr="00507A31">
        <w:rPr>
          <w:color w:val="000000" w:themeColor="text1"/>
          <w:sz w:val="16"/>
          <w:szCs w:val="16"/>
        </w:rPr>
        <w:softHyphen/>
        <w:t>лено в следующем виде:</w:t>
      </w:r>
    </w:p>
    <w:tbl>
      <w:tblPr>
        <w:tblW w:w="0" w:type="auto"/>
        <w:tblInd w:w="40" w:type="dxa"/>
        <w:tblLayout w:type="fixed"/>
        <w:tblCellMar>
          <w:left w:w="40" w:type="dxa"/>
          <w:right w:w="40" w:type="dxa"/>
        </w:tblCellMar>
        <w:tblLook w:val="0000" w:firstRow="0" w:lastRow="0" w:firstColumn="0" w:lastColumn="0" w:noHBand="0" w:noVBand="0"/>
      </w:tblPr>
      <w:tblGrid>
        <w:gridCol w:w="394"/>
        <w:gridCol w:w="1123"/>
        <w:gridCol w:w="720"/>
        <w:gridCol w:w="3398"/>
        <w:gridCol w:w="1066"/>
        <w:gridCol w:w="989"/>
      </w:tblGrid>
      <w:tr w:rsidR="00E371BA" w:rsidRPr="00507A31" w14:paraId="7C2F704A" w14:textId="77777777">
        <w:trPr>
          <w:trHeight w:val="182"/>
        </w:trPr>
        <w:tc>
          <w:tcPr>
            <w:tcW w:w="394" w:type="dxa"/>
            <w:tcBorders>
              <w:top w:val="single" w:sz="6" w:space="0" w:color="auto"/>
              <w:left w:val="single" w:sz="6" w:space="0" w:color="auto"/>
              <w:bottom w:val="nil"/>
              <w:right w:val="single" w:sz="6" w:space="0" w:color="auto"/>
            </w:tcBorders>
          </w:tcPr>
          <w:p w14:paraId="47D468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п/п</w:t>
            </w:r>
          </w:p>
          <w:p w14:paraId="3ACB01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nil"/>
              <w:right w:val="single" w:sz="6" w:space="0" w:color="auto"/>
            </w:tcBorders>
          </w:tcPr>
          <w:p w14:paraId="19075E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Наименование</w:t>
            </w:r>
          </w:p>
          <w:p w14:paraId="4ACCE3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314DBB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Сроки по плану</w:t>
            </w:r>
          </w:p>
          <w:p w14:paraId="0E22A6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nil"/>
              <w:right w:val="single" w:sz="6" w:space="0" w:color="auto"/>
            </w:tcBorders>
          </w:tcPr>
          <w:p w14:paraId="624D5A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Состояние работ</w:t>
            </w:r>
          </w:p>
          <w:p w14:paraId="4CA7C1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055" w:type="dxa"/>
            <w:gridSpan w:val="2"/>
            <w:tcBorders>
              <w:top w:val="single" w:sz="6" w:space="0" w:color="auto"/>
              <w:left w:val="single" w:sz="6" w:space="0" w:color="auto"/>
              <w:bottom w:val="single" w:sz="6" w:space="0" w:color="auto"/>
              <w:right w:val="single" w:sz="6" w:space="0" w:color="auto"/>
            </w:tcBorders>
          </w:tcPr>
          <w:p w14:paraId="5AB32F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Возможное выполнение</w:t>
            </w:r>
          </w:p>
          <w:p w14:paraId="273A21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0EA8FEB" w14:textId="77777777">
        <w:trPr>
          <w:trHeight w:val="490"/>
        </w:trPr>
        <w:tc>
          <w:tcPr>
            <w:tcW w:w="394" w:type="dxa"/>
            <w:tcBorders>
              <w:top w:val="nil"/>
              <w:left w:val="single" w:sz="6" w:space="0" w:color="auto"/>
              <w:bottom w:val="single" w:sz="6" w:space="0" w:color="auto"/>
              <w:right w:val="single" w:sz="6" w:space="0" w:color="auto"/>
            </w:tcBorders>
          </w:tcPr>
          <w:p w14:paraId="42F3B747" w14:textId="77777777" w:rsidR="00537E5F" w:rsidRPr="00507A31" w:rsidRDefault="00537E5F" w:rsidP="00507A31">
            <w:pPr>
              <w:autoSpaceDE w:val="0"/>
              <w:autoSpaceDN w:val="0"/>
              <w:adjustRightInd w:val="0"/>
              <w:jc w:val="both"/>
              <w:rPr>
                <w:color w:val="000000" w:themeColor="text1"/>
                <w:sz w:val="16"/>
                <w:szCs w:val="16"/>
              </w:rPr>
            </w:pPr>
          </w:p>
          <w:p w14:paraId="1ACAE3F4" w14:textId="77777777" w:rsidR="00537E5F" w:rsidRPr="00507A31" w:rsidRDefault="00537E5F" w:rsidP="00507A31">
            <w:pPr>
              <w:autoSpaceDE w:val="0"/>
              <w:autoSpaceDN w:val="0"/>
              <w:adjustRightInd w:val="0"/>
              <w:jc w:val="both"/>
              <w:rPr>
                <w:color w:val="000000" w:themeColor="text1"/>
                <w:sz w:val="16"/>
                <w:szCs w:val="16"/>
              </w:rPr>
            </w:pPr>
          </w:p>
        </w:tc>
        <w:tc>
          <w:tcPr>
            <w:tcW w:w="1123" w:type="dxa"/>
            <w:tcBorders>
              <w:top w:val="nil"/>
              <w:left w:val="single" w:sz="6" w:space="0" w:color="auto"/>
              <w:bottom w:val="single" w:sz="6" w:space="0" w:color="auto"/>
              <w:right w:val="single" w:sz="6" w:space="0" w:color="auto"/>
            </w:tcBorders>
          </w:tcPr>
          <w:p w14:paraId="7497D437" w14:textId="77777777" w:rsidR="00537E5F" w:rsidRPr="00507A31" w:rsidRDefault="00537E5F" w:rsidP="00507A31">
            <w:pPr>
              <w:autoSpaceDE w:val="0"/>
              <w:autoSpaceDN w:val="0"/>
              <w:adjustRightInd w:val="0"/>
              <w:jc w:val="both"/>
              <w:rPr>
                <w:color w:val="000000" w:themeColor="text1"/>
                <w:sz w:val="16"/>
                <w:szCs w:val="16"/>
              </w:rPr>
            </w:pPr>
          </w:p>
          <w:p w14:paraId="7FB5343E" w14:textId="77777777" w:rsidR="00537E5F" w:rsidRPr="00507A31" w:rsidRDefault="00537E5F" w:rsidP="00507A31">
            <w:pPr>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65A22EE0" w14:textId="77777777" w:rsidR="00537E5F" w:rsidRPr="00507A31" w:rsidRDefault="00537E5F" w:rsidP="00507A31">
            <w:pPr>
              <w:autoSpaceDE w:val="0"/>
              <w:autoSpaceDN w:val="0"/>
              <w:adjustRightInd w:val="0"/>
              <w:jc w:val="both"/>
              <w:rPr>
                <w:color w:val="000000" w:themeColor="text1"/>
                <w:sz w:val="16"/>
                <w:szCs w:val="16"/>
              </w:rPr>
            </w:pPr>
          </w:p>
          <w:p w14:paraId="19ED2710" w14:textId="77777777" w:rsidR="00537E5F" w:rsidRPr="00507A31" w:rsidRDefault="00537E5F" w:rsidP="00507A31">
            <w:pPr>
              <w:autoSpaceDE w:val="0"/>
              <w:autoSpaceDN w:val="0"/>
              <w:adjustRightInd w:val="0"/>
              <w:jc w:val="both"/>
              <w:rPr>
                <w:color w:val="000000" w:themeColor="text1"/>
                <w:sz w:val="16"/>
                <w:szCs w:val="16"/>
              </w:rPr>
            </w:pPr>
          </w:p>
        </w:tc>
        <w:tc>
          <w:tcPr>
            <w:tcW w:w="3398" w:type="dxa"/>
            <w:tcBorders>
              <w:top w:val="nil"/>
              <w:left w:val="single" w:sz="6" w:space="0" w:color="auto"/>
              <w:bottom w:val="single" w:sz="6" w:space="0" w:color="auto"/>
              <w:right w:val="single" w:sz="6" w:space="0" w:color="auto"/>
            </w:tcBorders>
          </w:tcPr>
          <w:p w14:paraId="3A004291" w14:textId="77777777" w:rsidR="00537E5F" w:rsidRPr="00507A31" w:rsidRDefault="00537E5F" w:rsidP="00507A31">
            <w:pPr>
              <w:autoSpaceDE w:val="0"/>
              <w:autoSpaceDN w:val="0"/>
              <w:adjustRightInd w:val="0"/>
              <w:jc w:val="both"/>
              <w:rPr>
                <w:color w:val="000000" w:themeColor="text1"/>
                <w:sz w:val="16"/>
                <w:szCs w:val="16"/>
              </w:rPr>
            </w:pPr>
          </w:p>
          <w:p w14:paraId="37067F88" w14:textId="77777777" w:rsidR="00537E5F" w:rsidRPr="00507A31" w:rsidRDefault="00537E5F" w:rsidP="00507A31">
            <w:pPr>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F5749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наличн. оборудован.</w:t>
            </w:r>
          </w:p>
          <w:p w14:paraId="22AB2C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BD27B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пополнен, оборудов.</w:t>
            </w:r>
          </w:p>
          <w:p w14:paraId="74DD82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8CAB01B" w14:textId="77777777">
        <w:trPr>
          <w:trHeight w:val="547"/>
        </w:trPr>
        <w:tc>
          <w:tcPr>
            <w:tcW w:w="394" w:type="dxa"/>
            <w:tcBorders>
              <w:top w:val="single" w:sz="6" w:space="0" w:color="auto"/>
              <w:left w:val="single" w:sz="6" w:space="0" w:color="auto"/>
              <w:bottom w:val="single" w:sz="6" w:space="0" w:color="auto"/>
              <w:right w:val="single" w:sz="6" w:space="0" w:color="auto"/>
            </w:tcBorders>
          </w:tcPr>
          <w:p w14:paraId="71A014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253B41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D49F1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Т-20 КБ</w:t>
            </w:r>
          </w:p>
          <w:p w14:paraId="48C676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0B1EA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октября</w:t>
            </w:r>
          </w:p>
          <w:p w14:paraId="4486DE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050360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 Мотор в сборе 2) Корпус готов 3) Ходовая часть закончена</w:t>
            </w:r>
          </w:p>
          <w:p w14:paraId="6DAAC6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B80C6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октября</w:t>
            </w:r>
          </w:p>
          <w:p w14:paraId="26555B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3A581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75E4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B1F40EF" w14:textId="77777777">
        <w:trPr>
          <w:trHeight w:val="1622"/>
        </w:trPr>
        <w:tc>
          <w:tcPr>
            <w:tcW w:w="394" w:type="dxa"/>
            <w:tcBorders>
              <w:top w:val="single" w:sz="6" w:space="0" w:color="auto"/>
              <w:left w:val="single" w:sz="6" w:space="0" w:color="auto"/>
              <w:bottom w:val="single" w:sz="6" w:space="0" w:color="auto"/>
              <w:right w:val="single" w:sz="6" w:space="0" w:color="auto"/>
            </w:tcBorders>
          </w:tcPr>
          <w:p w14:paraId="32D2AD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575658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68624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Т-20 ГКБ</w:t>
            </w:r>
          </w:p>
          <w:p w14:paraId="033F2B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96797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ноября</w:t>
            </w:r>
          </w:p>
          <w:p w14:paraId="062991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03CC89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 Заготовки в большей своей части имеются. Узким местом может явиться картер. Мотор спущен в механическую обработку. Корпус. Заготовки имеются. Ходовая часть. Большая часть заготовок имеется, и постепенно обрабатывается механически.</w:t>
            </w:r>
          </w:p>
          <w:p w14:paraId="58CA57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58D0A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6EDD46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декабря</w:t>
            </w:r>
          </w:p>
          <w:p w14:paraId="39D968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49AA0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ноября</w:t>
            </w:r>
          </w:p>
          <w:p w14:paraId="1B0EA0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2B0BF9D" w14:textId="77777777">
        <w:trPr>
          <w:trHeight w:val="902"/>
        </w:trPr>
        <w:tc>
          <w:tcPr>
            <w:tcW w:w="394" w:type="dxa"/>
            <w:tcBorders>
              <w:top w:val="single" w:sz="6" w:space="0" w:color="auto"/>
              <w:left w:val="single" w:sz="6" w:space="0" w:color="auto"/>
              <w:bottom w:val="single" w:sz="6" w:space="0" w:color="auto"/>
              <w:right w:val="single" w:sz="6" w:space="0" w:color="auto"/>
            </w:tcBorders>
          </w:tcPr>
          <w:p w14:paraId="190AD0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w:t>
            </w:r>
          </w:p>
          <w:p w14:paraId="4EE85A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2F11E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Т-23с мотором КБ. (Один экз.) Было заказа</w:t>
            </w:r>
            <w:r w:rsidRPr="00507A31">
              <w:rPr>
                <w:color w:val="000000" w:themeColor="text1"/>
                <w:sz w:val="16"/>
                <w:szCs w:val="16"/>
              </w:rPr>
              <w:softHyphen/>
              <w:t>но два экз.</w:t>
            </w:r>
          </w:p>
          <w:p w14:paraId="3734A9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A60FE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декабря</w:t>
            </w:r>
          </w:p>
          <w:p w14:paraId="762250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1D6C9C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Выпущены снаряды по корпусу и ходовой части. Мотор. Готовы модели.</w:t>
            </w:r>
          </w:p>
          <w:p w14:paraId="6AC4AB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5EC00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5-10 января 1931 г.</w:t>
            </w:r>
          </w:p>
          <w:p w14:paraId="19CB38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45306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декабря 1930 г.</w:t>
            </w:r>
          </w:p>
          <w:p w14:paraId="203F97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EE121F9" w14:textId="77777777">
        <w:trPr>
          <w:trHeight w:val="374"/>
        </w:trPr>
        <w:tc>
          <w:tcPr>
            <w:tcW w:w="394" w:type="dxa"/>
            <w:tcBorders>
              <w:top w:val="single" w:sz="6" w:space="0" w:color="auto"/>
              <w:left w:val="single" w:sz="6" w:space="0" w:color="auto"/>
              <w:bottom w:val="single" w:sz="6" w:space="0" w:color="auto"/>
              <w:right w:val="single" w:sz="6" w:space="0" w:color="auto"/>
            </w:tcBorders>
          </w:tcPr>
          <w:p w14:paraId="11B3BF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37D301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4DB61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 ГКБ</w:t>
            </w:r>
          </w:p>
          <w:p w14:paraId="5F3E24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DF8EA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декабря</w:t>
            </w:r>
          </w:p>
          <w:p w14:paraId="014EAE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4286A0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1D2E4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A586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февраля</w:t>
            </w:r>
          </w:p>
          <w:p w14:paraId="332CA3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28CC4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D610A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64079F8" w14:textId="77777777">
        <w:trPr>
          <w:trHeight w:val="1622"/>
        </w:trPr>
        <w:tc>
          <w:tcPr>
            <w:tcW w:w="394" w:type="dxa"/>
            <w:tcBorders>
              <w:top w:val="single" w:sz="6" w:space="0" w:color="auto"/>
              <w:left w:val="single" w:sz="6" w:space="0" w:color="auto"/>
              <w:bottom w:val="single" w:sz="6" w:space="0" w:color="auto"/>
              <w:right w:val="single" w:sz="6" w:space="0" w:color="auto"/>
            </w:tcBorders>
          </w:tcPr>
          <w:p w14:paraId="6DE107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CEA97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EB422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1)Т-19</w:t>
            </w:r>
          </w:p>
          <w:p w14:paraId="5F8B49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D9FF7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марта</w:t>
            </w:r>
          </w:p>
          <w:p w14:paraId="7CD440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75AFC6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Чертежи за исключением проводов управления и внутреннего оборудования готовы. Наряды будут выданы в цеха примерно к 10 октября. Модели. Картер, головка цилиндр., коленчатый вал (Наиболее трудоемкие части). Полуфабрикаты. Небольшое число малотрудоемких деталей.</w:t>
            </w:r>
          </w:p>
          <w:p w14:paraId="7351E0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71C4F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41942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813A3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47EF9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01AB257" w14:textId="77777777">
        <w:trPr>
          <w:trHeight w:val="365"/>
        </w:trPr>
        <w:tc>
          <w:tcPr>
            <w:tcW w:w="394" w:type="dxa"/>
            <w:tcBorders>
              <w:top w:val="single" w:sz="6" w:space="0" w:color="auto"/>
              <w:left w:val="single" w:sz="6" w:space="0" w:color="auto"/>
              <w:bottom w:val="single" w:sz="6" w:space="0" w:color="auto"/>
              <w:right w:val="single" w:sz="6" w:space="0" w:color="auto"/>
            </w:tcBorders>
          </w:tcPr>
          <w:p w14:paraId="4293E7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F26D8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04C7C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2)Т-19</w:t>
            </w:r>
          </w:p>
          <w:p w14:paraId="216021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FE785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Март</w:t>
            </w:r>
          </w:p>
          <w:p w14:paraId="6FEE4B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23E563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 же за исключением чертежей ходовой части, которые будут готовы в ноябре.</w:t>
            </w:r>
          </w:p>
          <w:p w14:paraId="323663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B9A6D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мая</w:t>
            </w:r>
          </w:p>
          <w:p w14:paraId="1E5F85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18C97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февраля</w:t>
            </w:r>
          </w:p>
          <w:p w14:paraId="199B26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B070CBF" w14:textId="77777777">
        <w:trPr>
          <w:trHeight w:val="365"/>
        </w:trPr>
        <w:tc>
          <w:tcPr>
            <w:tcW w:w="394" w:type="dxa"/>
            <w:tcBorders>
              <w:top w:val="single" w:sz="6" w:space="0" w:color="auto"/>
              <w:left w:val="single" w:sz="6" w:space="0" w:color="auto"/>
              <w:bottom w:val="single" w:sz="6" w:space="0" w:color="auto"/>
              <w:right w:val="single" w:sz="6" w:space="0" w:color="auto"/>
            </w:tcBorders>
          </w:tcPr>
          <w:p w14:paraId="4B38B2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w:t>
            </w:r>
          </w:p>
          <w:p w14:paraId="592600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1E345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 Т- 19</w:t>
            </w:r>
          </w:p>
          <w:p w14:paraId="26DAF6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941B6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Март</w:t>
            </w:r>
          </w:p>
          <w:p w14:paraId="290FAC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596B8A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 же</w:t>
            </w:r>
          </w:p>
          <w:p w14:paraId="0DB2D3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5598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ED740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2C937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3-10 марта</w:t>
            </w:r>
          </w:p>
          <w:p w14:paraId="2C6648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C679303" w14:textId="77777777">
        <w:trPr>
          <w:trHeight w:val="374"/>
        </w:trPr>
        <w:tc>
          <w:tcPr>
            <w:tcW w:w="394" w:type="dxa"/>
            <w:tcBorders>
              <w:top w:val="single" w:sz="6" w:space="0" w:color="auto"/>
              <w:left w:val="single" w:sz="6" w:space="0" w:color="auto"/>
              <w:bottom w:val="single" w:sz="6" w:space="0" w:color="auto"/>
              <w:right w:val="single" w:sz="6" w:space="0" w:color="auto"/>
            </w:tcBorders>
          </w:tcPr>
          <w:p w14:paraId="0880E4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w:t>
            </w:r>
          </w:p>
          <w:p w14:paraId="53D9A8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02A3C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Т-20 КБ</w:t>
            </w:r>
          </w:p>
          <w:p w14:paraId="4F6230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4DC8D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1C2093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октября</w:t>
            </w:r>
          </w:p>
          <w:p w14:paraId="28B9DB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7D1ABE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 в сборе. Корпус готов. Ходовая часть заканчивается.</w:t>
            </w:r>
          </w:p>
          <w:p w14:paraId="05FB69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910D1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октября</w:t>
            </w:r>
          </w:p>
          <w:p w14:paraId="353C77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BD0F6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A7BDA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2AC1450" w14:textId="77777777">
        <w:trPr>
          <w:trHeight w:val="384"/>
        </w:trPr>
        <w:tc>
          <w:tcPr>
            <w:tcW w:w="394" w:type="dxa"/>
            <w:tcBorders>
              <w:top w:val="single" w:sz="6" w:space="0" w:color="auto"/>
              <w:left w:val="single" w:sz="6" w:space="0" w:color="auto"/>
              <w:bottom w:val="single" w:sz="6" w:space="0" w:color="auto"/>
              <w:right w:val="single" w:sz="6" w:space="0" w:color="auto"/>
            </w:tcBorders>
          </w:tcPr>
          <w:p w14:paraId="7C7F9F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w:t>
            </w:r>
          </w:p>
          <w:p w14:paraId="4715C6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6A9C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Т-2 ГКБ</w:t>
            </w:r>
          </w:p>
          <w:p w14:paraId="7A0907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77BB4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ноября</w:t>
            </w:r>
          </w:p>
          <w:p w14:paraId="6FBB47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7EA5C7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8E5A6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D3F7E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7E3AA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3FF49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3BE32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1E93EA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Выводы:</w:t>
      </w:r>
    </w:p>
    <w:p w14:paraId="2B8F55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Программа может быть выполнена.</w:t>
      </w:r>
    </w:p>
    <w:p w14:paraId="34D0DB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Необходимо оборудовать опытную мастерскую полностью.</w:t>
      </w:r>
    </w:p>
    <w:p w14:paraId="4B765E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Решения, принятые по части форсирования изготовления Т-20, сохранить до конца выполне</w:t>
      </w:r>
      <w:r w:rsidRPr="00507A31">
        <w:rPr>
          <w:color w:val="000000" w:themeColor="text1"/>
          <w:sz w:val="16"/>
          <w:szCs w:val="16"/>
        </w:rPr>
        <w:softHyphen/>
        <w:t>ния программы.</w:t>
      </w:r>
    </w:p>
    <w:p w14:paraId="172034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Форсировать работу модельной и заготовительного цеха.</w:t>
      </w:r>
    </w:p>
    <w:p w14:paraId="498110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председателя 1 секции НТК УММ Браверман</w:t>
      </w:r>
    </w:p>
    <w:p w14:paraId="776F7A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РГВА.Ф. 31811. Оп. 1. Д. 58. Л. 48. Копия (11210).</w:t>
      </w:r>
    </w:p>
    <w:p w14:paraId="0AC8848B" w14:textId="77777777" w:rsidR="00537E5F" w:rsidRPr="00507A31" w:rsidRDefault="00537E5F" w:rsidP="00507A31">
      <w:pPr>
        <w:autoSpaceDE w:val="0"/>
        <w:autoSpaceDN w:val="0"/>
        <w:adjustRightInd w:val="0"/>
        <w:jc w:val="both"/>
        <w:rPr>
          <w:color w:val="000000" w:themeColor="text1"/>
          <w:sz w:val="16"/>
          <w:szCs w:val="16"/>
        </w:rPr>
      </w:pPr>
    </w:p>
    <w:p w14:paraId="4991747B" w14:textId="77777777" w:rsidR="009D7E4B" w:rsidRPr="00507A31" w:rsidRDefault="009D7E4B" w:rsidP="00507A31">
      <w:pPr>
        <w:jc w:val="both"/>
        <w:rPr>
          <w:color w:val="000000" w:themeColor="text1"/>
          <w:sz w:val="16"/>
          <w:szCs w:val="16"/>
        </w:rPr>
      </w:pPr>
      <w:r w:rsidRPr="00507A31">
        <w:rPr>
          <w:rStyle w:val="a7"/>
          <w:b w:val="0"/>
          <w:color w:val="000000" w:themeColor="text1"/>
          <w:sz w:val="16"/>
          <w:szCs w:val="16"/>
        </w:rPr>
        <w:t xml:space="preserve">30 октября 1930 </w:t>
      </w:r>
      <w:r w:rsidRPr="00507A31">
        <w:rPr>
          <w:color w:val="000000" w:themeColor="text1"/>
          <w:sz w:val="16"/>
          <w:szCs w:val="16"/>
        </w:rPr>
        <w:t>Политбюро ЦК ВКП (б) одобрило проект постановления СНК о контрольных цифрах на особый квартал 1930 г.; приняло решения: о мерах по увеличению производства черных металлов, сбору металлолома и усовершенствованию системы распределения металла, об отсрочке пуска новых заводов автотракторной промышленности, о мероприятиях по снабжению заводов и укреплению их квалифицированными кадрами (12265).</w:t>
      </w:r>
    </w:p>
    <w:p w14:paraId="6C2E5E0F" w14:textId="77777777" w:rsidR="009D7E4B" w:rsidRPr="00507A31" w:rsidRDefault="009D7E4B" w:rsidP="00507A31">
      <w:pPr>
        <w:jc w:val="both"/>
        <w:rPr>
          <w:color w:val="000000" w:themeColor="text1"/>
          <w:sz w:val="16"/>
          <w:szCs w:val="16"/>
        </w:rPr>
      </w:pPr>
      <w:r w:rsidRPr="00507A31">
        <w:rPr>
          <w:color w:val="000000" w:themeColor="text1"/>
          <w:sz w:val="16"/>
          <w:szCs w:val="16"/>
        </w:rPr>
        <w:t>СНК принял постановление «О народнохозяйственном плане на квартал октябрь - декабрь 1930 г.» (12265).</w:t>
      </w:r>
    </w:p>
    <w:p w14:paraId="49DB5B50" w14:textId="77777777" w:rsidR="009D7E4B" w:rsidRPr="00507A31" w:rsidRDefault="009D7E4B" w:rsidP="00507A31">
      <w:pPr>
        <w:jc w:val="both"/>
        <w:rPr>
          <w:color w:val="000000" w:themeColor="text1"/>
          <w:sz w:val="16"/>
          <w:szCs w:val="16"/>
        </w:rPr>
      </w:pPr>
    </w:p>
    <w:p w14:paraId="7F4ADB42" w14:textId="77777777" w:rsidR="00A3695E" w:rsidRPr="00507A31" w:rsidRDefault="00A3695E"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5CA72F3" w14:textId="77777777" w:rsidR="00A3695E" w:rsidRPr="00507A31" w:rsidRDefault="00A3695E" w:rsidP="00507A31">
      <w:pPr>
        <w:shd w:val="clear" w:color="auto" w:fill="FFFFFF"/>
        <w:autoSpaceDE w:val="0"/>
        <w:autoSpaceDN w:val="0"/>
        <w:adjustRightInd w:val="0"/>
        <w:jc w:val="both"/>
        <w:rPr>
          <w:iCs/>
          <w:color w:val="000000" w:themeColor="text1"/>
          <w:sz w:val="16"/>
          <w:szCs w:val="16"/>
        </w:rPr>
      </w:pPr>
    </w:p>
    <w:p w14:paraId="72A8DDC5" w14:textId="77777777" w:rsidR="00A3695E" w:rsidRPr="00507A31" w:rsidRDefault="00A3695E" w:rsidP="00507A31">
      <w:pPr>
        <w:jc w:val="both"/>
        <w:rPr>
          <w:color w:val="000000" w:themeColor="text1"/>
          <w:sz w:val="16"/>
          <w:szCs w:val="16"/>
        </w:rPr>
      </w:pPr>
      <w:r w:rsidRPr="00507A31">
        <w:rPr>
          <w:color w:val="000000" w:themeColor="text1"/>
          <w:sz w:val="16"/>
          <w:szCs w:val="16"/>
        </w:rPr>
        <w:t>30 октября 1930 г.</w:t>
      </w:r>
    </w:p>
    <w:p w14:paraId="5350B465" w14:textId="77777777" w:rsidR="00A3695E" w:rsidRPr="00507A31" w:rsidRDefault="00A3695E" w:rsidP="00507A31">
      <w:pPr>
        <w:jc w:val="both"/>
        <w:rPr>
          <w:color w:val="000000" w:themeColor="text1"/>
          <w:sz w:val="16"/>
          <w:szCs w:val="16"/>
        </w:rPr>
      </w:pPr>
      <w:r w:rsidRPr="00507A31">
        <w:rPr>
          <w:color w:val="000000" w:themeColor="text1"/>
          <w:sz w:val="16"/>
          <w:szCs w:val="16"/>
        </w:rPr>
        <w:t>Письмо прокурора Верховного суда СССР П. А. Красикова И. В. Сталину с просьбой о предоставлении «для ориентации Прокуратуры» материалов по делу «Промпартии». 30 октября 1930 г.</w:t>
      </w:r>
    </w:p>
    <w:p w14:paraId="5A255AD6" w14:textId="77777777" w:rsidR="00A3695E" w:rsidRPr="00507A31" w:rsidRDefault="00A3695E" w:rsidP="00507A31">
      <w:pPr>
        <w:jc w:val="both"/>
        <w:rPr>
          <w:color w:val="000000" w:themeColor="text1"/>
          <w:sz w:val="16"/>
          <w:szCs w:val="16"/>
        </w:rPr>
      </w:pPr>
      <w:r w:rsidRPr="00507A31">
        <w:rPr>
          <w:color w:val="000000" w:themeColor="text1"/>
          <w:sz w:val="16"/>
          <w:szCs w:val="16"/>
        </w:rPr>
        <w:t>Источник: </w:t>
      </w:r>
    </w:p>
    <w:p w14:paraId="661A9CE8" w14:textId="77777777" w:rsidR="00A3695E" w:rsidRPr="00507A31" w:rsidRDefault="00A3695E"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6024FF7" w14:textId="77777777" w:rsidR="00A3695E" w:rsidRPr="00507A31" w:rsidRDefault="00A3695E" w:rsidP="00507A31">
      <w:pPr>
        <w:jc w:val="both"/>
        <w:rPr>
          <w:color w:val="000000" w:themeColor="text1"/>
          <w:sz w:val="16"/>
          <w:szCs w:val="16"/>
        </w:rPr>
      </w:pPr>
      <w:r w:rsidRPr="00507A31">
        <w:rPr>
          <w:color w:val="000000" w:themeColor="text1"/>
          <w:sz w:val="16"/>
          <w:szCs w:val="16"/>
        </w:rPr>
        <w:t>30 октября 1930 г.‌Совершенно секретно</w:t>
      </w:r>
    </w:p>
    <w:p w14:paraId="41C28ED9" w14:textId="77777777" w:rsidR="00A3695E" w:rsidRPr="00507A31" w:rsidRDefault="00A3695E" w:rsidP="00507A31">
      <w:pPr>
        <w:jc w:val="both"/>
        <w:rPr>
          <w:color w:val="000000" w:themeColor="text1"/>
          <w:sz w:val="16"/>
          <w:szCs w:val="16"/>
        </w:rPr>
      </w:pPr>
      <w:r w:rsidRPr="00507A31">
        <w:rPr>
          <w:color w:val="000000" w:themeColor="text1"/>
          <w:sz w:val="16"/>
          <w:szCs w:val="16"/>
        </w:rPr>
        <w:t>Лично‌ГЕНЕРАЛЬНОМУ СЕКРЕТАРЮ Ц.К. ВКП(б)</w:t>
      </w:r>
    </w:p>
    <w:p w14:paraId="5FEEE5AF" w14:textId="77777777" w:rsidR="00A3695E" w:rsidRPr="00507A31" w:rsidRDefault="00A3695E" w:rsidP="00507A31">
      <w:pPr>
        <w:jc w:val="both"/>
        <w:rPr>
          <w:color w:val="000000" w:themeColor="text1"/>
          <w:sz w:val="16"/>
          <w:szCs w:val="16"/>
        </w:rPr>
      </w:pPr>
      <w:r w:rsidRPr="00507A31">
        <w:rPr>
          <w:color w:val="000000" w:themeColor="text1"/>
          <w:sz w:val="16"/>
          <w:szCs w:val="16"/>
        </w:rPr>
        <w:t>УВАЖАЕМЫЙ ИОСИФ ВИССАРИОНОВИЧ.</w:t>
      </w:r>
    </w:p>
    <w:p w14:paraId="6AEE5605" w14:textId="77777777" w:rsidR="00A3695E" w:rsidRPr="00507A31" w:rsidRDefault="00A3695E" w:rsidP="00507A31">
      <w:pPr>
        <w:jc w:val="both"/>
        <w:rPr>
          <w:color w:val="000000" w:themeColor="text1"/>
          <w:sz w:val="16"/>
          <w:szCs w:val="16"/>
        </w:rPr>
      </w:pPr>
      <w:r w:rsidRPr="00507A31">
        <w:rPr>
          <w:color w:val="000000" w:themeColor="text1"/>
          <w:sz w:val="16"/>
          <w:szCs w:val="16"/>
        </w:rPr>
        <w:t>По информации ТАСС от 27/Х-с. г. дело РАМЗИНА и др.[,] имеющее исключительное значение, передается Верховному Суду без точного указания, какому Верховному Суду поручено будет это дело слушать. Как по существу — дело это по своей значимости для широких кругов С.С.С.Р. и за-границей, так и формально — по Конституции, необходимо подразумевать Верховный Суд С.С.С.Р., независимо от вопроса о составе присутствия и государств[енного] обвинения] на процессе, подобно тому, как это было на Шахтинском процессе.</w:t>
      </w:r>
    </w:p>
    <w:p w14:paraId="5466E9CA" w14:textId="77777777" w:rsidR="00A3695E" w:rsidRPr="00507A31" w:rsidRDefault="00A3695E" w:rsidP="00507A31">
      <w:pPr>
        <w:jc w:val="both"/>
        <w:rPr>
          <w:color w:val="000000" w:themeColor="text1"/>
          <w:sz w:val="16"/>
          <w:szCs w:val="16"/>
        </w:rPr>
      </w:pPr>
      <w:r w:rsidRPr="00507A31">
        <w:rPr>
          <w:color w:val="000000" w:themeColor="text1"/>
          <w:sz w:val="16"/>
          <w:szCs w:val="16"/>
        </w:rPr>
        <w:t>Если находите мое мнение правильным, прошу сделать распоряжение выслать мне относящиеся к этому вопросу необходимые для ориентации Прокуратуры материалы и постановления Ц.К., а также найти целесообразным установить мою постоянную связь, поскольку это требуется интересами дела, с тем политическим органом, который будет руководить процессом.</w:t>
      </w:r>
    </w:p>
    <w:p w14:paraId="0B23BA7C" w14:textId="77777777" w:rsidR="00A3695E" w:rsidRPr="00507A31" w:rsidRDefault="00A3695E" w:rsidP="00507A31">
      <w:pPr>
        <w:jc w:val="both"/>
        <w:rPr>
          <w:color w:val="000000" w:themeColor="text1"/>
          <w:sz w:val="16"/>
          <w:szCs w:val="16"/>
        </w:rPr>
      </w:pPr>
      <w:r w:rsidRPr="00507A31">
        <w:rPr>
          <w:color w:val="000000" w:themeColor="text1"/>
          <w:sz w:val="16"/>
          <w:szCs w:val="16"/>
        </w:rPr>
        <w:t>С коммунистическим приветом‌П. Красиков</w:t>
      </w:r>
    </w:p>
    <w:p w14:paraId="74B5E130" w14:textId="77777777" w:rsidR="00A3695E" w:rsidRPr="00507A31" w:rsidRDefault="00A3695E" w:rsidP="00507A31">
      <w:pPr>
        <w:jc w:val="both"/>
        <w:rPr>
          <w:color w:val="000000" w:themeColor="text1"/>
          <w:sz w:val="16"/>
          <w:szCs w:val="16"/>
        </w:rPr>
      </w:pPr>
      <w:r w:rsidRPr="00507A31">
        <w:rPr>
          <w:color w:val="000000" w:themeColor="text1"/>
          <w:sz w:val="16"/>
          <w:szCs w:val="16"/>
        </w:rPr>
        <w:t>Д. 354. Л. 189. Машинописный подлинник на бланке Прокурора Верховного Суда СССР, подпись-автограф. Слова «Сов. секретно» «Лично» написаны вверху рукой Красикова. Дата «30/Х 1930 г.» и номер «№ 00720517» документа — также от руки в графах бланка. На поле слева рукописная помета «Дать по составлении ответ &lt;...&gt;» (неразборчиво) (18491).</w:t>
      </w:r>
    </w:p>
    <w:p w14:paraId="008CECD9" w14:textId="77777777" w:rsidR="00A3695E" w:rsidRPr="00507A31" w:rsidRDefault="00A3695E" w:rsidP="00507A31">
      <w:pPr>
        <w:jc w:val="both"/>
        <w:rPr>
          <w:color w:val="000000" w:themeColor="text1"/>
          <w:sz w:val="16"/>
          <w:szCs w:val="16"/>
        </w:rPr>
      </w:pPr>
    </w:p>
    <w:p w14:paraId="3966DE6E" w14:textId="77777777" w:rsidR="00A3695E" w:rsidRPr="00507A31" w:rsidRDefault="00A3695E" w:rsidP="00507A31">
      <w:pPr>
        <w:jc w:val="both"/>
        <w:rPr>
          <w:bCs/>
          <w:color w:val="000000" w:themeColor="text1"/>
          <w:sz w:val="16"/>
          <w:szCs w:val="16"/>
        </w:rPr>
      </w:pPr>
      <w:r w:rsidRPr="00507A31">
        <w:rPr>
          <w:color w:val="000000" w:themeColor="text1"/>
          <w:sz w:val="16"/>
          <w:szCs w:val="16"/>
        </w:rPr>
        <w:t>30 октября 1930 г.</w:t>
      </w:r>
    </w:p>
    <w:p w14:paraId="3A6FF223" w14:textId="77777777" w:rsidR="00A3695E" w:rsidRPr="00507A31" w:rsidRDefault="00A3695E" w:rsidP="00507A31">
      <w:pPr>
        <w:jc w:val="both"/>
        <w:rPr>
          <w:bCs/>
          <w:color w:val="000000" w:themeColor="text1"/>
          <w:sz w:val="16"/>
          <w:szCs w:val="16"/>
        </w:rPr>
      </w:pPr>
      <w:r w:rsidRPr="00507A31">
        <w:rPr>
          <w:color w:val="000000" w:themeColor="text1"/>
          <w:sz w:val="16"/>
          <w:szCs w:val="16"/>
        </w:rPr>
        <w:t>Письмо академика А. Н. Баха на имя И. В. Сталина с ходатайством «о допущении ВАРНИТСО в качестве общественного обвинителя» на процесс «Промпартии». 30 октября 1930 г.</w:t>
      </w:r>
    </w:p>
    <w:p w14:paraId="73A8F54A" w14:textId="77777777" w:rsidR="00A3695E" w:rsidRPr="00507A31" w:rsidRDefault="00A3695E" w:rsidP="00507A31">
      <w:pPr>
        <w:jc w:val="both"/>
        <w:rPr>
          <w:bCs/>
          <w:color w:val="000000" w:themeColor="text1"/>
          <w:sz w:val="16"/>
          <w:szCs w:val="16"/>
        </w:rPr>
      </w:pPr>
      <w:r w:rsidRPr="00507A31">
        <w:rPr>
          <w:bCs/>
          <w:color w:val="000000" w:themeColor="text1"/>
          <w:sz w:val="16"/>
          <w:szCs w:val="16"/>
        </w:rPr>
        <w:t>Источник: </w:t>
      </w:r>
    </w:p>
    <w:p w14:paraId="33D70A26" w14:textId="77777777" w:rsidR="00A3695E" w:rsidRPr="00507A31" w:rsidRDefault="00A3695E"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AD2DCB" w14:textId="77777777" w:rsidR="00A3695E" w:rsidRPr="00507A31" w:rsidRDefault="00A3695E" w:rsidP="00507A31">
      <w:pPr>
        <w:jc w:val="both"/>
        <w:rPr>
          <w:bCs/>
          <w:color w:val="000000" w:themeColor="text1"/>
          <w:sz w:val="16"/>
          <w:szCs w:val="16"/>
        </w:rPr>
      </w:pPr>
      <w:r w:rsidRPr="00507A31">
        <w:rPr>
          <w:bCs/>
          <w:color w:val="000000" w:themeColor="text1"/>
          <w:sz w:val="16"/>
          <w:szCs w:val="16"/>
        </w:rPr>
        <w:t>Архив: </w:t>
      </w:r>
    </w:p>
    <w:p w14:paraId="1DC2A45B" w14:textId="77777777" w:rsidR="00A3695E" w:rsidRPr="00507A31" w:rsidRDefault="00A3695E" w:rsidP="00507A31">
      <w:pPr>
        <w:jc w:val="both"/>
        <w:rPr>
          <w:color w:val="000000" w:themeColor="text1"/>
          <w:sz w:val="16"/>
          <w:szCs w:val="16"/>
        </w:rPr>
      </w:pPr>
      <w:r w:rsidRPr="00507A31">
        <w:rPr>
          <w:color w:val="000000" w:themeColor="text1"/>
          <w:sz w:val="16"/>
          <w:szCs w:val="16"/>
        </w:rPr>
        <w:t>ГА РФ. Ф. 9474. On. 7.Д.418. Л. 140</w:t>
      </w:r>
    </w:p>
    <w:p w14:paraId="4F280835" w14:textId="77777777" w:rsidR="00A3695E" w:rsidRPr="00507A31" w:rsidRDefault="00A3695E" w:rsidP="00507A31">
      <w:pPr>
        <w:pStyle w:val="rteright"/>
        <w:spacing w:before="0" w:after="0"/>
        <w:jc w:val="both"/>
        <w:rPr>
          <w:color w:val="000000" w:themeColor="text1"/>
          <w:sz w:val="16"/>
          <w:szCs w:val="16"/>
        </w:rPr>
      </w:pPr>
      <w:r w:rsidRPr="00507A31">
        <w:rPr>
          <w:color w:val="000000" w:themeColor="text1"/>
          <w:sz w:val="16"/>
          <w:szCs w:val="16"/>
        </w:rPr>
        <w:t>30 октября 1930 г.</w:t>
      </w:r>
    </w:p>
    <w:p w14:paraId="4DCFA83A" w14:textId="77777777" w:rsidR="00A3695E" w:rsidRPr="00507A31" w:rsidRDefault="00A3695E" w:rsidP="00507A31">
      <w:pPr>
        <w:pStyle w:val="ae"/>
        <w:spacing w:before="0" w:after="0"/>
        <w:jc w:val="both"/>
        <w:rPr>
          <w:color w:val="000000" w:themeColor="text1"/>
          <w:sz w:val="16"/>
          <w:szCs w:val="16"/>
        </w:rPr>
      </w:pPr>
      <w:r w:rsidRPr="00507A31">
        <w:rPr>
          <w:color w:val="000000" w:themeColor="text1"/>
          <w:sz w:val="16"/>
          <w:szCs w:val="16"/>
        </w:rPr>
        <w:t>ГЕНЕРАЛЬНОМУ СЕКРЕТАРЮ ЦЕНТРАЛЬНОГО КОМИТЕТА</w:t>
      </w:r>
    </w:p>
    <w:p w14:paraId="3275A425" w14:textId="77777777" w:rsidR="00A3695E" w:rsidRPr="00507A31" w:rsidRDefault="00A3695E" w:rsidP="00507A31">
      <w:pPr>
        <w:pStyle w:val="ae"/>
        <w:spacing w:before="0" w:after="0"/>
        <w:jc w:val="both"/>
        <w:rPr>
          <w:color w:val="000000" w:themeColor="text1"/>
          <w:sz w:val="16"/>
          <w:szCs w:val="16"/>
        </w:rPr>
      </w:pPr>
      <w:r w:rsidRPr="00507A31">
        <w:rPr>
          <w:color w:val="000000" w:themeColor="text1"/>
          <w:sz w:val="16"/>
          <w:szCs w:val="16"/>
        </w:rPr>
        <w:t>ВСЕСОЮЗНОЙ КОММУНИСТИЧЕСКОЙ</w:t>
      </w:r>
    </w:p>
    <w:p w14:paraId="6626E892" w14:textId="77777777" w:rsidR="00A3695E" w:rsidRPr="00507A31" w:rsidRDefault="00A3695E" w:rsidP="00507A31">
      <w:pPr>
        <w:pStyle w:val="ae"/>
        <w:spacing w:before="0" w:after="0"/>
        <w:jc w:val="both"/>
        <w:rPr>
          <w:color w:val="000000" w:themeColor="text1"/>
          <w:sz w:val="16"/>
          <w:szCs w:val="16"/>
        </w:rPr>
      </w:pPr>
      <w:r w:rsidRPr="00507A31">
        <w:rPr>
          <w:color w:val="000000" w:themeColor="text1"/>
          <w:sz w:val="16"/>
          <w:szCs w:val="16"/>
        </w:rPr>
        <w:t>ПАРТИИ БОЛЬШЕВИКОВ</w:t>
      </w:r>
    </w:p>
    <w:p w14:paraId="7DB50DAA" w14:textId="77777777" w:rsidR="00A3695E" w:rsidRPr="00507A31" w:rsidRDefault="00A3695E" w:rsidP="00507A31">
      <w:pPr>
        <w:pStyle w:val="ae"/>
        <w:spacing w:before="0" w:after="0"/>
        <w:jc w:val="both"/>
        <w:rPr>
          <w:color w:val="000000" w:themeColor="text1"/>
          <w:sz w:val="16"/>
          <w:szCs w:val="16"/>
        </w:rPr>
      </w:pPr>
      <w:r w:rsidRPr="00507A31">
        <w:rPr>
          <w:color w:val="000000" w:themeColor="text1"/>
          <w:sz w:val="16"/>
          <w:szCs w:val="16"/>
        </w:rPr>
        <w:t>тов. И. В. СТАЛИНУ</w:t>
      </w:r>
    </w:p>
    <w:p w14:paraId="25DA30CA" w14:textId="77777777" w:rsidR="00A3695E" w:rsidRPr="00507A31" w:rsidRDefault="00A3695E" w:rsidP="00507A31">
      <w:pPr>
        <w:pStyle w:val="ae"/>
        <w:spacing w:before="0" w:after="0"/>
        <w:jc w:val="both"/>
        <w:rPr>
          <w:color w:val="000000" w:themeColor="text1"/>
          <w:sz w:val="16"/>
          <w:szCs w:val="16"/>
        </w:rPr>
      </w:pPr>
      <w:r w:rsidRPr="00507A31">
        <w:rPr>
          <w:color w:val="000000" w:themeColor="text1"/>
          <w:sz w:val="16"/>
          <w:szCs w:val="16"/>
        </w:rPr>
        <w:t>Уважаемый Иосиф Виссарионович!</w:t>
      </w:r>
    </w:p>
    <w:p w14:paraId="3E8E7CF1" w14:textId="77777777" w:rsidR="00A3695E" w:rsidRPr="00507A31" w:rsidRDefault="00A3695E" w:rsidP="00507A31">
      <w:pPr>
        <w:pStyle w:val="rtejustify"/>
        <w:spacing w:before="0" w:after="0"/>
        <w:rPr>
          <w:color w:val="000000" w:themeColor="text1"/>
          <w:sz w:val="16"/>
          <w:szCs w:val="16"/>
        </w:rPr>
      </w:pPr>
      <w:r w:rsidRPr="00507A31">
        <w:rPr>
          <w:color w:val="000000" w:themeColor="text1"/>
          <w:sz w:val="16"/>
          <w:szCs w:val="16"/>
        </w:rPr>
        <w:t>На экстренном заседании Центрального Бюро ВАРНИТСО мы решили ходатайствовать о допущении ВАРНИТСО в качестве общественного обвинителя в предстоящем процессе в Верховном Суде по делу вредителей, так называемой «промышленной партии».</w:t>
      </w:r>
    </w:p>
    <w:p w14:paraId="7B5BEEEE" w14:textId="77777777" w:rsidR="00A3695E" w:rsidRPr="00507A31" w:rsidRDefault="00A3695E" w:rsidP="00507A31">
      <w:pPr>
        <w:pStyle w:val="rtejustify"/>
        <w:spacing w:before="0" w:after="0"/>
        <w:rPr>
          <w:color w:val="000000" w:themeColor="text1"/>
          <w:sz w:val="16"/>
          <w:szCs w:val="16"/>
        </w:rPr>
      </w:pPr>
      <w:r w:rsidRPr="00507A31">
        <w:rPr>
          <w:color w:val="000000" w:themeColor="text1"/>
          <w:sz w:val="16"/>
          <w:szCs w:val="16"/>
        </w:rPr>
        <w:t>Представляю постановление на Ваше решение.</w:t>
      </w:r>
    </w:p>
    <w:p w14:paraId="10EA284F" w14:textId="77777777" w:rsidR="00A3695E" w:rsidRPr="00507A31" w:rsidRDefault="00A3695E" w:rsidP="00507A31">
      <w:pPr>
        <w:pStyle w:val="rtejustify"/>
        <w:spacing w:before="0" w:after="0"/>
        <w:rPr>
          <w:color w:val="000000" w:themeColor="text1"/>
          <w:sz w:val="16"/>
          <w:szCs w:val="16"/>
        </w:rPr>
      </w:pPr>
      <w:r w:rsidRPr="00507A31">
        <w:rPr>
          <w:color w:val="000000" w:themeColor="text1"/>
          <w:sz w:val="16"/>
          <w:szCs w:val="16"/>
        </w:rPr>
        <w:t>С товарищеским приветом ПРЕДСЕДАТЕЛЬ ВАРНИТСО А. Бах</w:t>
      </w:r>
    </w:p>
    <w:p w14:paraId="02191E51" w14:textId="77777777" w:rsidR="00A3695E" w:rsidRPr="00507A31" w:rsidRDefault="00A3695E" w:rsidP="00507A31">
      <w:pPr>
        <w:pStyle w:val="ae"/>
        <w:spacing w:before="0" w:after="0"/>
        <w:jc w:val="both"/>
        <w:rPr>
          <w:color w:val="000000" w:themeColor="text1"/>
          <w:sz w:val="16"/>
          <w:szCs w:val="16"/>
        </w:rPr>
      </w:pPr>
      <w:r w:rsidRPr="00507A31">
        <w:rPr>
          <w:rStyle w:val="af0"/>
          <w:i w:val="0"/>
          <w:color w:val="000000" w:themeColor="text1"/>
          <w:sz w:val="16"/>
          <w:szCs w:val="16"/>
        </w:rPr>
        <w:t>ГА РФ. Ф. 9474. On. 7.Д.418. Л. 140. Машинописный подлинник на бланке ВАРНИТСО, подпись — автограф. Рядом машинописная расшифровка подписи — «акад. А. Н. БАХ». В угловой штамп бланка вписаны от руки дата «30 октября 1930 г.» и номер документа (№333). Вверху слева — резолюция рукой И. В. Сталина (карандашом): «Запросить мнение Крыленко. И. Сталин» (18710).</w:t>
      </w:r>
    </w:p>
    <w:p w14:paraId="18ACC512" w14:textId="77777777" w:rsidR="00A3695E" w:rsidRPr="00507A31" w:rsidRDefault="00A3695E" w:rsidP="00507A31">
      <w:pPr>
        <w:jc w:val="both"/>
        <w:rPr>
          <w:color w:val="000000" w:themeColor="text1"/>
          <w:sz w:val="16"/>
          <w:szCs w:val="16"/>
        </w:rPr>
      </w:pPr>
    </w:p>
    <w:p w14:paraId="37110D7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43F9655" w14:textId="77777777" w:rsidR="00537E5F" w:rsidRPr="00507A31" w:rsidRDefault="00537E5F" w:rsidP="00507A31">
      <w:pPr>
        <w:autoSpaceDE w:val="0"/>
        <w:autoSpaceDN w:val="0"/>
        <w:adjustRightInd w:val="0"/>
        <w:jc w:val="both"/>
        <w:rPr>
          <w:iCs/>
          <w:color w:val="000000" w:themeColor="text1"/>
          <w:sz w:val="16"/>
          <w:szCs w:val="16"/>
        </w:rPr>
      </w:pPr>
    </w:p>
    <w:p w14:paraId="36770283" w14:textId="77777777" w:rsidR="00E0447F" w:rsidRPr="00507A31" w:rsidRDefault="00E0447F" w:rsidP="00507A31">
      <w:pPr>
        <w:jc w:val="both"/>
        <w:rPr>
          <w:color w:val="000000" w:themeColor="text1"/>
          <w:sz w:val="16"/>
          <w:szCs w:val="16"/>
        </w:rPr>
      </w:pPr>
      <w:r w:rsidRPr="00507A31">
        <w:rPr>
          <w:rStyle w:val="ucoz-forum-post"/>
          <w:rFonts w:eastAsiaTheme="majorEastAsia"/>
          <w:bCs/>
          <w:color w:val="000000" w:themeColor="text1"/>
          <w:sz w:val="16"/>
          <w:szCs w:val="16"/>
        </w:rPr>
        <w:t xml:space="preserve">30 октября </w:t>
      </w:r>
      <w:r w:rsidRPr="00507A31">
        <w:rPr>
          <w:color w:val="000000" w:themeColor="text1"/>
          <w:sz w:val="16"/>
          <w:szCs w:val="16"/>
        </w:rPr>
        <w:t>в 1930 году состоялся первый полёт немецкого пассажирского трехмоторного самолёта «Junkers Ju-52». Пока что в одномоторном варианте (14815).</w:t>
      </w:r>
    </w:p>
    <w:p w14:paraId="0EA827F2" w14:textId="77777777" w:rsidR="00E0447F" w:rsidRPr="00507A31" w:rsidRDefault="00E0447F" w:rsidP="00507A31">
      <w:pPr>
        <w:jc w:val="both"/>
        <w:rPr>
          <w:color w:val="000000" w:themeColor="text1"/>
          <w:sz w:val="16"/>
          <w:szCs w:val="16"/>
        </w:rPr>
      </w:pPr>
    </w:p>
    <w:p w14:paraId="66DFEC8D" w14:textId="77777777" w:rsidR="00C82135" w:rsidRPr="00507A31" w:rsidRDefault="00C82135" w:rsidP="00507A31">
      <w:pPr>
        <w:jc w:val="both"/>
        <w:rPr>
          <w:color w:val="0070C0"/>
          <w:sz w:val="16"/>
          <w:szCs w:val="16"/>
        </w:rPr>
      </w:pPr>
      <w:r w:rsidRPr="00507A31">
        <w:rPr>
          <w:color w:val="0070C0"/>
          <w:sz w:val="16"/>
          <w:szCs w:val="16"/>
        </w:rPr>
        <w:t>30 октября 1930 самолет The Imperial Airways Handley Page W.8g Гамильтон Сити в Вашингтоне (регистрация G-EBIX) врезается в землю в густом тумане в Булони, Франция, во время обычного рейса из аэропорта Париж-Ле Бурже под Парижем в аэропорт Кройдон в Лондоне. Трое из шести человек на борту погибают (20805).</w:t>
      </w:r>
    </w:p>
    <w:p w14:paraId="3782CEE4" w14:textId="77777777" w:rsidR="00C82135" w:rsidRPr="00507A31" w:rsidRDefault="00C82135" w:rsidP="00507A31">
      <w:pPr>
        <w:jc w:val="both"/>
        <w:rPr>
          <w:color w:val="0070C0"/>
          <w:sz w:val="16"/>
          <w:szCs w:val="16"/>
        </w:rPr>
      </w:pPr>
    </w:p>
    <w:p w14:paraId="641125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октября 1930 в Анкаре было достигнуто соглашение между Турцией и Грецией об обмене группами населения (3907,162).</w:t>
      </w:r>
    </w:p>
    <w:p w14:paraId="00E841ED" w14:textId="77777777" w:rsidR="00537E5F" w:rsidRPr="00507A31" w:rsidRDefault="00537E5F" w:rsidP="00507A31">
      <w:pPr>
        <w:autoSpaceDE w:val="0"/>
        <w:autoSpaceDN w:val="0"/>
        <w:adjustRightInd w:val="0"/>
        <w:jc w:val="both"/>
        <w:rPr>
          <w:color w:val="000000" w:themeColor="text1"/>
          <w:sz w:val="16"/>
          <w:szCs w:val="16"/>
        </w:rPr>
      </w:pPr>
    </w:p>
    <w:p w14:paraId="6935D24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0CFC115" w14:textId="77777777" w:rsidR="00537E5F" w:rsidRPr="00507A31" w:rsidRDefault="00537E5F" w:rsidP="00507A31">
      <w:pPr>
        <w:autoSpaceDE w:val="0"/>
        <w:autoSpaceDN w:val="0"/>
        <w:adjustRightInd w:val="0"/>
        <w:jc w:val="both"/>
        <w:rPr>
          <w:iCs/>
          <w:color w:val="000000" w:themeColor="text1"/>
          <w:sz w:val="16"/>
          <w:szCs w:val="16"/>
        </w:rPr>
      </w:pPr>
    </w:p>
    <w:p w14:paraId="4D2F34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октября 1930 самолет ТБ-3 (АНТ-6) подготовили к испытаниям, но из-за ряда дефектов они начались только 22 декабря (8887).</w:t>
      </w:r>
    </w:p>
    <w:p w14:paraId="26F05067" w14:textId="77777777" w:rsidR="00537E5F" w:rsidRPr="00507A31" w:rsidRDefault="00537E5F" w:rsidP="00507A31">
      <w:pPr>
        <w:autoSpaceDE w:val="0"/>
        <w:autoSpaceDN w:val="0"/>
        <w:adjustRightInd w:val="0"/>
        <w:jc w:val="both"/>
        <w:rPr>
          <w:color w:val="000000" w:themeColor="text1"/>
          <w:sz w:val="16"/>
          <w:szCs w:val="16"/>
        </w:rPr>
      </w:pPr>
    </w:p>
    <w:p w14:paraId="6C49348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31 октября 1930 года наблюдающий за морским опытным строительством инженер Кудрявцев подготовил:</w:t>
      </w:r>
    </w:p>
    <w:p w14:paraId="4F718A0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Отчет о состоянии морского опытного строительства на заводе № 39 по наблюдению в период с 24 сентября 1930 года по 1 октября 1930 года</w:t>
      </w:r>
    </w:p>
    <w:p w14:paraId="51C8AD4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МДР-3</w:t>
      </w:r>
    </w:p>
    <w:p w14:paraId="1AAC068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 1 ноября 1930 года завод представит макет и эскизный проект для утверждения. В настоящее время в виду нереальности мотора ФЭД и невозможности достичь данных скороподъемности на 3000 м – 20 минут и дальность – 2400 км с моторами М-34 и ФЭД завод ведет изыскания по нескольким вариантам зарубежных моторов.</w:t>
      </w:r>
    </w:p>
    <w:p w14:paraId="548380C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Р-5 на поплавках</w:t>
      </w:r>
    </w:p>
    <w:p w14:paraId="53EFFEF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Завод представит в эскизном проекте 2 типа поплавка: металлический и деревянный.</w:t>
      </w:r>
    </w:p>
    <w:p w14:paraId="3914940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МДР-1</w:t>
      </w:r>
    </w:p>
    <w:p w14:paraId="657EE17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настоящее время никаких производственных работ не ведется. Работы начнутся после окончания Л.Ш.-1.</w:t>
      </w:r>
    </w:p>
    <w:p w14:paraId="4F9DBDF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Макет самолета будет представлен к 1 октября 1930 года.</w:t>
      </w:r>
    </w:p>
    <w:p w14:paraId="718EB8F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будет представлен на гос. испытание 1 апреля 1931 года.</w:t>
      </w:r>
    </w:p>
    <w:p w14:paraId="0B5A2FE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 над внутренним оборудованием лодки еще не ведется.</w:t>
      </w:r>
    </w:p>
    <w:p w14:paraId="1DEC5A8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МБР-1</w:t>
      </w:r>
    </w:p>
    <w:p w14:paraId="0F58D97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Ведутся незначительные по объему работы над лодкой Ришара. Общий процент готовности самолета – 70-75.</w:t>
      </w:r>
    </w:p>
    <w:p w14:paraId="5E9A579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Второй вариант фанерной лодки будет достраиваться в общественном порядке (если будет получено разрешение ГВАО).</w:t>
      </w:r>
    </w:p>
    <w:p w14:paraId="621FBEC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Общие выводы</w:t>
      </w:r>
    </w:p>
    <w:p w14:paraId="76E7DB7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Ввиду массирования сил и внимания к Л.Ш.-1 выполнение работ по морским самолетам идет медленно (6954, 13-14).</w:t>
      </w:r>
    </w:p>
    <w:p w14:paraId="37DA92D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740D1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октября 1930 был готов АНТ-6 (ТБ-3) с Кертис Конкверор и его перевезли на аэродром (92,427), но месяц собирали и доделывали (156,17).</w:t>
      </w:r>
    </w:p>
    <w:p w14:paraId="6CC02A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над машиной велась с конца 1925.</w:t>
      </w:r>
    </w:p>
    <w:p w14:paraId="232E766A" w14:textId="77777777" w:rsidR="00537E5F" w:rsidRPr="00507A31" w:rsidRDefault="00537E5F" w:rsidP="00507A31">
      <w:pPr>
        <w:autoSpaceDE w:val="0"/>
        <w:autoSpaceDN w:val="0"/>
        <w:adjustRightInd w:val="0"/>
        <w:jc w:val="both"/>
        <w:rPr>
          <w:color w:val="000000" w:themeColor="text1"/>
          <w:sz w:val="16"/>
          <w:szCs w:val="16"/>
        </w:rPr>
      </w:pPr>
    </w:p>
    <w:p w14:paraId="488183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октября 1930 летчик Добролета А.С.Демченко выполнил авиационную разведку рыбы на Юнкерс-20 в дельте Волги. За месяц сделал 37 полетов (438,616).</w:t>
      </w:r>
    </w:p>
    <w:p w14:paraId="2BA70110" w14:textId="77777777" w:rsidR="00537E5F" w:rsidRPr="00507A31" w:rsidRDefault="00537E5F" w:rsidP="00507A31">
      <w:pPr>
        <w:autoSpaceDE w:val="0"/>
        <w:autoSpaceDN w:val="0"/>
        <w:adjustRightInd w:val="0"/>
        <w:jc w:val="both"/>
        <w:rPr>
          <w:color w:val="000000" w:themeColor="text1"/>
          <w:sz w:val="16"/>
          <w:szCs w:val="16"/>
        </w:rPr>
      </w:pPr>
    </w:p>
    <w:p w14:paraId="40E086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октября 1930 вышел приказ N 1 по ВОГВФ (333,32).</w:t>
      </w:r>
    </w:p>
    <w:p w14:paraId="009F2A1B" w14:textId="77777777" w:rsidR="00537E5F" w:rsidRPr="00507A31" w:rsidRDefault="00537E5F" w:rsidP="00507A31">
      <w:pPr>
        <w:autoSpaceDE w:val="0"/>
        <w:autoSpaceDN w:val="0"/>
        <w:adjustRightInd w:val="0"/>
        <w:jc w:val="both"/>
        <w:rPr>
          <w:color w:val="000000" w:themeColor="text1"/>
          <w:sz w:val="16"/>
          <w:szCs w:val="16"/>
        </w:rPr>
      </w:pPr>
    </w:p>
    <w:p w14:paraId="751F0EEB" w14:textId="77777777" w:rsidR="00C07118" w:rsidRPr="00507A31" w:rsidRDefault="00C07118"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38C47A8" w14:textId="77777777" w:rsidR="00C07118" w:rsidRPr="00507A31" w:rsidRDefault="00C07118" w:rsidP="00507A31">
      <w:pPr>
        <w:shd w:val="clear" w:color="auto" w:fill="FFFFFF"/>
        <w:autoSpaceDE w:val="0"/>
        <w:autoSpaceDN w:val="0"/>
        <w:adjustRightInd w:val="0"/>
        <w:jc w:val="both"/>
        <w:rPr>
          <w:iCs/>
          <w:color w:val="000000" w:themeColor="text1"/>
          <w:sz w:val="16"/>
          <w:szCs w:val="16"/>
        </w:rPr>
      </w:pPr>
    </w:p>
    <w:p w14:paraId="77A5C7D4"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2DEFFB04" w14:textId="77777777" w:rsidR="00C07118" w:rsidRPr="00507A31" w:rsidRDefault="00C07118" w:rsidP="00507A31">
      <w:pPr>
        <w:jc w:val="both"/>
        <w:rPr>
          <w:color w:val="000000" w:themeColor="text1"/>
          <w:sz w:val="16"/>
          <w:szCs w:val="16"/>
        </w:rPr>
      </w:pPr>
      <w:r w:rsidRPr="00507A31">
        <w:rPr>
          <w:color w:val="000000" w:themeColor="text1"/>
          <w:sz w:val="16"/>
          <w:szCs w:val="16"/>
        </w:rPr>
        <w:t>Показания Л. К. Рамзина о «деятельности Промпартии» по подготовке «интервенции против СССР». 31 октября 1930 г.</w:t>
      </w:r>
    </w:p>
    <w:p w14:paraId="6A7D8A9D" w14:textId="77777777" w:rsidR="00C07118" w:rsidRPr="00507A31" w:rsidRDefault="00C07118" w:rsidP="00507A31">
      <w:pPr>
        <w:jc w:val="both"/>
        <w:rPr>
          <w:color w:val="000000" w:themeColor="text1"/>
          <w:sz w:val="16"/>
          <w:szCs w:val="16"/>
        </w:rPr>
      </w:pPr>
      <w:r w:rsidRPr="00507A31">
        <w:rPr>
          <w:color w:val="000000" w:themeColor="text1"/>
          <w:sz w:val="16"/>
          <w:szCs w:val="16"/>
        </w:rPr>
        <w:t>Источник: </w:t>
      </w:r>
    </w:p>
    <w:p w14:paraId="6D3B91C8" w14:textId="77777777" w:rsidR="00C07118" w:rsidRPr="00507A31" w:rsidRDefault="00C0711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54A350" w14:textId="77777777" w:rsidR="00C07118" w:rsidRPr="00507A31" w:rsidRDefault="00C07118" w:rsidP="00507A31">
      <w:pPr>
        <w:jc w:val="both"/>
        <w:rPr>
          <w:color w:val="000000" w:themeColor="text1"/>
          <w:sz w:val="16"/>
          <w:szCs w:val="16"/>
        </w:rPr>
      </w:pPr>
      <w:r w:rsidRPr="00507A31">
        <w:rPr>
          <w:color w:val="000000" w:themeColor="text1"/>
          <w:sz w:val="16"/>
          <w:szCs w:val="16"/>
        </w:rPr>
        <w:t>Архив: </w:t>
      </w:r>
    </w:p>
    <w:p w14:paraId="4709FF11" w14:textId="77777777" w:rsidR="00C07118" w:rsidRPr="00507A31" w:rsidRDefault="00C07118" w:rsidP="00507A31">
      <w:pPr>
        <w:jc w:val="both"/>
        <w:rPr>
          <w:color w:val="000000" w:themeColor="text1"/>
          <w:sz w:val="16"/>
          <w:szCs w:val="16"/>
        </w:rPr>
      </w:pPr>
      <w:r w:rsidRPr="00507A31">
        <w:rPr>
          <w:color w:val="000000" w:themeColor="text1"/>
          <w:sz w:val="16"/>
          <w:szCs w:val="16"/>
        </w:rPr>
        <w:t>ЦА ФСБ РФ. Ф. Р-42280. Т. 10. Л. 62-78</w:t>
      </w:r>
    </w:p>
    <w:p w14:paraId="658B0232"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20E01BE5" w14:textId="77777777" w:rsidR="00C07118" w:rsidRPr="00507A31" w:rsidRDefault="00C07118" w:rsidP="00507A31">
      <w:pPr>
        <w:jc w:val="both"/>
        <w:rPr>
          <w:color w:val="000000" w:themeColor="text1"/>
          <w:sz w:val="16"/>
          <w:szCs w:val="16"/>
        </w:rPr>
      </w:pPr>
      <w:r w:rsidRPr="00507A31">
        <w:rPr>
          <w:color w:val="000000" w:themeColor="text1"/>
          <w:sz w:val="16"/>
          <w:szCs w:val="16"/>
        </w:rPr>
        <w:t>[Строго секретно]</w:t>
      </w:r>
    </w:p>
    <w:p w14:paraId="509AF0F7" w14:textId="77777777" w:rsidR="00C07118" w:rsidRPr="00507A31" w:rsidRDefault="00C07118" w:rsidP="00507A31">
      <w:pPr>
        <w:jc w:val="both"/>
        <w:rPr>
          <w:color w:val="000000" w:themeColor="text1"/>
          <w:sz w:val="16"/>
          <w:szCs w:val="16"/>
        </w:rPr>
      </w:pPr>
      <w:r w:rsidRPr="00507A31">
        <w:rPr>
          <w:color w:val="000000" w:themeColor="text1"/>
          <w:sz w:val="16"/>
          <w:szCs w:val="16"/>
        </w:rPr>
        <w:t>ПОКАЗАНИЕ</w:t>
      </w:r>
    </w:p>
    <w:p w14:paraId="631B063A" w14:textId="77777777" w:rsidR="00C07118" w:rsidRPr="00507A31" w:rsidRDefault="00C07118" w:rsidP="00507A31">
      <w:pPr>
        <w:jc w:val="both"/>
        <w:rPr>
          <w:color w:val="000000" w:themeColor="text1"/>
          <w:sz w:val="16"/>
          <w:szCs w:val="16"/>
        </w:rPr>
      </w:pPr>
      <w:r w:rsidRPr="00507A31">
        <w:rPr>
          <w:color w:val="000000" w:themeColor="text1"/>
          <w:sz w:val="16"/>
          <w:szCs w:val="16"/>
        </w:rPr>
        <w:t>проф. Л. К. РАМЗИНА от «31» окт. 1930 г.</w:t>
      </w:r>
    </w:p>
    <w:p w14:paraId="1ECAB863"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ДОПРОСИЛИ — НАЧСООГПУ АГРАНОВ</w:t>
      </w:r>
    </w:p>
    <w:p w14:paraId="62107538" w14:textId="77777777" w:rsidR="00C07118" w:rsidRPr="00507A31" w:rsidRDefault="00C07118" w:rsidP="00507A31">
      <w:pPr>
        <w:jc w:val="both"/>
        <w:rPr>
          <w:color w:val="000000" w:themeColor="text1"/>
          <w:sz w:val="16"/>
          <w:szCs w:val="16"/>
        </w:rPr>
      </w:pPr>
      <w:r w:rsidRPr="00507A31">
        <w:rPr>
          <w:color w:val="000000" w:themeColor="text1"/>
          <w:sz w:val="16"/>
          <w:szCs w:val="16"/>
        </w:rPr>
        <w:t>ПОМ. НАЧ. 3 ОТДЕЛЕНИЯ СООГПУ РАДЗИВИЛОВСКИЙ</w:t>
      </w:r>
    </w:p>
    <w:p w14:paraId="2C6DDB95" w14:textId="77777777" w:rsidR="00C07118" w:rsidRPr="00507A31" w:rsidRDefault="00C07118" w:rsidP="00507A31">
      <w:pPr>
        <w:jc w:val="both"/>
        <w:rPr>
          <w:color w:val="000000" w:themeColor="text1"/>
          <w:sz w:val="16"/>
          <w:szCs w:val="16"/>
        </w:rPr>
      </w:pPr>
      <w:r w:rsidRPr="00507A31">
        <w:rPr>
          <w:color w:val="000000" w:themeColor="text1"/>
          <w:sz w:val="16"/>
          <w:szCs w:val="16"/>
        </w:rPr>
        <w:t>Интервенция против СССР.</w:t>
      </w:r>
    </w:p>
    <w:p w14:paraId="0D8DAEBC" w14:textId="77777777" w:rsidR="00C07118" w:rsidRPr="00507A31" w:rsidRDefault="00C07118" w:rsidP="00507A31">
      <w:pPr>
        <w:jc w:val="both"/>
        <w:rPr>
          <w:color w:val="000000" w:themeColor="text1"/>
          <w:sz w:val="16"/>
          <w:szCs w:val="16"/>
        </w:rPr>
      </w:pPr>
      <w:r w:rsidRPr="00507A31">
        <w:rPr>
          <w:color w:val="000000" w:themeColor="text1"/>
          <w:sz w:val="16"/>
          <w:szCs w:val="16"/>
        </w:rPr>
        <w:t>1. Отношение Промышленной Партии к интервенции против СССР.</w:t>
      </w:r>
    </w:p>
    <w:p w14:paraId="0F752057" w14:textId="77777777" w:rsidR="00C07118" w:rsidRPr="00507A31" w:rsidRDefault="00C07118" w:rsidP="00507A31">
      <w:pPr>
        <w:jc w:val="both"/>
        <w:rPr>
          <w:color w:val="000000" w:themeColor="text1"/>
          <w:sz w:val="16"/>
          <w:szCs w:val="16"/>
        </w:rPr>
      </w:pPr>
      <w:r w:rsidRPr="00507A31">
        <w:rPr>
          <w:color w:val="000000" w:themeColor="text1"/>
          <w:sz w:val="16"/>
          <w:szCs w:val="16"/>
        </w:rPr>
        <w:t>Промышленная партия, выросшая из инженерной вредительской организации, носившей название Инженерного Центра, ставила основной своей целью свержение советской власти при помощи контрреволюционного переворота. С самого начала своей деятельности Промпартия считала, что верным и быстрым способом совершения такого переворота является лишь интервенция против СССР. Эта ставка на интервенцию была основной базой деятельности Промпартии, начиная с 1927 г.</w:t>
      </w:r>
    </w:p>
    <w:p w14:paraId="1B666C5E" w14:textId="77777777" w:rsidR="00C07118" w:rsidRPr="00507A31" w:rsidRDefault="00C07118" w:rsidP="00507A31">
      <w:pPr>
        <w:jc w:val="both"/>
        <w:rPr>
          <w:color w:val="000000" w:themeColor="text1"/>
          <w:sz w:val="16"/>
          <w:szCs w:val="16"/>
        </w:rPr>
      </w:pPr>
      <w:r w:rsidRPr="00507A31">
        <w:rPr>
          <w:color w:val="000000" w:themeColor="text1"/>
          <w:sz w:val="16"/>
          <w:szCs w:val="16"/>
        </w:rPr>
        <w:t>Необходимо отметить, что в 1929 году среди членов Промпартии начали появляться новые течения и установки; а именно, под влиянием обострения партийной борьбы внутри ВКП(б), возбудившего надежды на значительное ослабление последней, а также в виду усиления недовольства и волнений в крестьянских массах и широких кругах населения в Промпартии стал выдвигаться вопрос о выполнении контрреволюционного переворота внутренними силами, в блоке с ТКП. Наконец, тесные связи многих руководящих деятелей Промпартии с лидерами правой оппозиции и идейно-политический контакт Промпартии с последней создали к 1930 году довольно сильное течение внутри Промпартии в сторону помощи правым коммунистам, для захвата ими власти, в расчете на то, что после перехода власти к правой оппозиции Промпартия сможет добиться осуществления своей минимальной программы.</w:t>
      </w:r>
    </w:p>
    <w:p w14:paraId="435825EB" w14:textId="77777777" w:rsidR="00C07118" w:rsidRPr="00507A31" w:rsidRDefault="00C07118" w:rsidP="00507A31">
      <w:pPr>
        <w:jc w:val="both"/>
        <w:rPr>
          <w:color w:val="000000" w:themeColor="text1"/>
          <w:sz w:val="16"/>
          <w:szCs w:val="16"/>
        </w:rPr>
      </w:pPr>
      <w:r w:rsidRPr="00507A31">
        <w:rPr>
          <w:color w:val="000000" w:themeColor="text1"/>
          <w:sz w:val="16"/>
          <w:szCs w:val="16"/>
        </w:rPr>
        <w:t>Таким образом, если примерно до середины 1929 года единственным способом выполнения контр-революционного переворота признавалась интервенция против СССР, то за последнее время выдвигались и варианты, в виде захвата власти Промпартией совместно с ТКП, путем вооруженного восстания, или в виде оказания помощи правой оппозиции для получения власти.</w:t>
      </w:r>
    </w:p>
    <w:p w14:paraId="27B3850F" w14:textId="77777777" w:rsidR="00C07118" w:rsidRPr="00507A31" w:rsidRDefault="00C07118" w:rsidP="00507A31">
      <w:pPr>
        <w:jc w:val="both"/>
        <w:rPr>
          <w:color w:val="000000" w:themeColor="text1"/>
          <w:sz w:val="16"/>
          <w:szCs w:val="16"/>
        </w:rPr>
      </w:pPr>
      <w:r w:rsidRPr="00507A31">
        <w:rPr>
          <w:color w:val="000000" w:themeColor="text1"/>
          <w:sz w:val="16"/>
          <w:szCs w:val="16"/>
        </w:rPr>
        <w:t>Эти течения возникли главным образом под влиянием отмены интервенции в 1930 г., на почве неуверенности в ее скорой осуществимости и успехе, а также под влиянием опасений, что за иностранную помощь придется платить слишком дорогою ценою. Несмотря на наличие таких течений даже внутри ЦК Промпартии, интервенция до марта месяца все же оставалась как основной способ совершения контр-революционного переворота, и подготовка к ней все время была в центре внимания Промпартии.</w:t>
      </w:r>
    </w:p>
    <w:p w14:paraId="2D045E60" w14:textId="77777777" w:rsidR="00C07118" w:rsidRPr="00507A31" w:rsidRDefault="00C07118" w:rsidP="00507A31">
      <w:pPr>
        <w:jc w:val="both"/>
        <w:rPr>
          <w:color w:val="000000" w:themeColor="text1"/>
          <w:sz w:val="16"/>
          <w:szCs w:val="16"/>
        </w:rPr>
      </w:pPr>
      <w:r w:rsidRPr="00507A31">
        <w:rPr>
          <w:color w:val="000000" w:themeColor="text1"/>
          <w:sz w:val="16"/>
          <w:szCs w:val="16"/>
        </w:rPr>
        <w:t>Промышленная партия была тесно связана в своей деятельности с объединением бывших промышленников в лице русского Торгово-Промышленного Комитета (Торгпром) в Париже, в состав коего входили ДЕНИСОВ, НОБЕЛЬ, ГУКАСОВ, МАНТАШЕВ, МЕЩЕРСКИЙ, РЯБУШИНСКИЙ, КАШТАНОВ, ТРЕТЬЯКОВ, КОНОВАЛОВ, СТАРИНКЕВИЧ и др. Торгпром, помимо охраны интересов промышленников белоэмигрантов заграницей, ставил своей основной задачей возврат принадлежавших им ранее русских предприятий или получение компенсации за них; для достижений этой цели Торгпром также стремился к осуществлению интервенции против СССР.</w:t>
      </w:r>
    </w:p>
    <w:p w14:paraId="1BA55F1F" w14:textId="77777777" w:rsidR="00C07118" w:rsidRPr="00507A31" w:rsidRDefault="00C07118" w:rsidP="00507A31">
      <w:pPr>
        <w:jc w:val="both"/>
        <w:rPr>
          <w:color w:val="000000" w:themeColor="text1"/>
          <w:sz w:val="16"/>
          <w:szCs w:val="16"/>
        </w:rPr>
      </w:pPr>
      <w:r w:rsidRPr="00507A31">
        <w:rPr>
          <w:color w:val="000000" w:themeColor="text1"/>
          <w:sz w:val="16"/>
          <w:szCs w:val="16"/>
        </w:rPr>
        <w:t>Связь с Торгпромом, установленная отдельными инженерами, и в частности членами Инженерного Центра, ПАЛЬЧИНСКИМ и ХРЕННИКОВЫМ, еще в 1926-1927 г., была окончательно закреплена и приобрела регулярный характер с 1928 года.</w:t>
      </w:r>
    </w:p>
    <w:p w14:paraId="323EDE5C" w14:textId="77777777" w:rsidR="00C07118" w:rsidRPr="00507A31" w:rsidRDefault="00C07118" w:rsidP="00507A31">
      <w:pPr>
        <w:jc w:val="both"/>
        <w:rPr>
          <w:color w:val="000000" w:themeColor="text1"/>
          <w:sz w:val="16"/>
          <w:szCs w:val="16"/>
        </w:rPr>
      </w:pPr>
      <w:r w:rsidRPr="00507A31">
        <w:rPr>
          <w:color w:val="000000" w:themeColor="text1"/>
          <w:sz w:val="16"/>
          <w:szCs w:val="16"/>
        </w:rPr>
        <w:t>На основании договоренности между Торгпромом и Промпартией вся работа по подготовке интервенции против СССР была распределена следующим образом: Торгпром взял на себя всю работу по внешней подготовке интервенции заграницей, а именно переговоры с иностранными правительствами, главным образом с Францией, как политическим центром интервенции[,] и с Англией, заграничную агитацию и пропаганду в пользу интервенции против СССР, организацию финансовой и военной стороны дела при помощи иностранных держав. Промпартия взяла на себя работу по внутренней подготовке интервенции в СССР, путем искусственного создания и углубления экономических кризисов, производства диверсий в момент интервенции и всевозможной помощи интервентам изнутри.</w:t>
      </w:r>
    </w:p>
    <w:p w14:paraId="30E54ECF" w14:textId="77777777" w:rsidR="00C07118" w:rsidRPr="00507A31" w:rsidRDefault="00C07118" w:rsidP="00507A31">
      <w:pPr>
        <w:jc w:val="both"/>
        <w:rPr>
          <w:color w:val="000000" w:themeColor="text1"/>
          <w:sz w:val="16"/>
          <w:szCs w:val="16"/>
        </w:rPr>
      </w:pPr>
      <w:r w:rsidRPr="00507A31">
        <w:rPr>
          <w:color w:val="000000" w:themeColor="text1"/>
          <w:sz w:val="16"/>
          <w:szCs w:val="16"/>
        </w:rPr>
        <w:lastRenderedPageBreak/>
        <w:t>2. Связи Промпартии с заграницей.</w:t>
      </w:r>
    </w:p>
    <w:p w14:paraId="680D1770" w14:textId="77777777" w:rsidR="00C07118" w:rsidRPr="00507A31" w:rsidRDefault="00C07118" w:rsidP="00507A31">
      <w:pPr>
        <w:jc w:val="both"/>
        <w:rPr>
          <w:color w:val="000000" w:themeColor="text1"/>
          <w:sz w:val="16"/>
          <w:szCs w:val="16"/>
        </w:rPr>
      </w:pPr>
      <w:r w:rsidRPr="00507A31">
        <w:rPr>
          <w:color w:val="000000" w:themeColor="text1"/>
          <w:sz w:val="16"/>
          <w:szCs w:val="16"/>
        </w:rPr>
        <w:t>а) Торгпром.</w:t>
      </w:r>
    </w:p>
    <w:p w14:paraId="59492563" w14:textId="77777777" w:rsidR="00C07118" w:rsidRPr="00507A31" w:rsidRDefault="00C07118" w:rsidP="00507A31">
      <w:pPr>
        <w:jc w:val="both"/>
        <w:rPr>
          <w:color w:val="000000" w:themeColor="text1"/>
          <w:sz w:val="16"/>
          <w:szCs w:val="16"/>
        </w:rPr>
      </w:pPr>
      <w:r w:rsidRPr="00507A31">
        <w:rPr>
          <w:color w:val="000000" w:themeColor="text1"/>
          <w:sz w:val="16"/>
          <w:szCs w:val="16"/>
        </w:rPr>
        <w:t>В первый период — существования Инженерного центра связь с Торгпромом носила случайный, спорадический характер и осуществлялась под общим руководством ПАЛЬЧИНСКОГО и ХРЕННИКОВА через отдельных инженеров. Так[,] напр[имер,] ПАЛЬЧИНСКИЙ был связан с МЕЩЕРСКИМ, ФЕДОТОВ с МОРОЗОВЫМ, КОНОВАЛОВЫМ и РЯБУШИНСКИМ, ЧАРНОВСКИЙ — с ДЕМИДОВЫМ и МЕЩЕРСКИМ, ЛАРИЧЕВ — с БАРДЫГИНЫМ, ХРЕННИКОВ — с МЕЩЕРСКИМ и ДЕМИДОВЫМ, РАБИНОВИЧ — с ДВОРЖАНЧИКОМ, СТРИЖОВ — с НОБЕЛЕМ, МАНТАШЕВЫМ и ГУКАСОВЫМ и т. д.</w:t>
      </w:r>
    </w:p>
    <w:p w14:paraId="662C30E9" w14:textId="77777777" w:rsidR="00C07118" w:rsidRPr="00507A31" w:rsidRDefault="00C07118" w:rsidP="00507A31">
      <w:pPr>
        <w:jc w:val="both"/>
        <w:rPr>
          <w:color w:val="000000" w:themeColor="text1"/>
          <w:sz w:val="16"/>
          <w:szCs w:val="16"/>
        </w:rPr>
      </w:pPr>
      <w:r w:rsidRPr="00507A31">
        <w:rPr>
          <w:color w:val="000000" w:themeColor="text1"/>
          <w:sz w:val="16"/>
          <w:szCs w:val="16"/>
        </w:rPr>
        <w:t>Более регулярные связи начались в 1928 г., через члена французской миссии в Москве, ранее всех связались ПАЛЬЧИНСКИЙ — член ЦК Промпартии и инж. ЛАРИЧЕВ В. А. Я имел первую встречу из деятелей Торгпрома с П. П. РЯБУШИНСКИМ относительно программы Промпартии. При этом свидании РЯБУШИНСКИЙ указал мне на г. КЮФЕРА, как на лицо, через коего можно поддерживать связь с Торгпромом; эта связь и была мною реализована.</w:t>
      </w:r>
    </w:p>
    <w:p w14:paraId="485D54B4" w14:textId="77777777" w:rsidR="00C07118" w:rsidRPr="00507A31" w:rsidRDefault="00C07118" w:rsidP="00507A31">
      <w:pPr>
        <w:jc w:val="both"/>
        <w:rPr>
          <w:color w:val="000000" w:themeColor="text1"/>
          <w:sz w:val="16"/>
          <w:szCs w:val="16"/>
        </w:rPr>
      </w:pPr>
      <w:r w:rsidRPr="00507A31">
        <w:rPr>
          <w:color w:val="000000" w:themeColor="text1"/>
          <w:sz w:val="16"/>
          <w:szCs w:val="16"/>
        </w:rPr>
        <w:t>Я в свою очередь познакомил КЮФЕРА в середине 1928 г. с членом ЦК Промпартии, проф. И. А. КАЛИННИКОВЫМ; кроме того[,] КЮФЕР был также знаком и с ЛАРИЧЕВЫМ.</w:t>
      </w:r>
    </w:p>
    <w:p w14:paraId="3F87531C" w14:textId="77777777" w:rsidR="00C07118" w:rsidRPr="00507A31" w:rsidRDefault="00C07118" w:rsidP="00507A31">
      <w:pPr>
        <w:jc w:val="both"/>
        <w:rPr>
          <w:color w:val="000000" w:themeColor="text1"/>
          <w:sz w:val="16"/>
          <w:szCs w:val="16"/>
        </w:rPr>
      </w:pPr>
      <w:r w:rsidRPr="00507A31">
        <w:rPr>
          <w:color w:val="000000" w:themeColor="text1"/>
          <w:sz w:val="16"/>
          <w:szCs w:val="16"/>
        </w:rPr>
        <w:t>КЮФЕР служил далее связью между Торгпромом с одной стороны, и Промпартией в лице ЛАРИЧЕВА и КАЛИННИКОВА — с другой, ибо после ареста ПАЛЬЧИНСКОГО КЮФЕР держал связь с ЛАРИЧЕВЫМ и КАЛИННИКОВЫМ.</w:t>
      </w:r>
    </w:p>
    <w:p w14:paraId="458C2B38" w14:textId="77777777" w:rsidR="00C07118" w:rsidRPr="00507A31" w:rsidRDefault="00C07118" w:rsidP="00507A31">
      <w:pPr>
        <w:jc w:val="both"/>
        <w:rPr>
          <w:color w:val="000000" w:themeColor="text1"/>
          <w:sz w:val="16"/>
          <w:szCs w:val="16"/>
        </w:rPr>
      </w:pPr>
      <w:r w:rsidRPr="00507A31">
        <w:rPr>
          <w:color w:val="000000" w:themeColor="text1"/>
          <w:sz w:val="16"/>
          <w:szCs w:val="16"/>
        </w:rPr>
        <w:t>Вторая связь с Торгпромом тоже через французское посольство в Москве в лице секретаря последнего г. АНРИ[О], была установлена мною при помощи председателя Торгпрома ДЕНИСОВА в октябре 1928 г., в Париже.</w:t>
      </w:r>
    </w:p>
    <w:p w14:paraId="2D62D937" w14:textId="77777777" w:rsidR="00C07118" w:rsidRPr="00507A31" w:rsidRDefault="00C07118" w:rsidP="00507A31">
      <w:pPr>
        <w:jc w:val="both"/>
        <w:rPr>
          <w:color w:val="000000" w:themeColor="text1"/>
          <w:sz w:val="16"/>
          <w:szCs w:val="16"/>
        </w:rPr>
      </w:pPr>
      <w:r w:rsidRPr="00507A31">
        <w:rPr>
          <w:color w:val="000000" w:themeColor="text1"/>
          <w:sz w:val="16"/>
          <w:szCs w:val="16"/>
        </w:rPr>
        <w:t>Таким образом, сношения с Торгпромом с 1928 г. происходили через французское посольство в Москве, а именно, через г. КЮФЕРА и г. АНРИО.</w:t>
      </w:r>
    </w:p>
    <w:p w14:paraId="4433CC9A" w14:textId="77777777" w:rsidR="00C07118" w:rsidRPr="00507A31" w:rsidRDefault="00C07118" w:rsidP="00507A31">
      <w:pPr>
        <w:jc w:val="both"/>
        <w:rPr>
          <w:color w:val="000000" w:themeColor="text1"/>
          <w:sz w:val="16"/>
          <w:szCs w:val="16"/>
        </w:rPr>
      </w:pPr>
      <w:r w:rsidRPr="00507A31">
        <w:rPr>
          <w:color w:val="000000" w:themeColor="text1"/>
          <w:sz w:val="16"/>
          <w:szCs w:val="16"/>
        </w:rPr>
        <w:t>Личные встречи членов Промпартии с членами Торгпрома были следующие:</w:t>
      </w:r>
    </w:p>
    <w:p w14:paraId="123CFD93" w14:textId="77777777" w:rsidR="00C07118" w:rsidRPr="00507A31" w:rsidRDefault="00C07118" w:rsidP="00507A31">
      <w:pPr>
        <w:jc w:val="both"/>
        <w:rPr>
          <w:color w:val="000000" w:themeColor="text1"/>
          <w:sz w:val="16"/>
          <w:szCs w:val="16"/>
        </w:rPr>
      </w:pPr>
      <w:r w:rsidRPr="00507A31">
        <w:rPr>
          <w:color w:val="000000" w:themeColor="text1"/>
          <w:sz w:val="16"/>
          <w:szCs w:val="16"/>
        </w:rPr>
        <w:t>в августе1927года в Париже я имел беседу с П.П.РЯБУШИНСКИМ,</w:t>
      </w:r>
    </w:p>
    <w:p w14:paraId="48D8AAC5" w14:textId="77777777" w:rsidR="00C07118" w:rsidRPr="00507A31" w:rsidRDefault="00C07118" w:rsidP="00507A31">
      <w:pPr>
        <w:jc w:val="both"/>
        <w:rPr>
          <w:color w:val="000000" w:themeColor="text1"/>
          <w:sz w:val="16"/>
          <w:szCs w:val="16"/>
        </w:rPr>
      </w:pPr>
      <w:r w:rsidRPr="00507A31">
        <w:rPr>
          <w:color w:val="000000" w:themeColor="text1"/>
          <w:sz w:val="16"/>
          <w:szCs w:val="16"/>
        </w:rPr>
        <w:t>в октябре 1928 г. я и ЛАРИЧЕВ имели две встречи с членами Торгпрома,</w:t>
      </w:r>
    </w:p>
    <w:p w14:paraId="3B1C3483" w14:textId="77777777" w:rsidR="00C07118" w:rsidRPr="00507A31" w:rsidRDefault="00C07118" w:rsidP="00507A31">
      <w:pPr>
        <w:jc w:val="both"/>
        <w:rPr>
          <w:color w:val="000000" w:themeColor="text1"/>
          <w:sz w:val="16"/>
          <w:szCs w:val="16"/>
        </w:rPr>
      </w:pPr>
      <w:r w:rsidRPr="00507A31">
        <w:rPr>
          <w:color w:val="000000" w:themeColor="text1"/>
          <w:sz w:val="16"/>
          <w:szCs w:val="16"/>
        </w:rPr>
        <w:t>тогда же я еще раз виделся с ДЕНИСОВЫМ в присутствии ген. ЛУКОМСКОГО и полк[овника] французского генштаба ЖУАНВИЛЬ.</w:t>
      </w:r>
    </w:p>
    <w:p w14:paraId="4417637A" w14:textId="77777777" w:rsidR="00C07118" w:rsidRPr="00507A31" w:rsidRDefault="00C07118" w:rsidP="00507A31">
      <w:pPr>
        <w:jc w:val="both"/>
        <w:rPr>
          <w:color w:val="000000" w:themeColor="text1"/>
          <w:sz w:val="16"/>
          <w:szCs w:val="16"/>
        </w:rPr>
      </w:pPr>
      <w:r w:rsidRPr="00507A31">
        <w:rPr>
          <w:color w:val="000000" w:themeColor="text1"/>
          <w:sz w:val="16"/>
          <w:szCs w:val="16"/>
        </w:rPr>
        <w:t>Эти четыре встречи являлись наиболее важными для установления взаимоотношений между Промпартией и Торгпромом, а также для выяснения ряда вопросов, касающихся интервенции.</w:t>
      </w:r>
    </w:p>
    <w:p w14:paraId="505009A6" w14:textId="77777777" w:rsidR="00C07118" w:rsidRPr="00507A31" w:rsidRDefault="00C07118" w:rsidP="00507A31">
      <w:pPr>
        <w:jc w:val="both"/>
        <w:rPr>
          <w:color w:val="000000" w:themeColor="text1"/>
          <w:sz w:val="16"/>
          <w:szCs w:val="16"/>
        </w:rPr>
      </w:pPr>
      <w:r w:rsidRPr="00507A31">
        <w:rPr>
          <w:color w:val="000000" w:themeColor="text1"/>
          <w:sz w:val="16"/>
          <w:szCs w:val="16"/>
        </w:rPr>
        <w:t>Кроме того, весьма важное свидание с председателем Торгпрома ДЕНИСОВЫМ должен был иметь в Берлине в июле 1930 года проф. П. С. ОСАДЧИЙ; результаты этого свидания я до своего ареста не успел узнать. Наконец, для личных связей с Торгпромом, преимущественно в целях информации, использовались поездки во Францию отдельных руководящих членов Промпартии, как[,] напр[имер,] в 1929 г. проф. Н. И. СУШКИНА, в 1929-1930 г. — проф. М. А. ШАТЕЛЕНА.</w:t>
      </w:r>
    </w:p>
    <w:p w14:paraId="298F0657" w14:textId="77777777" w:rsidR="00C07118" w:rsidRPr="00507A31" w:rsidRDefault="00C07118" w:rsidP="00507A31">
      <w:pPr>
        <w:jc w:val="both"/>
        <w:rPr>
          <w:color w:val="000000" w:themeColor="text1"/>
          <w:sz w:val="16"/>
          <w:szCs w:val="16"/>
        </w:rPr>
      </w:pPr>
      <w:r w:rsidRPr="00507A31">
        <w:rPr>
          <w:color w:val="000000" w:themeColor="text1"/>
          <w:sz w:val="16"/>
          <w:szCs w:val="16"/>
        </w:rPr>
        <w:t>Характер взаимоотношений между Промпартией и Торгпромом определился в следующем виде.</w:t>
      </w:r>
    </w:p>
    <w:p w14:paraId="6EF2F3B2" w14:textId="77777777" w:rsidR="00C07118" w:rsidRPr="00507A31" w:rsidRDefault="00C07118" w:rsidP="00507A31">
      <w:pPr>
        <w:jc w:val="both"/>
        <w:rPr>
          <w:color w:val="000000" w:themeColor="text1"/>
          <w:sz w:val="16"/>
          <w:szCs w:val="16"/>
        </w:rPr>
      </w:pPr>
      <w:r w:rsidRPr="00507A31">
        <w:rPr>
          <w:color w:val="000000" w:themeColor="text1"/>
          <w:sz w:val="16"/>
          <w:szCs w:val="16"/>
        </w:rPr>
        <w:t>На совещании в Торгпроме в октябре 1928 года в Париже, ДЕНИСОВ предложил обсудить вопрос о координировании работы Промпартии и Торгпрома по подготовке интервенции; при этом ДЕНИСОВ предложил указанное выше разделение работы, чтобы вся внешняя подготовка интервенции выполнялась Торгпромом, а внутренняя подготовка Промпартией. После краткого обмена мнений и было принято это единственно возможное разграничение деятельности. Далее на этом же совещании был установлен размер финансирования Промпартии Торгпромом, в размере ок. 1 мил. руб. в год с конца 1928 г. Промпартией получено от Торгпрома ок. 1600 тыс. руб.</w:t>
      </w:r>
    </w:p>
    <w:p w14:paraId="797BE76D" w14:textId="77777777" w:rsidR="00C07118" w:rsidRPr="00507A31" w:rsidRDefault="00C07118" w:rsidP="00507A31">
      <w:pPr>
        <w:jc w:val="both"/>
        <w:rPr>
          <w:color w:val="000000" w:themeColor="text1"/>
          <w:sz w:val="16"/>
          <w:szCs w:val="16"/>
        </w:rPr>
      </w:pPr>
      <w:r w:rsidRPr="00507A31">
        <w:rPr>
          <w:color w:val="000000" w:themeColor="text1"/>
          <w:sz w:val="16"/>
          <w:szCs w:val="16"/>
        </w:rPr>
        <w:t>б) Французский генеральный штаб.</w:t>
      </w:r>
    </w:p>
    <w:p w14:paraId="216A32DE" w14:textId="77777777" w:rsidR="00C07118" w:rsidRPr="00507A31" w:rsidRDefault="00C07118" w:rsidP="00507A31">
      <w:pPr>
        <w:jc w:val="both"/>
        <w:rPr>
          <w:color w:val="000000" w:themeColor="text1"/>
          <w:sz w:val="16"/>
          <w:szCs w:val="16"/>
        </w:rPr>
      </w:pPr>
      <w:r w:rsidRPr="00507A31">
        <w:rPr>
          <w:color w:val="000000" w:themeColor="text1"/>
          <w:sz w:val="16"/>
          <w:szCs w:val="16"/>
        </w:rPr>
        <w:t>Из сообщений ПАЛЬЧИНСКОГО мне известно, что связь с французским генеральным штабом существовала еще в первый период деятельности Инженерного центра, а именно по линии военной промышленности; эта связь осуществлялась ген. МИХАЙЛОВЫМ и ген. ВЫСОЧАНСКИМ.</w:t>
      </w:r>
    </w:p>
    <w:p w14:paraId="022E2247" w14:textId="77777777" w:rsidR="00C07118" w:rsidRPr="00507A31" w:rsidRDefault="00C07118" w:rsidP="00507A31">
      <w:pPr>
        <w:jc w:val="both"/>
        <w:rPr>
          <w:color w:val="000000" w:themeColor="text1"/>
          <w:sz w:val="16"/>
          <w:szCs w:val="16"/>
        </w:rPr>
      </w:pPr>
      <w:r w:rsidRPr="00507A31">
        <w:rPr>
          <w:color w:val="000000" w:themeColor="text1"/>
          <w:sz w:val="16"/>
          <w:szCs w:val="16"/>
        </w:rPr>
        <w:t>При разговоре с ДЕНИСОВЫМ в Париже, в октябре 1928 г., ДЕНИСОВ сообщил, что работа Торгпрома по подготовке заграницей интервенции против СССР уже дала конкретные результаты, ибо при французском генеральном штабе образована специальная комиссия по подготовке интервенции против СССР, причем во главе этой комиссии стоит генерал ЖАНЕН. Далее ДЕНИСОВ сказал, что одним из наиболее активных деятелей по подготовке интервенции является полковник французского генерального штаба ЖУАНВИЛЬ, который и будет поддерживать непосредственную связь с намеченным военным руководителем интервенции, генералом ЛУКОМСКИМ, Узнав таким образом, что военным центром по подготовке и руководству интервенцией является французский генеральный штаб, я предложил ДЕНИСОВУ устроить до моего отъезда из Парижа совместное совещание с ген. ЛУКОМСКИМ и полковником ЖУАНВИЛЬ, чтобы обсудить вопрос о координировании деятельности Промпартии с французским генштабом в деле подготовки интервенции и установить с этой целью связь между ЦК Промпартии и французским генштабом.</w:t>
      </w:r>
    </w:p>
    <w:p w14:paraId="3EE5B70A" w14:textId="77777777" w:rsidR="00C07118" w:rsidRPr="00507A31" w:rsidRDefault="00C07118" w:rsidP="00507A31">
      <w:pPr>
        <w:jc w:val="both"/>
        <w:rPr>
          <w:color w:val="000000" w:themeColor="text1"/>
          <w:sz w:val="16"/>
          <w:szCs w:val="16"/>
        </w:rPr>
      </w:pPr>
      <w:r w:rsidRPr="00507A31">
        <w:rPr>
          <w:color w:val="000000" w:themeColor="text1"/>
          <w:sz w:val="16"/>
          <w:szCs w:val="16"/>
        </w:rPr>
        <w:t>ДЕНИСОВ устроил это свидание на частной квартире одного из белоэмигрантов, в первой половине октября 1928 года. ДЕНИСОВ заехал за мной на автомобиле в условленное время в кафе, и мы отправились вместе на эту квартиру, где застали ген. ЛУКОМСКОГО и полк[овника] ЖУАНВИЛЬ. На этом совещании и была установлена постоянная связь между ЦК Промпартии и французским генеральным штабом. А именно, по указанию ДЕНИСОВА прямую связь со мною должен осуществлять секретарь французского посольства в Москве, г. АНРИО, а связь с членами ЦК Промпартии инж. В. А. ЛАРИЧЕВЫМ и проф. И. А. КАЛИННИКОВЫМ — г. КЮФЕР. В дальнейшем связь с французским генштабом обычно и осуществлялась инж. ЛАРИЧЕВЫМ и проф. КАЛИННИКОВЫМ через г. КЮФЕРА, и в отдельных случаях — мною через г. АНРИО.</w:t>
      </w:r>
    </w:p>
    <w:p w14:paraId="0DABCBC9" w14:textId="77777777" w:rsidR="00C07118" w:rsidRPr="00507A31" w:rsidRDefault="00C07118" w:rsidP="00507A31">
      <w:pPr>
        <w:jc w:val="both"/>
        <w:rPr>
          <w:color w:val="000000" w:themeColor="text1"/>
          <w:sz w:val="16"/>
          <w:szCs w:val="16"/>
        </w:rPr>
      </w:pPr>
      <w:r w:rsidRPr="00507A31">
        <w:rPr>
          <w:color w:val="000000" w:themeColor="text1"/>
          <w:sz w:val="16"/>
          <w:szCs w:val="16"/>
        </w:rPr>
        <w:t>В начале 1930 года я[,] получив через инж. Н. М. САВЕЛОВА просьбу ген. ЛУКОМСКОГО дать ему прямую связь с военным руководителем Военной организации Промпартии, поручил И. А. КАЛИННИКОВУ передать имевшуюся у него связь с французским генштабом профессору Академии Военно-Воздушного флота ген. НОВИЦКОМУ.</w:t>
      </w:r>
    </w:p>
    <w:p w14:paraId="12B59DA3" w14:textId="77777777" w:rsidR="00C07118" w:rsidRPr="00507A31" w:rsidRDefault="00C07118" w:rsidP="00507A31">
      <w:pPr>
        <w:jc w:val="both"/>
        <w:rPr>
          <w:color w:val="000000" w:themeColor="text1"/>
          <w:sz w:val="16"/>
          <w:szCs w:val="16"/>
        </w:rPr>
      </w:pPr>
      <w:r w:rsidRPr="00507A31">
        <w:rPr>
          <w:color w:val="000000" w:themeColor="text1"/>
          <w:sz w:val="16"/>
          <w:szCs w:val="16"/>
        </w:rPr>
        <w:t>Относительно связи с французским генеральным штабом я могу еще указать, что в конце 1929 года при моем свидании с г. АНРИО последний передал мне от имени г. ЭРБЕТТА, что существующий способ сношений с французским генштабом последний считает мало удовлетворительным, ибо связь идет через длинное посредство штатских лиц, поэтому французский генеральный штаб считает необходимым установить прямую связь с военными членами Промпартии и выдвигает для этой цели полковника французского генштаба г. РИШАР. Я передал об этом КАЛИННИКОВУ и просил его сообщить ген. НОВИЦКОМУ. Насколько мне известно, вследствие отъезда из Москвы г. КЮФЕРА и г. АНРИО и произошедшего перерыва сношений с французским посольством связь с полковником] РИШАР не была реализована.</w:t>
      </w:r>
    </w:p>
    <w:p w14:paraId="5C6D31DB" w14:textId="77777777" w:rsidR="00C07118" w:rsidRPr="00507A31" w:rsidRDefault="00C07118" w:rsidP="00507A31">
      <w:pPr>
        <w:jc w:val="both"/>
        <w:rPr>
          <w:color w:val="000000" w:themeColor="text1"/>
          <w:sz w:val="16"/>
          <w:szCs w:val="16"/>
        </w:rPr>
      </w:pPr>
      <w:r w:rsidRPr="00507A31">
        <w:rPr>
          <w:color w:val="000000" w:themeColor="text1"/>
          <w:sz w:val="16"/>
          <w:szCs w:val="16"/>
        </w:rPr>
        <w:t>Французское посольство.</w:t>
      </w:r>
    </w:p>
    <w:p w14:paraId="641E8EE0" w14:textId="77777777" w:rsidR="00C07118" w:rsidRPr="00507A31" w:rsidRDefault="00C07118" w:rsidP="00507A31">
      <w:pPr>
        <w:jc w:val="both"/>
        <w:rPr>
          <w:color w:val="000000" w:themeColor="text1"/>
          <w:sz w:val="16"/>
          <w:szCs w:val="16"/>
        </w:rPr>
      </w:pPr>
      <w:r w:rsidRPr="00507A31">
        <w:rPr>
          <w:color w:val="000000" w:themeColor="text1"/>
          <w:sz w:val="16"/>
          <w:szCs w:val="16"/>
        </w:rPr>
        <w:t>Как я показывал выше[,] связь Промпартии с Торгпромом и французским генеральным штабом осуществлялась с 1928 года почти исключительно через французское посольство в Москве, а именно через г. КЮФЕРА и г. АНРИО, причем последний был известен среди членов ЦК Промпартии под именем РЕНЬО.</w:t>
      </w:r>
    </w:p>
    <w:p w14:paraId="035C0BEF" w14:textId="77777777" w:rsidR="00C07118" w:rsidRPr="00507A31" w:rsidRDefault="00C07118" w:rsidP="00507A31">
      <w:pPr>
        <w:jc w:val="both"/>
        <w:rPr>
          <w:color w:val="000000" w:themeColor="text1"/>
          <w:sz w:val="16"/>
          <w:szCs w:val="16"/>
        </w:rPr>
      </w:pPr>
      <w:r w:rsidRPr="00507A31">
        <w:rPr>
          <w:color w:val="000000" w:themeColor="text1"/>
          <w:sz w:val="16"/>
          <w:szCs w:val="16"/>
        </w:rPr>
        <w:t>Связь с КЮФЕРОМ имели ПАЛЬЧИНСКИЙ и затем ЛАРИЧЕВ еще с начала 1928 г., а может быть и раньше. Каким образом была установлена связь с КЮФЕРОМ, ПАЛЬЧИНСКИМ и ЛАРИЧЕВЫМ, я сведений не имею.</w:t>
      </w:r>
    </w:p>
    <w:p w14:paraId="7D427A28" w14:textId="77777777" w:rsidR="00C07118" w:rsidRPr="00507A31" w:rsidRDefault="00C07118" w:rsidP="00507A31">
      <w:pPr>
        <w:jc w:val="both"/>
        <w:rPr>
          <w:color w:val="000000" w:themeColor="text1"/>
          <w:sz w:val="16"/>
          <w:szCs w:val="16"/>
        </w:rPr>
      </w:pPr>
      <w:r w:rsidRPr="00507A31">
        <w:rPr>
          <w:color w:val="000000" w:themeColor="text1"/>
          <w:sz w:val="16"/>
          <w:szCs w:val="16"/>
        </w:rPr>
        <w:t>Моя личная связь с г. КЮФЕРОМ была осуществлена следующим образом. При моем свидании с П. П. РЯБУШИНСКИМ в августе 1928 года П. П. РЯБУШИНСКИЙ сказал мне, что наиболее надежную связь с Торгпромом можно осуществлять через члена французской миссии в Москве, г. КЮФЕРА, добавив, что по распоряжению из Парижа КЮФЕР сам найдет меня в Москве и свяжется со мною после моего возвращения из заграницы.</w:t>
      </w:r>
    </w:p>
    <w:p w14:paraId="7A55426B" w14:textId="77777777" w:rsidR="00C07118" w:rsidRPr="00507A31" w:rsidRDefault="00C07118" w:rsidP="00507A31">
      <w:pPr>
        <w:jc w:val="both"/>
        <w:rPr>
          <w:color w:val="000000" w:themeColor="text1"/>
          <w:sz w:val="16"/>
          <w:szCs w:val="16"/>
        </w:rPr>
      </w:pPr>
      <w:r w:rsidRPr="00507A31">
        <w:rPr>
          <w:color w:val="000000" w:themeColor="text1"/>
          <w:sz w:val="16"/>
          <w:szCs w:val="16"/>
        </w:rPr>
        <w:t>Меня познакомил с КЮФЕРОМ в начале 1928 года, в ЦЕКУБУ, П. А. ПАЛЬЧИНСКИЙ. После этого я встречал КЮФЕРА два раза: 1) у меня на квартире в середине 1928 года, когда я познакомил КЮФЕРА с КАЛИННИКОВЫМ и 2) на квартире ЛАРИЧЕВА, в конце 1928 года. Связь с КЮФЕРОМ поддерживали ЛАРИЧЕВ и КАЛИННИКОВ. Связь с секретарем французского посольства г. АНРИО была установлена и поддерживалась следующим образом.</w:t>
      </w:r>
    </w:p>
    <w:p w14:paraId="33E206AC" w14:textId="77777777" w:rsidR="00C07118" w:rsidRPr="00507A31" w:rsidRDefault="00C07118" w:rsidP="00507A31">
      <w:pPr>
        <w:jc w:val="both"/>
        <w:rPr>
          <w:color w:val="000000" w:themeColor="text1"/>
          <w:sz w:val="16"/>
          <w:szCs w:val="16"/>
        </w:rPr>
      </w:pPr>
      <w:r w:rsidRPr="00507A31">
        <w:rPr>
          <w:color w:val="000000" w:themeColor="text1"/>
          <w:sz w:val="16"/>
          <w:szCs w:val="16"/>
        </w:rPr>
        <w:t>При моем свидании в Париже с председателем Торгпрома, ДЕНИСОВЫМ, в октябре 1928 года, последний сказал мне, что для установления регулярной связи между ЦК Промпартии и Торгпромом он, ДЕНИСОВ, уже договорился в Париже с французским министерством, что эту связь со мною будет осуществлять секретарь (ЭРБЕТ[Т]А или французской миссии — точно не знаю) г. АНРИО и что об этом будет извещено французское посольство в Москве. При этом мы условились с ДЕНИСОВЫМ, что г. АНРИО сам приедет ко мне в первый раз в Теплотехнический институт, вскоре после моего возвращения в Москву, под предлогом получения разрешения на осмотр Института, и предъявит об этом письмо от французской миссии.</w:t>
      </w:r>
    </w:p>
    <w:p w14:paraId="0126BB72" w14:textId="77777777" w:rsidR="00C07118" w:rsidRPr="00507A31" w:rsidRDefault="00C07118" w:rsidP="00507A31">
      <w:pPr>
        <w:jc w:val="both"/>
        <w:rPr>
          <w:color w:val="000000" w:themeColor="text1"/>
          <w:sz w:val="16"/>
          <w:szCs w:val="16"/>
        </w:rPr>
      </w:pPr>
      <w:r w:rsidRPr="00507A31">
        <w:rPr>
          <w:color w:val="000000" w:themeColor="text1"/>
          <w:sz w:val="16"/>
          <w:szCs w:val="16"/>
        </w:rPr>
        <w:t>Вскоре после моего возвращения из заграницы, а именно, примерно в начале ноября 1928 г. г. АНРИО приехал ко мне в Теплотехнический Институт и предъявил письмо от французского посольства, написанное по-русски, в котором посольство просит дать разрешение французским инженерам на осмотр Института и оказать содействие в этом отношении подателю письма, который отрекомендовался мне как г. АНРИО.</w:t>
      </w:r>
    </w:p>
    <w:p w14:paraId="45F1B86A" w14:textId="77777777" w:rsidR="00C07118" w:rsidRPr="00507A31" w:rsidRDefault="00C07118" w:rsidP="00507A31">
      <w:pPr>
        <w:jc w:val="both"/>
        <w:rPr>
          <w:color w:val="000000" w:themeColor="text1"/>
          <w:sz w:val="16"/>
          <w:szCs w:val="16"/>
        </w:rPr>
      </w:pPr>
      <w:r w:rsidRPr="00507A31">
        <w:rPr>
          <w:color w:val="000000" w:themeColor="text1"/>
          <w:sz w:val="16"/>
          <w:szCs w:val="16"/>
        </w:rPr>
        <w:t>При этом АНРИО сказал, что о его визите мне должно быть известно еще в Париже; я подтвердил это, и в виду неудобства длительного разговора в Институте, условился с г. АНРИО встретиться в следующий раз у меня на квартире, недели через две, предварительно созвонившись по телефону. После этого я имел с г. АНРИО три встречи: 1) у меня на квартире, примерно во второй половине ноября 1928 г., когда я познакомил г. АНРИО с В. И. ОЧКИНЫМ; 2) на квартире у КАЛИННИКОВА, весною 1929 г. и 3) на квартире у В. И. ОЧКИНА, в конце 1929 года.</w:t>
      </w:r>
    </w:p>
    <w:p w14:paraId="653C9698" w14:textId="77777777" w:rsidR="00C07118" w:rsidRPr="00507A31" w:rsidRDefault="00C07118" w:rsidP="00507A31">
      <w:pPr>
        <w:jc w:val="both"/>
        <w:rPr>
          <w:color w:val="000000" w:themeColor="text1"/>
          <w:sz w:val="16"/>
          <w:szCs w:val="16"/>
        </w:rPr>
      </w:pPr>
      <w:r w:rsidRPr="00507A31">
        <w:rPr>
          <w:color w:val="000000" w:themeColor="text1"/>
          <w:sz w:val="16"/>
          <w:szCs w:val="16"/>
        </w:rPr>
        <w:t>На первом же свидании, у меня на квартире я условился с г. АНРИО относительно осуществления связи с ним; а именно, я указал ему на служащего Электроимпорта, инж. В. Л. ГОРДОН, который легко мог пересылать письма во французское посольство и обратно, через посредство французских инженеров; АНРИО с этим согласился. В качестве второго связующего лица я указал на В. И. ОЧКИНА, с которым АНРИО условился встретиться, записав его адрес и телефоны. Впоследствии моя связь с АНРИО, кроме указанных личных встреч, осуществлялась через инж. В. Л. ГОРДОНА и В. И. ОЧКИНА. Одновременно АНРИО взял на себя пересылку наших писем Торгпрому, через французское посольство, с дипломатической почтой, что и осуществлялось впоследствии.</w:t>
      </w:r>
    </w:p>
    <w:p w14:paraId="606A3396" w14:textId="77777777" w:rsidR="00C07118" w:rsidRPr="00507A31" w:rsidRDefault="00C07118" w:rsidP="00507A31">
      <w:pPr>
        <w:jc w:val="both"/>
        <w:rPr>
          <w:color w:val="000000" w:themeColor="text1"/>
          <w:sz w:val="16"/>
          <w:szCs w:val="16"/>
        </w:rPr>
      </w:pPr>
      <w:r w:rsidRPr="00507A31">
        <w:rPr>
          <w:color w:val="000000" w:themeColor="text1"/>
          <w:sz w:val="16"/>
          <w:szCs w:val="16"/>
        </w:rPr>
        <w:t>Английский генштаб.</w:t>
      </w:r>
    </w:p>
    <w:p w14:paraId="6549F0AF" w14:textId="77777777" w:rsidR="00C07118" w:rsidRPr="00507A31" w:rsidRDefault="00C07118" w:rsidP="00507A31">
      <w:pPr>
        <w:jc w:val="both"/>
        <w:rPr>
          <w:color w:val="000000" w:themeColor="text1"/>
          <w:sz w:val="16"/>
          <w:szCs w:val="16"/>
        </w:rPr>
      </w:pPr>
      <w:r w:rsidRPr="00507A31">
        <w:rPr>
          <w:color w:val="000000" w:themeColor="text1"/>
          <w:sz w:val="16"/>
          <w:szCs w:val="16"/>
        </w:rPr>
        <w:lastRenderedPageBreak/>
        <w:t>Первые известные мне сношения с английским генштабом относятся к 1927-28 году. По докладу СТРИЖОВА и ЛАРИЧЕВА в Инженерном Центре они получили от английского генштаба задания, касательно проектировки Грозненского нефтепровода и Туапсинского рейда. Способы осуществления этих сношений могут указать ЛАРИЧЕВ и СТРИЖОВ.</w:t>
      </w:r>
    </w:p>
    <w:p w14:paraId="60A358B1" w14:textId="77777777" w:rsidR="00C07118" w:rsidRPr="00507A31" w:rsidRDefault="00C07118" w:rsidP="00507A31">
      <w:pPr>
        <w:jc w:val="both"/>
        <w:rPr>
          <w:color w:val="000000" w:themeColor="text1"/>
          <w:sz w:val="16"/>
          <w:szCs w:val="16"/>
        </w:rPr>
      </w:pPr>
      <w:r w:rsidRPr="00507A31">
        <w:rPr>
          <w:color w:val="000000" w:themeColor="text1"/>
          <w:sz w:val="16"/>
          <w:szCs w:val="16"/>
        </w:rPr>
        <w:t>При своей поездке в Лондон в период ок[оло] 24 сентября — 4 октября 1928 г. ЛАРИЧЕВ, пользуясь своими прежними связями с английским генштабом, а также через посредство своих знакомств в нефтяных кругах установил в английском генштабе связь с г. ПАТРИК, о чем мне ЛАРИЧЕВ сообщил еще в Лондоне. При этом ЛАРИЧЕВ условился с английским генштабом относительно встречи в Лондоне с полковником ЛОУРЕНС. Эта встреча состоялась в конце сентября или в начале октября 1928 г. в Лондоне в помещении одного из автомобильных клубов. За мною и ЛАРИЧЕВЫМ заехал в отель инж. СИМОН А. А., которого я попросил устроить это свидание и помочь при разговоре, вследствие того, что ЛАРИЧЕВ совсем не говорит по[-]английски, я же недостаточно хорошо владею разговорным английским языком. Встретив в клубе полк[овника] ЛОУРЕНС, мы имели с ним разговор, при котором условились осуществлять в случае необходимости связь через московского представителя фирмы Бабкок и Вилькокс инж. М. Е. АЙЗЕНШТАДТ, который имел постоянные сношения с английскими инженерами. Впоследствии связь с английским генштабом осуществлялась ЛАРИЧЕВЫМ через посредство инж. М. Е. АЙЗЕНШТАДТ; кроме того[,] я указал ЛАРИЧЕВУ на возможность использования для связи с английским генштабом и посольством инженера Н. М. САВЕЛОВА, но просил прибегать к этому лишь в крайнем случае.</w:t>
      </w:r>
    </w:p>
    <w:p w14:paraId="758E6673" w14:textId="77777777" w:rsidR="00C07118" w:rsidRPr="00507A31" w:rsidRDefault="00C07118" w:rsidP="00507A31">
      <w:pPr>
        <w:jc w:val="both"/>
        <w:rPr>
          <w:color w:val="000000" w:themeColor="text1"/>
          <w:sz w:val="16"/>
          <w:szCs w:val="16"/>
        </w:rPr>
      </w:pPr>
      <w:r w:rsidRPr="00507A31">
        <w:rPr>
          <w:color w:val="000000" w:themeColor="text1"/>
          <w:sz w:val="16"/>
          <w:szCs w:val="16"/>
        </w:rPr>
        <w:t>Помимо этого[,] связи с английскими кругами осуществлялись через инж. А. А. ФЕДОТОВА и через отдельных инженеров, как[,] напр[имер,] инж. А. А. СИМОН, Н. А. ДАВИДОВА87, Н. М. САВЕЛОВА.</w:t>
      </w:r>
    </w:p>
    <w:p w14:paraId="72FD360C" w14:textId="77777777" w:rsidR="00C07118" w:rsidRPr="00507A31" w:rsidRDefault="00C07118" w:rsidP="00507A31">
      <w:pPr>
        <w:jc w:val="both"/>
        <w:rPr>
          <w:color w:val="000000" w:themeColor="text1"/>
          <w:sz w:val="16"/>
          <w:szCs w:val="16"/>
        </w:rPr>
      </w:pPr>
      <w:r w:rsidRPr="00507A31">
        <w:rPr>
          <w:color w:val="000000" w:themeColor="text1"/>
          <w:sz w:val="16"/>
          <w:szCs w:val="16"/>
        </w:rPr>
        <w:t>Подготовка интервенции заграницей.</w:t>
      </w:r>
    </w:p>
    <w:p w14:paraId="770F5654" w14:textId="77777777" w:rsidR="00C07118" w:rsidRPr="00507A31" w:rsidRDefault="00C07118" w:rsidP="00507A31">
      <w:pPr>
        <w:jc w:val="both"/>
        <w:rPr>
          <w:color w:val="000000" w:themeColor="text1"/>
          <w:sz w:val="16"/>
          <w:szCs w:val="16"/>
        </w:rPr>
      </w:pPr>
      <w:r w:rsidRPr="00507A31">
        <w:rPr>
          <w:color w:val="000000" w:themeColor="text1"/>
          <w:sz w:val="16"/>
          <w:szCs w:val="16"/>
        </w:rPr>
        <w:t>Относительно заграничной подготовки интервенции я и ЦК Промпартии имели лишь неполные и отрывочные сведения, ибо работу в этом направлении вели Торгпром и французское правительство. Ниже я привожу те сведения и данные, которые удалось получить по этому вопросу на основании информаций из различных источников.</w:t>
      </w:r>
    </w:p>
    <w:p w14:paraId="226FCAFB" w14:textId="77777777" w:rsidR="00C07118" w:rsidRPr="00507A31" w:rsidRDefault="00C07118" w:rsidP="00507A31">
      <w:pPr>
        <w:jc w:val="both"/>
        <w:rPr>
          <w:color w:val="000000" w:themeColor="text1"/>
          <w:sz w:val="16"/>
          <w:szCs w:val="16"/>
        </w:rPr>
      </w:pPr>
      <w:r w:rsidRPr="00507A31">
        <w:rPr>
          <w:color w:val="000000" w:themeColor="text1"/>
          <w:sz w:val="16"/>
          <w:szCs w:val="16"/>
        </w:rPr>
        <w:t>Политические группировки, на которые опирался Торгпром при пропаганде идеи интервенции против СССР, насколько мне известно[,] таковы.</w:t>
      </w:r>
    </w:p>
    <w:p w14:paraId="35CAB967" w14:textId="77777777" w:rsidR="00C07118" w:rsidRPr="00507A31" w:rsidRDefault="00C07118" w:rsidP="00507A31">
      <w:pPr>
        <w:jc w:val="both"/>
        <w:rPr>
          <w:color w:val="000000" w:themeColor="text1"/>
          <w:sz w:val="16"/>
          <w:szCs w:val="16"/>
        </w:rPr>
      </w:pPr>
      <w:r w:rsidRPr="00507A31">
        <w:rPr>
          <w:color w:val="000000" w:themeColor="text1"/>
          <w:sz w:val="16"/>
          <w:szCs w:val="16"/>
        </w:rPr>
        <w:t>Во Франции, являющейся основным центром подготовки интервенции против СССР, согласно сообщения ПАЛЬЧИНСКОГО на заседании Инженерного Центра, Торгпром действовал через БРИАНА и ПУАНКАРЕ. ДЕНИСОВ, в конце 1928 года говорит, что Торгпром воздействует на французское правительство главным образом через БРИАНА. Таким образом, по[-]видимому, пропаганда интервенции базируется во Франции на круги радикал-социалистов и республиканцев. Из сообщения Торгпрома в конце 1929 года мне известно, что левая группа Торгпрома ведет переговоры с П. Н. МИЛЮКОВЫМ, чтобы использовать его в целях пропаганды интервенции. Печатную агитацию в пользу интервенции против СССР Торгпром вел, насколько мне известно, через «Возрождение», орган ГУКАСОВА, редактируемый СТРУВЕ, и через «Руль», т. е. через ГЕССЕНА и КАМИНКУ.</w:t>
      </w:r>
    </w:p>
    <w:p w14:paraId="3D37836D" w14:textId="77777777" w:rsidR="00C07118" w:rsidRPr="00507A31" w:rsidRDefault="00C07118" w:rsidP="00507A31">
      <w:pPr>
        <w:jc w:val="both"/>
        <w:rPr>
          <w:color w:val="000000" w:themeColor="text1"/>
          <w:sz w:val="16"/>
          <w:szCs w:val="16"/>
        </w:rPr>
      </w:pPr>
      <w:r w:rsidRPr="00507A31">
        <w:rPr>
          <w:color w:val="000000" w:themeColor="text1"/>
          <w:sz w:val="16"/>
          <w:szCs w:val="16"/>
        </w:rPr>
        <w:t>В Англии, по сообщениям инж. СИМОНА и ДЕНИСОВА в 1928 г„ а также по сообщению ЛАРИЧЕВА, на основании его разговора в английском генштабе и с нефтяными кругами, душой подготовки интервенции против СССР являлся лорд ЧЕРЧИЛЛЬ, а также ХИКС” и ЧЕМБЕРЛЕН, т. е. группа консерваторов. По позднейшим информациям, полученным в &lt;1929 г. от&gt; САВЕЛОВА, СИМОНА и ЛАРИЧЕВА (кажется, через АЙЗЕНШТАДТА), идеи интервенции склонны поддерживать и либералы во главе с ЛЛОЙД-ДЖОРДЖЕМ.</w:t>
      </w:r>
    </w:p>
    <w:p w14:paraId="15B9D2BA" w14:textId="77777777" w:rsidR="00C07118" w:rsidRPr="00507A31" w:rsidRDefault="00C07118" w:rsidP="00507A31">
      <w:pPr>
        <w:jc w:val="both"/>
        <w:rPr>
          <w:color w:val="000000" w:themeColor="text1"/>
          <w:sz w:val="16"/>
          <w:szCs w:val="16"/>
        </w:rPr>
      </w:pPr>
      <w:r w:rsidRPr="00507A31">
        <w:rPr>
          <w:color w:val="000000" w:themeColor="text1"/>
          <w:sz w:val="16"/>
          <w:szCs w:val="16"/>
        </w:rPr>
        <w:t>Таким образом, по[-]видимому политический фронт интервенции за последнее время, т. е. к концу 1929 г., расширился влево, захватывая и либерально-буржуазные круги.</w:t>
      </w:r>
    </w:p>
    <w:p w14:paraId="14D5F327" w14:textId="77777777" w:rsidR="00C07118" w:rsidRPr="00507A31" w:rsidRDefault="00C07118" w:rsidP="00507A31">
      <w:pPr>
        <w:jc w:val="both"/>
        <w:rPr>
          <w:color w:val="000000" w:themeColor="text1"/>
          <w:sz w:val="16"/>
          <w:szCs w:val="16"/>
        </w:rPr>
      </w:pPr>
      <w:r w:rsidRPr="00507A31">
        <w:rPr>
          <w:color w:val="000000" w:themeColor="text1"/>
          <w:sz w:val="16"/>
          <w:szCs w:val="16"/>
        </w:rPr>
        <w:t>Финансирование интервенции представляется мне не вполне ясным. При свидании с членами Торгпрома в Париже в 1928 году из слов ДЕНИСОВА и НОБЕЛЯ я вывел заключение, что финансирование интервенции производится в основном правительствами Франции и Англии, при значительной поддержке со стороны нефтяных кругов и, в частности, Детердинга и частью при финансовой поддержке бывших русских промышленников. Подобные же сведения о финансовой помощи Англии и английских нефтяных кругов мне сообщал инж. СИМОН, в 1928 и 1929 годах, и ЛАРИЧЕВ, который получил эту информацию в английском генштабе и от английских нефтяников в Лондоне, в 1928 году.</w:t>
      </w:r>
    </w:p>
    <w:p w14:paraId="6EDDE0E1" w14:textId="77777777" w:rsidR="00C07118" w:rsidRPr="00507A31" w:rsidRDefault="00C07118" w:rsidP="00507A31">
      <w:pPr>
        <w:jc w:val="both"/>
        <w:rPr>
          <w:color w:val="000000" w:themeColor="text1"/>
          <w:sz w:val="16"/>
          <w:szCs w:val="16"/>
        </w:rPr>
      </w:pPr>
      <w:r w:rsidRPr="00507A31">
        <w:rPr>
          <w:color w:val="000000" w:themeColor="text1"/>
          <w:sz w:val="16"/>
          <w:szCs w:val="16"/>
        </w:rPr>
        <w:t>Военные силы интервенции по всем сообщениям базируются на Польшу, Румынию и лимитрофы; эти сведения исходили от ПАЛЬЧИНСКОГО, КЮФЕРА, СИМОНА, ДЕНИСОВА и др. членов Торгпрома, г. Анрио и др. лиц. Вместе с тем, по сообщениям КЮФЕРА, ДЕНИСОВА, ЧАРНОВСКОГО (из польских кругов)[,] Торгпром и французское правительство все время рас[с]читывали использовать для интервенции врангелевские войска, находящиеся в Юго-Славии и в других местах, количество коих Третьяков оценивал в разговоре со мною ок[оло] 100 тыс. человек. Кюфер в 1928 г. сообщал мне, что неопределенность в расчетах на участие врангелевских войск объясняется несогласием между Торг- промом и эмигрантскими монархическими кругами, главным образом по земельному вопросу. Тем не менее Денисов при разговоре со мною уверял, что Торгпром твердо рас[с]читывает на врангелевские войска, ибо указанные разногласия носят временный характер и будут улажены. Участие Франции по сообщениям Торгпрома, Анрио, а также и по сведениям ЛАРИЧЕВА и КАЛИННИКОВА, полученным через КЮФЕРА, в основном должны сводит[ь]ся к политической подготовке и военной организации интервенции и к помощи деньгами и снаряжением. Как в 1928 г., так и в особенности к концу 1929 г. все сообщения говорили о том, что принимать непосредственное участие в интервенции своими военными силами Франция не предполагает. В конце 1929 г. Анрио сообщил что Франция предполагает оказать прямую военную помощь интервентам своими аэропланами. Англия, по сообщениям Симона, ЛАРИЧЕВА (по сведениям из английского генштаба), САВЕЛОВА, Торгпрома, СТРИЖОВА, КЮФЕРА и АНРИО, должна кроме помощи деньгами и снаряжением принять и прямое участие в интервенции своими морскими силами, ведя операции на Черном море и в Финском заливе. При этом, по последним информациям с конца 1929 года, полученным от Анрио и САВЕЛОВА, а также по сообщениям ЛАРИЧЕВА и КАЛИННИКОВА, центр тяжести морских операций переносится на Ленинград, причем одновременно значительно усиливается вообще роль Англии в осуществлении интервенции против СССР.</w:t>
      </w:r>
    </w:p>
    <w:p w14:paraId="5108FD0A" w14:textId="77777777" w:rsidR="00C07118" w:rsidRPr="00507A31" w:rsidRDefault="00C07118" w:rsidP="00507A31">
      <w:pPr>
        <w:jc w:val="both"/>
        <w:rPr>
          <w:color w:val="000000" w:themeColor="text1"/>
          <w:sz w:val="16"/>
          <w:szCs w:val="16"/>
        </w:rPr>
      </w:pPr>
      <w:r w:rsidRPr="00507A31">
        <w:rPr>
          <w:color w:val="000000" w:themeColor="text1"/>
          <w:sz w:val="16"/>
          <w:szCs w:val="16"/>
        </w:rPr>
        <w:t>Об участии Германии в интервенции против СССР я не помню сообщений ни в 1928 г., ни в 1929 году; отдельные отрывочные сведения, сообщавшиеся ЛАРИЧЕВЫМ и КАЛИННИКОВЫМ со слов КЮФЕРА, а также ОСАДЧИМ и отдельными инженерами, говорили лишь о нейтралитете Германии, дабы развязать руки Польше.</w:t>
      </w:r>
    </w:p>
    <w:p w14:paraId="60E058A6" w14:textId="77777777" w:rsidR="00C07118" w:rsidRPr="00507A31" w:rsidRDefault="00C07118" w:rsidP="00507A31">
      <w:pPr>
        <w:jc w:val="both"/>
        <w:rPr>
          <w:color w:val="000000" w:themeColor="text1"/>
          <w:sz w:val="16"/>
          <w:szCs w:val="16"/>
        </w:rPr>
      </w:pPr>
      <w:r w:rsidRPr="00507A31">
        <w:rPr>
          <w:color w:val="000000" w:themeColor="text1"/>
          <w:sz w:val="16"/>
          <w:szCs w:val="16"/>
        </w:rPr>
        <w:t>Сообщение о возможном участии Германии в интервенции я получил от инж. А. А. ЦЕНКЕРА в Берлине, в июне 1930 года. А. А. ЦЕНКЕР, рисуя планы интервенции в оптимистических тонах, говорил, что имеются серьезные основания рас[с]читывать на активное участие в интервенции и Германии, хотя бы и небольшими силами, опираясь, например, на «Стальной Шлем», который в состоянии легко мобилизовать корпус около 300 тысяч человек. Однако, проф. ЯСИНСКИЙ и проф. СУШКИН выражали уже большие сомнения в правильности этой информации. Вероятно, более определенные сведения по этому вопросу и вообще о планах интервенции на 1931 год сможет дать проф. П. С. ОСАДЧИЙ, который после моего спешного отъезда остался в Берлине и должен был иметь свидание с Денисовым, членами Торгпрома и представителями французских военных кругов.</w:t>
      </w:r>
    </w:p>
    <w:p w14:paraId="19B5C75A" w14:textId="77777777" w:rsidR="00C07118" w:rsidRPr="00507A31" w:rsidRDefault="00C07118" w:rsidP="00507A31">
      <w:pPr>
        <w:jc w:val="both"/>
        <w:rPr>
          <w:color w:val="000000" w:themeColor="text1"/>
          <w:sz w:val="16"/>
          <w:szCs w:val="16"/>
        </w:rPr>
      </w:pPr>
      <w:r w:rsidRPr="00507A31">
        <w:rPr>
          <w:color w:val="000000" w:themeColor="text1"/>
          <w:sz w:val="16"/>
          <w:szCs w:val="16"/>
        </w:rPr>
        <w:t>Об участии Югославии имелись лишь неопределенные сообщения ПАЛЬЧИНСКОГО и КЮФЕРА. Из отдельных разговоров в Берлине в 1930 году, правда с недостаточно компетентными лицами, я вынес впечатление, что шансы на участие в интервенции Югославии и может быть даже Болгарии возрастают.</w:t>
      </w:r>
    </w:p>
    <w:p w14:paraId="6DAD8283" w14:textId="77777777" w:rsidR="00C07118" w:rsidRPr="00507A31" w:rsidRDefault="00C07118" w:rsidP="00507A31">
      <w:pPr>
        <w:jc w:val="both"/>
        <w:rPr>
          <w:color w:val="000000" w:themeColor="text1"/>
          <w:sz w:val="16"/>
          <w:szCs w:val="16"/>
        </w:rPr>
      </w:pPr>
      <w:r w:rsidRPr="00507A31">
        <w:rPr>
          <w:color w:val="000000" w:themeColor="text1"/>
          <w:sz w:val="16"/>
          <w:szCs w:val="16"/>
        </w:rPr>
        <w:t>Наконец, по частному вопросу об участии в интервенции 1930 года красновских казаков я слышал весною 1929 г. от Анрио, который говорил, что предполагают высадить на Черноморском побережьи десант красновских казаков, ок[оло] 20 000 чел., для поднятия восстания на Дону.</w:t>
      </w:r>
    </w:p>
    <w:p w14:paraId="3474CBFC" w14:textId="77777777" w:rsidR="00C07118" w:rsidRPr="00507A31" w:rsidRDefault="00C07118" w:rsidP="00507A31">
      <w:pPr>
        <w:jc w:val="both"/>
        <w:rPr>
          <w:color w:val="000000" w:themeColor="text1"/>
          <w:sz w:val="16"/>
          <w:szCs w:val="16"/>
        </w:rPr>
      </w:pPr>
      <w:r w:rsidRPr="00507A31">
        <w:rPr>
          <w:color w:val="000000" w:themeColor="text1"/>
          <w:sz w:val="16"/>
          <w:szCs w:val="16"/>
        </w:rPr>
        <w:t>Сроки интервенции.</w:t>
      </w:r>
    </w:p>
    <w:p w14:paraId="7FC247B4" w14:textId="77777777" w:rsidR="00C07118" w:rsidRPr="00507A31" w:rsidRDefault="00C07118" w:rsidP="00507A31">
      <w:pPr>
        <w:jc w:val="both"/>
        <w:rPr>
          <w:color w:val="000000" w:themeColor="text1"/>
          <w:sz w:val="16"/>
          <w:szCs w:val="16"/>
        </w:rPr>
      </w:pPr>
      <w:r w:rsidRPr="00507A31">
        <w:rPr>
          <w:color w:val="000000" w:themeColor="text1"/>
          <w:sz w:val="16"/>
          <w:szCs w:val="16"/>
        </w:rPr>
        <w:t>Срок интервенции являлся темой обсуждения как в ЦК Промпартии, так и за границей, а также при разговорах с иностранцами.</w:t>
      </w:r>
    </w:p>
    <w:p w14:paraId="5B45B754" w14:textId="77777777" w:rsidR="00C07118" w:rsidRPr="00507A31" w:rsidRDefault="00C07118" w:rsidP="00507A31">
      <w:pPr>
        <w:jc w:val="both"/>
        <w:rPr>
          <w:color w:val="000000" w:themeColor="text1"/>
          <w:sz w:val="16"/>
          <w:szCs w:val="16"/>
        </w:rPr>
      </w:pPr>
      <w:r w:rsidRPr="00507A31">
        <w:rPr>
          <w:color w:val="000000" w:themeColor="text1"/>
          <w:sz w:val="16"/>
          <w:szCs w:val="16"/>
        </w:rPr>
        <w:t>Первое обсуждение срока интервенции происходило в ЦК Промпартии, в начале 1928 г. по докладу ПАЛЬЧИНСКОГО, когда был намечен 1930 г. Далее, КЮФЕР при свидании со мною в середине 1928 г. указывал тот же срок — лето 1930 года. Этот срок затем обсуждался на заседании в Торгпроме, в октябре 1928 г., когда и члены Торгпрома и я с ЛАРИЧЕВЫМ считали этот срок наиболее подходящим. Далее г. Анрио при свидании со мною весною 1929 г. подтвердил тот же срок. Многочисленные сообщения инж. Симона, ЛАРИЧЕВА, КАЛИННИКОВА, САВЕЛОВА, ОСАДЧЕГО, ФЕДОТОВА и других лиц, поступавшие до середины 1929 г., неизменно указывали один и тот же срок интервенции — лето 1930 года.</w:t>
      </w:r>
    </w:p>
    <w:p w14:paraId="1C9703EF" w14:textId="77777777" w:rsidR="00C07118" w:rsidRPr="00507A31" w:rsidRDefault="00C07118" w:rsidP="00507A31">
      <w:pPr>
        <w:jc w:val="both"/>
        <w:rPr>
          <w:color w:val="000000" w:themeColor="text1"/>
          <w:sz w:val="16"/>
          <w:szCs w:val="16"/>
        </w:rPr>
      </w:pPr>
      <w:r w:rsidRPr="00507A31">
        <w:rPr>
          <w:color w:val="000000" w:themeColor="text1"/>
          <w:sz w:val="16"/>
          <w:szCs w:val="16"/>
        </w:rPr>
        <w:t>Основные мотивы за установление срока интервенции на лето 1930 г. были таковы:</w:t>
      </w:r>
    </w:p>
    <w:p w14:paraId="687EA94F" w14:textId="77777777" w:rsidR="00C07118" w:rsidRPr="00507A31" w:rsidRDefault="00C07118" w:rsidP="00507A31">
      <w:pPr>
        <w:jc w:val="both"/>
        <w:rPr>
          <w:color w:val="000000" w:themeColor="text1"/>
          <w:sz w:val="16"/>
          <w:szCs w:val="16"/>
        </w:rPr>
      </w:pPr>
      <w:r w:rsidRPr="00507A31">
        <w:rPr>
          <w:color w:val="000000" w:themeColor="text1"/>
          <w:sz w:val="16"/>
          <w:szCs w:val="16"/>
        </w:rPr>
        <w:t>Как один из первых годов пятилетки, 1930 год оценивался всеми, как наиболее трудный и тяжелый в экономическом отношении, а потому и наиболее благоприятный для интервенции, ибо, требуя больших затрат на капитальное строительство, этот год не мог еще давать заметного возврата сделанных уже крупных капитальных расходов. По этим причинам все ожидали, что 1930 г. будет самым напряженным и трудным годом в хозяйственном отношении и по бытовой обстановке. Эти экономические затруднения должны были усилиться под влиянием вредительской работы Промпартии и привести страну к глубокому экономическому кризису, который должен был понизить обороноспособность Союза, как вследствие расстройства всей хозяйственной жизни, так и недовольства широких масс крестьянского и городского населения. Промпартия рассчитывала, что это недовольство, усилившееся агитацией ТКП, выльется в форме бунтов и восстаний и затем создаст еще более благоприятную обстановку для интервенции. Наконец, в начале 1929 года начавшаяся коллективизация сельского хозяйства и связанные с ее проведением затруднения еще более подкрепляли надежды Промпартии на волнения и восстания крестьян и в Красной армии. Итак, 1930 год оценивался наиболее благоприятным для интервенции, вследствие крупных экономических и политических затруднений С.С.С.Р. как естественного, так и искусственного происхождения.</w:t>
      </w:r>
    </w:p>
    <w:p w14:paraId="5E323276" w14:textId="77777777" w:rsidR="00C07118" w:rsidRPr="00507A31" w:rsidRDefault="00C07118" w:rsidP="00507A31">
      <w:pPr>
        <w:jc w:val="both"/>
        <w:rPr>
          <w:color w:val="000000" w:themeColor="text1"/>
          <w:sz w:val="16"/>
          <w:szCs w:val="16"/>
        </w:rPr>
      </w:pPr>
      <w:r w:rsidRPr="00507A31">
        <w:rPr>
          <w:color w:val="000000" w:themeColor="text1"/>
          <w:sz w:val="16"/>
          <w:szCs w:val="16"/>
        </w:rPr>
        <w:t>По соображениям Торгпрома и французского Генштаба по времени, потребному для дипломатической и военной подготовки интервенции, 1930 год являлся также подходящим.</w:t>
      </w:r>
    </w:p>
    <w:p w14:paraId="46C6AEE3" w14:textId="77777777" w:rsidR="00C07118" w:rsidRPr="00507A31" w:rsidRDefault="00C07118" w:rsidP="00507A31">
      <w:pPr>
        <w:jc w:val="both"/>
        <w:rPr>
          <w:color w:val="000000" w:themeColor="text1"/>
          <w:sz w:val="16"/>
          <w:szCs w:val="16"/>
        </w:rPr>
      </w:pPr>
      <w:r w:rsidRPr="00507A31">
        <w:rPr>
          <w:color w:val="000000" w:themeColor="text1"/>
          <w:sz w:val="16"/>
          <w:szCs w:val="16"/>
        </w:rPr>
        <w:t>При большом напряжении на капитальное строительство оборонные расходы в начале пятилетки неизбежно должны были отставать от общего темпа экономического развития страны; поэтому и с этой точки зрения 1930 год являлся благоприятным для интервенции, ибо условия обороноспособности СССР в 1930 году расценивались ниже, чем в последующие годы.</w:t>
      </w:r>
    </w:p>
    <w:p w14:paraId="4F300205" w14:textId="77777777" w:rsidR="00C07118" w:rsidRPr="00507A31" w:rsidRDefault="00C07118" w:rsidP="00507A31">
      <w:pPr>
        <w:jc w:val="both"/>
        <w:rPr>
          <w:color w:val="000000" w:themeColor="text1"/>
          <w:sz w:val="16"/>
          <w:szCs w:val="16"/>
        </w:rPr>
      </w:pPr>
      <w:r w:rsidRPr="00507A31">
        <w:rPr>
          <w:color w:val="000000" w:themeColor="text1"/>
          <w:sz w:val="16"/>
          <w:szCs w:val="16"/>
        </w:rPr>
        <w:lastRenderedPageBreak/>
        <w:t>Посколько срок интервенции был намечен на 1930 год, вся деятельность Промпартии строилась таким образом, чтобы создать в этом году наиболее глубокие экономические кризисы и затруднения.</w:t>
      </w:r>
    </w:p>
    <w:p w14:paraId="7FCA658F" w14:textId="77777777" w:rsidR="00C07118" w:rsidRPr="00507A31" w:rsidRDefault="00C07118" w:rsidP="00507A31">
      <w:pPr>
        <w:jc w:val="both"/>
        <w:rPr>
          <w:color w:val="000000" w:themeColor="text1"/>
          <w:sz w:val="16"/>
          <w:szCs w:val="16"/>
        </w:rPr>
      </w:pPr>
      <w:r w:rsidRPr="00507A31">
        <w:rPr>
          <w:color w:val="000000" w:themeColor="text1"/>
          <w:sz w:val="16"/>
          <w:szCs w:val="16"/>
        </w:rPr>
        <w:t>Однако, уже во второй половине 1929 года стали поступать сообщения о неосуществимости интервенции в 1930 году и о переносе ее на следующий, 1931 год.</w:t>
      </w:r>
    </w:p>
    <w:p w14:paraId="12A726CC" w14:textId="77777777" w:rsidR="00C07118" w:rsidRPr="00507A31" w:rsidRDefault="00C07118" w:rsidP="00507A31">
      <w:pPr>
        <w:jc w:val="both"/>
        <w:rPr>
          <w:color w:val="000000" w:themeColor="text1"/>
          <w:sz w:val="16"/>
          <w:szCs w:val="16"/>
        </w:rPr>
      </w:pPr>
      <w:r w:rsidRPr="00507A31">
        <w:rPr>
          <w:color w:val="000000" w:themeColor="text1"/>
          <w:sz w:val="16"/>
          <w:szCs w:val="16"/>
        </w:rPr>
        <w:t>Одним из первых сообщений этого характера была информация, полученная инж. А. А. ФЕДОТОВЫМ из английских кругов, говорившая о неподготовленности интервенции на 1930 год. Это сообщение подтвердилось затем сведениями, полученными ЛАРИЧЕВЫМ и КАЛИННИКОВЫМ, кажется[,] от КЮФЕРА, а также информациями, полученными мною от Торгпрома и от Анрио, в конце 1929 года и в начале 1930 года.</w:t>
      </w:r>
    </w:p>
    <w:p w14:paraId="31881FBA" w14:textId="77777777" w:rsidR="00C07118" w:rsidRPr="00507A31" w:rsidRDefault="00C07118" w:rsidP="00507A31">
      <w:pPr>
        <w:jc w:val="both"/>
        <w:rPr>
          <w:color w:val="000000" w:themeColor="text1"/>
          <w:sz w:val="16"/>
          <w:szCs w:val="16"/>
        </w:rPr>
      </w:pPr>
      <w:r w:rsidRPr="00507A31">
        <w:rPr>
          <w:color w:val="000000" w:themeColor="text1"/>
          <w:sz w:val="16"/>
          <w:szCs w:val="16"/>
        </w:rPr>
        <w:t>Основными причинами неосуществимости интервенции в 1930 году выдвигались:</w:t>
      </w:r>
    </w:p>
    <w:p w14:paraId="4E35DE36" w14:textId="77777777" w:rsidR="00C07118" w:rsidRPr="00507A31" w:rsidRDefault="00C07118" w:rsidP="00507A31">
      <w:pPr>
        <w:jc w:val="both"/>
        <w:rPr>
          <w:color w:val="000000" w:themeColor="text1"/>
          <w:sz w:val="16"/>
          <w:szCs w:val="16"/>
        </w:rPr>
      </w:pPr>
      <w:r w:rsidRPr="00507A31">
        <w:rPr>
          <w:color w:val="000000" w:themeColor="text1"/>
          <w:sz w:val="16"/>
          <w:szCs w:val="16"/>
        </w:rPr>
        <w:t>Трудности ведения переговоров с отдельными странами, долженствующими участвовать в интервенции[,] и большие затруднения в достижении соглашения между ними, благодаря противоречивым интересам и чрезмерным требованиям отдельных стран и как результат этого военная неподготовленность интервенции.</w:t>
      </w:r>
    </w:p>
    <w:p w14:paraId="039AADF0" w14:textId="77777777" w:rsidR="00C07118" w:rsidRPr="00507A31" w:rsidRDefault="00C07118" w:rsidP="00507A31">
      <w:pPr>
        <w:jc w:val="both"/>
        <w:rPr>
          <w:color w:val="000000" w:themeColor="text1"/>
          <w:sz w:val="16"/>
          <w:szCs w:val="16"/>
        </w:rPr>
      </w:pPr>
      <w:r w:rsidRPr="00507A31">
        <w:rPr>
          <w:color w:val="000000" w:themeColor="text1"/>
          <w:sz w:val="16"/>
          <w:szCs w:val="16"/>
        </w:rPr>
        <w:t>Осложнение военного положения Франции, вследствие обострения отношений с Италией.</w:t>
      </w:r>
    </w:p>
    <w:p w14:paraId="600F8E60" w14:textId="77777777" w:rsidR="00C07118" w:rsidRPr="00507A31" w:rsidRDefault="00C07118" w:rsidP="00507A31">
      <w:pPr>
        <w:jc w:val="both"/>
        <w:rPr>
          <w:color w:val="000000" w:themeColor="text1"/>
          <w:sz w:val="16"/>
          <w:szCs w:val="16"/>
        </w:rPr>
      </w:pPr>
      <w:r w:rsidRPr="00507A31">
        <w:rPr>
          <w:color w:val="000000" w:themeColor="text1"/>
          <w:sz w:val="16"/>
          <w:szCs w:val="16"/>
        </w:rPr>
        <w:t>Неясность позиции Германии и противоречивость ее интересов с Польшей.</w:t>
      </w:r>
    </w:p>
    <w:p w14:paraId="4FD5EFEF" w14:textId="77777777" w:rsidR="00C07118" w:rsidRPr="00507A31" w:rsidRDefault="00C07118" w:rsidP="00507A31">
      <w:pPr>
        <w:jc w:val="both"/>
        <w:rPr>
          <w:color w:val="000000" w:themeColor="text1"/>
          <w:sz w:val="16"/>
          <w:szCs w:val="16"/>
        </w:rPr>
      </w:pPr>
      <w:r w:rsidRPr="00507A31">
        <w:rPr>
          <w:color w:val="000000" w:themeColor="text1"/>
          <w:sz w:val="16"/>
          <w:szCs w:val="16"/>
        </w:rPr>
        <w:t>Рост революционной активности пролетарских масс.</w:t>
      </w:r>
    </w:p>
    <w:p w14:paraId="5D6295B7" w14:textId="77777777" w:rsidR="00C07118" w:rsidRPr="00507A31" w:rsidRDefault="00C07118" w:rsidP="00507A31">
      <w:pPr>
        <w:jc w:val="both"/>
        <w:rPr>
          <w:color w:val="000000" w:themeColor="text1"/>
          <w:sz w:val="16"/>
          <w:szCs w:val="16"/>
        </w:rPr>
      </w:pPr>
      <w:r w:rsidRPr="00507A31">
        <w:rPr>
          <w:color w:val="000000" w:themeColor="text1"/>
          <w:sz w:val="16"/>
          <w:szCs w:val="16"/>
        </w:rPr>
        <w:t>Неудача дальне-восточной авантюры, доказавшая значительно более высокие боевые качества Красной Армии, чем это расценивали заграницей.</w:t>
      </w:r>
    </w:p>
    <w:p w14:paraId="2A166AEB" w14:textId="77777777" w:rsidR="00C07118" w:rsidRPr="00507A31" w:rsidRDefault="00C07118" w:rsidP="00507A31">
      <w:pPr>
        <w:jc w:val="both"/>
        <w:rPr>
          <w:color w:val="000000" w:themeColor="text1"/>
          <w:sz w:val="16"/>
          <w:szCs w:val="16"/>
        </w:rPr>
      </w:pPr>
      <w:r w:rsidRPr="00507A31">
        <w:rPr>
          <w:color w:val="000000" w:themeColor="text1"/>
          <w:sz w:val="16"/>
          <w:szCs w:val="16"/>
        </w:rPr>
        <w:t>Почти все вышеуказанные сообщения о неосуществимости интервенции в 1930 году одновременно говорили о переносе ее на весну или лето 1931 года. Более определенные сообщения по этому вопросу были получены ЛАРИЧЕВЫМ от английского генштаба, мною — от Анрио в конце 1929 года; затем тот же срок от имени Торгпрома сообщил мне инж. А. А. ЦЕНКЕР в Берлине, в 1930 году. Насколько я помню, единственное сообщение о возможности интервенции в начале 1931 года было сделано ЧАРНОВСКИМ, на основании сведений из польских источников.</w:t>
      </w:r>
    </w:p>
    <w:p w14:paraId="39108041" w14:textId="77777777" w:rsidR="00C07118" w:rsidRPr="00507A31" w:rsidRDefault="00C07118" w:rsidP="00507A31">
      <w:pPr>
        <w:jc w:val="both"/>
        <w:rPr>
          <w:color w:val="000000" w:themeColor="text1"/>
          <w:sz w:val="16"/>
          <w:szCs w:val="16"/>
        </w:rPr>
      </w:pPr>
      <w:r w:rsidRPr="00507A31">
        <w:rPr>
          <w:color w:val="000000" w:themeColor="text1"/>
          <w:sz w:val="16"/>
          <w:szCs w:val="16"/>
        </w:rPr>
        <w:t>5. ПЛАНЫ ИНТЕРВЕНЦИИ ПРОТИВ СССР.</w:t>
      </w:r>
    </w:p>
    <w:p w14:paraId="49151102" w14:textId="77777777" w:rsidR="00C07118" w:rsidRPr="00507A31" w:rsidRDefault="00C07118" w:rsidP="00507A31">
      <w:pPr>
        <w:jc w:val="both"/>
        <w:rPr>
          <w:color w:val="000000" w:themeColor="text1"/>
          <w:sz w:val="16"/>
          <w:szCs w:val="16"/>
        </w:rPr>
      </w:pPr>
      <w:r w:rsidRPr="00507A31">
        <w:rPr>
          <w:color w:val="000000" w:themeColor="text1"/>
          <w:sz w:val="16"/>
          <w:szCs w:val="16"/>
        </w:rPr>
        <w:t>а) План интервенции 1930 года.</w:t>
      </w:r>
    </w:p>
    <w:p w14:paraId="483A59EF" w14:textId="77777777" w:rsidR="00C07118" w:rsidRPr="00507A31" w:rsidRDefault="00C07118" w:rsidP="00507A31">
      <w:pPr>
        <w:jc w:val="both"/>
        <w:rPr>
          <w:color w:val="000000" w:themeColor="text1"/>
          <w:sz w:val="16"/>
          <w:szCs w:val="16"/>
        </w:rPr>
      </w:pPr>
      <w:r w:rsidRPr="00507A31">
        <w:rPr>
          <w:color w:val="000000" w:themeColor="text1"/>
          <w:sz w:val="16"/>
          <w:szCs w:val="16"/>
        </w:rPr>
        <w:t>По сообщениям ЛАРИЧЕВА и КАЛИННИКОВА, на основании сведений, полученных ими от КЮФЕРА, интервенцию предполагали начать выступлением Румынии, под предлогом придирки[,] напр[имер,] к какому[-]нибудь пограничному инциденту; за этим должно было последовать объявление войны Польшей и лимитрофами. По всем сообщениям, Франция не предполагала принимать прямого участия в интервенции, сохраняя за собой руководящую роль в ее организации как с дипломатической, так и с военной стороны, а также оказывая активную помощь деньгами, вооружением и снаряжением. Англия должна была, кроме помощи деньгами и снаряжением, принять и непосредственное участие в военных операциях своим флотом, действуя как на Черном море, так и в Финском заливе. Операции на Черном море имели целью обеспечить здесь господство интервентов, а также захватить и отрезать Кавказские нефтяные месторождения. По сообщению Торгпрома, из французского посольства, а также и из польских кругов через ЧАРНОВСКОГО, в интервенции должны были принять участие и врангелевские войска, количество коих оценивалось ТРЕТЬЯКОВЫМ (Торгпром) ок[оло] 100 тыс. человек; врангелевские войска должны были пройти через Румынию и присоединиться к южной армии интервентов, чтобы далее совместно с ней двигаться к Москве.</w:t>
      </w:r>
    </w:p>
    <w:p w14:paraId="0199085C" w14:textId="77777777" w:rsidR="00C07118" w:rsidRPr="00507A31" w:rsidRDefault="00C07118" w:rsidP="00507A31">
      <w:pPr>
        <w:jc w:val="both"/>
        <w:rPr>
          <w:color w:val="000000" w:themeColor="text1"/>
          <w:sz w:val="16"/>
          <w:szCs w:val="16"/>
        </w:rPr>
      </w:pPr>
      <w:r w:rsidRPr="00507A31">
        <w:rPr>
          <w:color w:val="000000" w:themeColor="text1"/>
          <w:sz w:val="16"/>
          <w:szCs w:val="16"/>
        </w:rPr>
        <w:t>Кроме того, по сообщению АНРИО, в середине 1929 г., предполагали использовать и Красновских казаков в количестве ок[оло] 20.000 человек, которые должны были пройти также через Румынию к берегу и высадиться далее десантом на Черноморском побережьи, где[-]нибудь в районе Новороссийска. Основной целью высадки этого казачьего десанта являлось поднятие восстания на Дону, куда должны были пройти красновские казаки и поддержать это восстание, как путем агитации, так и в качестве прямой военной силы. Десант должен был производиться под прикрытием английского флота на Черном море. Восстание на Дону рассматривали, как часть восстания на Украине, на которое возлагались большие надежды; а именно — восстание на Украине не только должно было отвлечь часть Красной армии, но и вызвать перерыв сообщения между Донбассом и Москвой, создавая резкие кризисы в области топлива, металла, бензола и т. п.</w:t>
      </w:r>
    </w:p>
    <w:p w14:paraId="66E25F6D" w14:textId="77777777" w:rsidR="00C07118" w:rsidRPr="00507A31" w:rsidRDefault="00C07118" w:rsidP="00507A31">
      <w:pPr>
        <w:jc w:val="both"/>
        <w:rPr>
          <w:color w:val="000000" w:themeColor="text1"/>
          <w:sz w:val="16"/>
          <w:szCs w:val="16"/>
        </w:rPr>
      </w:pPr>
      <w:r w:rsidRPr="00507A31">
        <w:rPr>
          <w:color w:val="000000" w:themeColor="text1"/>
          <w:sz w:val="16"/>
          <w:szCs w:val="16"/>
        </w:rPr>
        <w:t>По сообщениям Торгпрома, Симона, Ларичева, Калинникова, Осадчего, Савелова и из французского посольства, общий план сводился к двойному, комбинированному удару: главный — на Москву и вспомогательный — на Ленинград. При этом южная армия должна была захватить правобережную Украину, двигаться к Москве, опираясь на правый берег Днепра, а северная группа действовать против Ленинграда с суши и с моря. Изнутри операции интервентов должны были быть поддержаны кроме массовых восстаний, на которые строились больше расчеты, и общего экономического кризиса, также и прямой помощью Промпартии путем диверсий на электростанциях, на военных заводах[,] на железных дорогах и т. д.</w:t>
      </w:r>
    </w:p>
    <w:p w14:paraId="1573C6AC" w14:textId="77777777" w:rsidR="00C07118" w:rsidRPr="00507A31" w:rsidRDefault="00C07118" w:rsidP="00507A31">
      <w:pPr>
        <w:jc w:val="both"/>
        <w:rPr>
          <w:color w:val="000000" w:themeColor="text1"/>
          <w:sz w:val="16"/>
          <w:szCs w:val="16"/>
        </w:rPr>
      </w:pPr>
      <w:r w:rsidRPr="00507A31">
        <w:rPr>
          <w:color w:val="000000" w:themeColor="text1"/>
          <w:sz w:val="16"/>
          <w:szCs w:val="16"/>
        </w:rPr>
        <w:t>Внутренняя подготовка интервенции со стороны Промпартии выражалась прежде всего в таком планировании и направлении народного хозяйства, чтобы обострить в 1930 г. до предела естественные экономические затруднения, связанные с ростом и индустриализацией страны, и привести последнюю к тяжелым экономическим кризисам и в конечном итоге к параличу хозяйственной жизни. С этой целью Промпартия, начиная с 1927 года[,] 1) всемерно задерживала развитие промышленности Союза, и особенно ведущих отраслей тяжелой индустрии — топлива и металла, а также развитие электрофикации и транспорта, проводя минималистские темпы; 2) стремилась к вложению минимума средств, и особенно валюты, в малоэффективное капитальное строительство, т. е. в такие строительные объекты, которые не могли еще дать реального хозяйственного эффекта в 1930 году; 3) всемерно растягивала сроки строительства и удорожала последнее; 4) стремилась вызвать и усилить диспропорцию между отдельными отраслями народного хозяйства, а также между отдельными участками одной и той же отрасли. В результате в 1930 году Промпартия рас [с] читывала осуществить к моменту интервенции кризисы на важнейших участках хозяйственного фронта, которые должны были после перерыва сообщения с Донбассом превратиться уже в катастрофу.</w:t>
      </w:r>
    </w:p>
    <w:p w14:paraId="15996CE9" w14:textId="77777777" w:rsidR="00C07118" w:rsidRPr="00507A31" w:rsidRDefault="00C07118" w:rsidP="00507A31">
      <w:pPr>
        <w:jc w:val="both"/>
        <w:rPr>
          <w:color w:val="000000" w:themeColor="text1"/>
          <w:sz w:val="16"/>
          <w:szCs w:val="16"/>
        </w:rPr>
      </w:pPr>
      <w:r w:rsidRPr="00507A31">
        <w:rPr>
          <w:color w:val="000000" w:themeColor="text1"/>
          <w:sz w:val="16"/>
          <w:szCs w:val="16"/>
        </w:rPr>
        <w:t>Так в области топливоснабжения должен был возникнуть особенно острый кризис в Центрально-Промышленном районе и в Северо-Западной области, который после перерыва сообщений с Донбассом неизбежно должен был превратиться в топливную катастрофу, вследствие слабого и явно недостаточного развития добычи местных топлив — торфа и подмосковного угля — и неподготовленности потребителей, и в особенности желдорог к их широкому рациональному использовыванию. Такой же острый кризис, переходящий после отрыва Донбасса в катастрофу, должен был возникнуть и в области металла, особенно для военной промышленности, вследствие задержки развития металлопромышленности. Такие же катастрофические последствия должен был создать отрыв Донбасса с его коксобензольной промышленностью и для военно-химической промышленности. В области транспорта развитие последнего настолько было задержано, что отставание транспорта от общего темпа роста народного хозяйства должно было уже резко сказаться в 1930 г., а под влиянием усиленных военных перевозок и кризиса топливоснабжения неизбежно должна была[,] по расчетам Промпартии[,] разразиться и транспортная катастрофа.</w:t>
      </w:r>
    </w:p>
    <w:p w14:paraId="39F3D181" w14:textId="77777777" w:rsidR="00C07118" w:rsidRPr="00507A31" w:rsidRDefault="00C07118" w:rsidP="00507A31">
      <w:pPr>
        <w:jc w:val="both"/>
        <w:rPr>
          <w:color w:val="000000" w:themeColor="text1"/>
          <w:sz w:val="16"/>
          <w:szCs w:val="16"/>
        </w:rPr>
      </w:pPr>
      <w:r w:rsidRPr="00507A31">
        <w:rPr>
          <w:color w:val="000000" w:themeColor="text1"/>
          <w:sz w:val="16"/>
          <w:szCs w:val="16"/>
        </w:rPr>
        <w:t>Таким образом в создании экономической катастрофы весьма большое значение придавалось разрыву связи между Донбассом и центром.</w:t>
      </w:r>
    </w:p>
    <w:p w14:paraId="59B917CE" w14:textId="77777777" w:rsidR="00C07118" w:rsidRPr="00507A31" w:rsidRDefault="00C07118" w:rsidP="00507A31">
      <w:pPr>
        <w:jc w:val="both"/>
        <w:rPr>
          <w:color w:val="000000" w:themeColor="text1"/>
          <w:sz w:val="16"/>
          <w:szCs w:val="16"/>
        </w:rPr>
      </w:pPr>
      <w:r w:rsidRPr="00507A31">
        <w:rPr>
          <w:color w:val="000000" w:themeColor="text1"/>
          <w:sz w:val="16"/>
          <w:szCs w:val="16"/>
        </w:rPr>
        <w:t>Наступление и осуществление катастроф в разных отраслях народного хозяйства и в частности в военной промышленности Промпартия намеревалась ускорить и углубить посредством специальных диверсионных мероприятий. Для этого в середине 1929 г. Промпартия приступила к созданию диверсионной организации, в задачи которой входило осуществление диверсий в момент интервенции на электростанциях, военных завод[ах,] железных дорогах и т. п.</w:t>
      </w:r>
    </w:p>
    <w:p w14:paraId="2CD320CA" w14:textId="77777777" w:rsidR="00C07118" w:rsidRPr="00507A31" w:rsidRDefault="00C07118" w:rsidP="00507A31">
      <w:pPr>
        <w:jc w:val="both"/>
        <w:rPr>
          <w:color w:val="000000" w:themeColor="text1"/>
          <w:sz w:val="16"/>
          <w:szCs w:val="16"/>
        </w:rPr>
      </w:pPr>
      <w:r w:rsidRPr="00507A31">
        <w:rPr>
          <w:color w:val="000000" w:themeColor="text1"/>
          <w:sz w:val="16"/>
          <w:szCs w:val="16"/>
        </w:rPr>
        <w:t>Создание экономических кризисов в 1930 году[,] по расчетам Промпартии[,] должно было, вследствие ухудшения бытовых условий, привести к росту недовольства широких масс населения, которое должно было резко возрасти, благодаря трудностям при проведении коллективизации сельского хозяйства и продовольственным затруднениям. Чтобы усилить рост этого недовольства, Промпартия вступила в контакт с ТКП, причем в задачи последней входило достижение максимального обострения продовольственного кризиса и агитация в крестьянских и рабочих массах, а также в Красной армии с целью вызвать ко времени интервенции крестьянские восстания, мятежи в армейских частях и рабочие забастовки.</w:t>
      </w:r>
    </w:p>
    <w:p w14:paraId="3A9DAEE3" w14:textId="77777777" w:rsidR="00C07118" w:rsidRPr="00507A31" w:rsidRDefault="00C07118" w:rsidP="00507A31">
      <w:pPr>
        <w:jc w:val="both"/>
        <w:rPr>
          <w:color w:val="000000" w:themeColor="text1"/>
          <w:sz w:val="16"/>
          <w:szCs w:val="16"/>
        </w:rPr>
      </w:pPr>
      <w:r w:rsidRPr="00507A31">
        <w:rPr>
          <w:color w:val="000000" w:themeColor="text1"/>
          <w:sz w:val="16"/>
          <w:szCs w:val="16"/>
        </w:rPr>
        <w:t>Наконец, для военной помощи интервентам Промпартия приступила в середине 1929 года к созданию организации.</w:t>
      </w:r>
    </w:p>
    <w:p w14:paraId="4E4B1B92" w14:textId="77777777" w:rsidR="00C07118" w:rsidRPr="00507A31" w:rsidRDefault="00C07118" w:rsidP="00507A31">
      <w:pPr>
        <w:jc w:val="both"/>
        <w:rPr>
          <w:color w:val="000000" w:themeColor="text1"/>
          <w:sz w:val="16"/>
          <w:szCs w:val="16"/>
        </w:rPr>
      </w:pPr>
      <w:r w:rsidRPr="00507A31">
        <w:rPr>
          <w:color w:val="000000" w:themeColor="text1"/>
          <w:sz w:val="16"/>
          <w:szCs w:val="16"/>
        </w:rPr>
        <w:t>Таким образом, внутренняя подготовка интервенции со стороны Промпартии должна была настолько ослабить хозяйственную жизнь и обороноспособность СССР, чтобы максимально облегчить успех интервентам.</w:t>
      </w:r>
    </w:p>
    <w:p w14:paraId="326D9977" w14:textId="77777777" w:rsidR="00C07118" w:rsidRPr="00507A31" w:rsidRDefault="00C07118" w:rsidP="00507A31">
      <w:pPr>
        <w:jc w:val="both"/>
        <w:rPr>
          <w:color w:val="000000" w:themeColor="text1"/>
          <w:sz w:val="16"/>
          <w:szCs w:val="16"/>
        </w:rPr>
      </w:pPr>
      <w:r w:rsidRPr="00507A31">
        <w:rPr>
          <w:color w:val="000000" w:themeColor="text1"/>
          <w:sz w:val="16"/>
          <w:szCs w:val="16"/>
        </w:rPr>
        <w:t>б) План интервенции 1931 года.</w:t>
      </w:r>
    </w:p>
    <w:p w14:paraId="31A53383" w14:textId="77777777" w:rsidR="00C07118" w:rsidRPr="00507A31" w:rsidRDefault="00C07118" w:rsidP="00507A31">
      <w:pPr>
        <w:jc w:val="both"/>
        <w:rPr>
          <w:color w:val="000000" w:themeColor="text1"/>
          <w:sz w:val="16"/>
          <w:szCs w:val="16"/>
        </w:rPr>
      </w:pPr>
      <w:r w:rsidRPr="00507A31">
        <w:rPr>
          <w:color w:val="000000" w:themeColor="text1"/>
          <w:sz w:val="16"/>
          <w:szCs w:val="16"/>
        </w:rPr>
        <w:t>В связи с изменением общей обстановки план интервенции 1931 года уже намечал некоторые отличия от первоначального плана. Необходимо, однако, отметить, что сведений о плане интервенции 1931 года имелось гораздо меньше, чем о старом плане, информации о коем имелись в течении 2 лет, в то время, как сообщения о новом плане поступили лишь за короткое время, когда и самый план еще не успел окончательно выявиться.</w:t>
      </w:r>
    </w:p>
    <w:p w14:paraId="29B5F4CB" w14:textId="77777777" w:rsidR="00C07118" w:rsidRPr="00507A31" w:rsidRDefault="00C07118" w:rsidP="00507A31">
      <w:pPr>
        <w:jc w:val="both"/>
        <w:rPr>
          <w:color w:val="000000" w:themeColor="text1"/>
          <w:sz w:val="16"/>
          <w:szCs w:val="16"/>
        </w:rPr>
      </w:pPr>
      <w:r w:rsidRPr="00507A31">
        <w:rPr>
          <w:color w:val="000000" w:themeColor="text1"/>
          <w:sz w:val="16"/>
          <w:szCs w:val="16"/>
        </w:rPr>
        <w:t>Основной чертой нового плана является то обстоятельство, что он уже не делает ставки на крупные внутренние восстания и волнения, ибо улучшение общей экономической и политической обстановки СССР в 1931 г. и разгром на Украине контр-революционной организации СВУ по сообщению ЧАРНОВСКОГО и ЦЕНКЕРА не позволяют уже рассчитывать на внутреннюю помощь посредством восстаний и бунтов. Поэтому со стороны Торгпрома и французского штаба с конца 1929 г. значительно усилились требования к Промпартии увеличить внутреннюю помощь интервентам путем диверсий, а также через посредство военной организации Промпартии.</w:t>
      </w:r>
    </w:p>
    <w:p w14:paraId="447CDF2C" w14:textId="77777777" w:rsidR="00C07118" w:rsidRPr="00507A31" w:rsidRDefault="00C07118" w:rsidP="00507A31">
      <w:pPr>
        <w:jc w:val="both"/>
        <w:rPr>
          <w:color w:val="000000" w:themeColor="text1"/>
          <w:sz w:val="16"/>
          <w:szCs w:val="16"/>
        </w:rPr>
      </w:pPr>
      <w:r w:rsidRPr="00507A31">
        <w:rPr>
          <w:color w:val="000000" w:themeColor="text1"/>
          <w:sz w:val="16"/>
          <w:szCs w:val="16"/>
        </w:rPr>
        <w:t>Такую просьбу передал мне Анрио в конце 1929 г., затем аналогичная просьба поступила от ген. Лукомского через Савелова и от французского и английского штабов через Ларичева и Калинникова в конце 1929 —  в начале 1930 года.</w:t>
      </w:r>
    </w:p>
    <w:p w14:paraId="058A6325" w14:textId="77777777" w:rsidR="00C07118" w:rsidRPr="00507A31" w:rsidRDefault="00C07118" w:rsidP="00507A31">
      <w:pPr>
        <w:jc w:val="both"/>
        <w:rPr>
          <w:color w:val="000000" w:themeColor="text1"/>
          <w:sz w:val="16"/>
          <w:szCs w:val="16"/>
        </w:rPr>
      </w:pPr>
      <w:r w:rsidRPr="00507A31">
        <w:rPr>
          <w:color w:val="000000" w:themeColor="text1"/>
          <w:sz w:val="16"/>
          <w:szCs w:val="16"/>
        </w:rPr>
        <w:t>Далее, по сообщению Анрио в конце 1929 года, а также по сообщениям Калинникова и Осадчего, для компенсации улучшившегося экономического положения СССР в план интервенции 1931 года включается предварительная экономическая блокада СССР, которая должна экономически ослабить последний перед интервенцией.</w:t>
      </w:r>
    </w:p>
    <w:p w14:paraId="290A32D9" w14:textId="77777777" w:rsidR="00C07118" w:rsidRPr="00507A31" w:rsidRDefault="00C07118" w:rsidP="00507A31">
      <w:pPr>
        <w:jc w:val="both"/>
        <w:rPr>
          <w:color w:val="000000" w:themeColor="text1"/>
          <w:sz w:val="16"/>
          <w:szCs w:val="16"/>
        </w:rPr>
      </w:pPr>
      <w:r w:rsidRPr="00507A31">
        <w:rPr>
          <w:color w:val="000000" w:themeColor="text1"/>
          <w:sz w:val="16"/>
          <w:szCs w:val="16"/>
        </w:rPr>
        <w:t>По сообщению Анрио в конце 1929 года и Торгпрома в начале 1930 года в новом плане значительно усиливается роль Англии и «Северного кулака», действующего против Ленинграда, за счет активного участия Финляндии, причем против Ленинграда предполагают одновременно действовать с моря, с суши и с воздуха; Франция предполагает оказать здесь активную помощь своим воздушным флотом.</w:t>
      </w:r>
    </w:p>
    <w:p w14:paraId="074D6F59" w14:textId="77777777" w:rsidR="00C07118" w:rsidRPr="00507A31" w:rsidRDefault="00C07118" w:rsidP="00507A31">
      <w:pPr>
        <w:jc w:val="both"/>
        <w:rPr>
          <w:color w:val="000000" w:themeColor="text1"/>
          <w:sz w:val="16"/>
          <w:szCs w:val="16"/>
        </w:rPr>
      </w:pPr>
      <w:r w:rsidRPr="00507A31">
        <w:rPr>
          <w:color w:val="000000" w:themeColor="text1"/>
          <w:sz w:val="16"/>
          <w:szCs w:val="16"/>
        </w:rPr>
        <w:t>Невыясненными остались в новом плане: 1) роль Германии и 2) морские операции на Черном море.</w:t>
      </w:r>
    </w:p>
    <w:p w14:paraId="40B56BDE" w14:textId="77777777" w:rsidR="00C07118" w:rsidRPr="00507A31" w:rsidRDefault="00C07118" w:rsidP="00507A31">
      <w:pPr>
        <w:jc w:val="both"/>
        <w:rPr>
          <w:color w:val="000000" w:themeColor="text1"/>
          <w:sz w:val="16"/>
          <w:szCs w:val="16"/>
        </w:rPr>
      </w:pPr>
      <w:r w:rsidRPr="00507A31">
        <w:rPr>
          <w:color w:val="000000" w:themeColor="text1"/>
          <w:sz w:val="16"/>
          <w:szCs w:val="16"/>
        </w:rPr>
        <w:lastRenderedPageBreak/>
        <w:t>Как я уже показывал выше, инж. А. А. ЦЕНКЕР в Берлине (июнь 1930 г.) считал весьма вероятным военное участие Германии в интервенции, хотя бы путем мобилизации корпуса из среды [«]Стального шлема[»]; наоборот, проф. ЯСИНСКИЙ и проф. СУШКИН считали выступление Германии сомнительным, как вследствие внутреннего ее политического положения, так и боязни Польши пропустить германские войска через Восточную Пруссию.</w:t>
      </w:r>
    </w:p>
    <w:p w14:paraId="0AF808E1" w14:textId="77777777" w:rsidR="00C07118" w:rsidRPr="00507A31" w:rsidRDefault="00C07118" w:rsidP="00507A31">
      <w:pPr>
        <w:jc w:val="both"/>
        <w:rPr>
          <w:color w:val="000000" w:themeColor="text1"/>
          <w:sz w:val="16"/>
          <w:szCs w:val="16"/>
        </w:rPr>
      </w:pPr>
      <w:r w:rsidRPr="00507A31">
        <w:rPr>
          <w:color w:val="000000" w:themeColor="text1"/>
          <w:sz w:val="16"/>
          <w:szCs w:val="16"/>
        </w:rPr>
        <w:t>Никаких твердых сообщений о морских операциях на Черном море за последнее время я не помню, если не считать сообщения Торгпрома, что кроме усиления Северного кулака и направления главного удара на Ленинград план интервенции остается прежним.</w:t>
      </w:r>
    </w:p>
    <w:p w14:paraId="6879626C" w14:textId="77777777" w:rsidR="00C07118" w:rsidRPr="00507A31" w:rsidRDefault="00C07118" w:rsidP="00507A31">
      <w:pPr>
        <w:jc w:val="both"/>
        <w:rPr>
          <w:color w:val="000000" w:themeColor="text1"/>
          <w:sz w:val="16"/>
          <w:szCs w:val="16"/>
        </w:rPr>
      </w:pPr>
      <w:r w:rsidRPr="00507A31">
        <w:rPr>
          <w:color w:val="000000" w:themeColor="text1"/>
          <w:sz w:val="16"/>
          <w:szCs w:val="16"/>
        </w:rPr>
        <w:t>Таким образом, план интервенции 1931 г. поскольку он выяснился к лету 1930 г. рисуется в следующем виде.</w:t>
      </w:r>
    </w:p>
    <w:p w14:paraId="13C1BC67" w14:textId="77777777" w:rsidR="00C07118" w:rsidRPr="00507A31" w:rsidRDefault="00C07118" w:rsidP="00507A31">
      <w:pPr>
        <w:jc w:val="both"/>
        <w:rPr>
          <w:color w:val="000000" w:themeColor="text1"/>
          <w:sz w:val="16"/>
          <w:szCs w:val="16"/>
        </w:rPr>
      </w:pPr>
      <w:r w:rsidRPr="00507A31">
        <w:rPr>
          <w:color w:val="000000" w:themeColor="text1"/>
          <w:sz w:val="16"/>
          <w:szCs w:val="16"/>
        </w:rPr>
        <w:t>Основной удар с суши, моря и воздуха направляется на Ленинград. Южная группа польских, румынских и врангелевских войск, захватив правобережную Украину, двигается затем к Москве по кратчайшему возможному направлению. Одновременно, по[-]видимому, намечаются и морские операции на Черном море с целью отрезать кавказскую нефть.</w:t>
      </w:r>
    </w:p>
    <w:p w14:paraId="0A6575DE" w14:textId="77777777" w:rsidR="00C07118" w:rsidRPr="00507A31" w:rsidRDefault="00C07118" w:rsidP="00507A31">
      <w:pPr>
        <w:jc w:val="both"/>
        <w:rPr>
          <w:color w:val="000000" w:themeColor="text1"/>
          <w:sz w:val="16"/>
          <w:szCs w:val="16"/>
        </w:rPr>
      </w:pPr>
      <w:r w:rsidRPr="00507A31">
        <w:rPr>
          <w:color w:val="000000" w:themeColor="text1"/>
          <w:sz w:val="16"/>
          <w:szCs w:val="16"/>
        </w:rPr>
        <w:t>Неясным остается участие Германии, Югославии и Болгарии.</w:t>
      </w:r>
    </w:p>
    <w:p w14:paraId="71676CD5" w14:textId="77777777" w:rsidR="00C07118" w:rsidRPr="00507A31" w:rsidRDefault="00C07118" w:rsidP="00507A31">
      <w:pPr>
        <w:jc w:val="both"/>
        <w:rPr>
          <w:color w:val="000000" w:themeColor="text1"/>
          <w:sz w:val="16"/>
          <w:szCs w:val="16"/>
        </w:rPr>
      </w:pPr>
      <w:r w:rsidRPr="00507A31">
        <w:rPr>
          <w:color w:val="000000" w:themeColor="text1"/>
          <w:sz w:val="16"/>
          <w:szCs w:val="16"/>
        </w:rPr>
        <w:t>Военные операции интервентов должны были быть активно поддержаны изнутри Промпартией путем диверсий, а также при помощи своей военной организации.</w:t>
      </w:r>
    </w:p>
    <w:p w14:paraId="27C72782" w14:textId="77777777" w:rsidR="00C07118" w:rsidRPr="00507A31" w:rsidRDefault="00C07118" w:rsidP="00507A31">
      <w:pPr>
        <w:jc w:val="both"/>
        <w:rPr>
          <w:color w:val="000000" w:themeColor="text1"/>
          <w:sz w:val="16"/>
          <w:szCs w:val="16"/>
        </w:rPr>
      </w:pPr>
      <w:r w:rsidRPr="00507A31">
        <w:rPr>
          <w:color w:val="000000" w:themeColor="text1"/>
          <w:sz w:val="16"/>
          <w:szCs w:val="16"/>
        </w:rPr>
        <w:t>Поскольку и в этом плане отводится видная роль морским операциям, наиболее вероятным сроком интервенции является весна-лето 1931 г.</w:t>
      </w:r>
    </w:p>
    <w:p w14:paraId="1E437115" w14:textId="77777777" w:rsidR="00C07118" w:rsidRPr="00507A31" w:rsidRDefault="00C07118" w:rsidP="00507A31">
      <w:pPr>
        <w:jc w:val="both"/>
        <w:rPr>
          <w:color w:val="000000" w:themeColor="text1"/>
          <w:sz w:val="16"/>
          <w:szCs w:val="16"/>
        </w:rPr>
      </w:pPr>
      <w:r w:rsidRPr="00507A31">
        <w:rPr>
          <w:color w:val="000000" w:themeColor="text1"/>
          <w:sz w:val="16"/>
          <w:szCs w:val="16"/>
        </w:rPr>
        <w:t>Если профессору ОСАДЧЕМУ удалось выполнить мое поручение и увидеться в Берлине с ДЕНИСОВЫМ и членами французского штаба, то профессор ОСАДЧИЙ сможет дать более подробную и свежую информацию о планах интервенции 1931 года.</w:t>
      </w:r>
    </w:p>
    <w:p w14:paraId="1C55F7B7" w14:textId="77777777" w:rsidR="00C07118" w:rsidRPr="00507A31" w:rsidRDefault="00C07118" w:rsidP="00507A31">
      <w:pPr>
        <w:jc w:val="both"/>
        <w:rPr>
          <w:color w:val="000000" w:themeColor="text1"/>
          <w:sz w:val="16"/>
          <w:szCs w:val="16"/>
        </w:rPr>
      </w:pPr>
      <w:r w:rsidRPr="00507A31">
        <w:rPr>
          <w:color w:val="000000" w:themeColor="text1"/>
          <w:sz w:val="16"/>
          <w:szCs w:val="16"/>
        </w:rPr>
        <w:t>6) Заграничные задания по подготовке интервенции.</w:t>
      </w:r>
    </w:p>
    <w:p w14:paraId="290CED17" w14:textId="77777777" w:rsidR="00C07118" w:rsidRPr="00507A31" w:rsidRDefault="00C07118" w:rsidP="00507A31">
      <w:pPr>
        <w:jc w:val="both"/>
        <w:rPr>
          <w:color w:val="000000" w:themeColor="text1"/>
          <w:sz w:val="16"/>
          <w:szCs w:val="16"/>
        </w:rPr>
      </w:pPr>
      <w:r w:rsidRPr="00507A31">
        <w:rPr>
          <w:color w:val="000000" w:themeColor="text1"/>
          <w:sz w:val="16"/>
          <w:szCs w:val="16"/>
        </w:rPr>
        <w:t>До второй половины 1928 года заграничные сношения носили случайный характер и на[х]одились под руководством ПАЛЬЧИНСКОГО</w:t>
      </w:r>
    </w:p>
    <w:p w14:paraId="6FF05B60" w14:textId="77777777" w:rsidR="00C07118" w:rsidRPr="00507A31" w:rsidRDefault="00C07118" w:rsidP="00507A31">
      <w:pPr>
        <w:jc w:val="both"/>
        <w:rPr>
          <w:color w:val="000000" w:themeColor="text1"/>
          <w:sz w:val="16"/>
          <w:szCs w:val="16"/>
        </w:rPr>
      </w:pPr>
      <w:r w:rsidRPr="00507A31">
        <w:rPr>
          <w:color w:val="000000" w:themeColor="text1"/>
          <w:sz w:val="16"/>
          <w:szCs w:val="16"/>
        </w:rPr>
        <w:t>и ХРЕННИКОВА. Поэтому за первый период работы Инженерного центра мне известны лишь отдельные случаи получения таких заданий. Более регулярные задания и поручения по подготовке интервенции стали поступать примерно с конца 1928 года.</w:t>
      </w:r>
    </w:p>
    <w:p w14:paraId="72EE71C6" w14:textId="77777777" w:rsidR="00C07118" w:rsidRPr="00507A31" w:rsidRDefault="00C07118" w:rsidP="00507A31">
      <w:pPr>
        <w:jc w:val="both"/>
        <w:rPr>
          <w:color w:val="000000" w:themeColor="text1"/>
          <w:sz w:val="16"/>
          <w:szCs w:val="16"/>
        </w:rPr>
      </w:pPr>
      <w:r w:rsidRPr="00507A31">
        <w:rPr>
          <w:color w:val="000000" w:themeColor="text1"/>
          <w:sz w:val="16"/>
          <w:szCs w:val="16"/>
        </w:rPr>
        <w:t>Задания и поручения, полученные из заграницы[,] можно разбить на 3 категории:</w:t>
      </w:r>
    </w:p>
    <w:p w14:paraId="408FBB88" w14:textId="77777777" w:rsidR="00C07118" w:rsidRPr="00507A31" w:rsidRDefault="00C07118" w:rsidP="00507A31">
      <w:pPr>
        <w:jc w:val="both"/>
        <w:rPr>
          <w:color w:val="000000" w:themeColor="text1"/>
          <w:sz w:val="16"/>
          <w:szCs w:val="16"/>
        </w:rPr>
      </w:pPr>
      <w:r w:rsidRPr="00507A31">
        <w:rPr>
          <w:color w:val="000000" w:themeColor="text1"/>
          <w:sz w:val="16"/>
          <w:szCs w:val="16"/>
        </w:rPr>
        <w:t>Информационные задания, преследовавшие цель получения сведений о политическом, экономическом и военном положении СССР.</w:t>
      </w:r>
    </w:p>
    <w:p w14:paraId="651A1AF5" w14:textId="77777777" w:rsidR="00C07118" w:rsidRPr="00507A31" w:rsidRDefault="00C07118" w:rsidP="00507A31">
      <w:pPr>
        <w:jc w:val="both"/>
        <w:rPr>
          <w:color w:val="000000" w:themeColor="text1"/>
          <w:sz w:val="16"/>
          <w:szCs w:val="16"/>
        </w:rPr>
      </w:pPr>
      <w:r w:rsidRPr="00507A31">
        <w:rPr>
          <w:color w:val="000000" w:themeColor="text1"/>
          <w:sz w:val="16"/>
          <w:szCs w:val="16"/>
        </w:rPr>
        <w:t>Организационные задания —  по некоторым организационным вопросам.</w:t>
      </w:r>
    </w:p>
    <w:p w14:paraId="35891EF1" w14:textId="77777777" w:rsidR="00C07118" w:rsidRPr="00507A31" w:rsidRDefault="00C07118" w:rsidP="00507A31">
      <w:pPr>
        <w:jc w:val="both"/>
        <w:rPr>
          <w:color w:val="000000" w:themeColor="text1"/>
          <w:sz w:val="16"/>
          <w:szCs w:val="16"/>
        </w:rPr>
      </w:pPr>
      <w:r w:rsidRPr="00507A31">
        <w:rPr>
          <w:color w:val="000000" w:themeColor="text1"/>
          <w:sz w:val="16"/>
          <w:szCs w:val="16"/>
        </w:rPr>
        <w:t>3[)] Оперативные и плановые задания.</w:t>
      </w:r>
    </w:p>
    <w:p w14:paraId="6874D9A4" w14:textId="77777777" w:rsidR="00C07118" w:rsidRPr="00507A31" w:rsidRDefault="00C07118" w:rsidP="00507A31">
      <w:pPr>
        <w:jc w:val="both"/>
        <w:rPr>
          <w:color w:val="000000" w:themeColor="text1"/>
          <w:sz w:val="16"/>
          <w:szCs w:val="16"/>
        </w:rPr>
      </w:pPr>
      <w:r w:rsidRPr="00507A31">
        <w:rPr>
          <w:color w:val="000000" w:themeColor="text1"/>
          <w:sz w:val="16"/>
          <w:szCs w:val="16"/>
        </w:rPr>
        <w:t>4[)] Диверсионные задания.</w:t>
      </w:r>
    </w:p>
    <w:p w14:paraId="65CE5D77" w14:textId="77777777" w:rsidR="00C07118" w:rsidRPr="00507A31" w:rsidRDefault="00C07118" w:rsidP="00507A31">
      <w:pPr>
        <w:jc w:val="both"/>
        <w:rPr>
          <w:color w:val="000000" w:themeColor="text1"/>
          <w:sz w:val="16"/>
          <w:szCs w:val="16"/>
        </w:rPr>
      </w:pPr>
      <w:r w:rsidRPr="00507A31">
        <w:rPr>
          <w:color w:val="000000" w:themeColor="text1"/>
          <w:sz w:val="16"/>
          <w:szCs w:val="16"/>
        </w:rPr>
        <w:t>а) Информационные задания.</w:t>
      </w:r>
    </w:p>
    <w:p w14:paraId="38E485DB" w14:textId="77777777" w:rsidR="00C07118" w:rsidRPr="00507A31" w:rsidRDefault="00C07118" w:rsidP="00507A31">
      <w:pPr>
        <w:jc w:val="both"/>
        <w:rPr>
          <w:color w:val="000000" w:themeColor="text1"/>
          <w:sz w:val="16"/>
          <w:szCs w:val="16"/>
        </w:rPr>
      </w:pPr>
      <w:r w:rsidRPr="00507A31">
        <w:rPr>
          <w:color w:val="000000" w:themeColor="text1"/>
          <w:sz w:val="16"/>
          <w:szCs w:val="16"/>
        </w:rPr>
        <w:t>По заданию Торгпрома, полученному в Париже в октябре 1928 г., с конца 1928 г. ЦК Промпартии направлял Торгпрому, примерно через каждые 3 месяца, т. е. квартальные экономические сводки об экономическом положении СССР. Эти сводки составлялись под руководством профессора П. С. ОСАДЧЕГО, ЛАРИЧЕВА и КАЛИННИКОВА, главным образом специалистами Госплана. Сводки содержали конъюнктурные обзоры народного хозяйства СССР с главнейшими показателями по отдельным отраслям, топливо, металл, текстиль, химия, пищевая и лесная промышленность, стройматериалы, электрофикация, общий обзор промышленности, транспорт, сельское хозяйство и т. п., давая добычу и производство, чисто рабочие цены, индексы и т. д. Экономические сводки состояли главным образом из отдельных цифровых таблиц с кратким пояснительным текстом, выводами и перспективами. Помимо этих сводок посылались и печатные издания по статистике и конъюнктуре народного хозяйства СССР. Общее редактирование экономических сводок делалось обычно проф. П. С. ОСАДЧИМ, а отправки их в Торгпром —   В. А. ЛАРИЧЕВЫМ через КЮФЕРА.</w:t>
      </w:r>
    </w:p>
    <w:p w14:paraId="31F0046B" w14:textId="77777777" w:rsidR="00C07118" w:rsidRPr="00507A31" w:rsidRDefault="00C07118" w:rsidP="00507A31">
      <w:pPr>
        <w:jc w:val="both"/>
        <w:rPr>
          <w:color w:val="000000" w:themeColor="text1"/>
          <w:sz w:val="16"/>
          <w:szCs w:val="16"/>
        </w:rPr>
      </w:pPr>
      <w:r w:rsidRPr="00507A31">
        <w:rPr>
          <w:color w:val="000000" w:themeColor="text1"/>
          <w:sz w:val="16"/>
          <w:szCs w:val="16"/>
        </w:rPr>
        <w:t>Помимо периодических экономических сводок ЦК Промпартии по просьбе КЮФЕРА давал Торгпрому записки по отдельным отраслям народного хозяйства. Перечень этих записок, порядок их составления и содержание известных мне записок приведены в моем показании от 15-го &lt;и&gt; [2]7-го октября с. г. о «Разведывательной деятельности Промпартии».</w:t>
      </w:r>
    </w:p>
    <w:p w14:paraId="5FE638E3" w14:textId="77777777" w:rsidR="00C07118" w:rsidRPr="00507A31" w:rsidRDefault="00C07118" w:rsidP="00507A31">
      <w:pPr>
        <w:jc w:val="both"/>
        <w:rPr>
          <w:color w:val="000000" w:themeColor="text1"/>
          <w:sz w:val="16"/>
          <w:szCs w:val="16"/>
        </w:rPr>
      </w:pPr>
      <w:r w:rsidRPr="00507A31">
        <w:rPr>
          <w:color w:val="000000" w:themeColor="text1"/>
          <w:sz w:val="16"/>
          <w:szCs w:val="16"/>
        </w:rPr>
        <w:t>Весною 1929 года г. Анрио обратился ко мне с просьбой дать записку хотя бы о техническом состоянии авиации в СССР. По моей просьбе проф. Б. С. СТЕЧКИН составил такую записку, которую я передал затем в конце 1929 г. г. Анрио. Записка эта давала в сжатой форме обзор типов аэропланов, применяющихся в СССР, со сведениями об их подъемной силе, скорости, высоте полета, мощности моторов и т. п.; были отмечены успехи метал[л]ического самолетостроения и некоторые специальные вопросы из области теории и техники авиации, как[,] например[,] достижения ЦАГИ.</w:t>
      </w:r>
    </w:p>
    <w:p w14:paraId="1E214943" w14:textId="77777777" w:rsidR="00C07118" w:rsidRPr="00507A31" w:rsidRDefault="00C07118" w:rsidP="00507A31">
      <w:pPr>
        <w:jc w:val="both"/>
        <w:rPr>
          <w:color w:val="000000" w:themeColor="text1"/>
          <w:sz w:val="16"/>
          <w:szCs w:val="16"/>
        </w:rPr>
      </w:pPr>
      <w:r w:rsidRPr="00507A31">
        <w:rPr>
          <w:color w:val="000000" w:themeColor="text1"/>
          <w:sz w:val="16"/>
          <w:szCs w:val="16"/>
        </w:rPr>
        <w:t>В середине 1928 г. при свидании моем и КАЛИННИКОВА у меня на квартире с КЮФЕРОМ последний обратился с просьбой давать ему сведения о состоянии, положении и перспективах военной промышленности СССР. Во исполнение данного нами обещания, согласно постановлению ЦК Промпартии и по моему личному [у]казанию, подготовка и составление таких сведений производились под руководством КАЛИННИКОВА и ЧАРНОВСКОГО; по сообщениям последних эти сведения 3-4 раза передавались КАЛИННИКОВЫМ КЮФЕРУ. Подробности относительно содержания таких сведений могут дать КАЛИННИКОВ и ЧАРНОВСКИЙ. К указанным общим сведениям по военной промышленности ЕВРЕИНОВ Е. Ф., по моему поручению[,] давал КАЛИННИКОВУ специальные справки об энергетическом оборудовании некоторых военных заводов. Насколько мне известно из сообщений ПАЛЬЧИНСКОГО, ранее сведения о военпроме давались французскому генеральному штабу ген. МИХАЙЛОВЫМ.</w:t>
      </w:r>
    </w:p>
    <w:p w14:paraId="7E045F49" w14:textId="77777777" w:rsidR="00C07118" w:rsidRPr="00507A31" w:rsidRDefault="00C07118" w:rsidP="00507A31">
      <w:pPr>
        <w:jc w:val="both"/>
        <w:rPr>
          <w:color w:val="000000" w:themeColor="text1"/>
          <w:sz w:val="16"/>
          <w:szCs w:val="16"/>
        </w:rPr>
      </w:pPr>
      <w:r w:rsidRPr="00507A31">
        <w:rPr>
          <w:color w:val="000000" w:themeColor="text1"/>
          <w:sz w:val="16"/>
          <w:szCs w:val="16"/>
        </w:rPr>
        <w:t>В конце 1929 г. при моем свидании с АНРИО последний просил разработать вопрос о создании аэр[о]баз в районе Ленинграда. Выполнение этого поручения было передано мною проф. Б. С. СТЕЧКИНУ, который проработал вопрос совместно с ген. НОВИЦКИМ и последний передал затем материалы КАЛИННИКОВУ для пересылки во французский штаб.</w:t>
      </w:r>
    </w:p>
    <w:p w14:paraId="08C86C75" w14:textId="77777777" w:rsidR="00C07118" w:rsidRPr="00507A31" w:rsidRDefault="00C07118" w:rsidP="00507A31">
      <w:pPr>
        <w:jc w:val="both"/>
        <w:rPr>
          <w:color w:val="000000" w:themeColor="text1"/>
          <w:sz w:val="16"/>
          <w:szCs w:val="16"/>
        </w:rPr>
      </w:pPr>
      <w:r w:rsidRPr="00507A31">
        <w:rPr>
          <w:color w:val="000000" w:themeColor="text1"/>
          <w:sz w:val="16"/>
          <w:szCs w:val="16"/>
        </w:rPr>
        <w:t>От французского генштаба через КЮФЕРА к КАЛИННИКОВУ и ЛАРИЧЕВУ, а через Анрио ко мне неоднократно поступали просьбы организовать получение и доставку им материалов чисто военного характера. С такой же просьбой обращались ко мне в Париже ген. ЛУКОМСКИЙ и полковник Жуанвиль, а к ЛАРИЧЕВУ в Лондоне от английского штаба &lt;ген. ПАТРЙК&gt; и полк[овник] Л[О]УРЕНС. В целях возможности получения таких сведений французский штаб &lt;и&gt; Торгпром торопили Промпартию с созданием Военной &lt;организации&gt;. После принятия на себя ген. НОВИЦКИМ руководства Военной группой Военной организации «Промпартии», я, согласно постановления ЦК «Промпартии» просил И. А. КАЛИННИКОВА передать эти просьбы генералу НОВИЦКОМУ для выполнения путем пересылки подобных сведений прямо ген. ЛУКОМСКОМУ, когда НОВИЦКИМ будут установлены необходимые военные связи и налажено получение соответствующих сведений; извещений о выполнении этого задания я не имел.</w:t>
      </w:r>
    </w:p>
    <w:p w14:paraId="0BF57E94" w14:textId="77777777" w:rsidR="00C07118" w:rsidRPr="00507A31" w:rsidRDefault="00C07118" w:rsidP="00507A31">
      <w:pPr>
        <w:jc w:val="both"/>
        <w:rPr>
          <w:color w:val="000000" w:themeColor="text1"/>
          <w:sz w:val="16"/>
          <w:szCs w:val="16"/>
        </w:rPr>
      </w:pPr>
      <w:r w:rsidRPr="00507A31">
        <w:rPr>
          <w:color w:val="000000" w:themeColor="text1"/>
          <w:sz w:val="16"/>
          <w:szCs w:val="16"/>
        </w:rPr>
        <w:t>б) ОРГАНИЗАЦИОННЫЕ ЗАДАНИЯ.</w:t>
      </w:r>
    </w:p>
    <w:p w14:paraId="64059E79" w14:textId="77777777" w:rsidR="00C07118" w:rsidRPr="00507A31" w:rsidRDefault="00C07118" w:rsidP="00507A31">
      <w:pPr>
        <w:jc w:val="both"/>
        <w:rPr>
          <w:color w:val="000000" w:themeColor="text1"/>
          <w:sz w:val="16"/>
          <w:szCs w:val="16"/>
        </w:rPr>
      </w:pPr>
      <w:r w:rsidRPr="00507A31">
        <w:rPr>
          <w:color w:val="000000" w:themeColor="text1"/>
          <w:sz w:val="16"/>
          <w:szCs w:val="16"/>
        </w:rPr>
        <w:t>Значительная часть этих заданий касалась установления связей между ЦК «Промпартии» —  с одной стороны и Торгпромом, Французским и английским посольством и штабами —  с другой. Подробности по этому вопросу изложены мною выше.</w:t>
      </w:r>
    </w:p>
    <w:p w14:paraId="469D7654" w14:textId="77777777" w:rsidR="00C07118" w:rsidRPr="00507A31" w:rsidRDefault="00C07118" w:rsidP="00507A31">
      <w:pPr>
        <w:jc w:val="both"/>
        <w:rPr>
          <w:color w:val="000000" w:themeColor="text1"/>
          <w:sz w:val="16"/>
          <w:szCs w:val="16"/>
        </w:rPr>
      </w:pPr>
      <w:r w:rsidRPr="00507A31">
        <w:rPr>
          <w:color w:val="000000" w:themeColor="text1"/>
          <w:sz w:val="16"/>
          <w:szCs w:val="16"/>
        </w:rPr>
        <w:t>Задание по созданию диверсионной организации «Промпартии» было получено от Торгпрома еще в конце 1928 года. Наиболее настойчивые указания на необходимость создания диверсионной организации стали поступать с середины 1929 года, особенно, когда выяснилась невозможность интервенции в 1930 году. А именно, весной 1929 г. АНРИО в беседе со мной и КАЛИННИКОВЫМ настаивал на развертывании диверсионной организации; подобные же просьбы поступали от Торгпрома в конце 1929 года[,] от английского штаба через ЛАРИЧЕВА в начале 1930 г. и от АНРИО в конце 1929 г. Во исполнение этих заданий примерно к середине 1929 года «Промпартия» приступила к созданию диверсионной организации, охватывающей энергетическое хозяйство; создание подобной же организации в промышленности и разработка промышленных планов диверсий было поручено КАЛИННИКОВУ и ЧАРНОВСКОМУ, а в области транспорта —  ЛАРИЧЕВУ и КОГАН- БЕРНШТЕЙНУ. Подробности об организационной стороне дела по диверсионной организации «Промпартии» изложены в [специальном моем показании.</w:t>
      </w:r>
    </w:p>
    <w:p w14:paraId="21D13D59" w14:textId="77777777" w:rsidR="00C07118" w:rsidRPr="00507A31" w:rsidRDefault="00C07118" w:rsidP="00507A31">
      <w:pPr>
        <w:jc w:val="both"/>
        <w:rPr>
          <w:color w:val="000000" w:themeColor="text1"/>
          <w:sz w:val="16"/>
          <w:szCs w:val="16"/>
        </w:rPr>
      </w:pPr>
      <w:r w:rsidRPr="00507A31">
        <w:rPr>
          <w:color w:val="000000" w:themeColor="text1"/>
          <w:sz w:val="16"/>
          <w:szCs w:val="16"/>
        </w:rPr>
        <w:t>Третье крупное организационное задание касалось создания военной организации «Промпартии». Впервые, посколько мне известно, это задание было выдвинуто в конце 1928 года генералом ЛУКОМСКИМ при свидании моем в Париже, а также полк. ЛОУРЕНС —  при свидании с ним моем и ЛАРИЧЕВА в Лондоне в октябре 1928 г. С середины 1929 года, также как и относительно диверсионной организации от «Торгпрома» и французского штаба стали поступать просьбы ускорить создание военной организации. К созданию ее «Промпартия» приступила с весны 1929 года, выделив специальную военную комиссию при ЦК «Промпартии». При этом руководство военной группой военной организации и дальнейшая вербовка ее членов были возложены в начале 1930 года на ген. НОВИЦКОГО. Подробности по этому вопросу имеются в моем специальном показании.</w:t>
      </w:r>
    </w:p>
    <w:p w14:paraId="732B4816" w14:textId="77777777" w:rsidR="00C07118" w:rsidRPr="00507A31" w:rsidRDefault="00C07118" w:rsidP="00507A31">
      <w:pPr>
        <w:jc w:val="both"/>
        <w:rPr>
          <w:color w:val="000000" w:themeColor="text1"/>
          <w:sz w:val="16"/>
          <w:szCs w:val="16"/>
        </w:rPr>
      </w:pPr>
      <w:r w:rsidRPr="00507A31">
        <w:rPr>
          <w:color w:val="000000" w:themeColor="text1"/>
          <w:sz w:val="16"/>
          <w:szCs w:val="16"/>
        </w:rPr>
        <w:t>В середине 1929 г. от Торгпрома получена была директива всемерно усилить связь с «ТКП» и добиться через нее обострения продовольственного кризиса и недовольства широких масс населения.</w:t>
      </w:r>
    </w:p>
    <w:p w14:paraId="5E795C24" w14:textId="77777777" w:rsidR="00C07118" w:rsidRPr="00507A31" w:rsidRDefault="00C07118" w:rsidP="00507A31">
      <w:pPr>
        <w:jc w:val="both"/>
        <w:rPr>
          <w:color w:val="000000" w:themeColor="text1"/>
          <w:sz w:val="16"/>
          <w:szCs w:val="16"/>
        </w:rPr>
      </w:pPr>
      <w:r w:rsidRPr="00507A31">
        <w:rPr>
          <w:color w:val="000000" w:themeColor="text1"/>
          <w:sz w:val="16"/>
          <w:szCs w:val="16"/>
        </w:rPr>
        <w:t>в) ОПЕРАТИВНЫЕ И ПЛАНОВЫЕ ЗАДАНИЯ.</w:t>
      </w:r>
    </w:p>
    <w:p w14:paraId="70D0BD7F" w14:textId="77777777" w:rsidR="00C07118" w:rsidRPr="00507A31" w:rsidRDefault="00C07118" w:rsidP="00507A31">
      <w:pPr>
        <w:jc w:val="both"/>
        <w:rPr>
          <w:color w:val="000000" w:themeColor="text1"/>
          <w:sz w:val="16"/>
          <w:szCs w:val="16"/>
        </w:rPr>
      </w:pPr>
      <w:r w:rsidRPr="00507A31">
        <w:rPr>
          <w:color w:val="000000" w:themeColor="text1"/>
          <w:sz w:val="16"/>
          <w:szCs w:val="16"/>
        </w:rPr>
        <w:t>1) В 1927-1928 г. от английского генштаба проф. И. Н. СТРИЖОВ и ЛАРИЧЕВ, согласно их сообщения в ЦК «Промпартии», получили задания относительно трассировки Грозненского нефтепровода и углубления Туапсинского рейда, с целью возможности его использования в качестве морской базы для военных судов на Черном море. При этом местность вдоль нефтепровода предполагалось использовать для устройства авто-баз. Проработка и выполнение этого задания производились</w:t>
      </w:r>
    </w:p>
    <w:p w14:paraId="1302AAF9" w14:textId="77777777" w:rsidR="00C07118" w:rsidRPr="00507A31" w:rsidRDefault="00C07118" w:rsidP="00507A31">
      <w:pPr>
        <w:jc w:val="both"/>
        <w:rPr>
          <w:color w:val="000000" w:themeColor="text1"/>
          <w:sz w:val="16"/>
          <w:szCs w:val="16"/>
        </w:rPr>
      </w:pPr>
      <w:r w:rsidRPr="00507A31">
        <w:rPr>
          <w:color w:val="000000" w:themeColor="text1"/>
          <w:sz w:val="16"/>
          <w:szCs w:val="16"/>
        </w:rPr>
        <w:t>ЛАРИЧЕВЫМ и СТРИЖОВЫМ, которые и могут сообщить здесь все подробности.</w:t>
      </w:r>
    </w:p>
    <w:p w14:paraId="6865D36B" w14:textId="77777777" w:rsidR="00C07118" w:rsidRPr="00507A31" w:rsidRDefault="00C07118" w:rsidP="00507A31">
      <w:pPr>
        <w:jc w:val="both"/>
        <w:rPr>
          <w:color w:val="000000" w:themeColor="text1"/>
          <w:sz w:val="16"/>
          <w:szCs w:val="16"/>
        </w:rPr>
      </w:pPr>
      <w:r w:rsidRPr="00507A31">
        <w:rPr>
          <w:color w:val="000000" w:themeColor="text1"/>
          <w:sz w:val="16"/>
          <w:szCs w:val="16"/>
        </w:rPr>
        <w:t>ЛАРИЧЕВ сообщал о получении им от КЮФЕРА в середине 1928 г. просьбы об организации бензиновых складов для снабжения бензином авто- и авто-моторов в западной части Союза и в районе Ленинграда. Разработка и проведение в жизнь этого задания были поручены ЛАРИЧЕВУ совместно с работниками Нефтесиндиката. В этом направлении было предпринято усиление сети бензиновых складов в указанных районах; конкретные детали и подробности смогут дать ЛАРИЧЕВ, инж. В. С. ПОЛЯК и др. работники Нефтесиндиката.</w:t>
      </w:r>
    </w:p>
    <w:p w14:paraId="256C9C38" w14:textId="77777777" w:rsidR="00C07118" w:rsidRPr="00507A31" w:rsidRDefault="00C07118" w:rsidP="00507A31">
      <w:pPr>
        <w:jc w:val="both"/>
        <w:rPr>
          <w:color w:val="000000" w:themeColor="text1"/>
          <w:sz w:val="16"/>
          <w:szCs w:val="16"/>
        </w:rPr>
      </w:pPr>
      <w:r w:rsidRPr="00507A31">
        <w:rPr>
          <w:color w:val="000000" w:themeColor="text1"/>
          <w:sz w:val="16"/>
          <w:szCs w:val="16"/>
        </w:rPr>
        <w:t xml:space="preserve">По сообщениям КАЛИННИКОВА и ЧАРНОВСКОГО[,] ими был получен в течение 1928 и 1929 г. ряд заданий от французского штаба по плановой части военной промышленности, ставящих целью возможную задержку строительства и расширения военных заводов и всемерное сужение их производственной и строительной </w:t>
      </w:r>
      <w:r w:rsidRPr="00507A31">
        <w:rPr>
          <w:color w:val="000000" w:themeColor="text1"/>
          <w:sz w:val="16"/>
          <w:szCs w:val="16"/>
        </w:rPr>
        <w:lastRenderedPageBreak/>
        <w:t>программ. Такое же указание давал КЮФЕР, при свидании со мной и ЛАРИЧЕВЫМ в конце 1928 г. По решению ЦК «Промпартии» КАЛИННИКОВ и ЧАРНОВСКИЙ проводили в жизнь это задание, пользуясь своими связями в Госплане и в Военпроме.</w:t>
      </w:r>
    </w:p>
    <w:p w14:paraId="52B1DCD8" w14:textId="77777777" w:rsidR="00C07118" w:rsidRPr="00507A31" w:rsidRDefault="00C07118" w:rsidP="00507A31">
      <w:pPr>
        <w:jc w:val="both"/>
        <w:rPr>
          <w:color w:val="000000" w:themeColor="text1"/>
          <w:sz w:val="16"/>
          <w:szCs w:val="16"/>
        </w:rPr>
      </w:pPr>
      <w:r w:rsidRPr="00507A31">
        <w:rPr>
          <w:color w:val="000000" w:themeColor="text1"/>
          <w:sz w:val="16"/>
          <w:szCs w:val="16"/>
        </w:rPr>
        <w:t>Кроме того, от Торгпрома получались директивы по вопросу о создании экономического кризиса в 1930 году. Эти директивы носили общий характер и конкретизировались «Промпартией»[,] неизмеримо лучше знающей действительную обстановку. Основные пути деятельности «Промпартии» в этом направлении указаны мной выше и подробнее развиты в других моих показаниях.</w:t>
      </w:r>
    </w:p>
    <w:p w14:paraId="0C7235C5" w14:textId="77777777" w:rsidR="00C07118" w:rsidRPr="00507A31" w:rsidRDefault="00C07118" w:rsidP="00507A31">
      <w:pPr>
        <w:jc w:val="both"/>
        <w:rPr>
          <w:color w:val="000000" w:themeColor="text1"/>
          <w:sz w:val="16"/>
          <w:szCs w:val="16"/>
        </w:rPr>
      </w:pPr>
      <w:r w:rsidRPr="00507A31">
        <w:rPr>
          <w:color w:val="000000" w:themeColor="text1"/>
          <w:sz w:val="16"/>
          <w:szCs w:val="16"/>
        </w:rPr>
        <w:t>г) ДИВЕРСИОННЫЕ ЗАДАНИЯ.</w:t>
      </w:r>
    </w:p>
    <w:p w14:paraId="14857E3E" w14:textId="77777777" w:rsidR="00C07118" w:rsidRPr="00507A31" w:rsidRDefault="00C07118" w:rsidP="00507A31">
      <w:pPr>
        <w:jc w:val="both"/>
        <w:rPr>
          <w:color w:val="000000" w:themeColor="text1"/>
          <w:sz w:val="16"/>
          <w:szCs w:val="16"/>
        </w:rPr>
      </w:pPr>
      <w:r w:rsidRPr="00507A31">
        <w:rPr>
          <w:color w:val="000000" w:themeColor="text1"/>
          <w:sz w:val="16"/>
          <w:szCs w:val="16"/>
        </w:rPr>
        <w:t>Вопросы диверсий во время интервенции неоднократно подвергались обсуждению и прорабатывались «Промпартией» преимущественно по трем направлениям:</w:t>
      </w:r>
    </w:p>
    <w:p w14:paraId="6048C26D" w14:textId="77777777" w:rsidR="00C07118" w:rsidRPr="00507A31" w:rsidRDefault="00C07118" w:rsidP="00507A31">
      <w:pPr>
        <w:jc w:val="both"/>
        <w:rPr>
          <w:color w:val="000000" w:themeColor="text1"/>
          <w:sz w:val="16"/>
          <w:szCs w:val="16"/>
        </w:rPr>
      </w:pPr>
      <w:r w:rsidRPr="00507A31">
        <w:rPr>
          <w:color w:val="000000" w:themeColor="text1"/>
          <w:sz w:val="16"/>
          <w:szCs w:val="16"/>
        </w:rPr>
        <w:t>1) по военной промышленности, 2) по электростанциям и 3) по железным дорогам. Эти вопросы начали особенно усиленно обсуждаться с весны 1929 года, как среди «Промышленной Партии», так и с представителями иностранных генштабов и миссий.</w:t>
      </w:r>
    </w:p>
    <w:p w14:paraId="6257A863" w14:textId="77777777" w:rsidR="00C07118" w:rsidRPr="00507A31" w:rsidRDefault="00C07118" w:rsidP="00507A31">
      <w:pPr>
        <w:jc w:val="both"/>
        <w:rPr>
          <w:color w:val="000000" w:themeColor="text1"/>
          <w:sz w:val="16"/>
          <w:szCs w:val="16"/>
        </w:rPr>
      </w:pPr>
      <w:r w:rsidRPr="00507A31">
        <w:rPr>
          <w:color w:val="000000" w:themeColor="text1"/>
          <w:sz w:val="16"/>
          <w:szCs w:val="16"/>
        </w:rPr>
        <w:t>Основной принцип производства диверсионных актов, согласованный «Промпартией» с Торгпромом[,] сводился к достижению длительных остановок промышленности, но с минимумом капитальных разрушений. Этот принцип преследовал цель по возможности сохранить для будущего правительства по окончанию интервенции промышленность в работоспособном состоянии, чтобы ее можно было снова пустить в ход с минимальными затратами времени и средств. Для этой цели предполагалось заранее наметить объекты диверсионных разрушений и заготовить за границей запасные части для быстрой их замены по окончании интервенции.</w:t>
      </w:r>
    </w:p>
    <w:p w14:paraId="57E3C12B" w14:textId="77777777" w:rsidR="00C07118" w:rsidRPr="00507A31" w:rsidRDefault="00C07118" w:rsidP="00507A31">
      <w:pPr>
        <w:jc w:val="both"/>
        <w:rPr>
          <w:color w:val="000000" w:themeColor="text1"/>
          <w:sz w:val="16"/>
          <w:szCs w:val="16"/>
        </w:rPr>
      </w:pPr>
      <w:r w:rsidRPr="00507A31">
        <w:rPr>
          <w:color w:val="000000" w:themeColor="text1"/>
          <w:sz w:val="16"/>
          <w:szCs w:val="16"/>
        </w:rPr>
        <w:t>Военная промышленность.</w:t>
      </w:r>
    </w:p>
    <w:p w14:paraId="57767B57" w14:textId="77777777" w:rsidR="00C07118" w:rsidRPr="00507A31" w:rsidRDefault="00C07118" w:rsidP="00507A31">
      <w:pPr>
        <w:jc w:val="both"/>
        <w:rPr>
          <w:color w:val="000000" w:themeColor="text1"/>
          <w:sz w:val="16"/>
          <w:szCs w:val="16"/>
        </w:rPr>
      </w:pPr>
      <w:r w:rsidRPr="00507A31">
        <w:rPr>
          <w:color w:val="000000" w:themeColor="text1"/>
          <w:sz w:val="16"/>
          <w:szCs w:val="16"/>
        </w:rPr>
        <w:t>По сообщениям КАЛИННИКОВА и ЧАРНОВСКОГО[,] иностранные штабы считали необходимым в первую очередь произвести диверсии во время интервенции с целью выведения из строя военных заводов[,] готовящих боевые припасы, а именно снарядных пороховых, трубочных заводов, заводов удушливых газов и т. п. Далее, по сообщению КАЛИННИКО В А[,] иностранные штабы считали особенно важным остановку и выведение из строя тех заводов, которые расположены вдали от начальной зоны интервенции, т. е. вблизи Москвы и Ленинграда, а также на север и восток от Москвы. Во исполнение этих директив КАЛИННИКОВЫМ и ЧАРНОВСКИМ был разработан и согласован с французским генштабом через КЮФЕРА список военных заводов в смысле очередности диверсионных мероприятий; об этом КАЛИННИКОВ сообщил и г. АНРИО при нашем свидании с ним весною 1929 г. Одновременно с этим я дал поручение инж. ЕВРЕИНОВУ технически проработать диверсионные мероприятия на электростанциях военных заводов в соответствии со списком очередности, имевшимся у КАЛИННИКОВА[,] и согласовать эту работу с последним; это[,] по сообщению мне ЕВРЕИНОВА и КАЛИННИКОВА[,] было ими выполнено. Помимо диверсий на электростанциях военных заводов в середине 1929 г. ЦК Промпартии поручил КАЛИННИКОВУ и ЧАРНОВСКОМУ разработать вопрос о диверсиях на этих заводах и в промышленности вообще, а именно выработать технические методы выполнения диверсий и приступить к созданию диверсионных ячеек из членов Промпартии на отдельных военных заводах. Для выполнения этой работы КАЛИННИКОВ и ЧАРНОВ- СКИЙ привлекли инженера В. П. КАМЗОЛКИНА и инж. С. Д. ШЕЙНА; кроме того, по сообщению КАЛИННИКОВА он предпринял шаги и к вовлечению в эту работу академика В. Н. ИПАТЬЕВА. Сообщение конкретных результатов предпринятой работы я не получал, за исключением сообщения КАЛИННИКОВА о том, что им и ЧАРНОВСКИМ приступлено к выполнению этого задания.</w:t>
      </w:r>
    </w:p>
    <w:p w14:paraId="7766A7F2" w14:textId="77777777" w:rsidR="00C07118" w:rsidRPr="00507A31" w:rsidRDefault="00C07118" w:rsidP="00507A31">
      <w:pPr>
        <w:jc w:val="both"/>
        <w:rPr>
          <w:color w:val="000000" w:themeColor="text1"/>
          <w:sz w:val="16"/>
          <w:szCs w:val="16"/>
        </w:rPr>
      </w:pPr>
      <w:r w:rsidRPr="00507A31">
        <w:rPr>
          <w:color w:val="000000" w:themeColor="text1"/>
          <w:sz w:val="16"/>
          <w:szCs w:val="16"/>
        </w:rPr>
        <w:t>Электростанции.</w:t>
      </w:r>
    </w:p>
    <w:p w14:paraId="3845EBF8" w14:textId="77777777" w:rsidR="00C07118" w:rsidRPr="00507A31" w:rsidRDefault="00C07118" w:rsidP="00507A31">
      <w:pPr>
        <w:jc w:val="both"/>
        <w:rPr>
          <w:color w:val="000000" w:themeColor="text1"/>
          <w:sz w:val="16"/>
          <w:szCs w:val="16"/>
        </w:rPr>
      </w:pPr>
      <w:r w:rsidRPr="00507A31">
        <w:rPr>
          <w:color w:val="000000" w:themeColor="text1"/>
          <w:sz w:val="16"/>
          <w:szCs w:val="16"/>
        </w:rPr>
        <w:t>С точки зрения осуществления основного требования, предъявляемого к диверсионным актам —  минимума коренных разрушений —  наиболее целесообразными являлись диверсии на электростанциях, ибо остановка таковых может быть выполнена сравнительно легко и без заметных капитальных разрушений. С другой стороны, диверсионные остановки крупных районных станций или их сетей сразу выводят из строя большой объем промышленности, питающейся током от этих станций, давая таким образом при минимальных усилиях весьма большой эффект. Поэтому основная работа по созданию диверсионной организации и была направлена прежде всего в область энергетики. Общее руководство этой работой, как членом ЦК Промпартии, осуществлялось мною.</w:t>
      </w:r>
    </w:p>
    <w:p w14:paraId="6D7A6913" w14:textId="77777777" w:rsidR="00C07118" w:rsidRPr="00507A31" w:rsidRDefault="00C07118" w:rsidP="00507A31">
      <w:pPr>
        <w:jc w:val="both"/>
        <w:rPr>
          <w:color w:val="000000" w:themeColor="text1"/>
          <w:sz w:val="16"/>
          <w:szCs w:val="16"/>
        </w:rPr>
      </w:pPr>
      <w:r w:rsidRPr="00507A31">
        <w:rPr>
          <w:color w:val="000000" w:themeColor="text1"/>
          <w:sz w:val="16"/>
          <w:szCs w:val="16"/>
        </w:rPr>
        <w:t>Основной план диверсий, одобренный ЦК Промпартии и согласованный с г. АНРИО весною 1929 г., сводился здесь к диверсиям в первую очередь на электростанциях МОГЭСа, Ленинградского электротока, на станциях Донбасса и на первоочередных заводах Военпрома; во-вторую очередь относились другие районные станции, как например Нижегородская, Ивано[во]-Вознесенская и др.</w:t>
      </w:r>
    </w:p>
    <w:p w14:paraId="0C1DF1E5" w14:textId="77777777" w:rsidR="00C07118" w:rsidRPr="00507A31" w:rsidRDefault="00C07118" w:rsidP="00507A31">
      <w:pPr>
        <w:jc w:val="both"/>
        <w:rPr>
          <w:color w:val="000000" w:themeColor="text1"/>
          <w:sz w:val="16"/>
          <w:szCs w:val="16"/>
        </w:rPr>
      </w:pPr>
      <w:r w:rsidRPr="00507A31">
        <w:rPr>
          <w:color w:val="000000" w:themeColor="text1"/>
          <w:sz w:val="16"/>
          <w:szCs w:val="16"/>
        </w:rPr>
        <w:t>Основные приемы диверсий сводились здесь к порче основных генераторов, трансформаторов, электросетей и других частей электрического оборудования, а также и к нарушению диспетчерской службы. Для технической проработки диверсионных вопросов и увязки деятельности энергетических диверсионных групп была создана специальная комиссия в составе инженера М. Л. КАМЕНЕЦКОГО, инж. В. Д. КИРПИЧНИКОВА, проф. В. И. ХУДЯКОВА и инж. Е. Ф. ЕВРЕИНОВА.</w:t>
      </w:r>
    </w:p>
    <w:p w14:paraId="73D5988F" w14:textId="77777777" w:rsidR="00C07118" w:rsidRPr="00507A31" w:rsidRDefault="00C07118" w:rsidP="00507A31">
      <w:pPr>
        <w:jc w:val="both"/>
        <w:rPr>
          <w:color w:val="000000" w:themeColor="text1"/>
          <w:sz w:val="16"/>
          <w:szCs w:val="16"/>
        </w:rPr>
      </w:pPr>
      <w:r w:rsidRPr="00507A31">
        <w:rPr>
          <w:color w:val="000000" w:themeColor="text1"/>
          <w:sz w:val="16"/>
          <w:szCs w:val="16"/>
        </w:rPr>
        <w:t>Далее, для практического осуществления диверсий на электростанциях были созданы диверсионные группы, которые в свою очередь должны были создать местные диверсионные бригады.</w:t>
      </w:r>
    </w:p>
    <w:p w14:paraId="644A92E5" w14:textId="77777777" w:rsidR="00C07118" w:rsidRPr="00507A31" w:rsidRDefault="00C07118" w:rsidP="00507A31">
      <w:pPr>
        <w:jc w:val="both"/>
        <w:rPr>
          <w:color w:val="000000" w:themeColor="text1"/>
          <w:sz w:val="16"/>
          <w:szCs w:val="16"/>
        </w:rPr>
      </w:pPr>
      <w:r w:rsidRPr="00507A31">
        <w:rPr>
          <w:color w:val="000000" w:themeColor="text1"/>
          <w:sz w:val="16"/>
          <w:szCs w:val="16"/>
        </w:rPr>
        <w:t>Такие диверсионные группы были организованы:</w:t>
      </w:r>
    </w:p>
    <w:p w14:paraId="1BF2393B" w14:textId="77777777" w:rsidR="00C07118" w:rsidRPr="00507A31" w:rsidRDefault="00C07118" w:rsidP="00507A31">
      <w:pPr>
        <w:jc w:val="both"/>
        <w:rPr>
          <w:color w:val="000000" w:themeColor="text1"/>
          <w:sz w:val="16"/>
          <w:szCs w:val="16"/>
        </w:rPr>
      </w:pPr>
      <w:r w:rsidRPr="00507A31">
        <w:rPr>
          <w:color w:val="000000" w:themeColor="text1"/>
          <w:sz w:val="16"/>
          <w:szCs w:val="16"/>
        </w:rPr>
        <w:t>Группа инж. ЕВРЕИНОВА Е. Ф. из работников б[ывшего] технического отдела и отдела рационализации Теплоинститута для диверсий в военной промышленности.</w:t>
      </w:r>
    </w:p>
    <w:p w14:paraId="368A3E56" w14:textId="77777777" w:rsidR="00C07118" w:rsidRPr="00507A31" w:rsidRDefault="00C07118" w:rsidP="00507A31">
      <w:pPr>
        <w:jc w:val="both"/>
        <w:rPr>
          <w:color w:val="000000" w:themeColor="text1"/>
          <w:sz w:val="16"/>
          <w:szCs w:val="16"/>
        </w:rPr>
      </w:pPr>
      <w:r w:rsidRPr="00507A31">
        <w:rPr>
          <w:color w:val="000000" w:themeColor="text1"/>
          <w:sz w:val="16"/>
          <w:szCs w:val="16"/>
        </w:rPr>
        <w:t>Группа МОГЭСа, во главе коей стояли инж. В. Д. КИРПИЧНИКОВ и В. И. ЯНОВИЦКИЙ.</w:t>
      </w:r>
    </w:p>
    <w:p w14:paraId="70864208" w14:textId="77777777" w:rsidR="00C07118" w:rsidRPr="00507A31" w:rsidRDefault="00C07118" w:rsidP="00507A31">
      <w:pPr>
        <w:jc w:val="both"/>
        <w:rPr>
          <w:color w:val="000000" w:themeColor="text1"/>
          <w:sz w:val="16"/>
          <w:szCs w:val="16"/>
        </w:rPr>
      </w:pPr>
      <w:r w:rsidRPr="00507A31">
        <w:rPr>
          <w:color w:val="000000" w:themeColor="text1"/>
          <w:sz w:val="16"/>
          <w:szCs w:val="16"/>
        </w:rPr>
        <w:t>Группа электротопа (Ленинград) под руководством инж. А. А. КОТОМИНА и проф. [Т. Ф.] МАКАРЬЕВА”.</w:t>
      </w:r>
    </w:p>
    <w:p w14:paraId="69A0101C" w14:textId="77777777" w:rsidR="00C07118" w:rsidRPr="00507A31" w:rsidRDefault="00C07118" w:rsidP="00507A31">
      <w:pPr>
        <w:jc w:val="both"/>
        <w:rPr>
          <w:color w:val="000000" w:themeColor="text1"/>
          <w:sz w:val="16"/>
          <w:szCs w:val="16"/>
        </w:rPr>
      </w:pPr>
      <w:r w:rsidRPr="00507A31">
        <w:rPr>
          <w:color w:val="000000" w:themeColor="text1"/>
          <w:sz w:val="16"/>
          <w:szCs w:val="16"/>
        </w:rPr>
        <w:t>Ленинградская промышленная группа под руководством проф. М. В. КИРПИЧЕВА и проф. В. Н. ШРЕТЕРА.</w:t>
      </w:r>
    </w:p>
    <w:p w14:paraId="3C96EEE5" w14:textId="77777777" w:rsidR="00C07118" w:rsidRPr="00507A31" w:rsidRDefault="00C07118" w:rsidP="00507A31">
      <w:pPr>
        <w:jc w:val="both"/>
        <w:rPr>
          <w:color w:val="000000" w:themeColor="text1"/>
          <w:sz w:val="16"/>
          <w:szCs w:val="16"/>
        </w:rPr>
      </w:pPr>
      <w:r w:rsidRPr="00507A31">
        <w:rPr>
          <w:color w:val="000000" w:themeColor="text1"/>
          <w:sz w:val="16"/>
          <w:szCs w:val="16"/>
        </w:rPr>
        <w:t>Приступлено к организации группы в Донбассе по[д] руководством инж. С. Н. СЕМИХАТОВА и Б. Э. СТЮНКЕЛЬ.</w:t>
      </w:r>
    </w:p>
    <w:p w14:paraId="0557902D" w14:textId="77777777" w:rsidR="00C07118" w:rsidRPr="00507A31" w:rsidRDefault="00C07118" w:rsidP="00507A31">
      <w:pPr>
        <w:jc w:val="both"/>
        <w:rPr>
          <w:color w:val="000000" w:themeColor="text1"/>
          <w:sz w:val="16"/>
          <w:szCs w:val="16"/>
        </w:rPr>
      </w:pPr>
      <w:r w:rsidRPr="00507A31">
        <w:rPr>
          <w:color w:val="000000" w:themeColor="text1"/>
          <w:sz w:val="16"/>
          <w:szCs w:val="16"/>
        </w:rPr>
        <w:t>Проф. В. И. ХУДЯКОВ приступил к организации групп на Нижегородской и Иваново-Вознесенской станциях.</w:t>
      </w:r>
    </w:p>
    <w:p w14:paraId="0B42BEAE" w14:textId="77777777" w:rsidR="00C07118" w:rsidRPr="00507A31" w:rsidRDefault="00C07118" w:rsidP="00507A31">
      <w:pPr>
        <w:jc w:val="both"/>
        <w:rPr>
          <w:color w:val="000000" w:themeColor="text1"/>
          <w:sz w:val="16"/>
          <w:szCs w:val="16"/>
        </w:rPr>
      </w:pPr>
      <w:r w:rsidRPr="00507A31">
        <w:rPr>
          <w:color w:val="000000" w:themeColor="text1"/>
          <w:sz w:val="16"/>
          <w:szCs w:val="16"/>
        </w:rPr>
        <w:t>Железные дороги.</w:t>
      </w:r>
    </w:p>
    <w:p w14:paraId="1A99D2C2" w14:textId="77777777" w:rsidR="00C07118" w:rsidRPr="00507A31" w:rsidRDefault="00C07118" w:rsidP="00507A31">
      <w:pPr>
        <w:jc w:val="both"/>
        <w:rPr>
          <w:color w:val="000000" w:themeColor="text1"/>
          <w:sz w:val="16"/>
          <w:szCs w:val="16"/>
        </w:rPr>
      </w:pPr>
      <w:r w:rsidRPr="00507A31">
        <w:rPr>
          <w:color w:val="000000" w:themeColor="text1"/>
          <w:sz w:val="16"/>
          <w:szCs w:val="16"/>
        </w:rPr>
        <w:t>В области транспорта диверсионные задачи сводились к нарушению железнодорожной связи по важнейшим направлениям, и особенно Донбасс —  Москва. Разработка вопроса о выборе этих направлений и согласовании их с генштабами была поручена ЦК Промпартии инж. ЛАРИЧЕВУ и проф. С. В. КОГАН-БЕРНШТЕЙН. Нарушение движения предполагалось осуществлять путем создания искусственных пробок различными способами и в крайнем случае путем разрушения железнодорожных сооружений. ЛАРИЧЕВ и КОГАН-БЕРНШТЕЙН приступили к проработке плановой и технической стороны вопроса и к созданию диверсионных групп на железных дорогах. Подробности и степень продвинутости этой работы могут сообщить ЛАРИЧЕВ и КОГАН-БЕРНШТЕЙН. Одновременно ЛАРИЧЕВ получил поручение проработки диверсионного вопроса и в области топливоснабжения.</w:t>
      </w:r>
    </w:p>
    <w:p w14:paraId="1A372323" w14:textId="77777777" w:rsidR="00C07118" w:rsidRPr="00507A31" w:rsidRDefault="00C07118" w:rsidP="00507A31">
      <w:pPr>
        <w:jc w:val="both"/>
        <w:rPr>
          <w:color w:val="000000" w:themeColor="text1"/>
          <w:sz w:val="16"/>
          <w:szCs w:val="16"/>
        </w:rPr>
      </w:pPr>
      <w:r w:rsidRPr="00507A31">
        <w:rPr>
          <w:color w:val="000000" w:themeColor="text1"/>
          <w:sz w:val="16"/>
          <w:szCs w:val="16"/>
        </w:rPr>
        <w:t>Подводя итоги деятельности Промпартии на одном из основных участков ее контр-революционной работы, я, несмотря на крайнюю тяжесть ответственности, считаю своим долгом заявить, что:</w:t>
      </w:r>
    </w:p>
    <w:p w14:paraId="504BB434" w14:textId="77777777" w:rsidR="00C07118" w:rsidRPr="00507A31" w:rsidRDefault="00C07118" w:rsidP="00507A31">
      <w:pPr>
        <w:jc w:val="both"/>
        <w:rPr>
          <w:color w:val="000000" w:themeColor="text1"/>
          <w:sz w:val="16"/>
          <w:szCs w:val="16"/>
        </w:rPr>
      </w:pPr>
      <w:r w:rsidRPr="00507A31">
        <w:rPr>
          <w:color w:val="000000" w:themeColor="text1"/>
          <w:sz w:val="16"/>
          <w:szCs w:val="16"/>
        </w:rPr>
        <w:t>Работа Промпартии[,] активно подготовлявшей интервенцию против Советского Союза, являлась не только изменой советской власти, но и изменой родной стране, ибо в случае осуществления интервенции вся страна не только должна была бы подвергнуться ужасам и разрушению войны, но и заплатить крайне дорогой ценой организаторам и участникам интервенции, принося им в жертву свои жизненные интересы.</w:t>
      </w:r>
    </w:p>
    <w:p w14:paraId="034D1B77" w14:textId="77777777" w:rsidR="00C07118" w:rsidRPr="00507A31" w:rsidRDefault="00C07118" w:rsidP="00507A31">
      <w:pPr>
        <w:jc w:val="both"/>
        <w:rPr>
          <w:color w:val="000000" w:themeColor="text1"/>
          <w:sz w:val="16"/>
          <w:szCs w:val="16"/>
        </w:rPr>
      </w:pPr>
      <w:r w:rsidRPr="00507A31">
        <w:rPr>
          <w:color w:val="000000" w:themeColor="text1"/>
          <w:sz w:val="16"/>
          <w:szCs w:val="16"/>
        </w:rPr>
        <w:t>Главная тяжесть ответственности за изменническую деятельность Промпартии падает на ее руководителей и в особенности на меня лично, как наиболее активного работника Промпартии по подготовке интервенции.</w:t>
      </w:r>
    </w:p>
    <w:p w14:paraId="40235F46" w14:textId="77777777" w:rsidR="00C07118" w:rsidRPr="00507A31" w:rsidRDefault="00C07118" w:rsidP="00507A31">
      <w:pPr>
        <w:jc w:val="both"/>
        <w:rPr>
          <w:color w:val="000000" w:themeColor="text1"/>
          <w:sz w:val="16"/>
          <w:szCs w:val="16"/>
        </w:rPr>
      </w:pPr>
      <w:r w:rsidRPr="00507A31">
        <w:rPr>
          <w:color w:val="000000" w:themeColor="text1"/>
          <w:sz w:val="16"/>
          <w:szCs w:val="16"/>
        </w:rPr>
        <w:t>Признавая свою виновность в тягчайшем преступлении, я приношу свое полное раскаяние, решительно и безповоротно прекращая всякую борьбу против советской власти, я в целях полного разоружения желаю моими чистосердечными показаниями разоблачить перед широкими массами населения Советского Союза и перед пролетариатом всего мира истинных вдохновителей и организаторов интервенции против С.С.С.Р.</w:t>
      </w:r>
    </w:p>
    <w:p w14:paraId="280ADF5E" w14:textId="77777777" w:rsidR="00C07118" w:rsidRPr="00507A31" w:rsidRDefault="00C07118" w:rsidP="00507A31">
      <w:pPr>
        <w:jc w:val="both"/>
        <w:rPr>
          <w:color w:val="000000" w:themeColor="text1"/>
          <w:sz w:val="16"/>
          <w:szCs w:val="16"/>
        </w:rPr>
      </w:pPr>
      <w:r w:rsidRPr="00507A31">
        <w:rPr>
          <w:color w:val="000000" w:themeColor="text1"/>
          <w:sz w:val="16"/>
          <w:szCs w:val="16"/>
        </w:rPr>
        <w:t>Л.РАМЗИН</w:t>
      </w:r>
    </w:p>
    <w:p w14:paraId="4427E8F2"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Допросили: ПОМНАЧ СОУ ОГПУ АГРАНОВ.</w:t>
      </w:r>
    </w:p>
    <w:p w14:paraId="4A2076E9" w14:textId="77777777" w:rsidR="00C07118" w:rsidRPr="00507A31" w:rsidRDefault="00C07118" w:rsidP="00507A31">
      <w:pPr>
        <w:jc w:val="both"/>
        <w:rPr>
          <w:color w:val="000000" w:themeColor="text1"/>
          <w:sz w:val="16"/>
          <w:szCs w:val="16"/>
        </w:rPr>
      </w:pPr>
      <w:r w:rsidRPr="00507A31">
        <w:rPr>
          <w:color w:val="000000" w:themeColor="text1"/>
          <w:sz w:val="16"/>
          <w:szCs w:val="16"/>
        </w:rPr>
        <w:t>ПОМНАЧ 3 ОТДЕЛЕНИЯ] СООГПУ РАДЗИВИЛОВСКИЙ.</w:t>
      </w:r>
    </w:p>
    <w:p w14:paraId="5A7EB12B" w14:textId="77777777" w:rsidR="00C07118" w:rsidRPr="00507A31" w:rsidRDefault="00C07118" w:rsidP="00507A31">
      <w:pPr>
        <w:jc w:val="both"/>
        <w:rPr>
          <w:color w:val="000000" w:themeColor="text1"/>
          <w:sz w:val="16"/>
          <w:szCs w:val="16"/>
        </w:rPr>
      </w:pPr>
      <w:r w:rsidRPr="00507A31">
        <w:rPr>
          <w:color w:val="000000" w:themeColor="text1"/>
          <w:sz w:val="16"/>
          <w:szCs w:val="16"/>
        </w:rPr>
        <w:t>Д. 355. Л. 3-35. Заверенная машинописная копия того времени. В деле (Л. 1) имеется сопроводительная записка за подписью председателя ОГПУ В. Р. Менжинского от 1 ноября 1930 г.: «СЕКРЕТАРЮ ЦК ВКП(б), тов. СТАЛИНУ. При сем препровождаю протоколы допросов по делу Промышленной Партии (по вопросу об интервенции). ПРИЛОЖЕНИЕ: Протоколы допросов РАМЗИНА, КАЛИННИКОВА, ЛАРИЧЕВА, ЧАРНОВСКОГО, ОЧКИНА и СОЛОВЬЕВА от 31/Х-30 г.». (Машинописный подлинник на бланке ОГПУ, подпись В. Р. Менжинского —  автограф. Гриф «Строго секретно». Дата и номер документа вписаны от руки в угловой штамп бланка.)</w:t>
      </w:r>
    </w:p>
    <w:p w14:paraId="495FA75F" w14:textId="77777777" w:rsidR="00C07118" w:rsidRPr="00507A31" w:rsidRDefault="00C07118" w:rsidP="00507A31">
      <w:pPr>
        <w:jc w:val="both"/>
        <w:rPr>
          <w:color w:val="000000" w:themeColor="text1"/>
          <w:sz w:val="16"/>
          <w:szCs w:val="16"/>
        </w:rPr>
      </w:pPr>
      <w:r w:rsidRPr="00507A31">
        <w:rPr>
          <w:color w:val="000000" w:themeColor="text1"/>
          <w:sz w:val="16"/>
          <w:szCs w:val="16"/>
        </w:rPr>
        <w:t>На Л. 2 (машинописью) —  «титульный» лист (оглавление) к перечисленным в сопроводительной записке протоколам под заголовком</w:t>
      </w:r>
    </w:p>
    <w:tbl>
      <w:tblPr>
        <w:tblW w:w="4560" w:type="dxa"/>
        <w:tblCellMar>
          <w:left w:w="0" w:type="dxa"/>
          <w:right w:w="0" w:type="dxa"/>
        </w:tblCellMar>
        <w:tblLook w:val="04A0" w:firstRow="1" w:lastRow="0" w:firstColumn="1" w:lastColumn="0" w:noHBand="0" w:noVBand="1"/>
      </w:tblPr>
      <w:tblGrid>
        <w:gridCol w:w="3554"/>
        <w:gridCol w:w="497"/>
        <w:gridCol w:w="509"/>
      </w:tblGrid>
      <w:tr w:rsidR="00E371BA" w:rsidRPr="00507A31" w14:paraId="4C38AFC4" w14:textId="77777777" w:rsidTr="00BB5927">
        <w:trPr>
          <w:trHeight w:val="285"/>
        </w:trPr>
        <w:tc>
          <w:tcPr>
            <w:tcW w:w="0" w:type="auto"/>
            <w:gridSpan w:val="3"/>
            <w:vAlign w:val="center"/>
            <w:hideMark/>
          </w:tcPr>
          <w:p w14:paraId="75A4BECD" w14:textId="77777777" w:rsidR="00C07118" w:rsidRPr="00507A31" w:rsidRDefault="00C07118" w:rsidP="00507A31">
            <w:pPr>
              <w:jc w:val="both"/>
              <w:rPr>
                <w:color w:val="000000" w:themeColor="text1"/>
                <w:sz w:val="16"/>
                <w:szCs w:val="16"/>
              </w:rPr>
            </w:pPr>
            <w:r w:rsidRPr="00507A31">
              <w:rPr>
                <w:color w:val="000000" w:themeColor="text1"/>
                <w:sz w:val="16"/>
                <w:szCs w:val="16"/>
              </w:rPr>
              <w:t>«ПРОТОКОЛЫ ДОПРОСОВ по делу ПРОМЫШЛЕННОЙ ПАРТИИ по вопросу ОБ ИНТЕРВЕНЦИИ»:</w:t>
            </w:r>
          </w:p>
        </w:tc>
      </w:tr>
      <w:tr w:rsidR="00E371BA" w:rsidRPr="00507A31" w14:paraId="6C782A94" w14:textId="77777777" w:rsidTr="00BB5927">
        <w:trPr>
          <w:trHeight w:val="285"/>
        </w:trPr>
        <w:tc>
          <w:tcPr>
            <w:tcW w:w="0" w:type="auto"/>
            <w:vAlign w:val="center"/>
            <w:hideMark/>
          </w:tcPr>
          <w:p w14:paraId="35BBBE42" w14:textId="77777777" w:rsidR="00C07118" w:rsidRPr="00507A31" w:rsidRDefault="00C07118" w:rsidP="00507A31">
            <w:pPr>
              <w:jc w:val="both"/>
              <w:rPr>
                <w:color w:val="000000" w:themeColor="text1"/>
                <w:sz w:val="16"/>
                <w:szCs w:val="16"/>
              </w:rPr>
            </w:pPr>
            <w:r w:rsidRPr="00507A31">
              <w:rPr>
                <w:color w:val="000000" w:themeColor="text1"/>
                <w:sz w:val="16"/>
                <w:szCs w:val="16"/>
              </w:rPr>
              <w:t>Оглавление:</w:t>
            </w:r>
          </w:p>
        </w:tc>
        <w:tc>
          <w:tcPr>
            <w:tcW w:w="0" w:type="auto"/>
            <w:vAlign w:val="center"/>
            <w:hideMark/>
          </w:tcPr>
          <w:p w14:paraId="7E7EAB76" w14:textId="77777777" w:rsidR="00C07118" w:rsidRPr="00507A31" w:rsidRDefault="00C07118" w:rsidP="00507A31">
            <w:pPr>
              <w:jc w:val="both"/>
              <w:rPr>
                <w:color w:val="000000" w:themeColor="text1"/>
                <w:sz w:val="16"/>
                <w:szCs w:val="16"/>
              </w:rPr>
            </w:pPr>
            <w:r w:rsidRPr="00507A31">
              <w:rPr>
                <w:color w:val="000000" w:themeColor="text1"/>
                <w:sz w:val="16"/>
                <w:szCs w:val="16"/>
              </w:rPr>
              <w:t>со стр.</w:t>
            </w:r>
          </w:p>
        </w:tc>
        <w:tc>
          <w:tcPr>
            <w:tcW w:w="0" w:type="auto"/>
            <w:vAlign w:val="center"/>
            <w:hideMark/>
          </w:tcPr>
          <w:p w14:paraId="5C84C4A1" w14:textId="77777777" w:rsidR="00C07118" w:rsidRPr="00507A31" w:rsidRDefault="00C07118" w:rsidP="00507A31">
            <w:pPr>
              <w:jc w:val="both"/>
              <w:rPr>
                <w:color w:val="000000" w:themeColor="text1"/>
                <w:sz w:val="16"/>
                <w:szCs w:val="16"/>
              </w:rPr>
            </w:pPr>
            <w:r w:rsidRPr="00507A31">
              <w:rPr>
                <w:color w:val="000000" w:themeColor="text1"/>
                <w:sz w:val="16"/>
                <w:szCs w:val="16"/>
              </w:rPr>
              <w:t>по стр.</w:t>
            </w:r>
          </w:p>
        </w:tc>
      </w:tr>
      <w:tr w:rsidR="00E371BA" w:rsidRPr="00507A31" w14:paraId="122BDCD4" w14:textId="77777777" w:rsidTr="00BB5927">
        <w:trPr>
          <w:trHeight w:val="285"/>
        </w:trPr>
        <w:tc>
          <w:tcPr>
            <w:tcW w:w="0" w:type="auto"/>
            <w:vAlign w:val="center"/>
            <w:hideMark/>
          </w:tcPr>
          <w:p w14:paraId="590664A7" w14:textId="77777777" w:rsidR="00C07118" w:rsidRPr="00507A31" w:rsidRDefault="00C07118" w:rsidP="00507A31">
            <w:pPr>
              <w:jc w:val="both"/>
              <w:rPr>
                <w:color w:val="000000" w:themeColor="text1"/>
                <w:sz w:val="16"/>
                <w:szCs w:val="16"/>
              </w:rPr>
            </w:pPr>
            <w:r w:rsidRPr="00507A31">
              <w:rPr>
                <w:color w:val="000000" w:themeColor="text1"/>
                <w:sz w:val="16"/>
                <w:szCs w:val="16"/>
              </w:rPr>
              <w:t>1. Протокол допроса РАМЗИНА Л. К. от 31/Х-30 г.</w:t>
            </w:r>
          </w:p>
        </w:tc>
        <w:tc>
          <w:tcPr>
            <w:tcW w:w="0" w:type="auto"/>
            <w:vAlign w:val="center"/>
            <w:hideMark/>
          </w:tcPr>
          <w:p w14:paraId="6550424B" w14:textId="77777777" w:rsidR="00C07118" w:rsidRPr="00507A31" w:rsidRDefault="00C07118" w:rsidP="00507A31">
            <w:pPr>
              <w:jc w:val="both"/>
              <w:rPr>
                <w:color w:val="000000" w:themeColor="text1"/>
                <w:sz w:val="16"/>
                <w:szCs w:val="16"/>
              </w:rPr>
            </w:pPr>
            <w:r w:rsidRPr="00507A31">
              <w:rPr>
                <w:color w:val="000000" w:themeColor="text1"/>
                <w:sz w:val="16"/>
                <w:szCs w:val="16"/>
              </w:rPr>
              <w:t>1</w:t>
            </w:r>
          </w:p>
        </w:tc>
        <w:tc>
          <w:tcPr>
            <w:tcW w:w="0" w:type="auto"/>
            <w:vAlign w:val="center"/>
            <w:hideMark/>
          </w:tcPr>
          <w:p w14:paraId="530C191A" w14:textId="77777777" w:rsidR="00C07118" w:rsidRPr="00507A31" w:rsidRDefault="00C07118" w:rsidP="00507A31">
            <w:pPr>
              <w:jc w:val="both"/>
              <w:rPr>
                <w:color w:val="000000" w:themeColor="text1"/>
                <w:sz w:val="16"/>
                <w:szCs w:val="16"/>
              </w:rPr>
            </w:pPr>
            <w:r w:rsidRPr="00507A31">
              <w:rPr>
                <w:color w:val="000000" w:themeColor="text1"/>
                <w:sz w:val="16"/>
                <w:szCs w:val="16"/>
              </w:rPr>
              <w:t>33</w:t>
            </w:r>
          </w:p>
        </w:tc>
      </w:tr>
      <w:tr w:rsidR="00E371BA" w:rsidRPr="00507A31" w14:paraId="11C5E55D" w14:textId="77777777" w:rsidTr="00BB5927">
        <w:trPr>
          <w:trHeight w:val="285"/>
        </w:trPr>
        <w:tc>
          <w:tcPr>
            <w:tcW w:w="0" w:type="auto"/>
            <w:vAlign w:val="center"/>
            <w:hideMark/>
          </w:tcPr>
          <w:p w14:paraId="37C37773" w14:textId="77777777" w:rsidR="00C07118" w:rsidRPr="00507A31" w:rsidRDefault="00C07118" w:rsidP="00507A31">
            <w:pPr>
              <w:jc w:val="both"/>
              <w:rPr>
                <w:color w:val="000000" w:themeColor="text1"/>
                <w:sz w:val="16"/>
                <w:szCs w:val="16"/>
              </w:rPr>
            </w:pPr>
            <w:r w:rsidRPr="00507A31">
              <w:rPr>
                <w:color w:val="000000" w:themeColor="text1"/>
                <w:sz w:val="16"/>
                <w:szCs w:val="16"/>
              </w:rPr>
              <w:t>2. ««КАЛИННИКОВА И. А. «</w:t>
            </w:r>
          </w:p>
        </w:tc>
        <w:tc>
          <w:tcPr>
            <w:tcW w:w="0" w:type="auto"/>
            <w:vAlign w:val="center"/>
            <w:hideMark/>
          </w:tcPr>
          <w:p w14:paraId="60CA46B9" w14:textId="77777777" w:rsidR="00C07118" w:rsidRPr="00507A31" w:rsidRDefault="00C07118" w:rsidP="00507A31">
            <w:pPr>
              <w:jc w:val="both"/>
              <w:rPr>
                <w:color w:val="000000" w:themeColor="text1"/>
                <w:sz w:val="16"/>
                <w:szCs w:val="16"/>
              </w:rPr>
            </w:pPr>
            <w:r w:rsidRPr="00507A31">
              <w:rPr>
                <w:color w:val="000000" w:themeColor="text1"/>
                <w:sz w:val="16"/>
                <w:szCs w:val="16"/>
              </w:rPr>
              <w:t>34</w:t>
            </w:r>
          </w:p>
        </w:tc>
        <w:tc>
          <w:tcPr>
            <w:tcW w:w="0" w:type="auto"/>
            <w:vAlign w:val="center"/>
            <w:hideMark/>
          </w:tcPr>
          <w:p w14:paraId="4B082024" w14:textId="77777777" w:rsidR="00C07118" w:rsidRPr="00507A31" w:rsidRDefault="00C07118" w:rsidP="00507A31">
            <w:pPr>
              <w:jc w:val="both"/>
              <w:rPr>
                <w:color w:val="000000" w:themeColor="text1"/>
                <w:sz w:val="16"/>
                <w:szCs w:val="16"/>
              </w:rPr>
            </w:pPr>
            <w:r w:rsidRPr="00507A31">
              <w:rPr>
                <w:color w:val="000000" w:themeColor="text1"/>
                <w:sz w:val="16"/>
                <w:szCs w:val="16"/>
              </w:rPr>
              <w:t>47</w:t>
            </w:r>
          </w:p>
        </w:tc>
      </w:tr>
      <w:tr w:rsidR="00E371BA" w:rsidRPr="00507A31" w14:paraId="547B1328" w14:textId="77777777" w:rsidTr="00BB5927">
        <w:trPr>
          <w:trHeight w:val="285"/>
        </w:trPr>
        <w:tc>
          <w:tcPr>
            <w:tcW w:w="0" w:type="auto"/>
            <w:vAlign w:val="center"/>
            <w:hideMark/>
          </w:tcPr>
          <w:p w14:paraId="6FFCE3EB" w14:textId="77777777" w:rsidR="00C07118" w:rsidRPr="00507A31" w:rsidRDefault="00C07118" w:rsidP="00507A31">
            <w:pPr>
              <w:jc w:val="both"/>
              <w:rPr>
                <w:color w:val="000000" w:themeColor="text1"/>
                <w:sz w:val="16"/>
                <w:szCs w:val="16"/>
              </w:rPr>
            </w:pPr>
            <w:r w:rsidRPr="00507A31">
              <w:rPr>
                <w:color w:val="000000" w:themeColor="text1"/>
                <w:sz w:val="16"/>
                <w:szCs w:val="16"/>
              </w:rPr>
              <w:t>3. «« ЛАРИЧЕВА В. А. «</w:t>
            </w:r>
          </w:p>
        </w:tc>
        <w:tc>
          <w:tcPr>
            <w:tcW w:w="0" w:type="auto"/>
            <w:vAlign w:val="center"/>
            <w:hideMark/>
          </w:tcPr>
          <w:p w14:paraId="53C0A4FB" w14:textId="77777777" w:rsidR="00C07118" w:rsidRPr="00507A31" w:rsidRDefault="00C07118" w:rsidP="00507A31">
            <w:pPr>
              <w:jc w:val="both"/>
              <w:rPr>
                <w:color w:val="000000" w:themeColor="text1"/>
                <w:sz w:val="16"/>
                <w:szCs w:val="16"/>
              </w:rPr>
            </w:pPr>
            <w:r w:rsidRPr="00507A31">
              <w:rPr>
                <w:color w:val="000000" w:themeColor="text1"/>
                <w:sz w:val="16"/>
                <w:szCs w:val="16"/>
              </w:rPr>
              <w:t>48</w:t>
            </w:r>
          </w:p>
        </w:tc>
        <w:tc>
          <w:tcPr>
            <w:tcW w:w="0" w:type="auto"/>
            <w:vAlign w:val="center"/>
            <w:hideMark/>
          </w:tcPr>
          <w:p w14:paraId="20861FB4" w14:textId="77777777" w:rsidR="00C07118" w:rsidRPr="00507A31" w:rsidRDefault="00C07118" w:rsidP="00507A31">
            <w:pPr>
              <w:jc w:val="both"/>
              <w:rPr>
                <w:color w:val="000000" w:themeColor="text1"/>
                <w:sz w:val="16"/>
                <w:szCs w:val="16"/>
              </w:rPr>
            </w:pPr>
            <w:r w:rsidRPr="00507A31">
              <w:rPr>
                <w:color w:val="000000" w:themeColor="text1"/>
                <w:sz w:val="16"/>
                <w:szCs w:val="16"/>
              </w:rPr>
              <w:t>58</w:t>
            </w:r>
          </w:p>
        </w:tc>
      </w:tr>
      <w:tr w:rsidR="00E371BA" w:rsidRPr="00507A31" w14:paraId="7BE0B3BC" w14:textId="77777777" w:rsidTr="00BB5927">
        <w:trPr>
          <w:trHeight w:val="285"/>
        </w:trPr>
        <w:tc>
          <w:tcPr>
            <w:tcW w:w="0" w:type="auto"/>
            <w:vAlign w:val="center"/>
            <w:hideMark/>
          </w:tcPr>
          <w:p w14:paraId="109ACC69" w14:textId="77777777" w:rsidR="00C07118" w:rsidRPr="00507A31" w:rsidRDefault="00C07118" w:rsidP="00507A31">
            <w:pPr>
              <w:jc w:val="both"/>
              <w:rPr>
                <w:color w:val="000000" w:themeColor="text1"/>
                <w:sz w:val="16"/>
                <w:szCs w:val="16"/>
              </w:rPr>
            </w:pPr>
            <w:r w:rsidRPr="00507A31">
              <w:rPr>
                <w:color w:val="000000" w:themeColor="text1"/>
                <w:sz w:val="16"/>
                <w:szCs w:val="16"/>
              </w:rPr>
              <w:t>4. «« ЧАРНОВСКОГО Н. Ф. «</w:t>
            </w:r>
          </w:p>
        </w:tc>
        <w:tc>
          <w:tcPr>
            <w:tcW w:w="0" w:type="auto"/>
            <w:vAlign w:val="center"/>
            <w:hideMark/>
          </w:tcPr>
          <w:p w14:paraId="1DA09AAF" w14:textId="77777777" w:rsidR="00C07118" w:rsidRPr="00507A31" w:rsidRDefault="00C07118" w:rsidP="00507A31">
            <w:pPr>
              <w:jc w:val="both"/>
              <w:rPr>
                <w:color w:val="000000" w:themeColor="text1"/>
                <w:sz w:val="16"/>
                <w:szCs w:val="16"/>
              </w:rPr>
            </w:pPr>
            <w:r w:rsidRPr="00507A31">
              <w:rPr>
                <w:color w:val="000000" w:themeColor="text1"/>
                <w:sz w:val="16"/>
                <w:szCs w:val="16"/>
              </w:rPr>
              <w:t>59</w:t>
            </w:r>
          </w:p>
        </w:tc>
        <w:tc>
          <w:tcPr>
            <w:tcW w:w="0" w:type="auto"/>
            <w:vAlign w:val="center"/>
            <w:hideMark/>
          </w:tcPr>
          <w:p w14:paraId="355AEA71" w14:textId="77777777" w:rsidR="00C07118" w:rsidRPr="00507A31" w:rsidRDefault="00C07118" w:rsidP="00507A31">
            <w:pPr>
              <w:jc w:val="both"/>
              <w:rPr>
                <w:color w:val="000000" w:themeColor="text1"/>
                <w:sz w:val="16"/>
                <w:szCs w:val="16"/>
              </w:rPr>
            </w:pPr>
            <w:r w:rsidRPr="00507A31">
              <w:rPr>
                <w:color w:val="000000" w:themeColor="text1"/>
                <w:sz w:val="16"/>
                <w:szCs w:val="16"/>
              </w:rPr>
              <w:t>66</w:t>
            </w:r>
          </w:p>
        </w:tc>
      </w:tr>
      <w:tr w:rsidR="00E371BA" w:rsidRPr="00507A31" w14:paraId="51210394" w14:textId="77777777" w:rsidTr="00BB5927">
        <w:trPr>
          <w:trHeight w:val="285"/>
        </w:trPr>
        <w:tc>
          <w:tcPr>
            <w:tcW w:w="0" w:type="auto"/>
            <w:vAlign w:val="center"/>
            <w:hideMark/>
          </w:tcPr>
          <w:p w14:paraId="765C2675" w14:textId="77777777" w:rsidR="00C07118" w:rsidRPr="00507A31" w:rsidRDefault="00C07118" w:rsidP="00507A31">
            <w:pPr>
              <w:jc w:val="both"/>
              <w:rPr>
                <w:color w:val="000000" w:themeColor="text1"/>
                <w:sz w:val="16"/>
                <w:szCs w:val="16"/>
              </w:rPr>
            </w:pPr>
            <w:r w:rsidRPr="00507A31">
              <w:rPr>
                <w:color w:val="000000" w:themeColor="text1"/>
                <w:sz w:val="16"/>
                <w:szCs w:val="16"/>
              </w:rPr>
              <w:t>5. «« ОЧКИНА В. И. «</w:t>
            </w:r>
          </w:p>
        </w:tc>
        <w:tc>
          <w:tcPr>
            <w:tcW w:w="0" w:type="auto"/>
            <w:vAlign w:val="center"/>
            <w:hideMark/>
          </w:tcPr>
          <w:p w14:paraId="483C5DC0" w14:textId="77777777" w:rsidR="00C07118" w:rsidRPr="00507A31" w:rsidRDefault="00C07118" w:rsidP="00507A31">
            <w:pPr>
              <w:jc w:val="both"/>
              <w:rPr>
                <w:color w:val="000000" w:themeColor="text1"/>
                <w:sz w:val="16"/>
                <w:szCs w:val="16"/>
              </w:rPr>
            </w:pPr>
            <w:r w:rsidRPr="00507A31">
              <w:rPr>
                <w:color w:val="000000" w:themeColor="text1"/>
                <w:sz w:val="16"/>
                <w:szCs w:val="16"/>
              </w:rPr>
              <w:t>67</w:t>
            </w:r>
          </w:p>
        </w:tc>
        <w:tc>
          <w:tcPr>
            <w:tcW w:w="0" w:type="auto"/>
            <w:vAlign w:val="center"/>
            <w:hideMark/>
          </w:tcPr>
          <w:p w14:paraId="4EE56358" w14:textId="77777777" w:rsidR="00C07118" w:rsidRPr="00507A31" w:rsidRDefault="00C07118" w:rsidP="00507A31">
            <w:pPr>
              <w:jc w:val="both"/>
              <w:rPr>
                <w:color w:val="000000" w:themeColor="text1"/>
                <w:sz w:val="16"/>
                <w:szCs w:val="16"/>
              </w:rPr>
            </w:pPr>
            <w:r w:rsidRPr="00507A31">
              <w:rPr>
                <w:color w:val="000000" w:themeColor="text1"/>
                <w:sz w:val="16"/>
                <w:szCs w:val="16"/>
              </w:rPr>
              <w:t>77</w:t>
            </w:r>
          </w:p>
        </w:tc>
      </w:tr>
      <w:tr w:rsidR="00E371BA" w:rsidRPr="00507A31" w14:paraId="023E212B" w14:textId="77777777" w:rsidTr="00BB5927">
        <w:trPr>
          <w:trHeight w:val="285"/>
        </w:trPr>
        <w:tc>
          <w:tcPr>
            <w:tcW w:w="0" w:type="auto"/>
            <w:vAlign w:val="center"/>
            <w:hideMark/>
          </w:tcPr>
          <w:p w14:paraId="7A933215" w14:textId="77777777" w:rsidR="00C07118" w:rsidRPr="00507A31" w:rsidRDefault="00C07118" w:rsidP="00507A31">
            <w:pPr>
              <w:jc w:val="both"/>
              <w:rPr>
                <w:color w:val="000000" w:themeColor="text1"/>
                <w:sz w:val="16"/>
                <w:szCs w:val="16"/>
              </w:rPr>
            </w:pPr>
            <w:r w:rsidRPr="00507A31">
              <w:rPr>
                <w:color w:val="000000" w:themeColor="text1"/>
                <w:sz w:val="16"/>
                <w:szCs w:val="16"/>
              </w:rPr>
              <w:lastRenderedPageBreak/>
              <w:t>6. «« СОЛОВЬЕВА П. М. «</w:t>
            </w:r>
          </w:p>
        </w:tc>
        <w:tc>
          <w:tcPr>
            <w:tcW w:w="0" w:type="auto"/>
            <w:vAlign w:val="center"/>
            <w:hideMark/>
          </w:tcPr>
          <w:p w14:paraId="7BF5505A" w14:textId="77777777" w:rsidR="00C07118" w:rsidRPr="00507A31" w:rsidRDefault="00C07118" w:rsidP="00507A31">
            <w:pPr>
              <w:jc w:val="both"/>
              <w:rPr>
                <w:color w:val="000000" w:themeColor="text1"/>
                <w:sz w:val="16"/>
                <w:szCs w:val="16"/>
              </w:rPr>
            </w:pPr>
            <w:r w:rsidRPr="00507A31">
              <w:rPr>
                <w:color w:val="000000" w:themeColor="text1"/>
                <w:sz w:val="16"/>
                <w:szCs w:val="16"/>
              </w:rPr>
              <w:t>78</w:t>
            </w:r>
          </w:p>
        </w:tc>
        <w:tc>
          <w:tcPr>
            <w:tcW w:w="0" w:type="auto"/>
            <w:vAlign w:val="center"/>
            <w:hideMark/>
          </w:tcPr>
          <w:p w14:paraId="0D188F4C" w14:textId="77777777" w:rsidR="00C07118" w:rsidRPr="00507A31" w:rsidRDefault="00C07118" w:rsidP="00507A31">
            <w:pPr>
              <w:jc w:val="both"/>
              <w:rPr>
                <w:color w:val="000000" w:themeColor="text1"/>
                <w:sz w:val="16"/>
                <w:szCs w:val="16"/>
              </w:rPr>
            </w:pPr>
            <w:r w:rsidRPr="00507A31">
              <w:rPr>
                <w:color w:val="000000" w:themeColor="text1"/>
                <w:sz w:val="16"/>
                <w:szCs w:val="16"/>
              </w:rPr>
              <w:t>82</w:t>
            </w:r>
          </w:p>
        </w:tc>
      </w:tr>
    </w:tbl>
    <w:p w14:paraId="248B17D5" w14:textId="77777777" w:rsidR="00C07118" w:rsidRPr="00507A31" w:rsidRDefault="00C07118" w:rsidP="00507A31">
      <w:pPr>
        <w:jc w:val="both"/>
        <w:rPr>
          <w:color w:val="000000" w:themeColor="text1"/>
          <w:sz w:val="16"/>
          <w:szCs w:val="16"/>
        </w:rPr>
      </w:pPr>
      <w:r w:rsidRPr="00507A31">
        <w:rPr>
          <w:color w:val="000000" w:themeColor="text1"/>
          <w:sz w:val="16"/>
          <w:szCs w:val="16"/>
        </w:rPr>
        <w:t>Протоколы имеют «двойную» нумерацию: каждый свою (машинопись) и сплошную от с. 1 по с. 82 (от руки).</w:t>
      </w:r>
    </w:p>
    <w:p w14:paraId="071E1C7A" w14:textId="77777777" w:rsidR="00C07118" w:rsidRPr="00507A31" w:rsidRDefault="00C07118" w:rsidP="00507A31">
      <w:pPr>
        <w:jc w:val="both"/>
        <w:rPr>
          <w:color w:val="000000" w:themeColor="text1"/>
          <w:sz w:val="16"/>
          <w:szCs w:val="16"/>
        </w:rPr>
      </w:pPr>
      <w:r w:rsidRPr="00507A31">
        <w:rPr>
          <w:color w:val="000000" w:themeColor="text1"/>
          <w:sz w:val="16"/>
          <w:szCs w:val="16"/>
        </w:rPr>
        <w:t>ЦА ФСБ РФ. Ф. Р-42280. Т. 10. Л. 62-78. Машинописная копия того времени, заверенная Н. Голубевой (18492).</w:t>
      </w:r>
    </w:p>
    <w:p w14:paraId="2937337D" w14:textId="77777777" w:rsidR="00C07118" w:rsidRPr="00507A31" w:rsidRDefault="00C07118" w:rsidP="00507A31">
      <w:pPr>
        <w:jc w:val="both"/>
        <w:rPr>
          <w:color w:val="000000" w:themeColor="text1"/>
          <w:sz w:val="16"/>
          <w:szCs w:val="16"/>
        </w:rPr>
      </w:pPr>
    </w:p>
    <w:p w14:paraId="45BEFA9B"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4AA0EEFD" w14:textId="77777777" w:rsidR="00C07118" w:rsidRPr="00507A31" w:rsidRDefault="00C07118" w:rsidP="00507A31">
      <w:pPr>
        <w:jc w:val="both"/>
        <w:rPr>
          <w:color w:val="000000" w:themeColor="text1"/>
          <w:sz w:val="16"/>
          <w:szCs w:val="16"/>
        </w:rPr>
      </w:pPr>
      <w:r w:rsidRPr="00507A31">
        <w:rPr>
          <w:color w:val="000000" w:themeColor="text1"/>
          <w:sz w:val="16"/>
          <w:szCs w:val="16"/>
        </w:rPr>
        <w:t>Показания И. А. Калинникова о планах «иностранной интервенции» и роли «Промпартии» в ее подготовке. 31 октября 1930 г.</w:t>
      </w:r>
    </w:p>
    <w:p w14:paraId="1AFD4238" w14:textId="77777777" w:rsidR="00C07118" w:rsidRPr="00507A31" w:rsidRDefault="00C07118" w:rsidP="00507A31">
      <w:pPr>
        <w:jc w:val="both"/>
        <w:rPr>
          <w:color w:val="000000" w:themeColor="text1"/>
          <w:sz w:val="16"/>
          <w:szCs w:val="16"/>
        </w:rPr>
      </w:pPr>
      <w:r w:rsidRPr="00507A31">
        <w:rPr>
          <w:color w:val="000000" w:themeColor="text1"/>
          <w:sz w:val="16"/>
          <w:szCs w:val="16"/>
        </w:rPr>
        <w:t>Источник: </w:t>
      </w:r>
    </w:p>
    <w:p w14:paraId="00E21DD0" w14:textId="77777777" w:rsidR="00C07118" w:rsidRPr="00507A31" w:rsidRDefault="00C0711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9E6244"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402CC344" w14:textId="77777777" w:rsidR="00C07118" w:rsidRPr="00507A31" w:rsidRDefault="00C07118" w:rsidP="00507A31">
      <w:pPr>
        <w:jc w:val="both"/>
        <w:rPr>
          <w:color w:val="000000" w:themeColor="text1"/>
          <w:sz w:val="16"/>
          <w:szCs w:val="16"/>
        </w:rPr>
      </w:pPr>
      <w:r w:rsidRPr="00507A31">
        <w:rPr>
          <w:color w:val="000000" w:themeColor="text1"/>
          <w:sz w:val="16"/>
          <w:szCs w:val="16"/>
        </w:rPr>
        <w:t>[Строго секретно]</w:t>
      </w:r>
    </w:p>
    <w:p w14:paraId="104BD0C3" w14:textId="77777777" w:rsidR="00C07118" w:rsidRPr="00507A31" w:rsidRDefault="00C07118" w:rsidP="00507A31">
      <w:pPr>
        <w:jc w:val="both"/>
        <w:rPr>
          <w:color w:val="000000" w:themeColor="text1"/>
          <w:sz w:val="16"/>
          <w:szCs w:val="16"/>
        </w:rPr>
      </w:pPr>
      <w:r w:rsidRPr="00507A31">
        <w:rPr>
          <w:color w:val="000000" w:themeColor="text1"/>
          <w:sz w:val="16"/>
          <w:szCs w:val="16"/>
        </w:rPr>
        <w:t>ПРОТОКОЛ ДОПРОСА</w:t>
      </w:r>
    </w:p>
    <w:p w14:paraId="47948023" w14:textId="77777777" w:rsidR="00C07118" w:rsidRPr="00507A31" w:rsidRDefault="00C07118" w:rsidP="00507A31">
      <w:pPr>
        <w:jc w:val="both"/>
        <w:rPr>
          <w:color w:val="000000" w:themeColor="text1"/>
          <w:sz w:val="16"/>
          <w:szCs w:val="16"/>
        </w:rPr>
      </w:pPr>
      <w:r w:rsidRPr="00507A31">
        <w:rPr>
          <w:color w:val="000000" w:themeColor="text1"/>
          <w:sz w:val="16"/>
          <w:szCs w:val="16"/>
        </w:rPr>
        <w:t>проф. КАЛИННИКОВА Ивана Андреевича от 31/Х-1930 г.</w:t>
      </w:r>
    </w:p>
    <w:p w14:paraId="27049A81"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Допросили: ПОМНАЧ. СОУ ОГПУ АГРАНОВ.</w:t>
      </w:r>
    </w:p>
    <w:p w14:paraId="76A80DE4" w14:textId="77777777" w:rsidR="00C07118" w:rsidRPr="00507A31" w:rsidRDefault="00C07118" w:rsidP="00507A31">
      <w:pPr>
        <w:jc w:val="both"/>
        <w:rPr>
          <w:color w:val="000000" w:themeColor="text1"/>
          <w:sz w:val="16"/>
          <w:szCs w:val="16"/>
        </w:rPr>
      </w:pPr>
      <w:r w:rsidRPr="00507A31">
        <w:rPr>
          <w:color w:val="000000" w:themeColor="text1"/>
          <w:sz w:val="16"/>
          <w:szCs w:val="16"/>
        </w:rPr>
        <w:t>НАЧ. 3 ОТДЕЛЕНИЯ СООГПУ СЛАВАТИНСКИЙ.</w:t>
      </w:r>
    </w:p>
    <w:p w14:paraId="2829EB86" w14:textId="77777777" w:rsidR="00C07118" w:rsidRPr="00507A31" w:rsidRDefault="00C07118" w:rsidP="00507A31">
      <w:pPr>
        <w:jc w:val="both"/>
        <w:rPr>
          <w:color w:val="000000" w:themeColor="text1"/>
          <w:sz w:val="16"/>
          <w:szCs w:val="16"/>
        </w:rPr>
      </w:pPr>
      <w:r w:rsidRPr="00507A31">
        <w:rPr>
          <w:color w:val="000000" w:themeColor="text1"/>
          <w:sz w:val="16"/>
          <w:szCs w:val="16"/>
        </w:rPr>
        <w:t>Об интервенции.</w:t>
      </w:r>
    </w:p>
    <w:p w14:paraId="6B3D4BB8" w14:textId="77777777" w:rsidR="00C07118" w:rsidRPr="00507A31" w:rsidRDefault="00C07118" w:rsidP="00507A31">
      <w:pPr>
        <w:jc w:val="both"/>
        <w:rPr>
          <w:color w:val="000000" w:themeColor="text1"/>
          <w:sz w:val="16"/>
          <w:szCs w:val="16"/>
        </w:rPr>
      </w:pPr>
      <w:r w:rsidRPr="00507A31">
        <w:rPr>
          <w:color w:val="000000" w:themeColor="text1"/>
          <w:sz w:val="16"/>
          <w:szCs w:val="16"/>
        </w:rPr>
        <w:t>1. Возникновение идеи иностранной интервенции и отношение к ней Промышленной Партии.</w:t>
      </w:r>
    </w:p>
    <w:p w14:paraId="298EBC18" w14:textId="77777777" w:rsidR="00C07118" w:rsidRPr="00507A31" w:rsidRDefault="00C07118" w:rsidP="00507A31">
      <w:pPr>
        <w:jc w:val="both"/>
        <w:rPr>
          <w:color w:val="000000" w:themeColor="text1"/>
          <w:sz w:val="16"/>
          <w:szCs w:val="16"/>
        </w:rPr>
      </w:pPr>
      <w:r w:rsidRPr="00507A31">
        <w:rPr>
          <w:color w:val="000000" w:themeColor="text1"/>
          <w:sz w:val="16"/>
          <w:szCs w:val="16"/>
        </w:rPr>
        <w:t>Идея иностранной интервенции по отношению к Советскому Союзу и попытки ее проведения, как известно, не сходят со сцены международных отношений с начала Октябрьской революции.</w:t>
      </w:r>
    </w:p>
    <w:p w14:paraId="63D2AE12" w14:textId="77777777" w:rsidR="00C07118" w:rsidRPr="00507A31" w:rsidRDefault="00C07118" w:rsidP="00507A31">
      <w:pPr>
        <w:jc w:val="both"/>
        <w:rPr>
          <w:color w:val="000000" w:themeColor="text1"/>
          <w:sz w:val="16"/>
          <w:szCs w:val="16"/>
        </w:rPr>
      </w:pPr>
      <w:r w:rsidRPr="00507A31">
        <w:rPr>
          <w:color w:val="000000" w:themeColor="text1"/>
          <w:sz w:val="16"/>
          <w:szCs w:val="16"/>
        </w:rPr>
        <w:t>В период гражданской войны иностранные государства фактически проводили оперативные военные выступления против Советского Союза, поддерживая денежными средствами, материальными техническими снабжением и вооружением выступления КОРНИЛОВА, ДЕНИКИНА, ЮДЕНИЧА, ВРАНГЕЛЯ и ПЕТЛЮРУ.</w:t>
      </w:r>
    </w:p>
    <w:p w14:paraId="246CE213" w14:textId="77777777" w:rsidR="00C07118" w:rsidRPr="00507A31" w:rsidRDefault="00C07118" w:rsidP="00507A31">
      <w:pPr>
        <w:jc w:val="both"/>
        <w:rPr>
          <w:color w:val="000000" w:themeColor="text1"/>
          <w:sz w:val="16"/>
          <w:szCs w:val="16"/>
        </w:rPr>
      </w:pPr>
      <w:r w:rsidRPr="00507A31">
        <w:rPr>
          <w:color w:val="000000" w:themeColor="text1"/>
          <w:sz w:val="16"/>
          <w:szCs w:val="16"/>
        </w:rPr>
        <w:t>Победоносное отражение советской властью всех попыток иностранной интервенции не похоронили навсегда идею интервенции у правительств иностранных государств, в особенности у Франции, и у русских эмигрантских кругов заграницей. Однако повторный приступ к проведению иностранной интервенции против Советского Союза был отсрочен надолго, так как интервентам стало ясно, что на стороне Советского Союза стоят грандиозные потенциальные возможности и исключенные интеллектуальные организующие силы рабочего класса, без подрыва которых немыслимо провести успешно иностранную интервенцию против С.С.С.Р.</w:t>
      </w:r>
    </w:p>
    <w:p w14:paraId="0029BE36" w14:textId="77777777" w:rsidR="00C07118" w:rsidRPr="00507A31" w:rsidRDefault="00C07118" w:rsidP="00507A31">
      <w:pPr>
        <w:jc w:val="both"/>
        <w:rPr>
          <w:color w:val="000000" w:themeColor="text1"/>
          <w:sz w:val="16"/>
          <w:szCs w:val="16"/>
        </w:rPr>
      </w:pPr>
      <w:r w:rsidRPr="00507A31">
        <w:rPr>
          <w:color w:val="000000" w:themeColor="text1"/>
          <w:sz w:val="16"/>
          <w:szCs w:val="16"/>
        </w:rPr>
        <w:t>Таким образом, планы интервентов — правительства Франции, как руководительницы лимитрофных государств, русских бело-эмигрантских кругов заграницей, а, главным образом, в Париже, направились на подрыв экономической мощи Советского Союза и на укрепление и расширение капиталистических элементов в народном хозяйстве Советского Союза. Когда иностранные интервенты убедились, что народное хозяйство Советского Союза в целом, промышленность и ж. д. транспорт в особенности, быстро восстанавливаются и имеют большие таксы на здоровое и быстрое развитие в дальнейшем, они путем направления и субсидирования вредительских организаций на бывших иностранных промпредприятиях ведущих отраслей промышленности (горные, топливные, металлические и друг.) пытаются всячески задерживать темпы развития, скрывать разведанные и подготовленные к эксплоатации недра и затягивать капитальное строительство.</w:t>
      </w:r>
    </w:p>
    <w:p w14:paraId="5C72BFC8" w14:textId="77777777" w:rsidR="00C07118" w:rsidRPr="00507A31" w:rsidRDefault="00C07118" w:rsidP="00507A31">
      <w:pPr>
        <w:jc w:val="both"/>
        <w:rPr>
          <w:color w:val="000000" w:themeColor="text1"/>
          <w:sz w:val="16"/>
          <w:szCs w:val="16"/>
        </w:rPr>
      </w:pPr>
      <w:r w:rsidRPr="00507A31">
        <w:rPr>
          <w:color w:val="000000" w:themeColor="text1"/>
          <w:sz w:val="16"/>
          <w:szCs w:val="16"/>
        </w:rPr>
        <w:t>Одновременно у иностранных капиталистов появилось усиленное стремление к получению концессий на их бывшую собственность в виде промышленных предприятий в России.</w:t>
      </w:r>
    </w:p>
    <w:p w14:paraId="39345544" w14:textId="77777777" w:rsidR="00C07118" w:rsidRPr="00507A31" w:rsidRDefault="00C07118" w:rsidP="00507A31">
      <w:pPr>
        <w:jc w:val="both"/>
        <w:rPr>
          <w:color w:val="000000" w:themeColor="text1"/>
          <w:sz w:val="16"/>
          <w:szCs w:val="16"/>
        </w:rPr>
      </w:pPr>
      <w:r w:rsidRPr="00507A31">
        <w:rPr>
          <w:color w:val="000000" w:themeColor="text1"/>
          <w:sz w:val="16"/>
          <w:szCs w:val="16"/>
        </w:rPr>
        <w:t>Идеологами и пособниками этих вредительских устремлений и концессионных вожделений иностранных интервентов, т. е. правительства Франции, и иностранных капиталистов вкупе с русской бело-эмиграцией, были сначала в Инженерном центре, а затем и в Промышленной партии их руководители: ПАЛЬЧИНСКИЙ, РАБИНОВИЧ, ФЕДОРОВИЧ, ЯКУШЕВСКИЙ, ХРЕННИКОВ и ФЕДОТОВ, к ним примыкали энергичные поборники идеи широкой сдачи в концессию промышленных предприятий — ГАРТВАН, ТАУБЕ, ЛОПАТИН и другие.</w:t>
      </w:r>
    </w:p>
    <w:p w14:paraId="27B7F25D" w14:textId="77777777" w:rsidR="00C07118" w:rsidRPr="00507A31" w:rsidRDefault="00C07118" w:rsidP="00507A31">
      <w:pPr>
        <w:jc w:val="both"/>
        <w:rPr>
          <w:color w:val="000000" w:themeColor="text1"/>
          <w:sz w:val="16"/>
          <w:szCs w:val="16"/>
        </w:rPr>
      </w:pPr>
      <w:r w:rsidRPr="00507A31">
        <w:rPr>
          <w:color w:val="000000" w:themeColor="text1"/>
          <w:sz w:val="16"/>
          <w:szCs w:val="16"/>
        </w:rPr>
        <w:t>Когда в 1926 году выяснилось, что объявленная Советским Союзом программа широкого привлечения иностранных концессий не может быть реализована, в виду неприемлемости требований и условий бывших владельцев-иностранцев, а в то же время народное хозяйство Советского Союза невиданно быстрыми темпами заканчивало свое восстановление, что в особенности резко обозначилось в промышленности и на транспорте, идея иностранной интервенции и среди заграничных интервентов, т. е. правительственных кругов Франции и русских белоэмигрантских кругов, и внутри Советского Союза в Инженерном центре, а затем и в Центральном комитете Промышленной партии стала крепнуть и усиливаться. Быстрое усиление экономической мощи Советского Союза и роста авторитета коммунистической партии и советской власти среди населения Союза становились грозными противниками на пути будущей иностранной интервенции.</w:t>
      </w:r>
    </w:p>
    <w:p w14:paraId="56D99966" w14:textId="77777777" w:rsidR="00C07118" w:rsidRPr="00507A31" w:rsidRDefault="00C07118" w:rsidP="00507A31">
      <w:pPr>
        <w:jc w:val="both"/>
        <w:rPr>
          <w:color w:val="000000" w:themeColor="text1"/>
          <w:sz w:val="16"/>
          <w:szCs w:val="16"/>
        </w:rPr>
      </w:pPr>
      <w:r w:rsidRPr="00507A31">
        <w:rPr>
          <w:color w:val="000000" w:themeColor="text1"/>
          <w:sz w:val="16"/>
          <w:szCs w:val="16"/>
        </w:rPr>
        <w:t>Промышленная партия, возникшая на базе контр-революционных инженерных организаций, объединенных до [19]27 г. в Инженерном центре, поставила себе целью свержение советской власти и советского строя и затем &lt;замену&gt; его буржуазно-демократической республикой. ЦК Промпартии считал, что эта задача может быть и должна быть разрешена путем —</w:t>
      </w:r>
    </w:p>
    <w:p w14:paraId="74DEC00F" w14:textId="77777777" w:rsidR="00C07118" w:rsidRPr="00507A31" w:rsidRDefault="00C07118" w:rsidP="00507A31">
      <w:pPr>
        <w:jc w:val="both"/>
        <w:rPr>
          <w:color w:val="000000" w:themeColor="text1"/>
          <w:sz w:val="16"/>
          <w:szCs w:val="16"/>
        </w:rPr>
      </w:pPr>
      <w:r w:rsidRPr="00507A31">
        <w:rPr>
          <w:color w:val="000000" w:themeColor="text1"/>
          <w:sz w:val="16"/>
          <w:szCs w:val="16"/>
        </w:rPr>
        <w:t>а) всяческого замедления темпа индустриализации Советского Союза, а вместе с ним и обороноспособности его — это должно достигаться вредительски составленными планами развития народного хозяйства и в отношении продукции[,] и в отношении капитального строительства, и в отношении обеспечения индустриализации соответствующими промышленными разведками земных недр.</w:t>
      </w:r>
    </w:p>
    <w:p w14:paraId="207AEFC5" w14:textId="77777777" w:rsidR="00C07118" w:rsidRPr="00507A31" w:rsidRDefault="00C07118" w:rsidP="00507A31">
      <w:pPr>
        <w:jc w:val="both"/>
        <w:rPr>
          <w:color w:val="000000" w:themeColor="text1"/>
          <w:sz w:val="16"/>
          <w:szCs w:val="16"/>
        </w:rPr>
      </w:pPr>
      <w:r w:rsidRPr="00507A31">
        <w:rPr>
          <w:color w:val="000000" w:themeColor="text1"/>
          <w:sz w:val="16"/>
          <w:szCs w:val="16"/>
        </w:rPr>
        <w:t>б) Путем создания кризисов и диспропорций в развитии основных ведущих отраслей промышленности и транспорта, как то[:] топливной, металлической, химической и энергетической, что должно привести к срыву индустриализации в ее наиболее ответственных частях. Минималистические темпы развития легкой индустрии[,] в особенности текстиля и пищевкусовой промышленности^] должны привести к недовольству широких масс рабочих и крестьян Советской властью, а малокультурные слои рабочих и крестьян может привести к бунтам и восстаниям.</w:t>
      </w:r>
    </w:p>
    <w:p w14:paraId="274D16D5" w14:textId="77777777" w:rsidR="00C07118" w:rsidRPr="00507A31" w:rsidRDefault="00C07118" w:rsidP="00507A31">
      <w:pPr>
        <w:jc w:val="both"/>
        <w:rPr>
          <w:color w:val="000000" w:themeColor="text1"/>
          <w:sz w:val="16"/>
          <w:szCs w:val="16"/>
        </w:rPr>
      </w:pPr>
      <w:r w:rsidRPr="00507A31">
        <w:rPr>
          <w:color w:val="000000" w:themeColor="text1"/>
          <w:sz w:val="16"/>
          <w:szCs w:val="16"/>
        </w:rPr>
        <w:t>в) Путем усиления мелкобуржуазных и капиталистических элементов в Советском Союзе. В этом отношении в особенности целесообразно было способствовать усилению в партии большевиков правого уклона, так как выяснилось, что «правые» не только поддерживают осторожные и, след[овательно], низкие темпы индустриализации, но и считают необходимым не сокращения «НЭПА», но сохранения, поддерживая мелкобуржуазные элементы города и капиталистические элементы деревни в виде крепкого зажиточного мужика. В этом отношении не менее важно установление идеологической и тактической связи с Т.К.П., т. е. Трудовой Крестьянской Партией, успешная работа которой в деревне должна привести к укреплению и росту капиталистических настроений среди крестьян, враждебных советской власти.</w:t>
      </w:r>
    </w:p>
    <w:p w14:paraId="5371C10B" w14:textId="77777777" w:rsidR="00C07118" w:rsidRPr="00507A31" w:rsidRDefault="00C07118" w:rsidP="00507A31">
      <w:pPr>
        <w:jc w:val="both"/>
        <w:rPr>
          <w:color w:val="000000" w:themeColor="text1"/>
          <w:sz w:val="16"/>
          <w:szCs w:val="16"/>
        </w:rPr>
      </w:pPr>
      <w:r w:rsidRPr="00507A31">
        <w:rPr>
          <w:color w:val="000000" w:themeColor="text1"/>
          <w:sz w:val="16"/>
          <w:szCs w:val="16"/>
        </w:rPr>
        <w:t>г) И, наконец, в качестве завершающего этапа всех приведенных выше внутренних контр-революционных диверсий, путем иностранной интервенции, соединенной с экономической блокадой Советского Союза.</w:t>
      </w:r>
    </w:p>
    <w:p w14:paraId="4E07B0C4" w14:textId="77777777" w:rsidR="00C07118" w:rsidRPr="00507A31" w:rsidRDefault="00C07118" w:rsidP="00507A31">
      <w:pPr>
        <w:jc w:val="both"/>
        <w:rPr>
          <w:color w:val="000000" w:themeColor="text1"/>
          <w:sz w:val="16"/>
          <w:szCs w:val="16"/>
        </w:rPr>
      </w:pPr>
      <w:r w:rsidRPr="00507A31">
        <w:rPr>
          <w:color w:val="000000" w:themeColor="text1"/>
          <w:sz w:val="16"/>
          <w:szCs w:val="16"/>
        </w:rPr>
        <w:t>Успешное разрешение поставленной перед собой задачи, т. е. свержение советской власти, Промышленная партия может привести при условии быстрой и согласованной подготовки внутри Советского Союза приведенных выше предварительных контр-революционных диверсий и, заграницей, широко и основательно подготовленной и силами и средствами иностранной интервенции.</w:t>
      </w:r>
    </w:p>
    <w:p w14:paraId="18152D04" w14:textId="77777777" w:rsidR="00C07118" w:rsidRPr="00507A31" w:rsidRDefault="00C07118" w:rsidP="00507A31">
      <w:pPr>
        <w:jc w:val="both"/>
        <w:rPr>
          <w:color w:val="000000" w:themeColor="text1"/>
          <w:sz w:val="16"/>
          <w:szCs w:val="16"/>
        </w:rPr>
      </w:pPr>
      <w:r w:rsidRPr="00507A31">
        <w:rPr>
          <w:color w:val="000000" w:themeColor="text1"/>
          <w:sz w:val="16"/>
          <w:szCs w:val="16"/>
        </w:rPr>
        <w:t>Так возникла и оформилась идея иностранной интервенции и с этого момента[,] т. е. 1927 г., стали усиленно подготовляться к интервенции: заграницей правительственные круги во Франции и бело-эмигрантские круги Парижа, объединенные в Торгпром, а внутри Советского Союза Промышленная партия с ее Центральным комитетом во главе. Состав ЦК Промышленной партии к осени 1927 г. — ПАЛЬЧИНСКИЙ, РАБИНОВИЧ, ЯНУШЕВСКИЙ, ХРЕННИКОВ, КРАЕВСКИЙ, ФЕДОТОВ, РАМЗИН, ЧАРНОВСКИЙ, ЛАРИЧЕВ и я — КАЛИННИКОВ.</w:t>
      </w:r>
    </w:p>
    <w:p w14:paraId="7F6CB5CF" w14:textId="77777777" w:rsidR="00C07118" w:rsidRPr="00507A31" w:rsidRDefault="00C07118" w:rsidP="00507A31">
      <w:pPr>
        <w:jc w:val="both"/>
        <w:rPr>
          <w:color w:val="000000" w:themeColor="text1"/>
          <w:sz w:val="16"/>
          <w:szCs w:val="16"/>
        </w:rPr>
      </w:pPr>
      <w:r w:rsidRPr="00507A31">
        <w:rPr>
          <w:color w:val="000000" w:themeColor="text1"/>
          <w:sz w:val="16"/>
          <w:szCs w:val="16"/>
        </w:rPr>
        <w:t>Установление и поддержание связи ПК Промышленной Партии с иностранными правительственными и капиталистическими и русскими эмигрантскими кругами.</w:t>
      </w:r>
    </w:p>
    <w:p w14:paraId="0887D1B8" w14:textId="77777777" w:rsidR="00C07118" w:rsidRPr="00507A31" w:rsidRDefault="00C07118" w:rsidP="00507A31">
      <w:pPr>
        <w:jc w:val="both"/>
        <w:rPr>
          <w:color w:val="000000" w:themeColor="text1"/>
          <w:sz w:val="16"/>
          <w:szCs w:val="16"/>
        </w:rPr>
      </w:pPr>
      <w:r w:rsidRPr="00507A31">
        <w:rPr>
          <w:color w:val="000000" w:themeColor="text1"/>
          <w:sz w:val="16"/>
          <w:szCs w:val="16"/>
        </w:rPr>
        <w:t>В подготовке иностранной интервенции против Советского Союза главная роль принадлежит Франции и русским белоэмигрантским кругам, объединяющимся около Торгпрома в Париже.</w:t>
      </w:r>
    </w:p>
    <w:p w14:paraId="5D853BB6" w14:textId="77777777" w:rsidR="00C07118" w:rsidRPr="00507A31" w:rsidRDefault="00C07118" w:rsidP="00507A31">
      <w:pPr>
        <w:jc w:val="both"/>
        <w:rPr>
          <w:color w:val="000000" w:themeColor="text1"/>
          <w:sz w:val="16"/>
          <w:szCs w:val="16"/>
        </w:rPr>
      </w:pPr>
      <w:r w:rsidRPr="00507A31">
        <w:rPr>
          <w:color w:val="000000" w:themeColor="text1"/>
          <w:sz w:val="16"/>
          <w:szCs w:val="16"/>
        </w:rPr>
        <w:t>Связь ЦК Промпартии с французскими правительственными кругами и с русскими белоэмигрантами Торгпрома в Париже осуществлялась двояко: во[-]первых[,] через французское посольство в Москве и во- вторых, посредством использования заграничных командировок членов ЦК и отдельных членов Промышленной партии.</w:t>
      </w:r>
    </w:p>
    <w:p w14:paraId="5B5093FA" w14:textId="77777777" w:rsidR="00C07118" w:rsidRPr="00507A31" w:rsidRDefault="00C07118" w:rsidP="00507A31">
      <w:pPr>
        <w:jc w:val="both"/>
        <w:rPr>
          <w:color w:val="000000" w:themeColor="text1"/>
          <w:sz w:val="16"/>
          <w:szCs w:val="16"/>
        </w:rPr>
      </w:pPr>
      <w:r w:rsidRPr="00507A31">
        <w:rPr>
          <w:color w:val="000000" w:themeColor="text1"/>
          <w:sz w:val="16"/>
          <w:szCs w:val="16"/>
        </w:rPr>
        <w:t>Мне известно, что связь с французскими правительственными кругами и русскими белоэмигрантами Торгпрома поддерживалась сначала ХРЕННИКОВЫМ и ФЕДОТОВЫМ и отчасти РАМЗИНЫМ, а позднее — с 1928 и особенно в 1929 г. главным образом РАМЗИНЫМ и ЛАРИЧЕВЫМ и частью мною — КАЛИННИКОВЫМ.</w:t>
      </w:r>
    </w:p>
    <w:p w14:paraId="3D49B603" w14:textId="77777777" w:rsidR="00C07118" w:rsidRPr="00507A31" w:rsidRDefault="00C07118" w:rsidP="00507A31">
      <w:pPr>
        <w:jc w:val="both"/>
        <w:rPr>
          <w:color w:val="000000" w:themeColor="text1"/>
          <w:sz w:val="16"/>
          <w:szCs w:val="16"/>
        </w:rPr>
      </w:pPr>
      <w:r w:rsidRPr="00507A31">
        <w:rPr>
          <w:color w:val="000000" w:themeColor="text1"/>
          <w:sz w:val="16"/>
          <w:szCs w:val="16"/>
        </w:rPr>
        <w:t>Связь осуществлялась в Москве через французское посольство при посредстве КЮФЕРА и РЕНЬО, а РАМЗИНЫМ, по словам ЛАРИЧЕВА, при посредстве французского посла в Москве ЖАН-ЭРБЕТА. Во время своих заграничных поездок руководители ЦК и члены Промпартии ХРЕННИКОВ, ФЕДОТОВ, РАМЗИН и ЛАРИЧЕВ входили в непосредственное сношение с правительственными и парламентскими кругами Франции и руководителями Торгпрома, русскими белоэмигрантами РЯБУШИНСКИМ, ГУКАСОВЫМ, МАТАШЕВЫМ и другими.</w:t>
      </w:r>
    </w:p>
    <w:p w14:paraId="4FD862E9" w14:textId="77777777" w:rsidR="00C07118" w:rsidRPr="00507A31" w:rsidRDefault="00C07118" w:rsidP="00507A31">
      <w:pPr>
        <w:jc w:val="both"/>
        <w:rPr>
          <w:color w:val="000000" w:themeColor="text1"/>
          <w:sz w:val="16"/>
          <w:szCs w:val="16"/>
        </w:rPr>
      </w:pPr>
      <w:r w:rsidRPr="00507A31">
        <w:rPr>
          <w:color w:val="000000" w:themeColor="text1"/>
          <w:sz w:val="16"/>
          <w:szCs w:val="16"/>
        </w:rPr>
        <w:t xml:space="preserve">Осенью 1927 г. в помещении Всесоюзной Ассоциации Инженеров (ВАИ) состоялось два заседания ЦК Промпартии в составе: ПАЛЬЧИНСКИЙ, РАБИНОВИЧ, ЯНУШЕВСКИЙ, КРАСОВСКИЙ, ХРЕННИКОВ, ФЕДОТОВ, РАМЗИН, ЧАРНОВСКИЙ, ЛАРИЧЕВ и я — КАЛИННИКОВ. На первом (окт[ябрь] [19]27) были заслушаны сообщения ХРЕННИКОВА и ФЕДОТОВА об их сношениях с французскими правительственными кругами и русскими бело-эмигрантами. Они сообщили </w:t>
      </w:r>
      <w:r w:rsidRPr="00507A31">
        <w:rPr>
          <w:color w:val="000000" w:themeColor="text1"/>
          <w:sz w:val="16"/>
          <w:szCs w:val="16"/>
        </w:rPr>
        <w:lastRenderedPageBreak/>
        <w:t>ЦК Промпартии, что между обеими названными сторонами, т. е. правительственными кругами Франции и русскими бело-эмигрантами Торгпрома[,] живо дебатируется вопрос об ускоренной подготовке иностранной интервенции против Советского Союза. Правительственные круги Франции опасаются быстро восстанавливающейся и развивающейся экономической мощи и, следовательно, обороноспособности Советского Союза.</w:t>
      </w:r>
    </w:p>
    <w:p w14:paraId="3B576BF9" w14:textId="77777777" w:rsidR="00C07118" w:rsidRPr="00507A31" w:rsidRDefault="00C07118" w:rsidP="00507A31">
      <w:pPr>
        <w:jc w:val="both"/>
        <w:rPr>
          <w:color w:val="000000" w:themeColor="text1"/>
          <w:sz w:val="16"/>
          <w:szCs w:val="16"/>
        </w:rPr>
      </w:pPr>
      <w:r w:rsidRPr="00507A31">
        <w:rPr>
          <w:color w:val="000000" w:themeColor="text1"/>
          <w:sz w:val="16"/>
          <w:szCs w:val="16"/>
        </w:rPr>
        <w:t>В особенности, по мнению правительственных кругов Франции, не следует оттягивать осуществления интервенции против Советского Союза в виду того, что техника вооружения и снаряжения Красной армии значительно отстает от современных иностранных достижений в военном деле, насколько можно судить по тому оборудованию, которое приобретается и заказывается Советским Союзом для своей военной промышленности заграницей.</w:t>
      </w:r>
    </w:p>
    <w:p w14:paraId="23D5F571" w14:textId="77777777" w:rsidR="00C07118" w:rsidRPr="00507A31" w:rsidRDefault="00C07118" w:rsidP="00507A31">
      <w:pPr>
        <w:jc w:val="both"/>
        <w:rPr>
          <w:color w:val="000000" w:themeColor="text1"/>
          <w:sz w:val="16"/>
          <w:szCs w:val="16"/>
        </w:rPr>
      </w:pPr>
      <w:r w:rsidRPr="00507A31">
        <w:rPr>
          <w:color w:val="000000" w:themeColor="text1"/>
          <w:sz w:val="16"/>
          <w:szCs w:val="16"/>
        </w:rPr>
        <w:t>Русские бело-эмигранты Торгпрома интересуются более тем, что они могут получить после проведения иностранной интервенции против Советского Союза в отношении бывшей их собственности в виде разных промышленных предприятий. Поспешная интервенция может, по их мнению, передать в их руки незаконченное восстановление и реконструированные их бывшие промпредприятия.</w:t>
      </w:r>
    </w:p>
    <w:p w14:paraId="6235BC8D" w14:textId="77777777" w:rsidR="00C07118" w:rsidRPr="00507A31" w:rsidRDefault="00C07118" w:rsidP="00507A31">
      <w:pPr>
        <w:jc w:val="both"/>
        <w:rPr>
          <w:color w:val="000000" w:themeColor="text1"/>
          <w:sz w:val="16"/>
          <w:szCs w:val="16"/>
        </w:rPr>
      </w:pPr>
      <w:r w:rsidRPr="00507A31">
        <w:rPr>
          <w:color w:val="000000" w:themeColor="text1"/>
          <w:sz w:val="16"/>
          <w:szCs w:val="16"/>
        </w:rPr>
        <w:t>На втором собрании ЦК Промпартии слушал доклад РАМЗИНА о полученных им сведениях от КЮФЕР[А] из французского посольства в Москве. В это время и далее в течение 1928 г. РАМЗИН имел постоянную связь с французским посольством через КЮФЕРА и РЕНЬО, устраивая свидания с ними у себя на квартире в Теплотехническом Институте. КЮФЕР, по словам РАМЗИНА, сообщил ему для передачи в ЦК Промпартии, что между правительством Франции и бело-эмигрантами из Торгпрома состоялось соглашение о необходимости развернуть и заграницей и внутри Советского Союза интенсивную деятельность по подготовке иностранной интервенции. Правительство Франции подчеркивает особенную важность перед ЦК Промпартии усиление вредительской работы с целью затормозить развитие экономической мощи и обороноспособности Советского Союза.</w:t>
      </w:r>
    </w:p>
    <w:p w14:paraId="428F5885" w14:textId="77777777" w:rsidR="00C07118" w:rsidRPr="00507A31" w:rsidRDefault="00C07118" w:rsidP="00507A31">
      <w:pPr>
        <w:jc w:val="both"/>
        <w:rPr>
          <w:color w:val="000000" w:themeColor="text1"/>
          <w:sz w:val="16"/>
          <w:szCs w:val="16"/>
        </w:rPr>
      </w:pPr>
      <w:r w:rsidRPr="00507A31">
        <w:rPr>
          <w:color w:val="000000" w:themeColor="text1"/>
          <w:sz w:val="16"/>
          <w:szCs w:val="16"/>
        </w:rPr>
        <w:t>По обсуждении этих докладов ХРЕННИКОВА и РАМЗИНА ЦК Промпартии принял решение усилить контр-революционную вредительскую деятельность организаций членов Промпартии в промышленности и на транспорте, использовав для этой цели весьма ответственный момент в жизни Советского Союза, когда шла кипучая работа снизу от промпредприятий и до верху в ВСНХ и Госпланах по разработке и подготовке пятилетних планов развития народного хозяйства, когда намечались и составлялись проекты основных объектов капитального строительства в промышленности и на транспорте. Лозунг для всех был один, это низкие темпы индустриализации, в особенности сдерживать развертывание тяжелой индустрии.</w:t>
      </w:r>
    </w:p>
    <w:p w14:paraId="1043C45B" w14:textId="77777777" w:rsidR="00C07118" w:rsidRPr="00507A31" w:rsidRDefault="00C07118" w:rsidP="00507A31">
      <w:pPr>
        <w:jc w:val="both"/>
        <w:rPr>
          <w:color w:val="000000" w:themeColor="text1"/>
          <w:sz w:val="16"/>
          <w:szCs w:val="16"/>
        </w:rPr>
      </w:pPr>
      <w:r w:rsidRPr="00507A31">
        <w:rPr>
          <w:color w:val="000000" w:themeColor="text1"/>
          <w:sz w:val="16"/>
          <w:szCs w:val="16"/>
        </w:rPr>
        <w:t>3. Организующие силы в подготовке иностранной интервенции.</w:t>
      </w:r>
    </w:p>
    <w:p w14:paraId="12D088F7" w14:textId="77777777" w:rsidR="00C07118" w:rsidRPr="00507A31" w:rsidRDefault="00C07118" w:rsidP="00507A31">
      <w:pPr>
        <w:jc w:val="both"/>
        <w:rPr>
          <w:color w:val="000000" w:themeColor="text1"/>
          <w:sz w:val="16"/>
          <w:szCs w:val="16"/>
        </w:rPr>
      </w:pPr>
      <w:r w:rsidRPr="00507A31">
        <w:rPr>
          <w:color w:val="000000" w:themeColor="text1"/>
          <w:sz w:val="16"/>
          <w:szCs w:val="16"/>
        </w:rPr>
        <w:t>Как видно из только что изложенного, организующими иностранную интервенцию силами являются правительство Франции и русские белоэмигрантские круги, группирующиеся около Торгпрома в Париже.</w:t>
      </w:r>
    </w:p>
    <w:p w14:paraId="65231E28" w14:textId="77777777" w:rsidR="00C07118" w:rsidRPr="00507A31" w:rsidRDefault="00C07118" w:rsidP="00507A31">
      <w:pPr>
        <w:jc w:val="both"/>
        <w:rPr>
          <w:color w:val="000000" w:themeColor="text1"/>
          <w:sz w:val="16"/>
          <w:szCs w:val="16"/>
        </w:rPr>
      </w:pPr>
      <w:r w:rsidRPr="00507A31">
        <w:rPr>
          <w:color w:val="000000" w:themeColor="text1"/>
          <w:sz w:val="16"/>
          <w:szCs w:val="16"/>
        </w:rPr>
        <w:t>Эти стороны приняли в конце 1927 г. согласованное решение — медлить с подготовкой интервенции нельзя, не использовать благоприятные для интервенции политико-экономические предпосылки недопустимо. К этим предпосылкам, по мнению правительственных кругов Франции, относятся:</w:t>
      </w:r>
    </w:p>
    <w:p w14:paraId="0F48C7BD" w14:textId="77777777" w:rsidR="00C07118" w:rsidRPr="00507A31" w:rsidRDefault="00C07118" w:rsidP="00507A31">
      <w:pPr>
        <w:jc w:val="both"/>
        <w:rPr>
          <w:color w:val="000000" w:themeColor="text1"/>
          <w:sz w:val="16"/>
          <w:szCs w:val="16"/>
        </w:rPr>
      </w:pPr>
      <w:r w:rsidRPr="00507A31">
        <w:rPr>
          <w:color w:val="000000" w:themeColor="text1"/>
          <w:sz w:val="16"/>
          <w:szCs w:val="16"/>
        </w:rPr>
        <w:t>Хозяйство Советского Союза, заканчивая свое восстановление, имеет тенденции к быстрому развитию.</w:t>
      </w:r>
    </w:p>
    <w:p w14:paraId="76236404" w14:textId="77777777" w:rsidR="00C07118" w:rsidRPr="00507A31" w:rsidRDefault="00C07118" w:rsidP="00507A31">
      <w:pPr>
        <w:jc w:val="both"/>
        <w:rPr>
          <w:color w:val="000000" w:themeColor="text1"/>
          <w:sz w:val="16"/>
          <w:szCs w:val="16"/>
        </w:rPr>
      </w:pPr>
      <w:r w:rsidRPr="00507A31">
        <w:rPr>
          <w:color w:val="000000" w:themeColor="text1"/>
          <w:sz w:val="16"/>
          <w:szCs w:val="16"/>
        </w:rPr>
        <w:t>Обороноспособность Советского Союза отстает значительно от современных заграничных достижений в технике вооружения и снаряжения армий.</w:t>
      </w:r>
    </w:p>
    <w:p w14:paraId="46C0DCCC" w14:textId="77777777" w:rsidR="00C07118" w:rsidRPr="00507A31" w:rsidRDefault="00C07118" w:rsidP="00507A31">
      <w:pPr>
        <w:jc w:val="both"/>
        <w:rPr>
          <w:color w:val="000000" w:themeColor="text1"/>
          <w:sz w:val="16"/>
          <w:szCs w:val="16"/>
        </w:rPr>
      </w:pPr>
      <w:r w:rsidRPr="00507A31">
        <w:rPr>
          <w:color w:val="000000" w:themeColor="text1"/>
          <w:sz w:val="16"/>
          <w:szCs w:val="16"/>
        </w:rPr>
        <w:t>Особенно угрожающим интервенции моментом, в случае ее откладывания на дальние сроки, является рост интеллекта (психики) Красной армии и ее связей с рабочим классом и крестьянством.</w:t>
      </w:r>
    </w:p>
    <w:p w14:paraId="6FE354F3" w14:textId="77777777" w:rsidR="00C07118" w:rsidRPr="00507A31" w:rsidRDefault="00C07118" w:rsidP="00507A31">
      <w:pPr>
        <w:jc w:val="both"/>
        <w:rPr>
          <w:color w:val="000000" w:themeColor="text1"/>
          <w:sz w:val="16"/>
          <w:szCs w:val="16"/>
        </w:rPr>
      </w:pPr>
      <w:r w:rsidRPr="00507A31">
        <w:rPr>
          <w:color w:val="000000" w:themeColor="text1"/>
          <w:sz w:val="16"/>
          <w:szCs w:val="16"/>
        </w:rPr>
        <w:t>В начале 1928 г. на собрании Ц.К. Промпартии — это передаю со слов Ларичева, т. к. я на нем не присутствовал — в составе ХРЕННИКОВА, ЯНУШЕВСКОГО, ФЕДОТОВА, РАМЗИНА, ЛАРИЧЕВА и ЧАРНОВСКОГО, был доклад РАМЗИНА о полученных им сведениях через посла французского в Москве ЖАНА ЭРБЕТТА, касающихся хода подготовки Франции к интервенции. РАМЗИН сообщил, что при французском штабе были созваны международная комиссия под председательством ген. ЖАНЕНА по поводу распределения ролей в руководстве и по проведению иностранной интервенции против Советского Союза. Этой комиссией было принято, что руководство интервенцией берет на себя Франция, она же будет вести заготовку и поставку боевых снаряжений и вооружения интервенирующих армий.</w:t>
      </w:r>
    </w:p>
    <w:p w14:paraId="7F3EDC1E" w14:textId="77777777" w:rsidR="00C07118" w:rsidRPr="00507A31" w:rsidRDefault="00C07118" w:rsidP="00507A31">
      <w:pPr>
        <w:jc w:val="both"/>
        <w:rPr>
          <w:color w:val="000000" w:themeColor="text1"/>
          <w:sz w:val="16"/>
          <w:szCs w:val="16"/>
        </w:rPr>
      </w:pPr>
      <w:r w:rsidRPr="00507A31">
        <w:rPr>
          <w:color w:val="000000" w:themeColor="text1"/>
          <w:sz w:val="16"/>
          <w:szCs w:val="16"/>
        </w:rPr>
        <w:t>На этом же собрании Ц.К. РАМЗИН сообщил, что через французского посла ЭРБЕТ[Т]А ему удалось установить сношения с полковником французского генерального штаба РИШАРОМ. Подробности мне неизвестны.</w:t>
      </w:r>
    </w:p>
    <w:p w14:paraId="298F7631" w14:textId="77777777" w:rsidR="00C07118" w:rsidRPr="00507A31" w:rsidRDefault="00C07118" w:rsidP="00507A31">
      <w:pPr>
        <w:jc w:val="both"/>
        <w:rPr>
          <w:color w:val="000000" w:themeColor="text1"/>
          <w:sz w:val="16"/>
          <w:szCs w:val="16"/>
        </w:rPr>
      </w:pPr>
      <w:r w:rsidRPr="00507A31">
        <w:rPr>
          <w:color w:val="000000" w:themeColor="text1"/>
          <w:sz w:val="16"/>
          <w:szCs w:val="16"/>
        </w:rPr>
        <w:t>Срок и план иностранной интервенции.</w:t>
      </w:r>
    </w:p>
    <w:p w14:paraId="7FB6030C" w14:textId="77777777" w:rsidR="00C07118" w:rsidRPr="00507A31" w:rsidRDefault="00C07118" w:rsidP="00507A31">
      <w:pPr>
        <w:jc w:val="both"/>
        <w:rPr>
          <w:color w:val="000000" w:themeColor="text1"/>
          <w:sz w:val="16"/>
          <w:szCs w:val="16"/>
        </w:rPr>
      </w:pPr>
      <w:r w:rsidRPr="00507A31">
        <w:rPr>
          <w:color w:val="000000" w:themeColor="text1"/>
          <w:sz w:val="16"/>
          <w:szCs w:val="16"/>
        </w:rPr>
        <w:t>Летом 1928 г. на квартире у РАМЗИНА в Теплотехническом Институте состоялось свидание его с секретарем французского посольства КЮФЕРОМ, на котором присутствовал и я — КАЛИННИКОВ с целью познакомиться с КЮФЕРОМ. На этом свидании КЮФЕР сообщил нам, что французское правительство в согласии с русскими бело-эмигрантскими кругами назначило произвести интервенцию летом (июль) 1930 г. и в настоящее время разрабатывает план интервенции, о котором он сообщил РАМЗИНУ для Ц.К. Промпартии немедленно по получении планов [во] французском посольстве в Москве. Других вопросов КЮФЕР не касался в моем присутствии. Я уехал от РАМЗИНА, а КЮФЕР остался.</w:t>
      </w:r>
    </w:p>
    <w:p w14:paraId="049FEDFB" w14:textId="77777777" w:rsidR="00C07118" w:rsidRPr="00507A31" w:rsidRDefault="00C07118" w:rsidP="00507A31">
      <w:pPr>
        <w:jc w:val="both"/>
        <w:rPr>
          <w:color w:val="000000" w:themeColor="text1"/>
          <w:sz w:val="16"/>
          <w:szCs w:val="16"/>
        </w:rPr>
      </w:pPr>
      <w:r w:rsidRPr="00507A31">
        <w:rPr>
          <w:color w:val="000000" w:themeColor="text1"/>
          <w:sz w:val="16"/>
          <w:szCs w:val="16"/>
        </w:rPr>
        <w:t>Осенью 1928 г. на собрании ЦК Промпартии в составе ХРЕННИКОВ, ФЕДОТОВ, РАМЗИН, ЛАРИЧЕВ, ЧАРНОВСКИЙ и я — КАЛИННИКОВ, в Госплане в кабинете ЛАРИЧЕВА РАМЗИН доложил о полученных им из французского посольства сведениях, а именно:</w:t>
      </w:r>
    </w:p>
    <w:p w14:paraId="06796B29" w14:textId="77777777" w:rsidR="00C07118" w:rsidRPr="00507A31" w:rsidRDefault="00C07118" w:rsidP="00507A31">
      <w:pPr>
        <w:jc w:val="both"/>
        <w:rPr>
          <w:color w:val="000000" w:themeColor="text1"/>
          <w:sz w:val="16"/>
          <w:szCs w:val="16"/>
        </w:rPr>
      </w:pPr>
      <w:r w:rsidRPr="00507A31">
        <w:rPr>
          <w:color w:val="000000" w:themeColor="text1"/>
          <w:sz w:val="16"/>
          <w:szCs w:val="16"/>
        </w:rPr>
        <w:t>Срок иностранной интервенции назначен на лето (июль) 1930 г.</w:t>
      </w:r>
    </w:p>
    <w:p w14:paraId="7B10C77A" w14:textId="77777777" w:rsidR="00C07118" w:rsidRPr="00507A31" w:rsidRDefault="00C07118" w:rsidP="00507A31">
      <w:pPr>
        <w:jc w:val="both"/>
        <w:rPr>
          <w:color w:val="000000" w:themeColor="text1"/>
          <w:sz w:val="16"/>
          <w:szCs w:val="16"/>
        </w:rPr>
      </w:pPr>
      <w:r w:rsidRPr="00507A31">
        <w:rPr>
          <w:color w:val="000000" w:themeColor="text1"/>
          <w:sz w:val="16"/>
          <w:szCs w:val="16"/>
        </w:rPr>
        <w:t>План интервенции принят в следующей общей редакции:</w:t>
      </w:r>
    </w:p>
    <w:p w14:paraId="4DC18D61" w14:textId="77777777" w:rsidR="00C07118" w:rsidRPr="00507A31" w:rsidRDefault="00C07118" w:rsidP="00507A31">
      <w:pPr>
        <w:jc w:val="both"/>
        <w:rPr>
          <w:color w:val="000000" w:themeColor="text1"/>
          <w:sz w:val="16"/>
          <w:szCs w:val="16"/>
        </w:rPr>
      </w:pPr>
      <w:r w:rsidRPr="00507A31">
        <w:rPr>
          <w:color w:val="000000" w:themeColor="text1"/>
          <w:sz w:val="16"/>
          <w:szCs w:val="16"/>
        </w:rPr>
        <w:t>а) Франция руководит, снабжает и вооружает интервенирующие армии, условия снабжения и вооружения устанавливаются путем соглашения Франции с лимитрофными государствами.</w:t>
      </w:r>
    </w:p>
    <w:p w14:paraId="15599809" w14:textId="77777777" w:rsidR="00C07118" w:rsidRPr="00507A31" w:rsidRDefault="00C07118" w:rsidP="00507A31">
      <w:pPr>
        <w:jc w:val="both"/>
        <w:rPr>
          <w:color w:val="000000" w:themeColor="text1"/>
          <w:sz w:val="16"/>
          <w:szCs w:val="16"/>
        </w:rPr>
      </w:pPr>
      <w:r w:rsidRPr="00507A31">
        <w:rPr>
          <w:color w:val="000000" w:themeColor="text1"/>
          <w:sz w:val="16"/>
          <w:szCs w:val="16"/>
        </w:rPr>
        <w:t>б) Лимитрофные государства — Польша, Румыния и Латвия — непосредственно вооруженными силами проводят интервенцию по оперативному плану, разработанному Францией. Агрессивные действия в пограничных полосах начинают Румыния и Польша с целью вызвать Советский Союз на открытие им первым военных действий.</w:t>
      </w:r>
    </w:p>
    <w:p w14:paraId="292A43EC" w14:textId="77777777" w:rsidR="00C07118" w:rsidRPr="00507A31" w:rsidRDefault="00C07118" w:rsidP="00507A31">
      <w:pPr>
        <w:jc w:val="both"/>
        <w:rPr>
          <w:color w:val="000000" w:themeColor="text1"/>
          <w:sz w:val="16"/>
          <w:szCs w:val="16"/>
        </w:rPr>
      </w:pPr>
      <w:r w:rsidRPr="00507A31">
        <w:rPr>
          <w:color w:val="000000" w:themeColor="text1"/>
          <w:sz w:val="16"/>
          <w:szCs w:val="16"/>
        </w:rPr>
        <w:t>в) Руководителем интервенирующих армий со стороны Франции выдвигается известный русский генерал ЛУКОМСКИЙ.</w:t>
      </w:r>
    </w:p>
    <w:p w14:paraId="557C867B" w14:textId="77777777" w:rsidR="00C07118" w:rsidRPr="00507A31" w:rsidRDefault="00C07118" w:rsidP="00507A31">
      <w:pPr>
        <w:jc w:val="both"/>
        <w:rPr>
          <w:color w:val="000000" w:themeColor="text1"/>
          <w:sz w:val="16"/>
          <w:szCs w:val="16"/>
        </w:rPr>
      </w:pPr>
      <w:r w:rsidRPr="00507A31">
        <w:rPr>
          <w:color w:val="000000" w:themeColor="text1"/>
          <w:sz w:val="16"/>
          <w:szCs w:val="16"/>
        </w:rPr>
        <w:t>г) Экономическая блокада обязательно предшествует началу военных действий и сопровождает их.</w:t>
      </w:r>
    </w:p>
    <w:p w14:paraId="253FFD0B" w14:textId="77777777" w:rsidR="00C07118" w:rsidRPr="00507A31" w:rsidRDefault="00C07118" w:rsidP="00507A31">
      <w:pPr>
        <w:jc w:val="both"/>
        <w:rPr>
          <w:color w:val="000000" w:themeColor="text1"/>
          <w:sz w:val="16"/>
          <w:szCs w:val="16"/>
        </w:rPr>
      </w:pPr>
      <w:r w:rsidRPr="00507A31">
        <w:rPr>
          <w:color w:val="000000" w:themeColor="text1"/>
          <w:sz w:val="16"/>
          <w:szCs w:val="16"/>
        </w:rPr>
        <w:t>Это собрание ЦК Промпартии было осведомительное и никаких решений не принималось по докладу РАМЗИНА.</w:t>
      </w:r>
    </w:p>
    <w:p w14:paraId="22DB591A" w14:textId="77777777" w:rsidR="00C07118" w:rsidRPr="00507A31" w:rsidRDefault="00C07118" w:rsidP="00507A31">
      <w:pPr>
        <w:jc w:val="both"/>
        <w:rPr>
          <w:color w:val="000000" w:themeColor="text1"/>
          <w:sz w:val="16"/>
          <w:szCs w:val="16"/>
        </w:rPr>
      </w:pPr>
      <w:r w:rsidRPr="00507A31">
        <w:rPr>
          <w:color w:val="000000" w:themeColor="text1"/>
          <w:sz w:val="16"/>
          <w:szCs w:val="16"/>
        </w:rPr>
        <w:t>В непродолжительном времени после этого заседания ЦК Промпартии я имел свидание с КЮФЕРОМ при следующих обстоятельствах осенью 1928 года.</w:t>
      </w:r>
    </w:p>
    <w:p w14:paraId="53F60692" w14:textId="77777777" w:rsidR="00C07118" w:rsidRPr="00507A31" w:rsidRDefault="00C07118" w:rsidP="00507A31">
      <w:pPr>
        <w:jc w:val="both"/>
        <w:rPr>
          <w:color w:val="000000" w:themeColor="text1"/>
          <w:sz w:val="16"/>
          <w:szCs w:val="16"/>
        </w:rPr>
      </w:pPr>
      <w:r w:rsidRPr="00507A31">
        <w:rPr>
          <w:color w:val="000000" w:themeColor="text1"/>
          <w:sz w:val="16"/>
          <w:szCs w:val="16"/>
        </w:rPr>
        <w:t>Моя встреча с КЮФЕРОМ произошла на премьере &lt;спектакля&gt; «Наталия Тарпова» в Камерном театре, в антракте, фойе. При встрече с КЮФЕРОМ у РАМЗИНА мне стало известно, что персонал французского посольства очень интересуется постановками Камерного театра и не пропускает премьер, поэтому, отправляясь смотреть премьеру, я рас[с]читывал встретить КЮФЕРА. И на самом деле в первом же антракте в фойе я встретил КЮФЕРА в обществе двух дам и одного мужчины, которого КЮФЕР представил мне, назвав месье РЕНЬО, &lt;как&gt; сотрудника французского посольства.</w:t>
      </w:r>
    </w:p>
    <w:p w14:paraId="2066FDDC" w14:textId="77777777" w:rsidR="00C07118" w:rsidRPr="00507A31" w:rsidRDefault="00C07118" w:rsidP="00507A31">
      <w:pPr>
        <w:jc w:val="both"/>
        <w:rPr>
          <w:color w:val="000000" w:themeColor="text1"/>
          <w:sz w:val="16"/>
          <w:szCs w:val="16"/>
        </w:rPr>
      </w:pPr>
      <w:r w:rsidRPr="00507A31">
        <w:rPr>
          <w:color w:val="000000" w:themeColor="text1"/>
          <w:sz w:val="16"/>
          <w:szCs w:val="16"/>
        </w:rPr>
        <w:t>В следующем антракте КЮФЕР сообщил мне, что он недавно имел свидание с РАМЗИНЫМ и ЛАРИЧЕВЫМ, которым сделал подробное сообщение о сроке иностранной интервенции и планах ее проведения. КЮФЕР подробно повторил содержание сообщения РАМЗИНА на ЦК Промпартии, только что мною выше изложенное.</w:t>
      </w:r>
    </w:p>
    <w:p w14:paraId="2A25AD33" w14:textId="77777777" w:rsidR="00C07118" w:rsidRPr="00507A31" w:rsidRDefault="00C07118" w:rsidP="00507A31">
      <w:pPr>
        <w:jc w:val="both"/>
        <w:rPr>
          <w:color w:val="000000" w:themeColor="text1"/>
          <w:sz w:val="16"/>
          <w:szCs w:val="16"/>
        </w:rPr>
      </w:pPr>
      <w:r w:rsidRPr="00507A31">
        <w:rPr>
          <w:color w:val="000000" w:themeColor="text1"/>
          <w:sz w:val="16"/>
          <w:szCs w:val="16"/>
        </w:rPr>
        <w:t>Новое, что я узнал от КЮФЕРА, это его желание узнать мнение ЦК Промпартии относительно назначенного срока интервенции, какая хозяйственная конъюнктура ожидается в средине [19]30 года в Советском Союзе. Беседа длилась не более 20 минут.</w:t>
      </w:r>
    </w:p>
    <w:p w14:paraId="027253EC" w14:textId="77777777" w:rsidR="00C07118" w:rsidRPr="00507A31" w:rsidRDefault="00C07118" w:rsidP="00507A31">
      <w:pPr>
        <w:jc w:val="both"/>
        <w:rPr>
          <w:color w:val="000000" w:themeColor="text1"/>
          <w:sz w:val="16"/>
          <w:szCs w:val="16"/>
        </w:rPr>
      </w:pPr>
      <w:r w:rsidRPr="00507A31">
        <w:rPr>
          <w:color w:val="000000" w:themeColor="text1"/>
          <w:sz w:val="16"/>
          <w:szCs w:val="16"/>
        </w:rPr>
        <w:t>Независимо от этого запроса КЮФЕРА ЦК Промпартии по собственной инициативе организовал два совещания: одно для заслушания доклада ГИНЗБУРГА по экономике промышленности в 1930 г. в присутствии СОКОЛОВСКОГО и БЕЛОЦЕРКОВСКОГО в кабинете ШЕЙНА в НТУ ВСНХ под его председательством в присутствии ЧАРНОВСКОГО, ЛАРИЧЕВА и меня — КАЛИННИКОВА. Второе совещание было организовано в Госплане в кабинете ЛАРИЧЕВА для выслушивания доклада ГРОМАНА по общей конъюнктуре на 1930 год. Я не присутствовал на втором совещании и не могу назвать состав.</w:t>
      </w:r>
    </w:p>
    <w:p w14:paraId="770A48C4" w14:textId="77777777" w:rsidR="00C07118" w:rsidRPr="00507A31" w:rsidRDefault="00C07118" w:rsidP="00507A31">
      <w:pPr>
        <w:jc w:val="both"/>
        <w:rPr>
          <w:color w:val="000000" w:themeColor="text1"/>
          <w:sz w:val="16"/>
          <w:szCs w:val="16"/>
        </w:rPr>
      </w:pPr>
      <w:r w:rsidRPr="00507A31">
        <w:rPr>
          <w:color w:val="000000" w:themeColor="text1"/>
          <w:sz w:val="16"/>
          <w:szCs w:val="16"/>
        </w:rPr>
        <w:t>Оба эти совещания пришли к одному близко совпадающему выводу в оценке ожидаемой конъюнктуры в 1930 г., а именно: производство и капитальное строительство будут испытывать значительное затруднение в отношении обеспечения основным сырьем, строительными материалами и главным образом, в отношении финансовом и продовольственном. Этот конъюнктурный анализ 1930 г. не был неожиданностью для ЦК Промпартии, так как его членам было это обстоятельство известно еще при составлении пятилетки, когда еще большие экономические затруднения нужно ожидать летом 1931 года[.] ЛАРИЧЕВЫМ, по поручению ЦК Промпартии, эта оценка конъюнктуры 1930 г. была сообщена КЮФЕРУ.</w:t>
      </w:r>
    </w:p>
    <w:p w14:paraId="609684B5" w14:textId="77777777" w:rsidR="00C07118" w:rsidRPr="00507A31" w:rsidRDefault="00C07118" w:rsidP="00507A31">
      <w:pPr>
        <w:jc w:val="both"/>
        <w:rPr>
          <w:color w:val="000000" w:themeColor="text1"/>
          <w:sz w:val="16"/>
          <w:szCs w:val="16"/>
        </w:rPr>
      </w:pPr>
      <w:r w:rsidRPr="00507A31">
        <w:rPr>
          <w:color w:val="000000" w:themeColor="text1"/>
          <w:sz w:val="16"/>
          <w:szCs w:val="16"/>
        </w:rPr>
        <w:t>Отсрочка иностранной интервенции.</w:t>
      </w:r>
    </w:p>
    <w:p w14:paraId="096E0E1E" w14:textId="77777777" w:rsidR="00C07118" w:rsidRPr="00507A31" w:rsidRDefault="00C07118" w:rsidP="00507A31">
      <w:pPr>
        <w:jc w:val="both"/>
        <w:rPr>
          <w:color w:val="000000" w:themeColor="text1"/>
          <w:sz w:val="16"/>
          <w:szCs w:val="16"/>
        </w:rPr>
      </w:pPr>
      <w:r w:rsidRPr="00507A31">
        <w:rPr>
          <w:color w:val="000000" w:themeColor="text1"/>
          <w:sz w:val="16"/>
          <w:szCs w:val="16"/>
        </w:rPr>
        <w:t>Первая половина 1929 года была периодом угнетенного состояния в деятельности ЦК Промпартии под влиянием начавшегося разгрома контр-революционных организаций Промпартии в разных отраслях промышленности — военной промышленности, золотоплатиновой, бумажной, металлической, химической и других[;] были арестованы члены ЦК, бывшие его руководители ПАЛЬЧИНСКИЙ, ХРЕННИКОВ, наконец, ФЕДОТОВ, а ранее, т. е. в 1928 г. были арестованы ЯНУШЕВСКИЙ, РАБИНОВИЧ и КРАС[0]ВСКИЙ[;] и первую половину 1929 г. отсутствовал.</w:t>
      </w:r>
    </w:p>
    <w:p w14:paraId="5E2039C3" w14:textId="77777777" w:rsidR="00C07118" w:rsidRPr="00507A31" w:rsidRDefault="00C07118" w:rsidP="00507A31">
      <w:pPr>
        <w:jc w:val="both"/>
        <w:rPr>
          <w:color w:val="000000" w:themeColor="text1"/>
          <w:sz w:val="16"/>
          <w:szCs w:val="16"/>
        </w:rPr>
      </w:pPr>
      <w:r w:rsidRPr="00507A31">
        <w:rPr>
          <w:color w:val="000000" w:themeColor="text1"/>
          <w:sz w:val="16"/>
          <w:szCs w:val="16"/>
        </w:rPr>
        <w:t>Возвращаясь с Лондонской Всемирной конференции по Энергетике через Париж, РАМЗИИ и ЛАРИЧЕВ установили связь с Торгпромом в лице РЯБУШИНСКОГО, который через ЛУШЕРА поддерживал сношения с французским правительством. Они узнали, что в виду происшедших задержек в снаряжении и вооружении армий лимитрофных государств и в виду взаимной недоговоренности этих государств, принимая во внимание, что Советский Союз не начнет сам военных действий во избежание срыва удачно осуществляемой пятилетки, французские правительственные круги намечают отсрочку интервенции на год-полтора. Окончательное решение по этому вопросу можно ожидать не ранее осени 1929 года. Русские бело-эмигрантские круги Торгпрома с своей стороны мотивировали необходимость отсрочки интервенции на год еще и тем, что по многолетним статистическим наблюдениям можно ожидать в 1931 г. большого неурожая на территории Советского Союза.</w:t>
      </w:r>
    </w:p>
    <w:p w14:paraId="1554D5C5" w14:textId="77777777" w:rsidR="00C07118" w:rsidRPr="00507A31" w:rsidRDefault="00C07118" w:rsidP="00507A31">
      <w:pPr>
        <w:jc w:val="both"/>
        <w:rPr>
          <w:color w:val="000000" w:themeColor="text1"/>
          <w:sz w:val="16"/>
          <w:szCs w:val="16"/>
        </w:rPr>
      </w:pPr>
      <w:r w:rsidRPr="00507A31">
        <w:rPr>
          <w:color w:val="000000" w:themeColor="text1"/>
          <w:sz w:val="16"/>
          <w:szCs w:val="16"/>
        </w:rPr>
        <w:lastRenderedPageBreak/>
        <w:t>Эти предварительные сведения из Парижа, привезенные РАМЗИНЫМ и ЛАРИЧЕВЫМ, были в окончательной форме переданы из французского посольства непосредственно ЭРБЕТ[Т]ОМ РАМЗИНУ и через КЮФЕРА ЛАРИЧЕВУ и мне — КАЛИННИКОВУ на квартире ЛАРИЧЕВА в декабре 1929 г. КЮФЕР, подтверждая только что изложенную мотивировку переноса интервенции, сказал, что отсрочка принята на один год. КЮФЕР прибавил, что интервенирующим армиям в своих оперативных планах и французскому штабу при разработке общего плана действий необходимо учесть имеющиеся сведения относительно боевой, технической и тактической подготовленности Красной армии, которые она показала в своих блестящих операциях на Дальнем Восточном фронте в связи с ликвидацией инцидента на Китайско-Восточной ж. д. Свидание с КЮФЕРОМ продолжалось около 20-30 минут и сообщения КЮФЕР[А] были ЛАРИЧЕВЫМ доложены на ближайшем заседании ЦК Промпартии в начале января 1930 г. в составе РАМЗИНА, ЛАРИЧЕВА, ЧАРНОВСКОГО и я — КАЛИННИКОВ.</w:t>
      </w:r>
    </w:p>
    <w:p w14:paraId="72999791" w14:textId="77777777" w:rsidR="00C07118" w:rsidRPr="00507A31" w:rsidRDefault="00C07118" w:rsidP="00507A31">
      <w:pPr>
        <w:jc w:val="both"/>
        <w:rPr>
          <w:color w:val="000000" w:themeColor="text1"/>
          <w:sz w:val="16"/>
          <w:szCs w:val="16"/>
        </w:rPr>
      </w:pPr>
      <w:r w:rsidRPr="00507A31">
        <w:rPr>
          <w:color w:val="000000" w:themeColor="text1"/>
          <w:sz w:val="16"/>
          <w:szCs w:val="16"/>
        </w:rPr>
        <w:t>На этом заседании ЦК Промпартии принял и последнее свое решение в связи с интервенцией, а именно, по предложению РАМЗИНА, принято развернуть работу по организации военных ячеек из членов Промпартии в учреждениях Красной армии. Это решение к моменту ареста всего состава ЦК Промпартии, как мне известно, осталось практически не реализованным.</w:t>
      </w:r>
    </w:p>
    <w:p w14:paraId="09588DF0" w14:textId="77777777" w:rsidR="00C07118" w:rsidRPr="00507A31" w:rsidRDefault="00C07118" w:rsidP="00507A31">
      <w:pPr>
        <w:jc w:val="both"/>
        <w:rPr>
          <w:color w:val="000000" w:themeColor="text1"/>
          <w:sz w:val="16"/>
          <w:szCs w:val="16"/>
        </w:rPr>
      </w:pPr>
      <w:r w:rsidRPr="00507A31">
        <w:rPr>
          <w:color w:val="000000" w:themeColor="text1"/>
          <w:sz w:val="16"/>
          <w:szCs w:val="16"/>
        </w:rPr>
        <w:t>Установление связи Промпартии с правительством Франции и русскими бело-эмигрантскими кругами в 1930 г.</w:t>
      </w:r>
    </w:p>
    <w:p w14:paraId="2549F832" w14:textId="77777777" w:rsidR="00C07118" w:rsidRPr="00507A31" w:rsidRDefault="00C07118" w:rsidP="00507A31">
      <w:pPr>
        <w:jc w:val="both"/>
        <w:rPr>
          <w:color w:val="000000" w:themeColor="text1"/>
          <w:sz w:val="16"/>
          <w:szCs w:val="16"/>
        </w:rPr>
      </w:pPr>
      <w:r w:rsidRPr="00507A31">
        <w:rPr>
          <w:color w:val="000000" w:themeColor="text1"/>
          <w:sz w:val="16"/>
          <w:szCs w:val="16"/>
        </w:rPr>
        <w:t>В июле мес[яце] предполагалась заграничная поездка РАМЗИНА и, как мне известно от него, РАМЗИН предполагал использовать хорошие отношения ЛУШЕРА к РЯБУШИНСКОМУ и к Торгпрому и установить непосредственные сношения с правительственными кругами Франции по вопросам интервенции. Также РАМЗИН предполагал от генерала ЛУКОМСКОГО получить руководящие указания для военных ячеек Промпартии в учреждениях Красной армии.</w:t>
      </w:r>
    </w:p>
    <w:p w14:paraId="21C35EFF" w14:textId="77777777" w:rsidR="00C07118" w:rsidRPr="00507A31" w:rsidRDefault="00C07118" w:rsidP="00507A31">
      <w:pPr>
        <w:jc w:val="both"/>
        <w:rPr>
          <w:color w:val="000000" w:themeColor="text1"/>
          <w:sz w:val="16"/>
          <w:szCs w:val="16"/>
        </w:rPr>
      </w:pPr>
      <w:r w:rsidRPr="00507A31">
        <w:rPr>
          <w:color w:val="000000" w:themeColor="text1"/>
          <w:sz w:val="16"/>
          <w:szCs w:val="16"/>
        </w:rPr>
        <w:t>О конкретных результатах поездки РАМЗИНА в исполнении взятых на себя поручений мне ничего неизвестно, так как после возвращения РАМЗИНА из-за границы до моего ареста 22 июля с. г. я с РАМЗИНЫМ не встречался.</w:t>
      </w:r>
    </w:p>
    <w:p w14:paraId="5F202564" w14:textId="77777777" w:rsidR="00C07118" w:rsidRPr="00507A31" w:rsidRDefault="00C07118" w:rsidP="00507A31">
      <w:pPr>
        <w:jc w:val="both"/>
        <w:rPr>
          <w:color w:val="000000" w:themeColor="text1"/>
          <w:sz w:val="16"/>
          <w:szCs w:val="16"/>
        </w:rPr>
      </w:pPr>
      <w:r w:rsidRPr="00507A31">
        <w:rPr>
          <w:color w:val="000000" w:themeColor="text1"/>
          <w:sz w:val="16"/>
          <w:szCs w:val="16"/>
        </w:rPr>
        <w:t>Заявление.</w:t>
      </w:r>
    </w:p>
    <w:p w14:paraId="6F47557A" w14:textId="77777777" w:rsidR="00C07118" w:rsidRPr="00507A31" w:rsidRDefault="00C07118" w:rsidP="00507A31">
      <w:pPr>
        <w:jc w:val="both"/>
        <w:rPr>
          <w:color w:val="000000" w:themeColor="text1"/>
          <w:sz w:val="16"/>
          <w:szCs w:val="16"/>
        </w:rPr>
      </w:pPr>
      <w:r w:rsidRPr="00507A31">
        <w:rPr>
          <w:color w:val="000000" w:themeColor="text1"/>
          <w:sz w:val="16"/>
          <w:szCs w:val="16"/>
        </w:rPr>
        <w:t>В заключение признаю себя полностью виновным в том, что состоял в контр-революционной организации, именуемой Промышленной партией, поставившей себе целью путем вредительских действий внутри СССР и блока с иностранной интервенцией свержение советской власти, таким образом, я признаю себя виновным в государственной измене. Вместе с тем, сознавая [всю] преступность, как моих деяний, так и деятельности Промышленной партии, торжественно обещаю приложить все усилия, чтобы самоотверженной работой по своей специальности и квалификации в области, которую найдут возможным предоставить мне советская власть, искупить тот вред, который причинял Советскому Союзу.</w:t>
      </w:r>
    </w:p>
    <w:p w14:paraId="1EA71598" w14:textId="77777777" w:rsidR="00C07118" w:rsidRPr="00507A31" w:rsidRDefault="00C07118" w:rsidP="00507A31">
      <w:pPr>
        <w:jc w:val="both"/>
        <w:rPr>
          <w:color w:val="000000" w:themeColor="text1"/>
          <w:sz w:val="16"/>
          <w:szCs w:val="16"/>
        </w:rPr>
      </w:pPr>
      <w:r w:rsidRPr="00507A31">
        <w:rPr>
          <w:color w:val="000000" w:themeColor="text1"/>
          <w:sz w:val="16"/>
          <w:szCs w:val="16"/>
        </w:rPr>
        <w:t>31/Х-1930 г. И. А. КАЛИННИКОВ.</w:t>
      </w:r>
    </w:p>
    <w:p w14:paraId="0AF42DD5"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Допросили: НАЧ СОУ ОГПУ АГРАНОВ.</w:t>
      </w:r>
    </w:p>
    <w:p w14:paraId="548EEE0A" w14:textId="77777777" w:rsidR="00C07118" w:rsidRPr="00507A31" w:rsidRDefault="00C07118" w:rsidP="00507A31">
      <w:pPr>
        <w:jc w:val="both"/>
        <w:rPr>
          <w:color w:val="000000" w:themeColor="text1"/>
          <w:sz w:val="16"/>
          <w:szCs w:val="16"/>
        </w:rPr>
      </w:pPr>
      <w:r w:rsidRPr="00507A31">
        <w:rPr>
          <w:color w:val="000000" w:themeColor="text1"/>
          <w:sz w:val="16"/>
          <w:szCs w:val="16"/>
        </w:rPr>
        <w:t>НАЧ 3 ОТДЕЛЕНИЯ СО СЛАВАТИНСКИЙ.</w:t>
      </w:r>
    </w:p>
    <w:p w14:paraId="0A4ECF2D" w14:textId="77777777" w:rsidR="00C07118" w:rsidRPr="00507A31" w:rsidRDefault="00C07118" w:rsidP="00507A31">
      <w:pPr>
        <w:jc w:val="both"/>
        <w:rPr>
          <w:color w:val="000000" w:themeColor="text1"/>
          <w:sz w:val="16"/>
          <w:szCs w:val="16"/>
        </w:rPr>
      </w:pPr>
      <w:r w:rsidRPr="00507A31">
        <w:rPr>
          <w:color w:val="000000" w:themeColor="text1"/>
          <w:sz w:val="16"/>
          <w:szCs w:val="16"/>
        </w:rPr>
        <w:t>Д. 355. Л. 36-49. Заверенная машинописная копия того времени. Протокол допроса И. А. Калинникова был направлен в ЦК В КП (б) на имя И. В. Сталина 1 ноября 1930 г. одновременно с протоколами допросов Рамзина, Ларичева, Чарновского, Очкина и Соловьева от 31/Х-1930 г. (см. легенду к док. № 355-1) (18493).</w:t>
      </w:r>
    </w:p>
    <w:p w14:paraId="0C6EA726" w14:textId="77777777" w:rsidR="00C07118" w:rsidRPr="00507A31" w:rsidRDefault="00C07118" w:rsidP="00507A31">
      <w:pPr>
        <w:jc w:val="both"/>
        <w:rPr>
          <w:color w:val="000000" w:themeColor="text1"/>
          <w:sz w:val="16"/>
          <w:szCs w:val="16"/>
        </w:rPr>
      </w:pPr>
    </w:p>
    <w:p w14:paraId="0C0F2052"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3B579027" w14:textId="77777777" w:rsidR="00C07118" w:rsidRPr="00507A31" w:rsidRDefault="00C07118" w:rsidP="00507A31">
      <w:pPr>
        <w:jc w:val="both"/>
        <w:rPr>
          <w:color w:val="000000" w:themeColor="text1"/>
          <w:sz w:val="16"/>
          <w:szCs w:val="16"/>
        </w:rPr>
      </w:pPr>
      <w:r w:rsidRPr="00507A31">
        <w:rPr>
          <w:color w:val="000000" w:themeColor="text1"/>
          <w:sz w:val="16"/>
          <w:szCs w:val="16"/>
        </w:rPr>
        <w:t>Показания В. А. Ларичева «об участии Промышленной партии в подготовке интервенции против СССР». 31 октября 1930 г.</w:t>
      </w:r>
    </w:p>
    <w:p w14:paraId="29420202" w14:textId="77777777" w:rsidR="00C07118" w:rsidRPr="00507A31" w:rsidRDefault="00C07118" w:rsidP="00507A31">
      <w:pPr>
        <w:jc w:val="both"/>
        <w:rPr>
          <w:color w:val="000000" w:themeColor="text1"/>
          <w:sz w:val="16"/>
          <w:szCs w:val="16"/>
        </w:rPr>
      </w:pPr>
      <w:r w:rsidRPr="00507A31">
        <w:rPr>
          <w:color w:val="000000" w:themeColor="text1"/>
          <w:sz w:val="16"/>
          <w:szCs w:val="16"/>
        </w:rPr>
        <w:t>Источник: </w:t>
      </w:r>
    </w:p>
    <w:p w14:paraId="6453D866" w14:textId="77777777" w:rsidR="00C07118" w:rsidRPr="00507A31" w:rsidRDefault="00C0711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A19A71" w14:textId="77777777" w:rsidR="00C07118" w:rsidRPr="00507A31" w:rsidRDefault="00C07118" w:rsidP="00507A31">
      <w:pPr>
        <w:jc w:val="both"/>
        <w:rPr>
          <w:color w:val="000000" w:themeColor="text1"/>
          <w:sz w:val="16"/>
          <w:szCs w:val="16"/>
        </w:rPr>
      </w:pPr>
      <w:r w:rsidRPr="00507A31">
        <w:rPr>
          <w:color w:val="000000" w:themeColor="text1"/>
          <w:sz w:val="16"/>
          <w:szCs w:val="16"/>
        </w:rPr>
        <w:t>Архив: </w:t>
      </w:r>
    </w:p>
    <w:p w14:paraId="75AED5A3" w14:textId="77777777" w:rsidR="00C07118" w:rsidRPr="00507A31" w:rsidRDefault="00C07118" w:rsidP="00507A31">
      <w:pPr>
        <w:jc w:val="both"/>
        <w:rPr>
          <w:color w:val="000000" w:themeColor="text1"/>
          <w:sz w:val="16"/>
          <w:szCs w:val="16"/>
        </w:rPr>
      </w:pPr>
      <w:r w:rsidRPr="00507A31">
        <w:rPr>
          <w:color w:val="000000" w:themeColor="text1"/>
          <w:sz w:val="16"/>
          <w:szCs w:val="16"/>
        </w:rPr>
        <w:t>ЦА ФСБ РФ. Ф. Р-42280. Т. 10. Л. 121-126 об.</w:t>
      </w:r>
    </w:p>
    <w:p w14:paraId="4F46C054"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684D48EE" w14:textId="77777777" w:rsidR="00C07118" w:rsidRPr="00507A31" w:rsidRDefault="00C07118" w:rsidP="00507A31">
      <w:pPr>
        <w:jc w:val="both"/>
        <w:rPr>
          <w:color w:val="000000" w:themeColor="text1"/>
          <w:sz w:val="16"/>
          <w:szCs w:val="16"/>
        </w:rPr>
      </w:pPr>
      <w:r w:rsidRPr="00507A31">
        <w:rPr>
          <w:color w:val="000000" w:themeColor="text1"/>
          <w:sz w:val="16"/>
          <w:szCs w:val="16"/>
        </w:rPr>
        <w:t>[Строго секретно]</w:t>
      </w:r>
    </w:p>
    <w:p w14:paraId="77F3BA4F" w14:textId="77777777" w:rsidR="00C07118" w:rsidRPr="00507A31" w:rsidRDefault="00C07118" w:rsidP="00507A31">
      <w:pPr>
        <w:jc w:val="both"/>
        <w:rPr>
          <w:color w:val="000000" w:themeColor="text1"/>
          <w:sz w:val="16"/>
          <w:szCs w:val="16"/>
        </w:rPr>
      </w:pPr>
      <w:r w:rsidRPr="00507A31">
        <w:rPr>
          <w:color w:val="000000" w:themeColor="text1"/>
          <w:sz w:val="16"/>
          <w:szCs w:val="16"/>
        </w:rPr>
        <w:t>ПРОТОКОЛ ПОКАЗАНИЙ</w:t>
      </w:r>
    </w:p>
    <w:p w14:paraId="5C3F5F76" w14:textId="77777777" w:rsidR="00C07118" w:rsidRPr="00507A31" w:rsidRDefault="00C07118" w:rsidP="00507A31">
      <w:pPr>
        <w:jc w:val="both"/>
        <w:rPr>
          <w:color w:val="000000" w:themeColor="text1"/>
          <w:sz w:val="16"/>
          <w:szCs w:val="16"/>
        </w:rPr>
      </w:pPr>
      <w:r w:rsidRPr="00507A31">
        <w:rPr>
          <w:color w:val="000000" w:themeColor="text1"/>
          <w:sz w:val="16"/>
          <w:szCs w:val="16"/>
        </w:rPr>
        <w:t>ЛАРИЧЕВА Виктора Алексеевича от 31/Х-1930 г.</w:t>
      </w:r>
    </w:p>
    <w:p w14:paraId="063E07F7"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Допрошенный Нач. Секретного Отделения] ОГПУ АГРАНОВЫМ и П[ом]/нач. 3-го отделения] СООГПУ РАДЗИВИЛОВСКИМ, я показал следующее:</w:t>
      </w:r>
    </w:p>
    <w:p w14:paraId="14C436E5" w14:textId="77777777" w:rsidR="00C07118" w:rsidRPr="00507A31" w:rsidRDefault="00C07118" w:rsidP="00507A31">
      <w:pPr>
        <w:jc w:val="both"/>
        <w:rPr>
          <w:color w:val="000000" w:themeColor="text1"/>
          <w:sz w:val="16"/>
          <w:szCs w:val="16"/>
        </w:rPr>
      </w:pPr>
      <w:r w:rsidRPr="00507A31">
        <w:rPr>
          <w:color w:val="000000" w:themeColor="text1"/>
          <w:sz w:val="16"/>
          <w:szCs w:val="16"/>
        </w:rPr>
        <w:t>Об участии Промышленной партии в подготовке интервенции против СССР.</w:t>
      </w:r>
    </w:p>
    <w:p w14:paraId="467AB074" w14:textId="77777777" w:rsidR="00C07118" w:rsidRPr="00507A31" w:rsidRDefault="00C07118" w:rsidP="00507A31">
      <w:pPr>
        <w:jc w:val="both"/>
        <w:rPr>
          <w:color w:val="000000" w:themeColor="text1"/>
          <w:sz w:val="16"/>
          <w:szCs w:val="16"/>
        </w:rPr>
      </w:pPr>
      <w:r w:rsidRPr="00507A31">
        <w:rPr>
          <w:color w:val="000000" w:themeColor="text1"/>
          <w:sz w:val="16"/>
          <w:szCs w:val="16"/>
        </w:rPr>
        <w:t>Промышленная партия, объединившая все вредительские и контрреволюционные организации Инженерно-технического центра, с самого начала своей деятельности видела в интервенции главную реальную силу, могущую привести к свержению советской власти. В силу этого деятельность различных организаций, руководимых Промышленной партией, была направлена к тому, чтобы внутри Советского Союза создать условия, облегчающие проведение интервенции вооруженными силами иностранных держав.</w:t>
      </w:r>
    </w:p>
    <w:p w14:paraId="6BD033FF" w14:textId="77777777" w:rsidR="00C07118" w:rsidRPr="00507A31" w:rsidRDefault="00C07118" w:rsidP="00507A31">
      <w:pPr>
        <w:jc w:val="both"/>
        <w:rPr>
          <w:color w:val="000000" w:themeColor="text1"/>
          <w:sz w:val="16"/>
          <w:szCs w:val="16"/>
        </w:rPr>
      </w:pPr>
      <w:r w:rsidRPr="00507A31">
        <w:rPr>
          <w:color w:val="000000" w:themeColor="text1"/>
          <w:sz w:val="16"/>
          <w:szCs w:val="16"/>
        </w:rPr>
        <w:t>Деятельность Промышленной партии в этом направлении вдохновлялась заграничными кругами и прежде всего Торгово-промышленным комитетом в Париже (так наз[ываемым] Торгпромом) — являвшимся объединением бывш. собственников царской России. Торгпромом велась усиленная кампания и агитация среди заграничных кругов по обработке общественного мнения о необходимости интервенции против СССР. Но, главное, что, благодаря своим связям с крупными капиталистическими кругами, Торгпром мог оказывать влияние и на правительственную политику иностранных государств, в первую очередь Франции — и смог заручиться поддержкой милитаристически настроенных заграничных кругов.</w:t>
      </w:r>
    </w:p>
    <w:p w14:paraId="2D67A005" w14:textId="77777777" w:rsidR="00C07118" w:rsidRPr="00507A31" w:rsidRDefault="00C07118" w:rsidP="00507A31">
      <w:pPr>
        <w:jc w:val="both"/>
        <w:rPr>
          <w:color w:val="000000" w:themeColor="text1"/>
          <w:sz w:val="16"/>
          <w:szCs w:val="16"/>
        </w:rPr>
      </w:pPr>
      <w:r w:rsidRPr="00507A31">
        <w:rPr>
          <w:color w:val="000000" w:themeColor="text1"/>
          <w:sz w:val="16"/>
          <w:szCs w:val="16"/>
        </w:rPr>
        <w:t>Поскольку Торгпром являлся в то же время идейным руководителем и вдохновителем ведущейся в СССР вредительской и контрреволюционной деятельности, его политика и усилия, предпринимаемые в организации интервенции против СССР, решительным образом повлияли на направление деятельности Промышленной партии.</w:t>
      </w:r>
    </w:p>
    <w:p w14:paraId="7B72A652" w14:textId="77777777" w:rsidR="00C07118" w:rsidRPr="00507A31" w:rsidRDefault="00C07118" w:rsidP="00507A31">
      <w:pPr>
        <w:jc w:val="both"/>
        <w:rPr>
          <w:color w:val="000000" w:themeColor="text1"/>
          <w:sz w:val="16"/>
          <w:szCs w:val="16"/>
        </w:rPr>
      </w:pPr>
      <w:r w:rsidRPr="00507A31">
        <w:rPr>
          <w:color w:val="000000" w:themeColor="text1"/>
          <w:sz w:val="16"/>
          <w:szCs w:val="16"/>
        </w:rPr>
        <w:t>Более или менее определенные данные о ведущейся заграницей подготовке к интервенции против СССР были получены через видного деятеля инж[енерно]-тех[нического] центра, позднее председателя ЦК Промышленной партии — через профессора Л. К. РАМЗИНА, после его возвращения из-за границы в декабре 1927 года.</w:t>
      </w:r>
    </w:p>
    <w:p w14:paraId="78639511" w14:textId="77777777" w:rsidR="00C07118" w:rsidRPr="00507A31" w:rsidRDefault="00C07118" w:rsidP="00507A31">
      <w:pPr>
        <w:jc w:val="both"/>
        <w:rPr>
          <w:color w:val="000000" w:themeColor="text1"/>
          <w:sz w:val="16"/>
          <w:szCs w:val="16"/>
        </w:rPr>
      </w:pPr>
      <w:r w:rsidRPr="00507A31">
        <w:rPr>
          <w:color w:val="000000" w:themeColor="text1"/>
          <w:sz w:val="16"/>
          <w:szCs w:val="16"/>
        </w:rPr>
        <w:t>Возвратясь из-за границы, РАМЗИН сообщил наиболее видным членам тогдашнего инж[енерно]-тех[нического] центра следующие сведения о ведущейся подготовке к интервенции.</w:t>
      </w:r>
    </w:p>
    <w:p w14:paraId="1F5AA1FE" w14:textId="77777777" w:rsidR="00C07118" w:rsidRPr="00507A31" w:rsidRDefault="00C07118" w:rsidP="00507A31">
      <w:pPr>
        <w:jc w:val="both"/>
        <w:rPr>
          <w:color w:val="000000" w:themeColor="text1"/>
          <w:sz w:val="16"/>
          <w:szCs w:val="16"/>
        </w:rPr>
      </w:pPr>
      <w:r w:rsidRPr="00507A31">
        <w:rPr>
          <w:color w:val="000000" w:themeColor="text1"/>
          <w:sz w:val="16"/>
          <w:szCs w:val="16"/>
        </w:rPr>
        <w:t>Во время его пребывания в Париже им была установлена тесная связь через РЯБУШИНСКОГО с Торгпромом, а через посредство последнего — с французским военным штабом. По сообщениям РАМЗИНА, как Торгпром, так и французский военный штаб расценивали политическую обстановку того периода как весьма благоприятную для возможности активного выступления против СССР. Разрыв дипломатических сношений СССР с Англией должен был дать решительный толчок к оформлению антисоветского блока иностранных государств — в первую очередь прибалтийских стран, Польши и Румынии, являвшихся активно действующей вооруженной силой, направленной против СССР. Но кроме этого особое внимание уделялось вовлечению в антисоветскую ориентацию Германии. Политика Франции была направлена к тому, чтобы путем давления на Германию и частично уступок со стороны б[ывшей] Антанты, обеспечить свободу действий на Востоке для Франции и ее вассалов Польши и Румынии.</w:t>
      </w:r>
    </w:p>
    <w:p w14:paraId="730547A4" w14:textId="77777777" w:rsidR="00C07118" w:rsidRPr="00507A31" w:rsidRDefault="00C07118" w:rsidP="00507A31">
      <w:pPr>
        <w:jc w:val="both"/>
        <w:rPr>
          <w:color w:val="000000" w:themeColor="text1"/>
          <w:sz w:val="16"/>
          <w:szCs w:val="16"/>
        </w:rPr>
      </w:pPr>
      <w:r w:rsidRPr="00507A31">
        <w:rPr>
          <w:color w:val="000000" w:themeColor="text1"/>
          <w:sz w:val="16"/>
          <w:szCs w:val="16"/>
        </w:rPr>
        <w:t>В подготовке к интервенции против СССР руководящая роль определенно принадлежит Франции, как в идейном, так и в оперативном и организационном направлении всей деятельности втянутых ею в это дело иностранных государств.</w:t>
      </w:r>
    </w:p>
    <w:p w14:paraId="2C9A4B86" w14:textId="77777777" w:rsidR="00C07118" w:rsidRPr="00507A31" w:rsidRDefault="00C07118" w:rsidP="00507A31">
      <w:pPr>
        <w:jc w:val="both"/>
        <w:rPr>
          <w:color w:val="000000" w:themeColor="text1"/>
          <w:sz w:val="16"/>
          <w:szCs w:val="16"/>
        </w:rPr>
      </w:pPr>
      <w:r w:rsidRPr="00507A31">
        <w:rPr>
          <w:color w:val="000000" w:themeColor="text1"/>
          <w:sz w:val="16"/>
          <w:szCs w:val="16"/>
        </w:rPr>
        <w:t>Прямым же орудием интервенционистской политики Франции являлась Польша, которая должна была выступить против СССР, в том или другом союзе с Прибалтийскими странами и Румынией.</w:t>
      </w:r>
    </w:p>
    <w:p w14:paraId="365031B7" w14:textId="77777777" w:rsidR="00C07118" w:rsidRPr="00507A31" w:rsidRDefault="00C07118" w:rsidP="00507A31">
      <w:pPr>
        <w:jc w:val="both"/>
        <w:rPr>
          <w:color w:val="000000" w:themeColor="text1"/>
          <w:sz w:val="16"/>
          <w:szCs w:val="16"/>
        </w:rPr>
      </w:pPr>
      <w:r w:rsidRPr="00507A31">
        <w:rPr>
          <w:color w:val="000000" w:themeColor="text1"/>
          <w:sz w:val="16"/>
          <w:szCs w:val="16"/>
        </w:rPr>
        <w:t>Давая характеристику политического положения того периода, РАМЗИН сообщил, что, по мнению Торгпрома и французского штаба, события могли развернуться настолько быстро, что само осуществление интервенции могло оказаться возможным в течении 1928 года.</w:t>
      </w:r>
    </w:p>
    <w:p w14:paraId="3D9011BF" w14:textId="77777777" w:rsidR="00C07118" w:rsidRPr="00507A31" w:rsidRDefault="00C07118" w:rsidP="00507A31">
      <w:pPr>
        <w:jc w:val="both"/>
        <w:rPr>
          <w:color w:val="000000" w:themeColor="text1"/>
          <w:sz w:val="16"/>
          <w:szCs w:val="16"/>
        </w:rPr>
      </w:pPr>
      <w:r w:rsidRPr="00507A31">
        <w:rPr>
          <w:color w:val="000000" w:themeColor="text1"/>
          <w:sz w:val="16"/>
          <w:szCs w:val="16"/>
        </w:rPr>
        <w:t>В соответствии с этой ситуацией ими требовалось развернуть деятельность вредительских организаций внутри СССР, чтобы в решительный момент облегчить и содействовать проведению интервенции.</w:t>
      </w:r>
    </w:p>
    <w:p w14:paraId="5B05A52D" w14:textId="77777777" w:rsidR="00C07118" w:rsidRPr="00507A31" w:rsidRDefault="00C07118" w:rsidP="00507A31">
      <w:pPr>
        <w:jc w:val="both"/>
        <w:rPr>
          <w:color w:val="000000" w:themeColor="text1"/>
          <w:sz w:val="16"/>
          <w:szCs w:val="16"/>
        </w:rPr>
      </w:pPr>
      <w:r w:rsidRPr="00507A31">
        <w:rPr>
          <w:color w:val="000000" w:themeColor="text1"/>
          <w:sz w:val="16"/>
          <w:szCs w:val="16"/>
        </w:rPr>
        <w:t>В результате переговоров РАМЗИНА с Торгпромом и французским военным штабом ему было поручено установить постоянную связь с французским посольством в Москве, чтобы через него вести все деловые сношения с заграничными кругами и в частности по вопросу о подготовке к интервенции.</w:t>
      </w:r>
    </w:p>
    <w:p w14:paraId="029E928F" w14:textId="77777777" w:rsidR="00C07118" w:rsidRPr="00507A31" w:rsidRDefault="00C07118" w:rsidP="00507A31">
      <w:pPr>
        <w:jc w:val="both"/>
        <w:rPr>
          <w:color w:val="000000" w:themeColor="text1"/>
          <w:sz w:val="16"/>
          <w:szCs w:val="16"/>
        </w:rPr>
      </w:pPr>
      <w:r w:rsidRPr="00507A31">
        <w:rPr>
          <w:color w:val="000000" w:themeColor="text1"/>
          <w:sz w:val="16"/>
          <w:szCs w:val="16"/>
        </w:rPr>
        <w:t>С этого времени руководство связями с заграницей, т. е. с Торгпромом и французским военным штабом было сосредоточено в руках РАМЗИНА.</w:t>
      </w:r>
    </w:p>
    <w:p w14:paraId="186917F2" w14:textId="77777777" w:rsidR="00C07118" w:rsidRPr="00507A31" w:rsidRDefault="00C07118" w:rsidP="00507A31">
      <w:pPr>
        <w:jc w:val="both"/>
        <w:rPr>
          <w:color w:val="000000" w:themeColor="text1"/>
          <w:sz w:val="16"/>
          <w:szCs w:val="16"/>
        </w:rPr>
      </w:pPr>
      <w:r w:rsidRPr="00507A31">
        <w:rPr>
          <w:color w:val="000000" w:themeColor="text1"/>
          <w:sz w:val="16"/>
          <w:szCs w:val="16"/>
        </w:rPr>
        <w:t>Все переговоры о подготовке к интервенции велись лично РАМЗИНЫМ через посредство секретаря французского посольства РЕНЬО. Кроме РАМЗИНА связь с РЕНЬО была и у КАЛИННИКОВА, на квартире которого я однажды (осенью 1928 г.) видел РЕНЬО. Через РЕНЬО КАЛИННИКОВЫМ передавались сведения и данные по подготовке экономической блокады против СССР, инициатором которой также являлась Франция.</w:t>
      </w:r>
    </w:p>
    <w:p w14:paraId="12C867E6" w14:textId="77777777" w:rsidR="00C07118" w:rsidRPr="00507A31" w:rsidRDefault="00C07118" w:rsidP="00507A31">
      <w:pPr>
        <w:jc w:val="both"/>
        <w:rPr>
          <w:color w:val="000000" w:themeColor="text1"/>
          <w:sz w:val="16"/>
          <w:szCs w:val="16"/>
        </w:rPr>
      </w:pPr>
      <w:r w:rsidRPr="00507A31">
        <w:rPr>
          <w:color w:val="000000" w:themeColor="text1"/>
          <w:sz w:val="16"/>
          <w:szCs w:val="16"/>
        </w:rPr>
        <w:t>Меня РАМЗИН весной 1928 г. (в конце апреля или начале мая) познакомил с сотрудником французского посольства — с КЮФЕРОМ. Свидание было на квартире РАМЗИНА у него в кабинете часов около 11 вечера. По указанию РАМЗИНА с КЮФЕРОМ я должен был поддерживать связь для получения переписки и денег от Торгпрома, а также для обратной передачи посылаемых промышленной партией сведений и ответов по отдельным запросам французского посольства. Деньги и переписка доставлялись КЮФЕРОМ ко мне или РАМЗИНУ на квартиру обычно вечером ок[оло] 11 час. Чтобы увеличить круг лиц, через которых могли идти сношения[,] и не возбуждать подозрений частыми посещениями одного лица — я познакомил КЮФЕРА с КАЛИННИКОВЫМ в ноябре 1928 г., во время одного из посещений моей квартиры КЮФЕРОМ.</w:t>
      </w:r>
    </w:p>
    <w:p w14:paraId="2D46A9E3" w14:textId="77777777" w:rsidR="00C07118" w:rsidRPr="00507A31" w:rsidRDefault="00C07118" w:rsidP="00507A31">
      <w:pPr>
        <w:jc w:val="both"/>
        <w:rPr>
          <w:color w:val="000000" w:themeColor="text1"/>
          <w:sz w:val="16"/>
          <w:szCs w:val="16"/>
        </w:rPr>
      </w:pPr>
      <w:r w:rsidRPr="00507A31">
        <w:rPr>
          <w:color w:val="000000" w:themeColor="text1"/>
          <w:sz w:val="16"/>
          <w:szCs w:val="16"/>
        </w:rPr>
        <w:lastRenderedPageBreak/>
        <w:t>Полученные через РАМЗИНА по его возвращении из-за границы определенные данные и директивы от Торгпрома и французского штаба, создали среди членов тогдашнего инж[енерно]-тех[нического] центра определенную уверенность, что проведение интервенции является вполне возможным и даже близким к осуществлению. Руководящей нитью вредительской деятельности, ведшейся в разных отраслях нар[одного] х[озяйст]ва, при таком положении стала подготовка общего кризиса внутри страны, как средства[,] наиболее облегчающего осуществление интервенции.</w:t>
      </w:r>
    </w:p>
    <w:p w14:paraId="0AF0404F" w14:textId="77777777" w:rsidR="00C07118" w:rsidRPr="00507A31" w:rsidRDefault="00C07118" w:rsidP="00507A31">
      <w:pPr>
        <w:jc w:val="both"/>
        <w:rPr>
          <w:color w:val="000000" w:themeColor="text1"/>
          <w:sz w:val="16"/>
          <w:szCs w:val="16"/>
        </w:rPr>
      </w:pPr>
      <w:r w:rsidRPr="00507A31">
        <w:rPr>
          <w:color w:val="000000" w:themeColor="text1"/>
          <w:sz w:val="16"/>
          <w:szCs w:val="16"/>
        </w:rPr>
        <w:t>Однако позднее, т. е. летом 1928 г.[,] РАМЗИНЫМ было получено сообщение, что предполагавшийся срок интервенции на 1928 г. не может быть осуществлен, в силу целого ряда обстоятельств и должен быть отодвинут. Подтверждение этого сообщения было нами получено во время нашей — моей и РАМЗИНА — заграничной командировки в сентябреоктябре 1928 года — на Международную Энергетическую конференцию в Лондоне. На возвратном пути мы были в Париже. По приезде в Париж (7 или 8 октября [19]28 г.) мы посетили председателя Торгпрома ДЕНИСОВА для переговоров о положении нашей организации и направлении нашей деятельности. На этом совещании у ДЕНИСОВА, на котором присутствовали и другие представители Торгпрома (РЯБУШИНСКИЙ, НОБЕЛЬ, ГУСАКОВ, СТАРИНКЕВИЧ), РАМЗИНЫМ был сделан доклад об общем положении дел в Промышленной партии и, в частности, по вопросу о ведущейся подготовке к интервенции внутри Союза. В своем докладе РАМЗИН отметил, что общее направление вредительской деятельности, ведущейся в разных отраслях промышленности и на транспортер имеет целью и задачей дезорганизацию их внутренняго состояния и подготовку общаго кризиса, но при этом он указал, что ближайший момент не является благоприятным для осуществления интервенции. Положение же Промышленной партии, в связи с провалом вредительских организаций в каменно-угольной промышленности (Шахтинское дело) и на транспорте, осложнилось, т. к. усиление бдительности Советского правительства чрезвычайно затрудняет дальнейшую деятельность вредительских организаций на местах. Им отмечалась также необходимость перестройки работы Промышленной партии и усиление ее воздействия на работу центральных органов и планирование.</w:t>
      </w:r>
    </w:p>
    <w:p w14:paraId="3DDFDE2E" w14:textId="77777777" w:rsidR="00C07118" w:rsidRPr="00507A31" w:rsidRDefault="00C07118" w:rsidP="00507A31">
      <w:pPr>
        <w:jc w:val="both"/>
        <w:rPr>
          <w:color w:val="000000" w:themeColor="text1"/>
          <w:sz w:val="16"/>
          <w:szCs w:val="16"/>
        </w:rPr>
      </w:pPr>
      <w:r w:rsidRPr="00507A31">
        <w:rPr>
          <w:color w:val="000000" w:themeColor="text1"/>
          <w:sz w:val="16"/>
          <w:szCs w:val="16"/>
        </w:rPr>
        <w:t>ДЕНИСОВ нам указал, что, действительно, данный момент является неблагоприятным и с внешне-политической стороны для открытого выступления против СССР и что срок интервенции должен быть отодвинут, примерно, на 1930 г. Однако он особенно подчеркнул, что сам по себе вопрос об интервенции ни в коем случае не снимается, а наоборот — становится все более и более актуальным, благодаря тем мероприятиям, которые предпринимаются и проводятся французским правительством, в согласии с другими заинтересованными странами. Он сообщил нам, что Торгпром в своей деятельности среди иностранных кругов и в направлении деятельности нашей Промышленной партии имеет определенную поддержку со стороны французского правительства, а со стороны французского военного штаба заверения и указания о необходимости дальнейшей работы по подготовке к интервенции внутри СССР, через нашу организацию. Поэтому ДЕНИСОВ предлагал нам, невзирая на провал указанных организаций, усилить нашу работу внутри СССР, соответственным образом ее перестроив и направив особое внимание на срыв металлоснабжения, как важнейшаго звена в обороне страны. Вопроса же о мероприятиях по подготовке к интервенции, проводимых за границей и в частности Францией, ДЕНИСОВ в этом совещании не касался, а предложил РАМЗИНУ обсудить этот вопрос отдельно.</w:t>
      </w:r>
    </w:p>
    <w:p w14:paraId="505B6F7D" w14:textId="77777777" w:rsidR="00C07118" w:rsidRPr="00507A31" w:rsidRDefault="00C07118" w:rsidP="00507A31">
      <w:pPr>
        <w:jc w:val="both"/>
        <w:rPr>
          <w:color w:val="000000" w:themeColor="text1"/>
          <w:sz w:val="16"/>
          <w:szCs w:val="16"/>
        </w:rPr>
      </w:pPr>
      <w:r w:rsidRPr="00507A31">
        <w:rPr>
          <w:color w:val="000000" w:themeColor="text1"/>
          <w:sz w:val="16"/>
          <w:szCs w:val="16"/>
        </w:rPr>
        <w:t>На следующий день у РАМЗИНА состоялось свидание с председателем Торгпрома ДЕНИСОВЫМ, белоэмигрантским генералом ЛУКОМСКИМ и представителем французского штаба ЖАНВИЛЬ (фамилию эту мне назвал РАМЗИН). Из рассказа РАМЗИНА об этом совещании мне известно следующее. Ему было прежде всего указано, что сложность политической обстановки заграницей, в особенности двойственная политика Германии, а также позиция, занимаемая Литвой в отношении Польши, делают немедленное выступление против СССР несвоевременным. Для обеспечения успеха проведения интервенции нужна более тщательная подготовка как всей политической обстановки, так в особенности организационно-технической стороны. Поэтому срок интервенции французским штабом намечается на 1930 г. Далее, по вопросу организационно-технической подготовки к интервенции, РАМЗИН сообщил мне, что этим делом ведает специальная комиссия под председательством генерала французского штаба ЖАНЕН. Главные усилия французского штаба направлены на организацию и вооружение военных сил Польши и Румынии. Кроме того[,] усиленным темпом ведется подготовка и формирование экспедиционного корпуса из белоэмигрантских сил, осуществляемая также при материальной и финансовой помощи французского штаба. Руководство этим корпусом предполагается поручить генералу ЛУКОМСКОМУ.</w:t>
      </w:r>
    </w:p>
    <w:p w14:paraId="5ED0F403" w14:textId="77777777" w:rsidR="00C07118" w:rsidRPr="00507A31" w:rsidRDefault="00C07118" w:rsidP="00507A31">
      <w:pPr>
        <w:jc w:val="both"/>
        <w:rPr>
          <w:color w:val="000000" w:themeColor="text1"/>
          <w:sz w:val="16"/>
          <w:szCs w:val="16"/>
        </w:rPr>
      </w:pPr>
      <w:r w:rsidRPr="00507A31">
        <w:rPr>
          <w:color w:val="000000" w:themeColor="text1"/>
          <w:sz w:val="16"/>
          <w:szCs w:val="16"/>
        </w:rPr>
        <w:t>Вечером этого же дня РАМЗИН должен был иметь свидание с полковником французского штаба РИШАР у него на квартире. На это свидание он пригласил поехать и меня. Во время этого свидания разговор шел на французском языке, которого я не знаю, поэтому о его результатах могу сообщить лишь со слов РАМЗИНА. Он мне передал, что полковник РИШАР опять[-]таки уверял его, что французские военные круги определенно поддерживают интервенцию против СССР и не только поддерживают, но и принимают активные шаги по ее подготовке. В частности, он указал, что французским штабом осуществляется полная техническая подготовка польской и румынских армий, как путем инструкторской деятельности, так и непосредственно материально-технического их снабжения. Французский штаб через соответствующие правительства ведет определенную линию, чтобы расширить свое влияние и на подготовку армий других прибалтийских стран и добивается подчинения их общему руководству французского штаба. С своей стороны полк[овник] РИШАР интересовался нашей работой, в особенности положением военной и химической промышленности и просил РАМЗИНА доставлять в дальнейшем необходимые сведения о их работе. Кроме того, его интересовали также объекты нового строительства, могущие иметь оборонное значение, намеченные к осуществлению в СССР в ближайшие годы.</w:t>
      </w:r>
    </w:p>
    <w:p w14:paraId="112DFC9F" w14:textId="77777777" w:rsidR="00C07118" w:rsidRPr="00507A31" w:rsidRDefault="00C07118" w:rsidP="00507A31">
      <w:pPr>
        <w:jc w:val="both"/>
        <w:rPr>
          <w:color w:val="000000" w:themeColor="text1"/>
          <w:sz w:val="16"/>
          <w:szCs w:val="16"/>
        </w:rPr>
      </w:pPr>
      <w:r w:rsidRPr="00507A31">
        <w:rPr>
          <w:color w:val="000000" w:themeColor="text1"/>
          <w:sz w:val="16"/>
          <w:szCs w:val="16"/>
        </w:rPr>
        <w:t>Из этих бесед с представителями Торгпрома и французских военных кругов вытекало, что французское правительство, под воздействием капиталистических и милитаристических кругов, занимает непримиримую позицию против Советского Союза и является вдохновителем политики интервенции против СССР, фактическим же руководителем по подготовке к ней является французский военный штаб. Отсюда вытекала и политика поддержки французским правительством деятельности Торгпрома как заграницей, так и внутри СССР через Промышленную партию.</w:t>
      </w:r>
    </w:p>
    <w:p w14:paraId="2C4117F6" w14:textId="77777777" w:rsidR="00C07118" w:rsidRPr="00507A31" w:rsidRDefault="00C07118" w:rsidP="00507A31">
      <w:pPr>
        <w:jc w:val="both"/>
        <w:rPr>
          <w:color w:val="000000" w:themeColor="text1"/>
          <w:sz w:val="16"/>
          <w:szCs w:val="16"/>
        </w:rPr>
      </w:pPr>
      <w:r w:rsidRPr="00507A31">
        <w:rPr>
          <w:color w:val="000000" w:themeColor="text1"/>
          <w:sz w:val="16"/>
          <w:szCs w:val="16"/>
        </w:rPr>
        <w:t>По возвращении из этой поездки заграницу, РАМЗИНЫМ и мной в отдельных совещаниях с видными членами Промышленной партии было сообщено о ведущейся подготовке к интервенции заграницей.</w:t>
      </w:r>
    </w:p>
    <w:p w14:paraId="5840F4AF" w14:textId="77777777" w:rsidR="00C07118" w:rsidRPr="00507A31" w:rsidRDefault="00C07118" w:rsidP="00507A31">
      <w:pPr>
        <w:jc w:val="both"/>
        <w:rPr>
          <w:color w:val="000000" w:themeColor="text1"/>
          <w:sz w:val="16"/>
          <w:szCs w:val="16"/>
        </w:rPr>
      </w:pPr>
      <w:r w:rsidRPr="00507A31">
        <w:rPr>
          <w:color w:val="000000" w:themeColor="text1"/>
          <w:sz w:val="16"/>
          <w:szCs w:val="16"/>
        </w:rPr>
        <w:t>В отношении общего направления деятельности вредительских организаций внутри СССР на этих совещаниях было принято, что помимо общей задержки развития народного хозяйства, основной задачей является подготовка кризиса в важнейших отраслях нар[одного] х[озяйст]ва, особенно по линии металла, топливо-снабжения и транспорта. В соответствии с директивами Торгпрома ХРЕННИКОВУ и КАЛИННИКОВУ было поручено добиться при составлении планов развития металло-промышленности диспропорции в ее развитии, именно в тех отраслях машиностроения, которые могут иметь значение для обороны.</w:t>
      </w:r>
    </w:p>
    <w:p w14:paraId="4EF7BFE1" w14:textId="77777777" w:rsidR="00C07118" w:rsidRPr="00507A31" w:rsidRDefault="00C07118" w:rsidP="00507A31">
      <w:pPr>
        <w:jc w:val="both"/>
        <w:rPr>
          <w:color w:val="000000" w:themeColor="text1"/>
          <w:sz w:val="16"/>
          <w:szCs w:val="16"/>
        </w:rPr>
      </w:pPr>
      <w:r w:rsidRPr="00507A31">
        <w:rPr>
          <w:color w:val="000000" w:themeColor="text1"/>
          <w:sz w:val="16"/>
          <w:szCs w:val="16"/>
        </w:rPr>
        <w:t>Наряду с этим напряженное положение с топливом, задержка нового строительства и недостаток транспортных средств должны составлять основные моменты кризисного состояния страны в период интервенции.</w:t>
      </w:r>
    </w:p>
    <w:p w14:paraId="11890092" w14:textId="77777777" w:rsidR="00C07118" w:rsidRPr="00507A31" w:rsidRDefault="00C07118" w:rsidP="00507A31">
      <w:pPr>
        <w:jc w:val="both"/>
        <w:rPr>
          <w:color w:val="000000" w:themeColor="text1"/>
          <w:sz w:val="16"/>
          <w:szCs w:val="16"/>
        </w:rPr>
      </w:pPr>
      <w:r w:rsidRPr="00507A31">
        <w:rPr>
          <w:color w:val="000000" w:themeColor="text1"/>
          <w:sz w:val="16"/>
          <w:szCs w:val="16"/>
        </w:rPr>
        <w:t>Поскольку в период ноябрь-март [19]28/29 г. в центре внимания правительства и важнейших учреждений была работа по составлению пятилетнего плана, сюда был перенесен центр тяжести вредительской деятельности промышленной партии.</w:t>
      </w:r>
    </w:p>
    <w:p w14:paraId="4FE78EBF" w14:textId="77777777" w:rsidR="00C07118" w:rsidRPr="00507A31" w:rsidRDefault="00C07118" w:rsidP="00507A31">
      <w:pPr>
        <w:jc w:val="both"/>
        <w:rPr>
          <w:color w:val="000000" w:themeColor="text1"/>
          <w:sz w:val="16"/>
          <w:szCs w:val="16"/>
        </w:rPr>
      </w:pPr>
      <w:r w:rsidRPr="00507A31">
        <w:rPr>
          <w:color w:val="000000" w:themeColor="text1"/>
          <w:sz w:val="16"/>
          <w:szCs w:val="16"/>
        </w:rPr>
        <w:t>Основная директива, данная членам различных организаций[,] состояла в том, чтобы 1930 год явился годом наибольшего кризиса, благодаря диспропорции в развитии отдельных отраслей.</w:t>
      </w:r>
    </w:p>
    <w:p w14:paraId="015C0796" w14:textId="77777777" w:rsidR="00C07118" w:rsidRPr="00507A31" w:rsidRDefault="00C07118" w:rsidP="00507A31">
      <w:pPr>
        <w:jc w:val="both"/>
        <w:rPr>
          <w:color w:val="000000" w:themeColor="text1"/>
          <w:sz w:val="16"/>
          <w:szCs w:val="16"/>
        </w:rPr>
      </w:pPr>
      <w:r w:rsidRPr="00507A31">
        <w:rPr>
          <w:color w:val="000000" w:themeColor="text1"/>
          <w:sz w:val="16"/>
          <w:szCs w:val="16"/>
        </w:rPr>
        <w:t>Этому положению способствовало и то, что в 1930 году большинство начинаемых строительством новых крупных предприятий могло быть окончено, а развитие производства старых предприятий имело ограниченные возможности благодаря задержке их внутренних элементов производства.</w:t>
      </w:r>
    </w:p>
    <w:p w14:paraId="429BC2EF" w14:textId="77777777" w:rsidR="00C07118" w:rsidRPr="00507A31" w:rsidRDefault="00C07118" w:rsidP="00507A31">
      <w:pPr>
        <w:jc w:val="both"/>
        <w:rPr>
          <w:color w:val="000000" w:themeColor="text1"/>
          <w:sz w:val="16"/>
          <w:szCs w:val="16"/>
        </w:rPr>
      </w:pPr>
      <w:r w:rsidRPr="00507A31">
        <w:rPr>
          <w:color w:val="000000" w:themeColor="text1"/>
          <w:sz w:val="16"/>
          <w:szCs w:val="16"/>
        </w:rPr>
        <w:t>В проведении вредительской деятельности при составлении 5-ти летнего плана Промышленная партия имела крупного союзника в лице большого круга контр-революционных экономистов, занимавших руководящие должности в разных учреждениях. Проэктируемые ими темпы развития сельского хозяйства и даваемые задания по выпуску предметов широкого потребления делали ясным для Промышленной партии, что уже в ближайшие годы вполне возможны серьезные затруднения в продовольственном снабжении и возможность быстрого его расстройства (при отсутствии резервов) в период военных действий. Это обстоятельство учитывалось, как один из важнейших моментов при подготовке к интервенции.</w:t>
      </w:r>
    </w:p>
    <w:p w14:paraId="6C922290" w14:textId="77777777" w:rsidR="00C07118" w:rsidRPr="00507A31" w:rsidRDefault="00C07118" w:rsidP="00507A31">
      <w:pPr>
        <w:jc w:val="both"/>
        <w:rPr>
          <w:color w:val="000000" w:themeColor="text1"/>
          <w:sz w:val="16"/>
          <w:szCs w:val="16"/>
        </w:rPr>
      </w:pPr>
      <w:r w:rsidRPr="00507A31">
        <w:rPr>
          <w:color w:val="000000" w:themeColor="text1"/>
          <w:sz w:val="16"/>
          <w:szCs w:val="16"/>
        </w:rPr>
        <w:t>О принимаемых Промышленной Партией мероприятиях, по общему направлению вредительской деятельности и их значению для интервенции, ставился в известность Торгпром и получалось одобрение им нашей деятельности при проведении пятилетки.</w:t>
      </w:r>
    </w:p>
    <w:p w14:paraId="3D44EE84" w14:textId="77777777" w:rsidR="00C07118" w:rsidRPr="00507A31" w:rsidRDefault="00C07118" w:rsidP="00507A31">
      <w:pPr>
        <w:jc w:val="both"/>
        <w:rPr>
          <w:color w:val="000000" w:themeColor="text1"/>
          <w:sz w:val="16"/>
          <w:szCs w:val="16"/>
        </w:rPr>
      </w:pPr>
      <w:r w:rsidRPr="00507A31">
        <w:rPr>
          <w:color w:val="000000" w:themeColor="text1"/>
          <w:sz w:val="16"/>
          <w:szCs w:val="16"/>
        </w:rPr>
        <w:t>Возникший летом 1929 г. конфликт на Восточно-Китайской ж. д.[,] как я узнал от РАМЗИНА и КАЛИННИКОВА, являлся диверсионным шагом со стороны иностранных военных кругов, предпринятый, главным образом, под давлением французского штаба. Этим выступлением предполагалось, с одной стороны[,] выяснить наши мобилизационные возможности и боеспособность красной армии, а с другой стороны выявить отношение широких кругов населения к вопросу о возможности войны и о степени прочности советской власти и ее влияния на рабочую и крестьянскую массу в моменты внутренних и внешних затруднений.</w:t>
      </w:r>
    </w:p>
    <w:p w14:paraId="187F0FB4" w14:textId="77777777" w:rsidR="00C07118" w:rsidRPr="00507A31" w:rsidRDefault="00C07118" w:rsidP="00507A31">
      <w:pPr>
        <w:jc w:val="both"/>
        <w:rPr>
          <w:color w:val="000000" w:themeColor="text1"/>
          <w:sz w:val="16"/>
          <w:szCs w:val="16"/>
        </w:rPr>
      </w:pPr>
      <w:r w:rsidRPr="00507A31">
        <w:rPr>
          <w:color w:val="000000" w:themeColor="text1"/>
          <w:sz w:val="16"/>
          <w:szCs w:val="16"/>
        </w:rPr>
        <w:t>Неудача иностранных военных и дипломатических кругов в этом вопросе в значительной мере объяснялась нами как результат высокой подготовки нашего военного командования и показала, что красная армия представляет огромную силу, с которой необходимо серьезно считаться при решении вопроса об интервенции.</w:t>
      </w:r>
    </w:p>
    <w:p w14:paraId="5D8A2662" w14:textId="77777777" w:rsidR="00C07118" w:rsidRPr="00507A31" w:rsidRDefault="00C07118" w:rsidP="00507A31">
      <w:pPr>
        <w:jc w:val="both"/>
        <w:rPr>
          <w:color w:val="000000" w:themeColor="text1"/>
          <w:sz w:val="16"/>
          <w:szCs w:val="16"/>
        </w:rPr>
      </w:pPr>
      <w:r w:rsidRPr="00507A31">
        <w:rPr>
          <w:color w:val="000000" w:themeColor="text1"/>
          <w:sz w:val="16"/>
          <w:szCs w:val="16"/>
        </w:rPr>
        <w:t>Создавшееся положение вызвало еще большее озлобление в иностранных кругах против СССР, но с другой стороны вынудило вернуться к вопросу о пересмотре возможного срока интервенции, отложив ранее намечавшийся срок с 1930 г. по крайней мере на год. Об этом указывалось в письмах Торгпрома в конце 1929 г. Кроме того[,] при личных переговорах РАМЗИНА и КАЛИННИКОВА с РЕНЬО в ноябре 1929 г. им было сообщено[,] что французское посольство так же считает необходимым пересмотреть вопрос о сроке интервенции.</w:t>
      </w:r>
    </w:p>
    <w:p w14:paraId="17EF6E12" w14:textId="77777777" w:rsidR="00C07118" w:rsidRPr="00507A31" w:rsidRDefault="00C07118" w:rsidP="00507A31">
      <w:pPr>
        <w:jc w:val="both"/>
        <w:rPr>
          <w:color w:val="000000" w:themeColor="text1"/>
          <w:sz w:val="16"/>
          <w:szCs w:val="16"/>
        </w:rPr>
      </w:pPr>
      <w:r w:rsidRPr="00507A31">
        <w:rPr>
          <w:color w:val="000000" w:themeColor="text1"/>
          <w:sz w:val="16"/>
          <w:szCs w:val="16"/>
        </w:rPr>
        <w:t>В конце 1929 г. РАМЗИН нам сообщил, что ему удалось видет[ь]ся лично с французским послом ЭРБЕТ[Т]ОМ (где, он не сказал). При этом свидании Эрбе[т]т указал, что события показали, что наша работа по линии технической подготовки к интервенции внутри страны является недостаточной и предложил расширить ее путем охвата частей красной армии и организацией военного ядра в Промышленной партии. Задачами его должно быть получение и передача иностранным штабам более точных сведений о состоянии различных частей красной армии и, самое главное, вовлечение в работу по подготовке к интервенции военных специалистов, которые активно противодействовали бы ведущейся технической и политической подготовке армии и содействовали бы ее разложению.</w:t>
      </w:r>
    </w:p>
    <w:p w14:paraId="575E74AA" w14:textId="77777777" w:rsidR="00C07118" w:rsidRPr="00507A31" w:rsidRDefault="00C07118" w:rsidP="00507A31">
      <w:pPr>
        <w:jc w:val="both"/>
        <w:rPr>
          <w:color w:val="000000" w:themeColor="text1"/>
          <w:sz w:val="16"/>
          <w:szCs w:val="16"/>
        </w:rPr>
      </w:pPr>
      <w:r w:rsidRPr="00507A31">
        <w:rPr>
          <w:color w:val="000000" w:themeColor="text1"/>
          <w:sz w:val="16"/>
          <w:szCs w:val="16"/>
        </w:rPr>
        <w:lastRenderedPageBreak/>
        <w:t>Без надежной опоры в частях красной армии в лице контр-революционных организаций, и без руководства их деятельностью, наша работа по подготовке к интервенции была явно недостаточной. Такова была точка зрения РАМЗИНА, которая явилась следствием указаний[,] данных ему ЭРБЕТ[Т]ОМ. Этот вопрос в январе м[еся]це 1930 г. им был поставлен перед ЦК Промышленной партии, как очередная важнейшая работа по подготовке к интервенции.</w:t>
      </w:r>
    </w:p>
    <w:p w14:paraId="5DAE8C93" w14:textId="77777777" w:rsidR="00C07118" w:rsidRPr="00507A31" w:rsidRDefault="00C07118" w:rsidP="00507A31">
      <w:pPr>
        <w:jc w:val="both"/>
        <w:rPr>
          <w:color w:val="000000" w:themeColor="text1"/>
          <w:sz w:val="16"/>
          <w:szCs w:val="16"/>
        </w:rPr>
      </w:pPr>
      <w:r w:rsidRPr="00507A31">
        <w:rPr>
          <w:color w:val="000000" w:themeColor="text1"/>
          <w:sz w:val="16"/>
          <w:szCs w:val="16"/>
        </w:rPr>
        <w:t>По сообщению РАМЗИНА[,] вынужденная отсрочка интервенции[,] однако[,] не меняла принципиального отношения Франции к вопросу об интервенции, как в общем оставался неизменным и план выступления интервентов. По[-]прежнему инициатива выступления будет за Польшей и Румынией. Как на возможность такого выступления РАМЗИН указывал, что Польша, путем открытого захвата Литвы (продолжающей свою советскую ориентацию) создаст международный конфликт, в который должен быть вовлечен и СССР, что и приведет к вооруженному столкновению и будет началом осуществления плана интервенции и экономической блокады СССР.</w:t>
      </w:r>
    </w:p>
    <w:p w14:paraId="0C53D60C" w14:textId="77777777" w:rsidR="00C07118" w:rsidRPr="00507A31" w:rsidRDefault="00C07118" w:rsidP="00507A31">
      <w:pPr>
        <w:jc w:val="both"/>
        <w:rPr>
          <w:color w:val="000000" w:themeColor="text1"/>
          <w:sz w:val="16"/>
          <w:szCs w:val="16"/>
        </w:rPr>
      </w:pPr>
      <w:r w:rsidRPr="00507A31">
        <w:rPr>
          <w:color w:val="000000" w:themeColor="text1"/>
          <w:sz w:val="16"/>
          <w:szCs w:val="16"/>
        </w:rPr>
        <w:t>Записал собственноручно ЛАРИЧЕВ.</w:t>
      </w:r>
    </w:p>
    <w:p w14:paraId="07473A64"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Допросил: НАЧСООГПУ АГРАНОВ и</w:t>
      </w:r>
    </w:p>
    <w:p w14:paraId="5297D25D" w14:textId="77777777" w:rsidR="00C07118" w:rsidRPr="00507A31" w:rsidRDefault="00C07118" w:rsidP="00507A31">
      <w:pPr>
        <w:jc w:val="both"/>
        <w:rPr>
          <w:color w:val="000000" w:themeColor="text1"/>
          <w:sz w:val="16"/>
          <w:szCs w:val="16"/>
        </w:rPr>
      </w:pPr>
      <w:r w:rsidRPr="00507A31">
        <w:rPr>
          <w:color w:val="000000" w:themeColor="text1"/>
          <w:sz w:val="16"/>
          <w:szCs w:val="16"/>
        </w:rPr>
        <w:t>ПОМ. НАЧ. 3 ОТДЕЛЕНИЯ] СО ОГПУ РАДЗИВИЛОВСКИЙ.</w:t>
      </w:r>
    </w:p>
    <w:p w14:paraId="256E10EE" w14:textId="77777777" w:rsidR="00C07118" w:rsidRPr="00507A31" w:rsidRDefault="00C07118" w:rsidP="00507A31">
      <w:pPr>
        <w:jc w:val="both"/>
        <w:rPr>
          <w:color w:val="000000" w:themeColor="text1"/>
          <w:sz w:val="16"/>
          <w:szCs w:val="16"/>
        </w:rPr>
      </w:pPr>
      <w:r w:rsidRPr="00507A31">
        <w:rPr>
          <w:color w:val="000000" w:themeColor="text1"/>
          <w:sz w:val="16"/>
          <w:szCs w:val="16"/>
        </w:rPr>
        <w:t>Д. 355. Л. 50-60. Заверенная машинописная копия того времени. Протокол допроса В. А. Ларичева был направлен в ЦК ВКП(б) на имя И. В. Сталина 1 ноября 1930 г. одновременно с протоколами допросов Рамзина, Калинникова, Чарновского, Очкина и Соловьева от 31/Х-1930 г. (см. легенду к док. № 355-1).</w:t>
      </w:r>
    </w:p>
    <w:p w14:paraId="0A8C3775" w14:textId="77777777" w:rsidR="00C07118" w:rsidRPr="00507A31" w:rsidRDefault="00C07118" w:rsidP="00507A31">
      <w:pPr>
        <w:jc w:val="both"/>
        <w:rPr>
          <w:color w:val="000000" w:themeColor="text1"/>
          <w:sz w:val="16"/>
          <w:szCs w:val="16"/>
        </w:rPr>
      </w:pPr>
      <w:r w:rsidRPr="00507A31">
        <w:rPr>
          <w:color w:val="000000" w:themeColor="text1"/>
          <w:sz w:val="16"/>
          <w:szCs w:val="16"/>
        </w:rPr>
        <w:t>ЦА ФСБ РФ. Ф. Р-42280. Т. 10. Л. 121-126 об. Машинописная копия того времени, заверенная Кошеверовым.</w:t>
      </w:r>
    </w:p>
    <w:p w14:paraId="4038316F" w14:textId="77777777" w:rsidR="00C07118" w:rsidRPr="00507A31" w:rsidRDefault="002D4D90" w:rsidP="00507A31">
      <w:pPr>
        <w:jc w:val="both"/>
        <w:rPr>
          <w:color w:val="000000" w:themeColor="text1"/>
          <w:sz w:val="16"/>
          <w:szCs w:val="16"/>
        </w:rPr>
      </w:pPr>
      <w:hyperlink r:id="rId163" w:tooltip="На предыдущую страницу" w:history="1">
        <w:r w:rsidR="00C07118" w:rsidRPr="00507A31">
          <w:rPr>
            <w:rStyle w:val="a5"/>
            <w:color w:val="000000" w:themeColor="text1"/>
            <w:sz w:val="16"/>
            <w:szCs w:val="16"/>
          </w:rPr>
          <w:t>‹Показания И. А. Калинникова о планах </w:t>
        </w:r>
      </w:hyperlink>
      <w:r w:rsidR="00C07118" w:rsidRPr="00507A31">
        <w:rPr>
          <w:color w:val="000000" w:themeColor="text1"/>
          <w:sz w:val="16"/>
          <w:szCs w:val="16"/>
        </w:rPr>
        <w:t xml:space="preserve"> (18494)</w:t>
      </w:r>
    </w:p>
    <w:p w14:paraId="46CD566D" w14:textId="77777777" w:rsidR="00C07118" w:rsidRPr="00507A31" w:rsidRDefault="00C07118" w:rsidP="00507A31">
      <w:pPr>
        <w:jc w:val="both"/>
        <w:rPr>
          <w:color w:val="000000" w:themeColor="text1"/>
          <w:sz w:val="16"/>
          <w:szCs w:val="16"/>
        </w:rPr>
      </w:pPr>
    </w:p>
    <w:p w14:paraId="4E796B0A"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230C3780" w14:textId="77777777" w:rsidR="00C07118" w:rsidRPr="00507A31" w:rsidRDefault="00C07118" w:rsidP="00507A31">
      <w:pPr>
        <w:jc w:val="both"/>
        <w:rPr>
          <w:color w:val="000000" w:themeColor="text1"/>
          <w:sz w:val="16"/>
          <w:szCs w:val="16"/>
        </w:rPr>
      </w:pPr>
      <w:r w:rsidRPr="00507A31">
        <w:rPr>
          <w:color w:val="000000" w:themeColor="text1"/>
          <w:sz w:val="16"/>
          <w:szCs w:val="16"/>
        </w:rPr>
        <w:t>Показания Н. Ф. Чарновского «об отношении Промышленной партии» к интервенции и сроках ее проведения. 31 октября 1930 г.</w:t>
      </w:r>
    </w:p>
    <w:p w14:paraId="26B9ED50" w14:textId="77777777" w:rsidR="00C07118" w:rsidRPr="00507A31" w:rsidRDefault="00C07118" w:rsidP="00507A31">
      <w:pPr>
        <w:jc w:val="both"/>
        <w:rPr>
          <w:color w:val="000000" w:themeColor="text1"/>
          <w:sz w:val="16"/>
          <w:szCs w:val="16"/>
        </w:rPr>
      </w:pPr>
      <w:r w:rsidRPr="00507A31">
        <w:rPr>
          <w:color w:val="000000" w:themeColor="text1"/>
          <w:sz w:val="16"/>
          <w:szCs w:val="16"/>
        </w:rPr>
        <w:t>Источник: </w:t>
      </w:r>
    </w:p>
    <w:p w14:paraId="45D1D84D" w14:textId="77777777" w:rsidR="00C07118" w:rsidRPr="00507A31" w:rsidRDefault="00C0711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63CB54"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757C28AF" w14:textId="77777777" w:rsidR="00C07118" w:rsidRPr="00507A31" w:rsidRDefault="00C07118" w:rsidP="00507A31">
      <w:pPr>
        <w:jc w:val="both"/>
        <w:rPr>
          <w:color w:val="000000" w:themeColor="text1"/>
          <w:sz w:val="16"/>
          <w:szCs w:val="16"/>
        </w:rPr>
      </w:pPr>
      <w:r w:rsidRPr="00507A31">
        <w:rPr>
          <w:color w:val="000000" w:themeColor="text1"/>
          <w:sz w:val="16"/>
          <w:szCs w:val="16"/>
        </w:rPr>
        <w:t>[Строго секретно]</w:t>
      </w:r>
    </w:p>
    <w:p w14:paraId="3731B33E" w14:textId="77777777" w:rsidR="00C07118" w:rsidRPr="00507A31" w:rsidRDefault="00C07118" w:rsidP="00507A31">
      <w:pPr>
        <w:jc w:val="both"/>
        <w:rPr>
          <w:color w:val="000000" w:themeColor="text1"/>
          <w:sz w:val="16"/>
          <w:szCs w:val="16"/>
        </w:rPr>
      </w:pPr>
      <w:r w:rsidRPr="00507A31">
        <w:rPr>
          <w:color w:val="000000" w:themeColor="text1"/>
          <w:sz w:val="16"/>
          <w:szCs w:val="16"/>
        </w:rPr>
        <w:t>ПОКАЗАНИЯ</w:t>
      </w:r>
    </w:p>
    <w:p w14:paraId="08B61A22" w14:textId="77777777" w:rsidR="00C07118" w:rsidRPr="00507A31" w:rsidRDefault="00C07118" w:rsidP="00507A31">
      <w:pPr>
        <w:jc w:val="both"/>
        <w:rPr>
          <w:color w:val="000000" w:themeColor="text1"/>
          <w:sz w:val="16"/>
          <w:szCs w:val="16"/>
        </w:rPr>
      </w:pPr>
      <w:r w:rsidRPr="00507A31">
        <w:rPr>
          <w:color w:val="000000" w:themeColor="text1"/>
          <w:sz w:val="16"/>
          <w:szCs w:val="16"/>
        </w:rPr>
        <w:t>проф. ЧАРНОВСКОГО Н. Ф. от 16/Х-1930 года.</w:t>
      </w:r>
    </w:p>
    <w:p w14:paraId="4D153E34"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Допросили: нач. СООГПУ АГРАНОВ и пом. нач. 3 отделения] СООГПУ РАДЗИВИЛОВСКИЙ.</w:t>
      </w:r>
    </w:p>
    <w:p w14:paraId="43001F0A" w14:textId="77777777" w:rsidR="00C07118" w:rsidRPr="00507A31" w:rsidRDefault="00C07118" w:rsidP="00507A31">
      <w:pPr>
        <w:jc w:val="both"/>
        <w:rPr>
          <w:color w:val="000000" w:themeColor="text1"/>
          <w:sz w:val="16"/>
          <w:szCs w:val="16"/>
        </w:rPr>
      </w:pPr>
      <w:r w:rsidRPr="00507A31">
        <w:rPr>
          <w:color w:val="000000" w:themeColor="text1"/>
          <w:sz w:val="16"/>
          <w:szCs w:val="16"/>
        </w:rPr>
        <w:t>Я показал следующее:</w:t>
      </w:r>
    </w:p>
    <w:p w14:paraId="76B3ADC7" w14:textId="77777777" w:rsidR="00C07118" w:rsidRPr="00507A31" w:rsidRDefault="00C07118" w:rsidP="00507A31">
      <w:pPr>
        <w:jc w:val="both"/>
        <w:rPr>
          <w:color w:val="000000" w:themeColor="text1"/>
          <w:sz w:val="16"/>
          <w:szCs w:val="16"/>
        </w:rPr>
      </w:pPr>
      <w:r w:rsidRPr="00507A31">
        <w:rPr>
          <w:color w:val="000000" w:themeColor="text1"/>
          <w:sz w:val="16"/>
          <w:szCs w:val="16"/>
        </w:rPr>
        <w:t>1. Об отношении Промышленной партии (вредительского] инженерного центра) к интервенции против СССР.</w:t>
      </w:r>
    </w:p>
    <w:p w14:paraId="661EA1C1" w14:textId="77777777" w:rsidR="00C07118" w:rsidRPr="00507A31" w:rsidRDefault="00C07118" w:rsidP="00507A31">
      <w:pPr>
        <w:jc w:val="both"/>
        <w:rPr>
          <w:color w:val="000000" w:themeColor="text1"/>
          <w:sz w:val="16"/>
          <w:szCs w:val="16"/>
        </w:rPr>
      </w:pPr>
      <w:r w:rsidRPr="00507A31">
        <w:rPr>
          <w:color w:val="000000" w:themeColor="text1"/>
          <w:sz w:val="16"/>
          <w:szCs w:val="16"/>
        </w:rPr>
        <w:t>Вредительский инженерно-промышленный центр, или Промышленная Партия, в которую он формировался, в деле свержения советской власти ставил свою ставку с 1927 г. главным образом на военную интервенцию, всеми путями стремясь к выяснению перспектив в этом направлении и сроков ее подготовки и реализации через своих наиболее осведомленных сочленов. В начале, 1926 г., задачи информации и связи Промышленной партии с заграничными кругами, заинтересованными в интервенции, выполняли ПАЛЬЧИНСКИЙ и РАБИНОВИЧ, инициаторы создания вредительского инженерно-промышленного центра, ядра будущей Промышленной партии. ПАЛЬЧИНСКИЙ имел связь с правительственными кругами Франции еще со времени Февральской революции и временного правительства и поддерживал эту связь с помощью близких ему кругов — объединения бывших русских промышленников в Париже, так называемого «Торгпрома», в т[ом] числе через бывших фабрикантов КОНОВАЛОВА и РЯБУШИНСКОГО. РАБИНОВИЧ имел связи с тем же Торгпромом, в частности с бывшими владельцами и акционерами угольных копей и банковыми деятелями, в качестве таковых имевшими вес и за рубежом (Каминка, Дворжанчик). ПАЛЬЧИНСКИЙ и РАБИНОВИЧ через члена вредительской организации инженерного центра (Промышленной партии) и фактического ее руководителя ХРЕННИКОВА, а также от случая к случаю и через других членов центра, сообщали о надеждах бывш. промышленников на военную интервенцию, осуществляемую военными силами Польши, Румынии и других лимитрофных государств, опираясь на помощь Франции и при поддержке Англии. При этом Франции по тем же сообщениям должна была принадлежать в этом деле главная инициативная и руководящая роль, с оказанием широкой военно-технической помощи.</w:t>
      </w:r>
    </w:p>
    <w:p w14:paraId="403049B2" w14:textId="77777777" w:rsidR="00C07118" w:rsidRPr="00507A31" w:rsidRDefault="00C07118" w:rsidP="00507A31">
      <w:pPr>
        <w:jc w:val="both"/>
        <w:rPr>
          <w:color w:val="000000" w:themeColor="text1"/>
          <w:sz w:val="16"/>
          <w:szCs w:val="16"/>
        </w:rPr>
      </w:pPr>
      <w:r w:rsidRPr="00507A31">
        <w:rPr>
          <w:color w:val="000000" w:themeColor="text1"/>
          <w:sz w:val="16"/>
          <w:szCs w:val="16"/>
        </w:rPr>
        <w:t>После ареста ПАЛЬЧИНСКОГО, ХРЕННИКОВ восстановил связи с указанными заграничными кругами во время своих заграничных командировок, о чем и сообщил членам вредительского] инженерного центра — центрального комитета Промышленной партии, представлявшим в этом центр[альном] комитете отраслевые группы промышленности: топливной, энергетической, металлургической и машиностроительной (каковые возглавлялись в ЦК самим ХРЕННИКОВЫМ), текстильной, химической, лесоразрабатывающей и т. д. Не созывая для этого сообщения специального совещания членов центр[ального] комитета, ХРЕННИКОВ в период 1927 г. сообщал об этих связях отдельным членам Центрального комитета при встречах от случая к случаю. В частности мне, а также КУТСКОМУ и МИЛЮКОВУ ХРЕННИКОВ впервые сообщил о своих заграничных связях в 1927 г. весною (примерно в апреле), в купе вагона по дороге в Ленинград на очередную сессию Гипромеза. ХРЕННИКОВ рассказал нам о своей связи в Париже с инж. МЕЩЕРСКИМ, бывшим главою заводов Сормово-Коломна-Кулебаки-Выкса, а также о свиданиях в Париже с РЯБУШИНСКИМ, КОНОВАЛОВЫМ и другими членами Торгпрома. По сообщению ХРЕННИКОВА, надежды на интервенцию, питаемые этими промышленниками, основывались на личных переговорах их с представителями французских банковских кругов, в особенности заинтересованных в предприятиях южно-русской металлургии, а также с представителями французского правительства БРИАНОМ и с французским генеральным штабом. При этом ХРЕННИКОВ называл имена генералов ВЕРТЕЛО, ВЕЙГАНДА, ЖАНЕНА и др. Объединение Торгпрома, рассматривая себя как общий центр руководства Промышленной партией зарубежом и внутри С.С.С.Р., предложило ХРЕННИКОВУ, по его словам во время пребывания его в Париже, денежную субсидию для поддержания соответствующих настроений среди бывших служащих заводов и фабрик в С.С.С.Р., принадлежавших до революции промышленникам, объединенным ныне в Торгпроме. Целью субсидирования являлось в первую очередь сохранение бывших'ка- дров служащих и поддержание в них тенденций к возвращению предприятий, национализированных соввластью, прежним владельцам, затем[,] во[-]вторых, проведение вредительских действий в трестах и на заводах.</w:t>
      </w:r>
    </w:p>
    <w:p w14:paraId="178810AD" w14:textId="77777777" w:rsidR="00C07118" w:rsidRPr="00507A31" w:rsidRDefault="00C07118" w:rsidP="00507A31">
      <w:pPr>
        <w:jc w:val="both"/>
        <w:rPr>
          <w:color w:val="000000" w:themeColor="text1"/>
          <w:sz w:val="16"/>
          <w:szCs w:val="16"/>
        </w:rPr>
      </w:pPr>
      <w:r w:rsidRPr="00507A31">
        <w:rPr>
          <w:color w:val="000000" w:themeColor="text1"/>
          <w:sz w:val="16"/>
          <w:szCs w:val="16"/>
        </w:rPr>
        <w:t>Таким образом, установивши связи с бывшими владельцами и с кругами, способными активно поддержать интервенцию, Промышленная партия (вредительский] инженерн[ый] центр) видела в интервенции уже с 1927 г. основное и конечное средство к свержению соввласти. Этой конечной цели должно было способствовать проведение вредит[ельским] инженерным центром (промышленной партией) вредительства в различных отраслях народного хозяйства и промышленности — путем создания диспропорций при выполнении плана реконструкции по обслуживающим друг друга отраслям, углубления кризисов в результате этих диспропорций, в том числе кризисов продовольственного, транспортного, топливного и в прочих отраслях хозяйства СССР. В таком направлении, по сообщению ХРЕННИКОВА, были даны также директивы и со стороны зарубежного объединения промышленников — «Торгпрома», принятые инженерным вредит[ельским] центром (Промпартией) в лице его руководителя ХРЕННИКОВА в качестве основной линии деятельности с 1927 г. Это сообщение ХРЕННИКОВА было позднее значительно дополнено проф. РАМЗИНЫМ, впоследствии заступившим место ХРЕННИКОВА в качестве руководителя вредительского] инженерно-промышленного центра (Промышленной] партии). РАМЗИН уже с 1927 г., со времени своей поездки во Францию и в Америку, в Париже возобновил свои прежние связи с бывшими владельцами промышленной собственности в бывшей России, в т[ом] числе с РЯБУШИНСКИМ и с КОНОВАЛОВЫМ. РАМЗИН по возвращении своем из-за границы в конце 1927 г., помнится в ноябре или декабре, в одной из бесед в кабинете КАЛИННИКОВА в Госплане в присутствии небольшого числа членов вредит[ельского] центра (помнится, КАЛИННИКОВА, ЛАРИЧЕВА, ФЕДОТОВА, меня и еще кого-то) сообщил о свиданиях своих и разговорах об интервенции уже не только с бывшими русскими промышленниками, но и с представителями французского генерального штаба, называя те же имена генералов ВЕРТЕЛО, ВЕЙГАНДА, ЖАНЕНА, как наиболее активных сторонников интервенции в СССР, а также имя русского бывш. генерала ЛУКОМСКОГО. При этом свидании, которое[,] по словам РАМЗИНА[,] происходило у РЯБУШИНСКОГО, РАМЗИН информировал собравшихся у РЯБУШИНСКОГО лиц о положении в различных отраслях хозяйства и плана строительства в СССР и об ожидаемых затруднениях при выполнении планов реконструкции, а собравшиеся у РЯБУШИНСКОГО промышленники и военные с своей стороны сообщали о планах интервенции, как-то: начало ее — в форме пограничных инцидентов, провоцированных в надлежащий момент на румынской границе, неизбежность перехода от этих инцидентов к военным действиям, вмешательств^] Польши в качестве союзницы Румынии; действ[и]яг на море и на побережьи, в т[ом] числе десантные операции против Ленинграда, поддерживаемые воздушными силами и т. д. Таким образом, в соответствии с развитой в этом направлении программой военного наступления, директивы, полученные ранее ХРЕННИКОВЫМ и касавшиеся главным образом, мер техно-экономического характера, значительно расширялись и дополнялись в направлении содействия интервенции, которое должно было последовать в форме соответствующих мер военного значения.</w:t>
      </w:r>
    </w:p>
    <w:p w14:paraId="59F47C9C" w14:textId="77777777" w:rsidR="00C07118" w:rsidRPr="00507A31" w:rsidRDefault="00C07118" w:rsidP="00507A31">
      <w:pPr>
        <w:jc w:val="both"/>
        <w:rPr>
          <w:color w:val="000000" w:themeColor="text1"/>
          <w:sz w:val="16"/>
          <w:szCs w:val="16"/>
        </w:rPr>
      </w:pPr>
      <w:r w:rsidRPr="00507A31">
        <w:rPr>
          <w:color w:val="000000" w:themeColor="text1"/>
          <w:sz w:val="16"/>
          <w:szCs w:val="16"/>
        </w:rPr>
        <w:t xml:space="preserve">На основании полученных РАМЗИНЫМ в этот раз и дополненных позднее указаний от того же Торгпрома, а через него также от французских военных специалистов, РАМЗИН в 1929 г. осенью представляет членам центр[ального] комитета Промышленной] партии предварительный, а несколько позднее — детальный разработанный им план военной организации Промышленной партии. Мне пришлось познакомиться только с предварительными соображениями РАМЗИНА по этому плану в беседе в кабинете у КАЛИННИКОВА еще до ареста ХРЕННИКОВА в присутствии последнего весною 1929 г. Но тогда РАМЗИНЫМ была представлена лишь идея и схема организации. О плане же организации, разработанном РАМЗИНЫМ, я узнал уже из разговора у КАЛИННИКОВА в конце 1929 г. или начале 1930 г. Эта военная организация должна была служить целям диверсионных действий в момент интервенции — поддержке восстаний, завладению важнейшими пунктами связи и сообщений и т. д. В этом отношении, по сообщениям как ХРЕННИКОВА, так и РАМЗИНА, в империалистических странах, в особенности во Франции, а отчасти и в Англии, имелись надежды на отторжение окраин: Грузии, Украины — с помощью подготовленных восстаний, опирающихся на группы сепаратистов. Наконец, по </w:t>
      </w:r>
      <w:r w:rsidRPr="00507A31">
        <w:rPr>
          <w:color w:val="000000" w:themeColor="text1"/>
          <w:sz w:val="16"/>
          <w:szCs w:val="16"/>
        </w:rPr>
        <w:lastRenderedPageBreak/>
        <w:t>сообщению РАМЗИНА, с тою же целью в виде пробного шара китайские военные круги в Маньчжурии подстрекались к завладению Кит[айско-]Вост[очной] ж/д. Это отторжение могло бы, в случае слабой подготовленности военных сил СССР, привести к вооруженному столкновению, выгодному для Китая, а затем ко вмешательству держав и последующей интервенции. Возлагались также надежды на дезорганизацию военно-оборонной способности СССР в результате вредительских мер в области военной промышленности.</w:t>
      </w:r>
    </w:p>
    <w:p w14:paraId="135D5C9E" w14:textId="77777777" w:rsidR="00C07118" w:rsidRPr="00507A31" w:rsidRDefault="00C07118" w:rsidP="00507A31">
      <w:pPr>
        <w:jc w:val="both"/>
        <w:rPr>
          <w:color w:val="000000" w:themeColor="text1"/>
          <w:sz w:val="16"/>
          <w:szCs w:val="16"/>
        </w:rPr>
      </w:pPr>
      <w:r w:rsidRPr="00507A31">
        <w:rPr>
          <w:color w:val="000000" w:themeColor="text1"/>
          <w:sz w:val="16"/>
          <w:szCs w:val="16"/>
        </w:rPr>
        <w:t>Как известно, своевременно принятыми мерами указанный конфликт на КВЖД ликвидирован в пользу СССР и попытка дипломатического вмешательства оказалась запоздалой. Точно также не оправдались надежды на отложение указанных выше окраин.</w:t>
      </w:r>
    </w:p>
    <w:p w14:paraId="7FB6DB1B" w14:textId="77777777" w:rsidR="00C07118" w:rsidRPr="00507A31" w:rsidRDefault="00C07118" w:rsidP="00507A31">
      <w:pPr>
        <w:jc w:val="both"/>
        <w:rPr>
          <w:color w:val="000000" w:themeColor="text1"/>
          <w:sz w:val="16"/>
          <w:szCs w:val="16"/>
        </w:rPr>
      </w:pPr>
      <w:r w:rsidRPr="00507A31">
        <w:rPr>
          <w:color w:val="000000" w:themeColor="text1"/>
          <w:sz w:val="16"/>
          <w:szCs w:val="16"/>
        </w:rPr>
        <w:t>2. О моменте, намеченном для начала интервенции.</w:t>
      </w:r>
    </w:p>
    <w:p w14:paraId="2500A67A" w14:textId="77777777" w:rsidR="00C07118" w:rsidRPr="00507A31" w:rsidRDefault="00C07118" w:rsidP="00507A31">
      <w:pPr>
        <w:jc w:val="both"/>
        <w:rPr>
          <w:color w:val="000000" w:themeColor="text1"/>
          <w:sz w:val="16"/>
          <w:szCs w:val="16"/>
        </w:rPr>
      </w:pPr>
      <w:r w:rsidRPr="00507A31">
        <w:rPr>
          <w:color w:val="000000" w:themeColor="text1"/>
          <w:sz w:val="16"/>
          <w:szCs w:val="16"/>
        </w:rPr>
        <w:t>Начало интервенции, в соответствии с сообщением РАМЗИНА, основанным на полученных им из Торгпрома в Париже данных, как передавали в центр[альном] комитете Промпартии[,] со слов РАМЗИНА[,] весною 1930 г., намечалось на лето 1930 г. К этому сроку, как следовало из информации РАМЗИНА, и как думалось в зарубежной организации бывш. промышленников и в кругах французского генерального штаба, должны были достигнуть максимальных размеров трудности при реконструкции отраслей промышленности и всего хозяйства в СССР. Ожидалось также значительное ослабление хозяйственной и военно-оборонной мощи страны, последнее — благодаря вредительству в военной промышленности; затем рассчитывали на понижение боеспособности Красной армии — благодаря вредительству в инженерно-технических частях войск; наконец, при общем параличе всей хозяйственной жизни в стране рас[с]читывали на специально организованные диверсионные взрывы и всякого рода катастрофы на оборонном фронте. К этому же моменту приурочивалось усиление восстаний на окраинах в Грузии, на Украине и в других местах, отчасти в связи с проведением коллективизации.</w:t>
      </w:r>
    </w:p>
    <w:p w14:paraId="24FF5FFA" w14:textId="77777777" w:rsidR="00C07118" w:rsidRPr="00507A31" w:rsidRDefault="00C07118" w:rsidP="00507A31">
      <w:pPr>
        <w:jc w:val="both"/>
        <w:rPr>
          <w:color w:val="000000" w:themeColor="text1"/>
          <w:sz w:val="16"/>
          <w:szCs w:val="16"/>
        </w:rPr>
      </w:pPr>
      <w:r w:rsidRPr="00507A31">
        <w:rPr>
          <w:color w:val="000000" w:themeColor="text1"/>
          <w:sz w:val="16"/>
          <w:szCs w:val="16"/>
        </w:rPr>
        <w:t>Однако эти общие надежды среди вредительской организации инженерного центра (Промышленной] партии) и среди иностранных и эмигрантских кругов интервенционистов не оправдались; в т[ом] числе опыт на КВЖД дал доказательство обратного — усиления боеспособности частей Кр[асной] армии. Пришлось намечать момент интервенции на более дальний срок. Такому отдалению срока, как сообщал РАМЗИН на основании своих связей с Торгпромом и полученных им сведений через французскую миссию в Москве, способствовал также ход внешнеполитических комбинаций в отношениях между Францией и Германией, в связи с попыткой Франции оторвать Германию от существующих договорных отношений с СССР и с попыткой ликвидировать Литву, как государство, введя ее в состав Польши. Неудача этих планов, выяснившаяся к лету 1930 г., также послужила к затяжке и отдалению момента начала интервенции, о чем РАМЗИН, помимо упомянутых данных, полученных им из французской миссии, получил сведения также и при поездке его на международный конгресс в Берлине в июне с. г. Там РАМЗИНУ, по его словам, удалось вновь встретиться с представителями эмигрантских кругов и организаций Торгпрома и получить соответствующие информации. Таким образом, на основании этих информаций, момент военной интервенции откладывался примерно на год, то есть до лета 1931 года. Этот год представлялся благоприятным в двух отношениях: во-первых, по предсказаниям некоторых агрономов, именно этот год ожидается неурожайным для СССР; во-вторых, с этим годом совпадают, как думают в Торгпроме на основании дополнительных данных, полученных от РАМЗИНА о ходе реконструкции, максимальные финансовые затруднения — по импортным заявкам, сосредотачиваемым в виду запоздания многих закупок, на период 1931 года. Кроме того, в связи с политическим положением внутри Германии и Англии, ожидалась лучшая для интервенционистов политическая конъюнктура в Европе именно в 1931 году.</w:t>
      </w:r>
    </w:p>
    <w:p w14:paraId="7411C27F" w14:textId="77777777" w:rsidR="00C07118" w:rsidRPr="00507A31" w:rsidRDefault="00C07118" w:rsidP="00507A31">
      <w:pPr>
        <w:jc w:val="both"/>
        <w:rPr>
          <w:color w:val="000000" w:themeColor="text1"/>
          <w:sz w:val="16"/>
          <w:szCs w:val="16"/>
        </w:rPr>
      </w:pPr>
      <w:r w:rsidRPr="00507A31">
        <w:rPr>
          <w:color w:val="000000" w:themeColor="text1"/>
          <w:sz w:val="16"/>
          <w:szCs w:val="16"/>
        </w:rPr>
        <w:t>3. О связях Промышленной партии через РАМЗИНА с французским посольством в Москве.</w:t>
      </w:r>
    </w:p>
    <w:p w14:paraId="685F89AE" w14:textId="77777777" w:rsidR="00C07118" w:rsidRPr="00507A31" w:rsidRDefault="00C07118" w:rsidP="00507A31">
      <w:pPr>
        <w:jc w:val="both"/>
        <w:rPr>
          <w:color w:val="000000" w:themeColor="text1"/>
          <w:sz w:val="16"/>
          <w:szCs w:val="16"/>
        </w:rPr>
      </w:pPr>
      <w:r w:rsidRPr="00507A31">
        <w:rPr>
          <w:color w:val="000000" w:themeColor="text1"/>
          <w:sz w:val="16"/>
          <w:szCs w:val="16"/>
        </w:rPr>
        <w:t>По сообщению, полученному мною от члена центрального] комитета Промышленной] партии инженера ЛАРИЧЕВА, РАМЗИН, весною 1930 года, примерно в марте, в беседе с членами центр[ального] комитета Промпартии ЛАРИЧЕВЫМ, ФЕДОТОВЫМ, КАЛИННИКОВЫМ, в кабинете КАЛИННИКОВА в Госплане СССР информировал собравшихся членов центр, комитета о своих связях и переговорах с представителями французской миссии в Москве. В частности[,] он называл из представителей миссии следующих лиц, с которыми он, РАМЗИН, непосредственно имеет связь: атташе посольства по коммерческой части г. КЮФЕРА, а также секретаря посольства г. РЕНЬО, с которым он, РАМЗИН, виделся у себя на квартире. Свидания эти использовались для взаимной информации: РАМЗИН подробно и с цифровыми данными в руках информировал посольство через указанных лиц о состоянии отраслей нашего хозяйства и о строительстве в этих отраслях, отмечая наличные или предстоящие в будущем затруднения, неминуемые прорывы в добыче топлива, в снабжении всеми видами сырья и пр. Члены посольства информировали РАМЗИНА о деталях в отношении планов интервенции, о возможном сроке ее, а также передавали заграничную переписку секретного характера, следующую на имя РАМЗИНА, как признанного руководителя вредительской деятельности Промышленной партии и лица, осуществляющего связь с заграницей. Как уже указывалось, об окончательной отсрочке интервенции РАМЗИН узнал в Берлине, предварительно же был предупрежден о том же через указанных представителей французской миссии еще до поездки своей в Берлин. Об отсрочке этой он, как я узнал впоследствии от КАЛИННИКОВА, сообщил членам ЦК Промпартии в Госплане.</w:t>
      </w:r>
    </w:p>
    <w:p w14:paraId="3431C8AE" w14:textId="77777777" w:rsidR="00C07118" w:rsidRPr="00507A31" w:rsidRDefault="00C07118" w:rsidP="00507A31">
      <w:pPr>
        <w:jc w:val="both"/>
        <w:rPr>
          <w:color w:val="000000" w:themeColor="text1"/>
          <w:sz w:val="16"/>
          <w:szCs w:val="16"/>
        </w:rPr>
      </w:pPr>
      <w:r w:rsidRPr="00507A31">
        <w:rPr>
          <w:color w:val="000000" w:themeColor="text1"/>
          <w:sz w:val="16"/>
          <w:szCs w:val="16"/>
        </w:rPr>
        <w:t>Н. ЧАРНОВСКИЙ.</w:t>
      </w:r>
    </w:p>
    <w:p w14:paraId="74EC8756" w14:textId="77777777" w:rsidR="00C07118" w:rsidRPr="00507A31" w:rsidRDefault="00C07118" w:rsidP="00507A31">
      <w:pPr>
        <w:jc w:val="both"/>
        <w:rPr>
          <w:color w:val="000000" w:themeColor="text1"/>
          <w:sz w:val="16"/>
          <w:szCs w:val="16"/>
        </w:rPr>
      </w:pPr>
      <w:r w:rsidRPr="00507A31">
        <w:rPr>
          <w:color w:val="000000" w:themeColor="text1"/>
          <w:sz w:val="16"/>
          <w:szCs w:val="16"/>
        </w:rPr>
        <w:t>17/Х-1930 г.</w:t>
      </w:r>
    </w:p>
    <w:p w14:paraId="3110DD10"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Допросили — нач. СООГПУ АГРАНОВ</w:t>
      </w:r>
    </w:p>
    <w:p w14:paraId="6EFD7B29" w14:textId="77777777" w:rsidR="00C07118" w:rsidRPr="00507A31" w:rsidRDefault="00C07118" w:rsidP="00507A31">
      <w:pPr>
        <w:jc w:val="both"/>
        <w:rPr>
          <w:color w:val="000000" w:themeColor="text1"/>
          <w:sz w:val="16"/>
          <w:szCs w:val="16"/>
        </w:rPr>
      </w:pPr>
      <w:r w:rsidRPr="00507A31">
        <w:rPr>
          <w:color w:val="000000" w:themeColor="text1"/>
          <w:sz w:val="16"/>
          <w:szCs w:val="16"/>
        </w:rPr>
        <w:t>и п/нач. 3 [отделения] СООГПУ РАДЗИВИЛОВСКИЙ.</w:t>
      </w:r>
    </w:p>
    <w:p w14:paraId="0D6AD79F" w14:textId="77777777" w:rsidR="00C07118" w:rsidRPr="00507A31" w:rsidRDefault="00C07118" w:rsidP="00507A31">
      <w:pPr>
        <w:jc w:val="both"/>
        <w:rPr>
          <w:color w:val="000000" w:themeColor="text1"/>
          <w:sz w:val="16"/>
          <w:szCs w:val="16"/>
        </w:rPr>
      </w:pPr>
      <w:r w:rsidRPr="00507A31">
        <w:rPr>
          <w:color w:val="000000" w:themeColor="text1"/>
          <w:sz w:val="16"/>
          <w:szCs w:val="16"/>
        </w:rPr>
        <w:t>Д. 355. Л. 61-68. Заверенная машинописная копия того времени. Датируется на основании сопроводительного письма В. Р. Менжинского от 1 ноября 1930 г. (Л. 1) об отправке протоколов допросов «РАМЗИНА, КАЛИННИКОВА, ЛАРИЧЕВА, ЧАРНОВСКОГО, ОЧКИНА и СОЛОВЬЕВА от 31/Х-30 г.» («по вопросу об интервенции») и единого «Оглавления» (Л. 2) к данной «подборке» протоколов (см. легенду к док. №355-1). Показания Н. Ф. Чарновского в «Оглавлении» (с. 59-66) датированы, как и все остальные, 31 октября 1930 г. В самом документе проставлены другие числа -16 октября (дата допроса) и 17 октября 1930 г. (дата подписания документа) — те же, что в протоколе, содержащемся в д. 354. Текст более поздних «показаний» (от [31] октября 1930 г.) имеет существенные отличия в сравнении с «первым» экземпляром (см. подстрочник и легенду док. № 354-5). По-видимому, «редактирование» текста показаний Чарновского от 16 октября 1930 г. было осуществлено (условно) 31 октября 1930 г., однако при этом «забыли» исправить даты в заголовке и в конце документа (18495).</w:t>
      </w:r>
    </w:p>
    <w:p w14:paraId="56DEAED3" w14:textId="77777777" w:rsidR="00C07118" w:rsidRPr="00507A31" w:rsidRDefault="00C07118" w:rsidP="00507A31">
      <w:pPr>
        <w:jc w:val="both"/>
        <w:rPr>
          <w:color w:val="000000" w:themeColor="text1"/>
          <w:sz w:val="16"/>
          <w:szCs w:val="16"/>
        </w:rPr>
      </w:pPr>
    </w:p>
    <w:p w14:paraId="37E5BA1B"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03217567" w14:textId="77777777" w:rsidR="00C07118" w:rsidRPr="00507A31" w:rsidRDefault="00C07118" w:rsidP="00507A31">
      <w:pPr>
        <w:jc w:val="both"/>
        <w:rPr>
          <w:color w:val="000000" w:themeColor="text1"/>
          <w:sz w:val="16"/>
          <w:szCs w:val="16"/>
        </w:rPr>
      </w:pPr>
      <w:r w:rsidRPr="00507A31">
        <w:rPr>
          <w:color w:val="000000" w:themeColor="text1"/>
          <w:sz w:val="16"/>
          <w:szCs w:val="16"/>
        </w:rPr>
        <w:t>Показания В. И. Очкина о «вредительской» деятельности «Промпартии», подготовке интервенции и «связях с иностранцами». 31 октября 1930 г.</w:t>
      </w:r>
    </w:p>
    <w:p w14:paraId="35A1B0DB" w14:textId="77777777" w:rsidR="00C07118" w:rsidRPr="00507A31" w:rsidRDefault="00C07118" w:rsidP="00507A31">
      <w:pPr>
        <w:jc w:val="both"/>
        <w:rPr>
          <w:color w:val="000000" w:themeColor="text1"/>
          <w:sz w:val="16"/>
          <w:szCs w:val="16"/>
        </w:rPr>
      </w:pPr>
      <w:r w:rsidRPr="00507A31">
        <w:rPr>
          <w:color w:val="000000" w:themeColor="text1"/>
          <w:sz w:val="16"/>
          <w:szCs w:val="16"/>
        </w:rPr>
        <w:t>Источник: </w:t>
      </w:r>
    </w:p>
    <w:p w14:paraId="170AA37F" w14:textId="77777777" w:rsidR="00C07118" w:rsidRPr="00507A31" w:rsidRDefault="00C0711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2EF2C4" w14:textId="77777777" w:rsidR="00C07118" w:rsidRPr="00507A31" w:rsidRDefault="00C07118" w:rsidP="00507A31">
      <w:pPr>
        <w:jc w:val="both"/>
        <w:rPr>
          <w:color w:val="000000" w:themeColor="text1"/>
          <w:sz w:val="16"/>
          <w:szCs w:val="16"/>
        </w:rPr>
      </w:pPr>
      <w:r w:rsidRPr="00507A31">
        <w:rPr>
          <w:color w:val="000000" w:themeColor="text1"/>
          <w:sz w:val="16"/>
          <w:szCs w:val="16"/>
        </w:rPr>
        <w:t>Архив: </w:t>
      </w:r>
    </w:p>
    <w:p w14:paraId="3A240273" w14:textId="77777777" w:rsidR="00C07118" w:rsidRPr="00507A31" w:rsidRDefault="00C07118" w:rsidP="00507A31">
      <w:pPr>
        <w:jc w:val="both"/>
        <w:rPr>
          <w:color w:val="000000" w:themeColor="text1"/>
          <w:sz w:val="16"/>
          <w:szCs w:val="16"/>
        </w:rPr>
      </w:pPr>
      <w:r w:rsidRPr="00507A31">
        <w:rPr>
          <w:color w:val="000000" w:themeColor="text1"/>
          <w:sz w:val="16"/>
          <w:szCs w:val="16"/>
        </w:rPr>
        <w:t>ЦА ФСБ РФ. Ф. Р-42280. Т. 10. Л. 188-192 об.</w:t>
      </w:r>
    </w:p>
    <w:p w14:paraId="127EC6EE"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24A24113" w14:textId="77777777" w:rsidR="00C07118" w:rsidRPr="00507A31" w:rsidRDefault="00C07118" w:rsidP="00507A31">
      <w:pPr>
        <w:jc w:val="both"/>
        <w:rPr>
          <w:color w:val="000000" w:themeColor="text1"/>
          <w:sz w:val="16"/>
          <w:szCs w:val="16"/>
        </w:rPr>
      </w:pPr>
      <w:r w:rsidRPr="00507A31">
        <w:rPr>
          <w:color w:val="000000" w:themeColor="text1"/>
          <w:sz w:val="16"/>
          <w:szCs w:val="16"/>
        </w:rPr>
        <w:t>[Строго секретно]</w:t>
      </w:r>
    </w:p>
    <w:p w14:paraId="7FA73A9C" w14:textId="77777777" w:rsidR="00C07118" w:rsidRPr="00507A31" w:rsidRDefault="00C07118" w:rsidP="00507A31">
      <w:pPr>
        <w:jc w:val="both"/>
        <w:rPr>
          <w:color w:val="000000" w:themeColor="text1"/>
          <w:sz w:val="16"/>
          <w:szCs w:val="16"/>
        </w:rPr>
      </w:pPr>
      <w:r w:rsidRPr="00507A31">
        <w:rPr>
          <w:color w:val="000000" w:themeColor="text1"/>
          <w:sz w:val="16"/>
          <w:szCs w:val="16"/>
        </w:rPr>
        <w:t>ПРОТОКОЛ ДОПРОСА</w:t>
      </w:r>
    </w:p>
    <w:p w14:paraId="4D80622A" w14:textId="77777777" w:rsidR="00C07118" w:rsidRPr="00507A31" w:rsidRDefault="00C07118" w:rsidP="00507A31">
      <w:pPr>
        <w:jc w:val="both"/>
        <w:rPr>
          <w:color w:val="000000" w:themeColor="text1"/>
          <w:sz w:val="16"/>
          <w:szCs w:val="16"/>
        </w:rPr>
      </w:pPr>
      <w:r w:rsidRPr="00507A31">
        <w:rPr>
          <w:color w:val="000000" w:themeColor="text1"/>
          <w:sz w:val="16"/>
          <w:szCs w:val="16"/>
        </w:rPr>
        <w:t>инженера Владимира Ивановича ОЧКИНА от 31 октября 1930 г. </w:t>
      </w:r>
    </w:p>
    <w:p w14:paraId="5142C9E3"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Допросил: начальник 3 отд-ния СООГПУ Славатинский.</w:t>
      </w:r>
    </w:p>
    <w:p w14:paraId="0A47E122" w14:textId="77777777" w:rsidR="00C07118" w:rsidRPr="00507A31" w:rsidRDefault="00C07118" w:rsidP="00507A31">
      <w:pPr>
        <w:jc w:val="both"/>
        <w:rPr>
          <w:color w:val="000000" w:themeColor="text1"/>
          <w:sz w:val="16"/>
          <w:szCs w:val="16"/>
        </w:rPr>
      </w:pPr>
      <w:r w:rsidRPr="00507A31">
        <w:rPr>
          <w:color w:val="000000" w:themeColor="text1"/>
          <w:sz w:val="16"/>
          <w:szCs w:val="16"/>
        </w:rPr>
        <w:t>1. Признаю себя виновным в том, что я состоял членом контрреволюционной организации, именовавшей себя «Промышленной Партией».</w:t>
      </w:r>
    </w:p>
    <w:p w14:paraId="02949CC3" w14:textId="77777777" w:rsidR="00C07118" w:rsidRPr="00507A31" w:rsidRDefault="00C07118" w:rsidP="00507A31">
      <w:pPr>
        <w:jc w:val="both"/>
        <w:rPr>
          <w:color w:val="000000" w:themeColor="text1"/>
          <w:sz w:val="16"/>
          <w:szCs w:val="16"/>
        </w:rPr>
      </w:pPr>
      <w:r w:rsidRPr="00507A31">
        <w:rPr>
          <w:color w:val="000000" w:themeColor="text1"/>
          <w:sz w:val="16"/>
          <w:szCs w:val="16"/>
        </w:rPr>
        <w:t>В эту организацию меня вовлек приблизительно в начале 1929 г. профессор Леонид Константинович РАМЗИН.</w:t>
      </w:r>
    </w:p>
    <w:p w14:paraId="1A4E9C4A" w14:textId="77777777" w:rsidR="00C07118" w:rsidRPr="00507A31" w:rsidRDefault="00C07118" w:rsidP="00507A31">
      <w:pPr>
        <w:jc w:val="both"/>
        <w:rPr>
          <w:color w:val="000000" w:themeColor="text1"/>
          <w:sz w:val="16"/>
          <w:szCs w:val="16"/>
        </w:rPr>
      </w:pPr>
      <w:r w:rsidRPr="00507A31">
        <w:rPr>
          <w:color w:val="000000" w:themeColor="text1"/>
          <w:sz w:val="16"/>
          <w:szCs w:val="16"/>
        </w:rPr>
        <w:t>Промышленная партия своей конечной задачей ставила свержение советской власти и установление строя буржуазно-демократической республики.</w:t>
      </w:r>
    </w:p>
    <w:p w14:paraId="54CE863F" w14:textId="77777777" w:rsidR="00C07118" w:rsidRPr="00507A31" w:rsidRDefault="00C07118" w:rsidP="00507A31">
      <w:pPr>
        <w:jc w:val="both"/>
        <w:rPr>
          <w:color w:val="000000" w:themeColor="text1"/>
          <w:sz w:val="16"/>
          <w:szCs w:val="16"/>
        </w:rPr>
      </w:pPr>
      <w:r w:rsidRPr="00507A31">
        <w:rPr>
          <w:color w:val="000000" w:themeColor="text1"/>
          <w:sz w:val="16"/>
          <w:szCs w:val="16"/>
        </w:rPr>
        <w:t>Ориентируясь целиком на интервенцию, «Промышленная партия» расценивала интервенцию как средство, могущее осуществить указанные выше конечные задачи «Промышленной партии», то есть свержение соввласти.</w:t>
      </w:r>
    </w:p>
    <w:p w14:paraId="1200F4AF" w14:textId="77777777" w:rsidR="00C07118" w:rsidRPr="00507A31" w:rsidRDefault="00C07118" w:rsidP="00507A31">
      <w:pPr>
        <w:jc w:val="both"/>
        <w:rPr>
          <w:color w:val="000000" w:themeColor="text1"/>
          <w:sz w:val="16"/>
          <w:szCs w:val="16"/>
        </w:rPr>
      </w:pPr>
      <w:r w:rsidRPr="00507A31">
        <w:rPr>
          <w:color w:val="000000" w:themeColor="text1"/>
          <w:sz w:val="16"/>
          <w:szCs w:val="16"/>
        </w:rPr>
        <w:t>Исходя из своей общей установки на интервенцию, «Промышленная партия» своей практической задачей ставила ослабление хозяйственной мощи страны и ее обороноспособности путем вредительства во всех главнейших областях народного хозяйства СССР и в первую очередь в энергетической промышленности, которая рассматривалась нами как жизненный нерв страны. Выполняя эту свою практическую задачу, т. е. стремясь к ослаблению хозяйственной мощи страны и ее обороноспособности, «Промышленная партия» проводила эти мероприятия для того, чтобы создать в СССР обстановку, благоприятную для интервенции.</w:t>
      </w:r>
    </w:p>
    <w:p w14:paraId="49B7903A" w14:textId="77777777" w:rsidR="00C07118" w:rsidRPr="00507A31" w:rsidRDefault="00C07118" w:rsidP="00507A31">
      <w:pPr>
        <w:jc w:val="both"/>
        <w:rPr>
          <w:color w:val="000000" w:themeColor="text1"/>
          <w:sz w:val="16"/>
          <w:szCs w:val="16"/>
        </w:rPr>
      </w:pPr>
      <w:r w:rsidRPr="00507A31">
        <w:rPr>
          <w:color w:val="000000" w:themeColor="text1"/>
          <w:sz w:val="16"/>
          <w:szCs w:val="16"/>
        </w:rPr>
        <w:t>Вредительство, которое проводила на практике «промышленная партия», готовясь к интервенции, в основном сводилась к следующему:</w:t>
      </w:r>
    </w:p>
    <w:p w14:paraId="2224D2D2" w14:textId="77777777" w:rsidR="00C07118" w:rsidRPr="00507A31" w:rsidRDefault="00C07118" w:rsidP="00507A31">
      <w:pPr>
        <w:jc w:val="both"/>
        <w:rPr>
          <w:color w:val="000000" w:themeColor="text1"/>
          <w:sz w:val="16"/>
          <w:szCs w:val="16"/>
        </w:rPr>
      </w:pPr>
      <w:r w:rsidRPr="00507A31">
        <w:rPr>
          <w:color w:val="000000" w:themeColor="text1"/>
          <w:sz w:val="16"/>
          <w:szCs w:val="16"/>
        </w:rPr>
        <w:t>Задержка перехода промышленных предприятий на местные виды топлива, что достигалось несвоевременным проведением в жизнь массового изготовления, разработанных уже, топочных конструкций для различных видов местного топливу. В силу этого те промышленные предприятия, которые могли бы питаться местным топливом, должны были бы идти на дальнепривозном, что в момент приближения интервенции легче подвергалось депланирующим воздействиям и ответственные предприятия неминуемо должны были сниматься с плана топливоснабжения.</w:t>
      </w:r>
    </w:p>
    <w:p w14:paraId="79B87C48" w14:textId="77777777" w:rsidR="00C07118" w:rsidRPr="00507A31" w:rsidRDefault="00C07118" w:rsidP="00507A31">
      <w:pPr>
        <w:jc w:val="both"/>
        <w:rPr>
          <w:color w:val="000000" w:themeColor="text1"/>
          <w:sz w:val="16"/>
          <w:szCs w:val="16"/>
        </w:rPr>
      </w:pPr>
      <w:r w:rsidRPr="00507A31">
        <w:rPr>
          <w:color w:val="000000" w:themeColor="text1"/>
          <w:sz w:val="16"/>
          <w:szCs w:val="16"/>
        </w:rPr>
        <w:t>Задержка развития теплофикации и создания теплофикационных сетей для населенных пунктов, в частности в Москве, где до настоящего времени благодаря вредительству на практике, МОГЭС производит выработку только энергии, но снабжения населения централизованной отдачей тепла не ведет.</w:t>
      </w:r>
    </w:p>
    <w:p w14:paraId="3584C6A0" w14:textId="77777777" w:rsidR="00C07118" w:rsidRPr="00507A31" w:rsidRDefault="00C07118" w:rsidP="00507A31">
      <w:pPr>
        <w:jc w:val="both"/>
        <w:rPr>
          <w:color w:val="000000" w:themeColor="text1"/>
          <w:sz w:val="16"/>
          <w:szCs w:val="16"/>
        </w:rPr>
      </w:pPr>
      <w:r w:rsidRPr="00507A31">
        <w:rPr>
          <w:color w:val="000000" w:themeColor="text1"/>
          <w:sz w:val="16"/>
          <w:szCs w:val="16"/>
        </w:rPr>
        <w:t>Задержка перехода промышленности на применение пара высокого давления, в силу чего промышленность еще до настоящего времени вынуждена вести свою энергетику на малоэффективных паровых котлах, работающих на низком давлении, что является отсталостью и не оправдывается никакими экономическими расчетами.</w:t>
      </w:r>
    </w:p>
    <w:p w14:paraId="41C4B454" w14:textId="77777777" w:rsidR="00C07118" w:rsidRPr="00507A31" w:rsidRDefault="00C07118" w:rsidP="00507A31">
      <w:pPr>
        <w:jc w:val="both"/>
        <w:rPr>
          <w:color w:val="000000" w:themeColor="text1"/>
          <w:sz w:val="16"/>
          <w:szCs w:val="16"/>
        </w:rPr>
      </w:pPr>
      <w:r w:rsidRPr="00507A31">
        <w:rPr>
          <w:color w:val="000000" w:themeColor="text1"/>
          <w:sz w:val="16"/>
          <w:szCs w:val="16"/>
        </w:rPr>
        <w:lastRenderedPageBreak/>
        <w:t>Крайне медленная разработка различных рациональных и экономических типов конструкций отдельных элементов оборудования теплосилового хозяйства. Кроме того[,] недостаточная организация массового изготовления конструкций уже разработанных, приводит к тому, что промышленность имеет старое, обветшалое энергетическое хозяйство.</w:t>
      </w:r>
    </w:p>
    <w:p w14:paraId="3246C9F1" w14:textId="77777777" w:rsidR="00C07118" w:rsidRPr="00507A31" w:rsidRDefault="00C07118" w:rsidP="00507A31">
      <w:pPr>
        <w:jc w:val="both"/>
        <w:rPr>
          <w:color w:val="000000" w:themeColor="text1"/>
          <w:sz w:val="16"/>
          <w:szCs w:val="16"/>
        </w:rPr>
      </w:pPr>
      <w:r w:rsidRPr="00507A31">
        <w:rPr>
          <w:color w:val="000000" w:themeColor="text1"/>
          <w:sz w:val="16"/>
          <w:szCs w:val="16"/>
        </w:rPr>
        <w:t>Задержка научной разработки вопросов газификации приводит к тому, что страна, обладая большими возможностями использовать местные энергетические рессурсы, в качестве газового топлива, для крупнейших городов (Подмосковный бассейн — для Москвы, Гдовские сланцы для Ленинграда), до сих пор таковые возможности не использует, и проблема передачи газа на дальнее расстояние является до настоящего времени в СССР еще не разрешенной.</w:t>
      </w:r>
    </w:p>
    <w:p w14:paraId="60BDEAB4" w14:textId="77777777" w:rsidR="00C07118" w:rsidRPr="00507A31" w:rsidRDefault="00C07118" w:rsidP="00507A31">
      <w:pPr>
        <w:jc w:val="both"/>
        <w:rPr>
          <w:color w:val="000000" w:themeColor="text1"/>
          <w:sz w:val="16"/>
          <w:szCs w:val="16"/>
        </w:rPr>
      </w:pPr>
      <w:r w:rsidRPr="00507A31">
        <w:rPr>
          <w:color w:val="000000" w:themeColor="text1"/>
          <w:sz w:val="16"/>
          <w:szCs w:val="16"/>
        </w:rPr>
        <w:t>Задержка изучения вопросов работы двигателей внутреннего сгорания на утяжеленном топливе приводит к тому, что применение тяжелых топлив на тракторах еще не разрешено, а отсюда задерживается разрешение всей проблемы перехода тракторного &lt;парка&gt; СССР на тяжелые сорта горючего и др.</w:t>
      </w:r>
    </w:p>
    <w:p w14:paraId="70E1F885" w14:textId="77777777" w:rsidR="00C07118" w:rsidRPr="00507A31" w:rsidRDefault="00C07118" w:rsidP="00507A31">
      <w:pPr>
        <w:jc w:val="both"/>
        <w:rPr>
          <w:color w:val="000000" w:themeColor="text1"/>
          <w:sz w:val="16"/>
          <w:szCs w:val="16"/>
        </w:rPr>
      </w:pPr>
      <w:r w:rsidRPr="00507A31">
        <w:rPr>
          <w:color w:val="000000" w:themeColor="text1"/>
          <w:sz w:val="16"/>
          <w:szCs w:val="16"/>
        </w:rPr>
        <w:t>То обстоятельство, что «Промышленная партия» состояла почти исключительно из квалифицированных инженерно-технических сил и что в рядах партии существовала кастовая сплоченность, в значительной степени способствовало проведению в жизнь вредительских мероприятий, являющихся тактическими установками «Промышленной партии».</w:t>
      </w:r>
    </w:p>
    <w:p w14:paraId="2807ED32" w14:textId="77777777" w:rsidR="00C07118" w:rsidRPr="00507A31" w:rsidRDefault="00C07118" w:rsidP="00507A31">
      <w:pPr>
        <w:jc w:val="both"/>
        <w:rPr>
          <w:color w:val="000000" w:themeColor="text1"/>
          <w:sz w:val="16"/>
          <w:szCs w:val="16"/>
        </w:rPr>
      </w:pPr>
      <w:r w:rsidRPr="00507A31">
        <w:rPr>
          <w:color w:val="000000" w:themeColor="text1"/>
          <w:sz w:val="16"/>
          <w:szCs w:val="16"/>
        </w:rPr>
        <w:t>Кроме вредительской работы, таковая, как я показывал выше, проводилась на практике, — «Промышленная партия» проводила большую подготовительную работу, чисто диверсионного характера, с тем, чтобы в момент интервенции парализовать военную промышленность путем выведения из строя электростанций, не нарушая их внешней целостности.</w:t>
      </w:r>
    </w:p>
    <w:p w14:paraId="532359C6" w14:textId="77777777" w:rsidR="00C07118" w:rsidRPr="00507A31" w:rsidRDefault="00C07118" w:rsidP="00507A31">
      <w:pPr>
        <w:jc w:val="both"/>
        <w:rPr>
          <w:color w:val="000000" w:themeColor="text1"/>
          <w:sz w:val="16"/>
          <w:szCs w:val="16"/>
        </w:rPr>
      </w:pPr>
      <w:r w:rsidRPr="00507A31">
        <w:rPr>
          <w:color w:val="000000" w:themeColor="text1"/>
          <w:sz w:val="16"/>
          <w:szCs w:val="16"/>
        </w:rPr>
        <w:t>Как известно[,] топливоснабжение районных электростанций и их эксплоатация представляет из себя весьма капризную и ответственную операцию. Если вовремя не подвезти необходимого количества топлива, то из-за его недостачи смогут быть выведенными из электрокольца одна электростанция за другой. Последнее может повлечь за собой выключение ответственных потребителей. Мы были уверены, что интервенция свергнет советскую власть и в силу этого считали, что разрушать предприятия нецелесообразно даже в момент интервенции; поэтому, повторяю, диверсионная работа должна была лишь временно выводить из строя электростанции.</w:t>
      </w:r>
    </w:p>
    <w:p w14:paraId="0E37ED21" w14:textId="77777777" w:rsidR="00C07118" w:rsidRPr="00507A31" w:rsidRDefault="00C07118" w:rsidP="00507A31">
      <w:pPr>
        <w:jc w:val="both"/>
        <w:rPr>
          <w:color w:val="000000" w:themeColor="text1"/>
          <w:sz w:val="16"/>
          <w:szCs w:val="16"/>
        </w:rPr>
      </w:pPr>
      <w:r w:rsidRPr="00507A31">
        <w:rPr>
          <w:color w:val="000000" w:themeColor="text1"/>
          <w:sz w:val="16"/>
          <w:szCs w:val="16"/>
        </w:rPr>
        <w:t>Подготовительная диверсионная работа велась «Промышленной партией», главным образом, в виде хорошо законспирированных диверсионных групп на различных электростанциях, причем эти диверсионные группы «Промышленной партии» должны были приступить к активной работе в самый момент интервенции.</w:t>
      </w:r>
    </w:p>
    <w:p w14:paraId="1290C98E" w14:textId="77777777" w:rsidR="00C07118" w:rsidRPr="00507A31" w:rsidRDefault="00C07118" w:rsidP="00507A31">
      <w:pPr>
        <w:jc w:val="both"/>
        <w:rPr>
          <w:color w:val="000000" w:themeColor="text1"/>
          <w:sz w:val="16"/>
          <w:szCs w:val="16"/>
        </w:rPr>
      </w:pPr>
      <w:r w:rsidRPr="00507A31">
        <w:rPr>
          <w:color w:val="000000" w:themeColor="text1"/>
          <w:sz w:val="16"/>
          <w:szCs w:val="16"/>
        </w:rPr>
        <w:t>Со слов Л. К. РАМЗИ НА мне известно о том, что такие диверсионные группы были созданы на следующих электростанциях: 1) МОГЭС (КИРПИЧНИКОВ, ВЕТЧИНКИН, МОКЕЕВ), 2) Шатура, 3) Нигрэс (г. Балахна, Нижегородского края), 4) Кашира, 5) Красный Октябрь (Ленинград).</w:t>
      </w:r>
    </w:p>
    <w:p w14:paraId="579119C3" w14:textId="77777777" w:rsidR="00C07118" w:rsidRPr="00507A31" w:rsidRDefault="00C07118" w:rsidP="00507A31">
      <w:pPr>
        <w:jc w:val="both"/>
        <w:rPr>
          <w:color w:val="000000" w:themeColor="text1"/>
          <w:sz w:val="16"/>
          <w:szCs w:val="16"/>
        </w:rPr>
      </w:pPr>
      <w:r w:rsidRPr="00507A31">
        <w:rPr>
          <w:color w:val="000000" w:themeColor="text1"/>
          <w:sz w:val="16"/>
          <w:szCs w:val="16"/>
        </w:rPr>
        <w:t>Лично я входил в ячейку «Промышленной партии» Теплотехнического института.</w:t>
      </w:r>
    </w:p>
    <w:p w14:paraId="74962B1F" w14:textId="77777777" w:rsidR="00C07118" w:rsidRPr="00507A31" w:rsidRDefault="00C07118" w:rsidP="00507A31">
      <w:pPr>
        <w:jc w:val="both"/>
        <w:rPr>
          <w:color w:val="000000" w:themeColor="text1"/>
          <w:sz w:val="16"/>
          <w:szCs w:val="16"/>
        </w:rPr>
      </w:pPr>
      <w:r w:rsidRPr="00507A31">
        <w:rPr>
          <w:color w:val="000000" w:themeColor="text1"/>
          <w:sz w:val="16"/>
          <w:szCs w:val="16"/>
        </w:rPr>
        <w:t>Из членов этой ячейки мне известны следующие лица: Л. К. РАМЗИИ, С. А. ПРЕДТЕЧЕНСКИЙ, П. М. СОЛОВЬЕВ, Е. Ф. ЕВРЕИНОВ, В. И. ХУДЯКОВ, Г. Ю. КОЗЛИНСКИЙ, Ю. О. НОВИ, А. Л. МЮЛЛЕР, Б. И. ДОМАНТОВИЧ, СМИРНОВ, Б. К. ЛИППЕ, Н. Н. РЕВОКАТОВ, А. И. МОРОЗ, Н. А. ДАВИДОВ, О. И. ДЫДЗИНСКИЙ, ЩЕГЛЯЕВ, РУБИНШТЕЙН.</w:t>
      </w:r>
    </w:p>
    <w:p w14:paraId="400149EF" w14:textId="77777777" w:rsidR="00C07118" w:rsidRPr="00507A31" w:rsidRDefault="00C07118" w:rsidP="00507A31">
      <w:pPr>
        <w:jc w:val="both"/>
        <w:rPr>
          <w:color w:val="000000" w:themeColor="text1"/>
          <w:sz w:val="16"/>
          <w:szCs w:val="16"/>
        </w:rPr>
      </w:pPr>
      <w:r w:rsidRPr="00507A31">
        <w:rPr>
          <w:color w:val="000000" w:themeColor="text1"/>
          <w:sz w:val="16"/>
          <w:szCs w:val="16"/>
        </w:rPr>
        <w:t>О структуре «Промышленной партии» мне известно, что во главе ее стоял центральный комитет, в который входил Л. К. РАМЗИН и что на промышленных предприятиях имелись периферийные ячейки.</w:t>
      </w:r>
    </w:p>
    <w:p w14:paraId="0C7E3177" w14:textId="77777777" w:rsidR="00C07118" w:rsidRPr="00507A31" w:rsidRDefault="00C07118" w:rsidP="00507A31">
      <w:pPr>
        <w:jc w:val="both"/>
        <w:rPr>
          <w:color w:val="000000" w:themeColor="text1"/>
          <w:sz w:val="16"/>
          <w:szCs w:val="16"/>
        </w:rPr>
      </w:pPr>
      <w:r w:rsidRPr="00507A31">
        <w:rPr>
          <w:color w:val="000000" w:themeColor="text1"/>
          <w:sz w:val="16"/>
          <w:szCs w:val="16"/>
        </w:rPr>
        <w:t>УСТАНОВКИ «ПРОМЫШЛЕННОЙ ПАРТИИ»</w:t>
      </w:r>
    </w:p>
    <w:p w14:paraId="603C5B53" w14:textId="77777777" w:rsidR="00C07118" w:rsidRPr="00507A31" w:rsidRDefault="00C07118" w:rsidP="00507A31">
      <w:pPr>
        <w:jc w:val="both"/>
        <w:rPr>
          <w:color w:val="000000" w:themeColor="text1"/>
          <w:sz w:val="16"/>
          <w:szCs w:val="16"/>
        </w:rPr>
      </w:pPr>
      <w:r w:rsidRPr="00507A31">
        <w:rPr>
          <w:color w:val="000000" w:themeColor="text1"/>
          <w:sz w:val="16"/>
          <w:szCs w:val="16"/>
        </w:rPr>
        <w:t>НА ИНТЕРВЕНЦИЮ И СВЯЗЬ «ПП» С ИНОСТРАНЦАМИ.</w:t>
      </w:r>
    </w:p>
    <w:p w14:paraId="068868BB" w14:textId="77777777" w:rsidR="00C07118" w:rsidRPr="00507A31" w:rsidRDefault="00C07118" w:rsidP="00507A31">
      <w:pPr>
        <w:jc w:val="both"/>
        <w:rPr>
          <w:color w:val="000000" w:themeColor="text1"/>
          <w:sz w:val="16"/>
          <w:szCs w:val="16"/>
        </w:rPr>
      </w:pPr>
      <w:r w:rsidRPr="00507A31">
        <w:rPr>
          <w:color w:val="000000" w:themeColor="text1"/>
          <w:sz w:val="16"/>
          <w:szCs w:val="16"/>
        </w:rPr>
        <w:t>Как я показал выше, «Промышленная партия» целиком ориентировалась на интервенцию, каковая признавалась ею в комбинации с вредительской и диверсионной работой внутри СССР наиболее действительным и быстрым способом совершения переворота и свержения советской власти.</w:t>
      </w:r>
    </w:p>
    <w:p w14:paraId="3A267ECA" w14:textId="77777777" w:rsidR="00C07118" w:rsidRPr="00507A31" w:rsidRDefault="00C07118" w:rsidP="00507A31">
      <w:pPr>
        <w:jc w:val="both"/>
        <w:rPr>
          <w:color w:val="000000" w:themeColor="text1"/>
          <w:sz w:val="16"/>
          <w:szCs w:val="16"/>
        </w:rPr>
      </w:pPr>
      <w:r w:rsidRPr="00507A31">
        <w:rPr>
          <w:color w:val="000000" w:themeColor="text1"/>
          <w:sz w:val="16"/>
          <w:szCs w:val="16"/>
        </w:rPr>
        <w:t>Об установках «Промышленной партии» на интервенцию мне известно, главным образом, из моих личных бесед на эту тему с РАМЗИНЫМ, который рассказывал мне о том, что для подготовки к успешному и быстрому ходу интервенции проф. РАМЗИН получал от французов денежные средства. Эти средства «Промпартия» тратила на вредительскую работу во всех главнейших отраслях промышленности.</w:t>
      </w:r>
    </w:p>
    <w:p w14:paraId="71DACF57" w14:textId="77777777" w:rsidR="00C07118" w:rsidRPr="00507A31" w:rsidRDefault="00C07118" w:rsidP="00507A31">
      <w:pPr>
        <w:jc w:val="both"/>
        <w:rPr>
          <w:color w:val="000000" w:themeColor="text1"/>
          <w:sz w:val="16"/>
          <w:szCs w:val="16"/>
        </w:rPr>
      </w:pPr>
      <w:r w:rsidRPr="00507A31">
        <w:rPr>
          <w:color w:val="000000" w:themeColor="text1"/>
          <w:sz w:val="16"/>
          <w:szCs w:val="16"/>
        </w:rPr>
        <w:t>Кроме того[,] вопрос об интервенции специально был затронут на собрании членов «Промпартии», которое состоялось в начале 1930 г. в квартире проф. РАМЗИНА. На этом собрании присутствовали следующие лица: Л. К. РАМЗИН, С. А. ПРЕДТЕЧЕНСКИЙ, Г. Ю. КОЗЛИНСКИЙ, Н. А. ДАВИДОВ и В. И. ОЧКИН.</w:t>
      </w:r>
    </w:p>
    <w:p w14:paraId="72513324" w14:textId="77777777" w:rsidR="00C07118" w:rsidRPr="00507A31" w:rsidRDefault="00C07118" w:rsidP="00507A31">
      <w:pPr>
        <w:jc w:val="both"/>
        <w:rPr>
          <w:color w:val="000000" w:themeColor="text1"/>
          <w:sz w:val="16"/>
          <w:szCs w:val="16"/>
        </w:rPr>
      </w:pPr>
      <w:r w:rsidRPr="00507A31">
        <w:rPr>
          <w:color w:val="000000" w:themeColor="text1"/>
          <w:sz w:val="16"/>
          <w:szCs w:val="16"/>
        </w:rPr>
        <w:t>Проф. РАМЗИН информировал нас здесь о том, что вопрос об интервенции за рубежом решен окончательно и таковая приурочивается к концу 1930 г. — началу 1931 года. Застрельщиком в деле интервенции[,] по словам РАМЗИНА[,] является Франция. Об этом ему, РАМЗИНУ, стало известно как из его личных сношений с зарубежными эмигрантскими объединениями и с общественными и правительственными французскими кругами, каковые сношения устанавливались или во время его поездок заграницу, так и путем информирования его, РАМЗИНА, представителями французского посольства в Москве.</w:t>
      </w:r>
    </w:p>
    <w:p w14:paraId="3023D3B5" w14:textId="77777777" w:rsidR="00C07118" w:rsidRPr="00507A31" w:rsidRDefault="00C07118" w:rsidP="00507A31">
      <w:pPr>
        <w:jc w:val="both"/>
        <w:rPr>
          <w:color w:val="000000" w:themeColor="text1"/>
          <w:sz w:val="16"/>
          <w:szCs w:val="16"/>
        </w:rPr>
      </w:pPr>
      <w:r w:rsidRPr="00507A31">
        <w:rPr>
          <w:color w:val="000000" w:themeColor="text1"/>
          <w:sz w:val="16"/>
          <w:szCs w:val="16"/>
        </w:rPr>
        <w:t>Информировав нас о готовящейся интервенции, РАМЗИН заявил, что «Промышленная партия» должна в свою очередь усилить свою работу по созданию внутри СССР почвы, благоприятной для удачного совершения интервенции, т. е. усилить свою вредительскую и подготовительную к диверсиям работу.</w:t>
      </w:r>
    </w:p>
    <w:p w14:paraId="697D8252" w14:textId="77777777" w:rsidR="00C07118" w:rsidRPr="00507A31" w:rsidRDefault="00C07118" w:rsidP="00507A31">
      <w:pPr>
        <w:jc w:val="both"/>
        <w:rPr>
          <w:color w:val="000000" w:themeColor="text1"/>
          <w:sz w:val="16"/>
          <w:szCs w:val="16"/>
        </w:rPr>
      </w:pPr>
      <w:r w:rsidRPr="00507A31">
        <w:rPr>
          <w:color w:val="000000" w:themeColor="text1"/>
          <w:sz w:val="16"/>
          <w:szCs w:val="16"/>
        </w:rPr>
        <w:t>Ход интервенции[,] со слов проф. РАМЗИНА[,] представлялся следующий. Как только наметится срок начала интервенции, тотчас же должна начаться и подготовка к ней. Главнейшими методами должны служить: вредительство и диверсии.</w:t>
      </w:r>
    </w:p>
    <w:p w14:paraId="0EFD6D24" w14:textId="77777777" w:rsidR="00C07118" w:rsidRPr="00507A31" w:rsidRDefault="00C07118" w:rsidP="00507A31">
      <w:pPr>
        <w:jc w:val="both"/>
        <w:rPr>
          <w:color w:val="000000" w:themeColor="text1"/>
          <w:sz w:val="16"/>
          <w:szCs w:val="16"/>
        </w:rPr>
      </w:pPr>
      <w:r w:rsidRPr="00507A31">
        <w:rPr>
          <w:color w:val="000000" w:themeColor="text1"/>
          <w:sz w:val="16"/>
          <w:szCs w:val="16"/>
        </w:rPr>
        <w:t>В отношении вредительства, так как во всех главнейших отраслях промышленности имелись члены «Промышленной партии», последние должны были везде вызвать соответствующие кризисы: металл, уголь, стройматериалы и т. д.</w:t>
      </w:r>
    </w:p>
    <w:p w14:paraId="2B50C064" w14:textId="77777777" w:rsidR="00C07118" w:rsidRPr="00507A31" w:rsidRDefault="00C07118" w:rsidP="00507A31">
      <w:pPr>
        <w:jc w:val="both"/>
        <w:rPr>
          <w:color w:val="000000" w:themeColor="text1"/>
          <w:sz w:val="16"/>
          <w:szCs w:val="16"/>
        </w:rPr>
      </w:pPr>
      <w:r w:rsidRPr="00507A31">
        <w:rPr>
          <w:color w:val="000000" w:themeColor="text1"/>
          <w:sz w:val="16"/>
          <w:szCs w:val="16"/>
        </w:rPr>
        <w:t>В области энергетики, которая, как известно, является ведущим звеном народного хозяйства, я уже указывал[,] к чему должно было бы привести расстройство хотя бы одного топлива, снабжения районных электростанций. Если бы таковые были выведены из строя, то первоочередные потребители остались бы без тока; наступил бы паралич оборонной промышленности. Вместе с тем, после окончания интервенции легкими мероприятиями в части топливоснабжения можно было бы в сравнительно короткий срок добиться исправления положения, так как все предприятия находились в полной сохранности.</w:t>
      </w:r>
    </w:p>
    <w:p w14:paraId="53F18CA6" w14:textId="77777777" w:rsidR="00C07118" w:rsidRPr="00507A31" w:rsidRDefault="00C07118" w:rsidP="00507A31">
      <w:pPr>
        <w:jc w:val="both"/>
        <w:rPr>
          <w:color w:val="000000" w:themeColor="text1"/>
          <w:sz w:val="16"/>
          <w:szCs w:val="16"/>
        </w:rPr>
      </w:pPr>
      <w:r w:rsidRPr="00507A31">
        <w:rPr>
          <w:color w:val="000000" w:themeColor="text1"/>
          <w:sz w:val="16"/>
          <w:szCs w:val="16"/>
        </w:rPr>
        <w:t>Кроме того, актами диверсий можно было бы устроить аварию на действующих тепло-электро-централях. Например[,] в котельных установках можно легко вызвать аварию перегревателя (пережог), в машинном зале аварию турбогенератора (путем вибрации, салат из лопаток) на электрическом щите, на линии электропередачи и т. д.</w:t>
      </w:r>
    </w:p>
    <w:p w14:paraId="74ADB1B7" w14:textId="77777777" w:rsidR="00C07118" w:rsidRPr="00507A31" w:rsidRDefault="00C07118" w:rsidP="00507A31">
      <w:pPr>
        <w:jc w:val="both"/>
        <w:rPr>
          <w:color w:val="000000" w:themeColor="text1"/>
          <w:sz w:val="16"/>
          <w:szCs w:val="16"/>
        </w:rPr>
      </w:pPr>
      <w:r w:rsidRPr="00507A31">
        <w:rPr>
          <w:color w:val="000000" w:themeColor="text1"/>
          <w:sz w:val="16"/>
          <w:szCs w:val="16"/>
        </w:rPr>
        <w:t>Никаких прений по существу информации проф. РАМЗИНА об интервенции на указанном выше собрании не было и все наше собрание длилось не больше получаса.</w:t>
      </w:r>
    </w:p>
    <w:p w14:paraId="4687AB85" w14:textId="77777777" w:rsidR="00C07118" w:rsidRPr="00507A31" w:rsidRDefault="00C07118" w:rsidP="00507A31">
      <w:pPr>
        <w:jc w:val="both"/>
        <w:rPr>
          <w:color w:val="000000" w:themeColor="text1"/>
          <w:sz w:val="16"/>
          <w:szCs w:val="16"/>
        </w:rPr>
      </w:pPr>
      <w:r w:rsidRPr="00507A31">
        <w:rPr>
          <w:color w:val="000000" w:themeColor="text1"/>
          <w:sz w:val="16"/>
          <w:szCs w:val="16"/>
        </w:rPr>
        <w:t>О связях «Промпартии» с иностранцами могу показать следующее.</w:t>
      </w:r>
    </w:p>
    <w:p w14:paraId="5DCBF8D6" w14:textId="77777777" w:rsidR="00C07118" w:rsidRPr="00507A31" w:rsidRDefault="00C07118" w:rsidP="00507A31">
      <w:pPr>
        <w:jc w:val="both"/>
        <w:rPr>
          <w:color w:val="000000" w:themeColor="text1"/>
          <w:sz w:val="16"/>
          <w:szCs w:val="16"/>
        </w:rPr>
      </w:pPr>
      <w:r w:rsidRPr="00507A31">
        <w:rPr>
          <w:color w:val="000000" w:themeColor="text1"/>
          <w:sz w:val="16"/>
          <w:szCs w:val="16"/>
        </w:rPr>
        <w:t>Со слов проф. РАМЗИНА мне точно известно о том, что он поддерживал более или менее регулярные сношения с представителями французского посольства, в частности, КЮФЕРОМ и РЕНЬО.</w:t>
      </w:r>
    </w:p>
    <w:p w14:paraId="75161CAE" w14:textId="77777777" w:rsidR="00C07118" w:rsidRPr="00507A31" w:rsidRDefault="00C07118" w:rsidP="00507A31">
      <w:pPr>
        <w:jc w:val="both"/>
        <w:rPr>
          <w:color w:val="000000" w:themeColor="text1"/>
          <w:sz w:val="16"/>
          <w:szCs w:val="16"/>
        </w:rPr>
      </w:pPr>
      <w:r w:rsidRPr="00507A31">
        <w:rPr>
          <w:color w:val="000000" w:themeColor="text1"/>
          <w:sz w:val="16"/>
          <w:szCs w:val="16"/>
        </w:rPr>
        <w:t>Проф. РАМЗИН лично мне рассказывал о том, что в одну из своих поездок в Париж он получил из французских правительственных кругов указания на то, что для связи Промпартии с Францией он должен установить в Москве знакомство с КЮФЕРОМ.</w:t>
      </w:r>
    </w:p>
    <w:p w14:paraId="6C573179" w14:textId="77777777" w:rsidR="00C07118" w:rsidRPr="00507A31" w:rsidRDefault="00C07118" w:rsidP="00507A31">
      <w:pPr>
        <w:jc w:val="both"/>
        <w:rPr>
          <w:color w:val="000000" w:themeColor="text1"/>
          <w:sz w:val="16"/>
          <w:szCs w:val="16"/>
        </w:rPr>
      </w:pPr>
      <w:r w:rsidRPr="00507A31">
        <w:rPr>
          <w:color w:val="000000" w:themeColor="text1"/>
          <w:sz w:val="16"/>
          <w:szCs w:val="16"/>
        </w:rPr>
        <w:t>В конце 1929 года проф. РАМЗИН познакомил лично меня с КЮФЕРОМ. Это произошло в служебном кабинете РАМЗИНА в Теплотехническом Институте. Вызвав меня к себе, кажется через своего секретаря СПОРОВУ, РАМЗИН представил меня ранее неизвестному мне гражданину, которого он назвал сотрудником французского посольства КЮФЕРОМ. Здесь же в присутствии КЮФЕРА, который говорит недурно по[-]русски[,] РАМЗИН мне сообщил, что я должен буду передавать КЮФЕРУ письменные сообщения от него, РАМЗИНА. О том, что эти сообщения будут носить характер шпионажа в пользу Франции, РАМЗИН мне не сказал, но по общему тону нашей краткой совместной беседы с КЮФЕРОМ я понял, что РАМЗИН дает мне поручения чисто шпионского характера.</w:t>
      </w:r>
    </w:p>
    <w:p w14:paraId="6811EF4F" w14:textId="77777777" w:rsidR="00C07118" w:rsidRPr="00507A31" w:rsidRDefault="00C07118" w:rsidP="00507A31">
      <w:pPr>
        <w:jc w:val="both"/>
        <w:rPr>
          <w:color w:val="000000" w:themeColor="text1"/>
          <w:sz w:val="16"/>
          <w:szCs w:val="16"/>
        </w:rPr>
      </w:pPr>
      <w:r w:rsidRPr="00507A31">
        <w:rPr>
          <w:color w:val="000000" w:themeColor="text1"/>
          <w:sz w:val="16"/>
          <w:szCs w:val="16"/>
        </w:rPr>
        <w:t>Добавляю, что свое предложение об установлении мной связей с КЮФЕРОМ РАМЗИН сделал в безапелляционном, чисто начальническом тоне. О технике своей связи с КЮФЕРОМ на этом свидании с ним я не у сдавливался.</w:t>
      </w:r>
    </w:p>
    <w:p w14:paraId="13168963" w14:textId="77777777" w:rsidR="00C07118" w:rsidRPr="00507A31" w:rsidRDefault="00C07118" w:rsidP="00507A31">
      <w:pPr>
        <w:jc w:val="both"/>
        <w:rPr>
          <w:color w:val="000000" w:themeColor="text1"/>
          <w:sz w:val="16"/>
          <w:szCs w:val="16"/>
        </w:rPr>
      </w:pPr>
      <w:r w:rsidRPr="00507A31">
        <w:rPr>
          <w:color w:val="000000" w:themeColor="text1"/>
          <w:sz w:val="16"/>
          <w:szCs w:val="16"/>
        </w:rPr>
        <w:t>Приблизительно через месяц РАМЗИН вызвал меня к себе в кабинет и передал мне большой закрытый пакет, на котором не было никаких надписей. Передавая мне этот пакет, РАМЗИН мне сообщил, что я должен отдать этот пакет КЮФЕРУ. На мой вопрос о том, как я найду КЮ- ФЕРА[,] РАМЗИН добавил, что КЮФЕР позвонит мне по телефону.</w:t>
      </w:r>
    </w:p>
    <w:p w14:paraId="62A14CB7" w14:textId="77777777" w:rsidR="00C07118" w:rsidRPr="00507A31" w:rsidRDefault="00C07118" w:rsidP="00507A31">
      <w:pPr>
        <w:jc w:val="both"/>
        <w:rPr>
          <w:color w:val="000000" w:themeColor="text1"/>
          <w:sz w:val="16"/>
          <w:szCs w:val="16"/>
        </w:rPr>
      </w:pPr>
      <w:r w:rsidRPr="00507A31">
        <w:rPr>
          <w:color w:val="000000" w:themeColor="text1"/>
          <w:sz w:val="16"/>
          <w:szCs w:val="16"/>
        </w:rPr>
        <w:t>Действительно, в этот же день, приблизительно через полчаса после того, как я получил от РАМЗИНА пакет для передачи КЮФЕРУ, меня вызвала секретарь РАМЗИНА СПОРОВА и сообщила, что меня просят к телефону. Неизвестный мне по голосу человек, в котором я не узнал КЮФЕРА, сообщил мне здесь же, что со мною говорит то лицо, с которым я познакомился с месяц тому назад, в кабинете РАМЗИНА и что я должен передать ему пакет[,] который я только что получил от РАМЗИНА. Далее мой собеседник предложил мне явиться ровно к шести часам вечера к главному почтамту, где он будет меня ожидать.</w:t>
      </w:r>
    </w:p>
    <w:p w14:paraId="6108F9B2" w14:textId="77777777" w:rsidR="00C07118" w:rsidRPr="00507A31" w:rsidRDefault="00C07118" w:rsidP="00507A31">
      <w:pPr>
        <w:jc w:val="both"/>
        <w:rPr>
          <w:color w:val="000000" w:themeColor="text1"/>
          <w:sz w:val="16"/>
          <w:szCs w:val="16"/>
        </w:rPr>
      </w:pPr>
      <w:r w:rsidRPr="00507A31">
        <w:rPr>
          <w:color w:val="000000" w:themeColor="text1"/>
          <w:sz w:val="16"/>
          <w:szCs w:val="16"/>
        </w:rPr>
        <w:t>Ровно в шесть часов я явился к почтамту (по Мясницкой), где я встретил КЮФЕРА. КЮФЕР попросил у меня пакет РАМЗИНА, я ему его передал и после этого мы разошлись в разные стороны.</w:t>
      </w:r>
    </w:p>
    <w:p w14:paraId="30600D1D" w14:textId="77777777" w:rsidR="00C07118" w:rsidRPr="00507A31" w:rsidRDefault="00C07118" w:rsidP="00507A31">
      <w:pPr>
        <w:jc w:val="both"/>
        <w:rPr>
          <w:color w:val="000000" w:themeColor="text1"/>
          <w:sz w:val="16"/>
          <w:szCs w:val="16"/>
        </w:rPr>
      </w:pPr>
      <w:r w:rsidRPr="00507A31">
        <w:rPr>
          <w:color w:val="000000" w:themeColor="text1"/>
          <w:sz w:val="16"/>
          <w:szCs w:val="16"/>
        </w:rPr>
        <w:t>Месяца через два после этого РАМЗИН передал мне в своем кабинете второй пакет для КЮФЕРА. КЮФЕР опять вызвал меня по телефону через секретаря РАМЗИНА СПОРОВУ; я с ним условился по его предложению встретиться в этот же день, в 5 часов вечера, угол Метрополя по Свердловской площади. Здесь произошло второе мое свидание с КЮФЕРОМ, которому я передал второй пакет РАМЗИНА. Кроме этих двух встреч, с КЮФЕРОМ я больше не встречался.</w:t>
      </w:r>
    </w:p>
    <w:p w14:paraId="6FE3D724" w14:textId="77777777" w:rsidR="00C07118" w:rsidRPr="00507A31" w:rsidRDefault="00C07118" w:rsidP="00507A31">
      <w:pPr>
        <w:jc w:val="both"/>
        <w:rPr>
          <w:color w:val="000000" w:themeColor="text1"/>
          <w:sz w:val="16"/>
          <w:szCs w:val="16"/>
        </w:rPr>
      </w:pPr>
      <w:r w:rsidRPr="00507A31">
        <w:rPr>
          <w:color w:val="000000" w:themeColor="text1"/>
          <w:sz w:val="16"/>
          <w:szCs w:val="16"/>
        </w:rPr>
        <w:t>С сотрудником французского посольства РЕНЬО я познакомился во второй половине ноября 1928 г. при следующих обстоятельствах. РАМЗИН вызвал меня к себе на квартиру вечером. Когда я приехал к нему, то я застал у него неизвестного мне раньше гражданина, которого РАМЗИН представил мне как сотрудника французского посольства РЕНЬО.</w:t>
      </w:r>
    </w:p>
    <w:p w14:paraId="12C17678" w14:textId="77777777" w:rsidR="00C07118" w:rsidRPr="00507A31" w:rsidRDefault="00C07118" w:rsidP="00507A31">
      <w:pPr>
        <w:jc w:val="both"/>
        <w:rPr>
          <w:color w:val="000000" w:themeColor="text1"/>
          <w:sz w:val="16"/>
          <w:szCs w:val="16"/>
        </w:rPr>
      </w:pPr>
      <w:r w:rsidRPr="00507A31">
        <w:rPr>
          <w:color w:val="000000" w:themeColor="text1"/>
          <w:sz w:val="16"/>
          <w:szCs w:val="16"/>
        </w:rPr>
        <w:t>Далее РАМЗИН мне предложил организовать для французских инженеров экскурсию в Теплотехнический Институт.</w:t>
      </w:r>
    </w:p>
    <w:p w14:paraId="22EA8CC6" w14:textId="77777777" w:rsidR="00C07118" w:rsidRPr="00507A31" w:rsidRDefault="00C07118" w:rsidP="00507A31">
      <w:pPr>
        <w:jc w:val="both"/>
        <w:rPr>
          <w:color w:val="000000" w:themeColor="text1"/>
          <w:sz w:val="16"/>
          <w:szCs w:val="16"/>
        </w:rPr>
      </w:pPr>
      <w:r w:rsidRPr="00507A31">
        <w:rPr>
          <w:color w:val="000000" w:themeColor="text1"/>
          <w:sz w:val="16"/>
          <w:szCs w:val="16"/>
        </w:rPr>
        <w:t>Экскурсия эта была мною организована через дежурного инженера Теплотехнического Института, дня через два-три, после моего знакомства с РЕНЬО. Был ли среди экскурсантов РЕНЬО не помню.</w:t>
      </w:r>
    </w:p>
    <w:p w14:paraId="1B273DBB" w14:textId="77777777" w:rsidR="00C07118" w:rsidRPr="00507A31" w:rsidRDefault="00C07118" w:rsidP="00507A31">
      <w:pPr>
        <w:jc w:val="both"/>
        <w:rPr>
          <w:color w:val="000000" w:themeColor="text1"/>
          <w:sz w:val="16"/>
          <w:szCs w:val="16"/>
        </w:rPr>
      </w:pPr>
      <w:r w:rsidRPr="00507A31">
        <w:rPr>
          <w:color w:val="000000" w:themeColor="text1"/>
          <w:sz w:val="16"/>
          <w:szCs w:val="16"/>
        </w:rPr>
        <w:lastRenderedPageBreak/>
        <w:t>Вторая моя встреча с РЕНЬО имела место приблизительно через год после этого, то есть в конце 1929 г.</w:t>
      </w:r>
    </w:p>
    <w:p w14:paraId="4B77F272" w14:textId="77777777" w:rsidR="00C07118" w:rsidRPr="00507A31" w:rsidRDefault="00C07118" w:rsidP="00507A31">
      <w:pPr>
        <w:jc w:val="both"/>
        <w:rPr>
          <w:color w:val="000000" w:themeColor="text1"/>
          <w:sz w:val="16"/>
          <w:szCs w:val="16"/>
        </w:rPr>
      </w:pPr>
      <w:r w:rsidRPr="00507A31">
        <w:rPr>
          <w:color w:val="000000" w:themeColor="text1"/>
          <w:sz w:val="16"/>
          <w:szCs w:val="16"/>
        </w:rPr>
        <w:t>Приблизительно в ноябре-декабре 1929 г. (точно время не помню) РАМЗИН позвонил мне как[-]то вечером на квартиру и спросил меня, может ли он приехать ко мне с РЕНЬО для деловой беседы.</w:t>
      </w:r>
    </w:p>
    <w:p w14:paraId="539CCC24" w14:textId="77777777" w:rsidR="00C07118" w:rsidRPr="00507A31" w:rsidRDefault="00C07118" w:rsidP="00507A31">
      <w:pPr>
        <w:jc w:val="both"/>
        <w:rPr>
          <w:color w:val="000000" w:themeColor="text1"/>
          <w:sz w:val="16"/>
          <w:szCs w:val="16"/>
        </w:rPr>
      </w:pPr>
      <w:r w:rsidRPr="00507A31">
        <w:rPr>
          <w:color w:val="000000" w:themeColor="text1"/>
          <w:sz w:val="16"/>
          <w:szCs w:val="16"/>
        </w:rPr>
        <w:t>Так как в это время в квартире не было никого, даже жены, то я ответил РАМЗИНУ утвердительно. Приблизительно минут через 15-30 после этого РАМЗИН приехал ко мне на квартиру на своей машине вместе с РЕНЬО.</w:t>
      </w:r>
    </w:p>
    <w:p w14:paraId="41505AEB" w14:textId="77777777" w:rsidR="00C07118" w:rsidRPr="00507A31" w:rsidRDefault="00C07118" w:rsidP="00507A31">
      <w:pPr>
        <w:jc w:val="both"/>
        <w:rPr>
          <w:color w:val="000000" w:themeColor="text1"/>
          <w:sz w:val="16"/>
          <w:szCs w:val="16"/>
        </w:rPr>
      </w:pPr>
      <w:r w:rsidRPr="00507A31">
        <w:rPr>
          <w:color w:val="000000" w:themeColor="text1"/>
          <w:sz w:val="16"/>
          <w:szCs w:val="16"/>
        </w:rPr>
        <w:t>Вначале наша совместная беседа началась с вопроса об экскурсии в Теплотехнический Институт. Далее РАМЗИН свел разговор с РЕНЬО на тему об интервенции. Из разговора РАМЗИНАс РЕНЬО я вынес впечатление о том, что интервенция отсрачивается переносится на 1931 год. РАМЗИН говорил РЕНЬО о том, что Промышленной Партии придется еще провести большую работу в направлении вредительства с тем, чтобы интервенция могла закончиться более быстро и легко.</w:t>
      </w:r>
    </w:p>
    <w:p w14:paraId="42BCBB0B" w14:textId="77777777" w:rsidR="00C07118" w:rsidRPr="00507A31" w:rsidRDefault="00C07118" w:rsidP="00507A31">
      <w:pPr>
        <w:jc w:val="both"/>
        <w:rPr>
          <w:color w:val="000000" w:themeColor="text1"/>
          <w:sz w:val="16"/>
          <w:szCs w:val="16"/>
        </w:rPr>
      </w:pPr>
      <w:r w:rsidRPr="00507A31">
        <w:rPr>
          <w:color w:val="000000" w:themeColor="text1"/>
          <w:sz w:val="16"/>
          <w:szCs w:val="16"/>
        </w:rPr>
        <w:t>Для того, чтобы не мешать этому разговору[,] я оставил РАМЗИНА с РЕНЬО с глазу на глаз и ушел в другую комнату.</w:t>
      </w:r>
    </w:p>
    <w:p w14:paraId="5D606E62" w14:textId="77777777" w:rsidR="00C07118" w:rsidRPr="00507A31" w:rsidRDefault="00C07118" w:rsidP="00507A31">
      <w:pPr>
        <w:jc w:val="both"/>
        <w:rPr>
          <w:color w:val="000000" w:themeColor="text1"/>
          <w:sz w:val="16"/>
          <w:szCs w:val="16"/>
        </w:rPr>
      </w:pPr>
      <w:r w:rsidRPr="00507A31">
        <w:rPr>
          <w:color w:val="000000" w:themeColor="text1"/>
          <w:sz w:val="16"/>
          <w:szCs w:val="16"/>
        </w:rPr>
        <w:t>Эта беседа РАМЗИНА с РЕНЬО продолжалась приблизительно с полчаса. После этого РАМЗИН и РЕНЬО уехали от меня на машине РАМЗИНА. Добавляю, что во время этого свидания РАМЗИНА с РЕНЬО, — РЕНЬО на моих глазах получил от РАМЗИНА какой[-]то пакет — что было в этом пакете — не знаю.</w:t>
      </w:r>
    </w:p>
    <w:p w14:paraId="57779A30" w14:textId="77777777" w:rsidR="00C07118" w:rsidRPr="00507A31" w:rsidRDefault="00C07118" w:rsidP="00507A31">
      <w:pPr>
        <w:jc w:val="both"/>
        <w:rPr>
          <w:color w:val="000000" w:themeColor="text1"/>
          <w:sz w:val="16"/>
          <w:szCs w:val="16"/>
        </w:rPr>
      </w:pPr>
      <w:r w:rsidRPr="00507A31">
        <w:rPr>
          <w:color w:val="000000" w:themeColor="text1"/>
          <w:sz w:val="16"/>
          <w:szCs w:val="16"/>
        </w:rPr>
        <w:t>Об этой своей встрече с РЕНЬО РАМЗИН просил меня никому не рассказывать. Больше с РЕНЬО я не встречался.</w:t>
      </w:r>
    </w:p>
    <w:p w14:paraId="2263158E" w14:textId="77777777" w:rsidR="00C07118" w:rsidRPr="00507A31" w:rsidRDefault="00C07118" w:rsidP="00507A31">
      <w:pPr>
        <w:jc w:val="both"/>
        <w:rPr>
          <w:color w:val="000000" w:themeColor="text1"/>
          <w:sz w:val="16"/>
          <w:szCs w:val="16"/>
        </w:rPr>
      </w:pPr>
      <w:r w:rsidRPr="00507A31">
        <w:rPr>
          <w:color w:val="000000" w:themeColor="text1"/>
          <w:sz w:val="16"/>
          <w:szCs w:val="16"/>
        </w:rPr>
        <w:t>С. А. ПРЕДТЕЧЕНСКИЙ мне также говорил неоднократно о том, что Промышленная партия ориентируется на интервенцию. Он говорил об установках Промышленной партии в смысле практической подготовки к интервенции. Эта подготовка шла в двух направлениях: 1) в направлении стимулирования роста тенденции к интервенции в правительственных и общественных кругах Франции, что достигалось путем прямой связи Промышленной партии с этими кругами (через командировки за рубеж и через связи с представителями французского посольства и 2) в направлении подготовки внутри С.С.С.Р. почвы для успешности интервенции, что достигалось путем вредительства, ослабляющего хозяйственную мощь и обороноспособность С.С.С.Р.</w:t>
      </w:r>
    </w:p>
    <w:p w14:paraId="4E3EB490" w14:textId="77777777" w:rsidR="00C07118" w:rsidRPr="00507A31" w:rsidRDefault="00C07118" w:rsidP="00507A31">
      <w:pPr>
        <w:jc w:val="both"/>
        <w:rPr>
          <w:color w:val="000000" w:themeColor="text1"/>
          <w:sz w:val="16"/>
          <w:szCs w:val="16"/>
        </w:rPr>
      </w:pPr>
      <w:r w:rsidRPr="00507A31">
        <w:rPr>
          <w:color w:val="000000" w:themeColor="text1"/>
          <w:sz w:val="16"/>
          <w:szCs w:val="16"/>
        </w:rPr>
        <w:t>В заключени[е] добавляю. О том, что связи РАМЗИНА с сотрудниками французского посольства КЮФЕРОМ и РЕНЬО были чисто шпионского характера[,] я сознавал уже в момент моих встреч, по поручению РАМЗИНА[,] с РЕНЬО и КЮФЕРОМ. Ввиду этого признаю себя виновным в моем соучастии в шпионаже против С.С.С.Р.</w:t>
      </w:r>
    </w:p>
    <w:p w14:paraId="56A1D932" w14:textId="77777777" w:rsidR="00C07118" w:rsidRPr="00507A31" w:rsidRDefault="00C07118" w:rsidP="00507A31">
      <w:pPr>
        <w:jc w:val="both"/>
        <w:rPr>
          <w:color w:val="000000" w:themeColor="text1"/>
          <w:sz w:val="16"/>
          <w:szCs w:val="16"/>
        </w:rPr>
      </w:pPr>
      <w:r w:rsidRPr="00507A31">
        <w:rPr>
          <w:color w:val="000000" w:themeColor="text1"/>
          <w:sz w:val="16"/>
          <w:szCs w:val="16"/>
        </w:rPr>
        <w:t>Заявляю, что признавая себя виновным в участии в контр-революционной организации, которая установила прямую связь с интервентами, я осознал всю тяжесть своих преступлений перед советской властью, в факте моей государственной измены. Принося полное раскаяние, я прошу советскую власть пощадить меня за все мои проступки перед пролетариатом и дать мне возможность искупить мою вину и загладить все совершенные мною преступления честной и преданной работой, я обещаю, что честным трудом высоко квалифицированного специалиста-теплотехника, своим горячим участием в выполнении пятилетнего плана, я докажу свою преданность рабочему классу и, наконец, смою то пятно позора, которое я наложил на себя своими преступлениями.</w:t>
      </w:r>
    </w:p>
    <w:p w14:paraId="1A1627B0" w14:textId="77777777" w:rsidR="00C07118" w:rsidRPr="00507A31" w:rsidRDefault="00C07118" w:rsidP="00507A31">
      <w:pPr>
        <w:jc w:val="both"/>
        <w:rPr>
          <w:color w:val="000000" w:themeColor="text1"/>
          <w:sz w:val="16"/>
          <w:szCs w:val="16"/>
        </w:rPr>
      </w:pPr>
      <w:r w:rsidRPr="00507A31">
        <w:rPr>
          <w:color w:val="000000" w:themeColor="text1"/>
          <w:sz w:val="16"/>
          <w:szCs w:val="16"/>
        </w:rPr>
        <w:t>Инж. В. И. ОЧКИН.</w:t>
      </w:r>
    </w:p>
    <w:p w14:paraId="5EFD3A37"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Допросил — Нач. 3 Отделения] СООГПУ СЛАВАТИНСКИЙ.</w:t>
      </w:r>
    </w:p>
    <w:p w14:paraId="33AF416C" w14:textId="77777777" w:rsidR="00C07118" w:rsidRPr="00507A31" w:rsidRDefault="00C07118" w:rsidP="00507A31">
      <w:pPr>
        <w:jc w:val="both"/>
        <w:rPr>
          <w:color w:val="000000" w:themeColor="text1"/>
          <w:sz w:val="16"/>
          <w:szCs w:val="16"/>
        </w:rPr>
      </w:pPr>
      <w:r w:rsidRPr="00507A31">
        <w:rPr>
          <w:color w:val="000000" w:themeColor="text1"/>
          <w:sz w:val="16"/>
          <w:szCs w:val="16"/>
        </w:rPr>
        <w:t>Д. 355. Л. 69 — 79. Заверенная машинописная копия того времени. Протокол допроса В. И. Очкина был направлен в ЦК ВКП(б) на имя И. В. Сталина 1 ноября 1930 г. одновременно с протоколами допросов Рамзина, Калинникова, Ларичева, Чарновского и Соловьева от 31/Х-1930 г. (см. легенду к док. № 355-1).</w:t>
      </w:r>
    </w:p>
    <w:p w14:paraId="656DA639" w14:textId="77777777" w:rsidR="00C07118" w:rsidRPr="00507A31" w:rsidRDefault="00C07118" w:rsidP="00507A31">
      <w:pPr>
        <w:jc w:val="both"/>
        <w:rPr>
          <w:color w:val="000000" w:themeColor="text1"/>
          <w:sz w:val="16"/>
          <w:szCs w:val="16"/>
        </w:rPr>
      </w:pPr>
      <w:r w:rsidRPr="00507A31">
        <w:rPr>
          <w:color w:val="000000" w:themeColor="text1"/>
          <w:sz w:val="16"/>
          <w:szCs w:val="16"/>
        </w:rPr>
        <w:t>ЦА ФСБ РФ. Ф. Р-42280. Т. 10. Л. 188-192 об. Машинописная копия того времени, заверенная Кошеверовым (18496).</w:t>
      </w:r>
    </w:p>
    <w:p w14:paraId="3A8EB851" w14:textId="77777777" w:rsidR="00C07118" w:rsidRPr="00507A31" w:rsidRDefault="00C07118" w:rsidP="00507A31">
      <w:pPr>
        <w:jc w:val="both"/>
        <w:rPr>
          <w:color w:val="000000" w:themeColor="text1"/>
          <w:sz w:val="16"/>
          <w:szCs w:val="16"/>
        </w:rPr>
      </w:pPr>
    </w:p>
    <w:p w14:paraId="1041CC94"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4751F260" w14:textId="77777777" w:rsidR="00C07118" w:rsidRPr="00507A31" w:rsidRDefault="00C07118" w:rsidP="00507A31">
      <w:pPr>
        <w:jc w:val="both"/>
        <w:rPr>
          <w:color w:val="000000" w:themeColor="text1"/>
          <w:sz w:val="16"/>
          <w:szCs w:val="16"/>
        </w:rPr>
      </w:pPr>
      <w:r w:rsidRPr="00507A31">
        <w:rPr>
          <w:color w:val="000000" w:themeColor="text1"/>
          <w:sz w:val="16"/>
          <w:szCs w:val="16"/>
        </w:rPr>
        <w:t>Показания П. М. Соловьева об участии в «контрреволюционной организации» и планах подготовки «иностранной интервенции». 31 октября 1930 г.</w:t>
      </w:r>
    </w:p>
    <w:p w14:paraId="2DCC37F3" w14:textId="77777777" w:rsidR="00C07118" w:rsidRPr="00507A31" w:rsidRDefault="00C07118" w:rsidP="00507A31">
      <w:pPr>
        <w:jc w:val="both"/>
        <w:rPr>
          <w:color w:val="000000" w:themeColor="text1"/>
          <w:sz w:val="16"/>
          <w:szCs w:val="16"/>
        </w:rPr>
      </w:pPr>
      <w:r w:rsidRPr="00507A31">
        <w:rPr>
          <w:color w:val="000000" w:themeColor="text1"/>
          <w:sz w:val="16"/>
          <w:szCs w:val="16"/>
        </w:rPr>
        <w:t>Источник: </w:t>
      </w:r>
    </w:p>
    <w:p w14:paraId="0E8B2E69" w14:textId="77777777" w:rsidR="00C07118" w:rsidRPr="00507A31" w:rsidRDefault="00C0711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C80306A" w14:textId="77777777" w:rsidR="00C07118" w:rsidRPr="00507A31" w:rsidRDefault="00C07118" w:rsidP="00507A31">
      <w:pPr>
        <w:jc w:val="both"/>
        <w:rPr>
          <w:color w:val="000000" w:themeColor="text1"/>
          <w:sz w:val="16"/>
          <w:szCs w:val="16"/>
        </w:rPr>
      </w:pPr>
      <w:r w:rsidRPr="00507A31">
        <w:rPr>
          <w:color w:val="000000" w:themeColor="text1"/>
          <w:sz w:val="16"/>
          <w:szCs w:val="16"/>
        </w:rPr>
        <w:t>Архив: </w:t>
      </w:r>
    </w:p>
    <w:p w14:paraId="2CCE03D0" w14:textId="77777777" w:rsidR="00C07118" w:rsidRPr="00507A31" w:rsidRDefault="00C07118" w:rsidP="00507A31">
      <w:pPr>
        <w:jc w:val="both"/>
        <w:rPr>
          <w:color w:val="000000" w:themeColor="text1"/>
          <w:sz w:val="16"/>
          <w:szCs w:val="16"/>
        </w:rPr>
      </w:pPr>
      <w:r w:rsidRPr="00507A31">
        <w:rPr>
          <w:color w:val="000000" w:themeColor="text1"/>
          <w:sz w:val="16"/>
          <w:szCs w:val="16"/>
        </w:rPr>
        <w:t>ЦА ФСБ РФ. Ф. Р-42280. Т. 2. Л. 413-416 об.</w:t>
      </w:r>
    </w:p>
    <w:p w14:paraId="767509F7"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030C4CE8" w14:textId="77777777" w:rsidR="00C07118" w:rsidRPr="00507A31" w:rsidRDefault="00C07118" w:rsidP="00507A31">
      <w:pPr>
        <w:jc w:val="both"/>
        <w:rPr>
          <w:color w:val="000000" w:themeColor="text1"/>
          <w:sz w:val="16"/>
          <w:szCs w:val="16"/>
        </w:rPr>
      </w:pPr>
      <w:r w:rsidRPr="00507A31">
        <w:rPr>
          <w:color w:val="000000" w:themeColor="text1"/>
          <w:sz w:val="16"/>
          <w:szCs w:val="16"/>
        </w:rPr>
        <w:t>[Строго секретно]</w:t>
      </w:r>
    </w:p>
    <w:p w14:paraId="09EF23A5" w14:textId="77777777" w:rsidR="00C07118" w:rsidRPr="00507A31" w:rsidRDefault="00C07118" w:rsidP="00507A31">
      <w:pPr>
        <w:jc w:val="both"/>
        <w:rPr>
          <w:color w:val="000000" w:themeColor="text1"/>
          <w:sz w:val="16"/>
          <w:szCs w:val="16"/>
        </w:rPr>
      </w:pPr>
      <w:r w:rsidRPr="00507A31">
        <w:rPr>
          <w:color w:val="000000" w:themeColor="text1"/>
          <w:sz w:val="16"/>
          <w:szCs w:val="16"/>
        </w:rPr>
        <w:t>ПРОТОКОЛ ДОПРОСА</w:t>
      </w:r>
    </w:p>
    <w:p w14:paraId="36372FBC" w14:textId="77777777" w:rsidR="00C07118" w:rsidRPr="00507A31" w:rsidRDefault="00C07118" w:rsidP="00507A31">
      <w:pPr>
        <w:jc w:val="both"/>
        <w:rPr>
          <w:color w:val="000000" w:themeColor="text1"/>
          <w:sz w:val="16"/>
          <w:szCs w:val="16"/>
        </w:rPr>
      </w:pPr>
      <w:r w:rsidRPr="00507A31">
        <w:rPr>
          <w:color w:val="000000" w:themeColor="text1"/>
          <w:sz w:val="16"/>
          <w:szCs w:val="16"/>
        </w:rPr>
        <w:t>профессора СОЛОВЬЕВА. Павла Михайловича, от 31/Х-30 г.</w:t>
      </w:r>
    </w:p>
    <w:p w14:paraId="7E2F1201"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ДОПРОСИЛ НАЧ. 3 [отделения] СО ОГПУ СЛАВАТИНСКИЙ.</w:t>
      </w:r>
    </w:p>
    <w:p w14:paraId="6ED2B5A8" w14:textId="77777777" w:rsidR="00C07118" w:rsidRPr="00507A31" w:rsidRDefault="00C07118" w:rsidP="00507A31">
      <w:pPr>
        <w:jc w:val="both"/>
        <w:rPr>
          <w:color w:val="000000" w:themeColor="text1"/>
          <w:sz w:val="16"/>
          <w:szCs w:val="16"/>
        </w:rPr>
      </w:pPr>
      <w:r w:rsidRPr="00507A31">
        <w:rPr>
          <w:color w:val="000000" w:themeColor="text1"/>
          <w:sz w:val="16"/>
          <w:szCs w:val="16"/>
        </w:rPr>
        <w:t>Признаю себя виновным в том, что я состоял членом контрреволюционной организации, группировавшейся около Теплотехнического Института.</w:t>
      </w:r>
    </w:p>
    <w:p w14:paraId="248FF3A1" w14:textId="77777777" w:rsidR="00C07118" w:rsidRPr="00507A31" w:rsidRDefault="00C07118" w:rsidP="00507A31">
      <w:pPr>
        <w:jc w:val="both"/>
        <w:rPr>
          <w:color w:val="000000" w:themeColor="text1"/>
          <w:sz w:val="16"/>
          <w:szCs w:val="16"/>
        </w:rPr>
      </w:pPr>
      <w:r w:rsidRPr="00507A31">
        <w:rPr>
          <w:color w:val="000000" w:themeColor="text1"/>
          <w:sz w:val="16"/>
          <w:szCs w:val="16"/>
        </w:rPr>
        <w:t>Эта к-p организация, в момент моего вступления в нее в конце 1923 г., не имела четкого структурного оформления и по существу представляла собой тесно сплоченный круг к[онтр]-р[еволюционно] настроенных специалистов, работавших в области энергетики.</w:t>
      </w:r>
    </w:p>
    <w:p w14:paraId="41823C3B" w14:textId="77777777" w:rsidR="00C07118" w:rsidRPr="00507A31" w:rsidRDefault="00C07118" w:rsidP="00507A31">
      <w:pPr>
        <w:jc w:val="both"/>
        <w:rPr>
          <w:color w:val="000000" w:themeColor="text1"/>
          <w:sz w:val="16"/>
          <w:szCs w:val="16"/>
        </w:rPr>
      </w:pPr>
      <w:r w:rsidRPr="00507A31">
        <w:rPr>
          <w:color w:val="000000" w:themeColor="text1"/>
          <w:sz w:val="16"/>
          <w:szCs w:val="16"/>
        </w:rPr>
        <w:t>Нелегальные собрания организации происходили спорадически и связывались обычно с легальными заседаниями, напр[имер], с заседаниями научного совета института и т. п.</w:t>
      </w:r>
    </w:p>
    <w:p w14:paraId="3C4D8DFB" w14:textId="77777777" w:rsidR="00C07118" w:rsidRPr="00507A31" w:rsidRDefault="00C07118" w:rsidP="00507A31">
      <w:pPr>
        <w:jc w:val="both"/>
        <w:rPr>
          <w:color w:val="000000" w:themeColor="text1"/>
          <w:sz w:val="16"/>
          <w:szCs w:val="16"/>
        </w:rPr>
      </w:pPr>
      <w:r w:rsidRPr="00507A31">
        <w:rPr>
          <w:color w:val="000000" w:themeColor="text1"/>
          <w:sz w:val="16"/>
          <w:szCs w:val="16"/>
        </w:rPr>
        <w:t>Центральной фигурой, вокруг которой консолидировались к[онтр]-р[еволюционно] настроенные специалисты в Теплотехническом Институте, был профессор Л. К. РАМЗИН, пользовавшийся большим авторитетом и как специалист и как лицо, облеченное большим доверием правительственных кругов.</w:t>
      </w:r>
    </w:p>
    <w:p w14:paraId="064CBB44" w14:textId="77777777" w:rsidR="00C07118" w:rsidRPr="00507A31" w:rsidRDefault="00C07118" w:rsidP="00507A31">
      <w:pPr>
        <w:jc w:val="both"/>
        <w:rPr>
          <w:color w:val="000000" w:themeColor="text1"/>
          <w:sz w:val="16"/>
          <w:szCs w:val="16"/>
        </w:rPr>
      </w:pPr>
      <w:r w:rsidRPr="00507A31">
        <w:rPr>
          <w:color w:val="000000" w:themeColor="text1"/>
          <w:sz w:val="16"/>
          <w:szCs w:val="16"/>
        </w:rPr>
        <w:t>Первые годы существования к-p организации, зародившейся в Теплотехническом Институте, проходили под знаком собирания сил. Ни четкой структуры, ни сколь-нибудь ясно оформленной политической платформы и практических установок организация, повторяю, не имела.</w:t>
      </w:r>
    </w:p>
    <w:p w14:paraId="48B8D474" w14:textId="77777777" w:rsidR="00C07118" w:rsidRPr="00507A31" w:rsidRDefault="00C07118" w:rsidP="00507A31">
      <w:pPr>
        <w:jc w:val="both"/>
        <w:rPr>
          <w:color w:val="000000" w:themeColor="text1"/>
          <w:sz w:val="16"/>
          <w:szCs w:val="16"/>
        </w:rPr>
      </w:pPr>
      <w:r w:rsidRPr="00507A31">
        <w:rPr>
          <w:color w:val="000000" w:themeColor="text1"/>
          <w:sz w:val="16"/>
          <w:szCs w:val="16"/>
        </w:rPr>
        <w:t>К практической работе, носившей уже вредительский характер, наша организация перешла примерно с конца 1926 года. Основными линиями вредительской деятельности было торможение всевозможных мероприятий, которыми могло бы быть кардинальным образом рационализировано энерго-снабжение и энерго-хозяйство страны. К указанному времени к-p группа Теплотехнического Института насчитывала уже значительное число специалистов, работавших в различных лабораториях и отделах института (РАМЗИН, ПРЕДТЕЧЕНСКИЙ, МЮЛЛЕР, я, ОЧКИН, ЩЕГОЛЕВ, ЕВРЕИНОВ, ДАВИДОВ, КОЗЛИНСКИЙ и др.). В общем, надо сказать, что весь персонал института был настроен в большей или меньшей степени контрреволюционно, т. к. подбирался соответствующим образом.</w:t>
      </w:r>
    </w:p>
    <w:p w14:paraId="75BB3B2E" w14:textId="77777777" w:rsidR="00C07118" w:rsidRPr="00507A31" w:rsidRDefault="00C07118" w:rsidP="00507A31">
      <w:pPr>
        <w:jc w:val="both"/>
        <w:rPr>
          <w:color w:val="000000" w:themeColor="text1"/>
          <w:sz w:val="16"/>
          <w:szCs w:val="16"/>
        </w:rPr>
      </w:pPr>
      <w:r w:rsidRPr="00507A31">
        <w:rPr>
          <w:color w:val="000000" w:themeColor="text1"/>
          <w:sz w:val="16"/>
          <w:szCs w:val="16"/>
        </w:rPr>
        <w:t>В 1928 году к-p группа Теплотехнического Института сделалась ячейкой более широкой к-p организации, охватывавшей своим влиянием значительные круги инженерства и работавшей в различных отраслях промышленности.</w:t>
      </w:r>
    </w:p>
    <w:p w14:paraId="2ADA5A22" w14:textId="77777777" w:rsidR="00C07118" w:rsidRPr="00507A31" w:rsidRDefault="00C07118" w:rsidP="00507A31">
      <w:pPr>
        <w:jc w:val="both"/>
        <w:rPr>
          <w:color w:val="000000" w:themeColor="text1"/>
          <w:sz w:val="16"/>
          <w:szCs w:val="16"/>
        </w:rPr>
      </w:pPr>
      <w:r w:rsidRPr="00507A31">
        <w:rPr>
          <w:color w:val="000000" w:themeColor="text1"/>
          <w:sz w:val="16"/>
          <w:szCs w:val="16"/>
        </w:rPr>
        <w:t>Со слов Л. К. РАМЗИН А мне было известно, что эта к-p организация, именовавшаяся вначале Инженерным Центром, впоследствии превратилась в Промышленную Партию.</w:t>
      </w:r>
    </w:p>
    <w:p w14:paraId="15C09F19" w14:textId="77777777" w:rsidR="00C07118" w:rsidRPr="00507A31" w:rsidRDefault="00C07118" w:rsidP="00507A31">
      <w:pPr>
        <w:jc w:val="both"/>
        <w:rPr>
          <w:color w:val="000000" w:themeColor="text1"/>
          <w:sz w:val="16"/>
          <w:szCs w:val="16"/>
        </w:rPr>
      </w:pPr>
      <w:r w:rsidRPr="00507A31">
        <w:rPr>
          <w:color w:val="000000" w:themeColor="text1"/>
          <w:sz w:val="16"/>
          <w:szCs w:val="16"/>
        </w:rPr>
        <w:t>Со слов того же РАМЗИНА, который входил в руководящее ядро как Инженерного Центра, так затем и Промышленной Партии, я узнал, что Промышленная Партия конечной целью своей ставила свержение диктатуры пролетариата и создание в России буржуазно-демократической республики с правительством, созданным на основе коалиции с б[ывшими] капиталистами, находящимися за границей.</w:t>
      </w:r>
    </w:p>
    <w:p w14:paraId="19A44645" w14:textId="77777777" w:rsidR="00C07118" w:rsidRPr="00507A31" w:rsidRDefault="00C07118" w:rsidP="00507A31">
      <w:pPr>
        <w:jc w:val="both"/>
        <w:rPr>
          <w:color w:val="000000" w:themeColor="text1"/>
          <w:sz w:val="16"/>
          <w:szCs w:val="16"/>
        </w:rPr>
      </w:pPr>
      <w:r w:rsidRPr="00507A31">
        <w:rPr>
          <w:color w:val="000000" w:themeColor="text1"/>
          <w:sz w:val="16"/>
          <w:szCs w:val="16"/>
        </w:rPr>
        <w:t>С 1929 года я разошелся с РАМЗИНЫМ по чисто технической линии, редко виделся с ним и потому точными данными о всей практической деятельности как Инженерного Центра, так и Промышленной Партии, о ея структурном построении, о ея периферийных связях и т. п. я не располагаю.</w:t>
      </w:r>
    </w:p>
    <w:p w14:paraId="4E2883C8" w14:textId="77777777" w:rsidR="00C07118" w:rsidRPr="00507A31" w:rsidRDefault="00C07118" w:rsidP="00507A31">
      <w:pPr>
        <w:jc w:val="both"/>
        <w:rPr>
          <w:color w:val="000000" w:themeColor="text1"/>
          <w:sz w:val="16"/>
          <w:szCs w:val="16"/>
        </w:rPr>
      </w:pPr>
      <w:r w:rsidRPr="00507A31">
        <w:rPr>
          <w:color w:val="000000" w:themeColor="text1"/>
          <w:sz w:val="16"/>
          <w:szCs w:val="16"/>
        </w:rPr>
        <w:t>Тем не менее связи с к-p организацией в Теплотехническом Институте я не порывал и потому был до известной степени в курсе общего хода дела. Так, в 1929 году я присутствовал на ряде небольших нелегальных собраний к-p ячейки Теплотехнического Института, также имел несколько случайных бесед с С. А. ПРЕДТЕЧЕНСКИМ, членом той же к-р организации.</w:t>
      </w:r>
    </w:p>
    <w:p w14:paraId="03546AC6" w14:textId="77777777" w:rsidR="00C07118" w:rsidRPr="00507A31" w:rsidRDefault="00C07118" w:rsidP="00507A31">
      <w:pPr>
        <w:jc w:val="both"/>
        <w:rPr>
          <w:color w:val="000000" w:themeColor="text1"/>
          <w:sz w:val="16"/>
          <w:szCs w:val="16"/>
        </w:rPr>
      </w:pPr>
      <w:r w:rsidRPr="00507A31">
        <w:rPr>
          <w:color w:val="000000" w:themeColor="text1"/>
          <w:sz w:val="16"/>
          <w:szCs w:val="16"/>
        </w:rPr>
        <w:t>На этих собраниях я встречался все с теми же лицами, т. е. РАМЗИНЫМ, ПРЕДТЕЧЕНСКИМ, МЮЛЛЕРОМ, ОЧКИНЫМ, ЩЕГОЛЕВЫМ, ЕВРЕИНОВЫМ и др.</w:t>
      </w:r>
    </w:p>
    <w:p w14:paraId="5890DC9C" w14:textId="77777777" w:rsidR="00C07118" w:rsidRPr="00507A31" w:rsidRDefault="00C07118" w:rsidP="00507A31">
      <w:pPr>
        <w:jc w:val="both"/>
        <w:rPr>
          <w:color w:val="000000" w:themeColor="text1"/>
          <w:sz w:val="16"/>
          <w:szCs w:val="16"/>
        </w:rPr>
      </w:pPr>
      <w:r w:rsidRPr="00507A31">
        <w:rPr>
          <w:color w:val="000000" w:themeColor="text1"/>
          <w:sz w:val="16"/>
          <w:szCs w:val="16"/>
        </w:rPr>
        <w:t>Со слов главным образом РАМЗИНА, а также и С. А. ПРЕДТЕЧЕНСКОГО, который обычно говорил по поручению РАМЗИНА, я был осведомлен о том, что Инженерный Центр, а затем и Промпартия целиком ориентируются на иностранную интервенцию, которая должна была явиться решающим фактором в деле свержения советской власти в СССР.</w:t>
      </w:r>
    </w:p>
    <w:p w14:paraId="486C2CBB" w14:textId="77777777" w:rsidR="00C07118" w:rsidRPr="00507A31" w:rsidRDefault="00C07118" w:rsidP="00507A31">
      <w:pPr>
        <w:jc w:val="both"/>
        <w:rPr>
          <w:color w:val="000000" w:themeColor="text1"/>
          <w:sz w:val="16"/>
          <w:szCs w:val="16"/>
        </w:rPr>
      </w:pPr>
      <w:r w:rsidRPr="00507A31">
        <w:rPr>
          <w:color w:val="000000" w:themeColor="text1"/>
          <w:sz w:val="16"/>
          <w:szCs w:val="16"/>
        </w:rPr>
        <w:t>Застрельщиком интервенции должна была явиться, по словам РАМЗИНА, Франция, где действовала в этом направлении бело-эмигрантская организация, т[ак] называемый] Торгпром.</w:t>
      </w:r>
    </w:p>
    <w:p w14:paraId="78FCED87" w14:textId="77777777" w:rsidR="00C07118" w:rsidRPr="00507A31" w:rsidRDefault="00C07118" w:rsidP="00507A31">
      <w:pPr>
        <w:jc w:val="both"/>
        <w:rPr>
          <w:color w:val="000000" w:themeColor="text1"/>
          <w:sz w:val="16"/>
          <w:szCs w:val="16"/>
        </w:rPr>
      </w:pPr>
      <w:r w:rsidRPr="00507A31">
        <w:rPr>
          <w:color w:val="000000" w:themeColor="text1"/>
          <w:sz w:val="16"/>
          <w:szCs w:val="16"/>
        </w:rPr>
        <w:t>Торгпром обеспечивал подготовку общественного мнения за границей в духе необходимости вооруженного вмешательства во внутренние дела СССР и брался снабжать к-p организации внутри СССР деньгами, необходимыми для подготовки интервенции.</w:t>
      </w:r>
    </w:p>
    <w:p w14:paraId="1A314DF4" w14:textId="77777777" w:rsidR="00C07118" w:rsidRPr="00507A31" w:rsidRDefault="00C07118" w:rsidP="00507A31">
      <w:pPr>
        <w:jc w:val="both"/>
        <w:rPr>
          <w:color w:val="000000" w:themeColor="text1"/>
          <w:sz w:val="16"/>
          <w:szCs w:val="16"/>
        </w:rPr>
      </w:pPr>
      <w:r w:rsidRPr="00507A31">
        <w:rPr>
          <w:color w:val="000000" w:themeColor="text1"/>
          <w:sz w:val="16"/>
          <w:szCs w:val="16"/>
        </w:rPr>
        <w:t>РАМЗИН намекал, что с Торгпромом и французским генштабом у него завязаны прочные связи. Не упоминая фамилий, РАМЗИН говорил также, что он тесно связан и с французским посольством в Москве, через которое получаются необходимые для вредительских целей денежные средства. Куда и кому шли деньги я, однако, не знаю.</w:t>
      </w:r>
    </w:p>
    <w:p w14:paraId="7088517F" w14:textId="77777777" w:rsidR="00C07118" w:rsidRPr="00507A31" w:rsidRDefault="00C07118" w:rsidP="00507A31">
      <w:pPr>
        <w:jc w:val="both"/>
        <w:rPr>
          <w:color w:val="000000" w:themeColor="text1"/>
          <w:sz w:val="16"/>
          <w:szCs w:val="16"/>
        </w:rPr>
      </w:pPr>
      <w:r w:rsidRPr="00507A31">
        <w:rPr>
          <w:color w:val="000000" w:themeColor="text1"/>
          <w:sz w:val="16"/>
          <w:szCs w:val="16"/>
        </w:rPr>
        <w:t>Задачей наших внутренних к-p организаций являлась подготовка почвы для иностранной интервенции, путем срыва темпов нового строительства, намеченного по плану пятилетки, путем создания всякого рода диспропорций в развитии отдельных отраслей промышленности, путем, наконец, диверсионных актов, ведущих к параличу в нужный момент наиболее важных органов народного хозяйства и обороны страны, как- то — электроцентралей, военных заводов и т. п.</w:t>
      </w:r>
    </w:p>
    <w:p w14:paraId="38AB5665" w14:textId="77777777" w:rsidR="00C07118" w:rsidRPr="00507A31" w:rsidRDefault="00C07118" w:rsidP="00507A31">
      <w:pPr>
        <w:jc w:val="both"/>
        <w:rPr>
          <w:color w:val="000000" w:themeColor="text1"/>
          <w:sz w:val="16"/>
          <w:szCs w:val="16"/>
        </w:rPr>
      </w:pPr>
      <w:r w:rsidRPr="00507A31">
        <w:rPr>
          <w:color w:val="000000" w:themeColor="text1"/>
          <w:sz w:val="16"/>
          <w:szCs w:val="16"/>
        </w:rPr>
        <w:t xml:space="preserve">Кроме того, задачей внутренних к-p организаций, другими словами всей Промышленной партии, была подготовка почвы для организованного охвата всякого рода народных возмущений и восстаний, вызванных хозяйственными неурядицами, в особенности на окраинах, дабы можно было, пользуясь этими восстаниями, оформить </w:t>
      </w:r>
      <w:r w:rsidRPr="00507A31">
        <w:rPr>
          <w:color w:val="000000" w:themeColor="text1"/>
          <w:sz w:val="16"/>
          <w:szCs w:val="16"/>
        </w:rPr>
        <w:lastRenderedPageBreak/>
        <w:t>отторжение от Союза какой-либо окраины такового, напр[имер], Украины, быстро сформировать там временное правительство и от имени последнего просить международную империалистическую коалицию о защите вновь сформированного государства от натиска Москвы.</w:t>
      </w:r>
    </w:p>
    <w:p w14:paraId="201E31D7" w14:textId="77777777" w:rsidR="00C07118" w:rsidRPr="00507A31" w:rsidRDefault="00C07118" w:rsidP="00507A31">
      <w:pPr>
        <w:jc w:val="both"/>
        <w:rPr>
          <w:color w:val="000000" w:themeColor="text1"/>
          <w:sz w:val="16"/>
          <w:szCs w:val="16"/>
        </w:rPr>
      </w:pPr>
      <w:r w:rsidRPr="00507A31">
        <w:rPr>
          <w:color w:val="000000" w:themeColor="text1"/>
          <w:sz w:val="16"/>
          <w:szCs w:val="16"/>
        </w:rPr>
        <w:t>Таким образом можно было бы подвести под интервенцию против СССР формальное основание с точки зрения современного международного права и пакта Келлога, в частности.</w:t>
      </w:r>
    </w:p>
    <w:p w14:paraId="416AD415" w14:textId="77777777" w:rsidR="00C07118" w:rsidRPr="00507A31" w:rsidRDefault="00C07118" w:rsidP="00507A31">
      <w:pPr>
        <w:jc w:val="both"/>
        <w:rPr>
          <w:color w:val="000000" w:themeColor="text1"/>
          <w:sz w:val="16"/>
          <w:szCs w:val="16"/>
        </w:rPr>
      </w:pPr>
      <w:r w:rsidRPr="00507A31">
        <w:rPr>
          <w:color w:val="000000" w:themeColor="text1"/>
          <w:sz w:val="16"/>
          <w:szCs w:val="16"/>
        </w:rPr>
        <w:t>Со слов того же РАМЗИНА мне было известно, что интервенция приурочивалась сначала к 1930 году, как к году наибольшего хозяйственного напряжения в Союзе, связанного с выполнением пятилетнего плана промышленного строительства. К этому времени капитальные вложения в новое строительство не могли дать еще никакого эффекта и потому обороноспособность страны, истощенной чрезвычайным финансовым напряжением и не усиленной еще последствиями этого напряжения, Должна была быть особенно ослаблена.</w:t>
      </w:r>
    </w:p>
    <w:p w14:paraId="3A56EE57" w14:textId="77777777" w:rsidR="00C07118" w:rsidRPr="00507A31" w:rsidRDefault="00C07118" w:rsidP="00507A31">
      <w:pPr>
        <w:jc w:val="both"/>
        <w:rPr>
          <w:color w:val="000000" w:themeColor="text1"/>
          <w:sz w:val="16"/>
          <w:szCs w:val="16"/>
        </w:rPr>
      </w:pPr>
      <w:r w:rsidRPr="00507A31">
        <w:rPr>
          <w:color w:val="000000" w:themeColor="text1"/>
          <w:sz w:val="16"/>
          <w:szCs w:val="16"/>
        </w:rPr>
        <w:t>Впоследствии[,] однако, как мне говорил ПРЕДТЕЧЕНСКИЙ при одной из случайных встреч с ним, примерно в конце прошлого года, план этот был изменен[,] и интервенция отложена на год, т. е. до 1931 года[,] вследствие того впечатления, которое было произведено на заграничных интервентов инцидентом на КВЖД, демонстрировавшим силу советской Красной армии.</w:t>
      </w:r>
    </w:p>
    <w:p w14:paraId="340248BD" w14:textId="77777777" w:rsidR="00C07118" w:rsidRPr="00507A31" w:rsidRDefault="00C07118" w:rsidP="00507A31">
      <w:pPr>
        <w:jc w:val="both"/>
        <w:rPr>
          <w:color w:val="000000" w:themeColor="text1"/>
          <w:sz w:val="16"/>
          <w:szCs w:val="16"/>
        </w:rPr>
      </w:pPr>
      <w:r w:rsidRPr="00507A31">
        <w:rPr>
          <w:color w:val="000000" w:themeColor="text1"/>
          <w:sz w:val="16"/>
          <w:szCs w:val="16"/>
        </w:rPr>
        <w:t>Признавая на основании всего вышеизложенного себя виновным в том, что я принимал участие в к[онтр]-р[еволюционной] организации, сформировавшейся из вредительского Инженерно-Технического Центра в Промышленную Партию, каковая ставила своей задачей свержение советской власти при помощи интервенции, другими словами признавая себя виновным в государственной измене, заявляю категорически о своем чистосердечном раскаянии и обещаю приложить все усилия к тому, чтоб искупить свои преступления самоотверженной работой по своей специальности, если советская власть предоставит мне таковую возможность.</w:t>
      </w:r>
    </w:p>
    <w:p w14:paraId="56AD38ED" w14:textId="77777777" w:rsidR="00C07118" w:rsidRPr="00507A31" w:rsidRDefault="00C07118" w:rsidP="00507A31">
      <w:pPr>
        <w:jc w:val="both"/>
        <w:rPr>
          <w:color w:val="000000" w:themeColor="text1"/>
          <w:sz w:val="16"/>
          <w:szCs w:val="16"/>
        </w:rPr>
      </w:pPr>
      <w:r w:rsidRPr="00507A31">
        <w:rPr>
          <w:color w:val="000000" w:themeColor="text1"/>
          <w:sz w:val="16"/>
          <w:szCs w:val="16"/>
        </w:rPr>
        <w:t>П. Соловьев</w:t>
      </w:r>
    </w:p>
    <w:p w14:paraId="4E6DB3C3" w14:textId="77777777" w:rsidR="00C07118" w:rsidRPr="00507A31" w:rsidRDefault="00C07118" w:rsidP="00507A31">
      <w:pPr>
        <w:jc w:val="both"/>
        <w:rPr>
          <w:color w:val="000000" w:themeColor="text1"/>
          <w:sz w:val="16"/>
          <w:szCs w:val="16"/>
        </w:rPr>
      </w:pPr>
      <w:r w:rsidRPr="00507A31">
        <w:rPr>
          <w:color w:val="000000" w:themeColor="text1"/>
          <w:sz w:val="16"/>
          <w:szCs w:val="16"/>
        </w:rPr>
        <w:t>31 октября 1930 г.</w:t>
      </w:r>
    </w:p>
    <w:p w14:paraId="61962D9C" w14:textId="77777777" w:rsidR="00C07118" w:rsidRPr="00507A31" w:rsidRDefault="00C07118" w:rsidP="00507A31">
      <w:pPr>
        <w:jc w:val="both"/>
        <w:rPr>
          <w:color w:val="000000" w:themeColor="text1"/>
          <w:sz w:val="16"/>
          <w:szCs w:val="16"/>
        </w:rPr>
      </w:pPr>
      <w:r w:rsidRPr="00507A31">
        <w:rPr>
          <w:color w:val="000000" w:themeColor="text1"/>
          <w:sz w:val="16"/>
          <w:szCs w:val="16"/>
        </w:rPr>
        <w:t>ДОПРОСИЛ — НАЧ. 3 [ОТДЕЛЕНИЯ] СО ОГПУ СЛАВАТИНСКИЙ.</w:t>
      </w:r>
    </w:p>
    <w:p w14:paraId="5960977B" w14:textId="77777777" w:rsidR="00C07118" w:rsidRPr="00507A31" w:rsidRDefault="00C07118" w:rsidP="00507A31">
      <w:pPr>
        <w:jc w:val="both"/>
        <w:rPr>
          <w:color w:val="000000" w:themeColor="text1"/>
          <w:sz w:val="16"/>
          <w:szCs w:val="16"/>
        </w:rPr>
      </w:pPr>
      <w:r w:rsidRPr="00507A31">
        <w:rPr>
          <w:color w:val="000000" w:themeColor="text1"/>
          <w:sz w:val="16"/>
          <w:szCs w:val="16"/>
        </w:rPr>
        <w:t>Д. 355. Л. 80-84. Заверенная машинописная копия того времени. Протокол допроса П. М. Соловьева был направлен в ЦК В КП (б) на имя И. В. Сталина 1 ноября 1930 г. одновременно с протоколами допросов Рам- зина, Калинникова, Ларичева, Чарновского, Очкина от 31/Х-1930 г. (см. легенду к док. № 355-1).</w:t>
      </w:r>
    </w:p>
    <w:p w14:paraId="69A03368" w14:textId="77777777" w:rsidR="00C07118" w:rsidRPr="00507A31" w:rsidRDefault="00C07118" w:rsidP="00507A31">
      <w:pPr>
        <w:jc w:val="both"/>
        <w:rPr>
          <w:color w:val="000000" w:themeColor="text1"/>
          <w:sz w:val="16"/>
          <w:szCs w:val="16"/>
        </w:rPr>
      </w:pPr>
      <w:r w:rsidRPr="00507A31">
        <w:rPr>
          <w:color w:val="000000" w:themeColor="text1"/>
          <w:sz w:val="16"/>
          <w:szCs w:val="16"/>
        </w:rPr>
        <w:t>ЦА ФСБ РФ. Ф. Р-42280. Т. 2. Л. 413-416 об. Рукописный подлинник показаний П. М. Соловьева, написанный им собственноручно в форме протокола допроса. На Л. 416 об. подпись-автограф Славатинского (18497).</w:t>
      </w:r>
    </w:p>
    <w:p w14:paraId="41E101EF" w14:textId="77777777" w:rsidR="00C07118" w:rsidRPr="00507A31" w:rsidRDefault="00C07118" w:rsidP="00507A31">
      <w:pPr>
        <w:jc w:val="both"/>
        <w:rPr>
          <w:color w:val="000000" w:themeColor="text1"/>
          <w:sz w:val="16"/>
          <w:szCs w:val="16"/>
        </w:rPr>
      </w:pPr>
    </w:p>
    <w:p w14:paraId="70140FE7" w14:textId="77777777" w:rsidR="00CA1DC9" w:rsidRPr="00507A31" w:rsidRDefault="00CA1DC9"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CB30834" w14:textId="77777777" w:rsidR="00CA1DC9" w:rsidRPr="00507A31" w:rsidRDefault="00CA1DC9" w:rsidP="00507A31">
      <w:pPr>
        <w:autoSpaceDE w:val="0"/>
        <w:autoSpaceDN w:val="0"/>
        <w:adjustRightInd w:val="0"/>
        <w:jc w:val="both"/>
        <w:rPr>
          <w:iCs/>
          <w:color w:val="000000" w:themeColor="text1"/>
          <w:sz w:val="16"/>
          <w:szCs w:val="16"/>
        </w:rPr>
      </w:pPr>
    </w:p>
    <w:p w14:paraId="0B4E9354" w14:textId="77777777" w:rsidR="00CA1DC9" w:rsidRPr="00507A31" w:rsidRDefault="00CA1DC9" w:rsidP="00507A31">
      <w:pPr>
        <w:jc w:val="both"/>
        <w:rPr>
          <w:color w:val="000000" w:themeColor="text1"/>
          <w:sz w:val="16"/>
          <w:szCs w:val="16"/>
        </w:rPr>
      </w:pPr>
      <w:r w:rsidRPr="00507A31">
        <w:rPr>
          <w:color w:val="000000" w:themeColor="text1"/>
          <w:sz w:val="16"/>
          <w:szCs w:val="16"/>
        </w:rPr>
        <w:t xml:space="preserve">В конце октября 1930 начались и продолжались до 24 ноября испытательные полеты Р-5 и Потэ 25А2 в рамках Иранского конкурса на самолет-разведчик для иранских ВВС. К общему решению члены комиссии прийти не смогли – половина из них училась летному делу во Франции – половина в России, поэтому было объявлено о проведении весной 1931 г. второго тура конкурса, на который дополнительно пригласили представителей Великобритании, Италии и Чехословакии (18512). </w:t>
      </w:r>
    </w:p>
    <w:p w14:paraId="6076A839" w14:textId="77777777" w:rsidR="00CA1DC9" w:rsidRPr="00507A31" w:rsidRDefault="00CA1DC9" w:rsidP="00507A31">
      <w:pPr>
        <w:jc w:val="both"/>
        <w:rPr>
          <w:color w:val="000000" w:themeColor="text1"/>
          <w:sz w:val="16"/>
          <w:szCs w:val="16"/>
        </w:rPr>
      </w:pPr>
    </w:p>
    <w:p w14:paraId="43208114" w14:textId="77777777" w:rsidR="00CA1DC9" w:rsidRPr="00507A31" w:rsidRDefault="00CA1DC9" w:rsidP="00507A31">
      <w:pPr>
        <w:jc w:val="both"/>
        <w:rPr>
          <w:color w:val="000000" w:themeColor="text1"/>
          <w:sz w:val="16"/>
          <w:szCs w:val="16"/>
        </w:rPr>
      </w:pPr>
      <w:r w:rsidRPr="00507A31">
        <w:rPr>
          <w:color w:val="000000" w:themeColor="text1"/>
          <w:sz w:val="16"/>
          <w:szCs w:val="16"/>
        </w:rPr>
        <w:t>В конце октября 1930 начались и продолжались до 24 ноября испытательные полеты Р-5 и Потэ 25А2 в Иране в рамках конкурса, объявленного на самолет-разведчик для иранских ВВС.</w:t>
      </w:r>
    </w:p>
    <w:p w14:paraId="5104A518" w14:textId="77777777" w:rsidR="00CA1DC9" w:rsidRPr="00507A31" w:rsidRDefault="00CA1DC9" w:rsidP="00507A31">
      <w:pPr>
        <w:jc w:val="both"/>
        <w:rPr>
          <w:color w:val="000000" w:themeColor="text1"/>
          <w:sz w:val="16"/>
          <w:szCs w:val="16"/>
        </w:rPr>
      </w:pPr>
      <w:r w:rsidRPr="00507A31">
        <w:rPr>
          <w:color w:val="000000" w:themeColor="text1"/>
          <w:sz w:val="16"/>
          <w:szCs w:val="16"/>
        </w:rPr>
        <w:t>На конкурс было отправлено три самолета, на этот раз - в комплектации разведчиков. На машинах стояли радиостанции, фотоаппараты, посадочные фары и полный комплект вооружения. Их пилотировали Лиховицкий - командир группы, Лозовский и Широкий. Советский представитель сообщал: «Офицеры, в особенности французской ориентации, стояли в недоумении в беспомощной растерянности и бессильной злобе, не веря своим собственным глазам, увидевшим большевистские красные звезды над феодальной Персией». На аэродроме Р-5 встретили командующий иранской военной авиацией майор Хосровани и ее немногочисленный личный состав. Также присутствовал военный атташе при полпредстве СССР в Персии Али Каримович Маликов (1897-1973), занимавший этот пост с ноября 1927 по январь 1931 г. (до этого - начальник Разведотдела штаба Кавказской Краснознаменной Армии).</w:t>
      </w:r>
    </w:p>
    <w:p w14:paraId="3A3E78D7" w14:textId="77777777" w:rsidR="00CA1DC9" w:rsidRPr="00507A31" w:rsidRDefault="00CA1DC9" w:rsidP="00507A31">
      <w:pPr>
        <w:jc w:val="both"/>
        <w:rPr>
          <w:color w:val="000000" w:themeColor="text1"/>
          <w:sz w:val="16"/>
          <w:szCs w:val="16"/>
        </w:rPr>
      </w:pPr>
      <w:r w:rsidRPr="00507A31">
        <w:rPr>
          <w:color w:val="000000" w:themeColor="text1"/>
          <w:sz w:val="16"/>
          <w:szCs w:val="16"/>
        </w:rPr>
        <w:t>К общему решению члены комиссии прийти не смогли - половина из них училась летному делу во Франции - половина в России, поэтому было объявлено о проведении весной 1931 г. второго тура конкурса, на который дополнительно пригласили представителей Великобритании, Италии и Чехословакии. 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с.г.».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w:t>
      </w:r>
      <w:r w:rsidR="007B789F" w:rsidRPr="00507A31">
        <w:rPr>
          <w:color w:val="000000" w:themeColor="text1"/>
          <w:sz w:val="16"/>
          <w:szCs w:val="16"/>
        </w:rPr>
        <w:t>В</w:t>
      </w:r>
      <w:r w:rsidRPr="00507A31">
        <w:rPr>
          <w:color w:val="000000" w:themeColor="text1"/>
          <w:sz w:val="16"/>
          <w:szCs w:val="16"/>
        </w:rPr>
        <w:t xml:space="preserve">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09AE91E5" w14:textId="77777777" w:rsidR="00CA1DC9" w:rsidRPr="00507A31" w:rsidRDefault="00CA1DC9" w:rsidP="00507A31">
      <w:pPr>
        <w:jc w:val="both"/>
        <w:rPr>
          <w:color w:val="000000" w:themeColor="text1"/>
          <w:sz w:val="16"/>
          <w:szCs w:val="16"/>
        </w:rPr>
      </w:pPr>
    </w:p>
    <w:p w14:paraId="091FC41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2B2DEFB" w14:textId="77777777" w:rsidR="00537E5F" w:rsidRPr="00507A31" w:rsidRDefault="00537E5F" w:rsidP="00507A31">
      <w:pPr>
        <w:autoSpaceDE w:val="0"/>
        <w:autoSpaceDN w:val="0"/>
        <w:adjustRightInd w:val="0"/>
        <w:jc w:val="both"/>
        <w:rPr>
          <w:iCs/>
          <w:color w:val="000000" w:themeColor="text1"/>
          <w:sz w:val="16"/>
          <w:szCs w:val="16"/>
        </w:rPr>
      </w:pPr>
    </w:p>
    <w:p w14:paraId="43210C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ЦАГИ закончил предварительный аэродинамический расчет АНТ-16 (ТБ-4) под М-35 - проект моноблочного М-34) (7388, 7).</w:t>
      </w:r>
    </w:p>
    <w:p w14:paraId="65DF5DD2" w14:textId="77777777" w:rsidR="00537E5F" w:rsidRPr="00507A31" w:rsidRDefault="00537E5F" w:rsidP="00507A31">
      <w:pPr>
        <w:autoSpaceDE w:val="0"/>
        <w:autoSpaceDN w:val="0"/>
        <w:adjustRightInd w:val="0"/>
        <w:jc w:val="both"/>
        <w:rPr>
          <w:color w:val="000000" w:themeColor="text1"/>
          <w:sz w:val="16"/>
          <w:szCs w:val="16"/>
        </w:rPr>
      </w:pPr>
    </w:p>
    <w:p w14:paraId="451F1D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 в ЦАГИ сначала выполнили эскизный проект АНТ-16 под четыре мотора М-35 в полном соответствии с заданием. Потом сообразили, что самолет по плану надо уже строить, а требуемых двигателей нет, и в ближайшем будущем явно не ожидается. Начали искать альтернативы. Просчитали варианты с итальянскими моторами Изотта-Фраскини ASSO, немецкими BMW IX, английскими Роллс-Ройс НХ 11 (еще опытными, серийный вариант назывался "Кестрел") и отечественными М-34, М- 34Р, ФЭД и М-27Р. Из советских М-34 тогда существовал только в опытных образцах, на М-34Р имелось только задание.</w:t>
      </w:r>
    </w:p>
    <w:p w14:paraId="55AB4F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Конкурентом для М-34 являлся 18-цилиндровый W-образный (трехрядный) М-27, тоже водяного охлаждения. Этот мотор в январе 1931 г. успешно прошел государственные испытания, показав номинальную мощность 700 л.с. и максимальную - 850 л.с, то есть примерно то же, что и двигатель Микулина, но при немного большем весе - 633 кг. Предпочтение отдали М-34, уже подготовленное серийное производство М-27 остановили. М-27Р являлся проектировавшимся редукторным вариантом этого признанного бесперспективным мотора и сам, следовательно, будущего не имел.</w:t>
      </w:r>
    </w:p>
    <w:p w14:paraId="280DF7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Примерно ту же мощность, что и М-35, должны были развивать двигатели семейства ФЭД ("Феликс Эдмундович Дзержинский"). Таким названием они были обязаны тому, что разработка велась в Особом техническом бюро ОГПУ при заводе № 24, где трудились инженеры-заключенные. Их тогда называли еще не "врагами народа", а "вредителями". Вот эти "вредители" с учетом требований задания М-28 спроектировали Х-образный двигатель, частично использовавший узлы отвергнутого М-27. Руководил работой известный моторостроитель А.А. Бессонов, до ареста - начальник заводского конструкторского бюро.</w:t>
      </w:r>
    </w:p>
    <w:p w14:paraId="3AEDB0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Существовало несколько модификаций двигателя ФЭД. Наиболее удачная из них, ФЭД-3, оснащенная приводным центробежным нагнетателем, проходила государственные испытания в апреле 1931 г., показав максимальную мощность 1170 л.с. при номинальной - 800 л.с. Но бюро ОГПУ расформировали, а доводку двигателя передали И AM. Там им заниматься оказалось некому. Через некоторое время соответствующий пункт из плана института попросту изъяли. Сохранились два экземпляра мотора ФЭД: один - в запаснике в Монино, второй - в музее завода "Салют".</w:t>
      </w:r>
    </w:p>
    <w:p w14:paraId="4B999B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упомянутые моторы, и советские, и иностранные, уступали по мощности М-35. Чтобы обеспечить нужную суммарную тягу, количество двигателей вынужденно решили увеличить до шести.</w:t>
      </w:r>
    </w:p>
    <w:p w14:paraId="5EE51A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надо честно признать, что задачу перед моторостроителями поставили неподъемную. Даже в передовых странах Запада, где и денег на это тратили больше, и специалистов хватало, тогда надежные двигатели такой мощности отсутствовали. У нас же отставала металлургия, средний уровень квалификации рабочей силы по мере индустриализации не повышался, а падал; инженеров не хватало катастрофически. Даже термин придумали - "инженер-практик", то есть на должности, но без образования. Так что неудача с М-35 была вполне закономерной (12024).</w:t>
      </w:r>
    </w:p>
    <w:p w14:paraId="1628027D" w14:textId="77777777" w:rsidR="00537E5F" w:rsidRPr="00507A31" w:rsidRDefault="00537E5F" w:rsidP="00507A31">
      <w:pPr>
        <w:autoSpaceDE w:val="0"/>
        <w:autoSpaceDN w:val="0"/>
        <w:adjustRightInd w:val="0"/>
        <w:jc w:val="both"/>
        <w:rPr>
          <w:color w:val="000000" w:themeColor="text1"/>
          <w:sz w:val="16"/>
          <w:szCs w:val="16"/>
        </w:rPr>
      </w:pPr>
    </w:p>
    <w:p w14:paraId="17F426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 в ЦАГИ завершили эскизный проект АНТ-16 под четыре мотора М-35 в полном соответствии с заданием. Потом сообразили, что самолет по плану надо уже строить, а требуемых двигателей нет, и в ближайшем будущем явно не ожидается. Начали искать альтернативы. Просчитали варианты с итальянскими моторами Изота-Фраскини ASSO, немецкими BMW IX, английскими Роллс-Ройс НХ 11 и отечественными М-34, М-34Р, ФЭД и М-27Р (существовавшими тогда в лучшем случае в опытных образцах). Все они уступали по мощности М-35. Чтобы обеспечить нужную суммарную тягу, количество двигателей вынужденно решили увеличить до шести.</w:t>
      </w:r>
    </w:p>
    <w:p w14:paraId="0C6702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апрелю 1931 г. пришли к выводу, что основным вариантом для проектирования должна стать установка шести двигателей М-34, которые во втором квартале 1932 г. намеревались заменить четырьмя М-35. Но М-34 в наличии тоже не имелось - их производство на заводе № 24 в Москве начали налаживать только с сентября 1931 г. Поэтому для первого опытного АНТ-16 решили купить моторы по 800 л.с. в Англии. Фирме "Роллс-Ройс" даже успели выдать заказ на них.</w:t>
      </w:r>
    </w:p>
    <w:p w14:paraId="66E7F0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Но уже 1 июня заказ отменили.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w:t>
      </w:r>
    </w:p>
    <w:p w14:paraId="6AF4C8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Опытный самолет к этому времени уже начали строить. По своей компоновке бомбардировщик во многом повторял ТБ-3, но со значительным увеличением размеров всех узлов. Параллельно проектировались два варианта ТБ-4, предусмотренные планом опытных работ. Один должен был строиться целиком из дюраля (кольчугалюминия) и иметь большее по площади крыло (410 м2). Уточненное задание требовало от этого варианта бомбовую нагрузку 6000 кг и вооружение из десяти пулеметов и двух пушек. Второй тип должен был иметь стальной (для экономии дефицитного дюраля) каркас и меньшее по размерам крыло (площадью 340 м2). Он должен был нести меньше бомб (4500 кг) и более слабое стрелково-артиллерийское вооружение - шесть - восемь пулеметов и одну пушку (12036).</w:t>
      </w:r>
    </w:p>
    <w:p w14:paraId="4BBDE45E" w14:textId="77777777" w:rsidR="00537E5F" w:rsidRPr="00507A31" w:rsidRDefault="00537E5F" w:rsidP="00507A31">
      <w:pPr>
        <w:autoSpaceDE w:val="0"/>
        <w:autoSpaceDN w:val="0"/>
        <w:adjustRightInd w:val="0"/>
        <w:jc w:val="both"/>
        <w:rPr>
          <w:color w:val="000000" w:themeColor="text1"/>
          <w:sz w:val="16"/>
          <w:szCs w:val="16"/>
        </w:rPr>
      </w:pPr>
    </w:p>
    <w:p w14:paraId="4EEED7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УВВС выдало новое ТЗ на военный вариант АНТ-9. 50, 80 и 100 кг бомбы внутри фюзеляжа, в кассетах + 7-8 пулеметов (10542,29).</w:t>
      </w:r>
    </w:p>
    <w:p w14:paraId="3BD87071" w14:textId="77777777" w:rsidR="00537E5F" w:rsidRPr="00507A31" w:rsidRDefault="00537E5F" w:rsidP="00507A31">
      <w:pPr>
        <w:autoSpaceDE w:val="0"/>
        <w:autoSpaceDN w:val="0"/>
        <w:adjustRightInd w:val="0"/>
        <w:jc w:val="both"/>
        <w:rPr>
          <w:color w:val="000000" w:themeColor="text1"/>
          <w:sz w:val="16"/>
          <w:szCs w:val="16"/>
        </w:rPr>
      </w:pPr>
    </w:p>
    <w:p w14:paraId="795E6AA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октябре 1930 года врид начальника ВВС Алкснис писал председателю РВС зам. председателя РВС Уборевичу</w:t>
      </w:r>
    </w:p>
    <w:p w14:paraId="362E6D1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Доношу, что постановление РВС от 13 сентября 1930 года (протокол № 20), которое обязывало ВАО сдать в сентябре 1930 года 6 самолетов И5-ЮпVI, в октябре – 32 – ВАО не выполнено.</w:t>
      </w:r>
    </w:p>
    <w:p w14:paraId="2E1B34A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 имеет: на заводе № 39, заканчивающихся устранением отмеченных НИИ дефектов, 8 самолетов и один на заводе № 1 (сборки завода № 39). Завод № 1 не дал ни одного самолета.</w:t>
      </w:r>
    </w:p>
    <w:p w14:paraId="64C0318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ВАО не выполнило то же постановление о сдаче УВВС для гос. испытаний к 25 сентября 1930 года 2-го опытного экземпляра И5-ЮпVI с четырьмя установленными и пристрелянными (на земле и в воздухе) пулеметами и положенным оборудованием.</w:t>
      </w:r>
    </w:p>
    <w:p w14:paraId="3C38E4B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Представленный ВАО первый опытный экземпляр самолета с четырьмя пулеметами испытывался в НИИ с 27 сентября по 5 октября 1930 года и НИИ считает, что установка вооружения и оборудования недоработаны ………………. (6943, 143).</w:t>
      </w:r>
    </w:p>
    <w:p w14:paraId="6DABA7D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D5379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был готов макет АНТ-14 на 32 пассажира и его утвердили, начав постройку (346,52).</w:t>
      </w:r>
    </w:p>
    <w:p w14:paraId="365C1C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Быстро - да ЦКБ помогла взбодрить А.Н.Т.</w:t>
      </w:r>
    </w:p>
    <w:p w14:paraId="06C97E2D" w14:textId="77777777" w:rsidR="00537E5F" w:rsidRPr="00507A31" w:rsidRDefault="00537E5F" w:rsidP="00507A31">
      <w:pPr>
        <w:autoSpaceDE w:val="0"/>
        <w:autoSpaceDN w:val="0"/>
        <w:adjustRightInd w:val="0"/>
        <w:jc w:val="both"/>
        <w:rPr>
          <w:color w:val="000000" w:themeColor="text1"/>
          <w:sz w:val="16"/>
          <w:szCs w:val="16"/>
        </w:rPr>
      </w:pPr>
    </w:p>
    <w:p w14:paraId="7AFA43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 изготовили полноразмерный деревянный макет АНТ-14. После этого приступили к постройке опытного образна. Первый полет опытного образца АНТ-14 состоялся 14 августа 1931 г., второй имел место на следующий день. Машину в обоих случаях пилотировал М.М. Громов. При полетном весе 17 530 кг самолет имел максимальную скорость 236 км/ч и дальность порядка 1200 км. АНТ-14 отличался неплохой устойчивостью и управляемостью. Испытания прошли без всяких осложнений. Выявив возможность увеличения нагрузки, конструкторы проработали новый вариант компоновки салона на 36 пассажирских мест.</w:t>
      </w:r>
    </w:p>
    <w:p w14:paraId="6DF9F7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1932 г. Главное управление ГВФ пыталось заказать у промышленности 30 АНТ-14, но заявка не была принята ГУАП в связи с перегрузкой военными заказами. В серийное производство АНТ-14 так и не попал.</w:t>
      </w:r>
    </w:p>
    <w:p w14:paraId="299045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этот самолет рассматривался не только как гражданский. Собственно, чисто гражданских машин в нашей стране в тот период вообще не было. Каждый пассажирский самолет с самого начала проектировался с учетом возможного военного применения. Технические задания обязательно согласовывались с Управлением ВВС, а опытно-конструкторские работы по пассажирскому самолетостроению наполовину финансировались военными. Им гражданские самолеты нужны были как транспортные и вспомогательные бомбардировщики (12036).</w:t>
      </w:r>
    </w:p>
    <w:p w14:paraId="1ECD9A19" w14:textId="77777777" w:rsidR="00537E5F" w:rsidRPr="00507A31" w:rsidRDefault="00537E5F" w:rsidP="00507A31">
      <w:pPr>
        <w:autoSpaceDE w:val="0"/>
        <w:autoSpaceDN w:val="0"/>
        <w:adjustRightInd w:val="0"/>
        <w:jc w:val="both"/>
        <w:rPr>
          <w:color w:val="000000" w:themeColor="text1"/>
          <w:sz w:val="16"/>
          <w:szCs w:val="16"/>
        </w:rPr>
      </w:pPr>
    </w:p>
    <w:p w14:paraId="509D76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C октября 1930 по декабрь 1932 в 62 авиаэскадрильи ВВС Морских сил Б моря проводили работы по установке АНТ-4 на поплавки (99,163).</w:t>
      </w:r>
    </w:p>
    <w:p w14:paraId="43E7D3F0" w14:textId="77777777" w:rsidR="00537E5F" w:rsidRPr="00507A31" w:rsidRDefault="00537E5F" w:rsidP="00507A31">
      <w:pPr>
        <w:autoSpaceDE w:val="0"/>
        <w:autoSpaceDN w:val="0"/>
        <w:adjustRightInd w:val="0"/>
        <w:jc w:val="both"/>
        <w:rPr>
          <w:color w:val="000000" w:themeColor="text1"/>
          <w:sz w:val="16"/>
          <w:szCs w:val="16"/>
        </w:rPr>
      </w:pPr>
    </w:p>
    <w:p w14:paraId="2FBA6B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октябре 1930 г. изготовление И-8 завер</w:t>
      </w:r>
      <w:r w:rsidRPr="00507A31">
        <w:rPr>
          <w:color w:val="000000" w:themeColor="text1"/>
          <w:sz w:val="16"/>
          <w:szCs w:val="16"/>
        </w:rPr>
        <w:softHyphen/>
        <w:t>шилось (10729).</w:t>
      </w:r>
    </w:p>
    <w:p w14:paraId="1DB5AC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D970D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октября 1930 г. после ареста Н.Н.Поликар</w:t>
      </w:r>
      <w:r w:rsidRPr="00507A31">
        <w:rPr>
          <w:color w:val="000000" w:themeColor="text1"/>
          <w:sz w:val="16"/>
          <w:szCs w:val="16"/>
        </w:rPr>
        <w:softHyphen/>
        <w:t>пова работами по И-6 руково</w:t>
      </w:r>
      <w:r w:rsidRPr="00507A31">
        <w:rPr>
          <w:color w:val="000000" w:themeColor="text1"/>
          <w:sz w:val="16"/>
          <w:szCs w:val="16"/>
        </w:rPr>
        <w:softHyphen/>
        <w:t>дил С.А.Кочеригип, назначенный глав</w:t>
      </w:r>
      <w:r w:rsidRPr="00507A31">
        <w:rPr>
          <w:color w:val="000000" w:themeColor="text1"/>
          <w:sz w:val="16"/>
          <w:szCs w:val="16"/>
        </w:rPr>
        <w:softHyphen/>
        <w:t>ным конструктором авиазавода №25. И-6 представлял собой полутороплан смешанной конструкции. Фюзеляж — де</w:t>
      </w:r>
      <w:r w:rsidRPr="00507A31">
        <w:rPr>
          <w:color w:val="000000" w:themeColor="text1"/>
          <w:sz w:val="16"/>
          <w:szCs w:val="16"/>
        </w:rPr>
        <w:softHyphen/>
        <w:t>ревянный нолумонокок, выклеенный из шпона на специальной форме и затем со</w:t>
      </w:r>
      <w:r w:rsidRPr="00507A31">
        <w:rPr>
          <w:color w:val="000000" w:themeColor="text1"/>
          <w:sz w:val="16"/>
          <w:szCs w:val="16"/>
        </w:rPr>
        <w:softHyphen/>
        <w:t>бранный на подготовленном каркасе (все как у И-3). Двигатель закрыт дюралюми</w:t>
      </w:r>
      <w:r w:rsidRPr="00507A31">
        <w:rPr>
          <w:color w:val="000000" w:themeColor="text1"/>
          <w:sz w:val="16"/>
          <w:szCs w:val="16"/>
        </w:rPr>
        <w:softHyphen/>
        <w:t>ниевым капотом с. индивидуальными об</w:t>
      </w:r>
      <w:r w:rsidRPr="00507A31">
        <w:rPr>
          <w:color w:val="000000" w:themeColor="text1"/>
          <w:sz w:val="16"/>
          <w:szCs w:val="16"/>
        </w:rPr>
        <w:softHyphen/>
        <w:t>текателями каждого цилиндра. В отноше</w:t>
      </w:r>
      <w:r w:rsidRPr="00507A31">
        <w:rPr>
          <w:color w:val="000000" w:themeColor="text1"/>
          <w:sz w:val="16"/>
          <w:szCs w:val="16"/>
        </w:rPr>
        <w:softHyphen/>
        <w:t>нии такого решения техническая команда высказывалась отрицательно — очень сложная конструкция, которую приходи</w:t>
      </w:r>
      <w:r w:rsidRPr="00507A31">
        <w:rPr>
          <w:color w:val="000000" w:themeColor="text1"/>
          <w:sz w:val="16"/>
          <w:szCs w:val="16"/>
        </w:rPr>
        <w:softHyphen/>
        <w:t>лось долго снимать при обслуживании. Топливный бак на 210 кг бензина стоял в фюзеляже за двигателем. Деревянные двухлонжеронные крылья были обтяну</w:t>
      </w:r>
      <w:r w:rsidRPr="00507A31">
        <w:rPr>
          <w:color w:val="000000" w:themeColor="text1"/>
          <w:sz w:val="16"/>
          <w:szCs w:val="16"/>
        </w:rPr>
        <w:softHyphen/>
        <w:t>ты полотном. Центроплан дюралевый, обшит полотном. И-образные межкрыль</w:t>
      </w:r>
      <w:r w:rsidRPr="00507A31">
        <w:rPr>
          <w:color w:val="000000" w:themeColor="text1"/>
          <w:sz w:val="16"/>
          <w:szCs w:val="16"/>
        </w:rPr>
        <w:softHyphen/>
        <w:t>евые стойки дюралевые, расчалки лен</w:t>
      </w:r>
      <w:r w:rsidRPr="00507A31">
        <w:rPr>
          <w:color w:val="000000" w:themeColor="text1"/>
          <w:sz w:val="16"/>
          <w:szCs w:val="16"/>
        </w:rPr>
        <w:softHyphen/>
        <w:t>точные. Дюралевый каркас хвостового оперения обшивался полотном. Самолет И-6 (1-й экземпляр) оснастили двигате</w:t>
      </w:r>
      <w:r w:rsidRPr="00507A31">
        <w:rPr>
          <w:color w:val="000000" w:themeColor="text1"/>
          <w:sz w:val="16"/>
          <w:szCs w:val="16"/>
        </w:rPr>
        <w:softHyphen/>
        <w:t>лем Гном Рон «Юпитер»У1 мощностью 480 л.с. Вес пустого составил 1023 кг, по</w:t>
      </w:r>
      <w:r w:rsidRPr="00507A31">
        <w:rPr>
          <w:color w:val="000000" w:themeColor="text1"/>
          <w:sz w:val="16"/>
          <w:szCs w:val="16"/>
        </w:rPr>
        <w:softHyphen/>
        <w:t>летный вес — 1418 кг (10729).</w:t>
      </w:r>
    </w:p>
    <w:p w14:paraId="06FB19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A0CF0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 полеты на Р-5 с бомбами запретили. Дело в том, что завод так и не установил бобышки под бомбодержатели, и со временем от нагрузки расшатался набор крыла. Предложили использовать самолеты 1-й и 2-й серий только как разведчики, сняв бомбодержатели вообще. Но Алкснис, ставший уже начальником УВВС, воспротивился этому. Он не только запретил впредь принимать самолеты без усиления крыла, но и потребовал доработать все ранее выпущенные. 14 ноября приказали вскрыть на заводе уже готовые машины и установить бобышки (11936).</w:t>
      </w:r>
    </w:p>
    <w:p w14:paraId="0D620C4D" w14:textId="77777777" w:rsidR="00537E5F" w:rsidRPr="00507A31" w:rsidRDefault="00537E5F" w:rsidP="00507A31">
      <w:pPr>
        <w:autoSpaceDE w:val="0"/>
        <w:autoSpaceDN w:val="0"/>
        <w:adjustRightInd w:val="0"/>
        <w:jc w:val="both"/>
        <w:rPr>
          <w:color w:val="000000" w:themeColor="text1"/>
          <w:sz w:val="16"/>
          <w:szCs w:val="16"/>
        </w:rPr>
      </w:pPr>
    </w:p>
    <w:p w14:paraId="057E96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 полеты на Р-5 с бомбами запретили.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646D06F9" w14:textId="77777777" w:rsidR="00537E5F" w:rsidRPr="00507A31" w:rsidRDefault="00537E5F" w:rsidP="00507A31">
      <w:pPr>
        <w:autoSpaceDE w:val="0"/>
        <w:autoSpaceDN w:val="0"/>
        <w:adjustRightInd w:val="0"/>
        <w:jc w:val="both"/>
        <w:rPr>
          <w:color w:val="000000" w:themeColor="text1"/>
          <w:sz w:val="16"/>
          <w:szCs w:val="16"/>
        </w:rPr>
      </w:pPr>
    </w:p>
    <w:p w14:paraId="45B174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Впервые в мировой практике планеризма на планере СК-3 ("Красная звезда") конструкции СПК (см. Приложение 1), взлетевшем самостоятельно, выполнена "мертвая петля" (журн. "Осоавиахим". 1930. № 36) (10676).</w:t>
      </w:r>
    </w:p>
    <w:p w14:paraId="43E21BC0" w14:textId="77777777" w:rsidR="00537E5F" w:rsidRPr="00507A31" w:rsidRDefault="00537E5F" w:rsidP="00507A31">
      <w:pPr>
        <w:autoSpaceDE w:val="0"/>
        <w:autoSpaceDN w:val="0"/>
        <w:adjustRightInd w:val="0"/>
        <w:jc w:val="both"/>
        <w:rPr>
          <w:color w:val="000000" w:themeColor="text1"/>
          <w:sz w:val="16"/>
          <w:szCs w:val="16"/>
        </w:rPr>
      </w:pPr>
    </w:p>
    <w:p w14:paraId="544F68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года врид начальника ВВС Алкснис</w:t>
      </w:r>
    </w:p>
    <w:p w14:paraId="056F52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Доклад о состоянии опытного строительства УВВС на 1 октября 1930 года</w:t>
      </w:r>
    </w:p>
    <w:p w14:paraId="1AC62F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По опытному моторостроению:</w:t>
      </w:r>
    </w:p>
    <w:p w14:paraId="40089C8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М-32 (мощность 600/720 л.с. высотность 5000 м, вес 400 кг срок предъявления на гос. испытания утвержден Р3 СТО 1 января 1931 года), начал проектироваться заводом 24 в мае 1930 года. После частичного изготовления эскизной компановки завод по своей инициативе прекратил дальнейшие работы по этому мотору и перешел к модификации мотора М-19 на М-19а, определив мощность его 500 л.с. при весе 450 кг и высотность 5000 м со сроком предъявления на гос. испытания 1 мая 1931 года. Постановлением РВС от 1-2 октября 1930 года мотор М-19а включен в план опытного строительства с отнесением его к работам 1 очереди. На 1 октября 1930 года по этому мотору спроектированы новые блоки с 4-х клапанной головкой и мощный импеллер, причем как в проект блоков, так и импеллера вносятся следующие изменения: в клапанной головке блоков выхлоп делается не спаренный на 2 цилиндра, а на каждый цилиндр в отдельности и передача к импеллеру делается более упругой. Все остальные детали мотора М-19а остаются те же, что и на моторе М-19.</w:t>
      </w:r>
    </w:p>
    <w:p w14:paraId="2569E2D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М-38 (мощность 600/720 л.с., высотность 5000 м, вес 380 кг, срок предъявления на гос. испытания утвержден Р3 СТО 1 января 1931 года), начал проектироваться заводом 24 в мае 1930 года. Здесь также завод предусматривает создание переходного типа между М-15 и М-38 в виде мотора М-15а, определив мощность его 500 л.с. при весе 400 кг и высотности 4000 м со сроком предъявления на гос. испытания 1 мая 1931 года. Постановлением РВС от 1-2 октября 1930 года мотор М-15а включен в план опытного строительства с отнесением его к работам 1 очереди. На 1 октября 1930 года по этому мотору спроектирован новый импеллер, который частично переделывается. Все остальные детали мотора М-15а остаются те же, что на моторе М-15.</w:t>
      </w:r>
    </w:p>
    <w:p w14:paraId="6A2F953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М-35 (мощность 1250/1500 л.с., высотность 5000 м, вес 600 кг, срок предъявления на гос. испытания утвержден Р3 СТО 1 июня 1931 года). Над этим мотором ВАО совершенно не работало и включило в план опытного строительства взамен его мотор ФЭД 1000 л.с. при весе 50 кг и высотности 4000 м со сроком предъявления на гос. испытания 1 января 1931 года. Постановлением РВС от 1-2 октября 1930 года мотор ФЭД включен в план лпытного строительства. На 1 октября 1931 года мотор ФЭД был на заводских испытаниях, причем за весь пройденный этап заводских испытаний выявились следующие дефекты мотора:</w:t>
      </w:r>
    </w:p>
    <w:p w14:paraId="3E7B38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трещины и течь блоков;</w:t>
      </w:r>
    </w:p>
    <w:p w14:paraId="183E7B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чрезмерный расход масла;</w:t>
      </w:r>
    </w:p>
    <w:p w14:paraId="3022CF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поломки импеллеров;</w:t>
      </w:r>
    </w:p>
    <w:p w14:paraId="4279E2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трещины баббита в нижних головках шатунов;</w:t>
      </w:r>
    </w:p>
    <w:p w14:paraId="590084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 ненадежность шатунного сочленения.</w:t>
      </w:r>
    </w:p>
    <w:p w14:paraId="03DFBC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На основе указанных дефектов завод производит конструктивные переделки картера, импеллера и шатунного сочленения, в силу чего мотор не может быть признан конструктивно и производственно законченным.</w:t>
      </w:r>
    </w:p>
    <w:p w14:paraId="394064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Тем же постановлением РВС от 1-2 октября 1930 года проектирование и постройка мотора М-35 сняты с ВАО и возложены на ЦАГИ.</w:t>
      </w:r>
    </w:p>
    <w:p w14:paraId="766E866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М-34 (мощность 750/900 л.с., высотность 5000 м, вес 480 кг, срок предъявления на гос. испытания утвержден Р3 СТО 1 января 1931 года). Предварительный проект мотора был рассмотрен на специальном совещании при УВВС 15 января 1930 года, причем НАМИ было предложено окончательно доработать проект в духе указаний совещания. На указанном совещании был по согласованию с ВАО установлен порядок реализации мотора, по которому ВАО обязалось принимать его к постройке на завод 26. Однако далее начались длительные переговоры и переписка между ВАО и НАМИ по вопросу заключения договора, в результате чего было потеряно около 6 месяцев. Только в июне 1930 года под усиленным нажимом УВВС договор между ВАО и НАМИ быо оформлен. На 1 октября 1930 года по мотору М-34 выполнена следующая работа: изготовлены модели головки мотора, цилиндровой рубашки и обеих половин картера. Отлит опытный картер и цилиндровый блок, причем последний поступил в механическую обработку. Поковки коленчатых валов ожидаются в ближайшие дни. В механической обработке находятся также гильзы цилиндров; проводится технологическая разработка мотора и подготавливаются экспериментальные испытания блока М-34 на картере мотора Юнкерс Л-5. Темп работ по указанному мотору явно недостаточен.</w:t>
      </w:r>
    </w:p>
    <w:p w14:paraId="09266D5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М-19 вне плана Р3 СТО (мощность 525 л.с., высотность 2500 м, вес 475 кг, срок предъявления на гос. испытания 1 июня 1930 года).</w:t>
      </w:r>
    </w:p>
    <w:p w14:paraId="223C7E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 проектироваться заводом 24 в октябре 1928 года. Заводские испытания его начались в январе 1930 года. С этого времени идет устранение различных дефектов мотора, из числа которых заводом уже устранены следующие наиболее существенные дефекты: трещины рубашек блоков цилиндров, поломка коленчатых валов и др.). На 1 октября 1930 года наиболее существенными дефектами мотора остаются:</w:t>
      </w:r>
    </w:p>
    <w:p w14:paraId="05DCA8BA"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Трещины в клапанной головке цилиндра блока.</w:t>
      </w:r>
    </w:p>
    <w:p w14:paraId="7D41AE6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Поломки нагнетателя и привода к нему.</w:t>
      </w:r>
    </w:p>
    <w:p w14:paraId="5BCB8B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Необходимо отметить, что завод до сего времени не имеет специальной установки для испытания нагнетателей. Сложность решения вопроса о нагнетателе может служить причиной длительной задержки в доработке указанного мотора. К настоящему времени мотор еще не прошел длительных заводских испытаний и на 1 октября 1930 года является недоработанным для пуска в серийное производство.</w:t>
      </w:r>
    </w:p>
    <w:p w14:paraId="2AB9DD17"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М-15 вне плана Р3 СТО (мощность 450 л.с., высотность 3000 м, вес 410 кг, срок предъявления на гос. испытания 1 июня 1930 года).</w:t>
      </w:r>
    </w:p>
    <w:p w14:paraId="376377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 проектироваться заводом 24 в октябре 1926 года. Заводские испытания начал в июле 1928 года. За это время завод производил испытание и доработку мотора и добился устранения таких дефектов, как поломки коленчатого вала, мотор облегчен на 35 кг, улучшена конструкция головки цилиндра и др. На 1 октября 1930 года главнейшими дефектами мотора остаются:</w:t>
      </w:r>
    </w:p>
    <w:p w14:paraId="7DDEC4B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Ненадежность шатунного механизма (выплавление баббита нижней головки).</w:t>
      </w:r>
    </w:p>
    <w:p w14:paraId="662CBCF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Ненадежность нагнетателя (поломки турбинв и привода).</w:t>
      </w:r>
    </w:p>
    <w:p w14:paraId="5D5A94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Над нижней головкой шатуна завод до сих пор мало работал и только в последнее время развернул работы. В отношении нагнетателя дело обстоит также как у мотора М-19. До сего времени мотор не прошел длительных заводских испытаний. До устранения обоих указанных выше основных дефектов, мотор не может быть пущен в массовое (в сотнях экземпляров) производство.</w:t>
      </w:r>
    </w:p>
    <w:p w14:paraId="76F6DF8C"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М-26 (мощность 300 л.с., высотности нет, вес 300 кг, срок предъявления на гос. испытания 1 июня 1930 года).</w:t>
      </w:r>
    </w:p>
    <w:p w14:paraId="77EAFE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 проектироваться и строиться заводом 24 в ноябре 1928 года и поступил на заводские испытания еще в январе 1930 года. За время заводских испытаний выявился ряд дефектов: поломки коленчатых валов, чрезмерный расход масла, подсосы масла в турбинку, трещины в баббите нижней головки шатуна, поломки шестерни передачи к магнето и поломка турбины импеллера. На 1 октября 1930 года из указанных недостатков остаются:</w:t>
      </w:r>
    </w:p>
    <w:p w14:paraId="0D3E3C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поломки коленчатого вала;</w:t>
      </w:r>
    </w:p>
    <w:p w14:paraId="279ADA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чрезмерный расход масла.</w:t>
      </w:r>
    </w:p>
    <w:p w14:paraId="7AB51D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 устранения этих дефектов мотор не может быть пущен в серийное производство.</w:t>
      </w:r>
    </w:p>
    <w:p w14:paraId="11414D8C"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М-27 вне плана Р3 СТО (мощность 700 л.с., высотность 2000 м, вес 580 кг, срок предъявления на гос. испытания 1 января 1931 года). Начал проектироваться и строиться заводом 24 в ноябре 1929 года. Впервые на испытания мотор поставлен в сентябре 1930 года и на 1 октября 1930 года прошел приработку 3 часа удовлетворительно.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а следовательно будет работать в лучших тепловых условиях, весьма вероятно, что он будет доработан ранее других моторов заводов 24 и пройдет гос. испытания.</w:t>
      </w:r>
    </w:p>
    <w:p w14:paraId="1148AE8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М-29 вне плана (мощность 600 л.с.). Начал проектироваться заводом 24 в апреле 1929 года. В настоящее время основные детали мотора находятся в производстве. Мотор в план не включен, а завод все же продолжает работать над ним. Начало испытаний заводских предполагается – январь 1931 года.</w:t>
      </w:r>
    </w:p>
    <w:p w14:paraId="2C5C538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М-44 (мощность 2000-2500 л.с., высотность 5000 м, вес 900 кг, срок предъявления на гос. испытания 1 октября 1931 года). Уточняются техтребования и проводятся предварительные изыскания размерностей двигателя на основе экспериментальных работ по одноцилиндровому двигателю М-170.</w:t>
      </w:r>
    </w:p>
    <w:p w14:paraId="6CFC22E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М-42 (мощность 550 л.с., срок предъявления на гос. испытания 1 октября 1932 года). Проведено исследование для определения размерностей мотора. Подобран цикл и сделан тепловой расчет мотора и компрессоров. Рассчитаны турбины. Делается окончательная компановка мотора с производством расчета на прочность.</w:t>
      </w:r>
    </w:p>
    <w:p w14:paraId="1FD3C3B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М-43 (мощность 700/1000 л.с., высотность 4000 м, вес 320 кг, срок предъявления на гос. испытания 1 января 1932 года). По этому мотору никаких работ не ведется, ибо он должен явиться модернизацией мотора М-34, который пока даже в опытном экземпляре еще не вышел из производства. Работа над этим мотором отнесена ко второй очереди.</w:t>
      </w:r>
    </w:p>
    <w:p w14:paraId="1A09495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ЭН1 экспериментальный нефтяной (мощность 10 л.с., срок предъявления на гос. испытания 1 апреля 1931 года). Построен в октябре 1929 года и прошел в общей сложности до 150 часов экспериментальных испытаний. Максимальная мощность, которую удалось снять до его аварии равна 14 л.с. при 1500 об/мин. при 4-х тактном процессе. Мотор был переделан из керосинового двигателя и поступил на экспериментальные испытания с рядом старых деталей. На 1 октября 1930 года мотор находится в ремонте после аварии, происшедшей из-за поломки картера и требует изготовления нового картера, поршней, ряда форсунок и насосов для продолжения экспериментов.</w:t>
      </w:r>
    </w:p>
    <w:p w14:paraId="714F1EA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Мотор Мотор 0 Н9 нефтяной (мощность 200 л.с., вес 240 кг, срок предъявления на гос. испытания 1 июня 1931 года). Чертежи мотора выполнены, но подлежат окончательной проверке и утверждению</w:t>
      </w:r>
    </w:p>
    <w:p w14:paraId="03574E7A"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Винт с переменным шагом (срок предъявления на гос. испытания 1 июня 1930 года). Заводом 24 заканчивается в производстве втулка винта; производятся опытные работы по уплотнению масла; делается новая конструкция масляного насоса; подготавлявается установка для его испытаний. Завод 26 не в состоянии удовлетворительно выполнить роторы и шестерни компрессора Рута. Выполненные детали поступают на опытные испытания.</w:t>
      </w:r>
    </w:p>
    <w:p w14:paraId="476A4A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Опытное строительство самолетов.</w:t>
      </w:r>
    </w:p>
    <w:p w14:paraId="53AB9D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плану.</w:t>
      </w:r>
    </w:p>
    <w:p w14:paraId="79D831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1-я очередь</w:t>
      </w:r>
    </w:p>
    <w:p w14:paraId="75E43FE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ТБ4 4М35 – ЦАГИ. V=200 км/час/на 3000 м. R=1000 км. Н=5000-6000 м, сбрасываемый груз = 7000 кг, 6-8 пулеметов и 1 пушка.</w:t>
      </w:r>
    </w:p>
    <w:p w14:paraId="50745A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готовности 1 декабря 1931 года. Произведены предварительные подсчеты по определению основных размеров и веса, а также аэродинамический расчет под 4 мотора Ройс-Рольс «R» по 1250 л.с. Строится макет, который предложено закончить к 1 ноября 1930 года. Ведутся работы по выбору профиля крыла, по разработке конструкции передней части фюзеляжа, шасси и крыльев. Ведутся опыты по изготовлению специальных профилей и К-А труб большого диаметра.</w:t>
      </w:r>
    </w:p>
    <w:p w14:paraId="1ACA96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данным расчета ЦАГИ самолет с 4-мя моторами «К.К.» техническим требованиям не удовлетворяет, так как при радиусе действия в 1000 км может брать полезную нагрузку 3700 кг вместо 8820 кг. Вопрос с выбором моторов и размерности самолета выясняется.</w:t>
      </w:r>
    </w:p>
    <w:p w14:paraId="68F1E91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ТБ5-2ФЭД – ВАО (V=205 км/час у земли, R=600 км, 1500 кг бомб).</w:t>
      </w:r>
    </w:p>
    <w:p w14:paraId="2386FB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Срок готовности 1 мая 1931 года, раньше в плане не стоял. Строится макет и делается эскизный проект, ожидаются к 15 октября 1930 года. Моторы перестрахованы ВАО на Ройс-Рольс по 850 л.с.</w:t>
      </w:r>
    </w:p>
    <w:p w14:paraId="0C62C54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ДИ2 БМВVI Е=7,3 1 экз. Д2 строился и испытывался заводом 25 в течении 1,5 лет и был предъявлен в НИИ в июле 1930 года. При испытании в НИИ 4 августа 1930 года потерпел катастрофу по причине вибраций хвостового оперения.</w:t>
      </w:r>
    </w:p>
    <w:p w14:paraId="443749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экз. строит ЦКБ ВАО. Срок готовности 1 февраля 1931 года. V=279-273 км/час/3000 м, R=250-275 км, 4 пулемета t3000=5,07-6,37 мин. Самолет строится по техтребованиям к самолету Д2 БМВVI, измененным в части полезной нагрузки. Произведены аэродинамический расчет и эскизный проект. Ожидается предъявление макета к 8 октября 1930 года.</w:t>
      </w:r>
    </w:p>
    <w:p w14:paraId="181DC81A"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МИ3-2М34 – ЦАГИ. (V=300 км/час, R=1000 км, 4-6 пулеметов, 1 пушка, t5000=15-18 мин.). Срок – 1 мая 1932 года. Моторы 2 М-34. Работа не начата.</w:t>
      </w:r>
    </w:p>
    <w:p w14:paraId="49923D7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Р8-М27 – ВАО (V3000=245 км/час, R=650-750 км, 3 пулемета, t3000=10 мин.). Срок – 1 мая 1931 года. Работа начата. Делается эскизный проект. Не ясна бомбовая нагрузка самолета.</w:t>
      </w:r>
    </w:p>
    <w:p w14:paraId="0A4D355C"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Р8-М34 – ВАО (V3000=250 км/час, R=650-750 км, 3 пулемета, t2000=8-10 мин.). Срок – 1 октября 1931 года. Работа не начата.</w:t>
      </w:r>
    </w:p>
    <w:p w14:paraId="4F04BB3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МДР3-2М34 – ВАО (V3000=200 км/час, R=1000-1200 км, 4 пулемета, 1 пушка, 500 кг бомб). Срок – 1 августа 1931 года. Начато проектирование. По плану предполагается под 2хМ34, ВАО полагает, что с этими моторами требования не будут выполнены. Решается вопрос поставки моторов на опытный образец. Представление эскизного проекта ожидается 1 ноября 1930 года.</w:t>
      </w:r>
    </w:p>
    <w:p w14:paraId="038E76E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lastRenderedPageBreak/>
        <w:t>Р5 попл. М17 – ВАО. Данных нет. В плане не стоит. Срок представления эскизного проекта, заявленный ВАО – 1 ноября 1930 года. Необходимо включить в план первой очереди.</w:t>
      </w:r>
    </w:p>
    <w:p w14:paraId="0B7390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2-ая очередь</w:t>
      </w:r>
    </w:p>
    <w:p w14:paraId="6B7759CA"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ДИ4-М34 – ВАО (V5000=300-350 км/час, 4 пулемета t5000 10-12 мин.). На опытном образце предполагается мотор К-К. Срок 1 октября 1930 года. В плане не стоял. Проект группы французского инженера Лавиля. К представленному проекту предъявлен ряд требований, требующих изменения эскизного проекта.</w:t>
      </w:r>
    </w:p>
    <w:p w14:paraId="5CBC983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ДИ5-ФЭД – ВАО (V5000=270 км/час, 4 пулемета, 1 пушка, t3000 – 7,6 мин.). Срок 1 июня 1931 года. В план включен дополнительно. Работы не начаты.</w:t>
      </w:r>
    </w:p>
    <w:p w14:paraId="4A2742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ТШ1-2М34 – ЦАГИ (V1000=250 км/час, R=150 км, 4-6 пулеметов, 1 пушка, 800 кг бомб). Срок – 1 января 1932 года. В плане стоит условно, впредь до выявления тактической характеристики этого типа. Представлены варианты предварительных аэродинамических расчетов). Выясняется тактическое применение самолета.</w:t>
      </w:r>
    </w:p>
    <w:p w14:paraId="5F2A4E0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МТБ3 – ЦАГИ (V3000=200 км/час, R=1000 км, 4-6 пулеметов, 1 пушка, 3200-4000 кг бомб). Срок – 1 мая 1932 года. Самолет стоял в плане ВАО, который проработал несколько вариантов. ЦАГИ проектирование начинает. Предположены по плану моторы М-35. Число не установлено (общая мощность 5000-6000 л.с.).</w:t>
      </w:r>
    </w:p>
    <w:p w14:paraId="74FFD3EE"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МУ3-М11 – ВАО. Срок – 1 мая 1931 года. В системе подготовки морских летчиков самолета этого типа не требуется. В качестве необходимого переходного типа предполагалось использовать МБР-1, поэтому последний из внеплановых должен быть включен в план. ВАО начало проработку эскизного проекта МУ3.</w:t>
      </w:r>
    </w:p>
    <w:p w14:paraId="157241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Экспериментальные</w:t>
      </w:r>
    </w:p>
    <w:p w14:paraId="5B49B43C"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Р9-2М26 – ВАО (V3000=200 км/час, R=180-200 км, t3000 – 12,8 мин.). Срок 1 марта 1932 года. Работы не начаты.</w:t>
      </w:r>
    </w:p>
    <w:p w14:paraId="35943EDC"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ТШ2-М17 – ВАО (V0=200 км/час, t3000 – 11,6 мин., 8 пулеметов, броня). Срок 1 декабря 1931 года. В плане не стоял. Выпущен в воздух заводом № 39 9 октября 1930 года. Переделывается все управление самолета из-за больших давлений на ручку. Не ясна тактическая характеристика самолета.</w:t>
      </w:r>
    </w:p>
    <w:p w14:paraId="133C48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Второй опытный образец предложено строить с металлическим набором крыла.</w:t>
      </w:r>
    </w:p>
    <w:p w14:paraId="0AAF802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МДР2-2М17 – ЦАГИ (V3000=185 км/час, t3000 – 36 мин., 4 пулемета, потолок 4250 м). Срок 1 декабря 1930 года. 75% готовности. По указанию УВВС все установки вооружения предусмотрены. Макет утвержден. В срок вероятно готов будет.</w:t>
      </w:r>
    </w:p>
    <w:p w14:paraId="09D4368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МДР1-2М17 – ВАО (V3000=165 км/час, R=400 км, t3000 – 32 мин.). Срок 1 апреля 1931 года. Готовность 60%. Самолет из плана постройки образцов предполагаемых к вооружению переведен вопреки указаниям НТК УВВС в план экспериментальных. Работы по самолету велись медленным темпом. В том виде, как самолет предполагается к выпуску, системе вооружения не удовлетворяет, старым требованиям удовлетворяет.</w:t>
      </w:r>
    </w:p>
    <w:p w14:paraId="2D3BC0A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И12 – ЦАГИ. Срок готовности 1 июля 1931 года. По ориентировочным техтребованиям. Произведены аэродинамические расчеты и намечены 2 варианта:</w:t>
      </w:r>
    </w:p>
    <w:p w14:paraId="685A1BE2"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Одноместный с использованием самолета И4 (монопланы с разрезным крылом) и</w:t>
      </w:r>
    </w:p>
    <w:p w14:paraId="63EC91CE"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Двухместный под мотор Хорнет – 575 л.с. На самолете устанавливаются 2”, 3” пушки. Заканчиваются просчеты под мотор М29 и разработка эскизных проектов по двум вариантам.</w:t>
      </w:r>
    </w:p>
    <w:p w14:paraId="05A26A7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И11-М41 – ЦАГИ. Из электрона. Срок 1 ноября 1932 года. Самолет должен быть построен из электрона. Постройка</w:t>
      </w:r>
    </w:p>
    <w:p w14:paraId="42DB67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связана с помощью заграницы.</w:t>
      </w:r>
    </w:p>
    <w:p w14:paraId="761493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Модернизация</w:t>
      </w:r>
    </w:p>
    <w:p w14:paraId="0E736CF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И5 – модификация. М15 – ВАО. По расчету данные самолета несколько снизятся против И5-ЮVI 480 л.с. Срок IV квартал 1931 года. В плане не стоял. Заводские испытания самолета И5 с мотором М15 прекращено из-за дефектов мотора (подшипника). Ведутся работы над мотором.</w:t>
      </w:r>
    </w:p>
    <w:p w14:paraId="7D27C38C"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Р5-М19 – ВАО. Расчетные данные: (V3000=210 км/час, R=450 км, t3000 – 13 мин., 3 пулемета (как легк. бомб. 400 кг бомб). Срок по сообщению ВАО 1 декабря 1930 года. В плане не стоял. ВАО намечает использование моторов М-19 на самолете Р5. Завод № 39 произвел предварительный аэродинамический расчет самолета Р5 с мотором М-19. Проверенный по инициативе НТК предварительный аэродинамический расчет проделанный на заводе № 39 показал, что что самолет даст данные примерно те же, что и Р5-М17.</w:t>
      </w:r>
    </w:p>
    <w:p w14:paraId="7985DC2C"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Р5-М34 – ВАО. Срок I квартал 1932 года. В плане не стоял. Работы начинаются.</w:t>
      </w:r>
    </w:p>
    <w:p w14:paraId="1F5C902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ТБ4 – ЦАГИ. Срок II квартал 1932 года. Предполагается по ситеме вооружения под мотор М35 или другой собственного производства. Вопрос с моторами не выяснен. Производятся предварительные расчеты по нескольким вариантам.</w:t>
      </w:r>
    </w:p>
    <w:p w14:paraId="3D13E2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того в план работ по модернизации необходимо включить:</w:t>
      </w:r>
    </w:p>
    <w:p w14:paraId="3EE4D4F0"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ТБ1 попл.-2М17. Срок не установлен. Заказано фирме «Шорт» 7 пар поплавков. ЦАГИ дается задание приступить к срочной проработке этого типа.</w:t>
      </w:r>
    </w:p>
    <w:p w14:paraId="6BC9DA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Имеющиеся поплавки ЮГ1 приспособлены быть не могут.</w:t>
      </w:r>
    </w:p>
    <w:p w14:paraId="39DE7521"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Р5-М17 – ВАО. Улучшение самолета как типа: разрезное крыло, тормозные колеса, мотор БМВVI 7,3, установка ручного стартера. Срок установки разрезных крыльев 1 августа 1931 года., на остальные работы сроки не определены.</w:t>
      </w:r>
    </w:p>
    <w:p w14:paraId="26403DD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И4-ЮVI 480 – ЦАГИ. Опыт постановки разрезных крыльев. Срок 1 октября 1931 года. Производится разработка разрезного крыла в ЭАО ЦАГИ. АГОС ЦАГИ к конструированию еще не приступил (6998, 9-14).</w:t>
      </w:r>
    </w:p>
    <w:p w14:paraId="09914C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III. Вне плана</w:t>
      </w:r>
    </w:p>
    <w:p w14:paraId="2632A9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Поставлены нижеследующие самолеты, сроки их выполнения оставлены по прежнему плану.</w:t>
      </w:r>
    </w:p>
    <w:p w14:paraId="0091B3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ТБ2-2М17 – ВАО. Срок 15 августа 1930 года. Готовность 98%. Поступает на испытания в НИИ, задержан устранением дефектов после заводских испытаний. По-видимому техтребованиям удовлетворять не будет. (Перетяжелена на 954 кг против расчетного веса;; неудовлетворительная схема бензопитания).</w:t>
      </w:r>
    </w:p>
    <w:p w14:paraId="709411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ТБ-3 4 Кертис-Конкверор по 600 – ЦАГИ. Срок РСТО для предъявления к гос. испытаниям 1 июля 1930 года. По постановлению комиссии Уншлихта срок отодвинут на 1 октября 1930 года. Постройка самолета в основном закончена. Предполагается к выпуску в пробный полет к 25 октября 1930 года. Летные данные с нормальной нагрузкой по аэродинамическому расчету: V=2000=217 км/час; t2000=8,7; Нпр.=5150 м. Радиус действия – 750 км, сбрасываемый груз 2000 км (4000 км с перегрузкой) техническим требованиям удовлетворяет.</w:t>
      </w:r>
    </w:p>
    <w:p w14:paraId="7B827F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 Р6-2БМВVI Е=7,3 – ЦАГИ. Срок готовности 1 июля 1929 года. Предъявлен на испытание в НИИ первый раз 11 марта 1930 года. Предъявлен после переделок и улучшений второй раз 21 июля 1930 года.</w:t>
      </w:r>
    </w:p>
    <w:p w14:paraId="5874B5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закончено, исключая тактическую оценку самолета к 1 октября 1930 года. Ожидается окончательное заключение по самолету к 15-20 октября 1930 года. Летные данные после переделок техническим требованиям и расчетным данным удовлетворяют. V=3000=244 км/час; t3000=8,09; Н пр. = 7090 м. Полезная нагрузка – 700 кг. МИ№-2М34 – ЦАГИ. Срок готовности 1 мая 1932 года. V3000=300 км/час; R=1000, 4-6 пулеметов, 1 пушка; t5000=15-18’. Работы не начаты.</w:t>
      </w:r>
    </w:p>
    <w:p w14:paraId="10677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Р7 БМВVI Е=6. Срок готовности 28 января 1930 года. Предъявлен первый раз 11 марта 1930 года. Самолет готов для вторичного предъявления, которое задерживается из-за плохой погоды. По заводским испытаниям управляемость элеронами улучшена, рули высоты требуют дальнейших улучшений из-за больших давлений на рукоятку.</w:t>
      </w:r>
    </w:p>
    <w:p w14:paraId="6CCD01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И6-ЮVI 480 ВАО. Срок 15 августа 1930 года. Готовность к 1 октября 1930 года 95%.. Заводские испытания закончены. Поступила на гос. испытания НИИ 5 октября 1930 года. Задержалась из-за реорганизации завода и монтажа вооружения.</w:t>
      </w:r>
    </w:p>
    <w:p w14:paraId="0FB4A2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И8 Кертис-Конкверор – 600 л.с. – ЦАГИ. Срок предъявления на гос. испытания 1 октября 1930 года. Постройка самолета выполнена на 95%. Выпуск самолета на испытание задерживается несвоевременным получением заграничного винта. Последний отправлен из Америки 25 сентября 1930 года. Ожидается в Москве 15-20 октября 1930 года.</w:t>
      </w:r>
    </w:p>
    <w:p w14:paraId="1FC05F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данным аэродинамических расчетов ЦАГИ самолет техническим требованиям не удовлетворяет, при установленном на нем невысотном моторе с воздушным охлаждением.</w:t>
      </w:r>
    </w:p>
    <w:p w14:paraId="3222D9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 Л-А (А-1) – М11 – ВАО. Срок 1 сентября 1930 года. Готовность 50%. По проекту инженера Шаврова. Предполагалось использовать Совторгфлотом на судах Азовского моря для разведки ледохода.</w:t>
      </w:r>
    </w:p>
    <w:p w14:paraId="7DF9D8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33. МТБ1-2БМВVI 7,3 – ВАО. Срок 1 ноября 1930 года. Готовность 80%. Самолет строится МОС (группа Ришара), производится сборка самолета. Надежд на выполнение техтребований мало. В срок вероятно выйдет.</w:t>
      </w:r>
    </w:p>
    <w:p w14:paraId="74F24D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34. МБР1-БМВVI 7,3 – ВАО. Готовность 75%. С плана снят – вариант с фанерной лодкой ЦКБ полагает выполнить в общесоюзном порядке. Самолет необходим для УСУ в качестве учебного переходного. Следует поставить в план во вторую очередь.</w:t>
      </w:r>
    </w:p>
    <w:p w14:paraId="0EA58C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 МБР2-БМВVI 7,3 – ВАО. Срок 1 мая 1931 года. Начата проектированием. С плана снята, передана вне плана МОС (группа Ришара). Предъявленный макет не принят. Секция задала: 1. две коробки крыльев для одной и той же лодки (одну для разведчика ближнего, вторую для катапультного самолета), 2. лодку для серии деревянную, а не металлическую как предполагала группа.</w:t>
      </w:r>
    </w:p>
    <w:p w14:paraId="0001F1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 ХБ1. Предполагается приспособить один из гражданских самолетов. Возможно приспособление ТБ1, о чем поднят вопрос перед начальником штаба РККА.</w:t>
      </w:r>
    </w:p>
    <w:p w14:paraId="658A5B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37. Срок 1 апреля 1931 года. Предположено использовать У2-М11.</w:t>
      </w:r>
    </w:p>
    <w:p w14:paraId="07F21D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Выводы</w:t>
      </w:r>
    </w:p>
    <w:p w14:paraId="6E5709E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Сухопутное самолетостроение по сравнению со странами Европы и САСШ могло бы подравняться под уровень этих стран теперь же, если бы имелись моторы соответствующих качеств, металлические винты и винты с меняющимся шагом. Имеющаяся металлическая база, конструкторские силы и опыт – вполне достаточны для того, чтобы дать основные типы самолетов.</w:t>
      </w:r>
    </w:p>
    <w:p w14:paraId="1C242E6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Гидросамолетостроение целиком находится в зависимости от иностранного рынка. Небольшое количество своих образцов техническим требованиям не удовлетворяет.. Основные тормозы: малый опыт в прошлом, отсутствие кадров конструкторов и слабая работа ЦАГИ по оборудованию и пуску в ход канала.</w:t>
      </w:r>
    </w:p>
    <w:p w14:paraId="3315CB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Недостаточно со стороны ВАО уделено внимания гидросамолетостроению и теперь, как-то например, самолет МБР1 тип интересный для ВВС как переходный, а для промышленности как ступень в развитии гидросамолетостроения с плана снимается, а ставится ненужный МУ-3.</w:t>
      </w:r>
    </w:p>
    <w:p w14:paraId="663E775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 вопросах штопора, постановка дела вооружения, динамической устойчивости, деревянного самолетостроения и изучения лодок гидросамолетов, ЦАГИ не удовлетворяет потребностей ВВС.</w:t>
      </w:r>
    </w:p>
    <w:p w14:paraId="0574BEFD"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Неблагополучно обстояло и еще обстоит с воросом об устранении недостатков при пуске опытных самолетов в серию. Опытный самолет, выпущенный в воздух буквально бросается конструкторским бюро и никто не хочет этим заниматься.</w:t>
      </w:r>
    </w:p>
    <w:p w14:paraId="6ACFB1D8"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Дефектом опытного строительства являются отсутствие такой конструкторской группы, которая могла бы проводить эксперименты, касающиеся внедрения в наше опытное самолетостроение последних достижений западной аватехники, в частности установки разрезных крыльев, установки моторов с удлиненными валами, применения щелевых капотов, применения тормозных колес и т.д.</w:t>
      </w:r>
    </w:p>
    <w:p w14:paraId="3CE6A5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Опытные заводы, связанные жестким сроком выпуска образцов лишены возможности экспериментировать, в результате можно с определенностью констатировать, что упомянутые выше достижения авиатехники, могущие значительно повысить летные данные самолетов, являются у нас весьма мало использованными.</w:t>
      </w:r>
    </w:p>
    <w:p w14:paraId="776EC193"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Необходимо изменить порядок проведения испытания самолетов, с одной стороны объединив госудаоственные и заводские испытания, а с другой обязав опытные заводы не загружать НИИ УВВС самолетами, требующими доводки их.</w:t>
      </w:r>
    </w:p>
    <w:p w14:paraId="6F051B8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Тормозом при проведении в срок работ опытного строительства послужила также и организационная слабость ВАО и его конструкторских бюро.</w:t>
      </w:r>
    </w:p>
    <w:p w14:paraId="31FE4F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 в настоящее время работы иногда проводятся в обход ВАО непосредственно с заводами, т. е. без руководящих указаний аппарата ВАО.</w:t>
      </w:r>
    </w:p>
    <w:p w14:paraId="04476C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Лиц персонально ответственных за внедрение опытных образцов в производство, опытные заводы ВАО (также и ЦАГИ) не имеют.</w:t>
      </w:r>
    </w:p>
    <w:p w14:paraId="431ED5B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Несомненно многократные смены планов (за год трижды) вносили бесплановость в работу. Это показывает, что планы составлялись без достаточно реального предвидения.</w:t>
      </w:r>
    </w:p>
    <w:p w14:paraId="10FACC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Включение в план таких самолетов, как ТШ2, отчасти ТБ6 в тот момент, когда эти самолеты уже находились фактически в постройке, лишало УВВС возможности нормально подойти к вопросам контроля рпытного строительства, так как ни технических требований, ни эскизный проект через УВВС не проводились и УВВС ставилось перед фактом наличия уже определенной готовой продукции. Последнее, хотя и в меньшей степени, относится также и к самолетам ЦАГИ (И8, ТБ3), которые хотя и строились по техническим требованиям, составленным УВВС, но эскизные проекты по ним были представлены, уже в то время, когда внести сколь нибудь существенных изменений в самолеты было нельзя (6998, 9-16).</w:t>
      </w:r>
    </w:p>
    <w:p w14:paraId="00930BC4" w14:textId="77777777" w:rsidR="00537E5F" w:rsidRPr="00507A31" w:rsidRDefault="00537E5F" w:rsidP="00507A31">
      <w:pPr>
        <w:autoSpaceDE w:val="0"/>
        <w:autoSpaceDN w:val="0"/>
        <w:adjustRightInd w:val="0"/>
        <w:jc w:val="both"/>
        <w:rPr>
          <w:color w:val="000000" w:themeColor="text1"/>
          <w:sz w:val="16"/>
          <w:szCs w:val="16"/>
        </w:rPr>
      </w:pPr>
    </w:p>
    <w:p w14:paraId="243715E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октябре 1930 была подготовлена Сводка о состоянии опытного самолетостроения в ЦАГИ на 1 октября 1930 года</w:t>
      </w:r>
    </w:p>
    <w:p w14:paraId="704F0AA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Р6</w:t>
      </w:r>
    </w:p>
    <w:p w14:paraId="235819D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21 июля 1930 года находится на испытании в НИИ. Испытания заканчиваются.</w:t>
      </w:r>
    </w:p>
    <w:p w14:paraId="05E54B9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Р7</w:t>
      </w:r>
    </w:p>
    <w:p w14:paraId="4892AA7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23 сентября 1930 года ЦАГИ производило последний полет с обрезанными по длине элеронами. Самолет предполагалось передать в НИИ 27 сентября 1930 года, но не успели закончить отладку вооружения.</w:t>
      </w:r>
    </w:p>
    <w:p w14:paraId="3DA173D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30 сентября 1930 года самолет был готов для передачи, но не был передан, но не был передан так как не было достаточной высоты для испытания на штопор.</w:t>
      </w:r>
    </w:p>
    <w:p w14:paraId="75E4C65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передан НИИ 2 октября 1930 года.</w:t>
      </w:r>
    </w:p>
    <w:p w14:paraId="6499879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И-4 (моноплан).</w:t>
      </w:r>
    </w:p>
    <w:p w14:paraId="70F293A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Расчеты по самолету не ведутся.</w:t>
      </w:r>
    </w:p>
    <w:p w14:paraId="2518310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И-8</w:t>
      </w:r>
    </w:p>
    <w:p w14:paraId="2C1EE4C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 предполагалось выпустить самолет 15 сентября 1930 года. Затем намечено было окончить 1 октября 1930 года, но и на это число остались незавершенными работы ……………….</w:t>
      </w:r>
    </w:p>
    <w:p w14:paraId="383BF92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ТБ-3</w:t>
      </w:r>
    </w:p>
    <w:p w14:paraId="6FD1B92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предположено было закончить 1 октября 1930 года, но и на это число остались незавершенными работы ……………….</w:t>
      </w:r>
    </w:p>
    <w:p w14:paraId="5BB946F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Предположительно самолет может быть в воздухе после 1 ноября 1930 года.</w:t>
      </w:r>
    </w:p>
    <w:p w14:paraId="6DE543B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МДР-2</w:t>
      </w:r>
    </w:p>
    <w:p w14:paraId="0F64456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 65%. Срок предъявления к гос. испытаниям – 1 декабря 1930 года. К этому сроку ЦАГИ закончит самолет.</w:t>
      </w:r>
    </w:p>
    <w:p w14:paraId="14C6A28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ТШ-1</w:t>
      </w:r>
    </w:p>
    <w:p w14:paraId="235624C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к гос. испытаниям определен 1 августа 1932 года. Срок перенесен до выяснения техтребований на машину. 5 июля 1930 года АГОС представил в НТК эскизный проект и несколько вариантов аэродинамических расчетов.</w:t>
      </w:r>
    </w:p>
    <w:p w14:paraId="3ACCE8C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ТБ-IV</w:t>
      </w:r>
    </w:p>
    <w:p w14:paraId="620B5DB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к гос. испытаниям определен 1 октября 1931 года. Необходимо в срочном порядке выяснить вопрос о реальном моторе.</w:t>
      </w:r>
    </w:p>
    <w:p w14:paraId="6916B7C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Строится макет передней части фюзеляжа, хвостовой части фюзеляжа и крыла. Предположено закончить 1 ноября 1930 года.</w:t>
      </w:r>
    </w:p>
    <w:p w14:paraId="2796258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И-12</w:t>
      </w:r>
    </w:p>
    <w:p w14:paraId="4629FDF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к гос. испытаниям 1 июля 1931 года. 10 октября 1931 года ЦАГИ представит НТК эскизный проект двухместного истребителя с пушкой Курчевского 75 мм и аэродинамические расчеты с мотором Хорнет 575 л.с. и с мотором М-34. С М-34 летные данные получаются выше.</w:t>
      </w:r>
    </w:p>
    <w:p w14:paraId="5400AB5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Для одноместного намечается И-4 моноплан с разрезным крылом. Пушки будут подвешены под крылом.</w:t>
      </w:r>
    </w:p>
    <w:p w14:paraId="38BB2FA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1-ВГ</w:t>
      </w:r>
    </w:p>
    <w:p w14:paraId="0020193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16 сентября 1930 года во время испытаний на аэродроме произошла авария. После ремонта испытания состоятся 10 октября 1930 года (6925, 62-69).</w:t>
      </w:r>
    </w:p>
    <w:p w14:paraId="6A7372D8"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A09C6F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октябре 1930 была подготовлена Сводка о состоянии опытного самолетостроения в ЦАГИ на 17 октября 1930 года</w:t>
      </w:r>
    </w:p>
    <w:p w14:paraId="1422318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Р6</w:t>
      </w:r>
    </w:p>
    <w:p w14:paraId="7ED27B9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21 июля 1930 года находится на испытании в НИИ. 16 октября 1930 года закончены дополнительные испытания и составляется сводка.</w:t>
      </w:r>
    </w:p>
    <w:p w14:paraId="6BDCBD4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Р7</w:t>
      </w:r>
    </w:p>
    <w:p w14:paraId="0E5724A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Со 2 октября 1930 года находится на испытании в НИИ.</w:t>
      </w:r>
    </w:p>
    <w:p w14:paraId="4025702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ТБ-3</w:t>
      </w:r>
    </w:p>
    <w:p w14:paraId="774D954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октября 1930 года самолет взвешен в одном положении – в линии полета. ……………..</w:t>
      </w:r>
    </w:p>
    <w:p w14:paraId="7665060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октября 1930 года начата разборка и 13 октября 1930 года приступлено к перевозке на аэродром. 17 октября 1930 года перевозка закончена. 18 октября 1930 года начнется сборка, которая будет продолжать по предположению ЦАГИ 7 дней.</w:t>
      </w:r>
    </w:p>
    <w:p w14:paraId="1CA54C2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Необходимо ускорить дачу заключения и указания о пулеметных башнях.</w:t>
      </w:r>
    </w:p>
    <w:p w14:paraId="0C66652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И-8</w:t>
      </w:r>
    </w:p>
    <w:p w14:paraId="4F42865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ЦАГИ считает, что самолет закончен постройкой 6 октября 1930 года.</w:t>
      </w:r>
    </w:p>
    <w:p w14:paraId="4628B24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Задержка в испытании самолета из-за винта.</w:t>
      </w:r>
    </w:p>
    <w:p w14:paraId="224B9B7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МДР-2</w:t>
      </w:r>
    </w:p>
    <w:p w14:paraId="4997157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Готовность 68%. Срок предъявления на гос. испытания согласно постановления РВСР от 1-2 октября 1930 года – 1 декабря 1930 года.</w:t>
      </w:r>
    </w:p>
    <w:p w14:paraId="44205BA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ТБ-4</w:t>
      </w:r>
    </w:p>
    <w:p w14:paraId="2868666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согласно постановления РВСР - 1 октября 1930 года. Макет фюзеляжа и центральной части крыла заканчивается 1 ноября 1930 года. До сих пор не решен вопрос о реальном моторе.</w:t>
      </w:r>
    </w:p>
    <w:p w14:paraId="482CCC9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ТШ-1</w:t>
      </w:r>
    </w:p>
    <w:p w14:paraId="79B0A00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согласно постановления РВСР - 1 января 1932 года, условно до выяснения требований к машине. 5 июля 1930 года АГОС представил эскизный проект и 10 вариантов аэродинамических расчетов.</w:t>
      </w:r>
    </w:p>
    <w:p w14:paraId="07F8261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И-4 (моноплан).</w:t>
      </w:r>
    </w:p>
    <w:p w14:paraId="55D998B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мая 1930 года работы на самолете не производятся.</w:t>
      </w:r>
    </w:p>
    <w:p w14:paraId="17C4A15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ДИ-3</w:t>
      </w:r>
    </w:p>
    <w:p w14:paraId="6D6D451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Согласно постановления РВСР самолет снят с производства.</w:t>
      </w:r>
    </w:p>
    <w:p w14:paraId="13FF703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И-12</w:t>
      </w:r>
    </w:p>
    <w:p w14:paraId="498011E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согласно постановления РВСР - 1 июля 1931 года. Разработан эскизный проект и произведены аэродинамические расчеты с мотором ХОРНЕТ – 575 л.с.</w:t>
      </w:r>
    </w:p>
    <w:p w14:paraId="513B4EF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М-34 летные данные лучше, но маневренность хуже. Произведен аэродинамический расчет с мотором М-29. Эскизный проект представлен в НТК 20 октября 1930 года. Причина задержки – дополнительный аэродинамический расчет с М-29 и разработка нового варианта одноместного истребителя.</w:t>
      </w:r>
    </w:p>
    <w:p w14:paraId="6B512C3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ВГ-1</w:t>
      </w:r>
    </w:p>
    <w:p w14:paraId="241A866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ночь с 15 на 16 октября 1930 года производились испытания машины на Аэродроме, после ликвидации поломок 16 сентября 1930 года (6925, 72-77).</w:t>
      </w:r>
    </w:p>
    <w:p w14:paraId="28A24B3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52C999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октябре 1930 был подготовлен Отчет о состоянии морского опытного строительства на заводе № 39 по наблюдению в период с 24 сентября 1930 года по 1 октября 1930 года</w:t>
      </w:r>
    </w:p>
    <w:p w14:paraId="4B0CB4B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МДР-3</w:t>
      </w:r>
    </w:p>
    <w:p w14:paraId="417E4E6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 1 сентября 1930 года завод представит макет и эскизный проект для утверждения. В настоящее время завод ведет изыскания с несколькими вариантами моторов. По-видимому завод остановится на варианте с 4-мя Юпитерами-VI.</w:t>
      </w:r>
    </w:p>
    <w:p w14:paraId="2593023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 1 октября 1930 года расчетный Отдел отправляет все материалы и модель лодки в ЦАГИ для получения данных протасок.</w:t>
      </w:r>
    </w:p>
    <w:p w14:paraId="13C9ADD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Р-5 на поплавках</w:t>
      </w:r>
    </w:p>
    <w:p w14:paraId="3B1DBB4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Ведутся расчеты. Завод представит в эскизном проекте 2 типа поплавка: металлический и деревянный.</w:t>
      </w:r>
    </w:p>
    <w:p w14:paraId="7EA5C3B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МДР-1</w:t>
      </w:r>
    </w:p>
    <w:p w14:paraId="3853380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настоящее время никаких производственных работ над самолет не ведется. Макет самолета будет представлен к 1 октября 1930 года. Самолет будет представлен на гос. испытания 1 апреля 1931 года.</w:t>
      </w:r>
    </w:p>
    <w:p w14:paraId="6B991C8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самолету МР-5</w:t>
      </w:r>
    </w:p>
    <w:p w14:paraId="6BE7C1B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Общий процент готовности самолета – 70-75%.</w:t>
      </w:r>
    </w:p>
    <w:p w14:paraId="34FFEB6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Второй вариант фанерной лодки будет достраиваться в общественном порядке (если будет получено разрешение ГВАО). Уже составлен список желающих принять участие в достройке лодки и конструировании коробки и оперения (6925, 70-71).</w:t>
      </w:r>
    </w:p>
    <w:p w14:paraId="58F627A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65D1B9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октябре 1930 была подготовлена Сводка по опытному строительству завода № 39 по состоянию на 1 октября 1930 года</w:t>
      </w:r>
    </w:p>
    <w:p w14:paraId="6CF7965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«ЛШ1» с мотором БМВ Е=7,3</w:t>
      </w:r>
    </w:p>
    <w:p w14:paraId="714E790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легкий штурмовик – начат постройкой инициативной ЦКБ внеплановым порядком. Намеченный срок выпуска на заводские испытания к 1 октября 1930 года. Состояние его позволяет думать, что к 1 октября 1930 года готов не будет и очевидно задержится еще на несколько дней.</w:t>
      </w:r>
    </w:p>
    <w:p w14:paraId="6A85755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Характеристика самолета расчетная</w:t>
      </w:r>
    </w:p>
    <w:p w14:paraId="1CF3007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Скорость у земли – 230 км/час</w:t>
      </w:r>
    </w:p>
    <w:p w14:paraId="3166A79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Скорость на 3000 м – 222 км/час</w:t>
      </w:r>
    </w:p>
    <w:p w14:paraId="4A38CA3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Скорость у земли – 200 км/час</w:t>
      </w:r>
    </w:p>
    <w:p w14:paraId="7FB353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Скорость посадочная – 101,5 км/час</w:t>
      </w:r>
    </w:p>
    <w:p w14:paraId="1D90E78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Потолок практический – 5860</w:t>
      </w:r>
    </w:p>
    <w:p w14:paraId="5B0F056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Наибольшая дальность полета на 0,8 Vmax – 385 км</w:t>
      </w:r>
    </w:p>
    <w:p w14:paraId="6A50093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Характерными особенностями самолета является: броня, вес ее 520 кг, забронированы летчик, летный мотор, радиатор.</w:t>
      </w:r>
    </w:p>
    <w:p w14:paraId="1B7DEB3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Тип самолета биплан. Конструкция смешанная. Крылья деревянные. Фюзеляж металлический. Стабилизатор деревянный (6925).</w:t>
      </w:r>
    </w:p>
    <w:p w14:paraId="48B5FA0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«И6» с мотором ЮП VI – 3-й экземпляр</w:t>
      </w:r>
    </w:p>
    <w:p w14:paraId="0845658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в состоянии полной готовности. Пристрелка в тире завода произведена, результаты пристрелки вполне удовлетворительные. Подлежит сдаче в НИИ на гос. испытания 1 октября 1930 года.</w:t>
      </w:r>
    </w:p>
    <w:p w14:paraId="6954284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«И5» с мотором ЮП VI</w:t>
      </w:r>
    </w:p>
    <w:p w14:paraId="5C9B30B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Заложенная серия самолетов в количестве 9 штук находится в стадии следующей готовности. Самолеты должны быть готовы к 1 октября 1930 года, но будут готовы только три самолета, из коих один был в полете, а второй будет отправлен в полет 29 сентября 1930 года.</w:t>
      </w:r>
    </w:p>
    <w:p w14:paraId="48A9E54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готовности головного серийного самолета – 10 октября 1930 года, а опытного “красного” “И5” – 20 октября 1930 года.</w:t>
      </w:r>
    </w:p>
    <w:p w14:paraId="38CCCE9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“И5” с мотором “2М15” выбыл из строя из-за аварии мотора.</w:t>
      </w:r>
    </w:p>
    <w:p w14:paraId="241E913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“Р5” с мотором М19</w:t>
      </w:r>
    </w:p>
    <w:p w14:paraId="43B57EF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Произведенные расчеты “Р5” с мотором отечественной продукции М19 дали неблагополучные результаты в аэродинамическом отношении. Самолет на завод еще не получен для установки мотора. Срок сдачи на испытание в НИИ 1 января 1931 года.</w:t>
      </w:r>
    </w:p>
    <w:p w14:paraId="24D5767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“ТБII» с двумя моторами БМВ</w:t>
      </w:r>
    </w:p>
    <w:p w14:paraId="2C2F9DA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находится в состоянии доводки. Срок сдачи на совместные испытания в НИИ – 5 октября 1930 года (6925).</w:t>
      </w:r>
    </w:p>
    <w:p w14:paraId="39C026B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«ДИ2»</w:t>
      </w:r>
    </w:p>
    <w:p w14:paraId="1B9A68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ЦКБ получено задание на постройку самолета двухместного истребителя типа «Д2». В настоящее время идет разработка эскизного проекта, строится макет. Который будет предъявлен вместе с эскизным проектом 15 октября 1930 года (6925, 60-61).</w:t>
      </w:r>
    </w:p>
    <w:p w14:paraId="0D9DCE9F" w14:textId="77777777" w:rsidR="00537E5F" w:rsidRPr="00507A31" w:rsidRDefault="00537E5F" w:rsidP="00507A31">
      <w:pPr>
        <w:autoSpaceDE w:val="0"/>
        <w:autoSpaceDN w:val="0"/>
        <w:adjustRightInd w:val="0"/>
        <w:jc w:val="both"/>
        <w:rPr>
          <w:color w:val="000000" w:themeColor="text1"/>
          <w:sz w:val="16"/>
          <w:szCs w:val="16"/>
        </w:rPr>
      </w:pPr>
    </w:p>
    <w:p w14:paraId="7A0C50C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 октябрь 1930 года мотор М-19 ставился на заводские испытания 4 раза причем ни разу не прошел удовлетворительно. Обнаруженные дефекты сводятся к следующим: течь клапанной головки блоков, чрезмерный износ пальцев боковых шатунов их втулок и поршневых пальцев, поломка обоймы заднего шарикоподшипника нагнетателя, трещины баббита и поломка передачи к импеллеру (Наблюдающий инженер Войтов) (6998).</w:t>
      </w:r>
    </w:p>
    <w:p w14:paraId="4584944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Ко времени последних испытаний в этом месяце остался основной дефект – ненадежность передачи к импеллеру и ее непродолжительная работа, не превышающая 10 часов. Несмотря на указанный крупный дефект завод 24 предъявил мотор на гос. испытания, которые должны были начаться 1 ноября 1930 года, но вследствии</w:t>
      </w:r>
    </w:p>
    <w:p w14:paraId="0A3A20E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27 октября 1930 на последних заводских испытаниях произошла авария (6998).</w:t>
      </w:r>
    </w:p>
    <w:p w14:paraId="730DB42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FC451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начались испытания опытного блока будущего М-34 (9028).</w:t>
      </w:r>
    </w:p>
    <w:p w14:paraId="596DB015" w14:textId="77777777" w:rsidR="00537E5F" w:rsidRPr="00507A31" w:rsidRDefault="00537E5F" w:rsidP="00507A31">
      <w:pPr>
        <w:autoSpaceDE w:val="0"/>
        <w:autoSpaceDN w:val="0"/>
        <w:adjustRightInd w:val="0"/>
        <w:jc w:val="both"/>
        <w:rPr>
          <w:color w:val="000000" w:themeColor="text1"/>
          <w:sz w:val="16"/>
          <w:szCs w:val="16"/>
        </w:rPr>
      </w:pPr>
    </w:p>
    <w:p w14:paraId="6008F9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октябре 1930 г. начались испытания опытного блока М-34 мотора. В период с 1 мая по 1 августа 1931 г. была проведена обкатка и пред</w:t>
      </w:r>
      <w:r w:rsidRPr="00507A31">
        <w:rPr>
          <w:color w:val="000000" w:themeColor="text1"/>
          <w:sz w:val="16"/>
          <w:szCs w:val="16"/>
        </w:rPr>
        <w:softHyphen/>
        <w:t>варительное испытание «полномасштабного» мотора. С 2 августа по 7 ноября М-34 успешно прошел 100-часовые госиспытания и в нача</w:t>
      </w:r>
      <w:r w:rsidRPr="00507A31">
        <w:rPr>
          <w:color w:val="000000" w:themeColor="text1"/>
          <w:sz w:val="16"/>
          <w:szCs w:val="16"/>
        </w:rPr>
        <w:softHyphen/>
        <w:t>ле 1932 г. был передан в серийное производство на завод № 24 (Москва). Разработка мощного авиамотора, ставшего первым отече</w:t>
      </w:r>
      <w:r w:rsidRPr="00507A31">
        <w:rPr>
          <w:color w:val="000000" w:themeColor="text1"/>
          <w:sz w:val="16"/>
          <w:szCs w:val="16"/>
        </w:rPr>
        <w:softHyphen/>
        <w:t>ственным серийным, совпала с созданием и становлением Централь</w:t>
      </w:r>
      <w:r w:rsidRPr="00507A31">
        <w:rPr>
          <w:color w:val="000000" w:themeColor="text1"/>
          <w:sz w:val="16"/>
          <w:szCs w:val="16"/>
        </w:rPr>
        <w:softHyphen/>
        <w:t>ного института авиационного моторостроения (ЦИАМ), куда Микулин был назначен главным конструктором. М-34 обладал вы</w:t>
      </w:r>
      <w:r w:rsidRPr="00507A31">
        <w:rPr>
          <w:color w:val="000000" w:themeColor="text1"/>
          <w:sz w:val="16"/>
          <w:szCs w:val="16"/>
        </w:rPr>
        <w:softHyphen/>
        <w:t>дающимися для своего времени техническими данными и превосхо</w:t>
      </w:r>
      <w:r w:rsidRPr="00507A31">
        <w:rPr>
          <w:color w:val="000000" w:themeColor="text1"/>
          <w:sz w:val="16"/>
          <w:szCs w:val="16"/>
        </w:rPr>
        <w:softHyphen/>
        <w:t>дил лучшие зарубежные образцы. Его номинальная мощность составила 750 л. с., а взлетная — 850 л. с. при сухой массе 535 кг. На</w:t>
      </w:r>
      <w:r w:rsidRPr="00507A31">
        <w:rPr>
          <w:color w:val="000000" w:themeColor="text1"/>
          <w:sz w:val="16"/>
          <w:szCs w:val="16"/>
        </w:rPr>
        <w:softHyphen/>
        <w:t>ша страна получила мощный мотор, являвшийся выдающимся достижени</w:t>
      </w:r>
      <w:r w:rsidRPr="00507A31">
        <w:rPr>
          <w:color w:val="000000" w:themeColor="text1"/>
          <w:sz w:val="16"/>
          <w:szCs w:val="16"/>
        </w:rPr>
        <w:softHyphen/>
        <w:t>ем мирового моторостроения. В конструкции М-34 имелся целый ряд нововведений. Одним из них явля</w:t>
      </w:r>
      <w:r w:rsidRPr="00507A31">
        <w:rPr>
          <w:color w:val="000000" w:themeColor="text1"/>
          <w:sz w:val="16"/>
          <w:szCs w:val="16"/>
        </w:rPr>
        <w:softHyphen/>
        <w:t>лась силовая схема блока, так называе</w:t>
      </w:r>
      <w:r w:rsidRPr="00507A31">
        <w:rPr>
          <w:color w:val="000000" w:themeColor="text1"/>
          <w:sz w:val="16"/>
          <w:szCs w:val="16"/>
        </w:rPr>
        <w:softHyphen/>
        <w:t>мая схема «сжатой рубашки и свободной гильзы&gt;&gt;, которая обеспечи</w:t>
      </w:r>
      <w:r w:rsidRPr="00507A31">
        <w:rPr>
          <w:color w:val="000000" w:themeColor="text1"/>
          <w:sz w:val="16"/>
          <w:szCs w:val="16"/>
        </w:rPr>
        <w:softHyphen/>
        <w:t>ла исключительно высокую жесткость системы и позволила в дальнейшем значительно форсировать мотор. Ци</w:t>
      </w:r>
      <w:r w:rsidRPr="00507A31">
        <w:rPr>
          <w:color w:val="000000" w:themeColor="text1"/>
          <w:sz w:val="16"/>
          <w:szCs w:val="16"/>
        </w:rPr>
        <w:softHyphen/>
        <w:t>линдровый блок, включающий шесть цилиндров одного ряда, состоит из от</w:t>
      </w:r>
      <w:r w:rsidRPr="00507A31">
        <w:rPr>
          <w:color w:val="000000" w:themeColor="text1"/>
          <w:sz w:val="16"/>
          <w:szCs w:val="16"/>
        </w:rPr>
        <w:softHyphen/>
        <w:t>дельной головки, отдельной рубашки, выполненных из алюминиевого сплаизготовить буквально с «белка») (с кальки) первые двигатели. После 38 часов заводских испытаний моторы предъявили на стендовые го</w:t>
      </w:r>
      <w:r w:rsidRPr="00507A31">
        <w:rPr>
          <w:color w:val="000000" w:themeColor="text1"/>
          <w:sz w:val="16"/>
          <w:szCs w:val="16"/>
        </w:rPr>
        <w:softHyphen/>
        <w:t>сударственные испытания, которые успешно завершились в ноябре 1931 г. Конечно, многие узлы и детали потребовали доводки. Этот самый тяжелый период в создании любого мотора лег на плечи заво</w:t>
      </w:r>
      <w:r w:rsidRPr="00507A31">
        <w:rPr>
          <w:color w:val="000000" w:themeColor="text1"/>
          <w:sz w:val="16"/>
          <w:szCs w:val="16"/>
        </w:rPr>
        <w:softHyphen/>
        <w:t>да № 26. Именно он дал путевку в жизнь уникальному мотору М-34. Первые М-34 проходили испытания с импортным карбюратором, однако в ЦИАМе конструкторы К.А. Стариков и А.М. Добротвор-ский разработали свой, отечественный, с которым в 1932 г. двигатель был предъявлен на повторные государственные испытания. В октя</w:t>
      </w:r>
      <w:r w:rsidRPr="00507A31">
        <w:rPr>
          <w:color w:val="000000" w:themeColor="text1"/>
          <w:sz w:val="16"/>
          <w:szCs w:val="16"/>
        </w:rPr>
        <w:softHyphen/>
        <w:t>бре 1933 г. самолет ТБ-3 с мотором М-34 прошел летные госиспыта</w:t>
      </w:r>
      <w:r w:rsidRPr="00507A31">
        <w:rPr>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507A31">
        <w:rPr>
          <w:color w:val="000000" w:themeColor="text1"/>
          <w:sz w:val="16"/>
          <w:szCs w:val="16"/>
        </w:rPr>
        <w:softHyphen/>
        <w:t>ваны на выпуск моторов М-17). Тогда же, в конце 1931 г., было решено назначить Марьямова ди</w:t>
      </w:r>
      <w:r w:rsidRPr="00507A31">
        <w:rPr>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507A31">
        <w:rPr>
          <w:color w:val="000000" w:themeColor="text1"/>
          <w:sz w:val="16"/>
          <w:szCs w:val="16"/>
        </w:rPr>
        <w:softHyphen/>
        <w:t>ти напротив — застава с биржей извозчиков. А дальше за заводом тя</w:t>
      </w:r>
      <w:r w:rsidRPr="00507A31">
        <w:rPr>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507A31">
        <w:rPr>
          <w:color w:val="000000" w:themeColor="text1"/>
          <w:sz w:val="16"/>
          <w:szCs w:val="16"/>
        </w:rPr>
        <w:softHyphen/>
        <w:t>ренная реконструкция. На стройке многие тысячи людей работали в три смены. Одновре</w:t>
      </w:r>
      <w:r w:rsidRPr="00507A31">
        <w:rPr>
          <w:color w:val="000000" w:themeColor="text1"/>
          <w:sz w:val="16"/>
          <w:szCs w:val="16"/>
        </w:rPr>
        <w:softHyphen/>
        <w:t>менно строились три корпуса, в том числе корпус механических це</w:t>
      </w:r>
      <w:r w:rsidRPr="00507A31">
        <w:rPr>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507A31">
        <w:rPr>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5358CE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10797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октябре 1930 г. выходит правительственное решение о создании в Воронеже авиационного завода № 16. С этого момента начинается история предприятия, внесшего значительный вклад в развитие отечественного авиационного двигателестроения. В январе 1931 г. в Москве подписывается Соглашение между Военно-строительным Управлением РККА и Всесоюзным объединением авиационной промышленности о передаче для постройки завода земельного участка площадью 71 га, расположенного на территории бывшего завода «Взрыватель». Новый завод планировалось использовать для ремонта самолетов и двигателей. Первым директором </w:t>
      </w:r>
      <w:r w:rsidRPr="00507A31">
        <w:rPr>
          <w:color w:val="000000" w:themeColor="text1"/>
          <w:sz w:val="16"/>
          <w:szCs w:val="16"/>
        </w:rPr>
        <w:lastRenderedPageBreak/>
        <w:t>назначается Степан Поликарпович Галкин. Подготовка кадров проходила на московских заводах. В октябре 1931 г. завод реконструируется под строительство самолетов, а в 1932 г. начинается выпуск серии штурмовиков ТШ-2 конструкции Кочеригина С.А.</w:t>
      </w:r>
    </w:p>
    <w:p w14:paraId="6B49A4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ТШ-2 представлял собой биплан смешанной конструкции с усиленным бронированием. Его носовая часть выполнялась в виде бронекоробки, в которой размешались двигатель водяного охлаждения М-17, водо- и маслорадиаторы, бензобаки, кабины летчика и стрелка. В 1932 г. завод собрал пять самолетов ТШ-2, и еще пять находились в производстве. Однако испытания показали, что самолет обладает низкими летно-техническими данными, максимальная скорость самолета у земли не превышала 215 км/час. Поэтому дальнейшее строительство самолетов было прекращено, а завод переводился на серийное производство авиационного оборудования.</w:t>
      </w:r>
    </w:p>
    <w:p w14:paraId="0329D3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Таким образом, с 1931 по 1932 гг. завод три раза менял производственные программы и основной профиль. Наконец, в феврале 1934 г. завод реконструируется под производство моторов воздушного охлаждения М-11, становится моторостроительным и остается таковым до настоящего времени (12049).</w:t>
      </w:r>
    </w:p>
    <w:p w14:paraId="7694CCA2" w14:textId="77777777" w:rsidR="00537E5F" w:rsidRPr="00507A31" w:rsidRDefault="00537E5F" w:rsidP="00507A31">
      <w:pPr>
        <w:autoSpaceDE w:val="0"/>
        <w:autoSpaceDN w:val="0"/>
        <w:adjustRightInd w:val="0"/>
        <w:jc w:val="both"/>
        <w:rPr>
          <w:color w:val="000000" w:themeColor="text1"/>
          <w:sz w:val="16"/>
          <w:szCs w:val="16"/>
        </w:rPr>
      </w:pPr>
    </w:p>
    <w:p w14:paraId="457B5F89" w14:textId="77777777" w:rsidR="00E0447F" w:rsidRPr="00507A31" w:rsidRDefault="00E0447F" w:rsidP="00507A31">
      <w:pPr>
        <w:jc w:val="both"/>
        <w:rPr>
          <w:color w:val="000000" w:themeColor="text1"/>
          <w:sz w:val="16"/>
          <w:szCs w:val="16"/>
        </w:rPr>
      </w:pPr>
      <w:r w:rsidRPr="00507A31">
        <w:rPr>
          <w:color w:val="000000" w:themeColor="text1"/>
          <w:sz w:val="16"/>
          <w:szCs w:val="16"/>
        </w:rPr>
        <w:t>В октябре 1930 года новый механический цех «Отдела №4» завода «Мастяжарт», которому тоже присвоили номер 4, приступил к работе. На механическом участке были установлены 16 станков отечественного производства и 2 новых, закупленных за границей. Весь токарный парк станков приводится в движение от одного электродвигателя мощностью 100 киловатт через общую трансмиссию, установленную под потолком цеха. На втором этаже корпуса был размещен слесарный участок. Тут были установле- ны четыре слесарных верстака с тисками и два малых токарных станка типа «Кергер». На площадке лестницы второго этажа был организован сварочный пост для сварки отдельных элементов корпусов авиабомб. Здесь же на втором этаже в конце слесарного участка за стеклянной перегородкой разместилась цеховая бухгалтерия, где работал бухгалтер, два счетовода, нормировщик и табельщица. Начальником опытного цеха был назначен инженер Губарев, занимавшийся ранее в одном из цеховых отделов подготовкой производства. Его заместителем в конце 1931 года был назначен К. Ф. Носов, ранее работавший начальником 12-го цеха завода. В середине 1932 года после откомандирования Губарева на другое производство работу опытного цеха возглавил К. Ф. Носов, квалифицированный производственник, хорошо знавший производство корпусов авиабомб. При организации опытного цеха было предусмотрено его дальнейшее расширение за счет расположенных за ним фруктовых садов и частных деревянных домов. В 1931 году началось строительство нового двухэтажного здания каркаснозасыпного типа. Строителей на заводе было мало, поэтому пришлось строить здание хозяйственным способом с привлечением в воскресные дни рабочих и конструкторов не только 4-го отдела, но и других подразделений завода. Руководил этой работой опытный хозяйственник старой выучки Малинин. Работал он на строительстве с присущей ему требовательностью и аккуратностью, что позволило ввести новое здание в конце 1932 – начале 1933 года. Окончание строительства было праздником. Торжественно перерезали красную ленточку, которая была прикреплена у входа. Площади отдела и цеха увеличились теперь почти втрое. На первом этаже был организован слесарно-сборочный цех и отделение для сварки изделий, а на второй этаж переселились конструкторы и технологи. Но на работу проходили по-прежнему через территорию завода. Проходная находилась на Ткацкой улице, а от Вельяминовской улицы корпус был отделен частными домиками и садами при них (15794).</w:t>
      </w:r>
    </w:p>
    <w:p w14:paraId="290CDEEA" w14:textId="77777777" w:rsidR="00E0447F" w:rsidRPr="00507A31" w:rsidRDefault="00E0447F" w:rsidP="00507A31">
      <w:pPr>
        <w:jc w:val="both"/>
        <w:rPr>
          <w:color w:val="000000" w:themeColor="text1"/>
          <w:sz w:val="16"/>
          <w:szCs w:val="16"/>
        </w:rPr>
      </w:pPr>
    </w:p>
    <w:p w14:paraId="6DD0902C" w14:textId="77777777" w:rsidR="00BF5D4A" w:rsidRPr="00507A31" w:rsidRDefault="00BF5D4A" w:rsidP="00507A31">
      <w:pPr>
        <w:jc w:val="both"/>
        <w:rPr>
          <w:color w:val="000000" w:themeColor="text1"/>
          <w:sz w:val="16"/>
          <w:szCs w:val="16"/>
        </w:rPr>
      </w:pPr>
      <w:r w:rsidRPr="00507A31">
        <w:rPr>
          <w:color w:val="000000" w:themeColor="text1"/>
          <w:sz w:val="16"/>
          <w:szCs w:val="16"/>
        </w:rPr>
        <w:t>В октябре 1930 г. ОГПУ обратилось с просьбой в СТО выделить сред</w:t>
      </w:r>
      <w:r w:rsidRPr="00507A31">
        <w:rPr>
          <w:color w:val="000000" w:themeColor="text1"/>
          <w:sz w:val="16"/>
          <w:szCs w:val="16"/>
        </w:rPr>
        <w:softHyphen/>
        <w:t>ства на закупку 12 итальянских летающих лодок «Савойя» СМ-62 в разведы</w:t>
      </w:r>
      <w:r w:rsidRPr="00507A31">
        <w:rPr>
          <w:color w:val="000000" w:themeColor="text1"/>
          <w:sz w:val="16"/>
          <w:szCs w:val="16"/>
        </w:rPr>
        <w:softHyphen/>
        <w:t>вательном варианте. Но, не имея кадров собственных авиационных специали</w:t>
      </w:r>
      <w:r w:rsidRPr="00507A31">
        <w:rPr>
          <w:color w:val="000000" w:themeColor="text1"/>
          <w:sz w:val="16"/>
          <w:szCs w:val="16"/>
        </w:rPr>
        <w:softHyphen/>
        <w:t>стов, пограничники пытались возложить процесс надзора за выполнением за</w:t>
      </w:r>
      <w:r w:rsidRPr="00507A31">
        <w:rPr>
          <w:color w:val="000000" w:themeColor="text1"/>
          <w:sz w:val="16"/>
          <w:szCs w:val="16"/>
        </w:rPr>
        <w:softHyphen/>
        <w:t>каза на «Добролет». Последовал отказ. Пришлось начинать с самого начала: вводить в штаты Управления пограничной охраны ОГПУ авиационных спе</w:t>
      </w:r>
      <w:r w:rsidRPr="00507A31">
        <w:rPr>
          <w:color w:val="000000" w:themeColor="text1"/>
          <w:sz w:val="16"/>
          <w:szCs w:val="16"/>
        </w:rPr>
        <w:softHyphen/>
        <w:t>циалистов и формировать собственные авиационные структуры. В конечном итоге для усиления охраны Камчатки, ОГПУ добилось реше</w:t>
      </w:r>
      <w:r w:rsidRPr="00507A31">
        <w:rPr>
          <w:color w:val="000000" w:themeColor="text1"/>
          <w:sz w:val="16"/>
          <w:szCs w:val="16"/>
        </w:rPr>
        <w:softHyphen/>
        <w:t>ния СТО о передаче в его ведение в феврале 1934 г. 8-й разведывательной эс</w:t>
      </w:r>
      <w:r w:rsidRPr="00507A31">
        <w:rPr>
          <w:color w:val="000000" w:themeColor="text1"/>
          <w:sz w:val="16"/>
          <w:szCs w:val="16"/>
        </w:rPr>
        <w:softHyphen/>
        <w:t>кадрильи Морских сил Дальнего Востока, включающей 11 самолетов «Са</w:t>
      </w:r>
      <w:r w:rsidRPr="00507A31">
        <w:rPr>
          <w:color w:val="000000" w:themeColor="text1"/>
          <w:sz w:val="16"/>
          <w:szCs w:val="16"/>
        </w:rPr>
        <w:softHyphen/>
        <w:t>войя» С-55, С-62 бис и МР-1 (поплавковый вариант самолета Р-1). Эта эскад</w:t>
      </w:r>
      <w:r w:rsidRPr="00507A31">
        <w:rPr>
          <w:color w:val="000000" w:themeColor="text1"/>
          <w:sz w:val="16"/>
          <w:szCs w:val="16"/>
        </w:rPr>
        <w:softHyphen/>
        <w:t>рилья была перебазирована из Севастополя сначала во Владивосток на гид</w:t>
      </w:r>
      <w:r w:rsidRPr="00507A31">
        <w:rPr>
          <w:color w:val="000000" w:themeColor="text1"/>
          <w:sz w:val="16"/>
          <w:szCs w:val="16"/>
        </w:rPr>
        <w:softHyphen/>
        <w:t>роаэродром ст. Океанская, а затем перелетела на Камчатку в Усть-Большерецк. В дальнейшем из нее сформировали 2-ю морскую эскадрилью ОГПУ, а затем переформировали из нее несколько отдельных пограничных авиаот</w:t>
      </w:r>
      <w:r w:rsidRPr="00507A31">
        <w:rPr>
          <w:color w:val="000000" w:themeColor="text1"/>
          <w:sz w:val="16"/>
          <w:szCs w:val="16"/>
        </w:rPr>
        <w:softHyphen/>
        <w:t>рядов, пополнив их звеньями отечественных гидросамолетов Ш-2: 11-й авиа</w:t>
      </w:r>
      <w:r w:rsidRPr="00507A31">
        <w:rPr>
          <w:color w:val="000000" w:themeColor="text1"/>
          <w:sz w:val="16"/>
          <w:szCs w:val="16"/>
        </w:rPr>
        <w:softHyphen/>
        <w:t>отряд во Владивостоке, 12-й — на Сахалине, 13-й — в Хабаровске. Граждан</w:t>
      </w:r>
      <w:r w:rsidRPr="00507A31">
        <w:rPr>
          <w:color w:val="000000" w:themeColor="text1"/>
          <w:sz w:val="16"/>
          <w:szCs w:val="16"/>
        </w:rPr>
        <w:softHyphen/>
        <w:t>ский авиаотряд на отечественных самолетах У-2 и Р-5 прибыл на Камчатку только глубокой осенью 1934 г. и стал периодически осуществлять транспорт</w:t>
      </w:r>
      <w:r w:rsidRPr="00507A31">
        <w:rPr>
          <w:color w:val="000000" w:themeColor="text1"/>
          <w:sz w:val="16"/>
          <w:szCs w:val="16"/>
        </w:rPr>
        <w:softHyphen/>
        <w:t>ные перевозки в интересах пограничной охраны (Каминский М.Н. Своими ру</w:t>
      </w:r>
      <w:r w:rsidRPr="00507A31">
        <w:rPr>
          <w:color w:val="000000" w:themeColor="text1"/>
          <w:sz w:val="16"/>
          <w:szCs w:val="16"/>
        </w:rPr>
        <w:softHyphen/>
        <w:t>ками. М., 1977. С. 33) (12299).</w:t>
      </w:r>
    </w:p>
    <w:p w14:paraId="7537C7AA" w14:textId="77777777" w:rsidR="00BF5D4A" w:rsidRPr="00507A31" w:rsidRDefault="00BF5D4A" w:rsidP="00507A31">
      <w:pPr>
        <w:jc w:val="both"/>
        <w:rPr>
          <w:color w:val="000000" w:themeColor="text1"/>
          <w:sz w:val="16"/>
          <w:szCs w:val="16"/>
        </w:rPr>
      </w:pPr>
    </w:p>
    <w:p w14:paraId="79924B12" w14:textId="77777777" w:rsidR="00B678C9" w:rsidRPr="00507A31" w:rsidRDefault="00B678C9" w:rsidP="00507A31">
      <w:pPr>
        <w:jc w:val="both"/>
        <w:rPr>
          <w:color w:val="0070C0"/>
          <w:sz w:val="16"/>
          <w:szCs w:val="16"/>
        </w:rPr>
      </w:pPr>
      <w:r w:rsidRPr="00507A31">
        <w:rPr>
          <w:color w:val="0070C0"/>
          <w:sz w:val="16"/>
          <w:szCs w:val="16"/>
          <w:lang w:bidi="ru-RU"/>
        </w:rPr>
        <w:t>В ок</w:t>
      </w:r>
      <w:r w:rsidRPr="00507A31">
        <w:rPr>
          <w:color w:val="0070C0"/>
          <w:sz w:val="16"/>
          <w:szCs w:val="16"/>
          <w:lang w:bidi="ru-RU"/>
        </w:rPr>
        <w:softHyphen/>
        <w:t>тябре 1930 года было организовано Всесоюзное объединение Гражданского воздушного флота (ВО ГВФ), на которое в числе прочего возложили опытное строитель</w:t>
      </w:r>
      <w:r w:rsidRPr="00507A31">
        <w:rPr>
          <w:color w:val="0070C0"/>
          <w:sz w:val="16"/>
          <w:szCs w:val="16"/>
          <w:lang w:bidi="ru-RU"/>
        </w:rPr>
        <w:softHyphen/>
        <w:t>ство всех летательных аппаратов, их испытание и внедре</w:t>
      </w:r>
      <w:r w:rsidRPr="00507A31">
        <w:rPr>
          <w:color w:val="0070C0"/>
          <w:sz w:val="16"/>
          <w:szCs w:val="16"/>
          <w:lang w:bidi="ru-RU"/>
        </w:rPr>
        <w:softHyphen/>
        <w:t>ние в эксплуатацию на воздушных линиях. Кроме того, в том же месяце был образован Научно-исследовательский</w:t>
      </w:r>
      <w:r w:rsidRPr="00507A31">
        <w:rPr>
          <w:color w:val="0070C0"/>
          <w:sz w:val="16"/>
          <w:szCs w:val="16"/>
        </w:rPr>
        <w:t xml:space="preserve"> </w:t>
      </w:r>
      <w:r w:rsidRPr="00507A31">
        <w:rPr>
          <w:color w:val="0070C0"/>
          <w:sz w:val="16"/>
          <w:szCs w:val="16"/>
          <w:lang w:bidi="ru-RU"/>
        </w:rPr>
        <w:t>институт гражданского воздушного флота (НИИ ГВФ), ко</w:t>
      </w:r>
      <w:r w:rsidRPr="00507A31">
        <w:rPr>
          <w:color w:val="0070C0"/>
          <w:sz w:val="16"/>
          <w:szCs w:val="16"/>
          <w:lang w:bidi="ru-RU"/>
        </w:rPr>
        <w:softHyphen/>
        <w:t>торый официально начал функционировать с января 1931 года. Вот именно в этом институте, на базе мастерских «Добролета» продолжила действовать небольшая группы Путилова по стальному самолетостроению. В ноябре 1930 г. ООС переехал из ВВА в помещение бывших ремонтных мастерских «Добролета». Здесь образовалось КБ числен</w:t>
      </w:r>
      <w:r w:rsidRPr="00507A31">
        <w:rPr>
          <w:color w:val="0070C0"/>
          <w:sz w:val="16"/>
          <w:szCs w:val="16"/>
          <w:lang w:bidi="ru-RU"/>
        </w:rPr>
        <w:softHyphen/>
        <w:t>ностью около 30 человек. Начальниками бригад были: П. И. Эберзин, Н. Г. Нуров, И. Ф. Мохов, Б. К. Мальцев, И. В. Остославский и другие, по технологии сварки рабо</w:t>
      </w:r>
      <w:r w:rsidRPr="00507A31">
        <w:rPr>
          <w:color w:val="0070C0"/>
          <w:sz w:val="16"/>
          <w:szCs w:val="16"/>
          <w:lang w:bidi="ru-RU"/>
        </w:rPr>
        <w:softHyphen/>
        <w:t>тали П. Н. Львов, А. П. Кононов, С. М. Попов (20365).</w:t>
      </w:r>
    </w:p>
    <w:p w14:paraId="7C56EB85" w14:textId="77777777" w:rsidR="00B678C9" w:rsidRPr="00507A31" w:rsidRDefault="00B678C9" w:rsidP="00507A31">
      <w:pPr>
        <w:jc w:val="both"/>
        <w:rPr>
          <w:color w:val="0070C0"/>
          <w:sz w:val="16"/>
          <w:szCs w:val="16"/>
        </w:rPr>
      </w:pPr>
    </w:p>
    <w:p w14:paraId="77F3C34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D98A5F5" w14:textId="77777777" w:rsidR="00537E5F" w:rsidRPr="00507A31" w:rsidRDefault="00537E5F" w:rsidP="00507A31">
      <w:pPr>
        <w:autoSpaceDE w:val="0"/>
        <w:autoSpaceDN w:val="0"/>
        <w:adjustRightInd w:val="0"/>
        <w:jc w:val="both"/>
        <w:rPr>
          <w:iCs/>
          <w:color w:val="000000" w:themeColor="text1"/>
          <w:sz w:val="16"/>
          <w:szCs w:val="16"/>
        </w:rPr>
      </w:pPr>
    </w:p>
    <w:p w14:paraId="44239660" w14:textId="77777777" w:rsidR="007B789F" w:rsidRPr="00507A31" w:rsidRDefault="007B789F" w:rsidP="00507A31">
      <w:pPr>
        <w:jc w:val="both"/>
        <w:rPr>
          <w:color w:val="000000" w:themeColor="text1"/>
          <w:sz w:val="16"/>
          <w:szCs w:val="16"/>
        </w:rPr>
      </w:pPr>
      <w:r w:rsidRPr="00507A31">
        <w:rPr>
          <w:color w:val="000000" w:themeColor="text1"/>
          <w:sz w:val="16"/>
          <w:szCs w:val="16"/>
        </w:rPr>
        <w:t>В октябре 1930 г. в докладе СО Госплана на имя Сталина от</w:t>
      </w:r>
      <w:r w:rsidRPr="00507A31">
        <w:rPr>
          <w:color w:val="000000" w:themeColor="text1"/>
          <w:sz w:val="16"/>
          <w:szCs w:val="16"/>
        </w:rPr>
        <w:softHyphen/>
        <w:t>мечалось, что задания по плану С-30 не обеспечиваются про</w:t>
      </w:r>
      <w:r w:rsidRPr="00507A31">
        <w:rPr>
          <w:color w:val="000000" w:themeColor="text1"/>
          <w:sz w:val="16"/>
          <w:szCs w:val="16"/>
        </w:rPr>
        <w:softHyphen/>
        <w:t>мышленностью, что ВСНХ не выполнил намеченных установок. “Между тем, - говорилось в документе, - явно надвигающаяся опасность войны требует от партии и рабочего класса решитель</w:t>
      </w:r>
      <w:r w:rsidRPr="00507A31">
        <w:rPr>
          <w:color w:val="000000" w:themeColor="text1"/>
          <w:sz w:val="16"/>
          <w:szCs w:val="16"/>
        </w:rPr>
        <w:softHyphen/>
        <w:t>но повернуться лицом к обороне страны”. План С-30, говорилось в докладе, не реален и не соответствует задачам модернизации вооруженных сил, основан на отборе ресурсов из народного хо</w:t>
      </w:r>
      <w:r w:rsidRPr="00507A31">
        <w:rPr>
          <w:color w:val="000000" w:themeColor="text1"/>
          <w:sz w:val="16"/>
          <w:szCs w:val="16"/>
        </w:rPr>
        <w:softHyphen/>
        <w:t>зяйства. В военном производстве создаются диспропорции, недо</w:t>
      </w:r>
      <w:r w:rsidRPr="00507A31">
        <w:rPr>
          <w:color w:val="000000" w:themeColor="text1"/>
          <w:sz w:val="16"/>
          <w:szCs w:val="16"/>
        </w:rPr>
        <w:softHyphen/>
        <w:t>делы и дефициты. Тревогу вызывает строительство химкомбина</w:t>
      </w:r>
      <w:r w:rsidRPr="00507A31">
        <w:rPr>
          <w:color w:val="000000" w:themeColor="text1"/>
          <w:sz w:val="16"/>
          <w:szCs w:val="16"/>
        </w:rPr>
        <w:softHyphen/>
        <w:t>тов. Хозяйственные органы препятствуют его ускорению, ставя вопрос: “за счет чего?”, и только отчаянный нажим позволяет как-то выходить из положения. Под покровом секретности сры</w:t>
      </w:r>
      <w:r w:rsidRPr="00507A31">
        <w:rPr>
          <w:color w:val="000000" w:themeColor="text1"/>
          <w:sz w:val="16"/>
          <w:szCs w:val="16"/>
        </w:rPr>
        <w:softHyphen/>
        <w:t>вается контроль над военной промышленностью со стороны об</w:t>
      </w:r>
      <w:r w:rsidRPr="00507A31">
        <w:rPr>
          <w:color w:val="000000" w:themeColor="text1"/>
          <w:sz w:val="16"/>
          <w:szCs w:val="16"/>
        </w:rPr>
        <w:softHyphen/>
        <w:t>щественности, и этим маскируется безответственность. Происхо</w:t>
      </w:r>
      <w:r w:rsidRPr="00507A31">
        <w:rPr>
          <w:color w:val="000000" w:themeColor="text1"/>
          <w:sz w:val="16"/>
          <w:szCs w:val="16"/>
        </w:rPr>
        <w:softHyphen/>
        <w:t>дит постоянное запаздывание с разработкой новых образцов, слишком много общих разговоров. Рационализация на производ</w:t>
      </w:r>
      <w:r w:rsidRPr="00507A31">
        <w:rPr>
          <w:color w:val="000000" w:themeColor="text1"/>
          <w:sz w:val="16"/>
          <w:szCs w:val="16"/>
        </w:rPr>
        <w:softHyphen/>
        <w:t>стве фактически отсутствует. Отмечалось, что причины неудов</w:t>
      </w:r>
      <w:r w:rsidRPr="00507A31">
        <w:rPr>
          <w:color w:val="000000" w:themeColor="text1"/>
          <w:sz w:val="16"/>
          <w:szCs w:val="16"/>
        </w:rPr>
        <w:softHyphen/>
        <w:t>летворительного положения состоят в том, что план С-30 соста</w:t>
      </w:r>
      <w:r w:rsidRPr="00507A31">
        <w:rPr>
          <w:color w:val="000000" w:themeColor="text1"/>
          <w:sz w:val="16"/>
          <w:szCs w:val="16"/>
        </w:rPr>
        <w:softHyphen/>
        <w:t>влялся без опоры на всю экономическую базу, что по-прежнему наблюдается отставание отраслей, являющихся базой для воен</w:t>
      </w:r>
      <w:r w:rsidRPr="00507A31">
        <w:rPr>
          <w:color w:val="000000" w:themeColor="text1"/>
          <w:sz w:val="16"/>
          <w:szCs w:val="16"/>
        </w:rPr>
        <w:softHyphen/>
        <w:t>ного производства (химия, цветные металлы, ферросплавы). К весне 1932 г., говорилось в докладе, на основе оздоровления промышленности и устранения вредительства необходимо разра</w:t>
      </w:r>
      <w:r w:rsidRPr="00507A31">
        <w:rPr>
          <w:color w:val="000000" w:themeColor="text1"/>
          <w:sz w:val="16"/>
          <w:szCs w:val="16"/>
        </w:rPr>
        <w:softHyphen/>
        <w:t>ботать новый мобплан по варианту 10. Сроки его развертывания ужать и тесно связать с реконструкцией народного хозяйства. Принять во внимание, что военное производство должно разви</w:t>
      </w:r>
      <w:r w:rsidRPr="00507A31">
        <w:rPr>
          <w:color w:val="000000" w:themeColor="text1"/>
          <w:sz w:val="16"/>
          <w:szCs w:val="16"/>
        </w:rPr>
        <w:softHyphen/>
        <w:t>ваться и в случае войны и предусмотреть на сей счет развитие резервных мощностей. Сильный упор надо сделать на химию, производство металлов и суррогатирование (18393).</w:t>
      </w:r>
    </w:p>
    <w:p w14:paraId="244CA9B5" w14:textId="77777777" w:rsidR="007B789F" w:rsidRPr="00507A31" w:rsidRDefault="007B789F" w:rsidP="00507A31">
      <w:pPr>
        <w:jc w:val="both"/>
        <w:rPr>
          <w:color w:val="000000" w:themeColor="text1"/>
          <w:sz w:val="16"/>
          <w:szCs w:val="16"/>
        </w:rPr>
      </w:pPr>
    </w:p>
    <w:p w14:paraId="2C174D83" w14:textId="77777777" w:rsidR="00C50B8F" w:rsidRPr="00507A31" w:rsidRDefault="00C50B8F" w:rsidP="00507A31">
      <w:pPr>
        <w:pStyle w:val="ae"/>
        <w:spacing w:before="0" w:after="0"/>
        <w:jc w:val="both"/>
        <w:rPr>
          <w:color w:val="000000" w:themeColor="text1"/>
          <w:sz w:val="16"/>
          <w:szCs w:val="16"/>
        </w:rPr>
      </w:pPr>
      <w:r w:rsidRPr="00507A31">
        <w:rPr>
          <w:color w:val="000000" w:themeColor="text1"/>
          <w:sz w:val="16"/>
          <w:szCs w:val="16"/>
        </w:rPr>
        <w:t>В октябре 1930 года цех - опытное производство Отдела № 4 Мостяжарт - приступил к работе. На механическом участке были установлены 16 станков отечественного производства и 2 новых, закупленных за границей.</w:t>
      </w:r>
    </w:p>
    <w:p w14:paraId="15055C61" w14:textId="77777777" w:rsidR="00C50B8F" w:rsidRPr="00507A31" w:rsidRDefault="00C50B8F" w:rsidP="00507A31">
      <w:pPr>
        <w:pStyle w:val="ae"/>
        <w:spacing w:before="0" w:after="0"/>
        <w:jc w:val="both"/>
        <w:rPr>
          <w:color w:val="000000" w:themeColor="text1"/>
          <w:sz w:val="16"/>
          <w:szCs w:val="16"/>
        </w:rPr>
      </w:pPr>
      <w:r w:rsidRPr="00507A31">
        <w:rPr>
          <w:color w:val="000000" w:themeColor="text1"/>
          <w:sz w:val="16"/>
          <w:szCs w:val="16"/>
        </w:rPr>
        <w:t>Весь токарный парк станков приводится в движение от одного электродвигате- ля мощностью 100 киловатт через общую трансмиссию, установленную под потолком цеха. На втором этаже корпуса был размещен слесарный участок. Тут были установле- ны четыре слесарных верстака с тисками и два малых токарных станка типа «Кергер». На площадке лестницы второго этажа был организован сварочный пост для сварки от- дельных элементов корпусов авиабомб.</w:t>
      </w:r>
    </w:p>
    <w:p w14:paraId="09B5BB26" w14:textId="77777777" w:rsidR="00C50B8F" w:rsidRPr="00507A31" w:rsidRDefault="00C50B8F" w:rsidP="00507A31">
      <w:pPr>
        <w:pStyle w:val="ae"/>
        <w:spacing w:before="0" w:after="0"/>
        <w:jc w:val="both"/>
        <w:rPr>
          <w:color w:val="000000" w:themeColor="text1"/>
          <w:sz w:val="16"/>
          <w:szCs w:val="16"/>
        </w:rPr>
      </w:pPr>
      <w:r w:rsidRPr="00507A31">
        <w:rPr>
          <w:color w:val="000000" w:themeColor="text1"/>
          <w:sz w:val="16"/>
          <w:szCs w:val="16"/>
        </w:rPr>
        <w:t>Здесь же на втором этаже в конце слесарного участка за стеклянной перегород- кой разместилась цеховая бухгалтерия, где работал бухгалтер, два счетовода, норми- ровщик и табельщица.</w:t>
      </w:r>
    </w:p>
    <w:p w14:paraId="1BD96657" w14:textId="77777777" w:rsidR="00C50B8F" w:rsidRPr="00507A31" w:rsidRDefault="00C50B8F" w:rsidP="00507A31">
      <w:pPr>
        <w:pStyle w:val="ae"/>
        <w:spacing w:before="0" w:after="0"/>
        <w:jc w:val="both"/>
        <w:rPr>
          <w:color w:val="000000" w:themeColor="text1"/>
          <w:sz w:val="16"/>
          <w:szCs w:val="16"/>
        </w:rPr>
      </w:pPr>
      <w:r w:rsidRPr="00507A31">
        <w:rPr>
          <w:color w:val="000000" w:themeColor="text1"/>
          <w:sz w:val="16"/>
          <w:szCs w:val="16"/>
        </w:rPr>
        <w:t>Начальником опытного цеха был назначен инженер Губарев, занимавший- ся ранее в одном из цеховых отделов подготовкой производства. Его заместите- лем в конце 1931 года был назначен К. Ф. Носов, ранее работавший начальником 12-го цеха завода.</w:t>
      </w:r>
    </w:p>
    <w:p w14:paraId="7E37E0A8" w14:textId="77777777" w:rsidR="00C50B8F" w:rsidRPr="00507A31" w:rsidRDefault="00C50B8F" w:rsidP="00507A31">
      <w:pPr>
        <w:pStyle w:val="ae"/>
        <w:spacing w:before="0" w:after="0"/>
        <w:jc w:val="both"/>
        <w:rPr>
          <w:color w:val="000000" w:themeColor="text1"/>
          <w:sz w:val="16"/>
          <w:szCs w:val="16"/>
        </w:rPr>
      </w:pPr>
      <w:r w:rsidRPr="00507A31">
        <w:rPr>
          <w:color w:val="000000" w:themeColor="text1"/>
          <w:sz w:val="16"/>
          <w:szCs w:val="16"/>
        </w:rPr>
        <w:t>В середине 1932 года после откомандирования Губарева на другое производство работу опытного цеха возглавил К. Ф. Носов, квалифицированный производственник, хорошо знавший производство корпусов авиабомб.</w:t>
      </w:r>
    </w:p>
    <w:p w14:paraId="40B2910E" w14:textId="77777777" w:rsidR="00C50B8F" w:rsidRPr="00507A31" w:rsidRDefault="00C50B8F" w:rsidP="00507A31">
      <w:pPr>
        <w:pStyle w:val="ae"/>
        <w:spacing w:before="0" w:after="0"/>
        <w:jc w:val="both"/>
        <w:rPr>
          <w:color w:val="000000" w:themeColor="text1"/>
          <w:sz w:val="16"/>
          <w:szCs w:val="16"/>
        </w:rPr>
      </w:pPr>
      <w:r w:rsidRPr="00507A31">
        <w:rPr>
          <w:color w:val="000000" w:themeColor="text1"/>
          <w:sz w:val="16"/>
          <w:szCs w:val="16"/>
        </w:rPr>
        <w:t>К. Ф. Носов пользовался большим уважением на заводе. Молодые рабочие назы- вали его «дядя Костя», хотя ему было чуть больше тридцати лет.</w:t>
      </w:r>
    </w:p>
    <w:p w14:paraId="1D73A206" w14:textId="77777777" w:rsidR="00C50B8F" w:rsidRPr="00507A31" w:rsidRDefault="00C50B8F" w:rsidP="00507A31">
      <w:pPr>
        <w:pStyle w:val="ae"/>
        <w:spacing w:before="0" w:after="0"/>
        <w:jc w:val="both"/>
        <w:rPr>
          <w:color w:val="000000" w:themeColor="text1"/>
          <w:sz w:val="16"/>
          <w:szCs w:val="16"/>
        </w:rPr>
      </w:pPr>
      <w:r w:rsidRPr="00507A31">
        <w:rPr>
          <w:color w:val="000000" w:themeColor="text1"/>
          <w:sz w:val="16"/>
          <w:szCs w:val="16"/>
        </w:rPr>
        <w:t>Он был энергичным, требовательным руководителем, требовал качественного вы- полнения всех работ в заданные сроки и, если случался брак, то неумолимо наказывал бракоделов с удержанием стоимости забракованной детали.</w:t>
      </w:r>
    </w:p>
    <w:p w14:paraId="781B9525" w14:textId="77777777" w:rsidR="00C50B8F" w:rsidRPr="00507A31" w:rsidRDefault="00C50B8F" w:rsidP="00507A31">
      <w:pPr>
        <w:jc w:val="both"/>
        <w:rPr>
          <w:color w:val="000000" w:themeColor="text1"/>
          <w:sz w:val="16"/>
          <w:szCs w:val="16"/>
        </w:rPr>
      </w:pPr>
      <w:r w:rsidRPr="00507A31">
        <w:rPr>
          <w:color w:val="000000" w:themeColor="text1"/>
          <w:sz w:val="16"/>
          <w:szCs w:val="16"/>
        </w:rPr>
        <w:t>В 1932 году 4-й отдел завода был преобразован в научно-исследовательский и по- лучил название НИО завода № 67 (19524).</w:t>
      </w:r>
    </w:p>
    <w:p w14:paraId="5535ABE5" w14:textId="77777777" w:rsidR="00C50B8F" w:rsidRPr="00507A31" w:rsidRDefault="00C50B8F" w:rsidP="00507A31">
      <w:pPr>
        <w:jc w:val="both"/>
        <w:rPr>
          <w:color w:val="000000" w:themeColor="text1"/>
          <w:sz w:val="16"/>
          <w:szCs w:val="16"/>
        </w:rPr>
      </w:pPr>
    </w:p>
    <w:p w14:paraId="071048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 был официально открыт часового завода (в некоторых источниках упоминается название «Новь»), созданный в 1929 г. на базе завода МЭМЗА треста точной механики. Сюда с завода «Авиаприбор» было переведено производство часов-ходиков и сборка будильников из импортных деталей. В 10-12.1938г. 2-й государственный часовой завод - в ведении треста «Точная механика».</w:t>
      </w:r>
    </w:p>
    <w:p w14:paraId="16CCA8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1930г. велось проектирование основного производственного корпуса и разработка конструкции будильника. В 1931г. выпущена первая партия будильника «Браво», с 1935г.- Б-6. С 1932г. начато освоение производства электрочасов промышленных и уличных. В 1934г. освоен выпуск стенных маятниковых часов. К 1935г. завод выпускал: ходиков - 3704 тыс. шт. в год, будильников - 440 тыс., настольных часов - 93 тыс., электрочасов - 3 тыс. В 1935г. начато освоение производства карманных часов К-46 и строительство нового производственного корпуса. В 1936г. заводу выдан план на 100 тыс. карманных часов К-43. К 1941г. освоен выпуск стенных, карманных, автомобильных и шахматных часов.</w:t>
      </w:r>
    </w:p>
    <w:p w14:paraId="4464CA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10-11.1941г. 2-й Московский часовой завод эвакуирован в г. Чистополь (Татария), где сначала действовал как «2-й часовой завод в Чистополе», затем на его базе создан завод № 835 НКМВ (Завод № 853 НКМВ, 2-й Московский часовой завод ММиП, Второй Государственный часовой завод (ВЧЗ), завод «Слава», Московское ОАО (МОАО) «Слава» /г. Москва, 40 Ленинградское ш., 10 «Мосчасдва» (1948г.)/ /125040 г. Москва Ленинградский пр., 8 тел. 251-29-37/ /производство № 1: г. Москва Научный пр-д, 20 стр. 1-9 тел. 332-83-11 (2002г.)/). Оборудование находилось в Чистополе и в 1948г.</w:t>
      </w:r>
    </w:p>
    <w:p w14:paraId="69C08A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1183 от 23.01.1942г. часть эвакуированного оборудования (производство карманных часов К-43) 2-го часового завода возвращена в Москву на старое место, где был организован и действовал сначала как «2-й часовой завод в Москве». В 06.1942г. завод - в ведении Главприбора НКМВ. В соответствии с пост. СНК № 837-430сс от 3.06.1942г. и приказом НКМВ № 250с от 7.07.1942г. 2-й часовой завод в Москве НКМВ переименован в завод № 853 в ведении 5ГУ.</w:t>
      </w:r>
      <w:r w:rsidRPr="00507A31">
        <w:rPr>
          <w:color w:val="000000" w:themeColor="text1"/>
          <w:sz w:val="16"/>
          <w:szCs w:val="16"/>
          <w:vertAlign w:val="superscript"/>
        </w:rPr>
        <w:t>129</w:t>
      </w:r>
    </w:p>
    <w:p w14:paraId="1A9E30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НКМВ № 203сс от 7.06.1942г. с Златоустовского часового завода в Москву на 1-й и 2-й часовые заводы возвращено 30 станков. Пост. ГКО № 1962сс от 4.07.1942г. и приказом НКМВ № 237сс от 7.07.1942г. заводу установлен план выпуска на 3-й квартал 1942г.: прицелов к 50-мм минометам- 12 тыс. шт.; угломеров- квадрантов к 82-мм минометам- 7800 шт. В годы войны в Москве налажен выпуск часов К-43, выпускалось по 3000-3500 шт. в год. Решением ГКО в 1945г. заводу поручено освоение карманных часов «Салют», выпуск К-43 прекращен.</w:t>
      </w:r>
    </w:p>
    <w:p w14:paraId="41A6B5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1947-48г. 2-й московский часовой завод - в ведении Главчаспрома ММиП.</w:t>
      </w:r>
    </w:p>
    <w:p w14:paraId="339640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предприятия (1947г.) цехи: будильников, прессовый, станкостроительный, гальванический, маятников часов, автоматный, 1-й, 2-й, 3-й, 4-й, 5-й механический, 2-й и 14-й сборочный, опытный; вспомогательные: ширпотреба, ремонтный, электроремонтный, инструментальный.</w:t>
      </w:r>
    </w:p>
    <w:p w14:paraId="264343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войны вновь налажен выпуск часов: карманных, женских наручных, настольных. Во второй половине 1950-х г. освоено производство женских наручных часов «Слава», малогабаритных будильников, секундомеров, электронно-механических часов и наручных камертонных. Затем освоен выпуск мужских наручных часов с одинарным и двойным календарем, автоподзаводом. В начале 1970-х г. созданы первые советские кварцевые часы.</w:t>
      </w:r>
    </w:p>
    <w:p w14:paraId="7D7382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часов (2005г.): механических и кварцевых будильников, мужских механических наручных «Слава»; настенных, настольных и сувенирных.</w:t>
      </w:r>
    </w:p>
    <w:p w14:paraId="535A0B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ОАО «Слава» было в 2004г. Завод имел производственный корпус площадью 80 тыс. м</w:t>
      </w:r>
      <w:r w:rsidRPr="00507A31">
        <w:rPr>
          <w:color w:val="000000" w:themeColor="text1"/>
          <w:sz w:val="16"/>
          <w:szCs w:val="16"/>
          <w:vertAlign w:val="superscript"/>
        </w:rPr>
        <w:t>2</w:t>
      </w:r>
      <w:r w:rsidRPr="00507A31">
        <w:rPr>
          <w:color w:val="000000" w:themeColor="text1"/>
          <w:sz w:val="16"/>
          <w:szCs w:val="16"/>
        </w:rPr>
        <w:t xml:space="preserve"> на Ленинградском пр. и площадку в 2,8 га на Научном пр. (производство № 1; площадь- 8500 м</w:t>
      </w:r>
      <w:r w:rsidRPr="00507A31">
        <w:rPr>
          <w:color w:val="000000" w:themeColor="text1"/>
          <w:sz w:val="16"/>
          <w:szCs w:val="16"/>
          <w:vertAlign w:val="superscript"/>
        </w:rPr>
        <w:t>2</w:t>
      </w:r>
      <w:r w:rsidRPr="00507A31">
        <w:rPr>
          <w:color w:val="000000" w:themeColor="text1"/>
          <w:sz w:val="16"/>
          <w:szCs w:val="16"/>
        </w:rPr>
        <w:t>) В 2005г. планировалось все производственные мощности с Ленинградского пр. перевести на Научный пр., производство часов прекратить. 13.02.2008г. вышло распоряжение правительства Москвы № 276-РП «О мероприятиях по освобождению от производственного использования и градостроительной реабилитации территории МО АО «Слава».</w:t>
      </w:r>
    </w:p>
    <w:p w14:paraId="408862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Количество оборудования: (1946г.)- 1048 ед., (1947г.)- 1546 ед.</w:t>
      </w:r>
    </w:p>
    <w:p w14:paraId="4B25AC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Площадь: территории (1948г.)- 2,089 га; застройки (1948г.)- 11528 (в т.ч. жилые здания 1734м) м</w:t>
      </w:r>
      <w:r w:rsidRPr="00507A31">
        <w:rPr>
          <w:color w:val="000000" w:themeColor="text1"/>
          <w:sz w:val="16"/>
          <w:szCs w:val="16"/>
          <w:vertAlign w:val="superscript"/>
        </w:rPr>
        <w:t>2</w:t>
      </w:r>
      <w:r w:rsidRPr="00507A31">
        <w:rPr>
          <w:color w:val="000000" w:themeColor="text1"/>
          <w:sz w:val="16"/>
          <w:szCs w:val="16"/>
        </w:rPr>
        <w:t>; производственная (1946-47г.)- 19150 м</w:t>
      </w:r>
      <w:r w:rsidRPr="00507A31">
        <w:rPr>
          <w:color w:val="000000" w:themeColor="text1"/>
          <w:sz w:val="16"/>
          <w:szCs w:val="16"/>
          <w:vertAlign w:val="superscript"/>
        </w:rPr>
        <w:t>2</w:t>
      </w:r>
      <w:r w:rsidRPr="00507A31">
        <w:rPr>
          <w:color w:val="000000" w:themeColor="text1"/>
          <w:sz w:val="16"/>
          <w:szCs w:val="16"/>
        </w:rPr>
        <w:t>.</w:t>
      </w:r>
    </w:p>
    <w:p w14:paraId="7F46D5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(1939г.)- 3534 чел., (1946г.)- 2015 чел., (1947г.)- 2401 чел.</w:t>
      </w:r>
    </w:p>
    <w:p w14:paraId="5B87DA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(06.1942г.)- Виноградов, (1948г.)- Буторин. Гендиректор (-2000-02г.-)- В.М. Королев.</w:t>
      </w:r>
    </w:p>
    <w:p w14:paraId="05C5F3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гендиректора- С.Б. Ривкин.</w:t>
      </w:r>
    </w:p>
    <w:p w14:paraId="162404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(1948г.)- Галлай.</w:t>
      </w:r>
    </w:p>
    <w:p w14:paraId="7EDA262F"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 часы:</w:t>
      </w:r>
      <w:r w:rsidRPr="00507A31">
        <w:rPr>
          <w:color w:val="000000" w:themeColor="text1"/>
          <w:sz w:val="16"/>
          <w:szCs w:val="16"/>
        </w:rPr>
        <w:t xml:space="preserve"> карманные К-46 (1935-), К-43 (1936-41; 1942-45), «Салют» (1945-47-); «Победа» (1940- е); женские наручные «Эра» (1940-е), «Слава» (1950-е); будильники Б-6, Б-8; стенные М; настольные НЧ-5, -8, 6; шахматные ШЧ (1947);</w:t>
      </w:r>
      <w:r w:rsidRPr="00507A31">
        <w:rPr>
          <w:color w:val="000000" w:themeColor="text1"/>
          <w:sz w:val="16"/>
          <w:szCs w:val="16"/>
          <w:vertAlign w:val="superscript"/>
        </w:rPr>
        <w:t>129</w:t>
      </w:r>
      <w:r w:rsidRPr="00507A31">
        <w:rPr>
          <w:color w:val="000000" w:themeColor="text1"/>
          <w:sz w:val="16"/>
          <w:szCs w:val="16"/>
        </w:rPr>
        <w:t xml:space="preserve"> часовые механизмы для мин и глубинных бомб (1939); детали для ППШ, для </w:t>
      </w:r>
      <w:r w:rsidRPr="00507A31">
        <w:rPr>
          <w:color w:val="000000" w:themeColor="text1"/>
          <w:sz w:val="16"/>
          <w:szCs w:val="16"/>
          <w:lang w:val="en-US"/>
        </w:rPr>
        <w:t>PC</w:t>
      </w:r>
      <w:r w:rsidRPr="00507A31">
        <w:rPr>
          <w:color w:val="000000" w:themeColor="text1"/>
          <w:sz w:val="16"/>
          <w:szCs w:val="16"/>
        </w:rPr>
        <w:t xml:space="preserve"> М-13, взрыватели «МП», прицелы к 50-мм минометам, угломеры-квадранты к 82-мм минометам (1942).</w:t>
      </w:r>
    </w:p>
    <w:p w14:paraId="11F7CB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СКБ часового станкостроения</w:t>
      </w:r>
    </w:p>
    <w:p w14:paraId="6A54C1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Москва Научный пр-д, 20 тел. 332-88-66/</w:t>
      </w:r>
    </w:p>
    <w:p w14:paraId="509486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Разработка станков и технологических линий для часовой промышленности. В 1990-х г. - разработка автоматизированных линий по розливу напитков.</w:t>
      </w:r>
    </w:p>
    <w:p w14:paraId="6CECDD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Руководитель (2000г.)- А.А. Струков. Гендиректор (-30.09.2005г.)- Е. Вайсман (убит) (11982).</w:t>
      </w:r>
    </w:p>
    <w:p w14:paraId="5601AB9D" w14:textId="77777777" w:rsidR="00537E5F" w:rsidRPr="00507A31" w:rsidRDefault="00537E5F" w:rsidP="00507A31">
      <w:pPr>
        <w:autoSpaceDE w:val="0"/>
        <w:autoSpaceDN w:val="0"/>
        <w:adjustRightInd w:val="0"/>
        <w:jc w:val="both"/>
        <w:rPr>
          <w:color w:val="000000" w:themeColor="text1"/>
          <w:sz w:val="16"/>
          <w:szCs w:val="16"/>
        </w:rPr>
      </w:pPr>
    </w:p>
    <w:p w14:paraId="192177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 На базе спецпроизводства Ленинградского металлического завода было организовано Центральное конструкторское Бюро судостроения № 3 под руководством А. Г. Дукельского, которое начало разработку технического про­ екта железнодорожного артиллерийского транспортера ТМ-1-14 (11454).</w:t>
      </w:r>
    </w:p>
    <w:p w14:paraId="33F19488" w14:textId="77777777" w:rsidR="00537E5F" w:rsidRPr="00507A31" w:rsidRDefault="00537E5F" w:rsidP="00507A31">
      <w:pPr>
        <w:autoSpaceDE w:val="0"/>
        <w:autoSpaceDN w:val="0"/>
        <w:adjustRightInd w:val="0"/>
        <w:jc w:val="both"/>
        <w:rPr>
          <w:color w:val="000000" w:themeColor="text1"/>
          <w:sz w:val="16"/>
          <w:szCs w:val="16"/>
        </w:rPr>
      </w:pPr>
    </w:p>
    <w:p w14:paraId="55DBFF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заводом Большевик был изготовлен опытный образец танка Т-20 ГКБ ОАТ, предназначенного в качестве переходного образца от Т-18 к Т-19 (9527,87).</w:t>
      </w:r>
    </w:p>
    <w:p w14:paraId="73F8A443" w14:textId="77777777" w:rsidR="00537E5F" w:rsidRPr="00507A31" w:rsidRDefault="00537E5F" w:rsidP="00507A31">
      <w:pPr>
        <w:autoSpaceDE w:val="0"/>
        <w:autoSpaceDN w:val="0"/>
        <w:adjustRightInd w:val="0"/>
        <w:jc w:val="both"/>
        <w:rPr>
          <w:color w:val="000000" w:themeColor="text1"/>
          <w:sz w:val="16"/>
          <w:szCs w:val="16"/>
        </w:rPr>
      </w:pPr>
    </w:p>
    <w:p w14:paraId="6D544183" w14:textId="77777777" w:rsidR="00D3487A" w:rsidRPr="00507A31" w:rsidRDefault="00D3487A" w:rsidP="00507A31">
      <w:pPr>
        <w:shd w:val="clear" w:color="auto" w:fill="FFFFFF"/>
        <w:jc w:val="both"/>
        <w:rPr>
          <w:color w:val="0070C0"/>
          <w:sz w:val="16"/>
          <w:szCs w:val="16"/>
        </w:rPr>
      </w:pPr>
      <w:r w:rsidRPr="00507A31">
        <w:rPr>
          <w:color w:val="0070C0"/>
          <w:sz w:val="16"/>
          <w:szCs w:val="16"/>
        </w:rPr>
        <w:t>В октябре 1930 года речь пошла о четвертой производственной серии Т-18, при этом и ГКБ ОАТ, и "Большевик" явно заваливали сроки по Т-20. Модернизированный танк с задания не снимался, программа на 1931 год предусматривала уже 555 данных машин. Другой вопрос, что сроки по Т-20 продолжали заваливать (20852).</w:t>
      </w:r>
    </w:p>
    <w:p w14:paraId="5462204C" w14:textId="77777777" w:rsidR="00D3487A" w:rsidRPr="00507A31" w:rsidRDefault="00D3487A" w:rsidP="00507A31">
      <w:pPr>
        <w:shd w:val="clear" w:color="auto" w:fill="FFFFFF"/>
        <w:jc w:val="both"/>
        <w:rPr>
          <w:color w:val="0070C0"/>
          <w:sz w:val="16"/>
          <w:szCs w:val="16"/>
        </w:rPr>
      </w:pPr>
    </w:p>
    <w:p w14:paraId="24C29B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октябре 1930 ввиду того, что клепка очень удорожала и усложняла конструкцию, под руководством зав. опытным цехом «Большевика» И. Шумилина были разработаны и изготовлены на Ижорском заводе опытные сварные броне-корпуса для Т-20. В изготовлении одного из корпусов непосредственное участие принял известный в те годы конст</w:t>
      </w:r>
      <w:r w:rsidRPr="00507A31">
        <w:rPr>
          <w:color w:val="000000" w:themeColor="text1"/>
          <w:sz w:val="16"/>
          <w:szCs w:val="16"/>
        </w:rPr>
        <w:softHyphen/>
        <w:t>руктор самоучка Н.И. Дыренков. Корпуса подвергли обстрелу из 37-мм и 45-мм пушки стальной гранатой с дальности 800 м, причем обстрел 37-мм снарядами они выдержали хорошо; но 45-мм пушка оказалась весьма эффективной — были обнаружены много</w:t>
      </w:r>
      <w:r w:rsidRPr="00507A31">
        <w:rPr>
          <w:color w:val="000000" w:themeColor="text1"/>
          <w:sz w:val="16"/>
          <w:szCs w:val="16"/>
        </w:rPr>
        <w:softHyphen/>
        <w:t>численные трещины в соединительных швах и разрушения самих броневых листов. Несмотря на привлекательность сварки для производ</w:t>
      </w:r>
      <w:r w:rsidRPr="00507A31">
        <w:rPr>
          <w:color w:val="000000" w:themeColor="text1"/>
          <w:sz w:val="16"/>
          <w:szCs w:val="16"/>
        </w:rPr>
        <w:softHyphen/>
        <w:t>ства танков, для ее применения в массовом производстве в то время не было ни необходимого оборудования, ни опы</w:t>
      </w:r>
      <w:r w:rsidRPr="00507A31">
        <w:rPr>
          <w:color w:val="000000" w:themeColor="text1"/>
          <w:sz w:val="16"/>
          <w:szCs w:val="16"/>
        </w:rPr>
        <w:softHyphen/>
        <w:t>та, на что неоднократно указывали И. Шумилин и дирек</w:t>
      </w:r>
      <w:r w:rsidRPr="00507A31">
        <w:rPr>
          <w:color w:val="000000" w:themeColor="text1"/>
          <w:sz w:val="16"/>
          <w:szCs w:val="16"/>
        </w:rPr>
        <w:softHyphen/>
        <w:t>тор завода «Большевик» С. Королев. Башню для Т-20 предполагалось заимствовать от проектируемого нового танка сопровождения вместе с во</w:t>
      </w:r>
      <w:r w:rsidRPr="00507A31">
        <w:rPr>
          <w:color w:val="000000" w:themeColor="text1"/>
          <w:sz w:val="16"/>
          <w:szCs w:val="16"/>
        </w:rPr>
        <w:softHyphen/>
        <w:t>оружением, но, поскольку таковая изготовлена не была, на опытный образец для проведения его испытаний было разрешено взять серийную башню танка МС-1 обр. 1930 г. Вместо «броневого глаза» для механика-водителя бы</w:t>
      </w:r>
      <w:r w:rsidRPr="00507A31">
        <w:rPr>
          <w:color w:val="000000" w:themeColor="text1"/>
          <w:sz w:val="16"/>
          <w:szCs w:val="16"/>
        </w:rPr>
        <w:softHyphen/>
        <w:t>ла установлена наблюдательная амбразура, прикрытая пу</w:t>
      </w:r>
      <w:r w:rsidRPr="00507A31">
        <w:rPr>
          <w:color w:val="000000" w:themeColor="text1"/>
          <w:sz w:val="16"/>
          <w:szCs w:val="16"/>
        </w:rPr>
        <w:softHyphen/>
        <w:t>ленепробиваемым стеклом «симплекс-триплекс» желто</w:t>
      </w:r>
      <w:r w:rsidRPr="00507A31">
        <w:rPr>
          <w:color w:val="000000" w:themeColor="text1"/>
          <w:sz w:val="16"/>
          <w:szCs w:val="16"/>
        </w:rPr>
        <w:softHyphen/>
        <w:t>ватого цвета. Убрали и рычаги управления, вместо кото</w:t>
      </w:r>
      <w:r w:rsidRPr="00507A31">
        <w:rPr>
          <w:color w:val="000000" w:themeColor="text1"/>
          <w:sz w:val="16"/>
          <w:szCs w:val="16"/>
        </w:rPr>
        <w:softHyphen/>
        <w:t>рых ввели колонку по типу авиационной (предусматрива</w:t>
      </w:r>
      <w:r w:rsidRPr="00507A31">
        <w:rPr>
          <w:color w:val="000000" w:themeColor="text1"/>
          <w:sz w:val="16"/>
          <w:szCs w:val="16"/>
        </w:rPr>
        <w:softHyphen/>
        <w:t>лась впоследствии установка рулевого колеса типа авто</w:t>
      </w:r>
      <w:r w:rsidRPr="00507A31">
        <w:rPr>
          <w:color w:val="000000" w:themeColor="text1"/>
          <w:sz w:val="16"/>
          <w:szCs w:val="16"/>
        </w:rPr>
        <w:softHyphen/>
        <w:t>мобильного). Первые 15 танков Т-20 должны были быть готовы к 7 ноября 1930 г. (планировалось их участие в параде), но долгострой был в то время нормальным явлением (тем бо</w:t>
      </w:r>
      <w:r w:rsidRPr="00507A31">
        <w:rPr>
          <w:color w:val="000000" w:themeColor="text1"/>
          <w:sz w:val="16"/>
          <w:szCs w:val="16"/>
        </w:rPr>
        <w:softHyphen/>
        <w:t>лее что созданию танка мешали всевозможные доносы, чистки и разборки с бывшими и действующими членами Промпартии и т.д.) и даже в 1931 г. опытный танк не был окончен. Поэтому от заказа на изготовление 350 танков в течение 1931—32 гг. отказались. Недостроенный же опыт</w:t>
      </w:r>
      <w:r w:rsidRPr="00507A31">
        <w:rPr>
          <w:color w:val="000000" w:themeColor="text1"/>
          <w:sz w:val="16"/>
          <w:szCs w:val="16"/>
        </w:rPr>
        <w:softHyphen/>
        <w:t>ный Т-20 был передан летом 1931 г. для изготовления «60-сильного среднего трактора РККА» (10733,96).</w:t>
      </w:r>
    </w:p>
    <w:p w14:paraId="58CA91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E4D53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45-мм самоходная установка Арсеналец была передана в ВТА им. Дзержинского (9527,260).</w:t>
      </w:r>
    </w:p>
    <w:p w14:paraId="27908D49" w14:textId="77777777" w:rsidR="00537E5F" w:rsidRPr="00507A31" w:rsidRDefault="00537E5F" w:rsidP="00507A31">
      <w:pPr>
        <w:autoSpaceDE w:val="0"/>
        <w:autoSpaceDN w:val="0"/>
        <w:adjustRightInd w:val="0"/>
        <w:jc w:val="both"/>
        <w:rPr>
          <w:color w:val="000000" w:themeColor="text1"/>
          <w:sz w:val="16"/>
          <w:szCs w:val="16"/>
        </w:rPr>
      </w:pPr>
    </w:p>
    <w:p w14:paraId="6F88F738" w14:textId="77777777" w:rsidR="00BD1782" w:rsidRPr="00507A31" w:rsidRDefault="00BD1782" w:rsidP="00507A31">
      <w:pPr>
        <w:widowControl w:val="0"/>
        <w:jc w:val="both"/>
        <w:rPr>
          <w:color w:val="000000" w:themeColor="text1"/>
          <w:sz w:val="16"/>
          <w:szCs w:val="16"/>
        </w:rPr>
      </w:pPr>
      <w:r w:rsidRPr="00507A31">
        <w:rPr>
          <w:color w:val="000000" w:themeColor="text1"/>
          <w:sz w:val="16"/>
          <w:szCs w:val="16"/>
        </w:rPr>
        <w:t xml:space="preserve">С октября </w:t>
      </w:r>
      <w:smartTag w:uri="urn:schemas-microsoft-com:office:smarttags" w:element="metricconverter">
        <w:smartTagPr>
          <w:attr w:name="ProductID" w:val="1945 г"/>
        </w:smartTagPr>
        <w:r w:rsidRPr="00507A31">
          <w:rPr>
            <w:color w:val="000000" w:themeColor="text1"/>
            <w:sz w:val="16"/>
            <w:szCs w:val="16"/>
          </w:rPr>
          <w:t>1930 г</w:t>
        </w:r>
      </w:smartTag>
      <w:r w:rsidRPr="00507A31">
        <w:rPr>
          <w:color w:val="000000" w:themeColor="text1"/>
          <w:sz w:val="16"/>
          <w:szCs w:val="16"/>
        </w:rPr>
        <w:t xml:space="preserve">. Нижегородская строительная контора Металлстроя подчинялась управлению Автостроя. В целях дальнейшей централизации управления строительством приказом ВСНХ СССР 17 февраля </w:t>
      </w:r>
      <w:smartTag w:uri="urn:schemas-microsoft-com:office:smarttags" w:element="metricconverter">
        <w:smartTagPr>
          <w:attr w:name="ProductID" w:val="1945 г"/>
        </w:smartTagPr>
        <w:r w:rsidRPr="00507A31">
          <w:rPr>
            <w:color w:val="000000" w:themeColor="text1"/>
            <w:sz w:val="16"/>
            <w:szCs w:val="16"/>
          </w:rPr>
          <w:t>1931 г</w:t>
        </w:r>
      </w:smartTag>
      <w:r w:rsidRPr="00507A31">
        <w:rPr>
          <w:color w:val="000000" w:themeColor="text1"/>
          <w:sz w:val="16"/>
          <w:szCs w:val="16"/>
        </w:rPr>
        <w:t>., подписанном Г.К. Орджоникидзе, создавалось единое управление, которому подчинялись все строительные контрагенты: Водоканалстрой, Промсантехстрой, Малярстрой, Кровельстрой и Всесоюзное электрообъединение (ВЭО). Начальником строительного управления, получившего название 13-го Госстройтреста, был назначен М.М. Царевский. Одновременно он являлся заместителем начальника управления Автостроя (15218).</w:t>
      </w:r>
    </w:p>
    <w:p w14:paraId="7481070B" w14:textId="77777777" w:rsidR="00BD1782" w:rsidRPr="00507A31" w:rsidRDefault="00BD1782" w:rsidP="00507A31">
      <w:pPr>
        <w:widowControl w:val="0"/>
        <w:jc w:val="both"/>
        <w:rPr>
          <w:color w:val="000000" w:themeColor="text1"/>
          <w:sz w:val="16"/>
          <w:szCs w:val="16"/>
        </w:rPr>
      </w:pPr>
    </w:p>
    <w:p w14:paraId="14F819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 Эрнст Май с подобранной им группой из архитекторов и инженеров разных специализаций (многие с семьями, всего более 40 человек) выезжает в Москву, а затем, почти сразу же, в специальном вагоне, группа отправляется в Сибирь для осмотра площадки и начала проектирования. До этого, в 1929 г. Эрнст Май, городской советник по делам строительства Франкфурта-на-Майне приезжает с лекциями в СССР. Обратно он возвращается с приглашением на работу ему и целой бригаде специалистов для проектирования новых городов в СССР. Желающих было очень много Сотрудников он отбирал сам. Сотрудник Мая архитектор Вальтер Швагеншайдт так описывал в письме от 9 марта 1931 г работу бригады: « Мы проработали район между Новосибирском и Кузнецком, гигантский угольный бассейн Сибири. Довольно подробно мы спроектировали прямо на месте 6 городов, большая часть из которых будет построена уже в этом году». За короткое время группа сделала проекты застройки Магнитогорска, Нижнего Тагила, Щегловска, Кузнецка (Сталинска), Ленинска, Автостроя, Прокопьевска, Сталинграда и многих других городов Сибири. Часть спроектированных для Магнитогорска зданий — жилые дома, школы, детские сады — была осуществлена. Строительная технология в СССР находилась в этот период на ином уровне, нежели тот, который был привычен европейцам и американцам. Металл, стекло, бетон были крайне дефицитными материалами. Архитекторы Мая были вынуждены проектировать жильё не столько из кирпича и бетонных панелей (по образцу франкфуртских разработок Мая), сколько из дешёвых местных материалов. Например, одноэтажные дома со стенами из деревянных стоек, обшитых досками, и заполненные в качестве утеплителя глиной, опилками, стружкой, строительным мусором или торфом (11596).</w:t>
      </w:r>
    </w:p>
    <w:p w14:paraId="0D036BA1" w14:textId="77777777" w:rsidR="00537E5F" w:rsidRPr="00507A31" w:rsidRDefault="00537E5F" w:rsidP="00507A31">
      <w:pPr>
        <w:autoSpaceDE w:val="0"/>
        <w:autoSpaceDN w:val="0"/>
        <w:adjustRightInd w:val="0"/>
        <w:jc w:val="both"/>
        <w:rPr>
          <w:color w:val="000000" w:themeColor="text1"/>
          <w:sz w:val="16"/>
          <w:szCs w:val="16"/>
        </w:rPr>
      </w:pPr>
    </w:p>
    <w:p w14:paraId="2BF70A97" w14:textId="77777777" w:rsidR="00B678C9" w:rsidRPr="00507A31" w:rsidRDefault="00B678C9" w:rsidP="00507A31">
      <w:pPr>
        <w:jc w:val="both"/>
        <w:rPr>
          <w:color w:val="0070C0"/>
          <w:sz w:val="16"/>
          <w:szCs w:val="16"/>
        </w:rPr>
      </w:pPr>
      <w:r w:rsidRPr="00507A31">
        <w:rPr>
          <w:color w:val="0070C0"/>
          <w:sz w:val="16"/>
          <w:szCs w:val="16"/>
        </w:rPr>
        <w:t>В октябре 1930 г. НАМИ постановлением ВСНХ обязывалось провести конкурсные испытания дизельных автомобилей и дать рекомендации для внедрения их в отечественную промышленность (21328).</w:t>
      </w:r>
    </w:p>
    <w:p w14:paraId="3F5E15BA" w14:textId="77777777" w:rsidR="00B678C9" w:rsidRPr="00507A31" w:rsidRDefault="00B678C9" w:rsidP="00507A31">
      <w:pPr>
        <w:jc w:val="both"/>
        <w:rPr>
          <w:color w:val="0070C0"/>
          <w:sz w:val="16"/>
          <w:szCs w:val="16"/>
        </w:rPr>
      </w:pPr>
    </w:p>
    <w:p w14:paraId="1774565E" w14:textId="77777777" w:rsidR="00B678C9" w:rsidRPr="00507A31" w:rsidRDefault="00B678C9" w:rsidP="00507A31">
      <w:pPr>
        <w:jc w:val="both"/>
        <w:rPr>
          <w:color w:val="0070C0"/>
          <w:sz w:val="16"/>
          <w:szCs w:val="16"/>
        </w:rPr>
      </w:pPr>
      <w:r w:rsidRPr="00507A31">
        <w:rPr>
          <w:color w:val="0070C0"/>
          <w:sz w:val="16"/>
          <w:szCs w:val="16"/>
        </w:rPr>
        <w:t>В октябре 1930 конференция, созванная НИС ВСНХ СССР, вынесла решение: «На основании ана</w:t>
      </w:r>
      <w:r w:rsidRPr="00507A31">
        <w:rPr>
          <w:color w:val="0070C0"/>
          <w:sz w:val="16"/>
          <w:szCs w:val="16"/>
        </w:rPr>
        <w:softHyphen/>
        <w:t>лиза развития применения дизелей к автомобилям и тракторам за границей конференция констатирует ежегодный быстрый рост легкого дизелестроения в ряде промышленных стран, которые характеризуют</w:t>
      </w:r>
      <w:r w:rsidRPr="00507A31">
        <w:rPr>
          <w:color w:val="0070C0"/>
          <w:sz w:val="16"/>
          <w:szCs w:val="16"/>
        </w:rPr>
        <w:softHyphen/>
        <w:t>ся на сегодняшний день, с одной стороны, наличием свыше 30 заводов, строящих эти двигатели, а с дру</w:t>
      </w:r>
      <w:r w:rsidRPr="00507A31">
        <w:rPr>
          <w:color w:val="0070C0"/>
          <w:sz w:val="16"/>
          <w:szCs w:val="16"/>
        </w:rPr>
        <w:softHyphen/>
        <w:t>гой стороны, - значительными эксплуатационными достижениями.</w:t>
      </w:r>
    </w:p>
    <w:p w14:paraId="652206CC" w14:textId="77777777" w:rsidR="00B678C9" w:rsidRPr="00507A31" w:rsidRDefault="00B678C9" w:rsidP="00507A31">
      <w:pPr>
        <w:jc w:val="both"/>
        <w:rPr>
          <w:color w:val="0070C0"/>
          <w:sz w:val="16"/>
          <w:szCs w:val="16"/>
        </w:rPr>
      </w:pPr>
      <w:r w:rsidRPr="00507A31">
        <w:rPr>
          <w:color w:val="0070C0"/>
          <w:sz w:val="16"/>
          <w:szCs w:val="16"/>
        </w:rPr>
        <w:lastRenderedPageBreak/>
        <w:t>Конференция считает необходимым обратить внимание президиума ВСНХ, Союзнефти, НИС и объединения тяжелого машиностроения, Парвагдиза и ВАТО на чрезвычайную важность развития дизеле</w:t>
      </w:r>
      <w:r w:rsidRPr="00507A31">
        <w:rPr>
          <w:color w:val="0070C0"/>
          <w:sz w:val="16"/>
          <w:szCs w:val="16"/>
        </w:rPr>
        <w:softHyphen/>
        <w:t>строения автотракторного типа» (22518).</w:t>
      </w:r>
    </w:p>
    <w:p w14:paraId="656BB838" w14:textId="77777777" w:rsidR="00B678C9" w:rsidRPr="00507A31" w:rsidRDefault="00B678C9" w:rsidP="00507A31">
      <w:pPr>
        <w:jc w:val="both"/>
        <w:rPr>
          <w:color w:val="0070C0"/>
          <w:sz w:val="16"/>
          <w:szCs w:val="16"/>
        </w:rPr>
      </w:pPr>
    </w:p>
    <w:p w14:paraId="5E473BE8" w14:textId="77777777" w:rsidR="00B678C9" w:rsidRPr="00507A31" w:rsidRDefault="00B678C9" w:rsidP="00507A31">
      <w:pPr>
        <w:shd w:val="clear" w:color="auto" w:fill="FFFFFF"/>
        <w:jc w:val="both"/>
        <w:rPr>
          <w:color w:val="0070C0"/>
          <w:sz w:val="16"/>
          <w:szCs w:val="16"/>
        </w:rPr>
      </w:pPr>
      <w:r w:rsidRPr="00507A31">
        <w:rPr>
          <w:color w:val="0070C0"/>
          <w:sz w:val="16"/>
          <w:szCs w:val="16"/>
        </w:rPr>
        <w:t>В октябре 1930 г. инженер Бойков, который был командирован наблюдать за ходом маневров Днепровской речной с участием военного глиссера «Автодор-3» (А-3) конструкции Н.М. Андреева, построенного на заводе №39, в отчете о командировке писал:</w:t>
      </w:r>
    </w:p>
    <w:p w14:paraId="6DD22672" w14:textId="77777777" w:rsidR="00B678C9" w:rsidRPr="00507A31" w:rsidRDefault="00B678C9" w:rsidP="00507A31">
      <w:pPr>
        <w:shd w:val="clear" w:color="auto" w:fill="FFFFFF"/>
        <w:jc w:val="both"/>
        <w:rPr>
          <w:color w:val="0070C0"/>
          <w:sz w:val="16"/>
          <w:szCs w:val="16"/>
        </w:rPr>
      </w:pPr>
      <w:r w:rsidRPr="00507A31">
        <w:rPr>
          <w:color w:val="0070C0"/>
          <w:sz w:val="16"/>
          <w:szCs w:val="16"/>
        </w:rPr>
        <w:t>«Я ездил в Киев в штаб начальника Днепровской флотилии из Черкасс; как раз совпавшие с моим приездом в Киев были устроены маневры специально для глиссера. Он нападал на эскадру, стреляя в нее ракетами и боевыми патронами из пулемета по мишеням, поставленным на берегу. Стрелял глиссер также и бомбами с удушливыми газами. Атака отражалась флотилией стрельбой из пушек и пулеметов по мишени, которую глиссер волочил за собой. Перевес пока оказался на стороне глиссера. Попадания с глиссера имели больший процент, чем с эскадры.</w:t>
      </w:r>
    </w:p>
    <w:p w14:paraId="3219C439" w14:textId="77777777" w:rsidR="00B678C9" w:rsidRPr="00507A31" w:rsidRDefault="00B678C9" w:rsidP="00507A31">
      <w:pPr>
        <w:shd w:val="clear" w:color="auto" w:fill="FFFFFF"/>
        <w:jc w:val="both"/>
        <w:rPr>
          <w:color w:val="0070C0"/>
          <w:sz w:val="16"/>
          <w:szCs w:val="16"/>
        </w:rPr>
      </w:pPr>
      <w:r w:rsidRPr="00507A31">
        <w:rPr>
          <w:color w:val="0070C0"/>
          <w:sz w:val="16"/>
          <w:szCs w:val="16"/>
        </w:rPr>
        <w:t>Флотилия думает развивать этот тип глиссера с некоторыми малыми усовершенствованиями для разведки, нападения, связи и пр.</w:t>
      </w:r>
    </w:p>
    <w:p w14:paraId="21898C43" w14:textId="77777777" w:rsidR="00B678C9" w:rsidRPr="00507A31" w:rsidRDefault="00B678C9" w:rsidP="00507A31">
      <w:pPr>
        <w:shd w:val="clear" w:color="auto" w:fill="FFFFFF"/>
        <w:jc w:val="both"/>
        <w:rPr>
          <w:color w:val="0070C0"/>
          <w:sz w:val="16"/>
          <w:szCs w:val="16"/>
        </w:rPr>
      </w:pPr>
      <w:r w:rsidRPr="00507A31">
        <w:rPr>
          <w:color w:val="0070C0"/>
          <w:sz w:val="16"/>
          <w:szCs w:val="16"/>
        </w:rPr>
        <w:t>В Гэмеле после демонстрационных поездок глиссера Горсовет Автодора дивизия согласились выстроить 5 глиссеров при условии получения чертежей и моторов из центра. На банкете, устроенном ввиду прибытия флотилии, в Гэмеле мне пришлось говорить о глиссерах. Для Киева, Днепростроя, Гэмеля мною были написаны статьи в газеты ввиду большого интереса, проявленного к нам местным населением.</w:t>
      </w:r>
    </w:p>
    <w:p w14:paraId="34D699BE" w14:textId="77777777" w:rsidR="00B678C9" w:rsidRPr="00507A31" w:rsidRDefault="00B678C9" w:rsidP="00507A31">
      <w:pPr>
        <w:shd w:val="clear" w:color="auto" w:fill="FFFFFF"/>
        <w:jc w:val="both"/>
        <w:rPr>
          <w:color w:val="0070C0"/>
          <w:sz w:val="16"/>
          <w:szCs w:val="16"/>
        </w:rPr>
      </w:pPr>
      <w:r w:rsidRPr="00507A31">
        <w:rPr>
          <w:color w:val="0070C0"/>
          <w:sz w:val="16"/>
          <w:szCs w:val="16"/>
        </w:rPr>
        <w:t>Начальник флотилии и весь состав просили об оставлении глиссера в их распоряжении и даже о полной передаче его им. Для подготовки кадров по моему настоянию инженер Андреев согласился поехать на Днепрострой и подучить за это время их механиков и водителей езде на глиссере и обращению с мотором.»</w:t>
      </w:r>
    </w:p>
    <w:p w14:paraId="27D4D8BB" w14:textId="77777777" w:rsidR="00B678C9" w:rsidRPr="00507A31" w:rsidRDefault="00B678C9" w:rsidP="00507A31">
      <w:pPr>
        <w:shd w:val="clear" w:color="auto" w:fill="FFFFFF"/>
        <w:jc w:val="both"/>
        <w:rPr>
          <w:color w:val="0070C0"/>
          <w:sz w:val="16"/>
          <w:szCs w:val="16"/>
        </w:rPr>
      </w:pPr>
      <w:r w:rsidRPr="00507A31">
        <w:rPr>
          <w:color w:val="0070C0"/>
          <w:sz w:val="16"/>
          <w:szCs w:val="16"/>
        </w:rPr>
        <w:t>А-3 имел аналогичные А-1 габариты, но отличался килеватостью днища (А-1 был плоскодонным), более мощной силовой установкой и наличием вооружения – пулеметной турели (21504).</w:t>
      </w:r>
    </w:p>
    <w:p w14:paraId="2B8B3515" w14:textId="77777777" w:rsidR="00B678C9" w:rsidRPr="00507A31" w:rsidRDefault="00B678C9" w:rsidP="00507A31">
      <w:pPr>
        <w:jc w:val="both"/>
        <w:rPr>
          <w:color w:val="0070C0"/>
          <w:sz w:val="16"/>
          <w:szCs w:val="16"/>
        </w:rPr>
      </w:pPr>
    </w:p>
    <w:p w14:paraId="5744A6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года сторожевик Ураган николаевского завода впервые вышел в море под своими турбинами (3898).</w:t>
      </w:r>
    </w:p>
    <w:p w14:paraId="7FC3B438" w14:textId="77777777" w:rsidR="00537E5F" w:rsidRPr="00507A31" w:rsidRDefault="00537E5F" w:rsidP="00507A31">
      <w:pPr>
        <w:autoSpaceDE w:val="0"/>
        <w:autoSpaceDN w:val="0"/>
        <w:adjustRightInd w:val="0"/>
        <w:jc w:val="both"/>
        <w:rPr>
          <w:color w:val="000000" w:themeColor="text1"/>
          <w:sz w:val="16"/>
          <w:szCs w:val="16"/>
        </w:rPr>
      </w:pPr>
    </w:p>
    <w:p w14:paraId="11E5D3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 завершилось эскизное проектирование тральщика, которое велось в НТК УВМС под ру</w:t>
      </w:r>
      <w:r w:rsidRPr="00507A31">
        <w:rPr>
          <w:color w:val="000000" w:themeColor="text1"/>
          <w:sz w:val="16"/>
          <w:szCs w:val="16"/>
        </w:rPr>
        <w:softHyphen/>
        <w:t>ководством Ю. А. Шиманского (3898).</w:t>
      </w:r>
    </w:p>
    <w:p w14:paraId="38EC41C8" w14:textId="77777777" w:rsidR="00537E5F" w:rsidRPr="00507A31" w:rsidRDefault="00537E5F" w:rsidP="00507A31">
      <w:pPr>
        <w:autoSpaceDE w:val="0"/>
        <w:autoSpaceDN w:val="0"/>
        <w:adjustRightInd w:val="0"/>
        <w:jc w:val="both"/>
        <w:rPr>
          <w:color w:val="000000" w:themeColor="text1"/>
          <w:sz w:val="16"/>
          <w:szCs w:val="16"/>
        </w:rPr>
      </w:pPr>
    </w:p>
    <w:p w14:paraId="5AA458F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DF4F3BC" w14:textId="77777777" w:rsidR="00537E5F" w:rsidRPr="00507A31" w:rsidRDefault="00537E5F" w:rsidP="00507A31">
      <w:pPr>
        <w:autoSpaceDE w:val="0"/>
        <w:autoSpaceDN w:val="0"/>
        <w:adjustRightInd w:val="0"/>
        <w:jc w:val="both"/>
        <w:rPr>
          <w:color w:val="000000" w:themeColor="text1"/>
          <w:sz w:val="16"/>
          <w:szCs w:val="16"/>
        </w:rPr>
      </w:pPr>
    </w:p>
    <w:p w14:paraId="693759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 в тюрьме ОГПУ оказался начальник Учебно-строевого управления УВМС М. А. Петров, а также многие командиры РККФ из бывших офицеров, в том числе Игнатьев, Тошаков и заместитель Петрова В.П.Римский-Корсаков. Морякам были предъявлены обвинения в "антисоветской деятельности" (3898).</w:t>
      </w:r>
    </w:p>
    <w:p w14:paraId="0B71540D" w14:textId="77777777" w:rsidR="00537E5F" w:rsidRPr="00507A31" w:rsidRDefault="00537E5F" w:rsidP="00507A31">
      <w:pPr>
        <w:autoSpaceDE w:val="0"/>
        <w:autoSpaceDN w:val="0"/>
        <w:adjustRightInd w:val="0"/>
        <w:jc w:val="both"/>
        <w:rPr>
          <w:color w:val="000000" w:themeColor="text1"/>
          <w:sz w:val="16"/>
          <w:szCs w:val="16"/>
        </w:rPr>
      </w:pPr>
    </w:p>
    <w:p w14:paraId="15B23451" w14:textId="77777777" w:rsidR="00C50B8F" w:rsidRPr="00507A31" w:rsidRDefault="00C50B8F"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08DC6BD" w14:textId="77777777" w:rsidR="00C50B8F" w:rsidRPr="00507A31" w:rsidRDefault="00C50B8F" w:rsidP="00507A31">
      <w:pPr>
        <w:autoSpaceDE w:val="0"/>
        <w:autoSpaceDN w:val="0"/>
        <w:adjustRightInd w:val="0"/>
        <w:jc w:val="both"/>
        <w:rPr>
          <w:iCs/>
          <w:color w:val="000000" w:themeColor="text1"/>
          <w:sz w:val="16"/>
          <w:szCs w:val="16"/>
        </w:rPr>
      </w:pPr>
    </w:p>
    <w:p w14:paraId="0A0E2D29" w14:textId="77777777" w:rsidR="00C50B8F" w:rsidRPr="00507A31" w:rsidRDefault="00C50B8F" w:rsidP="00507A31">
      <w:pPr>
        <w:jc w:val="both"/>
        <w:rPr>
          <w:color w:val="000000" w:themeColor="text1"/>
          <w:sz w:val="16"/>
          <w:szCs w:val="16"/>
        </w:rPr>
      </w:pPr>
      <w:r w:rsidRPr="00507A31">
        <w:rPr>
          <w:color w:val="000000" w:themeColor="text1"/>
          <w:sz w:val="16"/>
          <w:szCs w:val="16"/>
        </w:rPr>
        <w:t>В октябре 1930 г. постановление ЦК ВКП(б) «О положении массового изобретательства под углом зрения его влияния на рационализацию производства» подчеркнуло, что изобретательство – важное средство ускорения технического прогресса и роста производительного труда. На НИИ была возложена обязанность оказывать помощь рабочим заводов в техникоэкономической проработке изобретений. В целях координации всей работы было принято решение организовать при Совете труда и обороны Правительственный Комитет по изобретательству. ЦК партии предложил ЦКК РКИ и Наркомату юстиции «установить систематическое наблюдение и проверку директив партии и правительства за реализацией изобретений, а за невыполнение применять строгие взыскания» (19546).</w:t>
      </w:r>
    </w:p>
    <w:p w14:paraId="5CE731F8" w14:textId="77777777" w:rsidR="00C50B8F" w:rsidRPr="00507A31" w:rsidRDefault="00C50B8F" w:rsidP="00507A31">
      <w:pPr>
        <w:jc w:val="both"/>
        <w:rPr>
          <w:color w:val="000000" w:themeColor="text1"/>
          <w:sz w:val="16"/>
          <w:szCs w:val="16"/>
        </w:rPr>
      </w:pPr>
    </w:p>
    <w:p w14:paraId="2C74DA27" w14:textId="77777777" w:rsidR="00C50B8F" w:rsidRPr="00507A31" w:rsidRDefault="00C50B8F" w:rsidP="00507A31">
      <w:pPr>
        <w:jc w:val="both"/>
        <w:rPr>
          <w:color w:val="000000" w:themeColor="text1"/>
          <w:sz w:val="16"/>
          <w:szCs w:val="16"/>
        </w:rPr>
      </w:pPr>
      <w:r w:rsidRPr="00507A31">
        <w:rPr>
          <w:color w:val="000000" w:themeColor="text1"/>
          <w:sz w:val="16"/>
          <w:szCs w:val="16"/>
        </w:rPr>
        <w:t xml:space="preserve">В октябре 1930 г. в журнале «Коммунальное хозяйство» комиссия опубликовала результаты своей работы под грифом ни к чему не обязывающих «материалов», оценив состояние трамвайного сообщения как близкое к параличу. По сравнению с 1913 г. объем перевозок пассажиров вырос на 219%, расширение же трамвайных линий уступало этой динамике (см. табл. 3).Таблица 3.Трамвайное сообщение в Москве, 1913-1930 гг.{265} </w:t>
      </w:r>
    </w:p>
    <w:p w14:paraId="19E1C297" w14:textId="77777777" w:rsidR="00C50B8F" w:rsidRPr="00507A31" w:rsidRDefault="00C50B8F" w:rsidP="00507A31">
      <w:pPr>
        <w:jc w:val="both"/>
        <w:rPr>
          <w:color w:val="000000" w:themeColor="text1"/>
          <w:sz w:val="16"/>
          <w:szCs w:val="16"/>
        </w:rPr>
      </w:pPr>
      <w:r w:rsidRPr="00507A31">
        <w:rPr>
          <w:color w:val="000000" w:themeColor="text1"/>
          <w:sz w:val="16"/>
          <w:szCs w:val="16"/>
        </w:rPr>
        <w:t>До конца пятилетки протяженность трамвайных путей должна была вырасти до 480 км, количество вагонов — до 2360, число пассажиров — до 1400 млн. Дальнейшее расширение трамвайных путей в центре города оказывалось невозможным. Уже теперь МГЖД вынуждено было сократить количество остановочных пунктов, чтобы не парализовать уличное движение. Население Москвы к 1932 г. обещало вырасти до 3 млн. чел. — и этот прогноз сбылся. Все важные учреждения располагались в городском центре, и именно здесь следовало по возможности скорее начать строительство метро. Одна линия могла бы перевозить в час 60 тыс. пассажиров, тогда как трамвай — только 12 тыс. До 1932 г. следовало сдать в эксплуатацию по меньшей мере участок на Мясницкой ул. На период до полного сооружения линии метро его можно было использовать как трамвайный тоннель. Полный отказ от трамваев невозможен; проблема имеет не просто коммунальный характер, но касается столицы Советского Союза{266} (18299).</w:t>
      </w:r>
    </w:p>
    <w:p w14:paraId="04F2EC15" w14:textId="77777777" w:rsidR="00C50B8F" w:rsidRPr="00507A31" w:rsidRDefault="00C50B8F" w:rsidP="00507A31">
      <w:pPr>
        <w:jc w:val="both"/>
        <w:rPr>
          <w:color w:val="000000" w:themeColor="text1"/>
          <w:sz w:val="16"/>
          <w:szCs w:val="16"/>
        </w:rPr>
      </w:pPr>
    </w:p>
    <w:p w14:paraId="7657913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86A8535" w14:textId="77777777" w:rsidR="00537E5F" w:rsidRPr="00507A31" w:rsidRDefault="00537E5F" w:rsidP="00507A31">
      <w:pPr>
        <w:autoSpaceDE w:val="0"/>
        <w:autoSpaceDN w:val="0"/>
        <w:adjustRightInd w:val="0"/>
        <w:jc w:val="both"/>
        <w:rPr>
          <w:iCs/>
          <w:color w:val="000000" w:themeColor="text1"/>
          <w:sz w:val="16"/>
          <w:szCs w:val="16"/>
        </w:rPr>
      </w:pPr>
    </w:p>
    <w:p w14:paraId="49850BE8" w14:textId="77777777" w:rsidR="006657D1" w:rsidRPr="00507A31" w:rsidRDefault="006657D1" w:rsidP="00507A31">
      <w:pPr>
        <w:jc w:val="both"/>
        <w:rPr>
          <w:color w:val="000000" w:themeColor="text1"/>
          <w:sz w:val="16"/>
          <w:szCs w:val="16"/>
        </w:rPr>
      </w:pPr>
      <w:r w:rsidRPr="00507A31">
        <w:rPr>
          <w:color w:val="000000" w:themeColor="text1"/>
          <w:sz w:val="16"/>
          <w:szCs w:val="16"/>
        </w:rPr>
        <w:t>В октябре 1930 г. на аэродроме в Дюссельдорфе прошли испытания ракетного планера Эспенлауба. В конце 1929 года немецкий лётчик и авиаконструктор Г. Эспенлауб установил две пороховые ракеты на крыле планера обычной схемы. Ему удалось осуществить короткий реактивный полёт, но после посадки пилот обнаружил, что вертикальное оперение сильно обгорело. Поэтому следующий опыт Эспенлауб проводил на бесхвостом планере. Аппарат весил 220 кг, из них 70 кг приходилось на пороховые ракеты. Отбуксированный на высоту самолётом ракетоплан развил скорость 90 км/ч (17489).</w:t>
      </w:r>
    </w:p>
    <w:p w14:paraId="1026B254" w14:textId="77777777" w:rsidR="006657D1" w:rsidRPr="00507A31" w:rsidRDefault="006657D1" w:rsidP="00507A31">
      <w:pPr>
        <w:jc w:val="both"/>
        <w:rPr>
          <w:color w:val="000000" w:themeColor="text1"/>
          <w:sz w:val="16"/>
          <w:szCs w:val="16"/>
        </w:rPr>
      </w:pPr>
    </w:p>
    <w:p w14:paraId="3793FB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 1930 года был арестован инженер Колленбах, который работал на заводе конценра «Крупп» в Магдебурге. В его портфеле обнаружились секретные документы, описания патентов и чертежи машин. Выяснилось, что он и еще двое коллег готовились к отъезду в Россию и эти материалы были «пропуском» в СССР. Их тоже приговорили к четырем месяцам тюрьмы (11765).</w:t>
      </w:r>
    </w:p>
    <w:p w14:paraId="431DDC45" w14:textId="77777777" w:rsidR="00537E5F" w:rsidRPr="00507A31" w:rsidRDefault="00537E5F" w:rsidP="00507A31">
      <w:pPr>
        <w:autoSpaceDE w:val="0"/>
        <w:autoSpaceDN w:val="0"/>
        <w:adjustRightInd w:val="0"/>
        <w:jc w:val="both"/>
        <w:rPr>
          <w:color w:val="000000" w:themeColor="text1"/>
          <w:sz w:val="16"/>
          <w:szCs w:val="16"/>
        </w:rPr>
      </w:pPr>
    </w:p>
    <w:p w14:paraId="10CE76D3" w14:textId="77777777" w:rsidR="003B0889" w:rsidRPr="00507A31" w:rsidRDefault="003B0889"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BB12B8E" w14:textId="77777777" w:rsidR="003B0889" w:rsidRPr="00507A31" w:rsidRDefault="003B0889" w:rsidP="00507A31">
      <w:pPr>
        <w:autoSpaceDE w:val="0"/>
        <w:autoSpaceDN w:val="0"/>
        <w:adjustRightInd w:val="0"/>
        <w:jc w:val="both"/>
        <w:rPr>
          <w:iCs/>
          <w:color w:val="000000" w:themeColor="text1"/>
          <w:sz w:val="16"/>
          <w:szCs w:val="16"/>
        </w:rPr>
      </w:pPr>
    </w:p>
    <w:p w14:paraId="55C129B6" w14:textId="77777777" w:rsidR="003B0889" w:rsidRPr="00507A31" w:rsidRDefault="003B0889" w:rsidP="00507A31">
      <w:pPr>
        <w:pStyle w:val="161"/>
        <w:shd w:val="clear" w:color="auto" w:fill="auto"/>
        <w:spacing w:before="0" w:line="240" w:lineRule="auto"/>
        <w:jc w:val="both"/>
        <w:rPr>
          <w:rFonts w:ascii="Times New Roman" w:hAnsi="Times New Roman" w:cs="Times New Roman"/>
          <w:color w:val="0070C0"/>
          <w:sz w:val="16"/>
          <w:szCs w:val="16"/>
        </w:rPr>
      </w:pPr>
      <w:r w:rsidRPr="00507A31">
        <w:rPr>
          <w:rFonts w:ascii="Times New Roman" w:hAnsi="Times New Roman" w:cs="Times New Roman"/>
          <w:color w:val="0070C0"/>
          <w:sz w:val="16"/>
          <w:szCs w:val="16"/>
          <w:lang w:val="ru-RU"/>
        </w:rPr>
        <w:t>К</w:t>
      </w:r>
      <w:r w:rsidRPr="00507A31">
        <w:rPr>
          <w:rFonts w:ascii="Times New Roman" w:hAnsi="Times New Roman" w:cs="Times New Roman"/>
          <w:color w:val="0070C0"/>
          <w:sz w:val="16"/>
          <w:szCs w:val="16"/>
        </w:rPr>
        <w:t xml:space="preserve"> ноябрю 193</w:t>
      </w:r>
      <w:r w:rsidRPr="00507A31">
        <w:rPr>
          <w:rFonts w:ascii="Times New Roman" w:hAnsi="Times New Roman" w:cs="Times New Roman"/>
          <w:color w:val="0070C0"/>
          <w:sz w:val="16"/>
          <w:szCs w:val="16"/>
          <w:lang w:val="ru-RU"/>
        </w:rPr>
        <w:t>0</w:t>
      </w:r>
      <w:r w:rsidRPr="00507A31">
        <w:rPr>
          <w:rFonts w:ascii="Times New Roman" w:hAnsi="Times New Roman" w:cs="Times New Roman"/>
          <w:color w:val="0070C0"/>
          <w:sz w:val="16"/>
          <w:szCs w:val="16"/>
        </w:rPr>
        <w:t xml:space="preserve"> г. </w:t>
      </w:r>
      <w:r w:rsidRPr="00507A31">
        <w:rPr>
          <w:rFonts w:ascii="Times New Roman" w:hAnsi="Times New Roman" w:cs="Times New Roman"/>
          <w:color w:val="0070C0"/>
          <w:sz w:val="16"/>
          <w:szCs w:val="16"/>
          <w:lang w:val="ru-RU"/>
        </w:rPr>
        <w:t xml:space="preserve">В КА </w:t>
      </w:r>
      <w:r w:rsidRPr="00507A31">
        <w:rPr>
          <w:rFonts w:ascii="Times New Roman" w:hAnsi="Times New Roman" w:cs="Times New Roman"/>
          <w:color w:val="0070C0"/>
          <w:sz w:val="16"/>
          <w:szCs w:val="16"/>
        </w:rPr>
        <w:t>было всего 340 шт. минометы отече</w:t>
      </w:r>
      <w:r w:rsidRPr="00507A31">
        <w:rPr>
          <w:rFonts w:ascii="Times New Roman" w:hAnsi="Times New Roman" w:cs="Times New Roman"/>
          <w:color w:val="0070C0"/>
          <w:sz w:val="16"/>
          <w:szCs w:val="16"/>
        </w:rPr>
        <w:softHyphen/>
        <w:t>ственных и иностранных систем</w:t>
      </w:r>
      <w:r w:rsidRPr="00507A31">
        <w:rPr>
          <w:rFonts w:ascii="Times New Roman" w:hAnsi="Times New Roman" w:cs="Times New Roman"/>
          <w:color w:val="0070C0"/>
          <w:sz w:val="16"/>
          <w:szCs w:val="16"/>
          <w:lang w:val="ru-RU"/>
        </w:rPr>
        <w:t>.</w:t>
      </w:r>
      <w:r w:rsidRPr="00507A31">
        <w:rPr>
          <w:rFonts w:ascii="Times New Roman" w:hAnsi="Times New Roman" w:cs="Times New Roman"/>
          <w:color w:val="0070C0"/>
          <w:sz w:val="16"/>
          <w:szCs w:val="16"/>
        </w:rPr>
        <w:t xml:space="preserve"> В 1929 г. во время конфликта на КВЖД было захваче</w:t>
      </w:r>
      <w:r w:rsidRPr="00507A31">
        <w:rPr>
          <w:rFonts w:ascii="Times New Roman" w:hAnsi="Times New Roman" w:cs="Times New Roman"/>
          <w:color w:val="0070C0"/>
          <w:sz w:val="16"/>
          <w:szCs w:val="16"/>
        </w:rPr>
        <w:softHyphen/>
        <w:t>но несколько сотен минометов Стокса. Часть их передали для изучения в Газодинамиче</w:t>
      </w:r>
      <w:r w:rsidRPr="00507A31">
        <w:rPr>
          <w:rFonts w:ascii="Times New Roman" w:hAnsi="Times New Roman" w:cs="Times New Roman"/>
          <w:color w:val="0070C0"/>
          <w:sz w:val="16"/>
          <w:szCs w:val="16"/>
        </w:rPr>
        <w:softHyphen/>
        <w:t>скую лабораторию, где в группе «Д» под руководством Н.А. Доровлева был разрабо</w:t>
      </w:r>
      <w:r w:rsidRPr="00507A31">
        <w:rPr>
          <w:rFonts w:ascii="Times New Roman" w:hAnsi="Times New Roman" w:cs="Times New Roman"/>
          <w:color w:val="0070C0"/>
          <w:sz w:val="16"/>
          <w:szCs w:val="16"/>
        </w:rPr>
        <w:softHyphen/>
        <w:t>тан в 1930 г. 107-мм химический миномет МС- 107 (миномет Стокса 107 мм). В 1931 г. его модернизировали и под наименованием ХМ- 107 запустили в производство. С этих кон</w:t>
      </w:r>
      <w:r w:rsidRPr="00507A31">
        <w:rPr>
          <w:rFonts w:ascii="Times New Roman" w:hAnsi="Times New Roman" w:cs="Times New Roman"/>
          <w:color w:val="0070C0"/>
          <w:sz w:val="16"/>
          <w:szCs w:val="16"/>
        </w:rPr>
        <w:softHyphen/>
        <w:t>струкций началась в Советской армии исто</w:t>
      </w:r>
      <w:r w:rsidRPr="00507A31">
        <w:rPr>
          <w:rFonts w:ascii="Times New Roman" w:hAnsi="Times New Roman" w:cs="Times New Roman"/>
          <w:color w:val="0070C0"/>
          <w:sz w:val="16"/>
          <w:szCs w:val="16"/>
        </w:rPr>
        <w:softHyphen/>
        <w:t>рия 107-мм минометов</w:t>
      </w:r>
      <w:r w:rsidRPr="00507A31">
        <w:rPr>
          <w:rFonts w:ascii="Times New Roman" w:hAnsi="Times New Roman" w:cs="Times New Roman"/>
          <w:color w:val="0070C0"/>
          <w:sz w:val="16"/>
          <w:szCs w:val="16"/>
          <w:lang w:val="ru-RU"/>
        </w:rPr>
        <w:t xml:space="preserve"> (19865)</w:t>
      </w:r>
      <w:r w:rsidRPr="00507A31">
        <w:rPr>
          <w:rFonts w:ascii="Times New Roman" w:hAnsi="Times New Roman" w:cs="Times New Roman"/>
          <w:color w:val="0070C0"/>
          <w:sz w:val="16"/>
          <w:szCs w:val="16"/>
        </w:rPr>
        <w:t>.</w:t>
      </w:r>
    </w:p>
    <w:p w14:paraId="6E6A0EB2" w14:textId="77777777" w:rsidR="003B0889" w:rsidRPr="00507A31" w:rsidRDefault="003B0889" w:rsidP="00507A31">
      <w:pPr>
        <w:pStyle w:val="161"/>
        <w:shd w:val="clear" w:color="auto" w:fill="auto"/>
        <w:spacing w:before="0" w:line="240" w:lineRule="auto"/>
        <w:jc w:val="both"/>
        <w:rPr>
          <w:rFonts w:ascii="Times New Roman" w:hAnsi="Times New Roman" w:cs="Times New Roman"/>
          <w:color w:val="0070C0"/>
          <w:sz w:val="16"/>
          <w:szCs w:val="16"/>
        </w:rPr>
      </w:pPr>
    </w:p>
    <w:p w14:paraId="59CE11E4" w14:textId="77777777" w:rsidR="003B0889" w:rsidRPr="00507A31" w:rsidRDefault="003B0889" w:rsidP="00507A31">
      <w:pPr>
        <w:shd w:val="clear" w:color="auto" w:fill="FFFFFF"/>
        <w:jc w:val="both"/>
        <w:rPr>
          <w:color w:val="0070C0"/>
          <w:sz w:val="16"/>
          <w:szCs w:val="16"/>
        </w:rPr>
      </w:pPr>
      <w:r w:rsidRPr="00507A31">
        <w:rPr>
          <w:color w:val="0070C0"/>
          <w:sz w:val="16"/>
          <w:szCs w:val="16"/>
        </w:rPr>
        <w:t>К ноябрю 1930 года место Т-18 в системе вооружения занял английский «Виккерс б-тонный» (будущий Т- 26), на место среднего Т-24 стали претендо</w:t>
      </w:r>
      <w:r w:rsidRPr="00507A31">
        <w:rPr>
          <w:color w:val="0070C0"/>
          <w:sz w:val="16"/>
          <w:szCs w:val="16"/>
        </w:rPr>
        <w:softHyphen/>
        <w:t>вать «Виккерс 12-тонный» и танк Кристи (будущий БТ), а танкеткой назначили «Кар</w:t>
      </w:r>
      <w:r w:rsidRPr="00507A31">
        <w:rPr>
          <w:color w:val="0070C0"/>
          <w:sz w:val="16"/>
          <w:szCs w:val="16"/>
        </w:rPr>
        <w:softHyphen/>
        <w:t>ден-Лойд» (Т-27), отказавшись от требова</w:t>
      </w:r>
      <w:r w:rsidRPr="00507A31">
        <w:rPr>
          <w:color w:val="0070C0"/>
          <w:sz w:val="16"/>
          <w:szCs w:val="16"/>
        </w:rPr>
        <w:softHyphen/>
        <w:t>ния колесно-гусеничного хода. Место «боль</w:t>
      </w:r>
      <w:r w:rsidRPr="00507A31">
        <w:rPr>
          <w:color w:val="0070C0"/>
          <w:sz w:val="16"/>
          <w:szCs w:val="16"/>
        </w:rPr>
        <w:softHyphen/>
        <w:t>шого танка» осталось вакантным - «этого типа танка нет даже в конструкции. Дано задание на разработку фирме «Виккерс». Окончательное соглашение с фирмой пока не достигнуто» (19859).</w:t>
      </w:r>
    </w:p>
    <w:p w14:paraId="51915076" w14:textId="77777777" w:rsidR="003B0889" w:rsidRPr="00507A31" w:rsidRDefault="003B0889" w:rsidP="00507A31">
      <w:pPr>
        <w:shd w:val="clear" w:color="auto" w:fill="FFFFFF"/>
        <w:jc w:val="both"/>
        <w:rPr>
          <w:color w:val="0070C0"/>
          <w:sz w:val="16"/>
          <w:szCs w:val="16"/>
        </w:rPr>
      </w:pPr>
    </w:p>
    <w:p w14:paraId="6B982E9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840236F" w14:textId="77777777" w:rsidR="00537E5F" w:rsidRPr="00507A31" w:rsidRDefault="00537E5F" w:rsidP="00507A31">
      <w:pPr>
        <w:autoSpaceDE w:val="0"/>
        <w:autoSpaceDN w:val="0"/>
        <w:adjustRightInd w:val="0"/>
        <w:jc w:val="both"/>
        <w:rPr>
          <w:iCs/>
          <w:color w:val="000000" w:themeColor="text1"/>
          <w:sz w:val="16"/>
          <w:szCs w:val="16"/>
        </w:rPr>
      </w:pPr>
    </w:p>
    <w:p w14:paraId="5F9C25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октябре-ноябре 1930 в ЦАГИ на аэродроме проводились испытания на привязи первого вертолета ВГ-1 (1-ЭА) (2666,78).</w:t>
      </w:r>
    </w:p>
    <w:p w14:paraId="0452BBBB" w14:textId="77777777" w:rsidR="00537E5F" w:rsidRPr="00507A31" w:rsidRDefault="00537E5F" w:rsidP="00507A31">
      <w:pPr>
        <w:autoSpaceDE w:val="0"/>
        <w:autoSpaceDN w:val="0"/>
        <w:adjustRightInd w:val="0"/>
        <w:jc w:val="both"/>
        <w:rPr>
          <w:color w:val="000000" w:themeColor="text1"/>
          <w:sz w:val="16"/>
          <w:szCs w:val="16"/>
        </w:rPr>
      </w:pPr>
    </w:p>
    <w:p w14:paraId="74F89EF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0F7661E" w14:textId="77777777" w:rsidR="00537E5F" w:rsidRPr="00507A31" w:rsidRDefault="00537E5F" w:rsidP="00507A31">
      <w:pPr>
        <w:autoSpaceDE w:val="0"/>
        <w:autoSpaceDN w:val="0"/>
        <w:adjustRightInd w:val="0"/>
        <w:jc w:val="both"/>
        <w:rPr>
          <w:iCs/>
          <w:color w:val="000000" w:themeColor="text1"/>
          <w:sz w:val="16"/>
          <w:szCs w:val="16"/>
        </w:rPr>
      </w:pPr>
    </w:p>
    <w:p w14:paraId="2E152E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ноябрю 1930 был готов И-8 (АНТ-13) П.О.С. (1454,22).</w:t>
      </w:r>
    </w:p>
    <w:p w14:paraId="7D96141A" w14:textId="77777777" w:rsidR="00537E5F" w:rsidRPr="00507A31" w:rsidRDefault="00537E5F" w:rsidP="00507A31">
      <w:pPr>
        <w:autoSpaceDE w:val="0"/>
        <w:autoSpaceDN w:val="0"/>
        <w:adjustRightInd w:val="0"/>
        <w:jc w:val="both"/>
        <w:rPr>
          <w:color w:val="000000" w:themeColor="text1"/>
          <w:sz w:val="16"/>
          <w:szCs w:val="16"/>
        </w:rPr>
      </w:pPr>
    </w:p>
    <w:p w14:paraId="018E166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2FF4843" w14:textId="77777777" w:rsidR="00537E5F" w:rsidRPr="00507A31" w:rsidRDefault="00537E5F" w:rsidP="00507A31">
      <w:pPr>
        <w:autoSpaceDE w:val="0"/>
        <w:autoSpaceDN w:val="0"/>
        <w:adjustRightInd w:val="0"/>
        <w:jc w:val="both"/>
        <w:rPr>
          <w:iCs/>
          <w:color w:val="000000" w:themeColor="text1"/>
          <w:sz w:val="16"/>
          <w:szCs w:val="16"/>
        </w:rPr>
      </w:pPr>
    </w:p>
    <w:p w14:paraId="5684051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ноября 1930 состоялся первый полет ТБ3 на НОА. По расчету ЦАГИ хорошие данные самолета получаются с мотором М-34 (6925).</w:t>
      </w:r>
    </w:p>
    <w:p w14:paraId="21C30A2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268939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ноября 1930 года ЦАГИ получен самолет ТБ1 для производства испытаний по уменьшению давления на штурвал от элеронов и устранения вибраций хвостовой части (6925).</w:t>
      </w:r>
    </w:p>
    <w:p w14:paraId="10F2EE8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A666918" w14:textId="77777777" w:rsidR="00675290" w:rsidRPr="00507A31" w:rsidRDefault="00675290" w:rsidP="00507A31">
      <w:pPr>
        <w:jc w:val="both"/>
        <w:rPr>
          <w:color w:val="0070C0"/>
          <w:sz w:val="16"/>
          <w:szCs w:val="16"/>
          <w:lang w:bidi="ru-RU"/>
        </w:rPr>
      </w:pPr>
      <w:r w:rsidRPr="00507A31">
        <w:rPr>
          <w:color w:val="0070C0"/>
          <w:sz w:val="16"/>
          <w:szCs w:val="16"/>
          <w:lang w:bidi="ru-RU"/>
        </w:rPr>
        <w:lastRenderedPageBreak/>
        <w:t>По состоянию на 1 ноября 1930 готов</w:t>
      </w:r>
      <w:r w:rsidRPr="00507A31">
        <w:rPr>
          <w:color w:val="0070C0"/>
          <w:sz w:val="16"/>
          <w:szCs w:val="16"/>
          <w:lang w:bidi="ru-RU"/>
        </w:rPr>
        <w:softHyphen/>
        <w:t>ность самолета ТШ-2 оценивалась только в 40%. Это оказалось к лучшему, так как 30 но</w:t>
      </w:r>
      <w:r w:rsidRPr="00507A31">
        <w:rPr>
          <w:color w:val="0070C0"/>
          <w:sz w:val="16"/>
          <w:szCs w:val="16"/>
          <w:lang w:bidi="ru-RU"/>
        </w:rPr>
        <w:softHyphen/>
        <w:t>ября НТК ВВС утвердило новые тактико</w:t>
      </w:r>
      <w:r w:rsidRPr="00507A31">
        <w:rPr>
          <w:color w:val="0070C0"/>
          <w:sz w:val="16"/>
          <w:szCs w:val="16"/>
          <w:lang w:bidi="ru-RU"/>
        </w:rPr>
        <w:softHyphen/>
        <w:t>технические требования к самолету-штур</w:t>
      </w:r>
      <w:r w:rsidRPr="00507A31">
        <w:rPr>
          <w:color w:val="0070C0"/>
          <w:sz w:val="16"/>
          <w:szCs w:val="16"/>
          <w:lang w:bidi="ru-RU"/>
        </w:rPr>
        <w:softHyphen/>
        <w:t>мовику этого класса (21062).</w:t>
      </w:r>
    </w:p>
    <w:p w14:paraId="25DA996F" w14:textId="77777777" w:rsidR="00675290" w:rsidRPr="00507A31" w:rsidRDefault="00675290" w:rsidP="00507A31">
      <w:pPr>
        <w:jc w:val="both"/>
        <w:rPr>
          <w:color w:val="0070C0"/>
          <w:sz w:val="16"/>
          <w:szCs w:val="16"/>
        </w:rPr>
      </w:pPr>
    </w:p>
    <w:p w14:paraId="52B4C5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 А.С.Я. подготовил объяснительную записку к проекту АИР-5 (ВВА-5) (3971,5).</w:t>
      </w:r>
    </w:p>
    <w:p w14:paraId="7BFEE6EF" w14:textId="77777777" w:rsidR="00537E5F" w:rsidRPr="00507A31" w:rsidRDefault="00537E5F" w:rsidP="00507A31">
      <w:pPr>
        <w:autoSpaceDE w:val="0"/>
        <w:autoSpaceDN w:val="0"/>
        <w:adjustRightInd w:val="0"/>
        <w:jc w:val="both"/>
        <w:rPr>
          <w:color w:val="000000" w:themeColor="text1"/>
          <w:sz w:val="16"/>
          <w:szCs w:val="16"/>
        </w:rPr>
      </w:pPr>
    </w:p>
    <w:p w14:paraId="7CEE46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 состоялся первый полет самолета К.А.Калинина К-9 (274).</w:t>
      </w:r>
    </w:p>
    <w:p w14:paraId="5C1D0B31" w14:textId="77777777" w:rsidR="00537E5F" w:rsidRPr="00507A31" w:rsidRDefault="00537E5F" w:rsidP="00507A31">
      <w:pPr>
        <w:autoSpaceDE w:val="0"/>
        <w:autoSpaceDN w:val="0"/>
        <w:adjustRightInd w:val="0"/>
        <w:jc w:val="both"/>
        <w:rPr>
          <w:color w:val="000000" w:themeColor="text1"/>
          <w:sz w:val="16"/>
          <w:szCs w:val="16"/>
        </w:rPr>
      </w:pPr>
    </w:p>
    <w:p w14:paraId="61432FBD" w14:textId="77777777" w:rsidR="00C65549" w:rsidRPr="00507A31" w:rsidRDefault="00C65549" w:rsidP="00507A31">
      <w:pPr>
        <w:jc w:val="both"/>
        <w:rPr>
          <w:color w:val="000000" w:themeColor="text1"/>
          <w:sz w:val="16"/>
          <w:szCs w:val="16"/>
        </w:rPr>
      </w:pPr>
      <w:r w:rsidRPr="00507A31">
        <w:rPr>
          <w:rStyle w:val="ucoz-forum-post"/>
          <w:bCs/>
          <w:color w:val="000000" w:themeColor="text1"/>
          <w:sz w:val="16"/>
          <w:szCs w:val="16"/>
        </w:rPr>
        <w:t xml:space="preserve">1 ноября </w:t>
      </w:r>
      <w:r w:rsidRPr="00507A31">
        <w:rPr>
          <w:color w:val="000000" w:themeColor="text1"/>
          <w:sz w:val="16"/>
          <w:szCs w:val="16"/>
        </w:rPr>
        <w:t>в 1930 году первый полёт самолёта «К-9» конструкции К.А.Калинина, летчик – Снегирев М.А. Экипаж – 2 человек; Двигатель – ПДх1, РВ9 "Вальтер"; Мощность – 60 л.с.; Размах крыла – 10,0 м; Площадь крыла – 16,0 м2; Длина самолета – 6,9 м; Масса максимальная взлетная – 770 кг; Масса пустого – 550 кг; Масса полной нагрузки – 220 кг; Максимальная скорость у земли - 120 км/ч; Двухместный многоцелевой самолет «К-9» с двигателем "Вальтер" мощностью 60 л.с. проектировали с 1929 года. Ведущим конструктором проекта Калинин назначил сначала Немана И.Г., а позже Щербакова А.Я. В феврале 1930 года эскизный проект «К-9» утвердили в НТК УВВС. Деньги на постройку первого экземпляра этой модели собрали члены Осоавиахима Дзержинского района Харькова. «К-9» задумывался как массовый самолет со стоимостью не превышающей в серийном производстве 6-7 тысяч рублей, что позволяло бы приобретать эти машины любому облисполкому. Название "облисполкомовский" так и закрепилось за этой моделью. Считалось, что в дальнейшем подобные самолеты будут использоваться для исполкомов (14817).</w:t>
      </w:r>
    </w:p>
    <w:p w14:paraId="698B56CD" w14:textId="77777777" w:rsidR="00C65549" w:rsidRPr="00507A31" w:rsidRDefault="00C65549" w:rsidP="00507A31">
      <w:pPr>
        <w:jc w:val="both"/>
        <w:rPr>
          <w:color w:val="000000" w:themeColor="text1"/>
          <w:sz w:val="16"/>
          <w:szCs w:val="16"/>
        </w:rPr>
      </w:pPr>
    </w:p>
    <w:p w14:paraId="218DDAF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ноября 1930 года состоялось заседание 1-й секции НТК ВВС (Журнал № 29с).</w:t>
      </w:r>
    </w:p>
    <w:p w14:paraId="5A158C5E"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Отчет о работах ЦАГИ по разрезным крыльям.</w:t>
      </w:r>
    </w:p>
    <w:p w14:paraId="07B6E82A"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О плане работ по аэродинамическим исследованиям на самолете У2-М11 и о проектировании динамометрической втулки.</w:t>
      </w:r>
    </w:p>
    <w:p w14:paraId="0EF549F5"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Рассмотрение техтребований на постройку опытного самолета МУ-3 с мотором М-11 (6952).</w:t>
      </w:r>
    </w:p>
    <w:p w14:paraId="73230668"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p>
    <w:p w14:paraId="21B9ABC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1-3 ноября 1930 на полигоне в Крыму под Евпаторией проходили испытания ПБМ и ЗАМ - планирующих бом-мин и Майзеля - крылатых аппаратов с винтом, вращаемым предварительно раскрученным маховиком (15000-16000). 29 кг аппарат нес 23 кг взрывчатки и защитных авиамин - то же, но в оборонительной версии поменьше - 30 кг - конструкция + 21 кг врывчатки. Сделали по 10 в опытных мастерских № 3 ВОТИ. Подшипники закупили в Швеции. С Р-1 под управлением А.Залевского из НИИ ВВС пустили 5 ПБМ и 4 ЗАМ. Раскрутка занимала 5-6 мин.. ЗАМ сбрасывали на высоте 400-550 м и получили дальность 3200-3240 м. После пуска делали свечку до 500 м, а затем выравнивались и шли по прямой, в конце начинал рыскать при снижении оборотов. Два ЗАМа не взорвались. ПБМ пускали с 650-700 м и получили дальность 3500-3800 мю Два пуска сделали с 2000 м и дальность лостигла 12-13 км. Два взорвались под Евпаторией. В целом признали рез-ты неплохими. Комиссия под руководством Зам. Нач. вооружения Ефимова написала: “На основании произведенных опытов и полученных положительных результатов, комиссия считает, что воздушные мины системы и Майзеля имеют большое практическое значение для РККА...” Прпедложили перейти к металлической конструкции и подготовить чертежи к 15 января 1931, выдать официальные задания на ЗАМ и ПБМ, разработать специальный прицел и изготовить опытную серию из 250 ПБМ и 150-200 ЗАМ. 50 аппаратов хотели выделить ВОТИ для экспериментов|, а остальные - использовать для войсковых испытаний. Майзель хотел делать ротор большего размера из взрывчатки, повысить обороты до 18000 и остич дальности 5 км. Фюзеляж и крылья хотели штамповать из аллюминия или жести. От автопилота или радиоуправления Майзель отказывался, считал, что ротора-гироскопа - достаточно (8908,35).</w:t>
      </w:r>
    </w:p>
    <w:p w14:paraId="6AFFF5F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88CDF0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F55BE2D" w14:textId="77777777" w:rsidR="00537E5F" w:rsidRPr="00507A31" w:rsidRDefault="00537E5F" w:rsidP="00507A31">
      <w:pPr>
        <w:autoSpaceDE w:val="0"/>
        <w:autoSpaceDN w:val="0"/>
        <w:adjustRightInd w:val="0"/>
        <w:jc w:val="both"/>
        <w:rPr>
          <w:iCs/>
          <w:color w:val="000000" w:themeColor="text1"/>
          <w:sz w:val="16"/>
          <w:szCs w:val="16"/>
        </w:rPr>
      </w:pPr>
    </w:p>
    <w:p w14:paraId="276DB711" w14:textId="77777777" w:rsidR="00220D98" w:rsidRPr="00507A31" w:rsidRDefault="00220D98" w:rsidP="00507A31">
      <w:pPr>
        <w:pStyle w:val="ae"/>
        <w:shd w:val="clear" w:color="auto" w:fill="FFFFFF"/>
        <w:spacing w:before="0" w:after="0"/>
        <w:jc w:val="both"/>
        <w:rPr>
          <w:color w:val="000000" w:themeColor="text1"/>
          <w:sz w:val="16"/>
          <w:szCs w:val="16"/>
        </w:rPr>
      </w:pPr>
      <w:r w:rsidRPr="00507A31">
        <w:rPr>
          <w:color w:val="000000" w:themeColor="text1"/>
          <w:sz w:val="16"/>
          <w:szCs w:val="16"/>
        </w:rPr>
        <w:t>К утру 1 ноября 1930 завод Большевик доложил о готовности, в том или ином виде, 312 танков. Но 10 ноября к первому пробегу было предъявлено 238 танков, 151 из которых удалось сдать. Не хватало 82 башен.</w:t>
      </w:r>
    </w:p>
    <w:p w14:paraId="3714BE2D" w14:textId="77777777" w:rsidR="00220D98" w:rsidRPr="00507A31" w:rsidRDefault="00220D98" w:rsidP="00507A31">
      <w:pPr>
        <w:pStyle w:val="ae"/>
        <w:shd w:val="clear" w:color="auto" w:fill="FFFFFF"/>
        <w:spacing w:before="0" w:after="0"/>
        <w:jc w:val="both"/>
        <w:rPr>
          <w:color w:val="000000" w:themeColor="text1"/>
          <w:sz w:val="16"/>
          <w:szCs w:val="16"/>
        </w:rPr>
      </w:pPr>
      <w:r w:rsidRPr="00507A31">
        <w:rPr>
          <w:color w:val="000000" w:themeColor="text1"/>
          <w:sz w:val="16"/>
          <w:szCs w:val="16"/>
        </w:rPr>
        <w:t>Такое положение вещей спровоцировало проверку силами ОГПУ и стало причиной первой волны репрессий, которые прокатилась по советским танкостроителям. Пострадали ответственные исполнители на «Большевике», Ижорском заводе и других предприятиях. Арестованными оказались и некоторые сотрудники КБ ОАТ, например, Н.В. Цейц. Реальный объём выпущенных танков составил 305 штук, причём последние из них досдавались позже определённого планом срока.</w:t>
      </w:r>
    </w:p>
    <w:p w14:paraId="31D08443" w14:textId="77777777" w:rsidR="00220D98" w:rsidRPr="00507A31" w:rsidRDefault="00220D98" w:rsidP="00507A31">
      <w:pPr>
        <w:pStyle w:val="ae"/>
        <w:shd w:val="clear" w:color="auto" w:fill="FFFFFF"/>
        <w:spacing w:before="0" w:after="0"/>
        <w:jc w:val="both"/>
        <w:rPr>
          <w:color w:val="000000" w:themeColor="text1"/>
          <w:sz w:val="16"/>
          <w:szCs w:val="16"/>
        </w:rPr>
      </w:pPr>
      <w:r w:rsidRPr="00507A31">
        <w:rPr>
          <w:color w:val="000000" w:themeColor="text1"/>
          <w:sz w:val="16"/>
          <w:szCs w:val="16"/>
        </w:rPr>
        <w:t>Проблемы с производством корпусов сильно тормозили производство Т-18. Интерес вызывает весьма странная отчётность завода. Начиная с осени 1930 года заводские данные существенно расходятся с теми, которые шли в Управление механизации и моторизации Красной армии (УММ). Например, дополнительно (по «особому кварталу») в последние 3 месяца 1930 года завод сдавал 90 танков. Фактически сдавались эти машины вплоть до весны 1931 года. Реальный объём выпуска Т-18 в этот период, включая 12 танков, сданных Мотовилихинским машиностроительным заводом, составил 317+90 машин, то есть 407 танков. В ряде справочников указывается, что 317 танков было произведено в 1929 и 90 — в 1930 годах, связано это с изменением системы учёта выпуска. На самом деле эти 407 танков выпускались в 1930 году и в начале 1931 года.</w:t>
      </w:r>
    </w:p>
    <w:p w14:paraId="276ED5DC" w14:textId="77777777" w:rsidR="00220D98" w:rsidRPr="00507A31" w:rsidRDefault="00220D98" w:rsidP="00507A31">
      <w:pPr>
        <w:pStyle w:val="ae"/>
        <w:shd w:val="clear" w:color="auto" w:fill="FFFFFF"/>
        <w:spacing w:before="0" w:after="0"/>
        <w:jc w:val="both"/>
        <w:rPr>
          <w:color w:val="000000" w:themeColor="text1"/>
          <w:sz w:val="16"/>
          <w:szCs w:val="16"/>
        </w:rPr>
      </w:pPr>
      <w:r w:rsidRPr="00507A31">
        <w:rPr>
          <w:color w:val="000000" w:themeColor="text1"/>
          <w:sz w:val="16"/>
          <w:szCs w:val="16"/>
        </w:rPr>
        <w:t>Выпуск танков «особого квартала» совпал с внедрением в конструкцию изменений, которые должны были получить танки четвёртой производственной серии. Была усилена подвеска, установлена наконец 4-скоростная коробка передач. В ноябре 1930 года прошли испытания трёх типов ведущих колёс. Наиболее удачным оказалось 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620F1264" w14:textId="77777777" w:rsidR="00220D98" w:rsidRPr="00507A31" w:rsidRDefault="00220D98" w:rsidP="00507A31">
      <w:pPr>
        <w:jc w:val="both"/>
        <w:rPr>
          <w:color w:val="000000" w:themeColor="text1"/>
          <w:sz w:val="16"/>
          <w:szCs w:val="16"/>
        </w:rPr>
      </w:pPr>
    </w:p>
    <w:p w14:paraId="5435D10D" w14:textId="77777777" w:rsidR="00675290" w:rsidRPr="00507A31" w:rsidRDefault="00675290" w:rsidP="00507A31">
      <w:pPr>
        <w:shd w:val="clear" w:color="auto" w:fill="FFFFFF"/>
        <w:jc w:val="both"/>
        <w:rPr>
          <w:color w:val="0070C0"/>
          <w:sz w:val="16"/>
          <w:szCs w:val="16"/>
        </w:rPr>
      </w:pPr>
      <w:r w:rsidRPr="00507A31">
        <w:rPr>
          <w:color w:val="0070C0"/>
          <w:sz w:val="16"/>
          <w:szCs w:val="16"/>
        </w:rPr>
        <w:t>К 1 ноября 1930 года "Большевик" доложил о готовности 312 танков Т-18 (МС-1). Вот только комиссия ОГПУ 10 ноября сообщила о том, что к пробегу предъявлено 238 танков, 151 из которых удалось сдать, не хватало 82 башен. А еще имелись случаи, когда прибывшие на ремонт танки попросту разбирали, пуская их детали для сборки новых (20740).</w:t>
      </w:r>
    </w:p>
    <w:p w14:paraId="2FA1C913" w14:textId="77777777" w:rsidR="00675290" w:rsidRPr="00507A31" w:rsidRDefault="00675290" w:rsidP="00507A31">
      <w:pPr>
        <w:jc w:val="both"/>
        <w:rPr>
          <w:color w:val="0070C0"/>
          <w:sz w:val="16"/>
          <w:szCs w:val="16"/>
        </w:rPr>
      </w:pPr>
    </w:p>
    <w:p w14:paraId="77416C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ноября 1930 года всесоюзное объединение «Востоксталь» выпускает приказ №11, которым учреждается специальное управление «Тагилстрой», которому поручалось непосредственно вести строительство нового комбината. Под руководством первого начальника «Тагилстроя» Б.С. Трахтера в январе 1931 года на площадке будущего комбината начались первые работы. Основной ударной силой стройки стали рабочие старого новотагильского металлургического завода (НТМЗ им. В. Куйбышева, существует с XVIII века), а также ссыльные и заключенные (11514). </w:t>
      </w:r>
    </w:p>
    <w:p w14:paraId="23E7AE37" w14:textId="77777777" w:rsidR="00537E5F" w:rsidRPr="00507A31" w:rsidRDefault="00537E5F" w:rsidP="00507A31">
      <w:pPr>
        <w:autoSpaceDE w:val="0"/>
        <w:autoSpaceDN w:val="0"/>
        <w:adjustRightInd w:val="0"/>
        <w:jc w:val="both"/>
        <w:rPr>
          <w:iCs/>
          <w:color w:val="000000" w:themeColor="text1"/>
          <w:sz w:val="16"/>
          <w:szCs w:val="16"/>
        </w:rPr>
      </w:pPr>
    </w:p>
    <w:p w14:paraId="0A1339E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EA0A55D" w14:textId="77777777" w:rsidR="00537E5F" w:rsidRPr="00507A31" w:rsidRDefault="00537E5F" w:rsidP="00507A31">
      <w:pPr>
        <w:autoSpaceDE w:val="0"/>
        <w:autoSpaceDN w:val="0"/>
        <w:adjustRightInd w:val="0"/>
        <w:jc w:val="both"/>
        <w:rPr>
          <w:iCs/>
          <w:color w:val="000000" w:themeColor="text1"/>
          <w:sz w:val="16"/>
          <w:szCs w:val="16"/>
        </w:rPr>
      </w:pPr>
    </w:p>
    <w:p w14:paraId="13F4A9D8" w14:textId="77777777" w:rsidR="00C50B8F" w:rsidRPr="00507A31" w:rsidRDefault="00C50B8F" w:rsidP="00507A31">
      <w:pPr>
        <w:jc w:val="both"/>
        <w:rPr>
          <w:bCs/>
          <w:color w:val="000000" w:themeColor="text1"/>
          <w:sz w:val="16"/>
          <w:szCs w:val="16"/>
        </w:rPr>
      </w:pPr>
      <w:r w:rsidRPr="00507A31">
        <w:rPr>
          <w:color w:val="000000" w:themeColor="text1"/>
          <w:sz w:val="16"/>
          <w:szCs w:val="16"/>
        </w:rPr>
        <w:t>1 ноября 1930 г.</w:t>
      </w:r>
    </w:p>
    <w:p w14:paraId="2C247AC4" w14:textId="77777777" w:rsidR="00C50B8F" w:rsidRPr="00507A31" w:rsidRDefault="00C50B8F" w:rsidP="00507A31">
      <w:pPr>
        <w:jc w:val="both"/>
        <w:rPr>
          <w:bCs/>
          <w:color w:val="000000" w:themeColor="text1"/>
          <w:sz w:val="16"/>
          <w:szCs w:val="16"/>
        </w:rPr>
      </w:pPr>
      <w:r w:rsidRPr="00507A31">
        <w:rPr>
          <w:color w:val="000000" w:themeColor="text1"/>
          <w:sz w:val="16"/>
          <w:szCs w:val="16"/>
        </w:rPr>
        <w:t>Поручение прокурора Верховного суда СССР П. А. Красикова прокурору РСФСР Н. В. Крыленко выступить в качестве государственного обвинителя на процессе «Промпартии». 1 ноября 1930 г.</w:t>
      </w:r>
    </w:p>
    <w:p w14:paraId="0E868CFE" w14:textId="77777777" w:rsidR="00C50B8F" w:rsidRPr="00507A31" w:rsidRDefault="00C50B8F" w:rsidP="00507A31">
      <w:pPr>
        <w:jc w:val="both"/>
        <w:rPr>
          <w:bCs/>
          <w:color w:val="000000" w:themeColor="text1"/>
          <w:sz w:val="16"/>
          <w:szCs w:val="16"/>
        </w:rPr>
      </w:pPr>
      <w:r w:rsidRPr="00507A31">
        <w:rPr>
          <w:bCs/>
          <w:color w:val="000000" w:themeColor="text1"/>
          <w:sz w:val="16"/>
          <w:szCs w:val="16"/>
        </w:rPr>
        <w:t>Источник: </w:t>
      </w:r>
    </w:p>
    <w:p w14:paraId="5ADBB34E" w14:textId="77777777" w:rsidR="00C50B8F" w:rsidRPr="00507A31" w:rsidRDefault="00C50B8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97A98AB" w14:textId="77777777" w:rsidR="00C50B8F" w:rsidRPr="00507A31" w:rsidRDefault="00C50B8F" w:rsidP="00507A31">
      <w:pPr>
        <w:jc w:val="both"/>
        <w:rPr>
          <w:bCs/>
          <w:color w:val="000000" w:themeColor="text1"/>
          <w:sz w:val="16"/>
          <w:szCs w:val="16"/>
        </w:rPr>
      </w:pPr>
      <w:r w:rsidRPr="00507A31">
        <w:rPr>
          <w:bCs/>
          <w:color w:val="000000" w:themeColor="text1"/>
          <w:sz w:val="16"/>
          <w:szCs w:val="16"/>
        </w:rPr>
        <w:t>Архив: </w:t>
      </w:r>
    </w:p>
    <w:p w14:paraId="2F3FB017" w14:textId="77777777" w:rsidR="00C50B8F" w:rsidRPr="00507A31" w:rsidRDefault="00C50B8F" w:rsidP="00507A31">
      <w:pPr>
        <w:jc w:val="both"/>
        <w:rPr>
          <w:color w:val="000000" w:themeColor="text1"/>
          <w:sz w:val="16"/>
          <w:szCs w:val="16"/>
        </w:rPr>
      </w:pPr>
      <w:r w:rsidRPr="00507A31">
        <w:rPr>
          <w:color w:val="000000" w:themeColor="text1"/>
          <w:sz w:val="16"/>
          <w:szCs w:val="16"/>
        </w:rPr>
        <w:t>ЦА ФСБ РФ. Ф. Р-42280. Т. 10. Л. 2.</w:t>
      </w:r>
    </w:p>
    <w:p w14:paraId="39531F46" w14:textId="77777777" w:rsidR="00C50B8F" w:rsidRPr="00507A31" w:rsidRDefault="00C50B8F" w:rsidP="00507A31">
      <w:pPr>
        <w:pStyle w:val="rteright"/>
        <w:spacing w:before="0" w:after="0"/>
        <w:jc w:val="both"/>
        <w:rPr>
          <w:color w:val="000000" w:themeColor="text1"/>
          <w:sz w:val="16"/>
          <w:szCs w:val="16"/>
        </w:rPr>
      </w:pPr>
      <w:r w:rsidRPr="00507A31">
        <w:rPr>
          <w:color w:val="000000" w:themeColor="text1"/>
          <w:sz w:val="16"/>
          <w:szCs w:val="16"/>
        </w:rPr>
        <w:t>1 ноября 1930 г.</w:t>
      </w:r>
    </w:p>
    <w:p w14:paraId="44E38DC1" w14:textId="77777777" w:rsidR="00C50B8F" w:rsidRPr="00507A31" w:rsidRDefault="00C50B8F" w:rsidP="00507A31">
      <w:pPr>
        <w:pStyle w:val="ae"/>
        <w:spacing w:before="0" w:after="0"/>
        <w:jc w:val="both"/>
        <w:rPr>
          <w:color w:val="000000" w:themeColor="text1"/>
          <w:sz w:val="16"/>
          <w:szCs w:val="16"/>
        </w:rPr>
      </w:pPr>
      <w:r w:rsidRPr="00507A31">
        <w:rPr>
          <w:color w:val="000000" w:themeColor="text1"/>
          <w:sz w:val="16"/>
          <w:szCs w:val="16"/>
        </w:rPr>
        <w:t>Прокурору РСФСР</w:t>
      </w:r>
    </w:p>
    <w:p w14:paraId="68C21055" w14:textId="77777777" w:rsidR="00C50B8F" w:rsidRPr="00507A31" w:rsidRDefault="00C50B8F" w:rsidP="00507A31">
      <w:pPr>
        <w:pStyle w:val="ae"/>
        <w:spacing w:before="0" w:after="0"/>
        <w:jc w:val="both"/>
        <w:rPr>
          <w:color w:val="000000" w:themeColor="text1"/>
          <w:sz w:val="16"/>
          <w:szCs w:val="16"/>
        </w:rPr>
      </w:pPr>
      <w:r w:rsidRPr="00507A31">
        <w:rPr>
          <w:color w:val="000000" w:themeColor="text1"/>
          <w:sz w:val="16"/>
          <w:szCs w:val="16"/>
        </w:rPr>
        <w:t>Тов. КРЫЛЕНКО</w:t>
      </w:r>
    </w:p>
    <w:p w14:paraId="77F98A4E" w14:textId="77777777" w:rsidR="00C50B8F" w:rsidRPr="00507A31" w:rsidRDefault="00C50B8F" w:rsidP="00507A31">
      <w:pPr>
        <w:pStyle w:val="rtejustify"/>
        <w:spacing w:before="0" w:after="0"/>
        <w:rPr>
          <w:color w:val="000000" w:themeColor="text1"/>
          <w:sz w:val="16"/>
          <w:szCs w:val="16"/>
        </w:rPr>
      </w:pPr>
      <w:r w:rsidRPr="00507A31">
        <w:rPr>
          <w:color w:val="000000" w:themeColor="text1"/>
          <w:sz w:val="16"/>
          <w:szCs w:val="16"/>
        </w:rPr>
        <w:t>Настоящим поручаю Вам выступить в качестве государственного обвинителя в специальном присутствии Верховного Суда Союза ССР по делу контр-революционной организации «Союза инженерных организаций» («Промышленной партии»), по обвинению РАМЗИНА, КАЛИННИКОВА, ЛАРИЧЕВА, ЧАРНОВСКОГО, ОЧКИНА, ФЕДОТОВА, КУПРИЯНОВА и СИТНИНА по ст. 58 п. п. 3, 4, 6.</w:t>
      </w:r>
    </w:p>
    <w:p w14:paraId="3B3BD516" w14:textId="77777777" w:rsidR="00C50B8F" w:rsidRPr="00507A31" w:rsidRDefault="00C50B8F" w:rsidP="00507A31">
      <w:pPr>
        <w:pStyle w:val="rtejustify"/>
        <w:spacing w:before="0" w:after="0"/>
        <w:rPr>
          <w:color w:val="000000" w:themeColor="text1"/>
          <w:sz w:val="16"/>
          <w:szCs w:val="16"/>
        </w:rPr>
      </w:pPr>
      <w:r w:rsidRPr="00507A31">
        <w:rPr>
          <w:color w:val="000000" w:themeColor="text1"/>
          <w:sz w:val="16"/>
          <w:szCs w:val="16"/>
        </w:rPr>
        <w:t>Прокурор Верховного Суда</w:t>
      </w:r>
    </w:p>
    <w:p w14:paraId="016A857D" w14:textId="77777777" w:rsidR="00C50B8F" w:rsidRPr="00507A31" w:rsidRDefault="00C50B8F" w:rsidP="00507A31">
      <w:pPr>
        <w:pStyle w:val="rtejustify"/>
        <w:spacing w:before="0" w:after="0"/>
        <w:rPr>
          <w:color w:val="000000" w:themeColor="text1"/>
          <w:sz w:val="16"/>
          <w:szCs w:val="16"/>
        </w:rPr>
      </w:pPr>
      <w:r w:rsidRPr="00507A31">
        <w:rPr>
          <w:color w:val="000000" w:themeColor="text1"/>
          <w:sz w:val="16"/>
          <w:szCs w:val="16"/>
        </w:rPr>
        <w:t>Союза ССР (Красиков)</w:t>
      </w:r>
    </w:p>
    <w:p w14:paraId="6E8FAD60" w14:textId="77777777" w:rsidR="00C50B8F" w:rsidRPr="00507A31" w:rsidRDefault="00C50B8F" w:rsidP="00507A31">
      <w:pPr>
        <w:pStyle w:val="ae"/>
        <w:spacing w:before="0" w:after="0"/>
        <w:jc w:val="both"/>
        <w:rPr>
          <w:color w:val="000000" w:themeColor="text1"/>
          <w:sz w:val="16"/>
          <w:szCs w:val="16"/>
        </w:rPr>
      </w:pPr>
      <w:r w:rsidRPr="00507A31">
        <w:rPr>
          <w:rStyle w:val="af0"/>
          <w:i w:val="0"/>
          <w:color w:val="000000" w:themeColor="text1"/>
          <w:sz w:val="16"/>
          <w:szCs w:val="16"/>
        </w:rPr>
        <w:t>ЦА ФСБ РФ. Ф. Р-42280. Т. 10. Л. 2. Машинописная копия того времени (18711).</w:t>
      </w:r>
    </w:p>
    <w:p w14:paraId="18FB3916" w14:textId="77777777" w:rsidR="00C50B8F" w:rsidRPr="00507A31" w:rsidRDefault="00C50B8F" w:rsidP="00507A31">
      <w:pPr>
        <w:jc w:val="both"/>
        <w:rPr>
          <w:color w:val="000000" w:themeColor="text1"/>
          <w:sz w:val="16"/>
          <w:szCs w:val="16"/>
        </w:rPr>
      </w:pPr>
    </w:p>
    <w:p w14:paraId="78C9ADB9" w14:textId="77777777" w:rsidR="00C50B8F" w:rsidRPr="00507A31" w:rsidRDefault="00C50B8F" w:rsidP="00507A31">
      <w:pPr>
        <w:jc w:val="both"/>
        <w:rPr>
          <w:bCs/>
          <w:color w:val="000000" w:themeColor="text1"/>
          <w:sz w:val="16"/>
          <w:szCs w:val="16"/>
        </w:rPr>
      </w:pPr>
      <w:r w:rsidRPr="00507A31">
        <w:rPr>
          <w:color w:val="000000" w:themeColor="text1"/>
          <w:sz w:val="16"/>
          <w:szCs w:val="16"/>
        </w:rPr>
        <w:t>1 ноября 1930 г.</w:t>
      </w:r>
    </w:p>
    <w:p w14:paraId="6C1A7CE7" w14:textId="77777777" w:rsidR="00C50B8F" w:rsidRPr="00507A31" w:rsidRDefault="00C50B8F" w:rsidP="00507A31">
      <w:pPr>
        <w:jc w:val="both"/>
        <w:rPr>
          <w:bCs/>
          <w:color w:val="000000" w:themeColor="text1"/>
          <w:sz w:val="16"/>
          <w:szCs w:val="16"/>
        </w:rPr>
      </w:pPr>
      <w:r w:rsidRPr="00507A31">
        <w:rPr>
          <w:color w:val="000000" w:themeColor="text1"/>
          <w:sz w:val="16"/>
          <w:szCs w:val="16"/>
        </w:rPr>
        <w:t>Постановление Президиума ЦИК СССР о передаче дела «Промпартии» на рассмотрение Специального судебного присутствия Верховного суда СССР. 1 ноября 1930 г.</w:t>
      </w:r>
    </w:p>
    <w:p w14:paraId="4F369CEF" w14:textId="77777777" w:rsidR="00C50B8F" w:rsidRPr="00507A31" w:rsidRDefault="00C50B8F" w:rsidP="00507A31">
      <w:pPr>
        <w:jc w:val="both"/>
        <w:rPr>
          <w:bCs/>
          <w:color w:val="000000" w:themeColor="text1"/>
          <w:sz w:val="16"/>
          <w:szCs w:val="16"/>
        </w:rPr>
      </w:pPr>
      <w:r w:rsidRPr="00507A31">
        <w:rPr>
          <w:bCs/>
          <w:color w:val="000000" w:themeColor="text1"/>
          <w:sz w:val="16"/>
          <w:szCs w:val="16"/>
        </w:rPr>
        <w:t>Источник: </w:t>
      </w:r>
    </w:p>
    <w:p w14:paraId="7D2F4FC4" w14:textId="77777777" w:rsidR="00C50B8F" w:rsidRPr="00507A31" w:rsidRDefault="00C50B8F" w:rsidP="00507A31">
      <w:pPr>
        <w:jc w:val="both"/>
        <w:rPr>
          <w:color w:val="000000" w:themeColor="text1"/>
          <w:sz w:val="16"/>
          <w:szCs w:val="16"/>
        </w:rPr>
      </w:pPr>
      <w:r w:rsidRPr="00507A31">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141555" w14:textId="77777777" w:rsidR="00C50B8F" w:rsidRPr="00507A31" w:rsidRDefault="00C50B8F" w:rsidP="00507A31">
      <w:pPr>
        <w:pStyle w:val="rteright"/>
        <w:spacing w:before="0" w:after="0"/>
        <w:jc w:val="both"/>
        <w:rPr>
          <w:color w:val="000000" w:themeColor="text1"/>
          <w:sz w:val="16"/>
          <w:szCs w:val="16"/>
        </w:rPr>
      </w:pPr>
      <w:r w:rsidRPr="00507A31">
        <w:rPr>
          <w:color w:val="000000" w:themeColor="text1"/>
          <w:sz w:val="16"/>
          <w:szCs w:val="16"/>
        </w:rPr>
        <w:t>1 ноября 1930 г.</w:t>
      </w:r>
    </w:p>
    <w:p w14:paraId="6C830C8F" w14:textId="77777777" w:rsidR="00C50B8F" w:rsidRPr="00507A31" w:rsidRDefault="00C50B8F" w:rsidP="00507A31">
      <w:pPr>
        <w:pStyle w:val="rtecenter"/>
        <w:spacing w:before="0" w:after="0"/>
        <w:jc w:val="both"/>
        <w:rPr>
          <w:color w:val="000000" w:themeColor="text1"/>
          <w:sz w:val="16"/>
          <w:szCs w:val="16"/>
        </w:rPr>
      </w:pPr>
      <w:r w:rsidRPr="00507A31">
        <w:rPr>
          <w:color w:val="000000" w:themeColor="text1"/>
          <w:sz w:val="16"/>
          <w:szCs w:val="16"/>
        </w:rPr>
        <w:t>Выписка из протокола № 47 заседания</w:t>
      </w:r>
    </w:p>
    <w:p w14:paraId="7A85AA01" w14:textId="77777777" w:rsidR="00C50B8F" w:rsidRPr="00507A31" w:rsidRDefault="00C50B8F" w:rsidP="00507A31">
      <w:pPr>
        <w:pStyle w:val="rtecenter"/>
        <w:spacing w:before="0" w:after="0"/>
        <w:jc w:val="both"/>
        <w:rPr>
          <w:color w:val="000000" w:themeColor="text1"/>
          <w:sz w:val="16"/>
          <w:szCs w:val="16"/>
        </w:rPr>
      </w:pPr>
      <w:r w:rsidRPr="00507A31">
        <w:rPr>
          <w:color w:val="000000" w:themeColor="text1"/>
          <w:sz w:val="16"/>
          <w:szCs w:val="16"/>
        </w:rPr>
        <w:t>Президиума ЦИК СССР от 1 ноября 1930 г.</w:t>
      </w:r>
    </w:p>
    <w:p w14:paraId="74D7E378" w14:textId="77777777" w:rsidR="00C50B8F" w:rsidRPr="00507A31" w:rsidRDefault="00C50B8F" w:rsidP="00507A31">
      <w:pPr>
        <w:pStyle w:val="rtejustify"/>
        <w:spacing w:before="0" w:after="0"/>
        <w:rPr>
          <w:color w:val="000000" w:themeColor="text1"/>
          <w:sz w:val="16"/>
          <w:szCs w:val="16"/>
        </w:rPr>
      </w:pPr>
      <w:r w:rsidRPr="00507A31">
        <w:rPr>
          <w:color w:val="000000" w:themeColor="text1"/>
          <w:sz w:val="16"/>
          <w:szCs w:val="16"/>
        </w:rPr>
        <w:t>СЛУШАЛИ: О передаче дела контр-революционной организации «Союз инженерных организаций» («Промышленная партия») слушанием в Верховный Суд СССР.</w:t>
      </w:r>
    </w:p>
    <w:p w14:paraId="193E5D38" w14:textId="77777777" w:rsidR="00C50B8F" w:rsidRPr="00507A31" w:rsidRDefault="00C50B8F" w:rsidP="00507A31">
      <w:pPr>
        <w:pStyle w:val="rtejustify"/>
        <w:spacing w:before="0" w:after="0"/>
        <w:rPr>
          <w:color w:val="000000" w:themeColor="text1"/>
          <w:sz w:val="16"/>
          <w:szCs w:val="16"/>
        </w:rPr>
      </w:pPr>
      <w:r w:rsidRPr="00507A31">
        <w:rPr>
          <w:color w:val="000000" w:themeColor="text1"/>
          <w:sz w:val="16"/>
          <w:szCs w:val="16"/>
        </w:rPr>
        <w:t>ПОСТАНОВИЛИ:</w:t>
      </w:r>
    </w:p>
    <w:p w14:paraId="088AF31B" w14:textId="77777777" w:rsidR="00C50B8F" w:rsidRPr="00507A31" w:rsidRDefault="00C50B8F" w:rsidP="00507A31">
      <w:pPr>
        <w:pStyle w:val="rtejustify"/>
        <w:spacing w:before="0" w:after="0"/>
        <w:rPr>
          <w:color w:val="000000" w:themeColor="text1"/>
          <w:sz w:val="16"/>
          <w:szCs w:val="16"/>
        </w:rPr>
      </w:pPr>
      <w:r w:rsidRPr="00507A31">
        <w:rPr>
          <w:color w:val="000000" w:themeColor="text1"/>
          <w:sz w:val="16"/>
          <w:szCs w:val="16"/>
        </w:rPr>
        <w:t>1. Дело о контр-революционной организации «Союз инженерных организаций» («Промышленная партия») передать на рассмотрение специального судебного присутствия ВС Союза ССР.</w:t>
      </w:r>
    </w:p>
    <w:p w14:paraId="559D0A68" w14:textId="77777777" w:rsidR="00C50B8F" w:rsidRPr="00507A31" w:rsidRDefault="00C50B8F" w:rsidP="00507A31">
      <w:pPr>
        <w:pStyle w:val="rtejustify"/>
        <w:spacing w:before="0" w:after="0"/>
        <w:rPr>
          <w:color w:val="000000" w:themeColor="text1"/>
          <w:sz w:val="16"/>
          <w:szCs w:val="16"/>
        </w:rPr>
      </w:pPr>
      <w:r w:rsidRPr="00507A31">
        <w:rPr>
          <w:color w:val="000000" w:themeColor="text1"/>
          <w:sz w:val="16"/>
          <w:szCs w:val="16"/>
        </w:rPr>
        <w:t>2. Состав специального судебного присутствия ВС Союза ССР определить дополнительно.</w:t>
      </w:r>
    </w:p>
    <w:p w14:paraId="04A50915" w14:textId="77777777" w:rsidR="00C50B8F" w:rsidRPr="00507A31" w:rsidRDefault="00C50B8F" w:rsidP="00507A31">
      <w:pPr>
        <w:pStyle w:val="ae"/>
        <w:spacing w:before="0" w:after="0"/>
        <w:jc w:val="both"/>
        <w:rPr>
          <w:color w:val="000000" w:themeColor="text1"/>
          <w:sz w:val="16"/>
          <w:szCs w:val="16"/>
        </w:rPr>
      </w:pPr>
      <w:r w:rsidRPr="00507A31">
        <w:rPr>
          <w:color w:val="000000" w:themeColor="text1"/>
          <w:sz w:val="16"/>
          <w:szCs w:val="16"/>
        </w:rPr>
        <w:t>Секретарь ЦИК Союза ССР</w:t>
      </w:r>
    </w:p>
    <w:p w14:paraId="4A5A212D" w14:textId="77777777" w:rsidR="00C50B8F" w:rsidRPr="00507A31" w:rsidRDefault="00C50B8F" w:rsidP="00507A31">
      <w:pPr>
        <w:pStyle w:val="ae"/>
        <w:spacing w:before="0" w:after="0"/>
        <w:jc w:val="both"/>
        <w:rPr>
          <w:color w:val="000000" w:themeColor="text1"/>
          <w:sz w:val="16"/>
          <w:szCs w:val="16"/>
        </w:rPr>
      </w:pPr>
      <w:r w:rsidRPr="00507A31">
        <w:rPr>
          <w:color w:val="000000" w:themeColor="text1"/>
          <w:sz w:val="16"/>
          <w:szCs w:val="16"/>
        </w:rPr>
        <w:t>(А. Енукидзе)</w:t>
      </w:r>
    </w:p>
    <w:p w14:paraId="7EB79E2D" w14:textId="77777777" w:rsidR="00C50B8F" w:rsidRPr="00507A31" w:rsidRDefault="00C50B8F" w:rsidP="00507A31">
      <w:pPr>
        <w:pStyle w:val="ae"/>
        <w:spacing w:before="0" w:after="0"/>
        <w:jc w:val="both"/>
        <w:rPr>
          <w:color w:val="000000" w:themeColor="text1"/>
          <w:sz w:val="16"/>
          <w:szCs w:val="16"/>
        </w:rPr>
      </w:pPr>
      <w:r w:rsidRPr="00507A31">
        <w:rPr>
          <w:rStyle w:val="af0"/>
          <w:i w:val="0"/>
          <w:color w:val="000000" w:themeColor="text1"/>
          <w:sz w:val="16"/>
          <w:szCs w:val="16"/>
        </w:rPr>
        <w:t>ЦА ФСБ РФ. Ф. Р-42280. Т. 10. Л. 2. Машинописная копия того времени. Вверху справа напечатано «Копия с копии» (18712).</w:t>
      </w:r>
    </w:p>
    <w:p w14:paraId="653C1497" w14:textId="77777777" w:rsidR="00C50B8F" w:rsidRPr="00507A31" w:rsidRDefault="00C50B8F" w:rsidP="00507A31">
      <w:pPr>
        <w:jc w:val="both"/>
        <w:rPr>
          <w:color w:val="000000" w:themeColor="text1"/>
          <w:sz w:val="16"/>
          <w:szCs w:val="16"/>
        </w:rPr>
      </w:pPr>
    </w:p>
    <w:p w14:paraId="4CEEC297" w14:textId="77777777" w:rsidR="00C65549" w:rsidRPr="00507A31" w:rsidRDefault="00C65549" w:rsidP="00507A31">
      <w:pPr>
        <w:jc w:val="both"/>
        <w:rPr>
          <w:color w:val="000000" w:themeColor="text1"/>
          <w:sz w:val="16"/>
          <w:szCs w:val="16"/>
        </w:rPr>
      </w:pPr>
      <w:r w:rsidRPr="00507A31">
        <w:rPr>
          <w:rStyle w:val="ucoz-forum-post"/>
          <w:bCs/>
          <w:color w:val="000000" w:themeColor="text1"/>
          <w:sz w:val="16"/>
          <w:szCs w:val="16"/>
        </w:rPr>
        <w:t xml:space="preserve">1 ноября </w:t>
      </w:r>
      <w:r w:rsidRPr="00507A31">
        <w:rPr>
          <w:color w:val="000000" w:themeColor="text1"/>
          <w:sz w:val="16"/>
          <w:szCs w:val="16"/>
        </w:rPr>
        <w:t>в 1930 году с Ярославского вокзала отошла первая электричка (первый электрифицированный участок Москва-Мытищи протяженностью 18 км был введен в 1929 году). В головном вагоне ехал Лазарь Каганович (14817).</w:t>
      </w:r>
    </w:p>
    <w:p w14:paraId="7EABFD9C" w14:textId="77777777" w:rsidR="00C65549" w:rsidRPr="00507A31" w:rsidRDefault="00C65549" w:rsidP="00507A31">
      <w:pPr>
        <w:jc w:val="both"/>
        <w:rPr>
          <w:color w:val="000000" w:themeColor="text1"/>
          <w:sz w:val="16"/>
          <w:szCs w:val="16"/>
        </w:rPr>
      </w:pPr>
    </w:p>
    <w:p w14:paraId="272D32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 вышло постановление ЦИК и СНК, запрещающее забой скота (3908,334).</w:t>
      </w:r>
    </w:p>
    <w:p w14:paraId="0C084FB3" w14:textId="77777777" w:rsidR="00537E5F" w:rsidRPr="00507A31" w:rsidRDefault="00537E5F" w:rsidP="00507A31">
      <w:pPr>
        <w:autoSpaceDE w:val="0"/>
        <w:autoSpaceDN w:val="0"/>
        <w:adjustRightInd w:val="0"/>
        <w:jc w:val="both"/>
        <w:rPr>
          <w:color w:val="000000" w:themeColor="text1"/>
          <w:sz w:val="16"/>
          <w:szCs w:val="16"/>
        </w:rPr>
      </w:pPr>
    </w:p>
    <w:p w14:paraId="35E63B1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C7538D1" w14:textId="77777777" w:rsidR="00537E5F" w:rsidRPr="00507A31" w:rsidRDefault="00537E5F" w:rsidP="00507A31">
      <w:pPr>
        <w:autoSpaceDE w:val="0"/>
        <w:autoSpaceDN w:val="0"/>
        <w:adjustRightInd w:val="0"/>
        <w:jc w:val="both"/>
        <w:rPr>
          <w:iCs/>
          <w:color w:val="000000" w:themeColor="text1"/>
          <w:sz w:val="16"/>
          <w:szCs w:val="16"/>
        </w:rPr>
      </w:pPr>
    </w:p>
    <w:p w14:paraId="18119F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ноября 1930 года самолет ТШ-2 1-й экземпляр с мотором БМВ-VI Е=7,3 з-да 39 был сдан в НИИ ВВС на гос. испытание. Самолет облетан на заводе. Вооружение самолета окончательно не доведено (6925).</w:t>
      </w:r>
    </w:p>
    <w:p w14:paraId="772EB76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63DD2C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2 ноября по 26 декабря 1930 проходили испытания самолета ТШ2 постройки ЦКБ мотор БМВ VI.</w:t>
      </w:r>
    </w:p>
    <w:p w14:paraId="1CCB6A7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Цель работы</w:t>
      </w:r>
    </w:p>
    <w:p w14:paraId="42C0391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Получение основных характеристик самолета данного типа и накопление опыта для постройки следующих.</w:t>
      </w:r>
    </w:p>
    <w:p w14:paraId="635AE35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Краткий вывод</w:t>
      </w:r>
    </w:p>
    <w:p w14:paraId="30D1A04F"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в настоящем виде не может быть принят на вооружение частей ВВС.</w:t>
      </w:r>
    </w:p>
    <w:p w14:paraId="74FFC6A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Распоряжением зам. начальника УВВС испытание самолета производилось совместно с ЦКБ.</w:t>
      </w:r>
    </w:p>
    <w:p w14:paraId="1374A0E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начато 2 ноября 930 года</w:t>
      </w:r>
    </w:p>
    <w:p w14:paraId="7C4C91C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закончено 26 декабря 1930 года</w:t>
      </w:r>
    </w:p>
    <w:p w14:paraId="2082834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Пребывание самолета в НИИ – 28 дней</w:t>
      </w:r>
    </w:p>
    <w:p w14:paraId="49F2DC9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Пребывание самолета в ЦКБ – 27 дней</w:t>
      </w:r>
    </w:p>
    <w:p w14:paraId="05053D4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Летных дней – 10 (6797).</w:t>
      </w:r>
    </w:p>
    <w:p w14:paraId="350BF3D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696DB1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2 ноября по 26 декабря 1930 в НИИ ВВС проходили испытания самолета ТШ2 БМВ</w:t>
      </w:r>
    </w:p>
    <w:p w14:paraId="04600CF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ТШ2 постройки ЦКБ мотор БМВ VI 7,3</w:t>
      </w:r>
    </w:p>
    <w:p w14:paraId="73DD88F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Цель работы: Получение основных характеристик самолета данного типа и накопление опыта для постройки следующих.</w:t>
      </w:r>
    </w:p>
    <w:p w14:paraId="14DC388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Краткий вывод</w:t>
      </w:r>
    </w:p>
    <w:p w14:paraId="5F719A49"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в настоящем виде не может быть принят на вооружение частей ВВС.</w:t>
      </w:r>
    </w:p>
    <w:p w14:paraId="2438DD67"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Возвратить самолет в ЦКБ для доделки вооружения и прочих спецслужб.</w:t>
      </w:r>
    </w:p>
    <w:p w14:paraId="34928E1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Распоряжением зам. начальника УВВС испытание самолета производилось совместно с ЦКБ.</w:t>
      </w:r>
    </w:p>
    <w:p w14:paraId="7560C6E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начато 2 ноября 1930 года</w:t>
      </w:r>
    </w:p>
    <w:p w14:paraId="1CBAF2D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закончено 26 декабря 1930 года</w:t>
      </w:r>
    </w:p>
    <w:p w14:paraId="4B021B9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Пребывание самолета в НИИ – 28 дней</w:t>
      </w:r>
    </w:p>
    <w:p w14:paraId="2AEA07C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Пребывание самолета в ЦКБ – 27 дней</w:t>
      </w:r>
    </w:p>
    <w:p w14:paraId="6F399B3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Летных дней – 10</w:t>
      </w:r>
    </w:p>
    <w:p w14:paraId="1005383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Назначение самолета – двухместный бронированный штурмовик.</w:t>
      </w:r>
    </w:p>
    <w:p w14:paraId="334B8EA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схеме самолет – биплан с выносом верхнего крыла. Мотор и передняя часть фюзеляжа включая сидение наблюдателя бронированы. Броня служит остовом фюзеляжа. Покрытие самолета полотняное.</w:t>
      </w:r>
    </w:p>
    <w:p w14:paraId="74AC2DE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 самолета</w:t>
      </w:r>
    </w:p>
    <w:p w14:paraId="0C69C8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Два пулемета для стрельбы через винт.</w:t>
      </w:r>
    </w:p>
    <w:p w14:paraId="5132C2F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Задняя турель с пулеметом ПВ-1.</w:t>
      </w:r>
    </w:p>
    <w:p w14:paraId="236E678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Пулеметные батареи на нижних плоскостях по 4 пулемета на крыло: всего 8 штук.</w:t>
      </w:r>
    </w:p>
    <w:p w14:paraId="5D86922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Предусмотрена установка кассетного бомбодержателя под сидением летчика (6962).</w:t>
      </w:r>
    </w:p>
    <w:p w14:paraId="0EA2333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F93BC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 2 ноября по 26 декабря 1930 проходили испытания ТШ-2.</w:t>
      </w:r>
    </w:p>
    <w:p w14:paraId="61B8BC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постройки ЦКБ мотор БМВ VI - 7,3 N 17010 - 500/730 НР. Винт Д=3,35 м Н-2,45 м.</w:t>
      </w:r>
    </w:p>
    <w:p w14:paraId="0723EA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Цель работы</w:t>
      </w:r>
    </w:p>
    <w:p w14:paraId="07DE16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Получение основных характеристик самолета, данного типа и накопление опыты для постройки следующих.</w:t>
      </w:r>
    </w:p>
    <w:p w14:paraId="6E0E4B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Основные данные и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E371BA" w:rsidRPr="00507A31" w14:paraId="1C6DDA08" w14:textId="77777777">
        <w:tc>
          <w:tcPr>
            <w:tcW w:w="2818" w:type="dxa"/>
          </w:tcPr>
          <w:p w14:paraId="35603A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Полетный вес</w:t>
            </w:r>
          </w:p>
        </w:tc>
        <w:tc>
          <w:tcPr>
            <w:tcW w:w="2818" w:type="dxa"/>
          </w:tcPr>
          <w:p w14:paraId="47A4E8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3225 кг</w:t>
            </w:r>
          </w:p>
        </w:tc>
      </w:tr>
      <w:tr w:rsidR="00E371BA" w:rsidRPr="00507A31" w14:paraId="2C75256A" w14:textId="77777777">
        <w:tc>
          <w:tcPr>
            <w:tcW w:w="2818" w:type="dxa"/>
          </w:tcPr>
          <w:p w14:paraId="3D521A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Нагрузка (включая броню)</w:t>
            </w:r>
          </w:p>
        </w:tc>
        <w:tc>
          <w:tcPr>
            <w:tcW w:w="2818" w:type="dxa"/>
          </w:tcPr>
          <w:p w14:paraId="11BD76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1545 кг</w:t>
            </w:r>
          </w:p>
        </w:tc>
      </w:tr>
      <w:tr w:rsidR="00E371BA" w:rsidRPr="00507A31" w14:paraId="19AA3FAD" w14:textId="77777777">
        <w:tc>
          <w:tcPr>
            <w:tcW w:w="2818" w:type="dxa"/>
          </w:tcPr>
          <w:p w14:paraId="252929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Несущая поверхность</w:t>
            </w:r>
          </w:p>
        </w:tc>
        <w:tc>
          <w:tcPr>
            <w:tcW w:w="2818" w:type="dxa"/>
          </w:tcPr>
          <w:p w14:paraId="373C26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48,53 м кв.</w:t>
            </w:r>
          </w:p>
        </w:tc>
      </w:tr>
      <w:tr w:rsidR="00E371BA" w:rsidRPr="00507A31" w14:paraId="334C899C" w14:textId="77777777">
        <w:tc>
          <w:tcPr>
            <w:tcW w:w="2818" w:type="dxa"/>
          </w:tcPr>
          <w:p w14:paraId="33598D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Нагрузка на м кв.</w:t>
            </w:r>
          </w:p>
        </w:tc>
        <w:tc>
          <w:tcPr>
            <w:tcW w:w="2818" w:type="dxa"/>
          </w:tcPr>
          <w:p w14:paraId="0D8B47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66,5 кг/м кв.</w:t>
            </w:r>
          </w:p>
        </w:tc>
      </w:tr>
      <w:tr w:rsidR="00E371BA" w:rsidRPr="00507A31" w14:paraId="4DCFFC7E" w14:textId="77777777">
        <w:tc>
          <w:tcPr>
            <w:tcW w:w="2818" w:type="dxa"/>
          </w:tcPr>
          <w:p w14:paraId="1A47FE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Нагрузка на НР</w:t>
            </w:r>
          </w:p>
        </w:tc>
        <w:tc>
          <w:tcPr>
            <w:tcW w:w="2818" w:type="dxa"/>
          </w:tcPr>
          <w:p w14:paraId="570DF7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6,46/4,43 кг/НР</w:t>
            </w:r>
          </w:p>
        </w:tc>
      </w:tr>
      <w:tr w:rsidR="00E371BA" w:rsidRPr="00507A31" w14:paraId="04E5E0F1" w14:textId="77777777">
        <w:tc>
          <w:tcPr>
            <w:tcW w:w="2818" w:type="dxa"/>
          </w:tcPr>
          <w:p w14:paraId="3F165F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Максимальная скорость (с высотным</w:t>
            </w:r>
          </w:p>
        </w:tc>
        <w:tc>
          <w:tcPr>
            <w:tcW w:w="2818" w:type="dxa"/>
          </w:tcPr>
          <w:p w14:paraId="5863BA10"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BE9B53B" w14:textId="77777777">
        <w:tc>
          <w:tcPr>
            <w:tcW w:w="2818" w:type="dxa"/>
          </w:tcPr>
          <w:p w14:paraId="01F32A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газом)</w:t>
            </w:r>
          </w:p>
        </w:tc>
        <w:tc>
          <w:tcPr>
            <w:tcW w:w="2818" w:type="dxa"/>
          </w:tcPr>
          <w:p w14:paraId="68C3D5B0"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3594D80" w14:textId="77777777">
        <w:tc>
          <w:tcPr>
            <w:tcW w:w="2818" w:type="dxa"/>
          </w:tcPr>
          <w:p w14:paraId="0FDA5F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 земли</w:t>
            </w:r>
          </w:p>
        </w:tc>
        <w:tc>
          <w:tcPr>
            <w:tcW w:w="2818" w:type="dxa"/>
          </w:tcPr>
          <w:p w14:paraId="478779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213,5-1600 об/мин.</w:t>
            </w:r>
          </w:p>
        </w:tc>
      </w:tr>
      <w:tr w:rsidR="00E371BA" w:rsidRPr="00507A31" w14:paraId="5B07087A" w14:textId="77777777">
        <w:tc>
          <w:tcPr>
            <w:tcW w:w="2818" w:type="dxa"/>
          </w:tcPr>
          <w:p w14:paraId="03FEE3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1000 м</w:t>
            </w:r>
          </w:p>
        </w:tc>
        <w:tc>
          <w:tcPr>
            <w:tcW w:w="2818" w:type="dxa"/>
          </w:tcPr>
          <w:p w14:paraId="6470EB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209,0-1560 -"-</w:t>
            </w:r>
          </w:p>
        </w:tc>
      </w:tr>
      <w:tr w:rsidR="00E371BA" w:rsidRPr="00507A31" w14:paraId="575E9799" w14:textId="77777777">
        <w:tc>
          <w:tcPr>
            <w:tcW w:w="2818" w:type="dxa"/>
          </w:tcPr>
          <w:p w14:paraId="37DD2A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3000 м</w:t>
            </w:r>
          </w:p>
        </w:tc>
        <w:tc>
          <w:tcPr>
            <w:tcW w:w="2818" w:type="dxa"/>
          </w:tcPr>
          <w:p w14:paraId="3AA141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192,0-1540 -"-</w:t>
            </w:r>
          </w:p>
        </w:tc>
      </w:tr>
      <w:tr w:rsidR="00E371BA" w:rsidRPr="00507A31" w14:paraId="6B178C32" w14:textId="77777777">
        <w:tc>
          <w:tcPr>
            <w:tcW w:w="2818" w:type="dxa"/>
          </w:tcPr>
          <w:p w14:paraId="62EA9C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подъема на 3000 м (норм.</w:t>
            </w:r>
          </w:p>
        </w:tc>
        <w:tc>
          <w:tcPr>
            <w:tcW w:w="2818" w:type="dxa"/>
          </w:tcPr>
          <w:p w14:paraId="5D85A4FE"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02210009" w14:textId="77777777">
        <w:tc>
          <w:tcPr>
            <w:tcW w:w="2818" w:type="dxa"/>
          </w:tcPr>
          <w:p w14:paraId="016A57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Обороты)</w:t>
            </w:r>
          </w:p>
        </w:tc>
        <w:tc>
          <w:tcPr>
            <w:tcW w:w="2818" w:type="dxa"/>
          </w:tcPr>
          <w:p w14:paraId="67BABE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24,0 мин.</w:t>
            </w:r>
          </w:p>
        </w:tc>
      </w:tr>
      <w:tr w:rsidR="00E371BA" w:rsidRPr="00507A31" w14:paraId="313B1521" w14:textId="77777777">
        <w:tc>
          <w:tcPr>
            <w:tcW w:w="2818" w:type="dxa"/>
          </w:tcPr>
          <w:p w14:paraId="470AF7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виража</w:t>
            </w:r>
          </w:p>
        </w:tc>
        <w:tc>
          <w:tcPr>
            <w:tcW w:w="2818" w:type="dxa"/>
          </w:tcPr>
          <w:p w14:paraId="0AD890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17,0-17,5 сек.</w:t>
            </w:r>
          </w:p>
        </w:tc>
      </w:tr>
      <w:tr w:rsidR="00E371BA" w:rsidRPr="00507A31" w14:paraId="06A2CEFF" w14:textId="77777777">
        <w:tc>
          <w:tcPr>
            <w:tcW w:w="2818" w:type="dxa"/>
          </w:tcPr>
          <w:p w14:paraId="42A663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восьмерки</w:t>
            </w:r>
          </w:p>
        </w:tc>
        <w:tc>
          <w:tcPr>
            <w:tcW w:w="2818" w:type="dxa"/>
          </w:tcPr>
          <w:p w14:paraId="044282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 сек.</w:t>
            </w:r>
          </w:p>
        </w:tc>
      </w:tr>
      <w:tr w:rsidR="00E371BA" w:rsidRPr="00507A31" w14:paraId="3B83B9F7" w14:textId="77777777">
        <w:tc>
          <w:tcPr>
            <w:tcW w:w="2818" w:type="dxa"/>
          </w:tcPr>
          <w:p w14:paraId="2EEBD2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Разбег</w:t>
            </w:r>
          </w:p>
        </w:tc>
        <w:tc>
          <w:tcPr>
            <w:tcW w:w="2818" w:type="dxa"/>
          </w:tcPr>
          <w:p w14:paraId="27F34A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12-13 сек. - 160-180 м</w:t>
            </w:r>
          </w:p>
        </w:tc>
      </w:tr>
      <w:tr w:rsidR="00E371BA" w:rsidRPr="00507A31" w14:paraId="60DFE106" w14:textId="77777777">
        <w:tc>
          <w:tcPr>
            <w:tcW w:w="2818" w:type="dxa"/>
          </w:tcPr>
          <w:p w14:paraId="478215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Пробег</w:t>
            </w:r>
          </w:p>
        </w:tc>
        <w:tc>
          <w:tcPr>
            <w:tcW w:w="2818" w:type="dxa"/>
          </w:tcPr>
          <w:p w14:paraId="648517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сек. - 120-130 м (3234)</w:t>
            </w:r>
          </w:p>
        </w:tc>
      </w:tr>
    </w:tbl>
    <w:p w14:paraId="07C880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200B406" w14:textId="77777777" w:rsidR="00BF5D4A" w:rsidRPr="00507A31" w:rsidRDefault="00BF5D4A" w:rsidP="00507A31">
      <w:pPr>
        <w:jc w:val="both"/>
        <w:rPr>
          <w:color w:val="000000" w:themeColor="text1"/>
          <w:sz w:val="16"/>
          <w:szCs w:val="16"/>
        </w:rPr>
      </w:pPr>
      <w:r w:rsidRPr="00507A31">
        <w:rPr>
          <w:color w:val="000000" w:themeColor="text1"/>
          <w:sz w:val="16"/>
          <w:szCs w:val="16"/>
        </w:rPr>
        <w:t>В период со 2 ноября по 26 декабря 1930 г. ТШ-2 проходил испытания в НИИ ВВС Целью испытаний называлось определение основных характеристик самолета и на</w:t>
      </w:r>
      <w:r w:rsidRPr="00507A31">
        <w:rPr>
          <w:color w:val="000000" w:themeColor="text1"/>
          <w:sz w:val="16"/>
          <w:szCs w:val="16"/>
        </w:rPr>
        <w:softHyphen/>
        <w:t>копление опыта для постройки следующих экземпляров штурмовиков.</w:t>
      </w:r>
    </w:p>
    <w:p w14:paraId="60071555" w14:textId="77777777" w:rsidR="00BF5D4A" w:rsidRPr="00507A31" w:rsidRDefault="00BF5D4A" w:rsidP="00507A31">
      <w:pPr>
        <w:jc w:val="both"/>
        <w:rPr>
          <w:color w:val="000000" w:themeColor="text1"/>
          <w:sz w:val="16"/>
          <w:szCs w:val="16"/>
        </w:rPr>
      </w:pPr>
      <w:r w:rsidRPr="00507A31">
        <w:rPr>
          <w:color w:val="000000" w:themeColor="text1"/>
          <w:sz w:val="16"/>
          <w:szCs w:val="16"/>
        </w:rPr>
        <w:lastRenderedPageBreak/>
        <w:t>Признавалось, что летные характери</w:t>
      </w:r>
      <w:r w:rsidRPr="00507A31">
        <w:rPr>
          <w:color w:val="000000" w:themeColor="text1"/>
          <w:sz w:val="16"/>
          <w:szCs w:val="16"/>
        </w:rPr>
        <w:softHyphen/>
        <w:t>стики удовлетворительные, однако «ТШ-2 требует доводки и в настоящем виде не может быть принят на вооружение частей ВВС». К недостаткам отнесли недоведенное вооружение, сложность покидания самолета с парашютом, плохой обзор из кабины (с высоты 100 м летчик наблюдал цель не ближе 1000 м). Всего построили10 экземпляров ТШ-2 (12612).</w:t>
      </w:r>
    </w:p>
    <w:p w14:paraId="0ACA3ED7" w14:textId="77777777" w:rsidR="00BF5D4A" w:rsidRPr="00507A31" w:rsidRDefault="00BF5D4A" w:rsidP="00507A31">
      <w:pPr>
        <w:jc w:val="both"/>
        <w:rPr>
          <w:color w:val="000000" w:themeColor="text1"/>
          <w:sz w:val="16"/>
          <w:szCs w:val="16"/>
          <w:u w:color="002060"/>
        </w:rPr>
      </w:pPr>
    </w:p>
    <w:p w14:paraId="0309D79E" w14:textId="77777777" w:rsidR="00675290" w:rsidRPr="00507A31" w:rsidRDefault="00675290" w:rsidP="00507A31">
      <w:pPr>
        <w:jc w:val="both"/>
        <w:rPr>
          <w:color w:val="0070C0"/>
          <w:sz w:val="16"/>
          <w:szCs w:val="16"/>
        </w:rPr>
      </w:pPr>
      <w:r w:rsidRPr="00507A31">
        <w:rPr>
          <w:color w:val="0070C0"/>
          <w:sz w:val="16"/>
          <w:szCs w:val="16"/>
        </w:rPr>
        <w:t>В период со 2 ноября до 26 декабря 1930 г. ТШ-2 проходил испытания в НИИ ВВС.</w:t>
      </w:r>
    </w:p>
    <w:p w14:paraId="2BA16AB8" w14:textId="77777777" w:rsidR="00675290" w:rsidRPr="00507A31" w:rsidRDefault="00675290" w:rsidP="00507A31">
      <w:pPr>
        <w:jc w:val="both"/>
        <w:rPr>
          <w:color w:val="0070C0"/>
          <w:sz w:val="16"/>
          <w:szCs w:val="16"/>
        </w:rPr>
      </w:pPr>
      <w:r w:rsidRPr="00507A31">
        <w:rPr>
          <w:color w:val="0070C0"/>
          <w:sz w:val="16"/>
          <w:szCs w:val="16"/>
        </w:rPr>
        <w:t>Целью испытаний называлось определение основных характеристик самолета и накопление опыта для постройки следующих экземпляров штурмовиков.</w:t>
      </w:r>
    </w:p>
    <w:p w14:paraId="6A87CFAA" w14:textId="77777777" w:rsidR="00675290" w:rsidRPr="00507A31" w:rsidRDefault="00675290" w:rsidP="00507A31">
      <w:pPr>
        <w:jc w:val="both"/>
        <w:rPr>
          <w:color w:val="0070C0"/>
          <w:sz w:val="16"/>
          <w:szCs w:val="16"/>
        </w:rPr>
      </w:pPr>
      <w:r w:rsidRPr="00507A31">
        <w:rPr>
          <w:color w:val="0070C0"/>
          <w:sz w:val="16"/>
          <w:szCs w:val="16"/>
        </w:rPr>
        <w:t>При испытаниях были зафиксированы следующие данные:</w:t>
      </w:r>
    </w:p>
    <w:p w14:paraId="77368DC9" w14:textId="77777777" w:rsidR="00675290" w:rsidRPr="00507A31" w:rsidRDefault="00675290" w:rsidP="00507A31">
      <w:pPr>
        <w:jc w:val="both"/>
        <w:rPr>
          <w:color w:val="0070C0"/>
          <w:sz w:val="16"/>
          <w:szCs w:val="16"/>
        </w:rPr>
      </w:pPr>
      <w:r w:rsidRPr="00507A31">
        <w:rPr>
          <w:color w:val="0070C0"/>
          <w:sz w:val="16"/>
          <w:szCs w:val="16"/>
        </w:rPr>
        <w:fldChar w:fldCharType="begin"/>
      </w:r>
      <w:r w:rsidRPr="00507A31">
        <w:rPr>
          <w:color w:val="0070C0"/>
          <w:sz w:val="16"/>
          <w:szCs w:val="16"/>
        </w:rPr>
        <w:instrText xml:space="preserve"> TOC \o "1-5" \h \z </w:instrText>
      </w:r>
      <w:r w:rsidRPr="00507A31">
        <w:rPr>
          <w:color w:val="0070C0"/>
          <w:sz w:val="16"/>
          <w:szCs w:val="16"/>
        </w:rPr>
        <w:fldChar w:fldCharType="separate"/>
      </w:r>
      <w:r w:rsidRPr="00507A31">
        <w:rPr>
          <w:color w:val="0070C0"/>
          <w:sz w:val="16"/>
          <w:szCs w:val="16"/>
        </w:rPr>
        <w:t>Полетный вес (кг)</w:t>
      </w:r>
      <w:r w:rsidRPr="00507A31">
        <w:rPr>
          <w:color w:val="0070C0"/>
          <w:sz w:val="16"/>
          <w:szCs w:val="16"/>
        </w:rPr>
        <w:tab/>
        <w:t>3225</w:t>
      </w:r>
    </w:p>
    <w:p w14:paraId="02EA60D8" w14:textId="77777777" w:rsidR="00675290" w:rsidRPr="00507A31" w:rsidRDefault="00675290" w:rsidP="00507A31">
      <w:pPr>
        <w:jc w:val="both"/>
        <w:rPr>
          <w:color w:val="0070C0"/>
          <w:sz w:val="16"/>
          <w:szCs w:val="16"/>
        </w:rPr>
      </w:pPr>
      <w:r w:rsidRPr="00507A31">
        <w:rPr>
          <w:color w:val="0070C0"/>
          <w:sz w:val="16"/>
          <w:szCs w:val="16"/>
        </w:rPr>
        <w:t>Нагрузка с броней (кг)</w:t>
      </w:r>
      <w:r w:rsidRPr="00507A31">
        <w:rPr>
          <w:color w:val="0070C0"/>
          <w:sz w:val="16"/>
          <w:szCs w:val="16"/>
        </w:rPr>
        <w:tab/>
        <w:t>1544,6</w:t>
      </w:r>
    </w:p>
    <w:p w14:paraId="7491E5A7" w14:textId="77777777" w:rsidR="00675290" w:rsidRPr="00507A31" w:rsidRDefault="00675290" w:rsidP="00507A31">
      <w:pPr>
        <w:jc w:val="both"/>
        <w:rPr>
          <w:color w:val="0070C0"/>
          <w:sz w:val="16"/>
          <w:szCs w:val="16"/>
        </w:rPr>
      </w:pPr>
      <w:r w:rsidRPr="00507A31">
        <w:rPr>
          <w:color w:val="0070C0"/>
          <w:sz w:val="16"/>
          <w:szCs w:val="16"/>
        </w:rPr>
        <w:t>Максимальная скорость у земли (км/ч)</w:t>
      </w:r>
      <w:r w:rsidRPr="00507A31">
        <w:rPr>
          <w:color w:val="0070C0"/>
          <w:sz w:val="16"/>
          <w:szCs w:val="16"/>
        </w:rPr>
        <w:tab/>
        <w:t>213,5</w:t>
      </w:r>
    </w:p>
    <w:p w14:paraId="1C2437CD" w14:textId="77777777" w:rsidR="00675290" w:rsidRPr="00507A31" w:rsidRDefault="00675290" w:rsidP="00507A31">
      <w:pPr>
        <w:jc w:val="both"/>
        <w:rPr>
          <w:color w:val="0070C0"/>
          <w:sz w:val="16"/>
          <w:szCs w:val="16"/>
        </w:rPr>
      </w:pPr>
      <w:r w:rsidRPr="00507A31">
        <w:rPr>
          <w:color w:val="0070C0"/>
          <w:sz w:val="16"/>
          <w:szCs w:val="16"/>
        </w:rPr>
        <w:t>Максимальная скорость Н=3000 м (км/ч)</w:t>
      </w:r>
      <w:r w:rsidRPr="00507A31">
        <w:rPr>
          <w:color w:val="0070C0"/>
          <w:sz w:val="16"/>
          <w:szCs w:val="16"/>
        </w:rPr>
        <w:tab/>
        <w:t>192</w:t>
      </w:r>
    </w:p>
    <w:p w14:paraId="347D6EE4" w14:textId="77777777" w:rsidR="00675290" w:rsidRPr="00507A31" w:rsidRDefault="00675290" w:rsidP="00507A31">
      <w:pPr>
        <w:jc w:val="both"/>
        <w:rPr>
          <w:color w:val="0070C0"/>
          <w:sz w:val="16"/>
          <w:szCs w:val="16"/>
        </w:rPr>
      </w:pPr>
      <w:r w:rsidRPr="00507A31">
        <w:rPr>
          <w:color w:val="0070C0"/>
          <w:sz w:val="16"/>
          <w:szCs w:val="16"/>
        </w:rPr>
        <w:t>Время набора высоты 3000</w:t>
      </w:r>
      <w:r w:rsidRPr="00507A31">
        <w:rPr>
          <w:color w:val="0070C0"/>
          <w:sz w:val="16"/>
          <w:szCs w:val="16"/>
        </w:rPr>
        <w:tab/>
        <w:t>м</w:t>
      </w:r>
      <w:r w:rsidRPr="00507A31">
        <w:rPr>
          <w:color w:val="0070C0"/>
          <w:sz w:val="16"/>
          <w:szCs w:val="16"/>
        </w:rPr>
        <w:tab/>
        <w:t>(мин)</w:t>
      </w:r>
      <w:r w:rsidRPr="00507A31">
        <w:rPr>
          <w:color w:val="0070C0"/>
          <w:sz w:val="16"/>
          <w:szCs w:val="16"/>
        </w:rPr>
        <w:tab/>
        <w:t>24,0</w:t>
      </w:r>
      <w:r w:rsidRPr="00507A31">
        <w:rPr>
          <w:color w:val="0070C0"/>
          <w:sz w:val="16"/>
          <w:szCs w:val="16"/>
        </w:rPr>
        <w:fldChar w:fldCharType="end"/>
      </w:r>
    </w:p>
    <w:p w14:paraId="4B13FC3E" w14:textId="77777777" w:rsidR="00675290" w:rsidRPr="00507A31" w:rsidRDefault="00675290" w:rsidP="00507A31">
      <w:pPr>
        <w:jc w:val="both"/>
        <w:rPr>
          <w:color w:val="0070C0"/>
          <w:sz w:val="16"/>
          <w:szCs w:val="16"/>
        </w:rPr>
      </w:pPr>
      <w:r w:rsidRPr="00507A31">
        <w:rPr>
          <w:color w:val="0070C0"/>
          <w:sz w:val="16"/>
          <w:szCs w:val="16"/>
        </w:rPr>
        <w:t>Признавалось, что летные характеристики самолета удовлетворительные, однако «ТШ-2 требует доводки и в на</w:t>
      </w:r>
      <w:r w:rsidRPr="00507A31">
        <w:rPr>
          <w:color w:val="0070C0"/>
          <w:sz w:val="16"/>
          <w:szCs w:val="16"/>
        </w:rPr>
        <w:softHyphen/>
        <w:t>стоящем виде не может быть принят на вооружение час</w:t>
      </w:r>
      <w:r w:rsidRPr="00507A31">
        <w:rPr>
          <w:color w:val="0070C0"/>
          <w:sz w:val="16"/>
          <w:szCs w:val="16"/>
        </w:rPr>
        <w:softHyphen/>
        <w:t>тей ВВС». К недостаткам отнесли капризное вооружение, сложность покидания самолета с парашютом, плохой об</w:t>
      </w:r>
      <w:r w:rsidRPr="00507A31">
        <w:rPr>
          <w:color w:val="0070C0"/>
          <w:sz w:val="16"/>
          <w:szCs w:val="16"/>
        </w:rPr>
        <w:softHyphen/>
        <w:t>зор из кабины - с высоты 100 м летчик наблюдал цель не ближе 1000 м. Однако едва ли не главной проблемой штурмовика была недостаточная мощность двигателя М</w:t>
      </w:r>
      <w:r w:rsidRPr="00507A31">
        <w:rPr>
          <w:color w:val="0070C0"/>
          <w:sz w:val="16"/>
          <w:szCs w:val="16"/>
        </w:rPr>
        <w:softHyphen/>
        <w:t>17, при эволюциях во время атаки летчикам приходилось пользоваться максимальным режимом двигателя. Поэтому в начале 1931 г. возник вопрос о создании нового эталона ТШ-2 с металлическим крылом, внутри которого предполагалась батарея пулеметов, бомбоотсеки и бензо</w:t>
      </w:r>
      <w:r w:rsidRPr="00507A31">
        <w:rPr>
          <w:color w:val="0070C0"/>
          <w:sz w:val="16"/>
          <w:szCs w:val="16"/>
        </w:rPr>
        <w:softHyphen/>
        <w:t>баки. И, главное, нужен был другой, значительно более мощный двигатель.</w:t>
      </w:r>
    </w:p>
    <w:p w14:paraId="58C0A113" w14:textId="77777777" w:rsidR="00675290" w:rsidRPr="00507A31" w:rsidRDefault="00675290" w:rsidP="00507A31">
      <w:pPr>
        <w:jc w:val="both"/>
        <w:rPr>
          <w:color w:val="0070C0"/>
          <w:sz w:val="16"/>
          <w:szCs w:val="16"/>
        </w:rPr>
      </w:pPr>
      <w:r w:rsidRPr="00507A31">
        <w:rPr>
          <w:color w:val="0070C0"/>
          <w:sz w:val="16"/>
          <w:szCs w:val="16"/>
        </w:rPr>
        <w:t>Далее конструкторы бригады Кочеригина продолжили за</w:t>
      </w:r>
      <w:r w:rsidRPr="00507A31">
        <w:rPr>
          <w:color w:val="0070C0"/>
          <w:sz w:val="16"/>
          <w:szCs w:val="16"/>
        </w:rPr>
        <w:softHyphen/>
        <w:t>ниматься подготовкой улучшенного штурмовика, который определяли как «самолет №21» с двигателем М-27. «Са</w:t>
      </w:r>
      <w:r w:rsidRPr="00507A31">
        <w:rPr>
          <w:color w:val="0070C0"/>
          <w:sz w:val="16"/>
          <w:szCs w:val="16"/>
        </w:rPr>
        <w:softHyphen/>
        <w:t>молет №21» строился больше года и как-то затерялся затем во времени, то есть уточненных сведений о нем об</w:t>
      </w:r>
      <w:r w:rsidRPr="00507A31">
        <w:rPr>
          <w:color w:val="0070C0"/>
          <w:sz w:val="16"/>
          <w:szCs w:val="16"/>
        </w:rPr>
        <w:softHyphen/>
        <w:t>наружить не удалось (20362).</w:t>
      </w:r>
    </w:p>
    <w:p w14:paraId="70F04BD6" w14:textId="77777777" w:rsidR="00675290" w:rsidRPr="00507A31" w:rsidRDefault="00675290" w:rsidP="00507A31">
      <w:pPr>
        <w:shd w:val="clear" w:color="auto" w:fill="FFFFFF"/>
        <w:jc w:val="both"/>
        <w:rPr>
          <w:color w:val="0070C0"/>
          <w:sz w:val="16"/>
          <w:szCs w:val="16"/>
        </w:rPr>
      </w:pPr>
    </w:p>
    <w:p w14:paraId="4D9A4D33" w14:textId="77777777" w:rsidR="00675290" w:rsidRPr="00507A31" w:rsidRDefault="00675290" w:rsidP="00507A31">
      <w:pPr>
        <w:jc w:val="both"/>
        <w:rPr>
          <w:color w:val="0070C0"/>
          <w:sz w:val="16"/>
          <w:szCs w:val="16"/>
        </w:rPr>
      </w:pPr>
      <w:r w:rsidRPr="00507A31">
        <w:rPr>
          <w:color w:val="0070C0"/>
          <w:sz w:val="16"/>
          <w:szCs w:val="16"/>
          <w:lang w:bidi="ru-RU"/>
        </w:rPr>
        <w:t>2 ноября 1930 самолет ТШ-2 передали в НИИ ВВС для производства государствен</w:t>
      </w:r>
      <w:r w:rsidRPr="00507A31">
        <w:rPr>
          <w:color w:val="0070C0"/>
          <w:sz w:val="16"/>
          <w:szCs w:val="16"/>
          <w:lang w:bidi="ru-RU"/>
        </w:rPr>
        <w:softHyphen/>
        <w:t>ных испытаний. К этому времени он про</w:t>
      </w:r>
      <w:r w:rsidRPr="00507A31">
        <w:rPr>
          <w:color w:val="0070C0"/>
          <w:sz w:val="16"/>
          <w:szCs w:val="16"/>
          <w:lang w:bidi="ru-RU"/>
        </w:rPr>
        <w:softHyphen/>
        <w:t>шел сокращенные заводские испытания. При первых же полетах выявились значи</w:t>
      </w:r>
      <w:r w:rsidRPr="00507A31">
        <w:rPr>
          <w:color w:val="0070C0"/>
          <w:sz w:val="16"/>
          <w:szCs w:val="16"/>
          <w:lang w:bidi="ru-RU"/>
        </w:rPr>
        <w:softHyphen/>
        <w:t>тельные нагрузки на рулях глубины и по</w:t>
      </w:r>
      <w:r w:rsidRPr="00507A31">
        <w:rPr>
          <w:color w:val="0070C0"/>
          <w:sz w:val="16"/>
          <w:szCs w:val="16"/>
          <w:lang w:bidi="ru-RU"/>
        </w:rPr>
        <w:softHyphen/>
        <w:t>ворота. В силу чего последние были об</w:t>
      </w:r>
      <w:r w:rsidRPr="00507A31">
        <w:rPr>
          <w:color w:val="0070C0"/>
          <w:sz w:val="16"/>
          <w:szCs w:val="16"/>
          <w:lang w:bidi="ru-RU"/>
        </w:rPr>
        <w:softHyphen/>
        <w:t>резаны на 100-120 мм. В полете сильно грелся под броней мотор. Температура масла доходила до 82°, а этиленгликоля - до 125-130°. После каждых 3-4-х по</w:t>
      </w:r>
      <w:r w:rsidRPr="00507A31">
        <w:rPr>
          <w:color w:val="0070C0"/>
          <w:sz w:val="16"/>
          <w:szCs w:val="16"/>
          <w:lang w:bidi="ru-RU"/>
        </w:rPr>
        <w:softHyphen/>
        <w:t>садок приходилось менять амортиза</w:t>
      </w:r>
      <w:r w:rsidRPr="00507A31">
        <w:rPr>
          <w:color w:val="0070C0"/>
          <w:sz w:val="16"/>
          <w:szCs w:val="16"/>
          <w:lang w:bidi="ru-RU"/>
        </w:rPr>
        <w:softHyphen/>
        <w:t>торы шасси. Вооружение самолета в пол</w:t>
      </w:r>
      <w:r w:rsidRPr="00507A31">
        <w:rPr>
          <w:color w:val="0070C0"/>
          <w:sz w:val="16"/>
          <w:szCs w:val="16"/>
          <w:lang w:bidi="ru-RU"/>
        </w:rPr>
        <w:softHyphen/>
        <w:t>ном объеме не испытывалось и не дово</w:t>
      </w:r>
      <w:r w:rsidRPr="00507A31">
        <w:rPr>
          <w:color w:val="0070C0"/>
          <w:sz w:val="16"/>
          <w:szCs w:val="16"/>
          <w:lang w:bidi="ru-RU"/>
        </w:rPr>
        <w:softHyphen/>
        <w:t>дилось. На заводе отстреляли в воздухе лишь одну пулеметную батарею (4 ПВ-1) под правой консолью нижнего крыла. На номинальном режиме работы мотора са</w:t>
      </w:r>
      <w:r w:rsidRPr="00507A31">
        <w:rPr>
          <w:color w:val="0070C0"/>
          <w:sz w:val="16"/>
          <w:szCs w:val="16"/>
          <w:lang w:bidi="ru-RU"/>
        </w:rPr>
        <w:softHyphen/>
        <w:t>молет показал максимальную скорость полета у земли 180 км/ч.</w:t>
      </w:r>
    </w:p>
    <w:p w14:paraId="33906C21" w14:textId="77777777" w:rsidR="00675290" w:rsidRPr="00507A31" w:rsidRDefault="00675290" w:rsidP="00507A31">
      <w:pPr>
        <w:jc w:val="both"/>
        <w:rPr>
          <w:color w:val="0070C0"/>
          <w:sz w:val="16"/>
          <w:szCs w:val="16"/>
        </w:rPr>
      </w:pPr>
      <w:r w:rsidRPr="00507A31">
        <w:rPr>
          <w:color w:val="0070C0"/>
          <w:sz w:val="16"/>
          <w:szCs w:val="16"/>
          <w:lang w:bidi="ru-RU"/>
        </w:rPr>
        <w:t>Полеты в НИИ ВВС завершились 26 декабря 1930 г. Летали: ведущий лет</w:t>
      </w:r>
      <w:r w:rsidRPr="00507A31">
        <w:rPr>
          <w:color w:val="0070C0"/>
          <w:sz w:val="16"/>
          <w:szCs w:val="16"/>
          <w:lang w:bidi="ru-RU"/>
        </w:rPr>
        <w:softHyphen/>
        <w:t>чик - М.А. Волковойнов, и летчики об</w:t>
      </w:r>
      <w:r w:rsidRPr="00507A31">
        <w:rPr>
          <w:color w:val="0070C0"/>
          <w:sz w:val="16"/>
          <w:szCs w:val="16"/>
          <w:lang w:bidi="ru-RU"/>
        </w:rPr>
        <w:softHyphen/>
        <w:t>лета - Б.Л. Бухгольц, Ю.И. Пионтковский. Ведущий инженер - начальник 5-й бри</w:t>
      </w:r>
      <w:r w:rsidRPr="00507A31">
        <w:rPr>
          <w:color w:val="0070C0"/>
          <w:sz w:val="16"/>
          <w:szCs w:val="16"/>
          <w:lang w:bidi="ru-RU"/>
        </w:rPr>
        <w:softHyphen/>
        <w:t>гады управления сухопутных самолетов института Кравцов. Отчет по результатам испытаний утвердили 15 января 1931 г.</w:t>
      </w:r>
    </w:p>
    <w:p w14:paraId="4690F638" w14:textId="77777777" w:rsidR="00675290" w:rsidRPr="00507A31" w:rsidRDefault="00675290" w:rsidP="00507A31">
      <w:pPr>
        <w:jc w:val="both"/>
        <w:rPr>
          <w:color w:val="0070C0"/>
          <w:sz w:val="16"/>
          <w:szCs w:val="16"/>
        </w:rPr>
      </w:pPr>
      <w:r w:rsidRPr="00507A31">
        <w:rPr>
          <w:color w:val="0070C0"/>
          <w:sz w:val="16"/>
          <w:szCs w:val="16"/>
          <w:lang w:bidi="ru-RU"/>
        </w:rPr>
        <w:t>Программа летных испытаний пред</w:t>
      </w:r>
      <w:r w:rsidRPr="00507A31">
        <w:rPr>
          <w:color w:val="0070C0"/>
          <w:sz w:val="16"/>
          <w:szCs w:val="16"/>
          <w:lang w:bidi="ru-RU"/>
        </w:rPr>
        <w:softHyphen/>
        <w:t>усматривала определение горизонталь</w:t>
      </w:r>
      <w:r w:rsidRPr="00507A31">
        <w:rPr>
          <w:color w:val="0070C0"/>
          <w:sz w:val="16"/>
          <w:szCs w:val="16"/>
          <w:lang w:bidi="ru-RU"/>
        </w:rPr>
        <w:softHyphen/>
        <w:t>ной скорости, скороподъемности, устойчи</w:t>
      </w:r>
      <w:r w:rsidRPr="00507A31">
        <w:rPr>
          <w:color w:val="0070C0"/>
          <w:sz w:val="16"/>
          <w:szCs w:val="16"/>
          <w:lang w:bidi="ru-RU"/>
        </w:rPr>
        <w:softHyphen/>
        <w:t>вости, управляемости, а также приемисто</w:t>
      </w:r>
      <w:r w:rsidRPr="00507A31">
        <w:rPr>
          <w:color w:val="0070C0"/>
          <w:sz w:val="16"/>
          <w:szCs w:val="16"/>
          <w:lang w:bidi="ru-RU"/>
        </w:rPr>
        <w:softHyphen/>
        <w:t>сти на основных высотах боевого приме</w:t>
      </w:r>
      <w:r w:rsidRPr="00507A31">
        <w:rPr>
          <w:color w:val="0070C0"/>
          <w:sz w:val="16"/>
          <w:szCs w:val="16"/>
          <w:lang w:bidi="ru-RU"/>
        </w:rPr>
        <w:softHyphen/>
        <w:t>нения - 25-50 м и 200-1000 м.</w:t>
      </w:r>
    </w:p>
    <w:p w14:paraId="4242A014" w14:textId="77777777" w:rsidR="00675290" w:rsidRPr="00507A31" w:rsidRDefault="00675290" w:rsidP="00507A31">
      <w:pPr>
        <w:jc w:val="both"/>
        <w:rPr>
          <w:color w:val="0070C0"/>
          <w:sz w:val="16"/>
          <w:szCs w:val="16"/>
        </w:rPr>
      </w:pPr>
      <w:r w:rsidRPr="00507A31">
        <w:rPr>
          <w:color w:val="0070C0"/>
          <w:sz w:val="16"/>
          <w:szCs w:val="16"/>
          <w:lang w:bidi="ru-RU"/>
        </w:rPr>
        <w:t>При взлетном весе 3225 кг и при использовании взлетного режима ра</w:t>
      </w:r>
      <w:r w:rsidRPr="00507A31">
        <w:rPr>
          <w:color w:val="0070C0"/>
          <w:sz w:val="16"/>
          <w:szCs w:val="16"/>
          <w:lang w:bidi="ru-RU"/>
        </w:rPr>
        <w:softHyphen/>
        <w:t>боты мотора максимальная скорость по</w:t>
      </w:r>
      <w:r w:rsidRPr="00507A31">
        <w:rPr>
          <w:color w:val="0070C0"/>
          <w:sz w:val="16"/>
          <w:szCs w:val="16"/>
          <w:lang w:bidi="ru-RU"/>
        </w:rPr>
        <w:softHyphen/>
        <w:t>лета составила 213,5 км/ч у земли. Ско</w:t>
      </w:r>
      <w:r w:rsidRPr="00507A31">
        <w:rPr>
          <w:color w:val="0070C0"/>
          <w:sz w:val="16"/>
          <w:szCs w:val="16"/>
          <w:lang w:bidi="ru-RU"/>
        </w:rPr>
        <w:softHyphen/>
        <w:t>роподъемность самолета оказалась низ</w:t>
      </w:r>
      <w:r w:rsidRPr="00507A31">
        <w:rPr>
          <w:color w:val="0070C0"/>
          <w:sz w:val="16"/>
          <w:szCs w:val="16"/>
          <w:lang w:bidi="ru-RU"/>
        </w:rPr>
        <w:softHyphen/>
        <w:t>кой - всего 3,5 м/с у земли, а полное время набора высоты 3000 м достигало 24 мин. Время выполнения полного ви</w:t>
      </w:r>
      <w:r w:rsidRPr="00507A31">
        <w:rPr>
          <w:color w:val="0070C0"/>
          <w:sz w:val="16"/>
          <w:szCs w:val="16"/>
          <w:lang w:bidi="ru-RU"/>
        </w:rPr>
        <w:softHyphen/>
        <w:t>ража - 17-17,5 с. Разбег на взлетном ре</w:t>
      </w:r>
      <w:r w:rsidRPr="00507A31">
        <w:rPr>
          <w:color w:val="0070C0"/>
          <w:sz w:val="16"/>
          <w:szCs w:val="16"/>
          <w:lang w:bidi="ru-RU"/>
        </w:rPr>
        <w:softHyphen/>
        <w:t>жиме мотора - 160-180 м. Дальность по</w:t>
      </w:r>
      <w:r w:rsidRPr="00507A31">
        <w:rPr>
          <w:color w:val="0070C0"/>
          <w:sz w:val="16"/>
          <w:szCs w:val="16"/>
          <w:lang w:bidi="ru-RU"/>
        </w:rPr>
        <w:softHyphen/>
        <w:t>лета - 500 км. Центровка самолета со</w:t>
      </w:r>
      <w:r w:rsidRPr="00507A31">
        <w:rPr>
          <w:color w:val="0070C0"/>
          <w:sz w:val="16"/>
          <w:szCs w:val="16"/>
          <w:lang w:bidi="ru-RU"/>
        </w:rPr>
        <w:softHyphen/>
        <w:t>ставляла 31,4% САХ.</w:t>
      </w:r>
    </w:p>
    <w:p w14:paraId="11040206" w14:textId="77777777" w:rsidR="00675290" w:rsidRPr="00507A31" w:rsidRDefault="00675290" w:rsidP="00507A31">
      <w:pPr>
        <w:jc w:val="both"/>
        <w:rPr>
          <w:color w:val="0070C0"/>
          <w:sz w:val="16"/>
          <w:szCs w:val="16"/>
        </w:rPr>
      </w:pPr>
      <w:r w:rsidRPr="00507A31">
        <w:rPr>
          <w:color w:val="0070C0"/>
          <w:sz w:val="16"/>
          <w:szCs w:val="16"/>
          <w:lang w:bidi="ru-RU"/>
        </w:rPr>
        <w:t>Отмечалось, что взлет на максималь</w:t>
      </w:r>
      <w:r w:rsidRPr="00507A31">
        <w:rPr>
          <w:color w:val="0070C0"/>
          <w:sz w:val="16"/>
          <w:szCs w:val="16"/>
          <w:lang w:bidi="ru-RU"/>
        </w:rPr>
        <w:softHyphen/>
        <w:t>ной мощности мотора прост, хвост само</w:t>
      </w:r>
      <w:r w:rsidRPr="00507A31">
        <w:rPr>
          <w:color w:val="0070C0"/>
          <w:sz w:val="16"/>
          <w:szCs w:val="16"/>
          <w:lang w:bidi="ru-RU"/>
        </w:rPr>
        <w:softHyphen/>
        <w:t>лет поднимает легко. При номинальном режиме работы мотора самолет «долго разбегается и, оторвавшись, долго наби</w:t>
      </w:r>
      <w:r w:rsidRPr="00507A31">
        <w:rPr>
          <w:color w:val="0070C0"/>
          <w:sz w:val="16"/>
          <w:szCs w:val="16"/>
          <w:lang w:bidi="ru-RU"/>
        </w:rPr>
        <w:softHyphen/>
        <w:t>рает высоту». Полет с брошенной ручкой управления возможен только до скоро</w:t>
      </w:r>
      <w:r w:rsidRPr="00507A31">
        <w:rPr>
          <w:color w:val="0070C0"/>
          <w:sz w:val="16"/>
          <w:szCs w:val="16"/>
          <w:lang w:bidi="ru-RU"/>
        </w:rPr>
        <w:softHyphen/>
        <w:t>сти 160 км/ч. При дальнейшем увеличе</w:t>
      </w:r>
      <w:r w:rsidRPr="00507A31">
        <w:rPr>
          <w:color w:val="0070C0"/>
          <w:sz w:val="16"/>
          <w:szCs w:val="16"/>
          <w:lang w:bidi="ru-RU"/>
        </w:rPr>
        <w:softHyphen/>
        <w:t>нии оборотов и скорости самолет имеет тенденцию к кабрированию, которая па</w:t>
      </w:r>
      <w:r w:rsidRPr="00507A31">
        <w:rPr>
          <w:color w:val="0070C0"/>
          <w:sz w:val="16"/>
          <w:szCs w:val="16"/>
          <w:lang w:bidi="ru-RU"/>
        </w:rPr>
        <w:softHyphen/>
        <w:t>рируется рулем высоты. Самолет устой</w:t>
      </w:r>
      <w:r w:rsidRPr="00507A31">
        <w:rPr>
          <w:color w:val="0070C0"/>
          <w:sz w:val="16"/>
          <w:szCs w:val="16"/>
          <w:lang w:bidi="ru-RU"/>
        </w:rPr>
        <w:softHyphen/>
        <w:t>чив «во всех положениях полета». Вво</w:t>
      </w:r>
      <w:r w:rsidRPr="00507A31">
        <w:rPr>
          <w:color w:val="0070C0"/>
          <w:sz w:val="16"/>
          <w:szCs w:val="16"/>
          <w:lang w:bidi="ru-RU"/>
        </w:rPr>
        <w:softHyphen/>
        <w:t>дится в вираж и выводится из виража вяло. Усилия на элероны слишком велики, на рули высоты и направления - нор</w:t>
      </w:r>
      <w:r w:rsidRPr="00507A31">
        <w:rPr>
          <w:color w:val="0070C0"/>
          <w:sz w:val="16"/>
          <w:szCs w:val="16"/>
          <w:lang w:bidi="ru-RU"/>
        </w:rPr>
        <w:softHyphen/>
        <w:t>мальные. Скорость при выполнении ви</w:t>
      </w:r>
      <w:r w:rsidRPr="00507A31">
        <w:rPr>
          <w:color w:val="0070C0"/>
          <w:sz w:val="16"/>
          <w:szCs w:val="16"/>
          <w:lang w:bidi="ru-RU"/>
        </w:rPr>
        <w:softHyphen/>
        <w:t>ража - 140-150 км/ч. Спираль выполняет хорошо. На виражах и спирали - устой</w:t>
      </w:r>
      <w:r w:rsidRPr="00507A31">
        <w:rPr>
          <w:color w:val="0070C0"/>
          <w:sz w:val="16"/>
          <w:szCs w:val="16"/>
          <w:lang w:bidi="ru-RU"/>
        </w:rPr>
        <w:softHyphen/>
        <w:t>чив. Посадка проста. Скорость при вырав</w:t>
      </w:r>
      <w:r w:rsidRPr="00507A31">
        <w:rPr>
          <w:color w:val="0070C0"/>
          <w:sz w:val="16"/>
          <w:szCs w:val="16"/>
          <w:lang w:bidi="ru-RU"/>
        </w:rPr>
        <w:softHyphen/>
        <w:t>нивании самолет теряет довольно быстро («нет летучести»). Парашютирует на ско</w:t>
      </w:r>
      <w:r w:rsidRPr="00507A31">
        <w:rPr>
          <w:color w:val="0070C0"/>
          <w:sz w:val="16"/>
          <w:szCs w:val="16"/>
          <w:lang w:bidi="ru-RU"/>
        </w:rPr>
        <w:softHyphen/>
        <w:t>рости 90 км/ч, «не имея тенденции к сва</w:t>
      </w:r>
      <w:r w:rsidRPr="00507A31">
        <w:rPr>
          <w:color w:val="0070C0"/>
          <w:sz w:val="16"/>
          <w:szCs w:val="16"/>
          <w:lang w:bidi="ru-RU"/>
        </w:rPr>
        <w:softHyphen/>
        <w:t>ливанию на крыло».</w:t>
      </w:r>
    </w:p>
    <w:p w14:paraId="61CE6317" w14:textId="77777777" w:rsidR="00675290" w:rsidRPr="00507A31" w:rsidRDefault="00675290" w:rsidP="00507A31">
      <w:pPr>
        <w:jc w:val="both"/>
        <w:rPr>
          <w:color w:val="0070C0"/>
          <w:sz w:val="16"/>
          <w:szCs w:val="16"/>
        </w:rPr>
      </w:pPr>
      <w:r w:rsidRPr="00507A31">
        <w:rPr>
          <w:color w:val="0070C0"/>
          <w:sz w:val="16"/>
          <w:szCs w:val="16"/>
          <w:lang w:bidi="ru-RU"/>
        </w:rPr>
        <w:t>Обзор летчику оценивался совер</w:t>
      </w:r>
      <w:r w:rsidRPr="00507A31">
        <w:rPr>
          <w:color w:val="0070C0"/>
          <w:sz w:val="16"/>
          <w:szCs w:val="16"/>
          <w:lang w:bidi="ru-RU"/>
        </w:rPr>
        <w:softHyphen/>
        <w:t>шенно неудовлетворительным: вперед и вниз - закрывался капотом мотора и ниж</w:t>
      </w:r>
      <w:r w:rsidRPr="00507A31">
        <w:rPr>
          <w:color w:val="0070C0"/>
          <w:sz w:val="16"/>
          <w:szCs w:val="16"/>
          <w:lang w:bidi="ru-RU"/>
        </w:rPr>
        <w:softHyphen/>
        <w:t>ним крылом, вверх - верхним крылом, в стороны - «слишком широкой рамкой ко</w:t>
      </w:r>
      <w:r w:rsidRPr="00507A31">
        <w:rPr>
          <w:color w:val="0070C0"/>
          <w:sz w:val="16"/>
          <w:szCs w:val="16"/>
          <w:lang w:bidi="ru-RU"/>
        </w:rPr>
        <w:softHyphen/>
        <w:t>зырька» и броневыми боковинами у ко</w:t>
      </w:r>
      <w:r w:rsidRPr="00507A31">
        <w:rPr>
          <w:color w:val="0070C0"/>
          <w:sz w:val="16"/>
          <w:szCs w:val="16"/>
          <w:lang w:bidi="ru-RU"/>
        </w:rPr>
        <w:softHyphen/>
        <w:t>зырька. При полете на высоте 100 м лет</w:t>
      </w:r>
      <w:r w:rsidRPr="00507A31">
        <w:rPr>
          <w:color w:val="0070C0"/>
          <w:sz w:val="16"/>
          <w:szCs w:val="16"/>
          <w:lang w:bidi="ru-RU"/>
        </w:rPr>
        <w:softHyphen/>
        <w:t>чик мог видеть цель лишь на дистанции порядка 1000 м. При меньшей дистан</w:t>
      </w:r>
      <w:r w:rsidRPr="00507A31">
        <w:rPr>
          <w:color w:val="0070C0"/>
          <w:sz w:val="16"/>
          <w:szCs w:val="16"/>
          <w:lang w:bidi="ru-RU"/>
        </w:rPr>
        <w:softHyphen/>
        <w:t>ции цель «уходит» под капот. Как указы</w:t>
      </w:r>
      <w:r w:rsidRPr="00507A31">
        <w:rPr>
          <w:color w:val="0070C0"/>
          <w:sz w:val="16"/>
          <w:szCs w:val="16"/>
          <w:lang w:bidi="ru-RU"/>
        </w:rPr>
        <w:softHyphen/>
        <w:t>вали летчики, «заход на цель для второй атаки затруднителен», так как при разво</w:t>
      </w:r>
      <w:r w:rsidRPr="00507A31">
        <w:rPr>
          <w:color w:val="0070C0"/>
          <w:sz w:val="16"/>
          <w:szCs w:val="16"/>
          <w:lang w:bidi="ru-RU"/>
        </w:rPr>
        <w:softHyphen/>
        <w:t>роте на цель для повторного захода ви</w:t>
      </w:r>
      <w:r w:rsidRPr="00507A31">
        <w:rPr>
          <w:color w:val="0070C0"/>
          <w:sz w:val="16"/>
          <w:szCs w:val="16"/>
          <w:lang w:bidi="ru-RU"/>
        </w:rPr>
        <w:softHyphen/>
        <w:t>зуальный контакт с целью теряется. Вновь найти цель уже не получалось. У летнаба был тоже плохой обзор. Помочь коман</w:t>
      </w:r>
      <w:r w:rsidRPr="00507A31">
        <w:rPr>
          <w:color w:val="0070C0"/>
          <w:sz w:val="16"/>
          <w:szCs w:val="16"/>
          <w:lang w:bidi="ru-RU"/>
        </w:rPr>
        <w:softHyphen/>
        <w:t>диру ничем не мог. Кроме того, козырек в полете сильно замасливался, что сильно затрудняло обзор и прицеливание.</w:t>
      </w:r>
    </w:p>
    <w:p w14:paraId="45BC4B10" w14:textId="77777777" w:rsidR="00675290" w:rsidRPr="00507A31" w:rsidRDefault="00675290" w:rsidP="00507A31">
      <w:pPr>
        <w:jc w:val="both"/>
        <w:rPr>
          <w:color w:val="0070C0"/>
          <w:sz w:val="16"/>
          <w:szCs w:val="16"/>
        </w:rPr>
      </w:pPr>
      <w:r w:rsidRPr="00507A31">
        <w:rPr>
          <w:color w:val="0070C0"/>
          <w:sz w:val="16"/>
          <w:szCs w:val="16"/>
          <w:lang w:bidi="ru-RU"/>
        </w:rPr>
        <w:t>Стрельба из пулеметов и бомбомета</w:t>
      </w:r>
      <w:r w:rsidRPr="00507A31">
        <w:rPr>
          <w:color w:val="0070C0"/>
          <w:sz w:val="16"/>
          <w:szCs w:val="16"/>
          <w:lang w:bidi="ru-RU"/>
        </w:rPr>
        <w:softHyphen/>
        <w:t>ние не производились по причине их не- доведенности. К тому же на самолете не были установлены прицелы - стрелковый и бомбардировочный. «Для стрельбы из подкрыльных пулеметов» предлагалось установить перископический прицел.</w:t>
      </w:r>
    </w:p>
    <w:p w14:paraId="63987941" w14:textId="77777777" w:rsidR="00675290" w:rsidRPr="00507A31" w:rsidRDefault="00675290" w:rsidP="00507A31">
      <w:pPr>
        <w:jc w:val="both"/>
        <w:rPr>
          <w:color w:val="0070C0"/>
          <w:sz w:val="16"/>
          <w:szCs w:val="16"/>
        </w:rPr>
      </w:pPr>
      <w:r w:rsidRPr="00507A31">
        <w:rPr>
          <w:color w:val="0070C0"/>
          <w:sz w:val="16"/>
          <w:szCs w:val="16"/>
          <w:lang w:bidi="ru-RU"/>
        </w:rPr>
        <w:t>Учитывая низкую энерговооруженность ТШ-2 с мотором БМВ-6 (0,21 л.с./кг), на самолет требовалось установить невы</w:t>
      </w:r>
      <w:r w:rsidRPr="00507A31">
        <w:rPr>
          <w:color w:val="0070C0"/>
          <w:sz w:val="16"/>
          <w:szCs w:val="16"/>
          <w:lang w:bidi="ru-RU"/>
        </w:rPr>
        <w:softHyphen/>
        <w:t>сотный мотор номинальной мощностью не менее 750 л.с. у земли. По этому по</w:t>
      </w:r>
      <w:r w:rsidRPr="00507A31">
        <w:rPr>
          <w:color w:val="0070C0"/>
          <w:sz w:val="16"/>
          <w:szCs w:val="16"/>
          <w:lang w:bidi="ru-RU"/>
        </w:rPr>
        <w:softHyphen/>
        <w:t>воду указывалось: «Для широкой экспло- атации самолет с таким мотором (БМВ-6 - прим. авт.) допустить нельзя, так как пол</w:t>
      </w:r>
      <w:r w:rsidRPr="00507A31">
        <w:rPr>
          <w:color w:val="0070C0"/>
          <w:sz w:val="16"/>
          <w:szCs w:val="16"/>
          <w:lang w:bidi="ru-RU"/>
        </w:rPr>
        <w:softHyphen/>
        <w:t>ное открытие дросселя у земли не допу</w:t>
      </w:r>
      <w:r w:rsidRPr="00507A31">
        <w:rPr>
          <w:color w:val="0070C0"/>
          <w:sz w:val="16"/>
          <w:szCs w:val="16"/>
          <w:lang w:bidi="ru-RU"/>
        </w:rPr>
        <w:softHyphen/>
        <w:t>скается, а если и допускается, то только на очень короткий промежуток времени. С задросселированным мотором (нор</w:t>
      </w:r>
      <w:r w:rsidRPr="00507A31">
        <w:rPr>
          <w:color w:val="0070C0"/>
          <w:sz w:val="16"/>
          <w:szCs w:val="16"/>
          <w:lang w:bidi="ru-RU"/>
        </w:rPr>
        <w:softHyphen/>
        <w:t>мальное пользование мотором) в полетах отмечается явная недостаточность мощ</w:t>
      </w:r>
      <w:r w:rsidRPr="00507A31">
        <w:rPr>
          <w:color w:val="0070C0"/>
          <w:sz w:val="16"/>
          <w:szCs w:val="16"/>
          <w:lang w:bidi="ru-RU"/>
        </w:rPr>
        <w:softHyphen/>
        <w:t>ности, большая инертность машины и не</w:t>
      </w:r>
      <w:r w:rsidRPr="00507A31">
        <w:rPr>
          <w:color w:val="0070C0"/>
          <w:sz w:val="16"/>
          <w:szCs w:val="16"/>
          <w:lang w:bidi="ru-RU"/>
        </w:rPr>
        <w:softHyphen/>
        <w:t>достаточная управляемость».</w:t>
      </w:r>
    </w:p>
    <w:p w14:paraId="6B70A7A6" w14:textId="77777777" w:rsidR="00675290" w:rsidRPr="00507A31" w:rsidRDefault="00675290" w:rsidP="00507A31">
      <w:pPr>
        <w:jc w:val="both"/>
        <w:rPr>
          <w:color w:val="0070C0"/>
          <w:sz w:val="16"/>
          <w:szCs w:val="16"/>
        </w:rPr>
      </w:pPr>
      <w:r w:rsidRPr="00507A31">
        <w:rPr>
          <w:color w:val="0070C0"/>
          <w:sz w:val="16"/>
          <w:szCs w:val="16"/>
          <w:lang w:bidi="ru-RU"/>
        </w:rPr>
        <w:t>И главное, система охлаждения глико</w:t>
      </w:r>
      <w:r w:rsidRPr="00507A31">
        <w:rPr>
          <w:color w:val="0070C0"/>
          <w:sz w:val="16"/>
          <w:szCs w:val="16"/>
          <w:lang w:bidi="ru-RU"/>
        </w:rPr>
        <w:softHyphen/>
        <w:t>лем оказалась совершенно ненадежной и не обеспечивала нормальные темпера</w:t>
      </w:r>
      <w:r w:rsidRPr="00507A31">
        <w:rPr>
          <w:color w:val="0070C0"/>
          <w:sz w:val="16"/>
          <w:szCs w:val="16"/>
          <w:lang w:bidi="ru-RU"/>
        </w:rPr>
        <w:softHyphen/>
        <w:t>турные режимы работы мотора, особенно, в летних условиях.</w:t>
      </w:r>
    </w:p>
    <w:p w14:paraId="5BDC80DE" w14:textId="77777777" w:rsidR="00675290" w:rsidRPr="00507A31" w:rsidRDefault="00675290" w:rsidP="00507A31">
      <w:pPr>
        <w:jc w:val="both"/>
        <w:rPr>
          <w:color w:val="0070C0"/>
          <w:sz w:val="16"/>
          <w:szCs w:val="16"/>
        </w:rPr>
      </w:pPr>
      <w:r w:rsidRPr="00507A31">
        <w:rPr>
          <w:color w:val="0070C0"/>
          <w:sz w:val="16"/>
          <w:szCs w:val="16"/>
          <w:lang w:bidi="ru-RU"/>
        </w:rPr>
        <w:t>Действительно, при полетах у земли и температуре воздуха -19-20°С темпе</w:t>
      </w:r>
      <w:r w:rsidRPr="00507A31">
        <w:rPr>
          <w:color w:val="0070C0"/>
          <w:sz w:val="16"/>
          <w:szCs w:val="16"/>
          <w:lang w:bidi="ru-RU"/>
        </w:rPr>
        <w:softHyphen/>
        <w:t>ратура гликоля доходила до 125-130°С. То есть разница между рабочей темпера</w:t>
      </w:r>
      <w:r w:rsidRPr="00507A31">
        <w:rPr>
          <w:color w:val="0070C0"/>
          <w:sz w:val="16"/>
          <w:szCs w:val="16"/>
          <w:lang w:bidi="ru-RU"/>
        </w:rPr>
        <w:softHyphen/>
        <w:t>турой гликоля и фактической составляла 144-150°С. Соответственно, когда темпе</w:t>
      </w:r>
      <w:r w:rsidRPr="00507A31">
        <w:rPr>
          <w:color w:val="0070C0"/>
          <w:sz w:val="16"/>
          <w:szCs w:val="16"/>
          <w:lang w:bidi="ru-RU"/>
        </w:rPr>
        <w:softHyphen/>
        <w:t>ратура воздуха прогреется до 25-30°С, температура гликоля будет достигать +169-180°С. И это «при условии откры</w:t>
      </w:r>
      <w:r w:rsidRPr="00507A31">
        <w:rPr>
          <w:color w:val="0070C0"/>
          <w:sz w:val="16"/>
          <w:szCs w:val="16"/>
          <w:lang w:bidi="ru-RU"/>
        </w:rPr>
        <w:softHyphen/>
        <w:t>тых жалюзи». Но «при атаке, как бы она коротка ни была, жалюзи придется закры</w:t>
      </w:r>
      <w:r w:rsidRPr="00507A31">
        <w:rPr>
          <w:color w:val="0070C0"/>
          <w:sz w:val="16"/>
          <w:szCs w:val="16"/>
          <w:lang w:bidi="ru-RU"/>
        </w:rPr>
        <w:softHyphen/>
        <w:t>вать, и температура будет быстро подни</w:t>
      </w:r>
      <w:r w:rsidRPr="00507A31">
        <w:rPr>
          <w:color w:val="0070C0"/>
          <w:sz w:val="16"/>
          <w:szCs w:val="16"/>
          <w:lang w:bidi="ru-RU"/>
        </w:rPr>
        <w:softHyphen/>
        <w:t>маться». Поэтому, «можно ожидать явле</w:t>
      </w:r>
      <w:r w:rsidRPr="00507A31">
        <w:rPr>
          <w:color w:val="0070C0"/>
          <w:sz w:val="16"/>
          <w:szCs w:val="16"/>
          <w:lang w:bidi="ru-RU"/>
        </w:rPr>
        <w:softHyphen/>
        <w:t>ние закипания гликоля, как это имело ме</w:t>
      </w:r>
      <w:r w:rsidRPr="00507A31">
        <w:rPr>
          <w:color w:val="0070C0"/>
          <w:sz w:val="16"/>
          <w:szCs w:val="16"/>
          <w:lang w:bidi="ru-RU"/>
        </w:rPr>
        <w:softHyphen/>
        <w:t>сто в НИИ ВВС дважды. /.../ Один раз в воздухе, повлекший вынужденную по</w:t>
      </w:r>
      <w:r w:rsidRPr="00507A31">
        <w:rPr>
          <w:color w:val="0070C0"/>
          <w:sz w:val="16"/>
          <w:szCs w:val="16"/>
          <w:lang w:bidi="ru-RU"/>
        </w:rPr>
        <w:softHyphen/>
        <w:t>садку, и второй раз - на земле».</w:t>
      </w:r>
    </w:p>
    <w:p w14:paraId="35489E57" w14:textId="77777777" w:rsidR="00675290" w:rsidRPr="00507A31" w:rsidRDefault="00675290" w:rsidP="00507A31">
      <w:pPr>
        <w:jc w:val="both"/>
        <w:rPr>
          <w:color w:val="0070C0"/>
          <w:sz w:val="16"/>
          <w:szCs w:val="16"/>
        </w:rPr>
      </w:pPr>
      <w:r w:rsidRPr="00507A31">
        <w:rPr>
          <w:color w:val="0070C0"/>
          <w:sz w:val="16"/>
          <w:szCs w:val="16"/>
          <w:lang w:bidi="ru-RU"/>
        </w:rPr>
        <w:t>К тому же «в местах соединений тру</w:t>
      </w:r>
      <w:r w:rsidRPr="00507A31">
        <w:rPr>
          <w:color w:val="0070C0"/>
          <w:sz w:val="16"/>
          <w:szCs w:val="16"/>
          <w:lang w:bidi="ru-RU"/>
        </w:rPr>
        <w:softHyphen/>
        <w:t>бопроводов за время испытаний наблю</w:t>
      </w:r>
      <w:r w:rsidRPr="00507A31">
        <w:rPr>
          <w:color w:val="0070C0"/>
          <w:sz w:val="16"/>
          <w:szCs w:val="16"/>
          <w:lang w:bidi="ru-RU"/>
        </w:rPr>
        <w:softHyphen/>
        <w:t>дали систематическую течь гликоля». При</w:t>
      </w:r>
      <w:r w:rsidRPr="00507A31">
        <w:rPr>
          <w:color w:val="0070C0"/>
          <w:sz w:val="16"/>
          <w:szCs w:val="16"/>
          <w:lang w:bidi="ru-RU"/>
        </w:rPr>
        <w:softHyphen/>
        <w:t>ходилось регулярно подтягивать все со</w:t>
      </w:r>
      <w:r w:rsidRPr="00507A31">
        <w:rPr>
          <w:color w:val="0070C0"/>
          <w:sz w:val="16"/>
          <w:szCs w:val="16"/>
          <w:lang w:bidi="ru-RU"/>
        </w:rPr>
        <w:softHyphen/>
        <w:t>единения. Но это помогало мало. После полетов «обнаруживалось забрасывания гликолем боковинок мотора», а «имеющи</w:t>
      </w:r>
      <w:r w:rsidRPr="00507A31">
        <w:rPr>
          <w:color w:val="0070C0"/>
          <w:sz w:val="16"/>
          <w:szCs w:val="16"/>
          <w:lang w:bidi="ru-RU"/>
        </w:rPr>
        <w:softHyphen/>
        <w:t>еся типы термометров неестественно бы</w:t>
      </w:r>
      <w:r w:rsidRPr="00507A31">
        <w:rPr>
          <w:color w:val="0070C0"/>
          <w:sz w:val="16"/>
          <w:szCs w:val="16"/>
          <w:lang w:bidi="ru-RU"/>
        </w:rPr>
        <w:softHyphen/>
        <w:t>стро становятся неисправными». Счита</w:t>
      </w:r>
      <w:r w:rsidRPr="00507A31">
        <w:rPr>
          <w:color w:val="0070C0"/>
          <w:sz w:val="16"/>
          <w:szCs w:val="16"/>
          <w:lang w:bidi="ru-RU"/>
        </w:rPr>
        <w:softHyphen/>
        <w:t>лось, что «в эксплоатации такая вещь со</w:t>
      </w:r>
      <w:r w:rsidRPr="00507A31">
        <w:rPr>
          <w:color w:val="0070C0"/>
          <w:sz w:val="16"/>
          <w:szCs w:val="16"/>
          <w:lang w:bidi="ru-RU"/>
        </w:rPr>
        <w:softHyphen/>
        <w:t>вершенно недопустима».</w:t>
      </w:r>
    </w:p>
    <w:p w14:paraId="3DEF3357" w14:textId="77777777" w:rsidR="00675290" w:rsidRPr="00507A31" w:rsidRDefault="00675290" w:rsidP="00507A31">
      <w:pPr>
        <w:jc w:val="both"/>
        <w:rPr>
          <w:color w:val="0070C0"/>
          <w:sz w:val="16"/>
          <w:szCs w:val="16"/>
        </w:rPr>
      </w:pPr>
      <w:r w:rsidRPr="00507A31">
        <w:rPr>
          <w:color w:val="0070C0"/>
          <w:sz w:val="16"/>
          <w:szCs w:val="16"/>
          <w:lang w:bidi="ru-RU"/>
        </w:rPr>
        <w:t>Как указывалось в отчете по резуль</w:t>
      </w:r>
      <w:r w:rsidRPr="00507A31">
        <w:rPr>
          <w:color w:val="0070C0"/>
          <w:sz w:val="16"/>
          <w:szCs w:val="16"/>
          <w:lang w:bidi="ru-RU"/>
        </w:rPr>
        <w:softHyphen/>
        <w:t>татам испытаний, «все вместе взятое за</w:t>
      </w:r>
      <w:r w:rsidRPr="00507A31">
        <w:rPr>
          <w:color w:val="0070C0"/>
          <w:sz w:val="16"/>
          <w:szCs w:val="16"/>
          <w:lang w:bidi="ru-RU"/>
        </w:rPr>
        <w:softHyphen/>
        <w:t>ставляет отнестись к системе охлаждения гликолем очень осторожно». Требовалось «доработать этот вопрос в таком объеме, чтобы получить полную гарантию исправ</w:t>
      </w:r>
      <w:r w:rsidRPr="00507A31">
        <w:rPr>
          <w:color w:val="0070C0"/>
          <w:sz w:val="16"/>
          <w:szCs w:val="16"/>
          <w:lang w:bidi="ru-RU"/>
        </w:rPr>
        <w:softHyphen/>
        <w:t>ного охлаждения».</w:t>
      </w:r>
    </w:p>
    <w:p w14:paraId="1C91723D" w14:textId="77777777" w:rsidR="00675290" w:rsidRPr="00507A31" w:rsidRDefault="00675290" w:rsidP="00507A31">
      <w:pPr>
        <w:jc w:val="both"/>
        <w:rPr>
          <w:color w:val="0070C0"/>
          <w:sz w:val="16"/>
          <w:szCs w:val="16"/>
        </w:rPr>
      </w:pPr>
      <w:r w:rsidRPr="00507A31">
        <w:rPr>
          <w:color w:val="0070C0"/>
          <w:sz w:val="16"/>
          <w:szCs w:val="16"/>
          <w:lang w:bidi="ru-RU"/>
        </w:rPr>
        <w:t>Очевидно, в таком виде принимать ТШ-2 на вооружение ВВС было нельзя. Заключение НИИ ВВС звучало одноз</w:t>
      </w:r>
      <w:r w:rsidRPr="00507A31">
        <w:rPr>
          <w:color w:val="0070C0"/>
          <w:sz w:val="16"/>
          <w:szCs w:val="16"/>
          <w:lang w:bidi="ru-RU"/>
        </w:rPr>
        <w:softHyphen/>
        <w:t>начно: «самолет в настоящее время не может быть принят на вооружение частей ВВС». Самолет возвратили на завод для проведения необходимых доработок.</w:t>
      </w:r>
    </w:p>
    <w:p w14:paraId="12D85BA4" w14:textId="77777777" w:rsidR="00675290" w:rsidRPr="00507A31" w:rsidRDefault="00675290" w:rsidP="00507A31">
      <w:pPr>
        <w:jc w:val="both"/>
        <w:rPr>
          <w:color w:val="0070C0"/>
          <w:sz w:val="16"/>
          <w:szCs w:val="16"/>
          <w:lang w:bidi="ru-RU"/>
        </w:rPr>
      </w:pPr>
      <w:r w:rsidRPr="00507A31">
        <w:rPr>
          <w:color w:val="0070C0"/>
          <w:sz w:val="16"/>
          <w:szCs w:val="16"/>
          <w:lang w:bidi="ru-RU"/>
        </w:rPr>
        <w:t>Между тем общая оценка самолета по итогам испытаний в целом была удовлет</w:t>
      </w:r>
      <w:r w:rsidRPr="00507A31">
        <w:rPr>
          <w:color w:val="0070C0"/>
          <w:sz w:val="16"/>
          <w:szCs w:val="16"/>
          <w:lang w:bidi="ru-RU"/>
        </w:rPr>
        <w:softHyphen/>
        <w:t>ворительной. Считалось, что «детские бо</w:t>
      </w:r>
      <w:r w:rsidRPr="00507A31">
        <w:rPr>
          <w:color w:val="0070C0"/>
          <w:sz w:val="16"/>
          <w:szCs w:val="16"/>
          <w:lang w:bidi="ru-RU"/>
        </w:rPr>
        <w:softHyphen/>
        <w:t>лезни» новой машины излечиваются. По</w:t>
      </w:r>
      <w:r w:rsidRPr="00507A31">
        <w:rPr>
          <w:color w:val="0070C0"/>
          <w:sz w:val="16"/>
          <w:szCs w:val="16"/>
          <w:lang w:bidi="ru-RU"/>
        </w:rPr>
        <w:softHyphen/>
        <w:t>этому решили в 1931 г. на заводе №1 им.Авиахима (г. Москва) построить 100 са</w:t>
      </w:r>
      <w:r w:rsidRPr="00507A31">
        <w:rPr>
          <w:color w:val="0070C0"/>
          <w:sz w:val="16"/>
          <w:szCs w:val="16"/>
          <w:lang w:bidi="ru-RU"/>
        </w:rPr>
        <w:softHyphen/>
        <w:t>молетов ТШ-2, из которых 10-12 машин установочной серии задействовать для проведения войсковых испытаний. На эти самолеты предполагалось установить оте</w:t>
      </w:r>
      <w:r w:rsidRPr="00507A31">
        <w:rPr>
          <w:color w:val="0070C0"/>
          <w:sz w:val="16"/>
          <w:szCs w:val="16"/>
          <w:lang w:bidi="ru-RU"/>
        </w:rPr>
        <w:softHyphen/>
        <w:t>чественный мотор М-17 с последующим переходом в серии к мотору М-27 (21062).</w:t>
      </w:r>
    </w:p>
    <w:p w14:paraId="11404F04" w14:textId="77777777" w:rsidR="00675290" w:rsidRPr="00507A31" w:rsidRDefault="00675290" w:rsidP="00507A31">
      <w:pPr>
        <w:jc w:val="both"/>
        <w:rPr>
          <w:color w:val="0070C0"/>
          <w:sz w:val="16"/>
          <w:szCs w:val="16"/>
        </w:rPr>
      </w:pPr>
    </w:p>
    <w:p w14:paraId="0BD973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ноября 1930 г. самолет И-6 вернули на завод для пе</w:t>
      </w:r>
      <w:r w:rsidRPr="00507A31">
        <w:rPr>
          <w:color w:val="000000" w:themeColor="text1"/>
          <w:sz w:val="16"/>
          <w:szCs w:val="16"/>
        </w:rPr>
        <w:softHyphen/>
        <w:t>ределок. Затем испытания возобновились. Пилотажные свойства машины были очень хорошими. В отчете о лет</w:t>
      </w:r>
      <w:r w:rsidRPr="00507A31">
        <w:rPr>
          <w:color w:val="000000" w:themeColor="text1"/>
          <w:sz w:val="16"/>
          <w:szCs w:val="16"/>
        </w:rPr>
        <w:softHyphen/>
        <w:t>ных испытаниях, подписанном 8 декабря 1930 г., отмеча</w:t>
      </w:r>
      <w:r w:rsidRPr="00507A31">
        <w:rPr>
          <w:color w:val="000000" w:themeColor="text1"/>
          <w:sz w:val="16"/>
          <w:szCs w:val="16"/>
        </w:rPr>
        <w:softHyphen/>
        <w:t>лось: «Самолет на всех режимах устойчив... В горизонтальном полете при скорости 150 км/ч идет с от</w:t>
      </w:r>
      <w:r w:rsidRPr="00507A31">
        <w:rPr>
          <w:color w:val="000000" w:themeColor="text1"/>
          <w:sz w:val="16"/>
          <w:szCs w:val="16"/>
        </w:rPr>
        <w:softHyphen/>
        <w:t>пущенной ручкой... Ввод в штопор очень вялый, што</w:t>
      </w:r>
      <w:r w:rsidRPr="00507A31">
        <w:rPr>
          <w:color w:val="000000" w:themeColor="text1"/>
          <w:sz w:val="16"/>
          <w:szCs w:val="16"/>
        </w:rPr>
        <w:softHyphen/>
        <w:t>пор крутой, неравномерный, рывками». При взлетном весе 1480 кг И-6 развивал у земли мак</w:t>
      </w:r>
      <w:r w:rsidRPr="00507A31">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507A31">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507A31">
        <w:rPr>
          <w:color w:val="000000" w:themeColor="text1"/>
          <w:sz w:val="16"/>
          <w:szCs w:val="16"/>
        </w:rPr>
        <w:softHyphen/>
        <w:t>ный винт изменяемого шага конструкции ЦАГИ, кото</w:t>
      </w:r>
      <w:r w:rsidRPr="00507A31">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507A31">
        <w:rPr>
          <w:color w:val="000000" w:themeColor="text1"/>
          <w:sz w:val="16"/>
          <w:szCs w:val="16"/>
        </w:rPr>
        <w:softHyphen/>
        <w:t>люцию в отчете о летных испытаниях истребителя И-6: «...Самолет практической ценности для ВВС не пред</w:t>
      </w:r>
      <w:r w:rsidRPr="00507A31">
        <w:rPr>
          <w:color w:val="000000" w:themeColor="text1"/>
          <w:sz w:val="16"/>
          <w:szCs w:val="16"/>
        </w:rPr>
        <w:softHyphen/>
        <w:t>ставляет» (10667).</w:t>
      </w:r>
    </w:p>
    <w:p w14:paraId="30266F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DA1D57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ноября 1930 года состоялся второй полет ТБ3 на НОА (6925).</w:t>
      </w:r>
    </w:p>
    <w:p w14:paraId="5486BFF8"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07F7E7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ноября 1930 года вторично рассматривался макет самолета МБР-2 с БМВ VI (6925).</w:t>
      </w:r>
    </w:p>
    <w:p w14:paraId="462347E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50D5D2C" w14:textId="77777777" w:rsidR="00410791" w:rsidRPr="00507A31" w:rsidRDefault="00410791" w:rsidP="00507A31">
      <w:pPr>
        <w:jc w:val="both"/>
        <w:rPr>
          <w:color w:val="0070C0"/>
          <w:sz w:val="16"/>
          <w:szCs w:val="16"/>
        </w:rPr>
      </w:pPr>
      <w:r w:rsidRPr="00507A31">
        <w:rPr>
          <w:color w:val="0070C0"/>
          <w:sz w:val="16"/>
          <w:szCs w:val="16"/>
          <w:lang w:bidi="ru-RU"/>
        </w:rPr>
        <w:t>2 ноября 1930г. на совещании в ВАО по доработке проекта аэродрома будущего завода № 21 инженер Заморин из военно-строительного управления управления снабжения РККА предложил:</w:t>
      </w:r>
    </w:p>
    <w:p w14:paraId="7CBC350D" w14:textId="77777777" w:rsidR="00410791" w:rsidRPr="00507A31" w:rsidRDefault="00410791" w:rsidP="00507A31">
      <w:pPr>
        <w:jc w:val="both"/>
        <w:rPr>
          <w:color w:val="0070C0"/>
          <w:sz w:val="16"/>
          <w:szCs w:val="16"/>
        </w:rPr>
      </w:pPr>
      <w:r w:rsidRPr="00507A31">
        <w:rPr>
          <w:color w:val="0070C0"/>
          <w:sz w:val="16"/>
          <w:szCs w:val="16"/>
          <w:lang w:bidi="ru-RU"/>
        </w:rPr>
        <w:t>1. Свести к минимуму, до 64000 куб. м., объем земляных работ, что позволит примерно на 50% площади аэродрома сохранить имеющийся растительный слой. Все работы выполнять без применения конной возки.</w:t>
      </w:r>
    </w:p>
    <w:p w14:paraId="5B4C2C48" w14:textId="77777777" w:rsidR="00410791" w:rsidRPr="00507A31" w:rsidRDefault="00410791" w:rsidP="00507A31">
      <w:pPr>
        <w:jc w:val="both"/>
        <w:rPr>
          <w:color w:val="0070C0"/>
          <w:sz w:val="16"/>
          <w:szCs w:val="16"/>
        </w:rPr>
      </w:pPr>
      <w:r w:rsidRPr="00507A31">
        <w:rPr>
          <w:color w:val="0070C0"/>
          <w:sz w:val="16"/>
          <w:szCs w:val="16"/>
          <w:lang w:bidi="ru-RU"/>
        </w:rPr>
        <w:t>2. По возможности меньше затрагивать имеющийся растительный слой, т.к. подсыпной слой не дает быстрого и прочного произрастания трав.</w:t>
      </w:r>
    </w:p>
    <w:p w14:paraId="144BAA0A" w14:textId="77777777" w:rsidR="00410791" w:rsidRPr="00507A31" w:rsidRDefault="00410791" w:rsidP="00507A31">
      <w:pPr>
        <w:jc w:val="both"/>
        <w:rPr>
          <w:color w:val="0070C0"/>
          <w:sz w:val="16"/>
          <w:szCs w:val="16"/>
          <w:lang w:bidi="ru-RU"/>
        </w:rPr>
      </w:pPr>
      <w:r w:rsidRPr="00507A31">
        <w:rPr>
          <w:color w:val="0070C0"/>
          <w:sz w:val="16"/>
          <w:szCs w:val="16"/>
          <w:lang w:bidi="ru-RU"/>
        </w:rPr>
        <w:lastRenderedPageBreak/>
        <w:t>Все это делалось для получения прочного растительного покрова поля аэродрома. Предстояло сначала вырубить кустарник на площади 16 гектаров, а затем вспахать, проборонить, засеять травой и укатать деревянным катком 93 гектара лугов, предварительно срыв кочки и заполнив ямы.</w:t>
      </w:r>
    </w:p>
    <w:p w14:paraId="35C6F9FB" w14:textId="77777777" w:rsidR="00410791" w:rsidRPr="00507A31" w:rsidRDefault="00410791" w:rsidP="00507A31">
      <w:pPr>
        <w:jc w:val="both"/>
        <w:rPr>
          <w:color w:val="0070C0"/>
          <w:sz w:val="16"/>
          <w:szCs w:val="16"/>
        </w:rPr>
      </w:pPr>
      <w:r w:rsidRPr="00507A31">
        <w:rPr>
          <w:color w:val="0070C0"/>
          <w:sz w:val="16"/>
          <w:szCs w:val="16"/>
          <w:lang w:bidi="ru-RU"/>
        </w:rPr>
        <w:t>Предварительно было получено заключение Лугового института ро усадебным участкам деревни Княжика. На юго-востоке он граничил с железной дорогой на Балах ну. а со стороны запада, северо-запада и севера было открытое поле.</w:t>
      </w:r>
    </w:p>
    <w:p w14:paraId="2D70DC70" w14:textId="77777777" w:rsidR="00410791" w:rsidRPr="00507A31" w:rsidRDefault="00410791" w:rsidP="00507A31">
      <w:pPr>
        <w:jc w:val="both"/>
        <w:rPr>
          <w:color w:val="0070C0"/>
          <w:sz w:val="16"/>
          <w:szCs w:val="16"/>
        </w:rPr>
      </w:pPr>
      <w:r w:rsidRPr="00507A31">
        <w:rPr>
          <w:color w:val="0070C0"/>
          <w:sz w:val="16"/>
          <w:szCs w:val="16"/>
          <w:lang w:bidi="ru-RU"/>
        </w:rPr>
        <w:t>По первоначальному проект} на территории аэродрома вне летного поля должны были расположиться:</w:t>
      </w:r>
    </w:p>
    <w:p w14:paraId="5DC58EC0" w14:textId="77777777" w:rsidR="00410791" w:rsidRPr="00507A31" w:rsidRDefault="00410791" w:rsidP="00507A31">
      <w:pPr>
        <w:widowControl w:val="0"/>
        <w:tabs>
          <w:tab w:val="left" w:pos="1480"/>
        </w:tabs>
        <w:jc w:val="both"/>
        <w:rPr>
          <w:color w:val="0070C0"/>
          <w:sz w:val="16"/>
          <w:szCs w:val="16"/>
        </w:rPr>
      </w:pPr>
      <w:r w:rsidRPr="00507A31">
        <w:rPr>
          <w:color w:val="0070C0"/>
          <w:sz w:val="16"/>
          <w:szCs w:val="16"/>
          <w:lang w:bidi="ru-RU"/>
        </w:rPr>
        <w:t>испытательная станция:</w:t>
      </w:r>
    </w:p>
    <w:p w14:paraId="7F024253" w14:textId="77777777" w:rsidR="00410791" w:rsidRPr="00507A31" w:rsidRDefault="00410791" w:rsidP="00507A31">
      <w:pPr>
        <w:widowControl w:val="0"/>
        <w:tabs>
          <w:tab w:val="left" w:pos="1480"/>
        </w:tabs>
        <w:jc w:val="both"/>
        <w:rPr>
          <w:color w:val="0070C0"/>
          <w:sz w:val="16"/>
          <w:szCs w:val="16"/>
        </w:rPr>
      </w:pPr>
      <w:r w:rsidRPr="00507A31">
        <w:rPr>
          <w:color w:val="0070C0"/>
          <w:sz w:val="16"/>
          <w:szCs w:val="16"/>
          <w:lang w:bidi="ru-RU"/>
        </w:rPr>
        <w:t>радиостанция;</w:t>
      </w:r>
    </w:p>
    <w:p w14:paraId="14B75D8B" w14:textId="77777777" w:rsidR="00410791" w:rsidRPr="00507A31" w:rsidRDefault="00410791" w:rsidP="00507A31">
      <w:pPr>
        <w:widowControl w:val="0"/>
        <w:tabs>
          <w:tab w:val="left" w:pos="1470"/>
        </w:tabs>
        <w:jc w:val="both"/>
        <w:rPr>
          <w:color w:val="0070C0"/>
          <w:sz w:val="16"/>
          <w:szCs w:val="16"/>
        </w:rPr>
      </w:pPr>
      <w:r w:rsidRPr="00507A31">
        <w:rPr>
          <w:color w:val="0070C0"/>
          <w:sz w:val="16"/>
          <w:szCs w:val="16"/>
          <w:lang w:bidi="ru-RU"/>
        </w:rPr>
        <w:t>бензиновая колонка:</w:t>
      </w:r>
    </w:p>
    <w:p w14:paraId="598C6CD8" w14:textId="77777777" w:rsidR="00410791" w:rsidRPr="00507A31" w:rsidRDefault="00410791" w:rsidP="00507A31">
      <w:pPr>
        <w:widowControl w:val="0"/>
        <w:tabs>
          <w:tab w:val="left" w:pos="1480"/>
        </w:tabs>
        <w:jc w:val="both"/>
        <w:rPr>
          <w:color w:val="0070C0"/>
          <w:sz w:val="16"/>
          <w:szCs w:val="16"/>
        </w:rPr>
      </w:pPr>
      <w:r w:rsidRPr="00507A31">
        <w:rPr>
          <w:color w:val="0070C0"/>
          <w:sz w:val="16"/>
          <w:szCs w:val="16"/>
          <w:lang w:bidi="ru-RU"/>
        </w:rPr>
        <w:t>вышки для прожекторов;</w:t>
      </w:r>
    </w:p>
    <w:p w14:paraId="7B388204" w14:textId="77777777" w:rsidR="00410791" w:rsidRPr="00507A31" w:rsidRDefault="00410791" w:rsidP="00507A31">
      <w:pPr>
        <w:widowControl w:val="0"/>
        <w:tabs>
          <w:tab w:val="left" w:pos="1480"/>
        </w:tabs>
        <w:jc w:val="both"/>
        <w:rPr>
          <w:color w:val="0070C0"/>
          <w:sz w:val="16"/>
          <w:szCs w:val="16"/>
        </w:rPr>
      </w:pPr>
      <w:r w:rsidRPr="00507A31">
        <w:rPr>
          <w:color w:val="0070C0"/>
          <w:sz w:val="16"/>
          <w:szCs w:val="16"/>
          <w:lang w:bidi="ru-RU"/>
        </w:rPr>
        <w:t>теплый и холодный ангары</w:t>
      </w:r>
    </w:p>
    <w:p w14:paraId="41E0D4B4" w14:textId="77777777" w:rsidR="00410791" w:rsidRPr="00507A31" w:rsidRDefault="00410791" w:rsidP="00507A31">
      <w:pPr>
        <w:jc w:val="both"/>
        <w:rPr>
          <w:color w:val="0070C0"/>
          <w:sz w:val="16"/>
          <w:szCs w:val="16"/>
          <w:lang w:bidi="ru-RU"/>
        </w:rPr>
      </w:pPr>
      <w:r w:rsidRPr="00507A31">
        <w:rPr>
          <w:color w:val="0070C0"/>
          <w:sz w:val="16"/>
          <w:szCs w:val="16"/>
          <w:lang w:bidi="ru-RU"/>
        </w:rPr>
        <w:t>Местом испытания моторов была круглая площадка (21100).</w:t>
      </w:r>
    </w:p>
    <w:p w14:paraId="694CE3F7" w14:textId="77777777" w:rsidR="00410791" w:rsidRPr="00507A31" w:rsidRDefault="00410791" w:rsidP="00507A31">
      <w:pPr>
        <w:jc w:val="both"/>
        <w:rPr>
          <w:color w:val="0070C0"/>
          <w:sz w:val="16"/>
          <w:szCs w:val="16"/>
          <w:lang w:bidi="ru-RU"/>
        </w:rPr>
      </w:pPr>
    </w:p>
    <w:p w14:paraId="5289B332" w14:textId="77777777" w:rsidR="00C50B8F" w:rsidRPr="00507A31" w:rsidRDefault="00C50B8F"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7AC55F1" w14:textId="77777777" w:rsidR="00C50B8F" w:rsidRPr="00507A31" w:rsidRDefault="00C50B8F" w:rsidP="00507A31">
      <w:pPr>
        <w:autoSpaceDE w:val="0"/>
        <w:autoSpaceDN w:val="0"/>
        <w:adjustRightInd w:val="0"/>
        <w:jc w:val="both"/>
        <w:rPr>
          <w:iCs/>
          <w:color w:val="000000" w:themeColor="text1"/>
          <w:sz w:val="16"/>
          <w:szCs w:val="16"/>
        </w:rPr>
      </w:pPr>
    </w:p>
    <w:p w14:paraId="7969AAAE" w14:textId="77777777" w:rsidR="00C50B8F" w:rsidRPr="00507A31" w:rsidRDefault="00C50B8F" w:rsidP="00507A31">
      <w:pPr>
        <w:jc w:val="both"/>
        <w:rPr>
          <w:color w:val="000000" w:themeColor="text1"/>
          <w:sz w:val="16"/>
          <w:szCs w:val="16"/>
        </w:rPr>
      </w:pPr>
      <w:r w:rsidRPr="00507A31">
        <w:rPr>
          <w:color w:val="000000" w:themeColor="text1"/>
          <w:sz w:val="16"/>
          <w:szCs w:val="16"/>
        </w:rPr>
        <w:t>2 ноября 1930 г. комиссия, назначенная приказом по ВМС РККА, составила акт по результатам войсковых испытаний ультракоротковолновых радиостанций образца «ОТБ-К2», проведенных на МС ЧФ с 19.06.1930 по 01.11.1930. Комиссия сделала вывод, что станцию УКВ образца «ОТБ-К2» возможно принять на вооружение ВМС РККА (18667).</w:t>
      </w:r>
    </w:p>
    <w:p w14:paraId="65C5D4E3" w14:textId="77777777" w:rsidR="00C50B8F" w:rsidRPr="00507A31" w:rsidRDefault="00C50B8F" w:rsidP="00507A31">
      <w:pPr>
        <w:jc w:val="both"/>
        <w:rPr>
          <w:color w:val="000000" w:themeColor="text1"/>
          <w:sz w:val="16"/>
          <w:szCs w:val="16"/>
        </w:rPr>
      </w:pPr>
    </w:p>
    <w:p w14:paraId="7184F61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4E179DE" w14:textId="77777777" w:rsidR="00537E5F" w:rsidRPr="00507A31" w:rsidRDefault="00537E5F" w:rsidP="00507A31">
      <w:pPr>
        <w:autoSpaceDE w:val="0"/>
        <w:autoSpaceDN w:val="0"/>
        <w:adjustRightInd w:val="0"/>
        <w:jc w:val="both"/>
        <w:rPr>
          <w:iCs/>
          <w:color w:val="000000" w:themeColor="text1"/>
          <w:sz w:val="16"/>
          <w:szCs w:val="16"/>
        </w:rPr>
      </w:pPr>
    </w:p>
    <w:p w14:paraId="290D0567" w14:textId="77777777" w:rsidR="008E64BB" w:rsidRPr="00507A31" w:rsidRDefault="008E64BB" w:rsidP="00507A31">
      <w:pPr>
        <w:jc w:val="both"/>
        <w:rPr>
          <w:color w:val="000000" w:themeColor="text1"/>
          <w:sz w:val="16"/>
          <w:szCs w:val="16"/>
        </w:rPr>
      </w:pPr>
      <w:r w:rsidRPr="00507A31">
        <w:rPr>
          <w:rStyle w:val="ucoz-forum-post"/>
          <w:bCs/>
          <w:color w:val="000000" w:themeColor="text1"/>
          <w:sz w:val="16"/>
          <w:szCs w:val="16"/>
        </w:rPr>
        <w:t xml:space="preserve">2 ноября </w:t>
      </w:r>
      <w:r w:rsidRPr="00507A31">
        <w:rPr>
          <w:color w:val="000000" w:themeColor="text1"/>
          <w:sz w:val="16"/>
          <w:szCs w:val="16"/>
        </w:rPr>
        <w:t>в 1930 году стартовал самый известный полет самолета «Дорнье» «Dо-Х» - перелет из Германии в Нью-Йорк, растянувшийся по 27 августа 1931 г. из-за поломок фюзеляжа и крыла, многочисленных продолжительных остановок в самых разных местах, включая Амстердам, Калшот, Лиссабон, Канарские острова, Португальскую Гвинею и Рио-де-Жанейро. С коммерческой точки зрения «Dо-Х» был абсолютно бесполезной и бесперспективной машиной, и два образца, проданные итальянской авиакомпании, так никогда ею и не эксплуатировались. «Dо-Х» имел довольно приличную на то время скорость — 216 км/ч, практический потолок — 500 метров и с полной нагрузкой весил 56000 килограммов (14818).</w:t>
      </w:r>
    </w:p>
    <w:p w14:paraId="73950C64" w14:textId="77777777" w:rsidR="008E64BB" w:rsidRPr="00507A31" w:rsidRDefault="008E64BB" w:rsidP="00507A31">
      <w:pPr>
        <w:jc w:val="both"/>
        <w:rPr>
          <w:color w:val="000000" w:themeColor="text1"/>
          <w:sz w:val="16"/>
          <w:szCs w:val="16"/>
        </w:rPr>
      </w:pPr>
    </w:p>
    <w:p w14:paraId="033144A6" w14:textId="77777777" w:rsidR="00410791" w:rsidRPr="00507A31" w:rsidRDefault="00410791" w:rsidP="00507A31">
      <w:pPr>
        <w:jc w:val="both"/>
        <w:rPr>
          <w:color w:val="0070C0"/>
          <w:sz w:val="16"/>
          <w:szCs w:val="16"/>
        </w:rPr>
      </w:pPr>
      <w:r w:rsidRPr="00507A31">
        <w:rPr>
          <w:color w:val="0070C0"/>
          <w:sz w:val="16"/>
          <w:szCs w:val="16"/>
        </w:rPr>
        <w:t>2 ноября 1930 года в Фридрихсхафене начался перелет Do-X с двигателями водяного охлаж</w:t>
      </w:r>
      <w:r w:rsidRPr="00507A31">
        <w:rPr>
          <w:color w:val="0070C0"/>
          <w:sz w:val="16"/>
          <w:szCs w:val="16"/>
        </w:rPr>
        <w:softHyphen/>
        <w:t>дения Кертисс «Конкуерор» по 600/500 л.с. Верхнее малое кры</w:t>
      </w:r>
      <w:r w:rsidRPr="00507A31">
        <w:rPr>
          <w:color w:val="0070C0"/>
          <w:sz w:val="16"/>
          <w:szCs w:val="16"/>
        </w:rPr>
        <w:softHyphen/>
        <w:t>ло сняли, что улучшило устой</w:t>
      </w:r>
      <w:r w:rsidRPr="00507A31">
        <w:rPr>
          <w:color w:val="0070C0"/>
          <w:sz w:val="16"/>
          <w:szCs w:val="16"/>
        </w:rPr>
        <w:softHyphen/>
        <w:t>чивость машины, а подъемная сила основного крыла от этого только увеличилась.</w:t>
      </w:r>
    </w:p>
    <w:p w14:paraId="14235665" w14:textId="77777777" w:rsidR="00410791" w:rsidRPr="00507A31" w:rsidRDefault="00410791" w:rsidP="00507A31">
      <w:pPr>
        <w:jc w:val="both"/>
        <w:rPr>
          <w:color w:val="0070C0"/>
          <w:sz w:val="16"/>
          <w:szCs w:val="16"/>
        </w:rPr>
      </w:pPr>
      <w:r w:rsidRPr="00507A31">
        <w:rPr>
          <w:color w:val="0070C0"/>
          <w:sz w:val="16"/>
          <w:szCs w:val="16"/>
        </w:rPr>
        <w:t>Do-X прошел маршрут с посадками в Лиссабоне, на Канарских островах, на Багамах, в Кабо-Верде, Фер</w:t>
      </w:r>
      <w:r w:rsidRPr="00507A31">
        <w:rPr>
          <w:color w:val="0070C0"/>
          <w:sz w:val="16"/>
          <w:szCs w:val="16"/>
        </w:rPr>
        <w:softHyphen/>
        <w:t>нандо де Норонка, в Натале и, наконец, в Рио-де-Жанейро. Перелет был триумфом немецкой технической мысли, но была и «обратная сторона медали». Самолет оказался труден в управлении как в пла</w:t>
      </w:r>
      <w:r w:rsidRPr="00507A31">
        <w:rPr>
          <w:color w:val="0070C0"/>
          <w:sz w:val="16"/>
          <w:szCs w:val="16"/>
        </w:rPr>
        <w:softHyphen/>
        <w:t>не физических, так и нервных нагрузок на весь экипаж. Прожорливость две</w:t>
      </w:r>
      <w:r w:rsidRPr="00507A31">
        <w:rPr>
          <w:color w:val="0070C0"/>
          <w:sz w:val="16"/>
          <w:szCs w:val="16"/>
        </w:rPr>
        <w:softHyphen/>
        <w:t>надцати моторов сделала рентабельную эксплуатацию машины невозможной и требовала посадок в море с дозаправ</w:t>
      </w:r>
      <w:r w:rsidRPr="00507A31">
        <w:rPr>
          <w:color w:val="0070C0"/>
          <w:sz w:val="16"/>
          <w:szCs w:val="16"/>
        </w:rPr>
        <w:softHyphen/>
        <w:t>ками от танкера. В жаркую погоду по</w:t>
      </w:r>
      <w:r w:rsidRPr="00507A31">
        <w:rPr>
          <w:color w:val="0070C0"/>
          <w:sz w:val="16"/>
          <w:szCs w:val="16"/>
        </w:rPr>
        <w:softHyphen/>
        <w:t>толок резко уменьшался и он снова мог лететь только над самыми волнами, что было крайне небезопасно. Во время пе</w:t>
      </w:r>
      <w:r w:rsidRPr="00507A31">
        <w:rPr>
          <w:color w:val="0070C0"/>
          <w:sz w:val="16"/>
          <w:szCs w:val="16"/>
        </w:rPr>
        <w:softHyphen/>
        <w:t>релета случилось несколько сот мелких отказов и поломок, а также один пожар и один случай, когда после жесткой посад</w:t>
      </w:r>
      <w:r w:rsidRPr="00507A31">
        <w:rPr>
          <w:color w:val="0070C0"/>
          <w:sz w:val="16"/>
          <w:szCs w:val="16"/>
        </w:rPr>
        <w:softHyphen/>
        <w:t>ки в фюзеляж начала поступать заборт</w:t>
      </w:r>
      <w:r w:rsidRPr="00507A31">
        <w:rPr>
          <w:color w:val="0070C0"/>
          <w:sz w:val="16"/>
          <w:szCs w:val="16"/>
        </w:rPr>
        <w:softHyphen/>
        <w:t>ная вода. И еще: хозяева машины имели наглость присвоить ей немецкий регист</w:t>
      </w:r>
      <w:r w:rsidRPr="00507A31">
        <w:rPr>
          <w:color w:val="0070C0"/>
          <w:sz w:val="16"/>
          <w:szCs w:val="16"/>
        </w:rPr>
        <w:softHyphen/>
        <w:t>рационный код D-1929, что было вопи</w:t>
      </w:r>
      <w:r w:rsidRPr="00507A31">
        <w:rPr>
          <w:color w:val="0070C0"/>
          <w:sz w:val="16"/>
          <w:szCs w:val="16"/>
        </w:rPr>
        <w:softHyphen/>
        <w:t>ющим нарушением Версальского дого</w:t>
      </w:r>
      <w:r w:rsidRPr="00507A31">
        <w:rPr>
          <w:color w:val="0070C0"/>
          <w:sz w:val="16"/>
          <w:szCs w:val="16"/>
        </w:rPr>
        <w:softHyphen/>
        <w:t>вора и не могло остаться незамеченным.</w:t>
      </w:r>
    </w:p>
    <w:p w14:paraId="2AB61C1D" w14:textId="77777777" w:rsidR="00410791" w:rsidRPr="00507A31" w:rsidRDefault="00410791" w:rsidP="00507A31">
      <w:pPr>
        <w:jc w:val="both"/>
        <w:rPr>
          <w:color w:val="0070C0"/>
          <w:sz w:val="16"/>
          <w:szCs w:val="16"/>
        </w:rPr>
      </w:pPr>
      <w:r w:rsidRPr="00507A31">
        <w:rPr>
          <w:color w:val="0070C0"/>
          <w:sz w:val="16"/>
          <w:szCs w:val="16"/>
          <w:lang w:bidi="ru-RU"/>
        </w:rPr>
        <w:t>После непродолжительной эксплуатации в авиакомпа</w:t>
      </w:r>
      <w:r w:rsidRPr="00507A31">
        <w:rPr>
          <w:color w:val="0070C0"/>
          <w:sz w:val="16"/>
          <w:szCs w:val="16"/>
          <w:lang w:bidi="ru-RU"/>
        </w:rPr>
        <w:softHyphen/>
        <w:t>нии «Люфтганза» и выпол</w:t>
      </w:r>
      <w:r w:rsidRPr="00507A31">
        <w:rPr>
          <w:color w:val="0070C0"/>
          <w:sz w:val="16"/>
          <w:szCs w:val="16"/>
          <w:lang w:bidi="ru-RU"/>
        </w:rPr>
        <w:softHyphen/>
        <w:t>нения нескольких полетов в испытательном центре немецкого министерства воздушного транспорта в Рехлине машину передали в Берлинский авиамузей, где в 1944 году она попала под бомбы Союзников</w:t>
      </w:r>
      <w:r w:rsidRPr="00507A31">
        <w:rPr>
          <w:color w:val="0070C0"/>
          <w:sz w:val="16"/>
          <w:szCs w:val="16"/>
        </w:rPr>
        <w:t xml:space="preserve"> (22805).</w:t>
      </w:r>
    </w:p>
    <w:p w14:paraId="27615097" w14:textId="77777777" w:rsidR="00410791" w:rsidRPr="00507A31" w:rsidRDefault="00410791" w:rsidP="00507A31">
      <w:pPr>
        <w:jc w:val="both"/>
        <w:rPr>
          <w:color w:val="0070C0"/>
          <w:sz w:val="16"/>
          <w:szCs w:val="16"/>
        </w:rPr>
      </w:pPr>
    </w:p>
    <w:p w14:paraId="38095F9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ноября 1930 открыт туннель под рекой Детройт между США и Канадой (4962).</w:t>
      </w:r>
    </w:p>
    <w:p w14:paraId="5AA45EF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EDD393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7EA1335" w14:textId="77777777" w:rsidR="00537E5F" w:rsidRPr="00507A31" w:rsidRDefault="00537E5F" w:rsidP="00507A31">
      <w:pPr>
        <w:autoSpaceDE w:val="0"/>
        <w:autoSpaceDN w:val="0"/>
        <w:adjustRightInd w:val="0"/>
        <w:jc w:val="both"/>
        <w:rPr>
          <w:iCs/>
          <w:color w:val="000000" w:themeColor="text1"/>
          <w:sz w:val="16"/>
          <w:szCs w:val="16"/>
        </w:rPr>
      </w:pPr>
    </w:p>
    <w:p w14:paraId="29EFB2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ноября 1930 К.Е.В. написал в Президиум ВСНХ Лобову о том, что заказы ЦАГИ надо выполнять как военные (1026,139).</w:t>
      </w:r>
    </w:p>
    <w:p w14:paraId="6BA7135B" w14:textId="77777777" w:rsidR="00537E5F" w:rsidRPr="00507A31" w:rsidRDefault="00537E5F" w:rsidP="00507A31">
      <w:pPr>
        <w:autoSpaceDE w:val="0"/>
        <w:autoSpaceDN w:val="0"/>
        <w:adjustRightInd w:val="0"/>
        <w:jc w:val="both"/>
        <w:rPr>
          <w:color w:val="000000" w:themeColor="text1"/>
          <w:sz w:val="16"/>
          <w:szCs w:val="16"/>
        </w:rPr>
      </w:pPr>
    </w:p>
    <w:p w14:paraId="039E68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ноября 1930 г. НКВМД СССР и РВС СССР писали письмо № 553 с/с тов. ЛОБОВУ /Президиум ВСНХ СССР/</w:t>
      </w:r>
    </w:p>
    <w:p w14:paraId="6F28F7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Работы ЦАГИ по опытному самолето и моторостроению имеют исключительное значение для строительства Воздушного флота.</w:t>
      </w:r>
    </w:p>
    <w:p w14:paraId="11B5F7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Успешность этих работ в значительной степени зависит от своевременного и полного выполнения Об"единениями ВСНХ зака</w:t>
      </w:r>
      <w:r w:rsidRPr="00507A31">
        <w:rPr>
          <w:color w:val="000000" w:themeColor="text1"/>
          <w:sz w:val="16"/>
          <w:szCs w:val="16"/>
        </w:rPr>
        <w:softHyphen/>
        <w:t>зов ЦАГИ на необходимые материалы и полуфабрикаты. Между тем заказы ЦАГИ выполняются крайне ненормально, - с перебоями, с затяжкой сверх сроков, с нарушением спецификации и т.п. Считая крайне необходимым устранить все препятствия, мешающие работе ЦАГИ^ и, подчеркивая всю важность обеспечения ЦАГИ материала</w:t>
      </w:r>
      <w:r w:rsidRPr="00507A31">
        <w:rPr>
          <w:color w:val="000000" w:themeColor="text1"/>
          <w:sz w:val="16"/>
          <w:szCs w:val="16"/>
        </w:rPr>
        <w:softHyphen/>
        <w:t>ми и полуфабрикатами в срок и надлежащего качества, прошу Ва</w:t>
      </w:r>
      <w:r w:rsidRPr="00507A31">
        <w:rPr>
          <w:color w:val="000000" w:themeColor="text1"/>
          <w:sz w:val="16"/>
          <w:szCs w:val="16"/>
        </w:rPr>
        <w:softHyphen/>
        <w:t>ших распоряжений:</w:t>
      </w:r>
    </w:p>
    <w:p w14:paraId="0CD5F6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Обязать Об"единение "Цветметзолото" предложить заводу им.Ворошилова /Ленинград/:</w:t>
      </w:r>
    </w:p>
    <w:p w14:paraId="07593E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немедленно выполнить заказ ЦАГИ Ц2-136 от 23/Х-30 г. на специальные новые профили /для ТБ-4/, изготовле</w:t>
      </w:r>
      <w:r w:rsidRPr="00507A31">
        <w:rPr>
          <w:color w:val="000000" w:themeColor="text1"/>
          <w:sz w:val="16"/>
          <w:szCs w:val="16"/>
        </w:rPr>
        <w:softHyphen/>
        <w:t>ние которых он уже наладил.</w:t>
      </w:r>
    </w:p>
    <w:p w14:paraId="05AD70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к 1/1-31 г. выполнить заказ ЦАГИ Ц-2-135 от 23Д-30 г. на трубы и листовой материал /для той же машины ТБ—4/.</w:t>
      </w:r>
    </w:p>
    <w:p w14:paraId="69B376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немедленно выполнить заказы ЦАГИ от 1929 г. за № 3973 от 12Д1 и № 8660 от 31/ХП г. на кольчугалюминиевые полу</w:t>
      </w:r>
      <w:r w:rsidRPr="00507A31">
        <w:rPr>
          <w:color w:val="000000" w:themeColor="text1"/>
          <w:sz w:val="16"/>
          <w:szCs w:val="16"/>
        </w:rPr>
        <w:softHyphen/>
        <w:t>фабрикаты.</w:t>
      </w:r>
    </w:p>
    <w:p w14:paraId="24E1AE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Обязать Объединение "Сталь":</w:t>
      </w:r>
    </w:p>
    <w:p w14:paraId="00EA93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в 5 дневный срок отгрузить недосланные до сих пор спецификации, сданной при заказе /на общее количест</w:t>
      </w:r>
      <w:r w:rsidRPr="00507A31">
        <w:rPr>
          <w:color w:val="000000" w:themeColor="text1"/>
          <w:sz w:val="16"/>
          <w:szCs w:val="16"/>
        </w:rPr>
        <w:softHyphen/>
        <w:t>во 218 тонн сортового железа, 188 тонн балок и швел</w:t>
      </w:r>
      <w:r w:rsidRPr="00507A31">
        <w:rPr>
          <w:color w:val="000000" w:themeColor="text1"/>
          <w:sz w:val="16"/>
          <w:szCs w:val="16"/>
        </w:rPr>
        <w:softHyphen/>
        <w:t>лера и 157 тонн листового железа/ швеллера, балки, листовое и сортовое железо;</w:t>
      </w:r>
    </w:p>
    <w:p w14:paraId="422F49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предписать Тресту "Стальмост" изготовить и установить к 1/Ш-31 г. металлические конструкции перекрытия кор</w:t>
      </w:r>
      <w:r w:rsidRPr="00507A31">
        <w:rPr>
          <w:color w:val="000000" w:themeColor="text1"/>
          <w:sz w:val="16"/>
          <w:szCs w:val="16"/>
        </w:rPr>
        <w:softHyphen/>
        <w:t>пуса смешанного самолетостроения;</w:t>
      </w:r>
    </w:p>
    <w:p w14:paraId="2B1655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предписать Тресту "Стальмост" в 3-х месячный срок изготовить металлические конструкции ворот ангара*</w:t>
      </w:r>
    </w:p>
    <w:p w14:paraId="12C9D1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предписать заводу "Серп и Молот" изготовить не позд</w:t>
      </w:r>
      <w:r w:rsidRPr="00507A31">
        <w:rPr>
          <w:color w:val="000000" w:themeColor="text1"/>
          <w:sz w:val="16"/>
          <w:szCs w:val="16"/>
        </w:rPr>
        <w:softHyphen/>
        <w:t>нее 15/Х1-30 г. стальное литье для опор ферм того же здания для смешанного самолетостроения.</w:t>
      </w:r>
    </w:p>
    <w:p w14:paraId="6363E1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отпустить немедленно 32 тонны железных труб и 25 тонн 4” чугунных труб.</w:t>
      </w:r>
    </w:p>
    <w:p w14:paraId="09DAC9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Обязать Метизное Об"единение в 10-ти дневный срок сдать ЦА.ГИ 15,4 тонны заклепок и болтов и 10 тонн их же к 1/ХП-30 г.</w:t>
      </w:r>
    </w:p>
    <w:p w14:paraId="29664F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Обязать Союзстрой:</w:t>
      </w:r>
    </w:p>
    <w:p w14:paraId="54FDDE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предложить немедленно отгрузить в адрес ЦАГИ 400 пог.метров, 6 канализационных труб и</w:t>
      </w:r>
    </w:p>
    <w:p w14:paraId="2A5902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отпустить до 1/ХП-30 г. 1500 рулонов кровельного толя.</w:t>
      </w:r>
    </w:p>
    <w:p w14:paraId="33B104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Обязать Орудийно-Оружейное Об"единение:</w:t>
      </w:r>
    </w:p>
    <w:p w14:paraId="29015A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предложить заводу "Мастяжарт" к половине ноября с.г. хотя бы за счет других заказов /т.к. заводом все обещенные им сроки пропущены/ изготовить и уста</w:t>
      </w:r>
      <w:r w:rsidRPr="00507A31">
        <w:rPr>
          <w:color w:val="000000" w:themeColor="text1"/>
          <w:sz w:val="16"/>
          <w:szCs w:val="16"/>
        </w:rPr>
        <w:softHyphen/>
        <w:t>новить металлические фермы перекрытия ангара;</w:t>
      </w:r>
    </w:p>
    <w:p w14:paraId="340702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заставить тот же завод "Мастяжарт" изготовить к 1/П-31 г. 2 корнавалийских котла, каждый поверх</w:t>
      </w:r>
      <w:r w:rsidRPr="00507A31">
        <w:rPr>
          <w:color w:val="000000" w:themeColor="text1"/>
          <w:sz w:val="16"/>
          <w:szCs w:val="16"/>
        </w:rPr>
        <w:softHyphen/>
        <w:t>ностью нагрева около 60 кв.м.</w:t>
      </w:r>
    </w:p>
    <w:p w14:paraId="0BF260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Наркомвоенмор и пред.РВС</w:t>
      </w:r>
    </w:p>
    <w:p w14:paraId="6C7A9E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ЦГАСА.ф. 4, оп. 1, д. 14б9, л.л. 83 (1026,139).</w:t>
      </w:r>
    </w:p>
    <w:p w14:paraId="372B18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B4D6FB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 ноября 1930 на полигоне в Крыму под Евпаторией закончились испытания ПБМ и ЗАМ - планирующих бом-мин и Майзеля - крылатых аппаратов с винтом, вращаемым предварительно раскрученным маховиком (15000-16000), которые проходили с 1 ноября. 29 кг аппарат нес 23 кг взрывчатки и защитных авиамин - то же, но в оборонительной версии поменьше - 30 кг - конструкция + 21 кг врывчатки. Сделали по 10 в опытных мастерских № 3 ВОТИ. Подшипники закупили в Швеции. С Р-1 под управлением А.Залевского из НИИ ВВС пустили 5 ПБМ и 4 ЗАМ. Раскрутка занимала 5-6 мин.. ЗАМ сбрасывали на высоте 400-550 м и получили дальность 3200-3240 м. После пуска делали свечку до 500 м, а затем выравнивались и шли по прямой, в конце начинал рыскать при снижении оборотов. Два ЗАМа не взорвались. ПБМ пускали с 650-700 м и получили дальность 3500-3800 мю Два пуска сделали с 2000 м и дальность лостигла 12-13 км. Два взорвались под Евпаторией. В целом признали рез-ты неплохими. Комиссия под руководством Зам. Нач. вооружения Ефимова написала: “На основании произведенных опытов и полученных положительных результатов, комиссия считает, что воздушные мины системы и Майзеля имеют большое практическое значение для РККА...” Прпедложили перейти к металлической конструкции и подготовить чертежи к 15 января 1931, выдать официальные задания на ЗАМ и ПБМ, разработать специальный прицел и изготовить опытную серию из 250 ПБМ и 150-200 ЗАМ. 50 аппаратов хотели выделить ВОТИ для экспериментов|, а остальные - использовать для войсковых испытаний. Майзель хотел делать ротор большего размера из взрывчатки, повысить обороты до 18000 и остич дальности 5 км. Фюзеляж и крылья хотели штамповать из аллюминия или жести. От автопилота или радиоуправления Майзель отказывался, считал, что ротора-гироскопа - достаточно (8908,35).</w:t>
      </w:r>
    </w:p>
    <w:p w14:paraId="34C3A8F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136756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Другие оборонные отрасли:</w:t>
      </w:r>
    </w:p>
    <w:p w14:paraId="3143EB68" w14:textId="77777777" w:rsidR="00537E5F" w:rsidRPr="00507A31" w:rsidRDefault="00537E5F" w:rsidP="00507A31">
      <w:pPr>
        <w:autoSpaceDE w:val="0"/>
        <w:autoSpaceDN w:val="0"/>
        <w:adjustRightInd w:val="0"/>
        <w:jc w:val="both"/>
        <w:rPr>
          <w:iCs/>
          <w:color w:val="000000" w:themeColor="text1"/>
          <w:sz w:val="16"/>
          <w:szCs w:val="16"/>
        </w:rPr>
      </w:pPr>
    </w:p>
    <w:p w14:paraId="15AAC49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 ноября 1930 был изготовлен первый образец танкетки К-25 (или В-25, В-Виккерс) по образцу танкетки Карден-Лойд. Предсерийный образец Т-27 (9527,254).</w:t>
      </w:r>
    </w:p>
    <w:p w14:paraId="53444CC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E41BD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ноября 1930 г. первый опытный образец новой гусеничной танкетки по типу В-25 был изготовлен на «Большевике». Он получил двигатель «Форд-АА» и корпус, изготов-внный с широким применением деталей из мягкой конст-гионной стали. Для проведения испытаний гусеничные епи и ведущие колеса на нее были переставлены с Машины, полученной из Великобритании. Испытания показали, что двигатель «Форд-АА», ловленный в танкетке, перегревается, запас хода на эенних баках мал, а толщина брони в 4—7 мм недоста-чна для защиты от «тяжелых» пуль. Танкетка потребовала доработок, не успев родиться. Поэтому работы над проектом Т-25/В-25 было решено цолжить в 1931 г., но уже под индексом Т-27 (10733,143).</w:t>
      </w:r>
    </w:p>
    <w:p w14:paraId="3B0A81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D183C37" w14:textId="77777777" w:rsidR="008E64BB" w:rsidRPr="00507A31" w:rsidRDefault="008E64BB" w:rsidP="00507A31">
      <w:pPr>
        <w:jc w:val="both"/>
        <w:rPr>
          <w:color w:val="000000" w:themeColor="text1"/>
          <w:sz w:val="16"/>
          <w:szCs w:val="16"/>
        </w:rPr>
      </w:pPr>
      <w:r w:rsidRPr="00507A31">
        <w:rPr>
          <w:color w:val="000000" w:themeColor="text1"/>
          <w:sz w:val="16"/>
          <w:szCs w:val="16"/>
        </w:rPr>
        <w:t>3 ноября 1930 г. начались испытания советского аналога «Карден-Ллойда» - Т-27. Танкетка Т-27 была принята на вооружение 13 февраля 1931 г. еще до окончания испытаний. Толщина брони — 6—10 мм, вооружение — один пулемет ДТ. РККА в 1931—1934 гг. получило 3295 танкеток Т-27. В частях их быстро переводили в учебные машины. Зато на базе Т-27 началось проектирование плавающих танков (15117).</w:t>
      </w:r>
    </w:p>
    <w:p w14:paraId="45CABC7B" w14:textId="77777777" w:rsidR="008E64BB" w:rsidRPr="00507A31" w:rsidRDefault="008E64BB" w:rsidP="00507A31">
      <w:pPr>
        <w:jc w:val="both"/>
        <w:rPr>
          <w:color w:val="000000" w:themeColor="text1"/>
          <w:sz w:val="16"/>
          <w:szCs w:val="16"/>
        </w:rPr>
      </w:pPr>
    </w:p>
    <w:p w14:paraId="0DADA4DC" w14:textId="77777777" w:rsidR="00BF5D4A" w:rsidRPr="00507A31" w:rsidRDefault="00BF5D4A" w:rsidP="00507A31">
      <w:pPr>
        <w:jc w:val="both"/>
        <w:rPr>
          <w:color w:val="000000" w:themeColor="text1"/>
          <w:sz w:val="16"/>
          <w:szCs w:val="16"/>
        </w:rPr>
      </w:pPr>
      <w:r w:rsidRPr="00507A31">
        <w:rPr>
          <w:rStyle w:val="a7"/>
          <w:b w:val="0"/>
          <w:color w:val="000000" w:themeColor="text1"/>
          <w:sz w:val="16"/>
          <w:szCs w:val="16"/>
        </w:rPr>
        <w:t xml:space="preserve">3 ноября 1930 </w:t>
      </w:r>
      <w:r w:rsidRPr="00507A31">
        <w:rPr>
          <w:color w:val="000000" w:themeColor="text1"/>
          <w:sz w:val="16"/>
          <w:szCs w:val="16"/>
        </w:rPr>
        <w:t>СТО принял постановление «Об экономном расходовании металла в строительстве» (12265).</w:t>
      </w:r>
    </w:p>
    <w:p w14:paraId="599A4E28" w14:textId="77777777" w:rsidR="00BF5D4A" w:rsidRPr="00507A31" w:rsidRDefault="00BF5D4A" w:rsidP="00507A31">
      <w:pPr>
        <w:jc w:val="both"/>
        <w:rPr>
          <w:color w:val="000000" w:themeColor="text1"/>
          <w:sz w:val="16"/>
          <w:szCs w:val="16"/>
        </w:rPr>
      </w:pPr>
    </w:p>
    <w:p w14:paraId="0FB54441" w14:textId="77777777" w:rsidR="00C50B8F" w:rsidRPr="00507A31" w:rsidRDefault="00C50B8F"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8081E6C" w14:textId="77777777" w:rsidR="00C50B8F" w:rsidRPr="00507A31" w:rsidRDefault="00C50B8F" w:rsidP="00507A31">
      <w:pPr>
        <w:autoSpaceDE w:val="0"/>
        <w:autoSpaceDN w:val="0"/>
        <w:adjustRightInd w:val="0"/>
        <w:jc w:val="both"/>
        <w:rPr>
          <w:iCs/>
          <w:color w:val="000000" w:themeColor="text1"/>
          <w:sz w:val="16"/>
          <w:szCs w:val="16"/>
        </w:rPr>
      </w:pPr>
    </w:p>
    <w:p w14:paraId="2A83E08A" w14:textId="77777777" w:rsidR="00C50B8F" w:rsidRPr="00507A31" w:rsidRDefault="00C50B8F" w:rsidP="00507A31">
      <w:pPr>
        <w:jc w:val="both"/>
        <w:rPr>
          <w:color w:val="000000" w:themeColor="text1"/>
          <w:sz w:val="16"/>
          <w:szCs w:val="16"/>
        </w:rPr>
      </w:pPr>
      <w:r w:rsidRPr="00507A31">
        <w:rPr>
          <w:color w:val="000000" w:themeColor="text1"/>
          <w:sz w:val="16"/>
          <w:szCs w:val="16"/>
        </w:rPr>
        <w:t>3 ноября 1930 г.</w:t>
      </w:r>
    </w:p>
    <w:p w14:paraId="2049D6AA" w14:textId="77777777" w:rsidR="00C50B8F" w:rsidRPr="00507A31" w:rsidRDefault="00C50B8F" w:rsidP="00507A31">
      <w:pPr>
        <w:jc w:val="both"/>
        <w:rPr>
          <w:color w:val="000000" w:themeColor="text1"/>
          <w:sz w:val="16"/>
          <w:szCs w:val="16"/>
        </w:rPr>
      </w:pPr>
      <w:r w:rsidRPr="00507A31">
        <w:rPr>
          <w:color w:val="000000" w:themeColor="text1"/>
          <w:sz w:val="16"/>
          <w:szCs w:val="16"/>
        </w:rPr>
        <w:t>Показания Л. К. Рамзина о «деятельности Промпартии» по подготовке «интервенции против С.С.С.Р.». 3 ноября 1930 г.</w:t>
      </w:r>
    </w:p>
    <w:p w14:paraId="4BBD0B01" w14:textId="77777777" w:rsidR="00C50B8F" w:rsidRPr="00507A31" w:rsidRDefault="00C50B8F" w:rsidP="00507A31">
      <w:pPr>
        <w:jc w:val="both"/>
        <w:rPr>
          <w:color w:val="000000" w:themeColor="text1"/>
          <w:sz w:val="16"/>
          <w:szCs w:val="16"/>
        </w:rPr>
      </w:pPr>
      <w:r w:rsidRPr="00507A31">
        <w:rPr>
          <w:color w:val="000000" w:themeColor="text1"/>
          <w:sz w:val="16"/>
          <w:szCs w:val="16"/>
        </w:rPr>
        <w:t>Источник: </w:t>
      </w:r>
    </w:p>
    <w:p w14:paraId="2E5BF7A3" w14:textId="77777777" w:rsidR="00C50B8F" w:rsidRPr="00507A31" w:rsidRDefault="00C50B8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937ECA1" w14:textId="77777777" w:rsidR="00C50B8F" w:rsidRPr="00507A31" w:rsidRDefault="00C50B8F" w:rsidP="00507A31">
      <w:pPr>
        <w:jc w:val="both"/>
        <w:rPr>
          <w:color w:val="000000" w:themeColor="text1"/>
          <w:sz w:val="16"/>
          <w:szCs w:val="16"/>
        </w:rPr>
      </w:pPr>
      <w:r w:rsidRPr="00507A31">
        <w:rPr>
          <w:color w:val="000000" w:themeColor="text1"/>
          <w:sz w:val="16"/>
          <w:szCs w:val="16"/>
        </w:rPr>
        <w:t>Архив: </w:t>
      </w:r>
    </w:p>
    <w:p w14:paraId="117D89C0" w14:textId="77777777" w:rsidR="00C50B8F" w:rsidRPr="00507A31" w:rsidRDefault="00C50B8F" w:rsidP="00507A31">
      <w:pPr>
        <w:jc w:val="both"/>
        <w:rPr>
          <w:color w:val="000000" w:themeColor="text1"/>
          <w:sz w:val="16"/>
          <w:szCs w:val="16"/>
        </w:rPr>
      </w:pPr>
      <w:r w:rsidRPr="00507A31">
        <w:rPr>
          <w:color w:val="000000" w:themeColor="text1"/>
          <w:sz w:val="16"/>
          <w:szCs w:val="16"/>
        </w:rPr>
        <w:t>ЦА ФСБ РФ. Ф. Р-42280. Т. 10. Л. 79-93</w:t>
      </w:r>
    </w:p>
    <w:p w14:paraId="181A3324" w14:textId="77777777" w:rsidR="00C50B8F" w:rsidRPr="00507A31" w:rsidRDefault="00C50B8F" w:rsidP="00507A31">
      <w:pPr>
        <w:jc w:val="both"/>
        <w:rPr>
          <w:color w:val="000000" w:themeColor="text1"/>
          <w:sz w:val="16"/>
          <w:szCs w:val="16"/>
        </w:rPr>
      </w:pPr>
      <w:r w:rsidRPr="00507A31">
        <w:rPr>
          <w:color w:val="000000" w:themeColor="text1"/>
          <w:sz w:val="16"/>
          <w:szCs w:val="16"/>
        </w:rPr>
        <w:t>3 ноября 1930 г.</w:t>
      </w:r>
    </w:p>
    <w:p w14:paraId="40289BE2" w14:textId="77777777" w:rsidR="00C50B8F" w:rsidRPr="00507A31" w:rsidRDefault="00C50B8F" w:rsidP="00507A31">
      <w:pPr>
        <w:jc w:val="both"/>
        <w:rPr>
          <w:color w:val="000000" w:themeColor="text1"/>
          <w:sz w:val="16"/>
          <w:szCs w:val="16"/>
        </w:rPr>
      </w:pPr>
      <w:r w:rsidRPr="00507A31">
        <w:rPr>
          <w:color w:val="000000" w:themeColor="text1"/>
          <w:sz w:val="16"/>
          <w:szCs w:val="16"/>
        </w:rPr>
        <w:t>[Строго секретно]</w:t>
      </w:r>
    </w:p>
    <w:p w14:paraId="70F10298" w14:textId="77777777" w:rsidR="00C50B8F" w:rsidRPr="00507A31" w:rsidRDefault="00C50B8F" w:rsidP="00507A31">
      <w:pPr>
        <w:jc w:val="both"/>
        <w:rPr>
          <w:color w:val="000000" w:themeColor="text1"/>
          <w:sz w:val="16"/>
          <w:szCs w:val="16"/>
        </w:rPr>
      </w:pPr>
      <w:r w:rsidRPr="00507A31">
        <w:rPr>
          <w:color w:val="000000" w:themeColor="text1"/>
          <w:sz w:val="16"/>
          <w:szCs w:val="16"/>
        </w:rPr>
        <w:t>ПРОТОКОЛ ДОПРОСА</w:t>
      </w:r>
    </w:p>
    <w:p w14:paraId="68FD64B9" w14:textId="77777777" w:rsidR="00C50B8F" w:rsidRPr="00507A31" w:rsidRDefault="00C50B8F" w:rsidP="00507A31">
      <w:pPr>
        <w:jc w:val="both"/>
        <w:rPr>
          <w:color w:val="000000" w:themeColor="text1"/>
          <w:sz w:val="16"/>
          <w:szCs w:val="16"/>
        </w:rPr>
      </w:pPr>
      <w:r w:rsidRPr="00507A31">
        <w:rPr>
          <w:color w:val="000000" w:themeColor="text1"/>
          <w:sz w:val="16"/>
          <w:szCs w:val="16"/>
        </w:rPr>
        <w:t>профессора Л. К. РАМЗИНА</w:t>
      </w:r>
    </w:p>
    <w:p w14:paraId="5C0DEF70" w14:textId="77777777" w:rsidR="00C50B8F" w:rsidRPr="00507A31" w:rsidRDefault="00C50B8F" w:rsidP="00507A31">
      <w:pPr>
        <w:jc w:val="both"/>
        <w:rPr>
          <w:color w:val="000000" w:themeColor="text1"/>
          <w:sz w:val="16"/>
          <w:szCs w:val="16"/>
        </w:rPr>
      </w:pPr>
      <w:r w:rsidRPr="00507A31">
        <w:rPr>
          <w:color w:val="000000" w:themeColor="text1"/>
          <w:sz w:val="16"/>
          <w:szCs w:val="16"/>
        </w:rPr>
        <w:t>от 3-го ноября 1930 г.</w:t>
      </w:r>
    </w:p>
    <w:p w14:paraId="1DA77A8D" w14:textId="77777777" w:rsidR="00C50B8F" w:rsidRPr="00507A31" w:rsidRDefault="00C50B8F" w:rsidP="00507A31">
      <w:pPr>
        <w:jc w:val="both"/>
        <w:rPr>
          <w:color w:val="000000" w:themeColor="text1"/>
          <w:sz w:val="16"/>
          <w:szCs w:val="16"/>
        </w:rPr>
      </w:pPr>
      <w:r w:rsidRPr="00507A31">
        <w:rPr>
          <w:color w:val="000000" w:themeColor="text1"/>
          <w:sz w:val="16"/>
          <w:szCs w:val="16"/>
        </w:rPr>
        <w:t>ДОПРОСИЛИ: НАЧ. СО ОГПУ тов. АГРАНОВ.</w:t>
      </w:r>
    </w:p>
    <w:p w14:paraId="3D15250D" w14:textId="77777777" w:rsidR="00C50B8F" w:rsidRPr="00507A31" w:rsidRDefault="00C50B8F" w:rsidP="00507A31">
      <w:pPr>
        <w:jc w:val="both"/>
        <w:rPr>
          <w:color w:val="000000" w:themeColor="text1"/>
          <w:sz w:val="16"/>
          <w:szCs w:val="16"/>
        </w:rPr>
      </w:pPr>
      <w:r w:rsidRPr="00507A31">
        <w:rPr>
          <w:color w:val="000000" w:themeColor="text1"/>
          <w:sz w:val="16"/>
          <w:szCs w:val="16"/>
        </w:rPr>
        <w:t>ПОМ. НАЧ. 3 [отделения] СО ОГПУ т. РАДЗИВИЛОВСКИЙ.</w:t>
      </w:r>
    </w:p>
    <w:p w14:paraId="6F3B358B" w14:textId="77777777" w:rsidR="00C50B8F" w:rsidRPr="00507A31" w:rsidRDefault="00C50B8F" w:rsidP="00507A31">
      <w:pPr>
        <w:jc w:val="both"/>
        <w:rPr>
          <w:color w:val="000000" w:themeColor="text1"/>
          <w:sz w:val="16"/>
          <w:szCs w:val="16"/>
        </w:rPr>
      </w:pPr>
      <w:r w:rsidRPr="00507A31">
        <w:rPr>
          <w:color w:val="000000" w:themeColor="text1"/>
          <w:sz w:val="16"/>
          <w:szCs w:val="16"/>
        </w:rPr>
        <w:t>Внутренняя работа Промпартии по подготовке</w:t>
      </w:r>
    </w:p>
    <w:p w14:paraId="4D81FCD2" w14:textId="77777777" w:rsidR="00C50B8F" w:rsidRPr="00507A31" w:rsidRDefault="00C50B8F" w:rsidP="00507A31">
      <w:pPr>
        <w:jc w:val="both"/>
        <w:rPr>
          <w:color w:val="000000" w:themeColor="text1"/>
          <w:sz w:val="16"/>
          <w:szCs w:val="16"/>
        </w:rPr>
      </w:pPr>
      <w:r w:rsidRPr="00507A31">
        <w:rPr>
          <w:color w:val="000000" w:themeColor="text1"/>
          <w:sz w:val="16"/>
          <w:szCs w:val="16"/>
        </w:rPr>
        <w:t>интервенции против С.С.С.Р.</w:t>
      </w:r>
    </w:p>
    <w:p w14:paraId="0ECCF0B7" w14:textId="77777777" w:rsidR="00C50B8F" w:rsidRPr="00507A31" w:rsidRDefault="00C50B8F" w:rsidP="00507A31">
      <w:pPr>
        <w:jc w:val="both"/>
        <w:rPr>
          <w:color w:val="000000" w:themeColor="text1"/>
          <w:sz w:val="16"/>
          <w:szCs w:val="16"/>
        </w:rPr>
      </w:pPr>
      <w:r w:rsidRPr="00507A31">
        <w:rPr>
          <w:color w:val="000000" w:themeColor="text1"/>
          <w:sz w:val="16"/>
          <w:szCs w:val="16"/>
        </w:rPr>
        <w:t>С целью возможного углубления естественных экономических затруднений и доведения их до кризисов народного хозяйства к намечавшемуся моменту интервенции, т. е. к лету 1930 г., Промпартия проводила в жизнь следующие принципы:</w:t>
      </w:r>
    </w:p>
    <w:p w14:paraId="673B4996" w14:textId="77777777" w:rsidR="00C50B8F" w:rsidRPr="00507A31" w:rsidRDefault="00C50B8F" w:rsidP="00507A31">
      <w:pPr>
        <w:jc w:val="both"/>
        <w:rPr>
          <w:color w:val="000000" w:themeColor="text1"/>
          <w:sz w:val="16"/>
          <w:szCs w:val="16"/>
        </w:rPr>
      </w:pPr>
      <w:r w:rsidRPr="00507A31">
        <w:rPr>
          <w:color w:val="000000" w:themeColor="text1"/>
          <w:sz w:val="16"/>
          <w:szCs w:val="16"/>
        </w:rPr>
        <w:t>Всемерная задержка темпа развития народного хозяйства, и особенно его ведущих отраслей.</w:t>
      </w:r>
    </w:p>
    <w:p w14:paraId="6882E6AB" w14:textId="77777777" w:rsidR="00C50B8F" w:rsidRPr="00507A31" w:rsidRDefault="00C50B8F" w:rsidP="00507A31">
      <w:pPr>
        <w:jc w:val="both"/>
        <w:rPr>
          <w:color w:val="000000" w:themeColor="text1"/>
          <w:sz w:val="16"/>
          <w:szCs w:val="16"/>
        </w:rPr>
      </w:pPr>
      <w:r w:rsidRPr="00507A31">
        <w:rPr>
          <w:color w:val="000000" w:themeColor="text1"/>
          <w:sz w:val="16"/>
          <w:szCs w:val="16"/>
        </w:rPr>
        <w:t>Длительное омертвление капиталов, вкладываемых в строительство, путем вложения их, особенно в виде валюты, в сооружения с длительными строительными периодами, или же в предприятия, которые по наличию других факторов можно использовать лишь в будущем, а потому бесполезные для данного момента.</w:t>
      </w:r>
    </w:p>
    <w:p w14:paraId="00D80C89" w14:textId="77777777" w:rsidR="00C50B8F" w:rsidRPr="00507A31" w:rsidRDefault="00C50B8F" w:rsidP="00507A31">
      <w:pPr>
        <w:jc w:val="both"/>
        <w:rPr>
          <w:color w:val="000000" w:themeColor="text1"/>
          <w:sz w:val="16"/>
          <w:szCs w:val="16"/>
        </w:rPr>
      </w:pPr>
      <w:r w:rsidRPr="00507A31">
        <w:rPr>
          <w:color w:val="000000" w:themeColor="text1"/>
          <w:sz w:val="16"/>
          <w:szCs w:val="16"/>
        </w:rPr>
        <w:t>Удорожание строительства и растягивание его во времени.</w:t>
      </w:r>
    </w:p>
    <w:p w14:paraId="7B659226" w14:textId="77777777" w:rsidR="00C50B8F" w:rsidRPr="00507A31" w:rsidRDefault="00C50B8F" w:rsidP="00507A31">
      <w:pPr>
        <w:jc w:val="both"/>
        <w:rPr>
          <w:color w:val="000000" w:themeColor="text1"/>
          <w:sz w:val="16"/>
          <w:szCs w:val="16"/>
        </w:rPr>
      </w:pPr>
      <w:r w:rsidRPr="00507A31">
        <w:rPr>
          <w:color w:val="000000" w:themeColor="text1"/>
          <w:sz w:val="16"/>
          <w:szCs w:val="16"/>
        </w:rPr>
        <w:t>Осуществление диспропорций между отдельными отраслями народного хозяйства или же между отдельными частями одной и той же отрасли.</w:t>
      </w:r>
    </w:p>
    <w:p w14:paraId="02A4A65C" w14:textId="77777777" w:rsidR="00C50B8F" w:rsidRPr="00507A31" w:rsidRDefault="00C50B8F" w:rsidP="00507A31">
      <w:pPr>
        <w:jc w:val="both"/>
        <w:rPr>
          <w:color w:val="000000" w:themeColor="text1"/>
          <w:sz w:val="16"/>
          <w:szCs w:val="16"/>
        </w:rPr>
      </w:pPr>
      <w:r w:rsidRPr="00507A31">
        <w:rPr>
          <w:color w:val="000000" w:themeColor="text1"/>
          <w:sz w:val="16"/>
          <w:szCs w:val="16"/>
        </w:rPr>
        <w:t>Примерно до конца 1928 года Промпартия особенно интенсивно проводила метод минималистских планов. С конца же 1928 года, т. е. с появлением надежд на близость интервенции, Промпартия начала уже широко применять метод омертвления капиталов и их малоэффективного использования, ибо такой метод: 1) отрывал капитальные средства, сокращая масштаб эффективного строительства, темп экономического развития страны и ее обороноспособности, а 2) за счет сокращения удовлетворения текущих потребностей, благодаря отрыву средств на малоэффективное в данный момент строительство увеличивал советское наследство для нового правительства, вызывал в то же время рост недовольства широких масс населения.</w:t>
      </w:r>
    </w:p>
    <w:p w14:paraId="018EBB51" w14:textId="77777777" w:rsidR="00C50B8F" w:rsidRPr="00507A31" w:rsidRDefault="00C50B8F" w:rsidP="00507A31">
      <w:pPr>
        <w:jc w:val="both"/>
        <w:rPr>
          <w:color w:val="000000" w:themeColor="text1"/>
          <w:sz w:val="16"/>
          <w:szCs w:val="16"/>
        </w:rPr>
      </w:pPr>
      <w:r w:rsidRPr="00507A31">
        <w:rPr>
          <w:color w:val="000000" w:themeColor="text1"/>
          <w:sz w:val="16"/>
          <w:szCs w:val="16"/>
        </w:rPr>
        <w:t>На заседаниях ЦК Промпартии обсуждались и прорабатывались лишь общие директивные линии деятельности в основных отраслях народного хозяйства; детальная же проработка и конкретизация этих директив производилась уже в соответствующих отраслевых и связанных с ними периферийных и местных органах Промпартии.</w:t>
      </w:r>
    </w:p>
    <w:p w14:paraId="5BB4C621" w14:textId="77777777" w:rsidR="00C50B8F" w:rsidRPr="00507A31" w:rsidRDefault="00C50B8F" w:rsidP="00507A31">
      <w:pPr>
        <w:jc w:val="both"/>
        <w:rPr>
          <w:color w:val="000000" w:themeColor="text1"/>
          <w:sz w:val="16"/>
          <w:szCs w:val="16"/>
        </w:rPr>
      </w:pPr>
      <w:r w:rsidRPr="00507A31">
        <w:rPr>
          <w:color w:val="000000" w:themeColor="text1"/>
          <w:sz w:val="16"/>
          <w:szCs w:val="16"/>
        </w:rPr>
        <w:t>Подготовка экономических кризисов к 1930 году в главнейших отраслях народного хозяйства шла по следующим направлениям:</w:t>
      </w:r>
    </w:p>
    <w:p w14:paraId="4121B733" w14:textId="77777777" w:rsidR="00C50B8F" w:rsidRPr="00507A31" w:rsidRDefault="00C50B8F" w:rsidP="00507A31">
      <w:pPr>
        <w:jc w:val="both"/>
        <w:rPr>
          <w:color w:val="000000" w:themeColor="text1"/>
          <w:sz w:val="16"/>
          <w:szCs w:val="16"/>
        </w:rPr>
      </w:pPr>
      <w:r w:rsidRPr="00507A31">
        <w:rPr>
          <w:color w:val="000000" w:themeColor="text1"/>
          <w:sz w:val="16"/>
          <w:szCs w:val="16"/>
        </w:rPr>
        <w:t>Топливо: Основным направлением в области топливоснабжения являлось прежде всего замедление темпов добычи топлива и связанных с этим подготовительных, капитальных и разведочных работ. Чтобы характеризовать здесь достигнутые Промпартией результаты, достаточно сопоставить по цифры добычи топлива проведенной Промпартией пятилетке Госплана на 1932/33 год с последними проектировками на этот же год:</w:t>
      </w:r>
    </w:p>
    <w:tbl>
      <w:tblPr>
        <w:tblW w:w="366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72"/>
        <w:gridCol w:w="750"/>
        <w:gridCol w:w="864"/>
        <w:gridCol w:w="874"/>
      </w:tblGrid>
      <w:tr w:rsidR="00E371BA" w:rsidRPr="00507A31" w14:paraId="4E444486" w14:textId="77777777" w:rsidTr="00BB5927">
        <w:trPr>
          <w:trHeight w:val="537"/>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7DF6BE" w14:textId="77777777" w:rsidR="00C50B8F" w:rsidRPr="00507A31" w:rsidRDefault="00C50B8F" w:rsidP="00507A31">
            <w:pPr>
              <w:jc w:val="both"/>
              <w:rPr>
                <w:color w:val="000000" w:themeColor="text1"/>
                <w:sz w:val="16"/>
                <w:szCs w:val="16"/>
              </w:rPr>
            </w:pPr>
            <w:r w:rsidRPr="00507A31">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6FC15A" w14:textId="77777777" w:rsidR="00C50B8F" w:rsidRPr="00507A31" w:rsidRDefault="00C50B8F" w:rsidP="00507A31">
            <w:pPr>
              <w:jc w:val="both"/>
              <w:rPr>
                <w:color w:val="000000" w:themeColor="text1"/>
                <w:sz w:val="16"/>
                <w:szCs w:val="16"/>
              </w:rPr>
            </w:pPr>
            <w:r w:rsidRPr="00507A31">
              <w:rPr>
                <w:color w:val="000000" w:themeColor="text1"/>
                <w:sz w:val="16"/>
                <w:szCs w:val="16"/>
              </w:rPr>
              <w:t>План Госплана мил. тн.</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594382" w14:textId="77777777" w:rsidR="00C50B8F" w:rsidRPr="00507A31" w:rsidRDefault="00C50B8F" w:rsidP="00507A31">
            <w:pPr>
              <w:jc w:val="both"/>
              <w:rPr>
                <w:color w:val="000000" w:themeColor="text1"/>
                <w:sz w:val="16"/>
                <w:szCs w:val="16"/>
              </w:rPr>
            </w:pPr>
            <w:r w:rsidRPr="00507A31">
              <w:rPr>
                <w:color w:val="000000" w:themeColor="text1"/>
                <w:sz w:val="16"/>
                <w:szCs w:val="16"/>
              </w:rPr>
              <w:t>Последняя наметка мил. тн.</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7F9358" w14:textId="77777777" w:rsidR="00C50B8F" w:rsidRPr="00507A31" w:rsidRDefault="00C50B8F" w:rsidP="00507A31">
            <w:pPr>
              <w:jc w:val="both"/>
              <w:rPr>
                <w:color w:val="000000" w:themeColor="text1"/>
                <w:sz w:val="16"/>
                <w:szCs w:val="16"/>
              </w:rPr>
            </w:pPr>
            <w:r w:rsidRPr="00507A31">
              <w:rPr>
                <w:color w:val="000000" w:themeColor="text1"/>
                <w:sz w:val="16"/>
                <w:szCs w:val="16"/>
              </w:rPr>
              <w:t>Увеличений раз</w:t>
            </w:r>
          </w:p>
        </w:tc>
      </w:tr>
      <w:tr w:rsidR="00E371BA" w:rsidRPr="00507A31" w14:paraId="2D30D2CF" w14:textId="77777777" w:rsidTr="00BB5927">
        <w:trPr>
          <w:trHeight w:val="537"/>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05B34E" w14:textId="77777777" w:rsidR="00C50B8F" w:rsidRPr="00507A31" w:rsidRDefault="00C50B8F"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BC7D04" w14:textId="77777777" w:rsidR="00C50B8F" w:rsidRPr="00507A31" w:rsidRDefault="00C50B8F"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14FFCE" w14:textId="77777777" w:rsidR="00C50B8F" w:rsidRPr="00507A31" w:rsidRDefault="00C50B8F"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A67DB2" w14:textId="77777777" w:rsidR="00C50B8F" w:rsidRPr="00507A31" w:rsidRDefault="00C50B8F" w:rsidP="00507A31">
            <w:pPr>
              <w:jc w:val="both"/>
              <w:rPr>
                <w:color w:val="000000" w:themeColor="text1"/>
                <w:sz w:val="16"/>
                <w:szCs w:val="16"/>
              </w:rPr>
            </w:pPr>
          </w:p>
        </w:tc>
      </w:tr>
      <w:tr w:rsidR="00E371BA" w:rsidRPr="00507A31" w14:paraId="5D3C5243"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5140B11" w14:textId="77777777" w:rsidR="00C50B8F" w:rsidRPr="00507A31" w:rsidRDefault="00C50B8F" w:rsidP="00507A31">
            <w:pPr>
              <w:jc w:val="both"/>
              <w:rPr>
                <w:color w:val="000000" w:themeColor="text1"/>
                <w:sz w:val="16"/>
                <w:szCs w:val="16"/>
              </w:rPr>
            </w:pPr>
            <w:r w:rsidRPr="00507A31">
              <w:rPr>
                <w:color w:val="000000" w:themeColor="text1"/>
                <w:sz w:val="16"/>
                <w:szCs w:val="16"/>
              </w:rPr>
              <w:t>Донбасс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96A09" w14:textId="77777777" w:rsidR="00C50B8F" w:rsidRPr="00507A31" w:rsidRDefault="00C50B8F" w:rsidP="00507A31">
            <w:pPr>
              <w:jc w:val="both"/>
              <w:rPr>
                <w:color w:val="000000" w:themeColor="text1"/>
                <w:sz w:val="16"/>
                <w:szCs w:val="16"/>
              </w:rPr>
            </w:pPr>
            <w:r w:rsidRPr="00507A31">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5B375" w14:textId="77777777" w:rsidR="00C50B8F" w:rsidRPr="00507A31" w:rsidRDefault="00C50B8F" w:rsidP="00507A31">
            <w:pPr>
              <w:jc w:val="both"/>
              <w:rPr>
                <w:color w:val="000000" w:themeColor="text1"/>
                <w:sz w:val="16"/>
                <w:szCs w:val="16"/>
              </w:rPr>
            </w:pPr>
            <w:r w:rsidRPr="00507A31">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87B1" w14:textId="77777777" w:rsidR="00C50B8F" w:rsidRPr="00507A31" w:rsidRDefault="00C50B8F" w:rsidP="00507A31">
            <w:pPr>
              <w:jc w:val="both"/>
              <w:rPr>
                <w:color w:val="000000" w:themeColor="text1"/>
                <w:sz w:val="16"/>
                <w:szCs w:val="16"/>
              </w:rPr>
            </w:pPr>
            <w:r w:rsidRPr="00507A31">
              <w:rPr>
                <w:color w:val="000000" w:themeColor="text1"/>
                <w:sz w:val="16"/>
                <w:szCs w:val="16"/>
              </w:rPr>
              <w:t>1,5</w:t>
            </w:r>
          </w:p>
        </w:tc>
      </w:tr>
      <w:tr w:rsidR="00E371BA" w:rsidRPr="00507A31" w14:paraId="0D193A4A"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E2CC0AF" w14:textId="77777777" w:rsidR="00C50B8F" w:rsidRPr="00507A31" w:rsidRDefault="00C50B8F" w:rsidP="00507A31">
            <w:pPr>
              <w:jc w:val="both"/>
              <w:rPr>
                <w:color w:val="000000" w:themeColor="text1"/>
                <w:sz w:val="16"/>
                <w:szCs w:val="16"/>
              </w:rPr>
            </w:pPr>
            <w:r w:rsidRPr="00507A31">
              <w:rPr>
                <w:color w:val="000000" w:themeColor="text1"/>
                <w:sz w:val="16"/>
                <w:szCs w:val="16"/>
              </w:rPr>
              <w:t>Кузбасс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8EC70" w14:textId="77777777" w:rsidR="00C50B8F" w:rsidRPr="00507A31" w:rsidRDefault="00C50B8F" w:rsidP="00507A31">
            <w:pPr>
              <w:jc w:val="both"/>
              <w:rPr>
                <w:color w:val="000000" w:themeColor="text1"/>
                <w:sz w:val="16"/>
                <w:szCs w:val="16"/>
              </w:rPr>
            </w:pPr>
            <w:r w:rsidRPr="00507A31">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37010" w14:textId="77777777" w:rsidR="00C50B8F" w:rsidRPr="00507A31" w:rsidRDefault="00C50B8F" w:rsidP="00507A31">
            <w:pPr>
              <w:jc w:val="both"/>
              <w:rPr>
                <w:color w:val="000000" w:themeColor="text1"/>
                <w:sz w:val="16"/>
                <w:szCs w:val="16"/>
              </w:rPr>
            </w:pPr>
            <w:r w:rsidRPr="00507A31">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ED474" w14:textId="77777777" w:rsidR="00C50B8F" w:rsidRPr="00507A31" w:rsidRDefault="00C50B8F" w:rsidP="00507A31">
            <w:pPr>
              <w:jc w:val="both"/>
              <w:rPr>
                <w:color w:val="000000" w:themeColor="text1"/>
                <w:sz w:val="16"/>
                <w:szCs w:val="16"/>
              </w:rPr>
            </w:pPr>
            <w:r w:rsidRPr="00507A31">
              <w:rPr>
                <w:color w:val="000000" w:themeColor="text1"/>
                <w:sz w:val="16"/>
                <w:szCs w:val="16"/>
              </w:rPr>
              <w:t>3,1</w:t>
            </w:r>
          </w:p>
        </w:tc>
      </w:tr>
      <w:tr w:rsidR="00E371BA" w:rsidRPr="00507A31" w14:paraId="41F6A77D" w14:textId="77777777" w:rsidTr="00BB5927">
        <w:trPr>
          <w:trHeight w:val="735"/>
        </w:trPr>
        <w:tc>
          <w:tcPr>
            <w:tcW w:w="0" w:type="auto"/>
            <w:tcBorders>
              <w:top w:val="outset" w:sz="6" w:space="0" w:color="auto"/>
              <w:left w:val="outset" w:sz="6" w:space="0" w:color="auto"/>
              <w:bottom w:val="outset" w:sz="6" w:space="0" w:color="auto"/>
              <w:right w:val="outset" w:sz="6" w:space="0" w:color="auto"/>
            </w:tcBorders>
            <w:vAlign w:val="center"/>
            <w:hideMark/>
          </w:tcPr>
          <w:p w14:paraId="1BDDDBB0" w14:textId="77777777" w:rsidR="00C50B8F" w:rsidRPr="00507A31" w:rsidRDefault="00C50B8F" w:rsidP="00507A31">
            <w:pPr>
              <w:jc w:val="both"/>
              <w:rPr>
                <w:color w:val="000000" w:themeColor="text1"/>
                <w:sz w:val="16"/>
                <w:szCs w:val="16"/>
              </w:rPr>
            </w:pPr>
            <w:r w:rsidRPr="00507A31">
              <w:rPr>
                <w:color w:val="000000" w:themeColor="text1"/>
                <w:sz w:val="16"/>
                <w:szCs w:val="16"/>
              </w:rPr>
              <w:t>Подмосковный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1A842" w14:textId="77777777" w:rsidR="00C50B8F" w:rsidRPr="00507A31" w:rsidRDefault="00C50B8F" w:rsidP="00507A31">
            <w:pPr>
              <w:jc w:val="both"/>
              <w:rPr>
                <w:color w:val="000000" w:themeColor="text1"/>
                <w:sz w:val="16"/>
                <w:szCs w:val="16"/>
              </w:rPr>
            </w:pPr>
            <w:r w:rsidRPr="00507A31">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0C417" w14:textId="77777777" w:rsidR="00C50B8F" w:rsidRPr="00507A31" w:rsidRDefault="00C50B8F" w:rsidP="00507A31">
            <w:pPr>
              <w:jc w:val="both"/>
              <w:rPr>
                <w:color w:val="000000" w:themeColor="text1"/>
                <w:sz w:val="16"/>
                <w:szCs w:val="16"/>
              </w:rPr>
            </w:pPr>
            <w:r w:rsidRPr="00507A31">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F9793" w14:textId="77777777" w:rsidR="00C50B8F" w:rsidRPr="00507A31" w:rsidRDefault="00C50B8F" w:rsidP="00507A31">
            <w:pPr>
              <w:jc w:val="both"/>
              <w:rPr>
                <w:color w:val="000000" w:themeColor="text1"/>
                <w:sz w:val="16"/>
                <w:szCs w:val="16"/>
              </w:rPr>
            </w:pPr>
            <w:r w:rsidRPr="00507A31">
              <w:rPr>
                <w:color w:val="000000" w:themeColor="text1"/>
                <w:sz w:val="16"/>
                <w:szCs w:val="16"/>
              </w:rPr>
              <w:t>2,5</w:t>
            </w:r>
          </w:p>
        </w:tc>
      </w:tr>
      <w:tr w:rsidR="00E371BA" w:rsidRPr="00507A31" w14:paraId="7A835D51" w14:textId="77777777" w:rsidTr="00BB5927">
        <w:trPr>
          <w:trHeight w:val="735"/>
        </w:trPr>
        <w:tc>
          <w:tcPr>
            <w:tcW w:w="0" w:type="auto"/>
            <w:tcBorders>
              <w:top w:val="outset" w:sz="6" w:space="0" w:color="auto"/>
              <w:left w:val="outset" w:sz="6" w:space="0" w:color="auto"/>
              <w:bottom w:val="outset" w:sz="6" w:space="0" w:color="auto"/>
              <w:right w:val="outset" w:sz="6" w:space="0" w:color="auto"/>
            </w:tcBorders>
            <w:vAlign w:val="center"/>
            <w:hideMark/>
          </w:tcPr>
          <w:p w14:paraId="2E842C05" w14:textId="77777777" w:rsidR="00C50B8F" w:rsidRPr="00507A31" w:rsidRDefault="00C50B8F" w:rsidP="00507A31">
            <w:pPr>
              <w:jc w:val="both"/>
              <w:rPr>
                <w:color w:val="000000" w:themeColor="text1"/>
                <w:sz w:val="16"/>
                <w:szCs w:val="16"/>
              </w:rPr>
            </w:pPr>
            <w:r w:rsidRPr="00507A31">
              <w:rPr>
                <w:color w:val="000000" w:themeColor="text1"/>
                <w:sz w:val="16"/>
                <w:szCs w:val="16"/>
              </w:rPr>
              <w:t>Уральские угли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98BD8" w14:textId="77777777" w:rsidR="00C50B8F" w:rsidRPr="00507A31" w:rsidRDefault="00C50B8F" w:rsidP="00507A31">
            <w:pPr>
              <w:jc w:val="both"/>
              <w:rPr>
                <w:color w:val="000000" w:themeColor="text1"/>
                <w:sz w:val="16"/>
                <w:szCs w:val="16"/>
              </w:rPr>
            </w:pPr>
            <w:r w:rsidRPr="00507A31">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690A5" w14:textId="77777777" w:rsidR="00C50B8F" w:rsidRPr="00507A31" w:rsidRDefault="00C50B8F" w:rsidP="00507A31">
            <w:pPr>
              <w:jc w:val="both"/>
              <w:rPr>
                <w:color w:val="000000" w:themeColor="text1"/>
                <w:sz w:val="16"/>
                <w:szCs w:val="16"/>
              </w:rPr>
            </w:pPr>
            <w:r w:rsidRPr="00507A31">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7E61B" w14:textId="77777777" w:rsidR="00C50B8F" w:rsidRPr="00507A31" w:rsidRDefault="00C50B8F" w:rsidP="00507A31">
            <w:pPr>
              <w:jc w:val="both"/>
              <w:rPr>
                <w:color w:val="000000" w:themeColor="text1"/>
                <w:sz w:val="16"/>
                <w:szCs w:val="16"/>
              </w:rPr>
            </w:pPr>
            <w:r w:rsidRPr="00507A31">
              <w:rPr>
                <w:color w:val="000000" w:themeColor="text1"/>
                <w:sz w:val="16"/>
                <w:szCs w:val="16"/>
              </w:rPr>
              <w:t>1,8</w:t>
            </w:r>
          </w:p>
        </w:tc>
      </w:tr>
      <w:tr w:rsidR="00E371BA" w:rsidRPr="00507A31" w14:paraId="4BC60B91"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1C9FDF85" w14:textId="77777777" w:rsidR="00C50B8F" w:rsidRPr="00507A31" w:rsidRDefault="00C50B8F" w:rsidP="00507A31">
            <w:pPr>
              <w:jc w:val="both"/>
              <w:rPr>
                <w:color w:val="000000" w:themeColor="text1"/>
                <w:sz w:val="16"/>
                <w:szCs w:val="16"/>
              </w:rPr>
            </w:pPr>
            <w:r w:rsidRPr="00507A31">
              <w:rPr>
                <w:color w:val="000000" w:themeColor="text1"/>
                <w:sz w:val="16"/>
                <w:szCs w:val="16"/>
              </w:rPr>
              <w:t>Торф</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EA4CB" w14:textId="77777777" w:rsidR="00C50B8F" w:rsidRPr="00507A31" w:rsidRDefault="00C50B8F" w:rsidP="00507A31">
            <w:pPr>
              <w:jc w:val="both"/>
              <w:rPr>
                <w:color w:val="000000" w:themeColor="text1"/>
                <w:sz w:val="16"/>
                <w:szCs w:val="16"/>
              </w:rPr>
            </w:pPr>
            <w:r w:rsidRPr="00507A31">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4D16B" w14:textId="77777777" w:rsidR="00C50B8F" w:rsidRPr="00507A31" w:rsidRDefault="00C50B8F" w:rsidP="00507A31">
            <w:pPr>
              <w:jc w:val="both"/>
              <w:rPr>
                <w:color w:val="000000" w:themeColor="text1"/>
                <w:sz w:val="16"/>
                <w:szCs w:val="16"/>
              </w:rPr>
            </w:pPr>
            <w:r w:rsidRPr="00507A31">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2CF43" w14:textId="77777777" w:rsidR="00C50B8F" w:rsidRPr="00507A31" w:rsidRDefault="00C50B8F" w:rsidP="00507A31">
            <w:pPr>
              <w:jc w:val="both"/>
              <w:rPr>
                <w:color w:val="000000" w:themeColor="text1"/>
                <w:sz w:val="16"/>
                <w:szCs w:val="16"/>
              </w:rPr>
            </w:pPr>
            <w:r w:rsidRPr="00507A31">
              <w:rPr>
                <w:color w:val="000000" w:themeColor="text1"/>
                <w:sz w:val="16"/>
                <w:szCs w:val="16"/>
              </w:rPr>
              <w:t>2,2</w:t>
            </w:r>
          </w:p>
        </w:tc>
      </w:tr>
      <w:tr w:rsidR="00E371BA" w:rsidRPr="00507A31" w14:paraId="161EBE7B"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7B6856F" w14:textId="77777777" w:rsidR="00C50B8F" w:rsidRPr="00507A31" w:rsidRDefault="00C50B8F" w:rsidP="00507A31">
            <w:pPr>
              <w:jc w:val="both"/>
              <w:rPr>
                <w:color w:val="000000" w:themeColor="text1"/>
                <w:sz w:val="16"/>
                <w:szCs w:val="16"/>
              </w:rPr>
            </w:pPr>
            <w:r w:rsidRPr="00507A31">
              <w:rPr>
                <w:color w:val="000000" w:themeColor="text1"/>
                <w:sz w:val="16"/>
                <w:szCs w:val="16"/>
              </w:rPr>
              <w:t>Нефть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998F1" w14:textId="77777777" w:rsidR="00C50B8F" w:rsidRPr="00507A31" w:rsidRDefault="00C50B8F" w:rsidP="00507A31">
            <w:pPr>
              <w:jc w:val="both"/>
              <w:rPr>
                <w:color w:val="000000" w:themeColor="text1"/>
                <w:sz w:val="16"/>
                <w:szCs w:val="16"/>
              </w:rPr>
            </w:pPr>
            <w:r w:rsidRPr="00507A31">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D1012" w14:textId="77777777" w:rsidR="00C50B8F" w:rsidRPr="00507A31" w:rsidRDefault="00C50B8F" w:rsidP="00507A31">
            <w:pPr>
              <w:jc w:val="both"/>
              <w:rPr>
                <w:color w:val="000000" w:themeColor="text1"/>
                <w:sz w:val="16"/>
                <w:szCs w:val="16"/>
              </w:rPr>
            </w:pPr>
            <w:r w:rsidRPr="00507A31">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E570E" w14:textId="77777777" w:rsidR="00C50B8F" w:rsidRPr="00507A31" w:rsidRDefault="00C50B8F" w:rsidP="00507A31">
            <w:pPr>
              <w:jc w:val="both"/>
              <w:rPr>
                <w:color w:val="000000" w:themeColor="text1"/>
                <w:sz w:val="16"/>
                <w:szCs w:val="16"/>
              </w:rPr>
            </w:pPr>
            <w:r w:rsidRPr="00507A31">
              <w:rPr>
                <w:color w:val="000000" w:themeColor="text1"/>
                <w:sz w:val="16"/>
                <w:szCs w:val="16"/>
              </w:rPr>
              <w:t>2,1</w:t>
            </w:r>
          </w:p>
        </w:tc>
      </w:tr>
      <w:tr w:rsidR="00E371BA" w:rsidRPr="00507A31" w14:paraId="356F9829" w14:textId="77777777" w:rsidTr="00BB5927">
        <w:trPr>
          <w:trHeight w:val="990"/>
        </w:trPr>
        <w:tc>
          <w:tcPr>
            <w:tcW w:w="0" w:type="auto"/>
            <w:tcBorders>
              <w:top w:val="outset" w:sz="6" w:space="0" w:color="auto"/>
              <w:left w:val="outset" w:sz="6" w:space="0" w:color="auto"/>
              <w:bottom w:val="outset" w:sz="6" w:space="0" w:color="auto"/>
              <w:right w:val="outset" w:sz="6" w:space="0" w:color="auto"/>
            </w:tcBorders>
            <w:vAlign w:val="center"/>
            <w:hideMark/>
          </w:tcPr>
          <w:p w14:paraId="347E3B0B" w14:textId="77777777" w:rsidR="00C50B8F" w:rsidRPr="00507A31" w:rsidRDefault="00C50B8F" w:rsidP="00507A31">
            <w:pPr>
              <w:jc w:val="both"/>
              <w:rPr>
                <w:color w:val="000000" w:themeColor="text1"/>
                <w:sz w:val="16"/>
                <w:szCs w:val="16"/>
              </w:rPr>
            </w:pPr>
            <w:r w:rsidRPr="00507A31">
              <w:rPr>
                <w:color w:val="000000" w:themeColor="text1"/>
                <w:sz w:val="16"/>
                <w:szCs w:val="16"/>
              </w:rPr>
              <w:t>Вся добыча в условном топливе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BDDF9" w14:textId="77777777" w:rsidR="00C50B8F" w:rsidRPr="00507A31" w:rsidRDefault="00C50B8F" w:rsidP="00507A31">
            <w:pPr>
              <w:jc w:val="both"/>
              <w:rPr>
                <w:color w:val="000000" w:themeColor="text1"/>
                <w:sz w:val="16"/>
                <w:szCs w:val="16"/>
              </w:rPr>
            </w:pPr>
            <w:r w:rsidRPr="00507A31">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F9684" w14:textId="77777777" w:rsidR="00C50B8F" w:rsidRPr="00507A31" w:rsidRDefault="00C50B8F" w:rsidP="00507A31">
            <w:pPr>
              <w:jc w:val="both"/>
              <w:rPr>
                <w:color w:val="000000" w:themeColor="text1"/>
                <w:sz w:val="16"/>
                <w:szCs w:val="16"/>
              </w:rPr>
            </w:pPr>
            <w:r w:rsidRPr="00507A31">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DFF80" w14:textId="77777777" w:rsidR="00C50B8F" w:rsidRPr="00507A31" w:rsidRDefault="00C50B8F" w:rsidP="00507A31">
            <w:pPr>
              <w:jc w:val="both"/>
              <w:rPr>
                <w:color w:val="000000" w:themeColor="text1"/>
                <w:sz w:val="16"/>
                <w:szCs w:val="16"/>
              </w:rPr>
            </w:pPr>
            <w:r w:rsidRPr="00507A31">
              <w:rPr>
                <w:color w:val="000000" w:themeColor="text1"/>
                <w:sz w:val="16"/>
                <w:szCs w:val="16"/>
              </w:rPr>
              <w:t>1,8</w:t>
            </w:r>
          </w:p>
        </w:tc>
      </w:tr>
    </w:tbl>
    <w:p w14:paraId="152D26E4" w14:textId="77777777" w:rsidR="00C50B8F" w:rsidRPr="00507A31" w:rsidRDefault="00C50B8F" w:rsidP="00507A31">
      <w:pPr>
        <w:jc w:val="both"/>
        <w:rPr>
          <w:color w:val="000000" w:themeColor="text1"/>
          <w:sz w:val="16"/>
          <w:szCs w:val="16"/>
        </w:rPr>
      </w:pPr>
      <w:r w:rsidRPr="00507A31">
        <w:rPr>
          <w:color w:val="000000" w:themeColor="text1"/>
          <w:sz w:val="16"/>
          <w:szCs w:val="16"/>
        </w:rPr>
        <w:t>Эти цифры показывают, что темп добычи топлива был взят почти в два раза ниже.</w:t>
      </w:r>
    </w:p>
    <w:p w14:paraId="0039A74A" w14:textId="77777777" w:rsidR="00C50B8F" w:rsidRPr="00507A31" w:rsidRDefault="00C50B8F" w:rsidP="00507A31">
      <w:pPr>
        <w:jc w:val="both"/>
        <w:rPr>
          <w:color w:val="000000" w:themeColor="text1"/>
          <w:sz w:val="16"/>
          <w:szCs w:val="16"/>
        </w:rPr>
      </w:pPr>
      <w:r w:rsidRPr="00507A31">
        <w:rPr>
          <w:color w:val="000000" w:themeColor="text1"/>
          <w:sz w:val="16"/>
          <w:szCs w:val="16"/>
        </w:rPr>
        <w:t xml:space="preserve">Второй установкой Промпартии в области топливо-снабжения была максимальная задержка добычи местных топлив и слабый темп работ по подготовке потребителей к их широкому рациональному использованию. Это особенно проводилось в жизнь по отношению к торфу, подмосковному и кузнецкому углю. Основная же цель здесь сводилась к созданию сильной зависимости Центрально-Промышленного и Северо-Западного районов от Донецкого бассейна, так что при перерыве их связи с последним во время интервенции в этих районах неизбежно должна была возникнуть топливная катастрофа. Задержка развития торфа и подмосковного бассейна была достигнута — как чисто плановыми мероприятиями, так и искусственным отвлечением внимания руководителей &lt;от&gt; жизненной проблемы — удешевления </w:t>
      </w:r>
      <w:r w:rsidRPr="00507A31">
        <w:rPr>
          <w:color w:val="000000" w:themeColor="text1"/>
          <w:sz w:val="16"/>
          <w:szCs w:val="16"/>
        </w:rPr>
        <w:lastRenderedPageBreak/>
        <w:t>себестоимости топлива — в сторону невыгодных, нерациональных и часто даже фантастических проектов сложной химической перестройки и облагораживания топлива, дальнего газоснабжения и т. п.</w:t>
      </w:r>
    </w:p>
    <w:p w14:paraId="3ED366AC" w14:textId="77777777" w:rsidR="00C50B8F" w:rsidRPr="00507A31" w:rsidRDefault="00C50B8F" w:rsidP="00507A31">
      <w:pPr>
        <w:jc w:val="both"/>
        <w:rPr>
          <w:color w:val="000000" w:themeColor="text1"/>
          <w:sz w:val="16"/>
          <w:szCs w:val="16"/>
        </w:rPr>
      </w:pPr>
      <w:r w:rsidRPr="00507A31">
        <w:rPr>
          <w:color w:val="000000" w:themeColor="text1"/>
          <w:sz w:val="16"/>
          <w:szCs w:val="16"/>
        </w:rPr>
        <w:t>Высокая теперешняя колоритная себестоимость торфа и подмосковного угля, благодаря притуплению внимания к этому коренному вопросу их развития, в свою очередь давала очень сильный аргумент в пользу снижения темпа развития этих топлив, благодаря их теперешней неконкурентоспособное с донецким и другими видами топлива.</w:t>
      </w:r>
    </w:p>
    <w:p w14:paraId="4F16B571" w14:textId="77777777" w:rsidR="00C50B8F" w:rsidRPr="00507A31" w:rsidRDefault="00C50B8F" w:rsidP="00507A31">
      <w:pPr>
        <w:jc w:val="both"/>
        <w:rPr>
          <w:color w:val="000000" w:themeColor="text1"/>
          <w:sz w:val="16"/>
          <w:szCs w:val="16"/>
        </w:rPr>
      </w:pPr>
      <w:r w:rsidRPr="00507A31">
        <w:rPr>
          <w:color w:val="000000" w:themeColor="text1"/>
          <w:sz w:val="16"/>
          <w:szCs w:val="16"/>
        </w:rPr>
        <w:t>В частности, по отдельным видам топлива можно отметить следующие мероприятия, проведенные Промпартией:</w:t>
      </w:r>
    </w:p>
    <w:p w14:paraId="353B99ED" w14:textId="77777777" w:rsidR="00C50B8F" w:rsidRPr="00507A31" w:rsidRDefault="00C50B8F" w:rsidP="00507A31">
      <w:pPr>
        <w:jc w:val="both"/>
        <w:rPr>
          <w:color w:val="000000" w:themeColor="text1"/>
          <w:sz w:val="16"/>
          <w:szCs w:val="16"/>
        </w:rPr>
      </w:pPr>
      <w:r w:rsidRPr="00507A31">
        <w:rPr>
          <w:color w:val="000000" w:themeColor="text1"/>
          <w:sz w:val="16"/>
          <w:szCs w:val="16"/>
        </w:rPr>
        <w:t>По углю имело место отставание разведочных, проектных, капитальных, строительных и подготовительных работ почти по всем районам, как логичный результат взятых слабых темпов добычи, а также и мероприятий, направленных к невыполнению даже и этих минималистских темпов развития; так, например, по Донбассу в 1929-30 г. вместо 43 шахт, намеченных планом, фактически было подвергнуто реконструкции лишь 25 шахт, а вновь заложено шахт лишь ок[оло] 80 % от планового задания; отставание разведочных работ увеличивало далее риск получения неудачных шахт и размер бесполезных капитальных затрат. Замедление жилстроительства вместе с задержкой механизации добычи угля еще более обостряли рабочий кризис, вызываемый отливом рабочих на строительные работы и в сельское хозяйство; в свою очередь механизация добычи задерживалась недостатком электроэнергии, особенно в Донбассе, наряду с плохой организацией использования механизмов и всей постановки механизации угледобычи. Отставание мощности обогатительных устройств для коксующихся углей понижало качество кокса и металла.</w:t>
      </w:r>
    </w:p>
    <w:p w14:paraId="4A8CE5D3" w14:textId="77777777" w:rsidR="00C50B8F" w:rsidRPr="00507A31" w:rsidRDefault="00C50B8F" w:rsidP="00507A31">
      <w:pPr>
        <w:jc w:val="both"/>
        <w:rPr>
          <w:color w:val="000000" w:themeColor="text1"/>
          <w:sz w:val="16"/>
          <w:szCs w:val="16"/>
        </w:rPr>
      </w:pPr>
      <w:r w:rsidRPr="00507A31">
        <w:rPr>
          <w:color w:val="000000" w:themeColor="text1"/>
          <w:sz w:val="16"/>
          <w:szCs w:val="16"/>
        </w:rPr>
        <w:t>По нефти сильное отставание темпа чрезвычайных работ не только являлось тормозом развития нефтедобычи, но и неизбежно должно было повлечь увеличение количества пустых скважин, а следовательно[,] и капитальных затрат. Замедление развития рационального нефтеперегонного оборудования и особенно крекинг-установок вызвало получение менее выгодного ассортимента нефтепродуктов и сокращение выручки от нефтеэкспорта. Особенно надо отметить торможение нефтедобычи, запроектированной на 1932/33 г. в 20 мил. тн. против последней, правда уже преувеличенной наметки в 42 миллиона тн. К этому надо добавить еще невыполнение подготовки потребителей к транспорту и использованию парафинистых мазутов.</w:t>
      </w:r>
    </w:p>
    <w:p w14:paraId="1A59A97E" w14:textId="77777777" w:rsidR="00C50B8F" w:rsidRPr="00507A31" w:rsidRDefault="00C50B8F" w:rsidP="00507A31">
      <w:pPr>
        <w:jc w:val="both"/>
        <w:rPr>
          <w:color w:val="000000" w:themeColor="text1"/>
          <w:sz w:val="16"/>
          <w:szCs w:val="16"/>
        </w:rPr>
      </w:pPr>
      <w:r w:rsidRPr="00507A31">
        <w:rPr>
          <w:color w:val="000000" w:themeColor="text1"/>
          <w:sz w:val="16"/>
          <w:szCs w:val="16"/>
        </w:rPr>
        <w:t>По торфу вместе с отвлечением внимания от коренной проблемы — снижения себестоимости в сторону сложных и дорогих методов переработки торфа, одновременно было задержано развитие фрезерного торфа, дающего значительное удешевление последнего.</w:t>
      </w:r>
    </w:p>
    <w:p w14:paraId="7CC81871" w14:textId="77777777" w:rsidR="00C50B8F" w:rsidRPr="00507A31" w:rsidRDefault="00C50B8F" w:rsidP="00507A31">
      <w:pPr>
        <w:jc w:val="both"/>
        <w:rPr>
          <w:color w:val="000000" w:themeColor="text1"/>
          <w:sz w:val="16"/>
          <w:szCs w:val="16"/>
        </w:rPr>
      </w:pPr>
      <w:r w:rsidRPr="00507A31">
        <w:rPr>
          <w:color w:val="000000" w:themeColor="text1"/>
          <w:sz w:val="16"/>
          <w:szCs w:val="16"/>
        </w:rPr>
        <w:t>Одновременно сильно замедлен и темп подготовки торфяников, соответственно понижению плана торфодобычи на [19]32/33 г. до 15 мил. тн. против вполне возможных 33 мил. т., а это определяло уже невозможность быстрого поднятия торфодобычи в 1930 году, ибо подготовка болот должна начинаться примерно за 2 года до введения торфа в топливный актив.</w:t>
      </w:r>
    </w:p>
    <w:p w14:paraId="235EA6CE" w14:textId="77777777" w:rsidR="00C50B8F" w:rsidRPr="00507A31" w:rsidRDefault="00C50B8F" w:rsidP="00507A31">
      <w:pPr>
        <w:jc w:val="both"/>
        <w:rPr>
          <w:color w:val="000000" w:themeColor="text1"/>
          <w:sz w:val="16"/>
          <w:szCs w:val="16"/>
        </w:rPr>
      </w:pPr>
      <w:r w:rsidRPr="00507A31">
        <w:rPr>
          <w:color w:val="000000" w:themeColor="text1"/>
          <w:sz w:val="16"/>
          <w:szCs w:val="16"/>
        </w:rPr>
        <w:t>В результате систематического замедления темпа добычи и подготовительных работ топливо к 1930 г. опять стало одним из узких мест народного хозяйства, так что план топливоснабжения 1929/30 г. был сверстан с большим напряжением и в значительной мере на бумаге, ибо: 1) ни по одному из видов топлива не было твердо объединена реализация плана добычи; 2) план был сверстан с большим и весьма сомнительным повышением участия дров; 3) план был составлен в предположении мало реального снижения удельных расходов — до 12-13 % по промышленности и при одновременном снижении запасов топлива у потребителей. Поэтому малейшее нарушение в виде военных действий, усиленных военных перевозок и перерыв сообщения с Донбассом или нарушение его производственной деятельности с неизбежностью должны были вызвать в момент интервенции в 1930 г. топливную катастрофу.</w:t>
      </w:r>
    </w:p>
    <w:p w14:paraId="0131FB24" w14:textId="77777777" w:rsidR="00C50B8F" w:rsidRPr="00507A31" w:rsidRDefault="00C50B8F" w:rsidP="00507A31">
      <w:pPr>
        <w:jc w:val="both"/>
        <w:rPr>
          <w:color w:val="000000" w:themeColor="text1"/>
          <w:sz w:val="16"/>
          <w:szCs w:val="16"/>
        </w:rPr>
      </w:pPr>
      <w:r w:rsidRPr="00507A31">
        <w:rPr>
          <w:color w:val="000000" w:themeColor="text1"/>
          <w:sz w:val="16"/>
          <w:szCs w:val="16"/>
        </w:rPr>
        <w:t>Основными руководителями работ Промпартии в области топлива являлись инж. В. А. ЛАРИЧЕВ, Л. Г. РАБИНОВИЧ, И. И. ФЕДОРОВИЧ, И. Н. СТРИЖЕВ, И. Н. СМИРНОВ, В. С. ПОЛЯК, И. И. ЕЛИН, инж. АККЕРМАН, В. Д. КИРПИЧНИКОВ и др.</w:t>
      </w:r>
    </w:p>
    <w:p w14:paraId="757C406F" w14:textId="77777777" w:rsidR="00C50B8F" w:rsidRPr="00507A31" w:rsidRDefault="00C50B8F" w:rsidP="00507A31">
      <w:pPr>
        <w:jc w:val="both"/>
        <w:rPr>
          <w:color w:val="000000" w:themeColor="text1"/>
          <w:sz w:val="16"/>
          <w:szCs w:val="16"/>
        </w:rPr>
      </w:pPr>
      <w:r w:rsidRPr="00507A31">
        <w:rPr>
          <w:color w:val="000000" w:themeColor="text1"/>
          <w:sz w:val="16"/>
          <w:szCs w:val="16"/>
        </w:rPr>
        <w:t>Металл: Минимальные темпы, проведенные Промпартией в области металла, ярко характеризуются сопоставлением цифры выплавки чугуна по госплановской пятилетке — 8-&lt;1...&gt; мил. тн. с последней проектировкой в 17 мил. тн., т. е. почти в [2 ра]за выше. Это замедление темпа развертывания металлургии и металлопромышленности при одновременном увеличении размаха капитального строительства неизбежно приводили в 1930 г. к резкому дефициту металла и кризису металлоснабжения; достаточно указать, что дефицит в кровельном железе, увеличиваясь из года в год, в 1929/30 г. достиг уже 37 %.</w:t>
      </w:r>
    </w:p>
    <w:p w14:paraId="3AC0D08C" w14:textId="77777777" w:rsidR="00C50B8F" w:rsidRPr="00507A31" w:rsidRDefault="00C50B8F" w:rsidP="00507A31">
      <w:pPr>
        <w:jc w:val="both"/>
        <w:rPr>
          <w:color w:val="000000" w:themeColor="text1"/>
          <w:sz w:val="16"/>
          <w:szCs w:val="16"/>
        </w:rPr>
      </w:pPr>
      <w:r w:rsidRPr="00507A31">
        <w:rPr>
          <w:color w:val="000000" w:themeColor="text1"/>
          <w:sz w:val="16"/>
          <w:szCs w:val="16"/>
        </w:rPr>
        <w:t>Металлический голод усиливался еще несоответствием ассортимента металла, потребности в нем, а также диспропорцией между производством и потреблением отдельных металлоизделий. Дефицит металла еще более усиливался нерациональным его использованием. Так, например, Промпартия поддерживала Ленинградский Машиностроительный трест и ЮМТ, выпускавшие устарелые конструкции котлов, экономайзеров и т. п. элементов оборудования котельных, хотя затрата металла на единицу мощности в этих конструкциях на 30-100 % и более превосходит расход металла в современных рациональных конструкциях; при ограниченной производительности котельных заводов по метражу или по весу, благодаря низкому использованию поверхностей нагрева неизбежно возникала необходимость в дополнительном ввозе заграничного оборудования, или же в бесполезном увеличении расхода и дефицита металла. Такие же примеры нерационального использования дефицитного металла имели место в строительстве и ряде других случаев.</w:t>
      </w:r>
    </w:p>
    <w:p w14:paraId="120D515F" w14:textId="77777777" w:rsidR="00C50B8F" w:rsidRPr="00507A31" w:rsidRDefault="00C50B8F" w:rsidP="00507A31">
      <w:pPr>
        <w:jc w:val="both"/>
        <w:rPr>
          <w:color w:val="000000" w:themeColor="text1"/>
          <w:sz w:val="16"/>
          <w:szCs w:val="16"/>
        </w:rPr>
      </w:pPr>
      <w:r w:rsidRPr="00507A31">
        <w:rPr>
          <w:color w:val="000000" w:themeColor="text1"/>
          <w:sz w:val="16"/>
          <w:szCs w:val="16"/>
        </w:rPr>
        <w:t>Руководителями работ по проведению директив Промпартии в области металла были инж. ХРЕННИКОВ и проф. Н. Ф. ЧАРНОВСКИЙ, а основными работниками металлической отраслевой группы — проф. В. Е. ГРУМ-ГРЖИМАЙЛО, Р. Я. ГАРТВАН, инж. БЕЛОНОЖКИН, БАГМАН, КАУФМАН, НЕЙМАЙЕР, КУТСКИЙ, ЛИСТ, ЛИПГАРТ и ПОДЬЯКОНОВ. Указанные лица могут более детально и конкретно осветить вопрос о работе Промпартии в области металла.</w:t>
      </w:r>
    </w:p>
    <w:p w14:paraId="23F75A11" w14:textId="77777777" w:rsidR="00C50B8F" w:rsidRPr="00507A31" w:rsidRDefault="00C50B8F" w:rsidP="00507A31">
      <w:pPr>
        <w:jc w:val="both"/>
        <w:rPr>
          <w:color w:val="000000" w:themeColor="text1"/>
          <w:sz w:val="16"/>
          <w:szCs w:val="16"/>
        </w:rPr>
      </w:pPr>
      <w:r w:rsidRPr="00507A31">
        <w:rPr>
          <w:color w:val="000000" w:themeColor="text1"/>
          <w:sz w:val="16"/>
          <w:szCs w:val="16"/>
        </w:rPr>
        <w:t>Энергетика: Основные пути, по которым шла здесь работа Промпартии[,] следующие:</w:t>
      </w:r>
    </w:p>
    <w:p w14:paraId="63470CA0" w14:textId="77777777" w:rsidR="00C50B8F" w:rsidRPr="00507A31" w:rsidRDefault="00C50B8F" w:rsidP="00507A31">
      <w:pPr>
        <w:jc w:val="both"/>
        <w:rPr>
          <w:color w:val="000000" w:themeColor="text1"/>
          <w:sz w:val="16"/>
          <w:szCs w:val="16"/>
        </w:rPr>
      </w:pPr>
      <w:r w:rsidRPr="00507A31">
        <w:rPr>
          <w:color w:val="000000" w:themeColor="text1"/>
          <w:sz w:val="16"/>
          <w:szCs w:val="16"/>
        </w:rPr>
        <w:t> Создание кризисов электроснабжения. Общее направление работы Промпартии и здесь шло прежде всего по линии минималистских темпов электростанции, достаточно указать, что в госплановской пятилетке выработка районных станций запроектирована лишь 10-14 млр&lt;д&gt; квтч, в то время, как теперь потребная выработка их выявляется ок. 20 м&lt;л&gt;рд. квтч. Но особенное внимание Промпартия обращала на создание кризисов электроснабжения в наиболее ответственных центрах, а именно — в Донбассе, Ленинграде, Москве, на Урале и Кузбассе.</w:t>
      </w:r>
    </w:p>
    <w:p w14:paraId="37BC36C9" w14:textId="77777777" w:rsidR="00C50B8F" w:rsidRPr="00507A31" w:rsidRDefault="00C50B8F" w:rsidP="00507A31">
      <w:pPr>
        <w:jc w:val="both"/>
        <w:rPr>
          <w:color w:val="000000" w:themeColor="text1"/>
          <w:sz w:val="16"/>
          <w:szCs w:val="16"/>
        </w:rPr>
      </w:pPr>
      <w:r w:rsidRPr="00507A31">
        <w:rPr>
          <w:color w:val="000000" w:themeColor="text1"/>
          <w:sz w:val="16"/>
          <w:szCs w:val="16"/>
        </w:rPr>
        <w:t>а) Донбасс все время переживал и особенно остро ощущает теперь кризис электроснабжения, благодаря плановой задержке с постройкой Штеровской и Зуевской станций. Постройка последней станции усиленно тормозилась Госпланом СССР в лице, главным образом, проф. А. А. ГОРЕВА, под предлогом возможности покрытия потребности в энергии путем передачи ее с Днепростроя. Постройка же Штеровской станции была сильно растянута на ряд лет, благодаря заказу нерационального оборудования (недостаточная мощность мельниц, крайне сложная и неудачная система пылеприготовления, применение нерациональных топок французской системы вместо испытанного американского типа и т. п.), несоответствие в сроках доставки и монтажа отдельных частей оборудования, беспорядочным заказом его за границей и т. п.</w:t>
      </w:r>
    </w:p>
    <w:p w14:paraId="4A8E7CA2" w14:textId="77777777" w:rsidR="00C50B8F" w:rsidRPr="00507A31" w:rsidRDefault="00C50B8F" w:rsidP="00507A31">
      <w:pPr>
        <w:jc w:val="both"/>
        <w:rPr>
          <w:color w:val="000000" w:themeColor="text1"/>
          <w:sz w:val="16"/>
          <w:szCs w:val="16"/>
        </w:rPr>
      </w:pPr>
      <w:r w:rsidRPr="00507A31">
        <w:rPr>
          <w:color w:val="000000" w:themeColor="text1"/>
          <w:sz w:val="16"/>
          <w:szCs w:val="16"/>
        </w:rPr>
        <w:t>В результате, Донбасс остается необеспеченным электростанцией, что замедляет механизацию угледобычи, усугубляя трудности рабочего и жилищных вопросов и является тормозом развития бассейна в целом.</w:t>
      </w:r>
    </w:p>
    <w:p w14:paraId="575034DB" w14:textId="77777777" w:rsidR="00C50B8F" w:rsidRPr="00507A31" w:rsidRDefault="00C50B8F" w:rsidP="00507A31">
      <w:pPr>
        <w:jc w:val="both"/>
        <w:rPr>
          <w:color w:val="000000" w:themeColor="text1"/>
          <w:sz w:val="16"/>
          <w:szCs w:val="16"/>
        </w:rPr>
      </w:pPr>
      <w:r w:rsidRPr="00507A31">
        <w:rPr>
          <w:color w:val="000000" w:themeColor="text1"/>
          <w:sz w:val="16"/>
          <w:szCs w:val="16"/>
        </w:rPr>
        <w:t>б) Ленинград находится уже ряд лет в состоянии перманентного кризиса электроснабжения, благодаря недостаточной мощности электростанций, при крайней изношенности и ненадежности оборудования и в особенности турбогенераторов старых станций. Имевшие место выходы из строя отдельных машин неоднократно вызывали необходимость выключения потребителей. Этот кризис вызван задержкой своевременного расширения существующих станций и начала постройки новой ленинградской станции.</w:t>
      </w:r>
    </w:p>
    <w:p w14:paraId="3B08A5E0" w14:textId="77777777" w:rsidR="00C50B8F" w:rsidRPr="00507A31" w:rsidRDefault="00C50B8F" w:rsidP="00507A31">
      <w:pPr>
        <w:jc w:val="both"/>
        <w:rPr>
          <w:color w:val="000000" w:themeColor="text1"/>
          <w:sz w:val="16"/>
          <w:szCs w:val="16"/>
        </w:rPr>
      </w:pPr>
      <w:r w:rsidRPr="00507A31">
        <w:rPr>
          <w:color w:val="000000" w:themeColor="text1"/>
          <w:sz w:val="16"/>
          <w:szCs w:val="16"/>
        </w:rPr>
        <w:t>в) Московское объединение (МОГЭС) находится в подобном же положении, отставая с мощностью станций от потребности в энергии; благодаря этому приходится отказывать в присоединении новым абонентам и допускать крупные нерациональные затраты на постройку мелких станций. Такое положение создалось вследствие растянувшегося расширения и модернизации Каширской станции и задержки постройки Бобриковской станции. Для Каширской станции были заказаны мельницы Резолютор, не могущие работать на колчеданистом подмосковном угле и требующие каждые 150-200 часов работы остановок на ремонт; кроме того, здесь же были построены нерациональные топки для порошка.</w:t>
      </w:r>
    </w:p>
    <w:p w14:paraId="55D066EE" w14:textId="77777777" w:rsidR="00C50B8F" w:rsidRPr="00507A31" w:rsidRDefault="00C50B8F" w:rsidP="00507A31">
      <w:pPr>
        <w:jc w:val="both"/>
        <w:rPr>
          <w:color w:val="000000" w:themeColor="text1"/>
          <w:sz w:val="16"/>
          <w:szCs w:val="16"/>
        </w:rPr>
      </w:pPr>
      <w:r w:rsidRPr="00507A31">
        <w:rPr>
          <w:color w:val="000000" w:themeColor="text1"/>
          <w:sz w:val="16"/>
          <w:szCs w:val="16"/>
        </w:rPr>
        <w:t>В результате, после дорогой и длительной переделки, котлы Каширской станции дают весьма низкую экономичность при очень малой производительности.</w:t>
      </w:r>
    </w:p>
    <w:p w14:paraId="37098929" w14:textId="77777777" w:rsidR="00C50B8F" w:rsidRPr="00507A31" w:rsidRDefault="00C50B8F" w:rsidP="00507A31">
      <w:pPr>
        <w:jc w:val="both"/>
        <w:rPr>
          <w:color w:val="000000" w:themeColor="text1"/>
          <w:sz w:val="16"/>
          <w:szCs w:val="16"/>
        </w:rPr>
      </w:pPr>
      <w:r w:rsidRPr="00507A31">
        <w:rPr>
          <w:color w:val="000000" w:themeColor="text1"/>
          <w:sz w:val="16"/>
          <w:szCs w:val="16"/>
        </w:rPr>
        <w:t>г) Подобные же кризисы электроснабжения имеют место на Урале и в Кузбассе.</w:t>
      </w:r>
    </w:p>
    <w:p w14:paraId="03DFB56D" w14:textId="77777777" w:rsidR="00C50B8F" w:rsidRPr="00507A31" w:rsidRDefault="00C50B8F" w:rsidP="00507A31">
      <w:pPr>
        <w:jc w:val="both"/>
        <w:rPr>
          <w:color w:val="000000" w:themeColor="text1"/>
          <w:sz w:val="16"/>
          <w:szCs w:val="16"/>
        </w:rPr>
      </w:pPr>
      <w:r w:rsidRPr="00507A31">
        <w:rPr>
          <w:color w:val="000000" w:themeColor="text1"/>
          <w:sz w:val="16"/>
          <w:szCs w:val="16"/>
        </w:rPr>
        <w:t>Удорожание электростанций. Удорожание станций достигалось путем систематического проведения при проектировании их следующих приемов:</w:t>
      </w:r>
    </w:p>
    <w:p w14:paraId="383FCDAC" w14:textId="77777777" w:rsidR="00C50B8F" w:rsidRPr="00507A31" w:rsidRDefault="00C50B8F" w:rsidP="00507A31">
      <w:pPr>
        <w:jc w:val="both"/>
        <w:rPr>
          <w:color w:val="000000" w:themeColor="text1"/>
          <w:sz w:val="16"/>
          <w:szCs w:val="16"/>
        </w:rPr>
      </w:pPr>
      <w:r w:rsidRPr="00507A31">
        <w:rPr>
          <w:color w:val="000000" w:themeColor="text1"/>
          <w:sz w:val="16"/>
          <w:szCs w:val="16"/>
        </w:rPr>
        <w:t>а) Установка большого числа мелких котельных или турбинных единиц вместо небольшого количества крупных, неизбежно вызывает заметное удорожание станций от 10 до 30 %.</w:t>
      </w:r>
    </w:p>
    <w:p w14:paraId="02C2065F" w14:textId="77777777" w:rsidR="00C50B8F" w:rsidRPr="00507A31" w:rsidRDefault="00C50B8F" w:rsidP="00507A31">
      <w:pPr>
        <w:jc w:val="both"/>
        <w:rPr>
          <w:color w:val="000000" w:themeColor="text1"/>
          <w:sz w:val="16"/>
          <w:szCs w:val="16"/>
        </w:rPr>
      </w:pPr>
      <w:r w:rsidRPr="00507A31">
        <w:rPr>
          <w:color w:val="000000" w:themeColor="text1"/>
          <w:sz w:val="16"/>
          <w:szCs w:val="16"/>
        </w:rPr>
        <w:t>б) Слабое использование поверхностей нагрева, проводившееся как общее мероприятие, весьма сильно удорожало котельную. Так, например, вместо возможных паранапр[я]жений котлов обычно 50-70 кг/м2,час и выше при проектировании брались напряжения ок[оло] 40 кг/м2,час, увеличивая таким образом потребную поверхность нагрева и стоимость котлов примерно на 30-50 %. Воздушные подогреватели рассчитывались на очень низкие коэффициенты теплопередачи, а фактически работают часто с коэффициентами теплопередачи в 4-7 кол/м2Ц,час вместо возможных 14-16 и выше; таким образом и здесь получалась чрезмерная затрата полезностей нагрева в 2-3 раза и больше. Указанные перерасходы большей частью падали на валюту.</w:t>
      </w:r>
    </w:p>
    <w:p w14:paraId="687B178B" w14:textId="77777777" w:rsidR="00C50B8F" w:rsidRPr="00507A31" w:rsidRDefault="00C50B8F" w:rsidP="00507A31">
      <w:pPr>
        <w:jc w:val="both"/>
        <w:rPr>
          <w:color w:val="000000" w:themeColor="text1"/>
          <w:sz w:val="16"/>
          <w:szCs w:val="16"/>
        </w:rPr>
      </w:pPr>
      <w:r w:rsidRPr="00507A31">
        <w:rPr>
          <w:color w:val="000000" w:themeColor="text1"/>
          <w:sz w:val="16"/>
          <w:szCs w:val="16"/>
        </w:rPr>
        <w:t>в) Излишние и ненужные большие резервы, путем постановки лишних резервных котлов, вместо использования перегрузочной способности котельных агрегатов, также весьма значительно удорожали станции.</w:t>
      </w:r>
    </w:p>
    <w:p w14:paraId="55430FB5" w14:textId="77777777" w:rsidR="00C50B8F" w:rsidRPr="00507A31" w:rsidRDefault="00C50B8F" w:rsidP="00507A31">
      <w:pPr>
        <w:jc w:val="both"/>
        <w:rPr>
          <w:color w:val="000000" w:themeColor="text1"/>
          <w:sz w:val="16"/>
          <w:szCs w:val="16"/>
        </w:rPr>
      </w:pPr>
      <w:r w:rsidRPr="00507A31">
        <w:rPr>
          <w:color w:val="000000" w:themeColor="text1"/>
          <w:sz w:val="16"/>
          <w:szCs w:val="16"/>
        </w:rPr>
        <w:t>г) Чрезмерно большие здания станции, частью как результат влияния вышеуказанных факторов, а частью за счет ненужного увеличения кубатуры, благодаря нерациональной проектировки. Достаточно указать, что в то время, как у современных американских станций кубатура котельной составляет ок[оло] 0,6 м3/квтч, у ряда советских станций она часто доходит до 1,8 м3/квтч и выше, т. е. втрое превышает необходимые размеры. Надо при этом отметить еще ненужную роскошь и дороговизну отделки зданий.</w:t>
      </w:r>
    </w:p>
    <w:p w14:paraId="08BE65EE" w14:textId="77777777" w:rsidR="00C50B8F" w:rsidRPr="00507A31" w:rsidRDefault="00C50B8F" w:rsidP="00507A31">
      <w:pPr>
        <w:jc w:val="both"/>
        <w:rPr>
          <w:color w:val="000000" w:themeColor="text1"/>
          <w:sz w:val="16"/>
          <w:szCs w:val="16"/>
        </w:rPr>
      </w:pPr>
      <w:r w:rsidRPr="00507A31">
        <w:rPr>
          <w:color w:val="000000" w:themeColor="text1"/>
          <w:sz w:val="16"/>
          <w:szCs w:val="16"/>
        </w:rPr>
        <w:lastRenderedPageBreak/>
        <w:t>Не касаясь других технических деталей, можно в общем указать, что стоимость наших станций колебалась обычно ок[оло] 350 рб/квтч, доходя иногда до 400-450 рб/квтч, против возможной стоимости ок[оло] 250 рб/квтч; таким образом, стоимость станций получалась обычно процентов на 40 дороже, чем можно сделать, причем значительная доля этого перерасхода падала на валюту.</w:t>
      </w:r>
    </w:p>
    <w:p w14:paraId="0B590067" w14:textId="77777777" w:rsidR="00C50B8F" w:rsidRPr="00507A31" w:rsidRDefault="00C50B8F" w:rsidP="00507A31">
      <w:pPr>
        <w:jc w:val="both"/>
        <w:rPr>
          <w:color w:val="000000" w:themeColor="text1"/>
          <w:sz w:val="16"/>
          <w:szCs w:val="16"/>
        </w:rPr>
      </w:pPr>
      <w:r w:rsidRPr="00507A31">
        <w:rPr>
          <w:color w:val="000000" w:themeColor="text1"/>
          <w:sz w:val="16"/>
          <w:szCs w:val="16"/>
        </w:rPr>
        <w:t>Задержка теплофикации. Теплофикация представляет один из наиболее рациональных и эффективных путей в области энергетики, давая большую экономию топлива и капитальных затрат. Не выступая поэтому против бесспорных экономических преимуществ теплофикации,</w:t>
      </w:r>
    </w:p>
    <w:p w14:paraId="707137F2" w14:textId="77777777" w:rsidR="00C50B8F" w:rsidRPr="00507A31" w:rsidRDefault="00C50B8F" w:rsidP="00507A31">
      <w:pPr>
        <w:jc w:val="both"/>
        <w:rPr>
          <w:color w:val="000000" w:themeColor="text1"/>
          <w:sz w:val="16"/>
          <w:szCs w:val="16"/>
        </w:rPr>
      </w:pPr>
      <w:r w:rsidRPr="00507A31">
        <w:rPr>
          <w:color w:val="000000" w:themeColor="text1"/>
          <w:sz w:val="16"/>
          <w:szCs w:val="16"/>
        </w:rPr>
        <w:t>Промпартия сумела создать вначале, так сказать, насмешливое, несерьезное отношение к этой проблеме, указывая, например, по Москве возможные теплофикационные мощности порядка 40-50 тыс. квтч вместо вполне реальных 300-400 тыс. квтч. Точно также по Ленинграду Электроток отстаивал цифру ок[оло] 40 тыс. квт против возможных ок[оло] 150 тыс. квт.</w:t>
      </w:r>
    </w:p>
    <w:p w14:paraId="427C3886" w14:textId="77777777" w:rsidR="00C50B8F" w:rsidRPr="00507A31" w:rsidRDefault="00C50B8F" w:rsidP="00507A31">
      <w:pPr>
        <w:jc w:val="both"/>
        <w:rPr>
          <w:color w:val="000000" w:themeColor="text1"/>
          <w:sz w:val="16"/>
          <w:szCs w:val="16"/>
        </w:rPr>
      </w:pPr>
      <w:r w:rsidRPr="00507A31">
        <w:rPr>
          <w:color w:val="000000" w:themeColor="text1"/>
          <w:sz w:val="16"/>
          <w:szCs w:val="16"/>
        </w:rPr>
        <w:t>Опираясь, главным образом, на МОГЭС и Электроток, Промпартия достигла задержки теплофикации по крайней мере на 2 года.</w:t>
      </w:r>
    </w:p>
    <w:p w14:paraId="32913F07" w14:textId="77777777" w:rsidR="00C50B8F" w:rsidRPr="00507A31" w:rsidRDefault="00C50B8F" w:rsidP="00507A31">
      <w:pPr>
        <w:jc w:val="both"/>
        <w:rPr>
          <w:color w:val="000000" w:themeColor="text1"/>
          <w:sz w:val="16"/>
          <w:szCs w:val="16"/>
        </w:rPr>
      </w:pPr>
      <w:r w:rsidRPr="00507A31">
        <w:rPr>
          <w:color w:val="000000" w:themeColor="text1"/>
          <w:sz w:val="16"/>
          <w:szCs w:val="16"/>
        </w:rPr>
        <w:t>Растягивание времени постройки станций. Причиной длинных сроков постройки станций являлась прежде всего плохая организация аппарата в области электростроительства, почему для достижения этого от Промпартии почти не требовалось добавочных усилий. Фактически постройка электростанций тянулась по 21/2—4 года, особенно, если считать действительным окончанием строительства не торжественное открытие станции, а поступление ее в регулярную эксплоатацию, ибо так называемый период детских болезней или пробной эксплоатации растягивался иногда на месяцы. Между тем, за границей более крупные станции часто &lt;задерж&gt;ивают постройкой в сроки менее 1 года; в наших условиях, при нормальном ходе работ вполне возможно выстроить станцию в 11/2-2 года.</w:t>
      </w:r>
    </w:p>
    <w:p w14:paraId="092BBAED" w14:textId="77777777" w:rsidR="00C50B8F" w:rsidRPr="00507A31" w:rsidRDefault="00C50B8F" w:rsidP="00507A31">
      <w:pPr>
        <w:jc w:val="both"/>
        <w:rPr>
          <w:color w:val="000000" w:themeColor="text1"/>
          <w:sz w:val="16"/>
          <w:szCs w:val="16"/>
        </w:rPr>
      </w:pPr>
      <w:r w:rsidRPr="00507A31">
        <w:rPr>
          <w:color w:val="000000" w:themeColor="text1"/>
          <w:sz w:val="16"/>
          <w:szCs w:val="16"/>
        </w:rPr>
        <w:t>Среди других причин, вызывающих сильную задержку в строительстве станций, следует указать совершенно ненормальный порядок утверждения и прохождения проектов станций, применявшихся в Главэлектро до последнего времени и вызывавший большие задержки с заказом оборудования и ходок строительных работ. Наконец, самая процедура проведения [заказа] также вызывала длительные задержки и путаницу, приводя к несогласованности сроков прибытия отдельных частей оборудования и открывая широкое поле для всевозможных искусственных задержек постройки станции.</w:t>
      </w:r>
    </w:p>
    <w:p w14:paraId="6DAEBF3B" w14:textId="77777777" w:rsidR="00C50B8F" w:rsidRPr="00507A31" w:rsidRDefault="00C50B8F" w:rsidP="00507A31">
      <w:pPr>
        <w:jc w:val="both"/>
        <w:rPr>
          <w:color w:val="000000" w:themeColor="text1"/>
          <w:sz w:val="16"/>
          <w:szCs w:val="16"/>
        </w:rPr>
      </w:pPr>
      <w:r w:rsidRPr="00507A31">
        <w:rPr>
          <w:color w:val="000000" w:themeColor="text1"/>
          <w:sz w:val="16"/>
          <w:szCs w:val="16"/>
        </w:rPr>
        <w:t>Осуществление основных установок Промпартии в области энергетики обеспечивалось тем, что основные органы, решающие данные вопросы, целиком находились в руках Промпартии. А именно, утверждение проектов производили в ЦЭСе, президиум и основные работники коего ОСАДЧИЙ, ВАШКОВ, КАМЕНЕЦКИЙ, СУШКИН, КИРПИЧНИКОВ, ЯНОВИЦКИЙ и я были членами Промпартии.</w:t>
      </w:r>
    </w:p>
    <w:p w14:paraId="63EB2FEB" w14:textId="77777777" w:rsidR="00C50B8F" w:rsidRPr="00507A31" w:rsidRDefault="00C50B8F" w:rsidP="00507A31">
      <w:pPr>
        <w:jc w:val="both"/>
        <w:rPr>
          <w:color w:val="000000" w:themeColor="text1"/>
          <w:sz w:val="16"/>
          <w:szCs w:val="16"/>
        </w:rPr>
      </w:pPr>
      <w:r w:rsidRPr="00507A31">
        <w:rPr>
          <w:color w:val="000000" w:themeColor="text1"/>
          <w:sz w:val="16"/>
          <w:szCs w:val="16"/>
        </w:rPr>
        <w:t>Планирование электростроительства шло в соответствии с установкой Промпартии, что обеспечивалось в Электроплане влиянием ее членов — КАМЕНЕЦКОГО и КУКЕЛЬ-КРАЕВСКОГО, а в Госплане — ОСАДЧЕГО, ГОРЕВА и ВАШКОВА.</w:t>
      </w:r>
    </w:p>
    <w:p w14:paraId="509A4361" w14:textId="77777777" w:rsidR="00C50B8F" w:rsidRPr="00507A31" w:rsidRDefault="00C50B8F" w:rsidP="00507A31">
      <w:pPr>
        <w:jc w:val="both"/>
        <w:rPr>
          <w:color w:val="000000" w:themeColor="text1"/>
          <w:sz w:val="16"/>
          <w:szCs w:val="16"/>
        </w:rPr>
      </w:pPr>
      <w:r w:rsidRPr="00507A31">
        <w:rPr>
          <w:color w:val="000000" w:themeColor="text1"/>
          <w:sz w:val="16"/>
          <w:szCs w:val="16"/>
        </w:rPr>
        <w:t>Проектирующий и энергостроительный орган, Энергострой, также находился под влиянием Промпартии через проф. Н. М. СУШКИНА и проф. М. В. КИРПИЧНИКОВА. Наконец, два крупнейших электрических объединения МОГЭС (Москва) и Электроток (Ленинград) тоже находились в руках Промпартии, благодаря ее членам В. Д. КИРПИЧНИКОВУ, В. И. ЯНОВИЦКОМУ, А. А. КОТОМИНУ и Т. Ф. МАКАРЬЕВУ.</w:t>
      </w:r>
    </w:p>
    <w:p w14:paraId="4917C77D" w14:textId="77777777" w:rsidR="00C50B8F" w:rsidRPr="00507A31" w:rsidRDefault="00C50B8F" w:rsidP="00507A31">
      <w:pPr>
        <w:jc w:val="both"/>
        <w:rPr>
          <w:color w:val="000000" w:themeColor="text1"/>
          <w:sz w:val="16"/>
          <w:szCs w:val="16"/>
        </w:rPr>
      </w:pPr>
      <w:r w:rsidRPr="00507A31">
        <w:rPr>
          <w:color w:val="000000" w:themeColor="text1"/>
          <w:sz w:val="16"/>
          <w:szCs w:val="16"/>
        </w:rPr>
        <w:t>Общее руководство работой Промпартии в области энергетики осуществлялось мною.</w:t>
      </w:r>
    </w:p>
    <w:p w14:paraId="304CEBCA" w14:textId="77777777" w:rsidR="00C50B8F" w:rsidRPr="00507A31" w:rsidRDefault="00C50B8F" w:rsidP="00507A31">
      <w:pPr>
        <w:jc w:val="both"/>
        <w:rPr>
          <w:color w:val="000000" w:themeColor="text1"/>
          <w:sz w:val="16"/>
          <w:szCs w:val="16"/>
        </w:rPr>
      </w:pPr>
      <w:r w:rsidRPr="00507A31">
        <w:rPr>
          <w:color w:val="000000" w:themeColor="text1"/>
          <w:sz w:val="16"/>
          <w:szCs w:val="16"/>
        </w:rPr>
        <w:t>Транспорт. Общее руководство работой Промпартии в области транспорта осуществлялось сначала инж. П. И. КРАСОВСКИМ и П. С. ЯНУШЕВСКИМ, а после их ареста — ЛАРИЧЕВЫМ и КОГАН- БЕРНШТЕЙН.</w:t>
      </w:r>
    </w:p>
    <w:p w14:paraId="11FE7502" w14:textId="77777777" w:rsidR="00C50B8F" w:rsidRPr="00507A31" w:rsidRDefault="00C50B8F" w:rsidP="00507A31">
      <w:pPr>
        <w:jc w:val="both"/>
        <w:rPr>
          <w:color w:val="000000" w:themeColor="text1"/>
          <w:sz w:val="16"/>
          <w:szCs w:val="16"/>
        </w:rPr>
      </w:pPr>
      <w:r w:rsidRPr="00507A31">
        <w:rPr>
          <w:color w:val="000000" w:themeColor="text1"/>
          <w:sz w:val="16"/>
          <w:szCs w:val="16"/>
        </w:rPr>
        <w:t>Я могу указать лишь общие директивные направления деятельности Промпартии в этой области:</w:t>
      </w:r>
    </w:p>
    <w:p w14:paraId="69DB9249" w14:textId="77777777" w:rsidR="00C50B8F" w:rsidRPr="00507A31" w:rsidRDefault="00C50B8F" w:rsidP="00507A31">
      <w:pPr>
        <w:jc w:val="both"/>
        <w:rPr>
          <w:color w:val="000000" w:themeColor="text1"/>
          <w:sz w:val="16"/>
          <w:szCs w:val="16"/>
        </w:rPr>
      </w:pPr>
      <w:r w:rsidRPr="00507A31">
        <w:rPr>
          <w:color w:val="000000" w:themeColor="text1"/>
          <w:sz w:val="16"/>
          <w:szCs w:val="16"/>
        </w:rPr>
        <w:t>а) Неправильное и нерациональное использование подвижного состава и паровозов с передачей годных паровозов на кладбища и т. п.</w:t>
      </w:r>
    </w:p>
    <w:p w14:paraId="2787DC14" w14:textId="77777777" w:rsidR="00C50B8F" w:rsidRPr="00507A31" w:rsidRDefault="00C50B8F" w:rsidP="00507A31">
      <w:pPr>
        <w:jc w:val="both"/>
        <w:rPr>
          <w:color w:val="000000" w:themeColor="text1"/>
          <w:sz w:val="16"/>
          <w:szCs w:val="16"/>
        </w:rPr>
      </w:pPr>
      <w:r w:rsidRPr="00507A31">
        <w:rPr>
          <w:color w:val="000000" w:themeColor="text1"/>
          <w:sz w:val="16"/>
          <w:szCs w:val="16"/>
        </w:rPr>
        <w:t>б) Задержка развития провозоспособности по важнейшим направлениям — Донбасс — Москва, Кузбасс — Урал и др., ставящая под удар и вопросы топливоснабжения: для этих важнейших направлений не имелось даже проектов.</w:t>
      </w:r>
    </w:p>
    <w:p w14:paraId="2212B1C6" w14:textId="77777777" w:rsidR="00C50B8F" w:rsidRPr="00507A31" w:rsidRDefault="00C50B8F" w:rsidP="00507A31">
      <w:pPr>
        <w:jc w:val="both"/>
        <w:rPr>
          <w:color w:val="000000" w:themeColor="text1"/>
          <w:sz w:val="16"/>
          <w:szCs w:val="16"/>
        </w:rPr>
      </w:pPr>
      <w:r w:rsidRPr="00507A31">
        <w:rPr>
          <w:color w:val="000000" w:themeColor="text1"/>
          <w:sz w:val="16"/>
          <w:szCs w:val="16"/>
        </w:rPr>
        <w:t>в) При полной неизбежности в ближайшем будущем острого дефицита спекающихся углей в Донбассе не принято никаких мер для подготовки к рациональному сжиганию неспекающихся углей на паровозах, несмотря на то, что этот вопрос является одн[ой] из кардинальных и решающих проблем топливоснабжения вообще и желдорог, в частности; оттягивание решения этого вопроса ставит транспорт перед угрозой кризиса и даже катастрофы в случае перерыва подачи донецкого угля.</w:t>
      </w:r>
    </w:p>
    <w:p w14:paraId="423ACFD9" w14:textId="77777777" w:rsidR="00C50B8F" w:rsidRPr="00507A31" w:rsidRDefault="00C50B8F" w:rsidP="00507A31">
      <w:pPr>
        <w:jc w:val="both"/>
        <w:rPr>
          <w:color w:val="000000" w:themeColor="text1"/>
          <w:sz w:val="16"/>
          <w:szCs w:val="16"/>
        </w:rPr>
      </w:pPr>
      <w:r w:rsidRPr="00507A31">
        <w:rPr>
          <w:color w:val="000000" w:themeColor="text1"/>
          <w:sz w:val="16"/>
          <w:szCs w:val="16"/>
        </w:rPr>
        <w:t>г) Недостаточное развитие вагонного парка и платформ, приведшие к 1930 году [к] перебоям в погрузке грузов.</w:t>
      </w:r>
    </w:p>
    <w:p w14:paraId="65448648" w14:textId="77777777" w:rsidR="00C50B8F" w:rsidRPr="00507A31" w:rsidRDefault="00C50B8F" w:rsidP="00507A31">
      <w:pPr>
        <w:jc w:val="both"/>
        <w:rPr>
          <w:color w:val="000000" w:themeColor="text1"/>
          <w:sz w:val="16"/>
          <w:szCs w:val="16"/>
        </w:rPr>
      </w:pPr>
      <w:r w:rsidRPr="00507A31">
        <w:rPr>
          <w:color w:val="000000" w:themeColor="text1"/>
          <w:sz w:val="16"/>
          <w:szCs w:val="16"/>
        </w:rPr>
        <w:t>д) Задержка развития нефтеналивного флота, являющегося узким местом нефтеснабжения.</w:t>
      </w:r>
    </w:p>
    <w:p w14:paraId="10E058D1" w14:textId="77777777" w:rsidR="00C50B8F" w:rsidRPr="00507A31" w:rsidRDefault="00C50B8F" w:rsidP="00507A31">
      <w:pPr>
        <w:jc w:val="both"/>
        <w:rPr>
          <w:color w:val="000000" w:themeColor="text1"/>
          <w:sz w:val="16"/>
          <w:szCs w:val="16"/>
        </w:rPr>
      </w:pPr>
      <w:r w:rsidRPr="00507A31">
        <w:rPr>
          <w:color w:val="000000" w:themeColor="text1"/>
          <w:sz w:val="16"/>
          <w:szCs w:val="16"/>
        </w:rPr>
        <w:t>Химия. Общее руководство осуществлялось здесь инж. С. Д. ШЕИНЫМ, В. П. К[А]МЗОЛКИНЫМ и В. П. КРАВЕЦ.</w:t>
      </w:r>
    </w:p>
    <w:p w14:paraId="09BC098B" w14:textId="77777777" w:rsidR="00C50B8F" w:rsidRPr="00507A31" w:rsidRDefault="00C50B8F" w:rsidP="00507A31">
      <w:pPr>
        <w:jc w:val="both"/>
        <w:rPr>
          <w:color w:val="000000" w:themeColor="text1"/>
          <w:sz w:val="16"/>
          <w:szCs w:val="16"/>
        </w:rPr>
      </w:pPr>
      <w:r w:rsidRPr="00507A31">
        <w:rPr>
          <w:color w:val="000000" w:themeColor="text1"/>
          <w:sz w:val="16"/>
          <w:szCs w:val="16"/>
        </w:rPr>
        <w:t>Я отмечу здесь лишь немногие, известные мне, линии работ Промпартии:</w:t>
      </w:r>
    </w:p>
    <w:p w14:paraId="0DC6D524" w14:textId="77777777" w:rsidR="00C50B8F" w:rsidRPr="00507A31" w:rsidRDefault="00C50B8F" w:rsidP="00507A31">
      <w:pPr>
        <w:jc w:val="both"/>
        <w:rPr>
          <w:color w:val="000000" w:themeColor="text1"/>
          <w:sz w:val="16"/>
          <w:szCs w:val="16"/>
        </w:rPr>
      </w:pPr>
      <w:r w:rsidRPr="00507A31">
        <w:rPr>
          <w:color w:val="000000" w:themeColor="text1"/>
          <w:sz w:val="16"/>
          <w:szCs w:val="16"/>
        </w:rPr>
        <w:t>а) В области коксо-бензольной промышленности основная установка была взята на минимальные темпы развития коксовых печей, в соответствии с минимальной пятилеткой по чугуну, т. е. примерно вдвое ниже потребного. Далее весьма существенной являлась пропаганда постройки коксовых печей на металлургических заводах; с точки зрения целесообразного использования коксовых газов такое решение имеет серьезные основания; однако, в виду того, что многие донецкие угли не выдерживают хранения, давая уже через 1-2 месяца значительное ухудшение качества кокса, для таких углей является уже обязательной постройка коксовых печей при шахтах. Таким образом, постройка коксовых печей при заводах, в условиях Донбасса, создает в ряде случаев серьезную угрозу возможности получения хорошего кокса. В 1920 г. задержка развития коксовальных завозов угля привела к перебоям в снабжении коксом.</w:t>
      </w:r>
    </w:p>
    <w:p w14:paraId="1FEB9009" w14:textId="77777777" w:rsidR="00C50B8F" w:rsidRPr="00507A31" w:rsidRDefault="00C50B8F" w:rsidP="00507A31">
      <w:pPr>
        <w:jc w:val="both"/>
        <w:rPr>
          <w:color w:val="000000" w:themeColor="text1"/>
          <w:sz w:val="16"/>
          <w:szCs w:val="16"/>
        </w:rPr>
      </w:pPr>
      <w:r w:rsidRPr="00507A31">
        <w:rPr>
          <w:color w:val="000000" w:themeColor="text1"/>
          <w:sz w:val="16"/>
          <w:szCs w:val="16"/>
        </w:rPr>
        <w:t>б) Пропаганда дальнего возоснабжения, сложной переработки и облагораживания особенно низкосортных топлив — торфа и подмосковного угля, вообще отвечала директиве Промпартии — омертвленных капиталов, путем вложения их в дорогое, нерентабельное строительство. Эта пропаганда вместе с тем отвлекла внимание торфяников и подмосковного бассейна от основной и жизненной задачи — удешевления себестоимости и приспособления потребителей для их рационального сжигания.</w:t>
      </w:r>
    </w:p>
    <w:p w14:paraId="2B016776" w14:textId="77777777" w:rsidR="00C50B8F" w:rsidRPr="00507A31" w:rsidRDefault="00C50B8F" w:rsidP="00507A31">
      <w:pPr>
        <w:jc w:val="both"/>
        <w:rPr>
          <w:color w:val="000000" w:themeColor="text1"/>
          <w:sz w:val="16"/>
          <w:szCs w:val="16"/>
        </w:rPr>
      </w:pPr>
      <w:r w:rsidRPr="00507A31">
        <w:rPr>
          <w:color w:val="000000" w:themeColor="text1"/>
          <w:sz w:val="16"/>
          <w:szCs w:val="16"/>
        </w:rPr>
        <w:t>Эта линия усиленно проводилась через Москвугль и ЦУТОРФ работниками Промпартии — профессором ФОКИНЫМ, инж. СОЛОДОВНИКОВЫМ, проф. СОЛОВЬЕВЫМ, инж. ЦВАНЦИГЕР, инж. Н. Н. ГАВРИЛОВЫМ и инж. ГУРФИНКЕЛЬ.</w:t>
      </w:r>
    </w:p>
    <w:p w14:paraId="6FEAEA90" w14:textId="77777777" w:rsidR="00C50B8F" w:rsidRPr="00507A31" w:rsidRDefault="00C50B8F" w:rsidP="00507A31">
      <w:pPr>
        <w:jc w:val="both"/>
        <w:rPr>
          <w:color w:val="000000" w:themeColor="text1"/>
          <w:sz w:val="16"/>
          <w:szCs w:val="16"/>
        </w:rPr>
      </w:pPr>
      <w:r w:rsidRPr="00507A31">
        <w:rPr>
          <w:color w:val="000000" w:themeColor="text1"/>
          <w:sz w:val="16"/>
          <w:szCs w:val="16"/>
        </w:rPr>
        <w:t>в) Задержка развития сернокислотной промышленности, как основной для оборонных целей, систематически проводилась в жизнь как путем проведения минимальных планов, так и их недовыполнения.</w:t>
      </w:r>
    </w:p>
    <w:p w14:paraId="22358835" w14:textId="77777777" w:rsidR="00C50B8F" w:rsidRPr="00507A31" w:rsidRDefault="00C50B8F" w:rsidP="00507A31">
      <w:pPr>
        <w:jc w:val="both"/>
        <w:rPr>
          <w:color w:val="000000" w:themeColor="text1"/>
          <w:sz w:val="16"/>
          <w:szCs w:val="16"/>
        </w:rPr>
      </w:pPr>
      <w:r w:rsidRPr="00507A31">
        <w:rPr>
          <w:color w:val="000000" w:themeColor="text1"/>
          <w:sz w:val="16"/>
          <w:szCs w:val="16"/>
        </w:rPr>
        <w:t>Текстиль. Здесь поддерживалась диспропорция между производственной мощностью текстильных фабрик и наличием сырья, обуславливавшая недогрузку фабрик. Наряду с этим задерживалось введение новых отечественных текстильных материалов.</w:t>
      </w:r>
    </w:p>
    <w:p w14:paraId="7AB71053" w14:textId="77777777" w:rsidR="00C50B8F" w:rsidRPr="00507A31" w:rsidRDefault="00C50B8F" w:rsidP="00507A31">
      <w:pPr>
        <w:jc w:val="both"/>
        <w:rPr>
          <w:color w:val="000000" w:themeColor="text1"/>
          <w:sz w:val="16"/>
          <w:szCs w:val="16"/>
        </w:rPr>
      </w:pPr>
      <w:r w:rsidRPr="00507A31">
        <w:rPr>
          <w:color w:val="000000" w:themeColor="text1"/>
          <w:sz w:val="16"/>
          <w:szCs w:val="16"/>
        </w:rPr>
        <w:t>Основные руководители, А. А. ФЕДОТОВ, КУПРИЯНОВ, а также А. А. НОЛЬДЕ, ЛОПАТИН и др.</w:t>
      </w:r>
    </w:p>
    <w:p w14:paraId="5BFA2D65" w14:textId="77777777" w:rsidR="00C50B8F" w:rsidRPr="00507A31" w:rsidRDefault="00C50B8F" w:rsidP="00507A31">
      <w:pPr>
        <w:jc w:val="both"/>
        <w:rPr>
          <w:color w:val="000000" w:themeColor="text1"/>
          <w:sz w:val="16"/>
          <w:szCs w:val="16"/>
        </w:rPr>
      </w:pPr>
      <w:r w:rsidRPr="00507A31">
        <w:rPr>
          <w:color w:val="000000" w:themeColor="text1"/>
          <w:sz w:val="16"/>
          <w:szCs w:val="16"/>
        </w:rPr>
        <w:t>Механизация сельского хозяйства. Задержка программы тракторизации видна из сопоставления начальной программы ок[оло] 150 тыс. штук тракторов с последней наметкой ок[оло] 900 тыс. штук.</w:t>
      </w:r>
    </w:p>
    <w:p w14:paraId="27AC759A" w14:textId="77777777" w:rsidR="00C50B8F" w:rsidRPr="00507A31" w:rsidRDefault="00C50B8F" w:rsidP="00507A31">
      <w:pPr>
        <w:jc w:val="both"/>
        <w:rPr>
          <w:color w:val="000000" w:themeColor="text1"/>
          <w:sz w:val="16"/>
          <w:szCs w:val="16"/>
        </w:rPr>
      </w:pPr>
      <w:r w:rsidRPr="00507A31">
        <w:rPr>
          <w:color w:val="000000" w:themeColor="text1"/>
          <w:sz w:val="16"/>
          <w:szCs w:val="16"/>
        </w:rPr>
        <w:t>Крупная диспропорция была создана между потребностью в бензине для тракторов и нефтяной программой, которую увеличили до нереальной цифры — 42 мил. тонн добычи при пуске 110-120 крекинг- установок. Вместе с тем питание тракторов кре[к]инг-бензином явно невыгодно, как по величине капиталовложений, так и по громадным годичным перерасходам поряд[ка] 500-700 мил. руб. в год, и, главным образом, валютой. Эти установки проводились по линии научного автомоторного института (НАМИ) и нефтепромышленности, причем первый совершенно игнорировал крайне актуальные и необходимые работы по применению тяжелого топлива на тракторах, при посредстве легких дятелей из нефтяных двигателей, а также по применению газогенераторных тракторов на соломе или на древесном топливе.</w:t>
      </w:r>
    </w:p>
    <w:p w14:paraId="1E285CBB" w14:textId="77777777" w:rsidR="00C50B8F" w:rsidRPr="00507A31" w:rsidRDefault="00C50B8F" w:rsidP="00507A31">
      <w:pPr>
        <w:jc w:val="both"/>
        <w:rPr>
          <w:color w:val="000000" w:themeColor="text1"/>
          <w:sz w:val="16"/>
          <w:szCs w:val="16"/>
        </w:rPr>
      </w:pPr>
      <w:r w:rsidRPr="00507A31">
        <w:rPr>
          <w:color w:val="000000" w:themeColor="text1"/>
          <w:sz w:val="16"/>
          <w:szCs w:val="16"/>
        </w:rPr>
        <w:t>Т.К.П.</w:t>
      </w:r>
    </w:p>
    <w:p w14:paraId="0D7A25DD" w14:textId="77777777" w:rsidR="00C50B8F" w:rsidRPr="00507A31" w:rsidRDefault="00C50B8F" w:rsidP="00507A31">
      <w:pPr>
        <w:jc w:val="both"/>
        <w:rPr>
          <w:color w:val="000000" w:themeColor="text1"/>
          <w:sz w:val="16"/>
          <w:szCs w:val="16"/>
        </w:rPr>
      </w:pPr>
      <w:r w:rsidRPr="00507A31">
        <w:rPr>
          <w:color w:val="000000" w:themeColor="text1"/>
          <w:sz w:val="16"/>
          <w:szCs w:val="16"/>
        </w:rPr>
        <w:t>Находясь в блоке с ТКП, Промпартия рас[с]читывала на то, что промышленный кризис будет сопровождаться продовольственным кризисом, вызванным как естественными причинами, так и искусственными мерами ТКП, как-то агитация и пропаганда [в] крестьянских и красноармейских массах, а также работа ТКП в области кооперации. Работа ТКП координировалась с работой Промпартии так, чтобы к 1930 году вызвать разгар продовольственного кризиса, волнения и восстания в крестьянских, армейских и рабочих массах.</w:t>
      </w:r>
    </w:p>
    <w:p w14:paraId="220B3E0B" w14:textId="77777777" w:rsidR="00C50B8F" w:rsidRPr="00507A31" w:rsidRDefault="00C50B8F" w:rsidP="00507A31">
      <w:pPr>
        <w:jc w:val="both"/>
        <w:rPr>
          <w:color w:val="000000" w:themeColor="text1"/>
          <w:sz w:val="16"/>
          <w:szCs w:val="16"/>
        </w:rPr>
      </w:pPr>
      <w:r w:rsidRPr="00507A31">
        <w:rPr>
          <w:color w:val="000000" w:themeColor="text1"/>
          <w:sz w:val="16"/>
          <w:szCs w:val="16"/>
        </w:rPr>
        <w:t>Вместе с тем, ведя линию на максимальные затраты валюты Промпартия рас [считывала на помощь ТКП, благодаря ее влиянию в Наркомфине, в смысле задержки выпуска валюты и еще большего обострения этим общего кризиса.</w:t>
      </w:r>
    </w:p>
    <w:p w14:paraId="2457ECA9" w14:textId="77777777" w:rsidR="00C50B8F" w:rsidRPr="00507A31" w:rsidRDefault="00C50B8F" w:rsidP="00507A31">
      <w:pPr>
        <w:jc w:val="both"/>
        <w:rPr>
          <w:color w:val="000000" w:themeColor="text1"/>
          <w:sz w:val="16"/>
          <w:szCs w:val="16"/>
        </w:rPr>
      </w:pPr>
      <w:r w:rsidRPr="00507A31">
        <w:rPr>
          <w:color w:val="000000" w:themeColor="text1"/>
          <w:sz w:val="16"/>
          <w:szCs w:val="16"/>
        </w:rPr>
        <w:t>Итак, ряд мероприятий, проведенных Промпартией, давал ей уверенность, что к намеченному сроку — к лету 1930 года — создавшиеся затруднения и кризисы при помощи волнений и бунтов, с одной стороны, а диверсионных мероприятий, с другой, превратятся в катастрофу и приведут к полному параличу народно-хозяйственной жизни, при котором интервенты смогут без больших усилий достичь своей цели.</w:t>
      </w:r>
    </w:p>
    <w:p w14:paraId="5C1EDFDE" w14:textId="77777777" w:rsidR="00C50B8F" w:rsidRPr="00507A31" w:rsidRDefault="00C50B8F" w:rsidP="00507A31">
      <w:pPr>
        <w:jc w:val="both"/>
        <w:rPr>
          <w:color w:val="000000" w:themeColor="text1"/>
          <w:sz w:val="16"/>
          <w:szCs w:val="16"/>
        </w:rPr>
      </w:pPr>
      <w:r w:rsidRPr="00507A31">
        <w:rPr>
          <w:color w:val="000000" w:themeColor="text1"/>
          <w:sz w:val="16"/>
          <w:szCs w:val="16"/>
        </w:rPr>
        <w:t>Л. РАМЗИН.</w:t>
      </w:r>
    </w:p>
    <w:p w14:paraId="277F24A3" w14:textId="77777777" w:rsidR="00C50B8F" w:rsidRPr="00507A31" w:rsidRDefault="00C50B8F" w:rsidP="00507A31">
      <w:pPr>
        <w:jc w:val="both"/>
        <w:rPr>
          <w:color w:val="000000" w:themeColor="text1"/>
          <w:sz w:val="16"/>
          <w:szCs w:val="16"/>
        </w:rPr>
      </w:pPr>
      <w:r w:rsidRPr="00507A31">
        <w:rPr>
          <w:color w:val="000000" w:themeColor="text1"/>
          <w:sz w:val="16"/>
          <w:szCs w:val="16"/>
        </w:rPr>
        <w:t>ДОПРОСИЛИ: НАЧ. СООГПУ АГРАНОВ</w:t>
      </w:r>
    </w:p>
    <w:p w14:paraId="53AD44A6" w14:textId="77777777" w:rsidR="00C50B8F" w:rsidRPr="00507A31" w:rsidRDefault="00C50B8F" w:rsidP="00507A31">
      <w:pPr>
        <w:jc w:val="both"/>
        <w:rPr>
          <w:color w:val="000000" w:themeColor="text1"/>
          <w:sz w:val="16"/>
          <w:szCs w:val="16"/>
        </w:rPr>
      </w:pPr>
      <w:r w:rsidRPr="00507A31">
        <w:rPr>
          <w:color w:val="000000" w:themeColor="text1"/>
          <w:sz w:val="16"/>
          <w:szCs w:val="16"/>
        </w:rPr>
        <w:t>И ПОМНАЧ. 3 ОТДЕЛЕНИЯ] СООГПУ РАДЗИВИЛОВСКИЙ.</w:t>
      </w:r>
    </w:p>
    <w:tbl>
      <w:tblPr>
        <w:tblW w:w="41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63"/>
        <w:gridCol w:w="447"/>
        <w:gridCol w:w="460"/>
      </w:tblGrid>
      <w:tr w:rsidR="00E371BA" w:rsidRPr="00507A31" w14:paraId="2B62BBE0" w14:textId="77777777" w:rsidTr="00BB5927">
        <w:trPr>
          <w:trHeight w:val="285"/>
        </w:trPr>
        <w:tc>
          <w:tcPr>
            <w:tcW w:w="0" w:type="auto"/>
            <w:tcBorders>
              <w:top w:val="outset" w:sz="6" w:space="0" w:color="auto"/>
              <w:left w:val="outset" w:sz="6" w:space="0" w:color="auto"/>
              <w:bottom w:val="outset" w:sz="6" w:space="0" w:color="auto"/>
              <w:right w:val="outset" w:sz="6" w:space="0" w:color="auto"/>
            </w:tcBorders>
            <w:vAlign w:val="center"/>
            <w:hideMark/>
          </w:tcPr>
          <w:p w14:paraId="392F806D" w14:textId="77777777" w:rsidR="00C50B8F" w:rsidRPr="00507A31" w:rsidRDefault="00C50B8F" w:rsidP="00507A31">
            <w:pPr>
              <w:jc w:val="both"/>
              <w:rPr>
                <w:color w:val="000000" w:themeColor="text1"/>
                <w:sz w:val="16"/>
                <w:szCs w:val="16"/>
              </w:rPr>
            </w:pPr>
            <w:r w:rsidRPr="00507A31">
              <w:rPr>
                <w:color w:val="000000" w:themeColor="text1"/>
                <w:sz w:val="16"/>
                <w:szCs w:val="16"/>
              </w:rPr>
              <w:t>Оглавление: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EB38E" w14:textId="77777777" w:rsidR="00C50B8F" w:rsidRPr="00507A31" w:rsidRDefault="00C50B8F" w:rsidP="00507A31">
            <w:pPr>
              <w:jc w:val="both"/>
              <w:rPr>
                <w:color w:val="000000" w:themeColor="text1"/>
                <w:sz w:val="16"/>
                <w:szCs w:val="16"/>
              </w:rPr>
            </w:pPr>
            <w:r w:rsidRPr="00507A31">
              <w:rPr>
                <w:color w:val="000000" w:themeColor="text1"/>
                <w:sz w:val="16"/>
                <w:szCs w:val="16"/>
              </w:rPr>
              <w:t>со стр.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B463F" w14:textId="77777777" w:rsidR="00C50B8F" w:rsidRPr="00507A31" w:rsidRDefault="00C50B8F" w:rsidP="00507A31">
            <w:pPr>
              <w:jc w:val="both"/>
              <w:rPr>
                <w:color w:val="000000" w:themeColor="text1"/>
                <w:sz w:val="16"/>
                <w:szCs w:val="16"/>
              </w:rPr>
            </w:pPr>
            <w:r w:rsidRPr="00507A31">
              <w:rPr>
                <w:color w:val="000000" w:themeColor="text1"/>
                <w:sz w:val="16"/>
                <w:szCs w:val="16"/>
              </w:rPr>
              <w:t>по стр.</w:t>
            </w:r>
          </w:p>
        </w:tc>
      </w:tr>
      <w:tr w:rsidR="00E371BA" w:rsidRPr="00507A31" w14:paraId="3EE34A0C" w14:textId="77777777" w:rsidTr="00BB5927">
        <w:trPr>
          <w:trHeight w:val="765"/>
        </w:trPr>
        <w:tc>
          <w:tcPr>
            <w:tcW w:w="0" w:type="auto"/>
            <w:tcBorders>
              <w:top w:val="outset" w:sz="6" w:space="0" w:color="auto"/>
              <w:left w:val="outset" w:sz="6" w:space="0" w:color="auto"/>
              <w:bottom w:val="outset" w:sz="6" w:space="0" w:color="auto"/>
              <w:right w:val="outset" w:sz="6" w:space="0" w:color="auto"/>
            </w:tcBorders>
            <w:vAlign w:val="center"/>
            <w:hideMark/>
          </w:tcPr>
          <w:p w14:paraId="05CE43D0" w14:textId="77777777" w:rsidR="00C50B8F" w:rsidRPr="00507A31" w:rsidRDefault="00C50B8F" w:rsidP="00507A31">
            <w:pPr>
              <w:jc w:val="both"/>
              <w:rPr>
                <w:color w:val="000000" w:themeColor="text1"/>
                <w:sz w:val="16"/>
                <w:szCs w:val="16"/>
              </w:rPr>
            </w:pPr>
            <w:r w:rsidRPr="00507A31">
              <w:rPr>
                <w:color w:val="000000" w:themeColor="text1"/>
                <w:sz w:val="16"/>
                <w:szCs w:val="16"/>
              </w:rPr>
              <w:t>1. Протокол допроса РАМЗИНА Л. К. от 3/XI-30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4852" w14:textId="77777777" w:rsidR="00C50B8F" w:rsidRPr="00507A31" w:rsidRDefault="00C50B8F" w:rsidP="00507A31">
            <w:pPr>
              <w:jc w:val="both"/>
              <w:rPr>
                <w:color w:val="000000" w:themeColor="text1"/>
                <w:sz w:val="16"/>
                <w:szCs w:val="16"/>
              </w:rPr>
            </w:pPr>
            <w:r w:rsidRPr="00507A31">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F4FC0" w14:textId="77777777" w:rsidR="00C50B8F" w:rsidRPr="00507A31" w:rsidRDefault="00C50B8F" w:rsidP="00507A31">
            <w:pPr>
              <w:jc w:val="both"/>
              <w:rPr>
                <w:color w:val="000000" w:themeColor="text1"/>
                <w:sz w:val="16"/>
                <w:szCs w:val="16"/>
              </w:rPr>
            </w:pPr>
            <w:r w:rsidRPr="00507A31">
              <w:rPr>
                <w:color w:val="000000" w:themeColor="text1"/>
                <w:sz w:val="16"/>
                <w:szCs w:val="16"/>
              </w:rPr>
              <w:t>14</w:t>
            </w:r>
          </w:p>
        </w:tc>
      </w:tr>
      <w:tr w:rsidR="00E371BA" w:rsidRPr="00507A31" w14:paraId="40E594E9" w14:textId="77777777" w:rsidTr="00BB5927">
        <w:trPr>
          <w:trHeight w:val="285"/>
        </w:trPr>
        <w:tc>
          <w:tcPr>
            <w:tcW w:w="0" w:type="auto"/>
            <w:tcBorders>
              <w:top w:val="outset" w:sz="6" w:space="0" w:color="auto"/>
              <w:left w:val="outset" w:sz="6" w:space="0" w:color="auto"/>
              <w:bottom w:val="outset" w:sz="6" w:space="0" w:color="auto"/>
              <w:right w:val="outset" w:sz="6" w:space="0" w:color="auto"/>
            </w:tcBorders>
            <w:vAlign w:val="center"/>
            <w:hideMark/>
          </w:tcPr>
          <w:p w14:paraId="309C8B46" w14:textId="77777777" w:rsidR="00C50B8F" w:rsidRPr="00507A31" w:rsidRDefault="00C50B8F" w:rsidP="00507A31">
            <w:pPr>
              <w:jc w:val="both"/>
              <w:rPr>
                <w:color w:val="000000" w:themeColor="text1"/>
                <w:sz w:val="16"/>
                <w:szCs w:val="16"/>
              </w:rPr>
            </w:pPr>
            <w:r w:rsidRPr="00507A31">
              <w:rPr>
                <w:color w:val="000000" w:themeColor="text1"/>
                <w:sz w:val="16"/>
                <w:szCs w:val="16"/>
              </w:rPr>
              <w:t>2. ««РАМЗИН А Л. К.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7B8E7" w14:textId="77777777" w:rsidR="00C50B8F" w:rsidRPr="00507A31" w:rsidRDefault="00C50B8F" w:rsidP="00507A31">
            <w:pPr>
              <w:jc w:val="both"/>
              <w:rPr>
                <w:color w:val="000000" w:themeColor="text1"/>
                <w:sz w:val="16"/>
                <w:szCs w:val="16"/>
              </w:rPr>
            </w:pPr>
            <w:r w:rsidRPr="00507A31">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D196F" w14:textId="77777777" w:rsidR="00C50B8F" w:rsidRPr="00507A31" w:rsidRDefault="00C50B8F" w:rsidP="00507A31">
            <w:pPr>
              <w:jc w:val="both"/>
              <w:rPr>
                <w:color w:val="000000" w:themeColor="text1"/>
                <w:sz w:val="16"/>
                <w:szCs w:val="16"/>
              </w:rPr>
            </w:pPr>
            <w:r w:rsidRPr="00507A31">
              <w:rPr>
                <w:color w:val="000000" w:themeColor="text1"/>
                <w:sz w:val="16"/>
                <w:szCs w:val="16"/>
              </w:rPr>
              <w:t>20</w:t>
            </w:r>
          </w:p>
        </w:tc>
      </w:tr>
      <w:tr w:rsidR="00E371BA" w:rsidRPr="00507A31" w14:paraId="676DB788" w14:textId="77777777" w:rsidTr="00BB5927">
        <w:trPr>
          <w:trHeight w:val="510"/>
        </w:trPr>
        <w:tc>
          <w:tcPr>
            <w:tcW w:w="0" w:type="auto"/>
            <w:tcBorders>
              <w:top w:val="outset" w:sz="6" w:space="0" w:color="auto"/>
              <w:left w:val="outset" w:sz="6" w:space="0" w:color="auto"/>
              <w:bottom w:val="outset" w:sz="6" w:space="0" w:color="auto"/>
              <w:right w:val="outset" w:sz="6" w:space="0" w:color="auto"/>
            </w:tcBorders>
            <w:vAlign w:val="center"/>
            <w:hideMark/>
          </w:tcPr>
          <w:p w14:paraId="428E8EED" w14:textId="77777777" w:rsidR="00C50B8F" w:rsidRPr="00507A31" w:rsidRDefault="00C50B8F" w:rsidP="00507A31">
            <w:pPr>
              <w:jc w:val="both"/>
              <w:rPr>
                <w:color w:val="000000" w:themeColor="text1"/>
                <w:sz w:val="16"/>
                <w:szCs w:val="16"/>
              </w:rPr>
            </w:pPr>
            <w:r w:rsidRPr="00507A31">
              <w:rPr>
                <w:color w:val="000000" w:themeColor="text1"/>
                <w:sz w:val="16"/>
                <w:szCs w:val="16"/>
              </w:rPr>
              <w:lastRenderedPageBreak/>
              <w:t>3. « « ЧАРНОВСКОГО Н. Ф.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E0398" w14:textId="77777777" w:rsidR="00C50B8F" w:rsidRPr="00507A31" w:rsidRDefault="00C50B8F" w:rsidP="00507A31">
            <w:pPr>
              <w:jc w:val="both"/>
              <w:rPr>
                <w:color w:val="000000" w:themeColor="text1"/>
                <w:sz w:val="16"/>
                <w:szCs w:val="16"/>
              </w:rPr>
            </w:pPr>
            <w:r w:rsidRPr="00507A31">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CD4D5" w14:textId="77777777" w:rsidR="00C50B8F" w:rsidRPr="00507A31" w:rsidRDefault="00C50B8F" w:rsidP="00507A31">
            <w:pPr>
              <w:jc w:val="both"/>
              <w:rPr>
                <w:color w:val="000000" w:themeColor="text1"/>
                <w:sz w:val="16"/>
                <w:szCs w:val="16"/>
              </w:rPr>
            </w:pPr>
            <w:r w:rsidRPr="00507A31">
              <w:rPr>
                <w:color w:val="000000" w:themeColor="text1"/>
                <w:sz w:val="16"/>
                <w:szCs w:val="16"/>
              </w:rPr>
              <w:t>28</w:t>
            </w:r>
          </w:p>
        </w:tc>
      </w:tr>
      <w:tr w:rsidR="00E371BA" w:rsidRPr="00507A31" w14:paraId="23A77235" w14:textId="77777777" w:rsidTr="00BB5927">
        <w:trPr>
          <w:trHeight w:val="285"/>
        </w:trPr>
        <w:tc>
          <w:tcPr>
            <w:tcW w:w="0" w:type="auto"/>
            <w:tcBorders>
              <w:top w:val="outset" w:sz="6" w:space="0" w:color="auto"/>
              <w:left w:val="outset" w:sz="6" w:space="0" w:color="auto"/>
              <w:bottom w:val="outset" w:sz="6" w:space="0" w:color="auto"/>
              <w:right w:val="outset" w:sz="6" w:space="0" w:color="auto"/>
            </w:tcBorders>
            <w:vAlign w:val="center"/>
            <w:hideMark/>
          </w:tcPr>
          <w:p w14:paraId="7726D989" w14:textId="77777777" w:rsidR="00C50B8F" w:rsidRPr="00507A31" w:rsidRDefault="00C50B8F" w:rsidP="00507A31">
            <w:pPr>
              <w:jc w:val="both"/>
              <w:rPr>
                <w:color w:val="000000" w:themeColor="text1"/>
                <w:sz w:val="16"/>
                <w:szCs w:val="16"/>
              </w:rPr>
            </w:pPr>
            <w:r w:rsidRPr="00507A31">
              <w:rPr>
                <w:color w:val="000000" w:themeColor="text1"/>
                <w:sz w:val="16"/>
                <w:szCs w:val="16"/>
              </w:rPr>
              <w:t>4. «« ЛАРИЧЕВА В. 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443A6" w14:textId="77777777" w:rsidR="00C50B8F" w:rsidRPr="00507A31" w:rsidRDefault="00C50B8F" w:rsidP="00507A31">
            <w:pPr>
              <w:jc w:val="both"/>
              <w:rPr>
                <w:color w:val="000000" w:themeColor="text1"/>
                <w:sz w:val="16"/>
                <w:szCs w:val="16"/>
              </w:rPr>
            </w:pPr>
            <w:r w:rsidRPr="00507A31">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3F9EB" w14:textId="77777777" w:rsidR="00C50B8F" w:rsidRPr="00507A31" w:rsidRDefault="00C50B8F" w:rsidP="00507A31">
            <w:pPr>
              <w:jc w:val="both"/>
              <w:rPr>
                <w:color w:val="000000" w:themeColor="text1"/>
                <w:sz w:val="16"/>
                <w:szCs w:val="16"/>
              </w:rPr>
            </w:pPr>
            <w:r w:rsidRPr="00507A31">
              <w:rPr>
                <w:color w:val="000000" w:themeColor="text1"/>
                <w:sz w:val="16"/>
                <w:szCs w:val="16"/>
              </w:rPr>
              <w:t>35</w:t>
            </w:r>
          </w:p>
        </w:tc>
      </w:tr>
      <w:tr w:rsidR="00E371BA" w:rsidRPr="00507A31" w14:paraId="2B17FB43" w14:textId="77777777" w:rsidTr="00BB5927">
        <w:trPr>
          <w:trHeight w:val="510"/>
        </w:trPr>
        <w:tc>
          <w:tcPr>
            <w:tcW w:w="0" w:type="auto"/>
            <w:tcBorders>
              <w:top w:val="outset" w:sz="6" w:space="0" w:color="auto"/>
              <w:left w:val="outset" w:sz="6" w:space="0" w:color="auto"/>
              <w:bottom w:val="outset" w:sz="6" w:space="0" w:color="auto"/>
              <w:right w:val="outset" w:sz="6" w:space="0" w:color="auto"/>
            </w:tcBorders>
            <w:vAlign w:val="center"/>
            <w:hideMark/>
          </w:tcPr>
          <w:p w14:paraId="69D519D1" w14:textId="77777777" w:rsidR="00C50B8F" w:rsidRPr="00507A31" w:rsidRDefault="00C50B8F" w:rsidP="00507A31">
            <w:pPr>
              <w:jc w:val="both"/>
              <w:rPr>
                <w:color w:val="000000" w:themeColor="text1"/>
                <w:sz w:val="16"/>
                <w:szCs w:val="16"/>
              </w:rPr>
            </w:pPr>
            <w:r w:rsidRPr="00507A31">
              <w:rPr>
                <w:color w:val="000000" w:themeColor="text1"/>
                <w:sz w:val="16"/>
                <w:szCs w:val="16"/>
              </w:rPr>
              <w:t>5. « « КАЛИННИКОВА И.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C5A77" w14:textId="77777777" w:rsidR="00C50B8F" w:rsidRPr="00507A31" w:rsidRDefault="00C50B8F" w:rsidP="00507A31">
            <w:pPr>
              <w:jc w:val="both"/>
              <w:rPr>
                <w:color w:val="000000" w:themeColor="text1"/>
                <w:sz w:val="16"/>
                <w:szCs w:val="16"/>
              </w:rPr>
            </w:pPr>
            <w:r w:rsidRPr="00507A31">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76485" w14:textId="77777777" w:rsidR="00C50B8F" w:rsidRPr="00507A31" w:rsidRDefault="00C50B8F" w:rsidP="00507A31">
            <w:pPr>
              <w:jc w:val="both"/>
              <w:rPr>
                <w:color w:val="000000" w:themeColor="text1"/>
                <w:sz w:val="16"/>
                <w:szCs w:val="16"/>
              </w:rPr>
            </w:pPr>
            <w:r w:rsidRPr="00507A31">
              <w:rPr>
                <w:color w:val="000000" w:themeColor="text1"/>
                <w:sz w:val="16"/>
                <w:szCs w:val="16"/>
              </w:rPr>
              <w:t>41</w:t>
            </w:r>
          </w:p>
        </w:tc>
      </w:tr>
      <w:tr w:rsidR="00E371BA" w:rsidRPr="00507A31" w14:paraId="7D86105D" w14:textId="77777777" w:rsidTr="00BB5927">
        <w:trPr>
          <w:trHeight w:val="570"/>
        </w:trPr>
        <w:tc>
          <w:tcPr>
            <w:tcW w:w="0" w:type="auto"/>
            <w:tcBorders>
              <w:top w:val="outset" w:sz="6" w:space="0" w:color="auto"/>
              <w:left w:val="outset" w:sz="6" w:space="0" w:color="auto"/>
              <w:bottom w:val="outset" w:sz="6" w:space="0" w:color="auto"/>
              <w:right w:val="outset" w:sz="6" w:space="0" w:color="auto"/>
            </w:tcBorders>
            <w:vAlign w:val="center"/>
            <w:hideMark/>
          </w:tcPr>
          <w:p w14:paraId="520F14FA" w14:textId="77777777" w:rsidR="00C50B8F" w:rsidRPr="00507A31" w:rsidRDefault="00C50B8F" w:rsidP="00507A31">
            <w:pPr>
              <w:jc w:val="both"/>
              <w:rPr>
                <w:color w:val="000000" w:themeColor="text1"/>
                <w:sz w:val="16"/>
                <w:szCs w:val="16"/>
              </w:rPr>
            </w:pPr>
            <w:r w:rsidRPr="00507A31">
              <w:rPr>
                <w:color w:val="000000" w:themeColor="text1"/>
                <w:sz w:val="16"/>
                <w:szCs w:val="16"/>
              </w:rPr>
              <w:t>6. «« КАЛИННИКОВА И. А. 4/XI-30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49A48" w14:textId="77777777" w:rsidR="00C50B8F" w:rsidRPr="00507A31" w:rsidRDefault="00C50B8F" w:rsidP="00507A31">
            <w:pPr>
              <w:jc w:val="both"/>
              <w:rPr>
                <w:color w:val="000000" w:themeColor="text1"/>
                <w:sz w:val="16"/>
                <w:szCs w:val="16"/>
              </w:rPr>
            </w:pPr>
            <w:r w:rsidRPr="00507A31">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F7F5D" w14:textId="77777777" w:rsidR="00C50B8F" w:rsidRPr="00507A31" w:rsidRDefault="00C50B8F" w:rsidP="00507A31">
            <w:pPr>
              <w:jc w:val="both"/>
              <w:rPr>
                <w:color w:val="000000" w:themeColor="text1"/>
                <w:sz w:val="16"/>
                <w:szCs w:val="16"/>
              </w:rPr>
            </w:pPr>
            <w:r w:rsidRPr="00507A31">
              <w:rPr>
                <w:color w:val="000000" w:themeColor="text1"/>
                <w:sz w:val="16"/>
                <w:szCs w:val="16"/>
              </w:rPr>
              <w:t>46</w:t>
            </w:r>
          </w:p>
        </w:tc>
      </w:tr>
      <w:tr w:rsidR="00E371BA" w:rsidRPr="00507A31" w14:paraId="28D6923A" w14:textId="77777777" w:rsidTr="00BB5927">
        <w:trPr>
          <w:trHeight w:val="570"/>
        </w:trPr>
        <w:tc>
          <w:tcPr>
            <w:tcW w:w="0" w:type="auto"/>
            <w:tcBorders>
              <w:top w:val="outset" w:sz="6" w:space="0" w:color="auto"/>
              <w:left w:val="outset" w:sz="6" w:space="0" w:color="auto"/>
              <w:bottom w:val="outset" w:sz="6" w:space="0" w:color="auto"/>
              <w:right w:val="outset" w:sz="6" w:space="0" w:color="auto"/>
            </w:tcBorders>
            <w:vAlign w:val="center"/>
            <w:hideMark/>
          </w:tcPr>
          <w:p w14:paraId="1B2EAA1C" w14:textId="77777777" w:rsidR="00C50B8F" w:rsidRPr="00507A31" w:rsidRDefault="00C50B8F" w:rsidP="00507A31">
            <w:pPr>
              <w:jc w:val="both"/>
              <w:rPr>
                <w:color w:val="000000" w:themeColor="text1"/>
                <w:sz w:val="16"/>
                <w:szCs w:val="16"/>
              </w:rPr>
            </w:pPr>
            <w:r w:rsidRPr="00507A31">
              <w:rPr>
                <w:color w:val="000000" w:themeColor="text1"/>
                <w:sz w:val="16"/>
                <w:szCs w:val="16"/>
              </w:rPr>
              <w:t>7. «« ОСАДЧЕГО П. С. 6/XI-30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0C46B" w14:textId="77777777" w:rsidR="00C50B8F" w:rsidRPr="00507A31" w:rsidRDefault="00C50B8F" w:rsidP="00507A31">
            <w:pPr>
              <w:jc w:val="both"/>
              <w:rPr>
                <w:color w:val="000000" w:themeColor="text1"/>
                <w:sz w:val="16"/>
                <w:szCs w:val="16"/>
              </w:rPr>
            </w:pPr>
            <w:r w:rsidRPr="00507A31">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C2B51" w14:textId="77777777" w:rsidR="00C50B8F" w:rsidRPr="00507A31" w:rsidRDefault="00C50B8F" w:rsidP="00507A31">
            <w:pPr>
              <w:jc w:val="both"/>
              <w:rPr>
                <w:color w:val="000000" w:themeColor="text1"/>
                <w:sz w:val="16"/>
                <w:szCs w:val="16"/>
              </w:rPr>
            </w:pPr>
            <w:r w:rsidRPr="00507A31">
              <w:rPr>
                <w:color w:val="000000" w:themeColor="text1"/>
                <w:sz w:val="16"/>
                <w:szCs w:val="16"/>
              </w:rPr>
              <w:t>62</w:t>
            </w:r>
          </w:p>
        </w:tc>
      </w:tr>
    </w:tbl>
    <w:p w14:paraId="4AB47FB4" w14:textId="77777777" w:rsidR="00C50B8F" w:rsidRPr="00507A31" w:rsidRDefault="00C50B8F" w:rsidP="00507A31">
      <w:pPr>
        <w:jc w:val="both"/>
        <w:rPr>
          <w:color w:val="000000" w:themeColor="text1"/>
          <w:sz w:val="16"/>
          <w:szCs w:val="16"/>
        </w:rPr>
      </w:pPr>
      <w:r w:rsidRPr="00507A31">
        <w:rPr>
          <w:color w:val="000000" w:themeColor="text1"/>
          <w:sz w:val="16"/>
          <w:szCs w:val="16"/>
        </w:rPr>
        <w:t>Д. 355. Л. 88-101. Заверенная машинописная копия того времени с многочисленными подчеркиваниями карандашом в тексте. В деле (Л. 86) имеется сопроводительная записка от 6 ноября 1930 г. на имя И. В. Сталина об отправке протоколов допросов Рамзина, Чарновского, Ларичева, Калинникова и Осадчего (подписана председателем ОГПУ В. Р. Менжинским и пом. нач. СОУ ОГПУ Я. С. Аграновым; см. док. № 355-14). На Л. 87 (машинописью) — «титульный» лист (оглавление) к перечисленным в сопроводительной записке протоколам под заголовком «ПРОТОКОЛЫ ДОПРОСОВ по делу «Промышленной Партии» по вопросам: 1. О подготовке интервенции 2. О заседаниях ЦК Промпартии» (напечатано по центру):</w:t>
      </w:r>
    </w:p>
    <w:p w14:paraId="099404EB" w14:textId="77777777" w:rsidR="00C50B8F" w:rsidRPr="00507A31" w:rsidRDefault="00C50B8F" w:rsidP="00507A31">
      <w:pPr>
        <w:jc w:val="both"/>
        <w:rPr>
          <w:color w:val="000000" w:themeColor="text1"/>
          <w:sz w:val="16"/>
          <w:szCs w:val="16"/>
        </w:rPr>
      </w:pPr>
      <w:r w:rsidRPr="00507A31">
        <w:rPr>
          <w:color w:val="000000" w:themeColor="text1"/>
          <w:sz w:val="16"/>
          <w:szCs w:val="16"/>
        </w:rPr>
        <w:t>Протоколы имеют «двойную» нумерацию: каждый свою (машинопись) и сплошную (от руки) — с. 1-62. Вверху Л. 87 — делопроизводственные штампы о размножении (80 экз.) и рассылке протоколов с вписанными от руки датами «7/Х1 1930 г.» и номером сопроводительного письма, подпись-автограф Хряпкиной. Рядом рукописная помета «Разослано членам и кандидатам П. Б.» (сопроводительное письмо о рассылке № П1020 — на Л. 85; см. док. № 355-15).</w:t>
      </w:r>
    </w:p>
    <w:p w14:paraId="0E8D6DC3" w14:textId="77777777" w:rsidR="00C50B8F" w:rsidRPr="00507A31" w:rsidRDefault="00C50B8F" w:rsidP="00507A31">
      <w:pPr>
        <w:jc w:val="both"/>
        <w:rPr>
          <w:color w:val="000000" w:themeColor="text1"/>
          <w:sz w:val="16"/>
          <w:szCs w:val="16"/>
        </w:rPr>
      </w:pPr>
      <w:r w:rsidRPr="00507A31">
        <w:rPr>
          <w:color w:val="000000" w:themeColor="text1"/>
          <w:sz w:val="16"/>
          <w:szCs w:val="16"/>
        </w:rPr>
        <w:t>ЦА ФСБ РФ. Ф. Р-42280. Т. 10. Л. 79-93. Заверенная машинописная копия того времени (18498).</w:t>
      </w:r>
    </w:p>
    <w:p w14:paraId="62B882C4" w14:textId="77777777" w:rsidR="00C50B8F" w:rsidRPr="00507A31" w:rsidRDefault="00C50B8F" w:rsidP="00507A31">
      <w:pPr>
        <w:jc w:val="both"/>
        <w:rPr>
          <w:color w:val="000000" w:themeColor="text1"/>
          <w:sz w:val="16"/>
          <w:szCs w:val="16"/>
        </w:rPr>
      </w:pPr>
    </w:p>
    <w:p w14:paraId="5B7D8A7E" w14:textId="77777777" w:rsidR="00C50B8F" w:rsidRPr="00507A31" w:rsidRDefault="00C50B8F" w:rsidP="00507A31">
      <w:pPr>
        <w:jc w:val="both"/>
        <w:rPr>
          <w:color w:val="000000" w:themeColor="text1"/>
          <w:sz w:val="16"/>
          <w:szCs w:val="16"/>
        </w:rPr>
      </w:pPr>
      <w:r w:rsidRPr="00507A31">
        <w:rPr>
          <w:color w:val="000000" w:themeColor="text1"/>
          <w:sz w:val="16"/>
          <w:szCs w:val="16"/>
        </w:rPr>
        <w:t>3 ноября 1930 г.</w:t>
      </w:r>
    </w:p>
    <w:p w14:paraId="7A36F630" w14:textId="77777777" w:rsidR="00C50B8F" w:rsidRPr="00507A31" w:rsidRDefault="00C50B8F" w:rsidP="00507A31">
      <w:pPr>
        <w:jc w:val="both"/>
        <w:rPr>
          <w:color w:val="000000" w:themeColor="text1"/>
          <w:sz w:val="16"/>
          <w:szCs w:val="16"/>
        </w:rPr>
      </w:pPr>
      <w:r w:rsidRPr="00507A31">
        <w:rPr>
          <w:color w:val="000000" w:themeColor="text1"/>
          <w:sz w:val="16"/>
          <w:szCs w:val="16"/>
        </w:rPr>
        <w:t>Показания Л. К. Рамзина о «заседаниях ЦК Промпартии». 3 ноября 1930 г.</w:t>
      </w:r>
    </w:p>
    <w:p w14:paraId="298F774A" w14:textId="77777777" w:rsidR="00C50B8F" w:rsidRPr="00507A31" w:rsidRDefault="00C50B8F" w:rsidP="00507A31">
      <w:pPr>
        <w:jc w:val="both"/>
        <w:rPr>
          <w:color w:val="000000" w:themeColor="text1"/>
          <w:sz w:val="16"/>
          <w:szCs w:val="16"/>
        </w:rPr>
      </w:pPr>
      <w:r w:rsidRPr="00507A31">
        <w:rPr>
          <w:color w:val="000000" w:themeColor="text1"/>
          <w:sz w:val="16"/>
          <w:szCs w:val="16"/>
        </w:rPr>
        <w:t>Источник: </w:t>
      </w:r>
    </w:p>
    <w:p w14:paraId="7FE0226D" w14:textId="77777777" w:rsidR="00C50B8F" w:rsidRPr="00507A31" w:rsidRDefault="00C50B8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95B9EA" w14:textId="77777777" w:rsidR="00C50B8F" w:rsidRPr="00507A31" w:rsidRDefault="00C50B8F" w:rsidP="00507A31">
      <w:pPr>
        <w:jc w:val="both"/>
        <w:rPr>
          <w:color w:val="000000" w:themeColor="text1"/>
          <w:sz w:val="16"/>
          <w:szCs w:val="16"/>
        </w:rPr>
      </w:pPr>
      <w:r w:rsidRPr="00507A31">
        <w:rPr>
          <w:color w:val="000000" w:themeColor="text1"/>
          <w:sz w:val="16"/>
          <w:szCs w:val="16"/>
        </w:rPr>
        <w:t>Архив: </w:t>
      </w:r>
    </w:p>
    <w:p w14:paraId="0F0A2BD7" w14:textId="77777777" w:rsidR="00C50B8F" w:rsidRPr="00507A31" w:rsidRDefault="00C50B8F" w:rsidP="00507A31">
      <w:pPr>
        <w:jc w:val="both"/>
        <w:rPr>
          <w:color w:val="000000" w:themeColor="text1"/>
          <w:sz w:val="16"/>
          <w:szCs w:val="16"/>
        </w:rPr>
      </w:pPr>
      <w:r w:rsidRPr="00507A31">
        <w:rPr>
          <w:color w:val="000000" w:themeColor="text1"/>
          <w:sz w:val="16"/>
          <w:szCs w:val="16"/>
        </w:rPr>
        <w:t>ЦА ФСБ РФ. Ф. Р-42280. Т. 10. Л. 94-99</w:t>
      </w:r>
    </w:p>
    <w:p w14:paraId="144084D1" w14:textId="77777777" w:rsidR="00C50B8F" w:rsidRPr="00507A31" w:rsidRDefault="00C50B8F" w:rsidP="00507A31">
      <w:pPr>
        <w:jc w:val="both"/>
        <w:rPr>
          <w:color w:val="000000" w:themeColor="text1"/>
          <w:sz w:val="16"/>
          <w:szCs w:val="16"/>
        </w:rPr>
      </w:pPr>
      <w:r w:rsidRPr="00507A31">
        <w:rPr>
          <w:color w:val="000000" w:themeColor="text1"/>
          <w:sz w:val="16"/>
          <w:szCs w:val="16"/>
        </w:rPr>
        <w:t>3 ноября 1930 г.</w:t>
      </w:r>
    </w:p>
    <w:p w14:paraId="0A33F1C3" w14:textId="77777777" w:rsidR="00C50B8F" w:rsidRPr="00507A31" w:rsidRDefault="00C50B8F" w:rsidP="00507A31">
      <w:pPr>
        <w:jc w:val="both"/>
        <w:rPr>
          <w:color w:val="000000" w:themeColor="text1"/>
          <w:sz w:val="16"/>
          <w:szCs w:val="16"/>
        </w:rPr>
      </w:pPr>
      <w:r w:rsidRPr="00507A31">
        <w:rPr>
          <w:color w:val="000000" w:themeColor="text1"/>
          <w:sz w:val="16"/>
          <w:szCs w:val="16"/>
        </w:rPr>
        <w:t>[Строго секретно]</w:t>
      </w:r>
    </w:p>
    <w:p w14:paraId="05CE8349" w14:textId="77777777" w:rsidR="00C50B8F" w:rsidRPr="00507A31" w:rsidRDefault="00C50B8F" w:rsidP="00507A31">
      <w:pPr>
        <w:jc w:val="both"/>
        <w:rPr>
          <w:color w:val="000000" w:themeColor="text1"/>
          <w:sz w:val="16"/>
          <w:szCs w:val="16"/>
        </w:rPr>
      </w:pPr>
      <w:r w:rsidRPr="00507A31">
        <w:rPr>
          <w:color w:val="000000" w:themeColor="text1"/>
          <w:sz w:val="16"/>
          <w:szCs w:val="16"/>
        </w:rPr>
        <w:t>ПРОТОКОЛ ДОПРОСА</w:t>
      </w:r>
    </w:p>
    <w:p w14:paraId="5E8F38E5" w14:textId="77777777" w:rsidR="00C50B8F" w:rsidRPr="00507A31" w:rsidRDefault="00C50B8F" w:rsidP="00507A31">
      <w:pPr>
        <w:jc w:val="both"/>
        <w:rPr>
          <w:color w:val="000000" w:themeColor="text1"/>
          <w:sz w:val="16"/>
          <w:szCs w:val="16"/>
        </w:rPr>
      </w:pPr>
      <w:r w:rsidRPr="00507A31">
        <w:rPr>
          <w:color w:val="000000" w:themeColor="text1"/>
          <w:sz w:val="16"/>
          <w:szCs w:val="16"/>
        </w:rPr>
        <w:t>проф. Л. К. РАМЗИНА от 3-го ноября 1930 г.</w:t>
      </w:r>
    </w:p>
    <w:p w14:paraId="37869DEE" w14:textId="77777777" w:rsidR="00C50B8F" w:rsidRPr="00507A31" w:rsidRDefault="00C50B8F" w:rsidP="00507A31">
      <w:pPr>
        <w:jc w:val="both"/>
        <w:rPr>
          <w:color w:val="000000" w:themeColor="text1"/>
          <w:sz w:val="16"/>
          <w:szCs w:val="16"/>
        </w:rPr>
      </w:pPr>
      <w:r w:rsidRPr="00507A31">
        <w:rPr>
          <w:color w:val="000000" w:themeColor="text1"/>
          <w:sz w:val="16"/>
          <w:szCs w:val="16"/>
        </w:rPr>
        <w:t>ДОПРОСИЛИ: НАЧ. СО ОГПУ АГРАНОВ</w:t>
      </w:r>
    </w:p>
    <w:p w14:paraId="42658D26" w14:textId="77777777" w:rsidR="00C50B8F" w:rsidRPr="00507A31" w:rsidRDefault="00C50B8F" w:rsidP="00507A31">
      <w:pPr>
        <w:jc w:val="both"/>
        <w:rPr>
          <w:color w:val="000000" w:themeColor="text1"/>
          <w:sz w:val="16"/>
          <w:szCs w:val="16"/>
        </w:rPr>
      </w:pPr>
      <w:r w:rsidRPr="00507A31">
        <w:rPr>
          <w:color w:val="000000" w:themeColor="text1"/>
          <w:sz w:val="16"/>
          <w:szCs w:val="16"/>
        </w:rPr>
        <w:t>ПОМНАЧ. 3 ОТДЕЛЕНИЯ] СООГПУ РАДЗИВИЛОВСКИЙ.</w:t>
      </w:r>
    </w:p>
    <w:p w14:paraId="4CE4D4E7" w14:textId="77777777" w:rsidR="00C50B8F" w:rsidRPr="00507A31" w:rsidRDefault="00C50B8F" w:rsidP="00507A31">
      <w:pPr>
        <w:jc w:val="both"/>
        <w:rPr>
          <w:color w:val="000000" w:themeColor="text1"/>
          <w:sz w:val="16"/>
          <w:szCs w:val="16"/>
        </w:rPr>
      </w:pPr>
      <w:r w:rsidRPr="00507A31">
        <w:rPr>
          <w:color w:val="000000" w:themeColor="text1"/>
          <w:sz w:val="16"/>
          <w:szCs w:val="16"/>
        </w:rPr>
        <w:t>ЗАСЕДАНИЯ ТТК ПРОМПАРТИИ.</w:t>
      </w:r>
    </w:p>
    <w:p w14:paraId="01C8838E" w14:textId="77777777" w:rsidR="00C50B8F" w:rsidRPr="00507A31" w:rsidRDefault="00C50B8F" w:rsidP="00507A31">
      <w:pPr>
        <w:jc w:val="both"/>
        <w:rPr>
          <w:color w:val="000000" w:themeColor="text1"/>
          <w:sz w:val="16"/>
          <w:szCs w:val="16"/>
        </w:rPr>
      </w:pPr>
      <w:r w:rsidRPr="00507A31">
        <w:rPr>
          <w:color w:val="000000" w:themeColor="text1"/>
          <w:sz w:val="16"/>
          <w:szCs w:val="16"/>
        </w:rPr>
        <w:t>В дополнение к заседаниям ЦК ПП, перечисленным в моем показании от 21 сентября с. г., привожу краткий обзор заседаний ЦК ПП, не вошедших в предыдущий протокол.</w:t>
      </w:r>
    </w:p>
    <w:p w14:paraId="046B85B4" w14:textId="77777777" w:rsidR="00C50B8F" w:rsidRPr="00507A31" w:rsidRDefault="00C50B8F" w:rsidP="00507A31">
      <w:pPr>
        <w:jc w:val="both"/>
        <w:rPr>
          <w:color w:val="000000" w:themeColor="text1"/>
          <w:sz w:val="16"/>
          <w:szCs w:val="16"/>
        </w:rPr>
      </w:pPr>
      <w:r w:rsidRPr="00507A31">
        <w:rPr>
          <w:color w:val="000000" w:themeColor="text1"/>
          <w:sz w:val="16"/>
          <w:szCs w:val="16"/>
        </w:rPr>
        <w:t>1928 год.</w:t>
      </w:r>
    </w:p>
    <w:p w14:paraId="2BF4F6D4" w14:textId="77777777" w:rsidR="00C50B8F" w:rsidRPr="00507A31" w:rsidRDefault="00C50B8F" w:rsidP="00507A31">
      <w:pPr>
        <w:jc w:val="both"/>
        <w:rPr>
          <w:color w:val="000000" w:themeColor="text1"/>
          <w:sz w:val="16"/>
          <w:szCs w:val="16"/>
        </w:rPr>
      </w:pPr>
      <w:r w:rsidRPr="00507A31">
        <w:rPr>
          <w:color w:val="000000" w:themeColor="text1"/>
          <w:sz w:val="16"/>
          <w:szCs w:val="16"/>
        </w:rPr>
        <w:t>В ВАИ в феврале, на заседании были ХРЕННИКОВ, ЛАРИЧЕВ, КАЛИННИКОВ, ФЕДОТОВ, РАМЗИИ, ОСАДЧИЙ и СТРИЖОВ.</w:t>
      </w:r>
    </w:p>
    <w:p w14:paraId="6FADE278" w14:textId="77777777" w:rsidR="00C50B8F" w:rsidRPr="00507A31" w:rsidRDefault="00C50B8F" w:rsidP="00507A31">
      <w:pPr>
        <w:jc w:val="both"/>
        <w:rPr>
          <w:color w:val="000000" w:themeColor="text1"/>
          <w:sz w:val="16"/>
          <w:szCs w:val="16"/>
        </w:rPr>
      </w:pPr>
      <w:r w:rsidRPr="00507A31">
        <w:rPr>
          <w:color w:val="000000" w:themeColor="text1"/>
          <w:sz w:val="16"/>
          <w:szCs w:val="16"/>
        </w:rPr>
        <w:t>По вопросу о публичных выступлениях по поводу шахтинского вредительства были признаны допустимыми выступления членов Промпартии с осуждением и порицанием вредительства, и в частности выступления ШЕИНА и ОСАДЧЕГО в качестве общественных обвинителей. По вопросу о проведении м[и]нималистской пятилетки были установлены основные цифры по топливу — 100 мил. тн., чугуну ок[оло] 7 мил. тн., мощности районных станций ок[оло] 2-2,5 мил. КВ, определена тактика проведения и даны поручения отдельным членам по обработке правых коммунистов. Подробности — см. показания мои от 10 октября с. г.</w:t>
      </w:r>
    </w:p>
    <w:p w14:paraId="7CD600C6" w14:textId="77777777" w:rsidR="00C50B8F" w:rsidRPr="00507A31" w:rsidRDefault="00C50B8F" w:rsidP="00507A31">
      <w:pPr>
        <w:jc w:val="both"/>
        <w:rPr>
          <w:color w:val="000000" w:themeColor="text1"/>
          <w:sz w:val="16"/>
          <w:szCs w:val="16"/>
        </w:rPr>
      </w:pPr>
      <w:r w:rsidRPr="00507A31">
        <w:rPr>
          <w:color w:val="000000" w:themeColor="text1"/>
          <w:sz w:val="16"/>
          <w:szCs w:val="16"/>
        </w:rPr>
        <w:t>Примерно в мае 1928 г. в Госплане, на заседании были ПАЛЬЧИНСКИЙ, ХРЕННИКОВ, КАЛИННИКОВ, РАМЗИН, ЧАРНОВСКИЙ, СТРИЖОВ и ЛАРИЧЕВ. ЛАРИЧЕВ сообщил о просьбе КЮФЕРА по поводу организации бензиновых баз для авто[-] и авиамоторов в западной части Союза и вблизи Ленинграда. Поручена разработка этого вопроса ЛАРИЧЕВУ совместно с В. С. ПОЛЯК и др. работниками Нефтесиндиката.</w:t>
      </w:r>
    </w:p>
    <w:p w14:paraId="38E8B92C" w14:textId="77777777" w:rsidR="00C50B8F" w:rsidRPr="00507A31" w:rsidRDefault="00C50B8F" w:rsidP="00507A31">
      <w:pPr>
        <w:jc w:val="both"/>
        <w:rPr>
          <w:color w:val="000000" w:themeColor="text1"/>
          <w:sz w:val="16"/>
          <w:szCs w:val="16"/>
        </w:rPr>
      </w:pPr>
      <w:r w:rsidRPr="00507A31">
        <w:rPr>
          <w:color w:val="000000" w:themeColor="text1"/>
          <w:sz w:val="16"/>
          <w:szCs w:val="16"/>
        </w:rPr>
        <w:t>По сообщению РАМЗИНА и КАЛИННИКОВА о просьбе КЮФЕРА давать ему информации о военной промышленности, поручено КАЛИННИКОВУ и ЧАРНОВСКОМУ сообщать КЮФЕРУ сведения, которые они смогут дать.</w:t>
      </w:r>
    </w:p>
    <w:p w14:paraId="53148F98" w14:textId="77777777" w:rsidR="00C50B8F" w:rsidRPr="00507A31" w:rsidRDefault="00C50B8F" w:rsidP="00507A31">
      <w:pPr>
        <w:jc w:val="both"/>
        <w:rPr>
          <w:color w:val="000000" w:themeColor="text1"/>
          <w:sz w:val="16"/>
          <w:szCs w:val="16"/>
        </w:rPr>
      </w:pPr>
      <w:r w:rsidRPr="00507A31">
        <w:rPr>
          <w:color w:val="000000" w:themeColor="text1"/>
          <w:sz w:val="16"/>
          <w:szCs w:val="16"/>
        </w:rPr>
        <w:t>По сообщению КАЛИННИКОВА об отношении к выдвинутой правыми идее двухлетки, постановлено поддержать, ибо это обл[ег]чит проведение установок Промпартии.</w:t>
      </w:r>
    </w:p>
    <w:p w14:paraId="56D5A66A" w14:textId="77777777" w:rsidR="00C50B8F" w:rsidRPr="00507A31" w:rsidRDefault="00C50B8F" w:rsidP="00507A31">
      <w:pPr>
        <w:jc w:val="both"/>
        <w:rPr>
          <w:color w:val="000000" w:themeColor="text1"/>
          <w:sz w:val="16"/>
          <w:szCs w:val="16"/>
        </w:rPr>
      </w:pPr>
      <w:r w:rsidRPr="00507A31">
        <w:rPr>
          <w:color w:val="000000" w:themeColor="text1"/>
          <w:sz w:val="16"/>
          <w:szCs w:val="16"/>
        </w:rPr>
        <w:t>В НТУ осенью были КАЛИННИКОВ, ЛАРИЧЕВ ОСАДЧИЙ, РАМЗИН, ЧАРНОВСКИЙ, ШЕИН, ФЕДОТОВ. Был сделан ряд сообщений о выполнении поручений в связи с проведением 5-летки и переговорах с правыми коммунистами. Подробности — в моем показании 10 октября с. г. В связи с поездкой заграницу РАМЗИНА и ЛАРИЧЕВА обсуждали поручения по переговорам с Торгпромом, французским и английским штабами. Поручено установить прочную связь, уточнить денежный вопрос, выяснить вопрос об интервенции.</w:t>
      </w:r>
    </w:p>
    <w:p w14:paraId="5D5E156F" w14:textId="77777777" w:rsidR="00C50B8F" w:rsidRPr="00507A31" w:rsidRDefault="00C50B8F" w:rsidP="00507A31">
      <w:pPr>
        <w:jc w:val="both"/>
        <w:rPr>
          <w:color w:val="000000" w:themeColor="text1"/>
          <w:sz w:val="16"/>
          <w:szCs w:val="16"/>
        </w:rPr>
      </w:pPr>
      <w:r w:rsidRPr="00507A31">
        <w:rPr>
          <w:color w:val="000000" w:themeColor="text1"/>
          <w:sz w:val="16"/>
          <w:szCs w:val="16"/>
        </w:rPr>
        <w:t>Зимой в Госплане были ЛАРИЧЕВ, РАМЗИН, КАЛИННИКОВ, ФЕДОТОВ, ОСАДЧИЙ, ШЕИН, ЧАРНОВСКИЙ.</w:t>
      </w:r>
    </w:p>
    <w:p w14:paraId="7D6936DC" w14:textId="77777777" w:rsidR="00C50B8F" w:rsidRPr="00507A31" w:rsidRDefault="00C50B8F" w:rsidP="00507A31">
      <w:pPr>
        <w:jc w:val="both"/>
        <w:rPr>
          <w:color w:val="000000" w:themeColor="text1"/>
          <w:sz w:val="16"/>
          <w:szCs w:val="16"/>
        </w:rPr>
      </w:pPr>
      <w:r w:rsidRPr="00507A31">
        <w:rPr>
          <w:color w:val="000000" w:themeColor="text1"/>
          <w:sz w:val="16"/>
          <w:szCs w:val="16"/>
        </w:rPr>
        <w:t>РАМЗИНЫМ и ЛАРИЧЕВЫМ сделаны доклады о поездке заграницу и об имевших место переговорах в Лондоне и Париже (подробности в моих других показаниях); доложено об установлении связей с КЮФЕРОМ и РЕНЬО.</w:t>
      </w:r>
    </w:p>
    <w:p w14:paraId="486A9992" w14:textId="77777777" w:rsidR="00C50B8F" w:rsidRPr="00507A31" w:rsidRDefault="00C50B8F" w:rsidP="00507A31">
      <w:pPr>
        <w:jc w:val="both"/>
        <w:rPr>
          <w:color w:val="000000" w:themeColor="text1"/>
          <w:sz w:val="16"/>
          <w:szCs w:val="16"/>
        </w:rPr>
      </w:pPr>
      <w:r w:rsidRPr="00507A31">
        <w:rPr>
          <w:color w:val="000000" w:themeColor="text1"/>
          <w:sz w:val="16"/>
          <w:szCs w:val="16"/>
        </w:rPr>
        <w:t>Составление периодических квартальных экономических сводок для Торгпрома поручено ОСАДЧЕМУ, КАЛИННИКОВУ и ЛАРИЧЕВУ под редакцией ОСАДЧЕГО, с оплатой труда привлекаемых специалистов.</w:t>
      </w:r>
    </w:p>
    <w:p w14:paraId="3C92556C" w14:textId="77777777" w:rsidR="00C50B8F" w:rsidRPr="00507A31" w:rsidRDefault="00C50B8F" w:rsidP="00507A31">
      <w:pPr>
        <w:jc w:val="both"/>
        <w:rPr>
          <w:color w:val="000000" w:themeColor="text1"/>
          <w:sz w:val="16"/>
          <w:szCs w:val="16"/>
        </w:rPr>
      </w:pPr>
      <w:r w:rsidRPr="00507A31">
        <w:rPr>
          <w:color w:val="000000" w:themeColor="text1"/>
          <w:sz w:val="16"/>
          <w:szCs w:val="16"/>
        </w:rPr>
        <w:t>Ведение денежных дел Промпартии поручено ЛАРИЧЕВУ; поручено составить смету расходов, исходя из ассигнований Торгпрома 1 мил. руб. в год.</w:t>
      </w:r>
    </w:p>
    <w:p w14:paraId="54E3F2D7" w14:textId="77777777" w:rsidR="00C50B8F" w:rsidRPr="00507A31" w:rsidRDefault="00C50B8F" w:rsidP="00507A31">
      <w:pPr>
        <w:jc w:val="both"/>
        <w:rPr>
          <w:color w:val="000000" w:themeColor="text1"/>
          <w:sz w:val="16"/>
          <w:szCs w:val="16"/>
        </w:rPr>
      </w:pPr>
      <w:r w:rsidRPr="00507A31">
        <w:rPr>
          <w:color w:val="000000" w:themeColor="text1"/>
          <w:sz w:val="16"/>
          <w:szCs w:val="16"/>
        </w:rPr>
        <w:t>РАМЗИН сообщил об возникновении в МВТУ боевой группы студ[ента] РИССАКА. Постановлено считать в данное время террористические акты недопустимыми. Поручено РАМЗИ НУ провести в жизнь эту точку зрения ПП.</w:t>
      </w:r>
    </w:p>
    <w:p w14:paraId="47E7FD71" w14:textId="77777777" w:rsidR="00C50B8F" w:rsidRPr="00507A31" w:rsidRDefault="00C50B8F" w:rsidP="00507A31">
      <w:pPr>
        <w:jc w:val="both"/>
        <w:rPr>
          <w:color w:val="000000" w:themeColor="text1"/>
          <w:sz w:val="16"/>
          <w:szCs w:val="16"/>
        </w:rPr>
      </w:pPr>
      <w:r w:rsidRPr="00507A31">
        <w:rPr>
          <w:color w:val="000000" w:themeColor="text1"/>
          <w:sz w:val="16"/>
          <w:szCs w:val="16"/>
        </w:rPr>
        <w:t>1929 год.</w:t>
      </w:r>
    </w:p>
    <w:p w14:paraId="29F2C200" w14:textId="77777777" w:rsidR="00C50B8F" w:rsidRPr="00507A31" w:rsidRDefault="00C50B8F" w:rsidP="00507A31">
      <w:pPr>
        <w:jc w:val="both"/>
        <w:rPr>
          <w:color w:val="000000" w:themeColor="text1"/>
          <w:sz w:val="16"/>
          <w:szCs w:val="16"/>
        </w:rPr>
      </w:pPr>
      <w:r w:rsidRPr="00507A31">
        <w:rPr>
          <w:color w:val="000000" w:themeColor="text1"/>
          <w:sz w:val="16"/>
          <w:szCs w:val="16"/>
        </w:rPr>
        <w:t>В начале 1929 г. в Госплане были РАМЗИН, КАЛИННИКОВ, ЧАРНОВСКИЙ, ЛАРИЧЕВ, ФЕДОТОВ, КОНДРАТЬЕВ, ЧАЯНОВ, МАКАРОВ и ЮРОВСКИЙ, ОСАДЧИЙ, КОГАН-БЕРНШТЕЙН. Оформлен состав нового ЦК Промпартии в составе оставшихся членов с привлечением ОСАДЧЕГО, ШЕИНА и КОГАН-БЕРНШТЕЙНА.</w:t>
      </w:r>
    </w:p>
    <w:p w14:paraId="61094DB1" w14:textId="77777777" w:rsidR="00C50B8F" w:rsidRPr="00507A31" w:rsidRDefault="00C50B8F" w:rsidP="00507A31">
      <w:pPr>
        <w:jc w:val="both"/>
        <w:rPr>
          <w:color w:val="000000" w:themeColor="text1"/>
          <w:sz w:val="16"/>
          <w:szCs w:val="16"/>
        </w:rPr>
      </w:pPr>
      <w:r w:rsidRPr="00507A31">
        <w:rPr>
          <w:color w:val="000000" w:themeColor="text1"/>
          <w:sz w:val="16"/>
          <w:szCs w:val="16"/>
        </w:rPr>
        <w:t>Начатое затем совместное заседание с членами ТКП было посвящено информации РАМЗИНА и ЛАРИЧЕВА об интервенции на основании заграничных сведений и сообщений КЮФЕРА и РЕНЬО. Подчеркнута установка на интервенцию в 1930 году и на необходимость добиться к этому моменту разгара хозяйственного кризиса; сообщены действия ПП и расчеты на разгар промышленного кризиса к лету 1930 г. Указывалось на необходимость совместных действий с ТКП, которая должна взять на себя аналогичную работу в области сельского хозяйства и кооперации, дабы обострить продовольственный кризис к лету 1930 г. и одновременно вызвать крестьянские восстания и бунты в Красной армии и среди рабочих масс. Члены ТКП согласились работать в блоке с ПП, указав, что по их расчетам к этому времени должен разразиться и продовольственный кризис. Согласились даже поговорить о коалиционном правительстве. По вопросу о валюте, поднятому членами Промпартии, РАМЗИН информировал о стремлении ПП к максимально возможному расходу валюты для импорта оборудования и указывал на желательность задержки ее выпуска Наркомфином, опираясь на связь ТКП. Члены ТКП обещали свое содействие в этом вопросе.</w:t>
      </w:r>
    </w:p>
    <w:p w14:paraId="3CF67B62" w14:textId="77777777" w:rsidR="00C50B8F" w:rsidRPr="00507A31" w:rsidRDefault="00C50B8F" w:rsidP="00507A31">
      <w:pPr>
        <w:jc w:val="both"/>
        <w:rPr>
          <w:color w:val="000000" w:themeColor="text1"/>
          <w:sz w:val="16"/>
          <w:szCs w:val="16"/>
        </w:rPr>
      </w:pPr>
      <w:r w:rsidRPr="00507A31">
        <w:rPr>
          <w:color w:val="000000" w:themeColor="text1"/>
          <w:sz w:val="16"/>
          <w:szCs w:val="16"/>
        </w:rPr>
        <w:t>Весной в Госплане были РАМЗИН, ЛАРИЧЕВ, ЧАРНОВСКИЙ, КАЛИННИКОВ, ОСАДЧИЙ и ШЕИН.</w:t>
      </w:r>
    </w:p>
    <w:p w14:paraId="56E830A6" w14:textId="77777777" w:rsidR="00C50B8F" w:rsidRPr="00507A31" w:rsidRDefault="00C50B8F" w:rsidP="00507A31">
      <w:pPr>
        <w:jc w:val="both"/>
        <w:rPr>
          <w:color w:val="000000" w:themeColor="text1"/>
          <w:sz w:val="16"/>
          <w:szCs w:val="16"/>
        </w:rPr>
      </w:pPr>
      <w:r w:rsidRPr="00507A31">
        <w:rPr>
          <w:color w:val="000000" w:themeColor="text1"/>
          <w:sz w:val="16"/>
          <w:szCs w:val="16"/>
        </w:rPr>
        <w:t>Заслушана и одобрена смета расходов, составленная ЛАРИЧЕВЫМ.</w:t>
      </w:r>
    </w:p>
    <w:p w14:paraId="249F262D" w14:textId="77777777" w:rsidR="00C50B8F" w:rsidRPr="00507A31" w:rsidRDefault="00C50B8F" w:rsidP="00507A31">
      <w:pPr>
        <w:jc w:val="both"/>
        <w:rPr>
          <w:color w:val="000000" w:themeColor="text1"/>
          <w:sz w:val="16"/>
          <w:szCs w:val="16"/>
        </w:rPr>
      </w:pPr>
      <w:r w:rsidRPr="00507A31">
        <w:rPr>
          <w:color w:val="000000" w:themeColor="text1"/>
          <w:sz w:val="16"/>
          <w:szCs w:val="16"/>
        </w:rPr>
        <w:t>По докладу РАМЗИНА, сообщавшего о настойчивых требованиях Торгпрома и французских представителей о создании военной организации ПП, выделили военную комиссию в составе: ОСАДЧИЙ, ЛАРИЧЕВ и КАЛИННИКОВ для вербовки членов среди военных. Обсужден обязательный состав и задачи военной организации. Подробности — в моем показании от 14 окт[ября] с. г.</w:t>
      </w:r>
    </w:p>
    <w:p w14:paraId="088845F9" w14:textId="77777777" w:rsidR="00C50B8F" w:rsidRPr="00507A31" w:rsidRDefault="00C50B8F" w:rsidP="00507A31">
      <w:pPr>
        <w:jc w:val="both"/>
        <w:rPr>
          <w:color w:val="000000" w:themeColor="text1"/>
          <w:sz w:val="16"/>
          <w:szCs w:val="16"/>
        </w:rPr>
      </w:pPr>
      <w:r w:rsidRPr="00507A31">
        <w:rPr>
          <w:color w:val="000000" w:themeColor="text1"/>
          <w:sz w:val="16"/>
          <w:szCs w:val="16"/>
        </w:rPr>
        <w:t>Сообщено о просьбах КЮФЕРА и РЕНЬО дать специальные записки по отдельным отраслям народного хозяйства. Розданы поручения, согласно моего показания о разведывательной работе Промпартии.</w:t>
      </w:r>
    </w:p>
    <w:p w14:paraId="6EF108B8" w14:textId="77777777" w:rsidR="00C50B8F" w:rsidRPr="00507A31" w:rsidRDefault="00C50B8F" w:rsidP="00507A31">
      <w:pPr>
        <w:jc w:val="both"/>
        <w:rPr>
          <w:color w:val="000000" w:themeColor="text1"/>
          <w:sz w:val="16"/>
          <w:szCs w:val="16"/>
        </w:rPr>
      </w:pPr>
      <w:r w:rsidRPr="00507A31">
        <w:rPr>
          <w:color w:val="000000" w:themeColor="text1"/>
          <w:sz w:val="16"/>
          <w:szCs w:val="16"/>
        </w:rPr>
        <w:lastRenderedPageBreak/>
        <w:t>Весной в Госплане были РАМЗИН, ЛАРИЧЕВ, ЧАРНОВСКИЙ, КАЛИННИКОВ, ФЕДОТОВ, ОСАДЧИЙ и КОГАН-БЕРНШТЕЙН. Обсуждали вопрос о создании диверсионной организации ПП, согласно моего специального показания по этому вопросу. Даны поручения по созданию диверсионной организации: по энергетике — РАМЗИНУ, по промышленности и в частности по военной промышленности — КАЛИННИКОВУ и ЧАРНОВСКОМУ с привлечением КАМЗОЛКИНА и ШЕИНА и по желдорогам — ЛАРИЧЕВУ и КОГАН-БЕРНШТЕЙНУ.</w:t>
      </w:r>
    </w:p>
    <w:p w14:paraId="2FE85B94" w14:textId="77777777" w:rsidR="00C50B8F" w:rsidRPr="00507A31" w:rsidRDefault="00C50B8F" w:rsidP="00507A31">
      <w:pPr>
        <w:jc w:val="both"/>
        <w:rPr>
          <w:color w:val="000000" w:themeColor="text1"/>
          <w:sz w:val="16"/>
          <w:szCs w:val="16"/>
        </w:rPr>
      </w:pPr>
      <w:r w:rsidRPr="00507A31">
        <w:rPr>
          <w:color w:val="000000" w:themeColor="text1"/>
          <w:sz w:val="16"/>
          <w:szCs w:val="16"/>
        </w:rPr>
        <w:t>РАМЗИН сообщил о просьбе РЕНЬО дать записку о положении авиации в СССР; поручено РАМЗИНУ организовать составление записки и передать ее затем РЕНЬО.</w:t>
      </w:r>
    </w:p>
    <w:p w14:paraId="000E036D" w14:textId="77777777" w:rsidR="00C50B8F" w:rsidRPr="00507A31" w:rsidRDefault="00C50B8F" w:rsidP="00507A31">
      <w:pPr>
        <w:jc w:val="both"/>
        <w:rPr>
          <w:color w:val="000000" w:themeColor="text1"/>
          <w:sz w:val="16"/>
          <w:szCs w:val="16"/>
        </w:rPr>
      </w:pPr>
      <w:r w:rsidRPr="00507A31">
        <w:rPr>
          <w:color w:val="000000" w:themeColor="text1"/>
          <w:sz w:val="16"/>
          <w:szCs w:val="16"/>
        </w:rPr>
        <w:t>Осенью в НТУ присутствовали: ЛАРИЧЕВ, РАМЗИН, ЧАРНОВСКИЙ, КАЛИННИКОВ, ОСАДЧИЙ, ШЕИН и ФЕДОТОВ. ФЕДОТОВ сообщил об информации из Англии о невозможности интервенции в 1930 г. и переносе ее на 1931 г. Решено проверить эти сведения из других авторитетных источников.</w:t>
      </w:r>
    </w:p>
    <w:p w14:paraId="34A62B17" w14:textId="77777777" w:rsidR="00C50B8F" w:rsidRPr="00507A31" w:rsidRDefault="00C50B8F" w:rsidP="00507A31">
      <w:pPr>
        <w:jc w:val="both"/>
        <w:rPr>
          <w:color w:val="000000" w:themeColor="text1"/>
          <w:sz w:val="16"/>
          <w:szCs w:val="16"/>
        </w:rPr>
      </w:pPr>
      <w:r w:rsidRPr="00507A31">
        <w:rPr>
          <w:color w:val="000000" w:themeColor="text1"/>
          <w:sz w:val="16"/>
          <w:szCs w:val="16"/>
        </w:rPr>
        <w:t>По докладу РАМЗИНА о развитии боевых групп Промпартиии необходимости организационно оформить боевую организацию. Постановлено утвердить начальником боевой организации Промпарти иинж. С. А. ПРЕДТЕЧЕНСКОГО.</w:t>
      </w:r>
    </w:p>
    <w:p w14:paraId="65CFD790" w14:textId="77777777" w:rsidR="00C50B8F" w:rsidRPr="00507A31" w:rsidRDefault="00C50B8F" w:rsidP="00507A31">
      <w:pPr>
        <w:jc w:val="both"/>
        <w:rPr>
          <w:color w:val="000000" w:themeColor="text1"/>
          <w:sz w:val="16"/>
          <w:szCs w:val="16"/>
        </w:rPr>
      </w:pPr>
      <w:r w:rsidRPr="00507A31">
        <w:rPr>
          <w:color w:val="000000" w:themeColor="text1"/>
          <w:sz w:val="16"/>
          <w:szCs w:val="16"/>
        </w:rPr>
        <w:t>В конце 1929 г. в Госплане состоялось заседание в составе РАМЗИНА, ЛАРИЧЕВА, КАЛИННИКОВА, ОСАДЧЕГО, ШЕИНА.</w:t>
      </w:r>
    </w:p>
    <w:p w14:paraId="718D9E5B" w14:textId="77777777" w:rsidR="00C50B8F" w:rsidRPr="00507A31" w:rsidRDefault="00C50B8F" w:rsidP="00507A31">
      <w:pPr>
        <w:jc w:val="both"/>
        <w:rPr>
          <w:color w:val="000000" w:themeColor="text1"/>
          <w:sz w:val="16"/>
          <w:szCs w:val="16"/>
        </w:rPr>
      </w:pPr>
      <w:r w:rsidRPr="00507A31">
        <w:rPr>
          <w:color w:val="000000" w:themeColor="text1"/>
          <w:sz w:val="16"/>
          <w:szCs w:val="16"/>
        </w:rPr>
        <w:t>По вопросу о военной организации члены военной комиссии сообщили о ходе вербовки и создании военных ячеек; подробности — в моем показании от 15 октября 1930 г. Постановили в виду согласия ген. НОВИЦКОГО принять на себя руководство военной группой — утвердить его в качестве руководителя военного центра ПП и поручить КАЛИННИКОВУ и РАМЗИНУ лично переговорить с ген. НОВИЦКИМ о деталях.</w:t>
      </w:r>
    </w:p>
    <w:p w14:paraId="6100EA3D" w14:textId="77777777" w:rsidR="00C50B8F" w:rsidRPr="00507A31" w:rsidRDefault="00C50B8F" w:rsidP="00507A31">
      <w:pPr>
        <w:jc w:val="both"/>
        <w:rPr>
          <w:color w:val="000000" w:themeColor="text1"/>
          <w:sz w:val="16"/>
          <w:szCs w:val="16"/>
        </w:rPr>
      </w:pPr>
      <w:r w:rsidRPr="00507A31">
        <w:rPr>
          <w:color w:val="000000" w:themeColor="text1"/>
          <w:sz w:val="16"/>
          <w:szCs w:val="16"/>
        </w:rPr>
        <w:t>По вопросу о тактике решили изменить и в смысле перехода на максимальные темпы и программы в целях наибольшего омертвления капиталов.</w:t>
      </w:r>
    </w:p>
    <w:p w14:paraId="7B2716A0" w14:textId="77777777" w:rsidR="00C50B8F" w:rsidRPr="00507A31" w:rsidRDefault="00C50B8F" w:rsidP="00507A31">
      <w:pPr>
        <w:jc w:val="both"/>
        <w:rPr>
          <w:color w:val="000000" w:themeColor="text1"/>
          <w:sz w:val="16"/>
          <w:szCs w:val="16"/>
        </w:rPr>
      </w:pPr>
      <w:r w:rsidRPr="00507A31">
        <w:rPr>
          <w:color w:val="000000" w:themeColor="text1"/>
          <w:sz w:val="16"/>
          <w:szCs w:val="16"/>
        </w:rPr>
        <w:t>По вопросу о составе проектируемого правительства с учетом предложений Торгпрома намечены следующие кандидатуры: премьер — ОСАДЧИЙ, МИЛЮКОВ, РАМЗИН; военный &lt;министр&gt; — ЛУКОМСКИЙ, ДЕНИКИН; торговли и промышленности — КАЛИННИКОВ, ХРЕННИКОВ, ЛАРИЧЕВ, КОНОВАЛОВ, ДЕНИСОВ, ТРЕТЬЯКОВ; финансов — ОЗЕРОВ, БОГОЛЕПОВ, РАБИНОВИЧ; путей сообщений — КРАСОВСКИЙ, КОГАН-БЕРНШТЕЙН; иностранных дел — ТАРЛЕ, МИЛЮКОВ; земледелия — ЧАЯНОВ А. В. — ТКП.</w:t>
      </w:r>
    </w:p>
    <w:p w14:paraId="259BEA9E" w14:textId="77777777" w:rsidR="00C50B8F" w:rsidRPr="00507A31" w:rsidRDefault="00C50B8F" w:rsidP="00507A31">
      <w:pPr>
        <w:jc w:val="both"/>
        <w:rPr>
          <w:color w:val="000000" w:themeColor="text1"/>
          <w:sz w:val="16"/>
          <w:szCs w:val="16"/>
        </w:rPr>
      </w:pPr>
      <w:r w:rsidRPr="00507A31">
        <w:rPr>
          <w:color w:val="000000" w:themeColor="text1"/>
          <w:sz w:val="16"/>
          <w:szCs w:val="16"/>
        </w:rPr>
        <w:t>1930 год.</w:t>
      </w:r>
    </w:p>
    <w:p w14:paraId="698477DA" w14:textId="77777777" w:rsidR="00C50B8F" w:rsidRPr="00507A31" w:rsidRDefault="00C50B8F" w:rsidP="00507A31">
      <w:pPr>
        <w:jc w:val="both"/>
        <w:rPr>
          <w:color w:val="000000" w:themeColor="text1"/>
          <w:sz w:val="16"/>
          <w:szCs w:val="16"/>
        </w:rPr>
      </w:pPr>
      <w:r w:rsidRPr="00507A31">
        <w:rPr>
          <w:color w:val="000000" w:themeColor="text1"/>
          <w:sz w:val="16"/>
          <w:szCs w:val="16"/>
        </w:rPr>
        <w:t>В начале 1930 года на квартире РАМЗИНА было совместное заседание ЦК ПП с членами ТКП, в составе — РАМЗИН, ЛАРИЧЕВ, ОСАДЧИЙ, ШЕ[И]Н, ЧАРНОВСКИЙ, КОНДРАТЬЕВ, МАКАРОВ, ЧАЯНОВ и, кажется, ГРОМАН. РАМЗИН информировал об отмене интервенции на 1930 г. и о сильном течении в Промпартии против интервенции в пользу переворота внутренними силами, путем вооруженного восстания или переворота в пользу правых. При обсуждении выяснилось, что ни Промпартии, ни ТКП в данный момент не обладают достаточными силами для совершения переворота путем вооруженного восстания и что к нему надо еще долго готовиться. Единственно реальное — это переворот в пользу правых, который был бы сильно облегчен с устранением лидеров генеральной линии партии ВКП(б) и в особенности тов. Сталина. Члены ТКП и, в частности, А. В. ЧАЯНОВ далее сообщили, что в виду ожесточенной классовой борьбы в деревне, в связи с раскулачиванием, в деревне готова почва для терактов против коммунистов и что при помощи небольшой агитации эти теракты легко превратить в массовое явление. ОСАДЧИЙ и ЛАРИЧЕВ на это указали, что наиболее целесообразным было бы направить теракты против хлебозаготовителей. Определенных решений вынесено не было. Решили вернуться к совместному обсуждению тактики весною, когда выяснится общее положение.</w:t>
      </w:r>
    </w:p>
    <w:p w14:paraId="19F6D8D7" w14:textId="77777777" w:rsidR="00C50B8F" w:rsidRPr="00507A31" w:rsidRDefault="00C50B8F" w:rsidP="00507A31">
      <w:pPr>
        <w:jc w:val="both"/>
        <w:rPr>
          <w:color w:val="000000" w:themeColor="text1"/>
          <w:sz w:val="16"/>
          <w:szCs w:val="16"/>
        </w:rPr>
      </w:pPr>
      <w:r w:rsidRPr="00507A31">
        <w:rPr>
          <w:color w:val="000000" w:themeColor="text1"/>
          <w:sz w:val="16"/>
          <w:szCs w:val="16"/>
        </w:rPr>
        <w:t>Экстренное заседание в Госплане в составе РАМЗИН, КАЛИННИКОВ, ЧАРНОВСКИЙ, ОСАДЧИЙ и ШЕ[И]Н было посвящено вопросу о терроре. Подробное изложение дано в моем специальном показании по этому вопросу.</w:t>
      </w:r>
    </w:p>
    <w:p w14:paraId="2DE96023" w14:textId="77777777" w:rsidR="00C50B8F" w:rsidRPr="00507A31" w:rsidRDefault="00C50B8F" w:rsidP="00507A31">
      <w:pPr>
        <w:jc w:val="both"/>
        <w:rPr>
          <w:color w:val="000000" w:themeColor="text1"/>
          <w:sz w:val="16"/>
          <w:szCs w:val="16"/>
        </w:rPr>
      </w:pPr>
      <w:r w:rsidRPr="00507A31">
        <w:rPr>
          <w:color w:val="000000" w:themeColor="text1"/>
          <w:sz w:val="16"/>
          <w:szCs w:val="16"/>
        </w:rPr>
        <w:t>Л. РАМЗИН.</w:t>
      </w:r>
    </w:p>
    <w:p w14:paraId="6D19E2BF" w14:textId="77777777" w:rsidR="00C50B8F" w:rsidRPr="00507A31" w:rsidRDefault="00C50B8F" w:rsidP="00507A31">
      <w:pPr>
        <w:jc w:val="both"/>
        <w:rPr>
          <w:color w:val="000000" w:themeColor="text1"/>
          <w:sz w:val="16"/>
          <w:szCs w:val="16"/>
        </w:rPr>
      </w:pPr>
      <w:r w:rsidRPr="00507A31">
        <w:rPr>
          <w:color w:val="000000" w:themeColor="text1"/>
          <w:sz w:val="16"/>
          <w:szCs w:val="16"/>
        </w:rPr>
        <w:t>ДОПРОСИЛИ: НАЧ. СО ОГПУ АГРАНОВ.</w:t>
      </w:r>
    </w:p>
    <w:p w14:paraId="151CB6E5" w14:textId="77777777" w:rsidR="00C50B8F" w:rsidRPr="00507A31" w:rsidRDefault="00C50B8F" w:rsidP="00507A31">
      <w:pPr>
        <w:jc w:val="both"/>
        <w:rPr>
          <w:color w:val="000000" w:themeColor="text1"/>
          <w:sz w:val="16"/>
          <w:szCs w:val="16"/>
        </w:rPr>
      </w:pPr>
      <w:r w:rsidRPr="00507A31">
        <w:rPr>
          <w:color w:val="000000" w:themeColor="text1"/>
          <w:sz w:val="16"/>
          <w:szCs w:val="16"/>
        </w:rPr>
        <w:t>ПОМНАЧ. 3 [отделения] СО ОГПУ РАДЗИВИЛОВСКИЙ.</w:t>
      </w:r>
    </w:p>
    <w:p w14:paraId="09A12C43" w14:textId="77777777" w:rsidR="00C50B8F" w:rsidRPr="00507A31" w:rsidRDefault="00C50B8F" w:rsidP="00507A31">
      <w:pPr>
        <w:jc w:val="both"/>
        <w:rPr>
          <w:color w:val="000000" w:themeColor="text1"/>
          <w:sz w:val="16"/>
          <w:szCs w:val="16"/>
        </w:rPr>
      </w:pPr>
      <w:r w:rsidRPr="00507A31">
        <w:rPr>
          <w:color w:val="000000" w:themeColor="text1"/>
          <w:sz w:val="16"/>
          <w:szCs w:val="16"/>
        </w:rPr>
        <w:t>Д. 355. Л. 102-107. Заверенная машинописная копия того времени (см. легенду к док. М 355-7). В документе имеются многочисленные подчеркивания карандашом. На Л. 103 в абзаце «3. В НТУ осенью были КАЛИННИКОВ, ЛАРИЧЕВ ОСАДЧИЙ, РАМЗИН, ЧАРНОВСКИЙ, ШЕИН, ФЕДОТОВ. Был сделан ряд сообщений о выполнении поручений в связи с проведением 5-летки и переговорах с правыми коммунистами» подчеркнуты и обведены овалом слова «переговорах с правыми коммунистам», на полях слева — вертикальная черта, а на полях вверху — обведенный кружком знак вопроса.</w:t>
      </w:r>
    </w:p>
    <w:p w14:paraId="072BBB3E" w14:textId="77777777" w:rsidR="00C50B8F" w:rsidRPr="00507A31" w:rsidRDefault="00C50B8F" w:rsidP="00507A31">
      <w:pPr>
        <w:jc w:val="both"/>
        <w:rPr>
          <w:color w:val="000000" w:themeColor="text1"/>
          <w:sz w:val="16"/>
          <w:szCs w:val="16"/>
        </w:rPr>
      </w:pPr>
      <w:r w:rsidRPr="00507A31">
        <w:rPr>
          <w:color w:val="000000" w:themeColor="text1"/>
          <w:sz w:val="16"/>
          <w:szCs w:val="16"/>
        </w:rPr>
        <w:t>ЦА ФСБ РФ. Ф. Р-42280. Т. 10. Л. 94-99. Заверенная машинописная копия того времени (18499).</w:t>
      </w:r>
    </w:p>
    <w:p w14:paraId="33BAF624" w14:textId="77777777" w:rsidR="00C50B8F" w:rsidRPr="00507A31" w:rsidRDefault="00C50B8F" w:rsidP="00507A31">
      <w:pPr>
        <w:jc w:val="both"/>
        <w:rPr>
          <w:color w:val="000000" w:themeColor="text1"/>
          <w:sz w:val="16"/>
          <w:szCs w:val="16"/>
        </w:rPr>
      </w:pPr>
    </w:p>
    <w:p w14:paraId="26819AE5" w14:textId="77777777" w:rsidR="00C50B8F" w:rsidRPr="00507A31" w:rsidRDefault="00C50B8F" w:rsidP="00507A31">
      <w:pPr>
        <w:jc w:val="both"/>
        <w:rPr>
          <w:color w:val="000000" w:themeColor="text1"/>
          <w:sz w:val="16"/>
          <w:szCs w:val="16"/>
        </w:rPr>
      </w:pPr>
      <w:r w:rsidRPr="00507A31">
        <w:rPr>
          <w:color w:val="000000" w:themeColor="text1"/>
          <w:sz w:val="16"/>
          <w:szCs w:val="16"/>
        </w:rPr>
        <w:t>3 ноября 1930 г.</w:t>
      </w:r>
    </w:p>
    <w:p w14:paraId="55201889" w14:textId="77777777" w:rsidR="00C50B8F" w:rsidRPr="00507A31" w:rsidRDefault="00C50B8F" w:rsidP="00507A31">
      <w:pPr>
        <w:jc w:val="both"/>
        <w:rPr>
          <w:color w:val="000000" w:themeColor="text1"/>
          <w:sz w:val="16"/>
          <w:szCs w:val="16"/>
        </w:rPr>
      </w:pPr>
      <w:r w:rsidRPr="00507A31">
        <w:rPr>
          <w:color w:val="000000" w:themeColor="text1"/>
          <w:sz w:val="16"/>
          <w:szCs w:val="16"/>
        </w:rPr>
        <w:t>Показания Н. Ф. Чарновского о «вредительских планах» «Промпартии» в связи с подготовкой интервенции. 3 ноября 1930 г.</w:t>
      </w:r>
    </w:p>
    <w:p w14:paraId="4B5A1556" w14:textId="77777777" w:rsidR="00C50B8F" w:rsidRPr="00507A31" w:rsidRDefault="00C50B8F" w:rsidP="00507A31">
      <w:pPr>
        <w:jc w:val="both"/>
        <w:rPr>
          <w:color w:val="000000" w:themeColor="text1"/>
          <w:sz w:val="16"/>
          <w:szCs w:val="16"/>
        </w:rPr>
      </w:pPr>
      <w:r w:rsidRPr="00507A31">
        <w:rPr>
          <w:color w:val="000000" w:themeColor="text1"/>
          <w:sz w:val="16"/>
          <w:szCs w:val="16"/>
        </w:rPr>
        <w:t>Источник: </w:t>
      </w:r>
    </w:p>
    <w:p w14:paraId="59F16EB7" w14:textId="77777777" w:rsidR="00C50B8F" w:rsidRPr="00507A31" w:rsidRDefault="00C50B8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314098" w14:textId="77777777" w:rsidR="00C50B8F" w:rsidRPr="00507A31" w:rsidRDefault="00C50B8F" w:rsidP="00507A31">
      <w:pPr>
        <w:jc w:val="both"/>
        <w:rPr>
          <w:color w:val="000000" w:themeColor="text1"/>
          <w:sz w:val="16"/>
          <w:szCs w:val="16"/>
        </w:rPr>
      </w:pPr>
      <w:r w:rsidRPr="00507A31">
        <w:rPr>
          <w:color w:val="000000" w:themeColor="text1"/>
          <w:sz w:val="16"/>
          <w:szCs w:val="16"/>
        </w:rPr>
        <w:t>3 ноября 1930 г.</w:t>
      </w:r>
    </w:p>
    <w:p w14:paraId="6287C016" w14:textId="77777777" w:rsidR="00C50B8F" w:rsidRPr="00507A31" w:rsidRDefault="00C50B8F" w:rsidP="00507A31">
      <w:pPr>
        <w:jc w:val="both"/>
        <w:rPr>
          <w:color w:val="000000" w:themeColor="text1"/>
          <w:sz w:val="16"/>
          <w:szCs w:val="16"/>
        </w:rPr>
      </w:pPr>
      <w:r w:rsidRPr="00507A31">
        <w:rPr>
          <w:color w:val="000000" w:themeColor="text1"/>
          <w:sz w:val="16"/>
          <w:szCs w:val="16"/>
        </w:rPr>
        <w:t>[Строго секретно]</w:t>
      </w:r>
    </w:p>
    <w:p w14:paraId="0CE10707" w14:textId="77777777" w:rsidR="00C50B8F" w:rsidRPr="00507A31" w:rsidRDefault="00C50B8F" w:rsidP="00507A31">
      <w:pPr>
        <w:jc w:val="both"/>
        <w:rPr>
          <w:color w:val="000000" w:themeColor="text1"/>
          <w:sz w:val="16"/>
          <w:szCs w:val="16"/>
        </w:rPr>
      </w:pPr>
      <w:r w:rsidRPr="00507A31">
        <w:rPr>
          <w:color w:val="000000" w:themeColor="text1"/>
          <w:sz w:val="16"/>
          <w:szCs w:val="16"/>
        </w:rPr>
        <w:t>ПРОТОКОЛ ДОПРОСА</w:t>
      </w:r>
    </w:p>
    <w:p w14:paraId="2FD754C3" w14:textId="77777777" w:rsidR="00C50B8F" w:rsidRPr="00507A31" w:rsidRDefault="00C50B8F" w:rsidP="00507A31">
      <w:pPr>
        <w:jc w:val="both"/>
        <w:rPr>
          <w:color w:val="000000" w:themeColor="text1"/>
          <w:sz w:val="16"/>
          <w:szCs w:val="16"/>
        </w:rPr>
      </w:pPr>
      <w:r w:rsidRPr="00507A31">
        <w:rPr>
          <w:color w:val="000000" w:themeColor="text1"/>
          <w:sz w:val="16"/>
          <w:szCs w:val="16"/>
        </w:rPr>
        <w:t>ЧАРНОВСКОГО Н. Ф. от 3/XI-1930 года.</w:t>
      </w:r>
    </w:p>
    <w:p w14:paraId="72DB7FAC" w14:textId="77777777" w:rsidR="00C50B8F" w:rsidRPr="00507A31" w:rsidRDefault="00C50B8F" w:rsidP="00507A31">
      <w:pPr>
        <w:jc w:val="both"/>
        <w:rPr>
          <w:color w:val="000000" w:themeColor="text1"/>
          <w:sz w:val="16"/>
          <w:szCs w:val="16"/>
        </w:rPr>
      </w:pPr>
      <w:r w:rsidRPr="00507A31">
        <w:rPr>
          <w:color w:val="000000" w:themeColor="text1"/>
          <w:sz w:val="16"/>
          <w:szCs w:val="16"/>
        </w:rPr>
        <w:t>Допросили: ПОМ/НАЧ. СОУ ОГПУ — тов. АГРАНОВ</w:t>
      </w:r>
    </w:p>
    <w:p w14:paraId="69BDEA95" w14:textId="77777777" w:rsidR="00C50B8F" w:rsidRPr="00507A31" w:rsidRDefault="00C50B8F" w:rsidP="00507A31">
      <w:pPr>
        <w:jc w:val="both"/>
        <w:rPr>
          <w:color w:val="000000" w:themeColor="text1"/>
          <w:sz w:val="16"/>
          <w:szCs w:val="16"/>
        </w:rPr>
      </w:pPr>
      <w:r w:rsidRPr="00507A31">
        <w:rPr>
          <w:color w:val="000000" w:themeColor="text1"/>
          <w:sz w:val="16"/>
          <w:szCs w:val="16"/>
        </w:rPr>
        <w:t>П[ОМ]/НАЧ. 3 ОТДЕЛЕНИЯ СО — тов. РАДЗИВИЛОВСКИЙ.</w:t>
      </w:r>
    </w:p>
    <w:p w14:paraId="35DD5522" w14:textId="77777777" w:rsidR="00C50B8F" w:rsidRPr="00507A31" w:rsidRDefault="00C50B8F" w:rsidP="00507A31">
      <w:pPr>
        <w:jc w:val="both"/>
        <w:rPr>
          <w:color w:val="000000" w:themeColor="text1"/>
          <w:sz w:val="16"/>
          <w:szCs w:val="16"/>
        </w:rPr>
      </w:pPr>
      <w:r w:rsidRPr="00507A31">
        <w:rPr>
          <w:color w:val="000000" w:themeColor="text1"/>
          <w:sz w:val="16"/>
          <w:szCs w:val="16"/>
        </w:rPr>
        <w:t>В дополнение прежних моих показаний о вредительских планах вредительского] инженерного центра (Промышленной] партии) в связи с интервенцией, показываю следующее:</w:t>
      </w:r>
    </w:p>
    <w:p w14:paraId="0717CEA0" w14:textId="77777777" w:rsidR="00C50B8F" w:rsidRPr="00507A31" w:rsidRDefault="00C50B8F" w:rsidP="00507A31">
      <w:pPr>
        <w:jc w:val="both"/>
        <w:rPr>
          <w:color w:val="000000" w:themeColor="text1"/>
          <w:sz w:val="16"/>
          <w:szCs w:val="16"/>
        </w:rPr>
      </w:pPr>
      <w:r w:rsidRPr="00507A31">
        <w:rPr>
          <w:color w:val="000000" w:themeColor="text1"/>
          <w:sz w:val="16"/>
          <w:szCs w:val="16"/>
        </w:rPr>
        <w:t>1.  Меры для содействия ожидаемой интервенции, намеченные в топливной промышленности, по существу состояли в замедлении темпа развития добычи топлива, в первую очередь, квалифицированного топлива, угля и нефти. Отставание добычи угля от намеченных потребностей металлургической и прочих отраслей создавало состояние напряженности в потребляющих отраслях и в связи с неравномерностью добычи по сезонам, а также неурегулированностью перевозок угля должно было приводить к перебоям, кризисам снабжения, а в момент интервенции — к полному срыву производства в предприятиях, работающих почти без запасов топлива.</w:t>
      </w:r>
    </w:p>
    <w:p w14:paraId="375E785D" w14:textId="77777777" w:rsidR="00C50B8F" w:rsidRPr="00507A31" w:rsidRDefault="00C50B8F" w:rsidP="00507A31">
      <w:pPr>
        <w:jc w:val="both"/>
        <w:rPr>
          <w:color w:val="000000" w:themeColor="text1"/>
          <w:sz w:val="16"/>
          <w:szCs w:val="16"/>
        </w:rPr>
      </w:pPr>
      <w:r w:rsidRPr="00507A31">
        <w:rPr>
          <w:color w:val="000000" w:themeColor="text1"/>
          <w:sz w:val="16"/>
          <w:szCs w:val="16"/>
        </w:rPr>
        <w:t>Шахтинский процесс вскрыл эти планы и заставил перенести упор вредительских планов на другие виды снабжения, в частности — на снабжение металлом.</w:t>
      </w:r>
    </w:p>
    <w:p w14:paraId="3E3C5004" w14:textId="77777777" w:rsidR="00C50B8F" w:rsidRPr="00507A31" w:rsidRDefault="00C50B8F" w:rsidP="00507A31">
      <w:pPr>
        <w:jc w:val="both"/>
        <w:rPr>
          <w:color w:val="000000" w:themeColor="text1"/>
          <w:sz w:val="16"/>
          <w:szCs w:val="16"/>
        </w:rPr>
      </w:pPr>
      <w:r w:rsidRPr="00507A31">
        <w:rPr>
          <w:color w:val="000000" w:themeColor="text1"/>
          <w:sz w:val="16"/>
          <w:szCs w:val="16"/>
        </w:rPr>
        <w:t>2.  В тепловом и энергетическом хозяйстве меры по развитию кризисов и диспропорций в промышленности в видах содействия интервенции выразились в замедлении темпов развития спец[иальных] отраслей техники по использованию малоценных местных видов топлива, в том числе подмосковных углей, торфа, горючих сланцев. Этим создавалось и усиливалось напряженное состояние по снабжению ЦПО и Сев[еро-]Зап[адной] области привозными видами топлива, тогда как использование местных видов топлива оставалось лишь в проектах без возможности реального осуществления установок, работающих на местных видах топлива, в местных заводских централях.</w:t>
      </w:r>
    </w:p>
    <w:p w14:paraId="2AD68731" w14:textId="77777777" w:rsidR="00C50B8F" w:rsidRPr="00507A31" w:rsidRDefault="00C50B8F" w:rsidP="00507A31">
      <w:pPr>
        <w:jc w:val="both"/>
        <w:rPr>
          <w:color w:val="000000" w:themeColor="text1"/>
          <w:sz w:val="16"/>
          <w:szCs w:val="16"/>
        </w:rPr>
      </w:pPr>
      <w:r w:rsidRPr="00507A31">
        <w:rPr>
          <w:color w:val="000000" w:themeColor="text1"/>
          <w:sz w:val="16"/>
          <w:szCs w:val="16"/>
        </w:rPr>
        <w:t>Присоединяя сюда замедление темпа в сооружении и оборудовании этих заводских, а равно и районных установок, имеем картину диспропорций в снабжении заводов теплом (для нагрева) и энергией — по сравнению с развитием потребностей, благодаря сооружению новых цехов и развитию новых отраслей. Пример — развитие заводов Кр[асное] Сормово и Н[овое] Сормово — при дефиците энергии от местной централи, при дефиците в подаче воздуха для котельных и судостроительных работ, при отсутствии ясного и реально-выполнимого плана нагревательных устройств для новой, уже построенной кузницы с цехами спец, назначения (взамен пока еще фантастического проекта подачи торфяного газа по газопроводу из-за Волги) и т. д.</w:t>
      </w:r>
    </w:p>
    <w:p w14:paraId="030D1F32" w14:textId="77777777" w:rsidR="00C50B8F" w:rsidRPr="00507A31" w:rsidRDefault="00C50B8F" w:rsidP="00507A31">
      <w:pPr>
        <w:jc w:val="both"/>
        <w:rPr>
          <w:color w:val="000000" w:themeColor="text1"/>
          <w:sz w:val="16"/>
          <w:szCs w:val="16"/>
        </w:rPr>
      </w:pPr>
      <w:r w:rsidRPr="00507A31">
        <w:rPr>
          <w:color w:val="000000" w:themeColor="text1"/>
          <w:sz w:val="16"/>
          <w:szCs w:val="16"/>
        </w:rPr>
        <w:t>Задержка в разрещении задачи энергетического хозяйства усложнялась медленным темпом развития централи «НИГРЕС». Все в совокупности приводило к тому, что &lt;уже&gt; готовые устройства, новые цеха и сооружения (кузница, цех особого назначения, судоверфь) со всеми вложенными в них дорогими средствами оборудования остаются полностью или частично без использования, а в случае наступления опасного момента для интервенции не могут оказать помощи в деле обороны. В то же время судоверфь не будет в состоянии развить своих работ до полной мощности и тем ускорить разрешение вопроса о перевозке нефти и нефтепродуктов по волжской системе. Последнее обстоятельство имеет существенное значение в момент интервенции, когда пришлось бы взамен экспорта нефти использовать ее для промышленности, в том числе и для оборонной.</w:t>
      </w:r>
    </w:p>
    <w:p w14:paraId="29728414" w14:textId="77777777" w:rsidR="00C50B8F" w:rsidRPr="00507A31" w:rsidRDefault="00C50B8F" w:rsidP="00507A31">
      <w:pPr>
        <w:jc w:val="both"/>
        <w:rPr>
          <w:color w:val="000000" w:themeColor="text1"/>
          <w:sz w:val="16"/>
          <w:szCs w:val="16"/>
        </w:rPr>
      </w:pPr>
      <w:r w:rsidRPr="00507A31">
        <w:rPr>
          <w:color w:val="000000" w:themeColor="text1"/>
          <w:sz w:val="16"/>
          <w:szCs w:val="16"/>
        </w:rPr>
        <w:t>3.  В области снабжения металлами металлообрабатывающей промышленности основная установка заключалась в создании дефицита по снабжению всеми видами и сортами металла и полуфабрикатами для нужд НКПС и других ведомств. Для этого служило в первую очередь замедление темпа развития черной металлургии: а) так называемой «большой металлургии», т. е. производств металлургических заводов Донбасса и Урала и б) «малой металлургии», имеющейся при механических и машиностроительных заводах ЦПО и Сев[еро-]Зап[адной] области.</w:t>
      </w:r>
    </w:p>
    <w:p w14:paraId="2941AE9D" w14:textId="77777777" w:rsidR="00C50B8F" w:rsidRPr="00507A31" w:rsidRDefault="00C50B8F" w:rsidP="00507A31">
      <w:pPr>
        <w:jc w:val="both"/>
        <w:rPr>
          <w:color w:val="000000" w:themeColor="text1"/>
          <w:sz w:val="16"/>
          <w:szCs w:val="16"/>
        </w:rPr>
      </w:pPr>
      <w:r w:rsidRPr="00507A31">
        <w:rPr>
          <w:color w:val="000000" w:themeColor="text1"/>
          <w:sz w:val="16"/>
          <w:szCs w:val="16"/>
        </w:rPr>
        <w:t>Дефицитность по снабжению металлом создавала прямую угрозу развитию всех потребляющих промышленных отраслей и транспорта, этого важнейшего фактора обороны страны, тем самым, кроме кризисов и перебоев в производстве, создавая опасные условия для защиты страны в момент интервенции, когда кроме снарядов и орудий каждый провод и вагон имеет значение в качестве оборонного рессурса.</w:t>
      </w:r>
    </w:p>
    <w:p w14:paraId="57D4821E" w14:textId="77777777" w:rsidR="00C50B8F" w:rsidRPr="00507A31" w:rsidRDefault="00C50B8F" w:rsidP="00507A31">
      <w:pPr>
        <w:jc w:val="both"/>
        <w:rPr>
          <w:color w:val="000000" w:themeColor="text1"/>
          <w:sz w:val="16"/>
          <w:szCs w:val="16"/>
        </w:rPr>
      </w:pPr>
      <w:r w:rsidRPr="00507A31">
        <w:rPr>
          <w:color w:val="000000" w:themeColor="text1"/>
          <w:sz w:val="16"/>
          <w:szCs w:val="16"/>
        </w:rPr>
        <w:t xml:space="preserve">В частности, запоздание в деле восстановительного ремонта и реконструкции цехов для производства бандажей и осей для паровозов и вагонов на заводах М[алой] Металлургии уже в течение последних 3-4 лет являлось существенным тормозом в деле ремонта единиц подвижного ж/д. состава, так как сохранившееся на заводах малой металлургии производства этих частей упиралось в общие недостатки металла и уже не могло удовлетворить растущие потребности НКПС и вагоностроительных заводов, значительно расширяющих свой выпуск. То же самое относится и к прочим деталям подвижного состава жел[езно]дор[ожным] рессорам, частям [с]цепного тягового устройства и пр. Между тем, своевременное разрешение этой задачи устройством специальных цехов для централизованного </w:t>
      </w:r>
      <w:r w:rsidRPr="00507A31">
        <w:rPr>
          <w:color w:val="000000" w:themeColor="text1"/>
          <w:sz w:val="16"/>
          <w:szCs w:val="16"/>
        </w:rPr>
        <w:lastRenderedPageBreak/>
        <w:t>изготовления путем прокатки и проковки осей, прокатки безбандажных колес (или отливки колес по системе Грифона из сталистого чугуна), а также цехов для централизованного производства рессор, пружин, сцепных приборов и пр. — способствовало бы полному развитию средств транспорта, обеспечило бы развитие вагоностроения и отчасти паровозостроения, и благодаря современному централизованному методу производства способствовало бы также значительной экономии металла по этим изделиям.</w:t>
      </w:r>
    </w:p>
    <w:p w14:paraId="0E90A4E0" w14:textId="77777777" w:rsidR="00C50B8F" w:rsidRPr="00507A31" w:rsidRDefault="00C50B8F" w:rsidP="00507A31">
      <w:pPr>
        <w:jc w:val="both"/>
        <w:rPr>
          <w:color w:val="000000" w:themeColor="text1"/>
          <w:sz w:val="16"/>
          <w:szCs w:val="16"/>
        </w:rPr>
      </w:pPr>
      <w:r w:rsidRPr="00507A31">
        <w:rPr>
          <w:color w:val="000000" w:themeColor="text1"/>
          <w:sz w:val="16"/>
          <w:szCs w:val="16"/>
        </w:rPr>
        <w:t>Запоздание в разрешении указанных задач ставит наш жел. дор. транспорт в хроническое состояние дефицитности по этим частям, а в острый момент интервенции лишает возможности быстрого выхода из затруднения вследствие неминуемого увеличения запросов по этой части.</w:t>
      </w:r>
    </w:p>
    <w:p w14:paraId="5E11CF09" w14:textId="77777777" w:rsidR="00C50B8F" w:rsidRPr="00507A31" w:rsidRDefault="00C50B8F" w:rsidP="00507A31">
      <w:pPr>
        <w:jc w:val="both"/>
        <w:rPr>
          <w:color w:val="000000" w:themeColor="text1"/>
          <w:sz w:val="16"/>
          <w:szCs w:val="16"/>
        </w:rPr>
      </w:pPr>
      <w:r w:rsidRPr="00507A31">
        <w:rPr>
          <w:color w:val="000000" w:themeColor="text1"/>
          <w:sz w:val="16"/>
          <w:szCs w:val="16"/>
        </w:rPr>
        <w:t>Заводы для производства рессор, пружин и пр. централизованным путем запроэктированы только в 1930 году; цех же для производства колес и осей (намеченный в Днепропетровске на зав. им. Дзержинского), еще не разработан в виде окончательного проэкта.</w:t>
      </w:r>
    </w:p>
    <w:p w14:paraId="6C4065CE" w14:textId="77777777" w:rsidR="00C50B8F" w:rsidRPr="00507A31" w:rsidRDefault="00C50B8F" w:rsidP="00507A31">
      <w:pPr>
        <w:jc w:val="both"/>
        <w:rPr>
          <w:color w:val="000000" w:themeColor="text1"/>
          <w:sz w:val="16"/>
          <w:szCs w:val="16"/>
        </w:rPr>
      </w:pPr>
      <w:r w:rsidRPr="00507A31">
        <w:rPr>
          <w:color w:val="000000" w:themeColor="text1"/>
          <w:sz w:val="16"/>
          <w:szCs w:val="16"/>
        </w:rPr>
        <w:t>Замедление в указанных производствах создает, таким образом, угрозу в случае подготовки войны или интервенции.</w:t>
      </w:r>
    </w:p>
    <w:p w14:paraId="7D8E925C" w14:textId="77777777" w:rsidR="00C50B8F" w:rsidRPr="00507A31" w:rsidRDefault="00C50B8F" w:rsidP="00507A31">
      <w:pPr>
        <w:jc w:val="both"/>
        <w:rPr>
          <w:color w:val="000000" w:themeColor="text1"/>
          <w:sz w:val="16"/>
          <w:szCs w:val="16"/>
        </w:rPr>
      </w:pPr>
      <w:r w:rsidRPr="00507A31">
        <w:rPr>
          <w:color w:val="000000" w:themeColor="text1"/>
          <w:sz w:val="16"/>
          <w:szCs w:val="16"/>
        </w:rPr>
        <w:t>4.   В вагоностроении, паровозостроении и речном судостроении — замедление темпа развития этих отраслей также имеет существенное отрицательное значение в случае интервенции. Необходимо отметить:</w:t>
      </w:r>
    </w:p>
    <w:p w14:paraId="6191BD72" w14:textId="77777777" w:rsidR="00C50B8F" w:rsidRPr="00507A31" w:rsidRDefault="00C50B8F" w:rsidP="00507A31">
      <w:pPr>
        <w:jc w:val="both"/>
        <w:rPr>
          <w:color w:val="000000" w:themeColor="text1"/>
          <w:sz w:val="16"/>
          <w:szCs w:val="16"/>
        </w:rPr>
      </w:pPr>
      <w:r w:rsidRPr="00507A31">
        <w:rPr>
          <w:color w:val="000000" w:themeColor="text1"/>
          <w:sz w:val="16"/>
          <w:szCs w:val="16"/>
        </w:rPr>
        <w:t>а) отсутствие разработанного конструктивного типа большегрузного вагона; несмотря на подготовленные уже по американским образцам технологические данные для разработки конструкции, НКПС не дал еще определенного решения этой задачи, что создает ненормальные условия для развития и даже проэктирования соответствующего производства, имеющего серьезное оборонное значение;</w:t>
      </w:r>
    </w:p>
    <w:p w14:paraId="2F1D9927" w14:textId="77777777" w:rsidR="00C50B8F" w:rsidRPr="00507A31" w:rsidRDefault="00C50B8F" w:rsidP="00507A31">
      <w:pPr>
        <w:jc w:val="both"/>
        <w:rPr>
          <w:color w:val="000000" w:themeColor="text1"/>
          <w:sz w:val="16"/>
          <w:szCs w:val="16"/>
        </w:rPr>
      </w:pPr>
      <w:r w:rsidRPr="00507A31">
        <w:rPr>
          <w:color w:val="000000" w:themeColor="text1"/>
          <w:sz w:val="16"/>
          <w:szCs w:val="16"/>
        </w:rPr>
        <w:t>б) целый ряд изменений в первоначальных заданиях на разработку 3-х проектов вагоностроительных] заводов: Н.-Тагильского, з-да им. Правды, зав. Кр[асный] Профинтерн — привел к замедлению соответствующего строительства и тем способствует ослаблению нашей производственной мощности в этой отрасли, имеющей первостепенное оборонное значение;</w:t>
      </w:r>
    </w:p>
    <w:p w14:paraId="1D8945BC" w14:textId="77777777" w:rsidR="00C50B8F" w:rsidRPr="00507A31" w:rsidRDefault="00C50B8F" w:rsidP="00507A31">
      <w:pPr>
        <w:jc w:val="both"/>
        <w:rPr>
          <w:color w:val="000000" w:themeColor="text1"/>
          <w:sz w:val="16"/>
          <w:szCs w:val="16"/>
        </w:rPr>
      </w:pPr>
      <w:r w:rsidRPr="00507A31">
        <w:rPr>
          <w:color w:val="000000" w:themeColor="text1"/>
          <w:sz w:val="16"/>
          <w:szCs w:val="16"/>
        </w:rPr>
        <w:t>в) то же самое наблюдается и в отношении паровозостроения, где как в отношении типов, так и в отношении распределения производства их по заводам наблюдается ряд бесплодных проволочек. Между прочим, строящийся (реконструирующийся) Луганский паровозостроительный завод все еще далек от окончания. Заводы Кр[асный] Профинтерн и Сормово крайне устарели по оборудованию и не имеют твердого задания для их реконструкции. Таким образом, эта важнейшая отрасль для обороны страны остается без твердых планов ее развития, что создает за снабжение паровозами в момент подготовки к войне или интервенции.</w:t>
      </w:r>
    </w:p>
    <w:p w14:paraId="36450B99" w14:textId="77777777" w:rsidR="00C50B8F" w:rsidRPr="00507A31" w:rsidRDefault="00C50B8F" w:rsidP="00507A31">
      <w:pPr>
        <w:jc w:val="both"/>
        <w:rPr>
          <w:color w:val="000000" w:themeColor="text1"/>
          <w:sz w:val="16"/>
          <w:szCs w:val="16"/>
        </w:rPr>
      </w:pPr>
      <w:r w:rsidRPr="00507A31">
        <w:rPr>
          <w:color w:val="000000" w:themeColor="text1"/>
          <w:sz w:val="16"/>
          <w:szCs w:val="16"/>
        </w:rPr>
        <w:t>г) Построение вагонов спец[иального] назначения: промышленного — саморазгружающегося — для перевозки массовых грузов, как-то: угля, руды, всякого минерального сырья — не налажено, что создает угрозу для развития металлургии на крупных заводах, а также и для правильной работы этих заводов в случае войны.</w:t>
      </w:r>
    </w:p>
    <w:p w14:paraId="11DABF4E" w14:textId="77777777" w:rsidR="00C50B8F" w:rsidRPr="00507A31" w:rsidRDefault="00C50B8F" w:rsidP="00507A31">
      <w:pPr>
        <w:jc w:val="both"/>
        <w:rPr>
          <w:color w:val="000000" w:themeColor="text1"/>
          <w:sz w:val="16"/>
          <w:szCs w:val="16"/>
        </w:rPr>
      </w:pPr>
      <w:r w:rsidRPr="00507A31">
        <w:rPr>
          <w:color w:val="000000" w:themeColor="text1"/>
          <w:sz w:val="16"/>
          <w:szCs w:val="16"/>
        </w:rPr>
        <w:t>Построение цистерн для перевозки нефти также сильно запаздывает развитием, что имеет весьма отрицательное значение в смысле обеспечения перевозки нефти, особенно в случае интервенции, когда нефть будет иметь потребляющее значение в качестве топлива во многих производствах оборонного характера.</w:t>
      </w:r>
    </w:p>
    <w:p w14:paraId="0FE9DB32" w14:textId="77777777" w:rsidR="00C50B8F" w:rsidRPr="00507A31" w:rsidRDefault="00C50B8F" w:rsidP="00507A31">
      <w:pPr>
        <w:jc w:val="both"/>
        <w:rPr>
          <w:color w:val="000000" w:themeColor="text1"/>
          <w:sz w:val="16"/>
          <w:szCs w:val="16"/>
        </w:rPr>
      </w:pPr>
      <w:r w:rsidRPr="00507A31">
        <w:rPr>
          <w:color w:val="000000" w:themeColor="text1"/>
          <w:sz w:val="16"/>
          <w:szCs w:val="16"/>
        </w:rPr>
        <w:t>д) Замедление темпа развития речного судостроения весьма вредно отражается на перевозке нефтяных грузов и дает картину полной диспропорции между добычей нефти в разных районах и возможностью ее использования для промышленности, в том числе и оборонной, в случае интервенции.</w:t>
      </w:r>
    </w:p>
    <w:p w14:paraId="198AC80F" w14:textId="77777777" w:rsidR="00C50B8F" w:rsidRPr="00507A31" w:rsidRDefault="00C50B8F" w:rsidP="00507A31">
      <w:pPr>
        <w:jc w:val="both"/>
        <w:rPr>
          <w:color w:val="000000" w:themeColor="text1"/>
          <w:sz w:val="16"/>
          <w:szCs w:val="16"/>
        </w:rPr>
      </w:pPr>
      <w:r w:rsidRPr="00507A31">
        <w:rPr>
          <w:color w:val="000000" w:themeColor="text1"/>
          <w:sz w:val="16"/>
          <w:szCs w:val="16"/>
        </w:rPr>
        <w:t>Все развитие судостроения упирается: 1) в дефицит металла — листового и сортового, благодаря запозданию в развитии соответствующих средств металлургии, 2) в недостаточно быстрое развитие металлургии, 3) в недостаточно быстрое развитие производства двигателей — дизелей на наших заводах. Последнее же, помимо общего запаздывания в развитии основных цехов, имеет также причину — в замедленном темпе развития на всех наших заводах, заготовительных цехов, литейных, кузнечных, представляющих давно известное узкое место в нашем машиностроении.</w:t>
      </w:r>
    </w:p>
    <w:p w14:paraId="7C29B871" w14:textId="77777777" w:rsidR="00C50B8F" w:rsidRPr="00507A31" w:rsidRDefault="00C50B8F" w:rsidP="00507A31">
      <w:pPr>
        <w:jc w:val="both"/>
        <w:rPr>
          <w:color w:val="000000" w:themeColor="text1"/>
          <w:sz w:val="16"/>
          <w:szCs w:val="16"/>
        </w:rPr>
      </w:pPr>
      <w:r w:rsidRPr="00507A31">
        <w:rPr>
          <w:color w:val="000000" w:themeColor="text1"/>
          <w:sz w:val="16"/>
          <w:szCs w:val="16"/>
        </w:rPr>
        <w:t>Составление заготовительных цехов в состоянии полной их дефицитности при одновременном развитии (выпускных) цехов является результатом вредительства, которое имеет значение и для мирного и для военного периода в промышленности, тем более, что некоторые типы дизелей имеют определенное назначение (для военных судов).</w:t>
      </w:r>
    </w:p>
    <w:p w14:paraId="6795D4D0" w14:textId="77777777" w:rsidR="00C50B8F" w:rsidRPr="00507A31" w:rsidRDefault="00C50B8F" w:rsidP="00507A31">
      <w:pPr>
        <w:jc w:val="both"/>
        <w:rPr>
          <w:color w:val="000000" w:themeColor="text1"/>
          <w:sz w:val="16"/>
          <w:szCs w:val="16"/>
        </w:rPr>
      </w:pPr>
      <w:r w:rsidRPr="00507A31">
        <w:rPr>
          <w:color w:val="000000" w:themeColor="text1"/>
          <w:sz w:val="16"/>
          <w:szCs w:val="16"/>
        </w:rPr>
        <w:t>5.   Развитие многих машиностроительных производств для обслуживания химической промышленности также было сильно задержано — в ущерб оборонной способности в случае войны или интервенции. Производство химаппаратуры упирается, с одной стороны, в отсутствие разработанных конструктивных типов, а с другой стороны, в неподготовленность нашей металлургии к производству специальных качеств стали — кислотоупорной, нержавеющей, способной выдерживать высокие давления и температуры при одновременном действии кислот. Запаздывание в подготовке этих производств создает весьма неблагоприятные условия для ряда производств, обслуживающих военную промышленность, в том числе производств взрывчатых веществ.</w:t>
      </w:r>
    </w:p>
    <w:p w14:paraId="7A1222E0" w14:textId="77777777" w:rsidR="00C50B8F" w:rsidRPr="00507A31" w:rsidRDefault="00C50B8F" w:rsidP="00507A31">
      <w:pPr>
        <w:jc w:val="both"/>
        <w:rPr>
          <w:color w:val="000000" w:themeColor="text1"/>
          <w:sz w:val="16"/>
          <w:szCs w:val="16"/>
        </w:rPr>
      </w:pPr>
      <w:r w:rsidRPr="00507A31">
        <w:rPr>
          <w:color w:val="000000" w:themeColor="text1"/>
          <w:sz w:val="16"/>
          <w:szCs w:val="16"/>
        </w:rPr>
        <w:t>Наконец, чрезвычайно растущая потребность в топливе для тракторов, автомобилей и для авиаприборов заставляет форсировать сооружение крекинговых установок, а для этих последних нужны также цельнокованные барабаны, удовлетворяющие требованиям высоких давлений, температур — при действии кислоты. Таких барабанов мы все еще не изготовляем, и запоздалость нашей подготовки в этом направлении является результатом вредительства не в одной лишь металлопромышленности, но также и в химической промышленности, которая, в случае интервенции или даже экономической блокады, окажется не в состоянии создать нужное ей оборудование средствами внутреннего производства, импорт же в этот момент будет невозможен. Между тем, как раз этого рода производства имеют весьма большое оборонное значение.</w:t>
      </w:r>
    </w:p>
    <w:p w14:paraId="24D0DA1F" w14:textId="77777777" w:rsidR="00C50B8F" w:rsidRPr="00507A31" w:rsidRDefault="00C50B8F" w:rsidP="00507A31">
      <w:pPr>
        <w:jc w:val="both"/>
        <w:rPr>
          <w:color w:val="000000" w:themeColor="text1"/>
          <w:sz w:val="16"/>
          <w:szCs w:val="16"/>
        </w:rPr>
      </w:pPr>
      <w:r w:rsidRPr="00507A31">
        <w:rPr>
          <w:color w:val="000000" w:themeColor="text1"/>
          <w:sz w:val="16"/>
          <w:szCs w:val="16"/>
        </w:rPr>
        <w:t>6.   Не менее запоздалым является также развитие у нас отрасли станкостроения, имеющего самое существенное значение в производствах не только общего характера, но и в производствах по обороне, как, например, по изготовлению орудий, снарядов и пр., в чем мы убедились на опыте мировой войны. Такое же значение в этом смысле имеет и инструментальное дело, также отставшее своим развитием. Обе эти отрасли, как имеющие существенное значение в случае войны или интервенции, требуют к себе самого серьезного внимания, но на деле получили толчок к развитию лишь в самое последнее время.</w:t>
      </w:r>
    </w:p>
    <w:p w14:paraId="7B4C9CB8" w14:textId="77777777" w:rsidR="00C50B8F" w:rsidRPr="00507A31" w:rsidRDefault="00C50B8F" w:rsidP="00507A31">
      <w:pPr>
        <w:jc w:val="both"/>
        <w:rPr>
          <w:color w:val="000000" w:themeColor="text1"/>
          <w:sz w:val="16"/>
          <w:szCs w:val="16"/>
        </w:rPr>
      </w:pPr>
      <w:r w:rsidRPr="00507A31">
        <w:rPr>
          <w:color w:val="000000" w:themeColor="text1"/>
          <w:sz w:val="16"/>
          <w:szCs w:val="16"/>
        </w:rPr>
        <w:t>Так, проекты четырех станкостроительных заводов представлены на утверждение только в 1930 году, что следует приписать вредительству в самом планировании отраслей.</w:t>
      </w:r>
    </w:p>
    <w:p w14:paraId="4525274B" w14:textId="77777777" w:rsidR="00C50B8F" w:rsidRPr="00507A31" w:rsidRDefault="00C50B8F" w:rsidP="00507A31">
      <w:pPr>
        <w:jc w:val="both"/>
        <w:rPr>
          <w:color w:val="000000" w:themeColor="text1"/>
          <w:sz w:val="16"/>
          <w:szCs w:val="16"/>
        </w:rPr>
      </w:pPr>
      <w:r w:rsidRPr="00507A31">
        <w:rPr>
          <w:color w:val="000000" w:themeColor="text1"/>
          <w:sz w:val="16"/>
          <w:szCs w:val="16"/>
        </w:rPr>
        <w:t>7.   Наконец, один из обычных методов вредительства — искажение нормального порядка сооружения цехов, при котором основные выпускные цехи сооружались бы не раньше, чем заготовительные, а перед этим была бы обеспечена и соответствующая металлургическая база для данного производства, применен и в производствах, имеющих существенное значение в случае интервенции. Здесь можно указать на уже упомянутый пример сооружения в Н[овом] Сормове цеха особого назначения (для производства орудий) — при незаконченном оборудовании нужной для этого цеха прессовой мастерской, причем остается открытым вопрос о том, откуда будут получаться литые болванки для этой прессовой мастерской, ибо вопрос о широком развитии производства качественных сталей в Н[овом] Сормове остается, по[-]видимому, открытым. Таким образом, несогласованность в планах и сроках сооружения отдельных цехов, тесно связанных между собой технологически, является злом как для производства мирного значения, так и для производств, имеющих прямое оборонное значение. Последнее обстоятельство, в связи с общим запозданием в сооружении таких цехов[,] является весьма существенным с точки зрения вредительства, в случае интервенции.</w:t>
      </w:r>
    </w:p>
    <w:p w14:paraId="3D614A2E" w14:textId="77777777" w:rsidR="00C50B8F" w:rsidRPr="00507A31" w:rsidRDefault="00C50B8F" w:rsidP="00507A31">
      <w:pPr>
        <w:jc w:val="both"/>
        <w:rPr>
          <w:color w:val="000000" w:themeColor="text1"/>
          <w:sz w:val="16"/>
          <w:szCs w:val="16"/>
        </w:rPr>
      </w:pPr>
      <w:r w:rsidRPr="00507A31">
        <w:rPr>
          <w:color w:val="000000" w:themeColor="text1"/>
          <w:sz w:val="16"/>
          <w:szCs w:val="16"/>
        </w:rPr>
        <w:t>8.   Общий вывод можно сделать тот, что при тесной связи решительно всех отраслей с металлопромышленностью и, в частности, с машиностроением, нет ни одной, которая бы не страдала от неправильного планирования машиностроительных отраслей, а в том числе в случае интервенции страдают как непосредственно отрасли военного снаряжения, так и отрасли, обслуживающие тыловые работы и связи. Поэтому и во всех частных случаях депланирования отраслей следует усматривать проведение общей тенденции вредительства к замедлению темпов и снижению нормального плана развития всех производств, одинаково для мирного, как и для военного времени; при этом указанные искажения должны наиболее чувствительным образом отразиться на обороне страны именно в момент интервенции.</w:t>
      </w:r>
    </w:p>
    <w:p w14:paraId="586789B2" w14:textId="77777777" w:rsidR="00C50B8F" w:rsidRPr="00507A31" w:rsidRDefault="00C50B8F" w:rsidP="00507A31">
      <w:pPr>
        <w:jc w:val="both"/>
        <w:rPr>
          <w:color w:val="000000" w:themeColor="text1"/>
          <w:sz w:val="16"/>
          <w:szCs w:val="16"/>
        </w:rPr>
      </w:pPr>
      <w:r w:rsidRPr="00507A31">
        <w:rPr>
          <w:color w:val="000000" w:themeColor="text1"/>
          <w:sz w:val="16"/>
          <w:szCs w:val="16"/>
        </w:rPr>
        <w:t>Н. ЧАРНОВСКИЙ</w:t>
      </w:r>
    </w:p>
    <w:p w14:paraId="171A5A57" w14:textId="77777777" w:rsidR="00C50B8F" w:rsidRPr="00507A31" w:rsidRDefault="00C50B8F" w:rsidP="00507A31">
      <w:pPr>
        <w:jc w:val="both"/>
        <w:rPr>
          <w:color w:val="000000" w:themeColor="text1"/>
          <w:sz w:val="16"/>
          <w:szCs w:val="16"/>
        </w:rPr>
      </w:pPr>
      <w:r w:rsidRPr="00507A31">
        <w:rPr>
          <w:color w:val="000000" w:themeColor="text1"/>
          <w:sz w:val="16"/>
          <w:szCs w:val="16"/>
        </w:rPr>
        <w:t>Допросили: ПОМ. НАЧ. СОУ ОГПУ АГРАНОВ.</w:t>
      </w:r>
    </w:p>
    <w:p w14:paraId="69088BED" w14:textId="77777777" w:rsidR="00C50B8F" w:rsidRPr="00507A31" w:rsidRDefault="00C50B8F" w:rsidP="00507A31">
      <w:pPr>
        <w:jc w:val="both"/>
        <w:rPr>
          <w:color w:val="000000" w:themeColor="text1"/>
          <w:sz w:val="16"/>
          <w:szCs w:val="16"/>
        </w:rPr>
      </w:pPr>
      <w:r w:rsidRPr="00507A31">
        <w:rPr>
          <w:color w:val="000000" w:themeColor="text1"/>
          <w:sz w:val="16"/>
          <w:szCs w:val="16"/>
        </w:rPr>
        <w:t>ПОМ. НАЧ. 3 [отделения] СО ОГПУ РАДЗИВИЛОВСКИЙ</w:t>
      </w:r>
    </w:p>
    <w:p w14:paraId="07ECF884" w14:textId="77777777" w:rsidR="00C50B8F" w:rsidRPr="00507A31" w:rsidRDefault="00C50B8F" w:rsidP="00507A31">
      <w:pPr>
        <w:jc w:val="both"/>
        <w:rPr>
          <w:color w:val="000000" w:themeColor="text1"/>
          <w:sz w:val="16"/>
          <w:szCs w:val="16"/>
        </w:rPr>
      </w:pPr>
      <w:r w:rsidRPr="00507A31">
        <w:rPr>
          <w:color w:val="000000" w:themeColor="text1"/>
          <w:sz w:val="16"/>
          <w:szCs w:val="16"/>
        </w:rPr>
        <w:t>Д. 355. Л. 108-115. Заверенная машинописная копия того времени (см. легенду к док. № 355-7). В тексте имеются многочисленные подчеркивания карандашом.</w:t>
      </w:r>
    </w:p>
    <w:p w14:paraId="29068545" w14:textId="77777777" w:rsidR="00C50B8F" w:rsidRPr="00507A31" w:rsidRDefault="00C50B8F" w:rsidP="00507A31">
      <w:pPr>
        <w:jc w:val="both"/>
        <w:rPr>
          <w:color w:val="000000" w:themeColor="text1"/>
          <w:sz w:val="16"/>
          <w:szCs w:val="16"/>
        </w:rPr>
      </w:pPr>
      <w:r w:rsidRPr="00507A31">
        <w:rPr>
          <w:color w:val="000000" w:themeColor="text1"/>
          <w:sz w:val="16"/>
          <w:szCs w:val="16"/>
        </w:rPr>
        <w:t>ЦА ФСБ РФ. Ф. Р-42280. Т. 10. Л. 173-180. Машинописная копия того времени, заверенная Кошеверовым (18500).</w:t>
      </w:r>
    </w:p>
    <w:p w14:paraId="7A336D12" w14:textId="77777777" w:rsidR="00C50B8F" w:rsidRPr="00507A31" w:rsidRDefault="00C50B8F" w:rsidP="00507A31">
      <w:pPr>
        <w:jc w:val="both"/>
        <w:rPr>
          <w:color w:val="000000" w:themeColor="text1"/>
          <w:sz w:val="16"/>
          <w:szCs w:val="16"/>
        </w:rPr>
      </w:pPr>
    </w:p>
    <w:p w14:paraId="21EC56E8" w14:textId="77777777" w:rsidR="00C50B8F" w:rsidRPr="00507A31" w:rsidRDefault="00C50B8F" w:rsidP="00507A31">
      <w:pPr>
        <w:jc w:val="both"/>
        <w:rPr>
          <w:color w:val="000000" w:themeColor="text1"/>
          <w:sz w:val="16"/>
          <w:szCs w:val="16"/>
        </w:rPr>
      </w:pPr>
      <w:r w:rsidRPr="00507A31">
        <w:rPr>
          <w:color w:val="000000" w:themeColor="text1"/>
          <w:sz w:val="16"/>
          <w:szCs w:val="16"/>
        </w:rPr>
        <w:t>3 ноября 1930 г.</w:t>
      </w:r>
    </w:p>
    <w:p w14:paraId="02CED66E" w14:textId="77777777" w:rsidR="00C50B8F" w:rsidRPr="00507A31" w:rsidRDefault="00C50B8F" w:rsidP="00507A31">
      <w:pPr>
        <w:jc w:val="both"/>
        <w:rPr>
          <w:color w:val="000000" w:themeColor="text1"/>
          <w:sz w:val="16"/>
          <w:szCs w:val="16"/>
        </w:rPr>
      </w:pPr>
      <w:r w:rsidRPr="00507A31">
        <w:rPr>
          <w:color w:val="000000" w:themeColor="text1"/>
          <w:sz w:val="16"/>
          <w:szCs w:val="16"/>
        </w:rPr>
        <w:t>Показания В. А. Ларичева «о подготовке интервенции против СССР». 3 ноября 1930 г.</w:t>
      </w:r>
    </w:p>
    <w:p w14:paraId="5404ECC3" w14:textId="77777777" w:rsidR="00C50B8F" w:rsidRPr="00507A31" w:rsidRDefault="00C50B8F" w:rsidP="00507A31">
      <w:pPr>
        <w:jc w:val="both"/>
        <w:rPr>
          <w:color w:val="000000" w:themeColor="text1"/>
          <w:sz w:val="16"/>
          <w:szCs w:val="16"/>
        </w:rPr>
      </w:pPr>
      <w:r w:rsidRPr="00507A31">
        <w:rPr>
          <w:color w:val="000000" w:themeColor="text1"/>
          <w:sz w:val="16"/>
          <w:szCs w:val="16"/>
        </w:rPr>
        <w:t>Источник: </w:t>
      </w:r>
    </w:p>
    <w:p w14:paraId="5BFBD486" w14:textId="77777777" w:rsidR="00C50B8F" w:rsidRPr="00507A31" w:rsidRDefault="00C50B8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71507CC" w14:textId="77777777" w:rsidR="00C50B8F" w:rsidRPr="00507A31" w:rsidRDefault="00C50B8F" w:rsidP="00507A31">
      <w:pPr>
        <w:jc w:val="both"/>
        <w:rPr>
          <w:color w:val="000000" w:themeColor="text1"/>
          <w:sz w:val="16"/>
          <w:szCs w:val="16"/>
        </w:rPr>
      </w:pPr>
      <w:r w:rsidRPr="00507A31">
        <w:rPr>
          <w:color w:val="000000" w:themeColor="text1"/>
          <w:sz w:val="16"/>
          <w:szCs w:val="16"/>
        </w:rPr>
        <w:t>Архив: </w:t>
      </w:r>
    </w:p>
    <w:p w14:paraId="2CD90543" w14:textId="77777777" w:rsidR="00C50B8F" w:rsidRPr="00507A31" w:rsidRDefault="00C50B8F" w:rsidP="00507A31">
      <w:pPr>
        <w:jc w:val="both"/>
        <w:rPr>
          <w:color w:val="000000" w:themeColor="text1"/>
          <w:sz w:val="16"/>
          <w:szCs w:val="16"/>
        </w:rPr>
      </w:pPr>
      <w:r w:rsidRPr="00507A31">
        <w:rPr>
          <w:color w:val="000000" w:themeColor="text1"/>
          <w:sz w:val="16"/>
          <w:szCs w:val="16"/>
        </w:rPr>
        <w:t>ЦА ФСБ РФ. Ф. Р-42280. Т. 10. Л. 127-130</w:t>
      </w:r>
    </w:p>
    <w:p w14:paraId="1CABA140" w14:textId="77777777" w:rsidR="00C50B8F" w:rsidRPr="00507A31" w:rsidRDefault="00C50B8F" w:rsidP="00507A31">
      <w:pPr>
        <w:jc w:val="both"/>
        <w:rPr>
          <w:color w:val="000000" w:themeColor="text1"/>
          <w:sz w:val="16"/>
          <w:szCs w:val="16"/>
        </w:rPr>
      </w:pPr>
      <w:r w:rsidRPr="00507A31">
        <w:rPr>
          <w:color w:val="000000" w:themeColor="text1"/>
          <w:sz w:val="16"/>
          <w:szCs w:val="16"/>
        </w:rPr>
        <w:t>3 ноября 1930 г.</w:t>
      </w:r>
    </w:p>
    <w:p w14:paraId="7F55D9C8" w14:textId="77777777" w:rsidR="00C50B8F" w:rsidRPr="00507A31" w:rsidRDefault="00C50B8F" w:rsidP="00507A31">
      <w:pPr>
        <w:jc w:val="both"/>
        <w:rPr>
          <w:color w:val="000000" w:themeColor="text1"/>
          <w:sz w:val="16"/>
          <w:szCs w:val="16"/>
        </w:rPr>
      </w:pPr>
      <w:r w:rsidRPr="00507A31">
        <w:rPr>
          <w:color w:val="000000" w:themeColor="text1"/>
          <w:sz w:val="16"/>
          <w:szCs w:val="16"/>
        </w:rPr>
        <w:t>[Строго секретно]</w:t>
      </w:r>
    </w:p>
    <w:p w14:paraId="1B90BD14" w14:textId="77777777" w:rsidR="00C50B8F" w:rsidRPr="00507A31" w:rsidRDefault="00C50B8F" w:rsidP="00507A31">
      <w:pPr>
        <w:jc w:val="both"/>
        <w:rPr>
          <w:color w:val="000000" w:themeColor="text1"/>
          <w:sz w:val="16"/>
          <w:szCs w:val="16"/>
        </w:rPr>
      </w:pPr>
      <w:r w:rsidRPr="00507A31">
        <w:rPr>
          <w:color w:val="000000" w:themeColor="text1"/>
          <w:sz w:val="16"/>
          <w:szCs w:val="16"/>
        </w:rPr>
        <w:t>ПРОТОКОЛ ДОПРОСА</w:t>
      </w:r>
    </w:p>
    <w:p w14:paraId="1AB25FA4" w14:textId="77777777" w:rsidR="00C50B8F" w:rsidRPr="00507A31" w:rsidRDefault="00C50B8F" w:rsidP="00507A31">
      <w:pPr>
        <w:jc w:val="both"/>
        <w:rPr>
          <w:color w:val="000000" w:themeColor="text1"/>
          <w:sz w:val="16"/>
          <w:szCs w:val="16"/>
        </w:rPr>
      </w:pPr>
      <w:r w:rsidRPr="00507A31">
        <w:rPr>
          <w:color w:val="000000" w:themeColor="text1"/>
          <w:sz w:val="16"/>
          <w:szCs w:val="16"/>
        </w:rPr>
        <w:t>ЛАРИЧЕВА Виктора Алексеевича от 3/XI-30 г.</w:t>
      </w:r>
    </w:p>
    <w:p w14:paraId="480BD2F8" w14:textId="77777777" w:rsidR="00C50B8F" w:rsidRPr="00507A31" w:rsidRDefault="00C50B8F" w:rsidP="00507A31">
      <w:pPr>
        <w:jc w:val="both"/>
        <w:rPr>
          <w:color w:val="000000" w:themeColor="text1"/>
          <w:sz w:val="16"/>
          <w:szCs w:val="16"/>
        </w:rPr>
      </w:pPr>
      <w:r w:rsidRPr="00507A31">
        <w:rPr>
          <w:color w:val="000000" w:themeColor="text1"/>
          <w:sz w:val="16"/>
          <w:szCs w:val="16"/>
        </w:rPr>
        <w:t>Допросили: П[ом]/нач. СОУ ОГПУ АГРАНОВ и</w:t>
      </w:r>
    </w:p>
    <w:p w14:paraId="08A95D5F" w14:textId="77777777" w:rsidR="00C50B8F" w:rsidRPr="00507A31" w:rsidRDefault="00C50B8F" w:rsidP="00507A31">
      <w:pPr>
        <w:jc w:val="both"/>
        <w:rPr>
          <w:color w:val="000000" w:themeColor="text1"/>
          <w:sz w:val="16"/>
          <w:szCs w:val="16"/>
        </w:rPr>
      </w:pPr>
      <w:r w:rsidRPr="00507A31">
        <w:rPr>
          <w:color w:val="000000" w:themeColor="text1"/>
          <w:sz w:val="16"/>
          <w:szCs w:val="16"/>
        </w:rPr>
        <w:t>п/нач. 3 отделения] СООГПУ РАДЗИВИЛОВСКИЙ.</w:t>
      </w:r>
    </w:p>
    <w:p w14:paraId="646FC0DA" w14:textId="77777777" w:rsidR="00C50B8F" w:rsidRPr="00507A31" w:rsidRDefault="00C50B8F" w:rsidP="00507A31">
      <w:pPr>
        <w:jc w:val="both"/>
        <w:rPr>
          <w:color w:val="000000" w:themeColor="text1"/>
          <w:sz w:val="16"/>
          <w:szCs w:val="16"/>
        </w:rPr>
      </w:pPr>
      <w:r w:rsidRPr="00507A31">
        <w:rPr>
          <w:color w:val="000000" w:themeColor="text1"/>
          <w:sz w:val="16"/>
          <w:szCs w:val="16"/>
        </w:rPr>
        <w:t>О подготовке к интервенции против СССР.</w:t>
      </w:r>
    </w:p>
    <w:p w14:paraId="2E466601" w14:textId="77777777" w:rsidR="00C50B8F" w:rsidRPr="00507A31" w:rsidRDefault="00C50B8F" w:rsidP="00507A31">
      <w:pPr>
        <w:jc w:val="both"/>
        <w:rPr>
          <w:color w:val="000000" w:themeColor="text1"/>
          <w:sz w:val="16"/>
          <w:szCs w:val="16"/>
        </w:rPr>
      </w:pPr>
      <w:r w:rsidRPr="00507A31">
        <w:rPr>
          <w:color w:val="000000" w:themeColor="text1"/>
          <w:sz w:val="16"/>
          <w:szCs w:val="16"/>
        </w:rPr>
        <w:lastRenderedPageBreak/>
        <w:t>Одной из главных задач, которую промышленная партия проводила в своей деятельности по подготовке к интервенции против СССР, было доведение страны до кризисного состояния путем: 1) всемерной задержки общего развития народного хозяйства и 2) путем диспропорции развития отдельных его элементов. Такая общая директива, данная ЦК Промпартии, проводилась членами различных вредительских организаций, в первую очередь центральных учреждений — Госплана и ВСНХ — в отношении разработки самих планов и далее на местах, в их осуществлении по различным отраслям народного хозяйства. Главнейшими объектами вредительской деятельности, естественно, являлись мелочи, топливо, электроснабжение и транспорт, т. к. диспропорция в их развитии наиболее существенным образом влияла на дезорганизацию всего народн[ого] хозяйства и тем самым на резкое ухудшение обороноспособности страны.</w:t>
      </w:r>
    </w:p>
    <w:p w14:paraId="5DC40309" w14:textId="77777777" w:rsidR="00C50B8F" w:rsidRPr="00507A31" w:rsidRDefault="00C50B8F" w:rsidP="00507A31">
      <w:pPr>
        <w:jc w:val="both"/>
        <w:rPr>
          <w:color w:val="000000" w:themeColor="text1"/>
          <w:sz w:val="16"/>
          <w:szCs w:val="16"/>
        </w:rPr>
      </w:pPr>
      <w:r w:rsidRPr="00507A31">
        <w:rPr>
          <w:color w:val="000000" w:themeColor="text1"/>
          <w:sz w:val="16"/>
          <w:szCs w:val="16"/>
        </w:rPr>
        <w:t>Разработка конкретных мероприятий и политика их проведения в жизнь в отношении отдельных отраслей проводилась членами ЦК Промышленной партии совместно с вредительскими организациями в этих отраслях.</w:t>
      </w:r>
    </w:p>
    <w:p w14:paraId="43B565D5" w14:textId="77777777" w:rsidR="00C50B8F" w:rsidRPr="00507A31" w:rsidRDefault="00C50B8F" w:rsidP="00507A31">
      <w:pPr>
        <w:jc w:val="both"/>
        <w:rPr>
          <w:color w:val="000000" w:themeColor="text1"/>
          <w:sz w:val="16"/>
          <w:szCs w:val="16"/>
        </w:rPr>
      </w:pPr>
      <w:r w:rsidRPr="00507A31">
        <w:rPr>
          <w:color w:val="000000" w:themeColor="text1"/>
          <w:sz w:val="16"/>
          <w:szCs w:val="16"/>
        </w:rPr>
        <w:t>Мне была поручена разработка вопросов, связанных с топливоснабжением, и разработка мероприятий, которые приводили бы к топливному кризису. В основном эти мероприятия сводились к следующему. Составление ежедневных и перспективных планов топливоснабжения велось с таким расчетом, чтобы положение с топливом оставалось все время напряженным, а запасы топлива в стране держались на весьма низком уровне. Такое положение, при малейших перебоях в работе транспорта, неизбежно приводило бы к срыву топливоснабжения и остановке предприятий.</w:t>
      </w:r>
    </w:p>
    <w:p w14:paraId="211075FF" w14:textId="77777777" w:rsidR="00C50B8F" w:rsidRPr="00507A31" w:rsidRDefault="00C50B8F" w:rsidP="00507A31">
      <w:pPr>
        <w:jc w:val="both"/>
        <w:rPr>
          <w:color w:val="000000" w:themeColor="text1"/>
          <w:sz w:val="16"/>
          <w:szCs w:val="16"/>
        </w:rPr>
      </w:pPr>
      <w:r w:rsidRPr="00507A31">
        <w:rPr>
          <w:color w:val="000000" w:themeColor="text1"/>
          <w:sz w:val="16"/>
          <w:szCs w:val="16"/>
        </w:rPr>
        <w:t>Основным мероприятием вредительской деятельности в этом направлении являлось преуменьшение планов развития топливодобычи в диспропорции с общим ростом потребления и, в первую очередь, планов развития основных топливных баз Союза — Донбасса и Кузбасса.</w:t>
      </w:r>
    </w:p>
    <w:p w14:paraId="0F8B7468" w14:textId="77777777" w:rsidR="00C50B8F" w:rsidRPr="00507A31" w:rsidRDefault="00C50B8F" w:rsidP="00507A31">
      <w:pPr>
        <w:jc w:val="both"/>
        <w:rPr>
          <w:color w:val="000000" w:themeColor="text1"/>
          <w:sz w:val="16"/>
          <w:szCs w:val="16"/>
        </w:rPr>
      </w:pPr>
      <w:r w:rsidRPr="00507A31">
        <w:rPr>
          <w:color w:val="000000" w:themeColor="text1"/>
          <w:sz w:val="16"/>
          <w:szCs w:val="16"/>
        </w:rPr>
        <w:t>В топливоснабжении Союза Донбасс занимает наиболее ответственное место, т. к. покрывает почти половину всего топливного баланса страны и почти 3/4 Европейской части Союза, поэтому при разработке мероприятий, наносящих удар по всему нар[одному] хозяйству и по обороноспособности страны[,] на этот участок обращалось особое внимание. Вредительская деятельность была направлена к преуменьшению плана развития Донбасса, к задержке его нового строительства и реконструкции существующих шахт. Созданное еще шахтинской вредительской организацией положение с новым шахтным строительством в Донбассе (особенно крупных шахт) не было восстановлено и выправлено в последующие годы; следствием этого Донбасс в своем дальнейшем развитии не мог базироваться на эту группу шахт и число новых шахт, находящихся в проходке с [19]26-[19]29 г.г.[,] не только не увеличивалось, но даже сокращалось. По группе новых шахт Донбасс не делал уже в [19]29/30 г. по крайней мере 3-4 м-ты, против того, что они могли бы дать при интенсивной их проходке и оборудовании.</w:t>
      </w:r>
    </w:p>
    <w:p w14:paraId="73FD792B" w14:textId="77777777" w:rsidR="00C50B8F" w:rsidRPr="00507A31" w:rsidRDefault="00C50B8F" w:rsidP="00507A31">
      <w:pPr>
        <w:jc w:val="both"/>
        <w:rPr>
          <w:color w:val="000000" w:themeColor="text1"/>
          <w:sz w:val="16"/>
          <w:szCs w:val="16"/>
        </w:rPr>
      </w:pPr>
      <w:r w:rsidRPr="00507A31">
        <w:rPr>
          <w:color w:val="000000" w:themeColor="text1"/>
          <w:sz w:val="16"/>
          <w:szCs w:val="16"/>
        </w:rPr>
        <w:t>Наряду с этим задерживалась коренная реконструкция существующих шахт и тем самым сокращалась производственная возможность старого Донбасса.</w:t>
      </w:r>
    </w:p>
    <w:p w14:paraId="5E1E5A16" w14:textId="77777777" w:rsidR="00C50B8F" w:rsidRPr="00507A31" w:rsidRDefault="00C50B8F" w:rsidP="00507A31">
      <w:pPr>
        <w:jc w:val="both"/>
        <w:rPr>
          <w:color w:val="000000" w:themeColor="text1"/>
          <w:sz w:val="16"/>
          <w:szCs w:val="16"/>
        </w:rPr>
      </w:pPr>
      <w:r w:rsidRPr="00507A31">
        <w:rPr>
          <w:color w:val="000000" w:themeColor="text1"/>
          <w:sz w:val="16"/>
          <w:szCs w:val="16"/>
        </w:rPr>
        <w:t>При таком планировании развития Донбасса и фактическом его осуществлении наибольший кризис в топливоснабжении должен был наступить в 1930 г., что соответствовало общим директивам Промышленной партии о подготовке к интервенции, именно к этому году.</w:t>
      </w:r>
    </w:p>
    <w:p w14:paraId="4D72D462" w14:textId="77777777" w:rsidR="00C50B8F" w:rsidRPr="00507A31" w:rsidRDefault="00C50B8F" w:rsidP="00507A31">
      <w:pPr>
        <w:jc w:val="both"/>
        <w:rPr>
          <w:color w:val="000000" w:themeColor="text1"/>
          <w:sz w:val="16"/>
          <w:szCs w:val="16"/>
        </w:rPr>
      </w:pPr>
      <w:r w:rsidRPr="00507A31">
        <w:rPr>
          <w:color w:val="000000" w:themeColor="text1"/>
          <w:sz w:val="16"/>
          <w:szCs w:val="16"/>
        </w:rPr>
        <w:t>Особое значение — как важнейшая и мощная мобилизационная база — должен иметь Кузнецкий бассейн с его громадными возможностями быстрого развития. Как глубокая тыловая топливная база, застрахованная от опасности захвата или разрушения в период военных действий, Кузнецкий бассейн должен был быть подготовлен в любой момент к добыче, значительно превосходящей &lt;потребности&gt; разных местных нужд[,] и получить значение района общесоюзного значения и, особенно, мобилизационного значения.</w:t>
      </w:r>
    </w:p>
    <w:p w14:paraId="494A9E00" w14:textId="77777777" w:rsidR="00C50B8F" w:rsidRPr="00507A31" w:rsidRDefault="00C50B8F" w:rsidP="00507A31">
      <w:pPr>
        <w:jc w:val="both"/>
        <w:rPr>
          <w:color w:val="000000" w:themeColor="text1"/>
          <w:sz w:val="16"/>
          <w:szCs w:val="16"/>
        </w:rPr>
      </w:pPr>
      <w:r w:rsidRPr="00507A31">
        <w:rPr>
          <w:color w:val="000000" w:themeColor="text1"/>
          <w:sz w:val="16"/>
          <w:szCs w:val="16"/>
        </w:rPr>
        <w:t>Эта роль Кузбасса по директивам Промышленной партии мною и всей вредительской организацией Госплана была завуалирована при разработке планов его развития и даны явно преуменьшенные темпы при составлении 5-летки и в частности задание на 1930/31 г. Кроме развития основных топливных баз — Донбасса и Кузбасса, для всего плана топливоснабжения и, в особенности, в оборонном отношении имеет громадное значение развитие местных топлив (местных камен[но]уг[ольных] районов[,] торфа и пр.). В особенности это важно в отношении районов, находящихся в большой зависимости от дальнепривозных топлив, как[,] напр[имер]: Ленинградский, Центрально-промышленный и Уральский районы. В отношении этих районов РАМЗИНЫМ и мною велась политика задержки правильного и целесообразного развития местных топливных баз. Так[,] напр[имер], на основе проводившихся РАМЗИНЫМ экономических расчетов, доказывалась нецелесообразность интенсивного развития Подмосковного бассейна, в то время как он должен был быть важнейшей энергетической базой Московской области и приобрести громадное значение, как мобилизационная база. То же имело место и в отношении развития торфодобычи для такого района, как Ленинградский и другие. Мероприятиями по развитию местных топлив должна была бы быть ослаблена зависимость этих районов от привозных топлив и созданы на местах топливные базы мобилизационного значения. Однако даже при самых благоприятных условиях и максимальных размерах развития местных топлив — эти районы все-таки должны иметь привозное топливо и без надежной и мощной транспортной связи с Донбассом и Кузбассом были бы как в нормальных условиях, так и в особенности в период военных действий, поставлены в исключительные тяжелые условия топливоснабжения. Поэтому под флагом полемики о политике местных топлив велась особо чреватая своими последствиями вредительская деятельность транспортной группы, сводящаяся к тому, чтобы отвлечь внимание от вопросов усиления и развития транспортной связи между Донбассом и Кузбассом и основными промышленными центрами страны. Слабость существующей] транспортной связи этих основных топливных баз, усугубляемая общей дезорганизацией работы промпартии в период кризиса или военных действий, привела бы быстро к полной парализации топливоснабжения и лишала бы возможности использования такого района мобилизационного значения[,] как Кузбасс. Членами Промышленной партии ЯНУШЕВСКИМ и КОГАН-БЕРНШТЕЙНОМ раздувался принципиальный спор с НКПСом о необходимости сверх-магистралей, связывающих Донбасс и Кузбасс с центром и этим самым задерживалась практическая работа по усилению транспортных средств в этих важнейших направлениях. Приданный различными членами Промышленной партии характер острой полемики по этим вопросам весьма искустно прикрывал ведущуюся работу по снабжению и дезорганизации транспорта.</w:t>
      </w:r>
    </w:p>
    <w:p w14:paraId="4E9C3D24" w14:textId="77777777" w:rsidR="00C50B8F" w:rsidRPr="00507A31" w:rsidRDefault="00C50B8F" w:rsidP="00507A31">
      <w:pPr>
        <w:jc w:val="both"/>
        <w:rPr>
          <w:color w:val="000000" w:themeColor="text1"/>
          <w:sz w:val="16"/>
          <w:szCs w:val="16"/>
        </w:rPr>
      </w:pPr>
      <w:r w:rsidRPr="00507A31">
        <w:rPr>
          <w:color w:val="000000" w:themeColor="text1"/>
          <w:sz w:val="16"/>
          <w:szCs w:val="16"/>
        </w:rPr>
        <w:t>К числу вредительских мероприятий, направленных к срыву топливоснабжения, относится также и задержка в развитии нефтяного транспорта и создание явной диспропорции между добычей нефти и наличием транспортных средств — водных и жел[езно-]дорожных. ХРЕННИКОВЫМ и КАЛИННИКОВЫМ через ВСНХ и Госплан был проведен ряд мероприятий, направленных к срыву развертывания нефтяного судостроения и цистерностроения. Это обстоятельство помимо создания кризиса нефтеснабжения в обычных условиях (что уже имело место в течени[е] зимы 1929/30 г.) для весеннего периода имеет особое значение. В военное время неизбежно прекратится экспорт нефтепродуктов; освобождающиеся от экспорта большие количества нефтетоплива, бензина, керосина и пр. при отсутствии необходимых транспортных средств (судов на Каспии и Волге и цистерн для жел. дор. перевозок по стране) — не могут быть использованы для целей внутреннего снабжения в военный период, когда они смогли бы сыграть решающую роль в топливном балансе страны, как наиболее удобное и транспортабельное топливо.</w:t>
      </w:r>
    </w:p>
    <w:p w14:paraId="5AE2716F" w14:textId="77777777" w:rsidR="00C50B8F" w:rsidRPr="00507A31" w:rsidRDefault="00C50B8F" w:rsidP="00507A31">
      <w:pPr>
        <w:jc w:val="both"/>
        <w:rPr>
          <w:color w:val="000000" w:themeColor="text1"/>
          <w:sz w:val="16"/>
          <w:szCs w:val="16"/>
        </w:rPr>
      </w:pPr>
      <w:r w:rsidRPr="00507A31">
        <w:rPr>
          <w:color w:val="000000" w:themeColor="text1"/>
          <w:sz w:val="16"/>
          <w:szCs w:val="16"/>
        </w:rPr>
        <w:t>На основании общих директив, даваемых мною о подготовке топливного кризиса, вредительская организация Главгортопа, руководимая членом партии ПРОРВИЧЕМ, разрабатывала и проводила в жизнь технические и оперативные планы топливоснабжения. Особое значение при этом придавалось состоянию запасов топлива в стране. За все последние годы, благодаря отставанию добычи от района потребления топлива, запасы топлива, особенно кам[енного] угля, находятся на недопустимо низком уровне. По донецкому углю, например, они не превышают 2-х месячной обеспеченности расхода даже к началу осени, а к весеннему периоду (при повышенном зимнем расходе) они падают почти до 1 месячного запаса. Поскольку начало военных действий всегда можно ожидать к весне, то запасы в 1 мес. являются абсолютно недостаточными (т. к. мобпериод, во время которого перевозки всех грузов сокращаются до минимума, длится 2 месяца) и это грозит срывом топливоснабжения уже в первый же период войны. Насколько же важно наличие запасов топлива в стране в период военных действий, примером может служить практика мировой войны, когда, как только были исчерпаны запасы топлива на предприятиях (довольно значительные в начале войны 4-6 мес.) немедленно начался тяжелый кризис топливоснабжения.</w:t>
      </w:r>
    </w:p>
    <w:p w14:paraId="3C26839E" w14:textId="77777777" w:rsidR="00C50B8F" w:rsidRPr="00507A31" w:rsidRDefault="00C50B8F" w:rsidP="00507A31">
      <w:pPr>
        <w:jc w:val="both"/>
        <w:rPr>
          <w:color w:val="000000" w:themeColor="text1"/>
          <w:sz w:val="16"/>
          <w:szCs w:val="16"/>
        </w:rPr>
      </w:pPr>
      <w:r w:rsidRPr="00507A31">
        <w:rPr>
          <w:color w:val="000000" w:themeColor="text1"/>
          <w:sz w:val="16"/>
          <w:szCs w:val="16"/>
        </w:rPr>
        <w:t>Наряду с мероприятиями, имевшими целью срыв топливоснабжения по линии добычи топлива, РАМЗИНЫМ через организации ВСНХ и Теплотехнического института велась работа по задержке рационализации и реконструкции теплового и силового хозяйства, что, ухудшая использование топлива на промпредприятиях и транспорте, еще больше отягчало топливный баланс и еще больше обострило бы кризис топливоснабжения во время напряженной работы промышленности и транспорта в военной обстановке.</w:t>
      </w:r>
    </w:p>
    <w:p w14:paraId="2C942B80" w14:textId="77777777" w:rsidR="00C50B8F" w:rsidRPr="00507A31" w:rsidRDefault="00C50B8F" w:rsidP="00507A31">
      <w:pPr>
        <w:jc w:val="both"/>
        <w:rPr>
          <w:color w:val="000000" w:themeColor="text1"/>
          <w:sz w:val="16"/>
          <w:szCs w:val="16"/>
        </w:rPr>
      </w:pPr>
      <w:r w:rsidRPr="00507A31">
        <w:rPr>
          <w:color w:val="000000" w:themeColor="text1"/>
          <w:sz w:val="16"/>
          <w:szCs w:val="16"/>
        </w:rPr>
        <w:t>Аналогичная работа по созданию кризиса и диспропорции в развитии отдельных отраслей промышленности и транспорта велась другими членами ЦК и Промышленной партии.</w:t>
      </w:r>
    </w:p>
    <w:p w14:paraId="4B55A4F1" w14:textId="77777777" w:rsidR="00C50B8F" w:rsidRPr="00507A31" w:rsidRDefault="00C50B8F" w:rsidP="00507A31">
      <w:pPr>
        <w:jc w:val="both"/>
        <w:rPr>
          <w:color w:val="000000" w:themeColor="text1"/>
          <w:sz w:val="16"/>
          <w:szCs w:val="16"/>
        </w:rPr>
      </w:pPr>
      <w:r w:rsidRPr="00507A31">
        <w:rPr>
          <w:color w:val="000000" w:themeColor="text1"/>
          <w:sz w:val="16"/>
          <w:szCs w:val="16"/>
        </w:rPr>
        <w:t>Так[,] например — особое внимание было обращено на диспропорцию в развитии выплавки металла и машиностроения. В развитии отдельных элементов машиностроения КАЛИННИКОВЫМ и ЧАРНОВСКИМ проводились в первую очередь задания, тормозящие выпуск продукции, имеющей большое значение в оборонном отношении, как-то: задержка вагоностроения (и в частности специальных] типов, как),] напр[имер,] углярок), котлостроения, оборудования для горной промышленности, в том числе и для каменноугольной (подъемники, водоотлив, врубовые машины и пр.). В отношении химической промышленности, по сообщению КАЛИННИКОВА, в центре внимания стоял вопрос о задержке развития основной химической промышленности. Но кроме этого сугубое внимание уделялось дезорганизации и задержке коксо-химического производства, поскольку этим самым оказывалось прямое влияние на сокращение выжига кокса для металлургии и на организаци&lt;ю&gt; коксо-бензольного производства для оборонных нужд.</w:t>
      </w:r>
    </w:p>
    <w:p w14:paraId="2FA58A6B" w14:textId="77777777" w:rsidR="00C50B8F" w:rsidRPr="00507A31" w:rsidRDefault="00C50B8F" w:rsidP="00507A31">
      <w:pPr>
        <w:jc w:val="both"/>
        <w:rPr>
          <w:color w:val="000000" w:themeColor="text1"/>
          <w:sz w:val="16"/>
          <w:szCs w:val="16"/>
        </w:rPr>
      </w:pPr>
      <w:r w:rsidRPr="00507A31">
        <w:rPr>
          <w:color w:val="000000" w:themeColor="text1"/>
          <w:sz w:val="16"/>
          <w:szCs w:val="16"/>
        </w:rPr>
        <w:t>Вся вредительская деятельность в области энергетики и электростроительства, как имеющая особое значение в развитии всех отраслей промышленности и в задержке развития целых промышленных районов, руководилась через соответствующие организации - РАМЗИНЫМ. Наиболее ярким примером здесь является подготовка кризиса электроснабжения важнейшего района Донбасса, путем задержки строительства Штеровской станции, благодаря чему уже в [19]29/30 г. Донбасс испытывал острый недостаток электрической энергии, имеющий прямым последствием затруднения с добычей угля в Донбассе. Наиболее же остро этот кризис должен был сказаться в 1930/31 г., приуроченный к общей подготовке кризисного состояния в период предполагавшейся интервенции.</w:t>
      </w:r>
    </w:p>
    <w:p w14:paraId="7CBBEEAE" w14:textId="77777777" w:rsidR="00C50B8F" w:rsidRPr="00507A31" w:rsidRDefault="00C50B8F" w:rsidP="00507A31">
      <w:pPr>
        <w:jc w:val="both"/>
        <w:rPr>
          <w:color w:val="000000" w:themeColor="text1"/>
          <w:sz w:val="16"/>
          <w:szCs w:val="16"/>
        </w:rPr>
      </w:pPr>
      <w:r w:rsidRPr="00507A31">
        <w:rPr>
          <w:color w:val="000000" w:themeColor="text1"/>
          <w:sz w:val="16"/>
          <w:szCs w:val="16"/>
        </w:rPr>
        <w:t>Записано собственноручно - В. ЛАРИЧЕВ.</w:t>
      </w:r>
    </w:p>
    <w:p w14:paraId="50C071CF" w14:textId="77777777" w:rsidR="00C50B8F" w:rsidRPr="00507A31" w:rsidRDefault="00C50B8F" w:rsidP="00507A31">
      <w:pPr>
        <w:jc w:val="both"/>
        <w:rPr>
          <w:color w:val="000000" w:themeColor="text1"/>
          <w:sz w:val="16"/>
          <w:szCs w:val="16"/>
        </w:rPr>
      </w:pPr>
      <w:r w:rsidRPr="00507A31">
        <w:rPr>
          <w:color w:val="000000" w:themeColor="text1"/>
          <w:sz w:val="16"/>
          <w:szCs w:val="16"/>
        </w:rPr>
        <w:t>Допросили: П/нач. СОУ О ГПУ АГРАНОВ и</w:t>
      </w:r>
    </w:p>
    <w:p w14:paraId="01DB01EC" w14:textId="77777777" w:rsidR="00C50B8F" w:rsidRPr="00507A31" w:rsidRDefault="00C50B8F" w:rsidP="00507A31">
      <w:pPr>
        <w:jc w:val="both"/>
        <w:rPr>
          <w:color w:val="000000" w:themeColor="text1"/>
          <w:sz w:val="16"/>
          <w:szCs w:val="16"/>
        </w:rPr>
      </w:pPr>
      <w:r w:rsidRPr="00507A31">
        <w:rPr>
          <w:color w:val="000000" w:themeColor="text1"/>
          <w:sz w:val="16"/>
          <w:szCs w:val="16"/>
        </w:rPr>
        <w:t>п[ом]/нач. 3 отделения] СО РАДЗИВИЛОВСКИЙ.</w:t>
      </w:r>
    </w:p>
    <w:p w14:paraId="49E5678B" w14:textId="77777777" w:rsidR="00C50B8F" w:rsidRPr="00507A31" w:rsidRDefault="00C50B8F" w:rsidP="00507A31">
      <w:pPr>
        <w:jc w:val="both"/>
        <w:rPr>
          <w:color w:val="000000" w:themeColor="text1"/>
          <w:sz w:val="16"/>
          <w:szCs w:val="16"/>
        </w:rPr>
      </w:pPr>
      <w:r w:rsidRPr="00507A31">
        <w:rPr>
          <w:color w:val="000000" w:themeColor="text1"/>
          <w:sz w:val="16"/>
          <w:szCs w:val="16"/>
        </w:rPr>
        <w:t>Д. 355. Л. 116-122. Заверенная машинописная копия того времени (см. легенду к док. № 355-7).</w:t>
      </w:r>
    </w:p>
    <w:p w14:paraId="00C20ACE" w14:textId="77777777" w:rsidR="00C50B8F" w:rsidRPr="00507A31" w:rsidRDefault="00C50B8F" w:rsidP="00507A31">
      <w:pPr>
        <w:jc w:val="both"/>
        <w:rPr>
          <w:color w:val="000000" w:themeColor="text1"/>
          <w:sz w:val="16"/>
          <w:szCs w:val="16"/>
        </w:rPr>
      </w:pPr>
      <w:r w:rsidRPr="00507A31">
        <w:rPr>
          <w:color w:val="000000" w:themeColor="text1"/>
          <w:sz w:val="16"/>
          <w:szCs w:val="16"/>
        </w:rPr>
        <w:lastRenderedPageBreak/>
        <w:t>ЦА ФСБ РФ. Ф. Р-42280. Т. 10. Л. 127-130. Машинописная копия того времени, заверенная Кошеверовым (18501).</w:t>
      </w:r>
    </w:p>
    <w:p w14:paraId="2F253A02" w14:textId="77777777" w:rsidR="00C50B8F" w:rsidRPr="00507A31" w:rsidRDefault="00C50B8F" w:rsidP="00507A31">
      <w:pPr>
        <w:jc w:val="both"/>
        <w:rPr>
          <w:color w:val="000000" w:themeColor="text1"/>
          <w:sz w:val="16"/>
          <w:szCs w:val="16"/>
        </w:rPr>
      </w:pPr>
    </w:p>
    <w:p w14:paraId="422F28E8" w14:textId="77777777" w:rsidR="00C50B8F" w:rsidRPr="00507A31" w:rsidRDefault="00C50B8F" w:rsidP="00507A31">
      <w:pPr>
        <w:jc w:val="both"/>
        <w:rPr>
          <w:color w:val="000000" w:themeColor="text1"/>
          <w:sz w:val="16"/>
          <w:szCs w:val="16"/>
        </w:rPr>
      </w:pPr>
      <w:r w:rsidRPr="00507A31">
        <w:rPr>
          <w:color w:val="000000" w:themeColor="text1"/>
          <w:sz w:val="16"/>
          <w:szCs w:val="16"/>
        </w:rPr>
        <w:t>3 ноября 1930 г.</w:t>
      </w:r>
    </w:p>
    <w:p w14:paraId="26412AE1" w14:textId="77777777" w:rsidR="00C50B8F" w:rsidRPr="00507A31" w:rsidRDefault="00C50B8F" w:rsidP="00507A31">
      <w:pPr>
        <w:jc w:val="both"/>
        <w:rPr>
          <w:color w:val="000000" w:themeColor="text1"/>
          <w:sz w:val="16"/>
          <w:szCs w:val="16"/>
        </w:rPr>
      </w:pPr>
      <w:r w:rsidRPr="00507A31">
        <w:rPr>
          <w:color w:val="000000" w:themeColor="text1"/>
          <w:sz w:val="16"/>
          <w:szCs w:val="16"/>
        </w:rPr>
        <w:t>Показания И. А. Калинникова о «вредительстве» в тяжелой индустрии для подготовки к интервенции и «собраниях ЦК Промпартии». 3 ноября 1930 г.</w:t>
      </w:r>
    </w:p>
    <w:p w14:paraId="2D16CCC3" w14:textId="77777777" w:rsidR="00C50B8F" w:rsidRPr="00507A31" w:rsidRDefault="00C50B8F" w:rsidP="00507A31">
      <w:pPr>
        <w:jc w:val="both"/>
        <w:rPr>
          <w:color w:val="000000" w:themeColor="text1"/>
          <w:sz w:val="16"/>
          <w:szCs w:val="16"/>
        </w:rPr>
      </w:pPr>
      <w:r w:rsidRPr="00507A31">
        <w:rPr>
          <w:color w:val="000000" w:themeColor="text1"/>
          <w:sz w:val="16"/>
          <w:szCs w:val="16"/>
        </w:rPr>
        <w:t>Источник: </w:t>
      </w:r>
    </w:p>
    <w:p w14:paraId="5EBA1234" w14:textId="77777777" w:rsidR="00C50B8F" w:rsidRPr="00507A31" w:rsidRDefault="00C50B8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3594C07" w14:textId="77777777" w:rsidR="00C50B8F" w:rsidRPr="00507A31" w:rsidRDefault="00C50B8F" w:rsidP="00507A31">
      <w:pPr>
        <w:jc w:val="both"/>
        <w:rPr>
          <w:color w:val="000000" w:themeColor="text1"/>
          <w:sz w:val="16"/>
          <w:szCs w:val="16"/>
        </w:rPr>
      </w:pPr>
      <w:r w:rsidRPr="00507A31">
        <w:rPr>
          <w:color w:val="000000" w:themeColor="text1"/>
          <w:sz w:val="16"/>
          <w:szCs w:val="16"/>
        </w:rPr>
        <w:t>Архив: </w:t>
      </w:r>
    </w:p>
    <w:p w14:paraId="33C67B0A" w14:textId="77777777" w:rsidR="00C50B8F" w:rsidRPr="00507A31" w:rsidRDefault="00C50B8F" w:rsidP="00507A31">
      <w:pPr>
        <w:jc w:val="both"/>
        <w:rPr>
          <w:color w:val="000000" w:themeColor="text1"/>
          <w:sz w:val="16"/>
          <w:szCs w:val="16"/>
        </w:rPr>
      </w:pPr>
      <w:r w:rsidRPr="00507A31">
        <w:rPr>
          <w:color w:val="000000" w:themeColor="text1"/>
          <w:sz w:val="16"/>
          <w:szCs w:val="16"/>
        </w:rPr>
        <w:t>ЦА ФСБ РФ. Ф. Р-42280. Т. 10. Л. 160-162</w:t>
      </w:r>
    </w:p>
    <w:p w14:paraId="606B07F2" w14:textId="77777777" w:rsidR="00C50B8F" w:rsidRPr="00507A31" w:rsidRDefault="00C50B8F" w:rsidP="00507A31">
      <w:pPr>
        <w:jc w:val="both"/>
        <w:rPr>
          <w:color w:val="000000" w:themeColor="text1"/>
          <w:sz w:val="16"/>
          <w:szCs w:val="16"/>
        </w:rPr>
      </w:pPr>
      <w:r w:rsidRPr="00507A31">
        <w:rPr>
          <w:color w:val="000000" w:themeColor="text1"/>
          <w:sz w:val="16"/>
          <w:szCs w:val="16"/>
        </w:rPr>
        <w:t>3 ноября 1930 г.</w:t>
      </w:r>
    </w:p>
    <w:p w14:paraId="051CBC8A" w14:textId="77777777" w:rsidR="00C50B8F" w:rsidRPr="00507A31" w:rsidRDefault="00C50B8F" w:rsidP="00507A31">
      <w:pPr>
        <w:jc w:val="both"/>
        <w:rPr>
          <w:color w:val="000000" w:themeColor="text1"/>
          <w:sz w:val="16"/>
          <w:szCs w:val="16"/>
        </w:rPr>
      </w:pPr>
      <w:r w:rsidRPr="00507A31">
        <w:rPr>
          <w:color w:val="000000" w:themeColor="text1"/>
          <w:sz w:val="16"/>
          <w:szCs w:val="16"/>
        </w:rPr>
        <w:t>[Строго секретно]</w:t>
      </w:r>
    </w:p>
    <w:p w14:paraId="3A79A3A5" w14:textId="77777777" w:rsidR="00C50B8F" w:rsidRPr="00507A31" w:rsidRDefault="00C50B8F" w:rsidP="00507A31">
      <w:pPr>
        <w:jc w:val="both"/>
        <w:rPr>
          <w:color w:val="000000" w:themeColor="text1"/>
          <w:sz w:val="16"/>
          <w:szCs w:val="16"/>
        </w:rPr>
      </w:pPr>
      <w:r w:rsidRPr="00507A31">
        <w:rPr>
          <w:color w:val="000000" w:themeColor="text1"/>
          <w:sz w:val="16"/>
          <w:szCs w:val="16"/>
        </w:rPr>
        <w:t>ПРОТОКОЛ ДОПРОСА</w:t>
      </w:r>
    </w:p>
    <w:p w14:paraId="6787BC8B" w14:textId="77777777" w:rsidR="00C50B8F" w:rsidRPr="00507A31" w:rsidRDefault="00C50B8F" w:rsidP="00507A31">
      <w:pPr>
        <w:jc w:val="both"/>
        <w:rPr>
          <w:color w:val="000000" w:themeColor="text1"/>
          <w:sz w:val="16"/>
          <w:szCs w:val="16"/>
        </w:rPr>
      </w:pPr>
      <w:r w:rsidRPr="00507A31">
        <w:rPr>
          <w:color w:val="000000" w:themeColor="text1"/>
          <w:sz w:val="16"/>
          <w:szCs w:val="16"/>
        </w:rPr>
        <w:t>КАЛИННИКОВА Ивана Андреевича от 3/XI-30 г.</w:t>
      </w:r>
    </w:p>
    <w:p w14:paraId="5D5904E6" w14:textId="77777777" w:rsidR="00C50B8F" w:rsidRPr="00507A31" w:rsidRDefault="00C50B8F" w:rsidP="00507A31">
      <w:pPr>
        <w:jc w:val="both"/>
        <w:rPr>
          <w:color w:val="000000" w:themeColor="text1"/>
          <w:sz w:val="16"/>
          <w:szCs w:val="16"/>
        </w:rPr>
      </w:pPr>
      <w:r w:rsidRPr="00507A31">
        <w:rPr>
          <w:color w:val="000000" w:themeColor="text1"/>
          <w:sz w:val="16"/>
          <w:szCs w:val="16"/>
        </w:rPr>
        <w:t>Допрашивали: пом. нач. СОУ ОГПУ АГРАНОВ</w:t>
      </w:r>
    </w:p>
    <w:p w14:paraId="3B1DD4AE" w14:textId="77777777" w:rsidR="00C50B8F" w:rsidRPr="00507A31" w:rsidRDefault="00C50B8F" w:rsidP="00507A31">
      <w:pPr>
        <w:jc w:val="both"/>
        <w:rPr>
          <w:color w:val="000000" w:themeColor="text1"/>
          <w:sz w:val="16"/>
          <w:szCs w:val="16"/>
        </w:rPr>
      </w:pPr>
      <w:r w:rsidRPr="00507A31">
        <w:rPr>
          <w:color w:val="000000" w:themeColor="text1"/>
          <w:sz w:val="16"/>
          <w:szCs w:val="16"/>
        </w:rPr>
        <w:t>пом. нач. 3 отделения] СООГПУ РАДЗИВИЛОВСКИЙ</w:t>
      </w:r>
    </w:p>
    <w:p w14:paraId="0274EAFC" w14:textId="77777777" w:rsidR="00C50B8F" w:rsidRPr="00507A31" w:rsidRDefault="00C50B8F" w:rsidP="00507A31">
      <w:pPr>
        <w:jc w:val="both"/>
        <w:rPr>
          <w:color w:val="000000" w:themeColor="text1"/>
          <w:sz w:val="16"/>
          <w:szCs w:val="16"/>
        </w:rPr>
      </w:pPr>
      <w:r w:rsidRPr="00507A31">
        <w:rPr>
          <w:color w:val="000000" w:themeColor="text1"/>
          <w:sz w:val="16"/>
          <w:szCs w:val="16"/>
        </w:rPr>
        <w:t>Минимальные темпы развития тяжелой индустрии и создание диспропорций в ней и кризисов по подготовке к иностранной интервенции.</w:t>
      </w:r>
    </w:p>
    <w:p w14:paraId="5A677BDE" w14:textId="77777777" w:rsidR="00C50B8F" w:rsidRPr="00507A31" w:rsidRDefault="00C50B8F" w:rsidP="00507A31">
      <w:pPr>
        <w:jc w:val="both"/>
        <w:rPr>
          <w:color w:val="000000" w:themeColor="text1"/>
          <w:sz w:val="16"/>
          <w:szCs w:val="16"/>
        </w:rPr>
      </w:pPr>
      <w:r w:rsidRPr="00507A31">
        <w:rPr>
          <w:color w:val="000000" w:themeColor="text1"/>
          <w:sz w:val="16"/>
          <w:szCs w:val="16"/>
        </w:rPr>
        <w:t>Ведущими отраслями в тяжелой индустрии, т. е. промышленности, производящей орудия и средства производства, являются топливная, энергетическая и металлическая. Не менее важное значение имеют химическая и промышленность строительных материалов, а также промышленные изыскательные и разведывательные работы по отысканию минерального сырья, как исходного материала для всех отраслей тяжелой индустрии.</w:t>
      </w:r>
    </w:p>
    <w:p w14:paraId="4F07E7F0" w14:textId="77777777" w:rsidR="00C50B8F" w:rsidRPr="00507A31" w:rsidRDefault="00C50B8F" w:rsidP="00507A31">
      <w:pPr>
        <w:jc w:val="both"/>
        <w:rPr>
          <w:color w:val="000000" w:themeColor="text1"/>
          <w:sz w:val="16"/>
          <w:szCs w:val="16"/>
        </w:rPr>
      </w:pPr>
      <w:r w:rsidRPr="00507A31">
        <w:rPr>
          <w:color w:val="000000" w:themeColor="text1"/>
          <w:sz w:val="16"/>
          <w:szCs w:val="16"/>
        </w:rPr>
        <w:t>Как известно из предыдущих моих показаний, Промпартия поставила себе целью, не только задерживать развитие тяжелой индустрии, но и создавать опасные диспропорции в развитии с сопровождающими их кризисами.</w:t>
      </w:r>
    </w:p>
    <w:p w14:paraId="7D59CF6E" w14:textId="77777777" w:rsidR="00C50B8F" w:rsidRPr="00507A31" w:rsidRDefault="00C50B8F" w:rsidP="00507A31">
      <w:pPr>
        <w:jc w:val="both"/>
        <w:rPr>
          <w:color w:val="000000" w:themeColor="text1"/>
          <w:sz w:val="16"/>
          <w:szCs w:val="16"/>
        </w:rPr>
      </w:pPr>
      <w:r w:rsidRPr="00507A31">
        <w:rPr>
          <w:color w:val="000000" w:themeColor="text1"/>
          <w:sz w:val="16"/>
          <w:szCs w:val="16"/>
        </w:rPr>
        <w:t>Вредительская деятельность Промпартии в этом отношении привела к следующим результатам в металлической промышленности.</w:t>
      </w:r>
    </w:p>
    <w:p w14:paraId="7977A8B7" w14:textId="77777777" w:rsidR="00C50B8F" w:rsidRPr="00507A31" w:rsidRDefault="00C50B8F" w:rsidP="00507A31">
      <w:pPr>
        <w:jc w:val="both"/>
        <w:rPr>
          <w:color w:val="000000" w:themeColor="text1"/>
          <w:sz w:val="16"/>
          <w:szCs w:val="16"/>
        </w:rPr>
      </w:pPr>
      <w:r w:rsidRPr="00507A31">
        <w:rPr>
          <w:color w:val="000000" w:themeColor="text1"/>
          <w:sz w:val="16"/>
          <w:szCs w:val="16"/>
        </w:rPr>
        <w:t>Отставание в развертывании разведывательных работ по изучению известных и по отысканию новых месторождений железных руд, а также и цветных — медных, свинцовых и других. Нужно закладывать новые шахты по добыче руд, а промышленные разведки еще не закончены и проектировку новых шахт в широком масштабе вести нельзя, таково положение и в Кривом Роге на Юге[,] и на Урале[,] и в новых районах добычи ж[елезных] руд.</w:t>
      </w:r>
    </w:p>
    <w:p w14:paraId="7E907B20" w14:textId="77777777" w:rsidR="00C50B8F" w:rsidRPr="00507A31" w:rsidRDefault="00C50B8F" w:rsidP="00507A31">
      <w:pPr>
        <w:jc w:val="both"/>
        <w:rPr>
          <w:color w:val="000000" w:themeColor="text1"/>
          <w:sz w:val="16"/>
          <w:szCs w:val="16"/>
        </w:rPr>
      </w:pPr>
      <w:r w:rsidRPr="00507A31">
        <w:rPr>
          <w:color w:val="000000" w:themeColor="text1"/>
          <w:sz w:val="16"/>
          <w:szCs w:val="16"/>
        </w:rPr>
        <w:t>Поставленная перед металлургией задача использовать все современные достижения заграничной техники требует специальной подготовки железных руд, фегосов и топлива, т. е. сортировки, по реализации химического и физического состава, агломерации и всякого рода обогащения. Задачи развития металлургии до принятых в пятилетке размеров не могут быть разрешены без систематического развертывания, с некоторым здоровым опережением, капитального строительства сортировочных, обогатительных, агломерационных в железнорудных районах и отчасти на металлургических заводах. Должна быть менее сложная, но не менее важная подготовка металлургического топлива, т. е. угля для коксования и самого кокса, а также добавочных материалов, т. е. разного рода фегосов[,] т. е. известняка, дагомитов и т. п.</w:t>
      </w:r>
    </w:p>
    <w:p w14:paraId="07D06434" w14:textId="77777777" w:rsidR="00C50B8F" w:rsidRPr="00507A31" w:rsidRDefault="00C50B8F" w:rsidP="00507A31">
      <w:pPr>
        <w:jc w:val="both"/>
        <w:rPr>
          <w:color w:val="000000" w:themeColor="text1"/>
          <w:sz w:val="16"/>
          <w:szCs w:val="16"/>
        </w:rPr>
      </w:pPr>
      <w:r w:rsidRPr="00507A31">
        <w:rPr>
          <w:color w:val="000000" w:themeColor="text1"/>
          <w:sz w:val="16"/>
          <w:szCs w:val="16"/>
        </w:rPr>
        <w:t>В отношении отставания этот фронт так называемых] основных материалов доменного и сталелитейного производства является особенно угрожаемым: строительство подготовительных фабрик и по рудам, по углю, по коксу и по фегосам особенно отстало.</w:t>
      </w:r>
    </w:p>
    <w:p w14:paraId="60A0CFD1" w14:textId="77777777" w:rsidR="00C50B8F" w:rsidRPr="00507A31" w:rsidRDefault="00C50B8F" w:rsidP="00507A31">
      <w:pPr>
        <w:jc w:val="both"/>
        <w:rPr>
          <w:color w:val="000000" w:themeColor="text1"/>
          <w:sz w:val="16"/>
          <w:szCs w:val="16"/>
        </w:rPr>
      </w:pPr>
      <w:r w:rsidRPr="00507A31">
        <w:rPr>
          <w:color w:val="000000" w:themeColor="text1"/>
          <w:sz w:val="16"/>
          <w:szCs w:val="16"/>
        </w:rPr>
        <w:t>Невиданно грандиозные темпы развития металлургии могут быть достигнуты наиболее тщательной проработкой плана реконструкции существующих заводов и увязанного с ним плана строительства новых металлургических заводов. На самом деле мы видим[,] что единого целостного плана развития металлургии с учетом наиболее целесообразного использования старых и новых районов не имеется. Поэтому нет плана специализации и кооперирования ни районов, ни заводов этой основы современного развития каждой отрасли промышленности.</w:t>
      </w:r>
    </w:p>
    <w:p w14:paraId="14517638" w14:textId="77777777" w:rsidR="00C50B8F" w:rsidRPr="00507A31" w:rsidRDefault="00C50B8F" w:rsidP="00507A31">
      <w:pPr>
        <w:jc w:val="both"/>
        <w:rPr>
          <w:color w:val="000000" w:themeColor="text1"/>
          <w:sz w:val="16"/>
          <w:szCs w:val="16"/>
        </w:rPr>
      </w:pPr>
      <w:r w:rsidRPr="00507A31">
        <w:rPr>
          <w:color w:val="000000" w:themeColor="text1"/>
          <w:sz w:val="16"/>
          <w:szCs w:val="16"/>
        </w:rPr>
        <w:t>В особенности острая диспропорция в производстве и потребности качественного металла для общего и специального машиностроения — запроектированное производство не дал [о] и двух третей потребности.</w:t>
      </w:r>
    </w:p>
    <w:p w14:paraId="14310E66" w14:textId="77777777" w:rsidR="00C50B8F" w:rsidRPr="00507A31" w:rsidRDefault="00C50B8F" w:rsidP="00507A31">
      <w:pPr>
        <w:jc w:val="both"/>
        <w:rPr>
          <w:color w:val="000000" w:themeColor="text1"/>
          <w:sz w:val="16"/>
          <w:szCs w:val="16"/>
        </w:rPr>
      </w:pPr>
      <w:r w:rsidRPr="00507A31">
        <w:rPr>
          <w:color w:val="000000" w:themeColor="text1"/>
          <w:sz w:val="16"/>
          <w:szCs w:val="16"/>
        </w:rPr>
        <w:t>Особенно зияющая диспропорция в потребностях и производстве всякого рода машин и орудий производства — энергетического оборудования (котлы, двигатели и т. п.), горного и металлургического оборудования, транспортного оборудования для ж/д., речного и морского &lt;транспорта&gt;, станков для металлообработки, для деревообработки и друг., специального оборудования — машиностроении и т. п., как[,] напр[имер,] для текстильных фабрик, для химических заводов, для заводов стройматериалов, для пищевкусовой промышленности и т. д.</w:t>
      </w:r>
    </w:p>
    <w:p w14:paraId="3902208B" w14:textId="77777777" w:rsidR="00C50B8F" w:rsidRPr="00507A31" w:rsidRDefault="00C50B8F" w:rsidP="00507A31">
      <w:pPr>
        <w:jc w:val="both"/>
        <w:rPr>
          <w:color w:val="000000" w:themeColor="text1"/>
          <w:sz w:val="16"/>
          <w:szCs w:val="16"/>
        </w:rPr>
      </w:pPr>
      <w:r w:rsidRPr="00507A31">
        <w:rPr>
          <w:color w:val="000000" w:themeColor="text1"/>
          <w:sz w:val="16"/>
          <w:szCs w:val="16"/>
        </w:rPr>
        <w:t>Дело не в том, чтобы пятилетка могла покрыть все потребности в машинах и орудиях производства на[родного] хозяйства Советского Союза, эта задача неразрешима в такой короткий срок. Дело в том, что в развитии машиностроительной промышленности во многих ее отраслях д[олжен] б[ыть] предварительно и тщательно подработанный план в целом и по частям в его техническом, материальном и финансовом выражениях и развернут по времени исполнения. Без строгого анализа потребностей в машинах, без изучения мощности существующих машиностроительных заводов, без тщательной разработки планов их реконструкций, мы бросались проектировать и даже приступали к стройке новых заводов. Все проделанные в этом отношении работы по основным машиностроительным районам, как-то Ленинградский, Центральный, Южный и Урал, не сведены в единый целостный план реконструкции и нового строительства машиностроительных заводов.</w:t>
      </w:r>
    </w:p>
    <w:p w14:paraId="21A744E5" w14:textId="77777777" w:rsidR="00C50B8F" w:rsidRPr="00507A31" w:rsidRDefault="00C50B8F" w:rsidP="00507A31">
      <w:pPr>
        <w:jc w:val="both"/>
        <w:rPr>
          <w:color w:val="000000" w:themeColor="text1"/>
          <w:sz w:val="16"/>
          <w:szCs w:val="16"/>
        </w:rPr>
      </w:pPr>
      <w:r w:rsidRPr="00507A31">
        <w:rPr>
          <w:color w:val="000000" w:themeColor="text1"/>
          <w:sz w:val="16"/>
          <w:szCs w:val="16"/>
        </w:rPr>
        <w:t>В результате — наиболее опасная для экономики и обороны Советского Союза диспропорция — это металлический голод вообще, и в отношении качественных сталей в особенности, и угрожающие темпы развития общего и специального машиностроения.</w:t>
      </w:r>
    </w:p>
    <w:p w14:paraId="290ADB36" w14:textId="77777777" w:rsidR="00C50B8F" w:rsidRPr="00507A31" w:rsidRDefault="00C50B8F" w:rsidP="00507A31">
      <w:pPr>
        <w:jc w:val="both"/>
        <w:rPr>
          <w:color w:val="000000" w:themeColor="text1"/>
          <w:sz w:val="16"/>
          <w:szCs w:val="16"/>
        </w:rPr>
      </w:pPr>
      <w:r w:rsidRPr="00507A31">
        <w:rPr>
          <w:color w:val="000000" w:themeColor="text1"/>
          <w:sz w:val="16"/>
          <w:szCs w:val="16"/>
        </w:rPr>
        <w:t>Справка о собраниях ЦК Промпартии.</w:t>
      </w:r>
    </w:p>
    <w:p w14:paraId="20886E2D" w14:textId="77777777" w:rsidR="00C50B8F" w:rsidRPr="00507A31" w:rsidRDefault="00C50B8F" w:rsidP="00507A31">
      <w:pPr>
        <w:jc w:val="both"/>
        <w:rPr>
          <w:color w:val="000000" w:themeColor="text1"/>
          <w:sz w:val="16"/>
          <w:szCs w:val="16"/>
        </w:rPr>
      </w:pPr>
      <w:r w:rsidRPr="00507A31">
        <w:rPr>
          <w:color w:val="000000" w:themeColor="text1"/>
          <w:sz w:val="16"/>
          <w:szCs w:val="16"/>
        </w:rPr>
        <w:t>К осени 1927 г., т. е. к началу возникновения Промышленной партии состав ее ЦК был — ПАЛЬЧИНСКИЙ, РАБИНОВИЧ, ЯНУШЕВСКИЙ, ХРЕННИКОВ, КРАСОВСКИЙ, ФЕДОТОВ, РАМЗИИ, ЧАРНОВСКИЙ, ЛАРИЧЕВ и КАЛИННИКОВ.</w:t>
      </w:r>
    </w:p>
    <w:p w14:paraId="2CF779BC" w14:textId="77777777" w:rsidR="00C50B8F" w:rsidRPr="00507A31" w:rsidRDefault="00C50B8F" w:rsidP="00507A31">
      <w:pPr>
        <w:jc w:val="both"/>
        <w:rPr>
          <w:color w:val="000000" w:themeColor="text1"/>
          <w:sz w:val="16"/>
          <w:szCs w:val="16"/>
        </w:rPr>
      </w:pPr>
      <w:r w:rsidRPr="00507A31">
        <w:rPr>
          <w:color w:val="000000" w:themeColor="text1"/>
          <w:sz w:val="16"/>
          <w:szCs w:val="16"/>
        </w:rPr>
        <w:t>До образования ЦК Промпартии происходили групповые собрания, т. н. инженерного центра вредительских организаций по отдельным отраслям промышленности, из этих собраний я присутствовал на собрании в Госплане по металлической промышленности в кабинете металлической подсекции в составе ХРЕННИКОВ, ГАРТВАН, ТАУБЕ, ЖДАНОВ, КУТСКИЙ, МИЛЮКОВ, ЛИСТ и я — КАЛИННИКОВ — темой служили основные установки в проектировании пятилетки по металлу[,] темпы и диспропорции — это было весной 1927 г.</w:t>
      </w:r>
    </w:p>
    <w:p w14:paraId="2D05DC6B" w14:textId="77777777" w:rsidR="00C50B8F" w:rsidRPr="00507A31" w:rsidRDefault="00C50B8F" w:rsidP="00507A31">
      <w:pPr>
        <w:jc w:val="both"/>
        <w:rPr>
          <w:color w:val="000000" w:themeColor="text1"/>
          <w:sz w:val="16"/>
          <w:szCs w:val="16"/>
        </w:rPr>
      </w:pPr>
      <w:r w:rsidRPr="00507A31">
        <w:rPr>
          <w:color w:val="000000" w:themeColor="text1"/>
          <w:sz w:val="16"/>
          <w:szCs w:val="16"/>
        </w:rPr>
        <w:t>Собрания ЦК Промпартии:</w:t>
      </w:r>
    </w:p>
    <w:p w14:paraId="54E5B469" w14:textId="77777777" w:rsidR="00C50B8F" w:rsidRPr="00507A31" w:rsidRDefault="00C50B8F" w:rsidP="00507A31">
      <w:pPr>
        <w:jc w:val="both"/>
        <w:rPr>
          <w:color w:val="000000" w:themeColor="text1"/>
          <w:sz w:val="16"/>
          <w:szCs w:val="16"/>
        </w:rPr>
      </w:pPr>
      <w:r w:rsidRPr="00507A31">
        <w:rPr>
          <w:color w:val="000000" w:themeColor="text1"/>
          <w:sz w:val="16"/>
          <w:szCs w:val="16"/>
        </w:rPr>
        <w:t>Осень 1927 — доклады ХРЕННИКОВА и ФЕДОТОВА о сношении с заграницей по интервенции — основные мотивы.</w:t>
      </w:r>
    </w:p>
    <w:p w14:paraId="0B46FB30" w14:textId="77777777" w:rsidR="00C50B8F" w:rsidRPr="00507A31" w:rsidRDefault="00C50B8F" w:rsidP="00507A31">
      <w:pPr>
        <w:jc w:val="both"/>
        <w:rPr>
          <w:color w:val="000000" w:themeColor="text1"/>
          <w:sz w:val="16"/>
          <w:szCs w:val="16"/>
        </w:rPr>
      </w:pPr>
      <w:r w:rsidRPr="00507A31">
        <w:rPr>
          <w:color w:val="000000" w:themeColor="text1"/>
          <w:sz w:val="16"/>
          <w:szCs w:val="16"/>
        </w:rPr>
        <w:t>«-» — доклад РАМЗИНА о сношениях с французским] посольством — усиление подготовки к интервенции.</w:t>
      </w:r>
    </w:p>
    <w:p w14:paraId="3D1F0826" w14:textId="77777777" w:rsidR="00C50B8F" w:rsidRPr="00507A31" w:rsidRDefault="00C50B8F" w:rsidP="00507A31">
      <w:pPr>
        <w:jc w:val="both"/>
        <w:rPr>
          <w:color w:val="000000" w:themeColor="text1"/>
          <w:sz w:val="16"/>
          <w:szCs w:val="16"/>
        </w:rPr>
      </w:pPr>
      <w:r w:rsidRPr="00507A31">
        <w:rPr>
          <w:color w:val="000000" w:themeColor="text1"/>
          <w:sz w:val="16"/>
          <w:szCs w:val="16"/>
        </w:rPr>
        <w:t>Оба собрания были в помещении Всесоюзной Ассоциации Инженеров и в составе ПАЛЬЧИНСКИЙ, РАБИНОВИЧ, ЯНУШЕВСКИЙ, КРАСОВСКИЙ, ХРЕННИКОВ, ФЕДОТОВ, РАМЗИН, ЧАРНОВ- СКИЙ, ЛАРИЧЕВ и я — КАЛИННИКОВ.</w:t>
      </w:r>
    </w:p>
    <w:p w14:paraId="6A887DFB" w14:textId="77777777" w:rsidR="00C50B8F" w:rsidRPr="00507A31" w:rsidRDefault="00C50B8F" w:rsidP="00507A31">
      <w:pPr>
        <w:jc w:val="both"/>
        <w:rPr>
          <w:color w:val="000000" w:themeColor="text1"/>
          <w:sz w:val="16"/>
          <w:szCs w:val="16"/>
        </w:rPr>
      </w:pPr>
      <w:r w:rsidRPr="00507A31">
        <w:rPr>
          <w:color w:val="000000" w:themeColor="text1"/>
          <w:sz w:val="16"/>
          <w:szCs w:val="16"/>
        </w:rPr>
        <w:t>Янв[арь] 1928 г. Собрание в составе ХРЕННИКОВ, ЯНУШЕВСКИЙ, ФЕДОТОВ, РАМЗИН, ЛАРИЧЕВ, ЧАРНОВСКИЙ. Доклад РАМЗИНА о сведениях из французского] посольства о ходе подготовки интервенции заграницей (комиссия ЖАНЕНА).</w:t>
      </w:r>
    </w:p>
    <w:p w14:paraId="115600C5" w14:textId="77777777" w:rsidR="00C50B8F" w:rsidRPr="00507A31" w:rsidRDefault="00C50B8F" w:rsidP="00507A31">
      <w:pPr>
        <w:jc w:val="both"/>
        <w:rPr>
          <w:color w:val="000000" w:themeColor="text1"/>
          <w:sz w:val="16"/>
          <w:szCs w:val="16"/>
        </w:rPr>
      </w:pPr>
      <w:r w:rsidRPr="00507A31">
        <w:rPr>
          <w:color w:val="000000" w:themeColor="text1"/>
          <w:sz w:val="16"/>
          <w:szCs w:val="16"/>
        </w:rPr>
        <w:t>Окт[ябрь]-ноябрь 1928 г. Собрание в Госплане в составе — ХРЕННИКОВ, ФЕДОТОВ, РАМЗИН, ЛАРИЧЕВ и КАЛИННИКОВ. Сообщение РАМЗИНА о сроке и планах интервенции по сведениям из французского посольства.</w:t>
      </w:r>
    </w:p>
    <w:p w14:paraId="2B683F56" w14:textId="77777777" w:rsidR="00C50B8F" w:rsidRPr="00507A31" w:rsidRDefault="00C50B8F" w:rsidP="00507A31">
      <w:pPr>
        <w:jc w:val="both"/>
        <w:rPr>
          <w:color w:val="000000" w:themeColor="text1"/>
          <w:sz w:val="16"/>
          <w:szCs w:val="16"/>
        </w:rPr>
      </w:pPr>
      <w:r w:rsidRPr="00507A31">
        <w:rPr>
          <w:color w:val="000000" w:themeColor="text1"/>
          <w:sz w:val="16"/>
          <w:szCs w:val="16"/>
        </w:rPr>
        <w:t>Декабрь 1928 г. Собрание в НТУ ВСНХ в каб[инете] ШЕЙНАГ, в составе ШЕЙН, ЧАРНОВСКИЙ, ЛАРИЧЕВ, КАЛИННИКОВ, ГИНЗБУРГ, СОКОЛОВСКИЙ и БЕЛОЦЕРКОВСКИЙ. Сообщение ГИНЗБУРГА об экономических перспективах промышленности в 1930 г.</w:t>
      </w:r>
    </w:p>
    <w:p w14:paraId="5952A1CE" w14:textId="77777777" w:rsidR="00C50B8F" w:rsidRPr="00507A31" w:rsidRDefault="00C50B8F" w:rsidP="00507A31">
      <w:pPr>
        <w:jc w:val="both"/>
        <w:rPr>
          <w:color w:val="000000" w:themeColor="text1"/>
          <w:sz w:val="16"/>
          <w:szCs w:val="16"/>
        </w:rPr>
      </w:pPr>
      <w:r w:rsidRPr="00507A31">
        <w:rPr>
          <w:color w:val="000000" w:themeColor="text1"/>
          <w:sz w:val="16"/>
          <w:szCs w:val="16"/>
        </w:rPr>
        <w:t>Янв[арь] 1929 г. Собрание в Госплане в составе — РАМЗИН, ЛАРИЧЕВ, ЧАРНОВСКИЙ и ГРОМАН. Доклад ГРОМАНА об ожидаемой конъюнктуре народного хозяйства в 1930 г. Показываю со слов ЛАРИЧЕВА.</w:t>
      </w:r>
    </w:p>
    <w:p w14:paraId="52163453" w14:textId="77777777" w:rsidR="00C50B8F" w:rsidRPr="00507A31" w:rsidRDefault="00C50B8F" w:rsidP="00507A31">
      <w:pPr>
        <w:jc w:val="both"/>
        <w:rPr>
          <w:color w:val="000000" w:themeColor="text1"/>
          <w:sz w:val="16"/>
          <w:szCs w:val="16"/>
        </w:rPr>
      </w:pPr>
      <w:r w:rsidRPr="00507A31">
        <w:rPr>
          <w:color w:val="000000" w:themeColor="text1"/>
          <w:sz w:val="16"/>
          <w:szCs w:val="16"/>
        </w:rPr>
        <w:t>Окт[ябрь]-ноябрь 1929 г. Собрание в Госплане в каб[инете] ЛАРИЧЕВА в составе РАМЗИН, ЧАРНОВСКИЙ, ЛАРИЧЕВ и КАЛИННИКОВ. Сообщение РАМЗИНА о переговорах его с РЯБУШИНСКИМ относительно хода подготовки к интервенции намечалась отсрочка.</w:t>
      </w:r>
    </w:p>
    <w:p w14:paraId="38E241D9" w14:textId="77777777" w:rsidR="00C50B8F" w:rsidRPr="00507A31" w:rsidRDefault="00C50B8F" w:rsidP="00507A31">
      <w:pPr>
        <w:jc w:val="both"/>
        <w:rPr>
          <w:color w:val="000000" w:themeColor="text1"/>
          <w:sz w:val="16"/>
          <w:szCs w:val="16"/>
        </w:rPr>
      </w:pPr>
      <w:r w:rsidRPr="00507A31">
        <w:rPr>
          <w:color w:val="000000" w:themeColor="text1"/>
          <w:sz w:val="16"/>
          <w:szCs w:val="16"/>
        </w:rPr>
        <w:t>Декабрь 1929 г. Оба собрания в составе — РАМЗИН, ЧАРНОВСКИЙ.</w:t>
      </w:r>
    </w:p>
    <w:p w14:paraId="5B04F8AC" w14:textId="77777777" w:rsidR="00C50B8F" w:rsidRPr="00507A31" w:rsidRDefault="00C50B8F" w:rsidP="00507A31">
      <w:pPr>
        <w:jc w:val="both"/>
        <w:rPr>
          <w:color w:val="000000" w:themeColor="text1"/>
          <w:sz w:val="16"/>
          <w:szCs w:val="16"/>
        </w:rPr>
      </w:pPr>
      <w:r w:rsidRPr="00507A31">
        <w:rPr>
          <w:color w:val="000000" w:themeColor="text1"/>
          <w:sz w:val="16"/>
          <w:szCs w:val="16"/>
        </w:rPr>
        <w:t>Янв[арь-]февр[аль] 1930 г. ЛАРИЧЕВ и КАЛИННИКОВ. Доклады РАМЗИНА об организации инструктажа и объединении (военная комиссия) военных ячеек Промпартии в учреждениях Красной армии.</w:t>
      </w:r>
    </w:p>
    <w:p w14:paraId="68C4CC54" w14:textId="77777777" w:rsidR="00C50B8F" w:rsidRPr="00507A31" w:rsidRDefault="00C50B8F" w:rsidP="00507A31">
      <w:pPr>
        <w:jc w:val="both"/>
        <w:rPr>
          <w:color w:val="000000" w:themeColor="text1"/>
          <w:sz w:val="16"/>
          <w:szCs w:val="16"/>
        </w:rPr>
      </w:pPr>
      <w:r w:rsidRPr="00507A31">
        <w:rPr>
          <w:color w:val="000000" w:themeColor="text1"/>
          <w:sz w:val="16"/>
          <w:szCs w:val="16"/>
        </w:rPr>
        <w:t>Май 1930 г. Собрание в Госплане в составе — РАМЗИН, ЧАРНОВСКИЙ, КАЛИННИКОВ (я присутствовал в начале), ОСАДЧИЙ и ШЕЙН (присутствовали по словам РАМЗИНА). Доклад РАМЗИНА о терактах против членов правительства и партии.</w:t>
      </w:r>
    </w:p>
    <w:p w14:paraId="60DF974B" w14:textId="77777777" w:rsidR="00C50B8F" w:rsidRPr="00507A31" w:rsidRDefault="00C50B8F" w:rsidP="00507A31">
      <w:pPr>
        <w:jc w:val="both"/>
        <w:rPr>
          <w:color w:val="000000" w:themeColor="text1"/>
          <w:sz w:val="16"/>
          <w:szCs w:val="16"/>
        </w:rPr>
      </w:pPr>
      <w:r w:rsidRPr="00507A31">
        <w:rPr>
          <w:color w:val="000000" w:themeColor="text1"/>
          <w:sz w:val="16"/>
          <w:szCs w:val="16"/>
        </w:rPr>
        <w:t>Все эти собрания ЦК Промпартии не носили характера организованных заседаний, а в большинстве напоминали краткие беседы членов ЦК в особенности, когда они были осведомительные.</w:t>
      </w:r>
    </w:p>
    <w:p w14:paraId="7CBBFDD8" w14:textId="77777777" w:rsidR="00C50B8F" w:rsidRPr="00507A31" w:rsidRDefault="00C50B8F" w:rsidP="00507A31">
      <w:pPr>
        <w:jc w:val="both"/>
        <w:rPr>
          <w:color w:val="000000" w:themeColor="text1"/>
          <w:sz w:val="16"/>
          <w:szCs w:val="16"/>
        </w:rPr>
      </w:pPr>
      <w:r w:rsidRPr="00507A31">
        <w:rPr>
          <w:color w:val="000000" w:themeColor="text1"/>
          <w:sz w:val="16"/>
          <w:szCs w:val="16"/>
        </w:rPr>
        <w:t>3/XI-1930 г. И. А. КАЛИННИКОВ.</w:t>
      </w:r>
    </w:p>
    <w:p w14:paraId="5306535C" w14:textId="77777777" w:rsidR="00C50B8F" w:rsidRPr="00507A31" w:rsidRDefault="00C50B8F" w:rsidP="00507A31">
      <w:pPr>
        <w:jc w:val="both"/>
        <w:rPr>
          <w:color w:val="000000" w:themeColor="text1"/>
          <w:sz w:val="16"/>
          <w:szCs w:val="16"/>
        </w:rPr>
      </w:pPr>
      <w:r w:rsidRPr="00507A31">
        <w:rPr>
          <w:color w:val="000000" w:themeColor="text1"/>
          <w:sz w:val="16"/>
          <w:szCs w:val="16"/>
        </w:rPr>
        <w:t>Допросили: пом. нач. СОУ ОГПУ АГРАНОВ.</w:t>
      </w:r>
    </w:p>
    <w:p w14:paraId="34B8CF0F" w14:textId="77777777" w:rsidR="00C50B8F" w:rsidRPr="00507A31" w:rsidRDefault="00C50B8F" w:rsidP="00507A31">
      <w:pPr>
        <w:jc w:val="both"/>
        <w:rPr>
          <w:color w:val="000000" w:themeColor="text1"/>
          <w:sz w:val="16"/>
          <w:szCs w:val="16"/>
        </w:rPr>
      </w:pPr>
      <w:r w:rsidRPr="00507A31">
        <w:rPr>
          <w:color w:val="000000" w:themeColor="text1"/>
          <w:sz w:val="16"/>
          <w:szCs w:val="16"/>
        </w:rPr>
        <w:t>пом. нач. 3 отделения] СООГПУ РАДЗИВИЛОВСКИЙ.</w:t>
      </w:r>
    </w:p>
    <w:p w14:paraId="30EC35BC" w14:textId="77777777" w:rsidR="00C50B8F" w:rsidRPr="00507A31" w:rsidRDefault="00C50B8F" w:rsidP="00507A31">
      <w:pPr>
        <w:jc w:val="both"/>
        <w:rPr>
          <w:color w:val="000000" w:themeColor="text1"/>
          <w:sz w:val="16"/>
          <w:szCs w:val="16"/>
        </w:rPr>
      </w:pPr>
      <w:r w:rsidRPr="00507A31">
        <w:rPr>
          <w:color w:val="000000" w:themeColor="text1"/>
          <w:sz w:val="16"/>
          <w:szCs w:val="16"/>
        </w:rPr>
        <w:t>Д. 355. Л. 123-128. Заверенная машинописная копия того времени (см. легенду к док. № 355-7). В тексте имеются многочисленные подчеркивания карандашом.</w:t>
      </w:r>
    </w:p>
    <w:p w14:paraId="70D64B7B" w14:textId="77777777" w:rsidR="00C50B8F" w:rsidRPr="00507A31" w:rsidRDefault="00C50B8F" w:rsidP="00507A31">
      <w:pPr>
        <w:jc w:val="both"/>
        <w:rPr>
          <w:color w:val="000000" w:themeColor="text1"/>
          <w:sz w:val="16"/>
          <w:szCs w:val="16"/>
        </w:rPr>
      </w:pPr>
      <w:r w:rsidRPr="00507A31">
        <w:rPr>
          <w:color w:val="000000" w:themeColor="text1"/>
          <w:sz w:val="16"/>
          <w:szCs w:val="16"/>
        </w:rPr>
        <w:t>ЦА ФСБ РФ. Ф. Р-42280. Т. 10. Л. 160-162. Машинопинсая копия того времени, заверенная Кошеверовым (18502).</w:t>
      </w:r>
    </w:p>
    <w:p w14:paraId="681A93E2" w14:textId="00A22381" w:rsidR="00C50B8F" w:rsidRPr="00507A31" w:rsidRDefault="00C50B8F" w:rsidP="00507A31">
      <w:pPr>
        <w:jc w:val="both"/>
        <w:rPr>
          <w:color w:val="000000" w:themeColor="text1"/>
          <w:sz w:val="16"/>
          <w:szCs w:val="16"/>
        </w:rPr>
      </w:pPr>
    </w:p>
    <w:p w14:paraId="6738C1F6" w14:textId="44BE9BA3" w:rsidR="002502B8" w:rsidRPr="00507A31" w:rsidRDefault="002502B8" w:rsidP="00507A31">
      <w:pPr>
        <w:jc w:val="both"/>
        <w:rPr>
          <w:i/>
          <w:iCs/>
          <w:color w:val="000000" w:themeColor="text1"/>
          <w:sz w:val="16"/>
          <w:szCs w:val="16"/>
        </w:rPr>
      </w:pPr>
      <w:r w:rsidRPr="00507A31">
        <w:rPr>
          <w:i/>
          <w:iCs/>
          <w:color w:val="000000" w:themeColor="text1"/>
          <w:sz w:val="16"/>
          <w:szCs w:val="16"/>
        </w:rPr>
        <w:lastRenderedPageBreak/>
        <w:t>За рубежом:</w:t>
      </w:r>
    </w:p>
    <w:p w14:paraId="4F2F88D2" w14:textId="77777777" w:rsidR="002502B8" w:rsidRPr="00507A31" w:rsidRDefault="002502B8" w:rsidP="00507A31">
      <w:pPr>
        <w:jc w:val="both"/>
        <w:rPr>
          <w:i/>
          <w:iCs/>
          <w:color w:val="000000" w:themeColor="text1"/>
          <w:sz w:val="16"/>
          <w:szCs w:val="16"/>
        </w:rPr>
      </w:pPr>
    </w:p>
    <w:p w14:paraId="6DC51689" w14:textId="77777777" w:rsidR="002502B8" w:rsidRPr="00507A31" w:rsidRDefault="002502B8" w:rsidP="00507A31">
      <w:pPr>
        <w:jc w:val="both"/>
        <w:rPr>
          <w:color w:val="0070C0"/>
          <w:sz w:val="16"/>
          <w:szCs w:val="16"/>
        </w:rPr>
      </w:pPr>
      <w:r w:rsidRPr="00507A31">
        <w:rPr>
          <w:color w:val="0070C0"/>
          <w:sz w:val="16"/>
          <w:szCs w:val="16"/>
        </w:rPr>
        <w:t>3 ноября 1930 братья Томас Элмер Бранифф и Пол Ревер Бранифф основали свою вторую авиакомпанию, Braniff Airways, Inc. В конечном итоге она станет Braniff International Airways (20805).</w:t>
      </w:r>
    </w:p>
    <w:p w14:paraId="3CFE7065" w14:textId="77777777" w:rsidR="002502B8" w:rsidRPr="00507A31" w:rsidRDefault="002502B8" w:rsidP="00507A31">
      <w:pPr>
        <w:jc w:val="both"/>
        <w:rPr>
          <w:color w:val="0070C0"/>
          <w:sz w:val="16"/>
          <w:szCs w:val="16"/>
        </w:rPr>
      </w:pPr>
    </w:p>
    <w:p w14:paraId="5EA83C0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713230B" w14:textId="77777777" w:rsidR="00537E5F" w:rsidRPr="00507A31" w:rsidRDefault="00537E5F" w:rsidP="00507A31">
      <w:pPr>
        <w:autoSpaceDE w:val="0"/>
        <w:autoSpaceDN w:val="0"/>
        <w:adjustRightInd w:val="0"/>
        <w:jc w:val="both"/>
        <w:rPr>
          <w:iCs/>
          <w:color w:val="000000" w:themeColor="text1"/>
          <w:sz w:val="16"/>
          <w:szCs w:val="16"/>
        </w:rPr>
      </w:pPr>
    </w:p>
    <w:p w14:paraId="343442A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 ноября 1930 года состоялся полет И8 на проверку нового электрического счетчика оборотов и нового указателя скорости (6925).</w:t>
      </w:r>
    </w:p>
    <w:p w14:paraId="53EEAD0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671D37F" w14:textId="77777777" w:rsidR="00EC4078" w:rsidRPr="00507A31" w:rsidRDefault="00EC4078" w:rsidP="00507A31">
      <w:pPr>
        <w:pStyle w:val="rtejustify"/>
        <w:shd w:val="clear" w:color="auto" w:fill="FFFFFF"/>
        <w:spacing w:before="0" w:after="0"/>
        <w:rPr>
          <w:color w:val="000000" w:themeColor="text1"/>
          <w:sz w:val="16"/>
          <w:szCs w:val="16"/>
        </w:rPr>
      </w:pPr>
      <w:r w:rsidRPr="00507A31">
        <w:rPr>
          <w:color w:val="000000" w:themeColor="text1"/>
          <w:sz w:val="16"/>
          <w:szCs w:val="16"/>
        </w:rPr>
        <w:t>4 ноября 1930 самолет И-8 достиг максимальной скорости у земли 290 км/ч (на 41 км/ч меньше проектной) (19171).</w:t>
      </w:r>
    </w:p>
    <w:p w14:paraId="57CB67B5" w14:textId="77777777" w:rsidR="00EC4078" w:rsidRPr="00507A31" w:rsidRDefault="00EC4078" w:rsidP="00507A31">
      <w:pPr>
        <w:pStyle w:val="rtejustify"/>
        <w:shd w:val="clear" w:color="auto" w:fill="FFFFFF"/>
        <w:spacing w:before="0" w:after="0"/>
        <w:rPr>
          <w:color w:val="000000" w:themeColor="text1"/>
          <w:sz w:val="16"/>
          <w:szCs w:val="16"/>
        </w:rPr>
      </w:pPr>
    </w:p>
    <w:p w14:paraId="315669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ноября 1930 год, основан НИИ ГВФ (с 1954 г. - Государственный НИИ гражданской авиации). Головная научно-исследовательская организация в области гражданского авиастроения. С начала своей деятельности институт участвует в создании и внедрении летательных аппаратов и авиационных двигателей.</w:t>
      </w:r>
    </w:p>
    <w:p w14:paraId="5B2A03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5DD1E74" w14:textId="77777777" w:rsidR="00EC4078" w:rsidRPr="00507A31" w:rsidRDefault="00EC4078"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EE630F7" w14:textId="77777777" w:rsidR="00EC4078" w:rsidRPr="00507A31" w:rsidRDefault="00EC4078" w:rsidP="00507A31">
      <w:pPr>
        <w:autoSpaceDE w:val="0"/>
        <w:autoSpaceDN w:val="0"/>
        <w:adjustRightInd w:val="0"/>
        <w:jc w:val="both"/>
        <w:rPr>
          <w:color w:val="000000" w:themeColor="text1"/>
          <w:sz w:val="16"/>
          <w:szCs w:val="16"/>
        </w:rPr>
      </w:pPr>
    </w:p>
    <w:p w14:paraId="1FF15211" w14:textId="77777777" w:rsidR="00EC4078" w:rsidRPr="00507A31" w:rsidRDefault="00EC4078" w:rsidP="00507A31">
      <w:pPr>
        <w:jc w:val="both"/>
        <w:rPr>
          <w:color w:val="000000" w:themeColor="text1"/>
          <w:sz w:val="16"/>
          <w:szCs w:val="16"/>
        </w:rPr>
      </w:pPr>
      <w:r w:rsidRPr="00507A31">
        <w:rPr>
          <w:color w:val="000000" w:themeColor="text1"/>
          <w:sz w:val="16"/>
          <w:szCs w:val="16"/>
        </w:rPr>
        <w:t>4 ноября 1930 г.</w:t>
      </w:r>
    </w:p>
    <w:p w14:paraId="07E623F5" w14:textId="77777777" w:rsidR="00EC4078" w:rsidRPr="00507A31" w:rsidRDefault="00EC4078" w:rsidP="00507A31">
      <w:pPr>
        <w:jc w:val="both"/>
        <w:rPr>
          <w:color w:val="000000" w:themeColor="text1"/>
          <w:sz w:val="16"/>
          <w:szCs w:val="16"/>
        </w:rPr>
      </w:pPr>
      <w:r w:rsidRPr="00507A31">
        <w:rPr>
          <w:color w:val="000000" w:themeColor="text1"/>
          <w:sz w:val="16"/>
          <w:szCs w:val="16"/>
        </w:rPr>
        <w:t>Показания И. А. Калинникова «о собраниях ЦК Промпартии». 4 ноября 1930 г.</w:t>
      </w:r>
    </w:p>
    <w:p w14:paraId="22FE0FF3" w14:textId="77777777" w:rsidR="00EC4078" w:rsidRPr="00507A31" w:rsidRDefault="00EC4078" w:rsidP="00507A31">
      <w:pPr>
        <w:jc w:val="both"/>
        <w:rPr>
          <w:color w:val="000000" w:themeColor="text1"/>
          <w:sz w:val="16"/>
          <w:szCs w:val="16"/>
        </w:rPr>
      </w:pPr>
      <w:r w:rsidRPr="00507A31">
        <w:rPr>
          <w:color w:val="000000" w:themeColor="text1"/>
          <w:sz w:val="16"/>
          <w:szCs w:val="16"/>
        </w:rPr>
        <w:t>Источник: </w:t>
      </w:r>
    </w:p>
    <w:p w14:paraId="07B69B9F" w14:textId="77777777" w:rsidR="00EC4078" w:rsidRPr="00507A31" w:rsidRDefault="00EC407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7CDB09" w14:textId="77777777" w:rsidR="00EC4078" w:rsidRPr="00507A31" w:rsidRDefault="00EC4078" w:rsidP="00507A31">
      <w:pPr>
        <w:jc w:val="both"/>
        <w:rPr>
          <w:color w:val="000000" w:themeColor="text1"/>
          <w:sz w:val="16"/>
          <w:szCs w:val="16"/>
        </w:rPr>
      </w:pPr>
      <w:r w:rsidRPr="00507A31">
        <w:rPr>
          <w:color w:val="000000" w:themeColor="text1"/>
          <w:sz w:val="16"/>
          <w:szCs w:val="16"/>
        </w:rPr>
        <w:t>Архив: </w:t>
      </w:r>
    </w:p>
    <w:p w14:paraId="67EBAB8E" w14:textId="77777777" w:rsidR="00EC4078" w:rsidRPr="00507A31" w:rsidRDefault="00EC4078" w:rsidP="00507A31">
      <w:pPr>
        <w:jc w:val="both"/>
        <w:rPr>
          <w:color w:val="000000" w:themeColor="text1"/>
          <w:sz w:val="16"/>
          <w:szCs w:val="16"/>
        </w:rPr>
      </w:pPr>
      <w:r w:rsidRPr="00507A31">
        <w:rPr>
          <w:color w:val="000000" w:themeColor="text1"/>
          <w:sz w:val="16"/>
          <w:szCs w:val="16"/>
        </w:rPr>
        <w:t>ЦА ФСБ РФ. Ф. Р-42280. Т. 2. Л. 439-441</w:t>
      </w:r>
    </w:p>
    <w:p w14:paraId="572144C5" w14:textId="77777777" w:rsidR="00EC4078" w:rsidRPr="00507A31" w:rsidRDefault="00EC4078" w:rsidP="00507A31">
      <w:pPr>
        <w:jc w:val="both"/>
        <w:rPr>
          <w:color w:val="000000" w:themeColor="text1"/>
          <w:sz w:val="16"/>
          <w:szCs w:val="16"/>
        </w:rPr>
      </w:pPr>
      <w:r w:rsidRPr="00507A31">
        <w:rPr>
          <w:color w:val="000000" w:themeColor="text1"/>
          <w:sz w:val="16"/>
          <w:szCs w:val="16"/>
        </w:rPr>
        <w:t>4 ноября 1930 г.</w:t>
      </w:r>
    </w:p>
    <w:p w14:paraId="32581FC5" w14:textId="77777777" w:rsidR="00EC4078" w:rsidRPr="00507A31" w:rsidRDefault="00EC4078" w:rsidP="00507A31">
      <w:pPr>
        <w:jc w:val="both"/>
        <w:rPr>
          <w:color w:val="000000" w:themeColor="text1"/>
          <w:sz w:val="16"/>
          <w:szCs w:val="16"/>
        </w:rPr>
      </w:pPr>
      <w:r w:rsidRPr="00507A31">
        <w:rPr>
          <w:color w:val="000000" w:themeColor="text1"/>
          <w:sz w:val="16"/>
          <w:szCs w:val="16"/>
        </w:rPr>
        <w:t>[Строго секретно]</w:t>
      </w:r>
    </w:p>
    <w:p w14:paraId="79C7991C" w14:textId="77777777" w:rsidR="00EC4078" w:rsidRPr="00507A31" w:rsidRDefault="00EC4078" w:rsidP="00507A31">
      <w:pPr>
        <w:jc w:val="both"/>
        <w:rPr>
          <w:color w:val="000000" w:themeColor="text1"/>
          <w:sz w:val="16"/>
          <w:szCs w:val="16"/>
        </w:rPr>
      </w:pPr>
      <w:r w:rsidRPr="00507A31">
        <w:rPr>
          <w:color w:val="000000" w:themeColor="text1"/>
          <w:sz w:val="16"/>
          <w:szCs w:val="16"/>
        </w:rPr>
        <w:t>ПРОТОКОЛ ДОПРОСА</w:t>
      </w:r>
    </w:p>
    <w:p w14:paraId="7949D17D" w14:textId="77777777" w:rsidR="00EC4078" w:rsidRPr="00507A31" w:rsidRDefault="00EC4078" w:rsidP="00507A31">
      <w:pPr>
        <w:jc w:val="both"/>
        <w:rPr>
          <w:color w:val="000000" w:themeColor="text1"/>
          <w:sz w:val="16"/>
          <w:szCs w:val="16"/>
        </w:rPr>
      </w:pPr>
      <w:r w:rsidRPr="00507A31">
        <w:rPr>
          <w:color w:val="000000" w:themeColor="text1"/>
          <w:sz w:val="16"/>
          <w:szCs w:val="16"/>
        </w:rPr>
        <w:t>КАЛИННИКОВА Ивана Андреевича от 4 ноября 1930 г.</w:t>
      </w:r>
    </w:p>
    <w:p w14:paraId="1FF68E3D" w14:textId="77777777" w:rsidR="00EC4078" w:rsidRPr="00507A31" w:rsidRDefault="00EC4078" w:rsidP="00507A31">
      <w:pPr>
        <w:jc w:val="both"/>
        <w:rPr>
          <w:color w:val="000000" w:themeColor="text1"/>
          <w:sz w:val="16"/>
          <w:szCs w:val="16"/>
        </w:rPr>
      </w:pPr>
      <w:r w:rsidRPr="00507A31">
        <w:rPr>
          <w:color w:val="000000" w:themeColor="text1"/>
          <w:sz w:val="16"/>
          <w:szCs w:val="16"/>
        </w:rPr>
        <w:t>Допросили: нач. СООГПУ АГРАНОВ и п[ом]/нач. 3 отделения] СО РАДЗИВИЛОВСКИЙ.</w:t>
      </w:r>
    </w:p>
    <w:p w14:paraId="50BB8E4E" w14:textId="77777777" w:rsidR="00EC4078" w:rsidRPr="00507A31" w:rsidRDefault="00EC4078" w:rsidP="00507A31">
      <w:pPr>
        <w:jc w:val="both"/>
        <w:rPr>
          <w:color w:val="000000" w:themeColor="text1"/>
          <w:sz w:val="16"/>
          <w:szCs w:val="16"/>
        </w:rPr>
      </w:pPr>
      <w:r w:rsidRPr="00507A31">
        <w:rPr>
          <w:color w:val="000000" w:themeColor="text1"/>
          <w:sz w:val="16"/>
          <w:szCs w:val="16"/>
        </w:rPr>
        <w:t>О собраниях НК Промпартии.</w:t>
      </w:r>
    </w:p>
    <w:p w14:paraId="464F1F80" w14:textId="77777777" w:rsidR="00EC4078" w:rsidRPr="00507A31" w:rsidRDefault="00EC4078" w:rsidP="00507A31">
      <w:pPr>
        <w:jc w:val="both"/>
        <w:rPr>
          <w:color w:val="000000" w:themeColor="text1"/>
          <w:sz w:val="16"/>
          <w:szCs w:val="16"/>
        </w:rPr>
      </w:pPr>
      <w:r w:rsidRPr="00507A31">
        <w:rPr>
          <w:color w:val="000000" w:themeColor="text1"/>
          <w:sz w:val="16"/>
          <w:szCs w:val="16"/>
        </w:rPr>
        <w:t>Осенью 1927 г., т. е. при возникновении Промышленной партии в состав ее Центрального комитета входили: ПАЛЬЧИНСКИЙ, РАБИНОВИЧ, ЯНУШЕВСКИЙ, ХРЕННИКОВ, КРАСОВСКИЙ, ФЕДОТОВ, РАМЗИН, ЛАРИЧЕВ, ЧАРНОВСКИЙ и я — КАЛИННИКОВ.</w:t>
      </w:r>
    </w:p>
    <w:p w14:paraId="6478512E" w14:textId="77777777" w:rsidR="00EC4078" w:rsidRPr="00507A31" w:rsidRDefault="00EC4078" w:rsidP="00507A31">
      <w:pPr>
        <w:jc w:val="both"/>
        <w:rPr>
          <w:color w:val="000000" w:themeColor="text1"/>
          <w:sz w:val="16"/>
          <w:szCs w:val="16"/>
        </w:rPr>
      </w:pPr>
      <w:r w:rsidRPr="00507A31">
        <w:rPr>
          <w:color w:val="000000" w:themeColor="text1"/>
          <w:sz w:val="16"/>
          <w:szCs w:val="16"/>
        </w:rPr>
        <w:t>До образования ЦК Промпартии обыкновенно происходили групповые собрания так называемого инженерного центра, вредительских организаций по отдельным отраслям промышленности и на транспорте. Из этих собраний я присутствовал на собрании в Госплане весною 1927 г. в металлической п[од]/с[екции] Госплана, в кабинете ГАРТВАНА в составе: ХРЕННИКОВА, ГАРТВАНА, ТАУБЕ, ЖДАНОВА, КУТСКОГО. МИЛЮКОВА, ЛИСТ, БЕЛОНОЖКИН и я — КАЛИННИКОВ. По словам ХРЕННИКОВА — это собрание подводило итоги обсуждений на двух-трех предшествующих собраниях у ХРЕННИКОВА в ВСНХ, примерно, в том же составе. В результате обсуждения были приняты основные установки по проектировке пятилетнего плана по металлургии и машиностроению, а именно минимальные темпы в выплавке чугуна и стали, замедленный темп развертывания реконструкции южной металлургии и Урала, кризисный темп в развитии производства качественной стали, несоответствующий темпам развития машиностроения; в машиностроении намечено отставание в производстве энергетического оборудования и станкостроения.</w:t>
      </w:r>
    </w:p>
    <w:p w14:paraId="76CF5030" w14:textId="77777777" w:rsidR="00EC4078" w:rsidRPr="00507A31" w:rsidRDefault="00EC4078" w:rsidP="00507A31">
      <w:pPr>
        <w:jc w:val="both"/>
        <w:rPr>
          <w:color w:val="000000" w:themeColor="text1"/>
          <w:sz w:val="16"/>
          <w:szCs w:val="16"/>
        </w:rPr>
      </w:pPr>
      <w:r w:rsidRPr="00507A31">
        <w:rPr>
          <w:color w:val="000000" w:themeColor="text1"/>
          <w:sz w:val="16"/>
          <w:szCs w:val="16"/>
        </w:rPr>
        <w:t>Собрания Ц.K. Промпартии.</w:t>
      </w:r>
    </w:p>
    <w:p w14:paraId="0A4432A8" w14:textId="77777777" w:rsidR="00EC4078" w:rsidRPr="00507A31" w:rsidRDefault="00EC4078" w:rsidP="00507A31">
      <w:pPr>
        <w:jc w:val="both"/>
        <w:rPr>
          <w:color w:val="000000" w:themeColor="text1"/>
          <w:sz w:val="16"/>
          <w:szCs w:val="16"/>
        </w:rPr>
      </w:pPr>
      <w:r w:rsidRPr="00507A31">
        <w:rPr>
          <w:color w:val="000000" w:themeColor="text1"/>
          <w:sz w:val="16"/>
          <w:szCs w:val="16"/>
        </w:rPr>
        <w:t>Осенью 1927 г. было два собрания ЦК в помещении Всесоюзной Ассоциации инженеров, в составе: ПАЛЬЧИНСКОГО, РАБИНОВИЧА, ЯНУШЕВСКОГО, КРАСОВСКОГО, ХРЕННИКОВА, ФЕДОТОВА, РАМЗИНА, ЛАРИЧЕВА, ЧАРНОВСКОГО и меня — КАЛИННИКОВА.</w:t>
      </w:r>
    </w:p>
    <w:p w14:paraId="75581C30" w14:textId="77777777" w:rsidR="00EC4078" w:rsidRPr="00507A31" w:rsidRDefault="00EC4078" w:rsidP="00507A31">
      <w:pPr>
        <w:jc w:val="both"/>
        <w:rPr>
          <w:color w:val="000000" w:themeColor="text1"/>
          <w:sz w:val="16"/>
          <w:szCs w:val="16"/>
        </w:rPr>
      </w:pPr>
      <w:r w:rsidRPr="00507A31">
        <w:rPr>
          <w:color w:val="000000" w:themeColor="text1"/>
          <w:sz w:val="16"/>
          <w:szCs w:val="16"/>
        </w:rPr>
        <w:t>1)   На первом — доклады ХРЕННИКОВА и ФЕДОТОВА о сношениях их с французскими] правительственными кругами и русскими бело-эмигрантами. Правительство Франции опасается быстро развивающейся экономической и оборонной мощи Советского Союза и не считает возможным откладывать вопрос об интервенции тем более, что техника вооружения и снаряжения Красной армии значительно отстает от современных достижений в военном деле заграницей. Опасения русских бело-эмигрантов, что поспешная интервенция может передать в их руки незаконченно-восстановленные и реконструированные промпредприятия, несущественно.</w:t>
      </w:r>
    </w:p>
    <w:p w14:paraId="503E5060" w14:textId="77777777" w:rsidR="00EC4078" w:rsidRPr="00507A31" w:rsidRDefault="00EC4078" w:rsidP="00507A31">
      <w:pPr>
        <w:jc w:val="both"/>
        <w:rPr>
          <w:color w:val="000000" w:themeColor="text1"/>
          <w:sz w:val="16"/>
          <w:szCs w:val="16"/>
        </w:rPr>
      </w:pPr>
      <w:r w:rsidRPr="00507A31">
        <w:rPr>
          <w:color w:val="000000" w:themeColor="text1"/>
          <w:sz w:val="16"/>
          <w:szCs w:val="16"/>
        </w:rPr>
        <w:t>2)   На втором — доклад РАМЗИНА о сведениях из французского посольства в Москве через КЮФЕРА — состоялось соглашение между правительством Франции и русскими бело-эмигрантами о необходимости развернуть и заграницей и внутри Советского Союза интенсивную деятельность по подготовке интервенции.</w:t>
      </w:r>
    </w:p>
    <w:p w14:paraId="019E654B" w14:textId="77777777" w:rsidR="00EC4078" w:rsidRPr="00507A31" w:rsidRDefault="00EC4078" w:rsidP="00507A31">
      <w:pPr>
        <w:jc w:val="both"/>
        <w:rPr>
          <w:color w:val="000000" w:themeColor="text1"/>
          <w:sz w:val="16"/>
          <w:szCs w:val="16"/>
        </w:rPr>
      </w:pPr>
      <w:r w:rsidRPr="00507A31">
        <w:rPr>
          <w:color w:val="000000" w:themeColor="text1"/>
          <w:sz w:val="16"/>
          <w:szCs w:val="16"/>
        </w:rPr>
        <w:t>Решение ЦК по обсуждении докладов ХРЕННИКОВА и РАМЗИНА — усилить к[онтр]-революционную] вредительскую работу при разработке пятилетних планов промышленности и транспорта, приняв в основу лозунг — минимальные темпы развития и создание диспропорций, в особенности в тяжелой индустрии.</w:t>
      </w:r>
    </w:p>
    <w:p w14:paraId="34A0AFBC" w14:textId="77777777" w:rsidR="00EC4078" w:rsidRPr="00507A31" w:rsidRDefault="00EC4078" w:rsidP="00507A31">
      <w:pPr>
        <w:jc w:val="both"/>
        <w:rPr>
          <w:color w:val="000000" w:themeColor="text1"/>
          <w:sz w:val="16"/>
          <w:szCs w:val="16"/>
        </w:rPr>
      </w:pPr>
      <w:r w:rsidRPr="00507A31">
        <w:rPr>
          <w:color w:val="000000" w:themeColor="text1"/>
          <w:sz w:val="16"/>
          <w:szCs w:val="16"/>
        </w:rPr>
        <w:t>3)   Январь 19[2]8г. Собрание в составе — ХРЕННИКОВА, ЯНУШЕВСКОГО, ФЕДОТОВА, РАМЗИНА, ЛАРИЧЕВА и ЧАРНОВСКОГО. Доклад РАМЗИНА о сведениях из французского] посольства в Москве через ЭРБЕТТА, а именно при французском] штабе в комиссии генерала ЖАНЕНА принято, что общее руководство интервенцией армий берет на себя Франция. Второе — ему — РАМЗИНУ удалось через ЭРБЕТТА установить связь с полковником французского] штаба РИШАРОМ.</w:t>
      </w:r>
    </w:p>
    <w:p w14:paraId="13828FB3" w14:textId="77777777" w:rsidR="00EC4078" w:rsidRPr="00507A31" w:rsidRDefault="00EC4078" w:rsidP="00507A31">
      <w:pPr>
        <w:jc w:val="both"/>
        <w:rPr>
          <w:color w:val="000000" w:themeColor="text1"/>
          <w:sz w:val="16"/>
          <w:szCs w:val="16"/>
        </w:rPr>
      </w:pPr>
      <w:r w:rsidRPr="00507A31">
        <w:rPr>
          <w:color w:val="000000" w:themeColor="text1"/>
          <w:sz w:val="16"/>
          <w:szCs w:val="16"/>
        </w:rPr>
        <w:t>Подробности мне неизвестны, показываю со слов ЛАРИЧЕВА.</w:t>
      </w:r>
    </w:p>
    <w:p w14:paraId="12CF8130" w14:textId="77777777" w:rsidR="00EC4078" w:rsidRPr="00507A31" w:rsidRDefault="00EC4078" w:rsidP="00507A31">
      <w:pPr>
        <w:jc w:val="both"/>
        <w:rPr>
          <w:color w:val="000000" w:themeColor="text1"/>
          <w:sz w:val="16"/>
          <w:szCs w:val="16"/>
        </w:rPr>
      </w:pPr>
      <w:r w:rsidRPr="00507A31">
        <w:rPr>
          <w:color w:val="000000" w:themeColor="text1"/>
          <w:sz w:val="16"/>
          <w:szCs w:val="16"/>
        </w:rPr>
        <w:t>4)   и 5) Январь и февраль 1928 г. Два собрания ЦК по установлению контакта и блока с Трудовой крестьянской партией (ТКП). Сообщаю со слов ХРЕННИКОВА. На первом собрании в составе предыдущего собрания, 3)[,] был доклад А. В. ЧАЯНОВА об основных политико-экономических установках ТКП.</w:t>
      </w:r>
    </w:p>
    <w:p w14:paraId="3D9BBE48" w14:textId="77777777" w:rsidR="00EC4078" w:rsidRPr="00507A31" w:rsidRDefault="00EC4078" w:rsidP="00507A31">
      <w:pPr>
        <w:jc w:val="both"/>
        <w:rPr>
          <w:color w:val="000000" w:themeColor="text1"/>
          <w:sz w:val="16"/>
          <w:szCs w:val="16"/>
        </w:rPr>
      </w:pPr>
      <w:r w:rsidRPr="00507A31">
        <w:rPr>
          <w:color w:val="000000" w:themeColor="text1"/>
          <w:sz w:val="16"/>
          <w:szCs w:val="16"/>
        </w:rPr>
        <w:t>На втором, примерно, в том же составе, был доклад КОНДРАТЬЕВА и содоклад МАКАРОВА о намечаемых в ТКП конкретных шагах по конструированию власти (премьер КОНДРАТЬЕВ) в случае свержения советской власти.</w:t>
      </w:r>
    </w:p>
    <w:p w14:paraId="1ADF95F4" w14:textId="77777777" w:rsidR="00EC4078" w:rsidRPr="00507A31" w:rsidRDefault="00EC4078" w:rsidP="00507A31">
      <w:pPr>
        <w:jc w:val="both"/>
        <w:rPr>
          <w:color w:val="000000" w:themeColor="text1"/>
          <w:sz w:val="16"/>
          <w:szCs w:val="16"/>
        </w:rPr>
      </w:pPr>
      <w:r w:rsidRPr="00507A31">
        <w:rPr>
          <w:color w:val="000000" w:themeColor="text1"/>
          <w:sz w:val="16"/>
          <w:szCs w:val="16"/>
        </w:rPr>
        <w:t>По словам ХРЕННИКОВА, были разговоры о возможном составе нового правительства со стороны Промпартии (премьер — ПАЛЬЧИНСКИЙ). Блок не был заключен.</w:t>
      </w:r>
    </w:p>
    <w:p w14:paraId="0E887FDE" w14:textId="77777777" w:rsidR="00EC4078" w:rsidRPr="00507A31" w:rsidRDefault="00EC4078" w:rsidP="00507A31">
      <w:pPr>
        <w:jc w:val="both"/>
        <w:rPr>
          <w:color w:val="000000" w:themeColor="text1"/>
          <w:sz w:val="16"/>
          <w:szCs w:val="16"/>
        </w:rPr>
      </w:pPr>
      <w:r w:rsidRPr="00507A31">
        <w:rPr>
          <w:color w:val="000000" w:themeColor="text1"/>
          <w:sz w:val="16"/>
          <w:szCs w:val="16"/>
        </w:rPr>
        <w:t>6)   Октябрь-ноябрь 1928 г. Собрание в Госплане в составе ХРЕННИКОВА, ФЕДОТОВА, ЛАРИЧЕВА и КАЛИННИКОВА. Сообщение РАМЗИНА, по сведениям из французского] посольства в Москве через КЮФЕРА — срок иностранной интервенции назначен на лето (июль) 1930 г.[,] план интервенции принят, а именно, Франция руководит, снаряжает и вооружает лимитрофные государства (Польшу, Румынию и Латвию), они непосредственно ведут оперативные военные действия, агрессивные действия начинают Румыния и Польша с целью вызова Советскому Союзу. ЛУКОМСКИЙ — главнокомандующий. Экономическая блокада предшествует и сопровождает военные операции.</w:t>
      </w:r>
    </w:p>
    <w:p w14:paraId="259E3367" w14:textId="77777777" w:rsidR="00EC4078" w:rsidRPr="00507A31" w:rsidRDefault="00EC4078" w:rsidP="00507A31">
      <w:pPr>
        <w:jc w:val="both"/>
        <w:rPr>
          <w:color w:val="000000" w:themeColor="text1"/>
          <w:sz w:val="16"/>
          <w:szCs w:val="16"/>
        </w:rPr>
      </w:pPr>
      <w:r w:rsidRPr="00507A31">
        <w:rPr>
          <w:color w:val="000000" w:themeColor="text1"/>
          <w:sz w:val="16"/>
          <w:szCs w:val="16"/>
        </w:rPr>
        <w:t>7)   Декабрь 1928 г. Собрание в НТУ ВСНХ в кабинете ШЕЙНА в составе — ШЕЙН, ЧАРНОВСКИЙ, ЛАРИЧЕВ, КАЛИННИКОВ. Доклад ГИНЗБУРГА при участии СОКОЛОВСКОГО и БЕЛОЦЕРКОВСКОГО об экономических перспективах промышленности в 1930 г., а именно — ожидает кризис сырьевой и финансовый.</w:t>
      </w:r>
    </w:p>
    <w:p w14:paraId="4126C265" w14:textId="77777777" w:rsidR="00EC4078" w:rsidRPr="00507A31" w:rsidRDefault="00EC4078" w:rsidP="00507A31">
      <w:pPr>
        <w:jc w:val="both"/>
        <w:rPr>
          <w:color w:val="000000" w:themeColor="text1"/>
          <w:sz w:val="16"/>
          <w:szCs w:val="16"/>
        </w:rPr>
      </w:pPr>
      <w:r w:rsidRPr="00507A31">
        <w:rPr>
          <w:color w:val="000000" w:themeColor="text1"/>
          <w:sz w:val="16"/>
          <w:szCs w:val="16"/>
        </w:rPr>
        <w:t>8)   Январь 1929 г. Собрание в Госплане в составе РАМЗИН, ЛАРИЧЕВ, ЧАРНОВСКИЙ.</w:t>
      </w:r>
    </w:p>
    <w:p w14:paraId="06FC7D94" w14:textId="77777777" w:rsidR="00EC4078" w:rsidRPr="00507A31" w:rsidRDefault="00EC4078" w:rsidP="00507A31">
      <w:pPr>
        <w:jc w:val="both"/>
        <w:rPr>
          <w:color w:val="000000" w:themeColor="text1"/>
          <w:sz w:val="16"/>
          <w:szCs w:val="16"/>
        </w:rPr>
      </w:pPr>
      <w:r w:rsidRPr="00507A31">
        <w:rPr>
          <w:color w:val="000000" w:themeColor="text1"/>
          <w:sz w:val="16"/>
          <w:szCs w:val="16"/>
        </w:rPr>
        <w:t>Доклад ГРОМАНА об ожидаемой конъюнктуре народного хозяйства в 1930 г., а именно — следует ожидать серьезные затруднения в продовольственном снабжении и сырьевом снабжении, возможен и финансовый кризис.</w:t>
      </w:r>
    </w:p>
    <w:p w14:paraId="1F6A44EC" w14:textId="77777777" w:rsidR="00EC4078" w:rsidRPr="00507A31" w:rsidRDefault="00EC4078" w:rsidP="00507A31">
      <w:pPr>
        <w:jc w:val="both"/>
        <w:rPr>
          <w:color w:val="000000" w:themeColor="text1"/>
          <w:sz w:val="16"/>
          <w:szCs w:val="16"/>
        </w:rPr>
      </w:pPr>
      <w:r w:rsidRPr="00507A31">
        <w:rPr>
          <w:color w:val="000000" w:themeColor="text1"/>
          <w:sz w:val="16"/>
          <w:szCs w:val="16"/>
        </w:rPr>
        <w:t>9)   Октябрь-ноябрь 1929 г. Собрание в Госплане в кабинете ЛАРИЧЕВА в составе — РАМЗИН, ЧАРНОВСКИЙ, ЛАРИЧЕВ и КАЛИННИКОВ. Сообщение РАМЗИНА о переговорах с РЯБУШИНСКИМ относительно хода подготовки интервенции — произошли задержки в снаряжении и вооружении армии лимитрофных государств в виду того, что советский союз не начнет первый военных действий во избежание срыва пятилетки, ожидается отсрочка интервенции.</w:t>
      </w:r>
    </w:p>
    <w:p w14:paraId="4AE2E761" w14:textId="77777777" w:rsidR="00EC4078" w:rsidRPr="00507A31" w:rsidRDefault="00EC4078" w:rsidP="00507A31">
      <w:pPr>
        <w:jc w:val="both"/>
        <w:rPr>
          <w:color w:val="000000" w:themeColor="text1"/>
          <w:sz w:val="16"/>
          <w:szCs w:val="16"/>
        </w:rPr>
      </w:pPr>
      <w:r w:rsidRPr="00507A31">
        <w:rPr>
          <w:color w:val="000000" w:themeColor="text1"/>
          <w:sz w:val="16"/>
          <w:szCs w:val="16"/>
        </w:rPr>
        <w:t>10)   Декабрь 1929 г. Собрание в Госплане &lt;у&gt; ЛАРИЧЕВА в составе — РАМЗИИ, ЧАРНОВСКИЙ, ЛАРИЧЕВ и КАЛИННИКОВ. Доклад РАМЗИНА о составленном им плане организации военных ячеек промпартии в учреждениях Красной армии — военной воздушной академии, академии военного штаба, отдел[е] военных сообщений, военном штабе и др. Предварительные переговоры с возможными организациями — НОВИЦКИЙ, МАШКОВ, КРЖИВИЦКИЙ.</w:t>
      </w:r>
    </w:p>
    <w:p w14:paraId="7DD33F50" w14:textId="77777777" w:rsidR="00EC4078" w:rsidRPr="00507A31" w:rsidRDefault="00EC4078" w:rsidP="00507A31">
      <w:pPr>
        <w:jc w:val="both"/>
        <w:rPr>
          <w:color w:val="000000" w:themeColor="text1"/>
          <w:sz w:val="16"/>
          <w:szCs w:val="16"/>
        </w:rPr>
      </w:pPr>
      <w:r w:rsidRPr="00507A31">
        <w:rPr>
          <w:color w:val="000000" w:themeColor="text1"/>
          <w:sz w:val="16"/>
          <w:szCs w:val="16"/>
        </w:rPr>
        <w:t>11)   Январь 19[30] г. Собрание в том же, что 10) составе. Доклад РАМЗИНА о разработанной им инструкции по организации военных ячеек промпартии и об объединении их работ в центре в военной комиссии (штабе) при ЦК промпартии.</w:t>
      </w:r>
    </w:p>
    <w:p w14:paraId="2C30E06B" w14:textId="77777777" w:rsidR="00EC4078" w:rsidRPr="00507A31" w:rsidRDefault="00EC4078" w:rsidP="00507A31">
      <w:pPr>
        <w:jc w:val="both"/>
        <w:rPr>
          <w:color w:val="000000" w:themeColor="text1"/>
          <w:sz w:val="16"/>
          <w:szCs w:val="16"/>
        </w:rPr>
      </w:pPr>
      <w:r w:rsidRPr="00507A31">
        <w:rPr>
          <w:color w:val="000000" w:themeColor="text1"/>
          <w:sz w:val="16"/>
          <w:szCs w:val="16"/>
        </w:rPr>
        <w:t>Центральный комитет одобрил оба доклада РАМЗИНА и их предложения.</w:t>
      </w:r>
    </w:p>
    <w:p w14:paraId="6A1E2230" w14:textId="77777777" w:rsidR="00EC4078" w:rsidRPr="00507A31" w:rsidRDefault="00EC4078" w:rsidP="00507A31">
      <w:pPr>
        <w:jc w:val="both"/>
        <w:rPr>
          <w:color w:val="000000" w:themeColor="text1"/>
          <w:sz w:val="16"/>
          <w:szCs w:val="16"/>
        </w:rPr>
      </w:pPr>
      <w:r w:rsidRPr="00507A31">
        <w:rPr>
          <w:color w:val="000000" w:themeColor="text1"/>
          <w:sz w:val="16"/>
          <w:szCs w:val="16"/>
        </w:rPr>
        <w:t>12)   Май 1930 г. Собрание в Госплане в составе — РАМЗИН, ЧАРНОВСКИЙ, КАЛИННИКОВ (я присутствовал в начале), ОСАДЧИЙ и ШЕЙН (присутствовали по словам Рамзина). Доклад РАМЗИНА о терактах против СТАЛИНА, ВОРОШИЛОВА, КУЙБЫШЕВА, МЕНЖИНСКОГО и ЯГОДЫ принят.</w:t>
      </w:r>
    </w:p>
    <w:p w14:paraId="211289EB" w14:textId="77777777" w:rsidR="00EC4078" w:rsidRPr="00507A31" w:rsidRDefault="00EC4078" w:rsidP="00507A31">
      <w:pPr>
        <w:jc w:val="both"/>
        <w:rPr>
          <w:color w:val="000000" w:themeColor="text1"/>
          <w:sz w:val="16"/>
          <w:szCs w:val="16"/>
        </w:rPr>
      </w:pPr>
      <w:r w:rsidRPr="00507A31">
        <w:rPr>
          <w:color w:val="000000" w:themeColor="text1"/>
          <w:sz w:val="16"/>
          <w:szCs w:val="16"/>
        </w:rPr>
        <w:t>Все эти собрания ЦК Промпартии не носили характера организованных заседаний, а в большинстве напоминали краткие беседы членов ЦК, в особенности, когда они были осведомительные.</w:t>
      </w:r>
    </w:p>
    <w:p w14:paraId="5F41C739" w14:textId="77777777" w:rsidR="00EC4078" w:rsidRPr="00507A31" w:rsidRDefault="00EC4078" w:rsidP="00507A31">
      <w:pPr>
        <w:jc w:val="both"/>
        <w:rPr>
          <w:color w:val="000000" w:themeColor="text1"/>
          <w:sz w:val="16"/>
          <w:szCs w:val="16"/>
        </w:rPr>
      </w:pPr>
      <w:r w:rsidRPr="00507A31">
        <w:rPr>
          <w:color w:val="000000" w:themeColor="text1"/>
          <w:sz w:val="16"/>
          <w:szCs w:val="16"/>
        </w:rPr>
        <w:lastRenderedPageBreak/>
        <w:t>Кроме того, в начале 1930 г. состоялось собрание ЦК в составе — РАМЗИН, ЛАРИЧЕВ, ЧАРНОВСКИЙ и я — КАЛИННИКОВ, присутствовал БЕРНШТЕЙН-КОГАН. Сообщение РАМЗИНА и ЛАРИЧЕВА из французского посольства в Москве об отсрочке интервенции на 1931 г.</w:t>
      </w:r>
    </w:p>
    <w:p w14:paraId="7984C127" w14:textId="77777777" w:rsidR="00EC4078" w:rsidRPr="00507A31" w:rsidRDefault="00EC4078" w:rsidP="00507A31">
      <w:pPr>
        <w:jc w:val="both"/>
        <w:rPr>
          <w:color w:val="000000" w:themeColor="text1"/>
          <w:sz w:val="16"/>
          <w:szCs w:val="16"/>
        </w:rPr>
      </w:pPr>
      <w:r w:rsidRPr="00507A31">
        <w:rPr>
          <w:color w:val="000000" w:themeColor="text1"/>
          <w:sz w:val="16"/>
          <w:szCs w:val="16"/>
        </w:rPr>
        <w:t>Эта отсрочка, и по мнению членов ЦК, весьма желательна, т. к. в этом случае интервенция совпадает с хрептовым ходом пятилетки, наиболее напряженным и наиболее ответственным в дальнейшем развитии народного хозяйства Советского Союза.</w:t>
      </w:r>
    </w:p>
    <w:p w14:paraId="74F2E123" w14:textId="77777777" w:rsidR="00EC4078" w:rsidRPr="00507A31" w:rsidRDefault="00EC4078" w:rsidP="00507A31">
      <w:pPr>
        <w:jc w:val="both"/>
        <w:rPr>
          <w:color w:val="000000" w:themeColor="text1"/>
          <w:sz w:val="16"/>
          <w:szCs w:val="16"/>
        </w:rPr>
      </w:pPr>
      <w:r w:rsidRPr="00507A31">
        <w:rPr>
          <w:color w:val="000000" w:themeColor="text1"/>
          <w:sz w:val="16"/>
          <w:szCs w:val="16"/>
        </w:rPr>
        <w:t>И. А. КАЛИННИКОВ</w:t>
      </w:r>
    </w:p>
    <w:p w14:paraId="24B3F22E" w14:textId="77777777" w:rsidR="00EC4078" w:rsidRPr="00507A31" w:rsidRDefault="00EC4078" w:rsidP="00507A31">
      <w:pPr>
        <w:jc w:val="both"/>
        <w:rPr>
          <w:color w:val="000000" w:themeColor="text1"/>
          <w:sz w:val="16"/>
          <w:szCs w:val="16"/>
        </w:rPr>
      </w:pPr>
      <w:r w:rsidRPr="00507A31">
        <w:rPr>
          <w:color w:val="000000" w:themeColor="text1"/>
          <w:sz w:val="16"/>
          <w:szCs w:val="16"/>
        </w:rPr>
        <w:t>Допросили: нач. СООГПУ АГРАНОВ</w:t>
      </w:r>
    </w:p>
    <w:p w14:paraId="265E88EF" w14:textId="77777777" w:rsidR="00EC4078" w:rsidRPr="00507A31" w:rsidRDefault="00EC4078" w:rsidP="00507A31">
      <w:pPr>
        <w:jc w:val="both"/>
        <w:rPr>
          <w:color w:val="000000" w:themeColor="text1"/>
          <w:sz w:val="16"/>
          <w:szCs w:val="16"/>
        </w:rPr>
      </w:pPr>
      <w:r w:rsidRPr="00507A31">
        <w:rPr>
          <w:color w:val="000000" w:themeColor="text1"/>
          <w:sz w:val="16"/>
          <w:szCs w:val="16"/>
        </w:rPr>
        <w:t>и П/нач. 3 [отделения] СО РАДЗИВИЛОВСКИЙ</w:t>
      </w:r>
    </w:p>
    <w:p w14:paraId="13B7F179" w14:textId="77777777" w:rsidR="00EC4078" w:rsidRPr="00507A31" w:rsidRDefault="00EC4078" w:rsidP="00507A31">
      <w:pPr>
        <w:jc w:val="both"/>
        <w:rPr>
          <w:color w:val="000000" w:themeColor="text1"/>
          <w:sz w:val="16"/>
          <w:szCs w:val="16"/>
        </w:rPr>
      </w:pPr>
      <w:r w:rsidRPr="00507A31">
        <w:rPr>
          <w:color w:val="000000" w:themeColor="text1"/>
          <w:sz w:val="16"/>
          <w:szCs w:val="16"/>
        </w:rPr>
        <w:t>Д. 355. Л. 129-133. Заверенная машинописная копия того времени (см. легенду к док. № 355-7). В тексте многочисленные подчеркивания карандашом.</w:t>
      </w:r>
    </w:p>
    <w:p w14:paraId="12B76EB9" w14:textId="77777777" w:rsidR="00EC4078" w:rsidRPr="00507A31" w:rsidRDefault="00EC4078" w:rsidP="00507A31">
      <w:pPr>
        <w:jc w:val="both"/>
        <w:rPr>
          <w:color w:val="000000" w:themeColor="text1"/>
          <w:sz w:val="16"/>
          <w:szCs w:val="16"/>
        </w:rPr>
      </w:pPr>
      <w:r w:rsidRPr="00507A31">
        <w:rPr>
          <w:color w:val="000000" w:themeColor="text1"/>
          <w:sz w:val="16"/>
          <w:szCs w:val="16"/>
        </w:rPr>
        <w:t>ЦА ФСБ РФ. Ф. Р-42280. Т. 2. Л. 439-441 об. Рукописный подлинник показаний И. А. Калинникова (написан им собственноручно). На Л. 441 об. ниже подписи Калинникова: «Допросили: нач. СО ОГПУ Агранов пом. нач. 3-го отделения] СО ОГПУ Радзивиловский» (подписи-автографы) (18503).</w:t>
      </w:r>
    </w:p>
    <w:p w14:paraId="221F78CA" w14:textId="77777777" w:rsidR="00EC4078" w:rsidRPr="00507A31" w:rsidRDefault="00EC4078" w:rsidP="00507A31">
      <w:pPr>
        <w:jc w:val="both"/>
        <w:rPr>
          <w:color w:val="000000" w:themeColor="text1"/>
          <w:sz w:val="16"/>
          <w:szCs w:val="16"/>
        </w:rPr>
      </w:pPr>
    </w:p>
    <w:p w14:paraId="2C699F1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B094105" w14:textId="77777777" w:rsidR="00537E5F" w:rsidRPr="00507A31" w:rsidRDefault="00537E5F" w:rsidP="00507A31">
      <w:pPr>
        <w:autoSpaceDE w:val="0"/>
        <w:autoSpaceDN w:val="0"/>
        <w:adjustRightInd w:val="0"/>
        <w:jc w:val="both"/>
        <w:rPr>
          <w:iCs/>
          <w:color w:val="000000" w:themeColor="text1"/>
          <w:sz w:val="16"/>
          <w:szCs w:val="16"/>
        </w:rPr>
      </w:pPr>
    </w:p>
    <w:p w14:paraId="5D104C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ноября 1930 на НТК рассмотрели несколько вариантов И-12 (АНТ-23) как тяжелого истребителя, способного вести бой на высотах до 5 км и на большом удалении, разработка которого началась в середине 1930. Решили строить двухбалочный с 2хЮп 480 нр с балками из стальных труб диаметром 170 мм. Вместо гофра - наружные зиги с шагом 150 мм. руководил разработкой и постройкой В.Н.Чернышев (2693,14).</w:t>
      </w:r>
    </w:p>
    <w:p w14:paraId="5560767F" w14:textId="77777777" w:rsidR="00537E5F" w:rsidRPr="00507A31" w:rsidRDefault="00537E5F" w:rsidP="00507A31">
      <w:pPr>
        <w:autoSpaceDE w:val="0"/>
        <w:autoSpaceDN w:val="0"/>
        <w:adjustRightInd w:val="0"/>
        <w:jc w:val="both"/>
        <w:rPr>
          <w:color w:val="000000" w:themeColor="text1"/>
          <w:sz w:val="16"/>
          <w:szCs w:val="16"/>
        </w:rPr>
      </w:pPr>
    </w:p>
    <w:p w14:paraId="70AECE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ноября 1930 г. «лицо» нового самолета истребителя И-12 (АНТ-23) окончательно утвердилось. Поначалу были составлены технические требования на тяжелый истребитель, вооруженный двумя пушками АПК калибра 76,2 мм, способный вести бой с воздушным противником на дальностях до 5 км. Снаряды при этом предполагалось начинять картечью. Было решено строить И-12 как одноместный истребитель с двумя двигателями воздушного охлаждения «Юпитер», мощностью 480 л. с. каждый. И-12 был выполнен по достаточно оригинальной тогда двухбалочной схеме, где балки из стальных труб были предназначены для установки пушек Курчевского.</w:t>
      </w:r>
    </w:p>
    <w:p w14:paraId="7D2CB2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И-12 был закончен постройкой в начале лета 1931 г.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36D3DB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НИАПе. Начальная скорость оказалась 397 м/с. Первые наземные стрельбы И-12 с АПК-5 состоялись 11 ноября 1931 г. на аэродроме НИИ ВВС.</w:t>
      </w:r>
    </w:p>
    <w:p w14:paraId="789302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3AC6990A" w14:textId="77777777" w:rsidR="00537E5F" w:rsidRPr="00507A31" w:rsidRDefault="00537E5F" w:rsidP="00507A31">
      <w:pPr>
        <w:autoSpaceDE w:val="0"/>
        <w:autoSpaceDN w:val="0"/>
        <w:adjustRightInd w:val="0"/>
        <w:jc w:val="both"/>
        <w:rPr>
          <w:color w:val="000000" w:themeColor="text1"/>
          <w:sz w:val="16"/>
          <w:szCs w:val="16"/>
        </w:rPr>
      </w:pPr>
    </w:p>
    <w:p w14:paraId="6FE9ECAC" w14:textId="77777777" w:rsidR="008E64BB" w:rsidRPr="00507A31" w:rsidRDefault="008E64BB" w:rsidP="00507A31">
      <w:pPr>
        <w:jc w:val="both"/>
        <w:rPr>
          <w:color w:val="000000" w:themeColor="text1"/>
          <w:sz w:val="16"/>
          <w:szCs w:val="16"/>
        </w:rPr>
      </w:pPr>
      <w:r w:rsidRPr="00507A31">
        <w:rPr>
          <w:color w:val="000000" w:themeColor="text1"/>
          <w:sz w:val="16"/>
          <w:szCs w:val="16"/>
        </w:rPr>
        <w:t>5 ноября 1930 г. на заседании комиссии НТК ВВС с учетом неясности положения с мотором М-29 ЦАГИ поручили просчитать одноместный вариант И-12 под два мотора Гном-Рон «Юпитер» сер. VI (М-22), мощностью 480 л.е., в тандемной установке.</w:t>
      </w:r>
    </w:p>
    <w:p w14:paraId="7C296CBB" w14:textId="77777777" w:rsidR="008E64BB" w:rsidRPr="00507A31" w:rsidRDefault="008E64BB" w:rsidP="00507A31">
      <w:pPr>
        <w:jc w:val="both"/>
        <w:rPr>
          <w:color w:val="000000" w:themeColor="text1"/>
          <w:sz w:val="16"/>
          <w:szCs w:val="16"/>
        </w:rPr>
      </w:pPr>
      <w:r w:rsidRPr="00507A31">
        <w:rPr>
          <w:color w:val="000000" w:themeColor="text1"/>
          <w:sz w:val="16"/>
          <w:szCs w:val="16"/>
        </w:rPr>
        <w:t>Предварительный проект самолёта И-12 (АНТ-18) проработали во всех секциях НТК УВВС РККА. Предъявленным требованиям самолёт удовлетворял только с двигателем М-29, реальность создания которого была под сомнением, постройка самолёта с ино</w:t>
      </w:r>
      <w:r w:rsidRPr="00507A31">
        <w:rPr>
          <w:color w:val="000000" w:themeColor="text1"/>
          <w:sz w:val="16"/>
          <w:szCs w:val="16"/>
        </w:rPr>
        <w:softHyphen/>
        <w:t>странными двигателями исключалась (15823).</w:t>
      </w:r>
    </w:p>
    <w:p w14:paraId="5C3D31A6" w14:textId="77777777" w:rsidR="008E64BB" w:rsidRPr="00507A31" w:rsidRDefault="008E64BB" w:rsidP="00507A31">
      <w:pPr>
        <w:jc w:val="both"/>
        <w:rPr>
          <w:color w:val="000000" w:themeColor="text1"/>
          <w:sz w:val="16"/>
          <w:szCs w:val="16"/>
        </w:rPr>
      </w:pPr>
    </w:p>
    <w:p w14:paraId="32A6A6EA" w14:textId="77777777" w:rsidR="00E6261B" w:rsidRPr="00507A31" w:rsidRDefault="00E6261B" w:rsidP="00507A31">
      <w:pPr>
        <w:pStyle w:val="rtejustify"/>
        <w:shd w:val="clear" w:color="auto" w:fill="FFFFFF"/>
        <w:spacing w:before="0" w:after="0"/>
        <w:rPr>
          <w:color w:val="000000" w:themeColor="text1"/>
          <w:sz w:val="16"/>
          <w:szCs w:val="16"/>
        </w:rPr>
      </w:pPr>
      <w:r w:rsidRPr="00507A31">
        <w:rPr>
          <w:color w:val="000000" w:themeColor="text1"/>
          <w:sz w:val="16"/>
          <w:szCs w:val="16"/>
        </w:rPr>
        <w:t>5 ноября 1930 года, ЦАГИ было поручено просчитать одноместный вариант И-12 под два мотора Gnome &amp; Rhone Jupiter сер. VI (М-22), мощностью 480 л.с., в тандемной установке.</w:t>
      </w:r>
    </w:p>
    <w:p w14:paraId="3E5E3148" w14:textId="77777777" w:rsidR="00E6261B" w:rsidRPr="00507A31" w:rsidRDefault="00E6261B" w:rsidP="00507A31">
      <w:pPr>
        <w:pStyle w:val="rtejustify"/>
        <w:shd w:val="clear" w:color="auto" w:fill="FFFFFF"/>
        <w:spacing w:before="0" w:after="0"/>
        <w:rPr>
          <w:color w:val="000000" w:themeColor="text1"/>
          <w:sz w:val="16"/>
          <w:szCs w:val="16"/>
        </w:rPr>
      </w:pPr>
      <w:r w:rsidRPr="00507A31">
        <w:rPr>
          <w:color w:val="000000" w:themeColor="text1"/>
          <w:sz w:val="16"/>
          <w:szCs w:val="16"/>
        </w:rPr>
        <w:t>Предварительный проект самолета И-12 (АНТ-18) был проработан во всех секциях НТК УВВС РККА. Предъявленным требованиям самолет удовлетворял только с двигателем М-29, реальность создания которого была под сомнением, постройка самолета с иностранными двигателями исключалась.</w:t>
      </w:r>
    </w:p>
    <w:p w14:paraId="3E955B91" w14:textId="77777777" w:rsidR="00E6261B" w:rsidRPr="00507A31" w:rsidRDefault="00E6261B" w:rsidP="00507A31">
      <w:pPr>
        <w:pStyle w:val="ae"/>
        <w:shd w:val="clear" w:color="auto" w:fill="FFFFFF"/>
        <w:spacing w:before="0" w:after="0"/>
        <w:jc w:val="both"/>
        <w:textAlignment w:val="baseline"/>
        <w:rPr>
          <w:color w:val="000000" w:themeColor="text1"/>
          <w:sz w:val="16"/>
          <w:szCs w:val="16"/>
        </w:rPr>
      </w:pPr>
    </w:p>
    <w:p w14:paraId="08C80490" w14:textId="77777777" w:rsidR="00CD7AC7" w:rsidRPr="00507A31" w:rsidRDefault="00CD7AC7" w:rsidP="00507A31">
      <w:pPr>
        <w:jc w:val="both"/>
        <w:rPr>
          <w:color w:val="0070C0"/>
          <w:sz w:val="16"/>
          <w:szCs w:val="16"/>
        </w:rPr>
      </w:pPr>
      <w:r w:rsidRPr="00507A31">
        <w:rPr>
          <w:color w:val="0070C0"/>
          <w:sz w:val="16"/>
          <w:szCs w:val="16"/>
        </w:rPr>
        <w:t xml:space="preserve">5 ноября 1930 г. на совещании в НТК ВВС окончательно была выбрана двухбалочная схема АНТ-23 (И-12)с тандемной СУ с двумя моторами Ю-VI.   Примерно в это же время вышел правительственный документ, определявший строительство двух опытных самолетов и дату сдачи на ГИ экз. № 1 </w:t>
      </w:r>
      <w:r w:rsidRPr="00507A31">
        <w:rPr>
          <w:color w:val="0070C0"/>
          <w:sz w:val="16"/>
          <w:szCs w:val="16"/>
        </w:rPr>
        <w:softHyphen/>
        <w:t>– к 01.07.31 г. (23136).</w:t>
      </w:r>
    </w:p>
    <w:p w14:paraId="7C63CCB8" w14:textId="77777777" w:rsidR="00CD7AC7" w:rsidRPr="00507A31" w:rsidRDefault="00CD7AC7" w:rsidP="00507A31">
      <w:pPr>
        <w:jc w:val="both"/>
        <w:rPr>
          <w:color w:val="0070C0"/>
          <w:sz w:val="16"/>
          <w:szCs w:val="16"/>
        </w:rPr>
      </w:pPr>
    </w:p>
    <w:p w14:paraId="02E69D4D" w14:textId="77777777" w:rsidR="00BF5D4A"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42D3B5B" w14:textId="77777777" w:rsidR="00BF5D4A" w:rsidRPr="00507A31" w:rsidRDefault="00BF5D4A" w:rsidP="00507A31">
      <w:pPr>
        <w:autoSpaceDE w:val="0"/>
        <w:autoSpaceDN w:val="0"/>
        <w:adjustRightInd w:val="0"/>
        <w:jc w:val="both"/>
        <w:rPr>
          <w:iCs/>
          <w:color w:val="000000" w:themeColor="text1"/>
          <w:sz w:val="16"/>
          <w:szCs w:val="16"/>
        </w:rPr>
      </w:pPr>
    </w:p>
    <w:p w14:paraId="364B0E98" w14:textId="77777777" w:rsidR="00BF5D4A" w:rsidRPr="00507A31" w:rsidRDefault="00BF5D4A" w:rsidP="00507A31">
      <w:pPr>
        <w:jc w:val="both"/>
        <w:rPr>
          <w:color w:val="000000" w:themeColor="text1"/>
          <w:sz w:val="16"/>
          <w:szCs w:val="16"/>
          <w:u w:color="002060"/>
        </w:rPr>
      </w:pPr>
      <w:r w:rsidRPr="00507A31">
        <w:rPr>
          <w:color w:val="000000" w:themeColor="text1"/>
          <w:sz w:val="16"/>
          <w:szCs w:val="16"/>
          <w:u w:color="002060"/>
        </w:rPr>
        <w:t>5 ноября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14. 3. Сообщение РЗ СТО (ПБ от 30 октября 1930 г., пр. № 14, п. 4/6) Павлуновский) [о материальном обеспечении НКВМора]. 8. О танкостроении (ПБ от 20 января 1930 г., пр. № 114, п. 4) (Орджоникидзе, Осинский). — ОП. Решения ПБ от 30 октября 1930 г. 10/12. О состоянии снабжения металлом всей промышленности (ПБ от 25 октября 1930 г., пр. № 13, п. 26) (Каганович, Лобов, Озерский, Шмидт, Рухимович, Розенгольц). — ОП (пункт б). 13/15. Об автотракторной промышленности (ПБ от 25 октября 1930 г., пр. № 13, п. 24) (Орджоникидзе, Розенгольц, Лобов). — ОП (пункт б, в). Опросом членов ПБ от 5 ноября 1930 г. 56/56. О заказах промышленности НКВМ. (Политбюро... Т. 2. С. 94, 95, 97) (12416).</w:t>
      </w:r>
    </w:p>
    <w:p w14:paraId="787BA359" w14:textId="77777777" w:rsidR="00BF5D4A" w:rsidRPr="00507A31" w:rsidRDefault="00BF5D4A" w:rsidP="00507A31">
      <w:pPr>
        <w:jc w:val="both"/>
        <w:rPr>
          <w:color w:val="000000" w:themeColor="text1"/>
          <w:sz w:val="16"/>
          <w:szCs w:val="16"/>
          <w:u w:color="002060"/>
        </w:rPr>
      </w:pPr>
    </w:p>
    <w:p w14:paraId="3A368E22" w14:textId="77777777" w:rsidR="008E64BB" w:rsidRPr="00507A31" w:rsidRDefault="008E64BB" w:rsidP="00507A31">
      <w:pPr>
        <w:jc w:val="both"/>
        <w:rPr>
          <w:iCs/>
          <w:color w:val="000000" w:themeColor="text1"/>
          <w:sz w:val="16"/>
          <w:szCs w:val="16"/>
        </w:rPr>
      </w:pPr>
      <w:r w:rsidRPr="00507A31">
        <w:rPr>
          <w:color w:val="000000" w:themeColor="text1"/>
          <w:sz w:val="16"/>
          <w:szCs w:val="16"/>
        </w:rPr>
        <w:t>5 ноября 1930 г. Протокол ПБ № 14 п.8: О танкостроении (Орджоникидзе, Осинский; ПБ от 20-1-30, протокол № 114, п.4) - ОП. Приняты решения: а) Представленный комиссией Орджоникидзе проект предложения о танкостроении принять (см. приложение). В постановлении определены типы танкетки, малого и среднего танков, производство которых должно быть развернуто на автомобильном и тракторных заводах, и предложено ВСНХ предусмотреть соответствующие ассигнования в контрольных цифрах 1931 года. б) Поручить Ворошилову и Осинскому в месячный срок разработать проект предложений об использовании тракторных заводов для танкостроения в военное время и представить на рассмотрение Политбюро (15868).</w:t>
      </w:r>
    </w:p>
    <w:p w14:paraId="59F7917B" w14:textId="77777777" w:rsidR="008E64BB" w:rsidRPr="00507A31" w:rsidRDefault="008E64BB" w:rsidP="00507A31">
      <w:pPr>
        <w:jc w:val="both"/>
        <w:rPr>
          <w:iCs/>
          <w:color w:val="000000" w:themeColor="text1"/>
          <w:sz w:val="16"/>
          <w:szCs w:val="16"/>
        </w:rPr>
      </w:pPr>
    </w:p>
    <w:p w14:paraId="09950171" w14:textId="77777777" w:rsidR="00E6261B" w:rsidRPr="00507A31" w:rsidRDefault="00E6261B" w:rsidP="00507A31">
      <w:pPr>
        <w:jc w:val="both"/>
        <w:rPr>
          <w:color w:val="000000" w:themeColor="text1"/>
          <w:sz w:val="16"/>
          <w:szCs w:val="16"/>
        </w:rPr>
      </w:pPr>
      <w:r w:rsidRPr="00507A31">
        <w:rPr>
          <w:color w:val="000000" w:themeColor="text1"/>
          <w:sz w:val="16"/>
          <w:szCs w:val="16"/>
        </w:rPr>
        <w:t>5 ноября 1930</w:t>
      </w:r>
    </w:p>
    <w:p w14:paraId="3464F2CA" w14:textId="77777777" w:rsidR="00E6261B" w:rsidRPr="00507A31" w:rsidRDefault="00E6261B" w:rsidP="00507A31">
      <w:pPr>
        <w:jc w:val="both"/>
        <w:rPr>
          <w:color w:val="000000" w:themeColor="text1"/>
          <w:sz w:val="16"/>
          <w:szCs w:val="16"/>
        </w:rPr>
      </w:pPr>
      <w:r w:rsidRPr="00507A31">
        <w:rPr>
          <w:color w:val="000000" w:themeColor="text1"/>
          <w:sz w:val="16"/>
          <w:szCs w:val="16"/>
        </w:rPr>
        <w:t>п. 8: О танкостроении</w:t>
      </w:r>
    </w:p>
    <w:p w14:paraId="1FC305B4" w14:textId="77777777" w:rsidR="00E6261B" w:rsidRPr="00507A31" w:rsidRDefault="00E6261B" w:rsidP="00507A31">
      <w:pPr>
        <w:jc w:val="both"/>
        <w:rPr>
          <w:color w:val="000000" w:themeColor="text1"/>
          <w:sz w:val="16"/>
          <w:szCs w:val="16"/>
        </w:rPr>
      </w:pPr>
      <w:r w:rsidRPr="00507A31">
        <w:rPr>
          <w:color w:val="000000" w:themeColor="text1"/>
          <w:sz w:val="16"/>
          <w:szCs w:val="16"/>
        </w:rPr>
        <w:t>(ПБ от 20.I.30 г., пр. № 114, п. 4).</w:t>
      </w:r>
    </w:p>
    <w:p w14:paraId="17BE8776" w14:textId="77777777" w:rsidR="00E6261B" w:rsidRPr="00507A31" w:rsidRDefault="00E6261B" w:rsidP="00507A31">
      <w:pPr>
        <w:jc w:val="both"/>
        <w:rPr>
          <w:color w:val="000000" w:themeColor="text1"/>
          <w:sz w:val="16"/>
          <w:szCs w:val="16"/>
        </w:rPr>
      </w:pPr>
      <w:r w:rsidRPr="00507A31">
        <w:rPr>
          <w:color w:val="000000" w:themeColor="text1"/>
          <w:sz w:val="16"/>
          <w:szCs w:val="16"/>
        </w:rPr>
        <w:t>(Орджоникидзе, Осинский).</w:t>
      </w:r>
    </w:p>
    <w:p w14:paraId="035F6EC5" w14:textId="77777777" w:rsidR="00E6261B" w:rsidRPr="00507A31" w:rsidRDefault="00E6261B" w:rsidP="00507A31">
      <w:pPr>
        <w:jc w:val="both"/>
        <w:rPr>
          <w:color w:val="000000" w:themeColor="text1"/>
          <w:sz w:val="16"/>
          <w:szCs w:val="16"/>
        </w:rPr>
      </w:pPr>
      <w:r w:rsidRPr="00507A31">
        <w:rPr>
          <w:color w:val="000000" w:themeColor="text1"/>
          <w:sz w:val="16"/>
          <w:szCs w:val="16"/>
        </w:rPr>
        <w:t>Решение — особая папка.</w:t>
      </w:r>
    </w:p>
    <w:p w14:paraId="7F29382E" w14:textId="77777777" w:rsidR="00E6261B" w:rsidRPr="00507A31" w:rsidRDefault="00E6261B" w:rsidP="00507A31">
      <w:pPr>
        <w:jc w:val="both"/>
        <w:rPr>
          <w:color w:val="000000" w:themeColor="text1"/>
          <w:sz w:val="16"/>
          <w:szCs w:val="16"/>
        </w:rPr>
      </w:pPr>
      <w:r w:rsidRPr="00507A31">
        <w:rPr>
          <w:color w:val="000000" w:themeColor="text1"/>
          <w:sz w:val="16"/>
          <w:szCs w:val="16"/>
        </w:rPr>
        <w:t>а) Представленный комиссией Орджоникидзе проект предложения о танкостроении принять (</w:t>
      </w:r>
      <w:hyperlink r:id="rId164" w:history="1">
        <w:r w:rsidRPr="00507A31">
          <w:rPr>
            <w:rStyle w:val="a5"/>
            <w:color w:val="000000" w:themeColor="text1"/>
            <w:sz w:val="16"/>
            <w:szCs w:val="16"/>
          </w:rPr>
          <w:t>см. приложение № 1</w:t>
        </w:r>
        <w:r w:rsidRPr="00507A31">
          <w:rPr>
            <w:rStyle w:val="a5"/>
            <w:color w:val="000000" w:themeColor="text1"/>
            <w:sz w:val="16"/>
            <w:szCs w:val="16"/>
          </w:rPr>
          <w:noBreakHyphen/>
          <w:t>ОП</w:t>
        </w:r>
      </w:hyperlink>
      <w:r w:rsidRPr="00507A31">
        <w:rPr>
          <w:color w:val="000000" w:themeColor="text1"/>
          <w:sz w:val="16"/>
          <w:szCs w:val="16"/>
        </w:rPr>
        <w:t>).</w:t>
      </w:r>
    </w:p>
    <w:p w14:paraId="6B5D3AE3" w14:textId="77777777" w:rsidR="00E6261B" w:rsidRPr="00507A31" w:rsidRDefault="00E6261B" w:rsidP="00507A31">
      <w:pPr>
        <w:jc w:val="both"/>
        <w:rPr>
          <w:color w:val="000000" w:themeColor="text1"/>
          <w:sz w:val="16"/>
          <w:szCs w:val="16"/>
        </w:rPr>
      </w:pPr>
      <w:r w:rsidRPr="00507A31">
        <w:rPr>
          <w:color w:val="000000" w:themeColor="text1"/>
          <w:sz w:val="16"/>
          <w:szCs w:val="16"/>
        </w:rPr>
        <w:t>б) Поручить т.т. Ворошилову и Осинскому в месячный срок разработать проект предложений об использовании тракторных заводов для танкостроения в военное время и представить на рассмотрение Политбюро.</w:t>
      </w:r>
    </w:p>
    <w:p w14:paraId="72A9122B" w14:textId="77777777" w:rsidR="00E6261B" w:rsidRPr="00507A31" w:rsidRDefault="00E6261B" w:rsidP="00507A31">
      <w:pPr>
        <w:jc w:val="both"/>
        <w:rPr>
          <w:color w:val="000000" w:themeColor="text1"/>
          <w:sz w:val="16"/>
          <w:szCs w:val="16"/>
        </w:rPr>
      </w:pPr>
      <w:r w:rsidRPr="00507A31">
        <w:rPr>
          <w:color w:val="000000" w:themeColor="text1"/>
          <w:sz w:val="16"/>
          <w:szCs w:val="16"/>
        </w:rPr>
        <w:t>Выписки посланы:</w:t>
      </w:r>
    </w:p>
    <w:p w14:paraId="5B2AF7A0" w14:textId="77777777" w:rsidR="00E6261B" w:rsidRPr="00507A31" w:rsidRDefault="00E6261B" w:rsidP="00507A31">
      <w:pPr>
        <w:jc w:val="both"/>
        <w:rPr>
          <w:color w:val="000000" w:themeColor="text1"/>
          <w:sz w:val="16"/>
          <w:szCs w:val="16"/>
        </w:rPr>
      </w:pPr>
      <w:r w:rsidRPr="00507A31">
        <w:rPr>
          <w:color w:val="000000" w:themeColor="text1"/>
          <w:sz w:val="16"/>
          <w:szCs w:val="16"/>
        </w:rPr>
        <w:t>Орджоникидзе — все;</w:t>
      </w:r>
    </w:p>
    <w:p w14:paraId="1A6AA6A5" w14:textId="77777777" w:rsidR="00E6261B" w:rsidRPr="00507A31" w:rsidRDefault="00E6261B" w:rsidP="00507A31">
      <w:pPr>
        <w:jc w:val="both"/>
        <w:rPr>
          <w:color w:val="000000" w:themeColor="text1"/>
          <w:sz w:val="16"/>
          <w:szCs w:val="16"/>
        </w:rPr>
      </w:pPr>
      <w:r w:rsidRPr="00507A31">
        <w:rPr>
          <w:color w:val="000000" w:themeColor="text1"/>
          <w:sz w:val="16"/>
          <w:szCs w:val="16"/>
        </w:rPr>
        <w:t>Ворошилову и Осинскому — “б”.</w:t>
      </w:r>
    </w:p>
    <w:p w14:paraId="0887C28A" w14:textId="77777777" w:rsidR="00E6261B" w:rsidRPr="00507A31" w:rsidRDefault="00E6261B" w:rsidP="00507A31">
      <w:pPr>
        <w:jc w:val="both"/>
        <w:rPr>
          <w:color w:val="000000" w:themeColor="text1"/>
          <w:sz w:val="16"/>
          <w:szCs w:val="16"/>
        </w:rPr>
      </w:pPr>
      <w:r w:rsidRPr="00507A31">
        <w:rPr>
          <w:color w:val="000000" w:themeColor="text1"/>
          <w:sz w:val="16"/>
          <w:szCs w:val="16"/>
        </w:rPr>
        <w:t>Приложение № 1</w:t>
      </w:r>
      <w:r w:rsidRPr="00507A31">
        <w:rPr>
          <w:color w:val="000000" w:themeColor="text1"/>
          <w:sz w:val="16"/>
          <w:szCs w:val="16"/>
        </w:rPr>
        <w:noBreakHyphen/>
        <w:t>ОП</w:t>
      </w:r>
    </w:p>
    <w:p w14:paraId="5B3EDD41" w14:textId="77777777" w:rsidR="00E6261B" w:rsidRPr="00507A31" w:rsidRDefault="00E6261B" w:rsidP="00507A31">
      <w:pPr>
        <w:jc w:val="both"/>
        <w:rPr>
          <w:color w:val="000000" w:themeColor="text1"/>
          <w:sz w:val="16"/>
          <w:szCs w:val="16"/>
        </w:rPr>
      </w:pPr>
      <w:r w:rsidRPr="00507A31">
        <w:rPr>
          <w:color w:val="000000" w:themeColor="text1"/>
          <w:sz w:val="16"/>
          <w:szCs w:val="16"/>
        </w:rPr>
        <w:t>к п. 8 пр. ПБ № 14.</w:t>
      </w:r>
    </w:p>
    <w:p w14:paraId="15BAFE80" w14:textId="77777777" w:rsidR="00E6261B" w:rsidRPr="00507A31" w:rsidRDefault="00E6261B" w:rsidP="00507A31">
      <w:pPr>
        <w:jc w:val="both"/>
        <w:rPr>
          <w:color w:val="000000" w:themeColor="text1"/>
          <w:sz w:val="16"/>
          <w:szCs w:val="16"/>
        </w:rPr>
      </w:pPr>
      <w:r w:rsidRPr="00507A31">
        <w:rPr>
          <w:color w:val="000000" w:themeColor="text1"/>
          <w:sz w:val="16"/>
          <w:szCs w:val="16"/>
        </w:rPr>
        <w:t>О танкостроении.</w:t>
      </w:r>
    </w:p>
    <w:p w14:paraId="41C23FF4" w14:textId="77777777" w:rsidR="00E6261B" w:rsidRPr="00507A31" w:rsidRDefault="00E6261B" w:rsidP="00507A31">
      <w:pPr>
        <w:jc w:val="both"/>
        <w:rPr>
          <w:color w:val="000000" w:themeColor="text1"/>
          <w:sz w:val="16"/>
          <w:szCs w:val="16"/>
        </w:rPr>
      </w:pPr>
      <w:r w:rsidRPr="00507A31">
        <w:rPr>
          <w:color w:val="000000" w:themeColor="text1"/>
          <w:sz w:val="16"/>
          <w:szCs w:val="16"/>
        </w:rPr>
        <w:t>(Принято Политбюро ЦК ВКП(б) 5.XI.1930 г.).</w:t>
      </w:r>
    </w:p>
    <w:p w14:paraId="541C4A1B" w14:textId="77777777" w:rsidR="00E6261B" w:rsidRPr="00507A31" w:rsidRDefault="00E6261B" w:rsidP="00507A31">
      <w:pPr>
        <w:jc w:val="both"/>
        <w:rPr>
          <w:color w:val="000000" w:themeColor="text1"/>
          <w:sz w:val="16"/>
          <w:szCs w:val="16"/>
        </w:rPr>
      </w:pPr>
      <w:r w:rsidRPr="00507A31">
        <w:rPr>
          <w:color w:val="000000" w:themeColor="text1"/>
          <w:sz w:val="16"/>
          <w:szCs w:val="16"/>
        </w:rPr>
        <w:t>I.А.1) По танкетке. Принять на производство тип танкетки Виккерса, но с мотором Форда АА.</w:t>
      </w:r>
    </w:p>
    <w:p w14:paraId="5C53DF2C" w14:textId="77777777" w:rsidR="00E6261B" w:rsidRPr="00507A31" w:rsidRDefault="00E6261B" w:rsidP="00507A31">
      <w:pPr>
        <w:jc w:val="both"/>
        <w:rPr>
          <w:color w:val="000000" w:themeColor="text1"/>
          <w:sz w:val="16"/>
          <w:szCs w:val="16"/>
        </w:rPr>
      </w:pPr>
      <w:r w:rsidRPr="00507A31">
        <w:rPr>
          <w:color w:val="000000" w:themeColor="text1"/>
          <w:sz w:val="16"/>
          <w:szCs w:val="16"/>
        </w:rPr>
        <w:t>2) По малому танку. Принять на производство тип малого танка конструкции завода “Большевик” модернизированного Т</w:t>
      </w:r>
      <w:r w:rsidRPr="00507A31">
        <w:rPr>
          <w:color w:val="000000" w:themeColor="text1"/>
          <w:sz w:val="16"/>
          <w:szCs w:val="16"/>
        </w:rPr>
        <w:noBreakHyphen/>
        <w:t>18 в 40 лошадиных сил мотор, с последующим переходом в тип Т</w:t>
      </w:r>
      <w:r w:rsidRPr="00507A31">
        <w:rPr>
          <w:color w:val="000000" w:themeColor="text1"/>
          <w:sz w:val="16"/>
          <w:szCs w:val="16"/>
        </w:rPr>
        <w:noBreakHyphen/>
        <w:t>20 с мотором в 60 лошадиных сил, и в начале четвертого квартала 1931 г. поставить производство тип Т</w:t>
      </w:r>
      <w:r w:rsidRPr="00507A31">
        <w:rPr>
          <w:color w:val="000000" w:themeColor="text1"/>
          <w:sz w:val="16"/>
          <w:szCs w:val="16"/>
        </w:rPr>
        <w:noBreakHyphen/>
        <w:t>19 с мотором 90</w:t>
      </w:r>
      <w:r w:rsidRPr="00507A31">
        <w:rPr>
          <w:color w:val="000000" w:themeColor="text1"/>
          <w:sz w:val="16"/>
          <w:szCs w:val="16"/>
        </w:rPr>
        <w:noBreakHyphen/>
        <w:t>100 лошадиных сил.</w:t>
      </w:r>
    </w:p>
    <w:p w14:paraId="18A5945F" w14:textId="77777777" w:rsidR="00E6261B" w:rsidRPr="00507A31" w:rsidRDefault="00E6261B" w:rsidP="00507A31">
      <w:pPr>
        <w:jc w:val="both"/>
        <w:rPr>
          <w:color w:val="000000" w:themeColor="text1"/>
          <w:sz w:val="16"/>
          <w:szCs w:val="16"/>
        </w:rPr>
      </w:pPr>
      <w:r w:rsidRPr="00507A31">
        <w:rPr>
          <w:color w:val="000000" w:themeColor="text1"/>
          <w:sz w:val="16"/>
          <w:szCs w:val="16"/>
        </w:rPr>
        <w:t>3) По среднему танку. Принять на производство тип среднего танка — танк Т</w:t>
      </w:r>
      <w:r w:rsidRPr="00507A31">
        <w:rPr>
          <w:color w:val="000000" w:themeColor="text1"/>
          <w:sz w:val="16"/>
          <w:szCs w:val="16"/>
        </w:rPr>
        <w:noBreakHyphen/>
        <w:t>24 образца завода ХПЗ.</w:t>
      </w:r>
    </w:p>
    <w:p w14:paraId="2339BDE1" w14:textId="77777777" w:rsidR="00E6261B" w:rsidRPr="00507A31" w:rsidRDefault="00E6261B" w:rsidP="00507A31">
      <w:pPr>
        <w:jc w:val="both"/>
        <w:rPr>
          <w:color w:val="000000" w:themeColor="text1"/>
          <w:sz w:val="16"/>
          <w:szCs w:val="16"/>
        </w:rPr>
      </w:pPr>
      <w:r w:rsidRPr="00507A31">
        <w:rPr>
          <w:color w:val="000000" w:themeColor="text1"/>
          <w:sz w:val="16"/>
          <w:szCs w:val="16"/>
        </w:rPr>
        <w:t>Б. Установить производственную мирную базу для танкетки — 2</w:t>
      </w:r>
      <w:r w:rsidRPr="00507A31">
        <w:rPr>
          <w:color w:val="000000" w:themeColor="text1"/>
          <w:sz w:val="16"/>
          <w:szCs w:val="16"/>
        </w:rPr>
        <w:noBreakHyphen/>
        <w:t>й автомобильный завод, для малого танка — завод — “Большевик” и ММЗ, для среднего танка — завод ХПЗ.</w:t>
      </w:r>
    </w:p>
    <w:p w14:paraId="79363182" w14:textId="77777777" w:rsidR="00E6261B" w:rsidRPr="00507A31" w:rsidRDefault="00E6261B" w:rsidP="00507A31">
      <w:pPr>
        <w:jc w:val="both"/>
        <w:rPr>
          <w:color w:val="000000" w:themeColor="text1"/>
          <w:sz w:val="16"/>
          <w:szCs w:val="16"/>
        </w:rPr>
      </w:pPr>
      <w:r w:rsidRPr="00507A31">
        <w:rPr>
          <w:color w:val="000000" w:themeColor="text1"/>
          <w:sz w:val="16"/>
          <w:szCs w:val="16"/>
        </w:rPr>
        <w:t xml:space="preserve">II. В связи с потребностью на военное время танков малых подач в год 9½ тысяч средних танков 7½ тысяч, танкеток 4½ тысячи и в связи с отсутствием на такую мощность производственной базы на военное время для того, чтобы покрыть потребностью НКВМ, поручить президиуму ВСНХ внести на рассмотрение и </w:t>
      </w:r>
      <w:r w:rsidRPr="00507A31">
        <w:rPr>
          <w:color w:val="000000" w:themeColor="text1"/>
          <w:sz w:val="16"/>
          <w:szCs w:val="16"/>
        </w:rPr>
        <w:lastRenderedPageBreak/>
        <w:t>утверждение в ПБ окончательный календарный план производства установленных типов и количества танков, ВСНХ предусмотреть в контрольных цифрах 1931 года соответствующие ассигнования с тем, чтобы с начала 1931 года развернуть работы по обеспечению выполнения плана.</w:t>
      </w:r>
    </w:p>
    <w:p w14:paraId="2F164116" w14:textId="77777777" w:rsidR="00E6261B" w:rsidRPr="00507A31" w:rsidRDefault="00E6261B" w:rsidP="00507A31">
      <w:pPr>
        <w:jc w:val="both"/>
        <w:rPr>
          <w:color w:val="000000" w:themeColor="text1"/>
          <w:sz w:val="16"/>
          <w:szCs w:val="16"/>
        </w:rPr>
      </w:pPr>
      <w:r w:rsidRPr="00507A31">
        <w:rPr>
          <w:color w:val="000000" w:themeColor="text1"/>
          <w:sz w:val="16"/>
          <w:szCs w:val="16"/>
        </w:rPr>
        <w:t>III. а) Впредь до окончательного испытания образцов малого танка Виккерса, воздержаться от заключения договора с Виккерсом, не прерывая переговоров. К этому вопросу вернуться тогда, когда будут сравнительные данные испытания малого танка типа Виккерса и танка типа Т</w:t>
      </w:r>
      <w:r w:rsidRPr="00507A31">
        <w:rPr>
          <w:color w:val="000000" w:themeColor="text1"/>
          <w:sz w:val="16"/>
          <w:szCs w:val="16"/>
        </w:rPr>
        <w:noBreakHyphen/>
        <w:t>19 конструкции завода “Большевик”.</w:t>
      </w:r>
    </w:p>
    <w:p w14:paraId="03CBC263" w14:textId="77777777" w:rsidR="00E6261B" w:rsidRPr="00507A31" w:rsidRDefault="00E6261B" w:rsidP="00507A31">
      <w:pPr>
        <w:jc w:val="both"/>
        <w:rPr>
          <w:color w:val="000000" w:themeColor="text1"/>
          <w:sz w:val="16"/>
          <w:szCs w:val="16"/>
        </w:rPr>
      </w:pPr>
      <w:r w:rsidRPr="00507A31">
        <w:rPr>
          <w:color w:val="000000" w:themeColor="text1"/>
          <w:sz w:val="16"/>
          <w:szCs w:val="16"/>
        </w:rPr>
        <w:t>б) Продолжать переговоры с фирмой Виккерс по вопросу о технической помощи на броню для танков. Результаты переговоров доложить ПБ.</w:t>
      </w:r>
    </w:p>
    <w:p w14:paraId="3AECF7D4" w14:textId="77777777" w:rsidR="00E6261B" w:rsidRPr="00507A31" w:rsidRDefault="00E6261B" w:rsidP="00507A31">
      <w:pPr>
        <w:jc w:val="both"/>
        <w:rPr>
          <w:color w:val="000000" w:themeColor="text1"/>
          <w:sz w:val="16"/>
          <w:szCs w:val="16"/>
        </w:rPr>
      </w:pPr>
    </w:p>
    <w:p w14:paraId="291227EC" w14:textId="77777777" w:rsidR="00CD7AC7" w:rsidRPr="00507A31" w:rsidRDefault="00CD7AC7" w:rsidP="00507A31">
      <w:pPr>
        <w:jc w:val="both"/>
        <w:rPr>
          <w:color w:val="0070C0"/>
          <w:sz w:val="16"/>
          <w:szCs w:val="16"/>
        </w:rPr>
      </w:pPr>
      <w:r w:rsidRPr="00507A31">
        <w:rPr>
          <w:color w:val="0070C0"/>
          <w:sz w:val="16"/>
          <w:szCs w:val="16"/>
        </w:rPr>
        <w:t>5 ноября 1930 состоялось заседание ПБ (Протокол № 14)</w:t>
      </w:r>
    </w:p>
    <w:p w14:paraId="3892645F" w14:textId="77777777" w:rsidR="00CD7AC7" w:rsidRPr="00507A31" w:rsidRDefault="00CD7AC7" w:rsidP="00507A31">
      <w:pPr>
        <w:jc w:val="both"/>
        <w:rPr>
          <w:color w:val="0070C0"/>
          <w:sz w:val="16"/>
          <w:szCs w:val="16"/>
        </w:rPr>
      </w:pPr>
      <w:r w:rsidRPr="00507A31">
        <w:rPr>
          <w:color w:val="0070C0"/>
          <w:sz w:val="16"/>
          <w:szCs w:val="16"/>
        </w:rPr>
        <w:t>8.-О танкостроении</w:t>
      </w:r>
    </w:p>
    <w:p w14:paraId="63216FF8" w14:textId="77777777" w:rsidR="00CD7AC7" w:rsidRPr="00507A31" w:rsidRDefault="00CD7AC7" w:rsidP="00507A31">
      <w:pPr>
        <w:jc w:val="both"/>
        <w:rPr>
          <w:color w:val="0070C0"/>
          <w:sz w:val="16"/>
          <w:szCs w:val="16"/>
        </w:rPr>
      </w:pPr>
      <w:r w:rsidRPr="00507A31">
        <w:rPr>
          <w:color w:val="0070C0"/>
          <w:sz w:val="16"/>
          <w:szCs w:val="16"/>
        </w:rPr>
        <w:t>(ПБ от 20.1.30 г, Пр. № 114, п. 4)</w:t>
      </w:r>
    </w:p>
    <w:p w14:paraId="14D166AC" w14:textId="77777777" w:rsidR="00CD7AC7" w:rsidRPr="00507A31" w:rsidRDefault="00CD7AC7" w:rsidP="00507A31">
      <w:pPr>
        <w:jc w:val="both"/>
        <w:rPr>
          <w:color w:val="0070C0"/>
          <w:sz w:val="16"/>
          <w:szCs w:val="16"/>
        </w:rPr>
      </w:pPr>
      <w:r w:rsidRPr="00507A31">
        <w:rPr>
          <w:color w:val="0070C0"/>
          <w:sz w:val="16"/>
          <w:szCs w:val="16"/>
        </w:rPr>
        <w:t>(т.т. Орджоникидзе, Осинский)</w:t>
      </w:r>
    </w:p>
    <w:p w14:paraId="405C8557" w14:textId="77777777" w:rsidR="00CD7AC7" w:rsidRPr="00507A31" w:rsidRDefault="00CD7AC7" w:rsidP="00507A31">
      <w:pPr>
        <w:jc w:val="both"/>
        <w:rPr>
          <w:color w:val="0070C0"/>
          <w:sz w:val="16"/>
          <w:szCs w:val="16"/>
        </w:rPr>
      </w:pPr>
      <w:r w:rsidRPr="00507A31">
        <w:rPr>
          <w:color w:val="0070C0"/>
          <w:sz w:val="16"/>
          <w:szCs w:val="16"/>
        </w:rPr>
        <w:t>а) представленный косиссией т. Орджоникидзе проект предложения принять (см. приложение).</w:t>
      </w:r>
    </w:p>
    <w:p w14:paraId="38741E91" w14:textId="77777777" w:rsidR="00CD7AC7" w:rsidRPr="00507A31" w:rsidRDefault="00CD7AC7" w:rsidP="00507A31">
      <w:pPr>
        <w:jc w:val="both"/>
        <w:rPr>
          <w:color w:val="0070C0"/>
          <w:sz w:val="16"/>
          <w:szCs w:val="16"/>
        </w:rPr>
      </w:pPr>
      <w:r w:rsidRPr="00507A31">
        <w:rPr>
          <w:color w:val="0070C0"/>
          <w:sz w:val="16"/>
          <w:szCs w:val="16"/>
        </w:rPr>
        <w:t>Приложение</w:t>
      </w:r>
    </w:p>
    <w:p w14:paraId="59C570D9" w14:textId="77777777" w:rsidR="00CD7AC7" w:rsidRPr="00507A31" w:rsidRDefault="00CD7AC7" w:rsidP="00507A31">
      <w:pPr>
        <w:jc w:val="both"/>
        <w:rPr>
          <w:color w:val="0070C0"/>
          <w:sz w:val="16"/>
          <w:szCs w:val="16"/>
        </w:rPr>
      </w:pPr>
      <w:r w:rsidRPr="00507A31">
        <w:rPr>
          <w:color w:val="0070C0"/>
          <w:sz w:val="16"/>
          <w:szCs w:val="16"/>
        </w:rPr>
        <w:t>к п.8, пр. ПБ № 14.</w:t>
      </w:r>
    </w:p>
    <w:p w14:paraId="06871C50" w14:textId="77777777" w:rsidR="00CD7AC7" w:rsidRPr="00507A31" w:rsidRDefault="00CD7AC7" w:rsidP="00507A31">
      <w:pPr>
        <w:jc w:val="both"/>
        <w:rPr>
          <w:color w:val="0070C0"/>
          <w:sz w:val="16"/>
          <w:szCs w:val="16"/>
        </w:rPr>
      </w:pPr>
      <w:r w:rsidRPr="00507A31">
        <w:rPr>
          <w:color w:val="0070C0"/>
          <w:sz w:val="16"/>
          <w:szCs w:val="16"/>
        </w:rPr>
        <w:t>(Принято Политбюро ЦК ВКП(б) 5.XI.1930г.).</w:t>
      </w:r>
    </w:p>
    <w:p w14:paraId="0855D69F" w14:textId="77777777" w:rsidR="00CD7AC7" w:rsidRPr="00507A31" w:rsidRDefault="00CD7AC7" w:rsidP="00507A31">
      <w:pPr>
        <w:jc w:val="both"/>
        <w:rPr>
          <w:color w:val="0070C0"/>
          <w:sz w:val="16"/>
          <w:szCs w:val="16"/>
        </w:rPr>
      </w:pPr>
      <w:r w:rsidRPr="00507A31">
        <w:rPr>
          <w:color w:val="0070C0"/>
          <w:sz w:val="16"/>
          <w:szCs w:val="16"/>
        </w:rPr>
        <w:t>1.А.</w:t>
      </w:r>
    </w:p>
    <w:p w14:paraId="60175605" w14:textId="77777777" w:rsidR="00CD7AC7" w:rsidRPr="00507A31" w:rsidRDefault="00CD7AC7" w:rsidP="00507A31">
      <w:pPr>
        <w:jc w:val="both"/>
        <w:rPr>
          <w:color w:val="0070C0"/>
          <w:sz w:val="16"/>
          <w:szCs w:val="16"/>
        </w:rPr>
      </w:pPr>
      <w:r w:rsidRPr="00507A31">
        <w:rPr>
          <w:color w:val="0070C0"/>
          <w:sz w:val="16"/>
          <w:szCs w:val="16"/>
        </w:rPr>
        <w:t>1) По танкетке. Принять на производство тип танкетки Виккерса, но с мотором Форда АА.</w:t>
      </w:r>
    </w:p>
    <w:p w14:paraId="7A4BE9DC" w14:textId="77777777" w:rsidR="00CD7AC7" w:rsidRPr="00507A31" w:rsidRDefault="00CD7AC7" w:rsidP="00507A31">
      <w:pPr>
        <w:jc w:val="both"/>
        <w:rPr>
          <w:color w:val="0070C0"/>
          <w:sz w:val="16"/>
          <w:szCs w:val="16"/>
        </w:rPr>
      </w:pPr>
      <w:r w:rsidRPr="00507A31">
        <w:rPr>
          <w:color w:val="0070C0"/>
          <w:sz w:val="16"/>
          <w:szCs w:val="16"/>
        </w:rPr>
        <w:t>2) По малому танку. Принять на производство тип малого танка конструкции завода "Большевик" модернизированного Т-18 в 40 лошадиных сил мотор, с последующим переходом в тип Т-20 с мо</w:t>
      </w:r>
      <w:r w:rsidRPr="00507A31">
        <w:rPr>
          <w:color w:val="0070C0"/>
          <w:sz w:val="16"/>
          <w:szCs w:val="16"/>
        </w:rPr>
        <w:softHyphen/>
        <w:t>тором в 60 лошадиных сил, и в начале четвертого квартала 1931 г. поставить в производство тип Т-19 с мотором 90-100 лошадиных сил.</w:t>
      </w:r>
    </w:p>
    <w:p w14:paraId="4D579A47" w14:textId="77777777" w:rsidR="00CD7AC7" w:rsidRPr="00507A31" w:rsidRDefault="00CD7AC7" w:rsidP="00507A31">
      <w:pPr>
        <w:jc w:val="both"/>
        <w:rPr>
          <w:color w:val="0070C0"/>
          <w:sz w:val="16"/>
          <w:szCs w:val="16"/>
        </w:rPr>
      </w:pPr>
      <w:r w:rsidRPr="00507A31">
        <w:rPr>
          <w:color w:val="0070C0"/>
          <w:sz w:val="16"/>
          <w:szCs w:val="16"/>
        </w:rPr>
        <w:t>3) По среднему танку. Принять на производство тип сред</w:t>
      </w:r>
      <w:r w:rsidRPr="00507A31">
        <w:rPr>
          <w:color w:val="0070C0"/>
          <w:sz w:val="16"/>
          <w:szCs w:val="16"/>
        </w:rPr>
        <w:softHyphen/>
        <w:t>него танка - танк Т-24 образца завода ХПЗ.</w:t>
      </w:r>
    </w:p>
    <w:p w14:paraId="34C66B4A" w14:textId="77777777" w:rsidR="00CD7AC7" w:rsidRPr="00507A31" w:rsidRDefault="00CD7AC7" w:rsidP="00507A31">
      <w:pPr>
        <w:jc w:val="both"/>
        <w:rPr>
          <w:color w:val="0070C0"/>
          <w:sz w:val="16"/>
          <w:szCs w:val="16"/>
        </w:rPr>
      </w:pPr>
      <w:r w:rsidRPr="00507A31">
        <w:rPr>
          <w:color w:val="0070C0"/>
          <w:sz w:val="16"/>
          <w:szCs w:val="16"/>
        </w:rPr>
        <w:t>Б. Установить производственную мирную базу для танкетки - 2-й автомобильный завод, для малого танка - завод - "Большевик" и ММ3, для среднего танка - завод ХПЗ.</w:t>
      </w:r>
    </w:p>
    <w:p w14:paraId="3B0EB306" w14:textId="77777777" w:rsidR="00CD7AC7" w:rsidRPr="00507A31" w:rsidRDefault="00CD7AC7" w:rsidP="00507A31">
      <w:pPr>
        <w:jc w:val="both"/>
        <w:rPr>
          <w:color w:val="0070C0"/>
          <w:sz w:val="16"/>
          <w:szCs w:val="16"/>
        </w:rPr>
      </w:pPr>
      <w:r w:rsidRPr="00507A31">
        <w:rPr>
          <w:color w:val="0070C0"/>
          <w:sz w:val="16"/>
          <w:szCs w:val="16"/>
        </w:rPr>
        <w:t>П. В связи с потребностью на военное время танков малых подач в год 9 ½ тысяч средних танков 7½ тысяч, танкеток 4½ тыся</w:t>
      </w:r>
      <w:r w:rsidRPr="00507A31">
        <w:rPr>
          <w:color w:val="0070C0"/>
          <w:sz w:val="16"/>
          <w:szCs w:val="16"/>
        </w:rPr>
        <w:softHyphen/>
        <w:t>чи и в связи с отсутствием на такую мощность производственной базы на военное время для того, чтобы покрыть потребностью НКВМ, поручить президиуму ВСЕХ внести на рассмотрение и утверждение в ПБ окончательный календарный план производства установленных типов в количества танков. ВСНХ предусмотреть в контрольных цифрах 1931 года соответствующие ассигнования с тем, чтобы с начала 1931 года развернуть работы по обеспечению выполнения плана.</w:t>
      </w:r>
    </w:p>
    <w:p w14:paraId="3DF6CF69" w14:textId="77777777" w:rsidR="00CD7AC7" w:rsidRPr="00507A31" w:rsidRDefault="00CD7AC7" w:rsidP="00507A31">
      <w:pPr>
        <w:jc w:val="both"/>
        <w:rPr>
          <w:color w:val="0070C0"/>
          <w:sz w:val="16"/>
          <w:szCs w:val="16"/>
        </w:rPr>
      </w:pPr>
      <w:r w:rsidRPr="00507A31">
        <w:rPr>
          <w:color w:val="0070C0"/>
          <w:sz w:val="16"/>
          <w:szCs w:val="16"/>
        </w:rPr>
        <w:t>Ш. а) Впредь до окончательного испытания образцов малого танка Виккерса, воздержаться от заключения договора с Виккер</w:t>
      </w:r>
      <w:r w:rsidRPr="00507A31">
        <w:rPr>
          <w:color w:val="0070C0"/>
          <w:sz w:val="16"/>
          <w:szCs w:val="16"/>
        </w:rPr>
        <w:softHyphen/>
        <w:t>сом, не прерывая переговоров. К этому вопросу вернуться тогда, когда будут сравнительные данные испытания малого танка типа Виккевса и танка типа Т-19 конструкции завода "Большевик".</w:t>
      </w:r>
    </w:p>
    <w:p w14:paraId="407FCE01" w14:textId="77777777" w:rsidR="00CD7AC7" w:rsidRPr="00507A31" w:rsidRDefault="00CD7AC7" w:rsidP="00507A31">
      <w:pPr>
        <w:jc w:val="both"/>
        <w:rPr>
          <w:color w:val="0070C0"/>
          <w:sz w:val="16"/>
          <w:szCs w:val="16"/>
        </w:rPr>
      </w:pPr>
      <w:r w:rsidRPr="00507A31">
        <w:rPr>
          <w:color w:val="0070C0"/>
          <w:sz w:val="16"/>
          <w:szCs w:val="16"/>
        </w:rPr>
        <w:t>б) Продолжать переговоры с фирмой Виккерс по вопросу о технической помощи на броню для танков. Результаты переговоров доложить ПБ.</w:t>
      </w:r>
    </w:p>
    <w:p w14:paraId="020ED48F" w14:textId="77777777" w:rsidR="00CD7AC7" w:rsidRPr="00507A31" w:rsidRDefault="00CD7AC7" w:rsidP="00507A31">
      <w:pPr>
        <w:jc w:val="both"/>
        <w:rPr>
          <w:color w:val="0070C0"/>
          <w:sz w:val="16"/>
          <w:szCs w:val="16"/>
        </w:rPr>
      </w:pPr>
      <w:r w:rsidRPr="00507A31">
        <w:rPr>
          <w:color w:val="0070C0"/>
          <w:sz w:val="16"/>
          <w:szCs w:val="16"/>
        </w:rPr>
        <w:t>Верно:</w:t>
      </w:r>
    </w:p>
    <w:p w14:paraId="0DFD1D69" w14:textId="77777777" w:rsidR="00CD7AC7" w:rsidRPr="00507A31" w:rsidRDefault="00CD7AC7" w:rsidP="00507A31">
      <w:pPr>
        <w:jc w:val="both"/>
        <w:rPr>
          <w:color w:val="0070C0"/>
          <w:sz w:val="16"/>
          <w:szCs w:val="16"/>
        </w:rPr>
      </w:pPr>
      <w:r w:rsidRPr="00507A31">
        <w:rPr>
          <w:color w:val="0070C0"/>
          <w:sz w:val="16"/>
          <w:szCs w:val="16"/>
        </w:rPr>
        <w:t>б) предложить т.т. Ворошилову и Осинскому в месячный срок разработатъ проект предложений по использозанаю тракторных заводов для танкостроения в военное время и предсатвить на рассмотрение Политбюро.</w:t>
      </w:r>
    </w:p>
    <w:p w14:paraId="425E061C" w14:textId="77777777" w:rsidR="00CD7AC7" w:rsidRPr="00507A31" w:rsidRDefault="00CD7AC7" w:rsidP="00507A31">
      <w:pPr>
        <w:jc w:val="both"/>
        <w:rPr>
          <w:color w:val="0070C0"/>
          <w:sz w:val="16"/>
          <w:szCs w:val="16"/>
        </w:rPr>
      </w:pPr>
      <w:r w:rsidRPr="00507A31">
        <w:rPr>
          <w:color w:val="0070C0"/>
          <w:sz w:val="16"/>
          <w:szCs w:val="16"/>
        </w:rPr>
        <w:t>Выписки посланы: т.т. Ворошилову – все; Орджоникидзк, Осинскому – б (21118).</w:t>
      </w:r>
    </w:p>
    <w:p w14:paraId="2C1D3D29" w14:textId="77777777" w:rsidR="00CD7AC7" w:rsidRPr="00507A31" w:rsidRDefault="00CD7AC7" w:rsidP="00507A31">
      <w:pPr>
        <w:jc w:val="both"/>
        <w:rPr>
          <w:color w:val="0070C0"/>
          <w:sz w:val="16"/>
          <w:szCs w:val="16"/>
        </w:rPr>
      </w:pPr>
    </w:p>
    <w:p w14:paraId="6459631E" w14:textId="77777777" w:rsidR="00CD7AC7" w:rsidRPr="00507A31" w:rsidRDefault="00CD7AC7" w:rsidP="00507A31">
      <w:pPr>
        <w:jc w:val="both"/>
        <w:rPr>
          <w:color w:val="0070C0"/>
          <w:sz w:val="16"/>
          <w:szCs w:val="16"/>
        </w:rPr>
      </w:pPr>
      <w:r w:rsidRPr="00507A31">
        <w:rPr>
          <w:color w:val="0070C0"/>
          <w:sz w:val="16"/>
          <w:szCs w:val="16"/>
          <w:shd w:val="clear" w:color="auto" w:fill="FFFFFF"/>
        </w:rPr>
        <w:t>5 ноября 1930 года было принято решение о запуске машины Т-24 в серию.</w:t>
      </w:r>
    </w:p>
    <w:p w14:paraId="543C62FE" w14:textId="77777777" w:rsidR="00CD7AC7" w:rsidRPr="00507A31" w:rsidRDefault="00CD7AC7" w:rsidP="00507A31">
      <w:pPr>
        <w:jc w:val="both"/>
        <w:rPr>
          <w:color w:val="0070C0"/>
          <w:sz w:val="16"/>
          <w:szCs w:val="16"/>
        </w:rPr>
      </w:pPr>
      <w:r w:rsidRPr="00507A31">
        <w:rPr>
          <w:color w:val="0070C0"/>
          <w:sz w:val="16"/>
          <w:szCs w:val="16"/>
        </w:rPr>
        <w:t>После принятия решения по запуску машины в серию работы по танку форсировали, но при этом программа по выпуску была сорвана изначально. Ижорский завод, и так перегруженный работами, еще раз дал понять, что больше 10 корпусов за год дать не сможет, да и то, к концу ноября имелось всего 2. Хватало проблем и на ХПЗ. В результате никаких не то, что 15, даже 10 машин в Харькове сдать не удалось. За 1930 года УПП не дождалось ни одного танка данного типа. Между тем, потребность в этих танках можно оценить по уже упоминавшимся цифрам заказа на 350 корпусов. Фактически сдача данных машин началась в октябре 1931 года, когда судьба танка и так была решена. Всего сдали 24 танка, из которых, в лучшем случае, 5 штук получили вооружение. Вместе с Т-24 "умерла" и 45-мм пушка обр.1930 года. Вместо нее разрабатывали совсем иные орудия, которые поначалу имели калибр 37 мм (20203).</w:t>
      </w:r>
    </w:p>
    <w:p w14:paraId="2BAE9619" w14:textId="77777777" w:rsidR="00CD7AC7" w:rsidRPr="00507A31" w:rsidRDefault="00CD7AC7" w:rsidP="00507A31">
      <w:pPr>
        <w:jc w:val="both"/>
        <w:rPr>
          <w:color w:val="0070C0"/>
          <w:sz w:val="16"/>
          <w:szCs w:val="16"/>
        </w:rPr>
      </w:pPr>
    </w:p>
    <w:p w14:paraId="2FEC4BC5" w14:textId="77777777" w:rsidR="00E6261B" w:rsidRPr="00507A31" w:rsidRDefault="00E6261B" w:rsidP="00507A31">
      <w:pPr>
        <w:jc w:val="both"/>
        <w:rPr>
          <w:color w:val="000000" w:themeColor="text1"/>
          <w:sz w:val="16"/>
          <w:szCs w:val="16"/>
        </w:rPr>
      </w:pPr>
      <w:r w:rsidRPr="00507A31">
        <w:rPr>
          <w:color w:val="000000" w:themeColor="text1"/>
          <w:sz w:val="16"/>
          <w:szCs w:val="16"/>
        </w:rPr>
        <w:t>5 ноября 1930</w:t>
      </w:r>
    </w:p>
    <w:p w14:paraId="1723908C" w14:textId="77777777" w:rsidR="00E6261B" w:rsidRPr="00507A31" w:rsidRDefault="00E6261B" w:rsidP="00507A31">
      <w:pPr>
        <w:jc w:val="both"/>
        <w:rPr>
          <w:color w:val="000000" w:themeColor="text1"/>
          <w:sz w:val="16"/>
          <w:szCs w:val="16"/>
        </w:rPr>
      </w:pPr>
      <w:r w:rsidRPr="00507A31">
        <w:rPr>
          <w:color w:val="000000" w:themeColor="text1"/>
          <w:sz w:val="16"/>
          <w:szCs w:val="16"/>
        </w:rPr>
        <w:t>п. 13/15: Об автотракторной промышленности</w:t>
      </w:r>
    </w:p>
    <w:p w14:paraId="4A6D0561" w14:textId="77777777" w:rsidR="00E6261B" w:rsidRPr="00507A31" w:rsidRDefault="00E6261B" w:rsidP="00507A31">
      <w:pPr>
        <w:jc w:val="both"/>
        <w:rPr>
          <w:color w:val="000000" w:themeColor="text1"/>
          <w:sz w:val="16"/>
          <w:szCs w:val="16"/>
        </w:rPr>
      </w:pPr>
      <w:r w:rsidRPr="00507A31">
        <w:rPr>
          <w:color w:val="000000" w:themeColor="text1"/>
          <w:sz w:val="16"/>
          <w:szCs w:val="16"/>
        </w:rPr>
        <w:t>(ПБ от 25.Х.30 г., пр. 13, п. 24).</w:t>
      </w:r>
    </w:p>
    <w:p w14:paraId="53742EC2" w14:textId="77777777" w:rsidR="00E6261B" w:rsidRPr="00507A31" w:rsidRDefault="00E6261B" w:rsidP="00507A31">
      <w:pPr>
        <w:jc w:val="both"/>
        <w:rPr>
          <w:color w:val="000000" w:themeColor="text1"/>
          <w:sz w:val="16"/>
          <w:szCs w:val="16"/>
        </w:rPr>
      </w:pPr>
      <w:r w:rsidRPr="00507A31">
        <w:rPr>
          <w:color w:val="000000" w:themeColor="text1"/>
          <w:sz w:val="16"/>
          <w:szCs w:val="16"/>
        </w:rPr>
        <w:t>(Орджоникидзе, Розенгольц, Лобов).</w:t>
      </w:r>
    </w:p>
    <w:p w14:paraId="2B329E1F" w14:textId="77777777" w:rsidR="00E6261B" w:rsidRPr="00507A31" w:rsidRDefault="00E6261B" w:rsidP="00507A31">
      <w:pPr>
        <w:jc w:val="both"/>
        <w:rPr>
          <w:color w:val="000000" w:themeColor="text1"/>
          <w:sz w:val="16"/>
          <w:szCs w:val="16"/>
        </w:rPr>
      </w:pPr>
      <w:r w:rsidRPr="00507A31">
        <w:rPr>
          <w:color w:val="000000" w:themeColor="text1"/>
          <w:sz w:val="16"/>
          <w:szCs w:val="16"/>
        </w:rPr>
        <w:t>а) Утвердить проект постановления об автотракторной промышленности с дополнением в п. 6 (</w:t>
      </w:r>
      <w:hyperlink r:id="rId165" w:history="1">
        <w:r w:rsidRPr="00507A31">
          <w:rPr>
            <w:rStyle w:val="a5"/>
            <w:color w:val="000000" w:themeColor="text1"/>
            <w:sz w:val="16"/>
            <w:szCs w:val="16"/>
          </w:rPr>
          <w:t>см. приложение № 5</w:t>
        </w:r>
      </w:hyperlink>
      <w:r w:rsidRPr="00507A31">
        <w:rPr>
          <w:color w:val="000000" w:themeColor="text1"/>
          <w:sz w:val="16"/>
          <w:szCs w:val="16"/>
        </w:rPr>
        <w:t>).</w:t>
      </w:r>
    </w:p>
    <w:p w14:paraId="4FE8D657" w14:textId="77777777" w:rsidR="00E6261B" w:rsidRPr="00507A31" w:rsidRDefault="00E6261B" w:rsidP="00507A31">
      <w:pPr>
        <w:jc w:val="both"/>
        <w:rPr>
          <w:color w:val="000000" w:themeColor="text1"/>
          <w:sz w:val="16"/>
          <w:szCs w:val="16"/>
        </w:rPr>
      </w:pPr>
      <w:r w:rsidRPr="00507A31">
        <w:rPr>
          <w:color w:val="000000" w:themeColor="text1"/>
          <w:sz w:val="16"/>
          <w:szCs w:val="16"/>
        </w:rPr>
        <w:t>б, в) Решение — особая папка.</w:t>
      </w:r>
    </w:p>
    <w:p w14:paraId="3273A198" w14:textId="77777777" w:rsidR="00E6261B" w:rsidRPr="00507A31" w:rsidRDefault="00E6261B" w:rsidP="00507A31">
      <w:pPr>
        <w:jc w:val="both"/>
        <w:rPr>
          <w:color w:val="000000" w:themeColor="text1"/>
          <w:sz w:val="16"/>
          <w:szCs w:val="16"/>
        </w:rPr>
      </w:pPr>
      <w:r w:rsidRPr="00507A31">
        <w:rPr>
          <w:color w:val="000000" w:themeColor="text1"/>
          <w:sz w:val="16"/>
          <w:szCs w:val="16"/>
        </w:rPr>
        <w:t>б) Установить импортный контингент ВСНХ на особый квартал в 100 миллионов рублей. Обязать ВСНХ и Наркомторг не позже десятидневного срока представить справку о сумме реализованных заказов (и каких именно заказов), после решить вопрос, поднятый т. Лобовым об увеличении импортного контингента в 100 миллионов рублей еще на 10 миллионов рублей.</w:t>
      </w:r>
    </w:p>
    <w:p w14:paraId="190B23D4" w14:textId="77777777" w:rsidR="00E6261B" w:rsidRPr="00507A31" w:rsidRDefault="00E6261B" w:rsidP="00507A31">
      <w:pPr>
        <w:jc w:val="both"/>
        <w:rPr>
          <w:color w:val="000000" w:themeColor="text1"/>
          <w:sz w:val="16"/>
          <w:szCs w:val="16"/>
        </w:rPr>
      </w:pPr>
      <w:r w:rsidRPr="00507A31">
        <w:rPr>
          <w:color w:val="000000" w:themeColor="text1"/>
          <w:sz w:val="16"/>
          <w:szCs w:val="16"/>
        </w:rPr>
        <w:t>в) Обязать Наркомторг при составлении плана валютных платежей на следующий год учесть необходимость уплаты Форду за оборудование полностью в течение апреля месяца.</w:t>
      </w:r>
    </w:p>
    <w:p w14:paraId="5B6A4D29" w14:textId="77777777" w:rsidR="00E6261B" w:rsidRPr="00507A31" w:rsidRDefault="00E6261B" w:rsidP="00507A31">
      <w:pPr>
        <w:jc w:val="both"/>
        <w:rPr>
          <w:color w:val="000000" w:themeColor="text1"/>
          <w:sz w:val="16"/>
          <w:szCs w:val="16"/>
        </w:rPr>
      </w:pPr>
      <w:r w:rsidRPr="00507A31">
        <w:rPr>
          <w:color w:val="000000" w:themeColor="text1"/>
          <w:sz w:val="16"/>
          <w:szCs w:val="16"/>
        </w:rPr>
        <w:t>Выписки посланы:</w:t>
      </w:r>
    </w:p>
    <w:p w14:paraId="181F133C" w14:textId="77777777" w:rsidR="00E6261B" w:rsidRPr="00507A31" w:rsidRDefault="00E6261B" w:rsidP="00507A31">
      <w:pPr>
        <w:jc w:val="both"/>
        <w:rPr>
          <w:color w:val="000000" w:themeColor="text1"/>
          <w:sz w:val="16"/>
          <w:szCs w:val="16"/>
        </w:rPr>
      </w:pPr>
      <w:r w:rsidRPr="00507A31">
        <w:rPr>
          <w:color w:val="000000" w:themeColor="text1"/>
          <w:sz w:val="16"/>
          <w:szCs w:val="16"/>
        </w:rPr>
        <w:t>Орджоникидзе, Лобову, Осинскому, Розенгольцу, Рыкову — все из прилож. п.п. 2, 6, 7, 8;</w:t>
      </w:r>
    </w:p>
    <w:p w14:paraId="7B31A981" w14:textId="77777777" w:rsidR="00E6261B" w:rsidRPr="00507A31" w:rsidRDefault="00E6261B" w:rsidP="00507A31">
      <w:pPr>
        <w:jc w:val="both"/>
        <w:rPr>
          <w:color w:val="000000" w:themeColor="text1"/>
          <w:sz w:val="16"/>
          <w:szCs w:val="16"/>
        </w:rPr>
      </w:pPr>
      <w:r w:rsidRPr="00507A31">
        <w:rPr>
          <w:color w:val="000000" w:themeColor="text1"/>
          <w:sz w:val="16"/>
          <w:szCs w:val="16"/>
        </w:rPr>
        <w:t>Кагановичу М., Дыбецу, Сорокину, Альперовичу — п. “а” и из прилож. п. 2 посл. абзац;</w:t>
      </w:r>
    </w:p>
    <w:p w14:paraId="3B40A95B" w14:textId="77777777" w:rsidR="00E6261B" w:rsidRPr="00507A31" w:rsidRDefault="00E6261B" w:rsidP="00507A31">
      <w:pPr>
        <w:jc w:val="both"/>
        <w:rPr>
          <w:color w:val="000000" w:themeColor="text1"/>
          <w:sz w:val="16"/>
          <w:szCs w:val="16"/>
        </w:rPr>
      </w:pPr>
      <w:r w:rsidRPr="00507A31">
        <w:rPr>
          <w:color w:val="000000" w:themeColor="text1"/>
          <w:sz w:val="16"/>
          <w:szCs w:val="16"/>
        </w:rPr>
        <w:t>Кагановичу Л., Жданову, Кабакову, Колотилову — п. “а” и из прилож. п. 2;</w:t>
      </w:r>
    </w:p>
    <w:p w14:paraId="3AADECB0" w14:textId="77777777" w:rsidR="00E6261B" w:rsidRPr="00507A31" w:rsidRDefault="00E6261B" w:rsidP="00507A31">
      <w:pPr>
        <w:jc w:val="both"/>
        <w:rPr>
          <w:color w:val="000000" w:themeColor="text1"/>
          <w:sz w:val="16"/>
          <w:szCs w:val="16"/>
        </w:rPr>
      </w:pPr>
      <w:r w:rsidRPr="00507A31">
        <w:rPr>
          <w:color w:val="000000" w:themeColor="text1"/>
          <w:sz w:val="16"/>
          <w:szCs w:val="16"/>
        </w:rPr>
        <w:t>Косиору Ст. — п. “а” и из прилож. п. 2, 7;</w:t>
      </w:r>
    </w:p>
    <w:p w14:paraId="3D5DF39B" w14:textId="77777777" w:rsidR="00E6261B" w:rsidRPr="00507A31" w:rsidRDefault="00E6261B" w:rsidP="00507A31">
      <w:pPr>
        <w:jc w:val="both"/>
        <w:rPr>
          <w:color w:val="000000" w:themeColor="text1"/>
          <w:sz w:val="16"/>
          <w:szCs w:val="16"/>
        </w:rPr>
      </w:pPr>
      <w:r w:rsidRPr="00507A31">
        <w:rPr>
          <w:color w:val="000000" w:themeColor="text1"/>
          <w:sz w:val="16"/>
          <w:szCs w:val="16"/>
        </w:rPr>
        <w:t>Шеболдаеву — п. “а” и из прилож. п. 2, 6.</w:t>
      </w:r>
    </w:p>
    <w:p w14:paraId="585748B7" w14:textId="77777777" w:rsidR="00E6261B" w:rsidRPr="00507A31" w:rsidRDefault="00E6261B" w:rsidP="00507A31">
      <w:pPr>
        <w:jc w:val="both"/>
        <w:rPr>
          <w:color w:val="000000" w:themeColor="text1"/>
          <w:sz w:val="16"/>
          <w:szCs w:val="16"/>
        </w:rPr>
      </w:pPr>
      <w:r w:rsidRPr="00507A31">
        <w:rPr>
          <w:color w:val="000000" w:themeColor="text1"/>
          <w:sz w:val="16"/>
          <w:szCs w:val="16"/>
        </w:rPr>
        <w:t>Приложение № 5</w:t>
      </w:r>
    </w:p>
    <w:p w14:paraId="278D724B" w14:textId="77777777" w:rsidR="00E6261B" w:rsidRPr="00507A31" w:rsidRDefault="00E6261B" w:rsidP="00507A31">
      <w:pPr>
        <w:jc w:val="both"/>
        <w:rPr>
          <w:color w:val="000000" w:themeColor="text1"/>
          <w:sz w:val="16"/>
          <w:szCs w:val="16"/>
        </w:rPr>
      </w:pPr>
      <w:r w:rsidRPr="00507A31">
        <w:rPr>
          <w:color w:val="000000" w:themeColor="text1"/>
          <w:sz w:val="16"/>
          <w:szCs w:val="16"/>
        </w:rPr>
        <w:t>к п. 13/15 пр. ПБ № 14.</w:t>
      </w:r>
    </w:p>
    <w:p w14:paraId="78666A9A" w14:textId="77777777" w:rsidR="00E6261B" w:rsidRPr="00507A31" w:rsidRDefault="00E6261B" w:rsidP="00507A31">
      <w:pPr>
        <w:jc w:val="both"/>
        <w:rPr>
          <w:color w:val="000000" w:themeColor="text1"/>
          <w:sz w:val="16"/>
          <w:szCs w:val="16"/>
        </w:rPr>
      </w:pPr>
      <w:r w:rsidRPr="00507A31">
        <w:rPr>
          <w:color w:val="000000" w:themeColor="text1"/>
          <w:sz w:val="16"/>
          <w:szCs w:val="16"/>
        </w:rPr>
        <w:t>Об автотракторной промышленности.</w:t>
      </w:r>
    </w:p>
    <w:p w14:paraId="0C14A177" w14:textId="77777777" w:rsidR="00E6261B" w:rsidRPr="00507A31" w:rsidRDefault="00E6261B" w:rsidP="00507A31">
      <w:pPr>
        <w:jc w:val="both"/>
        <w:rPr>
          <w:color w:val="000000" w:themeColor="text1"/>
          <w:sz w:val="16"/>
          <w:szCs w:val="16"/>
        </w:rPr>
      </w:pPr>
      <w:r w:rsidRPr="00507A31">
        <w:rPr>
          <w:color w:val="000000" w:themeColor="text1"/>
          <w:sz w:val="16"/>
          <w:szCs w:val="16"/>
        </w:rPr>
        <w:t>(Утверждено Политбюро 30.Х.30 года).</w:t>
      </w:r>
    </w:p>
    <w:p w14:paraId="0E830E1A" w14:textId="77777777" w:rsidR="00E6261B" w:rsidRPr="00507A31" w:rsidRDefault="00E6261B" w:rsidP="00507A31">
      <w:pPr>
        <w:jc w:val="both"/>
        <w:rPr>
          <w:color w:val="000000" w:themeColor="text1"/>
          <w:sz w:val="16"/>
          <w:szCs w:val="16"/>
        </w:rPr>
      </w:pPr>
      <w:r w:rsidRPr="00507A31">
        <w:rPr>
          <w:color w:val="000000" w:themeColor="text1"/>
          <w:sz w:val="16"/>
          <w:szCs w:val="16"/>
        </w:rPr>
        <w:t>(По докладу комиссии т. Орджоникидзе).</w:t>
      </w:r>
    </w:p>
    <w:p w14:paraId="54C0B3F1" w14:textId="77777777" w:rsidR="00E6261B" w:rsidRPr="00507A31" w:rsidRDefault="00E6261B" w:rsidP="00507A31">
      <w:pPr>
        <w:jc w:val="both"/>
        <w:rPr>
          <w:color w:val="000000" w:themeColor="text1"/>
          <w:sz w:val="16"/>
          <w:szCs w:val="16"/>
        </w:rPr>
      </w:pPr>
      <w:r w:rsidRPr="00507A31">
        <w:rPr>
          <w:color w:val="000000" w:themeColor="text1"/>
          <w:sz w:val="16"/>
          <w:szCs w:val="16"/>
        </w:rPr>
        <w:t>1. Отметить, что вследствие уже имевшихся задержек с размещением заказов из импортное оборудование и необходимости при нынешних обстоятельствах и дальше рассрочить реализацию таковых, срок пуска отдельных заводов, не смотря на их готовность в строительной части, изменяется следующим образом:</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975"/>
        <w:gridCol w:w="1844"/>
        <w:gridCol w:w="5233"/>
        <w:gridCol w:w="2270"/>
      </w:tblGrid>
      <w:tr w:rsidR="00E371BA" w:rsidRPr="00507A31" w14:paraId="175EB839"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C3FCBD" w14:textId="77777777" w:rsidR="00E6261B" w:rsidRPr="00507A31" w:rsidRDefault="00E6261B" w:rsidP="00507A31">
            <w:pPr>
              <w:jc w:val="both"/>
              <w:rPr>
                <w:color w:val="000000" w:themeColor="text1"/>
                <w:sz w:val="16"/>
                <w:szCs w:val="16"/>
              </w:rPr>
            </w:pPr>
            <w:r w:rsidRPr="00507A31">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C3D6D9" w14:textId="77777777" w:rsidR="00E6261B" w:rsidRPr="00507A31" w:rsidRDefault="00E6261B" w:rsidP="00507A31">
            <w:pPr>
              <w:jc w:val="both"/>
              <w:rPr>
                <w:color w:val="000000" w:themeColor="text1"/>
                <w:sz w:val="16"/>
                <w:szCs w:val="16"/>
              </w:rPr>
            </w:pPr>
            <w:r w:rsidRPr="00507A31">
              <w:rPr>
                <w:color w:val="000000" w:themeColor="text1"/>
                <w:sz w:val="16"/>
                <w:szCs w:val="16"/>
              </w:rPr>
              <w:t>Сроки, установ</w:t>
            </w:r>
            <w:r w:rsidRPr="00507A31">
              <w:rPr>
                <w:color w:val="000000" w:themeColor="text1"/>
                <w:sz w:val="16"/>
                <w:szCs w:val="16"/>
              </w:rPr>
              <w:softHyphen/>
              <w:t>ленные до сих пор: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1603CC" w14:textId="77777777" w:rsidR="00E6261B" w:rsidRPr="00507A31" w:rsidRDefault="00E6261B" w:rsidP="00507A31">
            <w:pPr>
              <w:jc w:val="both"/>
              <w:rPr>
                <w:color w:val="000000" w:themeColor="text1"/>
                <w:sz w:val="16"/>
                <w:szCs w:val="16"/>
              </w:rPr>
            </w:pPr>
            <w:r w:rsidRPr="00507A31">
              <w:rPr>
                <w:color w:val="000000" w:themeColor="text1"/>
                <w:sz w:val="16"/>
                <w:szCs w:val="16"/>
              </w:rPr>
              <w:t>Измененные сроки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9C6F19" w14:textId="77777777" w:rsidR="00E6261B" w:rsidRPr="00507A31" w:rsidRDefault="00E6261B" w:rsidP="00507A31">
            <w:pPr>
              <w:jc w:val="both"/>
              <w:rPr>
                <w:color w:val="000000" w:themeColor="text1"/>
                <w:sz w:val="16"/>
                <w:szCs w:val="16"/>
              </w:rPr>
            </w:pPr>
            <w:r w:rsidRPr="00507A31">
              <w:rPr>
                <w:color w:val="000000" w:themeColor="text1"/>
                <w:sz w:val="16"/>
                <w:szCs w:val="16"/>
              </w:rPr>
              <w:t>Мощность 1</w:t>
            </w:r>
            <w:r w:rsidRPr="00507A31">
              <w:rPr>
                <w:color w:val="000000" w:themeColor="text1"/>
                <w:sz w:val="16"/>
                <w:szCs w:val="16"/>
              </w:rPr>
              <w:noBreakHyphen/>
              <w:t>й очереди:</w:t>
            </w:r>
          </w:p>
        </w:tc>
      </w:tr>
      <w:tr w:rsidR="00E371BA" w:rsidRPr="00507A31" w14:paraId="5845590B"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CE27A5" w14:textId="77777777" w:rsidR="00E6261B" w:rsidRPr="00507A31" w:rsidRDefault="00E6261B" w:rsidP="00507A31">
            <w:pPr>
              <w:jc w:val="both"/>
              <w:rPr>
                <w:color w:val="000000" w:themeColor="text1"/>
                <w:sz w:val="16"/>
                <w:szCs w:val="16"/>
              </w:rPr>
            </w:pPr>
            <w:r w:rsidRPr="00507A31">
              <w:rPr>
                <w:color w:val="000000" w:themeColor="text1"/>
                <w:sz w:val="16"/>
                <w:szCs w:val="16"/>
              </w:rPr>
              <w:t>а) Реконструируемый завод АМО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D39C9D" w14:textId="77777777" w:rsidR="00E6261B" w:rsidRPr="00507A31" w:rsidRDefault="00E6261B" w:rsidP="00507A31">
            <w:pPr>
              <w:jc w:val="both"/>
              <w:rPr>
                <w:color w:val="000000" w:themeColor="text1"/>
                <w:sz w:val="16"/>
                <w:szCs w:val="16"/>
              </w:rPr>
            </w:pPr>
            <w:r w:rsidRPr="00507A31">
              <w:rPr>
                <w:color w:val="000000" w:themeColor="text1"/>
                <w:sz w:val="16"/>
                <w:szCs w:val="16"/>
              </w:rPr>
              <w:t>1 июня 1930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2C0B4E" w14:textId="77777777" w:rsidR="00E6261B" w:rsidRPr="00507A31" w:rsidRDefault="00E6261B" w:rsidP="00507A31">
            <w:pPr>
              <w:jc w:val="both"/>
              <w:rPr>
                <w:color w:val="000000" w:themeColor="text1"/>
                <w:sz w:val="16"/>
                <w:szCs w:val="16"/>
              </w:rPr>
            </w:pPr>
            <w:r w:rsidRPr="00507A31">
              <w:rPr>
                <w:color w:val="000000" w:themeColor="text1"/>
                <w:sz w:val="16"/>
                <w:szCs w:val="16"/>
              </w:rPr>
              <w:t>1 июня 1931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BA61C4" w14:textId="77777777" w:rsidR="00E6261B" w:rsidRPr="00507A31" w:rsidRDefault="00E6261B" w:rsidP="00507A31">
            <w:pPr>
              <w:jc w:val="both"/>
              <w:rPr>
                <w:color w:val="000000" w:themeColor="text1"/>
                <w:sz w:val="16"/>
                <w:szCs w:val="16"/>
              </w:rPr>
            </w:pPr>
            <w:r w:rsidRPr="00507A31">
              <w:rPr>
                <w:color w:val="000000" w:themeColor="text1"/>
                <w:sz w:val="16"/>
                <w:szCs w:val="16"/>
              </w:rPr>
              <w:t>25 тыс. машин</w:t>
            </w:r>
          </w:p>
        </w:tc>
      </w:tr>
      <w:tr w:rsidR="00E371BA" w:rsidRPr="00507A31" w14:paraId="082F215C"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75E7B7" w14:textId="77777777" w:rsidR="00E6261B" w:rsidRPr="00507A31" w:rsidRDefault="00E6261B" w:rsidP="00507A31">
            <w:pPr>
              <w:jc w:val="both"/>
              <w:rPr>
                <w:color w:val="000000" w:themeColor="text1"/>
                <w:sz w:val="16"/>
                <w:szCs w:val="16"/>
              </w:rPr>
            </w:pPr>
            <w:r w:rsidRPr="00507A31">
              <w:rPr>
                <w:color w:val="000000" w:themeColor="text1"/>
                <w:sz w:val="16"/>
                <w:szCs w:val="16"/>
              </w:rPr>
              <w:t>б) Нижегородский автозавод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4746D4" w14:textId="77777777" w:rsidR="00E6261B" w:rsidRPr="00507A31" w:rsidRDefault="00E6261B" w:rsidP="00507A31">
            <w:pPr>
              <w:jc w:val="both"/>
              <w:rPr>
                <w:color w:val="000000" w:themeColor="text1"/>
                <w:sz w:val="16"/>
                <w:szCs w:val="16"/>
              </w:rPr>
            </w:pPr>
            <w:r w:rsidRPr="00507A31">
              <w:rPr>
                <w:color w:val="000000" w:themeColor="text1"/>
                <w:sz w:val="16"/>
                <w:szCs w:val="16"/>
              </w:rPr>
              <w:t>1 августа 1931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74E37F" w14:textId="77777777" w:rsidR="00E6261B" w:rsidRPr="00507A31" w:rsidRDefault="00E6261B" w:rsidP="00507A31">
            <w:pPr>
              <w:jc w:val="both"/>
              <w:rPr>
                <w:color w:val="000000" w:themeColor="text1"/>
                <w:sz w:val="16"/>
                <w:szCs w:val="16"/>
              </w:rPr>
            </w:pPr>
            <w:r w:rsidRPr="00507A31">
              <w:rPr>
                <w:color w:val="000000" w:themeColor="text1"/>
                <w:sz w:val="16"/>
                <w:szCs w:val="16"/>
              </w:rPr>
              <w:t>1 октября 1931 г.</w:t>
            </w:r>
          </w:p>
          <w:p w14:paraId="6D48469E" w14:textId="77777777" w:rsidR="00E6261B" w:rsidRPr="00507A31" w:rsidRDefault="00E6261B" w:rsidP="00507A31">
            <w:pPr>
              <w:jc w:val="both"/>
              <w:rPr>
                <w:color w:val="000000" w:themeColor="text1"/>
                <w:sz w:val="16"/>
                <w:szCs w:val="16"/>
              </w:rPr>
            </w:pPr>
            <w:r w:rsidRPr="00507A31">
              <w:rPr>
                <w:color w:val="000000" w:themeColor="text1"/>
                <w:sz w:val="16"/>
                <w:szCs w:val="16"/>
              </w:rPr>
              <w:t>для цехов: механосборочного, инструментального, ремонтно-механического, деревообделочного, ремонтной кузницы</w:t>
            </w:r>
          </w:p>
          <w:p w14:paraId="08CA0BAF" w14:textId="77777777" w:rsidR="00E6261B" w:rsidRPr="00507A31" w:rsidRDefault="00E6261B" w:rsidP="00507A31">
            <w:pPr>
              <w:jc w:val="both"/>
              <w:rPr>
                <w:color w:val="000000" w:themeColor="text1"/>
                <w:sz w:val="16"/>
                <w:szCs w:val="16"/>
              </w:rPr>
            </w:pPr>
            <w:r w:rsidRPr="00507A31">
              <w:rPr>
                <w:color w:val="000000" w:themeColor="text1"/>
                <w:sz w:val="16"/>
                <w:szCs w:val="16"/>
              </w:rPr>
              <w:t>1 ноября 1931 г.</w:t>
            </w:r>
          </w:p>
          <w:p w14:paraId="4A2EE036" w14:textId="77777777" w:rsidR="00E6261B" w:rsidRPr="00507A31" w:rsidRDefault="00E6261B" w:rsidP="00507A31">
            <w:pPr>
              <w:jc w:val="both"/>
              <w:rPr>
                <w:color w:val="000000" w:themeColor="text1"/>
                <w:sz w:val="16"/>
                <w:szCs w:val="16"/>
              </w:rPr>
            </w:pPr>
            <w:r w:rsidRPr="00507A31">
              <w:rPr>
                <w:color w:val="000000" w:themeColor="text1"/>
                <w:sz w:val="16"/>
                <w:szCs w:val="16"/>
              </w:rPr>
              <w:t>для цехов: кузнечного, литейного, рессорного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5C54D5" w14:textId="77777777" w:rsidR="00E6261B" w:rsidRPr="00507A31" w:rsidRDefault="00E6261B" w:rsidP="00507A31">
            <w:pPr>
              <w:jc w:val="both"/>
              <w:rPr>
                <w:color w:val="000000" w:themeColor="text1"/>
                <w:sz w:val="16"/>
                <w:szCs w:val="16"/>
              </w:rPr>
            </w:pPr>
            <w:r w:rsidRPr="00507A31">
              <w:rPr>
                <w:color w:val="000000" w:themeColor="text1"/>
                <w:sz w:val="16"/>
                <w:szCs w:val="16"/>
              </w:rPr>
              <w:t>80 тыс. автомобилей</w:t>
            </w:r>
          </w:p>
        </w:tc>
      </w:tr>
      <w:tr w:rsidR="00E371BA" w:rsidRPr="00507A31" w14:paraId="3274D3A0"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1F7FD2" w14:textId="77777777" w:rsidR="00E6261B" w:rsidRPr="00507A31" w:rsidRDefault="00E6261B" w:rsidP="00507A31">
            <w:pPr>
              <w:jc w:val="both"/>
              <w:rPr>
                <w:color w:val="000000" w:themeColor="text1"/>
                <w:sz w:val="16"/>
                <w:szCs w:val="16"/>
              </w:rPr>
            </w:pPr>
            <w:r w:rsidRPr="00507A31">
              <w:rPr>
                <w:color w:val="000000" w:themeColor="text1"/>
                <w:sz w:val="16"/>
                <w:szCs w:val="16"/>
              </w:rPr>
              <w:t>в) Харьковский тракторный 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775403" w14:textId="77777777" w:rsidR="00E6261B" w:rsidRPr="00507A31" w:rsidRDefault="00E6261B" w:rsidP="00507A31">
            <w:pPr>
              <w:jc w:val="both"/>
              <w:rPr>
                <w:color w:val="000000" w:themeColor="text1"/>
                <w:sz w:val="16"/>
                <w:szCs w:val="16"/>
              </w:rPr>
            </w:pPr>
            <w:r w:rsidRPr="00507A31">
              <w:rPr>
                <w:color w:val="000000" w:themeColor="text1"/>
                <w:sz w:val="16"/>
                <w:szCs w:val="16"/>
              </w:rPr>
              <w:t>1 июля 1931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DEBDD3" w14:textId="77777777" w:rsidR="00E6261B" w:rsidRPr="00507A31" w:rsidRDefault="00E6261B" w:rsidP="00507A31">
            <w:pPr>
              <w:jc w:val="both"/>
              <w:rPr>
                <w:color w:val="000000" w:themeColor="text1"/>
                <w:sz w:val="16"/>
                <w:szCs w:val="16"/>
              </w:rPr>
            </w:pPr>
            <w:r w:rsidRPr="00507A31">
              <w:rPr>
                <w:color w:val="000000" w:themeColor="text1"/>
                <w:sz w:val="16"/>
                <w:szCs w:val="16"/>
              </w:rPr>
              <w:t>1 октября 1931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250D1D" w14:textId="77777777" w:rsidR="00E6261B" w:rsidRPr="00507A31" w:rsidRDefault="00E6261B" w:rsidP="00507A31">
            <w:pPr>
              <w:jc w:val="both"/>
              <w:rPr>
                <w:color w:val="000000" w:themeColor="text1"/>
                <w:sz w:val="16"/>
                <w:szCs w:val="16"/>
              </w:rPr>
            </w:pPr>
            <w:r w:rsidRPr="00507A31">
              <w:rPr>
                <w:color w:val="000000" w:themeColor="text1"/>
                <w:sz w:val="16"/>
                <w:szCs w:val="16"/>
              </w:rPr>
              <w:t>17 тыс. тракторов к 1.Х.31 г. и 50 тыс. к 1.I.32 г.</w:t>
            </w:r>
          </w:p>
        </w:tc>
      </w:tr>
      <w:tr w:rsidR="00E371BA" w:rsidRPr="00507A31" w14:paraId="2513838A"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E75C8B" w14:textId="77777777" w:rsidR="00E6261B" w:rsidRPr="00507A31" w:rsidRDefault="00E6261B" w:rsidP="00507A31">
            <w:pPr>
              <w:jc w:val="both"/>
              <w:rPr>
                <w:color w:val="000000" w:themeColor="text1"/>
                <w:sz w:val="16"/>
                <w:szCs w:val="16"/>
              </w:rPr>
            </w:pPr>
            <w:r w:rsidRPr="00507A31">
              <w:rPr>
                <w:color w:val="000000" w:themeColor="text1"/>
                <w:sz w:val="16"/>
                <w:szCs w:val="16"/>
              </w:rPr>
              <w:t>г) Челябинский тракторный 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D61BE9" w14:textId="77777777" w:rsidR="00E6261B" w:rsidRPr="00507A31" w:rsidRDefault="00E6261B" w:rsidP="00507A31">
            <w:pPr>
              <w:jc w:val="both"/>
              <w:rPr>
                <w:color w:val="000000" w:themeColor="text1"/>
                <w:sz w:val="16"/>
                <w:szCs w:val="16"/>
              </w:rPr>
            </w:pPr>
            <w:r w:rsidRPr="00507A31">
              <w:rPr>
                <w:color w:val="000000" w:themeColor="text1"/>
                <w:sz w:val="16"/>
                <w:szCs w:val="16"/>
              </w:rPr>
              <w:t>1 мая 1932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F98433" w14:textId="77777777" w:rsidR="00E6261B" w:rsidRPr="00507A31" w:rsidRDefault="00E6261B" w:rsidP="00507A31">
            <w:pPr>
              <w:jc w:val="both"/>
              <w:rPr>
                <w:color w:val="000000" w:themeColor="text1"/>
                <w:sz w:val="16"/>
                <w:szCs w:val="16"/>
              </w:rPr>
            </w:pPr>
            <w:r w:rsidRPr="00507A31">
              <w:rPr>
                <w:color w:val="000000" w:themeColor="text1"/>
                <w:sz w:val="16"/>
                <w:szCs w:val="16"/>
              </w:rPr>
              <w:t>1 ноября 1932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51681A" w14:textId="77777777" w:rsidR="00E6261B" w:rsidRPr="00507A31" w:rsidRDefault="00E6261B" w:rsidP="00507A31">
            <w:pPr>
              <w:jc w:val="both"/>
              <w:rPr>
                <w:color w:val="000000" w:themeColor="text1"/>
                <w:sz w:val="16"/>
                <w:szCs w:val="16"/>
              </w:rPr>
            </w:pPr>
            <w:r w:rsidRPr="00507A31">
              <w:rPr>
                <w:color w:val="000000" w:themeColor="text1"/>
                <w:sz w:val="16"/>
                <w:szCs w:val="16"/>
              </w:rPr>
              <w:t>26 тыс. тракторов</w:t>
            </w:r>
          </w:p>
        </w:tc>
      </w:tr>
    </w:tbl>
    <w:p w14:paraId="78AA13A8" w14:textId="77777777" w:rsidR="00E6261B" w:rsidRPr="00507A31" w:rsidRDefault="00E6261B" w:rsidP="00507A31">
      <w:pPr>
        <w:jc w:val="both"/>
        <w:rPr>
          <w:color w:val="000000" w:themeColor="text1"/>
          <w:sz w:val="16"/>
          <w:szCs w:val="16"/>
        </w:rPr>
      </w:pPr>
      <w:r w:rsidRPr="00507A31">
        <w:rPr>
          <w:color w:val="000000" w:themeColor="text1"/>
          <w:sz w:val="16"/>
          <w:szCs w:val="16"/>
        </w:rPr>
        <w:t>2. Решение — особая папка.</w:t>
      </w:r>
    </w:p>
    <w:p w14:paraId="2FC0FBA9" w14:textId="77777777" w:rsidR="00E6261B" w:rsidRPr="00507A31" w:rsidRDefault="00E6261B" w:rsidP="00507A31">
      <w:pPr>
        <w:jc w:val="both"/>
        <w:rPr>
          <w:color w:val="000000" w:themeColor="text1"/>
          <w:sz w:val="16"/>
          <w:szCs w:val="16"/>
        </w:rPr>
      </w:pPr>
      <w:r w:rsidRPr="00507A31">
        <w:rPr>
          <w:color w:val="000000" w:themeColor="text1"/>
          <w:sz w:val="16"/>
          <w:szCs w:val="16"/>
        </w:rPr>
        <w:t>2. Признать необходимым, в целях соблюдения указанных сроков, доведения СТЗ до полной мощности и обеспечения текущего автотракторного производства, представить ВАТО следующий контингент по выдаче заказов на импортное оборудование и другие виды снабжения в переходном квартале 1930 г.</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462"/>
        <w:gridCol w:w="2290"/>
        <w:gridCol w:w="1930"/>
        <w:gridCol w:w="1962"/>
        <w:gridCol w:w="1678"/>
      </w:tblGrid>
      <w:tr w:rsidR="00E371BA" w:rsidRPr="00507A31" w14:paraId="40705D65"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833DF7" w14:textId="77777777" w:rsidR="00E6261B" w:rsidRPr="00507A31" w:rsidRDefault="00E6261B" w:rsidP="00507A31">
            <w:pPr>
              <w:jc w:val="both"/>
              <w:rPr>
                <w:color w:val="000000" w:themeColor="text1"/>
                <w:sz w:val="16"/>
                <w:szCs w:val="16"/>
              </w:rPr>
            </w:pPr>
            <w:r w:rsidRPr="00507A31">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ECEFB7" w14:textId="77777777" w:rsidR="00E6261B" w:rsidRPr="00507A31" w:rsidRDefault="00E6261B" w:rsidP="00507A31">
            <w:pPr>
              <w:jc w:val="both"/>
              <w:rPr>
                <w:color w:val="000000" w:themeColor="text1"/>
                <w:sz w:val="16"/>
                <w:szCs w:val="16"/>
              </w:rPr>
            </w:pPr>
            <w:r w:rsidRPr="00507A31">
              <w:rPr>
                <w:color w:val="000000" w:themeColor="text1"/>
                <w:sz w:val="16"/>
                <w:szCs w:val="16"/>
              </w:rPr>
              <w:t>Оборудование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B52828" w14:textId="77777777" w:rsidR="00E6261B" w:rsidRPr="00507A31" w:rsidRDefault="00E6261B" w:rsidP="00507A31">
            <w:pPr>
              <w:jc w:val="both"/>
              <w:rPr>
                <w:color w:val="000000" w:themeColor="text1"/>
                <w:sz w:val="16"/>
                <w:szCs w:val="16"/>
              </w:rPr>
            </w:pPr>
            <w:r w:rsidRPr="00507A31">
              <w:rPr>
                <w:color w:val="000000" w:themeColor="text1"/>
                <w:sz w:val="16"/>
                <w:szCs w:val="16"/>
              </w:rPr>
              <w:t>Инструмент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D256DB" w14:textId="77777777" w:rsidR="00E6261B" w:rsidRPr="00507A31" w:rsidRDefault="00E6261B" w:rsidP="00507A31">
            <w:pPr>
              <w:jc w:val="both"/>
              <w:rPr>
                <w:color w:val="000000" w:themeColor="text1"/>
                <w:sz w:val="16"/>
                <w:szCs w:val="16"/>
              </w:rPr>
            </w:pPr>
            <w:r w:rsidRPr="00507A31">
              <w:rPr>
                <w:color w:val="000000" w:themeColor="text1"/>
                <w:sz w:val="16"/>
                <w:szCs w:val="16"/>
              </w:rPr>
              <w:t>Агрегаты и</w:t>
            </w:r>
          </w:p>
          <w:p w14:paraId="1E5ADE9C" w14:textId="77777777" w:rsidR="00E6261B" w:rsidRPr="00507A31" w:rsidRDefault="00E6261B" w:rsidP="00507A31">
            <w:pPr>
              <w:jc w:val="both"/>
              <w:rPr>
                <w:color w:val="000000" w:themeColor="text1"/>
                <w:sz w:val="16"/>
                <w:szCs w:val="16"/>
              </w:rPr>
            </w:pPr>
            <w:r w:rsidRPr="00507A31">
              <w:rPr>
                <w:color w:val="000000" w:themeColor="text1"/>
                <w:sz w:val="16"/>
                <w:szCs w:val="16"/>
              </w:rPr>
              <w:t>техническое</w:t>
            </w:r>
          </w:p>
          <w:p w14:paraId="1F1AD25A" w14:textId="77777777" w:rsidR="00E6261B" w:rsidRPr="00507A31" w:rsidRDefault="00E6261B" w:rsidP="00507A31">
            <w:pPr>
              <w:jc w:val="both"/>
              <w:rPr>
                <w:color w:val="000000" w:themeColor="text1"/>
                <w:sz w:val="16"/>
                <w:szCs w:val="16"/>
              </w:rPr>
            </w:pPr>
            <w:r w:rsidRPr="00507A31">
              <w:rPr>
                <w:color w:val="000000" w:themeColor="text1"/>
                <w:sz w:val="16"/>
                <w:szCs w:val="16"/>
              </w:rPr>
              <w:lastRenderedPageBreak/>
              <w:t>снабжение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048BB4" w14:textId="77777777" w:rsidR="00E6261B" w:rsidRPr="00507A31" w:rsidRDefault="00E6261B" w:rsidP="00507A31">
            <w:pPr>
              <w:jc w:val="both"/>
              <w:rPr>
                <w:color w:val="000000" w:themeColor="text1"/>
                <w:sz w:val="16"/>
                <w:szCs w:val="16"/>
              </w:rPr>
            </w:pPr>
            <w:r w:rsidRPr="00507A31">
              <w:rPr>
                <w:color w:val="000000" w:themeColor="text1"/>
                <w:sz w:val="16"/>
                <w:szCs w:val="16"/>
              </w:rPr>
              <w:lastRenderedPageBreak/>
              <w:t>Всего</w:t>
            </w:r>
          </w:p>
        </w:tc>
      </w:tr>
      <w:tr w:rsidR="00E371BA" w:rsidRPr="00507A31" w14:paraId="1955D706"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BBBFD6" w14:textId="77777777" w:rsidR="00E6261B" w:rsidRPr="00507A31" w:rsidRDefault="00E6261B" w:rsidP="00507A31">
            <w:pPr>
              <w:jc w:val="both"/>
              <w:rPr>
                <w:color w:val="000000" w:themeColor="text1"/>
                <w:sz w:val="16"/>
                <w:szCs w:val="16"/>
              </w:rPr>
            </w:pPr>
            <w:r w:rsidRPr="00507A31">
              <w:rPr>
                <w:color w:val="000000" w:themeColor="text1"/>
                <w:sz w:val="16"/>
                <w:szCs w:val="16"/>
              </w:rPr>
              <w:t>С.Т.З.</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BB4DE9" w14:textId="77777777" w:rsidR="00E6261B" w:rsidRPr="00507A31" w:rsidRDefault="00E6261B" w:rsidP="00507A31">
            <w:pPr>
              <w:jc w:val="both"/>
              <w:rPr>
                <w:color w:val="000000" w:themeColor="text1"/>
                <w:sz w:val="16"/>
                <w:szCs w:val="16"/>
              </w:rPr>
            </w:pPr>
            <w:r w:rsidRPr="00507A31">
              <w:rPr>
                <w:color w:val="000000" w:themeColor="text1"/>
                <w:sz w:val="16"/>
                <w:szCs w:val="16"/>
              </w:rPr>
              <w:t>1.000.000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A89CF7" w14:textId="77777777" w:rsidR="00E6261B" w:rsidRPr="00507A31" w:rsidRDefault="00E6261B" w:rsidP="00507A31">
            <w:pPr>
              <w:jc w:val="both"/>
              <w:rPr>
                <w:color w:val="000000" w:themeColor="text1"/>
                <w:sz w:val="16"/>
                <w:szCs w:val="16"/>
              </w:rPr>
            </w:pPr>
            <w:r w:rsidRPr="00507A31">
              <w:rPr>
                <w:color w:val="000000" w:themeColor="text1"/>
                <w:sz w:val="16"/>
                <w:szCs w:val="16"/>
              </w:rPr>
              <w:t>900.000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9A87D9" w14:textId="77777777" w:rsidR="00E6261B" w:rsidRPr="00507A31" w:rsidRDefault="00E6261B" w:rsidP="00507A31">
            <w:pPr>
              <w:jc w:val="both"/>
              <w:rPr>
                <w:color w:val="000000" w:themeColor="text1"/>
                <w:sz w:val="16"/>
                <w:szCs w:val="16"/>
              </w:rPr>
            </w:pPr>
            <w:r w:rsidRPr="00507A31">
              <w:rPr>
                <w:color w:val="000000" w:themeColor="text1"/>
                <w:sz w:val="16"/>
                <w:szCs w:val="16"/>
              </w:rPr>
              <w:t>300.000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5A5AB0" w14:textId="77777777" w:rsidR="00E6261B" w:rsidRPr="00507A31" w:rsidRDefault="00E6261B" w:rsidP="00507A31">
            <w:pPr>
              <w:jc w:val="both"/>
              <w:rPr>
                <w:color w:val="000000" w:themeColor="text1"/>
                <w:sz w:val="16"/>
                <w:szCs w:val="16"/>
              </w:rPr>
            </w:pPr>
            <w:r w:rsidRPr="00507A31">
              <w:rPr>
                <w:color w:val="000000" w:themeColor="text1"/>
                <w:sz w:val="16"/>
                <w:szCs w:val="16"/>
              </w:rPr>
              <w:t>2.200.000</w:t>
            </w:r>
          </w:p>
        </w:tc>
      </w:tr>
      <w:tr w:rsidR="00E371BA" w:rsidRPr="00507A31" w14:paraId="59B7D3E5"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26C6CB" w14:textId="77777777" w:rsidR="00E6261B" w:rsidRPr="00507A31" w:rsidRDefault="00E6261B" w:rsidP="00507A31">
            <w:pPr>
              <w:jc w:val="both"/>
              <w:rPr>
                <w:color w:val="000000" w:themeColor="text1"/>
                <w:sz w:val="16"/>
                <w:szCs w:val="16"/>
              </w:rPr>
            </w:pPr>
            <w:r w:rsidRPr="00507A31">
              <w:rPr>
                <w:color w:val="000000" w:themeColor="text1"/>
                <w:sz w:val="16"/>
                <w:szCs w:val="16"/>
              </w:rPr>
              <w:t>АМО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3A50369" w14:textId="77777777" w:rsidR="00E6261B" w:rsidRPr="00507A31" w:rsidRDefault="00E6261B" w:rsidP="00507A31">
            <w:pPr>
              <w:jc w:val="both"/>
              <w:rPr>
                <w:color w:val="000000" w:themeColor="text1"/>
                <w:sz w:val="16"/>
                <w:szCs w:val="16"/>
              </w:rPr>
            </w:pPr>
            <w:r w:rsidRPr="00507A31">
              <w:rPr>
                <w:color w:val="000000" w:themeColor="text1"/>
                <w:sz w:val="16"/>
                <w:szCs w:val="16"/>
              </w:rPr>
              <w:t>4.900.000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808653" w14:textId="77777777" w:rsidR="00E6261B" w:rsidRPr="00507A31" w:rsidRDefault="00E6261B"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ADD3F4" w14:textId="77777777" w:rsidR="00E6261B" w:rsidRPr="00507A31" w:rsidRDefault="00E6261B" w:rsidP="00507A31">
            <w:pPr>
              <w:jc w:val="both"/>
              <w:rPr>
                <w:color w:val="000000" w:themeColor="text1"/>
                <w:sz w:val="16"/>
                <w:szCs w:val="16"/>
              </w:rPr>
            </w:pPr>
            <w:r w:rsidRPr="00507A31">
              <w:rPr>
                <w:color w:val="000000" w:themeColor="text1"/>
                <w:sz w:val="16"/>
                <w:szCs w:val="16"/>
              </w:rPr>
              <w:t>1.400.000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A8FB26" w14:textId="77777777" w:rsidR="00E6261B" w:rsidRPr="00507A31" w:rsidRDefault="00E6261B" w:rsidP="00507A31">
            <w:pPr>
              <w:jc w:val="both"/>
              <w:rPr>
                <w:color w:val="000000" w:themeColor="text1"/>
                <w:sz w:val="16"/>
                <w:szCs w:val="16"/>
              </w:rPr>
            </w:pPr>
            <w:r w:rsidRPr="00507A31">
              <w:rPr>
                <w:color w:val="000000" w:themeColor="text1"/>
                <w:sz w:val="16"/>
                <w:szCs w:val="16"/>
              </w:rPr>
              <w:t>6.300.000.</w:t>
            </w:r>
          </w:p>
        </w:tc>
      </w:tr>
      <w:tr w:rsidR="00E371BA" w:rsidRPr="00507A31" w14:paraId="370CE6D1"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48D207" w14:textId="77777777" w:rsidR="00E6261B" w:rsidRPr="00507A31" w:rsidRDefault="00E6261B" w:rsidP="00507A31">
            <w:pPr>
              <w:jc w:val="both"/>
              <w:rPr>
                <w:color w:val="000000" w:themeColor="text1"/>
                <w:sz w:val="16"/>
                <w:szCs w:val="16"/>
              </w:rPr>
            </w:pPr>
            <w:r w:rsidRPr="00507A31">
              <w:rPr>
                <w:color w:val="000000" w:themeColor="text1"/>
                <w:sz w:val="16"/>
                <w:szCs w:val="16"/>
              </w:rPr>
              <w:t>Нижегородский 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AE4E95" w14:textId="77777777" w:rsidR="00E6261B" w:rsidRPr="00507A31" w:rsidRDefault="00E6261B" w:rsidP="00507A31">
            <w:pPr>
              <w:jc w:val="both"/>
              <w:rPr>
                <w:color w:val="000000" w:themeColor="text1"/>
                <w:sz w:val="16"/>
                <w:szCs w:val="16"/>
              </w:rPr>
            </w:pPr>
            <w:r w:rsidRPr="00507A31">
              <w:rPr>
                <w:color w:val="000000" w:themeColor="text1"/>
                <w:sz w:val="16"/>
                <w:szCs w:val="16"/>
              </w:rPr>
              <w:t>9.000.000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095D4F" w14:textId="77777777" w:rsidR="00E6261B" w:rsidRPr="00507A31" w:rsidRDefault="00E6261B"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4D5580" w14:textId="77777777" w:rsidR="00E6261B" w:rsidRPr="00507A31" w:rsidRDefault="00E6261B"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D5D303" w14:textId="77777777" w:rsidR="00E6261B" w:rsidRPr="00507A31" w:rsidRDefault="00E6261B" w:rsidP="00507A31">
            <w:pPr>
              <w:jc w:val="both"/>
              <w:rPr>
                <w:color w:val="000000" w:themeColor="text1"/>
                <w:sz w:val="16"/>
                <w:szCs w:val="16"/>
              </w:rPr>
            </w:pPr>
            <w:r w:rsidRPr="00507A31">
              <w:rPr>
                <w:color w:val="000000" w:themeColor="text1"/>
                <w:sz w:val="16"/>
                <w:szCs w:val="16"/>
              </w:rPr>
              <w:t>9.000.000</w:t>
            </w:r>
          </w:p>
        </w:tc>
      </w:tr>
      <w:tr w:rsidR="00E371BA" w:rsidRPr="00507A31" w14:paraId="51BEDF75"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FFB9C5" w14:textId="77777777" w:rsidR="00E6261B" w:rsidRPr="00507A31" w:rsidRDefault="00E6261B" w:rsidP="00507A31">
            <w:pPr>
              <w:jc w:val="both"/>
              <w:rPr>
                <w:color w:val="000000" w:themeColor="text1"/>
                <w:sz w:val="16"/>
                <w:szCs w:val="16"/>
              </w:rPr>
            </w:pPr>
            <w:r w:rsidRPr="00507A31">
              <w:rPr>
                <w:color w:val="000000" w:themeColor="text1"/>
                <w:sz w:val="16"/>
                <w:szCs w:val="16"/>
              </w:rPr>
              <w:t>Х.Т.З.</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18665E0" w14:textId="77777777" w:rsidR="00E6261B" w:rsidRPr="00507A31" w:rsidRDefault="00E6261B" w:rsidP="00507A31">
            <w:pPr>
              <w:jc w:val="both"/>
              <w:rPr>
                <w:color w:val="000000" w:themeColor="text1"/>
                <w:sz w:val="16"/>
                <w:szCs w:val="16"/>
              </w:rPr>
            </w:pPr>
            <w:r w:rsidRPr="00507A31">
              <w:rPr>
                <w:color w:val="000000" w:themeColor="text1"/>
                <w:sz w:val="16"/>
                <w:szCs w:val="16"/>
              </w:rPr>
              <w:t>5.500.000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FF1BC3" w14:textId="77777777" w:rsidR="00E6261B" w:rsidRPr="00507A31" w:rsidRDefault="00E6261B"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D8FC6F" w14:textId="77777777" w:rsidR="00E6261B" w:rsidRPr="00507A31" w:rsidRDefault="00E6261B"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58D3B7" w14:textId="77777777" w:rsidR="00E6261B" w:rsidRPr="00507A31" w:rsidRDefault="00E6261B" w:rsidP="00507A31">
            <w:pPr>
              <w:jc w:val="both"/>
              <w:rPr>
                <w:color w:val="000000" w:themeColor="text1"/>
                <w:sz w:val="16"/>
                <w:szCs w:val="16"/>
              </w:rPr>
            </w:pPr>
            <w:r w:rsidRPr="00507A31">
              <w:rPr>
                <w:color w:val="000000" w:themeColor="text1"/>
                <w:sz w:val="16"/>
                <w:szCs w:val="16"/>
              </w:rPr>
              <w:t>5.500.000</w:t>
            </w:r>
          </w:p>
        </w:tc>
      </w:tr>
      <w:tr w:rsidR="00E371BA" w:rsidRPr="00507A31" w14:paraId="682C6291"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8F6C63" w14:textId="77777777" w:rsidR="00E6261B" w:rsidRPr="00507A31" w:rsidRDefault="00E6261B" w:rsidP="00507A31">
            <w:pPr>
              <w:jc w:val="both"/>
              <w:rPr>
                <w:color w:val="000000" w:themeColor="text1"/>
                <w:sz w:val="16"/>
                <w:szCs w:val="16"/>
              </w:rPr>
            </w:pPr>
            <w:r w:rsidRPr="00507A31">
              <w:rPr>
                <w:color w:val="000000" w:themeColor="text1"/>
                <w:sz w:val="16"/>
                <w:szCs w:val="16"/>
              </w:rPr>
              <w:t>Ярославский 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3DE67B" w14:textId="77777777" w:rsidR="00E6261B" w:rsidRPr="00507A31" w:rsidRDefault="00E6261B"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BFF8B1" w14:textId="77777777" w:rsidR="00E6261B" w:rsidRPr="00507A31" w:rsidRDefault="00E6261B"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B46974" w14:textId="77777777" w:rsidR="00E6261B" w:rsidRPr="00507A31" w:rsidRDefault="00E6261B" w:rsidP="00507A31">
            <w:pPr>
              <w:jc w:val="both"/>
              <w:rPr>
                <w:color w:val="000000" w:themeColor="text1"/>
                <w:sz w:val="16"/>
                <w:szCs w:val="16"/>
              </w:rPr>
            </w:pPr>
            <w:r w:rsidRPr="00507A31">
              <w:rPr>
                <w:color w:val="000000" w:themeColor="text1"/>
                <w:sz w:val="16"/>
                <w:szCs w:val="16"/>
              </w:rPr>
              <w:t>700.000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3E681A" w14:textId="77777777" w:rsidR="00E6261B" w:rsidRPr="00507A31" w:rsidRDefault="00E6261B" w:rsidP="00507A31">
            <w:pPr>
              <w:jc w:val="both"/>
              <w:rPr>
                <w:color w:val="000000" w:themeColor="text1"/>
                <w:sz w:val="16"/>
                <w:szCs w:val="16"/>
              </w:rPr>
            </w:pPr>
            <w:r w:rsidRPr="00507A31">
              <w:rPr>
                <w:color w:val="000000" w:themeColor="text1"/>
                <w:sz w:val="16"/>
                <w:szCs w:val="16"/>
              </w:rPr>
              <w:t>700.000</w:t>
            </w:r>
          </w:p>
        </w:tc>
      </w:tr>
      <w:tr w:rsidR="00E371BA" w:rsidRPr="00507A31" w14:paraId="654CC2B0"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CE4C91" w14:textId="77777777" w:rsidR="00E6261B" w:rsidRPr="00507A31" w:rsidRDefault="00E6261B" w:rsidP="00507A31">
            <w:pPr>
              <w:jc w:val="both"/>
              <w:rPr>
                <w:color w:val="000000" w:themeColor="text1"/>
                <w:sz w:val="16"/>
                <w:szCs w:val="16"/>
              </w:rPr>
            </w:pPr>
            <w:r w:rsidRPr="00507A31">
              <w:rPr>
                <w:color w:val="000000" w:themeColor="text1"/>
                <w:sz w:val="16"/>
                <w:szCs w:val="16"/>
              </w:rPr>
              <w:t>Ч. Т.З.</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5BFBC4" w14:textId="77777777" w:rsidR="00E6261B" w:rsidRPr="00507A31" w:rsidRDefault="00E6261B" w:rsidP="00507A31">
            <w:pPr>
              <w:jc w:val="both"/>
              <w:rPr>
                <w:color w:val="000000" w:themeColor="text1"/>
                <w:sz w:val="16"/>
                <w:szCs w:val="16"/>
              </w:rPr>
            </w:pPr>
            <w:r w:rsidRPr="00507A31">
              <w:rPr>
                <w:color w:val="000000" w:themeColor="text1"/>
                <w:sz w:val="16"/>
                <w:szCs w:val="16"/>
              </w:rPr>
              <w:t>600.000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D664AC" w14:textId="77777777" w:rsidR="00E6261B" w:rsidRPr="00507A31" w:rsidRDefault="00E6261B"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E0E57D" w14:textId="77777777" w:rsidR="00E6261B" w:rsidRPr="00507A31" w:rsidRDefault="00E6261B" w:rsidP="00507A31">
            <w:pPr>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D0BF6E" w14:textId="77777777" w:rsidR="00E6261B" w:rsidRPr="00507A31" w:rsidRDefault="00E6261B" w:rsidP="00507A31">
            <w:pPr>
              <w:jc w:val="both"/>
              <w:rPr>
                <w:color w:val="000000" w:themeColor="text1"/>
                <w:sz w:val="16"/>
                <w:szCs w:val="16"/>
              </w:rPr>
            </w:pPr>
            <w:r w:rsidRPr="00507A31">
              <w:rPr>
                <w:color w:val="000000" w:themeColor="text1"/>
                <w:sz w:val="16"/>
                <w:szCs w:val="16"/>
              </w:rPr>
              <w:t>600.000</w:t>
            </w:r>
          </w:p>
        </w:tc>
      </w:tr>
      <w:tr w:rsidR="00E371BA" w:rsidRPr="00507A31" w14:paraId="0411FB90"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D5D126" w14:textId="77777777" w:rsidR="00E6261B" w:rsidRPr="00507A31" w:rsidRDefault="00E6261B" w:rsidP="00507A31">
            <w:pPr>
              <w:jc w:val="both"/>
              <w:rPr>
                <w:color w:val="000000" w:themeColor="text1"/>
                <w:sz w:val="16"/>
                <w:szCs w:val="16"/>
              </w:rPr>
            </w:pPr>
            <w:r w:rsidRPr="00507A31">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C57845" w14:textId="77777777" w:rsidR="00E6261B" w:rsidRPr="00507A31" w:rsidRDefault="00E6261B" w:rsidP="00507A31">
            <w:pPr>
              <w:jc w:val="both"/>
              <w:rPr>
                <w:color w:val="000000" w:themeColor="text1"/>
                <w:sz w:val="16"/>
                <w:szCs w:val="16"/>
              </w:rPr>
            </w:pPr>
            <w:r w:rsidRPr="00507A31">
              <w:rPr>
                <w:color w:val="000000" w:themeColor="text1"/>
                <w:sz w:val="16"/>
                <w:szCs w:val="16"/>
              </w:rPr>
              <w:t>21.000.000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A3C442" w14:textId="77777777" w:rsidR="00E6261B" w:rsidRPr="00507A31" w:rsidRDefault="00E6261B" w:rsidP="00507A31">
            <w:pPr>
              <w:jc w:val="both"/>
              <w:rPr>
                <w:color w:val="000000" w:themeColor="text1"/>
                <w:sz w:val="16"/>
                <w:szCs w:val="16"/>
              </w:rPr>
            </w:pPr>
            <w:r w:rsidRPr="00507A31">
              <w:rPr>
                <w:color w:val="000000" w:themeColor="text1"/>
                <w:sz w:val="16"/>
                <w:szCs w:val="16"/>
              </w:rPr>
              <w:t>900.000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AD05F8" w14:textId="77777777" w:rsidR="00E6261B" w:rsidRPr="00507A31" w:rsidRDefault="00E6261B" w:rsidP="00507A31">
            <w:pPr>
              <w:jc w:val="both"/>
              <w:rPr>
                <w:color w:val="000000" w:themeColor="text1"/>
                <w:sz w:val="16"/>
                <w:szCs w:val="16"/>
              </w:rPr>
            </w:pPr>
            <w:r w:rsidRPr="00507A31">
              <w:rPr>
                <w:color w:val="000000" w:themeColor="text1"/>
                <w:sz w:val="16"/>
                <w:szCs w:val="16"/>
              </w:rPr>
              <w:t>2.400.000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CAEDD0" w14:textId="77777777" w:rsidR="00E6261B" w:rsidRPr="00507A31" w:rsidRDefault="00E6261B" w:rsidP="00507A31">
            <w:pPr>
              <w:jc w:val="both"/>
              <w:rPr>
                <w:color w:val="000000" w:themeColor="text1"/>
                <w:sz w:val="16"/>
                <w:szCs w:val="16"/>
              </w:rPr>
            </w:pPr>
            <w:r w:rsidRPr="00507A31">
              <w:rPr>
                <w:color w:val="000000" w:themeColor="text1"/>
                <w:sz w:val="16"/>
                <w:szCs w:val="16"/>
              </w:rPr>
              <w:t>24.300.000</w:t>
            </w:r>
          </w:p>
        </w:tc>
      </w:tr>
    </w:tbl>
    <w:p w14:paraId="40EC833A" w14:textId="77777777" w:rsidR="00E6261B" w:rsidRPr="00507A31" w:rsidRDefault="00E6261B" w:rsidP="00507A31">
      <w:pPr>
        <w:jc w:val="both"/>
        <w:rPr>
          <w:color w:val="000000" w:themeColor="text1"/>
          <w:sz w:val="16"/>
          <w:szCs w:val="16"/>
        </w:rPr>
      </w:pPr>
      <w:r w:rsidRPr="00507A31">
        <w:rPr>
          <w:color w:val="000000" w:themeColor="text1"/>
          <w:sz w:val="16"/>
          <w:szCs w:val="16"/>
        </w:rPr>
        <w:t>Предусмотреть, что из 24.300.000 руб. оборудование на 18.000.000 придется заказать в Америке.</w:t>
      </w:r>
    </w:p>
    <w:p w14:paraId="4C732B15" w14:textId="77777777" w:rsidR="00E6261B" w:rsidRPr="00507A31" w:rsidRDefault="00E6261B" w:rsidP="00507A31">
      <w:pPr>
        <w:jc w:val="both"/>
        <w:rPr>
          <w:color w:val="000000" w:themeColor="text1"/>
          <w:sz w:val="16"/>
          <w:szCs w:val="16"/>
        </w:rPr>
      </w:pPr>
      <w:r w:rsidRPr="00507A31">
        <w:rPr>
          <w:color w:val="000000" w:themeColor="text1"/>
          <w:sz w:val="16"/>
          <w:szCs w:val="16"/>
        </w:rPr>
        <w:t>Разрешить Автострою вести переговоры с фирмами о сумме заказов 13 млн. руб. с тем, чтобы выданные заказы составляли в особом квартале не более 9 млн. руб.</w:t>
      </w:r>
    </w:p>
    <w:p w14:paraId="7948AB81" w14:textId="77777777" w:rsidR="00E6261B" w:rsidRPr="00507A31" w:rsidRDefault="00E6261B" w:rsidP="00507A31">
      <w:pPr>
        <w:jc w:val="both"/>
        <w:rPr>
          <w:color w:val="000000" w:themeColor="text1"/>
          <w:sz w:val="16"/>
          <w:szCs w:val="16"/>
        </w:rPr>
      </w:pPr>
      <w:r w:rsidRPr="00507A31">
        <w:rPr>
          <w:color w:val="000000" w:themeColor="text1"/>
          <w:sz w:val="16"/>
          <w:szCs w:val="16"/>
        </w:rPr>
        <w:t>Считать, что отпуск для завода АМО 4.900.000 руб. ставит завод в такое положение, при котором он при односменной работе в заготовительных цехах и многосменной работе в механическо-сборочных цехах должен давать в год 25.000 машин.</w:t>
      </w:r>
    </w:p>
    <w:p w14:paraId="73E85CC3" w14:textId="77777777" w:rsidR="00E6261B" w:rsidRPr="00507A31" w:rsidRDefault="00E6261B" w:rsidP="00507A31">
      <w:pPr>
        <w:jc w:val="both"/>
        <w:rPr>
          <w:color w:val="000000" w:themeColor="text1"/>
          <w:sz w:val="16"/>
          <w:szCs w:val="16"/>
        </w:rPr>
      </w:pPr>
      <w:r w:rsidRPr="00507A31">
        <w:rPr>
          <w:color w:val="000000" w:themeColor="text1"/>
          <w:sz w:val="16"/>
          <w:szCs w:val="16"/>
        </w:rPr>
        <w:t>Создать комиссию в составе т.т. Осинского, Кагановича М., Дыбеца, Сорокина и Альперовича для окончательного подсчета стоимости импортного оборудования для Нижегородского завода. Созыв за т. Осинским. Срок работы — 5 дней.</w:t>
      </w:r>
    </w:p>
    <w:p w14:paraId="343B8A12" w14:textId="77777777" w:rsidR="00E6261B" w:rsidRPr="00507A31" w:rsidRDefault="00E6261B" w:rsidP="00507A31">
      <w:pPr>
        <w:jc w:val="both"/>
        <w:rPr>
          <w:color w:val="000000" w:themeColor="text1"/>
          <w:sz w:val="16"/>
          <w:szCs w:val="16"/>
        </w:rPr>
      </w:pPr>
      <w:r w:rsidRPr="00507A31">
        <w:rPr>
          <w:color w:val="000000" w:themeColor="text1"/>
          <w:sz w:val="16"/>
          <w:szCs w:val="16"/>
        </w:rPr>
        <w:t>3. Обязать ВСНХ и НКТорг полностью предусмотреть все необходимые заказы и ассигнования по ВАТО как в первом, так и в последующих кварталах 1931 года.</w:t>
      </w:r>
    </w:p>
    <w:p w14:paraId="6B2C974C" w14:textId="77777777" w:rsidR="00E6261B" w:rsidRPr="00507A31" w:rsidRDefault="00E6261B" w:rsidP="00507A31">
      <w:pPr>
        <w:jc w:val="both"/>
        <w:rPr>
          <w:color w:val="000000" w:themeColor="text1"/>
          <w:sz w:val="16"/>
          <w:szCs w:val="16"/>
        </w:rPr>
      </w:pPr>
      <w:r w:rsidRPr="00507A31">
        <w:rPr>
          <w:color w:val="000000" w:themeColor="text1"/>
          <w:sz w:val="16"/>
          <w:szCs w:val="16"/>
        </w:rPr>
        <w:t>4. Отметить, что для Челябинского тракторного завода в 3</w:t>
      </w:r>
      <w:r w:rsidRPr="00507A31">
        <w:rPr>
          <w:color w:val="000000" w:themeColor="text1"/>
          <w:sz w:val="16"/>
          <w:szCs w:val="16"/>
        </w:rPr>
        <w:noBreakHyphen/>
        <w:t>м квартале 1931 г. должна быть забронирована сумме в 6.000.000 руб., обеспечивающая размещение оборудования с длительными сроками изготовления. Кроме того в 4</w:t>
      </w:r>
      <w:r w:rsidRPr="00507A31">
        <w:rPr>
          <w:color w:val="000000" w:themeColor="text1"/>
          <w:sz w:val="16"/>
          <w:szCs w:val="16"/>
        </w:rPr>
        <w:noBreakHyphen/>
        <w:t>м квартале заказать оборудование еще на 6.000.000 руб. Остальное оборудование заказать в 1932 г. с тем, чтобы завод был обеспечен к пуску 1</w:t>
      </w:r>
      <w:r w:rsidRPr="00507A31">
        <w:rPr>
          <w:color w:val="000000" w:themeColor="text1"/>
          <w:sz w:val="16"/>
          <w:szCs w:val="16"/>
        </w:rPr>
        <w:noBreakHyphen/>
        <w:t>го ноября 1932 г.</w:t>
      </w:r>
    </w:p>
    <w:p w14:paraId="28B538BF" w14:textId="77777777" w:rsidR="00E6261B" w:rsidRPr="00507A31" w:rsidRDefault="00E6261B" w:rsidP="00507A31">
      <w:pPr>
        <w:jc w:val="both"/>
        <w:rPr>
          <w:color w:val="000000" w:themeColor="text1"/>
          <w:sz w:val="16"/>
          <w:szCs w:val="16"/>
        </w:rPr>
      </w:pPr>
      <w:r w:rsidRPr="00507A31">
        <w:rPr>
          <w:color w:val="000000" w:themeColor="text1"/>
          <w:sz w:val="16"/>
          <w:szCs w:val="16"/>
        </w:rPr>
        <w:t>5. Предоставить ВАТО открытую лицензию на закупку оборудования для Автостроя в пределах сумм, отпускаемых на переходный квартал и на 1</w:t>
      </w:r>
      <w:r w:rsidRPr="00507A31">
        <w:rPr>
          <w:color w:val="000000" w:themeColor="text1"/>
          <w:sz w:val="16"/>
          <w:szCs w:val="16"/>
        </w:rPr>
        <w:noBreakHyphen/>
        <w:t>й квартал 1931 года.</w:t>
      </w:r>
    </w:p>
    <w:p w14:paraId="4B4EADDC" w14:textId="77777777" w:rsidR="00E6261B" w:rsidRPr="00507A31" w:rsidRDefault="00E6261B" w:rsidP="00507A31">
      <w:pPr>
        <w:jc w:val="both"/>
        <w:rPr>
          <w:color w:val="000000" w:themeColor="text1"/>
          <w:sz w:val="16"/>
          <w:szCs w:val="16"/>
        </w:rPr>
      </w:pPr>
      <w:r w:rsidRPr="00507A31">
        <w:rPr>
          <w:color w:val="000000" w:themeColor="text1"/>
          <w:sz w:val="16"/>
          <w:szCs w:val="16"/>
        </w:rPr>
        <w:t>6. Решение — особая папка.</w:t>
      </w:r>
    </w:p>
    <w:p w14:paraId="2470ACC9" w14:textId="77777777" w:rsidR="00E6261B" w:rsidRPr="00507A31" w:rsidRDefault="00E6261B" w:rsidP="00507A31">
      <w:pPr>
        <w:jc w:val="both"/>
        <w:rPr>
          <w:color w:val="000000" w:themeColor="text1"/>
          <w:sz w:val="16"/>
          <w:szCs w:val="16"/>
        </w:rPr>
      </w:pPr>
      <w:r w:rsidRPr="00507A31">
        <w:rPr>
          <w:color w:val="000000" w:themeColor="text1"/>
          <w:sz w:val="16"/>
          <w:szCs w:val="16"/>
        </w:rPr>
        <w:t>6. Отмечая необходимость приобретения для СССР в 1930 г. дополнительной партии инструмента (кроме включенного выше в контингент переходного квартала), общей стоимостью в 1.000.000 руб. валютой, разрешить организацию в Москве консигнационных складов инструмента европейских и американских фирм, с выдачей безвалютной лицензии на 2.000.000 руб., но при условии, что инвалютные платежи по забору инструментов с этих складов будут не ранее 2</w:t>
      </w:r>
      <w:r w:rsidRPr="00507A31">
        <w:rPr>
          <w:color w:val="000000" w:themeColor="text1"/>
          <w:sz w:val="16"/>
          <w:szCs w:val="16"/>
        </w:rPr>
        <w:noBreakHyphen/>
        <w:t>го квартала 1931 г.</w:t>
      </w:r>
    </w:p>
    <w:p w14:paraId="11A16906" w14:textId="77777777" w:rsidR="00E6261B" w:rsidRPr="00507A31" w:rsidRDefault="00E6261B" w:rsidP="00507A31">
      <w:pPr>
        <w:jc w:val="both"/>
        <w:rPr>
          <w:color w:val="000000" w:themeColor="text1"/>
          <w:sz w:val="16"/>
          <w:szCs w:val="16"/>
        </w:rPr>
      </w:pPr>
      <w:r w:rsidRPr="00507A31">
        <w:rPr>
          <w:color w:val="000000" w:themeColor="text1"/>
          <w:sz w:val="16"/>
          <w:szCs w:val="16"/>
        </w:rPr>
        <w:t>7. Решение — особая папка.</w:t>
      </w:r>
    </w:p>
    <w:p w14:paraId="7846C206" w14:textId="77777777" w:rsidR="00E6261B" w:rsidRPr="00507A31" w:rsidRDefault="00E6261B" w:rsidP="00507A31">
      <w:pPr>
        <w:jc w:val="both"/>
        <w:rPr>
          <w:color w:val="000000" w:themeColor="text1"/>
          <w:sz w:val="16"/>
          <w:szCs w:val="16"/>
        </w:rPr>
      </w:pPr>
      <w:r w:rsidRPr="00507A31">
        <w:rPr>
          <w:color w:val="000000" w:themeColor="text1"/>
          <w:sz w:val="16"/>
          <w:szCs w:val="16"/>
        </w:rPr>
        <w:t>7. Предрешить необходимость заказа партии заграничного инструмента для ХТЗ во втором квартале 1931 г. общей суммой на 900.000 руб. с тем, чтобы к моменту пуска завода инструмент был доставлен.</w:t>
      </w:r>
    </w:p>
    <w:p w14:paraId="4D8E5EE2" w14:textId="77777777" w:rsidR="00E6261B" w:rsidRPr="00507A31" w:rsidRDefault="00E6261B" w:rsidP="00507A31">
      <w:pPr>
        <w:jc w:val="both"/>
        <w:rPr>
          <w:color w:val="000000" w:themeColor="text1"/>
          <w:sz w:val="16"/>
          <w:szCs w:val="16"/>
        </w:rPr>
      </w:pPr>
      <w:r w:rsidRPr="00507A31">
        <w:rPr>
          <w:color w:val="000000" w:themeColor="text1"/>
          <w:sz w:val="16"/>
          <w:szCs w:val="16"/>
        </w:rPr>
        <w:t>8. Решение — особая папка.</w:t>
      </w:r>
    </w:p>
    <w:p w14:paraId="69DAE3EF" w14:textId="77777777" w:rsidR="00E6261B" w:rsidRPr="00507A31" w:rsidRDefault="00E6261B" w:rsidP="00507A31">
      <w:pPr>
        <w:jc w:val="both"/>
        <w:rPr>
          <w:color w:val="000000" w:themeColor="text1"/>
          <w:sz w:val="16"/>
          <w:szCs w:val="16"/>
        </w:rPr>
      </w:pPr>
      <w:r w:rsidRPr="00507A31">
        <w:rPr>
          <w:color w:val="000000" w:themeColor="text1"/>
          <w:sz w:val="16"/>
          <w:szCs w:val="16"/>
        </w:rPr>
        <w:t>8. Предоставить ВАТО открытую лицензию в особом квартале на 100.000 руб. в пределах отпущенных ему средств и такую же лицензию предоставить ВАТО в первом квартале 1931 года.</w:t>
      </w:r>
    </w:p>
    <w:p w14:paraId="0D672DE1" w14:textId="77777777" w:rsidR="00E6261B" w:rsidRPr="00507A31" w:rsidRDefault="00E6261B" w:rsidP="00507A31">
      <w:pPr>
        <w:jc w:val="both"/>
        <w:rPr>
          <w:color w:val="000000" w:themeColor="text1"/>
          <w:sz w:val="16"/>
          <w:szCs w:val="16"/>
        </w:rPr>
      </w:pPr>
      <w:r w:rsidRPr="00507A31">
        <w:rPr>
          <w:color w:val="000000" w:themeColor="text1"/>
          <w:sz w:val="16"/>
          <w:szCs w:val="16"/>
        </w:rPr>
        <w:t>9. Обязать ВСНХ, в частности, Станкоинструмент, в течение 1931 г. обеспечить потребность в нормальных инструментах всех наших автомобильных и тракторных заводов, запретив выписку их из-за границы. Поручить ВСНХ разработать мероприятия по расширению наших станко-инструментальных заводов с тем, чтобы мы прекратили ввоз инструментов из-за границы, предоставляя инструментальным заводам импортное оборудование за счет тех расширенных инструментальных мастерских, которые строят заводы.</w:t>
      </w:r>
    </w:p>
    <w:p w14:paraId="4A57D359" w14:textId="77777777" w:rsidR="00E6261B" w:rsidRPr="00507A31" w:rsidRDefault="00E6261B" w:rsidP="00507A31">
      <w:pPr>
        <w:jc w:val="both"/>
        <w:rPr>
          <w:color w:val="000000" w:themeColor="text1"/>
          <w:sz w:val="16"/>
          <w:szCs w:val="16"/>
        </w:rPr>
      </w:pPr>
      <w:r w:rsidRPr="00507A31">
        <w:rPr>
          <w:color w:val="000000" w:themeColor="text1"/>
          <w:sz w:val="16"/>
          <w:szCs w:val="16"/>
        </w:rPr>
        <w:t>Обязать Станкоинструмент принять меры к организации в течение 1931 г. производства на его заводах специального инструмента (в частности, брошей). Президиуму ВСНХ в 2</w:t>
      </w:r>
      <w:r w:rsidRPr="00507A31">
        <w:rPr>
          <w:color w:val="000000" w:themeColor="text1"/>
          <w:sz w:val="16"/>
          <w:szCs w:val="16"/>
        </w:rPr>
        <w:noBreakHyphen/>
        <w:t>х декадный срок представить доклад о мерах, для этого принятых.</w:t>
      </w:r>
    </w:p>
    <w:p w14:paraId="2653E988" w14:textId="77777777" w:rsidR="00E6261B" w:rsidRPr="00507A31" w:rsidRDefault="00E6261B" w:rsidP="00507A31">
      <w:pPr>
        <w:jc w:val="both"/>
        <w:rPr>
          <w:color w:val="000000" w:themeColor="text1"/>
          <w:sz w:val="16"/>
          <w:szCs w:val="16"/>
        </w:rPr>
      </w:pPr>
      <w:r w:rsidRPr="00507A31">
        <w:rPr>
          <w:color w:val="000000" w:themeColor="text1"/>
          <w:sz w:val="16"/>
          <w:szCs w:val="16"/>
        </w:rPr>
        <w:t>10. Обязать президиум ВСНХ в 5</w:t>
      </w:r>
      <w:r w:rsidRPr="00507A31">
        <w:rPr>
          <w:color w:val="000000" w:themeColor="text1"/>
          <w:sz w:val="16"/>
          <w:szCs w:val="16"/>
        </w:rPr>
        <w:noBreakHyphen/>
        <w:t>ти дневный срок провести мобилизацию 12 опытных инженеров для СТЗ на постоянную работу, согласно спецификации потребных работников, представленной ВАТО. В декадный срок сформировать бригаду инженеров-мастеров и наладчиков “Оргаметалла” для посылки в Сталинград.</w:t>
      </w:r>
    </w:p>
    <w:p w14:paraId="7C32C4F8" w14:textId="77777777" w:rsidR="00E6261B" w:rsidRPr="00507A31" w:rsidRDefault="00E6261B" w:rsidP="00507A31">
      <w:pPr>
        <w:jc w:val="both"/>
        <w:rPr>
          <w:color w:val="000000" w:themeColor="text1"/>
          <w:sz w:val="16"/>
          <w:szCs w:val="16"/>
        </w:rPr>
      </w:pPr>
      <w:r w:rsidRPr="00507A31">
        <w:rPr>
          <w:color w:val="000000" w:themeColor="text1"/>
          <w:sz w:val="16"/>
          <w:szCs w:val="16"/>
        </w:rPr>
        <w:t>11. Обязать президиум ВСНХ укрепить инженерами Нижегородский Автострой, для чего в первую очередь командировать пятнадцать опытных работников в распоряжение т. Дыбеца в 2</w:t>
      </w:r>
      <w:r w:rsidRPr="00507A31">
        <w:rPr>
          <w:color w:val="000000" w:themeColor="text1"/>
          <w:sz w:val="16"/>
          <w:szCs w:val="16"/>
        </w:rPr>
        <w:noBreakHyphen/>
        <w:t>х декадный срок.</w:t>
      </w:r>
    </w:p>
    <w:p w14:paraId="42BB51A2" w14:textId="77777777" w:rsidR="00E6261B" w:rsidRPr="00507A31" w:rsidRDefault="00E6261B" w:rsidP="00507A31">
      <w:pPr>
        <w:jc w:val="both"/>
        <w:rPr>
          <w:color w:val="000000" w:themeColor="text1"/>
          <w:sz w:val="16"/>
          <w:szCs w:val="16"/>
        </w:rPr>
      </w:pPr>
      <w:r w:rsidRPr="00507A31">
        <w:rPr>
          <w:color w:val="000000" w:themeColor="text1"/>
          <w:sz w:val="16"/>
          <w:szCs w:val="16"/>
        </w:rPr>
        <w:t>Тов. Лобову проверить, сколько инженеров т. Дыбеца находится в настоящее время в Америке, и если они там больше не нужны, немедленно откомандировать их для работы на постройке.</w:t>
      </w:r>
    </w:p>
    <w:p w14:paraId="2737914A" w14:textId="77777777" w:rsidR="00E6261B" w:rsidRPr="00507A31" w:rsidRDefault="00E6261B" w:rsidP="00507A31">
      <w:pPr>
        <w:jc w:val="both"/>
        <w:rPr>
          <w:color w:val="000000" w:themeColor="text1"/>
          <w:sz w:val="16"/>
          <w:szCs w:val="16"/>
        </w:rPr>
      </w:pPr>
      <w:r w:rsidRPr="00507A31">
        <w:rPr>
          <w:color w:val="000000" w:themeColor="text1"/>
          <w:sz w:val="16"/>
          <w:szCs w:val="16"/>
        </w:rPr>
        <w:t>12. Разрешить ВАТО: а) приглашать из С. Ш. на временные консультации для СТЗ и АМО крупнейших специалистов по отдельным вопросам (литейщиков, кузнецов, термитников и пр.) и б) привлечь на службу в ВАТО 5</w:t>
      </w:r>
      <w:r w:rsidRPr="00507A31">
        <w:rPr>
          <w:color w:val="000000" w:themeColor="text1"/>
          <w:sz w:val="16"/>
          <w:szCs w:val="16"/>
        </w:rPr>
        <w:noBreakHyphen/>
        <w:t>6 крупных американских инженеров в качестве постоянных консультантов правления, руководителей проектирования новых заводов и наладчиков производства на пускаемых заводах.</w:t>
      </w:r>
    </w:p>
    <w:p w14:paraId="19CD8AC5" w14:textId="77777777" w:rsidR="00E6261B" w:rsidRPr="00507A31" w:rsidRDefault="00E6261B" w:rsidP="00507A31">
      <w:pPr>
        <w:jc w:val="both"/>
        <w:rPr>
          <w:color w:val="000000" w:themeColor="text1"/>
          <w:sz w:val="16"/>
          <w:szCs w:val="16"/>
        </w:rPr>
      </w:pPr>
      <w:r w:rsidRPr="00507A31">
        <w:rPr>
          <w:color w:val="000000" w:themeColor="text1"/>
          <w:sz w:val="16"/>
          <w:szCs w:val="16"/>
        </w:rPr>
        <w:t>13. Обязать ВСНХ (по объединению “Сталь”) принять меры к немедленному обеспечению СТЗ листовым металлам для холодного штампования и доложить в 5</w:t>
      </w:r>
      <w:r w:rsidRPr="00507A31">
        <w:rPr>
          <w:color w:val="000000" w:themeColor="text1"/>
          <w:sz w:val="16"/>
          <w:szCs w:val="16"/>
        </w:rPr>
        <w:noBreakHyphen/>
        <w:t>ти дневный срок, с каких заводов и в каком количестве этот металл может быть доставлен.</w:t>
      </w:r>
    </w:p>
    <w:p w14:paraId="7D515498" w14:textId="77777777" w:rsidR="00E6261B" w:rsidRPr="00507A31" w:rsidRDefault="00E6261B" w:rsidP="00507A31">
      <w:pPr>
        <w:jc w:val="both"/>
        <w:rPr>
          <w:color w:val="000000" w:themeColor="text1"/>
          <w:sz w:val="16"/>
          <w:szCs w:val="16"/>
        </w:rPr>
      </w:pPr>
      <w:r w:rsidRPr="00507A31">
        <w:rPr>
          <w:color w:val="000000" w:themeColor="text1"/>
          <w:sz w:val="16"/>
          <w:szCs w:val="16"/>
        </w:rPr>
        <w:t>14. Предложить ВСНХ по тому же Объединению в двухдекадный срок установить заводы, которые должны снабжать Нижегородский Автозавод и Харьковский тракторный завод в 1931 г.:</w:t>
      </w:r>
    </w:p>
    <w:p w14:paraId="342751CA" w14:textId="77777777" w:rsidR="00E6261B" w:rsidRPr="00507A31" w:rsidRDefault="00E6261B" w:rsidP="00507A31">
      <w:pPr>
        <w:jc w:val="both"/>
        <w:rPr>
          <w:color w:val="000000" w:themeColor="text1"/>
          <w:sz w:val="16"/>
          <w:szCs w:val="16"/>
        </w:rPr>
      </w:pPr>
      <w:r w:rsidRPr="00507A31">
        <w:rPr>
          <w:color w:val="000000" w:themeColor="text1"/>
          <w:sz w:val="16"/>
          <w:szCs w:val="16"/>
        </w:rPr>
        <w:t>а) сталью, б) чугуном для отливок. Обязать т. Дыбеца и Мышкова в течение последующей декады установить связь с заводами-поставщиками, договориться о технических условиях, о необходимых подготовительных работах, сроках начала поставки и проч.</w:t>
      </w:r>
    </w:p>
    <w:p w14:paraId="637994E9" w14:textId="77777777" w:rsidR="00E6261B" w:rsidRPr="00507A31" w:rsidRDefault="00E6261B" w:rsidP="00507A31">
      <w:pPr>
        <w:jc w:val="both"/>
        <w:rPr>
          <w:color w:val="000000" w:themeColor="text1"/>
          <w:sz w:val="16"/>
          <w:szCs w:val="16"/>
        </w:rPr>
      </w:pPr>
      <w:r w:rsidRPr="00507A31">
        <w:rPr>
          <w:color w:val="000000" w:themeColor="text1"/>
          <w:sz w:val="16"/>
          <w:szCs w:val="16"/>
        </w:rPr>
        <w:t>15. Обязать ВСНХ СССР (по тому же Объединению) ускорить постановку с иностранной техпомощью производства специального сплава для цементационных ящиков и роликов для печей, принимая во внимание значительные импортные заявки автотракторной промышленности на эти сплавы.</w:t>
      </w:r>
    </w:p>
    <w:p w14:paraId="4A52A960" w14:textId="77777777" w:rsidR="00E6261B" w:rsidRPr="00507A31" w:rsidRDefault="00E6261B" w:rsidP="00507A31">
      <w:pPr>
        <w:jc w:val="both"/>
        <w:rPr>
          <w:color w:val="000000" w:themeColor="text1"/>
          <w:sz w:val="16"/>
          <w:szCs w:val="16"/>
        </w:rPr>
      </w:pPr>
      <w:r w:rsidRPr="00507A31">
        <w:rPr>
          <w:color w:val="000000" w:themeColor="text1"/>
          <w:sz w:val="16"/>
          <w:szCs w:val="16"/>
        </w:rPr>
        <w:t>16. Обязать ВСНХ (по ВЭО) считать заказ на оборудование для производства электрооборудования автотракторной промышленности (магнето, динамо, стартеры и т. п.) первоочередным и подлежащим выдаче в переходном квартале 1930 г.; т. Жукова обязать пустить в ход производство автотракторного электрооборудования не позднее 1 октября 1931 г. Сумму заявки 1.638.550 руб. проверить т. Лобову.</w:t>
      </w:r>
    </w:p>
    <w:p w14:paraId="6038B5F1" w14:textId="77777777" w:rsidR="00E6261B" w:rsidRPr="00507A31" w:rsidRDefault="00E6261B" w:rsidP="00507A31">
      <w:pPr>
        <w:jc w:val="both"/>
        <w:rPr>
          <w:color w:val="000000" w:themeColor="text1"/>
          <w:sz w:val="16"/>
          <w:szCs w:val="16"/>
        </w:rPr>
      </w:pPr>
      <w:r w:rsidRPr="00507A31">
        <w:rPr>
          <w:color w:val="000000" w:themeColor="text1"/>
          <w:sz w:val="16"/>
          <w:szCs w:val="16"/>
        </w:rPr>
        <w:t>17. Признать необходимым забронировать на оборудование для карбюраторного завода 1.000.000 руб. в 1</w:t>
      </w:r>
      <w:r w:rsidRPr="00507A31">
        <w:rPr>
          <w:color w:val="000000" w:themeColor="text1"/>
          <w:sz w:val="16"/>
          <w:szCs w:val="16"/>
        </w:rPr>
        <w:noBreakHyphen/>
        <w:t>м квартале 1931 г.</w:t>
      </w:r>
    </w:p>
    <w:p w14:paraId="7AA8D83B" w14:textId="77777777" w:rsidR="00E6261B" w:rsidRPr="00507A31" w:rsidRDefault="00E6261B" w:rsidP="00507A31">
      <w:pPr>
        <w:jc w:val="both"/>
        <w:rPr>
          <w:color w:val="000000" w:themeColor="text1"/>
          <w:sz w:val="16"/>
          <w:szCs w:val="16"/>
        </w:rPr>
      </w:pPr>
      <w:r w:rsidRPr="00507A31">
        <w:rPr>
          <w:color w:val="000000" w:themeColor="text1"/>
          <w:sz w:val="16"/>
          <w:szCs w:val="16"/>
        </w:rPr>
        <w:t>18. Обязать ВСНХ в 2</w:t>
      </w:r>
      <w:r w:rsidRPr="00507A31">
        <w:rPr>
          <w:color w:val="000000" w:themeColor="text1"/>
          <w:sz w:val="16"/>
          <w:szCs w:val="16"/>
        </w:rPr>
        <w:noBreakHyphen/>
        <w:t>х декадный срок представить сводный доклад о состоянии производств долженствующих обслужить автотракторную промышленность (резина, стекло, краски, искусственная кожа и пр.), о необходимых капитальных затратах и о мерах к наибольшему использованию существующих мощностей и ресурсов по этой линии.</w:t>
      </w:r>
    </w:p>
    <w:p w14:paraId="3A7C4F0A" w14:textId="77777777" w:rsidR="00E6261B" w:rsidRPr="00507A31" w:rsidRDefault="00E6261B" w:rsidP="00507A31">
      <w:pPr>
        <w:jc w:val="both"/>
        <w:rPr>
          <w:color w:val="000000" w:themeColor="text1"/>
          <w:sz w:val="16"/>
          <w:szCs w:val="16"/>
        </w:rPr>
      </w:pPr>
      <w:r w:rsidRPr="00507A31">
        <w:rPr>
          <w:color w:val="000000" w:themeColor="text1"/>
          <w:sz w:val="16"/>
          <w:szCs w:val="16"/>
        </w:rPr>
        <w:t>19. Назначить т. Иванова В. К. членом правления ВАТО (для заведывания сектором строящихся предприятий), освободив его от должности директора СТЗ.</w:t>
      </w:r>
    </w:p>
    <w:p w14:paraId="4DF0F2FF" w14:textId="77777777" w:rsidR="00E6261B" w:rsidRPr="00507A31" w:rsidRDefault="00E6261B" w:rsidP="00507A31">
      <w:pPr>
        <w:jc w:val="both"/>
        <w:rPr>
          <w:color w:val="000000" w:themeColor="text1"/>
          <w:sz w:val="16"/>
          <w:szCs w:val="16"/>
        </w:rPr>
      </w:pPr>
      <w:r w:rsidRPr="00507A31">
        <w:rPr>
          <w:color w:val="000000" w:themeColor="text1"/>
          <w:sz w:val="16"/>
          <w:szCs w:val="16"/>
        </w:rPr>
        <w:t>20. Одобрить решение ВАТО о посылке в Сталинград на шесть месяцев в качестве временного директора зам.пред. правления ВАТО т. Мозголова с группой инженеров и общественных работников.</w:t>
      </w:r>
    </w:p>
    <w:p w14:paraId="2FA6FB9A" w14:textId="77777777" w:rsidR="00E6261B" w:rsidRPr="00507A31" w:rsidRDefault="00E6261B" w:rsidP="00507A31">
      <w:pPr>
        <w:jc w:val="both"/>
        <w:rPr>
          <w:color w:val="000000" w:themeColor="text1"/>
          <w:sz w:val="16"/>
          <w:szCs w:val="16"/>
        </w:rPr>
      </w:pPr>
      <w:r w:rsidRPr="00507A31">
        <w:rPr>
          <w:color w:val="000000" w:themeColor="text1"/>
          <w:sz w:val="16"/>
          <w:szCs w:val="16"/>
        </w:rPr>
        <w:t>21. В связи с большим количеством бригад и комиссий, прибывающих в СТЗ в напряженный момент пуска завода в ход, воспретить до 1 февраля 1931 г. посылку таковых в Сталинград, кроме технических комиссий, посылаемых по соглашению с ВАТО (18320).</w:t>
      </w:r>
    </w:p>
    <w:p w14:paraId="340F0A0E" w14:textId="77777777" w:rsidR="00E6261B" w:rsidRPr="00507A31" w:rsidRDefault="00E6261B" w:rsidP="00507A31">
      <w:pPr>
        <w:jc w:val="both"/>
        <w:rPr>
          <w:color w:val="000000" w:themeColor="text1"/>
          <w:sz w:val="16"/>
          <w:szCs w:val="16"/>
        </w:rPr>
      </w:pPr>
    </w:p>
    <w:p w14:paraId="40017D06" w14:textId="77777777" w:rsidR="00BF5D4A" w:rsidRPr="00507A31" w:rsidRDefault="00BF5D4A" w:rsidP="00507A31">
      <w:pPr>
        <w:jc w:val="both"/>
        <w:rPr>
          <w:color w:val="000000" w:themeColor="text1"/>
          <w:sz w:val="16"/>
          <w:szCs w:val="16"/>
        </w:rPr>
      </w:pPr>
      <w:r w:rsidRPr="00507A31">
        <w:rPr>
          <w:color w:val="000000" w:themeColor="text1"/>
          <w:sz w:val="16"/>
          <w:szCs w:val="16"/>
        </w:rPr>
        <w:t>5 ноября 1930 года на торжественном вечере, посвященном официальному пуску 2-го Государственного часового завода в Театре Имени Каляева, приветствуя рабочих, служащих и технический персонал нового завода, представитель треста Точмех подчеркивал, что страна ждет от них хорошей работы, полной загрузки оборудования, максимально возможного выпуска продукции, ликвидации брака, улучшения качества часов, желает быстрее покончить с болячками допускового периода (12237).</w:t>
      </w:r>
    </w:p>
    <w:p w14:paraId="14262307" w14:textId="77777777" w:rsidR="00BF5D4A" w:rsidRPr="00507A31" w:rsidRDefault="00BF5D4A" w:rsidP="00507A31">
      <w:pPr>
        <w:jc w:val="both"/>
        <w:rPr>
          <w:color w:val="000000" w:themeColor="text1"/>
          <w:sz w:val="16"/>
          <w:szCs w:val="16"/>
        </w:rPr>
      </w:pPr>
    </w:p>
    <w:p w14:paraId="161A80D6" w14:textId="77777777" w:rsidR="008E64BB"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1CD5B8D" w14:textId="77777777" w:rsidR="008E64BB" w:rsidRPr="00507A31" w:rsidRDefault="008E64BB" w:rsidP="00507A31">
      <w:pPr>
        <w:autoSpaceDE w:val="0"/>
        <w:autoSpaceDN w:val="0"/>
        <w:adjustRightInd w:val="0"/>
        <w:jc w:val="both"/>
        <w:rPr>
          <w:iCs/>
          <w:color w:val="000000" w:themeColor="text1"/>
          <w:sz w:val="16"/>
          <w:szCs w:val="16"/>
        </w:rPr>
      </w:pPr>
    </w:p>
    <w:p w14:paraId="0E3DE07B" w14:textId="77777777" w:rsidR="008E64BB" w:rsidRPr="00507A31" w:rsidRDefault="008E64BB" w:rsidP="00507A31">
      <w:pPr>
        <w:jc w:val="both"/>
        <w:rPr>
          <w:color w:val="000000" w:themeColor="text1"/>
          <w:sz w:val="16"/>
          <w:szCs w:val="16"/>
        </w:rPr>
      </w:pPr>
      <w:r w:rsidRPr="00507A31">
        <w:rPr>
          <w:bCs/>
          <w:color w:val="000000" w:themeColor="text1"/>
          <w:sz w:val="16"/>
          <w:szCs w:val="16"/>
        </w:rPr>
        <w:t>5 ноября</w:t>
      </w:r>
      <w:r w:rsidRPr="00507A31">
        <w:rPr>
          <w:color w:val="000000" w:themeColor="text1"/>
          <w:sz w:val="16"/>
          <w:szCs w:val="16"/>
        </w:rPr>
        <w:t xml:space="preserve"> в 1930 году Синклеру Льюису звонит корреспондент шведской газеты, чтобы сообщить, что он стал первым американцем — лауреатом Нобелевской премии по литературе. Писатель решает, что это розыгрыш, и начинает передразнивать акцент звонившего (14821).</w:t>
      </w:r>
    </w:p>
    <w:p w14:paraId="76D98142" w14:textId="77777777" w:rsidR="008E64BB" w:rsidRPr="00507A31" w:rsidRDefault="008E64BB" w:rsidP="00507A31">
      <w:pPr>
        <w:jc w:val="both"/>
        <w:rPr>
          <w:color w:val="000000" w:themeColor="text1"/>
          <w:sz w:val="16"/>
          <w:szCs w:val="16"/>
        </w:rPr>
      </w:pPr>
    </w:p>
    <w:p w14:paraId="1140B21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9FE0D86" w14:textId="77777777" w:rsidR="00537E5F" w:rsidRPr="00507A31" w:rsidRDefault="00537E5F" w:rsidP="00507A31">
      <w:pPr>
        <w:autoSpaceDE w:val="0"/>
        <w:autoSpaceDN w:val="0"/>
        <w:adjustRightInd w:val="0"/>
        <w:jc w:val="both"/>
        <w:rPr>
          <w:iCs/>
          <w:color w:val="000000" w:themeColor="text1"/>
          <w:sz w:val="16"/>
          <w:szCs w:val="16"/>
        </w:rPr>
      </w:pPr>
    </w:p>
    <w:p w14:paraId="2259CBB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 ноября 1930 года состоялся полет И8 с обтекателем, закрывающим только спицы (6925).</w:t>
      </w:r>
    </w:p>
    <w:p w14:paraId="69E8CCA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300CE3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0F48EEA" w14:textId="77777777" w:rsidR="00537E5F" w:rsidRPr="00507A31" w:rsidRDefault="00537E5F" w:rsidP="00507A31">
      <w:pPr>
        <w:autoSpaceDE w:val="0"/>
        <w:autoSpaceDN w:val="0"/>
        <w:adjustRightInd w:val="0"/>
        <w:jc w:val="both"/>
        <w:rPr>
          <w:iCs/>
          <w:color w:val="000000" w:themeColor="text1"/>
          <w:sz w:val="16"/>
          <w:szCs w:val="16"/>
        </w:rPr>
      </w:pPr>
    </w:p>
    <w:p w14:paraId="711B8C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 ноября 1930 года, когда состоялся запуск главного конвейера Московского автосборочного завода производительностью 24 тысячи автомобилей в год, на порядок превышающей производительность всех автозаводов, существовавших в стране до того времени. Завод приступил к сборке из автокомплектов, поставляемых американской фирмой Форд, автомобилей модели Форд-А (четырехместный легковой автомобиль) и Форд-АА (грузовик грузоподъемностью 1,5 т). Это событие </w:t>
      </w:r>
      <w:r w:rsidRPr="00507A31">
        <w:rPr>
          <w:color w:val="000000" w:themeColor="text1"/>
          <w:sz w:val="16"/>
          <w:szCs w:val="16"/>
        </w:rPr>
        <w:lastRenderedPageBreak/>
        <w:t>может считаться датой начала массовой автомобилизации СССР, поскольку явилось началом серийного производства в стране автомобилей, которые вскоре (после освоения их массового производства в начале 1932-го года на новом автозаводе в Нижнем Новгороде) составили основу автомобильного парка страны (10766).</w:t>
      </w:r>
    </w:p>
    <w:p w14:paraId="48F9A1AF" w14:textId="77777777" w:rsidR="00537E5F" w:rsidRPr="00507A31" w:rsidRDefault="00537E5F" w:rsidP="00507A31">
      <w:pPr>
        <w:autoSpaceDE w:val="0"/>
        <w:autoSpaceDN w:val="0"/>
        <w:adjustRightInd w:val="0"/>
        <w:jc w:val="both"/>
        <w:rPr>
          <w:color w:val="000000" w:themeColor="text1"/>
          <w:sz w:val="16"/>
          <w:szCs w:val="16"/>
        </w:rPr>
      </w:pPr>
    </w:p>
    <w:p w14:paraId="2BBC84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ноября 1930 будущий АЗЛК вступил в число действующих. Его производственный цикл, помимо собственно сборки автомобиля, включал клепку рам, сборку кузовов, их окраску и обойку. 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7A3C985A" w14:textId="77777777" w:rsidR="00537E5F" w:rsidRPr="00507A31" w:rsidRDefault="00537E5F" w:rsidP="00507A31">
      <w:pPr>
        <w:autoSpaceDE w:val="0"/>
        <w:autoSpaceDN w:val="0"/>
        <w:adjustRightInd w:val="0"/>
        <w:jc w:val="both"/>
        <w:rPr>
          <w:color w:val="000000" w:themeColor="text1"/>
          <w:sz w:val="16"/>
          <w:szCs w:val="16"/>
        </w:rPr>
      </w:pPr>
    </w:p>
    <w:p w14:paraId="01ADAB29" w14:textId="77777777" w:rsidR="008E64BB" w:rsidRPr="00507A31" w:rsidRDefault="008E64BB" w:rsidP="00507A31">
      <w:pPr>
        <w:jc w:val="both"/>
        <w:rPr>
          <w:color w:val="000000" w:themeColor="text1"/>
          <w:sz w:val="16"/>
          <w:szCs w:val="16"/>
        </w:rPr>
      </w:pPr>
      <w:r w:rsidRPr="00507A31">
        <w:rPr>
          <w:bCs/>
          <w:color w:val="000000" w:themeColor="text1"/>
          <w:sz w:val="16"/>
          <w:szCs w:val="16"/>
        </w:rPr>
        <w:t>6 ноября</w:t>
      </w:r>
      <w:r w:rsidRPr="00507A31">
        <w:rPr>
          <w:color w:val="000000" w:themeColor="text1"/>
          <w:sz w:val="16"/>
          <w:szCs w:val="16"/>
        </w:rPr>
        <w:t xml:space="preserve"> в 1930 году вступил в строй Московский автосборочный завод имени КИМ (впоследствии АЗЛК, ОАО «Москвич»). Московский автосборочный завод вступил в строй 6 ноября 1930 года. Годом раньше компания Ford Motor подписала соглашение о создании в Нижнем Новгороде автомобильного завода и строительстве нескольких автосборочных предприятий, в том числе и в Москве. Сначала здесь собирали из американских деталей легковые автомобили Ford-AA, а через два года после постройки нижегородского завода перешли на сборку автомобилей «ГАЗ-А» и «ГАЗ-АА» из отечественных комплектующих. 15 января 1939 года автосборочный завод имени КИМ ( Коммунистического Интернационала Молодежи ) был переименован в «Московский автомобильный завод имени КИМ», на котором в 1941 году начался выпуск малолитражного автомобиля «КИМ-10». До начала Великой Отечественной войны было изготовлено около 500 автомобилей «КИМ-10-50». В 1945 году советское правительство приняло постановление о крупносерийном производстве легкового автомобиля, а завод переименовали в МЗМА - Московский завод малолитражных автомобилей. Его первым серийным изделием стал «Москвич-400» (в его основе - популярный немецкий Opel Kadett выпуска 1938 года). Этот легковой автомобиль появился на улицах столицы в 1947 году. В Москве первым индивидуальным владельцам стали выдавать номерные знаки серии МИ, которые шутливо расшифровывали как «могу искалечить». И одной этой серии хватило всем желающим на семь лет. Только в первой половине 1950-х годов люди поняли, что такое свой автомобиль, и образовался немыслимый дефицит на автомобили, сохранившийся до 1980-х годов. Претерпев ряд модернизаций, «Москвич-400» ушел в апреле 1956 года на покой, уступив место совершенно новой конструкции - модели «Москвич-402». В 1958 году начат выпуск автомобиля «Москвич-407», в мае 1967 года с главного конвейера завода сошел миллионный автомобиль «Москвич-408», а в октябре того же года выпущена первая партия автомобилей «Москвич 412». В октябре 1968 года в связи с 50-летим ВЛКСМ МЗМА переименован в Автомобильный завод имени Ленинского комсомола (АЗЛК). В сентябре 1986 года с конвейера завода сошел четырехмиллионный автомобиль «Москвич». В 1988 году закончено производство автомобилей «Москвич-2140», в 1989 году развернута работа по подготовке производства пикапа на базе модели 2141 и прицепа, в 1992 году освоен выпуск грузового автомобиля «Москвич-2335-пикап». В 1994 году совместно с Киевским авторемонтным заводом организован выпуск многоцелевой модели «Москвич-2901». С середины 1990-х в связи с акционированием АЗЛК стал ОАО «Москвич». Первая за всю историю завода остановка главного конвейера случилась лишь в 1992 году. В 2001 году «Москвич» выпустил 800 автомобилей. В 2002 году конвейеры завода остановились. С тех пор АЗЛК производит только некоторые запчасти для «Москвичей». В январе 2004 года на предприятии введено внешнее управление. В 2005 году на территории бывшего АЗЛК открылся франко-российский завод по производству легковых автомобилей «Автофрамос». В июле этого года французская малолитражка российского производства поступила в продажу в Российской Федерации. Предполагается, что в 2006 году с конвейера нового завода, в создание которого «Рено» вложил более 230 миллионов евро, должно сойти 60 тысяч автомобилей. Часть заводского имущества ОАО «Москвич» уже выставлена на торги. Вырученные деньги направят на погашение долгов по зарплате и кредиторам (195 миллионов рублей). Оставшееся в распоряжении завода имущество будет оценено и распределено между двумя дочерними предприятиями: первое получит производственные мощности, на базе которых будет создано предприятие по выпуску запчастей, второе - инфраструктурные и сервисные активы (14822).</w:t>
      </w:r>
    </w:p>
    <w:p w14:paraId="7E8BFE1C" w14:textId="77777777" w:rsidR="008E64BB" w:rsidRPr="00507A31" w:rsidRDefault="008E64BB" w:rsidP="00507A31">
      <w:pPr>
        <w:jc w:val="both"/>
        <w:rPr>
          <w:color w:val="000000" w:themeColor="text1"/>
          <w:sz w:val="16"/>
          <w:szCs w:val="16"/>
        </w:rPr>
      </w:pPr>
    </w:p>
    <w:p w14:paraId="5BA07D8C" w14:textId="77777777" w:rsidR="00AA33CA" w:rsidRPr="00507A31" w:rsidRDefault="00AA33CA"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6FD3AB4" w14:textId="77777777" w:rsidR="00AA33CA" w:rsidRPr="00507A31" w:rsidRDefault="00AA33CA" w:rsidP="00507A31">
      <w:pPr>
        <w:autoSpaceDE w:val="0"/>
        <w:autoSpaceDN w:val="0"/>
        <w:adjustRightInd w:val="0"/>
        <w:jc w:val="both"/>
        <w:rPr>
          <w:color w:val="000000" w:themeColor="text1"/>
          <w:sz w:val="16"/>
          <w:szCs w:val="16"/>
        </w:rPr>
      </w:pPr>
    </w:p>
    <w:p w14:paraId="2BC1D2E0" w14:textId="77777777" w:rsidR="00AA33CA" w:rsidRPr="00507A31" w:rsidRDefault="00AA33CA" w:rsidP="00507A31">
      <w:pPr>
        <w:jc w:val="both"/>
        <w:rPr>
          <w:color w:val="000000" w:themeColor="text1"/>
          <w:sz w:val="16"/>
          <w:szCs w:val="16"/>
        </w:rPr>
      </w:pPr>
      <w:r w:rsidRPr="00507A31">
        <w:rPr>
          <w:color w:val="000000" w:themeColor="text1"/>
          <w:sz w:val="16"/>
          <w:szCs w:val="16"/>
        </w:rPr>
        <w:t>6 ноября 1930 г.</w:t>
      </w:r>
    </w:p>
    <w:p w14:paraId="45C399CA" w14:textId="77777777" w:rsidR="00AA33CA" w:rsidRPr="00507A31" w:rsidRDefault="00AA33CA" w:rsidP="00507A31">
      <w:pPr>
        <w:jc w:val="both"/>
        <w:rPr>
          <w:color w:val="000000" w:themeColor="text1"/>
          <w:sz w:val="16"/>
          <w:szCs w:val="16"/>
        </w:rPr>
      </w:pPr>
      <w:r w:rsidRPr="00507A31">
        <w:rPr>
          <w:color w:val="000000" w:themeColor="text1"/>
          <w:sz w:val="16"/>
          <w:szCs w:val="16"/>
        </w:rPr>
        <w:t>Записка В. Р. Менжинского и Я. С. Агранова И. В. Сталину в связи с отправкой протоколов допросов «по делу “Промпартии”». 6 ноября 1930 г.</w:t>
      </w:r>
    </w:p>
    <w:p w14:paraId="7BEFBFFB" w14:textId="77777777" w:rsidR="00AA33CA" w:rsidRPr="00507A31" w:rsidRDefault="00AA33CA" w:rsidP="00507A31">
      <w:pPr>
        <w:jc w:val="both"/>
        <w:rPr>
          <w:color w:val="000000" w:themeColor="text1"/>
          <w:sz w:val="16"/>
          <w:szCs w:val="16"/>
        </w:rPr>
      </w:pPr>
      <w:r w:rsidRPr="00507A31">
        <w:rPr>
          <w:color w:val="000000" w:themeColor="text1"/>
          <w:sz w:val="16"/>
          <w:szCs w:val="16"/>
        </w:rPr>
        <w:t>Источник: </w:t>
      </w:r>
    </w:p>
    <w:p w14:paraId="37A50C13" w14:textId="77777777" w:rsidR="00AA33CA" w:rsidRPr="00507A31" w:rsidRDefault="00AA33C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CD1389" w14:textId="77777777" w:rsidR="00AA33CA" w:rsidRPr="00507A31" w:rsidRDefault="00AA33CA" w:rsidP="00507A31">
      <w:pPr>
        <w:jc w:val="both"/>
        <w:rPr>
          <w:color w:val="000000" w:themeColor="text1"/>
          <w:sz w:val="16"/>
          <w:szCs w:val="16"/>
        </w:rPr>
      </w:pPr>
      <w:r w:rsidRPr="00507A31">
        <w:rPr>
          <w:color w:val="000000" w:themeColor="text1"/>
          <w:sz w:val="16"/>
          <w:szCs w:val="16"/>
        </w:rPr>
        <w:t>6 ноября 1930 г.</w:t>
      </w:r>
    </w:p>
    <w:p w14:paraId="4373586B" w14:textId="77777777" w:rsidR="00AA33CA" w:rsidRPr="00507A31" w:rsidRDefault="00AA33CA" w:rsidP="00507A31">
      <w:pPr>
        <w:jc w:val="both"/>
        <w:rPr>
          <w:color w:val="000000" w:themeColor="text1"/>
          <w:sz w:val="16"/>
          <w:szCs w:val="16"/>
        </w:rPr>
      </w:pPr>
      <w:r w:rsidRPr="00507A31">
        <w:rPr>
          <w:color w:val="000000" w:themeColor="text1"/>
          <w:sz w:val="16"/>
          <w:szCs w:val="16"/>
        </w:rPr>
        <w:t>Сов[ершенно]/секретно.</w:t>
      </w:r>
    </w:p>
    <w:p w14:paraId="3B13DF0E" w14:textId="77777777" w:rsidR="00AA33CA" w:rsidRPr="00507A31" w:rsidRDefault="00AA33CA" w:rsidP="00507A31">
      <w:pPr>
        <w:jc w:val="both"/>
        <w:rPr>
          <w:color w:val="000000" w:themeColor="text1"/>
          <w:sz w:val="16"/>
          <w:szCs w:val="16"/>
        </w:rPr>
      </w:pPr>
      <w:r w:rsidRPr="00507A31">
        <w:rPr>
          <w:color w:val="000000" w:themeColor="text1"/>
          <w:sz w:val="16"/>
          <w:szCs w:val="16"/>
        </w:rPr>
        <w:t>СЕКРЕТАРЮ ПК ВКП(б) — тов. СТАЛИНУ.</w:t>
      </w:r>
    </w:p>
    <w:p w14:paraId="0461024B" w14:textId="77777777" w:rsidR="00AA33CA" w:rsidRPr="00507A31" w:rsidRDefault="00AA33CA" w:rsidP="00507A31">
      <w:pPr>
        <w:jc w:val="both"/>
        <w:rPr>
          <w:color w:val="000000" w:themeColor="text1"/>
          <w:sz w:val="16"/>
          <w:szCs w:val="16"/>
        </w:rPr>
      </w:pPr>
      <w:r w:rsidRPr="00507A31">
        <w:rPr>
          <w:color w:val="000000" w:themeColor="text1"/>
          <w:sz w:val="16"/>
          <w:szCs w:val="16"/>
        </w:rPr>
        <w:t>При сем препровождаются следующие документы:</w:t>
      </w:r>
    </w:p>
    <w:p w14:paraId="18A1A16F" w14:textId="77777777" w:rsidR="00AA33CA" w:rsidRPr="00507A31" w:rsidRDefault="00AA33CA" w:rsidP="00507A31">
      <w:pPr>
        <w:jc w:val="both"/>
        <w:rPr>
          <w:color w:val="000000" w:themeColor="text1"/>
          <w:sz w:val="16"/>
          <w:szCs w:val="16"/>
        </w:rPr>
      </w:pPr>
      <w:r w:rsidRPr="00507A31">
        <w:rPr>
          <w:color w:val="000000" w:themeColor="text1"/>
          <w:sz w:val="16"/>
          <w:szCs w:val="16"/>
        </w:rPr>
        <w:t>1) Протоколы допросов РАМЗИНА, ЧАРНОВСКОГО, ЛАРИЧЕВА и КАЛИННИКОВА по делу «Промышленной партии» (о подготовке интервенции и о заседаниях ЦК Промпартии);</w:t>
      </w:r>
    </w:p>
    <w:p w14:paraId="0BBADCEB" w14:textId="77777777" w:rsidR="00AA33CA" w:rsidRPr="00507A31" w:rsidRDefault="00AA33CA" w:rsidP="00507A31">
      <w:pPr>
        <w:jc w:val="both"/>
        <w:rPr>
          <w:color w:val="000000" w:themeColor="text1"/>
          <w:sz w:val="16"/>
          <w:szCs w:val="16"/>
        </w:rPr>
      </w:pPr>
      <w:r w:rsidRPr="00507A31">
        <w:rPr>
          <w:color w:val="000000" w:themeColor="text1"/>
          <w:sz w:val="16"/>
          <w:szCs w:val="16"/>
        </w:rPr>
        <w:t>2) Протокол допроса профессора ОСАДЧЕГО Петра Семеновича.</w:t>
      </w:r>
    </w:p>
    <w:p w14:paraId="1AB9E2B0" w14:textId="77777777" w:rsidR="00AA33CA" w:rsidRPr="00507A31" w:rsidRDefault="00AA33CA" w:rsidP="00507A31">
      <w:pPr>
        <w:jc w:val="both"/>
        <w:rPr>
          <w:color w:val="000000" w:themeColor="text1"/>
          <w:sz w:val="16"/>
          <w:szCs w:val="16"/>
        </w:rPr>
      </w:pPr>
      <w:r w:rsidRPr="00507A31">
        <w:rPr>
          <w:color w:val="000000" w:themeColor="text1"/>
          <w:sz w:val="16"/>
          <w:szCs w:val="16"/>
        </w:rPr>
        <w:t>Приложение: Упомянутое.</w:t>
      </w:r>
    </w:p>
    <w:p w14:paraId="683A4011" w14:textId="77777777" w:rsidR="00AA33CA" w:rsidRPr="00507A31" w:rsidRDefault="00AA33CA" w:rsidP="00507A31">
      <w:pPr>
        <w:jc w:val="both"/>
        <w:rPr>
          <w:color w:val="000000" w:themeColor="text1"/>
          <w:sz w:val="16"/>
          <w:szCs w:val="16"/>
        </w:rPr>
      </w:pPr>
      <w:r w:rsidRPr="00507A31">
        <w:rPr>
          <w:color w:val="000000" w:themeColor="text1"/>
          <w:sz w:val="16"/>
          <w:szCs w:val="16"/>
        </w:rPr>
        <w:t>ПРЕДСЕДАТЕЛЬ ОГПУ В. Менжинский</w:t>
      </w:r>
    </w:p>
    <w:p w14:paraId="1DB8CCFB" w14:textId="77777777" w:rsidR="00AA33CA" w:rsidRPr="00507A31" w:rsidRDefault="00AA33CA" w:rsidP="00507A31">
      <w:pPr>
        <w:jc w:val="both"/>
        <w:rPr>
          <w:color w:val="000000" w:themeColor="text1"/>
          <w:sz w:val="16"/>
          <w:szCs w:val="16"/>
        </w:rPr>
      </w:pPr>
      <w:r w:rsidRPr="00507A31">
        <w:rPr>
          <w:color w:val="000000" w:themeColor="text1"/>
          <w:sz w:val="16"/>
          <w:szCs w:val="16"/>
        </w:rPr>
        <w:t>ПОМ. НАЧ. СОУ ОГПУ Я. Агранов</w:t>
      </w:r>
    </w:p>
    <w:p w14:paraId="559C75E0" w14:textId="77777777" w:rsidR="00AA33CA" w:rsidRPr="00507A31" w:rsidRDefault="00AA33CA" w:rsidP="00507A31">
      <w:pPr>
        <w:jc w:val="both"/>
        <w:rPr>
          <w:color w:val="000000" w:themeColor="text1"/>
          <w:sz w:val="16"/>
          <w:szCs w:val="16"/>
        </w:rPr>
      </w:pPr>
      <w:r w:rsidRPr="00507A31">
        <w:rPr>
          <w:color w:val="000000" w:themeColor="text1"/>
          <w:sz w:val="16"/>
          <w:szCs w:val="16"/>
        </w:rPr>
        <w:t>Д. 355. Л. 86. Машинописный подлинник на бланке ОГПУ, подписи-автографы, В угловом штампе бланка — дата (машинописью, число от Руки) и номер документа (от руки). Вверху справа — гриф секретности (машинописью). Пункт 2 «Осадчий Петр Семенович» подчеркнут, рядом на полях слева рукописная помета «Послано т. Сталину 6.XI вечером» (подпись-росчерк, неразборчиво) (18520).</w:t>
      </w:r>
    </w:p>
    <w:p w14:paraId="6E62F128" w14:textId="77777777" w:rsidR="00AA33CA" w:rsidRPr="00507A31" w:rsidRDefault="00AA33CA" w:rsidP="00507A31">
      <w:pPr>
        <w:jc w:val="both"/>
        <w:rPr>
          <w:color w:val="000000" w:themeColor="text1"/>
          <w:sz w:val="16"/>
          <w:szCs w:val="16"/>
        </w:rPr>
      </w:pPr>
    </w:p>
    <w:p w14:paraId="64CA831D" w14:textId="77777777" w:rsidR="00AA33CA" w:rsidRPr="00507A31" w:rsidRDefault="00AA33CA" w:rsidP="00507A31">
      <w:pPr>
        <w:jc w:val="both"/>
        <w:rPr>
          <w:color w:val="000000" w:themeColor="text1"/>
          <w:sz w:val="16"/>
          <w:szCs w:val="16"/>
        </w:rPr>
      </w:pPr>
      <w:r w:rsidRPr="00507A31">
        <w:rPr>
          <w:color w:val="000000" w:themeColor="text1"/>
          <w:sz w:val="16"/>
          <w:szCs w:val="16"/>
        </w:rPr>
        <w:t>6 ноября 1930. Состоялось торжественное открытие движения электропоезда от Москвы до станции Правда (бывшая Братовщина), где шло строительство подмосковной здравницы "Зеленый город" (18725).</w:t>
      </w:r>
    </w:p>
    <w:p w14:paraId="4814EBD7" w14:textId="77777777" w:rsidR="00AA33CA" w:rsidRPr="00507A31" w:rsidRDefault="00AA33CA" w:rsidP="00507A31">
      <w:pPr>
        <w:jc w:val="both"/>
        <w:rPr>
          <w:color w:val="000000" w:themeColor="text1"/>
          <w:sz w:val="16"/>
          <w:szCs w:val="16"/>
        </w:rPr>
      </w:pPr>
    </w:p>
    <w:p w14:paraId="65A87E0E" w14:textId="77777777" w:rsidR="00AA33CA" w:rsidRPr="00507A31" w:rsidRDefault="00AA33CA"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0BF8CEF5" w14:textId="77777777" w:rsidR="00AA33CA" w:rsidRPr="00507A31" w:rsidRDefault="00AA33CA" w:rsidP="00507A31">
      <w:pPr>
        <w:autoSpaceDE w:val="0"/>
        <w:autoSpaceDN w:val="0"/>
        <w:adjustRightInd w:val="0"/>
        <w:jc w:val="both"/>
        <w:rPr>
          <w:color w:val="000000" w:themeColor="text1"/>
          <w:sz w:val="16"/>
          <w:szCs w:val="16"/>
        </w:rPr>
      </w:pPr>
    </w:p>
    <w:p w14:paraId="632847BF" w14:textId="77777777" w:rsidR="00AA33CA" w:rsidRPr="00507A31" w:rsidRDefault="00AA33CA" w:rsidP="00507A31">
      <w:pPr>
        <w:jc w:val="both"/>
        <w:rPr>
          <w:bCs/>
          <w:color w:val="000000" w:themeColor="text1"/>
          <w:sz w:val="16"/>
          <w:szCs w:val="16"/>
        </w:rPr>
      </w:pPr>
      <w:r w:rsidRPr="00507A31">
        <w:rPr>
          <w:color w:val="000000" w:themeColor="text1"/>
          <w:sz w:val="16"/>
          <w:szCs w:val="16"/>
        </w:rPr>
        <w:t>6 ноября 1930 г.</w:t>
      </w:r>
    </w:p>
    <w:p w14:paraId="1B5553D0" w14:textId="77777777" w:rsidR="00AA33CA" w:rsidRPr="00507A31" w:rsidRDefault="00AA33CA" w:rsidP="00507A31">
      <w:pPr>
        <w:jc w:val="both"/>
        <w:rPr>
          <w:bCs/>
          <w:color w:val="000000" w:themeColor="text1"/>
          <w:sz w:val="16"/>
          <w:szCs w:val="16"/>
        </w:rPr>
      </w:pPr>
      <w:r w:rsidRPr="00507A31">
        <w:rPr>
          <w:color w:val="000000" w:themeColor="text1"/>
          <w:sz w:val="16"/>
          <w:szCs w:val="16"/>
        </w:rPr>
        <w:t>Письмо заместителя наркома иностранных дел СССР Н. Н. Крестинского полпреду СССР во Франции В. С. Довгалевскому. 6 ноября 1930 г.</w:t>
      </w:r>
    </w:p>
    <w:p w14:paraId="337D1BD8" w14:textId="77777777" w:rsidR="00AA33CA" w:rsidRPr="00507A31" w:rsidRDefault="00AA33CA" w:rsidP="00507A31">
      <w:pPr>
        <w:jc w:val="both"/>
        <w:rPr>
          <w:bCs/>
          <w:color w:val="000000" w:themeColor="text1"/>
          <w:sz w:val="16"/>
          <w:szCs w:val="16"/>
        </w:rPr>
      </w:pPr>
      <w:r w:rsidRPr="00507A31">
        <w:rPr>
          <w:bCs/>
          <w:color w:val="000000" w:themeColor="text1"/>
          <w:sz w:val="16"/>
          <w:szCs w:val="16"/>
        </w:rPr>
        <w:t>Источник: </w:t>
      </w:r>
    </w:p>
    <w:p w14:paraId="61A1F9AB" w14:textId="77777777" w:rsidR="00AA33CA" w:rsidRPr="00507A31" w:rsidRDefault="00AA33C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F40AE9" w14:textId="77777777" w:rsidR="00AA33CA" w:rsidRPr="00507A31" w:rsidRDefault="00AA33CA" w:rsidP="00507A31">
      <w:pPr>
        <w:jc w:val="both"/>
        <w:rPr>
          <w:bCs/>
          <w:color w:val="000000" w:themeColor="text1"/>
          <w:sz w:val="16"/>
          <w:szCs w:val="16"/>
        </w:rPr>
      </w:pPr>
      <w:r w:rsidRPr="00507A31">
        <w:rPr>
          <w:bCs/>
          <w:color w:val="000000" w:themeColor="text1"/>
          <w:sz w:val="16"/>
          <w:szCs w:val="16"/>
        </w:rPr>
        <w:t>Архив: </w:t>
      </w:r>
    </w:p>
    <w:p w14:paraId="365354CD" w14:textId="77777777" w:rsidR="00AA33CA" w:rsidRPr="00507A31" w:rsidRDefault="00AA33CA" w:rsidP="00507A31">
      <w:pPr>
        <w:jc w:val="both"/>
        <w:rPr>
          <w:color w:val="000000" w:themeColor="text1"/>
          <w:sz w:val="16"/>
          <w:szCs w:val="16"/>
        </w:rPr>
      </w:pPr>
      <w:r w:rsidRPr="00507A31">
        <w:rPr>
          <w:color w:val="000000" w:themeColor="text1"/>
          <w:sz w:val="16"/>
          <w:szCs w:val="16"/>
        </w:rPr>
        <w:t>АВПРФ. Ф.010. On. 1.П.5.Д.82.Л. 11 -12</w:t>
      </w:r>
    </w:p>
    <w:p w14:paraId="35E9133E" w14:textId="77777777" w:rsidR="00AA33CA" w:rsidRPr="00507A31" w:rsidRDefault="00AA33CA" w:rsidP="00507A31">
      <w:pPr>
        <w:pStyle w:val="rteright"/>
        <w:spacing w:before="0" w:after="0"/>
        <w:jc w:val="both"/>
        <w:rPr>
          <w:color w:val="000000" w:themeColor="text1"/>
          <w:sz w:val="16"/>
          <w:szCs w:val="16"/>
        </w:rPr>
      </w:pPr>
      <w:r w:rsidRPr="00507A31">
        <w:rPr>
          <w:color w:val="000000" w:themeColor="text1"/>
          <w:sz w:val="16"/>
          <w:szCs w:val="16"/>
        </w:rPr>
        <w:t>6 ноября 1930 г.</w:t>
      </w:r>
    </w:p>
    <w:p w14:paraId="4993F209" w14:textId="77777777" w:rsidR="00AA33CA" w:rsidRPr="00507A31" w:rsidRDefault="00AA33CA"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4BB92C2B"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Тов. ДОВГАЛЕВСКОМУ</w:t>
      </w:r>
    </w:p>
    <w:p w14:paraId="19E052DA"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Многоуважаемый Валериан Савельевич,</w:t>
      </w:r>
    </w:p>
    <w:p w14:paraId="4DD737E2"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1.  Из всех Ваших письменных и телеграфных сообщений у меня создается впечатление, что французы пытаются создать у нас впечатление, что у них наступило известного рода смягчение враждебности к нам и этим хотят повлиять на создание и у нас аналогичного настроения.</w:t>
      </w:r>
    </w:p>
    <w:p w14:paraId="5487A5E7"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 то же время на какие[-]нибудь серьезные изменения в своем поведении по отношению к нам, в частности на отмену декрета от 3 октября, они пойти не собираются.</w:t>
      </w:r>
    </w:p>
    <w:p w14:paraId="72F46FB9"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Ясно, что мы не можем пойти на какое-либо смягчение наших контрмер, пока с французской стороны не наметится действительный перелом и они не пойдут на серьезный пересмотр своей политики по отношению к нам. Об этом же Вам напишет сегодня т. Рубинин, который более внимательно следит за всеми проявлениями поведения французов по отношению к нам.</w:t>
      </w:r>
    </w:p>
    <w:p w14:paraId="266F001F"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2. На другой день после отъезда М. М. у меня был Эрбетт. Он прежде всего поинтересовался, не имеем ли мы чего-либо сообщить им, в связи с предстоящей сессией комиссии по разоружению. Он знает, что М. М. был перед отъездом болен и поэтому к нему непосредственно с этим вопросом не обратился.</w:t>
      </w:r>
    </w:p>
    <w:p w14:paraId="0B647F1B"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Я ответил, что наша точка зрения по вопросам разоружения не изменилась и что поэтому ничего нового я ему сообщить не могу.</w:t>
      </w:r>
    </w:p>
    <w:p w14:paraId="296CDA1E"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 xml:space="preserve">Далее Эрбетт перешел к вопросу, который был, по[-]видимому, главным поводом его визита. Он сказал, что ряд французских лево-настроенных ученых, которые вели совместную научную работу с арестованным проф. Тарле, предполагают выступить с публичным протестом - обращением к общественному мнению. Французское правительство не желая, чтобы появилось такое обращение, могущее неблагоприятно отразиться на отношении интеллигентских кругов Франции к СССР, просило его довести об этом до нашего сведения и спросить, не хотим ли мы сообщить что-либо о Тарле. Он понимает, что он не вправе официально обращаться ко мне с </w:t>
      </w:r>
      <w:r w:rsidRPr="00507A31">
        <w:rPr>
          <w:color w:val="000000" w:themeColor="text1"/>
          <w:sz w:val="16"/>
          <w:szCs w:val="16"/>
        </w:rPr>
        <w:lastRenderedPageBreak/>
        <w:t>вопросом о советском гражданине и поэтому еще раз подчеркивает, что его обращение носит неофициальный характер и вызвано желанием предотвратить неблагоприятное для нас выступление.</w:t>
      </w:r>
    </w:p>
    <w:p w14:paraId="4FF88A4A"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Я ответил, что я, конечно, отвел бы всякую попытку официального или официозного обращения к нам по вопросу о советском гражданине, но поскольку Эрбетт объясняет свое частное обращение заботами французского правительства о том, чтобы не появилось направленного против нас воззвания французских историков, я могу лишь посоветовать г. Эрбетту отговорить своих соотечественников от их плана. Тарле обвиняется в контр-революционной деятельности. Дело его достаточно серьезно. Если бы появился протест французских ученых, нам достаточно было бы опубликовать несколько страниц из следственного материала, в частности может быть показания самого Тарле, чтобы инициаторы протеста почувствовали, что они взялись за недостойное дело.</w:t>
      </w:r>
    </w:p>
    <w:p w14:paraId="0CDE071D"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Эрбетт благодарил меня за мое предупреждение и сказал, что в этом духе напишет в Париж.</w:t>
      </w:r>
    </w:p>
    <w:p w14:paraId="3CC388ED" w14:textId="77777777" w:rsidR="00AA33CA" w:rsidRPr="00507A31" w:rsidRDefault="00AA33CA" w:rsidP="00507A31">
      <w:pPr>
        <w:pStyle w:val="ae"/>
        <w:spacing w:before="0" w:after="0"/>
        <w:jc w:val="both"/>
        <w:rPr>
          <w:color w:val="000000" w:themeColor="text1"/>
          <w:sz w:val="16"/>
          <w:szCs w:val="16"/>
        </w:rPr>
      </w:pPr>
      <w:r w:rsidRPr="00507A31">
        <w:rPr>
          <w:color w:val="000000" w:themeColor="text1"/>
          <w:sz w:val="16"/>
          <w:szCs w:val="16"/>
        </w:rPr>
        <w:t>С тов. приветом</w:t>
      </w:r>
    </w:p>
    <w:p w14:paraId="3468B813" w14:textId="77777777" w:rsidR="00AA33CA" w:rsidRPr="00507A31" w:rsidRDefault="00AA33CA" w:rsidP="00507A31">
      <w:pPr>
        <w:pStyle w:val="ae"/>
        <w:spacing w:before="0" w:after="0"/>
        <w:jc w:val="both"/>
        <w:rPr>
          <w:color w:val="000000" w:themeColor="text1"/>
          <w:sz w:val="16"/>
          <w:szCs w:val="16"/>
        </w:rPr>
      </w:pPr>
      <w:r w:rsidRPr="00507A31">
        <w:rPr>
          <w:color w:val="000000" w:themeColor="text1"/>
          <w:sz w:val="16"/>
          <w:szCs w:val="16"/>
        </w:rPr>
        <w:t>(Н. Крестинский)</w:t>
      </w:r>
    </w:p>
    <w:p w14:paraId="306A91C9" w14:textId="77777777" w:rsidR="00AA33CA" w:rsidRPr="00507A31" w:rsidRDefault="00AA33CA" w:rsidP="00507A31">
      <w:pPr>
        <w:pStyle w:val="ae"/>
        <w:spacing w:before="0" w:after="0"/>
        <w:jc w:val="both"/>
        <w:rPr>
          <w:color w:val="000000" w:themeColor="text1"/>
          <w:sz w:val="16"/>
          <w:szCs w:val="16"/>
        </w:rPr>
      </w:pPr>
      <w:r w:rsidRPr="00507A31">
        <w:rPr>
          <w:rStyle w:val="af0"/>
          <w:i w:val="0"/>
          <w:color w:val="000000" w:themeColor="text1"/>
          <w:sz w:val="16"/>
          <w:szCs w:val="16"/>
        </w:rPr>
        <w:t>АВПРФ. Ф.010. On. 1.П.5.Д.82.Л. 11 -12. Машинописная копия того времени. На Л. 11 вверху справа напечатаны дата, ниже номер документа «К/29128»; вверху по центру - «Экз. 4» (цифра вписана от руки карандашом). Гриф секретности машинописью. На Л. 12 внизу слева столбцом делопроизводственные пометы (машинописью) о количестве отпечатанных (4 экз.) и отправленных экземпляров: «1 - адресату, 2 - т. Карахану, 3-3[-й] Зап[адный] Отд[ел], 4 - в дело».</w:t>
      </w:r>
    </w:p>
    <w:p w14:paraId="0367A08B" w14:textId="77777777" w:rsidR="00AA33CA" w:rsidRPr="00507A31" w:rsidRDefault="00AA33CA" w:rsidP="00507A31">
      <w:pPr>
        <w:pStyle w:val="ae"/>
        <w:spacing w:before="0" w:after="0"/>
        <w:jc w:val="both"/>
        <w:rPr>
          <w:color w:val="000000" w:themeColor="text1"/>
          <w:sz w:val="16"/>
          <w:szCs w:val="16"/>
        </w:rPr>
      </w:pPr>
      <w:r w:rsidRPr="00507A31">
        <w:rPr>
          <w:rStyle w:val="af0"/>
          <w:i w:val="0"/>
          <w:color w:val="000000" w:themeColor="text1"/>
          <w:sz w:val="16"/>
          <w:szCs w:val="16"/>
        </w:rPr>
        <w:t>Опубликовано: Документы внешней политики СССР: 1 января -31 декабря 1930 г. Т. 13. М., 1967. С. 619 -620 (18798).</w:t>
      </w:r>
    </w:p>
    <w:p w14:paraId="3986A3C7" w14:textId="77777777" w:rsidR="00AA33CA" w:rsidRPr="00507A31" w:rsidRDefault="00AA33CA" w:rsidP="00507A31">
      <w:pPr>
        <w:jc w:val="both"/>
        <w:rPr>
          <w:color w:val="000000" w:themeColor="text1"/>
          <w:sz w:val="16"/>
          <w:szCs w:val="16"/>
        </w:rPr>
      </w:pPr>
    </w:p>
    <w:p w14:paraId="7D45D45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AF11A7F" w14:textId="77777777" w:rsidR="00537E5F" w:rsidRPr="00507A31" w:rsidRDefault="00537E5F" w:rsidP="00507A31">
      <w:pPr>
        <w:autoSpaceDE w:val="0"/>
        <w:autoSpaceDN w:val="0"/>
        <w:adjustRightInd w:val="0"/>
        <w:jc w:val="both"/>
        <w:rPr>
          <w:iCs/>
          <w:color w:val="000000" w:themeColor="text1"/>
          <w:sz w:val="16"/>
          <w:szCs w:val="16"/>
        </w:rPr>
      </w:pPr>
    </w:p>
    <w:p w14:paraId="0E9280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началу ноября 1930 г. заводам «Красный Октябрь» и «ПРОМЕТ» удалось изготовить всего 15 экземпляров [4.34]. Дискуссия показала, что столь огра</w:t>
      </w:r>
      <w:r w:rsidRPr="00507A31">
        <w:rPr>
          <w:color w:val="000000" w:themeColor="text1"/>
          <w:sz w:val="16"/>
          <w:szCs w:val="16"/>
        </w:rPr>
        <w:softHyphen/>
        <w:t>ниченный выпуск не одобряли рабочие заводов и общественные организации города на Неве. Эти обсуждения выявили странное явление. Вслед за трестом РУЖ, Всесоюзное автотракторное объединение (ВАТО) отказалось возглавить строительство мото</w:t>
      </w:r>
      <w:r w:rsidRPr="00507A31">
        <w:rPr>
          <w:color w:val="000000" w:themeColor="text1"/>
          <w:sz w:val="16"/>
          <w:szCs w:val="16"/>
        </w:rPr>
        <w:softHyphen/>
        <w:t>циклетного завода. Возникло даже предложение поручить произ</w:t>
      </w:r>
      <w:r w:rsidRPr="00507A31">
        <w:rPr>
          <w:color w:val="000000" w:themeColor="text1"/>
          <w:sz w:val="16"/>
          <w:szCs w:val="16"/>
        </w:rPr>
        <w:softHyphen/>
        <w:t>водство мотоциклов трестам Союзсредмаш или Госшвеймашины. Проводивший заседание заместитель наркома по военным и мор</w:t>
      </w:r>
      <w:r w:rsidRPr="00507A31">
        <w:rPr>
          <w:color w:val="000000" w:themeColor="text1"/>
          <w:sz w:val="16"/>
          <w:szCs w:val="16"/>
        </w:rPr>
        <w:softHyphen/>
        <w:t>ским делам С.С. Каменев высказался о целесообразности увели</w:t>
      </w:r>
      <w:r w:rsidRPr="00507A31">
        <w:rPr>
          <w:color w:val="000000" w:themeColor="text1"/>
          <w:sz w:val="16"/>
          <w:szCs w:val="16"/>
        </w:rPr>
        <w:softHyphen/>
        <w:t>чения в ближайшее время выпуска мотоциклов в Ленинграде до 10 тыс. в год и ускоренном строительстве завода с годовой про</w:t>
      </w:r>
      <w:r w:rsidRPr="00507A31">
        <w:rPr>
          <w:color w:val="000000" w:themeColor="text1"/>
          <w:sz w:val="16"/>
          <w:szCs w:val="16"/>
        </w:rPr>
        <w:softHyphen/>
        <w:t>граммой 50 тыс. мотоциклов в Ижевске или другом городе [4.35]. Известие об этом побудило руководство завода «Красный Ок</w:t>
      </w:r>
      <w:r w:rsidRPr="00507A31">
        <w:rPr>
          <w:color w:val="000000" w:themeColor="text1"/>
          <w:sz w:val="16"/>
          <w:szCs w:val="16"/>
        </w:rPr>
        <w:softHyphen/>
        <w:t>тябрь» создать Мотобюро в составе 49 человек во главе с инже</w:t>
      </w:r>
      <w:r w:rsidRPr="00507A31">
        <w:rPr>
          <w:color w:val="000000" w:themeColor="text1"/>
          <w:sz w:val="16"/>
          <w:szCs w:val="16"/>
        </w:rPr>
        <w:softHyphen/>
        <w:t>нером Колесниковым [4.22], с частью штата которого П.В. Мо</w:t>
      </w:r>
      <w:r w:rsidRPr="00507A31">
        <w:rPr>
          <w:color w:val="000000" w:themeColor="text1"/>
          <w:sz w:val="16"/>
          <w:szCs w:val="16"/>
        </w:rPr>
        <w:softHyphen/>
        <w:t>жаров по личной инициативе взялся за доработку чертежей мото</w:t>
      </w:r>
      <w:r w:rsidRPr="00507A31">
        <w:rPr>
          <w:color w:val="000000" w:themeColor="text1"/>
          <w:sz w:val="16"/>
          <w:szCs w:val="16"/>
        </w:rPr>
        <w:softHyphen/>
        <w:t>цикла Л-300, а затем и за изготовление трёх опытных машин. Эту работу выполняли в трудных условиях. Из-за опасения возмож</w:t>
      </w:r>
      <w:r w:rsidRPr="00507A31">
        <w:rPr>
          <w:color w:val="000000" w:themeColor="text1"/>
          <w:sz w:val="16"/>
          <w:szCs w:val="16"/>
        </w:rPr>
        <w:softHyphen/>
        <w:t>ной войны, на заводе «Красный Октябрь» переориентировали финансирование на военную тематику и снизили на 30% план по</w:t>
      </w:r>
      <w:r w:rsidRPr="00507A31">
        <w:rPr>
          <w:color w:val="000000" w:themeColor="text1"/>
          <w:sz w:val="16"/>
          <w:szCs w:val="16"/>
        </w:rPr>
        <w:softHyphen/>
        <w:t>ставок зарубежного оборудования [4.36]. Лучшие кадры перево</w:t>
      </w:r>
      <w:r w:rsidRPr="00507A31">
        <w:rPr>
          <w:color w:val="000000" w:themeColor="text1"/>
          <w:sz w:val="16"/>
          <w:szCs w:val="16"/>
        </w:rPr>
        <w:softHyphen/>
        <w:t>дили на военную тематику, численность Мотобюро сократили. К началу лета 1931 г. удалось изготовить три усовершенствован</w:t>
      </w:r>
      <w:r w:rsidRPr="00507A31">
        <w:rPr>
          <w:color w:val="000000" w:themeColor="text1"/>
          <w:sz w:val="16"/>
          <w:szCs w:val="16"/>
        </w:rPr>
        <w:softHyphen/>
        <w:t>ных мотоцикла, в которые ввели изменения, предусмотренные обновлёнными чертежами. Главным было использование первого советского магнето, созданного на заводе «Красный Октябрь» [4.37]. Новинка оказалась компактней и надёжней зарубежных моделей [4.38] (11429).</w:t>
      </w:r>
    </w:p>
    <w:p w14:paraId="254C63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E88F98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7D97101" w14:textId="77777777" w:rsidR="00537E5F" w:rsidRPr="00507A31" w:rsidRDefault="00537E5F" w:rsidP="00507A31">
      <w:pPr>
        <w:autoSpaceDE w:val="0"/>
        <w:autoSpaceDN w:val="0"/>
        <w:adjustRightInd w:val="0"/>
        <w:jc w:val="both"/>
        <w:rPr>
          <w:iCs/>
          <w:color w:val="000000" w:themeColor="text1"/>
          <w:sz w:val="16"/>
          <w:szCs w:val="16"/>
        </w:rPr>
      </w:pPr>
    </w:p>
    <w:p w14:paraId="1BD11FC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 ноября 1930 года самолет И8 участвовал в демонстрации в воздухе (6925).</w:t>
      </w:r>
    </w:p>
    <w:p w14:paraId="40BD357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5B9E396" w14:textId="77777777" w:rsidR="00AA33CA" w:rsidRPr="00507A31" w:rsidRDefault="00AA33CA" w:rsidP="00507A31">
      <w:pPr>
        <w:pStyle w:val="rtejustify"/>
        <w:shd w:val="clear" w:color="auto" w:fill="FFFFFF"/>
        <w:spacing w:before="0" w:after="0"/>
        <w:rPr>
          <w:color w:val="000000" w:themeColor="text1"/>
          <w:sz w:val="16"/>
          <w:szCs w:val="16"/>
        </w:rPr>
      </w:pPr>
      <w:r w:rsidRPr="00507A31">
        <w:rPr>
          <w:color w:val="000000" w:themeColor="text1"/>
          <w:sz w:val="16"/>
          <w:szCs w:val="16"/>
        </w:rPr>
        <w:t>7 ноября 1930 года самолет И-8 принял участие в воздушной демонстрации, затем до 17 ноября находился на доработках хвостового костыля и хвостового оперения. Однако полеты, выполненные после доработок, показали, что нагрузки на ручку управления остались выше нормы. Параллельно с доработками и испытаниями самолета, в АГОС ЦАГИ производилась сборка опытной коробки крыльев для статических испытаний (19171).</w:t>
      </w:r>
    </w:p>
    <w:p w14:paraId="375CCFE7" w14:textId="77777777" w:rsidR="00AA33CA" w:rsidRPr="00507A31" w:rsidRDefault="00AA33CA" w:rsidP="00507A31">
      <w:pPr>
        <w:pStyle w:val="rtejustify"/>
        <w:shd w:val="clear" w:color="auto" w:fill="FFFFFF"/>
        <w:spacing w:before="0" w:after="0"/>
        <w:rPr>
          <w:color w:val="000000" w:themeColor="text1"/>
          <w:sz w:val="16"/>
          <w:szCs w:val="16"/>
        </w:rPr>
      </w:pPr>
    </w:p>
    <w:p w14:paraId="7EA0A5A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 ноября 1930 года состоялся третий полет ТБ3 с НОА – для участие в параде (6925).</w:t>
      </w:r>
    </w:p>
    <w:p w14:paraId="74002EF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615B8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ноября 1930 исполкомовский К-9, построенный на деньги, собранные Осоавиахима Дзержинского района Харькова, был представлен публике. Крылья складывались, но внимания так и не привлек и машину передали в 1934 в Харьковский аэроклуб (70,183).</w:t>
      </w:r>
    </w:p>
    <w:p w14:paraId="4A5E936B" w14:textId="77777777" w:rsidR="00537E5F" w:rsidRPr="00507A31" w:rsidRDefault="00537E5F" w:rsidP="00507A31">
      <w:pPr>
        <w:autoSpaceDE w:val="0"/>
        <w:autoSpaceDN w:val="0"/>
        <w:adjustRightInd w:val="0"/>
        <w:jc w:val="both"/>
        <w:rPr>
          <w:color w:val="000000" w:themeColor="text1"/>
          <w:sz w:val="16"/>
          <w:szCs w:val="16"/>
        </w:rPr>
      </w:pPr>
    </w:p>
    <w:p w14:paraId="294A43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ноября 1930 ХАЗОСС окончил строительство опытного самолета К-9 (10674).</w:t>
      </w:r>
    </w:p>
    <w:p w14:paraId="2111C744" w14:textId="77777777" w:rsidR="00537E5F" w:rsidRPr="00507A31" w:rsidRDefault="00537E5F" w:rsidP="00507A31">
      <w:pPr>
        <w:autoSpaceDE w:val="0"/>
        <w:autoSpaceDN w:val="0"/>
        <w:adjustRightInd w:val="0"/>
        <w:jc w:val="both"/>
        <w:rPr>
          <w:color w:val="000000" w:themeColor="text1"/>
          <w:sz w:val="16"/>
          <w:szCs w:val="16"/>
        </w:rPr>
      </w:pPr>
    </w:p>
    <w:p w14:paraId="421649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ноября 1930 дирижабль "Комсомольская Правда", который мог брать 12 чел., совершил полет над КП (224,67).</w:t>
      </w:r>
    </w:p>
    <w:p w14:paraId="6C137BBA" w14:textId="77777777" w:rsidR="00537E5F" w:rsidRPr="00507A31" w:rsidRDefault="00537E5F" w:rsidP="00507A31">
      <w:pPr>
        <w:autoSpaceDE w:val="0"/>
        <w:autoSpaceDN w:val="0"/>
        <w:adjustRightInd w:val="0"/>
        <w:jc w:val="both"/>
        <w:rPr>
          <w:color w:val="000000" w:themeColor="text1"/>
          <w:sz w:val="16"/>
          <w:szCs w:val="16"/>
        </w:rPr>
      </w:pPr>
    </w:p>
    <w:p w14:paraId="427E91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ноября 1930 дирижабль «Комсомольская правда» («КП»)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0C9CAF3A" w14:textId="77777777" w:rsidR="00537E5F" w:rsidRPr="00507A31" w:rsidRDefault="00537E5F" w:rsidP="00507A31">
      <w:pPr>
        <w:autoSpaceDE w:val="0"/>
        <w:autoSpaceDN w:val="0"/>
        <w:adjustRightInd w:val="0"/>
        <w:jc w:val="both"/>
        <w:rPr>
          <w:color w:val="000000" w:themeColor="text1"/>
          <w:sz w:val="16"/>
          <w:szCs w:val="16"/>
        </w:rPr>
      </w:pPr>
    </w:p>
    <w:p w14:paraId="1EF6C586" w14:textId="77777777" w:rsidR="003872C8" w:rsidRPr="00507A31" w:rsidRDefault="003872C8" w:rsidP="00507A31">
      <w:pPr>
        <w:jc w:val="both"/>
        <w:rPr>
          <w:color w:val="0070C0"/>
          <w:sz w:val="16"/>
          <w:szCs w:val="16"/>
        </w:rPr>
      </w:pPr>
      <w:r w:rsidRPr="00507A31">
        <w:rPr>
          <w:color w:val="0070C0"/>
          <w:sz w:val="16"/>
          <w:szCs w:val="16"/>
        </w:rPr>
        <w:t>7 ноября 1930 г. Комсомольская правда впервые пролетел над Красной площадью.</w:t>
      </w:r>
    </w:p>
    <w:p w14:paraId="7C046990" w14:textId="77777777" w:rsidR="003872C8" w:rsidRPr="00507A31" w:rsidRDefault="003872C8" w:rsidP="00507A31">
      <w:pPr>
        <w:jc w:val="both"/>
        <w:rPr>
          <w:color w:val="0070C0"/>
          <w:sz w:val="16"/>
          <w:szCs w:val="16"/>
        </w:rPr>
      </w:pPr>
      <w:r w:rsidRPr="00507A31">
        <w:rPr>
          <w:color w:val="0070C0"/>
          <w:sz w:val="16"/>
          <w:szCs w:val="16"/>
        </w:rPr>
        <w:t>Учитывая наступление холодного време</w:t>
      </w:r>
      <w:r w:rsidRPr="00507A31">
        <w:rPr>
          <w:color w:val="0070C0"/>
          <w:sz w:val="16"/>
          <w:szCs w:val="16"/>
        </w:rPr>
        <w:softHyphen/>
        <w:t>ни, стоянку в овраге и сложности со снабжени</w:t>
      </w:r>
      <w:r w:rsidRPr="00507A31">
        <w:rPr>
          <w:color w:val="0070C0"/>
          <w:sz w:val="16"/>
          <w:szCs w:val="16"/>
        </w:rPr>
        <w:softHyphen/>
        <w:t>ем водородом, Осоавиахим, в ведение которого перешёл дирижабль, направил его через Тулу, Курск и Харьков в Славянск, где тот мог совер</w:t>
      </w:r>
      <w:r w:rsidRPr="00507A31">
        <w:rPr>
          <w:color w:val="0070C0"/>
          <w:sz w:val="16"/>
          <w:szCs w:val="16"/>
        </w:rPr>
        <w:softHyphen/>
        <w:t>шать полёты ещё в течение одного-двух ме</w:t>
      </w:r>
      <w:r w:rsidRPr="00507A31">
        <w:rPr>
          <w:color w:val="0070C0"/>
          <w:sz w:val="16"/>
          <w:szCs w:val="16"/>
        </w:rPr>
        <w:softHyphen/>
        <w:t xml:space="preserve">сяцев (20120). </w:t>
      </w:r>
    </w:p>
    <w:p w14:paraId="5052A8E1" w14:textId="77777777" w:rsidR="003872C8" w:rsidRPr="00507A31" w:rsidRDefault="003872C8" w:rsidP="00507A31">
      <w:pPr>
        <w:jc w:val="both"/>
        <w:rPr>
          <w:color w:val="0070C0"/>
          <w:sz w:val="16"/>
          <w:szCs w:val="16"/>
        </w:rPr>
      </w:pPr>
    </w:p>
    <w:p w14:paraId="71FB0E3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75E8058" w14:textId="77777777" w:rsidR="00537E5F" w:rsidRPr="00507A31" w:rsidRDefault="00537E5F" w:rsidP="00507A31">
      <w:pPr>
        <w:autoSpaceDE w:val="0"/>
        <w:autoSpaceDN w:val="0"/>
        <w:adjustRightInd w:val="0"/>
        <w:jc w:val="both"/>
        <w:rPr>
          <w:iCs/>
          <w:color w:val="000000" w:themeColor="text1"/>
          <w:sz w:val="16"/>
          <w:szCs w:val="16"/>
        </w:rPr>
      </w:pPr>
    </w:p>
    <w:p w14:paraId="0F6E9A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ноября 1930 г. (через четыре года после начала постройки) грузо-пассажирская "Абхазия" вышла в первый рейс из Ленинграда в Черное море. Суд</w:t>
      </w:r>
      <w:r w:rsidRPr="00507A31">
        <w:rPr>
          <w:color w:val="000000" w:themeColor="text1"/>
          <w:sz w:val="16"/>
          <w:szCs w:val="16"/>
        </w:rPr>
        <w:softHyphen/>
        <w:t>но показало хорошие мореходные качества. Удобство внутреннего расположения и большая пассажировместимость судов этого типа заинтересовали германских инженеров, строивших "Грузию" и "Крым". Немцы использовали проект в качестве прототипа для со</w:t>
      </w:r>
      <w:r w:rsidRPr="00507A31">
        <w:rPr>
          <w:color w:val="000000" w:themeColor="text1"/>
          <w:sz w:val="16"/>
          <w:szCs w:val="16"/>
        </w:rPr>
        <w:softHyphen/>
        <w:t>здания испанских теплоходов для сообщения с Канарскими и Балеарскими островами (3898).</w:t>
      </w:r>
    </w:p>
    <w:p w14:paraId="21333EA5" w14:textId="77777777" w:rsidR="00537E5F" w:rsidRPr="00507A31" w:rsidRDefault="00537E5F" w:rsidP="00507A31">
      <w:pPr>
        <w:autoSpaceDE w:val="0"/>
        <w:autoSpaceDN w:val="0"/>
        <w:adjustRightInd w:val="0"/>
        <w:jc w:val="both"/>
        <w:rPr>
          <w:color w:val="000000" w:themeColor="text1"/>
          <w:sz w:val="16"/>
          <w:szCs w:val="16"/>
        </w:rPr>
      </w:pPr>
    </w:p>
    <w:p w14:paraId="45F70EB1" w14:textId="77777777" w:rsidR="00AA33CA" w:rsidRPr="00507A31" w:rsidRDefault="00AA33CA"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1FB7278" w14:textId="77777777" w:rsidR="00AA33CA" w:rsidRPr="00507A31" w:rsidRDefault="00AA33CA" w:rsidP="00507A31">
      <w:pPr>
        <w:autoSpaceDE w:val="0"/>
        <w:autoSpaceDN w:val="0"/>
        <w:adjustRightInd w:val="0"/>
        <w:jc w:val="both"/>
        <w:rPr>
          <w:color w:val="000000" w:themeColor="text1"/>
          <w:sz w:val="16"/>
          <w:szCs w:val="16"/>
        </w:rPr>
      </w:pPr>
    </w:p>
    <w:p w14:paraId="16633B17" w14:textId="77777777" w:rsidR="00AA33CA" w:rsidRPr="00507A31" w:rsidRDefault="00AA33CA" w:rsidP="00507A31">
      <w:pPr>
        <w:jc w:val="both"/>
        <w:rPr>
          <w:color w:val="000000" w:themeColor="text1"/>
          <w:sz w:val="16"/>
          <w:szCs w:val="16"/>
        </w:rPr>
      </w:pPr>
      <w:r w:rsidRPr="00507A31">
        <w:rPr>
          <w:color w:val="000000" w:themeColor="text1"/>
          <w:sz w:val="16"/>
          <w:szCs w:val="16"/>
        </w:rPr>
        <w:t>7 ноября 1930 г.</w:t>
      </w:r>
    </w:p>
    <w:p w14:paraId="77DE9E7E" w14:textId="77777777" w:rsidR="00AA33CA" w:rsidRPr="00507A31" w:rsidRDefault="00AA33CA" w:rsidP="00507A31">
      <w:pPr>
        <w:jc w:val="both"/>
        <w:rPr>
          <w:color w:val="000000" w:themeColor="text1"/>
          <w:sz w:val="16"/>
          <w:szCs w:val="16"/>
        </w:rPr>
      </w:pPr>
      <w:r w:rsidRPr="00507A31">
        <w:rPr>
          <w:color w:val="000000" w:themeColor="text1"/>
          <w:sz w:val="16"/>
          <w:szCs w:val="16"/>
        </w:rPr>
        <w:t>Сопроводительное письмо № П1020 о рассылке членам и кандидатам Политбюро и членам Президиума ЦКК ВКП(б) «протоколов допросов по делу “Промышленной партии”». 7 ноября 1930 г.</w:t>
      </w:r>
    </w:p>
    <w:p w14:paraId="3273505E" w14:textId="77777777" w:rsidR="00AA33CA" w:rsidRPr="00507A31" w:rsidRDefault="00AA33CA" w:rsidP="00507A31">
      <w:pPr>
        <w:jc w:val="both"/>
        <w:rPr>
          <w:color w:val="000000" w:themeColor="text1"/>
          <w:sz w:val="16"/>
          <w:szCs w:val="16"/>
        </w:rPr>
      </w:pPr>
      <w:r w:rsidRPr="00507A31">
        <w:rPr>
          <w:color w:val="000000" w:themeColor="text1"/>
          <w:sz w:val="16"/>
          <w:szCs w:val="16"/>
        </w:rPr>
        <w:t>Источник: </w:t>
      </w:r>
    </w:p>
    <w:p w14:paraId="0CDF0516" w14:textId="77777777" w:rsidR="00AA33CA" w:rsidRPr="00507A31" w:rsidRDefault="00AA33C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D2D5C9" w14:textId="77777777" w:rsidR="00AA33CA" w:rsidRPr="00507A31" w:rsidRDefault="00AA33CA" w:rsidP="00507A31">
      <w:pPr>
        <w:jc w:val="both"/>
        <w:rPr>
          <w:color w:val="000000" w:themeColor="text1"/>
          <w:sz w:val="16"/>
          <w:szCs w:val="16"/>
        </w:rPr>
      </w:pPr>
      <w:r w:rsidRPr="00507A31">
        <w:rPr>
          <w:color w:val="000000" w:themeColor="text1"/>
          <w:sz w:val="16"/>
          <w:szCs w:val="16"/>
        </w:rPr>
        <w:t>7 ноября 1930 г.</w:t>
      </w:r>
    </w:p>
    <w:p w14:paraId="4D607415" w14:textId="77777777" w:rsidR="00AA33CA" w:rsidRPr="00507A31" w:rsidRDefault="00AA33CA" w:rsidP="00507A31">
      <w:pPr>
        <w:jc w:val="both"/>
        <w:rPr>
          <w:color w:val="000000" w:themeColor="text1"/>
          <w:sz w:val="16"/>
          <w:szCs w:val="16"/>
        </w:rPr>
      </w:pPr>
      <w:r w:rsidRPr="00507A31">
        <w:rPr>
          <w:color w:val="000000" w:themeColor="text1"/>
          <w:sz w:val="16"/>
          <w:szCs w:val="16"/>
        </w:rPr>
        <w:t>СТРОГО СЕКРЕТНО</w:t>
      </w:r>
    </w:p>
    <w:p w14:paraId="08523155" w14:textId="77777777" w:rsidR="00AA33CA" w:rsidRPr="00507A31" w:rsidRDefault="00AA33CA" w:rsidP="00507A31">
      <w:pPr>
        <w:jc w:val="both"/>
        <w:rPr>
          <w:color w:val="000000" w:themeColor="text1"/>
          <w:sz w:val="16"/>
          <w:szCs w:val="16"/>
        </w:rPr>
      </w:pPr>
      <w:r w:rsidRPr="00507A31">
        <w:rPr>
          <w:color w:val="000000" w:themeColor="text1"/>
          <w:sz w:val="16"/>
          <w:szCs w:val="16"/>
        </w:rPr>
        <w:t>ЧЛЕНАМ И КАНДИДАТАМ ПОЛИТБЮРО ЦК: т.т. Андрееву, Ворошилову, Кагановичу, Калинину, Кирову, Косиору Ст., Куйбышеву, Микояну, Молотову, Петровскому, Рудзутаку, Рыкову, Сталину, Чубарю.</w:t>
      </w:r>
    </w:p>
    <w:p w14:paraId="543B4C57" w14:textId="77777777" w:rsidR="00AA33CA" w:rsidRPr="00507A31" w:rsidRDefault="00AA33CA" w:rsidP="00507A31">
      <w:pPr>
        <w:jc w:val="both"/>
        <w:rPr>
          <w:color w:val="000000" w:themeColor="text1"/>
          <w:sz w:val="16"/>
          <w:szCs w:val="16"/>
        </w:rPr>
      </w:pPr>
      <w:r w:rsidRPr="00507A31">
        <w:rPr>
          <w:color w:val="000000" w:themeColor="text1"/>
          <w:sz w:val="16"/>
          <w:szCs w:val="16"/>
        </w:rPr>
        <w:t>ЧЛЕНАМ ПРЕЗИДИУМА ЦКК: т.т. Акулову, Ильину, Орджоникидзе, Павлуновскому, Розенгольцу, Сольцу, Янсону, Ярославскому.</w:t>
      </w:r>
    </w:p>
    <w:p w14:paraId="01EC83DF" w14:textId="77777777" w:rsidR="00AA33CA" w:rsidRPr="00507A31" w:rsidRDefault="00AA33CA" w:rsidP="00507A31">
      <w:pPr>
        <w:jc w:val="both"/>
        <w:rPr>
          <w:color w:val="000000" w:themeColor="text1"/>
          <w:sz w:val="16"/>
          <w:szCs w:val="16"/>
        </w:rPr>
      </w:pPr>
      <w:r w:rsidRPr="00507A31">
        <w:rPr>
          <w:color w:val="000000" w:themeColor="text1"/>
          <w:sz w:val="16"/>
          <w:szCs w:val="16"/>
        </w:rPr>
        <w:t>СЕКРЕТАРЯМ ЦК: т.т. Бауману, Постышеву.</w:t>
      </w:r>
    </w:p>
    <w:p w14:paraId="698BA274" w14:textId="77777777" w:rsidR="00AA33CA" w:rsidRPr="00507A31" w:rsidRDefault="00AA33CA" w:rsidP="00507A31">
      <w:pPr>
        <w:jc w:val="both"/>
        <w:rPr>
          <w:color w:val="000000" w:themeColor="text1"/>
          <w:sz w:val="16"/>
          <w:szCs w:val="16"/>
        </w:rPr>
      </w:pPr>
      <w:r w:rsidRPr="00507A31">
        <w:rPr>
          <w:color w:val="000000" w:themeColor="text1"/>
          <w:sz w:val="16"/>
          <w:szCs w:val="16"/>
        </w:rPr>
        <w:t>Тов. Кржижановскому.</w:t>
      </w:r>
    </w:p>
    <w:p w14:paraId="2CE42EEF" w14:textId="77777777" w:rsidR="00AA33CA" w:rsidRPr="00507A31" w:rsidRDefault="00AA33CA" w:rsidP="00507A31">
      <w:pPr>
        <w:jc w:val="both"/>
        <w:rPr>
          <w:color w:val="000000" w:themeColor="text1"/>
          <w:sz w:val="16"/>
          <w:szCs w:val="16"/>
        </w:rPr>
      </w:pPr>
      <w:r w:rsidRPr="00507A31">
        <w:rPr>
          <w:color w:val="000000" w:themeColor="text1"/>
          <w:sz w:val="16"/>
          <w:szCs w:val="16"/>
        </w:rPr>
        <w:t>По поручению т. Сталина посылаются Вам для сличения протоколы допросов по делу «Промышленной партии» по вопросам о подготовке интервенции и о заседаниях ЦК Промпартии: Рамзина, Чарновского, Ларичева от 3.XI.30 г., Калинникова от 3 и 4.XI.30 г. и Осадчего от 6.XI.30 г.</w:t>
      </w:r>
    </w:p>
    <w:p w14:paraId="48E95BCB" w14:textId="77777777" w:rsidR="00AA33CA" w:rsidRPr="00507A31" w:rsidRDefault="00AA33CA" w:rsidP="00507A31">
      <w:pPr>
        <w:jc w:val="both"/>
        <w:rPr>
          <w:color w:val="000000" w:themeColor="text1"/>
          <w:sz w:val="16"/>
          <w:szCs w:val="16"/>
        </w:rPr>
      </w:pPr>
      <w:r w:rsidRPr="00507A31">
        <w:rPr>
          <w:color w:val="000000" w:themeColor="text1"/>
          <w:sz w:val="16"/>
          <w:szCs w:val="16"/>
        </w:rPr>
        <w:t>ПРИЛОЖЕНИЕ: экз. № на 39 листах.</w:t>
      </w:r>
    </w:p>
    <w:p w14:paraId="3B7353D6" w14:textId="77777777" w:rsidR="00AA33CA" w:rsidRPr="00507A31" w:rsidRDefault="00AA33CA" w:rsidP="00507A31">
      <w:pPr>
        <w:jc w:val="both"/>
        <w:rPr>
          <w:color w:val="000000" w:themeColor="text1"/>
          <w:sz w:val="16"/>
          <w:szCs w:val="16"/>
        </w:rPr>
      </w:pPr>
      <w:r w:rsidRPr="00507A31">
        <w:rPr>
          <w:color w:val="000000" w:themeColor="text1"/>
          <w:sz w:val="16"/>
          <w:szCs w:val="16"/>
        </w:rPr>
        <w:t>ЗАВ. С.О. ЦК</w:t>
      </w:r>
    </w:p>
    <w:p w14:paraId="52641175" w14:textId="77777777" w:rsidR="00AA33CA" w:rsidRPr="00507A31" w:rsidRDefault="00AA33CA" w:rsidP="00507A31">
      <w:pPr>
        <w:jc w:val="both"/>
        <w:rPr>
          <w:color w:val="000000" w:themeColor="text1"/>
          <w:sz w:val="16"/>
          <w:szCs w:val="16"/>
        </w:rPr>
      </w:pPr>
      <w:r w:rsidRPr="00507A31">
        <w:rPr>
          <w:color w:val="000000" w:themeColor="text1"/>
          <w:sz w:val="16"/>
          <w:szCs w:val="16"/>
        </w:rPr>
        <w:t>Д. 355. Л. 85. Машинописный отпуск на бланке ЦК ВКП(б), подпись отсутствует (18521).</w:t>
      </w:r>
    </w:p>
    <w:p w14:paraId="63FE91BD" w14:textId="4C6596EB" w:rsidR="00AA33CA" w:rsidRPr="00507A31" w:rsidRDefault="00AA33CA" w:rsidP="00507A31">
      <w:pPr>
        <w:jc w:val="both"/>
        <w:rPr>
          <w:color w:val="000000" w:themeColor="text1"/>
          <w:sz w:val="16"/>
          <w:szCs w:val="16"/>
        </w:rPr>
      </w:pPr>
    </w:p>
    <w:p w14:paraId="705BA17D" w14:textId="61D307E0" w:rsidR="00CF6BF3" w:rsidRPr="00507A31" w:rsidRDefault="00CF6BF3" w:rsidP="00507A31">
      <w:pPr>
        <w:jc w:val="both"/>
        <w:rPr>
          <w:i/>
          <w:iCs/>
          <w:color w:val="000000" w:themeColor="text1"/>
          <w:sz w:val="16"/>
          <w:szCs w:val="16"/>
        </w:rPr>
      </w:pPr>
      <w:r w:rsidRPr="00507A31">
        <w:rPr>
          <w:i/>
          <w:iCs/>
          <w:color w:val="000000" w:themeColor="text1"/>
          <w:sz w:val="16"/>
          <w:szCs w:val="16"/>
        </w:rPr>
        <w:t>За рубежом:</w:t>
      </w:r>
    </w:p>
    <w:p w14:paraId="28D9C9BF" w14:textId="77777777" w:rsidR="00CF6BF3" w:rsidRPr="00507A31" w:rsidRDefault="00CF6BF3" w:rsidP="00507A31">
      <w:pPr>
        <w:jc w:val="both"/>
        <w:rPr>
          <w:i/>
          <w:iCs/>
          <w:color w:val="000000" w:themeColor="text1"/>
          <w:sz w:val="16"/>
          <w:szCs w:val="16"/>
        </w:rPr>
      </w:pPr>
    </w:p>
    <w:p w14:paraId="32C644C9" w14:textId="77777777" w:rsidR="00CF6BF3" w:rsidRPr="00507A31" w:rsidRDefault="00CF6BF3" w:rsidP="00507A31">
      <w:pPr>
        <w:jc w:val="both"/>
        <w:rPr>
          <w:color w:val="0070C0"/>
          <w:sz w:val="16"/>
          <w:szCs w:val="16"/>
        </w:rPr>
      </w:pPr>
      <w:r w:rsidRPr="00507A31">
        <w:rPr>
          <w:color w:val="0070C0"/>
          <w:sz w:val="16"/>
          <w:szCs w:val="16"/>
        </w:rPr>
        <w:t>Первая неделя ноября 1930 первый полет Couzinet 20  (20805).</w:t>
      </w:r>
    </w:p>
    <w:p w14:paraId="7B49B0FA" w14:textId="77777777" w:rsidR="00CF6BF3" w:rsidRPr="00507A31" w:rsidRDefault="00CF6BF3" w:rsidP="00507A31">
      <w:pPr>
        <w:jc w:val="both"/>
        <w:rPr>
          <w:color w:val="0070C0"/>
          <w:sz w:val="16"/>
          <w:szCs w:val="16"/>
        </w:rPr>
      </w:pPr>
    </w:p>
    <w:p w14:paraId="3829F081" w14:textId="77777777" w:rsidR="00AA33CA" w:rsidRPr="00507A31" w:rsidRDefault="00AA33CA"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BFC4D78" w14:textId="77777777" w:rsidR="00AA33CA" w:rsidRPr="00507A31" w:rsidRDefault="00AA33CA" w:rsidP="00507A31">
      <w:pPr>
        <w:autoSpaceDE w:val="0"/>
        <w:autoSpaceDN w:val="0"/>
        <w:adjustRightInd w:val="0"/>
        <w:jc w:val="both"/>
        <w:rPr>
          <w:color w:val="000000" w:themeColor="text1"/>
          <w:sz w:val="16"/>
          <w:szCs w:val="16"/>
        </w:rPr>
      </w:pPr>
    </w:p>
    <w:p w14:paraId="5934CECE" w14:textId="77777777" w:rsidR="00AA33CA" w:rsidRPr="00507A31" w:rsidRDefault="00AA33CA" w:rsidP="00507A31">
      <w:pPr>
        <w:jc w:val="both"/>
        <w:rPr>
          <w:bCs/>
          <w:color w:val="000000" w:themeColor="text1"/>
          <w:sz w:val="16"/>
          <w:szCs w:val="16"/>
        </w:rPr>
      </w:pPr>
      <w:r w:rsidRPr="00507A31">
        <w:rPr>
          <w:color w:val="000000" w:themeColor="text1"/>
          <w:sz w:val="16"/>
          <w:szCs w:val="16"/>
        </w:rPr>
        <w:t>8 ноября 1930 г.</w:t>
      </w:r>
    </w:p>
    <w:p w14:paraId="59EEA959" w14:textId="77777777" w:rsidR="00AA33CA" w:rsidRPr="00507A31" w:rsidRDefault="00AA33CA" w:rsidP="00507A31">
      <w:pPr>
        <w:jc w:val="both"/>
        <w:rPr>
          <w:bCs/>
          <w:color w:val="000000" w:themeColor="text1"/>
          <w:sz w:val="16"/>
          <w:szCs w:val="16"/>
        </w:rPr>
      </w:pPr>
      <w:r w:rsidRPr="00507A31">
        <w:rPr>
          <w:color w:val="000000" w:themeColor="text1"/>
          <w:sz w:val="16"/>
          <w:szCs w:val="16"/>
        </w:rPr>
        <w:t>Из заявления арестованного по «делу “Промпартии”» инженера-технолога С. И. Краузе помощнику прокурора РСФСР по надзору над ОГПУ Р. П. Катаняну с протестом против ареста и методов следствия. 8 ноября 1930 г.</w:t>
      </w:r>
    </w:p>
    <w:p w14:paraId="33E3A67B" w14:textId="77777777" w:rsidR="00AA33CA" w:rsidRPr="00507A31" w:rsidRDefault="00AA33CA" w:rsidP="00507A31">
      <w:pPr>
        <w:jc w:val="both"/>
        <w:rPr>
          <w:bCs/>
          <w:color w:val="000000" w:themeColor="text1"/>
          <w:sz w:val="16"/>
          <w:szCs w:val="16"/>
        </w:rPr>
      </w:pPr>
      <w:r w:rsidRPr="00507A31">
        <w:rPr>
          <w:bCs/>
          <w:color w:val="000000" w:themeColor="text1"/>
          <w:sz w:val="16"/>
          <w:szCs w:val="16"/>
        </w:rPr>
        <w:t>Источник: </w:t>
      </w:r>
    </w:p>
    <w:p w14:paraId="3F768CC8" w14:textId="77777777" w:rsidR="00AA33CA" w:rsidRPr="00507A31" w:rsidRDefault="00AA33C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03B52A" w14:textId="77777777" w:rsidR="00AA33CA" w:rsidRPr="00507A31" w:rsidRDefault="00AA33CA" w:rsidP="00507A31">
      <w:pPr>
        <w:pStyle w:val="rteright"/>
        <w:spacing w:before="0" w:after="0"/>
        <w:jc w:val="both"/>
        <w:rPr>
          <w:color w:val="000000" w:themeColor="text1"/>
          <w:sz w:val="16"/>
          <w:szCs w:val="16"/>
        </w:rPr>
      </w:pPr>
      <w:r w:rsidRPr="00507A31">
        <w:rPr>
          <w:color w:val="000000" w:themeColor="text1"/>
          <w:sz w:val="16"/>
          <w:szCs w:val="16"/>
        </w:rPr>
        <w:t>8 ноября 1930 г.</w:t>
      </w:r>
    </w:p>
    <w:p w14:paraId="2349E44D" w14:textId="77777777" w:rsidR="00AA33CA" w:rsidRPr="00507A31" w:rsidRDefault="00AA33CA" w:rsidP="00507A31">
      <w:pPr>
        <w:pStyle w:val="rteindent1"/>
        <w:spacing w:before="0" w:beforeAutospacing="0" w:after="0" w:afterAutospacing="0"/>
        <w:jc w:val="both"/>
        <w:rPr>
          <w:color w:val="000000" w:themeColor="text1"/>
          <w:sz w:val="16"/>
          <w:szCs w:val="16"/>
        </w:rPr>
      </w:pPr>
      <w:r w:rsidRPr="00507A31">
        <w:rPr>
          <w:color w:val="000000" w:themeColor="text1"/>
          <w:sz w:val="16"/>
          <w:szCs w:val="16"/>
        </w:rPr>
        <w:t>Прокурору ОГПУ</w:t>
      </w:r>
    </w:p>
    <w:p w14:paraId="64C821DB" w14:textId="77777777" w:rsidR="00AA33CA" w:rsidRPr="00507A31" w:rsidRDefault="00AA33CA" w:rsidP="00507A31">
      <w:pPr>
        <w:pStyle w:val="rteindent1"/>
        <w:spacing w:before="0" w:beforeAutospacing="0" w:after="0" w:afterAutospacing="0"/>
        <w:jc w:val="both"/>
        <w:rPr>
          <w:color w:val="000000" w:themeColor="text1"/>
          <w:sz w:val="16"/>
          <w:szCs w:val="16"/>
        </w:rPr>
      </w:pPr>
      <w:r w:rsidRPr="00507A31">
        <w:rPr>
          <w:color w:val="000000" w:themeColor="text1"/>
          <w:sz w:val="16"/>
          <w:szCs w:val="16"/>
        </w:rPr>
        <w:t>Заявление инженера-технолога Сергея Иеронимовича Краузе Пом. зав. экономическим сектором Государственного института по проектированию металлургических заводов («ГИПРОМЕЗ») 8/XI-1930 г. Москва, Внутренняя тюрьма</w:t>
      </w:r>
    </w:p>
    <w:p w14:paraId="6CC7BE20" w14:textId="77777777" w:rsidR="00AA33CA" w:rsidRPr="00507A31" w:rsidRDefault="00AA33CA" w:rsidP="00507A31">
      <w:pPr>
        <w:pStyle w:val="rtecenter"/>
        <w:spacing w:before="0" w:after="0"/>
        <w:jc w:val="both"/>
        <w:rPr>
          <w:color w:val="000000" w:themeColor="text1"/>
          <w:sz w:val="16"/>
          <w:szCs w:val="16"/>
        </w:rPr>
      </w:pPr>
      <w:r w:rsidRPr="00507A31">
        <w:rPr>
          <w:color w:val="000000" w:themeColor="text1"/>
          <w:sz w:val="16"/>
          <w:szCs w:val="16"/>
        </w:rPr>
        <w:t>Заявление</w:t>
      </w:r>
    </w:p>
    <w:p w14:paraId="45D5BD39"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26 октября в Ленинграде, на службе, в помещении «Гипромеза» я был арестован и после кратковременного пребывания в ДПЗ [меня] привезли в Москву. На допросе мне было предъявлено обвинение в принадлежности к Промышленной партии в качестве лица, которое должно было организовать в Ленинграде покушения на заводы при посредстве конкретно указанных лиц, именно — профессоров-теплотехников Кирпичева и Шретера, причем мне было заявлено следователем, что ему не нужны мои доказательства невиновности, мои соображения о причинах обвинения и прочее, а что требуется мое полное и безоговорочное признание, т. к. для ГПУ, по его заявлению, существующих показаний достаточно, а мое признание требуется в целях смягчения моей участи.</w:t>
      </w:r>
    </w:p>
    <w:p w14:paraId="33C90741"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Я тогда же заявил, что абсолютно ничего по данному делу не знаю, а следовательно лишен физической возможности сделать какое-либо признание в духе, желательном для т. следователя, и что предъявленные мне два показания Рамзина и Предтеченского в части меня являются оговором, абсолютно ни на чем не основанном. Последующие два допроса не сдвинули следствие с этой позиции, но мне было заявлено, что мое нежелание признать себя виновным будет рассматриваться как объявление борьбы ОГПУ, что ОГПУ располагает средствами сломить упорство гораздо более крепких людей, чем я, что весь этот комплекс сильных средств воздействия, о силе которых я подозревать не могу, будет применен ко мне, и что я пожалею о том, что сразу во всем не признался, или не «разоружился».</w:t>
      </w:r>
    </w:p>
    <w:p w14:paraId="42281065"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Все изложенное привело меня к следующим заключениям:</w:t>
      </w:r>
    </w:p>
    <w:p w14:paraId="1609CCFC" w14:textId="77777777" w:rsidR="00AA33CA" w:rsidRPr="00507A31" w:rsidRDefault="00AA33CA" w:rsidP="00507A31">
      <w:pPr>
        <w:numPr>
          <w:ilvl w:val="0"/>
          <w:numId w:val="58"/>
        </w:numPr>
        <w:ind w:left="0" w:firstLine="0"/>
        <w:jc w:val="both"/>
        <w:rPr>
          <w:color w:val="000000" w:themeColor="text1"/>
          <w:sz w:val="16"/>
          <w:szCs w:val="16"/>
        </w:rPr>
      </w:pPr>
      <w:r w:rsidRPr="00507A31">
        <w:rPr>
          <w:color w:val="000000" w:themeColor="text1"/>
          <w:sz w:val="16"/>
          <w:szCs w:val="16"/>
        </w:rPr>
        <w:t>Еще до начала следствия, по голословному оговору я считаюсь обвиненным, т. к. ни одна моя попытка к анализу оправдательных мотивов или мотивов обвинения не была допущена, — требовалось, повторяю, безоговорочное сознание; такое положение в следствии не может считаться ни закономерным, ни приближающим следствие к истине.</w:t>
      </w:r>
    </w:p>
    <w:p w14:paraId="11098E4E" w14:textId="77777777" w:rsidR="00AA33CA" w:rsidRPr="00507A31" w:rsidRDefault="00AA33CA" w:rsidP="00507A31">
      <w:pPr>
        <w:numPr>
          <w:ilvl w:val="0"/>
          <w:numId w:val="58"/>
        </w:numPr>
        <w:ind w:left="0" w:firstLine="0"/>
        <w:jc w:val="both"/>
        <w:rPr>
          <w:color w:val="000000" w:themeColor="text1"/>
          <w:sz w:val="16"/>
          <w:szCs w:val="16"/>
        </w:rPr>
      </w:pPr>
      <w:r w:rsidRPr="00507A31">
        <w:rPr>
          <w:color w:val="000000" w:themeColor="text1"/>
          <w:sz w:val="16"/>
          <w:szCs w:val="16"/>
        </w:rPr>
        <w:t>Не имея оснований не верить т. следователю, надо допустить, что он располагает такими средствами воздействия, которые способны &lt;заставить&gt; людей, очень стойких, признаваться в вещах, в которых они упорно не сознавались; я не знаю средств т. следователя, но история следственного дела вообще знает факты, когда люди признавались в выезде на помеле через трубу, хотя современная наука, конечно, решительно отвергает возможность подобного способа перемещения по воздуху. В данном, т. е. моем случае, требование признания в преступлениях, которых я не совершал, может привести только к одному результату — собственному моему оговору, если средства т. следователя окажутся крепче моей нервной системы, что весьма возможно, т. к. я их, этих средств, не знаю.</w:t>
      </w:r>
    </w:p>
    <w:p w14:paraId="36A50700"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 силу всего изложенного, считая, что дело, в котором я обвиняюсь, имеет громадное значение, и общественное, и политическое, и что следствие этим способом ведения не даст, или не может дать результатов, истинно освещающих дело и виновность отдельных обвиняемых, я обращаюсь к Вам, т. Прокурор, с нижеследующим заявлением, вынужденный к тому нежеланием т. следователя вообще допускать разговор на все темы, исключая «признания» в несовершенных мною преступлениях.</w:t>
      </w:r>
    </w:p>
    <w:p w14:paraId="740A5B78" w14:textId="77777777" w:rsidR="00AA33CA" w:rsidRPr="00507A31" w:rsidRDefault="00AA33CA" w:rsidP="00507A31">
      <w:pPr>
        <w:numPr>
          <w:ilvl w:val="0"/>
          <w:numId w:val="59"/>
        </w:numPr>
        <w:ind w:left="0" w:firstLine="0"/>
        <w:jc w:val="both"/>
        <w:rPr>
          <w:color w:val="000000" w:themeColor="text1"/>
          <w:sz w:val="16"/>
          <w:szCs w:val="16"/>
        </w:rPr>
      </w:pPr>
      <w:r w:rsidRPr="00507A31">
        <w:rPr>
          <w:color w:val="000000" w:themeColor="text1"/>
          <w:sz w:val="16"/>
          <w:szCs w:val="16"/>
        </w:rPr>
        <w:t>Прежде всего я еще раз письменно подтверждаю, что о Промышленной партии узнал из газетных уведомлений ОГПУ, что показания Рамзина и Предтеченского, предъявленные мне — есть абсолютно ни на чем не основанный оговор, причина которого мне неизвестна, но о цели, с какой это сделано, — я имею свои соображения, которые изложу ниже; что профессоров Кирпичева и Шретера я не видел ни лично[,] ни по телефону даже не говорил, начиная с начала 1928 г.</w:t>
      </w:r>
    </w:p>
    <w:p w14:paraId="4C640DF1" w14:textId="77777777" w:rsidR="00AA33CA" w:rsidRPr="00507A31" w:rsidRDefault="00AA33CA" w:rsidP="00507A31">
      <w:pPr>
        <w:numPr>
          <w:ilvl w:val="0"/>
          <w:numId w:val="59"/>
        </w:numPr>
        <w:ind w:left="0" w:firstLine="0"/>
        <w:jc w:val="both"/>
        <w:rPr>
          <w:color w:val="000000" w:themeColor="text1"/>
          <w:sz w:val="16"/>
          <w:szCs w:val="16"/>
        </w:rPr>
      </w:pPr>
      <w:r w:rsidRPr="00507A31">
        <w:rPr>
          <w:color w:val="000000" w:themeColor="text1"/>
          <w:sz w:val="16"/>
          <w:szCs w:val="16"/>
        </w:rPr>
        <w:t>20 марта 1929 г. я поступил в «Гипромез», был загружен до того дня громадной по объему и значению работой: реконструкция завода им. Дзержинского, затем проблемой Ленинградской металлургии, затем с 6 июля 1929 г. всей «Югосталью». С указанного числа я потерял всяческую фактическую связь с Теплотехническим институтом, через Монтажное Бюро, где до этого служил, причем Рамзина последний раз видел за много времени до 20 марта 1929 г. Лишь с Предтеченским виделся в качестве обыкновенного знакомого, считая его человеком честным, советским, неспособным ни на какой-либо подлый по отношению к Советской власти поступок, — так я раньше его расценивал.</w:t>
      </w:r>
    </w:p>
    <w:p w14:paraId="3577C06D" w14:textId="77777777" w:rsidR="00AA33CA" w:rsidRPr="00507A31" w:rsidRDefault="00AA33CA" w:rsidP="00507A31">
      <w:pPr>
        <w:numPr>
          <w:ilvl w:val="0"/>
          <w:numId w:val="59"/>
        </w:numPr>
        <w:ind w:left="0" w:firstLine="0"/>
        <w:jc w:val="both"/>
        <w:rPr>
          <w:color w:val="000000" w:themeColor="text1"/>
          <w:sz w:val="16"/>
          <w:szCs w:val="16"/>
        </w:rPr>
      </w:pPr>
      <w:r w:rsidRPr="00507A31">
        <w:rPr>
          <w:color w:val="000000" w:themeColor="text1"/>
          <w:sz w:val="16"/>
          <w:szCs w:val="16"/>
        </w:rPr>
        <w:t>Моя политическая установка сводится к следующему — я беспартийный, но целиком и полностью &lt;поддерживаю&gt; тот прямой, крепкий и правильный курс политики, которую осуществляет в деле экономического развития страны и политического развития масс Коммунистическая партия. [...]</w:t>
      </w:r>
    </w:p>
    <w:p w14:paraId="4E1DE253" w14:textId="77777777" w:rsidR="00AA33CA" w:rsidRPr="00507A31" w:rsidRDefault="00AA33CA" w:rsidP="00507A31">
      <w:pPr>
        <w:numPr>
          <w:ilvl w:val="0"/>
          <w:numId w:val="59"/>
        </w:numPr>
        <w:ind w:left="0" w:firstLine="0"/>
        <w:jc w:val="both"/>
        <w:rPr>
          <w:color w:val="000000" w:themeColor="text1"/>
          <w:sz w:val="16"/>
          <w:szCs w:val="16"/>
        </w:rPr>
      </w:pPr>
      <w:r w:rsidRPr="00507A31">
        <w:rPr>
          <w:color w:val="000000" w:themeColor="text1"/>
          <w:sz w:val="16"/>
          <w:szCs w:val="16"/>
        </w:rPr>
        <w:t>Мое объяснение оговоров Рамзина. Рамзин, человек весьма талантливый, очевидно попал в безвыходное положение, как контрреволюционер, и решил пропадать с большой помпой и шумом на весь культурный мир. Сколько правды, а сколько вымысла в его сочинении, именуемом «показания», я не берусь судить, как не берусь утверждать, что все это вымысел, ибо отвечать можно только за самого себя. Вероятно, Правда рамзински-талантливо смешана с Ложью, а цель смеси — замешать как можно больше ценных и талантливых людей, снять их с работы и нанести этим огромный вред стране и ее текущим напряженным работам по индустриализации и подготовке кадров.</w:t>
      </w:r>
    </w:p>
    <w:p w14:paraId="6B8063FD"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 области теплотехники он достиг, кажется, этого полностью, ибо все видное и талантливое почти поголовно арестовано и обвиняется по самому ужасному преступлению — терроризму и взрыву заводов.</w:t>
      </w:r>
    </w:p>
    <w:p w14:paraId="3788D8F2"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Эта гнусная провокация лишена, однако, черт подлинной талантливости, т. к. поставить знак равенства между теплотехниками и бомбистами-террористами достаточно нелепо: террорист, как показывает исход революций, должен обладать такими специфически сильными чертами характера, какими вряд ли все известные теплотехники обладают. Среди оговоренных Рамзиным имеется фигура теплотехника, профессор Крауз[е]. Это очень близорукий, очень болезненный эпилептик, при серьезном волнении впадающий в припадок эпилепсии. Согласитесь, т. Прокурор, что для профессора такая фигура колоритная, но для террориста просто смешна.</w:t>
      </w:r>
    </w:p>
    <w:p w14:paraId="17F79575"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Может быть, однако, талантливость композиции Рамзина заключается именно в нелепости фигур, что вскроется лишь в конце следствия? Во всяком случае ясно одно. Рамзин сделал игру, расставил шары, среди которых есть и контрреволюционеры и советские; следствие поставило своей задачей загнать все шары в лузы, обязательно безоговорочно (не желая слышать даже оправданий) и без исключения. Это ли задача следствия? А загнать, конечно, можно, используя все те «сильные» средства, о которых говорил т. следователь. Средний инженер по стойкости не революционер, и, тем более, террорист, а просто обыватель «болота», разслоение которого идет с большим трудом: «болотный» человек, инженер, или кто бы он ни был, за сохранение жизни, хотя бы и оплеванной, готов на все, что угодно, и оплевывает себя сам — это понятно.</w:t>
      </w:r>
    </w:p>
    <w:p w14:paraId="102D5F4E"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Показания С. Предтеченского. Я его не считал способным к подлости, т. е. служить Советской власти и ее предавать. Значит, ошибался. Но, возможно, здесь дело не в подлости, а в трусости. Ведь ему предъявил действительно чересчур много Рамзин — роль главного преступника; арестованы жена, сын, сводный брат (профессор А. А. Предтеченский) — последних трех я видел в камерах 5 на Лубянке № 2 и в камере 11 на Лубянке № 14, — если и следствие употребило свои «сильные» средства, то </w:t>
      </w:r>
      <w:r w:rsidRPr="00507A31">
        <w:rPr>
          <w:color w:val="000000" w:themeColor="text1"/>
          <w:sz w:val="16"/>
          <w:szCs w:val="16"/>
          <w:vertAlign w:val="superscript"/>
        </w:rPr>
        <w:t>г</w:t>
      </w:r>
      <w:r w:rsidRPr="00507A31">
        <w:rPr>
          <w:color w:val="000000" w:themeColor="text1"/>
          <w:sz w:val="16"/>
          <w:szCs w:val="16"/>
        </w:rPr>
        <w:t>что удивительно допустить, что человек «сдал», не нашел единственно правильного выхода или побоялся его, и за чечевичную похлебку, т. е. за оплеванную жизнь, начал повторять за Рамзиным его измышления, целиком и полностью. Это не подлость, это трусость, которая, однако, хуже всякой подлости.</w:t>
      </w:r>
    </w:p>
    <w:p w14:paraId="37ADF6D9"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По[-]видимому, предполагается, что я тоже должен проделать этот путь.</w:t>
      </w:r>
    </w:p>
    <w:p w14:paraId="27E3AF8F"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 силу изложенного, считаю необходимым заявить, что оплеванная жизнь в какой бы то ни было форме, жизнь, равная гражданской смерти, для меня, как гражданина Советского Союза, все силы и способности кладущего на его успешное и быстрейшее строительство, — не приемлема; т. к., с другой стороны, следствие не дает мне иного выхода, то я решил принять единственные доступные мне меры:</w:t>
      </w:r>
    </w:p>
    <w:p w14:paraId="64D2DAC9"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1) Обратиться с протестом к Вам, т. Прокурор, как к охраняющему интересы и честь не только Союза, но и его граждан и 2) объявить голодовку, в знак протеста, во-первых, и, во-вторых, в доказательство того, что я предпочитаю добровольную смерть позорной сделке с совестью. Голодовку начал с 5/XI.</w:t>
      </w:r>
    </w:p>
    <w:p w14:paraId="0820490F"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Вас, т. Прокурор, еще раз прошу опросить названных мной четырех товарищей, т. к. полагаю, что свидетельство и даже мнение четырех старых коммунистов стоит много больше, чем голословные обвинения пары контрреволюционеров, из которых один — по меньшей мере вредитель, если пошел на подобный дьявольский оговор массы нужнейших Союзу специалистов в самое тяжелое для строительства пятилетнего плана время, другой — по меньшей мере, подлый трус.</w:t>
      </w:r>
    </w:p>
    <w:p w14:paraId="599F7779"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Инженер-технолог Сергей Иеронимович Краузе</w:t>
      </w:r>
    </w:p>
    <w:p w14:paraId="55B7518B" w14:textId="77777777" w:rsidR="00AA33CA" w:rsidRPr="00507A31" w:rsidRDefault="00AA33CA" w:rsidP="00507A31">
      <w:pPr>
        <w:pStyle w:val="ae"/>
        <w:spacing w:before="0" w:after="0"/>
        <w:jc w:val="both"/>
        <w:rPr>
          <w:color w:val="000000" w:themeColor="text1"/>
          <w:sz w:val="16"/>
          <w:szCs w:val="16"/>
        </w:rPr>
      </w:pPr>
      <w:r w:rsidRPr="00507A31">
        <w:rPr>
          <w:rStyle w:val="af0"/>
          <w:i w:val="0"/>
          <w:color w:val="000000" w:themeColor="text1"/>
          <w:sz w:val="16"/>
          <w:szCs w:val="16"/>
        </w:rPr>
        <w:t>ЦА ФСБ РФ. Ф. Р-42280. Т. 1. Л. 195-200. Рукописный подлинник, автограф С. И. Краузе. Из текста заявления опущена та часть, где С. И. Краузе описывает свою профессиональную деятельность в «Гипромезе» и указывает имена четырех коммунистов, с которыми он непосредственно работал, с целью запросить у них сведения о его работе. В деле (Л. 192) имеется также заявление С. И. Краузе от 8 ноября 1930 г. начальнику внутренней тюрьмы ОГПУ с просьбой передать по назначению его «заявление прокурору ОГПУ» с резолюцией: «т. Радзивиловскому. 1) Доложить т. Агранову. 2) Предложить нач[альнику] тюрьмы искусственное кормление Краузе, если он не бросит голодовку. 8/ХI» (подпись неразборчива) (18731).</w:t>
      </w:r>
    </w:p>
    <w:p w14:paraId="74C0339C" w14:textId="77777777" w:rsidR="00AA33CA" w:rsidRPr="00507A31" w:rsidRDefault="00AA33CA" w:rsidP="00507A31">
      <w:pPr>
        <w:jc w:val="both"/>
        <w:rPr>
          <w:color w:val="000000" w:themeColor="text1"/>
          <w:sz w:val="16"/>
          <w:szCs w:val="16"/>
        </w:rPr>
      </w:pPr>
    </w:p>
    <w:p w14:paraId="0C88DA0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Жизнь и внутренняя политика:</w:t>
      </w:r>
    </w:p>
    <w:p w14:paraId="7920861E" w14:textId="77777777" w:rsidR="00537E5F" w:rsidRPr="00507A31" w:rsidRDefault="00537E5F" w:rsidP="00507A31">
      <w:pPr>
        <w:autoSpaceDE w:val="0"/>
        <w:autoSpaceDN w:val="0"/>
        <w:adjustRightInd w:val="0"/>
        <w:jc w:val="both"/>
        <w:rPr>
          <w:color w:val="000000" w:themeColor="text1"/>
          <w:sz w:val="16"/>
          <w:szCs w:val="16"/>
        </w:rPr>
      </w:pPr>
    </w:p>
    <w:p w14:paraId="6FC635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ноября 1930 года появилась аббревиа «ГУЛАГ», когда приказом АОУ ОГПУ № 308 был объявлен вводимый с 1 октября (задним числом) штат Главного управления лагерями ОГПУ (96 человек) (7560).</w:t>
      </w:r>
    </w:p>
    <w:p w14:paraId="2207A166" w14:textId="77777777" w:rsidR="00537E5F" w:rsidRPr="00507A31" w:rsidRDefault="00537E5F" w:rsidP="00507A31">
      <w:pPr>
        <w:autoSpaceDE w:val="0"/>
        <w:autoSpaceDN w:val="0"/>
        <w:adjustRightInd w:val="0"/>
        <w:jc w:val="both"/>
        <w:rPr>
          <w:color w:val="000000" w:themeColor="text1"/>
          <w:sz w:val="16"/>
          <w:szCs w:val="16"/>
        </w:rPr>
      </w:pPr>
    </w:p>
    <w:p w14:paraId="19C779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ноября 1930 года приказом АОУ ОГПУ №308 объявлен вводимый с 1 октября (задним числом) штат Главного управления лагерями ОГПУ (96 человек) (8983).</w:t>
      </w:r>
    </w:p>
    <w:p w14:paraId="148E2815" w14:textId="77777777" w:rsidR="00537E5F" w:rsidRPr="00507A31" w:rsidRDefault="00537E5F" w:rsidP="00507A31">
      <w:pPr>
        <w:autoSpaceDE w:val="0"/>
        <w:autoSpaceDN w:val="0"/>
        <w:adjustRightInd w:val="0"/>
        <w:jc w:val="both"/>
        <w:rPr>
          <w:color w:val="000000" w:themeColor="text1"/>
          <w:sz w:val="16"/>
          <w:szCs w:val="16"/>
        </w:rPr>
      </w:pPr>
    </w:p>
    <w:p w14:paraId="2CA460A8" w14:textId="77777777" w:rsidR="00AA33CA" w:rsidRPr="00507A31" w:rsidRDefault="00AA33CA" w:rsidP="00507A31">
      <w:pPr>
        <w:jc w:val="both"/>
        <w:rPr>
          <w:color w:val="000000" w:themeColor="text1"/>
          <w:sz w:val="16"/>
          <w:szCs w:val="16"/>
        </w:rPr>
      </w:pPr>
      <w:r w:rsidRPr="00507A31">
        <w:rPr>
          <w:color w:val="000000" w:themeColor="text1"/>
          <w:sz w:val="16"/>
          <w:szCs w:val="16"/>
        </w:rPr>
        <w:t>9 ноября 1930 г.</w:t>
      </w:r>
    </w:p>
    <w:p w14:paraId="391CDB42" w14:textId="77777777" w:rsidR="00AA33CA" w:rsidRPr="00507A31" w:rsidRDefault="00AA33CA" w:rsidP="00507A31">
      <w:pPr>
        <w:jc w:val="both"/>
        <w:rPr>
          <w:color w:val="000000" w:themeColor="text1"/>
          <w:sz w:val="16"/>
          <w:szCs w:val="16"/>
        </w:rPr>
      </w:pPr>
      <w:r w:rsidRPr="00507A31">
        <w:rPr>
          <w:color w:val="000000" w:themeColor="text1"/>
          <w:sz w:val="16"/>
          <w:szCs w:val="16"/>
        </w:rPr>
        <w:t>Записка бывшего председателя Правления треста МОГЭС К. П. Ловинав ЦК ВКП(б) в связи «с показаниями Рамзина» по вопросам электроснабжения. 9 ноября 1930 г.</w:t>
      </w:r>
    </w:p>
    <w:p w14:paraId="23143EBB" w14:textId="77777777" w:rsidR="00AA33CA" w:rsidRPr="00507A31" w:rsidRDefault="00AA33CA" w:rsidP="00507A31">
      <w:pPr>
        <w:jc w:val="both"/>
        <w:rPr>
          <w:color w:val="000000" w:themeColor="text1"/>
          <w:sz w:val="16"/>
          <w:szCs w:val="16"/>
        </w:rPr>
      </w:pPr>
      <w:r w:rsidRPr="00507A31">
        <w:rPr>
          <w:color w:val="000000" w:themeColor="text1"/>
          <w:sz w:val="16"/>
          <w:szCs w:val="16"/>
        </w:rPr>
        <w:t>Источник: </w:t>
      </w:r>
    </w:p>
    <w:p w14:paraId="5AB757E9" w14:textId="77777777" w:rsidR="00AA33CA" w:rsidRPr="00507A31" w:rsidRDefault="00AA33C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6B46687" w14:textId="77777777" w:rsidR="00AA33CA" w:rsidRPr="00507A31" w:rsidRDefault="00AA33CA" w:rsidP="00507A31">
      <w:pPr>
        <w:jc w:val="both"/>
        <w:rPr>
          <w:color w:val="000000" w:themeColor="text1"/>
          <w:sz w:val="16"/>
          <w:szCs w:val="16"/>
        </w:rPr>
      </w:pPr>
      <w:r w:rsidRPr="00507A31">
        <w:rPr>
          <w:color w:val="000000" w:themeColor="text1"/>
          <w:sz w:val="16"/>
          <w:szCs w:val="16"/>
        </w:rPr>
        <w:t>9 ноября 1930 г.</w:t>
      </w:r>
    </w:p>
    <w:p w14:paraId="11CE1D91" w14:textId="77777777" w:rsidR="00AA33CA" w:rsidRPr="00507A31" w:rsidRDefault="00AA33CA" w:rsidP="00507A31">
      <w:pPr>
        <w:jc w:val="both"/>
        <w:rPr>
          <w:color w:val="000000" w:themeColor="text1"/>
          <w:sz w:val="16"/>
          <w:szCs w:val="16"/>
        </w:rPr>
      </w:pPr>
      <w:r w:rsidRPr="00507A31">
        <w:rPr>
          <w:color w:val="000000" w:themeColor="text1"/>
          <w:sz w:val="16"/>
          <w:szCs w:val="16"/>
        </w:rPr>
        <w:t>В ЦЕНТРАЛЬНЫЙ КОМИТЕТ В.К.П.(б)</w:t>
      </w:r>
    </w:p>
    <w:p w14:paraId="2B50F2F5" w14:textId="77777777" w:rsidR="00AA33CA" w:rsidRPr="00507A31" w:rsidRDefault="00AA33CA" w:rsidP="00507A31">
      <w:pPr>
        <w:jc w:val="both"/>
        <w:rPr>
          <w:color w:val="000000" w:themeColor="text1"/>
          <w:sz w:val="16"/>
          <w:szCs w:val="16"/>
        </w:rPr>
      </w:pPr>
      <w:r w:rsidRPr="00507A31">
        <w:rPr>
          <w:color w:val="000000" w:themeColor="text1"/>
          <w:sz w:val="16"/>
          <w:szCs w:val="16"/>
        </w:rPr>
        <w:t>тов. МОЛОТОВУ.</w:t>
      </w:r>
    </w:p>
    <w:p w14:paraId="5B856C15" w14:textId="77777777" w:rsidR="00AA33CA" w:rsidRPr="00507A31" w:rsidRDefault="00AA33CA" w:rsidP="00507A31">
      <w:pPr>
        <w:jc w:val="both"/>
        <w:rPr>
          <w:color w:val="000000" w:themeColor="text1"/>
          <w:sz w:val="16"/>
          <w:szCs w:val="16"/>
        </w:rPr>
      </w:pPr>
      <w:r w:rsidRPr="00507A31">
        <w:rPr>
          <w:color w:val="000000" w:themeColor="text1"/>
          <w:sz w:val="16"/>
          <w:szCs w:val="16"/>
        </w:rPr>
        <w:t>Препровождаю при сем ряд докладных записок, посланных в разное время как в партийные, так и хозяйственные органы (в период моей работы в МОГЭСе), и основные показатели работы по МОГЭСу. Считаю, что материалы эти могут осветить некоторые вопросы, связанные с показаниями Рамзина.</w:t>
      </w:r>
    </w:p>
    <w:p w14:paraId="28903B9F" w14:textId="77777777" w:rsidR="00AA33CA" w:rsidRPr="00507A31" w:rsidRDefault="00AA33CA" w:rsidP="00507A31">
      <w:pPr>
        <w:jc w:val="both"/>
        <w:rPr>
          <w:color w:val="000000" w:themeColor="text1"/>
          <w:sz w:val="16"/>
          <w:szCs w:val="16"/>
        </w:rPr>
      </w:pPr>
      <w:r w:rsidRPr="00507A31">
        <w:rPr>
          <w:color w:val="000000" w:themeColor="text1"/>
          <w:sz w:val="16"/>
          <w:szCs w:val="16"/>
        </w:rPr>
        <w:t>«9» Ноября 1930 г. П. Ловин</w:t>
      </w:r>
    </w:p>
    <w:p w14:paraId="404BFC02" w14:textId="77777777" w:rsidR="00AA33CA" w:rsidRPr="00507A31" w:rsidRDefault="00AA33CA" w:rsidP="00507A31">
      <w:pPr>
        <w:jc w:val="both"/>
        <w:rPr>
          <w:color w:val="000000" w:themeColor="text1"/>
          <w:sz w:val="16"/>
          <w:szCs w:val="16"/>
        </w:rPr>
      </w:pPr>
      <w:r w:rsidRPr="00507A31">
        <w:rPr>
          <w:color w:val="000000" w:themeColor="text1"/>
          <w:sz w:val="16"/>
          <w:szCs w:val="16"/>
        </w:rPr>
        <w:t>Д. 355. Л. 150. Машинописный подлинник, подпись - автограф. Число в дате вписано от руки (18522).</w:t>
      </w:r>
    </w:p>
    <w:p w14:paraId="3E0FA9E0" w14:textId="77777777" w:rsidR="00AA33CA" w:rsidRPr="00507A31" w:rsidRDefault="00AA33CA" w:rsidP="00507A31">
      <w:pPr>
        <w:jc w:val="both"/>
        <w:rPr>
          <w:color w:val="000000" w:themeColor="text1"/>
          <w:sz w:val="16"/>
          <w:szCs w:val="16"/>
        </w:rPr>
      </w:pPr>
    </w:p>
    <w:p w14:paraId="79F4C559" w14:textId="77777777" w:rsidR="00AA33CA" w:rsidRPr="00507A31" w:rsidRDefault="00AA33CA" w:rsidP="00507A31">
      <w:pPr>
        <w:jc w:val="both"/>
        <w:rPr>
          <w:bCs/>
          <w:color w:val="000000" w:themeColor="text1"/>
          <w:sz w:val="16"/>
          <w:szCs w:val="16"/>
        </w:rPr>
      </w:pPr>
      <w:r w:rsidRPr="00507A31">
        <w:rPr>
          <w:color w:val="000000" w:themeColor="text1"/>
          <w:sz w:val="16"/>
          <w:szCs w:val="16"/>
        </w:rPr>
        <w:t>9 ноября 1930 г.</w:t>
      </w:r>
    </w:p>
    <w:p w14:paraId="3E43D268" w14:textId="77777777" w:rsidR="00AA33CA" w:rsidRPr="00507A31" w:rsidRDefault="00AA33CA" w:rsidP="00507A31">
      <w:pPr>
        <w:jc w:val="both"/>
        <w:rPr>
          <w:bCs/>
          <w:color w:val="000000" w:themeColor="text1"/>
          <w:sz w:val="16"/>
          <w:szCs w:val="16"/>
        </w:rPr>
      </w:pPr>
      <w:r w:rsidRPr="00507A31">
        <w:rPr>
          <w:color w:val="000000" w:themeColor="text1"/>
          <w:sz w:val="16"/>
          <w:szCs w:val="16"/>
        </w:rPr>
        <w:t>Возражения профессора И. А. Калинникова по ряду предъявленных ему следователем по важнейшим делам при прокуроре РСФСР Э. Э. Левентоном обвинений. 9 ноября 1930 г.</w:t>
      </w:r>
    </w:p>
    <w:p w14:paraId="4AEBA8FC" w14:textId="77777777" w:rsidR="00AA33CA" w:rsidRPr="00507A31" w:rsidRDefault="00AA33CA" w:rsidP="00507A31">
      <w:pPr>
        <w:jc w:val="both"/>
        <w:rPr>
          <w:bCs/>
          <w:color w:val="000000" w:themeColor="text1"/>
          <w:sz w:val="16"/>
          <w:szCs w:val="16"/>
        </w:rPr>
      </w:pPr>
      <w:r w:rsidRPr="00507A31">
        <w:rPr>
          <w:bCs/>
          <w:color w:val="000000" w:themeColor="text1"/>
          <w:sz w:val="16"/>
          <w:szCs w:val="16"/>
        </w:rPr>
        <w:t>Источник: </w:t>
      </w:r>
    </w:p>
    <w:p w14:paraId="4DBEB725" w14:textId="77777777" w:rsidR="00AA33CA" w:rsidRPr="00507A31" w:rsidRDefault="00AA33C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884D9FD" w14:textId="77777777" w:rsidR="00AA33CA" w:rsidRPr="00507A31" w:rsidRDefault="00AA33CA" w:rsidP="00507A31">
      <w:pPr>
        <w:pStyle w:val="rteright"/>
        <w:spacing w:before="0" w:after="0"/>
        <w:jc w:val="both"/>
        <w:rPr>
          <w:color w:val="000000" w:themeColor="text1"/>
          <w:sz w:val="16"/>
          <w:szCs w:val="16"/>
        </w:rPr>
      </w:pPr>
      <w:r w:rsidRPr="00507A31">
        <w:rPr>
          <w:color w:val="000000" w:themeColor="text1"/>
          <w:sz w:val="16"/>
          <w:szCs w:val="16"/>
        </w:rPr>
        <w:t>9 ноября 1930 г.</w:t>
      </w:r>
    </w:p>
    <w:p w14:paraId="0BAB86B2"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Виновным себя признаю в следующем: я состоял в Инженерном Центре, участвовал в образовании Промпартии, являлся все время и вплоть до ареста членом ЦК Промпартии, знал о целях Промпартии, ее связях с Торгпромом, о связях с Французским правительством через посольство в Москве, с Французским генштабом.</w:t>
      </w:r>
    </w:p>
    <w:p w14:paraId="4E5B0E97"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И по всем этим моментам я целиком и полностью подтверждаю все данные мной ОГПУ показания. Однако должен заявить, что я не участвовал в получении денег от Торгпрома, пересылавшихся через Кюфера, не участвовал и в их распределении. Правда, Ларичев предлагал мне деньги за составление экономических обзоров, пересылавшихся Торгпрому через Кюфера, но я обзоров этих не составлял, а потому я отказался от получения этих денег. Ларичев предлагал мне также распределять деньги между вредительскими организациями, но я отказался от этого, так как я не имел персональных связей на производстве.</w:t>
      </w:r>
    </w:p>
    <w:p w14:paraId="164B8BFA"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Моя вредительская работа проходила в области сводки промышленного плана и дополнительно по металлопромышленности. Смысл этой работы заключался в таком планировании, которое, с одной стороны, сдерживало бы темпы развития промышленности, а с другой — создавало бы диспропорции в развитии отдельных отраслей промышленности, что, в свою очередь, должно было вызвать кризисное состояние в экономике страны.</w:t>
      </w:r>
    </w:p>
    <w:p w14:paraId="6B45B67B"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И. Калинников</w:t>
      </w:r>
    </w:p>
    <w:p w14:paraId="6C768384" w14:textId="77777777" w:rsidR="00AA33CA" w:rsidRPr="00507A31" w:rsidRDefault="00AA33CA" w:rsidP="00507A31">
      <w:pPr>
        <w:pStyle w:val="ae"/>
        <w:spacing w:before="0" w:after="0"/>
        <w:jc w:val="both"/>
        <w:rPr>
          <w:color w:val="000000" w:themeColor="text1"/>
          <w:sz w:val="16"/>
          <w:szCs w:val="16"/>
        </w:rPr>
      </w:pPr>
      <w:r w:rsidRPr="00507A31">
        <w:rPr>
          <w:color w:val="000000" w:themeColor="text1"/>
          <w:sz w:val="16"/>
          <w:szCs w:val="16"/>
        </w:rPr>
        <w:t>Следователь по важнейшим делам при Прокуроре Республики (Левентон)</w:t>
      </w:r>
    </w:p>
    <w:p w14:paraId="19A06274" w14:textId="77777777" w:rsidR="00AA33CA" w:rsidRPr="00507A31" w:rsidRDefault="00AA33CA" w:rsidP="00507A31">
      <w:pPr>
        <w:pStyle w:val="ae"/>
        <w:spacing w:before="0" w:after="0"/>
        <w:jc w:val="both"/>
        <w:rPr>
          <w:color w:val="000000" w:themeColor="text1"/>
          <w:sz w:val="16"/>
          <w:szCs w:val="16"/>
        </w:rPr>
      </w:pPr>
      <w:r w:rsidRPr="00507A31">
        <w:rPr>
          <w:rStyle w:val="af0"/>
          <w:i w:val="0"/>
          <w:color w:val="000000" w:themeColor="text1"/>
          <w:sz w:val="16"/>
          <w:szCs w:val="16"/>
        </w:rPr>
        <w:t>ЦА ФСБ РФ. Ф. Р-42280. Т. 10. Л. 166-166 об. Машинописная копия того времени (18732).</w:t>
      </w:r>
    </w:p>
    <w:p w14:paraId="38EDCD97" w14:textId="77777777" w:rsidR="00AA33CA" w:rsidRPr="00507A31" w:rsidRDefault="00AA33CA" w:rsidP="00507A31">
      <w:pPr>
        <w:jc w:val="both"/>
        <w:rPr>
          <w:color w:val="000000" w:themeColor="text1"/>
          <w:sz w:val="16"/>
          <w:szCs w:val="16"/>
        </w:rPr>
      </w:pPr>
    </w:p>
    <w:p w14:paraId="15F4DE5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E028A31" w14:textId="77777777" w:rsidR="00537E5F" w:rsidRPr="00507A31" w:rsidRDefault="00537E5F" w:rsidP="00507A31">
      <w:pPr>
        <w:autoSpaceDE w:val="0"/>
        <w:autoSpaceDN w:val="0"/>
        <w:adjustRightInd w:val="0"/>
        <w:jc w:val="both"/>
        <w:rPr>
          <w:iCs/>
          <w:color w:val="000000" w:themeColor="text1"/>
          <w:sz w:val="16"/>
          <w:szCs w:val="16"/>
        </w:rPr>
      </w:pPr>
    </w:p>
    <w:p w14:paraId="727C6A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ноября 1930 г. вышел Приказ о проведении войсковых испытаний И-5 в 73-м отряде 5-й авиабригады в Киеве Командовал отрядом лётчик Павлушев. В том же месяце в Киев доставили пять И-5 (из них два - резервных). От НИИ ВВС на испытания откомандировали лётчика И.Я. Козлова и инженера И.Ф. Петрова. Новые машины пилотировали Павлушев, Овчинников, Окуневич, Томбак и Страдзин.</w:t>
      </w:r>
    </w:p>
    <w:p w14:paraId="2A19C4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Полёты велись с 28 ноября 1930 г. по 24 января 1931 г. На аэродроме уже лежал снег, поэтому колёса заменили на лыжи.</w:t>
      </w:r>
    </w:p>
    <w:p w14:paraId="398C1C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4F3EAC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бензи-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3265F2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Страдзин в районе Поста- Волынского попытался выполнить петлю на недопустимо низкой высоте (около 150 м) и врезался в землю.</w:t>
      </w:r>
    </w:p>
    <w:p w14:paraId="0C14E6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18CD3A5C" w14:textId="77777777" w:rsidR="00537E5F" w:rsidRPr="00507A31" w:rsidRDefault="00537E5F" w:rsidP="00507A31">
      <w:pPr>
        <w:autoSpaceDE w:val="0"/>
        <w:autoSpaceDN w:val="0"/>
        <w:adjustRightInd w:val="0"/>
        <w:jc w:val="both"/>
        <w:rPr>
          <w:color w:val="000000" w:themeColor="text1"/>
          <w:sz w:val="16"/>
          <w:szCs w:val="16"/>
        </w:rPr>
      </w:pPr>
    </w:p>
    <w:p w14:paraId="1444A202" w14:textId="77777777" w:rsidR="005E0B98" w:rsidRPr="00507A31" w:rsidRDefault="005E0B98" w:rsidP="00507A31">
      <w:pPr>
        <w:jc w:val="both"/>
        <w:rPr>
          <w:color w:val="000000" w:themeColor="text1"/>
          <w:sz w:val="16"/>
          <w:szCs w:val="16"/>
        </w:rPr>
      </w:pPr>
      <w:r w:rsidRPr="00507A31">
        <w:rPr>
          <w:color w:val="000000" w:themeColor="text1"/>
          <w:sz w:val="16"/>
          <w:szCs w:val="16"/>
        </w:rPr>
        <w:t>10 ноября 1930 года был заложен первый камень в строительстве ГПЗ-1, а в начале 1931 года - первые цеха (механосборочный, инструментальный и кузнечный). В июле начало поступать оборудование, закупленное в США, Италии и Германии.</w:t>
      </w:r>
    </w:p>
    <w:p w14:paraId="2807DE40" w14:textId="77777777" w:rsidR="005E0B98" w:rsidRPr="00507A31" w:rsidRDefault="005E0B98" w:rsidP="00507A31">
      <w:pPr>
        <w:jc w:val="both"/>
        <w:rPr>
          <w:color w:val="000000" w:themeColor="text1"/>
          <w:sz w:val="16"/>
          <w:szCs w:val="16"/>
        </w:rPr>
      </w:pPr>
      <w:r w:rsidRPr="00507A31">
        <w:rPr>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50E60794" w14:textId="77777777" w:rsidR="005E0B98" w:rsidRPr="00507A31" w:rsidRDefault="005E0B98" w:rsidP="00507A31">
      <w:pPr>
        <w:jc w:val="both"/>
        <w:rPr>
          <w:color w:val="000000" w:themeColor="text1"/>
          <w:sz w:val="16"/>
          <w:szCs w:val="16"/>
        </w:rPr>
      </w:pPr>
      <w:r w:rsidRPr="00507A31">
        <w:rPr>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23BD99CD" w14:textId="77777777" w:rsidR="005E0B98" w:rsidRPr="00507A31" w:rsidRDefault="005E0B98" w:rsidP="00507A31">
      <w:pPr>
        <w:jc w:val="both"/>
        <w:rPr>
          <w:color w:val="000000" w:themeColor="text1"/>
          <w:sz w:val="16"/>
          <w:szCs w:val="16"/>
        </w:rPr>
      </w:pPr>
    </w:p>
    <w:p w14:paraId="47689E45" w14:textId="77777777" w:rsidR="00CF6BF3" w:rsidRPr="00507A31" w:rsidRDefault="00CF6BF3"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38C8D8B" w14:textId="77777777" w:rsidR="00CF6BF3" w:rsidRPr="00507A31" w:rsidRDefault="00CF6BF3" w:rsidP="00507A31">
      <w:pPr>
        <w:autoSpaceDE w:val="0"/>
        <w:autoSpaceDN w:val="0"/>
        <w:adjustRightInd w:val="0"/>
        <w:jc w:val="both"/>
        <w:rPr>
          <w:iCs/>
          <w:color w:val="000000" w:themeColor="text1"/>
          <w:sz w:val="16"/>
          <w:szCs w:val="16"/>
        </w:rPr>
      </w:pPr>
    </w:p>
    <w:p w14:paraId="2D44FC6E" w14:textId="77777777" w:rsidR="00CF6BF3" w:rsidRPr="00507A31" w:rsidRDefault="00CF6BF3" w:rsidP="00507A31">
      <w:pPr>
        <w:jc w:val="both"/>
        <w:rPr>
          <w:color w:val="0070C0"/>
          <w:sz w:val="16"/>
          <w:szCs w:val="16"/>
        </w:rPr>
      </w:pPr>
      <w:r w:rsidRPr="00507A31">
        <w:rPr>
          <w:color w:val="0070C0"/>
          <w:sz w:val="16"/>
          <w:szCs w:val="16"/>
        </w:rPr>
        <w:t>10 ноября 1930 г. опросом членов ПБ</w:t>
      </w:r>
    </w:p>
    <w:p w14:paraId="4A94E3AC" w14:textId="77777777" w:rsidR="00CF6BF3" w:rsidRPr="00507A31" w:rsidRDefault="00CF6BF3" w:rsidP="00507A31">
      <w:pPr>
        <w:jc w:val="both"/>
        <w:rPr>
          <w:color w:val="0070C0"/>
          <w:sz w:val="16"/>
          <w:szCs w:val="16"/>
        </w:rPr>
      </w:pPr>
      <w:r w:rsidRPr="00507A31">
        <w:rPr>
          <w:color w:val="0070C0"/>
          <w:sz w:val="16"/>
          <w:szCs w:val="16"/>
        </w:rPr>
        <w:t>7/13.- О переговорах с Фордом</w:t>
      </w:r>
    </w:p>
    <w:p w14:paraId="4CEF23E9" w14:textId="77777777" w:rsidR="00CF6BF3" w:rsidRPr="00507A31" w:rsidRDefault="00CF6BF3" w:rsidP="00507A31">
      <w:pPr>
        <w:jc w:val="both"/>
        <w:rPr>
          <w:color w:val="0070C0"/>
          <w:sz w:val="16"/>
          <w:szCs w:val="16"/>
        </w:rPr>
      </w:pPr>
      <w:r w:rsidRPr="00507A31">
        <w:rPr>
          <w:color w:val="0070C0"/>
          <w:sz w:val="16"/>
          <w:szCs w:val="16"/>
        </w:rPr>
        <w:t>(т. Осинский).</w:t>
      </w:r>
    </w:p>
    <w:p w14:paraId="0D41871A" w14:textId="77777777" w:rsidR="00CF6BF3" w:rsidRPr="00507A31" w:rsidRDefault="00CF6BF3" w:rsidP="00507A31">
      <w:pPr>
        <w:jc w:val="both"/>
        <w:rPr>
          <w:color w:val="0070C0"/>
          <w:sz w:val="16"/>
          <w:szCs w:val="16"/>
        </w:rPr>
      </w:pPr>
      <w:r w:rsidRPr="00507A31">
        <w:rPr>
          <w:color w:val="0070C0"/>
          <w:sz w:val="16"/>
          <w:szCs w:val="16"/>
        </w:rPr>
        <w:t>а) Отказаться от покупки у Форда старого оборудования.</w:t>
      </w:r>
    </w:p>
    <w:p w14:paraId="25E8A1AD" w14:textId="77777777" w:rsidR="00CF6BF3" w:rsidRPr="00507A31" w:rsidRDefault="00CF6BF3" w:rsidP="00507A31">
      <w:pPr>
        <w:jc w:val="both"/>
        <w:rPr>
          <w:color w:val="0070C0"/>
          <w:sz w:val="16"/>
          <w:szCs w:val="16"/>
        </w:rPr>
      </w:pPr>
      <w:r w:rsidRPr="00507A31">
        <w:rPr>
          <w:color w:val="0070C0"/>
          <w:sz w:val="16"/>
          <w:szCs w:val="16"/>
        </w:rPr>
        <w:t>б) Командировать т. Дыбеца в Америку для размещения за</w:t>
      </w:r>
      <w:r w:rsidRPr="00507A31">
        <w:rPr>
          <w:color w:val="0070C0"/>
          <w:sz w:val="16"/>
          <w:szCs w:val="16"/>
        </w:rPr>
        <w:softHyphen/>
        <w:t>казов на новое оборудование, согласно спецификации, выработанной до начала переговоров с Фордом о подержанном обору</w:t>
      </w:r>
      <w:r w:rsidRPr="00507A31">
        <w:rPr>
          <w:color w:val="0070C0"/>
          <w:sz w:val="16"/>
          <w:szCs w:val="16"/>
        </w:rPr>
        <w:softHyphen/>
        <w:t>довании. Поручить т.т. Дыбецу и Богданову проверить специфи</w:t>
      </w:r>
      <w:r w:rsidRPr="00507A31">
        <w:rPr>
          <w:color w:val="0070C0"/>
          <w:sz w:val="16"/>
          <w:szCs w:val="16"/>
        </w:rPr>
        <w:softHyphen/>
        <w:t>кацию оборудования, предложив им в случае каких либо сомне</w:t>
      </w:r>
      <w:r w:rsidRPr="00507A31">
        <w:rPr>
          <w:color w:val="0070C0"/>
          <w:sz w:val="16"/>
          <w:szCs w:val="16"/>
        </w:rPr>
        <w:softHyphen/>
        <w:t>ний запросить Москву.</w:t>
      </w:r>
    </w:p>
    <w:p w14:paraId="688F2A49" w14:textId="77777777" w:rsidR="00CF6BF3" w:rsidRPr="00507A31" w:rsidRDefault="00CF6BF3" w:rsidP="00507A31">
      <w:pPr>
        <w:jc w:val="both"/>
        <w:rPr>
          <w:color w:val="0070C0"/>
          <w:sz w:val="16"/>
          <w:szCs w:val="16"/>
        </w:rPr>
      </w:pPr>
      <w:r w:rsidRPr="00507A31">
        <w:rPr>
          <w:color w:val="0070C0"/>
          <w:sz w:val="16"/>
          <w:szCs w:val="16"/>
        </w:rPr>
        <w:t>Выписки посланы: т. Осинскому, т. Орджоникидзе, т. Микояну, т. Розенгольцу</w:t>
      </w:r>
    </w:p>
    <w:p w14:paraId="57561473" w14:textId="77777777" w:rsidR="00CF6BF3" w:rsidRPr="00507A31" w:rsidRDefault="00CF6BF3" w:rsidP="00507A31">
      <w:pPr>
        <w:jc w:val="both"/>
        <w:rPr>
          <w:color w:val="0070C0"/>
          <w:sz w:val="16"/>
          <w:szCs w:val="16"/>
        </w:rPr>
      </w:pPr>
      <w:r w:rsidRPr="00507A31">
        <w:rPr>
          <w:color w:val="0070C0"/>
          <w:sz w:val="16"/>
          <w:szCs w:val="16"/>
        </w:rPr>
        <w:lastRenderedPageBreak/>
        <w:t>11/17. - О контингенте Красной армии на 1931 г.</w:t>
      </w:r>
    </w:p>
    <w:p w14:paraId="1C5B6921" w14:textId="77777777" w:rsidR="00CF6BF3" w:rsidRPr="00507A31" w:rsidRDefault="00CF6BF3" w:rsidP="00507A31">
      <w:pPr>
        <w:jc w:val="both"/>
        <w:rPr>
          <w:color w:val="0070C0"/>
          <w:sz w:val="16"/>
          <w:szCs w:val="16"/>
        </w:rPr>
      </w:pPr>
      <w:r w:rsidRPr="00507A31">
        <w:rPr>
          <w:color w:val="0070C0"/>
          <w:sz w:val="16"/>
          <w:szCs w:val="16"/>
        </w:rPr>
        <w:t>(т. Ворошилов).</w:t>
      </w:r>
    </w:p>
    <w:p w14:paraId="79DCD94C" w14:textId="77777777" w:rsidR="00CF6BF3" w:rsidRPr="00507A31" w:rsidRDefault="00CF6BF3" w:rsidP="00507A31">
      <w:pPr>
        <w:jc w:val="both"/>
        <w:rPr>
          <w:color w:val="0070C0"/>
          <w:sz w:val="16"/>
          <w:szCs w:val="16"/>
        </w:rPr>
      </w:pPr>
      <w:r w:rsidRPr="00507A31">
        <w:rPr>
          <w:color w:val="0070C0"/>
          <w:sz w:val="16"/>
          <w:szCs w:val="16"/>
        </w:rPr>
        <w:t>Довести численность Красной армии к 1 октября 1931 г. до 700 тыс. чел. (т.е. увеличить контингент на 68 тыс.чел.).</w:t>
      </w:r>
    </w:p>
    <w:p w14:paraId="28892F4C" w14:textId="77777777" w:rsidR="00CF6BF3" w:rsidRPr="00507A31" w:rsidRDefault="00CF6BF3" w:rsidP="00507A31">
      <w:pPr>
        <w:jc w:val="both"/>
        <w:rPr>
          <w:color w:val="0070C0"/>
          <w:sz w:val="16"/>
          <w:szCs w:val="16"/>
        </w:rPr>
      </w:pPr>
      <w:r w:rsidRPr="00507A31">
        <w:rPr>
          <w:color w:val="0070C0"/>
          <w:sz w:val="16"/>
          <w:szCs w:val="16"/>
        </w:rPr>
        <w:t>Выписка послана: т. Ворошилову.</w:t>
      </w:r>
    </w:p>
    <w:p w14:paraId="31E845A9" w14:textId="77777777" w:rsidR="00CF6BF3" w:rsidRPr="00507A31" w:rsidRDefault="00CF6BF3" w:rsidP="00507A31">
      <w:pPr>
        <w:jc w:val="both"/>
        <w:rPr>
          <w:color w:val="0070C0"/>
          <w:sz w:val="16"/>
          <w:szCs w:val="16"/>
        </w:rPr>
      </w:pPr>
      <w:r w:rsidRPr="00507A31">
        <w:rPr>
          <w:color w:val="0070C0"/>
          <w:sz w:val="16"/>
          <w:szCs w:val="16"/>
        </w:rPr>
        <w:t>13/19. - о продаже военного снаряжения</w:t>
      </w:r>
    </w:p>
    <w:p w14:paraId="36C53013" w14:textId="77777777" w:rsidR="00CF6BF3" w:rsidRPr="00507A31" w:rsidRDefault="00CF6BF3" w:rsidP="00507A31">
      <w:pPr>
        <w:jc w:val="both"/>
        <w:rPr>
          <w:color w:val="0070C0"/>
          <w:sz w:val="16"/>
          <w:szCs w:val="16"/>
        </w:rPr>
      </w:pPr>
      <w:r w:rsidRPr="00507A31">
        <w:rPr>
          <w:color w:val="0070C0"/>
          <w:sz w:val="16"/>
          <w:szCs w:val="16"/>
        </w:rPr>
        <w:t>(т. Ворошилов).</w:t>
      </w:r>
    </w:p>
    <w:p w14:paraId="45D20DE9" w14:textId="77777777" w:rsidR="00CF6BF3" w:rsidRPr="00507A31" w:rsidRDefault="00CF6BF3" w:rsidP="00507A31">
      <w:pPr>
        <w:jc w:val="both"/>
        <w:rPr>
          <w:color w:val="0070C0"/>
          <w:sz w:val="16"/>
          <w:szCs w:val="16"/>
        </w:rPr>
      </w:pPr>
      <w:r w:rsidRPr="00507A31">
        <w:rPr>
          <w:color w:val="0070C0"/>
          <w:sz w:val="16"/>
          <w:szCs w:val="16"/>
        </w:rPr>
        <w:t>Продажу предметов военного снаряжения заграницу произ</w:t>
      </w:r>
      <w:r w:rsidRPr="00507A31">
        <w:rPr>
          <w:color w:val="0070C0"/>
          <w:sz w:val="16"/>
          <w:szCs w:val="16"/>
        </w:rPr>
        <w:softHyphen/>
        <w:t>водить только с разрешения Политбюро в каждом конкретном случае.</w:t>
      </w:r>
    </w:p>
    <w:p w14:paraId="266C88A6" w14:textId="77777777" w:rsidR="00CF6BF3" w:rsidRPr="00507A31" w:rsidRDefault="00CF6BF3" w:rsidP="00507A31">
      <w:pPr>
        <w:jc w:val="both"/>
        <w:rPr>
          <w:color w:val="0070C0"/>
          <w:sz w:val="16"/>
          <w:szCs w:val="16"/>
        </w:rPr>
      </w:pPr>
      <w:r w:rsidRPr="00507A31">
        <w:rPr>
          <w:color w:val="0070C0"/>
          <w:sz w:val="16"/>
          <w:szCs w:val="16"/>
        </w:rPr>
        <w:t>Выписка послана: т. Ворошилову</w:t>
      </w:r>
    </w:p>
    <w:p w14:paraId="2CC31C73" w14:textId="77777777" w:rsidR="00CF6BF3" w:rsidRPr="00507A31" w:rsidRDefault="00CF6BF3" w:rsidP="00507A31">
      <w:pPr>
        <w:jc w:val="both"/>
        <w:rPr>
          <w:color w:val="0070C0"/>
          <w:sz w:val="16"/>
          <w:szCs w:val="16"/>
        </w:rPr>
      </w:pPr>
      <w:r w:rsidRPr="00507A31">
        <w:rPr>
          <w:color w:val="0070C0"/>
          <w:sz w:val="16"/>
          <w:szCs w:val="16"/>
        </w:rPr>
        <w:t>15 ноября 1930 состоялось заседание ПБ (Протокол № 15) (23118).</w:t>
      </w:r>
    </w:p>
    <w:p w14:paraId="542740F1" w14:textId="77777777" w:rsidR="00CF6BF3" w:rsidRPr="00507A31" w:rsidRDefault="00CF6BF3" w:rsidP="00507A31">
      <w:pPr>
        <w:jc w:val="both"/>
        <w:rPr>
          <w:color w:val="0070C0"/>
          <w:sz w:val="16"/>
          <w:szCs w:val="16"/>
        </w:rPr>
      </w:pPr>
    </w:p>
    <w:p w14:paraId="3BC20991" w14:textId="77777777" w:rsidR="00AA33CA" w:rsidRPr="00507A31" w:rsidRDefault="00AA33CA"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DF5CD14" w14:textId="77777777" w:rsidR="00AA33CA" w:rsidRPr="00507A31" w:rsidRDefault="00AA33CA" w:rsidP="00507A31">
      <w:pPr>
        <w:autoSpaceDE w:val="0"/>
        <w:autoSpaceDN w:val="0"/>
        <w:adjustRightInd w:val="0"/>
        <w:jc w:val="both"/>
        <w:rPr>
          <w:color w:val="000000" w:themeColor="text1"/>
          <w:sz w:val="16"/>
          <w:szCs w:val="16"/>
        </w:rPr>
      </w:pPr>
    </w:p>
    <w:p w14:paraId="79C94417" w14:textId="77777777" w:rsidR="00AA33CA" w:rsidRPr="00507A31" w:rsidRDefault="00AA33CA" w:rsidP="00507A31">
      <w:pPr>
        <w:jc w:val="both"/>
        <w:rPr>
          <w:bCs/>
          <w:color w:val="000000" w:themeColor="text1"/>
          <w:sz w:val="16"/>
          <w:szCs w:val="16"/>
        </w:rPr>
      </w:pPr>
      <w:r w:rsidRPr="00507A31">
        <w:rPr>
          <w:color w:val="000000" w:themeColor="text1"/>
          <w:sz w:val="16"/>
          <w:szCs w:val="16"/>
        </w:rPr>
        <w:t>10 ноября 1930 г.</w:t>
      </w:r>
    </w:p>
    <w:p w14:paraId="39461FAA" w14:textId="77777777" w:rsidR="00AA33CA" w:rsidRPr="00507A31" w:rsidRDefault="00AA33CA" w:rsidP="00507A31">
      <w:pPr>
        <w:jc w:val="both"/>
        <w:rPr>
          <w:bCs/>
          <w:color w:val="000000" w:themeColor="text1"/>
          <w:sz w:val="16"/>
          <w:szCs w:val="16"/>
        </w:rPr>
      </w:pPr>
      <w:r w:rsidRPr="00507A31">
        <w:rPr>
          <w:color w:val="000000" w:themeColor="text1"/>
          <w:sz w:val="16"/>
          <w:szCs w:val="16"/>
        </w:rPr>
        <w:t>Возражения профессора Н. Ф. Чарновского по ряду предъявленных ему следователем по важнейшим делам при прокуроре РСФСР Э. Э. Левентоном обвинений. 10 ноября 1930 г.</w:t>
      </w:r>
    </w:p>
    <w:p w14:paraId="52399998" w14:textId="77777777" w:rsidR="00AA33CA" w:rsidRPr="00507A31" w:rsidRDefault="00AA33CA" w:rsidP="00507A31">
      <w:pPr>
        <w:jc w:val="both"/>
        <w:rPr>
          <w:bCs/>
          <w:color w:val="000000" w:themeColor="text1"/>
          <w:sz w:val="16"/>
          <w:szCs w:val="16"/>
        </w:rPr>
      </w:pPr>
      <w:r w:rsidRPr="00507A31">
        <w:rPr>
          <w:bCs/>
          <w:color w:val="000000" w:themeColor="text1"/>
          <w:sz w:val="16"/>
          <w:szCs w:val="16"/>
        </w:rPr>
        <w:t>Источник: </w:t>
      </w:r>
    </w:p>
    <w:p w14:paraId="06C63816" w14:textId="77777777" w:rsidR="00AA33CA" w:rsidRPr="00507A31" w:rsidRDefault="00AA33C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624BA0" w14:textId="77777777" w:rsidR="00AA33CA" w:rsidRPr="00507A31" w:rsidRDefault="00AA33CA" w:rsidP="00507A31">
      <w:pPr>
        <w:jc w:val="both"/>
        <w:rPr>
          <w:bCs/>
          <w:color w:val="000000" w:themeColor="text1"/>
          <w:sz w:val="16"/>
          <w:szCs w:val="16"/>
        </w:rPr>
      </w:pPr>
      <w:r w:rsidRPr="00507A31">
        <w:rPr>
          <w:bCs/>
          <w:color w:val="000000" w:themeColor="text1"/>
          <w:sz w:val="16"/>
          <w:szCs w:val="16"/>
        </w:rPr>
        <w:t>Архив: </w:t>
      </w:r>
    </w:p>
    <w:p w14:paraId="3EFC3CB3" w14:textId="77777777" w:rsidR="00AA33CA" w:rsidRPr="00507A31" w:rsidRDefault="00AA33CA" w:rsidP="00507A31">
      <w:pPr>
        <w:jc w:val="both"/>
        <w:rPr>
          <w:color w:val="000000" w:themeColor="text1"/>
          <w:sz w:val="16"/>
          <w:szCs w:val="16"/>
        </w:rPr>
      </w:pPr>
      <w:r w:rsidRPr="00507A31">
        <w:rPr>
          <w:color w:val="000000" w:themeColor="text1"/>
          <w:sz w:val="16"/>
          <w:szCs w:val="16"/>
        </w:rPr>
        <w:t>ЦА ФСБ РФ. Ф. Р-42280. Т. 10. Л. 184-184 об.</w:t>
      </w:r>
    </w:p>
    <w:p w14:paraId="6DB1775E" w14:textId="77777777" w:rsidR="00AA33CA" w:rsidRPr="00507A31" w:rsidRDefault="00AA33CA" w:rsidP="00507A31">
      <w:pPr>
        <w:pStyle w:val="rteright"/>
        <w:spacing w:before="0" w:after="0"/>
        <w:jc w:val="both"/>
        <w:rPr>
          <w:color w:val="000000" w:themeColor="text1"/>
          <w:sz w:val="16"/>
          <w:szCs w:val="16"/>
        </w:rPr>
      </w:pPr>
      <w:r w:rsidRPr="00507A31">
        <w:rPr>
          <w:color w:val="000000" w:themeColor="text1"/>
          <w:sz w:val="16"/>
          <w:szCs w:val="16"/>
        </w:rPr>
        <w:t>10 ноября 1930 г.</w:t>
      </w:r>
    </w:p>
    <w:p w14:paraId="4C3D30E8"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Все ранее данные мною показания в ОГПУ я целиком и полностью подтверждаю.</w:t>
      </w:r>
    </w:p>
    <w:p w14:paraId="628A1383"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Хочу внести лишь уточнения по существу двух пунктов предъявленного мне обвинения: о передаче денег и о собирании и передаче сведений военного характера.</w:t>
      </w:r>
    </w:p>
    <w:p w14:paraId="661B839F"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Вообще передачей денег, пересылавшихся Торгпромом Промпартии, я не занимался, но был, однако, один случай, когда мне было Ларичевым поручено передать около 300 тыс. Кутскому для дальнейшего распределения по вредительским организациям внутри металлических трестов. Это поручение мною не было выполнено, т. к. в тот момент Кутского не было. Как только Кутский возвратился из отпуска, я предложил ему получить эти деньги у Ларичева непосредственно.</w:t>
      </w:r>
    </w:p>
    <w:p w14:paraId="48954E57"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Сведений военного характера я не собирал, но по роду своей работы сведения по военной промышленности ко мне поступали в порядке рассмотрения проектов заводов, имеющих оборонное значение. Этими сведениями я делился с Калинниковым и Рамзиным; мне было известно, что Французское правительство интересуется сведениями этого рода.</w:t>
      </w:r>
    </w:p>
    <w:p w14:paraId="22EB48CF" w14:textId="77777777" w:rsidR="00AA33CA" w:rsidRPr="00507A31" w:rsidRDefault="00AA33CA" w:rsidP="00507A31">
      <w:pPr>
        <w:pStyle w:val="ae"/>
        <w:spacing w:before="0" w:after="0"/>
        <w:jc w:val="both"/>
        <w:rPr>
          <w:color w:val="000000" w:themeColor="text1"/>
          <w:sz w:val="16"/>
          <w:szCs w:val="16"/>
        </w:rPr>
      </w:pPr>
      <w:r w:rsidRPr="00507A31">
        <w:rPr>
          <w:color w:val="000000" w:themeColor="text1"/>
          <w:sz w:val="16"/>
          <w:szCs w:val="16"/>
        </w:rPr>
        <w:t>Чарновский</w:t>
      </w:r>
    </w:p>
    <w:p w14:paraId="3754E193" w14:textId="77777777" w:rsidR="00AA33CA" w:rsidRPr="00507A31" w:rsidRDefault="00AA33CA" w:rsidP="00507A31">
      <w:pPr>
        <w:pStyle w:val="ae"/>
        <w:spacing w:before="0" w:after="0"/>
        <w:jc w:val="both"/>
        <w:rPr>
          <w:color w:val="000000" w:themeColor="text1"/>
          <w:sz w:val="16"/>
          <w:szCs w:val="16"/>
        </w:rPr>
      </w:pPr>
      <w:r w:rsidRPr="00507A31">
        <w:rPr>
          <w:color w:val="000000" w:themeColor="text1"/>
          <w:sz w:val="16"/>
          <w:szCs w:val="16"/>
        </w:rPr>
        <w:t>Следователь по важнейшим делам при Прокуроре Республики</w:t>
      </w:r>
    </w:p>
    <w:p w14:paraId="4E5E9CF8" w14:textId="77777777" w:rsidR="00AA33CA" w:rsidRPr="00507A31" w:rsidRDefault="00AA33CA" w:rsidP="00507A31">
      <w:pPr>
        <w:pStyle w:val="ae"/>
        <w:spacing w:before="0" w:after="0"/>
        <w:jc w:val="both"/>
        <w:rPr>
          <w:color w:val="000000" w:themeColor="text1"/>
          <w:sz w:val="16"/>
          <w:szCs w:val="16"/>
        </w:rPr>
      </w:pPr>
      <w:r w:rsidRPr="00507A31">
        <w:rPr>
          <w:color w:val="000000" w:themeColor="text1"/>
          <w:sz w:val="16"/>
          <w:szCs w:val="16"/>
        </w:rPr>
        <w:t>(Левентон)</w:t>
      </w:r>
    </w:p>
    <w:p w14:paraId="1EB8A465" w14:textId="77777777" w:rsidR="00AA33CA" w:rsidRPr="00507A31" w:rsidRDefault="00AA33CA" w:rsidP="00507A31">
      <w:pPr>
        <w:pStyle w:val="ae"/>
        <w:spacing w:before="0" w:after="0"/>
        <w:jc w:val="both"/>
        <w:rPr>
          <w:color w:val="000000" w:themeColor="text1"/>
          <w:sz w:val="16"/>
          <w:szCs w:val="16"/>
        </w:rPr>
      </w:pPr>
      <w:r w:rsidRPr="00507A31">
        <w:rPr>
          <w:rStyle w:val="af0"/>
          <w:i w:val="0"/>
          <w:color w:val="000000" w:themeColor="text1"/>
          <w:sz w:val="16"/>
          <w:szCs w:val="16"/>
        </w:rPr>
        <w:t>ЦА ФСБ РФ. Ф. Р-42280. Т. 10. Л. 184-184 об. Машинописная копия того времени (18733).</w:t>
      </w:r>
    </w:p>
    <w:p w14:paraId="2C87896A" w14:textId="77777777" w:rsidR="00AA33CA" w:rsidRPr="00507A31" w:rsidRDefault="00AA33CA" w:rsidP="00507A31">
      <w:pPr>
        <w:jc w:val="both"/>
        <w:rPr>
          <w:color w:val="000000" w:themeColor="text1"/>
          <w:sz w:val="16"/>
          <w:szCs w:val="16"/>
        </w:rPr>
      </w:pPr>
    </w:p>
    <w:p w14:paraId="66AF6F5D" w14:textId="77777777" w:rsidR="00AA33CA" w:rsidRPr="00507A31" w:rsidRDefault="00AA33CA" w:rsidP="00507A31">
      <w:pPr>
        <w:jc w:val="both"/>
        <w:rPr>
          <w:bCs/>
          <w:color w:val="000000" w:themeColor="text1"/>
          <w:sz w:val="16"/>
          <w:szCs w:val="16"/>
        </w:rPr>
      </w:pPr>
      <w:r w:rsidRPr="00507A31">
        <w:rPr>
          <w:color w:val="000000" w:themeColor="text1"/>
          <w:sz w:val="16"/>
          <w:szCs w:val="16"/>
        </w:rPr>
        <w:t>10 ноября 1930 г.</w:t>
      </w:r>
    </w:p>
    <w:p w14:paraId="7350240A" w14:textId="77777777" w:rsidR="00AA33CA" w:rsidRPr="00507A31" w:rsidRDefault="00AA33CA" w:rsidP="00507A31">
      <w:pPr>
        <w:jc w:val="both"/>
        <w:rPr>
          <w:bCs/>
          <w:color w:val="000000" w:themeColor="text1"/>
          <w:sz w:val="16"/>
          <w:szCs w:val="16"/>
        </w:rPr>
      </w:pPr>
      <w:r w:rsidRPr="00507A31">
        <w:rPr>
          <w:color w:val="000000" w:themeColor="text1"/>
          <w:sz w:val="16"/>
          <w:szCs w:val="16"/>
        </w:rPr>
        <w:t>Возражения профессора А. А. Федотова по ряду предъявленных ему следователем по важнейшим делам при прокуроре РСФСР Э. Э. Левентоном обвинений. 10 ноября 1930 г.</w:t>
      </w:r>
    </w:p>
    <w:p w14:paraId="64838AFE" w14:textId="77777777" w:rsidR="00AA33CA" w:rsidRPr="00507A31" w:rsidRDefault="00AA33CA" w:rsidP="00507A31">
      <w:pPr>
        <w:jc w:val="both"/>
        <w:rPr>
          <w:bCs/>
          <w:color w:val="000000" w:themeColor="text1"/>
          <w:sz w:val="16"/>
          <w:szCs w:val="16"/>
        </w:rPr>
      </w:pPr>
      <w:r w:rsidRPr="00507A31">
        <w:rPr>
          <w:bCs/>
          <w:color w:val="000000" w:themeColor="text1"/>
          <w:sz w:val="16"/>
          <w:szCs w:val="16"/>
        </w:rPr>
        <w:t>Источник: </w:t>
      </w:r>
    </w:p>
    <w:p w14:paraId="257819C0" w14:textId="77777777" w:rsidR="00AA33CA" w:rsidRPr="00507A31" w:rsidRDefault="00AA33C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B80AEAC" w14:textId="77777777" w:rsidR="00AA33CA" w:rsidRPr="00507A31" w:rsidRDefault="00AA33CA" w:rsidP="00507A31">
      <w:pPr>
        <w:jc w:val="both"/>
        <w:rPr>
          <w:bCs/>
          <w:color w:val="000000" w:themeColor="text1"/>
          <w:sz w:val="16"/>
          <w:szCs w:val="16"/>
        </w:rPr>
      </w:pPr>
      <w:r w:rsidRPr="00507A31">
        <w:rPr>
          <w:bCs/>
          <w:color w:val="000000" w:themeColor="text1"/>
          <w:sz w:val="16"/>
          <w:szCs w:val="16"/>
        </w:rPr>
        <w:t>Архив: </w:t>
      </w:r>
    </w:p>
    <w:p w14:paraId="62B9C0BE" w14:textId="77777777" w:rsidR="00AA33CA" w:rsidRPr="00507A31" w:rsidRDefault="00AA33CA" w:rsidP="00507A31">
      <w:pPr>
        <w:jc w:val="both"/>
        <w:rPr>
          <w:color w:val="000000" w:themeColor="text1"/>
          <w:sz w:val="16"/>
          <w:szCs w:val="16"/>
        </w:rPr>
      </w:pPr>
      <w:r w:rsidRPr="00507A31">
        <w:rPr>
          <w:color w:val="000000" w:themeColor="text1"/>
          <w:sz w:val="16"/>
          <w:szCs w:val="16"/>
        </w:rPr>
        <w:t>ЦА ФСБ РФ. Ф. Р-42280. Т. 10. Л. 240-240 об.</w:t>
      </w:r>
    </w:p>
    <w:p w14:paraId="0B242513" w14:textId="77777777" w:rsidR="00AA33CA" w:rsidRPr="00507A31" w:rsidRDefault="00AA33CA" w:rsidP="00507A31">
      <w:pPr>
        <w:pStyle w:val="rteright"/>
        <w:spacing w:before="0" w:after="0"/>
        <w:jc w:val="both"/>
        <w:rPr>
          <w:color w:val="000000" w:themeColor="text1"/>
          <w:sz w:val="16"/>
          <w:szCs w:val="16"/>
        </w:rPr>
      </w:pPr>
      <w:r w:rsidRPr="00507A31">
        <w:rPr>
          <w:color w:val="000000" w:themeColor="text1"/>
          <w:sz w:val="16"/>
          <w:szCs w:val="16"/>
        </w:rPr>
        <w:t>10 ноября 1930 г.</w:t>
      </w:r>
    </w:p>
    <w:p w14:paraId="04AEFA89"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 предъявленном мне обвинении я виновным себя признаю, но не по всем пунктам и не в полном объеме некоторых из них.</w:t>
      </w:r>
    </w:p>
    <w:p w14:paraId="47CE08D3"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 свое оправдание могу сказать следующее: изложенное во вступительной части постановления о привлечении меня в качестве обвиняемого, где излагается программа Инженерного Центра и Промпартии, ее цели и методы ее борьбы с советским правительством, я признаю входящим в состав моего преступления, я действительно разделял политическую платформу партии, участвовал в партии.</w:t>
      </w:r>
    </w:p>
    <w:p w14:paraId="46356330"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По пункту 1-му предъявленного мне обвинения заявляю: я не принимал участия в образовании Промпартии; от текстильной вредительской организации принимал участие в образовании Промпартии инж. Лопатин; после смерти Лопатина в 1927 г. я в конце 1927 г. вошел в Промпартию в качестве представителя вредительской текстильной организации. В этом я себя виновным признаю.</w:t>
      </w:r>
    </w:p>
    <w:p w14:paraId="092B0ECB"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По пункту 2-му обвинения: руководящего положения в Промпартии я не занимал, однако я действительно продолжал оставаться в Промпартии и после ареста Хренникова и все время представлял в Промпартии текстильную вредительскую группу; свою вину по этому пункту признаю только в пределах указанных мною фактов. [...]</w:t>
      </w:r>
    </w:p>
    <w:p w14:paraId="53E339DE"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По пункту 5-му виновным себя признаю в том, что я составлял директивные указания (как член руководящей группы в текстильной вредительской организации) по составлению пятилетнего плана, направленного к созданию тех затруднений в текстильной промышленности, которые изложены в постановлении о привлечении меня в качестве обвиняемого. Однако должен отметить, что наша вредительская работа в основном заключалась в составлении таких планов, в которых соотношение между сырьем и производством должно было быть нарушено, что должно было бы вызвать и в действительности вызвало кризис в текстильной промышленности и остановку фабрик.</w:t>
      </w:r>
    </w:p>
    <w:p w14:paraId="4F2FD55C"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По пункту 6-му руководство Промпартией на себя никогда не брал и никогда его не осуществлял. Правда, был избран членом ЦК Промпартии в 1929 г., но без моего ведома. Узнал об этом от Чарновского в конце 1929 г.; он мне сообщил, что заседаний нового ЦК не было и в ближайшее время не предполагается из соображений наибольшей безопасности.</w:t>
      </w:r>
    </w:p>
    <w:p w14:paraId="791910D8"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Со всей решительностью заявляю, что за все время состояния моего в Промпартии я не знал о намерениях Торгпрома поступиться территорией нашей страны и ее экономической независимостью в качестве компенсации интервентам. Напротив, в 1928 г. я получил формальное заверение от Карпова с поручением передать его текстильной группе в том, что государственные интересы страны не будут нарушены, а царские и военные долги будут оплачены только номинально. Лишь в конце 1929 г. я узнал о том, что Рамзин секретно передал Чарновскому о соглашении и уступках Торгпрома интервентам, что я немедленно опротестовал, указав, что такая постановка поведет к распаду текстильной организации.</w:t>
      </w:r>
    </w:p>
    <w:p w14:paraId="51A83A49"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Все данные мной показания ОГПУ полностью подтверждаю. Показание мне прочитано, записано с моих слов правильно.</w:t>
      </w:r>
    </w:p>
    <w:p w14:paraId="3DD0DA43"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(А. Федотов)</w:t>
      </w:r>
    </w:p>
    <w:p w14:paraId="10520AB8" w14:textId="77777777" w:rsidR="00AA33CA" w:rsidRPr="00507A31" w:rsidRDefault="00AA33CA" w:rsidP="00507A31">
      <w:pPr>
        <w:pStyle w:val="rtejustify"/>
        <w:spacing w:before="0" w:after="0"/>
        <w:rPr>
          <w:color w:val="000000" w:themeColor="text1"/>
          <w:sz w:val="16"/>
          <w:szCs w:val="16"/>
        </w:rPr>
      </w:pPr>
      <w:r w:rsidRPr="00507A31">
        <w:rPr>
          <w:color w:val="000000" w:themeColor="text1"/>
          <w:sz w:val="16"/>
          <w:szCs w:val="16"/>
        </w:rPr>
        <w:t>Следователь по важнейшим делам при Прокуроре Республики (Левентон)</w:t>
      </w:r>
    </w:p>
    <w:p w14:paraId="3671E82C" w14:textId="77777777" w:rsidR="00AA33CA" w:rsidRPr="00507A31" w:rsidRDefault="00AA33CA" w:rsidP="00507A31">
      <w:pPr>
        <w:pStyle w:val="ae"/>
        <w:spacing w:before="0" w:after="0"/>
        <w:jc w:val="both"/>
        <w:rPr>
          <w:color w:val="000000" w:themeColor="text1"/>
          <w:sz w:val="16"/>
          <w:szCs w:val="16"/>
        </w:rPr>
      </w:pPr>
      <w:r w:rsidRPr="00507A31">
        <w:rPr>
          <w:rStyle w:val="af0"/>
          <w:i w:val="0"/>
          <w:color w:val="000000" w:themeColor="text1"/>
          <w:sz w:val="16"/>
          <w:szCs w:val="16"/>
        </w:rPr>
        <w:t>ЦА ФСБ РФ. Ф. Р-42280. Т. 10. Л. 240-240 об. Машинописная копия того времени (18734).</w:t>
      </w:r>
    </w:p>
    <w:p w14:paraId="4AE4A3B8" w14:textId="77777777" w:rsidR="00AA33CA" w:rsidRPr="00507A31" w:rsidRDefault="00AA33CA" w:rsidP="00507A31">
      <w:pPr>
        <w:jc w:val="both"/>
        <w:rPr>
          <w:color w:val="000000" w:themeColor="text1"/>
          <w:sz w:val="16"/>
          <w:szCs w:val="16"/>
        </w:rPr>
      </w:pPr>
    </w:p>
    <w:p w14:paraId="4069AB7A" w14:textId="77777777" w:rsidR="00AA33CA" w:rsidRPr="00507A31" w:rsidRDefault="00AA33CA" w:rsidP="00507A31">
      <w:pPr>
        <w:jc w:val="both"/>
        <w:rPr>
          <w:color w:val="000000" w:themeColor="text1"/>
          <w:sz w:val="16"/>
          <w:szCs w:val="16"/>
        </w:rPr>
      </w:pPr>
      <w:r w:rsidRPr="00507A31">
        <w:rPr>
          <w:color w:val="000000" w:themeColor="text1"/>
          <w:sz w:val="16"/>
          <w:szCs w:val="16"/>
        </w:rPr>
        <w:t>10 ноября 1930. Открыт для посещения новый мавзолей В. И. Ленина, выстроенный по проекту архитектора А. В. Щусева за 16 месяцев. Основой мавзолея служит железобетонный каркас, который облицован снаружи гранитом трех цветов: красным, черным и серым. Общий вес всего сооружения равняется 10 тысячам тонн. Верх мавзолея и колоннада в главном зале с надписью "Ленин" сделана из целого куска порфира единственного месторождения в мире - в Карелии, у Онежского озера Облицовка мавзолея производилась из цельных кусков гранита весом от 1 до 10 тонн. Глыба гранита, на которой высечена надпись "Ленин", весит около 60 тонн. Одновременно с постройкой мавзолея у Кремлевской стены были сооружены две железобетонные трибуны на семь тысяч зрителей (18725).</w:t>
      </w:r>
    </w:p>
    <w:p w14:paraId="30E434CC" w14:textId="77777777" w:rsidR="00AA33CA" w:rsidRPr="00507A31" w:rsidRDefault="00AA33CA" w:rsidP="00507A31">
      <w:pPr>
        <w:jc w:val="both"/>
        <w:rPr>
          <w:color w:val="000000" w:themeColor="text1"/>
          <w:sz w:val="16"/>
          <w:szCs w:val="16"/>
        </w:rPr>
      </w:pPr>
    </w:p>
    <w:p w14:paraId="3DCA48E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45BBB1C" w14:textId="77777777" w:rsidR="00537E5F" w:rsidRPr="00507A31" w:rsidRDefault="00537E5F" w:rsidP="00507A31">
      <w:pPr>
        <w:autoSpaceDE w:val="0"/>
        <w:autoSpaceDN w:val="0"/>
        <w:adjustRightInd w:val="0"/>
        <w:jc w:val="both"/>
        <w:rPr>
          <w:iCs/>
          <w:color w:val="000000" w:themeColor="text1"/>
          <w:sz w:val="16"/>
          <w:szCs w:val="16"/>
        </w:rPr>
      </w:pPr>
    </w:p>
    <w:p w14:paraId="1E25D7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ноября 1930 в Ленинграде на Красном летчике было завершено строительство Ш-2 и он был испытан 14 ноября. Оторвался редан, сделанный съемным на болтах по настоянию НТК УВВС (Как раз был С.В.И.) (92,383).</w:t>
      </w:r>
    </w:p>
    <w:p w14:paraId="2CDA304A" w14:textId="77777777" w:rsidR="00537E5F" w:rsidRPr="00507A31" w:rsidRDefault="00537E5F" w:rsidP="00507A31">
      <w:pPr>
        <w:autoSpaceDE w:val="0"/>
        <w:autoSpaceDN w:val="0"/>
        <w:adjustRightInd w:val="0"/>
        <w:jc w:val="both"/>
        <w:rPr>
          <w:color w:val="000000" w:themeColor="text1"/>
          <w:sz w:val="16"/>
          <w:szCs w:val="16"/>
        </w:rPr>
      </w:pPr>
    </w:p>
    <w:p w14:paraId="497B446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ноября 1930 года самолет ТБ3 введен в ангар НОА для переделок и исправлений (6925).</w:t>
      </w:r>
    </w:p>
    <w:p w14:paraId="18FBDBC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12AB87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12 и 14 ноября 1930 года после испытания в НИИ и произведенных в ЦАГИ переделок состоялся облет АНТ-9 с участием летчиков НИИ ВВС (6925).</w:t>
      </w:r>
    </w:p>
    <w:p w14:paraId="2EF33A9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41AB34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ноября 1930 г. состоялся первый полет самолета-амфибии Ш-2 В.Б.Шаврова с двигателем М-11 (6395). Летал Б.В.Глаголев вместе с В.Б.Ш. (7621, 33).</w:t>
      </w:r>
    </w:p>
    <w:p w14:paraId="4F5B91A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6EF0FE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11 ноября 1930 года состоялось заседание 1-й секции НТК ВВС (Журнал № 30с):</w:t>
      </w:r>
    </w:p>
    <w:p w14:paraId="1C42DEA7"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О состоянии самолетостроения из нержавеющей стали в НИИ ГВФ.</w:t>
      </w:r>
    </w:p>
    <w:p w14:paraId="4C646131"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Утверждение программы войсковых испытаний самолета И5-ЮпVI.</w:t>
      </w:r>
    </w:p>
    <w:p w14:paraId="41F17B4E"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Рассмотрение технических требований к самолету ДИ-2 БМВ- VI=7,3.</w:t>
      </w:r>
    </w:p>
    <w:p w14:paraId="68142564"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Рассмотрение технических требований на самолет ТБ-5 2хФЭД (6952).</w:t>
      </w:r>
    </w:p>
    <w:p w14:paraId="67EB6729"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p>
    <w:p w14:paraId="4CE1771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0A1CBF4" w14:textId="77777777" w:rsidR="00537E5F" w:rsidRPr="00507A31" w:rsidRDefault="00537E5F" w:rsidP="00507A31">
      <w:pPr>
        <w:autoSpaceDE w:val="0"/>
        <w:autoSpaceDN w:val="0"/>
        <w:adjustRightInd w:val="0"/>
        <w:jc w:val="both"/>
        <w:rPr>
          <w:iCs/>
          <w:color w:val="000000" w:themeColor="text1"/>
          <w:sz w:val="16"/>
          <w:szCs w:val="16"/>
        </w:rPr>
      </w:pPr>
    </w:p>
    <w:p w14:paraId="32FFEA08" w14:textId="77777777" w:rsidR="00CF6BF3" w:rsidRPr="00507A31" w:rsidRDefault="00CF6BF3" w:rsidP="00507A31">
      <w:pPr>
        <w:jc w:val="both"/>
        <w:rPr>
          <w:color w:val="0070C0"/>
          <w:sz w:val="16"/>
          <w:szCs w:val="16"/>
        </w:rPr>
      </w:pPr>
      <w:r w:rsidRPr="00507A31">
        <w:rPr>
          <w:color w:val="0070C0"/>
          <w:sz w:val="16"/>
          <w:szCs w:val="16"/>
        </w:rPr>
        <w:t>11 ноября 1930 года был закончен сборкой первый опытный экземпляр 203 мм гаубицы, получившей индекс Б-4 и вскоре поступил на испытания на Научно-исследовательский артиллерийский полигон (НИАП), под Ленинградом (22974).</w:t>
      </w:r>
    </w:p>
    <w:p w14:paraId="0C873BB6" w14:textId="77777777" w:rsidR="00CF6BF3" w:rsidRPr="00507A31" w:rsidRDefault="00CF6BF3" w:rsidP="00507A31">
      <w:pPr>
        <w:shd w:val="clear" w:color="auto" w:fill="FFFFFF"/>
        <w:autoSpaceDE w:val="0"/>
        <w:autoSpaceDN w:val="0"/>
        <w:adjustRightInd w:val="0"/>
        <w:jc w:val="both"/>
        <w:rPr>
          <w:color w:val="000000" w:themeColor="text1"/>
          <w:sz w:val="16"/>
          <w:szCs w:val="16"/>
        </w:rPr>
      </w:pPr>
    </w:p>
    <w:p w14:paraId="5A19FE05" w14:textId="0A62D4B8"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ноября 1930 была подготовлена ПРОГРАММА ИСПЫТАНИЙ ТРАКТОРОВ КОММУНАР И ЛИНКЕ-ГОФМАН</w:t>
      </w:r>
    </w:p>
    <w:p w14:paraId="3232F0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673C10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Программа испытаний</w:t>
      </w:r>
    </w:p>
    <w:p w14:paraId="064B39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Тракторов Коммунар 90-3 и Линке-Гофмон сельскохозяйственного типа, цистерны для горк го на шасси повозки П-13 и повозки для разведки и связи на шасси П-15. Цель испытаний 1. Трактора Коммунар 90-3.</w:t>
      </w:r>
    </w:p>
    <w:p w14:paraId="0EEE00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Определение тяговых и скоростных свойств этого быстроходного трактора (скорость/ км/час) и пригодность его для больших скоростей;</w:t>
      </w:r>
    </w:p>
    <w:p w14:paraId="5B9109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испытание разных усовершенствованных деталей трактора.</w:t>
      </w:r>
    </w:p>
    <w:p w14:paraId="661963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Трактора Линке Гофман.</w:t>
      </w:r>
    </w:p>
    <w:p w14:paraId="76FCBE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Определение тяговых и скоростных свойств трактора.</w:t>
      </w:r>
    </w:p>
    <w:p w14:paraId="592FD7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Цистерны на повозке типа П-13.</w:t>
      </w:r>
    </w:p>
    <w:p w14:paraId="1B71B3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опытного образца с целью проверки конструкции.</w:t>
      </w:r>
    </w:p>
    <w:p w14:paraId="73F5BE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Повозки для разведки и связи.</w:t>
      </w:r>
    </w:p>
    <w:p w14:paraId="35A53B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Испытание опытного образца с целью проверки конструкции.</w:t>
      </w:r>
    </w:p>
    <w:p w14:paraId="1EF5E6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Зенитной установки обр. 1926 г.</w:t>
      </w:r>
    </w:p>
    <w:p w14:paraId="5A94A6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Дополнительное испытание для проверки конструкции упрочненных частей.</w:t>
      </w:r>
    </w:p>
    <w:p w14:paraId="13C384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Порядок испытаний</w:t>
      </w:r>
    </w:p>
    <w:p w14:paraId="4ECC02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Поставка новых гусеничных цепей на Коммунар.</w:t>
      </w:r>
    </w:p>
    <w:p w14:paraId="03970B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Просмотр и ремонт Линке-Гофман.</w:t>
      </w:r>
    </w:p>
    <w:p w14:paraId="54AFEC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Обкатка тракторов на территории склада № 37.</w:t>
      </w:r>
    </w:p>
    <w:p w14:paraId="7C0B91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Подготовка прицепного состава:</w:t>
      </w:r>
    </w:p>
    <w:p w14:paraId="62C709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К трактору Коммунар</w:t>
      </w:r>
    </w:p>
    <w:p w14:paraId="08B677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цистерна с полным запасом горючего и смазки около 5000 кг.</w:t>
      </w:r>
    </w:p>
    <w:p w14:paraId="5B0136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зенитная установка 1926 г. 3800 кг.</w:t>
      </w:r>
    </w:p>
    <w:p w14:paraId="588C7A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К трактору Линке Гофман</w:t>
      </w:r>
    </w:p>
    <w:p w14:paraId="203884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Повозка П-15 на резиновых шинах с личным составом и грузами 3400 кг.</w:t>
      </w:r>
    </w:p>
    <w:p w14:paraId="3338DB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Маршрут пробега.</w:t>
      </w:r>
    </w:p>
    <w:p w14:paraId="2739B5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день: склад № 37 — Полигон (шоссе мостовая) - 34 км.</w:t>
      </w:r>
    </w:p>
    <w:p w14:paraId="6BFABF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день: Полигон - Никольское - Бузланово - Петровское - Ильинское - Глухово - Никольское &lt; лигой (тяжелая дорога, 2 км шоссе).</w:t>
      </w:r>
    </w:p>
    <w:p w14:paraId="0D9655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день: Полигон - Павловская - Ивановская - Тимошкино - Дмитровское — Маслово - Акси - Чесноково - Павлов - Полигон - 42 км (шоссе - проселок - подъемы - брод - бездорожье).</w:t>
      </w:r>
    </w:p>
    <w:p w14:paraId="5B6A9D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день: Полигон - Никольское - Гореносово - Новая - Чернево - Оптический завод - Пей Склад № 37 (шоссе, брод, подъемы) - 39 км. Всего в пробеге около 150 км. Осмотр материальной части.</w:t>
      </w:r>
    </w:p>
    <w:p w14:paraId="243BE4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4 секции НТК УММ Павлов</w:t>
      </w:r>
    </w:p>
    <w:p w14:paraId="28BFAA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165. Л. 32. Подлинник (11210).</w:t>
      </w:r>
    </w:p>
    <w:p w14:paraId="5BF002BE" w14:textId="77777777" w:rsidR="00537E5F" w:rsidRPr="00507A31" w:rsidRDefault="00537E5F" w:rsidP="00507A31">
      <w:pPr>
        <w:autoSpaceDE w:val="0"/>
        <w:autoSpaceDN w:val="0"/>
        <w:adjustRightInd w:val="0"/>
        <w:jc w:val="both"/>
        <w:rPr>
          <w:color w:val="000000" w:themeColor="text1"/>
          <w:sz w:val="16"/>
          <w:szCs w:val="16"/>
        </w:rPr>
      </w:pPr>
    </w:p>
    <w:p w14:paraId="21A62C09" w14:textId="77777777" w:rsidR="00BF5D4A" w:rsidRPr="00507A31" w:rsidRDefault="00BF5D4A" w:rsidP="00507A31">
      <w:pPr>
        <w:jc w:val="both"/>
        <w:rPr>
          <w:color w:val="000000" w:themeColor="text1"/>
          <w:sz w:val="16"/>
          <w:szCs w:val="16"/>
        </w:rPr>
      </w:pPr>
      <w:r w:rsidRPr="00507A31">
        <w:rPr>
          <w:color w:val="000000" w:themeColor="text1"/>
          <w:sz w:val="16"/>
          <w:szCs w:val="16"/>
        </w:rPr>
        <w:t>11 ноября 1930 г. —Доклад нач. Управления по механизации и моторизации РККА И. А. Халепского заместителю наркома по военным и морским делам и председателя РВС СССР И. П. Уборевичу о состоянии работ по осуществлению системы автобронетанкового вооружения</w:t>
      </w:r>
    </w:p>
    <w:p w14:paraId="7EF41627" w14:textId="77777777" w:rsidR="00BF5D4A" w:rsidRPr="00507A31" w:rsidRDefault="00BF5D4A" w:rsidP="00507A31">
      <w:pPr>
        <w:jc w:val="both"/>
        <w:rPr>
          <w:color w:val="000000" w:themeColor="text1"/>
          <w:sz w:val="16"/>
          <w:szCs w:val="16"/>
        </w:rPr>
      </w:pPr>
      <w:r w:rsidRPr="00507A31">
        <w:rPr>
          <w:color w:val="000000" w:themeColor="text1"/>
          <w:sz w:val="16"/>
          <w:szCs w:val="16"/>
        </w:rPr>
        <w:t>Секретно.</w:t>
      </w:r>
    </w:p>
    <w:p w14:paraId="7502E1E8" w14:textId="77777777" w:rsidR="00BF5D4A" w:rsidRPr="00507A31" w:rsidRDefault="00BF5D4A" w:rsidP="00507A31">
      <w:pPr>
        <w:jc w:val="both"/>
        <w:rPr>
          <w:color w:val="000000" w:themeColor="text1"/>
          <w:sz w:val="16"/>
          <w:szCs w:val="16"/>
        </w:rPr>
      </w:pPr>
      <w:r w:rsidRPr="00507A31">
        <w:rPr>
          <w:color w:val="000000" w:themeColor="text1"/>
          <w:sz w:val="16"/>
          <w:szCs w:val="16"/>
        </w:rPr>
        <w:t>Решением инстанции от 15 июля 1929 г. была утверждена программа механизации и автомобилизации Красной армии на ближайшее пятилетие, исходя из того, чтобы в 1933 г. иметь в мобилизованной армии 3,5 тыс. действующих танков плюс 2 тыс. в мобзапасе, 180 тыс. автомобилей и соответствующее количество тракторов. В это же время РВС Союза была принята система авто-броне-танко-тракторного вооружения, которая исходила из современных требований боя и тактики.</w:t>
      </w:r>
    </w:p>
    <w:p w14:paraId="0AA17859" w14:textId="77777777" w:rsidR="00BF5D4A" w:rsidRPr="00507A31" w:rsidRDefault="00BF5D4A" w:rsidP="00507A31">
      <w:pPr>
        <w:jc w:val="both"/>
        <w:rPr>
          <w:color w:val="000000" w:themeColor="text1"/>
          <w:sz w:val="16"/>
          <w:szCs w:val="16"/>
        </w:rPr>
      </w:pPr>
      <w:r w:rsidRPr="00507A31">
        <w:rPr>
          <w:color w:val="000000" w:themeColor="text1"/>
          <w:sz w:val="16"/>
          <w:szCs w:val="16"/>
        </w:rPr>
        <w:t>Однако осуществление этого решения встретило в нашей промышленности громадные затруднения. Вследствие этого в декабре 1919 г.²* инстанция поручила специальной комиссии т. </w:t>
      </w:r>
      <w:hyperlink r:id="rId166" w:history="1">
        <w:r w:rsidRPr="00507A31">
          <w:rPr>
            <w:rStyle w:val="a5"/>
            <w:color w:val="000000" w:themeColor="text1"/>
            <w:sz w:val="16"/>
            <w:szCs w:val="16"/>
            <w:u w:val="none"/>
          </w:rPr>
          <w:t>Орджоникидзе</w:t>
        </w:r>
      </w:hyperlink>
      <w:r w:rsidRPr="00507A31">
        <w:rPr>
          <w:color w:val="000000" w:themeColor="text1"/>
          <w:sz w:val="16"/>
          <w:szCs w:val="16"/>
        </w:rPr>
        <w:t xml:space="preserve"> изучить весь вопрос и наметить конкретные мероприятия. По докладу комиссии инстанция 20 января 1930 г. приняла решение, которое вкратце сводилось к следующему: ввиду того что в настоящее время внутри СССР нет типов танков и тракторов, производство которых на наших автомобильных и тракторных заводах обеспечило бы потребность Красной армии, послать за границу особую комиссию (т. </w:t>
      </w:r>
      <w:hyperlink r:id="rId167" w:history="1">
        <w:r w:rsidRPr="00507A31">
          <w:rPr>
            <w:rStyle w:val="a5"/>
            <w:color w:val="000000" w:themeColor="text1"/>
            <w:sz w:val="16"/>
            <w:szCs w:val="16"/>
            <w:u w:val="none"/>
          </w:rPr>
          <w:t>Осинский</w:t>
        </w:r>
      </w:hyperlink>
      <w:r w:rsidRPr="00507A31">
        <w:rPr>
          <w:color w:val="000000" w:themeColor="text1"/>
          <w:sz w:val="16"/>
          <w:szCs w:val="16"/>
        </w:rPr>
        <w:t>, Халепский и Будняк), которой отпустить специальные средства и поручить закупить современные образцы танков, тракторов и тягачей, а также ознакомиться с постановкой их производств; окончательное решение о постановке производства танков и быстроходных тракторов в СССР принять по возвращении комиссии из-за границы.</w:t>
      </w:r>
    </w:p>
    <w:p w14:paraId="6F929392" w14:textId="77777777" w:rsidR="00BF5D4A" w:rsidRPr="00507A31" w:rsidRDefault="00BF5D4A" w:rsidP="00507A31">
      <w:pPr>
        <w:jc w:val="both"/>
        <w:rPr>
          <w:color w:val="000000" w:themeColor="text1"/>
          <w:sz w:val="16"/>
          <w:szCs w:val="16"/>
        </w:rPr>
      </w:pPr>
      <w:r w:rsidRPr="00507A31">
        <w:rPr>
          <w:color w:val="000000" w:themeColor="text1"/>
          <w:sz w:val="16"/>
          <w:szCs w:val="16"/>
        </w:rPr>
        <w:t>Со времени этого решения прошло 9 месяцев. За это время комиссия т. Осинского, Халепского и Будняка возвратилась из-за границы, успешно выполнив свою задачу. Ей удалось заказать и образцы танков, и образцы быстроходных тракторов и тягачей. Со своей стороны, РВС Союза принимал зависящие от него меры, чтобы ускорить опытные и конструкторские работы по танкам на наших заводах, чтобы поставить производство имеющихся типов.</w:t>
      </w:r>
    </w:p>
    <w:p w14:paraId="65342C71" w14:textId="77777777" w:rsidR="00BF5D4A" w:rsidRPr="00507A31" w:rsidRDefault="00BF5D4A" w:rsidP="00507A31">
      <w:pPr>
        <w:jc w:val="both"/>
        <w:rPr>
          <w:color w:val="000000" w:themeColor="text1"/>
          <w:sz w:val="16"/>
          <w:szCs w:val="16"/>
        </w:rPr>
      </w:pPr>
      <w:r w:rsidRPr="00507A31">
        <w:rPr>
          <w:color w:val="000000" w:themeColor="text1"/>
          <w:sz w:val="16"/>
          <w:szCs w:val="16"/>
        </w:rPr>
        <w:t>В результате состояние работ по осуществлению системы авто-броне-танко-тракторного вооружения на сегодняшний день характеризуется следующими показателями.</w:t>
      </w:r>
    </w:p>
    <w:p w14:paraId="1D99D42D" w14:textId="77777777" w:rsidR="00BF5D4A" w:rsidRPr="00507A31" w:rsidRDefault="00BF5D4A" w:rsidP="00507A31">
      <w:pPr>
        <w:jc w:val="both"/>
        <w:rPr>
          <w:color w:val="000000" w:themeColor="text1"/>
          <w:sz w:val="16"/>
          <w:szCs w:val="16"/>
        </w:rPr>
      </w:pPr>
      <w:r w:rsidRPr="00507A31">
        <w:rPr>
          <w:color w:val="000000" w:themeColor="text1"/>
          <w:sz w:val="16"/>
          <w:szCs w:val="16"/>
        </w:rPr>
        <w:t>По типам машин</w:t>
      </w:r>
    </w:p>
    <w:p w14:paraId="316D961E" w14:textId="77777777" w:rsidR="00BF5D4A" w:rsidRPr="00507A31" w:rsidRDefault="00BF5D4A" w:rsidP="00507A31">
      <w:pPr>
        <w:jc w:val="both"/>
        <w:rPr>
          <w:color w:val="000000" w:themeColor="text1"/>
          <w:sz w:val="16"/>
          <w:szCs w:val="16"/>
        </w:rPr>
      </w:pPr>
      <w:r w:rsidRPr="00507A31">
        <w:rPr>
          <w:color w:val="000000" w:themeColor="text1"/>
          <w:sz w:val="16"/>
          <w:szCs w:val="16"/>
        </w:rPr>
        <w:t>А. Малый танк</w:t>
      </w:r>
    </w:p>
    <w:p w14:paraId="5424D995" w14:textId="77777777" w:rsidR="00BF5D4A" w:rsidRPr="00507A31" w:rsidRDefault="00BF5D4A" w:rsidP="00507A31">
      <w:pPr>
        <w:jc w:val="both"/>
        <w:rPr>
          <w:color w:val="000000" w:themeColor="text1"/>
          <w:sz w:val="16"/>
          <w:szCs w:val="16"/>
        </w:rPr>
      </w:pPr>
      <w:r w:rsidRPr="00507A31">
        <w:rPr>
          <w:color w:val="000000" w:themeColor="text1"/>
          <w:sz w:val="16"/>
          <w:szCs w:val="16"/>
        </w:rPr>
        <w:t>На вооружении в 1930 г. продолжает состоять танк Т</w:t>
      </w:r>
      <w:r w:rsidRPr="00507A31">
        <w:rPr>
          <w:color w:val="000000" w:themeColor="text1"/>
          <w:sz w:val="16"/>
          <w:szCs w:val="16"/>
        </w:rPr>
        <w:noBreakHyphen/>
        <w:t>18 со скоростью 16,6 км/ч, при весе 5,9 т, моторе 40 НР, перекрываемостью рва в 1,8 м, вооруженный одной 37</w:t>
      </w:r>
      <w:r w:rsidRPr="00507A31">
        <w:rPr>
          <w:color w:val="000000" w:themeColor="text1"/>
          <w:sz w:val="16"/>
          <w:szCs w:val="16"/>
        </w:rPr>
        <w:noBreakHyphen/>
        <w:t>мм пушкой и одним пулеметом Дегтярева.</w:t>
      </w:r>
    </w:p>
    <w:p w14:paraId="24BC1D6B" w14:textId="77777777" w:rsidR="00BF5D4A" w:rsidRPr="00507A31" w:rsidRDefault="00BF5D4A" w:rsidP="00507A31">
      <w:pPr>
        <w:jc w:val="both"/>
        <w:rPr>
          <w:color w:val="000000" w:themeColor="text1"/>
          <w:sz w:val="16"/>
          <w:szCs w:val="16"/>
        </w:rPr>
      </w:pPr>
      <w:r w:rsidRPr="00507A31">
        <w:rPr>
          <w:color w:val="000000" w:themeColor="text1"/>
          <w:sz w:val="16"/>
          <w:szCs w:val="16"/>
        </w:rPr>
        <w:t>Этот танк по мощности и надежности мотора и по скорости не удовлетворяет основным требованиям Красной армии. Поэтому с 251</w:t>
      </w:r>
      <w:r w:rsidRPr="00507A31">
        <w:rPr>
          <w:color w:val="000000" w:themeColor="text1"/>
          <w:sz w:val="16"/>
          <w:szCs w:val="16"/>
        </w:rPr>
        <w:noBreakHyphen/>
        <w:t>й машины завод «Большевик» должен поставить в танке Т</w:t>
      </w:r>
      <w:r w:rsidRPr="00507A31">
        <w:rPr>
          <w:color w:val="000000" w:themeColor="text1"/>
          <w:sz w:val="16"/>
          <w:szCs w:val="16"/>
        </w:rPr>
        <w:noBreakHyphen/>
        <w:t>18 новый, более надежный и мощный, мотор и довести его скорость до 22 км/ч. В течение 1931 и первой половины 1932 г. этот мотор должен будет установлен и во всех танках Т</w:t>
      </w:r>
      <w:r w:rsidRPr="00507A31">
        <w:rPr>
          <w:color w:val="000000" w:themeColor="text1"/>
          <w:sz w:val="16"/>
          <w:szCs w:val="16"/>
        </w:rPr>
        <w:noBreakHyphen/>
        <w:t>18, состоящих в войсковых частях РККА.</w:t>
      </w:r>
    </w:p>
    <w:p w14:paraId="5FC1681D" w14:textId="77777777" w:rsidR="00BF5D4A" w:rsidRPr="00507A31" w:rsidRDefault="00BF5D4A" w:rsidP="00507A31">
      <w:pPr>
        <w:jc w:val="both"/>
        <w:rPr>
          <w:color w:val="000000" w:themeColor="text1"/>
          <w:sz w:val="16"/>
          <w:szCs w:val="16"/>
        </w:rPr>
      </w:pPr>
      <w:r w:rsidRPr="00507A31">
        <w:rPr>
          <w:color w:val="000000" w:themeColor="text1"/>
          <w:sz w:val="16"/>
          <w:szCs w:val="16"/>
        </w:rPr>
        <w:t>Кроме того, изготовляется опытный образец танка Т</w:t>
      </w:r>
      <w:r w:rsidRPr="00507A31">
        <w:rPr>
          <w:color w:val="000000" w:themeColor="text1"/>
          <w:sz w:val="16"/>
          <w:szCs w:val="16"/>
        </w:rPr>
        <w:noBreakHyphen/>
        <w:t>19 со следующими основными тактико-техническими данными: вес — 8 т, скорость — 30 км, перекрываемый ров в 2 м, броня — 16 мм, проходимость брода глубиною в 1,2 м, вооружение: одна 37</w:t>
      </w:r>
      <w:r w:rsidRPr="00507A31">
        <w:rPr>
          <w:color w:val="000000" w:themeColor="text1"/>
          <w:sz w:val="16"/>
          <w:szCs w:val="16"/>
        </w:rPr>
        <w:noBreakHyphen/>
        <w:t>мм пушка и два пулемета сист[емы] Дегтярева, горизонтальный обстрел — 360°, команда — 3 чел., запас хода на 190 км. Танк удовлетворяет основным требованиям системы вооружения, за исключением превышения веса на ½ т и уменьшения брони, запроектированной вместо 20 мм в 16 мм. Срок изготовления опытного образца — 1 марта 1931 г., первая валовая партия должна выйти в III квартале 1931 г. и переход на серийное производство — с 1 октября 1931 г.</w:t>
      </w:r>
    </w:p>
    <w:p w14:paraId="19C3FD00" w14:textId="77777777" w:rsidR="00BF5D4A" w:rsidRPr="00507A31" w:rsidRDefault="00BF5D4A" w:rsidP="00507A31">
      <w:pPr>
        <w:jc w:val="both"/>
        <w:rPr>
          <w:color w:val="000000" w:themeColor="text1"/>
          <w:sz w:val="16"/>
          <w:szCs w:val="16"/>
        </w:rPr>
      </w:pPr>
      <w:r w:rsidRPr="00507A31">
        <w:rPr>
          <w:color w:val="000000" w:themeColor="text1"/>
          <w:sz w:val="16"/>
          <w:szCs w:val="16"/>
        </w:rPr>
        <w:t>Производство танка Т</w:t>
      </w:r>
      <w:r w:rsidRPr="00507A31">
        <w:rPr>
          <w:color w:val="000000" w:themeColor="text1"/>
          <w:sz w:val="16"/>
          <w:szCs w:val="16"/>
        </w:rPr>
        <w:noBreakHyphen/>
        <w:t>18 в новом танковом цеху зав[ода] «Большевик» налаживается, и в настоящее время выпуск начинает приближаться к 2</w:t>
      </w:r>
      <w:r w:rsidRPr="00507A31">
        <w:rPr>
          <w:color w:val="000000" w:themeColor="text1"/>
          <w:sz w:val="16"/>
          <w:szCs w:val="16"/>
        </w:rPr>
        <w:noBreakHyphen/>
        <w:t>3 машинам в день.</w:t>
      </w:r>
    </w:p>
    <w:p w14:paraId="0ECDA206" w14:textId="77777777" w:rsidR="00BF5D4A" w:rsidRPr="00507A31" w:rsidRDefault="00BF5D4A" w:rsidP="00507A31">
      <w:pPr>
        <w:jc w:val="both"/>
        <w:rPr>
          <w:color w:val="000000" w:themeColor="text1"/>
          <w:sz w:val="16"/>
          <w:szCs w:val="16"/>
        </w:rPr>
      </w:pPr>
      <w:r w:rsidRPr="00507A31">
        <w:rPr>
          <w:color w:val="000000" w:themeColor="text1"/>
          <w:sz w:val="16"/>
          <w:szCs w:val="16"/>
        </w:rPr>
        <w:t>Куплен в Англии современный малый танк английской армии со следующими основными тактико-техническими данными: вес около 7 т, скорость — 30</w:t>
      </w:r>
      <w:r w:rsidRPr="00507A31">
        <w:rPr>
          <w:color w:val="000000" w:themeColor="text1"/>
          <w:sz w:val="16"/>
          <w:szCs w:val="16"/>
        </w:rPr>
        <w:noBreakHyphen/>
        <w:t>35 км, перекрываемый ров в 1,83 м, броня — 17 мм, вооружение: одна 37</w:t>
      </w:r>
      <w:r w:rsidRPr="00507A31">
        <w:rPr>
          <w:color w:val="000000" w:themeColor="text1"/>
          <w:sz w:val="16"/>
          <w:szCs w:val="16"/>
        </w:rPr>
        <w:noBreakHyphen/>
        <w:t>мм пушка и один пулемет, команда — 3 чел., запас хода на 200 км. Одновременно с доставкой первой партии в октябре месяце 1930 г. фирма «Виккерс» доставляет нам основные и сборочные чертежи, что значительно облегчит и сократит срок постановки на производство этого танка в СССР. Фирма также дала согласие на техническую помощь, но переговоры к настоящему времени еще не закончены. По испытании этот танк предназначен для производства на Сталинградском тракторном заводе.</w:t>
      </w:r>
    </w:p>
    <w:p w14:paraId="01CD7C6D" w14:textId="77777777" w:rsidR="00BF5D4A" w:rsidRPr="00507A31" w:rsidRDefault="00BF5D4A" w:rsidP="00507A31">
      <w:pPr>
        <w:jc w:val="both"/>
        <w:rPr>
          <w:color w:val="000000" w:themeColor="text1"/>
          <w:sz w:val="16"/>
          <w:szCs w:val="16"/>
        </w:rPr>
      </w:pPr>
      <w:r w:rsidRPr="00507A31">
        <w:rPr>
          <w:color w:val="000000" w:themeColor="text1"/>
          <w:sz w:val="16"/>
          <w:szCs w:val="16"/>
        </w:rPr>
        <w:t>Б. Средний танк</w:t>
      </w:r>
    </w:p>
    <w:p w14:paraId="432B1692" w14:textId="77777777" w:rsidR="00BF5D4A" w:rsidRPr="00507A31" w:rsidRDefault="00BF5D4A" w:rsidP="00507A31">
      <w:pPr>
        <w:jc w:val="both"/>
        <w:rPr>
          <w:color w:val="000000" w:themeColor="text1"/>
          <w:sz w:val="16"/>
          <w:szCs w:val="16"/>
        </w:rPr>
      </w:pPr>
      <w:r w:rsidRPr="00507A31">
        <w:rPr>
          <w:color w:val="000000" w:themeColor="text1"/>
          <w:sz w:val="16"/>
          <w:szCs w:val="16"/>
        </w:rPr>
        <w:lastRenderedPageBreak/>
        <w:t>Красная армия до сих пор не имеет на вооружении этого типа танка, несмотря на особую важность его как средства прорыва. Положение с этим танком таково. Изготовлен на Харьковском паровозостроительном заводе опытный образец танка Т</w:t>
      </w:r>
      <w:r w:rsidRPr="00507A31">
        <w:rPr>
          <w:color w:val="000000" w:themeColor="text1"/>
          <w:sz w:val="16"/>
          <w:szCs w:val="16"/>
        </w:rPr>
        <w:noBreakHyphen/>
        <w:t>24 (вместо окт[ября] 1929 г. в июле 1930 г.), с авиационным мотором в 300 НР. Танк подвергся испытанию, после чего в него вносится ряд конструктивных изменений. Его основные тактико-технические данные: вес — 18 т, скорость — до 28 км/ч, перекрываемый ров в 2,6 м, проходимость брода в 1,2 м, броня вертикальная — 20 мм, вооружение: одна 45</w:t>
      </w:r>
      <w:r w:rsidRPr="00507A31">
        <w:rPr>
          <w:color w:val="000000" w:themeColor="text1"/>
          <w:sz w:val="16"/>
          <w:szCs w:val="16"/>
        </w:rPr>
        <w:noBreakHyphen/>
        <w:t>мм пушка и три пулемета Дегтярева, команда — 5 чел., запас хода на 150 км.</w:t>
      </w:r>
    </w:p>
    <w:p w14:paraId="670DC8FD" w14:textId="77777777" w:rsidR="00BF5D4A" w:rsidRPr="00507A31" w:rsidRDefault="00BF5D4A" w:rsidP="00507A31">
      <w:pPr>
        <w:jc w:val="both"/>
        <w:rPr>
          <w:color w:val="000000" w:themeColor="text1"/>
          <w:sz w:val="16"/>
          <w:szCs w:val="16"/>
        </w:rPr>
      </w:pPr>
      <w:r w:rsidRPr="00507A31">
        <w:rPr>
          <w:color w:val="000000" w:themeColor="text1"/>
          <w:sz w:val="16"/>
          <w:szCs w:val="16"/>
        </w:rPr>
        <w:t>Танк, в общем, нас удовлетворяет, но нуждается в дальнейшей проработке. Особенно смущает использование очень сложного и нежного авиационного мотора, что сказывается на надежности действия танка. В данный момент танк внедряется в серийное производство на ХПЗ, и в 1931 г. мы предполагаем изготовить 300 машин. Но никакой уверенности в этом нет, так как подготовка ХПЗ к производству находится в совершенно неудовлетворительном состоянии.</w:t>
      </w:r>
    </w:p>
    <w:p w14:paraId="16E47C9C" w14:textId="77777777" w:rsidR="00BF5D4A" w:rsidRPr="00507A31" w:rsidRDefault="00BF5D4A" w:rsidP="00507A31">
      <w:pPr>
        <w:jc w:val="both"/>
        <w:rPr>
          <w:color w:val="000000" w:themeColor="text1"/>
          <w:sz w:val="16"/>
          <w:szCs w:val="16"/>
        </w:rPr>
      </w:pPr>
      <w:r w:rsidRPr="00507A31">
        <w:rPr>
          <w:color w:val="000000" w:themeColor="text1"/>
          <w:sz w:val="16"/>
          <w:szCs w:val="16"/>
        </w:rPr>
        <w:t>Куплены в Англии опытные образцы среднего танка английской армии — 12</w:t>
      </w:r>
      <w:r w:rsidRPr="00507A31">
        <w:rPr>
          <w:color w:val="000000" w:themeColor="text1"/>
          <w:sz w:val="16"/>
          <w:szCs w:val="16"/>
        </w:rPr>
        <w:noBreakHyphen/>
        <w:t>тонный Виккерса. Основные данные этого танка: вес — 13,5 т, мотор — 90 НР, скорость 24 км, перекрываемый ров — 1,8 м, проходимость брода глубиною в 1 м, броня вертикальная — 8 мм, вооружение: одна 47</w:t>
      </w:r>
      <w:r w:rsidRPr="00507A31">
        <w:rPr>
          <w:color w:val="000000" w:themeColor="text1"/>
          <w:sz w:val="16"/>
          <w:szCs w:val="16"/>
        </w:rPr>
        <w:noBreakHyphen/>
        <w:t>мм пушка и два пулемета, команда — 5 чел., запас хода на 240 км. Танк нас не удовлетворяет из-за слабости мотора, тонкости брони; поэтому будут использованы его отдельные агрегаты для конструирования отечественных танков.</w:t>
      </w:r>
    </w:p>
    <w:p w14:paraId="568D3953" w14:textId="77777777" w:rsidR="00BF5D4A" w:rsidRPr="00507A31" w:rsidRDefault="00BF5D4A" w:rsidP="00507A31">
      <w:pPr>
        <w:jc w:val="both"/>
        <w:rPr>
          <w:color w:val="000000" w:themeColor="text1"/>
          <w:sz w:val="16"/>
          <w:szCs w:val="16"/>
        </w:rPr>
      </w:pPr>
      <w:r w:rsidRPr="00507A31">
        <w:rPr>
          <w:color w:val="000000" w:themeColor="text1"/>
          <w:sz w:val="16"/>
          <w:szCs w:val="16"/>
        </w:rPr>
        <w:t>Кроме того, куплены в Америке образцы 9</w:t>
      </w:r>
      <w:r w:rsidRPr="00507A31">
        <w:rPr>
          <w:color w:val="000000" w:themeColor="text1"/>
          <w:sz w:val="16"/>
          <w:szCs w:val="16"/>
        </w:rPr>
        <w:noBreakHyphen/>
        <w:t>тонного танка Кристи. Его основные тактико-технические данные: вес — около 9 т, средняя скорость на колесах — 64 км, на гусенице — 48 км, перекрываемый ров в 2,13 м, проходимость брода глубиною 0,9 м, броня вертикальная — 16 мм, вооружение: одна 37</w:t>
      </w:r>
      <w:r w:rsidRPr="00507A31">
        <w:rPr>
          <w:color w:val="000000" w:themeColor="text1"/>
          <w:sz w:val="16"/>
          <w:szCs w:val="16"/>
        </w:rPr>
        <w:noBreakHyphen/>
        <w:t>мм пушка и один пулемет, команда — 2 чел., запас хода на 240 км, мотор авиационный в 300 НР. Образцы прибывают в СССР в ноябре месяце с. г. Этот танк очень интересен; после всестороннего испытания предполагается к изготовлению на наших автозаводах.</w:t>
      </w:r>
    </w:p>
    <w:p w14:paraId="02DCF807" w14:textId="77777777" w:rsidR="00BF5D4A" w:rsidRPr="00507A31" w:rsidRDefault="00BF5D4A" w:rsidP="00507A31">
      <w:pPr>
        <w:jc w:val="both"/>
        <w:rPr>
          <w:color w:val="000000" w:themeColor="text1"/>
          <w:sz w:val="16"/>
          <w:szCs w:val="16"/>
        </w:rPr>
      </w:pPr>
      <w:r w:rsidRPr="00507A31">
        <w:rPr>
          <w:color w:val="000000" w:themeColor="text1"/>
          <w:sz w:val="16"/>
          <w:szCs w:val="16"/>
        </w:rPr>
        <w:t xml:space="preserve">На Ижорском заводе (Ленинград) изготовляется еще один тип среднего </w:t>
      </w:r>
      <w:hyperlink r:id="rId168" w:history="1">
        <w:r w:rsidRPr="00507A31">
          <w:rPr>
            <w:rStyle w:val="a5"/>
            <w:color w:val="000000" w:themeColor="text1"/>
            <w:sz w:val="16"/>
            <w:szCs w:val="16"/>
            <w:u w:val="none"/>
          </w:rPr>
          <w:t>танка системы инженера Дыренкова</w:t>
        </w:r>
      </w:hyperlink>
      <w:r w:rsidRPr="00507A31">
        <w:rPr>
          <w:color w:val="000000" w:themeColor="text1"/>
          <w:sz w:val="16"/>
          <w:szCs w:val="16"/>
        </w:rPr>
        <w:t>, с двумя моторами «геркулес» (по 85 НР каждый), с возможностью идти своим ходом по железнодорожным рельсам и переключаться быстро на землю. Скорость танка ожидается 25</w:t>
      </w:r>
      <w:r w:rsidRPr="00507A31">
        <w:rPr>
          <w:color w:val="000000" w:themeColor="text1"/>
          <w:sz w:val="16"/>
          <w:szCs w:val="16"/>
        </w:rPr>
        <w:noBreakHyphen/>
        <w:t>30 км/ч. Изготовление опытного образца ожидается в октябре. Танк очень интересен по своим данным и надежности своего действия.</w:t>
      </w:r>
    </w:p>
    <w:p w14:paraId="7223D3F8" w14:textId="77777777" w:rsidR="00BF5D4A" w:rsidRPr="00507A31" w:rsidRDefault="00BF5D4A" w:rsidP="00507A31">
      <w:pPr>
        <w:jc w:val="both"/>
        <w:rPr>
          <w:color w:val="000000" w:themeColor="text1"/>
          <w:sz w:val="16"/>
          <w:szCs w:val="16"/>
        </w:rPr>
      </w:pPr>
      <w:r w:rsidRPr="00507A31">
        <w:rPr>
          <w:color w:val="000000" w:themeColor="text1"/>
          <w:sz w:val="16"/>
          <w:szCs w:val="16"/>
        </w:rPr>
        <w:t>Таким образом, по среднему танку в 1930 г. развернуты опытные работы, куплены заграничные образцы, но производство не постановлено.</w:t>
      </w:r>
    </w:p>
    <w:p w14:paraId="6387D079" w14:textId="77777777" w:rsidR="00BF5D4A" w:rsidRPr="00507A31" w:rsidRDefault="00BF5D4A" w:rsidP="00507A31">
      <w:pPr>
        <w:jc w:val="both"/>
        <w:rPr>
          <w:color w:val="000000" w:themeColor="text1"/>
          <w:sz w:val="16"/>
          <w:szCs w:val="16"/>
        </w:rPr>
      </w:pPr>
      <w:r w:rsidRPr="00507A31">
        <w:rPr>
          <w:color w:val="000000" w:themeColor="text1"/>
          <w:sz w:val="16"/>
          <w:szCs w:val="16"/>
        </w:rPr>
        <w:t>В. Большой танк</w:t>
      </w:r>
    </w:p>
    <w:p w14:paraId="6C559AC8" w14:textId="77777777" w:rsidR="00BF5D4A" w:rsidRPr="00507A31" w:rsidRDefault="00BF5D4A" w:rsidP="00507A31">
      <w:pPr>
        <w:jc w:val="both"/>
        <w:rPr>
          <w:color w:val="000000" w:themeColor="text1"/>
          <w:sz w:val="16"/>
          <w:szCs w:val="16"/>
        </w:rPr>
      </w:pPr>
      <w:r w:rsidRPr="00507A31">
        <w:rPr>
          <w:color w:val="000000" w:themeColor="text1"/>
          <w:sz w:val="16"/>
          <w:szCs w:val="16"/>
        </w:rPr>
        <w:t>Этого типа танка нет еще даже в конструкции. Дано задание на разработку фирме «Виккерс». Окончательное соглашение [с] фирмой пока не достигнуто.</w:t>
      </w:r>
    </w:p>
    <w:p w14:paraId="2B1FC8EB" w14:textId="77777777" w:rsidR="00BF5D4A" w:rsidRPr="00507A31" w:rsidRDefault="00BF5D4A" w:rsidP="00507A31">
      <w:pPr>
        <w:jc w:val="both"/>
        <w:rPr>
          <w:color w:val="000000" w:themeColor="text1"/>
          <w:sz w:val="16"/>
          <w:szCs w:val="16"/>
        </w:rPr>
      </w:pPr>
      <w:r w:rsidRPr="00507A31">
        <w:rPr>
          <w:color w:val="000000" w:themeColor="text1"/>
          <w:sz w:val="16"/>
          <w:szCs w:val="16"/>
        </w:rPr>
        <w:t>Г. Танкетки</w:t>
      </w:r>
    </w:p>
    <w:p w14:paraId="7D6BA653" w14:textId="77777777" w:rsidR="00BF5D4A" w:rsidRPr="00507A31" w:rsidRDefault="00BF5D4A" w:rsidP="00507A31">
      <w:pPr>
        <w:jc w:val="both"/>
        <w:rPr>
          <w:color w:val="000000" w:themeColor="text1"/>
          <w:sz w:val="16"/>
          <w:szCs w:val="16"/>
        </w:rPr>
      </w:pPr>
      <w:r w:rsidRPr="00507A31">
        <w:rPr>
          <w:color w:val="000000" w:themeColor="text1"/>
          <w:sz w:val="16"/>
          <w:szCs w:val="16"/>
        </w:rPr>
        <w:t>На вооружении танкеток еще нет. Ставится на производство на 2</w:t>
      </w:r>
      <w:r w:rsidRPr="00507A31">
        <w:rPr>
          <w:color w:val="000000" w:themeColor="text1"/>
          <w:sz w:val="16"/>
          <w:szCs w:val="16"/>
        </w:rPr>
        <w:noBreakHyphen/>
        <w:t>м автозаводе купленная в Англии гусеничная танкетка «Карден-Лойд». Основные данные танкетки: вес — 1,8 т, максимальная скорость на шоссе — до 40 км/ч, перекрываемый ров в 1,22 м, проходимость брода — 0,7 м, броня лобовая и кормовая — 9 мм, вооружение — 1 пулемет, команда — 2 чел., запас хода — на 160 км.</w:t>
      </w:r>
    </w:p>
    <w:p w14:paraId="25D8BEE2" w14:textId="77777777" w:rsidR="00BF5D4A" w:rsidRPr="00507A31" w:rsidRDefault="00BF5D4A" w:rsidP="00507A31">
      <w:pPr>
        <w:jc w:val="both"/>
        <w:rPr>
          <w:color w:val="000000" w:themeColor="text1"/>
          <w:sz w:val="16"/>
          <w:szCs w:val="16"/>
        </w:rPr>
      </w:pPr>
      <w:r w:rsidRPr="00507A31">
        <w:rPr>
          <w:color w:val="000000" w:themeColor="text1"/>
          <w:sz w:val="16"/>
          <w:szCs w:val="16"/>
        </w:rPr>
        <w:t>Танкетка ставится на производство под мотор «форд АА». Мотор и ряд агрегатов будут стандартными с предположенными к производству на Нижегородском автозаводе мотором и агрегатами «форд АА». Состояние работ по организации производства этой танкетки следующее: изготовляются рабочие чертежи со сроком окончания к 1 ноября 1930 г., прорабатывается технологический процесс, приступлено к оборудованию механической и сборочной мастерской. Для сокращения сроков изготовления рабочих чертежей НКВМором выделено 13 инженеров и техников. При соблюдении взятых темпов можно рассчитывать на производство в 1931 г. 290</w:t>
      </w:r>
      <w:r w:rsidRPr="00507A31">
        <w:rPr>
          <w:color w:val="000000" w:themeColor="text1"/>
          <w:sz w:val="16"/>
          <w:szCs w:val="16"/>
        </w:rPr>
        <w:noBreakHyphen/>
        <w:t>300 танкеток.</w:t>
      </w:r>
    </w:p>
    <w:p w14:paraId="071F99FB" w14:textId="77777777" w:rsidR="00BF5D4A" w:rsidRPr="00507A31" w:rsidRDefault="00BF5D4A" w:rsidP="00507A31">
      <w:pPr>
        <w:jc w:val="both"/>
        <w:rPr>
          <w:color w:val="000000" w:themeColor="text1"/>
          <w:sz w:val="16"/>
          <w:szCs w:val="16"/>
        </w:rPr>
      </w:pPr>
      <w:r w:rsidRPr="00507A31">
        <w:rPr>
          <w:color w:val="000000" w:themeColor="text1"/>
          <w:sz w:val="16"/>
          <w:szCs w:val="16"/>
        </w:rPr>
        <w:t>Кроме того, изготовляется опытный образец танкетки собственной конструкции Т</w:t>
      </w:r>
      <w:r w:rsidRPr="00507A31">
        <w:rPr>
          <w:color w:val="000000" w:themeColor="text1"/>
          <w:sz w:val="16"/>
          <w:szCs w:val="16"/>
        </w:rPr>
        <w:noBreakHyphen/>
        <w:t>23 со сроком готовности опытного образца к 1 декабря 1930 г.</w:t>
      </w:r>
    </w:p>
    <w:p w14:paraId="6262D64C" w14:textId="77777777" w:rsidR="00BF5D4A" w:rsidRPr="00507A31" w:rsidRDefault="00BF5D4A" w:rsidP="00507A31">
      <w:pPr>
        <w:jc w:val="both"/>
        <w:rPr>
          <w:color w:val="000000" w:themeColor="text1"/>
          <w:sz w:val="16"/>
          <w:szCs w:val="16"/>
        </w:rPr>
      </w:pPr>
      <w:r w:rsidRPr="00507A31">
        <w:rPr>
          <w:color w:val="000000" w:themeColor="text1"/>
          <w:sz w:val="16"/>
          <w:szCs w:val="16"/>
        </w:rPr>
        <w:t>Д. Легкий трактор</w:t>
      </w:r>
    </w:p>
    <w:p w14:paraId="04C41095" w14:textId="77777777" w:rsidR="00BF5D4A" w:rsidRPr="00507A31" w:rsidRDefault="00BF5D4A" w:rsidP="00507A31">
      <w:pPr>
        <w:jc w:val="both"/>
        <w:rPr>
          <w:color w:val="000000" w:themeColor="text1"/>
          <w:sz w:val="16"/>
          <w:szCs w:val="16"/>
        </w:rPr>
      </w:pPr>
      <w:r w:rsidRPr="00507A31">
        <w:rPr>
          <w:color w:val="000000" w:themeColor="text1"/>
          <w:sz w:val="16"/>
          <w:szCs w:val="16"/>
        </w:rPr>
        <w:t>ВСНХС даже приближенно не наметил типа легкого гусеничного трактора, отвечающего системе вооружения, и не принял никаких мер ни к запроектированию, ни к производству, несмотря на то что РВС СССР неоднократно выдвигалось требование об организации производства легкого гусеничного трактора. Поэтому РККА на вооружении легкого гусеничного трактора не имеет и, если не будет поставлено его производство, иметь не будет, что ставит Красную армию в безвыходное положение с моторизацией полевой артиллерии.</w:t>
      </w:r>
    </w:p>
    <w:p w14:paraId="70BCD7FA" w14:textId="77777777" w:rsidR="00BF5D4A" w:rsidRPr="00507A31" w:rsidRDefault="00BF5D4A" w:rsidP="00507A31">
      <w:pPr>
        <w:jc w:val="both"/>
        <w:rPr>
          <w:color w:val="000000" w:themeColor="text1"/>
          <w:sz w:val="16"/>
          <w:szCs w:val="16"/>
        </w:rPr>
      </w:pPr>
      <w:r w:rsidRPr="00507A31">
        <w:rPr>
          <w:color w:val="000000" w:themeColor="text1"/>
          <w:sz w:val="16"/>
          <w:szCs w:val="16"/>
        </w:rPr>
        <w:t>Считая такое положение недопустимым, РВСС принял решение в декабре 1930 г. закончить испытание закупленных за границей тракторов «Линке-Гофман», «Павези», арттягача «Самуа» и трактора «Интернационал» с гусеничными придатками и повышенной скоростью, чтобы окончательно выбрать тип, наиболее подходящий для вооружения Красной армии и передать ВСНХС для постановки в производство.</w:t>
      </w:r>
    </w:p>
    <w:p w14:paraId="17B68656" w14:textId="77777777" w:rsidR="00BF5D4A" w:rsidRPr="00507A31" w:rsidRDefault="00BF5D4A" w:rsidP="00507A31">
      <w:pPr>
        <w:jc w:val="both"/>
        <w:rPr>
          <w:color w:val="000000" w:themeColor="text1"/>
          <w:sz w:val="16"/>
          <w:szCs w:val="16"/>
        </w:rPr>
      </w:pPr>
      <w:r w:rsidRPr="00507A31">
        <w:rPr>
          <w:color w:val="000000" w:themeColor="text1"/>
          <w:sz w:val="16"/>
          <w:szCs w:val="16"/>
        </w:rPr>
        <w:t>Е. Средний трактор</w:t>
      </w:r>
    </w:p>
    <w:p w14:paraId="504C561A" w14:textId="77777777" w:rsidR="00BF5D4A" w:rsidRPr="00507A31" w:rsidRDefault="00BF5D4A" w:rsidP="00507A31">
      <w:pPr>
        <w:jc w:val="both"/>
        <w:rPr>
          <w:color w:val="000000" w:themeColor="text1"/>
          <w:sz w:val="16"/>
          <w:szCs w:val="16"/>
        </w:rPr>
      </w:pPr>
      <w:r w:rsidRPr="00507A31">
        <w:rPr>
          <w:color w:val="000000" w:themeColor="text1"/>
          <w:sz w:val="16"/>
          <w:szCs w:val="16"/>
        </w:rPr>
        <w:t>Закончен испытанием модернизированный трактор «Коммунар» со скоростью 15 км/ч, по своим качествам приближающийся к требованиям системы вооружения. Кроме того, ХПЗ приступлено к изготовлению опытного образца трактора «Коммунар» с мотором 100 НР и со скоростью 20 км/ч. Срок изготовления — 1 января 1931 г. Этот тип трактора будет полностью удовлетворять системе вооружения.</w:t>
      </w:r>
    </w:p>
    <w:p w14:paraId="1B8FFA84" w14:textId="77777777" w:rsidR="00BF5D4A" w:rsidRPr="00507A31" w:rsidRDefault="00BF5D4A" w:rsidP="00507A31">
      <w:pPr>
        <w:jc w:val="both"/>
        <w:rPr>
          <w:color w:val="000000" w:themeColor="text1"/>
          <w:sz w:val="16"/>
          <w:szCs w:val="16"/>
        </w:rPr>
      </w:pPr>
      <w:r w:rsidRPr="00507A31">
        <w:rPr>
          <w:color w:val="000000" w:themeColor="text1"/>
          <w:sz w:val="16"/>
          <w:szCs w:val="16"/>
        </w:rPr>
        <w:t>Необходимо отметить, что ВСНХС при выборе типа трактора для Челябинского тракторного завода совершенно не учитывал потребности обороны, так как предположенный к производству трактор «Катерпиллер 60», при моторе 60 НР, весе около 10 т и максимальной скорости 5,9 км/час, совершенно не пригоден для моторизации артиллерии. Только при условии модернизации трактора «Катерпиллер 60» и доведения его скорости до 15</w:t>
      </w:r>
      <w:r w:rsidRPr="00507A31">
        <w:rPr>
          <w:color w:val="000000" w:themeColor="text1"/>
          <w:sz w:val="16"/>
          <w:szCs w:val="16"/>
        </w:rPr>
        <w:noBreakHyphen/>
        <w:t>20 км/час, а веса до 7</w:t>
      </w:r>
      <w:r w:rsidRPr="00507A31">
        <w:rPr>
          <w:color w:val="000000" w:themeColor="text1"/>
          <w:sz w:val="16"/>
          <w:szCs w:val="16"/>
        </w:rPr>
        <w:noBreakHyphen/>
        <w:t>7,5 т, он будет отвечать требованиям НКВМора, и Красная армия на военное время получит мощную производственную базу по среднему трактору на Челябинском тракторном заводе. Без модернизации трактора «Катерпиллер 60» НКВМ не сможет использовать Челябинский тракторный завод как производственную базу.</w:t>
      </w:r>
    </w:p>
    <w:p w14:paraId="7D8A4FF9" w14:textId="77777777" w:rsidR="00BF5D4A" w:rsidRPr="00507A31" w:rsidRDefault="00BF5D4A" w:rsidP="00507A31">
      <w:pPr>
        <w:jc w:val="both"/>
        <w:rPr>
          <w:color w:val="000000" w:themeColor="text1"/>
          <w:sz w:val="16"/>
          <w:szCs w:val="16"/>
        </w:rPr>
      </w:pPr>
      <w:r w:rsidRPr="00507A31">
        <w:rPr>
          <w:color w:val="000000" w:themeColor="text1"/>
          <w:sz w:val="16"/>
          <w:szCs w:val="16"/>
        </w:rPr>
        <w:t>Ж. Тяжелый трактор</w:t>
      </w:r>
    </w:p>
    <w:p w14:paraId="3E2B023C" w14:textId="77777777" w:rsidR="00BF5D4A" w:rsidRPr="00507A31" w:rsidRDefault="00BF5D4A" w:rsidP="00507A31">
      <w:pPr>
        <w:jc w:val="both"/>
        <w:rPr>
          <w:color w:val="000000" w:themeColor="text1"/>
          <w:sz w:val="16"/>
          <w:szCs w:val="16"/>
        </w:rPr>
      </w:pPr>
      <w:r w:rsidRPr="00507A31">
        <w:rPr>
          <w:color w:val="000000" w:themeColor="text1"/>
          <w:sz w:val="16"/>
          <w:szCs w:val="16"/>
        </w:rPr>
        <w:t>Конструкция этого трактора совершенно не разработана.</w:t>
      </w:r>
    </w:p>
    <w:p w14:paraId="13019E87" w14:textId="77777777" w:rsidR="00BF5D4A" w:rsidRPr="00507A31" w:rsidRDefault="00BF5D4A" w:rsidP="00507A31">
      <w:pPr>
        <w:jc w:val="both"/>
        <w:rPr>
          <w:color w:val="000000" w:themeColor="text1"/>
          <w:sz w:val="16"/>
          <w:szCs w:val="16"/>
        </w:rPr>
      </w:pPr>
      <w:r w:rsidRPr="00507A31">
        <w:rPr>
          <w:color w:val="000000" w:themeColor="text1"/>
          <w:sz w:val="16"/>
          <w:szCs w:val="16"/>
        </w:rPr>
        <w:t>3. Легкий трактор для механизированных соединений</w:t>
      </w:r>
    </w:p>
    <w:p w14:paraId="402B55A5" w14:textId="77777777" w:rsidR="00BF5D4A" w:rsidRPr="00507A31" w:rsidRDefault="00BF5D4A" w:rsidP="00507A31">
      <w:pPr>
        <w:jc w:val="both"/>
        <w:rPr>
          <w:color w:val="000000" w:themeColor="text1"/>
          <w:sz w:val="16"/>
          <w:szCs w:val="16"/>
        </w:rPr>
      </w:pPr>
      <w:r w:rsidRPr="00507A31">
        <w:rPr>
          <w:color w:val="000000" w:themeColor="text1"/>
          <w:sz w:val="16"/>
          <w:szCs w:val="16"/>
        </w:rPr>
        <w:t>Конструируется тип этого трактора на шасси танкетки Т</w:t>
      </w:r>
      <w:r w:rsidRPr="00507A31">
        <w:rPr>
          <w:color w:val="000000" w:themeColor="text1"/>
          <w:sz w:val="16"/>
          <w:szCs w:val="16"/>
        </w:rPr>
        <w:noBreakHyphen/>
        <w:t>23 с использованием двигателя АМО</w:t>
      </w:r>
      <w:r w:rsidRPr="00507A31">
        <w:rPr>
          <w:color w:val="000000" w:themeColor="text1"/>
          <w:sz w:val="16"/>
          <w:szCs w:val="16"/>
        </w:rPr>
        <w:noBreakHyphen/>
        <w:t>2. Срок изготовления опытного образца — апрель 1931 г.</w:t>
      </w:r>
    </w:p>
    <w:p w14:paraId="5981620C" w14:textId="77777777" w:rsidR="00BF5D4A" w:rsidRPr="00507A31" w:rsidRDefault="00BF5D4A" w:rsidP="00507A31">
      <w:pPr>
        <w:jc w:val="both"/>
        <w:rPr>
          <w:color w:val="000000" w:themeColor="text1"/>
          <w:sz w:val="16"/>
          <w:szCs w:val="16"/>
        </w:rPr>
      </w:pPr>
      <w:r w:rsidRPr="00507A31">
        <w:rPr>
          <w:color w:val="000000" w:themeColor="text1"/>
          <w:sz w:val="16"/>
          <w:szCs w:val="16"/>
        </w:rPr>
        <w:t>И. Легковой автомобиль</w:t>
      </w:r>
    </w:p>
    <w:p w14:paraId="539B4EA9" w14:textId="77777777" w:rsidR="00BF5D4A" w:rsidRPr="00507A31" w:rsidRDefault="00BF5D4A" w:rsidP="00507A31">
      <w:pPr>
        <w:jc w:val="both"/>
        <w:rPr>
          <w:color w:val="000000" w:themeColor="text1"/>
          <w:sz w:val="16"/>
          <w:szCs w:val="16"/>
        </w:rPr>
      </w:pPr>
      <w:r w:rsidRPr="00507A31">
        <w:rPr>
          <w:color w:val="000000" w:themeColor="text1"/>
          <w:sz w:val="16"/>
          <w:szCs w:val="16"/>
        </w:rPr>
        <w:t>Обеспечение Красной армии базируется на предполагаемом к производству на Нижегородском автозаводе легковом «форде А» как вполне удовлетворяющем требования РККА.</w:t>
      </w:r>
    </w:p>
    <w:p w14:paraId="08257D3E" w14:textId="77777777" w:rsidR="00BF5D4A" w:rsidRPr="00507A31" w:rsidRDefault="00BF5D4A" w:rsidP="00507A31">
      <w:pPr>
        <w:jc w:val="both"/>
        <w:rPr>
          <w:color w:val="000000" w:themeColor="text1"/>
          <w:sz w:val="16"/>
          <w:szCs w:val="16"/>
        </w:rPr>
      </w:pPr>
      <w:r w:rsidRPr="00507A31">
        <w:rPr>
          <w:color w:val="000000" w:themeColor="text1"/>
          <w:sz w:val="16"/>
          <w:szCs w:val="16"/>
        </w:rPr>
        <w:t>К. Грузовой автомобиль</w:t>
      </w:r>
    </w:p>
    <w:p w14:paraId="214270D1" w14:textId="77777777" w:rsidR="00BF5D4A" w:rsidRPr="00507A31" w:rsidRDefault="00BF5D4A" w:rsidP="00507A31">
      <w:pPr>
        <w:jc w:val="both"/>
        <w:rPr>
          <w:color w:val="000000" w:themeColor="text1"/>
          <w:sz w:val="16"/>
          <w:szCs w:val="16"/>
        </w:rPr>
      </w:pPr>
      <w:r w:rsidRPr="00507A31">
        <w:rPr>
          <w:color w:val="000000" w:themeColor="text1"/>
          <w:sz w:val="16"/>
          <w:szCs w:val="16"/>
        </w:rPr>
        <w:t>Обеспечение Красной армии базируется на предположенных к производству «форда АА», АМО</w:t>
      </w:r>
      <w:r w:rsidRPr="00507A31">
        <w:rPr>
          <w:color w:val="000000" w:themeColor="text1"/>
          <w:sz w:val="16"/>
          <w:szCs w:val="16"/>
        </w:rPr>
        <w:noBreakHyphen/>
        <w:t>2 и производящемся Я</w:t>
      </w:r>
      <w:r w:rsidRPr="00507A31">
        <w:rPr>
          <w:color w:val="000000" w:themeColor="text1"/>
          <w:sz w:val="16"/>
          <w:szCs w:val="16"/>
        </w:rPr>
        <w:noBreakHyphen/>
        <w:t>3. Но так как для армии, кроме обыкновенных транспортных машин, нужны машины с большой проходимостью, то по заданию НКВМ изготовляются опытные образцы 3</w:t>
      </w:r>
      <w:r w:rsidRPr="00507A31">
        <w:rPr>
          <w:color w:val="000000" w:themeColor="text1"/>
          <w:sz w:val="16"/>
          <w:szCs w:val="16"/>
        </w:rPr>
        <w:noBreakHyphen/>
        <w:t>осных вездеходных автомобилей со сроками готовности: «форд АА» — к 1 декабря 1930 г., АМО</w:t>
      </w:r>
      <w:r w:rsidRPr="00507A31">
        <w:rPr>
          <w:color w:val="000000" w:themeColor="text1"/>
          <w:sz w:val="16"/>
          <w:szCs w:val="16"/>
        </w:rPr>
        <w:noBreakHyphen/>
        <w:t>2 — к 1 мая 1931 г. Кроме того, изготовлены в Америке три опытных образца вездеходных 3</w:t>
      </w:r>
      <w:r w:rsidRPr="00507A31">
        <w:rPr>
          <w:color w:val="000000" w:themeColor="text1"/>
          <w:sz w:val="16"/>
          <w:szCs w:val="16"/>
        </w:rPr>
        <w:noBreakHyphen/>
        <w:t>осных «фордов АА», на днях прибывающих в СССР.</w:t>
      </w:r>
    </w:p>
    <w:p w14:paraId="0CEECBBC" w14:textId="77777777" w:rsidR="00BF5D4A" w:rsidRPr="00507A31" w:rsidRDefault="00BF5D4A" w:rsidP="00507A31">
      <w:pPr>
        <w:jc w:val="both"/>
        <w:rPr>
          <w:color w:val="000000" w:themeColor="text1"/>
          <w:sz w:val="16"/>
          <w:szCs w:val="16"/>
        </w:rPr>
      </w:pPr>
      <w:r w:rsidRPr="00507A31">
        <w:rPr>
          <w:color w:val="000000" w:themeColor="text1"/>
          <w:sz w:val="16"/>
          <w:szCs w:val="16"/>
        </w:rPr>
        <w:t>Л. Бронеавтомобили</w:t>
      </w:r>
    </w:p>
    <w:p w14:paraId="400A9B8D" w14:textId="77777777" w:rsidR="00BF5D4A" w:rsidRPr="00507A31" w:rsidRDefault="00BF5D4A" w:rsidP="00507A31">
      <w:pPr>
        <w:jc w:val="both"/>
        <w:rPr>
          <w:color w:val="000000" w:themeColor="text1"/>
          <w:sz w:val="16"/>
          <w:szCs w:val="16"/>
        </w:rPr>
      </w:pPr>
      <w:r w:rsidRPr="00507A31">
        <w:rPr>
          <w:color w:val="000000" w:themeColor="text1"/>
          <w:sz w:val="16"/>
          <w:szCs w:val="16"/>
        </w:rPr>
        <w:t>Опытный образец легкого бронеавтомобиля на 3</w:t>
      </w:r>
      <w:r w:rsidRPr="00507A31">
        <w:rPr>
          <w:color w:val="000000" w:themeColor="text1"/>
          <w:sz w:val="16"/>
          <w:szCs w:val="16"/>
        </w:rPr>
        <w:noBreakHyphen/>
        <w:t>осном вездеходном шасси будет изготовлен к 1 мая 1931 г. Опытный образец тяжелого бронеавтомобиля на 3</w:t>
      </w:r>
      <w:r w:rsidRPr="00507A31">
        <w:rPr>
          <w:color w:val="000000" w:themeColor="text1"/>
          <w:sz w:val="16"/>
          <w:szCs w:val="16"/>
        </w:rPr>
        <w:noBreakHyphen/>
        <w:t>осном вездеходном шасси АМО</w:t>
      </w:r>
      <w:r w:rsidRPr="00507A31">
        <w:rPr>
          <w:color w:val="000000" w:themeColor="text1"/>
          <w:sz w:val="16"/>
          <w:szCs w:val="16"/>
        </w:rPr>
        <w:noBreakHyphen/>
        <w:t>2 будет изготовлен к 1 окт[ября] 1931 г.</w:t>
      </w:r>
    </w:p>
    <w:p w14:paraId="71FE4929" w14:textId="77777777" w:rsidR="00BF5D4A" w:rsidRPr="00507A31" w:rsidRDefault="00BF5D4A" w:rsidP="00507A31">
      <w:pPr>
        <w:jc w:val="both"/>
        <w:rPr>
          <w:color w:val="000000" w:themeColor="text1"/>
          <w:sz w:val="16"/>
          <w:szCs w:val="16"/>
        </w:rPr>
      </w:pPr>
      <w:r w:rsidRPr="00507A31">
        <w:rPr>
          <w:color w:val="000000" w:themeColor="text1"/>
          <w:sz w:val="16"/>
          <w:szCs w:val="16"/>
        </w:rPr>
        <w:t>В качестве временной меры к весне 1931 г. будут забронированы купленные в Америке 3</w:t>
      </w:r>
      <w:r w:rsidRPr="00507A31">
        <w:rPr>
          <w:color w:val="000000" w:themeColor="text1"/>
          <w:sz w:val="16"/>
          <w:szCs w:val="16"/>
        </w:rPr>
        <w:noBreakHyphen/>
        <w:t>осные вездеходные шасси «мореланд» со стандартным мотором АМО-2.</w:t>
      </w:r>
    </w:p>
    <w:p w14:paraId="43499B09" w14:textId="77777777" w:rsidR="00BF5D4A" w:rsidRPr="00507A31" w:rsidRDefault="00BF5D4A" w:rsidP="00507A31">
      <w:pPr>
        <w:jc w:val="both"/>
        <w:rPr>
          <w:color w:val="000000" w:themeColor="text1"/>
          <w:sz w:val="16"/>
          <w:szCs w:val="16"/>
        </w:rPr>
      </w:pPr>
      <w:r w:rsidRPr="00507A31">
        <w:rPr>
          <w:color w:val="000000" w:themeColor="text1"/>
          <w:sz w:val="16"/>
          <w:szCs w:val="16"/>
        </w:rPr>
        <w:t>Выводы по типам машин таковы</w:t>
      </w:r>
    </w:p>
    <w:p w14:paraId="79CD8CE5" w14:textId="77777777" w:rsidR="00BF5D4A" w:rsidRPr="00507A31" w:rsidRDefault="00BF5D4A" w:rsidP="00507A31">
      <w:pPr>
        <w:pStyle w:val="rtejustify"/>
        <w:spacing w:before="0" w:after="0"/>
        <w:rPr>
          <w:color w:val="000000" w:themeColor="text1"/>
          <w:sz w:val="16"/>
          <w:szCs w:val="16"/>
        </w:rPr>
      </w:pPr>
      <w:r w:rsidRPr="00507A31">
        <w:rPr>
          <w:color w:val="000000" w:themeColor="text1"/>
          <w:sz w:val="16"/>
          <w:szCs w:val="16"/>
        </w:rPr>
        <w:t>К осени 1930 г. более или менее налаживается производство только малого танка Т</w:t>
      </w:r>
      <w:r w:rsidRPr="00507A31">
        <w:rPr>
          <w:color w:val="000000" w:themeColor="text1"/>
          <w:sz w:val="16"/>
          <w:szCs w:val="16"/>
        </w:rPr>
        <w:noBreakHyphen/>
        <w:t>18, не удовлетворяющего Красную армию. По всем остальным типам, в том числе и по современному типу малого танка, только изготовляются опытные образцы и предполагается поставить производство только в 1931 г. По тракторам — есть только опытные образцы, но нет никаких решений. Тракторная программа промышленности продолжает быть не увязанной с требованиями обороны СССР. По автомобилям — моторизация Красной армии зависит исключительно от успешного строительства автомобильных заводов.</w:t>
      </w:r>
    </w:p>
    <w:p w14:paraId="5DA32B38" w14:textId="77777777" w:rsidR="00BF5D4A" w:rsidRPr="00507A31" w:rsidRDefault="00BF5D4A"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57BDF143" w14:textId="77777777" w:rsidR="00BF5D4A" w:rsidRPr="00507A31" w:rsidRDefault="00BF5D4A" w:rsidP="00507A31">
      <w:pPr>
        <w:pStyle w:val="ae"/>
        <w:spacing w:before="0" w:after="0"/>
        <w:jc w:val="both"/>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Датируется по сопроводительному письму.</w:t>
      </w:r>
    </w:p>
    <w:p w14:paraId="2CDD8317" w14:textId="77777777" w:rsidR="00BF5D4A" w:rsidRPr="00507A31" w:rsidRDefault="00BF5D4A" w:rsidP="00507A31">
      <w:pPr>
        <w:pStyle w:val="ae"/>
        <w:spacing w:before="0" w:after="0"/>
        <w:jc w:val="both"/>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Так в тексте. Вероятно, правильно — 1929 г.</w:t>
      </w:r>
    </w:p>
    <w:p w14:paraId="48FAC479" w14:textId="77777777" w:rsidR="00BF5D4A" w:rsidRPr="00507A31" w:rsidRDefault="00BF5D4A" w:rsidP="00507A31">
      <w:pPr>
        <w:pStyle w:val="ae"/>
        <w:spacing w:before="0" w:after="0"/>
        <w:jc w:val="both"/>
        <w:rPr>
          <w:color w:val="000000" w:themeColor="text1"/>
          <w:sz w:val="16"/>
          <w:szCs w:val="16"/>
        </w:rPr>
      </w:pPr>
      <w:r w:rsidRPr="00507A31">
        <w:rPr>
          <w:color w:val="000000" w:themeColor="text1"/>
          <w:sz w:val="16"/>
          <w:szCs w:val="16"/>
        </w:rPr>
        <w:t>РГВА. Ф. 31811. Оп. 1. Д. 245. Л. 204—211. Копия.</w:t>
      </w:r>
    </w:p>
    <w:p w14:paraId="57503BDC" w14:textId="77777777" w:rsidR="00BF5D4A" w:rsidRPr="00507A31" w:rsidRDefault="00BF5D4A" w:rsidP="00507A31">
      <w:pPr>
        <w:jc w:val="both"/>
        <w:rPr>
          <w:color w:val="000000" w:themeColor="text1"/>
          <w:sz w:val="16"/>
          <w:szCs w:val="16"/>
        </w:rPr>
      </w:pPr>
      <w:r w:rsidRPr="00507A31">
        <w:rPr>
          <w:color w:val="000000" w:themeColor="text1"/>
          <w:sz w:val="16"/>
          <w:szCs w:val="16"/>
        </w:rPr>
        <w:t xml:space="preserve">Архив: РГВА. Ф. 31811. Оп. 1. Д. 245. Л. 204—211. Копия. </w:t>
      </w:r>
    </w:p>
    <w:p w14:paraId="3C1541F6" w14:textId="77777777" w:rsidR="00BF5D4A" w:rsidRPr="00507A31" w:rsidRDefault="00BF5D4A"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503-507 (12518).</w:t>
      </w:r>
    </w:p>
    <w:p w14:paraId="16904872" w14:textId="77777777" w:rsidR="00BF5D4A" w:rsidRPr="00507A31" w:rsidRDefault="00BF5D4A" w:rsidP="00507A31">
      <w:pPr>
        <w:jc w:val="both"/>
        <w:rPr>
          <w:color w:val="000000" w:themeColor="text1"/>
          <w:sz w:val="16"/>
          <w:szCs w:val="16"/>
        </w:rPr>
      </w:pPr>
    </w:p>
    <w:p w14:paraId="3837FB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11 ноября 1930 года НК Юстиции РСФСР Н.Янсоном в Политбюро ЦК ВКП(б) Сталину, после согласовании с Менжинским и Крыленко, был внесен на утверждение Комиссии Политбюро список состава Особого присутствия Верховного суда СССР по делу Рамзина, Калинникова, Ларичева и др. Куда входили Вышинский А.Я.- Председатель суда: Антонов-Саратовский В.П., член Верхсуда СССР - член суда: Львов В.Л. рабочий - кузовщик завода «АМО», член партии с 1919 года, - член суда; Иванов П.А. рабочий - слесарь завода «Красный путиловец» в Ленинграде, член партии с 1918 года,- запасной судья. При этом Янсон пояснил, что Антонова-Саратовского он вызывал на личные переговоры и договорился с ним, что все его вопросы и выступления в зале заседания будут строжайшим образом согласованы с Председателем Суда. Львова имеющего хорошие отзывы местных партийных и общественных организаций он также вызывал к себе и посчитал вполне подходящей кандидатурой. Иванова через ВЦСПС выдвинул Ленинградский областной совет профсоюзов. Янсон с ним не встречался, но данные о нем вполне </w:t>
      </w:r>
      <w:r w:rsidRPr="00507A31">
        <w:rPr>
          <w:color w:val="000000" w:themeColor="text1"/>
          <w:sz w:val="16"/>
          <w:szCs w:val="16"/>
        </w:rPr>
        <w:lastRenderedPageBreak/>
        <w:t>удовлетворительные, а роль его в качестве запасного судьи более чем ограниченная. Янсон попросил Комиссию Политбюро этот состав суда утвердить и передать на оформление в ЦИК Союза ССР (11248).</w:t>
      </w:r>
    </w:p>
    <w:p w14:paraId="56ADDAA7" w14:textId="77777777" w:rsidR="00537E5F" w:rsidRPr="00507A31" w:rsidRDefault="00537E5F" w:rsidP="00507A31">
      <w:pPr>
        <w:autoSpaceDE w:val="0"/>
        <w:autoSpaceDN w:val="0"/>
        <w:adjustRightInd w:val="0"/>
        <w:jc w:val="both"/>
        <w:rPr>
          <w:color w:val="000000" w:themeColor="text1"/>
          <w:sz w:val="16"/>
          <w:szCs w:val="16"/>
        </w:rPr>
      </w:pPr>
    </w:p>
    <w:p w14:paraId="66AA18CD" w14:textId="77777777" w:rsidR="00AA33CA" w:rsidRPr="00507A31" w:rsidRDefault="00AA33CA"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6864C09" w14:textId="77777777" w:rsidR="00AA33CA" w:rsidRPr="00507A31" w:rsidRDefault="00AA33CA" w:rsidP="00507A31">
      <w:pPr>
        <w:autoSpaceDE w:val="0"/>
        <w:autoSpaceDN w:val="0"/>
        <w:adjustRightInd w:val="0"/>
        <w:jc w:val="both"/>
        <w:rPr>
          <w:color w:val="000000" w:themeColor="text1"/>
          <w:sz w:val="16"/>
          <w:szCs w:val="16"/>
        </w:rPr>
      </w:pPr>
    </w:p>
    <w:p w14:paraId="091FCDC3" w14:textId="77777777" w:rsidR="00AA33CA" w:rsidRPr="00507A31" w:rsidRDefault="00AA33CA" w:rsidP="00507A31">
      <w:pPr>
        <w:jc w:val="both"/>
        <w:rPr>
          <w:color w:val="000000" w:themeColor="text1"/>
          <w:sz w:val="16"/>
          <w:szCs w:val="16"/>
        </w:rPr>
      </w:pPr>
      <w:r w:rsidRPr="00507A31">
        <w:rPr>
          <w:color w:val="000000" w:themeColor="text1"/>
          <w:sz w:val="16"/>
          <w:szCs w:val="16"/>
        </w:rPr>
        <w:t>11 ноября 1930 г.</w:t>
      </w:r>
    </w:p>
    <w:p w14:paraId="2425792C" w14:textId="77777777" w:rsidR="00AA33CA" w:rsidRPr="00507A31" w:rsidRDefault="00AA33CA" w:rsidP="00507A31">
      <w:pPr>
        <w:jc w:val="both"/>
        <w:rPr>
          <w:color w:val="000000" w:themeColor="text1"/>
          <w:sz w:val="16"/>
          <w:szCs w:val="16"/>
        </w:rPr>
      </w:pPr>
      <w:r w:rsidRPr="00507A31">
        <w:rPr>
          <w:color w:val="000000" w:themeColor="text1"/>
          <w:sz w:val="16"/>
          <w:szCs w:val="16"/>
        </w:rPr>
        <w:t>Обвинительное заключение» по «делу “Промпартии”». 11 ноября 1930 г.</w:t>
      </w:r>
    </w:p>
    <w:p w14:paraId="4CA663D3" w14:textId="77777777" w:rsidR="00AA33CA" w:rsidRPr="00507A31" w:rsidRDefault="00AA33CA" w:rsidP="00507A31">
      <w:pPr>
        <w:jc w:val="both"/>
        <w:rPr>
          <w:color w:val="000000" w:themeColor="text1"/>
          <w:sz w:val="16"/>
          <w:szCs w:val="16"/>
        </w:rPr>
      </w:pPr>
      <w:r w:rsidRPr="00507A31">
        <w:rPr>
          <w:color w:val="000000" w:themeColor="text1"/>
          <w:sz w:val="16"/>
          <w:szCs w:val="16"/>
        </w:rPr>
        <w:t>Источник: </w:t>
      </w:r>
    </w:p>
    <w:p w14:paraId="26508380" w14:textId="77777777" w:rsidR="00AA33CA" w:rsidRPr="00507A31" w:rsidRDefault="00AA33C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9D183E9" w14:textId="77777777" w:rsidR="00AA33CA" w:rsidRPr="00507A31" w:rsidRDefault="00AA33CA" w:rsidP="00507A31">
      <w:pPr>
        <w:jc w:val="both"/>
        <w:rPr>
          <w:color w:val="000000" w:themeColor="text1"/>
          <w:sz w:val="16"/>
          <w:szCs w:val="16"/>
        </w:rPr>
      </w:pPr>
      <w:r w:rsidRPr="00507A31">
        <w:rPr>
          <w:color w:val="000000" w:themeColor="text1"/>
          <w:sz w:val="16"/>
          <w:szCs w:val="16"/>
        </w:rPr>
        <w:t>11 ноября 1930 г.</w:t>
      </w:r>
    </w:p>
    <w:p w14:paraId="75BE8D9C" w14:textId="77777777" w:rsidR="00AA33CA" w:rsidRPr="00507A31" w:rsidRDefault="00AA33CA" w:rsidP="00507A31">
      <w:pPr>
        <w:jc w:val="both"/>
        <w:rPr>
          <w:color w:val="000000" w:themeColor="text1"/>
          <w:sz w:val="16"/>
          <w:szCs w:val="16"/>
        </w:rPr>
      </w:pPr>
      <w:r w:rsidRPr="00507A31">
        <w:rPr>
          <w:color w:val="000000" w:themeColor="text1"/>
          <w:sz w:val="16"/>
          <w:szCs w:val="16"/>
        </w:rPr>
        <w:t>Обвинительное заключение</w:t>
      </w:r>
    </w:p>
    <w:p w14:paraId="2A4B7F34" w14:textId="77777777" w:rsidR="00AA33CA" w:rsidRPr="00507A31" w:rsidRDefault="00AA33CA" w:rsidP="00507A31">
      <w:pPr>
        <w:jc w:val="both"/>
        <w:rPr>
          <w:color w:val="000000" w:themeColor="text1"/>
          <w:sz w:val="16"/>
          <w:szCs w:val="16"/>
        </w:rPr>
      </w:pPr>
      <w:r w:rsidRPr="00507A31">
        <w:rPr>
          <w:color w:val="000000" w:themeColor="text1"/>
          <w:sz w:val="16"/>
          <w:szCs w:val="16"/>
        </w:rPr>
        <w:t>по делу контрреволюционной организации «Союза инженерных</w:t>
      </w:r>
    </w:p>
    <w:p w14:paraId="2D5BA62A" w14:textId="77777777" w:rsidR="00AA33CA" w:rsidRPr="00507A31" w:rsidRDefault="00AA33CA" w:rsidP="00507A31">
      <w:pPr>
        <w:jc w:val="both"/>
        <w:rPr>
          <w:color w:val="000000" w:themeColor="text1"/>
          <w:sz w:val="16"/>
          <w:szCs w:val="16"/>
        </w:rPr>
      </w:pPr>
      <w:r w:rsidRPr="00507A31">
        <w:rPr>
          <w:color w:val="000000" w:themeColor="text1"/>
          <w:sz w:val="16"/>
          <w:szCs w:val="16"/>
        </w:rPr>
        <w:t>организаций» («Промышленная партия») по обвинению Рамзина,</w:t>
      </w:r>
    </w:p>
    <w:p w14:paraId="30025C8B" w14:textId="77777777" w:rsidR="00AA33CA" w:rsidRPr="00507A31" w:rsidRDefault="00AA33CA" w:rsidP="00507A31">
      <w:pPr>
        <w:jc w:val="both"/>
        <w:rPr>
          <w:color w:val="000000" w:themeColor="text1"/>
          <w:sz w:val="16"/>
          <w:szCs w:val="16"/>
        </w:rPr>
      </w:pPr>
      <w:r w:rsidRPr="00507A31">
        <w:rPr>
          <w:color w:val="000000" w:themeColor="text1"/>
          <w:sz w:val="16"/>
          <w:szCs w:val="16"/>
        </w:rPr>
        <w:t>Калинникова, Ларичева, Чарновского, Федотова, Куприянова,</w:t>
      </w:r>
    </w:p>
    <w:p w14:paraId="65A51EAE" w14:textId="77777777" w:rsidR="00AA33CA" w:rsidRPr="00507A31" w:rsidRDefault="00AA33CA" w:rsidP="00507A31">
      <w:pPr>
        <w:jc w:val="both"/>
        <w:rPr>
          <w:color w:val="000000" w:themeColor="text1"/>
          <w:sz w:val="16"/>
          <w:szCs w:val="16"/>
        </w:rPr>
      </w:pPr>
      <w:r w:rsidRPr="00507A31">
        <w:rPr>
          <w:color w:val="000000" w:themeColor="text1"/>
          <w:sz w:val="16"/>
          <w:szCs w:val="16"/>
        </w:rPr>
        <w:t>Очкина и Ситнина по ст. 58, пп. 3, 4 и 6 Уголовного кодекса РСФСР</w:t>
      </w:r>
    </w:p>
    <w:p w14:paraId="0A96DF6B" w14:textId="77777777" w:rsidR="00AA33CA" w:rsidRPr="00507A31" w:rsidRDefault="00AA33CA" w:rsidP="00507A31">
      <w:pPr>
        <w:jc w:val="both"/>
        <w:rPr>
          <w:color w:val="000000" w:themeColor="text1"/>
          <w:sz w:val="16"/>
          <w:szCs w:val="16"/>
        </w:rPr>
      </w:pPr>
      <w:r w:rsidRPr="00507A31">
        <w:rPr>
          <w:color w:val="000000" w:themeColor="text1"/>
          <w:sz w:val="16"/>
          <w:szCs w:val="16"/>
        </w:rPr>
        <w:t>Одна за другой в целом ряде отраслей промышленности за истекшие два года раскрывались усилиями ОГПУ вредительские организации. Вслед за шахтинской вредительской группировкой была раскрыта вредительская организация в НКПС. За вредительством на транспорте последовало раскрытие вредительских организаций в военной, текстильной, судостроительной промышленности, в машиностроении, в химической, золотой, нефтяной и других отраслях промышленности.</w:t>
      </w:r>
    </w:p>
    <w:p w14:paraId="5905B60E" w14:textId="77777777" w:rsidR="00AA33CA" w:rsidRPr="00507A31" w:rsidRDefault="00AA33CA" w:rsidP="00507A31">
      <w:pPr>
        <w:jc w:val="both"/>
        <w:rPr>
          <w:color w:val="000000" w:themeColor="text1"/>
          <w:sz w:val="16"/>
          <w:szCs w:val="16"/>
        </w:rPr>
      </w:pPr>
      <w:r w:rsidRPr="00507A31">
        <w:rPr>
          <w:color w:val="000000" w:themeColor="text1"/>
          <w:sz w:val="16"/>
          <w:szCs w:val="16"/>
        </w:rPr>
        <w:t>О ряде вредительских организаций и принятых мерах борьбы советское правительство считало нужным путем официальных уведомлений поставить в известность широкие массы трудящихся.</w:t>
      </w:r>
    </w:p>
    <w:p w14:paraId="4B261B0A" w14:textId="77777777" w:rsidR="00AA33CA" w:rsidRPr="00507A31" w:rsidRDefault="00AA33CA" w:rsidP="00507A31">
      <w:pPr>
        <w:jc w:val="both"/>
        <w:rPr>
          <w:color w:val="000000" w:themeColor="text1"/>
          <w:sz w:val="16"/>
          <w:szCs w:val="16"/>
        </w:rPr>
      </w:pPr>
      <w:r w:rsidRPr="00507A31">
        <w:rPr>
          <w:color w:val="000000" w:themeColor="text1"/>
          <w:sz w:val="16"/>
          <w:szCs w:val="16"/>
        </w:rPr>
        <w:t>Почти по всем материалам этих дел следствие систематически приходило к выводу о наличии единого организованного руководящего центра всей вредительской работы, натыкаясь сплошь и рядом на вредителей в основном управляющем аппарате всем народным хозяйством - ВСНХ и в основном планирующем органе - Госплане (об этом и говорили уже данные следствия по шахтинскому процессу).</w:t>
      </w:r>
    </w:p>
    <w:p w14:paraId="0FE83450" w14:textId="77777777" w:rsidR="00AA33CA" w:rsidRPr="00507A31" w:rsidRDefault="00AA33CA" w:rsidP="00507A31">
      <w:pPr>
        <w:jc w:val="both"/>
        <w:rPr>
          <w:color w:val="000000" w:themeColor="text1"/>
          <w:sz w:val="16"/>
          <w:szCs w:val="16"/>
        </w:rPr>
      </w:pPr>
      <w:r w:rsidRPr="00507A31">
        <w:rPr>
          <w:color w:val="000000" w:themeColor="text1"/>
          <w:sz w:val="16"/>
          <w:szCs w:val="16"/>
        </w:rPr>
        <w:t>Многочисленность этих организаций, длительный период их существования, внутренняя организованность их и спайка, а главное, постоянно устанавливавшийся следствием почти в каждом из дел теснейший контакт их с контрреволюционной организацией скрывшихся за рубеж бывш. собственников национализированных предприятий, связь с международным капиталом и, наконец, теснейшая связь со шпионской работой военных штабов иностранных государств - все это давно заставило советскую власть расценивать вредителей не как случайную контрреволюционную группировку инженеров, а прежде всего как определенный метод классовой борьбы со стороны буржуазии как класса в целом, организованно действующей во всех областях нашего хозяйственного строительства, и сверх того искать руководящий центр и рычаг всей вредительской работы не только в среде тех или иных организаций международного капитала, но непосредственно в правительственных сферах крупнейших буржуазных государств Европы, фактически руководивших действиями вредительских организаций и определенно использовавших их как свою военную и политическую агентуру.</w:t>
      </w:r>
    </w:p>
    <w:p w14:paraId="5A2BA732" w14:textId="77777777" w:rsidR="00AA33CA" w:rsidRPr="00507A31" w:rsidRDefault="00AA33CA" w:rsidP="00507A31">
      <w:pPr>
        <w:jc w:val="both"/>
        <w:rPr>
          <w:color w:val="000000" w:themeColor="text1"/>
          <w:sz w:val="16"/>
          <w:szCs w:val="16"/>
        </w:rPr>
      </w:pPr>
      <w:r w:rsidRPr="00507A31">
        <w:rPr>
          <w:color w:val="000000" w:themeColor="text1"/>
          <w:sz w:val="16"/>
          <w:szCs w:val="16"/>
        </w:rPr>
        <w:t>К этому выводу систематически приходила следственная власть при разработке данных о вредительских организациях на основе непосредственных материалов следствия. Мощный поступательный ход вперед Советского Союза на хозяйственном фронте, успехи социалистического строительства исключали для всех этих вредительских организаций осуществление их замыслов без помощи извне, без вмешательства в проводимую ими классовую борьбу против Советского Союза более мощных сил организованного международного капитала в лице его буржуазных правительств, опирающихся на вооруженную силу. Возрастающая по мере тех же успехов Союза враждебная активность буржуазных государств по отношению к Советскому Союзу, непрекращающиеся провокационные попытки втянуть его в войну, наконец, оголтелый шум, который всякий раз поднимала буржуазная пресса после актов репрессий советской власти против открытых вредителей - все это с неумолимой логикой приводило к тем же выводам и говорило о наличии определенной органической связи между работой вредителей и антисоветской политикой буржуазных государств. Сюда поэтому неизбежно должны были вести нити от вредительских организаций.</w:t>
      </w:r>
    </w:p>
    <w:p w14:paraId="57BA039A" w14:textId="77777777" w:rsidR="00AA33CA" w:rsidRPr="00507A31" w:rsidRDefault="00AA33CA" w:rsidP="00507A31">
      <w:pPr>
        <w:jc w:val="both"/>
        <w:rPr>
          <w:color w:val="000000" w:themeColor="text1"/>
          <w:sz w:val="16"/>
          <w:szCs w:val="16"/>
        </w:rPr>
      </w:pPr>
      <w:r w:rsidRPr="00507A31">
        <w:rPr>
          <w:color w:val="000000" w:themeColor="text1"/>
          <w:sz w:val="16"/>
          <w:szCs w:val="16"/>
        </w:rPr>
        <w:t>Таковы были выводы об организационных основах и тактических перспективах вредительства, к которым систематически приходила следственная власть при разработке отдельных конкретных дел.</w:t>
      </w:r>
    </w:p>
    <w:p w14:paraId="16290E01" w14:textId="77777777" w:rsidR="00AA33CA" w:rsidRPr="00507A31" w:rsidRDefault="00AA33CA" w:rsidP="00507A31">
      <w:pPr>
        <w:jc w:val="both"/>
        <w:rPr>
          <w:color w:val="000000" w:themeColor="text1"/>
          <w:sz w:val="16"/>
          <w:szCs w:val="16"/>
        </w:rPr>
      </w:pPr>
      <w:r w:rsidRPr="00507A31">
        <w:rPr>
          <w:color w:val="000000" w:themeColor="text1"/>
          <w:sz w:val="16"/>
          <w:szCs w:val="16"/>
        </w:rPr>
        <w:t>Однако лишь материалы по делу раскрытой наконец ОГПУ контрреволюционной организации, называвшей себя «Промышленной партией», или «Советом союза инженерных организаций», объединившей в единую организацию все отдельные вредительские организации по различным отраслям промышленности и действовавшей не только по указаниям международных организаций бывш. русских и иностранных капиталистов, но и в связи и по прямым указаниям правящих сфер и генерального штаба Франции по подготовке вооруженного вмешательства и вооруженного свержения советской власти, - подтвердили целиком эти выводы. Показания привлеченных по настоящему делу вскрывают в достаточной степени именно этого рода связь.</w:t>
      </w:r>
    </w:p>
    <w:p w14:paraId="400AF4C9" w14:textId="77777777" w:rsidR="00AA33CA" w:rsidRPr="00507A31" w:rsidRDefault="00AA33CA" w:rsidP="00507A31">
      <w:pPr>
        <w:jc w:val="both"/>
        <w:rPr>
          <w:color w:val="000000" w:themeColor="text1"/>
          <w:sz w:val="16"/>
          <w:szCs w:val="16"/>
        </w:rPr>
      </w:pPr>
      <w:r w:rsidRPr="00507A31">
        <w:rPr>
          <w:color w:val="000000" w:themeColor="text1"/>
          <w:sz w:val="16"/>
          <w:szCs w:val="16"/>
        </w:rPr>
        <w:t>Считая исключительно важным немедленно предать гласному суду лиц, поставивших в результате своей антигосударственной преступной деятельности широчайшие массы трудящихся СССР и Западной Европы под прямую угрозу в ближайшем же будущем новой войны против народов СССР, - прокуратура республики предлагает вниманию Верховного суда СССР в настоящем деле эту именно сторону преступной деятельности, оставляя пока в стороне другие, нуждающиеся в дополнительной следственной разработке, стороны дела. Прокуратура республики предъявляет привлеченным по делу лицам обвинение по ст. 58, пн. 3,4 и 6 УК РСФСР.</w:t>
      </w:r>
    </w:p>
    <w:p w14:paraId="7F5D943D" w14:textId="77777777" w:rsidR="00AA33CA" w:rsidRPr="00507A31" w:rsidRDefault="00AA33CA" w:rsidP="00507A31">
      <w:pPr>
        <w:jc w:val="both"/>
        <w:rPr>
          <w:color w:val="000000" w:themeColor="text1"/>
          <w:sz w:val="16"/>
          <w:szCs w:val="16"/>
        </w:rPr>
      </w:pPr>
      <w:r w:rsidRPr="00507A31">
        <w:rPr>
          <w:color w:val="000000" w:themeColor="text1"/>
          <w:sz w:val="16"/>
          <w:szCs w:val="16"/>
        </w:rPr>
        <w:t>1. ИСТОРИЯ ВОЗНИКНОВЕНИЯ ЦЕНТРА</w:t>
      </w:r>
    </w:p>
    <w:p w14:paraId="440CE477" w14:textId="77777777" w:rsidR="00AA33CA" w:rsidRPr="00507A31" w:rsidRDefault="00AA33CA" w:rsidP="00507A31">
      <w:pPr>
        <w:jc w:val="both"/>
        <w:rPr>
          <w:color w:val="000000" w:themeColor="text1"/>
          <w:sz w:val="16"/>
          <w:szCs w:val="16"/>
        </w:rPr>
      </w:pPr>
      <w:r w:rsidRPr="00507A31">
        <w:rPr>
          <w:color w:val="000000" w:themeColor="text1"/>
          <w:sz w:val="16"/>
          <w:szCs w:val="16"/>
        </w:rPr>
        <w:t>КОНТРРЕВОЛЮЦИОННЫХ ВРЕДИТЕЛЬСКИХ ОРГАНИЗАЦИЙ</w:t>
      </w:r>
    </w:p>
    <w:p w14:paraId="3DA59042" w14:textId="77777777" w:rsidR="00AA33CA" w:rsidRPr="00507A31" w:rsidRDefault="00AA33CA" w:rsidP="00507A31">
      <w:pPr>
        <w:jc w:val="both"/>
        <w:rPr>
          <w:color w:val="000000" w:themeColor="text1"/>
          <w:sz w:val="16"/>
          <w:szCs w:val="16"/>
        </w:rPr>
      </w:pPr>
      <w:r w:rsidRPr="00507A31">
        <w:rPr>
          <w:color w:val="000000" w:themeColor="text1"/>
          <w:sz w:val="16"/>
          <w:szCs w:val="16"/>
        </w:rPr>
        <w:t>Возникновение и личный состав объединенного</w:t>
      </w:r>
    </w:p>
    <w:p w14:paraId="139C0474" w14:textId="77777777" w:rsidR="00AA33CA" w:rsidRPr="00507A31" w:rsidRDefault="00AA33CA" w:rsidP="00507A31">
      <w:pPr>
        <w:jc w:val="both"/>
        <w:rPr>
          <w:color w:val="000000" w:themeColor="text1"/>
          <w:sz w:val="16"/>
          <w:szCs w:val="16"/>
        </w:rPr>
      </w:pPr>
      <w:r w:rsidRPr="00507A31">
        <w:rPr>
          <w:color w:val="000000" w:themeColor="text1"/>
          <w:sz w:val="16"/>
          <w:szCs w:val="16"/>
        </w:rPr>
        <w:t>вредительского центра.</w:t>
      </w:r>
    </w:p>
    <w:p w14:paraId="63638CC3" w14:textId="77777777" w:rsidR="00AA33CA" w:rsidRPr="00507A31" w:rsidRDefault="00AA33CA" w:rsidP="00507A31">
      <w:pPr>
        <w:jc w:val="both"/>
        <w:rPr>
          <w:color w:val="000000" w:themeColor="text1"/>
          <w:sz w:val="16"/>
          <w:szCs w:val="16"/>
        </w:rPr>
      </w:pPr>
      <w:r w:rsidRPr="00507A31">
        <w:rPr>
          <w:color w:val="000000" w:themeColor="text1"/>
          <w:sz w:val="16"/>
          <w:szCs w:val="16"/>
        </w:rPr>
        <w:t>Основной работник центра контрреволюционных организаций - проф. Московского высшего технического училища Леонид Константинович Рамзин в показании, написанном собственноручно от 21 сентября 1930 г., показал:</w:t>
      </w:r>
    </w:p>
    <w:p w14:paraId="7D1BFEA3" w14:textId="77777777" w:rsidR="00AA33CA" w:rsidRPr="00507A31" w:rsidRDefault="00AA33CA" w:rsidP="00507A31">
      <w:pPr>
        <w:jc w:val="both"/>
        <w:rPr>
          <w:color w:val="000000" w:themeColor="text1"/>
          <w:sz w:val="16"/>
          <w:szCs w:val="16"/>
        </w:rPr>
      </w:pPr>
      <w:r w:rsidRPr="00507A31">
        <w:rPr>
          <w:color w:val="000000" w:themeColor="text1"/>
          <w:sz w:val="16"/>
          <w:szCs w:val="16"/>
        </w:rPr>
        <w:t>«Признавая себя виновным в участии в контрреволюционной организации “Инженерном центре” (или “Совете объединенных инженерных организаций”), я окончательно и бесповоротно прекращаю всякую борьбу с советской властью, полностью разоружаюсь и приношу мое искреннее и чистосердечное раскаяние в совершенных мной преступлениях...</w:t>
      </w:r>
    </w:p>
    <w:p w14:paraId="36049F56" w14:textId="77777777" w:rsidR="00AA33CA" w:rsidRPr="00507A31" w:rsidRDefault="00AA33CA" w:rsidP="00507A31">
      <w:pPr>
        <w:jc w:val="both"/>
        <w:rPr>
          <w:color w:val="000000" w:themeColor="text1"/>
          <w:sz w:val="16"/>
          <w:szCs w:val="16"/>
        </w:rPr>
      </w:pPr>
      <w:r w:rsidRPr="00507A31">
        <w:rPr>
          <w:color w:val="000000" w:themeColor="text1"/>
          <w:sz w:val="16"/>
          <w:szCs w:val="16"/>
        </w:rPr>
        <w:t>Насколько мне известно из отрывочных сообщений, возникновение “Инженерного центра” можно отнести к 1926 году. Сколько-нибудь точных и подробных сведений по этому вопросу я не имею, ибо я начал принимать участие в “Инженерном центре” лишь в начале 1927 г. ...</w:t>
      </w:r>
    </w:p>
    <w:p w14:paraId="6A618446" w14:textId="77777777" w:rsidR="00AA33CA" w:rsidRPr="00507A31" w:rsidRDefault="00AA33CA" w:rsidP="00507A31">
      <w:pPr>
        <w:jc w:val="both"/>
        <w:rPr>
          <w:color w:val="000000" w:themeColor="text1"/>
          <w:sz w:val="16"/>
          <w:szCs w:val="16"/>
        </w:rPr>
      </w:pPr>
      <w:r w:rsidRPr="00507A31">
        <w:rPr>
          <w:color w:val="000000" w:themeColor="text1"/>
          <w:sz w:val="16"/>
          <w:szCs w:val="16"/>
        </w:rPr>
        <w:t>Инициатором, вдохновителем и основным организатором при создании “Инженерного центра” является П. А. Пальчинский, причем наиболее активными его сотрудниками являлись Л. Г. Рабинович и И. И. Федорович».</w:t>
      </w:r>
    </w:p>
    <w:p w14:paraId="3A1C700F" w14:textId="77777777" w:rsidR="00AA33CA" w:rsidRPr="00507A31" w:rsidRDefault="00AA33CA" w:rsidP="00507A31">
      <w:pPr>
        <w:jc w:val="both"/>
        <w:rPr>
          <w:color w:val="000000" w:themeColor="text1"/>
          <w:sz w:val="16"/>
          <w:szCs w:val="16"/>
        </w:rPr>
      </w:pPr>
      <w:r w:rsidRPr="00507A31">
        <w:rPr>
          <w:color w:val="000000" w:themeColor="text1"/>
          <w:sz w:val="16"/>
          <w:szCs w:val="16"/>
        </w:rPr>
        <w:t>Основные предпосылки для возникновения «Инженерного центра» в его первоначальном виде обвиняемый Рамзин рисует следующие:</w:t>
      </w:r>
    </w:p>
    <w:p w14:paraId="7003C83D" w14:textId="77777777" w:rsidR="00AA33CA" w:rsidRPr="00507A31" w:rsidRDefault="00AA33CA" w:rsidP="00507A31">
      <w:pPr>
        <w:jc w:val="both"/>
        <w:rPr>
          <w:color w:val="000000" w:themeColor="text1"/>
          <w:sz w:val="16"/>
          <w:szCs w:val="16"/>
        </w:rPr>
      </w:pPr>
      <w:r w:rsidRPr="00507A31">
        <w:rPr>
          <w:color w:val="000000" w:themeColor="text1"/>
          <w:sz w:val="16"/>
          <w:szCs w:val="16"/>
        </w:rPr>
        <w:t>[«]а) Одной их исходных причин создания контрреволюционной организации являются, прежде всего, политические настроения в рядах старого инженерства, колебавшегося, обычно, в границах от кадетских до крайне правых, монархических убеждений. Таким образом, по своему политическому облику старое инженерство в своей массе не принимало советского строя и принципов коммунистической партии.</w:t>
      </w:r>
    </w:p>
    <w:p w14:paraId="5C25AF5D" w14:textId="77777777" w:rsidR="00AA33CA" w:rsidRPr="00507A31" w:rsidRDefault="00AA33CA" w:rsidP="00507A31">
      <w:pPr>
        <w:jc w:val="both"/>
        <w:rPr>
          <w:color w:val="000000" w:themeColor="text1"/>
          <w:sz w:val="16"/>
          <w:szCs w:val="16"/>
        </w:rPr>
      </w:pPr>
      <w:r w:rsidRPr="00507A31">
        <w:rPr>
          <w:color w:val="000000" w:themeColor="text1"/>
          <w:sz w:val="16"/>
          <w:szCs w:val="16"/>
        </w:rPr>
        <w:t>б) Указанные политические настроения подкреплялись и разницей в деловом и бытовом положении инженеров до и после Октябрьской революции: естественное недоверие соввласти к инженерству, политический и общественный контроль за их работой лишило инженерство того командного положения, которое многие из них занимали до революции, вместе с тем после революции бытовое и материальное положение крупных инженеров сильно ухудшилось.</w:t>
      </w:r>
    </w:p>
    <w:p w14:paraId="2CC56F82" w14:textId="77777777" w:rsidR="00AA33CA" w:rsidRPr="00507A31" w:rsidRDefault="00AA33CA" w:rsidP="00507A31">
      <w:pPr>
        <w:jc w:val="both"/>
        <w:rPr>
          <w:color w:val="000000" w:themeColor="text1"/>
          <w:sz w:val="16"/>
          <w:szCs w:val="16"/>
        </w:rPr>
      </w:pPr>
      <w:r w:rsidRPr="00507A31">
        <w:rPr>
          <w:color w:val="000000" w:themeColor="text1"/>
          <w:sz w:val="16"/>
          <w:szCs w:val="16"/>
        </w:rPr>
        <w:t>в) Влияние прежних владельцев предприятий на старых инженеров, имевших и частично сохранивших связи с прежними хозяевами, также было постоянным стимулом для борьбы против советского строя с целью возврата прежним владельцам их предприятий или компенсации за них.</w:t>
      </w:r>
    </w:p>
    <w:p w14:paraId="2D539735" w14:textId="77777777" w:rsidR="00AA33CA" w:rsidRPr="00507A31" w:rsidRDefault="00AA33CA" w:rsidP="00507A31">
      <w:pPr>
        <w:jc w:val="both"/>
        <w:rPr>
          <w:color w:val="000000" w:themeColor="text1"/>
          <w:sz w:val="16"/>
          <w:szCs w:val="16"/>
        </w:rPr>
      </w:pPr>
      <w:r w:rsidRPr="00507A31">
        <w:rPr>
          <w:color w:val="000000" w:themeColor="text1"/>
          <w:sz w:val="16"/>
          <w:szCs w:val="16"/>
        </w:rPr>
        <w:t>г) Наметившийся переход от нэпа к социалистическому наступлению был также одной из причин, побудивших к активным действиям против соввласти, ибо надежды на постепенное перерождение последней и дальнейшее углубление нэпа постепенно рушилось.</w:t>
      </w:r>
    </w:p>
    <w:p w14:paraId="7ADCA2F1" w14:textId="77777777" w:rsidR="00AA33CA" w:rsidRPr="00507A31" w:rsidRDefault="00AA33CA" w:rsidP="00507A31">
      <w:pPr>
        <w:jc w:val="both"/>
        <w:rPr>
          <w:color w:val="000000" w:themeColor="text1"/>
          <w:sz w:val="16"/>
          <w:szCs w:val="16"/>
        </w:rPr>
      </w:pPr>
      <w:r w:rsidRPr="00507A31">
        <w:rPr>
          <w:color w:val="000000" w:themeColor="text1"/>
          <w:sz w:val="16"/>
          <w:szCs w:val="16"/>
        </w:rPr>
        <w:t>д) Разгоревшаяся борьба внутри ВКП(б) возбуждала надежды на более успешные результаты контрреволюционных выступлений, в расчете на ослабление коммунистической партии внутренней борьбой».</w:t>
      </w:r>
    </w:p>
    <w:p w14:paraId="7D63FDD2" w14:textId="77777777" w:rsidR="00AA33CA" w:rsidRPr="00507A31" w:rsidRDefault="00AA33CA" w:rsidP="00507A31">
      <w:pPr>
        <w:jc w:val="both"/>
        <w:rPr>
          <w:color w:val="000000" w:themeColor="text1"/>
          <w:sz w:val="16"/>
          <w:szCs w:val="16"/>
        </w:rPr>
      </w:pPr>
      <w:r w:rsidRPr="00507A31">
        <w:rPr>
          <w:color w:val="000000" w:themeColor="text1"/>
          <w:sz w:val="16"/>
          <w:szCs w:val="16"/>
        </w:rPr>
        <w:t>В то же время, продолжает он:</w:t>
      </w:r>
    </w:p>
    <w:p w14:paraId="000D4E50" w14:textId="77777777" w:rsidR="00AA33CA" w:rsidRPr="00507A31" w:rsidRDefault="00AA33CA" w:rsidP="00507A31">
      <w:pPr>
        <w:jc w:val="both"/>
        <w:rPr>
          <w:color w:val="000000" w:themeColor="text1"/>
          <w:sz w:val="16"/>
          <w:szCs w:val="16"/>
        </w:rPr>
      </w:pPr>
      <w:r w:rsidRPr="00507A31">
        <w:rPr>
          <w:color w:val="000000" w:themeColor="text1"/>
          <w:sz w:val="16"/>
          <w:szCs w:val="16"/>
        </w:rPr>
        <w:t>«е) Враждебность и ненависть к соввласти со стороны капиталистических стран создавали реальную базу для расчетов на активную помощь извне, вплоть до военной интервенции, и, таким образом, позволяли надеяться на полную осуществимость контрреволюционного переворота в недалеком будущем.</w:t>
      </w:r>
    </w:p>
    <w:p w14:paraId="198211A1" w14:textId="77777777" w:rsidR="00AA33CA" w:rsidRPr="00507A31" w:rsidRDefault="00AA33CA" w:rsidP="00507A31">
      <w:pPr>
        <w:jc w:val="both"/>
        <w:rPr>
          <w:color w:val="000000" w:themeColor="text1"/>
          <w:sz w:val="16"/>
          <w:szCs w:val="16"/>
        </w:rPr>
      </w:pPr>
      <w:r w:rsidRPr="00507A31">
        <w:rPr>
          <w:color w:val="000000" w:themeColor="text1"/>
          <w:sz w:val="16"/>
          <w:szCs w:val="16"/>
        </w:rPr>
        <w:t>ж) Наметившееся уже в 1927 г. ухудшение бытового положения, недовольство в крестьянских массах, определившиеся признаки кризисов и экономических затруднений, с перспективами их прогрессирования создавали внутри страны благоприятную почву для контрреволюционного переворота».</w:t>
      </w:r>
    </w:p>
    <w:p w14:paraId="2DEB1AAB" w14:textId="77777777" w:rsidR="00AA33CA" w:rsidRPr="00507A31" w:rsidRDefault="00AA33CA" w:rsidP="00507A31">
      <w:pPr>
        <w:jc w:val="both"/>
        <w:rPr>
          <w:color w:val="000000" w:themeColor="text1"/>
          <w:sz w:val="16"/>
          <w:szCs w:val="16"/>
        </w:rPr>
      </w:pPr>
      <w:r w:rsidRPr="00507A31">
        <w:rPr>
          <w:color w:val="000000" w:themeColor="text1"/>
          <w:sz w:val="16"/>
          <w:szCs w:val="16"/>
        </w:rPr>
        <w:t xml:space="preserve">Рамзин не договаривает здесь основной причины — того, что почти все из главных заправил центра были до революции либо сам[и] крупными промышленниками и капиталистами (Рабинович), либо занимали наиболее крупнооплачиваемые командные должности у крупнейших промышленных заправил, были, так сказать, их </w:t>
      </w:r>
      <w:r w:rsidRPr="00507A31">
        <w:rPr>
          <w:color w:val="000000" w:themeColor="text1"/>
          <w:sz w:val="16"/>
          <w:szCs w:val="16"/>
        </w:rPr>
        <w:lastRenderedPageBreak/>
        <w:t>вторым лицом. Что же касается «кризисов», то последующие данные по делу укажут роль, какую сыграла в создании этих «кризисов» работа непосредственно самих обвиняемых и созданной ими контрреволюционной организации. Личный состав центральной вредительской организации Рамзин определяет из следующих лиц:</w:t>
      </w:r>
    </w:p>
    <w:p w14:paraId="2F6AD6B3" w14:textId="77777777" w:rsidR="00AA33CA" w:rsidRPr="00507A31" w:rsidRDefault="00AA33CA" w:rsidP="00507A31">
      <w:pPr>
        <w:jc w:val="both"/>
        <w:rPr>
          <w:color w:val="000000" w:themeColor="text1"/>
          <w:sz w:val="16"/>
          <w:szCs w:val="16"/>
        </w:rPr>
      </w:pPr>
      <w:r w:rsidRPr="00507A31">
        <w:rPr>
          <w:color w:val="000000" w:themeColor="text1"/>
          <w:sz w:val="16"/>
          <w:szCs w:val="16"/>
        </w:rPr>
        <w:t>«В состав Инженерного центра входили:</w:t>
      </w:r>
    </w:p>
    <w:p w14:paraId="30BB6AB8" w14:textId="77777777" w:rsidR="00AA33CA" w:rsidRPr="00507A31" w:rsidRDefault="00AA33CA" w:rsidP="00507A31">
      <w:pPr>
        <w:jc w:val="both"/>
        <w:rPr>
          <w:color w:val="000000" w:themeColor="text1"/>
          <w:sz w:val="16"/>
          <w:szCs w:val="16"/>
        </w:rPr>
      </w:pPr>
      <w:r w:rsidRPr="00507A31">
        <w:rPr>
          <w:color w:val="000000" w:themeColor="text1"/>
          <w:sz w:val="16"/>
          <w:szCs w:val="16"/>
        </w:rPr>
        <w:t>П. А. Пальчинский — основной руководитель всего центра, в ведении коего, кроме общего руководства работой всей организации, были вопросы военные, финансовые и основных заграничных связей.</w:t>
      </w:r>
    </w:p>
    <w:p w14:paraId="20F9D895" w14:textId="77777777" w:rsidR="00AA33CA" w:rsidRPr="00507A31" w:rsidRDefault="00AA33CA" w:rsidP="00507A31">
      <w:pPr>
        <w:jc w:val="both"/>
        <w:rPr>
          <w:color w:val="000000" w:themeColor="text1"/>
          <w:sz w:val="16"/>
          <w:szCs w:val="16"/>
        </w:rPr>
      </w:pPr>
      <w:r w:rsidRPr="00507A31">
        <w:rPr>
          <w:color w:val="000000" w:themeColor="text1"/>
          <w:sz w:val="16"/>
          <w:szCs w:val="16"/>
        </w:rPr>
        <w:t>Л. Г. Рабинович — угольная промышленность, мелкие отрасли промышленности и общий сводный промышленный план.</w:t>
      </w:r>
    </w:p>
    <w:p w14:paraId="2BF68766" w14:textId="77777777" w:rsidR="00AA33CA" w:rsidRPr="00507A31" w:rsidRDefault="00AA33CA" w:rsidP="00507A31">
      <w:pPr>
        <w:jc w:val="both"/>
        <w:rPr>
          <w:color w:val="000000" w:themeColor="text1"/>
          <w:sz w:val="16"/>
          <w:szCs w:val="16"/>
        </w:rPr>
      </w:pPr>
      <w:r w:rsidRPr="00507A31">
        <w:rPr>
          <w:color w:val="000000" w:themeColor="text1"/>
          <w:sz w:val="16"/>
          <w:szCs w:val="16"/>
        </w:rPr>
        <w:t>Инж. Хренников — металлургия и металлообрабатывающая промышленность.</w:t>
      </w:r>
    </w:p>
    <w:p w14:paraId="2BB52188" w14:textId="77777777" w:rsidR="00AA33CA" w:rsidRPr="00507A31" w:rsidRDefault="00AA33CA" w:rsidP="00507A31">
      <w:pPr>
        <w:jc w:val="both"/>
        <w:rPr>
          <w:color w:val="000000" w:themeColor="text1"/>
          <w:sz w:val="16"/>
          <w:szCs w:val="16"/>
        </w:rPr>
      </w:pPr>
      <w:r w:rsidRPr="00507A31">
        <w:rPr>
          <w:color w:val="000000" w:themeColor="text1"/>
          <w:sz w:val="16"/>
          <w:szCs w:val="16"/>
        </w:rPr>
        <w:t>Проф. Чарновский — металлургия и металлообрабатывающая промышленность.</w:t>
      </w:r>
    </w:p>
    <w:p w14:paraId="5ED43133" w14:textId="77777777" w:rsidR="00AA33CA" w:rsidRPr="00507A31" w:rsidRDefault="00AA33CA" w:rsidP="00507A31">
      <w:pPr>
        <w:jc w:val="both"/>
        <w:rPr>
          <w:color w:val="000000" w:themeColor="text1"/>
          <w:sz w:val="16"/>
          <w:szCs w:val="16"/>
        </w:rPr>
      </w:pPr>
      <w:r w:rsidRPr="00507A31">
        <w:rPr>
          <w:color w:val="000000" w:themeColor="text1"/>
          <w:sz w:val="16"/>
          <w:szCs w:val="16"/>
        </w:rPr>
        <w:t>Инж. Федотов — текстильная промышленность.</w:t>
      </w:r>
    </w:p>
    <w:p w14:paraId="0D7066B8" w14:textId="77777777" w:rsidR="00AA33CA" w:rsidRPr="00507A31" w:rsidRDefault="00AA33CA" w:rsidP="00507A31">
      <w:pPr>
        <w:jc w:val="both"/>
        <w:rPr>
          <w:color w:val="000000" w:themeColor="text1"/>
          <w:sz w:val="16"/>
          <w:szCs w:val="16"/>
        </w:rPr>
      </w:pPr>
      <w:r w:rsidRPr="00507A31">
        <w:rPr>
          <w:color w:val="000000" w:themeColor="text1"/>
          <w:sz w:val="16"/>
          <w:szCs w:val="16"/>
        </w:rPr>
        <w:t>Инж. Куприянов — текстильная промышленность.</w:t>
      </w:r>
    </w:p>
    <w:p w14:paraId="2C21579E" w14:textId="77777777" w:rsidR="00AA33CA" w:rsidRPr="00507A31" w:rsidRDefault="00AA33CA" w:rsidP="00507A31">
      <w:pPr>
        <w:jc w:val="both"/>
        <w:rPr>
          <w:color w:val="000000" w:themeColor="text1"/>
          <w:sz w:val="16"/>
          <w:szCs w:val="16"/>
        </w:rPr>
      </w:pPr>
      <w:r w:rsidRPr="00507A31">
        <w:rPr>
          <w:color w:val="000000" w:themeColor="text1"/>
          <w:sz w:val="16"/>
          <w:szCs w:val="16"/>
        </w:rPr>
        <w:t>Инж. Ларичев — нефтяная промышленность и топливоснабжение.</w:t>
      </w:r>
    </w:p>
    <w:p w14:paraId="162B19C6" w14:textId="77777777" w:rsidR="00AA33CA" w:rsidRPr="00507A31" w:rsidRDefault="00AA33CA" w:rsidP="00507A31">
      <w:pPr>
        <w:jc w:val="both"/>
        <w:rPr>
          <w:color w:val="000000" w:themeColor="text1"/>
          <w:sz w:val="16"/>
          <w:szCs w:val="16"/>
        </w:rPr>
      </w:pPr>
      <w:r w:rsidRPr="00507A31">
        <w:rPr>
          <w:color w:val="000000" w:themeColor="text1"/>
          <w:sz w:val="16"/>
          <w:szCs w:val="16"/>
        </w:rPr>
        <w:t>Проф. Л. К. Рамзин — топливоснабжение и энергетика».</w:t>
      </w:r>
    </w:p>
    <w:p w14:paraId="0E887E73" w14:textId="77777777" w:rsidR="00AA33CA" w:rsidRPr="00507A31" w:rsidRDefault="00AA33CA" w:rsidP="00507A31">
      <w:pPr>
        <w:jc w:val="both"/>
        <w:rPr>
          <w:color w:val="000000" w:themeColor="text1"/>
          <w:sz w:val="16"/>
          <w:szCs w:val="16"/>
        </w:rPr>
      </w:pPr>
      <w:r w:rsidRPr="00507A31">
        <w:rPr>
          <w:color w:val="000000" w:themeColor="text1"/>
          <w:sz w:val="16"/>
          <w:szCs w:val="16"/>
        </w:rPr>
        <w:t>Кроме того Рамзин относит к данному центру П. И. Красовского, ведавшего вредительством на путях сообщения, хотя и затрудняется, как он говорит, «окончательно отграничить членов самого центра от членов его отраслевых групп», тем более, что формальных выборов как самого центра, так и его президиума, не было. Однако центр фактически имел президиум, состоявший из следующих лиц: инж. П. А. Пальчинского, инж. Л. Г. Рабиновича и инж. Хренникова, причем после ареста Рабиновича, по показаниям Рамзина, его фактически заменил Федотов (показания от 21 октября). Несколько иначе по этому последнему пункту о лидерстве во вредительской организации показывает обвиняемый Ларичев. Подтверждая в общем и целом показания Рамзина о составе руководящего центра, он тем не менее говорит:</w:t>
      </w:r>
    </w:p>
    <w:p w14:paraId="2567BA20" w14:textId="77777777" w:rsidR="00AA33CA" w:rsidRPr="00507A31" w:rsidRDefault="00AA33CA" w:rsidP="00507A31">
      <w:pPr>
        <w:jc w:val="both"/>
        <w:rPr>
          <w:color w:val="000000" w:themeColor="text1"/>
          <w:sz w:val="16"/>
          <w:szCs w:val="16"/>
        </w:rPr>
      </w:pPr>
      <w:r w:rsidRPr="00507A31">
        <w:rPr>
          <w:color w:val="000000" w:themeColor="text1"/>
          <w:sz w:val="16"/>
          <w:szCs w:val="16"/>
        </w:rPr>
        <w:t>«Руководящая группа фактически играла роль центрального комитета, в состав которого входили: Хренников, Калинников, Рамзин, я, Чарновский, Федотов. Хотя никаких выборов председателя нами не производилось, но по преемственности и знанию общего положения руководящую роль играл Хренников. После его ареста деятельность организации резко свернулась, и в этот последний период руководство перешло к Рамзину» (показания от 21 сентября).</w:t>
      </w:r>
    </w:p>
    <w:p w14:paraId="175C27E2" w14:textId="77777777" w:rsidR="00AA33CA" w:rsidRPr="00507A31" w:rsidRDefault="00AA33CA" w:rsidP="00507A31">
      <w:pPr>
        <w:jc w:val="both"/>
        <w:rPr>
          <w:color w:val="000000" w:themeColor="text1"/>
          <w:sz w:val="16"/>
          <w:szCs w:val="16"/>
        </w:rPr>
      </w:pPr>
      <w:r w:rsidRPr="00507A31">
        <w:rPr>
          <w:color w:val="000000" w:themeColor="text1"/>
          <w:sz w:val="16"/>
          <w:szCs w:val="16"/>
        </w:rPr>
        <w:t>Организационная структура вредительских объединенных</w:t>
      </w:r>
    </w:p>
    <w:p w14:paraId="4572BCCD" w14:textId="77777777" w:rsidR="00AA33CA" w:rsidRPr="00507A31" w:rsidRDefault="00AA33CA" w:rsidP="00507A31">
      <w:pPr>
        <w:jc w:val="both"/>
        <w:rPr>
          <w:color w:val="000000" w:themeColor="text1"/>
          <w:sz w:val="16"/>
          <w:szCs w:val="16"/>
        </w:rPr>
      </w:pPr>
      <w:r w:rsidRPr="00507A31">
        <w:rPr>
          <w:color w:val="000000" w:themeColor="text1"/>
          <w:sz w:val="16"/>
          <w:szCs w:val="16"/>
        </w:rPr>
        <w:t>организаций</w:t>
      </w:r>
    </w:p>
    <w:p w14:paraId="5DC1EB0C" w14:textId="77777777" w:rsidR="00AA33CA" w:rsidRPr="00507A31" w:rsidRDefault="00AA33CA" w:rsidP="00507A31">
      <w:pPr>
        <w:jc w:val="both"/>
        <w:rPr>
          <w:color w:val="000000" w:themeColor="text1"/>
          <w:sz w:val="16"/>
          <w:szCs w:val="16"/>
        </w:rPr>
      </w:pPr>
      <w:r w:rsidRPr="00507A31">
        <w:rPr>
          <w:color w:val="000000" w:themeColor="text1"/>
          <w:sz w:val="16"/>
          <w:szCs w:val="16"/>
        </w:rPr>
        <w:t>Организационная структура центра всей вредительской организации была, по Рамзину, следующая:</w:t>
      </w:r>
    </w:p>
    <w:p w14:paraId="73631EBF" w14:textId="77777777" w:rsidR="00AA33CA" w:rsidRPr="00507A31" w:rsidRDefault="00AA33CA" w:rsidP="00507A31">
      <w:pPr>
        <w:jc w:val="both"/>
        <w:rPr>
          <w:color w:val="000000" w:themeColor="text1"/>
          <w:sz w:val="16"/>
          <w:szCs w:val="16"/>
        </w:rPr>
      </w:pPr>
      <w:r w:rsidRPr="00507A31">
        <w:rPr>
          <w:color w:val="000000" w:themeColor="text1"/>
          <w:sz w:val="16"/>
          <w:szCs w:val="16"/>
        </w:rPr>
        <w:t>«В целях максимальной конспирации вся организация была построена по принципу обособленных цепочных связей, а именно — по отдельным отраслям промышленности существовали отдельные головные звенья, игравшие роль соответствующих отраслевых центров, которые устанавливали связь далее книзу, т. е. к низовым и периферийным ячейкам.</w:t>
      </w:r>
    </w:p>
    <w:p w14:paraId="3C9F7B19" w14:textId="77777777" w:rsidR="00AA33CA" w:rsidRPr="00507A31" w:rsidRDefault="00AA33CA" w:rsidP="00507A31">
      <w:pPr>
        <w:jc w:val="both"/>
        <w:rPr>
          <w:color w:val="000000" w:themeColor="text1"/>
          <w:sz w:val="16"/>
          <w:szCs w:val="16"/>
        </w:rPr>
      </w:pPr>
      <w:r w:rsidRPr="00507A31">
        <w:rPr>
          <w:color w:val="000000" w:themeColor="text1"/>
          <w:sz w:val="16"/>
          <w:szCs w:val="16"/>
        </w:rPr>
        <w:t>Благодаря такой организации члены различных цепочек не знали друг друга и даже верховные и низовые звенья одной и той же цепочки не находились в непосредственном контакте.</w:t>
      </w:r>
    </w:p>
    <w:p w14:paraId="4D4255B5" w14:textId="77777777" w:rsidR="00AA33CA" w:rsidRPr="00507A31" w:rsidRDefault="00AA33CA" w:rsidP="00507A31">
      <w:pPr>
        <w:jc w:val="both"/>
        <w:rPr>
          <w:color w:val="000000" w:themeColor="text1"/>
          <w:sz w:val="16"/>
          <w:szCs w:val="16"/>
        </w:rPr>
      </w:pPr>
      <w:r w:rsidRPr="00507A31">
        <w:rPr>
          <w:color w:val="000000" w:themeColor="text1"/>
          <w:sz w:val="16"/>
          <w:szCs w:val="16"/>
        </w:rPr>
        <w:t>Такая система цепочных связей обеспечивала минимальные разрывы организации в случае провала отдельных ее членов...</w:t>
      </w:r>
    </w:p>
    <w:p w14:paraId="04DEE29D" w14:textId="77777777" w:rsidR="00AA33CA" w:rsidRPr="00507A31" w:rsidRDefault="00AA33CA" w:rsidP="00507A31">
      <w:pPr>
        <w:jc w:val="both"/>
        <w:rPr>
          <w:color w:val="000000" w:themeColor="text1"/>
          <w:sz w:val="16"/>
          <w:szCs w:val="16"/>
        </w:rPr>
      </w:pPr>
      <w:r w:rsidRPr="00507A31">
        <w:rPr>
          <w:color w:val="000000" w:themeColor="text1"/>
          <w:sz w:val="16"/>
          <w:szCs w:val="16"/>
        </w:rPr>
        <w:t>...По моему впечатлению, общий объем московской организации, непосредственно связанной с центром, можно оценивать около 40-50 человек, а суммарное количество членов организации, тяготеющих непосредственно к центру, — цифрового порядка 400-500 человек. Общее же количество участников организации, включая низовых работников, доходило до 2 тыс. человек» (показания от 21 сентября).</w:t>
      </w:r>
    </w:p>
    <w:p w14:paraId="75A85D0D" w14:textId="77777777" w:rsidR="00AA33CA" w:rsidRPr="00507A31" w:rsidRDefault="00AA33CA" w:rsidP="00507A31">
      <w:pPr>
        <w:jc w:val="both"/>
        <w:rPr>
          <w:color w:val="000000" w:themeColor="text1"/>
          <w:sz w:val="16"/>
          <w:szCs w:val="16"/>
        </w:rPr>
      </w:pPr>
      <w:r w:rsidRPr="00507A31">
        <w:rPr>
          <w:color w:val="000000" w:themeColor="text1"/>
          <w:sz w:val="16"/>
          <w:szCs w:val="16"/>
        </w:rPr>
        <w:t>По отдельным отраслям промышленности во главе указанных высших цепочек стояли, кроме упомянутых выше обвиняемых, по показаниям Рамзина, следующие лица:</w:t>
      </w:r>
    </w:p>
    <w:p w14:paraId="5706A884" w14:textId="77777777" w:rsidR="00AA33CA" w:rsidRPr="00507A31" w:rsidRDefault="00AA33CA" w:rsidP="00507A31">
      <w:pPr>
        <w:jc w:val="both"/>
        <w:rPr>
          <w:color w:val="000000" w:themeColor="text1"/>
          <w:sz w:val="16"/>
          <w:szCs w:val="16"/>
        </w:rPr>
      </w:pPr>
      <w:r w:rsidRPr="00507A31">
        <w:rPr>
          <w:color w:val="000000" w:themeColor="text1"/>
          <w:sz w:val="16"/>
          <w:szCs w:val="16"/>
        </w:rPr>
        <w:t>«Угольная промышленность — И. И. Федорович, инж. Скоруто, Назимов и А. Д. Волкович.</w:t>
      </w:r>
    </w:p>
    <w:p w14:paraId="357BC644" w14:textId="77777777" w:rsidR="00AA33CA" w:rsidRPr="00507A31" w:rsidRDefault="00AA33CA" w:rsidP="00507A31">
      <w:pPr>
        <w:jc w:val="both"/>
        <w:rPr>
          <w:color w:val="000000" w:themeColor="text1"/>
          <w:sz w:val="16"/>
          <w:szCs w:val="16"/>
        </w:rPr>
      </w:pPr>
      <w:r w:rsidRPr="00507A31">
        <w:rPr>
          <w:color w:val="000000" w:themeColor="text1"/>
          <w:sz w:val="16"/>
          <w:szCs w:val="16"/>
        </w:rPr>
        <w:t>Нефть — проф. И. Н. Стрижов, инж. Покровский (Госплан СССР) и инж. Н. Н. Смирнов (ВСНХ СССР).</w:t>
      </w:r>
    </w:p>
    <w:p w14:paraId="6871F146" w14:textId="77777777" w:rsidR="00AA33CA" w:rsidRPr="00507A31" w:rsidRDefault="00AA33CA" w:rsidP="00507A31">
      <w:pPr>
        <w:jc w:val="both"/>
        <w:rPr>
          <w:color w:val="000000" w:themeColor="text1"/>
          <w:sz w:val="16"/>
          <w:szCs w:val="16"/>
        </w:rPr>
      </w:pPr>
      <w:r w:rsidRPr="00507A31">
        <w:rPr>
          <w:color w:val="000000" w:themeColor="text1"/>
          <w:sz w:val="16"/>
          <w:szCs w:val="16"/>
        </w:rPr>
        <w:t>Металл — Гржимайло, Белоножкин, Юлманов, Кауфман, Неймайер, инж. П. М. Кутский, инж. Р. Я. Гартван, Лист, Липгарт и Подьяконов.</w:t>
      </w:r>
    </w:p>
    <w:p w14:paraId="7641EAB6" w14:textId="77777777" w:rsidR="00AA33CA" w:rsidRPr="00507A31" w:rsidRDefault="00AA33CA" w:rsidP="00507A31">
      <w:pPr>
        <w:jc w:val="both"/>
        <w:rPr>
          <w:color w:val="000000" w:themeColor="text1"/>
          <w:sz w:val="16"/>
          <w:szCs w:val="16"/>
        </w:rPr>
      </w:pPr>
      <w:r w:rsidRPr="00507A31">
        <w:rPr>
          <w:color w:val="000000" w:themeColor="text1"/>
          <w:sz w:val="16"/>
          <w:szCs w:val="16"/>
        </w:rPr>
        <w:t>Текстильная — Куприянов, Лебедев, Лопатин, Нольде.</w:t>
      </w:r>
    </w:p>
    <w:p w14:paraId="59D6319D" w14:textId="77777777" w:rsidR="00AA33CA" w:rsidRPr="00507A31" w:rsidRDefault="00AA33CA" w:rsidP="00507A31">
      <w:pPr>
        <w:jc w:val="both"/>
        <w:rPr>
          <w:color w:val="000000" w:themeColor="text1"/>
          <w:sz w:val="16"/>
          <w:szCs w:val="16"/>
        </w:rPr>
      </w:pPr>
      <w:r w:rsidRPr="00507A31">
        <w:rPr>
          <w:color w:val="000000" w:themeColor="text1"/>
          <w:sz w:val="16"/>
          <w:szCs w:val="16"/>
        </w:rPr>
        <w:t>Химическая — инж. В. П. Кравец (ВСНХ СССР) и инж. В. Н. Камзолкин, проф. И. С. Шведов, проф. Шпитальский, Лотавский, Лебедкин, Булгаков.</w:t>
      </w:r>
    </w:p>
    <w:p w14:paraId="093A4AA6" w14:textId="77777777" w:rsidR="00AA33CA" w:rsidRPr="00507A31" w:rsidRDefault="00AA33CA" w:rsidP="00507A31">
      <w:pPr>
        <w:jc w:val="both"/>
        <w:rPr>
          <w:color w:val="000000" w:themeColor="text1"/>
          <w:sz w:val="16"/>
          <w:szCs w:val="16"/>
        </w:rPr>
      </w:pPr>
      <w:r w:rsidRPr="00507A31">
        <w:rPr>
          <w:color w:val="000000" w:themeColor="text1"/>
          <w:sz w:val="16"/>
          <w:szCs w:val="16"/>
        </w:rPr>
        <w:t>Торфяная — В. Н. Вальяжников, Кирпичников.</w:t>
      </w:r>
    </w:p>
    <w:p w14:paraId="1C4E8A63" w14:textId="77777777" w:rsidR="00AA33CA" w:rsidRPr="00507A31" w:rsidRDefault="00AA33CA" w:rsidP="00507A31">
      <w:pPr>
        <w:jc w:val="both"/>
        <w:rPr>
          <w:color w:val="000000" w:themeColor="text1"/>
          <w:sz w:val="16"/>
          <w:szCs w:val="16"/>
        </w:rPr>
      </w:pPr>
      <w:r w:rsidRPr="00507A31">
        <w:rPr>
          <w:color w:val="000000" w:themeColor="text1"/>
          <w:sz w:val="16"/>
          <w:szCs w:val="16"/>
        </w:rPr>
        <w:t>Цементная — М. М. Погосов и А. И. Ставровский.</w:t>
      </w:r>
    </w:p>
    <w:p w14:paraId="0C1FC7C4" w14:textId="77777777" w:rsidR="00AA33CA" w:rsidRPr="00507A31" w:rsidRDefault="00AA33CA" w:rsidP="00507A31">
      <w:pPr>
        <w:jc w:val="both"/>
        <w:rPr>
          <w:color w:val="000000" w:themeColor="text1"/>
          <w:sz w:val="16"/>
          <w:szCs w:val="16"/>
        </w:rPr>
      </w:pPr>
      <w:r w:rsidRPr="00507A31">
        <w:rPr>
          <w:color w:val="000000" w:themeColor="text1"/>
          <w:sz w:val="16"/>
          <w:szCs w:val="16"/>
        </w:rPr>
        <w:t>Электротехническая — Б. И. Угримов.</w:t>
      </w:r>
    </w:p>
    <w:p w14:paraId="3A3F6ED7" w14:textId="77777777" w:rsidR="00AA33CA" w:rsidRPr="00507A31" w:rsidRDefault="00AA33CA" w:rsidP="00507A31">
      <w:pPr>
        <w:jc w:val="both"/>
        <w:rPr>
          <w:color w:val="000000" w:themeColor="text1"/>
          <w:sz w:val="16"/>
          <w:szCs w:val="16"/>
        </w:rPr>
      </w:pPr>
      <w:r w:rsidRPr="00507A31">
        <w:rPr>
          <w:color w:val="000000" w:themeColor="text1"/>
          <w:sz w:val="16"/>
          <w:szCs w:val="16"/>
        </w:rPr>
        <w:t>Экономическая группа — Гуревич, Белоцерковский, Соколовский (ВСНХ СССР).</w:t>
      </w:r>
    </w:p>
    <w:p w14:paraId="2E8BF045" w14:textId="77777777" w:rsidR="00AA33CA" w:rsidRPr="00507A31" w:rsidRDefault="00AA33CA" w:rsidP="00507A31">
      <w:pPr>
        <w:jc w:val="both"/>
        <w:rPr>
          <w:color w:val="000000" w:themeColor="text1"/>
          <w:sz w:val="16"/>
          <w:szCs w:val="16"/>
        </w:rPr>
      </w:pPr>
      <w:r w:rsidRPr="00507A31">
        <w:rPr>
          <w:color w:val="000000" w:themeColor="text1"/>
          <w:sz w:val="16"/>
          <w:szCs w:val="16"/>
        </w:rPr>
        <w:t>Топливоснабжение — Про[р]вич и Покровский (ВСНХ СССР), Цванцигер, С. Н. Украинцев-Целибель.</w:t>
      </w:r>
    </w:p>
    <w:p w14:paraId="498D4974" w14:textId="77777777" w:rsidR="00AA33CA" w:rsidRPr="00507A31" w:rsidRDefault="00AA33CA" w:rsidP="00507A31">
      <w:pPr>
        <w:jc w:val="both"/>
        <w:rPr>
          <w:color w:val="000000" w:themeColor="text1"/>
          <w:sz w:val="16"/>
          <w:szCs w:val="16"/>
        </w:rPr>
      </w:pPr>
      <w:r w:rsidRPr="00507A31">
        <w:rPr>
          <w:color w:val="000000" w:themeColor="text1"/>
          <w:sz w:val="16"/>
          <w:szCs w:val="16"/>
        </w:rPr>
        <w:t>Общая увязка промышленного плана в целом и мелкие отрасли промышленности — проф. И. А. Калинников.</w:t>
      </w:r>
    </w:p>
    <w:p w14:paraId="4C47BE6F" w14:textId="77777777" w:rsidR="00AA33CA" w:rsidRPr="00507A31" w:rsidRDefault="00AA33CA" w:rsidP="00507A31">
      <w:pPr>
        <w:jc w:val="both"/>
        <w:rPr>
          <w:color w:val="000000" w:themeColor="text1"/>
          <w:sz w:val="16"/>
          <w:szCs w:val="16"/>
        </w:rPr>
      </w:pPr>
      <w:r w:rsidRPr="00507A31">
        <w:rPr>
          <w:color w:val="000000" w:themeColor="text1"/>
          <w:sz w:val="16"/>
          <w:szCs w:val="16"/>
        </w:rPr>
        <w:t>Энергетическая] — М. Л. Каменецкий, Н. Н. Вашков, проф. А. А. Горев, инж. Кукель-Краевский128, Н. И. Осадчий, Сушкин.</w:t>
      </w:r>
    </w:p>
    <w:p w14:paraId="77617340" w14:textId="77777777" w:rsidR="00AA33CA" w:rsidRPr="00507A31" w:rsidRDefault="00AA33CA" w:rsidP="00507A31">
      <w:pPr>
        <w:jc w:val="both"/>
        <w:rPr>
          <w:color w:val="000000" w:themeColor="text1"/>
          <w:sz w:val="16"/>
          <w:szCs w:val="16"/>
        </w:rPr>
      </w:pPr>
      <w:r w:rsidRPr="00507A31">
        <w:rPr>
          <w:color w:val="000000" w:themeColor="text1"/>
          <w:sz w:val="16"/>
          <w:szCs w:val="16"/>
        </w:rPr>
        <w:t>Ленинградские группы — проф. М. В. Кирпичев, А. А. Фомин, В. Н. Шретер.</w:t>
      </w:r>
    </w:p>
    <w:p w14:paraId="708F50AA" w14:textId="77777777" w:rsidR="00AA33CA" w:rsidRPr="00507A31" w:rsidRDefault="00AA33CA" w:rsidP="00507A31">
      <w:pPr>
        <w:jc w:val="both"/>
        <w:rPr>
          <w:color w:val="000000" w:themeColor="text1"/>
          <w:sz w:val="16"/>
          <w:szCs w:val="16"/>
        </w:rPr>
      </w:pPr>
      <w:r w:rsidRPr="00507A31">
        <w:rPr>
          <w:color w:val="000000" w:themeColor="text1"/>
          <w:sz w:val="16"/>
          <w:szCs w:val="16"/>
        </w:rPr>
        <w:t>МОГЭС — Кирпичников, Яновицкий, Крылов, Я. Савельев.</w:t>
      </w:r>
    </w:p>
    <w:p w14:paraId="451671AF" w14:textId="77777777" w:rsidR="00AA33CA" w:rsidRPr="00507A31" w:rsidRDefault="00AA33CA" w:rsidP="00507A31">
      <w:pPr>
        <w:jc w:val="both"/>
        <w:rPr>
          <w:color w:val="000000" w:themeColor="text1"/>
          <w:sz w:val="16"/>
          <w:szCs w:val="16"/>
        </w:rPr>
      </w:pPr>
      <w:r w:rsidRPr="00507A31">
        <w:rPr>
          <w:color w:val="000000" w:themeColor="text1"/>
          <w:sz w:val="16"/>
          <w:szCs w:val="16"/>
        </w:rPr>
        <w:t>Энергетика военной промышленности — инж. Е. Ф. Евреинов и инж. В. Н. Домонтович (Теплотехнический институт).</w:t>
      </w:r>
    </w:p>
    <w:p w14:paraId="09141E05" w14:textId="77777777" w:rsidR="00AA33CA" w:rsidRPr="00507A31" w:rsidRDefault="00AA33CA" w:rsidP="00507A31">
      <w:pPr>
        <w:jc w:val="both"/>
        <w:rPr>
          <w:color w:val="000000" w:themeColor="text1"/>
          <w:sz w:val="16"/>
          <w:szCs w:val="16"/>
        </w:rPr>
      </w:pPr>
      <w:r w:rsidRPr="00507A31">
        <w:rPr>
          <w:color w:val="000000" w:themeColor="text1"/>
          <w:sz w:val="16"/>
          <w:szCs w:val="16"/>
        </w:rPr>
        <w:t>Энергетика транспорта — А. К. Бесядовский и Н. Ф. Лавров.</w:t>
      </w:r>
    </w:p>
    <w:p w14:paraId="63D05851" w14:textId="77777777" w:rsidR="00AA33CA" w:rsidRPr="00507A31" w:rsidRDefault="00AA33CA" w:rsidP="00507A31">
      <w:pPr>
        <w:jc w:val="both"/>
        <w:rPr>
          <w:color w:val="000000" w:themeColor="text1"/>
          <w:sz w:val="16"/>
          <w:szCs w:val="16"/>
        </w:rPr>
      </w:pPr>
      <w:r w:rsidRPr="00507A31">
        <w:rPr>
          <w:color w:val="000000" w:themeColor="text1"/>
          <w:sz w:val="16"/>
          <w:szCs w:val="16"/>
        </w:rPr>
        <w:t>НКПС — Мекк, И. Н. Борисов, П. И. Красовский, П. С. Янушевский, М. Е. Правосудович, А. Ф. Величко, Шухов.</w:t>
      </w:r>
    </w:p>
    <w:p w14:paraId="4AD90599" w14:textId="77777777" w:rsidR="00AA33CA" w:rsidRPr="00507A31" w:rsidRDefault="00AA33CA" w:rsidP="00507A31">
      <w:pPr>
        <w:jc w:val="both"/>
        <w:rPr>
          <w:color w:val="000000" w:themeColor="text1"/>
          <w:sz w:val="16"/>
          <w:szCs w:val="16"/>
        </w:rPr>
      </w:pPr>
      <w:r w:rsidRPr="00507A31">
        <w:rPr>
          <w:color w:val="000000" w:themeColor="text1"/>
          <w:sz w:val="16"/>
          <w:szCs w:val="16"/>
        </w:rPr>
        <w:t>Профсоюз инженерно-технических работ — С. Д. Шейн.</w:t>
      </w:r>
    </w:p>
    <w:p w14:paraId="02B8A730" w14:textId="77777777" w:rsidR="00AA33CA" w:rsidRPr="00507A31" w:rsidRDefault="00AA33CA" w:rsidP="00507A31">
      <w:pPr>
        <w:jc w:val="both"/>
        <w:rPr>
          <w:color w:val="000000" w:themeColor="text1"/>
          <w:sz w:val="16"/>
          <w:szCs w:val="16"/>
        </w:rPr>
      </w:pPr>
      <w:r w:rsidRPr="00507A31">
        <w:rPr>
          <w:color w:val="000000" w:themeColor="text1"/>
          <w:sz w:val="16"/>
          <w:szCs w:val="16"/>
        </w:rPr>
        <w:t>ВАИ и Политехническое общество — Н. Н. Львов, А. А. Шадрин.</w:t>
      </w:r>
    </w:p>
    <w:p w14:paraId="00F27F6F" w14:textId="77777777" w:rsidR="00AA33CA" w:rsidRPr="00507A31" w:rsidRDefault="00AA33CA" w:rsidP="00507A31">
      <w:pPr>
        <w:jc w:val="both"/>
        <w:rPr>
          <w:color w:val="000000" w:themeColor="text1"/>
          <w:sz w:val="16"/>
          <w:szCs w:val="16"/>
        </w:rPr>
      </w:pPr>
      <w:r w:rsidRPr="00507A31">
        <w:rPr>
          <w:color w:val="000000" w:themeColor="text1"/>
          <w:sz w:val="16"/>
          <w:szCs w:val="16"/>
        </w:rPr>
        <w:t>В общем можно сделать вывод, — заключает Рамзин, — что, за исключением сельского хозяйства, почти все секции Госплана СССР и директораты ВСНХ СССР были охвачены центром».</w:t>
      </w:r>
    </w:p>
    <w:p w14:paraId="720F7222" w14:textId="77777777" w:rsidR="00AA33CA" w:rsidRPr="00507A31" w:rsidRDefault="00AA33CA" w:rsidP="00507A31">
      <w:pPr>
        <w:jc w:val="both"/>
        <w:rPr>
          <w:color w:val="000000" w:themeColor="text1"/>
          <w:sz w:val="16"/>
          <w:szCs w:val="16"/>
        </w:rPr>
      </w:pPr>
      <w:r w:rsidRPr="00507A31">
        <w:rPr>
          <w:color w:val="000000" w:themeColor="text1"/>
          <w:sz w:val="16"/>
          <w:szCs w:val="16"/>
        </w:rPr>
        <w:t>Сельское хозяйство, впрочем, в свою очередь, было охвачено контрреволюционной группой Кондратьева.</w:t>
      </w:r>
    </w:p>
    <w:p w14:paraId="559A64A7" w14:textId="77777777" w:rsidR="00AA33CA" w:rsidRPr="00507A31" w:rsidRDefault="00AA33CA" w:rsidP="00507A31">
      <w:pPr>
        <w:jc w:val="both"/>
        <w:rPr>
          <w:color w:val="000000" w:themeColor="text1"/>
          <w:sz w:val="16"/>
          <w:szCs w:val="16"/>
        </w:rPr>
      </w:pPr>
      <w:r w:rsidRPr="00507A31">
        <w:rPr>
          <w:color w:val="000000" w:themeColor="text1"/>
          <w:sz w:val="16"/>
          <w:szCs w:val="16"/>
        </w:rPr>
        <w:t>Состав периферийных центров Рамзин не указывает, так как его могут указать лишь «члены отраслевых центров, поскольку они были непосредственно связаны с перифериями».</w:t>
      </w:r>
    </w:p>
    <w:p w14:paraId="1F142D77" w14:textId="77777777" w:rsidR="00AA33CA" w:rsidRPr="00507A31" w:rsidRDefault="00AA33CA" w:rsidP="00507A31">
      <w:pPr>
        <w:jc w:val="both"/>
        <w:rPr>
          <w:color w:val="000000" w:themeColor="text1"/>
          <w:sz w:val="16"/>
          <w:szCs w:val="16"/>
        </w:rPr>
      </w:pPr>
      <w:r w:rsidRPr="00507A31">
        <w:rPr>
          <w:color w:val="000000" w:themeColor="text1"/>
          <w:sz w:val="16"/>
          <w:szCs w:val="16"/>
        </w:rPr>
        <w:t>Общая картина сказанного выше в достаточной степени рисует силу вредительской организации, какую она приобрела приблизительно к 1928 г. — началу шахтинского дела, когда впервые ей был нанесен удар провалом шахтинского филиала вредительства в угольной промышленности.</w:t>
      </w:r>
    </w:p>
    <w:p w14:paraId="6420FD0E" w14:textId="77777777" w:rsidR="00AA33CA" w:rsidRPr="00507A31" w:rsidRDefault="00AA33CA" w:rsidP="00507A31">
      <w:pPr>
        <w:jc w:val="both"/>
        <w:rPr>
          <w:color w:val="000000" w:themeColor="text1"/>
          <w:sz w:val="16"/>
          <w:szCs w:val="16"/>
        </w:rPr>
      </w:pPr>
      <w:r w:rsidRPr="00507A31">
        <w:rPr>
          <w:color w:val="000000" w:themeColor="text1"/>
          <w:sz w:val="16"/>
          <w:szCs w:val="16"/>
        </w:rPr>
        <w:t>Политическая и тактическая программа вредительского центра</w:t>
      </w:r>
    </w:p>
    <w:p w14:paraId="6098DF38" w14:textId="77777777" w:rsidR="00AA33CA" w:rsidRPr="00507A31" w:rsidRDefault="00AA33CA" w:rsidP="00507A31">
      <w:pPr>
        <w:jc w:val="both"/>
        <w:rPr>
          <w:color w:val="000000" w:themeColor="text1"/>
          <w:sz w:val="16"/>
          <w:szCs w:val="16"/>
        </w:rPr>
      </w:pPr>
      <w:r w:rsidRPr="00507A31">
        <w:rPr>
          <w:color w:val="000000" w:themeColor="text1"/>
          <w:sz w:val="16"/>
          <w:szCs w:val="16"/>
        </w:rPr>
        <w:t>Политическая и экономическая программа вредителей в этот момент была следующая.</w:t>
      </w:r>
    </w:p>
    <w:p w14:paraId="63B85F14" w14:textId="77777777" w:rsidR="00AA33CA" w:rsidRPr="00507A31" w:rsidRDefault="00AA33CA" w:rsidP="00507A31">
      <w:pPr>
        <w:jc w:val="both"/>
        <w:rPr>
          <w:color w:val="000000" w:themeColor="text1"/>
          <w:sz w:val="16"/>
          <w:szCs w:val="16"/>
        </w:rPr>
      </w:pPr>
      <w:r w:rsidRPr="00507A31">
        <w:rPr>
          <w:color w:val="000000" w:themeColor="text1"/>
          <w:sz w:val="16"/>
          <w:szCs w:val="16"/>
        </w:rPr>
        <w:t>Обвиняемый Рамзин показывает:</w:t>
      </w:r>
    </w:p>
    <w:p w14:paraId="33246625" w14:textId="77777777" w:rsidR="00AA33CA" w:rsidRPr="00507A31" w:rsidRDefault="00AA33CA" w:rsidP="00507A31">
      <w:pPr>
        <w:jc w:val="both"/>
        <w:rPr>
          <w:color w:val="000000" w:themeColor="text1"/>
          <w:sz w:val="16"/>
          <w:szCs w:val="16"/>
        </w:rPr>
      </w:pPr>
      <w:r w:rsidRPr="00507A31">
        <w:rPr>
          <w:color w:val="000000" w:themeColor="text1"/>
          <w:sz w:val="16"/>
          <w:szCs w:val="16"/>
        </w:rPr>
        <w:t>«Форма правления намечалась в виде буржуазно-демократической республики. По этому вопросу имелись различные предложения вплоть до монархической реставрации. Однако, в процессе обсуждения такая постановка была отвергнута, ибо старая династия совершенно дискредитирована; выдвигать же какую-либо новую династию заставило бы идти на опасную авантюру, а, главное, монархическая реставрация встретила бы энергичный отпор со стороны широких масс населения, оттолкнув их от центра.</w:t>
      </w:r>
    </w:p>
    <w:p w14:paraId="166F7827" w14:textId="77777777" w:rsidR="00AA33CA" w:rsidRPr="00507A31" w:rsidRDefault="00AA33CA" w:rsidP="00507A31">
      <w:pPr>
        <w:jc w:val="both"/>
        <w:rPr>
          <w:color w:val="000000" w:themeColor="text1"/>
          <w:sz w:val="16"/>
          <w:szCs w:val="16"/>
        </w:rPr>
      </w:pPr>
      <w:r w:rsidRPr="00507A31">
        <w:rPr>
          <w:color w:val="000000" w:themeColor="text1"/>
          <w:sz w:val="16"/>
          <w:szCs w:val="16"/>
        </w:rPr>
        <w:t>Законодательный орган намечен был в виде парламента, избираемого путем всеобщего избирательного права, но при помощи соответствующей сложной систем [ы] выборов, которая обеспечила бы желательный состав парламента.</w:t>
      </w:r>
    </w:p>
    <w:p w14:paraId="4D613A6C" w14:textId="77777777" w:rsidR="00AA33CA" w:rsidRPr="00507A31" w:rsidRDefault="00AA33CA" w:rsidP="00507A31">
      <w:pPr>
        <w:jc w:val="both"/>
        <w:rPr>
          <w:color w:val="000000" w:themeColor="text1"/>
          <w:sz w:val="16"/>
          <w:szCs w:val="16"/>
        </w:rPr>
      </w:pPr>
      <w:r w:rsidRPr="00507A31">
        <w:rPr>
          <w:color w:val="000000" w:themeColor="text1"/>
          <w:sz w:val="16"/>
          <w:szCs w:val="16"/>
        </w:rPr>
        <w:t>Оба вышеуказанных положения мыслились, однако, лишь после окончательного укрепления нового строя; на первое же время после контрреволюционного переворота считали необходимой военную диктатуру.</w:t>
      </w:r>
    </w:p>
    <w:p w14:paraId="260B1B4D" w14:textId="77777777" w:rsidR="00AA33CA" w:rsidRPr="00507A31" w:rsidRDefault="00AA33CA" w:rsidP="00507A31">
      <w:pPr>
        <w:jc w:val="both"/>
        <w:rPr>
          <w:color w:val="000000" w:themeColor="text1"/>
          <w:sz w:val="16"/>
          <w:szCs w:val="16"/>
        </w:rPr>
      </w:pPr>
      <w:r w:rsidRPr="00507A31">
        <w:rPr>
          <w:color w:val="000000" w:themeColor="text1"/>
          <w:sz w:val="16"/>
          <w:szCs w:val="16"/>
        </w:rPr>
        <w:t>В области промышленности основной принцип сводился сначала к возврату предприятий прежним владельцам. При реализации этого, однако, были очевидны громадные затруднения, ибо большинство прежних предприятий коренным образом изменилось, часть их совершенно ликвидирована или находится в нерабочем состоянии, наоборот, другая часть старых предприятий настолько расширилась или подверглась столь радикальной реконструкции, что их ценность увеличилась иногда в несколько раз. Наконец, после Октябрьской революции появилось большое количество совершенно новых предприятий, общая мощность и ценность коих значительно превосходит суммарную ценность прежних дореволюционных предприятий. Поэтому после согласования с эмигрантскими промышленными руководящими кругами был намечен своеобразный путь акционирования новых и сильно реконструированных предприятий. При таком подходе подобные предприятия обезличиваются, и прежние владельцы ликвидированных или радикально изменившихся предприятий компенсируются выдачей им соответствующего количества акций. Благодаря общему значительному возрастанию капитальной стоимости предприятий к моменту контрреволюционного переворота по сравнению с дореволюционной стоимостью, а также путем искусственных оценочных мероприятий, такой путь открывал возможность после компенсации прежних владельцев сохранить в руках государства еще значительное количество свободных акций и средств. Эти свободные средства и намечено использовать на частичную компенсацию прежних владельцев и на общегосударственные нужды.</w:t>
      </w:r>
    </w:p>
    <w:p w14:paraId="13231930" w14:textId="77777777" w:rsidR="00AA33CA" w:rsidRPr="00507A31" w:rsidRDefault="00AA33CA" w:rsidP="00507A31">
      <w:pPr>
        <w:jc w:val="both"/>
        <w:rPr>
          <w:color w:val="000000" w:themeColor="text1"/>
          <w:sz w:val="16"/>
          <w:szCs w:val="16"/>
        </w:rPr>
      </w:pPr>
      <w:r w:rsidRPr="00507A31">
        <w:rPr>
          <w:color w:val="000000" w:themeColor="text1"/>
          <w:sz w:val="16"/>
          <w:szCs w:val="16"/>
        </w:rPr>
        <w:t xml:space="preserve">В области сельского хозяйства основная установка делалась на крепкие индивидуальные хозяйства с частичным выкупом земли у прежних владельцев. Таким образом, возврат земли прежним владельцам отвергался; земля закреплялась за крестьянами в виде индивидуальных отрубных хозяйств. Компенсация же прежних </w:t>
      </w:r>
      <w:r w:rsidRPr="00507A31">
        <w:rPr>
          <w:color w:val="000000" w:themeColor="text1"/>
          <w:sz w:val="16"/>
          <w:szCs w:val="16"/>
        </w:rPr>
        <w:lastRenderedPageBreak/>
        <w:t>землевладельцев намечалась вышеуказанным образом. Подобные установки в области сельского хозяйства должны были обеспечить центру энергичную поддержку со стороны широких крестьянских масс, особенно при проведении соввластью коллективизации, которая, по расчетам центра, должна была вызвать их сильное недовольство и даже открытые выступления.</w:t>
      </w:r>
    </w:p>
    <w:p w14:paraId="448A1377" w14:textId="77777777" w:rsidR="00AA33CA" w:rsidRPr="00507A31" w:rsidRDefault="00AA33CA" w:rsidP="00507A31">
      <w:pPr>
        <w:jc w:val="both"/>
        <w:rPr>
          <w:color w:val="000000" w:themeColor="text1"/>
          <w:sz w:val="16"/>
          <w:szCs w:val="16"/>
        </w:rPr>
      </w:pPr>
      <w:r w:rsidRPr="00507A31">
        <w:rPr>
          <w:color w:val="000000" w:themeColor="text1"/>
          <w:sz w:val="16"/>
          <w:szCs w:val="16"/>
        </w:rPr>
        <w:t>Вопрос местного самоуправления, насколько мне известно, не получил еще сколько-нибудь полного освещения, ибо на почве контрреволюционного переворота, как уже отмечалось, мыслится период военной диктатуры с назначением начальников губернии, уездов и т. п. в административном порядке.</w:t>
      </w:r>
    </w:p>
    <w:p w14:paraId="00198B95" w14:textId="77777777" w:rsidR="00AA33CA" w:rsidRPr="00507A31" w:rsidRDefault="00AA33CA" w:rsidP="00507A31">
      <w:pPr>
        <w:jc w:val="both"/>
        <w:rPr>
          <w:color w:val="000000" w:themeColor="text1"/>
          <w:sz w:val="16"/>
          <w:szCs w:val="16"/>
        </w:rPr>
      </w:pPr>
      <w:r w:rsidRPr="00507A31">
        <w:rPr>
          <w:color w:val="000000" w:themeColor="text1"/>
          <w:sz w:val="16"/>
          <w:szCs w:val="16"/>
        </w:rPr>
        <w:t>В области налогового обложения намечалась комбинированная система прямых и косвенных налогов, тоже не получившая, по моим сведениям, достаточной проработки.</w:t>
      </w:r>
    </w:p>
    <w:p w14:paraId="6F0C9450" w14:textId="77777777" w:rsidR="00AA33CA" w:rsidRPr="00507A31" w:rsidRDefault="00AA33CA" w:rsidP="00507A31">
      <w:pPr>
        <w:jc w:val="both"/>
        <w:rPr>
          <w:color w:val="000000" w:themeColor="text1"/>
          <w:sz w:val="16"/>
          <w:szCs w:val="16"/>
        </w:rPr>
      </w:pPr>
      <w:r w:rsidRPr="00507A31">
        <w:rPr>
          <w:color w:val="000000" w:themeColor="text1"/>
          <w:sz w:val="16"/>
          <w:szCs w:val="16"/>
        </w:rPr>
        <w:t>В области внешней торговли — отмена ее монополии и система покровительственных пошлин.</w:t>
      </w:r>
    </w:p>
    <w:p w14:paraId="50A2C251" w14:textId="77777777" w:rsidR="00AA33CA" w:rsidRPr="00507A31" w:rsidRDefault="00AA33CA" w:rsidP="00507A31">
      <w:pPr>
        <w:jc w:val="both"/>
        <w:rPr>
          <w:color w:val="000000" w:themeColor="text1"/>
          <w:sz w:val="16"/>
          <w:szCs w:val="16"/>
        </w:rPr>
      </w:pPr>
      <w:r w:rsidRPr="00507A31">
        <w:rPr>
          <w:color w:val="000000" w:themeColor="text1"/>
          <w:sz w:val="16"/>
          <w:szCs w:val="16"/>
        </w:rPr>
        <w:t>Таким образом, вышеизложенная программа защищала интересы промышленной буржуазии и крепкого единоличного крестьянского хозяйства.</w:t>
      </w:r>
    </w:p>
    <w:p w14:paraId="0F056B48" w14:textId="77777777" w:rsidR="00AA33CA" w:rsidRPr="00507A31" w:rsidRDefault="00AA33CA" w:rsidP="00507A31">
      <w:pPr>
        <w:jc w:val="both"/>
        <w:rPr>
          <w:color w:val="000000" w:themeColor="text1"/>
          <w:sz w:val="16"/>
          <w:szCs w:val="16"/>
        </w:rPr>
      </w:pPr>
      <w:r w:rsidRPr="00507A31">
        <w:rPr>
          <w:color w:val="000000" w:themeColor="text1"/>
          <w:sz w:val="16"/>
          <w:szCs w:val="16"/>
        </w:rPr>
        <w:t>Для осуществления этой программы основная политическая задача сводилась, прежде всего, к свержению советской власти при помощи вооруженного контрреволюционного переворота со ставкой на интервенцию извне».</w:t>
      </w:r>
    </w:p>
    <w:p w14:paraId="5DF15211" w14:textId="77777777" w:rsidR="00AA33CA" w:rsidRPr="00507A31" w:rsidRDefault="00AA33CA" w:rsidP="00507A31">
      <w:pPr>
        <w:jc w:val="both"/>
        <w:rPr>
          <w:color w:val="000000" w:themeColor="text1"/>
          <w:sz w:val="16"/>
          <w:szCs w:val="16"/>
        </w:rPr>
      </w:pPr>
      <w:r w:rsidRPr="00507A31">
        <w:rPr>
          <w:color w:val="000000" w:themeColor="text1"/>
          <w:sz w:val="16"/>
          <w:szCs w:val="16"/>
        </w:rPr>
        <w:t>Эта программа стоит того, чтобы на ней остановиться. Фраза о демократической республике не может скрыть того основного, о чем мечтали вредители, — установления военной диктатуры на первый период после переворота, в целях беспощадной расправы с рабочим классом и, конечно, с коммунистами. Точно также фраза о всеобщем избирательном праве и парламенте не может скрыть основной задачи — иметь такой парламент, который был бы «желателен» для промышленников. Реставрация не только капитализма вообще, но и реставрация прежних собственников или, во всяком случае, та или иная компенсация последних, — вот, что составляло ядро этой программы, защищавшей, по словам Рамзина, «промышленную буржуазию и крепкое единоличное (читай — кулацкое) хозяйство». Содержание этой программы было таково, что оно объективно приводило к неизбежности «ставки», как пишет тот же Рамзин, «на интервенцию» извне. Внутри страны для осуществления такой программы найти союзников среди широких масс трудящегося населения вредители не могли.</w:t>
      </w:r>
    </w:p>
    <w:p w14:paraId="0DE636C3" w14:textId="77777777" w:rsidR="00AA33CA" w:rsidRPr="00507A31" w:rsidRDefault="00AA33CA" w:rsidP="00507A31">
      <w:pPr>
        <w:jc w:val="both"/>
        <w:rPr>
          <w:color w:val="000000" w:themeColor="text1"/>
          <w:sz w:val="16"/>
          <w:szCs w:val="16"/>
        </w:rPr>
      </w:pPr>
      <w:r w:rsidRPr="00507A31">
        <w:rPr>
          <w:color w:val="000000" w:themeColor="text1"/>
          <w:sz w:val="16"/>
          <w:szCs w:val="16"/>
        </w:rPr>
        <w:t>Впрочем, почему именно члены контрреволюционных организаций считали необходимым прибегнуть к помощи внешнего вооруженного вмешательства и почему они рассчитывали необходимым соответственно с этим направить и согласовать свою деятельность с представителями иностранных государств, сами вредители излагают достаточно откровенно.</w:t>
      </w:r>
    </w:p>
    <w:p w14:paraId="53CF8F7C" w14:textId="77777777" w:rsidR="00AA33CA" w:rsidRPr="00507A31" w:rsidRDefault="00AA33CA" w:rsidP="00507A31">
      <w:pPr>
        <w:jc w:val="both"/>
        <w:rPr>
          <w:color w:val="000000" w:themeColor="text1"/>
          <w:sz w:val="16"/>
          <w:szCs w:val="16"/>
        </w:rPr>
      </w:pPr>
      <w:r w:rsidRPr="00507A31">
        <w:rPr>
          <w:color w:val="000000" w:themeColor="text1"/>
          <w:sz w:val="16"/>
          <w:szCs w:val="16"/>
        </w:rPr>
        <w:t>Проф. Рамзин показывает:</w:t>
      </w:r>
    </w:p>
    <w:p w14:paraId="5CC06E2C" w14:textId="77777777" w:rsidR="00AA33CA" w:rsidRPr="00507A31" w:rsidRDefault="00AA33CA" w:rsidP="00507A31">
      <w:pPr>
        <w:jc w:val="both"/>
        <w:rPr>
          <w:color w:val="000000" w:themeColor="text1"/>
          <w:sz w:val="16"/>
          <w:szCs w:val="16"/>
        </w:rPr>
      </w:pPr>
      <w:r w:rsidRPr="00507A31">
        <w:rPr>
          <w:color w:val="000000" w:themeColor="text1"/>
          <w:sz w:val="16"/>
          <w:szCs w:val="16"/>
        </w:rPr>
        <w:t>«В начальное время существования Инженерного центра, совпадавшее с концом восстановительного периода в народном хозяйстве, постольку мне известно с чужих слов, основная тактическая установка центра сводилась к максимальной охране предприятий крупных промышленников, связанных с центром. Кроме сохранения от разрушения таких предприятий центр в это время добивался и их улучшения за счет государства, чтобы таким образом прежние промышленники после контрреволюционного переворота не только получили бы обратно имевшиеся у них капитальные ценности, но и с возможно большим приростом последних.</w:t>
      </w:r>
    </w:p>
    <w:p w14:paraId="5D4F7DED" w14:textId="77777777" w:rsidR="00AA33CA" w:rsidRPr="00507A31" w:rsidRDefault="00AA33CA" w:rsidP="00507A31">
      <w:pPr>
        <w:jc w:val="both"/>
        <w:rPr>
          <w:color w:val="000000" w:themeColor="text1"/>
          <w:sz w:val="16"/>
          <w:szCs w:val="16"/>
        </w:rPr>
      </w:pPr>
      <w:r w:rsidRPr="00507A31">
        <w:rPr>
          <w:color w:val="000000" w:themeColor="text1"/>
          <w:sz w:val="16"/>
          <w:szCs w:val="16"/>
        </w:rPr>
        <w:t>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контрреволюционного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 (показания от 21 сентября 1930 г.).</w:t>
      </w:r>
    </w:p>
    <w:p w14:paraId="4D9ED52C" w14:textId="77777777" w:rsidR="00AA33CA" w:rsidRPr="00507A31" w:rsidRDefault="00AA33CA" w:rsidP="00507A31">
      <w:pPr>
        <w:jc w:val="both"/>
        <w:rPr>
          <w:color w:val="000000" w:themeColor="text1"/>
          <w:sz w:val="16"/>
          <w:szCs w:val="16"/>
        </w:rPr>
      </w:pPr>
      <w:r w:rsidRPr="00507A31">
        <w:rPr>
          <w:color w:val="000000" w:themeColor="text1"/>
          <w:sz w:val="16"/>
          <w:szCs w:val="16"/>
        </w:rPr>
        <w:t>В другом месте (показания от 16 октября) он говорит еще более четко:</w:t>
      </w:r>
    </w:p>
    <w:p w14:paraId="6164DE49" w14:textId="77777777" w:rsidR="00AA33CA" w:rsidRPr="00507A31" w:rsidRDefault="00AA33CA" w:rsidP="00507A31">
      <w:pPr>
        <w:jc w:val="both"/>
        <w:rPr>
          <w:color w:val="000000" w:themeColor="text1"/>
          <w:sz w:val="16"/>
          <w:szCs w:val="16"/>
        </w:rPr>
      </w:pPr>
      <w:r w:rsidRPr="00507A31">
        <w:rPr>
          <w:color w:val="000000" w:themeColor="text1"/>
          <w:sz w:val="16"/>
          <w:szCs w:val="16"/>
        </w:rPr>
        <w:t>«Основной целью деятельности “Промышленной партии", выросшей из объединенной инженерно-вредительской организации, являлось свержение советской власти при помощи контрреволюционного переворота. С самого начала деятельности “Промпартии” ее основной ставкой была ставка на интервенцию против Советского Союза, ибо лишь интервенция признавалась верным и быстрым способом совершения контрреволюционного переворота. Поэтому, — продолжает он дальше, — от прямого технического вредительства центр быстро пошел к “плановому вредительству”, которое сводилось к таким способам планирования отдельных отраслей народного хозяйства, которое искусственно замедляло бы темп экономического развития страны, создавало диспропорцию между отдельными участками народного хозяйства и приводило к экономическим кризисам, охватывающим уже все народное хозяйство...</w:t>
      </w:r>
    </w:p>
    <w:p w14:paraId="75B08689" w14:textId="77777777" w:rsidR="00AA33CA" w:rsidRPr="00507A31" w:rsidRDefault="00AA33CA" w:rsidP="00507A31">
      <w:pPr>
        <w:jc w:val="both"/>
        <w:rPr>
          <w:color w:val="000000" w:themeColor="text1"/>
          <w:sz w:val="16"/>
          <w:szCs w:val="16"/>
        </w:rPr>
      </w:pPr>
      <w:r w:rsidRPr="00507A31">
        <w:rPr>
          <w:color w:val="000000" w:themeColor="text1"/>
          <w:sz w:val="16"/>
          <w:szCs w:val="16"/>
        </w:rPr>
        <w:t>Отмеченный выше охват плановых органов центром создавал ему почти неограниченную свободу действий в плановой области».</w:t>
      </w:r>
    </w:p>
    <w:p w14:paraId="102624D1" w14:textId="77777777" w:rsidR="00AA33CA" w:rsidRPr="00507A31" w:rsidRDefault="00AA33CA" w:rsidP="00507A31">
      <w:pPr>
        <w:jc w:val="both"/>
        <w:rPr>
          <w:color w:val="000000" w:themeColor="text1"/>
          <w:sz w:val="16"/>
          <w:szCs w:val="16"/>
        </w:rPr>
      </w:pPr>
      <w:r w:rsidRPr="00507A31">
        <w:rPr>
          <w:color w:val="000000" w:themeColor="text1"/>
          <w:sz w:val="16"/>
          <w:szCs w:val="16"/>
        </w:rPr>
        <w:t>В связи с этим примерно к 1928 г., с усилением надежд на близость контрреволюционного переворота, стал специально применяться и еще один метод вредительства:</w:t>
      </w:r>
    </w:p>
    <w:p w14:paraId="225F20E6" w14:textId="77777777" w:rsidR="00AA33CA" w:rsidRPr="00507A31" w:rsidRDefault="00AA33CA" w:rsidP="00507A31">
      <w:pPr>
        <w:jc w:val="both"/>
        <w:rPr>
          <w:color w:val="000000" w:themeColor="text1"/>
          <w:sz w:val="16"/>
          <w:szCs w:val="16"/>
        </w:rPr>
      </w:pPr>
      <w:r w:rsidRPr="00507A31">
        <w:rPr>
          <w:color w:val="000000" w:themeColor="text1"/>
          <w:sz w:val="16"/>
          <w:szCs w:val="16"/>
        </w:rPr>
        <w:t>«...Путем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Такой метод омертвления капиталов и использования их с низкой эффективностью: 1) отрывал капитальные средства, сокращал масштаб эффективного строительства и темп экономического развития страны, 2) за счет сокращения удовлетворения текущих потребностей, благодаря отрыву средств на малоэффективное в данный момент строительство увеличивало советское наследство для нового правительства, вызывая в то же время рост недовольства широких масс населения» (показания от 21 сентября).</w:t>
      </w:r>
    </w:p>
    <w:p w14:paraId="367DC928" w14:textId="77777777" w:rsidR="00AA33CA" w:rsidRPr="00507A31" w:rsidRDefault="00AA33CA" w:rsidP="00507A31">
      <w:pPr>
        <w:jc w:val="both"/>
        <w:rPr>
          <w:color w:val="000000" w:themeColor="text1"/>
          <w:sz w:val="16"/>
          <w:szCs w:val="16"/>
        </w:rPr>
      </w:pPr>
      <w:r w:rsidRPr="00507A31">
        <w:rPr>
          <w:color w:val="000000" w:themeColor="text1"/>
          <w:sz w:val="16"/>
          <w:szCs w:val="16"/>
        </w:rPr>
        <w:t>Насколько твердо вредители были уверены в своей конечной победе показывают следующие характерные два факта из жизни исследуемой контрреволюционной организации — ее политически-партийное оформление, имевшее место в 1928 г., и формирование состава будущего правительства. Глубоко убежденные в том, что именно им будет принадлежать руководящая роль после контрреволюционного переворота вредители немало споров и времени потратили на заблаговременное распределение между собой портфелей, решив открыто выступить как политическая партия промышленного капитала.</w:t>
      </w:r>
    </w:p>
    <w:p w14:paraId="129AE6D0" w14:textId="77777777" w:rsidR="00AA33CA" w:rsidRPr="00507A31" w:rsidRDefault="00AA33CA" w:rsidP="00507A31">
      <w:pPr>
        <w:jc w:val="both"/>
        <w:rPr>
          <w:color w:val="000000" w:themeColor="text1"/>
          <w:sz w:val="16"/>
          <w:szCs w:val="16"/>
        </w:rPr>
      </w:pPr>
      <w:r w:rsidRPr="00507A31">
        <w:rPr>
          <w:color w:val="000000" w:themeColor="text1"/>
          <w:sz w:val="16"/>
          <w:szCs w:val="16"/>
        </w:rPr>
        <w:t>Рамзин показывает:</w:t>
      </w:r>
    </w:p>
    <w:p w14:paraId="5B9586E3" w14:textId="77777777" w:rsidR="00AA33CA" w:rsidRPr="00507A31" w:rsidRDefault="00AA33CA" w:rsidP="00507A31">
      <w:pPr>
        <w:jc w:val="both"/>
        <w:rPr>
          <w:color w:val="000000" w:themeColor="text1"/>
          <w:sz w:val="16"/>
          <w:szCs w:val="16"/>
        </w:rPr>
      </w:pPr>
      <w:r w:rsidRPr="00507A31">
        <w:rPr>
          <w:color w:val="000000" w:themeColor="text1"/>
          <w:sz w:val="16"/>
          <w:szCs w:val="16"/>
        </w:rPr>
        <w:t>«Постепенный рост охвата организацией центра отдельных отраслей промышленности и одновременно увеличение количества членов заставило поднять в “Инженерном центре” вопрос относительно партийного оформления всей организации.</w:t>
      </w:r>
    </w:p>
    <w:p w14:paraId="12649DB1" w14:textId="77777777" w:rsidR="00AA33CA" w:rsidRPr="00507A31" w:rsidRDefault="00AA33CA" w:rsidP="00507A31">
      <w:pPr>
        <w:jc w:val="both"/>
        <w:rPr>
          <w:color w:val="000000" w:themeColor="text1"/>
          <w:sz w:val="16"/>
          <w:szCs w:val="16"/>
        </w:rPr>
      </w:pPr>
      <w:r w:rsidRPr="00507A31">
        <w:rPr>
          <w:color w:val="000000" w:themeColor="text1"/>
          <w:sz w:val="16"/>
          <w:szCs w:val="16"/>
        </w:rPr>
        <w:t>Этот вопрос возник в конце 1927 г. и был поднят П. А. Пальчинским, Л. Г. Рабиновичем и др.</w:t>
      </w:r>
    </w:p>
    <w:p w14:paraId="39024001" w14:textId="77777777" w:rsidR="00AA33CA" w:rsidRPr="00507A31" w:rsidRDefault="00AA33CA" w:rsidP="00507A31">
      <w:pPr>
        <w:jc w:val="both"/>
        <w:rPr>
          <w:color w:val="000000" w:themeColor="text1"/>
          <w:sz w:val="16"/>
          <w:szCs w:val="16"/>
        </w:rPr>
      </w:pPr>
      <w:r w:rsidRPr="00507A31">
        <w:rPr>
          <w:color w:val="000000" w:themeColor="text1"/>
          <w:sz w:val="16"/>
          <w:szCs w:val="16"/>
        </w:rPr>
        <w:t>Толчком к этому послужило совещание с проф. Чаяновым, ознакомившим центр о наличии и о программных установках своей организации. Последующая работа центра шла в направлении оформления новой партии, которая вначале имела ряд вариантов названий.</w:t>
      </w:r>
    </w:p>
    <w:p w14:paraId="265E42C0" w14:textId="77777777" w:rsidR="00AA33CA" w:rsidRPr="00507A31" w:rsidRDefault="00AA33CA" w:rsidP="00507A31">
      <w:pPr>
        <w:jc w:val="both"/>
        <w:rPr>
          <w:color w:val="000000" w:themeColor="text1"/>
          <w:sz w:val="16"/>
          <w:szCs w:val="16"/>
        </w:rPr>
      </w:pPr>
      <w:r w:rsidRPr="00507A31">
        <w:rPr>
          <w:color w:val="000000" w:themeColor="text1"/>
          <w:sz w:val="16"/>
          <w:szCs w:val="16"/>
        </w:rPr>
        <w:t>Наиболее употребительным названием для вновь организуемой партии было “Промышленная партия[”]» (показания от 21 сентября).</w:t>
      </w:r>
    </w:p>
    <w:p w14:paraId="0933982B" w14:textId="77777777" w:rsidR="00AA33CA" w:rsidRPr="00507A31" w:rsidRDefault="00AA33CA" w:rsidP="00507A31">
      <w:pPr>
        <w:jc w:val="both"/>
        <w:rPr>
          <w:color w:val="000000" w:themeColor="text1"/>
          <w:sz w:val="16"/>
          <w:szCs w:val="16"/>
        </w:rPr>
      </w:pPr>
      <w:r w:rsidRPr="00507A31">
        <w:rPr>
          <w:color w:val="000000" w:themeColor="text1"/>
          <w:sz w:val="16"/>
          <w:szCs w:val="16"/>
        </w:rPr>
        <w:t>Более подробно об этом показывает обвиняемый Ларичев в показании от 12 октября 1930 г., где он говорит:</w:t>
      </w:r>
    </w:p>
    <w:p w14:paraId="1B6169FD" w14:textId="77777777" w:rsidR="00AA33CA" w:rsidRPr="00507A31" w:rsidRDefault="00AA33CA" w:rsidP="00507A31">
      <w:pPr>
        <w:jc w:val="both"/>
        <w:rPr>
          <w:color w:val="000000" w:themeColor="text1"/>
          <w:sz w:val="16"/>
          <w:szCs w:val="16"/>
        </w:rPr>
      </w:pPr>
      <w:r w:rsidRPr="00507A31">
        <w:rPr>
          <w:color w:val="000000" w:themeColor="text1"/>
          <w:sz w:val="16"/>
          <w:szCs w:val="16"/>
        </w:rPr>
        <w:t>«Поскольку “Инженерно-вредительский центр” ведет определенную борьбу за свержение советской власти, то, естественно, в случае контрреволюционного переворота инженерные круги, представляющие в данное время интересы промышленного капитала, должны выступить как единая политическая сила и занять определенную и даже руководящую роль в оформлении будущего правительства... Это диктовалось также теми соображениями, что в политической борьбе с советской властью принимают участие и другие круги населения в лице “Крестьянской партии”, и вопрос о влиянии на формирование будущего правительства и, следовательно, тактики и политики будет сопряжен с внутренней борьбой антисоветских сил...»</w:t>
      </w:r>
    </w:p>
    <w:p w14:paraId="032BC384" w14:textId="77777777" w:rsidR="00AA33CA" w:rsidRPr="00507A31" w:rsidRDefault="00AA33CA" w:rsidP="00507A31">
      <w:pPr>
        <w:jc w:val="both"/>
        <w:rPr>
          <w:color w:val="000000" w:themeColor="text1"/>
          <w:sz w:val="16"/>
          <w:szCs w:val="16"/>
        </w:rPr>
      </w:pPr>
      <w:r w:rsidRPr="00507A31">
        <w:rPr>
          <w:color w:val="000000" w:themeColor="text1"/>
          <w:sz w:val="16"/>
          <w:szCs w:val="16"/>
        </w:rPr>
        <w:t>«...Эти общие соображения Были достаточно вески, чтобы ставить конкретно вопрос об образовании партии, определяющей определенную классовую группу инженерно-технических кругов (сохранивши[х] свой кастовый характер). Поскольку эта группа в данный момент являлась политической силой, защищающей интересы промышленного капитала, Рабиновичем и другими предлагалось назвать ее “Промышленной партией [”]».</w:t>
      </w:r>
    </w:p>
    <w:p w14:paraId="40F83FB2" w14:textId="77777777" w:rsidR="00AA33CA" w:rsidRPr="00507A31" w:rsidRDefault="00AA33CA" w:rsidP="00507A31">
      <w:pPr>
        <w:jc w:val="both"/>
        <w:rPr>
          <w:color w:val="000000" w:themeColor="text1"/>
          <w:sz w:val="16"/>
          <w:szCs w:val="16"/>
        </w:rPr>
      </w:pPr>
      <w:r w:rsidRPr="00507A31">
        <w:rPr>
          <w:color w:val="000000" w:themeColor="text1"/>
          <w:sz w:val="16"/>
          <w:szCs w:val="16"/>
        </w:rPr>
        <w:t>По вопросу об образовании «Промышленной партии», ее программе и тактических перспективах показывает и Чарновский от 9 октября 1930 г.:</w:t>
      </w:r>
    </w:p>
    <w:p w14:paraId="0EB077F8" w14:textId="77777777" w:rsidR="00AA33CA" w:rsidRPr="00507A31" w:rsidRDefault="00AA33CA" w:rsidP="00507A31">
      <w:pPr>
        <w:jc w:val="both"/>
        <w:rPr>
          <w:color w:val="000000" w:themeColor="text1"/>
          <w:sz w:val="16"/>
          <w:szCs w:val="16"/>
        </w:rPr>
      </w:pPr>
      <w:r w:rsidRPr="00507A31">
        <w:rPr>
          <w:color w:val="000000" w:themeColor="text1"/>
          <w:sz w:val="16"/>
          <w:szCs w:val="16"/>
        </w:rPr>
        <w:t>«С 1928 г., когда организация отраслевых вредительских центров закончилась и состав этих групп увеличился, причем уже был установлен контакт с вредительскими группами экономистов через Чаянова, Гро- мана, Кондратьева и др., “Инженерно-вредительский центр” стремился к превращению в партию. При незаконченности этого превращения в формальном отношении фактическое его превращение в политическую партию по существу уже состоялось к началу 1929 г. Объединяя широкие технические и экономические круги многих учреждений, партия эта по характеру сочетавшихся в ней сил получила наименование “Инженернопромышленной”, или как сокращенно называли, “Промышленной партии!”... “Инженерный центр”, объединявший ряд отраслевых центров, становится объединенным центром для всей партии. '</w:t>
      </w:r>
    </w:p>
    <w:p w14:paraId="22F72995" w14:textId="77777777" w:rsidR="00AA33CA" w:rsidRPr="00507A31" w:rsidRDefault="00AA33CA" w:rsidP="00507A31">
      <w:pPr>
        <w:jc w:val="both"/>
        <w:rPr>
          <w:color w:val="000000" w:themeColor="text1"/>
          <w:sz w:val="16"/>
          <w:szCs w:val="16"/>
        </w:rPr>
      </w:pPr>
      <w:r w:rsidRPr="00507A31">
        <w:rPr>
          <w:color w:val="000000" w:themeColor="text1"/>
          <w:sz w:val="16"/>
          <w:szCs w:val="16"/>
        </w:rPr>
        <w:t>...Полный состав руководящего центрального комитета, стоявшего во главе организации и обладавшего директивными функциями, охватывал членов “Инженерного центра” по отраслям топливной, металлургической, машиностроительной, в каковые входил и я — Чарновский. Руководящую роль играл в центральном комитете Хренников, а после &lt;его&gt; ареста — Рамзин, имевший связи с наибольшим числом учреждений и отраслей».</w:t>
      </w:r>
    </w:p>
    <w:p w14:paraId="7F02ED5A" w14:textId="77777777" w:rsidR="00AA33CA" w:rsidRPr="00507A31" w:rsidRDefault="00AA33CA" w:rsidP="00507A31">
      <w:pPr>
        <w:jc w:val="both"/>
        <w:rPr>
          <w:color w:val="000000" w:themeColor="text1"/>
          <w:sz w:val="16"/>
          <w:szCs w:val="16"/>
        </w:rPr>
      </w:pPr>
      <w:r w:rsidRPr="00507A31">
        <w:rPr>
          <w:color w:val="000000" w:themeColor="text1"/>
          <w:sz w:val="16"/>
          <w:szCs w:val="16"/>
        </w:rPr>
        <w:t>Программа партии изложена Чарновским приблизительно в тех же положениях, что и Рамзиным.</w:t>
      </w:r>
    </w:p>
    <w:p w14:paraId="2E5886B0" w14:textId="77777777" w:rsidR="00AA33CA" w:rsidRPr="00507A31" w:rsidRDefault="00AA33CA" w:rsidP="00507A31">
      <w:pPr>
        <w:jc w:val="both"/>
        <w:rPr>
          <w:color w:val="000000" w:themeColor="text1"/>
          <w:sz w:val="16"/>
          <w:szCs w:val="16"/>
        </w:rPr>
      </w:pPr>
      <w:r w:rsidRPr="00507A31">
        <w:rPr>
          <w:color w:val="000000" w:themeColor="text1"/>
          <w:sz w:val="16"/>
          <w:szCs w:val="16"/>
        </w:rPr>
        <w:t>На чем конкретно договорились вредители по вопросу о составе будущего правительства наиболее четко показывает тот же Рамзин:</w:t>
      </w:r>
    </w:p>
    <w:p w14:paraId="1533E47C" w14:textId="77777777" w:rsidR="00AA33CA" w:rsidRPr="00507A31" w:rsidRDefault="00AA33CA" w:rsidP="00507A31">
      <w:pPr>
        <w:jc w:val="both"/>
        <w:rPr>
          <w:color w:val="000000" w:themeColor="text1"/>
          <w:sz w:val="16"/>
          <w:szCs w:val="16"/>
        </w:rPr>
      </w:pPr>
      <w:r w:rsidRPr="00507A31">
        <w:rPr>
          <w:color w:val="000000" w:themeColor="text1"/>
          <w:sz w:val="16"/>
          <w:szCs w:val="16"/>
        </w:rPr>
        <w:t>«Вопрос о составе будущего правительства, говорит он, — обсуждался в разных совещаниях центра в период 1927/28 года. Окончательного состава правительства выработано не было; в отдельных совещаниях назывались следующие кандидатуры на министерские посты:</w:t>
      </w:r>
    </w:p>
    <w:p w14:paraId="02D114A9" w14:textId="77777777" w:rsidR="00AA33CA" w:rsidRPr="00507A31" w:rsidRDefault="00AA33CA" w:rsidP="00507A31">
      <w:pPr>
        <w:jc w:val="both"/>
        <w:rPr>
          <w:color w:val="000000" w:themeColor="text1"/>
          <w:sz w:val="16"/>
          <w:szCs w:val="16"/>
        </w:rPr>
      </w:pPr>
      <w:r w:rsidRPr="00507A31">
        <w:rPr>
          <w:color w:val="000000" w:themeColor="text1"/>
          <w:sz w:val="16"/>
          <w:szCs w:val="16"/>
        </w:rPr>
        <w:t>Премьер министр — П. А. Пальчинский.</w:t>
      </w:r>
    </w:p>
    <w:p w14:paraId="2A123FEF" w14:textId="77777777" w:rsidR="00AA33CA" w:rsidRPr="00507A31" w:rsidRDefault="00AA33CA" w:rsidP="00507A31">
      <w:pPr>
        <w:jc w:val="both"/>
        <w:rPr>
          <w:color w:val="000000" w:themeColor="text1"/>
          <w:sz w:val="16"/>
          <w:szCs w:val="16"/>
        </w:rPr>
      </w:pPr>
      <w:r w:rsidRPr="00507A31">
        <w:rPr>
          <w:color w:val="000000" w:themeColor="text1"/>
          <w:sz w:val="16"/>
          <w:szCs w:val="16"/>
        </w:rPr>
        <w:t>Военный министр — П. А. Пальчинский и генерал Лукомский.</w:t>
      </w:r>
    </w:p>
    <w:p w14:paraId="192B7192" w14:textId="77777777" w:rsidR="00AA33CA" w:rsidRPr="00507A31" w:rsidRDefault="00AA33CA" w:rsidP="00507A31">
      <w:pPr>
        <w:jc w:val="both"/>
        <w:rPr>
          <w:color w:val="000000" w:themeColor="text1"/>
          <w:sz w:val="16"/>
          <w:szCs w:val="16"/>
        </w:rPr>
      </w:pPr>
      <w:r w:rsidRPr="00507A31">
        <w:rPr>
          <w:color w:val="000000" w:themeColor="text1"/>
          <w:sz w:val="16"/>
          <w:szCs w:val="16"/>
        </w:rPr>
        <w:t>Промышленности и торговли — П. П. Рябушинский, Л. Г. Рабинович, инж. Хренников и проф. Калинников.</w:t>
      </w:r>
    </w:p>
    <w:p w14:paraId="32B0ABEE" w14:textId="77777777" w:rsidR="00AA33CA" w:rsidRPr="00507A31" w:rsidRDefault="00AA33CA" w:rsidP="00507A31">
      <w:pPr>
        <w:jc w:val="both"/>
        <w:rPr>
          <w:color w:val="000000" w:themeColor="text1"/>
          <w:sz w:val="16"/>
          <w:szCs w:val="16"/>
        </w:rPr>
      </w:pPr>
      <w:r w:rsidRPr="00507A31">
        <w:rPr>
          <w:color w:val="000000" w:themeColor="text1"/>
          <w:sz w:val="16"/>
          <w:szCs w:val="16"/>
        </w:rPr>
        <w:t>Внутренних дел — П. П. Рябушинский, проф. Вормс и вскольз[ь] предлагалась кандидатура проф. Н. Ф. Чарновского.</w:t>
      </w:r>
    </w:p>
    <w:p w14:paraId="3EC0A4A6" w14:textId="77777777" w:rsidR="00AA33CA" w:rsidRPr="00507A31" w:rsidRDefault="00AA33CA" w:rsidP="00507A31">
      <w:pPr>
        <w:jc w:val="both"/>
        <w:rPr>
          <w:color w:val="000000" w:themeColor="text1"/>
          <w:sz w:val="16"/>
          <w:szCs w:val="16"/>
        </w:rPr>
      </w:pPr>
      <w:r w:rsidRPr="00507A31">
        <w:rPr>
          <w:color w:val="000000" w:themeColor="text1"/>
          <w:sz w:val="16"/>
          <w:szCs w:val="16"/>
        </w:rPr>
        <w:t>Финансов — Вышнеградский, проф. И. X. Озеров, проф. Давидов, Л. Г. Рабинович.</w:t>
      </w:r>
    </w:p>
    <w:p w14:paraId="7F795050" w14:textId="77777777" w:rsidR="00AA33CA" w:rsidRPr="00507A31" w:rsidRDefault="00AA33CA" w:rsidP="00507A31">
      <w:pPr>
        <w:jc w:val="both"/>
        <w:rPr>
          <w:color w:val="000000" w:themeColor="text1"/>
          <w:sz w:val="16"/>
          <w:szCs w:val="16"/>
        </w:rPr>
      </w:pPr>
      <w:r w:rsidRPr="00507A31">
        <w:rPr>
          <w:color w:val="000000" w:themeColor="text1"/>
          <w:sz w:val="16"/>
          <w:szCs w:val="16"/>
        </w:rPr>
        <w:lastRenderedPageBreak/>
        <w:t>Путей сообщения — И. Н. Борисов, П. И. Красовский, Мекк.</w:t>
      </w:r>
    </w:p>
    <w:p w14:paraId="6C0B0F5C" w14:textId="77777777" w:rsidR="00AA33CA" w:rsidRPr="00507A31" w:rsidRDefault="00AA33CA" w:rsidP="00507A31">
      <w:pPr>
        <w:jc w:val="both"/>
        <w:rPr>
          <w:color w:val="000000" w:themeColor="text1"/>
          <w:sz w:val="16"/>
          <w:szCs w:val="16"/>
        </w:rPr>
      </w:pPr>
      <w:r w:rsidRPr="00507A31">
        <w:rPr>
          <w:color w:val="000000" w:themeColor="text1"/>
          <w:sz w:val="16"/>
          <w:szCs w:val="16"/>
        </w:rPr>
        <w:t>Земледелия — кандидатура по предложению “ТКП” — А. В. Чаянов, Вилимович.</w:t>
      </w:r>
    </w:p>
    <w:p w14:paraId="7F5937D3" w14:textId="77777777" w:rsidR="00AA33CA" w:rsidRPr="00507A31" w:rsidRDefault="00AA33CA" w:rsidP="00507A31">
      <w:pPr>
        <w:jc w:val="both"/>
        <w:rPr>
          <w:color w:val="000000" w:themeColor="text1"/>
          <w:sz w:val="16"/>
          <w:szCs w:val="16"/>
        </w:rPr>
      </w:pPr>
      <w:r w:rsidRPr="00507A31">
        <w:rPr>
          <w:color w:val="000000" w:themeColor="text1"/>
          <w:sz w:val="16"/>
          <w:szCs w:val="16"/>
        </w:rPr>
        <w:t>Иностранных дел — академик Тарле.</w:t>
      </w:r>
    </w:p>
    <w:p w14:paraId="1CBFA027" w14:textId="77777777" w:rsidR="00AA33CA" w:rsidRPr="00507A31" w:rsidRDefault="00AA33CA" w:rsidP="00507A31">
      <w:pPr>
        <w:jc w:val="both"/>
        <w:rPr>
          <w:color w:val="000000" w:themeColor="text1"/>
          <w:sz w:val="16"/>
          <w:szCs w:val="16"/>
        </w:rPr>
      </w:pPr>
      <w:r w:rsidRPr="00507A31">
        <w:rPr>
          <w:color w:val="000000" w:themeColor="text1"/>
          <w:sz w:val="16"/>
          <w:szCs w:val="16"/>
        </w:rPr>
        <w:t>На период военной диктатуры в качестве диктатора намечался П. А. Пальчинский».</w:t>
      </w:r>
    </w:p>
    <w:p w14:paraId="7E6FAD70" w14:textId="77777777" w:rsidR="00AA33CA" w:rsidRPr="00507A31" w:rsidRDefault="00AA33CA" w:rsidP="00507A31">
      <w:pPr>
        <w:jc w:val="both"/>
        <w:rPr>
          <w:color w:val="000000" w:themeColor="text1"/>
          <w:sz w:val="16"/>
          <w:szCs w:val="16"/>
        </w:rPr>
      </w:pPr>
      <w:r w:rsidRPr="00507A31">
        <w:rPr>
          <w:color w:val="000000" w:themeColor="text1"/>
          <w:sz w:val="16"/>
          <w:szCs w:val="16"/>
        </w:rPr>
        <w:t>Как и программа промышленной вредительской партии, этот состав также чрезвычайно характерен. Имена Рябушинского, царского генерала Лукомского и, наконец, Пальчинского — бывш. диктатора буржуазии перед Октябрьской революцией в Ленинграде — сами говорят за себя. Для восстановления власти капитала были подобраны наиболее яркие его представители, с одной стороны, и наиболее махровые черносотенные царские генералы — руководители гражданской войны — с другой.</w:t>
      </w:r>
    </w:p>
    <w:p w14:paraId="1D5DA783" w14:textId="77777777" w:rsidR="00AA33CA" w:rsidRPr="00507A31" w:rsidRDefault="00AA33CA" w:rsidP="00507A31">
      <w:pPr>
        <w:jc w:val="both"/>
        <w:rPr>
          <w:color w:val="000000" w:themeColor="text1"/>
          <w:sz w:val="16"/>
          <w:szCs w:val="16"/>
        </w:rPr>
      </w:pPr>
      <w:r w:rsidRPr="00507A31">
        <w:rPr>
          <w:color w:val="000000" w:themeColor="text1"/>
          <w:sz w:val="16"/>
          <w:szCs w:val="16"/>
        </w:rPr>
        <w:t>Не менее характерен второй список проектируемого правительства, датируемый началом 1929 г. Он показывает, во-первых, что надежды на скорое свержение советской власти у вредителей за это время не поблекли; во-вторых, что классовые вожделения их за это время лишь усилились. В новом списке, по показаниям Рамзина от 3 ноября 1930 г., намечались следующие кандидатуры:</w:t>
      </w:r>
    </w:p>
    <w:p w14:paraId="2CF00FF4" w14:textId="77777777" w:rsidR="00AA33CA" w:rsidRPr="00507A31" w:rsidRDefault="00AA33CA" w:rsidP="00507A31">
      <w:pPr>
        <w:jc w:val="both"/>
        <w:rPr>
          <w:color w:val="000000" w:themeColor="text1"/>
          <w:sz w:val="16"/>
          <w:szCs w:val="16"/>
        </w:rPr>
      </w:pPr>
      <w:r w:rsidRPr="00507A31">
        <w:rPr>
          <w:color w:val="000000" w:themeColor="text1"/>
          <w:sz w:val="16"/>
          <w:szCs w:val="16"/>
        </w:rPr>
        <w:t>«Премьер — Осадчий, Милюков или Рамзин.</w:t>
      </w:r>
    </w:p>
    <w:p w14:paraId="10A0C26F" w14:textId="77777777" w:rsidR="00AA33CA" w:rsidRPr="00507A31" w:rsidRDefault="00AA33CA" w:rsidP="00507A31">
      <w:pPr>
        <w:jc w:val="both"/>
        <w:rPr>
          <w:color w:val="000000" w:themeColor="text1"/>
          <w:sz w:val="16"/>
          <w:szCs w:val="16"/>
        </w:rPr>
      </w:pPr>
      <w:r w:rsidRPr="00507A31">
        <w:rPr>
          <w:color w:val="000000" w:themeColor="text1"/>
          <w:sz w:val="16"/>
          <w:szCs w:val="16"/>
        </w:rPr>
        <w:t>Военный — Лукомский или Деникин.</w:t>
      </w:r>
    </w:p>
    <w:p w14:paraId="024FD80C" w14:textId="77777777" w:rsidR="00AA33CA" w:rsidRPr="00507A31" w:rsidRDefault="00AA33CA" w:rsidP="00507A31">
      <w:pPr>
        <w:jc w:val="both"/>
        <w:rPr>
          <w:color w:val="000000" w:themeColor="text1"/>
          <w:sz w:val="16"/>
          <w:szCs w:val="16"/>
        </w:rPr>
      </w:pPr>
      <w:r w:rsidRPr="00507A31">
        <w:rPr>
          <w:color w:val="000000" w:themeColor="text1"/>
          <w:sz w:val="16"/>
          <w:szCs w:val="16"/>
        </w:rPr>
        <w:t>Торговли и промышленности — Калинников, Хренников, Ларичев, Коновалов, Денисов, Третьяков.</w:t>
      </w:r>
    </w:p>
    <w:p w14:paraId="4C1FEEEB" w14:textId="77777777" w:rsidR="00AA33CA" w:rsidRPr="00507A31" w:rsidRDefault="00AA33CA" w:rsidP="00507A31">
      <w:pPr>
        <w:jc w:val="both"/>
        <w:rPr>
          <w:color w:val="000000" w:themeColor="text1"/>
          <w:sz w:val="16"/>
          <w:szCs w:val="16"/>
        </w:rPr>
      </w:pPr>
      <w:r w:rsidRPr="00507A31">
        <w:rPr>
          <w:color w:val="000000" w:themeColor="text1"/>
          <w:sz w:val="16"/>
          <w:szCs w:val="16"/>
        </w:rPr>
        <w:t>Финансов — Озеров, Боголепов или Рабинович.</w:t>
      </w:r>
    </w:p>
    <w:p w14:paraId="001D8DCF" w14:textId="77777777" w:rsidR="00AA33CA" w:rsidRPr="00507A31" w:rsidRDefault="00AA33CA" w:rsidP="00507A31">
      <w:pPr>
        <w:jc w:val="both"/>
        <w:rPr>
          <w:color w:val="000000" w:themeColor="text1"/>
          <w:sz w:val="16"/>
          <w:szCs w:val="16"/>
        </w:rPr>
      </w:pPr>
      <w:r w:rsidRPr="00507A31">
        <w:rPr>
          <w:color w:val="000000" w:themeColor="text1"/>
          <w:sz w:val="16"/>
          <w:szCs w:val="16"/>
        </w:rPr>
        <w:t>Путей сообщения — Красовский, Коган-Бернштейн.</w:t>
      </w:r>
    </w:p>
    <w:p w14:paraId="08D5FFEA" w14:textId="77777777" w:rsidR="00AA33CA" w:rsidRPr="00507A31" w:rsidRDefault="00AA33CA" w:rsidP="00507A31">
      <w:pPr>
        <w:jc w:val="both"/>
        <w:rPr>
          <w:color w:val="000000" w:themeColor="text1"/>
          <w:sz w:val="16"/>
          <w:szCs w:val="16"/>
        </w:rPr>
      </w:pPr>
      <w:r w:rsidRPr="00507A31">
        <w:rPr>
          <w:color w:val="000000" w:themeColor="text1"/>
          <w:sz w:val="16"/>
          <w:szCs w:val="16"/>
        </w:rPr>
        <w:t>Иностранных дел — Тарле, Милюков.</w:t>
      </w:r>
    </w:p>
    <w:p w14:paraId="14C772F4" w14:textId="77777777" w:rsidR="00AA33CA" w:rsidRPr="00507A31" w:rsidRDefault="00AA33CA" w:rsidP="00507A31">
      <w:pPr>
        <w:jc w:val="both"/>
        <w:rPr>
          <w:color w:val="000000" w:themeColor="text1"/>
          <w:sz w:val="16"/>
          <w:szCs w:val="16"/>
        </w:rPr>
      </w:pPr>
      <w:r w:rsidRPr="00507A31">
        <w:rPr>
          <w:color w:val="000000" w:themeColor="text1"/>
          <w:sz w:val="16"/>
          <w:szCs w:val="16"/>
        </w:rPr>
        <w:t>Земледелия — А. В. Чаянов».</w:t>
      </w:r>
    </w:p>
    <w:p w14:paraId="4291AC4F" w14:textId="77777777" w:rsidR="00AA33CA" w:rsidRPr="00507A31" w:rsidRDefault="00AA33CA" w:rsidP="00507A31">
      <w:pPr>
        <w:jc w:val="both"/>
        <w:rPr>
          <w:color w:val="000000" w:themeColor="text1"/>
          <w:sz w:val="16"/>
          <w:szCs w:val="16"/>
        </w:rPr>
      </w:pPr>
      <w:r w:rsidRPr="00507A31">
        <w:rPr>
          <w:color w:val="000000" w:themeColor="text1"/>
          <w:sz w:val="16"/>
          <w:szCs w:val="16"/>
        </w:rPr>
        <w:t>Так образовалась «Промышленная партия».</w:t>
      </w:r>
    </w:p>
    <w:p w14:paraId="698C2DB3" w14:textId="77777777" w:rsidR="00AA33CA" w:rsidRPr="00507A31" w:rsidRDefault="00AA33CA" w:rsidP="00507A31">
      <w:pPr>
        <w:jc w:val="both"/>
        <w:rPr>
          <w:color w:val="000000" w:themeColor="text1"/>
          <w:sz w:val="16"/>
          <w:szCs w:val="16"/>
        </w:rPr>
      </w:pPr>
      <w:r w:rsidRPr="00507A31">
        <w:rPr>
          <w:color w:val="000000" w:themeColor="text1"/>
          <w:sz w:val="16"/>
          <w:szCs w:val="16"/>
        </w:rPr>
        <w:t>В то же время она отличалась уже от прежнего «Инженерно-технического центра» в смысле большего заострения вопроса об иностранной военной интервенции.</w:t>
      </w:r>
    </w:p>
    <w:p w14:paraId="41C209D6" w14:textId="77777777" w:rsidR="00AA33CA" w:rsidRPr="00507A31" w:rsidRDefault="00AA33CA" w:rsidP="00507A31">
      <w:pPr>
        <w:jc w:val="both"/>
        <w:rPr>
          <w:color w:val="000000" w:themeColor="text1"/>
          <w:sz w:val="16"/>
          <w:szCs w:val="16"/>
        </w:rPr>
      </w:pPr>
      <w:r w:rsidRPr="00507A31">
        <w:rPr>
          <w:color w:val="000000" w:themeColor="text1"/>
          <w:sz w:val="16"/>
          <w:szCs w:val="16"/>
        </w:rPr>
        <w:t>Постановка вопроса об интервенции «Промпартией»</w:t>
      </w:r>
    </w:p>
    <w:p w14:paraId="4C004077" w14:textId="77777777" w:rsidR="00AA33CA" w:rsidRPr="00507A31" w:rsidRDefault="00AA33CA" w:rsidP="00507A31">
      <w:pPr>
        <w:jc w:val="both"/>
        <w:rPr>
          <w:color w:val="000000" w:themeColor="text1"/>
          <w:sz w:val="16"/>
          <w:szCs w:val="16"/>
        </w:rPr>
      </w:pPr>
      <w:r w:rsidRPr="00507A31">
        <w:rPr>
          <w:color w:val="000000" w:themeColor="text1"/>
          <w:sz w:val="16"/>
          <w:szCs w:val="16"/>
        </w:rPr>
        <w:t>Рост успехов хозяйственного строительства Союза, несмотря на весь размах вредительской работы, заставил «Промпартию» не только выдвинуть на первый план и поставить гораздо более остро, чем ставил «Инженерно-технический центр», вопрос о вооруженном вмешательстве со стороны — об интервенции, но и подчинить ему всю свою работу по вредительству.</w:t>
      </w:r>
    </w:p>
    <w:p w14:paraId="40B5FA62" w14:textId="77777777" w:rsidR="00AA33CA" w:rsidRPr="00507A31" w:rsidRDefault="00AA33CA" w:rsidP="00507A31">
      <w:pPr>
        <w:jc w:val="both"/>
        <w:rPr>
          <w:color w:val="000000" w:themeColor="text1"/>
          <w:sz w:val="16"/>
          <w:szCs w:val="16"/>
        </w:rPr>
      </w:pPr>
      <w:r w:rsidRPr="00507A31">
        <w:rPr>
          <w:color w:val="000000" w:themeColor="text1"/>
          <w:sz w:val="16"/>
          <w:szCs w:val="16"/>
        </w:rPr>
        <w:t>Вот как по этому вопросу показывает Рамзин:</w:t>
      </w:r>
    </w:p>
    <w:p w14:paraId="205363AF" w14:textId="77777777" w:rsidR="00AA33CA" w:rsidRPr="00507A31" w:rsidRDefault="00AA33CA" w:rsidP="00507A31">
      <w:pPr>
        <w:jc w:val="both"/>
        <w:rPr>
          <w:color w:val="000000" w:themeColor="text1"/>
          <w:sz w:val="16"/>
          <w:szCs w:val="16"/>
        </w:rPr>
      </w:pPr>
      <w:r w:rsidRPr="00507A31">
        <w:rPr>
          <w:color w:val="000000" w:themeColor="text1"/>
          <w:sz w:val="16"/>
          <w:szCs w:val="16"/>
        </w:rPr>
        <w:t>«При основной ставке на интервенцию, которая ожидалась примерно в 1930 г., основной целью являлось, естественно, приурочивание всеобщего кризиса и паралича хозяйственной жизни страны к моменту интервенции, значительно облегчая последнюю и обеспечивая уверенность в ее успехе с минимальными усилиями» (показания от 16 октября).</w:t>
      </w:r>
    </w:p>
    <w:p w14:paraId="3A24017F" w14:textId="77777777" w:rsidR="00AA33CA" w:rsidRPr="00507A31" w:rsidRDefault="00AA33CA" w:rsidP="00507A31">
      <w:pPr>
        <w:jc w:val="both"/>
        <w:rPr>
          <w:color w:val="000000" w:themeColor="text1"/>
          <w:sz w:val="16"/>
          <w:szCs w:val="16"/>
        </w:rPr>
      </w:pPr>
      <w:r w:rsidRPr="00507A31">
        <w:rPr>
          <w:color w:val="000000" w:themeColor="text1"/>
          <w:sz w:val="16"/>
          <w:szCs w:val="16"/>
        </w:rPr>
        <w:t>Опять-таки в полном соответствии с показаниями Рамзина более подробно по этому вопросу показывает Ларичев:</w:t>
      </w:r>
    </w:p>
    <w:p w14:paraId="125A4593" w14:textId="77777777" w:rsidR="00AA33CA" w:rsidRPr="00507A31" w:rsidRDefault="00AA33CA" w:rsidP="00507A31">
      <w:pPr>
        <w:jc w:val="both"/>
        <w:rPr>
          <w:color w:val="000000" w:themeColor="text1"/>
          <w:sz w:val="16"/>
          <w:szCs w:val="16"/>
        </w:rPr>
      </w:pPr>
      <w:r w:rsidRPr="00507A31">
        <w:rPr>
          <w:color w:val="000000" w:themeColor="text1"/>
          <w:sz w:val="16"/>
          <w:szCs w:val="16"/>
        </w:rPr>
        <w:t>«Несмотря на ведущуюся на местах вредительскую деятельность в различных отраслях народного хозяйства, восстановительный процесс протекал довольно успешно, и приостановить этот процесс не удавалось, несмотря на то, что вредительская деятельность получила уже в лице “Инженерно-технического центра” определенное руководство и направление. По мере того, как расширялось восстановление отдельных отраслей народного хозяйства, укреплялось внутреннее положение страны и советской власти. В соответствии с этим все меньше оставалось надежды на возможность внутреннего краха советской власти и сдачи ею прежних позиций. Кроме того, остался неоправданным расчет на широкое привлечение концессионного капитала, в котором контрреволюционное инженерство видело возможность, так сказать, “мирной интервенции”».</w:t>
      </w:r>
    </w:p>
    <w:p w14:paraId="2C2BC31D" w14:textId="77777777" w:rsidR="00AA33CA" w:rsidRPr="00507A31" w:rsidRDefault="00AA33CA" w:rsidP="00507A31">
      <w:pPr>
        <w:jc w:val="both"/>
        <w:rPr>
          <w:color w:val="000000" w:themeColor="text1"/>
          <w:sz w:val="16"/>
          <w:szCs w:val="16"/>
        </w:rPr>
      </w:pPr>
      <w:r w:rsidRPr="00507A31">
        <w:rPr>
          <w:color w:val="000000" w:themeColor="text1"/>
          <w:sz w:val="16"/>
          <w:szCs w:val="16"/>
        </w:rPr>
        <w:t>В связи с этим:</w:t>
      </w:r>
    </w:p>
    <w:p w14:paraId="25E8F78B" w14:textId="77777777" w:rsidR="00AA33CA" w:rsidRPr="00507A31" w:rsidRDefault="00AA33CA" w:rsidP="00507A31">
      <w:pPr>
        <w:jc w:val="both"/>
        <w:rPr>
          <w:color w:val="000000" w:themeColor="text1"/>
          <w:sz w:val="16"/>
          <w:szCs w:val="16"/>
        </w:rPr>
      </w:pPr>
      <w:r w:rsidRPr="00507A31">
        <w:rPr>
          <w:color w:val="000000" w:themeColor="text1"/>
          <w:sz w:val="16"/>
          <w:szCs w:val="16"/>
        </w:rPr>
        <w:t>«"Промышленная партия", объединившая все вредительские и контрреволюционные организации “Инженерно-технического центра”, с самого начала своей деятельности видела в интервенции главную реальную силу, могущую привести к свержению советской власти. Это положение полностью разделялось идейным вдохновителем и руководителем “Промышленной партии” — “Торгово-промышленным комитетом” в Париже (так называемым “Торгпромом”), являвшимся объединением бывших собственников царской России...» (показания от 16 октября 1930 г.).</w:t>
      </w:r>
    </w:p>
    <w:p w14:paraId="756D5853" w14:textId="77777777" w:rsidR="00AA33CA" w:rsidRPr="00507A31" w:rsidRDefault="00AA33CA" w:rsidP="00507A31">
      <w:pPr>
        <w:jc w:val="both"/>
        <w:rPr>
          <w:color w:val="000000" w:themeColor="text1"/>
          <w:sz w:val="16"/>
          <w:szCs w:val="16"/>
        </w:rPr>
      </w:pPr>
      <w:r w:rsidRPr="00507A31">
        <w:rPr>
          <w:color w:val="000000" w:themeColor="text1"/>
          <w:sz w:val="16"/>
          <w:szCs w:val="16"/>
        </w:rPr>
        <w:t>О том же говорит в показаниях от 16 октября 1930 г. обвиняемый Калинников:</w:t>
      </w:r>
    </w:p>
    <w:p w14:paraId="7EE25744" w14:textId="77777777" w:rsidR="00AA33CA" w:rsidRPr="00507A31" w:rsidRDefault="00AA33CA" w:rsidP="00507A31">
      <w:pPr>
        <w:jc w:val="both"/>
        <w:rPr>
          <w:color w:val="000000" w:themeColor="text1"/>
          <w:sz w:val="16"/>
          <w:szCs w:val="16"/>
        </w:rPr>
      </w:pPr>
      <w:r w:rsidRPr="00507A31">
        <w:rPr>
          <w:color w:val="000000" w:themeColor="text1"/>
          <w:sz w:val="16"/>
          <w:szCs w:val="16"/>
        </w:rPr>
        <w:t>«Когда выяснилось в 1926 г., что объявленная Советским Союзом программа широкого привлечения иностранных концессий не может быть реализована ввиду неприемлемости требований бывш. владельцев-иностранцев, а в то же время народное хозяйство Советского Союза невиданно быстрыми темпами заканчивало свое восстановление, в особенности в промышленности и на транспорте, идея интервенции и за границей и в “Инженерном центре”, а затем и в “Промышленной партии”, стала крепнуть и усиливаться, так как быстрое усиление экономической мощи Советского Союза и рост авторитета коммунистической партии и советской власти среди населения Советского Союза становились грозными противниками на пути осуществления будущей интервенции...</w:t>
      </w:r>
    </w:p>
    <w:p w14:paraId="4C3ADA4B" w14:textId="77777777" w:rsidR="00AA33CA" w:rsidRPr="00507A31" w:rsidRDefault="00AA33CA" w:rsidP="00507A31">
      <w:pPr>
        <w:jc w:val="both"/>
        <w:rPr>
          <w:color w:val="000000" w:themeColor="text1"/>
          <w:sz w:val="16"/>
          <w:szCs w:val="16"/>
        </w:rPr>
      </w:pPr>
      <w:r w:rsidRPr="00507A31">
        <w:rPr>
          <w:color w:val="000000" w:themeColor="text1"/>
          <w:sz w:val="16"/>
          <w:szCs w:val="16"/>
        </w:rPr>
        <w:t>Так возникла и сформировалась идея интервенции, и с этого момента стали усиленно к ней подготовляться правительственные и русские эмигрантские круги во Франции. В это примерно время происходит оформление политических концепций в рядах контрреволюционных вредительских организаций, объединенных в “Инженерном центре”, и они превращаются в “Промышленную партию” с центральным комитетом. С этого момента идея иностранной интервенции все более и более стала занимать ЦК “Промышленной Партии”[»].</w:t>
      </w:r>
    </w:p>
    <w:p w14:paraId="08D53C33" w14:textId="77777777" w:rsidR="00AA33CA" w:rsidRPr="00507A31" w:rsidRDefault="00AA33CA" w:rsidP="00507A31">
      <w:pPr>
        <w:jc w:val="both"/>
        <w:rPr>
          <w:color w:val="000000" w:themeColor="text1"/>
          <w:sz w:val="16"/>
          <w:szCs w:val="16"/>
        </w:rPr>
      </w:pPr>
      <w:r w:rsidRPr="00507A31">
        <w:rPr>
          <w:color w:val="000000" w:themeColor="text1"/>
          <w:sz w:val="16"/>
          <w:szCs w:val="16"/>
        </w:rPr>
        <w:t>Наконец, о том же показывает обвиняемый Чарновский (16 октября 1930 г.):</w:t>
      </w:r>
    </w:p>
    <w:p w14:paraId="777338E8" w14:textId="77777777" w:rsidR="00AA33CA" w:rsidRPr="00507A31" w:rsidRDefault="00AA33CA" w:rsidP="00507A31">
      <w:pPr>
        <w:jc w:val="both"/>
        <w:rPr>
          <w:color w:val="000000" w:themeColor="text1"/>
          <w:sz w:val="16"/>
          <w:szCs w:val="16"/>
        </w:rPr>
      </w:pPr>
      <w:r w:rsidRPr="00507A31">
        <w:rPr>
          <w:color w:val="000000" w:themeColor="text1"/>
          <w:sz w:val="16"/>
          <w:szCs w:val="16"/>
        </w:rPr>
        <w:t>«Вредительский “Инженерно-промышленный центр”, или “Промышленная партия”, в которую он сформировался, в деле свержения советской власти ставил свою ставку с 1927 г., главным образом, на военную интервенцию, всеми путями стремясь к выяснению перспектив в этом направлении и сроков ее подготовки и реализации через своих наиболее осведомленных сочленов.</w:t>
      </w:r>
    </w:p>
    <w:p w14:paraId="1A5B07F5" w14:textId="77777777" w:rsidR="00AA33CA" w:rsidRPr="00507A31" w:rsidRDefault="00AA33CA" w:rsidP="00507A31">
      <w:pPr>
        <w:jc w:val="both"/>
        <w:rPr>
          <w:color w:val="000000" w:themeColor="text1"/>
          <w:sz w:val="16"/>
          <w:szCs w:val="16"/>
        </w:rPr>
      </w:pPr>
      <w:r w:rsidRPr="00507A31">
        <w:rPr>
          <w:color w:val="000000" w:themeColor="text1"/>
          <w:sz w:val="16"/>
          <w:szCs w:val="16"/>
        </w:rPr>
        <w:t>...Пальчинский и Рабинович через членов вредительского “Инженерно-промышленного центра” и фактического его руководителя Хренникова, а также через других членов центра сообщали о надеждах бывш. промышленников на военную интервенцию, осуществляемую военными силами Польши, Румынии и других лимитрофных государств, опираясь на помощь Франции и при поддержке Англии, причем Франции должна была принадлежать в этом деле главная инициативная и руководящая роль, с оказанием широкой военно-технической помощи».</w:t>
      </w:r>
    </w:p>
    <w:p w14:paraId="314CF63B" w14:textId="77777777" w:rsidR="00AA33CA" w:rsidRPr="00507A31" w:rsidRDefault="00AA33CA" w:rsidP="00507A31">
      <w:pPr>
        <w:jc w:val="both"/>
        <w:rPr>
          <w:color w:val="000000" w:themeColor="text1"/>
          <w:sz w:val="16"/>
          <w:szCs w:val="16"/>
        </w:rPr>
      </w:pPr>
      <w:r w:rsidRPr="00507A31">
        <w:rPr>
          <w:color w:val="000000" w:themeColor="text1"/>
          <w:sz w:val="16"/>
          <w:szCs w:val="16"/>
        </w:rPr>
        <w:t>Так создался из прежних отдельных вредительских отраслевых центров единый руководящий центр и политически оформился в политическую партию крупного капитала. Подгоняемый успехами социалистического строительства все свои упования он возложил теперь на внешнее вооруженное вмешательство, увязав с ним и с его инициаторами и вдохновителями всю свою практическую вредительскую работу. Подробное рассмотрение организационных возможностей, какими располагала эта политическая партия промышленного капитала, ее связи с инициаторами будущей интервенции на территории Союза и за границей и, наконец, рассмотрение того, что конкретно было проделано ею по подготовке интервенции у нас и за границей, составляют содержание дальнейшего изложения.</w:t>
      </w:r>
    </w:p>
    <w:p w14:paraId="708F000F" w14:textId="77777777" w:rsidR="00AA33CA" w:rsidRPr="00507A31" w:rsidRDefault="00AA33CA" w:rsidP="00507A31">
      <w:pPr>
        <w:jc w:val="both"/>
        <w:rPr>
          <w:color w:val="000000" w:themeColor="text1"/>
          <w:sz w:val="16"/>
          <w:szCs w:val="16"/>
        </w:rPr>
      </w:pPr>
      <w:r w:rsidRPr="00507A31">
        <w:rPr>
          <w:color w:val="000000" w:themeColor="text1"/>
          <w:sz w:val="16"/>
          <w:szCs w:val="16"/>
        </w:rPr>
        <w:t>II. СВЯЗИ ВРЕДИТЕЛЬСКОГО ЦЕНТРА В СССР</w:t>
      </w:r>
    </w:p>
    <w:p w14:paraId="39023C5B" w14:textId="77777777" w:rsidR="00AA33CA" w:rsidRPr="00507A31" w:rsidRDefault="00AA33CA" w:rsidP="00507A31">
      <w:pPr>
        <w:jc w:val="both"/>
        <w:rPr>
          <w:color w:val="000000" w:themeColor="text1"/>
          <w:sz w:val="16"/>
          <w:szCs w:val="16"/>
        </w:rPr>
      </w:pPr>
      <w:r w:rsidRPr="00507A31">
        <w:rPr>
          <w:color w:val="000000" w:themeColor="text1"/>
          <w:sz w:val="16"/>
          <w:szCs w:val="16"/>
        </w:rPr>
        <w:t>С ЗАРУБЕЖНЫМИ АНТИСОВЕТСКИМИ ОРГАНИЗАЦИЯМИ</w:t>
      </w:r>
    </w:p>
    <w:p w14:paraId="25D2411B" w14:textId="77777777" w:rsidR="00AA33CA" w:rsidRPr="00507A31" w:rsidRDefault="00AA33CA" w:rsidP="00507A31">
      <w:pPr>
        <w:jc w:val="both"/>
        <w:rPr>
          <w:color w:val="000000" w:themeColor="text1"/>
          <w:sz w:val="16"/>
          <w:szCs w:val="16"/>
        </w:rPr>
      </w:pPr>
      <w:r w:rsidRPr="00507A31">
        <w:rPr>
          <w:color w:val="000000" w:themeColor="text1"/>
          <w:sz w:val="16"/>
          <w:szCs w:val="16"/>
        </w:rPr>
        <w:t>БЫВШИХ РУССКИХ И ИНОСТРАННЫХ ПРОМЫШЛЕННИКОВ</w:t>
      </w:r>
    </w:p>
    <w:p w14:paraId="0E187EAE" w14:textId="77777777" w:rsidR="00AA33CA" w:rsidRPr="00507A31" w:rsidRDefault="00AA33CA" w:rsidP="00507A31">
      <w:pPr>
        <w:jc w:val="both"/>
        <w:rPr>
          <w:color w:val="000000" w:themeColor="text1"/>
          <w:sz w:val="16"/>
          <w:szCs w:val="16"/>
        </w:rPr>
      </w:pPr>
      <w:r w:rsidRPr="00507A31">
        <w:rPr>
          <w:color w:val="000000" w:themeColor="text1"/>
          <w:sz w:val="16"/>
          <w:szCs w:val="16"/>
        </w:rPr>
        <w:t>И С ИНОСТРАННЫМИ ИНТЕРВЕНТАМИ</w:t>
      </w:r>
    </w:p>
    <w:p w14:paraId="5CC092D4" w14:textId="77777777" w:rsidR="00AA33CA" w:rsidRPr="00507A31" w:rsidRDefault="00AA33CA" w:rsidP="00507A31">
      <w:pPr>
        <w:jc w:val="both"/>
        <w:rPr>
          <w:color w:val="000000" w:themeColor="text1"/>
          <w:sz w:val="16"/>
          <w:szCs w:val="16"/>
        </w:rPr>
      </w:pPr>
      <w:r w:rsidRPr="00507A31">
        <w:rPr>
          <w:color w:val="000000" w:themeColor="text1"/>
          <w:sz w:val="16"/>
          <w:szCs w:val="16"/>
        </w:rPr>
        <w:t>«Торгпром» и его связи с вредительскими организациями</w:t>
      </w:r>
    </w:p>
    <w:p w14:paraId="62CDC301" w14:textId="77777777" w:rsidR="00AA33CA" w:rsidRPr="00507A31" w:rsidRDefault="00AA33CA" w:rsidP="00507A31">
      <w:pPr>
        <w:jc w:val="both"/>
        <w:rPr>
          <w:color w:val="000000" w:themeColor="text1"/>
          <w:sz w:val="16"/>
          <w:szCs w:val="16"/>
        </w:rPr>
      </w:pPr>
      <w:r w:rsidRPr="00507A31">
        <w:rPr>
          <w:color w:val="000000" w:themeColor="text1"/>
          <w:sz w:val="16"/>
          <w:szCs w:val="16"/>
        </w:rPr>
        <w:t>Октябрьская революция смела мощь капитала в СССР и ниспровергла политическое и экономическое господство буржуазии как класса. Скрывшиеся за рубеж отъявленные враги народа и ненавистники рабочего класса — бывш. промышленники — не потеряли тем не менее надежд на восстановление своей прежней власти и образовали там «Торгпром» («Торгово-промышленный комитет») — заграничное объединение крупнейших заправил дореволюционной промышленности, поставивший своей задачей политическую работу по борьбе с советской властью за возвращение своих бывш. предприятий. С ними и завязали отношения вредительские организации в СССР.</w:t>
      </w:r>
    </w:p>
    <w:p w14:paraId="0ABEDE19" w14:textId="77777777" w:rsidR="00AA33CA" w:rsidRPr="00507A31" w:rsidRDefault="00AA33CA" w:rsidP="00507A31">
      <w:pPr>
        <w:jc w:val="both"/>
        <w:rPr>
          <w:color w:val="000000" w:themeColor="text1"/>
          <w:sz w:val="16"/>
          <w:szCs w:val="16"/>
        </w:rPr>
      </w:pPr>
      <w:r w:rsidRPr="00507A31">
        <w:rPr>
          <w:color w:val="000000" w:themeColor="text1"/>
          <w:sz w:val="16"/>
          <w:szCs w:val="16"/>
        </w:rPr>
        <w:t>«Промышленная партия, — говорит Рамзин, — была тесно связана в своей деятельности с объединением бывш. промышленников в лице русского “Торгпромкомитета” (“Торгпром”) в Париже, в состав коего входили Денисов, Нобель, Гукасов, Манташев, Мещерский, Рябушинский, Каштанов, Третьяков, Старикевич и др. “Торгпром”, помимо охраны интересов промышленников-белоэмигрантов за границей, ставил своей основной задачей возврат принадлежавших им ранее русских предприятий или получение компенсации за них; для достижения этой цели “Торгпром” стремился к осуществлению интервенции против СССР» (показания от 3 ноября).</w:t>
      </w:r>
    </w:p>
    <w:p w14:paraId="575B2BAA" w14:textId="77777777" w:rsidR="00AA33CA" w:rsidRPr="00507A31" w:rsidRDefault="00AA33CA" w:rsidP="00507A31">
      <w:pPr>
        <w:jc w:val="both"/>
        <w:rPr>
          <w:color w:val="000000" w:themeColor="text1"/>
          <w:sz w:val="16"/>
          <w:szCs w:val="16"/>
        </w:rPr>
      </w:pPr>
      <w:r w:rsidRPr="00507A31">
        <w:rPr>
          <w:color w:val="000000" w:themeColor="text1"/>
          <w:sz w:val="16"/>
          <w:szCs w:val="16"/>
        </w:rPr>
        <w:t>Лишенные в основном своей экономической мощи все эти Манташе- вы и Денисовы, Мещерские и Рябушинские представляли собой все же достаточно крупную в политическом и экономическом отношении силу, поскольку крупные средства, сохранявшиеся ими в заграничных банках до революции, давали им возможность играть определенную политическую роль. Тесные связи, объединившие одновременно их с организациями международного капитала по соответствующим отраслям промышленности, куда они по большей части входили в качестве акционеров еще в дореволюционное время, равным образом превращали их в довольно весомую в политическом отношении величину.</w:t>
      </w:r>
    </w:p>
    <w:p w14:paraId="5FA6F6A4" w14:textId="77777777" w:rsidR="00AA33CA" w:rsidRPr="00507A31" w:rsidRDefault="00AA33CA" w:rsidP="00507A31">
      <w:pPr>
        <w:jc w:val="both"/>
        <w:rPr>
          <w:color w:val="000000" w:themeColor="text1"/>
          <w:sz w:val="16"/>
          <w:szCs w:val="16"/>
        </w:rPr>
      </w:pPr>
      <w:r w:rsidRPr="00507A31">
        <w:rPr>
          <w:color w:val="000000" w:themeColor="text1"/>
          <w:sz w:val="16"/>
          <w:szCs w:val="16"/>
        </w:rPr>
        <w:lastRenderedPageBreak/>
        <w:t>В противоположность белоэмигрантским кругам из других слоев населения эта группа промышленной буржуазии была силой, с которой считались, как показывают следственные данные, и правительственные круги буржуазных государств. Имена деятелей «Торгпрома», приводимые обвиняемыми, в достаточной степени иллюстрируют это утверждение. Тот же Рамзин показывает:</w:t>
      </w:r>
    </w:p>
    <w:p w14:paraId="2350E246" w14:textId="77777777" w:rsidR="00AA33CA" w:rsidRPr="00507A31" w:rsidRDefault="00AA33CA" w:rsidP="00507A31">
      <w:pPr>
        <w:jc w:val="both"/>
        <w:rPr>
          <w:color w:val="000000" w:themeColor="text1"/>
          <w:sz w:val="16"/>
          <w:szCs w:val="16"/>
        </w:rPr>
      </w:pPr>
      <w:r w:rsidRPr="00507A31">
        <w:rPr>
          <w:color w:val="000000" w:themeColor="text1"/>
          <w:sz w:val="16"/>
          <w:szCs w:val="16"/>
        </w:rPr>
        <w:t>«Мне известны, — говорит он, — следующие связи с бывш. русскими промышленниками:</w:t>
      </w:r>
    </w:p>
    <w:p w14:paraId="71055219" w14:textId="77777777" w:rsidR="00AA33CA" w:rsidRPr="00507A31" w:rsidRDefault="00AA33CA" w:rsidP="00507A31">
      <w:pPr>
        <w:jc w:val="both"/>
        <w:rPr>
          <w:color w:val="000000" w:themeColor="text1"/>
          <w:sz w:val="16"/>
          <w:szCs w:val="16"/>
        </w:rPr>
      </w:pPr>
      <w:r w:rsidRPr="00507A31">
        <w:rPr>
          <w:color w:val="000000" w:themeColor="text1"/>
          <w:sz w:val="16"/>
          <w:szCs w:val="16"/>
        </w:rPr>
        <w:t>по металлической промышленности — с Мещерским (бывш. владельцем Сормовского предприятия) через Пальчинского и, кажется, Чарновского, с Демидовым через Чарновского и Хренникова;</w:t>
      </w:r>
    </w:p>
    <w:p w14:paraId="742B6B89" w14:textId="77777777" w:rsidR="00AA33CA" w:rsidRPr="00507A31" w:rsidRDefault="00AA33CA" w:rsidP="00507A31">
      <w:pPr>
        <w:jc w:val="both"/>
        <w:rPr>
          <w:color w:val="000000" w:themeColor="text1"/>
          <w:sz w:val="16"/>
          <w:szCs w:val="16"/>
        </w:rPr>
      </w:pPr>
      <w:r w:rsidRPr="00507A31">
        <w:rPr>
          <w:color w:val="000000" w:themeColor="text1"/>
          <w:sz w:val="16"/>
          <w:szCs w:val="16"/>
        </w:rPr>
        <w:t>по текстильной промышленности — с П. П. Рябушинским через П. А. Пальчинского и А. А. Федотова, с Коноваловым и Морозовым через Федотова, с Бардыгиным через Ларичева и Федотова;</w:t>
      </w:r>
    </w:p>
    <w:p w14:paraId="40C95AAF" w14:textId="77777777" w:rsidR="00AA33CA" w:rsidRPr="00507A31" w:rsidRDefault="00AA33CA" w:rsidP="00507A31">
      <w:pPr>
        <w:jc w:val="both"/>
        <w:rPr>
          <w:color w:val="000000" w:themeColor="text1"/>
          <w:sz w:val="16"/>
          <w:szCs w:val="16"/>
        </w:rPr>
      </w:pPr>
      <w:r w:rsidRPr="00507A31">
        <w:rPr>
          <w:color w:val="000000" w:themeColor="text1"/>
          <w:sz w:val="16"/>
          <w:szCs w:val="16"/>
        </w:rPr>
        <w:t>по нефтяной промышленности — с Нобелем, Манташевым и Гукасовым через И. Н. Стрижова;</w:t>
      </w:r>
    </w:p>
    <w:p w14:paraId="07A8C56B" w14:textId="77777777" w:rsidR="00AA33CA" w:rsidRPr="00507A31" w:rsidRDefault="00AA33CA" w:rsidP="00507A31">
      <w:pPr>
        <w:jc w:val="both"/>
        <w:rPr>
          <w:color w:val="000000" w:themeColor="text1"/>
          <w:sz w:val="16"/>
          <w:szCs w:val="16"/>
        </w:rPr>
      </w:pPr>
      <w:r w:rsidRPr="00507A31">
        <w:rPr>
          <w:color w:val="000000" w:themeColor="text1"/>
          <w:sz w:val="16"/>
          <w:szCs w:val="16"/>
        </w:rPr>
        <w:t>по угольной промышленности — с Дворжанчиком через Л. Г. Рабиновича.</w:t>
      </w:r>
    </w:p>
    <w:p w14:paraId="70AA452D" w14:textId="77777777" w:rsidR="00AA33CA" w:rsidRPr="00507A31" w:rsidRDefault="00AA33CA" w:rsidP="00507A31">
      <w:pPr>
        <w:jc w:val="both"/>
        <w:rPr>
          <w:color w:val="000000" w:themeColor="text1"/>
          <w:sz w:val="16"/>
          <w:szCs w:val="16"/>
        </w:rPr>
      </w:pPr>
      <w:r w:rsidRPr="00507A31">
        <w:rPr>
          <w:color w:val="000000" w:themeColor="text1"/>
          <w:sz w:val="16"/>
          <w:szCs w:val="16"/>
        </w:rPr>
        <w:t>Кроме того, на одном из совещаний центра Пальчинский назвал фамилию Крестовникова — жировая промышленность; однако, была ли реализована эта связь и через кого, для меня неизвестно...».</w:t>
      </w:r>
    </w:p>
    <w:p w14:paraId="4F2CCF1A" w14:textId="77777777" w:rsidR="00AA33CA" w:rsidRPr="00507A31" w:rsidRDefault="00AA33CA" w:rsidP="00507A31">
      <w:pPr>
        <w:jc w:val="both"/>
        <w:rPr>
          <w:color w:val="000000" w:themeColor="text1"/>
          <w:sz w:val="16"/>
          <w:szCs w:val="16"/>
        </w:rPr>
      </w:pPr>
      <w:r w:rsidRPr="00507A31">
        <w:rPr>
          <w:color w:val="000000" w:themeColor="text1"/>
          <w:sz w:val="16"/>
          <w:szCs w:val="16"/>
        </w:rPr>
        <w:t>«Связь с бывш. промышленниками осуществлялась через разных лиц, ездивших за границу, в частности, в 1927 г. я по поручению Пальчинского и, кажется, Федотова, имел один разговор в Париже с П. П. Рябушинским, касающийся согласования основных положений программы центра и, в частности, описанного выше способа акционирования предприятий» (показания от 21 сентября).</w:t>
      </w:r>
    </w:p>
    <w:p w14:paraId="0511E6C0" w14:textId="77777777" w:rsidR="00AA33CA" w:rsidRPr="00507A31" w:rsidRDefault="00AA33CA" w:rsidP="00507A31">
      <w:pPr>
        <w:jc w:val="both"/>
        <w:rPr>
          <w:color w:val="000000" w:themeColor="text1"/>
          <w:sz w:val="16"/>
          <w:szCs w:val="16"/>
        </w:rPr>
      </w:pPr>
      <w:r w:rsidRPr="00507A31">
        <w:rPr>
          <w:color w:val="000000" w:themeColor="text1"/>
          <w:sz w:val="16"/>
          <w:szCs w:val="16"/>
        </w:rPr>
        <w:t>О связи отдельных групп вредителей по отдельным отраслям промышленности с представителями иностранного капитала говорит Калинников в показании от 10 октября 1930 г.</w:t>
      </w:r>
    </w:p>
    <w:p w14:paraId="1ACE001C" w14:textId="77777777" w:rsidR="00AA33CA" w:rsidRPr="00507A31" w:rsidRDefault="00AA33CA" w:rsidP="00507A31">
      <w:pPr>
        <w:jc w:val="both"/>
        <w:rPr>
          <w:color w:val="000000" w:themeColor="text1"/>
          <w:sz w:val="16"/>
          <w:szCs w:val="16"/>
        </w:rPr>
      </w:pPr>
      <w:r w:rsidRPr="00507A31">
        <w:rPr>
          <w:color w:val="000000" w:themeColor="text1"/>
          <w:sz w:val="16"/>
          <w:szCs w:val="16"/>
        </w:rPr>
        <w:t>«Поскольку мне известно, Пальчинский находился в связи с французским и английским капиталом. Рабинович через Дворжанчика поддерживал связь с Польшей, Хренников находился в связи с Гляссом — акционером Сталинского, бывш. Юзовского завода, и “Виккерсом” в Англии, Федорович — с Урквартом».</w:t>
      </w:r>
    </w:p>
    <w:p w14:paraId="6BE6FA07" w14:textId="77777777" w:rsidR="00AA33CA" w:rsidRPr="00507A31" w:rsidRDefault="00AA33CA" w:rsidP="00507A31">
      <w:pPr>
        <w:jc w:val="both"/>
        <w:rPr>
          <w:color w:val="000000" w:themeColor="text1"/>
          <w:sz w:val="16"/>
          <w:szCs w:val="16"/>
        </w:rPr>
      </w:pPr>
      <w:r w:rsidRPr="00507A31">
        <w:rPr>
          <w:color w:val="000000" w:themeColor="text1"/>
          <w:sz w:val="16"/>
          <w:szCs w:val="16"/>
        </w:rPr>
        <w:t>На связь вредителей с Урквартом следственные власти наткнулись совершенно точно еще раньше по делу цветной металлургии.</w:t>
      </w:r>
    </w:p>
    <w:p w14:paraId="1712BFCD" w14:textId="77777777" w:rsidR="00AA33CA" w:rsidRPr="00507A31" w:rsidRDefault="00AA33CA" w:rsidP="00507A31">
      <w:pPr>
        <w:jc w:val="both"/>
        <w:rPr>
          <w:color w:val="000000" w:themeColor="text1"/>
          <w:sz w:val="16"/>
          <w:szCs w:val="16"/>
        </w:rPr>
      </w:pPr>
      <w:r w:rsidRPr="00507A31">
        <w:rPr>
          <w:color w:val="000000" w:themeColor="text1"/>
          <w:sz w:val="16"/>
          <w:szCs w:val="16"/>
        </w:rPr>
        <w:t>По показаниям обвиняемых, сам Уркварт следующим образом выражался тогда о нашем техническом составе: «Большинство нашего технического состава и административно-технического управления, — говорит Уркварт, — находится на предприятии и ждет нашего возвращения». Связи вредителей с нефтяным королем Детердингом и роль последнего будут выяснены в дальнейшем.</w:t>
      </w:r>
    </w:p>
    <w:p w14:paraId="4554EC9F" w14:textId="77777777" w:rsidR="00AA33CA" w:rsidRPr="00507A31" w:rsidRDefault="00AA33CA" w:rsidP="00507A31">
      <w:pPr>
        <w:jc w:val="both"/>
        <w:rPr>
          <w:color w:val="000000" w:themeColor="text1"/>
          <w:sz w:val="16"/>
          <w:szCs w:val="16"/>
        </w:rPr>
      </w:pPr>
      <w:r w:rsidRPr="00507A31">
        <w:rPr>
          <w:color w:val="000000" w:themeColor="text1"/>
          <w:sz w:val="16"/>
          <w:szCs w:val="16"/>
        </w:rPr>
        <w:t>Первое время, однако, эти сношения вредителей и бывш. собственников не носили в достаточной мере организованного и четко выраженного политического характера.</w:t>
      </w:r>
    </w:p>
    <w:p w14:paraId="66065EBC" w14:textId="77777777" w:rsidR="00AA33CA" w:rsidRPr="00507A31" w:rsidRDefault="00AA33CA" w:rsidP="00507A31">
      <w:pPr>
        <w:jc w:val="both"/>
        <w:rPr>
          <w:color w:val="000000" w:themeColor="text1"/>
          <w:sz w:val="16"/>
          <w:szCs w:val="16"/>
        </w:rPr>
      </w:pPr>
      <w:r w:rsidRPr="00507A31">
        <w:rPr>
          <w:color w:val="000000" w:themeColor="text1"/>
          <w:sz w:val="16"/>
          <w:szCs w:val="16"/>
        </w:rPr>
        <w:t>Крайне заинтересованные в соответствующем направлении работы своих бывш. предприятий в СССР, круги эмигрировавших промышленников использовали свои прежние связи для этой цели в первую голову. Шахтинский процесс дал достаточно характерную картину заграничного руководства нашими предприятиями в виде конкретных указаний — как проводить или не проводить те или иные технические рационализаторские мероприятия на том или ином заводе, как поступить с тем или иным пластом или шахтой и т. д. Лишь с началом реконструктивного периода, когда все лицо промышленности начало резко меняться и когда бывш. промышленники, как говорит Рамзин, «часто не находили в живых своих прежних предприятий», получаемые директивы стали утрачивать свой конкретный характер, превращаясь, большей частью, лишь в подтверждение и одобрение предложений «Промпартии». Зато с тем большей четкостью начали выступать тенденции и директивы чисто политического характера. В связи с общей установкой вредительской организации на интервенцию они получали теперь свое законченное выражение в своеобразном разделении труда по подготовке интервенции между «Промышленной партией» и «Торгпромом», ибо и тот и другие (т. е. «Торгпром» и вредители) начали видеть теперь в интервенции единственное средство свержения советской власти и единственный способ осуществления плана восстановления капитализма в СССР. Вот что по этому поводу показывает обвиняемый Рамзин:</w:t>
      </w:r>
    </w:p>
    <w:p w14:paraId="1D6D3D5F" w14:textId="77777777" w:rsidR="00AA33CA" w:rsidRPr="00507A31" w:rsidRDefault="00AA33CA" w:rsidP="00507A31">
      <w:pPr>
        <w:jc w:val="both"/>
        <w:rPr>
          <w:color w:val="000000" w:themeColor="text1"/>
          <w:sz w:val="16"/>
          <w:szCs w:val="16"/>
        </w:rPr>
      </w:pPr>
      <w:r w:rsidRPr="00507A31">
        <w:rPr>
          <w:color w:val="000000" w:themeColor="text1"/>
          <w:sz w:val="16"/>
          <w:szCs w:val="16"/>
        </w:rPr>
        <w:t>«...Будучи тесно связана в своей деятельности с объединением бывш. промышленников в лице русского “Торгово-промышленного комитета” (“Торгпрома”), также стремившегося к осуществлению интервенции против СССР, “Промышленная партия” в общем по договоренности с “Торгпромом” разделила работу по подготовке интервенции между “Торгпромом" и собой следующим образом: “Торгпром” вел всю внешнюю подготовку интервенции, а именно все переговоры с иностранными правительствами, главным образом, Францией и Англией, проводил за границей агитацию и пропаганду интервенции, должен был изыскать средства для ее финансирования, а также брал на себя и организацию военной ее части при помощи иностранных держав. “Промпартия” же проводила внутреннюю подготовку интервенции в СССР путем искусственного создания и углубления экономических кризисов и всевозможной помощи интервенции изнутри. С этой целью по указанию “Торгпрома” и по собственной инициативе ЦК “Промпартии” вступил в связь с иностранными генштабами» (показания от 16 октября).</w:t>
      </w:r>
    </w:p>
    <w:p w14:paraId="02D82EA5" w14:textId="77777777" w:rsidR="00AA33CA" w:rsidRPr="00507A31" w:rsidRDefault="00AA33CA" w:rsidP="00507A31">
      <w:pPr>
        <w:jc w:val="both"/>
        <w:rPr>
          <w:color w:val="000000" w:themeColor="text1"/>
          <w:sz w:val="16"/>
          <w:szCs w:val="16"/>
        </w:rPr>
      </w:pPr>
      <w:r w:rsidRPr="00507A31">
        <w:rPr>
          <w:color w:val="000000" w:themeColor="text1"/>
          <w:sz w:val="16"/>
          <w:szCs w:val="16"/>
        </w:rPr>
        <w:t>Новая установка резко оформилась уже к концу 1927 [г.], а еще через год — к концу 1928 г. — она стала не только преобладающей, но подчинила себе все остальные, превративши всю деятельность вредителей в подсобную и подчиненную работу по подготовке интервенции. Обвиняемый Ларичев показывает:</w:t>
      </w:r>
    </w:p>
    <w:p w14:paraId="3A822E35" w14:textId="77777777" w:rsidR="00AA33CA" w:rsidRPr="00507A31" w:rsidRDefault="00AA33CA" w:rsidP="00507A31">
      <w:pPr>
        <w:jc w:val="both"/>
        <w:rPr>
          <w:color w:val="000000" w:themeColor="text1"/>
          <w:sz w:val="16"/>
          <w:szCs w:val="16"/>
        </w:rPr>
      </w:pPr>
      <w:r w:rsidRPr="00507A31">
        <w:rPr>
          <w:color w:val="000000" w:themeColor="text1"/>
          <w:sz w:val="16"/>
          <w:szCs w:val="16"/>
        </w:rPr>
        <w:t>«...Более или менее определенные сведения об отношении заграничных кругов по вопросу об интервенции были получены к концу 1927 г. по возвращении из-за границы Рамзина, где он по этому вопросу вел переговоры с “Торгпромом”. Из его рассказов мне известно, что «Торгпром» добился определенной поддержки французского правительства в отношении интервенции и что имеются соглашения между Францией и Англией в этом вопросе. Разрыв дипломатических сношений с Англией рассматривается “Торгпромом” как определенный шаг к подготовке антисоветского блока и последующей интервенции. Антисоветский блок прежде всего должен объединить и координировать действия Польши, Румынии и прибалтийских держав. Они должны явиться той реальной вооруженной силой, которая должна осуществить интервенцию при участии экспедиционного корпуса из эмигрантских сил, организуемого и поддерживаемого Францией...» (показания от 12 октября).</w:t>
      </w:r>
    </w:p>
    <w:p w14:paraId="2F337EEC" w14:textId="77777777" w:rsidR="00AA33CA" w:rsidRPr="00507A31" w:rsidRDefault="00AA33CA" w:rsidP="00507A31">
      <w:pPr>
        <w:jc w:val="both"/>
        <w:rPr>
          <w:color w:val="000000" w:themeColor="text1"/>
          <w:sz w:val="16"/>
          <w:szCs w:val="16"/>
        </w:rPr>
      </w:pPr>
      <w:r w:rsidRPr="00507A31">
        <w:rPr>
          <w:color w:val="000000" w:themeColor="text1"/>
          <w:sz w:val="16"/>
          <w:szCs w:val="16"/>
        </w:rPr>
        <w:t>Чарновский показывает (16 октября 1930 г.):</w:t>
      </w:r>
    </w:p>
    <w:p w14:paraId="65990224" w14:textId="77777777" w:rsidR="00AA33CA" w:rsidRPr="00507A31" w:rsidRDefault="00AA33CA" w:rsidP="00507A31">
      <w:pPr>
        <w:jc w:val="both"/>
        <w:rPr>
          <w:color w:val="000000" w:themeColor="text1"/>
          <w:sz w:val="16"/>
          <w:szCs w:val="16"/>
        </w:rPr>
      </w:pPr>
      <w:r w:rsidRPr="00507A31">
        <w:rPr>
          <w:color w:val="000000" w:themeColor="text1"/>
          <w:sz w:val="16"/>
          <w:szCs w:val="16"/>
        </w:rPr>
        <w:t>«...Установивши связь с бывш. владельцами и с кругами, способными активно поддерживать интервенцию, “Промышленная партия” (вредительский инженерный центр) видела в интервенции уже с 1927 г. основное и конечное средство к свержению советской власти. Этой конечной цели должно было способствовать проведение вредительским инженерным центром (“Промпартией”) вредительства в различных отраслях народного хозяйства и промышленности путем создания диспропорции при выполнении плана реконструкции по обслуживающим друг друга отраслям, углубления кризисов в результате этих диспропорций, в том числе кризисов продовольственного, транспортного, топливного и в прочих отраслях хозяйства СССР. В таком направлении, по сообщению Хренникова, были даны также директивы и со стороны зарубежного объединения промышленников — “Торгпрома”, принятые инженерным вредительским центром (“Промпартией”) в лице его руководителя Хренникова в качестве основной линии деятельности с 1927 г. Это сообщение Хренникова было позднее значительно дополнено проф. Рамзиным, впоследствии заступившим место Хренникова в качестве руководителя вредительского промышленного центра (“Промышленной партии”)[»].</w:t>
      </w:r>
    </w:p>
    <w:p w14:paraId="39F41A30" w14:textId="77777777" w:rsidR="00AA33CA" w:rsidRPr="00507A31" w:rsidRDefault="00AA33CA" w:rsidP="00507A31">
      <w:pPr>
        <w:jc w:val="both"/>
        <w:rPr>
          <w:color w:val="000000" w:themeColor="text1"/>
          <w:sz w:val="16"/>
          <w:szCs w:val="16"/>
        </w:rPr>
      </w:pPr>
      <w:r w:rsidRPr="00507A31">
        <w:rPr>
          <w:color w:val="000000" w:themeColor="text1"/>
          <w:sz w:val="16"/>
          <w:szCs w:val="16"/>
        </w:rPr>
        <w:t>И, наконец, еще конкретнее показывает Федотов:</w:t>
      </w:r>
    </w:p>
    <w:p w14:paraId="649D679F" w14:textId="77777777" w:rsidR="00AA33CA" w:rsidRPr="00507A31" w:rsidRDefault="00AA33CA" w:rsidP="00507A31">
      <w:pPr>
        <w:jc w:val="both"/>
        <w:rPr>
          <w:color w:val="000000" w:themeColor="text1"/>
          <w:sz w:val="16"/>
          <w:szCs w:val="16"/>
        </w:rPr>
      </w:pPr>
      <w:r w:rsidRPr="00507A31">
        <w:rPr>
          <w:color w:val="000000" w:themeColor="text1"/>
          <w:sz w:val="16"/>
          <w:szCs w:val="16"/>
        </w:rPr>
        <w:t>«...Подробный разговор я имел в Лондоне с Крестовниковым, который был у меня в гостинице по поручению Коновалова... Об интервенции он тогда мне сообщил, что в Париже в “Торгпроме” по этому поводу ведется усиленная работа как по подготовке общественного мнения, так и по связи с общественными, правительственными кругами Франции. С целью повлиять на общественное мнение ведется травля советского правительства, используется всякий случай и повод, и не только в русско-эмигрантской печати, но также и во французской, что стоит больших денег. Он сообщил мне, между прочим, что “Торгпром” дает субсидию газете “Последние новости”.</w:t>
      </w:r>
    </w:p>
    <w:p w14:paraId="059D23D8" w14:textId="77777777" w:rsidR="00AA33CA" w:rsidRPr="00507A31" w:rsidRDefault="00AA33CA" w:rsidP="00507A31">
      <w:pPr>
        <w:jc w:val="both"/>
        <w:rPr>
          <w:color w:val="000000" w:themeColor="text1"/>
          <w:sz w:val="16"/>
          <w:szCs w:val="16"/>
        </w:rPr>
      </w:pPr>
      <w:r w:rsidRPr="00507A31">
        <w:rPr>
          <w:color w:val="000000" w:themeColor="text1"/>
          <w:sz w:val="16"/>
          <w:szCs w:val="16"/>
        </w:rPr>
        <w:t>Об отношениях “Торгпрома” с промышленными кругами Англии он сказал, что поддерживается связь с “Комитетом русских кредиторов” в Лондоне, во главе которого стоит Уркварт, а также с Детердингом[,] через посредство их с консервативной партией Англии, и что есть основание ожидать со стороны Англии если не активного участия в интервенции, то финансовой и дипломатической поддержки. Однако, для успешности и возможности интервенции необходимо, — указал дальше Крестовников, на что просил обратить внимание Коновалов, — чтобы почва для нее была подготовлена в России всякими мерами, которые могут вызывать недовольство рабочих масс и крестьянства, расстройством промышленности, расстройством снабжения товарами населения и т. д.</w:t>
      </w:r>
    </w:p>
    <w:p w14:paraId="7874CA37" w14:textId="77777777" w:rsidR="00AA33CA" w:rsidRPr="00507A31" w:rsidRDefault="00AA33CA" w:rsidP="00507A31">
      <w:pPr>
        <w:jc w:val="both"/>
        <w:rPr>
          <w:color w:val="000000" w:themeColor="text1"/>
          <w:sz w:val="16"/>
          <w:szCs w:val="16"/>
        </w:rPr>
      </w:pPr>
      <w:r w:rsidRPr="00507A31">
        <w:rPr>
          <w:color w:val="000000" w:themeColor="text1"/>
          <w:sz w:val="16"/>
          <w:szCs w:val="16"/>
        </w:rPr>
        <w:t>...В конце 1927 г., — указывает Федотов, — инж. Хренников имел со мной разговор на ту же тему и указал, что работа по подготовке идет недостаточно быстро, что нет тех проявлений недовольства, которые ожидались в этом направлении, и что “Торгпром” просит работу усилить [с] тем, чтобы сделать интервенцию возможной к 1931/32 г. или даже ранее — к 1930/31 г. Поручение “Торгпрома” совету было передано Рамзиным, который только что вернулся из-за границы.</w:t>
      </w:r>
    </w:p>
    <w:p w14:paraId="337E9B63" w14:textId="77777777" w:rsidR="00AA33CA" w:rsidRPr="00507A31" w:rsidRDefault="00AA33CA" w:rsidP="00507A31">
      <w:pPr>
        <w:jc w:val="both"/>
        <w:rPr>
          <w:color w:val="000000" w:themeColor="text1"/>
          <w:sz w:val="16"/>
          <w:szCs w:val="16"/>
        </w:rPr>
      </w:pPr>
      <w:r w:rsidRPr="00507A31">
        <w:rPr>
          <w:color w:val="000000" w:themeColor="text1"/>
          <w:sz w:val="16"/>
          <w:szCs w:val="16"/>
        </w:rPr>
        <w:t>Этот разговор был передан мною директивной группе тексторганизации — Куприянову, Кирпотенко, Державину и Нольде...»</w:t>
      </w:r>
    </w:p>
    <w:p w14:paraId="1B1C051A" w14:textId="77777777" w:rsidR="00AA33CA" w:rsidRPr="00507A31" w:rsidRDefault="00AA33CA" w:rsidP="00507A31">
      <w:pPr>
        <w:jc w:val="both"/>
        <w:rPr>
          <w:color w:val="000000" w:themeColor="text1"/>
          <w:sz w:val="16"/>
          <w:szCs w:val="16"/>
        </w:rPr>
      </w:pPr>
      <w:r w:rsidRPr="00507A31">
        <w:rPr>
          <w:color w:val="000000" w:themeColor="text1"/>
          <w:sz w:val="16"/>
          <w:szCs w:val="16"/>
        </w:rPr>
        <w:t>Так по мере успехов социалистического строительства внутри СССР оформлялись и консолидировались реакционные силы вредителей-инженеров с организацией русской промышленной буржуазии за границей. Место отдельных изолированных связей по отраслям промышленности занял единый, организованно увязанный фронт бывш. капиталистов и технических специалистов промышленности СССР. Окончательное закрепление, оформление и деловую детализацию их совместная работа по подготовке интервенции получила в 1928 г.</w:t>
      </w:r>
    </w:p>
    <w:p w14:paraId="1CFC6BA6" w14:textId="77777777" w:rsidR="00AA33CA" w:rsidRPr="00507A31" w:rsidRDefault="00AA33CA" w:rsidP="00507A31">
      <w:pPr>
        <w:jc w:val="both"/>
        <w:rPr>
          <w:color w:val="000000" w:themeColor="text1"/>
          <w:sz w:val="16"/>
          <w:szCs w:val="16"/>
        </w:rPr>
      </w:pPr>
      <w:r w:rsidRPr="00507A31">
        <w:rPr>
          <w:color w:val="000000" w:themeColor="text1"/>
          <w:sz w:val="16"/>
          <w:szCs w:val="16"/>
        </w:rPr>
        <w:t>Окончательное закрепление организационных связей вредителей и «Торгпрома»</w:t>
      </w:r>
    </w:p>
    <w:p w14:paraId="1ABA716F" w14:textId="77777777" w:rsidR="00AA33CA" w:rsidRPr="00507A31" w:rsidRDefault="00AA33CA" w:rsidP="00507A31">
      <w:pPr>
        <w:jc w:val="both"/>
        <w:rPr>
          <w:color w:val="000000" w:themeColor="text1"/>
          <w:sz w:val="16"/>
          <w:szCs w:val="16"/>
        </w:rPr>
      </w:pPr>
      <w:r w:rsidRPr="00507A31">
        <w:rPr>
          <w:color w:val="000000" w:themeColor="text1"/>
          <w:sz w:val="16"/>
          <w:szCs w:val="16"/>
        </w:rPr>
        <w:t>и договоренность о совместной работе между ними</w:t>
      </w:r>
    </w:p>
    <w:p w14:paraId="7D9E76A7" w14:textId="77777777" w:rsidR="00AA33CA" w:rsidRPr="00507A31" w:rsidRDefault="00AA33CA" w:rsidP="00507A31">
      <w:pPr>
        <w:jc w:val="both"/>
        <w:rPr>
          <w:color w:val="000000" w:themeColor="text1"/>
          <w:sz w:val="16"/>
          <w:szCs w:val="16"/>
        </w:rPr>
      </w:pPr>
      <w:r w:rsidRPr="00507A31">
        <w:rPr>
          <w:color w:val="000000" w:themeColor="text1"/>
          <w:sz w:val="16"/>
          <w:szCs w:val="16"/>
        </w:rPr>
        <w:t>В октябре 1928 г. два члена ЦК «Промпартии» Рамзин и Ларичев вошли в связь с П. П. Рябушинским и устроили совместное совещание с руководящим центром «Торгпрома».</w:t>
      </w:r>
    </w:p>
    <w:p w14:paraId="433AE1E0" w14:textId="77777777" w:rsidR="00AA33CA" w:rsidRPr="00507A31" w:rsidRDefault="00AA33CA" w:rsidP="00507A31">
      <w:pPr>
        <w:jc w:val="both"/>
        <w:rPr>
          <w:color w:val="000000" w:themeColor="text1"/>
          <w:sz w:val="16"/>
          <w:szCs w:val="16"/>
        </w:rPr>
      </w:pPr>
      <w:r w:rsidRPr="00507A31">
        <w:rPr>
          <w:color w:val="000000" w:themeColor="text1"/>
          <w:sz w:val="16"/>
          <w:szCs w:val="16"/>
        </w:rPr>
        <w:t>На этом совещании, имевшем место в Париже, участвовали:</w:t>
      </w:r>
    </w:p>
    <w:p w14:paraId="44F815EE" w14:textId="77777777" w:rsidR="00AA33CA" w:rsidRPr="00507A31" w:rsidRDefault="00AA33CA" w:rsidP="00507A31">
      <w:pPr>
        <w:jc w:val="both"/>
        <w:rPr>
          <w:color w:val="000000" w:themeColor="text1"/>
          <w:sz w:val="16"/>
          <w:szCs w:val="16"/>
        </w:rPr>
      </w:pPr>
      <w:r w:rsidRPr="00507A31">
        <w:rPr>
          <w:color w:val="000000" w:themeColor="text1"/>
          <w:sz w:val="16"/>
          <w:szCs w:val="16"/>
        </w:rPr>
        <w:t>«Председатель “Торгпрома” Денисов, П. П. Рябушинский, Нобель, Гукасов, Старинкевич, Мещерский, Ларичев и я — Рамзин...» (показания Рамзина от 21 сентября).</w:t>
      </w:r>
    </w:p>
    <w:p w14:paraId="7C6E3734" w14:textId="77777777" w:rsidR="00AA33CA" w:rsidRPr="00507A31" w:rsidRDefault="00AA33CA" w:rsidP="00507A31">
      <w:pPr>
        <w:jc w:val="both"/>
        <w:rPr>
          <w:color w:val="000000" w:themeColor="text1"/>
          <w:sz w:val="16"/>
          <w:szCs w:val="16"/>
        </w:rPr>
      </w:pPr>
      <w:r w:rsidRPr="00507A31">
        <w:rPr>
          <w:color w:val="000000" w:themeColor="text1"/>
          <w:sz w:val="16"/>
          <w:szCs w:val="16"/>
        </w:rPr>
        <w:t>Далеко не раскрывая в этих своих показаниях всего содержания этого важного совещания, Рамзин говорит:</w:t>
      </w:r>
    </w:p>
    <w:p w14:paraId="2B48CDBD" w14:textId="77777777" w:rsidR="00AA33CA" w:rsidRPr="00507A31" w:rsidRDefault="00AA33CA" w:rsidP="00507A31">
      <w:pPr>
        <w:jc w:val="both"/>
        <w:rPr>
          <w:color w:val="000000" w:themeColor="text1"/>
          <w:sz w:val="16"/>
          <w:szCs w:val="16"/>
        </w:rPr>
      </w:pPr>
      <w:r w:rsidRPr="00507A31">
        <w:rPr>
          <w:color w:val="000000" w:themeColor="text1"/>
          <w:sz w:val="16"/>
          <w:szCs w:val="16"/>
        </w:rPr>
        <w:lastRenderedPageBreak/>
        <w:t>«...После сообщения моего и Ларичева об общем положении дела мы подробно останавливались на росте деятельности “Промпартии” и увеличении ею охвата инженерных масс, но отметили в то же время и значительное увеличение опасности работы ввиду ряда арестов членов “Промпартии”. Ларичев несколько остановился на положении нефтепромышленности. Представители “Торгпрома” в общем одобрили направление и темп работы “Промпартии” и указали, что теперь надо приложить главные усилия к сохранению руководящего ядра, по возможности ведя, однако, работу согласно прежним директивам и меняя тактику сообразно условиям момента. Вместе с тем члены “Торгпрома” сообщили о том, что им удалось уже добиться значительных успехов у французского и английского правительств, что общее руководство интервенцией возьмет, вероятно, Франция, а выполнение военных операций — Польша и Румыния с привлечением лимитрофов, что надо ориентироваться на интервенцию в 1930 г. и, в крайнем случае, в 1931 г.</w:t>
      </w:r>
    </w:p>
    <w:p w14:paraId="23098B47" w14:textId="77777777" w:rsidR="00AA33CA" w:rsidRPr="00507A31" w:rsidRDefault="00AA33CA" w:rsidP="00507A31">
      <w:pPr>
        <w:jc w:val="both"/>
        <w:rPr>
          <w:color w:val="000000" w:themeColor="text1"/>
          <w:sz w:val="16"/>
          <w:szCs w:val="16"/>
        </w:rPr>
      </w:pPr>
      <w:r w:rsidRPr="00507A31">
        <w:rPr>
          <w:color w:val="000000" w:themeColor="text1"/>
          <w:sz w:val="16"/>
          <w:szCs w:val="16"/>
        </w:rPr>
        <w:t>Далее были уточнены вопросы финансирования: намечены ежегодные суммы около одного миллиона в год с доставкой Ларичеву на квартиру, а в его отсутствие мне через...</w:t>
      </w:r>
    </w:p>
    <w:p w14:paraId="4030DE70" w14:textId="77777777" w:rsidR="00AA33CA" w:rsidRPr="00507A31" w:rsidRDefault="00AA33CA" w:rsidP="00507A31">
      <w:pPr>
        <w:jc w:val="both"/>
        <w:rPr>
          <w:color w:val="000000" w:themeColor="text1"/>
          <w:sz w:val="16"/>
          <w:szCs w:val="16"/>
        </w:rPr>
      </w:pPr>
      <w:r w:rsidRPr="00507A31">
        <w:rPr>
          <w:color w:val="000000" w:themeColor="text1"/>
          <w:sz w:val="16"/>
          <w:szCs w:val="16"/>
        </w:rPr>
        <w:t>Вечером состоялась встреча Ларичева и моя с членами “Торгпрома” в кабинете ресторана на Больших бульварах уже неофициального характера».</w:t>
      </w:r>
    </w:p>
    <w:p w14:paraId="2DD238A5" w14:textId="77777777" w:rsidR="00AA33CA" w:rsidRPr="00507A31" w:rsidRDefault="00AA33CA" w:rsidP="00507A31">
      <w:pPr>
        <w:jc w:val="both"/>
        <w:rPr>
          <w:color w:val="000000" w:themeColor="text1"/>
          <w:sz w:val="16"/>
          <w:szCs w:val="16"/>
        </w:rPr>
      </w:pPr>
      <w:r w:rsidRPr="00507A31">
        <w:rPr>
          <w:color w:val="000000" w:themeColor="text1"/>
          <w:sz w:val="16"/>
          <w:szCs w:val="16"/>
        </w:rPr>
        <w:t>Так окончательно оформился контакт обеих организаций, реально оформилось финансирование и в то же время окончательно определились те соединительные каналы, которые затем использовали вредители. Одновременно эти каналы явились впоследствии каналом и для другой работы по использованию заданий по подготовке интервенции.</w:t>
      </w:r>
    </w:p>
    <w:p w14:paraId="74D3D021" w14:textId="77777777" w:rsidR="00AA33CA" w:rsidRPr="00507A31" w:rsidRDefault="00AA33CA" w:rsidP="00507A31">
      <w:pPr>
        <w:jc w:val="both"/>
        <w:rPr>
          <w:color w:val="000000" w:themeColor="text1"/>
          <w:sz w:val="16"/>
          <w:szCs w:val="16"/>
        </w:rPr>
      </w:pPr>
      <w:r w:rsidRPr="00507A31">
        <w:rPr>
          <w:color w:val="000000" w:themeColor="text1"/>
          <w:sz w:val="16"/>
          <w:szCs w:val="16"/>
        </w:rPr>
        <w:t>Устанавливая конкретно индивидуальную роль каждого из обвиняемых в области получения денег, Рамзин показывает (от 21 сентября):</w:t>
      </w:r>
    </w:p>
    <w:p w14:paraId="7CE4790C" w14:textId="77777777" w:rsidR="00AA33CA" w:rsidRPr="00507A31" w:rsidRDefault="00AA33CA" w:rsidP="00507A31">
      <w:pPr>
        <w:jc w:val="both"/>
        <w:rPr>
          <w:color w:val="000000" w:themeColor="text1"/>
          <w:sz w:val="16"/>
          <w:szCs w:val="16"/>
        </w:rPr>
      </w:pPr>
      <w:r w:rsidRPr="00507A31">
        <w:rPr>
          <w:color w:val="000000" w:themeColor="text1"/>
          <w:sz w:val="16"/>
          <w:szCs w:val="16"/>
        </w:rPr>
        <w:t>«Приблизительное распределение денег за период конца 1928 г. до весны 1930 г. таково:</w:t>
      </w:r>
    </w:p>
    <w:p w14:paraId="6404B353" w14:textId="77777777" w:rsidR="00AA33CA" w:rsidRPr="00507A31" w:rsidRDefault="00AA33CA" w:rsidP="00507A31">
      <w:pPr>
        <w:jc w:val="both"/>
        <w:rPr>
          <w:color w:val="000000" w:themeColor="text1"/>
          <w:sz w:val="16"/>
          <w:szCs w:val="16"/>
        </w:rPr>
      </w:pPr>
      <w:r w:rsidRPr="00507A31">
        <w:rPr>
          <w:color w:val="000000" w:themeColor="text1"/>
          <w:sz w:val="16"/>
          <w:szCs w:val="16"/>
        </w:rPr>
        <w:t>Нефтяная промышл[енность] через Ларичева ......... около 100 т[ыс]. р.</w:t>
      </w:r>
    </w:p>
    <w:p w14:paraId="23605BA2" w14:textId="77777777" w:rsidR="00AA33CA" w:rsidRPr="00507A31" w:rsidRDefault="00AA33CA" w:rsidP="00507A31">
      <w:pPr>
        <w:jc w:val="both"/>
        <w:rPr>
          <w:color w:val="000000" w:themeColor="text1"/>
          <w:sz w:val="16"/>
          <w:szCs w:val="16"/>
        </w:rPr>
      </w:pPr>
      <w:r w:rsidRPr="00507A31">
        <w:rPr>
          <w:color w:val="000000" w:themeColor="text1"/>
          <w:sz w:val="16"/>
          <w:szCs w:val="16"/>
        </w:rPr>
        <w:t>Угольная “..................................................................................“ 150 “ “</w:t>
      </w:r>
    </w:p>
    <w:p w14:paraId="42A81F95" w14:textId="77777777" w:rsidR="00AA33CA" w:rsidRPr="00507A31" w:rsidRDefault="00AA33CA" w:rsidP="00507A31">
      <w:pPr>
        <w:jc w:val="both"/>
        <w:rPr>
          <w:color w:val="000000" w:themeColor="text1"/>
          <w:sz w:val="16"/>
          <w:szCs w:val="16"/>
        </w:rPr>
      </w:pPr>
      <w:r w:rsidRPr="00507A31">
        <w:rPr>
          <w:color w:val="000000" w:themeColor="text1"/>
          <w:sz w:val="16"/>
          <w:szCs w:val="16"/>
        </w:rPr>
        <w:t>Торфяная “.................................................................................“ 50 “ “</w:t>
      </w:r>
    </w:p>
    <w:p w14:paraId="46D066C7" w14:textId="77777777" w:rsidR="00AA33CA" w:rsidRPr="00507A31" w:rsidRDefault="00AA33CA" w:rsidP="00507A31">
      <w:pPr>
        <w:jc w:val="both"/>
        <w:rPr>
          <w:color w:val="000000" w:themeColor="text1"/>
          <w:sz w:val="16"/>
          <w:szCs w:val="16"/>
        </w:rPr>
      </w:pPr>
      <w:r w:rsidRPr="00507A31">
        <w:rPr>
          <w:color w:val="000000" w:themeColor="text1"/>
          <w:sz w:val="16"/>
          <w:szCs w:val="16"/>
        </w:rPr>
        <w:t>Лесная “.......................................................................................“ 50 “ “</w:t>
      </w:r>
    </w:p>
    <w:p w14:paraId="4403BD5B" w14:textId="77777777" w:rsidR="00AA33CA" w:rsidRPr="00507A31" w:rsidRDefault="00AA33CA" w:rsidP="00507A31">
      <w:pPr>
        <w:jc w:val="both"/>
        <w:rPr>
          <w:color w:val="000000" w:themeColor="text1"/>
          <w:sz w:val="16"/>
          <w:szCs w:val="16"/>
        </w:rPr>
      </w:pPr>
      <w:r w:rsidRPr="00507A31">
        <w:rPr>
          <w:color w:val="000000" w:themeColor="text1"/>
          <w:sz w:val="16"/>
          <w:szCs w:val="16"/>
        </w:rPr>
        <w:t>Металлическая “ Гартвана и Чарновского ...............................“ 300 “ “</w:t>
      </w:r>
    </w:p>
    <w:p w14:paraId="5E841676" w14:textId="77777777" w:rsidR="00AA33CA" w:rsidRPr="00507A31" w:rsidRDefault="00AA33CA" w:rsidP="00507A31">
      <w:pPr>
        <w:jc w:val="both"/>
        <w:rPr>
          <w:color w:val="000000" w:themeColor="text1"/>
          <w:sz w:val="16"/>
          <w:szCs w:val="16"/>
        </w:rPr>
      </w:pPr>
      <w:r w:rsidRPr="00507A31">
        <w:rPr>
          <w:color w:val="000000" w:themeColor="text1"/>
          <w:sz w:val="16"/>
          <w:szCs w:val="16"/>
        </w:rPr>
        <w:t>Текстильная “ Федотова и Куприянова ....................................“ 200 “ “</w:t>
      </w:r>
    </w:p>
    <w:p w14:paraId="0C5E94DF" w14:textId="77777777" w:rsidR="00AA33CA" w:rsidRPr="00507A31" w:rsidRDefault="00AA33CA" w:rsidP="00507A31">
      <w:pPr>
        <w:jc w:val="both"/>
        <w:rPr>
          <w:color w:val="000000" w:themeColor="text1"/>
          <w:sz w:val="16"/>
          <w:szCs w:val="16"/>
        </w:rPr>
      </w:pPr>
      <w:r w:rsidRPr="00507A31">
        <w:rPr>
          <w:color w:val="000000" w:themeColor="text1"/>
          <w:sz w:val="16"/>
          <w:szCs w:val="16"/>
        </w:rPr>
        <w:t>Разные отрасли</w:t>
      </w:r>
    </w:p>
    <w:p w14:paraId="2381E6FC" w14:textId="77777777" w:rsidR="00AA33CA" w:rsidRPr="00507A31" w:rsidRDefault="00AA33CA" w:rsidP="00507A31">
      <w:pPr>
        <w:jc w:val="both"/>
        <w:rPr>
          <w:color w:val="000000" w:themeColor="text1"/>
          <w:sz w:val="16"/>
          <w:szCs w:val="16"/>
        </w:rPr>
      </w:pPr>
      <w:r w:rsidRPr="00507A31">
        <w:rPr>
          <w:color w:val="000000" w:themeColor="text1"/>
          <w:sz w:val="16"/>
          <w:szCs w:val="16"/>
        </w:rPr>
        <w:t>промышленности] “ Калинникова .............................................“ 300 “ “</w:t>
      </w:r>
    </w:p>
    <w:p w14:paraId="49871F52" w14:textId="77777777" w:rsidR="00AA33CA" w:rsidRPr="00507A31" w:rsidRDefault="00AA33CA" w:rsidP="00507A31">
      <w:pPr>
        <w:jc w:val="both"/>
        <w:rPr>
          <w:color w:val="000000" w:themeColor="text1"/>
          <w:sz w:val="16"/>
          <w:szCs w:val="16"/>
        </w:rPr>
      </w:pPr>
      <w:r w:rsidRPr="00507A31">
        <w:rPr>
          <w:color w:val="000000" w:themeColor="text1"/>
          <w:sz w:val="16"/>
          <w:szCs w:val="16"/>
        </w:rPr>
        <w:t>Н. К.П. С. “ Ларичева .................................................................“ 300 “ “</w:t>
      </w:r>
    </w:p>
    <w:p w14:paraId="5FC97B75" w14:textId="77777777" w:rsidR="00AA33CA" w:rsidRPr="00507A31" w:rsidRDefault="00AA33CA" w:rsidP="00507A31">
      <w:pPr>
        <w:jc w:val="both"/>
        <w:rPr>
          <w:color w:val="000000" w:themeColor="text1"/>
          <w:sz w:val="16"/>
          <w:szCs w:val="16"/>
        </w:rPr>
      </w:pPr>
      <w:r w:rsidRPr="00507A31">
        <w:rPr>
          <w:color w:val="000000" w:themeColor="text1"/>
          <w:sz w:val="16"/>
          <w:szCs w:val="16"/>
        </w:rPr>
        <w:t>Энергетика “ Вашкова и Каменецкого ......................................“ 100 “ “</w:t>
      </w:r>
    </w:p>
    <w:p w14:paraId="4F921C35" w14:textId="77777777" w:rsidR="00AA33CA" w:rsidRPr="00507A31" w:rsidRDefault="00AA33CA" w:rsidP="00507A31">
      <w:pPr>
        <w:jc w:val="both"/>
        <w:rPr>
          <w:color w:val="000000" w:themeColor="text1"/>
          <w:sz w:val="16"/>
          <w:szCs w:val="16"/>
        </w:rPr>
      </w:pPr>
      <w:r w:rsidRPr="00507A31">
        <w:rPr>
          <w:color w:val="000000" w:themeColor="text1"/>
          <w:sz w:val="16"/>
          <w:szCs w:val="16"/>
        </w:rPr>
        <w:t>Эконом, группа “ Ларичева и Калинникова ..............................“ 50 “ “</w:t>
      </w:r>
    </w:p>
    <w:p w14:paraId="3350FBE4" w14:textId="77777777" w:rsidR="00AA33CA" w:rsidRPr="00507A31" w:rsidRDefault="00AA33CA" w:rsidP="00507A31">
      <w:pPr>
        <w:jc w:val="both"/>
        <w:rPr>
          <w:color w:val="000000" w:themeColor="text1"/>
          <w:sz w:val="16"/>
          <w:szCs w:val="16"/>
        </w:rPr>
      </w:pPr>
      <w:r w:rsidRPr="00507A31">
        <w:rPr>
          <w:color w:val="000000" w:themeColor="text1"/>
          <w:sz w:val="16"/>
          <w:szCs w:val="16"/>
        </w:rPr>
        <w:t>Всего  ..........................................................................................1.600 т[ыс]. р.[»]</w:t>
      </w:r>
    </w:p>
    <w:p w14:paraId="44DC1D1D" w14:textId="77777777" w:rsidR="00AA33CA" w:rsidRPr="00507A31" w:rsidRDefault="00AA33CA" w:rsidP="00507A31">
      <w:pPr>
        <w:jc w:val="both"/>
        <w:rPr>
          <w:color w:val="000000" w:themeColor="text1"/>
          <w:sz w:val="16"/>
          <w:szCs w:val="16"/>
        </w:rPr>
      </w:pPr>
      <w:r w:rsidRPr="00507A31">
        <w:rPr>
          <w:color w:val="000000" w:themeColor="text1"/>
          <w:sz w:val="16"/>
          <w:szCs w:val="16"/>
        </w:rPr>
        <w:t>О договоренности как по общеполитическим установкам, так и о методах дальнейшей деятельности, о новом порядке получения финансовых средств Рамзин и Ларичев немедленно поставили в известность своих соратников в Москве.</w:t>
      </w:r>
    </w:p>
    <w:p w14:paraId="4B55BFB8" w14:textId="77777777" w:rsidR="00AA33CA" w:rsidRPr="00507A31" w:rsidRDefault="00AA33CA" w:rsidP="00507A31">
      <w:pPr>
        <w:jc w:val="both"/>
        <w:rPr>
          <w:color w:val="000000" w:themeColor="text1"/>
          <w:sz w:val="16"/>
          <w:szCs w:val="16"/>
        </w:rPr>
      </w:pPr>
      <w:r w:rsidRPr="00507A31">
        <w:rPr>
          <w:color w:val="000000" w:themeColor="text1"/>
          <w:sz w:val="16"/>
          <w:szCs w:val="16"/>
        </w:rPr>
        <w:t>В показаниях от 16 октября 1930 г. Рамзин более детализирует свое сообщение об этом заседании в Париже, точно датируя его между 5-10 октября 1928 г. Перечисляя тех же лиц, Денисова, Нобеля, Гукасова, Мещерского, Старинкевича и Рябушинского и добавляя Коновалова, — Рамзин показывает, что разговор носил гораздо более конкретный характер, чем это было ясно из его первого сообщения.</w:t>
      </w:r>
    </w:p>
    <w:p w14:paraId="33A8DC0C" w14:textId="77777777" w:rsidR="00AA33CA" w:rsidRPr="00507A31" w:rsidRDefault="00AA33CA" w:rsidP="00507A31">
      <w:pPr>
        <w:jc w:val="both"/>
        <w:rPr>
          <w:color w:val="000000" w:themeColor="text1"/>
          <w:sz w:val="16"/>
          <w:szCs w:val="16"/>
        </w:rPr>
      </w:pPr>
      <w:r w:rsidRPr="00507A31">
        <w:rPr>
          <w:color w:val="000000" w:themeColor="text1"/>
          <w:sz w:val="16"/>
          <w:szCs w:val="16"/>
        </w:rPr>
        <w:t>По вопросу об интервенции Рамзин говорит:</w:t>
      </w:r>
    </w:p>
    <w:p w14:paraId="700E88E8" w14:textId="77777777" w:rsidR="00AA33CA" w:rsidRPr="00507A31" w:rsidRDefault="00AA33CA" w:rsidP="00507A31">
      <w:pPr>
        <w:jc w:val="both"/>
        <w:rPr>
          <w:color w:val="000000" w:themeColor="text1"/>
          <w:sz w:val="16"/>
          <w:szCs w:val="16"/>
        </w:rPr>
      </w:pPr>
      <w:r w:rsidRPr="00507A31">
        <w:rPr>
          <w:color w:val="000000" w:themeColor="text1"/>
          <w:sz w:val="16"/>
          <w:szCs w:val="16"/>
        </w:rPr>
        <w:t>«...На этом заседании Денисов сообщил, что всю работу по подготовке интервенции необходимо разделить на две части: подготовку за границей и подготовку внутри СССР, что первую работу, а именно, дипломатические переговоры с правительствами, финансирование интервенции и организацию ее военной части берет на себя “Торгпром”, наоборот, на обязанности “Промпартии” ложится вся внутренняя подготовка интервенции внутри страны путем создания и углубления экономических кризисов и помощи интервентам изнутри; что “Торгпром” уже имеет поддержку Франции и Англии в этом вопросе; что основное руководство интервенцией берет на себя Франция, которая рассчитывает выдвинуть военные силы Польши и Румынии, а также лимитрофов, а Англия поддержит интервенцию своим флотом; что сроком интервенции по прежнему намечается лето 1930 г., как наиболее благоприятное для интервенции (с чем я и Ларичев согласились), и лишь в крайнем случае 1931 г.; что поэтому всю работу “Инженерного центра” надо вести с расчетом на разгар кризиса в 1930 г.»</w:t>
      </w:r>
    </w:p>
    <w:p w14:paraId="78A7103C" w14:textId="77777777" w:rsidR="00AA33CA" w:rsidRPr="00507A31" w:rsidRDefault="00AA33CA" w:rsidP="00507A31">
      <w:pPr>
        <w:jc w:val="both"/>
        <w:rPr>
          <w:color w:val="000000" w:themeColor="text1"/>
          <w:sz w:val="16"/>
          <w:szCs w:val="16"/>
        </w:rPr>
      </w:pPr>
      <w:r w:rsidRPr="00507A31">
        <w:rPr>
          <w:color w:val="000000" w:themeColor="text1"/>
          <w:sz w:val="16"/>
          <w:szCs w:val="16"/>
        </w:rPr>
        <w:t>По существу это было, таким образом, совещание о способах и сроках проведения военной интервенции в СССР. Совещание это продолжалось вечером в той якобы неофициальной встрече в ресторане на бульварах.</w:t>
      </w:r>
    </w:p>
    <w:p w14:paraId="3C26B3A0" w14:textId="77777777" w:rsidR="00AA33CA" w:rsidRPr="00507A31" w:rsidRDefault="00AA33CA" w:rsidP="00507A31">
      <w:pPr>
        <w:jc w:val="both"/>
        <w:rPr>
          <w:color w:val="000000" w:themeColor="text1"/>
          <w:sz w:val="16"/>
          <w:szCs w:val="16"/>
        </w:rPr>
      </w:pPr>
      <w:r w:rsidRPr="00507A31">
        <w:rPr>
          <w:color w:val="000000" w:themeColor="text1"/>
          <w:sz w:val="16"/>
          <w:szCs w:val="16"/>
        </w:rPr>
        <w:t>Тот же Рамзин заявляет:</w:t>
      </w:r>
    </w:p>
    <w:p w14:paraId="33C5D545" w14:textId="77777777" w:rsidR="00AA33CA" w:rsidRPr="00507A31" w:rsidRDefault="00AA33CA" w:rsidP="00507A31">
      <w:pPr>
        <w:jc w:val="both"/>
        <w:rPr>
          <w:color w:val="000000" w:themeColor="text1"/>
          <w:sz w:val="16"/>
          <w:szCs w:val="16"/>
        </w:rPr>
      </w:pPr>
      <w:r w:rsidRPr="00507A31">
        <w:rPr>
          <w:color w:val="000000" w:themeColor="text1"/>
          <w:sz w:val="16"/>
          <w:szCs w:val="16"/>
        </w:rPr>
        <w:t>«...При следующей встрече (моей и Ларичева) в тот же день вечером в кабинете ресторана в районе Больших бульваров были Денисов, Нобель, Гукасов, Мещерский, Третьяков и Каштанов. Я разговаривал, главным образом, с Денисовым. Денисов говорил, что у них имеется полная уверенность в успехе интервенции, ибо на этот раз интервенция будет поставлена солидно как с военной стороны, так и со стороны снабжения, и прежние ошибки теперь не повторятся. Кажется, Третьяков сказал, что при использовании войск Польши, Румынии, прибалтийских стран и врангелевской армии — около 100 тыс. человек — интервенция будет располагать прекрасно оборудованной армией, что, по мнению многих бывших промышленников, при морской поддержке на юге и на севере можно рассчитывать на успех даже с небольшой армией в 600-800 тыс. человек; что здесь считают наиболее успешным комбинированный двойной удар на Москву и Ленинград. На мой вопрос относительно финансирования интервенции Денисов не дал четкого ответа, сказав, что этот вопрос пока, конечно, не вполне ясен; я понял из слов Денисова и Нобеля, что средства для интервенции даются нефтяными промышленными кругами и, в частности, Детердингом, правительствами Франции и Англии, а частью — бывш. русскими промышленниками...»</w:t>
      </w:r>
    </w:p>
    <w:p w14:paraId="4793913B" w14:textId="77777777" w:rsidR="00AA33CA" w:rsidRPr="00507A31" w:rsidRDefault="00AA33CA" w:rsidP="00507A31">
      <w:pPr>
        <w:jc w:val="both"/>
        <w:rPr>
          <w:color w:val="000000" w:themeColor="text1"/>
          <w:sz w:val="16"/>
          <w:szCs w:val="16"/>
        </w:rPr>
      </w:pPr>
      <w:r w:rsidRPr="00507A31">
        <w:rPr>
          <w:color w:val="000000" w:themeColor="text1"/>
          <w:sz w:val="16"/>
          <w:szCs w:val="16"/>
        </w:rPr>
        <w:t>Несколько иначе, более останавливаясь на вредительстве, а не на интервенции, но в основном подтверждая полностью сообщения Рамзина, Ларичев показывает:</w:t>
      </w:r>
    </w:p>
    <w:p w14:paraId="0337641F" w14:textId="77777777" w:rsidR="00AA33CA" w:rsidRPr="00507A31" w:rsidRDefault="00AA33CA" w:rsidP="00507A31">
      <w:pPr>
        <w:jc w:val="both"/>
        <w:rPr>
          <w:color w:val="000000" w:themeColor="text1"/>
          <w:sz w:val="16"/>
          <w:szCs w:val="16"/>
        </w:rPr>
      </w:pPr>
      <w:r w:rsidRPr="00507A31">
        <w:rPr>
          <w:color w:val="000000" w:themeColor="text1"/>
          <w:sz w:val="16"/>
          <w:szCs w:val="16"/>
        </w:rPr>
        <w:t>«...В сентябре-октябре 1928 г. Рамзин и я были командированы на мировую энергетическую конференцию в Лондоне. Этой командировкой мы воспользовались, чтобы на обратном пути побывать в Париже и переговорить с нашей руководящей организацией — “Торгпромом”. По приезде в Париж, 8 октября 1928 г., после телефонных переговоров Рамзина, председатель объединения бывш. собственников в “Торгпроме” Денисов пригласил нас приехать к нему для переговоров. По приезде к нему у него в кабинете состоялось совещание, на котором, кроме Денисова, присутствовали: Рябушинский, Нобель, Гукасов, Старинкевич. Рамзин сделал доклад о работе нашей организации и об общих мероприятиях вредительской деятельности, проводившейся в Союзе, и дал оценку, насколько они соответствуют директивам “Торгпрома” и задачам подготовки к интервенции. Особенно много внимания уделялось событиям, нарушившим деятельность “Промышленной партии”, — раскрытию вредительской деятельности в Донбассе и шахтинскому процессу, а также провалу транспортной вредительской организации. Эти вопросы сильно интересовали представителей “Торгпрома” (Денисова, Рябушинского и др.), так как осложняли дальнейшую нашу работу и цельность проводимых мероприятий по подготовке общего кризиса в стране. Денисовым был сделан упор на то, чтобы теперь обратить внимание на металлопромышленность, добиваясь здесь резких диспропорций и ослабляя эффект производимых капиталовложений. Нобелем и Гукасовым мне был задан ряд вопросов о положении нефтяной промышленности, о прочности нефтяной вредительской организации, а также о проведении вредительских мероприятий по задержке нового строительства и сокращению экспорта. Они указали, что общие директивы в отношении работы нефтяной промышленности ими даны Стрижову при его пребывании в Париже. В отношении общего положения “Торгпрома” в нашей организации Денисов нам указал, что несмотря на провал отдельных вредительских организаций работу нашу необходимо во что бы то ни стало продолжать и сохранить организацию “Промышленной партии”. Денисов особенно подчеркивает, что “Торгпром” имеет определенную и твердую поддержку со стороны французского и английского правительств и что вопрос об интервенции, хотя и отложенный с 1928 г. в силу ряда соображений на 1930 г., ни в коем случае не снимается, а, наоборот, к интервенции идет деятельная подготовка за границей, и, следовательно, особенно важной является работа “Промышленной партии” внутри Союза...» (показания от 16 октября).</w:t>
      </w:r>
    </w:p>
    <w:p w14:paraId="7F08AB03" w14:textId="77777777" w:rsidR="00AA33CA" w:rsidRPr="00507A31" w:rsidRDefault="00AA33CA" w:rsidP="00507A31">
      <w:pPr>
        <w:jc w:val="both"/>
        <w:rPr>
          <w:color w:val="000000" w:themeColor="text1"/>
          <w:sz w:val="16"/>
          <w:szCs w:val="16"/>
        </w:rPr>
      </w:pPr>
      <w:r w:rsidRPr="00507A31">
        <w:rPr>
          <w:color w:val="000000" w:themeColor="text1"/>
          <w:sz w:val="16"/>
          <w:szCs w:val="16"/>
        </w:rPr>
        <w:t>Свиданию в октябре 1928 г. необходимо придать решающее значение с точки зрения:</w:t>
      </w:r>
    </w:p>
    <w:p w14:paraId="0A958350" w14:textId="77777777" w:rsidR="00AA33CA" w:rsidRPr="00507A31" w:rsidRDefault="00AA33CA" w:rsidP="00507A31">
      <w:pPr>
        <w:jc w:val="both"/>
        <w:rPr>
          <w:color w:val="000000" w:themeColor="text1"/>
          <w:sz w:val="16"/>
          <w:szCs w:val="16"/>
        </w:rPr>
      </w:pPr>
      <w:r w:rsidRPr="00507A31">
        <w:rPr>
          <w:color w:val="000000" w:themeColor="text1"/>
          <w:sz w:val="16"/>
          <w:szCs w:val="16"/>
        </w:rPr>
        <w:t>окончательного определения и согласования основных линий в работе вредительских организаций и «Торгпрома» единым фронтом по всем отраслям промышленности, в то время когда до сих пор связи с «Торгпромом» носили параллельный характер отдельно по отраслям промышленности;</w:t>
      </w:r>
    </w:p>
    <w:p w14:paraId="24DB49CA" w14:textId="77777777" w:rsidR="00AA33CA" w:rsidRPr="00507A31" w:rsidRDefault="00AA33CA" w:rsidP="00507A31">
      <w:pPr>
        <w:jc w:val="both"/>
        <w:rPr>
          <w:color w:val="000000" w:themeColor="text1"/>
          <w:sz w:val="16"/>
          <w:szCs w:val="16"/>
        </w:rPr>
      </w:pPr>
      <w:r w:rsidRPr="00507A31">
        <w:rPr>
          <w:color w:val="000000" w:themeColor="text1"/>
          <w:sz w:val="16"/>
          <w:szCs w:val="16"/>
        </w:rPr>
        <w:t>установления совершенно точно на будущее время форм этой связи и внутреннего распределения ролей по подготовке интервенции; наряду с этим определились окончательно порядок и средства финансирования, что также до сих пор носило разрозненный характер, и</w:t>
      </w:r>
    </w:p>
    <w:p w14:paraId="0BAA86EE" w14:textId="77777777" w:rsidR="00AA33CA" w:rsidRPr="00507A31" w:rsidRDefault="00AA33CA" w:rsidP="00507A31">
      <w:pPr>
        <w:jc w:val="both"/>
        <w:rPr>
          <w:color w:val="000000" w:themeColor="text1"/>
          <w:sz w:val="16"/>
          <w:szCs w:val="16"/>
        </w:rPr>
      </w:pPr>
      <w:r w:rsidRPr="00507A31">
        <w:rPr>
          <w:color w:val="000000" w:themeColor="text1"/>
          <w:sz w:val="16"/>
          <w:szCs w:val="16"/>
        </w:rPr>
        <w:t>окончательно определилась основная установка на интервенцию и согласование всей вредительской работы с упором на эту последнюю.</w:t>
      </w:r>
    </w:p>
    <w:p w14:paraId="280702F2" w14:textId="77777777" w:rsidR="00AA33CA" w:rsidRPr="00507A31" w:rsidRDefault="00AA33CA" w:rsidP="00507A31">
      <w:pPr>
        <w:jc w:val="both"/>
        <w:rPr>
          <w:color w:val="000000" w:themeColor="text1"/>
          <w:sz w:val="16"/>
          <w:szCs w:val="16"/>
        </w:rPr>
      </w:pPr>
      <w:r w:rsidRPr="00507A31">
        <w:rPr>
          <w:color w:val="000000" w:themeColor="text1"/>
          <w:sz w:val="16"/>
          <w:szCs w:val="16"/>
        </w:rPr>
        <w:t>Хотя до октября 1928 г. «Торгпром» информировал «Инженерный центр» через отдельные связи — Хренникова, Федотова, Пальчинского, Рамзина и Коновалова о своих замыслах и планах в отношении интервенции и, наоборот, «Инженерный центр сообщал» через те же связи «Торгпрому» о проводимой им вредительской работе, причем, как будет ясно из дальнейшего, одновременно устанавливались связи членов «Инженерного центра» через тот же «Торгпром» и с представителями генеральных штабов Франции и Англии по подготовке интервенции, тем не менее эта работа получила централизованный и единый для всех отраслей промышленности характер только с октября 1928 г.</w:t>
      </w:r>
    </w:p>
    <w:p w14:paraId="3008D761" w14:textId="77777777" w:rsidR="00AA33CA" w:rsidRPr="00507A31" w:rsidRDefault="00AA33CA" w:rsidP="00507A31">
      <w:pPr>
        <w:jc w:val="both"/>
        <w:rPr>
          <w:color w:val="000000" w:themeColor="text1"/>
          <w:sz w:val="16"/>
          <w:szCs w:val="16"/>
        </w:rPr>
      </w:pPr>
      <w:r w:rsidRPr="00507A31">
        <w:rPr>
          <w:color w:val="000000" w:themeColor="text1"/>
          <w:sz w:val="16"/>
          <w:szCs w:val="16"/>
        </w:rPr>
        <w:t>Об этих первоначальных отдельных связях показывает, например, Ларичев (16 октября 1930 г.):</w:t>
      </w:r>
    </w:p>
    <w:p w14:paraId="5E3B796E" w14:textId="77777777" w:rsidR="00AA33CA" w:rsidRPr="00507A31" w:rsidRDefault="00AA33CA" w:rsidP="00507A31">
      <w:pPr>
        <w:jc w:val="both"/>
        <w:rPr>
          <w:color w:val="000000" w:themeColor="text1"/>
          <w:sz w:val="16"/>
          <w:szCs w:val="16"/>
        </w:rPr>
      </w:pPr>
      <w:r w:rsidRPr="00507A31">
        <w:rPr>
          <w:color w:val="000000" w:themeColor="text1"/>
          <w:sz w:val="16"/>
          <w:szCs w:val="16"/>
        </w:rPr>
        <w:t xml:space="preserve">«...В конце 1927 г. во время пребывания в Париже проф. Рамзина, одного из деятельных членов “Инженерно-технического центра” и позднее председателя ЦК “Промпартии”, — им были получены более определенные указания от “Торгпрома” и французского военного штаба о необходимости форсирования мероприятий, проводимых вредительскими организациями по подготовке к интервенции, общая схема проведения интервенции и возможные сроки ее осуществления, причем </w:t>
      </w:r>
      <w:r w:rsidRPr="00507A31">
        <w:rPr>
          <w:color w:val="000000" w:themeColor="text1"/>
          <w:sz w:val="16"/>
          <w:szCs w:val="16"/>
        </w:rPr>
        <w:lastRenderedPageBreak/>
        <w:t>первоначально этот срок намечался в 1928 г. Одновременно с этим проф. Рамзиным была установлена связь с ... в Москве для ведения переговоров и сношений с заграничными кругами».</w:t>
      </w:r>
    </w:p>
    <w:p w14:paraId="2AAE5EF5" w14:textId="77777777" w:rsidR="00AA33CA" w:rsidRPr="00507A31" w:rsidRDefault="00AA33CA" w:rsidP="00507A31">
      <w:pPr>
        <w:jc w:val="both"/>
        <w:rPr>
          <w:color w:val="000000" w:themeColor="text1"/>
          <w:sz w:val="16"/>
          <w:szCs w:val="16"/>
        </w:rPr>
      </w:pPr>
      <w:r w:rsidRPr="00507A31">
        <w:rPr>
          <w:color w:val="000000" w:themeColor="text1"/>
          <w:sz w:val="16"/>
          <w:szCs w:val="16"/>
        </w:rPr>
        <w:t>К числу такого же рода связей надлежит отнести имевшее место за несколько дней до заседания в Париже свидание Рамзина и Ларичева в Лондоне на квартире инж. А. А. Симона — директора фирмы «Виккерс» — с ним и с неким эсером Филипп (руководитель фирмы «Виккерс») и свидание Ларичева и Рамзина с английским полковником Лоуренсом:</w:t>
      </w:r>
    </w:p>
    <w:p w14:paraId="7E7DA95A" w14:textId="77777777" w:rsidR="00AA33CA" w:rsidRPr="00507A31" w:rsidRDefault="00AA33CA" w:rsidP="00507A31">
      <w:pPr>
        <w:jc w:val="both"/>
        <w:rPr>
          <w:color w:val="000000" w:themeColor="text1"/>
          <w:sz w:val="16"/>
          <w:szCs w:val="16"/>
        </w:rPr>
      </w:pPr>
      <w:r w:rsidRPr="00507A31">
        <w:rPr>
          <w:color w:val="000000" w:themeColor="text1"/>
          <w:sz w:val="16"/>
          <w:szCs w:val="16"/>
        </w:rPr>
        <w:t>«...Инж. А. А. Симон и сэр Филипп сообщили, что центром подготовки интервенции является в данное время Франция, предполагающая действовать военными силами Польши, Румынии и лимитрофов, что Англия тоже принимает участие в этой подготовке совместно с Францией, помогая деньгами, снаряжением и пр.; что Англия предполагает также оказать и военную поддержку интервенции своим флотом на Черном море...» (показания Рамзина от 16 октября 1930 г.).</w:t>
      </w:r>
    </w:p>
    <w:p w14:paraId="35D6E56C" w14:textId="77777777" w:rsidR="00AA33CA" w:rsidRPr="00507A31" w:rsidRDefault="00AA33CA" w:rsidP="00507A31">
      <w:pPr>
        <w:jc w:val="both"/>
        <w:rPr>
          <w:color w:val="000000" w:themeColor="text1"/>
          <w:sz w:val="16"/>
          <w:szCs w:val="16"/>
        </w:rPr>
      </w:pPr>
      <w:r w:rsidRPr="00507A31">
        <w:rPr>
          <w:color w:val="000000" w:themeColor="text1"/>
          <w:sz w:val="16"/>
          <w:szCs w:val="16"/>
        </w:rPr>
        <w:t>Ларичев соответственно говорит в своем показании от 16 октября 1930 г.:</w:t>
      </w:r>
    </w:p>
    <w:p w14:paraId="102C204D" w14:textId="77777777" w:rsidR="00AA33CA" w:rsidRPr="00507A31" w:rsidRDefault="00AA33CA" w:rsidP="00507A31">
      <w:pPr>
        <w:jc w:val="both"/>
        <w:rPr>
          <w:color w:val="000000" w:themeColor="text1"/>
          <w:sz w:val="16"/>
          <w:szCs w:val="16"/>
        </w:rPr>
      </w:pPr>
      <w:r w:rsidRPr="00507A31">
        <w:rPr>
          <w:color w:val="000000" w:themeColor="text1"/>
          <w:sz w:val="16"/>
          <w:szCs w:val="16"/>
        </w:rPr>
        <w:t>«...Во время нашего пребывания в Лондоне, т. е. в сентябре 1928 г., Рамзиным была организована встреча в отеле “Савой” с известным полковником Лоуренсом. При этом свидании был и я. Разговор шел вокруг общего отношения английских военных кругов к интервенции. Эту идею полковник Лоуренс всячески поддерживал и уверял, что английские военные круги также относятся вполне положительно к общему участию в интервенции против СССР и что ими разрабатываются определенные мероприятия и, кроме того, принимаются серьезные шаги для парализации ведущейся со стороны СССР пропаганды и влияния на Востоке и в Китае. Деталей этой работы он не сообщал».</w:t>
      </w:r>
    </w:p>
    <w:p w14:paraId="07DFE911" w14:textId="77777777" w:rsidR="00AA33CA" w:rsidRPr="00507A31" w:rsidRDefault="00AA33CA" w:rsidP="00507A31">
      <w:pPr>
        <w:jc w:val="both"/>
        <w:rPr>
          <w:color w:val="000000" w:themeColor="text1"/>
          <w:sz w:val="16"/>
          <w:szCs w:val="16"/>
        </w:rPr>
      </w:pPr>
      <w:r w:rsidRPr="00507A31">
        <w:rPr>
          <w:color w:val="000000" w:themeColor="text1"/>
          <w:sz w:val="16"/>
          <w:szCs w:val="16"/>
        </w:rPr>
        <w:t>На упомянутом выше заседании в Париже в октябре 1928 г. был подведен итог всем этим до сих пор отдельным сношениям членов ЦК «Промпартии» по своей линии с деятелями «Торгпрома» и генеральных военных штабов Франции и Англии и установлен на будущее время единый центр.</w:t>
      </w:r>
    </w:p>
    <w:p w14:paraId="33FCE268" w14:textId="77777777" w:rsidR="00AA33CA" w:rsidRPr="00507A31" w:rsidRDefault="00AA33CA" w:rsidP="00507A31">
      <w:pPr>
        <w:jc w:val="both"/>
        <w:rPr>
          <w:color w:val="000000" w:themeColor="text1"/>
          <w:sz w:val="16"/>
          <w:szCs w:val="16"/>
        </w:rPr>
      </w:pPr>
      <w:r w:rsidRPr="00507A31">
        <w:rPr>
          <w:color w:val="000000" w:themeColor="text1"/>
          <w:sz w:val="16"/>
          <w:szCs w:val="16"/>
        </w:rPr>
        <w:t>В то же время октябрь 1928 г. явился моментом, когда «Торгпром» окончательно утвердился в убеждении о необходимости форсировать интервенцию в возможно короткий срок. В этом отношении чрезвычайно интересно следующее показание Калинникова.</w:t>
      </w:r>
    </w:p>
    <w:p w14:paraId="07867039" w14:textId="77777777" w:rsidR="00AA33CA" w:rsidRPr="00507A31" w:rsidRDefault="00AA33CA" w:rsidP="00507A31">
      <w:pPr>
        <w:jc w:val="both"/>
        <w:rPr>
          <w:color w:val="000000" w:themeColor="text1"/>
          <w:sz w:val="16"/>
          <w:szCs w:val="16"/>
        </w:rPr>
      </w:pPr>
      <w:r w:rsidRPr="00507A31">
        <w:rPr>
          <w:color w:val="000000" w:themeColor="text1"/>
          <w:sz w:val="16"/>
          <w:szCs w:val="16"/>
        </w:rPr>
        <w:t>По показаниям последнего, еще в 1927 г. «Хренников и Федотов из командировок своих за границу в 1927 г. привезли в “Инженерный центр” сведения о том, что правительственные круги Франции и Англии считают нужным спешить с проведением интервенции; что же касается русских белоэмигрантских кругов во Франции, то у этой стороны, по-видимому, еще не созрело убеждение в своевременности спешить с проведением интервенции, так как русским эмигрантам “Торгпрома” не хотелось получить после интервенции еще недостаточно, по их мнению, восстановленные их прежние промышленные предприятия. Однако, по настояниям правительственных кругов Франции “Торгпром” согласился примерно к концу 1927 г. с необходимостью развернуть работы по подготовке интервенции; об этом “Инженерный центр” был осведомлен Хренниковым и Рамзиным... Сообщения Хренникова, Федотова и Рамзина были сделаны осенью 1927 г. на групповом собрании “Инженерного центра” в составе: Пальчинского, Рабиновича, Янушевского, Красовского, Хренникова, Федотова, Рамзина, Чарновского, Ларичева и меня — Калинникова» (показания от 16 сентября 1930 г.).</w:t>
      </w:r>
    </w:p>
    <w:p w14:paraId="4B8BF646" w14:textId="77777777" w:rsidR="00AA33CA" w:rsidRPr="00507A31" w:rsidRDefault="00AA33CA" w:rsidP="00507A31">
      <w:pPr>
        <w:jc w:val="both"/>
        <w:rPr>
          <w:color w:val="000000" w:themeColor="text1"/>
          <w:sz w:val="16"/>
          <w:szCs w:val="16"/>
        </w:rPr>
      </w:pPr>
      <w:r w:rsidRPr="00507A31">
        <w:rPr>
          <w:color w:val="000000" w:themeColor="text1"/>
          <w:sz w:val="16"/>
          <w:szCs w:val="16"/>
        </w:rPr>
        <w:t>Это показание Калинникова чрезвычайно важно еще в том отношении, что вскрывает исключительно активную инициативную роль правящих кругов Франции и Англии в форсировании интервенции и соответствующее для этой цели использование ими и «Торгпрома» и русских вредительских организаций в СССР. При этом, как это видно из показаний Рамзина, Ларичева и др„ руководящая роль в деле подготовки интервенции была взята на себя правящими кругами Франции. Последнее должно быть особо отмечено при анализе сообщений обвиняемых. Эта активная инициативная роль получает подтверждение и в ряде других фактов.</w:t>
      </w:r>
    </w:p>
    <w:p w14:paraId="5373C4C7" w14:textId="77777777" w:rsidR="00AA33CA" w:rsidRPr="00507A31" w:rsidRDefault="00AA33CA" w:rsidP="00507A31">
      <w:pPr>
        <w:jc w:val="both"/>
        <w:rPr>
          <w:color w:val="000000" w:themeColor="text1"/>
          <w:sz w:val="16"/>
          <w:szCs w:val="16"/>
        </w:rPr>
      </w:pPr>
      <w:r w:rsidRPr="00507A31">
        <w:rPr>
          <w:color w:val="000000" w:themeColor="text1"/>
          <w:sz w:val="16"/>
          <w:szCs w:val="16"/>
        </w:rPr>
        <w:t>Французское правительство и его роль по подготовке интервенции</w:t>
      </w:r>
    </w:p>
    <w:p w14:paraId="1B50EEF8" w14:textId="77777777" w:rsidR="00AA33CA" w:rsidRPr="00507A31" w:rsidRDefault="00AA33CA" w:rsidP="00507A31">
      <w:pPr>
        <w:jc w:val="both"/>
        <w:rPr>
          <w:color w:val="000000" w:themeColor="text1"/>
          <w:sz w:val="16"/>
          <w:szCs w:val="16"/>
        </w:rPr>
      </w:pPr>
      <w:r w:rsidRPr="00507A31">
        <w:rPr>
          <w:color w:val="000000" w:themeColor="text1"/>
          <w:sz w:val="16"/>
          <w:szCs w:val="16"/>
        </w:rPr>
        <w:t>Если «Торгпром», как объединение бывш. русских промышленников, ставил своей основной задачей возвращение принадлежавших им предприятий, французские правящие круги ставили себе более общую задачу — укрепление позиций мирового империализма через свержение советской власти путем военной интервенции. Советский Союз является бельмом на глазу буржуазии Франции. Она, как гегемон общеполитической реакции в Западной Европе, ставила своей задачей уничтожение Советского Союза путем военной интервенции, исходя из своих общеполитических интересов, совершенно независимо от такой же инициативы в среде «Торгпрома» и русских вредителей. И если «Торгпром» хотел в своих целях использовать вооруженную силу международной и, прежде всего французской, буржуазии, то эта последняя также стремилась использовать для своих целей как «Торгпром» так и, в особенности, разветвленную организацию вредителей внутри СССР.</w:t>
      </w:r>
    </w:p>
    <w:p w14:paraId="0AEC706C" w14:textId="77777777" w:rsidR="00AA33CA" w:rsidRPr="00507A31" w:rsidRDefault="00AA33CA" w:rsidP="00507A31">
      <w:pPr>
        <w:jc w:val="both"/>
        <w:rPr>
          <w:color w:val="000000" w:themeColor="text1"/>
          <w:sz w:val="16"/>
          <w:szCs w:val="16"/>
        </w:rPr>
      </w:pPr>
      <w:r w:rsidRPr="00507A31">
        <w:rPr>
          <w:color w:val="000000" w:themeColor="text1"/>
          <w:sz w:val="16"/>
          <w:szCs w:val="16"/>
        </w:rPr>
        <w:t>На этой почве в проведении своей самостоятельной политики французские правительственные круги пошли целиком навстречу «Торгпрому», а заграничные поездки обоих руководителей ЦК «Промпартии» — Рамзина и Ларичева — были использованы именно этими кругами через посредство «Торгпрома» полностью в своих собственных целях. Октябрьское совещание и в этом отношении сыграло свою определенную роль.</w:t>
      </w:r>
    </w:p>
    <w:p w14:paraId="2BA187EC" w14:textId="77777777" w:rsidR="00AA33CA" w:rsidRPr="00507A31" w:rsidRDefault="00AA33CA" w:rsidP="00507A31">
      <w:pPr>
        <w:jc w:val="both"/>
        <w:rPr>
          <w:color w:val="000000" w:themeColor="text1"/>
          <w:sz w:val="16"/>
          <w:szCs w:val="16"/>
        </w:rPr>
      </w:pPr>
      <w:r w:rsidRPr="00507A31">
        <w:rPr>
          <w:color w:val="000000" w:themeColor="text1"/>
          <w:sz w:val="16"/>
          <w:szCs w:val="16"/>
        </w:rPr>
        <w:t>Впрочем, и прямую заинтересованность правящих кругов Франции в скорейшем осуществлении интервенции — непосредственную заинтересованность в смысле империалистических захватов для эксплуатации богатств СССР со стороны иностранного капитала — достаточно ярко обрисовывает в своих показаниях Федотов 21 октября 1930 г.:</w:t>
      </w:r>
    </w:p>
    <w:p w14:paraId="6EE83469" w14:textId="77777777" w:rsidR="00AA33CA" w:rsidRPr="00507A31" w:rsidRDefault="00AA33CA" w:rsidP="00507A31">
      <w:pPr>
        <w:jc w:val="both"/>
        <w:rPr>
          <w:color w:val="000000" w:themeColor="text1"/>
          <w:sz w:val="16"/>
          <w:szCs w:val="16"/>
        </w:rPr>
      </w:pPr>
      <w:r w:rsidRPr="00507A31">
        <w:rPr>
          <w:color w:val="000000" w:themeColor="text1"/>
          <w:sz w:val="16"/>
          <w:szCs w:val="16"/>
        </w:rPr>
        <w:t>«...Чарновский сообщил мне, — показывает Федотов, — что от Рамзина поступило секретное сообщение, что ему во время пребывания в Париже пришлось от имени союза вредительских организаций согласиться на те уступки интервентам за счет России, которые сделал “Торгпром”, как то: часть Кавказа, главным образом, где нефтяные промыслы, уступить Англии, часть Правобережной Украины — Польше и Франции».</w:t>
      </w:r>
    </w:p>
    <w:p w14:paraId="5D2F8B84" w14:textId="77777777" w:rsidR="00AA33CA" w:rsidRPr="00507A31" w:rsidRDefault="00AA33CA" w:rsidP="00507A31">
      <w:pPr>
        <w:jc w:val="both"/>
        <w:rPr>
          <w:color w:val="000000" w:themeColor="text1"/>
          <w:sz w:val="16"/>
          <w:szCs w:val="16"/>
        </w:rPr>
      </w:pPr>
      <w:r w:rsidRPr="00507A31">
        <w:rPr>
          <w:color w:val="000000" w:themeColor="text1"/>
          <w:sz w:val="16"/>
          <w:szCs w:val="16"/>
        </w:rPr>
        <w:t>«Я указал Чарновскому, — продолжает Федотов, — что, наоборот, Карпов' от имени “Торгпрома” уверял нас, что интересы государства в случае интервенции не пострадают, и специально просил передать это инженерам текстильной группы, и что это сообщение Рамзина не отказываюсь передать в нашу вредительскую организацию, а прошу Чарновского лично сообщить Куприянову и Нольде».</w:t>
      </w:r>
    </w:p>
    <w:p w14:paraId="04082C09" w14:textId="77777777" w:rsidR="00AA33CA" w:rsidRPr="00507A31" w:rsidRDefault="00AA33CA" w:rsidP="00507A31">
      <w:pPr>
        <w:jc w:val="both"/>
        <w:rPr>
          <w:color w:val="000000" w:themeColor="text1"/>
          <w:sz w:val="16"/>
          <w:szCs w:val="16"/>
        </w:rPr>
      </w:pPr>
      <w:r w:rsidRPr="00507A31">
        <w:rPr>
          <w:color w:val="000000" w:themeColor="text1"/>
          <w:sz w:val="16"/>
          <w:szCs w:val="16"/>
        </w:rPr>
        <w:t>В другом своем показании, от 20 октября 1930 г., Федотов говорит, что Карпов, с которым он лично виделся в 1928 г. в Берлине, указал ему, что «и Франция, и Польша, по его словам, рассчитывают впоследствии на возможность эксплоатации внутренних богатств России: Франция — в виде разного рода концессий, Польша рассчитывает на сбыт в Россию своих товаров, но что ни в коем случае никто из членов “Торгпрома” не считает возможным предать интересы России как государства, превратить ее в колонию, и что, если такие опасения есть в отдельных кругах, их нужно успокоить».</w:t>
      </w:r>
    </w:p>
    <w:p w14:paraId="488E0A05" w14:textId="77777777" w:rsidR="00AA33CA" w:rsidRPr="00507A31" w:rsidRDefault="00AA33CA" w:rsidP="00507A31">
      <w:pPr>
        <w:jc w:val="both"/>
        <w:rPr>
          <w:color w:val="000000" w:themeColor="text1"/>
          <w:sz w:val="16"/>
          <w:szCs w:val="16"/>
        </w:rPr>
      </w:pPr>
      <w:r w:rsidRPr="00507A31">
        <w:rPr>
          <w:color w:val="000000" w:themeColor="text1"/>
          <w:sz w:val="16"/>
          <w:szCs w:val="16"/>
        </w:rPr>
        <w:t>В последних своих показаниях от 31 октября 1930 г. Федотов говорит еще более точно:</w:t>
      </w:r>
    </w:p>
    <w:p w14:paraId="0C2336DD" w14:textId="77777777" w:rsidR="00AA33CA" w:rsidRPr="00507A31" w:rsidRDefault="00AA33CA" w:rsidP="00507A31">
      <w:pPr>
        <w:jc w:val="both"/>
        <w:rPr>
          <w:color w:val="000000" w:themeColor="text1"/>
          <w:sz w:val="16"/>
          <w:szCs w:val="16"/>
        </w:rPr>
      </w:pPr>
      <w:r w:rsidRPr="00507A31">
        <w:rPr>
          <w:color w:val="000000" w:themeColor="text1"/>
          <w:sz w:val="16"/>
          <w:szCs w:val="16"/>
        </w:rPr>
        <w:t>«...Затем Чарновский сообщил мне крайне важное секретное сообщение от Рамзина, что ему в бытность в Париже в переговорах с французским генштабом и “Торгпромом” пришлось от имени СИО согласиться на те уступки интервентам, которые уже раньше обещал “Торгпром” за счет России. Франция претендует на уплату долгов как царских, так и военных полным рублем и на обширные концессии по разработке рудных и горных богатств России; Англия — на нефтяные промыслы на Кавказе, Польша — на Киев и часть Правобережной Украины. Я был очень поражен этим сообщением и напомнил Чарновскому, что Карпов специально уверил меня, что ничего подобного не будет, что “Торгпром” не продаст интересов России, что никаких уступок территории не будет, что уплачены будут полным рублем только частные личные претензии, а также счета заводов, доставивших в Россию машины, а царские и военные долги будут оплачены только номинально по 5 коп. за рубль для сохранения в силе принципа признания долговых обязательств, на чем настаивает Франция, и все это он просил официально передать всем инженерам вредительских организаций. Выходит, что Карпов нас заведомо обманывал, чтобы заставить работать по указке “Торгпрома”, или что его обманули. В обоих случаях ясно, что “Торгпром” не понимает, как такое известие отражается на настроениях, а затем и на составе инженерных организаций. Непонятно, как проф. Рамзин мог такую свою уступку держать столько времени “в секрете”. Несомненно, что это известие подорвет у целого ряда лиц желание работать в организации, и я просил Чарновского переговорить лично с Куприяновым и Нольде по этому поводу» (показание от 31 октября 1930 г.).</w:t>
      </w:r>
    </w:p>
    <w:p w14:paraId="3DFC75FB" w14:textId="77777777" w:rsidR="00AA33CA" w:rsidRPr="00507A31" w:rsidRDefault="00AA33CA" w:rsidP="00507A31">
      <w:pPr>
        <w:jc w:val="both"/>
        <w:rPr>
          <w:color w:val="000000" w:themeColor="text1"/>
          <w:sz w:val="16"/>
          <w:szCs w:val="16"/>
        </w:rPr>
      </w:pPr>
      <w:r w:rsidRPr="00507A31">
        <w:rPr>
          <w:color w:val="000000" w:themeColor="text1"/>
          <w:sz w:val="16"/>
          <w:szCs w:val="16"/>
        </w:rPr>
        <w:t>Не подлежит, таким образом, сомнению, что цели империалистического захвата тех или иных областей СССР руководили действиями иностранных интервентов. Навстречу этим целям шли и «Торгпром», и вредительские организации в СССР.</w:t>
      </w:r>
    </w:p>
    <w:p w14:paraId="1946F2C8" w14:textId="77777777" w:rsidR="00AA33CA" w:rsidRPr="00507A31" w:rsidRDefault="00AA33CA" w:rsidP="00507A31">
      <w:pPr>
        <w:jc w:val="both"/>
        <w:rPr>
          <w:color w:val="000000" w:themeColor="text1"/>
          <w:sz w:val="16"/>
          <w:szCs w:val="16"/>
        </w:rPr>
      </w:pPr>
      <w:r w:rsidRPr="00507A31">
        <w:rPr>
          <w:color w:val="000000" w:themeColor="text1"/>
          <w:sz w:val="16"/>
          <w:szCs w:val="16"/>
        </w:rPr>
        <w:t>Личные переговоры Пуанкаре и Бриана с «Торгпромом»</w:t>
      </w:r>
    </w:p>
    <w:p w14:paraId="51DC98E7" w14:textId="77777777" w:rsidR="00AA33CA" w:rsidRPr="00507A31" w:rsidRDefault="00AA33CA" w:rsidP="00507A31">
      <w:pPr>
        <w:jc w:val="both"/>
        <w:rPr>
          <w:color w:val="000000" w:themeColor="text1"/>
          <w:sz w:val="16"/>
          <w:szCs w:val="16"/>
        </w:rPr>
      </w:pPr>
      <w:r w:rsidRPr="00507A31">
        <w:rPr>
          <w:color w:val="000000" w:themeColor="text1"/>
          <w:sz w:val="16"/>
          <w:szCs w:val="16"/>
        </w:rPr>
        <w:t>Желая как можно реальнее обеспечить новую военную интервенцию, руководители «Торгпрома» поставили своей задачей взять непосредственно быка за рога и получить личную аудиенцию у главы французского правительства. Пуанкаре и Бриан, бывшие в то время руководители французской политики, — один — премьер-министр, а другой — министр иностранных дел, были теми лицами, к которым еще до совещания в 1928 г. адресовался «Торгпром».</w:t>
      </w:r>
    </w:p>
    <w:p w14:paraId="16E2C33E" w14:textId="77777777" w:rsidR="00AA33CA" w:rsidRPr="00507A31" w:rsidRDefault="00AA33CA" w:rsidP="00507A31">
      <w:pPr>
        <w:jc w:val="both"/>
        <w:rPr>
          <w:color w:val="000000" w:themeColor="text1"/>
          <w:sz w:val="16"/>
          <w:szCs w:val="16"/>
        </w:rPr>
      </w:pPr>
      <w:r w:rsidRPr="00507A31">
        <w:rPr>
          <w:color w:val="000000" w:themeColor="text1"/>
          <w:sz w:val="16"/>
          <w:szCs w:val="16"/>
        </w:rPr>
        <w:t>По показаниям Федотова (от 20 октября 1930 г.), Карпов сообщил ему на свидании в 1928 г., что</w:t>
      </w:r>
    </w:p>
    <w:p w14:paraId="1468D587" w14:textId="77777777" w:rsidR="00AA33CA" w:rsidRPr="00507A31" w:rsidRDefault="00AA33CA" w:rsidP="00507A31">
      <w:pPr>
        <w:jc w:val="both"/>
        <w:rPr>
          <w:color w:val="000000" w:themeColor="text1"/>
          <w:sz w:val="16"/>
          <w:szCs w:val="16"/>
        </w:rPr>
      </w:pPr>
      <w:r w:rsidRPr="00507A31">
        <w:rPr>
          <w:color w:val="000000" w:themeColor="text1"/>
          <w:sz w:val="16"/>
          <w:szCs w:val="16"/>
        </w:rPr>
        <w:t>«основной целью его приезда в Берлин была необходимость переговорить о подготовке интервенции, которая намечается “Торгпромом” уже в 1930/31 г., что к этому времени уже должны в полной мере проявиться разруха в промышленности, недостаток товаров и недовольство населения. Он сообщил, что “Торгпром” ведет в последнее время особенно усиленную деятельность и рассчитывает на успех, хотя в Англии шансы на ее вмешательство все уменьшаются, зато во Франции — увеличиваются».</w:t>
      </w:r>
    </w:p>
    <w:p w14:paraId="14D451C5" w14:textId="77777777" w:rsidR="00AA33CA" w:rsidRPr="00507A31" w:rsidRDefault="00AA33CA" w:rsidP="00507A31">
      <w:pPr>
        <w:jc w:val="both"/>
        <w:rPr>
          <w:color w:val="000000" w:themeColor="text1"/>
          <w:sz w:val="16"/>
          <w:szCs w:val="16"/>
        </w:rPr>
      </w:pPr>
      <w:r w:rsidRPr="00507A31">
        <w:rPr>
          <w:color w:val="000000" w:themeColor="text1"/>
          <w:sz w:val="16"/>
          <w:szCs w:val="16"/>
        </w:rPr>
        <w:t>По рассказу Карпова:</w:t>
      </w:r>
    </w:p>
    <w:p w14:paraId="3051AF1C" w14:textId="77777777" w:rsidR="00AA33CA" w:rsidRPr="00507A31" w:rsidRDefault="00AA33CA" w:rsidP="00507A31">
      <w:pPr>
        <w:jc w:val="both"/>
        <w:rPr>
          <w:color w:val="000000" w:themeColor="text1"/>
          <w:sz w:val="16"/>
          <w:szCs w:val="16"/>
        </w:rPr>
      </w:pPr>
      <w:r w:rsidRPr="00507A31">
        <w:rPr>
          <w:color w:val="000000" w:themeColor="text1"/>
          <w:sz w:val="16"/>
          <w:szCs w:val="16"/>
        </w:rPr>
        <w:t>«...Представители “Торгпрома” были с визитом у Пуанкаре; были Рябушинский, Третьяков и Лианозов, что Пуанкаре выразил готовность серьезно рассмотреть этот вопрос и передал его на изучение генерального штаба, в котором “Торгпром” имеет свои непосредственные связи через военные эмигрантские круги, и что нет сомнения, что генштаб даст Пуанкаре благоприятный для интервенции ответ. Практически интервенция предполагается, главным образом, силами Польши, Румынии, Эстонии и Латвии, с небольшим участием французских войск и флота, под руководством французского штаба и офицеров.</w:t>
      </w:r>
    </w:p>
    <w:p w14:paraId="48B79605" w14:textId="77777777" w:rsidR="00AA33CA" w:rsidRPr="00507A31" w:rsidRDefault="00AA33CA" w:rsidP="00507A31">
      <w:pPr>
        <w:jc w:val="both"/>
        <w:rPr>
          <w:color w:val="000000" w:themeColor="text1"/>
          <w:sz w:val="16"/>
          <w:szCs w:val="16"/>
        </w:rPr>
      </w:pPr>
      <w:r w:rsidRPr="00507A31">
        <w:rPr>
          <w:color w:val="000000" w:themeColor="text1"/>
          <w:sz w:val="16"/>
          <w:szCs w:val="16"/>
        </w:rPr>
        <w:t>Но наряду с обещанием разработать вопрос об интервенции Пуанкаре особенно настойчиво указал на необходимость более длительной подготовки в России. Хотя в Союзе уже замечаются проявления разрухи и особенно недостатка товаров, но обещанного эмиграцией недовольства населения не проявляется в должной мере, поэтому вредительскую работу нужно всемерно усилить.</w:t>
      </w:r>
    </w:p>
    <w:p w14:paraId="46031748" w14:textId="77777777" w:rsidR="00AA33CA" w:rsidRPr="00507A31" w:rsidRDefault="00AA33CA" w:rsidP="00507A31">
      <w:pPr>
        <w:jc w:val="both"/>
        <w:rPr>
          <w:color w:val="000000" w:themeColor="text1"/>
          <w:sz w:val="16"/>
          <w:szCs w:val="16"/>
        </w:rPr>
      </w:pPr>
      <w:r w:rsidRPr="00507A31">
        <w:rPr>
          <w:color w:val="000000" w:themeColor="text1"/>
          <w:sz w:val="16"/>
          <w:szCs w:val="16"/>
        </w:rPr>
        <w:lastRenderedPageBreak/>
        <w:t>Ввиду этого “Торгпром” специально просит усилить разрушение плановой работы и особенно пятилетнего плана индустриализации. Неосуществление пятилетки должно дискредитировать советскую власть, что особенно важно для успеха интервенции» (показание от 20 октября 1930 г.).</w:t>
      </w:r>
    </w:p>
    <w:p w14:paraId="7FA0FA59" w14:textId="77777777" w:rsidR="00AA33CA" w:rsidRPr="00507A31" w:rsidRDefault="00AA33CA" w:rsidP="00507A31">
      <w:pPr>
        <w:jc w:val="both"/>
        <w:rPr>
          <w:color w:val="000000" w:themeColor="text1"/>
          <w:sz w:val="16"/>
          <w:szCs w:val="16"/>
        </w:rPr>
      </w:pPr>
      <w:r w:rsidRPr="00507A31">
        <w:rPr>
          <w:color w:val="000000" w:themeColor="text1"/>
          <w:sz w:val="16"/>
          <w:szCs w:val="16"/>
        </w:rPr>
        <w:t>Это сообщение Федотова и было повторено Денисовым на совещании «Торгпрома» с Рамзиным и Ларичевым в октябре 1928 г. в доказательство того, что у них имеется полная уверенность в успехе интервенции.</w:t>
      </w:r>
    </w:p>
    <w:p w14:paraId="5DB11653" w14:textId="77777777" w:rsidR="00AA33CA" w:rsidRPr="00507A31" w:rsidRDefault="00AA33CA" w:rsidP="00507A31">
      <w:pPr>
        <w:jc w:val="both"/>
        <w:rPr>
          <w:color w:val="000000" w:themeColor="text1"/>
          <w:sz w:val="16"/>
          <w:szCs w:val="16"/>
        </w:rPr>
      </w:pPr>
      <w:r w:rsidRPr="00507A31">
        <w:rPr>
          <w:color w:val="000000" w:themeColor="text1"/>
          <w:sz w:val="16"/>
          <w:szCs w:val="16"/>
        </w:rPr>
        <w:t>Об этом свидании с представителями французского правительства говорит равным образом Чарновский в показании от 16 октября 1930 г.:</w:t>
      </w:r>
    </w:p>
    <w:p w14:paraId="6DB260DD" w14:textId="77777777" w:rsidR="00AA33CA" w:rsidRPr="00507A31" w:rsidRDefault="00AA33CA" w:rsidP="00507A31">
      <w:pPr>
        <w:jc w:val="both"/>
        <w:rPr>
          <w:color w:val="000000" w:themeColor="text1"/>
          <w:sz w:val="16"/>
          <w:szCs w:val="16"/>
        </w:rPr>
      </w:pPr>
      <w:r w:rsidRPr="00507A31">
        <w:rPr>
          <w:color w:val="000000" w:themeColor="text1"/>
          <w:sz w:val="16"/>
          <w:szCs w:val="16"/>
        </w:rPr>
        <w:t>«Надежды на интервенцию, питаемые этими промышленниками (Рябушинским и Коноваловым), основывались на личных переговорах их с представителем французского правительства Брианом и французским генеральным штабом».</w:t>
      </w:r>
    </w:p>
    <w:p w14:paraId="6F3B0202" w14:textId="77777777" w:rsidR="00AA33CA" w:rsidRPr="00507A31" w:rsidRDefault="00AA33CA" w:rsidP="00507A31">
      <w:pPr>
        <w:jc w:val="both"/>
        <w:rPr>
          <w:color w:val="000000" w:themeColor="text1"/>
          <w:sz w:val="16"/>
          <w:szCs w:val="16"/>
        </w:rPr>
      </w:pPr>
      <w:r w:rsidRPr="00507A31">
        <w:rPr>
          <w:color w:val="000000" w:themeColor="text1"/>
          <w:sz w:val="16"/>
          <w:szCs w:val="16"/>
        </w:rPr>
        <w:t>Наконец, подтверждение о том же мы находим в показаниях других деятелей вредительской организации, имевших возможность непосредственно войти в сношение с заправилами «Торгпрома»; последние не преминули им сообщить об успешности этих своих шагов.</w:t>
      </w:r>
    </w:p>
    <w:p w14:paraId="45C8ED27" w14:textId="77777777" w:rsidR="00AA33CA" w:rsidRPr="00507A31" w:rsidRDefault="00AA33CA" w:rsidP="00507A31">
      <w:pPr>
        <w:jc w:val="both"/>
        <w:rPr>
          <w:color w:val="000000" w:themeColor="text1"/>
          <w:sz w:val="16"/>
          <w:szCs w:val="16"/>
        </w:rPr>
      </w:pPr>
      <w:r w:rsidRPr="00507A31">
        <w:rPr>
          <w:color w:val="000000" w:themeColor="text1"/>
          <w:sz w:val="16"/>
          <w:szCs w:val="16"/>
        </w:rPr>
        <w:t>Так, Ситнин показывает (18 октября 1930 г.), что «в 1928 г. перед отъездом за границу С. В. Куприянов просил меня проездом через Париж зайти к его бывш. хозяину И. А. Коновалову, чтобы узнать у него, как обстоят дела за границей». Ситнин был у Коновалова, и последний ему рассказал, что</w:t>
      </w:r>
    </w:p>
    <w:p w14:paraId="483ED6B2" w14:textId="77777777" w:rsidR="00AA33CA" w:rsidRPr="00507A31" w:rsidRDefault="00AA33CA" w:rsidP="00507A31">
      <w:pPr>
        <w:jc w:val="both"/>
        <w:rPr>
          <w:color w:val="000000" w:themeColor="text1"/>
          <w:sz w:val="16"/>
          <w:szCs w:val="16"/>
        </w:rPr>
      </w:pPr>
      <w:r w:rsidRPr="00507A31">
        <w:rPr>
          <w:color w:val="000000" w:themeColor="text1"/>
          <w:sz w:val="16"/>
          <w:szCs w:val="16"/>
        </w:rPr>
        <w:t>«...Пуанкаре вызывал недавно и дал аудиенцию Третьякову и Рябушинскому... Согласно этому, он предложил Третьякову и Рябушинскому, как представителям “Торгпрома”, дать указания советским инженерным организациям о подготовке почвы для интервенции» (показания от 18 октября 1930 г.).</w:t>
      </w:r>
    </w:p>
    <w:p w14:paraId="2DBF493A" w14:textId="77777777" w:rsidR="00AA33CA" w:rsidRPr="00507A31" w:rsidRDefault="00AA33CA" w:rsidP="00507A31">
      <w:pPr>
        <w:jc w:val="both"/>
        <w:rPr>
          <w:color w:val="000000" w:themeColor="text1"/>
          <w:sz w:val="16"/>
          <w:szCs w:val="16"/>
        </w:rPr>
      </w:pPr>
      <w:r w:rsidRPr="00507A31">
        <w:rPr>
          <w:color w:val="000000" w:themeColor="text1"/>
          <w:sz w:val="16"/>
          <w:szCs w:val="16"/>
        </w:rPr>
        <w:t>В показании от 29 октября 1930 г. Ситнин еще раз заявляет:</w:t>
      </w:r>
    </w:p>
    <w:p w14:paraId="1E68F264" w14:textId="77777777" w:rsidR="00AA33CA" w:rsidRPr="00507A31" w:rsidRDefault="00AA33CA" w:rsidP="00507A31">
      <w:pPr>
        <w:jc w:val="both"/>
        <w:rPr>
          <w:color w:val="000000" w:themeColor="text1"/>
          <w:sz w:val="16"/>
          <w:szCs w:val="16"/>
        </w:rPr>
      </w:pPr>
      <w:r w:rsidRPr="00507A31">
        <w:rPr>
          <w:color w:val="000000" w:themeColor="text1"/>
          <w:sz w:val="16"/>
          <w:szCs w:val="16"/>
        </w:rPr>
        <w:t>«...что Пуанкаре обещал полную поддержку интервенции и считает, что в 1930/31 г. можно надеяться на полный успех интервенции».</w:t>
      </w:r>
    </w:p>
    <w:p w14:paraId="3B27A245" w14:textId="77777777" w:rsidR="00AA33CA" w:rsidRPr="00507A31" w:rsidRDefault="00AA33CA" w:rsidP="00507A31">
      <w:pPr>
        <w:jc w:val="both"/>
        <w:rPr>
          <w:color w:val="000000" w:themeColor="text1"/>
          <w:sz w:val="16"/>
          <w:szCs w:val="16"/>
        </w:rPr>
      </w:pPr>
      <w:r w:rsidRPr="00507A31">
        <w:rPr>
          <w:color w:val="000000" w:themeColor="text1"/>
          <w:sz w:val="16"/>
          <w:szCs w:val="16"/>
        </w:rPr>
        <w:t>Тот же Ситнин подтверждает сообщение Федотова, со слов Карпова, что Пуанкаре «во время визита членов президиума “Торгпрома”... сказал, что практическая работа по подготовке интервенции поручена французскому генштабу».</w:t>
      </w:r>
    </w:p>
    <w:p w14:paraId="7A8916E4" w14:textId="77777777" w:rsidR="00AA33CA" w:rsidRPr="00507A31" w:rsidRDefault="00AA33CA" w:rsidP="00507A31">
      <w:pPr>
        <w:jc w:val="both"/>
        <w:rPr>
          <w:color w:val="000000" w:themeColor="text1"/>
          <w:sz w:val="16"/>
          <w:szCs w:val="16"/>
        </w:rPr>
      </w:pPr>
      <w:r w:rsidRPr="00507A31">
        <w:rPr>
          <w:color w:val="000000" w:themeColor="text1"/>
          <w:sz w:val="16"/>
          <w:szCs w:val="16"/>
        </w:rPr>
        <w:t>Сообщения Ситнина и Федотова о визите к Пуанкаре подтверждает и другой вредитель — Державин, получивший сведения об этом уже в Москве после возвращения Федотова. Пуанкаре, по словам Державина, «обещал начать активную политику в смысле интервенции», но «потребовал предварительной подготовки внутри СССР для дезорганизации наладившегося экономического положения, чтобы вызвать внутри страны недовольство властью».</w:t>
      </w:r>
    </w:p>
    <w:p w14:paraId="78402342" w14:textId="77777777" w:rsidR="00AA33CA" w:rsidRPr="00507A31" w:rsidRDefault="00AA33CA" w:rsidP="00507A31">
      <w:pPr>
        <w:jc w:val="both"/>
        <w:rPr>
          <w:color w:val="000000" w:themeColor="text1"/>
          <w:sz w:val="16"/>
          <w:szCs w:val="16"/>
        </w:rPr>
      </w:pPr>
      <w:r w:rsidRPr="00507A31">
        <w:rPr>
          <w:color w:val="000000" w:themeColor="text1"/>
          <w:sz w:val="16"/>
          <w:szCs w:val="16"/>
        </w:rPr>
        <w:t>Из этих сообщений ясно, что «Торгпром» действительно имел что предъявить со своей стороны, как доказательство своей работы по подготовке интервенции, на совещании в октябре 1928 г.</w:t>
      </w:r>
    </w:p>
    <w:p w14:paraId="4F9593AF" w14:textId="77777777" w:rsidR="00AA33CA" w:rsidRPr="00507A31" w:rsidRDefault="00AA33CA" w:rsidP="00507A31">
      <w:pPr>
        <w:jc w:val="both"/>
        <w:rPr>
          <w:color w:val="000000" w:themeColor="text1"/>
          <w:sz w:val="16"/>
          <w:szCs w:val="16"/>
        </w:rPr>
      </w:pPr>
      <w:r w:rsidRPr="00507A31">
        <w:rPr>
          <w:color w:val="000000" w:themeColor="text1"/>
          <w:sz w:val="16"/>
          <w:szCs w:val="16"/>
        </w:rPr>
        <w:t>В свете изложенных выше фактов нет никакого сомнения, что инициатива «Торгпрома» сыграла, скорее, формальную роль. По существу, французские правящие круги в лице Пуанкаре использовали «Торгпром» и вредительские организации в этих целях. Недаром обвиняемые показывают, что Пуанкаре настаивал на необходимости усиления работы вредительской организации в СССР.</w:t>
      </w:r>
    </w:p>
    <w:p w14:paraId="384F9264" w14:textId="77777777" w:rsidR="00AA33CA" w:rsidRPr="00507A31" w:rsidRDefault="00AA33CA" w:rsidP="00507A31">
      <w:pPr>
        <w:jc w:val="both"/>
        <w:rPr>
          <w:color w:val="000000" w:themeColor="text1"/>
          <w:sz w:val="16"/>
          <w:szCs w:val="16"/>
        </w:rPr>
      </w:pPr>
      <w:r w:rsidRPr="00507A31">
        <w:rPr>
          <w:color w:val="000000" w:themeColor="text1"/>
          <w:sz w:val="16"/>
          <w:szCs w:val="16"/>
        </w:rPr>
        <w:t>То же самое явствует из второго сообщения Денисова на совещании в октябре 1928 г., о котором также умолчал первоначально Рамзин. В показании от 31 октября Рамзин пишет:</w:t>
      </w:r>
    </w:p>
    <w:p w14:paraId="5FAFDCCB" w14:textId="77777777" w:rsidR="00AA33CA" w:rsidRPr="00507A31" w:rsidRDefault="00AA33CA" w:rsidP="00507A31">
      <w:pPr>
        <w:jc w:val="both"/>
        <w:rPr>
          <w:color w:val="000000" w:themeColor="text1"/>
          <w:sz w:val="16"/>
          <w:szCs w:val="16"/>
        </w:rPr>
      </w:pPr>
      <w:r w:rsidRPr="00507A31">
        <w:rPr>
          <w:color w:val="000000" w:themeColor="text1"/>
          <w:sz w:val="16"/>
          <w:szCs w:val="16"/>
        </w:rPr>
        <w:t>«Денисов сообщил, что работа “Торгпрома” по подготовке за границей интервенции против СССР уже дала конкретные результаты, ибо при французском генеральном штабе образована специальная комиссия по подготовке интервенции против СССР, причем во главе этой комиссии стоит генерал Жанен. Далее Денисов сказал, что одним из наиболее активных деятелей по подготовке интервенции является полковник французского генштаба Жуанвиль, который и будет поддерживать непосредственную связь с намеченным военным руководителем интервенции — генералом Лукомским».</w:t>
      </w:r>
    </w:p>
    <w:p w14:paraId="78B6491C" w14:textId="77777777" w:rsidR="00AA33CA" w:rsidRPr="00507A31" w:rsidRDefault="00AA33CA" w:rsidP="00507A31">
      <w:pPr>
        <w:jc w:val="both"/>
        <w:rPr>
          <w:color w:val="000000" w:themeColor="text1"/>
          <w:sz w:val="16"/>
          <w:szCs w:val="16"/>
        </w:rPr>
      </w:pPr>
      <w:r w:rsidRPr="00507A31">
        <w:rPr>
          <w:color w:val="000000" w:themeColor="text1"/>
          <w:sz w:val="16"/>
          <w:szCs w:val="16"/>
        </w:rPr>
        <w:t>Таким образом, еще до октября 1928 г. Пуанкаре, обещавший на свидании передать вопросы подготовки интервенции на изучение генштабу, это обещание сдержал, продиктовав для успеха интервенции соответствующую линию поведения «Торгпрому». Сообщение об организации комиссии Жанена подтверждает также Калинников в показании от 16 октября:</w:t>
      </w:r>
    </w:p>
    <w:p w14:paraId="041FB08F" w14:textId="77777777" w:rsidR="00AA33CA" w:rsidRPr="00507A31" w:rsidRDefault="00AA33CA" w:rsidP="00507A31">
      <w:pPr>
        <w:jc w:val="both"/>
        <w:rPr>
          <w:color w:val="000000" w:themeColor="text1"/>
          <w:sz w:val="16"/>
          <w:szCs w:val="16"/>
        </w:rPr>
      </w:pPr>
      <w:r w:rsidRPr="00507A31">
        <w:rPr>
          <w:color w:val="000000" w:themeColor="text1"/>
          <w:sz w:val="16"/>
          <w:szCs w:val="16"/>
        </w:rPr>
        <w:t>«Рамзин сообщил, — говорит Калинников, — что при французском штабе была создана международная комиссия под председательством генерала Жанена в составе представителей Франции, Англии и Польши по поводу распределения ролей в руководстве и проведении русской интервенции. Этой комиссией было принято, что руководство проведением интервенции берет на себя Франция, она же будет вести заготовку и поставку боевых снаряжений и вооружений интервенирующих армий. Оперативную подготовку и роль застрельщика берет на себя Польша...»</w:t>
      </w:r>
    </w:p>
    <w:p w14:paraId="4EC51B51" w14:textId="77777777" w:rsidR="00AA33CA" w:rsidRPr="00507A31" w:rsidRDefault="00AA33CA" w:rsidP="00507A31">
      <w:pPr>
        <w:jc w:val="both"/>
        <w:rPr>
          <w:color w:val="000000" w:themeColor="text1"/>
          <w:sz w:val="16"/>
          <w:szCs w:val="16"/>
        </w:rPr>
      </w:pPr>
      <w:r w:rsidRPr="00507A31">
        <w:rPr>
          <w:color w:val="000000" w:themeColor="text1"/>
          <w:sz w:val="16"/>
          <w:szCs w:val="16"/>
        </w:rPr>
        <w:t>Далее Калинников дает еще одно важное показание (16 октября 1930 г.):</w:t>
      </w:r>
    </w:p>
    <w:p w14:paraId="7AB5C332" w14:textId="77777777" w:rsidR="00AA33CA" w:rsidRPr="00507A31" w:rsidRDefault="00AA33CA" w:rsidP="00507A31">
      <w:pPr>
        <w:jc w:val="both"/>
        <w:rPr>
          <w:color w:val="000000" w:themeColor="text1"/>
          <w:sz w:val="16"/>
          <w:szCs w:val="16"/>
        </w:rPr>
      </w:pPr>
      <w:r w:rsidRPr="00507A31">
        <w:rPr>
          <w:color w:val="000000" w:themeColor="text1"/>
          <w:sz w:val="16"/>
          <w:szCs w:val="16"/>
        </w:rPr>
        <w:t>«...После принятого комиссией Жанена решения Англия несколько охладела к интервенции, так как отпал ее главный экономический интерес — дать своей промышленности хорошо подработать на поставках вооружения и снаряжения интервенирующим армиям...».</w:t>
      </w:r>
    </w:p>
    <w:p w14:paraId="2A0E4E06" w14:textId="77777777" w:rsidR="00AA33CA" w:rsidRPr="00507A31" w:rsidRDefault="00AA33CA" w:rsidP="00507A31">
      <w:pPr>
        <w:jc w:val="both"/>
        <w:rPr>
          <w:color w:val="000000" w:themeColor="text1"/>
          <w:sz w:val="16"/>
          <w:szCs w:val="16"/>
        </w:rPr>
      </w:pPr>
      <w:r w:rsidRPr="00507A31">
        <w:rPr>
          <w:color w:val="000000" w:themeColor="text1"/>
          <w:sz w:val="16"/>
          <w:szCs w:val="16"/>
        </w:rPr>
        <w:t>Такова была работа «Торгпрома», подытоженная на совещании в октябре 1928 г. и сообщенная членам ЦК «Промпартии».</w:t>
      </w:r>
    </w:p>
    <w:p w14:paraId="01D41593" w14:textId="77777777" w:rsidR="00AA33CA" w:rsidRPr="00507A31" w:rsidRDefault="00AA33CA" w:rsidP="00507A31">
      <w:pPr>
        <w:jc w:val="both"/>
        <w:rPr>
          <w:color w:val="000000" w:themeColor="text1"/>
          <w:sz w:val="16"/>
          <w:szCs w:val="16"/>
        </w:rPr>
      </w:pPr>
      <w:r w:rsidRPr="00507A31">
        <w:rPr>
          <w:color w:val="000000" w:themeColor="text1"/>
          <w:sz w:val="16"/>
          <w:szCs w:val="16"/>
        </w:rPr>
        <w:t>Сообщенные факты о личных переговорах промышленников с Пуанкаре, обещаниях последнего и образовании при французском генштабе специальной комиссии Жанена по подготовке интервенции целиком подтверждают в то же время сделанные выше выводы о самостоятельной активной роли бывш. главы французского правительства Пуанкаре по подготовке интервенции. Только в свете этих фактов становится понятной та исключительная легкость и быстрота, с какою были на другой же день после октябрьского совещания реализованы принятые решения в виде непосредственных на этот раз сношений Рамзина и Ларичева с деятелями генштаба Франции по вопросам выработки планов интервенции.</w:t>
      </w:r>
    </w:p>
    <w:p w14:paraId="404C5044" w14:textId="77777777" w:rsidR="00AA33CA" w:rsidRPr="00507A31" w:rsidRDefault="00AA33CA" w:rsidP="00507A31">
      <w:pPr>
        <w:jc w:val="both"/>
        <w:rPr>
          <w:color w:val="000000" w:themeColor="text1"/>
          <w:sz w:val="16"/>
          <w:szCs w:val="16"/>
        </w:rPr>
      </w:pPr>
      <w:r w:rsidRPr="00507A31">
        <w:rPr>
          <w:color w:val="000000" w:themeColor="text1"/>
          <w:sz w:val="16"/>
          <w:szCs w:val="16"/>
        </w:rPr>
        <w:t>Совместная работа «Торгпрома» и вредителей</w:t>
      </w:r>
    </w:p>
    <w:p w14:paraId="4AB00C75" w14:textId="77777777" w:rsidR="00AA33CA" w:rsidRPr="00507A31" w:rsidRDefault="00AA33CA" w:rsidP="00507A31">
      <w:pPr>
        <w:jc w:val="both"/>
        <w:rPr>
          <w:color w:val="000000" w:themeColor="text1"/>
          <w:sz w:val="16"/>
          <w:szCs w:val="16"/>
        </w:rPr>
      </w:pPr>
      <w:r w:rsidRPr="00507A31">
        <w:rPr>
          <w:color w:val="000000" w:themeColor="text1"/>
          <w:sz w:val="16"/>
          <w:szCs w:val="16"/>
        </w:rPr>
        <w:t>с французским генштабом</w:t>
      </w:r>
    </w:p>
    <w:p w14:paraId="5EDAC77C" w14:textId="77777777" w:rsidR="00AA33CA" w:rsidRPr="00507A31" w:rsidRDefault="00AA33CA" w:rsidP="00507A31">
      <w:pPr>
        <w:jc w:val="both"/>
        <w:rPr>
          <w:color w:val="000000" w:themeColor="text1"/>
          <w:sz w:val="16"/>
          <w:szCs w:val="16"/>
        </w:rPr>
      </w:pPr>
      <w:r w:rsidRPr="00507A31">
        <w:rPr>
          <w:color w:val="000000" w:themeColor="text1"/>
          <w:sz w:val="16"/>
          <w:szCs w:val="16"/>
        </w:rPr>
        <w:t>«...Узнав, — говорит в своих показаниях 31 октября Рамзин, — таким образом, что военным центром по подготовке и руководству интервенцией является французский генеральный штаб, я предложил Денисову устроить до моего отъезда из Парижа совместное совещание с генералом Лукомским и полковником Жуанвилем, чтобы обсудить вопрос о координировании деятельности “Промпартии” с французским генштабом в деле подготовки интервенции и установить с этой целью связь между ЦК “Промпартии” и французским генштабом.</w:t>
      </w:r>
    </w:p>
    <w:p w14:paraId="0A23B7DE" w14:textId="77777777" w:rsidR="00AA33CA" w:rsidRPr="00507A31" w:rsidRDefault="00AA33CA" w:rsidP="00507A31">
      <w:pPr>
        <w:jc w:val="both"/>
        <w:rPr>
          <w:color w:val="000000" w:themeColor="text1"/>
          <w:sz w:val="16"/>
          <w:szCs w:val="16"/>
        </w:rPr>
      </w:pPr>
      <w:r w:rsidRPr="00507A31">
        <w:rPr>
          <w:color w:val="000000" w:themeColor="text1"/>
          <w:sz w:val="16"/>
          <w:szCs w:val="16"/>
        </w:rPr>
        <w:t>Денисов устроил это свидание на частной квартире одного из белоэмигрантов в первой половине октября 1928 г. Денисов заехал за мной на автомобиле в условленное время в кафе, и мы отправились вместе на эту квартиру, где застали генерала Лукомского и полковника Жуанвиля. На этом совещании и была установлена постоянная связь между ЦК “Промпартии” и французским генеральным штабом. А именно, по указанию Денисова, прямую связь со мной должен был осуществлять в Москве г. А..., а связь с членами ЦК и проф. Калинниковым — г. К... В дальнейшем связь с французским генштабом, обычно, и осуществлялась инж. Ларичевым и проф. Калинниковым через г. К... и в отдельных случаях мной через г. А...».</w:t>
      </w:r>
    </w:p>
    <w:p w14:paraId="17516EA2" w14:textId="77777777" w:rsidR="00AA33CA" w:rsidRPr="00507A31" w:rsidRDefault="00AA33CA" w:rsidP="00507A31">
      <w:pPr>
        <w:jc w:val="both"/>
        <w:rPr>
          <w:color w:val="000000" w:themeColor="text1"/>
          <w:sz w:val="16"/>
          <w:szCs w:val="16"/>
        </w:rPr>
      </w:pPr>
      <w:r w:rsidRPr="00507A31">
        <w:rPr>
          <w:color w:val="000000" w:themeColor="text1"/>
          <w:sz w:val="16"/>
          <w:szCs w:val="16"/>
        </w:rPr>
        <w:t>Ларичев в своих показаниях от 16 октября 1930 г. рассказывает о том же совещании следующее:</w:t>
      </w:r>
    </w:p>
    <w:p w14:paraId="2A0DEC0F" w14:textId="77777777" w:rsidR="00AA33CA" w:rsidRPr="00507A31" w:rsidRDefault="00AA33CA" w:rsidP="00507A31">
      <w:pPr>
        <w:jc w:val="both"/>
        <w:rPr>
          <w:color w:val="000000" w:themeColor="text1"/>
          <w:sz w:val="16"/>
          <w:szCs w:val="16"/>
        </w:rPr>
      </w:pPr>
      <w:r w:rsidRPr="00507A31">
        <w:rPr>
          <w:color w:val="000000" w:themeColor="text1"/>
          <w:sz w:val="16"/>
          <w:szCs w:val="16"/>
        </w:rPr>
        <w:t>«...На следующий день, — говорит Ларичев, — Рамзин имел свидание с председателем “Торгпрома” Денисовым, белоэмигрантским генералом Лукомским и представителем французского штаба Жуанвилем (фамилию эту назвал мне Рамзин). На этом совещании Рамзиным были получены определенные указания и подтверждения о сроках намечаемой интервенции (т. е. на лето 1930 г.), о методах подготовки к ней, а также сообщения о формировании экспедиционного корпуса во главе с генералом Лукомским. Вечером этого же дня у Рамзина должна была состояться встреча с полковником французского штаба Ришаром; на это свидание он пригласил и меня. Состоялось оно у него на квартире. Так как я французского языка, на котором шли разговоры, не знал, то могу сообщить, по словам Рамзина, что речь шла о подготовке Польши и Румынии к выступлению и что французский штаб принимает в этом направлении энергичные шаги. Со своей стороны Ришар интересовался как общим направлением нашей работы, так, особенно, деталями нового строительства, могущего иметь оборонное значение, а также положением военной и химической промышленности».</w:t>
      </w:r>
    </w:p>
    <w:p w14:paraId="7325BF8E" w14:textId="77777777" w:rsidR="00AA33CA" w:rsidRPr="00507A31" w:rsidRDefault="00AA33CA" w:rsidP="00507A31">
      <w:pPr>
        <w:jc w:val="both"/>
        <w:rPr>
          <w:color w:val="000000" w:themeColor="text1"/>
          <w:sz w:val="16"/>
          <w:szCs w:val="16"/>
        </w:rPr>
      </w:pPr>
      <w:r w:rsidRPr="00507A31">
        <w:rPr>
          <w:color w:val="000000" w:themeColor="text1"/>
          <w:sz w:val="16"/>
          <w:szCs w:val="16"/>
        </w:rPr>
        <w:t>Характер беседы достаточно показателен, чтобы видеть, как всерьез отнеслись к реализации совместных намерений обе стороны: и представитель французского правительства Пуанкаре вместе с представителями французского генштаба, и «Торгпром», и русские белогвардейские генералы.</w:t>
      </w:r>
    </w:p>
    <w:p w14:paraId="0A32AF10" w14:textId="77777777" w:rsidR="00AA33CA" w:rsidRPr="00507A31" w:rsidRDefault="00AA33CA" w:rsidP="00507A31">
      <w:pPr>
        <w:jc w:val="both"/>
        <w:rPr>
          <w:color w:val="000000" w:themeColor="text1"/>
          <w:sz w:val="16"/>
          <w:szCs w:val="16"/>
        </w:rPr>
      </w:pPr>
      <w:r w:rsidRPr="00507A31">
        <w:rPr>
          <w:color w:val="000000" w:themeColor="text1"/>
          <w:sz w:val="16"/>
          <w:szCs w:val="16"/>
        </w:rPr>
        <w:t>В другом показании Рамзин, сообщая о встрече с Жуанвилем, заявляет о том, какие именно требования были предъявлены французскими генералами русским вредителям:</w:t>
      </w:r>
    </w:p>
    <w:p w14:paraId="5572B1AF" w14:textId="77777777" w:rsidR="00AA33CA" w:rsidRPr="00507A31" w:rsidRDefault="00AA33CA" w:rsidP="00507A31">
      <w:pPr>
        <w:jc w:val="both"/>
        <w:rPr>
          <w:color w:val="000000" w:themeColor="text1"/>
          <w:sz w:val="16"/>
          <w:szCs w:val="16"/>
        </w:rPr>
      </w:pPr>
      <w:r w:rsidRPr="00507A31">
        <w:rPr>
          <w:color w:val="000000" w:themeColor="text1"/>
          <w:sz w:val="16"/>
          <w:szCs w:val="16"/>
        </w:rPr>
        <w:t>«При встрече моей в промежутке 5-10 октября 1928 г. в Париже с Денисовым, Лукомским и полковником Жуанвилем на квартире, как я уже показывал, основным вопросом являлся деловой вопрос о создании военной организации “Промпартии”, которого я здесь не буду касаться. Разговор происходил по-русски вследствие моего очень плохого знания французского языка. Время от времени Денисов и Лукомский переводили по-французски сущность разговора. Полковник Жуанвиль больше всего интересовался возможностью получения военных сведений о Красной армии и возможной помощи изнутри СССР путем диверсий и т. п. На мой вопрос о располагаемых силах и плане интервенции генерал Лукомский ответил, что, пока не закончились переговоры, рано еще считать силы и составлять планы, но что повторенный мной план, слышанный в “Торгпроме”, почти единственный, что при хорошем снабжении и вооружении армии никакого сомнения в успехе быть не может, особенно при активной помощи со стороны “Промпартии” ее военной организации, которой будут даны конкретные указания и планы действий.</w:t>
      </w:r>
    </w:p>
    <w:p w14:paraId="2C175B3F" w14:textId="77777777" w:rsidR="00AA33CA" w:rsidRPr="00507A31" w:rsidRDefault="00AA33CA" w:rsidP="00507A31">
      <w:pPr>
        <w:jc w:val="both"/>
        <w:rPr>
          <w:color w:val="000000" w:themeColor="text1"/>
          <w:sz w:val="16"/>
          <w:szCs w:val="16"/>
        </w:rPr>
      </w:pPr>
      <w:r w:rsidRPr="00507A31">
        <w:rPr>
          <w:color w:val="000000" w:themeColor="text1"/>
          <w:sz w:val="16"/>
          <w:szCs w:val="16"/>
        </w:rPr>
        <w:t>В конце свидания Денисов сообщил еще, что основные переговоры об организации интервенции ведутся во Франции с Брианом, а в Англии — с Черчиллем, что переговоры об организации интервенции затрудняются аппетитами ее участников; так, например, Польша претендует, конечно, на Правобережную Украину» (показания от 16 октября).</w:t>
      </w:r>
    </w:p>
    <w:p w14:paraId="17143D1B" w14:textId="77777777" w:rsidR="00AA33CA" w:rsidRPr="00507A31" w:rsidRDefault="00AA33CA" w:rsidP="00507A31">
      <w:pPr>
        <w:jc w:val="both"/>
        <w:rPr>
          <w:color w:val="000000" w:themeColor="text1"/>
          <w:sz w:val="16"/>
          <w:szCs w:val="16"/>
        </w:rPr>
      </w:pPr>
      <w:r w:rsidRPr="00507A31">
        <w:rPr>
          <w:color w:val="000000" w:themeColor="text1"/>
          <w:sz w:val="16"/>
          <w:szCs w:val="16"/>
        </w:rPr>
        <w:t>Именно на этом совещании возникла мысль о создании специальной военной комиссии «Промпартии» в СССР для подготовки изменнических актов со стороны отдельных частей Красной армии, и для этого была установлена и укреплена соответствующая связь с французским генеральным штабом. Рамзин показывает 16 октября 1930 г.:</w:t>
      </w:r>
    </w:p>
    <w:p w14:paraId="7E78F7A4" w14:textId="77777777" w:rsidR="00AA33CA" w:rsidRPr="00507A31" w:rsidRDefault="00AA33CA" w:rsidP="00507A31">
      <w:pPr>
        <w:jc w:val="both"/>
        <w:rPr>
          <w:color w:val="000000" w:themeColor="text1"/>
          <w:sz w:val="16"/>
          <w:szCs w:val="16"/>
        </w:rPr>
      </w:pPr>
      <w:r w:rsidRPr="00507A31">
        <w:rPr>
          <w:color w:val="000000" w:themeColor="text1"/>
          <w:sz w:val="16"/>
          <w:szCs w:val="16"/>
        </w:rPr>
        <w:lastRenderedPageBreak/>
        <w:t>«На этом совещании Лукомский выдвинул предложение о создании при ЦК “Промпартии” специальной военной комиссии и связи его с ним через французский генштаб. После обсуждения были намечены основные задачи военной комиссии, о коих подробно изложено в других моих показаниях. Здесь же была установлена и постоянная связь с французским генштабом и... в Москве. А именно, прямую связь со мной должен был осуществлять по указанию Денисова г. Р..., а прямую связь с членом ЦК “Промпартии” инж. Ларичевым — через г. К... При этом Денисов сообщил, что соответствующие указания будут даны в Москве. Связь с французским генштабом должна была нормально идти и осуществлялась впоследствии... через Ларичева и председателя промсекции Госплана СССР проф. Калинникова».</w:t>
      </w:r>
    </w:p>
    <w:p w14:paraId="01C14FAF" w14:textId="77777777" w:rsidR="00AA33CA" w:rsidRPr="00507A31" w:rsidRDefault="00AA33CA" w:rsidP="00507A31">
      <w:pPr>
        <w:jc w:val="both"/>
        <w:rPr>
          <w:color w:val="000000" w:themeColor="text1"/>
          <w:sz w:val="16"/>
          <w:szCs w:val="16"/>
        </w:rPr>
      </w:pPr>
      <w:r w:rsidRPr="00507A31">
        <w:rPr>
          <w:color w:val="000000" w:themeColor="text1"/>
          <w:sz w:val="16"/>
          <w:szCs w:val="16"/>
        </w:rPr>
        <w:t>Сообщение об этих заданиях французского генштаба подтверждает и Калинников.</w:t>
      </w:r>
    </w:p>
    <w:p w14:paraId="701A9ED9" w14:textId="77777777" w:rsidR="00AA33CA" w:rsidRPr="00507A31" w:rsidRDefault="00AA33CA" w:rsidP="00507A31">
      <w:pPr>
        <w:jc w:val="both"/>
        <w:rPr>
          <w:color w:val="000000" w:themeColor="text1"/>
          <w:sz w:val="16"/>
          <w:szCs w:val="16"/>
        </w:rPr>
      </w:pPr>
      <w:r w:rsidRPr="00507A31">
        <w:rPr>
          <w:color w:val="000000" w:themeColor="text1"/>
          <w:sz w:val="16"/>
          <w:szCs w:val="16"/>
        </w:rPr>
        <w:t>Шпионская работа этого рода по непосредственной связи с французским генштабом должна была продолжаться и в дальнейшем. По показанию Калинникова, Рамзин</w:t>
      </w:r>
    </w:p>
    <w:p w14:paraId="484CE677" w14:textId="77777777" w:rsidR="00AA33CA" w:rsidRPr="00507A31" w:rsidRDefault="00AA33CA" w:rsidP="00507A31">
      <w:pPr>
        <w:jc w:val="both"/>
        <w:rPr>
          <w:color w:val="000000" w:themeColor="text1"/>
          <w:sz w:val="16"/>
          <w:szCs w:val="16"/>
        </w:rPr>
      </w:pPr>
      <w:r w:rsidRPr="00507A31">
        <w:rPr>
          <w:color w:val="000000" w:themeColor="text1"/>
          <w:sz w:val="16"/>
          <w:szCs w:val="16"/>
        </w:rPr>
        <w:t>«...должен был, по его собственному заявлению в ЦК, в ближайшую поездку за границу установить непосредственную связь с правительственными кругами Франции и Англии по военным вопросам интервенции. Со слов Рамзина мне известно, что он предполагал использовать связь Рябушинского с Лушером, который покровительствует “Торгпрому” (так Рябушинский передавал Рамзину на последнем с ним свидании); Рамзин предполагал установить связь с генералом Лукомским для получения руководящих указаний для военного штаба “Промпартии”» (показания Калинникова от 16 октября 1930 г.).</w:t>
      </w:r>
    </w:p>
    <w:p w14:paraId="493248E8" w14:textId="77777777" w:rsidR="00AA33CA" w:rsidRPr="00507A31" w:rsidRDefault="00AA33CA" w:rsidP="00507A31">
      <w:pPr>
        <w:jc w:val="both"/>
        <w:rPr>
          <w:color w:val="000000" w:themeColor="text1"/>
          <w:sz w:val="16"/>
          <w:szCs w:val="16"/>
        </w:rPr>
      </w:pPr>
      <w:r w:rsidRPr="00507A31">
        <w:rPr>
          <w:color w:val="000000" w:themeColor="text1"/>
          <w:sz w:val="16"/>
          <w:szCs w:val="16"/>
        </w:rPr>
        <w:t>Федотову также было известно о полученном задании по организации вредительских ячеек в армии. Так, Федотов показывает:</w:t>
      </w:r>
    </w:p>
    <w:p w14:paraId="2923D8C7" w14:textId="77777777" w:rsidR="00AA33CA" w:rsidRPr="00507A31" w:rsidRDefault="00AA33CA" w:rsidP="00507A31">
      <w:pPr>
        <w:jc w:val="both"/>
        <w:rPr>
          <w:color w:val="000000" w:themeColor="text1"/>
          <w:sz w:val="16"/>
          <w:szCs w:val="16"/>
        </w:rPr>
      </w:pPr>
      <w:r w:rsidRPr="00507A31">
        <w:rPr>
          <w:color w:val="000000" w:themeColor="text1"/>
          <w:sz w:val="16"/>
          <w:szCs w:val="16"/>
        </w:rPr>
        <w:t>«Целью образуемых ячеек ставилась, прежде всего информация о положении дел и настроений в Красной армии и флоте, разработка мероприятий по понижению боеспособности Красной армии, разработка мер по расстройству сообщений, выработка мер по понижению обороноспособности страны, вплоть до проведения диверсионных актов, выведения из строя наиболее важных заводов, электростанций, фабрик и т. п„ захват влияния в мобилизационных отделах снабжения армии и расстройство этого снабжения, а также и в мобилизационных отделах промышленности» (показания от 21 октября).</w:t>
      </w:r>
    </w:p>
    <w:p w14:paraId="5F4024BB" w14:textId="77777777" w:rsidR="00AA33CA" w:rsidRPr="00507A31" w:rsidRDefault="00AA33CA" w:rsidP="00507A31">
      <w:pPr>
        <w:jc w:val="both"/>
        <w:rPr>
          <w:color w:val="000000" w:themeColor="text1"/>
          <w:sz w:val="16"/>
          <w:szCs w:val="16"/>
        </w:rPr>
      </w:pPr>
      <w:r w:rsidRPr="00507A31">
        <w:rPr>
          <w:color w:val="000000" w:themeColor="text1"/>
          <w:sz w:val="16"/>
          <w:szCs w:val="16"/>
        </w:rPr>
        <w:t>Так конкретно уже ставили вопрос о своей работе по подготовке интервенции вредители. От «мирной» вредительской работы первых времен не осталось и следа.</w:t>
      </w:r>
    </w:p>
    <w:p w14:paraId="3ACDFCFD" w14:textId="77777777" w:rsidR="00AA33CA" w:rsidRPr="00507A31" w:rsidRDefault="00AA33CA" w:rsidP="00507A31">
      <w:pPr>
        <w:jc w:val="both"/>
        <w:rPr>
          <w:color w:val="000000" w:themeColor="text1"/>
          <w:sz w:val="16"/>
          <w:szCs w:val="16"/>
        </w:rPr>
      </w:pPr>
      <w:r w:rsidRPr="00507A31">
        <w:rPr>
          <w:color w:val="000000" w:themeColor="text1"/>
          <w:sz w:val="16"/>
          <w:szCs w:val="16"/>
        </w:rPr>
        <w:t>Связь с английским генштабом</w:t>
      </w:r>
    </w:p>
    <w:p w14:paraId="0B6F54B3" w14:textId="77777777" w:rsidR="00AA33CA" w:rsidRPr="00507A31" w:rsidRDefault="00AA33CA" w:rsidP="00507A31">
      <w:pPr>
        <w:jc w:val="both"/>
        <w:rPr>
          <w:color w:val="000000" w:themeColor="text1"/>
          <w:sz w:val="16"/>
          <w:szCs w:val="16"/>
        </w:rPr>
      </w:pPr>
      <w:r w:rsidRPr="00507A31">
        <w:rPr>
          <w:color w:val="000000" w:themeColor="text1"/>
          <w:sz w:val="16"/>
          <w:szCs w:val="16"/>
        </w:rPr>
        <w:t>На фоне активной роли правящих кругов Франции роль Англии представляется в несколько ином свете. Поскольку правящие круги Франции, имея в Париже под рукой «Торгпром» и военный центр белоэмигрантских русских военных организаций, захватили полностью руководство делом интервенции против СССР, роль Англии была, естественно, отодвинута на второй план.</w:t>
      </w:r>
    </w:p>
    <w:p w14:paraId="491101E3" w14:textId="77777777" w:rsidR="00AA33CA" w:rsidRPr="00507A31" w:rsidRDefault="00AA33CA" w:rsidP="00507A31">
      <w:pPr>
        <w:jc w:val="both"/>
        <w:rPr>
          <w:color w:val="000000" w:themeColor="text1"/>
          <w:sz w:val="16"/>
          <w:szCs w:val="16"/>
        </w:rPr>
      </w:pPr>
      <w:r w:rsidRPr="00507A31">
        <w:rPr>
          <w:color w:val="000000" w:themeColor="text1"/>
          <w:sz w:val="16"/>
          <w:szCs w:val="16"/>
        </w:rPr>
        <w:t>Такова картина заграничной работы «Торгпрома» и «Промпартии» по подготовке иностранной интервенции.</w:t>
      </w:r>
    </w:p>
    <w:p w14:paraId="2C823769" w14:textId="77777777" w:rsidR="00AA33CA" w:rsidRPr="00507A31" w:rsidRDefault="00AA33CA" w:rsidP="00507A31">
      <w:pPr>
        <w:jc w:val="both"/>
        <w:rPr>
          <w:color w:val="000000" w:themeColor="text1"/>
          <w:sz w:val="16"/>
          <w:szCs w:val="16"/>
        </w:rPr>
      </w:pPr>
      <w:r w:rsidRPr="00507A31">
        <w:rPr>
          <w:color w:val="000000" w:themeColor="text1"/>
          <w:sz w:val="16"/>
          <w:szCs w:val="16"/>
        </w:rPr>
        <w:t>Планы и сроки интервенции</w:t>
      </w:r>
    </w:p>
    <w:p w14:paraId="1A9477BC" w14:textId="77777777" w:rsidR="00AA33CA" w:rsidRPr="00507A31" w:rsidRDefault="00AA33CA" w:rsidP="00507A31">
      <w:pPr>
        <w:jc w:val="both"/>
        <w:rPr>
          <w:color w:val="000000" w:themeColor="text1"/>
          <w:sz w:val="16"/>
          <w:szCs w:val="16"/>
        </w:rPr>
      </w:pPr>
      <w:r w:rsidRPr="00507A31">
        <w:rPr>
          <w:color w:val="000000" w:themeColor="text1"/>
          <w:sz w:val="16"/>
          <w:szCs w:val="16"/>
        </w:rPr>
        <w:t>Картину этой работы можно закончить изложением точного плана интервенции, который был вывезен вредительской организацией из-за границы, срока интервенции в его отдельных измерениях и той работы, которую по указаниям из-за границы должны были совершить вредители в СССР для обеспечения успеха намеченного вооруженного вторжения.</w:t>
      </w:r>
    </w:p>
    <w:p w14:paraId="4CC230CD" w14:textId="77777777" w:rsidR="00AA33CA" w:rsidRPr="00507A31" w:rsidRDefault="00AA33CA" w:rsidP="00507A31">
      <w:pPr>
        <w:jc w:val="both"/>
        <w:rPr>
          <w:color w:val="000000" w:themeColor="text1"/>
          <w:sz w:val="16"/>
          <w:szCs w:val="16"/>
        </w:rPr>
      </w:pPr>
      <w:r w:rsidRPr="00507A31">
        <w:rPr>
          <w:color w:val="000000" w:themeColor="text1"/>
          <w:sz w:val="16"/>
          <w:szCs w:val="16"/>
        </w:rPr>
        <w:t>Вот что конкретно заявляет о намеченном плане интервенции Рамзин в показаниях от 21 сентября:</w:t>
      </w:r>
    </w:p>
    <w:p w14:paraId="50D70994" w14:textId="77777777" w:rsidR="00AA33CA" w:rsidRPr="00507A31" w:rsidRDefault="00AA33CA" w:rsidP="00507A31">
      <w:pPr>
        <w:jc w:val="both"/>
        <w:rPr>
          <w:color w:val="000000" w:themeColor="text1"/>
          <w:sz w:val="16"/>
          <w:szCs w:val="16"/>
        </w:rPr>
      </w:pPr>
      <w:r w:rsidRPr="00507A31">
        <w:rPr>
          <w:color w:val="000000" w:themeColor="text1"/>
          <w:sz w:val="16"/>
          <w:szCs w:val="16"/>
        </w:rPr>
        <w:t>«По сообщениям П. А. Пальчинского, основной руководительницей интервенции должна была являться Франция; но непосредственное осуществление последней намечалось при помощи военных сил Польши и Румынии с привлечением прибалтийских государств. По указаниям Пальчинского, существовали также, но весьма сомнительные[,] надежды на вовлечение Чехословакии и Югославии. В основном построения шли, однако, на Польшу и Румынию».</w:t>
      </w:r>
    </w:p>
    <w:p w14:paraId="64975C30" w14:textId="77777777" w:rsidR="00AA33CA" w:rsidRPr="00507A31" w:rsidRDefault="00AA33CA" w:rsidP="00507A31">
      <w:pPr>
        <w:jc w:val="both"/>
        <w:rPr>
          <w:color w:val="000000" w:themeColor="text1"/>
          <w:sz w:val="16"/>
          <w:szCs w:val="16"/>
        </w:rPr>
      </w:pPr>
      <w:r w:rsidRPr="00507A31">
        <w:rPr>
          <w:color w:val="000000" w:themeColor="text1"/>
          <w:sz w:val="16"/>
          <w:szCs w:val="16"/>
        </w:rPr>
        <w:t>Именно в этом смысле, по показанию Рамзина, велись переговоры Мещерским и Рябушинским с Пуанкаре и Брианом:</w:t>
      </w:r>
    </w:p>
    <w:p w14:paraId="1DB88D15" w14:textId="77777777" w:rsidR="00AA33CA" w:rsidRPr="00507A31" w:rsidRDefault="00AA33CA" w:rsidP="00507A31">
      <w:pPr>
        <w:jc w:val="both"/>
        <w:rPr>
          <w:color w:val="000000" w:themeColor="text1"/>
          <w:sz w:val="16"/>
          <w:szCs w:val="16"/>
        </w:rPr>
      </w:pPr>
      <w:r w:rsidRPr="00507A31">
        <w:rPr>
          <w:color w:val="000000" w:themeColor="text1"/>
          <w:sz w:val="16"/>
          <w:szCs w:val="16"/>
        </w:rPr>
        <w:t>«Основной смысл переговоров сводился к тому, что имеются реальные надежды на интервенцию, причем вероятным сроком ее намечался примерно 1930 г. Во главе военных сил при интервенции намечался генерал Лукомский. Для пропаганды интервенции за границей предполагалось установить связь с Гессеном и Каминкой (газета “Руль”)[»].</w:t>
      </w:r>
    </w:p>
    <w:p w14:paraId="4C092AD5" w14:textId="77777777" w:rsidR="00AA33CA" w:rsidRPr="00507A31" w:rsidRDefault="00AA33CA" w:rsidP="00507A31">
      <w:pPr>
        <w:jc w:val="both"/>
        <w:rPr>
          <w:color w:val="000000" w:themeColor="text1"/>
          <w:sz w:val="16"/>
          <w:szCs w:val="16"/>
        </w:rPr>
      </w:pPr>
      <w:r w:rsidRPr="00507A31">
        <w:rPr>
          <w:color w:val="000000" w:themeColor="text1"/>
          <w:sz w:val="16"/>
          <w:szCs w:val="16"/>
        </w:rPr>
        <w:t>Именно об этом плане и предполагаемом сроке шли дебаты на совещании «Торгпрома» и вредителей в Париже и еще раньше на совещании вредительского центра в Москве. Об этом совещании в Москве в первой половине 1928 г. в другом месте тех же показаний говорит Рамзин:</w:t>
      </w:r>
    </w:p>
    <w:p w14:paraId="16BCFCCE" w14:textId="77777777" w:rsidR="00AA33CA" w:rsidRPr="00507A31" w:rsidRDefault="00AA33CA" w:rsidP="00507A31">
      <w:pPr>
        <w:jc w:val="both"/>
        <w:rPr>
          <w:color w:val="000000" w:themeColor="text1"/>
          <w:sz w:val="16"/>
          <w:szCs w:val="16"/>
        </w:rPr>
      </w:pPr>
      <w:r w:rsidRPr="00507A31">
        <w:rPr>
          <w:color w:val="000000" w:themeColor="text1"/>
          <w:sz w:val="16"/>
          <w:szCs w:val="16"/>
        </w:rPr>
        <w:t>«Пальчинский сообщил, что, согласно сведениям, полученным из- за границы, можно ориентироваться на интервенцию примерно через 2 года, т. е. в 1930 г., поэтому необходимо вести работу с таким расчетом, чтобы приурочить к этому времени момент всеобщего кризиса. Руководительницей интервенции будет Франция, ибо бывш. русские промышленники уже имели благоприятные разговоры с Брианом и Пуанкаре, но непосредственное проведение военных операций будет выполнено, вероятно, Польшей и Румынией с привлечением лимитрофов; участие Чехословакии и Югославии не исключено, но сомнительно; непосредственным военным руководителем интервенционных войск выдвигается за границей генерал Лукомский».</w:t>
      </w:r>
    </w:p>
    <w:p w14:paraId="6B3B32FD" w14:textId="77777777" w:rsidR="00AA33CA" w:rsidRPr="00507A31" w:rsidRDefault="00AA33CA" w:rsidP="00507A31">
      <w:pPr>
        <w:jc w:val="both"/>
        <w:rPr>
          <w:color w:val="000000" w:themeColor="text1"/>
          <w:sz w:val="16"/>
          <w:szCs w:val="16"/>
        </w:rPr>
      </w:pPr>
      <w:r w:rsidRPr="00507A31">
        <w:rPr>
          <w:color w:val="000000" w:themeColor="text1"/>
          <w:sz w:val="16"/>
          <w:szCs w:val="16"/>
        </w:rPr>
        <w:t>На этом же заседании, видимо в связи с радужными надеждами, вредители обсуждали и состав правительства.</w:t>
      </w:r>
    </w:p>
    <w:p w14:paraId="5920110A" w14:textId="77777777" w:rsidR="00AA33CA" w:rsidRPr="00507A31" w:rsidRDefault="00AA33CA" w:rsidP="00507A31">
      <w:pPr>
        <w:jc w:val="both"/>
        <w:rPr>
          <w:color w:val="000000" w:themeColor="text1"/>
          <w:sz w:val="16"/>
          <w:szCs w:val="16"/>
        </w:rPr>
      </w:pPr>
      <w:r w:rsidRPr="00507A31">
        <w:rPr>
          <w:color w:val="000000" w:themeColor="text1"/>
          <w:sz w:val="16"/>
          <w:szCs w:val="16"/>
        </w:rPr>
        <w:t>Мотивы намечения срока интервенции на 1930 г., по сообщению Рамзина, были следующие:</w:t>
      </w:r>
    </w:p>
    <w:p w14:paraId="3E3A93A9" w14:textId="77777777" w:rsidR="00AA33CA" w:rsidRPr="00507A31" w:rsidRDefault="00AA33CA" w:rsidP="00507A31">
      <w:pPr>
        <w:jc w:val="both"/>
        <w:rPr>
          <w:color w:val="000000" w:themeColor="text1"/>
          <w:sz w:val="16"/>
          <w:szCs w:val="16"/>
        </w:rPr>
      </w:pPr>
      <w:r w:rsidRPr="00507A31">
        <w:rPr>
          <w:color w:val="000000" w:themeColor="text1"/>
          <w:sz w:val="16"/>
          <w:szCs w:val="16"/>
        </w:rPr>
        <w:t>«Согласно сообщений из белоэмигрантских промышленных кругов через Пальчинского, Федотова, а также непосредственно от Рябушинского через Рамзина и от “Торгпрома” через Рамзина и Ларичева переговоры белоэмигрантов с французским правительством как руководителем интервенции, а также и английским правительством, давали основание рассчитывать на возможность реально подготовить и осуществить интервенцию примерно к 1930 г. Таким образом, этот срок определялся политическими и военными соображениями» (18589).</w:t>
      </w:r>
    </w:p>
    <w:p w14:paraId="683F8ADE" w14:textId="77777777" w:rsidR="00AA33CA" w:rsidRPr="00507A31" w:rsidRDefault="00AA33CA" w:rsidP="00507A31">
      <w:pPr>
        <w:jc w:val="both"/>
        <w:rPr>
          <w:color w:val="000000" w:themeColor="text1"/>
          <w:sz w:val="16"/>
          <w:szCs w:val="16"/>
        </w:rPr>
      </w:pPr>
    </w:p>
    <w:p w14:paraId="68BF43A2" w14:textId="77777777" w:rsidR="003647D8" w:rsidRPr="00507A31" w:rsidRDefault="003647D8" w:rsidP="00507A31">
      <w:pPr>
        <w:jc w:val="both"/>
        <w:rPr>
          <w:color w:val="000000" w:themeColor="text1"/>
          <w:sz w:val="16"/>
          <w:szCs w:val="16"/>
        </w:rPr>
      </w:pPr>
      <w:r w:rsidRPr="00507A31">
        <w:rPr>
          <w:color w:val="000000" w:themeColor="text1"/>
          <w:sz w:val="16"/>
          <w:szCs w:val="16"/>
        </w:rPr>
        <w:t>11 ноября 1930 г.</w:t>
      </w:r>
    </w:p>
    <w:p w14:paraId="0C9287A7" w14:textId="77777777" w:rsidR="003647D8" w:rsidRPr="00507A31" w:rsidRDefault="003647D8" w:rsidP="00507A31">
      <w:pPr>
        <w:jc w:val="both"/>
        <w:rPr>
          <w:color w:val="000000" w:themeColor="text1"/>
          <w:sz w:val="16"/>
          <w:szCs w:val="16"/>
        </w:rPr>
      </w:pPr>
      <w:r w:rsidRPr="00507A31">
        <w:rPr>
          <w:color w:val="000000" w:themeColor="text1"/>
          <w:sz w:val="16"/>
          <w:szCs w:val="16"/>
        </w:rPr>
        <w:t>Письмо наркома юстиции РСФСР Н. М. Янсона в Политбюро ЦК ВКП(б) «о составе Особого Присутствия Верховного Суда СССР» в связи с процессом «Промпартии». 11 ноября 1930 г.</w:t>
      </w:r>
    </w:p>
    <w:p w14:paraId="6C6AD76C" w14:textId="77777777" w:rsidR="003647D8" w:rsidRPr="00507A31" w:rsidRDefault="003647D8" w:rsidP="00507A31">
      <w:pPr>
        <w:jc w:val="both"/>
        <w:rPr>
          <w:color w:val="000000" w:themeColor="text1"/>
          <w:sz w:val="16"/>
          <w:szCs w:val="16"/>
        </w:rPr>
      </w:pPr>
      <w:r w:rsidRPr="00507A31">
        <w:rPr>
          <w:color w:val="000000" w:themeColor="text1"/>
          <w:sz w:val="16"/>
          <w:szCs w:val="16"/>
        </w:rPr>
        <w:t>Источник: </w:t>
      </w:r>
    </w:p>
    <w:p w14:paraId="59D74E8E" w14:textId="77777777" w:rsidR="003647D8" w:rsidRPr="00507A31" w:rsidRDefault="003647D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ED9566" w14:textId="77777777" w:rsidR="003647D8" w:rsidRPr="00507A31" w:rsidRDefault="003647D8" w:rsidP="00507A31">
      <w:pPr>
        <w:jc w:val="both"/>
        <w:rPr>
          <w:color w:val="000000" w:themeColor="text1"/>
          <w:sz w:val="16"/>
          <w:szCs w:val="16"/>
        </w:rPr>
      </w:pPr>
      <w:r w:rsidRPr="00507A31">
        <w:rPr>
          <w:color w:val="000000" w:themeColor="text1"/>
          <w:sz w:val="16"/>
          <w:szCs w:val="16"/>
        </w:rPr>
        <w:t>11 ноября 1930 г.</w:t>
      </w:r>
    </w:p>
    <w:p w14:paraId="3C892E8A" w14:textId="77777777" w:rsidR="003647D8" w:rsidRPr="00507A31" w:rsidRDefault="003647D8" w:rsidP="00507A31">
      <w:pPr>
        <w:jc w:val="both"/>
        <w:rPr>
          <w:color w:val="000000" w:themeColor="text1"/>
          <w:sz w:val="16"/>
          <w:szCs w:val="16"/>
        </w:rPr>
      </w:pPr>
      <w:r w:rsidRPr="00507A31">
        <w:rPr>
          <w:color w:val="000000" w:themeColor="text1"/>
          <w:sz w:val="16"/>
          <w:szCs w:val="16"/>
        </w:rPr>
        <w:t>Совершенно секретно.</w:t>
      </w:r>
    </w:p>
    <w:p w14:paraId="75CB3EB8" w14:textId="77777777" w:rsidR="003647D8" w:rsidRPr="00507A31" w:rsidRDefault="003647D8" w:rsidP="00507A31">
      <w:pPr>
        <w:jc w:val="both"/>
        <w:rPr>
          <w:color w:val="000000" w:themeColor="text1"/>
          <w:sz w:val="16"/>
          <w:szCs w:val="16"/>
        </w:rPr>
      </w:pPr>
      <w:r w:rsidRPr="00507A31">
        <w:rPr>
          <w:color w:val="000000" w:themeColor="text1"/>
          <w:sz w:val="16"/>
          <w:szCs w:val="16"/>
        </w:rPr>
        <w:t>Политбюро ЦК ВКП(б)</w:t>
      </w:r>
    </w:p>
    <w:p w14:paraId="113209D7" w14:textId="77777777" w:rsidR="003647D8" w:rsidRPr="00507A31" w:rsidRDefault="003647D8" w:rsidP="00507A31">
      <w:pPr>
        <w:jc w:val="both"/>
        <w:rPr>
          <w:color w:val="000000" w:themeColor="text1"/>
          <w:sz w:val="16"/>
          <w:szCs w:val="16"/>
        </w:rPr>
      </w:pPr>
      <w:r w:rsidRPr="00507A31">
        <w:rPr>
          <w:color w:val="000000" w:themeColor="text1"/>
          <w:sz w:val="16"/>
          <w:szCs w:val="16"/>
        </w:rPr>
        <w:t>тов. СТАЛИНУ.</w:t>
      </w:r>
    </w:p>
    <w:p w14:paraId="47B02D49" w14:textId="77777777" w:rsidR="003647D8" w:rsidRPr="00507A31" w:rsidRDefault="003647D8" w:rsidP="00507A31">
      <w:pPr>
        <w:jc w:val="both"/>
        <w:rPr>
          <w:color w:val="000000" w:themeColor="text1"/>
          <w:sz w:val="16"/>
          <w:szCs w:val="16"/>
        </w:rPr>
      </w:pPr>
      <w:r w:rsidRPr="00507A31">
        <w:rPr>
          <w:color w:val="000000" w:themeColor="text1"/>
          <w:sz w:val="16"/>
          <w:szCs w:val="16"/>
        </w:rPr>
        <w:t>По согласовании с т.т. Менжинским и Крыленко, вношу на утверждение Комиссии Политбюро следующий список состава Особого Присутствия Верховного Суда СССР по делу Рамзина, Калинникова, Ларичева и др.:</w:t>
      </w:r>
    </w:p>
    <w:p w14:paraId="4CC61B7E" w14:textId="77777777" w:rsidR="003647D8" w:rsidRPr="00507A31" w:rsidRDefault="003647D8" w:rsidP="00507A31">
      <w:pPr>
        <w:jc w:val="both"/>
        <w:rPr>
          <w:color w:val="000000" w:themeColor="text1"/>
          <w:sz w:val="16"/>
          <w:szCs w:val="16"/>
        </w:rPr>
      </w:pPr>
      <w:r w:rsidRPr="00507A31">
        <w:rPr>
          <w:color w:val="000000" w:themeColor="text1"/>
          <w:sz w:val="16"/>
          <w:szCs w:val="16"/>
        </w:rPr>
        <w:t>ВЫШИНСКИЙ Андрей Януарович - председатель Суда;</w:t>
      </w:r>
    </w:p>
    <w:p w14:paraId="67197FAC" w14:textId="77777777" w:rsidR="003647D8" w:rsidRPr="00507A31" w:rsidRDefault="003647D8" w:rsidP="00507A31">
      <w:pPr>
        <w:jc w:val="both"/>
        <w:rPr>
          <w:color w:val="000000" w:themeColor="text1"/>
          <w:sz w:val="16"/>
          <w:szCs w:val="16"/>
        </w:rPr>
      </w:pPr>
      <w:r w:rsidRPr="00507A31">
        <w:rPr>
          <w:color w:val="000000" w:themeColor="text1"/>
          <w:sz w:val="16"/>
          <w:szCs w:val="16"/>
        </w:rPr>
        <w:t>АНТОНОВ-САРАТОВСКИЙ Владимир Павлович Член Верхсуда СССР - Член Суда;</w:t>
      </w:r>
    </w:p>
    <w:p w14:paraId="5843CD96" w14:textId="77777777" w:rsidR="003647D8" w:rsidRPr="00507A31" w:rsidRDefault="003647D8" w:rsidP="00507A31">
      <w:pPr>
        <w:jc w:val="both"/>
        <w:rPr>
          <w:color w:val="000000" w:themeColor="text1"/>
          <w:sz w:val="16"/>
          <w:szCs w:val="16"/>
        </w:rPr>
      </w:pPr>
      <w:r w:rsidRPr="00507A31">
        <w:rPr>
          <w:color w:val="000000" w:themeColor="text1"/>
          <w:sz w:val="16"/>
          <w:szCs w:val="16"/>
        </w:rPr>
        <w:t>ЛЬВОВ Василий Львович рабочий-кузовщик завода «АМО», член Партии с 1919 г., возраст - 54 г., производственный стаж - 42 г. - Член Суда;</w:t>
      </w:r>
    </w:p>
    <w:p w14:paraId="3C32E71B" w14:textId="77777777" w:rsidR="003647D8" w:rsidRPr="00507A31" w:rsidRDefault="003647D8" w:rsidP="00507A31">
      <w:pPr>
        <w:jc w:val="both"/>
        <w:rPr>
          <w:color w:val="000000" w:themeColor="text1"/>
          <w:sz w:val="16"/>
          <w:szCs w:val="16"/>
        </w:rPr>
      </w:pPr>
      <w:r w:rsidRPr="00507A31">
        <w:rPr>
          <w:color w:val="000000" w:themeColor="text1"/>
          <w:sz w:val="16"/>
          <w:szCs w:val="16"/>
        </w:rPr>
        <w:t>ИВАНОВ Павел Александрович рабочий-слесарь завода «Красный Путиловец» в Ленинграде, член Партии с 1918 г., производственный стаж 25 л., член Райкома ВКП(б) - запасной судья.</w:t>
      </w:r>
    </w:p>
    <w:p w14:paraId="07D8DB11" w14:textId="77777777" w:rsidR="003647D8" w:rsidRPr="00507A31" w:rsidRDefault="003647D8" w:rsidP="00507A31">
      <w:pPr>
        <w:jc w:val="both"/>
        <w:rPr>
          <w:color w:val="000000" w:themeColor="text1"/>
          <w:sz w:val="16"/>
          <w:szCs w:val="16"/>
        </w:rPr>
      </w:pPr>
      <w:r w:rsidRPr="00507A31">
        <w:rPr>
          <w:color w:val="000000" w:themeColor="text1"/>
          <w:sz w:val="16"/>
          <w:szCs w:val="16"/>
        </w:rPr>
        <w:t>Замечания:</w:t>
      </w:r>
    </w:p>
    <w:p w14:paraId="2558D001" w14:textId="77777777" w:rsidR="003647D8" w:rsidRPr="00507A31" w:rsidRDefault="003647D8" w:rsidP="00507A31">
      <w:pPr>
        <w:jc w:val="both"/>
        <w:rPr>
          <w:color w:val="000000" w:themeColor="text1"/>
          <w:sz w:val="16"/>
          <w:szCs w:val="16"/>
        </w:rPr>
      </w:pPr>
      <w:r w:rsidRPr="00507A31">
        <w:rPr>
          <w:color w:val="000000" w:themeColor="text1"/>
          <w:sz w:val="16"/>
          <w:szCs w:val="16"/>
        </w:rPr>
        <w:t>1. Тов. Антонова-Саратовского я вызывал на личные переговоры и договорился с ним, что все его вопросы и выступления в зале суда будут строжайшим образом согласованы с Председателем Суда.</w:t>
      </w:r>
    </w:p>
    <w:p w14:paraId="5B306C03" w14:textId="77777777" w:rsidR="003647D8" w:rsidRPr="00507A31" w:rsidRDefault="003647D8" w:rsidP="00507A31">
      <w:pPr>
        <w:jc w:val="both"/>
        <w:rPr>
          <w:color w:val="000000" w:themeColor="text1"/>
          <w:sz w:val="16"/>
          <w:szCs w:val="16"/>
        </w:rPr>
      </w:pPr>
      <w:r w:rsidRPr="00507A31">
        <w:rPr>
          <w:color w:val="000000" w:themeColor="text1"/>
          <w:sz w:val="16"/>
          <w:szCs w:val="16"/>
        </w:rPr>
        <w:t>Тов. Львова - рабочего завода «АМО», имеющего хорошие отзывы от местных партийных и общественных организаций, я вызывал к себе лично, с ним ознакомился и считаю вполне подходящей кандидатурой.</w:t>
      </w:r>
    </w:p>
    <w:p w14:paraId="6BAC8B06" w14:textId="77777777" w:rsidR="003647D8" w:rsidRPr="00507A31" w:rsidRDefault="003647D8" w:rsidP="00507A31">
      <w:pPr>
        <w:jc w:val="both"/>
        <w:rPr>
          <w:color w:val="000000" w:themeColor="text1"/>
          <w:sz w:val="16"/>
          <w:szCs w:val="16"/>
        </w:rPr>
      </w:pPr>
      <w:r w:rsidRPr="00507A31">
        <w:rPr>
          <w:color w:val="000000" w:themeColor="text1"/>
          <w:sz w:val="16"/>
          <w:szCs w:val="16"/>
        </w:rPr>
        <w:t>Тов. Иванова через ВЦСПС выдвинул Ленинградский Областной Совет Профсоюзов. Лично я его не видел, но данные о нем вполне удовлетворительные, а роль его в качестве Запасного Судьи более ограниченная.</w:t>
      </w:r>
    </w:p>
    <w:p w14:paraId="555E6083" w14:textId="77777777" w:rsidR="003647D8" w:rsidRPr="00507A31" w:rsidRDefault="003647D8" w:rsidP="00507A31">
      <w:pPr>
        <w:jc w:val="both"/>
        <w:rPr>
          <w:color w:val="000000" w:themeColor="text1"/>
          <w:sz w:val="16"/>
          <w:szCs w:val="16"/>
        </w:rPr>
      </w:pPr>
      <w:r w:rsidRPr="00507A31">
        <w:rPr>
          <w:color w:val="000000" w:themeColor="text1"/>
          <w:sz w:val="16"/>
          <w:szCs w:val="16"/>
        </w:rPr>
        <w:t>Прошу Комиссию Политбюро этот состав Суда утвердить и передать на оформление в ЦИК Союза ССР.</w:t>
      </w:r>
    </w:p>
    <w:p w14:paraId="20A95AD5" w14:textId="77777777" w:rsidR="003647D8" w:rsidRPr="00507A31" w:rsidRDefault="003647D8" w:rsidP="00507A31">
      <w:pPr>
        <w:jc w:val="both"/>
        <w:rPr>
          <w:color w:val="000000" w:themeColor="text1"/>
          <w:sz w:val="16"/>
          <w:szCs w:val="16"/>
        </w:rPr>
      </w:pPr>
      <w:r w:rsidRPr="00507A31">
        <w:rPr>
          <w:color w:val="000000" w:themeColor="text1"/>
          <w:sz w:val="16"/>
          <w:szCs w:val="16"/>
        </w:rPr>
        <w:t>Н. Янсон</w:t>
      </w:r>
    </w:p>
    <w:p w14:paraId="1C0E5DAB" w14:textId="77777777" w:rsidR="003647D8" w:rsidRPr="00507A31" w:rsidRDefault="003647D8" w:rsidP="00507A31">
      <w:pPr>
        <w:jc w:val="both"/>
        <w:rPr>
          <w:color w:val="000000" w:themeColor="text1"/>
          <w:sz w:val="16"/>
          <w:szCs w:val="16"/>
        </w:rPr>
      </w:pPr>
      <w:r w:rsidRPr="00507A31">
        <w:rPr>
          <w:color w:val="000000" w:themeColor="text1"/>
          <w:sz w:val="16"/>
          <w:szCs w:val="16"/>
        </w:rPr>
        <w:t>Д. 355. Л. 170-170 об. Машинописный подлинник на бланке Наркомата юстиции РСФСР, подпись - автограф. Гриф секретности машинописью, дата - машинописью в графе бланка. Рукописная помета на Л. 170 вверху слева «Спр[осить] Крыленко о 15-м». На Л. 170 вверху справа - прямоугольный штамп с вписанными от руки номером (№ 15) и пунктом (п. 24) протокола заседания Политбюро ЦК ВКП(б) (18610).</w:t>
      </w:r>
    </w:p>
    <w:p w14:paraId="6E2C3D1D" w14:textId="77777777" w:rsidR="003647D8" w:rsidRPr="00507A31" w:rsidRDefault="003647D8" w:rsidP="00507A31">
      <w:pPr>
        <w:jc w:val="both"/>
        <w:rPr>
          <w:color w:val="000000" w:themeColor="text1"/>
          <w:sz w:val="16"/>
          <w:szCs w:val="16"/>
        </w:rPr>
      </w:pPr>
    </w:p>
    <w:p w14:paraId="32317321" w14:textId="77777777" w:rsidR="003647D8" w:rsidRPr="00507A31" w:rsidRDefault="003647D8"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E1A7A8D" w14:textId="77777777" w:rsidR="003647D8" w:rsidRPr="00507A31" w:rsidRDefault="003647D8" w:rsidP="00507A31">
      <w:pPr>
        <w:autoSpaceDE w:val="0"/>
        <w:autoSpaceDN w:val="0"/>
        <w:adjustRightInd w:val="0"/>
        <w:jc w:val="both"/>
        <w:rPr>
          <w:color w:val="000000" w:themeColor="text1"/>
          <w:sz w:val="16"/>
          <w:szCs w:val="16"/>
        </w:rPr>
      </w:pPr>
    </w:p>
    <w:p w14:paraId="48DC4A97" w14:textId="77777777" w:rsidR="003647D8" w:rsidRPr="00507A31" w:rsidRDefault="003647D8" w:rsidP="00507A31">
      <w:pPr>
        <w:jc w:val="both"/>
        <w:rPr>
          <w:bCs/>
          <w:color w:val="000000" w:themeColor="text1"/>
          <w:sz w:val="16"/>
          <w:szCs w:val="16"/>
        </w:rPr>
      </w:pPr>
      <w:r w:rsidRPr="00507A31">
        <w:rPr>
          <w:color w:val="000000" w:themeColor="text1"/>
          <w:sz w:val="16"/>
          <w:szCs w:val="16"/>
        </w:rPr>
        <w:t>11 ноября 1930 г.</w:t>
      </w:r>
    </w:p>
    <w:p w14:paraId="462654C1" w14:textId="77777777" w:rsidR="003647D8" w:rsidRPr="00507A31" w:rsidRDefault="003647D8"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публикации в советской прессе обвинительного заключения по «делу “Промпартии”» и его содержании. 11 ноября 1930 г.</w:t>
      </w:r>
    </w:p>
    <w:p w14:paraId="478E380B"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Источник: </w:t>
      </w:r>
    </w:p>
    <w:p w14:paraId="3608E639" w14:textId="77777777" w:rsidR="003647D8" w:rsidRPr="00507A31" w:rsidRDefault="003647D8" w:rsidP="00507A31">
      <w:pPr>
        <w:jc w:val="both"/>
        <w:rPr>
          <w:color w:val="000000" w:themeColor="text1"/>
          <w:sz w:val="16"/>
          <w:szCs w:val="16"/>
        </w:rPr>
      </w:pPr>
      <w:r w:rsidRPr="00507A31">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74E596"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11 ноября 1930 г.</w:t>
      </w:r>
    </w:p>
    <w:p w14:paraId="35986CE8"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Входящая телеграмма</w:t>
      </w:r>
    </w:p>
    <w:p w14:paraId="3396C9B6"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Шифровальный отдел</w:t>
      </w:r>
    </w:p>
    <w:p w14:paraId="3AC52542"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№616-620</w:t>
      </w:r>
    </w:p>
    <w:p w14:paraId="38331C29"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Москва, 11 ноября 1930,14.40.</w:t>
      </w:r>
    </w:p>
    <w:p w14:paraId="1BCC19CD"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Получено: 11 ноября, 14.15.</w:t>
      </w:r>
    </w:p>
    <w:p w14:paraId="00069D33"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Сегодня газеты опубликовали обвинительное заключение против восьми советских профессоров и инженеров. Их обвиняют в том, что они совместно с иностранными правительствами и агентами занимались вредительством и шпионажем с целью организовать военную интервенцию нескольких стран против СССР и сменить советский режим буржуазно-демократической республикой.</w:t>
      </w:r>
    </w:p>
    <w:p w14:paraId="18C96B32"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Главный обвиняемый — Рамзин, директор Теплотехнического института.</w:t>
      </w:r>
    </w:p>
    <w:p w14:paraId="02222374"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Основная иностранная держава, против которой направлено обвинительное заключение, — Франция.</w:t>
      </w:r>
    </w:p>
    <w:p w14:paraId="72B6C271"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Основываясь на признаниях, которые обвиняемые якобы сделали в последние дни, обвинительное заключение утверждает, что существовало две контрреволюционные организации, одна в Париже, другая в Москве. Парижская организация называлась «Торгово-промышленный комитет», или «Торгпром», и включала в себя Денисова, Нобеля, Гукасова, Манташева, Рябушинского, Третьякова и т. д. Московская организация «Промышленная партия» включала в свой состав, в частности, Рамзина, Калинникова, Ларичева и т. д. Она якобы состояла в контакте с парижской, а также с французским генеральным штабом. Связь осуществлялась во время поездок некоторых членов московской организации в Париж и с помощью двух французских агентов, проживающих в Москве. Их обозначают буквами К. и Р. Кроме того, московская организация якобы была связана с Англией.</w:t>
      </w:r>
    </w:p>
    <w:p w14:paraId="684E64A0"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Что касается подготовки иностранной интервенции, суть этих обвинений резюмирует следующий подзаголовок: «Личные переговоры Пуанкаре и Бриана с Торгпромом». Согласно обвинительному заключению, начиная с 1928 года, парижская революционная организация обращалась к Пуанкаре, в то время председателю Совета и к Бриану, министру иностранных дел. Пуанкаре якобы принял Рябушинского, Третьякова и Лианозова и обсуждал с ними интервенцию, в которой должны были принять участие «силы Польши, Румынии, Эстонии и Латвии с небольшим участием французских войск и флота под руководством французского штаба и офицеров». Обвиняемый Чарновский якобы заявил, что надежды на интервенцию, которые питали промышленники Рябушинский и Коно(й)ов основывались на личных разговорах, которые они вели с представителем французского правительства Брианом и с французским генеральным штабом. Обвиняемый Ситнин якобы утверждал, что «Пуанкаре обещал полную поддержку интервенции и считает, что к 1930-1931 году можно надеяться на полный успех интервенции». Судя по высказываниям некоего Карпова, Пуанкаре даже заявил, что «практическая работа по подготовке интервенции поручена французскому генштабу».</w:t>
      </w:r>
    </w:p>
    <w:p w14:paraId="22774B55"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 этом генеральном штабе якобы была создана специальная комиссия под руководством генерала Жанена, чтобы готовить интервенцию против СССР. Среди французских офицеров, которые, будто бы, постоянно поддерживали контакт с русскими контрреволюционерами, обвинительное заключение называет также полковников Жуанвиля и Ришара. Наконец, обвиняемый Калинников заявил, что Рябушинский, член парижской контрреволюционной организации, «поддерживал связь с французским правительством с помощью Лушера».</w:t>
      </w:r>
    </w:p>
    <w:p w14:paraId="5591C35C"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Военная интервенция, в которой генерал Лукомский должен был играть важную роль, была сначала намечена на 1930-й год, но потом была перенесена на 1931-й, в частности из-за напряженности франко-итальянских отношений и нетвердой позиции Германии по этому вопросу. План интервенции 1928 года состоял из следующих пунктов: происшествие на советско-румынской границе, объявление Польшей войны СССР, выступление бывшей армии Врангеля через румынскую территорию, высадка казаков Краснова на берег Черного моря, операции английского флота в Черном море и Финском заливе. Главное наступление должно было быть в направлении Москвы. Другое наступление было предусмотрено на Ленинград, в то время как южная армия действовала бы на правом берегу Днепра.</w:t>
      </w:r>
    </w:p>
    <w:p w14:paraId="54008533"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Согласно заявлениям обвиняемого Ларичева, ведущая роль в организации интервенции принадлежала Франции, которая подготавливала свою программу интервенции при активном участии английского правительства. Последнее действовало в интересах группы Детердинга (речь шла, в частности о том, чтобы завладеть Баку и Грозным).</w:t>
      </w:r>
    </w:p>
    <w:p w14:paraId="3302DB22"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Обвиняемый Рамзин якобы показал со слов эмигранта Денисова, что «основные переговоры по организации интервенции велись во Франции с Брианом и в Англии с Уинстоном Черчилем», правда, содержали несколько спорных моментов: «Так, у Польши, естественно, есть претензии на часть Украины, расположенной по правому берегу Днепра».</w:t>
      </w:r>
    </w:p>
    <w:p w14:paraId="0F9D6685"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Перенос военных действий на более позднее время не значил отказ от самого плана интервенции. Согласно обвиняемому Ларичеву, этот план должен был быть реализован в 1931 году. Был намечен и новый повод к войне. Польша должна была завладеть Литвой и таким образом спровоцировать международный конфликт, в который был бы втянут СССР. Из него последовала бы «вооруженная борьба СССР против Польши и Румынии».</w:t>
      </w:r>
    </w:p>
    <w:p w14:paraId="2472B484"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Члены московской контрреволюционной организации обвиняются в том, что они участвовали в подготовке этой военной интервенции, занимаясь экономическим саботажем в СССР и снабжая сведениями французский генштаб посредством двух вышеупомянутых агентов. Эти агенты якобы «находились среди должностных лиц французской службы в СССР».</w:t>
      </w:r>
    </w:p>
    <w:p w14:paraId="5F83E845"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Один из этих агентов (обозначаемый в обвинительном заключении буквой А. или Р.) якобы пытался получить сведения о воздушных силах СССР весной и в конце 1929 года: в феврале или марте 1930 года он, будто бы, заявил, что собирается временно уехать из Москвы заграницу. Другой агент (обозначаемый буквой К) якобы находился в личных отношениях с Рамзиным, Оч[к]иным и др. Прошлой зимой Оч[к]ин, будто бы, дважды передавал ему письма от Рамзина. Заключение прокурора резюмирует вышеприведенные обвинения следующим образом:</w:t>
      </w:r>
    </w:p>
    <w:p w14:paraId="6272815F"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«Они (т. е. обвиняемые) вошли через Торгпром в преступные сношения с подготовлявшими военное нападение на СССР правящими кругами Франции в лице бывшего главы французского правительства Пуанкаре и министра иностранных дел Бриана и разрабатывавшими по указанию последних план военного нападения на СССР офицерами генерального штаба Франции Жаненом и Ришаром». «Установив по договоренности с генеральным штабом Франции личную связь со специально условленными для этого должностными лицами французской службы гг. К. и Р., они (то есть обвиняемые) получали и исполняли задания генерального штаба Франции по шпионажу».</w:t>
      </w:r>
    </w:p>
    <w:p w14:paraId="5DD9FF56"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Таковы основные черты опубликованного сегодня официального документа, который занимает не менее трех с половиной страниц в Известиях.</w:t>
      </w:r>
    </w:p>
    <w:p w14:paraId="0F2580AE"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Жан Эрбет</w:t>
      </w:r>
    </w:p>
    <w:p w14:paraId="2CC63F0C" w14:textId="77777777" w:rsidR="003647D8" w:rsidRPr="00507A31" w:rsidRDefault="003647D8"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4-12. Машинописный текст телеграммы, полученный из шифровального отдела, подпись машинописью. Штамп Департамента политических и торговых дел с вписанным от руки номером о сдаче в архив «z 619-20 s/d5» (18749).</w:t>
      </w:r>
    </w:p>
    <w:p w14:paraId="4C6D6CCD" w14:textId="77777777" w:rsidR="003647D8" w:rsidRPr="00507A31" w:rsidRDefault="003647D8" w:rsidP="00507A31">
      <w:pPr>
        <w:jc w:val="both"/>
        <w:rPr>
          <w:color w:val="000000" w:themeColor="text1"/>
          <w:sz w:val="16"/>
          <w:szCs w:val="16"/>
        </w:rPr>
      </w:pPr>
    </w:p>
    <w:p w14:paraId="1CF3CC37" w14:textId="77777777" w:rsidR="003647D8" w:rsidRPr="00507A31" w:rsidRDefault="003647D8" w:rsidP="00507A31">
      <w:pPr>
        <w:jc w:val="both"/>
        <w:rPr>
          <w:bCs/>
          <w:color w:val="000000" w:themeColor="text1"/>
          <w:sz w:val="16"/>
          <w:szCs w:val="16"/>
        </w:rPr>
      </w:pPr>
      <w:r w:rsidRPr="00507A31">
        <w:rPr>
          <w:color w:val="000000" w:themeColor="text1"/>
          <w:sz w:val="16"/>
          <w:szCs w:val="16"/>
        </w:rPr>
        <w:t>11 ноября 1930 г.</w:t>
      </w:r>
    </w:p>
    <w:p w14:paraId="4FEE285B" w14:textId="77777777" w:rsidR="003647D8" w:rsidRPr="00507A31" w:rsidRDefault="003647D8"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заявленном им в НКИД протесте и о его встрече с Н. Н. Крестинским. 11 ноября 1930 г.</w:t>
      </w:r>
    </w:p>
    <w:p w14:paraId="7E8F04BF"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Источник: </w:t>
      </w:r>
    </w:p>
    <w:p w14:paraId="4FB5FD7C" w14:textId="77777777" w:rsidR="003647D8" w:rsidRPr="00507A31" w:rsidRDefault="003647D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3CA5FAE"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11 ноября 1930 г.</w:t>
      </w:r>
    </w:p>
    <w:p w14:paraId="55C563B0"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Входящая телеграмма</w:t>
      </w:r>
    </w:p>
    <w:p w14:paraId="108E29BD"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Шифровальный отдел</w:t>
      </w:r>
    </w:p>
    <w:p w14:paraId="38E3E01F"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№621-624</w:t>
      </w:r>
    </w:p>
    <w:p w14:paraId="1919E266"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Москва, 11 ноября 1930,18.35</w:t>
      </w:r>
    </w:p>
    <w:p w14:paraId="110F346E"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Получено: 11 ноября, 18.30</w:t>
      </w:r>
    </w:p>
    <w:p w14:paraId="0F5B1D7B"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Ссылаюсь на свою предыдущую телеграмму.</w:t>
      </w:r>
    </w:p>
    <w:p w14:paraId="3586B008"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Вот французский перевод заявления, которое я сделал сегодня в 16 часов Крестинскому, заместителю наркома иностранных дел:</w:t>
      </w:r>
    </w:p>
    <w:p w14:paraId="0B1BED2A"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«Мое правительство, возможно, еще не ознакомилось с обвинительным заключением, опубликованным Вашим правительством сегодня утром. Я должен, таким образом, оставить за собой право высказать позднее те соображения, которые, возможно, пожелает сделать мое правительство по этому вопросу. Но я достаточно хорошо знаю, как обычно действует мое правительство, чтобы уже сейчас выразить энергичный протест:</w:t>
      </w:r>
    </w:p>
    <w:p w14:paraId="496617F5"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1. против того факта, что в официальном документе, опубликованном Вашим правительством, подвергаются подобным нападкам бывшие и действующие члены французского правительства (Пуанкаре, Бриан, Лушер).</w:t>
      </w:r>
    </w:p>
    <w:p w14:paraId="6CB1F894"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2. против того факта, что роль французского генерального штаба и французских офицеров была представлена таким образом, что, кажется, будто Франция готовит войну против Вашей страны, в то время как Ваше правительство знает, что Франция стремится исключительно к миру.</w:t>
      </w:r>
    </w:p>
    <w:p w14:paraId="029A3929"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lastRenderedPageBreak/>
        <w:t>3. против того факта, что намеки на французских должностных лиц, проживающих в СССР, были сделаны в таких терминах, что может показаться, будто эти лица прямо или косвенно связаны с посольством Франции. Тем не менее, Ваше правительство прекрасно знает, что это посольство никогда не занималось шпионажем: за неимением простого доверия к посольству Франции, за ним было установлено наблюдение.</w:t>
      </w:r>
    </w:p>
    <w:p w14:paraId="718F82E1"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Впрочем, я должен обратить Ваше внимание на тот факт, что при ознакомлении с опубликованным сегодня утром документом читатели советских газет могут испытать чувства, способные подтолкнуть их к эксцессам в отношении проживающих в СССР французов. Если подобные инциденты будут иметь место, ответственность за них будет нести Ваше правительство, которое опубликовало этот документ».</w:t>
      </w:r>
    </w:p>
    <w:p w14:paraId="299CD94B"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Крестинский ответил, что принимает мой протест.</w:t>
      </w:r>
    </w:p>
    <w:p w14:paraId="0148DDDA"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Он категорически опроверг предположение, что проживающим на территории СССР французам может угрожать какая-либо опасность.</w:t>
      </w:r>
    </w:p>
    <w:p w14:paraId="6373B23C"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Что касается нападок на французских государственных деятелей, Крестинский объяснил, что судебные органы СССР не могли не учитывать полученных ими признаний.</w:t>
      </w:r>
    </w:p>
    <w:p w14:paraId="688990EC"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Я ответил, что судебные органы СССР неведомыми мне способами получили признания только тех людей, которые не находились в контакте ни с одним французским государственным деятелем и которые, соответственно, могли передать только свои разговоры с русскими эмигрантами, чьи свидетельские показания советская юстиция никоим образом не в состоянии заслушать. Я добавил, что не было ни доказательств, ни даже судебного следствия в полном смысле этого слова, и что на подобном основании неправомерно предъявлять обвинения против выдающихся личностей иностранных государств.</w:t>
      </w:r>
    </w:p>
    <w:p w14:paraId="00898CF9"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Касательно роли французского генштаба, на которую ссылался Крестинский, я ответил, что обвинение против французского генштаба равнозначно утверждению, что Франция стремится к войне, и что подобное утверждение вынуждает меня незамедлительно выразить протест.</w:t>
      </w:r>
    </w:p>
    <w:p w14:paraId="37F1DAC3"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Что касается посольства, Крестинский сказал, что главный прокурор Крыленко приложил все усилия, для того чтобы оно не было упомянуто. Я ответил, что население вполне может ошибиться и что я не могу допускать неясностей в этом вопросе, зная, что посольство всегда действовало корректно.</w:t>
      </w:r>
    </w:p>
    <w:p w14:paraId="54624E6B"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К рассказу о своем сегодняшнем демарше у Крестинского я должен добавить, что посольству неизвестно ни одно из советских лиц, названных в качестве членов контрреволюционной организации (кроме тех случаев, когда тот или иной из этих профессоров и инженеров получали наши визы по просьбе самого советского правительства).</w:t>
      </w:r>
    </w:p>
    <w:p w14:paraId="5A675388"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Я видел профессора Рамзина в 1925 году, когда дипкорпус был приглашен на открытие его института, но ни я, ни мои сотрудники не помнят, чтобы видели его с тех пор. Что касается профессора Тарле, о котором Вы пишете в Вашей телеграмме № 333, и на которого якобы указывали обвиняемые как на будущего министра иностранных дел, я с ним не знаком, как я и указывал в своей телеграмме № 585. Никто из сотрудников этого посольства не смог предоставить мне ни малейшей информации о других обвиняемых. Посольство не располагает информацией о присутствии так называемых французских шпионов в СССР. Более того, обвинения, касающиеся этого вопроса, не соответствуют, даже в самой отдаленной форме, той информации о французах, бывших в СССР, которой обладает данное посольство.</w:t>
      </w:r>
    </w:p>
    <w:p w14:paraId="48FC817D"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Жан Эрбет</w:t>
      </w:r>
    </w:p>
    <w:p w14:paraId="1A0086A2" w14:textId="77777777" w:rsidR="003647D8" w:rsidRPr="00507A31" w:rsidRDefault="003647D8"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13-17. Машинописный текст телеграммы, полученный из шифровального отдела, подпись машинописью в правом нижнем углу на Л. 14-17 (18750).</w:t>
      </w:r>
    </w:p>
    <w:p w14:paraId="2139AFBF" w14:textId="77777777" w:rsidR="003647D8" w:rsidRPr="00507A31" w:rsidRDefault="003647D8" w:rsidP="00507A31">
      <w:pPr>
        <w:jc w:val="both"/>
        <w:rPr>
          <w:color w:val="000000" w:themeColor="text1"/>
          <w:sz w:val="16"/>
          <w:szCs w:val="16"/>
        </w:rPr>
      </w:pPr>
    </w:p>
    <w:p w14:paraId="3D180362" w14:textId="77777777" w:rsidR="003647D8" w:rsidRPr="00507A31" w:rsidRDefault="003647D8" w:rsidP="00507A31">
      <w:pPr>
        <w:jc w:val="both"/>
        <w:rPr>
          <w:bCs/>
          <w:color w:val="000000" w:themeColor="text1"/>
          <w:sz w:val="16"/>
          <w:szCs w:val="16"/>
        </w:rPr>
      </w:pPr>
      <w:r w:rsidRPr="00507A31">
        <w:rPr>
          <w:color w:val="000000" w:themeColor="text1"/>
          <w:sz w:val="16"/>
          <w:szCs w:val="16"/>
        </w:rPr>
        <w:t>11 ноября 1930 г.</w:t>
      </w:r>
    </w:p>
    <w:p w14:paraId="5D46AE00" w14:textId="77777777" w:rsidR="003647D8" w:rsidRPr="00507A31" w:rsidRDefault="003647D8" w:rsidP="00507A31">
      <w:pPr>
        <w:jc w:val="both"/>
        <w:rPr>
          <w:bCs/>
          <w:color w:val="000000" w:themeColor="text1"/>
          <w:sz w:val="16"/>
          <w:szCs w:val="16"/>
        </w:rPr>
      </w:pPr>
      <w:r w:rsidRPr="00507A31">
        <w:rPr>
          <w:color w:val="000000" w:themeColor="text1"/>
          <w:sz w:val="16"/>
          <w:szCs w:val="16"/>
        </w:rPr>
        <w:t>Из дневника Н. Н. Крестинского о встрече с послом Франции в СССР Эбертом в связи с публикацией обвинительного заключения по «делу “Промпартии”». 11 ноября 1930 г.</w:t>
      </w:r>
    </w:p>
    <w:p w14:paraId="7B8E2950"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Источник: </w:t>
      </w:r>
    </w:p>
    <w:p w14:paraId="17D3D0CF" w14:textId="77777777" w:rsidR="003647D8" w:rsidRPr="00507A31" w:rsidRDefault="003647D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FE5AA9"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11 ноября 1930</w:t>
      </w:r>
    </w:p>
    <w:p w14:paraId="3FE8C77B"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60399B77" w14:textId="77777777" w:rsidR="003647D8" w:rsidRPr="00507A31" w:rsidRDefault="003647D8" w:rsidP="00507A31">
      <w:pPr>
        <w:pStyle w:val="rtecenter"/>
        <w:spacing w:before="0" w:after="0"/>
        <w:jc w:val="both"/>
        <w:rPr>
          <w:color w:val="000000" w:themeColor="text1"/>
          <w:sz w:val="16"/>
          <w:szCs w:val="16"/>
        </w:rPr>
      </w:pPr>
      <w:r w:rsidRPr="00507A31">
        <w:rPr>
          <w:color w:val="000000" w:themeColor="text1"/>
          <w:sz w:val="16"/>
          <w:szCs w:val="16"/>
        </w:rPr>
        <w:t>ЗАПИСЬ РАЗГОВОРА С ФРАНЦУЗСКИМ ПОСЛОМ ЭРБЕТТОМ</w:t>
      </w:r>
    </w:p>
    <w:p w14:paraId="1D0DFFA5" w14:textId="77777777" w:rsidR="003647D8" w:rsidRPr="00507A31" w:rsidRDefault="003647D8" w:rsidP="00507A31">
      <w:pPr>
        <w:pStyle w:val="rtecenter"/>
        <w:spacing w:before="0" w:after="0"/>
        <w:jc w:val="both"/>
        <w:rPr>
          <w:color w:val="000000" w:themeColor="text1"/>
          <w:sz w:val="16"/>
          <w:szCs w:val="16"/>
        </w:rPr>
      </w:pPr>
      <w:r w:rsidRPr="00507A31">
        <w:rPr>
          <w:color w:val="000000" w:themeColor="text1"/>
          <w:sz w:val="16"/>
          <w:szCs w:val="16"/>
        </w:rPr>
        <w:t>11/ХI-30 г.</w:t>
      </w:r>
    </w:p>
    <w:p w14:paraId="3D15277F"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Приблизительно в половине второго дня в мой секретариат позвонил Эрбетт и просил принять его по возможности, через полчаса. Я ответил, что могу принять его в 4 ч. дня.</w:t>
      </w:r>
    </w:p>
    <w:p w14:paraId="6F9902B5"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Эрбетт явился в 4 ч., вошел чрезвычайно торжественно и угрюмо и заявил следующее:</w:t>
      </w:r>
    </w:p>
    <w:p w14:paraId="5C09D635"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Мое правительство не могло еще ознакомиться с опубликованным сегодня обвинительным заключением. Я не имею, поэтому, еще инструкций от правительства и оставляю за собой право по получении таковых вернуться еще раз к этому вопросу.</w:t>
      </w:r>
    </w:p>
    <w:p w14:paraId="006BA439"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Но уже теперь я, зная настроение моего правительства, считаю себя обязанным заявить самый решительный протест, во-первых, против того, что в опубликованном сегодня обвинительном акте названы глава и члены бывших французских правительств, из которых один — Бриан и теперь является членом французского правительства. Во-вторых, против того, что обвинительный акт приписывает работникам французского генерального штаба участие в подготовке войны против Советского Союза, между тем как всем известно миролюбивое настроение и поведение Франции. В-третьих, против того, что в обвинительном акте говорится о преступной деятельности двух французских агентов в СССР, причем в таких выражениях, что у читателя невольно является предположение, что речь идет о чиновниках французского посольства. Это последнее утверждение обвинительного акта вызывает с его стороны тем больше протеста, что ему хорошо известна полная лояльность всех сотрудников французского посольства. Эти сотрудники, кроме того, находятся под постоянным внешним наблюдением и не имели бы никакой возможности совершать какие[-]либо противозаконные действия.</w:t>
      </w:r>
    </w:p>
    <w:p w14:paraId="3C87C093"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Опубликованное обвинительное заключение может произвести на широкую читающую публику впечатление, будто бы французы являются врагами СССР и злоумышляют против него. Такое впечатление может толкнуть некоторые группы читателей на выступления против посольства. Он считает своим долгом, что если бы последовали такие выступления, то ответственность за них ляжет на Советское правительство.</w:t>
      </w:r>
    </w:p>
    <w:p w14:paraId="3EF3A524"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Я ответил Эрбетту, что считаю его протест совершенно необоснованным. Наши следственные власти раскрыли контрреволюционную организацию и в процессе производства следствия установили связь участников этой организации с иностранными общественными и правительственными кругами. Наши следственные власти, решившие предать суду участников организации, не могли обойти молчанием те факты, которые являются особенно существенными для установления состава преступления. Но следственные власти проявили в то же время чрезвычайную осторожность по отношению к находящимся на территории СССР агентам иностранных правительств и не назвали их по имени. Я думаю, что большего требовать от следственных властей невозможно.</w:t>
      </w:r>
    </w:p>
    <w:p w14:paraId="24131DF0"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Что касается опасений г. посла насчет могущих произойти враждебных выступлений против французского посольства, то я считаю эти опасения совершенно неосновательными.</w:t>
      </w:r>
    </w:p>
    <w:p w14:paraId="0C703B16"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Эрбетт заявил, что он не хочет вступать в полемику по поводу обоснованности предъявленных обвинительным актом обвинений французов. Он счел себя обязанным, не дожидаясь инструкции из Парижа, заявить протест. Вместе с тем он еще раз обращает мое внимание на то, что если бы произошли какие[-]нибудь эксцессы по адресу французского посольства, то это должно было бы повести к чрезвычайно тяжелым последствиям.</w:t>
      </w:r>
    </w:p>
    <w:p w14:paraId="489765A0"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После этого Эрбетт поднялся, простился и также величественно удалился.</w:t>
      </w:r>
    </w:p>
    <w:p w14:paraId="73229286"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(Н. Крестинский)</w:t>
      </w:r>
    </w:p>
    <w:p w14:paraId="105C11FF" w14:textId="77777777" w:rsidR="003647D8" w:rsidRPr="00507A31" w:rsidRDefault="003647D8"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On. 14. П. 140. Д. 593. Л. 187-188. Машинописная копия того времени. На Л. 187 вверху справа напечатано столбцом «Копия. Стр. 11. Секретно», слева «ДНЕВНИК Н. Н. КРЕСТИНСКОГО». На Л. 188 после текста слева столбцом машинописью делопроизводственная помета о количестве отпечатанных экземпляров «1 В дело 2 Литвинову 3 Карахану 4 За[п]. 3-й [отдел] 5 Париж 6 Сталину», ниже по центру напечатано «С подлинным верно» (подпись заверяющего лица отсутствует) (18815).</w:t>
      </w:r>
    </w:p>
    <w:p w14:paraId="372B2C18" w14:textId="77777777" w:rsidR="003647D8" w:rsidRPr="00507A31" w:rsidRDefault="003647D8" w:rsidP="00507A31">
      <w:pPr>
        <w:jc w:val="both"/>
        <w:rPr>
          <w:color w:val="000000" w:themeColor="text1"/>
          <w:sz w:val="16"/>
          <w:szCs w:val="16"/>
        </w:rPr>
      </w:pPr>
    </w:p>
    <w:p w14:paraId="0E476100" w14:textId="77777777" w:rsidR="003647D8" w:rsidRPr="00507A31" w:rsidRDefault="003647D8" w:rsidP="00507A31">
      <w:pPr>
        <w:jc w:val="both"/>
        <w:rPr>
          <w:bCs/>
          <w:color w:val="000000" w:themeColor="text1"/>
          <w:sz w:val="16"/>
          <w:szCs w:val="16"/>
        </w:rPr>
      </w:pPr>
      <w:r w:rsidRPr="00507A31">
        <w:rPr>
          <w:color w:val="000000" w:themeColor="text1"/>
          <w:sz w:val="16"/>
          <w:szCs w:val="16"/>
        </w:rPr>
        <w:t>11 ноября 1930 г.</w:t>
      </w:r>
    </w:p>
    <w:p w14:paraId="6360ED07" w14:textId="77777777" w:rsidR="003647D8" w:rsidRPr="00507A31" w:rsidRDefault="003647D8" w:rsidP="00507A31">
      <w:pPr>
        <w:jc w:val="both"/>
        <w:rPr>
          <w:bCs/>
          <w:color w:val="000000" w:themeColor="text1"/>
          <w:sz w:val="16"/>
          <w:szCs w:val="16"/>
        </w:rPr>
      </w:pPr>
      <w:r w:rsidRPr="00507A31">
        <w:rPr>
          <w:color w:val="000000" w:themeColor="text1"/>
          <w:sz w:val="16"/>
          <w:szCs w:val="16"/>
        </w:rPr>
        <w:t>«Сводка телеграмм иностранных корреспондентов». 11 ноября 1930 г.</w:t>
      </w:r>
    </w:p>
    <w:p w14:paraId="18720FF2"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Источник: </w:t>
      </w:r>
    </w:p>
    <w:p w14:paraId="6ADA67B1" w14:textId="77777777" w:rsidR="003647D8" w:rsidRPr="00507A31" w:rsidRDefault="003647D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C8D4A8"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Архив: </w:t>
      </w:r>
    </w:p>
    <w:p w14:paraId="4E93057A" w14:textId="77777777" w:rsidR="003647D8" w:rsidRPr="00507A31" w:rsidRDefault="003647D8" w:rsidP="00507A31">
      <w:pPr>
        <w:jc w:val="both"/>
        <w:rPr>
          <w:color w:val="000000" w:themeColor="text1"/>
          <w:sz w:val="16"/>
          <w:szCs w:val="16"/>
        </w:rPr>
      </w:pPr>
      <w:r w:rsidRPr="00507A31">
        <w:rPr>
          <w:color w:val="000000" w:themeColor="text1"/>
          <w:sz w:val="16"/>
          <w:szCs w:val="16"/>
        </w:rPr>
        <w:t>АВП РФ. Ф. 0136. On. 14. П. 140. Д. 593. Л. 33-35</w:t>
      </w:r>
    </w:p>
    <w:p w14:paraId="7945E7FE"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за 11 ноября 1930 г.</w:t>
      </w:r>
    </w:p>
    <w:p w14:paraId="09E1F0D7"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ДЮРАНТИ</w:t>
      </w:r>
    </w:p>
    <w:p w14:paraId="3BE11B6F"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Грозный государственный прокурор превзошел сегодня самого себя, раскрыв громаду различных заговоров в обвинительном акте, направленном против промышленной партии.</w:t>
      </w:r>
    </w:p>
    <w:p w14:paraId="45E6350F"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Передается содержание обвинительного акта.</w:t>
      </w:r>
    </w:p>
    <w:p w14:paraId="2B8E6215"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lastRenderedPageBreak/>
        <w:t>Обвинительный акт не упускает решительно ничего из враждебных СССР элементов, кроме разве комиссии Фиша. Обвинительный акт построен на признаниях обвиняемых, наиболее разговорчивыми из которых является Рамзин, Ларичев и Федотов. Крыленко было бы, вероятно, страшно подумать, что обвиняемые намеренно пытаются быть может поссорить Советский Союз с Пуанкаре, Лоуренсом, Детердингом и т. д. или же совершить акт сверх саботажа, пытаясь убедить советские массы в том, что все технические эксперты и специалисты негодяи и враги СССР. Признания подсудимых замечательным образом связаны одно с другим. С точки зрения вашего корреспондента они были бы даже более убедительны, если бы не характеризовались такой чрезмерной связанностью. С другой стороны, ваш корреспондент сам слышал целый ряд эмигрантских планов в Прибалтике, Париже, Берлине, Харбине и др. местах. Нет пределов фактически ярости и фантазии эмигрантов, особенно поскольку время их все больше проходит. Часто они подбадриваются тем или иным сотрудником генерального штаба, мечтающим о новых завоеваниях. Странно, по правде сказать, что человек такого большого интеллекта как Рамзин мог отнестись серьезно к такой чепухе. Но с другой стороны, следует признать, что специалисты не покоются здесь на лаврах. Два-три года тому назад они могли предполагать, что нэп вернет им постепенно кое-какие преимущества, но теперь эти надежды рассеялись, а русские — врожденные конспираторы. Недаром заявил в свое время Савинков, что он всю свою жизнь играл со смертью. Есть еще один пункт, не лишенный интереса. Промышленная партия, также как и кондратьевцы одного мнения с правыми, что темпы индустриализации нужно замедлить. Если удастся публично доказать, что аргументы, которыми пользовались правые, были сформулированы контрреволюционерами в заговорщическом порядке, это лишит правых кое-каких точек опоры.</w:t>
      </w:r>
    </w:p>
    <w:p w14:paraId="10558D1C"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ВИГАНД</w:t>
      </w:r>
    </w:p>
    <w:p w14:paraId="3D13179B"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Предстоящий процесс является величайшей послереволюционной сенсацией. Грозный Крыленко будет, по[-]видимому, государственным обвинителем на процессе. По данным обвинительного акта в заговоре замешано до двух тысяч человек (только в Москве), что объясняет большие аресты, произведенные недавно в СССР. Среди руководителей заговора, ожидающих в тюрьме суда (и казни)[,] много инженеров, профессоров и руководящих лиц различных отраслей промышленности.</w:t>
      </w:r>
    </w:p>
    <w:p w14:paraId="207D6423"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ЛАЙОНС</w:t>
      </w:r>
    </w:p>
    <w:p w14:paraId="0577497E"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Поименованные в обвинительном акте лица занимали важные (стратегические) посты в (армии) и почти во всех отраслях гражданской и военной промышленности. Обращает внимание упоминание о Лоуренсе. Поскольку новый заговор связан с шахтинским, обвинительный акт (полон упоминаний) упоминает о лицах, которые были уже расстреляны за контрреволюционную работу.</w:t>
      </w:r>
    </w:p>
    <w:p w14:paraId="4C4B11C8"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Совпра, как это ясно из передовицы «Известий», считает явным участие (французского правительства) французских правительственных кругов в планах интервенции. Официального протеста со стороны совпра (пока) не последовало. (Хорошо информированные круги полагают, что протест последует по окончании процесса.)</w:t>
      </w:r>
    </w:p>
    <w:p w14:paraId="76F60988"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ВУУД</w:t>
      </w:r>
    </w:p>
    <w:p w14:paraId="57D8AB7A"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Неожиданные разоблачения совпра обвиняют Францию в том, что в течение трех лет при явной симпатии Великобритании Польши и Прибалтов, она принимала активное участие в заговорах против СССР. Процесс обещает быть величайшей в истории международной сенсацией. В Москве арестовано около 40 человек, занимавших видное положение в (правительстве) правительственной промышленности.</w:t>
      </w:r>
    </w:p>
    <w:p w14:paraId="2E3757F0"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ЧЕЛЛЕРТОН</w:t>
      </w:r>
    </w:p>
    <w:p w14:paraId="1C356C41"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Подписанный Крыленко обвинительный акт на 80 страницах является наиболее крупным делом ГПУ из того, что до сих пор имело место. Две тысячи предателей специалистов пытались взорвать пятилетний план через посредство 400-500 агентов, которые в свою очередь возглавлялись комитетом из 50 человек. Странно, что заговор не был давно уже раскрыт. К сожалению, трое крупнейших руководителей не могут принять участия в процессе. Это — расстрелянный Пальчинский, покончивший с собой Хренников и осужденный на пять лет по шахтинскому процессу Рабинович (находящийся сейчас в Соловках). Признания Рамзина, сделанные им в тюрьме (где он находится уже около года), превосходят по своей мрачной фантазии Достоевского, а по детективному характеру — Эдгар Уоллеса.</w:t>
      </w:r>
    </w:p>
    <w:p w14:paraId="4886B9D4"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ЮБЕНК</w:t>
      </w:r>
    </w:p>
    <w:p w14:paraId="7393C70A"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Обвинительный акт подробно излагает то, что является, по[-]видимому, наиболее серьезной попыткой свержения совпра, какая до сих пор имела место.</w:t>
      </w:r>
    </w:p>
    <w:p w14:paraId="0747C059"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Подробное изложение содержания обвинительного акта и передовиц центральных газет.</w:t>
      </w:r>
    </w:p>
    <w:p w14:paraId="66AAD798"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ЧЕМБЕРЛИН</w:t>
      </w:r>
    </w:p>
    <w:p w14:paraId="431DC413"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Обвинительный акт предвещает политический процесс необычайного международного значения. Упоминается, между прочим о деятельности двух таинственных французских агентов, занимающих очевидно официальное положение в Москве. Судя по показаниям подсудимых, обвиняющих себя в различной форме в государственной измене вряд ли можно сомневаться в том приговоре, какой будет вынесен Верховным судом. Советская пресса рассматривает этот заговор как полное подтверждение опасностей интервенции, которые всегда подчеркивались московскими газетами.</w:t>
      </w:r>
    </w:p>
    <w:p w14:paraId="67F7EF48"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БАУМ</w:t>
      </w:r>
    </w:p>
    <w:p w14:paraId="2DA389F4"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Обвинительный акт содержит не одну, а целый ряд сенсаций. Мы узнаем, что обвиняемые занимали высокие посты в советской промышленности, что они пытались вызвать целый ряд кризисов, были связаны с русскими эмигрантами, Брианом, Пуанкаре и т. д. Заговору уделяется чрезвычайно большое внимание, что позволяет делать чрезвычайно далеко идущие внутри и внешнеполитические выводы. Обвинительный акт упоминает о некоем К., занимавшем определенный пост в официальном французском учреждении и в СССР. Указывается, что Рамзин часто встречался с упомянутым К. в Камерном театре, который, как известно, очень охотно посещается сотрудниками французского посольства.</w:t>
      </w:r>
    </w:p>
    <w:p w14:paraId="75F02596"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ПРИМЕЧАНИЕ: Все находящиеся в Москве инкоры дали более или менее подробные выдержки из обвинительного акта. Все комментарии инкоров приводятся в сводке. Взятое в скобки вычеркнуто цензурой.</w:t>
      </w:r>
    </w:p>
    <w:p w14:paraId="18DEE46E"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РАЗНОЕ</w:t>
      </w:r>
    </w:p>
    <w:p w14:paraId="39EE0A08"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ЮСТ</w:t>
      </w:r>
    </w:p>
    <w:p w14:paraId="7C03A5FA"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Письмо Карахана означает фактически отказ от прежней позиции, от требования предварительного признания Хабаровского протокола Китаем. Выдержка китайцев увенчалась успехом. Впервые делается официально намек, что вопрос о покупке КВЖД стоит в порядке дня. По сравнению с политикой крепкой руки, проводившейся в прошлом году, данная установка является совершенно новой (и, конечно, уже объясняется не внешнеполитическими соображениями).</w:t>
      </w:r>
    </w:p>
    <w:p w14:paraId="33035631"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ЛАЙОНС</w:t>
      </w:r>
    </w:p>
    <w:p w14:paraId="220E5EB5"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1)   Китайско-советские переговоры, откладывавшиеся на неопределенное время, могут быть в скором времени возобновлены. Письмо Карахана указывает на готовность советской страны продолжать переговоры, основываясь на фактическом выполнении пунктов Хабаровского протокола и как бы не настаивая на формальном признании его Нанкинским правительством. Письмо намекает на возможность рассмотрения вопроса о покупке КВЖД.</w:t>
      </w:r>
    </w:p>
    <w:p w14:paraId="1C54157B"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2)   Важные правительственные перемены, о которых было сообщено вчера ночью, являются, по[-]видимому, прямым последствием раскрытия широко идущего заговора. Правительство пытается укрепить руководство Госплана, намечающего пятилетку и ВСНХ — ее осуществляющего. Орджоникидзе, ближайший сотрудник Сталина, поставленный во главе СНХ (подчиняет себе) сменяет Куйбышева. Не приходится сомневаться в лойяльности и способностях Кржижановского, но его престиж пострадал, разумеется, поскольку оказалось, что Госплан полон шпионов и саботажников.</w:t>
      </w:r>
    </w:p>
    <w:p w14:paraId="60C8CD59"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ЧЕМБЕРЛИН</w:t>
      </w:r>
    </w:p>
    <w:p w14:paraId="127ABBFB"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1)   По обыкновению пресса не дает никаких объяснений происшедших перемен в правительстве. Можно только догадываться, что эти перемены произошли в связи с тем, что в ВСНХ и Госплане оказалось много саботажников. Это не бросает, разумеется, ни малейшей тени на лойяль- ность Куйбышева и Кржижановского, но могло вызвать их осуждение за недостаточную бдительность.</w:t>
      </w:r>
    </w:p>
    <w:p w14:paraId="098A4E33"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2)   Большая телеграмма о состоянии нашего денежного рынка, в связи с заявлением Гринько о прекращении выпуска новых денег на ближайшее время.</w:t>
      </w:r>
    </w:p>
    <w:p w14:paraId="19E6AEFB"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Если планы быстрого развития легкой промышленности увенчаются успехом, удастся возможно установить более устойчивое равновесие между денежной массой и имеющимися на рынке товарами. Не следует забывать, что Советский Союз имеет возможность благодаря централизованности, государственному контролю и т. д. продавать товары на внешнем рынке дешевле, чем на внутреннем, если исходить из установленной стоимости русского рубля.</w:t>
      </w:r>
    </w:p>
    <w:p w14:paraId="41D38C5B" w14:textId="77777777" w:rsidR="003647D8" w:rsidRPr="00507A31" w:rsidRDefault="003647D8"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33-35. Машинописная копия того времени. Рукописные пометы: на Л. 33 вверху слева «NB» (Нотабене), выше рукописная помета (росчерк) «НТ», на Л. 34 вверху «12/Х1». На Л. 34 имеется «ПРИМЕЧАНИЕ», согласно которому слова и фразы, вычеркнутые цензурой, выделены скобками («Взятое в скобки вычеркнуто цензурой».) (18978).</w:t>
      </w:r>
    </w:p>
    <w:p w14:paraId="6BBC493C" w14:textId="77777777" w:rsidR="003647D8" w:rsidRPr="00507A31" w:rsidRDefault="003647D8" w:rsidP="00507A31">
      <w:pPr>
        <w:jc w:val="both"/>
        <w:rPr>
          <w:color w:val="000000" w:themeColor="text1"/>
          <w:sz w:val="16"/>
          <w:szCs w:val="16"/>
        </w:rPr>
      </w:pPr>
    </w:p>
    <w:p w14:paraId="31527C4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475B463" w14:textId="77777777" w:rsidR="00537E5F" w:rsidRPr="00507A31" w:rsidRDefault="00537E5F" w:rsidP="00507A31">
      <w:pPr>
        <w:autoSpaceDE w:val="0"/>
        <w:autoSpaceDN w:val="0"/>
        <w:adjustRightInd w:val="0"/>
        <w:jc w:val="both"/>
        <w:rPr>
          <w:iCs/>
          <w:color w:val="000000" w:themeColor="text1"/>
          <w:sz w:val="16"/>
          <w:szCs w:val="16"/>
        </w:rPr>
      </w:pPr>
    </w:p>
    <w:p w14:paraId="72960D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ноября 1930 в Финляндии было принято антикоммунистическое законодательство (3481).</w:t>
      </w:r>
    </w:p>
    <w:p w14:paraId="0194023F" w14:textId="77777777" w:rsidR="00537E5F" w:rsidRPr="00507A31" w:rsidRDefault="00537E5F" w:rsidP="00507A31">
      <w:pPr>
        <w:autoSpaceDE w:val="0"/>
        <w:autoSpaceDN w:val="0"/>
        <w:adjustRightInd w:val="0"/>
        <w:jc w:val="both"/>
        <w:rPr>
          <w:color w:val="000000" w:themeColor="text1"/>
          <w:sz w:val="16"/>
          <w:szCs w:val="16"/>
        </w:rPr>
      </w:pPr>
    </w:p>
    <w:p w14:paraId="0309F4E2" w14:textId="77777777" w:rsidR="00CF6BF3" w:rsidRPr="00507A31" w:rsidRDefault="00CF6BF3"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0042F6F" w14:textId="77777777" w:rsidR="00CF6BF3" w:rsidRPr="00507A31" w:rsidRDefault="00CF6BF3" w:rsidP="00507A31">
      <w:pPr>
        <w:autoSpaceDE w:val="0"/>
        <w:autoSpaceDN w:val="0"/>
        <w:adjustRightInd w:val="0"/>
        <w:jc w:val="both"/>
        <w:rPr>
          <w:iCs/>
          <w:color w:val="000000" w:themeColor="text1"/>
          <w:sz w:val="16"/>
          <w:szCs w:val="16"/>
        </w:rPr>
      </w:pPr>
    </w:p>
    <w:p w14:paraId="27EDE896" w14:textId="77777777" w:rsidR="00CF6BF3" w:rsidRPr="00507A31" w:rsidRDefault="00CF6BF3" w:rsidP="00507A31">
      <w:pPr>
        <w:jc w:val="both"/>
        <w:rPr>
          <w:color w:val="0070C0"/>
          <w:sz w:val="16"/>
          <w:szCs w:val="16"/>
        </w:rPr>
      </w:pPr>
      <w:r w:rsidRPr="00507A31">
        <w:rPr>
          <w:color w:val="0070C0"/>
          <w:sz w:val="16"/>
          <w:szCs w:val="16"/>
        </w:rPr>
        <w:t>12 ноября 1930 дирижабль Комсомольская правда вылетел на Тулу, куда прибыл через четыре часа. Пробыв в городе три часа, он после девяти часов полёта прилетел в Курск. Этот участок оказался наиболее труд</w:t>
      </w:r>
      <w:r w:rsidRPr="00507A31">
        <w:rPr>
          <w:color w:val="0070C0"/>
          <w:sz w:val="16"/>
          <w:szCs w:val="16"/>
        </w:rPr>
        <w:softHyphen/>
        <w:t>ным, так как летевший ночью дирижабль попал в сильный снегопад, сильно затруднивший ори</w:t>
      </w:r>
      <w:r w:rsidRPr="00507A31">
        <w:rPr>
          <w:color w:val="0070C0"/>
          <w:sz w:val="16"/>
          <w:szCs w:val="16"/>
        </w:rPr>
        <w:softHyphen/>
        <w:t>ентировку. 13 ноября дирижабль отправился из Курска в Харьков, но, встретив сильный встреч</w:t>
      </w:r>
      <w:r w:rsidRPr="00507A31">
        <w:rPr>
          <w:color w:val="0070C0"/>
          <w:sz w:val="16"/>
          <w:szCs w:val="16"/>
        </w:rPr>
        <w:softHyphen/>
        <w:t>ный ветер, спустился недалеко от ст. Оскол, что</w:t>
      </w:r>
      <w:r w:rsidRPr="00507A31">
        <w:rPr>
          <w:color w:val="0070C0"/>
          <w:sz w:val="16"/>
          <w:szCs w:val="16"/>
        </w:rPr>
        <w:softHyphen/>
        <w:t>бы переждать непогоду на земле. Здесь он попал в ураган, и газ из оболочки выпустили. Перелёт отменили, и разобранный дирижабль 40 км везли на двух тракторах с прицепными тележками для отправки в Москву.</w:t>
      </w:r>
    </w:p>
    <w:p w14:paraId="6D008D0B" w14:textId="77777777" w:rsidR="00CF6BF3" w:rsidRPr="00507A31" w:rsidRDefault="00CF6BF3" w:rsidP="00507A31">
      <w:pPr>
        <w:jc w:val="both"/>
        <w:rPr>
          <w:color w:val="0070C0"/>
          <w:sz w:val="16"/>
          <w:szCs w:val="16"/>
        </w:rPr>
      </w:pPr>
      <w:r w:rsidRPr="00507A31">
        <w:rPr>
          <w:color w:val="0070C0"/>
          <w:sz w:val="16"/>
          <w:szCs w:val="16"/>
        </w:rPr>
        <w:lastRenderedPageBreak/>
        <w:t>Всего же в 1930 г. за два с половиной месяца эксплуатации «Комсомольская правда» выпол</w:t>
      </w:r>
      <w:r w:rsidRPr="00507A31">
        <w:rPr>
          <w:color w:val="0070C0"/>
          <w:sz w:val="16"/>
          <w:szCs w:val="16"/>
        </w:rPr>
        <w:softHyphen/>
        <w:t>нила 30 полётов общей продолжительностью 42 ч 18 мин, пройдя 1828 км.</w:t>
      </w:r>
    </w:p>
    <w:p w14:paraId="492FD4EF" w14:textId="77777777" w:rsidR="00CF6BF3" w:rsidRPr="00507A31" w:rsidRDefault="00CF6BF3" w:rsidP="00507A31">
      <w:pPr>
        <w:jc w:val="both"/>
        <w:rPr>
          <w:color w:val="0070C0"/>
          <w:sz w:val="16"/>
          <w:szCs w:val="16"/>
        </w:rPr>
      </w:pPr>
      <w:r w:rsidRPr="00507A31">
        <w:rPr>
          <w:color w:val="0070C0"/>
          <w:sz w:val="16"/>
          <w:szCs w:val="16"/>
        </w:rPr>
        <w:t>«Каучук» вначале отказался ремонтировать и восстанавливать дирижабль, и только под на</w:t>
      </w:r>
      <w:r w:rsidRPr="00507A31">
        <w:rPr>
          <w:color w:val="0070C0"/>
          <w:sz w:val="16"/>
          <w:szCs w:val="16"/>
        </w:rPr>
        <w:softHyphen/>
        <w:t>жимом осоавиахимовской общественности заво</w:t>
      </w:r>
      <w:r w:rsidRPr="00507A31">
        <w:rPr>
          <w:color w:val="0070C0"/>
          <w:sz w:val="16"/>
          <w:szCs w:val="16"/>
        </w:rPr>
        <w:softHyphen/>
        <w:t>да ремонтные работы всё-таки провели. Несмо</w:t>
      </w:r>
      <w:r w:rsidRPr="00507A31">
        <w:rPr>
          <w:color w:val="0070C0"/>
          <w:sz w:val="16"/>
          <w:szCs w:val="16"/>
        </w:rPr>
        <w:softHyphen/>
        <w:t>тря на своевременно принятые меры, все части дирижабля удалось получить с завода только в августе 1931 г., что задержало начало наполне</w:t>
      </w:r>
      <w:r w:rsidRPr="00507A31">
        <w:rPr>
          <w:color w:val="0070C0"/>
          <w:sz w:val="16"/>
          <w:szCs w:val="16"/>
        </w:rPr>
        <w:softHyphen/>
        <w:t>ния и лётной работы (20120).</w:t>
      </w:r>
    </w:p>
    <w:p w14:paraId="4B08AB11" w14:textId="77777777" w:rsidR="00CF6BF3" w:rsidRPr="00507A31" w:rsidRDefault="00CF6BF3" w:rsidP="00507A31">
      <w:pPr>
        <w:jc w:val="both"/>
        <w:rPr>
          <w:color w:val="0070C0"/>
          <w:sz w:val="16"/>
          <w:szCs w:val="16"/>
        </w:rPr>
      </w:pPr>
    </w:p>
    <w:p w14:paraId="2626DAC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BA36DAB" w14:textId="77777777" w:rsidR="00537E5F" w:rsidRPr="00507A31" w:rsidRDefault="00537E5F" w:rsidP="00507A31">
      <w:pPr>
        <w:autoSpaceDE w:val="0"/>
        <w:autoSpaceDN w:val="0"/>
        <w:adjustRightInd w:val="0"/>
        <w:jc w:val="both"/>
        <w:rPr>
          <w:iCs/>
          <w:color w:val="000000" w:themeColor="text1"/>
          <w:sz w:val="16"/>
          <w:szCs w:val="16"/>
        </w:rPr>
      </w:pPr>
    </w:p>
    <w:p w14:paraId="07B2FD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ноября 1930 Нач. УММ Халепский направил письмо К.Е.В. с описанием танка Э.Гроте:</w:t>
      </w:r>
    </w:p>
    <w:p w14:paraId="78B96D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...кузов танка. Однобашенный с обстрелом 360 гр. В башне танка 37 мм пушка повышенной мощности с нач. Скоростью 707 м/сек. Внизу башни место для установки главной пушки, переделанной из зенитной обр. 1915. По бортам по 2 пулемета и сзади - один. Кузов сварен. Броня лобовая трехслойная, в ответственных местах толщиной до 44 мм. Бортовая - 20-24, пол и потолок - 10-16 мм. Кузов водо и газонепроницаем. Длина танка - 7 м.</w:t>
      </w:r>
    </w:p>
    <w:p w14:paraId="7CB8D0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Движитель. Мелклзвенчатая гусеница на цепном сцеплении по бокам. Катки одеты в каучуковые грузошины на манер грузового автомобиля. Пустотелые секции в шинах помогают подрессориванию во время хода. Ведущее колесо с двойным зацеплением. На передней оси (где ленивец) есть специальные полувращающиеся лапы. Они помогают танку перебираться через рвы и канавы, а также двигаться по грязи. Ширина преодолеваемого окопа с лапами - 5-6 м.</w:t>
      </w:r>
    </w:p>
    <w:p w14:paraId="5912DD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Коробка скоростей. Выполнена отдельно от мотора. Имеет 4 скорости вперед и 4 назад. Упаравление чрезмерно простое.</w:t>
      </w:r>
    </w:p>
    <w:p w14:paraId="43D173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Воздушного охлаждения специальной конструкции. 8 цилиндров, мощность 220 нр. Вес - 0.5 т. Два блока по 4 цилиндра в общем картере. Конструкция мотора оригинальна по смазке и охлаждению. Смазка производится отдельно по казждому цилиндру через специальные сепараторы...</w:t>
      </w:r>
    </w:p>
    <w:p w14:paraId="553985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Приводы управления. Никаких рычаголв нет. Принцип управления - рулевая колонка как у самолета...” (4658, 21).</w:t>
      </w:r>
    </w:p>
    <w:p w14:paraId="1ABC11E0" w14:textId="77777777" w:rsidR="00537E5F" w:rsidRPr="00507A31" w:rsidRDefault="00537E5F" w:rsidP="00507A31">
      <w:pPr>
        <w:autoSpaceDE w:val="0"/>
        <w:autoSpaceDN w:val="0"/>
        <w:adjustRightInd w:val="0"/>
        <w:jc w:val="both"/>
        <w:rPr>
          <w:color w:val="000000" w:themeColor="text1"/>
          <w:sz w:val="16"/>
          <w:szCs w:val="16"/>
        </w:rPr>
      </w:pPr>
    </w:p>
    <w:p w14:paraId="3C0680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ноября 1930 г. на</w:t>
      </w:r>
      <w:r w:rsidRPr="00507A31">
        <w:rPr>
          <w:color w:val="000000" w:themeColor="text1"/>
          <w:sz w:val="16"/>
          <w:szCs w:val="16"/>
        </w:rPr>
        <w:softHyphen/>
        <w:t>чальник УММ Халепский отправил письмо Наркомвоенмору К. Ворошилову с описанием нового танка и хода работ по нему:</w:t>
      </w:r>
    </w:p>
    <w:p w14:paraId="6080D0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«СРЕДНИЙ ТАНК КОНСТРУКТОРА ГРОТТО</w:t>
      </w:r>
    </w:p>
    <w:p w14:paraId="48C75F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Кузов танка - однобашенный с обстрелом 360 гр. В баш</w:t>
      </w:r>
      <w:r w:rsidRPr="00507A31">
        <w:rPr>
          <w:color w:val="000000" w:themeColor="text1"/>
          <w:sz w:val="16"/>
          <w:szCs w:val="16"/>
        </w:rPr>
        <w:softHyphen/>
        <w:t>не - 37-мм пушка с нач. скоростью снаряда 707м/с. В низу башни - место для установки 76-мм пушки (А-19), переде</w:t>
      </w:r>
      <w:r w:rsidRPr="00507A31">
        <w:rPr>
          <w:color w:val="000000" w:themeColor="text1"/>
          <w:sz w:val="16"/>
          <w:szCs w:val="16"/>
        </w:rPr>
        <w:softHyphen/>
        <w:t>ланной из зенитной обр. 1915 г, по бортам - по 2 пулемета и сзади - один. Кузов сварен. Броня лобовая трехслойная в от</w:t>
      </w:r>
      <w:r w:rsidRPr="00507A31">
        <w:rPr>
          <w:color w:val="000000" w:themeColor="text1"/>
          <w:sz w:val="16"/>
          <w:szCs w:val="16"/>
        </w:rPr>
        <w:softHyphen/>
        <w:t>ветственных местах толщиной до 44мм. Бортовая - 20-24 мм, брюхо и потолок - 10-16 мм. Кузов водо- и газонепрони</w:t>
      </w:r>
      <w:r w:rsidRPr="00507A31">
        <w:rPr>
          <w:color w:val="000000" w:themeColor="text1"/>
          <w:sz w:val="16"/>
          <w:szCs w:val="16"/>
        </w:rPr>
        <w:softHyphen/>
        <w:t>цаем. Длина танка - 7м.</w:t>
      </w:r>
    </w:p>
    <w:p w14:paraId="23A77C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Движитель. Мелкозвенчатая гусеница на цепном сцепле</w:t>
      </w:r>
      <w:r w:rsidRPr="00507A31">
        <w:rPr>
          <w:color w:val="000000" w:themeColor="text1"/>
          <w:sz w:val="16"/>
          <w:szCs w:val="16"/>
        </w:rPr>
        <w:softHyphen/>
        <w:t>нии по бокам. Катки одеты в каучуковые грузошины на манер шин грузового автомобиля. Пустотелые секции в шинах по</w:t>
      </w:r>
      <w:r w:rsidRPr="00507A31">
        <w:rPr>
          <w:color w:val="000000" w:themeColor="text1"/>
          <w:sz w:val="16"/>
          <w:szCs w:val="16"/>
        </w:rPr>
        <w:softHyphen/>
        <w:t>могают подрессориванию во время хода. Ведущее колесо с двойным зацеплением. На передней оси есть специальные ла</w:t>
      </w:r>
      <w:r w:rsidRPr="00507A31">
        <w:rPr>
          <w:color w:val="000000" w:themeColor="text1"/>
          <w:sz w:val="16"/>
          <w:szCs w:val="16"/>
        </w:rPr>
        <w:softHyphen/>
        <w:t>пы, полувращающиеся с ленивцем. Они помогают танку пере</w:t>
      </w:r>
      <w:r w:rsidRPr="00507A31">
        <w:rPr>
          <w:color w:val="000000" w:themeColor="text1"/>
          <w:sz w:val="16"/>
          <w:szCs w:val="16"/>
        </w:rPr>
        <w:softHyphen/>
        <w:t>бираться через рвы и канавы, а также самовытаскиваться из грязи. Ширина окопа, который преодолевает танк с лапа</w:t>
      </w:r>
      <w:r w:rsidRPr="00507A31">
        <w:rPr>
          <w:color w:val="000000" w:themeColor="text1"/>
          <w:sz w:val="16"/>
          <w:szCs w:val="16"/>
        </w:rPr>
        <w:softHyphen/>
        <w:t>ми до 5-6 м.</w:t>
      </w:r>
    </w:p>
    <w:p w14:paraId="6B6BB3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Коробка скоростей — отдельно от мотора 4 скорости вперед и 4 назад.</w:t>
      </w:r>
    </w:p>
    <w:p w14:paraId="1DCCF0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w:t>
      </w:r>
    </w:p>
    <w:p w14:paraId="5A2F25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Воздушного охлаждения 8 цилиндров в общем картере; 250л.с. Вес двигателя — 0,5 тонны. Конструктивно два бло</w:t>
      </w:r>
      <w:r w:rsidRPr="00507A31">
        <w:rPr>
          <w:color w:val="000000" w:themeColor="text1"/>
          <w:sz w:val="16"/>
          <w:szCs w:val="16"/>
        </w:rPr>
        <w:softHyphen/>
        <w:t>ка по 4 цилиндра, соединены картером. Конструкция мотора весьма оригинальна по смазке и охлаждению. Смазка производится отдельно для каждого цилиндра через сепараторы и имеет специальные продувные камеры, которые будут сто</w:t>
      </w:r>
      <w:r w:rsidRPr="00507A31">
        <w:rPr>
          <w:color w:val="000000" w:themeColor="text1"/>
          <w:sz w:val="16"/>
          <w:szCs w:val="16"/>
        </w:rPr>
        <w:softHyphen/>
        <w:t>ять на подшипниках, а не в баббите, как теперь. Это обеспе</w:t>
      </w:r>
      <w:r w:rsidRPr="00507A31">
        <w:rPr>
          <w:color w:val="000000" w:themeColor="text1"/>
          <w:sz w:val="16"/>
          <w:szCs w:val="16"/>
        </w:rPr>
        <w:softHyphen/>
        <w:t>чит бесшумность в работе ниже шума легкового автомобиля. Колёнвал -разрезной.</w:t>
      </w:r>
    </w:p>
    <w:p w14:paraId="5DACBC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Приводы управления:</w:t>
      </w:r>
    </w:p>
    <w:p w14:paraId="46B58E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Никаких рычагов управления не предусматривается. Принцип управления — как колонка самолета — повороты со</w:t>
      </w:r>
      <w:r w:rsidRPr="00507A31">
        <w:rPr>
          <w:color w:val="000000" w:themeColor="text1"/>
          <w:sz w:val="16"/>
          <w:szCs w:val="16"/>
        </w:rPr>
        <w:softHyphen/>
        <w:t>ответствующим отклоением рукоятки вправо-влево. Очень удобно для водителя и плавно. Пневматические тормозы ра</w:t>
      </w:r>
      <w:r w:rsidRPr="00507A31">
        <w:rPr>
          <w:color w:val="000000" w:themeColor="text1"/>
          <w:sz w:val="16"/>
          <w:szCs w:val="16"/>
        </w:rPr>
        <w:softHyphen/>
        <w:t>ботают очень мягко и обеспечивают торможение как толь</w:t>
      </w:r>
      <w:r w:rsidRPr="00507A31">
        <w:rPr>
          <w:color w:val="000000" w:themeColor="text1"/>
          <w:sz w:val="16"/>
          <w:szCs w:val="16"/>
        </w:rPr>
        <w:softHyphen/>
        <w:t>ко ведущмх колес (во время маневров), так и экстренное на все колеса борта по команде водителя, а также при обрыве гусеничной цепи...</w:t>
      </w:r>
    </w:p>
    <w:p w14:paraId="3E2C05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Подрессоривание:</w:t>
      </w:r>
    </w:p>
    <w:p w14:paraId="39EE40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Конструкционно выполнено очень эффективным. Содер</w:t>
      </w:r>
      <w:r w:rsidRPr="00507A31">
        <w:rPr>
          <w:color w:val="000000" w:themeColor="text1"/>
          <w:sz w:val="16"/>
          <w:szCs w:val="16"/>
        </w:rPr>
        <w:softHyphen/>
        <w:t>жит три уровня, так что при выходе из строя механизмов одного уровня останутся по крайней мере еще два.</w:t>
      </w:r>
    </w:p>
    <w:p w14:paraId="0439EC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Первый уровень — спиральные рессоры на все 10 опорных колес.</w:t>
      </w:r>
    </w:p>
    <w:p w14:paraId="3D29D2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Второй уровень — компрессорные камеры пневматической подвески.</w:t>
      </w:r>
    </w:p>
    <w:p w14:paraId="086D40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Третий уровень — пустотелые полости в секциях шин.</w:t>
      </w:r>
    </w:p>
    <w:p w14:paraId="6246C2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Приборы наблюдения:</w:t>
      </w:r>
    </w:p>
    <w:p w14:paraId="4F93F3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пушек — стробоскопы; два купола со щелями шириной 1/2 мм, вращающиеся навстречу друг другу моторчиками 400-500 об/мин... Также стробоскопами оборудованы наблю</w:t>
      </w:r>
      <w:r w:rsidRPr="00507A31">
        <w:rPr>
          <w:color w:val="000000" w:themeColor="text1"/>
          <w:sz w:val="16"/>
          <w:szCs w:val="16"/>
        </w:rPr>
        <w:softHyphen/>
        <w:t>дательная башенка командира и смотровые щели водителя. Принцип работы стробоскопов опробован неоднократными испытаниями на танках типа «Б» и типа «С»...</w:t>
      </w:r>
    </w:p>
    <w:p w14:paraId="79F2E2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Радиус действия танка на бензине первого сорта с допол</w:t>
      </w:r>
      <w:r w:rsidRPr="00507A31">
        <w:rPr>
          <w:color w:val="000000" w:themeColor="text1"/>
          <w:sz w:val="16"/>
          <w:szCs w:val="16"/>
        </w:rPr>
        <w:softHyphen/>
        <w:t>нительными баками — 350 км, на бензине второго сорта (предположительно) — 305 км.</w:t>
      </w:r>
    </w:p>
    <w:p w14:paraId="75D517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Предполагается установка радиостанции немецкого типа.</w:t>
      </w:r>
    </w:p>
    <w:p w14:paraId="0AEAF3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Вес танка — 17 т. Лучшие возможности, чем у танков американца Кристи, которые я видел в прошлом году. На сегодняшний момент готовность танка — 85% и начата окончательная сборка. Гротто надеется, что танк будет окончен к 1 декабря 1930 г., но я считаю, что к 15-му.</w:t>
      </w:r>
    </w:p>
    <w:p w14:paraId="729062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Особых затруднений с производством не будет... Секретность сохранить. Танк должен стать неожидан</w:t>
      </w:r>
      <w:r w:rsidRPr="00507A31">
        <w:rPr>
          <w:color w:val="000000" w:themeColor="text1"/>
          <w:sz w:val="16"/>
          <w:szCs w:val="16"/>
        </w:rPr>
        <w:softHyphen/>
        <w:t>ностью для всех возможных врагов... И.Халепский»</w:t>
      </w:r>
    </w:p>
    <w:p w14:paraId="280E06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Тут же начались разборки по поводу установки 76-мм Орудия в невращающейся рубке. Ведь согласно задания главное орудие должно было иметь способность кругово</w:t>
      </w:r>
      <w:r w:rsidRPr="00507A31">
        <w:rPr>
          <w:color w:val="000000" w:themeColor="text1"/>
          <w:sz w:val="16"/>
          <w:szCs w:val="16"/>
        </w:rPr>
        <w:softHyphen/>
        <w:t>го вращения по типу американского Т.1.Е.1. Руководил расследованием «начальник бюро-3 Головин». В ходе рас</w:t>
      </w:r>
      <w:r w:rsidRPr="00507A31">
        <w:rPr>
          <w:color w:val="000000" w:themeColor="text1"/>
          <w:sz w:val="16"/>
          <w:szCs w:val="16"/>
        </w:rPr>
        <w:softHyphen/>
        <w:t>следования было установлено, что изготовление танка с отступлением от технического задания было проведено «без злого умысла» и по согласованию с ГКБ ОАТ. Просто ; ввиду отсутствия необходимого оборудования и опыта башенный погон нижней башни оказался деформирован</w:t>
      </w:r>
      <w:r w:rsidRPr="00507A31">
        <w:rPr>
          <w:color w:val="000000" w:themeColor="text1"/>
          <w:sz w:val="16"/>
          <w:szCs w:val="16"/>
        </w:rPr>
        <w:softHyphen/>
        <w:t>ным, и потому для проведения испытаний руководство АВО-5, посоветовавшись с ГКБ (а именно с профессором В. Заславским), решило приварить башню намертво. При изготовлении эталонного образца конструкторы обеща</w:t>
      </w:r>
      <w:r w:rsidRPr="00507A31">
        <w:rPr>
          <w:color w:val="000000" w:themeColor="text1"/>
          <w:sz w:val="16"/>
          <w:szCs w:val="16"/>
        </w:rPr>
        <w:softHyphen/>
        <w:t>ли, что этот дефект будет учтен и большая башня на нем сможет поворачиваться (10733,246).</w:t>
      </w:r>
    </w:p>
    <w:p w14:paraId="3D1F39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1F945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ноября 1930 в строй вступила первая п/л советской постройки типа Д (Декабрист) (3848,107).</w:t>
      </w:r>
    </w:p>
    <w:p w14:paraId="02F53C74" w14:textId="77777777" w:rsidR="00537E5F" w:rsidRPr="00507A31" w:rsidRDefault="00537E5F" w:rsidP="00507A31">
      <w:pPr>
        <w:autoSpaceDE w:val="0"/>
        <w:autoSpaceDN w:val="0"/>
        <w:adjustRightInd w:val="0"/>
        <w:jc w:val="both"/>
        <w:rPr>
          <w:color w:val="000000" w:themeColor="text1"/>
          <w:sz w:val="16"/>
          <w:szCs w:val="16"/>
        </w:rPr>
      </w:pPr>
    </w:p>
    <w:p w14:paraId="151CEB0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1726BC8" w14:textId="77777777" w:rsidR="00537E5F" w:rsidRPr="00507A31" w:rsidRDefault="00537E5F" w:rsidP="00507A31">
      <w:pPr>
        <w:autoSpaceDE w:val="0"/>
        <w:autoSpaceDN w:val="0"/>
        <w:adjustRightInd w:val="0"/>
        <w:jc w:val="both"/>
        <w:rPr>
          <w:iCs/>
          <w:color w:val="000000" w:themeColor="text1"/>
          <w:sz w:val="16"/>
          <w:szCs w:val="16"/>
        </w:rPr>
      </w:pPr>
    </w:p>
    <w:p w14:paraId="6D9D8D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ноября 1930 в Лондоне открылась первая конференция Круглый стол по Индии. Представители Индийского национального конгресса не участвовали (3907,163).</w:t>
      </w:r>
    </w:p>
    <w:p w14:paraId="503D0588" w14:textId="77777777" w:rsidR="00537E5F" w:rsidRPr="00507A31" w:rsidRDefault="00537E5F" w:rsidP="00507A31">
      <w:pPr>
        <w:autoSpaceDE w:val="0"/>
        <w:autoSpaceDN w:val="0"/>
        <w:adjustRightInd w:val="0"/>
        <w:jc w:val="both"/>
        <w:rPr>
          <w:color w:val="000000" w:themeColor="text1"/>
          <w:sz w:val="16"/>
          <w:szCs w:val="16"/>
        </w:rPr>
      </w:pPr>
    </w:p>
    <w:p w14:paraId="500A0FB1" w14:textId="77777777" w:rsidR="00113BB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D08D89C" w14:textId="77777777" w:rsidR="00113BB4" w:rsidRPr="00507A31" w:rsidRDefault="00113BB4" w:rsidP="00507A31">
      <w:pPr>
        <w:autoSpaceDE w:val="0"/>
        <w:autoSpaceDN w:val="0"/>
        <w:adjustRightInd w:val="0"/>
        <w:jc w:val="both"/>
        <w:rPr>
          <w:iCs/>
          <w:color w:val="000000" w:themeColor="text1"/>
          <w:sz w:val="16"/>
          <w:szCs w:val="16"/>
        </w:rPr>
      </w:pPr>
    </w:p>
    <w:p w14:paraId="476AB44F" w14:textId="77777777" w:rsidR="00113BB4" w:rsidRPr="00507A31" w:rsidRDefault="00113BB4" w:rsidP="00507A31">
      <w:pPr>
        <w:pStyle w:val="rtejustify"/>
        <w:spacing w:before="0" w:after="0"/>
        <w:rPr>
          <w:color w:val="000000" w:themeColor="text1"/>
          <w:sz w:val="16"/>
          <w:szCs w:val="16"/>
        </w:rPr>
      </w:pPr>
      <w:r w:rsidRPr="00507A31">
        <w:rPr>
          <w:rStyle w:val="af0"/>
          <w:i w:val="0"/>
          <w:color w:val="000000" w:themeColor="text1"/>
          <w:sz w:val="16"/>
          <w:szCs w:val="16"/>
        </w:rPr>
        <w:t xml:space="preserve">13 ноября 1930 г. Протокол Реввоенсовета № 25. </w:t>
      </w:r>
      <w:r w:rsidRPr="00507A31">
        <w:rPr>
          <w:color w:val="000000" w:themeColor="text1"/>
          <w:sz w:val="16"/>
          <w:szCs w:val="16"/>
        </w:rPr>
        <w:t>2. Об обеспечении военно-морских сил РККА торпедным вооружением. (Муклевич). 6. Об опытном строительстве по воздухоплаванию (аэростаты, лебедки, моторы). (Алкснис). (РГВА. Ф. 4. Оп. 18. Д. 19. Л. 407</w:t>
      </w:r>
      <w:r w:rsidRPr="00507A31">
        <w:rPr>
          <w:color w:val="000000" w:themeColor="text1"/>
          <w:sz w:val="16"/>
          <w:szCs w:val="16"/>
        </w:rPr>
        <w:noBreakHyphen/>
        <w:t>408, 409</w:t>
      </w:r>
      <w:r w:rsidRPr="00507A31">
        <w:rPr>
          <w:color w:val="000000" w:themeColor="text1"/>
          <w:sz w:val="16"/>
          <w:szCs w:val="16"/>
        </w:rPr>
        <w:noBreakHyphen/>
        <w:t>410) (12342).</w:t>
      </w:r>
    </w:p>
    <w:p w14:paraId="63941A28" w14:textId="77777777" w:rsidR="00113BB4" w:rsidRPr="00507A31" w:rsidRDefault="00113BB4" w:rsidP="00507A31">
      <w:pPr>
        <w:pStyle w:val="rtejustify"/>
        <w:spacing w:before="0" w:after="0"/>
        <w:rPr>
          <w:color w:val="000000" w:themeColor="text1"/>
          <w:sz w:val="16"/>
          <w:szCs w:val="16"/>
        </w:rPr>
      </w:pPr>
    </w:p>
    <w:p w14:paraId="43BC5A1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BD99507" w14:textId="77777777" w:rsidR="00537E5F" w:rsidRPr="00507A31" w:rsidRDefault="00537E5F" w:rsidP="00507A31">
      <w:pPr>
        <w:autoSpaceDE w:val="0"/>
        <w:autoSpaceDN w:val="0"/>
        <w:adjustRightInd w:val="0"/>
        <w:jc w:val="both"/>
        <w:rPr>
          <w:iCs/>
          <w:color w:val="000000" w:themeColor="text1"/>
          <w:sz w:val="16"/>
          <w:szCs w:val="16"/>
        </w:rPr>
      </w:pPr>
    </w:p>
    <w:p w14:paraId="5536F1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ноября 1930 года вышло Постановление ЦИК и СНК СССР, согласно которому лица, лишенные права выбирать в Советы, не могли быть"членами колхозов и других сельскохозяйственных кооперативов, а также промысловых кооперативных товариществ (артелей) и потребительских обществ...", не имели права являться "учредителями кооперативных организаций и не могли выбирать и быть выбранными в органы управления и ревизии"..(9711).</w:t>
      </w:r>
    </w:p>
    <w:p w14:paraId="37DBB20A" w14:textId="77777777" w:rsidR="00537E5F" w:rsidRPr="00507A31" w:rsidRDefault="00537E5F" w:rsidP="00507A31">
      <w:pPr>
        <w:autoSpaceDE w:val="0"/>
        <w:autoSpaceDN w:val="0"/>
        <w:adjustRightInd w:val="0"/>
        <w:jc w:val="both"/>
        <w:rPr>
          <w:color w:val="000000" w:themeColor="text1"/>
          <w:sz w:val="16"/>
          <w:szCs w:val="16"/>
        </w:rPr>
      </w:pPr>
    </w:p>
    <w:p w14:paraId="0249EAC0" w14:textId="77777777" w:rsidR="003647D8" w:rsidRPr="00507A31" w:rsidRDefault="003647D8"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68BF754E" w14:textId="77777777" w:rsidR="003647D8" w:rsidRPr="00507A31" w:rsidRDefault="003647D8" w:rsidP="00507A31">
      <w:pPr>
        <w:autoSpaceDE w:val="0"/>
        <w:autoSpaceDN w:val="0"/>
        <w:adjustRightInd w:val="0"/>
        <w:jc w:val="both"/>
        <w:rPr>
          <w:iCs/>
          <w:color w:val="000000" w:themeColor="text1"/>
          <w:sz w:val="16"/>
          <w:szCs w:val="16"/>
        </w:rPr>
      </w:pPr>
    </w:p>
    <w:p w14:paraId="14041BF7" w14:textId="77777777" w:rsidR="003647D8" w:rsidRPr="00507A31" w:rsidRDefault="003647D8" w:rsidP="00507A31">
      <w:pPr>
        <w:jc w:val="both"/>
        <w:rPr>
          <w:bCs/>
          <w:color w:val="000000" w:themeColor="text1"/>
          <w:sz w:val="16"/>
          <w:szCs w:val="16"/>
        </w:rPr>
      </w:pPr>
      <w:r w:rsidRPr="00507A31">
        <w:rPr>
          <w:color w:val="000000" w:themeColor="text1"/>
          <w:sz w:val="16"/>
          <w:szCs w:val="16"/>
        </w:rPr>
        <w:t>13 ноября 1930 г.</w:t>
      </w:r>
    </w:p>
    <w:p w14:paraId="7CB1890D" w14:textId="77777777" w:rsidR="003647D8" w:rsidRPr="00507A31" w:rsidRDefault="003647D8" w:rsidP="00507A31">
      <w:pPr>
        <w:jc w:val="both"/>
        <w:rPr>
          <w:bCs/>
          <w:color w:val="000000" w:themeColor="text1"/>
          <w:sz w:val="16"/>
          <w:szCs w:val="16"/>
        </w:rPr>
      </w:pPr>
      <w:r w:rsidRPr="00507A31">
        <w:rPr>
          <w:color w:val="000000" w:themeColor="text1"/>
          <w:sz w:val="16"/>
          <w:szCs w:val="16"/>
        </w:rPr>
        <w:t>«Сводка инотелеграмм № 462». 13 ноября 1930 г.</w:t>
      </w:r>
    </w:p>
    <w:p w14:paraId="41E3AC03"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Источник: </w:t>
      </w:r>
    </w:p>
    <w:p w14:paraId="564AC555" w14:textId="77777777" w:rsidR="003647D8" w:rsidRPr="00507A31" w:rsidRDefault="003647D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D812A58"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Архив: </w:t>
      </w:r>
    </w:p>
    <w:p w14:paraId="2F422AFE" w14:textId="77777777" w:rsidR="003647D8" w:rsidRPr="00507A31" w:rsidRDefault="003647D8" w:rsidP="00507A31">
      <w:pPr>
        <w:jc w:val="both"/>
        <w:rPr>
          <w:color w:val="000000" w:themeColor="text1"/>
          <w:sz w:val="16"/>
          <w:szCs w:val="16"/>
        </w:rPr>
      </w:pPr>
      <w:r w:rsidRPr="00507A31">
        <w:rPr>
          <w:color w:val="000000" w:themeColor="text1"/>
          <w:sz w:val="16"/>
          <w:szCs w:val="16"/>
        </w:rPr>
        <w:t>АВП РФ. Ф. 0136. Oп. 14. П. 140. Д. 593. Л. 36</w:t>
      </w:r>
    </w:p>
    <w:p w14:paraId="18780E85"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за 13 ноября 1930 г.</w:t>
      </w:r>
    </w:p>
    <w:p w14:paraId="50D1B94A"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lastRenderedPageBreak/>
        <w:t>Не подлежит оглашению</w:t>
      </w:r>
    </w:p>
    <w:p w14:paraId="18BE35D6"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12-го вечером</w:t>
      </w:r>
    </w:p>
    <w:p w14:paraId="54240013"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ДЮРАНТИ: Опубликование обвинительного заключения полностью за 10 дней до процесса совершается впервые. Процитировав подробно передовицу «Эконом. жизни», инкор считает естественным, что буржуазные эмигранты в Париже ничего не забыли и ничему не научились. Но непонятно ему, как могут люди, которые живут и работают для Советов, которые ездили в Европу и возвращались оттуда жить в таких фантастических мечтаниях. Инкор полагает, что они являются в значительной мере жертвами обстоятельств и своего собственного темперамента. Они встречали заграницей старых друзей, которые их спрашивали, как дела в России. Те им честно отвечали, что есть затруднения. Беседа по русскому обычаю продолжалась при водке и в конце концов вся компания занималась безалаберными разговорами, что случится в том или другом случае, если «они» падут, что сказал тот или иной член иностранного кабинета, какую поддержку обещал тот или иной офицер Генерального Штаба. К концу такого вечера вся компания оказывается участницей какого-то заговора. Это звучит смешно, но как Достоевский показывает, русские любили всякую конспирацию и до и после революции. Исключение нужно сделать только для большинства большевиков, которые не занимались пустыми заговорами и не происходят из тех интеллигентских кругов, какие описывал Достоевский. Большевики пролетарии или полу-крестьяне и были связаны железной дисциплиной. Процитировав резолюцию ЦК, инкор указывает, что эта резолюция дает указания для оценки предстоящего процесса. СССР не является единственной страной, где политические противники подвергаются опасности, что их вымажут первой попавшейся под руки грязью. Правители Советов нисколько не стесняются приводить против своих противников свидетельства из вторых рук относительно схемы военной интервенции для того, чтобы доказать массам, что социалистическое отечество находится в опасности, что поэтому пролетарские массы должны еще теснее сплотиться вокруг Кремля. Другое дело сохранят ли все признания свою силу во время судебного разбирательства. Иностранные дипломаты на этот счет настроены скептически, но с внутриполитической точки достигнуты четыре значительные цели: 1) Чем бы ни кончился процесс, заговор инженеров доказывает, что перебои в пятилетке получились по их вине; 2) внутрипартийная оппозиция неправа, находится в заблуждении или совершает еще худшие преступления; 3) последние перемены в высоких административных постах имеют здоровую базу; 4) враги Советов активны и наготове.</w:t>
      </w:r>
    </w:p>
    <w:p w14:paraId="0423AEA0"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12-го днем</w:t>
      </w:r>
    </w:p>
    <w:p w14:paraId="67EEDBCE"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ЧОЛЛЕРТОН: По сегодняшней статье в «Правде» излагает политические взгляды Сырцова, а по «Раб[очей] Газете» — Ломинадзе.</w:t>
      </w:r>
    </w:p>
    <w:p w14:paraId="51736A11"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БАУМ: О мерах на транспорте.</w:t>
      </w:r>
    </w:p>
    <w:p w14:paraId="53B8EE28"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ЮСТ: О новых попытках оживить частное жилищное строительство. Инкор считает сомнительным, чтобы после опыта прошлой зимы кто-нибудь решился строить квартиру за свой счет.</w:t>
      </w:r>
    </w:p>
    <w:p w14:paraId="78956884"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ЛАЙОНС: Массовое посещение мавзолея.</w:t>
      </w:r>
    </w:p>
    <w:p w14:paraId="16D7970D"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(Миронов)</w:t>
      </w:r>
    </w:p>
    <w:p w14:paraId="67CA9461" w14:textId="77777777" w:rsidR="003647D8" w:rsidRPr="00507A31" w:rsidRDefault="003647D8"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36. Машинописная копия того времени. Формула «Не подлежит оглашению» напечатана вверху справа. Рукописная помета (росчерк) вверху слева «НТ» (18979).</w:t>
      </w:r>
    </w:p>
    <w:p w14:paraId="61AB3217" w14:textId="77777777" w:rsidR="003647D8" w:rsidRPr="00507A31" w:rsidRDefault="003647D8" w:rsidP="00507A31">
      <w:pPr>
        <w:jc w:val="both"/>
        <w:rPr>
          <w:color w:val="000000" w:themeColor="text1"/>
          <w:sz w:val="16"/>
          <w:szCs w:val="16"/>
        </w:rPr>
      </w:pPr>
    </w:p>
    <w:p w14:paraId="7FAD88EC" w14:textId="77777777" w:rsidR="003647D8" w:rsidRPr="00507A31" w:rsidRDefault="003647D8" w:rsidP="00507A31">
      <w:pPr>
        <w:jc w:val="both"/>
        <w:rPr>
          <w:bCs/>
          <w:color w:val="000000" w:themeColor="text1"/>
          <w:sz w:val="16"/>
          <w:szCs w:val="16"/>
        </w:rPr>
      </w:pPr>
      <w:r w:rsidRPr="00507A31">
        <w:rPr>
          <w:color w:val="000000" w:themeColor="text1"/>
          <w:sz w:val="16"/>
          <w:szCs w:val="16"/>
        </w:rPr>
        <w:t>13 ноября 1930 г.</w:t>
      </w:r>
    </w:p>
    <w:p w14:paraId="3F6ACD81" w14:textId="77777777" w:rsidR="003647D8" w:rsidRPr="00507A31" w:rsidRDefault="003647D8" w:rsidP="00507A31">
      <w:pPr>
        <w:jc w:val="both"/>
        <w:rPr>
          <w:bCs/>
          <w:color w:val="000000" w:themeColor="text1"/>
          <w:sz w:val="16"/>
          <w:szCs w:val="16"/>
        </w:rPr>
      </w:pPr>
      <w:r w:rsidRPr="00507A31">
        <w:rPr>
          <w:color w:val="000000" w:themeColor="text1"/>
          <w:sz w:val="16"/>
          <w:szCs w:val="16"/>
        </w:rPr>
        <w:t>Телеграмма министра иностранных дел Франции послу Франции в СССР Ж. Эрбету о его протесте Н. Н. Крестинскому. 13 ноября 1930 г.</w:t>
      </w:r>
    </w:p>
    <w:p w14:paraId="7F5AACCB"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Источник: </w:t>
      </w:r>
    </w:p>
    <w:p w14:paraId="54A3ED44" w14:textId="77777777" w:rsidR="003647D8" w:rsidRPr="00507A31" w:rsidRDefault="003647D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D23DEB"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13 ноября 1930 г.</w:t>
      </w:r>
    </w:p>
    <w:p w14:paraId="2F9E2FA6"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Исходящая телеграмма № 340</w:t>
      </w:r>
    </w:p>
    <w:p w14:paraId="6296AD86"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М.И.Д.</w:t>
      </w:r>
    </w:p>
    <w:p w14:paraId="498BCCB0"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Политическое управление</w:t>
      </w:r>
    </w:p>
    <w:p w14:paraId="13386211"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Министр иностранных дел в Москву</w:t>
      </w:r>
    </w:p>
    <w:p w14:paraId="7516EFC1"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Ссылаюсь на Вашу телеграмму № 621 и последующие.</w:t>
      </w:r>
    </w:p>
    <w:p w14:paraId="0BF8A731"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Я полностью одобряю заявление, которое Вы зачитали Крестинскому. Невероятно, что публикация подобного рода, содержащая настолько серьезные обвинения против иностранного правительства, могла появиться в газетах страны, в которой вся пресса находится под абсолютным контролем.</w:t>
      </w:r>
    </w:p>
    <w:p w14:paraId="5D32C1D0"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Еще более удивительно то, что советское правительство может придавать хоть какое-то значение обвинениям, которые были бы смехотворны, если бы они не были способны повлечь за собой серьезные последствия для людей, которых разоблачают так называемые свидетели.</w:t>
      </w:r>
    </w:p>
    <w:p w14:paraId="7F423F8C"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Тем не менее, учитывая тщетность усилий, которые уже приложило французское правительство для того, чтобы разрушить в глазах московского правительства миф о его агрессивных планах, мне кажется предпочтительным, чтобы Вы ограничились тем заявлением, которое Вы уже сделали заместителю наркома иностранных дел.</w:t>
      </w:r>
    </w:p>
    <w:p w14:paraId="2B8CC8C9"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Б[риан]</w:t>
      </w:r>
    </w:p>
    <w:p w14:paraId="52FF8249" w14:textId="77777777" w:rsidR="003647D8" w:rsidRPr="00507A31" w:rsidRDefault="003647D8"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18. Машинописный подлинник, подпись-росчерк. Квадратный штамп шифровального отдела с датой «13 нояб. 1930» и вписанным от руки временем «13 ч. 10»; круглый штамп шифровального отдела с надписью «отправлено и [согласовано]»; штамп Департамента политических и торговых дел с вписанным от руки номером о сдаче в архив «z 619-20 s/d5». Номер телеграммы вписан от руки (18751).</w:t>
      </w:r>
    </w:p>
    <w:p w14:paraId="2F361E5C" w14:textId="77777777" w:rsidR="003647D8" w:rsidRPr="00507A31" w:rsidRDefault="003647D8" w:rsidP="00507A31">
      <w:pPr>
        <w:jc w:val="both"/>
        <w:rPr>
          <w:color w:val="000000" w:themeColor="text1"/>
          <w:sz w:val="16"/>
          <w:szCs w:val="16"/>
        </w:rPr>
      </w:pPr>
    </w:p>
    <w:p w14:paraId="4A378238" w14:textId="77777777" w:rsidR="003647D8" w:rsidRPr="00507A31" w:rsidRDefault="003647D8" w:rsidP="00507A31">
      <w:pPr>
        <w:jc w:val="both"/>
        <w:rPr>
          <w:bCs/>
          <w:color w:val="000000" w:themeColor="text1"/>
          <w:sz w:val="16"/>
          <w:szCs w:val="16"/>
        </w:rPr>
      </w:pPr>
      <w:r w:rsidRPr="00507A31">
        <w:rPr>
          <w:color w:val="000000" w:themeColor="text1"/>
          <w:sz w:val="16"/>
          <w:szCs w:val="16"/>
        </w:rPr>
        <w:t>13 ноября 1930 г.</w:t>
      </w:r>
    </w:p>
    <w:p w14:paraId="4E8B6D2B" w14:textId="77777777" w:rsidR="003647D8" w:rsidRPr="00507A31" w:rsidRDefault="003647D8" w:rsidP="00507A31">
      <w:pPr>
        <w:jc w:val="both"/>
        <w:rPr>
          <w:bCs/>
          <w:color w:val="000000" w:themeColor="text1"/>
          <w:sz w:val="16"/>
          <w:szCs w:val="16"/>
        </w:rPr>
      </w:pPr>
      <w:r w:rsidRPr="00507A31">
        <w:rPr>
          <w:color w:val="000000" w:themeColor="text1"/>
          <w:sz w:val="16"/>
          <w:szCs w:val="16"/>
        </w:rPr>
        <w:t>Запись беседы сотрудника Полпредства СССР в Германии С. И. Бродовского с немецким дипломатом Мольтке об освещении предстоящего процесса «Промпартии» корреспондентом газеты «Кельнише Цейтунг» Юстом. 13 ноября 1930 г.</w:t>
      </w:r>
    </w:p>
    <w:p w14:paraId="55E7E7C2"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Источник: </w:t>
      </w:r>
    </w:p>
    <w:p w14:paraId="3CB2CED9" w14:textId="77777777" w:rsidR="003647D8" w:rsidRPr="00507A31" w:rsidRDefault="003647D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2B63EB6"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Архив: </w:t>
      </w:r>
    </w:p>
    <w:p w14:paraId="1490AAD4" w14:textId="77777777" w:rsidR="003647D8" w:rsidRPr="00507A31" w:rsidRDefault="003647D8" w:rsidP="00507A31">
      <w:pPr>
        <w:jc w:val="both"/>
        <w:rPr>
          <w:color w:val="000000" w:themeColor="text1"/>
          <w:sz w:val="16"/>
          <w:szCs w:val="16"/>
        </w:rPr>
      </w:pPr>
      <w:r w:rsidRPr="00507A31">
        <w:rPr>
          <w:color w:val="000000" w:themeColor="text1"/>
          <w:sz w:val="16"/>
          <w:szCs w:val="16"/>
        </w:rPr>
        <w:t>АВП РФ. Ф. 056. Oп. 15. П. 31. Д. 9. Л. 43-44</w:t>
      </w:r>
    </w:p>
    <w:p w14:paraId="0CF65146"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13 ноября 1930 г.</w:t>
      </w:r>
    </w:p>
    <w:p w14:paraId="60989E21"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59F73E90"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Дневник Бродовского</w:t>
      </w:r>
    </w:p>
    <w:p w14:paraId="7D280DB3"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Запись беседы с Мольтке 12 ноября. Воспользовавшись посещением Мольтке, с целью вручения проекта конвенции, я сделал представление по поводу поведения печати, в связи с опубликованием у нас обвинительного акта по делу промышленной партии. Я не излагаю разговора хронологически ради краткости.</w:t>
      </w:r>
    </w:p>
    <w:p w14:paraId="04A281BE"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Я заявил, что, если во время Шахтинского процесса поведение германской прессы можно было частично объяснить тем, что в Шахтинском процессе были затронуты германские интересы, то совершенно непонятным является поведение германской печати, когда дело никакого отношения к Германии не имеет. Особенно возмутительная телеграмма Юста в [«]Кельнише Цейтунг[»], который позволил себе в конце заявить, что атака ГПУ против Пуанкаре и Бриана не имеет ничего общего с существом процесса, а является лишь только внешнеполитическим ударом Крыленко из своей юридической засады. Таким образом Юст вдруг является адвокатом Пуанкаре и Бриана. Мало того, он этим своим изречением доказывает, что он прекрасно знаком с существом дела, поэтому напрашивается мысль, что его тоже следовало бы привлечь в качестве обвиняемого в этом процессе. Раз он так уверен, что Пуанкаре и Бриан не имели ничего общего со злодеяниями обвиняемых. Если можно еще понять симпатии буржуазной прессы к обвиняемым, которые стремились к реставрации &lt;капитализма&gt;, то непонятно, почему в данном случае госп. Юст афиширует свои симпатии к тем элементам, которые при помощи Франции хотели установить в России тот режим, который бы вместе с Францией душил бы в будущем Германию. Эта защита Франции является каким-то совершенно непонятным курьезом, каким-то новшеством в германской иностранной политике. Если к тому еще прибавить инсинуации, якобы процесс искусственно состряпан, чтобы злостным саботажем объяснить наши хозяйственные затруднения, а кроме того, чтобы подкрепить позицию Литвинова в Женеве, то получается впечатление, что госп. Юст позавидовал лаврам Шефера и, намереваясь покинуть свой московский пост, хочет быть высланным, чтобы одеть на себя тогу героя. К такому выводу я прихожу не только на основании его последней выходки, но и целого ряда прежних корреспонденций последних времен. В ходе разговора я еще многократно обращал особое внимание Мольтке на защиту Юстом французского правительства, которое наверно не преминет воспользоваться свидетельством госп. Юста и других органов печати, которые тоже защищают Францию, правда, не в такой резкой форме.</w:t>
      </w:r>
    </w:p>
    <w:p w14:paraId="69581749"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Мольтке очень слабо защищал Юста, гл. обр. утверждая, что не так надо понимать, как я понимал соответственный пасус. Он однако понял всю бессмысленность защиты германской печатью Бриана и Пуанкаре против наших обвинений.</w:t>
      </w:r>
    </w:p>
    <w:p w14:paraId="73822D60"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Интересно, отправлена ли действительно телеграмма Юста в таком виде, в каком она напечатана.</w:t>
      </w:r>
    </w:p>
    <w:p w14:paraId="64139E41"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(Бродовский)</w:t>
      </w:r>
    </w:p>
    <w:p w14:paraId="5FAB107C" w14:textId="77777777" w:rsidR="003647D8" w:rsidRPr="00507A31" w:rsidRDefault="003647D8"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АВП РФ. Ф. 056. Oп. 15. П. 31. Д. 9. Л. 43-44. Машинописная копия того времени. Гриф секретности и дата машинописью. На Л. 43 вверху слева написаны от руки входящий номер и дата получения документа «18/Х1-30 г.». Здесь же рукописные пометы «О[тдел] печ[ати]», «П и М». «архив» (подпись-росчерк, неразборчиво). </w:t>
      </w:r>
      <w:r w:rsidRPr="00507A31">
        <w:rPr>
          <w:rStyle w:val="af0"/>
          <w:i w:val="0"/>
          <w:color w:val="000000" w:themeColor="text1"/>
          <w:sz w:val="16"/>
          <w:szCs w:val="16"/>
        </w:rPr>
        <w:lastRenderedPageBreak/>
        <w:t>Вверху справа штамп Секретариата Западного отдела НКИД с входящим номером и датой «15/ХII-30 г.]» (вписаны от руки) (18837).</w:t>
      </w:r>
    </w:p>
    <w:p w14:paraId="40A43BF7" w14:textId="77777777" w:rsidR="003647D8" w:rsidRPr="00507A31" w:rsidRDefault="003647D8" w:rsidP="00507A31">
      <w:pPr>
        <w:jc w:val="both"/>
        <w:rPr>
          <w:color w:val="000000" w:themeColor="text1"/>
          <w:sz w:val="16"/>
          <w:szCs w:val="16"/>
        </w:rPr>
      </w:pPr>
    </w:p>
    <w:p w14:paraId="08855E76" w14:textId="77777777" w:rsidR="001C2E19" w:rsidRPr="00507A31" w:rsidRDefault="001C2E19"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7F858C7F" w14:textId="77777777" w:rsidR="001C2E19" w:rsidRPr="00507A31" w:rsidRDefault="001C2E19" w:rsidP="00507A31">
      <w:pPr>
        <w:autoSpaceDE w:val="0"/>
        <w:autoSpaceDN w:val="0"/>
        <w:adjustRightInd w:val="0"/>
        <w:jc w:val="both"/>
        <w:rPr>
          <w:iCs/>
          <w:color w:val="000000" w:themeColor="text1"/>
          <w:sz w:val="16"/>
          <w:szCs w:val="16"/>
        </w:rPr>
      </w:pPr>
    </w:p>
    <w:p w14:paraId="32858942" w14:textId="77777777" w:rsidR="001C2E19" w:rsidRPr="00507A31" w:rsidRDefault="001C2E19" w:rsidP="00507A31">
      <w:pPr>
        <w:jc w:val="both"/>
        <w:rPr>
          <w:color w:val="0070C0"/>
          <w:sz w:val="16"/>
          <w:szCs w:val="16"/>
        </w:rPr>
      </w:pPr>
      <w:r w:rsidRPr="00507A31">
        <w:rPr>
          <w:color w:val="0070C0"/>
          <w:sz w:val="16"/>
          <w:szCs w:val="16"/>
        </w:rPr>
        <w:t>13 ноября 1930 Braniff Airways начинает операции, используя самолеты Lockheed Vega для обслуживания рейсов между Оклахома-Сити, Оклахома; Талса, Оклахома; и Уичито-Фолс, штат Техас (20805).</w:t>
      </w:r>
    </w:p>
    <w:p w14:paraId="47EF746E" w14:textId="77777777" w:rsidR="001C2E19" w:rsidRPr="00507A31" w:rsidRDefault="001C2E19" w:rsidP="00507A31">
      <w:pPr>
        <w:jc w:val="both"/>
        <w:rPr>
          <w:color w:val="0070C0"/>
          <w:sz w:val="16"/>
          <w:szCs w:val="16"/>
        </w:rPr>
      </w:pPr>
    </w:p>
    <w:p w14:paraId="779D412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6DA625E" w14:textId="77777777" w:rsidR="00537E5F" w:rsidRPr="00507A31" w:rsidRDefault="00537E5F" w:rsidP="00507A31">
      <w:pPr>
        <w:autoSpaceDE w:val="0"/>
        <w:autoSpaceDN w:val="0"/>
        <w:adjustRightInd w:val="0"/>
        <w:jc w:val="both"/>
        <w:rPr>
          <w:iCs/>
          <w:color w:val="000000" w:themeColor="text1"/>
          <w:sz w:val="16"/>
          <w:szCs w:val="16"/>
        </w:rPr>
      </w:pPr>
    </w:p>
    <w:p w14:paraId="62FC96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ноября 1930 Алкснис приказали вскрыть на заводе уже готовые машины Р-5 и установить бобышки усиления крыла под помбодержатели (11936).</w:t>
      </w:r>
    </w:p>
    <w:p w14:paraId="0F1DEB60" w14:textId="77777777" w:rsidR="00537E5F" w:rsidRPr="00507A31" w:rsidRDefault="00537E5F" w:rsidP="00507A31">
      <w:pPr>
        <w:autoSpaceDE w:val="0"/>
        <w:autoSpaceDN w:val="0"/>
        <w:adjustRightInd w:val="0"/>
        <w:jc w:val="both"/>
        <w:rPr>
          <w:color w:val="000000" w:themeColor="text1"/>
          <w:sz w:val="16"/>
          <w:szCs w:val="16"/>
        </w:rPr>
      </w:pPr>
    </w:p>
    <w:p w14:paraId="09DB83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ноября 1930 испытывали Ш-2 на воде. Л Б.В.Глаголев летал в В.Б.Ш. При посадке из-за удара о волну оторвался редан, лодка набрала воды но не утонула. По Москалеву встала на нос и В.Б.Ш. и Глаголева - выбросило (7621, 33).</w:t>
      </w:r>
    </w:p>
    <w:p w14:paraId="4553F6CC" w14:textId="77777777" w:rsidR="00537E5F" w:rsidRPr="00507A31" w:rsidRDefault="00537E5F" w:rsidP="00507A31">
      <w:pPr>
        <w:autoSpaceDE w:val="0"/>
        <w:autoSpaceDN w:val="0"/>
        <w:adjustRightInd w:val="0"/>
        <w:jc w:val="both"/>
        <w:rPr>
          <w:color w:val="000000" w:themeColor="text1"/>
          <w:sz w:val="16"/>
          <w:szCs w:val="16"/>
        </w:rPr>
      </w:pPr>
    </w:p>
    <w:p w14:paraId="412FB9C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EF65CE2" w14:textId="77777777" w:rsidR="00537E5F" w:rsidRPr="00507A31" w:rsidRDefault="00537E5F" w:rsidP="00507A31">
      <w:pPr>
        <w:autoSpaceDE w:val="0"/>
        <w:autoSpaceDN w:val="0"/>
        <w:adjustRightInd w:val="0"/>
        <w:jc w:val="both"/>
        <w:rPr>
          <w:iCs/>
          <w:color w:val="000000" w:themeColor="text1"/>
          <w:sz w:val="16"/>
          <w:szCs w:val="16"/>
        </w:rPr>
      </w:pPr>
    </w:p>
    <w:p w14:paraId="2C562B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ноября 1930 в Правде была статья А.М.Г. Если враг не сдается - его уничтожают - во время процесса Промпартии (3481).</w:t>
      </w:r>
    </w:p>
    <w:p w14:paraId="00C7598E" w14:textId="77777777" w:rsidR="00537E5F" w:rsidRPr="00507A31" w:rsidRDefault="00537E5F" w:rsidP="00507A31">
      <w:pPr>
        <w:autoSpaceDE w:val="0"/>
        <w:autoSpaceDN w:val="0"/>
        <w:adjustRightInd w:val="0"/>
        <w:jc w:val="both"/>
        <w:rPr>
          <w:color w:val="000000" w:themeColor="text1"/>
          <w:sz w:val="16"/>
          <w:szCs w:val="16"/>
        </w:rPr>
      </w:pPr>
    </w:p>
    <w:p w14:paraId="7AC33B61" w14:textId="77777777" w:rsidR="003647D8" w:rsidRPr="00507A31" w:rsidRDefault="003647D8"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EC9EB2E" w14:textId="77777777" w:rsidR="003647D8" w:rsidRPr="00507A31" w:rsidRDefault="003647D8" w:rsidP="00507A31">
      <w:pPr>
        <w:autoSpaceDE w:val="0"/>
        <w:autoSpaceDN w:val="0"/>
        <w:adjustRightInd w:val="0"/>
        <w:jc w:val="both"/>
        <w:rPr>
          <w:iCs/>
          <w:color w:val="000000" w:themeColor="text1"/>
          <w:sz w:val="16"/>
          <w:szCs w:val="16"/>
        </w:rPr>
      </w:pPr>
    </w:p>
    <w:p w14:paraId="13501B28" w14:textId="77777777" w:rsidR="003647D8" w:rsidRPr="00507A31" w:rsidRDefault="003647D8" w:rsidP="00507A31">
      <w:pPr>
        <w:jc w:val="both"/>
        <w:rPr>
          <w:bCs/>
          <w:color w:val="000000" w:themeColor="text1"/>
          <w:sz w:val="16"/>
          <w:szCs w:val="16"/>
        </w:rPr>
      </w:pPr>
      <w:r w:rsidRPr="00507A31">
        <w:rPr>
          <w:color w:val="000000" w:themeColor="text1"/>
          <w:sz w:val="16"/>
          <w:szCs w:val="16"/>
        </w:rPr>
        <w:t>14 ноября 1930 г.</w:t>
      </w:r>
    </w:p>
    <w:p w14:paraId="032E8009" w14:textId="77777777" w:rsidR="003647D8" w:rsidRPr="00507A31" w:rsidRDefault="003647D8" w:rsidP="00507A31">
      <w:pPr>
        <w:jc w:val="both"/>
        <w:rPr>
          <w:bCs/>
          <w:color w:val="000000" w:themeColor="text1"/>
          <w:sz w:val="16"/>
          <w:szCs w:val="16"/>
        </w:rPr>
      </w:pPr>
      <w:r w:rsidRPr="00507A31">
        <w:rPr>
          <w:color w:val="000000" w:themeColor="text1"/>
          <w:sz w:val="16"/>
          <w:szCs w:val="16"/>
        </w:rPr>
        <w:t>Обзор германской прессы о событиях в СССР, подготовленный сотрудником Полпредства СССР в Германии Д. Г. Штерном для отдела печати НКИД СССР. 14 ноября 1930 г.</w:t>
      </w:r>
    </w:p>
    <w:p w14:paraId="29F29D15"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Источник: </w:t>
      </w:r>
    </w:p>
    <w:p w14:paraId="5B80F0DE" w14:textId="77777777" w:rsidR="003647D8" w:rsidRPr="00507A31" w:rsidRDefault="003647D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A55501"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Архив: </w:t>
      </w:r>
    </w:p>
    <w:p w14:paraId="6DBAF7D4" w14:textId="77777777" w:rsidR="003647D8" w:rsidRPr="00507A31" w:rsidRDefault="003647D8" w:rsidP="00507A31">
      <w:pPr>
        <w:jc w:val="both"/>
        <w:rPr>
          <w:color w:val="000000" w:themeColor="text1"/>
          <w:sz w:val="16"/>
          <w:szCs w:val="16"/>
        </w:rPr>
      </w:pPr>
      <w:r w:rsidRPr="00507A31">
        <w:rPr>
          <w:color w:val="000000" w:themeColor="text1"/>
          <w:sz w:val="16"/>
          <w:szCs w:val="16"/>
        </w:rPr>
        <w:t>АВП РФ. Ф. 056. On. 15. П. 31. Д. 9. Л. 45-48</w:t>
      </w:r>
    </w:p>
    <w:p w14:paraId="38C27295"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Не ранее 14 ноября 1930 г.</w:t>
      </w:r>
    </w:p>
    <w:p w14:paraId="16B28DA1"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5AF0289C"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Германская печать и СССР</w:t>
      </w:r>
    </w:p>
    <w:p w14:paraId="4A52E1AE"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После короткого периода, когда германская пресса уделяла мало внимания Сов. Союзу, с другой же стороны время от времени помещала положительные статьи, вновь замечается повышение интереса и при том достаточно враждебного характера. В основном, в течение последних дней прессой были затронуты следующие моменты:</w:t>
      </w:r>
    </w:p>
    <w:p w14:paraId="68A8B776" w14:textId="77777777" w:rsidR="003647D8" w:rsidRPr="00507A31" w:rsidRDefault="003647D8" w:rsidP="00507A31">
      <w:pPr>
        <w:numPr>
          <w:ilvl w:val="0"/>
          <w:numId w:val="60"/>
        </w:numPr>
        <w:ind w:left="0" w:firstLine="0"/>
        <w:jc w:val="both"/>
        <w:rPr>
          <w:color w:val="000000" w:themeColor="text1"/>
          <w:sz w:val="16"/>
          <w:szCs w:val="16"/>
        </w:rPr>
      </w:pPr>
      <w:r w:rsidRPr="00507A31">
        <w:rPr>
          <w:color w:val="000000" w:themeColor="text1"/>
          <w:sz w:val="16"/>
          <w:szCs w:val="16"/>
        </w:rPr>
        <w:t>Обвинительное заключение по делу промышленной партии нашло в германской прессе в целом весьма недоброжелательные комментарии. [«]Франкфуртер Пейтунг[»] (от 13/11) помещает передовую - «Новая волна террора в России». Газета абсолютно не верит в то, что старые ученые и профессора могли участвовать в политическом заговоре с иностранными державами. Их преступления состоят по[-]видимому в том, что они высказывали сомнения в тех или других мероприятиях правительства. Процесс против них является чисто тенденциозным, имеющим внутриполитическое заострение. В обвинительном заключении фигурирует и Пуанкаре и Детердинг и Уркварт. Все эти лица уже опровергли возводимые на них обвинения. В советских условиях эти дементи могут лишь ухудшить положение обвиняемых. Далее газета увязывает процесс с персональными изменениями, происшедшими в государственном аппарате и считает, что: «все происходящее в России приводит к выводу, что Сталин подготавливает свою личную диктатуру».</w:t>
      </w:r>
    </w:p>
    <w:p w14:paraId="2B930F3F"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[«]Гамбургер Фрембенблатт[»] (13 ноября) помещает статью Зейберта - «Русский ад». Проводимая в стране «сверхиндустриализация» сопровождается всеобщим разорением и нищетой. Все старые сподвижники Ленина ушли либо отодвинуты. Старые рабочие бегут с предприятий, где их закрепощают. Система опирается на рабочую молодежь, воспитанную под красным колпаком и исполненную слепым фанатическим энтузиазмом. Готовится окончательный разгром правых с помощью административных методов. Для того, чтобы отвлечь внимание масс, инсценируется новый процесс. Проведение его поручено «паталогическому герою» шахтинского процесса - Крыленко. Острие процесса направлено против Франции. Под таинственным «К», по мнению Зейберта, имеется в виду французский торговый атташе в Москве Луи Кифер. «Мы не считаем исключенным, чтобы тот или другой советский чиновник поддерживал в целях шпионажа отношения с тем или другим французским агентом. Тем не менее все построение крыленковского обвинения Пуанкаре правильно охарактеризовал как “идиотскую ложь”».</w:t>
      </w:r>
    </w:p>
    <w:p w14:paraId="43BCB482"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Гершун в «Германии» (12/11) считает, что никогда положение в СССР не было более катастрофическим. Никогда Чека не имела такой власти, как в настоящее время. Позиции Сталина ослабели, поэтому он вынужден дать решительный бой. Отсюда все происходящее в Союзе.</w:t>
      </w:r>
    </w:p>
    <w:p w14:paraId="3965CA26" w14:textId="77777777" w:rsidR="003647D8" w:rsidRPr="00507A31" w:rsidRDefault="003647D8" w:rsidP="00507A31">
      <w:pPr>
        <w:numPr>
          <w:ilvl w:val="0"/>
          <w:numId w:val="61"/>
        </w:numPr>
        <w:ind w:left="0" w:firstLine="0"/>
        <w:jc w:val="both"/>
        <w:rPr>
          <w:color w:val="000000" w:themeColor="text1"/>
          <w:sz w:val="16"/>
          <w:szCs w:val="16"/>
        </w:rPr>
      </w:pPr>
      <w:r w:rsidRPr="00507A31">
        <w:rPr>
          <w:color w:val="000000" w:themeColor="text1"/>
          <w:sz w:val="16"/>
          <w:szCs w:val="16"/>
        </w:rPr>
        <w:t>Отто Фейт в [«]Индустри унд Хандельс Пейтунг[»] дает большую статью, в которой показывает банкротство планового хозяйства в СССР. Он считает, что Пятилетний план будет выполнен, однако именно это окончательно докажет провал советского хозяйства. При помощи невероятных лишений и расстрелов будут в разоренной стране построены огромные предприятия, которые лишь усилят бедствия в стране. Последствия демпинга также вскоре скажутся в смысле дальнейшего его раззорения России. Капиталистическая система несмотря на свои дефекты стоит несравненно выше советской.</w:t>
      </w:r>
    </w:p>
    <w:p w14:paraId="1108F55D"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[«]Форвертс[»] (от 14/11) помещает большую статью Лэфлера, содержащую в основном извлечения из докладов, сделанных горняками, вернувшимися из СССР. Указывается, что советские вербовщики обещали рабочим в Руре зарплату в размере 150-250 рубл. в месяц, квартиры из трех комнат и пр. В действительности, пишет Форвертс, зарплата была в 2-3 раза ниже, квартир не было, русские рабочие саботировали работу, портили инструменты немцев. Далее описываются трудности возвращения в Германию и указывается, что безработным в Германии живется на 100% лучше, чем имеющим работу в СССР.</w:t>
      </w:r>
    </w:p>
    <w:p w14:paraId="1FB9B74C"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[«]Гамб[ургер| Фремленблатт|»| и [«]Дюссельдорфер Нахрихтен[»] (от 13/11) помещают статью своего московского корреспондента о советском демпинге. Он считает, что в отношении советского экспорта делается большая ошибка: рубль приравнивается номинальному паритету. В действительности рубль составляет менее одной трети номинала. Этим аргументом наносится удар теории демпинга, однако этим самым Советский] Союз оказывается страной, где низкая себестоимость достигается при помощи крайне низкой оплаты рабочих. Москва очень обеспокоена французскими мероприятиями. Борьба с демпингом может повредить сов[етскому] строительству. Большевики увидели, что мировой кризис имеет не только революционную сторону, но и другую, для них мало приятную.</w:t>
      </w:r>
    </w:p>
    <w:p w14:paraId="32B98F2A"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«Кельнише Фольке Пейтунг» (от 11/11) констатирует, что советские торговые органы проводят операции своеобразного характера: так цинк покупаемый в Польше потом по более низким ценам продается в Англию, подвергаясь перевозке из Польши по жел[езной] дороге через Союз. Аналогичные операции производятся с германской сталью. Смысл их лежит в том, что эти товары покупаются в кредит, продаются же за наличные деньги. В связи с этим газета считает необходимым изменение кредитной политики по отношению к СССР.</w:t>
      </w:r>
    </w:p>
    <w:p w14:paraId="13B60CB6"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[«]Б. Ц. ам Миттаг[»] (13/11) помещает заметку о падении цен на бензин на 2 пф. за литр. Начали снижать цены румыны. Как всегда ищут козла отпущения в лице СССР. [«]Матэн[»], близкая Детердингу начинает кампанию против России, между тем сам Детердинг более кого бы то ни было ответственен за падение цен.</w:t>
      </w:r>
    </w:p>
    <w:p w14:paraId="4A125C69" w14:textId="77777777" w:rsidR="003647D8" w:rsidRPr="00507A31" w:rsidRDefault="003647D8" w:rsidP="00507A31">
      <w:pPr>
        <w:numPr>
          <w:ilvl w:val="0"/>
          <w:numId w:val="62"/>
        </w:numPr>
        <w:ind w:left="0" w:firstLine="0"/>
        <w:jc w:val="both"/>
        <w:rPr>
          <w:color w:val="000000" w:themeColor="text1"/>
          <w:sz w:val="16"/>
          <w:szCs w:val="16"/>
        </w:rPr>
      </w:pPr>
      <w:r w:rsidRPr="00507A31">
        <w:rPr>
          <w:color w:val="000000" w:themeColor="text1"/>
          <w:sz w:val="16"/>
          <w:szCs w:val="16"/>
        </w:rPr>
        <w:t>Гарви помещает в [«]Форвертсе[»] (13/11) статью, посвященную положению в Китае. Он впервые пишет о «военно-партийной» диктатуре Чан Кай Ши, являющегося представителем интересов буржуазии. Далее Гарви переходит к московским переговорам, срыв которых чреват опасными последствиями. Уж[е] выносятся резолюции частями дальневосточной армии о том, что «порох еще сух и что армия готова к маршу». Европа и мир должны помешать маршам на Дальнем Востоке.</w:t>
      </w:r>
    </w:p>
    <w:p w14:paraId="3D700E1F" w14:textId="77777777" w:rsidR="003647D8" w:rsidRPr="00507A31" w:rsidRDefault="003647D8" w:rsidP="00507A31">
      <w:pPr>
        <w:numPr>
          <w:ilvl w:val="0"/>
          <w:numId w:val="63"/>
        </w:numPr>
        <w:ind w:left="0" w:firstLine="0"/>
        <w:jc w:val="both"/>
        <w:rPr>
          <w:color w:val="000000" w:themeColor="text1"/>
          <w:sz w:val="16"/>
          <w:szCs w:val="16"/>
        </w:rPr>
      </w:pPr>
      <w:r w:rsidRPr="00507A31">
        <w:rPr>
          <w:color w:val="000000" w:themeColor="text1"/>
          <w:sz w:val="16"/>
          <w:szCs w:val="16"/>
        </w:rPr>
        <w:t>Юст в [«]Кельнише Цейтунг[»] (13/11) пишет о «Кнуте на русских железных дорогах». Сообщается о мероприятиях, направленных к поднятию дисциплины на транспорте.</w:t>
      </w:r>
    </w:p>
    <w:p w14:paraId="0EDA9D45" w14:textId="77777777" w:rsidR="003647D8" w:rsidRPr="00507A31" w:rsidRDefault="003647D8" w:rsidP="00507A31">
      <w:pPr>
        <w:numPr>
          <w:ilvl w:val="0"/>
          <w:numId w:val="64"/>
        </w:numPr>
        <w:ind w:left="0" w:firstLine="0"/>
        <w:jc w:val="both"/>
        <w:rPr>
          <w:color w:val="000000" w:themeColor="text1"/>
          <w:sz w:val="16"/>
          <w:szCs w:val="16"/>
        </w:rPr>
      </w:pPr>
      <w:r w:rsidRPr="00507A31">
        <w:rPr>
          <w:color w:val="000000" w:themeColor="text1"/>
          <w:sz w:val="16"/>
          <w:szCs w:val="16"/>
        </w:rPr>
        <w:t>Свен фон Мюллер в [«]Темпо[»] (от 11/11) пишет о положении немцев в СССР. В то время как советские граждане в Германии пользуются всеми преимуществами, немцы в России находятся под террором коммунистов и их ГПУ. Далее приводятся рассказы о том, как у «скромного немецкого ремесленника в Батуме конфисковали принадлежавший ему сернистый источник», как разоряют немецких виноградарей низкими закупочными ценами и пр. В итоге на Украине осталось всего 1000 имперских немцев. В номере (от 13/11) Свен фон Мюллер пишет о борьбе с духовенством, причем все же указывает, что причина упадка православной церкви в значительной степени лежит в тяжелом довоенном положении черного духовенства.</w:t>
      </w:r>
    </w:p>
    <w:p w14:paraId="73D02A05"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Таким образом в основном все приведенные выше материалы следует рассматривать как враждебные, исключение представляет лишь заметка [«]Б. Ц.[ам Миттаг»] и отчасти двухсмысленная корреспонденция московского представителя [«]Гамбургер Фремденблатт[»]. Эта тенденция объясняется в основном обострением социальных противоречий в Германии и обуславливается стремлением использовать Советский Союз для отвлечения внимания населения. Отношение к процессу промышленной партии продиктовано и внешне-политическими моментами (осторожность в отношении Франции).</w:t>
      </w:r>
    </w:p>
    <w:p w14:paraId="13E8E660"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Д. Штерн</w:t>
      </w:r>
    </w:p>
    <w:p w14:paraId="68DA9B5B" w14:textId="77777777" w:rsidR="003647D8" w:rsidRPr="00507A31" w:rsidRDefault="003647D8" w:rsidP="00507A31">
      <w:pPr>
        <w:pStyle w:val="ae"/>
        <w:spacing w:before="0" w:after="0"/>
        <w:jc w:val="both"/>
        <w:rPr>
          <w:color w:val="000000" w:themeColor="text1"/>
          <w:sz w:val="16"/>
          <w:szCs w:val="16"/>
        </w:rPr>
      </w:pPr>
      <w:r w:rsidRPr="00507A31">
        <w:rPr>
          <w:rStyle w:val="af0"/>
          <w:i w:val="0"/>
          <w:color w:val="000000" w:themeColor="text1"/>
          <w:sz w:val="16"/>
          <w:szCs w:val="16"/>
        </w:rPr>
        <w:lastRenderedPageBreak/>
        <w:t>АВП РФ. Ф. 056. On. 15. П. 31. Д. 9. Л. 45-48. Машинописная копия того времени. На Л. 45 вверху рукописные пометы карандашом «Отд[ел] печати», «В архив» (подпись-росчерк, неразборчиво). Датируется по содержанию документа (18838).</w:t>
      </w:r>
    </w:p>
    <w:p w14:paraId="2586F1E3" w14:textId="77777777" w:rsidR="003647D8" w:rsidRPr="00507A31" w:rsidRDefault="003647D8" w:rsidP="00507A31">
      <w:pPr>
        <w:jc w:val="both"/>
        <w:rPr>
          <w:color w:val="000000" w:themeColor="text1"/>
          <w:sz w:val="16"/>
          <w:szCs w:val="16"/>
        </w:rPr>
      </w:pPr>
    </w:p>
    <w:p w14:paraId="44FA66A9" w14:textId="77777777" w:rsidR="003647D8" w:rsidRPr="00507A31" w:rsidRDefault="003647D8" w:rsidP="00507A31">
      <w:pPr>
        <w:jc w:val="both"/>
        <w:rPr>
          <w:bCs/>
          <w:color w:val="000000" w:themeColor="text1"/>
          <w:sz w:val="16"/>
          <w:szCs w:val="16"/>
        </w:rPr>
      </w:pPr>
      <w:r w:rsidRPr="00507A31">
        <w:rPr>
          <w:color w:val="000000" w:themeColor="text1"/>
          <w:sz w:val="16"/>
          <w:szCs w:val="16"/>
        </w:rPr>
        <w:t>14 ноября 1930 г.</w:t>
      </w:r>
    </w:p>
    <w:p w14:paraId="55412906" w14:textId="77777777" w:rsidR="003647D8" w:rsidRPr="00507A31" w:rsidRDefault="003647D8" w:rsidP="00507A31">
      <w:pPr>
        <w:jc w:val="both"/>
        <w:rPr>
          <w:bCs/>
          <w:color w:val="000000" w:themeColor="text1"/>
          <w:sz w:val="16"/>
          <w:szCs w:val="16"/>
        </w:rPr>
      </w:pPr>
      <w:r w:rsidRPr="00507A31">
        <w:rPr>
          <w:color w:val="000000" w:themeColor="text1"/>
          <w:sz w:val="16"/>
          <w:szCs w:val="16"/>
        </w:rPr>
        <w:t>Депеша посла Франции в СССР Ж. Эрбета министру иностранных дел Франции А. Бриану о статьях в советской прессе, посвященных предстоящему процессу. 14 ноября 1930 г.</w:t>
      </w:r>
    </w:p>
    <w:p w14:paraId="3FCFBDE5"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Источник: </w:t>
      </w:r>
    </w:p>
    <w:p w14:paraId="1FB4D78E" w14:textId="77777777" w:rsidR="003647D8" w:rsidRPr="00507A31" w:rsidRDefault="003647D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BE227F"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14 ноября 1930 г.</w:t>
      </w:r>
    </w:p>
    <w:p w14:paraId="543E6004"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Посольство Французской Республики в СССР</w:t>
      </w:r>
    </w:p>
    <w:p w14:paraId="77F65949"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Департамент политических и торговых дел</w:t>
      </w:r>
    </w:p>
    <w:p w14:paraId="40CC2B92"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Депеша № 665 (Европа)</w:t>
      </w:r>
    </w:p>
    <w:p w14:paraId="73B06929"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Посол Французской Республики в Москве министру иностранных дел Аристиду Бриану</w:t>
      </w:r>
    </w:p>
    <w:p w14:paraId="51BF4407"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Как советская пресса подготавливает процесс, в котором будет идти речь о так называемых планах Франции по подготовке военной интервенции в СССР.</w:t>
      </w:r>
    </w:p>
    <w:p w14:paraId="31A19D61"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Обвинительное заключение, которое опубликовали советские газеты 11-го ноября, против русских ученых, обвиняемых во вредительстве, и против Франции, которой вменяются в вину планы военной агрессии, явилось лишь началом той партитуры, которая с тех пор разыгрывается в прессе, до того как она развернется в суде.</w:t>
      </w:r>
    </w:p>
    <w:p w14:paraId="201F6E1A"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Сегодня в «Правде» и в «Известиях» появились некоторые новые вариации, местами довольно показательные:</w:t>
      </w:r>
    </w:p>
    <w:p w14:paraId="70CFA971"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 передовой статье потрясающей длины «Известия» стараются ответить на критику, которой подверглось обвинительное заключение за границей и, без сомнения, в самом СССР. В частности, «Известия» пишут: «Большая часть маневров, предпринимаемых для опорочения процесса, — маневров, встречающихся не только во французской империалистской печати, — сводится к утверждениям, что весь процесс затеян лишь для того, чтобы найти виновника “экономического кризиса” в СССР».</w:t>
      </w:r>
    </w:p>
    <w:p w14:paraId="69A4579F"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Если бы такое утверждение было простым маневром, «Известия», вероятно не уделили бы ему такого внимания. К несчастью для советского правительства, все знают, что процесс против Рамзина и его коллег служит как раз тому, чтобы отвлечь народное недовольство. Речь идет о том, чтобы убедить население СССР, что их лишения, которые становится все тяжелее выносить, вызваны не политическими и экономическими ошибками правительства, но озлобленностью некоторых «буржуазных» специалистов и кое-какими «империалистическими» державами. Этот расчет коммунистических руководителей можно вычислить не только путем более или менее правдоподобных измышлений. Он вытекает из самого обвинительного заключения, в котором длинные пассажи посвящены тому, чтобы подтвердить при помощи цифр, что экономические неприятности СССР — результат деятельности восьми человек. Впрочем, когда в сентябре были расстреляны 48 служащих снабжения, якобы ответственных за дефицит продовольствия, только увеличившийся со времени их смерти, было также заметно, что руководители партии стремились только перенести на бедняг народный гнев, который скапливался против советского правительства. Пытаясь опровергнуть объяснение, которое дают этому новому процессу, «Известия» стараются отрицать очевидное. Это задача действительно сложная. Тем не менее, в надежде запутать читателя «Известия» доводят до крайности свою аргументацию. Они решаются на то, чтобы отрицать экономический кризис в СССР: «СССР не только не переживает никакого кризиса, но продолжает стремительное социалистическое наступление по всему фронту. Хорош кризис, когда в прошлом хозяйственном году продукция в общем повысилась на 25 проц., а продукция тяжелой промышленности — на 40 проц.! Темпы ударного квартала не снижены по сравнению с прошлым годом, но даже повышены. Советскому правительству не приходится искать козлов отпущения, ибо оно может гордиться достижениями своего хозяйственного развития».</w:t>
      </w:r>
    </w:p>
    <w:p w14:paraId="60C26D77"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Естественно, «Известия» играют в слова. Экономический кризис в СССР заключается не в снижении объемов металлургического производства. Напротив, он заключается в том, что советское правительство, концентрируя все усилия населения и все финансовые ресурсы страны на развитии тяжелой промышленности, и в частности военной промышленности, истощает свой народ, которому оно отказывает в еде, одежде, жилье и свободе. Впрочем, достаточно провести в Москве несколько часов, чтобы уловить не только кризис, но и бедность, и нервозность населения.</w:t>
      </w:r>
    </w:p>
    <w:p w14:paraId="1DEE4DFE"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Однако в определенном смысле аргументация «Известий» заслуживает интереса. Советское правительство постоянно просит кредитов заграницей. В то же время, оно отказывается выплачивать долги правительства, на смену которому оно пришло, и возместить убытки иностранцам, у которых оно отобрало все. Ссылаясь на бедность России и ее экономические сложности, благосклонная советскому правительству пропаганда стремится найти извинение такой позиции московского правительства во всем мире. И вот «Известия» объявляют: «СССР не только не переживает никакого кризиса, но с увлечением продолжает стремительное социалистическое наступление по всему фронту».</w:t>
      </w:r>
    </w:p>
    <w:p w14:paraId="5A32C1FE"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Что же происходит с оправданием, которое используется для того чтобы объяснить финансовые требования СССР и его отказ произвести выплаты? Какая отговорка остается иностранным правительствам, чтобы не приступить теперь же к взысканию сумм, причитающихся им от советского правительства?</w:t>
      </w:r>
    </w:p>
    <w:p w14:paraId="68491A5E"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 продолжении статьи «Известия» говорят о том, что процесс против Рамзина и его коллег будет открытым, и на нем будут предоставлены неопровержимые доказательства:</w:t>
      </w:r>
    </w:p>
    <w:p w14:paraId="578573F8"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«Самый факт, что процесс будет разбираться публично, говорит каждому, способному логически мыслить, что в руках обвинения находятся самые веские доказательства. Каких еще более веских доказательств можно требовать, чем собственноручные показания обвиняемых, людей с европейским именем, людей, которые знают всю тяжесть ответственности, которую они берут на себя. Перед лицом этого факта все попытки заинтересованных кругов отделаться голословным отрицанием производят впечатление жалкого лепета».</w:t>
      </w:r>
    </w:p>
    <w:p w14:paraId="35BED98B"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Этот пассаж показывает, что во время процесса советские власти постараются использовать «признания» обвиняемых и произвести таким образом большой скандал с целью скомпрометировать французское правительство и генеральный штаб. Эта перспектива, как мне представляется, должна навести нас на следующие размышления.</w:t>
      </w:r>
    </w:p>
    <w:p w14:paraId="75AC8B46"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Во-первых, не пришло ли время четко дать понять общественному мнению как у нас, так и заграницей, что методы, которыми пользуется ГПУ для получения «признаний», являются пытками, которые полностью обесценивают заявления обвиняемых? Есть много людей, которые достоверно сообщали об отвратительном обращении ГПУ с обвиняемыми. Такое обращение рассчитано не только на то, чтобы с помощью физического страдания вырывать признания. Оно также имеет целью отупить, свести человека с ума так, чтобы сломить его способность размышлять и внушить ему непреодолимое желание признаться во всем, что от него требуют. Прежде чем начнется процесс, прежде чем коммунистическая пропаганда попытается приложить огромные усилия, чтобы дискредитировать нашу страну, нужно предупредить общественное мнение. Было бы также небесполезно, чтобы авторитетные личности заявили, что мы не будем придавать никакого значения так называемым признаниям или показаниям, полученным секретными и жестокими методами, которые осуждают все цивилизованные народы.</w:t>
      </w:r>
    </w:p>
    <w:p w14:paraId="7767FE34"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С другой стороны, мы не должны питать иллюзий на счет последствий, которые может повлечь за собой этот процесс. Если Донецкий процесс чуть было не вызвал серьезных осложнений между СССР и Германией, несмотря на существующие между этими двумя государствами связи, какие же последствия может иметь нынешний процесс на франко-советские отношения, когда положение людей, которые управляют сейчас СССР бесконечно сложнее, чем в 1928 году, когда сила их наступления пропорциональна сложности их ситуации? В конце статьи из «Известий», после бесконечных пустых подробностей о так называемых агрессивных действиях Франции против СССР мы находим следующее заключение: «Теперь Красная армия имеет уже прочную техническую базу, имеет прекрасную организацию. Через военную и политическую выучку прошли миллионы народных масс СССР, уже воочию убедившихся, что советская власть гарантирует им выход из нищеты, гарантирует индустриализацию страны и поднятие благосостояния ее народных масс на невиданный уровень. Рабочие массы за границей убедились, что капитализм не в состоянии обеспечить им кусок хлеба, что там растет безработица. Недаром на днях только писал редактор «Журналь де Женев» — органа, близкого Лиге Наций, что вся европейская обстановка производит впечатление предреволюционной. Мы не боимся интервенции. Если на нас нападут, мы сумеем перейти от обороны к наступлению. Но мы знаем, что интервенция принесет неисчислимые страдания не только рабочим и крестьянам СССР, но и народным массам всего мира, ибо она есть начало мировой войны. Поэтому мы сделаем все, чтобы открыть этим массам правду о нависшей угрозе, чтобы поднять их на борьбу с адской машиной, которую снова хотят пустить в ход против трудящихся враги, систематически орудующие за кулисами генеральных штабов, за кулисами биржи».</w:t>
      </w:r>
    </w:p>
    <w:p w14:paraId="6B9001CE"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 xml:space="preserve">Насколько бы смехотворным ни могло показаться это революционное пустословие со стороны, насколько сомнительным ни казалось бы оно отсюда, должен сказать, что, дойдя до этого заключения «Известий», я впервые за шесть лет своего пребывания в России с такой отчетливостью почувствовал, что руководители русской коммунистической партии не опасаются перспективы скорой войны, а возможно, даже желают ее. Я не смогу найти в приведенном выше тексте материальное доказательство того, чем мое впечатление обосновано. Так же как одна простая фраза из речи, произнесенной Кюльманом в начале июля 1918 года («самый длинный день в году уже прошел»), заставила меня в тот момент подумать, что немецкое правительство осознало свой проигрыш, хотя в тот момент я не смог бы предоставить ни одного материального доказательства в поддержку подобной интерпретации, которую, казалось, опровергало немецкое наступление 15 июля. Тем не менее, когда есть привычка наблюдать за людьми, развивается способность ухватывать их мысли еще до того, как они их выражают, и даже, возможно, до того, как они способны их сформулировать. Таким образом, я не считаю себя вправе отвергнуть как неправдоподобное то впечатление, которое внезапно возникло у меня при прочтении заключения из «Известий». Напротив, мне кажется, что начиная с сегодняшнего дня, мы должны совершенно серьезно задаться вопросом, не стремятся ли коммунистические руководители СССР к войне, к которой они готовятся изо всех сил и которая предстает как единственно возможный выход, способный спасти их режим, их доктрину и их жизнь. Соответственно, нам надо задаться вопросом, какие меры предосторожности нам следует принять, чтобы защитить наших граждан и </w:t>
      </w:r>
      <w:r w:rsidRPr="00507A31">
        <w:rPr>
          <w:color w:val="000000" w:themeColor="text1"/>
          <w:sz w:val="16"/>
          <w:szCs w:val="16"/>
        </w:rPr>
        <w:lastRenderedPageBreak/>
        <w:t>безопасность наших союзников в случае, если неожиданно возникнут осложнения с СССР, так как при таком сценарии возможно, что события будут развиваться стремительно под невероятно энергичным давлением большевиков и с быстротой, которая нам позволит только принимать меры, тщательно приготовленные заранее, но которая исключит всякую возможность «выпутаться» по ходу дела.</w:t>
      </w:r>
    </w:p>
    <w:p w14:paraId="0EA231DA" w14:textId="77777777" w:rsidR="003647D8" w:rsidRPr="00507A31" w:rsidRDefault="003647D8" w:rsidP="00507A31">
      <w:pPr>
        <w:pStyle w:val="rtecenter"/>
        <w:spacing w:before="0" w:after="0"/>
        <w:jc w:val="both"/>
        <w:rPr>
          <w:color w:val="000000" w:themeColor="text1"/>
          <w:sz w:val="16"/>
          <w:szCs w:val="16"/>
        </w:rPr>
      </w:pPr>
      <w:r w:rsidRPr="00507A31">
        <w:rPr>
          <w:color w:val="000000" w:themeColor="text1"/>
          <w:sz w:val="16"/>
          <w:szCs w:val="16"/>
        </w:rPr>
        <w:t>* * *</w:t>
      </w:r>
    </w:p>
    <w:p w14:paraId="7F5F2EF7"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 то время как «Известия» публикуют статью, из которой я процитировал несколько пассажей, «Правда» печатает резолюции, принятые на рабочих собраниях и требующие расстрела для профессора Рамзина и его коллег. Не впервые призывы к смерти звучат тщательно организованным хором на собраниях, которые, как предполагается, выражают чувства рабочего класса в СССР. И не самих рабочих надо упрекать в резолюциях, «ими» принятых. Всякий, кто высказался бы против, рисковал бы потерять работу, жилье, свое пропитание и пропитание семьи и даже свою жизнь. Но эти мнимые выражения народной воли раскрывают замыслы тех, кто их организовал. Когда заставляют принимать резолюции, требующие расстрелов, это значит, что есть намерение убивать. В начале цитируемых в сегодняшнем номере текстов «Правда» публикует заметку, которая резко изобличает Францию:</w:t>
      </w:r>
    </w:p>
    <w:p w14:paraId="0199B178"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«Материалы дела “Промышленной партии” показывают, как далеко зашла подготовка нападения на СССР. Все роли были распределены, сроки намечены. Однако французские империалисты просчитались. Классовая бдительность пролетарского государства раскрыла предательскую сеть империалистических интриг... Пролетариат и трудящиеся СССР готовы предъявить свой счет. Они уверены, что международный пролетариат, который в годы гражданской войны и интервенции доказал свои симпатии и преданность советской стране, в момент угрозы новой интервенции еще крепче сомкнет свои ряды и поведет борьбу против поджигателей войны. Международный пролетариат боролся и будет бороться в защиту пролетарской диктатуры в СССР, организуя массовые революционные выступления. Провокация новой интервенции натолкнется на несокрушимую стену международной пролетарской солидарности».</w:t>
      </w:r>
    </w:p>
    <w:p w14:paraId="003A0644"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Эти фразы означают, что московские коммунистические руководители сделают все от них зависящее, чтобы разжечь беспорядки во Франции и ее союзнических странах в случае, если война покажется им неизбежной или желательной. Ожесточение, с которым русские коммунисты пустились в борьбу, можно проиллюстрировать сегодняшней статьей Карла Радека. Эта статья направлена против немецкого журналиста Юста, московского корреспондента Кельнской газеты. В адресованной журналу телеграмме Юст, кажется, дал беспристрастную оценку обвинительному заключению от 11 ноября. Радек заявляет, что Юст «рассматривает обвинительное заключение как маневр, призванный, во-первых, свалить вину за «экономический кризис» на выдающихся специалистов, и во-вторых, оказать помощь тов. Литвинову в его выступлении в Женеве».</w:t>
      </w:r>
    </w:p>
    <w:p w14:paraId="4D0EFEA0"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Радек, будучи уполномоченным рупором международной коммунистической пропаганды, не в состоянии вынести подобную свободу мысли. «Как случилось, — пишет Радек, — что корреспондент крупной германской буржуазной газеты выступает в качестве агента-защитника французских интервентов и их пособников в СССР? ... В интересах советско-германских отношений “Кельнише Цейтунг” и вся германская печать должны ответить на вопрос: имеем ли мы здесь личное выступление одного германского корреспондента, ставшего из классовой ненависти к пролетарскому государству агентом французского империализма, прикрывающим подготовку интервенции, или же такова точка зрения германской буржуазной печати»? Радек завершает свою статью заявлением, что «советская общественность любит ясные положения» и что всякий, кто отказывается идти до конца по пути советского правосудия, «не заслуживает ни малейшего доверия». Это двойной шантаж: против корреспондента Кельнской газеты, которому имплицитно угрожают высылкой, и против немецкого правительства, которому предлагают воздействовать на прессу своей страны в интересах СССР (и, очевидно, угрожая немецкому правительству применением экономических и других мер).</w:t>
      </w:r>
    </w:p>
    <w:p w14:paraId="534B0DA3"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Было бы неплохо, если бы французская пресса обратила внимание на то, каким образом советское правительство понимает гостеприимность по отношению к иностранным журналистам — статья Радека появилась в «Известиях», органе комиссариата по иностранным делам — а также на те услуги, которых советское правительство ждет в целом от немецких газет во время процесса, на котором суд будет прилагать усилия, чтобы оклеветать Францию.</w:t>
      </w:r>
    </w:p>
    <w:p w14:paraId="0156FB90"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Таковы основные сведения советской прессы на сегодня. Насколько бы они ни были неприятными, мы не должны их игнорировать. Московские руководители начали против нашей страны битву, которая, конечно, является непростительной, но не будет от этого менее упорной или опасной. Это не просто перепалка, которая возникла без всяких на то причин и которая закончится без последствий. Это, возможно, один из решающих эпизодов битвы, в которой в очередной раз решается вопрос об устройстве и свободе Европы и в которой Франция в очередной раз находится в первом ряду государств, которые защищают интересы человечества.</w:t>
      </w:r>
    </w:p>
    <w:p w14:paraId="00FD7286"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Эрбет</w:t>
      </w:r>
    </w:p>
    <w:p w14:paraId="161F1C6E" w14:textId="77777777" w:rsidR="003647D8" w:rsidRPr="00507A31" w:rsidRDefault="003647D8"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19-24а. Машинописный подлинник, подпись — автограф. Штамп Департамента политических и торговых дел с датой «28 нояб. 1930» и с вписанным от руки номером о сдаче в архив «г 619-20 s/d5». Второй штамп Кабинета министра с датой (неразборчиво). Номер письма вписан от руки (18752).</w:t>
      </w:r>
    </w:p>
    <w:p w14:paraId="42926B35" w14:textId="77777777" w:rsidR="003647D8" w:rsidRPr="00507A31" w:rsidRDefault="003647D8" w:rsidP="00507A31">
      <w:pPr>
        <w:jc w:val="both"/>
        <w:rPr>
          <w:color w:val="000000" w:themeColor="text1"/>
          <w:sz w:val="16"/>
          <w:szCs w:val="16"/>
        </w:rPr>
      </w:pPr>
    </w:p>
    <w:p w14:paraId="0627A723" w14:textId="77777777" w:rsidR="003647D8" w:rsidRPr="00507A31" w:rsidRDefault="003647D8" w:rsidP="00507A31">
      <w:pPr>
        <w:jc w:val="both"/>
        <w:rPr>
          <w:bCs/>
          <w:color w:val="000000" w:themeColor="text1"/>
          <w:sz w:val="16"/>
          <w:szCs w:val="16"/>
        </w:rPr>
      </w:pPr>
      <w:r w:rsidRPr="00507A31">
        <w:rPr>
          <w:color w:val="000000" w:themeColor="text1"/>
          <w:sz w:val="16"/>
          <w:szCs w:val="16"/>
        </w:rPr>
        <w:t>14 ноября 1930 г.</w:t>
      </w:r>
    </w:p>
    <w:p w14:paraId="3A43A176" w14:textId="77777777" w:rsidR="003647D8" w:rsidRPr="00507A31" w:rsidRDefault="003647D8" w:rsidP="00507A31">
      <w:pPr>
        <w:jc w:val="both"/>
        <w:rPr>
          <w:bCs/>
          <w:color w:val="000000" w:themeColor="text1"/>
          <w:sz w:val="16"/>
          <w:szCs w:val="16"/>
        </w:rPr>
      </w:pPr>
      <w:r w:rsidRPr="00507A31">
        <w:rPr>
          <w:color w:val="000000" w:themeColor="text1"/>
          <w:sz w:val="16"/>
          <w:szCs w:val="16"/>
        </w:rPr>
        <w:t>Депеша посла Франции в СССР Ж. Эрбета министру иностранных дел Франции А. Бриану о выдвинутых обвинениях по «делу “Промпартии”». 14 ноября 1930 г.</w:t>
      </w:r>
    </w:p>
    <w:p w14:paraId="4F960B1A" w14:textId="77777777" w:rsidR="003647D8" w:rsidRPr="00507A31" w:rsidRDefault="003647D8" w:rsidP="00507A31">
      <w:pPr>
        <w:jc w:val="both"/>
        <w:rPr>
          <w:bCs/>
          <w:color w:val="000000" w:themeColor="text1"/>
          <w:sz w:val="16"/>
          <w:szCs w:val="16"/>
        </w:rPr>
      </w:pPr>
      <w:r w:rsidRPr="00507A31">
        <w:rPr>
          <w:bCs/>
          <w:color w:val="000000" w:themeColor="text1"/>
          <w:sz w:val="16"/>
          <w:szCs w:val="16"/>
        </w:rPr>
        <w:t>Источник: </w:t>
      </w:r>
    </w:p>
    <w:p w14:paraId="4A34B91D" w14:textId="77777777" w:rsidR="003647D8" w:rsidRPr="00507A31" w:rsidRDefault="003647D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3AE711D" w14:textId="77777777" w:rsidR="003647D8" w:rsidRPr="00507A31" w:rsidRDefault="003647D8" w:rsidP="00507A31">
      <w:pPr>
        <w:pStyle w:val="rteright"/>
        <w:spacing w:before="0" w:after="0"/>
        <w:jc w:val="both"/>
        <w:rPr>
          <w:color w:val="000000" w:themeColor="text1"/>
          <w:sz w:val="16"/>
          <w:szCs w:val="16"/>
        </w:rPr>
      </w:pPr>
      <w:r w:rsidRPr="00507A31">
        <w:rPr>
          <w:color w:val="000000" w:themeColor="text1"/>
          <w:sz w:val="16"/>
          <w:szCs w:val="16"/>
        </w:rPr>
        <w:t>14 ноября 1930 г.</w:t>
      </w:r>
    </w:p>
    <w:p w14:paraId="36364EBC"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Посольство Французской Республики в СССР</w:t>
      </w:r>
    </w:p>
    <w:p w14:paraId="5C775D09"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Департамент политических и торговых дел</w:t>
      </w:r>
    </w:p>
    <w:p w14:paraId="6A38FAD5"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Депеша № 666</w:t>
      </w:r>
    </w:p>
    <w:p w14:paraId="26FBB20B"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(Европа)</w:t>
      </w:r>
    </w:p>
    <w:p w14:paraId="20EA22B8"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Посол Французской Республики в Москве министру иностранных дел Аристиду Бриану</w:t>
      </w:r>
    </w:p>
    <w:p w14:paraId="5142B4B3"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Перевод основных частей обвинительного заключения, опубликованного 11-го ноября (предполагаемый саботаж и шпионаж в пользу Франции)</w:t>
      </w:r>
    </w:p>
    <w:p w14:paraId="071B184A"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 дополнение к моим телеграммам от 11-го ноября отправляю Вам в приложении к данной депеше французский перевод тех отрывков из обвинительного заключения против профессора Рамзина и семи других русских «специалистов», которые в особенности направлены против французского правительства и генерального штаба. Этот перевод, потребовавший долгой и трудоемкой работы, был выполнен Конти.</w:t>
      </w:r>
    </w:p>
    <w:p w14:paraId="357F7985"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В нем не упоминаются детали о «вредительстве» в советской промышленности. Для нас не представляют политического интереса эти так называемые признания обвиняемых, которые берут на себя вину за экономический кризис и память которых настолько хороша, чтобы цитировать многие цифры, находясь в тюрьме. Они представляют собой документы скорее психологического характера, помогающие понять сумасшествие и бессознательность, в которые были ввергнуты обвиняемые с помощью инквизиторских методов ГПУ, а также доказать, что этим процессом советские власти пытаются главным образом перевести гнев населения, страдающего от экономического кризиса, на несчастных «буржуазных» ученых и специалистов. Действительно, совершенно невозможно представить, чтобы выдающиеся люди высокой научной культуры, уже долгие годы стоящие на службе советского правительства, которое они рассматривали как правительство своей страны, участвовали бы в методическом саботаже промышленности. Само их самолюбие и &lt;профессиональный&gt; интерес должны были бы побуждать их развивать эту промышленность. Слишком ужасен заговор, в котором они себя обвиняют, чтобы допустить, что они сами его выдумали. Напротив, раскрытие этого мнимого заговора слишком явно служит целям пропаганды коммунистической партии, чтобы не сказать себе — is fecit cui prodest.</w:t>
      </w:r>
    </w:p>
    <w:p w14:paraId="7665A45A" w14:textId="77777777" w:rsidR="003647D8" w:rsidRPr="00507A31" w:rsidRDefault="003647D8" w:rsidP="00507A31">
      <w:pPr>
        <w:pStyle w:val="rtejustify"/>
        <w:spacing w:before="0" w:after="0"/>
        <w:rPr>
          <w:color w:val="000000" w:themeColor="text1"/>
          <w:sz w:val="16"/>
          <w:szCs w:val="16"/>
        </w:rPr>
      </w:pPr>
      <w:r w:rsidRPr="00507A31">
        <w:rPr>
          <w:color w:val="000000" w:themeColor="text1"/>
          <w:sz w:val="16"/>
          <w:szCs w:val="16"/>
        </w:rPr>
        <w:t>Невозможность поверить в так называемые признания обвиняемых естественным образом распространяется на ту их часть, которая затрагивает Францию. Еще до начала процесса обязательно нужно регулярно информировать общество о том, что так называемое судебное разбирательство с самого начала и на каждом последующем этапе недействительно из-за применения пыток. Мы не можем придавать хоть какую-то доказательную силу не только заявлениям, сделанным подсудимыми на заседаниях при закрытых дверях под воздействием приемов, о которых можно догадываться исходя из других примеров, но и их утверждениям, которые они сделают публично, чтобы подтвердить свои признания. Люди, которых держат взаперти уже многие месяцы, которых подвергают физическим и моральным пыткам, которые испытывают страдания, сравнимые со смертью, не обладают ни свободой мысли, ни гарантиями беспристрастности, необходимыми для того, чтобы добиться истины. Их заявления об участии в иностранном заговоре против их страны не будут заслуживать большего доверия, чем признания бедных старух, у которых во время колдовских процессов с помощью пыток вырывали признания в том, что они бывали на шабаше у дьявола.</w:t>
      </w:r>
    </w:p>
    <w:p w14:paraId="345F0403" w14:textId="77777777" w:rsidR="003647D8" w:rsidRPr="00507A31" w:rsidRDefault="003647D8" w:rsidP="00507A31">
      <w:pPr>
        <w:pStyle w:val="ae"/>
        <w:spacing w:before="0" w:after="0"/>
        <w:jc w:val="both"/>
        <w:rPr>
          <w:color w:val="000000" w:themeColor="text1"/>
          <w:sz w:val="16"/>
          <w:szCs w:val="16"/>
        </w:rPr>
      </w:pPr>
      <w:r w:rsidRPr="00507A31">
        <w:rPr>
          <w:color w:val="000000" w:themeColor="text1"/>
          <w:sz w:val="16"/>
          <w:szCs w:val="16"/>
        </w:rPr>
        <w:t>Жан Эрбет</w:t>
      </w:r>
    </w:p>
    <w:p w14:paraId="3C29AF8C" w14:textId="77777777" w:rsidR="003647D8" w:rsidRPr="00507A31" w:rsidRDefault="003647D8"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 1940), 117СРСОМ.Д. 1269. Л. 25-26. Машинописный подлинник, подпись — автограф. Штамп Департамента политических и торговых дел с датой «23 нояб. 1930» и вписанным от руки номером о сдаче в архив «z 619-20 s/ d5». Второй штамп Кабинета министра с датой (неразборчиво) (18753).</w:t>
      </w:r>
    </w:p>
    <w:p w14:paraId="26405A23" w14:textId="77777777" w:rsidR="003647D8" w:rsidRPr="00507A31" w:rsidRDefault="003647D8" w:rsidP="00507A31">
      <w:pPr>
        <w:jc w:val="both"/>
        <w:rPr>
          <w:color w:val="000000" w:themeColor="text1"/>
          <w:sz w:val="16"/>
          <w:szCs w:val="16"/>
        </w:rPr>
      </w:pPr>
    </w:p>
    <w:p w14:paraId="0DCEC71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0B94135" w14:textId="77777777" w:rsidR="00537E5F" w:rsidRPr="00507A31" w:rsidRDefault="00537E5F" w:rsidP="00507A31">
      <w:pPr>
        <w:autoSpaceDE w:val="0"/>
        <w:autoSpaceDN w:val="0"/>
        <w:adjustRightInd w:val="0"/>
        <w:jc w:val="both"/>
        <w:rPr>
          <w:iCs/>
          <w:color w:val="000000" w:themeColor="text1"/>
          <w:sz w:val="16"/>
          <w:szCs w:val="16"/>
        </w:rPr>
      </w:pPr>
    </w:p>
    <w:p w14:paraId="61532183" w14:textId="77777777" w:rsidR="00E364DB" w:rsidRPr="00507A31" w:rsidRDefault="00E364DB" w:rsidP="00507A31">
      <w:pPr>
        <w:jc w:val="both"/>
        <w:rPr>
          <w:color w:val="0070C0"/>
          <w:sz w:val="16"/>
          <w:szCs w:val="16"/>
        </w:rPr>
      </w:pPr>
      <w:r w:rsidRPr="00507A31">
        <w:rPr>
          <w:color w:val="0070C0"/>
          <w:sz w:val="16"/>
          <w:szCs w:val="16"/>
        </w:rPr>
        <w:t>14 ноября  1930 первый полет Handley Page HP.42  (20805).</w:t>
      </w:r>
    </w:p>
    <w:p w14:paraId="4D399B58" w14:textId="77777777" w:rsidR="00E364DB" w:rsidRPr="00507A31" w:rsidRDefault="00E364DB" w:rsidP="00507A31">
      <w:pPr>
        <w:jc w:val="both"/>
        <w:rPr>
          <w:color w:val="0070C0"/>
          <w:sz w:val="16"/>
          <w:szCs w:val="16"/>
        </w:rPr>
      </w:pPr>
    </w:p>
    <w:p w14:paraId="6E0765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ноября 1930 в Японии состоялось покушение на премьер-министра Хамагути - молодой патриот (3481).</w:t>
      </w:r>
    </w:p>
    <w:p w14:paraId="2CC9B70C" w14:textId="77777777" w:rsidR="00537E5F" w:rsidRPr="00507A31" w:rsidRDefault="00537E5F" w:rsidP="00507A31">
      <w:pPr>
        <w:autoSpaceDE w:val="0"/>
        <w:autoSpaceDN w:val="0"/>
        <w:adjustRightInd w:val="0"/>
        <w:jc w:val="both"/>
        <w:rPr>
          <w:color w:val="000000" w:themeColor="text1"/>
          <w:sz w:val="16"/>
          <w:szCs w:val="16"/>
        </w:rPr>
      </w:pPr>
    </w:p>
    <w:p w14:paraId="51801BC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Другие оборонные отрасли:</w:t>
      </w:r>
    </w:p>
    <w:p w14:paraId="3AB77C83" w14:textId="77777777" w:rsidR="00537E5F" w:rsidRPr="00507A31" w:rsidRDefault="00537E5F" w:rsidP="00507A31">
      <w:pPr>
        <w:autoSpaceDE w:val="0"/>
        <w:autoSpaceDN w:val="0"/>
        <w:adjustRightInd w:val="0"/>
        <w:jc w:val="both"/>
        <w:rPr>
          <w:iCs/>
          <w:color w:val="000000" w:themeColor="text1"/>
          <w:sz w:val="16"/>
          <w:szCs w:val="16"/>
        </w:rPr>
      </w:pPr>
    </w:p>
    <w:p w14:paraId="2C307CCA" w14:textId="77777777" w:rsidR="00113BB4" w:rsidRPr="00507A31" w:rsidRDefault="00113BB4" w:rsidP="00507A31">
      <w:pPr>
        <w:jc w:val="both"/>
        <w:rPr>
          <w:color w:val="000000" w:themeColor="text1"/>
          <w:sz w:val="16"/>
          <w:szCs w:val="16"/>
        </w:rPr>
      </w:pPr>
      <w:r w:rsidRPr="00507A31">
        <w:rPr>
          <w:color w:val="000000" w:themeColor="text1"/>
          <w:sz w:val="16"/>
          <w:szCs w:val="16"/>
        </w:rPr>
        <w:t>15 ноября 1930 года постановлением Совета труда и обороны, предусматривающим развёртывание работы по созданию двигателей, работающих на тяжелом топливе, было положено начало работы по созданию нового поколения дизелей. В 1931 году к работе подключается дизельный конструкторский отдел ХПЗ во главе с К. Ф. Челпаном (Неизвестный Т-34 / И. Желтов, М. Павлов, И. Павлов и др. М., 2001. С. 33). Начинаются работы над дизельным двигателем на основе авиационных дизельмоторов АД-1 и АН-1, который можно будет установить в танк. В 1933 года эти работы привели к созданию БД-1 (быстроходный дизель - 1). Дизель прошел стендовые испытания и был установлен на танк БТ. Испытания выявили многочисленные недостатки, которые пришлось исправлять не один год. В 1937 году очередная модификация БД-2 получила название В-2. В 1938 году началось производство В-2, но осваивался дизель медленно. В конце концов для его производства было решено на базе дизельного цеха ХПЗ создать новый завод № 75. Первыми серийными танками с дизельным двигателем стали танки БТ-7М, выпускавшиеся с декабря 1939 года. Основным недостатком В-2 был низкий моторесурс, составлявший поначалу всего 100 моточасов. К началу войны его удалось увеличить до 150 часов (Неизвестный Т-34 / И. Желтов, М. Павлов, И. Павлов и др. С. 34). Кроме того, дизель требовал много дефицитного алюминия (12290).</w:t>
      </w:r>
    </w:p>
    <w:p w14:paraId="5B302AFF" w14:textId="77777777" w:rsidR="00113BB4" w:rsidRPr="00507A31" w:rsidRDefault="00113BB4" w:rsidP="00507A31">
      <w:pPr>
        <w:jc w:val="both"/>
        <w:rPr>
          <w:color w:val="000000" w:themeColor="text1"/>
          <w:sz w:val="16"/>
          <w:szCs w:val="16"/>
        </w:rPr>
      </w:pPr>
    </w:p>
    <w:p w14:paraId="61EE5BC4" w14:textId="77777777" w:rsidR="00113BB4" w:rsidRPr="00507A31" w:rsidRDefault="00113BB4" w:rsidP="00507A31">
      <w:pPr>
        <w:jc w:val="both"/>
        <w:rPr>
          <w:color w:val="000000" w:themeColor="text1"/>
          <w:sz w:val="16"/>
          <w:szCs w:val="16"/>
          <w:u w:color="002060"/>
        </w:rPr>
      </w:pPr>
      <w:r w:rsidRPr="00507A31">
        <w:rPr>
          <w:color w:val="000000" w:themeColor="text1"/>
          <w:sz w:val="16"/>
          <w:szCs w:val="16"/>
          <w:u w:color="002060"/>
        </w:rPr>
        <w:t>15 ноября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15. 14. О работах по расширению цеха тракторостроения Харьковского паровозостроительного завода (ПБ от 25 октября 1930 г., пр. № 13, п. 22). (Павлуновский, Курицын, Осинский). Постановили: во изменение постановления Политбюро от 20 января с. г. (пр. № 114, п. 46) поручить ВСНХ с участием НКВМ представить точно разработанный план среднего танкостроения с указанием типа, базы и обеспечения моторами и т. п. Решения ПБ от 10 ноября 1930 г. 13/19. О продаже предметов военного снаряжения (Ворошилов). — ОП. 28/34. О заказах НКВМ промышленности (ПБ от 5 ноября 1930 г., пр. № 14, п. 56/56). (Политбюро... Т. 2. С. 98, 99; РГАСПИ. Ф. 17. Оп. 162. Д. 9. Л. 69) (12416).</w:t>
      </w:r>
    </w:p>
    <w:p w14:paraId="104353F5" w14:textId="77777777" w:rsidR="00113BB4" w:rsidRPr="00507A31" w:rsidRDefault="00113BB4" w:rsidP="00507A31">
      <w:pPr>
        <w:jc w:val="both"/>
        <w:rPr>
          <w:color w:val="000000" w:themeColor="text1"/>
          <w:sz w:val="16"/>
          <w:szCs w:val="16"/>
          <w:u w:color="002060"/>
        </w:rPr>
      </w:pPr>
    </w:p>
    <w:p w14:paraId="30181CCD" w14:textId="77777777" w:rsidR="005B3A9A" w:rsidRPr="00507A31" w:rsidRDefault="005B3A9A" w:rsidP="00507A31">
      <w:pPr>
        <w:jc w:val="both"/>
        <w:rPr>
          <w:color w:val="0070C0"/>
          <w:sz w:val="16"/>
          <w:szCs w:val="16"/>
        </w:rPr>
      </w:pPr>
      <w:r w:rsidRPr="00507A31">
        <w:rPr>
          <w:color w:val="0070C0"/>
          <w:sz w:val="16"/>
          <w:szCs w:val="16"/>
        </w:rPr>
        <w:t>15 ноября 1930 состоялось заседание ПБ (Протокол № 15)</w:t>
      </w:r>
    </w:p>
    <w:p w14:paraId="2815A6F0" w14:textId="77777777" w:rsidR="005B3A9A" w:rsidRPr="00507A31" w:rsidRDefault="005B3A9A" w:rsidP="00507A31">
      <w:pPr>
        <w:jc w:val="both"/>
        <w:rPr>
          <w:color w:val="0070C0"/>
          <w:sz w:val="16"/>
          <w:szCs w:val="16"/>
        </w:rPr>
      </w:pPr>
      <w:r w:rsidRPr="00507A31">
        <w:rPr>
          <w:color w:val="0070C0"/>
          <w:sz w:val="16"/>
          <w:szCs w:val="16"/>
        </w:rPr>
        <w:t>14.- О работах по расширению цеха тракторостроения Харьковского паровозостроительного завода</w:t>
      </w:r>
    </w:p>
    <w:p w14:paraId="61B1FD15" w14:textId="77777777" w:rsidR="005B3A9A" w:rsidRPr="00507A31" w:rsidRDefault="005B3A9A" w:rsidP="00507A31">
      <w:pPr>
        <w:jc w:val="both"/>
        <w:rPr>
          <w:color w:val="0070C0"/>
          <w:sz w:val="16"/>
          <w:szCs w:val="16"/>
        </w:rPr>
      </w:pPr>
      <w:r w:rsidRPr="00507A31">
        <w:rPr>
          <w:color w:val="0070C0"/>
          <w:sz w:val="16"/>
          <w:szCs w:val="16"/>
        </w:rPr>
        <w:t>(ПБ от 25.Х.30 г., Пр. № 13,п. 22).</w:t>
      </w:r>
    </w:p>
    <w:p w14:paraId="0446FBCE" w14:textId="77777777" w:rsidR="005B3A9A" w:rsidRPr="00507A31" w:rsidRDefault="005B3A9A" w:rsidP="00507A31">
      <w:pPr>
        <w:jc w:val="both"/>
        <w:rPr>
          <w:color w:val="0070C0"/>
          <w:sz w:val="16"/>
          <w:szCs w:val="16"/>
        </w:rPr>
      </w:pPr>
      <w:r w:rsidRPr="00507A31">
        <w:rPr>
          <w:color w:val="0070C0"/>
          <w:sz w:val="16"/>
          <w:szCs w:val="16"/>
        </w:rPr>
        <w:t>(т.т. Павлуновскии, Курицын, Осинский).</w:t>
      </w:r>
    </w:p>
    <w:p w14:paraId="3236B3E7" w14:textId="77777777" w:rsidR="005B3A9A" w:rsidRPr="00507A31" w:rsidRDefault="005B3A9A" w:rsidP="00507A31">
      <w:pPr>
        <w:jc w:val="both"/>
        <w:rPr>
          <w:color w:val="0070C0"/>
          <w:sz w:val="16"/>
          <w:szCs w:val="16"/>
        </w:rPr>
      </w:pPr>
      <w:r w:rsidRPr="00507A31">
        <w:rPr>
          <w:color w:val="0070C0"/>
          <w:sz w:val="16"/>
          <w:szCs w:val="16"/>
        </w:rPr>
        <w:t>Во изменение постановления Политбюро от 20.1.с.г. (пр.№ 114, п.4-б) поручить ВСНХ с участием НКВМ представить точно разработанный план среднего танкостроения с указанием типа, базы и обеспечения моторами и т.п.</w:t>
      </w:r>
    </w:p>
    <w:p w14:paraId="77A062E1" w14:textId="77777777" w:rsidR="005B3A9A" w:rsidRPr="00507A31" w:rsidRDefault="005B3A9A" w:rsidP="00507A31">
      <w:pPr>
        <w:jc w:val="both"/>
        <w:rPr>
          <w:color w:val="0070C0"/>
          <w:sz w:val="16"/>
          <w:szCs w:val="16"/>
        </w:rPr>
      </w:pPr>
      <w:r w:rsidRPr="00507A31">
        <w:rPr>
          <w:color w:val="0070C0"/>
          <w:sz w:val="16"/>
          <w:szCs w:val="16"/>
        </w:rPr>
        <w:t>Выписки посланы: т.т. Орджоникидзе, Ворошилову.</w:t>
      </w:r>
    </w:p>
    <w:p w14:paraId="5EFE5A42" w14:textId="77777777" w:rsidR="005B3A9A" w:rsidRPr="00507A31" w:rsidRDefault="005B3A9A" w:rsidP="00507A31">
      <w:pPr>
        <w:jc w:val="both"/>
        <w:rPr>
          <w:color w:val="0070C0"/>
          <w:sz w:val="16"/>
          <w:szCs w:val="16"/>
        </w:rPr>
      </w:pPr>
      <w:r w:rsidRPr="00507A31">
        <w:rPr>
          <w:color w:val="0070C0"/>
          <w:sz w:val="16"/>
          <w:szCs w:val="16"/>
        </w:rPr>
        <w:t>17.- О мерах, обеспечинайших своедременный завоз тракторов из Америки</w:t>
      </w:r>
    </w:p>
    <w:p w14:paraId="5ED96E04" w14:textId="77777777" w:rsidR="005B3A9A" w:rsidRPr="00507A31" w:rsidRDefault="005B3A9A" w:rsidP="00507A31">
      <w:pPr>
        <w:jc w:val="both"/>
        <w:rPr>
          <w:color w:val="0070C0"/>
          <w:sz w:val="16"/>
          <w:szCs w:val="16"/>
        </w:rPr>
      </w:pPr>
      <w:r w:rsidRPr="00507A31">
        <w:rPr>
          <w:color w:val="0070C0"/>
          <w:sz w:val="16"/>
          <w:szCs w:val="16"/>
        </w:rPr>
        <w:t>(ПБ от 10.XI.30 г.,пр. 15, п. 8/14).</w:t>
      </w:r>
    </w:p>
    <w:p w14:paraId="565E79B3" w14:textId="77777777" w:rsidR="005B3A9A" w:rsidRPr="00507A31" w:rsidRDefault="005B3A9A" w:rsidP="00507A31">
      <w:pPr>
        <w:jc w:val="both"/>
        <w:rPr>
          <w:color w:val="0070C0"/>
          <w:sz w:val="16"/>
          <w:szCs w:val="16"/>
        </w:rPr>
      </w:pPr>
      <w:r w:rsidRPr="00507A31">
        <w:rPr>
          <w:color w:val="0070C0"/>
          <w:sz w:val="16"/>
          <w:szCs w:val="16"/>
        </w:rPr>
        <w:t>(т.т. Микоян, Яковлев, Голендо, Герчиков, Маркевич).</w:t>
      </w:r>
    </w:p>
    <w:p w14:paraId="016FB79A" w14:textId="77777777" w:rsidR="005B3A9A" w:rsidRPr="00507A31" w:rsidRDefault="005B3A9A" w:rsidP="00507A31">
      <w:pPr>
        <w:jc w:val="both"/>
        <w:rPr>
          <w:color w:val="0070C0"/>
          <w:sz w:val="16"/>
          <w:szCs w:val="16"/>
        </w:rPr>
      </w:pPr>
      <w:r w:rsidRPr="00507A31">
        <w:rPr>
          <w:color w:val="0070C0"/>
          <w:sz w:val="16"/>
          <w:szCs w:val="16"/>
        </w:rPr>
        <w:t>а) В отмену постановления Политбюро от 25.X.с.г.(пр. № 13, п. 23) приобрести дополнительно тракторов (не Катерпиллер) на 40 тыс. сил, с тем, чтобы они были доставлены к весенней посев</w:t>
      </w:r>
      <w:r w:rsidRPr="00507A31">
        <w:rPr>
          <w:color w:val="0070C0"/>
          <w:sz w:val="16"/>
          <w:szCs w:val="16"/>
        </w:rPr>
        <w:softHyphen/>
        <w:t>ной кампании.</w:t>
      </w:r>
    </w:p>
    <w:p w14:paraId="35E32DD1" w14:textId="77777777" w:rsidR="005B3A9A" w:rsidRPr="00507A31" w:rsidRDefault="005B3A9A" w:rsidP="00507A31">
      <w:pPr>
        <w:jc w:val="both"/>
        <w:rPr>
          <w:color w:val="0070C0"/>
          <w:sz w:val="16"/>
          <w:szCs w:val="16"/>
        </w:rPr>
      </w:pPr>
      <w:r w:rsidRPr="00507A31">
        <w:rPr>
          <w:color w:val="0070C0"/>
          <w:sz w:val="16"/>
          <w:szCs w:val="16"/>
        </w:rPr>
        <w:t>б) Установить подекадную сводку НКТорга для ЦК о ходе вы</w:t>
      </w:r>
      <w:r w:rsidRPr="00507A31">
        <w:rPr>
          <w:color w:val="0070C0"/>
          <w:sz w:val="16"/>
          <w:szCs w:val="16"/>
        </w:rPr>
        <w:softHyphen/>
        <w:t>полнения заказа на трактора, прицепные машины и запасные части.</w:t>
      </w:r>
    </w:p>
    <w:p w14:paraId="67617E78" w14:textId="77777777" w:rsidR="005B3A9A" w:rsidRPr="00507A31" w:rsidRDefault="005B3A9A" w:rsidP="00507A31">
      <w:pPr>
        <w:jc w:val="both"/>
        <w:rPr>
          <w:color w:val="0070C0"/>
          <w:sz w:val="16"/>
          <w:szCs w:val="16"/>
        </w:rPr>
      </w:pPr>
      <w:r w:rsidRPr="00507A31">
        <w:rPr>
          <w:color w:val="0070C0"/>
          <w:sz w:val="16"/>
          <w:szCs w:val="16"/>
        </w:rPr>
        <w:t>в) Разместить не позднее 1 декабря 1930 г. предусмотрен</w:t>
      </w:r>
      <w:r w:rsidRPr="00507A31">
        <w:rPr>
          <w:color w:val="0070C0"/>
          <w:sz w:val="16"/>
          <w:szCs w:val="16"/>
        </w:rPr>
        <w:softHyphen/>
        <w:t>ный постановлением ЦК заказ на запасные части, прицепные ору</w:t>
      </w:r>
      <w:r w:rsidRPr="00507A31">
        <w:rPr>
          <w:color w:val="0070C0"/>
          <w:sz w:val="16"/>
          <w:szCs w:val="16"/>
        </w:rPr>
        <w:softHyphen/>
        <w:t>дия и ремонтное оборудование с таким расчетом, чтобы обеспе</w:t>
      </w:r>
      <w:r w:rsidRPr="00507A31">
        <w:rPr>
          <w:color w:val="0070C0"/>
          <w:sz w:val="16"/>
          <w:szCs w:val="16"/>
        </w:rPr>
        <w:softHyphen/>
        <w:t>чить отгрузку запасных частей и ремонтного оборудования не позже 15 января 1931 г. и остальных машин, предназначенных для весенней посевной кампании не позже 1 февраля для Средней Азии и Закавказья, а для остальных районов СССР не позднее 1-го марта.</w:t>
      </w:r>
    </w:p>
    <w:p w14:paraId="223DBB34" w14:textId="77777777" w:rsidR="005B3A9A" w:rsidRPr="00507A31" w:rsidRDefault="005B3A9A" w:rsidP="00507A31">
      <w:pPr>
        <w:jc w:val="both"/>
        <w:rPr>
          <w:color w:val="0070C0"/>
          <w:sz w:val="16"/>
          <w:szCs w:val="16"/>
        </w:rPr>
      </w:pPr>
      <w:r w:rsidRPr="00507A31">
        <w:rPr>
          <w:color w:val="0070C0"/>
          <w:sz w:val="16"/>
          <w:szCs w:val="16"/>
        </w:rPr>
        <w:t>г) Не позднее 1 декабря представить в НКЗем СССР и НКПС точное расписание сроков поступления всех прибывающих к весен</w:t>
      </w:r>
      <w:r w:rsidRPr="00507A31">
        <w:rPr>
          <w:color w:val="0070C0"/>
          <w:sz w:val="16"/>
          <w:szCs w:val="16"/>
        </w:rPr>
        <w:softHyphen/>
        <w:t>ней посевной кампании машин.</w:t>
      </w:r>
    </w:p>
    <w:p w14:paraId="35438C2A" w14:textId="77777777" w:rsidR="005B3A9A" w:rsidRPr="00507A31" w:rsidRDefault="005B3A9A" w:rsidP="00507A31">
      <w:pPr>
        <w:jc w:val="both"/>
        <w:rPr>
          <w:color w:val="0070C0"/>
          <w:sz w:val="16"/>
          <w:szCs w:val="16"/>
        </w:rPr>
      </w:pPr>
      <w:r w:rsidRPr="00507A31">
        <w:rPr>
          <w:color w:val="0070C0"/>
          <w:sz w:val="16"/>
          <w:szCs w:val="16"/>
        </w:rPr>
        <w:t>д) Поедложить НКЗему СССР не позже, чем через 10 дней пос</w:t>
      </w:r>
      <w:r w:rsidRPr="00507A31">
        <w:rPr>
          <w:color w:val="0070C0"/>
          <w:sz w:val="16"/>
          <w:szCs w:val="16"/>
        </w:rPr>
        <w:softHyphen/>
        <w:t>ле поступления материалов из НКТорга СССР представить в НКПС точные пункты назначения, а последний обязать направлять при</w:t>
      </w:r>
      <w:r w:rsidRPr="00507A31">
        <w:rPr>
          <w:color w:val="0070C0"/>
          <w:sz w:val="16"/>
          <w:szCs w:val="16"/>
        </w:rPr>
        <w:softHyphen/>
        <w:t>бывающие машины маршрутными поездами.</w:t>
      </w:r>
    </w:p>
    <w:p w14:paraId="7B64EBAA" w14:textId="77777777" w:rsidR="005B3A9A" w:rsidRPr="00507A31" w:rsidRDefault="005B3A9A" w:rsidP="00507A31">
      <w:pPr>
        <w:jc w:val="both"/>
        <w:rPr>
          <w:color w:val="0070C0"/>
          <w:sz w:val="16"/>
          <w:szCs w:val="16"/>
        </w:rPr>
      </w:pPr>
      <w:r w:rsidRPr="00507A31">
        <w:rPr>
          <w:color w:val="0070C0"/>
          <w:sz w:val="16"/>
          <w:szCs w:val="16"/>
        </w:rPr>
        <w:t>е) Обязать Валютную комиссию при отпуске валютных средств исходить из указанных в настоящем постановлении сроков отгрузки прибывающих тракторов, прицепных машин и запасных частей.</w:t>
      </w:r>
    </w:p>
    <w:p w14:paraId="69B1D2BD" w14:textId="77777777" w:rsidR="005B3A9A" w:rsidRPr="00507A31" w:rsidRDefault="005B3A9A" w:rsidP="00507A31">
      <w:pPr>
        <w:jc w:val="both"/>
        <w:rPr>
          <w:color w:val="0070C0"/>
          <w:sz w:val="16"/>
          <w:szCs w:val="16"/>
        </w:rPr>
      </w:pPr>
      <w:r w:rsidRPr="00507A31">
        <w:rPr>
          <w:color w:val="0070C0"/>
          <w:sz w:val="16"/>
          <w:szCs w:val="16"/>
        </w:rPr>
        <w:t>ж) Для наблюдения за ходом размещения заказа и помощи Амторгу в этом деле командировать в Нью-Йорк двух представи</w:t>
      </w:r>
      <w:r w:rsidRPr="00507A31">
        <w:rPr>
          <w:color w:val="0070C0"/>
          <w:sz w:val="16"/>
          <w:szCs w:val="16"/>
        </w:rPr>
        <w:softHyphen/>
        <w:t>телей НКЗема сроком по 1 апреля 1931 г. с выездом не позднее 20 ноября. Лиц согласовать т.т.Яковлеву и Микояну.</w:t>
      </w:r>
    </w:p>
    <w:p w14:paraId="65EE91C5" w14:textId="77777777" w:rsidR="005B3A9A" w:rsidRPr="00507A31" w:rsidRDefault="005B3A9A" w:rsidP="00507A31">
      <w:pPr>
        <w:jc w:val="both"/>
        <w:rPr>
          <w:color w:val="0070C0"/>
          <w:sz w:val="16"/>
          <w:szCs w:val="16"/>
        </w:rPr>
      </w:pPr>
      <w:r w:rsidRPr="00507A31">
        <w:rPr>
          <w:color w:val="0070C0"/>
          <w:sz w:val="16"/>
          <w:szCs w:val="16"/>
        </w:rPr>
        <w:t>Выписки посланы: т. Яковлеву, т. Рудзутаку, т. Микояну, т. Розенгольцу.</w:t>
      </w:r>
    </w:p>
    <w:p w14:paraId="0C5B2F1A" w14:textId="77777777" w:rsidR="005B3A9A" w:rsidRPr="00507A31" w:rsidRDefault="005B3A9A" w:rsidP="00507A31">
      <w:pPr>
        <w:jc w:val="both"/>
        <w:rPr>
          <w:color w:val="0070C0"/>
          <w:sz w:val="16"/>
          <w:szCs w:val="16"/>
        </w:rPr>
      </w:pPr>
      <w:r w:rsidRPr="00507A31">
        <w:rPr>
          <w:color w:val="0070C0"/>
          <w:sz w:val="16"/>
          <w:szCs w:val="16"/>
        </w:rPr>
        <w:t>10 ноября 1930 г. опросом членов ПБ</w:t>
      </w:r>
    </w:p>
    <w:p w14:paraId="212AA794" w14:textId="77777777" w:rsidR="005B3A9A" w:rsidRPr="00507A31" w:rsidRDefault="005B3A9A" w:rsidP="00507A31">
      <w:pPr>
        <w:jc w:val="both"/>
        <w:rPr>
          <w:color w:val="0070C0"/>
          <w:sz w:val="16"/>
          <w:szCs w:val="16"/>
        </w:rPr>
      </w:pPr>
      <w:r w:rsidRPr="00507A31">
        <w:rPr>
          <w:color w:val="0070C0"/>
          <w:sz w:val="16"/>
          <w:szCs w:val="16"/>
        </w:rPr>
        <w:t>7/13.- О переговорах с Фордом</w:t>
      </w:r>
    </w:p>
    <w:p w14:paraId="7C6B95E7" w14:textId="77777777" w:rsidR="005B3A9A" w:rsidRPr="00507A31" w:rsidRDefault="005B3A9A" w:rsidP="00507A31">
      <w:pPr>
        <w:jc w:val="both"/>
        <w:rPr>
          <w:color w:val="0070C0"/>
          <w:sz w:val="16"/>
          <w:szCs w:val="16"/>
        </w:rPr>
      </w:pPr>
      <w:r w:rsidRPr="00507A31">
        <w:rPr>
          <w:color w:val="0070C0"/>
          <w:sz w:val="16"/>
          <w:szCs w:val="16"/>
        </w:rPr>
        <w:t>(т. Осинский).</w:t>
      </w:r>
    </w:p>
    <w:p w14:paraId="4662C783" w14:textId="77777777" w:rsidR="005B3A9A" w:rsidRPr="00507A31" w:rsidRDefault="005B3A9A" w:rsidP="00507A31">
      <w:pPr>
        <w:jc w:val="both"/>
        <w:rPr>
          <w:color w:val="0070C0"/>
          <w:sz w:val="16"/>
          <w:szCs w:val="16"/>
        </w:rPr>
      </w:pPr>
      <w:r w:rsidRPr="00507A31">
        <w:rPr>
          <w:color w:val="0070C0"/>
          <w:sz w:val="16"/>
          <w:szCs w:val="16"/>
        </w:rPr>
        <w:t>а) Отказаться от покупки у Форда старого оборудования.</w:t>
      </w:r>
    </w:p>
    <w:p w14:paraId="568CCB86" w14:textId="77777777" w:rsidR="005B3A9A" w:rsidRPr="00507A31" w:rsidRDefault="005B3A9A" w:rsidP="00507A31">
      <w:pPr>
        <w:jc w:val="both"/>
        <w:rPr>
          <w:color w:val="0070C0"/>
          <w:sz w:val="16"/>
          <w:szCs w:val="16"/>
        </w:rPr>
      </w:pPr>
      <w:r w:rsidRPr="00507A31">
        <w:rPr>
          <w:color w:val="0070C0"/>
          <w:sz w:val="16"/>
          <w:szCs w:val="16"/>
        </w:rPr>
        <w:t>б) Командировать т. Дыбеца в Америку для размещения за</w:t>
      </w:r>
      <w:r w:rsidRPr="00507A31">
        <w:rPr>
          <w:color w:val="0070C0"/>
          <w:sz w:val="16"/>
          <w:szCs w:val="16"/>
        </w:rPr>
        <w:softHyphen/>
        <w:t>казов на новое оборудование, согласно спецификации, выработанной до начала переговоров с Фордом о подержанном обору</w:t>
      </w:r>
      <w:r w:rsidRPr="00507A31">
        <w:rPr>
          <w:color w:val="0070C0"/>
          <w:sz w:val="16"/>
          <w:szCs w:val="16"/>
        </w:rPr>
        <w:softHyphen/>
        <w:t>довании. Поручить т.т. Дыбецу и Богданову проверить специфи</w:t>
      </w:r>
      <w:r w:rsidRPr="00507A31">
        <w:rPr>
          <w:color w:val="0070C0"/>
          <w:sz w:val="16"/>
          <w:szCs w:val="16"/>
        </w:rPr>
        <w:softHyphen/>
        <w:t>кацию оборудования, предложив им в случае каких либо сомне</w:t>
      </w:r>
      <w:r w:rsidRPr="00507A31">
        <w:rPr>
          <w:color w:val="0070C0"/>
          <w:sz w:val="16"/>
          <w:szCs w:val="16"/>
        </w:rPr>
        <w:softHyphen/>
        <w:t>ний запросить Москву.</w:t>
      </w:r>
    </w:p>
    <w:p w14:paraId="7268B2D6" w14:textId="77777777" w:rsidR="005B3A9A" w:rsidRPr="00507A31" w:rsidRDefault="005B3A9A" w:rsidP="00507A31">
      <w:pPr>
        <w:jc w:val="both"/>
        <w:rPr>
          <w:color w:val="0070C0"/>
          <w:sz w:val="16"/>
          <w:szCs w:val="16"/>
        </w:rPr>
      </w:pPr>
      <w:r w:rsidRPr="00507A31">
        <w:rPr>
          <w:color w:val="0070C0"/>
          <w:sz w:val="16"/>
          <w:szCs w:val="16"/>
        </w:rPr>
        <w:t>Выписки посланы: т. Осинскому, т. Орджоникидзе, т. Микояну, т. Розенгольцу</w:t>
      </w:r>
    </w:p>
    <w:p w14:paraId="35A1AFCF" w14:textId="77777777" w:rsidR="005B3A9A" w:rsidRPr="00507A31" w:rsidRDefault="005B3A9A" w:rsidP="00507A31">
      <w:pPr>
        <w:jc w:val="both"/>
        <w:rPr>
          <w:color w:val="0070C0"/>
          <w:sz w:val="16"/>
          <w:szCs w:val="16"/>
        </w:rPr>
      </w:pPr>
      <w:r w:rsidRPr="00507A31">
        <w:rPr>
          <w:color w:val="0070C0"/>
          <w:sz w:val="16"/>
          <w:szCs w:val="16"/>
        </w:rPr>
        <w:t>11/17. - О контингенте Красной армии на 1931 г.</w:t>
      </w:r>
    </w:p>
    <w:p w14:paraId="16E2599D" w14:textId="77777777" w:rsidR="005B3A9A" w:rsidRPr="00507A31" w:rsidRDefault="005B3A9A" w:rsidP="00507A31">
      <w:pPr>
        <w:jc w:val="both"/>
        <w:rPr>
          <w:color w:val="0070C0"/>
          <w:sz w:val="16"/>
          <w:szCs w:val="16"/>
        </w:rPr>
      </w:pPr>
      <w:r w:rsidRPr="00507A31">
        <w:rPr>
          <w:color w:val="0070C0"/>
          <w:sz w:val="16"/>
          <w:szCs w:val="16"/>
        </w:rPr>
        <w:t>(т. Ворошилов).</w:t>
      </w:r>
    </w:p>
    <w:p w14:paraId="0494A578" w14:textId="77777777" w:rsidR="005B3A9A" w:rsidRPr="00507A31" w:rsidRDefault="005B3A9A" w:rsidP="00507A31">
      <w:pPr>
        <w:jc w:val="both"/>
        <w:rPr>
          <w:color w:val="0070C0"/>
          <w:sz w:val="16"/>
          <w:szCs w:val="16"/>
        </w:rPr>
      </w:pPr>
      <w:r w:rsidRPr="00507A31">
        <w:rPr>
          <w:color w:val="0070C0"/>
          <w:sz w:val="16"/>
          <w:szCs w:val="16"/>
        </w:rPr>
        <w:t>Довести численность Красной армии к 1 октября 1931 г. до 700 тыс. чел. (т.е. увеличить контингент на 68 тыс.чел.).</w:t>
      </w:r>
    </w:p>
    <w:p w14:paraId="559CA05E" w14:textId="77777777" w:rsidR="005B3A9A" w:rsidRPr="00507A31" w:rsidRDefault="005B3A9A" w:rsidP="00507A31">
      <w:pPr>
        <w:jc w:val="both"/>
        <w:rPr>
          <w:color w:val="0070C0"/>
          <w:sz w:val="16"/>
          <w:szCs w:val="16"/>
        </w:rPr>
      </w:pPr>
      <w:r w:rsidRPr="00507A31">
        <w:rPr>
          <w:color w:val="0070C0"/>
          <w:sz w:val="16"/>
          <w:szCs w:val="16"/>
        </w:rPr>
        <w:t>Выписка послана: т. Ворошилову.</w:t>
      </w:r>
    </w:p>
    <w:p w14:paraId="74C123B1" w14:textId="77777777" w:rsidR="005B3A9A" w:rsidRPr="00507A31" w:rsidRDefault="005B3A9A" w:rsidP="00507A31">
      <w:pPr>
        <w:jc w:val="both"/>
        <w:rPr>
          <w:color w:val="0070C0"/>
          <w:sz w:val="16"/>
          <w:szCs w:val="16"/>
        </w:rPr>
      </w:pPr>
      <w:bookmarkStart w:id="100" w:name="bookmark4"/>
      <w:r w:rsidRPr="00507A31">
        <w:rPr>
          <w:color w:val="0070C0"/>
          <w:sz w:val="16"/>
          <w:szCs w:val="16"/>
        </w:rPr>
        <w:t>13/19. - о продаже военного снаряжения</w:t>
      </w:r>
      <w:bookmarkEnd w:id="100"/>
    </w:p>
    <w:p w14:paraId="30832C92" w14:textId="77777777" w:rsidR="005B3A9A" w:rsidRPr="00507A31" w:rsidRDefault="005B3A9A" w:rsidP="00507A31">
      <w:pPr>
        <w:jc w:val="both"/>
        <w:rPr>
          <w:color w:val="0070C0"/>
          <w:sz w:val="16"/>
          <w:szCs w:val="16"/>
        </w:rPr>
      </w:pPr>
      <w:r w:rsidRPr="00507A31">
        <w:rPr>
          <w:color w:val="0070C0"/>
          <w:sz w:val="16"/>
          <w:szCs w:val="16"/>
        </w:rPr>
        <w:t>(т. Ворошилов).</w:t>
      </w:r>
    </w:p>
    <w:p w14:paraId="3351ACD7" w14:textId="77777777" w:rsidR="005B3A9A" w:rsidRPr="00507A31" w:rsidRDefault="005B3A9A" w:rsidP="00507A31">
      <w:pPr>
        <w:jc w:val="both"/>
        <w:rPr>
          <w:color w:val="0070C0"/>
          <w:sz w:val="16"/>
          <w:szCs w:val="16"/>
        </w:rPr>
      </w:pPr>
      <w:r w:rsidRPr="00507A31">
        <w:rPr>
          <w:color w:val="0070C0"/>
          <w:sz w:val="16"/>
          <w:szCs w:val="16"/>
        </w:rPr>
        <w:t>Продажу предметов военного снаряжения заграницу произ</w:t>
      </w:r>
      <w:r w:rsidRPr="00507A31">
        <w:rPr>
          <w:color w:val="0070C0"/>
          <w:sz w:val="16"/>
          <w:szCs w:val="16"/>
        </w:rPr>
        <w:softHyphen/>
        <w:t>водить только с разрешения Политбюро в каждом конкретном случае.</w:t>
      </w:r>
    </w:p>
    <w:p w14:paraId="5F6078BD" w14:textId="77777777" w:rsidR="005B3A9A" w:rsidRPr="00507A31" w:rsidRDefault="005B3A9A" w:rsidP="00507A31">
      <w:pPr>
        <w:jc w:val="both"/>
        <w:rPr>
          <w:color w:val="0070C0"/>
          <w:sz w:val="16"/>
          <w:szCs w:val="16"/>
        </w:rPr>
      </w:pPr>
      <w:r w:rsidRPr="00507A31">
        <w:rPr>
          <w:color w:val="0070C0"/>
          <w:sz w:val="16"/>
          <w:szCs w:val="16"/>
        </w:rPr>
        <w:t>Выписка послана: т. Ворошилову (23118).</w:t>
      </w:r>
    </w:p>
    <w:p w14:paraId="1304D330" w14:textId="77777777" w:rsidR="005B3A9A" w:rsidRPr="00507A31" w:rsidRDefault="005B3A9A" w:rsidP="00507A31">
      <w:pPr>
        <w:jc w:val="both"/>
        <w:rPr>
          <w:color w:val="0070C0"/>
          <w:sz w:val="16"/>
          <w:szCs w:val="16"/>
        </w:rPr>
      </w:pPr>
    </w:p>
    <w:p w14:paraId="3B269AD3" w14:textId="77777777" w:rsidR="005B3A9A" w:rsidRPr="00507A31" w:rsidRDefault="005B3A9A" w:rsidP="00507A31">
      <w:pPr>
        <w:jc w:val="both"/>
        <w:rPr>
          <w:color w:val="0070C0"/>
          <w:sz w:val="16"/>
          <w:szCs w:val="16"/>
        </w:rPr>
      </w:pPr>
      <w:r w:rsidRPr="00507A31">
        <w:rPr>
          <w:color w:val="0070C0"/>
          <w:sz w:val="16"/>
          <w:szCs w:val="16"/>
        </w:rPr>
        <w:t>15 ноября 1930 вышло постановление ЦК ВКП (б) о внедрении дизель- моторов в автотракторный парк СССР. В нем весьма остро ставился вопрос о необходимости рацио</w:t>
      </w:r>
      <w:r w:rsidRPr="00507A31">
        <w:rPr>
          <w:color w:val="0070C0"/>
          <w:sz w:val="16"/>
          <w:szCs w:val="16"/>
        </w:rPr>
        <w:softHyphen/>
        <w:t>нального использования нефтепродуктов, ускорения перевода транспортных и других машин на использование тяжелого топлива. Иными словами, требовалось срочно найти массо</w:t>
      </w:r>
      <w:r w:rsidRPr="00507A31">
        <w:rPr>
          <w:color w:val="0070C0"/>
          <w:sz w:val="16"/>
          <w:szCs w:val="16"/>
        </w:rPr>
        <w:softHyphen/>
        <w:t>вого потребителя керосина и газойля, производив</w:t>
      </w:r>
      <w:r w:rsidRPr="00507A31">
        <w:rPr>
          <w:color w:val="0070C0"/>
          <w:sz w:val="16"/>
          <w:szCs w:val="16"/>
        </w:rPr>
        <w:softHyphen/>
        <w:t>шихся промышленностью в процессе крекинга неф</w:t>
      </w:r>
      <w:r w:rsidRPr="00507A31">
        <w:rPr>
          <w:color w:val="0070C0"/>
          <w:sz w:val="16"/>
          <w:szCs w:val="16"/>
        </w:rPr>
        <w:softHyphen/>
        <w:t>ти одновременно с бензином, но не находивших ши</w:t>
      </w:r>
      <w:r w:rsidRPr="00507A31">
        <w:rPr>
          <w:color w:val="0070C0"/>
          <w:sz w:val="16"/>
          <w:szCs w:val="16"/>
        </w:rPr>
        <w:softHyphen/>
        <w:t>рокого сбыта (22518).</w:t>
      </w:r>
    </w:p>
    <w:p w14:paraId="530E67F1" w14:textId="77777777" w:rsidR="005B3A9A" w:rsidRPr="00507A31" w:rsidRDefault="005B3A9A" w:rsidP="00507A31">
      <w:pPr>
        <w:jc w:val="both"/>
        <w:rPr>
          <w:color w:val="0070C0"/>
          <w:sz w:val="16"/>
          <w:szCs w:val="16"/>
        </w:rPr>
      </w:pPr>
    </w:p>
    <w:p w14:paraId="01F8AB1C" w14:textId="77777777" w:rsidR="00113BB4" w:rsidRPr="00507A31" w:rsidRDefault="00113BB4" w:rsidP="00507A31">
      <w:pPr>
        <w:jc w:val="both"/>
        <w:rPr>
          <w:color w:val="000000" w:themeColor="text1"/>
          <w:sz w:val="16"/>
          <w:szCs w:val="16"/>
        </w:rPr>
      </w:pPr>
      <w:r w:rsidRPr="00507A31">
        <w:rPr>
          <w:color w:val="000000" w:themeColor="text1"/>
          <w:sz w:val="16"/>
          <w:szCs w:val="16"/>
        </w:rPr>
        <w:t>15 ноября 1930 г. вышло постановление ЦК ВКП(б) «О положении в нефтяной промышленности», в котором намечались перспективы использования различных видов нефтяного топлива в транспортных машинах. Отмечалось также недопустимо медленное ведение работы по применению быстроходных дизельных двигателей. Для решения этой проблемы на ряде заводов и НИИ развернулись работы по созданию танковых двигателей (12137).</w:t>
      </w:r>
    </w:p>
    <w:p w14:paraId="3BC90120" w14:textId="77777777" w:rsidR="00113BB4" w:rsidRPr="00507A31" w:rsidRDefault="00113BB4" w:rsidP="00507A31">
      <w:pPr>
        <w:pStyle w:val="83"/>
        <w:shd w:val="clear" w:color="auto" w:fill="auto"/>
        <w:spacing w:after="0" w:line="240" w:lineRule="auto"/>
        <w:ind w:firstLine="0"/>
        <w:jc w:val="both"/>
        <w:rPr>
          <w:rFonts w:ascii="Times New Roman" w:hAnsi="Times New Roman"/>
          <w:color w:val="000000" w:themeColor="text1"/>
          <w:sz w:val="16"/>
          <w:szCs w:val="16"/>
        </w:rPr>
      </w:pPr>
    </w:p>
    <w:p w14:paraId="293D0C0F" w14:textId="77777777" w:rsidR="00113BB4" w:rsidRPr="00507A31" w:rsidRDefault="00113BB4" w:rsidP="00507A31">
      <w:pPr>
        <w:jc w:val="both"/>
        <w:rPr>
          <w:color w:val="000000" w:themeColor="text1"/>
          <w:sz w:val="16"/>
          <w:szCs w:val="16"/>
        </w:rPr>
      </w:pPr>
      <w:r w:rsidRPr="00507A31">
        <w:rPr>
          <w:rStyle w:val="a7"/>
          <w:b w:val="0"/>
          <w:color w:val="000000" w:themeColor="text1"/>
          <w:sz w:val="16"/>
          <w:szCs w:val="16"/>
        </w:rPr>
        <w:t xml:space="preserve">15 ноября 1930 </w:t>
      </w:r>
      <w:r w:rsidRPr="00507A31">
        <w:rPr>
          <w:color w:val="000000" w:themeColor="text1"/>
          <w:sz w:val="16"/>
          <w:szCs w:val="16"/>
        </w:rPr>
        <w:t>Политбюро ЦК ВКП (б) утвердило проект постановления ЦК ВКП (б) о положении нефтяной промышленности; предложило включить строительство Днепропетровского промышленного комбината в число ударных строек; одобрило проект решения СНК о ходе выполнения финансового плана особого квартала (12265).</w:t>
      </w:r>
    </w:p>
    <w:p w14:paraId="2604675A" w14:textId="77777777" w:rsidR="00113BB4" w:rsidRPr="00507A31" w:rsidRDefault="00113BB4" w:rsidP="00507A31">
      <w:pPr>
        <w:jc w:val="both"/>
        <w:rPr>
          <w:color w:val="000000" w:themeColor="text1"/>
          <w:sz w:val="16"/>
          <w:szCs w:val="16"/>
        </w:rPr>
      </w:pPr>
      <w:r w:rsidRPr="00507A31">
        <w:rPr>
          <w:color w:val="000000" w:themeColor="text1"/>
          <w:sz w:val="16"/>
          <w:szCs w:val="16"/>
        </w:rPr>
        <w:t> </w:t>
      </w:r>
    </w:p>
    <w:p w14:paraId="11FDC1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ноября 1930 Политбюро утвердило состав Особого присутствия ВС СССР: Вышинский А.Я. - пред. суда; Антонов-Саратовский В.П. - член суда; Львов В.Л. - член суда; Иванов П.А. - запасной судья. Была определена дата начала суда над Помпартией 25 ноября 1930 года (11248).</w:t>
      </w:r>
    </w:p>
    <w:p w14:paraId="4EF95650" w14:textId="77777777" w:rsidR="00537E5F" w:rsidRPr="00507A31" w:rsidRDefault="00537E5F" w:rsidP="00507A31">
      <w:pPr>
        <w:autoSpaceDE w:val="0"/>
        <w:autoSpaceDN w:val="0"/>
        <w:adjustRightInd w:val="0"/>
        <w:jc w:val="both"/>
        <w:rPr>
          <w:color w:val="000000" w:themeColor="text1"/>
          <w:sz w:val="16"/>
          <w:szCs w:val="16"/>
        </w:rPr>
      </w:pPr>
    </w:p>
    <w:p w14:paraId="4E71105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28C5B7A" w14:textId="77777777" w:rsidR="00537E5F" w:rsidRPr="00507A31" w:rsidRDefault="00537E5F" w:rsidP="00507A31">
      <w:pPr>
        <w:autoSpaceDE w:val="0"/>
        <w:autoSpaceDN w:val="0"/>
        <w:adjustRightInd w:val="0"/>
        <w:jc w:val="both"/>
        <w:rPr>
          <w:iCs/>
          <w:color w:val="000000" w:themeColor="text1"/>
          <w:sz w:val="16"/>
          <w:szCs w:val="16"/>
        </w:rPr>
      </w:pPr>
    </w:p>
    <w:p w14:paraId="3D9E45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ноября 1930 г. в постановлении ЦК ВКП(б) был поставлен вопрос о необходимости рационального использования нефтепродуктов, ускорении перевода транспортных и других машин на использование тяжелого топлива (9019).</w:t>
      </w:r>
    </w:p>
    <w:p w14:paraId="7BECFFBD" w14:textId="77777777" w:rsidR="00537E5F" w:rsidRPr="00507A31" w:rsidRDefault="00537E5F" w:rsidP="00507A31">
      <w:pPr>
        <w:autoSpaceDE w:val="0"/>
        <w:autoSpaceDN w:val="0"/>
        <w:adjustRightInd w:val="0"/>
        <w:jc w:val="both"/>
        <w:rPr>
          <w:color w:val="000000" w:themeColor="text1"/>
          <w:sz w:val="16"/>
          <w:szCs w:val="16"/>
        </w:rPr>
      </w:pPr>
    </w:p>
    <w:p w14:paraId="4E1BFEC7"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15 ноября 1930 г. в постановлении Политбюро ЦК ВКП(б) весьма остро ставился воп</w:t>
      </w:r>
      <w:r w:rsidRPr="00507A31">
        <w:rPr>
          <w:color w:val="000000" w:themeColor="text1"/>
          <w:sz w:val="16"/>
          <w:szCs w:val="16"/>
        </w:rPr>
        <w:softHyphen/>
        <w:t>рос о необходимости рационального использо</w:t>
      </w:r>
      <w:r w:rsidRPr="00507A31">
        <w:rPr>
          <w:color w:val="000000" w:themeColor="text1"/>
          <w:sz w:val="16"/>
          <w:szCs w:val="16"/>
        </w:rPr>
        <w:softHyphen/>
        <w:t>вания нефтепродуктов, ускорении перевода двигателей транспортных и других машин на ис</w:t>
      </w:r>
      <w:r w:rsidRPr="00507A31">
        <w:rPr>
          <w:color w:val="000000" w:themeColor="text1"/>
          <w:sz w:val="16"/>
          <w:szCs w:val="16"/>
        </w:rPr>
        <w:softHyphen/>
        <w:t>пользование тяжелого топлива. Дизель мог стать существенной поддержкой в решении мно</w:t>
      </w:r>
      <w:r w:rsidRPr="00507A31">
        <w:rPr>
          <w:color w:val="000000" w:themeColor="text1"/>
          <w:sz w:val="16"/>
          <w:szCs w:val="16"/>
        </w:rPr>
        <w:softHyphen/>
        <w:t>гих проблем, поэтому идею разработки отече</w:t>
      </w:r>
      <w:r w:rsidRPr="00507A31">
        <w:rPr>
          <w:color w:val="000000" w:themeColor="text1"/>
          <w:sz w:val="16"/>
          <w:szCs w:val="16"/>
        </w:rPr>
        <w:softHyphen/>
        <w:t>ственного мотора активно поддержали различ</w:t>
      </w:r>
      <w:r w:rsidRPr="00507A31">
        <w:rPr>
          <w:color w:val="000000" w:themeColor="text1"/>
          <w:sz w:val="16"/>
          <w:szCs w:val="16"/>
        </w:rPr>
        <w:softHyphen/>
        <w:t>ные государственные и партийные инстанции. Отечественным дизелям большое значение при</w:t>
      </w:r>
      <w:r w:rsidRPr="00507A31">
        <w:rPr>
          <w:color w:val="000000" w:themeColor="text1"/>
          <w:sz w:val="16"/>
          <w:szCs w:val="16"/>
        </w:rPr>
        <w:softHyphen/>
        <w:t>давало также командование РККА (12062).</w:t>
      </w:r>
    </w:p>
    <w:p w14:paraId="230A01B8" w14:textId="77777777" w:rsidR="00537E5F" w:rsidRPr="00507A31" w:rsidRDefault="00537E5F" w:rsidP="00507A31">
      <w:pPr>
        <w:widowControl w:val="0"/>
        <w:autoSpaceDE w:val="0"/>
        <w:autoSpaceDN w:val="0"/>
        <w:adjustRightInd w:val="0"/>
        <w:jc w:val="both"/>
        <w:rPr>
          <w:color w:val="000000" w:themeColor="text1"/>
          <w:sz w:val="16"/>
          <w:szCs w:val="16"/>
        </w:rPr>
      </w:pPr>
    </w:p>
    <w:p w14:paraId="51F0B91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15 ноября 1930 вышла в свет статья Горького «Если враг не сдается - его уничтожают» (4962).</w:t>
      </w:r>
    </w:p>
    <w:p w14:paraId="1AFACCD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290B071" w14:textId="77777777" w:rsidR="006B64E2" w:rsidRPr="00507A31" w:rsidRDefault="006B64E2" w:rsidP="00507A31">
      <w:pPr>
        <w:jc w:val="both"/>
        <w:rPr>
          <w:color w:val="000000" w:themeColor="text1"/>
          <w:sz w:val="16"/>
          <w:szCs w:val="16"/>
        </w:rPr>
      </w:pPr>
      <w:r w:rsidRPr="00507A31">
        <w:rPr>
          <w:color w:val="000000" w:themeColor="text1"/>
          <w:sz w:val="16"/>
          <w:szCs w:val="16"/>
        </w:rPr>
        <w:t>15 ноября 1930 г.</w:t>
      </w:r>
    </w:p>
    <w:p w14:paraId="23CDA735" w14:textId="77777777" w:rsidR="006B64E2" w:rsidRPr="00507A31" w:rsidRDefault="006B64E2" w:rsidP="00507A31">
      <w:pPr>
        <w:jc w:val="both"/>
        <w:rPr>
          <w:color w:val="000000" w:themeColor="text1"/>
          <w:sz w:val="16"/>
          <w:szCs w:val="16"/>
        </w:rPr>
      </w:pPr>
      <w:r w:rsidRPr="00507A31">
        <w:rPr>
          <w:color w:val="000000" w:themeColor="text1"/>
          <w:sz w:val="16"/>
          <w:szCs w:val="16"/>
        </w:rPr>
        <w:t>Постановление Политбюро ЦК ВКП(б) «о составе суда» по процессу «Промпартии». Из протокола заседания Политбюро № 15, и. 24-с от 15 ноября 1930 г.</w:t>
      </w:r>
    </w:p>
    <w:p w14:paraId="23947306" w14:textId="77777777" w:rsidR="006B64E2" w:rsidRPr="00507A31" w:rsidRDefault="006B64E2" w:rsidP="00507A31">
      <w:pPr>
        <w:jc w:val="both"/>
        <w:rPr>
          <w:color w:val="000000" w:themeColor="text1"/>
          <w:sz w:val="16"/>
          <w:szCs w:val="16"/>
        </w:rPr>
      </w:pPr>
      <w:r w:rsidRPr="00507A31">
        <w:rPr>
          <w:color w:val="000000" w:themeColor="text1"/>
          <w:sz w:val="16"/>
          <w:szCs w:val="16"/>
        </w:rPr>
        <w:t>Источник: </w:t>
      </w:r>
    </w:p>
    <w:p w14:paraId="110D6DB2" w14:textId="77777777" w:rsidR="006B64E2" w:rsidRPr="00507A31" w:rsidRDefault="006B64E2"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360833" w14:textId="77777777" w:rsidR="006B64E2" w:rsidRPr="00507A31" w:rsidRDefault="006B64E2" w:rsidP="00507A31">
      <w:pPr>
        <w:jc w:val="both"/>
        <w:rPr>
          <w:color w:val="000000" w:themeColor="text1"/>
          <w:sz w:val="16"/>
          <w:szCs w:val="16"/>
        </w:rPr>
      </w:pPr>
      <w:r w:rsidRPr="00507A31">
        <w:rPr>
          <w:color w:val="000000" w:themeColor="text1"/>
          <w:sz w:val="16"/>
          <w:szCs w:val="16"/>
        </w:rPr>
        <w:t>от 15 ноября 1930 г.</w:t>
      </w:r>
    </w:p>
    <w:p w14:paraId="72E571C1" w14:textId="77777777" w:rsidR="006B64E2" w:rsidRPr="00507A31" w:rsidRDefault="006B64E2" w:rsidP="00507A31">
      <w:pPr>
        <w:jc w:val="both"/>
        <w:rPr>
          <w:color w:val="000000" w:themeColor="text1"/>
          <w:sz w:val="16"/>
          <w:szCs w:val="16"/>
        </w:rPr>
      </w:pPr>
      <w:r w:rsidRPr="00507A31">
        <w:rPr>
          <w:color w:val="000000" w:themeColor="text1"/>
          <w:sz w:val="16"/>
          <w:szCs w:val="16"/>
        </w:rPr>
        <w:t>СТРОГО СЕКРЕТНО</w:t>
      </w:r>
    </w:p>
    <w:p w14:paraId="6749E229" w14:textId="77777777" w:rsidR="006B64E2" w:rsidRPr="00507A31" w:rsidRDefault="006B64E2" w:rsidP="00507A31">
      <w:pPr>
        <w:jc w:val="both"/>
        <w:rPr>
          <w:color w:val="000000" w:themeColor="text1"/>
          <w:sz w:val="16"/>
          <w:szCs w:val="16"/>
        </w:rPr>
      </w:pPr>
      <w:r w:rsidRPr="00507A31">
        <w:rPr>
          <w:color w:val="000000" w:themeColor="text1"/>
          <w:sz w:val="16"/>
          <w:szCs w:val="16"/>
        </w:rPr>
        <w:t>24. О составе суда по делу Рамзина. Калинникова и др.</w:t>
      </w:r>
    </w:p>
    <w:p w14:paraId="18763236" w14:textId="77777777" w:rsidR="006B64E2" w:rsidRPr="00507A31" w:rsidRDefault="006B64E2" w:rsidP="00507A31">
      <w:pPr>
        <w:jc w:val="both"/>
        <w:rPr>
          <w:color w:val="000000" w:themeColor="text1"/>
          <w:sz w:val="16"/>
          <w:szCs w:val="16"/>
        </w:rPr>
      </w:pPr>
      <w:r w:rsidRPr="00507A31">
        <w:rPr>
          <w:color w:val="000000" w:themeColor="text1"/>
          <w:sz w:val="16"/>
          <w:szCs w:val="16"/>
        </w:rPr>
        <w:t>(т. Янсон)</w:t>
      </w:r>
    </w:p>
    <w:p w14:paraId="09710A00" w14:textId="77777777" w:rsidR="006B64E2" w:rsidRPr="00507A31" w:rsidRDefault="006B64E2" w:rsidP="00507A31">
      <w:pPr>
        <w:jc w:val="both"/>
        <w:rPr>
          <w:color w:val="000000" w:themeColor="text1"/>
          <w:sz w:val="16"/>
          <w:szCs w:val="16"/>
        </w:rPr>
      </w:pPr>
      <w:r w:rsidRPr="00507A31">
        <w:rPr>
          <w:color w:val="000000" w:themeColor="text1"/>
          <w:sz w:val="16"/>
          <w:szCs w:val="16"/>
        </w:rPr>
        <w:t>а) Утвердить следующий состав Особого присутствия Верховного Суда СССР по делу Рамзина, Калинникова, Ларичева и др.:</w:t>
      </w:r>
    </w:p>
    <w:p w14:paraId="5099674F" w14:textId="77777777" w:rsidR="006B64E2" w:rsidRPr="00507A31" w:rsidRDefault="006B64E2" w:rsidP="00507A31">
      <w:pPr>
        <w:jc w:val="both"/>
        <w:rPr>
          <w:color w:val="000000" w:themeColor="text1"/>
          <w:sz w:val="16"/>
          <w:szCs w:val="16"/>
        </w:rPr>
      </w:pPr>
      <w:r w:rsidRPr="00507A31">
        <w:rPr>
          <w:color w:val="000000" w:themeColor="text1"/>
          <w:sz w:val="16"/>
          <w:szCs w:val="16"/>
        </w:rPr>
        <w:t>1) Вышинский Андрей Януарович — председатель суда;</w:t>
      </w:r>
    </w:p>
    <w:p w14:paraId="281D1C37" w14:textId="77777777" w:rsidR="006B64E2" w:rsidRPr="00507A31" w:rsidRDefault="006B64E2" w:rsidP="00507A31">
      <w:pPr>
        <w:jc w:val="both"/>
        <w:rPr>
          <w:color w:val="000000" w:themeColor="text1"/>
          <w:sz w:val="16"/>
          <w:szCs w:val="16"/>
        </w:rPr>
      </w:pPr>
      <w:r w:rsidRPr="00507A31">
        <w:rPr>
          <w:color w:val="000000" w:themeColor="text1"/>
          <w:sz w:val="16"/>
          <w:szCs w:val="16"/>
        </w:rPr>
        <w:t>2) Антонов-Саратовский Владимир Павлович, член Верхсуда СССР — член суда;</w:t>
      </w:r>
    </w:p>
    <w:p w14:paraId="7FD02DA3" w14:textId="77777777" w:rsidR="006B64E2" w:rsidRPr="00507A31" w:rsidRDefault="006B64E2" w:rsidP="00507A31">
      <w:pPr>
        <w:jc w:val="both"/>
        <w:rPr>
          <w:color w:val="000000" w:themeColor="text1"/>
          <w:sz w:val="16"/>
          <w:szCs w:val="16"/>
        </w:rPr>
      </w:pPr>
      <w:r w:rsidRPr="00507A31">
        <w:rPr>
          <w:color w:val="000000" w:themeColor="text1"/>
          <w:sz w:val="16"/>
          <w:szCs w:val="16"/>
        </w:rPr>
        <w:t>3) Львов Василий Львович, рабочий-кузовщик завода «АМО» — член суда;</w:t>
      </w:r>
    </w:p>
    <w:p w14:paraId="7073C73D" w14:textId="77777777" w:rsidR="006B64E2" w:rsidRPr="00507A31" w:rsidRDefault="006B64E2" w:rsidP="00507A31">
      <w:pPr>
        <w:jc w:val="both"/>
        <w:rPr>
          <w:color w:val="000000" w:themeColor="text1"/>
          <w:sz w:val="16"/>
          <w:szCs w:val="16"/>
        </w:rPr>
      </w:pPr>
      <w:r w:rsidRPr="00507A31">
        <w:rPr>
          <w:color w:val="000000" w:themeColor="text1"/>
          <w:sz w:val="16"/>
          <w:szCs w:val="16"/>
        </w:rPr>
        <w:t>4) Иванов Павел Алексеевич, рабочий-слесарь завода «Красный Путиловец» — запасной судья.</w:t>
      </w:r>
    </w:p>
    <w:p w14:paraId="24AF6746" w14:textId="77777777" w:rsidR="006B64E2" w:rsidRPr="00507A31" w:rsidRDefault="006B64E2" w:rsidP="00507A31">
      <w:pPr>
        <w:jc w:val="both"/>
        <w:rPr>
          <w:color w:val="000000" w:themeColor="text1"/>
          <w:sz w:val="16"/>
          <w:szCs w:val="16"/>
        </w:rPr>
      </w:pPr>
      <w:r w:rsidRPr="00507A31">
        <w:rPr>
          <w:color w:val="000000" w:themeColor="text1"/>
          <w:sz w:val="16"/>
          <w:szCs w:val="16"/>
        </w:rPr>
        <w:t>б) Назначить начало суда на 25.XI. с. г.</w:t>
      </w:r>
    </w:p>
    <w:p w14:paraId="7819A27F" w14:textId="77777777" w:rsidR="006B64E2" w:rsidRPr="00507A31" w:rsidRDefault="006B64E2" w:rsidP="00507A31">
      <w:pPr>
        <w:jc w:val="both"/>
        <w:rPr>
          <w:color w:val="000000" w:themeColor="text1"/>
          <w:sz w:val="16"/>
          <w:szCs w:val="16"/>
        </w:rPr>
      </w:pPr>
      <w:r w:rsidRPr="00507A31">
        <w:rPr>
          <w:color w:val="000000" w:themeColor="text1"/>
          <w:sz w:val="16"/>
          <w:szCs w:val="16"/>
        </w:rPr>
        <w:t>СЕКРЕТАРЬ ЦК</w:t>
      </w:r>
    </w:p>
    <w:p w14:paraId="0A7BD993" w14:textId="77777777" w:rsidR="006B64E2" w:rsidRPr="00507A31" w:rsidRDefault="006B64E2" w:rsidP="00507A31">
      <w:pPr>
        <w:jc w:val="both"/>
        <w:rPr>
          <w:color w:val="000000" w:themeColor="text1"/>
          <w:sz w:val="16"/>
          <w:szCs w:val="16"/>
        </w:rPr>
      </w:pPr>
      <w:r w:rsidRPr="00507A31">
        <w:rPr>
          <w:color w:val="000000" w:themeColor="text1"/>
          <w:sz w:val="16"/>
          <w:szCs w:val="16"/>
        </w:rPr>
        <w:t>Д. 355. Л. 169. Машинописная выписка на бланке ЦК ВКП(б) с напечатанной датой составления выписки «16.XI.1930 г.». Номер протокола «№ П15/24-С» и даты впечатаны в графы бланка. Вверху машинописью адрес рассылки: «Т.т. Винокурову, Крыленко».</w:t>
      </w:r>
    </w:p>
    <w:p w14:paraId="4C56A48F" w14:textId="77777777" w:rsidR="006B64E2" w:rsidRPr="00507A31" w:rsidRDefault="006B64E2" w:rsidP="00507A31">
      <w:pPr>
        <w:jc w:val="both"/>
        <w:rPr>
          <w:color w:val="000000" w:themeColor="text1"/>
          <w:sz w:val="16"/>
          <w:szCs w:val="16"/>
        </w:rPr>
      </w:pPr>
      <w:r w:rsidRPr="00507A31">
        <w:rPr>
          <w:color w:val="000000" w:themeColor="text1"/>
          <w:sz w:val="16"/>
          <w:szCs w:val="16"/>
        </w:rPr>
        <w:t>РГАСПИ. Ф. 17. On. 3. Д 804. Л. 6. «Подлинный» протокол заседания Политбюро ЦК ВКП(б). Машинописный подлинник (воспроизведен в выписке). В п. 4) отчество Иванова напечатано неполностью — «Павел Алекс.» (18611).</w:t>
      </w:r>
    </w:p>
    <w:p w14:paraId="32F3D8B8" w14:textId="77777777" w:rsidR="006B64E2" w:rsidRPr="00507A31" w:rsidRDefault="006B64E2" w:rsidP="00507A31">
      <w:pPr>
        <w:jc w:val="both"/>
        <w:rPr>
          <w:color w:val="000000" w:themeColor="text1"/>
          <w:sz w:val="16"/>
          <w:szCs w:val="16"/>
        </w:rPr>
      </w:pPr>
    </w:p>
    <w:p w14:paraId="4FCDCB5B" w14:textId="77777777" w:rsidR="006B64E2" w:rsidRPr="00507A31" w:rsidRDefault="006B64E2" w:rsidP="00507A31">
      <w:pPr>
        <w:jc w:val="both"/>
        <w:rPr>
          <w:color w:val="000000" w:themeColor="text1"/>
          <w:sz w:val="16"/>
          <w:szCs w:val="16"/>
        </w:rPr>
      </w:pPr>
      <w:r w:rsidRPr="00507A31">
        <w:rPr>
          <w:color w:val="000000" w:themeColor="text1"/>
          <w:sz w:val="16"/>
          <w:szCs w:val="16"/>
        </w:rPr>
        <w:t>15 ноября 1930 г.</w:t>
      </w:r>
    </w:p>
    <w:p w14:paraId="24FF4AF6" w14:textId="77777777" w:rsidR="006B64E2" w:rsidRPr="00507A31" w:rsidRDefault="006B64E2" w:rsidP="00507A31">
      <w:pPr>
        <w:jc w:val="both"/>
        <w:rPr>
          <w:color w:val="000000" w:themeColor="text1"/>
          <w:sz w:val="16"/>
          <w:szCs w:val="16"/>
        </w:rPr>
      </w:pPr>
      <w:r w:rsidRPr="00507A31">
        <w:rPr>
          <w:color w:val="000000" w:themeColor="text1"/>
          <w:sz w:val="16"/>
          <w:szCs w:val="16"/>
        </w:rPr>
        <w:t>Показания Е. Ф. Евреинова «о судьбе оружия Промпартии». 15 ноября 1930 г.</w:t>
      </w:r>
    </w:p>
    <w:p w14:paraId="70EB7E3B" w14:textId="77777777" w:rsidR="006B64E2" w:rsidRPr="00507A31" w:rsidRDefault="006B64E2" w:rsidP="00507A31">
      <w:pPr>
        <w:jc w:val="both"/>
        <w:rPr>
          <w:color w:val="000000" w:themeColor="text1"/>
          <w:sz w:val="16"/>
          <w:szCs w:val="16"/>
        </w:rPr>
      </w:pPr>
      <w:r w:rsidRPr="00507A31">
        <w:rPr>
          <w:color w:val="000000" w:themeColor="text1"/>
          <w:sz w:val="16"/>
          <w:szCs w:val="16"/>
        </w:rPr>
        <w:t>Источник: </w:t>
      </w:r>
    </w:p>
    <w:p w14:paraId="1556867C" w14:textId="77777777" w:rsidR="006B64E2" w:rsidRPr="00507A31" w:rsidRDefault="006B64E2"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721000" w14:textId="77777777" w:rsidR="006B64E2" w:rsidRPr="00507A31" w:rsidRDefault="006B64E2" w:rsidP="00507A31">
      <w:pPr>
        <w:jc w:val="both"/>
        <w:rPr>
          <w:color w:val="000000" w:themeColor="text1"/>
          <w:sz w:val="16"/>
          <w:szCs w:val="16"/>
        </w:rPr>
      </w:pPr>
      <w:r w:rsidRPr="00507A31">
        <w:rPr>
          <w:color w:val="000000" w:themeColor="text1"/>
          <w:sz w:val="16"/>
          <w:szCs w:val="16"/>
        </w:rPr>
        <w:t>Архив: </w:t>
      </w:r>
    </w:p>
    <w:p w14:paraId="39DC9862" w14:textId="77777777" w:rsidR="006B64E2" w:rsidRPr="00507A31" w:rsidRDefault="006B64E2" w:rsidP="00507A31">
      <w:pPr>
        <w:jc w:val="both"/>
        <w:rPr>
          <w:color w:val="000000" w:themeColor="text1"/>
          <w:sz w:val="16"/>
          <w:szCs w:val="16"/>
        </w:rPr>
      </w:pPr>
      <w:r w:rsidRPr="00507A31">
        <w:rPr>
          <w:color w:val="000000" w:themeColor="text1"/>
          <w:sz w:val="16"/>
          <w:szCs w:val="16"/>
        </w:rPr>
        <w:t>ЦА ФСБ РФ. Ф. Р-42280. Т. 3. Л. 43-44.</w:t>
      </w:r>
    </w:p>
    <w:p w14:paraId="5ECEACE9" w14:textId="77777777" w:rsidR="006B64E2" w:rsidRPr="00507A31" w:rsidRDefault="006B64E2" w:rsidP="00507A31">
      <w:pPr>
        <w:jc w:val="both"/>
        <w:rPr>
          <w:color w:val="000000" w:themeColor="text1"/>
          <w:sz w:val="16"/>
          <w:szCs w:val="16"/>
        </w:rPr>
      </w:pPr>
      <w:r w:rsidRPr="00507A31">
        <w:rPr>
          <w:color w:val="000000" w:themeColor="text1"/>
          <w:sz w:val="16"/>
          <w:szCs w:val="16"/>
        </w:rPr>
        <w:t>15 ноября 1930 г.</w:t>
      </w:r>
    </w:p>
    <w:p w14:paraId="39CC4129" w14:textId="77777777" w:rsidR="006B64E2" w:rsidRPr="00507A31" w:rsidRDefault="006B64E2" w:rsidP="00507A31">
      <w:pPr>
        <w:jc w:val="both"/>
        <w:rPr>
          <w:color w:val="000000" w:themeColor="text1"/>
          <w:sz w:val="16"/>
          <w:szCs w:val="16"/>
        </w:rPr>
      </w:pPr>
      <w:r w:rsidRPr="00507A31">
        <w:rPr>
          <w:color w:val="000000" w:themeColor="text1"/>
          <w:sz w:val="16"/>
          <w:szCs w:val="16"/>
        </w:rPr>
        <w:t>СТРОГО СЕКРЕТНО</w:t>
      </w:r>
    </w:p>
    <w:p w14:paraId="6BEC858D" w14:textId="77777777" w:rsidR="006B64E2" w:rsidRPr="00507A31" w:rsidRDefault="006B64E2" w:rsidP="00507A31">
      <w:pPr>
        <w:jc w:val="both"/>
        <w:rPr>
          <w:color w:val="000000" w:themeColor="text1"/>
          <w:sz w:val="16"/>
          <w:szCs w:val="16"/>
        </w:rPr>
      </w:pPr>
      <w:r w:rsidRPr="00507A31">
        <w:rPr>
          <w:color w:val="000000" w:themeColor="text1"/>
          <w:sz w:val="16"/>
          <w:szCs w:val="16"/>
        </w:rPr>
        <w:t>ПРОТОКОЛ ДОПРОСА</w:t>
      </w:r>
    </w:p>
    <w:p w14:paraId="6BCC733F" w14:textId="77777777" w:rsidR="006B64E2" w:rsidRPr="00507A31" w:rsidRDefault="006B64E2" w:rsidP="00507A31">
      <w:pPr>
        <w:jc w:val="both"/>
        <w:rPr>
          <w:color w:val="000000" w:themeColor="text1"/>
          <w:sz w:val="16"/>
          <w:szCs w:val="16"/>
        </w:rPr>
      </w:pPr>
      <w:r w:rsidRPr="00507A31">
        <w:rPr>
          <w:color w:val="000000" w:themeColor="text1"/>
          <w:sz w:val="16"/>
          <w:szCs w:val="16"/>
        </w:rPr>
        <w:t>инженера ЕВРЕИНОВА Евгения Федоровича от 15/XI-30 г.</w:t>
      </w:r>
    </w:p>
    <w:p w14:paraId="1D6E3000" w14:textId="77777777" w:rsidR="006B64E2" w:rsidRPr="00507A31" w:rsidRDefault="006B64E2" w:rsidP="00507A31">
      <w:pPr>
        <w:jc w:val="both"/>
        <w:rPr>
          <w:color w:val="000000" w:themeColor="text1"/>
          <w:sz w:val="16"/>
          <w:szCs w:val="16"/>
        </w:rPr>
      </w:pPr>
      <w:r w:rsidRPr="00507A31">
        <w:rPr>
          <w:color w:val="000000" w:themeColor="text1"/>
          <w:sz w:val="16"/>
          <w:szCs w:val="16"/>
        </w:rPr>
        <w:t>ДОПРОСИЛ — ПОМ. НАЧ. 4 ОТД[ЕЛЕНИЯ] СООГПУ — ЧЕРТОК.</w:t>
      </w:r>
    </w:p>
    <w:p w14:paraId="27342A12" w14:textId="77777777" w:rsidR="006B64E2" w:rsidRPr="00507A31" w:rsidRDefault="006B64E2" w:rsidP="00507A31">
      <w:pPr>
        <w:jc w:val="both"/>
        <w:rPr>
          <w:color w:val="000000" w:themeColor="text1"/>
          <w:sz w:val="16"/>
          <w:szCs w:val="16"/>
        </w:rPr>
      </w:pPr>
      <w:r w:rsidRPr="00507A31">
        <w:rPr>
          <w:color w:val="000000" w:themeColor="text1"/>
          <w:sz w:val="16"/>
          <w:szCs w:val="16"/>
        </w:rPr>
        <w:t>О ликвидации боевого оружия «Промпартии».</w:t>
      </w:r>
    </w:p>
    <w:p w14:paraId="173EC59D" w14:textId="77777777" w:rsidR="006B64E2" w:rsidRPr="00507A31" w:rsidRDefault="006B64E2" w:rsidP="00507A31">
      <w:pPr>
        <w:jc w:val="both"/>
        <w:rPr>
          <w:color w:val="000000" w:themeColor="text1"/>
          <w:sz w:val="16"/>
          <w:szCs w:val="16"/>
        </w:rPr>
      </w:pPr>
      <w:r w:rsidRPr="00507A31">
        <w:rPr>
          <w:color w:val="000000" w:themeColor="text1"/>
          <w:sz w:val="16"/>
          <w:szCs w:val="16"/>
        </w:rPr>
        <w:t>Как я уже сообщал в моих прежних показаниях, полученное мною для моей тергруппы оружие в количестве 6 револьверов и 3-х бомб я передал инж. ПРЕДТЕЧЕНСКОМУ при следующих обстоятельствах. Сообщение о прекращении терактов я получил от ПРЕДТЕЧЕНСКОГО ок[оло] 7 июля 1930 года в кабинете инж. МЮЛЛЕРА в присутствии инж. МЮЛЛЕРА и еще одного лица, коим был, если мне не изменяет память, инж. ЩЕГОЛЕВ. Одновременно инж. ПРЕДТЕЧЕНСКИЙ дал распоряжение мне отобрать все оружие у членов моей тергруппы и сдать ему, сказав, что завтра утром заедет за ним. Собрав оружие и запаковав его в день разговора, я на другой день, утром, вынес его ПРЕДТЕЧЕНСКОМУ в автомобиль. Судьба оружия мне в дальнейшем не была известна вплоть до разговора с ПРЕДТЕЧЕНСКИМ уже после ареста РАМЗИНА.</w:t>
      </w:r>
    </w:p>
    <w:p w14:paraId="5E2FE00A" w14:textId="77777777" w:rsidR="006B64E2" w:rsidRPr="00507A31" w:rsidRDefault="006B64E2" w:rsidP="00507A31">
      <w:pPr>
        <w:jc w:val="both"/>
        <w:rPr>
          <w:color w:val="000000" w:themeColor="text1"/>
          <w:sz w:val="16"/>
          <w:szCs w:val="16"/>
        </w:rPr>
      </w:pPr>
      <w:r w:rsidRPr="00507A31">
        <w:rPr>
          <w:color w:val="000000" w:themeColor="text1"/>
          <w:sz w:val="16"/>
          <w:szCs w:val="16"/>
        </w:rPr>
        <w:t>Дней через 5-6 после ареста РАМЗИНА я после разговора по телефону с ПРЕДТЕЧЕНСКИМ проехал к нему вечером на квартиру в Ленинской слободе, где уже застал инж. Ю. О. НОВИ. Втроем мы начали разговор на закрытой террасе квартиры ПРЕДТЕЧЕНСКОГО, затем из осторожности, т. к. жена ПРЕДТЕЧЕНСКОГО приготовляла чай в столовой, перешли в сад. Говорили с тревогой относительно неминуемости и нашего ареста, и раскрытия всей организации «Промпартии». На мой вопрос о том, куда девалось оружие, ПРЕДТЕЧЕНСКИЙ сообщил, что известное ему оружие — бомбы и револьверы в количестве, насколько помню, 18 бомб и 33 револьвера, он передал лично чиновнику французского посольства, который на машине приехал под вечер к его квартире на набережной Москвы-реки и забрал оружие. На машине, по словам ПРЕДТЕЧЕНСКОГО, шофера не было, а управлял ею сам чиновник посольства; для вызова машины ПРЕДТЕЧЕНСКИЙ накануне или в тот же день — не помню, но во всяком случае после ареста РАМЗИНА, звонил в посольство и просил кого-либо из ответственных чиновников по важному делу встретиться с ним в городе, когда и договорился о сдаче оружия; куда было вывезено оружие со слов ПРЕДТЕЧЕНСКОГО не ясно.</w:t>
      </w:r>
    </w:p>
    <w:p w14:paraId="6DB2CED3" w14:textId="77777777" w:rsidR="006B64E2" w:rsidRPr="00507A31" w:rsidRDefault="006B64E2" w:rsidP="00507A31">
      <w:pPr>
        <w:jc w:val="both"/>
        <w:rPr>
          <w:color w:val="000000" w:themeColor="text1"/>
          <w:sz w:val="16"/>
          <w:szCs w:val="16"/>
        </w:rPr>
      </w:pPr>
      <w:r w:rsidRPr="00507A31">
        <w:rPr>
          <w:color w:val="000000" w:themeColor="text1"/>
          <w:sz w:val="16"/>
          <w:szCs w:val="16"/>
        </w:rPr>
        <w:t>При всем этом разговоре присутствовал Ю. О. НОВИ. После разговора мы перешли в столовую, где присутствовали, кроме ПРЕДТЕЧЕНСКОГО, меня и НОВИ — жена ПРЕДТЕЧЕНСКОГО и инж. РУМЯНЦЕВ с сестрой. За ужином никаких разговоров, могущих дать намек на «Промпартию», уже не велось.</w:t>
      </w:r>
    </w:p>
    <w:p w14:paraId="7FB563C4" w14:textId="77777777" w:rsidR="006B64E2" w:rsidRPr="00507A31" w:rsidRDefault="006B64E2" w:rsidP="00507A31">
      <w:pPr>
        <w:jc w:val="both"/>
        <w:rPr>
          <w:color w:val="000000" w:themeColor="text1"/>
          <w:sz w:val="16"/>
          <w:szCs w:val="16"/>
        </w:rPr>
      </w:pPr>
      <w:r w:rsidRPr="00507A31">
        <w:rPr>
          <w:color w:val="000000" w:themeColor="text1"/>
          <w:sz w:val="16"/>
          <w:szCs w:val="16"/>
        </w:rPr>
        <w:t>В свое время при некоторых разговорах моих как с ПРЕДТЕЧЕНСКИМ, так и РАМЗИНЫМ, говорилось о возможности получения револьверов из французского посольства. Категорически заявляю, что показанное мной в настоящем протоколе является истиной.</w:t>
      </w:r>
    </w:p>
    <w:p w14:paraId="6CC164CA" w14:textId="77777777" w:rsidR="006B64E2" w:rsidRPr="00507A31" w:rsidRDefault="006B64E2" w:rsidP="00507A31">
      <w:pPr>
        <w:jc w:val="both"/>
        <w:rPr>
          <w:color w:val="000000" w:themeColor="text1"/>
          <w:sz w:val="16"/>
          <w:szCs w:val="16"/>
        </w:rPr>
      </w:pPr>
      <w:r w:rsidRPr="00507A31">
        <w:rPr>
          <w:color w:val="000000" w:themeColor="text1"/>
          <w:sz w:val="16"/>
          <w:szCs w:val="16"/>
        </w:rPr>
        <w:t>Написано мною лично — ЕВРЕИНОВ Е.</w:t>
      </w:r>
    </w:p>
    <w:p w14:paraId="52448CB2" w14:textId="77777777" w:rsidR="006B64E2" w:rsidRPr="00507A31" w:rsidRDefault="006B64E2" w:rsidP="00507A31">
      <w:pPr>
        <w:jc w:val="both"/>
        <w:rPr>
          <w:color w:val="000000" w:themeColor="text1"/>
          <w:sz w:val="16"/>
          <w:szCs w:val="16"/>
        </w:rPr>
      </w:pPr>
      <w:r w:rsidRPr="00507A31">
        <w:rPr>
          <w:color w:val="000000" w:themeColor="text1"/>
          <w:sz w:val="16"/>
          <w:szCs w:val="16"/>
        </w:rPr>
        <w:t>ДОПРОСИЛ — ПОМ. НАЧ.4 ОТДЕЛЕНИЯ] СО ОГПУ — ЧЕРТОК.</w:t>
      </w:r>
    </w:p>
    <w:p w14:paraId="2AD6777C" w14:textId="77777777" w:rsidR="006B64E2" w:rsidRPr="00507A31" w:rsidRDefault="006B64E2" w:rsidP="00507A31">
      <w:pPr>
        <w:jc w:val="both"/>
        <w:rPr>
          <w:color w:val="000000" w:themeColor="text1"/>
          <w:sz w:val="16"/>
          <w:szCs w:val="16"/>
        </w:rPr>
      </w:pPr>
      <w:r w:rsidRPr="00507A31">
        <w:rPr>
          <w:color w:val="000000" w:themeColor="text1"/>
          <w:sz w:val="16"/>
          <w:szCs w:val="16"/>
        </w:rPr>
        <w:t>Д. 356. Л. 36-37. Заверенная машинописная копия того времени. Показания Е. Ф. Евреинова наряду с другими материалами следствия по «делу Промпартии» были направлены 25 октября 1930 г. в ЦК ВКП(б) на имя И. В. Сталина (см. легенду к док. № 356-1).</w:t>
      </w:r>
    </w:p>
    <w:p w14:paraId="00B29C54" w14:textId="77777777" w:rsidR="006B64E2" w:rsidRPr="00507A31" w:rsidRDefault="006B64E2" w:rsidP="00507A31">
      <w:pPr>
        <w:jc w:val="both"/>
        <w:rPr>
          <w:color w:val="000000" w:themeColor="text1"/>
          <w:sz w:val="16"/>
          <w:szCs w:val="16"/>
        </w:rPr>
      </w:pPr>
      <w:r w:rsidRPr="00507A31">
        <w:rPr>
          <w:color w:val="000000" w:themeColor="text1"/>
          <w:sz w:val="16"/>
          <w:szCs w:val="16"/>
        </w:rPr>
        <w:t>ЦА ФСБ РФ. Ф. Р-42280. Т. 3. Л. 43-44. Рукописный подлинник протокола допроса, написанный Е. Ф. Евреиновым собственноручно. Подпись Черток на Л. 44 — автограф (18623).</w:t>
      </w:r>
    </w:p>
    <w:p w14:paraId="5F23F28B" w14:textId="77777777" w:rsidR="006B64E2" w:rsidRPr="00507A31" w:rsidRDefault="006B64E2" w:rsidP="00507A31">
      <w:pPr>
        <w:jc w:val="both"/>
        <w:rPr>
          <w:color w:val="000000" w:themeColor="text1"/>
          <w:sz w:val="16"/>
          <w:szCs w:val="16"/>
        </w:rPr>
      </w:pPr>
    </w:p>
    <w:p w14:paraId="011CA8E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43883BCC" w14:textId="77777777" w:rsidR="00537E5F" w:rsidRPr="00507A31" w:rsidRDefault="00537E5F" w:rsidP="00507A31">
      <w:pPr>
        <w:autoSpaceDE w:val="0"/>
        <w:autoSpaceDN w:val="0"/>
        <w:adjustRightInd w:val="0"/>
        <w:jc w:val="both"/>
        <w:rPr>
          <w:iCs/>
          <w:color w:val="000000" w:themeColor="text1"/>
          <w:sz w:val="16"/>
          <w:szCs w:val="16"/>
        </w:rPr>
      </w:pPr>
    </w:p>
    <w:p w14:paraId="5C6ADC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ноября 1930 Мадрид был парализован всеобщей стачкой и беспорядками (2100).</w:t>
      </w:r>
    </w:p>
    <w:p w14:paraId="0A97F6D5" w14:textId="77777777" w:rsidR="00537E5F" w:rsidRPr="00507A31" w:rsidRDefault="00537E5F" w:rsidP="00507A31">
      <w:pPr>
        <w:autoSpaceDE w:val="0"/>
        <w:autoSpaceDN w:val="0"/>
        <w:adjustRightInd w:val="0"/>
        <w:jc w:val="both"/>
        <w:rPr>
          <w:color w:val="000000" w:themeColor="text1"/>
          <w:sz w:val="16"/>
          <w:szCs w:val="16"/>
        </w:rPr>
      </w:pPr>
    </w:p>
    <w:p w14:paraId="02E4EEB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3A5E7AD" w14:textId="77777777" w:rsidR="00537E5F" w:rsidRPr="00507A31" w:rsidRDefault="00537E5F" w:rsidP="00507A31">
      <w:pPr>
        <w:autoSpaceDE w:val="0"/>
        <w:autoSpaceDN w:val="0"/>
        <w:adjustRightInd w:val="0"/>
        <w:jc w:val="both"/>
        <w:rPr>
          <w:iCs/>
          <w:color w:val="000000" w:themeColor="text1"/>
          <w:sz w:val="16"/>
          <w:szCs w:val="16"/>
        </w:rPr>
      </w:pPr>
    </w:p>
    <w:p w14:paraId="2EB596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ноября 1930 П.И.Баранову, Председателю РВС С.С.Каменеву, начальнику ЦАГИ С.В.Петренко, А.Н.Т. и др. демонстрировался вертолет 1-ЭА. Летал А.М.Черемухин 10 мин. и всем понравилось. Испытания велись с начала сентября. 12 декабря 1930 разбили (391,26).</w:t>
      </w:r>
    </w:p>
    <w:p w14:paraId="075B2490" w14:textId="77777777" w:rsidR="00537E5F" w:rsidRPr="00507A31" w:rsidRDefault="00537E5F" w:rsidP="00507A31">
      <w:pPr>
        <w:autoSpaceDE w:val="0"/>
        <w:autoSpaceDN w:val="0"/>
        <w:adjustRightInd w:val="0"/>
        <w:jc w:val="both"/>
        <w:rPr>
          <w:color w:val="000000" w:themeColor="text1"/>
          <w:sz w:val="16"/>
          <w:szCs w:val="16"/>
        </w:rPr>
      </w:pPr>
    </w:p>
    <w:p w14:paraId="4E9652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ноября 1930 г. по</w:t>
      </w:r>
      <w:r w:rsidRPr="00507A31">
        <w:rPr>
          <w:color w:val="000000" w:themeColor="text1"/>
          <w:sz w:val="16"/>
          <w:szCs w:val="16"/>
        </w:rPr>
        <w:softHyphen/>
        <w:t>лет геликоптера 1-ЭА наблюдали гости, в числе которых на</w:t>
      </w:r>
      <w:r w:rsidRPr="00507A31">
        <w:rPr>
          <w:color w:val="000000" w:themeColor="text1"/>
          <w:sz w:val="16"/>
          <w:szCs w:val="16"/>
        </w:rPr>
        <w:softHyphen/>
        <w:t>ходился П.И.Баранов (10224,30).</w:t>
      </w:r>
    </w:p>
    <w:p w14:paraId="77D676DD" w14:textId="77777777" w:rsidR="00537E5F" w:rsidRPr="00507A31" w:rsidRDefault="00537E5F" w:rsidP="00507A31">
      <w:pPr>
        <w:autoSpaceDE w:val="0"/>
        <w:autoSpaceDN w:val="0"/>
        <w:adjustRightInd w:val="0"/>
        <w:jc w:val="both"/>
        <w:rPr>
          <w:color w:val="000000" w:themeColor="text1"/>
          <w:sz w:val="16"/>
          <w:szCs w:val="16"/>
        </w:rPr>
      </w:pPr>
    </w:p>
    <w:p w14:paraId="799AFA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ноября 1930 г. на аэродром в Ухтомскую приехали начальник ВВС П. И. Баранов, председатель Реввоенсо</w:t>
      </w:r>
      <w:r w:rsidRPr="00507A31">
        <w:rPr>
          <w:color w:val="000000" w:themeColor="text1"/>
          <w:sz w:val="16"/>
          <w:szCs w:val="16"/>
        </w:rPr>
        <w:softHyphen/>
        <w:t>вета Республики С. С. Каменев, руководители отделов ЦАГИ А. Н. Туполев, А. И. Некрасов, В. П. Ветчинкин и Г. X. Сабинин. А. М. Черемухин эффектно продемонстрировал все интересные эво</w:t>
      </w:r>
      <w:r w:rsidRPr="00507A31">
        <w:rPr>
          <w:color w:val="000000" w:themeColor="text1"/>
          <w:sz w:val="16"/>
          <w:szCs w:val="16"/>
        </w:rPr>
        <w:softHyphen/>
        <w:t>люции ЦАГИ-1ЭА, специфически присущие этому типу аппаратов. Высота по</w:t>
      </w:r>
      <w:r w:rsidRPr="00507A31">
        <w:rPr>
          <w:color w:val="000000" w:themeColor="text1"/>
          <w:sz w:val="16"/>
          <w:szCs w:val="16"/>
        </w:rPr>
        <w:softHyphen/>
        <w:t>лета была порядка 50 м, продолжительность — около 10 мин» (10736).</w:t>
      </w:r>
    </w:p>
    <w:p w14:paraId="49901C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89906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ноября 1930 года на аэро</w:t>
      </w:r>
      <w:r w:rsidRPr="00507A31">
        <w:rPr>
          <w:color w:val="000000" w:themeColor="text1"/>
          <w:sz w:val="16"/>
          <w:szCs w:val="16"/>
        </w:rPr>
        <w:softHyphen/>
        <w:t>дром приехали начальник ВВС П.И. Баранов, председатель Реввоенсове</w:t>
      </w:r>
      <w:r w:rsidRPr="00507A31">
        <w:rPr>
          <w:color w:val="000000" w:themeColor="text1"/>
          <w:sz w:val="16"/>
          <w:szCs w:val="16"/>
        </w:rPr>
        <w:softHyphen/>
        <w:t>та республики С.С. Каменев, руково</w:t>
      </w:r>
      <w:r w:rsidRPr="00507A31">
        <w:rPr>
          <w:color w:val="000000" w:themeColor="text1"/>
          <w:sz w:val="16"/>
          <w:szCs w:val="16"/>
        </w:rPr>
        <w:softHyphen/>
        <w:t>дители отделов ЦАГИ А.Н. Туполев, А.И. Некрасов, В.П. Ветчинкин, Г.Х. Са</w:t>
      </w:r>
      <w:r w:rsidRPr="00507A31">
        <w:rPr>
          <w:color w:val="000000" w:themeColor="text1"/>
          <w:sz w:val="16"/>
          <w:szCs w:val="16"/>
        </w:rPr>
        <w:softHyphen/>
        <w:t>бинин. Летчик-испытатель А.М. Чере</w:t>
      </w:r>
      <w:r w:rsidRPr="00507A31">
        <w:rPr>
          <w:color w:val="000000" w:themeColor="text1"/>
          <w:sz w:val="16"/>
          <w:szCs w:val="16"/>
        </w:rPr>
        <w:softHyphen/>
        <w:t>мухин за 10 минут полета на высоте около 50 м эффектно продемонстри</w:t>
      </w:r>
      <w:r w:rsidRPr="00507A31">
        <w:rPr>
          <w:color w:val="000000" w:themeColor="text1"/>
          <w:sz w:val="16"/>
          <w:szCs w:val="16"/>
        </w:rPr>
        <w:softHyphen/>
        <w:t>ровал все интересные эволюции, при</w:t>
      </w:r>
      <w:r w:rsidRPr="00507A31">
        <w:rPr>
          <w:color w:val="000000" w:themeColor="text1"/>
          <w:sz w:val="16"/>
          <w:szCs w:val="16"/>
        </w:rPr>
        <w:softHyphen/>
        <w:t>сущие этому типу аппаратов (11401).</w:t>
      </w:r>
    </w:p>
    <w:p w14:paraId="619E96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C1144FD" w14:textId="77777777" w:rsidR="009A6BED" w:rsidRPr="00507A31" w:rsidRDefault="009A6BED"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5D90628B" w14:textId="77777777" w:rsidR="009A6BED" w:rsidRPr="00507A31" w:rsidRDefault="009A6BED" w:rsidP="00507A31">
      <w:pPr>
        <w:autoSpaceDE w:val="0"/>
        <w:autoSpaceDN w:val="0"/>
        <w:adjustRightInd w:val="0"/>
        <w:jc w:val="both"/>
        <w:rPr>
          <w:iCs/>
          <w:color w:val="000000" w:themeColor="text1"/>
          <w:sz w:val="16"/>
          <w:szCs w:val="16"/>
        </w:rPr>
      </w:pPr>
    </w:p>
    <w:p w14:paraId="07215706" w14:textId="77777777" w:rsidR="009A6BED" w:rsidRPr="00507A31" w:rsidRDefault="009A6BED" w:rsidP="00507A31">
      <w:pPr>
        <w:jc w:val="both"/>
        <w:rPr>
          <w:bCs/>
          <w:color w:val="000000" w:themeColor="text1"/>
          <w:sz w:val="16"/>
          <w:szCs w:val="16"/>
        </w:rPr>
      </w:pPr>
      <w:r w:rsidRPr="00507A31">
        <w:rPr>
          <w:color w:val="000000" w:themeColor="text1"/>
          <w:sz w:val="16"/>
          <w:szCs w:val="16"/>
        </w:rPr>
        <w:t>16 ноября 1930 г.</w:t>
      </w:r>
    </w:p>
    <w:p w14:paraId="25144391" w14:textId="77777777" w:rsidR="009A6BED" w:rsidRPr="00507A31" w:rsidRDefault="009A6BED"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дате начала процесса и о выпадах против корреспондента «Кельнише Цайтунг». 16 ноября 1930 г.</w:t>
      </w:r>
    </w:p>
    <w:p w14:paraId="1570E8F8" w14:textId="77777777" w:rsidR="009A6BED" w:rsidRPr="00507A31" w:rsidRDefault="009A6BED" w:rsidP="00507A31">
      <w:pPr>
        <w:jc w:val="both"/>
        <w:rPr>
          <w:bCs/>
          <w:color w:val="000000" w:themeColor="text1"/>
          <w:sz w:val="16"/>
          <w:szCs w:val="16"/>
        </w:rPr>
      </w:pPr>
      <w:r w:rsidRPr="00507A31">
        <w:rPr>
          <w:bCs/>
          <w:color w:val="000000" w:themeColor="text1"/>
          <w:sz w:val="16"/>
          <w:szCs w:val="16"/>
        </w:rPr>
        <w:t>Источник: </w:t>
      </w:r>
    </w:p>
    <w:p w14:paraId="27A63D06" w14:textId="77777777" w:rsidR="009A6BED" w:rsidRPr="00507A31" w:rsidRDefault="009A6BED" w:rsidP="00507A31">
      <w:pPr>
        <w:jc w:val="both"/>
        <w:rPr>
          <w:color w:val="000000" w:themeColor="text1"/>
          <w:sz w:val="16"/>
          <w:szCs w:val="16"/>
        </w:rPr>
      </w:pPr>
      <w:r w:rsidRPr="00507A31">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7FDB3C" w14:textId="77777777" w:rsidR="009A6BED" w:rsidRPr="00507A31" w:rsidRDefault="009A6BED" w:rsidP="00507A31">
      <w:pPr>
        <w:pStyle w:val="rteright"/>
        <w:spacing w:before="0" w:after="0"/>
        <w:jc w:val="both"/>
        <w:rPr>
          <w:color w:val="000000" w:themeColor="text1"/>
          <w:sz w:val="16"/>
          <w:szCs w:val="16"/>
        </w:rPr>
      </w:pPr>
      <w:r w:rsidRPr="00507A31">
        <w:rPr>
          <w:color w:val="000000" w:themeColor="text1"/>
          <w:sz w:val="16"/>
          <w:szCs w:val="16"/>
        </w:rPr>
        <w:t>16 ноября 1930 г.</w:t>
      </w:r>
    </w:p>
    <w:p w14:paraId="570A4E48"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Входящая телеграмма (копия)</w:t>
      </w:r>
    </w:p>
    <w:p w14:paraId="416A16EB"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Шифровальный отдел</w:t>
      </w:r>
    </w:p>
    <w:p w14:paraId="1DFE0B64"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№630</w:t>
      </w:r>
    </w:p>
    <w:p w14:paraId="3607C2E3"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Москва, 16 ноября 1930, 20.00</w:t>
      </w:r>
    </w:p>
    <w:p w14:paraId="62CC43D9"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Получена 16 ноября, 20.30</w:t>
      </w:r>
    </w:p>
    <w:p w14:paraId="5153BD50"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Процесс, обвинительное заключение по которому было опубликовано 11-го ноября, должен начаться в четверг 20-го.</w:t>
      </w:r>
    </w:p>
    <w:p w14:paraId="14928BF8"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Надо будет принять со сдержанностью протоколы судебных заседаний, которые будут посылаться отсюда по телеграфу. Московский корреспондент «Кельнише Цайтунг», который вынес беспристрастное суждение об обвинениях, содержащихся в документе от 11-го ноября, стал объектом нападок со стороны советской прессы, которая, конечно, старается не допустить того, чтобы иностранные журналисты свободно выражали свое мнение.</w:t>
      </w:r>
    </w:p>
    <w:p w14:paraId="55105DC4"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Жан Эрбет</w:t>
      </w:r>
    </w:p>
    <w:p w14:paraId="6FEA1CA4" w14:textId="77777777" w:rsidR="009A6BED" w:rsidRPr="00507A31" w:rsidRDefault="009A6BED"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37. Машинописный текст телеграммы, полученный из шифровального отдела, копт того времени, подпись машинописью. Штамп Департамента политических и торговых дел с датой 17 нояб. 1930» и вписанным от руки номером о сдаче в архив «z 619-20 s/d5» (18754).</w:t>
      </w:r>
    </w:p>
    <w:p w14:paraId="0359A3C3" w14:textId="77777777" w:rsidR="009A6BED" w:rsidRPr="00507A31" w:rsidRDefault="009A6BED" w:rsidP="00507A31">
      <w:pPr>
        <w:jc w:val="both"/>
        <w:rPr>
          <w:color w:val="000000" w:themeColor="text1"/>
          <w:sz w:val="16"/>
          <w:szCs w:val="16"/>
        </w:rPr>
      </w:pPr>
    </w:p>
    <w:p w14:paraId="20EC1DC6" w14:textId="77777777" w:rsidR="009A6BED" w:rsidRPr="00507A31" w:rsidRDefault="009A6BED" w:rsidP="00507A31">
      <w:pPr>
        <w:jc w:val="both"/>
        <w:rPr>
          <w:bCs/>
          <w:color w:val="000000" w:themeColor="text1"/>
          <w:sz w:val="16"/>
          <w:szCs w:val="16"/>
        </w:rPr>
      </w:pPr>
      <w:r w:rsidRPr="00507A31">
        <w:rPr>
          <w:color w:val="000000" w:themeColor="text1"/>
          <w:sz w:val="16"/>
          <w:szCs w:val="16"/>
        </w:rPr>
        <w:t>16 ноября 1930 г.</w:t>
      </w:r>
    </w:p>
    <w:p w14:paraId="1D3EF5AC" w14:textId="77777777" w:rsidR="009A6BED" w:rsidRPr="00507A31" w:rsidRDefault="009A6BED" w:rsidP="00507A31">
      <w:pPr>
        <w:jc w:val="both"/>
        <w:rPr>
          <w:bCs/>
          <w:color w:val="000000" w:themeColor="text1"/>
          <w:sz w:val="16"/>
          <w:szCs w:val="16"/>
        </w:rPr>
      </w:pPr>
      <w:r w:rsidRPr="00507A31">
        <w:rPr>
          <w:color w:val="000000" w:themeColor="text1"/>
          <w:sz w:val="16"/>
          <w:szCs w:val="16"/>
        </w:rPr>
        <w:t>Об интервью Р. Пуанкаре и генерала Миллера в связи с «делом “Промпартии”». Из «Бюллетеня не для печати № 302 иностранной информации ТАСС». 16 ноября 1930 г.</w:t>
      </w:r>
    </w:p>
    <w:p w14:paraId="13637891" w14:textId="77777777" w:rsidR="009A6BED" w:rsidRPr="00507A31" w:rsidRDefault="009A6BED" w:rsidP="00507A31">
      <w:pPr>
        <w:jc w:val="both"/>
        <w:rPr>
          <w:bCs/>
          <w:color w:val="000000" w:themeColor="text1"/>
          <w:sz w:val="16"/>
          <w:szCs w:val="16"/>
        </w:rPr>
      </w:pPr>
      <w:r w:rsidRPr="00507A31">
        <w:rPr>
          <w:bCs/>
          <w:color w:val="000000" w:themeColor="text1"/>
          <w:sz w:val="16"/>
          <w:szCs w:val="16"/>
        </w:rPr>
        <w:t>Источник: </w:t>
      </w:r>
    </w:p>
    <w:p w14:paraId="6A15052D" w14:textId="77777777" w:rsidR="009A6BED" w:rsidRPr="00507A31" w:rsidRDefault="009A6BE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3747985" w14:textId="77777777" w:rsidR="009A6BED" w:rsidRPr="00507A31" w:rsidRDefault="009A6BED" w:rsidP="00507A31">
      <w:pPr>
        <w:jc w:val="both"/>
        <w:rPr>
          <w:bCs/>
          <w:color w:val="000000" w:themeColor="text1"/>
          <w:sz w:val="16"/>
          <w:szCs w:val="16"/>
        </w:rPr>
      </w:pPr>
      <w:r w:rsidRPr="00507A31">
        <w:rPr>
          <w:bCs/>
          <w:color w:val="000000" w:themeColor="text1"/>
          <w:sz w:val="16"/>
          <w:szCs w:val="16"/>
        </w:rPr>
        <w:t>Архив: </w:t>
      </w:r>
    </w:p>
    <w:p w14:paraId="6666CBEA" w14:textId="77777777" w:rsidR="009A6BED" w:rsidRPr="00507A31" w:rsidRDefault="009A6BED" w:rsidP="00507A31">
      <w:pPr>
        <w:jc w:val="both"/>
        <w:rPr>
          <w:color w:val="000000" w:themeColor="text1"/>
          <w:sz w:val="16"/>
          <w:szCs w:val="16"/>
        </w:rPr>
      </w:pPr>
      <w:r w:rsidRPr="00507A31">
        <w:rPr>
          <w:color w:val="000000" w:themeColor="text1"/>
          <w:sz w:val="16"/>
          <w:szCs w:val="16"/>
        </w:rPr>
        <w:t>АВП РФ. Ф. 0136. On. 14. П. 140. Д. 593. Л. 82</w:t>
      </w:r>
    </w:p>
    <w:p w14:paraId="10A9BFBB" w14:textId="77777777" w:rsidR="009A6BED" w:rsidRPr="00507A31" w:rsidRDefault="009A6BED" w:rsidP="00507A31">
      <w:pPr>
        <w:pStyle w:val="rteright"/>
        <w:spacing w:before="0" w:after="0"/>
        <w:jc w:val="both"/>
        <w:rPr>
          <w:color w:val="000000" w:themeColor="text1"/>
          <w:sz w:val="16"/>
          <w:szCs w:val="16"/>
        </w:rPr>
      </w:pPr>
      <w:r w:rsidRPr="00507A31">
        <w:rPr>
          <w:color w:val="000000" w:themeColor="text1"/>
          <w:sz w:val="16"/>
          <w:szCs w:val="16"/>
        </w:rPr>
        <w:t>от 16 ноября 1930 г.</w:t>
      </w:r>
    </w:p>
    <w:p w14:paraId="5B2D15BD" w14:textId="77777777" w:rsidR="009A6BED" w:rsidRPr="00507A31" w:rsidRDefault="009A6BED"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6BA7E553"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302</w:t>
      </w:r>
    </w:p>
    <w:p w14:paraId="2315900C"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16/XI-30 г.</w:t>
      </w:r>
    </w:p>
    <w:p w14:paraId="0D43EF9C"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Лист № 6-ой</w:t>
      </w:r>
    </w:p>
    <w:p w14:paraId="024BDF95"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ПУАНКАРЕ И ГЕНЕРАЛ МИЛЛЕР О ДЕЛЕ «ПРОМПАРТИИ».</w:t>
      </w:r>
    </w:p>
    <w:p w14:paraId="33CD1B8A"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БИ. 9840. БЕРЛИН, 14/XI. В газетах «Нейе Цюрихер Цейтунг» (Швейцария) и «Нейе Фрейе Прессе» (Австрия) напечатано распространяемое агентством «Юнайтед Пресс» интервью с Пуанкаре [и] с белогвардейским генералом Миллером по поводу дела «промышленной партии». Дословный текст сообщения агентства «Юнайтед Пресс» гласит: «Пуанкаре дал интервью представителю “Юнайтед Пресс” по поводу поднятых в Москве против французского правительства обвинений, что оно, якобы, готовило интервенцию против СССР. Пуанкаре характеризовал все это дело, как “абсолютно идиотическое измышление” и отрицает всякое участие Франции в каких[-]либо заговорах против России.[»] «Генерал Миллер, — говорится в сообщении агентства далее, — председатель русских военных организаций и преемник генерала Кутепова также называет московские разоблачения наглой ложью. Он добавил, что за границей действительно находится 60 тысяч русских военных, которые во всякое время готовы выступить в поход против Сталина. Генерал Миллер утверждает, что в России господствует чрезвычайное недовольство, вследствие чего неизбежен государственный переворот» (Тасс).</w:t>
      </w:r>
    </w:p>
    <w:p w14:paraId="5EA650C1" w14:textId="77777777" w:rsidR="009A6BED" w:rsidRPr="00507A31" w:rsidRDefault="009A6BED"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82. Машинописный экземпляр того времени, размноженный на ротаторе. Вверху листа «шапка» «НЕ ПОДЛЕЖИТ ОГЛАШЕНИЮ», внизу справа подпись-росчерк (неразборчиво) (18962).</w:t>
      </w:r>
    </w:p>
    <w:p w14:paraId="2D74E1DE" w14:textId="77777777" w:rsidR="009A6BED" w:rsidRPr="00507A31" w:rsidRDefault="009A6BED" w:rsidP="00507A31">
      <w:pPr>
        <w:jc w:val="both"/>
        <w:rPr>
          <w:color w:val="000000" w:themeColor="text1"/>
          <w:sz w:val="16"/>
          <w:szCs w:val="16"/>
        </w:rPr>
      </w:pPr>
    </w:p>
    <w:p w14:paraId="7809CEBF" w14:textId="77777777" w:rsidR="009A6BED" w:rsidRPr="00507A31" w:rsidRDefault="009A6BED" w:rsidP="00507A31">
      <w:pPr>
        <w:jc w:val="both"/>
        <w:rPr>
          <w:bCs/>
          <w:color w:val="000000" w:themeColor="text1"/>
          <w:sz w:val="16"/>
          <w:szCs w:val="16"/>
        </w:rPr>
      </w:pPr>
      <w:r w:rsidRPr="00507A31">
        <w:rPr>
          <w:color w:val="000000" w:themeColor="text1"/>
          <w:sz w:val="16"/>
          <w:szCs w:val="16"/>
        </w:rPr>
        <w:t>16 ноября 1930 г.</w:t>
      </w:r>
    </w:p>
    <w:p w14:paraId="2B4D7212" w14:textId="77777777" w:rsidR="009A6BED" w:rsidRPr="00507A31" w:rsidRDefault="009A6BED" w:rsidP="00507A31">
      <w:pPr>
        <w:jc w:val="both"/>
        <w:rPr>
          <w:bCs/>
          <w:color w:val="000000" w:themeColor="text1"/>
          <w:sz w:val="16"/>
          <w:szCs w:val="16"/>
        </w:rPr>
      </w:pPr>
      <w:r w:rsidRPr="00507A31">
        <w:rPr>
          <w:color w:val="000000" w:themeColor="text1"/>
          <w:sz w:val="16"/>
          <w:szCs w:val="16"/>
        </w:rPr>
        <w:t>«Отклики» немецкой прессы о процессе «Промпартии», «правой оппозиции», «чистках» и репрессиях против специалистов. Из «Бюллетеня не для печати № 302 иностранной информации ТАСС». 16 ноября 1930 г.</w:t>
      </w:r>
    </w:p>
    <w:p w14:paraId="551DD99B" w14:textId="77777777" w:rsidR="009A6BED" w:rsidRPr="00507A31" w:rsidRDefault="009A6BED" w:rsidP="00507A31">
      <w:pPr>
        <w:jc w:val="both"/>
        <w:rPr>
          <w:bCs/>
          <w:color w:val="000000" w:themeColor="text1"/>
          <w:sz w:val="16"/>
          <w:szCs w:val="16"/>
        </w:rPr>
      </w:pPr>
      <w:r w:rsidRPr="00507A31">
        <w:rPr>
          <w:bCs/>
          <w:color w:val="000000" w:themeColor="text1"/>
          <w:sz w:val="16"/>
          <w:szCs w:val="16"/>
        </w:rPr>
        <w:t>Источник: </w:t>
      </w:r>
    </w:p>
    <w:p w14:paraId="7531EA91" w14:textId="77777777" w:rsidR="009A6BED" w:rsidRPr="00507A31" w:rsidRDefault="009A6BE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700C606" w14:textId="77777777" w:rsidR="009A6BED" w:rsidRPr="00507A31" w:rsidRDefault="009A6BED" w:rsidP="00507A31">
      <w:pPr>
        <w:jc w:val="both"/>
        <w:rPr>
          <w:bCs/>
          <w:color w:val="000000" w:themeColor="text1"/>
          <w:sz w:val="16"/>
          <w:szCs w:val="16"/>
        </w:rPr>
      </w:pPr>
      <w:r w:rsidRPr="00507A31">
        <w:rPr>
          <w:bCs/>
          <w:color w:val="000000" w:themeColor="text1"/>
          <w:sz w:val="16"/>
          <w:szCs w:val="16"/>
        </w:rPr>
        <w:t>Архив: </w:t>
      </w:r>
    </w:p>
    <w:p w14:paraId="13B985B6" w14:textId="77777777" w:rsidR="009A6BED" w:rsidRPr="00507A31" w:rsidRDefault="009A6BED" w:rsidP="00507A31">
      <w:pPr>
        <w:jc w:val="both"/>
        <w:rPr>
          <w:color w:val="000000" w:themeColor="text1"/>
          <w:sz w:val="16"/>
          <w:szCs w:val="16"/>
        </w:rPr>
      </w:pPr>
      <w:r w:rsidRPr="00507A31">
        <w:rPr>
          <w:color w:val="000000" w:themeColor="text1"/>
          <w:sz w:val="16"/>
          <w:szCs w:val="16"/>
        </w:rPr>
        <w:t>АВП РФ. Ф. 0136. On. 14. П. 140. Д. 593. Л. 85-88</w:t>
      </w:r>
    </w:p>
    <w:p w14:paraId="4F4B4D11" w14:textId="77777777" w:rsidR="009A6BED" w:rsidRPr="00507A31" w:rsidRDefault="009A6BED" w:rsidP="00507A31">
      <w:pPr>
        <w:pStyle w:val="rteright"/>
        <w:spacing w:before="0" w:after="0"/>
        <w:jc w:val="both"/>
        <w:rPr>
          <w:color w:val="000000" w:themeColor="text1"/>
          <w:sz w:val="16"/>
          <w:szCs w:val="16"/>
        </w:rPr>
      </w:pPr>
      <w:r w:rsidRPr="00507A31">
        <w:rPr>
          <w:color w:val="000000" w:themeColor="text1"/>
          <w:sz w:val="16"/>
          <w:szCs w:val="16"/>
        </w:rPr>
        <w:t>от 16 ноября 1930 г.</w:t>
      </w:r>
    </w:p>
    <w:p w14:paraId="16D856A0" w14:textId="77777777" w:rsidR="009A6BED" w:rsidRPr="00507A31" w:rsidRDefault="009A6BED"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047FFC9D"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302</w:t>
      </w:r>
    </w:p>
    <w:p w14:paraId="3D0AC743"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16/XI-30 г.</w:t>
      </w:r>
    </w:p>
    <w:p w14:paraId="618B1FF7"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Лист № 7-ой</w:t>
      </w:r>
    </w:p>
    <w:p w14:paraId="315643A3"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ОТКЛИКИ «КЕЛЬНИШЕ ЦЕЙТУНГ»</w:t>
      </w:r>
    </w:p>
    <w:p w14:paraId="556D962F"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НА КОММЕНТАРИИ «ИЗВЕСТИЙ».</w:t>
      </w:r>
    </w:p>
    <w:p w14:paraId="68277E56"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[Л]Г. 1342. БЕРЛИН, 16/XI. (Тасс). — «Кельнише Цейтунг» публикует сообщение ТАСС, содержащее выдержку из комментариев Радека в «Известиях», направленных против позиции московского корреспондента — «Кельнише Цейтунг» в вопросе об обвинительном заключении по делу «Промышленной партии». «Кельнише Цейтунг» пишет, что Радек, составляя свои комментарии, не мог иметь еще полного текста корреспонденции, опубликованной в «Кельнише Цейтунг»[,] и мог опираться только на имевшиеся в его распоряжении телеграфные выдержки, напечатанные в «Известиях», снабженные при том полемическими замечаниями берлинской корреспондентки «Известий». Газета не считает нужным уже сейчас полемизировать с неверно информированным Радеком. «Когда, — пишет газета, — в Москве будет получена телеграмма с полным текстом, Радек, как опытный “критик” признает, что он поспешил и мы надеемся, что тогда уже лучше осведомленный Радек не скроет от читателей “Известий” результат анализа подлинного текста телеграммы. Изображение нашего московского корреспондента в качестве агента французского империализма, который вуалирует подготовку интервенции, является обвинение и не только по адресу корреспондента, но и самой газеты, поскольку она опубликовала телеграмму. Мы, однако, не считаем необходимым давать какой[-]либо ответ по этому поводу господину Радеку».</w:t>
      </w:r>
    </w:p>
    <w:p w14:paraId="4E268D59"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«ФРАНКФУРТЕР ЦЕЙТУНГ»</w:t>
      </w:r>
    </w:p>
    <w:p w14:paraId="38095C95"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О ПРОЦЕССЕ ПРОМЫШЛЕННОЙ ПАРТИИ</w:t>
      </w:r>
    </w:p>
    <w:p w14:paraId="5A31A462"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СЛ. 9842. БЕРЛИН, 13/XI. В передовой статье, озаглавленной «Новая волна террора в России», «Франкфуртер Цейтунг» пишет: «Сталин начал большую чистку. Съезд коммунистической партии весной этого года закончился полным поражением оппозиции. Рыков со своими товарищами вынужден был признаться в своих ошибках. Бухарин по болезни не присутствовал на съезде. Однако, вот уже 2-3 месяца как становится все более ясным, что Сталин не удовлетворен своей победой. Он безусловно владеет советским аппаратом, что подтверждается многочисленными резолюциями с мест против правой оппозиции. Этими методами не удается, все же, сломить сопротивление сталинской политике индустриализации и коллективизации. Деловой критике этой политики следовало бы противопоставить деловые же опровержения. Сталин идет по другому пути: он укрепляет свою личную диктатуру с помощью судебных и полицейских преследований.</w:t>
      </w:r>
    </w:p>
    <w:p w14:paraId="3D7C1ECA"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&lt;(Продолжение следует)&gt;</w:t>
      </w:r>
    </w:p>
    <w:p w14:paraId="5DB60765"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302</w:t>
      </w:r>
    </w:p>
    <w:p w14:paraId="2B4689A1"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16/XI-30 г.</w:t>
      </w:r>
    </w:p>
    <w:p w14:paraId="4C1ABA75"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Лист № 8-ой</w:t>
      </w:r>
    </w:p>
    <w:p w14:paraId="386FF398"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(Продолжение)</w:t>
      </w:r>
    </w:p>
    <w:p w14:paraId="39E0E6EF"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 xml:space="preserve">Был возбужден ряд процессов по обвинению в заговорах и саботаже. Происходят массовые аресты. Наиболее возмутительным был расстрел 48 русских специалистов. Со всего мира поднялись протесты против этого суммарного приговора. Эти 48 на основе так называемых «признаний» были без какого-либо публичного судоговорения расстреляны ГПУ. Всем хорошо памятны традиции русской полиции в эпоху царизма. И сейчас весьма многочисленны аресты и казни отдельных чиновников — коммунальных служащих, членов хозяйственных организаций по обвинениям во взяточничестве или саботировании продовольственных планов. Наконец, пришло сообщение о новом большом процессе — на этот раз открытом судебном процессе — против восьми профессоров. Верховный прокурор Крыленко опубликовал обвинительное заключение, из которого должно вытекать, что обвиняемые в течение нескольких лет подготовляли заговор. Как ни легко себе </w:t>
      </w:r>
      <w:r w:rsidRPr="00507A31">
        <w:rPr>
          <w:color w:val="000000" w:themeColor="text1"/>
          <w:sz w:val="16"/>
          <w:szCs w:val="16"/>
        </w:rPr>
        <w:lastRenderedPageBreak/>
        <w:t>представить, что жестокость политического террора пробуждает желание добиться более свободного государственного устройства, все же трудно понять, чтобы обвиняемые профессора, работавшие в качестве специалистов в Высшей технической школе, в Текстильном институте и в различных высших хозяйственных учреждениях, вступили на путь политического восстания в союзе с заграничными силами. Весьма возможно, что они высказывали свои деловые сомнения по поводу определенных мероприятий экономической политики. Это — достаточное преступление, чтобы подвергнуться обвинению в противодействии всей системе, в особенности для лиц, не состоящих в коммунистической партии.</w:t>
      </w:r>
    </w:p>
    <w:p w14:paraId="04083B11"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Процесс, который начат против этих профессоров — ничто иное, как тенденциозный процесс. Необходимо доказать общественному мнению страны, что родина в опасности. Тяжелый кризис продовольственный и товарный — естественно вызывает в народе отчаяние. Отчаяние перерастает в сильнейшее возбуждение против тех, кто повинен в проводимой хозяйственной политике. В неудачах обвиняют руководителей. Отсюда — необходимость найти этим неудачам объяснение. Однако, обвинительный акт идет еще дальше.</w:t>
      </w:r>
    </w:p>
    <w:p w14:paraId="4ACE9F4A"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(Продолжение следует)</w:t>
      </w:r>
    </w:p>
    <w:p w14:paraId="73C1C8D9"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302</w:t>
      </w:r>
    </w:p>
    <w:p w14:paraId="6C432D68"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16/XI-30 г.</w:t>
      </w:r>
    </w:p>
    <w:p w14:paraId="6831E34B"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Лист № 9-й</w:t>
      </w:r>
    </w:p>
    <w:p w14:paraId="5CE99F78"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(Продолжение)</w:t>
      </w:r>
    </w:p>
    <w:p w14:paraId="099795AA"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Специалистов обвиняют в том, что они находились в тесной связи с французским правительством, которое подготовляло, якобы, военную интервенцию против России. В Польше имеется, якобы, широко разветвленная организация, которая ставит себе целью после формального объявления войны польским правительством, вступить в Россию вместе с польскими войсками и военными организациями русских эмигрантов. Руководство интервенцией принадлежит, якобы, французскому генеральному штабу. Сам Пуанкаре находился, будто бы, в связи с заговорщиками. Роль Англии представляется менее активной. Было бы, впрочем, удивительно, если бы обвинительное заключение не приписывало определенные роли в заговоре нефтяному королю Детердингу и английскому промышленнику Уркварту. Оба эти англичанина и Пуанкаре немедленно ответили решительными опровержениями. Они называют все это дело идиотской выдумкой. Равным образом генерал Миллер — глава русских эмигрантских организаций за границей, — заменивший на этом посту исчезнувшего генерала Кутепова, называет московские разоблачения грубой ложью. Правда, он признает, что за границей проживает 60.000 бывших русских военных, которые каждую минуту готовы выступить против Сталина. Эти опровержения, как тому учит наш прежний опыт, будут конечно расцениваться и в советской печати и на предстоящем процессе, как совершенно безразличные, скорее даже как утягчающие обвинения. Мы уже видели, какими насмешками встречались все показания, приходившие из-за границы, во время процесса немецких студентов и во время так называемого “шахтинского дела”. В этом сказывается не только простой тактический ход, имеющий целью сделать эти показания недействительными. В основе такого отношения лежит глубокая противоположность двух мировоззрений: русские коммунисты настолько вжились в свою идеологию, что они почти ничего уже не понимают из того, что вытекает из других взглядов и убеждений. В своем фанатизме они видят врага в каждом, кто с ними не согласен. На этой же почве возникает чуть ли не истерический страх перед военной интервенцией капиталистического мира.</w:t>
      </w:r>
    </w:p>
    <w:p w14:paraId="175550C9"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(Продолжение следует)</w:t>
      </w:r>
    </w:p>
    <w:p w14:paraId="3F08E112"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302</w:t>
      </w:r>
    </w:p>
    <w:p w14:paraId="52AF5644"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16/XI-30 г.</w:t>
      </w:r>
    </w:p>
    <w:p w14:paraId="2B8D49AB"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Лист № 10-ый.</w:t>
      </w:r>
    </w:p>
    <w:p w14:paraId="664FEC3A"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(Продолжение)</w:t>
      </w:r>
    </w:p>
    <w:p w14:paraId="2326555F"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Советская дипломатия везде и всюду явно стремится разбить это враждебное окружение. Мы не хотим сказать, чтобы этот страх владел всеми в равной степени. Однако призрак интервенции превращается в благодарное средство пропаганды, с помощью которой вновь и вновь пытаются влить бодрость в народ, в рабочих</w:t>
      </w:r>
    </w:p>
    <w:p w14:paraId="10A5F15C"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Параллельно с этими полицейскими и судебными действиями идет новая «чистка» на высотах Советского Союза и РСФСР. За последние месяцы почти все высокие посты были заняты новыми людьми. Отчасти дело идет лишь о замещениях, однако, в других случаях имеется в виду окончательное отстранение людей от власти. Не подлежит сомнению, что Рыков, председатель Совнаркома, не вернется больше после отпуска на свой пост. Во всем поведении Сталина ясно видно намерение окружить себя вполне доверенными людьми. Одновременно и тем самым у оппозиции отнимается ее государственное влияние. Это ясно видно из примера Сырцова, которого сейчас называют душой движения, направленного против Сталина, и несомненно встречавшего сочувствие со стороны Рыкова, Бухарина и Томского. Во всяком случае против названных лиц за последнее время поднята новая кампания, причем их обвиняют в том, что, принимая на словах «генеральную линию партии», они открыто не выступают против оппозиционных течений. В многочисленных резолюциях они обвиняются в “двурушничестве”. Их молчание вменяется им в преступление. Еще не вполне ясно, какие меры будут предприняты против них[»].</w:t>
      </w:r>
    </w:p>
    <w:p w14:paraId="492913B7"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«Все происходящее за последние недели в России все определеннее указывает на то, что Сталин, по[-]видимому, стремится к созданию строго личной диктатуры. Это представляло бы, во всяком случае, новую фазу в развитии, которая не имела бы для себя прецедентов в истории Советской республики» (Тасс).</w:t>
      </w:r>
    </w:p>
    <w:p w14:paraId="47E61D49" w14:textId="77777777" w:rsidR="009A6BED" w:rsidRPr="00507A31" w:rsidRDefault="009A6BED"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85-88. Машинописный экземпляр того времени, размноженный на ротаторе. На каждом листе вверху имеется гриф «НЕ ПОДЛЕЖИТ ОГЛАШЕНИЮ» (жирный шрифт, как «шапка» бланка, прописными буквами). Каждый лист начинается с заголовка «БЮЛЛЕТЕНЬ НЕ ДЛЯ ПЕЧАТИ № [...] Лист № [...]». Если текст информации продолжается, на предыдущем листе пишется в скобках «(Продолжение следует)», на следующем также в скобках «(Продолжение)». Внизу каждого листа в подстрочнике — делопроизводственные пометы о способе размножения документа («1 воск. 3 подвоск. 137 ротаторск.»). Также на каждом листе имеются рукописные пометы (подпись-росчерк?) «Н. Л.» (внизу) и «Их.» (вверху справа) (18963).</w:t>
      </w:r>
    </w:p>
    <w:p w14:paraId="61FE5023" w14:textId="77777777" w:rsidR="009A6BED" w:rsidRPr="00507A31" w:rsidRDefault="009A6BED" w:rsidP="00507A31">
      <w:pPr>
        <w:jc w:val="both"/>
        <w:rPr>
          <w:color w:val="000000" w:themeColor="text1"/>
          <w:sz w:val="16"/>
          <w:szCs w:val="16"/>
        </w:rPr>
      </w:pPr>
    </w:p>
    <w:p w14:paraId="745527A7" w14:textId="77777777" w:rsidR="009A6BED" w:rsidRPr="00507A31" w:rsidRDefault="009A6BED" w:rsidP="00507A31">
      <w:pPr>
        <w:jc w:val="both"/>
        <w:rPr>
          <w:bCs/>
          <w:color w:val="000000" w:themeColor="text1"/>
          <w:sz w:val="16"/>
          <w:szCs w:val="16"/>
        </w:rPr>
      </w:pPr>
      <w:r w:rsidRPr="00507A31">
        <w:rPr>
          <w:color w:val="000000" w:themeColor="text1"/>
          <w:sz w:val="16"/>
          <w:szCs w:val="16"/>
        </w:rPr>
        <w:t>16 ноября 1930 г.</w:t>
      </w:r>
    </w:p>
    <w:p w14:paraId="01DF22D0" w14:textId="77777777" w:rsidR="009A6BED" w:rsidRPr="00507A31" w:rsidRDefault="009A6BED" w:rsidP="00507A31">
      <w:pPr>
        <w:jc w:val="both"/>
        <w:rPr>
          <w:bCs/>
          <w:color w:val="000000" w:themeColor="text1"/>
          <w:sz w:val="16"/>
          <w:szCs w:val="16"/>
        </w:rPr>
      </w:pPr>
      <w:r w:rsidRPr="00507A31">
        <w:rPr>
          <w:color w:val="000000" w:themeColor="text1"/>
          <w:sz w:val="16"/>
          <w:szCs w:val="16"/>
        </w:rPr>
        <w:t>О статье «Рыков в немилости» в «Эко де Пари». Из «Бюллетеня не для печати № 302 иностранной информации ТАСС». 16 ноября 1930 г.</w:t>
      </w:r>
    </w:p>
    <w:p w14:paraId="684743D3" w14:textId="77777777" w:rsidR="009A6BED" w:rsidRPr="00507A31" w:rsidRDefault="009A6BED" w:rsidP="00507A31">
      <w:pPr>
        <w:jc w:val="both"/>
        <w:rPr>
          <w:bCs/>
          <w:color w:val="000000" w:themeColor="text1"/>
          <w:sz w:val="16"/>
          <w:szCs w:val="16"/>
        </w:rPr>
      </w:pPr>
      <w:r w:rsidRPr="00507A31">
        <w:rPr>
          <w:bCs/>
          <w:color w:val="000000" w:themeColor="text1"/>
          <w:sz w:val="16"/>
          <w:szCs w:val="16"/>
        </w:rPr>
        <w:t>Источник: </w:t>
      </w:r>
    </w:p>
    <w:p w14:paraId="1101F3B0" w14:textId="77777777" w:rsidR="009A6BED" w:rsidRPr="00507A31" w:rsidRDefault="009A6BE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2EE5EFD" w14:textId="77777777" w:rsidR="009A6BED" w:rsidRPr="00507A31" w:rsidRDefault="009A6BED" w:rsidP="00507A31">
      <w:pPr>
        <w:pStyle w:val="rteright"/>
        <w:spacing w:before="0" w:after="0"/>
        <w:jc w:val="both"/>
        <w:rPr>
          <w:color w:val="000000" w:themeColor="text1"/>
          <w:sz w:val="16"/>
          <w:szCs w:val="16"/>
        </w:rPr>
      </w:pPr>
      <w:r w:rsidRPr="00507A31">
        <w:rPr>
          <w:color w:val="000000" w:themeColor="text1"/>
          <w:sz w:val="16"/>
          <w:szCs w:val="16"/>
        </w:rPr>
        <w:t>от 16 ноября 1930 г.</w:t>
      </w:r>
    </w:p>
    <w:p w14:paraId="5DBEBE4A" w14:textId="77777777" w:rsidR="009A6BED" w:rsidRPr="00507A31" w:rsidRDefault="009A6BED"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7997076D"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302</w:t>
      </w:r>
    </w:p>
    <w:p w14:paraId="3204EC0A"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16/XI-30 г.</w:t>
      </w:r>
    </w:p>
    <w:p w14:paraId="01E016D3"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Лист № 11-ый</w:t>
      </w:r>
    </w:p>
    <w:p w14:paraId="0CD8524E" w14:textId="77777777" w:rsidR="009A6BED" w:rsidRPr="00507A31" w:rsidRDefault="009A6BED" w:rsidP="00507A31">
      <w:pPr>
        <w:pStyle w:val="ae"/>
        <w:spacing w:before="0" w:after="0"/>
        <w:jc w:val="both"/>
        <w:rPr>
          <w:color w:val="000000" w:themeColor="text1"/>
          <w:sz w:val="16"/>
          <w:szCs w:val="16"/>
        </w:rPr>
      </w:pPr>
      <w:r w:rsidRPr="00507A31">
        <w:rPr>
          <w:color w:val="000000" w:themeColor="text1"/>
          <w:sz w:val="16"/>
          <w:szCs w:val="16"/>
        </w:rPr>
        <w:t>ПЕРТИНАКС О ПРАВОЙ ОППОЗИЦИИ</w:t>
      </w:r>
    </w:p>
    <w:p w14:paraId="61DA2FE9" w14:textId="77777777" w:rsidR="009A6BED" w:rsidRPr="00507A31" w:rsidRDefault="009A6BED" w:rsidP="00507A31">
      <w:pPr>
        <w:pStyle w:val="rtejustify"/>
        <w:spacing w:before="0" w:after="0"/>
        <w:rPr>
          <w:color w:val="000000" w:themeColor="text1"/>
          <w:sz w:val="16"/>
          <w:szCs w:val="16"/>
        </w:rPr>
      </w:pPr>
      <w:r w:rsidRPr="00507A31">
        <w:rPr>
          <w:color w:val="000000" w:themeColor="text1"/>
          <w:sz w:val="16"/>
          <w:szCs w:val="16"/>
        </w:rPr>
        <w:t>СЛ. 9838. ПАРИЖ, 9/XI. — Пертинакс в «Эко де Пари» в статье, озаглавленной «Рыков в немилости», пишет: «Отстранение Рыкова от дел завершает победу Сталина. Ныне Сталин, укрепившийся окончательно в секретариате коммунистической партии, столь же всемогущ, как покойный Ленин. В 1927-28 г.г. Сталину пришлось защищаться против левой оппозиции Троцкого, Зиновьева, Каменева, Радека, Раковского. Сегодня, в сущности говоря, присвоив крайнюю программу левых, Сталин направляет удар против правых. После Бухарина и Томского дошла очередь и до Рыкова. Поражение Рыкова произошло на XVI съезде коммунистической партии, когда он и его сотоварищи, чтобы спасти себя, публично унизительно каялись в своих грехах. Однако, ненависть Сталина не смягчилась, ибо, если левая оппозиция представляла всего лишь главный штаб без армии, то правые — Рыков и др., считаются вдохновителями противодействия проведению пятилетнего плана. Правая оппозиция утверждала, что аграрная политика пятилетнего плана, требующая организации совхозов и колхозов, приведет к разорению, что индивидуальные крестьянские хозяйства по[-]прежнему останутся главным источником покрытия продовольственных нужд страны, что темпы индустриализации превосходят силы страны и приведут к ее гибели, что лучший метод не в том, чтобы бросать на иностранные рынки русское сырье для закупки машин, а постепенно улучшать положение трудящихся. Наиболее резкие слова дошли до нас от Бухарина. Он разоблачал нынешнюю советскую систему как “военно-феодальную эксплоатацию крестьян”. Критикуя манию величия таких людей, как Кржижановский (один из создателей пятилетнего плана), Бухарин иронически заметил: “Социалистические заводы не могут быть построены из кирпичей будущего”. Одним словом, Рыков, Томский и Бухарин мало-помалу превращались в демократов, в выразителей народной воли. Они стали лишними в условиях жестокой диктатуры партии» (Тасс).</w:t>
      </w:r>
    </w:p>
    <w:p w14:paraId="0A6CE99C" w14:textId="77777777" w:rsidR="009A6BED" w:rsidRPr="00507A31" w:rsidRDefault="009A6BED"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On. 14. П. 140. Д. 593. Л. 89. Машинописный экземпляр того времени, размноженный на ротаторе. Верху листа гриф («шапка») «НЕ ПОДЛЕЖИТ ОГЛАШЕНИЮ». Рукописные пометы «Их.» (вверху справа) и «Н. Л.» внизу. Внизу слева (подстрочник) — данные о размножении документа (18964).</w:t>
      </w:r>
    </w:p>
    <w:p w14:paraId="0F4AC66A" w14:textId="77777777" w:rsidR="009A6BED" w:rsidRPr="00507A31" w:rsidRDefault="009A6BED" w:rsidP="00507A31">
      <w:pPr>
        <w:jc w:val="both"/>
        <w:rPr>
          <w:color w:val="000000" w:themeColor="text1"/>
          <w:sz w:val="16"/>
          <w:szCs w:val="16"/>
        </w:rPr>
      </w:pPr>
    </w:p>
    <w:p w14:paraId="42AA819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23A305C" w14:textId="77777777" w:rsidR="00537E5F" w:rsidRPr="00507A31" w:rsidRDefault="00537E5F" w:rsidP="00507A31">
      <w:pPr>
        <w:autoSpaceDE w:val="0"/>
        <w:autoSpaceDN w:val="0"/>
        <w:adjustRightInd w:val="0"/>
        <w:jc w:val="both"/>
        <w:rPr>
          <w:iCs/>
          <w:color w:val="000000" w:themeColor="text1"/>
          <w:sz w:val="16"/>
          <w:szCs w:val="16"/>
        </w:rPr>
      </w:pPr>
    </w:p>
    <w:p w14:paraId="2D5DFD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ноября 1930 на парламентских выборах в Польше победу одержал блок беспартийных сторонников правительства. 4 декабря 1930 правительство Ю.Пилсудского ушло в отставку и вновь занимает пост министра обороны (3907,163).</w:t>
      </w:r>
    </w:p>
    <w:p w14:paraId="09C8A90A" w14:textId="77777777" w:rsidR="00537E5F" w:rsidRPr="00507A31" w:rsidRDefault="00537E5F" w:rsidP="00507A31">
      <w:pPr>
        <w:autoSpaceDE w:val="0"/>
        <w:autoSpaceDN w:val="0"/>
        <w:adjustRightInd w:val="0"/>
        <w:jc w:val="both"/>
        <w:rPr>
          <w:color w:val="000000" w:themeColor="text1"/>
          <w:sz w:val="16"/>
          <w:szCs w:val="16"/>
        </w:rPr>
      </w:pPr>
    </w:p>
    <w:p w14:paraId="7209879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2A4D84B" w14:textId="77777777" w:rsidR="00537E5F" w:rsidRPr="00507A31" w:rsidRDefault="00537E5F" w:rsidP="00507A31">
      <w:pPr>
        <w:autoSpaceDE w:val="0"/>
        <w:autoSpaceDN w:val="0"/>
        <w:adjustRightInd w:val="0"/>
        <w:jc w:val="both"/>
        <w:rPr>
          <w:iCs/>
          <w:color w:val="000000" w:themeColor="text1"/>
          <w:sz w:val="16"/>
          <w:szCs w:val="16"/>
        </w:rPr>
      </w:pPr>
    </w:p>
    <w:p w14:paraId="390AA7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17 ноября 1930 начальник Управления ВВС П.И. Баранов, опасаясь задержки в связи с тем, что первые пять экземпляров И-5, которые надлежало отправить на войсковые испытания и в которых выявили многочисленные дефекты, требующие длительной доводки, распорядился отправлять истребители с неустранёнными недостатками. Эти машины проходили войсковые испытания в 73-м авиаотряде в Киеве, ещё несколько самолётов позже попали на дополнительные испытания в НИИ ВВС. По крайней мере один И-5 выделили для статических испытаний в ЦАГИ. Качество машин малой серии оказалось довольно низким. Они имели целый букет конструктивных и производственных недостатков. Выявились вибрации коробки крыльев и передней части фюзеляжа. Крепление частей капота из-за этого разбалтывалось. Недостаточно прочными сочли обтекатель оси шасси, борта и пол кабины и кок винта. Выхлопные газы заносило к пилоту. Так, в НИИ ВВС в общей сложности насчитали 54 дефекта.</w:t>
      </w:r>
    </w:p>
    <w:p w14:paraId="68B7E7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испытаниях в НИИ ВВС И-5 сравнивали с состоявшими в то время на вооружении истребителями И-3, И-4 и купленным во Франции самолётом SPAD 51С1. С ними проводили учебные бои, в которых новая машина демонстрировала своё превосходство. Правда, по отношению к французскому биплану преимущество характеризуется в отчётах как "незначительное", что не делает чести И-5 - ведь SPAD 51С1 у наших соседей поляков состоял на вооружении ещё с 1925 г.</w:t>
      </w:r>
    </w:p>
    <w:p w14:paraId="723360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целом результаты испытаний сочли удовлетворительными, но выпуск И-5 на заводе № 39 прекратили. Дело в том, что это предприятие, носившее к тому времени имя уже покойного В.Р. Менжинского, получило статус опытного и стало базой ЦКБ, которое поглотило почти все конструкторские коллективы авиапромышленности. Производство новых истребителей перенесли на расположенный рядом, на краю того же Центрального аэродрома, завод № 1, прекратив там выпуск И-3 (11997).</w:t>
      </w:r>
    </w:p>
    <w:p w14:paraId="37F7E1CE" w14:textId="77777777" w:rsidR="00537E5F" w:rsidRPr="00507A31" w:rsidRDefault="00537E5F" w:rsidP="00507A31">
      <w:pPr>
        <w:autoSpaceDE w:val="0"/>
        <w:autoSpaceDN w:val="0"/>
        <w:adjustRightInd w:val="0"/>
        <w:jc w:val="both"/>
        <w:rPr>
          <w:color w:val="000000" w:themeColor="text1"/>
          <w:sz w:val="16"/>
          <w:szCs w:val="16"/>
        </w:rPr>
      </w:pPr>
    </w:p>
    <w:p w14:paraId="3B9E80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ноября 1930 письмом 1052с была направлена разбивка весов по ТБ-4 (1077,180).</w:t>
      </w:r>
    </w:p>
    <w:p w14:paraId="4AA1EDAC" w14:textId="77777777" w:rsidR="00537E5F" w:rsidRPr="00507A31" w:rsidRDefault="00537E5F" w:rsidP="00507A31">
      <w:pPr>
        <w:autoSpaceDE w:val="0"/>
        <w:autoSpaceDN w:val="0"/>
        <w:adjustRightInd w:val="0"/>
        <w:jc w:val="both"/>
        <w:rPr>
          <w:color w:val="000000" w:themeColor="text1"/>
          <w:sz w:val="16"/>
          <w:szCs w:val="16"/>
        </w:rPr>
      </w:pPr>
    </w:p>
    <w:p w14:paraId="4127BF9E" w14:textId="77777777" w:rsidR="00283520" w:rsidRPr="00507A31" w:rsidRDefault="00283520" w:rsidP="00507A31">
      <w:pPr>
        <w:pStyle w:val="a3"/>
        <w:autoSpaceDE/>
        <w:autoSpaceDN/>
        <w:adjustRightInd/>
        <w:rPr>
          <w:color w:val="000000" w:themeColor="text1"/>
          <w:lang w:val="ru-RU"/>
        </w:rPr>
      </w:pPr>
      <w:r w:rsidRPr="00507A31">
        <w:rPr>
          <w:color w:val="000000" w:themeColor="text1"/>
          <w:lang w:val="ru-RU"/>
        </w:rPr>
        <w:t>17 ноября 1930 г. Всероссийское Объединение Гражданского Воздушного Флота (ВО ГВФ) во главе с революционером с 1910 г. А.З. Гольцманом во исполнение постановления ЦК ВКП(б) «О развитии Дирижаблестроения в СССР» спешило доложить в Политбюро о выборе ими места для возведения Московской экс</w:t>
      </w:r>
      <w:r w:rsidRPr="00507A31">
        <w:rPr>
          <w:color w:val="000000" w:themeColor="text1"/>
          <w:lang w:val="ru-RU"/>
        </w:rPr>
        <w:softHyphen/>
        <w:t>периментальной базы воздухоплавания... на озере Плещеево у Переяславля (в 140 км от Москвы) (12732).</w:t>
      </w:r>
    </w:p>
    <w:p w14:paraId="2CEEEBF6" w14:textId="77777777" w:rsidR="00283520" w:rsidRPr="00507A31" w:rsidRDefault="00283520" w:rsidP="00507A31">
      <w:pPr>
        <w:pStyle w:val="a3"/>
        <w:autoSpaceDE/>
        <w:autoSpaceDN/>
        <w:adjustRightInd/>
        <w:rPr>
          <w:color w:val="000000" w:themeColor="text1"/>
          <w:lang w:val="ru-RU"/>
        </w:rPr>
      </w:pPr>
    </w:p>
    <w:p w14:paraId="64DF14D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D300341" w14:textId="77777777" w:rsidR="00537E5F" w:rsidRPr="00507A31" w:rsidRDefault="00537E5F" w:rsidP="00507A31">
      <w:pPr>
        <w:autoSpaceDE w:val="0"/>
        <w:autoSpaceDN w:val="0"/>
        <w:adjustRightInd w:val="0"/>
        <w:jc w:val="both"/>
        <w:rPr>
          <w:iCs/>
          <w:color w:val="000000" w:themeColor="text1"/>
          <w:sz w:val="16"/>
          <w:szCs w:val="16"/>
        </w:rPr>
      </w:pPr>
    </w:p>
    <w:p w14:paraId="15F9AB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17-18 ноября 1930 К.Е.В. лично посетил завод Большевик и потом докладывал И.В.С.: “Готовность танка (ТГ) на сегодня составляет 85%. Осталась незавершенной достройка моторной группы, коробки скоростей и ряда дополнительных агрегатов. Образец изготавливается в специальной мастерской, где сегодня занято около 130 рабочих и техников. В настоящее время достройка танка задерживается из-за тяжелой болезни самого Э.Гротте, но наши и полагают, что 15-20 декабря опытный образец все-таки будет закончен...” (4402).</w:t>
      </w:r>
    </w:p>
    <w:p w14:paraId="26336EFD" w14:textId="77777777" w:rsidR="00537E5F" w:rsidRPr="00507A31" w:rsidRDefault="00537E5F" w:rsidP="00507A31">
      <w:pPr>
        <w:autoSpaceDE w:val="0"/>
        <w:autoSpaceDN w:val="0"/>
        <w:adjustRightInd w:val="0"/>
        <w:jc w:val="both"/>
        <w:rPr>
          <w:color w:val="000000" w:themeColor="text1"/>
          <w:sz w:val="16"/>
          <w:szCs w:val="16"/>
        </w:rPr>
      </w:pPr>
    </w:p>
    <w:p w14:paraId="1E359E54" w14:textId="77777777" w:rsidR="00795B1A" w:rsidRPr="00507A31" w:rsidRDefault="00795B1A" w:rsidP="00507A31">
      <w:pPr>
        <w:jc w:val="both"/>
        <w:rPr>
          <w:color w:val="000000" w:themeColor="text1"/>
          <w:sz w:val="16"/>
          <w:szCs w:val="16"/>
        </w:rPr>
      </w:pPr>
      <w:r w:rsidRPr="00507A31">
        <w:rPr>
          <w:color w:val="000000" w:themeColor="text1"/>
          <w:sz w:val="16"/>
          <w:szCs w:val="16"/>
        </w:rPr>
        <w:t>17–18 ноября 1930 г. К. Е. Ворошилов лично посещал завод «Большевик», о чем докладывал И. Сталину: «Готовность танка на сегодня составляет 85%. Осталась незавершенной достройка моторной группы, коробки скоростей и ряда дополнительных агрегатов. Образец изготавливается в специальной мастерской, где занято около 130 рабочих и техников. В настоящее время постройка танка задерживается из-за тяжелой болезни Э. Гроте, но наши инженеры предполагают, что 15–20 декабря опытный образец все-таки будет закончен». Но из-за ненадежной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сварной корпус. Вооружение размещалось в два яруса. В верхней вращающейся башне была установлена 37-мм пушка конструкции Сячентова (Б-3) с возможностью стрельбы по воздушным целям. В нижней неподвижной боевой рубке размещалось 76-мм танковое орудие конструкции Гроте-Сячентова и три пулемета «Максим» (18975).</w:t>
      </w:r>
    </w:p>
    <w:p w14:paraId="0A07BBC2" w14:textId="77777777" w:rsidR="00795B1A" w:rsidRPr="00507A31" w:rsidRDefault="00795B1A" w:rsidP="00507A31">
      <w:pPr>
        <w:jc w:val="both"/>
        <w:rPr>
          <w:color w:val="000000" w:themeColor="text1"/>
          <w:sz w:val="16"/>
          <w:szCs w:val="16"/>
        </w:rPr>
      </w:pPr>
    </w:p>
    <w:p w14:paraId="65BAC0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17—18 ноября 1930 г. на завод «Большевик» прибыл сам К. Ворошилов. Формальным поводом посещения было со</w:t>
      </w:r>
      <w:r w:rsidRPr="00507A31">
        <w:rPr>
          <w:color w:val="000000" w:themeColor="text1"/>
          <w:sz w:val="16"/>
          <w:szCs w:val="16"/>
        </w:rPr>
        <w:softHyphen/>
        <w:t>стояние работ по производству серийных танков, но глав</w:t>
      </w:r>
      <w:r w:rsidRPr="00507A31">
        <w:rPr>
          <w:color w:val="000000" w:themeColor="text1"/>
          <w:sz w:val="16"/>
          <w:szCs w:val="16"/>
        </w:rPr>
        <w:softHyphen/>
        <w:t>ный интерес у наркомвоенмора вызывал именно собирае</w:t>
      </w:r>
      <w:r w:rsidRPr="00507A31">
        <w:rPr>
          <w:color w:val="000000" w:themeColor="text1"/>
          <w:sz w:val="16"/>
          <w:szCs w:val="16"/>
        </w:rPr>
        <w:softHyphen/>
        <w:t>мый ТГ. По результатам посещения К. Ворошилов писал И. Сталину: «Готовность танка на сегодня составляет 85%. Осталась незавершенной достройка моторной группы, коробки скоростей и ряда дополнительных агрегатов. Образец изготав</w:t>
      </w:r>
      <w:r w:rsidRPr="00507A31">
        <w:rPr>
          <w:color w:val="000000" w:themeColor="text1"/>
          <w:sz w:val="16"/>
          <w:szCs w:val="16"/>
        </w:rPr>
        <w:softHyphen/>
        <w:t>ливается в специальной мастерской, где сегодня заняты около 130 рабочих и техников.</w:t>
      </w:r>
    </w:p>
    <w:p w14:paraId="487D32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постройка танка задерживается из-за тяжелой болезни самого Э. Гротте, но наши инженеры предполагают, что 15-20 декабря опытный образец все-таки будет закончен...»</w:t>
      </w:r>
    </w:p>
    <w:p w14:paraId="05F94B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Однако в 1930 г. танк достроен не был. Главная причи</w:t>
      </w:r>
      <w:r w:rsidRPr="00507A31">
        <w:rPr>
          <w:color w:val="000000" w:themeColor="text1"/>
          <w:sz w:val="16"/>
          <w:szCs w:val="16"/>
        </w:rPr>
        <w:softHyphen/>
        <w:t>на этого заключалась в том, что специальный танковый двигатель воздушного охлаждения конструкции Э. Гроте так и не заработал. Несмотря на неоднократно проводи</w:t>
      </w:r>
      <w:r w:rsidRPr="00507A31">
        <w:rPr>
          <w:color w:val="000000" w:themeColor="text1"/>
          <w:sz w:val="16"/>
          <w:szCs w:val="16"/>
        </w:rPr>
        <w:softHyphen/>
        <w:t>мые его доработки, а также подключение для работ по не</w:t>
      </w:r>
      <w:r w:rsidRPr="00507A31">
        <w:rPr>
          <w:color w:val="000000" w:themeColor="text1"/>
          <w:sz w:val="16"/>
          <w:szCs w:val="16"/>
        </w:rPr>
        <w:softHyphen/>
        <w:t>му всех имеющихся двигателистов (над двигателем рабо</w:t>
      </w:r>
      <w:r w:rsidRPr="00507A31">
        <w:rPr>
          <w:color w:val="000000" w:themeColor="text1"/>
          <w:sz w:val="16"/>
          <w:szCs w:val="16"/>
        </w:rPr>
        <w:softHyphen/>
        <w:t>тали А. Микулин, Д. Воронин и др.), доведен он в срок не был (10733,248).</w:t>
      </w:r>
    </w:p>
    <w:p w14:paraId="47CE43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F137377" w14:textId="77777777" w:rsidR="0083553A" w:rsidRPr="00507A31" w:rsidRDefault="0083553A" w:rsidP="00507A31">
      <w:pPr>
        <w:jc w:val="both"/>
        <w:rPr>
          <w:color w:val="000000" w:themeColor="text1"/>
          <w:sz w:val="16"/>
          <w:szCs w:val="16"/>
        </w:rPr>
      </w:pPr>
      <w:r w:rsidRPr="00507A31">
        <w:rPr>
          <w:color w:val="000000" w:themeColor="text1"/>
          <w:sz w:val="16"/>
          <w:szCs w:val="16"/>
        </w:rPr>
        <w:t>17-18 ноября 1930 г. К. Е. Ворошилов лично посещал завод «Большевик», о чём докладывал И. В. Сталину: «Готовность танка на сегодня составляет 85%. Осталась незавершённой достройка моторной группы, коробки скоростей и ряда дополнительных агрегатов. Образец изготавливается в специальной мастерской, где занято около 130 Рабочих и техников. В настоящее время постройка танка задерживается из-за тяжёлой болезни Э. Гроте, но наши инженеры предполагают, что 15-20 декабря опытный образец всё-таки будет закончен». Из-за ненадёжной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 ной корпус. Вооружение размещалось в два яруса. В верхней вращающейся башне была установлена 37-мм пушка конструкции Сячентова, с возможностью стрельбы по воздушным целям. В нижней неподвижной боевой рубке размещалось 76-мм танковое орудие конструкции Гроте-Сячентова и три пулемёта «максим». Главное орудие танка по тому времени являлось самым мощным из существующих подобных пушек. Как показали испытания, по кучности боя и разрывному действию боеприпасов орудие оказалось превосходным. В бортах ТГ были размещены ещё два пулемёта ДТ. Танк имел много оригинальных решений ходовой части. Находясь на полу цеха без гусениц, он свободно перекатывался с места на место усилием 2-3 человек. Экипаж танка состоял из 5 человек: механика-водителя, командира (он же наводчик 37-мм орудия), пулемётчика и двух человек, обслуживающих 76-мм орудие (15132).</w:t>
      </w:r>
    </w:p>
    <w:p w14:paraId="3841704D" w14:textId="77777777" w:rsidR="0083553A" w:rsidRPr="00507A31" w:rsidRDefault="0083553A" w:rsidP="00507A31">
      <w:pPr>
        <w:jc w:val="both"/>
        <w:rPr>
          <w:color w:val="000000" w:themeColor="text1"/>
          <w:sz w:val="16"/>
          <w:szCs w:val="16"/>
        </w:rPr>
      </w:pPr>
    </w:p>
    <w:p w14:paraId="417E0C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ноября 1930 года прорабатывается вопрос о возможности напечатания обвинительного заключения по делу «Промпартии» на немецком языке. В газетах появляются публикации о «Промпартии» и о предстоящем суде (11248).</w:t>
      </w:r>
    </w:p>
    <w:p w14:paraId="1BA5B16E" w14:textId="77777777" w:rsidR="00537E5F" w:rsidRPr="00507A31" w:rsidRDefault="00537E5F" w:rsidP="00507A31">
      <w:pPr>
        <w:autoSpaceDE w:val="0"/>
        <w:autoSpaceDN w:val="0"/>
        <w:adjustRightInd w:val="0"/>
        <w:jc w:val="both"/>
        <w:rPr>
          <w:color w:val="000000" w:themeColor="text1"/>
          <w:sz w:val="16"/>
          <w:szCs w:val="16"/>
        </w:rPr>
      </w:pPr>
    </w:p>
    <w:p w14:paraId="3E947A5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612629FB" w14:textId="77777777" w:rsidR="00537E5F" w:rsidRPr="00507A31" w:rsidRDefault="00537E5F" w:rsidP="00507A31">
      <w:pPr>
        <w:autoSpaceDE w:val="0"/>
        <w:autoSpaceDN w:val="0"/>
        <w:adjustRightInd w:val="0"/>
        <w:jc w:val="both"/>
        <w:rPr>
          <w:iCs/>
          <w:color w:val="000000" w:themeColor="text1"/>
          <w:sz w:val="16"/>
          <w:szCs w:val="16"/>
        </w:rPr>
      </w:pPr>
    </w:p>
    <w:p w14:paraId="10255B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ноября 1930 с Манчжуро-Чжалайнорской операции на</w:t>
      </w:r>
      <w:r w:rsidRPr="00507A31">
        <w:rPr>
          <w:color w:val="000000" w:themeColor="text1"/>
          <w:sz w:val="16"/>
          <w:szCs w:val="16"/>
        </w:rPr>
        <w:softHyphen/>
        <w:t>чались боевые действия на Забайкальском направлении. На рассвете 20 самолетов нанесли бомбовый удар по укреплениям китайцев около города Чжайланор. Со</w:t>
      </w:r>
      <w:r w:rsidRPr="00507A31">
        <w:rPr>
          <w:color w:val="000000" w:themeColor="text1"/>
          <w:sz w:val="16"/>
          <w:szCs w:val="16"/>
        </w:rPr>
        <w:softHyphen/>
        <w:t>ветская авиация штурмовала пехоту и кавалерию про</w:t>
      </w:r>
      <w:r w:rsidRPr="00507A31">
        <w:rPr>
          <w:color w:val="000000" w:themeColor="text1"/>
          <w:sz w:val="16"/>
          <w:szCs w:val="16"/>
        </w:rPr>
        <w:softHyphen/>
        <w:t>тивника. 18 ноября в город вошли части ОКДВА. В тот же день благодаря поддержке авиации удалось занять станцию Манчжурия. Затем авиация активно использо</w:t>
      </w:r>
      <w:r w:rsidRPr="00507A31">
        <w:rPr>
          <w:color w:val="000000" w:themeColor="text1"/>
          <w:sz w:val="16"/>
          <w:szCs w:val="16"/>
        </w:rPr>
        <w:softHyphen/>
        <w:t>валась на Хайларском направлении (10667).</w:t>
      </w:r>
    </w:p>
    <w:p w14:paraId="0442641D" w14:textId="77777777" w:rsidR="00537E5F" w:rsidRPr="00507A31" w:rsidRDefault="00537E5F" w:rsidP="00507A31">
      <w:pPr>
        <w:autoSpaceDE w:val="0"/>
        <w:autoSpaceDN w:val="0"/>
        <w:adjustRightInd w:val="0"/>
        <w:jc w:val="both"/>
        <w:rPr>
          <w:color w:val="000000" w:themeColor="text1"/>
          <w:sz w:val="16"/>
          <w:szCs w:val="16"/>
        </w:rPr>
      </w:pPr>
    </w:p>
    <w:p w14:paraId="020767CF" w14:textId="77777777" w:rsidR="00BB5927" w:rsidRPr="00507A31" w:rsidRDefault="00BB5927"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126174F" w14:textId="77777777" w:rsidR="00BB5927" w:rsidRPr="00507A31" w:rsidRDefault="00BB5927" w:rsidP="00507A31">
      <w:pPr>
        <w:autoSpaceDE w:val="0"/>
        <w:autoSpaceDN w:val="0"/>
        <w:adjustRightInd w:val="0"/>
        <w:jc w:val="both"/>
        <w:rPr>
          <w:iCs/>
          <w:color w:val="000000" w:themeColor="text1"/>
          <w:sz w:val="16"/>
          <w:szCs w:val="16"/>
        </w:rPr>
      </w:pPr>
    </w:p>
    <w:p w14:paraId="0B31A04E" w14:textId="77777777" w:rsidR="00F77CE6" w:rsidRPr="00507A31" w:rsidRDefault="00F77CE6" w:rsidP="00507A31">
      <w:pPr>
        <w:shd w:val="clear" w:color="auto" w:fill="FFFFFF"/>
        <w:jc w:val="both"/>
        <w:rPr>
          <w:color w:val="0070C0"/>
          <w:sz w:val="16"/>
          <w:szCs w:val="16"/>
        </w:rPr>
      </w:pPr>
      <w:r w:rsidRPr="00507A31">
        <w:rPr>
          <w:color w:val="0070C0"/>
          <w:sz w:val="16"/>
          <w:szCs w:val="16"/>
        </w:rPr>
        <w:t>17 ноября 1930 пробег Т-20 выявил большие проблемы с поддерживающими катками. 27 ноября на завод прибыл конструктор с ГКБ ОАТ. После устранения проблемы танк пошел во второй пробег, он состоялся 10 декабря.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09DF96FF" w14:textId="77777777" w:rsidR="00F77CE6" w:rsidRPr="00507A31" w:rsidRDefault="00F77CE6" w:rsidP="00507A31">
      <w:pPr>
        <w:jc w:val="both"/>
        <w:rPr>
          <w:color w:val="0070C0"/>
          <w:sz w:val="16"/>
          <w:szCs w:val="16"/>
        </w:rPr>
      </w:pPr>
    </w:p>
    <w:p w14:paraId="5D592ADC" w14:textId="77777777" w:rsidR="00BB5927" w:rsidRPr="00507A31" w:rsidRDefault="00BB5927" w:rsidP="00507A31">
      <w:pPr>
        <w:jc w:val="both"/>
        <w:rPr>
          <w:color w:val="000000" w:themeColor="text1"/>
          <w:sz w:val="16"/>
          <w:szCs w:val="16"/>
        </w:rPr>
      </w:pPr>
      <w:r w:rsidRPr="00507A31">
        <w:rPr>
          <w:color w:val="000000" w:themeColor="text1"/>
          <w:sz w:val="16"/>
          <w:szCs w:val="16"/>
        </w:rPr>
        <w:t>17 ноября 1930 г.</w:t>
      </w:r>
    </w:p>
    <w:p w14:paraId="40CE1FC0" w14:textId="77777777" w:rsidR="00BB5927" w:rsidRPr="00507A31" w:rsidRDefault="00BB5927" w:rsidP="00507A31">
      <w:pPr>
        <w:jc w:val="both"/>
        <w:rPr>
          <w:color w:val="000000" w:themeColor="text1"/>
          <w:sz w:val="16"/>
          <w:szCs w:val="16"/>
        </w:rPr>
      </w:pPr>
      <w:r w:rsidRPr="00507A31">
        <w:rPr>
          <w:color w:val="000000" w:themeColor="text1"/>
          <w:sz w:val="16"/>
          <w:szCs w:val="16"/>
        </w:rPr>
        <w:t>Показания С. А. Предтеченского по вопросу «ликвидации оружия Промпартии». 17 ноября 1930 г.</w:t>
      </w:r>
    </w:p>
    <w:p w14:paraId="3EA4DCD2" w14:textId="77777777" w:rsidR="00BB5927" w:rsidRPr="00507A31" w:rsidRDefault="00BB5927" w:rsidP="00507A31">
      <w:pPr>
        <w:jc w:val="both"/>
        <w:rPr>
          <w:color w:val="000000" w:themeColor="text1"/>
          <w:sz w:val="16"/>
          <w:szCs w:val="16"/>
        </w:rPr>
      </w:pPr>
      <w:r w:rsidRPr="00507A31">
        <w:rPr>
          <w:color w:val="000000" w:themeColor="text1"/>
          <w:sz w:val="16"/>
          <w:szCs w:val="16"/>
        </w:rPr>
        <w:t>Источник: </w:t>
      </w:r>
    </w:p>
    <w:p w14:paraId="55B8367C" w14:textId="77777777" w:rsidR="00BB5927" w:rsidRPr="00507A31" w:rsidRDefault="00BB592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70F16DB" w14:textId="77777777" w:rsidR="00BB5927" w:rsidRPr="00507A31" w:rsidRDefault="00BB5927" w:rsidP="00507A31">
      <w:pPr>
        <w:jc w:val="both"/>
        <w:rPr>
          <w:color w:val="000000" w:themeColor="text1"/>
          <w:sz w:val="16"/>
          <w:szCs w:val="16"/>
        </w:rPr>
      </w:pPr>
      <w:r w:rsidRPr="00507A31">
        <w:rPr>
          <w:color w:val="000000" w:themeColor="text1"/>
          <w:sz w:val="16"/>
          <w:szCs w:val="16"/>
        </w:rPr>
        <w:t>Архив: </w:t>
      </w:r>
    </w:p>
    <w:p w14:paraId="38EC80F0" w14:textId="77777777" w:rsidR="00BB5927" w:rsidRPr="00507A31" w:rsidRDefault="00BB5927" w:rsidP="00507A31">
      <w:pPr>
        <w:jc w:val="both"/>
        <w:rPr>
          <w:color w:val="000000" w:themeColor="text1"/>
          <w:sz w:val="16"/>
          <w:szCs w:val="16"/>
        </w:rPr>
      </w:pPr>
      <w:r w:rsidRPr="00507A31">
        <w:rPr>
          <w:color w:val="000000" w:themeColor="text1"/>
          <w:sz w:val="16"/>
          <w:szCs w:val="16"/>
        </w:rPr>
        <w:t>ЦА ФСБ РФ. Ф. Р-42280. Т. 2. Л. 33-35 об.</w:t>
      </w:r>
    </w:p>
    <w:p w14:paraId="641B4590" w14:textId="77777777" w:rsidR="00BB5927" w:rsidRPr="00507A31" w:rsidRDefault="00BB5927" w:rsidP="00507A31">
      <w:pPr>
        <w:jc w:val="both"/>
        <w:rPr>
          <w:color w:val="000000" w:themeColor="text1"/>
          <w:sz w:val="16"/>
          <w:szCs w:val="16"/>
        </w:rPr>
      </w:pPr>
      <w:r w:rsidRPr="00507A31">
        <w:rPr>
          <w:color w:val="000000" w:themeColor="text1"/>
          <w:sz w:val="16"/>
          <w:szCs w:val="16"/>
        </w:rPr>
        <w:t>17 ноября 1930 г.</w:t>
      </w:r>
    </w:p>
    <w:p w14:paraId="05487F01" w14:textId="77777777" w:rsidR="00BB5927" w:rsidRPr="00507A31" w:rsidRDefault="00BB5927" w:rsidP="00507A31">
      <w:pPr>
        <w:jc w:val="both"/>
        <w:rPr>
          <w:color w:val="000000" w:themeColor="text1"/>
          <w:sz w:val="16"/>
          <w:szCs w:val="16"/>
        </w:rPr>
      </w:pPr>
      <w:r w:rsidRPr="00507A31">
        <w:rPr>
          <w:color w:val="000000" w:themeColor="text1"/>
          <w:sz w:val="16"/>
          <w:szCs w:val="16"/>
        </w:rPr>
        <w:t>СТРОГО СЕКРЕТНО</w:t>
      </w:r>
    </w:p>
    <w:p w14:paraId="493D0D19" w14:textId="77777777" w:rsidR="00BB5927" w:rsidRPr="00507A31" w:rsidRDefault="00BB5927" w:rsidP="00507A31">
      <w:pPr>
        <w:jc w:val="both"/>
        <w:rPr>
          <w:color w:val="000000" w:themeColor="text1"/>
          <w:sz w:val="16"/>
          <w:szCs w:val="16"/>
        </w:rPr>
      </w:pPr>
      <w:r w:rsidRPr="00507A31">
        <w:rPr>
          <w:color w:val="000000" w:themeColor="text1"/>
          <w:sz w:val="16"/>
          <w:szCs w:val="16"/>
        </w:rPr>
        <w:t>ПРОТОКОЛ ДОПРОСА ПРЕДТЕЧЕНСКОГО Сергея Алексеевича</w:t>
      </w:r>
    </w:p>
    <w:p w14:paraId="462C59B7" w14:textId="77777777" w:rsidR="00BB5927" w:rsidRPr="00507A31" w:rsidRDefault="00BB5927" w:rsidP="00507A31">
      <w:pPr>
        <w:jc w:val="both"/>
        <w:rPr>
          <w:color w:val="000000" w:themeColor="text1"/>
          <w:sz w:val="16"/>
          <w:szCs w:val="16"/>
        </w:rPr>
      </w:pPr>
      <w:r w:rsidRPr="00507A31">
        <w:rPr>
          <w:color w:val="000000" w:themeColor="text1"/>
          <w:sz w:val="16"/>
          <w:szCs w:val="16"/>
        </w:rPr>
        <w:lastRenderedPageBreak/>
        <w:t>от 17/XI-1930 года.</w:t>
      </w:r>
    </w:p>
    <w:p w14:paraId="2E7A8EF5" w14:textId="77777777" w:rsidR="00BB5927" w:rsidRPr="00507A31" w:rsidRDefault="00BB5927" w:rsidP="00507A31">
      <w:pPr>
        <w:jc w:val="both"/>
        <w:rPr>
          <w:color w:val="000000" w:themeColor="text1"/>
          <w:sz w:val="16"/>
          <w:szCs w:val="16"/>
        </w:rPr>
      </w:pPr>
      <w:r w:rsidRPr="00507A31">
        <w:rPr>
          <w:color w:val="000000" w:themeColor="text1"/>
          <w:sz w:val="16"/>
          <w:szCs w:val="16"/>
        </w:rPr>
        <w:t>Допросил: ПОМ/НАЧ. 4 ОТДЕЛЕНИЯ СООГПУ — тов.ЧЕРТОК.</w:t>
      </w:r>
    </w:p>
    <w:p w14:paraId="2ECB1FCD" w14:textId="77777777" w:rsidR="00BB5927" w:rsidRPr="00507A31" w:rsidRDefault="00BB5927" w:rsidP="00507A31">
      <w:pPr>
        <w:jc w:val="both"/>
        <w:rPr>
          <w:color w:val="000000" w:themeColor="text1"/>
          <w:sz w:val="16"/>
          <w:szCs w:val="16"/>
        </w:rPr>
      </w:pPr>
      <w:r w:rsidRPr="00507A31">
        <w:rPr>
          <w:color w:val="000000" w:themeColor="text1"/>
          <w:sz w:val="16"/>
          <w:szCs w:val="16"/>
        </w:rPr>
        <w:t>Продумав до конца занятые мною позиции в вопросе ликвидации оружия боевой организации «Промпартии», я с полной искренностью должен констатировать их полную несостоятельность и противоречие моему искреннему желанию открыть следствию всю правду до конца.</w:t>
      </w:r>
    </w:p>
    <w:p w14:paraId="418FCA4C" w14:textId="77777777" w:rsidR="00BB5927" w:rsidRPr="00507A31" w:rsidRDefault="00BB5927" w:rsidP="00507A31">
      <w:pPr>
        <w:jc w:val="both"/>
        <w:rPr>
          <w:color w:val="000000" w:themeColor="text1"/>
          <w:sz w:val="16"/>
          <w:szCs w:val="16"/>
        </w:rPr>
      </w:pPr>
      <w:r w:rsidRPr="00507A31">
        <w:rPr>
          <w:color w:val="000000" w:themeColor="text1"/>
          <w:sz w:val="16"/>
          <w:szCs w:val="16"/>
        </w:rPr>
        <w:t>По мотивам личных весьма тяжких переживаний и колебаний я дал за последнее время ряд показаний неточных и несоответствующих действительности.</w:t>
      </w:r>
    </w:p>
    <w:p w14:paraId="4450A2BF" w14:textId="77777777" w:rsidR="00BB5927" w:rsidRPr="00507A31" w:rsidRDefault="00BB5927" w:rsidP="00507A31">
      <w:pPr>
        <w:jc w:val="both"/>
        <w:rPr>
          <w:color w:val="000000" w:themeColor="text1"/>
          <w:sz w:val="16"/>
          <w:szCs w:val="16"/>
        </w:rPr>
      </w:pPr>
      <w:r w:rsidRPr="00507A31">
        <w:rPr>
          <w:color w:val="000000" w:themeColor="text1"/>
          <w:sz w:val="16"/>
          <w:szCs w:val="16"/>
        </w:rPr>
        <w:t>Настоящим своим показанием я кладу конец своим колебаниям, со всей беспощадностью вскрываю свои тяжкие преступления до конца и заканчиваю историю ликвидации оружия боевой организации Промпартии так, как она была на самом деле.</w:t>
      </w:r>
    </w:p>
    <w:p w14:paraId="64804AC2" w14:textId="77777777" w:rsidR="00BB5927" w:rsidRPr="00507A31" w:rsidRDefault="00BB5927" w:rsidP="00507A31">
      <w:pPr>
        <w:jc w:val="both"/>
        <w:rPr>
          <w:color w:val="000000" w:themeColor="text1"/>
          <w:sz w:val="16"/>
          <w:szCs w:val="16"/>
        </w:rPr>
      </w:pPr>
      <w:r w:rsidRPr="00507A31">
        <w:rPr>
          <w:color w:val="000000" w:themeColor="text1"/>
          <w:sz w:val="16"/>
          <w:szCs w:val="16"/>
        </w:rPr>
        <w:t>В своих предыдущих показаниях я достаточно подробно останавливался на тех опасениях, какие возникли в кругах Промпартии в связи с арестом В. А. ЛАРИЧЕВА. После речи ОРДЖ[О]НИКИДЗЕ на XVI съезде ВКП(б) подтвердились доходившие до нас ранее слухи о том, что ЛАРИЧЕВ стал на путь раскаяния и дает откровенные показания. Стало ясно, что провал всей организации не за горами. Л.К РАМЗИН с. большой тревогой оценивал положение дела. В ряде переговоров с ним мы пришли к выводу, что наиболее опасной уликой против деятельности Промпартии будет оружие, если оно попадет в качестве вещественного доказательства в руки соввласти. Мы пришли к единодушному решению, что предложенные в свое время методы ликвидации оружия несовершенны и не гарантируют от разоблачений в случае провала организации.</w:t>
      </w:r>
    </w:p>
    <w:p w14:paraId="28C0D85C" w14:textId="77777777" w:rsidR="00BB5927" w:rsidRPr="00507A31" w:rsidRDefault="00BB5927" w:rsidP="00507A31">
      <w:pPr>
        <w:jc w:val="both"/>
        <w:rPr>
          <w:color w:val="000000" w:themeColor="text1"/>
          <w:sz w:val="16"/>
          <w:szCs w:val="16"/>
        </w:rPr>
      </w:pPr>
      <w:r w:rsidRPr="00507A31">
        <w:rPr>
          <w:color w:val="000000" w:themeColor="text1"/>
          <w:sz w:val="16"/>
          <w:szCs w:val="16"/>
        </w:rPr>
        <w:t>Поэтому, исходя из общей оценки положения, Л. К. РАМЗИН предложил передать оружие французскому посольству в Москве, взяв на себя принципиальную сторону вопроса — договориться с КЮФЕРОМ.</w:t>
      </w:r>
    </w:p>
    <w:p w14:paraId="0938F9C6" w14:textId="77777777" w:rsidR="00BB5927" w:rsidRPr="00507A31" w:rsidRDefault="00BB5927" w:rsidP="00507A31">
      <w:pPr>
        <w:jc w:val="both"/>
        <w:rPr>
          <w:color w:val="000000" w:themeColor="text1"/>
          <w:sz w:val="16"/>
          <w:szCs w:val="16"/>
        </w:rPr>
      </w:pPr>
      <w:r w:rsidRPr="00507A31">
        <w:rPr>
          <w:color w:val="000000" w:themeColor="text1"/>
          <w:sz w:val="16"/>
          <w:szCs w:val="16"/>
        </w:rPr>
        <w:t>Это решение было принято в самом конце июля т[екущего] года, уже после ареста ряда работников Госплана.</w:t>
      </w:r>
    </w:p>
    <w:p w14:paraId="69D2C4D1" w14:textId="77777777" w:rsidR="00BB5927" w:rsidRPr="00507A31" w:rsidRDefault="00BB5927" w:rsidP="00507A31">
      <w:pPr>
        <w:jc w:val="both"/>
        <w:rPr>
          <w:color w:val="000000" w:themeColor="text1"/>
          <w:sz w:val="16"/>
          <w:szCs w:val="16"/>
        </w:rPr>
      </w:pPr>
      <w:r w:rsidRPr="00507A31">
        <w:rPr>
          <w:color w:val="000000" w:themeColor="text1"/>
          <w:sz w:val="16"/>
          <w:szCs w:val="16"/>
        </w:rPr>
        <w:t>В самых первых числах августа Л.К. РАМЗИН сообщил мне, что соглашение с КЮФЕРОМ достигнуто, посольство не возражает против оказания Промпартии помощи в деле сокрытия оружия. Одновременно он просил меня договориться непосредственно с КЮФЕРОМ о дне и месте свидания для передачи первой партии и сказал, что КЮФЕР им предупрежден и знает, что на меня возложена передача ему оружия. Л. К. РАМЗИН дал мне телефон, по которому я должен был вызвать КЮФЕРА и с ним договориться. Номер телефона я записал на отдельной записке, которую уничтожил немедленно по выполнении поручения передачи. Номер телефона не помню. По этому телефону я мог говорить с КЮФЕРОМ по нечетным числам месяца между 5 и 6 вечера.</w:t>
      </w:r>
    </w:p>
    <w:p w14:paraId="55D5865A" w14:textId="77777777" w:rsidR="00BB5927" w:rsidRPr="00507A31" w:rsidRDefault="00BB5927" w:rsidP="00507A31">
      <w:pPr>
        <w:jc w:val="both"/>
        <w:rPr>
          <w:color w:val="000000" w:themeColor="text1"/>
          <w:sz w:val="16"/>
          <w:szCs w:val="16"/>
        </w:rPr>
      </w:pPr>
      <w:r w:rsidRPr="00507A31">
        <w:rPr>
          <w:color w:val="000000" w:themeColor="text1"/>
          <w:sz w:val="16"/>
          <w:szCs w:val="16"/>
        </w:rPr>
        <w:t>В конце февраля — начале марта т[екущего]/года я познакомился с КЮФЕРОМ на квартире у Л. К. РАМЗИНА. Я пришел к Л. К. РАМЗИНУ к самому концу беседы его с КЮФЕРОМ, и поэтому содержания ее я не знаю.</w:t>
      </w:r>
    </w:p>
    <w:p w14:paraId="7B901145" w14:textId="77777777" w:rsidR="00BB5927" w:rsidRPr="00507A31" w:rsidRDefault="00BB5927" w:rsidP="00507A31">
      <w:pPr>
        <w:jc w:val="both"/>
        <w:rPr>
          <w:color w:val="000000" w:themeColor="text1"/>
          <w:sz w:val="16"/>
          <w:szCs w:val="16"/>
        </w:rPr>
      </w:pPr>
      <w:r w:rsidRPr="00507A31">
        <w:rPr>
          <w:color w:val="000000" w:themeColor="text1"/>
          <w:sz w:val="16"/>
          <w:szCs w:val="16"/>
        </w:rPr>
        <w:t>Девятого или одиннадцатого августа, точно не помню, я впервые позвонил КЮФЕРУ и получил от него предложение встретиться с ним 12-го августа в 5 часов вечера на Казанском вокзале в буфете. Утром в этот день у себя в служебном кабинете в Теплотехническом Ин-те я получил от Г. Ю. КОЗЛИНСКОГО переданные ему мною в мае т[екущего]/года 3 бомбы и 3 револьвера, упакованные в один сверток. С этим свертком уехал в середине дня в бюро рационализации при Институте — Юшков [пер.,] 6, где получил второй такой же сверток от Е. Ф. ЕВРЕИНОВА с тремя бомбами и тремя револьверами, переданными мною ему также в мае т[екущего]/года. Эти два свертка на такси я доставил к 5 вечера на Казанский вокзал и передал их там ожидавшему меня за одним из столиков КЮФЕРУ. Я просидел за столом несколько минут, условившись, что 16-го августа привезу для передачи вторую партию оружия на этом же вокзале и в это же время. Затем я ушел, сел на трамвай и вернулся домой.</w:t>
      </w:r>
    </w:p>
    <w:p w14:paraId="60F37774" w14:textId="77777777" w:rsidR="00BB5927" w:rsidRPr="00507A31" w:rsidRDefault="00BB5927" w:rsidP="00507A31">
      <w:pPr>
        <w:jc w:val="both"/>
        <w:rPr>
          <w:color w:val="000000" w:themeColor="text1"/>
          <w:sz w:val="16"/>
          <w:szCs w:val="16"/>
        </w:rPr>
      </w:pPr>
      <w:r w:rsidRPr="00507A31">
        <w:rPr>
          <w:color w:val="000000" w:themeColor="text1"/>
          <w:sz w:val="16"/>
          <w:szCs w:val="16"/>
        </w:rPr>
        <w:t>16 августа, уже после ареста Л. К. РАМЗИНА, в течение рабочего дня, я получил от Н. Ф. БУЛАШЕВИЧ в (Юшков пер.) РЭТе, находившиеся у него на хранении 8 бомб и 5 револьверов, Н. Н. РЕВОКАТОВА — 6 бомб и 6 револьверов, переданные ему и Н. А. ДОЛЛЕЖАЛЬ в самых первых числах июля т[екущего]/года. Я просил Н. Ф. БУЛАШЕВИЧА упаковать все это в обыкновенный фибровый чемодан, употребляемый для перевозки измерительных приборов[,] и держать до моего возвращения и уехал в Институт.</w:t>
      </w:r>
    </w:p>
    <w:p w14:paraId="773A92DA" w14:textId="77777777" w:rsidR="00BB5927" w:rsidRPr="00507A31" w:rsidRDefault="00BB5927" w:rsidP="00507A31">
      <w:pPr>
        <w:jc w:val="both"/>
        <w:rPr>
          <w:color w:val="000000" w:themeColor="text1"/>
          <w:sz w:val="16"/>
          <w:szCs w:val="16"/>
        </w:rPr>
      </w:pPr>
      <w:r w:rsidRPr="00507A31">
        <w:rPr>
          <w:color w:val="000000" w:themeColor="text1"/>
          <w:sz w:val="16"/>
          <w:szCs w:val="16"/>
        </w:rPr>
        <w:t>Около четырех часов дня я вернулся обратно и, осмотрев чемодан, сходил лично за такси и увез его на Казанский вокзал, где и передал КЮФЕРУ таким же порядком, как и в первый раз. Ни Н. Ф. БУЛАШЕВИЧ[А], ни Н. Н. РЕВОКАТОВА я не ознакомил с тем, куда увожу оружие.</w:t>
      </w:r>
    </w:p>
    <w:p w14:paraId="1D209CC0" w14:textId="77777777" w:rsidR="00BB5927" w:rsidRPr="00507A31" w:rsidRDefault="00BB5927" w:rsidP="00507A31">
      <w:pPr>
        <w:jc w:val="both"/>
        <w:rPr>
          <w:color w:val="000000" w:themeColor="text1"/>
          <w:sz w:val="16"/>
          <w:szCs w:val="16"/>
        </w:rPr>
      </w:pPr>
      <w:r w:rsidRPr="00507A31">
        <w:rPr>
          <w:color w:val="000000" w:themeColor="text1"/>
          <w:sz w:val="16"/>
          <w:szCs w:val="16"/>
        </w:rPr>
        <w:t>По понятным соображениям, я никому не говорил о судьбе полученного мною обратно оружия. Е. Ф. ЕВРЕИНОВУ, заходившему ко мне на квартиру через несколько дней после ареста Л. К. РАМЗИНА и интересовавшемуся судьбой оружия, я в присутствии Ю. О. НОВИ сказал в весьма общей и неопределенной форме, что оружие отправлено в надежное место и находится вне пределов досягаемости соввласти, и заботиться поэтому о нем не следует.</w:t>
      </w:r>
    </w:p>
    <w:p w14:paraId="072A266E" w14:textId="77777777" w:rsidR="00BB5927" w:rsidRPr="00507A31" w:rsidRDefault="00BB5927" w:rsidP="00507A31">
      <w:pPr>
        <w:jc w:val="both"/>
        <w:rPr>
          <w:color w:val="000000" w:themeColor="text1"/>
          <w:sz w:val="16"/>
          <w:szCs w:val="16"/>
        </w:rPr>
      </w:pPr>
      <w:r w:rsidRPr="00507A31">
        <w:rPr>
          <w:color w:val="000000" w:themeColor="text1"/>
          <w:sz w:val="16"/>
          <w:szCs w:val="16"/>
        </w:rPr>
        <w:t>Переданное мною в начале августа в кабинете А. Н. МЮЛЛЕР[А] и в его присутствии оружие в количестве 7 бомб казенного образца и 5 револьверов П. М. СОЛОВЬЕВУ, мне получить обратно не удалось, т. к. последний вскоре уехал в отпуск и до дня ареста я с ним не виделся и о судьбе оружия поэтому ничего не знаю.</w:t>
      </w:r>
    </w:p>
    <w:p w14:paraId="7710F1AB" w14:textId="77777777" w:rsidR="00BB5927" w:rsidRPr="00507A31" w:rsidRDefault="00BB5927" w:rsidP="00507A31">
      <w:pPr>
        <w:jc w:val="both"/>
        <w:rPr>
          <w:color w:val="000000" w:themeColor="text1"/>
          <w:sz w:val="16"/>
          <w:szCs w:val="16"/>
        </w:rPr>
      </w:pPr>
      <w:r w:rsidRPr="00507A31">
        <w:rPr>
          <w:color w:val="000000" w:themeColor="text1"/>
          <w:sz w:val="16"/>
          <w:szCs w:val="16"/>
        </w:rPr>
        <w:t>Оставшиеся у А. Н. МЮЛЛЕРА 3 бомбы казенного образца были им, по его словам, уничтожены рекомендованным мною ему способом, сводившему[ся] к разрядке последних и делению их корпусов на мелкие части.</w:t>
      </w:r>
    </w:p>
    <w:p w14:paraId="601437A9" w14:textId="77777777" w:rsidR="00BB5927" w:rsidRPr="00507A31" w:rsidRDefault="00BB5927" w:rsidP="00507A31">
      <w:pPr>
        <w:jc w:val="both"/>
        <w:rPr>
          <w:color w:val="000000" w:themeColor="text1"/>
          <w:sz w:val="16"/>
          <w:szCs w:val="16"/>
        </w:rPr>
      </w:pPr>
      <w:r w:rsidRPr="00507A31">
        <w:rPr>
          <w:color w:val="000000" w:themeColor="text1"/>
          <w:sz w:val="16"/>
          <w:szCs w:val="16"/>
        </w:rPr>
        <w:t>На этом заканчиваю историю ликвидации оружия Промпартии, к своему участию в боевой организации я прибавлю связь, правда, кратковременную и по отдельному заданию, но все же связь с посольством иностранной державы. Последнее обстоятельство и послужило основной причиной столь долгих и мучительных колебаний в моих предыдущих показаниях.</w:t>
      </w:r>
    </w:p>
    <w:p w14:paraId="02A8490E" w14:textId="77777777" w:rsidR="00BB5927" w:rsidRPr="00507A31" w:rsidRDefault="00BB5927" w:rsidP="00507A31">
      <w:pPr>
        <w:jc w:val="both"/>
        <w:rPr>
          <w:color w:val="000000" w:themeColor="text1"/>
          <w:sz w:val="16"/>
          <w:szCs w:val="16"/>
        </w:rPr>
      </w:pPr>
      <w:r w:rsidRPr="00507A31">
        <w:rPr>
          <w:color w:val="000000" w:themeColor="text1"/>
          <w:sz w:val="16"/>
          <w:szCs w:val="16"/>
        </w:rPr>
        <w:t>С. А. ПРЕДТЕЧЕНСКИЙ.</w:t>
      </w:r>
    </w:p>
    <w:p w14:paraId="0D075ED4" w14:textId="77777777" w:rsidR="00BB5927" w:rsidRPr="00507A31" w:rsidRDefault="00BB5927" w:rsidP="00507A31">
      <w:pPr>
        <w:jc w:val="both"/>
        <w:rPr>
          <w:color w:val="000000" w:themeColor="text1"/>
          <w:sz w:val="16"/>
          <w:szCs w:val="16"/>
        </w:rPr>
      </w:pPr>
      <w:r w:rsidRPr="00507A31">
        <w:rPr>
          <w:color w:val="000000" w:themeColor="text1"/>
          <w:sz w:val="16"/>
          <w:szCs w:val="16"/>
        </w:rPr>
        <w:t>Допросил: ПОМ/НАЧ. 4 ОТД[ЕЛЕНИЯ] СООГПУ (ЧЕРТОК)</w:t>
      </w:r>
    </w:p>
    <w:p w14:paraId="6ECD9C18" w14:textId="77777777" w:rsidR="00BB5927" w:rsidRPr="00507A31" w:rsidRDefault="00BB5927" w:rsidP="00507A31">
      <w:pPr>
        <w:jc w:val="both"/>
        <w:rPr>
          <w:color w:val="000000" w:themeColor="text1"/>
          <w:sz w:val="16"/>
          <w:szCs w:val="16"/>
        </w:rPr>
      </w:pPr>
      <w:r w:rsidRPr="00507A31">
        <w:rPr>
          <w:color w:val="000000" w:themeColor="text1"/>
          <w:sz w:val="16"/>
          <w:szCs w:val="16"/>
        </w:rPr>
        <w:t>Д. 356. Л. 27-30. Заверенная машинописная копия того времени. Показания С. А. Предтеченского наряду с другими материалами следствия по «делу Промпартии» были направлены 25 октября 1930 г. в ЦК ВКП(б) на имя И. В. Сталина (см. легенду к док. №356-1).</w:t>
      </w:r>
    </w:p>
    <w:p w14:paraId="60EA3493" w14:textId="77777777" w:rsidR="00BB5927" w:rsidRPr="00507A31" w:rsidRDefault="00BB5927" w:rsidP="00507A31">
      <w:pPr>
        <w:jc w:val="both"/>
        <w:rPr>
          <w:color w:val="000000" w:themeColor="text1"/>
          <w:sz w:val="16"/>
          <w:szCs w:val="16"/>
        </w:rPr>
      </w:pPr>
      <w:r w:rsidRPr="00507A31">
        <w:rPr>
          <w:color w:val="000000" w:themeColor="text1"/>
          <w:sz w:val="16"/>
          <w:szCs w:val="16"/>
        </w:rPr>
        <w:t>ЦА ФСБ РФ. Ф. Р-42280. Т. 2. Л. 33-35 об. Рукописный подлинник протокола допроса, написанный С. А. Предтеченским собственноручно. Подпись Черток на Л. 35 об. — автограф (18622).</w:t>
      </w:r>
    </w:p>
    <w:p w14:paraId="13EFE3AA" w14:textId="77777777" w:rsidR="00BB5927" w:rsidRPr="00507A31" w:rsidRDefault="00BB5927" w:rsidP="00507A31">
      <w:pPr>
        <w:jc w:val="both"/>
        <w:rPr>
          <w:color w:val="000000" w:themeColor="text1"/>
          <w:sz w:val="16"/>
          <w:szCs w:val="16"/>
        </w:rPr>
      </w:pPr>
    </w:p>
    <w:p w14:paraId="74FDB8B0" w14:textId="77777777" w:rsidR="00BB5927" w:rsidRPr="00507A31" w:rsidRDefault="00BB5927" w:rsidP="00507A31">
      <w:pPr>
        <w:jc w:val="both"/>
        <w:rPr>
          <w:color w:val="000000" w:themeColor="text1"/>
          <w:sz w:val="16"/>
          <w:szCs w:val="16"/>
        </w:rPr>
      </w:pPr>
      <w:r w:rsidRPr="00507A31">
        <w:rPr>
          <w:color w:val="000000" w:themeColor="text1"/>
          <w:sz w:val="16"/>
          <w:szCs w:val="16"/>
        </w:rPr>
        <w:t>17 ноября 1930 г.</w:t>
      </w:r>
    </w:p>
    <w:p w14:paraId="44A3202A" w14:textId="77777777" w:rsidR="00BB5927" w:rsidRPr="00507A31" w:rsidRDefault="00BB5927" w:rsidP="00507A31">
      <w:pPr>
        <w:jc w:val="both"/>
        <w:rPr>
          <w:color w:val="000000" w:themeColor="text1"/>
          <w:sz w:val="16"/>
          <w:szCs w:val="16"/>
        </w:rPr>
      </w:pPr>
      <w:r w:rsidRPr="00507A31">
        <w:rPr>
          <w:color w:val="000000" w:themeColor="text1"/>
          <w:sz w:val="16"/>
          <w:szCs w:val="16"/>
        </w:rPr>
        <w:t>Показания А. А. Горева о «вредительской организации» в Госплане СССР. Приложение к письму В. Р. Менжинского и Г. Е. Прокофьева от 17 ноября 1930 г.</w:t>
      </w:r>
    </w:p>
    <w:p w14:paraId="4115B836" w14:textId="77777777" w:rsidR="00BB5927" w:rsidRPr="00507A31" w:rsidRDefault="00BB5927" w:rsidP="00507A31">
      <w:pPr>
        <w:jc w:val="both"/>
        <w:rPr>
          <w:color w:val="000000" w:themeColor="text1"/>
          <w:sz w:val="16"/>
          <w:szCs w:val="16"/>
        </w:rPr>
      </w:pPr>
      <w:r w:rsidRPr="00507A31">
        <w:rPr>
          <w:color w:val="000000" w:themeColor="text1"/>
          <w:sz w:val="16"/>
          <w:szCs w:val="16"/>
        </w:rPr>
        <w:t>Источник: </w:t>
      </w:r>
    </w:p>
    <w:p w14:paraId="7948B7FF" w14:textId="77777777" w:rsidR="00BB5927" w:rsidRPr="00507A31" w:rsidRDefault="00BB592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C79D4E" w14:textId="77777777" w:rsidR="00BB5927" w:rsidRPr="00507A31" w:rsidRDefault="00BB5927" w:rsidP="00507A31">
      <w:pPr>
        <w:jc w:val="both"/>
        <w:rPr>
          <w:color w:val="000000" w:themeColor="text1"/>
          <w:sz w:val="16"/>
          <w:szCs w:val="16"/>
        </w:rPr>
      </w:pPr>
      <w:r w:rsidRPr="00507A31">
        <w:rPr>
          <w:color w:val="000000" w:themeColor="text1"/>
          <w:sz w:val="16"/>
          <w:szCs w:val="16"/>
        </w:rPr>
        <w:t>от 17 ноября 1930 г.</w:t>
      </w:r>
    </w:p>
    <w:p w14:paraId="05EABA4B" w14:textId="77777777" w:rsidR="00BB5927" w:rsidRPr="00507A31" w:rsidRDefault="00BB5927" w:rsidP="00507A31">
      <w:pPr>
        <w:jc w:val="both"/>
        <w:rPr>
          <w:color w:val="000000" w:themeColor="text1"/>
          <w:sz w:val="16"/>
          <w:szCs w:val="16"/>
        </w:rPr>
      </w:pPr>
      <w:r w:rsidRPr="00507A31">
        <w:rPr>
          <w:color w:val="000000" w:themeColor="text1"/>
          <w:sz w:val="16"/>
          <w:szCs w:val="16"/>
        </w:rPr>
        <w:t>СОВЕРШЕННО СЕКРЕТНО.</w:t>
      </w:r>
    </w:p>
    <w:p w14:paraId="18F97397" w14:textId="77777777" w:rsidR="00BB5927" w:rsidRPr="00507A31" w:rsidRDefault="00BB5927" w:rsidP="00507A31">
      <w:pPr>
        <w:jc w:val="both"/>
        <w:rPr>
          <w:color w:val="000000" w:themeColor="text1"/>
          <w:sz w:val="16"/>
          <w:szCs w:val="16"/>
        </w:rPr>
      </w:pPr>
      <w:r w:rsidRPr="00507A31">
        <w:rPr>
          <w:color w:val="000000" w:themeColor="text1"/>
          <w:sz w:val="16"/>
          <w:szCs w:val="16"/>
        </w:rPr>
        <w:t>ПРОТОКОЛ ДОПРОСА</w:t>
      </w:r>
    </w:p>
    <w:p w14:paraId="34D41F01" w14:textId="77777777" w:rsidR="00BB5927" w:rsidRPr="00507A31" w:rsidRDefault="00BB5927" w:rsidP="00507A31">
      <w:pPr>
        <w:jc w:val="both"/>
        <w:rPr>
          <w:color w:val="000000" w:themeColor="text1"/>
          <w:sz w:val="16"/>
          <w:szCs w:val="16"/>
        </w:rPr>
      </w:pPr>
      <w:r w:rsidRPr="00507A31">
        <w:rPr>
          <w:color w:val="000000" w:themeColor="text1"/>
          <w:sz w:val="16"/>
          <w:szCs w:val="16"/>
        </w:rPr>
        <w:t>профессора ГОРЕВА Александра Александровича</w:t>
      </w:r>
    </w:p>
    <w:p w14:paraId="48B63737" w14:textId="77777777" w:rsidR="00BB5927" w:rsidRPr="00507A31" w:rsidRDefault="00BB5927" w:rsidP="00507A31">
      <w:pPr>
        <w:jc w:val="both"/>
        <w:rPr>
          <w:color w:val="000000" w:themeColor="text1"/>
          <w:sz w:val="16"/>
          <w:szCs w:val="16"/>
        </w:rPr>
      </w:pPr>
      <w:r w:rsidRPr="00507A31">
        <w:rPr>
          <w:color w:val="000000" w:themeColor="text1"/>
          <w:sz w:val="16"/>
          <w:szCs w:val="16"/>
        </w:rPr>
        <w:t>от 14/Х-30 г.</w:t>
      </w:r>
    </w:p>
    <w:p w14:paraId="11710842" w14:textId="77777777" w:rsidR="00BB5927" w:rsidRPr="00507A31" w:rsidRDefault="00BB5927" w:rsidP="00507A31">
      <w:pPr>
        <w:jc w:val="both"/>
        <w:rPr>
          <w:color w:val="000000" w:themeColor="text1"/>
          <w:sz w:val="16"/>
          <w:szCs w:val="16"/>
        </w:rPr>
      </w:pPr>
      <w:r w:rsidRPr="00507A31">
        <w:rPr>
          <w:color w:val="000000" w:themeColor="text1"/>
          <w:sz w:val="16"/>
          <w:szCs w:val="16"/>
        </w:rPr>
        <w:t>Настоящим показываю, что начиная с 1924 года я состоял в контрреволюционной вредительской организации Госплана СССР, о существовании которой я впервые узнал от инж. В. А. ЛАРИЧЕВА. В течение ряда бесед с ним мы пришли к общим выводам о том, что советская система хозяйства не может дать благих результатов для такой страны, как Россия и что спасение следует искать в изменении самого политического строя страны. После этого ЛАРИЧЕВ осведомил меня о том, что в Госплане существует организация, которая ставит себе задачей путем влияния на плановую работу выявить ряд диспропорций между отдельными отраслями народного хозяйства, приводя страну к перманентным кризисам в области производства и потребления, скомпрометировав таким образом самую идею планового социалистического хозяйства. ЛАРИЧЕВ указал мне, что в организацию входил ПАЛЬЧИНСКИЙ, РАБИНОВИЧ, ФЕДОРОВИЧ, ЯНУШЕВСКИЙ и ПОКРОВСКИЙ. Активная деятельность этой организации началась с составления первого пятилетнего плана народного хозяйства. К этому времени, т. е. в 1925 году к.-р. вредительская организация получила большую стройность и оформление, причем состав ее пополнился рядом антисоветски настроенных специалистов. В это же время мне было уже известно, что вредительской деятельностью были охвачены почти все секции Госплана, в частности, промышленная, топливная, с[ельско]-хозяйственная, транспортная и электрофикация, которой руководил я. Сплоченные усилия организации были направлены на проработку первого пятилетнего плана в желательном для вредительской организации духе. Одной из главных вредительских установок было создание и раздутие диспропорции между темпом развития сельского хозяйства с одной стороны, и промышленности с другой. Отсюда делался вывод о необходимости снижения темпа индустриализации и усиленной поддержке товарного крестьянского, т. е. кулацкого хозяйства. Вредительские элементы внесены были нами и в пятилетний план электрофикации, о чем даны отдельные показания.</w:t>
      </w:r>
    </w:p>
    <w:p w14:paraId="38568632" w14:textId="77777777" w:rsidR="00BB5927" w:rsidRPr="00507A31" w:rsidRDefault="00BB5927" w:rsidP="00507A31">
      <w:pPr>
        <w:jc w:val="both"/>
        <w:rPr>
          <w:color w:val="000000" w:themeColor="text1"/>
          <w:sz w:val="16"/>
          <w:szCs w:val="16"/>
        </w:rPr>
      </w:pPr>
      <w:r w:rsidRPr="00507A31">
        <w:rPr>
          <w:color w:val="000000" w:themeColor="text1"/>
          <w:sz w:val="16"/>
          <w:szCs w:val="16"/>
        </w:rPr>
        <w:t xml:space="preserve">Как было выше сказано[,] к этому времени вредительской организацией были охвачены головки почти всех секций Госплана. Кроме мною уже указанных лиц в к.-р. организацию входили: П. С. ОСАДЧИЙ, Я, КАЛИННИКОВ И. А., ВАШКОВ Н. Н., БЕРНАЦКИЙ Л. Н„ ЧИЛИКИН И. Н., МАЙЕР, БЕРНШТЕЙН-КОГАН, СТРУННИКОВ В. Г., ГЛАГОЛЕВ, ГРОМАН В. Г., ОГАНОВСКИЙ Н. П. Особое внимание к.-р. организации было обращено на то, чтобы с одной стороны захватить руководство плановой работой во всех отраслях народного хозяйства и подобрать антисоветский состав секций[,] не допуская проникновения туда коммунистов. Здесь же необходимо добавить, что указанные руководители секционной работы[,] несмотря на их ярко выраженное антисоветское настроение[,] пользовались полным доверием со стороны председателя Госплана, его заместителей и других ответственных партийных работников Госплана, чем к.-р. организация широко пользовалась. Вредительская работа к.-р. организации не могла бы быть плодотворной, если бы в ведомствах и Наркоматах не было бы корреспондирующих ей вредительских ячеек, сносившихся с соответствующими секциями Госплана. В частности[,] в составе ВСНХ подобные организации были в Главметалле, Главгортопе, </w:t>
      </w:r>
      <w:r w:rsidRPr="00507A31">
        <w:rPr>
          <w:color w:val="000000" w:themeColor="text1"/>
          <w:sz w:val="16"/>
          <w:szCs w:val="16"/>
        </w:rPr>
        <w:lastRenderedPageBreak/>
        <w:t>Главэлектро, ПЗУ и т. д. В эти к.-р. организации входили по Главметаллу: ХРЕННИКОВ, ЖДАНОВ, МИЛЮКОВ, КУТСКИЙ, по Главгортопу: СТРИЖЕВ и ПРОРВИЧ, по Главэлектро: КУКЕЛЬ-КРАЕВСКИЙ, ВАСИЧ, КАМЕНЕЦКИЙ, ЖУКОВ, КОГАН, КАПЕЛЛЕР и КИРПИЧНИКОВ.</w:t>
      </w:r>
    </w:p>
    <w:p w14:paraId="6A670B2C" w14:textId="77777777" w:rsidR="00BB5927" w:rsidRPr="00507A31" w:rsidRDefault="00BB5927" w:rsidP="00507A31">
      <w:pPr>
        <w:jc w:val="both"/>
        <w:rPr>
          <w:color w:val="000000" w:themeColor="text1"/>
          <w:sz w:val="16"/>
          <w:szCs w:val="16"/>
        </w:rPr>
      </w:pPr>
      <w:r w:rsidRPr="00507A31">
        <w:rPr>
          <w:color w:val="000000" w:themeColor="text1"/>
          <w:sz w:val="16"/>
          <w:szCs w:val="16"/>
        </w:rPr>
        <w:t>Наличие указанных к.-р. ячеек существенно облегчало нам проведение в Госплане ряда вредительских установок, т. к. ведомственные материалы обрабатывались ими в желательном для организации направлении.</w:t>
      </w:r>
    </w:p>
    <w:p w14:paraId="0E247D1D" w14:textId="77777777" w:rsidR="00BB5927" w:rsidRPr="00507A31" w:rsidRDefault="00BB5927" w:rsidP="00507A31">
      <w:pPr>
        <w:jc w:val="both"/>
        <w:rPr>
          <w:color w:val="000000" w:themeColor="text1"/>
          <w:sz w:val="16"/>
          <w:szCs w:val="16"/>
        </w:rPr>
      </w:pPr>
      <w:r w:rsidRPr="00507A31">
        <w:rPr>
          <w:color w:val="000000" w:themeColor="text1"/>
          <w:sz w:val="16"/>
          <w:szCs w:val="16"/>
        </w:rPr>
        <w:t>Лично я проводил вредительскую работу в области электрофикации. Путем умышленного сокращения заявок на электроэнергию, поступавших от мест и хозорганов, урезывал годовые планы электростроительства. Недостаточное финансирование еще больше ухудшало положение. Заказы на оборудование выдавались с большим запозданием. Шла также вредительская работа и на самих строительствах. Все это вместе взятое привело к наличию ряда прорывов в электроснабжении важнейших наших промышленных районов и является результатом деятельности к.-р. вредительской организации.</w:t>
      </w:r>
    </w:p>
    <w:p w14:paraId="28E08B1E" w14:textId="77777777" w:rsidR="00BB5927" w:rsidRPr="00507A31" w:rsidRDefault="00BB5927" w:rsidP="00507A31">
      <w:pPr>
        <w:jc w:val="both"/>
        <w:rPr>
          <w:color w:val="000000" w:themeColor="text1"/>
          <w:sz w:val="16"/>
          <w:szCs w:val="16"/>
        </w:rPr>
      </w:pPr>
      <w:r w:rsidRPr="00507A31">
        <w:rPr>
          <w:color w:val="000000" w:themeColor="text1"/>
          <w:sz w:val="16"/>
          <w:szCs w:val="16"/>
        </w:rPr>
        <w:t>Записано собственноручно: А. ГОРЕВ.</w:t>
      </w:r>
    </w:p>
    <w:p w14:paraId="4945BF9C" w14:textId="77777777" w:rsidR="00BB5927" w:rsidRPr="00507A31" w:rsidRDefault="00BB5927" w:rsidP="00507A31">
      <w:pPr>
        <w:jc w:val="both"/>
        <w:rPr>
          <w:color w:val="000000" w:themeColor="text1"/>
          <w:sz w:val="16"/>
          <w:szCs w:val="16"/>
        </w:rPr>
      </w:pPr>
      <w:r w:rsidRPr="00507A31">
        <w:rPr>
          <w:color w:val="000000" w:themeColor="text1"/>
          <w:sz w:val="16"/>
          <w:szCs w:val="16"/>
        </w:rPr>
        <w:t>ДОПРОСИЛИ: П[ом.]/НАЧ. 1-го ОТДЕЛЕНИЯ] ЭКУ — РЖАВСКИЙ.</w:t>
      </w:r>
    </w:p>
    <w:p w14:paraId="13D4A8FA" w14:textId="77777777" w:rsidR="00BB5927" w:rsidRPr="00507A31" w:rsidRDefault="00BB5927" w:rsidP="00507A31">
      <w:pPr>
        <w:jc w:val="both"/>
        <w:rPr>
          <w:color w:val="000000" w:themeColor="text1"/>
          <w:sz w:val="16"/>
          <w:szCs w:val="16"/>
        </w:rPr>
      </w:pPr>
      <w:r w:rsidRPr="00507A31">
        <w:rPr>
          <w:color w:val="000000" w:themeColor="text1"/>
          <w:sz w:val="16"/>
          <w:szCs w:val="16"/>
        </w:rPr>
        <w:t>Уполномоченный 1-го ОТДЕЛЕНИЯ] ЭКУ — БЕЛОГОРСКИЙ.</w:t>
      </w:r>
    </w:p>
    <w:p w14:paraId="60634879" w14:textId="77777777" w:rsidR="00BB5927" w:rsidRPr="00507A31" w:rsidRDefault="00BB5927" w:rsidP="00507A31">
      <w:pPr>
        <w:jc w:val="both"/>
        <w:rPr>
          <w:color w:val="000000" w:themeColor="text1"/>
          <w:sz w:val="16"/>
          <w:szCs w:val="16"/>
        </w:rPr>
      </w:pPr>
      <w:r w:rsidRPr="00507A31">
        <w:rPr>
          <w:color w:val="000000" w:themeColor="text1"/>
          <w:sz w:val="16"/>
          <w:szCs w:val="16"/>
        </w:rPr>
        <w:t>Д. 355. Л. 173-175. Машинописная копия того времени (18613).</w:t>
      </w:r>
    </w:p>
    <w:p w14:paraId="5BE03900" w14:textId="77777777" w:rsidR="00BB5927" w:rsidRPr="00507A31" w:rsidRDefault="00BB5927" w:rsidP="00507A31">
      <w:pPr>
        <w:jc w:val="both"/>
        <w:rPr>
          <w:color w:val="000000" w:themeColor="text1"/>
          <w:sz w:val="16"/>
          <w:szCs w:val="16"/>
        </w:rPr>
      </w:pPr>
    </w:p>
    <w:p w14:paraId="43F7962F" w14:textId="77777777" w:rsidR="00795B1A" w:rsidRPr="00507A31" w:rsidRDefault="00795B1A" w:rsidP="00507A31">
      <w:pPr>
        <w:jc w:val="both"/>
        <w:rPr>
          <w:color w:val="000000" w:themeColor="text1"/>
          <w:sz w:val="16"/>
          <w:szCs w:val="16"/>
        </w:rPr>
      </w:pPr>
      <w:r w:rsidRPr="00507A31">
        <w:rPr>
          <w:color w:val="000000" w:themeColor="text1"/>
          <w:sz w:val="16"/>
          <w:szCs w:val="16"/>
        </w:rPr>
        <w:t>17 ноября 1930 г.</w:t>
      </w:r>
    </w:p>
    <w:p w14:paraId="0C49531B" w14:textId="77777777" w:rsidR="00795B1A" w:rsidRPr="00507A31" w:rsidRDefault="00795B1A" w:rsidP="00507A31">
      <w:pPr>
        <w:jc w:val="both"/>
        <w:rPr>
          <w:color w:val="000000" w:themeColor="text1"/>
          <w:sz w:val="16"/>
          <w:szCs w:val="16"/>
        </w:rPr>
      </w:pPr>
      <w:r w:rsidRPr="00507A31">
        <w:rPr>
          <w:color w:val="000000" w:themeColor="text1"/>
          <w:sz w:val="16"/>
          <w:szCs w:val="16"/>
        </w:rPr>
        <w:t>Показания А. А. Горева о «вредительстве» в деле электрификации металлургии Урала. Приложение к письму В. Р. Менжинского и Г. Е. Прокофьева от 17 ноября 1930 г.</w:t>
      </w:r>
    </w:p>
    <w:p w14:paraId="7405F7F7" w14:textId="77777777" w:rsidR="00795B1A" w:rsidRPr="00507A31" w:rsidRDefault="00795B1A" w:rsidP="00507A31">
      <w:pPr>
        <w:jc w:val="both"/>
        <w:rPr>
          <w:color w:val="000000" w:themeColor="text1"/>
          <w:sz w:val="16"/>
          <w:szCs w:val="16"/>
        </w:rPr>
      </w:pPr>
      <w:r w:rsidRPr="00507A31">
        <w:rPr>
          <w:color w:val="000000" w:themeColor="text1"/>
          <w:sz w:val="16"/>
          <w:szCs w:val="16"/>
        </w:rPr>
        <w:t>Источник: </w:t>
      </w:r>
    </w:p>
    <w:p w14:paraId="2406B1AC" w14:textId="77777777" w:rsidR="00795B1A" w:rsidRPr="00507A31" w:rsidRDefault="00795B1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DADF8A" w14:textId="77777777" w:rsidR="00795B1A" w:rsidRPr="00507A31" w:rsidRDefault="00795B1A" w:rsidP="00507A31">
      <w:pPr>
        <w:jc w:val="both"/>
        <w:rPr>
          <w:color w:val="000000" w:themeColor="text1"/>
          <w:sz w:val="16"/>
          <w:szCs w:val="16"/>
        </w:rPr>
      </w:pPr>
      <w:r w:rsidRPr="00507A31">
        <w:rPr>
          <w:color w:val="000000" w:themeColor="text1"/>
          <w:sz w:val="16"/>
          <w:szCs w:val="16"/>
        </w:rPr>
        <w:t>от 17 ноября 1930 г.</w:t>
      </w:r>
    </w:p>
    <w:p w14:paraId="7ABE729E" w14:textId="77777777" w:rsidR="00795B1A" w:rsidRPr="00507A31" w:rsidRDefault="00795B1A" w:rsidP="00507A31">
      <w:pPr>
        <w:jc w:val="both"/>
        <w:rPr>
          <w:color w:val="000000" w:themeColor="text1"/>
          <w:sz w:val="16"/>
          <w:szCs w:val="16"/>
        </w:rPr>
      </w:pPr>
      <w:r w:rsidRPr="00507A31">
        <w:rPr>
          <w:color w:val="000000" w:themeColor="text1"/>
          <w:sz w:val="16"/>
          <w:szCs w:val="16"/>
        </w:rPr>
        <w:t>СОВЕРШЕННО] СЕКРЕТНО.</w:t>
      </w:r>
    </w:p>
    <w:p w14:paraId="77400E28" w14:textId="77777777" w:rsidR="00795B1A" w:rsidRPr="00507A31" w:rsidRDefault="00795B1A" w:rsidP="00507A31">
      <w:pPr>
        <w:jc w:val="both"/>
        <w:rPr>
          <w:color w:val="000000" w:themeColor="text1"/>
          <w:sz w:val="16"/>
          <w:szCs w:val="16"/>
        </w:rPr>
      </w:pPr>
      <w:r w:rsidRPr="00507A31">
        <w:rPr>
          <w:color w:val="000000" w:themeColor="text1"/>
          <w:sz w:val="16"/>
          <w:szCs w:val="16"/>
        </w:rPr>
        <w:t>ПОКАЗАНИЯ,</w:t>
      </w:r>
    </w:p>
    <w:p w14:paraId="6F6C10FC" w14:textId="77777777" w:rsidR="00795B1A" w:rsidRPr="00507A31" w:rsidRDefault="00795B1A" w:rsidP="00507A31">
      <w:pPr>
        <w:jc w:val="both"/>
        <w:rPr>
          <w:color w:val="000000" w:themeColor="text1"/>
          <w:sz w:val="16"/>
          <w:szCs w:val="16"/>
        </w:rPr>
      </w:pPr>
      <w:r w:rsidRPr="00507A31">
        <w:rPr>
          <w:color w:val="000000" w:themeColor="text1"/>
          <w:sz w:val="16"/>
          <w:szCs w:val="16"/>
        </w:rPr>
        <w:t>проф. ГОРЕВА Ал. Ал.</w:t>
      </w:r>
    </w:p>
    <w:p w14:paraId="1FD48883" w14:textId="77777777" w:rsidR="00795B1A" w:rsidRPr="00507A31" w:rsidRDefault="00795B1A" w:rsidP="00507A31">
      <w:pPr>
        <w:jc w:val="both"/>
        <w:rPr>
          <w:color w:val="000000" w:themeColor="text1"/>
          <w:sz w:val="16"/>
          <w:szCs w:val="16"/>
        </w:rPr>
      </w:pPr>
      <w:r w:rsidRPr="00507A31">
        <w:rPr>
          <w:color w:val="000000" w:themeColor="text1"/>
          <w:sz w:val="16"/>
          <w:szCs w:val="16"/>
        </w:rPr>
        <w:t>от 11 /XI—30 года.</w:t>
      </w:r>
    </w:p>
    <w:p w14:paraId="3785D1E6" w14:textId="77777777" w:rsidR="00795B1A" w:rsidRPr="00507A31" w:rsidRDefault="00795B1A" w:rsidP="00507A31">
      <w:pPr>
        <w:jc w:val="both"/>
        <w:rPr>
          <w:color w:val="000000" w:themeColor="text1"/>
          <w:sz w:val="16"/>
          <w:szCs w:val="16"/>
        </w:rPr>
      </w:pPr>
      <w:r w:rsidRPr="00507A31">
        <w:rPr>
          <w:color w:val="000000" w:themeColor="text1"/>
          <w:sz w:val="16"/>
          <w:szCs w:val="16"/>
        </w:rPr>
        <w:t>Урал с его громадными залежами железной руды является единственной металлургической базой Союза. Недостаток в нем коксующихся углей ставил его в прежние годы на второе место после юга, где железная руда находится в непосредственном соседстве с богатыми залежами коксующихся углей. Однако, окраинное расположение Южного Горнопромышленного комбината Донбасс — Кривой Рог ставит его под удар противника при наступлении чрезвычайных обстоятельств. Напротив, Урал расположен в глубоком тылу страны и может поэтому считаться базой, не прекращающей свою работу при самых тяжелых военных обстоятельствах. Отсюда естественно вытекает идея быстрого подъема Уральской металлургии на такую высоту, которая позволила бы Уралу при выпадении юга полностью обеспечить как нужды обороны, так и важнейшие отрасли хозяйства страны.</w:t>
      </w:r>
    </w:p>
    <w:p w14:paraId="23D222E6" w14:textId="77777777" w:rsidR="00795B1A" w:rsidRPr="00507A31" w:rsidRDefault="00795B1A" w:rsidP="00507A31">
      <w:pPr>
        <w:jc w:val="both"/>
        <w:rPr>
          <w:color w:val="000000" w:themeColor="text1"/>
          <w:sz w:val="16"/>
          <w:szCs w:val="16"/>
        </w:rPr>
      </w:pPr>
      <w:r w:rsidRPr="00507A31">
        <w:rPr>
          <w:color w:val="000000" w:themeColor="text1"/>
          <w:sz w:val="16"/>
          <w:szCs w:val="16"/>
        </w:rPr>
        <w:t>Такое развитие Уральской металлургии на древесном угле, на котором основывалась его довоенная металлургия, невозможно; отсюда возникла идея связи Урала с громадными залежами металлургических углей Кузбасса. Этот комбинат, все части которого расположены в глубине материка при исключительной трудности подхода к ним извне, способен к развитию до гигантских масштабов, и может считаться почти неуязвимым при наступлении чрезвычайных обстоятельств. Таким образом, задача индустриального подъема Урала вообще и создание в нем основной базы по производству черного металла должна была стать и ныне стала основной задачей плана индустриализации страны.</w:t>
      </w:r>
    </w:p>
    <w:p w14:paraId="4F9189D3" w14:textId="77777777" w:rsidR="00795B1A" w:rsidRPr="00507A31" w:rsidRDefault="00795B1A" w:rsidP="00507A31">
      <w:pPr>
        <w:jc w:val="both"/>
        <w:rPr>
          <w:color w:val="000000" w:themeColor="text1"/>
          <w:sz w:val="16"/>
          <w:szCs w:val="16"/>
        </w:rPr>
      </w:pPr>
      <w:r w:rsidRPr="00507A31">
        <w:rPr>
          <w:color w:val="000000" w:themeColor="text1"/>
          <w:sz w:val="16"/>
          <w:szCs w:val="16"/>
        </w:rPr>
        <w:t>Восстановление и реконструкция старой Уральской промышленности, а равно и развитие ряда новых отраслей, основных на эксплоатации его естественных богатств (цветные металлы, основная химия, лес, бумага, металлическая промышленность и т. д.) должны были подготовить и рационально связаться с основной задачей — устройством металлургической баз[ы]. Сравнительная слабость энергетических рессурсов Урала, при наличии однако, залежей недорогих углей в двух его точках — в Кизеле и Челябинске, при относительной разбросанности потребителя по обширному району делали быстрое развитие централизованного электроснабжения Урала на основе сооружения районных станций необходимой предпосылкой его быстрой индустриализации. Своевременное осуществление такого плана электрофикации Урала позволило бы быстро, при наименьших затратах на энергоснабжение, восстановить его довоенную промышленность и создать ряд новых индустриальных предприятий, подготовив создание т[а]м основной металлургической базы, которая могла бы занять первое место в Союзе.</w:t>
      </w:r>
    </w:p>
    <w:p w14:paraId="1D614D4E" w14:textId="77777777" w:rsidR="00795B1A" w:rsidRPr="00507A31" w:rsidRDefault="00795B1A" w:rsidP="00507A31">
      <w:pPr>
        <w:jc w:val="both"/>
        <w:rPr>
          <w:color w:val="000000" w:themeColor="text1"/>
          <w:sz w:val="16"/>
          <w:szCs w:val="16"/>
        </w:rPr>
      </w:pPr>
      <w:r w:rsidRPr="00507A31">
        <w:rPr>
          <w:color w:val="000000" w:themeColor="text1"/>
          <w:sz w:val="16"/>
          <w:szCs w:val="16"/>
        </w:rPr>
        <w:t>В соответствии с этими задачами план электрофикации Урала, предложенный впервые комиссией ГОЭЛРО, впоследствии подвергся значительному развитию и расширению. Так, в плане 1926 года основные станции плана ГОЭЛРО Кизеловская и Челябинская получили значительное развитие и были связаны сетью высоковольтных проводов, которая покрывала основные его индустриальные районы. В действующем пятилетием плане эти 2 станции получают дальнейшее развитие до 400500 тыс. квт. мощности каждая; к ним добавляются: средне-Уральская станция около Свердловска, которая может получить, по своим водным рессурсам, развитие до мощности такого же порядка, группа гидравлических станций на Камско-Печерском соединении мощностью около 150 тыс. квт. Нижне-Салдинская торфяная станция, мощностью в 100— 150 тыс. квт. и Магнитогорская станция такой же мощности.</w:t>
      </w:r>
    </w:p>
    <w:p w14:paraId="38DF6129" w14:textId="77777777" w:rsidR="00795B1A" w:rsidRPr="00507A31" w:rsidRDefault="00795B1A" w:rsidP="00507A31">
      <w:pPr>
        <w:jc w:val="both"/>
        <w:rPr>
          <w:color w:val="000000" w:themeColor="text1"/>
          <w:sz w:val="16"/>
          <w:szCs w:val="16"/>
        </w:rPr>
      </w:pPr>
      <w:r w:rsidRPr="00507A31">
        <w:rPr>
          <w:color w:val="000000" w:themeColor="text1"/>
          <w:sz w:val="16"/>
          <w:szCs w:val="16"/>
        </w:rPr>
        <w:t>Однако, громадное значение создания рациональной энергетической базы для Урала естественно обратило на себя внимание контрреволюционной вредительск[ой] организации, которая[,] понимая громадное значение индустриализации Урала для обороны Союза[,] сосредоточила свои усилия на срыве этих планов централизованного электроснабжения. Работа этой организации выразилась в том, чтобы задержать прежде всего развитие Кизеловской и Челябинской станции. Первая очередь Кизеловской станции состояла из 2-х машин по 3 тыс. квт., поставленных в новом здании на берегу реки Косьвы еще в 1924 году; машины были перенесены туда из Ленинграда. Проект здания первой очереди был неудачен, так как впоследствии оказалось, что большие машины 2-й очереди размещаются в нем с трудом, что потребовало частичной переустройки здания. Около 1925 г. возник вопрос о расширении станции двумя машинами по 11 тыс. квт., которые и предполагалось заказать заграницей. При распределении импортных кредитов заказ этих машин был снят[,] и они были заменены заказом Советским заводам, что вызвало затяжку в сроке готовности. Кроме того[,] здание первой очереди, хотя и было построено на значительную мощность, оказалось технически не пригодным для помещения там больших машин, потребовалось его перестройка. Волокита с сооружением Кизеловской станции вызвало полное неверие в возможность ее осуществления. Вследствие этого в районе возможного снабжения стали восстанавливаться и расширяться фабрично-заводские станции (Кушва, Нижний Тагил и др.); кроме того[,] было приступлено к постройке новой станции — Березники и в последнее время — Чусовские городки.</w:t>
      </w:r>
    </w:p>
    <w:p w14:paraId="6C9F21BB" w14:textId="77777777" w:rsidR="00795B1A" w:rsidRPr="00507A31" w:rsidRDefault="00795B1A" w:rsidP="00507A31">
      <w:pPr>
        <w:jc w:val="both"/>
        <w:rPr>
          <w:color w:val="000000" w:themeColor="text1"/>
          <w:sz w:val="16"/>
          <w:szCs w:val="16"/>
        </w:rPr>
      </w:pPr>
      <w:r w:rsidRPr="00507A31">
        <w:rPr>
          <w:color w:val="000000" w:themeColor="text1"/>
          <w:sz w:val="16"/>
          <w:szCs w:val="16"/>
        </w:rPr>
        <w:t>В 1926 году был разработан уточненный план электрофикации Урала; в этом плане предполагалось быстрое развитие трех районных станций ГОЭЛРО, причем эти станции предполагалось связать в один куст сетью проводов высокого напряжения, по трассе Челябинск — Киштым —  Златоуст; Киштым — Свердловск; Свердловск — Гораблагодатная через Егоршино и Алапаевск; Гораблагодатная — Чусовая — Кизел с ветвью на Пермь. Этот план дополнял план ГОЭЛРО в отношении сетей и создавал возможность осуществить реконструкцию Уральской индустрии на базе централизованного электроснабжения.</w:t>
      </w:r>
    </w:p>
    <w:p w14:paraId="2FDDF9D9" w14:textId="77777777" w:rsidR="00795B1A" w:rsidRPr="00507A31" w:rsidRDefault="00795B1A" w:rsidP="00507A31">
      <w:pPr>
        <w:jc w:val="both"/>
        <w:rPr>
          <w:color w:val="000000" w:themeColor="text1"/>
          <w:sz w:val="16"/>
          <w:szCs w:val="16"/>
        </w:rPr>
      </w:pPr>
      <w:r w:rsidRPr="00507A31">
        <w:rPr>
          <w:color w:val="000000" w:themeColor="text1"/>
          <w:sz w:val="16"/>
          <w:szCs w:val="16"/>
        </w:rPr>
        <w:t>Кизеловская станция в этом плане являлась центром снабжения всего Северного Урала, включая район Горнозаводской ж. д. ветви и окрестностей ст. Гораблагодатной — Куш[в]у и Нижний Тагил. План этот не выполнен и до сих пор. Расширение района Кизеловской станции до Гораблагодатной встретило возражение со стороны Главэлектро, которое ограничивало район этой станции потребителями, расположенными на восток, — Мотовилиха и Пермь, в этом направлении проводились изыскания по линии передачи[,] тогда как связь &lt;с&gt; Гор[о]благодатской была принята значительно позже, кажется только в 1928 г.</w:t>
      </w:r>
    </w:p>
    <w:p w14:paraId="71C6B77F" w14:textId="77777777" w:rsidR="00795B1A" w:rsidRPr="00507A31" w:rsidRDefault="00795B1A" w:rsidP="00507A31">
      <w:pPr>
        <w:jc w:val="both"/>
        <w:rPr>
          <w:color w:val="000000" w:themeColor="text1"/>
          <w:sz w:val="16"/>
          <w:szCs w:val="16"/>
        </w:rPr>
      </w:pPr>
      <w:r w:rsidRPr="00507A31">
        <w:rPr>
          <w:color w:val="000000" w:themeColor="text1"/>
          <w:sz w:val="16"/>
          <w:szCs w:val="16"/>
        </w:rPr>
        <w:t>Ограничение района снабжения Кизеловской станции, полный провал попыток ее расширения, а также восстановление и постройка ряда фабрично-заводских станций в районе ее подали мне повод в 1927 г. выдвинуть вредительское предложение о передаче этой станции с заказанной для нее машиной и кредитом Кизелтресту и исключении ее из разряда районных. Главэлектро возражало против этого предложения, однако в СТО оно было поддержано ВСНХ и принято. Предложение это создавало в плане ГОЭЛРО по Уралу брешь в наиболее важном его индустриальном районе. Только после принятия этого предложения в СТО, Уральские организации его опротестовали[,] и оно было отменено. Однако, создавшаяся, в результате этого постановления волокита (передача второго, заказанного уже агрегата в 11 тыс. квт. [Юго-С]тали, незаказ котлов для дальнейшего расширения станции[)] еще ухудшил[а] положение со строительством второй очереди этой станции.</w:t>
      </w:r>
    </w:p>
    <w:p w14:paraId="6F7A6FC8" w14:textId="77777777" w:rsidR="00795B1A" w:rsidRPr="00507A31" w:rsidRDefault="00795B1A" w:rsidP="00507A31">
      <w:pPr>
        <w:jc w:val="both"/>
        <w:rPr>
          <w:color w:val="000000" w:themeColor="text1"/>
          <w:sz w:val="16"/>
          <w:szCs w:val="16"/>
        </w:rPr>
      </w:pPr>
      <w:r w:rsidRPr="00507A31">
        <w:rPr>
          <w:color w:val="000000" w:themeColor="text1"/>
          <w:sz w:val="16"/>
          <w:szCs w:val="16"/>
        </w:rPr>
        <w:t>Когда безобразная картина строительства начала вызывать толки о преступлениях на этой станции[,] Главэлектро оказалось вынужденным составить план возможного ее развития, причем обнаружилось, что готовность станции будет задержана из-за незаказа мостового крана, необходимого для монтажа турбин. Этот план оказался не отвечающим намечающемуся спросу на электроэнергию, вследствие чего Уралнефть оказалась вынужденной строить собственную станцию. Это последнее обстоятельство не явилось бы ошибочным, если бы эта станция была построена как часть большой Кизеловской станции, что ввело бы значительное упрощение и удешевление в ее устройство; однако, на такую проектировку, при полном отсутствии ясной перспективы относительно Кизеловской станции и при необходимости крайней спешки с постройкой станции в Чусовских городках рас[с]читывать было нельзя, почему станция в Чусовских городках была запроектирована как самостоятельная, что повело к ее удорожанию вследствии усложнения оборудования и необходимости дополнительных устройств при ее кустовании с будущей Кизеловской станцией.</w:t>
      </w:r>
    </w:p>
    <w:p w14:paraId="471F342E" w14:textId="77777777" w:rsidR="00795B1A" w:rsidRPr="00507A31" w:rsidRDefault="00795B1A" w:rsidP="00507A31">
      <w:pPr>
        <w:jc w:val="both"/>
        <w:rPr>
          <w:color w:val="000000" w:themeColor="text1"/>
          <w:sz w:val="16"/>
          <w:szCs w:val="16"/>
        </w:rPr>
      </w:pPr>
      <w:r w:rsidRPr="00507A31">
        <w:rPr>
          <w:color w:val="000000" w:themeColor="text1"/>
          <w:sz w:val="16"/>
          <w:szCs w:val="16"/>
        </w:rPr>
        <w:t xml:space="preserve">Вторая станция план[а] ГОЭЛРО — Егоршинская не была построена как районная станция вследствии отсутствия достаточных угольных рессурсов в ее районе и трудности получения достаточных для большой районной станции масс конденсационной воды. Вместо этой станции для нужд Егоршинских антрацитовых копей и ближайшего района, построена Егоршинская рудничная станция, кустованная со станцией Алапаевского завода[,] и если память мне не изменяет, с коммунальной </w:t>
      </w:r>
      <w:r w:rsidRPr="00507A31">
        <w:rPr>
          <w:color w:val="000000" w:themeColor="text1"/>
          <w:sz w:val="16"/>
          <w:szCs w:val="16"/>
        </w:rPr>
        <w:lastRenderedPageBreak/>
        <w:t>торфяной станцией в Свердловске. Однако развитие центрального Урала требовало значительной мощности, поэтому 2 года назад было решено устроить линию Челябинск — Свердловск, которая должна будет подать на средний Урал энергию строящейся Челябинской станции.</w:t>
      </w:r>
    </w:p>
    <w:p w14:paraId="1321B18A" w14:textId="77777777" w:rsidR="00795B1A" w:rsidRPr="00507A31" w:rsidRDefault="00795B1A" w:rsidP="00507A31">
      <w:pPr>
        <w:jc w:val="both"/>
        <w:rPr>
          <w:color w:val="000000" w:themeColor="text1"/>
          <w:sz w:val="16"/>
          <w:szCs w:val="16"/>
        </w:rPr>
      </w:pPr>
      <w:r w:rsidRPr="00507A31">
        <w:rPr>
          <w:color w:val="000000" w:themeColor="text1"/>
          <w:sz w:val="16"/>
          <w:szCs w:val="16"/>
        </w:rPr>
        <w:t>Приступ к постройке Челябинской районной станции выдвигался Уральскими организациями в 1926-27 г. Заявки на потребную мощность района Ю[жного] Урала были тогда плохо обоснованы, что позволило мне провалить предложение о постройке этой станции с переносом начала работ на следующий год. Этот вредительский акт должен отозваться на электроснабжении как Ю[жного] Урала, так и Свердловского района, ибо, если бы Челябинская станция была готова годом раньше, развитие индустрии в Ю[жном] Урале могло бы пойти более быстрым темпом. Кроме того, энергия Челябинской станции могла бы быть раньше подана в Свердловск. Челябинская станция одна из немногих станций, построенных приблизительно в срок и без значительных перерасходов.</w:t>
      </w:r>
    </w:p>
    <w:p w14:paraId="0EA4B308" w14:textId="77777777" w:rsidR="00795B1A" w:rsidRPr="00507A31" w:rsidRDefault="00795B1A" w:rsidP="00507A31">
      <w:pPr>
        <w:jc w:val="both"/>
        <w:rPr>
          <w:color w:val="000000" w:themeColor="text1"/>
          <w:sz w:val="16"/>
          <w:szCs w:val="16"/>
        </w:rPr>
      </w:pPr>
      <w:r w:rsidRPr="00507A31">
        <w:rPr>
          <w:color w:val="000000" w:themeColor="text1"/>
          <w:sz w:val="16"/>
          <w:szCs w:val="16"/>
        </w:rPr>
        <w:t>Таким образом, при осуществлении электрофикации Урала имели место нижеследующие вредительские акты: предложенная и проведенная мною передача Кизеловской районной станции Кизелтресту; отклонение мною, а по моему заключению и высшими органами, приступа к постройке Челябинской станции в 1926/27 г. с переносом этого срока на [19]27/28 год.</w:t>
      </w:r>
    </w:p>
    <w:p w14:paraId="5F7500B6" w14:textId="77777777" w:rsidR="00795B1A" w:rsidRPr="00507A31" w:rsidRDefault="00795B1A" w:rsidP="00507A31">
      <w:pPr>
        <w:jc w:val="both"/>
        <w:rPr>
          <w:color w:val="000000" w:themeColor="text1"/>
          <w:sz w:val="16"/>
          <w:szCs w:val="16"/>
        </w:rPr>
      </w:pPr>
      <w:r w:rsidRPr="00507A31">
        <w:rPr>
          <w:color w:val="000000" w:themeColor="text1"/>
          <w:sz w:val="16"/>
          <w:szCs w:val="16"/>
        </w:rPr>
        <w:t>Ряд вредительских актов[,] совершенных сотрудниками ВСНХ[,] в частности Главэлектро, при постройке второй очереди Кизеловской станции, приведших к невыполнению планов ее расширения и вызвавши[х] строительство в ее районе ряда фабрично-заводских станций.</w:t>
      </w:r>
    </w:p>
    <w:p w14:paraId="26A938E9" w14:textId="77777777" w:rsidR="00795B1A" w:rsidRPr="00507A31" w:rsidRDefault="00795B1A" w:rsidP="00507A31">
      <w:pPr>
        <w:jc w:val="both"/>
        <w:rPr>
          <w:color w:val="000000" w:themeColor="text1"/>
          <w:sz w:val="16"/>
          <w:szCs w:val="16"/>
        </w:rPr>
      </w:pPr>
      <w:r w:rsidRPr="00507A31">
        <w:rPr>
          <w:color w:val="000000" w:themeColor="text1"/>
          <w:sz w:val="16"/>
          <w:szCs w:val="16"/>
        </w:rPr>
        <w:t>В результате этой вредительской работы и по сие время не осуществлен не только план 1926 г., но и из плана ГОЭЛРО построено только 20 % мощности намечавшихся им станций; идея постройки крупных районных станций сорвана; электроснабжение и поныне базируется на ряде мелких фабрично-заводских станций, работающих изолировано друг от друга, что обходится как по первоначальным затратам, так и по стоимости эксплоатации значительно дороже, чем при централизованном снабжении.</w:t>
      </w:r>
    </w:p>
    <w:p w14:paraId="44F9009C" w14:textId="77777777" w:rsidR="00795B1A" w:rsidRPr="00507A31" w:rsidRDefault="00795B1A" w:rsidP="00507A31">
      <w:pPr>
        <w:jc w:val="both"/>
        <w:rPr>
          <w:color w:val="000000" w:themeColor="text1"/>
          <w:sz w:val="16"/>
          <w:szCs w:val="16"/>
        </w:rPr>
      </w:pPr>
      <w:r w:rsidRPr="00507A31">
        <w:rPr>
          <w:color w:val="000000" w:themeColor="text1"/>
          <w:sz w:val="16"/>
          <w:szCs w:val="16"/>
        </w:rPr>
        <w:t>Энергетическая база для быстрой индустриализации Урала в тех масштабах, которые ныне намечаются[,] отсутствует. Создание нового промышленного Урала должно считаться с необходимостью параллельного создания его электроснабжения, что должно будет отдалить сроки индустриализации, удорожить и усложнить эту работу, имеющую кардинальное значение для обороны страны, что и составляло задачу вредительской к[онтр]-р[еволюционной] организации.</w:t>
      </w:r>
    </w:p>
    <w:p w14:paraId="1F9942D5" w14:textId="77777777" w:rsidR="00795B1A" w:rsidRPr="00507A31" w:rsidRDefault="00795B1A" w:rsidP="00507A31">
      <w:pPr>
        <w:jc w:val="both"/>
        <w:rPr>
          <w:color w:val="000000" w:themeColor="text1"/>
          <w:sz w:val="16"/>
          <w:szCs w:val="16"/>
        </w:rPr>
      </w:pPr>
      <w:r w:rsidRPr="00507A31">
        <w:rPr>
          <w:color w:val="000000" w:themeColor="text1"/>
          <w:sz w:val="16"/>
          <w:szCs w:val="16"/>
        </w:rPr>
        <w:t>Показание собственноручно записал</w:t>
      </w:r>
    </w:p>
    <w:p w14:paraId="55A596E8" w14:textId="77777777" w:rsidR="00795B1A" w:rsidRPr="00507A31" w:rsidRDefault="00795B1A" w:rsidP="00507A31">
      <w:pPr>
        <w:jc w:val="both"/>
        <w:rPr>
          <w:color w:val="000000" w:themeColor="text1"/>
          <w:sz w:val="16"/>
          <w:szCs w:val="16"/>
        </w:rPr>
      </w:pPr>
      <w:r w:rsidRPr="00507A31">
        <w:rPr>
          <w:color w:val="000000" w:themeColor="text1"/>
          <w:sz w:val="16"/>
          <w:szCs w:val="16"/>
        </w:rPr>
        <w:t>А. Горев.</w:t>
      </w:r>
    </w:p>
    <w:p w14:paraId="4C9B1E98" w14:textId="77777777" w:rsidR="00795B1A" w:rsidRPr="00507A31" w:rsidRDefault="00795B1A" w:rsidP="00507A31">
      <w:pPr>
        <w:jc w:val="both"/>
        <w:rPr>
          <w:color w:val="000000" w:themeColor="text1"/>
          <w:sz w:val="16"/>
          <w:szCs w:val="16"/>
        </w:rPr>
      </w:pPr>
      <w:r w:rsidRPr="00507A31">
        <w:rPr>
          <w:color w:val="000000" w:themeColor="text1"/>
          <w:sz w:val="16"/>
          <w:szCs w:val="16"/>
        </w:rPr>
        <w:t>ДОПРОСИЛИ: Врид. Нач. I Отделения ЭКУ ОГПУ</w:t>
      </w:r>
    </w:p>
    <w:p w14:paraId="75F17EAA" w14:textId="77777777" w:rsidR="00795B1A" w:rsidRPr="00507A31" w:rsidRDefault="00795B1A" w:rsidP="00507A31">
      <w:pPr>
        <w:jc w:val="both"/>
        <w:rPr>
          <w:color w:val="000000" w:themeColor="text1"/>
          <w:sz w:val="16"/>
          <w:szCs w:val="16"/>
        </w:rPr>
      </w:pPr>
      <w:r w:rsidRPr="00507A31">
        <w:rPr>
          <w:color w:val="000000" w:themeColor="text1"/>
          <w:sz w:val="16"/>
          <w:szCs w:val="16"/>
        </w:rPr>
        <w:t>(Ржавский)</w:t>
      </w:r>
    </w:p>
    <w:p w14:paraId="4C952A9B" w14:textId="77777777" w:rsidR="00795B1A" w:rsidRPr="00507A31" w:rsidRDefault="00795B1A" w:rsidP="00507A31">
      <w:pPr>
        <w:jc w:val="both"/>
        <w:rPr>
          <w:color w:val="000000" w:themeColor="text1"/>
          <w:sz w:val="16"/>
          <w:szCs w:val="16"/>
        </w:rPr>
      </w:pPr>
      <w:r w:rsidRPr="00507A31">
        <w:rPr>
          <w:color w:val="000000" w:themeColor="text1"/>
          <w:sz w:val="16"/>
          <w:szCs w:val="16"/>
        </w:rPr>
        <w:t>Уполномоченный</w:t>
      </w:r>
    </w:p>
    <w:p w14:paraId="1190570D" w14:textId="77777777" w:rsidR="00795B1A" w:rsidRPr="00507A31" w:rsidRDefault="00795B1A" w:rsidP="00507A31">
      <w:pPr>
        <w:jc w:val="both"/>
        <w:rPr>
          <w:color w:val="000000" w:themeColor="text1"/>
          <w:sz w:val="16"/>
          <w:szCs w:val="16"/>
        </w:rPr>
      </w:pPr>
      <w:r w:rsidRPr="00507A31">
        <w:rPr>
          <w:color w:val="000000" w:themeColor="text1"/>
          <w:sz w:val="16"/>
          <w:szCs w:val="16"/>
        </w:rPr>
        <w:t>(Ярцев)</w:t>
      </w:r>
    </w:p>
    <w:p w14:paraId="69683FEC" w14:textId="77777777" w:rsidR="00795B1A" w:rsidRPr="00507A31" w:rsidRDefault="00795B1A" w:rsidP="00507A31">
      <w:pPr>
        <w:jc w:val="both"/>
        <w:rPr>
          <w:color w:val="000000" w:themeColor="text1"/>
          <w:sz w:val="16"/>
          <w:szCs w:val="16"/>
        </w:rPr>
      </w:pPr>
      <w:r w:rsidRPr="00507A31">
        <w:rPr>
          <w:color w:val="000000" w:themeColor="text1"/>
          <w:sz w:val="16"/>
          <w:szCs w:val="16"/>
        </w:rPr>
        <w:t>Д. 355. Л. 196-202. Машинописная копия того времени (18616).</w:t>
      </w:r>
    </w:p>
    <w:p w14:paraId="5F693565" w14:textId="77777777" w:rsidR="00795B1A" w:rsidRPr="00507A31" w:rsidRDefault="00795B1A" w:rsidP="00507A31">
      <w:pPr>
        <w:jc w:val="both"/>
        <w:rPr>
          <w:color w:val="000000" w:themeColor="text1"/>
          <w:sz w:val="16"/>
          <w:szCs w:val="16"/>
        </w:rPr>
      </w:pPr>
    </w:p>
    <w:p w14:paraId="62325CC6" w14:textId="77777777" w:rsidR="00795B1A" w:rsidRPr="00507A31" w:rsidRDefault="00795B1A" w:rsidP="00507A31">
      <w:pPr>
        <w:jc w:val="both"/>
        <w:rPr>
          <w:color w:val="000000" w:themeColor="text1"/>
          <w:sz w:val="16"/>
          <w:szCs w:val="16"/>
        </w:rPr>
      </w:pPr>
      <w:r w:rsidRPr="00507A31">
        <w:rPr>
          <w:color w:val="000000" w:themeColor="text1"/>
          <w:sz w:val="16"/>
          <w:szCs w:val="16"/>
        </w:rPr>
        <w:t>17 ноября 1930 г.</w:t>
      </w:r>
    </w:p>
    <w:p w14:paraId="411E0626" w14:textId="77777777" w:rsidR="00795B1A" w:rsidRPr="00507A31" w:rsidRDefault="00795B1A" w:rsidP="00507A31">
      <w:pPr>
        <w:jc w:val="both"/>
        <w:rPr>
          <w:color w:val="000000" w:themeColor="text1"/>
          <w:sz w:val="16"/>
          <w:szCs w:val="16"/>
        </w:rPr>
      </w:pPr>
      <w:r w:rsidRPr="00507A31">
        <w:rPr>
          <w:color w:val="000000" w:themeColor="text1"/>
          <w:sz w:val="16"/>
          <w:szCs w:val="16"/>
        </w:rPr>
        <w:t>Письмо председателя ОГПУ В. Р. Менжинского и начальника Экономического управления ОГПУ Г. Е. Прокофьева в ЦК ВКП(б) в связи с отправкой протоколов допросов А. А. Горева о деятельности «вредительской организации в электростроительстве». 17 ноября 1930 г.</w:t>
      </w:r>
    </w:p>
    <w:p w14:paraId="37DEC110" w14:textId="77777777" w:rsidR="00795B1A" w:rsidRPr="00507A31" w:rsidRDefault="00795B1A" w:rsidP="00507A31">
      <w:pPr>
        <w:jc w:val="both"/>
        <w:rPr>
          <w:color w:val="000000" w:themeColor="text1"/>
          <w:sz w:val="16"/>
          <w:szCs w:val="16"/>
        </w:rPr>
      </w:pPr>
      <w:r w:rsidRPr="00507A31">
        <w:rPr>
          <w:color w:val="000000" w:themeColor="text1"/>
          <w:sz w:val="16"/>
          <w:szCs w:val="16"/>
        </w:rPr>
        <w:t>Источник: </w:t>
      </w:r>
    </w:p>
    <w:p w14:paraId="77A153CF" w14:textId="77777777" w:rsidR="00795B1A" w:rsidRPr="00507A31" w:rsidRDefault="00795B1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19139B" w14:textId="77777777" w:rsidR="00795B1A" w:rsidRPr="00507A31" w:rsidRDefault="00795B1A" w:rsidP="00507A31">
      <w:pPr>
        <w:jc w:val="both"/>
        <w:rPr>
          <w:color w:val="000000" w:themeColor="text1"/>
          <w:sz w:val="16"/>
          <w:szCs w:val="16"/>
        </w:rPr>
      </w:pPr>
      <w:r w:rsidRPr="00507A31">
        <w:rPr>
          <w:color w:val="000000" w:themeColor="text1"/>
          <w:sz w:val="16"/>
          <w:szCs w:val="16"/>
        </w:rPr>
        <w:t>17 ноября 1930 г.</w:t>
      </w:r>
    </w:p>
    <w:p w14:paraId="7411C7E5" w14:textId="77777777" w:rsidR="00795B1A" w:rsidRPr="00507A31" w:rsidRDefault="00795B1A" w:rsidP="00507A31">
      <w:pPr>
        <w:jc w:val="both"/>
        <w:rPr>
          <w:color w:val="000000" w:themeColor="text1"/>
          <w:sz w:val="16"/>
          <w:szCs w:val="16"/>
        </w:rPr>
      </w:pPr>
      <w:r w:rsidRPr="00507A31">
        <w:rPr>
          <w:color w:val="000000" w:themeColor="text1"/>
          <w:sz w:val="16"/>
          <w:szCs w:val="16"/>
        </w:rPr>
        <w:t>СОВЕРШЕННО СЕКРЕТНО.</w:t>
      </w:r>
    </w:p>
    <w:p w14:paraId="692E8AF0" w14:textId="77777777" w:rsidR="00795B1A" w:rsidRPr="00507A31" w:rsidRDefault="00795B1A" w:rsidP="00507A31">
      <w:pPr>
        <w:jc w:val="both"/>
        <w:rPr>
          <w:color w:val="000000" w:themeColor="text1"/>
          <w:sz w:val="16"/>
          <w:szCs w:val="16"/>
        </w:rPr>
      </w:pPr>
      <w:r w:rsidRPr="00507A31">
        <w:rPr>
          <w:color w:val="000000" w:themeColor="text1"/>
          <w:sz w:val="16"/>
          <w:szCs w:val="16"/>
        </w:rPr>
        <w:t>ЦК ВКП(б) тов. СТАЛИНУ.</w:t>
      </w:r>
    </w:p>
    <w:p w14:paraId="3994F593" w14:textId="77777777" w:rsidR="00795B1A" w:rsidRPr="00507A31" w:rsidRDefault="00795B1A" w:rsidP="00507A31">
      <w:pPr>
        <w:jc w:val="both"/>
        <w:rPr>
          <w:color w:val="000000" w:themeColor="text1"/>
          <w:sz w:val="16"/>
          <w:szCs w:val="16"/>
        </w:rPr>
      </w:pPr>
      <w:r w:rsidRPr="00507A31">
        <w:rPr>
          <w:color w:val="000000" w:themeColor="text1"/>
          <w:sz w:val="16"/>
          <w:szCs w:val="16"/>
        </w:rPr>
        <w:t>ЦК ВКП(б) тов. ОРДЖОНИКИДЗЕ.</w:t>
      </w:r>
    </w:p>
    <w:p w14:paraId="229DE0D2" w14:textId="77777777" w:rsidR="00795B1A" w:rsidRPr="00507A31" w:rsidRDefault="00795B1A" w:rsidP="00507A31">
      <w:pPr>
        <w:jc w:val="both"/>
        <w:rPr>
          <w:color w:val="000000" w:themeColor="text1"/>
          <w:sz w:val="16"/>
          <w:szCs w:val="16"/>
        </w:rPr>
      </w:pPr>
      <w:r w:rsidRPr="00507A31">
        <w:rPr>
          <w:color w:val="000000" w:themeColor="text1"/>
          <w:sz w:val="16"/>
          <w:szCs w:val="16"/>
        </w:rPr>
        <w:t>ОГПУ посылает Вам показания проф. ГОРЕВА А. А.[,] бывш. Председателя Секции Электрификации Госплана СССР[,] о к.-р. вредительской организации в электростроительстве.</w:t>
      </w:r>
    </w:p>
    <w:p w14:paraId="1DC698A8" w14:textId="77777777" w:rsidR="00795B1A" w:rsidRPr="00507A31" w:rsidRDefault="00795B1A" w:rsidP="00507A31">
      <w:pPr>
        <w:jc w:val="both"/>
        <w:rPr>
          <w:color w:val="000000" w:themeColor="text1"/>
          <w:sz w:val="16"/>
          <w:szCs w:val="16"/>
        </w:rPr>
      </w:pPr>
      <w:r w:rsidRPr="00507A31">
        <w:rPr>
          <w:color w:val="000000" w:themeColor="text1"/>
          <w:sz w:val="16"/>
          <w:szCs w:val="16"/>
        </w:rPr>
        <w:t>Из показаний ГОРЕВА видно, что имеющийся большой недостаток электроэнергии в основных промышленных районах СССР есть результат вредительской деятельности этой к.-р. организации и что необходимы срочные меры, чтобы предотвратить намечающийся в этой области кризис.</w:t>
      </w:r>
    </w:p>
    <w:p w14:paraId="66DB19A1" w14:textId="77777777" w:rsidR="00795B1A" w:rsidRPr="00507A31" w:rsidRDefault="00795B1A" w:rsidP="00507A31">
      <w:pPr>
        <w:jc w:val="both"/>
        <w:rPr>
          <w:color w:val="000000" w:themeColor="text1"/>
          <w:sz w:val="16"/>
          <w:szCs w:val="16"/>
        </w:rPr>
      </w:pPr>
      <w:r w:rsidRPr="00507A31">
        <w:rPr>
          <w:color w:val="000000" w:themeColor="text1"/>
          <w:sz w:val="16"/>
          <w:szCs w:val="16"/>
        </w:rPr>
        <w:t>ПРИЛОЖЕНИЕ: Показания.</w:t>
      </w:r>
    </w:p>
    <w:p w14:paraId="7E7322F4" w14:textId="77777777" w:rsidR="00795B1A" w:rsidRPr="00507A31" w:rsidRDefault="00795B1A" w:rsidP="00507A31">
      <w:pPr>
        <w:jc w:val="both"/>
        <w:rPr>
          <w:color w:val="000000" w:themeColor="text1"/>
          <w:sz w:val="16"/>
          <w:szCs w:val="16"/>
        </w:rPr>
      </w:pPr>
      <w:r w:rsidRPr="00507A31">
        <w:rPr>
          <w:color w:val="000000" w:themeColor="text1"/>
          <w:sz w:val="16"/>
          <w:szCs w:val="16"/>
        </w:rPr>
        <w:t>ПРЕДСЕДАТЕЛЬ ОГПУ В. Менжинский</w:t>
      </w:r>
    </w:p>
    <w:p w14:paraId="2210F94E" w14:textId="77777777" w:rsidR="00795B1A" w:rsidRPr="00507A31" w:rsidRDefault="00795B1A" w:rsidP="00507A31">
      <w:pPr>
        <w:jc w:val="both"/>
        <w:rPr>
          <w:color w:val="000000" w:themeColor="text1"/>
          <w:sz w:val="16"/>
          <w:szCs w:val="16"/>
        </w:rPr>
      </w:pPr>
      <w:r w:rsidRPr="00507A31">
        <w:rPr>
          <w:color w:val="000000" w:themeColor="text1"/>
          <w:sz w:val="16"/>
          <w:szCs w:val="16"/>
        </w:rPr>
        <w:t>НАЧ. ЭКОНОМУПРа ОГПУ Г. Прокофьев</w:t>
      </w:r>
    </w:p>
    <w:p w14:paraId="0038F92F" w14:textId="77777777" w:rsidR="00795B1A" w:rsidRPr="00507A31" w:rsidRDefault="00795B1A" w:rsidP="00507A31">
      <w:pPr>
        <w:jc w:val="both"/>
        <w:rPr>
          <w:color w:val="000000" w:themeColor="text1"/>
          <w:sz w:val="16"/>
          <w:szCs w:val="16"/>
        </w:rPr>
      </w:pPr>
      <w:r w:rsidRPr="00507A31">
        <w:rPr>
          <w:color w:val="000000" w:themeColor="text1"/>
          <w:sz w:val="16"/>
          <w:szCs w:val="16"/>
        </w:rPr>
        <w:t>Д. 355. Л. 172. Машинописный подлинник на бланке ОГПУ при Совнаркоме СССР, подписи — автографы. Дата и номер документа вписаны от руки в угловой штамп бланка. Гриф секретности — машинописью вверху справа.</w:t>
      </w:r>
    </w:p>
    <w:p w14:paraId="24BC3D5E" w14:textId="77777777" w:rsidR="00795B1A" w:rsidRPr="00507A31" w:rsidRDefault="00795B1A" w:rsidP="00507A31">
      <w:pPr>
        <w:jc w:val="both"/>
        <w:rPr>
          <w:color w:val="000000" w:themeColor="text1"/>
          <w:sz w:val="16"/>
          <w:szCs w:val="16"/>
        </w:rPr>
      </w:pPr>
    </w:p>
    <w:p w14:paraId="648B08F4" w14:textId="77777777" w:rsidR="00795B1A" w:rsidRPr="00507A31" w:rsidRDefault="00795B1A"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44E35DA5" w14:textId="77777777" w:rsidR="00795B1A" w:rsidRPr="00507A31" w:rsidRDefault="00795B1A" w:rsidP="00507A31">
      <w:pPr>
        <w:autoSpaceDE w:val="0"/>
        <w:autoSpaceDN w:val="0"/>
        <w:adjustRightInd w:val="0"/>
        <w:jc w:val="both"/>
        <w:rPr>
          <w:iCs/>
          <w:color w:val="000000" w:themeColor="text1"/>
          <w:sz w:val="16"/>
          <w:szCs w:val="16"/>
        </w:rPr>
      </w:pPr>
    </w:p>
    <w:p w14:paraId="618C5716" w14:textId="77777777" w:rsidR="00795B1A" w:rsidRPr="00507A31" w:rsidRDefault="00795B1A" w:rsidP="00507A31">
      <w:pPr>
        <w:jc w:val="both"/>
        <w:rPr>
          <w:bCs/>
          <w:color w:val="000000" w:themeColor="text1"/>
          <w:sz w:val="16"/>
          <w:szCs w:val="16"/>
        </w:rPr>
      </w:pPr>
      <w:r w:rsidRPr="00507A31">
        <w:rPr>
          <w:color w:val="000000" w:themeColor="text1"/>
          <w:sz w:val="16"/>
          <w:szCs w:val="16"/>
        </w:rPr>
        <w:t>17 ноября 1930 г.</w:t>
      </w:r>
    </w:p>
    <w:p w14:paraId="5FF5C028" w14:textId="77777777" w:rsidR="00795B1A" w:rsidRPr="00507A31" w:rsidRDefault="00795B1A" w:rsidP="00507A31">
      <w:pPr>
        <w:jc w:val="both"/>
        <w:rPr>
          <w:bCs/>
          <w:color w:val="000000" w:themeColor="text1"/>
          <w:sz w:val="16"/>
          <w:szCs w:val="16"/>
        </w:rPr>
      </w:pPr>
      <w:r w:rsidRPr="00507A31">
        <w:rPr>
          <w:color w:val="000000" w:themeColor="text1"/>
          <w:sz w:val="16"/>
          <w:szCs w:val="16"/>
        </w:rPr>
        <w:t>«Сводка инотелеграмм № 467». за 17 ноября 1930 г.</w:t>
      </w:r>
    </w:p>
    <w:p w14:paraId="71D99E36" w14:textId="77777777" w:rsidR="00795B1A" w:rsidRPr="00507A31" w:rsidRDefault="00795B1A" w:rsidP="00507A31">
      <w:pPr>
        <w:jc w:val="both"/>
        <w:rPr>
          <w:bCs/>
          <w:color w:val="000000" w:themeColor="text1"/>
          <w:sz w:val="16"/>
          <w:szCs w:val="16"/>
        </w:rPr>
      </w:pPr>
      <w:r w:rsidRPr="00507A31">
        <w:rPr>
          <w:bCs/>
          <w:color w:val="000000" w:themeColor="text1"/>
          <w:sz w:val="16"/>
          <w:szCs w:val="16"/>
        </w:rPr>
        <w:t>Источник: </w:t>
      </w:r>
    </w:p>
    <w:p w14:paraId="44977C19" w14:textId="77777777" w:rsidR="00795B1A" w:rsidRPr="00507A31" w:rsidRDefault="00795B1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8095F1" w14:textId="77777777" w:rsidR="00795B1A" w:rsidRPr="00507A31" w:rsidRDefault="00795B1A" w:rsidP="00507A31">
      <w:pPr>
        <w:jc w:val="both"/>
        <w:rPr>
          <w:bCs/>
          <w:color w:val="000000" w:themeColor="text1"/>
          <w:sz w:val="16"/>
          <w:szCs w:val="16"/>
        </w:rPr>
      </w:pPr>
      <w:r w:rsidRPr="00507A31">
        <w:rPr>
          <w:bCs/>
          <w:color w:val="000000" w:themeColor="text1"/>
          <w:sz w:val="16"/>
          <w:szCs w:val="16"/>
        </w:rPr>
        <w:t>Архив: </w:t>
      </w:r>
    </w:p>
    <w:p w14:paraId="1A04DD46" w14:textId="77777777" w:rsidR="00795B1A" w:rsidRPr="00507A31" w:rsidRDefault="00795B1A" w:rsidP="00507A31">
      <w:pPr>
        <w:jc w:val="both"/>
        <w:rPr>
          <w:color w:val="000000" w:themeColor="text1"/>
          <w:sz w:val="16"/>
          <w:szCs w:val="16"/>
        </w:rPr>
      </w:pPr>
      <w:r w:rsidRPr="00507A31">
        <w:rPr>
          <w:color w:val="000000" w:themeColor="text1"/>
          <w:sz w:val="16"/>
          <w:szCs w:val="16"/>
        </w:rPr>
        <w:t>АВП РФ. Ф. 0136. Oп. 14. П. 140. Д. 593. Л. 38</w:t>
      </w:r>
    </w:p>
    <w:p w14:paraId="47A98C0A" w14:textId="77777777" w:rsidR="00795B1A" w:rsidRPr="00507A31" w:rsidRDefault="00795B1A" w:rsidP="00507A31">
      <w:pPr>
        <w:pStyle w:val="rteright"/>
        <w:spacing w:before="0" w:after="0"/>
        <w:jc w:val="both"/>
        <w:rPr>
          <w:color w:val="000000" w:themeColor="text1"/>
          <w:sz w:val="16"/>
          <w:szCs w:val="16"/>
        </w:rPr>
      </w:pPr>
      <w:r w:rsidRPr="00507A31">
        <w:rPr>
          <w:color w:val="000000" w:themeColor="text1"/>
          <w:sz w:val="16"/>
          <w:szCs w:val="16"/>
        </w:rPr>
        <w:t>за 17 ноября 1930 г.</w:t>
      </w:r>
    </w:p>
    <w:p w14:paraId="4E6E42A9" w14:textId="77777777" w:rsidR="00795B1A" w:rsidRPr="00507A31" w:rsidRDefault="00795B1A"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77001DDD"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Ночные телеграммы 17.XI.</w:t>
      </w:r>
    </w:p>
    <w:p w14:paraId="5A86AAA2"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ЮСТ: Подробная передача статьи Радека.</w:t>
      </w:r>
    </w:p>
    <w:p w14:paraId="7B4CF2B9"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Что же произошло. Как[-]то ночью между часом и тремя в комнате цензора была составлена Вашим корр[еспонден]том телеграмма из охватывающего 80 стран[иц] обвинительного акта по показательному процессу большого политического значения. Материалы были снабжены Вашим коррес[понден]том кратким комментарием, не соответствовавшим тем ожиданиям и надеждам, какие связывались в Москве с откликами инопрессы. Тут полагали, что по меньшей мере немецкая пресса с жадностью бросится на материалы Крыленко, чтобы использовать их внешнеполитически против политики Францпра, не учтя, однако, что показания, приведенные в выдержках в труде обвинителя, имеющем определенную целевую установку (при существующем недоверии к советской юстиции, право на которое даже Радек признает за инопрессой) не представляют достаточного фактического материала, на котором можно возвести «всемирно-историческое событие». Так может поступать советская общественность, предающая в передовицах Францию анафеме за подготовку интервенции против СССР в 1931 г. К таким выводам могут и должны приходить сотни рабочих собраний, требующих смертного приговора для обвиненных, основываясь только на обвинительном акте. Нам же нужно, по крайней мере, выждать результатов процесса. Такую сдержанность, естественную для серьезной журналистики, истолковывает Радек, как вотум доверия французскому генштабу. Для нас и всего мира вовсе не нужно обвинительного акта Крыленко, чтобы констатировать империализм до зубов вооруженной Франции. Достаточным свидетелем для этого является Бриан. Но глубоко оскорбительным и &lt;показа&gt;тельным кажется нам то легкомыслие, с каким московская правительственная газета наделяет грубейшими и бессмысленнейшими обвинениями представителя германской прессы, чья долголетняя работа в Москве не могла остаться незамеченной. Казалось, что начинают газетную травлю (с целью опять избавиться от) против неудобного наблюдателя. Тем временем было заявлено из авторитетного источника, что таких намерений не было и нет. С точки зрения германо-русских сношений это можно только приветствовать. Остается все же в силе убедительное предположение, что здесь пытались запугать и оказать давление не только на одного корр[еспонден]та, но и на всю германскую прессу путем оскорблений и выставления у позорного столба.</w:t>
      </w:r>
    </w:p>
    <w:p w14:paraId="5208964C"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Цитаты из статьи Радека и заключительные строки из статьи «ЭП»</w:t>
      </w:r>
    </w:p>
    <w:p w14:paraId="2E7ABB73"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«К. Ц.» отметила уже, что применение подобных средств не заслуживает ответа. Мы не понимаем, почему именно «К. Ц.» приписывается вина за то, что обвинительный акт Крыленко не стал сразу мировой сенсацией, разве только предположить, что в Москве переоценивают наше влияние. Несмотря на это гротескное интермеццо, информирование наших читателей о предстоящем процессе, его результатах и значении будет происходить в духе той политики, которая много лет проводится «К. Ц.» — на этот раз в качестве нейтрального наблюдателя. И на остальную немпрессу вряд ли повлияли московские штуки. Газетная политика Сов. Союза, несущая ответственность и за быстрое распространение официальным агентством оскорблений, помещенных в «Изв[естиях]»[,] только тогда сможет очиститься от упрека в неподдающихся квалификации действиях, когда найдет возможность возместить те нарушения интересов при исполнении обязанностей, какие были учинены корр[еспонден]ту «К. Ц.» в рамках находящегося под сов. влиянием общественного мнения. Германо-русские отношения характеризуются и такими мелочами.</w:t>
      </w:r>
    </w:p>
    <w:p w14:paraId="3575FC73"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lastRenderedPageBreak/>
        <w:t>ЛАЙОНС: Сообщение о дате процесса Рамзина и др. и состав суда.</w:t>
      </w:r>
    </w:p>
    <w:p w14:paraId="0A62A12C"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04CDBCDA" w14:textId="77777777" w:rsidR="00795B1A" w:rsidRPr="00507A31" w:rsidRDefault="00795B1A"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38. Машинописная копия того времени. Формула «Не подлежит оглашению» напечатана вверху справа. Рукописная помета (росчерк) вверху слева «СВ». Слова и фразы в скобках — текст, вычеркнутый цензурой (см. легенду к док. № 48 данного раздела «Сводка телеграмм иностранных корреспондентов» за 11 ноября 1930 г.) (18980).</w:t>
      </w:r>
    </w:p>
    <w:p w14:paraId="63D29C95" w14:textId="77777777" w:rsidR="00795B1A" w:rsidRPr="00507A31" w:rsidRDefault="00795B1A" w:rsidP="00507A31">
      <w:pPr>
        <w:jc w:val="both"/>
        <w:rPr>
          <w:color w:val="000000" w:themeColor="text1"/>
          <w:sz w:val="16"/>
          <w:szCs w:val="16"/>
        </w:rPr>
      </w:pPr>
    </w:p>
    <w:p w14:paraId="21CDF279" w14:textId="77777777" w:rsidR="00795B1A" w:rsidRPr="00507A31" w:rsidRDefault="00795B1A" w:rsidP="00507A31">
      <w:pPr>
        <w:jc w:val="both"/>
        <w:rPr>
          <w:color w:val="000000" w:themeColor="text1"/>
          <w:sz w:val="16"/>
          <w:szCs w:val="16"/>
        </w:rPr>
      </w:pPr>
      <w:r w:rsidRPr="00507A31">
        <w:rPr>
          <w:color w:val="000000" w:themeColor="text1"/>
          <w:sz w:val="16"/>
          <w:szCs w:val="16"/>
        </w:rPr>
        <w:t>17 ноября 1930 г.</w:t>
      </w:r>
    </w:p>
    <w:p w14:paraId="74DBC679" w14:textId="77777777" w:rsidR="00795B1A" w:rsidRPr="00507A31" w:rsidRDefault="00795B1A" w:rsidP="00507A31">
      <w:pPr>
        <w:jc w:val="both"/>
        <w:rPr>
          <w:color w:val="000000" w:themeColor="text1"/>
          <w:sz w:val="16"/>
          <w:szCs w:val="16"/>
        </w:rPr>
      </w:pPr>
      <w:r w:rsidRPr="00507A31">
        <w:rPr>
          <w:color w:val="000000" w:themeColor="text1"/>
          <w:sz w:val="16"/>
          <w:szCs w:val="16"/>
        </w:rPr>
        <w:t>Письмо зам. наркома иностранных дел СССР Н. Н. Крестинского С. И. Бродовскому о возможности публикации в немецкой печати обвинительного заключения по «делу “Промпартии”». 17 ноября 1930 г.</w:t>
      </w:r>
    </w:p>
    <w:p w14:paraId="2E5A0AD7" w14:textId="77777777" w:rsidR="00795B1A" w:rsidRPr="00507A31" w:rsidRDefault="00795B1A" w:rsidP="00507A31">
      <w:pPr>
        <w:jc w:val="both"/>
        <w:rPr>
          <w:color w:val="000000" w:themeColor="text1"/>
          <w:sz w:val="16"/>
          <w:szCs w:val="16"/>
        </w:rPr>
      </w:pPr>
      <w:r w:rsidRPr="00507A31">
        <w:rPr>
          <w:color w:val="000000" w:themeColor="text1"/>
          <w:sz w:val="16"/>
          <w:szCs w:val="16"/>
        </w:rPr>
        <w:t>Источник: </w:t>
      </w:r>
    </w:p>
    <w:p w14:paraId="4F5EAFBF" w14:textId="77777777" w:rsidR="00795B1A" w:rsidRPr="00507A31" w:rsidRDefault="00795B1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E8923D3" w14:textId="77777777" w:rsidR="00795B1A" w:rsidRPr="00507A31" w:rsidRDefault="00795B1A" w:rsidP="00507A31">
      <w:pPr>
        <w:jc w:val="both"/>
        <w:rPr>
          <w:color w:val="000000" w:themeColor="text1"/>
          <w:sz w:val="16"/>
          <w:szCs w:val="16"/>
        </w:rPr>
      </w:pPr>
      <w:r w:rsidRPr="00507A31">
        <w:rPr>
          <w:color w:val="000000" w:themeColor="text1"/>
          <w:sz w:val="16"/>
          <w:szCs w:val="16"/>
        </w:rPr>
        <w:t>17 ноября 1930 г.</w:t>
      </w:r>
    </w:p>
    <w:p w14:paraId="6E305601" w14:textId="77777777" w:rsidR="00795B1A" w:rsidRPr="00507A31" w:rsidRDefault="00795B1A" w:rsidP="00507A31">
      <w:pPr>
        <w:jc w:val="both"/>
        <w:rPr>
          <w:color w:val="000000" w:themeColor="text1"/>
          <w:sz w:val="16"/>
          <w:szCs w:val="16"/>
        </w:rPr>
      </w:pPr>
      <w:r w:rsidRPr="00507A31">
        <w:rPr>
          <w:color w:val="000000" w:themeColor="text1"/>
          <w:sz w:val="16"/>
          <w:szCs w:val="16"/>
        </w:rPr>
        <w:t>Секретно</w:t>
      </w:r>
    </w:p>
    <w:p w14:paraId="4F60440C" w14:textId="77777777" w:rsidR="00795B1A" w:rsidRPr="00507A31" w:rsidRDefault="00795B1A" w:rsidP="00507A31">
      <w:pPr>
        <w:jc w:val="both"/>
        <w:rPr>
          <w:color w:val="000000" w:themeColor="text1"/>
          <w:sz w:val="16"/>
          <w:szCs w:val="16"/>
        </w:rPr>
      </w:pPr>
      <w:r w:rsidRPr="00507A31">
        <w:rPr>
          <w:color w:val="000000" w:themeColor="text1"/>
          <w:sz w:val="16"/>
          <w:szCs w:val="16"/>
        </w:rPr>
        <w:t>Тов. БРОДОВСКОМУ.</w:t>
      </w:r>
    </w:p>
    <w:p w14:paraId="3B1F588D" w14:textId="77777777" w:rsidR="00795B1A" w:rsidRPr="00507A31" w:rsidRDefault="00795B1A" w:rsidP="00507A31">
      <w:pPr>
        <w:jc w:val="both"/>
        <w:rPr>
          <w:color w:val="000000" w:themeColor="text1"/>
          <w:sz w:val="16"/>
          <w:szCs w:val="16"/>
        </w:rPr>
      </w:pPr>
      <w:r w:rsidRPr="00507A31">
        <w:rPr>
          <w:color w:val="000000" w:themeColor="text1"/>
          <w:sz w:val="16"/>
          <w:szCs w:val="16"/>
        </w:rPr>
        <w:t>Многоуважаемый Стефан Иоахимович,</w:t>
      </w:r>
    </w:p>
    <w:p w14:paraId="3C94EB0B" w14:textId="77777777" w:rsidR="00795B1A" w:rsidRPr="00507A31" w:rsidRDefault="00795B1A" w:rsidP="00507A31">
      <w:pPr>
        <w:jc w:val="both"/>
        <w:rPr>
          <w:color w:val="000000" w:themeColor="text1"/>
          <w:sz w:val="16"/>
          <w:szCs w:val="16"/>
        </w:rPr>
      </w:pPr>
      <w:r w:rsidRPr="00507A31">
        <w:rPr>
          <w:color w:val="000000" w:themeColor="text1"/>
          <w:sz w:val="16"/>
          <w:szCs w:val="16"/>
        </w:rPr>
        <w:t>Я говорил сегодня с т. Раевским о возможности напечатания обвинительного заключения по делу промпартии на немецком языке в «Москауер Рундшау».</w:t>
      </w:r>
    </w:p>
    <w:p w14:paraId="3809EC53" w14:textId="77777777" w:rsidR="00795B1A" w:rsidRPr="00507A31" w:rsidRDefault="00795B1A" w:rsidP="00507A31">
      <w:pPr>
        <w:jc w:val="both"/>
        <w:rPr>
          <w:color w:val="000000" w:themeColor="text1"/>
          <w:sz w:val="16"/>
          <w:szCs w:val="16"/>
        </w:rPr>
      </w:pPr>
      <w:r w:rsidRPr="00507A31">
        <w:rPr>
          <w:color w:val="000000" w:themeColor="text1"/>
          <w:sz w:val="16"/>
          <w:szCs w:val="16"/>
        </w:rPr>
        <w:t>Тов. Раевский сказал мне, что поместить в самой газете было бы, по условиям места, довольно трудно, но можно дать обвинительное заключение приложением к газете. Завтра он скажет мне, во что это обойдется, но не сомневается, что это будет стоить дешевле, чем печатать заграницей. По получении от т. Раевского всех данных и по принятии решения протелеграфирую Вам, печатать ли в Берлине или рас[с]читывать на нас.</w:t>
      </w:r>
    </w:p>
    <w:p w14:paraId="6FBBF222" w14:textId="77777777" w:rsidR="00795B1A" w:rsidRPr="00507A31" w:rsidRDefault="00795B1A" w:rsidP="00507A31">
      <w:pPr>
        <w:jc w:val="both"/>
        <w:rPr>
          <w:color w:val="000000" w:themeColor="text1"/>
          <w:sz w:val="16"/>
          <w:szCs w:val="16"/>
        </w:rPr>
      </w:pPr>
      <w:r w:rsidRPr="00507A31">
        <w:rPr>
          <w:color w:val="000000" w:themeColor="text1"/>
          <w:sz w:val="16"/>
          <w:szCs w:val="16"/>
        </w:rPr>
        <w:t>С товарищеским приветом</w:t>
      </w:r>
    </w:p>
    <w:p w14:paraId="1844F538" w14:textId="77777777" w:rsidR="00795B1A" w:rsidRPr="00507A31" w:rsidRDefault="00795B1A" w:rsidP="00507A31">
      <w:pPr>
        <w:jc w:val="both"/>
        <w:rPr>
          <w:color w:val="000000" w:themeColor="text1"/>
          <w:sz w:val="16"/>
          <w:szCs w:val="16"/>
        </w:rPr>
      </w:pPr>
      <w:r w:rsidRPr="00507A31">
        <w:rPr>
          <w:color w:val="000000" w:themeColor="text1"/>
          <w:sz w:val="16"/>
          <w:szCs w:val="16"/>
        </w:rPr>
        <w:t>(Н. Крестинский)</w:t>
      </w:r>
    </w:p>
    <w:p w14:paraId="28802A5B" w14:textId="77777777" w:rsidR="00795B1A" w:rsidRPr="00507A31" w:rsidRDefault="00795B1A" w:rsidP="00507A31">
      <w:pPr>
        <w:jc w:val="both"/>
        <w:rPr>
          <w:color w:val="000000" w:themeColor="text1"/>
          <w:sz w:val="16"/>
          <w:szCs w:val="16"/>
        </w:rPr>
      </w:pPr>
      <w:r w:rsidRPr="00507A31">
        <w:rPr>
          <w:color w:val="000000" w:themeColor="text1"/>
          <w:sz w:val="16"/>
          <w:szCs w:val="16"/>
        </w:rPr>
        <w:t>Д. 355. Л. 171. Второй экземпляр машинописной закладки. Вверху листа по центру напечатано «Экз. 2» (число от руки), правее — дата «17 ноября [19]30 г.», ниже номер документа «К/29163», еще ниже «Секретно». Внизу листа слева (столбцом) делопроизводственные пометы о количестве напечатанных экземпляров (3) и адреса рассылки: «1 — адресату, 2 — тов. Сталину, 3 — в дело» (машинописью) (18612).</w:t>
      </w:r>
    </w:p>
    <w:p w14:paraId="57E5A3B3" w14:textId="77777777" w:rsidR="00795B1A" w:rsidRPr="00507A31" w:rsidRDefault="00795B1A" w:rsidP="00507A31">
      <w:pPr>
        <w:jc w:val="both"/>
        <w:rPr>
          <w:color w:val="000000" w:themeColor="text1"/>
          <w:sz w:val="16"/>
          <w:szCs w:val="16"/>
        </w:rPr>
      </w:pPr>
    </w:p>
    <w:p w14:paraId="1FC5DE2D" w14:textId="77777777" w:rsidR="00795B1A" w:rsidRPr="00507A31" w:rsidRDefault="00795B1A" w:rsidP="00507A31">
      <w:pPr>
        <w:jc w:val="both"/>
        <w:rPr>
          <w:bCs/>
          <w:color w:val="000000" w:themeColor="text1"/>
          <w:sz w:val="16"/>
          <w:szCs w:val="16"/>
        </w:rPr>
      </w:pPr>
      <w:r w:rsidRPr="00507A31">
        <w:rPr>
          <w:color w:val="000000" w:themeColor="text1"/>
          <w:sz w:val="16"/>
          <w:szCs w:val="16"/>
        </w:rPr>
        <w:t>17 ноября 1930 г.</w:t>
      </w:r>
    </w:p>
    <w:p w14:paraId="04E91727" w14:textId="77777777" w:rsidR="00795B1A" w:rsidRPr="00507A31" w:rsidRDefault="00795B1A" w:rsidP="00507A31">
      <w:pPr>
        <w:jc w:val="both"/>
        <w:rPr>
          <w:bCs/>
          <w:color w:val="000000" w:themeColor="text1"/>
          <w:sz w:val="16"/>
          <w:szCs w:val="16"/>
        </w:rPr>
      </w:pPr>
      <w:r w:rsidRPr="00507A31">
        <w:rPr>
          <w:color w:val="000000" w:themeColor="text1"/>
          <w:sz w:val="16"/>
          <w:szCs w:val="16"/>
        </w:rPr>
        <w:t>О протестах французского посла и Министерства иностранных дел Франции в связи с обвинениями «в подготовке войны» против СССР. Из «Бюллетеня не для печати № 303 иностранной информации ТАСС». 17 ноября 1930 г.</w:t>
      </w:r>
    </w:p>
    <w:p w14:paraId="7D29EC7C" w14:textId="77777777" w:rsidR="00795B1A" w:rsidRPr="00507A31" w:rsidRDefault="00795B1A" w:rsidP="00507A31">
      <w:pPr>
        <w:jc w:val="both"/>
        <w:rPr>
          <w:bCs/>
          <w:color w:val="000000" w:themeColor="text1"/>
          <w:sz w:val="16"/>
          <w:szCs w:val="16"/>
        </w:rPr>
      </w:pPr>
      <w:r w:rsidRPr="00507A31">
        <w:rPr>
          <w:bCs/>
          <w:color w:val="000000" w:themeColor="text1"/>
          <w:sz w:val="16"/>
          <w:szCs w:val="16"/>
        </w:rPr>
        <w:t>Источник: </w:t>
      </w:r>
    </w:p>
    <w:p w14:paraId="4C624F87" w14:textId="77777777" w:rsidR="00795B1A" w:rsidRPr="00507A31" w:rsidRDefault="00795B1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291B8E5" w14:textId="77777777" w:rsidR="00795B1A" w:rsidRPr="00507A31" w:rsidRDefault="00795B1A" w:rsidP="00507A31">
      <w:pPr>
        <w:jc w:val="both"/>
        <w:rPr>
          <w:bCs/>
          <w:color w:val="000000" w:themeColor="text1"/>
          <w:sz w:val="16"/>
          <w:szCs w:val="16"/>
        </w:rPr>
      </w:pPr>
      <w:r w:rsidRPr="00507A31">
        <w:rPr>
          <w:bCs/>
          <w:color w:val="000000" w:themeColor="text1"/>
          <w:sz w:val="16"/>
          <w:szCs w:val="16"/>
        </w:rPr>
        <w:t>Архив: </w:t>
      </w:r>
    </w:p>
    <w:p w14:paraId="5B6F14A3" w14:textId="77777777" w:rsidR="00795B1A" w:rsidRPr="00507A31" w:rsidRDefault="00795B1A" w:rsidP="00507A31">
      <w:pPr>
        <w:jc w:val="both"/>
        <w:rPr>
          <w:color w:val="000000" w:themeColor="text1"/>
          <w:sz w:val="16"/>
          <w:szCs w:val="16"/>
        </w:rPr>
      </w:pPr>
      <w:r w:rsidRPr="00507A31">
        <w:rPr>
          <w:color w:val="000000" w:themeColor="text1"/>
          <w:sz w:val="16"/>
          <w:szCs w:val="16"/>
        </w:rPr>
        <w:t>АВП РФ. Ф. 0136. On. 14. П. 140. Д. 593. Л. 92-93</w:t>
      </w:r>
    </w:p>
    <w:p w14:paraId="4F779D56" w14:textId="77777777" w:rsidR="00795B1A" w:rsidRPr="00507A31" w:rsidRDefault="00795B1A" w:rsidP="00507A31">
      <w:pPr>
        <w:pStyle w:val="rteright"/>
        <w:spacing w:before="0" w:after="0"/>
        <w:jc w:val="both"/>
        <w:rPr>
          <w:color w:val="000000" w:themeColor="text1"/>
          <w:sz w:val="16"/>
          <w:szCs w:val="16"/>
        </w:rPr>
      </w:pPr>
      <w:r w:rsidRPr="00507A31">
        <w:rPr>
          <w:color w:val="000000" w:themeColor="text1"/>
          <w:sz w:val="16"/>
          <w:szCs w:val="16"/>
        </w:rPr>
        <w:t>от 17 ноября 1930 г.</w:t>
      </w:r>
    </w:p>
    <w:p w14:paraId="3ADBCA34" w14:textId="77777777" w:rsidR="00795B1A" w:rsidRPr="00507A31" w:rsidRDefault="00795B1A"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1CE8FE31"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БЮЛЛЕТЕНИ НЕ ДЛЯ ПЕЧАТИ № 303</w:t>
      </w:r>
    </w:p>
    <w:p w14:paraId="316C545A"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17/XI-30 г.</w:t>
      </w:r>
    </w:p>
    <w:p w14:paraId="23ECBD2A"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Лист № 1-ый</w:t>
      </w:r>
    </w:p>
    <w:p w14:paraId="4C21BE23"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ПРОТЕСТ ФРАНЦУЗСКОГО ПОСЛА В МОСКВЕ</w:t>
      </w:r>
    </w:p>
    <w:p w14:paraId="4588224D"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ФН. 887. ПАРИЖ. 16/XI. (Тасс). — Агентство Гавас сообщает: «Жан Эрбетт, посол Франции в Москве, заявил народному комиссару по иностранным делам протест против того, что прокурор Крыленко в обвинительном заключении по делу советских граждан, обвиняемых в заговоре против советского правительства, обвинил французское правительство и французский генеральный штаб в том, что они действовали в соучастии с обвиняемыми в 1928 году».</w:t>
      </w:r>
    </w:p>
    <w:p w14:paraId="1298B8CB"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СООБЩЕНИЕ ФРАНЦУЗСКОГО МИНИСТЕРСТВА ИНОСТРАННЫХ ДЕЛ</w:t>
      </w:r>
    </w:p>
    <w:p w14:paraId="07F60EE7"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ФБ. 887. ПАРИЖ, 16/XI. (Тасс). — Как передает агентство Гавас, французское министерство иностранных дел опубликовало следующее сообщение: «По сведениям, полученным из Москвы, французский посол в СССР сделал представление советскому правительству по поводу опубликования в советской печати исходящего от генерального прокурора СССР официального документа, в котором обвиняются французские политические деятели и сотрудники французского генерального штаба. 11-го ноября, немедленно вслед за опубликованием этого документа, французский посол заявил решительный протест заместителю народного комиссара по иностранным делам. В своем протесте он особенно подчеркнул, что бывшие руководители французского правительства или члены нынешнего правительства Франции подвергаются нападкам в официальном документе, в котором, с другой стороны, французские офицеры обвиняются в подготовке войны против Советского Союза. Эрбетт указал, что опубликование такого рода сообщений является тем более недопустимым, что московская печать находится полностью под контролем советского правительства».</w:t>
      </w:r>
    </w:p>
    <w:p w14:paraId="05A66E84"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w:t>
      </w:r>
    </w:p>
    <w:p w14:paraId="5CEA7313"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303</w:t>
      </w:r>
    </w:p>
    <w:p w14:paraId="294D97CA"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17/XI-30 г.</w:t>
      </w:r>
    </w:p>
    <w:p w14:paraId="20C4EBD6"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Лист № 2-ой</w:t>
      </w:r>
    </w:p>
    <w:p w14:paraId="3D984736"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«КОТИДЬЕН» О ВРЕДИТЕЛЬСКОМ ЗАГОВОРЕ ФВ. 885. ПАРИЖ, 16/XI. (Тасс). — Публикуя сообщение французского министерства иностранных дел, газета «Котидьен» пишет:</w:t>
      </w:r>
    </w:p>
    <w:p w14:paraId="15F0ADA0"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«Крыленко утверждает, что советским властям удалось раскрыть подпольную “Промышленную партию”, которая насчитывала не меньше двух тысяч членов и намеревалась с помощью иностранных держав свергнуть советское правительство. Советский прокурор утверждает далее, что члены этой партии встречались в Париже с Пуанкаре и Брианом, которые обещали им помощь и содействие. В 1928 году между членами этой партии и французским генеральным штабом была установлена связь через посредство некоторых русских эмигрантов-промышленников. Обвинительное заключение изобилует романтическими подробностями таинственных встреч, происходивших в Париже, Лондоне и Москве. Частично обвинительное заключение основано на “признаниях” обвиняемых. Следует учесть тот факт, что эти, так называемые, признания были получены после расстрела без суда 48 других инженеров и техников в атмосфере террора, который превосходит террор 1919-1921 г.». Кроме того, — пишет газета, — следует отметить, что Крыленко уже в течение года страдает серьезным [«]умственным расстройством». Для того, чтобы подкрепить сообщение об «умственном расстройстве» т. Крыленко, газета ссылается на «русский социалистический орган». «Вот каким образом, — заключает “Котидьен”, — объясняется роман обвинительного заключения».</w:t>
      </w:r>
    </w:p>
    <w:p w14:paraId="4D417FC8"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ФРАНЦУЗСКАЯ БУРЖУАЗНАЯ ПЕЧАТЬ О СООБЩЕНИИ</w:t>
      </w:r>
    </w:p>
    <w:p w14:paraId="64CFFF62"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ФРАНЦУЗСКОГО МИНИСТРА ИНОСТРАННЫХ ДЕЛ</w:t>
      </w:r>
    </w:p>
    <w:p w14:paraId="1A8549BD"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ФВ. 885. ПАРИЖ, 16/XI. (Тасс). — Правобуржуазная газета «Фигаро», комментируя сообщение французского министерства иностранных дел, пишет: «Мы, таким образом, имеем еще одно доказательство враждебных чувств, которые питает советское правительство по отношению к Франции. Оно пользуется всяким случаем для того, чтобы нападать на нашу страну. Оно не отступает перед тем, чтобы безосновательно обвинять Францию в желании вмешаться во внутреннюю политику СССР, в то время как само оно считает своим правилом разжигать гражданскую войну в других странах. Почему с советским правительством не прекращают немедленно всяких отношений?»</w:t>
      </w:r>
    </w:p>
    <w:p w14:paraId="066AAA29"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«Матен» помещает сообщение министерства иностранных дел без комментариев под заголовком: «Против двуличности большевиков». Газета «Журналь» поместила сообщение под заголовком: «Французское правительство протестует в Москве против клеветнических обвинений».</w:t>
      </w:r>
    </w:p>
    <w:p w14:paraId="450E99D9" w14:textId="77777777" w:rsidR="00795B1A" w:rsidRPr="00507A31" w:rsidRDefault="00795B1A"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92-93. Машинописный экземпляр того времени, размноженный на ротаторе. На каждом листе вверху гриф («шапка») «НЕ ПОДЛЕЖИТ ОГЛАШЕНИЮ»; рукописные пометы «Их.» (вверху справа) и «М. С.» внизу. Внизу слева (подстрочник) — данные о размножении документа. (См. также легенду к док. № 36 — «Отклики» немецкой прессы о процессе «Промпартии» [...]. Из «Бюллетеня не для печати № 302 иностранной информации ТАСС» от 16 ноября 1930 г.) (18965).</w:t>
      </w:r>
    </w:p>
    <w:p w14:paraId="5C30E116" w14:textId="77777777" w:rsidR="00795B1A" w:rsidRPr="00507A31" w:rsidRDefault="00795B1A" w:rsidP="00507A31">
      <w:pPr>
        <w:jc w:val="both"/>
        <w:rPr>
          <w:color w:val="000000" w:themeColor="text1"/>
          <w:sz w:val="16"/>
          <w:szCs w:val="16"/>
        </w:rPr>
      </w:pPr>
    </w:p>
    <w:p w14:paraId="5A37FF3A" w14:textId="77777777" w:rsidR="00795B1A" w:rsidRPr="00507A31" w:rsidRDefault="00795B1A" w:rsidP="00507A31">
      <w:pPr>
        <w:jc w:val="both"/>
        <w:rPr>
          <w:bCs/>
          <w:color w:val="000000" w:themeColor="text1"/>
          <w:sz w:val="16"/>
          <w:szCs w:val="16"/>
        </w:rPr>
      </w:pPr>
      <w:r w:rsidRPr="00507A31">
        <w:rPr>
          <w:color w:val="000000" w:themeColor="text1"/>
          <w:sz w:val="16"/>
          <w:szCs w:val="16"/>
        </w:rPr>
        <w:t>Между 17 и 18 ноября 1930 г.</w:t>
      </w:r>
    </w:p>
    <w:p w14:paraId="3147460A" w14:textId="77777777" w:rsidR="00795B1A" w:rsidRPr="00507A31" w:rsidRDefault="00795B1A" w:rsidP="00507A31">
      <w:pPr>
        <w:jc w:val="both"/>
        <w:rPr>
          <w:bCs/>
          <w:color w:val="000000" w:themeColor="text1"/>
          <w:sz w:val="16"/>
          <w:szCs w:val="16"/>
        </w:rPr>
      </w:pPr>
      <w:r w:rsidRPr="00507A31">
        <w:rPr>
          <w:color w:val="000000" w:themeColor="text1"/>
          <w:sz w:val="16"/>
          <w:szCs w:val="16"/>
        </w:rPr>
        <w:t>Акт «опознания по фотографии» С. А. Предтеченским сотрудника французского посольства. Между 17 и 18 ноября 1930 г.</w:t>
      </w:r>
    </w:p>
    <w:p w14:paraId="1656ABAD" w14:textId="77777777" w:rsidR="00795B1A" w:rsidRPr="00507A31" w:rsidRDefault="00795B1A" w:rsidP="00507A31">
      <w:pPr>
        <w:jc w:val="both"/>
        <w:rPr>
          <w:bCs/>
          <w:color w:val="000000" w:themeColor="text1"/>
          <w:sz w:val="16"/>
          <w:szCs w:val="16"/>
        </w:rPr>
      </w:pPr>
      <w:r w:rsidRPr="00507A31">
        <w:rPr>
          <w:bCs/>
          <w:color w:val="000000" w:themeColor="text1"/>
          <w:sz w:val="16"/>
          <w:szCs w:val="16"/>
        </w:rPr>
        <w:t>Источник: </w:t>
      </w:r>
    </w:p>
    <w:p w14:paraId="1604CE9D" w14:textId="77777777" w:rsidR="00795B1A" w:rsidRPr="00507A31" w:rsidRDefault="00795B1A" w:rsidP="00507A31">
      <w:pPr>
        <w:jc w:val="both"/>
        <w:rPr>
          <w:color w:val="000000" w:themeColor="text1"/>
          <w:sz w:val="16"/>
          <w:szCs w:val="16"/>
        </w:rPr>
      </w:pPr>
      <w:r w:rsidRPr="00507A31">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770A71" w14:textId="77777777" w:rsidR="00795B1A" w:rsidRPr="00507A31" w:rsidRDefault="00795B1A" w:rsidP="00507A31">
      <w:pPr>
        <w:pStyle w:val="rteright"/>
        <w:spacing w:before="0" w:after="0"/>
        <w:jc w:val="both"/>
        <w:rPr>
          <w:color w:val="000000" w:themeColor="text1"/>
          <w:sz w:val="16"/>
          <w:szCs w:val="16"/>
        </w:rPr>
      </w:pPr>
      <w:r w:rsidRPr="00507A31">
        <w:rPr>
          <w:color w:val="000000" w:themeColor="text1"/>
          <w:sz w:val="16"/>
          <w:szCs w:val="16"/>
        </w:rPr>
        <w:t>Между 17 и 18 ноября 1930 г.</w:t>
      </w:r>
    </w:p>
    <w:p w14:paraId="5ED86DBC" w14:textId="77777777" w:rsidR="00795B1A" w:rsidRPr="00507A31" w:rsidRDefault="00795B1A" w:rsidP="00507A31">
      <w:pPr>
        <w:pStyle w:val="ae"/>
        <w:spacing w:before="0" w:after="0"/>
        <w:jc w:val="both"/>
        <w:rPr>
          <w:color w:val="000000" w:themeColor="text1"/>
          <w:sz w:val="16"/>
          <w:szCs w:val="16"/>
        </w:rPr>
      </w:pPr>
      <w:r w:rsidRPr="00507A31">
        <w:rPr>
          <w:color w:val="000000" w:themeColor="text1"/>
          <w:sz w:val="16"/>
          <w:szCs w:val="16"/>
        </w:rPr>
        <w:t>Акт</w:t>
      </w:r>
    </w:p>
    <w:p w14:paraId="2FF6B996"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Мною, пом. нач. IV отделения СО ОГПУ Черток в присутствии пом. нач. III отделения СО ОГПУ Радзивиловского были предъявлены инженеру Сергею Алексеевичу Предтеченскому семь карточек служащих французского посольства. Предтеченским среди этих карточек был опознан служащий французского посольства Кюфер, которому Предтеченский передавал оружие боевой организации «Промпартии» на Казанском вокзале в августе м-це с. г.</w:t>
      </w:r>
    </w:p>
    <w:p w14:paraId="273A85BD"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Изложенное удостоверяем своими подписями.</w:t>
      </w:r>
    </w:p>
    <w:p w14:paraId="0B2959C3"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Пом. нач. IV отд. СО ОГПУ Черток</w:t>
      </w:r>
    </w:p>
    <w:p w14:paraId="4C6546DC"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Пом. нач. III отд. СО ОГПУ Радзивиловский</w:t>
      </w:r>
    </w:p>
    <w:p w14:paraId="645C4887" w14:textId="77777777" w:rsidR="00795B1A" w:rsidRPr="00507A31" w:rsidRDefault="00795B1A" w:rsidP="00507A31">
      <w:pPr>
        <w:pStyle w:val="rtejustify"/>
        <w:spacing w:before="0" w:after="0"/>
        <w:rPr>
          <w:color w:val="000000" w:themeColor="text1"/>
          <w:sz w:val="16"/>
          <w:szCs w:val="16"/>
        </w:rPr>
      </w:pPr>
      <w:r w:rsidRPr="00507A31">
        <w:rPr>
          <w:color w:val="000000" w:themeColor="text1"/>
          <w:sz w:val="16"/>
          <w:szCs w:val="16"/>
        </w:rPr>
        <w:t>Сергей Алексеевич Предтеченский</w:t>
      </w:r>
    </w:p>
    <w:p w14:paraId="43573E61" w14:textId="77777777" w:rsidR="00795B1A" w:rsidRPr="00507A31" w:rsidRDefault="00795B1A" w:rsidP="00507A31">
      <w:pPr>
        <w:pStyle w:val="ae"/>
        <w:spacing w:before="0" w:after="0"/>
        <w:jc w:val="both"/>
        <w:rPr>
          <w:color w:val="000000" w:themeColor="text1"/>
          <w:sz w:val="16"/>
          <w:szCs w:val="16"/>
        </w:rPr>
      </w:pPr>
      <w:r w:rsidRPr="00507A31">
        <w:rPr>
          <w:rStyle w:val="af0"/>
          <w:i w:val="0"/>
          <w:color w:val="000000" w:themeColor="text1"/>
          <w:sz w:val="16"/>
          <w:szCs w:val="16"/>
        </w:rPr>
        <w:t>ЦА ФСБ РФ. Ф. Р-42280. Т. 3. Л. 32-32 об. Рукописный подлинник, написанный рукой И. Черток, подписи — автографы. Датируется по сопутствующим документам.</w:t>
      </w:r>
    </w:p>
    <w:p w14:paraId="0500F931" w14:textId="77777777" w:rsidR="00795B1A" w:rsidRPr="00507A31" w:rsidRDefault="00795B1A" w:rsidP="00507A31">
      <w:pPr>
        <w:pStyle w:val="ae"/>
        <w:spacing w:before="0" w:after="0"/>
        <w:jc w:val="both"/>
        <w:rPr>
          <w:color w:val="000000" w:themeColor="text1"/>
          <w:sz w:val="16"/>
          <w:szCs w:val="16"/>
        </w:rPr>
      </w:pPr>
      <w:r w:rsidRPr="00507A31">
        <w:rPr>
          <w:rStyle w:val="af0"/>
          <w:i w:val="0"/>
          <w:color w:val="000000" w:themeColor="text1"/>
          <w:sz w:val="16"/>
          <w:szCs w:val="16"/>
        </w:rPr>
        <w:t>АП РФ. Ф. 3. On. 58. Д. 356. Л. 32. Заверенная машинописная копия того времени с датой «18/ХI-30 т.», написанной от руки.</w:t>
      </w:r>
    </w:p>
    <w:p w14:paraId="11647A23" w14:textId="77777777" w:rsidR="00795B1A" w:rsidRPr="00507A31" w:rsidRDefault="00795B1A" w:rsidP="00507A31">
      <w:pPr>
        <w:pStyle w:val="ae"/>
        <w:spacing w:before="0" w:after="0"/>
        <w:jc w:val="both"/>
        <w:rPr>
          <w:color w:val="000000" w:themeColor="text1"/>
          <w:sz w:val="16"/>
          <w:szCs w:val="16"/>
        </w:rPr>
      </w:pPr>
      <w:r w:rsidRPr="00507A31">
        <w:rPr>
          <w:rStyle w:val="af0"/>
          <w:i w:val="0"/>
          <w:color w:val="000000" w:themeColor="text1"/>
          <w:sz w:val="16"/>
          <w:szCs w:val="16"/>
        </w:rPr>
        <w:t>Опубликовано: Судебный процесс «Промпартии»... Кн. 1. М., 2016. С. 576-577 (18735).</w:t>
      </w:r>
    </w:p>
    <w:p w14:paraId="56AE4012" w14:textId="77777777" w:rsidR="00795B1A" w:rsidRPr="00507A31" w:rsidRDefault="00795B1A" w:rsidP="00507A31">
      <w:pPr>
        <w:jc w:val="both"/>
        <w:rPr>
          <w:color w:val="000000" w:themeColor="text1"/>
          <w:sz w:val="16"/>
          <w:szCs w:val="16"/>
        </w:rPr>
      </w:pPr>
    </w:p>
    <w:p w14:paraId="75DCC49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16E845C" w14:textId="77777777" w:rsidR="00537E5F" w:rsidRPr="00507A31" w:rsidRDefault="00537E5F" w:rsidP="00507A31">
      <w:pPr>
        <w:autoSpaceDE w:val="0"/>
        <w:autoSpaceDN w:val="0"/>
        <w:adjustRightInd w:val="0"/>
        <w:jc w:val="both"/>
        <w:rPr>
          <w:iCs/>
          <w:color w:val="000000" w:themeColor="text1"/>
          <w:sz w:val="16"/>
          <w:szCs w:val="16"/>
        </w:rPr>
      </w:pPr>
    </w:p>
    <w:p w14:paraId="77D89D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ноября 1930 на конференции по экономическим вопросам в Женеве обсуждают мировой кризис (3481</w:t>
      </w:r>
    </w:p>
    <w:p w14:paraId="4C212C26" w14:textId="77777777" w:rsidR="00537E5F" w:rsidRPr="00507A31" w:rsidRDefault="00537E5F" w:rsidP="00507A31">
      <w:pPr>
        <w:autoSpaceDE w:val="0"/>
        <w:autoSpaceDN w:val="0"/>
        <w:adjustRightInd w:val="0"/>
        <w:jc w:val="both"/>
        <w:rPr>
          <w:iCs/>
          <w:color w:val="000000" w:themeColor="text1"/>
          <w:sz w:val="16"/>
          <w:szCs w:val="16"/>
        </w:rPr>
      </w:pPr>
    </w:p>
    <w:p w14:paraId="2FA7867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8DD98AF" w14:textId="77777777" w:rsidR="00537E5F" w:rsidRPr="00507A31" w:rsidRDefault="00537E5F" w:rsidP="00507A31">
      <w:pPr>
        <w:autoSpaceDE w:val="0"/>
        <w:autoSpaceDN w:val="0"/>
        <w:adjustRightInd w:val="0"/>
        <w:jc w:val="both"/>
        <w:rPr>
          <w:iCs/>
          <w:color w:val="000000" w:themeColor="text1"/>
          <w:sz w:val="16"/>
          <w:szCs w:val="16"/>
        </w:rPr>
      </w:pPr>
    </w:p>
    <w:p w14:paraId="7837402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18 ноября 1930 года П.И.Баранов приказал передать ЦАГИ самолет ТБ1 с завода № 22 (6925).</w:t>
      </w:r>
    </w:p>
    <w:p w14:paraId="7AA5C69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4BFF980" w14:textId="77777777" w:rsidR="00080F0E" w:rsidRPr="00507A31" w:rsidRDefault="00080F0E"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3D38655" w14:textId="77777777" w:rsidR="00080F0E" w:rsidRPr="00507A31" w:rsidRDefault="00080F0E" w:rsidP="00507A31">
      <w:pPr>
        <w:autoSpaceDE w:val="0"/>
        <w:autoSpaceDN w:val="0"/>
        <w:adjustRightInd w:val="0"/>
        <w:jc w:val="both"/>
        <w:rPr>
          <w:iCs/>
          <w:color w:val="000000" w:themeColor="text1"/>
          <w:sz w:val="16"/>
          <w:szCs w:val="16"/>
        </w:rPr>
      </w:pPr>
    </w:p>
    <w:p w14:paraId="34D534C2" w14:textId="77777777" w:rsidR="00080F0E" w:rsidRPr="00507A31" w:rsidRDefault="00080F0E" w:rsidP="00507A31">
      <w:pPr>
        <w:pStyle w:val="ae"/>
        <w:shd w:val="clear" w:color="auto" w:fill="FFFFFF"/>
        <w:spacing w:before="0" w:after="0"/>
        <w:jc w:val="both"/>
        <w:rPr>
          <w:color w:val="000000" w:themeColor="text1"/>
          <w:sz w:val="16"/>
          <w:szCs w:val="16"/>
        </w:rPr>
      </w:pPr>
      <w:r w:rsidRPr="00507A31">
        <w:rPr>
          <w:color w:val="000000" w:themeColor="text1"/>
          <w:sz w:val="16"/>
          <w:szCs w:val="16"/>
        </w:rPr>
        <w:t xml:space="preserve">18 ноября 1930 года число Т-18 для постройки в 1931 сократилось с 720 танков до 550 штук. Позже количество Т-18 сократилось ещё в несколько раз (до 144 штук), зато появились грандиозные планы на постройку 555 Т-20 и 25 Т-19. Правда, они так и остались на бумаге. Дело в том, что у Т-18 появился опасный конкурент — английский танк </w:t>
      </w:r>
      <w:hyperlink r:id="rId169" w:history="1">
        <w:r w:rsidRPr="00507A31">
          <w:rPr>
            <w:rStyle w:val="a5"/>
            <w:color w:val="000000" w:themeColor="text1"/>
            <w:sz w:val="16"/>
            <w:szCs w:val="16"/>
            <w:u w:val="none"/>
          </w:rPr>
          <w:t>Vickers Mk.E</w:t>
        </w:r>
      </w:hyperlink>
      <w:r w:rsidRPr="00507A31">
        <w:rPr>
          <w:color w:val="000000" w:themeColor="text1"/>
          <w:sz w:val="16"/>
          <w:szCs w:val="16"/>
        </w:rPr>
        <w:t>, принятый на вооружение Красной армии как Т-26. Шукалов старался отстоять свои машины, но командование Красной армии понимало, что английская машина лучше. Она существенно превосходила по подвижности не только Т-18, но и все похожие разработки КБ ОАТ. Также английский танк был проще по конструкции, и даже его двухбашенный вариант (Vickers Mk.E Type A) теоретически можно было вооружить 37-мм пушкой. К февралю 1931 года было принято решение о начале производства Т-26 на «Большевике» (17724).</w:t>
      </w:r>
    </w:p>
    <w:p w14:paraId="7255D40F" w14:textId="77777777" w:rsidR="00080F0E" w:rsidRPr="00507A31" w:rsidRDefault="00080F0E" w:rsidP="00507A31">
      <w:pPr>
        <w:jc w:val="both"/>
        <w:rPr>
          <w:color w:val="000000" w:themeColor="text1"/>
          <w:sz w:val="16"/>
          <w:szCs w:val="16"/>
        </w:rPr>
      </w:pPr>
    </w:p>
    <w:p w14:paraId="61B53EA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01309802" w14:textId="77777777" w:rsidR="00537E5F" w:rsidRPr="00507A31" w:rsidRDefault="00537E5F" w:rsidP="00507A31">
      <w:pPr>
        <w:autoSpaceDE w:val="0"/>
        <w:autoSpaceDN w:val="0"/>
        <w:adjustRightInd w:val="0"/>
        <w:jc w:val="both"/>
        <w:rPr>
          <w:iCs/>
          <w:color w:val="000000" w:themeColor="text1"/>
          <w:sz w:val="16"/>
          <w:szCs w:val="16"/>
        </w:rPr>
      </w:pPr>
    </w:p>
    <w:p w14:paraId="40443F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ноября 1930 в город Чжайланор вошли части ОКДВА. В тот же день благодаря поддержке авиации удалось занять станцию Манчжурия. Затем авиация активно использо</w:t>
      </w:r>
      <w:r w:rsidRPr="00507A31">
        <w:rPr>
          <w:color w:val="000000" w:themeColor="text1"/>
          <w:sz w:val="16"/>
          <w:szCs w:val="16"/>
        </w:rPr>
        <w:softHyphen/>
        <w:t>валась на Хайларском направлении (10667).</w:t>
      </w:r>
    </w:p>
    <w:p w14:paraId="153E0848" w14:textId="77777777" w:rsidR="00537E5F" w:rsidRPr="00507A31" w:rsidRDefault="00537E5F" w:rsidP="00507A31">
      <w:pPr>
        <w:autoSpaceDE w:val="0"/>
        <w:autoSpaceDN w:val="0"/>
        <w:adjustRightInd w:val="0"/>
        <w:jc w:val="both"/>
        <w:rPr>
          <w:color w:val="000000" w:themeColor="text1"/>
          <w:sz w:val="16"/>
          <w:szCs w:val="16"/>
        </w:rPr>
      </w:pPr>
    </w:p>
    <w:p w14:paraId="07D068C8" w14:textId="77777777" w:rsidR="00151B93" w:rsidRPr="00507A31" w:rsidRDefault="00151B93"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1508417" w14:textId="77777777" w:rsidR="00151B93" w:rsidRPr="00507A31" w:rsidRDefault="00151B93" w:rsidP="00507A31">
      <w:pPr>
        <w:autoSpaceDE w:val="0"/>
        <w:autoSpaceDN w:val="0"/>
        <w:adjustRightInd w:val="0"/>
        <w:jc w:val="both"/>
        <w:rPr>
          <w:iCs/>
          <w:color w:val="000000" w:themeColor="text1"/>
          <w:sz w:val="16"/>
          <w:szCs w:val="16"/>
        </w:rPr>
      </w:pPr>
    </w:p>
    <w:p w14:paraId="68E8527A" w14:textId="77777777" w:rsidR="00151B93" w:rsidRPr="00507A31" w:rsidRDefault="00151B93" w:rsidP="00507A31">
      <w:pPr>
        <w:jc w:val="both"/>
        <w:rPr>
          <w:color w:val="000000" w:themeColor="text1"/>
          <w:sz w:val="16"/>
          <w:szCs w:val="16"/>
        </w:rPr>
      </w:pPr>
      <w:r w:rsidRPr="00507A31">
        <w:rPr>
          <w:color w:val="000000" w:themeColor="text1"/>
          <w:sz w:val="16"/>
          <w:szCs w:val="16"/>
        </w:rPr>
        <w:t>18 ноября 1930 г.</w:t>
      </w:r>
    </w:p>
    <w:p w14:paraId="33B0F048" w14:textId="77777777" w:rsidR="00151B93" w:rsidRPr="00507A31" w:rsidRDefault="00151B93" w:rsidP="00507A31">
      <w:pPr>
        <w:jc w:val="both"/>
        <w:rPr>
          <w:color w:val="000000" w:themeColor="text1"/>
          <w:sz w:val="16"/>
          <w:szCs w:val="16"/>
        </w:rPr>
      </w:pPr>
      <w:r w:rsidRPr="00507A31">
        <w:rPr>
          <w:color w:val="000000" w:themeColor="text1"/>
          <w:sz w:val="16"/>
          <w:szCs w:val="16"/>
        </w:rPr>
        <w:t>Информация газеты «Известия» о начале процесса «Промпартии». 18 ноября 1930 г.</w:t>
      </w:r>
    </w:p>
    <w:p w14:paraId="25FECB75" w14:textId="77777777" w:rsidR="00151B93" w:rsidRPr="00507A31" w:rsidRDefault="00151B93" w:rsidP="00507A31">
      <w:pPr>
        <w:jc w:val="both"/>
        <w:rPr>
          <w:color w:val="000000" w:themeColor="text1"/>
          <w:sz w:val="16"/>
          <w:szCs w:val="16"/>
        </w:rPr>
      </w:pPr>
      <w:r w:rsidRPr="00507A31">
        <w:rPr>
          <w:color w:val="000000" w:themeColor="text1"/>
          <w:sz w:val="16"/>
          <w:szCs w:val="16"/>
        </w:rPr>
        <w:t>Источник: </w:t>
      </w:r>
    </w:p>
    <w:p w14:paraId="3ACFFE0D" w14:textId="77777777" w:rsidR="00151B93" w:rsidRPr="00507A31" w:rsidRDefault="00151B9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521B8D" w14:textId="77777777" w:rsidR="00151B93" w:rsidRPr="00507A31" w:rsidRDefault="00151B93" w:rsidP="00507A31">
      <w:pPr>
        <w:jc w:val="both"/>
        <w:rPr>
          <w:color w:val="000000" w:themeColor="text1"/>
          <w:sz w:val="16"/>
          <w:szCs w:val="16"/>
        </w:rPr>
      </w:pPr>
      <w:r w:rsidRPr="00507A31">
        <w:rPr>
          <w:color w:val="000000" w:themeColor="text1"/>
          <w:sz w:val="16"/>
          <w:szCs w:val="16"/>
        </w:rPr>
        <w:t>18 ноября 1930 г.</w:t>
      </w:r>
    </w:p>
    <w:p w14:paraId="60F7E077" w14:textId="77777777" w:rsidR="00151B93" w:rsidRPr="00507A31" w:rsidRDefault="00151B93" w:rsidP="00507A31">
      <w:pPr>
        <w:jc w:val="both"/>
        <w:rPr>
          <w:color w:val="000000" w:themeColor="text1"/>
          <w:sz w:val="16"/>
          <w:szCs w:val="16"/>
        </w:rPr>
      </w:pPr>
      <w:r w:rsidRPr="00507A31">
        <w:rPr>
          <w:color w:val="000000" w:themeColor="text1"/>
          <w:sz w:val="16"/>
          <w:szCs w:val="16"/>
        </w:rPr>
        <w:t>Процесс контрреволюционной организации «Союз инженерных</w:t>
      </w:r>
    </w:p>
    <w:p w14:paraId="206B12D1" w14:textId="77777777" w:rsidR="00151B93" w:rsidRPr="00507A31" w:rsidRDefault="00151B93" w:rsidP="00507A31">
      <w:pPr>
        <w:jc w:val="both"/>
        <w:rPr>
          <w:color w:val="000000" w:themeColor="text1"/>
          <w:sz w:val="16"/>
          <w:szCs w:val="16"/>
        </w:rPr>
      </w:pPr>
      <w:r w:rsidRPr="00507A31">
        <w:rPr>
          <w:color w:val="000000" w:themeColor="text1"/>
          <w:sz w:val="16"/>
          <w:szCs w:val="16"/>
        </w:rPr>
        <w:t>организаций» (Промпартия) начинается 25 ноября.</w:t>
      </w:r>
    </w:p>
    <w:p w14:paraId="46BDB0BF" w14:textId="77777777" w:rsidR="00151B93" w:rsidRPr="00507A31" w:rsidRDefault="00151B93" w:rsidP="00507A31">
      <w:pPr>
        <w:jc w:val="both"/>
        <w:rPr>
          <w:color w:val="000000" w:themeColor="text1"/>
          <w:sz w:val="16"/>
          <w:szCs w:val="16"/>
        </w:rPr>
      </w:pPr>
      <w:r w:rsidRPr="00507A31">
        <w:rPr>
          <w:color w:val="000000" w:themeColor="text1"/>
          <w:sz w:val="16"/>
          <w:szCs w:val="16"/>
        </w:rPr>
        <w:t>Дело о контрреволюционной организации «Союз инженерных организаций» («Промышленная партия») назначено к слушанию 25 ноября с. г. в специальном судебном присутствии Верховного суда СССР в составе председательствующего тов. Вышинского, А. Я., членов: т.т. Антонова-Саратовского, В. П. — члена Верховного суда Союза, Львова, В. Л. — рабочего завода «АМО» и запасного судьи т. Иванова, П. А. — рабочего завода «Красный Путиловец». Государственным обвинителем выступит тов. Крыленко, Н. В.</w:t>
      </w:r>
    </w:p>
    <w:p w14:paraId="76325A89" w14:textId="77777777" w:rsidR="00151B93" w:rsidRPr="00507A31" w:rsidRDefault="00151B93" w:rsidP="00507A31">
      <w:pPr>
        <w:jc w:val="both"/>
        <w:rPr>
          <w:color w:val="000000" w:themeColor="text1"/>
          <w:sz w:val="16"/>
          <w:szCs w:val="16"/>
        </w:rPr>
      </w:pPr>
      <w:r w:rsidRPr="00507A31">
        <w:rPr>
          <w:color w:val="000000" w:themeColor="text1"/>
          <w:sz w:val="16"/>
          <w:szCs w:val="16"/>
        </w:rPr>
        <w:t>Д. 355. Л. 203. Типографский экземпляр того времени, вырезка из газеты «Известия». Вверху листа напечатано «“ИЗВЕСТИЯ” от 18.XI.30 г. №317» (18617).</w:t>
      </w:r>
    </w:p>
    <w:p w14:paraId="04C84118" w14:textId="77777777" w:rsidR="00151B93" w:rsidRPr="00507A31" w:rsidRDefault="00151B93" w:rsidP="00507A31">
      <w:pPr>
        <w:jc w:val="both"/>
        <w:rPr>
          <w:color w:val="000000" w:themeColor="text1"/>
          <w:sz w:val="16"/>
          <w:szCs w:val="16"/>
        </w:rPr>
      </w:pPr>
    </w:p>
    <w:p w14:paraId="1175EAFF" w14:textId="77777777" w:rsidR="00151B93" w:rsidRPr="00507A31" w:rsidRDefault="00151B93"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73C4F1BB" w14:textId="77777777" w:rsidR="00151B93" w:rsidRPr="00507A31" w:rsidRDefault="00151B93" w:rsidP="00507A31">
      <w:pPr>
        <w:autoSpaceDE w:val="0"/>
        <w:autoSpaceDN w:val="0"/>
        <w:adjustRightInd w:val="0"/>
        <w:jc w:val="both"/>
        <w:rPr>
          <w:iCs/>
          <w:color w:val="000000" w:themeColor="text1"/>
          <w:sz w:val="16"/>
          <w:szCs w:val="16"/>
        </w:rPr>
      </w:pPr>
    </w:p>
    <w:p w14:paraId="657A7C81" w14:textId="77777777" w:rsidR="00151B93" w:rsidRPr="00507A31" w:rsidRDefault="00151B93" w:rsidP="00507A31">
      <w:pPr>
        <w:jc w:val="both"/>
        <w:rPr>
          <w:bCs/>
          <w:color w:val="000000" w:themeColor="text1"/>
          <w:sz w:val="16"/>
          <w:szCs w:val="16"/>
        </w:rPr>
      </w:pPr>
      <w:r w:rsidRPr="00507A31">
        <w:rPr>
          <w:color w:val="000000" w:themeColor="text1"/>
          <w:sz w:val="16"/>
          <w:szCs w:val="16"/>
        </w:rPr>
        <w:t>О франко-советских отношениях. Из «Бюллетеня не для печати № 304 иностранной информации ТАСС». 18 ноября 1930 г.</w:t>
      </w:r>
    </w:p>
    <w:p w14:paraId="27075E85" w14:textId="77777777" w:rsidR="00151B93" w:rsidRPr="00507A31" w:rsidRDefault="00151B93" w:rsidP="00507A31">
      <w:pPr>
        <w:jc w:val="both"/>
        <w:rPr>
          <w:bCs/>
          <w:color w:val="000000" w:themeColor="text1"/>
          <w:sz w:val="16"/>
          <w:szCs w:val="16"/>
        </w:rPr>
      </w:pPr>
      <w:r w:rsidRPr="00507A31">
        <w:rPr>
          <w:bCs/>
          <w:color w:val="000000" w:themeColor="text1"/>
          <w:sz w:val="16"/>
          <w:szCs w:val="16"/>
        </w:rPr>
        <w:t>Источник: </w:t>
      </w:r>
    </w:p>
    <w:p w14:paraId="60C1DF3E" w14:textId="77777777" w:rsidR="00151B93" w:rsidRPr="00507A31" w:rsidRDefault="00151B9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9E3FF1" w14:textId="77777777" w:rsidR="00151B93" w:rsidRPr="00507A31" w:rsidRDefault="00151B93" w:rsidP="00507A31">
      <w:pPr>
        <w:jc w:val="both"/>
        <w:rPr>
          <w:bCs/>
          <w:color w:val="000000" w:themeColor="text1"/>
          <w:sz w:val="16"/>
          <w:szCs w:val="16"/>
        </w:rPr>
      </w:pPr>
      <w:r w:rsidRPr="00507A31">
        <w:rPr>
          <w:bCs/>
          <w:color w:val="000000" w:themeColor="text1"/>
          <w:sz w:val="16"/>
          <w:szCs w:val="16"/>
        </w:rPr>
        <w:t>Архив: </w:t>
      </w:r>
    </w:p>
    <w:p w14:paraId="3A07C20A" w14:textId="77777777" w:rsidR="00151B93" w:rsidRPr="00507A31" w:rsidRDefault="00151B93" w:rsidP="00507A31">
      <w:pPr>
        <w:jc w:val="both"/>
        <w:rPr>
          <w:color w:val="000000" w:themeColor="text1"/>
          <w:sz w:val="16"/>
          <w:szCs w:val="16"/>
        </w:rPr>
      </w:pPr>
      <w:r w:rsidRPr="00507A31">
        <w:rPr>
          <w:color w:val="000000" w:themeColor="text1"/>
          <w:sz w:val="16"/>
          <w:szCs w:val="16"/>
        </w:rPr>
        <w:t>АВП РФ. Ф. 0136. On. 14. П. 140. Д. 593. Л. 97-98</w:t>
      </w:r>
    </w:p>
    <w:p w14:paraId="56ABCA08" w14:textId="77777777" w:rsidR="00151B93" w:rsidRPr="00507A31" w:rsidRDefault="00151B93" w:rsidP="00507A31">
      <w:pPr>
        <w:pStyle w:val="rteright"/>
        <w:spacing w:before="0" w:after="0"/>
        <w:jc w:val="both"/>
        <w:rPr>
          <w:color w:val="000000" w:themeColor="text1"/>
          <w:sz w:val="16"/>
          <w:szCs w:val="16"/>
        </w:rPr>
      </w:pPr>
      <w:r w:rsidRPr="00507A31">
        <w:rPr>
          <w:color w:val="000000" w:themeColor="text1"/>
          <w:sz w:val="16"/>
          <w:szCs w:val="16"/>
        </w:rPr>
        <w:t>от 18 ноября 1930 г.</w:t>
      </w:r>
    </w:p>
    <w:p w14:paraId="17726AED" w14:textId="77777777" w:rsidR="00151B93" w:rsidRPr="00507A31" w:rsidRDefault="00151B93"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1B7CCDA8"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304</w:t>
      </w:r>
    </w:p>
    <w:p w14:paraId="1DEA6B6B"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18/XI-30 г.</w:t>
      </w:r>
    </w:p>
    <w:p w14:paraId="4527A2FD"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Лист № 1-ый</w:t>
      </w:r>
    </w:p>
    <w:p w14:paraId="1CA4A9D1"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К ФРАНКО-СОВЕТСКИМ ОТНОШЕНИЯМ.</w:t>
      </w:r>
    </w:p>
    <w:p w14:paraId="74136B9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ЯГ. 889. ПАРИЖ, 17/XI. (Тасс). — «Журналь де Деба» в редакционной статье, посвященной демаршу французского посла в Москве Эрбета, пишет: «Нас прощупывают. Русское правительство выдвигает свое острие, чтобы узнать, до каких пределов простирается наша простота. Советы играют только на свой выигрыш. С того момента, как мы согласились восстановить и сохранять под видом посольства очаг интриг и антифранцузских предприятий, очаг, деятельность которого даже не скрывается, совершенно очевидно, что нет никакой необходимости в каком[-]либо стеснении. Восстановление дипломатических отношений с СССР оправдывалось перспективой соглашения по вопросу о русских долгах. Русские займы консолидированы фактически в размере 4%, поскольку нынешняя котировка их составляет 4 франка за сто. Эта часть программы, очевидно, принесла полное удовлетворение. Россия могла бы погасить всю сумму своего долга в золоте, закупив его в бумагах путем определенных ежегодных взносов. Можно сказать, что это даром. Россия, однако, этого не делает, потому что у нее есть принципы, в числе которых первое место занимает принцип проверки, как далеко могут пойти в своей глупости буржуазные государства. Из этих государств Франция считается наиболее подходящей для того, чтобы ее вести за нос.</w:t>
      </w:r>
    </w:p>
    <w:p w14:paraId="2813C10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Вторая причина, которая выдвигалась в качестве аргумента за возобновление дипломатических отношений с Россией, заключалась в том, что, имея посла в Москве, легче получить объяснения — за отсутствием удовлетворения — в случае затруднений. Чтобы доказать ценность этих дипломатических интервенций, министр иностранных дел нам сообщает, что наш посол вручил заместителю народного комиссара по иностранным делам “энергичный протест”. Мы, конечно, не знаем ответа заместителя народного комиссара».</w:t>
      </w:r>
    </w:p>
    <w:p w14:paraId="18E0C12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Дальше газета пишет: «Будущие историки никак не сумеют объяснить жалкое поведение нынешних законных правительств по отношению к банде террористов, которые держатся только на крови внутри страны и на ироническом блефе во вне».</w:t>
      </w:r>
    </w:p>
    <w:p w14:paraId="015E8A9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(Продолжение следует)</w:t>
      </w:r>
    </w:p>
    <w:p w14:paraId="22F7E77A"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304</w:t>
      </w:r>
    </w:p>
    <w:p w14:paraId="1B77E946"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18/XI-30 г.</w:t>
      </w:r>
    </w:p>
    <w:p w14:paraId="623CD903"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lastRenderedPageBreak/>
        <w:t>Лист № 2-ой</w:t>
      </w:r>
    </w:p>
    <w:p w14:paraId="535E419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(Продолжение) </w:t>
      </w:r>
    </w:p>
    <w:p w14:paraId="6206F274"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Роялистская «Аксион Франсоз» публикует ту часть статьи «Журналь де Деба», в которой говорится о долгах, снабжая ее заголовком «Держателям русских ценностей».</w:t>
      </w:r>
    </w:p>
    <w:p w14:paraId="3F90399C"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«Репюблик», цитируя в обзоре прессы ту же статью, снабжает ее примечанием: «Автор статьи в “Журналь де Деба” не был в России и не знает ее. Ни под каким видом не следует прислушиваться к речам “Журналь де Деба”. Не желая того, “Журналь де Деба” с трагической бессознательностью толкает к войне».</w:t>
      </w:r>
    </w:p>
    <w:p w14:paraId="1AFEFDF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«Эр Нувель» напоминает, что на днях на ее страницах была опубликована статья Дальбьеза, который призывал к «единообразию концентрированной политики всего мира» по отношению к СССР и заявляет, что «вся политика Советов сводится к созданию беспорядков во всех областях жизни». «Это выражается, — говорит газета, — в прямом вмешательстве в социальные дискуссии, политические конфликты, в сговоре с военными партиями Германии и Италии, в демпинге. Теперь деятельность Советов выступает в новом плане, она выражается в опубликовании обвинительного акта против промышленной партии. В ответ на некоторые места этого обвинительного акта Бриан заявил протест, а Пуанкаре выступил в “Насион” (и “Эксцельсиор”). В то же самое время советская делегация в Женеве предложила некоторые смехотворные демагогические поправки к статьям о морском разоружении. Советский Союз считает, что все средства хороши, чтобы вызвать в странах, переживающих преходящие затруднения, наиболее безрассудные и безумные соблазны. Эти затруднения рассматриваются ими, как последние судороги режима. Мы ответим на это, что есть судороги, опасные для соседей. Более, чем когда[-]либо Европа должна быть бдительной. В настоящем положении это не означает выжидания, а подготовку всех полезных дипломатических действий».</w:t>
      </w:r>
    </w:p>
    <w:p w14:paraId="43620D4D"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АНГЛИЙСКАЯ БУРЖУАЗНАЯ ПЕЧАТЬ</w:t>
      </w:r>
    </w:p>
    <w:p w14:paraId="23A526A1"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О ДЕЛЕ «ПРОМПАРТИИ»</w:t>
      </w:r>
    </w:p>
    <w:p w14:paraId="11C7B84C"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НП. 1958. ЛОНДОН, 17/XI. (Тасс). — Отвергая обвинения в части подготовки интервенции международными империалистами, «Таймс» приводит в качестве единственного аргумента сообщение о протесте французского правительства против обвинений, выдвинутых против французских министров и генерального штаба.</w:t>
      </w:r>
    </w:p>
    <w:p w14:paraId="35F5EBDD"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Проводимый в Советском Союзе десятидневник обороны английская печать стремится использовать в качестве доказательства военной агрессивности Советского Союза.</w:t>
      </w:r>
    </w:p>
    <w:p w14:paraId="3666563A" w14:textId="77777777" w:rsidR="00151B93" w:rsidRPr="00507A31" w:rsidRDefault="00151B93"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97-98. Машинописный экземпляр того времени, размноженный на ротаторе. На каждом листе вверху гриф («шапка») «НЕ ПОДЛЕЖИТ ОГЛАШЕНИЮ»; рукописная помета «А. Н.» (вверху справа). Внизу слева (подстрочник) — данные о размножении документа. (См. также легенду к док. № 36 — «Отклики» немецкой прессы о процессе «Промпартии» [...]. Из «Бюллетеня не для печати № 302 иностранной информации ТАСС» от 16 ноября 1930 г.) (18966).</w:t>
      </w:r>
    </w:p>
    <w:p w14:paraId="0F06B9DA" w14:textId="77777777" w:rsidR="00151B93" w:rsidRPr="00507A31" w:rsidRDefault="00151B93" w:rsidP="00507A31">
      <w:pPr>
        <w:jc w:val="both"/>
        <w:rPr>
          <w:color w:val="000000" w:themeColor="text1"/>
          <w:sz w:val="16"/>
          <w:szCs w:val="16"/>
        </w:rPr>
      </w:pPr>
    </w:p>
    <w:p w14:paraId="10149E50" w14:textId="77777777" w:rsidR="00151B93" w:rsidRPr="00507A31" w:rsidRDefault="00151B93" w:rsidP="00507A31">
      <w:pPr>
        <w:jc w:val="both"/>
        <w:rPr>
          <w:bCs/>
          <w:color w:val="000000" w:themeColor="text1"/>
          <w:sz w:val="16"/>
          <w:szCs w:val="16"/>
        </w:rPr>
      </w:pPr>
      <w:r w:rsidRPr="00507A31">
        <w:rPr>
          <w:color w:val="000000" w:themeColor="text1"/>
          <w:sz w:val="16"/>
          <w:szCs w:val="16"/>
        </w:rPr>
        <w:t>18[-19] ноября 1930 г.</w:t>
      </w:r>
    </w:p>
    <w:p w14:paraId="020A2CCC" w14:textId="77777777" w:rsidR="00151B93" w:rsidRPr="00507A31" w:rsidRDefault="00151B93" w:rsidP="00507A31">
      <w:pPr>
        <w:jc w:val="both"/>
        <w:rPr>
          <w:bCs/>
          <w:color w:val="000000" w:themeColor="text1"/>
          <w:sz w:val="16"/>
          <w:szCs w:val="16"/>
        </w:rPr>
      </w:pPr>
      <w:r w:rsidRPr="00507A31">
        <w:rPr>
          <w:color w:val="000000" w:themeColor="text1"/>
          <w:sz w:val="16"/>
          <w:szCs w:val="16"/>
        </w:rPr>
        <w:t>«Юманите» о процессе «Промпартии». Из «Иностранной информации ТАСС». 18[-19] ноября 1930 г.</w:t>
      </w:r>
    </w:p>
    <w:p w14:paraId="5B653765" w14:textId="77777777" w:rsidR="00151B93" w:rsidRPr="00507A31" w:rsidRDefault="00151B93" w:rsidP="00507A31">
      <w:pPr>
        <w:jc w:val="both"/>
        <w:rPr>
          <w:bCs/>
          <w:color w:val="000000" w:themeColor="text1"/>
          <w:sz w:val="16"/>
          <w:szCs w:val="16"/>
        </w:rPr>
      </w:pPr>
      <w:r w:rsidRPr="00507A31">
        <w:rPr>
          <w:bCs/>
          <w:color w:val="000000" w:themeColor="text1"/>
          <w:sz w:val="16"/>
          <w:szCs w:val="16"/>
        </w:rPr>
        <w:t>Источник: </w:t>
      </w:r>
    </w:p>
    <w:p w14:paraId="550AFAC1" w14:textId="77777777" w:rsidR="00151B93" w:rsidRPr="00507A31" w:rsidRDefault="00151B9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429F86" w14:textId="77777777" w:rsidR="00151B93" w:rsidRPr="00507A31" w:rsidRDefault="00151B93" w:rsidP="00507A31">
      <w:pPr>
        <w:jc w:val="both"/>
        <w:rPr>
          <w:bCs/>
          <w:color w:val="000000" w:themeColor="text1"/>
          <w:sz w:val="16"/>
          <w:szCs w:val="16"/>
        </w:rPr>
      </w:pPr>
      <w:r w:rsidRPr="00507A31">
        <w:rPr>
          <w:bCs/>
          <w:color w:val="000000" w:themeColor="text1"/>
          <w:sz w:val="16"/>
          <w:szCs w:val="16"/>
        </w:rPr>
        <w:t>Архив: </w:t>
      </w:r>
    </w:p>
    <w:p w14:paraId="13EE9041" w14:textId="77777777" w:rsidR="00151B93" w:rsidRPr="00507A31" w:rsidRDefault="00151B93" w:rsidP="00507A31">
      <w:pPr>
        <w:jc w:val="both"/>
        <w:rPr>
          <w:color w:val="000000" w:themeColor="text1"/>
          <w:sz w:val="16"/>
          <w:szCs w:val="16"/>
        </w:rPr>
      </w:pPr>
      <w:r w:rsidRPr="00507A31">
        <w:rPr>
          <w:color w:val="000000" w:themeColor="text1"/>
          <w:sz w:val="16"/>
          <w:szCs w:val="16"/>
        </w:rPr>
        <w:t>АВП РФ. Ф. 0136. Oп. 14. П. 140. Д. 593. Л. 91, 99</w:t>
      </w:r>
    </w:p>
    <w:p w14:paraId="4220C669"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от 18[-19] ноября 1930 г.</w:t>
      </w:r>
    </w:p>
    <w:p w14:paraId="7E6877D7"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ИНОСТРАННАЯ ИНФОРМАЦИЯ ТАСС 18/XI-1930 г.</w:t>
      </w:r>
    </w:p>
    <w:p w14:paraId="08CA812C"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Дневной выпуск № 8</w:t>
      </w:r>
    </w:p>
    <w:p w14:paraId="5BCA3772"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19. «ЮМАНИТЕ» О ДЕЛЕ «ПРОМПАРТИИ»</w:t>
      </w:r>
    </w:p>
    <w:p w14:paraId="77BDEEAC"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ЯГ. 891. ПАРИЖ. 17/XI. (Тасс). — В связи с опубликованием обвинительного заключения по делу «промышленной партии» «Юманите» (орган компартии) напоминая о требованиях Фоша и Клемансо в 1918 г. установить «санитарный кордон» вокруг Советской России и о недавнем декрете французского правительства, ограничивающего советский ввоз и о безнаказанности подделывателей советских векселей во Франции пишет: «Ни один серьезный человек не может сомневаться, что империалистические влиятельные круги Франции работают над подготовкой антисоветской войны и поддерживают прямые и косвенные связи с белогвардейцами, имеющими в Париже свой генеральный штаб и военную школу». Газета призывает французский рабочий класс в ответ на подготовку контрреволюционной антисоветской войны объединиться вокруг французской коммунистической партии для защиты СССР.</w:t>
      </w:r>
    </w:p>
    <w:p w14:paraId="4C7A29A8"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6. «ЮМАНИТЕ» О «ПРОМЫШЛЕННОЙ ПАРТИИ»</w:t>
      </w:r>
    </w:p>
    <w:p w14:paraId="059CDE8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ГЯ. 893. ПАРИЖ. 18—XI. (ТАСС). — Коммунистическая «Юманите» посвящает статью обвинительному заключению по делу контрреволюционной вредительской организации «Промпартии». «Французские капиталистические магнаты, пишет газета, и их защитники, вроде Дальбиеза и Розенфельда из социалистической “Попюлер”, просчитались. Они не учли в своем балансе бдительности ОГПУ. В результате центральная организация вредителей и контрреволюционеров “Промышленная партия” была раскрыта. Бандиты получат должное возмездие. Империалистские замыслы провалились. В этом отношении рабочие Советского Союза имеют уже большой опыт. Они сбросили в море Врангеля, раздавили Деникина. С этого памятного момента рабочие и крестьяне СССР добились колоссальных успехов в социалистическом строительстве». Газета далее указывает, что СССР сумеет сокрушить всех пытающихся прямо или косвенно задержать реализацию пятилетки и затормозить социалистическое строительство. При каждой контрреволюционной попытке, пишет газета, враги СССР разобьются о “стену несокрушимой солидарности международного пролетариата”».</w:t>
      </w:r>
    </w:p>
    <w:p w14:paraId="6E11F2B3" w14:textId="77777777" w:rsidR="00151B93" w:rsidRPr="00507A31" w:rsidRDefault="00151B93"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91, 99. Машинописный экземпляр того времени, размноженный на ротаторе. Вырезки из ежедневных обзоров иностранной информации ТАСС. На Л. 91 перед заголовком «ИНОСТРАНННАЯ ИНФОРМАЦИЯ [...]» написано от руки прописными буквами «Т А С С», рукописная помета «АН» (вверху справа). На Л. 99 внизу (подстрочник) данные о размножении документа, рукописная помета «3/Л» (18967).</w:t>
      </w:r>
    </w:p>
    <w:p w14:paraId="4198C16D" w14:textId="77777777" w:rsidR="00151B93" w:rsidRPr="00507A31" w:rsidRDefault="00151B93" w:rsidP="00507A31">
      <w:pPr>
        <w:jc w:val="both"/>
        <w:rPr>
          <w:color w:val="000000" w:themeColor="text1"/>
          <w:sz w:val="16"/>
          <w:szCs w:val="16"/>
        </w:rPr>
      </w:pPr>
    </w:p>
    <w:p w14:paraId="1C414AF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FE4B8F3" w14:textId="77777777" w:rsidR="00537E5F" w:rsidRPr="00507A31" w:rsidRDefault="00537E5F" w:rsidP="00507A31">
      <w:pPr>
        <w:autoSpaceDE w:val="0"/>
        <w:autoSpaceDN w:val="0"/>
        <w:adjustRightInd w:val="0"/>
        <w:jc w:val="both"/>
        <w:rPr>
          <w:iCs/>
          <w:color w:val="000000" w:themeColor="text1"/>
          <w:sz w:val="16"/>
          <w:szCs w:val="16"/>
        </w:rPr>
      </w:pPr>
    </w:p>
    <w:p w14:paraId="73B8A49D" w14:textId="77777777" w:rsidR="00F77CE6" w:rsidRPr="00507A31" w:rsidRDefault="00F77CE6" w:rsidP="00507A31">
      <w:pPr>
        <w:jc w:val="both"/>
        <w:rPr>
          <w:color w:val="0070C0"/>
          <w:sz w:val="16"/>
          <w:szCs w:val="16"/>
        </w:rPr>
      </w:pPr>
      <w:r w:rsidRPr="00507A31">
        <w:rPr>
          <w:color w:val="0070C0"/>
          <w:sz w:val="16"/>
          <w:szCs w:val="16"/>
        </w:rPr>
        <w:t>18 ноября 1930 первый полет Boeing Model 96, позже переименованный в Boeing XP-9 (20805).</w:t>
      </w:r>
    </w:p>
    <w:p w14:paraId="0D900F1A" w14:textId="77777777" w:rsidR="00F77CE6" w:rsidRPr="00507A31" w:rsidRDefault="00F77CE6" w:rsidP="00507A31">
      <w:pPr>
        <w:jc w:val="both"/>
        <w:rPr>
          <w:color w:val="0070C0"/>
          <w:sz w:val="16"/>
          <w:szCs w:val="16"/>
        </w:rPr>
      </w:pPr>
    </w:p>
    <w:p w14:paraId="5497FAF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18 ноября 1930 в Японии создана буддистская секта Сока Гаккаи, ставшая мощной политической силой (4962).</w:t>
      </w:r>
    </w:p>
    <w:p w14:paraId="6584F5B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8D3F2C2" w14:textId="77777777" w:rsidR="00151B93" w:rsidRPr="00507A31" w:rsidRDefault="00151B93"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614BE90" w14:textId="77777777" w:rsidR="00151B93" w:rsidRPr="00507A31" w:rsidRDefault="00151B93" w:rsidP="00507A31">
      <w:pPr>
        <w:autoSpaceDE w:val="0"/>
        <w:autoSpaceDN w:val="0"/>
        <w:adjustRightInd w:val="0"/>
        <w:jc w:val="both"/>
        <w:rPr>
          <w:iCs/>
          <w:color w:val="000000" w:themeColor="text1"/>
          <w:sz w:val="16"/>
          <w:szCs w:val="16"/>
        </w:rPr>
      </w:pPr>
    </w:p>
    <w:p w14:paraId="54DF7C18" w14:textId="77777777" w:rsidR="00151B93" w:rsidRPr="00507A31" w:rsidRDefault="00151B93" w:rsidP="00507A31">
      <w:pPr>
        <w:jc w:val="both"/>
        <w:rPr>
          <w:bCs/>
          <w:color w:val="000000" w:themeColor="text1"/>
          <w:sz w:val="16"/>
          <w:szCs w:val="16"/>
        </w:rPr>
      </w:pPr>
      <w:r w:rsidRPr="00507A31">
        <w:rPr>
          <w:color w:val="000000" w:themeColor="text1"/>
          <w:sz w:val="16"/>
          <w:szCs w:val="16"/>
        </w:rPr>
        <w:t>19 ноября 1930 г.</w:t>
      </w:r>
    </w:p>
    <w:p w14:paraId="1CA88022" w14:textId="77777777" w:rsidR="00151B93" w:rsidRPr="00507A31" w:rsidRDefault="00151B93" w:rsidP="00507A31">
      <w:pPr>
        <w:jc w:val="both"/>
        <w:rPr>
          <w:bCs/>
          <w:color w:val="000000" w:themeColor="text1"/>
          <w:sz w:val="16"/>
          <w:szCs w:val="16"/>
        </w:rPr>
      </w:pPr>
      <w:r w:rsidRPr="00507A31">
        <w:rPr>
          <w:color w:val="000000" w:themeColor="text1"/>
          <w:sz w:val="16"/>
          <w:szCs w:val="16"/>
        </w:rPr>
        <w:t>Доклад председателя Госплана СССР Г. М. Кржижановского «Вредительство в энергетике» на заседании секции техники Коммунистической академии. 19 ноября 1930 г.</w:t>
      </w:r>
    </w:p>
    <w:p w14:paraId="074862E9" w14:textId="77777777" w:rsidR="00151B93" w:rsidRPr="00507A31" w:rsidRDefault="00151B93" w:rsidP="00507A31">
      <w:pPr>
        <w:jc w:val="both"/>
        <w:rPr>
          <w:bCs/>
          <w:color w:val="000000" w:themeColor="text1"/>
          <w:sz w:val="16"/>
          <w:szCs w:val="16"/>
        </w:rPr>
      </w:pPr>
      <w:r w:rsidRPr="00507A31">
        <w:rPr>
          <w:bCs/>
          <w:color w:val="000000" w:themeColor="text1"/>
          <w:sz w:val="16"/>
          <w:szCs w:val="16"/>
        </w:rPr>
        <w:t>Источник: </w:t>
      </w:r>
    </w:p>
    <w:p w14:paraId="7F072DDA" w14:textId="77777777" w:rsidR="00151B93" w:rsidRPr="00507A31" w:rsidRDefault="00151B9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7700A7" w14:textId="77777777" w:rsidR="00151B93" w:rsidRPr="00507A31" w:rsidRDefault="00151B93" w:rsidP="00507A31">
      <w:pPr>
        <w:jc w:val="both"/>
        <w:rPr>
          <w:bCs/>
          <w:color w:val="000000" w:themeColor="text1"/>
          <w:sz w:val="16"/>
          <w:szCs w:val="16"/>
        </w:rPr>
      </w:pPr>
      <w:r w:rsidRPr="00507A31">
        <w:rPr>
          <w:bCs/>
          <w:color w:val="000000" w:themeColor="text1"/>
          <w:sz w:val="16"/>
          <w:szCs w:val="16"/>
        </w:rPr>
        <w:t>Архив: </w:t>
      </w:r>
    </w:p>
    <w:p w14:paraId="5D60D544" w14:textId="77777777" w:rsidR="00151B93" w:rsidRPr="00507A31" w:rsidRDefault="00151B93" w:rsidP="00507A31">
      <w:pPr>
        <w:jc w:val="both"/>
        <w:rPr>
          <w:color w:val="000000" w:themeColor="text1"/>
          <w:sz w:val="16"/>
          <w:szCs w:val="16"/>
        </w:rPr>
      </w:pPr>
      <w:r w:rsidRPr="00507A31">
        <w:rPr>
          <w:color w:val="000000" w:themeColor="text1"/>
          <w:sz w:val="16"/>
          <w:szCs w:val="16"/>
        </w:rPr>
        <w:t>Опубликовано: Плановое хозяйство. 1930. № 10—11. С. 5-26.</w:t>
      </w:r>
    </w:p>
    <w:p w14:paraId="66E2804C" w14:textId="77777777" w:rsidR="00151B93" w:rsidRPr="00507A31" w:rsidRDefault="00151B93" w:rsidP="00507A31">
      <w:pPr>
        <w:pStyle w:val="rteright"/>
        <w:spacing w:before="0" w:after="0"/>
        <w:jc w:val="both"/>
        <w:rPr>
          <w:color w:val="000000" w:themeColor="text1"/>
          <w:sz w:val="16"/>
          <w:szCs w:val="16"/>
        </w:rPr>
      </w:pPr>
      <w:r w:rsidRPr="00507A31">
        <w:rPr>
          <w:color w:val="000000" w:themeColor="text1"/>
          <w:sz w:val="16"/>
          <w:szCs w:val="16"/>
        </w:rPr>
        <w:t>19 ноября 1930 г.</w:t>
      </w:r>
    </w:p>
    <w:p w14:paraId="1A60C15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Товарищи, вчера наши газеты обошла следующая телеграмма из Харькова.</w:t>
      </w:r>
    </w:p>
    <w:p w14:paraId="0CE62FB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«Промышленность Донецкого бассейна испытывает острый недостаток в электроэнергии. В последнее время уделяется исключительное внимание обеспечению Донбасса электрической энергией. Но все строительство электростанций в Донбассе проходит недопустимо медленно.</w:t>
      </w:r>
    </w:p>
    <w:p w14:paraId="75C1B57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 настоящее время первая и вторая очереди Штеровской электростанции дают только 32 тыс. киловатт, несмотря на то, что турбины могут давать 64 тыс. киловатт. Вторая очередь Штеровской электростанции, которая должна была быть пущена еще 1 июля 1930 г., до сих пор не действует. Турбины установлены, но с установкой котлов запаздывают на 6 месяцев, и вследствие этого турбины обречены на бездействие. Не лучше положение и со строительством третьей очереди Штеровки. Эта часть строительства также не будет закончена к сроку (1 апреля 1931 г.).</w:t>
      </w:r>
    </w:p>
    <w:p w14:paraId="235C1164"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Строительство Зуевской электростанции остро нуждается в материалах и рабочей силе. Если в ближайшее время не будут приняты меры к снабжению стройматериалами, строительство будет сорвано. С оборудованием положение крайне тревожное. Повторится очевидно штеровская история: турбины установят, но их нельзя будет использовать из-за отсутствия котлов.</w:t>
      </w:r>
    </w:p>
    <w:p w14:paraId="1E13FDC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 xml:space="preserve">Строительство первой очереди электростанции Донсода закончено, однако пуск ее задерживается из-за аварии турбогенератора, который теперь ремонтируется. Для постройки второй очереди турбины и котлы начинают поступать[,] но электрооборудование не заказано Энергостроем до настоящего времени. Всесоюзное </w:t>
      </w:r>
      <w:r w:rsidRPr="00507A31">
        <w:rPr>
          <w:color w:val="000000" w:themeColor="text1"/>
          <w:sz w:val="16"/>
          <w:szCs w:val="16"/>
        </w:rPr>
        <w:lastRenderedPageBreak/>
        <w:t>Электрообъединение сообщает, что основное электрооборудование для электростанции будет готово не ранее 1932 г., а станция должна быть пущена к 1 августа 1931 г. Строительство испытывает большой недостаток в цементе, лесе, кирпиче, а также в рабочей силе.</w:t>
      </w:r>
    </w:p>
    <w:p w14:paraId="7FFB639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 Каменском пуск первой очереди электростанции при заводе им. Дзержинского тоже по всей вероятности будет задержан несвоевременной доставкой котлов. Строительство стройматериалами не обеспечено. Темпы работ неудовлетворительны.</w:t>
      </w:r>
    </w:p>
    <w:p w14:paraId="6A290081"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 дискуссии на заседании президиума ВСНХ отмечалась крайняя неупорядоченность энергетического хозяйства Донбасса. Электростанции Донбасса беспризорны, за ними никто не смотрит. Хозяйственники относятся к энергохозяйству как к подсобному предприятию, и в результате этого в энергохозяйстве имеются тысячи неполадок, неувязок, перебоев. На заседании отмечалось, что потребители энергии новых электростанций не подготовлены к приему тока.[»]</w:t>
      </w:r>
    </w:p>
    <w:p w14:paraId="420554E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Если бы мы читали подобного рода сообщения, не зная нынешних вредительских документов, то пожалуй мы пришли бы к выводу, что перед нами обычная характеристика наших неполадок, нашей хозяйственной расхлябанности. Приходится констатировать, что у нас плановый режим хозяйства, охватывающий огромную страну, сильно прихрамывает еще в важнейшем энергетическом районе. Однако, вчитываясь в показания наших вредителей, мы видим, что перед нами не простая хозяйственная расхлябанность. Здесь налицо определенные ставки и достижения наших классовых врагов. Невольно вспоминается одно из многочисленных показаний Ларичева, предупреждающего, что несмотря на вскрытие вредительских дел и вредительских организаций, потребуется еще весьма большая работа для того, чтобы изжить то зло, которое посеяно вредителями.</w:t>
      </w:r>
    </w:p>
    <w:p w14:paraId="61977F1B"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Разрешите, товарищи, не ограничиваясь цитатами из тех показаний вредителей, которые находятся в настоящее время в наших руках, и ради экономии нашего времени прибегать к некоторой сводке показаний и к сокращенному изложению их. Должен признаться, что изучение этих документов — не легкое дело. Невольно охватывает при этом чувство отвращения. Однако это совершенно необходимо. Ведь недаром нынешние пленники пролетарской власти утверждают, что еще вчера мы были их пленниками. Рамзин горделиво заявляет, что он и его товарищи чувствовали почти неограниченную свободу планирования. Ларичев утверждает, что Госплан — штаб экономической политики — был превращен ими в штаб вредительской политики. Верно ли это? Во всяком случае несомненен тот факт, что в самой непосредственной близости к нам работали наши заклятые враги. Уже много лет тому назад я утверждал, что наша работа планирования отнюдь не просто кабинетное занятие, не просто смелая попытка, опираясь на научные истины социализма, и целых серий точных наук, охватить экономику огромной страны и воплотить идеи плана в опыте миллионов трудящихся. Я утверждал, что для того, чтобы такое воплощение имело место, необходимо вести жесткую борьбу за план. Но, товарищи, я все же не думал, что придется работать в условиях такого прорыва нашего фронта. Вероятно, эту ошибку мою разделяло большинство хозяйственников. Факт остается фактом. Эти враги утверждают, что держали наш штаб в плену. Я утверждаю, что, несмотря на прорывы нашего строительства, несмотря на наш урон в бою, забрать нас в плен врагам нашим оказалось не по плечу.</w:t>
      </w:r>
    </w:p>
    <w:p w14:paraId="0BF41072"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Цель моего доклада — проследить вместе с вами методы и приемы борьбы вредителей и сделать отсюда надлежащие выводы для борьбы в грядущем. А ведь никто из нас не сомневается, что перед нами еще суровый путь борьбы, суровый путь дальнейших испытаний.</w:t>
      </w:r>
    </w:p>
    <w:p w14:paraId="2D278C87"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Говоря о вредительстве в энергетике, на первый план приходится поставить показания двух лиц — Рамзина, который так прямо и пишет, что держал в своих руках общее руководство вредительством в энергетике, и Ларичева, его главного помощника, весьма не поскупившегося на свои показания.</w:t>
      </w:r>
    </w:p>
    <w:p w14:paraId="6146E9D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Фигура Рамзина вероятно достаточно известна присутствующим. Он умел импонировать и диапазоном своих технических знаний и умелой защитой своих положений. Он играл немалую роль и в Государственной комиссии по электрификации.</w:t>
      </w:r>
    </w:p>
    <w:p w14:paraId="7885ABED"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Рамзин обосновывает свою организацию весьма конспиративно составленную. Она была образована по системе обособленных цепочных связей, приуроченных к определенным отраслям народного хозяйства. Эти цепочки не знали друг друга. Контакт происходит только через верховные звенья. Даже в одной и той же цепочке высшее звено не имело непосредственного контакта с звеньями периферии. По глазомеру Рамзина выходит, что центр состоял из 40-50 человек. Непосредственно к этому центру примыкало 400-500 человек. Если эти показания правильны, то выходит, что штаб вредителей по численности примерно соответствовал прежнему Госплану. Вчитываясь в показания, приходишь к выводу, что «цепочки» Рамзина отличались выдержанной дисциплиной.</w:t>
      </w:r>
    </w:p>
    <w:p w14:paraId="3B21A69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Пару слов относительно тактической платформы вредителей. Она поражает своим фашистским цинизмом. В одном из своих показаний Рамзин признается в своей близости к фашизму. Тактика вредителей вместе с тем была умело приспособлена к действительности, диалектически из нее вытекала. Вот как характеризует Рамзин общую ситуацию: «Начавшийся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контрреволюционного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w:t>
      </w:r>
    </w:p>
    <w:p w14:paraId="15010D08"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Рамзин по своему положению хорошо был знаком с важнейшими документами, характеризующими жизнь советского хозяйства. Он отдавал себе отчет, как мы видим, в жизнеспособности этого организма и пришел к определенному выводу, что только насильственная смерть может задушить ростки этого могучего организма.</w:t>
      </w:r>
    </w:p>
    <w:p w14:paraId="645DB064"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 начале своей работы вредители напрягали усилия, чтобы всячески вовлечь нас в сторону минималистских установок. Но уже с 1928 г. сделан был радикальный поворот на максималистские ставки, что было связано с особой тактикой «омертвления капитала», вовлечения большевиков в грандиозное долговременное строительство, плоды которого, по расчетам вредителей, могли выпасть на долю лишь тех, кто сменит большевиков.</w:t>
      </w:r>
    </w:p>
    <w:p w14:paraId="7944C6E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 одном месте он прямо показывает, что успех тактики минималистских ставок превосходно иллюстрируется первой «куцей» пятилеткой Госплана. Выходит так, что мудрецы-вредители уже в 1926 г. знали о недостаточности темпов, которые намечались в первой пятилетке. Нет никаких сомнений, что специалистам-вредителям удавалось злостно скрывать от нас истинные масштабы наших технических ресурсов. Они тормозили наш подъем как по металлу, так и по энергетике. Но нет никаких сомнений в том, что только в длительном опыте социалистического строительства возможно было узнать те действительные величины хозяйственных ускорений, которые до поры до времени еще никому не могли быть известны. И в частности можно показать, что как раз по линии электроэнергетики ставки первой пятилетки почти целиком вошли в пятилетку последующую и что главная беда наша не в том, что эти ставки малы, а в том, что и они до сих пор еще не реализуются в нашей строительной практике.</w:t>
      </w:r>
    </w:p>
    <w:p w14:paraId="5E8FF000"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Во всяком случае следует признать, что недостаточное знание наших особых шансов социалистической реконструкции облегчало работу вредителей в сторону минимализма. Теперь они пишут, что, вступивши в прямые связи с интервентами, они порадели в сторону строительства «ва банк» ради пользы своих хозяев из парижского Торгпрома. Вот как пишет по этому поводу Рамзин:</w:t>
      </w:r>
    </w:p>
    <w:p w14:paraId="52F7068B"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«Наконец примерно в 1928 г. с появлением надежд на близость контрреволюционного переворота более широко применяется метод вредительства 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и таким образом ненужных или бесполезных для данного момента. Такой метод омертвления капиталов и использования их с низкой эффективностью 1) отрывал капитальные средства, сокращал масштабы эффективного строительства и темп экономического развития страны, а 2) за счет сокращения, удовлетворения текущих потребностей благодаря отрыву средств на малоэффективное в данный момент строительство, увеличивал советское наследство для нового правительства, вызывая в то же время рост недовольства широких масс населения».</w:t>
      </w:r>
    </w:p>
    <w:p w14:paraId="69C2D477"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По-профессорски гладко, но не достаточно. Причина поворота тактики вредителей в фактической победе генеральной линии партии. Именно проведение этой генеральной линии обеспечило такие фактические темпы хозяйственного подъема, что ставки на минимализм не могли рассчитывать ни на самомалейший успех. И Ларичев и Рамзин пишут, что уже с последнего топливного съезда они стали защищать линию правильной технической политики. Кому шла на пользу эта правильная техническая политика? Ведь интервенция на их глазах откладывалась с 1928 на 1929, с 1929 на 1930 и с 1930 на 1931 гг. Уже шли разговоры о возможности отодвижки интервенции на дальнейшие сроки. А Рамзину и Ларичеву, как видим, приходилось защищать уже правильную техническую политику, которая в таких условиях уже целыми годами шла на пользу работы большевиков. Не все гладко выходит у г. профессора, когда он утверждает то, что он забрал своих противников в плен.</w:t>
      </w:r>
    </w:p>
    <w:p w14:paraId="725DCE7E"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Итак, у вредителей были свои минималисты, свои максималисты и свои двурушники. Читая их показания, мы видим, как при проведении минималистских установок они рассчитывали на правооппортунистическое крыло коммунистов. Неверие в силы рабочего класса было конечно естественным мостом между вредителями и правооппортунистами. Максималистские ставки особо теплый прием могли встретить конечно в лагере «леваков». Однако по слабости этого крыла на особый успех рассчитывать не приходилось. В своих показаниях Рамзин признается, что тактика максимализма не могла проводиться с той последовательностью, с какой проводились минималистские установки. Говоря о подготовке к топливной конференции, он упоминает об одном собрании, на котором обсуждался вопрос о максимальном раздувании программы, но так, чтобы экономисты не разгадали [1]. Видите, какое державное презрение к техникам-коммунистам. Эти верхушки технической буржуазной интеллигенции могут допустить мысль, что марксисты могут быть еще туда-сюда экономистами, но они никак не могут примириться с мыслью, что и в области техники им приходится считаться с особыми приемами диалектического марксизма. Крупный техник-коммунист для них совершенно невероятное событие. А между тем можно было бы прочесть целый специальный доклад на тему о «буржуазной технической мысли» проф. Рамзина и ему подобных.</w:t>
      </w:r>
    </w:p>
    <w:p w14:paraId="13C79BE1"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Фигура Осадчего в свете его нынешних показаний выявляется как фигура типового двурушника. Этот самый Осадчий при своем недавнем возвращении из-за границы, узнавши от меня об аресте вредителей, с глубоким чувством заявил мне, что при таких условиях самая жизнь для него теряет свою ценность, не хочется-де жить на свете, когда так много кругом подлецов...</w:t>
      </w:r>
    </w:p>
    <w:p w14:paraId="6BB3D3FD"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 xml:space="preserve">Пойдем однако по следам фактической работы вредителей и соответственно заданиям нашей темы, сосредоточим свое внимание на вредительстве по линии топлива и по линии электрификации. Ведь эти два крыла — эксплуатация тепловой и эксплуатация электрической энергии — как раз составляют два основных крыла </w:t>
      </w:r>
      <w:r w:rsidRPr="00507A31">
        <w:rPr>
          <w:color w:val="000000" w:themeColor="text1"/>
          <w:sz w:val="16"/>
          <w:szCs w:val="16"/>
        </w:rPr>
        <w:lastRenderedPageBreak/>
        <w:t>энергетики. Топливо — хлеб и промышленность. Читая документы, видишь, какие гигантские усилия прилагали вредители, чтобы лишить нас этого насущного хлеба. Пользуясь признаниями вредителей, мы можем прежде всего установить некоторые основные точки зрения на топливную политику. И Рамзин и Ларичев пишут, что они немало постарались для оттеснения местного топлива на задний план. Учитывая, что начало военных действий может парализовать работу нашего Донбасса, они отмечают громадное оборонное значение торфа, подмосковного угля и Кузбасса. Прав ли был однако комитет по химизации в своих нападках на Госплан, защищавший необходимость дальнейшей усиленной работы и в Донецком бассейне и в Кузбассе, т. е. в направлении форсирования добычи топлива дальнего привоза? С какой бы осторожностью к нынешним показаниям Рамзина и К</w:t>
      </w:r>
      <w:r w:rsidRPr="00507A31">
        <w:rPr>
          <w:color w:val="000000" w:themeColor="text1"/>
          <w:sz w:val="16"/>
          <w:szCs w:val="16"/>
          <w:vertAlign w:val="superscript"/>
        </w:rPr>
        <w:t>о</w:t>
      </w:r>
      <w:r w:rsidRPr="00507A31">
        <w:rPr>
          <w:color w:val="000000" w:themeColor="text1"/>
          <w:sz w:val="16"/>
          <w:szCs w:val="16"/>
        </w:rPr>
        <w:t> мы не относились, учитывая их положение, мы должны считать, что вряд ли они станут ныне извращать в этих показаниях основные технические установки.</w:t>
      </w:r>
    </w:p>
    <w:p w14:paraId="6CD8752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 показании Ларичева от 3/XI 1930 г. читаем: «Мероприятиями по развитию местных топлив должна была бы быть ослаблена зависимость этих районов от привозных топлив и созданы на местах топливные базы мобилизационного значения. Однако, даже при самых благоприятных условиях и максимальных размерах развития местных топлив, эти районы все-таки должны иметь привозное топливо, и без надежной и мощной транспортной связи с Донбассом и Кузбассом были бы как в нормальных условиях, так и в особенности в период военных действий поставлены в тяжелые условия топливоснабжения. Поэтому под флагом полемики о политике местных топлив велась особо чреватая своими последствиями вредительская деятельность транспортной группы, сводящаяся к тому, чтобы отвлечь внимание от вопросов усиления и развития транспортной связи между Донбассом и Кузбассом и основными промышленными центрами страны».</w:t>
      </w:r>
    </w:p>
    <w:p w14:paraId="4713A798"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Исходя из таких соображений относительно роли нефти, донецкого и кузнецкого углей, и Рамзин и Ларичев подчеркивают важность правильного разрешения вопроса о транспортных связях в направлении от центра на Донбасс и от центра на Кузбасс. Это не мешает им одновременно утверждать, что, раздувая принципиальный спор о сверхмагистрализации этих направлений, они мешали рационализации топливного дела. Нам, конечно, известно, как поисками лучшего, маневрированием различными вариантами умеют пользоваться вредители в своих классовых целях, но в этих показаниях Ларичева и Рамзина проглядывает и нечто другое. Весьма возможно, что с их точки зрения выходило, что большевики не в силах будут осуществить те великие сверхмагистрали и на юг и на восток, которые защищались еще в плане ГОЭЛРО. В те времена Рамзин был сторонником такой магистрализации, впервые защищавшейся его учителем проф. Гриневецким. Но и в те времена не все было благополучно у того же проф. Рамзина по части основных идей энергетики и, скажем, по оценке роли электрификации в судьбах топливного хозяйства. Он всегда перегибал палку в сторону самостийности топливного хозяйства, и в отчетах VIII съезда электротехников товарищи могут найти справки относительно той борьбы, которую мне пришлось вести с ним а этом отношении. В профессорском лагере и до сих пор еще очень много лиц, относящихся с обывательским презрением к трактовке основных вопросов электроэнергетики.</w:t>
      </w:r>
    </w:p>
    <w:p w14:paraId="58115C3E"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Каким же образом тормозили вредители наши работы по утилизации местного топлива? Начнем с торфа. Рамзин утверждает, что кроме запоздания разведок и подготовки болот главная ставка была на торможение фрезерного способа. Он вместе с тем свидетельствует, что в пределах пятилетки надо было поставить ставку на добычу 50 млн тонн, а не 15 млн тонн. Как же дело обстоит в действительности? Отметим прежде всего, что наша нынешняя добыча торфа превосходит довоенную добычу (около 1,5 млн тонн) примерно в пять раз. Общая наша отсталость по разведке естественных топливных ресурсов широко известна. Несомненно также, что если бы наши научно-исследовательские органы, в том числе и Теплотехнический институт, надлежащим образом поработали над проблемами получения и сжигания фрезерного торфа, дело это вероятно более заметно продвинулось бы вперед. Но фактически все же, как об этом вы можете получить справки в Торфяном институте, для того, чтобы фрезерный способ стал преобладающим, придется еще весьма много поработать. Еще в 1919 г. я утверждал, что торф будет иметь для нас то же значение, какое уголь имел для Англии. Пятерной объем торфодобычи по сравнению с довоенным уровнем явился в значительной степени результатом такой оценки значения торфа, но ставку на 30 млн тонн добычи к концу пятилетки мы сделали не по указке Рамзина, а на последнем топливном съезде, на котором мы к работникам по торфу и работникам по подмосковному углю шли самым широким образом навстречу, ограничивая ставки их топливной добычи предельными, по максимуму их фактических добывших возможностей, цифрами. Сложные химические методы обработки торфа и Рамзин и Ларичев в своих показаниях и ныне считают вредительскими. Однако свое ограничение торфодобыча находит не там, где указывает Рамзин [2]. Дело в том, что нынешние методы механизации торфодобычи и сушки торфа требуют, громадного количества рабочей силы. Дело в том, что торфяное оборудование наталкивается на лимиты по металлу и машиностроению, и в этих направлениях придется как раз нажать, чтобы довести торфодобычу до того уровня, который необходим для нашего центра и северо-запада и необходим, в особенности на случай военных осложнений. Следует ли отсюда, что то разложение, которое вносили Рамзин и ему подобные в ряды работников по торфу, имеет малое значение? Конечно нет. Работа на нашем топливном фронте нуждается в великом энтузиазме, и громадной сосредоточенности энергии, и вредители знали, какое зло они сеют.</w:t>
      </w:r>
    </w:p>
    <w:p w14:paraId="2D0C9130"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 чем заключалось вредительство по подмосковному углю? По характеристике Рамзина выходит, что центр тяжести вредительства в данном случае в отвлечении от постановки элементарных задач добычи этого угля в максимальном количестве для топливных целей, в постановке сложных химических проблем. Несомненно, что главная трудность популяризации подмосковного угля — это умелые методы сжигания его и подготовка потребителей. Припомните, что еще немногие годы тому назад наши железные дороги наотрез отказывались принимать этот уголь и что вообще широким потребителям его можно было навязать только насильно. Вскрыть угледобычу подмосковного угля можно было только практикой больших электростанций на этом угле, по какой дороги мы и пошли. Торможение развития Каширской электростанции и в частности та волокита, которую создавал Рамзин в работах Теплотехнического института по применению правильных методов сжигания этого угля в пылевидном состоянии, конечно наносили тяжелые удары по развертыванию Подмосковного бассейна. Конечно, все это свидетельствует не только о наших ошибках, но и о слабости наших кадров. Но все это необходимо учитывать, считаясь со всей ситуацией прошлых лет, которая позволяла не только вредительски попридерживать угледобычу Подмосковного бассейна, но и вырвать 655 тыс. тонн нефти из бронированных ее запасов и вредительски пустить эту нефть в оборот, мешая менее благородным видам топлива, которая позволяла раздувать в 1925 г. заминку по сбыту кузнецкого угля, сокращая работу Прокопьевских копей и допуская сдачу Киселевских копей Кузнецкого бассейна английским концессионерам. За всем тем следует признать, что Рамзину и компании удавалось втирать нам очки как раз при трактовке тех достижений по сжиганию подмосковного угля, которыми будто бы был силен Теплотехнический институт в своей помощи работе Каширской станции.</w:t>
      </w:r>
    </w:p>
    <w:p w14:paraId="562AB00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Однако особо разительными успехами по линии вредительства могут вероятно похвастаться вредители-нефтяники. Еще совсем в недавнее время мы считали наше нефтяное хозяйство особо передовым, представляли его себе каким-то положительным оазисом по сдвигам технической реконструкции. Разве не факт, что электрификация нефтяных районов была почти 100-процентная? Факт. Разве не факт, что старозаветный тартальный способ был заменен насосным в сравнительно быстрый срок и что объединенная работа нефтяных скважин по сравнению с прошлым, представляла огромный шаг вперед по технической и экономической эффективности? Уже в 1926/27 хозяйственном году нефтедобыча перевалила за довоенную черту и шла вперед в таких темпах, которые были неведомы нашему нефтяному прошлому. И тем не менее оказывается, что здесь-то и было самое поганое вредительское гнездо, представлявшее мощную организацию от своего верховного научно-технического совета до низовых производственных ячеек включительно. Приходится признать, что именно здесь вредители организационно оказывались особенно сильными и нанесли стране особо существенный вред. Ларичев в своих показаниях утверждает, что они как бы представляли государство в государстве и что целый ряд лет издевательски относились к самым плановым наметкам, нагло устраиваясь по-своему.</w:t>
      </w:r>
    </w:p>
    <w:p w14:paraId="3EB01BB1"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«Именно в нефтяной промышленности — пишет Ларичев в своем показании от 23-24 июня 1930 г. — наиболее трудно было добиться составления планов вообще и тем более их выполнения.</w:t>
      </w:r>
    </w:p>
    <w:p w14:paraId="052327A7"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Специалисты-нефтяники, в руках которых было сосредоточено руководство всеми важнейшими отраслями нефтяного дела, особенно московские работники, представляли из себя весьма сплоченную группу, не допускавшую проникновения в их среду нежелательных им элементов.</w:t>
      </w:r>
    </w:p>
    <w:p w14:paraId="30B4D6AF"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Они имели очень сильное влияние на руководителей нефтяных трестов и ВСНХ... Они по существу не считались ни с какими утверждениями планов и практически держали в своих руках направление всего нефтяного хозяйства».</w:t>
      </w:r>
    </w:p>
    <w:p w14:paraId="249CC713"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Позвольте отметить кстати, что в первые годы восстановительного периода значение наших планов было весьма относительно. Плановый охват хозяйства долгие годы реализовался только по частям. Разрыв между планом и исполнением никого не удивлял, настолько это было обычным явлением. Но как раз в эти годы весь упор вредителей, как об этом мы читаем в показаниях, был направлен в сторону оперативных действий. А когда от оперативных действий они перешли к тактике планового вредительства, они сами же должны были признаться, что им быстро пришлось столкнуться с огромным противодействием партии. По показаниям Ларичева видно, что вредительству в области нефти помогало одно специфическое обстоятельство. Всем вам известно, как быстро растут наши потребности и каждый год при составлении контрольных цифр происходит урезка назначений по так называемым «бюджетным соображениям». В таких случаях работники оперативного ведомства не особенно заботятся о таких рентабельных отраслях, как, скажем, нефтяное хозяйство. Гораздо выгоднее закрепить назначение на более слабый пункт программы, а там-де — в последней инстанции «ошибки» ставок для таких выгодных отраслей, как нефть, все равно ликвидируют. В своих показаниях Ларичев обрисовывает перед нами, какие выгоды создавались для вредителей при такой системе действий. Первоначальные заявки с мест в ВСНХ предварительно смело урезывалась. Поэтому они между прочим всегда поступали и в чрезмерно раздутом виде. Затем начинались поправки и поправки к поправкам. Создавалась такая неразбериха цифр, которая как раз и нужна была вредителям. Немало этому помогала и сложность нефтяного хозяйства. Здесь переплетаются в единое целое и вопросы предварительных разведок, и объем программы бурения, и вопросы добычи, и вопросы переработки, И специфические вопросы транспорта нефти, и сложные вопросы ее складского хозяйства. Точно так же можно было морочить голову якобы борьбой против хищнических методов добычи и использования нефти: смотрите-де, как вредительствовали в этом направлении англичане в Америке. Прибавьте сюда, что геология нефти представляет не только науку, но и некоторое искусство. Причем и среди геологов оказалось немало вредителей. Вся эта шайка уже давно была в контакте с Нобелями и Детердингами, этими опытными мастерами борьбы в стиле специфических приемов загнивающего капитализма.</w:t>
      </w:r>
    </w:p>
    <w:p w14:paraId="2D8DF307"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lastRenderedPageBreak/>
        <w:t>Ныне Рамзин обстоятельно повествует, как и каким скопом они обрабатывали ответственных советских работников, поясняя, что «основные директивные линии сводились к замедлению нефтеразведок, нефтедобычи и бурения, к задержке развития крекинга, к замедлению развития нефтеналивного флота и к задержке подготовки к транспорту и использованию парафинистого мазута». Он подчеркивал, что злостно была выдвинута установка «на бензиновые тракторы с применением крекинг-бензина или крекинг-керосина вместо радикальной ставки на тяжелое нефтетопливо, и получили согласие и поддержку... Как следствие этой установки получилась необходимость явно неосуществимой и невыгодной постройки более 100 крекингов и расширения нефтедобычи до 42 млн тонн, с громадными... капитальными затратами — более 500 млн руб., и при больших ежегодных перерасходах тоже около 500 млн руб. в год» (показание от 29/XI.1930 г.).</w:t>
      </w:r>
    </w:p>
    <w:p w14:paraId="39B12631"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Нефтяная цепочка была особенно солидно организована. Но когда Рамзин утверждает, что им удавалось «обработать» и академика Губкина, т. е. человека, в этой области обладающего большим именем, то это следует понимать лишь в том смысле, что господам-вредителям удавалось оттирать т. Губкина от таких позиций, на которые он имел полное право рассчитывать.</w:t>
      </w:r>
    </w:p>
    <w:p w14:paraId="5C12E6B0"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Ныне Рамзин утверждает, что по ставкам нефтяной пятилетки наглядно виден переход от минимализма к максимализму, от 22 млн тонн к 42 млн тонн годичной добычи. Он не знает, что в настоящее время вместо ставки в 42 млн тонн намечена ставка 46 млн тонн — на этот раз уже вне всяких директив со стороны рамзинской компании. Он подчеркивает, что 42 млн ставка — фикция, а недавняя экспертиза большого коллектива нынешних работников по нефти авторитетно поддерживала ставку в 46 млн тонн. В чем же тут дело? Легко показать, что «максимализм» в области нефтяного хозяйства и быстрая смена вышеотмеченных наме,- ток нефтедобычи — прямой результат того революционного поворота, который на наших глазах совершается в области сельского хозяйства. Если к этому техническому и социальному перевороту решающего значения прибавить наши потребности в области авто и авиа и вообще по всей линии применения двигателей внутреннего сгорания, то причина смены нефтяных вех становится совершенно ясной. Причина — в наличности того нового ускорения по всему хозяйственному фронту, которое предвидел Владимир Ильич и о котором он говорил, что масштабы его «нам даже и не снятся». Эти масштабы не могли сниться даже таким колоссам, как Владимир Ильич, и их будто бы провидел такой пигмей, как Рамзин. Конечно, это не так. «Они думают двигать — они сами движимы».</w:t>
      </w:r>
    </w:p>
    <w:p w14:paraId="5C28D350"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Вот когда Рамзин показывает, что нам давали ложные геологические справки и по району Эмбы, и по Баку, и по Грозному, — тут ему и книги в руки. Но уже докладывая пятилетку на съезде, я отмечал эти недуги по отсталости геологических разведок в области топливных ресурсов и частью в области нефти. Теперь по-видимому и американские эксперты не оспаривают, что потенциально мы обладаем богатейшими в мире нефтяными недрами. Мы повысили ставку с 5 млн тонн нефтедобычи из новых районов до нормы свыше 15 млн тонн. Реализация этой ставки — прямая производная от возможности нашего большевистского нажима в этом направлении. Не мешает подчеркнуть, что по показаниям Ларичева и Рамзина дальнейшее развитие постройки нефтепроводов является неотложным делом. Нефтепровод на Москву является по их мнению сомнительным, продукт-проводы следует сооружать после некоторых опытов в этом направлении. Искривление направления нефтепроводов на Батум и на Туапсе вместо Поти и Новороссийска злонамеренно достигнуто вредителями. Но всякий знающий историю вопроса должен будет признать, что самую идею строительства нефтепроводов приходилось отстаивать с бою и в частности при большом противодействии вредительских групп НКПС и НКФина.</w:t>
      </w:r>
    </w:p>
    <w:p w14:paraId="253F9B0D"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Не останавливаясь на других разрывах в области нефтяного хозяйства, как например[,] на разрывах между размерами нефтедобычи и нефтепереработки, и отметив довольно-таки противоречивые показания Рамзина о наших ставках на крекинг-процесс, охарактеризуем вкратце работу вредителей в области угледобычи.</w:t>
      </w:r>
    </w:p>
    <w:p w14:paraId="142C064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Роль Донецкого бассейна и основы технической политики в Донбассе довольно широко развиты еще в плане ГОЭЛРО. В то время Рамзин по-видимому еще не был изменником, и разрабатывая эти вопросы, я пользовался и его работами, и работами всей группы теплотехников, примыкавших в свое время к проф. Киршу, который заблаговременно умер до своей вероятной измены. В свете нынешних показаний вредителей мы можем прежде всего утверждать, что основы технической политики в Донбассе были намечены еще тогда совершенно правильно. Колоссальная роль электрификации в деле подъема Донбасса быть может нуждалась в еще большем подчеркивании. Вредители по углю — Рамзин и Ларичев — ведут свою работу преемственно еще от Рабиновича и Федоровича. Следует подчеркнуть, что успешности этой работы весьма помогал разрыв между работой оперативной и работой планирования, наличность «средостения», как выражается Ларичев, между Госпланом и ВСНХ. В одном из своих показаний он прямо так и пишет, что вот-де дело доходило до того, что в ВСНХ издавались приказы, чтобы в стены Госплана поступали материалы не непосредственно от производительных центров, а уже после предварительной обработки их Топливным управлением. Таким образом, если это Топливное управление оказывалось в руках вредителей, то Работа Госплана являлась уже парализованной. Это показание Ларичева чрезвычайно важно, потому что оно свидетельствует о невозможности рационализировать работу планирования, сосредотачивая внимание на работе одного Госплана СССР и не охватывая всей системы планирования, долженствующей представлять Централизованное целое. Отсюда уже один шаг до того основного положения по рационализации энергетики, по которому наличность единого и мощного энергоцентра является основной и решающей предпосылкой. Я невольно вспоминаю при этом свой совместный провал с т. Куйбышевым при выступлении на эту тему в одном специальном заседании президиума ВСНХ — мы, конечно, не отдавали себе отчета, что против нас действовали сплоченные силы вредителей.</w:t>
      </w:r>
    </w:p>
    <w:p w14:paraId="77F9D9B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Вредитель Чарновский показывает, что после шахтинского процесса вредителям главный упор пришлось сделать не на топливо, а на металл. Не так это выходит по тому подробному жизнеописанию Донбасса, которое дает Ларичев. Здесь целый ряд последовательных этапов. Дело началось с неправильной разбивки Донецких шахт на категорию действующих и консервированных. Правильность этой разбивки могли установить только такие знатоки фактического положения вещей, какими были Рабинович и Федорович, а они-то уже конечно постарались обрекать на консервацию то, что как раз было наиболее жизнеспособно.</w:t>
      </w:r>
    </w:p>
    <w:p w14:paraId="472207FD"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Затем следовал довольно длительный срок, когда наши планы были сами по себе, а подлинная производственная и строительная деятельность — сами по себе. Этот разрыв между планом и оперативной деятельностью Ларичев прослеживает и устанавливает и на позднейшее время. В 1925/26 г., говорит он, был составлен первый перспективный план донецкой угледобычи, и если бы он был выполнен, то в значительной мере предотвратил бы ту напряженность на топливном фронте, какую мы испытываем в настоящее время. План имел в виду сооружение 30 новых крупнейших шахт и специальную программу по реконструкции старых шахт. И та и другая программы были преуменьшены. Истинные добыв- ные</w:t>
      </w:r>
      <w:r w:rsidRPr="00507A31">
        <w:rPr>
          <w:color w:val="000000" w:themeColor="text1"/>
          <w:sz w:val="16"/>
          <w:szCs w:val="16"/>
          <w:vertAlign w:val="superscript"/>
        </w:rPr>
        <w:t>г</w:t>
      </w:r>
      <w:r w:rsidRPr="00507A31">
        <w:rPr>
          <w:color w:val="000000" w:themeColor="text1"/>
          <w:sz w:val="16"/>
          <w:szCs w:val="16"/>
        </w:rPr>
        <w:t> возможности Донбасса были скрыты от нас. Но как обстояло дело и с этой программой? Уже в следующем году в программе крупного шахтного строительства вместо 30 шахт стояло только уже 24. Затем постепенно это число снижалось до 17 и наконец, до 13 шахт, да и эти 13 шахт оказались весьма плохо обоснованными и по предварительным геологическим разведкам, и по проектам, и по всей организации строительства на местах. Фактический ход строительства был настолько затруднен, что сжатие программы весьма легко было аргументировать самыми разнообразными «объективными причинами». Оперативная ненадежность механизма была настолько велика, что Ларичев мог позволить себе роскошь прямых нападок на ВСНХ за забвение крупного шахтного строительства, отделываясь в постановлениях высших инстанций такого рода поправками, которые оставляли воз на месте. Теперь задним числом нам превосходно видно, как жестоко приходится расплачиваться за все и всяческие элементы бюрократизации планирования и как непростительна доверчивость даже по отношению, казалось, к старым и испытанным работникам. Но маскировка была превосходной. Рамзин пишет, что вредители нарочно устраивали дискуссии, внешне разбиваясь якобы на враждебные фракции [3]. Они могли себе позволить эту роскошь, потому что располагали большинством научно-технических советов. Невольно вспоминаю при этом о своих попытках доказать неправильность установок на длительные четырех-, пятилетние сроки крупного шахтного строительства. Исходя из общих соображений относительно сдвигов и потенций современной техники, я настаивал на том, что такое строительство следует ограничить максимум тремя годами, но каждый раз возражали эксперты-специалисты. Получалось как бы действительно положение порочного круга. Вот как об этом пишет Рамзин, снабжая свое показание подзаголовком: «Сокрытие вредительства».</w:t>
      </w:r>
    </w:p>
    <w:p w14:paraId="7F994BE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«Прежде всего члены промпартии... усиленно доказывали им, что отдельные факты нельзя приписать вредительству, а надо объяснить техническими ошибками, неизбежными в деловом деле, или даже доказывали полную целесообразность деланного.</w:t>
      </w:r>
    </w:p>
    <w:p w14:paraId="3701B25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Указания ОГПУ отдельным хозяйственникам на обнаруженные факты вредительского или подозрительного характера обычно передавались хозяйственниками на отзыв и экспертизу своим инженерам, которые или состояли членами промпартии и потому покрывали вредителей или же делали то же самое из чувства корпоративной “этики”. Таким образом создавался заколдованный круг, препятствующий обнаружению вредительства, так как экспертами по вредительским действиям промпартии являлись обычно ее же члены».</w:t>
      </w:r>
    </w:p>
    <w:p w14:paraId="572369C7"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И все же я думаю, что такими показаниями лидеры вредителей как бы стараются «набить себе цену» и преувеличивают те возможности, которыми они располагали.</w:t>
      </w:r>
    </w:p>
    <w:p w14:paraId="049DDDA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Не надо забывать, что минимализм ставок являлся завуалированным самими особенностями, особенностями наших хозяйственных темпов.</w:t>
      </w:r>
    </w:p>
    <w:p w14:paraId="374CE16D"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Пятилетка, утвержденная Съездом советов, намечала для Донбасса такое строительство в течение пяти лет, которое соответствует сорока довоенным годам. Это восьм[икрат]ное ускорение во времени оказалось минималистским, но сама необычность этого ускорения — вот что мешало нам опережать мыслию действительность, и вредителям только удавалось здесь использовать положение.</w:t>
      </w:r>
    </w:p>
    <w:p w14:paraId="1B70EE50"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Ныне Рамзин и К</w:t>
      </w:r>
      <w:r w:rsidRPr="00507A31">
        <w:rPr>
          <w:color w:val="000000" w:themeColor="text1"/>
          <w:sz w:val="16"/>
          <w:szCs w:val="16"/>
          <w:vertAlign w:val="superscript"/>
        </w:rPr>
        <w:t>о</w:t>
      </w:r>
      <w:r w:rsidRPr="00507A31">
        <w:rPr>
          <w:color w:val="000000" w:themeColor="text1"/>
          <w:sz w:val="16"/>
          <w:szCs w:val="16"/>
        </w:rPr>
        <w:t> с торжеством отмечают, что фактически наша нынешняя топливная пятилетка почти в два раза превосходит ставки оптимального варианта пятилетки. Пусть будет так. Мы никогда не были фетишистами количественных ставок. Мы всегда стояли за перевыполнение наших планов. Но если Рамзин думает таким образом показать, что наша пятилетка, столь отставшая в своем энергетическом разрезе, являлась орудием «промпартии», то почему же с такой опаской смотрят на эту «вредительскую» пятилетку наши классовые враги? Позвольте не верить нынешним заверениям лидеров вредителей, что уже в 1927 г. они смогли полностью превосходить те правильные ставки наших планов, которые мы намечаем в 1930 г. Свежо предание, а верится с трудом.</w:t>
      </w:r>
    </w:p>
    <w:p w14:paraId="56733320"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Не следует также, что при оценке количественных ставок плана, охватывающего на ряд лет сложнейшие величины народного хозяйства в его целом, количественные ставки такого плана нельзя отрывать от качественных ставок, от охвата глубокого и целостного, от замысла социалистической реконструкции хозяйства в целом. Мы охотно согласимся с тем, что учиться такому планированию нам придется еще целыми годами, что решающей величиной здесь будет сам опыт миллионов трудящихся, но идти в учебу к Рамзину и К</w:t>
      </w:r>
      <w:r w:rsidRPr="00507A31">
        <w:rPr>
          <w:color w:val="000000" w:themeColor="text1"/>
          <w:sz w:val="16"/>
          <w:szCs w:val="16"/>
          <w:vertAlign w:val="superscript"/>
        </w:rPr>
        <w:t>о</w:t>
      </w:r>
      <w:r w:rsidRPr="00507A31">
        <w:rPr>
          <w:color w:val="000000" w:themeColor="text1"/>
          <w:sz w:val="16"/>
          <w:szCs w:val="16"/>
        </w:rPr>
        <w:t> в этом деле нам не приходилось и не придется.</w:t>
      </w:r>
    </w:p>
    <w:p w14:paraId="1C7D3815"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lastRenderedPageBreak/>
        <w:t>Вопрос о работе Донецкого бассейна в настоящее время широко освещен работой комиссии т. Молотова. Создание нового механизированного Донбасса связано с вопросом энергетики в двух направлениях: механизация угледобычи есть прежде всего прямая производственная электрификации Донбасса, — это во-первых; во-вторых — она находится в прямой зависимости от характера организации живого труда. Ныне в Донбасс направлены большие кадры комсомольцев. Было бы чрезвычайно важно, чтобы комсомольцы с своей стороны помогли поскорее покончить с сезонным характером работы в Донбассе. В энергетическом сердце нашей индустриализации надо изгнать пережитки прежней деревни. Ровная кривая угледобычи Донбасса — один из важнейших показателей нормального состояния нашего индустриального подъема.</w:t>
      </w:r>
    </w:p>
    <w:p w14:paraId="0ADD2EDC"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И Рамзин и Ларичев — в особенности — свидетельствуют, какими вредительскими являлись установки в Донбассе на мелкие и средние шахты. Здесь беда не только в малой эффективности работы такими шахтами, главная беда в том, что таким путем отвлекалось внимание от решающих позиций крупного шахтного нового строительства. Решительный курс на последнее означает решительный курс и на своевременные геологические разведки, и на широкую механизацию, и на мощное электроснабжение, и на подъем квалификации рабочей армии. Здесь своеобразное единство, которое могло бы быть хорошо подкреплено и целой серией работ научно-исследовательского характера. Конечно огромную роль здесь бы мог сыграть Теплотехнический институт. Нам очевидно не удалось овладеть работой этого учреждения. Но попытки были. Вот что по этому поводу пишет Ларичев:</w:t>
      </w:r>
    </w:p>
    <w:p w14:paraId="625B6E5C"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«Неоднократно в моем присутствии Г. М. Кржижановский... указывал Рамзину на необходимость создать из Теплотехнического института государственную организацию с широкими задачами и масштабом работ, а не проводить “деляческую” политику. Но эти указания Рамзин отводил разного рода “практическими” соображениями, а по существу эта “деляческая” политика была следствием вредительского направления деятельности Теплотехнического института. После подобных разговоров Рамзин высказывал опасения, что Г. М. Кржижановский может раскусить проводимую им политику, и принимался усиленно афишировать какую-нибудь из работ Теплотехнического института как его “достижение”, отвлекая внимание от общего направления работ Института».</w:t>
      </w:r>
    </w:p>
    <w:p w14:paraId="68A5A15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Такого мощного по оборудованию теплотехнического центра, каким является Теплотехнический институт, нет и за границей. О невозможности организовать такой центр и при условии частного хозяйства распространяться не приходится. Тем более досадно, что это мощное орудие не пущено во всю. Но возражая в свое время против «коммерческой» постановки дела в работе Института, я допускал, что до поры-до времени, при нашей организационной расхлябанности можно было с этим мириться. Здесь очевидно большая ошибка.</w:t>
      </w:r>
    </w:p>
    <w:p w14:paraId="352BE30C"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Вторая ошибка — неумение создать мощный союз энергетиков на основаниях слияния электротехнического и теплотехнического крыльев энергетики. Дело остановилось на половине пути. Двурушник Осадчий в своих показаниях ныне обрисовывает свою причастность к диверсионистской деятельности и поясняет, как механизм централизованности помогал вредителям. Централизованное начало, пронизывающее естественным образом всю электроэнергетику, вредители использовали во вред социалистическому строительству. Если «диспетчеры» электроэнергетики будут их орудием, они могут наносить из одного центра колоссальные удары. Но от этого никуда не уйдешь. Все построение социализма основано на центростремительных силах. Осадчий ошибается, если думает, что союз электротехников и теплотехников шел по его вредительской линии. Вот что пишет по этому поводу Ларичев:</w:t>
      </w:r>
    </w:p>
    <w:p w14:paraId="6FB205AB"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«Должен отметить, что Рамзин с целью обеспечить руководящее влияние вредительской организации Теплотехнического института на направление работ в области теплотехники и избежать постороннего контроля упорно отказывался и отклонял предложения об объединении работ Теплотехнического и Электротехнического съездов и их бюро. На этом особенно настаивал Г. М. Кржижановский... и лишь под его давлением был создан Всесоюзный энергетический комитет (ВЭК), избранный на последнем объединенном съезде теплотехников и электротехников. Но поскольку в его состав вошли те же лица, члены вредительской организации, работа ВЭКа не была развернута в нужном направлении» (показания Ларичева от 23 сентября 1930 г.).</w:t>
      </w:r>
    </w:p>
    <w:p w14:paraId="1B9067CF"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Ввиду важности этого вопроса мы вернемся еще к нему в конце доклада.</w:t>
      </w:r>
    </w:p>
    <w:p w14:paraId="0DEB3F40"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Ныне централизованное социалистическое хозяйство мы строим на базе электроэнергетики. Казалось бы, что ленинский план электрификации создавал нам здесь особую прочную позицию. Нынешние показания вредителей свидетельствуют, что именно ввиду важности этой базы фактически здесь все позиции приходилось брать с бою, в особенности в период социалистической реконструкции, в период после 1927 г. Приходится признать, что наша главная беда в том, что мы недооценили те сдвиги, которые должны были сделать сами в себе, в своей настороженности, в своей оценке как общей ситуации, так и работников при наступлении этого переломного момента. Каким образом вредителям удалось нанести глубочайший удар именно в этом деле, которое мы старались защитить всеми своими силами? Именно на вышеотмеченной базе, именно в том направлении, теми методами, которые Рамзин удачно характеризует, как «методы насыщения противоречий действительности до предела».</w:t>
      </w:r>
    </w:p>
    <w:p w14:paraId="14E645EE"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Весь фарватер восстановительного процесса по своим стихийным устремлениям был против плановой электрификации. Отстаивая ставки этой электрификации, приходилось наталкиваться на громадное сопротивление. Электрификация и экономическое районирование фактически были не в чести у таких лидеров этого времени, какими являлись тт. Каменев и Сокольников. Это несмотря на то, что план электрификации всеми признавался ленинским планом, как об этом пишет теперь и вредитель Горев. Пишет черным по белому:</w:t>
      </w:r>
    </w:p>
    <w:p w14:paraId="61158078"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«Вредительская работа в области плана.</w:t>
      </w:r>
    </w:p>
    <w:p w14:paraId="10EE609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Начиная с 1923 г. доля средств, отпускавшихся по бюджету на электрификацию, не отвечала важности этой отрасли хозяйства и объему работ, необходимых для того, чтобы сделать электрификацию ведущим звеном всего плана народного хозяйства, как это требовалось наивысшими достижениями техники современной индустриализации. Эта вредительская диспропорция проводилась из года в год в комиссиях по контрольным цифрам ВСНХ и Госплана, инспирировавшихся работавшими в них вредительскими элементами» (показание от 20 октября 1930 г.).</w:t>
      </w:r>
    </w:p>
    <w:p w14:paraId="23FCA1BB"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И далее устанавливает:</w:t>
      </w:r>
    </w:p>
    <w:p w14:paraId="2DD535BD"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«Таким образом совокупными усилиями вредительских элементов Донугля и плановых органов ленинский план электрификации Донбасса был сорван: из этого плана в ежегодные планы просочилась только Штеровская станция. Однако и эта станция строилась вредительским темпом, что и привело к кризису в электроснабжении Донбасса. Проводившиеся под давлением недостатка энергии поправки к плану — развитие мощности рудничных станций (Донсода и другие) — шли по линии генеральной установки бывших владельцев на развитие собственных рудничных станций».</w:t>
      </w:r>
    </w:p>
    <w:p w14:paraId="677B4CF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Проследив назначение фактических ассигнований на дело электрификации из года в год, посмотрев кадры, мы можем легко убедиться, как много препятствий стояло на пути. Отсюда некоторая привычка считаться с неполадками в области электрификации, как с естественными результатами всестороннего сопротивления инерции восстановительного процесса. А дело было, оказывается, не только в этом. Дело было в прямой и подлой измене таких лиц, какими являлись с одной стороны, Горев, бывший в свое время работником Петроградского комитета партии, и Осадчий — обвинитель по шахтинскому процессу — с другой. Цепочка была создана на славу: прочное гнездо в Госплане, в ЦЭС, в Главэлектро, в Техническом управлении ВСНХ, в Электроимпорте. Вредители доходили до такой наглости, что оборудование для одной станции делили между десятками фирм, чем автоматически предрешалась явная некомплектность такого оборудования. И все это увенчивалось специальной диверсионистской организацией. Рамзин с академической уравновешенностью вещает о том, что одна из линий вредительства в энергетике — растягивание строительства станций во времени и высокая их стоимость. Вместо 300 руб. стоимости за установленный киловатт — 400-500 руб., вместо постройки в годичный-полуторагодичный срок — постройка в 3-4 года. Вместо стандарта европейского на съем пара с единицы поверхности паровых котлов и такого же стандарта кубатуры зданий электростанций — наши доморощенные нормы. Как будто бы честным техникам и экономистам, работавшим в области энергетики, не были известны эти стандарты, а были известны только рамзинской компании. Как будто бы из года в год не велась борьба за упорядочение нашего крупного строительства, за резкое снижение строительных индексов. Наша беда заключалась в том, что мы приписывали и дефекты строительства и дефекты стандартизации естественной слабости наших кадров, естественным трудностям грандиозного строительства в совершенно необычной организационной и социальной обстановке. Лазутчики вражеского стана ловко использовали эту обстановку, «насыщая ее противоречиями до отказа».</w:t>
      </w:r>
    </w:p>
    <w:p w14:paraId="0045114E"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Ныне Горев и работник ВСНХ Каменецкий обстоятельно рассказывают нам, каким образом им удавалось срывать электрификацию Урала, Донбасса, московского и ленинградского центров. Не приходится распространяться об особом оборонном значении Урала и о роли его электрификации. Как же это вышло, что оказалось возможным временно снять Кизеловскую станцию из рубрики районных станций и задержать на год строительство Челябинской станции, как об этом свидетельствует тот же Горев. Первоначальная ячейка Кизеловской станции — не что иное, как прежняя Ораниенбаумская станция, своевременно эвакуированная на Урал. Технической экспертизой была установлена чрезвычайная дефектность гражданских сооружений этой станции для ее дальнейшего расширения с небольшой первичной мощности — всего в 6.000 кВт. Имея в виду удесятерение этой мощности, мы как будто бы делали ставку на «прикупку коровы к подойнику». Одновременно на Урале, как и в горнопромышленном юге, со значительным опережением шло развитие больших фабрично-заводских электростанций. Ссылаясь на это, Гореву не трудно было убедить нас в необходимости поисков другого места для новой районной централи в этой части Урала, так как, по общему правилу, переделка старья не редко обходится дороже, чем новое строительство. Также не трудно было раскритиковать первоначальный технический проект Челябинской станции. Ведь мы все еще так далеки от стандарта в этом деле. Все это лишний раз показывает, как трудно вскрывать в технике нити вредительства, когда опытные специалисты жонглируют поисками лучших вариантов, да еще тщательно замаскировывая свое вредительство искусственными дискуссиями. Вспоминаю, — и уральские работники это могут подтвердить, — что волокита с Челябинской станцией была сравнительно быстро разгадана нами, и ныне Гореву приходится все же признаться, что как раз эта станция является одной из немногих, имеющих возможность сравнительно не запоздать со сроками своего строительства.</w:t>
      </w:r>
    </w:p>
    <w:p w14:paraId="74B581D3"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 xml:space="preserve">Что помогало вредительству по электростроительству в Донецком бассейне? Какие факты устанавливаются нынешними показаниями вредителей? Оказывается, что Белокалитвенская станция была снята с постройки вследствие ложных показаний геологов. Затяжка работы Штеровской станции осуществлялась большим коллективом работников центра Украины по самым разнообразным линиям. Тут и затяжка с проектами, и отчаянная канитель с проработкой вопросов, связанных с сжиганием антрацитового штыба, и неправильные заказы за границей как аппаратов по сжиганию пылевидного топлива, так и агрегатов котельной и машинной </w:t>
      </w:r>
      <w:r w:rsidRPr="00507A31">
        <w:rPr>
          <w:color w:val="000000" w:themeColor="text1"/>
          <w:sz w:val="16"/>
          <w:szCs w:val="16"/>
        </w:rPr>
        <w:lastRenderedPageBreak/>
        <w:t>аппаратуры. Гришинская и Лисичанская станции, намеченные еще по плану ГОЭЛРО, были сняты вообще под предлогом новых ставок в энергетике. В самом деле[,] в перспективе мы себе представляем работу государственных электрических сетей опирающейся не только на районные электроцентрали, так сказать, чистого назначения, но и на всевозможные электропромышленные комбинаты. Идея эта совершенно правильна, но опираясь на нее, вредители могли ловко проводить строительство обособленных станций на шахтах, рудниках и заводах, лишь внешним образом прикрываясь производственным комбинированием этих станций. А заказчикам из Торгпрома это было конечно на руку — укреплялось их частное хозяйство. Вот как пишет по поводу работ в Донбассе Горев:</w:t>
      </w:r>
    </w:p>
    <w:p w14:paraId="7242671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 отношении Донбасса мною лично проводились в президиуме Госплана и комиссии т. Рыкова нижеследующие вредительские установки:</w:t>
      </w:r>
    </w:p>
    <w:p w14:paraId="787A2470"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а)   Ограничение мощности Штеровской станции 110 тыс. кВт путем заказа для ее третьей очереди 2 турбин по 22 тыс. кВт, а не по 44 тыс. кВт, как это было принято президиумом Госплана и СТО. Это предложение мотивировалось недостачей конденсационной воды в реке Миус и неправильной оценкой потребности и мощности прочих станций.</w:t>
      </w:r>
    </w:p>
    <w:p w14:paraId="00D4CE5C"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б)   Установка против приступа к постройке Зуевской станции и 1928/29 г., мотивированная возможностью снабжения Донбасса от Днепра в начале 1932 г. Против этой установки в комиссии т. Рыкова зимой 1928/29 г. было принято постановление о немедленном приступе к постройке Зуевской станции» (показание от 20 октября 1930 г.).</w:t>
      </w:r>
    </w:p>
    <w:p w14:paraId="7EFD41A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Вредителям удалось значительно затормозить проведение ленинского плана электрификации. Здесь можно было бы показать, каким образом как раз по этой линии приходила им на помощь право-оппортунистическая &lt;...&gt;, всегда скептически оценивавшая позиции плановой электрификации. Для нашей цели однако достаточно лишь приведенных справок, тем более, что серьезность положения с электроснабжением в решающих индустриальных центрах — общеизвестный факт.</w:t>
      </w:r>
    </w:p>
    <w:p w14:paraId="54CCF0F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Как же в последнем счете мы расцениваем наше нынешнее положение? Достигли ли своей цели вредители? Удавалось ли им сорвать план</w:t>
      </w:r>
    </w:p>
    <w:p w14:paraId="55455A25"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ГОЭЛРО? Приведу вам для этой цели те справки, которые получены мною от нынешнего председателя секции по электрификации Госплана т. Вагранского. По плану ГОЭЛРО намечалось сооружение в 1-летний срок, начиная с 1921 г., районных станций на общую установленную мощность 1,5 млн кВт. На худой конец предвиделось, что постройка этих станций может затянуться на 15 лет. Действующих электростанций общего пользования в 1921 г. было около 250 тыс. установленных кВт. Итак общая мощность районных электростанций в лучшем случае должна была бы быть по этому плану в 1931 г. размером 1.750 кВт. Количественные ставки намечались в плане ГОЭЛРО лишь ориентировочно. Округляя расчет этого плана, мы можем сказать, что по нему примерно к концу 1931 г. установленная мощность электростанций должна была составить около 2 млн кВт. На самом деле на 1 января 1931 г. она будет около 1.300 тыс. кВт. Как раз в 1930 г. мы сделали особенно крупный шаг вперед в этом строительстве, присоединив свыше 350 тыс. кВт новой мощности, хотя и недовыполнив всей программы. На будущий год мы рассчитываем более чем удвоить этот годичный прирост. В таком случае уже в будущем году мы значительно перевыполним план ГОЭЛРО. И тем не менее по темпам мы отстаем: наша индустриализация опережает нашу электрификацию. Желательные для вредителей разрывы между подразделениями промышленности — налицо. Но радоваться им не придется. При прочих равных условиях соединенная мощность электростанций общего пользования и фабрично-заводских станций, вновь впускаемых в оборот нашего хозяйства, в 1931 г. должна составить свыше 1 млн. кВт. Это, товарищи, уже размер Мощности, соответствующий масштабам электростроительства наиболее передовой индустриальной страны — САСШ. Вопреки вредительским прорывам фронта нашей энергетики — такой решающий итог нашей предшествующей работы на этом фронте. Какой штаб мог подготовить этот итог — вредительский или пролетарский? Я утверждаю — пролетарский.</w:t>
      </w:r>
    </w:p>
    <w:p w14:paraId="60A0278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Вредители рассчитывали, что 1930 г. будет наиболее кризисным. Ввиду особого значения дефицитов по электроснабжению их надо пристально изучать. По предварительным подсчетам эти дефициты таковы (в расчете на максимум 1931 г.): по Москве — 81 тыс. кВт, по Ленинграду — 46 тыс. кВт, по Приднепровью — 44 тыс. кВт, по Уралу — 26 тыс. кВт, по Сталинграду — 14 тыс. кВт, по Баку — 8 тыс. кВт.</w:t>
      </w:r>
    </w:p>
    <w:p w14:paraId="7B19BAC3"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Насколько верны эти подсчеты? Здесь прежде всего следует отметить, что мы еще совершенно не на высоте ни по рационализации выработки электрической энергии, ни по рационализации ее потребления. Позволительно сомневаться и в том, что все крупные фабрично-заводские станции, находящиеся в непосредственной близости с районными электроцентралями, уже объединены в единый электрический котел. Огромные потери электрических сетей, частота аварий в них — все это говорит за то, что перед нами новые возможности экономии. Наши электростанции, вопреки расхлябанности нашего энергохозяйства, по числу часов использования установленных мощностей являются наиболее передовыми. В частности, введение непрерывной производственной работы покончило у нас с провалами праздничных дней и выровняло нагрузку наших электрических станций в совершенно небывалый в мировой практике размерах. Однако главные завоевания в рационализации потребления электрической энергии еще впереди. Эти завоевания между прочим связаны и с нашей работой в области теплофикации. Вредители вели отчаянную борьбу против теплофикации. Это им удавалось тем в большей мере, что в наших решающих объединениях, в МОГЭС и в Электротоке, были свои вредительские гнезда. Тов. Танер-Танненбаум может доложить о бедах теплофикации с особой подробностью. Однако и здесь вредителям приходится признаться, что бороться против установок на теплофикацию они не могли: они сводили свою борьбу к борьбе против сроков и масштабов теплофикации. На последнем съезде по теплофикации я бросал представителям МОГЭС прямые обвинения в заторможении московской теплофикации, но я себе объяснял позицию некоторых работников МОГЭС заскорузлой установкой на чистую электротехнику. Век живи — век учись.</w:t>
      </w:r>
    </w:p>
    <w:p w14:paraId="251EBEAE"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Вот, товарищи, в кратких чертах общая характеристика вредительских линий по энергетике.</w:t>
      </w:r>
    </w:p>
    <w:p w14:paraId="2785EC2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Вы, товарищи, видели, как вредители использовали те разрывы в нашем плановом хозяйстве, которые были ему присущи по общим условиям нашего строительства. Вы видели, как они использовали разрывы между планом и выполнением плана, между работой плановых органов и оперативных органов, как они противопоставляли слабости наших собственных кадров свои сплоченные силы. Вредительству в области энергетики способствовал прежде всего рассыпной фронт самой энергетики. Можно показать, что вредители вели многолетнюю борьбу против единого и цельного здания энергетики. В этой борьбе они опирались не только на инерцию восстановительного процесса, но на правооппортунистические элементы, всегда недооценивавшие значение энергетики. А между тем еще в 1919 г. в своей брошюре «Основные задачи электрификации России» я писал по этому вопросу нижеследующее:</w:t>
      </w:r>
    </w:p>
    <w:p w14:paraId="57C1974B"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«Необходимо сделать немедленные шаги по подъему профессионального электротехнического образования.</w:t>
      </w:r>
    </w:p>
    <w:p w14:paraId="38D5ED24"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Распыление профессионального союза электротехников в профсоюзе металлистов явно не целесообразно. Перед союзом электротехников — свои громадные задачи, свое обширное поле действий. Надо втянуть в этот пролетарский союз и квалифицированных электротехников-специалистов. Деятельное сотрудничество с пролетариатом не замедлит сказаться надлежащим сдвигом в их психологии. Но даже и при самом бережном обращении с нашими немногими специалистами-электротехниками в дальнейших обширных электротехнических работах нам вероятно не обойтись без того или иного контакта с лучшими мировыми авторитетами в области этой науки...</w:t>
      </w:r>
    </w:p>
    <w:p w14:paraId="01F75034"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Наши техники до сих пор еще не перестают оглядываться в сторону частной инициативы и спасительных начал капиталистической конференции... Жребий брошен; мы — за баррикадами, в разгаре неслыханной борьбы за наше, за мировое право раз навсегда покончить с эксплуатацией человека человеком...</w:t>
      </w:r>
    </w:p>
    <w:p w14:paraId="07CC915E"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Карманным интересам рыцарей наживы, слепой игре стихий на капиталистическом рынке, системе выжимания пота из миллионов трудящихся, хищническому попранию интересов грядущих поколений, трагической капитуляции науки перед биржей — пролетариат должен и сумеет противопоставить всепроникающий разумный план объединенного хозяйства народа, правильную и систематическую экономию в расходе живых сил, заботливый уход за достоянием природных сокровищ, действенное проведение разума науки в жизнь. И в этой гигантской работе он не преминет решительно опереться на наиболее эффективное орудие XX века — электрическую энергию».</w:t>
      </w:r>
    </w:p>
    <w:p w14:paraId="4DF178A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Спустя 11 лет я не нахожу нужным внести сюда какие-либо поправки. Я убежден, что именно в этом направлении пойдет наше дальнейшее строительство. В эффективности своих планов вредители просчитались. Будущее за нас, а не за них. Мы как раз на новом этапе и по линии планирования и по линии электрификации. Время кабинетных работ по планированию миновало. Растут огромные силы нового пролетарского актива. Развертывается в небывалых формах социалистическая организация труда, крепнет социалистическое соревнование, развивается встречный промфинплан, переплетается работа городских и деревенских активов, словом поднимается огромная рать в миллионы голов действительных организаторов социалистического производства. На почве планового режима хозяйства создаются небывалые предпосылки и для всего нашего энергетического строительства и в частности для всей электроэнергетики. Теперь уже всему миру ясно, что мы перевыполняем нашу пятилетку, что она является, вопреки усилиям вредителей, нашей грозной силой.</w:t>
      </w:r>
    </w:p>
    <w:p w14:paraId="43AE5D4C"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Товарищи, раскрытие вредительского заговора показывает нам, как с нами боролись отравленным оружием испытанные кадры техников. Но вопреки их усилиям в нашем хозяйственном строительстве нам удалось завершить этап несомненно исторического значения. Как вешки те исторические силы, которые стоят за нас.</w:t>
      </w:r>
    </w:p>
    <w:p w14:paraId="133E17D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Я вспоминаю, товарищи, как накануне перехода от военной полосы революции к мирной передышке Владимир Ильич расценивал достижения прошлого. Он говорил, что наши победы на военном фронте таковы, что уже нет в мире таких сил, которые могли бы вычеркнуть их со скрижалей истории, что в них мы имеем уже нечто неотъемлемое.</w:t>
      </w:r>
    </w:p>
    <w:p w14:paraId="50251D72"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Какие бы прорывы на фронте нашего хозяйства не были совершены усилиями вредителей, вопреки им проделанная положительная работа настолько велика, что в свою очередь представляет наше неотъемлемое завоевание. Нет такой вражеской рати, которая могла бы стереть со скрижалей истории и эти завоевания.</w:t>
      </w:r>
    </w:p>
    <w:p w14:paraId="3AE77ACD"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Примечания:</w:t>
      </w:r>
    </w:p>
    <w:p w14:paraId="5D5EE2E3"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[1]   «В связи с предстоящей топливной конференцией и новыми директивами ЦК Промпартии — пишет Рамзин, — обсуждались возможности максимальной цифры наметок топливного плана, которые бы не вызвали явных возражений и оспаривания со стороны экономистов».</w:t>
      </w:r>
    </w:p>
    <w:p w14:paraId="1C330532"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[2]   Это между прочим иллюстрация ограниченности кругозора господ вредителей.</w:t>
      </w:r>
    </w:p>
    <w:p w14:paraId="6C5B03C3"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[3]   В показаниях от 29/IX 1930 г. Рамзин пишет, что ЦК промпартии «не предпринимал решительных мер против междоусобицы... полагая что публичные дискуссии членов организации будут лучше способствовать маскировке активных работников».</w:t>
      </w:r>
    </w:p>
    <w:p w14:paraId="7AAC3D4F" w14:textId="77777777" w:rsidR="00151B93" w:rsidRPr="00507A31" w:rsidRDefault="00151B93" w:rsidP="00507A31">
      <w:pPr>
        <w:pStyle w:val="ae"/>
        <w:spacing w:before="0" w:after="0"/>
        <w:jc w:val="both"/>
        <w:rPr>
          <w:color w:val="000000" w:themeColor="text1"/>
          <w:sz w:val="16"/>
          <w:szCs w:val="16"/>
        </w:rPr>
      </w:pPr>
      <w:r w:rsidRPr="00507A31">
        <w:rPr>
          <w:rStyle w:val="af0"/>
          <w:i w:val="0"/>
          <w:color w:val="000000" w:themeColor="text1"/>
          <w:sz w:val="16"/>
          <w:szCs w:val="16"/>
        </w:rPr>
        <w:lastRenderedPageBreak/>
        <w:t>Опубликовано: Плановое хозяйство. 1930. № 10—11. С. 5-26 (19050).</w:t>
      </w:r>
    </w:p>
    <w:p w14:paraId="3CB8E813" w14:textId="77777777" w:rsidR="00151B93" w:rsidRPr="00507A31" w:rsidRDefault="00151B93" w:rsidP="00507A31">
      <w:pPr>
        <w:jc w:val="both"/>
        <w:rPr>
          <w:color w:val="000000" w:themeColor="text1"/>
          <w:sz w:val="16"/>
          <w:szCs w:val="16"/>
        </w:rPr>
      </w:pPr>
    </w:p>
    <w:p w14:paraId="1CABFBCB" w14:textId="77777777" w:rsidR="00151B93" w:rsidRPr="00507A31" w:rsidRDefault="00151B93" w:rsidP="00507A31">
      <w:pPr>
        <w:pStyle w:val="rteright"/>
        <w:spacing w:before="0" w:after="0"/>
        <w:jc w:val="both"/>
        <w:rPr>
          <w:color w:val="000000" w:themeColor="text1"/>
          <w:sz w:val="16"/>
          <w:szCs w:val="16"/>
        </w:rPr>
      </w:pPr>
      <w:r w:rsidRPr="00507A31">
        <w:rPr>
          <w:color w:val="000000" w:themeColor="text1"/>
          <w:sz w:val="16"/>
          <w:szCs w:val="16"/>
        </w:rPr>
        <w:t>19 ноября 1930 г.</w:t>
      </w:r>
    </w:p>
    <w:p w14:paraId="0CE75AE3"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«Заявление» Русской финансовой, промышленной и коммерческой ассоциации в связи с публикацией в советской прессе «Обвинительного заключения» по «делу “Промпартии”». 19 ноября 1930 г.</w:t>
      </w:r>
    </w:p>
    <w:p w14:paraId="22967C86"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Русская финансовая</w:t>
      </w:r>
    </w:p>
    <w:p w14:paraId="0233F427"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промышленная и коммерческая</w:t>
      </w:r>
    </w:p>
    <w:p w14:paraId="1E2A3CFC"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ассоциация</w:t>
      </w:r>
    </w:p>
    <w:p w14:paraId="55724798"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3, рю Николо, 3</w:t>
      </w:r>
    </w:p>
    <w:p w14:paraId="1C317DF8"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Париж (16)</w:t>
      </w:r>
    </w:p>
    <w:p w14:paraId="31BA4E37" w14:textId="77777777" w:rsidR="00151B93" w:rsidRPr="00507A31" w:rsidRDefault="00151B93" w:rsidP="00507A31">
      <w:pPr>
        <w:pStyle w:val="rtecenter"/>
        <w:spacing w:before="0" w:after="0"/>
        <w:jc w:val="both"/>
        <w:rPr>
          <w:color w:val="000000" w:themeColor="text1"/>
          <w:sz w:val="16"/>
          <w:szCs w:val="16"/>
        </w:rPr>
      </w:pPr>
      <w:r w:rsidRPr="00507A31">
        <w:rPr>
          <w:color w:val="000000" w:themeColor="text1"/>
          <w:sz w:val="16"/>
          <w:szCs w:val="16"/>
        </w:rPr>
        <w:t>Заявление</w:t>
      </w:r>
    </w:p>
    <w:p w14:paraId="53575385"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Вследствие публикации в «Известиях Центрального Исполнительного Комитета СССР» от 11-го ноября 1930 года последней части обвинительного заключения по поводу «контрреволюционной организации Союза инженерных организаций (Промышленная партия)», Русская финансовая, промышленная и коммерческая ассоциация считает своим долгом сделать следующее заявление.</w:t>
      </w:r>
    </w:p>
    <w:p w14:paraId="582BF05A"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 обвинительном заключении утверждается, что Русская финансовая, промышленная и коммерческая ассоциация поддерживала связь с упомянутым Союзом инженерных организаций («Промпартией») в России, субсидировала обвиняемых и организовывала их сотрудничество с французским генеральным штабом, подготавливая, таким образом, вооруженную иностранную интервенцию.</w:t>
      </w:r>
    </w:p>
    <w:p w14:paraId="28B0A123"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Все эти утверждения без исключения выдуманы.</w:t>
      </w:r>
    </w:p>
    <w:p w14:paraId="1B22798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Русская финансовая, промышленная и коммерческая ассоциация никогда не вела никаких переговоров с обвиняемыми, никогда не устраивала для них никаких встреч с кем бы то ни было, не предоставляла им никаких субсидий и никогда не находилась с ними в каких-либо отношениях.</w:t>
      </w:r>
    </w:p>
    <w:p w14:paraId="149D2AA1"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Эти обвинения якобы основаны на признаниях самих подсудимых.</w:t>
      </w:r>
    </w:p>
    <w:p w14:paraId="6C791C41"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Подобные признания, должно быть, выдуманы агентами ГПУ или выбиты у обвиняемых с помощью пыток.</w:t>
      </w:r>
    </w:p>
    <w:p w14:paraId="7D3DEB8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Советской власти нужно объяснить обманутому ею русскому народу провал своих безумных экономических планов и оправдать этот провал в глазах определенных политических кругов заграницей.</w:t>
      </w:r>
    </w:p>
    <w:p w14:paraId="4B81E5C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По этой причине и выдуман этот чудовищный процесс. По этой же причине убийцы обрекают на смерть десятки невиновных.</w:t>
      </w:r>
    </w:p>
    <w:p w14:paraId="5158B24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Русская финансовая, промышленная и коммерческая ассоциация категорически протестует против лживых утверждений советской власти, посредством которых эта власть старается оправдать массовое убийство людей, чья деятельность ее не устраивает.</w:t>
      </w:r>
    </w:p>
    <w:p w14:paraId="52BBFCFF"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Эта нечеловеческая жестокость свидетельствует только об отчаянной ситуации, в которой находится советская власть.</w:t>
      </w:r>
    </w:p>
    <w:p w14:paraId="10E5AD1D"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Русская финансовая, промышленная и коммерческая ассоциация в качестве центральной организации русских коммерческих и промышленных союзов продолжит непрерывную борьбу против советской власти, раскроет перед общественным мнением цивилизованных стран истинный смысл событий, происходящих в России, и подготовит будущее восстановление Родины на принципах свободы и права.</w:t>
      </w:r>
    </w:p>
    <w:p w14:paraId="562EE948"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Президент: Н. Денисов</w:t>
      </w:r>
    </w:p>
    <w:p w14:paraId="60B84E63"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Вице-президенты: Е. Любович, Г. Нобель, [С.] Лианозов, Н. Изнар, С. Третьяков</w:t>
      </w:r>
    </w:p>
    <w:p w14:paraId="19A42700"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Секретарь: В. Новиков</w:t>
      </w:r>
    </w:p>
    <w:p w14:paraId="4978E837" w14:textId="77777777" w:rsidR="00151B93" w:rsidRPr="00507A31" w:rsidRDefault="00151B93" w:rsidP="00507A31">
      <w:pPr>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2,  Европа,  СССР  (1930-1940),  117СРС0М. Д.  1269. Л. 40-41.  Машинописный подлинник,  подпи</w:t>
      </w:r>
      <w:r w:rsidRPr="00507A31">
        <w:rPr>
          <w:rStyle w:val="af0"/>
          <w:i w:val="0"/>
          <w:color w:val="000000" w:themeColor="text1"/>
          <w:sz w:val="16"/>
          <w:szCs w:val="16"/>
        </w:rPr>
        <w:softHyphen/>
        <w:t>си машинописью.  Штамп Департамента  политических и  торговых дел с вписанным от руки номером о сдаче в архив «z 619-20 s/d5».</w:t>
      </w:r>
    </w:p>
    <w:p w14:paraId="3E716F2E" w14:textId="77777777" w:rsidR="00151B93" w:rsidRPr="00507A31" w:rsidRDefault="00151B93" w:rsidP="00507A31">
      <w:pPr>
        <w:jc w:val="both"/>
        <w:rPr>
          <w:color w:val="000000" w:themeColor="text1"/>
          <w:sz w:val="16"/>
          <w:szCs w:val="16"/>
        </w:rPr>
      </w:pPr>
    </w:p>
    <w:p w14:paraId="20C31274" w14:textId="77777777" w:rsidR="00151B93" w:rsidRPr="00507A31" w:rsidRDefault="00151B93"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76A79E57" w14:textId="77777777" w:rsidR="00151B93" w:rsidRPr="00507A31" w:rsidRDefault="00151B93" w:rsidP="00507A31">
      <w:pPr>
        <w:autoSpaceDE w:val="0"/>
        <w:autoSpaceDN w:val="0"/>
        <w:adjustRightInd w:val="0"/>
        <w:jc w:val="both"/>
        <w:rPr>
          <w:iCs/>
          <w:color w:val="000000" w:themeColor="text1"/>
          <w:sz w:val="16"/>
          <w:szCs w:val="16"/>
        </w:rPr>
      </w:pPr>
    </w:p>
    <w:p w14:paraId="17726446" w14:textId="77777777" w:rsidR="00151B93" w:rsidRPr="00507A31" w:rsidRDefault="00151B93" w:rsidP="00507A31">
      <w:pPr>
        <w:jc w:val="both"/>
        <w:rPr>
          <w:bCs/>
          <w:color w:val="000000" w:themeColor="text1"/>
          <w:sz w:val="16"/>
          <w:szCs w:val="16"/>
        </w:rPr>
      </w:pPr>
      <w:r w:rsidRPr="00507A31">
        <w:rPr>
          <w:color w:val="000000" w:themeColor="text1"/>
          <w:sz w:val="16"/>
          <w:szCs w:val="16"/>
        </w:rPr>
        <w:t>19 ноября 1930 г.</w:t>
      </w:r>
    </w:p>
    <w:p w14:paraId="1A7D7DDD" w14:textId="77777777" w:rsidR="00151B93" w:rsidRPr="00507A31" w:rsidRDefault="00151B93" w:rsidP="00507A31">
      <w:pPr>
        <w:jc w:val="both"/>
        <w:rPr>
          <w:bCs/>
          <w:color w:val="000000" w:themeColor="text1"/>
          <w:sz w:val="16"/>
          <w:szCs w:val="16"/>
        </w:rPr>
      </w:pPr>
      <w:r w:rsidRPr="00507A31">
        <w:rPr>
          <w:color w:val="000000" w:themeColor="text1"/>
          <w:sz w:val="16"/>
          <w:szCs w:val="16"/>
        </w:rPr>
        <w:t>«Сводка инотелеграмм № 470». 19 ноября 1930 г.</w:t>
      </w:r>
    </w:p>
    <w:p w14:paraId="5B52561C" w14:textId="77777777" w:rsidR="00151B93" w:rsidRPr="00507A31" w:rsidRDefault="00151B93" w:rsidP="00507A31">
      <w:pPr>
        <w:jc w:val="both"/>
        <w:rPr>
          <w:bCs/>
          <w:color w:val="000000" w:themeColor="text1"/>
          <w:sz w:val="16"/>
          <w:szCs w:val="16"/>
        </w:rPr>
      </w:pPr>
      <w:r w:rsidRPr="00507A31">
        <w:rPr>
          <w:bCs/>
          <w:color w:val="000000" w:themeColor="text1"/>
          <w:sz w:val="16"/>
          <w:szCs w:val="16"/>
        </w:rPr>
        <w:t>Источник: </w:t>
      </w:r>
    </w:p>
    <w:p w14:paraId="00BE4D50" w14:textId="77777777" w:rsidR="00151B93" w:rsidRPr="00507A31" w:rsidRDefault="00151B9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FA8A113" w14:textId="77777777" w:rsidR="00151B93" w:rsidRPr="00507A31" w:rsidRDefault="00151B93" w:rsidP="00507A31">
      <w:pPr>
        <w:pStyle w:val="rteright"/>
        <w:spacing w:before="0" w:after="0"/>
        <w:jc w:val="both"/>
        <w:rPr>
          <w:color w:val="000000" w:themeColor="text1"/>
          <w:sz w:val="16"/>
          <w:szCs w:val="16"/>
        </w:rPr>
      </w:pPr>
      <w:r w:rsidRPr="00507A31">
        <w:rPr>
          <w:color w:val="000000" w:themeColor="text1"/>
          <w:sz w:val="16"/>
          <w:szCs w:val="16"/>
        </w:rPr>
        <w:t>за 19 ноября 1930 г.</w:t>
      </w:r>
    </w:p>
    <w:p w14:paraId="2338136C" w14:textId="77777777" w:rsidR="00151B93" w:rsidRPr="00507A31" w:rsidRDefault="00151B93"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394DDA15"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ФИШЕР:</w:t>
      </w:r>
    </w:p>
    <w:p w14:paraId="7AB43087"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Никогда еще со времени налета на Аркос и разрыва с Англией советское общество не подхлестывалось до такого резкого реагирования на политику иностранной державы, как это имеет место теперь по отношению к Франции. Хотя все это безусловно не совсем не связано с предстоящим процессом Рамзина и хорошо гармонирует с «неделей защиты»[,] Ваш корр[еспонден]т на основании бесед, как с видными советскими деятелями, так и с обычными гражданами, пришел к заключению, что боязнь спровоцированного Францией нападения является вполне искренней. Некоторые алармистские статьи предназначены для внутреннего потребления и стимулирования патриотизма, но независимо от этого Кремль вряд ли допустил бы такие резкие выступления по адресу Пуанкаре и Бриана, если бы не чувствовал, что отношения с Францией и так слишком напряжены и вряд ли еще могут ухудшиться, или если бы данные, которые будут по[-]видимому раскрыты процессом, не оправдывали применения самых сильных и откровенных выражений. Поскольку раскрытие заговора совпало с выступлениями Бриана и Тардье против изменений Версальского договора, здесь очень заботятся о расположении Германии и чрезвычайно чувствительно реагируют на антисоветские настроения у немцев. В связи со всем этим небезинтересно также отметить содержание речи нового итальянского посла, который, представляясь Калинину, с необычайной в таких торжественных случаях теплотой, говорил о последних итальянских кредитах и приветствовал растущее доверие в отношениях между обоими государствами. Другими словами, совпра, чувствуя французскую угрозу, укрепляет свои дипломатические оборонительные позиции и одновременно побуждает народ к укреплению Красной Армии и ускорению темпов индустриализации, чтобы быть готовыми к отражению нападения.</w:t>
      </w:r>
    </w:p>
    <w:p w14:paraId="6DB6ABEB"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ВУУД: К граду статей, резолюций, требующих расстрела для подсудимых, обвиняемых в заговоре, и клеймящих Пуанкаре, присоединились жалобы сотрудника «Известий» на некоторых иностранных корр[еспонден]тов за неблагоприятную информацию об СССР. (Пока не указывается, какие дисциплинарные меры будут приняты по отношению к корреспондентам.)</w:t>
      </w:r>
    </w:p>
    <w:p w14:paraId="13EE406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Перечисляются фабрики и учреждения, принявшие резолюции по делу Промпартии, причем указывается, что собрание пионеров также требовало смертной казни для подсудимых.</w:t>
      </w:r>
    </w:p>
    <w:p w14:paraId="36293D6E"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ПРИМЕЧАНИЕ: Вууд и Лайонс заявили в беседе, что указание Радека на иностранных корр[еспонден]тов очень их оскорбило, в особенности ввиду огульности и необоснованности такого заявления. Вообще у инкоров создается впечатление, что против них начинается какая-то кампания; такое настроение вредно влияет на общий тон их информации и затрудняет цензурирование и инспирирование телеграмм.</w:t>
      </w:r>
    </w:p>
    <w:p w14:paraId="67267D86"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БАУМ: Также отмечает симптоматичность речей, которыми обменялись Аттоликс и Калинин.</w:t>
      </w:r>
    </w:p>
    <w:p w14:paraId="4AAA7258"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ЛАЙОНС: 1. В ответ на запрос: по наблюдениям В[ашего] корр[еспонден]та Красная площадь не занята войсками ОГПУ, а два солдата, находящиеся там, только поддерживают порядок в длинной очереди ленинцев, пришедших посмотреть новый мавзолей. Хорошо информированные лица не верят слухам об аресте Блюхера, что опровергается и должностными лицами.</w:t>
      </w:r>
    </w:p>
    <w:p w14:paraId="07F16CB1"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ПРИМЕЧАНИЕ: Тоже — но в более резкой форме — Фишер.</w:t>
      </w:r>
    </w:p>
    <w:p w14:paraId="53E38A28"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2. Об убийстве афганского консула.</w:t>
      </w:r>
    </w:p>
    <w:p w14:paraId="5B3801C9" w14:textId="77777777" w:rsidR="00151B93" w:rsidRPr="00507A31" w:rsidRDefault="00151B93" w:rsidP="00507A31">
      <w:pPr>
        <w:pStyle w:val="rtejustify"/>
        <w:spacing w:before="0" w:after="0"/>
        <w:rPr>
          <w:color w:val="000000" w:themeColor="text1"/>
          <w:sz w:val="16"/>
          <w:szCs w:val="16"/>
        </w:rPr>
      </w:pPr>
      <w:r w:rsidRPr="00507A31">
        <w:rPr>
          <w:color w:val="000000" w:themeColor="text1"/>
          <w:sz w:val="16"/>
          <w:szCs w:val="16"/>
        </w:rPr>
        <w:t>ДОЙС: В ответ на запрос: По слухам, Рыков поехал отдыхать на юг, решение его судьбы по[-]видимому ожидается на пленуме ЦК.</w:t>
      </w:r>
    </w:p>
    <w:p w14:paraId="0EA97362" w14:textId="77777777" w:rsidR="00151B93" w:rsidRPr="00507A31" w:rsidRDefault="00151B93"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15BC37A4" w14:textId="77777777" w:rsidR="00151B93" w:rsidRPr="00507A31" w:rsidRDefault="00151B93"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40. Машинописная копия того времени. Формула «Не подлежит оглашению» напечатана вверху справа. Слова в скобках — текст, вычеркнутый цензурой (см. легенду к док. № 48 данного раздела «Сводка телеграмм иностранных корреспондентов» за 11 ноября 1930 г.) (18981).</w:t>
      </w:r>
    </w:p>
    <w:p w14:paraId="70AF5B87" w14:textId="77777777" w:rsidR="00151B93" w:rsidRPr="00507A31" w:rsidRDefault="00151B93" w:rsidP="00507A31">
      <w:pPr>
        <w:jc w:val="both"/>
        <w:rPr>
          <w:color w:val="000000" w:themeColor="text1"/>
          <w:sz w:val="16"/>
          <w:szCs w:val="16"/>
        </w:rPr>
      </w:pPr>
    </w:p>
    <w:p w14:paraId="125738CA" w14:textId="77777777" w:rsidR="00CD51E7" w:rsidRPr="00507A31" w:rsidRDefault="00CD51E7" w:rsidP="00507A31">
      <w:pPr>
        <w:jc w:val="both"/>
        <w:rPr>
          <w:bCs/>
          <w:color w:val="000000" w:themeColor="text1"/>
          <w:sz w:val="16"/>
          <w:szCs w:val="16"/>
        </w:rPr>
      </w:pPr>
      <w:r w:rsidRPr="00507A31">
        <w:rPr>
          <w:color w:val="000000" w:themeColor="text1"/>
          <w:sz w:val="16"/>
          <w:szCs w:val="16"/>
        </w:rPr>
        <w:t>19 ноября 1930 г.</w:t>
      </w:r>
    </w:p>
    <w:p w14:paraId="372A62D8" w14:textId="77777777" w:rsidR="00CD51E7" w:rsidRPr="00507A31" w:rsidRDefault="00CD51E7" w:rsidP="00507A31">
      <w:pPr>
        <w:jc w:val="both"/>
        <w:rPr>
          <w:bCs/>
          <w:color w:val="000000" w:themeColor="text1"/>
          <w:sz w:val="16"/>
          <w:szCs w:val="16"/>
        </w:rPr>
      </w:pPr>
      <w:r w:rsidRPr="00507A31">
        <w:rPr>
          <w:color w:val="000000" w:themeColor="text1"/>
          <w:sz w:val="16"/>
          <w:szCs w:val="16"/>
        </w:rPr>
        <w:t>Совещание «ответственных работников ВОКС» о ближайших задачах в связи с проведением кампании по процессу «Промпартии». 19 ноября 1930 г.</w:t>
      </w:r>
    </w:p>
    <w:p w14:paraId="701EBA8E" w14:textId="77777777" w:rsidR="00CD51E7" w:rsidRPr="00507A31" w:rsidRDefault="00CD51E7" w:rsidP="00507A31">
      <w:pPr>
        <w:jc w:val="both"/>
        <w:rPr>
          <w:bCs/>
          <w:color w:val="000000" w:themeColor="text1"/>
          <w:sz w:val="16"/>
          <w:szCs w:val="16"/>
        </w:rPr>
      </w:pPr>
      <w:r w:rsidRPr="00507A31">
        <w:rPr>
          <w:bCs/>
          <w:color w:val="000000" w:themeColor="text1"/>
          <w:sz w:val="16"/>
          <w:szCs w:val="16"/>
        </w:rPr>
        <w:t>Источник: </w:t>
      </w:r>
    </w:p>
    <w:p w14:paraId="65E7BB5E" w14:textId="77777777" w:rsidR="00CD51E7" w:rsidRPr="00507A31" w:rsidRDefault="00CD51E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60BE0A4" w14:textId="77777777" w:rsidR="00CD51E7" w:rsidRPr="00507A31" w:rsidRDefault="00CD51E7" w:rsidP="00507A31">
      <w:pPr>
        <w:jc w:val="both"/>
        <w:rPr>
          <w:bCs/>
          <w:color w:val="000000" w:themeColor="text1"/>
          <w:sz w:val="16"/>
          <w:szCs w:val="16"/>
        </w:rPr>
      </w:pPr>
      <w:r w:rsidRPr="00507A31">
        <w:rPr>
          <w:bCs/>
          <w:color w:val="000000" w:themeColor="text1"/>
          <w:sz w:val="16"/>
          <w:szCs w:val="16"/>
        </w:rPr>
        <w:t>Архив: </w:t>
      </w:r>
    </w:p>
    <w:p w14:paraId="10B59EBD" w14:textId="77777777" w:rsidR="00CD51E7" w:rsidRPr="00507A31" w:rsidRDefault="00CD51E7" w:rsidP="00507A31">
      <w:pPr>
        <w:jc w:val="both"/>
        <w:rPr>
          <w:color w:val="000000" w:themeColor="text1"/>
          <w:sz w:val="16"/>
          <w:szCs w:val="16"/>
        </w:rPr>
      </w:pPr>
      <w:r w:rsidRPr="00507A31">
        <w:rPr>
          <w:color w:val="000000" w:themeColor="text1"/>
          <w:sz w:val="16"/>
          <w:szCs w:val="16"/>
        </w:rPr>
        <w:lastRenderedPageBreak/>
        <w:t>ГА РФ. Ф. P-5283. On. 1. Д. 139. Л. 1-2</w:t>
      </w:r>
    </w:p>
    <w:p w14:paraId="2297841D" w14:textId="77777777" w:rsidR="00CD51E7" w:rsidRPr="00507A31" w:rsidRDefault="00CD51E7" w:rsidP="00507A31">
      <w:pPr>
        <w:pStyle w:val="rteright"/>
        <w:spacing w:before="0" w:after="0"/>
        <w:jc w:val="both"/>
        <w:rPr>
          <w:color w:val="000000" w:themeColor="text1"/>
          <w:sz w:val="16"/>
          <w:szCs w:val="16"/>
        </w:rPr>
      </w:pPr>
      <w:r w:rsidRPr="00507A31">
        <w:rPr>
          <w:color w:val="000000" w:themeColor="text1"/>
          <w:sz w:val="16"/>
          <w:szCs w:val="16"/>
        </w:rPr>
        <w:t>19 ноября 1930 г.</w:t>
      </w:r>
    </w:p>
    <w:p w14:paraId="29B42301" w14:textId="77777777" w:rsidR="00CD51E7" w:rsidRPr="00507A31" w:rsidRDefault="00CD51E7" w:rsidP="00507A31">
      <w:pPr>
        <w:pStyle w:val="rteright"/>
        <w:spacing w:before="0" w:after="0"/>
        <w:jc w:val="both"/>
        <w:rPr>
          <w:color w:val="000000" w:themeColor="text1"/>
          <w:sz w:val="16"/>
          <w:szCs w:val="16"/>
        </w:rPr>
      </w:pPr>
      <w:r w:rsidRPr="00507A31">
        <w:rPr>
          <w:color w:val="000000" w:themeColor="text1"/>
          <w:sz w:val="16"/>
          <w:szCs w:val="16"/>
        </w:rPr>
        <w:t>Оглашению не подлежит</w:t>
      </w:r>
    </w:p>
    <w:p w14:paraId="7EAFA85D"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ПРОТОКОЛ № 1</w:t>
      </w:r>
    </w:p>
    <w:p w14:paraId="33DAF12C"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совещания ответственных работников ВОКС о работе ВОКС</w:t>
      </w:r>
    </w:p>
    <w:p w14:paraId="7162E259"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в связи с надвигающейся военной опасностью,</w:t>
      </w:r>
    </w:p>
    <w:p w14:paraId="79926777"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от 19 ноября 1930 г.</w:t>
      </w:r>
    </w:p>
    <w:p w14:paraId="0098393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Присутствовали: т.т. Петров, Шуман, Новомирский, Бороздин, Бело- стецкая, Ингбер, Минлос, Песис, Штейнберг, Кариди, Богомазов, Добин, Амдур, Ротенберг, Филиппова, Корольчук.</w:t>
      </w:r>
    </w:p>
    <w:p w14:paraId="6AD8C07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Председатель — Ф. Н. ПЕТРОВ</w:t>
      </w:r>
    </w:p>
    <w:p w14:paraId="185D4166"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Секретарь — РОТЕНБЕРГ</w:t>
      </w:r>
    </w:p>
    <w:p w14:paraId="4CA297BB"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Слушали:</w:t>
      </w:r>
    </w:p>
    <w:p w14:paraId="14A3CB2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Информация тов. Петрова о ближайших задачах ВОКСа в связи с надвигающейся военной опасностью.</w:t>
      </w:r>
    </w:p>
    <w:p w14:paraId="6AB6934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Тов. Петров указывает, что ВОКС должен, в связи с назревающей угрозой войны против СССР, поднять за границей кампанию под лозунгом — на защиту мирного хозяйственного строительства СССР, обеспечивающего реализацию пятилетнего плана. В частности, необходимо организовать общественное мнение за границей вокруг процесса вредителей.</w:t>
      </w:r>
    </w:p>
    <w:p w14:paraId="793CF66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Конкретно необходимо провести следующие мероприятия:</w:t>
      </w:r>
    </w:p>
    <w:p w14:paraId="32C52DE0"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 линии печати:</w:t>
      </w:r>
    </w:p>
    <w:p w14:paraId="517DB23B" w14:textId="77777777" w:rsidR="00CD51E7" w:rsidRPr="00507A31" w:rsidRDefault="00CD51E7" w:rsidP="00507A31">
      <w:pPr>
        <w:numPr>
          <w:ilvl w:val="0"/>
          <w:numId w:val="65"/>
        </w:numPr>
        <w:ind w:left="0" w:firstLine="0"/>
        <w:jc w:val="both"/>
        <w:rPr>
          <w:color w:val="000000" w:themeColor="text1"/>
          <w:sz w:val="16"/>
          <w:szCs w:val="16"/>
        </w:rPr>
      </w:pPr>
      <w:r w:rsidRPr="00507A31">
        <w:rPr>
          <w:color w:val="000000" w:themeColor="text1"/>
          <w:sz w:val="16"/>
          <w:szCs w:val="16"/>
        </w:rPr>
        <w:t>Выпустить 1-2 внеочередных бюллетеня  ВОКС  на иностранных языках, посвященных процессу вредителей.</w:t>
      </w:r>
    </w:p>
    <w:p w14:paraId="5E2B62B0" w14:textId="77777777" w:rsidR="00CD51E7" w:rsidRPr="00507A31" w:rsidRDefault="00CD51E7" w:rsidP="00507A31">
      <w:pPr>
        <w:numPr>
          <w:ilvl w:val="0"/>
          <w:numId w:val="66"/>
        </w:numPr>
        <w:ind w:left="0" w:firstLine="0"/>
        <w:jc w:val="both"/>
        <w:rPr>
          <w:color w:val="000000" w:themeColor="text1"/>
          <w:sz w:val="16"/>
          <w:szCs w:val="16"/>
        </w:rPr>
      </w:pPr>
      <w:r w:rsidRPr="00507A31">
        <w:rPr>
          <w:color w:val="000000" w:themeColor="text1"/>
          <w:sz w:val="16"/>
          <w:szCs w:val="16"/>
        </w:rPr>
        <w:t>Обеспечить систематическое снабжение фактическими информационными сводками о ходе процесса постоянных корреспондентов ВОКСа. Использовать наряду с этим для широкого продвижения за границей соответствующих материалов о процессе все имеющиеся в ВОКСе организационные возможности (посылка статей всем, и т. д.).</w:t>
      </w:r>
    </w:p>
    <w:p w14:paraId="4175F14C" w14:textId="77777777" w:rsidR="00CD51E7" w:rsidRPr="00507A31" w:rsidRDefault="00CD51E7" w:rsidP="00507A31">
      <w:pPr>
        <w:numPr>
          <w:ilvl w:val="0"/>
          <w:numId w:val="67"/>
        </w:numPr>
        <w:ind w:left="0" w:firstLine="0"/>
        <w:jc w:val="both"/>
        <w:rPr>
          <w:color w:val="000000" w:themeColor="text1"/>
          <w:sz w:val="16"/>
          <w:szCs w:val="16"/>
        </w:rPr>
      </w:pPr>
      <w:r w:rsidRPr="00507A31">
        <w:rPr>
          <w:color w:val="000000" w:themeColor="text1"/>
          <w:sz w:val="16"/>
          <w:szCs w:val="16"/>
        </w:rPr>
        <w:t>Вести совместно с ОВС систематический учет откликов за границей прессы на процесс для последующей информации о них нашей прессы.</w:t>
      </w:r>
    </w:p>
    <w:p w14:paraId="64B6D802"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 линии ОВС:</w:t>
      </w:r>
    </w:p>
    <w:p w14:paraId="5589B80A" w14:textId="77777777" w:rsidR="00CD51E7" w:rsidRPr="00507A31" w:rsidRDefault="00CD51E7" w:rsidP="00507A31">
      <w:pPr>
        <w:numPr>
          <w:ilvl w:val="0"/>
          <w:numId w:val="68"/>
        </w:numPr>
        <w:ind w:left="0" w:firstLine="0"/>
        <w:jc w:val="both"/>
        <w:rPr>
          <w:color w:val="000000" w:themeColor="text1"/>
          <w:sz w:val="16"/>
          <w:szCs w:val="16"/>
        </w:rPr>
      </w:pPr>
      <w:r w:rsidRPr="00507A31">
        <w:rPr>
          <w:color w:val="000000" w:themeColor="text1"/>
          <w:sz w:val="16"/>
          <w:szCs w:val="16"/>
        </w:rPr>
        <w:t>Мобилизовать Об-ва Друзей, видных иностранных ученых, писателей и художников для письменных и устных выступлений в связи с процессом.</w:t>
      </w:r>
    </w:p>
    <w:p w14:paraId="1F664661" w14:textId="77777777" w:rsidR="00CD51E7" w:rsidRPr="00507A31" w:rsidRDefault="00CD51E7" w:rsidP="00507A31">
      <w:pPr>
        <w:numPr>
          <w:ilvl w:val="0"/>
          <w:numId w:val="68"/>
        </w:numPr>
        <w:ind w:left="0" w:firstLine="0"/>
        <w:jc w:val="both"/>
        <w:rPr>
          <w:color w:val="000000" w:themeColor="text1"/>
          <w:sz w:val="16"/>
          <w:szCs w:val="16"/>
        </w:rPr>
      </w:pPr>
      <w:r w:rsidRPr="00507A31">
        <w:rPr>
          <w:color w:val="000000" w:themeColor="text1"/>
          <w:sz w:val="16"/>
          <w:szCs w:val="16"/>
        </w:rPr>
        <w:t>Для того дать в срочном порядке директивы нашим уполномоченным, секретарям об-в и другим близким нам людям об организации соответствующих выступлений.</w:t>
      </w:r>
    </w:p>
    <w:p w14:paraId="31A6BC8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 линии НТС</w:t>
      </w:r>
    </w:p>
    <w:p w14:paraId="649C215F" w14:textId="77777777" w:rsidR="00CD51E7" w:rsidRPr="00507A31" w:rsidRDefault="00CD51E7" w:rsidP="00507A31">
      <w:pPr>
        <w:numPr>
          <w:ilvl w:val="0"/>
          <w:numId w:val="69"/>
        </w:numPr>
        <w:ind w:left="0" w:firstLine="0"/>
        <w:jc w:val="both"/>
        <w:rPr>
          <w:color w:val="000000" w:themeColor="text1"/>
          <w:sz w:val="16"/>
          <w:szCs w:val="16"/>
        </w:rPr>
      </w:pPr>
      <w:r w:rsidRPr="00507A31">
        <w:rPr>
          <w:color w:val="000000" w:themeColor="text1"/>
          <w:sz w:val="16"/>
          <w:szCs w:val="16"/>
        </w:rPr>
        <w:t>Организовать общественные силы, работающие в секциях для соответствующих откликов на процесс вредителей. Помимо организации митинга-протеста, намеченного на 23-е ноября, разработать план систематической работы секций в этом направлении.</w:t>
      </w:r>
    </w:p>
    <w:p w14:paraId="54B92389" w14:textId="77777777" w:rsidR="00CD51E7" w:rsidRPr="00507A31" w:rsidRDefault="00CD51E7" w:rsidP="00507A31">
      <w:pPr>
        <w:numPr>
          <w:ilvl w:val="0"/>
          <w:numId w:val="69"/>
        </w:numPr>
        <w:ind w:left="0" w:firstLine="0"/>
        <w:jc w:val="both"/>
        <w:rPr>
          <w:color w:val="000000" w:themeColor="text1"/>
          <w:sz w:val="16"/>
          <w:szCs w:val="16"/>
        </w:rPr>
      </w:pPr>
      <w:r w:rsidRPr="00507A31">
        <w:rPr>
          <w:color w:val="000000" w:themeColor="text1"/>
          <w:sz w:val="16"/>
          <w:szCs w:val="16"/>
        </w:rPr>
        <w:t>Ускорить выпуск сборников по линии НТС и Нац. Бюро, освещающих наши достижения по отдельным отраслям культурного строительства, а также форсировать издание серии брошюр по национальному вопросу.</w:t>
      </w:r>
    </w:p>
    <w:p w14:paraId="5D95196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Отделу Выставок</w:t>
      </w:r>
    </w:p>
    <w:p w14:paraId="3BFD88EC" w14:textId="77777777" w:rsidR="00CD51E7" w:rsidRPr="00507A31" w:rsidRDefault="00CD51E7" w:rsidP="00507A31">
      <w:pPr>
        <w:numPr>
          <w:ilvl w:val="0"/>
          <w:numId w:val="70"/>
        </w:numPr>
        <w:ind w:left="0" w:firstLine="0"/>
        <w:jc w:val="both"/>
        <w:rPr>
          <w:color w:val="000000" w:themeColor="text1"/>
          <w:sz w:val="16"/>
          <w:szCs w:val="16"/>
        </w:rPr>
      </w:pPr>
      <w:r w:rsidRPr="00507A31">
        <w:rPr>
          <w:color w:val="000000" w:themeColor="text1"/>
          <w:sz w:val="16"/>
          <w:szCs w:val="16"/>
        </w:rPr>
        <w:t>Ускорить темп показа за границей наших коллекций, которые намечены по плану, по возможности, приурочив открытие советских выставок к общественным выступлениям за границей.</w:t>
      </w:r>
    </w:p>
    <w:p w14:paraId="087A982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Отдел Книгообмена</w:t>
      </w:r>
    </w:p>
    <w:p w14:paraId="622C08E0" w14:textId="77777777" w:rsidR="00CD51E7" w:rsidRPr="00507A31" w:rsidRDefault="00CD51E7" w:rsidP="00507A31">
      <w:pPr>
        <w:numPr>
          <w:ilvl w:val="0"/>
          <w:numId w:val="71"/>
        </w:numPr>
        <w:ind w:left="0" w:firstLine="0"/>
        <w:jc w:val="both"/>
        <w:rPr>
          <w:color w:val="000000" w:themeColor="text1"/>
          <w:sz w:val="16"/>
          <w:szCs w:val="16"/>
        </w:rPr>
      </w:pPr>
      <w:r w:rsidRPr="00507A31">
        <w:rPr>
          <w:color w:val="000000" w:themeColor="text1"/>
          <w:sz w:val="16"/>
          <w:szCs w:val="16"/>
        </w:rPr>
        <w:t>Продвижение за границу печатных материалов вокруг процесса на иностранных языках по их издании ВОКСом.</w:t>
      </w:r>
    </w:p>
    <w:p w14:paraId="4E5D6B1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Для реализации этих мероприятий тов. Петров предлагает выделить из ответственных работников БОКС ударную тройку, в задачи которой входит: составление конкретного плана участия всех отделов ВОКС в проводимой кампании, регулярное представление тов. Петрову оперативных сводок о том, что проделано ВОКСом в порядке реализации намеченного плана и каковы отклики заграницы на процесс.</w:t>
      </w:r>
    </w:p>
    <w:p w14:paraId="70E32D65"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Тов. Шуман указывает[:]</w:t>
      </w:r>
    </w:p>
    <w:p w14:paraId="5651712E" w14:textId="77777777" w:rsidR="00CD51E7" w:rsidRPr="00507A31" w:rsidRDefault="00CD51E7" w:rsidP="00507A31">
      <w:pPr>
        <w:numPr>
          <w:ilvl w:val="0"/>
          <w:numId w:val="72"/>
        </w:numPr>
        <w:ind w:left="0" w:firstLine="0"/>
        <w:jc w:val="both"/>
        <w:rPr>
          <w:color w:val="000000" w:themeColor="text1"/>
          <w:sz w:val="16"/>
          <w:szCs w:val="16"/>
        </w:rPr>
      </w:pPr>
      <w:r w:rsidRPr="00507A31">
        <w:rPr>
          <w:color w:val="000000" w:themeColor="text1"/>
          <w:sz w:val="16"/>
          <w:szCs w:val="16"/>
        </w:rPr>
        <w:t>На необходимость уточнения лозунга, под которым будет проводиться вся кампания, подчеркнув, что непосредственная опасность войны против СССР представляет угрозу для всей международной культуры.</w:t>
      </w:r>
    </w:p>
    <w:p w14:paraId="0D6FC45C" w14:textId="77777777" w:rsidR="00CD51E7" w:rsidRPr="00507A31" w:rsidRDefault="00CD51E7" w:rsidP="00507A31">
      <w:pPr>
        <w:numPr>
          <w:ilvl w:val="0"/>
          <w:numId w:val="72"/>
        </w:numPr>
        <w:ind w:left="0" w:firstLine="0"/>
        <w:jc w:val="both"/>
        <w:rPr>
          <w:color w:val="000000" w:themeColor="text1"/>
          <w:sz w:val="16"/>
          <w:szCs w:val="16"/>
        </w:rPr>
      </w:pPr>
      <w:r w:rsidRPr="00507A31">
        <w:rPr>
          <w:color w:val="000000" w:themeColor="text1"/>
          <w:sz w:val="16"/>
          <w:szCs w:val="16"/>
        </w:rPr>
        <w:t>Необходимо показать за границей отсутствие связи вредителей с массами, что толкнуло их на пути подготовки интервенции.</w:t>
      </w:r>
    </w:p>
    <w:p w14:paraId="13CCBE50" w14:textId="77777777" w:rsidR="00CD51E7" w:rsidRPr="00507A31" w:rsidRDefault="00CD51E7" w:rsidP="00507A31">
      <w:pPr>
        <w:numPr>
          <w:ilvl w:val="0"/>
          <w:numId w:val="72"/>
        </w:numPr>
        <w:ind w:left="0" w:firstLine="0"/>
        <w:jc w:val="both"/>
        <w:rPr>
          <w:color w:val="000000" w:themeColor="text1"/>
          <w:sz w:val="16"/>
          <w:szCs w:val="16"/>
        </w:rPr>
      </w:pPr>
      <w:r w:rsidRPr="00507A31">
        <w:rPr>
          <w:color w:val="000000" w:themeColor="text1"/>
          <w:sz w:val="16"/>
          <w:szCs w:val="16"/>
        </w:rPr>
        <w:t>Следует организовать через Отдел Печати корреспондентское обслуживание процесса посредством постоянного дежурства.</w:t>
      </w:r>
    </w:p>
    <w:p w14:paraId="30ADC214" w14:textId="77777777" w:rsidR="00CD51E7" w:rsidRPr="00507A31" w:rsidRDefault="00CD51E7" w:rsidP="00507A31">
      <w:pPr>
        <w:numPr>
          <w:ilvl w:val="0"/>
          <w:numId w:val="72"/>
        </w:numPr>
        <w:ind w:left="0" w:firstLine="0"/>
        <w:jc w:val="both"/>
        <w:rPr>
          <w:color w:val="000000" w:themeColor="text1"/>
          <w:sz w:val="16"/>
          <w:szCs w:val="16"/>
        </w:rPr>
      </w:pPr>
      <w:r w:rsidRPr="00507A31">
        <w:rPr>
          <w:color w:val="000000" w:themeColor="text1"/>
          <w:sz w:val="16"/>
          <w:szCs w:val="16"/>
        </w:rPr>
        <w:t>С целью обеспечения своевременного выхода специальных номеров журнала ВОКС или отдельной брошюры, посвященных процессу, следует тотчас же приступить к их подготовке.</w:t>
      </w:r>
    </w:p>
    <w:p w14:paraId="14FB49E4" w14:textId="77777777" w:rsidR="00CD51E7" w:rsidRPr="00507A31" w:rsidRDefault="00CD51E7" w:rsidP="00507A31">
      <w:pPr>
        <w:numPr>
          <w:ilvl w:val="0"/>
          <w:numId w:val="72"/>
        </w:numPr>
        <w:ind w:left="0" w:firstLine="0"/>
        <w:jc w:val="both"/>
        <w:rPr>
          <w:color w:val="000000" w:themeColor="text1"/>
          <w:sz w:val="16"/>
          <w:szCs w:val="16"/>
        </w:rPr>
      </w:pPr>
      <w:r w:rsidRPr="00507A31">
        <w:rPr>
          <w:color w:val="000000" w:themeColor="text1"/>
          <w:sz w:val="16"/>
          <w:szCs w:val="16"/>
        </w:rPr>
        <w:t>По линии обществ возможно наметить следующую работу:</w:t>
      </w:r>
    </w:p>
    <w:p w14:paraId="074E7464"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а) проведение общих собраний членов для разъяснительной работы о процессе, б) сбор подписей на контрзаявления для печати, в) выпуск экстренных номеров там, где имеются органы печати, г) вербовка новых членов под лозунгом предотвращения войны, д) провести разоблачительную работу против недавно возникших реакционных обществ, как «Общество защиты западной культуры против восточного варварства» (Германия, Франция) и т. д.</w:t>
      </w:r>
    </w:p>
    <w:p w14:paraId="67D3DB85"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Необходимо дать телеграфно директивы уполномоченным в связи с предстоящей кампанией. Ударный характер приобретает работа во Франции, Польше, Англии, Лимитрофах и Германии и в странах Малой Антанты.</w:t>
      </w:r>
    </w:p>
    <w:p w14:paraId="45996A30" w14:textId="77777777" w:rsidR="00CD51E7" w:rsidRPr="00507A31" w:rsidRDefault="00CD51E7" w:rsidP="00507A31">
      <w:pPr>
        <w:numPr>
          <w:ilvl w:val="0"/>
          <w:numId w:val="73"/>
        </w:numPr>
        <w:ind w:left="0" w:firstLine="0"/>
        <w:jc w:val="both"/>
        <w:rPr>
          <w:color w:val="000000" w:themeColor="text1"/>
          <w:sz w:val="16"/>
          <w:szCs w:val="16"/>
        </w:rPr>
      </w:pPr>
      <w:r w:rsidRPr="00507A31">
        <w:rPr>
          <w:color w:val="000000" w:themeColor="text1"/>
          <w:sz w:val="16"/>
          <w:szCs w:val="16"/>
        </w:rPr>
        <w:t>В области внутренней работы в СССР митинг протеста 23-го должен явиться началом работы по линии обращения советской интеллигенции за границу.</w:t>
      </w:r>
    </w:p>
    <w:p w14:paraId="298B8A5B" w14:textId="77777777" w:rsidR="00CD51E7" w:rsidRPr="00507A31" w:rsidRDefault="00CD51E7" w:rsidP="00507A31">
      <w:pPr>
        <w:numPr>
          <w:ilvl w:val="0"/>
          <w:numId w:val="74"/>
        </w:numPr>
        <w:ind w:left="0" w:firstLine="0"/>
        <w:jc w:val="both"/>
        <w:rPr>
          <w:color w:val="000000" w:themeColor="text1"/>
          <w:sz w:val="16"/>
          <w:szCs w:val="16"/>
        </w:rPr>
      </w:pPr>
      <w:r w:rsidRPr="00507A31">
        <w:rPr>
          <w:color w:val="000000" w:themeColor="text1"/>
          <w:sz w:val="16"/>
          <w:szCs w:val="16"/>
        </w:rPr>
        <w:t>Необходимо мобилизовать нашу провинциальную советскую общественность для откликов за границу по процессу, дав соответствующие директивы нашим отделениям ВОКС в Ленинграде, Ростове и т. д.</w:t>
      </w:r>
    </w:p>
    <w:p w14:paraId="69479382" w14:textId="77777777" w:rsidR="00CD51E7" w:rsidRPr="00507A31" w:rsidRDefault="00CD51E7" w:rsidP="00507A31">
      <w:pPr>
        <w:numPr>
          <w:ilvl w:val="0"/>
          <w:numId w:val="75"/>
        </w:numPr>
        <w:ind w:left="0" w:firstLine="0"/>
        <w:jc w:val="both"/>
        <w:rPr>
          <w:color w:val="000000" w:themeColor="text1"/>
          <w:sz w:val="16"/>
          <w:szCs w:val="16"/>
        </w:rPr>
      </w:pPr>
      <w:r w:rsidRPr="00507A31">
        <w:rPr>
          <w:color w:val="000000" w:themeColor="text1"/>
          <w:sz w:val="16"/>
          <w:szCs w:val="16"/>
        </w:rPr>
        <w:t>Необходимо привлечь к кампании иностранных специалистов, работающих в СССР как в центре, так и на периферии.</w:t>
      </w:r>
    </w:p>
    <w:p w14:paraId="79F2C2E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Тов. Ингбер считает необходимым:</w:t>
      </w:r>
    </w:p>
    <w:p w14:paraId="712B3E14" w14:textId="77777777" w:rsidR="00CD51E7" w:rsidRPr="00507A31" w:rsidRDefault="00CD51E7" w:rsidP="00507A31">
      <w:pPr>
        <w:numPr>
          <w:ilvl w:val="0"/>
          <w:numId w:val="76"/>
        </w:numPr>
        <w:ind w:left="0" w:firstLine="0"/>
        <w:jc w:val="both"/>
        <w:rPr>
          <w:color w:val="000000" w:themeColor="text1"/>
          <w:sz w:val="16"/>
          <w:szCs w:val="16"/>
        </w:rPr>
      </w:pPr>
      <w:r w:rsidRPr="00507A31">
        <w:rPr>
          <w:color w:val="000000" w:themeColor="text1"/>
          <w:sz w:val="16"/>
          <w:szCs w:val="16"/>
        </w:rPr>
        <w:t>Собрать за границей также подписи видных ученых, литераторов и т. д., не входящих в Об-ва.</w:t>
      </w:r>
    </w:p>
    <w:p w14:paraId="22F96759" w14:textId="77777777" w:rsidR="00CD51E7" w:rsidRPr="00507A31" w:rsidRDefault="00CD51E7" w:rsidP="00507A31">
      <w:pPr>
        <w:numPr>
          <w:ilvl w:val="0"/>
          <w:numId w:val="76"/>
        </w:numPr>
        <w:ind w:left="0" w:firstLine="0"/>
        <w:jc w:val="both"/>
        <w:rPr>
          <w:color w:val="000000" w:themeColor="text1"/>
          <w:sz w:val="16"/>
          <w:szCs w:val="16"/>
        </w:rPr>
      </w:pPr>
      <w:r w:rsidRPr="00507A31">
        <w:rPr>
          <w:color w:val="000000" w:themeColor="text1"/>
          <w:sz w:val="16"/>
          <w:szCs w:val="16"/>
        </w:rPr>
        <w:t>В СССР должны быть ученых, художников, артистов с последующей передачей их протестов с подписями за границу.</w:t>
      </w:r>
    </w:p>
    <w:p w14:paraId="54FE9254" w14:textId="77777777" w:rsidR="00CD51E7" w:rsidRPr="00507A31" w:rsidRDefault="00CD51E7" w:rsidP="00507A31">
      <w:pPr>
        <w:numPr>
          <w:ilvl w:val="0"/>
          <w:numId w:val="76"/>
        </w:numPr>
        <w:ind w:left="0" w:firstLine="0"/>
        <w:jc w:val="both"/>
        <w:rPr>
          <w:color w:val="000000" w:themeColor="text1"/>
          <w:sz w:val="16"/>
          <w:szCs w:val="16"/>
        </w:rPr>
      </w:pPr>
      <w:r w:rsidRPr="00507A31">
        <w:rPr>
          <w:color w:val="000000" w:themeColor="text1"/>
          <w:sz w:val="16"/>
          <w:szCs w:val="16"/>
        </w:rPr>
        <w:t>Привлечение иностранных специалистов, работающих в СССР, к кампании должно проводиться очень гибко и осторожно, чтобы вызвать их на выступление, следует исходить из того привилегированного положения, которое им дает их работа в СССР.</w:t>
      </w:r>
    </w:p>
    <w:p w14:paraId="454087EB"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Провести всю эту кампанию с целью добиться необходимого освежения состава Общества (привлечение средних слоев интеллигенции).</w:t>
      </w:r>
    </w:p>
    <w:p w14:paraId="57AB0F52"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Тов. Песис находит, что</w:t>
      </w:r>
    </w:p>
    <w:p w14:paraId="5877AB88" w14:textId="77777777" w:rsidR="00CD51E7" w:rsidRPr="00507A31" w:rsidRDefault="00CD51E7" w:rsidP="00507A31">
      <w:pPr>
        <w:numPr>
          <w:ilvl w:val="0"/>
          <w:numId w:val="77"/>
        </w:numPr>
        <w:ind w:left="0" w:firstLine="0"/>
        <w:jc w:val="both"/>
        <w:rPr>
          <w:color w:val="000000" w:themeColor="text1"/>
          <w:sz w:val="16"/>
          <w:szCs w:val="16"/>
        </w:rPr>
      </w:pPr>
      <w:r w:rsidRPr="00507A31">
        <w:rPr>
          <w:color w:val="000000" w:themeColor="text1"/>
          <w:sz w:val="16"/>
          <w:szCs w:val="16"/>
        </w:rPr>
        <w:t>ВОКСу надо сохранить свое специфическое лицо. Во всех выступлениях надо подчеркивать, что культурная блокада СССР уже фактически проводится.</w:t>
      </w:r>
    </w:p>
    <w:p w14:paraId="01FC6C15" w14:textId="77777777" w:rsidR="00CD51E7" w:rsidRPr="00507A31" w:rsidRDefault="00CD51E7" w:rsidP="00507A31">
      <w:pPr>
        <w:numPr>
          <w:ilvl w:val="0"/>
          <w:numId w:val="77"/>
        </w:numPr>
        <w:ind w:left="0" w:firstLine="0"/>
        <w:jc w:val="both"/>
        <w:rPr>
          <w:color w:val="000000" w:themeColor="text1"/>
          <w:sz w:val="16"/>
          <w:szCs w:val="16"/>
        </w:rPr>
      </w:pPr>
      <w:r w:rsidRPr="00507A31">
        <w:rPr>
          <w:color w:val="000000" w:themeColor="text1"/>
          <w:sz w:val="16"/>
          <w:szCs w:val="16"/>
        </w:rPr>
        <w:t>Наряду с посылкой статей целесообразно приступить к изданию маленьких бюллетеней на папиросной бумаге. Тематика для ближайших номеров: изживание советской интеллигенцией аполитичности, подготовка кадров как предпосылка для создания новой интеллигенции, положение Красной армии, история интервенции, мировая ценность культуры СССР.</w:t>
      </w:r>
    </w:p>
    <w:p w14:paraId="4BCB15C7" w14:textId="77777777" w:rsidR="00CD51E7" w:rsidRPr="00507A31" w:rsidRDefault="00CD51E7" w:rsidP="00507A31">
      <w:pPr>
        <w:numPr>
          <w:ilvl w:val="0"/>
          <w:numId w:val="77"/>
        </w:numPr>
        <w:ind w:left="0" w:firstLine="0"/>
        <w:jc w:val="both"/>
        <w:rPr>
          <w:color w:val="000000" w:themeColor="text1"/>
          <w:sz w:val="16"/>
          <w:szCs w:val="16"/>
        </w:rPr>
      </w:pPr>
      <w:r w:rsidRPr="00507A31">
        <w:rPr>
          <w:color w:val="000000" w:themeColor="text1"/>
          <w:sz w:val="16"/>
          <w:szCs w:val="16"/>
        </w:rPr>
        <w:t>Одновременно с печатью для кампании надо мобилизовать радио.</w:t>
      </w:r>
    </w:p>
    <w:p w14:paraId="490F5D52" w14:textId="77777777" w:rsidR="00CD51E7" w:rsidRPr="00507A31" w:rsidRDefault="00CD51E7" w:rsidP="00507A31">
      <w:pPr>
        <w:numPr>
          <w:ilvl w:val="0"/>
          <w:numId w:val="77"/>
        </w:numPr>
        <w:ind w:left="0" w:firstLine="0"/>
        <w:jc w:val="both"/>
        <w:rPr>
          <w:color w:val="000000" w:themeColor="text1"/>
          <w:sz w:val="16"/>
          <w:szCs w:val="16"/>
        </w:rPr>
      </w:pPr>
      <w:r w:rsidRPr="00507A31">
        <w:rPr>
          <w:color w:val="000000" w:themeColor="text1"/>
          <w:sz w:val="16"/>
          <w:szCs w:val="16"/>
        </w:rPr>
        <w:t>Целесообразно сообразить и использовать отзывы иностранцев, посетивших СССР, о нашем Союзе.</w:t>
      </w:r>
    </w:p>
    <w:p w14:paraId="6D7BDE17" w14:textId="77777777" w:rsidR="00CD51E7" w:rsidRPr="00507A31" w:rsidRDefault="00CD51E7" w:rsidP="00507A31">
      <w:pPr>
        <w:numPr>
          <w:ilvl w:val="0"/>
          <w:numId w:val="77"/>
        </w:numPr>
        <w:ind w:left="0" w:firstLine="0"/>
        <w:jc w:val="both"/>
        <w:rPr>
          <w:color w:val="000000" w:themeColor="text1"/>
          <w:sz w:val="16"/>
          <w:szCs w:val="16"/>
        </w:rPr>
      </w:pPr>
      <w:r w:rsidRPr="00507A31">
        <w:rPr>
          <w:color w:val="000000" w:themeColor="text1"/>
          <w:sz w:val="16"/>
          <w:szCs w:val="16"/>
        </w:rPr>
        <w:t>Для интенсификации связи с советской общественностью НТС надо опереться на новые круги в лице Варнитсо, аспирантуры и т. д.</w:t>
      </w:r>
    </w:p>
    <w:p w14:paraId="44040740"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Тов. Новомирский указывает, что</w:t>
      </w:r>
    </w:p>
    <w:p w14:paraId="6996F57E" w14:textId="77777777" w:rsidR="00CD51E7" w:rsidRPr="00507A31" w:rsidRDefault="00CD51E7" w:rsidP="00507A31">
      <w:pPr>
        <w:numPr>
          <w:ilvl w:val="0"/>
          <w:numId w:val="78"/>
        </w:numPr>
        <w:ind w:left="0" w:firstLine="0"/>
        <w:jc w:val="both"/>
        <w:rPr>
          <w:color w:val="000000" w:themeColor="text1"/>
          <w:sz w:val="16"/>
          <w:szCs w:val="16"/>
        </w:rPr>
      </w:pPr>
      <w:r w:rsidRPr="00507A31">
        <w:rPr>
          <w:color w:val="000000" w:themeColor="text1"/>
          <w:sz w:val="16"/>
          <w:szCs w:val="16"/>
        </w:rPr>
        <w:t>При проведении кампании против военной опасности ВОКСу необходимо сохранить свое лицо. Нужно выступить под лозунгом «Против войны — на защиту культуры трудящихся».</w:t>
      </w:r>
    </w:p>
    <w:p w14:paraId="5F54DB68" w14:textId="77777777" w:rsidR="00CD51E7" w:rsidRPr="00507A31" w:rsidRDefault="00CD51E7" w:rsidP="00507A31">
      <w:pPr>
        <w:numPr>
          <w:ilvl w:val="0"/>
          <w:numId w:val="78"/>
        </w:numPr>
        <w:ind w:left="0" w:firstLine="0"/>
        <w:jc w:val="both"/>
        <w:rPr>
          <w:color w:val="000000" w:themeColor="text1"/>
          <w:sz w:val="16"/>
          <w:szCs w:val="16"/>
        </w:rPr>
      </w:pPr>
      <w:r w:rsidRPr="00507A31">
        <w:rPr>
          <w:color w:val="000000" w:themeColor="text1"/>
          <w:sz w:val="16"/>
          <w:szCs w:val="16"/>
        </w:rPr>
        <w:t>Циркулярные письма можно разослать только уполномоченным. Для каждого Общества Референтура должна средактировать индивидуальные письма, которые должны идти от имени Председателя ВОКС к Председателю Общества.</w:t>
      </w:r>
    </w:p>
    <w:p w14:paraId="55720F8E" w14:textId="77777777" w:rsidR="00CD51E7" w:rsidRPr="00507A31" w:rsidRDefault="00CD51E7" w:rsidP="00507A31">
      <w:pPr>
        <w:numPr>
          <w:ilvl w:val="0"/>
          <w:numId w:val="78"/>
        </w:numPr>
        <w:ind w:left="0" w:firstLine="0"/>
        <w:jc w:val="both"/>
        <w:rPr>
          <w:color w:val="000000" w:themeColor="text1"/>
          <w:sz w:val="16"/>
          <w:szCs w:val="16"/>
        </w:rPr>
      </w:pPr>
      <w:r w:rsidRPr="00507A31">
        <w:rPr>
          <w:color w:val="000000" w:themeColor="text1"/>
          <w:sz w:val="16"/>
          <w:szCs w:val="16"/>
        </w:rPr>
        <w:t>Целесообразно организовать собрание иностранцев, находящихся в данное время в СССР и обслуживаемых ВОКСом с докладом тов. Петрова об угрозе интервенции в связи с процессом вредителей.</w:t>
      </w:r>
    </w:p>
    <w:p w14:paraId="13CB8E35" w14:textId="77777777" w:rsidR="00CD51E7" w:rsidRPr="00507A31" w:rsidRDefault="00CD51E7" w:rsidP="00507A31">
      <w:pPr>
        <w:numPr>
          <w:ilvl w:val="0"/>
          <w:numId w:val="78"/>
        </w:numPr>
        <w:ind w:left="0" w:firstLine="0"/>
        <w:jc w:val="both"/>
        <w:rPr>
          <w:color w:val="000000" w:themeColor="text1"/>
          <w:sz w:val="16"/>
          <w:szCs w:val="16"/>
        </w:rPr>
      </w:pPr>
      <w:r w:rsidRPr="00507A31">
        <w:rPr>
          <w:color w:val="000000" w:themeColor="text1"/>
          <w:sz w:val="16"/>
          <w:szCs w:val="16"/>
        </w:rPr>
        <w:t>Необходимо использовать иностранцев, посетивших СССР, с которыми ВОКС имеет связь, чтобы побудить их выступить заграницей устно и письменно.</w:t>
      </w:r>
    </w:p>
    <w:p w14:paraId="031B5602" w14:textId="77777777" w:rsidR="00CD51E7" w:rsidRPr="00507A31" w:rsidRDefault="00CD51E7" w:rsidP="00507A31">
      <w:pPr>
        <w:numPr>
          <w:ilvl w:val="0"/>
          <w:numId w:val="78"/>
        </w:numPr>
        <w:ind w:left="0" w:firstLine="0"/>
        <w:jc w:val="both"/>
        <w:rPr>
          <w:color w:val="000000" w:themeColor="text1"/>
          <w:sz w:val="16"/>
          <w:szCs w:val="16"/>
        </w:rPr>
      </w:pPr>
      <w:r w:rsidRPr="00507A31">
        <w:rPr>
          <w:color w:val="000000" w:themeColor="text1"/>
          <w:sz w:val="16"/>
          <w:szCs w:val="16"/>
        </w:rPr>
        <w:t>Следует немедленно обеспечить за ВОКСом через уполномоченных все вырезки из иностранной прессы, относящиеся к процессу.</w:t>
      </w:r>
    </w:p>
    <w:p w14:paraId="4ABF3A88" w14:textId="77777777" w:rsidR="00CD51E7" w:rsidRPr="00507A31" w:rsidRDefault="00CD51E7" w:rsidP="00507A31">
      <w:pPr>
        <w:numPr>
          <w:ilvl w:val="0"/>
          <w:numId w:val="78"/>
        </w:numPr>
        <w:ind w:left="0" w:firstLine="0"/>
        <w:jc w:val="both"/>
        <w:rPr>
          <w:color w:val="000000" w:themeColor="text1"/>
          <w:sz w:val="16"/>
          <w:szCs w:val="16"/>
        </w:rPr>
      </w:pPr>
      <w:r w:rsidRPr="00507A31">
        <w:rPr>
          <w:color w:val="000000" w:themeColor="text1"/>
          <w:sz w:val="16"/>
          <w:szCs w:val="16"/>
        </w:rPr>
        <w:t>Необходимо собрать внутри СССР возможно большее количество подписей интеллигенции под протестом по поводу имевшего место вредительства. Эти подписи с соответствующей расшифровкой имен должны направляться систематически за границу.</w:t>
      </w:r>
    </w:p>
    <w:p w14:paraId="253548E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Тов. Брук предлагает:</w:t>
      </w:r>
    </w:p>
    <w:p w14:paraId="083A9A11" w14:textId="77777777" w:rsidR="00CD51E7" w:rsidRPr="00507A31" w:rsidRDefault="00CD51E7" w:rsidP="00507A31">
      <w:pPr>
        <w:numPr>
          <w:ilvl w:val="0"/>
          <w:numId w:val="79"/>
        </w:numPr>
        <w:ind w:left="0" w:firstLine="0"/>
        <w:jc w:val="both"/>
        <w:rPr>
          <w:color w:val="000000" w:themeColor="text1"/>
          <w:sz w:val="16"/>
          <w:szCs w:val="16"/>
        </w:rPr>
      </w:pPr>
      <w:r w:rsidRPr="00507A31">
        <w:rPr>
          <w:color w:val="000000" w:themeColor="text1"/>
          <w:sz w:val="16"/>
          <w:szCs w:val="16"/>
        </w:rPr>
        <w:t>Использовать для выступлений внутри СССР специалистов, бывших заграницей.</w:t>
      </w:r>
    </w:p>
    <w:p w14:paraId="4B3530FA" w14:textId="77777777" w:rsidR="00CD51E7" w:rsidRPr="00507A31" w:rsidRDefault="00CD51E7" w:rsidP="00507A31">
      <w:pPr>
        <w:numPr>
          <w:ilvl w:val="0"/>
          <w:numId w:val="79"/>
        </w:numPr>
        <w:ind w:left="0" w:firstLine="0"/>
        <w:jc w:val="both"/>
        <w:rPr>
          <w:color w:val="000000" w:themeColor="text1"/>
          <w:sz w:val="16"/>
          <w:szCs w:val="16"/>
        </w:rPr>
      </w:pPr>
      <w:r w:rsidRPr="00507A31">
        <w:rPr>
          <w:color w:val="000000" w:themeColor="text1"/>
          <w:sz w:val="16"/>
          <w:szCs w:val="16"/>
        </w:rPr>
        <w:t>Вести всю кампанию под лозунгом против войны, который является всеобъемлющим.</w:t>
      </w:r>
    </w:p>
    <w:p w14:paraId="52A4C681" w14:textId="77777777" w:rsidR="00CD51E7" w:rsidRPr="00507A31" w:rsidRDefault="00CD51E7" w:rsidP="00507A31">
      <w:pPr>
        <w:numPr>
          <w:ilvl w:val="0"/>
          <w:numId w:val="79"/>
        </w:numPr>
        <w:ind w:left="0" w:firstLine="0"/>
        <w:jc w:val="both"/>
        <w:rPr>
          <w:color w:val="000000" w:themeColor="text1"/>
          <w:sz w:val="16"/>
          <w:szCs w:val="16"/>
        </w:rPr>
      </w:pPr>
      <w:r w:rsidRPr="00507A31">
        <w:rPr>
          <w:color w:val="000000" w:themeColor="text1"/>
          <w:sz w:val="16"/>
          <w:szCs w:val="16"/>
        </w:rPr>
        <w:lastRenderedPageBreak/>
        <w:t>По линии НТС, помимо митинга, предполагается организовать посылку личных писем специалистам, бывших за границей.</w:t>
      </w:r>
    </w:p>
    <w:p w14:paraId="16601AFB"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Тов. Штейнберг считает необходимым:</w:t>
      </w:r>
    </w:p>
    <w:p w14:paraId="7FF7DA09" w14:textId="77777777" w:rsidR="00CD51E7" w:rsidRPr="00507A31" w:rsidRDefault="00CD51E7" w:rsidP="00507A31">
      <w:pPr>
        <w:numPr>
          <w:ilvl w:val="0"/>
          <w:numId w:val="80"/>
        </w:numPr>
        <w:ind w:left="0" w:firstLine="0"/>
        <w:jc w:val="both"/>
        <w:rPr>
          <w:color w:val="000000" w:themeColor="text1"/>
          <w:sz w:val="16"/>
          <w:szCs w:val="16"/>
        </w:rPr>
      </w:pPr>
      <w:r w:rsidRPr="00507A31">
        <w:rPr>
          <w:color w:val="000000" w:themeColor="text1"/>
          <w:sz w:val="16"/>
          <w:szCs w:val="16"/>
        </w:rPr>
        <w:t>Наряду с освещением материалов вокруг процесса вредителей направить за границу статьи по тем вопросам, которые используются нашими врагами при кампании против СССР, в частности в связи со статьями, направлять материал о положении рабочих, о нашей политике на Востоке и т. д.</w:t>
      </w:r>
    </w:p>
    <w:p w14:paraId="627476B7" w14:textId="77777777" w:rsidR="00CD51E7" w:rsidRPr="00507A31" w:rsidRDefault="00CD51E7" w:rsidP="00507A31">
      <w:pPr>
        <w:numPr>
          <w:ilvl w:val="0"/>
          <w:numId w:val="80"/>
        </w:numPr>
        <w:ind w:left="0" w:firstLine="0"/>
        <w:jc w:val="both"/>
        <w:rPr>
          <w:color w:val="000000" w:themeColor="text1"/>
          <w:sz w:val="16"/>
          <w:szCs w:val="16"/>
        </w:rPr>
      </w:pPr>
      <w:r w:rsidRPr="00507A31">
        <w:rPr>
          <w:color w:val="000000" w:themeColor="text1"/>
          <w:sz w:val="16"/>
          <w:szCs w:val="16"/>
        </w:rPr>
        <w:t>Целесообразно провести анкету среди зарубежной интеллигенции по вопросу об отношении к процессу вредителей.</w:t>
      </w:r>
    </w:p>
    <w:p w14:paraId="28FB369B"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Тов. Добин информирует о мероприятиях Отдела о&lt;...&gt; в связи с проводимой кампанией. Предполагается обратиться в Бюро Иностранных специалистов при РКИ для организации вечера специалистов в связи с процессом, обеспечить иностранцев билетами на процесс.</w:t>
      </w:r>
    </w:p>
    <w:p w14:paraId="486A8FE8"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 дополнение к изложенной Добиным программе тов. Петров считает необходимым силами ответственных работников БОКС беседы с приходящими в БОКС иностранцами о процессе вредителей.</w:t>
      </w:r>
    </w:p>
    <w:p w14:paraId="3B1F8894"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Тов. Бороздин</w:t>
      </w:r>
    </w:p>
    <w:p w14:paraId="43C772AD" w14:textId="77777777" w:rsidR="00CD51E7" w:rsidRPr="00507A31" w:rsidRDefault="00CD51E7" w:rsidP="00507A31">
      <w:pPr>
        <w:numPr>
          <w:ilvl w:val="0"/>
          <w:numId w:val="81"/>
        </w:numPr>
        <w:ind w:left="0" w:firstLine="0"/>
        <w:jc w:val="both"/>
        <w:rPr>
          <w:color w:val="000000" w:themeColor="text1"/>
          <w:sz w:val="16"/>
          <w:szCs w:val="16"/>
        </w:rPr>
      </w:pPr>
      <w:r w:rsidRPr="00507A31">
        <w:rPr>
          <w:color w:val="000000" w:themeColor="text1"/>
          <w:sz w:val="16"/>
          <w:szCs w:val="16"/>
        </w:rPr>
        <w:t>Считает выдвинутый тов. Бруком лозунг — «против войны» пацифистским и предлагает проводить кампанию под лозунгом «В защиту новой культуры», подчеркивая, что всякое нападение на СССР — разрушение общей культуры.</w:t>
      </w:r>
    </w:p>
    <w:p w14:paraId="558739AD" w14:textId="77777777" w:rsidR="00CD51E7" w:rsidRPr="00507A31" w:rsidRDefault="00CD51E7" w:rsidP="00507A31">
      <w:pPr>
        <w:numPr>
          <w:ilvl w:val="0"/>
          <w:numId w:val="81"/>
        </w:numPr>
        <w:ind w:left="0" w:firstLine="0"/>
        <w:jc w:val="both"/>
        <w:rPr>
          <w:color w:val="000000" w:themeColor="text1"/>
          <w:sz w:val="16"/>
          <w:szCs w:val="16"/>
        </w:rPr>
      </w:pPr>
      <w:r w:rsidRPr="00507A31">
        <w:rPr>
          <w:color w:val="000000" w:themeColor="text1"/>
          <w:sz w:val="16"/>
          <w:szCs w:val="16"/>
        </w:rPr>
        <w:t>Необходимо провести кампанию в национальных областях под лозунгом — нападение на Восток. Протесты трудящихся националов представят особый интерес для заграницы.</w:t>
      </w:r>
    </w:p>
    <w:p w14:paraId="3FBC9217" w14:textId="77777777" w:rsidR="00CD51E7" w:rsidRPr="00507A31" w:rsidRDefault="00CD51E7" w:rsidP="00507A31">
      <w:pPr>
        <w:numPr>
          <w:ilvl w:val="0"/>
          <w:numId w:val="81"/>
        </w:numPr>
        <w:ind w:left="0" w:firstLine="0"/>
        <w:jc w:val="both"/>
        <w:rPr>
          <w:color w:val="000000" w:themeColor="text1"/>
          <w:sz w:val="16"/>
          <w:szCs w:val="16"/>
        </w:rPr>
      </w:pPr>
      <w:r w:rsidRPr="00507A31">
        <w:rPr>
          <w:color w:val="000000" w:themeColor="text1"/>
          <w:sz w:val="16"/>
          <w:szCs w:val="16"/>
        </w:rPr>
        <w:t>Подготовляемой интервенции необходимо противопоставлять материалы о хозяйственном росте и культурном строительстве национальных областей. Этот материал можно продвинуть за границу, приурочив к юбилею Армении и Крыма.</w:t>
      </w:r>
    </w:p>
    <w:p w14:paraId="403D59F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Тов. Филиппова предлагает:</w:t>
      </w:r>
    </w:p>
    <w:p w14:paraId="0CB04760" w14:textId="77777777" w:rsidR="00CD51E7" w:rsidRPr="00507A31" w:rsidRDefault="00CD51E7" w:rsidP="00507A31">
      <w:pPr>
        <w:numPr>
          <w:ilvl w:val="0"/>
          <w:numId w:val="82"/>
        </w:numPr>
        <w:ind w:left="0" w:firstLine="0"/>
        <w:jc w:val="both"/>
        <w:rPr>
          <w:color w:val="000000" w:themeColor="text1"/>
          <w:sz w:val="16"/>
          <w:szCs w:val="16"/>
        </w:rPr>
      </w:pPr>
      <w:r w:rsidRPr="00507A31">
        <w:rPr>
          <w:color w:val="000000" w:themeColor="text1"/>
          <w:sz w:val="16"/>
          <w:szCs w:val="16"/>
        </w:rPr>
        <w:t>Выявить общественное мнение специалистов вокруг процесса работающих на таких крупных объектах строительства, как Магнитострой и т. д.</w:t>
      </w:r>
    </w:p>
    <w:p w14:paraId="61AED2AA" w14:textId="77777777" w:rsidR="00CD51E7" w:rsidRPr="00507A31" w:rsidRDefault="00CD51E7" w:rsidP="00507A31">
      <w:pPr>
        <w:numPr>
          <w:ilvl w:val="0"/>
          <w:numId w:val="83"/>
        </w:numPr>
        <w:ind w:left="0" w:firstLine="0"/>
        <w:jc w:val="both"/>
        <w:rPr>
          <w:color w:val="000000" w:themeColor="text1"/>
          <w:sz w:val="16"/>
          <w:szCs w:val="16"/>
        </w:rPr>
      </w:pPr>
      <w:r w:rsidRPr="00507A31">
        <w:rPr>
          <w:color w:val="000000" w:themeColor="text1"/>
          <w:sz w:val="16"/>
          <w:szCs w:val="16"/>
        </w:rPr>
        <w:t>Мобилизовать ВОКСовскую общественность для успешного проведения кампании, в частности привлечь к ударным заданиям по Отделу Печати.</w:t>
      </w:r>
    </w:p>
    <w:p w14:paraId="0AD4A4B8"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Тов. Амдур предлагает организовать посещение иностранцев митингов протеста рабочих против вредительства.</w:t>
      </w:r>
    </w:p>
    <w:p w14:paraId="1ABFDBF8"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ПОСТАНОВИЛИ:</w:t>
      </w:r>
    </w:p>
    <w:p w14:paraId="4D668A9E" w14:textId="77777777" w:rsidR="00CD51E7" w:rsidRPr="00507A31" w:rsidRDefault="00CD51E7" w:rsidP="00507A31">
      <w:pPr>
        <w:numPr>
          <w:ilvl w:val="0"/>
          <w:numId w:val="84"/>
        </w:numPr>
        <w:ind w:left="0" w:firstLine="0"/>
        <w:jc w:val="both"/>
        <w:rPr>
          <w:color w:val="000000" w:themeColor="text1"/>
          <w:sz w:val="16"/>
          <w:szCs w:val="16"/>
        </w:rPr>
      </w:pPr>
      <w:r w:rsidRPr="00507A31">
        <w:rPr>
          <w:color w:val="000000" w:themeColor="text1"/>
          <w:sz w:val="16"/>
          <w:szCs w:val="16"/>
        </w:rPr>
        <w:t>Признать необходимым в связи с надвигающейся военной опасностью мобилизовать все силы ВОКСа как по линии производственной, так и общественной работы, на ударное проведение агитационной и информационной работы для борьбы против интервенции, на защиту социалистического строительства.</w:t>
      </w:r>
    </w:p>
    <w:p w14:paraId="71E09AD9" w14:textId="77777777" w:rsidR="00CD51E7" w:rsidRPr="00507A31" w:rsidRDefault="00CD51E7" w:rsidP="00507A31">
      <w:pPr>
        <w:numPr>
          <w:ilvl w:val="0"/>
          <w:numId w:val="84"/>
        </w:numPr>
        <w:ind w:left="0" w:firstLine="0"/>
        <w:jc w:val="both"/>
        <w:rPr>
          <w:color w:val="000000" w:themeColor="text1"/>
          <w:sz w:val="16"/>
          <w:szCs w:val="16"/>
        </w:rPr>
      </w:pPr>
      <w:r w:rsidRPr="00507A31">
        <w:rPr>
          <w:color w:val="000000" w:themeColor="text1"/>
          <w:sz w:val="16"/>
          <w:szCs w:val="16"/>
        </w:rPr>
        <w:t>Выделить ударную группу в составе т.т. Шуман (предс.), Новомирского, Ингбер, Песис, Брук, Мстиславского, Ротенберг (секретарь) по проведению всей кампании.</w:t>
      </w:r>
    </w:p>
    <w:p w14:paraId="50A173A9" w14:textId="77777777" w:rsidR="00CD51E7" w:rsidRPr="00507A31" w:rsidRDefault="00CD51E7" w:rsidP="00507A31">
      <w:pPr>
        <w:numPr>
          <w:ilvl w:val="0"/>
          <w:numId w:val="84"/>
        </w:numPr>
        <w:ind w:left="0" w:firstLine="0"/>
        <w:jc w:val="both"/>
        <w:rPr>
          <w:color w:val="000000" w:themeColor="text1"/>
          <w:sz w:val="16"/>
          <w:szCs w:val="16"/>
        </w:rPr>
      </w:pPr>
      <w:r w:rsidRPr="00507A31">
        <w:rPr>
          <w:color w:val="000000" w:themeColor="text1"/>
          <w:sz w:val="16"/>
          <w:szCs w:val="16"/>
        </w:rPr>
        <w:t>Поручить указанной группе выработку в однодневный срок конкретного плана участия всех отделов БОКС в кампании на основе состоявшегося обмена мнений.</w:t>
      </w:r>
    </w:p>
    <w:p w14:paraId="5CDF0BE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Возложить на нее в дальнейшем контроль по всем отделам ВОКС по выполнению этой программы и составление систематических сводок о ходе кампании по линии ВОКСа и за границей.</w:t>
      </w:r>
    </w:p>
    <w:p w14:paraId="73D8CA9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Председатель — Ф. П. Петров</w:t>
      </w:r>
    </w:p>
    <w:p w14:paraId="5EE1516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Секретарь — Ротенберг</w:t>
      </w:r>
    </w:p>
    <w:p w14:paraId="04FDE0ED" w14:textId="77777777" w:rsidR="00CD51E7" w:rsidRPr="00507A31" w:rsidRDefault="00CD51E7" w:rsidP="00507A31">
      <w:pPr>
        <w:pStyle w:val="ae"/>
        <w:spacing w:before="0" w:after="0"/>
        <w:jc w:val="both"/>
        <w:rPr>
          <w:color w:val="000000" w:themeColor="text1"/>
          <w:sz w:val="16"/>
          <w:szCs w:val="16"/>
        </w:rPr>
      </w:pPr>
      <w:r w:rsidRPr="00507A31">
        <w:rPr>
          <w:rStyle w:val="af0"/>
          <w:i w:val="0"/>
          <w:color w:val="000000" w:themeColor="text1"/>
          <w:sz w:val="16"/>
          <w:szCs w:val="16"/>
        </w:rPr>
        <w:t>ГА</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P-5283. On. 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139. </w:t>
      </w:r>
      <w:r w:rsidRPr="00507A31">
        <w:rPr>
          <w:rStyle w:val="af0"/>
          <w:i w:val="0"/>
          <w:color w:val="000000" w:themeColor="text1"/>
          <w:sz w:val="16"/>
          <w:szCs w:val="16"/>
        </w:rPr>
        <w:t>Л</w:t>
      </w:r>
      <w:r w:rsidRPr="00507A31">
        <w:rPr>
          <w:rStyle w:val="af0"/>
          <w:i w:val="0"/>
          <w:color w:val="000000" w:themeColor="text1"/>
          <w:sz w:val="16"/>
          <w:szCs w:val="16"/>
          <w:lang w:val="en-US"/>
        </w:rPr>
        <w:t xml:space="preserve">. 1-2. </w:t>
      </w:r>
      <w:r w:rsidRPr="00507A31">
        <w:rPr>
          <w:rStyle w:val="af0"/>
          <w:i w:val="0"/>
          <w:color w:val="000000" w:themeColor="text1"/>
          <w:sz w:val="16"/>
          <w:szCs w:val="16"/>
        </w:rPr>
        <w:t>Машинописная копия того времени. В правом верхнем углу листа написано от руки: «Оглашению не подлежит» (18906).</w:t>
      </w:r>
    </w:p>
    <w:p w14:paraId="1AAA9028" w14:textId="77777777" w:rsidR="00CD51E7" w:rsidRPr="00507A31" w:rsidRDefault="00CD51E7" w:rsidP="00507A31">
      <w:pPr>
        <w:jc w:val="both"/>
        <w:rPr>
          <w:color w:val="000000" w:themeColor="text1"/>
          <w:sz w:val="16"/>
          <w:szCs w:val="16"/>
        </w:rPr>
      </w:pPr>
    </w:p>
    <w:p w14:paraId="1C6920E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81F231F" w14:textId="77777777" w:rsidR="00537E5F" w:rsidRPr="00507A31" w:rsidRDefault="00537E5F" w:rsidP="00507A31">
      <w:pPr>
        <w:autoSpaceDE w:val="0"/>
        <w:autoSpaceDN w:val="0"/>
        <w:adjustRightInd w:val="0"/>
        <w:jc w:val="both"/>
        <w:rPr>
          <w:iCs/>
          <w:color w:val="000000" w:themeColor="text1"/>
          <w:sz w:val="16"/>
          <w:szCs w:val="16"/>
        </w:rPr>
      </w:pPr>
    </w:p>
    <w:p w14:paraId="2D9305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ноября 1930 ЦКБ направил в ЦАГИ чертежи и модель И-5 для срочной продувки (1041).</w:t>
      </w:r>
    </w:p>
    <w:p w14:paraId="7C42E92D" w14:textId="77777777" w:rsidR="00537E5F" w:rsidRPr="00507A31" w:rsidRDefault="00537E5F" w:rsidP="00507A31">
      <w:pPr>
        <w:autoSpaceDE w:val="0"/>
        <w:autoSpaceDN w:val="0"/>
        <w:adjustRightInd w:val="0"/>
        <w:jc w:val="both"/>
        <w:rPr>
          <w:color w:val="000000" w:themeColor="text1"/>
          <w:sz w:val="16"/>
          <w:szCs w:val="16"/>
        </w:rPr>
      </w:pPr>
    </w:p>
    <w:p w14:paraId="2DF85C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 ноября 1930 Зам. Нач. ЦКБ Пауфлер писал письмо № 1630/с в ЦАГИ</w:t>
      </w:r>
    </w:p>
    <w:p w14:paraId="2BFBF6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Препровождая при сем чертежи и модель самоле</w:t>
      </w:r>
      <w:r w:rsidRPr="00507A31">
        <w:rPr>
          <w:color w:val="000000" w:themeColor="text1"/>
          <w:sz w:val="16"/>
          <w:szCs w:val="16"/>
        </w:rPr>
        <w:softHyphen/>
        <w:t>та И-5, ЦКБ просит в срочном порядке произвести продувку с измерениями консольных моментов, а затем на Сх и Су коробок /с обоими консолями/ и на См относительной передней кромки верхнего крыла.</w:t>
      </w:r>
    </w:p>
    <w:p w14:paraId="7C27F9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Результаты продувки на консольные моменты ожи</w:t>
      </w:r>
      <w:r w:rsidRPr="00507A31">
        <w:rPr>
          <w:color w:val="000000" w:themeColor="text1"/>
          <w:sz w:val="16"/>
          <w:szCs w:val="16"/>
        </w:rPr>
        <w:softHyphen/>
        <w:t>даются к 24 сего ноября. ЦКБ считает необходимым напомнить, что Начальник УВВС придает большое зна</w:t>
      </w:r>
      <w:r w:rsidRPr="00507A31">
        <w:rPr>
          <w:color w:val="000000" w:themeColor="text1"/>
          <w:sz w:val="16"/>
          <w:szCs w:val="16"/>
        </w:rPr>
        <w:softHyphen/>
        <w:t>чение настоящим переделкам самолета И-5 в отноше</w:t>
      </w:r>
      <w:r w:rsidRPr="00507A31">
        <w:rPr>
          <w:color w:val="000000" w:themeColor="text1"/>
          <w:sz w:val="16"/>
          <w:szCs w:val="16"/>
        </w:rPr>
        <w:softHyphen/>
        <w:t>нии штопора и требует полного форсирования этой ра</w:t>
      </w:r>
      <w:r w:rsidRPr="00507A31">
        <w:rPr>
          <w:color w:val="000000" w:themeColor="text1"/>
          <w:sz w:val="16"/>
          <w:szCs w:val="16"/>
        </w:rPr>
        <w:softHyphen/>
        <w:t>боты; в силу этого ЦКБ считает срок 24 ноября окон</w:t>
      </w:r>
      <w:r w:rsidRPr="00507A31">
        <w:rPr>
          <w:color w:val="000000" w:themeColor="text1"/>
          <w:sz w:val="16"/>
          <w:szCs w:val="16"/>
        </w:rPr>
        <w:softHyphen/>
        <w:t>чательным.</w:t>
      </w:r>
    </w:p>
    <w:p w14:paraId="24ACAB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раз"яснению инж. ЖУРАВЧЕНКО опыты на штопор</w:t>
      </w:r>
      <w:r w:rsidRPr="00507A31">
        <w:rPr>
          <w:color w:val="000000" w:themeColor="text1"/>
          <w:sz w:val="16"/>
          <w:szCs w:val="16"/>
        </w:rPr>
        <w:softHyphen/>
        <w:t>ном приборе начнутся в марте, к какому времени необходимо построить модель в заданном ЦАГИ масш</w:t>
      </w:r>
      <w:r w:rsidRPr="00507A31">
        <w:rPr>
          <w:color w:val="000000" w:themeColor="text1"/>
          <w:sz w:val="16"/>
          <w:szCs w:val="16"/>
        </w:rPr>
        <w:softHyphen/>
        <w:t>табе, при чем первые опыты не могут быть надежными. Такие темпы работы расходятся совершенно с темпами принятыми в ЦКБ и придают этой работе только ака</w:t>
      </w:r>
      <w:r w:rsidRPr="00507A31">
        <w:rPr>
          <w:color w:val="000000" w:themeColor="text1"/>
          <w:sz w:val="16"/>
          <w:szCs w:val="16"/>
        </w:rPr>
        <w:softHyphen/>
        <w:t>демический характер; поэтому, если темпы по этой работе не будут усилены, то ЦКБ, связанное жест</w:t>
      </w:r>
      <w:r w:rsidRPr="00507A31">
        <w:rPr>
          <w:color w:val="000000" w:themeColor="text1"/>
          <w:sz w:val="16"/>
          <w:szCs w:val="16"/>
        </w:rPr>
        <w:softHyphen/>
        <w:t>кой принятой нами программой, лишено возможности помогать своими средствами и силами разрешению чисто академических задач. В силу этого ЦКБ в этих работах может взять на себя только определение, при участии и руководстве Вашего инженера, к I января 1931 г. /как это было условлено с тов. Журавченко/ (10757).</w:t>
      </w:r>
    </w:p>
    <w:p w14:paraId="0F46DCAB" w14:textId="77777777" w:rsidR="00537E5F" w:rsidRPr="00507A31" w:rsidRDefault="00537E5F" w:rsidP="00507A31">
      <w:pPr>
        <w:autoSpaceDE w:val="0"/>
        <w:autoSpaceDN w:val="0"/>
        <w:adjustRightInd w:val="0"/>
        <w:jc w:val="both"/>
        <w:rPr>
          <w:color w:val="000000" w:themeColor="text1"/>
          <w:sz w:val="16"/>
          <w:szCs w:val="16"/>
        </w:rPr>
      </w:pPr>
    </w:p>
    <w:p w14:paraId="2C8C4A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ноября 1930 начались наземные испытания АНТ-6 (ТБ-3) (346,26). Это был начало гос. испытаний и они шли до 20 февраля 1931 (1017,169).</w:t>
      </w:r>
    </w:p>
    <w:p w14:paraId="1D1CEEFD" w14:textId="77777777" w:rsidR="00537E5F" w:rsidRPr="00507A31" w:rsidRDefault="00537E5F" w:rsidP="00507A31">
      <w:pPr>
        <w:autoSpaceDE w:val="0"/>
        <w:autoSpaceDN w:val="0"/>
        <w:adjustRightInd w:val="0"/>
        <w:jc w:val="both"/>
        <w:rPr>
          <w:color w:val="000000" w:themeColor="text1"/>
          <w:sz w:val="16"/>
          <w:szCs w:val="16"/>
        </w:rPr>
      </w:pPr>
    </w:p>
    <w:p w14:paraId="7A0912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20 ноября 1930 года по 20 ноября 1931 года проходили предварительные испытания самолета ТБ3 4 Кертис-Конкверор по 600 НР - тяжелый бомбардировщик, опытный экземпляр, постройки ЦАГИ с целью выявления основных летных данных самолета и его эксплуатационных свойств для суждения о допущении к серийной постройке.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371BA" w:rsidRPr="00507A31" w14:paraId="506D0294" w14:textId="77777777">
        <w:tc>
          <w:tcPr>
            <w:tcW w:w="5636" w:type="dxa"/>
          </w:tcPr>
          <w:p w14:paraId="491FAF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Число дней испытния</w:t>
            </w:r>
          </w:p>
        </w:tc>
        <w:tc>
          <w:tcPr>
            <w:tcW w:w="5636" w:type="dxa"/>
          </w:tcPr>
          <w:p w14:paraId="5FA823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92 дня</w:t>
            </w:r>
          </w:p>
        </w:tc>
      </w:tr>
      <w:tr w:rsidR="00E371BA" w:rsidRPr="00507A31" w14:paraId="1FCB72E5" w14:textId="77777777">
        <w:tc>
          <w:tcPr>
            <w:tcW w:w="5636" w:type="dxa"/>
          </w:tcPr>
          <w:p w14:paraId="0108CF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Выполнение полетов</w:t>
            </w:r>
          </w:p>
        </w:tc>
        <w:tc>
          <w:tcPr>
            <w:tcW w:w="5636" w:type="dxa"/>
          </w:tcPr>
          <w:p w14:paraId="49FD91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02FB59F0" w14:textId="77777777">
        <w:tc>
          <w:tcPr>
            <w:tcW w:w="5636" w:type="dxa"/>
          </w:tcPr>
          <w:p w14:paraId="5B038B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Полетных дней </w:t>
            </w:r>
          </w:p>
        </w:tc>
        <w:tc>
          <w:tcPr>
            <w:tcW w:w="5636" w:type="dxa"/>
          </w:tcPr>
          <w:p w14:paraId="320EF5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r>
      <w:tr w:rsidR="00E371BA" w:rsidRPr="00507A31" w14:paraId="7239F633" w14:textId="77777777">
        <w:tc>
          <w:tcPr>
            <w:tcW w:w="5636" w:type="dxa"/>
          </w:tcPr>
          <w:p w14:paraId="7FB5EB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Устранение неисправностей</w:t>
            </w:r>
          </w:p>
        </w:tc>
        <w:tc>
          <w:tcPr>
            <w:tcW w:w="5636" w:type="dxa"/>
          </w:tcPr>
          <w:p w14:paraId="010D31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57</w:t>
            </w:r>
          </w:p>
        </w:tc>
      </w:tr>
      <w:tr w:rsidR="00E371BA" w:rsidRPr="00507A31" w14:paraId="7157FE42" w14:textId="77777777">
        <w:tc>
          <w:tcPr>
            <w:tcW w:w="5636" w:type="dxa"/>
          </w:tcPr>
          <w:p w14:paraId="34A6FA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Установка лыж</w:t>
            </w:r>
          </w:p>
        </w:tc>
        <w:tc>
          <w:tcPr>
            <w:tcW w:w="5636" w:type="dxa"/>
          </w:tcPr>
          <w:p w14:paraId="04F2CA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r>
      <w:tr w:rsidR="00E371BA" w:rsidRPr="00507A31" w14:paraId="62E7CDA5" w14:textId="77777777">
        <w:tc>
          <w:tcPr>
            <w:tcW w:w="5636" w:type="dxa"/>
          </w:tcPr>
          <w:p w14:paraId="57C22F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Нелетных дней</w:t>
            </w:r>
          </w:p>
        </w:tc>
        <w:tc>
          <w:tcPr>
            <w:tcW w:w="5636" w:type="dxa"/>
          </w:tcPr>
          <w:p w14:paraId="4F96AF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(3214)</w:t>
            </w:r>
          </w:p>
        </w:tc>
      </w:tr>
    </w:tbl>
    <w:p w14:paraId="71C915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ноября 1930 В.П.Ч. был зачислен на должность летчика-испытателя НИИ ВВС РККА (172,292).</w:t>
      </w:r>
    </w:p>
    <w:p w14:paraId="4A5516CF" w14:textId="77777777" w:rsidR="00537E5F" w:rsidRPr="00507A31" w:rsidRDefault="00537E5F" w:rsidP="00507A31">
      <w:pPr>
        <w:autoSpaceDE w:val="0"/>
        <w:autoSpaceDN w:val="0"/>
        <w:adjustRightInd w:val="0"/>
        <w:jc w:val="both"/>
        <w:rPr>
          <w:color w:val="000000" w:themeColor="text1"/>
          <w:sz w:val="16"/>
          <w:szCs w:val="16"/>
        </w:rPr>
      </w:pPr>
    </w:p>
    <w:p w14:paraId="3D58E0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ноября 1930 года начальник ВВС Баранов писал письмо № 260 сс председателю РВС Ворошилову, копия: зам. председателя РВС Уборевичу, зам. председателя РВС Гамарнику, зам. председателя РВС Каменеву, начальнику Штаба РККА Шапошникову</w:t>
      </w:r>
    </w:p>
    <w:p w14:paraId="15BA13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Доклад о состоянии работ по опытному моторо- и самолетостроению на 15 ноября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152"/>
        <w:gridCol w:w="1008"/>
        <w:gridCol w:w="1008"/>
        <w:gridCol w:w="1008"/>
        <w:gridCol w:w="1440"/>
        <w:gridCol w:w="2387"/>
      </w:tblGrid>
      <w:tr w:rsidR="00E371BA" w:rsidRPr="00507A31" w14:paraId="71E52808" w14:textId="77777777">
        <w:tc>
          <w:tcPr>
            <w:tcW w:w="1288" w:type="dxa"/>
          </w:tcPr>
          <w:p w14:paraId="1E8DFE0B"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4857A7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1008" w:type="dxa"/>
          </w:tcPr>
          <w:p w14:paraId="65BB89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Охлажд.</w:t>
            </w:r>
          </w:p>
        </w:tc>
        <w:tc>
          <w:tcPr>
            <w:tcW w:w="1152" w:type="dxa"/>
          </w:tcPr>
          <w:p w14:paraId="668586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Мощность </w:t>
            </w:r>
          </w:p>
        </w:tc>
        <w:tc>
          <w:tcPr>
            <w:tcW w:w="1008" w:type="dxa"/>
          </w:tcPr>
          <w:p w14:paraId="2B81C6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Вес</w:t>
            </w:r>
          </w:p>
        </w:tc>
        <w:tc>
          <w:tcPr>
            <w:tcW w:w="1008" w:type="dxa"/>
          </w:tcPr>
          <w:p w14:paraId="2C9F85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Удельн. вес </w:t>
            </w:r>
          </w:p>
        </w:tc>
        <w:tc>
          <w:tcPr>
            <w:tcW w:w="1008" w:type="dxa"/>
          </w:tcPr>
          <w:p w14:paraId="7EC6E5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1440" w:type="dxa"/>
          </w:tcPr>
          <w:p w14:paraId="2F53BB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срок представления на гос. испытания</w:t>
            </w:r>
          </w:p>
        </w:tc>
        <w:tc>
          <w:tcPr>
            <w:tcW w:w="2387" w:type="dxa"/>
          </w:tcPr>
          <w:p w14:paraId="3A4486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Степень выполнения на 15 ноября 1930 года</w:t>
            </w:r>
          </w:p>
        </w:tc>
      </w:tr>
    </w:tbl>
    <w:p w14:paraId="7F3DBC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очередь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152"/>
        <w:gridCol w:w="1008"/>
        <w:gridCol w:w="1008"/>
        <w:gridCol w:w="1008"/>
        <w:gridCol w:w="1440"/>
        <w:gridCol w:w="2387"/>
      </w:tblGrid>
      <w:tr w:rsidR="00E371BA" w:rsidRPr="00507A31" w14:paraId="0B153EA2" w14:textId="77777777">
        <w:tc>
          <w:tcPr>
            <w:tcW w:w="1288" w:type="dxa"/>
          </w:tcPr>
          <w:p w14:paraId="7E73B0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истребит. М15</w:t>
            </w:r>
          </w:p>
        </w:tc>
        <w:tc>
          <w:tcPr>
            <w:tcW w:w="1008" w:type="dxa"/>
          </w:tcPr>
          <w:p w14:paraId="374A73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3E4AB0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w:t>
            </w:r>
          </w:p>
        </w:tc>
        <w:tc>
          <w:tcPr>
            <w:tcW w:w="1152" w:type="dxa"/>
          </w:tcPr>
          <w:p w14:paraId="526713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w:t>
            </w:r>
          </w:p>
        </w:tc>
        <w:tc>
          <w:tcPr>
            <w:tcW w:w="1008" w:type="dxa"/>
          </w:tcPr>
          <w:p w14:paraId="575703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410</w:t>
            </w:r>
          </w:p>
        </w:tc>
        <w:tc>
          <w:tcPr>
            <w:tcW w:w="1008" w:type="dxa"/>
          </w:tcPr>
          <w:p w14:paraId="4035FB3D"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71F42D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3000</w:t>
            </w:r>
          </w:p>
        </w:tc>
        <w:tc>
          <w:tcPr>
            <w:tcW w:w="1440" w:type="dxa"/>
          </w:tcPr>
          <w:p w14:paraId="3F8BE9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1931</w:t>
            </w:r>
          </w:p>
        </w:tc>
        <w:tc>
          <w:tcPr>
            <w:tcW w:w="2387" w:type="dxa"/>
          </w:tcPr>
          <w:p w14:paraId="758504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 отчетный период мотор ставился 6 раз на заводские испытания, при чем обнаружены следующие дефекты: срезаны болты крепления шайб коренных подшипников, в маслоотстойнике обнаружены куски контровой проволоки, большой расход масла, сгорел задний шарикоподшипник нагнетателя, поломка шпилек крепления цилиндров и поломка передачи к импеллеру. Новая конструкция нижней головки шатуна за все время </w:t>
            </w:r>
            <w:r w:rsidRPr="00507A31">
              <w:rPr>
                <w:color w:val="000000" w:themeColor="text1"/>
                <w:sz w:val="16"/>
                <w:szCs w:val="16"/>
              </w:rPr>
              <w:lastRenderedPageBreak/>
              <w:t>работы показала удовлетворительные качества. Остаются основные дефекты – поломка передачи к импеллеру и увеличенный расход масла. (Наблюдающие инженеры Примаков и Войтов).</w:t>
            </w:r>
          </w:p>
        </w:tc>
      </w:tr>
      <w:tr w:rsidR="00E371BA" w:rsidRPr="00507A31" w14:paraId="66DC077B" w14:textId="77777777">
        <w:tc>
          <w:tcPr>
            <w:tcW w:w="1288" w:type="dxa"/>
          </w:tcPr>
          <w:p w14:paraId="491075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Для истребит. М15а</w:t>
            </w:r>
          </w:p>
        </w:tc>
        <w:tc>
          <w:tcPr>
            <w:tcW w:w="1008" w:type="dxa"/>
          </w:tcPr>
          <w:p w14:paraId="1779FA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3D97C2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w:t>
            </w:r>
          </w:p>
        </w:tc>
        <w:tc>
          <w:tcPr>
            <w:tcW w:w="1152" w:type="dxa"/>
          </w:tcPr>
          <w:p w14:paraId="021040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w:t>
            </w:r>
          </w:p>
        </w:tc>
        <w:tc>
          <w:tcPr>
            <w:tcW w:w="1008" w:type="dxa"/>
          </w:tcPr>
          <w:p w14:paraId="4475BA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w:t>
            </w:r>
          </w:p>
        </w:tc>
        <w:tc>
          <w:tcPr>
            <w:tcW w:w="1008" w:type="dxa"/>
          </w:tcPr>
          <w:p w14:paraId="7372D0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0,80</w:t>
            </w:r>
          </w:p>
        </w:tc>
        <w:tc>
          <w:tcPr>
            <w:tcW w:w="1008" w:type="dxa"/>
          </w:tcPr>
          <w:p w14:paraId="16ABD1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4000</w:t>
            </w:r>
          </w:p>
        </w:tc>
        <w:tc>
          <w:tcPr>
            <w:tcW w:w="1440" w:type="dxa"/>
          </w:tcPr>
          <w:p w14:paraId="5885D3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 года</w:t>
            </w:r>
          </w:p>
        </w:tc>
        <w:tc>
          <w:tcPr>
            <w:tcW w:w="2387" w:type="dxa"/>
          </w:tcPr>
          <w:p w14:paraId="211612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Приступлено к общей компановке мотора с учетом последних испытаний мотора М-15. Переделывается нагнетатель и передача. (Наблюдающие инженеры Примаков и Войтов).</w:t>
            </w:r>
          </w:p>
        </w:tc>
      </w:tr>
      <w:tr w:rsidR="00E371BA" w:rsidRPr="00507A31" w14:paraId="69882FF0" w14:textId="77777777">
        <w:tc>
          <w:tcPr>
            <w:tcW w:w="1288" w:type="dxa"/>
          </w:tcPr>
          <w:p w14:paraId="2217DE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истребит. М19а</w:t>
            </w:r>
          </w:p>
        </w:tc>
        <w:tc>
          <w:tcPr>
            <w:tcW w:w="1008" w:type="dxa"/>
          </w:tcPr>
          <w:p w14:paraId="08C6DA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4FA930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152" w:type="dxa"/>
          </w:tcPr>
          <w:p w14:paraId="28C1BB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w:t>
            </w:r>
          </w:p>
        </w:tc>
        <w:tc>
          <w:tcPr>
            <w:tcW w:w="1008" w:type="dxa"/>
          </w:tcPr>
          <w:p w14:paraId="2B4043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w:t>
            </w:r>
          </w:p>
        </w:tc>
        <w:tc>
          <w:tcPr>
            <w:tcW w:w="1008" w:type="dxa"/>
          </w:tcPr>
          <w:p w14:paraId="5B5A21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0,90</w:t>
            </w:r>
          </w:p>
        </w:tc>
        <w:tc>
          <w:tcPr>
            <w:tcW w:w="1008" w:type="dxa"/>
          </w:tcPr>
          <w:p w14:paraId="2BB567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1440" w:type="dxa"/>
          </w:tcPr>
          <w:p w14:paraId="694A86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 года</w:t>
            </w:r>
          </w:p>
        </w:tc>
        <w:tc>
          <w:tcPr>
            <w:tcW w:w="2387" w:type="dxa"/>
          </w:tcPr>
          <w:p w14:paraId="6B279B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Проектируется импеллер и передача. (Наблюдающий инженер Войтов). </w:t>
            </w:r>
          </w:p>
        </w:tc>
      </w:tr>
      <w:tr w:rsidR="00E371BA" w:rsidRPr="00507A31" w14:paraId="4624E140" w14:textId="77777777">
        <w:tc>
          <w:tcPr>
            <w:tcW w:w="1288" w:type="dxa"/>
          </w:tcPr>
          <w:p w14:paraId="28A40C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разведчика М34 (должен быть построен в 6 экз. для ВВС и к 1 августа 1931 г. в 3 экз. для ВМС)</w:t>
            </w:r>
          </w:p>
        </w:tc>
        <w:tc>
          <w:tcPr>
            <w:tcW w:w="1008" w:type="dxa"/>
          </w:tcPr>
          <w:p w14:paraId="388B6B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57B5C5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152" w:type="dxa"/>
          </w:tcPr>
          <w:p w14:paraId="737596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750-900</w:t>
            </w:r>
          </w:p>
        </w:tc>
        <w:tc>
          <w:tcPr>
            <w:tcW w:w="1008" w:type="dxa"/>
          </w:tcPr>
          <w:p w14:paraId="0109F2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540</w:t>
            </w:r>
          </w:p>
        </w:tc>
        <w:tc>
          <w:tcPr>
            <w:tcW w:w="1008" w:type="dxa"/>
          </w:tcPr>
          <w:p w14:paraId="759B60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0,64</w:t>
            </w:r>
          </w:p>
        </w:tc>
        <w:tc>
          <w:tcPr>
            <w:tcW w:w="1008" w:type="dxa"/>
          </w:tcPr>
          <w:p w14:paraId="64D830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1440" w:type="dxa"/>
          </w:tcPr>
          <w:p w14:paraId="54D5F6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1931 года</w:t>
            </w:r>
          </w:p>
        </w:tc>
        <w:tc>
          <w:tcPr>
            <w:tcW w:w="2387" w:type="dxa"/>
          </w:tcPr>
          <w:p w14:paraId="2F6163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Отлиты головки и рубашки, находятся в литье мелкие алюминиевые детали; в механической обработке находятся головки, рубашки, гильзы, клапаны, шпильки и др. мелкие детали. Постановка опытного блока для испытания на картер мотора Л-55 намечена 7 ноября 1930 года в случае подачи распределительных валиков. Успешно ведутся опытные отливки картеров, частично разработаны технологические операции, чертежи инструмента и приспособлений. Подготавливается обработка полученных поковок коленчатых валов. Темп работ по указанному мотору явно недостаточен. (Наблюдающий инженер Ро и ударная сквозная бригада НТК).</w:t>
            </w:r>
          </w:p>
        </w:tc>
      </w:tr>
      <w:tr w:rsidR="00E371BA" w:rsidRPr="00507A31" w14:paraId="621F1897" w14:textId="77777777">
        <w:tc>
          <w:tcPr>
            <w:tcW w:w="1288" w:type="dxa"/>
          </w:tcPr>
          <w:p w14:paraId="0FE21C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разведчика М27</w:t>
            </w:r>
          </w:p>
        </w:tc>
        <w:tc>
          <w:tcPr>
            <w:tcW w:w="1008" w:type="dxa"/>
          </w:tcPr>
          <w:p w14:paraId="705FF8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2CDDDC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152" w:type="dxa"/>
          </w:tcPr>
          <w:p w14:paraId="565039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w:t>
            </w:r>
          </w:p>
        </w:tc>
        <w:tc>
          <w:tcPr>
            <w:tcW w:w="1008" w:type="dxa"/>
          </w:tcPr>
          <w:p w14:paraId="5EC3DF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580</w:t>
            </w:r>
          </w:p>
        </w:tc>
        <w:tc>
          <w:tcPr>
            <w:tcW w:w="1008" w:type="dxa"/>
          </w:tcPr>
          <w:p w14:paraId="1B4FE1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0,83</w:t>
            </w:r>
          </w:p>
        </w:tc>
        <w:tc>
          <w:tcPr>
            <w:tcW w:w="1008" w:type="dxa"/>
          </w:tcPr>
          <w:p w14:paraId="628873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3000</w:t>
            </w:r>
          </w:p>
        </w:tc>
        <w:tc>
          <w:tcPr>
            <w:tcW w:w="1440" w:type="dxa"/>
          </w:tcPr>
          <w:p w14:paraId="27D64C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 г.</w:t>
            </w:r>
          </w:p>
        </w:tc>
        <w:tc>
          <w:tcPr>
            <w:tcW w:w="2387" w:type="dxa"/>
          </w:tcPr>
          <w:p w14:paraId="633E25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за отчетный период прошел 2 режимных заводских испытания длительностью 5 и 10 часов. Во время указанных испытаний существенных дефектов не обнаружено, за исключением трещин блоков (испытания велись с блоками старого сплава). Заводу дано задание форсировать работы по этому мотору с тем, чтобы представить его на гос. испытания 1 декабря 1930 года. (Наблюдающий инженер Войтов).</w:t>
            </w:r>
          </w:p>
        </w:tc>
      </w:tr>
      <w:tr w:rsidR="00E371BA" w:rsidRPr="00507A31" w14:paraId="2E5A37E5" w14:textId="77777777">
        <w:tc>
          <w:tcPr>
            <w:tcW w:w="1288" w:type="dxa"/>
          </w:tcPr>
          <w:p w14:paraId="5DFF48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разведчика М27Н</w:t>
            </w:r>
          </w:p>
        </w:tc>
        <w:tc>
          <w:tcPr>
            <w:tcW w:w="1008" w:type="dxa"/>
          </w:tcPr>
          <w:p w14:paraId="2592E2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0F05F6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152" w:type="dxa"/>
          </w:tcPr>
          <w:p w14:paraId="72D214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w:t>
            </w:r>
          </w:p>
        </w:tc>
        <w:tc>
          <w:tcPr>
            <w:tcW w:w="1008" w:type="dxa"/>
          </w:tcPr>
          <w:p w14:paraId="0068CF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550</w:t>
            </w:r>
          </w:p>
        </w:tc>
        <w:tc>
          <w:tcPr>
            <w:tcW w:w="1008" w:type="dxa"/>
          </w:tcPr>
          <w:p w14:paraId="4FDF2F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0,79</w:t>
            </w:r>
          </w:p>
        </w:tc>
        <w:tc>
          <w:tcPr>
            <w:tcW w:w="1008" w:type="dxa"/>
          </w:tcPr>
          <w:p w14:paraId="402988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4000</w:t>
            </w:r>
          </w:p>
        </w:tc>
        <w:tc>
          <w:tcPr>
            <w:tcW w:w="1440" w:type="dxa"/>
          </w:tcPr>
          <w:p w14:paraId="14753C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1931 года</w:t>
            </w:r>
          </w:p>
        </w:tc>
        <w:tc>
          <w:tcPr>
            <w:tcW w:w="2387" w:type="dxa"/>
          </w:tcPr>
          <w:p w14:paraId="70ACC0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не ведутся. (Наблюдающий инженер Войтов).</w:t>
            </w:r>
          </w:p>
        </w:tc>
      </w:tr>
      <w:tr w:rsidR="00E371BA" w:rsidRPr="00507A31" w14:paraId="47681C0D" w14:textId="77777777">
        <w:tc>
          <w:tcPr>
            <w:tcW w:w="1288" w:type="dxa"/>
          </w:tcPr>
          <w:p w14:paraId="561F11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тяжелых бомбардировщ. ФЭД</w:t>
            </w:r>
          </w:p>
        </w:tc>
        <w:tc>
          <w:tcPr>
            <w:tcW w:w="1008" w:type="dxa"/>
          </w:tcPr>
          <w:p w14:paraId="00F4F5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5084CE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152" w:type="dxa"/>
          </w:tcPr>
          <w:p w14:paraId="120202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w:t>
            </w:r>
          </w:p>
        </w:tc>
        <w:tc>
          <w:tcPr>
            <w:tcW w:w="1008" w:type="dxa"/>
          </w:tcPr>
          <w:p w14:paraId="722ACA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750</w:t>
            </w:r>
          </w:p>
        </w:tc>
        <w:tc>
          <w:tcPr>
            <w:tcW w:w="1008" w:type="dxa"/>
          </w:tcPr>
          <w:p w14:paraId="6EA0C0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0,75</w:t>
            </w:r>
          </w:p>
        </w:tc>
        <w:tc>
          <w:tcPr>
            <w:tcW w:w="1008" w:type="dxa"/>
          </w:tcPr>
          <w:p w14:paraId="27F55E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4000</w:t>
            </w:r>
          </w:p>
        </w:tc>
        <w:tc>
          <w:tcPr>
            <w:tcW w:w="1440" w:type="dxa"/>
          </w:tcPr>
          <w:p w14:paraId="0B31D7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 г.</w:t>
            </w:r>
          </w:p>
        </w:tc>
        <w:tc>
          <w:tcPr>
            <w:tcW w:w="2387" w:type="dxa"/>
          </w:tcPr>
          <w:p w14:paraId="123647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Указанный мотор 4 октября 1930 года после 20 минут работы потерпел аварию, в результате которой разбит картер, блоки вследствие обрыва гл. шатуна. Мотор выбыл из строя. В настоящее время изготавливается новая модель картера, переделываются шатуны и масляная помпа. (Наблюдающий инженер Войтов).</w:t>
            </w:r>
          </w:p>
        </w:tc>
      </w:tr>
      <w:tr w:rsidR="00E371BA" w:rsidRPr="00507A31" w14:paraId="38E616E5" w14:textId="77777777">
        <w:tc>
          <w:tcPr>
            <w:tcW w:w="1288" w:type="dxa"/>
          </w:tcPr>
          <w:p w14:paraId="0008E9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тяжелых бомбардировщ. М35</w:t>
            </w:r>
          </w:p>
        </w:tc>
        <w:tc>
          <w:tcPr>
            <w:tcW w:w="1008" w:type="dxa"/>
          </w:tcPr>
          <w:p w14:paraId="70F877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0715B5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152" w:type="dxa"/>
          </w:tcPr>
          <w:p w14:paraId="66E84B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1250-1500</w:t>
            </w:r>
          </w:p>
        </w:tc>
        <w:tc>
          <w:tcPr>
            <w:tcW w:w="1008" w:type="dxa"/>
          </w:tcPr>
          <w:p w14:paraId="78B2AA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Требован. должны</w:t>
            </w:r>
          </w:p>
        </w:tc>
        <w:tc>
          <w:tcPr>
            <w:tcW w:w="1008" w:type="dxa"/>
          </w:tcPr>
          <w:p w14:paraId="7931EB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быть представл.</w:t>
            </w:r>
          </w:p>
        </w:tc>
        <w:tc>
          <w:tcPr>
            <w:tcW w:w="1008" w:type="dxa"/>
          </w:tcPr>
          <w:p w14:paraId="0B3094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440" w:type="dxa"/>
          </w:tcPr>
          <w:p w14:paraId="61CF41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1932 года</w:t>
            </w:r>
          </w:p>
        </w:tc>
        <w:tc>
          <w:tcPr>
            <w:tcW w:w="2387" w:type="dxa"/>
          </w:tcPr>
          <w:p w14:paraId="670B55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Разработаны, согласованы с исполнителями и утверждены техтребования, которые даны исполнителям для руководства. Ведутся предварительные изыскания по размерностям мотора. (Наблюдающий инженер Ро).</w:t>
            </w:r>
          </w:p>
        </w:tc>
      </w:tr>
      <w:tr w:rsidR="00E371BA" w:rsidRPr="00507A31" w14:paraId="48FC3D2B" w14:textId="77777777">
        <w:tc>
          <w:tcPr>
            <w:tcW w:w="1288" w:type="dxa"/>
          </w:tcPr>
          <w:p w14:paraId="6E092F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тяжелых бомбардировщ. М44</w:t>
            </w:r>
          </w:p>
        </w:tc>
        <w:tc>
          <w:tcPr>
            <w:tcW w:w="1008" w:type="dxa"/>
          </w:tcPr>
          <w:p w14:paraId="7160BF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27902D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152" w:type="dxa"/>
          </w:tcPr>
          <w:p w14:paraId="612989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2000-2500</w:t>
            </w:r>
          </w:p>
        </w:tc>
        <w:tc>
          <w:tcPr>
            <w:tcW w:w="1008" w:type="dxa"/>
          </w:tcPr>
          <w:p w14:paraId="117E74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900</w:t>
            </w:r>
          </w:p>
        </w:tc>
        <w:tc>
          <w:tcPr>
            <w:tcW w:w="1008" w:type="dxa"/>
          </w:tcPr>
          <w:p w14:paraId="3B56B6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0,45</w:t>
            </w:r>
          </w:p>
        </w:tc>
        <w:tc>
          <w:tcPr>
            <w:tcW w:w="1008" w:type="dxa"/>
          </w:tcPr>
          <w:p w14:paraId="08B47E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3500</w:t>
            </w:r>
          </w:p>
        </w:tc>
        <w:tc>
          <w:tcPr>
            <w:tcW w:w="1440" w:type="dxa"/>
          </w:tcPr>
          <w:p w14:paraId="0F56D4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1932 года</w:t>
            </w:r>
          </w:p>
        </w:tc>
        <w:tc>
          <w:tcPr>
            <w:tcW w:w="2387" w:type="dxa"/>
          </w:tcPr>
          <w:p w14:paraId="11140B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Ведется предварительная разработка деталей мотора коленчатого вала, шатунов, блока, цилиндров и картера. </w:t>
            </w:r>
            <w:r w:rsidRPr="00507A31">
              <w:rPr>
                <w:color w:val="000000" w:themeColor="text1"/>
                <w:sz w:val="16"/>
                <w:szCs w:val="16"/>
              </w:rPr>
              <w:lastRenderedPageBreak/>
              <w:t>Приступлено к предварительной общей компановке мотора. (Наблюдающие инженеры Ро и Примаков).</w:t>
            </w:r>
          </w:p>
        </w:tc>
      </w:tr>
      <w:tr w:rsidR="00E371BA" w:rsidRPr="00507A31" w14:paraId="73654729" w14:textId="77777777">
        <w:tc>
          <w:tcPr>
            <w:tcW w:w="1288" w:type="dxa"/>
          </w:tcPr>
          <w:p w14:paraId="0FC373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Для гражданск. авиации М26</w:t>
            </w:r>
          </w:p>
        </w:tc>
        <w:tc>
          <w:tcPr>
            <w:tcW w:w="1008" w:type="dxa"/>
          </w:tcPr>
          <w:p w14:paraId="582C86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3F2FE7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w:t>
            </w:r>
          </w:p>
        </w:tc>
        <w:tc>
          <w:tcPr>
            <w:tcW w:w="1152" w:type="dxa"/>
          </w:tcPr>
          <w:p w14:paraId="2BC3FE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1008" w:type="dxa"/>
          </w:tcPr>
          <w:p w14:paraId="19153E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315</w:t>
            </w:r>
          </w:p>
        </w:tc>
        <w:tc>
          <w:tcPr>
            <w:tcW w:w="1008" w:type="dxa"/>
          </w:tcPr>
          <w:p w14:paraId="5F0B82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1,05</w:t>
            </w:r>
          </w:p>
        </w:tc>
        <w:tc>
          <w:tcPr>
            <w:tcW w:w="1008" w:type="dxa"/>
          </w:tcPr>
          <w:p w14:paraId="57A00573"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30FE03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 г.</w:t>
            </w:r>
          </w:p>
        </w:tc>
        <w:tc>
          <w:tcPr>
            <w:tcW w:w="2387" w:type="dxa"/>
          </w:tcPr>
          <w:p w14:paraId="1BCF1B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отчетный период мотор на заводских испытаниях не был. После аварий, имевших место в прошлом месяце, мотор остался без коленвалов. Готовятся новые валы и шатуны по типу М15. (Наблюдающие инженеры Примаков и Войтов).</w:t>
            </w:r>
          </w:p>
        </w:tc>
      </w:tr>
    </w:tbl>
    <w:p w14:paraId="0F67DA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очередь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152"/>
        <w:gridCol w:w="1008"/>
        <w:gridCol w:w="1008"/>
        <w:gridCol w:w="1008"/>
        <w:gridCol w:w="1440"/>
        <w:gridCol w:w="2387"/>
      </w:tblGrid>
      <w:tr w:rsidR="00E371BA" w:rsidRPr="00507A31" w14:paraId="1D3DA423" w14:textId="77777777">
        <w:tc>
          <w:tcPr>
            <w:tcW w:w="1288" w:type="dxa"/>
          </w:tcPr>
          <w:p w14:paraId="1E2886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истребит. М38</w:t>
            </w:r>
          </w:p>
        </w:tc>
        <w:tc>
          <w:tcPr>
            <w:tcW w:w="1008" w:type="dxa"/>
          </w:tcPr>
          <w:p w14:paraId="13C813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7D987C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w:t>
            </w:r>
          </w:p>
        </w:tc>
        <w:tc>
          <w:tcPr>
            <w:tcW w:w="1152" w:type="dxa"/>
          </w:tcPr>
          <w:p w14:paraId="5DEB83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w:t>
            </w:r>
          </w:p>
        </w:tc>
        <w:tc>
          <w:tcPr>
            <w:tcW w:w="1008" w:type="dxa"/>
          </w:tcPr>
          <w:p w14:paraId="2F1CB3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380-400</w:t>
            </w:r>
          </w:p>
        </w:tc>
        <w:tc>
          <w:tcPr>
            <w:tcW w:w="1008" w:type="dxa"/>
          </w:tcPr>
          <w:p w14:paraId="7B1763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0,63</w:t>
            </w:r>
          </w:p>
        </w:tc>
        <w:tc>
          <w:tcPr>
            <w:tcW w:w="1008" w:type="dxa"/>
          </w:tcPr>
          <w:p w14:paraId="4B472C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1440" w:type="dxa"/>
          </w:tcPr>
          <w:p w14:paraId="047B33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1932 года</w:t>
            </w:r>
          </w:p>
        </w:tc>
        <w:tc>
          <w:tcPr>
            <w:tcW w:w="2387" w:type="dxa"/>
          </w:tcPr>
          <w:p w14:paraId="056C0D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по указанным моторам отложена. (Наблюдающие инженеры Примаков и Войтов).</w:t>
            </w:r>
          </w:p>
        </w:tc>
      </w:tr>
      <w:tr w:rsidR="00E371BA" w:rsidRPr="00507A31" w14:paraId="77FC9D8D" w14:textId="77777777">
        <w:tc>
          <w:tcPr>
            <w:tcW w:w="1288" w:type="dxa"/>
          </w:tcPr>
          <w:p w14:paraId="60CE82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истребит. М32</w:t>
            </w:r>
          </w:p>
        </w:tc>
        <w:tc>
          <w:tcPr>
            <w:tcW w:w="1008" w:type="dxa"/>
          </w:tcPr>
          <w:p w14:paraId="6D667E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10092A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152" w:type="dxa"/>
          </w:tcPr>
          <w:p w14:paraId="4AA287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w:t>
            </w:r>
          </w:p>
        </w:tc>
        <w:tc>
          <w:tcPr>
            <w:tcW w:w="1008" w:type="dxa"/>
          </w:tcPr>
          <w:p w14:paraId="5840FD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w:t>
            </w:r>
          </w:p>
        </w:tc>
        <w:tc>
          <w:tcPr>
            <w:tcW w:w="1008" w:type="dxa"/>
          </w:tcPr>
          <w:p w14:paraId="503C52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0,75</w:t>
            </w:r>
          </w:p>
        </w:tc>
        <w:tc>
          <w:tcPr>
            <w:tcW w:w="1008" w:type="dxa"/>
          </w:tcPr>
          <w:p w14:paraId="352F2A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1440" w:type="dxa"/>
          </w:tcPr>
          <w:p w14:paraId="6D8B81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1932 года</w:t>
            </w:r>
          </w:p>
        </w:tc>
        <w:tc>
          <w:tcPr>
            <w:tcW w:w="2387" w:type="dxa"/>
          </w:tcPr>
          <w:p w14:paraId="1BF3ED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по указанным моторам отложена. (Наблюдающие инженеры Примаков и Войтов).</w:t>
            </w:r>
          </w:p>
        </w:tc>
      </w:tr>
      <w:tr w:rsidR="00E371BA" w:rsidRPr="00507A31" w14:paraId="3FDE1339" w14:textId="77777777">
        <w:tc>
          <w:tcPr>
            <w:tcW w:w="1288" w:type="dxa"/>
          </w:tcPr>
          <w:p w14:paraId="31352A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Нефтяной ЭН1</w:t>
            </w:r>
          </w:p>
        </w:tc>
        <w:tc>
          <w:tcPr>
            <w:tcW w:w="1008" w:type="dxa"/>
          </w:tcPr>
          <w:p w14:paraId="5FA689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12F7AB4F"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4273BB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w:t>
            </w:r>
          </w:p>
        </w:tc>
        <w:tc>
          <w:tcPr>
            <w:tcW w:w="1008" w:type="dxa"/>
          </w:tcPr>
          <w:p w14:paraId="6CE595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240</w:t>
            </w:r>
          </w:p>
        </w:tc>
        <w:tc>
          <w:tcPr>
            <w:tcW w:w="1008" w:type="dxa"/>
          </w:tcPr>
          <w:p w14:paraId="3EADB3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w:t>
            </w:r>
          </w:p>
        </w:tc>
        <w:tc>
          <w:tcPr>
            <w:tcW w:w="1008" w:type="dxa"/>
          </w:tcPr>
          <w:p w14:paraId="28D582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40" w:type="dxa"/>
          </w:tcPr>
          <w:p w14:paraId="2200FE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апреля 1931 г.</w:t>
            </w:r>
          </w:p>
        </w:tc>
        <w:tc>
          <w:tcPr>
            <w:tcW w:w="2387" w:type="dxa"/>
          </w:tcPr>
          <w:p w14:paraId="1B3448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Проводится проверка рабочих чертежей мотора, которая должна закончиться 15-20 ноября 1930 года. Проверка задерживается из-за неувязки чертежей с производствен. Возможностями. Так, например, до сего времени остался открытым вопрос о месте, где будет произведена термическая обработка деталей этого мотора, так как ВАО от этих работ на заводе 29 отказалось. Положение с работами по указанному мотору неудовлетворительное. (Наблюдающие инженеры Ро и Ноздра).</w:t>
            </w:r>
          </w:p>
        </w:tc>
      </w:tr>
      <w:tr w:rsidR="00E371BA" w:rsidRPr="00507A31" w14:paraId="5CBC27C3" w14:textId="77777777">
        <w:tc>
          <w:tcPr>
            <w:tcW w:w="1288" w:type="dxa"/>
          </w:tcPr>
          <w:p w14:paraId="45943F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Нефтяной М42</w:t>
            </w:r>
          </w:p>
        </w:tc>
        <w:tc>
          <w:tcPr>
            <w:tcW w:w="1008" w:type="dxa"/>
          </w:tcPr>
          <w:p w14:paraId="63629F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5995B2DA"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5EFB35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550</w:t>
            </w:r>
          </w:p>
        </w:tc>
        <w:tc>
          <w:tcPr>
            <w:tcW w:w="1008" w:type="dxa"/>
          </w:tcPr>
          <w:p w14:paraId="6648126E"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75F7F035"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43C710D2"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46DD33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1932 г.</w:t>
            </w:r>
          </w:p>
        </w:tc>
        <w:tc>
          <w:tcPr>
            <w:tcW w:w="2387" w:type="dxa"/>
          </w:tcPr>
          <w:p w14:paraId="2F1F3E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не ведутся. (Наблюдающий инженер Ро).</w:t>
            </w:r>
          </w:p>
        </w:tc>
      </w:tr>
      <w:tr w:rsidR="00E371BA" w:rsidRPr="00507A31" w14:paraId="4F5D8BDE" w14:textId="77777777">
        <w:tc>
          <w:tcPr>
            <w:tcW w:w="1288" w:type="dxa"/>
          </w:tcPr>
          <w:p w14:paraId="394E3E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Модернизация М34 и М44</w:t>
            </w:r>
          </w:p>
        </w:tc>
        <w:tc>
          <w:tcPr>
            <w:tcW w:w="1008" w:type="dxa"/>
          </w:tcPr>
          <w:p w14:paraId="09C0AC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3FA4FD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Водян.</w:t>
            </w:r>
          </w:p>
        </w:tc>
        <w:tc>
          <w:tcPr>
            <w:tcW w:w="1152" w:type="dxa"/>
          </w:tcPr>
          <w:p w14:paraId="3795D2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700-1000</w:t>
            </w:r>
          </w:p>
        </w:tc>
        <w:tc>
          <w:tcPr>
            <w:tcW w:w="1008" w:type="dxa"/>
          </w:tcPr>
          <w:p w14:paraId="09AEEC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320</w:t>
            </w:r>
          </w:p>
        </w:tc>
        <w:tc>
          <w:tcPr>
            <w:tcW w:w="1008" w:type="dxa"/>
          </w:tcPr>
          <w:p w14:paraId="16BFB7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0,43</w:t>
            </w:r>
          </w:p>
        </w:tc>
        <w:tc>
          <w:tcPr>
            <w:tcW w:w="1008" w:type="dxa"/>
          </w:tcPr>
          <w:p w14:paraId="53DEAF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4000</w:t>
            </w:r>
          </w:p>
        </w:tc>
        <w:tc>
          <w:tcPr>
            <w:tcW w:w="1440" w:type="dxa"/>
          </w:tcPr>
          <w:p w14:paraId="21105C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1932 г.</w:t>
            </w:r>
          </w:p>
        </w:tc>
        <w:tc>
          <w:tcPr>
            <w:tcW w:w="2387" w:type="dxa"/>
          </w:tcPr>
          <w:p w14:paraId="0BC63E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не ведутся. (Наблюдающий инженер Ро).</w:t>
            </w:r>
          </w:p>
        </w:tc>
      </w:tr>
      <w:tr w:rsidR="00E371BA" w:rsidRPr="00507A31" w14:paraId="7D93141A" w14:textId="77777777">
        <w:tc>
          <w:tcPr>
            <w:tcW w:w="1288" w:type="dxa"/>
          </w:tcPr>
          <w:p w14:paraId="52CB94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М19 (вне плана)</w:t>
            </w:r>
          </w:p>
        </w:tc>
        <w:tc>
          <w:tcPr>
            <w:tcW w:w="1008" w:type="dxa"/>
          </w:tcPr>
          <w:p w14:paraId="670405FD"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20669C78"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1B8D6E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525</w:t>
            </w:r>
          </w:p>
        </w:tc>
        <w:tc>
          <w:tcPr>
            <w:tcW w:w="1008" w:type="dxa"/>
          </w:tcPr>
          <w:p w14:paraId="1BC5B2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475</w:t>
            </w:r>
          </w:p>
        </w:tc>
        <w:tc>
          <w:tcPr>
            <w:tcW w:w="1008" w:type="dxa"/>
          </w:tcPr>
          <w:p w14:paraId="0A58683D"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7CA3A6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2500</w:t>
            </w:r>
          </w:p>
        </w:tc>
        <w:tc>
          <w:tcPr>
            <w:tcW w:w="1440" w:type="dxa"/>
          </w:tcPr>
          <w:p w14:paraId="2D3596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1930 года</w:t>
            </w:r>
          </w:p>
        </w:tc>
        <w:tc>
          <w:tcPr>
            <w:tcW w:w="2387" w:type="dxa"/>
          </w:tcPr>
          <w:p w14:paraId="7BCCDE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октябрь 1930 года мотор ставился 4 раза на заводские испытания причем ни разу не прошел удовлетворительно. Обнаруженные дефекты сводятся к следующим: течь клапанной головки блоков, чрезмерный износ пальцев боковых шатунов их втулок и поршневых пальцев, поломка обоймы заднего шарикоподшипника нагнетателя, трещины баббита и поломка передачи к импеллеру Ко времени последних испытаний в этом месяце остался основной дефект – ненадежность передачи к импеллеру и ее непродолжительная работа, не превышающая 10 часов. Несмотря на указанный крупный дефект завод 24 предъявил мотор на гос. испытания, которые должны были начаться 1 ноября 1930 года, но вследствии аварии передачи к импеллеру на последних заводских испытаниях 27 октября гос. испытания откладываются. (Наблюдающий инженер Войтов).</w:t>
            </w:r>
          </w:p>
        </w:tc>
      </w:tr>
    </w:tbl>
    <w:p w14:paraId="0E7730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E371BA" w:rsidRPr="00507A31" w14:paraId="6A1E6266" w14:textId="77777777">
        <w:tc>
          <w:tcPr>
            <w:tcW w:w="1288" w:type="dxa"/>
          </w:tcPr>
          <w:p w14:paraId="0D828B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 самолетов</w:t>
            </w:r>
          </w:p>
        </w:tc>
        <w:tc>
          <w:tcPr>
            <w:tcW w:w="1008" w:type="dxa"/>
          </w:tcPr>
          <w:p w14:paraId="643514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Кто строит</w:t>
            </w:r>
          </w:p>
        </w:tc>
        <w:tc>
          <w:tcPr>
            <w:tcW w:w="1008" w:type="dxa"/>
          </w:tcPr>
          <w:p w14:paraId="635EB7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Макс. горизонт. скор./на высоте </w:t>
            </w:r>
          </w:p>
        </w:tc>
        <w:tc>
          <w:tcPr>
            <w:tcW w:w="1008" w:type="dxa"/>
          </w:tcPr>
          <w:p w14:paraId="43B571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Скоропод./на высоту</w:t>
            </w:r>
          </w:p>
        </w:tc>
        <w:tc>
          <w:tcPr>
            <w:tcW w:w="1008" w:type="dxa"/>
          </w:tcPr>
          <w:p w14:paraId="22DF42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Потолок</w:t>
            </w:r>
          </w:p>
        </w:tc>
        <w:tc>
          <w:tcPr>
            <w:tcW w:w="1152" w:type="dxa"/>
          </w:tcPr>
          <w:p w14:paraId="6A1349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1008" w:type="dxa"/>
          </w:tcPr>
          <w:p w14:paraId="010903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Радиус действия</w:t>
            </w:r>
          </w:p>
        </w:tc>
        <w:tc>
          <w:tcPr>
            <w:tcW w:w="1440" w:type="dxa"/>
          </w:tcPr>
          <w:p w14:paraId="51D4B0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предъявления на гос. испытания</w:t>
            </w:r>
          </w:p>
        </w:tc>
        <w:tc>
          <w:tcPr>
            <w:tcW w:w="2387" w:type="dxa"/>
          </w:tcPr>
          <w:p w14:paraId="67956A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Степень выполнения на 15 ноября 1930 года</w:t>
            </w:r>
          </w:p>
        </w:tc>
      </w:tr>
      <w:tr w:rsidR="00E371BA" w:rsidRPr="00507A31" w14:paraId="2AA3761F" w14:textId="77777777">
        <w:tc>
          <w:tcPr>
            <w:tcW w:w="1288" w:type="dxa"/>
          </w:tcPr>
          <w:p w14:paraId="2AB1E3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ТБ4</w:t>
            </w:r>
          </w:p>
        </w:tc>
        <w:tc>
          <w:tcPr>
            <w:tcW w:w="1008" w:type="dxa"/>
          </w:tcPr>
          <w:p w14:paraId="0570CC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5358F3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200/3000</w:t>
            </w:r>
          </w:p>
        </w:tc>
        <w:tc>
          <w:tcPr>
            <w:tcW w:w="1008" w:type="dxa"/>
          </w:tcPr>
          <w:p w14:paraId="167D2C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008" w:type="dxa"/>
          </w:tcPr>
          <w:p w14:paraId="5B20EB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5000-6000</w:t>
            </w:r>
          </w:p>
        </w:tc>
        <w:tc>
          <w:tcPr>
            <w:tcW w:w="1152" w:type="dxa"/>
          </w:tcPr>
          <w:p w14:paraId="18FE99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7000 бомб</w:t>
            </w:r>
          </w:p>
          <w:p w14:paraId="7A601A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6-8 пул.</w:t>
            </w:r>
          </w:p>
          <w:p w14:paraId="53D836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пушка 20-37 мм</w:t>
            </w:r>
          </w:p>
        </w:tc>
        <w:tc>
          <w:tcPr>
            <w:tcW w:w="1008" w:type="dxa"/>
          </w:tcPr>
          <w:p w14:paraId="28B312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w:t>
            </w:r>
          </w:p>
        </w:tc>
        <w:tc>
          <w:tcPr>
            <w:tcW w:w="1440" w:type="dxa"/>
          </w:tcPr>
          <w:p w14:paraId="78D5C1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октября 1931 </w:t>
            </w:r>
          </w:p>
        </w:tc>
        <w:tc>
          <w:tcPr>
            <w:tcW w:w="2387" w:type="dxa"/>
          </w:tcPr>
          <w:p w14:paraId="3B619B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Вопрос с выбором типа моторов должен быть решен к 1 декабря 1930 года. ЦАГИ производит постройку макета. </w:t>
            </w:r>
            <w:r w:rsidRPr="00507A31">
              <w:rPr>
                <w:color w:val="000000" w:themeColor="text1"/>
                <w:sz w:val="16"/>
                <w:szCs w:val="16"/>
              </w:rPr>
              <w:lastRenderedPageBreak/>
              <w:t>(Наблюдающий инженер Межак).</w:t>
            </w:r>
          </w:p>
        </w:tc>
      </w:tr>
      <w:tr w:rsidR="00E371BA" w:rsidRPr="00507A31" w14:paraId="518F65C1" w14:textId="77777777">
        <w:tc>
          <w:tcPr>
            <w:tcW w:w="1288" w:type="dxa"/>
          </w:tcPr>
          <w:p w14:paraId="5BF74A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ТБ3-2ФЭД</w:t>
            </w:r>
          </w:p>
        </w:tc>
        <w:tc>
          <w:tcPr>
            <w:tcW w:w="1008" w:type="dxa"/>
          </w:tcPr>
          <w:p w14:paraId="3900FF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765854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205/0</w:t>
            </w:r>
          </w:p>
        </w:tc>
        <w:tc>
          <w:tcPr>
            <w:tcW w:w="1008" w:type="dxa"/>
          </w:tcPr>
          <w:p w14:paraId="35BC3B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22/3000</w:t>
            </w:r>
          </w:p>
        </w:tc>
        <w:tc>
          <w:tcPr>
            <w:tcW w:w="1008" w:type="dxa"/>
          </w:tcPr>
          <w:p w14:paraId="115058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4200 </w:t>
            </w:r>
          </w:p>
        </w:tc>
        <w:tc>
          <w:tcPr>
            <w:tcW w:w="1152" w:type="dxa"/>
          </w:tcPr>
          <w:p w14:paraId="52599B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1500 кг бомб</w:t>
            </w:r>
          </w:p>
        </w:tc>
        <w:tc>
          <w:tcPr>
            <w:tcW w:w="1008" w:type="dxa"/>
          </w:tcPr>
          <w:p w14:paraId="52B644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600</w:t>
            </w:r>
          </w:p>
        </w:tc>
        <w:tc>
          <w:tcPr>
            <w:tcW w:w="1440" w:type="dxa"/>
          </w:tcPr>
          <w:p w14:paraId="356102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2387" w:type="dxa"/>
          </w:tcPr>
          <w:p w14:paraId="65A6F8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Макет в основном утвержден. Самолет будет проектироваться под 4 мотора ЮVI (М22).(Наблюдающий инженер Полехин). </w:t>
            </w:r>
          </w:p>
        </w:tc>
      </w:tr>
      <w:tr w:rsidR="00E371BA" w:rsidRPr="00507A31" w14:paraId="66F655B6" w14:textId="77777777">
        <w:tc>
          <w:tcPr>
            <w:tcW w:w="1288" w:type="dxa"/>
          </w:tcPr>
          <w:p w14:paraId="053F6C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Д3-М17</w:t>
            </w:r>
          </w:p>
        </w:tc>
        <w:tc>
          <w:tcPr>
            <w:tcW w:w="1008" w:type="dxa"/>
          </w:tcPr>
          <w:p w14:paraId="6D2552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4BEB86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250/3000</w:t>
            </w:r>
          </w:p>
        </w:tc>
        <w:tc>
          <w:tcPr>
            <w:tcW w:w="1008" w:type="dxa"/>
          </w:tcPr>
          <w:p w14:paraId="258811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9/3000</w:t>
            </w:r>
          </w:p>
        </w:tc>
        <w:tc>
          <w:tcPr>
            <w:tcW w:w="1008" w:type="dxa"/>
          </w:tcPr>
          <w:p w14:paraId="700A52A2"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57110C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w:t>
            </w:r>
          </w:p>
        </w:tc>
        <w:tc>
          <w:tcPr>
            <w:tcW w:w="1008" w:type="dxa"/>
          </w:tcPr>
          <w:p w14:paraId="441020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250-275</w:t>
            </w:r>
          </w:p>
        </w:tc>
        <w:tc>
          <w:tcPr>
            <w:tcW w:w="1440" w:type="dxa"/>
          </w:tcPr>
          <w:p w14:paraId="39ACAD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февраля 1931</w:t>
            </w:r>
          </w:p>
        </w:tc>
        <w:tc>
          <w:tcPr>
            <w:tcW w:w="2387" w:type="dxa"/>
          </w:tcPr>
          <w:p w14:paraId="3091DD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Макет и эскизный проект утверждены, ведется конструктивная проработка, к производству еще не приступлено. Первый экземпляр самолета выйдет с завода в январе 1931. (Наблюдающий инженер Полехин).</w:t>
            </w:r>
          </w:p>
        </w:tc>
      </w:tr>
      <w:tr w:rsidR="00E371BA" w:rsidRPr="00507A31" w14:paraId="582B595F" w14:textId="77777777">
        <w:tc>
          <w:tcPr>
            <w:tcW w:w="1288" w:type="dxa"/>
          </w:tcPr>
          <w:p w14:paraId="134324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МИ3-2М34</w:t>
            </w:r>
          </w:p>
        </w:tc>
        <w:tc>
          <w:tcPr>
            <w:tcW w:w="1008" w:type="dxa"/>
          </w:tcPr>
          <w:p w14:paraId="11D54B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3EC36A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300/5000</w:t>
            </w:r>
          </w:p>
        </w:tc>
        <w:tc>
          <w:tcPr>
            <w:tcW w:w="1008" w:type="dxa"/>
          </w:tcPr>
          <w:p w14:paraId="69DE88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15-18/5000</w:t>
            </w:r>
          </w:p>
        </w:tc>
        <w:tc>
          <w:tcPr>
            <w:tcW w:w="1008" w:type="dxa"/>
          </w:tcPr>
          <w:p w14:paraId="1917BF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7000-8000</w:t>
            </w:r>
          </w:p>
        </w:tc>
        <w:tc>
          <w:tcPr>
            <w:tcW w:w="1152" w:type="dxa"/>
          </w:tcPr>
          <w:p w14:paraId="3F291F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 пул.</w:t>
            </w:r>
          </w:p>
          <w:p w14:paraId="27B079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ав. пушка </w:t>
            </w:r>
          </w:p>
        </w:tc>
        <w:tc>
          <w:tcPr>
            <w:tcW w:w="1008" w:type="dxa"/>
          </w:tcPr>
          <w:p w14:paraId="3821B0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w:t>
            </w:r>
          </w:p>
        </w:tc>
        <w:tc>
          <w:tcPr>
            <w:tcW w:w="1440" w:type="dxa"/>
          </w:tcPr>
          <w:p w14:paraId="7F71C7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1932</w:t>
            </w:r>
          </w:p>
        </w:tc>
        <w:tc>
          <w:tcPr>
            <w:tcW w:w="2387" w:type="dxa"/>
          </w:tcPr>
          <w:p w14:paraId="4AEF44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не ведутся. (Наблюдающий инженер Межак).</w:t>
            </w:r>
          </w:p>
        </w:tc>
      </w:tr>
      <w:tr w:rsidR="00E371BA" w:rsidRPr="00507A31" w14:paraId="1921FB48" w14:textId="77777777">
        <w:tc>
          <w:tcPr>
            <w:tcW w:w="1288" w:type="dxa"/>
          </w:tcPr>
          <w:p w14:paraId="121083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Р8-М27</w:t>
            </w:r>
          </w:p>
        </w:tc>
        <w:tc>
          <w:tcPr>
            <w:tcW w:w="1008" w:type="dxa"/>
          </w:tcPr>
          <w:p w14:paraId="1E8824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67DE3B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245/3000</w:t>
            </w:r>
          </w:p>
        </w:tc>
        <w:tc>
          <w:tcPr>
            <w:tcW w:w="1008" w:type="dxa"/>
          </w:tcPr>
          <w:p w14:paraId="53A395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10/3000</w:t>
            </w:r>
          </w:p>
        </w:tc>
        <w:tc>
          <w:tcPr>
            <w:tcW w:w="1008" w:type="dxa"/>
          </w:tcPr>
          <w:p w14:paraId="459987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7000</w:t>
            </w:r>
          </w:p>
        </w:tc>
        <w:tc>
          <w:tcPr>
            <w:tcW w:w="1152" w:type="dxa"/>
          </w:tcPr>
          <w:p w14:paraId="2DFECE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пул.</w:t>
            </w:r>
          </w:p>
        </w:tc>
        <w:tc>
          <w:tcPr>
            <w:tcW w:w="1008" w:type="dxa"/>
          </w:tcPr>
          <w:p w14:paraId="2344154F"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05F23C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2387" w:type="dxa"/>
          </w:tcPr>
          <w:p w14:paraId="38FE91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Макет и эскизный проект готовятся к 15 декабря 1930 года под мотор М27; в УВВС предварительных расчетов не предъявлено. К 1 декабря 1930 года должны быть пересмотрены техтребования на самолет. (Наблюдающий инженер Полехин).</w:t>
            </w:r>
          </w:p>
        </w:tc>
      </w:tr>
      <w:tr w:rsidR="00E371BA" w:rsidRPr="00507A31" w14:paraId="7D63A361" w14:textId="77777777">
        <w:tc>
          <w:tcPr>
            <w:tcW w:w="1288" w:type="dxa"/>
          </w:tcPr>
          <w:p w14:paraId="47B1A9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Р8-М34</w:t>
            </w:r>
          </w:p>
        </w:tc>
        <w:tc>
          <w:tcPr>
            <w:tcW w:w="1008" w:type="dxa"/>
          </w:tcPr>
          <w:p w14:paraId="05C879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76EC90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250/3000</w:t>
            </w:r>
          </w:p>
        </w:tc>
        <w:tc>
          <w:tcPr>
            <w:tcW w:w="1008" w:type="dxa"/>
          </w:tcPr>
          <w:p w14:paraId="6C69F2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8/10/3000</w:t>
            </w:r>
          </w:p>
        </w:tc>
        <w:tc>
          <w:tcPr>
            <w:tcW w:w="1008" w:type="dxa"/>
          </w:tcPr>
          <w:p w14:paraId="37969D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7000-7500</w:t>
            </w:r>
          </w:p>
        </w:tc>
        <w:tc>
          <w:tcPr>
            <w:tcW w:w="1152" w:type="dxa"/>
          </w:tcPr>
          <w:p w14:paraId="282A6D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пул.</w:t>
            </w:r>
          </w:p>
        </w:tc>
        <w:tc>
          <w:tcPr>
            <w:tcW w:w="1008" w:type="dxa"/>
          </w:tcPr>
          <w:p w14:paraId="7EBA87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650-750</w:t>
            </w:r>
          </w:p>
        </w:tc>
        <w:tc>
          <w:tcPr>
            <w:tcW w:w="1440" w:type="dxa"/>
          </w:tcPr>
          <w:p w14:paraId="54F8B6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1931</w:t>
            </w:r>
          </w:p>
        </w:tc>
        <w:tc>
          <w:tcPr>
            <w:tcW w:w="2387" w:type="dxa"/>
          </w:tcPr>
          <w:p w14:paraId="64892B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не ведутся. (Наблюдающий инженер Полехин).</w:t>
            </w:r>
          </w:p>
        </w:tc>
      </w:tr>
      <w:tr w:rsidR="00E371BA" w:rsidRPr="00507A31" w14:paraId="7B03FF91" w14:textId="77777777">
        <w:tc>
          <w:tcPr>
            <w:tcW w:w="1288" w:type="dxa"/>
          </w:tcPr>
          <w:p w14:paraId="727FBC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МДР3</w:t>
            </w:r>
          </w:p>
        </w:tc>
        <w:tc>
          <w:tcPr>
            <w:tcW w:w="1008" w:type="dxa"/>
          </w:tcPr>
          <w:p w14:paraId="298246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05E0EB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200/3000</w:t>
            </w:r>
          </w:p>
        </w:tc>
        <w:tc>
          <w:tcPr>
            <w:tcW w:w="1008" w:type="dxa"/>
          </w:tcPr>
          <w:p w14:paraId="20BA26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20/3000</w:t>
            </w:r>
          </w:p>
        </w:tc>
        <w:tc>
          <w:tcPr>
            <w:tcW w:w="1008" w:type="dxa"/>
          </w:tcPr>
          <w:p w14:paraId="2059E9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1152" w:type="dxa"/>
          </w:tcPr>
          <w:p w14:paraId="344F3B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w:t>
            </w:r>
          </w:p>
          <w:p w14:paraId="5EAA36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 пушка</w:t>
            </w:r>
          </w:p>
          <w:p w14:paraId="42F7C6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 кг бомб</w:t>
            </w:r>
          </w:p>
        </w:tc>
        <w:tc>
          <w:tcPr>
            <w:tcW w:w="1008" w:type="dxa"/>
          </w:tcPr>
          <w:p w14:paraId="367E45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1000-1200</w:t>
            </w:r>
          </w:p>
        </w:tc>
        <w:tc>
          <w:tcPr>
            <w:tcW w:w="1440" w:type="dxa"/>
          </w:tcPr>
          <w:p w14:paraId="254B38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2387" w:type="dxa"/>
          </w:tcPr>
          <w:p w14:paraId="51CB30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Совместно с ВАО выявлен тип моторов: М22, две установки тандем. На опытном экземпляре предположено установить 4 х ЮVI. Предусматривается также возможность перехода на 3 х БМВVI. Эскизный проект ожидается к 20 декабря 1930 года, а макет к 15 ноября 1930 года. Выпуск машины в срок возможен только при самой энергичной работе. Завод достаточного кадра клепальщиков не имеет. (Наблюдающий инженер Кудрявцев).</w:t>
            </w:r>
          </w:p>
        </w:tc>
      </w:tr>
    </w:tbl>
    <w:p w14:paraId="637059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2-ая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E371BA" w:rsidRPr="00507A31" w14:paraId="177CEEA6" w14:textId="77777777">
        <w:tc>
          <w:tcPr>
            <w:tcW w:w="1288" w:type="dxa"/>
          </w:tcPr>
          <w:p w14:paraId="6838D9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ДИ4 – Кертисс Конкверор</w:t>
            </w:r>
          </w:p>
        </w:tc>
        <w:tc>
          <w:tcPr>
            <w:tcW w:w="1008" w:type="dxa"/>
          </w:tcPr>
          <w:p w14:paraId="67F1BD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3FEFF8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280/5000</w:t>
            </w:r>
          </w:p>
        </w:tc>
        <w:tc>
          <w:tcPr>
            <w:tcW w:w="1008" w:type="dxa"/>
          </w:tcPr>
          <w:p w14:paraId="74170B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85/5000</w:t>
            </w:r>
          </w:p>
        </w:tc>
        <w:tc>
          <w:tcPr>
            <w:tcW w:w="1008" w:type="dxa"/>
          </w:tcPr>
          <w:p w14:paraId="331D5A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8000</w:t>
            </w:r>
          </w:p>
        </w:tc>
        <w:tc>
          <w:tcPr>
            <w:tcW w:w="1152" w:type="dxa"/>
          </w:tcPr>
          <w:p w14:paraId="08273E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w:t>
            </w:r>
          </w:p>
        </w:tc>
        <w:tc>
          <w:tcPr>
            <w:tcW w:w="1008" w:type="dxa"/>
          </w:tcPr>
          <w:p w14:paraId="6488CF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450-500</w:t>
            </w:r>
          </w:p>
        </w:tc>
        <w:tc>
          <w:tcPr>
            <w:tcW w:w="1440" w:type="dxa"/>
          </w:tcPr>
          <w:p w14:paraId="6F9C10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сентября 1931</w:t>
            </w:r>
          </w:p>
        </w:tc>
        <w:tc>
          <w:tcPr>
            <w:tcW w:w="2387" w:type="dxa"/>
          </w:tcPr>
          <w:p w14:paraId="512870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Макет должен быть предъявлен вторично. Схема оригинальная, с тактической стороны одобрена. Эскизный проект в УВВС представлен. Самолет конструируется под руководством французского конструктора Лавиля. По планировке ВАО выпуск из завода предположен 1 апреля 1931 года. (Наблюдающий инженер Полехин).</w:t>
            </w:r>
          </w:p>
        </w:tc>
      </w:tr>
      <w:tr w:rsidR="00E371BA" w:rsidRPr="00507A31" w14:paraId="19C358AC" w14:textId="77777777">
        <w:tc>
          <w:tcPr>
            <w:tcW w:w="1288" w:type="dxa"/>
          </w:tcPr>
          <w:p w14:paraId="2EDC1F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ДИ5-ФЭД</w:t>
            </w:r>
          </w:p>
        </w:tc>
        <w:tc>
          <w:tcPr>
            <w:tcW w:w="1008" w:type="dxa"/>
          </w:tcPr>
          <w:p w14:paraId="4DA90A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68F999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270/3000</w:t>
            </w:r>
          </w:p>
        </w:tc>
        <w:tc>
          <w:tcPr>
            <w:tcW w:w="1008" w:type="dxa"/>
          </w:tcPr>
          <w:p w14:paraId="4A8396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7,6/3000</w:t>
            </w:r>
          </w:p>
        </w:tc>
        <w:tc>
          <w:tcPr>
            <w:tcW w:w="1008" w:type="dxa"/>
          </w:tcPr>
          <w:p w14:paraId="353935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8000</w:t>
            </w:r>
          </w:p>
        </w:tc>
        <w:tc>
          <w:tcPr>
            <w:tcW w:w="1152" w:type="dxa"/>
          </w:tcPr>
          <w:p w14:paraId="6ED4E5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w:t>
            </w:r>
          </w:p>
          <w:p w14:paraId="786DE9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 пушка</w:t>
            </w:r>
          </w:p>
        </w:tc>
        <w:tc>
          <w:tcPr>
            <w:tcW w:w="1008" w:type="dxa"/>
          </w:tcPr>
          <w:p w14:paraId="2B948FBF"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7D5B4B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2387" w:type="dxa"/>
          </w:tcPr>
          <w:p w14:paraId="3262F7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Вопрос с типом мотора к самолету должен быть уточнен к 10 января 1931 года. (Наблюдающий инженер Полехин).</w:t>
            </w:r>
          </w:p>
        </w:tc>
      </w:tr>
      <w:tr w:rsidR="00E371BA" w:rsidRPr="00507A31" w14:paraId="11D0049B" w14:textId="77777777">
        <w:tc>
          <w:tcPr>
            <w:tcW w:w="1288" w:type="dxa"/>
          </w:tcPr>
          <w:p w14:paraId="762D8F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МУ3-М11</w:t>
            </w:r>
          </w:p>
        </w:tc>
        <w:tc>
          <w:tcPr>
            <w:tcW w:w="1008" w:type="dxa"/>
          </w:tcPr>
          <w:p w14:paraId="4CDDA9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6EBB6058"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256C048F"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3BF7ADB4"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27CF9E5F"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62FB5D07"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602CD0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мая 1931</w:t>
            </w:r>
          </w:p>
        </w:tc>
        <w:tc>
          <w:tcPr>
            <w:tcW w:w="2387" w:type="dxa"/>
          </w:tcPr>
          <w:p w14:paraId="3244BB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25 ноября 1930 года ВАО представляет эскизный проект.</w:t>
            </w:r>
          </w:p>
        </w:tc>
      </w:tr>
      <w:tr w:rsidR="00E371BA" w:rsidRPr="00507A31" w14:paraId="677A1E56" w14:textId="77777777">
        <w:tc>
          <w:tcPr>
            <w:tcW w:w="1288" w:type="dxa"/>
          </w:tcPr>
          <w:p w14:paraId="744D61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ТШ1-2М34</w:t>
            </w:r>
          </w:p>
        </w:tc>
        <w:tc>
          <w:tcPr>
            <w:tcW w:w="1008" w:type="dxa"/>
          </w:tcPr>
          <w:p w14:paraId="57B2ED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064B8C7A"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1B58CCEF"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38BAB189"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6D399D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 пул.</w:t>
            </w:r>
          </w:p>
          <w:p w14:paraId="566B65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авт. пушка</w:t>
            </w:r>
          </w:p>
          <w:p w14:paraId="711593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800 кг бомб</w:t>
            </w:r>
          </w:p>
        </w:tc>
        <w:tc>
          <w:tcPr>
            <w:tcW w:w="1008" w:type="dxa"/>
          </w:tcPr>
          <w:p w14:paraId="63D487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c>
          <w:tcPr>
            <w:tcW w:w="1440" w:type="dxa"/>
          </w:tcPr>
          <w:p w14:paraId="6B576E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1932</w:t>
            </w:r>
          </w:p>
        </w:tc>
        <w:tc>
          <w:tcPr>
            <w:tcW w:w="2387" w:type="dxa"/>
          </w:tcPr>
          <w:p w14:paraId="1442F3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Выполнены варианты аэродинамических расчетов под моторы 2хМ34, 2хАССО, 2хБМВIX. Техтребования не установлены (не ясен вопрос о нагрузках и о маневренности). Прорабатывается вопрос типа мотора. (Наблюдающий инженер Межак).</w:t>
            </w:r>
          </w:p>
        </w:tc>
      </w:tr>
      <w:tr w:rsidR="00E371BA" w:rsidRPr="00507A31" w14:paraId="05228022" w14:textId="77777777">
        <w:tc>
          <w:tcPr>
            <w:tcW w:w="1288" w:type="dxa"/>
          </w:tcPr>
          <w:p w14:paraId="52EAA5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МТБ3</w:t>
            </w:r>
          </w:p>
        </w:tc>
        <w:tc>
          <w:tcPr>
            <w:tcW w:w="1008" w:type="dxa"/>
          </w:tcPr>
          <w:p w14:paraId="0ED84A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1AA6EB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200/3000</w:t>
            </w:r>
          </w:p>
        </w:tc>
        <w:tc>
          <w:tcPr>
            <w:tcW w:w="1008" w:type="dxa"/>
          </w:tcPr>
          <w:p w14:paraId="10B7894D"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6C1AFA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4500-5000</w:t>
            </w:r>
          </w:p>
        </w:tc>
        <w:tc>
          <w:tcPr>
            <w:tcW w:w="1152" w:type="dxa"/>
          </w:tcPr>
          <w:p w14:paraId="620075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 пул.</w:t>
            </w:r>
          </w:p>
          <w:p w14:paraId="46AA4A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авт. пушка</w:t>
            </w:r>
          </w:p>
          <w:p w14:paraId="0DEBD9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3200-4000 кг бомб</w:t>
            </w:r>
          </w:p>
        </w:tc>
        <w:tc>
          <w:tcPr>
            <w:tcW w:w="1008" w:type="dxa"/>
          </w:tcPr>
          <w:p w14:paraId="2C084A42"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551580DF"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34FDBC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проработке задания ЦАГИ не приступал. Сроки рабочего плана не установлены. (Наблюдающий инженер Кудрявцев).</w:t>
            </w:r>
          </w:p>
        </w:tc>
      </w:tr>
    </w:tbl>
    <w:p w14:paraId="179A3E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E371BA" w:rsidRPr="00507A31" w14:paraId="3C46D3BC" w14:textId="77777777">
        <w:tc>
          <w:tcPr>
            <w:tcW w:w="1288" w:type="dxa"/>
          </w:tcPr>
          <w:p w14:paraId="136D6B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Р9-2М26</w:t>
            </w:r>
          </w:p>
        </w:tc>
        <w:tc>
          <w:tcPr>
            <w:tcW w:w="1008" w:type="dxa"/>
          </w:tcPr>
          <w:p w14:paraId="67D275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0FE473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200/3000</w:t>
            </w:r>
          </w:p>
        </w:tc>
        <w:tc>
          <w:tcPr>
            <w:tcW w:w="1008" w:type="dxa"/>
          </w:tcPr>
          <w:p w14:paraId="4A3DCF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12,8/3000</w:t>
            </w:r>
          </w:p>
        </w:tc>
        <w:tc>
          <w:tcPr>
            <w:tcW w:w="1008" w:type="dxa"/>
          </w:tcPr>
          <w:p w14:paraId="4046E45D"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7AB39561"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5676A3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150-200</w:t>
            </w:r>
          </w:p>
        </w:tc>
        <w:tc>
          <w:tcPr>
            <w:tcW w:w="1440" w:type="dxa"/>
          </w:tcPr>
          <w:p w14:paraId="2058EF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марта 1932</w:t>
            </w:r>
          </w:p>
        </w:tc>
        <w:tc>
          <w:tcPr>
            <w:tcW w:w="2387" w:type="dxa"/>
          </w:tcPr>
          <w:p w14:paraId="0EE9D9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войсковой, вырабатываются техтребования. (Наблюдающий инженер Полехин).</w:t>
            </w:r>
          </w:p>
        </w:tc>
      </w:tr>
      <w:tr w:rsidR="00E371BA" w:rsidRPr="00507A31" w14:paraId="2C66BEFD" w14:textId="77777777">
        <w:tc>
          <w:tcPr>
            <w:tcW w:w="1288" w:type="dxa"/>
          </w:tcPr>
          <w:p w14:paraId="0435A2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ТШ2-М17</w:t>
            </w:r>
          </w:p>
        </w:tc>
        <w:tc>
          <w:tcPr>
            <w:tcW w:w="1008" w:type="dxa"/>
          </w:tcPr>
          <w:p w14:paraId="18A4DB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07942D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200/0</w:t>
            </w:r>
          </w:p>
        </w:tc>
        <w:tc>
          <w:tcPr>
            <w:tcW w:w="1008" w:type="dxa"/>
          </w:tcPr>
          <w:p w14:paraId="5AB528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11,6/3000</w:t>
            </w:r>
          </w:p>
        </w:tc>
        <w:tc>
          <w:tcPr>
            <w:tcW w:w="1008" w:type="dxa"/>
          </w:tcPr>
          <w:p w14:paraId="72D76F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5860</w:t>
            </w:r>
          </w:p>
        </w:tc>
        <w:tc>
          <w:tcPr>
            <w:tcW w:w="1152" w:type="dxa"/>
          </w:tcPr>
          <w:p w14:paraId="4DDD92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пул.</w:t>
            </w:r>
          </w:p>
        </w:tc>
        <w:tc>
          <w:tcPr>
            <w:tcW w:w="1008" w:type="dxa"/>
          </w:tcPr>
          <w:p w14:paraId="48550AA7"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018676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2387" w:type="dxa"/>
          </w:tcPr>
          <w:p w14:paraId="1E6F3C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Переданы в НИИ на гос. испытания, которые по директиве НВВС должны быть закончены к 15 ноября 1930 года. Имеются затруднения со стрельбой пулеметов с крыльев и с гликолевым охлаждением, последнее требует изучения в эксплоатации. Во втором экземпляре самолет осуществляется с металлическим нижним крылом. К 1 апреля 1931 года ЦКБ должен выпустить третий экземпляр под мотор М27. (Наблюдающий инженер Полехин).</w:t>
            </w:r>
          </w:p>
        </w:tc>
      </w:tr>
      <w:tr w:rsidR="00E371BA" w:rsidRPr="00507A31" w14:paraId="32F89A66" w14:textId="77777777">
        <w:tc>
          <w:tcPr>
            <w:tcW w:w="1288" w:type="dxa"/>
          </w:tcPr>
          <w:p w14:paraId="7CB9B2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МДР-2М17</w:t>
            </w:r>
          </w:p>
        </w:tc>
        <w:tc>
          <w:tcPr>
            <w:tcW w:w="1008" w:type="dxa"/>
          </w:tcPr>
          <w:p w14:paraId="7AF595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3A659E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185/3000</w:t>
            </w:r>
          </w:p>
        </w:tc>
        <w:tc>
          <w:tcPr>
            <w:tcW w:w="1008" w:type="dxa"/>
          </w:tcPr>
          <w:p w14:paraId="676D14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36/3000</w:t>
            </w:r>
          </w:p>
        </w:tc>
        <w:tc>
          <w:tcPr>
            <w:tcW w:w="1008" w:type="dxa"/>
          </w:tcPr>
          <w:p w14:paraId="5EBBC3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4250</w:t>
            </w:r>
          </w:p>
        </w:tc>
        <w:tc>
          <w:tcPr>
            <w:tcW w:w="1152" w:type="dxa"/>
          </w:tcPr>
          <w:p w14:paraId="64501B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w:t>
            </w:r>
          </w:p>
        </w:tc>
        <w:tc>
          <w:tcPr>
            <w:tcW w:w="1008" w:type="dxa"/>
          </w:tcPr>
          <w:p w14:paraId="7042674E"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3E8202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2387" w:type="dxa"/>
          </w:tcPr>
          <w:p w14:paraId="1CACF9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будет предъявлен на гос. испытания с опозданием примерно на 1 месяц, причина задержки: неувязки в планировке работ АГОСа. (Наблюдающий инженер Кудрявцев).</w:t>
            </w:r>
          </w:p>
        </w:tc>
      </w:tr>
      <w:tr w:rsidR="00E371BA" w:rsidRPr="00507A31" w14:paraId="59E4CD2F" w14:textId="77777777">
        <w:tc>
          <w:tcPr>
            <w:tcW w:w="1288" w:type="dxa"/>
          </w:tcPr>
          <w:p w14:paraId="0647FB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МДР1-2М17</w:t>
            </w:r>
          </w:p>
        </w:tc>
        <w:tc>
          <w:tcPr>
            <w:tcW w:w="1008" w:type="dxa"/>
          </w:tcPr>
          <w:p w14:paraId="129652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2BD6DE32"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6D16E8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32/3000</w:t>
            </w:r>
          </w:p>
        </w:tc>
        <w:tc>
          <w:tcPr>
            <w:tcW w:w="1008" w:type="dxa"/>
          </w:tcPr>
          <w:p w14:paraId="22DC83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4500</w:t>
            </w:r>
          </w:p>
        </w:tc>
        <w:tc>
          <w:tcPr>
            <w:tcW w:w="1152" w:type="dxa"/>
          </w:tcPr>
          <w:p w14:paraId="00AA2E56"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1BC04E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w:t>
            </w:r>
          </w:p>
        </w:tc>
        <w:tc>
          <w:tcPr>
            <w:tcW w:w="1440" w:type="dxa"/>
          </w:tcPr>
          <w:p w14:paraId="3B9F5C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июня 1931</w:t>
            </w:r>
          </w:p>
        </w:tc>
        <w:tc>
          <w:tcPr>
            <w:tcW w:w="2387" w:type="dxa"/>
          </w:tcPr>
          <w:p w14:paraId="6BB6AB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над самолетом ведется слабым темпом, работа многократно прерывалась (имеются детали, начатые изготовлением еще в июне), к работе приступают каждый раз новые рабочие, качество низкое. Эскизный проект ожидается к 15 декабря 1931 года. Выпуск самолета в срок находится под сомнением ввиду загрузки ЦКБ первоочередными заданиями. (Наблюдающий инженер Кудрявцев).</w:t>
            </w:r>
          </w:p>
        </w:tc>
      </w:tr>
      <w:tr w:rsidR="00E371BA" w:rsidRPr="00507A31" w14:paraId="5DE5DB73" w14:textId="77777777">
        <w:tc>
          <w:tcPr>
            <w:tcW w:w="1288" w:type="dxa"/>
          </w:tcPr>
          <w:p w14:paraId="39A06C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И12</w:t>
            </w:r>
          </w:p>
        </w:tc>
        <w:tc>
          <w:tcPr>
            <w:tcW w:w="1008" w:type="dxa"/>
          </w:tcPr>
          <w:p w14:paraId="5A7E91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44ACC5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Требован.</w:t>
            </w:r>
          </w:p>
        </w:tc>
        <w:tc>
          <w:tcPr>
            <w:tcW w:w="1008" w:type="dxa"/>
          </w:tcPr>
          <w:p w14:paraId="332A89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 </w:t>
            </w:r>
          </w:p>
        </w:tc>
        <w:tc>
          <w:tcPr>
            <w:tcW w:w="1008" w:type="dxa"/>
          </w:tcPr>
          <w:p w14:paraId="01F262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установл. </w:t>
            </w:r>
          </w:p>
        </w:tc>
        <w:tc>
          <w:tcPr>
            <w:tcW w:w="1152" w:type="dxa"/>
          </w:tcPr>
          <w:p w14:paraId="4ABB03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Пушки ДРП</w:t>
            </w:r>
          </w:p>
        </w:tc>
        <w:tc>
          <w:tcPr>
            <w:tcW w:w="1008" w:type="dxa"/>
          </w:tcPr>
          <w:p w14:paraId="039272FF"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245247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1931</w:t>
            </w:r>
          </w:p>
        </w:tc>
        <w:tc>
          <w:tcPr>
            <w:tcW w:w="2387" w:type="dxa"/>
          </w:tcPr>
          <w:p w14:paraId="038344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Предъявлены 26 октября 1930 года в УВВС предварительные соображения о выборе схемы и мотора в вариантах: двух- и одноместного самолета. Предъявленным ориентировочн. Техтребованиям удовлетворяет только с мотором М29, реальность которого под сомнением. ЦАГИ дано задание проработать вариант под 2 мотора ЮVI тандем. (Наблюдающий инженер Межак).</w:t>
            </w:r>
          </w:p>
        </w:tc>
      </w:tr>
      <w:tr w:rsidR="00E371BA" w:rsidRPr="00507A31" w14:paraId="370AA442" w14:textId="77777777">
        <w:tc>
          <w:tcPr>
            <w:tcW w:w="1288" w:type="dxa"/>
          </w:tcPr>
          <w:p w14:paraId="5620A5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И11-М41 (электрон)</w:t>
            </w:r>
          </w:p>
        </w:tc>
        <w:tc>
          <w:tcPr>
            <w:tcW w:w="1008" w:type="dxa"/>
          </w:tcPr>
          <w:p w14:paraId="3D71F1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575A2B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Требован.</w:t>
            </w:r>
          </w:p>
        </w:tc>
        <w:tc>
          <w:tcPr>
            <w:tcW w:w="1008" w:type="dxa"/>
          </w:tcPr>
          <w:p w14:paraId="3954B4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 </w:t>
            </w:r>
          </w:p>
        </w:tc>
        <w:tc>
          <w:tcPr>
            <w:tcW w:w="1008" w:type="dxa"/>
          </w:tcPr>
          <w:p w14:paraId="019DD8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установл. </w:t>
            </w:r>
          </w:p>
        </w:tc>
        <w:tc>
          <w:tcPr>
            <w:tcW w:w="1152" w:type="dxa"/>
          </w:tcPr>
          <w:p w14:paraId="1F74BD70"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5C943D11"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3DF7902D"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5D62EC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из электрона. Работы не ведутся. Техтребования и срок выполнения не установлены. (Наблюдающий инженер Межак).</w:t>
            </w:r>
          </w:p>
        </w:tc>
      </w:tr>
    </w:tbl>
    <w:p w14:paraId="2E4C36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Модернизация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E371BA" w:rsidRPr="00507A31" w14:paraId="10163F28" w14:textId="77777777">
        <w:tc>
          <w:tcPr>
            <w:tcW w:w="1288" w:type="dxa"/>
          </w:tcPr>
          <w:p w14:paraId="3CDDDF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Армейский разведчик Р5-М17</w:t>
            </w:r>
          </w:p>
        </w:tc>
        <w:tc>
          <w:tcPr>
            <w:tcW w:w="1008" w:type="dxa"/>
          </w:tcPr>
          <w:p w14:paraId="26CBC4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723C03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Установка</w:t>
            </w:r>
          </w:p>
        </w:tc>
        <w:tc>
          <w:tcPr>
            <w:tcW w:w="1008" w:type="dxa"/>
          </w:tcPr>
          <w:p w14:paraId="035E7D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мотора </w:t>
            </w:r>
          </w:p>
        </w:tc>
        <w:tc>
          <w:tcPr>
            <w:tcW w:w="1008" w:type="dxa"/>
          </w:tcPr>
          <w:p w14:paraId="5AF2D6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М19</w:t>
            </w:r>
          </w:p>
        </w:tc>
        <w:tc>
          <w:tcPr>
            <w:tcW w:w="1152" w:type="dxa"/>
          </w:tcPr>
          <w:p w14:paraId="31189DA4"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18645D18"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5D5424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w:t>
            </w:r>
          </w:p>
        </w:tc>
        <w:tc>
          <w:tcPr>
            <w:tcW w:w="2387" w:type="dxa"/>
          </w:tcPr>
          <w:p w14:paraId="7FFFB6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Установка мотора М19: произведен аэродинамический расчет, можно ожидать ухудшение летных данных самолета. Мотор будет установлен после окончания его гос. испытаний.</w:t>
            </w:r>
          </w:p>
        </w:tc>
      </w:tr>
      <w:tr w:rsidR="00E371BA" w:rsidRPr="00507A31" w14:paraId="149D6284" w14:textId="77777777">
        <w:tc>
          <w:tcPr>
            <w:tcW w:w="1288" w:type="dxa"/>
          </w:tcPr>
          <w:p w14:paraId="4081AE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Армейский разведчик Р5-М17</w:t>
            </w:r>
          </w:p>
        </w:tc>
        <w:tc>
          <w:tcPr>
            <w:tcW w:w="1008" w:type="dxa"/>
          </w:tcPr>
          <w:p w14:paraId="4A0F93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5297A8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Установка</w:t>
            </w:r>
          </w:p>
        </w:tc>
        <w:tc>
          <w:tcPr>
            <w:tcW w:w="1008" w:type="dxa"/>
          </w:tcPr>
          <w:p w14:paraId="1F1F39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мотора </w:t>
            </w:r>
          </w:p>
        </w:tc>
        <w:tc>
          <w:tcPr>
            <w:tcW w:w="1008" w:type="dxa"/>
          </w:tcPr>
          <w:p w14:paraId="0BF0CC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М34</w:t>
            </w:r>
          </w:p>
        </w:tc>
        <w:tc>
          <w:tcPr>
            <w:tcW w:w="1152" w:type="dxa"/>
          </w:tcPr>
          <w:p w14:paraId="2FED3C0C"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3B2569F5"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255EAE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 кв. 1932</w:t>
            </w:r>
          </w:p>
        </w:tc>
        <w:tc>
          <w:tcPr>
            <w:tcW w:w="2387" w:type="dxa"/>
          </w:tcPr>
          <w:p w14:paraId="3C565D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установке М34 работы пока не ведутся из-за отсутствия мотора.</w:t>
            </w:r>
          </w:p>
          <w:p w14:paraId="585ED8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Постройка разрезных крыльев. По плану ЦКБ к 1 августа 1931 года – к работе ЦКБ предполагается приступить в апреле 1931 года. ЦАГИ исследования вообще разрезных крыльев произвел.</w:t>
            </w:r>
          </w:p>
          <w:p w14:paraId="499C84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Установка тормозных колес. К 20 ноября 1930 года ЦКБ </w:t>
            </w:r>
            <w:r w:rsidRPr="00507A31">
              <w:rPr>
                <w:color w:val="000000" w:themeColor="text1"/>
                <w:sz w:val="16"/>
                <w:szCs w:val="16"/>
              </w:rPr>
              <w:lastRenderedPageBreak/>
              <w:t>должно дать сроки установки тормозных колес.</w:t>
            </w:r>
          </w:p>
        </w:tc>
      </w:tr>
      <w:tr w:rsidR="00E371BA" w:rsidRPr="00507A31" w14:paraId="2A28418A" w14:textId="77777777">
        <w:tc>
          <w:tcPr>
            <w:tcW w:w="1288" w:type="dxa"/>
          </w:tcPr>
          <w:p w14:paraId="74D90E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Одноместиый истребитель И5-ЮVI</w:t>
            </w:r>
          </w:p>
        </w:tc>
        <w:tc>
          <w:tcPr>
            <w:tcW w:w="1008" w:type="dxa"/>
          </w:tcPr>
          <w:p w14:paraId="4603FB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21C2E0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Установка</w:t>
            </w:r>
          </w:p>
          <w:p w14:paraId="4C3A43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268/0</w:t>
            </w:r>
          </w:p>
          <w:p w14:paraId="722A1F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252/5000</w:t>
            </w:r>
          </w:p>
        </w:tc>
        <w:tc>
          <w:tcPr>
            <w:tcW w:w="1008" w:type="dxa"/>
          </w:tcPr>
          <w:p w14:paraId="55151D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мотора</w:t>
            </w:r>
          </w:p>
          <w:p w14:paraId="260F1F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8,6/5000</w:t>
            </w:r>
          </w:p>
        </w:tc>
        <w:tc>
          <w:tcPr>
            <w:tcW w:w="1008" w:type="dxa"/>
          </w:tcPr>
          <w:p w14:paraId="2D478E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8200</w:t>
            </w:r>
          </w:p>
        </w:tc>
        <w:tc>
          <w:tcPr>
            <w:tcW w:w="1152" w:type="dxa"/>
          </w:tcPr>
          <w:p w14:paraId="2D3762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пул.</w:t>
            </w:r>
          </w:p>
        </w:tc>
        <w:tc>
          <w:tcPr>
            <w:tcW w:w="1008" w:type="dxa"/>
          </w:tcPr>
          <w:p w14:paraId="40C3C7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w:t>
            </w:r>
          </w:p>
        </w:tc>
        <w:tc>
          <w:tcPr>
            <w:tcW w:w="1440" w:type="dxa"/>
          </w:tcPr>
          <w:p w14:paraId="31CCE9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 кв. 1932</w:t>
            </w:r>
          </w:p>
        </w:tc>
        <w:tc>
          <w:tcPr>
            <w:tcW w:w="2387" w:type="dxa"/>
          </w:tcPr>
          <w:p w14:paraId="1D3850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 и оборудование еще полностью не испытаны, но в части вооружения будет испытано в ближайшее время.</w:t>
            </w:r>
          </w:p>
          <w:p w14:paraId="147E62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Способы устранения плоского штопора по указанию инженера Пышнова (ВВА) определены: уточнение консолей крыла. Срок предъявления переделанной машины – 15 декабря 1930 года. В ЦАГИ работы по штопору И5 двигаются недостаточно быстро.</w:t>
            </w:r>
          </w:p>
          <w:p w14:paraId="4F9DCA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с мотором 2М15 передается в НИИ в ближайший летный день.</w:t>
            </w:r>
          </w:p>
          <w:p w14:paraId="736381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Установку ЮVII предполагает ВАО закончить к 1 декабря 1930 года.</w:t>
            </w:r>
          </w:p>
          <w:p w14:paraId="4B7031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постройке серии наблюдается плохая организация кооперативн. Производства, выявляются дефекты производственного характера, сроки не выполняются. (Наблюдающий инженер Гребенев).</w:t>
            </w:r>
          </w:p>
        </w:tc>
      </w:tr>
    </w:tbl>
    <w:p w14:paraId="656701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Вне плана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E371BA" w:rsidRPr="00507A31" w14:paraId="28BC17BB" w14:textId="77777777">
        <w:tc>
          <w:tcPr>
            <w:tcW w:w="1288" w:type="dxa"/>
          </w:tcPr>
          <w:p w14:paraId="3BB293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ТБ2-2БМВVI</w:t>
            </w:r>
          </w:p>
        </w:tc>
        <w:tc>
          <w:tcPr>
            <w:tcW w:w="1008" w:type="dxa"/>
          </w:tcPr>
          <w:p w14:paraId="4CC9C3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734E4C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170-184/0</w:t>
            </w:r>
          </w:p>
        </w:tc>
        <w:tc>
          <w:tcPr>
            <w:tcW w:w="1008" w:type="dxa"/>
          </w:tcPr>
          <w:p w14:paraId="1DDBBF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21,7/3000 при полной нагрузке 1200 кг</w:t>
            </w:r>
          </w:p>
        </w:tc>
        <w:tc>
          <w:tcPr>
            <w:tcW w:w="1008" w:type="dxa"/>
          </w:tcPr>
          <w:p w14:paraId="124C6CEE"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18FBAB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w:t>
            </w:r>
          </w:p>
          <w:p w14:paraId="09E55F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800 кг бомб</w:t>
            </w:r>
          </w:p>
        </w:tc>
        <w:tc>
          <w:tcPr>
            <w:tcW w:w="1008" w:type="dxa"/>
          </w:tcPr>
          <w:p w14:paraId="3FA027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техтр. 5-6 часов</w:t>
            </w:r>
          </w:p>
        </w:tc>
        <w:tc>
          <w:tcPr>
            <w:tcW w:w="1440" w:type="dxa"/>
          </w:tcPr>
          <w:p w14:paraId="7E071C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2387" w:type="dxa"/>
          </w:tcPr>
          <w:p w14:paraId="71CEE1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Вышла из постройки в мае 1930 года., начата проектирование с июля 1927 года по устаревшим к настоящему времени техтребованиям. Самолет перетяжелен, примерно на 950 кг. Причина задержки предъявления на гос. испытания: ряд серьезных дефектов, потребовавших переделок и слабый темп работы ВАО, отчасти объясняется тем, что первые полеты показали непригодность самолет адля вооружения. Ведутся совместные завода № 39 и НИИ испытания по сокращенной программе, на основании которых решено с самолета моторы снять и использовать его по усмотрению ВАО. (Наблюдающий инженер Полехин).</w:t>
            </w:r>
          </w:p>
        </w:tc>
      </w:tr>
      <w:tr w:rsidR="00E371BA" w:rsidRPr="00507A31" w14:paraId="502DBF82" w14:textId="77777777">
        <w:tc>
          <w:tcPr>
            <w:tcW w:w="1288" w:type="dxa"/>
          </w:tcPr>
          <w:p w14:paraId="52E734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ТБ3-4КК</w:t>
            </w:r>
          </w:p>
        </w:tc>
        <w:tc>
          <w:tcPr>
            <w:tcW w:w="1008" w:type="dxa"/>
          </w:tcPr>
          <w:p w14:paraId="0AC99A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734B79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Данные будут</w:t>
            </w:r>
          </w:p>
        </w:tc>
        <w:tc>
          <w:tcPr>
            <w:tcW w:w="1008" w:type="dxa"/>
          </w:tcPr>
          <w:p w14:paraId="31927F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сообщены по </w:t>
            </w:r>
          </w:p>
        </w:tc>
        <w:tc>
          <w:tcPr>
            <w:tcW w:w="1008" w:type="dxa"/>
          </w:tcPr>
          <w:p w14:paraId="5C36EB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окончании испытаний</w:t>
            </w:r>
          </w:p>
        </w:tc>
        <w:tc>
          <w:tcPr>
            <w:tcW w:w="1152" w:type="dxa"/>
          </w:tcPr>
          <w:p w14:paraId="4203C6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6-11 пул.</w:t>
            </w:r>
          </w:p>
          <w:p w14:paraId="25E497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2000-4000 кг бомб</w:t>
            </w:r>
          </w:p>
        </w:tc>
        <w:tc>
          <w:tcPr>
            <w:tcW w:w="1008" w:type="dxa"/>
          </w:tcPr>
          <w:p w14:paraId="4DA7A8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1500</w:t>
            </w:r>
          </w:p>
        </w:tc>
        <w:tc>
          <w:tcPr>
            <w:tcW w:w="1440" w:type="dxa"/>
          </w:tcPr>
          <w:p w14:paraId="33F4CC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октября 1930</w:t>
            </w:r>
          </w:p>
        </w:tc>
        <w:tc>
          <w:tcPr>
            <w:tcW w:w="2387" w:type="dxa"/>
          </w:tcPr>
          <w:p w14:paraId="515F4D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выпущен с завода ЦАГИ пока без вооружения и оборудования с опозданием более чем на 1 месяц, что объясняется организационными неполадками. Первые пробные полеты по отзыву летчика ЦАГИ, дали хорошие впечатления об управляемости самолета. Решено дать задание ЦАГИ на производство моторных установок под БМВVI Е – 7,3, без редуктора с установкой последних на самолет после окончания его испытаний с Кертиссами. (Наблюдающий инженер Межак).</w:t>
            </w:r>
          </w:p>
        </w:tc>
      </w:tr>
      <w:tr w:rsidR="00E371BA" w:rsidRPr="00507A31" w14:paraId="55721DDB" w14:textId="77777777">
        <w:tc>
          <w:tcPr>
            <w:tcW w:w="1288" w:type="dxa"/>
          </w:tcPr>
          <w:p w14:paraId="0618B0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Р6 (М1)-2БМВVI 7,3</w:t>
            </w:r>
          </w:p>
        </w:tc>
        <w:tc>
          <w:tcPr>
            <w:tcW w:w="1008" w:type="dxa"/>
          </w:tcPr>
          <w:p w14:paraId="7C26A3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71625C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244/3000</w:t>
            </w:r>
          </w:p>
        </w:tc>
        <w:tc>
          <w:tcPr>
            <w:tcW w:w="1008" w:type="dxa"/>
          </w:tcPr>
          <w:p w14:paraId="659396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8,09/3000</w:t>
            </w:r>
          </w:p>
          <w:p w14:paraId="69FD26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18,7/5000</w:t>
            </w:r>
          </w:p>
        </w:tc>
        <w:tc>
          <w:tcPr>
            <w:tcW w:w="1008" w:type="dxa"/>
          </w:tcPr>
          <w:p w14:paraId="2FCA95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6500</w:t>
            </w:r>
          </w:p>
        </w:tc>
        <w:tc>
          <w:tcPr>
            <w:tcW w:w="1152" w:type="dxa"/>
          </w:tcPr>
          <w:p w14:paraId="09D28B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пул.</w:t>
            </w:r>
          </w:p>
          <w:p w14:paraId="6D453D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 кг бомб</w:t>
            </w:r>
          </w:p>
        </w:tc>
        <w:tc>
          <w:tcPr>
            <w:tcW w:w="1008" w:type="dxa"/>
          </w:tcPr>
          <w:p w14:paraId="14672FEF"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55A69966"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7357B3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Гос. испытания опытного экземпляра закончены: самолет представляется для постройки опытной серии. Вопрос усиления вооружения в стадии проработки.</w:t>
            </w:r>
          </w:p>
          <w:p w14:paraId="067BC6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Причины опоздания предъявления на гос. испытания: загрузка ЦАГИ сверх программы: подготовка </w:t>
            </w:r>
            <w:r w:rsidRPr="00507A31">
              <w:rPr>
                <w:color w:val="000000" w:themeColor="text1"/>
                <w:sz w:val="16"/>
                <w:szCs w:val="16"/>
              </w:rPr>
              <w:lastRenderedPageBreak/>
              <w:t>«Страны Советов» двух самолетов и «Крылья Советов», а в дальнейшем необходимые переделки в результате заводских испытаний. (Наблюдающий инженер Межак).</w:t>
            </w:r>
          </w:p>
        </w:tc>
      </w:tr>
      <w:tr w:rsidR="00E371BA" w:rsidRPr="00507A31" w14:paraId="53E94465" w14:textId="77777777">
        <w:tc>
          <w:tcPr>
            <w:tcW w:w="1288" w:type="dxa"/>
          </w:tcPr>
          <w:p w14:paraId="15F03D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Р7-М17</w:t>
            </w:r>
          </w:p>
        </w:tc>
        <w:tc>
          <w:tcPr>
            <w:tcW w:w="1008" w:type="dxa"/>
          </w:tcPr>
          <w:p w14:paraId="3C7E4E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5498B3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228/3000</w:t>
            </w:r>
          </w:p>
          <w:p w14:paraId="01231A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204/5000</w:t>
            </w:r>
          </w:p>
        </w:tc>
        <w:tc>
          <w:tcPr>
            <w:tcW w:w="1008" w:type="dxa"/>
          </w:tcPr>
          <w:p w14:paraId="3ACD49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11/3000</w:t>
            </w:r>
          </w:p>
          <w:p w14:paraId="707A0A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24,5/5000</w:t>
            </w:r>
          </w:p>
        </w:tc>
        <w:tc>
          <w:tcPr>
            <w:tcW w:w="1008" w:type="dxa"/>
          </w:tcPr>
          <w:p w14:paraId="14FAE4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Практич. 6500</w:t>
            </w:r>
          </w:p>
        </w:tc>
        <w:tc>
          <w:tcPr>
            <w:tcW w:w="1152" w:type="dxa"/>
          </w:tcPr>
          <w:p w14:paraId="782F2F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w:t>
            </w:r>
          </w:p>
          <w:p w14:paraId="453C26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 кг за счет перегрузки</w:t>
            </w:r>
          </w:p>
        </w:tc>
        <w:tc>
          <w:tcPr>
            <w:tcW w:w="1008" w:type="dxa"/>
          </w:tcPr>
          <w:p w14:paraId="2F9BAA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660-1170</w:t>
            </w:r>
          </w:p>
        </w:tc>
        <w:tc>
          <w:tcPr>
            <w:tcW w:w="1440" w:type="dxa"/>
          </w:tcPr>
          <w:p w14:paraId="01FAD7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2387" w:type="dxa"/>
          </w:tcPr>
          <w:p w14:paraId="0F3734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Поступил в НИИ 2 октября 1930 года. Опоздание из-за недостаточно интенсивных работ по переделкам рулей. Заканчиваются испытания. На основании предварительных результатов испытаний решено машину в серии не строить. (Наблюдающий инженер Межак).</w:t>
            </w:r>
          </w:p>
        </w:tc>
      </w:tr>
      <w:tr w:rsidR="00E371BA" w:rsidRPr="00507A31" w14:paraId="051D44A5" w14:textId="77777777">
        <w:tc>
          <w:tcPr>
            <w:tcW w:w="1288" w:type="dxa"/>
          </w:tcPr>
          <w:p w14:paraId="36F1C8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И6-ЮVI</w:t>
            </w:r>
          </w:p>
        </w:tc>
        <w:tc>
          <w:tcPr>
            <w:tcW w:w="1008" w:type="dxa"/>
          </w:tcPr>
          <w:p w14:paraId="74AE99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693C2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261/0</w:t>
            </w:r>
          </w:p>
        </w:tc>
        <w:tc>
          <w:tcPr>
            <w:tcW w:w="1008" w:type="dxa"/>
          </w:tcPr>
          <w:p w14:paraId="44311F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14/5000</w:t>
            </w:r>
          </w:p>
        </w:tc>
        <w:tc>
          <w:tcPr>
            <w:tcW w:w="1008" w:type="dxa"/>
          </w:tcPr>
          <w:p w14:paraId="2B9BE1EB"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1636AD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пул.</w:t>
            </w:r>
          </w:p>
        </w:tc>
        <w:tc>
          <w:tcPr>
            <w:tcW w:w="1008" w:type="dxa"/>
          </w:tcPr>
          <w:p w14:paraId="4AB237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Дальность 2 часа</w:t>
            </w:r>
          </w:p>
        </w:tc>
        <w:tc>
          <w:tcPr>
            <w:tcW w:w="1440" w:type="dxa"/>
          </w:tcPr>
          <w:p w14:paraId="3204CE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августа 1930</w:t>
            </w:r>
          </w:p>
        </w:tc>
        <w:tc>
          <w:tcPr>
            <w:tcW w:w="2387" w:type="dxa"/>
          </w:tcPr>
          <w:p w14:paraId="7D7B7A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Причина задержки предъявления на гос. испытания: обнаружение серьезных дефектов и слабый темп работ в связи с тем, что самолет показал себя значительно уступающим И5-ЮVI в отношении скороподъемности при равных, приблизительно, скоростях. Машина заканчивает испытания в НИИ. В серии ее решено не строить. (Наблюдающий инженер Полехин).</w:t>
            </w:r>
          </w:p>
        </w:tc>
      </w:tr>
      <w:tr w:rsidR="00E371BA" w:rsidRPr="00507A31" w14:paraId="4A24581E" w14:textId="77777777">
        <w:tc>
          <w:tcPr>
            <w:tcW w:w="1288" w:type="dxa"/>
          </w:tcPr>
          <w:p w14:paraId="4EDF17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И8-КК</w:t>
            </w:r>
          </w:p>
        </w:tc>
        <w:tc>
          <w:tcPr>
            <w:tcW w:w="1008" w:type="dxa"/>
          </w:tcPr>
          <w:p w14:paraId="5F9C28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04C503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Летные данные</w:t>
            </w:r>
          </w:p>
        </w:tc>
        <w:tc>
          <w:tcPr>
            <w:tcW w:w="1008" w:type="dxa"/>
          </w:tcPr>
          <w:p w14:paraId="1514C0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будут сообщены </w:t>
            </w:r>
          </w:p>
        </w:tc>
        <w:tc>
          <w:tcPr>
            <w:tcW w:w="1008" w:type="dxa"/>
          </w:tcPr>
          <w:p w14:paraId="582346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оконч. испытаний</w:t>
            </w:r>
          </w:p>
        </w:tc>
        <w:tc>
          <w:tcPr>
            <w:tcW w:w="1152" w:type="dxa"/>
          </w:tcPr>
          <w:p w14:paraId="5C447F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пул.</w:t>
            </w:r>
          </w:p>
        </w:tc>
        <w:tc>
          <w:tcPr>
            <w:tcW w:w="1008" w:type="dxa"/>
          </w:tcPr>
          <w:p w14:paraId="4AD1A7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Дальность 1,5-2 часа</w:t>
            </w:r>
          </w:p>
        </w:tc>
        <w:tc>
          <w:tcPr>
            <w:tcW w:w="1440" w:type="dxa"/>
          </w:tcPr>
          <w:p w14:paraId="681820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сентября 1930</w:t>
            </w:r>
          </w:p>
        </w:tc>
        <w:tc>
          <w:tcPr>
            <w:tcW w:w="2387" w:type="dxa"/>
          </w:tcPr>
          <w:p w14:paraId="00975F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со стальными полками лонжеронов и фюзеляжем вышел на заводские испытания, необходимы переделки хвостового оперения. Техтребованиям не удовлетворяет, отчасти по причине установки радиатора, вместо гликолевого охлаждения. Опоздание предъявления приблизительно на 1 месяц. (Наблюдающий инженер Межак).</w:t>
            </w:r>
          </w:p>
        </w:tc>
      </w:tr>
      <w:tr w:rsidR="00E371BA" w:rsidRPr="00507A31" w14:paraId="66ACB6EA" w14:textId="77777777">
        <w:tc>
          <w:tcPr>
            <w:tcW w:w="1288" w:type="dxa"/>
          </w:tcPr>
          <w:p w14:paraId="6F555D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И7-БМВVI 7,3 (НД-37с)</w:t>
            </w:r>
          </w:p>
        </w:tc>
        <w:tc>
          <w:tcPr>
            <w:tcW w:w="1008" w:type="dxa"/>
          </w:tcPr>
          <w:p w14:paraId="39012909"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7C9013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280/3000</w:t>
            </w:r>
          </w:p>
        </w:tc>
        <w:tc>
          <w:tcPr>
            <w:tcW w:w="1008" w:type="dxa"/>
          </w:tcPr>
          <w:p w14:paraId="3E41C4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10,8/5000</w:t>
            </w:r>
          </w:p>
        </w:tc>
        <w:tc>
          <w:tcPr>
            <w:tcW w:w="1008" w:type="dxa"/>
          </w:tcPr>
          <w:p w14:paraId="7C0DAE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8000</w:t>
            </w:r>
          </w:p>
        </w:tc>
        <w:tc>
          <w:tcPr>
            <w:tcW w:w="1152" w:type="dxa"/>
          </w:tcPr>
          <w:p w14:paraId="33D946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пул.</w:t>
            </w:r>
          </w:p>
        </w:tc>
        <w:tc>
          <w:tcPr>
            <w:tcW w:w="1008" w:type="dxa"/>
          </w:tcPr>
          <w:p w14:paraId="31823DE0"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6C8C7D0F"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64A69B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Полученные по лицензии чертежи детализируются, производится планировка рабочих процессов. Сроки начала постройки у ВАО не установлены. (Наблюдающий инженер Гребенев).</w:t>
            </w:r>
          </w:p>
        </w:tc>
      </w:tr>
      <w:tr w:rsidR="00E371BA" w:rsidRPr="00507A31" w14:paraId="1EA9FF46" w14:textId="77777777">
        <w:tc>
          <w:tcPr>
            <w:tcW w:w="1288" w:type="dxa"/>
          </w:tcPr>
          <w:p w14:paraId="0AF229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ХБ-1</w:t>
            </w:r>
          </w:p>
        </w:tc>
        <w:tc>
          <w:tcPr>
            <w:tcW w:w="1008" w:type="dxa"/>
          </w:tcPr>
          <w:p w14:paraId="073DE57A"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6C991E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Требован. </w:t>
            </w:r>
          </w:p>
        </w:tc>
        <w:tc>
          <w:tcPr>
            <w:tcW w:w="1008" w:type="dxa"/>
          </w:tcPr>
          <w:p w14:paraId="492219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 </w:t>
            </w:r>
          </w:p>
        </w:tc>
        <w:tc>
          <w:tcPr>
            <w:tcW w:w="1008" w:type="dxa"/>
          </w:tcPr>
          <w:p w14:paraId="3C2FD8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установл. </w:t>
            </w:r>
          </w:p>
        </w:tc>
        <w:tc>
          <w:tcPr>
            <w:tcW w:w="1152" w:type="dxa"/>
          </w:tcPr>
          <w:p w14:paraId="1297A383"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5E68A371"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6F53117F"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60D321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Совместно с ВОХИМУ поставлено перед ВАО задание по приспособлению ТБ1. Сроки выполнения пока не установлены.</w:t>
            </w:r>
          </w:p>
        </w:tc>
      </w:tr>
      <w:tr w:rsidR="00E371BA" w:rsidRPr="00507A31" w14:paraId="38B35031" w14:textId="77777777">
        <w:tc>
          <w:tcPr>
            <w:tcW w:w="1288" w:type="dxa"/>
          </w:tcPr>
          <w:p w14:paraId="7AB2DA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С-1</w:t>
            </w:r>
          </w:p>
        </w:tc>
        <w:tc>
          <w:tcPr>
            <w:tcW w:w="1008" w:type="dxa"/>
          </w:tcPr>
          <w:p w14:paraId="3A781172"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2B4206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Требован. </w:t>
            </w:r>
          </w:p>
        </w:tc>
        <w:tc>
          <w:tcPr>
            <w:tcW w:w="1008" w:type="dxa"/>
          </w:tcPr>
          <w:p w14:paraId="1EFB61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 </w:t>
            </w:r>
          </w:p>
        </w:tc>
        <w:tc>
          <w:tcPr>
            <w:tcW w:w="1008" w:type="dxa"/>
          </w:tcPr>
          <w:p w14:paraId="2CC6F0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установл. </w:t>
            </w:r>
          </w:p>
        </w:tc>
        <w:tc>
          <w:tcPr>
            <w:tcW w:w="1152" w:type="dxa"/>
          </w:tcPr>
          <w:p w14:paraId="671215A9"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3BD5DF05"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16D98881"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32566D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Задание на приспособление одного из самолетов гражданской авиации на самолет связи не выдано из-за отсутствия тактических и технических требований, к проработке которых намечено приступить в ноябре 1930 года.</w:t>
            </w:r>
          </w:p>
        </w:tc>
      </w:tr>
      <w:tr w:rsidR="00E371BA" w:rsidRPr="00507A31" w14:paraId="46E482DE" w14:textId="77777777">
        <w:tc>
          <w:tcPr>
            <w:tcW w:w="1288" w:type="dxa"/>
          </w:tcPr>
          <w:p w14:paraId="521844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Горелова под мотор «Вальтер»</w:t>
            </w:r>
          </w:p>
        </w:tc>
        <w:tc>
          <w:tcPr>
            <w:tcW w:w="1008" w:type="dxa"/>
          </w:tcPr>
          <w:p w14:paraId="08027D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Осоавиахим</w:t>
            </w:r>
          </w:p>
        </w:tc>
        <w:tc>
          <w:tcPr>
            <w:tcW w:w="1008" w:type="dxa"/>
          </w:tcPr>
          <w:p w14:paraId="62990E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Требован. </w:t>
            </w:r>
          </w:p>
        </w:tc>
        <w:tc>
          <w:tcPr>
            <w:tcW w:w="1008" w:type="dxa"/>
          </w:tcPr>
          <w:p w14:paraId="24D5EB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 </w:t>
            </w:r>
          </w:p>
        </w:tc>
        <w:tc>
          <w:tcPr>
            <w:tcW w:w="1008" w:type="dxa"/>
          </w:tcPr>
          <w:p w14:paraId="3DA92A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установл. </w:t>
            </w:r>
          </w:p>
        </w:tc>
        <w:tc>
          <w:tcPr>
            <w:tcW w:w="1152" w:type="dxa"/>
          </w:tcPr>
          <w:p w14:paraId="1DDE9278"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7EA5B6D1"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36637D17"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21C2BD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 пробой в воздухе подломался из-за малого разноса колес шасси. Ремонтируется. В дальнейшем работы с самолетом решено передать в ЦАГИ, создав при нем специальные опытные мастерские.</w:t>
            </w:r>
          </w:p>
        </w:tc>
      </w:tr>
      <w:tr w:rsidR="00E371BA" w:rsidRPr="00507A31" w14:paraId="1EA79DCE" w14:textId="77777777">
        <w:tc>
          <w:tcPr>
            <w:tcW w:w="1288" w:type="dxa"/>
          </w:tcPr>
          <w:p w14:paraId="477D67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«Порабола»–М11</w:t>
            </w:r>
          </w:p>
        </w:tc>
        <w:tc>
          <w:tcPr>
            <w:tcW w:w="1008" w:type="dxa"/>
          </w:tcPr>
          <w:p w14:paraId="30F1AB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Осоавиахим</w:t>
            </w:r>
          </w:p>
        </w:tc>
        <w:tc>
          <w:tcPr>
            <w:tcW w:w="1008" w:type="dxa"/>
          </w:tcPr>
          <w:p w14:paraId="424C36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Требован. </w:t>
            </w:r>
          </w:p>
        </w:tc>
        <w:tc>
          <w:tcPr>
            <w:tcW w:w="1008" w:type="dxa"/>
          </w:tcPr>
          <w:p w14:paraId="00CEA6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 </w:t>
            </w:r>
          </w:p>
        </w:tc>
        <w:tc>
          <w:tcPr>
            <w:tcW w:w="1008" w:type="dxa"/>
          </w:tcPr>
          <w:p w14:paraId="12CA6A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установл. </w:t>
            </w:r>
          </w:p>
        </w:tc>
        <w:tc>
          <w:tcPr>
            <w:tcW w:w="1152" w:type="dxa"/>
          </w:tcPr>
          <w:p w14:paraId="7A706C33"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45F3E689"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38DFFDB2"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04146D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 первых довольно удачных полетах обнаружены конструктивные дефекты, требующие их устранения. В случае положительных результатов управляемости и устойчивости летающего крыла возможно будет поставить задание о построцйке самолета большого тоннажа. Дальнейшие работы с </w:t>
            </w:r>
            <w:r w:rsidRPr="00507A31">
              <w:rPr>
                <w:color w:val="000000" w:themeColor="text1"/>
                <w:sz w:val="16"/>
                <w:szCs w:val="16"/>
              </w:rPr>
              <w:lastRenderedPageBreak/>
              <w:t>самолетом решено передать ЦАГИ, создав при нем специальные опытные мастерские.</w:t>
            </w:r>
          </w:p>
        </w:tc>
      </w:tr>
      <w:tr w:rsidR="00E371BA" w:rsidRPr="00507A31" w14:paraId="48E29865" w14:textId="77777777">
        <w:tc>
          <w:tcPr>
            <w:tcW w:w="1288" w:type="dxa"/>
          </w:tcPr>
          <w:p w14:paraId="1F5DAF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И4-ЮVI омонопланив.</w:t>
            </w:r>
          </w:p>
        </w:tc>
        <w:tc>
          <w:tcPr>
            <w:tcW w:w="1008" w:type="dxa"/>
          </w:tcPr>
          <w:p w14:paraId="682CDA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1BC47A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Требован. </w:t>
            </w:r>
          </w:p>
        </w:tc>
        <w:tc>
          <w:tcPr>
            <w:tcW w:w="1008" w:type="dxa"/>
          </w:tcPr>
          <w:p w14:paraId="5BA94B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 </w:t>
            </w:r>
          </w:p>
        </w:tc>
        <w:tc>
          <w:tcPr>
            <w:tcW w:w="1008" w:type="dxa"/>
          </w:tcPr>
          <w:p w14:paraId="08C2F6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установл. </w:t>
            </w:r>
          </w:p>
        </w:tc>
        <w:tc>
          <w:tcPr>
            <w:tcW w:w="1152" w:type="dxa"/>
          </w:tcPr>
          <w:p w14:paraId="3A80D787"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7BD91D39"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534302FA"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4CD600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Задание поставлено по предлрожению ЦАГИ для получения парасоля. Работы ведутся. Срок окончания не установлен. Цель установки разрезного крыла получение ночного истребителя. Работа продувками разрезных планов обеспечена. (Наблюдающий инженер Межак).</w:t>
            </w:r>
          </w:p>
        </w:tc>
      </w:tr>
      <w:tr w:rsidR="00E371BA" w:rsidRPr="00507A31" w14:paraId="78C6B49B" w14:textId="77777777">
        <w:tc>
          <w:tcPr>
            <w:tcW w:w="1288" w:type="dxa"/>
          </w:tcPr>
          <w:p w14:paraId="37FD43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МТБ1-2БМВVI</w:t>
            </w:r>
          </w:p>
        </w:tc>
        <w:tc>
          <w:tcPr>
            <w:tcW w:w="1008" w:type="dxa"/>
          </w:tcPr>
          <w:p w14:paraId="0A087D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02CC46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170-180/0</w:t>
            </w:r>
          </w:p>
        </w:tc>
        <w:tc>
          <w:tcPr>
            <w:tcW w:w="1008" w:type="dxa"/>
          </w:tcPr>
          <w:p w14:paraId="71AEE9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20-30/3000</w:t>
            </w:r>
          </w:p>
        </w:tc>
        <w:tc>
          <w:tcPr>
            <w:tcW w:w="1008" w:type="dxa"/>
          </w:tcPr>
          <w:p w14:paraId="5E53CE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3500-4000</w:t>
            </w:r>
          </w:p>
        </w:tc>
        <w:tc>
          <w:tcPr>
            <w:tcW w:w="1152" w:type="dxa"/>
          </w:tcPr>
          <w:p w14:paraId="5014C7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w:t>
            </w:r>
          </w:p>
          <w:p w14:paraId="483940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торпеда</w:t>
            </w:r>
          </w:p>
        </w:tc>
        <w:tc>
          <w:tcPr>
            <w:tcW w:w="1008" w:type="dxa"/>
          </w:tcPr>
          <w:p w14:paraId="575CD5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Продолж.</w:t>
            </w:r>
          </w:p>
          <w:p w14:paraId="1F87AC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полета 4 часа</w:t>
            </w:r>
          </w:p>
        </w:tc>
        <w:tc>
          <w:tcPr>
            <w:tcW w:w="1440" w:type="dxa"/>
          </w:tcPr>
          <w:p w14:paraId="32F48E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января 1931</w:t>
            </w:r>
          </w:p>
        </w:tc>
        <w:tc>
          <w:tcPr>
            <w:tcW w:w="2387" w:type="dxa"/>
          </w:tcPr>
          <w:p w14:paraId="6B0D50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Требования указаны для 2хЛД 400 л.с. – к настоящему времени устарели. Строительная группа под руководством конструктора Ришара. В срок на гос. испытания выйдет с опозданием, примерно на 3,5 месяца. (Наблюдающий инженер Кудрявцев).</w:t>
            </w:r>
          </w:p>
        </w:tc>
      </w:tr>
      <w:tr w:rsidR="00E371BA" w:rsidRPr="00507A31" w14:paraId="632933C9" w14:textId="77777777">
        <w:tc>
          <w:tcPr>
            <w:tcW w:w="1288" w:type="dxa"/>
          </w:tcPr>
          <w:p w14:paraId="7A0BA3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КР1-ЮVI</w:t>
            </w:r>
          </w:p>
        </w:tc>
        <w:tc>
          <w:tcPr>
            <w:tcW w:w="1008" w:type="dxa"/>
          </w:tcPr>
          <w:p w14:paraId="2B84D1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Закуплена у фирмы Хейнкель</w:t>
            </w:r>
          </w:p>
        </w:tc>
        <w:tc>
          <w:tcPr>
            <w:tcW w:w="1008" w:type="dxa"/>
          </w:tcPr>
          <w:p w14:paraId="215511AE"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579402E5"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643FFE5B"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060DC9DF"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5A061733"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36B4D94B"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5300DC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Самолеты, закупленные в количестве 20 экземпляров опробываются на Б. и Ч. морях. Выясняются эксплоатационные качества для представления на вооружение. </w:t>
            </w:r>
          </w:p>
        </w:tc>
      </w:tr>
      <w:tr w:rsidR="00E371BA" w:rsidRPr="00507A31" w14:paraId="25D88A72" w14:textId="77777777">
        <w:tc>
          <w:tcPr>
            <w:tcW w:w="1288" w:type="dxa"/>
          </w:tcPr>
          <w:p w14:paraId="3EB49A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Амфибия инж. Шаврова ЛА-М11</w:t>
            </w:r>
          </w:p>
        </w:tc>
        <w:tc>
          <w:tcPr>
            <w:tcW w:w="1008" w:type="dxa"/>
          </w:tcPr>
          <w:p w14:paraId="318DBF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Осоавиахим</w:t>
            </w:r>
          </w:p>
        </w:tc>
        <w:tc>
          <w:tcPr>
            <w:tcW w:w="1008" w:type="dxa"/>
          </w:tcPr>
          <w:p w14:paraId="25E7F6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Требован. </w:t>
            </w:r>
          </w:p>
        </w:tc>
        <w:tc>
          <w:tcPr>
            <w:tcW w:w="1008" w:type="dxa"/>
          </w:tcPr>
          <w:p w14:paraId="4ED9E2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 </w:t>
            </w:r>
          </w:p>
        </w:tc>
        <w:tc>
          <w:tcPr>
            <w:tcW w:w="1008" w:type="dxa"/>
          </w:tcPr>
          <w:p w14:paraId="17CA57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установл. </w:t>
            </w:r>
          </w:p>
        </w:tc>
        <w:tc>
          <w:tcPr>
            <w:tcW w:w="1152" w:type="dxa"/>
          </w:tcPr>
          <w:p w14:paraId="487FE2BE"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6D2A7B19"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11C153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ноября 1930</w:t>
            </w:r>
          </w:p>
        </w:tc>
        <w:tc>
          <w:tcPr>
            <w:tcW w:w="2387" w:type="dxa"/>
          </w:tcPr>
          <w:p w14:paraId="40A8C6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Строился на заводе № 23 за счет средств Осоавиахима. Может для УВВС представлять интерес как самолет связи в озерном районе. При первых пробных полетах разбит при посадке на большую волну.</w:t>
            </w:r>
          </w:p>
        </w:tc>
      </w:tr>
      <w:tr w:rsidR="00E371BA" w:rsidRPr="00507A31" w14:paraId="6F061B7C" w14:textId="77777777">
        <w:tc>
          <w:tcPr>
            <w:tcW w:w="1288" w:type="dxa"/>
          </w:tcPr>
          <w:p w14:paraId="7F43F2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МБР1-БМВVI</w:t>
            </w:r>
          </w:p>
        </w:tc>
        <w:tc>
          <w:tcPr>
            <w:tcW w:w="1008" w:type="dxa"/>
          </w:tcPr>
          <w:p w14:paraId="6CB0B1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51A2D7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Переделка из неудавш. типа. </w:t>
            </w:r>
          </w:p>
        </w:tc>
        <w:tc>
          <w:tcPr>
            <w:tcW w:w="1008" w:type="dxa"/>
          </w:tcPr>
          <w:p w14:paraId="6F25A5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Требован.</w:t>
            </w:r>
          </w:p>
        </w:tc>
        <w:tc>
          <w:tcPr>
            <w:tcW w:w="1008" w:type="dxa"/>
          </w:tcPr>
          <w:p w14:paraId="125E20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не </w:t>
            </w:r>
          </w:p>
        </w:tc>
        <w:tc>
          <w:tcPr>
            <w:tcW w:w="1152" w:type="dxa"/>
          </w:tcPr>
          <w:p w14:paraId="401FE0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предъявл. </w:t>
            </w:r>
          </w:p>
        </w:tc>
        <w:tc>
          <w:tcPr>
            <w:tcW w:w="1008" w:type="dxa"/>
          </w:tcPr>
          <w:p w14:paraId="2205D798"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552CAB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июля 1931 </w:t>
            </w:r>
          </w:p>
        </w:tc>
        <w:tc>
          <w:tcPr>
            <w:tcW w:w="2387" w:type="dxa"/>
          </w:tcPr>
          <w:p w14:paraId="2DC4B9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Эскизный проект ожидается 15 ноября 1930 года. Работа идет медленно из-за недостатка рабсилы. Намеченная на октябрь работа по цехам не выполнена. (Наблюдающий инженер Кудрявцев).</w:t>
            </w:r>
          </w:p>
        </w:tc>
      </w:tr>
      <w:tr w:rsidR="00E371BA" w:rsidRPr="00507A31" w14:paraId="3FF94587" w14:textId="77777777">
        <w:tc>
          <w:tcPr>
            <w:tcW w:w="1288" w:type="dxa"/>
          </w:tcPr>
          <w:p w14:paraId="585953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МБР2-БМВVI</w:t>
            </w:r>
          </w:p>
        </w:tc>
        <w:tc>
          <w:tcPr>
            <w:tcW w:w="1008" w:type="dxa"/>
          </w:tcPr>
          <w:p w14:paraId="75EC79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0C03D9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200/3000</w:t>
            </w:r>
          </w:p>
        </w:tc>
        <w:tc>
          <w:tcPr>
            <w:tcW w:w="1008" w:type="dxa"/>
          </w:tcPr>
          <w:p w14:paraId="0AA9C7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15-20/3000</w:t>
            </w:r>
          </w:p>
        </w:tc>
        <w:tc>
          <w:tcPr>
            <w:tcW w:w="1008" w:type="dxa"/>
          </w:tcPr>
          <w:p w14:paraId="2E695A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5000</w:t>
            </w:r>
          </w:p>
        </w:tc>
        <w:tc>
          <w:tcPr>
            <w:tcW w:w="1152" w:type="dxa"/>
          </w:tcPr>
          <w:p w14:paraId="1AC384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пул.</w:t>
            </w:r>
          </w:p>
          <w:p w14:paraId="59BD16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бомбы за счет перегр.</w:t>
            </w:r>
          </w:p>
        </w:tc>
        <w:tc>
          <w:tcPr>
            <w:tcW w:w="1008" w:type="dxa"/>
          </w:tcPr>
          <w:p w14:paraId="46180D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350</w:t>
            </w:r>
          </w:p>
        </w:tc>
        <w:tc>
          <w:tcPr>
            <w:tcW w:w="1440" w:type="dxa"/>
          </w:tcPr>
          <w:p w14:paraId="23D24F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июля 1931</w:t>
            </w:r>
          </w:p>
        </w:tc>
        <w:tc>
          <w:tcPr>
            <w:tcW w:w="2387" w:type="dxa"/>
          </w:tcPr>
          <w:p w14:paraId="562E0E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Вторично предъявлен макет, который в основном принят. Эскизный проект должен быть к 5 ноября 1930 года. (Наблюдающий инженер Кудрявцев).</w:t>
            </w:r>
          </w:p>
        </w:tc>
      </w:tr>
      <w:tr w:rsidR="00E371BA" w:rsidRPr="00507A31" w14:paraId="18FAFF92" w14:textId="77777777">
        <w:tc>
          <w:tcPr>
            <w:tcW w:w="1288" w:type="dxa"/>
          </w:tcPr>
          <w:p w14:paraId="58ED1B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Р5-М17. Установка на поплавки.</w:t>
            </w:r>
          </w:p>
        </w:tc>
        <w:tc>
          <w:tcPr>
            <w:tcW w:w="1008" w:type="dxa"/>
          </w:tcPr>
          <w:p w14:paraId="1B3533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ВАО</w:t>
            </w:r>
          </w:p>
        </w:tc>
        <w:tc>
          <w:tcPr>
            <w:tcW w:w="1008" w:type="dxa"/>
          </w:tcPr>
          <w:p w14:paraId="63019510"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4EC06BD1"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46F50512"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40D05CB4"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14814514"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3E43C2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апреля 1931 </w:t>
            </w:r>
          </w:p>
        </w:tc>
        <w:tc>
          <w:tcPr>
            <w:tcW w:w="2387" w:type="dxa"/>
          </w:tcPr>
          <w:p w14:paraId="487704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Ведутся расчеты по эскизному проекту, который ожидается к 15 декабря 1930 года. (Наблюдающий инженер Кудрявцев).</w:t>
            </w:r>
          </w:p>
        </w:tc>
      </w:tr>
      <w:tr w:rsidR="00E371BA" w:rsidRPr="00507A31" w14:paraId="6BA21B2D" w14:textId="77777777">
        <w:tc>
          <w:tcPr>
            <w:tcW w:w="1288" w:type="dxa"/>
          </w:tcPr>
          <w:p w14:paraId="702B49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ТБ1-2БМВVI Установка на поплавки.</w:t>
            </w:r>
          </w:p>
        </w:tc>
        <w:tc>
          <w:tcPr>
            <w:tcW w:w="1008" w:type="dxa"/>
          </w:tcPr>
          <w:p w14:paraId="47B535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0DCBB10F"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5A54423F"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6D7E54C2"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22868992"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1E585984"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3E6EEEA0"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40C549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Первая пара заказанных фирме (Шорт) поплавков поступает, примерно, 1 января 1931 года. ЦАГИ предложено по предъявлении ему поплавков или их чертежей дать заводу № 22 в 10-ти дневный срок конструктивные чертежи крепления и поплавков.</w:t>
            </w:r>
          </w:p>
        </w:tc>
      </w:tr>
      <w:tr w:rsidR="00E371BA" w:rsidRPr="00507A31" w14:paraId="6EC8C6D0" w14:textId="77777777">
        <w:tc>
          <w:tcPr>
            <w:tcW w:w="1288" w:type="dxa"/>
          </w:tcPr>
          <w:p w14:paraId="44F97F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1-ВГ Геликоптер</w:t>
            </w:r>
          </w:p>
        </w:tc>
        <w:tc>
          <w:tcPr>
            <w:tcW w:w="1008" w:type="dxa"/>
          </w:tcPr>
          <w:p w14:paraId="329BC4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ЦАГИ</w:t>
            </w:r>
          </w:p>
        </w:tc>
        <w:tc>
          <w:tcPr>
            <w:tcW w:w="1008" w:type="dxa"/>
          </w:tcPr>
          <w:p w14:paraId="1CC5E602"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6F15AB1F"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2D52C0A5"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5AB5417F"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769E90E1"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3C290F95"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0E47AD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Аппарат проходит пробные взлеты на привязи. Идет переделка и тренировка в управлении. (Наблюдающий инженер Пашкевич).</w:t>
            </w:r>
          </w:p>
        </w:tc>
      </w:tr>
      <w:tr w:rsidR="00E371BA" w:rsidRPr="00507A31" w14:paraId="7930AAE6" w14:textId="77777777">
        <w:tc>
          <w:tcPr>
            <w:tcW w:w="1288" w:type="dxa"/>
          </w:tcPr>
          <w:p w14:paraId="278009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Вертолет (автожир)</w:t>
            </w:r>
          </w:p>
        </w:tc>
        <w:tc>
          <w:tcPr>
            <w:tcW w:w="1008" w:type="dxa"/>
          </w:tcPr>
          <w:p w14:paraId="7607E1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Осоавиахим</w:t>
            </w:r>
          </w:p>
        </w:tc>
        <w:tc>
          <w:tcPr>
            <w:tcW w:w="1008" w:type="dxa"/>
          </w:tcPr>
          <w:p w14:paraId="275DAAD1"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4F6EDB7B"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6AE6E96E" w14:textId="77777777" w:rsidR="00537E5F" w:rsidRPr="00507A31" w:rsidRDefault="00537E5F" w:rsidP="00507A31">
            <w:pPr>
              <w:autoSpaceDE w:val="0"/>
              <w:autoSpaceDN w:val="0"/>
              <w:adjustRightInd w:val="0"/>
              <w:jc w:val="both"/>
              <w:rPr>
                <w:color w:val="000000" w:themeColor="text1"/>
                <w:sz w:val="16"/>
                <w:szCs w:val="16"/>
              </w:rPr>
            </w:pPr>
          </w:p>
        </w:tc>
        <w:tc>
          <w:tcPr>
            <w:tcW w:w="1152" w:type="dxa"/>
          </w:tcPr>
          <w:p w14:paraId="37960272" w14:textId="77777777" w:rsidR="00537E5F" w:rsidRPr="00507A31" w:rsidRDefault="00537E5F" w:rsidP="00507A31">
            <w:pPr>
              <w:autoSpaceDE w:val="0"/>
              <w:autoSpaceDN w:val="0"/>
              <w:adjustRightInd w:val="0"/>
              <w:jc w:val="both"/>
              <w:rPr>
                <w:color w:val="000000" w:themeColor="text1"/>
                <w:sz w:val="16"/>
                <w:szCs w:val="16"/>
              </w:rPr>
            </w:pPr>
          </w:p>
        </w:tc>
        <w:tc>
          <w:tcPr>
            <w:tcW w:w="1008" w:type="dxa"/>
          </w:tcPr>
          <w:p w14:paraId="10E88F08"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44C3E18D"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29B0A8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Аппарат с мотором Рон 120 НР сделал ряд полетов в границе аэродрома, достигая высоты 40 метров и сделал полный круг. В настоящее время на него устанавливается мотор Титан. Дальнейшие работы с аппаратом решено передать в ЦАГИ, создав при нем специальные опытные мастерские.</w:t>
            </w:r>
          </w:p>
        </w:tc>
      </w:tr>
      <w:tr w:rsidR="00E371BA" w:rsidRPr="00507A31" w14:paraId="242E2C34" w14:textId="77777777">
        <w:tc>
          <w:tcPr>
            <w:tcW w:w="1288" w:type="dxa"/>
          </w:tcPr>
          <w:p w14:paraId="5B1930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Катапульта «К3»</w:t>
            </w:r>
          </w:p>
        </w:tc>
        <w:tc>
          <w:tcPr>
            <w:tcW w:w="1008" w:type="dxa"/>
          </w:tcPr>
          <w:p w14:paraId="706AE9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Закуплена у фирмы Хейнкель</w:t>
            </w:r>
          </w:p>
        </w:tc>
        <w:tc>
          <w:tcPr>
            <w:tcW w:w="1008" w:type="dxa"/>
          </w:tcPr>
          <w:p w14:paraId="507989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Максимал.</w:t>
            </w:r>
          </w:p>
        </w:tc>
        <w:tc>
          <w:tcPr>
            <w:tcW w:w="1008" w:type="dxa"/>
          </w:tcPr>
          <w:p w14:paraId="61991D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полетн. вес </w:t>
            </w:r>
          </w:p>
        </w:tc>
        <w:tc>
          <w:tcPr>
            <w:tcW w:w="1008" w:type="dxa"/>
          </w:tcPr>
          <w:p w14:paraId="4A0F31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сбрасыв. с-та 3,5 т при</w:t>
            </w:r>
          </w:p>
        </w:tc>
        <w:tc>
          <w:tcPr>
            <w:tcW w:w="1152" w:type="dxa"/>
          </w:tcPr>
          <w:p w14:paraId="43E1DA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взлетн. ск. в 85-90 км/час</w:t>
            </w:r>
          </w:p>
        </w:tc>
        <w:tc>
          <w:tcPr>
            <w:tcW w:w="1008" w:type="dxa"/>
          </w:tcPr>
          <w:p w14:paraId="4A83FC41" w14:textId="77777777" w:rsidR="00537E5F" w:rsidRPr="00507A31" w:rsidRDefault="00537E5F" w:rsidP="00507A31">
            <w:pPr>
              <w:autoSpaceDE w:val="0"/>
              <w:autoSpaceDN w:val="0"/>
              <w:adjustRightInd w:val="0"/>
              <w:jc w:val="both"/>
              <w:rPr>
                <w:color w:val="000000" w:themeColor="text1"/>
                <w:sz w:val="16"/>
                <w:szCs w:val="16"/>
              </w:rPr>
            </w:pPr>
          </w:p>
        </w:tc>
        <w:tc>
          <w:tcPr>
            <w:tcW w:w="1440" w:type="dxa"/>
          </w:tcPr>
          <w:p w14:paraId="44711FDB" w14:textId="77777777" w:rsidR="00537E5F" w:rsidRPr="00507A31" w:rsidRDefault="00537E5F" w:rsidP="00507A31">
            <w:pPr>
              <w:autoSpaceDE w:val="0"/>
              <w:autoSpaceDN w:val="0"/>
              <w:adjustRightInd w:val="0"/>
              <w:jc w:val="both"/>
              <w:rPr>
                <w:color w:val="000000" w:themeColor="text1"/>
                <w:sz w:val="16"/>
                <w:szCs w:val="16"/>
              </w:rPr>
            </w:pPr>
          </w:p>
        </w:tc>
        <w:tc>
          <w:tcPr>
            <w:tcW w:w="2387" w:type="dxa"/>
          </w:tcPr>
          <w:p w14:paraId="42DFF1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Установлена на л/к «Парижская коммуна». При сдаче фирмой катапульты на холостом старте произошла авария, сроки </w:t>
            </w:r>
            <w:r w:rsidRPr="00507A31">
              <w:rPr>
                <w:color w:val="000000" w:themeColor="text1"/>
                <w:sz w:val="16"/>
                <w:szCs w:val="16"/>
              </w:rPr>
              <w:lastRenderedPageBreak/>
              <w:t>устранения которой еще со стороны фирмы не заявлены.</w:t>
            </w:r>
          </w:p>
        </w:tc>
      </w:tr>
    </w:tbl>
    <w:p w14:paraId="1A6283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Выводы и предложения, вытекающие из состояния опытного строительства на 15 ноября 1930 года см. в прилагаемом при сем постановлении Реввоенсовета.</w:t>
      </w:r>
    </w:p>
    <w:p w14:paraId="504D8A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(6998, 57-65).</w:t>
      </w:r>
    </w:p>
    <w:p w14:paraId="49CE6B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Приложение:</w:t>
      </w:r>
    </w:p>
    <w:p w14:paraId="0F0DB7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 остановления Реввоенсовета об опытном самолето- и моторостроении</w:t>
      </w:r>
    </w:p>
    <w:p w14:paraId="1C3875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Заслушав доклад начальника ВВС Баранова о состоянии работ по опытному моторо- и самолетостроению на 15 ноября 1930 года РВС постановляет:</w:t>
      </w:r>
    </w:p>
    <w:p w14:paraId="3D04DA15"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В целях усиления темпов опытного моторостроения немедленно объединить авиамоторный отдел ЦАГИ с отделом опытного моторостроения завода № 24 ВАО в единый опытный Авиамоторный институт, включая его в состав ВАО с использованием для создания этого института помещений, перешедших ЦАГИ от НАМИ.</w:t>
      </w:r>
    </w:p>
    <w:p w14:paraId="7E2F2D7E"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Обязать начальника ЦАГИ предусмотреть в своей смете на 1931 год необходимые средства на развитие и оборудование авиамоторного отдела ЦАГИ. Начальнику ВАО при составлени и сметы на дооборудование и развитие Института по опытному авиамоторостроению учесть средства, предусмотренные в смете ЦАГИ для авиамоторного отдела.</w:t>
      </w:r>
    </w:p>
    <w:p w14:paraId="72F141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Оборудование опытного завода и лаборатории Института первой очереди закончить не позже 1 февраля 1931 года.</w:t>
      </w:r>
    </w:p>
    <w:p w14:paraId="2C5C0FF7"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Из плана опытного строительства авиамоторов основными моторами, на конструирование, постройку и испытание коих должно быть сосредоточено максимум сил, средств и внимания в течение ближайшего времени, считать моторы М34, М27 и М26, как наиболее реальные и в то же время наиболее необходимые для военного и гражданского воздушного флота.</w:t>
      </w:r>
    </w:p>
    <w:p w14:paraId="62DD3824"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Обязать начальника ВАО и начальника ВВС в декадный срок доложить председателю РВС о необходимых мероприятиях и средствах по организации, конструированию и постройке редукторов, нагнетателей (импеллеров) для авиамоторов и металлических винтов.</w:t>
      </w:r>
    </w:p>
    <w:p w14:paraId="5BBFACDF"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Основными самолетами, стоящими в плане опытного строительства и требующими особого внимания, сил и средств на ближайшее время считать – двухместный истребитель ДИ2 с М17; тяжелые бомбардировщики ТБ5 и особенно переделку ТБ3 под 4 мотора М17 и морской дальний развнедчик МДР3.</w:t>
      </w:r>
    </w:p>
    <w:p w14:paraId="6357C126"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Обязать начальника Штаба и начальника ВСС пересмотреть тактические и технические требования на ТБ4, исходя из необходимости проектировать и строить этот самолет под реальные моторы советского производства. Пересмотренные требования доложить председателю РВС не позже 5 декабря 1930 года.</w:t>
      </w:r>
    </w:p>
    <w:p w14:paraId="3899BC5A"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Обязать начальника ВАО немедленно организовать опытные работы по установке на самолете Р5 тормозных колес и разрезных крыльев и установке самолета на поплавки.</w:t>
      </w:r>
    </w:p>
    <w:p w14:paraId="7CDB9199" w14:textId="77777777" w:rsidR="00537E5F" w:rsidRPr="00507A31" w:rsidRDefault="00537E5F" w:rsidP="00507A31">
      <w:pPr>
        <w:tabs>
          <w:tab w:val="left" w:pos="360"/>
        </w:tabs>
        <w:autoSpaceDE w:val="0"/>
        <w:autoSpaceDN w:val="0"/>
        <w:adjustRightInd w:val="0"/>
        <w:jc w:val="both"/>
        <w:rPr>
          <w:color w:val="000000" w:themeColor="text1"/>
          <w:sz w:val="16"/>
          <w:szCs w:val="16"/>
        </w:rPr>
      </w:pPr>
      <w:r w:rsidRPr="00507A31">
        <w:rPr>
          <w:color w:val="000000" w:themeColor="text1"/>
          <w:sz w:val="16"/>
          <w:szCs w:val="16"/>
        </w:rPr>
        <w:t>Признать необходимость создать в составе ЦАГИ спецотдел по конструированию и постройке экспериментальных образцов летательных аппаратов на новых принципах (геликоптеры, параболы, амфибии, вертолеты-автожиры и т.д.).</w:t>
      </w:r>
    </w:p>
    <w:p w14:paraId="0E6D90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Начальнику ВВС предусмотреть в исполнительной смете ЦАГИ на 1931 год необхожимые средства для этой цели (6998, 66).</w:t>
      </w:r>
    </w:p>
    <w:p w14:paraId="1C53D427" w14:textId="77777777" w:rsidR="00537E5F" w:rsidRPr="00507A31" w:rsidRDefault="00537E5F" w:rsidP="00507A31">
      <w:pPr>
        <w:autoSpaceDE w:val="0"/>
        <w:autoSpaceDN w:val="0"/>
        <w:adjustRightInd w:val="0"/>
        <w:jc w:val="both"/>
        <w:rPr>
          <w:color w:val="000000" w:themeColor="text1"/>
          <w:sz w:val="16"/>
          <w:szCs w:val="16"/>
        </w:rPr>
      </w:pPr>
    </w:p>
    <w:p w14:paraId="05BD03F6" w14:textId="77777777" w:rsidR="00F77CE6" w:rsidRPr="00507A31" w:rsidRDefault="00F77CE6"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F4D9A48" w14:textId="77777777" w:rsidR="00F77CE6" w:rsidRPr="00507A31" w:rsidRDefault="00F77CE6" w:rsidP="00507A31">
      <w:pPr>
        <w:autoSpaceDE w:val="0"/>
        <w:autoSpaceDN w:val="0"/>
        <w:adjustRightInd w:val="0"/>
        <w:jc w:val="both"/>
        <w:rPr>
          <w:iCs/>
          <w:color w:val="000000" w:themeColor="text1"/>
          <w:sz w:val="16"/>
          <w:szCs w:val="16"/>
        </w:rPr>
      </w:pPr>
    </w:p>
    <w:p w14:paraId="4707DDC7" w14:textId="77777777" w:rsidR="00F77CE6" w:rsidRPr="00507A31" w:rsidRDefault="00F77CE6" w:rsidP="00507A31">
      <w:pPr>
        <w:jc w:val="both"/>
        <w:rPr>
          <w:color w:val="0070C0"/>
          <w:sz w:val="16"/>
          <w:szCs w:val="16"/>
        </w:rPr>
      </w:pPr>
      <w:r w:rsidRPr="00507A31">
        <w:rPr>
          <w:color w:val="0070C0"/>
          <w:sz w:val="16"/>
          <w:szCs w:val="16"/>
        </w:rPr>
        <w:t>20 ноября 1930 опросом членов ПБ</w:t>
      </w:r>
    </w:p>
    <w:p w14:paraId="13D3E57A" w14:textId="77777777" w:rsidR="00F77CE6" w:rsidRPr="00507A31" w:rsidRDefault="00F77CE6" w:rsidP="00507A31">
      <w:pPr>
        <w:jc w:val="both"/>
        <w:rPr>
          <w:color w:val="0070C0"/>
          <w:sz w:val="16"/>
          <w:szCs w:val="16"/>
        </w:rPr>
      </w:pPr>
      <w:r w:rsidRPr="00507A31">
        <w:rPr>
          <w:color w:val="0070C0"/>
          <w:sz w:val="16"/>
          <w:szCs w:val="16"/>
        </w:rPr>
        <w:t>1/11.-О заказах НКВМ промышленности.</w:t>
      </w:r>
    </w:p>
    <w:p w14:paraId="4317260D" w14:textId="77777777" w:rsidR="00F77CE6" w:rsidRPr="00507A31" w:rsidRDefault="00F77CE6" w:rsidP="00507A31">
      <w:pPr>
        <w:jc w:val="both"/>
        <w:rPr>
          <w:color w:val="0070C0"/>
          <w:sz w:val="16"/>
          <w:szCs w:val="16"/>
        </w:rPr>
      </w:pPr>
      <w:r w:rsidRPr="00507A31">
        <w:rPr>
          <w:color w:val="0070C0"/>
          <w:sz w:val="16"/>
          <w:szCs w:val="16"/>
        </w:rPr>
        <w:t>(ПБ от 5.Х1.30 г., Прот № 14, п.56/56).</w:t>
      </w:r>
    </w:p>
    <w:p w14:paraId="6A1BAB6B" w14:textId="77777777" w:rsidR="00F77CE6" w:rsidRPr="00507A31" w:rsidRDefault="00F77CE6" w:rsidP="00507A31">
      <w:pPr>
        <w:jc w:val="both"/>
        <w:rPr>
          <w:color w:val="0070C0"/>
          <w:sz w:val="16"/>
          <w:szCs w:val="16"/>
        </w:rPr>
      </w:pPr>
      <w:r w:rsidRPr="00507A31">
        <w:rPr>
          <w:color w:val="0070C0"/>
          <w:sz w:val="16"/>
          <w:szCs w:val="16"/>
        </w:rPr>
        <w:t>Поручить рассмотрение сметы НКВМ, в том числе заказов Военмора, промышленности и мобплана комиссии в составе т.т. Ворошилова, Орджоникидзе, Куйбышева, Сталина, Болотова и Рудзутака.</w:t>
      </w:r>
    </w:p>
    <w:p w14:paraId="428C1AE3" w14:textId="77777777" w:rsidR="00F77CE6" w:rsidRPr="00507A31" w:rsidRDefault="00F77CE6" w:rsidP="00507A31">
      <w:pPr>
        <w:jc w:val="both"/>
        <w:rPr>
          <w:color w:val="0070C0"/>
          <w:sz w:val="16"/>
          <w:szCs w:val="16"/>
        </w:rPr>
      </w:pPr>
      <w:r w:rsidRPr="00507A31">
        <w:rPr>
          <w:color w:val="0070C0"/>
          <w:sz w:val="16"/>
          <w:szCs w:val="16"/>
        </w:rPr>
        <w:t>Созыв комиссии за т. Ворошиловым.</w:t>
      </w:r>
    </w:p>
    <w:p w14:paraId="13F04957" w14:textId="77777777" w:rsidR="00F77CE6" w:rsidRPr="00507A31" w:rsidRDefault="00F77CE6" w:rsidP="00507A31">
      <w:pPr>
        <w:jc w:val="both"/>
        <w:rPr>
          <w:color w:val="0070C0"/>
          <w:sz w:val="16"/>
          <w:szCs w:val="16"/>
        </w:rPr>
      </w:pPr>
      <w:r w:rsidRPr="00507A31">
        <w:rPr>
          <w:color w:val="0070C0"/>
          <w:sz w:val="16"/>
          <w:szCs w:val="16"/>
        </w:rPr>
        <w:t>Выписки посланы: т.т. Ворошилову, Орджоникидзе, Куйбышнву, Сталину, Болото</w:t>
      </w:r>
      <w:r w:rsidRPr="00507A31">
        <w:rPr>
          <w:color w:val="0070C0"/>
          <w:sz w:val="16"/>
          <w:szCs w:val="16"/>
        </w:rPr>
        <w:softHyphen/>
        <w:t>ву, Рудзутаку</w:t>
      </w:r>
    </w:p>
    <w:p w14:paraId="043A3E0A" w14:textId="77777777" w:rsidR="00F77CE6" w:rsidRPr="00507A31" w:rsidRDefault="00F77CE6" w:rsidP="00507A31">
      <w:pPr>
        <w:jc w:val="both"/>
        <w:rPr>
          <w:color w:val="0070C0"/>
          <w:sz w:val="16"/>
          <w:szCs w:val="16"/>
        </w:rPr>
      </w:pPr>
      <w:r w:rsidRPr="00507A31">
        <w:rPr>
          <w:color w:val="0070C0"/>
          <w:sz w:val="16"/>
          <w:szCs w:val="16"/>
        </w:rPr>
        <w:t>25 ноября 1930 состоялось заседание ПБ (Протокол № 16)</w:t>
      </w:r>
    </w:p>
    <w:p w14:paraId="496AB849" w14:textId="77777777" w:rsidR="00F77CE6" w:rsidRPr="00507A31" w:rsidRDefault="00F77CE6" w:rsidP="00507A31">
      <w:pPr>
        <w:jc w:val="both"/>
        <w:rPr>
          <w:color w:val="0070C0"/>
          <w:sz w:val="16"/>
          <w:szCs w:val="16"/>
        </w:rPr>
      </w:pPr>
    </w:p>
    <w:p w14:paraId="56FEA273" w14:textId="77777777" w:rsidR="00CD51E7" w:rsidRPr="00507A31" w:rsidRDefault="00CD51E7"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1AAFE28" w14:textId="77777777" w:rsidR="00CD51E7" w:rsidRPr="00507A31" w:rsidRDefault="00CD51E7" w:rsidP="00507A31">
      <w:pPr>
        <w:autoSpaceDE w:val="0"/>
        <w:autoSpaceDN w:val="0"/>
        <w:adjustRightInd w:val="0"/>
        <w:jc w:val="both"/>
        <w:rPr>
          <w:iCs/>
          <w:color w:val="000000" w:themeColor="text1"/>
          <w:sz w:val="16"/>
          <w:szCs w:val="16"/>
        </w:rPr>
      </w:pPr>
    </w:p>
    <w:p w14:paraId="17E4F8FC" w14:textId="77777777" w:rsidR="00CD51E7" w:rsidRPr="00507A31" w:rsidRDefault="00CD51E7" w:rsidP="00507A31">
      <w:pPr>
        <w:jc w:val="both"/>
        <w:rPr>
          <w:bCs/>
          <w:color w:val="000000" w:themeColor="text1"/>
          <w:sz w:val="16"/>
          <w:szCs w:val="16"/>
        </w:rPr>
      </w:pPr>
      <w:r w:rsidRPr="00507A31">
        <w:rPr>
          <w:color w:val="000000" w:themeColor="text1"/>
          <w:sz w:val="16"/>
          <w:szCs w:val="16"/>
        </w:rPr>
        <w:t>20 ноября 1930 г.</w:t>
      </w:r>
    </w:p>
    <w:p w14:paraId="463094B8" w14:textId="77777777" w:rsidR="00CD51E7" w:rsidRPr="00507A31" w:rsidRDefault="00CD51E7" w:rsidP="00507A31">
      <w:pPr>
        <w:jc w:val="both"/>
        <w:rPr>
          <w:bCs/>
          <w:color w:val="000000" w:themeColor="text1"/>
          <w:sz w:val="16"/>
          <w:szCs w:val="16"/>
        </w:rPr>
      </w:pPr>
      <w:r w:rsidRPr="00507A31">
        <w:rPr>
          <w:color w:val="000000" w:themeColor="text1"/>
          <w:sz w:val="16"/>
          <w:szCs w:val="16"/>
        </w:rPr>
        <w:t xml:space="preserve">Обращение ВЦСПС к рабочим Советского Союза с призывом ко всеобщей мобилизации на производстве. </w:t>
      </w:r>
    </w:p>
    <w:p w14:paraId="50C63806" w14:textId="77777777" w:rsidR="00CD51E7" w:rsidRPr="00507A31" w:rsidRDefault="00CD51E7" w:rsidP="00507A31">
      <w:pPr>
        <w:jc w:val="both"/>
        <w:rPr>
          <w:bCs/>
          <w:color w:val="000000" w:themeColor="text1"/>
          <w:sz w:val="16"/>
          <w:szCs w:val="16"/>
        </w:rPr>
      </w:pPr>
      <w:r w:rsidRPr="00507A31">
        <w:rPr>
          <w:bCs/>
          <w:color w:val="000000" w:themeColor="text1"/>
          <w:sz w:val="16"/>
          <w:szCs w:val="16"/>
        </w:rPr>
        <w:t>Источник: </w:t>
      </w:r>
    </w:p>
    <w:p w14:paraId="5F602E92" w14:textId="77777777" w:rsidR="00CD51E7" w:rsidRPr="00507A31" w:rsidRDefault="00CD51E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7E78291" w14:textId="77777777" w:rsidR="00CD51E7" w:rsidRPr="00507A31" w:rsidRDefault="00CD51E7" w:rsidP="00507A31">
      <w:pPr>
        <w:pStyle w:val="rteright"/>
        <w:spacing w:before="0" w:after="0"/>
        <w:jc w:val="both"/>
        <w:rPr>
          <w:color w:val="000000" w:themeColor="text1"/>
          <w:sz w:val="16"/>
          <w:szCs w:val="16"/>
        </w:rPr>
      </w:pPr>
      <w:r w:rsidRPr="00507A31">
        <w:rPr>
          <w:color w:val="000000" w:themeColor="text1"/>
          <w:sz w:val="16"/>
          <w:szCs w:val="16"/>
        </w:rPr>
        <w:t>Не позднее 20 ноября 1930 г.</w:t>
      </w:r>
    </w:p>
    <w:p w14:paraId="57889AE3"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Ко всем рабочим и работницам!</w:t>
      </w:r>
    </w:p>
    <w:p w14:paraId="2EAAE8BB"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Органами ОГПУ раскрыта контрреволюционная вредительская организация состоявшая преимущественно из инженеров и действовавшая подпольно под названием «промышленная партия». Тесно связанная с эмигрантским центром в Париже, с бывшими русскими фабрикантами (Денисов, Гукасов, Нобель и Рябушинский и др.), получавшая оттуда инструкции и деньги. «Промышленная партия» ставила своей целью путем вредительства искусственно создать кризисы во всех отраслях народного хозяйства, приурочивая развертывание кризиса к моменту иностранной интервенции.</w:t>
      </w:r>
    </w:p>
    <w:p w14:paraId="6DAF27D8"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Вредительство «промышленной партии» - часть общего плана империалистов и русских фабрикантов - плана военного похода против Советского Союза, уничтожения диктатуры пролетариата и буржуазно-помещичьей реставрации.</w:t>
      </w:r>
    </w:p>
    <w:p w14:paraId="73988878"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Твердая и неуклонная генеральная линия нашей партии под славным руководством Центрального Комитета на развернутую социалистическую реконструкцию народного хозяйства, на ликвидацию кулачества как класса на основе сплошной коллективизации, на построение социализма рушит все иллюзии врагов на мирное перерождение Советского Союза.</w:t>
      </w:r>
    </w:p>
    <w:p w14:paraId="3DB85F4D"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Окруженный со всех сторон империалистическими врагами в условиях обостренной классовой борьбы и предательства части технической интеллигенции, рабочий класс Советского Союза, отбрасывая с дороги правых и левых оппортунистов - изменников делу социализма, ведет победоносное строительство социализма.</w:t>
      </w:r>
    </w:p>
    <w:p w14:paraId="652CE29D"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Вот почему классовый враг злобствует и бряцает оружием, не останавливаясь ни перед какими средствами для достижения своей цели - сорвать строительство социализма, задушить растущий и крепнущий Советский Союз.</w:t>
      </w:r>
    </w:p>
    <w:p w14:paraId="05FE927B"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Но не раз в решающие дни рабочий класс Советской страны показывал чудеса героизма и самоотверженности.</w:t>
      </w:r>
    </w:p>
    <w:p w14:paraId="12462C50"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Так и сейчас из фактов раскрытия вредительства и подготовки интервенции рабочий класс сделает свои выводы - крепче налечь на темпы, на подготовку новых кадров красных специалистов, умножить армию ударников, социалистическим соревнованием и ударными бригадами смыть позорные пятна прорывов в выполнении промфинплана.</w:t>
      </w:r>
    </w:p>
    <w:p w14:paraId="291EB24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ВЦСПС призывает всех пролетариев Советского Союза организовать достойный ответ вредителям и интервентам и объявить 3-х месячную Всесоюзную мобилизацию внутренних ресурсов на фабриках, заводах, шахтах и на транспорте.</w:t>
      </w:r>
    </w:p>
    <w:p w14:paraId="19AB51D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Всесоюзная мобилизация внутренних ресурсов - боевой ответ рабочего класса вредителям и интервентам.</w:t>
      </w:r>
    </w:p>
    <w:p w14:paraId="5C6FC0C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Являясь важнейшим делом профсоюзов в борьбе за реализацию обращения ЦК от 3/IX, за выполнение и перевыполнение промфинплана, Всесоюзная мобилизация внутренних ресурсов должна быть направлена: на выявление производственной мощности заводского оборудования^] скрытой вредителями[,] и максимальную его загрузку (в том числе переход на многосменность и круглосуточность);</w:t>
      </w:r>
    </w:p>
    <w:p w14:paraId="464489E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 проведение жесточайшего режима экономии в использовании металла, топлива, энергии, сырья и всех материалов - максимальную замену импортного оборудования советским;</w:t>
      </w:r>
    </w:p>
    <w:p w14:paraId="4E6B78C6"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 организацию рационализаторского движения - «с каждой ударной бригады рационализаторские обязательства, каждому предприятию и всей промышленности рационализаторский счет»;</w:t>
      </w:r>
    </w:p>
    <w:p w14:paraId="0C052890"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 полную реализацию всех принятых рабочих предложений, усовершенствований и изобретений и сбор новых;</w:t>
      </w:r>
    </w:p>
    <w:p w14:paraId="3CF1CD9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 массовый обмен техническим опытом между отдельными рабочими, бригадами, цехами и предприятиями.</w:t>
      </w:r>
    </w:p>
    <w:p w14:paraId="2369EDC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 ответ на «плановое вредительство» Рамзиных, Ларичевых и Федотовых и всей оголтелой контрреволюционной челяди империалистов, выставим встречный промфинплан на 3-й год пятилетки с учетом всех внутренних ресурсов предприятия.</w:t>
      </w:r>
    </w:p>
    <w:p w14:paraId="31D4D5A6"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ВЦСПС призывает всех рабочих создать на своих предприятиях «фонды ответа вредителям и интервентам» из рабочих предложений, усовершенствований и изобретений.</w:t>
      </w:r>
    </w:p>
    <w:p w14:paraId="4D1504AA"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Достойно ответить вредителям и интервентам, значит прежде всего - поднять свою дисциплину, качество своей работы, мобилизовать все свои ресурсы, выполнить свой план.</w:t>
      </w:r>
    </w:p>
    <w:p w14:paraId="3A60D2E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lastRenderedPageBreak/>
        <w:t>Какая бригада, какой цех, какое предприятие сумеет лучше всего провести режим экономии, максимально загрузить свое оборудование и рабочий день, сократить и уничтожить брак, прогулы, простои, организовать рационализаторский счет, реализовать рабочие предложения, выполнить свой план и тем самым дать большевистский ответ вредителям и интервентам - вот на каких вопросах должно развернуться соревнование бригад, цехов и предприятий.</w:t>
      </w:r>
    </w:p>
    <w:p w14:paraId="2F8816BA"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 этом соревновании на лучший ответ вредителям и интервентам важнейшую роль должны сыграть инженерно-технические работники.</w:t>
      </w:r>
    </w:p>
    <w:p w14:paraId="12DCAE7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Нейтральных нет и не может быть - за или против? «Ответ вредителям и интервентам» - проверка на деле преданности каждого специалиста строительству социализма.</w:t>
      </w:r>
    </w:p>
    <w:p w14:paraId="371EF835"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«Ответ вредителям и интервентам» должен вызвать новый подъем социалистического соревнования, прилив</w:t>
      </w:r>
      <w:r w:rsidRPr="00507A31">
        <w:rPr>
          <w:color w:val="000000" w:themeColor="text1"/>
          <w:sz w:val="16"/>
          <w:szCs w:val="16"/>
          <w:vertAlign w:val="superscript"/>
        </w:rPr>
        <w:t>3</w:t>
      </w:r>
      <w:r w:rsidRPr="00507A31">
        <w:rPr>
          <w:color w:val="000000" w:themeColor="text1"/>
          <w:sz w:val="16"/>
          <w:szCs w:val="16"/>
        </w:rPr>
        <w:t> новых сил рабочего класса в ударное лвижение. должен поднять ударничество на новую ступень.</w:t>
      </w:r>
    </w:p>
    <w:p w14:paraId="3A24DA54"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Каждая ударная бригада выступает со своей боевой программой ответа вредителям и интервентам.</w:t>
      </w:r>
    </w:p>
    <w:p w14:paraId="32D89086"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ВУЗы должны ответить вредителям и интервентам боевой проверкой реализации решений ЦК ВКП(б) о подготовке кадров, усиленной борьбой за дисциплину, за повышение качества учебы, за лучшую организацию непрерывного производственного обучения. Ответом вредителям и интервентам в деревне должен быть новый прилив в колхозы, организуемый при непосредственном участии заводов. Весь свой опыт социалистического соревнования и ударничества, опыт организации труда и борьбы за промфинплан, заводы обязаны передать в совхозы и колхозы.</w:t>
      </w:r>
    </w:p>
    <w:p w14:paraId="392D2D8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Интервенты готовят возвращение помещиков. Только социализм, воздвигаемый рабочим классом под руководством коммунистической партии, только коллективизация - гарантия от возврата помещиков.</w:t>
      </w:r>
    </w:p>
    <w:p w14:paraId="1537C35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Всесоюзной мобилизацией внутренних ресурсов, усилением темпов подготовки новых, преданных делу социализма кадров специалистов из рабочего класса, новым приливом в колхозы, действительной борьбой за генеральную линию Ленинской партии, против поднимающих свою голову правых и левых оппортунистов, против фракционистов и двурушников всех мастей усилением своей пролетарской бдительности - вот чем ответят трудящиеся Советской страны вредителям и интервентам.</w:t>
      </w:r>
    </w:p>
    <w:p w14:paraId="174DEF1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Ставка вредителей и интервентов будет бита - социализм побеждает и победит!</w:t>
      </w:r>
    </w:p>
    <w:p w14:paraId="23DB3E2C"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ВЦСПС</w:t>
      </w:r>
    </w:p>
    <w:p w14:paraId="2CECE385" w14:textId="77777777" w:rsidR="00CD51E7" w:rsidRPr="00507A31" w:rsidRDefault="00CD51E7"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On. 14. Д. 223. Л. 1-5. Машинописная копия того времени. Датируется по сопутствующим документам (19017).</w:t>
      </w:r>
    </w:p>
    <w:p w14:paraId="16E12E60" w14:textId="77777777" w:rsidR="00CD51E7" w:rsidRPr="00507A31" w:rsidRDefault="00CD51E7" w:rsidP="00507A31">
      <w:pPr>
        <w:jc w:val="both"/>
        <w:rPr>
          <w:color w:val="000000" w:themeColor="text1"/>
          <w:sz w:val="16"/>
          <w:szCs w:val="16"/>
        </w:rPr>
      </w:pPr>
    </w:p>
    <w:p w14:paraId="57BCD02C" w14:textId="77777777" w:rsidR="00CD51E7" w:rsidRPr="00507A31" w:rsidRDefault="00CD51E7" w:rsidP="00507A31">
      <w:pPr>
        <w:jc w:val="both"/>
        <w:rPr>
          <w:bCs/>
          <w:color w:val="000000" w:themeColor="text1"/>
          <w:sz w:val="16"/>
          <w:szCs w:val="16"/>
        </w:rPr>
      </w:pPr>
      <w:r w:rsidRPr="00507A31">
        <w:rPr>
          <w:color w:val="000000" w:themeColor="text1"/>
          <w:sz w:val="16"/>
          <w:szCs w:val="16"/>
        </w:rPr>
        <w:t>20 ноября 1930 г.</w:t>
      </w:r>
    </w:p>
    <w:p w14:paraId="018B03C7" w14:textId="77777777" w:rsidR="00CD51E7" w:rsidRPr="00507A31" w:rsidRDefault="00CD51E7" w:rsidP="00507A31">
      <w:pPr>
        <w:jc w:val="both"/>
        <w:rPr>
          <w:bCs/>
          <w:color w:val="000000" w:themeColor="text1"/>
          <w:sz w:val="16"/>
          <w:szCs w:val="16"/>
        </w:rPr>
      </w:pPr>
      <w:r w:rsidRPr="00507A31">
        <w:rPr>
          <w:color w:val="000000" w:themeColor="text1"/>
          <w:sz w:val="16"/>
          <w:szCs w:val="16"/>
        </w:rPr>
        <w:t>Информационная сводка ВЦСПС о проведенных митингах среди рабочих советских предприятий в связи с судебным процессом «Промпартии». 20 ноября 1930 г.</w:t>
      </w:r>
    </w:p>
    <w:p w14:paraId="4D1C89F6" w14:textId="77777777" w:rsidR="00CD51E7" w:rsidRPr="00507A31" w:rsidRDefault="00CD51E7" w:rsidP="00507A31">
      <w:pPr>
        <w:jc w:val="both"/>
        <w:rPr>
          <w:bCs/>
          <w:color w:val="000000" w:themeColor="text1"/>
          <w:sz w:val="16"/>
          <w:szCs w:val="16"/>
        </w:rPr>
      </w:pPr>
      <w:r w:rsidRPr="00507A31">
        <w:rPr>
          <w:bCs/>
          <w:color w:val="000000" w:themeColor="text1"/>
          <w:sz w:val="16"/>
          <w:szCs w:val="16"/>
        </w:rPr>
        <w:t>Источник: </w:t>
      </w:r>
    </w:p>
    <w:p w14:paraId="5AE583B3" w14:textId="77777777" w:rsidR="00CD51E7" w:rsidRPr="00507A31" w:rsidRDefault="00CD51E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1FA4D75" w14:textId="77777777" w:rsidR="00CD51E7" w:rsidRPr="00507A31" w:rsidRDefault="00CD51E7" w:rsidP="00507A31">
      <w:pPr>
        <w:jc w:val="both"/>
        <w:rPr>
          <w:bCs/>
          <w:color w:val="000000" w:themeColor="text1"/>
          <w:sz w:val="16"/>
          <w:szCs w:val="16"/>
        </w:rPr>
      </w:pPr>
      <w:r w:rsidRPr="00507A31">
        <w:rPr>
          <w:bCs/>
          <w:color w:val="000000" w:themeColor="text1"/>
          <w:sz w:val="16"/>
          <w:szCs w:val="16"/>
        </w:rPr>
        <w:t>Архив: </w:t>
      </w:r>
    </w:p>
    <w:p w14:paraId="6A7A5CC4" w14:textId="77777777" w:rsidR="00CD51E7" w:rsidRPr="00507A31" w:rsidRDefault="00CD51E7" w:rsidP="00507A31">
      <w:pPr>
        <w:jc w:val="both"/>
        <w:rPr>
          <w:color w:val="000000" w:themeColor="text1"/>
          <w:sz w:val="16"/>
          <w:szCs w:val="16"/>
        </w:rPr>
      </w:pPr>
      <w:r w:rsidRPr="00507A31">
        <w:rPr>
          <w:color w:val="000000" w:themeColor="text1"/>
          <w:sz w:val="16"/>
          <w:szCs w:val="16"/>
        </w:rPr>
        <w:t>ГА РФ. Ф. P-5451. Oп. 14. Д. 223. Л. 6-7</w:t>
      </w:r>
    </w:p>
    <w:p w14:paraId="7345AE2E" w14:textId="77777777" w:rsidR="00CD51E7" w:rsidRPr="00507A31" w:rsidRDefault="00CD51E7" w:rsidP="00507A31">
      <w:pPr>
        <w:pStyle w:val="rteright"/>
        <w:spacing w:before="0" w:after="0"/>
        <w:jc w:val="both"/>
        <w:rPr>
          <w:color w:val="000000" w:themeColor="text1"/>
          <w:sz w:val="16"/>
          <w:szCs w:val="16"/>
        </w:rPr>
      </w:pPr>
      <w:r w:rsidRPr="00507A31">
        <w:rPr>
          <w:color w:val="000000" w:themeColor="text1"/>
          <w:sz w:val="16"/>
          <w:szCs w:val="16"/>
        </w:rPr>
        <w:t>20 ноября 1930 г.</w:t>
      </w:r>
    </w:p>
    <w:p w14:paraId="533818E4"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Информационная сводка № 4</w:t>
      </w:r>
    </w:p>
    <w:p w14:paraId="2A1FB82C"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о митингах-протестах против контрреволюционной работы</w:t>
      </w:r>
    </w:p>
    <w:p w14:paraId="1DE9458E"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«Промышленной партии»</w:t>
      </w:r>
    </w:p>
    <w:p w14:paraId="191E1CB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Вредительство контрреволюционных организаций, раскрытое ОГПУ, вызвало гневное возмущение у трудящихся. По инициативе рабочих масс на предприятиях проходят митинги.</w:t>
      </w:r>
    </w:p>
    <w:p w14:paraId="333FB6C6"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Многочисленные митинги, собрания рабочих и работниц и технического персонала московских фабрик и заводов выносят резолюции, полные негодования и возмущения против контрреволюционной деятельности.</w:t>
      </w:r>
    </w:p>
    <w:p w14:paraId="2E53A92A"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 неполным сведениям от облотделов союзов митингов проведено:</w:t>
      </w:r>
    </w:p>
    <w:p w14:paraId="5A8D84ED"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 союзу горняков — 6 митингов, охвачено от 40 % до 100 % рабочих.</w:t>
      </w:r>
    </w:p>
    <w:p w14:paraId="02315BA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 союзу пищевиков — 10 митингов, охвачено от 50 до 100 %.</w:t>
      </w:r>
    </w:p>
    <w:p w14:paraId="3A96E50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 союзу коммунальников — 14 митингов], охвачено от 50 до 85 % и по 7 организациям] в среднем 27 %.</w:t>
      </w:r>
    </w:p>
    <w:p w14:paraId="49DDD81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 союзу транспортников — 6 митинг[ов], охвачено от 50 до 100 %.</w:t>
      </w:r>
    </w:p>
    <w:p w14:paraId="5EB826A6"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 союзу строителей — 36 митингов, охвачено 9829 человек, или 62 %.</w:t>
      </w:r>
    </w:p>
    <w:p w14:paraId="59AF99E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 союзу раб[ис] — 15 митингов, охвачено вместе со зрителями в театрах 4.325 человек.</w:t>
      </w:r>
    </w:p>
    <w:p w14:paraId="40B0067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 союзу текстильщиков — 2 митинга, охвачено от 20 % до 75 %.</w:t>
      </w:r>
    </w:p>
    <w:p w14:paraId="3BF4CB0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Настроение рабочих во время проведения митингов здоровое. В выступлениях рабочие клеймят позором преступников и требуют применения к ним высшей меры социальной защиты. Рабочие предлагают в ответ на вредительство усилить ударничество, усилить ряды партии ударниками. Провести борьбу с потерями. Провести сбор рабочих предложений, выполнить пятилетку в 4 года.</w:t>
      </w:r>
    </w:p>
    <w:p w14:paraId="391D0C6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 ф-ке «ПРИВОДНОЙ РЕМЕНЬ», где на митинге присутствовало 75 % рабочих[,] в выступлениях были требования пыток для вредителей до смерти.</w:t>
      </w:r>
    </w:p>
    <w:p w14:paraId="2A70BA5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 БУХАРИНСКОМ ТРАМПАРКЕ — выступлением рабочие требовали, чтобы им самим дали расстрелять вредителей.</w:t>
      </w:r>
    </w:p>
    <w:p w14:paraId="41AA1C16"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 всех проводимых митингах в резолюциях рабочие шлют &lt;привет&gt; ОГПУ. бдительному стражу страны Советов[.] и требуют от пролетарского суда применени[я] к вредителям высшей меры наказания — расстрела.</w:t>
      </w:r>
    </w:p>
    <w:p w14:paraId="3604487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Рабочие з-да СЕРП и МОЛОТ на всех проводимых митингах в цехах требуют расстрела реставраторов капитализма. В принятой резолюции заверяют о том, что они еще больше сомкнут ряды вокруг парторганизации. Еще решительней поведут борьбу за генеральную линию партии, за Ленинскую чистоту ее рядов, разоблачая двурушников и паникеров из лагеря правых и левых оппортунистов и примиренцев. Промфинплан особого квартала будет перевыполнен.</w:t>
      </w:r>
    </w:p>
    <w:p w14:paraId="5D5CDA3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 ГАРАЖЕ МОССЕЛЬПРОМ на объединенном митинге совместно со строительными рабочими присутствовало 2000 человек. В принятой резолюции рабочие предлагают усилить работу с уклонистами, исключив из рядов партии Бухарина, Томского и Рыкова.</w:t>
      </w:r>
    </w:p>
    <w:p w14:paraId="4E2C59C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ЦК и МОК ГОРНОРАБОЧИХ в резолюции отмечают, что горняцкая промышленность и ее важнейшие отрасли (уголь, золото, нефть, торф) были охвачены влиянием вредительской организации, подчеркивают необходимость усиления бдительности со стороны каждого ответственного работника ЦК и МОК в повседневной работе.</w:t>
      </w:r>
    </w:p>
    <w:p w14:paraId="167D136B"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 собрании СОЮЗЛЕСПРОМА и ОРГЛЕС присутствовало 400 человек, было принято постановление, в котором требуется прямой ответ от каждого ИТР союзлеспрома об их отношении к Советской власти. Собрание дает обещание помочь комиссии по чистке аппарата выявить всех классово-чуждых элементов и призывает всех работников аппарата к выполнению пятилетки по лесной промышленности в 3,5 года.</w:t>
      </w:r>
    </w:p>
    <w:p w14:paraId="575EA77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 состоявшемся собрании работников и специалистов ВСНХ РСФСР с докладом о вредительской «промышленной партии» выступил тов. Стриевский. В прениях выступило 11 человек — главным образом, специалисты, которые в своих выступлениях высказывались за применение к вредителям высшей меры наказания. В единогласно принятой резолюции также общее собрание требует расстрела вредителей.</w:t>
      </w:r>
    </w:p>
    <w:p w14:paraId="654B77E4"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 выступления классового врага рабочие вступают в партию, в ударные бригады и укрепляют фонды индустриализации страны.</w:t>
      </w:r>
    </w:p>
    <w:p w14:paraId="1B4342B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Так, на митингах союза строителей подано в партию 10 заявлений, 10 человек объявили себя ударниками, 785 человек взяли на себя обязательство отработать по 2 часа на дирижабль «Правда», 20 человек записалось на заем «Пятилетка в 4 года» на 500 рублей.</w:t>
      </w:r>
    </w:p>
    <w:p w14:paraId="7E642F7D"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 ТРЕХГОРКЕ вступило в партию 4 инженера и 72 чел. рабочих и работниц.</w:t>
      </w:r>
    </w:p>
    <w:p w14:paraId="647EBEA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На ТЕРМИТНО-СТРЕЛОЧНОМ з-де подано 4 заявления о вступлении в партию.</w:t>
      </w:r>
    </w:p>
    <w:p w14:paraId="6D64EA6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КУРСКО-ПОКРОВСКИЙ НЕФТЕСКЛАД — 3 рабочих объявили себя ударниками и закрепились до конца пятилетки.</w:t>
      </w:r>
    </w:p>
    <w:p w14:paraId="5381542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 театре б. KOPШ. — из присутствовавших 125 человек труппы подали заявление о вступлении в партию 5 человек.</w:t>
      </w:r>
    </w:p>
    <w:p w14:paraId="2387056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Сочувствие вредителям.</w:t>
      </w:r>
    </w:p>
    <w:p w14:paraId="0DE7566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 3 участке Сл[ужбы] Пути (коммунальники) в околотке десятника Степанова выступавший рабочий Куприянов говорил, что напрасно расстреляли 48 чел. вредителей. Этому выступлению был дан отпор со стороны пред. МК и рабочих, но в выступлениях некоторых рабочих была поддержка.</w:t>
      </w:r>
    </w:p>
    <w:p w14:paraId="7EEB5FCC"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21.XI-30 г.</w:t>
      </w:r>
    </w:p>
    <w:p w14:paraId="26C70AE6" w14:textId="77777777" w:rsidR="00CD51E7" w:rsidRPr="00507A31" w:rsidRDefault="00CD51E7"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223. Л. 6-7. Машинописная копия того времени. На Л. 6 вверху написаны от руки карандашом дата (21/XI) и номер документа, «ВЦСПС», ниже слева также от руки карандашом «В материалы по процессу Промпартии» (подпись-росчерк, неразборчиво); в верхнем правом углу штамп ВЦСПС «ИСПОЛНЕНО» со вписанной чернилами датой «21.XI». На Л. 7 внизу рукописная помета карандашом «Инфо МОСПС» (19018).</w:t>
      </w:r>
    </w:p>
    <w:p w14:paraId="3CF9E1B6" w14:textId="77777777" w:rsidR="00CD51E7" w:rsidRPr="00507A31" w:rsidRDefault="00CD51E7" w:rsidP="00507A31">
      <w:pPr>
        <w:tabs>
          <w:tab w:val="left" w:pos="491"/>
        </w:tabs>
        <w:jc w:val="both"/>
        <w:rPr>
          <w:color w:val="000000" w:themeColor="text1"/>
          <w:sz w:val="16"/>
          <w:szCs w:val="16"/>
        </w:rPr>
      </w:pPr>
    </w:p>
    <w:p w14:paraId="5954D9E2" w14:textId="77777777" w:rsidR="00CD51E7" w:rsidRPr="00507A31" w:rsidRDefault="00CD51E7" w:rsidP="00507A31">
      <w:pPr>
        <w:jc w:val="both"/>
        <w:rPr>
          <w:color w:val="000000" w:themeColor="text1"/>
          <w:sz w:val="16"/>
          <w:szCs w:val="16"/>
        </w:rPr>
      </w:pPr>
      <w:r w:rsidRPr="00507A31">
        <w:rPr>
          <w:color w:val="000000" w:themeColor="text1"/>
          <w:sz w:val="16"/>
          <w:szCs w:val="16"/>
        </w:rPr>
        <w:t>20 ноября 1930 г.</w:t>
      </w:r>
    </w:p>
    <w:p w14:paraId="273799FB" w14:textId="77777777" w:rsidR="00CD51E7" w:rsidRPr="00507A31" w:rsidRDefault="00CD51E7" w:rsidP="00507A31">
      <w:pPr>
        <w:jc w:val="both"/>
        <w:rPr>
          <w:color w:val="000000" w:themeColor="text1"/>
          <w:sz w:val="16"/>
          <w:szCs w:val="16"/>
        </w:rPr>
      </w:pPr>
      <w:r w:rsidRPr="00507A31">
        <w:rPr>
          <w:color w:val="000000" w:themeColor="text1"/>
          <w:sz w:val="16"/>
          <w:szCs w:val="16"/>
        </w:rPr>
        <w:t>Письмо «кандидата ЦК ВКП(б) [М. С.] Михайлова-Иванова» И. В. Сталину в связи с показаниями Л. К. Рамзина о работе Ленмаштреста. 20 ноября 1930 г.</w:t>
      </w:r>
    </w:p>
    <w:p w14:paraId="1B1AF4B9" w14:textId="77777777" w:rsidR="00CD51E7" w:rsidRPr="00507A31" w:rsidRDefault="00CD51E7" w:rsidP="00507A31">
      <w:pPr>
        <w:jc w:val="both"/>
        <w:rPr>
          <w:color w:val="000000" w:themeColor="text1"/>
          <w:sz w:val="16"/>
          <w:szCs w:val="16"/>
        </w:rPr>
      </w:pPr>
      <w:r w:rsidRPr="00507A31">
        <w:rPr>
          <w:color w:val="000000" w:themeColor="text1"/>
          <w:sz w:val="16"/>
          <w:szCs w:val="16"/>
        </w:rPr>
        <w:t>Источник: </w:t>
      </w:r>
    </w:p>
    <w:p w14:paraId="742B1C12" w14:textId="77777777" w:rsidR="00CD51E7" w:rsidRPr="00507A31" w:rsidRDefault="00CD51E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4E0C797" w14:textId="77777777" w:rsidR="00CD51E7" w:rsidRPr="00507A31" w:rsidRDefault="00CD51E7" w:rsidP="00507A31">
      <w:pPr>
        <w:jc w:val="both"/>
        <w:rPr>
          <w:color w:val="000000" w:themeColor="text1"/>
          <w:sz w:val="16"/>
          <w:szCs w:val="16"/>
        </w:rPr>
      </w:pPr>
      <w:r w:rsidRPr="00507A31">
        <w:rPr>
          <w:color w:val="000000" w:themeColor="text1"/>
          <w:sz w:val="16"/>
          <w:szCs w:val="16"/>
        </w:rPr>
        <w:t>20 ноября 1930 г.</w:t>
      </w:r>
    </w:p>
    <w:p w14:paraId="2E55B8CF" w14:textId="77777777" w:rsidR="00CD51E7" w:rsidRPr="00507A31" w:rsidRDefault="00CD51E7" w:rsidP="00507A31">
      <w:pPr>
        <w:jc w:val="both"/>
        <w:rPr>
          <w:color w:val="000000" w:themeColor="text1"/>
          <w:sz w:val="16"/>
          <w:szCs w:val="16"/>
        </w:rPr>
      </w:pPr>
      <w:r w:rsidRPr="00507A31">
        <w:rPr>
          <w:color w:val="000000" w:themeColor="text1"/>
          <w:sz w:val="16"/>
          <w:szCs w:val="16"/>
        </w:rPr>
        <w:lastRenderedPageBreak/>
        <w:t>В ПОЛИТБЮРО ЦК ВКП (б).</w:t>
      </w:r>
    </w:p>
    <w:p w14:paraId="299FA595" w14:textId="77777777" w:rsidR="00CD51E7" w:rsidRPr="00507A31" w:rsidRDefault="00CD51E7" w:rsidP="00507A31">
      <w:pPr>
        <w:jc w:val="both"/>
        <w:rPr>
          <w:color w:val="000000" w:themeColor="text1"/>
          <w:sz w:val="16"/>
          <w:szCs w:val="16"/>
        </w:rPr>
      </w:pPr>
      <w:r w:rsidRPr="00507A31">
        <w:rPr>
          <w:color w:val="000000" w:themeColor="text1"/>
          <w:sz w:val="16"/>
          <w:szCs w:val="16"/>
        </w:rPr>
        <w:t>Тов. СТАЛИНУ.</w:t>
      </w:r>
    </w:p>
    <w:p w14:paraId="6CA00A6F" w14:textId="77777777" w:rsidR="00CD51E7" w:rsidRPr="00507A31" w:rsidRDefault="00CD51E7" w:rsidP="00507A31">
      <w:pPr>
        <w:jc w:val="both"/>
        <w:rPr>
          <w:color w:val="000000" w:themeColor="text1"/>
          <w:sz w:val="16"/>
          <w:szCs w:val="16"/>
        </w:rPr>
      </w:pPr>
      <w:r w:rsidRPr="00507A31">
        <w:rPr>
          <w:color w:val="000000" w:themeColor="text1"/>
          <w:sz w:val="16"/>
          <w:szCs w:val="16"/>
        </w:rPr>
        <w:t>Вредитель Рамзии в показаниях о своей гнусной, вредительской работе, где он пишет, как промпартия старалась влиять на партийных товарищей упоминает и меня. Он в показаниях пишет:</w:t>
      </w:r>
    </w:p>
    <w:p w14:paraId="52BD4533" w14:textId="77777777" w:rsidR="00CD51E7" w:rsidRPr="00507A31" w:rsidRDefault="00CD51E7" w:rsidP="00507A31">
      <w:pPr>
        <w:jc w:val="both"/>
        <w:rPr>
          <w:color w:val="000000" w:themeColor="text1"/>
          <w:sz w:val="16"/>
          <w:szCs w:val="16"/>
        </w:rPr>
      </w:pPr>
      <w:r w:rsidRPr="00507A31">
        <w:rPr>
          <w:color w:val="000000" w:themeColor="text1"/>
          <w:sz w:val="16"/>
          <w:szCs w:val="16"/>
        </w:rPr>
        <w:t>«Бывший председатель Ленмаштреста тов. Михайлов, находясь под влиянием проф. А. Ю. Винблада, Ю. Ю. Ломача, инженера Неймаера и проф. Кирпичникова фактически осуществлял директиву промпартии в области отстаивания центральных типов котлов, турбин, топок и т. п. и минимальной производительной программы треста».</w:t>
      </w:r>
    </w:p>
    <w:p w14:paraId="42149F8D" w14:textId="77777777" w:rsidR="00CD51E7" w:rsidRPr="00507A31" w:rsidRDefault="00CD51E7" w:rsidP="00507A31">
      <w:pPr>
        <w:jc w:val="both"/>
        <w:rPr>
          <w:color w:val="000000" w:themeColor="text1"/>
          <w:sz w:val="16"/>
          <w:szCs w:val="16"/>
        </w:rPr>
      </w:pPr>
      <w:r w:rsidRPr="00507A31">
        <w:rPr>
          <w:color w:val="000000" w:themeColor="text1"/>
          <w:sz w:val="16"/>
          <w:szCs w:val="16"/>
        </w:rPr>
        <w:t>Категорически утверждаю, что это есть гнусная клевета и мстительный оговор меня.</w:t>
      </w:r>
    </w:p>
    <w:p w14:paraId="2C39BEE3" w14:textId="77777777" w:rsidR="00CD51E7" w:rsidRPr="00507A31" w:rsidRDefault="00CD51E7" w:rsidP="00507A31">
      <w:pPr>
        <w:jc w:val="both"/>
        <w:rPr>
          <w:color w:val="000000" w:themeColor="text1"/>
          <w:sz w:val="16"/>
          <w:szCs w:val="16"/>
        </w:rPr>
      </w:pPr>
      <w:r w:rsidRPr="00507A31">
        <w:rPr>
          <w:color w:val="000000" w:themeColor="text1"/>
          <w:sz w:val="16"/>
          <w:szCs w:val="16"/>
        </w:rPr>
        <w:t>Этот подлец продолжает вредит[ь] даже в своих показаниях пойманный и разоблаченный.</w:t>
      </w:r>
    </w:p>
    <w:p w14:paraId="3E5CDC10" w14:textId="77777777" w:rsidR="00CD51E7" w:rsidRPr="00507A31" w:rsidRDefault="00CD51E7" w:rsidP="00507A31">
      <w:pPr>
        <w:jc w:val="both"/>
        <w:rPr>
          <w:color w:val="000000" w:themeColor="text1"/>
          <w:sz w:val="16"/>
          <w:szCs w:val="16"/>
        </w:rPr>
      </w:pPr>
      <w:r w:rsidRPr="00507A31">
        <w:rPr>
          <w:color w:val="000000" w:themeColor="text1"/>
          <w:sz w:val="16"/>
          <w:szCs w:val="16"/>
        </w:rPr>
        <w:t>Во-первых, ни инженера Неймаера, ни проф. Кирпичникова я не знаю. Никогда никаких ни дел, ни даже разговоров с ними не имел. Оба эти «типа» ни к какому участию в работе Ленмаштреста не привлекались. Что же касается Ю. Ю. Ломача, то сказать кому[-]нибудь, кто знает Ломача, что он мог влиять на меня, тот может только пожать плечами от удивления и [а]бсурдности такого заявления.</w:t>
      </w:r>
    </w:p>
    <w:p w14:paraId="0B73243D" w14:textId="77777777" w:rsidR="00CD51E7" w:rsidRPr="00507A31" w:rsidRDefault="00CD51E7" w:rsidP="00507A31">
      <w:pPr>
        <w:jc w:val="both"/>
        <w:rPr>
          <w:color w:val="000000" w:themeColor="text1"/>
          <w:sz w:val="16"/>
          <w:szCs w:val="16"/>
        </w:rPr>
      </w:pPr>
      <w:r w:rsidRPr="00507A31">
        <w:rPr>
          <w:color w:val="000000" w:themeColor="text1"/>
          <w:sz w:val="16"/>
          <w:szCs w:val="16"/>
        </w:rPr>
        <w:t>А. Ю. Винблад действительно пользовался авторитетом в области техники турбинного дела и теплотехники как у меня, так и у всех хозяйственников и нехозяйственников[,] знавших Винблада как крупного турбиниста и тепловика. Но со времени раскрытия шахтинского вредительства и повышения нашей бдительности и недоверия к части беспартийных спецов мое отношение стало настороженным к Винбладу[,] после моего разговора с ним о принятии им Русского гражданства. Сам он финн. Мы сняли его с директора завода[,] переведя сначала в главные инженеры, а затем совершенно удалили с завода[,] переведя в аппарат правления на второстепенную работу, после того, как мы подготовили на должность главного инженера тов. Андреева[,] инженера-турбиниста честного советского работника, пользующегося всеобщим доверием и любовью на заводе со стороны хозяйственников, техников, обществ[енных] организаций и рабочих.</w:t>
      </w:r>
    </w:p>
    <w:p w14:paraId="5B41E424" w14:textId="77777777" w:rsidR="00CD51E7" w:rsidRPr="00507A31" w:rsidRDefault="00CD51E7" w:rsidP="00507A31">
      <w:pPr>
        <w:jc w:val="both"/>
        <w:rPr>
          <w:color w:val="000000" w:themeColor="text1"/>
          <w:sz w:val="16"/>
          <w:szCs w:val="16"/>
        </w:rPr>
      </w:pPr>
      <w:r w:rsidRPr="00507A31">
        <w:rPr>
          <w:color w:val="000000" w:themeColor="text1"/>
          <w:sz w:val="16"/>
          <w:szCs w:val="16"/>
        </w:rPr>
        <w:t>Я неоднократно у наших хозяйств[енников-]партийцев как заводск[их,] так и в пр[а]влении[,] проверял свое сомнение к Винбладу, но мне всегда они высказывали мнение о Винбладе как о специалисте хорошем, честном по отношению к нам, но совершенно аполитичном. А тогда такая характеристика под сомнение не бралась вообще в практике.</w:t>
      </w:r>
    </w:p>
    <w:p w14:paraId="09DA2AD3" w14:textId="77777777" w:rsidR="00CD51E7" w:rsidRPr="00507A31" w:rsidRDefault="00CD51E7" w:rsidP="00507A31">
      <w:pPr>
        <w:jc w:val="both"/>
        <w:rPr>
          <w:color w:val="000000" w:themeColor="text1"/>
          <w:sz w:val="16"/>
          <w:szCs w:val="16"/>
        </w:rPr>
      </w:pPr>
      <w:r w:rsidRPr="00507A31">
        <w:rPr>
          <w:color w:val="000000" w:themeColor="text1"/>
          <w:sz w:val="16"/>
          <w:szCs w:val="16"/>
        </w:rPr>
        <w:t>Жизнь доказала обратное, что аполитичность крупных инженеров была по существу или вредительской или в лучшем случае, способствовавшей вредительству.</w:t>
      </w:r>
    </w:p>
    <w:p w14:paraId="11A989CB" w14:textId="77777777" w:rsidR="00CD51E7" w:rsidRPr="00507A31" w:rsidRDefault="00CD51E7" w:rsidP="00507A31">
      <w:pPr>
        <w:jc w:val="both"/>
        <w:rPr>
          <w:color w:val="000000" w:themeColor="text1"/>
          <w:sz w:val="16"/>
          <w:szCs w:val="16"/>
        </w:rPr>
      </w:pPr>
      <w:r w:rsidRPr="00507A31">
        <w:rPr>
          <w:color w:val="000000" w:themeColor="text1"/>
          <w:sz w:val="16"/>
          <w:szCs w:val="16"/>
        </w:rPr>
        <w:t>Если же говорить с кем я больше всех считался, к чьему мнению больше всех прислушивался, так это к мнению тов. Пудалова инженера[-]коммуниста, моего заместителя[,] человека в высшей степени преданного партии и честного каких мало. Также я считался с мнением Андреева и всегда[,] когда приходилось в чем[-]нибудь сомневаться в турбостроении. Никогда никаких таких центральных типов котлов, турбин, топок я не отстаивал. Рамзин нагло лжет. Пусть приведет хоть один конкретный случай. К тому же такого понятия «центральные» типы котлов, турбин, топок в технике просто нет. В чем тут дело? Что[-]то странное и непонятное. Я лично всегда и везде считал и говорил[,] что Рамзин и Теплотехнический институт в теплотехнике консервативны и к его голосу прислушиваться не нужно. Но авторитет Рамзина многим и многим закрывал глаза.</w:t>
      </w:r>
    </w:p>
    <w:p w14:paraId="3017D982" w14:textId="77777777" w:rsidR="00CD51E7" w:rsidRPr="00507A31" w:rsidRDefault="00CD51E7" w:rsidP="00507A31">
      <w:pPr>
        <w:jc w:val="both"/>
        <w:rPr>
          <w:color w:val="000000" w:themeColor="text1"/>
          <w:sz w:val="16"/>
          <w:szCs w:val="16"/>
        </w:rPr>
      </w:pPr>
      <w:r w:rsidRPr="00507A31">
        <w:rPr>
          <w:color w:val="000000" w:themeColor="text1"/>
          <w:sz w:val="16"/>
          <w:szCs w:val="16"/>
        </w:rPr>
        <w:t>Мне сдается, что наговор Рамзина есть месть врага не только классового, но и личного.</w:t>
      </w:r>
    </w:p>
    <w:p w14:paraId="1E0022E0" w14:textId="77777777" w:rsidR="00CD51E7" w:rsidRPr="00507A31" w:rsidRDefault="00CD51E7" w:rsidP="00507A31">
      <w:pPr>
        <w:jc w:val="both"/>
        <w:rPr>
          <w:color w:val="000000" w:themeColor="text1"/>
          <w:sz w:val="16"/>
          <w:szCs w:val="16"/>
        </w:rPr>
      </w:pPr>
      <w:r w:rsidRPr="00507A31">
        <w:rPr>
          <w:color w:val="000000" w:themeColor="text1"/>
          <w:sz w:val="16"/>
          <w:szCs w:val="16"/>
        </w:rPr>
        <w:t>Кратко. Этим летом ВСНХ передал нам трест [«]Тепло и Силу[»] (гнездо[,] свитое Рамзиным[,] где ютились его соратники, вредители, террористы). Когда этот трест перешел к нам в Котлотурбину[,] я начал этот трест шерстить организационно и персонально. Прежде всего прогнал технического] директора инжен[ера] Предтеченского[,] теперь арестованного вредителя. Он мне сразу показался человеком, как техник, бездарным и вредным. Поднялся вой спецов в [«]Тепло и Силе[»] при прямом содействии Рамзина. Он был предс[едателем] технического] совета [«]Тепло и Силы[»]. Рамзин на этом техсовете 2 раза ставил вопрос о моем отношении к [«]Тепло и Силе[»] и выносились суждения[,] что трест нужно от Котлотурбины изъять. За постановку этого вопроса на техсовете я Рамзина отч[и]хвостил, дал ему по рукам. Между прочим Рамзин мне грозил тем[,] что за ним стоят весьма ответственные партийные] и хозяйственные] руководители. Вокруг этого дела завязалась целая кампания-борьба. Причина та, что я инстинктивно тронул подр[аз]зорил Рамзинское гнездо. После стычки с Рамзиным я обратился к тов. Рухимовичу и просил его дать мне разрешение этот техсовет разогнать, потому что он мне казался гнездом Рамзинской банды. Тов. Рухимович делать мне это отсоветовал и порекомендовал обратиться к Бухарину. Иначе поднимется вокруг этого дела большой шум. Тов. Бухарина найти я не мог и решил все же если не разогнать официально этот техсовет[,] то удушить его не дав ему ни разу больше собраться. А технического] толку в этом совете я не видел.</w:t>
      </w:r>
    </w:p>
    <w:p w14:paraId="0646AC44" w14:textId="77777777" w:rsidR="00CD51E7" w:rsidRPr="00507A31" w:rsidRDefault="00CD51E7" w:rsidP="00507A31">
      <w:pPr>
        <w:jc w:val="both"/>
        <w:rPr>
          <w:color w:val="000000" w:themeColor="text1"/>
          <w:sz w:val="16"/>
          <w:szCs w:val="16"/>
        </w:rPr>
      </w:pPr>
      <w:r w:rsidRPr="00507A31">
        <w:rPr>
          <w:color w:val="000000" w:themeColor="text1"/>
          <w:sz w:val="16"/>
          <w:szCs w:val="16"/>
        </w:rPr>
        <w:t>Однажды я посетил Теплотехнический институт. После осмотра института я поехал в ВСНХ к тов. Манцеву и заявил ему, что Рамзин — вредитель иначе я не могу понять ту работу и направление института, которое ведет Рамзин.</w:t>
      </w:r>
    </w:p>
    <w:p w14:paraId="604B6BB7" w14:textId="77777777" w:rsidR="00CD51E7" w:rsidRPr="00507A31" w:rsidRDefault="00CD51E7" w:rsidP="00507A31">
      <w:pPr>
        <w:jc w:val="both"/>
        <w:rPr>
          <w:color w:val="000000" w:themeColor="text1"/>
          <w:sz w:val="16"/>
          <w:szCs w:val="16"/>
        </w:rPr>
      </w:pPr>
      <w:r w:rsidRPr="00507A31">
        <w:rPr>
          <w:color w:val="000000" w:themeColor="text1"/>
          <w:sz w:val="16"/>
          <w:szCs w:val="16"/>
        </w:rPr>
        <w:t>Второй раз я еще раз говорил об этом Манцеву в присутствии заместителя Рамзина по институту т. Браило, который склонен был к признанию моей оценки Рамзина.</w:t>
      </w:r>
    </w:p>
    <w:p w14:paraId="48704277" w14:textId="77777777" w:rsidR="00CD51E7" w:rsidRPr="00507A31" w:rsidRDefault="00CD51E7" w:rsidP="00507A31">
      <w:pPr>
        <w:jc w:val="both"/>
        <w:rPr>
          <w:color w:val="000000" w:themeColor="text1"/>
          <w:sz w:val="16"/>
          <w:szCs w:val="16"/>
        </w:rPr>
      </w:pPr>
      <w:r w:rsidRPr="00507A31">
        <w:rPr>
          <w:color w:val="000000" w:themeColor="text1"/>
          <w:sz w:val="16"/>
          <w:szCs w:val="16"/>
        </w:rPr>
        <w:t>Вскоре после этого разговора у Манцева Рамзин был арестован. Мое такое отношение к этому вредителю Рамзину я считаю и есть причина, побудившая его отомстить мне своим гнусным наговором в его показаниях.</w:t>
      </w:r>
    </w:p>
    <w:p w14:paraId="15B2BA28" w14:textId="77777777" w:rsidR="00CD51E7" w:rsidRPr="00507A31" w:rsidRDefault="00CD51E7" w:rsidP="00507A31">
      <w:pPr>
        <w:jc w:val="both"/>
        <w:rPr>
          <w:color w:val="000000" w:themeColor="text1"/>
          <w:sz w:val="16"/>
          <w:szCs w:val="16"/>
        </w:rPr>
      </w:pPr>
      <w:r w:rsidRPr="00507A31">
        <w:rPr>
          <w:color w:val="000000" w:themeColor="text1"/>
          <w:sz w:val="16"/>
          <w:szCs w:val="16"/>
        </w:rPr>
        <w:t>Тов. Сталин! Очень прошу Вас дать прочесть мое письмо членам Политбюро.</w:t>
      </w:r>
    </w:p>
    <w:p w14:paraId="049C4BBB" w14:textId="77777777" w:rsidR="00CD51E7" w:rsidRPr="00507A31" w:rsidRDefault="00CD51E7" w:rsidP="00507A31">
      <w:pPr>
        <w:jc w:val="both"/>
        <w:rPr>
          <w:color w:val="000000" w:themeColor="text1"/>
          <w:sz w:val="16"/>
          <w:szCs w:val="16"/>
        </w:rPr>
      </w:pPr>
      <w:r w:rsidRPr="00507A31">
        <w:rPr>
          <w:color w:val="000000" w:themeColor="text1"/>
          <w:sz w:val="16"/>
          <w:szCs w:val="16"/>
        </w:rPr>
        <w:t>Кандидат ЦК</w:t>
      </w:r>
    </w:p>
    <w:p w14:paraId="7B11E513" w14:textId="77777777" w:rsidR="00CD51E7" w:rsidRPr="00507A31" w:rsidRDefault="00CD51E7" w:rsidP="00507A31">
      <w:pPr>
        <w:jc w:val="both"/>
        <w:rPr>
          <w:color w:val="000000" w:themeColor="text1"/>
          <w:sz w:val="16"/>
          <w:szCs w:val="16"/>
        </w:rPr>
      </w:pPr>
      <w:r w:rsidRPr="00507A31">
        <w:rPr>
          <w:color w:val="000000" w:themeColor="text1"/>
          <w:sz w:val="16"/>
          <w:szCs w:val="16"/>
        </w:rPr>
        <w:t>Михайлов-Иванов</w:t>
      </w:r>
    </w:p>
    <w:p w14:paraId="788E072E" w14:textId="77777777" w:rsidR="00CD51E7" w:rsidRPr="00507A31" w:rsidRDefault="00CD51E7" w:rsidP="00507A31">
      <w:pPr>
        <w:jc w:val="both"/>
        <w:rPr>
          <w:color w:val="000000" w:themeColor="text1"/>
          <w:sz w:val="16"/>
          <w:szCs w:val="16"/>
        </w:rPr>
      </w:pPr>
      <w:r w:rsidRPr="00507A31">
        <w:rPr>
          <w:color w:val="000000" w:themeColor="text1"/>
          <w:sz w:val="16"/>
          <w:szCs w:val="16"/>
        </w:rPr>
        <w:t>20/XI.</w:t>
      </w:r>
    </w:p>
    <w:p w14:paraId="7BB66485" w14:textId="77777777" w:rsidR="00CD51E7" w:rsidRPr="00507A31" w:rsidRDefault="00CD51E7" w:rsidP="00507A31">
      <w:pPr>
        <w:jc w:val="both"/>
        <w:rPr>
          <w:color w:val="000000" w:themeColor="text1"/>
          <w:sz w:val="16"/>
          <w:szCs w:val="16"/>
        </w:rPr>
      </w:pPr>
      <w:r w:rsidRPr="00507A31">
        <w:rPr>
          <w:color w:val="000000" w:themeColor="text1"/>
          <w:sz w:val="16"/>
          <w:szCs w:val="16"/>
        </w:rPr>
        <w:t>Д. 356. Л. 6-9. (А) Рукописный подлинник, автограф Михайлова-Иванова. На Л. 6 вверху слева рукописная помета «4 экз. перепечатать» (подпись-росчерк, неразборчиво).</w:t>
      </w:r>
    </w:p>
    <w:p w14:paraId="1F3B496A" w14:textId="77777777" w:rsidR="00CD51E7" w:rsidRPr="00507A31" w:rsidRDefault="00CD51E7" w:rsidP="00507A31">
      <w:pPr>
        <w:jc w:val="both"/>
        <w:rPr>
          <w:color w:val="000000" w:themeColor="text1"/>
          <w:sz w:val="16"/>
          <w:szCs w:val="16"/>
        </w:rPr>
      </w:pPr>
      <w:r w:rsidRPr="00507A31">
        <w:rPr>
          <w:color w:val="000000" w:themeColor="text1"/>
          <w:sz w:val="16"/>
          <w:szCs w:val="16"/>
        </w:rPr>
        <w:t>Л. 2-5. (Б) Машинописная копия того времени; есть разночтения с оригиналом, помимо отмеченных в подстрочнике, в расстановке знаков препинания, кавычек и т. п. На Л. 2 вверху слева — штампы о размножении (36 экз.) и рассылке документа с вписанными от руки датами (29.XI. 1930 г.) и номером (№ П1094), подпись-автограф Хряпкиной.</w:t>
      </w:r>
    </w:p>
    <w:p w14:paraId="407C2E2A" w14:textId="77777777" w:rsidR="00CD51E7" w:rsidRPr="00507A31" w:rsidRDefault="00CD51E7" w:rsidP="00507A31">
      <w:pPr>
        <w:jc w:val="both"/>
        <w:rPr>
          <w:color w:val="000000" w:themeColor="text1"/>
          <w:sz w:val="16"/>
          <w:szCs w:val="16"/>
        </w:rPr>
      </w:pPr>
      <w:r w:rsidRPr="00507A31">
        <w:rPr>
          <w:color w:val="000000" w:themeColor="text1"/>
          <w:sz w:val="16"/>
          <w:szCs w:val="16"/>
        </w:rPr>
        <w:t>В деле (Л. 1) имеется сопроводительное письмо от 29 ноября 1930 г. на бланке ЦК ВКП(б) о рассылке документа:</w:t>
      </w:r>
    </w:p>
    <w:p w14:paraId="7703E61C" w14:textId="77777777" w:rsidR="00CD51E7" w:rsidRPr="00507A31" w:rsidRDefault="00CD51E7" w:rsidP="00507A31">
      <w:pPr>
        <w:jc w:val="both"/>
        <w:rPr>
          <w:color w:val="000000" w:themeColor="text1"/>
          <w:sz w:val="16"/>
          <w:szCs w:val="16"/>
        </w:rPr>
      </w:pPr>
      <w:r w:rsidRPr="00507A31">
        <w:rPr>
          <w:color w:val="000000" w:themeColor="text1"/>
          <w:sz w:val="16"/>
          <w:szCs w:val="16"/>
        </w:rPr>
        <w:t>ЧЛЕНАМ И КАНДИДАТАМ ПОЛИТБЮРО: т.т. Андрееву, Ворошилову, Кагановичу, Калинину, Кирову, Косиору, Куйбышеву, Микояну, Молотову, Петровскому, Рудзутаку, Рыкову, Сталину, Чубарю.</w:t>
      </w:r>
    </w:p>
    <w:p w14:paraId="6B9FACBE" w14:textId="77777777" w:rsidR="00CD51E7" w:rsidRPr="00507A31" w:rsidRDefault="00CD51E7" w:rsidP="00507A31">
      <w:pPr>
        <w:jc w:val="both"/>
        <w:rPr>
          <w:color w:val="000000" w:themeColor="text1"/>
          <w:sz w:val="16"/>
          <w:szCs w:val="16"/>
        </w:rPr>
      </w:pPr>
      <w:r w:rsidRPr="00507A31">
        <w:rPr>
          <w:color w:val="000000" w:themeColor="text1"/>
          <w:sz w:val="16"/>
          <w:szCs w:val="16"/>
        </w:rPr>
        <w:t>ЧЛЕНАМ ПРЕЗИДИУМА ЦКК: т.т. Акулову, Ильину, Орджоникидзе, Павлуновскому, Розенгольцу, Сольцу, Шкирятову, Янсону, Ярославскому.</w:t>
      </w:r>
    </w:p>
    <w:p w14:paraId="67B2D681" w14:textId="77777777" w:rsidR="00CD51E7" w:rsidRPr="00507A31" w:rsidRDefault="00CD51E7" w:rsidP="00507A31">
      <w:pPr>
        <w:jc w:val="both"/>
        <w:rPr>
          <w:color w:val="000000" w:themeColor="text1"/>
          <w:sz w:val="16"/>
          <w:szCs w:val="16"/>
        </w:rPr>
      </w:pPr>
      <w:r w:rsidRPr="00507A31">
        <w:rPr>
          <w:color w:val="000000" w:themeColor="text1"/>
          <w:sz w:val="16"/>
          <w:szCs w:val="16"/>
        </w:rPr>
        <w:t>СЕКРЕТАРЯМ ЦК: т.т. Бауману и Постышеву.</w:t>
      </w:r>
    </w:p>
    <w:p w14:paraId="52DBF8D7" w14:textId="77777777" w:rsidR="00CD51E7" w:rsidRPr="00507A31" w:rsidRDefault="00CD51E7" w:rsidP="00507A31">
      <w:pPr>
        <w:jc w:val="both"/>
        <w:rPr>
          <w:color w:val="000000" w:themeColor="text1"/>
          <w:sz w:val="16"/>
          <w:szCs w:val="16"/>
        </w:rPr>
      </w:pPr>
      <w:r w:rsidRPr="00507A31">
        <w:rPr>
          <w:color w:val="000000" w:themeColor="text1"/>
          <w:sz w:val="16"/>
          <w:szCs w:val="16"/>
        </w:rPr>
        <w:t>По поручению т. Сталина посылается Вам для сведения письмо т. Михайлова-Иванова от 20 XI: 30 г.</w:t>
      </w:r>
    </w:p>
    <w:p w14:paraId="5BE6321C" w14:textId="77777777" w:rsidR="00CD51E7" w:rsidRPr="00507A31" w:rsidRDefault="00CD51E7" w:rsidP="00507A31">
      <w:pPr>
        <w:jc w:val="both"/>
        <w:rPr>
          <w:color w:val="000000" w:themeColor="text1"/>
          <w:sz w:val="16"/>
          <w:szCs w:val="16"/>
        </w:rPr>
      </w:pPr>
      <w:r w:rsidRPr="00507A31">
        <w:rPr>
          <w:color w:val="000000" w:themeColor="text1"/>
          <w:sz w:val="16"/>
          <w:szCs w:val="16"/>
        </w:rPr>
        <w:t>ПРИЛОЖЕНИЕ: экз. № ___ на 8 листах.</w:t>
      </w:r>
    </w:p>
    <w:p w14:paraId="291D4C7E" w14:textId="77777777" w:rsidR="00CD51E7" w:rsidRPr="00507A31" w:rsidRDefault="00CD51E7" w:rsidP="00507A31">
      <w:pPr>
        <w:jc w:val="both"/>
        <w:rPr>
          <w:color w:val="000000" w:themeColor="text1"/>
          <w:sz w:val="16"/>
          <w:szCs w:val="16"/>
        </w:rPr>
      </w:pPr>
      <w:r w:rsidRPr="00507A31">
        <w:rPr>
          <w:color w:val="000000" w:themeColor="text1"/>
          <w:sz w:val="16"/>
          <w:szCs w:val="16"/>
        </w:rPr>
        <w:t>Зав. С.О. ЦК.</w:t>
      </w:r>
    </w:p>
    <w:p w14:paraId="640C3BF6" w14:textId="77777777" w:rsidR="00CD51E7" w:rsidRPr="00507A31" w:rsidRDefault="00CD51E7" w:rsidP="00507A31">
      <w:pPr>
        <w:jc w:val="both"/>
        <w:rPr>
          <w:color w:val="000000" w:themeColor="text1"/>
          <w:sz w:val="16"/>
          <w:szCs w:val="16"/>
        </w:rPr>
      </w:pPr>
      <w:r w:rsidRPr="00507A31">
        <w:rPr>
          <w:color w:val="000000" w:themeColor="text1"/>
          <w:sz w:val="16"/>
          <w:szCs w:val="16"/>
        </w:rPr>
        <w:t>(Машинописная копия того времени, подпись отсутствует. Номер «№ П1094» и дата впечатаны в графы бланка. Гриф «СТРОГО СЕКРЕТНО».) (18621).</w:t>
      </w:r>
    </w:p>
    <w:p w14:paraId="4465436E" w14:textId="77777777" w:rsidR="00CD51E7" w:rsidRPr="00507A31" w:rsidRDefault="00CD51E7" w:rsidP="00507A31">
      <w:pPr>
        <w:jc w:val="both"/>
        <w:rPr>
          <w:color w:val="000000" w:themeColor="text1"/>
          <w:sz w:val="16"/>
          <w:szCs w:val="16"/>
        </w:rPr>
      </w:pPr>
    </w:p>
    <w:p w14:paraId="7BD89E7C" w14:textId="77777777" w:rsidR="00CD51E7" w:rsidRPr="00507A31" w:rsidRDefault="00CD51E7"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4044FED9" w14:textId="77777777" w:rsidR="00CD51E7" w:rsidRPr="00507A31" w:rsidRDefault="00CD51E7" w:rsidP="00507A31">
      <w:pPr>
        <w:autoSpaceDE w:val="0"/>
        <w:autoSpaceDN w:val="0"/>
        <w:adjustRightInd w:val="0"/>
        <w:jc w:val="both"/>
        <w:rPr>
          <w:iCs/>
          <w:color w:val="000000" w:themeColor="text1"/>
          <w:sz w:val="16"/>
          <w:szCs w:val="16"/>
        </w:rPr>
      </w:pPr>
    </w:p>
    <w:p w14:paraId="31F191CA" w14:textId="77777777" w:rsidR="00CD51E7" w:rsidRPr="00507A31" w:rsidRDefault="00CD51E7" w:rsidP="00507A31">
      <w:pPr>
        <w:jc w:val="both"/>
        <w:rPr>
          <w:bCs/>
          <w:color w:val="000000" w:themeColor="text1"/>
          <w:sz w:val="16"/>
          <w:szCs w:val="16"/>
        </w:rPr>
      </w:pPr>
      <w:r w:rsidRPr="00507A31">
        <w:rPr>
          <w:color w:val="000000" w:themeColor="text1"/>
          <w:sz w:val="16"/>
          <w:szCs w:val="16"/>
        </w:rPr>
        <w:t>20 ноября 1930 г.</w:t>
      </w:r>
    </w:p>
    <w:p w14:paraId="1B72CCC0" w14:textId="77777777" w:rsidR="00CD51E7" w:rsidRPr="00507A31" w:rsidRDefault="00CD51E7" w:rsidP="00507A31">
      <w:pPr>
        <w:jc w:val="both"/>
        <w:rPr>
          <w:bCs/>
          <w:color w:val="000000" w:themeColor="text1"/>
          <w:sz w:val="16"/>
          <w:szCs w:val="16"/>
        </w:rPr>
      </w:pPr>
      <w:r w:rsidRPr="00507A31">
        <w:rPr>
          <w:color w:val="000000" w:themeColor="text1"/>
          <w:sz w:val="16"/>
          <w:szCs w:val="16"/>
        </w:rPr>
        <w:t>Совещание комиссии ВОКС по вопросу «о лозунгах кампании» и разработке мероприятий в связи с процессом «Промпартии». 20 ноября 1930 г.</w:t>
      </w:r>
    </w:p>
    <w:p w14:paraId="1E25977A" w14:textId="77777777" w:rsidR="00CD51E7" w:rsidRPr="00507A31" w:rsidRDefault="00CD51E7" w:rsidP="00507A31">
      <w:pPr>
        <w:jc w:val="both"/>
        <w:rPr>
          <w:bCs/>
          <w:color w:val="000000" w:themeColor="text1"/>
          <w:sz w:val="16"/>
          <w:szCs w:val="16"/>
        </w:rPr>
      </w:pPr>
      <w:r w:rsidRPr="00507A31">
        <w:rPr>
          <w:bCs/>
          <w:color w:val="000000" w:themeColor="text1"/>
          <w:sz w:val="16"/>
          <w:szCs w:val="16"/>
        </w:rPr>
        <w:t>Источник: </w:t>
      </w:r>
    </w:p>
    <w:p w14:paraId="2330DFDD" w14:textId="77777777" w:rsidR="00CD51E7" w:rsidRPr="00507A31" w:rsidRDefault="00CD51E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08F222" w14:textId="77777777" w:rsidR="00CD51E7" w:rsidRPr="00507A31" w:rsidRDefault="00CD51E7" w:rsidP="00507A31">
      <w:pPr>
        <w:jc w:val="both"/>
        <w:rPr>
          <w:bCs/>
          <w:color w:val="000000" w:themeColor="text1"/>
          <w:sz w:val="16"/>
          <w:szCs w:val="16"/>
        </w:rPr>
      </w:pPr>
      <w:r w:rsidRPr="00507A31">
        <w:rPr>
          <w:bCs/>
          <w:color w:val="000000" w:themeColor="text1"/>
          <w:sz w:val="16"/>
          <w:szCs w:val="16"/>
        </w:rPr>
        <w:t>Архив: </w:t>
      </w:r>
    </w:p>
    <w:p w14:paraId="633DDBD0" w14:textId="77777777" w:rsidR="00CD51E7" w:rsidRPr="00507A31" w:rsidRDefault="00CD51E7" w:rsidP="00507A31">
      <w:pPr>
        <w:jc w:val="both"/>
        <w:rPr>
          <w:color w:val="000000" w:themeColor="text1"/>
          <w:sz w:val="16"/>
          <w:szCs w:val="16"/>
        </w:rPr>
      </w:pPr>
      <w:r w:rsidRPr="00507A31">
        <w:rPr>
          <w:color w:val="000000" w:themeColor="text1"/>
          <w:sz w:val="16"/>
          <w:szCs w:val="16"/>
        </w:rPr>
        <w:t>ГА РФ. Ф. P-5283. On. 1. Д. 139. Л. 3-4 об.</w:t>
      </w:r>
    </w:p>
    <w:p w14:paraId="5726B61E" w14:textId="77777777" w:rsidR="00CD51E7" w:rsidRPr="00507A31" w:rsidRDefault="00CD51E7" w:rsidP="00507A31">
      <w:pPr>
        <w:pStyle w:val="rteright"/>
        <w:spacing w:before="0" w:after="0"/>
        <w:jc w:val="both"/>
        <w:rPr>
          <w:color w:val="000000" w:themeColor="text1"/>
          <w:sz w:val="16"/>
          <w:szCs w:val="16"/>
        </w:rPr>
      </w:pPr>
      <w:r w:rsidRPr="00507A31">
        <w:rPr>
          <w:color w:val="000000" w:themeColor="text1"/>
          <w:sz w:val="16"/>
          <w:szCs w:val="16"/>
        </w:rPr>
        <w:t>20 ноября 1930 г.</w:t>
      </w:r>
    </w:p>
    <w:p w14:paraId="03258AE6" w14:textId="77777777" w:rsidR="00CD51E7" w:rsidRPr="00507A31" w:rsidRDefault="00CD51E7" w:rsidP="00507A31">
      <w:pPr>
        <w:pStyle w:val="rteright"/>
        <w:spacing w:before="0" w:after="0"/>
        <w:jc w:val="both"/>
        <w:rPr>
          <w:color w:val="000000" w:themeColor="text1"/>
          <w:sz w:val="16"/>
          <w:szCs w:val="16"/>
        </w:rPr>
      </w:pPr>
      <w:r w:rsidRPr="00507A31">
        <w:rPr>
          <w:color w:val="000000" w:themeColor="text1"/>
          <w:sz w:val="16"/>
          <w:szCs w:val="16"/>
        </w:rPr>
        <w:t>Оглашению не подлежит</w:t>
      </w:r>
    </w:p>
    <w:p w14:paraId="524E3F8B"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ПРОТОКОЛ № 2</w:t>
      </w:r>
    </w:p>
    <w:p w14:paraId="1EE894DD"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Комиссии по работе ВОКС в связи с процессом «Промпартии»</w:t>
      </w:r>
    </w:p>
    <w:p w14:paraId="5BA392D6"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от 20. XI. 30 г.</w:t>
      </w:r>
    </w:p>
    <w:p w14:paraId="2D45108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ПРИСУТСТВОВАЛИ: т.т. Шуман, Новомирский, Ингбер, Песис, Брук, Ротенберг, Богомазов.</w:t>
      </w:r>
    </w:p>
    <w:p w14:paraId="4D98F83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Председатель — ШУМАН</w:t>
      </w:r>
    </w:p>
    <w:p w14:paraId="0078488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Секретарь — РОТЕНБЕРГ</w:t>
      </w:r>
    </w:p>
    <w:p w14:paraId="21823882"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СЛУШАЛИ:</w:t>
      </w:r>
    </w:p>
    <w:p w14:paraId="1BBE9D2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 лозунгах, под которыми должна проводиться ВОКСом эта кампания.</w:t>
      </w:r>
    </w:p>
    <w:p w14:paraId="7AA0DDC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ПОСТАНОВИЛИ:</w:t>
      </w:r>
    </w:p>
    <w:p w14:paraId="0868878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1. Считать необходимым подчеркнуть в лозунгах следующие моменты:</w:t>
      </w:r>
    </w:p>
    <w:p w14:paraId="2D24F84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а)   Непосредственность угрозы интервенции.</w:t>
      </w:r>
    </w:p>
    <w:p w14:paraId="7E557D4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lastRenderedPageBreak/>
        <w:t>б)   Советская культура — форпост мировой культуры. Поэтому удар по советской культуре — удар по мировой культуре.</w:t>
      </w:r>
    </w:p>
    <w:p w14:paraId="30B4038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   Задача ВОКС выступить на борьбу с подготовкой интервенции в защиту мирного строительства СССР.</w:t>
      </w:r>
    </w:p>
    <w:p w14:paraId="04F934A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СЛУШАЛИ:</w:t>
      </w:r>
    </w:p>
    <w:p w14:paraId="6766C5B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 работе по линии печати:</w:t>
      </w:r>
    </w:p>
    <w:p w14:paraId="6CBCA4E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ПОСТАНОВИЛИ:</w:t>
      </w:r>
    </w:p>
    <w:p w14:paraId="1C0FD398"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1. а) Выпускать в течение всего процесса каждые два дня специальные бюллетени, размером до </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bscript"/>
        </w:rPr>
        <w:t>2</w:t>
      </w:r>
      <w:r w:rsidRPr="00507A31">
        <w:rPr>
          <w:color w:val="000000" w:themeColor="text1"/>
          <w:sz w:val="16"/>
          <w:szCs w:val="16"/>
        </w:rPr>
        <w:t> печ. листа, включающие информационный материал по процессу, а также статьи, рисующие достижения социалистического строительства, материалы по прошлой интервенции и т. д. Бюллетени должны распространяться широко за границей.</w:t>
      </w:r>
    </w:p>
    <w:p w14:paraId="26352A6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б)  В качестве материала для ближайшего номера считать целесообразным использовать следующие выступления советской общественности: деятелей искусства в Мал[ом] театре, писателей, объединенных в ФОСП от 17.IX., УЧЕНЫХ В ПЕРВОМ Университете от 19.XI., протоколы митинга, проведенного ВАРНИТСО, совещания научно-техн. работников о походе науки в цеха и колхозы, статью М. Горького — о вредительстве, заявления в печати видных ученых, как Абрикосов, Бах, Самойлович и др.</w:t>
      </w:r>
    </w:p>
    <w:p w14:paraId="60A7EC55"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  Редактирование бюллетеней возложить на товарищей Песис и Минлос. Установить сроком выхода первого номера — 24.XI.</w:t>
      </w:r>
    </w:p>
    <w:p w14:paraId="252266F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г)  Поручить т. Корольчуку обеспечить печатание этих бюллетеней не менее, чем по 100 экз. на каждом языке на стеклографе ВОКСа.</w:t>
      </w:r>
    </w:p>
    <w:p w14:paraId="33D44B9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д)  Поручить Отд[елу] Переводов обеспечить бесперебойный перевод всех материалов на иностранные языки.</w:t>
      </w:r>
    </w:p>
    <w:p w14:paraId="726505D2"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1.   Издать 2 специальных брошюры, посвященных процессу вредителей на иностранных языках.</w:t>
      </w:r>
    </w:p>
    <w:p w14:paraId="289D2FF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A)  Первая брошюра размером в 1 п. л. должна носить подготовительный] характер. Помимо передовой от редакции и статей советских ученых по поводу вредительства, она должна включать отклики советской общественности на процесс и предварительные данные по самому процессу.</w:t>
      </w:r>
    </w:p>
    <w:p w14:paraId="314504B2"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Б) Вторая брошюра должна носить итоговый характер и содержать статейный материал наряду с информацией о всем процессе.</w:t>
      </w:r>
    </w:p>
    <w:p w14:paraId="3FD1F9D4"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B)  Редактирование брошюр возложить на т.т. Мстиславского и Ингбер, поручив им подготовить первую брошюру к сдачи в печать 30.XI. с тем, чтобы она могла выйти 7.XII.</w:t>
      </w:r>
    </w:p>
    <w:p w14:paraId="756A19B2"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Г) Поручить т. Закс-Гладневой представить к 22.XI список переводчиков, которым будет поручена работа по переводу информационных бюллетеней и брошюр.</w:t>
      </w:r>
    </w:p>
    <w:p w14:paraId="0268C026"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2.   Считать необходимым в течение всего процесса проводить его корреспондентское обслуживание с целью своевременного снабжения заграницы свежими материалами.</w:t>
      </w:r>
    </w:p>
    <w:p w14:paraId="07A0164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A)  Выделить с этой целью бригаду для постоянного дежурства на суде в составе т.т. Песиса, Ингбер, Мстиславского, Минлос, Штейнберг, Гомова, возложив ответственность за работу бригады на т. Песиса.</w:t>
      </w:r>
    </w:p>
    <w:p w14:paraId="238426B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Б) Поручить т. Ингбер договориться с секретариатом ФОСП о выделении небольшого писательского актива, для составления корреспондентских сводок о прессе для заграницы.</w:t>
      </w:r>
    </w:p>
    <w:p w14:paraId="1FCD5745"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B)  Просить администрацию договориться с Верхсудом о бесперебойном снабжении ВОКСа всеми материалами по процессу и обеспечении его соответствующим количеством билетов на каждый день.</w:t>
      </w:r>
    </w:p>
    <w:p w14:paraId="2399A9C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3.   Поручить Зав. Всеми Секторами ОВС в 2-хдневный срок составить список адресатов по их странам, куда должны направляться все материалы, издаваемые ВОКСом в связи с процессом.</w:t>
      </w:r>
    </w:p>
    <w:p w14:paraId="5912FFD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Список должен включать помимо уполномоченных и Обществ Сближения:</w:t>
      </w:r>
    </w:p>
    <w:p w14:paraId="48EE84D5"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A)   Печатные органы, как журналы, так и газеты.</w:t>
      </w:r>
    </w:p>
    <w:p w14:paraId="016AC2BD"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Б) Имена выдающихся деятелей каждой страны.</w:t>
      </w:r>
    </w:p>
    <w:p w14:paraId="77BD7A9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B)   Иностранцев, бывш[их] в СССР, с которыми продолжаются дружественные связи.</w:t>
      </w:r>
    </w:p>
    <w:p w14:paraId="3B14D9F5"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4.   Считать необходимым снабжать всем материалом по кампании иностранные газеты, издающиеся сейчас в Москве с последующим распространением этих газет за границей.</w:t>
      </w:r>
    </w:p>
    <w:p w14:paraId="29FA6EF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5.   Считать целесообразным разослать видным представителям зарубежной общественности специальную анкету, соответствующим образом сформулированную, которая побудила бы их недвусмысленно выявить свое отношение к подготовляемой интервенции.</w:t>
      </w:r>
    </w:p>
    <w:p w14:paraId="0780915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Составление анкеты поручить в недельный срок работникам Секций, т.т. Бороздину, &lt;...&gt;, Иванову, возложив ответственность за организацию этого дела на т. Брук.</w:t>
      </w:r>
    </w:p>
    <w:p w14:paraId="6A557220"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СЛУШАЛИ:</w:t>
      </w:r>
    </w:p>
    <w:p w14:paraId="6B08318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 работе по организации общественного] мнения.</w:t>
      </w:r>
    </w:p>
    <w:p w14:paraId="3461FF0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ПОСТАНОВИЛИ:</w:t>
      </w:r>
    </w:p>
    <w:p w14:paraId="2E82C0A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1. В исполнение к мероприятиям, намеченным на прошл[ом] заседании по линии работы Обществ, считать необходимым:</w:t>
      </w:r>
    </w:p>
    <w:p w14:paraId="6924ED0D"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а)  Посылку директивных писем уполномоченным по руководству Обществами в связи с предстоящей кампанией.</w:t>
      </w:r>
    </w:p>
    <w:p w14:paraId="48A702A2"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Поручить заведующим Секторами ОВС в 2-дневный срок составить образцы таких писем по их стране с последующим их согласованием как внутри ОВС, так и с т. Петровым.</w:t>
      </w:r>
    </w:p>
    <w:p w14:paraId="4A1CE4C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Особо срочные директивы дать телеграфно.</w:t>
      </w:r>
    </w:p>
    <w:p w14:paraId="5182988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б)  Разослать особые письма декларативного характера от имени председателя ВОКС к председателям Обществ, поручив в 2-хдневный срок Заведующим Секторами ОВС составить такие письма применительно к индивидуальным особенностям Обществ каждой их страны.</w:t>
      </w:r>
    </w:p>
    <w:p w14:paraId="1A21C61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  Считать необходимым максимальное использование Обществами для продвижения материалов о процессе, получаемых через ВОКС, как &lt;...&gt; печати данной страны, так и специальных органов, если таковые имеются у Обществ.</w:t>
      </w:r>
    </w:p>
    <w:p w14:paraId="1CB9146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г)  Просить Об-ва составить список адресатов по их стране, куда должны направляться материалы ВОКС.</w:t>
      </w:r>
    </w:p>
    <w:p w14:paraId="0351A305"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д) Организовать через Об-ва получение ответов по их стране на анкету, рассылаемую ВОКСом, а также проведение ряда интервью по вопросу об отношении к подготовке интервенции с выдающимися представителями общественности.</w:t>
      </w:r>
    </w:p>
    <w:p w14:paraId="6DE7AF3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2. Считать целесообразным, а в связи с предстоящей кампанией усилить снабжение Об-в соответствующими материалами, иллюстрирующими наши достижения и дающих представление о прошлой интервенции.</w:t>
      </w:r>
    </w:p>
    <w:p w14:paraId="6C3A8862"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 этой целью:</w:t>
      </w:r>
    </w:p>
    <w:p w14:paraId="1C8F04A0"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A)  Поручить Кино- и Фото-Секции к 25-му разработать конкретный план и выяснить через соответствующие организации конкретные возможности срочной посылки за границу специальных культур-фильмов и фотографий.</w:t>
      </w:r>
    </w:p>
    <w:p w14:paraId="35B12CB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Б) Поручить редакции Радио-Газеты разработать к 25-му конкретный план проведения всей кампании по радио.</w:t>
      </w:r>
    </w:p>
    <w:p w14:paraId="690C4F7A"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B) Поручить Отд[елу] выставок к 25 разработать план ряда специальных выстав[ок] о наших культурных достижениях для заграницы, предварительно выяснив в соответствующих органах возможность получения специальных средств на это ударное задание.</w:t>
      </w:r>
    </w:p>
    <w:p w14:paraId="1851D89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Г) Поручить Отд[елу] книгообмена предоставить в ОВС в 2-хдневный срок списки учреждений по их линии, куда можно в дальнейшем направлять материалы, связанные с процессом вредителей.</w:t>
      </w:r>
    </w:p>
    <w:p w14:paraId="16EF919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СЛУШАЛИ:</w:t>
      </w:r>
    </w:p>
    <w:p w14:paraId="7FB23608"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 мобилизации советской общественности.</w:t>
      </w:r>
    </w:p>
    <w:p w14:paraId="72CFD6BA"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ПОСТАНОВИЛИ:</w:t>
      </w:r>
    </w:p>
    <w:p w14:paraId="2A6D874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I. Провести с максимальной эффективностью митинг протеста против вредителей научно-технических и художественных деятелей 23.IX в ЦЕКУБУ. С этой целью:</w:t>
      </w:r>
    </w:p>
    <w:p w14:paraId="46EC2D7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A)  Поручить НТС и Художеств. Сектору обеспечить максимальное присутствие представителей советской общественности, объединяемой секторами ВОКС, на митинге.</w:t>
      </w:r>
    </w:p>
    <w:p w14:paraId="6D99640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Б) Поручить т. Брук договориться с Московским Б[юро] С.Н.Р. и ВАРНИТСО о привлечении через них деятелей науки на митинг.</w:t>
      </w:r>
    </w:p>
    <w:p w14:paraId="309E6D88"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B)   Поручить т.т. Брук и Богомазову к концу дня 22-го представить окончательный состав Президиума и список товарищей, выступление которых предполагается на митинге.</w:t>
      </w:r>
    </w:p>
    <w:p w14:paraId="48DCB4ED"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Ориентировочно наметить в состав Президиума от НТС — т.т. Абрикосова, акад. Баха, Лазарева, Иванова, Лапиров-Скобло, Крупенину, Пинкевича, Представителя ВАРНИТСО; от писателей — т. Вересаева.</w:t>
      </w:r>
    </w:p>
    <w:p w14:paraId="5615BC9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Для выступления на митинге от писателей — т.т. Пильняка, Фадеева, Вс. Иванова, Акровского, Зозулю, Мстиславского; от работников театра — т.т. Берсенева, Меерхольда, от музыкальных работников — т.т. Пшебышевского и Брюсову; от кино-деятелей — т.т. Пудовкина, &lt;...&gt;.</w:t>
      </w:r>
    </w:p>
    <w:p w14:paraId="1AF1CF0B"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Г) Поручить т. Штейнберг к 11 ч. утра 31-го представить проект резолюции, которая будет вынесена на митинге.</w:t>
      </w:r>
    </w:p>
    <w:p w14:paraId="49A0A41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Д) Поручить т. Песис договориться с редакциями наших газет о командировании ими на митинг своих представителей.</w:t>
      </w:r>
    </w:p>
    <w:p w14:paraId="32C346E4"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Е) Поручить т. Манлос выяснить в НКИД вопрос о целесообразности приглашения на митинг иностранных] корреспондентов.</w:t>
      </w:r>
    </w:p>
    <w:p w14:paraId="0883787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Ж) Просить т. Петрова согласовать в соответствующих инстанциях [вопрос] о создании по инициативе БОКС специального Комитета из представителей советской общественности по борьбе с интервенцией. В случае положительного ответа использовать митинг для продвижения этого вопроса.</w:t>
      </w:r>
    </w:p>
    <w:p w14:paraId="36B031D6"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lastRenderedPageBreak/>
        <w:t>3) Поручить отделу по Устройству Вечеров обеспечить митинг стенографисткой, фотосъемкой и трансляцией по радио, а также произвести регистрацию всех посетителей с указанием того учреждения, которое он представляет.</w:t>
      </w:r>
    </w:p>
    <w:p w14:paraId="2074ADB8"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И) Поручить Кино-Секции выяснить возможность киносъемки митинга.</w:t>
      </w:r>
    </w:p>
    <w:p w14:paraId="3739308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II.  Поручить т. Новомирскому к 10 ч. утра 23-го представить проект письма провинц[циальным] отделениям ВОКСа об их задачах к предстоящей кампании.</w:t>
      </w:r>
    </w:p>
    <w:p w14:paraId="280880B8"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III.  Поручить НТС и Художеств[енному] сектору составить подробную программу по работе внутри СССР, как по линии мобилизации советской общественности, так и в направлении привлечения иностранных специалистов, работающих в СССР, к проводимой кампании.</w:t>
      </w:r>
    </w:p>
    <w:p w14:paraId="693ED11B"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СЛУШАЛИ:</w:t>
      </w:r>
    </w:p>
    <w:p w14:paraId="29E8F6D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О материальной базе для проведения кампании.</w:t>
      </w:r>
    </w:p>
    <w:p w14:paraId="69525D8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ПОСТАНОВИЛИ:</w:t>
      </w:r>
    </w:p>
    <w:p w14:paraId="17DA486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I. Просить т. Петрова поставить в соответствующих инстанциях вопрос о выделении с особого фонда на проведение кампании.</w:t>
      </w:r>
    </w:p>
    <w:p w14:paraId="2C185AC8"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II. Составить в 3-дневный срок смету по проведению кампании, поручив это комиссии в составе т.т. Шуман, Песис, Корольчука с привлечением Гильвег и Пигита.</w:t>
      </w:r>
    </w:p>
    <w:p w14:paraId="3D5F6972"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ПРЕДСЕДАТЕЛЬ: ШУМАН</w:t>
      </w:r>
    </w:p>
    <w:p w14:paraId="105D1C80"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СЕКРЕТАРЬ: РОТЕНБЕРГ</w:t>
      </w:r>
    </w:p>
    <w:p w14:paraId="5F1B050F" w14:textId="77777777" w:rsidR="00CD51E7" w:rsidRPr="00507A31" w:rsidRDefault="00CD51E7"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P-5283. On. 1. Д. 139. Л. 3-4 об. Заверенная машинописная копия того времени. В правом верхнем углу листа написано от руки: «Оглашению не подлежит» (18907).</w:t>
      </w:r>
    </w:p>
    <w:p w14:paraId="2A9DF0E2" w14:textId="77777777" w:rsidR="00CD51E7" w:rsidRPr="00507A31" w:rsidRDefault="00CD51E7" w:rsidP="00507A31">
      <w:pPr>
        <w:jc w:val="both"/>
        <w:rPr>
          <w:color w:val="000000" w:themeColor="text1"/>
          <w:sz w:val="16"/>
          <w:szCs w:val="16"/>
        </w:rPr>
      </w:pPr>
    </w:p>
    <w:p w14:paraId="082EDF2D" w14:textId="77777777" w:rsidR="00CD51E7" w:rsidRPr="00507A31" w:rsidRDefault="00CD51E7" w:rsidP="00507A31">
      <w:pPr>
        <w:jc w:val="both"/>
        <w:rPr>
          <w:bCs/>
          <w:color w:val="000000" w:themeColor="text1"/>
          <w:sz w:val="16"/>
          <w:szCs w:val="16"/>
        </w:rPr>
      </w:pPr>
      <w:r w:rsidRPr="00507A31">
        <w:rPr>
          <w:color w:val="000000" w:themeColor="text1"/>
          <w:sz w:val="16"/>
          <w:szCs w:val="16"/>
        </w:rPr>
        <w:t>20 ноября 1930 г.</w:t>
      </w:r>
    </w:p>
    <w:p w14:paraId="0934895B" w14:textId="77777777" w:rsidR="00CD51E7" w:rsidRPr="00507A31" w:rsidRDefault="00CD51E7" w:rsidP="00507A31">
      <w:pPr>
        <w:jc w:val="both"/>
        <w:rPr>
          <w:bCs/>
          <w:color w:val="000000" w:themeColor="text1"/>
          <w:sz w:val="16"/>
          <w:szCs w:val="16"/>
        </w:rPr>
      </w:pPr>
      <w:r w:rsidRPr="00507A31">
        <w:rPr>
          <w:color w:val="000000" w:themeColor="text1"/>
          <w:sz w:val="16"/>
          <w:szCs w:val="16"/>
        </w:rPr>
        <w:t>Записка Белы Куна в Политкомиссию Коминтерна с предложениями о проведении зарубежной кампании в связи с процессом «Промпартии». 20 ноября 1930 г.</w:t>
      </w:r>
    </w:p>
    <w:p w14:paraId="3F8630E4" w14:textId="77777777" w:rsidR="00CD51E7" w:rsidRPr="00507A31" w:rsidRDefault="00CD51E7" w:rsidP="00507A31">
      <w:pPr>
        <w:jc w:val="both"/>
        <w:rPr>
          <w:bCs/>
          <w:color w:val="000000" w:themeColor="text1"/>
          <w:sz w:val="16"/>
          <w:szCs w:val="16"/>
        </w:rPr>
      </w:pPr>
      <w:r w:rsidRPr="00507A31">
        <w:rPr>
          <w:bCs/>
          <w:color w:val="000000" w:themeColor="text1"/>
          <w:sz w:val="16"/>
          <w:szCs w:val="16"/>
        </w:rPr>
        <w:t>Источник: </w:t>
      </w:r>
    </w:p>
    <w:p w14:paraId="1A0E6396" w14:textId="77777777" w:rsidR="00CD51E7" w:rsidRPr="00507A31" w:rsidRDefault="00CD51E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0F3348" w14:textId="77777777" w:rsidR="00CD51E7" w:rsidRPr="00507A31" w:rsidRDefault="00CD51E7" w:rsidP="00507A31">
      <w:pPr>
        <w:jc w:val="both"/>
        <w:rPr>
          <w:bCs/>
          <w:color w:val="000000" w:themeColor="text1"/>
          <w:sz w:val="16"/>
          <w:szCs w:val="16"/>
        </w:rPr>
      </w:pPr>
      <w:r w:rsidRPr="00507A31">
        <w:rPr>
          <w:bCs/>
          <w:color w:val="000000" w:themeColor="text1"/>
          <w:sz w:val="16"/>
          <w:szCs w:val="16"/>
        </w:rPr>
        <w:t>Архив: </w:t>
      </w:r>
    </w:p>
    <w:p w14:paraId="232F1711" w14:textId="77777777" w:rsidR="00CD51E7" w:rsidRPr="00507A31" w:rsidRDefault="00CD51E7" w:rsidP="00507A31">
      <w:pPr>
        <w:jc w:val="both"/>
        <w:rPr>
          <w:color w:val="000000" w:themeColor="text1"/>
          <w:sz w:val="16"/>
          <w:szCs w:val="16"/>
        </w:rPr>
      </w:pPr>
      <w:r w:rsidRPr="00507A31">
        <w:rPr>
          <w:color w:val="000000" w:themeColor="text1"/>
          <w:sz w:val="16"/>
          <w:szCs w:val="16"/>
        </w:rPr>
        <w:t>РГАСПИ. Ф. 495. On. 30. Д. 664. Л. 94</w:t>
      </w:r>
    </w:p>
    <w:p w14:paraId="6094ACB5" w14:textId="77777777" w:rsidR="00CD51E7" w:rsidRPr="00507A31" w:rsidRDefault="00CD51E7" w:rsidP="00507A31">
      <w:pPr>
        <w:pStyle w:val="rteright"/>
        <w:spacing w:before="0" w:after="0"/>
        <w:jc w:val="both"/>
        <w:rPr>
          <w:color w:val="000000" w:themeColor="text1"/>
          <w:sz w:val="16"/>
          <w:szCs w:val="16"/>
        </w:rPr>
      </w:pPr>
      <w:r w:rsidRPr="00507A31">
        <w:rPr>
          <w:color w:val="000000" w:themeColor="text1"/>
          <w:sz w:val="16"/>
          <w:szCs w:val="16"/>
        </w:rPr>
        <w:t>Не позднее 20 ноября 1930 г.</w:t>
      </w:r>
    </w:p>
    <w:p w14:paraId="42B28B2C"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Тов. ПЯТНИЦКОМУ</w:t>
      </w:r>
    </w:p>
    <w:p w14:paraId="5691F4A5"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Копия тов. ГОПНЕР</w:t>
      </w:r>
    </w:p>
    <w:p w14:paraId="386339BB"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Считаю крайне необходимым спешное подытоживание первого этапа кампании, дабы на этой основе выработать директивы для дальнейшего ведения кампании.</w:t>
      </w:r>
    </w:p>
    <w:p w14:paraId="51AA81F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Для этой цели необходимо срочно составить критический обзор кампании в нашей зарубежной прессе. Прилагаю список т.т., которым нужно поручить эту работу по отдельным странам с тем, чтобы к 20 ноября представить обзоры.</w:t>
      </w:r>
    </w:p>
    <w:p w14:paraId="1548C21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Целесообразно, чтобы поручение и список были утверждены Политкомиссией. Если Вы против этого не возражаете, то прошу поставить вопрос на комиссии.</w:t>
      </w:r>
    </w:p>
    <w:p w14:paraId="2349B7C8"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 ноября [19]30 г.</w:t>
      </w:r>
    </w:p>
    <w:p w14:paraId="5E1C3092"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Бела Кун</w:t>
      </w:r>
    </w:p>
    <w:p w14:paraId="7A8044BA" w14:textId="77777777" w:rsidR="00CD51E7" w:rsidRPr="00507A31" w:rsidRDefault="00CD51E7" w:rsidP="00507A31">
      <w:pPr>
        <w:pStyle w:val="ae"/>
        <w:spacing w:before="0" w:after="0"/>
        <w:jc w:val="both"/>
        <w:rPr>
          <w:color w:val="000000" w:themeColor="text1"/>
          <w:sz w:val="16"/>
          <w:szCs w:val="16"/>
        </w:rPr>
      </w:pPr>
      <w:r w:rsidRPr="00507A31">
        <w:rPr>
          <w:rStyle w:val="af0"/>
          <w:i w:val="0"/>
          <w:color w:val="000000" w:themeColor="text1"/>
          <w:sz w:val="16"/>
          <w:szCs w:val="16"/>
        </w:rPr>
        <w:t>РГАСПИ. Ф. 495. On. 30. Д. 664. Л. 94. Машинописный подлинник, подпись — автограф. Число в дате отсутствует, датируется по содержанию документа. Вверху слева написано от руки «На Политкомиссию с вызовом т. Б. Куна». На том же листе ниже помещен список предложенных лиц (машинописью, столбцом) «Германия — Фогараши, Франция и Бельгия — Мюллер, Англия — Мингулин, САСШ и пр. газеты на англ. — П. Арнот, Швейцария и Австрия — Шиф, Скандинавия — Меринг, Чехо-Словакия — Замек, Прибалтика — Мицкевич, Восток — Вост. секретариат]» (18997).</w:t>
      </w:r>
    </w:p>
    <w:p w14:paraId="25D97ECB" w14:textId="77777777" w:rsidR="00CD51E7" w:rsidRPr="00507A31" w:rsidRDefault="00CD51E7" w:rsidP="00507A31">
      <w:pPr>
        <w:jc w:val="both"/>
        <w:rPr>
          <w:color w:val="000000" w:themeColor="text1"/>
          <w:sz w:val="16"/>
          <w:szCs w:val="16"/>
        </w:rPr>
      </w:pPr>
    </w:p>
    <w:p w14:paraId="23E208E4" w14:textId="77777777" w:rsidR="00CD51E7" w:rsidRPr="00507A31" w:rsidRDefault="00CD51E7" w:rsidP="00507A31">
      <w:pPr>
        <w:jc w:val="both"/>
        <w:rPr>
          <w:bCs/>
          <w:color w:val="000000" w:themeColor="text1"/>
          <w:sz w:val="16"/>
          <w:szCs w:val="16"/>
        </w:rPr>
      </w:pPr>
      <w:r w:rsidRPr="00507A31">
        <w:rPr>
          <w:color w:val="000000" w:themeColor="text1"/>
          <w:sz w:val="16"/>
          <w:szCs w:val="16"/>
        </w:rPr>
        <w:t>20 ноября 1930 г.</w:t>
      </w:r>
    </w:p>
    <w:p w14:paraId="317BCFD2" w14:textId="77777777" w:rsidR="00CD51E7" w:rsidRPr="00507A31" w:rsidRDefault="00CD51E7" w:rsidP="00507A31">
      <w:pPr>
        <w:jc w:val="both"/>
        <w:rPr>
          <w:bCs/>
          <w:color w:val="000000" w:themeColor="text1"/>
          <w:sz w:val="16"/>
          <w:szCs w:val="16"/>
        </w:rPr>
      </w:pPr>
      <w:r w:rsidRPr="00507A31">
        <w:rPr>
          <w:color w:val="000000" w:themeColor="text1"/>
          <w:sz w:val="16"/>
          <w:szCs w:val="16"/>
        </w:rPr>
        <w:t>План проведения кампании в связи с судебным процессом «Промпартии» по линии Профинтерна. 20 ноября 1930 г.</w:t>
      </w:r>
    </w:p>
    <w:p w14:paraId="75E07F95" w14:textId="77777777" w:rsidR="00CD51E7" w:rsidRPr="00507A31" w:rsidRDefault="00CD51E7" w:rsidP="00507A31">
      <w:pPr>
        <w:jc w:val="both"/>
        <w:rPr>
          <w:bCs/>
          <w:color w:val="000000" w:themeColor="text1"/>
          <w:sz w:val="16"/>
          <w:szCs w:val="16"/>
        </w:rPr>
      </w:pPr>
      <w:r w:rsidRPr="00507A31">
        <w:rPr>
          <w:bCs/>
          <w:color w:val="000000" w:themeColor="text1"/>
          <w:sz w:val="16"/>
          <w:szCs w:val="16"/>
        </w:rPr>
        <w:t>Источник: </w:t>
      </w:r>
    </w:p>
    <w:p w14:paraId="408B5E3B" w14:textId="77777777" w:rsidR="00CD51E7" w:rsidRPr="00507A31" w:rsidRDefault="00CD51E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DAAD4E0" w14:textId="77777777" w:rsidR="00CD51E7" w:rsidRPr="00507A31" w:rsidRDefault="00CD51E7" w:rsidP="00507A31">
      <w:pPr>
        <w:jc w:val="both"/>
        <w:rPr>
          <w:bCs/>
          <w:color w:val="000000" w:themeColor="text1"/>
          <w:sz w:val="16"/>
          <w:szCs w:val="16"/>
        </w:rPr>
      </w:pPr>
      <w:r w:rsidRPr="00507A31">
        <w:rPr>
          <w:bCs/>
          <w:color w:val="000000" w:themeColor="text1"/>
          <w:sz w:val="16"/>
          <w:szCs w:val="16"/>
        </w:rPr>
        <w:t>Архив: </w:t>
      </w:r>
    </w:p>
    <w:p w14:paraId="5DB56E3D" w14:textId="77777777" w:rsidR="00CD51E7" w:rsidRPr="00507A31" w:rsidRDefault="00CD51E7" w:rsidP="00507A31">
      <w:pPr>
        <w:jc w:val="both"/>
        <w:rPr>
          <w:color w:val="000000" w:themeColor="text1"/>
          <w:sz w:val="16"/>
          <w:szCs w:val="16"/>
        </w:rPr>
      </w:pPr>
      <w:r w:rsidRPr="00507A31">
        <w:rPr>
          <w:color w:val="000000" w:themeColor="text1"/>
          <w:sz w:val="16"/>
          <w:szCs w:val="16"/>
        </w:rPr>
        <w:t>ГА РФ. Ф. P-5451. Oп. 14. Д. 223. Л. 8</w:t>
      </w:r>
    </w:p>
    <w:p w14:paraId="14530456" w14:textId="77777777" w:rsidR="00CD51E7" w:rsidRPr="00507A31" w:rsidRDefault="00CD51E7" w:rsidP="00507A31">
      <w:pPr>
        <w:pStyle w:val="rteright"/>
        <w:spacing w:before="0" w:after="0"/>
        <w:jc w:val="both"/>
        <w:rPr>
          <w:color w:val="000000" w:themeColor="text1"/>
          <w:sz w:val="16"/>
          <w:szCs w:val="16"/>
        </w:rPr>
      </w:pPr>
      <w:r w:rsidRPr="00507A31">
        <w:rPr>
          <w:color w:val="000000" w:themeColor="text1"/>
          <w:sz w:val="16"/>
          <w:szCs w:val="16"/>
        </w:rPr>
        <w:t>20 ноября 1930 г.</w:t>
      </w:r>
    </w:p>
    <w:p w14:paraId="4FDA197A"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План</w:t>
      </w:r>
    </w:p>
    <w:p w14:paraId="7D104D09"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проведения кампании против подготовки интервенции</w:t>
      </w:r>
    </w:p>
    <w:p w14:paraId="75684BCD"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и в защиту СССР</w:t>
      </w:r>
    </w:p>
    <w:p w14:paraId="3D30E94A"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1.  Послать на места срочную телеграмму с указанием на необходимость проведения широкой и боевой кампании против готовящейся интервенции против СССР в связи с процессом контрреволюционной «промышленной партии». Выполнение за т. Юзефовичем. Срок 24 часа.</w:t>
      </w:r>
    </w:p>
    <w:p w14:paraId="1872926D"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2.  Дать срочное указание всем органам революционной профпечати о необходимости самого широкого освещения вопроса о раскрытии вредительской организации в СССР и ее связи с империалистическими странами, готовящими интервенции, о задачах международного пролетариата в связи с этими событиями и т. д. Предложить выпускать специальные экстренные номера по этому вопросу. Выполнение за т. Фейгиным. Срок 24 часа.</w:t>
      </w:r>
    </w:p>
    <w:p w14:paraId="7E68319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3.  По линии АППО Профинтерна разослать в течение трех дней следующую серию статей в революционную печать:</w:t>
      </w:r>
    </w:p>
    <w:p w14:paraId="7E427CEF"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1)  Как профсоюзы должны бороться против опасности интервенции — Юзефович.</w:t>
      </w:r>
    </w:p>
    <w:p w14:paraId="57BFE75E"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2)   Враги готовят интервенцию — Билл-Дэнн.</w:t>
      </w:r>
    </w:p>
    <w:p w14:paraId="781BD57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3)   Международный пролетариат должен отвести руку интервентов — Левман.</w:t>
      </w:r>
    </w:p>
    <w:p w14:paraId="5ED8372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4)   Пролетарии Франции не допустят осуществления планов Пуанкарэ и К-о — Ляпом.</w:t>
      </w:r>
    </w:p>
    <w:p w14:paraId="27C8AA9C"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5)   Трудящиеся Румынии — на защиту СССР — Гаек.</w:t>
      </w:r>
    </w:p>
    <w:p w14:paraId="5845FB89"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6)   Пилсудский — орудие интервенции — Бельская.</w:t>
      </w:r>
    </w:p>
    <w:p w14:paraId="0FCFA0F2"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7)   Рабочие железнодорожники в борьбе с готовящейся интервенцией против СССР — Булацель.</w:t>
      </w:r>
    </w:p>
    <w:p w14:paraId="2B5E262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8)   Рабочие водники — Полано.</w:t>
      </w:r>
    </w:p>
    <w:p w14:paraId="55EA6F86"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9)   Вопли о «советском демпинге» — подготовка интервенции — Джерманетто.</w:t>
      </w:r>
    </w:p>
    <w:p w14:paraId="1DC53ADA"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Вместе со статьями послать соответствующие фото-снимки для иллюстрации. Ответственность за организацию посылки этих статей возложить на т. Фейгина.</w:t>
      </w:r>
    </w:p>
    <w:p w14:paraId="326F8880"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4. Снабжать рев. профпечать материалами о ходе процесса, используя для этого как материалы советской печати, так и материалы специально-посылаемых представителей Профинтерна на процесс. Сектору печати выпускать во время процесса специальный пресс-бюллетень для рев. профпечати. Выполнение за т.т. Норской и Левманом.</w:t>
      </w:r>
    </w:p>
    <w:p w14:paraId="7BD45F0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5. Дать директивы профорганизациям о широком распространении брошюр с обвинительным актом по делу контрреволюционной вредительской организации в СССР (издающейся на всех языках) среди широких слоев рабочих.</w:t>
      </w:r>
    </w:p>
    <w:p w14:paraId="1D4E8927"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6.  Совместно с ВЦСПС провести работу по организации потока писем рабочих СССР к зарубежным рабочим по вопросу о борьбе единым фронтом против интервентов. Поручить т. Фейгину, Робовскому и Войткевичу (ВЦСПС).</w:t>
      </w:r>
    </w:p>
    <w:p w14:paraId="68F06F83"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7. Сектору печати специально проверить, как революционная профпечать освещает вопрос о защите Советского Союза, в частности в связи с последними событиями. Поручить т. Норской.</w:t>
      </w:r>
    </w:p>
    <w:p w14:paraId="6AF2E654"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8.  Дать директиву по этим вопросам ВЦСПС и МКП (т.т. Юзефовичу и Кутник).</w:t>
      </w:r>
    </w:p>
    <w:p w14:paraId="037B1A62"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9. Дать указания через Международную Радио-комиссию при Проф- интерне и МРТО об участии их организации на местах в этой кампании. Поручить т. Диаменту.</w:t>
      </w:r>
    </w:p>
    <w:p w14:paraId="24AFCA71" w14:textId="77777777" w:rsidR="00CD51E7" w:rsidRPr="00507A31" w:rsidRDefault="00CD51E7" w:rsidP="00507A31">
      <w:pPr>
        <w:pStyle w:val="rtejustify"/>
        <w:spacing w:before="0" w:after="0"/>
        <w:rPr>
          <w:color w:val="000000" w:themeColor="text1"/>
          <w:sz w:val="16"/>
          <w:szCs w:val="16"/>
        </w:rPr>
      </w:pPr>
      <w:r w:rsidRPr="00507A31">
        <w:rPr>
          <w:color w:val="000000" w:themeColor="text1"/>
          <w:sz w:val="16"/>
          <w:szCs w:val="16"/>
        </w:rPr>
        <w:t>10.  Организовать ударную бригаду из т.т. Юзефовича, Скульского, Ляпома, Джерманетто, Аплетина (замещает т. Фейгин) для оперативного руководства всей данной кампанией.</w:t>
      </w:r>
    </w:p>
    <w:p w14:paraId="06F6044E"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АППО ПРОФИНТЕРНА</w:t>
      </w:r>
    </w:p>
    <w:p w14:paraId="270FE11B" w14:textId="77777777" w:rsidR="00CD51E7" w:rsidRPr="00507A31" w:rsidRDefault="00CD51E7" w:rsidP="00507A31">
      <w:pPr>
        <w:pStyle w:val="ae"/>
        <w:spacing w:before="0" w:after="0"/>
        <w:jc w:val="both"/>
        <w:rPr>
          <w:color w:val="000000" w:themeColor="text1"/>
          <w:sz w:val="16"/>
          <w:szCs w:val="16"/>
        </w:rPr>
      </w:pPr>
      <w:r w:rsidRPr="00507A31">
        <w:rPr>
          <w:color w:val="000000" w:themeColor="text1"/>
          <w:sz w:val="16"/>
          <w:szCs w:val="16"/>
        </w:rPr>
        <w:t>(ЮЗЕФОВИЧ)</w:t>
      </w:r>
    </w:p>
    <w:p w14:paraId="273B8833" w14:textId="77777777" w:rsidR="00CD51E7" w:rsidRPr="00507A31" w:rsidRDefault="00CD51E7"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223. Л. 8. Машинописная копия того времени. Вверху слева машинописью делопроизводственная помета о количестве напечатанных экземпляров, дата «20/ХI-1930 г.» (19019).</w:t>
      </w:r>
    </w:p>
    <w:p w14:paraId="31E4D9A1" w14:textId="480DE556" w:rsidR="00CD51E7" w:rsidRPr="00507A31" w:rsidRDefault="00CD51E7" w:rsidP="00507A31">
      <w:pPr>
        <w:jc w:val="both"/>
        <w:rPr>
          <w:color w:val="000000" w:themeColor="text1"/>
          <w:sz w:val="16"/>
          <w:szCs w:val="16"/>
        </w:rPr>
      </w:pPr>
    </w:p>
    <w:p w14:paraId="5823F93F" w14:textId="2002EAB2" w:rsidR="00DB30D0" w:rsidRPr="00507A31" w:rsidRDefault="00DB30D0" w:rsidP="00507A31">
      <w:pPr>
        <w:jc w:val="both"/>
        <w:rPr>
          <w:i/>
          <w:iCs/>
          <w:color w:val="000000" w:themeColor="text1"/>
          <w:sz w:val="16"/>
          <w:szCs w:val="16"/>
        </w:rPr>
      </w:pPr>
      <w:r w:rsidRPr="00507A31">
        <w:rPr>
          <w:i/>
          <w:iCs/>
          <w:color w:val="000000" w:themeColor="text1"/>
          <w:sz w:val="16"/>
          <w:szCs w:val="16"/>
        </w:rPr>
        <w:t>За рубежом:</w:t>
      </w:r>
    </w:p>
    <w:p w14:paraId="4A769E12" w14:textId="77777777" w:rsidR="00DB30D0" w:rsidRPr="00507A31" w:rsidRDefault="00DB30D0" w:rsidP="00507A31">
      <w:pPr>
        <w:jc w:val="both"/>
        <w:rPr>
          <w:i/>
          <w:iCs/>
          <w:color w:val="000000" w:themeColor="text1"/>
          <w:sz w:val="16"/>
          <w:szCs w:val="16"/>
        </w:rPr>
      </w:pPr>
    </w:p>
    <w:p w14:paraId="5FE58E1E" w14:textId="77777777" w:rsidR="00F77CE6" w:rsidRPr="00507A31" w:rsidRDefault="00F77CE6" w:rsidP="00507A31">
      <w:pPr>
        <w:jc w:val="both"/>
        <w:rPr>
          <w:color w:val="0070C0"/>
          <w:sz w:val="16"/>
          <w:szCs w:val="16"/>
        </w:rPr>
      </w:pPr>
      <w:r w:rsidRPr="00507A31">
        <w:rPr>
          <w:color w:val="0070C0"/>
          <w:sz w:val="16"/>
          <w:szCs w:val="16"/>
        </w:rPr>
        <w:lastRenderedPageBreak/>
        <w:t>20 ноября 1930 г. в Винья-ди-Валле организовали показательные испытания на взлет с возрастающей нагрузкой самолета S.62bis, на которых присутствовала советская делегация и советский военный атташе в Риме Трудолюбов (РГВА. Ф. 29. Оп. 76. Д. 927. Л. 9.). Пилотировал самолет Алессандро Пассалева. Поскольку сами итальянцы характеризовали самолет как «неустойчивый в продольном отношении» (РГВА. Ф. 29. Оп. 76. Д. 927. Л. 16.), было принято решение, что советский летчик-испытатель Митрофан Коровкин «должен ознакомиться с результатами продувок модели на устойчивость, а также о высылке чертежей для постройки модели и испытании ее в ЦАГИ» (РГВА. Ф. 29. Оп. 76. Д. 927. Л. 16.).</w:t>
      </w:r>
    </w:p>
    <w:p w14:paraId="0489F842" w14:textId="77777777" w:rsidR="00F77CE6" w:rsidRPr="00507A31" w:rsidRDefault="00F77CE6" w:rsidP="00507A31">
      <w:pPr>
        <w:jc w:val="both"/>
        <w:rPr>
          <w:color w:val="0070C0"/>
          <w:sz w:val="16"/>
          <w:szCs w:val="16"/>
        </w:rPr>
      </w:pPr>
    </w:p>
    <w:p w14:paraId="337DCBC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C008143" w14:textId="77777777" w:rsidR="00537E5F" w:rsidRPr="00507A31" w:rsidRDefault="00537E5F" w:rsidP="00507A31">
      <w:pPr>
        <w:autoSpaceDE w:val="0"/>
        <w:autoSpaceDN w:val="0"/>
        <w:adjustRightInd w:val="0"/>
        <w:jc w:val="both"/>
        <w:rPr>
          <w:iCs/>
          <w:color w:val="000000" w:themeColor="text1"/>
          <w:sz w:val="16"/>
          <w:szCs w:val="16"/>
        </w:rPr>
      </w:pPr>
    </w:p>
    <w:p w14:paraId="3A6BE8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ноября 1930 ВАО письмом в ЦАГИ N 190/1132сс сообщил, что вес М-34 - 540 кг (1077,182).</w:t>
      </w:r>
    </w:p>
    <w:p w14:paraId="58D52EDC" w14:textId="77777777" w:rsidR="00537E5F" w:rsidRPr="00507A31" w:rsidRDefault="00537E5F" w:rsidP="00507A31">
      <w:pPr>
        <w:autoSpaceDE w:val="0"/>
        <w:autoSpaceDN w:val="0"/>
        <w:adjustRightInd w:val="0"/>
        <w:jc w:val="both"/>
        <w:rPr>
          <w:color w:val="000000" w:themeColor="text1"/>
          <w:sz w:val="16"/>
          <w:szCs w:val="16"/>
        </w:rPr>
      </w:pPr>
    </w:p>
    <w:p w14:paraId="057393A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DF520F3" w14:textId="77777777" w:rsidR="00537E5F" w:rsidRPr="00507A31" w:rsidRDefault="00537E5F" w:rsidP="00507A31">
      <w:pPr>
        <w:autoSpaceDE w:val="0"/>
        <w:autoSpaceDN w:val="0"/>
        <w:adjustRightInd w:val="0"/>
        <w:jc w:val="both"/>
        <w:rPr>
          <w:iCs/>
          <w:color w:val="000000" w:themeColor="text1"/>
          <w:sz w:val="16"/>
          <w:szCs w:val="16"/>
        </w:rPr>
      </w:pPr>
    </w:p>
    <w:p w14:paraId="7FFDE0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 ноября 1930 г. РВС СССР принимает реше</w:t>
      </w:r>
      <w:r w:rsidRPr="00507A31">
        <w:rPr>
          <w:color w:val="000000" w:themeColor="text1"/>
          <w:sz w:val="16"/>
          <w:szCs w:val="16"/>
        </w:rPr>
        <w:softHyphen/>
        <w:t>ние о производстве танка «Кристи» в СССР. Вскоре возник вопрос об индексе для него, который по сквозной системе идексации должен был быть Т-28, или Т-29. Но тут выступил глава УММ: «Поскольку танк американца Кристи не вечает требованиям Системы Танко-тракторно-автоб-че-вооружения и на вооружение не принят, во избежание путаницы армейского обозначения (литер «Т») ему не присваатъ. Более разумным представляется присвоении ему двухбуквенного обозначения «СТ» — скороходный танк, или «БТ» — лстроходный танк...» (10733,193).</w:t>
      </w:r>
    </w:p>
    <w:p w14:paraId="499E0A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F0B5DA4" w14:textId="77777777" w:rsidR="003E5DD5" w:rsidRPr="00507A31" w:rsidRDefault="003E5DD5" w:rsidP="00507A31">
      <w:pPr>
        <w:jc w:val="both"/>
        <w:rPr>
          <w:color w:val="000000" w:themeColor="text1"/>
          <w:sz w:val="16"/>
          <w:szCs w:val="16"/>
        </w:rPr>
      </w:pPr>
      <w:r w:rsidRPr="00507A31">
        <w:rPr>
          <w:color w:val="000000" w:themeColor="text1"/>
          <w:sz w:val="16"/>
          <w:szCs w:val="16"/>
        </w:rPr>
        <w:t>21 ноября 1930 года, не дожидаясь прибытия опытных образцов М1931, постановлением РВС СССР от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02144688" w14:textId="77777777" w:rsidR="003E5DD5" w:rsidRPr="00507A31" w:rsidRDefault="003E5DD5" w:rsidP="00507A31">
      <w:pPr>
        <w:jc w:val="both"/>
        <w:rPr>
          <w:color w:val="000000" w:themeColor="text1"/>
          <w:sz w:val="16"/>
          <w:szCs w:val="16"/>
        </w:rPr>
      </w:pPr>
    </w:p>
    <w:p w14:paraId="10A92126" w14:textId="77777777" w:rsidR="00DB30D0" w:rsidRPr="00507A31" w:rsidRDefault="00DB30D0" w:rsidP="00507A31">
      <w:pPr>
        <w:shd w:val="clear" w:color="auto" w:fill="FFFFFF"/>
        <w:jc w:val="both"/>
        <w:rPr>
          <w:color w:val="0070C0"/>
          <w:sz w:val="16"/>
          <w:szCs w:val="16"/>
        </w:rPr>
      </w:pPr>
      <w:r w:rsidRPr="00507A31">
        <w:rPr>
          <w:color w:val="0070C0"/>
          <w:sz w:val="16"/>
          <w:szCs w:val="16"/>
          <w:shd w:val="clear" w:color="auto" w:fill="FFFFFF"/>
        </w:rPr>
        <w:t>21 ноября 1930 года, с подачи Халепского, танк Кристи стал называться БТ, или Б-Т (быстроходный танк). Тем самым он как бы отделялся от "маневренного" Т-24. Его выпуск поначалу никто не отменял (окончательное решение о запуске Т-24 в производство приняли 5 ноября 1930 года), но ХПЗ выпуск установочной партии из 15 машин данного типа завалил. И постепенно становилось понятно, что Т-24, что называется, не жилец. Машина стремительно устаревала, вопрос был в том, кто ее заменит. И БТ был отнюдь не единственным кандидатом (20339).</w:t>
      </w:r>
    </w:p>
    <w:p w14:paraId="43696042" w14:textId="77777777" w:rsidR="00DB30D0" w:rsidRPr="00507A31" w:rsidRDefault="00DB30D0" w:rsidP="00507A31">
      <w:pPr>
        <w:shd w:val="clear" w:color="auto" w:fill="FFFFFF"/>
        <w:jc w:val="both"/>
        <w:rPr>
          <w:color w:val="0070C0"/>
          <w:sz w:val="16"/>
          <w:szCs w:val="16"/>
        </w:rPr>
      </w:pPr>
    </w:p>
    <w:p w14:paraId="5EE27CBC" w14:textId="77777777" w:rsidR="00113BB4" w:rsidRPr="00507A31" w:rsidRDefault="00113BB4" w:rsidP="00507A31">
      <w:pPr>
        <w:jc w:val="both"/>
        <w:rPr>
          <w:color w:val="000000" w:themeColor="text1"/>
          <w:sz w:val="16"/>
          <w:szCs w:val="16"/>
        </w:rPr>
      </w:pPr>
      <w:r w:rsidRPr="00507A31">
        <w:rPr>
          <w:color w:val="000000" w:themeColor="text1"/>
          <w:sz w:val="16"/>
          <w:szCs w:val="16"/>
        </w:rPr>
        <w:t>21 ноября 1930 г. Постановление Президиума ВСНХ СССР об образовании в составе Всехимпрома единого хозяйственного органа, объединяющего деятельность фосфоритных и хромовых рудников, принадлежащих бывшему Центрохимтресту, Укрхимтресту и Севхимтресту (РГАЭ. Ф. 3429. Оп. 1. Д. 5195. Л. 195) (12417).</w:t>
      </w:r>
    </w:p>
    <w:p w14:paraId="31D83462" w14:textId="77777777" w:rsidR="00113BB4" w:rsidRPr="00507A31" w:rsidRDefault="00113BB4" w:rsidP="00507A31">
      <w:pPr>
        <w:jc w:val="both"/>
        <w:rPr>
          <w:color w:val="000000" w:themeColor="text1"/>
          <w:sz w:val="16"/>
          <w:szCs w:val="16"/>
        </w:rPr>
      </w:pPr>
    </w:p>
    <w:p w14:paraId="4E5E56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ноября 1930 года для руководства ходом дел на процессе «Промпартии» Политбюро создает комиссию в составе Литвинова (с заменой Кречинским), Молотова, Сталина, Ворошилова, Менжинского, Янсона и Крыленко (11248).</w:t>
      </w:r>
    </w:p>
    <w:p w14:paraId="142121B0" w14:textId="77777777" w:rsidR="00537E5F" w:rsidRPr="00507A31" w:rsidRDefault="00537E5F" w:rsidP="00507A31">
      <w:pPr>
        <w:autoSpaceDE w:val="0"/>
        <w:autoSpaceDN w:val="0"/>
        <w:adjustRightInd w:val="0"/>
        <w:jc w:val="both"/>
        <w:rPr>
          <w:color w:val="000000" w:themeColor="text1"/>
          <w:sz w:val="16"/>
          <w:szCs w:val="16"/>
        </w:rPr>
      </w:pPr>
    </w:p>
    <w:p w14:paraId="561617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ноября 1930 г. на заводе "Ленинская куз</w:t>
      </w:r>
      <w:r w:rsidRPr="00507A31">
        <w:rPr>
          <w:color w:val="000000" w:themeColor="text1"/>
          <w:sz w:val="16"/>
          <w:szCs w:val="16"/>
        </w:rPr>
        <w:softHyphen/>
        <w:t>ница" был заложен и строился монитор "Ударный". Он был спущен на воду в мае 1932 г., а в июне 1934 г. вступил в строй (3898).</w:t>
      </w:r>
    </w:p>
    <w:p w14:paraId="288BD827" w14:textId="77777777" w:rsidR="00537E5F" w:rsidRPr="00507A31" w:rsidRDefault="00537E5F" w:rsidP="00507A31">
      <w:pPr>
        <w:autoSpaceDE w:val="0"/>
        <w:autoSpaceDN w:val="0"/>
        <w:adjustRightInd w:val="0"/>
        <w:jc w:val="both"/>
        <w:rPr>
          <w:color w:val="000000" w:themeColor="text1"/>
          <w:sz w:val="16"/>
          <w:szCs w:val="16"/>
        </w:rPr>
      </w:pPr>
    </w:p>
    <w:p w14:paraId="17F029E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3858086" w14:textId="77777777" w:rsidR="00537E5F" w:rsidRPr="00507A31" w:rsidRDefault="00537E5F" w:rsidP="00507A31">
      <w:pPr>
        <w:autoSpaceDE w:val="0"/>
        <w:autoSpaceDN w:val="0"/>
        <w:adjustRightInd w:val="0"/>
        <w:jc w:val="both"/>
        <w:rPr>
          <w:iCs/>
          <w:color w:val="000000" w:themeColor="text1"/>
          <w:sz w:val="16"/>
          <w:szCs w:val="16"/>
        </w:rPr>
      </w:pPr>
    </w:p>
    <w:p w14:paraId="63A098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21 и 27 ноября 1930. Протокол заседания Политбюро № 16, 1930 г.</w:t>
      </w:r>
    </w:p>
    <w:p w14:paraId="23094D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ходе мобилизации денежных средств населения.</w:t>
      </w:r>
    </w:p>
    <w:p w14:paraId="36EC90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Несмотря на ряд директив Политбюро ЦК, местные парторганизации до сего времени не обеспечили выполнения плана мобилизации средств населения. Крупное недовыполнение плана в октябре и резкое снижение темпов в первой декаде ноября привели к недобору в 300 м. р. (миллионов рублей.— "Власть"), создав напряжение в выдаче зарплаты и финансирования заготовок, задолженность по которым составляет: по зарплате — 20 м. р. и заготовкам — 80 м. р. Такой темп мобилизации средств населения... угрожает срывом выполнения финансового плана особого квартала. </w:t>
      </w:r>
    </w:p>
    <w:p w14:paraId="2C820D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ЦК обращает внимание на резкое отставание поступлений по платежам: займу "Пятилетка в четыре года", самообложению, системе с.-х. кредитов, сберкассам и по квартирной плате... </w:t>
      </w:r>
    </w:p>
    <w:p w14:paraId="145E02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ЦК считает необходимым отметить, что выявление кулацких хозяйств и взыскание с них задолженности в областях Уральской, Ивановской, Нижегородской и Западной проходит особенно неудовлетворительно. </w:t>
      </w:r>
    </w:p>
    <w:p w14:paraId="758A90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ЦК со всей решительностью требует от всех партийных организаций полного выполнения плана мобилизации средств и предупреждает, что это явится для них серьезной проверкой действительного большевистского руководства в деле осуществления важнейшей директивы ЦК. </w:t>
      </w:r>
    </w:p>
    <w:p w14:paraId="5FDBF9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ЦК со всей категоричностью отмечает, что директива... об ускорении товарооборота во многих местах еще не проведена в жизнь и предлагает Наркомторгу, Центросоюзу и местным партийным организациям обеспечить полное проведение в жизнь этой директивы. ЦК предлагает Госбанку пересмотреть в сторону снижения лимиты кредитования потребкооперации с тем, чтобы это снижение в основном было проведено за счет областей и краев, где особенно плохо обстоит с реализацией имеющихся запасов товаров... </w:t>
      </w:r>
    </w:p>
    <w:p w14:paraId="150E3B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ЦК отмечает, что реализация коммерческого сахара проходит неудовлетворительно. Обязать Центросоюз и НКТорг немедленно направить сахар в сельские районы, пересмотрев общий план завоза сахара. </w:t>
      </w:r>
    </w:p>
    <w:p w14:paraId="5E06D2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Поручить НКПС, ВСНХ и НКТоргу в пятидневный срок наметить мероприятия для планомерного и быстрого продвижения товаров из промышленности в товаропроводящую сеть, обеспечив ее необходимым транспортом (11652).</w:t>
      </w:r>
    </w:p>
    <w:p w14:paraId="46C22E1B" w14:textId="77777777" w:rsidR="00537E5F" w:rsidRPr="00507A31" w:rsidRDefault="00537E5F" w:rsidP="00507A31">
      <w:pPr>
        <w:autoSpaceDE w:val="0"/>
        <w:autoSpaceDN w:val="0"/>
        <w:adjustRightInd w:val="0"/>
        <w:jc w:val="both"/>
        <w:rPr>
          <w:color w:val="000000" w:themeColor="text1"/>
          <w:sz w:val="16"/>
          <w:szCs w:val="16"/>
        </w:rPr>
      </w:pPr>
    </w:p>
    <w:p w14:paraId="226F8B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21 и 27 ноября 1930. Протокол заседания Политбюро № 17, 1930 г.</w:t>
      </w:r>
    </w:p>
    <w:p w14:paraId="2C3D7D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 столовых в Москве </w:t>
      </w:r>
    </w:p>
    <w:p w14:paraId="4DFCBA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 Обязать МСПО (Московский совет потребительских обществ.— "Власть") совместно с Наркомснабом развернуть в городской части Москвы новые открытые столовые для служащих г. Москвы, приезжающих в командировки и пр., на 20-30 тысяч человек с тем, чтобы качество обедов в столовых было безусловно удовлетворительное. Предложить также МСПО улучшить питание в существующих закрытых (учрежденческих) столовых и открыть возможно большее количество кафе и чайных. </w:t>
      </w:r>
    </w:p>
    <w:p w14:paraId="737E59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Поручить Секретариату ЦК выработать проект организации специальной инспекции из представителей ОГПУ, РКИ, комсомола и профсоюзов для строжайшей проверки состояния всех столовых и хлебопекарен Москвы, с привлечением столующихся к этой проверке (11652).</w:t>
      </w:r>
    </w:p>
    <w:p w14:paraId="5139ED69" w14:textId="77777777" w:rsidR="00537E5F" w:rsidRPr="00507A31" w:rsidRDefault="00537E5F" w:rsidP="00507A31">
      <w:pPr>
        <w:autoSpaceDE w:val="0"/>
        <w:autoSpaceDN w:val="0"/>
        <w:adjustRightInd w:val="0"/>
        <w:jc w:val="both"/>
        <w:rPr>
          <w:color w:val="000000" w:themeColor="text1"/>
          <w:sz w:val="16"/>
          <w:szCs w:val="16"/>
        </w:rPr>
      </w:pPr>
    </w:p>
    <w:p w14:paraId="3655B9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21 и 27 ноября 1930. Протокол заседания Политбюро № 17, 1930 г.</w:t>
      </w:r>
    </w:p>
    <w:p w14:paraId="11ADB9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 районах гор. Москвы</w:t>
      </w:r>
    </w:p>
    <w:p w14:paraId="50B73D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 Принять предложение МК ВКП(б) о разукрупнении районов г. Москвы и выделении дополнительно к 6 существующим районам еще 4 районов с наименованием их: </w:t>
      </w:r>
    </w:p>
    <w:p w14:paraId="20CD22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Октябрьский, </w:t>
      </w:r>
    </w:p>
    <w:p w14:paraId="78A1F8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Ленинский, </w:t>
      </w:r>
    </w:p>
    <w:p w14:paraId="78CB8F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Сталинский, </w:t>
      </w:r>
    </w:p>
    <w:p w14:paraId="344FF4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Дзержинский. </w:t>
      </w:r>
    </w:p>
    <w:p w14:paraId="7A50E9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Переименовать Хамовнический район в Фрунзенский район (11652).</w:t>
      </w:r>
    </w:p>
    <w:p w14:paraId="0D183912" w14:textId="77777777" w:rsidR="00537E5F" w:rsidRPr="00507A31" w:rsidRDefault="00537E5F" w:rsidP="00507A31">
      <w:pPr>
        <w:autoSpaceDE w:val="0"/>
        <w:autoSpaceDN w:val="0"/>
        <w:adjustRightInd w:val="0"/>
        <w:jc w:val="both"/>
        <w:rPr>
          <w:color w:val="000000" w:themeColor="text1"/>
          <w:sz w:val="16"/>
          <w:szCs w:val="16"/>
        </w:rPr>
      </w:pPr>
    </w:p>
    <w:p w14:paraId="755210D2" w14:textId="77777777" w:rsidR="006E6C8D" w:rsidRPr="00507A31" w:rsidRDefault="006E6C8D" w:rsidP="00507A31">
      <w:pPr>
        <w:jc w:val="both"/>
        <w:rPr>
          <w:color w:val="000000" w:themeColor="text1"/>
          <w:sz w:val="16"/>
          <w:szCs w:val="16"/>
        </w:rPr>
      </w:pPr>
      <w:r w:rsidRPr="00507A31">
        <w:rPr>
          <w:color w:val="000000" w:themeColor="text1"/>
          <w:sz w:val="16"/>
          <w:szCs w:val="16"/>
        </w:rPr>
        <w:t>21 ноября 1930 г.</w:t>
      </w:r>
    </w:p>
    <w:p w14:paraId="685C4BB6" w14:textId="77777777" w:rsidR="006E6C8D" w:rsidRPr="00507A31" w:rsidRDefault="006E6C8D" w:rsidP="00507A31">
      <w:pPr>
        <w:jc w:val="both"/>
        <w:rPr>
          <w:color w:val="000000" w:themeColor="text1"/>
          <w:sz w:val="16"/>
          <w:szCs w:val="16"/>
        </w:rPr>
      </w:pPr>
      <w:r w:rsidRPr="00507A31">
        <w:rPr>
          <w:color w:val="000000" w:themeColor="text1"/>
          <w:sz w:val="16"/>
          <w:szCs w:val="16"/>
        </w:rPr>
        <w:t>Постановление Политбюро ЦК ВКП(б) о создании комиссии «для руководства ходом дел на процессе Промпартии». Из протокола заседания Политбюро № 16, п. 48 от 21 ноября 1930 г.</w:t>
      </w:r>
    </w:p>
    <w:p w14:paraId="37D17609" w14:textId="77777777" w:rsidR="006E6C8D" w:rsidRPr="00507A31" w:rsidRDefault="006E6C8D" w:rsidP="00507A31">
      <w:pPr>
        <w:jc w:val="both"/>
        <w:rPr>
          <w:color w:val="000000" w:themeColor="text1"/>
          <w:sz w:val="16"/>
          <w:szCs w:val="16"/>
        </w:rPr>
      </w:pPr>
      <w:r w:rsidRPr="00507A31">
        <w:rPr>
          <w:color w:val="000000" w:themeColor="text1"/>
          <w:sz w:val="16"/>
          <w:szCs w:val="16"/>
        </w:rPr>
        <w:t>Источник: </w:t>
      </w:r>
    </w:p>
    <w:p w14:paraId="79AA06D7" w14:textId="77777777" w:rsidR="006E6C8D" w:rsidRPr="00507A31" w:rsidRDefault="006E6C8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AD56291" w14:textId="77777777" w:rsidR="006E6C8D" w:rsidRPr="00507A31" w:rsidRDefault="006E6C8D" w:rsidP="00507A31">
      <w:pPr>
        <w:jc w:val="both"/>
        <w:rPr>
          <w:color w:val="000000" w:themeColor="text1"/>
          <w:sz w:val="16"/>
          <w:szCs w:val="16"/>
        </w:rPr>
      </w:pPr>
      <w:r w:rsidRPr="00507A31">
        <w:rPr>
          <w:color w:val="000000" w:themeColor="text1"/>
          <w:sz w:val="16"/>
          <w:szCs w:val="16"/>
        </w:rPr>
        <w:t>Архив: </w:t>
      </w:r>
    </w:p>
    <w:p w14:paraId="3732FCEA" w14:textId="77777777" w:rsidR="006E6C8D" w:rsidRPr="00507A31" w:rsidRDefault="006E6C8D" w:rsidP="00507A31">
      <w:pPr>
        <w:jc w:val="both"/>
        <w:rPr>
          <w:color w:val="000000" w:themeColor="text1"/>
          <w:sz w:val="16"/>
          <w:szCs w:val="16"/>
        </w:rPr>
      </w:pPr>
      <w:r w:rsidRPr="00507A31">
        <w:rPr>
          <w:color w:val="000000" w:themeColor="text1"/>
          <w:sz w:val="16"/>
          <w:szCs w:val="16"/>
        </w:rPr>
        <w:t>РГАСПИ. Ф. 17. On. 3. Д. 805. Л. 13</w:t>
      </w:r>
    </w:p>
    <w:p w14:paraId="3A1D653D" w14:textId="77777777" w:rsidR="006E6C8D" w:rsidRPr="00507A31" w:rsidRDefault="006E6C8D" w:rsidP="00507A31">
      <w:pPr>
        <w:jc w:val="both"/>
        <w:rPr>
          <w:color w:val="000000" w:themeColor="text1"/>
          <w:sz w:val="16"/>
          <w:szCs w:val="16"/>
        </w:rPr>
      </w:pPr>
      <w:r w:rsidRPr="00507A31">
        <w:rPr>
          <w:color w:val="000000" w:themeColor="text1"/>
          <w:sz w:val="16"/>
          <w:szCs w:val="16"/>
        </w:rPr>
        <w:lastRenderedPageBreak/>
        <w:t>от 21 ноября 1930 г.</w:t>
      </w:r>
    </w:p>
    <w:p w14:paraId="14C1B2E6" w14:textId="77777777" w:rsidR="006E6C8D" w:rsidRPr="00507A31" w:rsidRDefault="006E6C8D" w:rsidP="00507A31">
      <w:pPr>
        <w:jc w:val="both"/>
        <w:rPr>
          <w:color w:val="000000" w:themeColor="text1"/>
          <w:sz w:val="16"/>
          <w:szCs w:val="16"/>
        </w:rPr>
      </w:pPr>
      <w:r w:rsidRPr="00507A31">
        <w:rPr>
          <w:color w:val="000000" w:themeColor="text1"/>
          <w:sz w:val="16"/>
          <w:szCs w:val="16"/>
        </w:rPr>
        <w:t>СТРОГО СЕКРЕТНО.</w:t>
      </w:r>
    </w:p>
    <w:p w14:paraId="65F8DDF2" w14:textId="77777777" w:rsidR="006E6C8D" w:rsidRPr="00507A31" w:rsidRDefault="006E6C8D" w:rsidP="00507A31">
      <w:pPr>
        <w:jc w:val="both"/>
        <w:rPr>
          <w:color w:val="000000" w:themeColor="text1"/>
          <w:sz w:val="16"/>
          <w:szCs w:val="16"/>
        </w:rPr>
      </w:pPr>
      <w:r w:rsidRPr="00507A31">
        <w:rPr>
          <w:color w:val="000000" w:themeColor="text1"/>
          <w:sz w:val="16"/>
          <w:szCs w:val="16"/>
        </w:rPr>
        <w:t>Опросом членов ПБ от 21.XI.30 г.</w:t>
      </w:r>
    </w:p>
    <w:p w14:paraId="17677631" w14:textId="77777777" w:rsidR="006E6C8D" w:rsidRPr="00507A31" w:rsidRDefault="006E6C8D" w:rsidP="00507A31">
      <w:pPr>
        <w:jc w:val="both"/>
        <w:rPr>
          <w:color w:val="000000" w:themeColor="text1"/>
          <w:sz w:val="16"/>
          <w:szCs w:val="16"/>
        </w:rPr>
      </w:pPr>
      <w:r w:rsidRPr="00507A31">
        <w:rPr>
          <w:color w:val="000000" w:themeColor="text1"/>
          <w:sz w:val="16"/>
          <w:szCs w:val="16"/>
        </w:rPr>
        <w:t>48/48. О процессе промпартии.</w:t>
      </w:r>
    </w:p>
    <w:p w14:paraId="772DF124" w14:textId="77777777" w:rsidR="006E6C8D" w:rsidRPr="00507A31" w:rsidRDefault="006E6C8D" w:rsidP="00507A31">
      <w:pPr>
        <w:jc w:val="both"/>
        <w:rPr>
          <w:color w:val="000000" w:themeColor="text1"/>
          <w:sz w:val="16"/>
          <w:szCs w:val="16"/>
        </w:rPr>
      </w:pPr>
      <w:r w:rsidRPr="00507A31">
        <w:rPr>
          <w:color w:val="000000" w:themeColor="text1"/>
          <w:sz w:val="16"/>
          <w:szCs w:val="16"/>
        </w:rPr>
        <w:t>Для руководства ходом дел на процессе промпартии создать комиссию в составе т.т. Литвинова (с заменой Крестинским), Молотова, Сталина, Ворошилова, Менжинского, Янсон[а] и Крыленко.</w:t>
      </w:r>
    </w:p>
    <w:p w14:paraId="3888ECE3" w14:textId="77777777" w:rsidR="006E6C8D" w:rsidRPr="00507A31" w:rsidRDefault="006E6C8D" w:rsidP="00507A31">
      <w:pPr>
        <w:jc w:val="both"/>
        <w:rPr>
          <w:color w:val="000000" w:themeColor="text1"/>
          <w:sz w:val="16"/>
          <w:szCs w:val="16"/>
        </w:rPr>
      </w:pPr>
      <w:r w:rsidRPr="00507A31">
        <w:rPr>
          <w:color w:val="000000" w:themeColor="text1"/>
          <w:sz w:val="16"/>
          <w:szCs w:val="16"/>
        </w:rPr>
        <w:t>Созыв за т. Молотовым.</w:t>
      </w:r>
    </w:p>
    <w:p w14:paraId="77F48F36" w14:textId="77777777" w:rsidR="006E6C8D" w:rsidRPr="00507A31" w:rsidRDefault="006E6C8D" w:rsidP="00507A31">
      <w:pPr>
        <w:jc w:val="both"/>
        <w:rPr>
          <w:color w:val="000000" w:themeColor="text1"/>
          <w:sz w:val="16"/>
          <w:szCs w:val="16"/>
        </w:rPr>
      </w:pPr>
      <w:r w:rsidRPr="00507A31">
        <w:rPr>
          <w:color w:val="000000" w:themeColor="text1"/>
          <w:sz w:val="16"/>
          <w:szCs w:val="16"/>
        </w:rPr>
        <w:t>Секретарь ЦК</w:t>
      </w:r>
    </w:p>
    <w:p w14:paraId="7C270725" w14:textId="77777777" w:rsidR="006E6C8D" w:rsidRPr="00507A31" w:rsidRDefault="006E6C8D" w:rsidP="00507A31">
      <w:pPr>
        <w:jc w:val="both"/>
        <w:rPr>
          <w:color w:val="000000" w:themeColor="text1"/>
          <w:sz w:val="16"/>
          <w:szCs w:val="16"/>
        </w:rPr>
      </w:pPr>
      <w:r w:rsidRPr="00507A31">
        <w:rPr>
          <w:color w:val="000000" w:themeColor="text1"/>
          <w:sz w:val="16"/>
          <w:szCs w:val="16"/>
        </w:rPr>
        <w:t>Д. 356. Л. 10. Машинописная выписка на бланке ЦК ВКП(б). Номер протокола «№ П16/опр.48 с.» впечатан в графу бланка, дата вписана от руки. Вверху напечатан адрес рассылки: «т.т. Литвинову, Молотову, Сталину, Ворошилову, Менжинскому, Янсону, Крыленко, Крестинскому» (фамилия Крестинского от руки).</w:t>
      </w:r>
    </w:p>
    <w:p w14:paraId="004A1274" w14:textId="77777777" w:rsidR="006E6C8D" w:rsidRPr="00507A31" w:rsidRDefault="006E6C8D" w:rsidP="00507A31">
      <w:pPr>
        <w:jc w:val="both"/>
        <w:rPr>
          <w:color w:val="000000" w:themeColor="text1"/>
          <w:sz w:val="16"/>
          <w:szCs w:val="16"/>
        </w:rPr>
      </w:pPr>
      <w:r w:rsidRPr="00507A31">
        <w:rPr>
          <w:color w:val="000000" w:themeColor="text1"/>
          <w:sz w:val="16"/>
          <w:szCs w:val="16"/>
        </w:rPr>
        <w:t xml:space="preserve">РГАСПИ. Ф. 17. </w:t>
      </w:r>
      <w:r w:rsidRPr="00507A31">
        <w:rPr>
          <w:color w:val="000000" w:themeColor="text1"/>
          <w:sz w:val="16"/>
          <w:szCs w:val="16"/>
          <w:lang w:val="en-US"/>
        </w:rPr>
        <w:t>On</w:t>
      </w:r>
      <w:r w:rsidRPr="00507A31">
        <w:rPr>
          <w:color w:val="000000" w:themeColor="text1"/>
          <w:sz w:val="16"/>
          <w:szCs w:val="16"/>
        </w:rPr>
        <w:t>. 3. Д. 805. Л. 13. «Подписной» протокол заседаний Политбюро ЦК ВКП(б) от 21 ноября 1930 г. Машинописная копия того времени, заверенная печатью ЦК ВКП(б), подпись-факсимиле И. В. Сталина. В п. 48/48 напечатано «О процессе промпартии»: вместо текста постановления записано «Решение — особая папка».</w:t>
      </w:r>
    </w:p>
    <w:p w14:paraId="34B290EE" w14:textId="77777777" w:rsidR="006E6C8D" w:rsidRPr="00507A31" w:rsidRDefault="006E6C8D" w:rsidP="00507A31">
      <w:pPr>
        <w:jc w:val="both"/>
        <w:rPr>
          <w:color w:val="000000" w:themeColor="text1"/>
          <w:sz w:val="16"/>
          <w:szCs w:val="16"/>
        </w:rPr>
      </w:pPr>
      <w:r w:rsidRPr="00507A31">
        <w:rPr>
          <w:color w:val="000000" w:themeColor="text1"/>
          <w:sz w:val="16"/>
          <w:szCs w:val="16"/>
        </w:rPr>
        <w:t>Там же. On. 162. Д. 9. Л. 81. «Особая папка» «подписного» протокола заседания Политбюро. Машинописная копия того времени, заверенная печатью ЦК ВКП(б), подпись-факсимиле И. В. Сталина. Внизу машинописная помета о рассылке: «Выписки посланы: т.т. Литвинову, Кржижановскому, Молотову, Сталину, Ворошилову, Менжинскому, Янсону, Крыленко». Отсутствует фраза «секретарь ЦК».</w:t>
      </w:r>
    </w:p>
    <w:p w14:paraId="416EDB6B" w14:textId="77777777" w:rsidR="006E6C8D" w:rsidRPr="00507A31" w:rsidRDefault="006E6C8D" w:rsidP="00507A31">
      <w:pPr>
        <w:jc w:val="both"/>
        <w:rPr>
          <w:color w:val="000000" w:themeColor="text1"/>
          <w:sz w:val="16"/>
          <w:szCs w:val="16"/>
        </w:rPr>
      </w:pPr>
      <w:r w:rsidRPr="00507A31">
        <w:rPr>
          <w:color w:val="000000" w:themeColor="text1"/>
          <w:sz w:val="16"/>
          <w:szCs w:val="16"/>
        </w:rPr>
        <w:t>Там же. On. 166. Д. 378. Л. 22, 23. «Особая папка» «подписного» протокола заседания Политбюро, рукописные черновики на листках простой бумаги в линейку. На Л. 22 — текст, идентичный публикуемому; вверху рукописные пометы — слева «Оформить», справа столбцом «Щротокол №] 16/48/48 Опр[осом] от 21/Х1.30», ниже «0[собая] П[апка]». Внизу (после текста постановления) написано «вып[иска] членам Ком[иссии]», ниже справа помета «Дело ОГПУ». На Л. 23 — первоначальный черновой вариант текста постановления с правкой: во фразе «Созыв комиссии за» вместо фамилии Литвинова (зачеркнута) написана фамилия Молотова. Далее следует фраза, отсутствующая в публикуемом тексте постановления: «Признать необходимым присутствие] т. Сулимова на закрыт[ых] заседаниях] политбюро». Внизу листа — фамилии лиц, голосовавших опросом: «Рудзутак за», «Ворошилов за», «Сталин за», «Куйбышев за», «Калинин за», «Орджоник[идзе]», «Молотов за».</w:t>
      </w:r>
    </w:p>
    <w:p w14:paraId="54E481BE" w14:textId="77777777" w:rsidR="006E6C8D" w:rsidRPr="00507A31" w:rsidRDefault="006E6C8D" w:rsidP="00507A31">
      <w:pPr>
        <w:jc w:val="both"/>
        <w:rPr>
          <w:color w:val="000000" w:themeColor="text1"/>
          <w:sz w:val="16"/>
          <w:szCs w:val="16"/>
        </w:rPr>
      </w:pPr>
      <w:r w:rsidRPr="00507A31">
        <w:rPr>
          <w:color w:val="000000" w:themeColor="text1"/>
          <w:sz w:val="16"/>
          <w:szCs w:val="16"/>
        </w:rPr>
        <w:t>Опубликовано: Лубянка. Сталин и ВЧК — ГПУ — ОГПУ — НКВД. Январь 1922 — декабрь 1936. С. 258 (18620).</w:t>
      </w:r>
    </w:p>
    <w:p w14:paraId="5D52491D" w14:textId="77777777" w:rsidR="006E6C8D" w:rsidRPr="00507A31" w:rsidRDefault="006E6C8D" w:rsidP="00507A31">
      <w:pPr>
        <w:jc w:val="both"/>
        <w:rPr>
          <w:color w:val="000000" w:themeColor="text1"/>
          <w:sz w:val="16"/>
          <w:szCs w:val="16"/>
        </w:rPr>
      </w:pPr>
    </w:p>
    <w:p w14:paraId="38CBB760" w14:textId="77777777" w:rsidR="006E6C8D" w:rsidRPr="00507A31" w:rsidRDefault="006E6C8D" w:rsidP="00507A31">
      <w:pPr>
        <w:jc w:val="both"/>
        <w:rPr>
          <w:color w:val="000000" w:themeColor="text1"/>
          <w:sz w:val="16"/>
          <w:szCs w:val="16"/>
        </w:rPr>
      </w:pPr>
      <w:r w:rsidRPr="00507A31">
        <w:rPr>
          <w:color w:val="000000" w:themeColor="text1"/>
          <w:sz w:val="16"/>
          <w:szCs w:val="16"/>
        </w:rPr>
        <w:t>21 ноября 1930 г.</w:t>
      </w:r>
    </w:p>
    <w:p w14:paraId="7A46AF8B" w14:textId="77777777" w:rsidR="006E6C8D" w:rsidRPr="00507A31" w:rsidRDefault="006E6C8D" w:rsidP="00507A31">
      <w:pPr>
        <w:jc w:val="both"/>
        <w:rPr>
          <w:color w:val="000000" w:themeColor="text1"/>
          <w:sz w:val="16"/>
          <w:szCs w:val="16"/>
        </w:rPr>
      </w:pPr>
      <w:r w:rsidRPr="00507A31">
        <w:rPr>
          <w:color w:val="000000" w:themeColor="text1"/>
          <w:sz w:val="16"/>
          <w:szCs w:val="16"/>
        </w:rPr>
        <w:t>Дополнительные показания Л. К. Рамзина по вопросу «обратной сдачи оружия». 21 ноября 1930 г.</w:t>
      </w:r>
    </w:p>
    <w:p w14:paraId="04C96741" w14:textId="77777777" w:rsidR="006E6C8D" w:rsidRPr="00507A31" w:rsidRDefault="006E6C8D" w:rsidP="00507A31">
      <w:pPr>
        <w:jc w:val="both"/>
        <w:rPr>
          <w:color w:val="000000" w:themeColor="text1"/>
          <w:sz w:val="16"/>
          <w:szCs w:val="16"/>
        </w:rPr>
      </w:pPr>
      <w:r w:rsidRPr="00507A31">
        <w:rPr>
          <w:color w:val="000000" w:themeColor="text1"/>
          <w:sz w:val="16"/>
          <w:szCs w:val="16"/>
        </w:rPr>
        <w:t>Источник: </w:t>
      </w:r>
    </w:p>
    <w:p w14:paraId="3D8AD08D" w14:textId="77777777" w:rsidR="006E6C8D" w:rsidRPr="00507A31" w:rsidRDefault="006E6C8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16F83F2" w14:textId="77777777" w:rsidR="006E6C8D" w:rsidRPr="00507A31" w:rsidRDefault="006E6C8D" w:rsidP="00507A31">
      <w:pPr>
        <w:jc w:val="both"/>
        <w:rPr>
          <w:color w:val="000000" w:themeColor="text1"/>
          <w:sz w:val="16"/>
          <w:szCs w:val="16"/>
        </w:rPr>
      </w:pPr>
      <w:r w:rsidRPr="00507A31">
        <w:rPr>
          <w:color w:val="000000" w:themeColor="text1"/>
          <w:sz w:val="16"/>
          <w:szCs w:val="16"/>
        </w:rPr>
        <w:t>21 ноября 1930 г.</w:t>
      </w:r>
    </w:p>
    <w:p w14:paraId="7E25A2C4" w14:textId="77777777" w:rsidR="006E6C8D" w:rsidRPr="00507A31" w:rsidRDefault="006E6C8D" w:rsidP="00507A31">
      <w:pPr>
        <w:jc w:val="both"/>
        <w:rPr>
          <w:color w:val="000000" w:themeColor="text1"/>
          <w:sz w:val="16"/>
          <w:szCs w:val="16"/>
        </w:rPr>
      </w:pPr>
      <w:r w:rsidRPr="00507A31">
        <w:rPr>
          <w:color w:val="000000" w:themeColor="text1"/>
          <w:sz w:val="16"/>
          <w:szCs w:val="16"/>
        </w:rPr>
        <w:t>[СТРОГО СЕКРЕТНО]</w:t>
      </w:r>
    </w:p>
    <w:p w14:paraId="04E240D4" w14:textId="77777777" w:rsidR="006E6C8D" w:rsidRPr="00507A31" w:rsidRDefault="006E6C8D" w:rsidP="00507A31">
      <w:pPr>
        <w:jc w:val="both"/>
        <w:rPr>
          <w:color w:val="000000" w:themeColor="text1"/>
          <w:sz w:val="16"/>
          <w:szCs w:val="16"/>
        </w:rPr>
      </w:pPr>
      <w:r w:rsidRPr="00507A31">
        <w:rPr>
          <w:color w:val="000000" w:themeColor="text1"/>
          <w:sz w:val="16"/>
          <w:szCs w:val="16"/>
        </w:rPr>
        <w:t>ПОКАЗАНИЕ</w:t>
      </w:r>
    </w:p>
    <w:p w14:paraId="76DDAFCC" w14:textId="77777777" w:rsidR="006E6C8D" w:rsidRPr="00507A31" w:rsidRDefault="006E6C8D" w:rsidP="00507A31">
      <w:pPr>
        <w:jc w:val="both"/>
        <w:rPr>
          <w:color w:val="000000" w:themeColor="text1"/>
          <w:sz w:val="16"/>
          <w:szCs w:val="16"/>
        </w:rPr>
      </w:pPr>
      <w:r w:rsidRPr="00507A31">
        <w:rPr>
          <w:color w:val="000000" w:themeColor="text1"/>
          <w:sz w:val="16"/>
          <w:szCs w:val="16"/>
        </w:rPr>
        <w:t>проф. Л. К. Рамзина от 21 ноября 1930 года.</w:t>
      </w:r>
    </w:p>
    <w:p w14:paraId="31AE1A73" w14:textId="77777777" w:rsidR="006E6C8D" w:rsidRPr="00507A31" w:rsidRDefault="006E6C8D" w:rsidP="00507A31">
      <w:pPr>
        <w:jc w:val="both"/>
        <w:rPr>
          <w:color w:val="000000" w:themeColor="text1"/>
          <w:sz w:val="16"/>
          <w:szCs w:val="16"/>
        </w:rPr>
      </w:pPr>
      <w:r w:rsidRPr="00507A31">
        <w:rPr>
          <w:color w:val="000000" w:themeColor="text1"/>
          <w:sz w:val="16"/>
          <w:szCs w:val="16"/>
        </w:rPr>
        <w:t>Относительно обратной сдачи оружия.</w:t>
      </w:r>
    </w:p>
    <w:p w14:paraId="7F3972A2" w14:textId="77777777" w:rsidR="006E6C8D" w:rsidRPr="00507A31" w:rsidRDefault="006E6C8D" w:rsidP="00507A31">
      <w:pPr>
        <w:jc w:val="both"/>
        <w:rPr>
          <w:color w:val="000000" w:themeColor="text1"/>
          <w:sz w:val="16"/>
          <w:szCs w:val="16"/>
        </w:rPr>
      </w:pPr>
      <w:r w:rsidRPr="00507A31">
        <w:rPr>
          <w:color w:val="000000" w:themeColor="text1"/>
          <w:sz w:val="16"/>
          <w:szCs w:val="16"/>
        </w:rPr>
        <w:t>В своем показании о моих разговорах с г. Реньо я указывал, что при свидании в конце 1929 г. на квартире ОЧКИНА, в присутствии последнего, г. Реньо сообщил о возможности Получения во французском посольстве, как безопасное место для хранения.</w:t>
      </w:r>
    </w:p>
    <w:p w14:paraId="59EFAE48" w14:textId="77777777" w:rsidR="006E6C8D" w:rsidRPr="00507A31" w:rsidRDefault="006E6C8D" w:rsidP="00507A31">
      <w:pPr>
        <w:jc w:val="both"/>
        <w:rPr>
          <w:color w:val="000000" w:themeColor="text1"/>
          <w:sz w:val="16"/>
          <w:szCs w:val="16"/>
        </w:rPr>
      </w:pPr>
      <w:r w:rsidRPr="00507A31">
        <w:rPr>
          <w:color w:val="000000" w:themeColor="text1"/>
          <w:sz w:val="16"/>
          <w:szCs w:val="16"/>
        </w:rPr>
        <w:t>В июле месяце, после возвращения моего из-за границы, я сообщил также и С. А. ПРЕДТЕЧЕНСКОМУ о возможности, в случае нужды, сдать оружие во французское посольство.</w:t>
      </w:r>
    </w:p>
    <w:p w14:paraId="5AFDDCB1" w14:textId="77777777" w:rsidR="006E6C8D" w:rsidRPr="00507A31" w:rsidRDefault="006E6C8D" w:rsidP="00507A31">
      <w:pPr>
        <w:jc w:val="both"/>
        <w:rPr>
          <w:color w:val="000000" w:themeColor="text1"/>
          <w:sz w:val="16"/>
          <w:szCs w:val="16"/>
        </w:rPr>
      </w:pPr>
      <w:r w:rsidRPr="00507A31">
        <w:rPr>
          <w:color w:val="000000" w:themeColor="text1"/>
          <w:sz w:val="16"/>
          <w:szCs w:val="16"/>
        </w:rPr>
        <w:t>После ряда арестов в конце июля я, по просьбе С. А. ПРЕДТЕЧЕНСКОГО, написал записку КЮФЕРУ, с просьбой оказать помощь в хранении оружия, в виду обещания, данного мне в свое время господином РЕНЬО, и просил г. КЮФЕРА позвонить С. А. ПРЕДТЕЧЕНСКОМУ, с которым КЮФЕР был знаком с середины 1928 года, и условиться о месте и способе сдачи оружия.</w:t>
      </w:r>
    </w:p>
    <w:p w14:paraId="580858A7" w14:textId="77777777" w:rsidR="006E6C8D" w:rsidRPr="00507A31" w:rsidRDefault="006E6C8D" w:rsidP="00507A31">
      <w:pPr>
        <w:jc w:val="both"/>
        <w:rPr>
          <w:color w:val="000000" w:themeColor="text1"/>
          <w:sz w:val="16"/>
          <w:szCs w:val="16"/>
        </w:rPr>
      </w:pPr>
      <w:r w:rsidRPr="00507A31">
        <w:rPr>
          <w:color w:val="000000" w:themeColor="text1"/>
          <w:sz w:val="16"/>
          <w:szCs w:val="16"/>
        </w:rPr>
        <w:t>Встретив С. А. ПРЕДТЕЧЕНСКОГО в последний раз перед моим арестом, кажется 9-10 августа, я узнал от него о том, что он связался с Кюфером и получил от него согласие принять оружие. Поэтому в своем показании о движении оружия от 23/Х я и писал, что часть оружия из первоначальных мест хранения могла быть уже сдана во французское посольство.</w:t>
      </w:r>
    </w:p>
    <w:p w14:paraId="533DDD27" w14:textId="77777777" w:rsidR="006E6C8D" w:rsidRPr="00507A31" w:rsidRDefault="006E6C8D" w:rsidP="00507A31">
      <w:pPr>
        <w:jc w:val="both"/>
        <w:rPr>
          <w:color w:val="000000" w:themeColor="text1"/>
          <w:sz w:val="16"/>
          <w:szCs w:val="16"/>
        </w:rPr>
      </w:pPr>
      <w:r w:rsidRPr="00507A31">
        <w:rPr>
          <w:color w:val="000000" w:themeColor="text1"/>
          <w:sz w:val="16"/>
          <w:szCs w:val="16"/>
        </w:rPr>
        <w:t>В виду последовавшего вскоре моего ареста 14/VIII я не успел получить сведения о количестве сданного КЮФЕРУ оружия и о технике его сдачи.</w:t>
      </w:r>
    </w:p>
    <w:p w14:paraId="0759FCE2" w14:textId="77777777" w:rsidR="006E6C8D" w:rsidRPr="00507A31" w:rsidRDefault="006E6C8D" w:rsidP="00507A31">
      <w:pPr>
        <w:jc w:val="both"/>
        <w:rPr>
          <w:color w:val="000000" w:themeColor="text1"/>
          <w:sz w:val="16"/>
          <w:szCs w:val="16"/>
        </w:rPr>
      </w:pPr>
      <w:r w:rsidRPr="00507A31">
        <w:rPr>
          <w:color w:val="000000" w:themeColor="text1"/>
          <w:sz w:val="16"/>
          <w:szCs w:val="16"/>
        </w:rPr>
        <w:t>Считаю необходимым к этому добавить, как я уже показывал ранее, что при обсуждении в боевой организации вопроса о хранении оружия указывалось, что в случае нужды или опасности необходимо использовать следующие мероприятия:</w:t>
      </w:r>
    </w:p>
    <w:p w14:paraId="22472A2B" w14:textId="77777777" w:rsidR="006E6C8D" w:rsidRPr="00507A31" w:rsidRDefault="006E6C8D" w:rsidP="00507A31">
      <w:pPr>
        <w:jc w:val="both"/>
        <w:rPr>
          <w:color w:val="000000" w:themeColor="text1"/>
          <w:sz w:val="16"/>
          <w:szCs w:val="16"/>
        </w:rPr>
      </w:pPr>
      <w:r w:rsidRPr="00507A31">
        <w:rPr>
          <w:color w:val="000000" w:themeColor="text1"/>
          <w:sz w:val="16"/>
          <w:szCs w:val="16"/>
        </w:rPr>
        <w:t>1.   Уничтожение оружия и, в частности, бомб путем их разрядки.</w:t>
      </w:r>
    </w:p>
    <w:p w14:paraId="1F2972B7" w14:textId="77777777" w:rsidR="006E6C8D" w:rsidRPr="00507A31" w:rsidRDefault="006E6C8D" w:rsidP="00507A31">
      <w:pPr>
        <w:jc w:val="both"/>
        <w:rPr>
          <w:color w:val="000000" w:themeColor="text1"/>
          <w:sz w:val="16"/>
          <w:szCs w:val="16"/>
        </w:rPr>
      </w:pPr>
      <w:r w:rsidRPr="00507A31">
        <w:rPr>
          <w:color w:val="000000" w:themeColor="text1"/>
          <w:sz w:val="16"/>
          <w:szCs w:val="16"/>
        </w:rPr>
        <w:t>2.   Сдача оружия в Военно-воздушную академию.</w:t>
      </w:r>
    </w:p>
    <w:p w14:paraId="142287B6" w14:textId="77777777" w:rsidR="006E6C8D" w:rsidRPr="00507A31" w:rsidRDefault="006E6C8D" w:rsidP="00507A31">
      <w:pPr>
        <w:jc w:val="both"/>
        <w:rPr>
          <w:color w:val="000000" w:themeColor="text1"/>
          <w:sz w:val="16"/>
          <w:szCs w:val="16"/>
        </w:rPr>
      </w:pPr>
      <w:r w:rsidRPr="00507A31">
        <w:rPr>
          <w:color w:val="000000" w:themeColor="text1"/>
          <w:sz w:val="16"/>
          <w:szCs w:val="16"/>
        </w:rPr>
        <w:t>3.   Сдача оружия на хранение во Французское посольство, а в крайнем случае и в английское посольство.</w:t>
      </w:r>
    </w:p>
    <w:p w14:paraId="0BBD118F" w14:textId="77777777" w:rsidR="006E6C8D" w:rsidRPr="00507A31" w:rsidRDefault="006E6C8D" w:rsidP="00507A31">
      <w:pPr>
        <w:jc w:val="both"/>
        <w:rPr>
          <w:color w:val="000000" w:themeColor="text1"/>
          <w:sz w:val="16"/>
          <w:szCs w:val="16"/>
        </w:rPr>
      </w:pPr>
      <w:r w:rsidRPr="00507A31">
        <w:rPr>
          <w:color w:val="000000" w:themeColor="text1"/>
          <w:sz w:val="16"/>
          <w:szCs w:val="16"/>
        </w:rPr>
        <w:t>При этом для быстрой ликвидации оружия последний способ был признан наиболее быстрым и надежным.</w:t>
      </w:r>
    </w:p>
    <w:p w14:paraId="6F575684" w14:textId="77777777" w:rsidR="006E6C8D" w:rsidRPr="00507A31" w:rsidRDefault="006E6C8D" w:rsidP="00507A31">
      <w:pPr>
        <w:jc w:val="both"/>
        <w:rPr>
          <w:color w:val="000000" w:themeColor="text1"/>
          <w:sz w:val="16"/>
          <w:szCs w:val="16"/>
        </w:rPr>
      </w:pPr>
      <w:r w:rsidRPr="00507A31">
        <w:rPr>
          <w:color w:val="000000" w:themeColor="text1"/>
          <w:sz w:val="16"/>
          <w:szCs w:val="16"/>
        </w:rPr>
        <w:t>Л. РАМЗИН.</w:t>
      </w:r>
    </w:p>
    <w:p w14:paraId="049EEF4E" w14:textId="77777777" w:rsidR="006E6C8D" w:rsidRPr="00507A31" w:rsidRDefault="006E6C8D" w:rsidP="00507A31">
      <w:pPr>
        <w:jc w:val="both"/>
        <w:rPr>
          <w:color w:val="000000" w:themeColor="text1"/>
          <w:sz w:val="16"/>
          <w:szCs w:val="16"/>
        </w:rPr>
      </w:pPr>
      <w:r w:rsidRPr="00507A31">
        <w:rPr>
          <w:color w:val="000000" w:themeColor="text1"/>
          <w:sz w:val="16"/>
          <w:szCs w:val="16"/>
        </w:rPr>
        <w:t>Допросили: Нач. СО Я. Агранов</w:t>
      </w:r>
    </w:p>
    <w:p w14:paraId="604F45CC" w14:textId="77777777" w:rsidR="006E6C8D" w:rsidRPr="00507A31" w:rsidRDefault="006E6C8D" w:rsidP="00507A31">
      <w:pPr>
        <w:jc w:val="both"/>
        <w:rPr>
          <w:color w:val="000000" w:themeColor="text1"/>
          <w:sz w:val="16"/>
          <w:szCs w:val="16"/>
        </w:rPr>
      </w:pPr>
      <w:r w:rsidRPr="00507A31">
        <w:rPr>
          <w:color w:val="000000" w:themeColor="text1"/>
          <w:sz w:val="16"/>
          <w:szCs w:val="16"/>
        </w:rPr>
        <w:t>Радзивиловс[кий]</w:t>
      </w:r>
    </w:p>
    <w:p w14:paraId="5C35815E" w14:textId="77777777" w:rsidR="006E6C8D" w:rsidRPr="00507A31" w:rsidRDefault="006E6C8D" w:rsidP="00507A31">
      <w:pPr>
        <w:jc w:val="both"/>
        <w:rPr>
          <w:color w:val="000000" w:themeColor="text1"/>
          <w:sz w:val="16"/>
          <w:szCs w:val="16"/>
        </w:rPr>
      </w:pPr>
      <w:r w:rsidRPr="00507A31">
        <w:rPr>
          <w:color w:val="000000" w:themeColor="text1"/>
          <w:sz w:val="16"/>
          <w:szCs w:val="16"/>
        </w:rPr>
        <w:t>Д. 356. Л. 24-25. Заверенная машинописная копия того времени. Показания Л. К. Рамзина наряду с другими материалами следствия по «делу Промпартии» были направлены 25 октября 1930 г. в ЦК ВКП(б) на имя И. В. Сталина (см. легенду к док. № 356-1) (18644).</w:t>
      </w:r>
    </w:p>
    <w:p w14:paraId="0BB0E053" w14:textId="77777777" w:rsidR="006E6C8D" w:rsidRPr="00507A31" w:rsidRDefault="006E6C8D" w:rsidP="00507A31">
      <w:pPr>
        <w:jc w:val="both"/>
        <w:rPr>
          <w:color w:val="000000" w:themeColor="text1"/>
          <w:sz w:val="16"/>
          <w:szCs w:val="16"/>
        </w:rPr>
      </w:pPr>
    </w:p>
    <w:p w14:paraId="1B9A7638" w14:textId="77777777" w:rsidR="006E6C8D" w:rsidRPr="00507A31" w:rsidRDefault="006E6C8D" w:rsidP="00507A31">
      <w:pPr>
        <w:jc w:val="both"/>
        <w:rPr>
          <w:bCs/>
          <w:color w:val="000000" w:themeColor="text1"/>
          <w:sz w:val="16"/>
          <w:szCs w:val="16"/>
        </w:rPr>
      </w:pPr>
      <w:r w:rsidRPr="00507A31">
        <w:rPr>
          <w:color w:val="000000" w:themeColor="text1"/>
          <w:sz w:val="16"/>
          <w:szCs w:val="16"/>
        </w:rPr>
        <w:t>21 ноября 1930 г.</w:t>
      </w:r>
    </w:p>
    <w:p w14:paraId="0FB60050" w14:textId="77777777" w:rsidR="006E6C8D" w:rsidRPr="00507A31" w:rsidRDefault="006E6C8D" w:rsidP="00507A31">
      <w:pPr>
        <w:jc w:val="both"/>
        <w:rPr>
          <w:bCs/>
          <w:color w:val="000000" w:themeColor="text1"/>
          <w:sz w:val="16"/>
          <w:szCs w:val="16"/>
        </w:rPr>
      </w:pPr>
      <w:r w:rsidRPr="00507A31">
        <w:rPr>
          <w:color w:val="000000" w:themeColor="text1"/>
          <w:sz w:val="16"/>
          <w:szCs w:val="16"/>
        </w:rPr>
        <w:t>Письмо Л. К. Рамзина И. А. Калинникову накануне суда о необходимости снятия противоречий в показаниях следствию. 21 ноября 1930 г.</w:t>
      </w:r>
    </w:p>
    <w:p w14:paraId="5436B8DB" w14:textId="77777777" w:rsidR="006E6C8D" w:rsidRPr="00507A31" w:rsidRDefault="006E6C8D" w:rsidP="00507A31">
      <w:pPr>
        <w:jc w:val="both"/>
        <w:rPr>
          <w:bCs/>
          <w:color w:val="000000" w:themeColor="text1"/>
          <w:sz w:val="16"/>
          <w:szCs w:val="16"/>
        </w:rPr>
      </w:pPr>
      <w:r w:rsidRPr="00507A31">
        <w:rPr>
          <w:bCs/>
          <w:color w:val="000000" w:themeColor="text1"/>
          <w:sz w:val="16"/>
          <w:szCs w:val="16"/>
        </w:rPr>
        <w:t>Источник: </w:t>
      </w:r>
    </w:p>
    <w:p w14:paraId="525E8173" w14:textId="77777777" w:rsidR="006E6C8D" w:rsidRPr="00507A31" w:rsidRDefault="006E6C8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98F518" w14:textId="77777777" w:rsidR="006E6C8D" w:rsidRPr="00507A31" w:rsidRDefault="006E6C8D" w:rsidP="00507A31">
      <w:pPr>
        <w:jc w:val="both"/>
        <w:rPr>
          <w:bCs/>
          <w:color w:val="000000" w:themeColor="text1"/>
          <w:sz w:val="16"/>
          <w:szCs w:val="16"/>
        </w:rPr>
      </w:pPr>
      <w:r w:rsidRPr="00507A31">
        <w:rPr>
          <w:bCs/>
          <w:color w:val="000000" w:themeColor="text1"/>
          <w:sz w:val="16"/>
          <w:szCs w:val="16"/>
        </w:rPr>
        <w:t>Архив: </w:t>
      </w:r>
    </w:p>
    <w:p w14:paraId="1CFF44CE" w14:textId="77777777" w:rsidR="006E6C8D" w:rsidRPr="00507A31" w:rsidRDefault="006E6C8D" w:rsidP="00507A31">
      <w:pPr>
        <w:jc w:val="both"/>
        <w:rPr>
          <w:color w:val="000000" w:themeColor="text1"/>
          <w:sz w:val="16"/>
          <w:szCs w:val="16"/>
        </w:rPr>
      </w:pPr>
      <w:r w:rsidRPr="00507A31">
        <w:rPr>
          <w:color w:val="000000" w:themeColor="text1"/>
          <w:sz w:val="16"/>
          <w:szCs w:val="16"/>
        </w:rPr>
        <w:t>ЦА ФСБ РФ. Ф. Р-42280. Т. 3. Л. 72-72 об.</w:t>
      </w:r>
    </w:p>
    <w:p w14:paraId="07FF5753"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21 ноября 1930 г.</w:t>
      </w:r>
    </w:p>
    <w:p w14:paraId="69C5BF60"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Бутырская тюрьма</w:t>
      </w:r>
    </w:p>
    <w:p w14:paraId="624BB6DD"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Проф. И. А. Калинникову</w:t>
      </w:r>
    </w:p>
    <w:p w14:paraId="0DB33932"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В Вашем показании 13/XI с/г говорится, что сведения о металлообрабатывающих заводах военной промышленности, собранные проф. Н. Ф. Чарновским, передавались последним мне для дальнейшей передачи г. Кюферу. Это указание 1) не отвечает действительности, ибо я ни разу не получал от проф. Чарновского этих сведений, и 2) противоречит показаниям моим и проф. Чарновского, что сведения по военной промышленности всего 3-4 раза передавались Кюферу Вами непосредственно, или, может быть, через Очкина.</w:t>
      </w:r>
    </w:p>
    <w:p w14:paraId="2FA5DEC6"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Во избежания нежелательных разногласий и споров на суде я по[-]прежнему не отрицаю своей вины в организации получения и передачи сведений по военной промышленности, как член ЦК и участник наших с Вами совместных переговоров по этому вопросу с г. Кюфером (весною 1928 г. у меня на квартире), прошу Вас устранить указанное противоречие, подтвердив передачу Вами Кюферу сведений по военной промышленности.</w:t>
      </w:r>
    </w:p>
    <w:p w14:paraId="096020D5"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Такое устранение противоречий — в наших общих интересах.</w:t>
      </w:r>
    </w:p>
    <w:p w14:paraId="47D8491F"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Уважающий Вас Л. Рамзин</w:t>
      </w:r>
    </w:p>
    <w:p w14:paraId="4F79F783"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21/XI—1930.</w:t>
      </w:r>
    </w:p>
    <w:p w14:paraId="151940D9"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Р. S. Еще один неприятный момент, касающийся денег. Через Вас прошло минимум 200 тыс. руб. на разные отрасли промышленности (химическую, стройматериалов и др.). Если мы не распутаем детально вопрос до суда, то на суде неизбежно будут вопросы, которые создадут крайне невыгодное положение. Поэтому прошу Вас не отказать признать получение и распределение этих 200 тыс. р.</w:t>
      </w:r>
    </w:p>
    <w:p w14:paraId="04D979A9"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Л. Рамзин</w:t>
      </w:r>
    </w:p>
    <w:p w14:paraId="261CFE0C" w14:textId="77777777" w:rsidR="006E6C8D" w:rsidRPr="00507A31" w:rsidRDefault="006E6C8D" w:rsidP="00507A31">
      <w:pPr>
        <w:pStyle w:val="ae"/>
        <w:spacing w:before="0" w:after="0"/>
        <w:jc w:val="both"/>
        <w:rPr>
          <w:color w:val="000000" w:themeColor="text1"/>
          <w:sz w:val="16"/>
          <w:szCs w:val="16"/>
        </w:rPr>
      </w:pPr>
      <w:r w:rsidRPr="00507A31">
        <w:rPr>
          <w:rStyle w:val="af0"/>
          <w:i w:val="0"/>
          <w:color w:val="000000" w:themeColor="text1"/>
          <w:sz w:val="16"/>
          <w:szCs w:val="16"/>
        </w:rPr>
        <w:t>ЦА ФСБ РФ. Ф. Р-42280. Т. 3. Л. 72-72 об. Рукописный подлинник, автограф Л. К. Рамзина. На Л. 72 об. ниже подписи Л. К. Рамзина разрешительная резолюция следователя ОГПУ: «Пропустить. Радзивиловский. 22/XI-30 г.» (18376).</w:t>
      </w:r>
    </w:p>
    <w:p w14:paraId="414AC7EF" w14:textId="77777777" w:rsidR="006E6C8D" w:rsidRPr="00507A31" w:rsidRDefault="006E6C8D" w:rsidP="00507A31">
      <w:pPr>
        <w:jc w:val="both"/>
        <w:rPr>
          <w:color w:val="000000" w:themeColor="text1"/>
          <w:sz w:val="16"/>
          <w:szCs w:val="16"/>
        </w:rPr>
      </w:pPr>
    </w:p>
    <w:p w14:paraId="6CE4F0CA" w14:textId="77777777" w:rsidR="006E6C8D" w:rsidRPr="00507A31" w:rsidRDefault="006E6C8D"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5F674D6" w14:textId="77777777" w:rsidR="006E6C8D" w:rsidRPr="00507A31" w:rsidRDefault="006E6C8D" w:rsidP="00507A31">
      <w:pPr>
        <w:autoSpaceDE w:val="0"/>
        <w:autoSpaceDN w:val="0"/>
        <w:adjustRightInd w:val="0"/>
        <w:jc w:val="both"/>
        <w:rPr>
          <w:iCs/>
          <w:color w:val="000000" w:themeColor="text1"/>
          <w:sz w:val="16"/>
          <w:szCs w:val="16"/>
        </w:rPr>
      </w:pPr>
    </w:p>
    <w:p w14:paraId="7AED0E87" w14:textId="77777777" w:rsidR="006E6C8D" w:rsidRPr="00507A31" w:rsidRDefault="006E6C8D" w:rsidP="00507A31">
      <w:pPr>
        <w:jc w:val="both"/>
        <w:rPr>
          <w:bCs/>
          <w:color w:val="000000" w:themeColor="text1"/>
          <w:sz w:val="16"/>
          <w:szCs w:val="16"/>
        </w:rPr>
      </w:pPr>
      <w:r w:rsidRPr="00507A31">
        <w:rPr>
          <w:color w:val="000000" w:themeColor="text1"/>
          <w:sz w:val="16"/>
          <w:szCs w:val="16"/>
        </w:rPr>
        <w:t>21 ноября 1930 г.</w:t>
      </w:r>
    </w:p>
    <w:p w14:paraId="73535A9C" w14:textId="77777777" w:rsidR="006E6C8D" w:rsidRPr="00507A31" w:rsidRDefault="006E6C8D" w:rsidP="00507A31">
      <w:pPr>
        <w:jc w:val="both"/>
        <w:rPr>
          <w:bCs/>
          <w:color w:val="000000" w:themeColor="text1"/>
          <w:sz w:val="16"/>
          <w:szCs w:val="16"/>
        </w:rPr>
      </w:pPr>
      <w:r w:rsidRPr="00507A31">
        <w:rPr>
          <w:color w:val="000000" w:themeColor="text1"/>
          <w:sz w:val="16"/>
          <w:szCs w:val="16"/>
        </w:rPr>
        <w:t>Заседание «Ударной комиссии» БОКС по вопросам текущей работы в связи с подготовкой кампании по процессу «Промпартии». 21 ноября 1930 г.</w:t>
      </w:r>
    </w:p>
    <w:p w14:paraId="5FC7FF64" w14:textId="77777777" w:rsidR="006E6C8D" w:rsidRPr="00507A31" w:rsidRDefault="006E6C8D" w:rsidP="00507A31">
      <w:pPr>
        <w:jc w:val="both"/>
        <w:rPr>
          <w:bCs/>
          <w:color w:val="000000" w:themeColor="text1"/>
          <w:sz w:val="16"/>
          <w:szCs w:val="16"/>
        </w:rPr>
      </w:pPr>
      <w:r w:rsidRPr="00507A31">
        <w:rPr>
          <w:bCs/>
          <w:color w:val="000000" w:themeColor="text1"/>
          <w:sz w:val="16"/>
          <w:szCs w:val="16"/>
        </w:rPr>
        <w:t>Источник: </w:t>
      </w:r>
    </w:p>
    <w:p w14:paraId="169D8EC0" w14:textId="77777777" w:rsidR="006E6C8D" w:rsidRPr="00507A31" w:rsidRDefault="006E6C8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7A130C" w14:textId="77777777" w:rsidR="006E6C8D" w:rsidRPr="00507A31" w:rsidRDefault="006E6C8D" w:rsidP="00507A31">
      <w:pPr>
        <w:jc w:val="both"/>
        <w:rPr>
          <w:bCs/>
          <w:color w:val="000000" w:themeColor="text1"/>
          <w:sz w:val="16"/>
          <w:szCs w:val="16"/>
        </w:rPr>
      </w:pPr>
      <w:r w:rsidRPr="00507A31">
        <w:rPr>
          <w:bCs/>
          <w:color w:val="000000" w:themeColor="text1"/>
          <w:sz w:val="16"/>
          <w:szCs w:val="16"/>
        </w:rPr>
        <w:t>Архив: </w:t>
      </w:r>
    </w:p>
    <w:p w14:paraId="27398F26" w14:textId="77777777" w:rsidR="006E6C8D" w:rsidRPr="00507A31" w:rsidRDefault="006E6C8D" w:rsidP="00507A31">
      <w:pPr>
        <w:jc w:val="both"/>
        <w:rPr>
          <w:color w:val="000000" w:themeColor="text1"/>
          <w:sz w:val="16"/>
          <w:szCs w:val="16"/>
        </w:rPr>
      </w:pPr>
      <w:r w:rsidRPr="00507A31">
        <w:rPr>
          <w:color w:val="000000" w:themeColor="text1"/>
          <w:sz w:val="16"/>
          <w:szCs w:val="16"/>
        </w:rPr>
        <w:t>ГА РФ. Ф. P-5283. On. 1. Д. 139. Л. 31-31 об.</w:t>
      </w:r>
    </w:p>
    <w:p w14:paraId="66356BD6" w14:textId="77777777" w:rsidR="006E6C8D" w:rsidRPr="00507A31" w:rsidRDefault="006E6C8D" w:rsidP="00507A31">
      <w:pPr>
        <w:pStyle w:val="rteright"/>
        <w:spacing w:before="0" w:after="0"/>
        <w:jc w:val="both"/>
        <w:rPr>
          <w:color w:val="000000" w:themeColor="text1"/>
          <w:sz w:val="16"/>
          <w:szCs w:val="16"/>
        </w:rPr>
      </w:pPr>
      <w:r w:rsidRPr="00507A31">
        <w:rPr>
          <w:color w:val="000000" w:themeColor="text1"/>
          <w:sz w:val="16"/>
          <w:szCs w:val="16"/>
        </w:rPr>
        <w:t>21 ноября 1930 г.</w:t>
      </w:r>
    </w:p>
    <w:p w14:paraId="2A76D213" w14:textId="77777777" w:rsidR="006E6C8D" w:rsidRPr="00507A31" w:rsidRDefault="006E6C8D" w:rsidP="00507A31">
      <w:pPr>
        <w:pStyle w:val="rteright"/>
        <w:spacing w:before="0" w:after="0"/>
        <w:jc w:val="both"/>
        <w:rPr>
          <w:color w:val="000000" w:themeColor="text1"/>
          <w:sz w:val="16"/>
          <w:szCs w:val="16"/>
        </w:rPr>
      </w:pPr>
      <w:r w:rsidRPr="00507A31">
        <w:rPr>
          <w:color w:val="000000" w:themeColor="text1"/>
          <w:sz w:val="16"/>
          <w:szCs w:val="16"/>
        </w:rPr>
        <w:t>Оглашению не подлежит</w:t>
      </w:r>
    </w:p>
    <w:p w14:paraId="2B65FADF"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ПРОТОКОЛ № 3</w:t>
      </w:r>
    </w:p>
    <w:p w14:paraId="0255F9EF"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Заседания Ударной Комиссии от 21 ноября 1930 г.</w:t>
      </w:r>
    </w:p>
    <w:p w14:paraId="3761ECCA"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ПРИСУТСТВОВАЛИ: т.т. Петров, Шуман, Новомирский, Ингбер, Песис, Брук, Штейнберг, Богомазов.</w:t>
      </w:r>
    </w:p>
    <w:p w14:paraId="42C5C63F"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Председатель — ПЕТРОВ.</w:t>
      </w:r>
    </w:p>
    <w:p w14:paraId="38532698"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Секретарь — ПЕСИС.</w:t>
      </w:r>
    </w:p>
    <w:p w14:paraId="68FC6889" w14:textId="77777777" w:rsidR="006E6C8D" w:rsidRPr="00507A31" w:rsidRDefault="006E6C8D" w:rsidP="00507A31">
      <w:pPr>
        <w:numPr>
          <w:ilvl w:val="0"/>
          <w:numId w:val="86"/>
        </w:numPr>
        <w:ind w:left="0" w:firstLine="0"/>
        <w:jc w:val="both"/>
        <w:rPr>
          <w:color w:val="000000" w:themeColor="text1"/>
          <w:sz w:val="16"/>
          <w:szCs w:val="16"/>
        </w:rPr>
      </w:pPr>
      <w:r w:rsidRPr="00507A31">
        <w:rPr>
          <w:color w:val="000000" w:themeColor="text1"/>
          <w:sz w:val="16"/>
          <w:szCs w:val="16"/>
        </w:rPr>
        <w:t>СЛУШАЛИ: проект резолюции митинга 23-го ноября.</w:t>
      </w:r>
    </w:p>
    <w:p w14:paraId="36434F60"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ПОСТАНОВИЛИ: проект в основном утвердить, внеся следующие дополнения:</w:t>
      </w:r>
    </w:p>
    <w:p w14:paraId="4F48D62A"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а)  более четко выявить классовую подоплеку вредительства и подготовки к интервенции,</w:t>
      </w:r>
    </w:p>
    <w:p w14:paraId="384CDD41"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б)  дать более полный перечень наших достижений в области социалистического строительства,</w:t>
      </w:r>
    </w:p>
    <w:p w14:paraId="77D0D1D7"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в)  подчеркнуть уже имеющиеся достижения по линии культурной связи с заграницей,</w:t>
      </w:r>
    </w:p>
    <w:p w14:paraId="210F0D09"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г)  подчеркнуть непосредственную угрозу интервенции,</w:t>
      </w:r>
    </w:p>
    <w:p w14:paraId="5973C359"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д)  отметить, что вредители встали на путь подготовки интервенции ввиду того, что они не имели опоры в массах СССР.</w:t>
      </w:r>
    </w:p>
    <w:p w14:paraId="491A0632" w14:textId="77777777" w:rsidR="006E6C8D" w:rsidRPr="00507A31" w:rsidRDefault="006E6C8D" w:rsidP="00507A31">
      <w:pPr>
        <w:numPr>
          <w:ilvl w:val="0"/>
          <w:numId w:val="87"/>
        </w:numPr>
        <w:ind w:left="0" w:firstLine="0"/>
        <w:jc w:val="both"/>
        <w:rPr>
          <w:color w:val="000000" w:themeColor="text1"/>
          <w:sz w:val="16"/>
          <w:szCs w:val="16"/>
        </w:rPr>
      </w:pPr>
      <w:r w:rsidRPr="00507A31">
        <w:rPr>
          <w:color w:val="000000" w:themeColor="text1"/>
          <w:sz w:val="16"/>
          <w:szCs w:val="16"/>
        </w:rPr>
        <w:t>СЛУШАЛИ. План работы ВОКС по проводимой кампании</w:t>
      </w:r>
    </w:p>
    <w:p w14:paraId="066C9657"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ПОСТАНОВИЛИ: представленный Комиссией план утвердить.</w:t>
      </w:r>
    </w:p>
    <w:p w14:paraId="0ED049D8" w14:textId="77777777" w:rsidR="006E6C8D" w:rsidRPr="00507A31" w:rsidRDefault="006E6C8D" w:rsidP="00507A31">
      <w:pPr>
        <w:numPr>
          <w:ilvl w:val="0"/>
          <w:numId w:val="88"/>
        </w:numPr>
        <w:ind w:left="0" w:firstLine="0"/>
        <w:jc w:val="both"/>
        <w:rPr>
          <w:color w:val="000000" w:themeColor="text1"/>
          <w:sz w:val="16"/>
          <w:szCs w:val="16"/>
        </w:rPr>
      </w:pPr>
      <w:r w:rsidRPr="00507A31">
        <w:rPr>
          <w:color w:val="000000" w:themeColor="text1"/>
          <w:sz w:val="16"/>
          <w:szCs w:val="16"/>
        </w:rPr>
        <w:t>СЛУШАЛИ: о создании общественного комитета по борьбе с интервенцией</w:t>
      </w:r>
    </w:p>
    <w:p w14:paraId="67ADACD2"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ПОСТАНОВИЛИ: принять к руководству сообщение тов. Петрова о нецелесообразности создания такого Комитета в СССР и о желательности организации за границей по инициативе общественности Комитета «Защиты Советской Культуры и социалистического строительства» первоначально в главнейших странах с тем, чтобы в дальнейшем ему было бы можно придать международный характер.</w:t>
      </w:r>
    </w:p>
    <w:p w14:paraId="0CCBEDD4" w14:textId="77777777" w:rsidR="006E6C8D" w:rsidRPr="00507A31" w:rsidRDefault="006E6C8D" w:rsidP="00507A31">
      <w:pPr>
        <w:numPr>
          <w:ilvl w:val="0"/>
          <w:numId w:val="89"/>
        </w:numPr>
        <w:ind w:left="0" w:firstLine="0"/>
        <w:jc w:val="both"/>
        <w:rPr>
          <w:color w:val="000000" w:themeColor="text1"/>
          <w:sz w:val="16"/>
          <w:szCs w:val="16"/>
        </w:rPr>
      </w:pPr>
      <w:r w:rsidRPr="00507A31">
        <w:rPr>
          <w:color w:val="000000" w:themeColor="text1"/>
          <w:sz w:val="16"/>
          <w:szCs w:val="16"/>
        </w:rPr>
        <w:t>СЛУШАЛИ: о снабжении материалами журнала «МОНД».</w:t>
      </w:r>
    </w:p>
    <w:p w14:paraId="066F82F6"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ПОСТАНОВИЛИ: В связи с сообщением тов. Петрова о предполагаемом выпуске журналом «МОНД» специального номера, посвященного последним событиям в СССР, признать необходимым регулярно снабжать его всеми материалами, выпускаемыми ВОКС в связи с процессом.</w:t>
      </w:r>
    </w:p>
    <w:p w14:paraId="7EFFB988" w14:textId="77777777" w:rsidR="006E6C8D" w:rsidRPr="00507A31" w:rsidRDefault="006E6C8D" w:rsidP="00507A31">
      <w:pPr>
        <w:numPr>
          <w:ilvl w:val="0"/>
          <w:numId w:val="90"/>
        </w:numPr>
        <w:ind w:left="0" w:firstLine="0"/>
        <w:jc w:val="both"/>
        <w:rPr>
          <w:color w:val="000000" w:themeColor="text1"/>
          <w:sz w:val="16"/>
          <w:szCs w:val="16"/>
        </w:rPr>
      </w:pPr>
      <w:r w:rsidRPr="00507A31">
        <w:rPr>
          <w:color w:val="000000" w:themeColor="text1"/>
          <w:sz w:val="16"/>
          <w:szCs w:val="16"/>
        </w:rPr>
        <w:t>СЛУШАЛИ: о специальных изданиях Обществ Сближения.</w:t>
      </w:r>
    </w:p>
    <w:p w14:paraId="337D9004" w14:textId="77777777" w:rsidR="006E6C8D" w:rsidRPr="00507A31" w:rsidRDefault="006E6C8D" w:rsidP="00507A31">
      <w:pPr>
        <w:numPr>
          <w:ilvl w:val="0"/>
          <w:numId w:val="90"/>
        </w:numPr>
        <w:ind w:left="0" w:firstLine="0"/>
        <w:jc w:val="both"/>
        <w:rPr>
          <w:color w:val="000000" w:themeColor="text1"/>
          <w:sz w:val="16"/>
          <w:szCs w:val="16"/>
        </w:rPr>
      </w:pPr>
      <w:r w:rsidRPr="00507A31">
        <w:rPr>
          <w:color w:val="000000" w:themeColor="text1"/>
          <w:sz w:val="16"/>
          <w:szCs w:val="16"/>
        </w:rPr>
        <w:t>ПОСТАНОВИЛИ: обратиться к Обществам Сближения с просьбой, если они имеют собственные печатные органы, выпустить специальные номера, посвященные защите СССР от интервенции.</w:t>
      </w:r>
    </w:p>
    <w:p w14:paraId="730ABBCC" w14:textId="77777777" w:rsidR="006E6C8D" w:rsidRPr="00507A31" w:rsidRDefault="006E6C8D" w:rsidP="00507A31">
      <w:pPr>
        <w:numPr>
          <w:ilvl w:val="0"/>
          <w:numId w:val="91"/>
        </w:numPr>
        <w:ind w:left="0" w:firstLine="0"/>
        <w:jc w:val="both"/>
        <w:rPr>
          <w:color w:val="000000" w:themeColor="text1"/>
          <w:sz w:val="16"/>
          <w:szCs w:val="16"/>
        </w:rPr>
      </w:pPr>
      <w:r w:rsidRPr="00507A31">
        <w:rPr>
          <w:color w:val="000000" w:themeColor="text1"/>
          <w:sz w:val="16"/>
          <w:szCs w:val="16"/>
        </w:rPr>
        <w:t>СЛУШАЛИ: О смете Комиссии для проведения кампании.</w:t>
      </w:r>
    </w:p>
    <w:p w14:paraId="7DD372D9" w14:textId="77777777" w:rsidR="006E6C8D" w:rsidRPr="00507A31" w:rsidRDefault="006E6C8D" w:rsidP="00507A31">
      <w:pPr>
        <w:numPr>
          <w:ilvl w:val="0"/>
          <w:numId w:val="91"/>
        </w:numPr>
        <w:ind w:left="0" w:firstLine="0"/>
        <w:jc w:val="both"/>
        <w:rPr>
          <w:color w:val="000000" w:themeColor="text1"/>
          <w:sz w:val="16"/>
          <w:szCs w:val="16"/>
        </w:rPr>
      </w:pPr>
      <w:r w:rsidRPr="00507A31">
        <w:rPr>
          <w:color w:val="000000" w:themeColor="text1"/>
          <w:sz w:val="16"/>
          <w:szCs w:val="16"/>
        </w:rPr>
        <w:t>ПОСТАНОВИЛИ: Поручить Комиссии выработать смету на все мероприятия, намеченные в связи с кампанией, к 24 ноября.</w:t>
      </w:r>
    </w:p>
    <w:p w14:paraId="33E9E4D8" w14:textId="77777777" w:rsidR="006E6C8D" w:rsidRPr="00507A31" w:rsidRDefault="006E6C8D" w:rsidP="00507A31">
      <w:pPr>
        <w:numPr>
          <w:ilvl w:val="0"/>
          <w:numId w:val="92"/>
        </w:numPr>
        <w:ind w:left="0" w:firstLine="0"/>
        <w:jc w:val="both"/>
        <w:rPr>
          <w:color w:val="000000" w:themeColor="text1"/>
          <w:sz w:val="16"/>
          <w:szCs w:val="16"/>
        </w:rPr>
      </w:pPr>
      <w:r w:rsidRPr="00507A31">
        <w:rPr>
          <w:color w:val="000000" w:themeColor="text1"/>
          <w:sz w:val="16"/>
          <w:szCs w:val="16"/>
        </w:rPr>
        <w:t>СЛУШАЛИ: Об обеспечении бесперебойной работы Комиссии. Ввиду срочности работы по кампании признать возможным проведение необходимой технической работы в сверхурочном порядке.</w:t>
      </w:r>
    </w:p>
    <w:p w14:paraId="2EFD0F9B"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Председатель (Петров)</w:t>
      </w:r>
    </w:p>
    <w:p w14:paraId="3D4C7EAE"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Секретарь (Песис)</w:t>
      </w:r>
    </w:p>
    <w:p w14:paraId="3AA4BD17" w14:textId="77777777" w:rsidR="006E6C8D" w:rsidRPr="00507A31" w:rsidRDefault="006E6C8D"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P-5283. On. 1. Д. 139. Л. 31-31 об. Заверенная машинописная копия того времени (18908).</w:t>
      </w:r>
    </w:p>
    <w:p w14:paraId="5CF6FA10" w14:textId="77777777" w:rsidR="006E6C8D" w:rsidRPr="00507A31" w:rsidRDefault="006E6C8D" w:rsidP="00507A31">
      <w:pPr>
        <w:jc w:val="both"/>
        <w:rPr>
          <w:color w:val="000000" w:themeColor="text1"/>
          <w:sz w:val="16"/>
          <w:szCs w:val="16"/>
        </w:rPr>
      </w:pPr>
    </w:p>
    <w:p w14:paraId="09E4286F" w14:textId="77777777" w:rsidR="006E6C8D" w:rsidRPr="00507A31" w:rsidRDefault="006E6C8D" w:rsidP="00507A31">
      <w:pPr>
        <w:jc w:val="both"/>
        <w:rPr>
          <w:bCs/>
          <w:color w:val="000000" w:themeColor="text1"/>
          <w:sz w:val="16"/>
          <w:szCs w:val="16"/>
        </w:rPr>
      </w:pPr>
      <w:r w:rsidRPr="00507A31">
        <w:rPr>
          <w:color w:val="000000" w:themeColor="text1"/>
          <w:sz w:val="16"/>
          <w:szCs w:val="16"/>
        </w:rPr>
        <w:t>21 ноября 1930 г.</w:t>
      </w:r>
    </w:p>
    <w:p w14:paraId="10EFDE07" w14:textId="77777777" w:rsidR="006E6C8D" w:rsidRPr="00507A31" w:rsidRDefault="006E6C8D" w:rsidP="00507A31">
      <w:pPr>
        <w:jc w:val="both"/>
        <w:rPr>
          <w:bCs/>
          <w:color w:val="000000" w:themeColor="text1"/>
          <w:sz w:val="16"/>
          <w:szCs w:val="16"/>
        </w:rPr>
      </w:pPr>
      <w:r w:rsidRPr="00507A31">
        <w:rPr>
          <w:color w:val="000000" w:themeColor="text1"/>
          <w:sz w:val="16"/>
          <w:szCs w:val="16"/>
        </w:rPr>
        <w:t>Письмо сотрудника Полпредства СССР в Германии Д. Г. Штерна в отдел печати НКИД СССР с обзором оценок предстоящего процесса в германской периодике. 21 ноября 1930 г.</w:t>
      </w:r>
    </w:p>
    <w:p w14:paraId="5D2572C1" w14:textId="77777777" w:rsidR="006E6C8D" w:rsidRPr="00507A31" w:rsidRDefault="006E6C8D" w:rsidP="00507A31">
      <w:pPr>
        <w:jc w:val="both"/>
        <w:rPr>
          <w:bCs/>
          <w:color w:val="000000" w:themeColor="text1"/>
          <w:sz w:val="16"/>
          <w:szCs w:val="16"/>
        </w:rPr>
      </w:pPr>
      <w:r w:rsidRPr="00507A31">
        <w:rPr>
          <w:bCs/>
          <w:color w:val="000000" w:themeColor="text1"/>
          <w:sz w:val="16"/>
          <w:szCs w:val="16"/>
        </w:rPr>
        <w:t>Источник: </w:t>
      </w:r>
    </w:p>
    <w:p w14:paraId="00B04982" w14:textId="77777777" w:rsidR="006E6C8D" w:rsidRPr="00507A31" w:rsidRDefault="006E6C8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600A937" w14:textId="77777777" w:rsidR="006E6C8D" w:rsidRPr="00507A31" w:rsidRDefault="006E6C8D" w:rsidP="00507A31">
      <w:pPr>
        <w:jc w:val="both"/>
        <w:rPr>
          <w:bCs/>
          <w:color w:val="000000" w:themeColor="text1"/>
          <w:sz w:val="16"/>
          <w:szCs w:val="16"/>
        </w:rPr>
      </w:pPr>
      <w:r w:rsidRPr="00507A31">
        <w:rPr>
          <w:bCs/>
          <w:color w:val="000000" w:themeColor="text1"/>
          <w:sz w:val="16"/>
          <w:szCs w:val="16"/>
        </w:rPr>
        <w:t>Архив: </w:t>
      </w:r>
    </w:p>
    <w:p w14:paraId="6268642B" w14:textId="77777777" w:rsidR="006E6C8D" w:rsidRPr="00507A31" w:rsidRDefault="006E6C8D" w:rsidP="00507A31">
      <w:pPr>
        <w:jc w:val="both"/>
        <w:rPr>
          <w:color w:val="000000" w:themeColor="text1"/>
          <w:sz w:val="16"/>
          <w:szCs w:val="16"/>
        </w:rPr>
      </w:pPr>
      <w:r w:rsidRPr="00507A31">
        <w:rPr>
          <w:color w:val="000000" w:themeColor="text1"/>
          <w:sz w:val="16"/>
          <w:szCs w:val="16"/>
        </w:rPr>
        <w:t>АВП РФ. Ф. 056. On. 15. П. 31. Д. 9. Л. 63-63 об</w:t>
      </w:r>
    </w:p>
    <w:p w14:paraId="59D7AC01" w14:textId="77777777" w:rsidR="006E6C8D" w:rsidRPr="00507A31" w:rsidRDefault="006E6C8D" w:rsidP="00507A31">
      <w:pPr>
        <w:pStyle w:val="rteright"/>
        <w:spacing w:before="0" w:after="0"/>
        <w:jc w:val="both"/>
        <w:rPr>
          <w:color w:val="000000" w:themeColor="text1"/>
          <w:sz w:val="16"/>
          <w:szCs w:val="16"/>
        </w:rPr>
      </w:pPr>
      <w:r w:rsidRPr="00507A31">
        <w:rPr>
          <w:color w:val="000000" w:themeColor="text1"/>
          <w:sz w:val="16"/>
          <w:szCs w:val="16"/>
        </w:rPr>
        <w:t>21 ноября 1930 г.</w:t>
      </w:r>
    </w:p>
    <w:p w14:paraId="41EE8FE9" w14:textId="77777777" w:rsidR="006E6C8D" w:rsidRPr="00507A31" w:rsidRDefault="006E6C8D"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7813A68C"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т. Залкинду, копии т. Крестинскому</w:t>
      </w:r>
    </w:p>
    <w:p w14:paraId="24E93EF3"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и 2-ой зап[адный] отд[ел]</w:t>
      </w:r>
    </w:p>
    <w:p w14:paraId="2320ADF2"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Уважаемый товарищ,</w:t>
      </w:r>
    </w:p>
    <w:p w14:paraId="37BDE333"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дополнительно к вчерашнему письму сообщаю следующее:</w:t>
      </w:r>
    </w:p>
    <w:p w14:paraId="0AC1DD8B"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1.   «Ост-экспресс» от 20 ноября помещает статью, посвященную обвинительному заключению. По своей злостности она превосходит все помещенное на эту тему. В статье подчеркивается, что заключение содержит массу противоречий, что показания обвиняемых составлены в стиле передовых «Известий», что все обвинение имеет целевой характер, будучи построено на выдуманных данных. Одновременно с этим следует учитывать, что [«]Ост-экспресс[»] продолжает финансироваться «Руссландсаусшуссом», а с недавнего времени и Союзом германской промышленности в целом. Кроме того агентство имеет непосредственные отношения с Аусамтом. Далее необходимо отметить, что [«]Ост-экспресс[»] был единственным германским изданием поздравивш[им] «Руль» с десятилетием. Фосс и Гершун кроме того лично поздравляли редакцию «Руля».</w:t>
      </w:r>
    </w:p>
    <w:p w14:paraId="4A5CD1F2"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2.   Инцидент с Лайонсом (помещение его статьи в «Дюссельдорфер Нахрихтен») окончательно ликвидирован. Ку показал мне ответ редакции, которая признает, что по «ошибке» к статье был приписан заключительный абзац. Редакция обещает в будущем не допускать подобных «ляпсусов».</w:t>
      </w:r>
    </w:p>
    <w:p w14:paraId="65EF1072"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3.   На всякий случай (вероятно Вам это уже известно) [-] Бассехес выпускает большую книгу — «Советская дипломатия в Борьбе за признание».</w:t>
      </w:r>
    </w:p>
    <w:p w14:paraId="1F56D5F5" w14:textId="77777777" w:rsidR="006E6C8D" w:rsidRPr="00507A31" w:rsidRDefault="006E6C8D" w:rsidP="00507A31">
      <w:pPr>
        <w:pStyle w:val="rtejustify"/>
        <w:spacing w:before="0" w:after="0"/>
        <w:rPr>
          <w:color w:val="000000" w:themeColor="text1"/>
          <w:sz w:val="16"/>
          <w:szCs w:val="16"/>
        </w:rPr>
      </w:pPr>
      <w:r w:rsidRPr="00507A31">
        <w:rPr>
          <w:color w:val="000000" w:themeColor="text1"/>
          <w:sz w:val="16"/>
          <w:szCs w:val="16"/>
        </w:rPr>
        <w:t>4.  У меня имеются еще непроверенные сведения о новых осложнениях в издательстве Улльштейн. Утверждают, что Франц Улльштейн блокировался с Германном, в итоге у них в руках 40% паев издательства, по уставу дающие им право требовать возвращения им их паев. Пока я не имею возможности проверить это сообщение.</w:t>
      </w:r>
    </w:p>
    <w:p w14:paraId="615AEB19"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С тов. приветом</w:t>
      </w:r>
    </w:p>
    <w:p w14:paraId="77FA08C7"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Д. Штерн</w:t>
      </w:r>
    </w:p>
    <w:p w14:paraId="4E2FAD4F" w14:textId="77777777" w:rsidR="006E6C8D" w:rsidRPr="00507A31" w:rsidRDefault="006E6C8D"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31. Д. 9. Л. 63-63 об. Машинописный подлинник, на бланке Полпредства СССР в Германии, подпись Штерна — автограф. Гриф секретности машинописью, исходящий номер «№ 1398» от руки в графе бланка. На Л. 63 вверху написаны от руки входящий номер и дата получения «25/ХI-30 г.», подпись-росчерк Миронова (18840).</w:t>
      </w:r>
    </w:p>
    <w:p w14:paraId="161882A6" w14:textId="77777777" w:rsidR="006E6C8D" w:rsidRPr="00507A31" w:rsidRDefault="006E6C8D" w:rsidP="00507A31">
      <w:pPr>
        <w:jc w:val="both"/>
        <w:rPr>
          <w:color w:val="000000" w:themeColor="text1"/>
          <w:sz w:val="16"/>
          <w:szCs w:val="16"/>
        </w:rPr>
      </w:pPr>
    </w:p>
    <w:p w14:paraId="4558D0B4" w14:textId="77777777" w:rsidR="006E6C8D" w:rsidRPr="00507A31" w:rsidRDefault="006E6C8D" w:rsidP="00507A31">
      <w:pPr>
        <w:jc w:val="both"/>
        <w:rPr>
          <w:bCs/>
          <w:color w:val="000000" w:themeColor="text1"/>
          <w:sz w:val="16"/>
          <w:szCs w:val="16"/>
        </w:rPr>
      </w:pPr>
      <w:r w:rsidRPr="00507A31">
        <w:rPr>
          <w:color w:val="000000" w:themeColor="text1"/>
          <w:sz w:val="16"/>
          <w:szCs w:val="16"/>
        </w:rPr>
        <w:t>21 ноября 1930 г.</w:t>
      </w:r>
    </w:p>
    <w:p w14:paraId="7B4B5E48" w14:textId="77777777" w:rsidR="006E6C8D" w:rsidRPr="00507A31" w:rsidRDefault="006E6C8D" w:rsidP="00507A31">
      <w:pPr>
        <w:jc w:val="both"/>
        <w:rPr>
          <w:bCs/>
          <w:color w:val="000000" w:themeColor="text1"/>
          <w:sz w:val="16"/>
          <w:szCs w:val="16"/>
        </w:rPr>
      </w:pPr>
      <w:r w:rsidRPr="00507A31">
        <w:rPr>
          <w:color w:val="000000" w:themeColor="text1"/>
          <w:sz w:val="16"/>
          <w:szCs w:val="16"/>
        </w:rPr>
        <w:t>Письмо Д. Г. Штерна в отдел печати НКИД СССР о реакции немецкой прессы на события в СССР. 21 ноября 1930 г.</w:t>
      </w:r>
    </w:p>
    <w:p w14:paraId="156CE8A5" w14:textId="77777777" w:rsidR="006E6C8D" w:rsidRPr="00507A31" w:rsidRDefault="006E6C8D" w:rsidP="00507A31">
      <w:pPr>
        <w:jc w:val="both"/>
        <w:rPr>
          <w:bCs/>
          <w:color w:val="000000" w:themeColor="text1"/>
          <w:sz w:val="16"/>
          <w:szCs w:val="16"/>
        </w:rPr>
      </w:pPr>
      <w:r w:rsidRPr="00507A31">
        <w:rPr>
          <w:bCs/>
          <w:color w:val="000000" w:themeColor="text1"/>
          <w:sz w:val="16"/>
          <w:szCs w:val="16"/>
        </w:rPr>
        <w:t>Источник: </w:t>
      </w:r>
    </w:p>
    <w:p w14:paraId="0E25B86B" w14:textId="77777777" w:rsidR="006E6C8D" w:rsidRPr="00507A31" w:rsidRDefault="006E6C8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20965E" w14:textId="77777777" w:rsidR="006E6C8D" w:rsidRPr="00507A31" w:rsidRDefault="006E6C8D" w:rsidP="00507A31">
      <w:pPr>
        <w:jc w:val="both"/>
        <w:rPr>
          <w:bCs/>
          <w:color w:val="000000" w:themeColor="text1"/>
          <w:sz w:val="16"/>
          <w:szCs w:val="16"/>
        </w:rPr>
      </w:pPr>
      <w:r w:rsidRPr="00507A31">
        <w:rPr>
          <w:bCs/>
          <w:color w:val="000000" w:themeColor="text1"/>
          <w:sz w:val="16"/>
          <w:szCs w:val="16"/>
        </w:rPr>
        <w:t>Архив: </w:t>
      </w:r>
    </w:p>
    <w:p w14:paraId="75358882" w14:textId="77777777" w:rsidR="006E6C8D" w:rsidRPr="00507A31" w:rsidRDefault="006E6C8D" w:rsidP="00507A31">
      <w:pPr>
        <w:jc w:val="both"/>
        <w:rPr>
          <w:color w:val="000000" w:themeColor="text1"/>
          <w:sz w:val="16"/>
          <w:szCs w:val="16"/>
        </w:rPr>
      </w:pPr>
      <w:r w:rsidRPr="00507A31">
        <w:rPr>
          <w:color w:val="000000" w:themeColor="text1"/>
          <w:sz w:val="16"/>
          <w:szCs w:val="16"/>
        </w:rPr>
        <w:t>АВП РФ. Ф. 056. On. 15. П. 31. Д. 9. Л. 61-61 об</w:t>
      </w:r>
    </w:p>
    <w:p w14:paraId="21C2E6CE" w14:textId="77777777" w:rsidR="006E6C8D" w:rsidRPr="00507A31" w:rsidRDefault="006E6C8D" w:rsidP="00507A31">
      <w:pPr>
        <w:pStyle w:val="rteright"/>
        <w:spacing w:before="0" w:after="0"/>
        <w:jc w:val="both"/>
        <w:rPr>
          <w:color w:val="000000" w:themeColor="text1"/>
          <w:sz w:val="16"/>
          <w:szCs w:val="16"/>
        </w:rPr>
      </w:pPr>
      <w:r w:rsidRPr="00507A31">
        <w:rPr>
          <w:color w:val="000000" w:themeColor="text1"/>
          <w:sz w:val="16"/>
          <w:szCs w:val="16"/>
        </w:rPr>
        <w:t>21 ноября 1930 г.</w:t>
      </w:r>
    </w:p>
    <w:p w14:paraId="4D1D1ED0" w14:textId="77777777" w:rsidR="006E6C8D" w:rsidRPr="00507A31" w:rsidRDefault="006E6C8D"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7133F151"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Тов. Залкинду — Отд. Печати НКИД</w:t>
      </w:r>
    </w:p>
    <w:p w14:paraId="70BDB5DF"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копии тт. Крестинскому и Меерзону</w:t>
      </w:r>
    </w:p>
    <w:p w14:paraId="38F7192F" w14:textId="77777777" w:rsidR="006E6C8D" w:rsidRPr="00507A31" w:rsidRDefault="006E6C8D"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7A8DEC93" w14:textId="77777777" w:rsidR="006E6C8D" w:rsidRPr="00507A31" w:rsidRDefault="006E6C8D" w:rsidP="00507A31">
      <w:pPr>
        <w:numPr>
          <w:ilvl w:val="0"/>
          <w:numId w:val="85"/>
        </w:numPr>
        <w:ind w:left="0" w:firstLine="0"/>
        <w:jc w:val="both"/>
        <w:rPr>
          <w:color w:val="000000" w:themeColor="text1"/>
          <w:sz w:val="16"/>
          <w:szCs w:val="16"/>
        </w:rPr>
      </w:pPr>
      <w:r w:rsidRPr="00507A31">
        <w:rPr>
          <w:color w:val="000000" w:themeColor="text1"/>
          <w:sz w:val="16"/>
          <w:szCs w:val="16"/>
        </w:rPr>
        <w:lastRenderedPageBreak/>
        <w:t>Я в свое время переслал Вам извлечения из устава «Союза защиты западной культуры», при чем указал, что по моим сведениям эта организация в ближайшем будущем проявит значительную активность. После митинга в Спортпаласте уже не подлежит сомнению, что этот Союз является центральной организацией, объединяющий отдельные антисоветские элементы и группы, в первую очередь по церковной линии. Особого внимания заслуживает, что на собрание был особо приглашен Обер (Междунар. Лига по борьбе с большевизмом), что дает возможность отрицать за акцией чисто «религиозно-культурный» характер. Кроме того речь б. начальника лондонской полиции Горвуда была чисто политической, даже не прикрашенной религиозными моментами. Как я уже указывал в свое время, наибольшую активность в этом Союзе проявляют теперь евангелики, что заставляет приписывать всей акции в данной стадии преимущественно внутриполитическую окраску.</w:t>
      </w:r>
    </w:p>
    <w:p w14:paraId="31B9AEB3" w14:textId="77777777" w:rsidR="006E6C8D" w:rsidRPr="00507A31" w:rsidRDefault="006E6C8D" w:rsidP="00507A31">
      <w:pPr>
        <w:numPr>
          <w:ilvl w:val="0"/>
          <w:numId w:val="85"/>
        </w:numPr>
        <w:ind w:left="0" w:firstLine="0"/>
        <w:jc w:val="both"/>
        <w:rPr>
          <w:color w:val="000000" w:themeColor="text1"/>
          <w:sz w:val="16"/>
          <w:szCs w:val="16"/>
        </w:rPr>
      </w:pPr>
      <w:r w:rsidRPr="00507A31">
        <w:rPr>
          <w:color w:val="000000" w:themeColor="text1"/>
          <w:sz w:val="16"/>
          <w:szCs w:val="16"/>
        </w:rPr>
        <w:t>Арнольд Цвейг поместил в [«]Вельтбюне[»] свой ответ [В.] Мюнценбергу, предложившему ему снять подпись с протеста по делу 48[-м]и. Цвейг ответил, что подписи не снимет. Он не сомневается в вине расстрелянных, но считает приговор слишком жестоким. Так как я теперь лишен возможности (вследствие болезни горла) непосредственно общаться с внешним миром, то я просил одного журналиста косвенно обратить внимание Осецкого на осадок, оставленный письмом Цвейга. В итоге, в номере [«]Вельтбюне[»] от 18-го ноября было помещено письмо Гейнца Поля Цвейгу, в котором тот удивляется почему Цвейг и др. великодушные интеллигенты находят возможным протестовать против происходящего в чужой стране им малознакомой, в то время, как они спокойно смотрят на происходящее в Германии, например на майские события 1929 года. Поль уверен, что Цвейг сам считает свою подпись под протестом сомнительной, но не находит в себе мужества открыто признать это (вырезки прилагаю).</w:t>
      </w:r>
    </w:p>
    <w:p w14:paraId="3B6FE710" w14:textId="77777777" w:rsidR="006E6C8D" w:rsidRPr="00507A31" w:rsidRDefault="006E6C8D" w:rsidP="00507A31">
      <w:pPr>
        <w:numPr>
          <w:ilvl w:val="0"/>
          <w:numId w:val="85"/>
        </w:numPr>
        <w:ind w:left="0" w:firstLine="0"/>
        <w:jc w:val="both"/>
        <w:rPr>
          <w:color w:val="000000" w:themeColor="text1"/>
          <w:sz w:val="16"/>
          <w:szCs w:val="16"/>
        </w:rPr>
      </w:pPr>
      <w:r w:rsidRPr="00507A31">
        <w:rPr>
          <w:color w:val="000000" w:themeColor="text1"/>
          <w:sz w:val="16"/>
          <w:szCs w:val="16"/>
        </w:rPr>
        <w:t>Как я уже писал в свое время, Унгерн[-]Штернберг при проведении своей статьи против Бруцкуса в «Дейче Фольксвирт» натолкнулся на сопротивление жены Штольпера — Тони Штольпер, редактирующей русский отдел журнала. Унгерн при этом пришел к убеждению, что она в основном очень плохо информирована о происходящем в СССР. Он спросил меня, какую книгу полезнее всего рекомендовать Штольпер. Я ему дал книгу Мориса Хиндуса. Эта книга произвела на Штольпер очень сильное впечатление, и в итоге она поместила в [«]Дейче Фольсвирт[»] большую статью о «Большевизме». Эта статья может быть в целом квалифицирована, как вполне положительная, несмотря на заключительный абзац, указывающий, что корни коммунизма лежат в классовой ненависти и зависти.</w:t>
      </w:r>
    </w:p>
    <w:p w14:paraId="4F002914" w14:textId="77777777" w:rsidR="006E6C8D" w:rsidRPr="00507A31" w:rsidRDefault="006E6C8D" w:rsidP="00507A31">
      <w:pPr>
        <w:numPr>
          <w:ilvl w:val="0"/>
          <w:numId w:val="85"/>
        </w:numPr>
        <w:ind w:left="0" w:firstLine="0"/>
        <w:jc w:val="both"/>
        <w:rPr>
          <w:color w:val="000000" w:themeColor="text1"/>
          <w:sz w:val="16"/>
          <w:szCs w:val="16"/>
        </w:rPr>
      </w:pPr>
      <w:r w:rsidRPr="00507A31">
        <w:rPr>
          <w:color w:val="000000" w:themeColor="text1"/>
          <w:sz w:val="16"/>
          <w:szCs w:val="16"/>
        </w:rPr>
        <w:t>Меньшевистский бюллетень, издаваемый в Берлине принес вчера сообщение об аресте Блюхера и о раскрытии военного заговора [в СССР]. Это сообщение было помещено в [«]Форвертсе[»], [«]Берл. Фольксцейтунг[»] и ряде провинц[иальных] газет. В связи с этим начали циркулировать самые дикие слухи. Так 19-го ночью ко мне звонили из нескольких агентств и газет с вопросом «верно ли, что советское правительство свергнуто». В таких случаях было бы целесообразно, если имеет место измышление, не дементируя его непосредственно, давать косвенное опровержение.</w:t>
      </w:r>
    </w:p>
    <w:p w14:paraId="5434BD0E" w14:textId="77777777" w:rsidR="006E6C8D" w:rsidRPr="00507A31" w:rsidRDefault="006E6C8D" w:rsidP="00507A31">
      <w:pPr>
        <w:numPr>
          <w:ilvl w:val="0"/>
          <w:numId w:val="85"/>
        </w:numPr>
        <w:ind w:left="0" w:firstLine="0"/>
        <w:jc w:val="both"/>
        <w:rPr>
          <w:color w:val="000000" w:themeColor="text1"/>
          <w:sz w:val="16"/>
          <w:szCs w:val="16"/>
        </w:rPr>
      </w:pPr>
      <w:r w:rsidRPr="00507A31">
        <w:rPr>
          <w:color w:val="000000" w:themeColor="text1"/>
          <w:sz w:val="16"/>
          <w:szCs w:val="16"/>
        </w:rPr>
        <w:t>Как я уже писал, Фарсон очень интересовался в свое время событиями в Галиции. Я ему дал тогда кое[-]какие материалы и направил его в редакцию «Украинского Прапора» в Берлине. После этого он при встрече мельком заметил, что собирается ехать в Галицию, думает, что поляки им будут разочарованы. Как известно, Фарсон имел столкновение с польской полицией и в своих корреспонденциях резко нападает на польский режим в Галиции. (Прилагаю сообщение ТУ).</w:t>
      </w:r>
    </w:p>
    <w:p w14:paraId="0645A54B" w14:textId="77777777" w:rsidR="006E6C8D" w:rsidRPr="00507A31" w:rsidRDefault="006E6C8D" w:rsidP="00507A31">
      <w:pPr>
        <w:jc w:val="both"/>
        <w:rPr>
          <w:color w:val="000000" w:themeColor="text1"/>
          <w:sz w:val="16"/>
          <w:szCs w:val="16"/>
        </w:rPr>
      </w:pPr>
      <w:r w:rsidRPr="00507A31">
        <w:rPr>
          <w:color w:val="000000" w:themeColor="text1"/>
          <w:sz w:val="16"/>
          <w:szCs w:val="16"/>
        </w:rPr>
        <w:t>Д. Штерн</w:t>
      </w:r>
    </w:p>
    <w:p w14:paraId="38E2F49B" w14:textId="77777777" w:rsidR="006E6C8D" w:rsidRPr="00507A31" w:rsidRDefault="006E6C8D"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056. On. 15.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31.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9. </w:t>
      </w:r>
      <w:r w:rsidRPr="00507A31">
        <w:rPr>
          <w:rStyle w:val="af0"/>
          <w:i w:val="0"/>
          <w:color w:val="000000" w:themeColor="text1"/>
          <w:sz w:val="16"/>
          <w:szCs w:val="16"/>
        </w:rPr>
        <w:t>Л. 61-61 об. Машинописный подлинник на бланке Полпредства СССР в Германии, подпись Штерна — автограф. Гриф секретности и дата машинописью, исходящий номер «№ 1414» от руки в графе бланка. На Л. 61 вверху слева от руки написаны входящий номер и дата получения документа «25/ХI-30 г.», подпись-росчерк Миронова (18841).</w:t>
      </w:r>
    </w:p>
    <w:p w14:paraId="75CEA749" w14:textId="59D780FF" w:rsidR="006E6C8D" w:rsidRPr="00507A31" w:rsidRDefault="006E6C8D" w:rsidP="00507A31">
      <w:pPr>
        <w:jc w:val="both"/>
        <w:rPr>
          <w:color w:val="000000" w:themeColor="text1"/>
          <w:sz w:val="16"/>
          <w:szCs w:val="16"/>
        </w:rPr>
      </w:pPr>
    </w:p>
    <w:p w14:paraId="3B7C8F34" w14:textId="188F79A7" w:rsidR="00DB30D0" w:rsidRPr="00507A31" w:rsidRDefault="00DB30D0" w:rsidP="00507A31">
      <w:pPr>
        <w:jc w:val="both"/>
        <w:rPr>
          <w:i/>
          <w:iCs/>
          <w:color w:val="000000" w:themeColor="text1"/>
          <w:sz w:val="16"/>
          <w:szCs w:val="16"/>
        </w:rPr>
      </w:pPr>
      <w:r w:rsidRPr="00507A31">
        <w:rPr>
          <w:i/>
          <w:iCs/>
          <w:color w:val="000000" w:themeColor="text1"/>
          <w:sz w:val="16"/>
          <w:szCs w:val="16"/>
        </w:rPr>
        <w:t>За рубежом:</w:t>
      </w:r>
    </w:p>
    <w:p w14:paraId="5BA50685" w14:textId="77777777" w:rsidR="00DB30D0" w:rsidRPr="00507A31" w:rsidRDefault="00DB30D0" w:rsidP="00507A31">
      <w:pPr>
        <w:jc w:val="both"/>
        <w:rPr>
          <w:i/>
          <w:iCs/>
          <w:color w:val="000000" w:themeColor="text1"/>
          <w:sz w:val="16"/>
          <w:szCs w:val="16"/>
        </w:rPr>
      </w:pPr>
    </w:p>
    <w:p w14:paraId="1C3FC331" w14:textId="77777777" w:rsidR="00DB30D0" w:rsidRPr="00507A31" w:rsidRDefault="00DB30D0" w:rsidP="00507A31">
      <w:pPr>
        <w:jc w:val="both"/>
        <w:rPr>
          <w:color w:val="0070C0"/>
          <w:sz w:val="16"/>
          <w:szCs w:val="16"/>
        </w:rPr>
      </w:pPr>
      <w:r w:rsidRPr="00507A31">
        <w:rPr>
          <w:color w:val="0070C0"/>
          <w:sz w:val="16"/>
          <w:szCs w:val="16"/>
        </w:rPr>
        <w:t>21 ноября 1930 Dornier Do R4 Superwal летающая лодка авиалайнера I-RONY, работающая на пассажирской линии для итальянской авиакомпании Società Anonima Navigazione Aerea (САНА), исчезает через Средиземное море во время перелета из Барселоны, Испания, в Марсель, Франция, с потерей всех шести человек на борту (20805).</w:t>
      </w:r>
    </w:p>
    <w:p w14:paraId="552FDD1B" w14:textId="77777777" w:rsidR="00DB30D0" w:rsidRPr="00507A31" w:rsidRDefault="00DB30D0" w:rsidP="00507A31">
      <w:pPr>
        <w:jc w:val="both"/>
        <w:rPr>
          <w:color w:val="0070C0"/>
          <w:sz w:val="16"/>
          <w:szCs w:val="16"/>
        </w:rPr>
      </w:pPr>
    </w:p>
    <w:p w14:paraId="13F4989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98E1F63" w14:textId="77777777" w:rsidR="00537E5F" w:rsidRPr="00507A31" w:rsidRDefault="00537E5F" w:rsidP="00507A31">
      <w:pPr>
        <w:autoSpaceDE w:val="0"/>
        <w:autoSpaceDN w:val="0"/>
        <w:adjustRightInd w:val="0"/>
        <w:jc w:val="both"/>
        <w:rPr>
          <w:iCs/>
          <w:color w:val="000000" w:themeColor="text1"/>
          <w:sz w:val="16"/>
          <w:szCs w:val="16"/>
        </w:rPr>
      </w:pPr>
    </w:p>
    <w:p w14:paraId="4C56E6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ноября 1930 состоялось совещание представителей ЦАГИ и завода п/я 747 о сроках изготовлении чертежей АНТ-6 (ТБ-3) (1077,121).</w:t>
      </w:r>
    </w:p>
    <w:p w14:paraId="3CD90F97" w14:textId="77777777" w:rsidR="00537E5F" w:rsidRPr="00507A31" w:rsidRDefault="00537E5F" w:rsidP="00507A31">
      <w:pPr>
        <w:autoSpaceDE w:val="0"/>
        <w:autoSpaceDN w:val="0"/>
        <w:adjustRightInd w:val="0"/>
        <w:jc w:val="both"/>
        <w:rPr>
          <w:color w:val="000000" w:themeColor="text1"/>
          <w:sz w:val="16"/>
          <w:szCs w:val="16"/>
        </w:rPr>
      </w:pPr>
    </w:p>
    <w:p w14:paraId="6E37DA6F" w14:textId="77777777" w:rsidR="00273CEF" w:rsidRPr="00507A31" w:rsidRDefault="00273CEF" w:rsidP="00507A31">
      <w:pPr>
        <w:jc w:val="both"/>
        <w:rPr>
          <w:color w:val="000000" w:themeColor="text1"/>
          <w:sz w:val="16"/>
          <w:szCs w:val="16"/>
        </w:rPr>
      </w:pPr>
      <w:r w:rsidRPr="00507A31">
        <w:rPr>
          <w:color w:val="000000" w:themeColor="text1"/>
          <w:sz w:val="16"/>
          <w:szCs w:val="16"/>
        </w:rPr>
        <w:t>22 ноября 1930 предварительный проект И-12 2М-22 предъявили заказчику. По расчётам, самолёт при полной массе 2405,87 кг должен был иметь следующие данные:</w:t>
      </w:r>
    </w:p>
    <w:p w14:paraId="6FC3D892" w14:textId="77777777" w:rsidR="00273CEF" w:rsidRPr="00507A31" w:rsidRDefault="00273CEF" w:rsidP="00507A31">
      <w:pPr>
        <w:tabs>
          <w:tab w:val="left" w:pos="5754"/>
        </w:tabs>
        <w:jc w:val="both"/>
        <w:rPr>
          <w:color w:val="000000" w:themeColor="text1"/>
          <w:sz w:val="16"/>
          <w:szCs w:val="16"/>
        </w:rPr>
      </w:pPr>
      <w:r w:rsidRPr="00507A31">
        <w:rPr>
          <w:color w:val="000000" w:themeColor="text1"/>
          <w:sz w:val="16"/>
          <w:szCs w:val="16"/>
        </w:rPr>
        <w:t>Максимальную скорость: у земли</w:t>
      </w:r>
      <w:r w:rsidRPr="00507A31">
        <w:rPr>
          <w:color w:val="000000" w:themeColor="text1"/>
          <w:sz w:val="16"/>
          <w:szCs w:val="16"/>
        </w:rPr>
        <w:tab/>
        <w:t>— 300-305 км/ч</w:t>
      </w:r>
    </w:p>
    <w:p w14:paraId="475849CE" w14:textId="77777777" w:rsidR="00273CEF" w:rsidRPr="00507A31" w:rsidRDefault="00273CEF" w:rsidP="00507A31">
      <w:pPr>
        <w:tabs>
          <w:tab w:val="left" w:pos="5731"/>
        </w:tabs>
        <w:jc w:val="both"/>
        <w:rPr>
          <w:color w:val="000000" w:themeColor="text1"/>
          <w:sz w:val="16"/>
          <w:szCs w:val="16"/>
        </w:rPr>
      </w:pPr>
      <w:r w:rsidRPr="00507A31">
        <w:rPr>
          <w:color w:val="000000" w:themeColor="text1"/>
          <w:sz w:val="16"/>
          <w:szCs w:val="16"/>
        </w:rPr>
        <w:t>на высоте 5000 м</w:t>
      </w:r>
      <w:r w:rsidRPr="00507A31">
        <w:rPr>
          <w:color w:val="000000" w:themeColor="text1"/>
          <w:sz w:val="16"/>
          <w:szCs w:val="16"/>
        </w:rPr>
        <w:tab/>
        <w:t>— 300-310 км/ч</w:t>
      </w:r>
    </w:p>
    <w:p w14:paraId="21144BEA" w14:textId="77777777" w:rsidR="00273CEF" w:rsidRPr="00507A31" w:rsidRDefault="00273CEF" w:rsidP="00507A31">
      <w:pPr>
        <w:tabs>
          <w:tab w:val="left" w:pos="5754"/>
        </w:tabs>
        <w:jc w:val="both"/>
        <w:rPr>
          <w:color w:val="000000" w:themeColor="text1"/>
          <w:sz w:val="16"/>
          <w:szCs w:val="16"/>
        </w:rPr>
      </w:pPr>
      <w:r w:rsidRPr="00507A31">
        <w:rPr>
          <w:color w:val="000000" w:themeColor="text1"/>
          <w:sz w:val="16"/>
          <w:szCs w:val="16"/>
        </w:rPr>
        <w:t>Время подъёма на вцеоту 5000 м</w:t>
      </w:r>
      <w:r w:rsidRPr="00507A31">
        <w:rPr>
          <w:color w:val="000000" w:themeColor="text1"/>
          <w:sz w:val="16"/>
          <w:szCs w:val="16"/>
        </w:rPr>
        <w:tab/>
        <w:t>— 10-11 мин</w:t>
      </w:r>
    </w:p>
    <w:p w14:paraId="22B10EF3" w14:textId="77777777" w:rsidR="00273CEF" w:rsidRPr="00507A31" w:rsidRDefault="00273CEF" w:rsidP="00507A31">
      <w:pPr>
        <w:tabs>
          <w:tab w:val="left" w:pos="5754"/>
        </w:tabs>
        <w:jc w:val="both"/>
        <w:rPr>
          <w:color w:val="000000" w:themeColor="text1"/>
          <w:sz w:val="16"/>
          <w:szCs w:val="16"/>
        </w:rPr>
      </w:pPr>
      <w:r w:rsidRPr="00507A31">
        <w:rPr>
          <w:color w:val="000000" w:themeColor="text1"/>
          <w:sz w:val="16"/>
          <w:szCs w:val="16"/>
        </w:rPr>
        <w:t>Практический потолок</w:t>
      </w:r>
      <w:r w:rsidRPr="00507A31">
        <w:rPr>
          <w:color w:val="000000" w:themeColor="text1"/>
          <w:sz w:val="16"/>
          <w:szCs w:val="16"/>
        </w:rPr>
        <w:tab/>
        <w:t>— 8500 м</w:t>
      </w:r>
    </w:p>
    <w:p w14:paraId="7D9749EE" w14:textId="77777777" w:rsidR="00273CEF" w:rsidRPr="00507A31" w:rsidRDefault="00273CEF" w:rsidP="00507A31">
      <w:pPr>
        <w:tabs>
          <w:tab w:val="left" w:pos="5754"/>
        </w:tabs>
        <w:jc w:val="both"/>
        <w:rPr>
          <w:color w:val="000000" w:themeColor="text1"/>
          <w:sz w:val="16"/>
          <w:szCs w:val="16"/>
        </w:rPr>
      </w:pPr>
      <w:r w:rsidRPr="00507A31">
        <w:rPr>
          <w:color w:val="000000" w:themeColor="text1"/>
          <w:sz w:val="16"/>
          <w:szCs w:val="16"/>
        </w:rPr>
        <w:t>Посадочную скорость</w:t>
      </w:r>
      <w:r w:rsidRPr="00507A31">
        <w:rPr>
          <w:color w:val="000000" w:themeColor="text1"/>
          <w:sz w:val="16"/>
          <w:szCs w:val="16"/>
        </w:rPr>
        <w:tab/>
        <w:t>—100 км/ч (15823).</w:t>
      </w:r>
    </w:p>
    <w:p w14:paraId="2FFC1E82" w14:textId="77777777" w:rsidR="00273CEF" w:rsidRPr="00507A31" w:rsidRDefault="00273CEF" w:rsidP="00507A31">
      <w:pPr>
        <w:tabs>
          <w:tab w:val="left" w:pos="5754"/>
        </w:tabs>
        <w:jc w:val="both"/>
        <w:rPr>
          <w:color w:val="000000" w:themeColor="text1"/>
          <w:sz w:val="16"/>
          <w:szCs w:val="16"/>
        </w:rPr>
      </w:pPr>
    </w:p>
    <w:p w14:paraId="762B1C31" w14:textId="77777777" w:rsidR="006E6C8D" w:rsidRPr="00507A31" w:rsidRDefault="006E6C8D" w:rsidP="00507A31">
      <w:pPr>
        <w:pStyle w:val="ae"/>
        <w:shd w:val="clear" w:color="auto" w:fill="FFFFFF"/>
        <w:spacing w:before="0" w:after="0"/>
        <w:jc w:val="both"/>
        <w:textAlignment w:val="baseline"/>
        <w:rPr>
          <w:color w:val="000000" w:themeColor="text1"/>
          <w:sz w:val="16"/>
          <w:szCs w:val="16"/>
        </w:rPr>
      </w:pPr>
      <w:r w:rsidRPr="00507A31">
        <w:rPr>
          <w:color w:val="000000" w:themeColor="text1"/>
          <w:sz w:val="16"/>
          <w:szCs w:val="16"/>
        </w:rPr>
        <w:t>22 ноября 1930 предварительный проект И-12 2М-22 был предъявлен заказчику на рассмотрение. По расчетам, самолет при полной массе 2405,87 кг должен был иметь следующие данные:</w:t>
      </w:r>
    </w:p>
    <w:p w14:paraId="6EE58221" w14:textId="77777777" w:rsidR="006E6C8D" w:rsidRPr="00507A31" w:rsidRDefault="006E6C8D" w:rsidP="00507A31">
      <w:pPr>
        <w:pStyle w:val="ae"/>
        <w:shd w:val="clear" w:color="auto" w:fill="FFFFFF"/>
        <w:spacing w:before="0" w:after="0"/>
        <w:jc w:val="both"/>
        <w:textAlignment w:val="baseline"/>
        <w:rPr>
          <w:color w:val="000000" w:themeColor="text1"/>
          <w:sz w:val="16"/>
          <w:szCs w:val="16"/>
        </w:rPr>
      </w:pPr>
      <w:r w:rsidRPr="00507A31">
        <w:rPr>
          <w:color w:val="000000" w:themeColor="text1"/>
          <w:sz w:val="16"/>
          <w:szCs w:val="16"/>
        </w:rPr>
        <w:t>• максимальную скорость: у земли – 300-305 км/ч, на высоте 5000 м – 300-310 км/ч</w:t>
      </w:r>
    </w:p>
    <w:p w14:paraId="75BE0F6A" w14:textId="77777777" w:rsidR="006E6C8D" w:rsidRPr="00507A31" w:rsidRDefault="006E6C8D" w:rsidP="00507A31">
      <w:pPr>
        <w:pStyle w:val="ae"/>
        <w:shd w:val="clear" w:color="auto" w:fill="FFFFFF"/>
        <w:spacing w:before="0" w:after="0"/>
        <w:jc w:val="both"/>
        <w:textAlignment w:val="baseline"/>
        <w:rPr>
          <w:color w:val="000000" w:themeColor="text1"/>
          <w:sz w:val="16"/>
          <w:szCs w:val="16"/>
        </w:rPr>
      </w:pPr>
      <w:r w:rsidRPr="00507A31">
        <w:rPr>
          <w:color w:val="000000" w:themeColor="text1"/>
          <w:sz w:val="16"/>
          <w:szCs w:val="16"/>
        </w:rPr>
        <w:t>• время подъема на высоту 5000 м – 10-11 мин</w:t>
      </w:r>
    </w:p>
    <w:p w14:paraId="17625736" w14:textId="77777777" w:rsidR="006E6C8D" w:rsidRPr="00507A31" w:rsidRDefault="006E6C8D" w:rsidP="00507A31">
      <w:pPr>
        <w:pStyle w:val="ae"/>
        <w:shd w:val="clear" w:color="auto" w:fill="FFFFFF"/>
        <w:spacing w:before="0" w:after="0"/>
        <w:jc w:val="both"/>
        <w:textAlignment w:val="baseline"/>
        <w:rPr>
          <w:color w:val="000000" w:themeColor="text1"/>
          <w:sz w:val="16"/>
          <w:szCs w:val="16"/>
        </w:rPr>
      </w:pPr>
      <w:r w:rsidRPr="00507A31">
        <w:rPr>
          <w:color w:val="000000" w:themeColor="text1"/>
          <w:sz w:val="16"/>
          <w:szCs w:val="16"/>
        </w:rPr>
        <w:t>• практический потолок – 8500 м</w:t>
      </w:r>
    </w:p>
    <w:p w14:paraId="32B87647" w14:textId="77777777" w:rsidR="006E6C8D" w:rsidRPr="00507A31" w:rsidRDefault="006E6C8D" w:rsidP="00507A31">
      <w:pPr>
        <w:pStyle w:val="ae"/>
        <w:shd w:val="clear" w:color="auto" w:fill="FFFFFF"/>
        <w:spacing w:before="0" w:after="0"/>
        <w:jc w:val="both"/>
        <w:textAlignment w:val="baseline"/>
        <w:rPr>
          <w:color w:val="000000" w:themeColor="text1"/>
          <w:sz w:val="16"/>
          <w:szCs w:val="16"/>
        </w:rPr>
      </w:pPr>
      <w:r w:rsidRPr="00507A31">
        <w:rPr>
          <w:color w:val="000000" w:themeColor="text1"/>
          <w:sz w:val="16"/>
          <w:szCs w:val="16"/>
        </w:rPr>
        <w:t>• посадочную скорость – 100 км/ч (19172).</w:t>
      </w:r>
    </w:p>
    <w:p w14:paraId="699E5C74" w14:textId="77777777" w:rsidR="006E6C8D" w:rsidRPr="00507A31" w:rsidRDefault="006E6C8D" w:rsidP="00507A31">
      <w:pPr>
        <w:pStyle w:val="ae"/>
        <w:shd w:val="clear" w:color="auto" w:fill="FFFFFF"/>
        <w:spacing w:before="0" w:after="0"/>
        <w:jc w:val="both"/>
        <w:textAlignment w:val="baseline"/>
        <w:rPr>
          <w:color w:val="000000" w:themeColor="text1"/>
          <w:sz w:val="16"/>
          <w:szCs w:val="16"/>
        </w:rPr>
      </w:pPr>
      <w:r w:rsidRPr="00507A31">
        <w:rPr>
          <w:color w:val="000000" w:themeColor="text1"/>
          <w:sz w:val="16"/>
          <w:szCs w:val="16"/>
        </w:rPr>
        <w:t>1 декабря 1930 года на совещании у помощника Начальника ВВС РККА Меженинова утвердили схему самолета И-12 (тандем), представленную ЦАГИ. Самолет представлял собой цельнометаллический моноплан оригинальной компоновки. Вместо классического фюзеляжа, в середине центроплана крепилась гондола, в передней и задней частях которой размещались двигатели, которые вращали тянущий и толкающий винты. Оперение крепилось на двух металлических балках-трубах, являвшихся частью динамо-реактивных пушек и служивших для отвода газов. Автоматические авиационные пушки Л. В. Курчевского (АПК) калибром 76,2 мм заряжались унитарными патронами, которые перемещались к дульному срезу по цилиндрическому магазину, расположенному над стволом. Попадая в специальный лоток перед дульным срезом, они досылались в канал ствола специальным устройством. Выстрел производился двумя способами: основной – электрозапалом, аварийный – от капсюля на боевой рейке. Все операции по перезаряжанию выполнялись пневмоприводом (19172).</w:t>
      </w:r>
    </w:p>
    <w:p w14:paraId="7B4DC619" w14:textId="77777777" w:rsidR="006E6C8D" w:rsidRPr="00507A31" w:rsidRDefault="006E6C8D" w:rsidP="00507A31">
      <w:pPr>
        <w:pStyle w:val="ae"/>
        <w:shd w:val="clear" w:color="auto" w:fill="FFFFFF"/>
        <w:spacing w:before="0" w:after="0"/>
        <w:jc w:val="both"/>
        <w:textAlignment w:val="baseline"/>
        <w:rPr>
          <w:color w:val="000000" w:themeColor="text1"/>
          <w:sz w:val="16"/>
          <w:szCs w:val="16"/>
        </w:rPr>
      </w:pPr>
    </w:p>
    <w:p w14:paraId="71B5A5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22 ноября 1930 г. на заводе № 1 собрали первую машину И-5 (но без оборудования и вооружения) собрали ещё десять были готовы примерно на 80%.</w:t>
      </w:r>
    </w:p>
    <w:p w14:paraId="60A907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Самолёты завода № 1 имели четырёхзначные номера, дававшиеся в общей последовательности выпуска продукции предприятия. Все они начинались с четвёрки.</w:t>
      </w:r>
    </w:p>
    <w:p w14:paraId="4FA48D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освоении производства И-5 брака поначалу было много. Ошибки при изготовлении узлов скрывали индивидуальной подгонкой их уже на самолётах. Низкое качество продукции вынудило военных ввести промежуточные этапы контроля. Теперь военпреды проверяли не только готовые истребители в целом, но и отдельные узлы.</w:t>
      </w:r>
    </w:p>
    <w:p w14:paraId="76C581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этом мрачном фоне встречались и светлые пятна. В июле 1931 г. на Центральном аэродроме прошёл смотр новой авиационной техники, на который прибыли Сталин, Орджоникидзе, Ворошилов и другие руководители страны. Среди прочих машин им показали И-5. Чкалов и Анисимов с блеском продемонстрировали их в воздухе, произведя большое впечатление на присутствующих.</w:t>
      </w:r>
    </w:p>
    <w:p w14:paraId="121246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Результаты смотра сказались довольно быстро. В конце июля решением коллегии ОГПУ большинство конструкторов ОКБ выпустили на свободу, а Поликарпову заменили "высшую меру" десятью годами лагерей, но в том же месяце постановлением ВЦИК его освободили, не отменив, однако, приговора. Его за "отсутствием состава преступления" аннулировал Верховный суд в 1956 г., а умер Поликарпов в 1944 г. Так что полтора десятка лет многочисленные награды присваивались "вредителю".</w:t>
      </w:r>
    </w:p>
    <w:p w14:paraId="622D6E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Планировалось выпустить за 1931/32 финансовый год (его считали с 1 июля по 1 июля) 269 И-5, позже эту цифру откорректировали до 250. Как уже говорилось, эту задачу возложили на завод № 1. Ему в помощь назначили завод № 22 в Филях, где делали некоторые металлические узлы, в частности, элероны. </w:t>
      </w:r>
    </w:p>
    <w:p w14:paraId="03E6AC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Серийные истребители, собранные на заводе № 1, внешне практически не отличались от малой серии завода № 39, но многие узлы машин оказались невзаимозаменяемы. Отличались хвостовое оперение, центроплан, нижние крылья, элероны. На первых 15 самолётах подкосы капота мотора изготовлялись из дюралюминия, позже - из стали. Вооружение состояло из четырёх пулемётов ПВ-1 с боезапасом по 250 патронов на каждый. Примитивный коллиматорный прицел (кольцо и мушка) стоял на капоте перед ветровым козырьком. Под нижним крылом монтировались две балки Дер-5 под бомбы весом до 10 кг. Механический сбрасыватель оригинальной конструкции (в документах он именуется "СБР-спец.") монтировался в пилотской кабине.</w:t>
      </w:r>
    </w:p>
    <w:p w14:paraId="436DB8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постоянно лихорадило от недостатка комплектующих. Запаздывали импортные дюралюминиевые трубы, не хватало прицелов, резины для колёс. Пулемёты ПВ-1 поступали только с левыми приёмниками ленты. Правые пулемёты на самолёты ставили, но они представляли собой фактически лишь декорацию, поскольку стрелять не могли. Стабильно шли перебои с поставками французских моторов Гном-Рон 9Aq.  (11997).</w:t>
      </w:r>
    </w:p>
    <w:p w14:paraId="635789B4" w14:textId="77777777" w:rsidR="00537E5F" w:rsidRPr="00507A31" w:rsidRDefault="00537E5F" w:rsidP="00507A31">
      <w:pPr>
        <w:autoSpaceDE w:val="0"/>
        <w:autoSpaceDN w:val="0"/>
        <w:adjustRightInd w:val="0"/>
        <w:jc w:val="both"/>
        <w:rPr>
          <w:color w:val="000000" w:themeColor="text1"/>
          <w:sz w:val="16"/>
          <w:szCs w:val="16"/>
        </w:rPr>
      </w:pPr>
    </w:p>
    <w:p w14:paraId="304ABA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22 ноября 1930 Пред. 1-й секции НТК Ганулин и и Гребенев писали письмо № 432/1520с Нач. ОТО ЦАГИ (копияЖ Нач. ЦАГИ)</w:t>
      </w:r>
    </w:p>
    <w:p w14:paraId="3DE365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Ввиду Вашего заявления, что ЦАГИ до сего вре</w:t>
      </w:r>
      <w:r w:rsidRPr="00507A31">
        <w:rPr>
          <w:color w:val="000000" w:themeColor="text1"/>
          <w:sz w:val="16"/>
          <w:szCs w:val="16"/>
        </w:rPr>
        <w:softHyphen/>
        <w:t>мена не имеет от НТК письменного задания на исследо</w:t>
      </w:r>
      <w:r w:rsidRPr="00507A31">
        <w:rPr>
          <w:color w:val="000000" w:themeColor="text1"/>
          <w:sz w:val="16"/>
          <w:szCs w:val="16"/>
        </w:rPr>
        <w:softHyphen/>
        <w:t>вание штопора самолето И-5, 1-ая Секция НТК сообщает:</w:t>
      </w:r>
    </w:p>
    <w:p w14:paraId="57C814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 своем рапорте Начальник ЦАГИ на имя Председателя Реввоенсовета СССР (от 27/1Х-30 г. за № 885/с отмечает: "доношу, что согласно постановления РВС от 13/1Хж № Р 20, ЦАГИ было поручено произвести иссле</w:t>
      </w:r>
      <w:r w:rsidRPr="00507A31">
        <w:rPr>
          <w:color w:val="000000" w:themeColor="text1"/>
          <w:sz w:val="16"/>
          <w:szCs w:val="16"/>
        </w:rPr>
        <w:softHyphen/>
        <w:t>дование самолета И-5 на предмет его способности выхо</w:t>
      </w:r>
      <w:r w:rsidRPr="00507A31">
        <w:rPr>
          <w:color w:val="000000" w:themeColor="text1"/>
          <w:sz w:val="16"/>
          <w:szCs w:val="16"/>
        </w:rPr>
        <w:softHyphen/>
        <w:t>дить из плоского штопора.”).</w:t>
      </w:r>
    </w:p>
    <w:p w14:paraId="31B8C9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28/УШ-30 г. № 2895/с. 1-ая Секция НТК просила Начальника ЦАГИ включить в план работ по штопору ис</w:t>
      </w:r>
      <w:r w:rsidRPr="00507A31">
        <w:rPr>
          <w:color w:val="000000" w:themeColor="text1"/>
          <w:sz w:val="16"/>
          <w:szCs w:val="16"/>
        </w:rPr>
        <w:softHyphen/>
        <w:t>следование штопора самолета И5-Юпитер У1 и указывала на срочность и вашюеть этих работ;</w:t>
      </w:r>
    </w:p>
    <w:p w14:paraId="191BA2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25/1Х-30 г. № 3162/с. 1-ая Секция НТК указывая на важность для ВВС исследования штопора самолета И5, просила Начальника ЦАГИ сообщить о принятии данного задания и ориентировочный срок его выполнения;</w:t>
      </w:r>
    </w:p>
    <w:p w14:paraId="5443EA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На совешании на заводе № 39 (п/я 411) от 21/Х-30 г. по докладу т. АЛЕКСАНДРОВА постановлено: предлонить ЦАГИ продолжать свои работы по штопору, форсируя в части получения скорейших результатов применителько к самолету И5 /№ 3500 от 31/Х-30 г./.</w:t>
      </w:r>
    </w:p>
    <w:p w14:paraId="4C929C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основании изложенного, 1-ая Секция НТК счи</w:t>
      </w:r>
      <w:r w:rsidRPr="00507A31">
        <w:rPr>
          <w:color w:val="000000" w:themeColor="text1"/>
          <w:sz w:val="16"/>
          <w:szCs w:val="16"/>
        </w:rPr>
        <w:softHyphen/>
        <w:t>тает необходимым подтвердить чревычайную важность и срочность работ по улучшению штопора самолета И5 в просит ОТО ЦАГИ ускорить решение этого вопроса, не ограничиваясь представлением списка необходимых для ЦАГИ приборов.</w:t>
      </w:r>
    </w:p>
    <w:p w14:paraId="2F943E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 как ОТО ЦАГИ приобретает за счет сумм ЦАГИ все нообходимке приборы и оборудование, необходимые для своих работ, то связывание срока выполнения ра</w:t>
      </w:r>
      <w:r w:rsidRPr="00507A31">
        <w:rPr>
          <w:color w:val="000000" w:themeColor="text1"/>
          <w:sz w:val="16"/>
          <w:szCs w:val="16"/>
        </w:rPr>
        <w:softHyphen/>
        <w:t>бот со сроком приобретения приборов для 1-й Секции НТК не считается возможным. 1-ая секция НТК просит сообщить срок, когда ОТО ЦАГИ будут приобретены нужные приборы и выполнено поставовление РВС СССР от 13/1Х с.г.</w:t>
      </w:r>
    </w:p>
    <w:p w14:paraId="651C68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этих приведенных выписок т. Гануличем лично на совещании 15/У-30 г. в ЦАГИ было дано т. АЛЕКСАНДРОВУ категорическое указание на скорейшее проведение работ, причем тогда не было договорено о распределении работ между ОТО и ЭАО и т. Александров обязался в 5-ти дневный срок представить рабочий план.</w:t>
      </w:r>
    </w:p>
    <w:p w14:paraId="0DF283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Всю эту переписку по поводу того, что ОТО ЦАГИ якобы не имеет указаний, нужно рассматривать лишь как оттяжку срока и оправдение упущенного времени (10757).</w:t>
      </w:r>
    </w:p>
    <w:p w14:paraId="2BA0F8DA" w14:textId="77777777" w:rsidR="00537E5F" w:rsidRPr="00507A31" w:rsidRDefault="00537E5F" w:rsidP="00507A31">
      <w:pPr>
        <w:autoSpaceDE w:val="0"/>
        <w:autoSpaceDN w:val="0"/>
        <w:adjustRightInd w:val="0"/>
        <w:jc w:val="both"/>
        <w:rPr>
          <w:color w:val="000000" w:themeColor="text1"/>
          <w:sz w:val="16"/>
          <w:szCs w:val="16"/>
        </w:rPr>
      </w:pPr>
    </w:p>
    <w:p w14:paraId="59778030" w14:textId="77777777" w:rsidR="00537E5F" w:rsidRPr="00507A31" w:rsidRDefault="00537E5F" w:rsidP="00507A31">
      <w:pPr>
        <w:autoSpaceDE w:val="0"/>
        <w:autoSpaceDN w:val="0"/>
        <w:adjustRightInd w:val="0"/>
        <w:jc w:val="both"/>
        <w:rPr>
          <w:iCs/>
          <w:color w:val="000000" w:themeColor="text1"/>
          <w:sz w:val="16"/>
          <w:szCs w:val="16"/>
        </w:rPr>
      </w:pPr>
      <w:r w:rsidRPr="00507A31">
        <w:rPr>
          <w:color w:val="000000" w:themeColor="text1"/>
          <w:sz w:val="16"/>
          <w:szCs w:val="16"/>
        </w:rPr>
        <w:t>22 ноября 1930 г. эксперты 1У секции Комитета по делам изобретений ВСНХ Союза ССР, после рассмотрения описания, чертежа и всех относящихся к делу документов заявки на изобретение «Аэроопылитель», представляющий собой бак, «могущий быть помещенным в крыло самолета» А.С. Москалев от 25 августа 1930 г., не усмотрели признаков новизны постановили в выдаче патента отказать</w:t>
      </w:r>
      <w:r w:rsidRPr="00507A31">
        <w:rPr>
          <w:iCs/>
          <w:color w:val="000000" w:themeColor="text1"/>
          <w:sz w:val="16"/>
          <w:szCs w:val="16"/>
        </w:rPr>
        <w:t xml:space="preserve">. </w:t>
      </w:r>
      <w:r w:rsidRPr="00507A31">
        <w:rPr>
          <w:color w:val="000000" w:themeColor="text1"/>
          <w:sz w:val="16"/>
          <w:szCs w:val="16"/>
        </w:rPr>
        <w:t>При этом эксперт Н.Н. Мячин отмечал, «что размещение баков и других грузов в крыльях общеизвестно (см. самолеты Юнкерса) (11707)</w:t>
      </w:r>
      <w:r w:rsidRPr="00507A31">
        <w:rPr>
          <w:iCs/>
          <w:color w:val="000000" w:themeColor="text1"/>
          <w:sz w:val="16"/>
          <w:szCs w:val="16"/>
        </w:rPr>
        <w:t>.</w:t>
      </w:r>
    </w:p>
    <w:p w14:paraId="587D85BB" w14:textId="77777777" w:rsidR="00537E5F" w:rsidRPr="00507A31" w:rsidRDefault="00537E5F" w:rsidP="00507A31">
      <w:pPr>
        <w:autoSpaceDE w:val="0"/>
        <w:autoSpaceDN w:val="0"/>
        <w:adjustRightInd w:val="0"/>
        <w:jc w:val="both"/>
        <w:rPr>
          <w:color w:val="000000" w:themeColor="text1"/>
          <w:sz w:val="16"/>
          <w:szCs w:val="16"/>
        </w:rPr>
      </w:pPr>
    </w:p>
    <w:p w14:paraId="62803E0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CD8B6B5" w14:textId="77777777" w:rsidR="00537E5F" w:rsidRPr="00507A31" w:rsidRDefault="00537E5F" w:rsidP="00507A31">
      <w:pPr>
        <w:autoSpaceDE w:val="0"/>
        <w:autoSpaceDN w:val="0"/>
        <w:adjustRightInd w:val="0"/>
        <w:jc w:val="both"/>
        <w:rPr>
          <w:iCs/>
          <w:color w:val="000000" w:themeColor="text1"/>
          <w:sz w:val="16"/>
          <w:szCs w:val="16"/>
        </w:rPr>
      </w:pPr>
    </w:p>
    <w:p w14:paraId="50E63C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 ноября 1930 г. была подготовлена ДОКЛАДНАЯ ЗАПИСКА НАЧАЛЬНИКУ УММ ОБ ИСПЫТАНИЯХ</w:t>
      </w:r>
    </w:p>
    <w:p w14:paraId="2BBE53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Представляя при сем отчет по испытаниям ведущих колес, считаю необходимым доложить о следующем:</w:t>
      </w:r>
    </w:p>
    <w:p w14:paraId="3F9672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Испытания ведущих колес не были закончены в срок потому, что завод затянул их подготовку и вместо 27 октября они начались 4 ноября.</w:t>
      </w:r>
    </w:p>
    <w:p w14:paraId="09AF9A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 Т-19.</w:t>
      </w:r>
    </w:p>
    <w:p w14:paraId="30C827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 Задержкой в изготовлении мотора является главным образом коленчатый вал.</w:t>
      </w:r>
    </w:p>
    <w:p w14:paraId="099985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плану коленчатый вал должен быть подан на механическую обработку 20 ноября. 15 ноябр выяснилось, что валы вышли в брак: нет припуска на бруски для механических испытаний и на обточку. Были заказаны новые валы. 20 ноября выяснилось, что валы снова вышли в брак и по той же] причине: не выходят по размерам.</w:t>
      </w:r>
    </w:p>
    <w:p w14:paraId="61ADE8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Принимая во внимание, что на изготовление полуфабрикатов требуется примерно 15 - 20 дна и на мехобработку около 15 дней, можно ожидать начала сборки не раньше 20 - 25 декабря и начала испытаний 10 - 15 января. Между тем мотор должен 15 декабря поступить на испытание с тем чтобы 1 января 1931 г. быть поставленным в машину для предъявления к сдаточным испытания Точно так же узким местом может стать картер, если ЧМЛ не примет мер по изготовлению его! кратчайший срок.</w:t>
      </w:r>
    </w:p>
    <w:p w14:paraId="67CF95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Плохо работает снабжение: срок подачи 5 ноября, но до сего времени ничего не подано.</w:t>
      </w:r>
    </w:p>
    <w:p w14:paraId="21B321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Ходовая часть. Задержек по полуфабрикатам нет. Мехобработка сделана примерно на 10%. работы осталось примерно на 2 недели.</w:t>
      </w:r>
    </w:p>
    <w:p w14:paraId="702B76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Корпус собирается.</w:t>
      </w:r>
    </w:p>
    <w:p w14:paraId="4E7657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Выводы:</w:t>
      </w:r>
    </w:p>
    <w:p w14:paraId="2CFBF7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Благодаря халатности в изготовлении коленчатого вала (два раза вышел в брак по одной и т же причине) срок 1 января - сорван.</w:t>
      </w:r>
    </w:p>
    <w:p w14:paraId="595E36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Вероятный срок предъявления образца Т-19 — 1 февраля.</w:t>
      </w:r>
    </w:p>
    <w:p w14:paraId="0E678E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Необходимо форсировать работу заготовительных цехов и снабжения, иначе и этот срок т же может быть сорван.</w:t>
      </w:r>
    </w:p>
    <w:p w14:paraId="35D8CF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III. Мотор ГКБ. Срок по плану 15 ноября.</w:t>
      </w:r>
    </w:p>
    <w:p w14:paraId="59A0F1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Срок сорван из-за коленчатого вала, который вышел в брак. Изготовление полуфабрикатов ненормальным путем:</w:t>
      </w:r>
    </w:p>
    <w:p w14:paraId="0E4F62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бруски для механических испытаний отрезаны до термообработки.</w:t>
      </w:r>
    </w:p>
    <w:p w14:paraId="16939D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на мехобработку вал подан без испытаний брусков. Брак получился после второй термообр ботки (механические качества после первой термообработки были неудовлетворительны) и за чаются в поводке вала, которая выправлена быть не может.</w:t>
      </w:r>
    </w:p>
    <w:p w14:paraId="3803A6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20 ноября были готовы новые валы. Полагая на мехобработку давала около 15 дней, надо дать конец мехобработки около 5 декабря и сборки около 20 декабря и таким образом, срок преди вления переносится на 10 января.</w:t>
      </w:r>
    </w:p>
    <w:p w14:paraId="7F19E3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Другим узким местом является картер, который не может быть пущен в расточку из-за отсутствия наметок. Эти наметки дюралюминиевые. Методика их изготовления не известна и они ] в брак. Точно так же плохо работает снабжение.</w:t>
      </w:r>
    </w:p>
    <w:p w14:paraId="1F2AB2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Выводы:</w:t>
      </w:r>
    </w:p>
    <w:p w14:paraId="441229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Необходимо:</w:t>
      </w:r>
    </w:p>
    <w:p w14:paraId="07DA09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форсировать работу по картеру.</w:t>
      </w:r>
    </w:p>
    <w:p w14:paraId="52ACE7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усилить работу снабжения.</w:t>
      </w:r>
    </w:p>
    <w:p w14:paraId="4E2E50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для сокращения опозданий усилить оборудование опытной мастерской, по крайней мере,! стью токарными станками и соответственным числом токарей.</w:t>
      </w:r>
    </w:p>
    <w:p w14:paraId="61E117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IV. Мотор КБ.</w:t>
      </w:r>
    </w:p>
    <w:p w14:paraId="13406B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Мотор на газу проработал в общей сложности около 40 часов. Последние 13 часов он работал на ощности 55-62 НР. Из них 4 часа 30 минут на мощности 60-62 НР и последние 5 часов непрерывно 1 мощности 57 НР.</w:t>
      </w:r>
    </w:p>
    <w:p w14:paraId="296648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Максимальная мощность - 62 НР при 2350 оборотов в минуту.</w:t>
      </w:r>
    </w:p>
    <w:p w14:paraId="53EA0C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Предполагается в дальнейшем:</w:t>
      </w:r>
    </w:p>
    <w:p w14:paraId="54F912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Испытать мотор на свечах Патрубтреста (в последнее время мотор работал на свечах К).</w:t>
      </w:r>
    </w:p>
    <w:p w14:paraId="724C3F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Утопление свечей для лучшего их обдува.</w:t>
      </w:r>
    </w:p>
    <w:p w14:paraId="723CF2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Подбор наивыгоднейшей длины всасывающей трубы. По словам конструктора Гротте, это мо-г повысить мощность на 10%.</w:t>
      </w:r>
    </w:p>
    <w:p w14:paraId="2726D0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100-часовое испытание. Первые 50 часов состоят из ряда 5 и 10-часовых испытаний, причем рвые и последние 30 минут каждого испытания на номинальной мощности и остальное время на от номинала. Последние 50 часов непрерывно на номинальной мощности. Выводы:</w:t>
      </w:r>
    </w:p>
    <w:p w14:paraId="172248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Даже мощность 57 НР является удовлетворительной, так как имеется возможность выбросить а паразита - один в моторной группе и один в бортовой передаче - и тем самым повысить коэффи-:ент полезного действия трансмиссии на 5 - 6%. Это равносильно увеличению мощности пример-)на 3 НР и тем самым получается тяговое свойство как при 60-сильном моторе.</w:t>
      </w:r>
    </w:p>
    <w:p w14:paraId="193355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 прочности мотор показал пока удовлетворительные результаты. В дальнейшем прочность удет проверена при более длительных испытаниях.</w:t>
      </w:r>
    </w:p>
    <w:p w14:paraId="615643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Система смазки работает хорошо.</w:t>
      </w:r>
    </w:p>
    <w:p w14:paraId="45600F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Непрерывное 50-часовое испытание на номинальной мощности является излишним, так как когда мотор не будет работать на таком режиме. Достаточно будет, если мотор проработает 50 часов периодами по 5, 10 и 20 часов на мощности в 80% от номинала, причем для каждого периода 20% рремени на полной мощности - 10% в начале и 10% в конце периода.</w:t>
      </w:r>
    </w:p>
    <w:p w14:paraId="112C57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 всяком случае, испытания должны вестись с таким расчетом, чтобы Т-20 был предъявлен к |яспытаниям не позже 1 декабря 1930 г.</w:t>
      </w:r>
    </w:p>
    <w:p w14:paraId="6D3052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председателя 1 секции НТК УММ Браверман</w:t>
      </w:r>
    </w:p>
    <w:p w14:paraId="71E900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РГВА.Ф. 31811. Оп. 1. Д. 58. Л. 63. Подлинник (11210).</w:t>
      </w:r>
    </w:p>
    <w:p w14:paraId="12CD71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E873F0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58A6E26" w14:textId="77777777" w:rsidR="00537E5F" w:rsidRPr="00507A31" w:rsidRDefault="00537E5F" w:rsidP="00507A31">
      <w:pPr>
        <w:autoSpaceDE w:val="0"/>
        <w:autoSpaceDN w:val="0"/>
        <w:adjustRightInd w:val="0"/>
        <w:jc w:val="both"/>
        <w:rPr>
          <w:iCs/>
          <w:color w:val="000000" w:themeColor="text1"/>
          <w:sz w:val="16"/>
          <w:szCs w:val="16"/>
        </w:rPr>
      </w:pPr>
    </w:p>
    <w:p w14:paraId="3AB08A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На 22 ноября 1930 г. ВВС располагали фактически семью И-5: пять из них находились на войсковых испытаниях и два опытных образца - в НИИ ВВС. Поставка истребителей в строевые части началась лишь весной 1931 г. По плану перевооружения ВВС на 1930 - 1931 гг. намеревались оснастить И-5 три эскадрильи (1-ю и 11-ю под Ленинградом и 5-ю в ВВС ОКДВА) и два отряда (73-й и 74-й на Украине), а также сформировать новый 71-й отряд в Московском округе. Первоочередными считались части Ленинградского округа (11997).</w:t>
      </w:r>
    </w:p>
    <w:p w14:paraId="21AC5A22" w14:textId="77777777" w:rsidR="00537E5F" w:rsidRPr="00507A31" w:rsidRDefault="00537E5F" w:rsidP="00507A31">
      <w:pPr>
        <w:autoSpaceDE w:val="0"/>
        <w:autoSpaceDN w:val="0"/>
        <w:adjustRightInd w:val="0"/>
        <w:jc w:val="both"/>
        <w:rPr>
          <w:color w:val="000000" w:themeColor="text1"/>
          <w:sz w:val="16"/>
          <w:szCs w:val="16"/>
        </w:rPr>
      </w:pPr>
    </w:p>
    <w:p w14:paraId="6C0A7C2D" w14:textId="77777777" w:rsidR="00273CE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94AC288" w14:textId="77777777" w:rsidR="00273CEF" w:rsidRPr="00507A31" w:rsidRDefault="00273CEF" w:rsidP="00507A31">
      <w:pPr>
        <w:autoSpaceDE w:val="0"/>
        <w:autoSpaceDN w:val="0"/>
        <w:adjustRightInd w:val="0"/>
        <w:jc w:val="both"/>
        <w:rPr>
          <w:iCs/>
          <w:color w:val="000000" w:themeColor="text1"/>
          <w:sz w:val="16"/>
          <w:szCs w:val="16"/>
        </w:rPr>
      </w:pPr>
    </w:p>
    <w:p w14:paraId="7415C2BB" w14:textId="77777777" w:rsidR="00273CEF" w:rsidRPr="00507A31" w:rsidRDefault="00273CEF" w:rsidP="00507A31">
      <w:pPr>
        <w:jc w:val="both"/>
        <w:rPr>
          <w:color w:val="000000" w:themeColor="text1"/>
          <w:sz w:val="16"/>
          <w:szCs w:val="16"/>
        </w:rPr>
      </w:pPr>
      <w:r w:rsidRPr="00507A31">
        <w:rPr>
          <w:bCs/>
          <w:color w:val="000000" w:themeColor="text1"/>
          <w:sz w:val="16"/>
          <w:szCs w:val="16"/>
        </w:rPr>
        <w:t xml:space="preserve">22 ноября </w:t>
      </w:r>
      <w:r w:rsidRPr="00507A31">
        <w:rPr>
          <w:color w:val="000000" w:themeColor="text1"/>
          <w:sz w:val="16"/>
          <w:szCs w:val="16"/>
        </w:rPr>
        <w:t>в 1930 году образован Народный комиссариат внешней торговли СССР (14837).</w:t>
      </w:r>
    </w:p>
    <w:p w14:paraId="01DC6C49" w14:textId="77777777" w:rsidR="00273CEF" w:rsidRPr="00507A31" w:rsidRDefault="00273CEF" w:rsidP="00507A31">
      <w:pPr>
        <w:jc w:val="both"/>
        <w:rPr>
          <w:color w:val="000000" w:themeColor="text1"/>
          <w:sz w:val="16"/>
          <w:szCs w:val="16"/>
        </w:rPr>
      </w:pPr>
    </w:p>
    <w:p w14:paraId="0032D2D0" w14:textId="77777777" w:rsidR="006E6C8D" w:rsidRPr="00507A31" w:rsidRDefault="006E6C8D" w:rsidP="00507A31">
      <w:pPr>
        <w:jc w:val="both"/>
        <w:rPr>
          <w:color w:val="000000" w:themeColor="text1"/>
          <w:sz w:val="16"/>
          <w:szCs w:val="16"/>
        </w:rPr>
      </w:pPr>
      <w:r w:rsidRPr="00507A31">
        <w:rPr>
          <w:color w:val="000000" w:themeColor="text1"/>
          <w:sz w:val="16"/>
          <w:szCs w:val="16"/>
        </w:rPr>
        <w:t>22 ноября 1930 г.</w:t>
      </w:r>
    </w:p>
    <w:p w14:paraId="38CE2213" w14:textId="77777777" w:rsidR="006E6C8D" w:rsidRPr="00507A31" w:rsidRDefault="006E6C8D" w:rsidP="00507A31">
      <w:pPr>
        <w:jc w:val="both"/>
        <w:rPr>
          <w:color w:val="000000" w:themeColor="text1"/>
          <w:sz w:val="16"/>
          <w:szCs w:val="16"/>
        </w:rPr>
      </w:pPr>
      <w:r w:rsidRPr="00507A31">
        <w:rPr>
          <w:color w:val="000000" w:themeColor="text1"/>
          <w:sz w:val="16"/>
          <w:szCs w:val="16"/>
        </w:rPr>
        <w:t>Показания С. А. Предтеченского об источниках «получения оружия для боевой организаций Промпартии». 22 ноября 1930 г.</w:t>
      </w:r>
    </w:p>
    <w:p w14:paraId="56FDF954" w14:textId="77777777" w:rsidR="006E6C8D" w:rsidRPr="00507A31" w:rsidRDefault="006E6C8D" w:rsidP="00507A31">
      <w:pPr>
        <w:jc w:val="both"/>
        <w:rPr>
          <w:color w:val="000000" w:themeColor="text1"/>
          <w:sz w:val="16"/>
          <w:szCs w:val="16"/>
        </w:rPr>
      </w:pPr>
      <w:r w:rsidRPr="00507A31">
        <w:rPr>
          <w:color w:val="000000" w:themeColor="text1"/>
          <w:sz w:val="16"/>
          <w:szCs w:val="16"/>
        </w:rPr>
        <w:t>Источник: </w:t>
      </w:r>
    </w:p>
    <w:p w14:paraId="6852F191" w14:textId="77777777" w:rsidR="006E6C8D" w:rsidRPr="00507A31" w:rsidRDefault="006E6C8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0A30A6" w14:textId="77777777" w:rsidR="006E6C8D" w:rsidRPr="00507A31" w:rsidRDefault="006E6C8D" w:rsidP="00507A31">
      <w:pPr>
        <w:jc w:val="both"/>
        <w:rPr>
          <w:color w:val="000000" w:themeColor="text1"/>
          <w:sz w:val="16"/>
          <w:szCs w:val="16"/>
        </w:rPr>
      </w:pPr>
      <w:r w:rsidRPr="00507A31">
        <w:rPr>
          <w:color w:val="000000" w:themeColor="text1"/>
          <w:sz w:val="16"/>
          <w:szCs w:val="16"/>
        </w:rPr>
        <w:t>Архив: </w:t>
      </w:r>
    </w:p>
    <w:p w14:paraId="0EF93C81" w14:textId="77777777" w:rsidR="006E6C8D" w:rsidRPr="00507A31" w:rsidRDefault="006E6C8D" w:rsidP="00507A31">
      <w:pPr>
        <w:jc w:val="both"/>
        <w:rPr>
          <w:color w:val="000000" w:themeColor="text1"/>
          <w:sz w:val="16"/>
          <w:szCs w:val="16"/>
        </w:rPr>
      </w:pPr>
      <w:r w:rsidRPr="00507A31">
        <w:rPr>
          <w:color w:val="000000" w:themeColor="text1"/>
          <w:sz w:val="16"/>
          <w:szCs w:val="16"/>
        </w:rPr>
        <w:t>ЦА ФСБ РФ. Ф. Р-42280. Т. 3. Л. 47-48 об.</w:t>
      </w:r>
    </w:p>
    <w:p w14:paraId="0A92DF6F" w14:textId="77777777" w:rsidR="006E6C8D" w:rsidRPr="00507A31" w:rsidRDefault="006E6C8D" w:rsidP="00507A31">
      <w:pPr>
        <w:jc w:val="both"/>
        <w:rPr>
          <w:color w:val="000000" w:themeColor="text1"/>
          <w:sz w:val="16"/>
          <w:szCs w:val="16"/>
        </w:rPr>
      </w:pPr>
      <w:r w:rsidRPr="00507A31">
        <w:rPr>
          <w:color w:val="000000" w:themeColor="text1"/>
          <w:sz w:val="16"/>
          <w:szCs w:val="16"/>
        </w:rPr>
        <w:t>22 ноября 1930 г.</w:t>
      </w:r>
    </w:p>
    <w:p w14:paraId="3F924C23" w14:textId="77777777" w:rsidR="006E6C8D" w:rsidRPr="00507A31" w:rsidRDefault="006E6C8D" w:rsidP="00507A31">
      <w:pPr>
        <w:jc w:val="both"/>
        <w:rPr>
          <w:color w:val="000000" w:themeColor="text1"/>
          <w:sz w:val="16"/>
          <w:szCs w:val="16"/>
        </w:rPr>
      </w:pPr>
      <w:r w:rsidRPr="00507A31">
        <w:rPr>
          <w:color w:val="000000" w:themeColor="text1"/>
          <w:sz w:val="16"/>
          <w:szCs w:val="16"/>
        </w:rPr>
        <w:t>[СТРОГО СЕКРЕТНО]</w:t>
      </w:r>
    </w:p>
    <w:p w14:paraId="6A7FB800" w14:textId="77777777" w:rsidR="006E6C8D" w:rsidRPr="00507A31" w:rsidRDefault="006E6C8D" w:rsidP="00507A31">
      <w:pPr>
        <w:jc w:val="both"/>
        <w:rPr>
          <w:color w:val="000000" w:themeColor="text1"/>
          <w:sz w:val="16"/>
          <w:szCs w:val="16"/>
        </w:rPr>
      </w:pPr>
      <w:r w:rsidRPr="00507A31">
        <w:rPr>
          <w:color w:val="000000" w:themeColor="text1"/>
          <w:sz w:val="16"/>
          <w:szCs w:val="16"/>
        </w:rPr>
        <w:t>ПРОТОКОЛ ДОПРОСА</w:t>
      </w:r>
    </w:p>
    <w:p w14:paraId="40C2B74F" w14:textId="77777777" w:rsidR="006E6C8D" w:rsidRPr="00507A31" w:rsidRDefault="006E6C8D" w:rsidP="00507A31">
      <w:pPr>
        <w:jc w:val="both"/>
        <w:rPr>
          <w:color w:val="000000" w:themeColor="text1"/>
          <w:sz w:val="16"/>
          <w:szCs w:val="16"/>
        </w:rPr>
      </w:pPr>
      <w:r w:rsidRPr="00507A31">
        <w:rPr>
          <w:color w:val="000000" w:themeColor="text1"/>
          <w:sz w:val="16"/>
          <w:szCs w:val="16"/>
        </w:rPr>
        <w:t>инженера ПРЕДТЕЧЕНСКОГО Сергея Алексеевича</w:t>
      </w:r>
    </w:p>
    <w:p w14:paraId="08FF2D57" w14:textId="77777777" w:rsidR="006E6C8D" w:rsidRPr="00507A31" w:rsidRDefault="006E6C8D" w:rsidP="00507A31">
      <w:pPr>
        <w:jc w:val="both"/>
        <w:rPr>
          <w:color w:val="000000" w:themeColor="text1"/>
          <w:sz w:val="16"/>
          <w:szCs w:val="16"/>
        </w:rPr>
      </w:pPr>
      <w:r w:rsidRPr="00507A31">
        <w:rPr>
          <w:color w:val="000000" w:themeColor="text1"/>
          <w:sz w:val="16"/>
          <w:szCs w:val="16"/>
        </w:rPr>
        <w:t>от 22/XI-1930 г.</w:t>
      </w:r>
    </w:p>
    <w:p w14:paraId="407B1BB3" w14:textId="77777777" w:rsidR="006E6C8D" w:rsidRPr="00507A31" w:rsidRDefault="006E6C8D" w:rsidP="00507A31">
      <w:pPr>
        <w:jc w:val="both"/>
        <w:rPr>
          <w:color w:val="000000" w:themeColor="text1"/>
          <w:sz w:val="16"/>
          <w:szCs w:val="16"/>
        </w:rPr>
      </w:pPr>
      <w:r w:rsidRPr="00507A31">
        <w:rPr>
          <w:color w:val="000000" w:themeColor="text1"/>
          <w:sz w:val="16"/>
          <w:szCs w:val="16"/>
        </w:rPr>
        <w:t>ДОПРОСИЛ — ПОМ. НАЧ. 4 ОТДЕЛЕНИЯ СО ОГПУ — ЧЕРТОК.</w:t>
      </w:r>
    </w:p>
    <w:p w14:paraId="4DE28B9A" w14:textId="77777777" w:rsidR="006E6C8D" w:rsidRPr="00507A31" w:rsidRDefault="006E6C8D" w:rsidP="00507A31">
      <w:pPr>
        <w:jc w:val="both"/>
        <w:rPr>
          <w:color w:val="000000" w:themeColor="text1"/>
          <w:sz w:val="16"/>
          <w:szCs w:val="16"/>
        </w:rPr>
      </w:pPr>
      <w:r w:rsidRPr="00507A31">
        <w:rPr>
          <w:color w:val="000000" w:themeColor="text1"/>
          <w:sz w:val="16"/>
          <w:szCs w:val="16"/>
        </w:rPr>
        <w:t>Получение оружия для боевой организации Промпартии из французского и английского посольства.</w:t>
      </w:r>
    </w:p>
    <w:p w14:paraId="07126A2A" w14:textId="77777777" w:rsidR="006E6C8D" w:rsidRPr="00507A31" w:rsidRDefault="006E6C8D" w:rsidP="00507A31">
      <w:pPr>
        <w:jc w:val="both"/>
        <w:rPr>
          <w:color w:val="000000" w:themeColor="text1"/>
          <w:sz w:val="16"/>
          <w:szCs w:val="16"/>
        </w:rPr>
      </w:pPr>
      <w:r w:rsidRPr="00507A31">
        <w:rPr>
          <w:color w:val="000000" w:themeColor="text1"/>
          <w:sz w:val="16"/>
          <w:szCs w:val="16"/>
        </w:rPr>
        <w:t>В одном из предыдущих своих показаний я говорил, что в конце января — начале февраля т[екущего]/г. я встретил у Л. К. РАМЗИНА чиновника французского посольства в Москве — КЮФЕР. Л. К. РАМЗИН вел с ним переговоры о помощи со стороны посольства, которой ожидает Промпартия от французов в вопросе снабжения ее боевой организации оружием. КЮФЕР не возражал в принципе против реализации такой помощи и обещался сообщить Л. К. РАМЗИНУ результат на другой же день после переговоров его с послом. Л. К. РАМЗИН познакомил меня с КЮФЕРОМ[,] указал ему, что вести все переговоры, ровно как и получение оружия, если оно будет отпущено, ЦК Промпартии уполномочивает меня. Далее уже после мартовского постановления ЦК Промпартии об организации терактов против СТАЛИНА и ЯГОДЫ, Л. К. РАМЗИН просил меня к XVI съезду ВКП(б) мобилизовать группу ЕВРЕИНОВА и КОЗЛИНСКОГО, снабдить их оружием и организовать в Теплотехническом Ин-те производство бомб. О ходе и организации производства бомб я сказал все в своем последнем сводном показании. Говоря о группе КОЗЛИНСКОГО и ЕВРЕИНОВА[,] Л. К. РАМЗИН сказал мне, что возможно, что револьверов для них не понадобится, т. к. Е. Ф. ЕВРЕИНОВ связался с АЙЗЕНШТАДТОМ, представителем «Бабкок и Вилькокс» и Н. А. ДАВИДОВЫМ и надеются получить через них револьверы от английского посольства. Далее он указал, что французское посольство дало согласие на снабжение боевой организации револьверами, что не исключает, однако, использование внутренних ресурсов Военной секции Промпартии, связь с которой рекомендовал мне поддерживать через В. И. ХУДЯКОВА.</w:t>
      </w:r>
    </w:p>
    <w:p w14:paraId="687F9137" w14:textId="77777777" w:rsidR="006E6C8D" w:rsidRPr="00507A31" w:rsidRDefault="006E6C8D" w:rsidP="00507A31">
      <w:pPr>
        <w:jc w:val="both"/>
        <w:rPr>
          <w:color w:val="000000" w:themeColor="text1"/>
          <w:sz w:val="16"/>
          <w:szCs w:val="16"/>
        </w:rPr>
      </w:pPr>
      <w:r w:rsidRPr="00507A31">
        <w:rPr>
          <w:color w:val="000000" w:themeColor="text1"/>
          <w:sz w:val="16"/>
          <w:szCs w:val="16"/>
        </w:rPr>
        <w:t>Одновременно он передал мне условный телефон КЮФЕРА, по которому и мог вызывать его по нечетным ... дням месяца между 5-6 ч. вечера, для того, чтобы я мог связаться с ним по вопросу получения оружия.</w:t>
      </w:r>
    </w:p>
    <w:p w14:paraId="00F2E185" w14:textId="77777777" w:rsidR="006E6C8D" w:rsidRPr="00507A31" w:rsidRDefault="006E6C8D" w:rsidP="00507A31">
      <w:pPr>
        <w:jc w:val="both"/>
        <w:rPr>
          <w:color w:val="000000" w:themeColor="text1"/>
          <w:sz w:val="16"/>
          <w:szCs w:val="16"/>
        </w:rPr>
      </w:pPr>
      <w:r w:rsidRPr="00507A31">
        <w:rPr>
          <w:color w:val="000000" w:themeColor="text1"/>
          <w:sz w:val="16"/>
          <w:szCs w:val="16"/>
        </w:rPr>
        <w:t>В конце апреля с. г. я связался с КЮФЕРОМ, дал ему свои служебные адреса и телефоны: Правлени[я] треста «Тепло и Сила» — Кузнецкий мост, 22 и Технико-производств[енного] управления, &lt;адрес&gt; последнего Юшков, 6, указав время, когда там бываю. По этим адресам в начале мая в три приема КЮФЕР передал мне 15 револьверов. Револьверы были все автоматической системы типа браунинга с запасными обоймами и патронами, упакованы в три плоских фанерных ящичка и завернуты в хорошую плотную бумагу. Это оружие не распаковывая я запер в ящики своих письменных столов на Кузнецком, 22 и Юшковом, 6, а третий ящик привез в Ин-т и запер в своем письменном столе у себя в кабинете.</w:t>
      </w:r>
    </w:p>
    <w:p w14:paraId="00C26C6F" w14:textId="77777777" w:rsidR="006E6C8D" w:rsidRPr="00507A31" w:rsidRDefault="006E6C8D" w:rsidP="00507A31">
      <w:pPr>
        <w:jc w:val="both"/>
        <w:rPr>
          <w:color w:val="000000" w:themeColor="text1"/>
          <w:sz w:val="16"/>
          <w:szCs w:val="16"/>
        </w:rPr>
      </w:pPr>
      <w:r w:rsidRPr="00507A31">
        <w:rPr>
          <w:color w:val="000000" w:themeColor="text1"/>
          <w:sz w:val="16"/>
          <w:szCs w:val="16"/>
        </w:rPr>
        <w:t>Далее при переговорах моих с Е. Ф. ЕВРЕИНОВЫМ и передачи им бомб из числа заготовленных в Ин-те, я выяснил, что Е. Ф. ЕВРЕИНОВ успешно реализовал свои переговоры через АЙЗЕНШТАДТА с английским посольством и получил от него необходимое число револьверов для вооружения как своей &lt;группы&gt;, так и группы КОЗЛИНСКОГО, передав сверх этого 5 штук Л. К. РАМЗИНУ. Точного числа полученных им револьверов я не знаю, но, судя по числу участников этих групп и переданных Л. К. РАМЗИНУ, оно не превышает 15 штук.</w:t>
      </w:r>
    </w:p>
    <w:p w14:paraId="3DC68BE2" w14:textId="77777777" w:rsidR="006E6C8D" w:rsidRPr="00507A31" w:rsidRDefault="006E6C8D" w:rsidP="00507A31">
      <w:pPr>
        <w:jc w:val="both"/>
        <w:rPr>
          <w:color w:val="000000" w:themeColor="text1"/>
          <w:sz w:val="16"/>
          <w:szCs w:val="16"/>
        </w:rPr>
      </w:pPr>
      <w:r w:rsidRPr="00507A31">
        <w:rPr>
          <w:color w:val="000000" w:themeColor="text1"/>
          <w:sz w:val="16"/>
          <w:szCs w:val="16"/>
        </w:rPr>
        <w:t>Далее, полученные мною револьверы от французского посольства перед своим отъездом в отпуск я распределил: 5 передал А. Ф. БУЛАШЕВИЧ на хранение, 6 — Н. Н. РЕВОКАТОВУ в порядке снабжения его группы и группы Н. А. ДОЛЛЕЖАЛЬ и 4 передал Л. К. РАМЗИНУ, которы[й] насколько я помню из разговора с ним, использовал их для вооружения непосредственно с ним связанных групп А. А. НАДЕЖИН А и РЫССАКА.</w:t>
      </w:r>
    </w:p>
    <w:p w14:paraId="04F12CDD" w14:textId="77777777" w:rsidR="006E6C8D" w:rsidRPr="00507A31" w:rsidRDefault="006E6C8D" w:rsidP="00507A31">
      <w:pPr>
        <w:jc w:val="both"/>
        <w:rPr>
          <w:color w:val="000000" w:themeColor="text1"/>
          <w:sz w:val="16"/>
          <w:szCs w:val="16"/>
        </w:rPr>
      </w:pPr>
      <w:r w:rsidRPr="00507A31">
        <w:rPr>
          <w:color w:val="000000" w:themeColor="text1"/>
          <w:sz w:val="16"/>
          <w:szCs w:val="16"/>
        </w:rPr>
        <w:t>Далее в период ликвидации оружия мною было сдано через КЮФЕРА французскому посольству 20 бомб кустарного производства и 30 револьверов. Передача произведена в 5 приемов, причем 2 раза как я указывал в своем предыдущем показании на Казанском вокзале, а остальные раза он заходил ко мне в Юшков пер. 6, где и получил привезенное мною туда оружие, упакованное в отдельные пакеты.</w:t>
      </w:r>
    </w:p>
    <w:p w14:paraId="3352D7A7" w14:textId="77777777" w:rsidR="006E6C8D" w:rsidRPr="00507A31" w:rsidRDefault="006E6C8D" w:rsidP="00507A31">
      <w:pPr>
        <w:jc w:val="both"/>
        <w:rPr>
          <w:color w:val="000000" w:themeColor="text1"/>
          <w:sz w:val="16"/>
          <w:szCs w:val="16"/>
        </w:rPr>
      </w:pPr>
      <w:r w:rsidRPr="00507A31">
        <w:rPr>
          <w:color w:val="000000" w:themeColor="text1"/>
          <w:sz w:val="16"/>
          <w:szCs w:val="16"/>
        </w:rPr>
        <w:t>Обязуюсь в дальнейшем настоящие показания развить, дополнить и уточнить.</w:t>
      </w:r>
    </w:p>
    <w:p w14:paraId="0C27F272" w14:textId="77777777" w:rsidR="006E6C8D" w:rsidRPr="00507A31" w:rsidRDefault="006E6C8D" w:rsidP="00507A31">
      <w:pPr>
        <w:jc w:val="both"/>
        <w:rPr>
          <w:color w:val="000000" w:themeColor="text1"/>
          <w:sz w:val="16"/>
          <w:szCs w:val="16"/>
        </w:rPr>
      </w:pPr>
      <w:r w:rsidRPr="00507A31">
        <w:rPr>
          <w:color w:val="000000" w:themeColor="text1"/>
          <w:sz w:val="16"/>
          <w:szCs w:val="16"/>
        </w:rPr>
        <w:t>Поборов в себе окончательно вызванные весьма тяжелыми личными переживаниями ряд колебаний, я заявляю, что впредь все свои показания буду давать с исчерпывающей полнотой, не щадя ни себя, ни других в интересах вскрытия всей преступной деятельности, как моей, так и всей Промпартии.</w:t>
      </w:r>
    </w:p>
    <w:p w14:paraId="738CAB8B" w14:textId="77777777" w:rsidR="006E6C8D" w:rsidRPr="00507A31" w:rsidRDefault="006E6C8D" w:rsidP="00507A31">
      <w:pPr>
        <w:jc w:val="both"/>
        <w:rPr>
          <w:color w:val="000000" w:themeColor="text1"/>
          <w:sz w:val="16"/>
          <w:szCs w:val="16"/>
        </w:rPr>
      </w:pPr>
      <w:r w:rsidRPr="00507A31">
        <w:rPr>
          <w:color w:val="000000" w:themeColor="text1"/>
          <w:sz w:val="16"/>
          <w:szCs w:val="16"/>
        </w:rPr>
        <w:t>Сергей Алексеевич ПРЕДТЕЧЕНСКИЙ.</w:t>
      </w:r>
    </w:p>
    <w:p w14:paraId="769DF32C" w14:textId="77777777" w:rsidR="006E6C8D" w:rsidRPr="00507A31" w:rsidRDefault="006E6C8D" w:rsidP="00507A31">
      <w:pPr>
        <w:jc w:val="both"/>
        <w:rPr>
          <w:color w:val="000000" w:themeColor="text1"/>
          <w:sz w:val="16"/>
          <w:szCs w:val="16"/>
        </w:rPr>
      </w:pPr>
      <w:r w:rsidRPr="00507A31">
        <w:rPr>
          <w:color w:val="000000" w:themeColor="text1"/>
          <w:sz w:val="16"/>
          <w:szCs w:val="16"/>
        </w:rPr>
        <w:t>22/Х-30г.</w:t>
      </w:r>
    </w:p>
    <w:p w14:paraId="2486CC9B" w14:textId="77777777" w:rsidR="006E6C8D" w:rsidRPr="00507A31" w:rsidRDefault="006E6C8D" w:rsidP="00507A31">
      <w:pPr>
        <w:jc w:val="both"/>
        <w:rPr>
          <w:color w:val="000000" w:themeColor="text1"/>
          <w:sz w:val="16"/>
          <w:szCs w:val="16"/>
        </w:rPr>
      </w:pPr>
      <w:r w:rsidRPr="00507A31">
        <w:rPr>
          <w:color w:val="000000" w:themeColor="text1"/>
          <w:sz w:val="16"/>
          <w:szCs w:val="16"/>
        </w:rPr>
        <w:t>Допросил — ПОМ. НАЧ. 4 ОТДЕЛЕНИЯ] СО ОГПУ — ЧЕРТОК.</w:t>
      </w:r>
    </w:p>
    <w:p w14:paraId="62642641" w14:textId="77777777" w:rsidR="006E6C8D" w:rsidRPr="00507A31" w:rsidRDefault="006E6C8D" w:rsidP="00507A31">
      <w:pPr>
        <w:jc w:val="both"/>
        <w:rPr>
          <w:color w:val="000000" w:themeColor="text1"/>
          <w:sz w:val="16"/>
          <w:szCs w:val="16"/>
        </w:rPr>
      </w:pPr>
      <w:r w:rsidRPr="00507A31">
        <w:rPr>
          <w:color w:val="000000" w:themeColor="text1"/>
          <w:sz w:val="16"/>
          <w:szCs w:val="16"/>
        </w:rPr>
        <w:t>Д. 356. Л. 33-35. Заверенная машинописная копия того времени. Показания С. А. Предтеченского наряду с другими материалами следствия по «делу Промпартии» были направлены 25 октября 1930 г. в ЦК ВКП(б) на имя И. В. Сталина (см. легенду к док. № 356-1).</w:t>
      </w:r>
    </w:p>
    <w:p w14:paraId="371C848C" w14:textId="77777777" w:rsidR="006E6C8D" w:rsidRPr="00507A31" w:rsidRDefault="006E6C8D" w:rsidP="00507A31">
      <w:pPr>
        <w:jc w:val="both"/>
        <w:rPr>
          <w:color w:val="000000" w:themeColor="text1"/>
          <w:sz w:val="16"/>
          <w:szCs w:val="16"/>
        </w:rPr>
      </w:pPr>
      <w:r w:rsidRPr="00507A31">
        <w:rPr>
          <w:color w:val="000000" w:themeColor="text1"/>
          <w:sz w:val="16"/>
          <w:szCs w:val="16"/>
        </w:rPr>
        <w:t>ЦА ФСБ РФ. Ф. Р-42280. Т. 3. Л. 47-48 об. Рукописный подлинник протокола допроса, написанный С. А. Предтеченским собственноручно. Внизу каждого листа заверительная подпись-автограф Предтеченского. Подпись Черток в конце протокола — автограф (18643).</w:t>
      </w:r>
    </w:p>
    <w:p w14:paraId="5C15CF24" w14:textId="77777777" w:rsidR="006E6C8D" w:rsidRPr="00507A31" w:rsidRDefault="006E6C8D" w:rsidP="00507A31">
      <w:pPr>
        <w:jc w:val="both"/>
        <w:rPr>
          <w:color w:val="000000" w:themeColor="text1"/>
          <w:sz w:val="16"/>
          <w:szCs w:val="16"/>
        </w:rPr>
      </w:pPr>
    </w:p>
    <w:p w14:paraId="4BB88194" w14:textId="77777777" w:rsidR="006E6C8D" w:rsidRPr="00507A31" w:rsidRDefault="006E6C8D" w:rsidP="00507A31">
      <w:pPr>
        <w:jc w:val="both"/>
        <w:rPr>
          <w:color w:val="000000" w:themeColor="text1"/>
          <w:sz w:val="16"/>
          <w:szCs w:val="16"/>
        </w:rPr>
      </w:pPr>
      <w:r w:rsidRPr="00507A31">
        <w:rPr>
          <w:color w:val="000000" w:themeColor="text1"/>
          <w:sz w:val="16"/>
          <w:szCs w:val="16"/>
        </w:rPr>
        <w:t>22 ноября 1930 г.</w:t>
      </w:r>
    </w:p>
    <w:p w14:paraId="004FDB05" w14:textId="77777777" w:rsidR="006E6C8D" w:rsidRPr="00507A31" w:rsidRDefault="006E6C8D" w:rsidP="00507A31">
      <w:pPr>
        <w:jc w:val="both"/>
        <w:rPr>
          <w:color w:val="000000" w:themeColor="text1"/>
          <w:sz w:val="16"/>
          <w:szCs w:val="16"/>
        </w:rPr>
      </w:pPr>
      <w:r w:rsidRPr="00507A31">
        <w:rPr>
          <w:color w:val="000000" w:themeColor="text1"/>
          <w:sz w:val="16"/>
          <w:szCs w:val="16"/>
        </w:rPr>
        <w:t>Показания Е. Ф. Евреинова об источниках «получения оружия» для «Промпартии». 22 ноября 1930 г.</w:t>
      </w:r>
    </w:p>
    <w:p w14:paraId="1291F08A" w14:textId="77777777" w:rsidR="006E6C8D" w:rsidRPr="00507A31" w:rsidRDefault="006E6C8D" w:rsidP="00507A31">
      <w:pPr>
        <w:jc w:val="both"/>
        <w:rPr>
          <w:color w:val="000000" w:themeColor="text1"/>
          <w:sz w:val="16"/>
          <w:szCs w:val="16"/>
        </w:rPr>
      </w:pPr>
      <w:r w:rsidRPr="00507A31">
        <w:rPr>
          <w:color w:val="000000" w:themeColor="text1"/>
          <w:sz w:val="16"/>
          <w:szCs w:val="16"/>
        </w:rPr>
        <w:t>Источник: </w:t>
      </w:r>
    </w:p>
    <w:p w14:paraId="03C58793" w14:textId="77777777" w:rsidR="006E6C8D" w:rsidRPr="00507A31" w:rsidRDefault="006E6C8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EEBF0A" w14:textId="77777777" w:rsidR="006E6C8D" w:rsidRPr="00507A31" w:rsidRDefault="006E6C8D" w:rsidP="00507A31">
      <w:pPr>
        <w:jc w:val="both"/>
        <w:rPr>
          <w:color w:val="000000" w:themeColor="text1"/>
          <w:sz w:val="16"/>
          <w:szCs w:val="16"/>
        </w:rPr>
      </w:pPr>
      <w:r w:rsidRPr="00507A31">
        <w:rPr>
          <w:color w:val="000000" w:themeColor="text1"/>
          <w:sz w:val="16"/>
          <w:szCs w:val="16"/>
        </w:rPr>
        <w:t>Архив: </w:t>
      </w:r>
    </w:p>
    <w:p w14:paraId="2123CE37" w14:textId="77777777" w:rsidR="006E6C8D" w:rsidRPr="00507A31" w:rsidRDefault="006E6C8D" w:rsidP="00507A31">
      <w:pPr>
        <w:jc w:val="both"/>
        <w:rPr>
          <w:color w:val="000000" w:themeColor="text1"/>
          <w:sz w:val="16"/>
          <w:szCs w:val="16"/>
        </w:rPr>
      </w:pPr>
      <w:r w:rsidRPr="00507A31">
        <w:rPr>
          <w:color w:val="000000" w:themeColor="text1"/>
          <w:sz w:val="16"/>
          <w:szCs w:val="16"/>
        </w:rPr>
        <w:t>ЦА ФСБ РФ. Ф. Р-42280. Т. 3. Л. 45-46 об.</w:t>
      </w:r>
    </w:p>
    <w:p w14:paraId="75AAC907" w14:textId="77777777" w:rsidR="006E6C8D" w:rsidRPr="00507A31" w:rsidRDefault="006E6C8D" w:rsidP="00507A31">
      <w:pPr>
        <w:jc w:val="both"/>
        <w:rPr>
          <w:color w:val="000000" w:themeColor="text1"/>
          <w:sz w:val="16"/>
          <w:szCs w:val="16"/>
        </w:rPr>
      </w:pPr>
      <w:r w:rsidRPr="00507A31">
        <w:rPr>
          <w:color w:val="000000" w:themeColor="text1"/>
          <w:sz w:val="16"/>
          <w:szCs w:val="16"/>
        </w:rPr>
        <w:t>22 ноября 1930 г.</w:t>
      </w:r>
    </w:p>
    <w:p w14:paraId="33EF0276" w14:textId="77777777" w:rsidR="006E6C8D" w:rsidRPr="00507A31" w:rsidRDefault="006E6C8D" w:rsidP="00507A31">
      <w:pPr>
        <w:jc w:val="both"/>
        <w:rPr>
          <w:color w:val="000000" w:themeColor="text1"/>
          <w:sz w:val="16"/>
          <w:szCs w:val="16"/>
        </w:rPr>
      </w:pPr>
      <w:r w:rsidRPr="00507A31">
        <w:rPr>
          <w:color w:val="000000" w:themeColor="text1"/>
          <w:sz w:val="16"/>
          <w:szCs w:val="16"/>
        </w:rPr>
        <w:t>СТРОГО СЕКРЕТНО</w:t>
      </w:r>
    </w:p>
    <w:p w14:paraId="733E3883" w14:textId="77777777" w:rsidR="006E6C8D" w:rsidRPr="00507A31" w:rsidRDefault="006E6C8D" w:rsidP="00507A31">
      <w:pPr>
        <w:jc w:val="both"/>
        <w:rPr>
          <w:color w:val="000000" w:themeColor="text1"/>
          <w:sz w:val="16"/>
          <w:szCs w:val="16"/>
        </w:rPr>
      </w:pPr>
      <w:r w:rsidRPr="00507A31">
        <w:rPr>
          <w:color w:val="000000" w:themeColor="text1"/>
          <w:sz w:val="16"/>
          <w:szCs w:val="16"/>
        </w:rPr>
        <w:t>ПРОТОКОЛ ДОПРОСА</w:t>
      </w:r>
    </w:p>
    <w:p w14:paraId="350AFD04" w14:textId="77777777" w:rsidR="006E6C8D" w:rsidRPr="00507A31" w:rsidRDefault="006E6C8D" w:rsidP="00507A31">
      <w:pPr>
        <w:jc w:val="both"/>
        <w:rPr>
          <w:color w:val="000000" w:themeColor="text1"/>
          <w:sz w:val="16"/>
          <w:szCs w:val="16"/>
        </w:rPr>
      </w:pPr>
      <w:r w:rsidRPr="00507A31">
        <w:rPr>
          <w:color w:val="000000" w:themeColor="text1"/>
          <w:sz w:val="16"/>
          <w:szCs w:val="16"/>
        </w:rPr>
        <w:t>инженера ЕВРЕИНОВА ЕВГЕНИЯ ФЕДОРОВИЧА,</w:t>
      </w:r>
    </w:p>
    <w:p w14:paraId="01994D03" w14:textId="77777777" w:rsidR="006E6C8D" w:rsidRPr="00507A31" w:rsidRDefault="006E6C8D" w:rsidP="00507A31">
      <w:pPr>
        <w:jc w:val="both"/>
        <w:rPr>
          <w:color w:val="000000" w:themeColor="text1"/>
          <w:sz w:val="16"/>
          <w:szCs w:val="16"/>
        </w:rPr>
      </w:pPr>
      <w:r w:rsidRPr="00507A31">
        <w:rPr>
          <w:color w:val="000000" w:themeColor="text1"/>
          <w:sz w:val="16"/>
          <w:szCs w:val="16"/>
        </w:rPr>
        <w:t>от 22-го ноября 1930 года.</w:t>
      </w:r>
    </w:p>
    <w:p w14:paraId="712C154C" w14:textId="77777777" w:rsidR="006E6C8D" w:rsidRPr="00507A31" w:rsidRDefault="006E6C8D" w:rsidP="00507A31">
      <w:pPr>
        <w:jc w:val="both"/>
        <w:rPr>
          <w:color w:val="000000" w:themeColor="text1"/>
          <w:sz w:val="16"/>
          <w:szCs w:val="16"/>
        </w:rPr>
      </w:pPr>
      <w:r w:rsidRPr="00507A31">
        <w:rPr>
          <w:color w:val="000000" w:themeColor="text1"/>
          <w:sz w:val="16"/>
          <w:szCs w:val="16"/>
        </w:rPr>
        <w:t>Допросил: ПОМ. НАЧ. 4 ОТДЕЛЕНИЯ] СО ОГПУ — тов. ЧЕРТОК.</w:t>
      </w:r>
    </w:p>
    <w:p w14:paraId="433A0111" w14:textId="77777777" w:rsidR="006E6C8D" w:rsidRPr="00507A31" w:rsidRDefault="006E6C8D" w:rsidP="00507A31">
      <w:pPr>
        <w:jc w:val="both"/>
        <w:rPr>
          <w:color w:val="000000" w:themeColor="text1"/>
          <w:sz w:val="16"/>
          <w:szCs w:val="16"/>
        </w:rPr>
      </w:pPr>
      <w:r w:rsidRPr="00507A31">
        <w:rPr>
          <w:color w:val="000000" w:themeColor="text1"/>
          <w:sz w:val="16"/>
          <w:szCs w:val="16"/>
        </w:rPr>
        <w:t>О получении оружия для боевой организации Промпартии</w:t>
      </w:r>
    </w:p>
    <w:p w14:paraId="2347C351" w14:textId="77777777" w:rsidR="006E6C8D" w:rsidRPr="00507A31" w:rsidRDefault="006E6C8D" w:rsidP="00507A31">
      <w:pPr>
        <w:jc w:val="both"/>
        <w:rPr>
          <w:color w:val="000000" w:themeColor="text1"/>
          <w:sz w:val="16"/>
          <w:szCs w:val="16"/>
        </w:rPr>
      </w:pPr>
      <w:r w:rsidRPr="00507A31">
        <w:rPr>
          <w:color w:val="000000" w:themeColor="text1"/>
          <w:sz w:val="16"/>
          <w:szCs w:val="16"/>
        </w:rPr>
        <w:t>из английского и французского посольств.</w:t>
      </w:r>
    </w:p>
    <w:p w14:paraId="131CC19C" w14:textId="77777777" w:rsidR="006E6C8D" w:rsidRPr="00507A31" w:rsidRDefault="006E6C8D" w:rsidP="00507A31">
      <w:pPr>
        <w:jc w:val="both"/>
        <w:rPr>
          <w:color w:val="000000" w:themeColor="text1"/>
          <w:sz w:val="16"/>
          <w:szCs w:val="16"/>
        </w:rPr>
      </w:pPr>
      <w:r w:rsidRPr="00507A31">
        <w:rPr>
          <w:color w:val="000000" w:themeColor="text1"/>
          <w:sz w:val="16"/>
          <w:szCs w:val="16"/>
        </w:rPr>
        <w:t>Первый раз по вопросу об возможности получения оружия через посредство английского посольства в Москве РАМЗИН говорил со мной в 1929 году во время приезда в Москву представителя английской фирмы инж[енера] ТУРКУС, бывший в Теплотехническом Институте совместно с инж. АЙЗЕНШТАДТ. В этот приезд инж. ТУРКУС с инж. АЙЗЕНШТАДТ, в кабинете проф. РАМЗИНА, в присутствии проф. Рамзина, моем и инженеров ТУРКУС и АЙЗЕНШТАДТ имели место, кроме технических деловых разговоров, разговоры касающиеся связи Промпартии с Торгпромом в Англии[,] и инж. Туркус сообщались общие установки Промпартии по линии борьбы с советской властью.</w:t>
      </w:r>
    </w:p>
    <w:p w14:paraId="513C4694" w14:textId="77777777" w:rsidR="006E6C8D" w:rsidRPr="00507A31" w:rsidRDefault="006E6C8D" w:rsidP="00507A31">
      <w:pPr>
        <w:jc w:val="both"/>
        <w:rPr>
          <w:color w:val="000000" w:themeColor="text1"/>
          <w:sz w:val="16"/>
          <w:szCs w:val="16"/>
        </w:rPr>
      </w:pPr>
      <w:r w:rsidRPr="00507A31">
        <w:rPr>
          <w:color w:val="000000" w:themeColor="text1"/>
          <w:sz w:val="16"/>
          <w:szCs w:val="16"/>
        </w:rPr>
        <w:t>После этого разговора проф. РАМЗИН предложил мне обратиться к инж. АЙЗЕНШТАДТ с вопросом о том[,] сможет ли Промпартия рассчитывать на содействие англичан в Москве по линии получения оружия для своей боевой организации.</w:t>
      </w:r>
    </w:p>
    <w:p w14:paraId="106C6B7E" w14:textId="77777777" w:rsidR="006E6C8D" w:rsidRPr="00507A31" w:rsidRDefault="006E6C8D" w:rsidP="00507A31">
      <w:pPr>
        <w:jc w:val="both"/>
        <w:rPr>
          <w:color w:val="000000" w:themeColor="text1"/>
          <w:sz w:val="16"/>
          <w:szCs w:val="16"/>
        </w:rPr>
      </w:pPr>
      <w:r w:rsidRPr="00507A31">
        <w:rPr>
          <w:color w:val="000000" w:themeColor="text1"/>
          <w:sz w:val="16"/>
          <w:szCs w:val="16"/>
        </w:rPr>
        <w:lastRenderedPageBreak/>
        <w:t>В следующий приезд в Институт инж. ТУРКУС с инж. АЙЗЕНШТАДТ я уже в отсутствие самого проф. РАМЗИНА в своем кабинете задал этот вопрос инж. АЙЗЕНШТАДТ и ТУРКУСУ. Ничего положительного я в ответ не получил.</w:t>
      </w:r>
    </w:p>
    <w:p w14:paraId="2A647E71" w14:textId="77777777" w:rsidR="006E6C8D" w:rsidRPr="00507A31" w:rsidRDefault="006E6C8D" w:rsidP="00507A31">
      <w:pPr>
        <w:jc w:val="both"/>
        <w:rPr>
          <w:color w:val="000000" w:themeColor="text1"/>
          <w:sz w:val="16"/>
          <w:szCs w:val="16"/>
        </w:rPr>
      </w:pPr>
      <w:r w:rsidRPr="00507A31">
        <w:rPr>
          <w:color w:val="000000" w:themeColor="text1"/>
          <w:sz w:val="16"/>
          <w:szCs w:val="16"/>
        </w:rPr>
        <w:t>Приблизительно через 3 недели или месяц после этого разговора я виделся опять с АЙЗЕНШТАДТОМ, причем он мне в неопределенной форме сообщил, что по всей вероятности англичане смогут оказать содействие Промпартии в получении оружия, о чем я и сообщил профессору РАМЗИНУ.</w:t>
      </w:r>
    </w:p>
    <w:p w14:paraId="6C537B55" w14:textId="77777777" w:rsidR="006E6C8D" w:rsidRPr="00507A31" w:rsidRDefault="006E6C8D" w:rsidP="00507A31">
      <w:pPr>
        <w:jc w:val="both"/>
        <w:rPr>
          <w:color w:val="000000" w:themeColor="text1"/>
          <w:sz w:val="16"/>
          <w:szCs w:val="16"/>
        </w:rPr>
      </w:pPr>
      <w:r w:rsidRPr="00507A31">
        <w:rPr>
          <w:color w:val="000000" w:themeColor="text1"/>
          <w:sz w:val="16"/>
          <w:szCs w:val="16"/>
        </w:rPr>
        <w:t>Весной 1930 года проф. РАМЗИН, имея в виду предположение Центрального комитета «Промпартии» о совершении конкретных терактов против представителей советской власти, предложил мне вплотную переговорить с инж. АЙЗЕНШТАДТ по поводу получения оружия из английского посольства.</w:t>
      </w:r>
    </w:p>
    <w:p w14:paraId="59AF5441" w14:textId="77777777" w:rsidR="006E6C8D" w:rsidRPr="00507A31" w:rsidRDefault="006E6C8D" w:rsidP="00507A31">
      <w:pPr>
        <w:jc w:val="both"/>
        <w:rPr>
          <w:color w:val="000000" w:themeColor="text1"/>
          <w:sz w:val="16"/>
          <w:szCs w:val="16"/>
        </w:rPr>
      </w:pPr>
      <w:r w:rsidRPr="00507A31">
        <w:rPr>
          <w:color w:val="000000" w:themeColor="text1"/>
          <w:sz w:val="16"/>
          <w:szCs w:val="16"/>
        </w:rPr>
        <w:t>Я просил по телефону инж. АЙЗЕНШТАДТ зайти ко мне на место моей службы в трест «Тепло и Сила» в Юшков пер. и в моем кабинете сообщил ему, что Промпартия нуждается в получении револьверов для совершения терактов. Через несколько дней АЙЗЕНШТАДТ предложил мне встретиться с ним в ресторане [«]Савой[»] по интересующему меня делу. Это было примерно в конце марта или начале апреля 1930 года, часа в 2 дня, я встретился в ресторане [«]Савой[»] с инж. АЙЗЕНШТАДТ и каким-то англичанином, не говорящим по-русски (фамилия англичанина мне не была сообщена); оба уже сидели за столиком, когда я пришел в ресторан. За завтраком разговор шел на тему, не имеющую ничего общего с задачей нашей встречи. По окончании завтрака инж. АЙЗЕНШТАДТ указал мне на среднего размера чемодан из фибры, который я вынес из ресторана, при чем инж. АЙЗЕНШТАДТ сказал мне слово «пятнадцать». Чемодан с содержимым я на трамвае сейчас же отвез в Ленинскую слободу и передал проф. РАМЗИНУ на его квартире, сговорившись с ним предварительно из города по автомату, что мне нужно застать его дома. Примерно в то же время оружие в неизвестном мне количестве было получено инж. ПРЕДТЕЧЕНСКИМ из французского посольства, о чем мне известно как от инж. ПРЕДТЕЧЕНСКОГО, так и от РАМЗИНА; последний мне сообщил о том, что инж. ПРЕДТЕЧЕНСКИЙ имеет обязательство получить оружие из французского посольства при передаче ему мной упомянутого чемодана с револьверами, полученного мною, как я указал выше.</w:t>
      </w:r>
    </w:p>
    <w:p w14:paraId="36401C81" w14:textId="77777777" w:rsidR="006E6C8D" w:rsidRPr="00507A31" w:rsidRDefault="006E6C8D" w:rsidP="00507A31">
      <w:pPr>
        <w:jc w:val="both"/>
        <w:rPr>
          <w:color w:val="000000" w:themeColor="text1"/>
          <w:sz w:val="16"/>
          <w:szCs w:val="16"/>
        </w:rPr>
      </w:pPr>
      <w:r w:rsidRPr="00507A31">
        <w:rPr>
          <w:color w:val="000000" w:themeColor="text1"/>
          <w:sz w:val="16"/>
          <w:szCs w:val="16"/>
        </w:rPr>
        <w:t>После распоряжения о прекращении терактов все оружие, или часть его, во всяком случае значительная, было собрано инж. ПРЕДТЕЧЕНСКИМ и сдано во французское посольство тем способом, о котором я дал показание в предстоящем своем допросе и о котором мне сообщил ПРЕДТЕЧЕНСКИЙ при свидании на его квартире уже после ареста проф. РАМЗИНА.</w:t>
      </w:r>
    </w:p>
    <w:p w14:paraId="54924100" w14:textId="77777777" w:rsidR="006E6C8D" w:rsidRPr="00507A31" w:rsidRDefault="006E6C8D" w:rsidP="00507A31">
      <w:pPr>
        <w:jc w:val="both"/>
        <w:rPr>
          <w:color w:val="000000" w:themeColor="text1"/>
          <w:sz w:val="16"/>
          <w:szCs w:val="16"/>
        </w:rPr>
      </w:pPr>
      <w:r w:rsidRPr="00507A31">
        <w:rPr>
          <w:color w:val="000000" w:themeColor="text1"/>
          <w:sz w:val="16"/>
          <w:szCs w:val="16"/>
        </w:rPr>
        <w:t>Из других источников получения оружия мне известно предположение использования оружейного треста, в целях реализации коего я давал поручение и снабжал деньгами инж. РЕВОКАТОВА, о чем я показал на одном из предыдущих допросов.</w:t>
      </w:r>
    </w:p>
    <w:p w14:paraId="09D4896D" w14:textId="77777777" w:rsidR="006E6C8D" w:rsidRPr="00507A31" w:rsidRDefault="006E6C8D" w:rsidP="00507A31">
      <w:pPr>
        <w:jc w:val="both"/>
        <w:rPr>
          <w:color w:val="000000" w:themeColor="text1"/>
          <w:sz w:val="16"/>
          <w:szCs w:val="16"/>
        </w:rPr>
      </w:pPr>
      <w:r w:rsidRPr="00507A31">
        <w:rPr>
          <w:color w:val="000000" w:themeColor="text1"/>
          <w:sz w:val="16"/>
          <w:szCs w:val="16"/>
        </w:rPr>
        <w:t>Было ли фактически реализовано это предположение или инж. РЕВОКАТОВ имел лишь переговоры по этому вопросу и произвел только передачу денег — мне точно не известно.</w:t>
      </w:r>
    </w:p>
    <w:p w14:paraId="39A8C7B5" w14:textId="77777777" w:rsidR="006E6C8D" w:rsidRPr="00507A31" w:rsidRDefault="006E6C8D" w:rsidP="00507A31">
      <w:pPr>
        <w:jc w:val="both"/>
        <w:rPr>
          <w:color w:val="000000" w:themeColor="text1"/>
          <w:sz w:val="16"/>
          <w:szCs w:val="16"/>
        </w:rPr>
      </w:pPr>
      <w:r w:rsidRPr="00507A31">
        <w:rPr>
          <w:color w:val="000000" w:themeColor="text1"/>
          <w:sz w:val="16"/>
          <w:szCs w:val="16"/>
        </w:rPr>
        <w:t>Написано лично мною — Е. ЕВРЕИНОВ.</w:t>
      </w:r>
    </w:p>
    <w:p w14:paraId="1B022B92" w14:textId="77777777" w:rsidR="006E6C8D" w:rsidRPr="00507A31" w:rsidRDefault="006E6C8D" w:rsidP="00507A31">
      <w:pPr>
        <w:jc w:val="both"/>
        <w:rPr>
          <w:color w:val="000000" w:themeColor="text1"/>
          <w:sz w:val="16"/>
          <w:szCs w:val="16"/>
        </w:rPr>
      </w:pPr>
      <w:r w:rsidRPr="00507A31">
        <w:rPr>
          <w:color w:val="000000" w:themeColor="text1"/>
          <w:sz w:val="16"/>
          <w:szCs w:val="16"/>
        </w:rPr>
        <w:t>Допросил: ПОМ/НАЧ.4 ОТД[ЕЛЕНИЯ] СО ОГПУ (ЧЕРТОК)</w:t>
      </w:r>
    </w:p>
    <w:p w14:paraId="3D4E3816" w14:textId="77777777" w:rsidR="006E6C8D" w:rsidRPr="00507A31" w:rsidRDefault="006E6C8D" w:rsidP="00507A31">
      <w:pPr>
        <w:jc w:val="both"/>
        <w:rPr>
          <w:color w:val="000000" w:themeColor="text1"/>
          <w:sz w:val="16"/>
          <w:szCs w:val="16"/>
        </w:rPr>
      </w:pPr>
      <w:r w:rsidRPr="00507A31">
        <w:rPr>
          <w:color w:val="000000" w:themeColor="text1"/>
          <w:sz w:val="16"/>
          <w:szCs w:val="16"/>
        </w:rPr>
        <w:t>Д.356. Л. 38-40. Заверенная машинописная копия того времени. Показания Е. Ф. Евреинова наряду с другими материалами следствия по «делу Промпартии» были направлены 25 октября 1930 г. в ЦК В КП (б) на имя И. В. Сталина (см. легенду к док. № 356-1).</w:t>
      </w:r>
    </w:p>
    <w:p w14:paraId="7CCA78BC" w14:textId="77777777" w:rsidR="006E6C8D" w:rsidRPr="00507A31" w:rsidRDefault="006E6C8D" w:rsidP="00507A31">
      <w:pPr>
        <w:jc w:val="both"/>
        <w:rPr>
          <w:color w:val="000000" w:themeColor="text1"/>
          <w:sz w:val="16"/>
          <w:szCs w:val="16"/>
        </w:rPr>
      </w:pPr>
      <w:r w:rsidRPr="00507A31">
        <w:rPr>
          <w:color w:val="000000" w:themeColor="text1"/>
          <w:sz w:val="16"/>
          <w:szCs w:val="16"/>
        </w:rPr>
        <w:t>ЦА ФСБ РФ. Ф. Р-42280. Т. 3. Л. 45-46 об. Рукописный подлинник протокола допроса, написанный Е. Ф. Евреиновым собственноручно. Внизу каждого листа заверительнаК подпись-автограф Евреинова. Подпись Черток в конце протокола — автограф (18642).</w:t>
      </w:r>
    </w:p>
    <w:p w14:paraId="7E86AED7" w14:textId="77777777" w:rsidR="006E6C8D" w:rsidRPr="00507A31" w:rsidRDefault="006E6C8D" w:rsidP="00507A31">
      <w:pPr>
        <w:jc w:val="both"/>
        <w:rPr>
          <w:color w:val="000000" w:themeColor="text1"/>
          <w:sz w:val="16"/>
          <w:szCs w:val="16"/>
        </w:rPr>
      </w:pPr>
    </w:p>
    <w:p w14:paraId="0FEE79B3" w14:textId="77777777" w:rsidR="006E6C8D" w:rsidRPr="00507A31" w:rsidRDefault="006E6C8D" w:rsidP="00507A31">
      <w:pPr>
        <w:jc w:val="both"/>
        <w:rPr>
          <w:color w:val="000000" w:themeColor="text1"/>
          <w:sz w:val="16"/>
          <w:szCs w:val="16"/>
        </w:rPr>
      </w:pPr>
      <w:r w:rsidRPr="00507A31">
        <w:rPr>
          <w:color w:val="000000" w:themeColor="text1"/>
          <w:sz w:val="16"/>
          <w:szCs w:val="16"/>
        </w:rPr>
        <w:t>22 ноября 1930 г.</w:t>
      </w:r>
    </w:p>
    <w:p w14:paraId="4ABF8ACA" w14:textId="77777777" w:rsidR="006E6C8D" w:rsidRPr="00507A31" w:rsidRDefault="006E6C8D" w:rsidP="00507A31">
      <w:pPr>
        <w:jc w:val="both"/>
        <w:rPr>
          <w:color w:val="000000" w:themeColor="text1"/>
          <w:sz w:val="16"/>
          <w:szCs w:val="16"/>
        </w:rPr>
      </w:pPr>
      <w:r w:rsidRPr="00507A31">
        <w:rPr>
          <w:color w:val="000000" w:themeColor="text1"/>
          <w:sz w:val="16"/>
          <w:szCs w:val="16"/>
        </w:rPr>
        <w:t>Постановление Политбюро ЦК ВКП(б) о проведении «разъяснительной работы» среди широких масс «по разоблачению интервенционистских планов империалистов» в отношении СССР. Из протокола заседания Политбюро № 16, п. 53 от 22 ноября 1930 г.</w:t>
      </w:r>
    </w:p>
    <w:p w14:paraId="313C3B27" w14:textId="77777777" w:rsidR="006E6C8D" w:rsidRPr="00507A31" w:rsidRDefault="006E6C8D" w:rsidP="00507A31">
      <w:pPr>
        <w:jc w:val="both"/>
        <w:rPr>
          <w:color w:val="000000" w:themeColor="text1"/>
          <w:sz w:val="16"/>
          <w:szCs w:val="16"/>
        </w:rPr>
      </w:pPr>
      <w:r w:rsidRPr="00507A31">
        <w:rPr>
          <w:color w:val="000000" w:themeColor="text1"/>
          <w:sz w:val="16"/>
          <w:szCs w:val="16"/>
        </w:rPr>
        <w:t>Источник: </w:t>
      </w:r>
    </w:p>
    <w:p w14:paraId="6EB623DA" w14:textId="77777777" w:rsidR="006E6C8D" w:rsidRPr="00507A31" w:rsidRDefault="006E6C8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C8A567C" w14:textId="77777777" w:rsidR="006E6C8D" w:rsidRPr="00507A31" w:rsidRDefault="006E6C8D" w:rsidP="00507A31">
      <w:pPr>
        <w:jc w:val="both"/>
        <w:rPr>
          <w:color w:val="000000" w:themeColor="text1"/>
          <w:sz w:val="16"/>
          <w:szCs w:val="16"/>
        </w:rPr>
      </w:pPr>
      <w:r w:rsidRPr="00507A31">
        <w:rPr>
          <w:color w:val="000000" w:themeColor="text1"/>
          <w:sz w:val="16"/>
          <w:szCs w:val="16"/>
        </w:rPr>
        <w:t>от 22 ноября 1930 г.</w:t>
      </w:r>
    </w:p>
    <w:p w14:paraId="4224A94A" w14:textId="77777777" w:rsidR="006E6C8D" w:rsidRPr="00507A31" w:rsidRDefault="006E6C8D" w:rsidP="00507A31">
      <w:pPr>
        <w:jc w:val="both"/>
        <w:rPr>
          <w:color w:val="000000" w:themeColor="text1"/>
          <w:sz w:val="16"/>
          <w:szCs w:val="16"/>
        </w:rPr>
      </w:pPr>
      <w:r w:rsidRPr="00507A31">
        <w:rPr>
          <w:color w:val="000000" w:themeColor="text1"/>
          <w:sz w:val="16"/>
          <w:szCs w:val="16"/>
        </w:rPr>
        <w:t>СТРОГО СЕКРЕТНО</w:t>
      </w:r>
    </w:p>
    <w:p w14:paraId="137F5859" w14:textId="77777777" w:rsidR="006E6C8D" w:rsidRPr="00507A31" w:rsidRDefault="006E6C8D" w:rsidP="00507A31">
      <w:pPr>
        <w:jc w:val="both"/>
        <w:rPr>
          <w:color w:val="000000" w:themeColor="text1"/>
          <w:sz w:val="16"/>
          <w:szCs w:val="16"/>
        </w:rPr>
      </w:pPr>
      <w:r w:rsidRPr="00507A31">
        <w:rPr>
          <w:color w:val="000000" w:themeColor="text1"/>
          <w:sz w:val="16"/>
          <w:szCs w:val="16"/>
        </w:rPr>
        <w:t>(Из О[собой] П[апки])</w:t>
      </w:r>
    </w:p>
    <w:p w14:paraId="176D075B" w14:textId="77777777" w:rsidR="006E6C8D" w:rsidRPr="00507A31" w:rsidRDefault="006E6C8D" w:rsidP="00507A31">
      <w:pPr>
        <w:jc w:val="both"/>
        <w:rPr>
          <w:color w:val="000000" w:themeColor="text1"/>
          <w:sz w:val="16"/>
          <w:szCs w:val="16"/>
        </w:rPr>
      </w:pPr>
      <w:r w:rsidRPr="00507A31">
        <w:rPr>
          <w:color w:val="000000" w:themeColor="text1"/>
          <w:sz w:val="16"/>
          <w:szCs w:val="16"/>
        </w:rPr>
        <w:t>Опросом членов ПБ от 22.XI.30 г.</w:t>
      </w:r>
    </w:p>
    <w:p w14:paraId="4CBFEA4D" w14:textId="77777777" w:rsidR="006E6C8D" w:rsidRPr="00507A31" w:rsidRDefault="006E6C8D" w:rsidP="00507A31">
      <w:pPr>
        <w:jc w:val="both"/>
        <w:rPr>
          <w:color w:val="000000" w:themeColor="text1"/>
          <w:sz w:val="16"/>
          <w:szCs w:val="16"/>
        </w:rPr>
      </w:pPr>
      <w:r w:rsidRPr="00507A31">
        <w:rPr>
          <w:color w:val="000000" w:themeColor="text1"/>
          <w:sz w:val="16"/>
          <w:szCs w:val="16"/>
        </w:rPr>
        <w:t>53/53. Предложение комиссии по делу промпартии.</w:t>
      </w:r>
    </w:p>
    <w:p w14:paraId="798C674F" w14:textId="77777777" w:rsidR="006E6C8D" w:rsidRPr="00507A31" w:rsidRDefault="006E6C8D" w:rsidP="00507A31">
      <w:pPr>
        <w:jc w:val="both"/>
        <w:rPr>
          <w:color w:val="000000" w:themeColor="text1"/>
          <w:sz w:val="16"/>
          <w:szCs w:val="16"/>
        </w:rPr>
      </w:pPr>
      <w:r w:rsidRPr="00507A31">
        <w:rPr>
          <w:color w:val="000000" w:themeColor="text1"/>
          <w:sz w:val="16"/>
          <w:szCs w:val="16"/>
        </w:rPr>
        <w:t>Принять предложение комиссии о посылке нац[иональным] ЦК компартий, крайкомам (обкомам) ВКП(б) следующей директивы:</w:t>
      </w:r>
    </w:p>
    <w:p w14:paraId="1A642BA7" w14:textId="77777777" w:rsidR="006E6C8D" w:rsidRPr="00507A31" w:rsidRDefault="006E6C8D" w:rsidP="00507A31">
      <w:pPr>
        <w:jc w:val="both"/>
        <w:rPr>
          <w:color w:val="000000" w:themeColor="text1"/>
          <w:sz w:val="16"/>
          <w:szCs w:val="16"/>
        </w:rPr>
      </w:pPr>
      <w:r w:rsidRPr="00507A31">
        <w:rPr>
          <w:color w:val="000000" w:themeColor="text1"/>
          <w:sz w:val="16"/>
          <w:szCs w:val="16"/>
        </w:rPr>
        <w:t>«В связи с начинающимся 25.XI судебным процессом по делу вредителей и агентов иностранной интервенции ЦК ВКП(б) предлагает развернуть разъяснительную работу в широких трудящихся массах и в Красной армии по разоблачению интервенционистских планов империалистов и особенно Франции, белоэмигрантов и их буржуазно-вредительских агентов в СССР. При Зтом в центре внимания должна стоять мобилизация масс против военной интервенции и для укрепления обороноспособности страны. В этой разъяснительной работе должна разоблачаться контрреволюционная вредительская роль некоторых элементов из верхушки старого буржуазного инженерства и собственников, не допуская при этом травли и огульных обвинений в отношении инженерской массы вообще.</w:t>
      </w:r>
    </w:p>
    <w:p w14:paraId="0FEB5327" w14:textId="77777777" w:rsidR="006E6C8D" w:rsidRPr="00507A31" w:rsidRDefault="006E6C8D" w:rsidP="00507A31">
      <w:pPr>
        <w:jc w:val="both"/>
        <w:rPr>
          <w:color w:val="000000" w:themeColor="text1"/>
          <w:sz w:val="16"/>
          <w:szCs w:val="16"/>
        </w:rPr>
      </w:pPr>
      <w:r w:rsidRPr="00507A31">
        <w:rPr>
          <w:color w:val="000000" w:themeColor="text1"/>
          <w:sz w:val="16"/>
          <w:szCs w:val="16"/>
        </w:rPr>
        <w:t>В связи с этим ЦК ВКП[(б)] постановляет:</w:t>
      </w:r>
    </w:p>
    <w:p w14:paraId="51E1BC75" w14:textId="77777777" w:rsidR="006E6C8D" w:rsidRPr="00507A31" w:rsidRDefault="006E6C8D" w:rsidP="00507A31">
      <w:pPr>
        <w:jc w:val="both"/>
        <w:rPr>
          <w:color w:val="000000" w:themeColor="text1"/>
          <w:sz w:val="16"/>
          <w:szCs w:val="16"/>
        </w:rPr>
      </w:pPr>
      <w:r w:rsidRPr="00507A31">
        <w:rPr>
          <w:color w:val="000000" w:themeColor="text1"/>
          <w:sz w:val="16"/>
          <w:szCs w:val="16"/>
        </w:rPr>
        <w:t>а) Поставить в печати широкое освещение хода процесса и задач партии и рабочего класса в борьбе с вредителями и интервентами, за усиление обороны страны.</w:t>
      </w:r>
    </w:p>
    <w:p w14:paraId="5C07C4AC" w14:textId="77777777" w:rsidR="006E6C8D" w:rsidRPr="00507A31" w:rsidRDefault="006E6C8D" w:rsidP="00507A31">
      <w:pPr>
        <w:jc w:val="both"/>
        <w:rPr>
          <w:color w:val="000000" w:themeColor="text1"/>
          <w:sz w:val="16"/>
          <w:szCs w:val="16"/>
        </w:rPr>
      </w:pPr>
      <w:r w:rsidRPr="00507A31">
        <w:rPr>
          <w:color w:val="000000" w:themeColor="text1"/>
          <w:sz w:val="16"/>
          <w:szCs w:val="16"/>
        </w:rPr>
        <w:t>б) В первый день процесса организовать широкие демонстрации по всем городам и фабрично-заводским пунктам с вовлечением по возможности и колхозников.</w:t>
      </w:r>
    </w:p>
    <w:p w14:paraId="3110D11A" w14:textId="77777777" w:rsidR="006E6C8D" w:rsidRPr="00507A31" w:rsidRDefault="006E6C8D" w:rsidP="00507A31">
      <w:pPr>
        <w:jc w:val="both"/>
        <w:rPr>
          <w:color w:val="000000" w:themeColor="text1"/>
          <w:sz w:val="16"/>
          <w:szCs w:val="16"/>
        </w:rPr>
      </w:pPr>
      <w:r w:rsidRPr="00507A31">
        <w:rPr>
          <w:color w:val="000000" w:themeColor="text1"/>
          <w:sz w:val="16"/>
          <w:szCs w:val="16"/>
        </w:rPr>
        <w:t>в) Основными лозунгами должны быть следующие:</w:t>
      </w:r>
    </w:p>
    <w:p w14:paraId="6D32AB62" w14:textId="77777777" w:rsidR="006E6C8D" w:rsidRPr="00507A31" w:rsidRDefault="006E6C8D" w:rsidP="00507A31">
      <w:pPr>
        <w:jc w:val="both"/>
        <w:rPr>
          <w:color w:val="000000" w:themeColor="text1"/>
          <w:sz w:val="16"/>
          <w:szCs w:val="16"/>
        </w:rPr>
      </w:pPr>
      <w:r w:rsidRPr="00507A31">
        <w:rPr>
          <w:color w:val="000000" w:themeColor="text1"/>
          <w:sz w:val="16"/>
          <w:szCs w:val="16"/>
        </w:rPr>
        <w:t>На вылазки классовых врагов, иностранных интервентов, белоэмигрантов, вредителей и кулаков ответим беспощадной расправой с агентами военной интервенции и развернутым наступлением социализма по всему фронту хозяйственного строительства.</w:t>
      </w:r>
    </w:p>
    <w:p w14:paraId="4BE5BFBE" w14:textId="77777777" w:rsidR="006E6C8D" w:rsidRPr="00507A31" w:rsidRDefault="006E6C8D" w:rsidP="00507A31">
      <w:pPr>
        <w:jc w:val="both"/>
        <w:rPr>
          <w:color w:val="000000" w:themeColor="text1"/>
          <w:sz w:val="16"/>
          <w:szCs w:val="16"/>
        </w:rPr>
      </w:pPr>
      <w:r w:rsidRPr="00507A31">
        <w:rPr>
          <w:color w:val="000000" w:themeColor="text1"/>
          <w:sz w:val="16"/>
          <w:szCs w:val="16"/>
        </w:rPr>
        <w:t>На угрозу интервенции ответим укреплением обороноспособности страны.</w:t>
      </w:r>
    </w:p>
    <w:p w14:paraId="47F9C0A7" w14:textId="77777777" w:rsidR="006E6C8D" w:rsidRPr="00507A31" w:rsidRDefault="006E6C8D" w:rsidP="00507A31">
      <w:pPr>
        <w:jc w:val="both"/>
        <w:rPr>
          <w:color w:val="000000" w:themeColor="text1"/>
          <w:sz w:val="16"/>
          <w:szCs w:val="16"/>
        </w:rPr>
      </w:pPr>
      <w:r w:rsidRPr="00507A31">
        <w:rPr>
          <w:color w:val="000000" w:themeColor="text1"/>
          <w:sz w:val="16"/>
          <w:szCs w:val="16"/>
        </w:rPr>
        <w:t>Шире развернем военную подготовку широких масс, укрепим оборону СССР, укрепим Красную армию.</w:t>
      </w:r>
    </w:p>
    <w:p w14:paraId="53609E55" w14:textId="77777777" w:rsidR="006E6C8D" w:rsidRPr="00507A31" w:rsidRDefault="006E6C8D" w:rsidP="00507A31">
      <w:pPr>
        <w:jc w:val="both"/>
        <w:rPr>
          <w:color w:val="000000" w:themeColor="text1"/>
          <w:sz w:val="16"/>
          <w:szCs w:val="16"/>
        </w:rPr>
      </w:pPr>
      <w:r w:rsidRPr="00507A31">
        <w:rPr>
          <w:color w:val="000000" w:themeColor="text1"/>
          <w:sz w:val="16"/>
          <w:szCs w:val="16"/>
        </w:rPr>
        <w:t>Наш ответ классовому врагу — миллионы рабочих в ряды ударников и боевая сплоченность трудящихся вокруг большевистской партии.</w:t>
      </w:r>
    </w:p>
    <w:p w14:paraId="3CA710A6" w14:textId="77777777" w:rsidR="006E6C8D" w:rsidRPr="00507A31" w:rsidRDefault="006E6C8D" w:rsidP="00507A31">
      <w:pPr>
        <w:jc w:val="both"/>
        <w:rPr>
          <w:color w:val="000000" w:themeColor="text1"/>
          <w:sz w:val="16"/>
          <w:szCs w:val="16"/>
        </w:rPr>
      </w:pPr>
      <w:r w:rsidRPr="00507A31">
        <w:rPr>
          <w:color w:val="000000" w:themeColor="text1"/>
          <w:sz w:val="16"/>
          <w:szCs w:val="16"/>
        </w:rPr>
        <w:t>Пролетарская диктатура в СССР вместе с международным революционным пролетариатом разобьет вдребезги все и всякие попытки интервентов и их внутренней контрреволюционной агентуры.</w:t>
      </w:r>
    </w:p>
    <w:p w14:paraId="70368E1D" w14:textId="77777777" w:rsidR="006E6C8D" w:rsidRPr="00507A31" w:rsidRDefault="006E6C8D" w:rsidP="00507A31">
      <w:pPr>
        <w:jc w:val="both"/>
        <w:rPr>
          <w:color w:val="000000" w:themeColor="text1"/>
          <w:sz w:val="16"/>
          <w:szCs w:val="16"/>
        </w:rPr>
      </w:pPr>
      <w:r w:rsidRPr="00507A31">
        <w:rPr>
          <w:color w:val="000000" w:themeColor="text1"/>
          <w:sz w:val="16"/>
          <w:szCs w:val="16"/>
        </w:rPr>
        <w:t>Долой поджигателей войны! Да здравствует Красная армия, оплот мира и верный часовой советского государства!</w:t>
      </w:r>
    </w:p>
    <w:p w14:paraId="77F6D842" w14:textId="77777777" w:rsidR="006E6C8D" w:rsidRPr="00507A31" w:rsidRDefault="006E6C8D" w:rsidP="00507A31">
      <w:pPr>
        <w:jc w:val="both"/>
        <w:rPr>
          <w:color w:val="000000" w:themeColor="text1"/>
          <w:sz w:val="16"/>
          <w:szCs w:val="16"/>
        </w:rPr>
      </w:pPr>
      <w:r w:rsidRPr="00507A31">
        <w:rPr>
          <w:color w:val="000000" w:themeColor="text1"/>
          <w:sz w:val="16"/>
          <w:szCs w:val="16"/>
        </w:rPr>
        <w:t>ЦК ВКП(б)».</w:t>
      </w:r>
    </w:p>
    <w:p w14:paraId="53D34134" w14:textId="77777777" w:rsidR="006E6C8D" w:rsidRPr="00507A31" w:rsidRDefault="006E6C8D" w:rsidP="00507A31">
      <w:pPr>
        <w:jc w:val="both"/>
        <w:rPr>
          <w:color w:val="000000" w:themeColor="text1"/>
          <w:sz w:val="16"/>
          <w:szCs w:val="16"/>
        </w:rPr>
      </w:pPr>
      <w:r w:rsidRPr="00507A31">
        <w:rPr>
          <w:color w:val="000000" w:themeColor="text1"/>
          <w:sz w:val="16"/>
          <w:szCs w:val="16"/>
        </w:rPr>
        <w:t>Секретарь ЦК</w:t>
      </w:r>
    </w:p>
    <w:p w14:paraId="6A795103" w14:textId="77777777" w:rsidR="006E6C8D" w:rsidRPr="00507A31" w:rsidRDefault="006E6C8D" w:rsidP="00507A31">
      <w:pPr>
        <w:jc w:val="both"/>
        <w:rPr>
          <w:color w:val="000000" w:themeColor="text1"/>
          <w:sz w:val="16"/>
          <w:szCs w:val="16"/>
        </w:rPr>
      </w:pPr>
      <w:r w:rsidRPr="00507A31">
        <w:rPr>
          <w:color w:val="000000" w:themeColor="text1"/>
          <w:sz w:val="16"/>
          <w:szCs w:val="16"/>
        </w:rPr>
        <w:t>Д. 356. Л. 11-11 об. (А) Машинописная выписка на бланке ЦК ВКП (б). На Л. 11 вверху слева напечатаны номер протокола «№ П16/опр.53-с» и дата «23.XI. 1930 г.»; в графе ниже вписана от руки другая дата «25.XI.1930 г.» (датируется по протоколу голосования опросом от 22.XI.30 г.). Адрес рассылки машинописью: «т.т. Савельеву, Крумину, Троицкому, Богушевскому, Долецкому, Стецкому, Аболину, Верминичеву, Вайсбергу, Смирнову, Кагановичу и всем нац[иональным] ЦК компартии, крайкомам (обкомам)». На Л. 11 об. внизу — делопроизводственный штамп с вписанными от руки данными о количестве отпечатанных (12) и отправленных (11) экземпляров документа (1 экз. «в Т[екутцее|Д[ело]»), подпись-автограф Воропаевой.</w:t>
      </w:r>
    </w:p>
    <w:p w14:paraId="4B25DA39" w14:textId="77777777" w:rsidR="006E6C8D" w:rsidRPr="00507A31" w:rsidRDefault="006E6C8D" w:rsidP="00507A31">
      <w:pPr>
        <w:jc w:val="both"/>
        <w:rPr>
          <w:color w:val="000000" w:themeColor="text1"/>
          <w:sz w:val="16"/>
          <w:szCs w:val="16"/>
        </w:rPr>
      </w:pPr>
      <w:r w:rsidRPr="00507A31">
        <w:rPr>
          <w:color w:val="000000" w:themeColor="text1"/>
          <w:sz w:val="16"/>
          <w:szCs w:val="16"/>
        </w:rPr>
        <w:t>РГАСПИ. Ф. 17. On. 3. Д. 805. Л. 15. «Подписной» протокол заседаний Политбюро ЦК ВКП(б) от 22 ноября 1930 г. Машинописная копт того времени, заверенная печатью ЦК ВКП(б), подпись-факсимиле И. В. Сталина. В п. 53/53 напечатано «Предложение комиссии по делу промпартии»: вместо текста постановления записано «Решение — особая папка».</w:t>
      </w:r>
    </w:p>
    <w:p w14:paraId="06319966" w14:textId="77777777" w:rsidR="006E6C8D" w:rsidRPr="00507A31" w:rsidRDefault="006E6C8D" w:rsidP="00507A31">
      <w:pPr>
        <w:jc w:val="both"/>
        <w:rPr>
          <w:color w:val="000000" w:themeColor="text1"/>
          <w:sz w:val="16"/>
          <w:szCs w:val="16"/>
        </w:rPr>
      </w:pPr>
      <w:r w:rsidRPr="00507A31">
        <w:rPr>
          <w:color w:val="000000" w:themeColor="text1"/>
          <w:sz w:val="16"/>
          <w:szCs w:val="16"/>
        </w:rPr>
        <w:t>Там же. On. 162. Д. 9. Л. 81-82.«Особая папка» «подписного» протокола заседания Политбюро. Машинописная копия того времени, заверенная печатью ЦК ВКП(б), подпись-факсимиле И. В. Сталина.</w:t>
      </w:r>
    </w:p>
    <w:p w14:paraId="37D6859E" w14:textId="77777777" w:rsidR="006E6C8D" w:rsidRPr="00507A31" w:rsidRDefault="006E6C8D" w:rsidP="00507A31">
      <w:pPr>
        <w:jc w:val="both"/>
        <w:rPr>
          <w:color w:val="000000" w:themeColor="text1"/>
          <w:sz w:val="16"/>
          <w:szCs w:val="16"/>
        </w:rPr>
      </w:pPr>
      <w:r w:rsidRPr="00507A31">
        <w:rPr>
          <w:color w:val="000000" w:themeColor="text1"/>
          <w:sz w:val="16"/>
          <w:szCs w:val="16"/>
        </w:rPr>
        <w:t>Там же. On. 166. Д. 378. Л. 24-26. (Б) «Особая папка» «подписного» протокола заседания Политбюро. На Л. 24 рукописный черновик начала постановления (на старом бланке ЦК ВКП(б) периода 1920-х гг.), на Л. 25-26 — машинописный текст проекта письма (директивы). На Л. 24 вверху написаны от руки номер и дата протокола «Протокол № 16/53/53 от 22.XI.30 г.», рядом помета «О[собая]П[апка]». Далее рукописный текст (с правкой) «Слушали» (зачеркнуто) «О предложении комиссии по делу промпартии». «Постановили:] Принять предложение комиссии (далее зачеркнуто первоначально написанное «местным парторганиз.») о посылке национальным] ЦК компартий, крайкомам (обкомам) ВКП(б) следующей директивы» (рядом проставлен знак вставки «х», он же поставлен в начале теста письма на Л. 25). На Л. 25 вверху справа напечатано «Проект» (зачеркнуто). Первоначальный заголовок письма «ВСЕМ КРАЙКОМАМ ВКП(б)» — исправлен от руки на «ЦК национальных] Компартий] Крайкомам (обкомам) ВКП(б)», ниже напечатано «(копия основным центр[альным] газетам)». На Л. 26 внизу — перечень лиц, участвовавших в голосовании (Сталин, Рудзутак, Молотов, Ворошилов, Калинин, Каганович). На Л. 24 внизу в два столбца адреса рассылки (от руки): «По списку 25», «Правда», «Известия», «Комс[омольская] правда», «Эконом[ическая] жизнь», «За индустриализацию» «Социалистическое] земледелие», «Долецкому», «Стецкому», «Аболину».</w:t>
      </w:r>
    </w:p>
    <w:p w14:paraId="3BD0D4A4" w14:textId="77777777" w:rsidR="006E6C8D" w:rsidRPr="00507A31" w:rsidRDefault="006E6C8D" w:rsidP="00507A31">
      <w:pPr>
        <w:jc w:val="both"/>
        <w:rPr>
          <w:color w:val="000000" w:themeColor="text1"/>
          <w:sz w:val="16"/>
          <w:szCs w:val="16"/>
        </w:rPr>
      </w:pPr>
      <w:r w:rsidRPr="00507A31">
        <w:rPr>
          <w:color w:val="000000" w:themeColor="text1"/>
          <w:sz w:val="16"/>
          <w:szCs w:val="16"/>
        </w:rPr>
        <w:t>Опубликовано: Лубянка. Сталин и ВЧК — ГПУ — ОГПУ — НКВД. Январь 1922 — декабрь 1936. С. 258-259 (18661).</w:t>
      </w:r>
    </w:p>
    <w:p w14:paraId="557A740A" w14:textId="77777777" w:rsidR="006E6C8D" w:rsidRPr="00507A31" w:rsidRDefault="006E6C8D" w:rsidP="00507A31">
      <w:pPr>
        <w:jc w:val="both"/>
        <w:rPr>
          <w:color w:val="000000" w:themeColor="text1"/>
          <w:sz w:val="16"/>
          <w:szCs w:val="16"/>
        </w:rPr>
      </w:pPr>
    </w:p>
    <w:p w14:paraId="55C28304" w14:textId="77777777" w:rsidR="00311DF7" w:rsidRPr="00507A31" w:rsidRDefault="00311DF7" w:rsidP="00507A31">
      <w:pPr>
        <w:jc w:val="both"/>
        <w:rPr>
          <w:bCs/>
          <w:color w:val="000000" w:themeColor="text1"/>
          <w:sz w:val="16"/>
          <w:szCs w:val="16"/>
        </w:rPr>
      </w:pPr>
      <w:r w:rsidRPr="00507A31">
        <w:rPr>
          <w:color w:val="000000" w:themeColor="text1"/>
          <w:sz w:val="16"/>
          <w:szCs w:val="16"/>
        </w:rPr>
        <w:t>22 ноября 1930 г.</w:t>
      </w:r>
    </w:p>
    <w:p w14:paraId="22291310" w14:textId="77777777" w:rsidR="00311DF7" w:rsidRPr="00507A31" w:rsidRDefault="00311DF7" w:rsidP="00507A31">
      <w:pPr>
        <w:jc w:val="both"/>
        <w:rPr>
          <w:bCs/>
          <w:color w:val="000000" w:themeColor="text1"/>
          <w:sz w:val="16"/>
          <w:szCs w:val="16"/>
        </w:rPr>
      </w:pPr>
      <w:r w:rsidRPr="00507A31">
        <w:rPr>
          <w:color w:val="000000" w:themeColor="text1"/>
          <w:sz w:val="16"/>
          <w:szCs w:val="16"/>
        </w:rPr>
        <w:t>План проведения кампании в связи с судебным процессом «Промпартии» по линии профсоюзов. 22 ноября 1930 г.</w:t>
      </w:r>
    </w:p>
    <w:p w14:paraId="1CCD01CA" w14:textId="77777777" w:rsidR="00311DF7" w:rsidRPr="00507A31" w:rsidRDefault="00311DF7" w:rsidP="00507A31">
      <w:pPr>
        <w:jc w:val="both"/>
        <w:rPr>
          <w:bCs/>
          <w:color w:val="000000" w:themeColor="text1"/>
          <w:sz w:val="16"/>
          <w:szCs w:val="16"/>
        </w:rPr>
      </w:pPr>
      <w:r w:rsidRPr="00507A31">
        <w:rPr>
          <w:bCs/>
          <w:color w:val="000000" w:themeColor="text1"/>
          <w:sz w:val="16"/>
          <w:szCs w:val="16"/>
        </w:rPr>
        <w:t>Источник: </w:t>
      </w:r>
    </w:p>
    <w:p w14:paraId="7FCA65F7" w14:textId="77777777" w:rsidR="00311DF7" w:rsidRPr="00507A31" w:rsidRDefault="00311DF7" w:rsidP="00507A31">
      <w:pPr>
        <w:jc w:val="both"/>
        <w:rPr>
          <w:color w:val="000000" w:themeColor="text1"/>
          <w:sz w:val="16"/>
          <w:szCs w:val="16"/>
        </w:rPr>
      </w:pPr>
      <w:r w:rsidRPr="00507A31">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2B6AECB" w14:textId="77777777" w:rsidR="00311DF7" w:rsidRPr="00507A31" w:rsidRDefault="00311DF7" w:rsidP="00507A31">
      <w:pPr>
        <w:jc w:val="both"/>
        <w:rPr>
          <w:bCs/>
          <w:color w:val="000000" w:themeColor="text1"/>
          <w:sz w:val="16"/>
          <w:szCs w:val="16"/>
        </w:rPr>
      </w:pPr>
      <w:r w:rsidRPr="00507A31">
        <w:rPr>
          <w:bCs/>
          <w:color w:val="000000" w:themeColor="text1"/>
          <w:sz w:val="16"/>
          <w:szCs w:val="16"/>
        </w:rPr>
        <w:t>Архив: </w:t>
      </w:r>
    </w:p>
    <w:p w14:paraId="055C512E" w14:textId="77777777" w:rsidR="00311DF7" w:rsidRPr="00507A31" w:rsidRDefault="00311DF7" w:rsidP="00507A31">
      <w:pPr>
        <w:jc w:val="both"/>
        <w:rPr>
          <w:color w:val="000000" w:themeColor="text1"/>
          <w:sz w:val="16"/>
          <w:szCs w:val="16"/>
        </w:rPr>
      </w:pPr>
      <w:r w:rsidRPr="00507A31">
        <w:rPr>
          <w:color w:val="000000" w:themeColor="text1"/>
          <w:sz w:val="16"/>
          <w:szCs w:val="16"/>
        </w:rPr>
        <w:t>ГА РФ. Ф. P-5451. Oп. 14. Д. 223. Л. 9-10</w:t>
      </w:r>
    </w:p>
    <w:p w14:paraId="41A3045D" w14:textId="77777777" w:rsidR="00311DF7" w:rsidRPr="00507A31" w:rsidRDefault="00311DF7" w:rsidP="00507A31">
      <w:pPr>
        <w:pStyle w:val="rteright"/>
        <w:spacing w:before="0" w:after="0"/>
        <w:jc w:val="both"/>
        <w:rPr>
          <w:color w:val="000000" w:themeColor="text1"/>
          <w:sz w:val="16"/>
          <w:szCs w:val="16"/>
        </w:rPr>
      </w:pPr>
      <w:r w:rsidRPr="00507A31">
        <w:rPr>
          <w:color w:val="000000" w:themeColor="text1"/>
          <w:sz w:val="16"/>
          <w:szCs w:val="16"/>
        </w:rPr>
        <w:t>22 ноября 1930 г.</w:t>
      </w:r>
    </w:p>
    <w:p w14:paraId="25EB3589" w14:textId="77777777" w:rsidR="00311DF7" w:rsidRPr="00507A31" w:rsidRDefault="00311DF7" w:rsidP="00507A31">
      <w:pPr>
        <w:pStyle w:val="ae"/>
        <w:spacing w:before="0" w:after="0"/>
        <w:jc w:val="both"/>
        <w:rPr>
          <w:color w:val="000000" w:themeColor="text1"/>
          <w:sz w:val="16"/>
          <w:szCs w:val="16"/>
        </w:rPr>
      </w:pPr>
      <w:r w:rsidRPr="00507A31">
        <w:rPr>
          <w:color w:val="000000" w:themeColor="text1"/>
          <w:sz w:val="16"/>
          <w:szCs w:val="16"/>
        </w:rPr>
        <w:t>ДИРЕКТИВЫ ВЦСПС В СВЯЗИ С ПРОЦЕССОМ КОНТР-</w:t>
      </w:r>
    </w:p>
    <w:p w14:paraId="4B7182C3" w14:textId="77777777" w:rsidR="00311DF7" w:rsidRPr="00507A31" w:rsidRDefault="00311DF7" w:rsidP="00507A31">
      <w:pPr>
        <w:pStyle w:val="ae"/>
        <w:spacing w:before="0" w:after="0"/>
        <w:jc w:val="both"/>
        <w:rPr>
          <w:color w:val="000000" w:themeColor="text1"/>
          <w:sz w:val="16"/>
          <w:szCs w:val="16"/>
        </w:rPr>
      </w:pPr>
      <w:r w:rsidRPr="00507A31">
        <w:rPr>
          <w:color w:val="000000" w:themeColor="text1"/>
          <w:sz w:val="16"/>
          <w:szCs w:val="16"/>
        </w:rPr>
        <w:t>РЕВОЛЮЦИОННОЙ «ПРОМЫШЛЕННОЙ ПАРТИИ» ПРОТИВ</w:t>
      </w:r>
    </w:p>
    <w:p w14:paraId="5CB2634E" w14:textId="77777777" w:rsidR="00311DF7" w:rsidRPr="00507A31" w:rsidRDefault="00311DF7" w:rsidP="00507A31">
      <w:pPr>
        <w:pStyle w:val="ae"/>
        <w:spacing w:before="0" w:after="0"/>
        <w:jc w:val="both"/>
        <w:rPr>
          <w:color w:val="000000" w:themeColor="text1"/>
          <w:sz w:val="16"/>
          <w:szCs w:val="16"/>
        </w:rPr>
      </w:pPr>
      <w:r w:rsidRPr="00507A31">
        <w:rPr>
          <w:color w:val="000000" w:themeColor="text1"/>
          <w:sz w:val="16"/>
          <w:szCs w:val="16"/>
        </w:rPr>
        <w:t>ВРЕДИТЕЛЬСТВА И ПОДГОТОВКИ ИНТЕРВЕНЦИИ</w:t>
      </w:r>
    </w:p>
    <w:p w14:paraId="429899D4"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В связи с начинающимся процессом против контр-революционной «Промышленной партии», который будет длиться две недели, Центральный комитет ВЦСПС Предлагает всем Советским] профсоюзам и</w:t>
      </w:r>
      <w:r w:rsidRPr="00507A31">
        <w:rPr>
          <w:color w:val="000000" w:themeColor="text1"/>
          <w:sz w:val="16"/>
          <w:szCs w:val="16"/>
          <w:vertAlign w:val="superscript"/>
        </w:rPr>
        <w:t>6</w:t>
      </w:r>
      <w:r w:rsidRPr="00507A31">
        <w:rPr>
          <w:color w:val="000000" w:themeColor="text1"/>
          <w:sz w:val="16"/>
          <w:szCs w:val="16"/>
        </w:rPr>
        <w:t> Центральным Комитетам Профсоюзов по проведению международной работы во время ходя процесса:</w:t>
      </w:r>
    </w:p>
    <w:p w14:paraId="73522278" w14:textId="77777777" w:rsidR="00311DF7" w:rsidRPr="00507A31" w:rsidRDefault="00311DF7" w:rsidP="00507A31">
      <w:pPr>
        <w:numPr>
          <w:ilvl w:val="0"/>
          <w:numId w:val="93"/>
        </w:numPr>
        <w:ind w:left="0" w:firstLine="0"/>
        <w:jc w:val="both"/>
        <w:rPr>
          <w:color w:val="000000" w:themeColor="text1"/>
          <w:sz w:val="16"/>
          <w:szCs w:val="16"/>
        </w:rPr>
      </w:pPr>
      <w:r w:rsidRPr="00507A31">
        <w:rPr>
          <w:color w:val="000000" w:themeColor="text1"/>
          <w:sz w:val="16"/>
          <w:szCs w:val="16"/>
        </w:rPr>
        <w:t>Мобилизация живущих за границей рабочих, связанных с Советским Союзом.</w:t>
      </w:r>
    </w:p>
    <w:p w14:paraId="3101483C"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а) Воззвание Союза Друзей СССР.</w:t>
      </w:r>
    </w:p>
    <w:p w14:paraId="193CFC57"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б) Посылка материалов о процессе в газету Союза Друзей СССР.</w:t>
      </w:r>
    </w:p>
    <w:p w14:paraId="53A96793"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в) Циркулярное письмо делегатам Союза Друзей СССР.</w:t>
      </w:r>
    </w:p>
    <w:p w14:paraId="24F767AB"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г) Подготовка фильм на тему «Вредительская работа и подготовка интервенции» (диапозитивы).</w:t>
      </w:r>
    </w:p>
    <w:p w14:paraId="4250C8DD" w14:textId="77777777" w:rsidR="00311DF7" w:rsidRPr="00507A31" w:rsidRDefault="00311DF7" w:rsidP="00507A31">
      <w:pPr>
        <w:numPr>
          <w:ilvl w:val="0"/>
          <w:numId w:val="94"/>
        </w:numPr>
        <w:ind w:left="0" w:firstLine="0"/>
        <w:jc w:val="both"/>
        <w:rPr>
          <w:color w:val="000000" w:themeColor="text1"/>
          <w:sz w:val="16"/>
          <w:szCs w:val="16"/>
        </w:rPr>
      </w:pPr>
      <w:r w:rsidRPr="00507A31">
        <w:rPr>
          <w:color w:val="000000" w:themeColor="text1"/>
          <w:sz w:val="16"/>
          <w:szCs w:val="16"/>
        </w:rPr>
        <w:t>Мобилизация иностранных рабочих, работающих в Советском Союзе.</w:t>
      </w:r>
    </w:p>
    <w:p w14:paraId="3036938A"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а) Циркулярное письмо работающим в Советском Союзе иностранным рабочим, содержащее следующие директивы:</w:t>
      </w:r>
    </w:p>
    <w:p w14:paraId="38C6D306"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б) Проведение собраний митингов, демонстраций во время хода процесса</w:t>
      </w:r>
    </w:p>
    <w:p w14:paraId="3E9A685E"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в) Вынесение резолюций</w:t>
      </w:r>
    </w:p>
    <w:p w14:paraId="44A2BA29"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г) Посылка коллективных писем заграничным предприятиям, связанным с заводами капиталистических стран.</w:t>
      </w:r>
    </w:p>
    <w:p w14:paraId="31CC92D5" w14:textId="77777777" w:rsidR="00311DF7" w:rsidRPr="00507A31" w:rsidRDefault="00311DF7" w:rsidP="00507A31">
      <w:pPr>
        <w:numPr>
          <w:ilvl w:val="0"/>
          <w:numId w:val="95"/>
        </w:numPr>
        <w:ind w:left="0" w:firstLine="0"/>
        <w:jc w:val="both"/>
        <w:rPr>
          <w:color w:val="000000" w:themeColor="text1"/>
          <w:sz w:val="16"/>
          <w:szCs w:val="16"/>
        </w:rPr>
      </w:pPr>
      <w:r w:rsidRPr="00507A31">
        <w:rPr>
          <w:color w:val="000000" w:themeColor="text1"/>
          <w:sz w:val="16"/>
          <w:szCs w:val="16"/>
        </w:rPr>
        <w:t>Заключение новых связей с предприятиями не имеющими еще связей.</w:t>
      </w:r>
    </w:p>
    <w:p w14:paraId="1029CA5A"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а) Братание с рабочими Советского Союза и работающими тут же иностранцами, обещания о единой защите Советского Союза в случае интервенции.</w:t>
      </w:r>
    </w:p>
    <w:p w14:paraId="2E44916C"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б) Специальное циркулярное письмо иностранным рабочим, работающим в Советском Союзе, которые были делегированы к 13 годовщине Октябрьской революции для проявления инициативы в эти[х] мероприятии[ях].</w:t>
      </w:r>
    </w:p>
    <w:p w14:paraId="178BB4F4" w14:textId="77777777" w:rsidR="00311DF7" w:rsidRPr="00507A31" w:rsidRDefault="00311DF7" w:rsidP="00507A31">
      <w:pPr>
        <w:numPr>
          <w:ilvl w:val="0"/>
          <w:numId w:val="96"/>
        </w:numPr>
        <w:ind w:left="0" w:firstLine="0"/>
        <w:jc w:val="both"/>
        <w:rPr>
          <w:color w:val="000000" w:themeColor="text1"/>
          <w:sz w:val="16"/>
          <w:szCs w:val="16"/>
        </w:rPr>
      </w:pPr>
      <w:r w:rsidRPr="00507A31">
        <w:rPr>
          <w:color w:val="000000" w:themeColor="text1"/>
          <w:sz w:val="16"/>
          <w:szCs w:val="16"/>
        </w:rPr>
        <w:t>Мобилизация прессы. Опубликование всех резолюций, докладов о выступлениях. Использовать темой для фотоматериалов и картин митинги, демонстрации иностранных рабочих.</w:t>
      </w:r>
    </w:p>
    <w:p w14:paraId="65A9AA83" w14:textId="77777777" w:rsidR="00311DF7" w:rsidRPr="00507A31" w:rsidRDefault="00311DF7" w:rsidP="00507A31">
      <w:pPr>
        <w:numPr>
          <w:ilvl w:val="0"/>
          <w:numId w:val="97"/>
        </w:numPr>
        <w:ind w:left="0" w:firstLine="0"/>
        <w:jc w:val="both"/>
        <w:rPr>
          <w:color w:val="000000" w:themeColor="text1"/>
          <w:sz w:val="16"/>
          <w:szCs w:val="16"/>
        </w:rPr>
      </w:pPr>
      <w:r w:rsidRPr="00507A31">
        <w:rPr>
          <w:color w:val="000000" w:themeColor="text1"/>
          <w:sz w:val="16"/>
          <w:szCs w:val="16"/>
        </w:rPr>
        <w:t>Мобилизация «СОВКИНО» к подготовке фильма «Вредительская работа — Интервенция».</w:t>
      </w:r>
    </w:p>
    <w:p w14:paraId="38FF546F" w14:textId="77777777" w:rsidR="00311DF7" w:rsidRPr="00507A31" w:rsidRDefault="00311DF7" w:rsidP="00507A31">
      <w:pPr>
        <w:numPr>
          <w:ilvl w:val="0"/>
          <w:numId w:val="98"/>
        </w:numPr>
        <w:ind w:left="0" w:firstLine="0"/>
        <w:jc w:val="both"/>
        <w:rPr>
          <w:color w:val="000000" w:themeColor="text1"/>
          <w:sz w:val="16"/>
          <w:szCs w:val="16"/>
        </w:rPr>
      </w:pPr>
      <w:r w:rsidRPr="00507A31">
        <w:rPr>
          <w:color w:val="000000" w:themeColor="text1"/>
          <w:sz w:val="16"/>
          <w:szCs w:val="16"/>
        </w:rPr>
        <w:t>Помощь П.К. профсоюзов ВЦСПС в проведении кампании по мобилизации:</w:t>
      </w:r>
    </w:p>
    <w:p w14:paraId="3656EEEE"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а) С целью обеспечения материалами и организации кампании против вредительства и подготовки интервенции ЦК различных производственных Союзов, в особенности Горняки, Металлисты, Строители, Электрические Предприятия, Коммунальники, должны собрать конкретный материал о вредительской работе в своих отраслях промышленности, в котором должны быть приведены цифры, приведшие к прорыву с тем, чтобы этот материал был приведен как обвинительный материал в данной отрасли промышленности.</w:t>
      </w:r>
    </w:p>
    <w:p w14:paraId="4018FAAD" w14:textId="77777777" w:rsidR="00311DF7" w:rsidRPr="00507A31" w:rsidRDefault="00311DF7" w:rsidP="00507A31">
      <w:pPr>
        <w:pStyle w:val="rtejustify"/>
        <w:spacing w:before="0" w:after="0"/>
        <w:rPr>
          <w:color w:val="000000" w:themeColor="text1"/>
          <w:sz w:val="16"/>
          <w:szCs w:val="16"/>
        </w:rPr>
      </w:pPr>
      <w:r w:rsidRPr="00507A31">
        <w:rPr>
          <w:color w:val="000000" w:themeColor="text1"/>
          <w:sz w:val="16"/>
          <w:szCs w:val="16"/>
        </w:rPr>
        <w:t>б) ЦК профсоюзов совместно с МКП должны помочь ФЗМК в организации связи с заграничными предприятиями.</w:t>
      </w:r>
    </w:p>
    <w:p w14:paraId="19558D00" w14:textId="77777777" w:rsidR="00311DF7" w:rsidRPr="00507A31" w:rsidRDefault="00311DF7"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223. Л. 9-10. Машинописная копия того времени с рукописными вставками, исправлены от руки номера пунктов и буквенных подпунктов, начиная с 3-го (из напечатанных подряд порядковых номеров). В верхней части Л. 9. (над заглавием) написано от руки: «Рабовский, Войткевич, &lt;Лигауер&gt;. План. Составлено 22/XI-30 года» (19020).</w:t>
      </w:r>
    </w:p>
    <w:p w14:paraId="020EFDCA" w14:textId="77777777" w:rsidR="00311DF7" w:rsidRPr="00507A31" w:rsidRDefault="00311DF7" w:rsidP="00507A31">
      <w:pPr>
        <w:jc w:val="both"/>
        <w:rPr>
          <w:color w:val="000000" w:themeColor="text1"/>
          <w:sz w:val="16"/>
          <w:szCs w:val="16"/>
        </w:rPr>
      </w:pPr>
    </w:p>
    <w:p w14:paraId="142AD81F" w14:textId="77777777" w:rsidR="006E6C8D" w:rsidRPr="00507A31" w:rsidRDefault="006E6C8D"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4AB1D768" w14:textId="77777777" w:rsidR="006E6C8D" w:rsidRPr="00507A31" w:rsidRDefault="006E6C8D" w:rsidP="00507A31">
      <w:pPr>
        <w:autoSpaceDE w:val="0"/>
        <w:autoSpaceDN w:val="0"/>
        <w:adjustRightInd w:val="0"/>
        <w:jc w:val="both"/>
        <w:rPr>
          <w:iCs/>
          <w:color w:val="000000" w:themeColor="text1"/>
          <w:sz w:val="16"/>
          <w:szCs w:val="16"/>
        </w:rPr>
      </w:pPr>
    </w:p>
    <w:p w14:paraId="23A19FD4" w14:textId="77777777" w:rsidR="00532516" w:rsidRPr="00507A31" w:rsidRDefault="00532516" w:rsidP="00507A31">
      <w:pPr>
        <w:jc w:val="both"/>
        <w:rPr>
          <w:bCs/>
          <w:color w:val="000000" w:themeColor="text1"/>
          <w:sz w:val="16"/>
          <w:szCs w:val="16"/>
        </w:rPr>
      </w:pPr>
      <w:r w:rsidRPr="00507A31">
        <w:rPr>
          <w:color w:val="000000" w:themeColor="text1"/>
          <w:sz w:val="16"/>
          <w:szCs w:val="16"/>
        </w:rPr>
        <w:t>22 ноября 1930 г.</w:t>
      </w:r>
    </w:p>
    <w:p w14:paraId="0A7D42D7" w14:textId="77777777" w:rsidR="00532516" w:rsidRPr="00507A31" w:rsidRDefault="00532516" w:rsidP="00507A31">
      <w:pPr>
        <w:jc w:val="both"/>
        <w:rPr>
          <w:bCs/>
          <w:color w:val="000000" w:themeColor="text1"/>
          <w:sz w:val="16"/>
          <w:szCs w:val="16"/>
        </w:rPr>
      </w:pPr>
      <w:r w:rsidRPr="00507A31">
        <w:rPr>
          <w:color w:val="000000" w:themeColor="text1"/>
          <w:sz w:val="16"/>
          <w:szCs w:val="16"/>
        </w:rPr>
        <w:t>Письмо Д. Г. Штерна руководству НКИД СССР по поводу публикаций слухов о перевороте в германской печати и пропагандистских усилиях советских дипломатов. 22 ноября 1930 г.</w:t>
      </w:r>
    </w:p>
    <w:p w14:paraId="0279D5C7" w14:textId="77777777" w:rsidR="00532516" w:rsidRPr="00507A31" w:rsidRDefault="00532516" w:rsidP="00507A31">
      <w:pPr>
        <w:jc w:val="both"/>
        <w:rPr>
          <w:bCs/>
          <w:color w:val="000000" w:themeColor="text1"/>
          <w:sz w:val="16"/>
          <w:szCs w:val="16"/>
        </w:rPr>
      </w:pPr>
      <w:r w:rsidRPr="00507A31">
        <w:rPr>
          <w:bCs/>
          <w:color w:val="000000" w:themeColor="text1"/>
          <w:sz w:val="16"/>
          <w:szCs w:val="16"/>
        </w:rPr>
        <w:t>Источник: </w:t>
      </w:r>
    </w:p>
    <w:p w14:paraId="170AD217" w14:textId="77777777" w:rsidR="00532516" w:rsidRPr="00507A31" w:rsidRDefault="00532516"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2A88F0" w14:textId="77777777" w:rsidR="00532516" w:rsidRPr="00507A31" w:rsidRDefault="00532516" w:rsidP="00507A31">
      <w:pPr>
        <w:jc w:val="both"/>
        <w:rPr>
          <w:bCs/>
          <w:color w:val="000000" w:themeColor="text1"/>
          <w:sz w:val="16"/>
          <w:szCs w:val="16"/>
        </w:rPr>
      </w:pPr>
      <w:r w:rsidRPr="00507A31">
        <w:rPr>
          <w:bCs/>
          <w:color w:val="000000" w:themeColor="text1"/>
          <w:sz w:val="16"/>
          <w:szCs w:val="16"/>
        </w:rPr>
        <w:t>Архив: </w:t>
      </w:r>
    </w:p>
    <w:p w14:paraId="1BD41BBB" w14:textId="77777777" w:rsidR="00532516" w:rsidRPr="00507A31" w:rsidRDefault="00532516" w:rsidP="00507A31">
      <w:pPr>
        <w:jc w:val="both"/>
        <w:rPr>
          <w:color w:val="000000" w:themeColor="text1"/>
          <w:sz w:val="16"/>
          <w:szCs w:val="16"/>
        </w:rPr>
      </w:pPr>
      <w:r w:rsidRPr="00507A31">
        <w:rPr>
          <w:color w:val="000000" w:themeColor="text1"/>
          <w:sz w:val="16"/>
          <w:szCs w:val="16"/>
        </w:rPr>
        <w:t>АВП РФ. Ф. 056. On. 15. Папка 31. Д. 9. Л. 65-65 об</w:t>
      </w:r>
    </w:p>
    <w:p w14:paraId="3338A5C8" w14:textId="77777777" w:rsidR="00532516" w:rsidRPr="00507A31" w:rsidRDefault="00532516" w:rsidP="00507A31">
      <w:pPr>
        <w:pStyle w:val="rteright"/>
        <w:spacing w:before="0" w:after="0"/>
        <w:jc w:val="both"/>
        <w:rPr>
          <w:color w:val="000000" w:themeColor="text1"/>
          <w:sz w:val="16"/>
          <w:szCs w:val="16"/>
        </w:rPr>
      </w:pPr>
      <w:r w:rsidRPr="00507A31">
        <w:rPr>
          <w:color w:val="000000" w:themeColor="text1"/>
          <w:sz w:val="16"/>
          <w:szCs w:val="16"/>
        </w:rPr>
        <w:t>22 ноября 1930 г.</w:t>
      </w:r>
    </w:p>
    <w:p w14:paraId="1F3CC31F" w14:textId="77777777" w:rsidR="00532516" w:rsidRPr="00507A31" w:rsidRDefault="00532516"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79165174" w14:textId="77777777" w:rsidR="00532516" w:rsidRPr="00507A31" w:rsidRDefault="00532516" w:rsidP="00507A31">
      <w:pPr>
        <w:pStyle w:val="ae"/>
        <w:spacing w:before="0" w:after="0"/>
        <w:jc w:val="both"/>
        <w:rPr>
          <w:color w:val="000000" w:themeColor="text1"/>
          <w:sz w:val="16"/>
          <w:szCs w:val="16"/>
        </w:rPr>
      </w:pPr>
      <w:r w:rsidRPr="00507A31">
        <w:rPr>
          <w:color w:val="000000" w:themeColor="text1"/>
          <w:sz w:val="16"/>
          <w:szCs w:val="16"/>
        </w:rPr>
        <w:t>тов. Залкинду, копия т. Крестинскому</w:t>
      </w:r>
    </w:p>
    <w:p w14:paraId="683FBD22" w14:textId="77777777" w:rsidR="00532516" w:rsidRPr="00507A31" w:rsidRDefault="00532516"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7047B410" w14:textId="77777777" w:rsidR="00532516" w:rsidRPr="00507A31" w:rsidRDefault="00532516" w:rsidP="00507A31">
      <w:pPr>
        <w:pStyle w:val="rtejustify"/>
        <w:spacing w:before="0" w:after="0"/>
        <w:rPr>
          <w:color w:val="000000" w:themeColor="text1"/>
          <w:sz w:val="16"/>
          <w:szCs w:val="16"/>
        </w:rPr>
      </w:pPr>
      <w:r w:rsidRPr="00507A31">
        <w:rPr>
          <w:color w:val="000000" w:themeColor="text1"/>
          <w:sz w:val="16"/>
          <w:szCs w:val="16"/>
        </w:rPr>
        <w:t>1.  Мне сообщают, что на сегодняшней прессе-конференц в отделе печати Аусамта, чиновник отдела Хайде дал прессе разъяснение в связи со слухами о «революции в России». Хайде заявил, что Аусамт только сегодня утром имел телеграмму от Дирксена в которой абсолютно ничего не говорится о каких[-]либо событиях в Москве. Что касается перерыва телефонного сообщения, то объясняется оно не политическими причинами. Мой информатор сообщил мне при этом, что среди журналистов, присутствовавших на прессе-конференц, многие убеждены, что в СССР все же происходят серьезные события. Одновременно мне сообщают[, что] в распространении всех алармных слухов особо активную роль играет с.[-]д. Альфрингхаузен (из с.[-]д. [«]Прессединст[»]).</w:t>
      </w:r>
    </w:p>
    <w:p w14:paraId="09D3CD8A" w14:textId="77777777" w:rsidR="00532516" w:rsidRPr="00507A31" w:rsidRDefault="00532516" w:rsidP="00507A31">
      <w:pPr>
        <w:pStyle w:val="rtejustify"/>
        <w:spacing w:before="0" w:after="0"/>
        <w:rPr>
          <w:color w:val="000000" w:themeColor="text1"/>
          <w:sz w:val="16"/>
          <w:szCs w:val="16"/>
        </w:rPr>
      </w:pPr>
      <w:r w:rsidRPr="00507A31">
        <w:rPr>
          <w:color w:val="000000" w:themeColor="text1"/>
          <w:sz w:val="16"/>
          <w:szCs w:val="16"/>
        </w:rPr>
        <w:t>2.  С одной из прошлых почт я переслал Вам номер [«]Мюнхенер Илюстрирте[»] с серией фотографий о Красной армии. В настоящий момент есть возможность пропустить в большие иллюстрированные журналы примерно следующие серии: а) иностранные специалисты в СССР (преимущественно американцы), необходимы фотографии рисующие их работу и быт. б) Если это возможно снимки изображающие успехи нашей нефтепромышленности, в) Фотографии изображающие белогвардейцев в Ман[ьч]журии, чтобы на их основании было возможно дать статью о бандитской деятельности белых на Дальнем Востоке.</w:t>
      </w:r>
    </w:p>
    <w:p w14:paraId="1D80E733" w14:textId="77777777" w:rsidR="00532516" w:rsidRPr="00507A31" w:rsidRDefault="00532516" w:rsidP="00507A31">
      <w:pPr>
        <w:pStyle w:val="rtejustify"/>
        <w:spacing w:before="0" w:after="0"/>
        <w:rPr>
          <w:color w:val="000000" w:themeColor="text1"/>
          <w:sz w:val="16"/>
          <w:szCs w:val="16"/>
        </w:rPr>
      </w:pPr>
      <w:r w:rsidRPr="00507A31">
        <w:rPr>
          <w:color w:val="000000" w:themeColor="text1"/>
          <w:sz w:val="16"/>
          <w:szCs w:val="16"/>
        </w:rPr>
        <w:t>Если у Вас есть возможность получить для меня указанный фотоматериал, просьба сделать это в ускоренном порядке. Кроме того необходим[о] урегулировать этот вопрос с Унион Фото в Москве, так как иначе я рискую, что Унион Бильд в Берлине будет протестовать и может скомпрометировать канал[,] при помощи которого снимки и пояснительные статьи продвигаются в прессу.</w:t>
      </w:r>
    </w:p>
    <w:p w14:paraId="75324E9D" w14:textId="77777777" w:rsidR="00532516" w:rsidRPr="00507A31" w:rsidRDefault="00532516" w:rsidP="00507A31">
      <w:pPr>
        <w:pStyle w:val="ae"/>
        <w:spacing w:before="0" w:after="0"/>
        <w:jc w:val="both"/>
        <w:rPr>
          <w:color w:val="000000" w:themeColor="text1"/>
          <w:sz w:val="16"/>
          <w:szCs w:val="16"/>
        </w:rPr>
      </w:pPr>
      <w:r w:rsidRPr="00507A31">
        <w:rPr>
          <w:color w:val="000000" w:themeColor="text1"/>
          <w:sz w:val="16"/>
          <w:szCs w:val="16"/>
        </w:rPr>
        <w:t>Д. Штерн</w:t>
      </w:r>
    </w:p>
    <w:p w14:paraId="25FEDAFE" w14:textId="77777777" w:rsidR="00532516" w:rsidRPr="00507A31" w:rsidRDefault="00532516"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Папка 31. Д. 9. Л. 65-65 об. Машинописный подлинник на бланке Полпредства СССР в Германии, подпись Штерна — автограф. Гриф секретности и дата машинописью. На Л. 65 вверху слева от руки написаны входящий «№ 2252» и дата получения документа «25/XI-30 г.», подпись-росчерк Миронова. Рукописные пометы на полях рядом с пунктом 2 письма: «т. Бельскому для исполнения] 3/ XII» «исполнил» (18842).</w:t>
      </w:r>
    </w:p>
    <w:p w14:paraId="3D2402CA" w14:textId="77777777" w:rsidR="00532516" w:rsidRPr="00507A31" w:rsidRDefault="00532516" w:rsidP="00507A31">
      <w:pPr>
        <w:jc w:val="both"/>
        <w:rPr>
          <w:color w:val="000000" w:themeColor="text1"/>
          <w:sz w:val="16"/>
          <w:szCs w:val="16"/>
        </w:rPr>
      </w:pPr>
    </w:p>
    <w:p w14:paraId="298BC1E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19B3999" w14:textId="77777777" w:rsidR="00537E5F" w:rsidRPr="00507A31" w:rsidRDefault="00537E5F" w:rsidP="00507A31">
      <w:pPr>
        <w:autoSpaceDE w:val="0"/>
        <w:autoSpaceDN w:val="0"/>
        <w:adjustRightInd w:val="0"/>
        <w:jc w:val="both"/>
        <w:rPr>
          <w:iCs/>
          <w:color w:val="000000" w:themeColor="text1"/>
          <w:sz w:val="16"/>
          <w:szCs w:val="16"/>
        </w:rPr>
      </w:pPr>
    </w:p>
    <w:p w14:paraId="6AFD8BA1" w14:textId="77777777" w:rsidR="00113BB4" w:rsidRPr="00507A31" w:rsidRDefault="00113BB4" w:rsidP="00507A31">
      <w:pPr>
        <w:pStyle w:val="rtejustify"/>
        <w:spacing w:before="0" w:after="0"/>
        <w:rPr>
          <w:color w:val="000000" w:themeColor="text1"/>
          <w:sz w:val="16"/>
          <w:szCs w:val="16"/>
        </w:rPr>
      </w:pPr>
      <w:r w:rsidRPr="00507A31">
        <w:rPr>
          <w:rStyle w:val="af0"/>
          <w:i w:val="0"/>
          <w:color w:val="000000" w:themeColor="text1"/>
          <w:sz w:val="16"/>
          <w:szCs w:val="16"/>
        </w:rPr>
        <w:t xml:space="preserve">23 ноября 1930 г. Протокол Реввоенсовета № 26. </w:t>
      </w:r>
      <w:r w:rsidRPr="00507A31">
        <w:rPr>
          <w:color w:val="000000" w:themeColor="text1"/>
          <w:sz w:val="16"/>
          <w:szCs w:val="16"/>
        </w:rPr>
        <w:t>2</w:t>
      </w:r>
      <w:r w:rsidRPr="00507A31">
        <w:rPr>
          <w:rStyle w:val="af0"/>
          <w:i w:val="0"/>
          <w:color w:val="000000" w:themeColor="text1"/>
          <w:sz w:val="16"/>
          <w:szCs w:val="16"/>
        </w:rPr>
        <w:t>. </w:t>
      </w:r>
      <w:r w:rsidRPr="00507A31">
        <w:rPr>
          <w:color w:val="000000" w:themeColor="text1"/>
          <w:sz w:val="16"/>
          <w:szCs w:val="16"/>
        </w:rPr>
        <w:t>Директива по составлению плана работ НКВМ на 1931 г. (Шапошников). 6. План работ и смета Остехбюро на 1931 г. (Бекаури). 13. О проекте эскадренной подводной лодки, разработанной вредителями под наблюдением ОГПУ. (Карденко, Асафов). (РГВА. Ф. 4. Оп. 18. Д. 19. Л. 412, 413, 414) (12342).</w:t>
      </w:r>
    </w:p>
    <w:p w14:paraId="1BE292CE" w14:textId="77777777" w:rsidR="00113BB4" w:rsidRPr="00507A31" w:rsidRDefault="00113BB4" w:rsidP="00507A31">
      <w:pPr>
        <w:pStyle w:val="rtejustify"/>
        <w:spacing w:before="0" w:after="0"/>
        <w:rPr>
          <w:color w:val="000000" w:themeColor="text1"/>
          <w:sz w:val="16"/>
          <w:szCs w:val="16"/>
        </w:rPr>
      </w:pPr>
    </w:p>
    <w:p w14:paraId="5E26B1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ноября 1930 Реввоенсо</w:t>
      </w:r>
      <w:r w:rsidRPr="00507A31">
        <w:rPr>
          <w:color w:val="000000" w:themeColor="text1"/>
          <w:sz w:val="16"/>
          <w:szCs w:val="16"/>
        </w:rPr>
        <w:softHyphen/>
        <w:t>вет СССР утвердил эскизный проект пл типа Правда (3898).</w:t>
      </w:r>
    </w:p>
    <w:p w14:paraId="0D6C5687" w14:textId="77777777" w:rsidR="00537E5F" w:rsidRPr="00507A31" w:rsidRDefault="00537E5F" w:rsidP="00507A31">
      <w:pPr>
        <w:autoSpaceDE w:val="0"/>
        <w:autoSpaceDN w:val="0"/>
        <w:adjustRightInd w:val="0"/>
        <w:jc w:val="both"/>
        <w:rPr>
          <w:color w:val="000000" w:themeColor="text1"/>
          <w:sz w:val="16"/>
          <w:szCs w:val="16"/>
        </w:rPr>
      </w:pPr>
    </w:p>
    <w:p w14:paraId="104029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ноября 1930 года Реввоенсовет утвердил эскизный проект подводной лодки для совместных действий с надводными кораблями. Проект предусматривал вооружение подлодки шестью торпедными аппаратами с десятью торпедами, двумя 130-мм орудиями в башнях и 37-мм зенитным орудием. Она должна была развивать скорость до 24 узлов в надводном положении и иметь дальность плавания ходом 11 узлов 9650 миль над водой и 23 мили под водой. Из-за неясности в вопросе размещения заказа на главные дизели и отсутствия основных данных по ним, разработка общего проекта задержалась (10672).</w:t>
      </w:r>
    </w:p>
    <w:p w14:paraId="087481F1" w14:textId="77777777" w:rsidR="00537E5F" w:rsidRPr="00507A31" w:rsidRDefault="00537E5F" w:rsidP="00507A31">
      <w:pPr>
        <w:autoSpaceDE w:val="0"/>
        <w:autoSpaceDN w:val="0"/>
        <w:adjustRightInd w:val="0"/>
        <w:jc w:val="both"/>
        <w:rPr>
          <w:color w:val="000000" w:themeColor="text1"/>
          <w:sz w:val="16"/>
          <w:szCs w:val="16"/>
        </w:rPr>
      </w:pPr>
    </w:p>
    <w:p w14:paraId="78A9AB5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201E98DF" w14:textId="77777777" w:rsidR="00537E5F" w:rsidRPr="00507A31" w:rsidRDefault="00537E5F" w:rsidP="00507A31">
      <w:pPr>
        <w:autoSpaceDE w:val="0"/>
        <w:autoSpaceDN w:val="0"/>
        <w:adjustRightInd w:val="0"/>
        <w:jc w:val="both"/>
        <w:rPr>
          <w:iCs/>
          <w:color w:val="000000" w:themeColor="text1"/>
          <w:sz w:val="16"/>
          <w:szCs w:val="16"/>
        </w:rPr>
      </w:pPr>
    </w:p>
    <w:p w14:paraId="50DB77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ноября 1930 года был утвержден первый Генеральный план ПВО страны с основными цифрами развития ПВО на 1931–1933 годы (10109).</w:t>
      </w:r>
    </w:p>
    <w:p w14:paraId="0E82922F" w14:textId="77777777" w:rsidR="00537E5F" w:rsidRPr="00507A31" w:rsidRDefault="00537E5F" w:rsidP="00507A31">
      <w:pPr>
        <w:autoSpaceDE w:val="0"/>
        <w:autoSpaceDN w:val="0"/>
        <w:adjustRightInd w:val="0"/>
        <w:jc w:val="both"/>
        <w:rPr>
          <w:color w:val="000000" w:themeColor="text1"/>
          <w:sz w:val="16"/>
          <w:szCs w:val="16"/>
        </w:rPr>
      </w:pPr>
    </w:p>
    <w:p w14:paraId="422EBDE9" w14:textId="77777777" w:rsidR="00273CEF" w:rsidRPr="00507A31" w:rsidRDefault="00273CEF" w:rsidP="00507A31">
      <w:pPr>
        <w:pStyle w:val="ae"/>
        <w:spacing w:before="0" w:after="0"/>
        <w:jc w:val="both"/>
        <w:rPr>
          <w:color w:val="000000" w:themeColor="text1"/>
          <w:sz w:val="16"/>
          <w:szCs w:val="16"/>
        </w:rPr>
      </w:pPr>
      <w:r w:rsidRPr="00507A31">
        <w:rPr>
          <w:color w:val="000000" w:themeColor="text1"/>
          <w:sz w:val="16"/>
          <w:szCs w:val="16"/>
        </w:rPr>
        <w:lastRenderedPageBreak/>
        <w:t>23 ноября 1930 Реввоенсоветом СССР был утвержден первый Генеральный план противовоздушной обороны страны с основными цифрами развития ПВО на 1931–1933 гг. На обороне крупных центров страны территориальные части ПВО переводятся на кадровый состав. Зенитные артиллерийские полки переформировываются в бригады ПВО, включавшие части и подразделения зенитной артиллерии, пулеметов, прожекторов и ВНОС. Стоявшие на страже неба над Москвой и Ленинградом бригады осенью 1931 г. преобразуются в дивизии ПВО (15736).</w:t>
      </w:r>
    </w:p>
    <w:p w14:paraId="16386D43" w14:textId="77777777" w:rsidR="00273CEF" w:rsidRPr="00507A31" w:rsidRDefault="00273CEF" w:rsidP="00507A31">
      <w:pPr>
        <w:pStyle w:val="ae"/>
        <w:spacing w:before="0" w:after="0"/>
        <w:jc w:val="both"/>
        <w:rPr>
          <w:color w:val="000000" w:themeColor="text1"/>
          <w:sz w:val="16"/>
          <w:szCs w:val="16"/>
        </w:rPr>
      </w:pPr>
    </w:p>
    <w:p w14:paraId="0DC4601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1A7D190" w14:textId="77777777" w:rsidR="00537E5F" w:rsidRPr="00507A31" w:rsidRDefault="00537E5F" w:rsidP="00507A31">
      <w:pPr>
        <w:autoSpaceDE w:val="0"/>
        <w:autoSpaceDN w:val="0"/>
        <w:adjustRightInd w:val="0"/>
        <w:jc w:val="both"/>
        <w:rPr>
          <w:iCs/>
          <w:color w:val="000000" w:themeColor="text1"/>
          <w:sz w:val="16"/>
          <w:szCs w:val="16"/>
        </w:rPr>
      </w:pPr>
    </w:p>
    <w:p w14:paraId="5E1F4E6A" w14:textId="77777777" w:rsidR="00537E5F" w:rsidRPr="00507A31" w:rsidRDefault="00537E5F" w:rsidP="00507A31">
      <w:pPr>
        <w:tabs>
          <w:tab w:val="left" w:pos="720"/>
        </w:tabs>
        <w:autoSpaceDE w:val="0"/>
        <w:autoSpaceDN w:val="0"/>
        <w:adjustRightInd w:val="0"/>
        <w:jc w:val="both"/>
        <w:rPr>
          <w:color w:val="000000" w:themeColor="text1"/>
          <w:sz w:val="16"/>
          <w:szCs w:val="16"/>
        </w:rPr>
      </w:pPr>
      <w:r w:rsidRPr="00507A31">
        <w:rPr>
          <w:color w:val="000000" w:themeColor="text1"/>
          <w:sz w:val="16"/>
          <w:szCs w:val="16"/>
        </w:rPr>
        <w:t>23 ноября 1930 г. постановлением СНК СССР «О правах заказчиков на изготовленные по их заказам архитектурные, инженерные и иные технические планы, чертежи и рисунки» (СЗ СССР, 1930. № 58. Ст. 613. С. 1126) было запрещено заказывать проекты персонально отдельным архитекторам на договорных условия. Тем самым, в 1930 г. власть подводит последнюю черту в огосударствлении частного проектирования (11596).</w:t>
      </w:r>
    </w:p>
    <w:p w14:paraId="72100ED3" w14:textId="77777777" w:rsidR="00537E5F" w:rsidRPr="00507A31" w:rsidRDefault="00537E5F" w:rsidP="00507A31">
      <w:pPr>
        <w:tabs>
          <w:tab w:val="left" w:pos="720"/>
        </w:tabs>
        <w:autoSpaceDE w:val="0"/>
        <w:autoSpaceDN w:val="0"/>
        <w:adjustRightInd w:val="0"/>
        <w:jc w:val="both"/>
        <w:rPr>
          <w:color w:val="000000" w:themeColor="text1"/>
          <w:sz w:val="16"/>
          <w:szCs w:val="16"/>
        </w:rPr>
      </w:pPr>
    </w:p>
    <w:p w14:paraId="6D159814" w14:textId="77777777" w:rsidR="0041096C" w:rsidRPr="00507A31" w:rsidRDefault="0041096C" w:rsidP="00507A31">
      <w:pPr>
        <w:jc w:val="both"/>
        <w:rPr>
          <w:color w:val="000000" w:themeColor="text1"/>
          <w:sz w:val="16"/>
          <w:szCs w:val="16"/>
        </w:rPr>
      </w:pPr>
      <w:r w:rsidRPr="00507A31">
        <w:rPr>
          <w:color w:val="000000" w:themeColor="text1"/>
          <w:sz w:val="16"/>
          <w:szCs w:val="16"/>
        </w:rPr>
        <w:t>23 ноября 1930 г.</w:t>
      </w:r>
    </w:p>
    <w:p w14:paraId="707838F7" w14:textId="77777777" w:rsidR="0041096C" w:rsidRPr="00507A31" w:rsidRDefault="0041096C" w:rsidP="00507A31">
      <w:pPr>
        <w:jc w:val="both"/>
        <w:rPr>
          <w:bCs/>
          <w:color w:val="000000" w:themeColor="text1"/>
          <w:sz w:val="16"/>
          <w:szCs w:val="16"/>
        </w:rPr>
      </w:pPr>
      <w:r w:rsidRPr="00507A31">
        <w:rPr>
          <w:color w:val="000000" w:themeColor="text1"/>
          <w:sz w:val="16"/>
          <w:szCs w:val="16"/>
        </w:rPr>
        <w:t>Информация о митинге работников науки и искусства в Москве, посвященном «декаде обороны». Из «Информационного бюллетеня» ВОКС № 2. 23 ноября 1930 г.</w:t>
      </w:r>
    </w:p>
    <w:p w14:paraId="4F2E45C1"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3D36D7DA"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039EC2"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23 ноября 1930 г.</w:t>
      </w:r>
    </w:p>
    <w:p w14:paraId="31EE6D24"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«Декада обороны».</w:t>
      </w:r>
    </w:p>
    <w:p w14:paraId="22DDD0E0"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Митинг, организованный Всесоюзным Обществом Культурной</w:t>
      </w:r>
    </w:p>
    <w:p w14:paraId="32A2F033"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связи с заграницей совместно с работниками науки, искусства</w:t>
      </w:r>
    </w:p>
    <w:p w14:paraId="2FE5B1AA"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и литературы, объединенными в Научно-Техническом</w:t>
      </w:r>
    </w:p>
    <w:p w14:paraId="19DD9822"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и Художественном Секторах ВОКС.</w:t>
      </w:r>
    </w:p>
    <w:p w14:paraId="65220DD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23-го ноября 1930 г. в Москве в Зале ЦЕКУБУ, в связи с «декадой обороны» состоялся митинг, организованный ВОКСом совместно с представителями науки и искусства, членами Секций ВОКСа.</w:t>
      </w:r>
    </w:p>
    <w:p w14:paraId="667ADC5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Присутствовали виднейшие ученые, писатели, педагоги, артисты.</w:t>
      </w:r>
    </w:p>
    <w:p w14:paraId="12647FA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Председательствовал на собрании Председатель ВОКС Ф. Н. Петров.</w:t>
      </w:r>
    </w:p>
    <w:p w14:paraId="3482E9E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состав Президиума вошли следующие лица:</w:t>
      </w:r>
    </w:p>
    <w:p w14:paraId="1D54763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Ф. Н. Петров — Председатель Всесоюзного Общества Культурной Связи с заграницей.</w:t>
      </w:r>
    </w:p>
    <w:p w14:paraId="4C4835B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Акад. А. А. Богомолец — Президент Всеукраинской Академии наук</w:t>
      </w:r>
    </w:p>
    <w:p w14:paraId="09423CA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Л. С. Штерн — Директор Научно-Исследов. Ин-та физиологии</w:t>
      </w:r>
    </w:p>
    <w:p w14:paraId="4D1D6D7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И. Я. Лапиров-Скобло — Директор Научно-Исследовательского Отдела Технико-Производственного Управления Всесоюзного Электротехнического Объединения.</w:t>
      </w:r>
    </w:p>
    <w:p w14:paraId="7CFE55A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В. М. Броннер — Др. Венерологии и Дерматологии.</w:t>
      </w:r>
    </w:p>
    <w:p w14:paraId="44291AE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А. П. Пинкевич — Директор Педагогического Института.</w:t>
      </w:r>
    </w:p>
    <w:p w14:paraId="77F9AF9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И. А. Брауде — Институт Охраны Материнства и Младенчества.</w:t>
      </w:r>
    </w:p>
    <w:p w14:paraId="40D2ED8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И. Н. Бороздин — Востоковед.</w:t>
      </w:r>
    </w:p>
    <w:p w14:paraId="76EE553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А. Я. Эстрин — Отв. Секретарь Центрального Бюро Секции Научных Работников.</w:t>
      </w:r>
    </w:p>
    <w:p w14:paraId="3046FEC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Е. Л. Любимов-Ланской — Заслуженный артист Республики, директор [театра] Московского Областного Совета Профессиональных Союзов.</w:t>
      </w:r>
    </w:p>
    <w:p w14:paraId="2EA931A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 О. Волконский — Заслуженный Артист Республики, режиссер Малого театра.</w:t>
      </w:r>
    </w:p>
    <w:p w14:paraId="2BE3665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Л. М. Цейтлин — Московская Государственная Консерватория</w:t>
      </w:r>
    </w:p>
    <w:p w14:paraId="4DDA86D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Е. М. Браудо — Музыкальный критик.</w:t>
      </w:r>
    </w:p>
    <w:p w14:paraId="5374323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П. С. Коган — Президент Государственной Академии Художественных Наук.</w:t>
      </w:r>
    </w:p>
    <w:p w14:paraId="2BB7135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Д. П. Штеренберг — Член Совета Федерации Художественных Обществ.</w:t>
      </w:r>
    </w:p>
    <w:p w14:paraId="296EB72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П. П. Кончаловский — Художник.</w:t>
      </w:r>
    </w:p>
    <w:p w14:paraId="1774D08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Эсфирь Шуб — Кино-режиссер.</w:t>
      </w:r>
    </w:p>
    <w:p w14:paraId="777156F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Собрание открылось речью Председателя ВОКСа Ф. Н. Петрова.</w:t>
      </w:r>
    </w:p>
    <w:p w14:paraId="5222F05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Обычно, сказал Ф. Н. Петров, научный и художественный сектора ВОКСа собираются для обсуждения вопросов развития наших научных и художественных связей с заграницей. Сегодняшнее собрание является собранием особым. Оно должно будет заняться вопросами, конечно, тесно связанными с задачами нашего ВОКСа, но под иным, несколько углом. Я имею в виду те события последнего времени, которые не могут не иметь значения также и для нашей работы по культурной связи с заграницей.</w:t>
      </w:r>
    </w:p>
    <w:p w14:paraId="216C128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Вы должно быть читали в «Известиях» и недавно в «Правде» декларации иностранных писателей об опасности войны против СССР и позиции иностранного правительства. В этих декларациях ряд выдающихся писателей Запада и Востока говорят о том, что намерены они предпринять в защиту СССР в случае войны. Но вот передо мной сообщение, помещенное в немецкой газете «Гамбургер Френденблатт» от 12.XI.30 г. Из этого сообщения видно, что 82 представителя, как там сказано, «германской духовной жизни», совсем по-иному, чем все писатели, о которых я говорил, определяют свое отношение к Советскому Союзу. Они подают свой голос в защиту не Советского Союза, а в защиту вредителей, разрушителей мирного строительства СССР. Среди подписавшихся под этой декларацией есть имена выдающихся ученых и писателей.</w:t>
      </w:r>
    </w:p>
    <w:p w14:paraId="4A0E95D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Разрешите мне, обращаясь к Вам и через Вашу голову, к представителям заграничной общественности, проанализировать причины, которые заставили этих лиц так определить свое отношение к стране трудящихся, к стране успешно осуществляющей в течение 13 лет великое дело строительства социализма. Обращаясь к этим лицам, а также к тем, кто провозглашает необходимость защиты западной культуры от СССР, я спрошу, против чего они намерены бороться, что именно в нашем строительстве, в нашей науке и искусстве угрожает мировой цивилизации, науке и искусству?</w:t>
      </w:r>
    </w:p>
    <w:p w14:paraId="2C97FF33"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Находятся люди, упрекающие нас, что мы, разрушив капиталистическую культуру, не создали предпосылки для улучшения экономического положения нашей страны. Я хочу опровергнуть это языком цифр и фактов.</w:t>
      </w:r>
    </w:p>
    <w:p w14:paraId="5E261F0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За 13 лет Октябрьской революции в промышленность вложено 10 миллиардов, 800 миллионов руб., в сельское хозяйство — 26 миллиардов, 400 миллионов руб., построено 2323 завода, 323 местных и районных электростанций, проведено 19 363 клм. новых железных дорог.</w:t>
      </w:r>
    </w:p>
    <w:p w14:paraId="7781C8D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Валовая продукция всей нашей &lt;промышленности&gt; возросла в 2 с лишним раза по сравнению с довоенной. За 6 лет сельскохозяйственное машиностроение дало продукции на 1 миллиард 600 млн руб., а в 1930 г. на 800 млн руб. За это же время выпущено 16.000 тракторов советского производства.</w:t>
      </w:r>
    </w:p>
    <w:p w14:paraId="4902531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Посевная площадь обобществленного сектора сельского хозяйства составляет 42 млн га. Из них 38 млн засеяно колхозными хозяйствами. Ликвидирована полностью безработица. Реальная заработная плата по сравнению с довоенным временем увеличилась более чем вдвое. За шесть лет израсходовано 2 миллиона 110 тысяч [руб.] на жилищное строительство. Построено 154 млн кв. метров жилой площади. Открыты десятки новых учебных заведений, сотни научно-исследовательских институтов, десятки тысяч школ, больниц, домов-отдыха, клубов, читален, домов-крестьянина и др. массово-просветительных учреждений. Если мы обратимся к развитию научных дисциплин, то вы все деятели науки, находящиеся здесь можете сказать, что на ряде международных научных съездов и конгрессов, советская наука заняла далеко не последнее место.</w:t>
      </w:r>
    </w:p>
    <w:p w14:paraId="79399C4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области художественной литературы мы имеем огромный художественный рост пролетарских и крестьянских писателей. Ряд значительных произведений создан лучшей частью писателей-попутчиков, из которых многие могут быть названы союзниками пролетариата на литературном фронте. Советское художественное слово становится все более известно всему читающему миру. Развитие в СССР живописи, графики и др. видов изобразительного искусства мы имели возможность с успехом демонстрировать на наших выставках заграницей. Наши достижения в области театра, кино, музыки хорошо известны заграницей. Поездки театров Мейерхольда и Таирова, Вахтангова и др., выступления нашей музыкальной молодежи на Международном Конкурсе пианистов в Варшаве, наконец, всеми признанное значение нашего кино — все это говорит о признании нашего искусства далеко за пределами Советского Союза.</w:t>
      </w:r>
    </w:p>
    <w:p w14:paraId="322E09B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И уже эти немногие данные свидетельствуют о том, что вряд ли правы те ученые и писатели, которые заявляют, что им нужно отчего-то защищаться. От чего же — я спрашиваю — они желают защищаться? От нашей литературы, от нашей графики, от нашего театра, от нашей музыки, от нашей педагогики? Если заграницей в ряде стран наша наука и искусство удостаиваются достойной оценки, то чем объяснить такое желание «защищаться» отгородиться от нас какой-то стеной, объявлять нам культурную блокаду?</w:t>
      </w:r>
    </w:p>
    <w:p w14:paraId="2B389AD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Я думаю, что ответ на этот вопрос можно получить, если обратиться к характеристике состояния экономики и хозяйства за пределами СССР.</w:t>
      </w:r>
    </w:p>
    <w:p w14:paraId="3599C5C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Виднейшие политические деятели заграницы заявляют, что выхода из мирового кризиса не видно. Но по мнению некоторых их них, выход этот следует искать где-то на Востоке, в таких странах, как СССР, Китай, Индия.</w:t>
      </w:r>
    </w:p>
    <w:p w14:paraId="67457E0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lastRenderedPageBreak/>
        <w:t>И вот в это время СССР не только не подвергается влиянию этого экономического кризиса, но осмеливается заявлять о выполнении своей пятилетки в 4 года, осмеливается успешно осуществлять этот план. Именно в ответ на выполнение плана великих работ, на успешное строительство социализма в СССР, начинают назревать подрывные планы интервенции, теперь с величайшей явностью обнаруженные раскрытием интервенционистского заговора «Промпартии», заговора вредителей и контрреволюционеров.</w:t>
      </w:r>
    </w:p>
    <w:p w14:paraId="7000630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Вредители — кучка врагов СССР не имеющая никаких связей ни с массами пролетариата и большинством крестьянства, за исключением кулаков и спекулянтов, ни с большинством работников науки, литературы, искусства, просвещения. Вредители, не что иное, как передовой подрывной отряд тех сил, которые подготовляют интервенцию в нашей стране, которые тем самым пытаются раздуть пожар новой мировой войны. Что сказали бы деятели науки и искусства, подписавшие известный протест, если бы в их стране в момент угрозы извне нашлись бы люди, готовые взрывать мосты, расстраивать снабжение, разрушать фабрики и заводы, — все это для того, чтобы подорвать хозяйственную и военную мощь страны. Как бы назвали там этих людей, какими бы учеными званиями ни прикрывались эти люди? В какой бы стране это не случилось, подобное преступление вызвало бы такое же возмущение, каким ответила на вредительство наша советская общественность. Эти вредители преступники, враги Советского Союза и не только Советского Союза. Они занесли руку на величайшее историческое явление, — на создаваемую у нас новую культуру, являющуюся основой будущей мировой культуры.</w:t>
      </w:r>
    </w:p>
    <w:p w14:paraId="59E3DBE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Как судить этих людей? Как назвать их? У меня нет слов, для того, чтобы квалифицировать это преступление — это преступление не только перед нашей родиной, но и перед всем человечеством. И вот, в этой обстановке мы говорим нашим врагам: как бы нам ни угрожали, как бы ни пытались сорвать наше строительство, вам не сорвать его. Мы твердой и уверенной поступью идем к социализму, к построению такой культуры, какой не знало еще человечество в своей истории. Мы хотим мира и культурного сотрудничества со всеми народами, но если &lt;...&gt; горький, такой тяжелый час, когда &lt;...&gt; ряды воинов, защищающих это строительство, мы все как один человек оставим свое перо, оставим наши микроскопы, оставим наши научные &lt;...&gt; и пойдем грудью защищать социалистическое строительство и культуру СССР. Я думаю, что каждый из деятелей науки, каждый из деятелей искусства в эти дни декады обороны страны совершенно ясно и отчетливо должен представить себе обстановку сегодняшнего дня и те перспективы, которые перед нами стоят. Война против СССР стала сейчас реальной угрозой.</w:t>
      </w:r>
    </w:p>
    <w:p w14:paraId="15774CF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Мы должны быть готовы отразить нападение. Поэтому больше внимания Красной Армии — защитнице нашего мирного строительства и его повседневной участнице.</w:t>
      </w:r>
    </w:p>
    <w:p w14:paraId="1CCF52E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Да здравствует единый с пролетариатом фронт работников науки и искусства против интервенции и войны!</w:t>
      </w:r>
    </w:p>
    <w:p w14:paraId="58AB445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На защиту советской культуры и мирного строительства СССР!</w:t>
      </w:r>
    </w:p>
    <w:p w14:paraId="3D69F68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Московской Консерватории Цейтлин: «В то время, когда масса работников науки и искусства отдает вместе с пролетариатом все свои силы на гигантское строительство социализма, кучка сил, связанная с капиталистическим прошлым нашей страны и с враждебными нам иностранными кругами, предательски проводила свою преступнейшую, вредительскую подрывную работу. История подсчитывает, сколько бед пережило и переживает 150 миллионное население, по вине этих продавшихся людей.</w:t>
      </w:r>
    </w:p>
    <w:p w14:paraId="25237DF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Но интервентам и вредителям не удастся остановить строительство СССР. Десятки и сотни тысяч трудящихся защитят Советский Союз и его достижения.</w:t>
      </w:r>
    </w:p>
    <w:p w14:paraId="5DA486A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Да здравствует великое социалистическое строительство!</w:t>
      </w:r>
    </w:p>
    <w:p w14:paraId="0BCDD22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Кино-режиссер Эсфирь Шуб. — Я говорю — и это голос всех советских революционных кино-режиссеров и работников советской революционной кинематографии: все свои силы, все свое уменье, всю волю, все свое творчество мы отдадим пролетариату. И вместе с ним, рядом с ним мы будем бороться за проведение пятилетки в 4 года и за строительство социализма.</w:t>
      </w:r>
    </w:p>
    <w:p w14:paraId="7203680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И еще я говорю, как свободная гражданка Советского Союза, от имени миллионов освобожденных женщин, матерей, жен, сестер, что если интервенты заставят нас воевать, то мы миллионы освободившихся женщин станем вместе с нашими братьями в ряды Красной Армии и отдадим жизнь Союзу Социалистических Республик!</w:t>
      </w:r>
    </w:p>
    <w:p w14:paraId="07BA89D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 С. КОГАН (Президент Государственной Академии Художественных Наук). — Художник знает, что ценность общественных устремлений сказывается также на той личности, которая им служит. Что же представляют собой деятели «Промпартии»? Ведь они не могли не знать, что интервенты недаром пошлют свои войска против СССР, что наша нефть привлекает их, а вовсе не идея «спасения» нашей страны. Вредители распродавали нашу страну, следовательно и нашу культуру, и науку.</w:t>
      </w:r>
    </w:p>
    <w:p w14:paraId="1A45F67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Широчайшие массы нашего Союза приобщились к культуре и искусству. Каждый день выдвигает в СССР новых творцов новых еще невиданных, материальных и интеллектуальных ценностей. Вот что заставляет художников, например, такого великого художника, как Ромэн Роллан отстаивать нашу страну, разоблачая подготовку войны против СССР. В эти дни художники присоединяют свой голос к голосам возмущения, которые пронеслись по всему Советскому Союзу.</w:t>
      </w:r>
    </w:p>
    <w:p w14:paraId="090CD70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Да здравствует свободный художник-воин, отстаивающий наше мирное строительство от вредительских пыток, от заговоров внутри и извне!</w:t>
      </w:r>
    </w:p>
    <w:p w14:paraId="4CA2BA7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А. ЭСТРИН (Секретарь Центрального Бюро Секции Научных Работников). — Мы являемся свидетелями огромного взрыва возмущения, которое охватило не только широкие массы пролетариата и трудового крестьянства, но и широчайшие круги научной и художественной общественности. Что же мы можем сказать в ответ тем иностранным ученым и писателям, которые хотят «защищать» культуру и науку в СССР от нас самих, от строителей социализма в нашей стране? Мы являемся свидетелями того, как из года в год все больше и больше поднимаются бывшие «низы», становясь в ряды творцов культуры и науки. Десятки и сотни тысяч людей, недавно еще отрезанных от культурной жизни, в настоящее время поступают в высшие учебные заведения, в научные институты и новые кадры двигают науку, которая у нас не гибнет, а расцветает.</w:t>
      </w:r>
    </w:p>
    <w:p w14:paraId="19D7DED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Почему протестовавшие против расстрела вредителей не протестуют против того неслыханного преступления, которое угрожает миллионам людей и имя которого — интервенция, война? Все массовые собрания научных работников, писателей, художников — единодушно заявляют о том, что в борьбе, подготовляющейся нашими врагами, место научных работников и технической интеллигенции Советского Союза на стороне рабочего класса, мощно двигающегося вперед к социализму. Это наше строительство, это наша революция и мы будем всемерно ее защищать. Пусть люди, не желающие или не способные разобраться в том, что у нас происходит, продолжают твердить, что у нас нет свободы. У нас нет свободы для врагов трудящихся и не будет. Но для представителей научной мысли, которые желают выполнять свой долг — служить человечеству, народу, ибо в этом назначение науки — для таких подлинных творцов науки — у нас существует полная свобода. Если нашим врагам удастся довести до конца свое дело и напасть на нас, — мы, ученые, писатели, художники — будем защищать нашу свободную науку, наше свободное искусство и нашу свободную социалистическую родину.</w:t>
      </w:r>
    </w:p>
    <w:p w14:paraId="098CAAC3"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Режиссер Малого Театра — Н. ВОЛКОНСКИЙ. — В СССР, где строится новый мир, где наука и культура основываются на творческих достижениях миллионов, нашлись люди, направившие свою деятельность на погибель страны. Великие герои, борющиеся за освобождение человечества, веками живут в сознании людей. «Герои» интервенционистского заговора перестали существовать для нас, как только стало явным их страшное преступление. Их уничтожение — это единственно возможный выход из ими же созданного положения.</w:t>
      </w:r>
    </w:p>
    <w:p w14:paraId="747FA75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А.  ЭФРОС (Литературный и художественный критик). — «Было время, когда наши враги объявляли главной опасностью “красный империализм”. Теперь этой опасностью считается наша пятилетка и скоро настанет время, когда они эту главную и непосредственную опасность назовут просто социализмом. Мы призываем лучших людей заграницей присоединиться к Жану Ришару Блоку, автору статьи “Родина ли еще Россия”, сказавшему: “Военный &lt;...&gt; нынешней России” советского строя &lt;...&gt; на сотни лет назад».</w:t>
      </w:r>
    </w:p>
    <w:p w14:paraId="6043D72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Проф. Е. М. БРАУДО. — Пора отбросить мнение о том, что есть какое-то чистое искусство и, в частности, что таким «чистым» искусством является музыка. Музыка такой же важный участок культурного фронта, как и литература и театр. Наша музыкальная молодежь знает это и ей принадлежит почти вся работа по созданию новых музыкальных форм и по музыкальному просвещению масс. Теперь, когда враг стучит в наши ворота, не может быть тыла и в искусстве. Все на фронт активной работы. Это будет лучшим ответом на вредительство и подготовку интервенции!</w:t>
      </w:r>
    </w:p>
    <w:p w14:paraId="25A0BFB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Доктор ГИРЕНЕВСКАЯ. — От имени Хирургического Общества заявляет, что Общество в связи с опасностью интервенции выделило ударную бригаду специалистов для научной разработки вопроса полевой хирургии.</w:t>
      </w:r>
    </w:p>
    <w:p w14:paraId="22E7A833"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От имени Театра Московского Совета Профессиональных Союзов берет слово Любимов-Ланской — Заслуженный Артист Республики: — «Аполитичности нет ни в каких кругах, есть нежелающие действовать. Они стоят в стороне и ждут, что получится у других. Они ни за, ни против, и стремятся только оградить себя от опасности. Но от грозы не уйдешь. Перед нами непосредственная угроза интервенции: угроза нового моря крови. Наша задача повышать всеми силами индустриализацию страны и тем самым крепить ее обороноспособность. Мы работники театра все свои силы употребим на то, чтобы своим творчеством зажигать массы великим пафосом строительства и борьбы против всех, кто пытается взорвать нас изнутри и извне».</w:t>
      </w:r>
    </w:p>
    <w:p w14:paraId="2C2C626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Писатель Сергей ГОРОДЕЦКИЙ. — Говорит об огромных возможностях культурной работы, которые открываются с вовлечением в строительство новых масс трудящихся, нового человеческого материала. Но для того, чтобы вести эту благодарную работу, все работники науки и искусства должны отчетливо выявить свои позиции.</w:t>
      </w:r>
    </w:p>
    <w:p w14:paraId="3DC7D3E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Художник Д. П. ШТЕРЕНБЕРГ. — Нас не должно удивлять выступление группы германских ученых, ибо это наши классовые враги. От имени Федерации Пространственных Искусств я заявляю: мы мобилизуем все наши силы, чтобы дать достойный отпор всем врагам социалистического строительства.</w:t>
      </w:r>
    </w:p>
    <w:p w14:paraId="3618E72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Академик Богомолец (Президент Всеукраинской Академии Наук). — В Советском Союзе существует полное равенство всех народов. Национальные культуры достигают небывалого расцвета. Когда на Западе, где галицийские крестьяне терпят неслыханные притеснения, подымаются голоса против «преследования свободы» у нас в СССР, то мы должны понять, что это голоса наших классовых врагов. Цель их — не защитить, якобы, преследуемую у нас свободу мысли, а морально подготовить нападение на лучшие достижения нашего строительства и культуры.</w:t>
      </w:r>
    </w:p>
    <w:p w14:paraId="7468EA1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Под аплодисментами всех присутствующих писательница Вера Инбер зачитывает стихи, посвященные декаде обороны:</w:t>
      </w:r>
    </w:p>
    <w:p w14:paraId="77EA0252"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ПОЭТ ТЫ ПРИЗВАН.</w:t>
      </w:r>
    </w:p>
    <w:p w14:paraId="6767EF02"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lastRenderedPageBreak/>
        <w:t>Уродилась я слабой бабой: не подвезло</w:t>
      </w:r>
    </w:p>
    <w:p w14:paraId="19491D3C"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Природа подстроила подло.</w:t>
      </w:r>
    </w:p>
    <w:p w14:paraId="24F343CA"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Ни коня обуздать, ни приладить седло:</w:t>
      </w:r>
    </w:p>
    <w:p w14:paraId="237C70AE"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Они ведь тяжелые — седла.</w:t>
      </w:r>
    </w:p>
    <w:p w14:paraId="77FB83F2"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Вряд ли рады мне будут в полку.</w:t>
      </w:r>
    </w:p>
    <w:p w14:paraId="0701D8B9"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У меня ухватка не боевая.</w:t>
      </w:r>
    </w:p>
    <w:p w14:paraId="6CE3E3C8"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Перо держать — это я могу.</w:t>
      </w:r>
    </w:p>
    <w:p w14:paraId="7DA660CB"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А винтовку — я сомневаюсь.</w:t>
      </w:r>
    </w:p>
    <w:p w14:paraId="72DC56BC"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Но перо де[рж]ать — это я могу.</w:t>
      </w:r>
    </w:p>
    <w:p w14:paraId="09F86868"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Товарищ, это наше дело.</w:t>
      </w:r>
    </w:p>
    <w:p w14:paraId="19CA05DF"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Так заставить лететь строку,</w:t>
      </w:r>
    </w:p>
    <w:p w14:paraId="764FF64E"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Чтоб пулей она летела.</w:t>
      </w:r>
    </w:p>
    <w:p w14:paraId="74A8F44F"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Не для того же тринадцать лет</w:t>
      </w:r>
    </w:p>
    <w:p w14:paraId="10B18326"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(Как видите срок не мал),</w:t>
      </w:r>
    </w:p>
    <w:p w14:paraId="0500F371"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Страна растила тебя, поэт,</w:t>
      </w:r>
    </w:p>
    <w:p w14:paraId="1087F717"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Чтобы ты теперь молчал.</w:t>
      </w:r>
    </w:p>
    <w:p w14:paraId="4B1EFA4E"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Поэт, ты призван. Ты под словом,</w:t>
      </w:r>
    </w:p>
    <w:p w14:paraId="7E757114"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Как под ружьем, стоишь в строю.</w:t>
      </w:r>
    </w:p>
    <w:p w14:paraId="7A7FF7EF"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Ты тоже мобилизован</w:t>
      </w:r>
    </w:p>
    <w:p w14:paraId="1A578CC7"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Защищать страну.</w:t>
      </w:r>
    </w:p>
    <w:p w14:paraId="2BC078FF"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Товарищи, пером стальным</w:t>
      </w:r>
    </w:p>
    <w:p w14:paraId="11EEAC26"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Мы подчеркнем: Союз громаден.</w:t>
      </w:r>
    </w:p>
    <w:p w14:paraId="0C4EFBA9"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Чужой земли мы не хотим,</w:t>
      </w:r>
    </w:p>
    <w:p w14:paraId="4D192B4E"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Но и своей не отдадим,</w:t>
      </w:r>
    </w:p>
    <w:p w14:paraId="599F2FEB"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Как было сказано,</w:t>
      </w:r>
    </w:p>
    <w:p w14:paraId="4AFE2961"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Ни пяди.</w:t>
      </w:r>
    </w:p>
    <w:p w14:paraId="1386545E"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2. С. 1-7. (Данный выпуск бюллетеня был напечатан и полностью разослан до 18 декабря 1930 г. ГА РФ. Р-5283. On. 1.Д. 139. Л. 76,84.) (18954).</w:t>
      </w:r>
    </w:p>
    <w:p w14:paraId="235F63BB" w14:textId="77777777" w:rsidR="0041096C" w:rsidRPr="00507A31" w:rsidRDefault="0041096C" w:rsidP="00507A31">
      <w:pPr>
        <w:jc w:val="both"/>
        <w:rPr>
          <w:color w:val="000000" w:themeColor="text1"/>
          <w:sz w:val="16"/>
          <w:szCs w:val="16"/>
        </w:rPr>
      </w:pPr>
    </w:p>
    <w:p w14:paraId="1D81BEA6" w14:textId="77777777" w:rsidR="0041096C" w:rsidRPr="00507A31" w:rsidRDefault="0041096C"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157BA53F" w14:textId="77777777" w:rsidR="0041096C" w:rsidRPr="00507A31" w:rsidRDefault="0041096C" w:rsidP="00507A31">
      <w:pPr>
        <w:autoSpaceDE w:val="0"/>
        <w:autoSpaceDN w:val="0"/>
        <w:adjustRightInd w:val="0"/>
        <w:jc w:val="both"/>
        <w:rPr>
          <w:iCs/>
          <w:color w:val="000000" w:themeColor="text1"/>
          <w:sz w:val="16"/>
          <w:szCs w:val="16"/>
        </w:rPr>
      </w:pPr>
    </w:p>
    <w:p w14:paraId="437F2B8B" w14:textId="77777777" w:rsidR="0041096C" w:rsidRPr="00507A31" w:rsidRDefault="0041096C" w:rsidP="00507A31">
      <w:pPr>
        <w:jc w:val="both"/>
        <w:rPr>
          <w:bCs/>
          <w:color w:val="000000" w:themeColor="text1"/>
          <w:sz w:val="16"/>
          <w:szCs w:val="16"/>
        </w:rPr>
      </w:pPr>
      <w:r w:rsidRPr="00507A31">
        <w:rPr>
          <w:color w:val="000000" w:themeColor="text1"/>
          <w:sz w:val="16"/>
          <w:szCs w:val="16"/>
        </w:rPr>
        <w:t>23 ноября 1930 г.</w:t>
      </w:r>
    </w:p>
    <w:p w14:paraId="00B63C2E" w14:textId="77777777" w:rsidR="0041096C" w:rsidRPr="00507A31" w:rsidRDefault="0041096C" w:rsidP="00507A31">
      <w:pPr>
        <w:jc w:val="both"/>
        <w:rPr>
          <w:bCs/>
          <w:color w:val="000000" w:themeColor="text1"/>
          <w:sz w:val="16"/>
          <w:szCs w:val="16"/>
        </w:rPr>
      </w:pPr>
      <w:r w:rsidRPr="00507A31">
        <w:rPr>
          <w:color w:val="000000" w:themeColor="text1"/>
          <w:sz w:val="16"/>
          <w:szCs w:val="16"/>
        </w:rPr>
        <w:t>Пояснительная записка по организации митинга ВОКС в ЦЕКУБУ. 23 ноября 1930 г.</w:t>
      </w:r>
    </w:p>
    <w:p w14:paraId="6A2F6B87"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383D0A70"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8C63B50"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Не позднее 23 ноября 1930 г.</w:t>
      </w:r>
    </w:p>
    <w:p w14:paraId="07DE30A0" w14:textId="77777777" w:rsidR="0041096C" w:rsidRPr="00507A31" w:rsidRDefault="0041096C" w:rsidP="00507A31">
      <w:pPr>
        <w:pStyle w:val="rtecenter"/>
        <w:spacing w:before="0" w:after="0"/>
        <w:jc w:val="both"/>
        <w:rPr>
          <w:color w:val="000000" w:themeColor="text1"/>
          <w:sz w:val="16"/>
          <w:szCs w:val="16"/>
        </w:rPr>
      </w:pPr>
      <w:r w:rsidRPr="00507A31">
        <w:rPr>
          <w:color w:val="000000" w:themeColor="text1"/>
          <w:sz w:val="16"/>
          <w:szCs w:val="16"/>
        </w:rPr>
        <w:t>ПОЯСНЕНИЕ ПОВЕСТКИ ДНЯ ДЛЯ МИТИНГА,</w:t>
      </w:r>
    </w:p>
    <w:p w14:paraId="71FC2551" w14:textId="77777777" w:rsidR="0041096C" w:rsidRPr="00507A31" w:rsidRDefault="0041096C" w:rsidP="00507A31">
      <w:pPr>
        <w:pStyle w:val="rtecenter"/>
        <w:spacing w:before="0" w:after="0"/>
        <w:jc w:val="both"/>
        <w:rPr>
          <w:color w:val="000000" w:themeColor="text1"/>
          <w:sz w:val="16"/>
          <w:szCs w:val="16"/>
        </w:rPr>
      </w:pPr>
      <w:r w:rsidRPr="00507A31">
        <w:rPr>
          <w:color w:val="000000" w:themeColor="text1"/>
          <w:sz w:val="16"/>
          <w:szCs w:val="16"/>
        </w:rPr>
        <w:t>СОЗЫВАЕМОГО ВОКСом 23 ноября 1930 г. в ЦЕКУБУ</w:t>
      </w:r>
    </w:p>
    <w:p w14:paraId="7130814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Начинающийся 25/XI процесс контрреволюционной Торгово-Промышленной партии дает советским ученым и художникам лишний повод для [того, чтобы] выявить свое отношение к советской власти, с одной, к ее врагам — с другой стороны.</w:t>
      </w:r>
    </w:p>
    <w:p w14:paraId="6CDD179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За 13 лет существования советской власти подавляющее большинство работников науки, техники и искусства в СССР тесно срослось с делом революции, со строительством социализма. Подавляющее большинство их сознает, что только социализм открывает действительные перспективы для мощного развития науки и искусства. Это видно в любой области.</w:t>
      </w:r>
    </w:p>
    <w:p w14:paraId="78DF446F"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Но успешное развитие социалистического строительства, в частности, в области культурной, т. е. в области науки и искусства, вызывает бешеную ненависть всех врагов социализма. Враги внешние смыкаются с врагами внутренними. С одной стороны, вожди мировой реакции во главе с Пуанкаре, Брианом и компанией готовят вооруженную интервенцию против Советского Союза. С другой стороны, они находят себе проводников и помощников внутри самого Советского Союза в лице элементов, связанных с капиталистическим прошлым России, особенно среди части научно-технических сил. Это ярко было вскрыто в обвинительном акте Торгово-Промышленной партии станет еще более наглядным на предстоящем процессе вредителей.</w:t>
      </w:r>
    </w:p>
    <w:p w14:paraId="2851604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Советские работники науки, техники и искусства обращаются с горячим призывом к своим собратьям за рубежом. Мы знаем, что значительная часть из вас осознала значение социалистического строительства в СССР, поняла и оценила, что здесь, в СССР, создаются новые человеческие отношения, новая культура. Тем не менее, к сожалению, известная часть передовых кругов западно-европейских деятелей науки и искусства выступила с протестом против принимаемых советской властью против вредителей мер.</w:t>
      </w:r>
    </w:p>
    <w:p w14:paraId="54E6F9F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Мы призываем вас в это ответственное и критическое время обдумать создавшееся положение и понять, что ваше выступление в пользу вредителей является объективно ударом против строительства социализма. Вы, быть может, хотели своим выступлением помочь науке, технике и искусству в СССР. Но ваше выступление на самом деле, объективно, оказывает поддержку тем, которые готовили войну с опорой на вредителей. Мы призываем вас еще раз взвесить все обстоятельства и вместе с нами выступить против подготовки интервенции и внутреннего вредительства. Преступления вредителей являются преступлениями перед всем грядущим человечеством, и нет меры наказания, достойной этого преступления.</w:t>
      </w:r>
    </w:p>
    <w:p w14:paraId="3C10CD8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Война против Советского Союза направлена против культурных достижений социалистического строительства, против новой небывалой культуры, которая призвана возродить весь мир. Точно так же вредительство контр-революционных научно-технических работников направлено против хозяйственно-культурных успехов и достижений социализма, осуществленных трудящимися СССР под руководством пролетариата. Тем самым контр-революционные вредители выступают не только против социализма, но против науки как таковой, ибо наука призвана созидать, а не уничтожать. И именно при социализме перед наукой открываются необъятные перспективы.</w:t>
      </w:r>
    </w:p>
    <w:p w14:paraId="6BA9887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Но у контр-революционных вредителей нет иного выхода. Опоры в массах у них нет. Поэтому они могут выступать только против осуществляющегося величайшего строительства и опираться в своей борьбе на зарубежные реакционные силы. В этом их слабость, в этом залог их неизбежного провала.</w:t>
      </w:r>
    </w:p>
    <w:p w14:paraId="61E5F21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Война против Советского Союза стала реальной опасностью, с более или менее точно определенными сроками. В этих условиях задача всех честных передовых работников науки и искусства всеми силами противодействовать войне и выступать за мирное, культурное содружество народов.</w:t>
      </w:r>
    </w:p>
    <w:p w14:paraId="4D850557"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ГА</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P-5283. On. 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139. </w:t>
      </w:r>
      <w:r w:rsidRPr="00507A31">
        <w:rPr>
          <w:rStyle w:val="af0"/>
          <w:i w:val="0"/>
          <w:color w:val="000000" w:themeColor="text1"/>
          <w:sz w:val="16"/>
          <w:szCs w:val="16"/>
        </w:rPr>
        <w:t>Л</w:t>
      </w:r>
      <w:r w:rsidRPr="00507A31">
        <w:rPr>
          <w:rStyle w:val="af0"/>
          <w:i w:val="0"/>
          <w:color w:val="000000" w:themeColor="text1"/>
          <w:sz w:val="16"/>
          <w:szCs w:val="16"/>
          <w:lang w:val="en-US"/>
        </w:rPr>
        <w:t xml:space="preserve">. 16, 18. </w:t>
      </w:r>
      <w:r w:rsidRPr="00507A31">
        <w:rPr>
          <w:rStyle w:val="af0"/>
          <w:i w:val="0"/>
          <w:color w:val="000000" w:themeColor="text1"/>
          <w:sz w:val="16"/>
          <w:szCs w:val="16"/>
        </w:rPr>
        <w:t>Машинописная копия того времени. Датируется по содержанию (18909).</w:t>
      </w:r>
    </w:p>
    <w:p w14:paraId="032AC229" w14:textId="77777777" w:rsidR="0041096C" w:rsidRPr="00507A31" w:rsidRDefault="0041096C" w:rsidP="00507A31">
      <w:pPr>
        <w:jc w:val="both"/>
        <w:rPr>
          <w:color w:val="000000" w:themeColor="text1"/>
          <w:sz w:val="16"/>
          <w:szCs w:val="16"/>
        </w:rPr>
      </w:pPr>
    </w:p>
    <w:p w14:paraId="1A67536C" w14:textId="77777777" w:rsidR="0041096C" w:rsidRPr="00507A31" w:rsidRDefault="0041096C" w:rsidP="00507A31">
      <w:pPr>
        <w:jc w:val="both"/>
        <w:rPr>
          <w:bCs/>
          <w:color w:val="000000" w:themeColor="text1"/>
          <w:sz w:val="16"/>
          <w:szCs w:val="16"/>
        </w:rPr>
      </w:pPr>
      <w:r w:rsidRPr="00507A31">
        <w:rPr>
          <w:color w:val="000000" w:themeColor="text1"/>
          <w:sz w:val="16"/>
          <w:szCs w:val="16"/>
        </w:rPr>
        <w:t>23 ноября 1930 г.</w:t>
      </w:r>
    </w:p>
    <w:p w14:paraId="08F81661" w14:textId="77777777" w:rsidR="0041096C" w:rsidRPr="00507A31" w:rsidRDefault="0041096C" w:rsidP="00507A31">
      <w:pPr>
        <w:jc w:val="both"/>
        <w:rPr>
          <w:bCs/>
          <w:color w:val="000000" w:themeColor="text1"/>
          <w:sz w:val="16"/>
          <w:szCs w:val="16"/>
        </w:rPr>
      </w:pPr>
      <w:r w:rsidRPr="00507A31">
        <w:rPr>
          <w:color w:val="000000" w:themeColor="text1"/>
          <w:sz w:val="16"/>
          <w:szCs w:val="16"/>
        </w:rPr>
        <w:t>Список участников митинга в ЦЕКУБУ, организованного ВОКСом. 23 ноября 1930 г.</w:t>
      </w:r>
    </w:p>
    <w:p w14:paraId="307F3DF0"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1C77EA98"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6F8ADB"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Не позднее 23 ноября 1930 г.</w:t>
      </w:r>
    </w:p>
    <w:p w14:paraId="352ED1E5"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МИТИНГ</w:t>
      </w:r>
    </w:p>
    <w:p w14:paraId="60370BF7"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ПОСВЯЩЕННЫЙ ДЕКАДЕ ОБОРОНЫ, УСТРАИВАЕМЫЙ ВОКС</w:t>
      </w:r>
    </w:p>
    <w:p w14:paraId="3AD2F166"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СОВМЕСТНО С РАБОТНИКАМИ НАУКИ И ИСКУССТВА,</w:t>
      </w:r>
    </w:p>
    <w:p w14:paraId="4983BAC2"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ОБЪЕДИНЕННЫМИ В НАУЧНО-ТЕХНИЧЕСКОМ</w:t>
      </w:r>
    </w:p>
    <w:p w14:paraId="5DA0831C"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И ХУДОЖЕСТВЕННОМ СЕКТОРАХ ВОКС, В ЦЕКУБУ 23.XI.30 г.</w:t>
      </w:r>
    </w:p>
    <w:p w14:paraId="71D2B2D1"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ПРЕЗИДИУМ.</w:t>
      </w:r>
    </w:p>
    <w:p w14:paraId="3B230079" w14:textId="77777777" w:rsidR="0041096C" w:rsidRPr="00507A31" w:rsidRDefault="0041096C" w:rsidP="00507A31">
      <w:pPr>
        <w:jc w:val="both"/>
        <w:rPr>
          <w:color w:val="000000" w:themeColor="text1"/>
          <w:sz w:val="16"/>
          <w:szCs w:val="16"/>
        </w:rPr>
      </w:pPr>
      <w:r w:rsidRPr="00507A31">
        <w:rPr>
          <w:color w:val="000000" w:themeColor="text1"/>
          <w:sz w:val="16"/>
          <w:szCs w:val="16"/>
        </w:rPr>
        <w:t>I) НАУЧНО-ТЕХНИЧЕСКИЙ СЕКТОР ВОКС.</w:t>
      </w:r>
    </w:p>
    <w:p w14:paraId="48D6083C" w14:textId="77777777" w:rsidR="0041096C" w:rsidRPr="00507A31" w:rsidRDefault="0041096C" w:rsidP="00507A31">
      <w:pPr>
        <w:jc w:val="both"/>
        <w:rPr>
          <w:color w:val="000000" w:themeColor="text1"/>
          <w:sz w:val="16"/>
          <w:szCs w:val="16"/>
        </w:rPr>
      </w:pPr>
      <w:r w:rsidRPr="00507A31">
        <w:rPr>
          <w:color w:val="000000" w:themeColor="text1"/>
          <w:sz w:val="16"/>
          <w:szCs w:val="16"/>
        </w:rPr>
        <w:t>1) т. ЭСТРИН ЦЕКПРОС.</w:t>
      </w:r>
    </w:p>
    <w:p w14:paraId="5606BD50" w14:textId="77777777" w:rsidR="0041096C" w:rsidRPr="00507A31" w:rsidRDefault="0041096C" w:rsidP="00507A31">
      <w:pPr>
        <w:jc w:val="both"/>
        <w:rPr>
          <w:color w:val="000000" w:themeColor="text1"/>
          <w:sz w:val="16"/>
          <w:szCs w:val="16"/>
        </w:rPr>
      </w:pPr>
      <w:r w:rsidRPr="00507A31">
        <w:rPr>
          <w:color w:val="000000" w:themeColor="text1"/>
          <w:sz w:val="16"/>
          <w:szCs w:val="16"/>
        </w:rPr>
        <w:t>2) т. МЕХОНОШИНА (или т. КУЧИНСКИЙ)</w:t>
      </w:r>
    </w:p>
    <w:p w14:paraId="5B9985E5" w14:textId="77777777" w:rsidR="0041096C" w:rsidRPr="00507A31" w:rsidRDefault="0041096C" w:rsidP="00507A31">
      <w:pPr>
        <w:jc w:val="both"/>
        <w:rPr>
          <w:color w:val="000000" w:themeColor="text1"/>
          <w:sz w:val="16"/>
          <w:szCs w:val="16"/>
        </w:rPr>
      </w:pPr>
      <w:r w:rsidRPr="00507A31">
        <w:rPr>
          <w:color w:val="000000" w:themeColor="text1"/>
          <w:sz w:val="16"/>
          <w:szCs w:val="16"/>
        </w:rPr>
        <w:t>3) т. СВЕРДЛОВ В. М. ВАРНИТСО.</w:t>
      </w:r>
    </w:p>
    <w:p w14:paraId="2BB2883F" w14:textId="77777777" w:rsidR="0041096C" w:rsidRPr="00507A31" w:rsidRDefault="0041096C" w:rsidP="00507A31">
      <w:pPr>
        <w:jc w:val="both"/>
        <w:rPr>
          <w:color w:val="000000" w:themeColor="text1"/>
          <w:sz w:val="16"/>
          <w:szCs w:val="16"/>
        </w:rPr>
      </w:pPr>
      <w:r w:rsidRPr="00507A31">
        <w:rPr>
          <w:color w:val="000000" w:themeColor="text1"/>
          <w:sz w:val="16"/>
          <w:szCs w:val="16"/>
        </w:rPr>
        <w:lastRenderedPageBreak/>
        <w:t>4) т. ЗАВАДОВСКИЙ</w:t>
      </w:r>
    </w:p>
    <w:p w14:paraId="7B219B7F" w14:textId="77777777" w:rsidR="0041096C" w:rsidRPr="00507A31" w:rsidRDefault="0041096C" w:rsidP="00507A31">
      <w:pPr>
        <w:jc w:val="both"/>
        <w:rPr>
          <w:color w:val="000000" w:themeColor="text1"/>
          <w:sz w:val="16"/>
          <w:szCs w:val="16"/>
        </w:rPr>
      </w:pPr>
      <w:r w:rsidRPr="00507A31">
        <w:rPr>
          <w:color w:val="000000" w:themeColor="text1"/>
          <w:sz w:val="16"/>
          <w:szCs w:val="16"/>
        </w:rPr>
        <w:t>5) т. ЗБАРСКИЙ</w:t>
      </w:r>
    </w:p>
    <w:p w14:paraId="53574355" w14:textId="77777777" w:rsidR="0041096C" w:rsidRPr="00507A31" w:rsidRDefault="0041096C" w:rsidP="00507A31">
      <w:pPr>
        <w:jc w:val="both"/>
        <w:rPr>
          <w:color w:val="000000" w:themeColor="text1"/>
          <w:sz w:val="16"/>
          <w:szCs w:val="16"/>
        </w:rPr>
      </w:pPr>
      <w:r w:rsidRPr="00507A31">
        <w:rPr>
          <w:color w:val="000000" w:themeColor="text1"/>
          <w:sz w:val="16"/>
          <w:szCs w:val="16"/>
        </w:rPr>
        <w:t>6) т. ФИШГЕНДЛЕР ОБЛПРОС.</w:t>
      </w:r>
    </w:p>
    <w:p w14:paraId="55BEF8CE" w14:textId="77777777" w:rsidR="0041096C" w:rsidRPr="00507A31" w:rsidRDefault="0041096C" w:rsidP="00507A31">
      <w:pPr>
        <w:jc w:val="both"/>
        <w:rPr>
          <w:color w:val="000000" w:themeColor="text1"/>
          <w:sz w:val="16"/>
          <w:szCs w:val="16"/>
        </w:rPr>
      </w:pPr>
      <w:r w:rsidRPr="00507A31">
        <w:rPr>
          <w:color w:val="000000" w:themeColor="text1"/>
          <w:sz w:val="16"/>
          <w:szCs w:val="16"/>
        </w:rPr>
        <w:t>7) т. ЗЕРНОВ</w:t>
      </w:r>
    </w:p>
    <w:p w14:paraId="1A5BEA61" w14:textId="77777777" w:rsidR="0041096C" w:rsidRPr="00507A31" w:rsidRDefault="0041096C" w:rsidP="00507A31">
      <w:pPr>
        <w:jc w:val="both"/>
        <w:rPr>
          <w:color w:val="000000" w:themeColor="text1"/>
          <w:sz w:val="16"/>
          <w:szCs w:val="16"/>
        </w:rPr>
      </w:pPr>
      <w:r w:rsidRPr="00507A31">
        <w:rPr>
          <w:color w:val="000000" w:themeColor="text1"/>
          <w:sz w:val="16"/>
          <w:szCs w:val="16"/>
        </w:rPr>
        <w:t>8) т. АБРИКОСОВ</w:t>
      </w:r>
    </w:p>
    <w:p w14:paraId="533B4229" w14:textId="77777777" w:rsidR="0041096C" w:rsidRPr="00507A31" w:rsidRDefault="0041096C" w:rsidP="00507A31">
      <w:pPr>
        <w:jc w:val="both"/>
        <w:rPr>
          <w:color w:val="000000" w:themeColor="text1"/>
          <w:sz w:val="16"/>
          <w:szCs w:val="16"/>
        </w:rPr>
      </w:pPr>
      <w:r w:rsidRPr="00507A31">
        <w:rPr>
          <w:color w:val="000000" w:themeColor="text1"/>
          <w:sz w:val="16"/>
          <w:szCs w:val="16"/>
        </w:rPr>
        <w:t>9) т. БАХ</w:t>
      </w:r>
    </w:p>
    <w:p w14:paraId="2365FE35" w14:textId="77777777" w:rsidR="0041096C" w:rsidRPr="00507A31" w:rsidRDefault="0041096C" w:rsidP="00507A31">
      <w:pPr>
        <w:jc w:val="both"/>
        <w:rPr>
          <w:color w:val="000000" w:themeColor="text1"/>
          <w:sz w:val="16"/>
          <w:szCs w:val="16"/>
        </w:rPr>
      </w:pPr>
      <w:r w:rsidRPr="00507A31">
        <w:rPr>
          <w:color w:val="000000" w:themeColor="text1"/>
          <w:sz w:val="16"/>
          <w:szCs w:val="16"/>
        </w:rPr>
        <w:t>10) т. ЛАЗАРЕВ</w:t>
      </w:r>
    </w:p>
    <w:p w14:paraId="1AD5EC88" w14:textId="77777777" w:rsidR="0041096C" w:rsidRPr="00507A31" w:rsidRDefault="0041096C" w:rsidP="00507A31">
      <w:pPr>
        <w:jc w:val="both"/>
        <w:rPr>
          <w:color w:val="000000" w:themeColor="text1"/>
          <w:sz w:val="16"/>
          <w:szCs w:val="16"/>
        </w:rPr>
      </w:pPr>
      <w:r w:rsidRPr="00507A31">
        <w:rPr>
          <w:color w:val="000000" w:themeColor="text1"/>
          <w:sz w:val="16"/>
          <w:szCs w:val="16"/>
        </w:rPr>
        <w:t>11) т. ЛАПИРОВ-СКОБЛО</w:t>
      </w:r>
    </w:p>
    <w:p w14:paraId="1BDFD681" w14:textId="77777777" w:rsidR="0041096C" w:rsidRPr="00507A31" w:rsidRDefault="0041096C" w:rsidP="00507A31">
      <w:pPr>
        <w:jc w:val="both"/>
        <w:rPr>
          <w:color w:val="000000" w:themeColor="text1"/>
          <w:sz w:val="16"/>
          <w:szCs w:val="16"/>
        </w:rPr>
      </w:pPr>
      <w:r w:rsidRPr="00507A31">
        <w:rPr>
          <w:color w:val="000000" w:themeColor="text1"/>
          <w:sz w:val="16"/>
          <w:szCs w:val="16"/>
        </w:rPr>
        <w:t>12) т. ИВАНОВ</w:t>
      </w:r>
    </w:p>
    <w:p w14:paraId="7534D612" w14:textId="77777777" w:rsidR="0041096C" w:rsidRPr="00507A31" w:rsidRDefault="0041096C" w:rsidP="00507A31">
      <w:pPr>
        <w:jc w:val="both"/>
        <w:rPr>
          <w:color w:val="000000" w:themeColor="text1"/>
          <w:sz w:val="16"/>
          <w:szCs w:val="16"/>
        </w:rPr>
      </w:pPr>
      <w:r w:rsidRPr="00507A31">
        <w:rPr>
          <w:color w:val="000000" w:themeColor="text1"/>
          <w:sz w:val="16"/>
          <w:szCs w:val="16"/>
        </w:rPr>
        <w:t>13) т. БРОННЕР</w:t>
      </w:r>
    </w:p>
    <w:p w14:paraId="07056E1F" w14:textId="77777777" w:rsidR="0041096C" w:rsidRPr="00507A31" w:rsidRDefault="0041096C" w:rsidP="00507A31">
      <w:pPr>
        <w:jc w:val="both"/>
        <w:rPr>
          <w:color w:val="000000" w:themeColor="text1"/>
          <w:sz w:val="16"/>
          <w:szCs w:val="16"/>
        </w:rPr>
      </w:pPr>
      <w:r w:rsidRPr="00507A31">
        <w:rPr>
          <w:color w:val="000000" w:themeColor="text1"/>
          <w:sz w:val="16"/>
          <w:szCs w:val="16"/>
        </w:rPr>
        <w:t>14) т. БРАУДЕ</w:t>
      </w:r>
    </w:p>
    <w:p w14:paraId="765E5F38" w14:textId="77777777" w:rsidR="0041096C" w:rsidRPr="00507A31" w:rsidRDefault="0041096C" w:rsidP="00507A31">
      <w:pPr>
        <w:jc w:val="both"/>
        <w:rPr>
          <w:color w:val="000000" w:themeColor="text1"/>
          <w:sz w:val="16"/>
          <w:szCs w:val="16"/>
        </w:rPr>
      </w:pPr>
      <w:r w:rsidRPr="00507A31">
        <w:rPr>
          <w:color w:val="000000" w:themeColor="text1"/>
          <w:sz w:val="16"/>
          <w:szCs w:val="16"/>
        </w:rPr>
        <w:t>15) т. БОРОЗДИН</w:t>
      </w:r>
    </w:p>
    <w:p w14:paraId="1D77DDE2" w14:textId="77777777" w:rsidR="0041096C" w:rsidRPr="00507A31" w:rsidRDefault="0041096C" w:rsidP="00507A31">
      <w:pPr>
        <w:jc w:val="both"/>
        <w:rPr>
          <w:color w:val="000000" w:themeColor="text1"/>
          <w:sz w:val="16"/>
          <w:szCs w:val="16"/>
        </w:rPr>
      </w:pPr>
      <w:r w:rsidRPr="00507A31">
        <w:rPr>
          <w:color w:val="000000" w:themeColor="text1"/>
          <w:sz w:val="16"/>
          <w:szCs w:val="16"/>
        </w:rPr>
        <w:t>16) т. ПИНКЕВИЧ</w:t>
      </w:r>
    </w:p>
    <w:p w14:paraId="1A87E85E" w14:textId="77777777" w:rsidR="0041096C" w:rsidRPr="00507A31" w:rsidRDefault="0041096C" w:rsidP="00507A31">
      <w:pPr>
        <w:jc w:val="both"/>
        <w:rPr>
          <w:color w:val="000000" w:themeColor="text1"/>
          <w:sz w:val="16"/>
          <w:szCs w:val="16"/>
        </w:rPr>
      </w:pPr>
      <w:r w:rsidRPr="00507A31">
        <w:rPr>
          <w:color w:val="000000" w:themeColor="text1"/>
          <w:sz w:val="16"/>
          <w:szCs w:val="16"/>
        </w:rPr>
        <w:t>2) ХУДОЖЕСТВЕННЫЙ СЕКТОР ВОКС</w:t>
      </w:r>
    </w:p>
    <w:p w14:paraId="6AEA19A4" w14:textId="77777777" w:rsidR="0041096C" w:rsidRPr="00507A31" w:rsidRDefault="0041096C" w:rsidP="00507A31">
      <w:pPr>
        <w:jc w:val="both"/>
        <w:rPr>
          <w:color w:val="000000" w:themeColor="text1"/>
          <w:sz w:val="16"/>
          <w:szCs w:val="16"/>
        </w:rPr>
      </w:pPr>
      <w:r w:rsidRPr="00507A31">
        <w:rPr>
          <w:color w:val="000000" w:themeColor="text1"/>
          <w:sz w:val="16"/>
          <w:szCs w:val="16"/>
        </w:rPr>
        <w:t>а) Теа-секция.</w:t>
      </w:r>
    </w:p>
    <w:p w14:paraId="31E68AF6" w14:textId="77777777" w:rsidR="0041096C" w:rsidRPr="00507A31" w:rsidRDefault="0041096C" w:rsidP="00507A31">
      <w:pPr>
        <w:jc w:val="both"/>
        <w:rPr>
          <w:color w:val="000000" w:themeColor="text1"/>
          <w:sz w:val="16"/>
          <w:szCs w:val="16"/>
        </w:rPr>
      </w:pPr>
      <w:r w:rsidRPr="00507A31">
        <w:rPr>
          <w:color w:val="000000" w:themeColor="text1"/>
          <w:sz w:val="16"/>
          <w:szCs w:val="16"/>
        </w:rPr>
        <w:t>1) т. ШАМАРДИНА (ЦКРабис)</w:t>
      </w:r>
    </w:p>
    <w:p w14:paraId="746DC5DF" w14:textId="77777777" w:rsidR="0041096C" w:rsidRPr="00507A31" w:rsidRDefault="0041096C" w:rsidP="00507A31">
      <w:pPr>
        <w:jc w:val="both"/>
        <w:rPr>
          <w:color w:val="000000" w:themeColor="text1"/>
          <w:sz w:val="16"/>
          <w:szCs w:val="16"/>
        </w:rPr>
      </w:pPr>
      <w:r w:rsidRPr="00507A31">
        <w:rPr>
          <w:color w:val="000000" w:themeColor="text1"/>
          <w:sz w:val="16"/>
          <w:szCs w:val="16"/>
        </w:rPr>
        <w:t>2) т. МЕЙЕРХОЛЬД</w:t>
      </w:r>
    </w:p>
    <w:p w14:paraId="324CF94B" w14:textId="77777777" w:rsidR="0041096C" w:rsidRPr="00507A31" w:rsidRDefault="0041096C" w:rsidP="00507A31">
      <w:pPr>
        <w:jc w:val="both"/>
        <w:rPr>
          <w:color w:val="000000" w:themeColor="text1"/>
          <w:sz w:val="16"/>
          <w:szCs w:val="16"/>
        </w:rPr>
      </w:pPr>
      <w:r w:rsidRPr="00507A31">
        <w:rPr>
          <w:color w:val="000000" w:themeColor="text1"/>
          <w:sz w:val="16"/>
          <w:szCs w:val="16"/>
        </w:rPr>
        <w:t>3) т. ЛЮБИМОВ-ЛАНСКОЙ (Т-р МОСПС)</w:t>
      </w:r>
    </w:p>
    <w:p w14:paraId="4E0480B2" w14:textId="77777777" w:rsidR="0041096C" w:rsidRPr="00507A31" w:rsidRDefault="0041096C" w:rsidP="00507A31">
      <w:pPr>
        <w:jc w:val="both"/>
        <w:rPr>
          <w:color w:val="000000" w:themeColor="text1"/>
          <w:sz w:val="16"/>
          <w:szCs w:val="16"/>
        </w:rPr>
      </w:pPr>
      <w:r w:rsidRPr="00507A31">
        <w:rPr>
          <w:color w:val="000000" w:themeColor="text1"/>
          <w:sz w:val="16"/>
          <w:szCs w:val="16"/>
        </w:rPr>
        <w:t>4) т. ВОЛКОНСКИЙ (Малый театр)</w:t>
      </w:r>
    </w:p>
    <w:p w14:paraId="1DCA0D53" w14:textId="77777777" w:rsidR="0041096C" w:rsidRPr="00507A31" w:rsidRDefault="0041096C" w:rsidP="00507A31">
      <w:pPr>
        <w:jc w:val="both"/>
        <w:rPr>
          <w:color w:val="000000" w:themeColor="text1"/>
          <w:sz w:val="16"/>
          <w:szCs w:val="16"/>
        </w:rPr>
      </w:pPr>
      <w:r w:rsidRPr="00507A31">
        <w:rPr>
          <w:color w:val="000000" w:themeColor="text1"/>
          <w:sz w:val="16"/>
          <w:szCs w:val="16"/>
        </w:rPr>
        <w:t>5) т. АЛЕКСАНДРОВ (2-й ГМХТ)</w:t>
      </w:r>
    </w:p>
    <w:p w14:paraId="6B6DE8C4" w14:textId="77777777" w:rsidR="0041096C" w:rsidRPr="00507A31" w:rsidRDefault="0041096C" w:rsidP="00507A31">
      <w:pPr>
        <w:jc w:val="both"/>
        <w:rPr>
          <w:color w:val="000000" w:themeColor="text1"/>
          <w:sz w:val="16"/>
          <w:szCs w:val="16"/>
        </w:rPr>
      </w:pPr>
      <w:r w:rsidRPr="00507A31">
        <w:rPr>
          <w:color w:val="000000" w:themeColor="text1"/>
          <w:sz w:val="16"/>
          <w:szCs w:val="16"/>
        </w:rPr>
        <w:t>б) Муз.-секция</w:t>
      </w:r>
    </w:p>
    <w:p w14:paraId="72878935" w14:textId="77777777" w:rsidR="0041096C" w:rsidRPr="00507A31" w:rsidRDefault="0041096C" w:rsidP="00507A31">
      <w:pPr>
        <w:jc w:val="both"/>
        <w:rPr>
          <w:color w:val="000000" w:themeColor="text1"/>
          <w:sz w:val="16"/>
          <w:szCs w:val="16"/>
        </w:rPr>
      </w:pPr>
      <w:r w:rsidRPr="00507A31">
        <w:rPr>
          <w:color w:val="000000" w:themeColor="text1"/>
          <w:sz w:val="16"/>
          <w:szCs w:val="16"/>
        </w:rPr>
        <w:t>6) т. ПШЕБЫШЕВСКИЙ (МГК)</w:t>
      </w:r>
    </w:p>
    <w:p w14:paraId="54A7A692" w14:textId="77777777" w:rsidR="0041096C" w:rsidRPr="00507A31" w:rsidRDefault="0041096C" w:rsidP="00507A31">
      <w:pPr>
        <w:jc w:val="both"/>
        <w:rPr>
          <w:color w:val="000000" w:themeColor="text1"/>
          <w:sz w:val="16"/>
          <w:szCs w:val="16"/>
        </w:rPr>
      </w:pPr>
      <w:r w:rsidRPr="00507A31">
        <w:rPr>
          <w:color w:val="000000" w:themeColor="text1"/>
          <w:sz w:val="16"/>
          <w:szCs w:val="16"/>
        </w:rPr>
        <w:t>7) т. ЦЕЙТЛИН</w:t>
      </w:r>
    </w:p>
    <w:p w14:paraId="3EAE13AB" w14:textId="77777777" w:rsidR="0041096C" w:rsidRPr="00507A31" w:rsidRDefault="0041096C" w:rsidP="00507A31">
      <w:pPr>
        <w:jc w:val="both"/>
        <w:rPr>
          <w:color w:val="000000" w:themeColor="text1"/>
          <w:sz w:val="16"/>
          <w:szCs w:val="16"/>
        </w:rPr>
      </w:pPr>
      <w:r w:rsidRPr="00507A31">
        <w:rPr>
          <w:color w:val="000000" w:themeColor="text1"/>
          <w:sz w:val="16"/>
          <w:szCs w:val="16"/>
        </w:rPr>
        <w:t>в) Кино-секция</w:t>
      </w:r>
    </w:p>
    <w:p w14:paraId="37355ECA" w14:textId="77777777" w:rsidR="0041096C" w:rsidRPr="00507A31" w:rsidRDefault="0041096C" w:rsidP="00507A31">
      <w:pPr>
        <w:jc w:val="both"/>
        <w:rPr>
          <w:color w:val="000000" w:themeColor="text1"/>
          <w:sz w:val="16"/>
          <w:szCs w:val="16"/>
        </w:rPr>
      </w:pPr>
      <w:r w:rsidRPr="00507A31">
        <w:rPr>
          <w:color w:val="000000" w:themeColor="text1"/>
          <w:sz w:val="16"/>
          <w:szCs w:val="16"/>
        </w:rPr>
        <w:t>8) т. ШУБ</w:t>
      </w:r>
    </w:p>
    <w:p w14:paraId="158232CB" w14:textId="77777777" w:rsidR="0041096C" w:rsidRPr="00507A31" w:rsidRDefault="0041096C" w:rsidP="00507A31">
      <w:pPr>
        <w:jc w:val="both"/>
        <w:rPr>
          <w:color w:val="000000" w:themeColor="text1"/>
          <w:sz w:val="16"/>
          <w:szCs w:val="16"/>
        </w:rPr>
      </w:pPr>
      <w:r w:rsidRPr="00507A31">
        <w:rPr>
          <w:color w:val="000000" w:themeColor="text1"/>
          <w:sz w:val="16"/>
          <w:szCs w:val="16"/>
        </w:rPr>
        <w:t>9) т. РООМ</w:t>
      </w:r>
    </w:p>
    <w:p w14:paraId="3EE34D32" w14:textId="77777777" w:rsidR="0041096C" w:rsidRPr="00507A31" w:rsidRDefault="0041096C" w:rsidP="00507A31">
      <w:pPr>
        <w:jc w:val="both"/>
        <w:rPr>
          <w:color w:val="000000" w:themeColor="text1"/>
          <w:sz w:val="16"/>
          <w:szCs w:val="16"/>
        </w:rPr>
      </w:pPr>
      <w:r w:rsidRPr="00507A31">
        <w:rPr>
          <w:color w:val="000000" w:themeColor="text1"/>
          <w:sz w:val="16"/>
          <w:szCs w:val="16"/>
        </w:rPr>
        <w:t>г) Фото-секция</w:t>
      </w:r>
    </w:p>
    <w:p w14:paraId="31153A87" w14:textId="77777777" w:rsidR="0041096C" w:rsidRPr="00507A31" w:rsidRDefault="0041096C" w:rsidP="00507A31">
      <w:pPr>
        <w:jc w:val="both"/>
        <w:rPr>
          <w:color w:val="000000" w:themeColor="text1"/>
          <w:sz w:val="16"/>
          <w:szCs w:val="16"/>
        </w:rPr>
      </w:pPr>
      <w:r w:rsidRPr="00507A31">
        <w:rPr>
          <w:color w:val="000000" w:themeColor="text1"/>
          <w:sz w:val="16"/>
          <w:szCs w:val="16"/>
        </w:rPr>
        <w:t>10) т. МЕЖЕРИЧЕР</w:t>
      </w:r>
    </w:p>
    <w:p w14:paraId="16730BD6" w14:textId="77777777" w:rsidR="0041096C" w:rsidRPr="00507A31" w:rsidRDefault="0041096C" w:rsidP="00507A31">
      <w:pPr>
        <w:jc w:val="both"/>
        <w:rPr>
          <w:color w:val="000000" w:themeColor="text1"/>
          <w:sz w:val="16"/>
          <w:szCs w:val="16"/>
        </w:rPr>
      </w:pPr>
      <w:r w:rsidRPr="00507A31">
        <w:rPr>
          <w:color w:val="000000" w:themeColor="text1"/>
          <w:sz w:val="16"/>
          <w:szCs w:val="16"/>
        </w:rPr>
        <w:t>д) Изо-секция</w:t>
      </w:r>
    </w:p>
    <w:p w14:paraId="5699CC76" w14:textId="77777777" w:rsidR="0041096C" w:rsidRPr="00507A31" w:rsidRDefault="0041096C" w:rsidP="00507A31">
      <w:pPr>
        <w:jc w:val="both"/>
        <w:rPr>
          <w:color w:val="000000" w:themeColor="text1"/>
          <w:sz w:val="16"/>
          <w:szCs w:val="16"/>
        </w:rPr>
      </w:pPr>
      <w:r w:rsidRPr="00507A31">
        <w:rPr>
          <w:color w:val="000000" w:themeColor="text1"/>
          <w:sz w:val="16"/>
          <w:szCs w:val="16"/>
        </w:rPr>
        <w:t>11) т. ШТЕРЕНБЕРГ</w:t>
      </w:r>
    </w:p>
    <w:p w14:paraId="65459BCA" w14:textId="77777777" w:rsidR="0041096C" w:rsidRPr="00507A31" w:rsidRDefault="0041096C" w:rsidP="00507A31">
      <w:pPr>
        <w:jc w:val="both"/>
        <w:rPr>
          <w:color w:val="000000" w:themeColor="text1"/>
          <w:sz w:val="16"/>
          <w:szCs w:val="16"/>
        </w:rPr>
      </w:pPr>
      <w:r w:rsidRPr="00507A31">
        <w:rPr>
          <w:color w:val="000000" w:themeColor="text1"/>
          <w:sz w:val="16"/>
          <w:szCs w:val="16"/>
        </w:rPr>
        <w:t>12) т. КОНЧАЛОВСКИЙ</w:t>
      </w:r>
    </w:p>
    <w:p w14:paraId="3A7674D1" w14:textId="77777777" w:rsidR="0041096C" w:rsidRPr="00507A31" w:rsidRDefault="0041096C" w:rsidP="00507A31">
      <w:pPr>
        <w:jc w:val="both"/>
        <w:rPr>
          <w:color w:val="000000" w:themeColor="text1"/>
          <w:sz w:val="16"/>
          <w:szCs w:val="16"/>
        </w:rPr>
      </w:pPr>
      <w:r w:rsidRPr="00507A31">
        <w:rPr>
          <w:color w:val="000000" w:themeColor="text1"/>
          <w:sz w:val="16"/>
          <w:szCs w:val="16"/>
        </w:rPr>
        <w:t>13) т. ЛЕНТУЛОВ</w:t>
      </w:r>
    </w:p>
    <w:p w14:paraId="6D6C46FF" w14:textId="77777777" w:rsidR="0041096C" w:rsidRPr="00507A31" w:rsidRDefault="0041096C" w:rsidP="00507A31">
      <w:pPr>
        <w:jc w:val="both"/>
        <w:rPr>
          <w:color w:val="000000" w:themeColor="text1"/>
          <w:sz w:val="16"/>
          <w:szCs w:val="16"/>
        </w:rPr>
      </w:pPr>
      <w:r w:rsidRPr="00507A31">
        <w:rPr>
          <w:color w:val="000000" w:themeColor="text1"/>
          <w:sz w:val="16"/>
          <w:szCs w:val="16"/>
        </w:rPr>
        <w:t>14) т. КУЗНЕЦОВ П.</w:t>
      </w:r>
    </w:p>
    <w:p w14:paraId="6DEC9301" w14:textId="77777777" w:rsidR="0041096C" w:rsidRPr="00507A31" w:rsidRDefault="0041096C" w:rsidP="00507A31">
      <w:pPr>
        <w:jc w:val="both"/>
        <w:rPr>
          <w:color w:val="000000" w:themeColor="text1"/>
          <w:sz w:val="16"/>
          <w:szCs w:val="16"/>
        </w:rPr>
      </w:pPr>
      <w:r w:rsidRPr="00507A31">
        <w:rPr>
          <w:color w:val="000000" w:themeColor="text1"/>
          <w:sz w:val="16"/>
          <w:szCs w:val="16"/>
        </w:rPr>
        <w:t>а) Лит.-секция</w:t>
      </w:r>
    </w:p>
    <w:p w14:paraId="27D07CA2" w14:textId="77777777" w:rsidR="0041096C" w:rsidRPr="00507A31" w:rsidRDefault="0041096C" w:rsidP="00507A31">
      <w:pPr>
        <w:jc w:val="both"/>
        <w:rPr>
          <w:color w:val="000000" w:themeColor="text1"/>
          <w:sz w:val="16"/>
          <w:szCs w:val="16"/>
        </w:rPr>
      </w:pPr>
      <w:r w:rsidRPr="00507A31">
        <w:rPr>
          <w:color w:val="000000" w:themeColor="text1"/>
          <w:sz w:val="16"/>
          <w:szCs w:val="16"/>
        </w:rPr>
        <w:t>15) т. ВЕРЕСАЕВ</w:t>
      </w:r>
    </w:p>
    <w:p w14:paraId="044A22A7" w14:textId="77777777" w:rsidR="0041096C" w:rsidRPr="00507A31" w:rsidRDefault="0041096C" w:rsidP="00507A31">
      <w:pPr>
        <w:jc w:val="both"/>
        <w:rPr>
          <w:color w:val="000000" w:themeColor="text1"/>
          <w:sz w:val="16"/>
          <w:szCs w:val="16"/>
        </w:rPr>
      </w:pPr>
      <w:r w:rsidRPr="00507A31">
        <w:rPr>
          <w:color w:val="000000" w:themeColor="text1"/>
          <w:sz w:val="16"/>
          <w:szCs w:val="16"/>
        </w:rPr>
        <w:t>16) т. БОГДАНОВ</w:t>
      </w:r>
    </w:p>
    <w:p w14:paraId="2B20254E" w14:textId="77777777" w:rsidR="0041096C" w:rsidRPr="00507A31" w:rsidRDefault="0041096C" w:rsidP="00507A31">
      <w:pPr>
        <w:jc w:val="both"/>
        <w:rPr>
          <w:color w:val="000000" w:themeColor="text1"/>
          <w:sz w:val="16"/>
          <w:szCs w:val="16"/>
        </w:rPr>
      </w:pPr>
      <w:r w:rsidRPr="00507A31">
        <w:rPr>
          <w:rStyle w:val="af0"/>
          <w:i w:val="0"/>
          <w:color w:val="000000" w:themeColor="text1"/>
          <w:sz w:val="16"/>
          <w:szCs w:val="16"/>
        </w:rPr>
        <w:t>ГА РФ. Ф.Р-5283. On. 1.Д. 139.Л. 19-19 об. Машинописная копия того времени. Датируется по содержанию и сопутствующим документам (18910).</w:t>
      </w:r>
    </w:p>
    <w:p w14:paraId="0B43E380" w14:textId="77777777" w:rsidR="0041096C" w:rsidRPr="00507A31" w:rsidRDefault="0041096C" w:rsidP="00507A31">
      <w:pPr>
        <w:jc w:val="both"/>
        <w:rPr>
          <w:color w:val="000000" w:themeColor="text1"/>
          <w:sz w:val="16"/>
          <w:szCs w:val="16"/>
        </w:rPr>
      </w:pPr>
    </w:p>
    <w:p w14:paraId="467B67E3" w14:textId="77777777" w:rsidR="0041096C" w:rsidRPr="00507A31" w:rsidRDefault="0041096C" w:rsidP="00507A31">
      <w:pPr>
        <w:jc w:val="both"/>
        <w:rPr>
          <w:bCs/>
          <w:color w:val="000000" w:themeColor="text1"/>
          <w:sz w:val="16"/>
          <w:szCs w:val="16"/>
        </w:rPr>
      </w:pPr>
      <w:r w:rsidRPr="00507A31">
        <w:rPr>
          <w:color w:val="000000" w:themeColor="text1"/>
          <w:sz w:val="16"/>
          <w:szCs w:val="16"/>
        </w:rPr>
        <w:t>23 ноября 1930 г.</w:t>
      </w:r>
    </w:p>
    <w:p w14:paraId="074D46C3" w14:textId="77777777" w:rsidR="0041096C" w:rsidRPr="00507A31" w:rsidRDefault="0041096C" w:rsidP="00507A31">
      <w:pPr>
        <w:jc w:val="both"/>
        <w:rPr>
          <w:bCs/>
          <w:color w:val="000000" w:themeColor="text1"/>
          <w:sz w:val="16"/>
          <w:szCs w:val="16"/>
        </w:rPr>
      </w:pPr>
      <w:r w:rsidRPr="00507A31">
        <w:rPr>
          <w:color w:val="000000" w:themeColor="text1"/>
          <w:sz w:val="16"/>
          <w:szCs w:val="16"/>
        </w:rPr>
        <w:t>Резолюция митинга в ЦЕКУБУ. 23 ноября 1930 г.</w:t>
      </w:r>
    </w:p>
    <w:p w14:paraId="3AA04B68"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3279A0D6"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1BF33A"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Архив: </w:t>
      </w:r>
    </w:p>
    <w:p w14:paraId="6E4EEED4" w14:textId="77777777" w:rsidR="0041096C" w:rsidRPr="00507A31" w:rsidRDefault="0041096C" w:rsidP="00507A31">
      <w:pPr>
        <w:jc w:val="both"/>
        <w:rPr>
          <w:color w:val="000000" w:themeColor="text1"/>
          <w:sz w:val="16"/>
          <w:szCs w:val="16"/>
        </w:rPr>
      </w:pPr>
      <w:r w:rsidRPr="00507A31">
        <w:rPr>
          <w:color w:val="000000" w:themeColor="text1"/>
          <w:sz w:val="16"/>
          <w:szCs w:val="16"/>
        </w:rPr>
        <w:t>ГА РФ. Ф. P-5283. Oп. 1. Д. 139. Л. 23-24, 26-28 об.</w:t>
      </w:r>
    </w:p>
    <w:p w14:paraId="652D3778"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23 ноября 1930 г.</w:t>
      </w:r>
    </w:p>
    <w:p w14:paraId="12B5EB8F"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РЕЗОЛЮЦИЯ, ВЫНЕСЕННАЯ ОБЩИМ СОБРАНИЕМ</w:t>
      </w:r>
    </w:p>
    <w:p w14:paraId="681A952E"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РАБОТНИКОВ НАУКИ, ЛИТЕРАТУРЫ И ИСКУССТВА,</w:t>
      </w:r>
    </w:p>
    <w:p w14:paraId="5ED9E372"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ОБЪЕДИНЕННЫХ В СЕКЦИИ ВОКС 23.XI.1930 г.</w:t>
      </w:r>
    </w:p>
    <w:p w14:paraId="67F76F2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Работники науки, литературы и искусства, группирующиеся вокруг Всесоюзного Общества Культурной Связи с заграницей считают своим долгом выразить свое отношение к тем событиям, которые теперь волнуют как советскую общественность, так и несомненно лучшую часть представителей научной и художественной мысли всего мира.</w:t>
      </w:r>
    </w:p>
    <w:p w14:paraId="1A70ADE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Советский Союз с максимальным напряжением всех своих сил осуществляет огромную историческую задачу построения новых революционных форм и отношений и создания новой социалистической культуры. Несмотря на колоссальные трудности в борьбе с культурной и технической отсталостью и с бешеным сопротивлением классово-враждебных групп, как внутри Союза, так и за его пределами, трудящиеся массы СССР успешно осуществляют грандиозное строительство, предусмотренное пятилетним планом.</w:t>
      </w:r>
    </w:p>
    <w:p w14:paraId="6FCC0BE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Гигантскими шагами продвигается вперед дело индустриализации советской страны. С невиданной поистине непомерной быстротой вырастают индустриальные гиганты, составляющие мощную базу социалистической промышленности. Уже закончены и открыты Турксиб, Тракторострой и Сельмаш — за которыми следуют Днепрострой, Магнитострой, Сибкомбайн и другие. Растет творческий энтузиазм рабочего класса в форме социалистического соревнования и ударничества. Опрокидывающий все преграды и затруднения на пути к построению социализма. Наряду с этим, на базе созидающейся социалистической индустрии становится возможным осуществление задачи коренной реконструкции нашего сельского хозяйства и оттягивания в орбиту социалистического строительства многомиллионных масс трудового крестьянства. Массовое движение коллективизации, охватившее всю советскую землю, создание колоссальных совхозов, превосходящих по своим размерам и техническому оборудованию крупнейшие капиталистические хозяйства мира, совершенно преобразуют лицо советской деревни.</w:t>
      </w:r>
    </w:p>
    <w:p w14:paraId="01F14B0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Не менее грандиозен размах и достижения нашей культурной революции. Всеобщая грамотность, санитарное просвещение, охрана материнства и младенчества внедряются в самые отдаленные и заброшенные уголки Союза от полярной тундры до песков Средней Азии. Электрическая лампочка и радиоприемник проникают в глухие избы наших деревень, в киргизские юрты и в сакли горных аулов. Декретом советского правительства всеобщее обучение объявлено обязательным. Широко разворачивается научно-исследовательская работа по всему Союзу, и растет сеть научно-исследовательских институтов, как в крупных центральных городах, так и в отдаленных национальных республиках и областях. Рост культурного прогресса народов СССР, развитие национальной школы, письменности, искусства и литературы, ставшие возможными благодаря национальной политике советской власти, свидетельствуют о подлинно правильном разрешении в нашем Союзе национального вопроса в противовес политике национального угнетения, практиковавшейся царским правительством.</w:t>
      </w:r>
    </w:p>
    <w:p w14:paraId="20D70DC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 этими достижениями СССР вступает в 3-й год пятилетки, которая должна быть и будет выполнена в 4 года.</w:t>
      </w:r>
    </w:p>
    <w:p w14:paraId="753754E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нашем грандиозном строительстве важнейшая роль выпадает на долю советской науки, с помощью которой совершается великое дело социалистической реконструкции. Вместе с тем, мы подчеркиваем, что подлинный научный прогресс теснейшим образом связан с делом создания социалистического общества и социалистической культуры. Чрезвычайно важной является также роль литературы и искусства, служащих могущественным орудием организации масс в великой борьбе за социализм.</w:t>
      </w:r>
    </w:p>
    <w:p w14:paraId="66C1A7D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Поглощенный своей напряженной работой и мирным хозяйственным и культурным строительством Советский Союз стремится к сохранению всеобщего мира и предотвращению различных</w:t>
      </w:r>
    </w:p>
    <w:p w14:paraId="2E51CA1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&lt;...&gt;</w:t>
      </w:r>
    </w:p>
    <w:p w14:paraId="12C2910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и таким образом, создать удобную почву для нападения извне. Совершенно ясно, что вредительство теснейшим образом связано с общим планом вооруженной интервенции, являясь одной из ее более интенсивных и действенных форм. Показания разоблаченных вредителей свидетельствуют о прочном контакте вредительских групп с зарубежными белогвардейскими организациями и военными штабами ряда капиталистических государств. Вредительские группы по существу были передовым отрядом готовящейся интервенции, ведущим подрывную работу в нашем тылу.</w:t>
      </w:r>
    </w:p>
    <w:p w14:paraId="4D43582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 xml:space="preserve">Антисоветская деятельность мировой реакции не ограничивается стремлением подорвать нашу хозяйственную мощь. Она пытается нанести удар культурному общению между СССР и Западом, организуя своего рода культурную блокаду, срывая то культурное общение между СССР и заграницей, которое было налажено при помощи ученых, писателей и художников всех стран. Недавние обращения Пуанкаре, обращение ново-организованной Лиги Защиты Западной Культуры, оживления </w:t>
      </w:r>
      <w:r w:rsidRPr="00507A31">
        <w:rPr>
          <w:color w:val="000000" w:themeColor="text1"/>
          <w:sz w:val="16"/>
          <w:szCs w:val="16"/>
        </w:rPr>
        <w:lastRenderedPageBreak/>
        <w:t>активности эмигрантских кругов достаточно ясно указывают на серьезность агрессивных настроений наших врагов и на непосредственную опасность интервенции. Над Советским Союзом нависла угроза войны. Рука мировой реакции занесена над страной строящегося социализма, над очагом, где создаются величайшие в мире культурные ценности. Удар по СССР — это удар по всей мировой культуре, это удар по лучшим надеждам и чаяниям всего человечества. Это должно стать ясным для каждого сознательного работника науки и искусства, которому дорого дело культурного прогресса. Всякая война неизбежно влечет за собой разрушение культурных ценностей, война против страны, создающей совершенно новую революционно-передовую культуру — преступна вдвойне.</w:t>
      </w:r>
    </w:p>
    <w:p w14:paraId="2B9954A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Мы, советские научные работники и деятели искусства, обращаемся к своим собратьям с призывом всеми силами противодействовать планам международной реакции. Мы громогласно заявляем, что жалкая кучка вредителей и контр-революционеров является ничтожным меньшинством среди научных работников и инженерно-технических сил Союза, и совершенно оторвана от трудящихся масс и советской общественности. В числе советских ученых, литераторов и художников нет и не может быть места аполитичности. Нашей основной и главной целью является активнейшее участие в социалистическом строительстве, которое с таким колоссальным энтузиазмом творит рабочий класс СССР под руководством коммунистической партии. Мы отмечаем, что ни в одном из капиталистических государств наука и искусство не пользуются таким вниманием и заботливостью, как в Советском Союзе и нигде за этот период научная работа, литература и искусство не получили такого развития, как в нашей стране, где они стали достоянием широких трудящихся масс. Мы горячо протестуем против попыток наших врагов помешать творческой деятельности работников советской науки и искусства и организовать культурную блокаду СССР. С негодованием и возмущением мы протестуем против низкой и преступной работы вредителей, предающих великое дело социалистического строительства и считаем, что необходимость обороны нашей страны, защиты советской культуры и мирного строительства требует применения к ним самой суровой кары. Мы заявляем о своем единодушном возмущении действиями мировой реакции, подготовляющей новую войну против СССР и своей твердой готовности дать решительный отпор в случае нападения на наш Союз. Мы обращаемся с горячим приветом к нашей доблестной Красной Армии, защитнице и помощнице нашего мирного строительства и заявляем, что отдадим все свои силы и все свои знания укреплению дела обороны страны. Мы требуем прекращения травли против СССР, который стремится к всеобщему миру, чтобы продолжать свою плановую работу по хозяйственному и культурному строительству.</w:t>
      </w:r>
    </w:p>
    <w:p w14:paraId="3451D3B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Мы призываем все мыслящее человечество поднять свой голос в защиту пролетарского государства — очага новой социалистической культуры.</w:t>
      </w:r>
    </w:p>
    <w:p w14:paraId="423360F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Ни один работник науки, литературы и искусства не должен оставаться равнодушным перед лицом угрозы, нависшей над Советским Союзом.</w:t>
      </w:r>
    </w:p>
    <w:p w14:paraId="481C46B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Передовая общественность всего мира на защиту СССР.</w:t>
      </w:r>
    </w:p>
    <w:p w14:paraId="7FD0AF0A"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P-5283. On. 1. Д. 139. Л. 23-24, 26-28 об. Машинописная копия того времени (18911).</w:t>
      </w:r>
    </w:p>
    <w:p w14:paraId="03D8226D" w14:textId="77777777" w:rsidR="0041096C" w:rsidRPr="00507A31" w:rsidRDefault="0041096C" w:rsidP="00507A31">
      <w:pPr>
        <w:jc w:val="both"/>
        <w:rPr>
          <w:color w:val="000000" w:themeColor="text1"/>
          <w:sz w:val="16"/>
          <w:szCs w:val="16"/>
        </w:rPr>
      </w:pPr>
    </w:p>
    <w:p w14:paraId="15AD5298" w14:textId="77777777" w:rsidR="00113BB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5463E07" w14:textId="77777777" w:rsidR="00113BB4" w:rsidRPr="00507A31" w:rsidRDefault="00113BB4" w:rsidP="00507A31">
      <w:pPr>
        <w:autoSpaceDE w:val="0"/>
        <w:autoSpaceDN w:val="0"/>
        <w:adjustRightInd w:val="0"/>
        <w:jc w:val="both"/>
        <w:rPr>
          <w:iCs/>
          <w:color w:val="000000" w:themeColor="text1"/>
          <w:sz w:val="16"/>
          <w:szCs w:val="16"/>
        </w:rPr>
      </w:pPr>
    </w:p>
    <w:p w14:paraId="62C65DD8" w14:textId="77777777" w:rsidR="00113BB4" w:rsidRPr="00507A31" w:rsidRDefault="00113BB4" w:rsidP="00507A31">
      <w:pPr>
        <w:jc w:val="both"/>
        <w:rPr>
          <w:color w:val="000000" w:themeColor="text1"/>
          <w:sz w:val="16"/>
          <w:szCs w:val="16"/>
        </w:rPr>
      </w:pPr>
      <w:r w:rsidRPr="00507A31">
        <w:rPr>
          <w:rStyle w:val="a7"/>
          <w:b w:val="0"/>
          <w:color w:val="000000" w:themeColor="text1"/>
          <w:sz w:val="16"/>
          <w:szCs w:val="16"/>
        </w:rPr>
        <w:t xml:space="preserve">24 ноября 1930 </w:t>
      </w:r>
      <w:r w:rsidRPr="00507A31">
        <w:rPr>
          <w:color w:val="000000" w:themeColor="text1"/>
          <w:sz w:val="16"/>
          <w:szCs w:val="16"/>
        </w:rPr>
        <w:t>СТО принял постановление «О порядке организации отраслевых государственных инспекций по качеству промышленной продукции» (12265).</w:t>
      </w:r>
    </w:p>
    <w:p w14:paraId="6F0B165C" w14:textId="77777777" w:rsidR="00113BB4" w:rsidRPr="00507A31" w:rsidRDefault="00113BB4" w:rsidP="00507A31">
      <w:pPr>
        <w:jc w:val="both"/>
        <w:rPr>
          <w:color w:val="000000" w:themeColor="text1"/>
          <w:sz w:val="16"/>
          <w:szCs w:val="16"/>
        </w:rPr>
      </w:pPr>
      <w:r w:rsidRPr="00507A31">
        <w:rPr>
          <w:color w:val="000000" w:themeColor="text1"/>
          <w:sz w:val="16"/>
          <w:szCs w:val="16"/>
        </w:rPr>
        <w:t> </w:t>
      </w:r>
    </w:p>
    <w:p w14:paraId="1765C109" w14:textId="77777777" w:rsidR="0041096C" w:rsidRPr="00507A31" w:rsidRDefault="0041096C"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35AB2241" w14:textId="77777777" w:rsidR="0041096C" w:rsidRPr="00507A31" w:rsidRDefault="0041096C" w:rsidP="00507A31">
      <w:pPr>
        <w:autoSpaceDE w:val="0"/>
        <w:autoSpaceDN w:val="0"/>
        <w:adjustRightInd w:val="0"/>
        <w:jc w:val="both"/>
        <w:rPr>
          <w:iCs/>
          <w:color w:val="000000" w:themeColor="text1"/>
          <w:sz w:val="16"/>
          <w:szCs w:val="16"/>
        </w:rPr>
      </w:pPr>
    </w:p>
    <w:p w14:paraId="014DE2FF" w14:textId="77777777" w:rsidR="0041096C" w:rsidRPr="00507A31" w:rsidRDefault="0041096C" w:rsidP="00507A31">
      <w:pPr>
        <w:jc w:val="both"/>
        <w:rPr>
          <w:bCs/>
          <w:color w:val="000000" w:themeColor="text1"/>
          <w:sz w:val="16"/>
          <w:szCs w:val="16"/>
        </w:rPr>
      </w:pPr>
      <w:r w:rsidRPr="00507A31">
        <w:rPr>
          <w:color w:val="000000" w:themeColor="text1"/>
          <w:sz w:val="16"/>
          <w:szCs w:val="16"/>
        </w:rPr>
        <w:t>24 ноября 1930 г.</w:t>
      </w:r>
    </w:p>
    <w:p w14:paraId="2409F9C6" w14:textId="77777777" w:rsidR="0041096C" w:rsidRPr="00507A31" w:rsidRDefault="0041096C" w:rsidP="00507A31">
      <w:pPr>
        <w:jc w:val="both"/>
        <w:rPr>
          <w:bCs/>
          <w:color w:val="000000" w:themeColor="text1"/>
          <w:sz w:val="16"/>
          <w:szCs w:val="16"/>
        </w:rPr>
      </w:pPr>
      <w:r w:rsidRPr="00507A31">
        <w:rPr>
          <w:color w:val="000000" w:themeColor="text1"/>
          <w:sz w:val="16"/>
          <w:szCs w:val="16"/>
        </w:rPr>
        <w:t>Предложения отдела выставок ВОКС по организации выставок культурных достижений СССР за границей. 24 ноября 1930 г.</w:t>
      </w:r>
    </w:p>
    <w:p w14:paraId="2DBFF00E"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3769273C"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12F855"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24 ноября 1930 г.</w:t>
      </w:r>
    </w:p>
    <w:p w14:paraId="6ACDBAA1"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717DA5F3"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В УДАРНУЮ БРИГАДУ ПО УСИЛЕНИЮ РАБОТЫ ВОКС</w:t>
      </w:r>
    </w:p>
    <w:p w14:paraId="7C545808"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ЗАГРАНИЦЕЙ В СВЯЗИ С ПРОЦЕССОМ</w:t>
      </w:r>
    </w:p>
    <w:p w14:paraId="4AC21561"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«ПРОМЫШЛЕННОЙ ПАРТИИ»</w:t>
      </w:r>
    </w:p>
    <w:p w14:paraId="12BB086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Отдел выставок ВОКС, получив от Вас соответствующее задание, сообщает ориентировочный план усиления работы по выставкам за границей на ближайший отрезок времени.</w:t>
      </w:r>
    </w:p>
    <w:p w14:paraId="2C3EFD7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самом начале нам необходимо указать, что вопрос об организации выставок несколько более сложный, чем другая отрасль работы ВОКС, так как каждая выставка должна дать КОМПЛЕКСНОЕ ПРЕДСТАВЛЕНИЕ о той или иной отрасли культурных достижений в СССР, что обязательно связано с привлечением максимального количества учреждений и общественных организаций. Кроме того, по условиям, предъявляемым за границей к выставкам, последние требуют основательной подготовки на месте, предварительных переговоров о помещении, рекламе и т. д.</w:t>
      </w:r>
    </w:p>
    <w:p w14:paraId="078D823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Поэтому предлагаемый план является той наметкой, которая может быть осуществлена только при условии ДОПОЛНИТЕЛЬНОГО ФИНАНСИРОВАНИЯ и привлечения организаций, путем соответствующего распоряжения правительственных инстанций к содействию ВОКС в его выставочной работе.</w:t>
      </w:r>
    </w:p>
    <w:p w14:paraId="5ACA1BC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Прежде всего, необходимо МАКСИМАЛЬНО ИСПОЛЬЗОВАТЬ ЗАГРАНИЦЕЙ УЖЕ ИМЕЮЩИЕСЯ ТАМ СОВЕТСКИЕ ВЫСТАВКИ путем переброски их из страны в страну и из города в город.</w:t>
      </w:r>
    </w:p>
    <w:p w14:paraId="16977A6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1.  Выставка советской детской книги и детского творчества (в сопровождении тов. Мексина).</w:t>
      </w:r>
    </w:p>
    <w:p w14:paraId="4C40941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Данная выставка в настоящее время находится в Гамбурге. Имеется конкретное предложение о ее показе в Вене, на что потребуется 150 дол., Праге — 150 дол., Брюсселе — 150 дол., Стокгольме — 200 дол., всего — 650 дол.</w:t>
      </w:r>
    </w:p>
    <w:p w14:paraId="647E372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  Фото-кино выставка, находящаяся в Англии. По линии рабочих организаций будет переотправлена в пять пунктов, включая Шотландию, что будет стоить 400 дол.; есть возможность ее показа в Исландии (100 дол.) и в Латинской Америке (200 дол.) — всего 750 дол.</w:t>
      </w:r>
    </w:p>
    <w:p w14:paraId="5916DC9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3.  Фото-кино выставка, находящаяся во Франции. Имеется договоренность о использовании ее в рабочих районах Парижа, после чего она последовательно будет показана в Бельгии и Голландии. Согласовано с Об-вами сближения в этих странах о покрытии ими расходов.</w:t>
      </w:r>
    </w:p>
    <w:p w14:paraId="5D19454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4.  «Звери в искусстве» (советский отдел с международной выставки с Лейпцига). Есть возможность показа этой выставки в Швейцарии, что потребует 200 дол.</w:t>
      </w:r>
    </w:p>
    <w:p w14:paraId="2D83860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5.  Выставка советского искусства в Вене. Есть возможность переотправки в Прагу — 200 дол. Необходимо пополнение экспонатов из Москвы тематическими работами и экспозициями художников Украины — потребуется 300 руб.</w:t>
      </w:r>
    </w:p>
    <w:p w14:paraId="29B91D6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6.  Выставка советского искусства в Венеции. Поступило предложение о переброске в Швейцарию (Берн, Женева, Цюрих). Потребуется 300 дол.</w:t>
      </w:r>
    </w:p>
    <w:p w14:paraId="3DA992A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7.  Выставка «Школа и быт» в Голландии. Посылается передвижка по всем городам Голландии. Было бы весьма желательно при ее функционировании в Амстердаме командировать проф. Пинкевича для докладов, что потребует 150 дол. и 300 руб.</w:t>
      </w:r>
    </w:p>
    <w:p w14:paraId="2D6B8D73"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Желательно показать выставку в Латинской Америке, что потребует 250 дол.</w:t>
      </w:r>
    </w:p>
    <w:p w14:paraId="121E2F8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Сообщая план использования имеющихся за границей выставок, обращаем внимание, что указанные расходы включают только ДОТАЦИЮ ВОКС, потребную на издание каталога, заказы вырезок прессы и т. п., при расчете, что расходы по помещению и частично транспорту несут заграничные организации.</w:t>
      </w:r>
    </w:p>
    <w:p w14:paraId="2B11EAB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настоящее время Отдел Выставок подготовляет отправку следующих выставок, о которых имеются предварительные договорные обязательства:</w:t>
      </w:r>
    </w:p>
    <w:p w14:paraId="6967444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1.  «Художественная промышленность, графика и книга СССР» в Иоганесбурге (Южная Африка). Расходы берет на себя г. Купер, ВОКС должен ассигновать 200 дол. для издания каталога.</w:t>
      </w:r>
    </w:p>
    <w:p w14:paraId="39B4308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  Участие СССР на 42-й Международной выставке независимых &lt;издательств&gt; в Париже. Советский отдел — полиграфия (политический плакат, графика, обложка, детские книги). Потребуется 200 руб. и 200 дол. на оплату за помещение.</w:t>
      </w:r>
    </w:p>
    <w:p w14:paraId="50B6ED8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3.  Выставка картин грузинского художника Нико Пиросманишвили. Необходимо содействовать выезду за границу двух сопровождающих выставку в Германию, где у Наркомпроса Грузии имеется договоренность с рядом музеев о выставке.</w:t>
      </w:r>
    </w:p>
    <w:p w14:paraId="14C44F1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Желательно максимально использовать выставку в разных странах (Австрия, Франция, Англия, САСШ). Потребуется на переотправку 800 дол. Кроме того, нужно учесть расходы по оплате сопровождающих. По мнению Отдела Выставок, если ассигновать деньги (100 дол.) на издание иллюстрированного каталога выставки на трех языках, — командирование лиц для сопровождения выставки, кроме Германии, не является необходимым.</w:t>
      </w:r>
    </w:p>
    <w:p w14:paraId="4A1B9593"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Эти две группы выставок — уже находящиеся за границей и отправляемые в ближайшее время — фактически исчерпывали работу Отдела Выставок на сегодняшний день с реализованным планом ближайших шести месяцев.</w:t>
      </w:r>
    </w:p>
    <w:p w14:paraId="1F460F4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связи с УДАРНОЙ КАМПАНИЕЙ работы всего ВОКС предлагаем организацию следующих выставок, причем только весьма ориентировочно можем указать сроки их выполнения и финансовые предпосылки.</w:t>
      </w:r>
    </w:p>
    <w:p w14:paraId="5DC4FFB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1.  ВЫСТАВКА КУЛЬТУРНОЙ ПЯТИЛЕТКИ СССР. Может быть сделана в шесть месяцев и потребует до 150 тысяч в совзнаках. Иностранная валюта учтена быть не может.</w:t>
      </w:r>
    </w:p>
    <w:p w14:paraId="69920E8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  ВЫСТАВКА ПЯТИЛЕТНЕГО ЭКОНОМИЧЕСКОГО ПЛАНА СССР С ДОКУМЕНТАЦИЕЙ ЕГО ВЫПОЛНЕНИЯ НА ТРЕТЬЕМ ГОДУ. Может быть сделана в шесть месяцев. Расходы в совзнаках —  250 тысяч руб.</w:t>
      </w:r>
    </w:p>
    <w:p w14:paraId="23443A1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3.  ВЫСТАВКА СОВЕТСКОГО ТЕАТРА ДЛЯ АМЕРИКИ. Шесть месяцев — 200 тыс. р.</w:t>
      </w:r>
    </w:p>
    <w:p w14:paraId="0B75778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lastRenderedPageBreak/>
        <w:t>4.  ВЫСТАВКА СОЦИАЛИСТИЧЕСКОГО ПЕРЕУСТРОЙСТВА ДЕРЕВНИ В РАЗРЕЗЕ ПЯТИЛЕТКИ. При условии использования экспонатов сельско-хозяйственной выставки в Кенигсберге — 2 месяца, 5 тыс. в совзнаках и 250 дол.</w:t>
      </w:r>
    </w:p>
    <w:p w14:paraId="34770A2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5.  ВЫСТАВКА БЕЛОРУССКОЙ И УКРАИНСКОЙ КУЛЬТУРЫ (по книгам) ДЛЯ ПРИБАЛТИКИ. Может быть сделана в 1</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bscript"/>
        </w:rPr>
        <w:t>2</w:t>
      </w:r>
      <w:r w:rsidRPr="00507A31">
        <w:rPr>
          <w:color w:val="000000" w:themeColor="text1"/>
          <w:sz w:val="16"/>
          <w:szCs w:val="16"/>
        </w:rPr>
        <w:t> месяца и не требует расходов в совзнаках, валюта — 300 рублей.</w:t>
      </w:r>
    </w:p>
    <w:p w14:paraId="55CC3B2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6.  «ЖЕНЩИНА В СССР». Потребуется шесть месяцев и 75 тыс. в совзнаках.</w:t>
      </w:r>
    </w:p>
    <w:p w14:paraId="1707071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7.   ВЫСТАВКА ПРОСВЕЩЕНИЯ СССР В АМЕРИКЕ. При условии частичного использования экспонатов Всесоюзной Педагогической выставки; потребуется от 4 до 6 месяцев и дополнительных расходов в 30 тыс. рублей.</w:t>
      </w:r>
    </w:p>
    <w:p w14:paraId="03A8AE3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МИЛЬМАН</w:t>
      </w:r>
    </w:p>
    <w:p w14:paraId="793137AB"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Отдел Выставок</w:t>
      </w:r>
    </w:p>
    <w:p w14:paraId="70318F55"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Москва, 24-го Ноября 1930 года.</w:t>
      </w:r>
    </w:p>
    <w:p w14:paraId="3854A598"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ГА</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P-5283. On. 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139. </w:t>
      </w:r>
      <w:r w:rsidRPr="00507A31">
        <w:rPr>
          <w:rStyle w:val="af0"/>
          <w:i w:val="0"/>
          <w:color w:val="000000" w:themeColor="text1"/>
          <w:sz w:val="16"/>
          <w:szCs w:val="16"/>
        </w:rPr>
        <w:t>Л</w:t>
      </w:r>
      <w:r w:rsidRPr="00507A31">
        <w:rPr>
          <w:rStyle w:val="af0"/>
          <w:i w:val="0"/>
          <w:color w:val="000000" w:themeColor="text1"/>
          <w:sz w:val="16"/>
          <w:szCs w:val="16"/>
          <w:lang w:val="en-US"/>
        </w:rPr>
        <w:t xml:space="preserve">. 41-42. </w:t>
      </w:r>
      <w:r w:rsidRPr="00507A31">
        <w:rPr>
          <w:rStyle w:val="af0"/>
          <w:i w:val="0"/>
          <w:color w:val="000000" w:themeColor="text1"/>
          <w:sz w:val="16"/>
          <w:szCs w:val="16"/>
        </w:rPr>
        <w:t>Заверенная машинописная копия того времени. Дата машинописью. В верхнем правом углу на Л. 41 напечатано «НЕ ПОДЛЕЖИТ ОГЛАШЕНИЮ» (18912).</w:t>
      </w:r>
    </w:p>
    <w:p w14:paraId="2261797C" w14:textId="77777777" w:rsidR="0041096C" w:rsidRPr="00507A31" w:rsidRDefault="0041096C" w:rsidP="00507A31">
      <w:pPr>
        <w:jc w:val="both"/>
        <w:rPr>
          <w:color w:val="000000" w:themeColor="text1"/>
          <w:sz w:val="16"/>
          <w:szCs w:val="16"/>
        </w:rPr>
      </w:pPr>
    </w:p>
    <w:p w14:paraId="107E458B" w14:textId="77777777" w:rsidR="0041096C" w:rsidRPr="00507A31" w:rsidRDefault="0041096C" w:rsidP="00507A31">
      <w:pPr>
        <w:jc w:val="both"/>
        <w:rPr>
          <w:bCs/>
          <w:color w:val="000000" w:themeColor="text1"/>
          <w:sz w:val="16"/>
          <w:szCs w:val="16"/>
        </w:rPr>
      </w:pPr>
      <w:r w:rsidRPr="00507A31">
        <w:rPr>
          <w:color w:val="000000" w:themeColor="text1"/>
          <w:sz w:val="16"/>
          <w:szCs w:val="16"/>
        </w:rPr>
        <w:t>24 ноября 1930 г.</w:t>
      </w:r>
    </w:p>
    <w:p w14:paraId="573EA183" w14:textId="77777777" w:rsidR="0041096C" w:rsidRPr="00507A31" w:rsidRDefault="0041096C" w:rsidP="00507A31">
      <w:pPr>
        <w:jc w:val="both"/>
        <w:rPr>
          <w:bCs/>
          <w:color w:val="000000" w:themeColor="text1"/>
          <w:sz w:val="16"/>
          <w:szCs w:val="16"/>
        </w:rPr>
      </w:pPr>
      <w:r w:rsidRPr="00507A31">
        <w:rPr>
          <w:color w:val="000000" w:themeColor="text1"/>
          <w:sz w:val="16"/>
          <w:szCs w:val="16"/>
        </w:rPr>
        <w:t>Ответ О. Болтянской секретарю БОКС Ротенбергу с предложениями о фотовыставке, посвященной культурным достижениям СССР. 24 ноября 1930 г.</w:t>
      </w:r>
    </w:p>
    <w:p w14:paraId="18C70B63"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270CA4EA"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B1F7795"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Архив: </w:t>
      </w:r>
    </w:p>
    <w:p w14:paraId="713B490C" w14:textId="77777777" w:rsidR="0041096C" w:rsidRPr="00507A31" w:rsidRDefault="0041096C" w:rsidP="00507A31">
      <w:pPr>
        <w:jc w:val="both"/>
        <w:rPr>
          <w:color w:val="000000" w:themeColor="text1"/>
          <w:sz w:val="16"/>
          <w:szCs w:val="16"/>
        </w:rPr>
      </w:pPr>
      <w:r w:rsidRPr="00507A31">
        <w:rPr>
          <w:color w:val="000000" w:themeColor="text1"/>
          <w:sz w:val="16"/>
          <w:szCs w:val="16"/>
        </w:rPr>
        <w:t>ГА РФ, ф. P-5283. Oп. 1. Д. 139. Л. 47-47 об.</w:t>
      </w:r>
    </w:p>
    <w:p w14:paraId="0A6E3ADD"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24 ноября 1930 г.</w:t>
      </w:r>
    </w:p>
    <w:p w14:paraId="41D4DA2C"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т. Ротенберг</w:t>
      </w:r>
    </w:p>
    <w:p w14:paraId="1DC2921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ответ на Ваше предложение о предстоящей кампании могу сообщить следующее.</w:t>
      </w:r>
    </w:p>
    <w:p w14:paraId="4C6A65F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 линии фото можно сделать небольшую выставку наших достижений, приблизительно по следующим разделам:</w:t>
      </w:r>
    </w:p>
    <w:p w14:paraId="28D6EC7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1. Индустрия. Рост заводов, установка новых машин, новые электростанции, Донбасс, Днепрострой, Магнитогорск, Тракторострой и т. д. 10-15 фото.</w:t>
      </w:r>
    </w:p>
    <w:p w14:paraId="583A06A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  Сельское хозяйство. Зерновые фабрики, совхозы, колхозы, животноводчество, разведение новых культур и т. д. 10 фото.</w:t>
      </w:r>
    </w:p>
    <w:p w14:paraId="451E908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3.  Строительство. Новые дома и рабочие поселки, клубы. 6-8 фото.</w:t>
      </w:r>
    </w:p>
    <w:p w14:paraId="409AA28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4. Народное просвещение, быт и здравоохранение. Столовые, ясли, дома отдыха, ночные санатории, общежития, читальни, школы, ликвидация неграмотности, рабочие в ВУЗах, напр., Инст[итут] Культ[уры]. 15 фото.</w:t>
      </w:r>
    </w:p>
    <w:p w14:paraId="0759934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Всего 45-50 фото на сумму 50 руб.</w:t>
      </w:r>
    </w:p>
    <w:p w14:paraId="1272A3F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Что касается прошлой интервенции, то такие фото негативы имеются (в бытность мою завед. Фото Музеем ВФКО НКП я их видела), но находятся по всей вероятности или в Центроархиве, или в Музее Революции, куда и надлежит отправиться по партийной линии в эти учреждения с просьбой предоставить нам фото с этих негативов.</w:t>
      </w:r>
    </w:p>
    <w:p w14:paraId="5308160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О. Болтянская</w:t>
      </w:r>
    </w:p>
    <w:p w14:paraId="78424E07"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24/XI 30 г.</w:t>
      </w:r>
    </w:p>
    <w:p w14:paraId="22B85EED"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P-5283. Oп. 1. Д. 139. Л. 47-47 об. Рукописный подлинник, автограф О. Болтянской (18913).</w:t>
      </w:r>
    </w:p>
    <w:p w14:paraId="161E71A8" w14:textId="77777777" w:rsidR="0041096C" w:rsidRPr="00507A31" w:rsidRDefault="0041096C" w:rsidP="00507A31">
      <w:pPr>
        <w:jc w:val="both"/>
        <w:rPr>
          <w:color w:val="000000" w:themeColor="text1"/>
          <w:sz w:val="16"/>
          <w:szCs w:val="16"/>
        </w:rPr>
      </w:pPr>
    </w:p>
    <w:p w14:paraId="28FAFF6B" w14:textId="77777777" w:rsidR="0041096C" w:rsidRPr="00507A31" w:rsidRDefault="0041096C" w:rsidP="00507A31">
      <w:pPr>
        <w:jc w:val="both"/>
        <w:rPr>
          <w:bCs/>
          <w:color w:val="000000" w:themeColor="text1"/>
          <w:sz w:val="16"/>
          <w:szCs w:val="16"/>
        </w:rPr>
      </w:pPr>
      <w:r w:rsidRPr="00507A31">
        <w:rPr>
          <w:color w:val="000000" w:themeColor="text1"/>
          <w:sz w:val="16"/>
          <w:szCs w:val="16"/>
        </w:rPr>
        <w:t>24 ноября 1930 г.</w:t>
      </w:r>
    </w:p>
    <w:p w14:paraId="402566FD" w14:textId="77777777" w:rsidR="0041096C" w:rsidRPr="00507A31" w:rsidRDefault="0041096C" w:rsidP="00507A31">
      <w:pPr>
        <w:jc w:val="both"/>
        <w:rPr>
          <w:bCs/>
          <w:color w:val="000000" w:themeColor="text1"/>
          <w:sz w:val="16"/>
          <w:szCs w:val="16"/>
        </w:rPr>
      </w:pPr>
      <w:r w:rsidRPr="00507A31">
        <w:rPr>
          <w:color w:val="000000" w:themeColor="text1"/>
          <w:sz w:val="16"/>
          <w:szCs w:val="16"/>
        </w:rPr>
        <w:t>«“Юманите” об антисоветских интригах Пуанкаре» и «подготовке интервенции против СССР». Из «Иностранной информации ТАСС». 24 ноября 1930 г.</w:t>
      </w:r>
    </w:p>
    <w:p w14:paraId="75ECDDCF"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1B064F9A"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C289518"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Архив: </w:t>
      </w:r>
    </w:p>
    <w:p w14:paraId="1BECA4DE" w14:textId="77777777" w:rsidR="0041096C" w:rsidRPr="00507A31" w:rsidRDefault="0041096C" w:rsidP="00507A31">
      <w:pPr>
        <w:jc w:val="both"/>
        <w:rPr>
          <w:color w:val="000000" w:themeColor="text1"/>
          <w:sz w:val="16"/>
          <w:szCs w:val="16"/>
        </w:rPr>
      </w:pPr>
      <w:r w:rsidRPr="00507A31">
        <w:rPr>
          <w:color w:val="000000" w:themeColor="text1"/>
          <w:sz w:val="16"/>
          <w:szCs w:val="16"/>
        </w:rPr>
        <w:t>АВП РФ. Ф. 0136. On. 14. П. 140. Д. 593. Л. 100-102</w:t>
      </w:r>
    </w:p>
    <w:p w14:paraId="607DA8BF"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от 24 ноября 1930 г.</w:t>
      </w:r>
    </w:p>
    <w:p w14:paraId="4FBF87E5"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ИНОСТРАННАЯ ИНФОРМАЦИЯ ТАСС, 24/XI-30 г.</w:t>
      </w:r>
    </w:p>
    <w:p w14:paraId="01CD343C"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Дневной выпуск № 9</w:t>
      </w:r>
    </w:p>
    <w:p w14:paraId="3859A5AF"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17. «ЮМАНИТЕ» ОБ АНТИСОВЕТСКИХ ИНТРИГАХ ПУАНКАРЕ НГ. 9872. ПАРИЖ. 19/XI. В передовице под заголовком «На пути антисоветской войны» «Юманите» пишет:</w:t>
      </w:r>
    </w:p>
    <w:p w14:paraId="6235F3C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«Центральный комитет контрреволюционных инженеров, вредительские планы которого пресечены бдительным ОГПУ, возложил все свои надежды на военную интервенцию империалистических государств. Констатируя колоссальные успехи Советской власти в деле построения социалистического общества, вредители убедились в абсолютной невозможности осуществить своими собственными силами программу крупного капитала — возвращение фабрик и заводов их бывшим собственникам, возмещение убытков экспроприированным помещикам, создание крепких кулацких хозяйств и установление жестокой военной диктатуры. Поэтому взоры вредителей естественно устремились к капиталистическому миру, в котором они искали сил, способных уничтожить пролетарскую революцию и вернуть заводы, дворцы и земли Денисовым, Нобелям, Гукасовым, Манташовым и проч. эксплоататорам, выметенным рабоче-крестьянской властью. Французский империализм принял вредителей с распростертыми объятиями, прижал их к своей груди и оказал им всемерную поддержку. Сам зловещий Пуанкаре-война в качестве премьера принял делегатов “Торгово-промышленного комитета”, этой контрреволюционной организации экспроприированных русских магнатов. Пуанкаре, этот гнусный приказчик французской буржуазии, неуклюже пытался в своей последней статье в “Эксцельсиор” выступить с опровержениями. Однако мы в состоянии разоблачить его циничную ложь на основании показаний самих виновных, которые поименно называют лиц, обсуждавших с ним[и] вопрос о войне против СССР».</w:t>
      </w:r>
    </w:p>
    <w:p w14:paraId="4AD61BE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Приведя ряд цитат из показаний обвиняемых, газета продолжает: «Маска сорвана с Пуанкаре, а вместе с ним и со всего французского капиталистического правительства. Буржуазия не ограничивается одной провокацией, она открыто выступает против СССР. Она поддерживает и финансирует вредительские организации, она руководит их работой по саботажу, она подготовляет почву для вооруженного нападения на Советский Союз, она в лице Пуанкаре устанавливает сроки и разрабатывает формы интервенции против СССР. Французский империализм готов пойти на истребление целых поколений, лишь бы помешать строительству социалистического общества на одной шестой части земного шара и спасти свою власть, потрясенную мировым кризисом и революционным подъемом международного рабочего движения».</w:t>
      </w:r>
    </w:p>
    <w:p w14:paraId="12F8EAA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(Продолжение следует)</w:t>
      </w:r>
    </w:p>
    <w:p w14:paraId="724F9116"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ИНОСТРАННАЯ ИНФОРМАЦИЯ ТАСС 24/XI-30 г.</w:t>
      </w:r>
    </w:p>
    <w:p w14:paraId="717DF991"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Дневной выпуск № 10</w:t>
      </w:r>
    </w:p>
    <w:p w14:paraId="08DC2431"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17. Продолжение.</w:t>
      </w:r>
    </w:p>
    <w:p w14:paraId="006530A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«Мы не сомневаемся[,] — заключает газета, — что трудящиеся массы всех капиталистических стран подымутся как один человек, чтобы разбить вдребезги военные планы буржуазии и чтобы мужественно защищать страну строящегося социализма. Этого требуют их собственные интересы» (ТАСС).</w:t>
      </w:r>
    </w:p>
    <w:p w14:paraId="45089A7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24. ПОДГОТОВКА ИНТЕРВЕНЦИИ ПРОТИВ СССР.</w:t>
      </w:r>
    </w:p>
    <w:p w14:paraId="761A7D4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СЛ. 9873. ПАРИЖ, 21/XI — В передовой статье, второй в общей серии статей, посвященных выяснению подготовки интервенции против</w:t>
      </w:r>
      <w:r w:rsidRPr="00507A31">
        <w:rPr>
          <w:color w:val="000000" w:themeColor="text1"/>
          <w:sz w:val="16"/>
          <w:szCs w:val="16"/>
          <w:vertAlign w:val="superscript"/>
        </w:rPr>
        <w:t> </w:t>
      </w:r>
      <w:r w:rsidRPr="00507A31">
        <w:rPr>
          <w:color w:val="000000" w:themeColor="text1"/>
          <w:sz w:val="16"/>
          <w:szCs w:val="16"/>
        </w:rPr>
        <w:t xml:space="preserve">СССР, «Юманите» (орган французской компартии) останавливается на взаимоотношениях между французским правительством и контрреволюционными эмигрантскими элементами, пребывающими в Париже. Газета пишет: «В Париже, этом главном штабе белых армий контрреволюции, где имеется даже белоэмигрантская “Высшая Военная школа”, царские генералы Головин, Миллер, Лукомский и К-о, офицеры французского генерального штаба — Жанен, Жуанвиль и Ришар, встречались с главой “промышленной партии” — Рамзиным и совместно с Торгпромом вырабатывали планы вредительства, шпионажа и вооруженной интервенции. “Эко де Пари” еще 26 декабря 1929 г. сообщала подробные сведения о военных контрреволюционных организациях во Франции. Белые эмигранты распределены по отдельным полкам — Корниловскому, Марковскому, Дроздовскому, Алексеевскому. Офицеры этих полков непрерывно продолжают свое военное образование. 8 месяцев спустя, 19 августа 1930 г., газета “Эксцельсиор” рассказала о деятельности во Франции некоего “Братства русской правды”, открыто заявлявшего, что оно “работает” над свержением советской власти, осуществлением террора против народных комиссаров и всех вообще коммунистов, подготовкой военных бунтов и общего вооруженного восстания против советской власти. Члены этого “братства” заявляли, что их “военный фронт” находится на территории СССР, а тыл — в Париже. Они же указывали, что их заграничные организации “дружно работают" с определенными элементами внутри Советского Союза, что они из-за границы снабжают необходимыми средствами внутренних вредителей, задача которых — расчистить путь в СССР для иностранных армий — армий контрреволюции. Ныне показания вредителей, собранные в обвинительном заключении по делу “промышленной партии”, с неопровержимой ясностью показывают, что подлинным вождем и </w:t>
      </w:r>
      <w:r w:rsidRPr="00507A31">
        <w:rPr>
          <w:color w:val="000000" w:themeColor="text1"/>
          <w:sz w:val="16"/>
          <w:szCs w:val="16"/>
        </w:rPr>
        <w:lastRenderedPageBreak/>
        <w:t>сознательным организатором всех этих эмигрантских белобандитов было французское правительство со всеми его Пуанкаре, Брианами и руководителями главного штаба» (ТАСС).</w:t>
      </w:r>
    </w:p>
    <w:p w14:paraId="71440D6A"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100-102. Машинописный экземпляр того времени, размноженный на ротаторе (вырезки из ежедневных обзоров иностранной информации ТАСС). На Л. 100 и 101 перед заголовком «ИНОСТРАНННАЯ ИНФОРМАЦИЯ [...]» написано от руки прописными буквами «Т А С С», рукописные пометы «Их.» (вверху справа). На Л. 100 внизу слева (подстрочник) — данные о размножении документа. На Л. 102 внизу рукописная помета «ПЛ» (18968).</w:t>
      </w:r>
    </w:p>
    <w:p w14:paraId="5AC37D70" w14:textId="3B8F6CEF" w:rsidR="0041096C" w:rsidRPr="00507A31" w:rsidRDefault="0041096C" w:rsidP="00507A31">
      <w:pPr>
        <w:jc w:val="both"/>
        <w:rPr>
          <w:color w:val="000000" w:themeColor="text1"/>
          <w:sz w:val="16"/>
          <w:szCs w:val="16"/>
        </w:rPr>
      </w:pPr>
    </w:p>
    <w:p w14:paraId="0852F188" w14:textId="0D882539" w:rsidR="00DB30D0" w:rsidRPr="00507A31" w:rsidRDefault="00DB30D0" w:rsidP="00507A31">
      <w:pPr>
        <w:jc w:val="both"/>
        <w:rPr>
          <w:i/>
          <w:iCs/>
          <w:color w:val="000000" w:themeColor="text1"/>
          <w:sz w:val="16"/>
          <w:szCs w:val="16"/>
        </w:rPr>
      </w:pPr>
      <w:r w:rsidRPr="00507A31">
        <w:rPr>
          <w:i/>
          <w:iCs/>
          <w:color w:val="000000" w:themeColor="text1"/>
          <w:sz w:val="16"/>
          <w:szCs w:val="16"/>
        </w:rPr>
        <w:t>За рубежом:</w:t>
      </w:r>
    </w:p>
    <w:p w14:paraId="73EF247E" w14:textId="77777777" w:rsidR="00DB30D0" w:rsidRPr="00507A31" w:rsidRDefault="00DB30D0" w:rsidP="00507A31">
      <w:pPr>
        <w:jc w:val="both"/>
        <w:rPr>
          <w:i/>
          <w:iCs/>
          <w:color w:val="000000" w:themeColor="text1"/>
          <w:sz w:val="16"/>
          <w:szCs w:val="16"/>
        </w:rPr>
      </w:pPr>
    </w:p>
    <w:p w14:paraId="5F3CE8D0" w14:textId="77777777" w:rsidR="00DB30D0" w:rsidRPr="00507A31" w:rsidRDefault="00DB30D0" w:rsidP="00507A31">
      <w:pPr>
        <w:jc w:val="both"/>
        <w:rPr>
          <w:color w:val="0070C0"/>
          <w:sz w:val="16"/>
          <w:szCs w:val="16"/>
        </w:rPr>
      </w:pPr>
      <w:r w:rsidRPr="00507A31">
        <w:rPr>
          <w:color w:val="0070C0"/>
          <w:sz w:val="16"/>
          <w:szCs w:val="16"/>
        </w:rPr>
        <w:t>24 ноября 1930 Ford Motor Company Ford 5-AT-C Trimotor NX419H разбивается при посадке в аэропорту Форд в Дирборне, штат Мичиган, убивая обоих людей на борту (20805).</w:t>
      </w:r>
    </w:p>
    <w:p w14:paraId="3EBC5B90" w14:textId="77777777" w:rsidR="00DB30D0" w:rsidRPr="00507A31" w:rsidRDefault="00DB30D0" w:rsidP="00507A31">
      <w:pPr>
        <w:jc w:val="both"/>
        <w:rPr>
          <w:color w:val="0070C0"/>
          <w:sz w:val="16"/>
          <w:szCs w:val="16"/>
        </w:rPr>
      </w:pPr>
    </w:p>
    <w:p w14:paraId="18B01B1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70CF0D1" w14:textId="77777777" w:rsidR="00537E5F" w:rsidRPr="00507A31" w:rsidRDefault="00537E5F" w:rsidP="00507A31">
      <w:pPr>
        <w:autoSpaceDE w:val="0"/>
        <w:autoSpaceDN w:val="0"/>
        <w:adjustRightInd w:val="0"/>
        <w:jc w:val="both"/>
        <w:rPr>
          <w:iCs/>
          <w:color w:val="000000" w:themeColor="text1"/>
          <w:sz w:val="16"/>
          <w:szCs w:val="16"/>
        </w:rPr>
      </w:pPr>
    </w:p>
    <w:p w14:paraId="067F4E2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 ноября 1930 года состоялись испытания геликоптера ВГ1 на привязи (6925).</w:t>
      </w:r>
    </w:p>
    <w:p w14:paraId="5CE5176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F01550F" w14:textId="77777777" w:rsidR="00DB30D0" w:rsidRPr="00507A31" w:rsidRDefault="00DB30D0" w:rsidP="00507A31">
      <w:pPr>
        <w:jc w:val="both"/>
        <w:rPr>
          <w:color w:val="0070C0"/>
          <w:sz w:val="16"/>
          <w:szCs w:val="16"/>
        </w:rPr>
      </w:pPr>
      <w:r w:rsidRPr="00507A31">
        <w:rPr>
          <w:color w:val="0070C0"/>
          <w:sz w:val="16"/>
          <w:szCs w:val="16"/>
          <w:shd w:val="clear" w:color="auto" w:fill="FFFFFF"/>
        </w:rPr>
        <w:t>25 ноября 1930 года Вопрос о дирижаблестроении в СССР A.З. Гольцман внес на рассмотрение Политбюро в первый раз. Но только после двукратной доработки его доклада, в которой приняли участие наркомы B.В. Куйбышев и К.Е. Ворошилов, начальники: ВВС РККА — П.И. Баранов, управлений ВСНХ СССР главного машиностроительного — М.М. Каганович, мобилизационного — Н.П. Павлуновский, экономического ОГПУ — Г.Е. Прокофьев, 15 января 1931 года было принято предварительное, промежуточное решение: «а) подтвердить ассигнование 15 миллионов рублей на дирижаблестроение в 1931 году с тем, чтобы расходование части этих денег шло на постановку добычи гелия (безопасный, невоспламеняющийся газ, которым наполняли баллоны воздушных кораблей); б) эллингов не строить до рассмотрения вопроса о дирижаблестроении в Политбюро через два месяца» (20467).</w:t>
      </w:r>
    </w:p>
    <w:p w14:paraId="21291364" w14:textId="77777777" w:rsidR="00DB30D0" w:rsidRPr="00507A31" w:rsidRDefault="00DB30D0" w:rsidP="00507A31">
      <w:pPr>
        <w:jc w:val="both"/>
        <w:rPr>
          <w:color w:val="0070C0"/>
          <w:sz w:val="16"/>
          <w:szCs w:val="16"/>
        </w:rPr>
      </w:pPr>
    </w:p>
    <w:p w14:paraId="5BC005AA" w14:textId="77777777" w:rsidR="00113BB4"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0A62186" w14:textId="77777777" w:rsidR="00113BB4" w:rsidRPr="00507A31" w:rsidRDefault="00113BB4" w:rsidP="00507A31">
      <w:pPr>
        <w:autoSpaceDE w:val="0"/>
        <w:autoSpaceDN w:val="0"/>
        <w:adjustRightInd w:val="0"/>
        <w:jc w:val="both"/>
        <w:rPr>
          <w:iCs/>
          <w:color w:val="000000" w:themeColor="text1"/>
          <w:sz w:val="16"/>
          <w:szCs w:val="16"/>
        </w:rPr>
      </w:pPr>
    </w:p>
    <w:p w14:paraId="3060F88F" w14:textId="77777777" w:rsidR="00113BB4" w:rsidRPr="00507A31" w:rsidRDefault="00113BB4" w:rsidP="00507A31">
      <w:pPr>
        <w:jc w:val="both"/>
        <w:rPr>
          <w:color w:val="000000" w:themeColor="text1"/>
          <w:sz w:val="16"/>
          <w:szCs w:val="16"/>
          <w:u w:color="002060"/>
        </w:rPr>
      </w:pPr>
      <w:r w:rsidRPr="00507A31">
        <w:rPr>
          <w:color w:val="000000" w:themeColor="text1"/>
          <w:sz w:val="16"/>
          <w:szCs w:val="16"/>
          <w:u w:color="002060"/>
        </w:rPr>
        <w:t>25 ноября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16. Решения ПБ от 20 ноября 1930 г. 1/11. О заказах НКВМ промышленности (ПБ от 5 ноября 1930 г., пр. № 14, п. 56/56). — ОП. 24/37. О плане танкостроения (ПБ от 15 ноября 1930 г., пр. № 15, п. 14). Опросом членов ПБ от 25 ноября 1930 г. 60/60. Вопросы Наркомвоенмора (ПБ от 21 ноября 1930 г., пр. № 25, п. 18рс) [о кадрах]. (Политбюро... Т. 2. С. 101, 103) (12416).</w:t>
      </w:r>
    </w:p>
    <w:p w14:paraId="132C4890" w14:textId="77777777" w:rsidR="00113BB4" w:rsidRPr="00507A31" w:rsidRDefault="00113BB4" w:rsidP="00507A31">
      <w:pPr>
        <w:jc w:val="both"/>
        <w:rPr>
          <w:color w:val="000000" w:themeColor="text1"/>
          <w:sz w:val="16"/>
          <w:szCs w:val="16"/>
          <w:u w:color="002060"/>
        </w:rPr>
      </w:pPr>
    </w:p>
    <w:p w14:paraId="422B04A0" w14:textId="77777777" w:rsidR="007D3B68" w:rsidRPr="00507A31" w:rsidRDefault="007D3B68" w:rsidP="00507A31">
      <w:pPr>
        <w:jc w:val="both"/>
        <w:rPr>
          <w:color w:val="0070C0"/>
          <w:sz w:val="16"/>
          <w:szCs w:val="16"/>
        </w:rPr>
      </w:pPr>
      <w:r w:rsidRPr="00507A31">
        <w:rPr>
          <w:color w:val="0070C0"/>
          <w:sz w:val="16"/>
          <w:szCs w:val="16"/>
        </w:rPr>
        <w:t>25 ноября 1930 состоялось заседание ПБ (Протокол № 16)</w:t>
      </w:r>
    </w:p>
    <w:p w14:paraId="075D4EDC" w14:textId="77777777" w:rsidR="007D3B68" w:rsidRPr="00507A31" w:rsidRDefault="007D3B68" w:rsidP="00507A31">
      <w:pPr>
        <w:jc w:val="both"/>
        <w:rPr>
          <w:color w:val="0070C0"/>
          <w:sz w:val="16"/>
          <w:szCs w:val="16"/>
        </w:rPr>
      </w:pPr>
      <w:r w:rsidRPr="00507A31">
        <w:rPr>
          <w:color w:val="0070C0"/>
          <w:sz w:val="16"/>
          <w:szCs w:val="16"/>
        </w:rPr>
        <w:t>12.- Об экспедиции Ситроен</w:t>
      </w:r>
    </w:p>
    <w:p w14:paraId="21A71482" w14:textId="77777777" w:rsidR="007D3B68" w:rsidRPr="00507A31" w:rsidRDefault="007D3B68" w:rsidP="00507A31">
      <w:pPr>
        <w:jc w:val="both"/>
        <w:rPr>
          <w:color w:val="0070C0"/>
          <w:sz w:val="16"/>
          <w:szCs w:val="16"/>
        </w:rPr>
      </w:pPr>
      <w:r w:rsidRPr="00507A31">
        <w:rPr>
          <w:color w:val="0070C0"/>
          <w:sz w:val="16"/>
          <w:szCs w:val="16"/>
        </w:rPr>
        <w:t>(т. Крестинский).</w:t>
      </w:r>
    </w:p>
    <w:p w14:paraId="21CA76C0" w14:textId="77777777" w:rsidR="007D3B68" w:rsidRPr="00507A31" w:rsidRDefault="007D3B68" w:rsidP="00507A31">
      <w:pPr>
        <w:jc w:val="both"/>
        <w:rPr>
          <w:color w:val="0070C0"/>
          <w:sz w:val="16"/>
          <w:szCs w:val="16"/>
        </w:rPr>
      </w:pPr>
      <w:r w:rsidRPr="00507A31">
        <w:rPr>
          <w:color w:val="0070C0"/>
          <w:sz w:val="16"/>
          <w:szCs w:val="16"/>
        </w:rPr>
        <w:t>Остаться при решении Политбюро от 20.Х.У0 г.(пр. № 13, п. 8/20) об от отказе в разрешении экспедиции Ситроена.</w:t>
      </w:r>
    </w:p>
    <w:p w14:paraId="6F3A6E14" w14:textId="77777777" w:rsidR="007D3B68" w:rsidRPr="00507A31" w:rsidRDefault="007D3B68" w:rsidP="00507A31">
      <w:pPr>
        <w:jc w:val="both"/>
        <w:rPr>
          <w:color w:val="0070C0"/>
          <w:sz w:val="16"/>
          <w:szCs w:val="16"/>
        </w:rPr>
      </w:pPr>
      <w:r w:rsidRPr="00507A31">
        <w:rPr>
          <w:color w:val="0070C0"/>
          <w:sz w:val="16"/>
          <w:szCs w:val="16"/>
        </w:rPr>
        <w:t>Выписка послана: т. Крестинскому</w:t>
      </w:r>
    </w:p>
    <w:p w14:paraId="2F9DD64D" w14:textId="77777777" w:rsidR="007D3B68" w:rsidRPr="00507A31" w:rsidRDefault="007D3B68" w:rsidP="00507A31">
      <w:pPr>
        <w:jc w:val="both"/>
        <w:rPr>
          <w:color w:val="0070C0"/>
          <w:sz w:val="16"/>
          <w:szCs w:val="16"/>
        </w:rPr>
      </w:pPr>
      <w:r w:rsidRPr="00507A31">
        <w:rPr>
          <w:color w:val="0070C0"/>
          <w:sz w:val="16"/>
          <w:szCs w:val="16"/>
        </w:rPr>
        <w:t>20 ноября 1930 опросом членов ПБ</w:t>
      </w:r>
    </w:p>
    <w:p w14:paraId="55330424" w14:textId="77777777" w:rsidR="007D3B68" w:rsidRPr="00507A31" w:rsidRDefault="007D3B68" w:rsidP="00507A31">
      <w:pPr>
        <w:jc w:val="both"/>
        <w:rPr>
          <w:color w:val="0070C0"/>
          <w:sz w:val="16"/>
          <w:szCs w:val="16"/>
        </w:rPr>
      </w:pPr>
      <w:r w:rsidRPr="00507A31">
        <w:rPr>
          <w:color w:val="0070C0"/>
          <w:sz w:val="16"/>
          <w:szCs w:val="16"/>
        </w:rPr>
        <w:t>1/11.-О заказах НКВМ промышленности.</w:t>
      </w:r>
    </w:p>
    <w:p w14:paraId="2132AD73" w14:textId="77777777" w:rsidR="007D3B68" w:rsidRPr="00507A31" w:rsidRDefault="007D3B68" w:rsidP="00507A31">
      <w:pPr>
        <w:jc w:val="both"/>
        <w:rPr>
          <w:color w:val="0070C0"/>
          <w:sz w:val="16"/>
          <w:szCs w:val="16"/>
        </w:rPr>
      </w:pPr>
      <w:r w:rsidRPr="00507A31">
        <w:rPr>
          <w:color w:val="0070C0"/>
          <w:sz w:val="16"/>
          <w:szCs w:val="16"/>
        </w:rPr>
        <w:t>(ПБ от 5.Х1.30 г., Прот № 14, п.56/56).</w:t>
      </w:r>
    </w:p>
    <w:p w14:paraId="3034DC7C" w14:textId="77777777" w:rsidR="007D3B68" w:rsidRPr="00507A31" w:rsidRDefault="007D3B68" w:rsidP="00507A31">
      <w:pPr>
        <w:jc w:val="both"/>
        <w:rPr>
          <w:color w:val="0070C0"/>
          <w:sz w:val="16"/>
          <w:szCs w:val="16"/>
        </w:rPr>
      </w:pPr>
      <w:r w:rsidRPr="00507A31">
        <w:rPr>
          <w:color w:val="0070C0"/>
          <w:sz w:val="16"/>
          <w:szCs w:val="16"/>
        </w:rPr>
        <w:t>Поручить рассмотрение сметы НКВМ, в том числе заказов Военмора, промышленности и мобплана комиссии в составе т.т. Ворошилова, Орджоникидзе, Куйбышева, Сталина, Болотова и Рудзутака.</w:t>
      </w:r>
    </w:p>
    <w:p w14:paraId="76FB545D" w14:textId="77777777" w:rsidR="007D3B68" w:rsidRPr="00507A31" w:rsidRDefault="007D3B68" w:rsidP="00507A31">
      <w:pPr>
        <w:jc w:val="both"/>
        <w:rPr>
          <w:color w:val="0070C0"/>
          <w:sz w:val="16"/>
          <w:szCs w:val="16"/>
        </w:rPr>
      </w:pPr>
      <w:r w:rsidRPr="00507A31">
        <w:rPr>
          <w:color w:val="0070C0"/>
          <w:sz w:val="16"/>
          <w:szCs w:val="16"/>
        </w:rPr>
        <w:t>Созыв комиссии за т. Ворошиловым.</w:t>
      </w:r>
    </w:p>
    <w:p w14:paraId="22E07364" w14:textId="77777777" w:rsidR="007D3B68" w:rsidRPr="00507A31" w:rsidRDefault="007D3B68" w:rsidP="00507A31">
      <w:pPr>
        <w:jc w:val="both"/>
        <w:rPr>
          <w:color w:val="0070C0"/>
          <w:sz w:val="16"/>
          <w:szCs w:val="16"/>
        </w:rPr>
      </w:pPr>
      <w:r w:rsidRPr="00507A31">
        <w:rPr>
          <w:color w:val="0070C0"/>
          <w:sz w:val="16"/>
          <w:szCs w:val="16"/>
        </w:rPr>
        <w:t>Выписки посланы: т.т. Ворошилову, Орджоникидзе, Куйбышнву, Сталину, Болото</w:t>
      </w:r>
      <w:r w:rsidRPr="00507A31">
        <w:rPr>
          <w:color w:val="0070C0"/>
          <w:sz w:val="16"/>
          <w:szCs w:val="16"/>
        </w:rPr>
        <w:softHyphen/>
        <w:t>ву, Рудзутаку (23119).</w:t>
      </w:r>
    </w:p>
    <w:p w14:paraId="17B783B2" w14:textId="77777777" w:rsidR="007D3B68" w:rsidRPr="00507A31" w:rsidRDefault="007D3B68" w:rsidP="00507A31">
      <w:pPr>
        <w:jc w:val="both"/>
        <w:rPr>
          <w:color w:val="0070C0"/>
          <w:sz w:val="16"/>
          <w:szCs w:val="16"/>
        </w:rPr>
      </w:pPr>
    </w:p>
    <w:p w14:paraId="24E8822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6D5AA60" w14:textId="77777777" w:rsidR="00537E5F" w:rsidRPr="00507A31" w:rsidRDefault="00537E5F" w:rsidP="00507A31">
      <w:pPr>
        <w:autoSpaceDE w:val="0"/>
        <w:autoSpaceDN w:val="0"/>
        <w:adjustRightInd w:val="0"/>
        <w:jc w:val="both"/>
        <w:rPr>
          <w:iCs/>
          <w:color w:val="000000" w:themeColor="text1"/>
          <w:sz w:val="16"/>
          <w:szCs w:val="16"/>
        </w:rPr>
      </w:pPr>
    </w:p>
    <w:p w14:paraId="4DF5CB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25 ноября по 7 декабря 1930 был процесс по делу Промпартии и информация о разоблаченной Трудовой крестьянской партии (1348,119). Судили придуманный ОГПУ Исполком из 8 чел. Среди обвиняемых были профессора Черновский, Калинников, Федотов. На суде председательствовал ректор МГУ А.Я.Вышинский. Обвинял Н.В.Крыленко. Свидетелем обвинения выступил проф. Рамзин и ряд подследственных, согласившихся сотрудничать с ОГПУ, а также провокаторы. Пятерых приговорили к смерти, но затем заменили 10-летним заключением (3240).</w:t>
      </w:r>
    </w:p>
    <w:p w14:paraId="6993FC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процесс начался 1 декабря 1930.</w:t>
      </w:r>
    </w:p>
    <w:p w14:paraId="6D3FF6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деле подпольной Промышленной партии участвовало 2000 специалистов - и и э, решивших свергнуть советскую власть и вступивших в сговор с десятком генеральных штабов Запада (3240).</w:t>
      </w:r>
    </w:p>
    <w:p w14:paraId="49CDD317" w14:textId="77777777" w:rsidR="00537E5F" w:rsidRPr="00507A31" w:rsidRDefault="00537E5F" w:rsidP="00507A31">
      <w:pPr>
        <w:autoSpaceDE w:val="0"/>
        <w:autoSpaceDN w:val="0"/>
        <w:adjustRightInd w:val="0"/>
        <w:jc w:val="both"/>
        <w:rPr>
          <w:color w:val="000000" w:themeColor="text1"/>
          <w:sz w:val="16"/>
          <w:szCs w:val="16"/>
        </w:rPr>
      </w:pPr>
    </w:p>
    <w:p w14:paraId="7827F8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25 ноября по 7 декабря 1930 года в Москве состоялся новый, теперь уже «открытый» политический судебный процесс — так называемый процесс «Промпартии». Во вредительстве и контрреволюционной деятель</w:t>
      </w:r>
      <w:r w:rsidRPr="00507A31">
        <w:rPr>
          <w:color w:val="000000" w:themeColor="text1"/>
          <w:sz w:val="16"/>
          <w:szCs w:val="16"/>
        </w:rPr>
        <w:softHyphen/>
        <w:t>ности обвинялись Л. К. Рамзин — директор теплотехнического институ</w:t>
      </w:r>
      <w:r w:rsidRPr="00507A31">
        <w:rPr>
          <w:color w:val="000000" w:themeColor="text1"/>
          <w:sz w:val="16"/>
          <w:szCs w:val="16"/>
        </w:rPr>
        <w:softHyphen/>
        <w:t>та и крупнейший специалист в области теплотехники и котлостроения, а также видные специалисты в области техники и планирования ВАЛаричев, И. А. Калинников, Н.Ф. Чарновский, А.А. Федотов, С.В.Куприянов, В.И.Огнин, К.В. Ситник.</w:t>
      </w:r>
    </w:p>
    <w:p w14:paraId="30840D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8 обвиняемых при</w:t>
      </w:r>
      <w:r w:rsidRPr="00507A31">
        <w:rPr>
          <w:color w:val="000000" w:themeColor="text1"/>
          <w:sz w:val="16"/>
          <w:szCs w:val="16"/>
        </w:rPr>
        <w:softHyphen/>
        <w:t>знали свою вину. Пятеро из них: Л.К. Рамзин, В.А.Ларичев, НЛ.Чарнов</w:t>
      </w:r>
      <w:r w:rsidRPr="00507A31">
        <w:rPr>
          <w:color w:val="000000" w:themeColor="text1"/>
          <w:sz w:val="16"/>
          <w:szCs w:val="16"/>
        </w:rPr>
        <w:softHyphen/>
        <w:t>ский, И.А.Калинников и А.А.Федотов были приговорены Верховным су</w:t>
      </w:r>
      <w:r w:rsidRPr="00507A31">
        <w:rPr>
          <w:color w:val="000000" w:themeColor="text1"/>
          <w:sz w:val="16"/>
          <w:szCs w:val="16"/>
        </w:rPr>
        <w:softHyphen/>
        <w:t>дом СССР к расстрелу, а трое: С.В.Куприянов, В.И.Огнин и К.В.Ситкин — к 10 годам лишения свободы.</w:t>
      </w:r>
    </w:p>
    <w:p w14:paraId="54F3D8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Президиум ЦИК СССР по ходатайству осужденных заменил расстрел 10-летним тюремным заключением и снизил срок наказания другим осуж</w:t>
      </w:r>
      <w:r w:rsidRPr="00507A31">
        <w:rPr>
          <w:color w:val="000000" w:themeColor="text1"/>
          <w:sz w:val="16"/>
          <w:szCs w:val="16"/>
        </w:rPr>
        <w:softHyphen/>
        <w:t>денным (11504).</w:t>
      </w:r>
    </w:p>
    <w:p w14:paraId="29D79ABB" w14:textId="77777777" w:rsidR="00537E5F" w:rsidRPr="00507A31" w:rsidRDefault="00537E5F" w:rsidP="00507A31">
      <w:pPr>
        <w:autoSpaceDE w:val="0"/>
        <w:autoSpaceDN w:val="0"/>
        <w:adjustRightInd w:val="0"/>
        <w:jc w:val="both"/>
        <w:rPr>
          <w:color w:val="000000" w:themeColor="text1"/>
          <w:sz w:val="16"/>
          <w:szCs w:val="16"/>
        </w:rPr>
      </w:pPr>
    </w:p>
    <w:p w14:paraId="4F57BC58" w14:textId="77777777" w:rsidR="00B91A78" w:rsidRPr="00507A31" w:rsidRDefault="00B91A78" w:rsidP="00507A31">
      <w:pPr>
        <w:autoSpaceDE w:val="0"/>
        <w:autoSpaceDN w:val="0"/>
        <w:adjustRightInd w:val="0"/>
        <w:jc w:val="both"/>
        <w:rPr>
          <w:color w:val="000000" w:themeColor="text1"/>
          <w:sz w:val="16"/>
          <w:szCs w:val="16"/>
        </w:rPr>
      </w:pPr>
      <w:r w:rsidRPr="00507A31">
        <w:rPr>
          <w:color w:val="000000" w:themeColor="text1"/>
          <w:sz w:val="16"/>
          <w:szCs w:val="16"/>
        </w:rPr>
        <w:t xml:space="preserve">25 ноября - 7 декабря 1930г. в Москве состоялся процесс над группой видных технических специалистов, обвиненных во вредительстве и контрреволюционной деятельности: процесс Промпартии. К суду по обвинению во вредительской и шпионской деятельности было привлечено восемь человек: Л. К. Рамзин - </w:t>
      </w:r>
      <w:bookmarkStart w:id="101" w:name="YANDEX_3"/>
      <w:bookmarkEnd w:id="101"/>
      <w:r w:rsidRPr="00507A31">
        <w:rPr>
          <w:rStyle w:val="highlight"/>
          <w:color w:val="000000" w:themeColor="text1"/>
          <w:sz w:val="16"/>
          <w:szCs w:val="16"/>
        </w:rPr>
        <w:t> директор </w:t>
      </w:r>
      <w:r w:rsidRPr="00507A31">
        <w:rPr>
          <w:color w:val="000000" w:themeColor="text1"/>
          <w:sz w:val="16"/>
          <w:szCs w:val="16"/>
        </w:rPr>
        <w:t xml:space="preserve"> Теплотехнического института, крупнейший специалист мирового уровня в области теплотехники и котлостроения, также видные специалисты в области технических наук и планирования: В.А.Ларичев, И.А.Калинников, И.Ф.Чарновский, А.А.Федотов, С.В.Куприянов, В.И.Очкин, К.В.Ситнин и другие (17237).</w:t>
      </w:r>
    </w:p>
    <w:p w14:paraId="73E14F96" w14:textId="77777777" w:rsidR="00B91A78" w:rsidRPr="00507A31" w:rsidRDefault="00B91A78" w:rsidP="00507A31">
      <w:pPr>
        <w:autoSpaceDE w:val="0"/>
        <w:autoSpaceDN w:val="0"/>
        <w:adjustRightInd w:val="0"/>
        <w:jc w:val="both"/>
        <w:rPr>
          <w:color w:val="000000" w:themeColor="text1"/>
          <w:sz w:val="16"/>
          <w:szCs w:val="16"/>
        </w:rPr>
      </w:pPr>
    </w:p>
    <w:p w14:paraId="25B7229B" w14:textId="77777777" w:rsidR="00273CEF" w:rsidRPr="00507A31" w:rsidRDefault="00273CEF" w:rsidP="00507A31">
      <w:pPr>
        <w:jc w:val="both"/>
        <w:rPr>
          <w:color w:val="000000" w:themeColor="text1"/>
          <w:sz w:val="16"/>
          <w:szCs w:val="16"/>
        </w:rPr>
      </w:pPr>
      <w:r w:rsidRPr="00507A31">
        <w:rPr>
          <w:rStyle w:val="ucoz-forum-post"/>
          <w:bCs/>
          <w:color w:val="000000" w:themeColor="text1"/>
          <w:sz w:val="16"/>
          <w:szCs w:val="16"/>
        </w:rPr>
        <w:t xml:space="preserve">25 ноября </w:t>
      </w:r>
      <w:r w:rsidRPr="00507A31">
        <w:rPr>
          <w:color w:val="000000" w:themeColor="text1"/>
          <w:sz w:val="16"/>
          <w:szCs w:val="16"/>
        </w:rPr>
        <w:t>в 1930 году в Москве начинается «открытый» судебный процесс по делу «Промпартии». Председатель суда А.Я.Вышинский, один из обвинителей - Н.В.Крыленко. Во вредительстве и контрреволюционной деятельности обвиняются Л.К.Рамзин - директор Теплотехнического института и целый ряд видных специалистов в области техники и планирования. Центр руководства и финансирования Промышленной партии якобы находится в Париже и состит из бывших русских капиталистов (Нобеля, Манташева, Третьякова, Рябушинского и др.). Обвинение утверждает, что «Промпартия» планировала на пост министра промышленности и торговли П.П.Рябушинского, с которым вели переговоры обвиняемые Рамзин и Ларичев. После публикации обвинительного заключения многие иностранные газеты сообщат, что Рябушинский умер еще до указанного времени. На суде обвиняемые признаются во всех преступлениях, которые им предъявлены. Вплоть до связи с французским премьером Пуанкаре. Глава французского правительства выступит со специальным заявлением, которое будет опубликовано в «Правде», оглашено на процессе и приобщено к делу. Заявление известного противника коммунизма при этом будет воспринято скорее как доказательство существования заговора. В связи с данным делом арестуют и известного историка Е.В.Тарле, якобы намечавшегося на пост министра иностранных дел. Но Тарле вскоре будет освобожден. 7 декабря суд вынесет всем обвиняемым смертный приговор, который затем по решению ЦИК СССР будет изменен на длительные сроки тюремного заключения (14840).</w:t>
      </w:r>
    </w:p>
    <w:p w14:paraId="7DB76A8C" w14:textId="77777777" w:rsidR="00273CEF" w:rsidRPr="00507A31" w:rsidRDefault="00273CEF" w:rsidP="00507A31">
      <w:pPr>
        <w:jc w:val="both"/>
        <w:rPr>
          <w:color w:val="000000" w:themeColor="text1"/>
          <w:sz w:val="16"/>
          <w:szCs w:val="16"/>
        </w:rPr>
      </w:pPr>
    </w:p>
    <w:p w14:paraId="007F7FB0" w14:textId="77777777" w:rsidR="001D2773" w:rsidRPr="00507A31" w:rsidRDefault="001D2773" w:rsidP="00507A31">
      <w:pPr>
        <w:jc w:val="both"/>
        <w:rPr>
          <w:color w:val="000000" w:themeColor="text1"/>
          <w:sz w:val="16"/>
          <w:szCs w:val="16"/>
        </w:rPr>
      </w:pPr>
      <w:r w:rsidRPr="00507A31">
        <w:rPr>
          <w:color w:val="000000" w:themeColor="text1"/>
          <w:sz w:val="16"/>
          <w:szCs w:val="16"/>
        </w:rPr>
        <w:t>С 25 ноября по 7 декабря 1930 г. проходил процесс "Промпартии" проходил Перед судом предстали 8 человек, среди которых профессор МВТУ Л. К. Рамзин, являвшийся директором Теплотехнического института; ответственные работники Госплана и ВСНХ И. А. Иконников, В. А. Ларичев, Н. Ф. Чарновекий, С. В. Куприянов и др. В ходе процесса обвиняемые признались, что в случае прихода к власти они намеревались сформировать контрреволюционное правительство, в котором премьер-министром должен был стать П. И. Пальчинский (расстрелян в 1929 г.), министром внутренних дел бывший промышленник П. П. Рябушинский (умер во Франции еще в июле 1924 г.) и министром ино-странных дел - известный историк Е. В. Тарле. Несмотря на неправдоподобность этого спектакля, под-судимые признали все предъявленные им обвинения. 5 человек из них были приговорены к расстрелу. Однако Президиум ЦИК СССР заменил эту меру наказания на 10 лет лишения свободы и 5 лет поражения в правах (18527).</w:t>
      </w:r>
    </w:p>
    <w:p w14:paraId="36523C1C" w14:textId="77777777" w:rsidR="001D2773" w:rsidRPr="00507A31" w:rsidRDefault="001D2773" w:rsidP="00507A31">
      <w:pPr>
        <w:jc w:val="both"/>
        <w:rPr>
          <w:color w:val="000000" w:themeColor="text1"/>
          <w:sz w:val="16"/>
          <w:szCs w:val="16"/>
        </w:rPr>
      </w:pPr>
    </w:p>
    <w:p w14:paraId="0BD8C85B" w14:textId="77777777" w:rsidR="0041096C" w:rsidRPr="00507A31" w:rsidRDefault="0041096C" w:rsidP="00507A31">
      <w:pPr>
        <w:jc w:val="both"/>
        <w:rPr>
          <w:bCs/>
          <w:color w:val="000000" w:themeColor="text1"/>
          <w:sz w:val="16"/>
          <w:szCs w:val="16"/>
        </w:rPr>
      </w:pPr>
      <w:r w:rsidRPr="00507A31">
        <w:rPr>
          <w:color w:val="000000" w:themeColor="text1"/>
          <w:sz w:val="16"/>
          <w:szCs w:val="16"/>
        </w:rPr>
        <w:lastRenderedPageBreak/>
        <w:t>25 ноября 1930 г.</w:t>
      </w:r>
    </w:p>
    <w:p w14:paraId="168B0342" w14:textId="77777777" w:rsidR="0041096C" w:rsidRPr="00507A31" w:rsidRDefault="0041096C" w:rsidP="00507A31">
      <w:pPr>
        <w:jc w:val="both"/>
        <w:rPr>
          <w:bCs/>
          <w:color w:val="000000" w:themeColor="text1"/>
          <w:sz w:val="16"/>
          <w:szCs w:val="16"/>
        </w:rPr>
      </w:pPr>
      <w:r w:rsidRPr="00507A31">
        <w:rPr>
          <w:color w:val="000000" w:themeColor="text1"/>
          <w:sz w:val="16"/>
          <w:szCs w:val="16"/>
        </w:rPr>
        <w:t>Информационная сводка Московского областного совета профсоюзов о проведенных митингах в связи с началом судебного процесса «Промпартии». 25 ноября 1930 г.</w:t>
      </w:r>
    </w:p>
    <w:p w14:paraId="6E08B74B"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5F6C9A8D"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471F90C"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25 ноября 1930 г.</w:t>
      </w:r>
    </w:p>
    <w:p w14:paraId="036C3BCC"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ИНФОРМАЦИОННАЯ СПРАВКА</w:t>
      </w:r>
    </w:p>
    <w:p w14:paraId="6A3EACF1"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О ПРОШЕДШИХ МИТИНГАХ ПРОТЕСТА</w:t>
      </w:r>
    </w:p>
    <w:p w14:paraId="017D7D5C"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ПО ПРЕДПРИЯТИЯМ СОЮЗА В СВЯЗИ С РАСКРЫТИЕМ</w:t>
      </w:r>
    </w:p>
    <w:p w14:paraId="463EE3CD"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КОНТР-РЕВОЛЮЦИОННОГО ВРЕДИТЕЛЬСТВА</w:t>
      </w:r>
    </w:p>
    <w:p w14:paraId="75B5FDD9"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(«Промпартия»)</w:t>
      </w:r>
    </w:p>
    <w:p w14:paraId="61D852F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Раскрытое ОГПУ очередное контрреволюционное вредительство «Промпартии» встречено пролетариатом Советского Союза с величайшим возмущением. Как только было опубликовано в газетах о раскрытии этой контр-революционной шайки, по всем предприятиям Советского Союза прокатилась мощная волна митингов и протестов, которые происходят и до настоящего момента. Трудящиеся фабрик и заводов Московской области в вынесенных многочисленных резолюциях и в своих выступлениях на митингах поголовно все требуют применения [к] вредителям расстрела.</w:t>
      </w:r>
    </w:p>
    <w:p w14:paraId="42F46FC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день открытия суда над вредителями 25/XI, трудящиеся фабрик и заводов Москвы после окончания трудового рабочего дня с 4-х часов дня до поздней ночи вышли на улицу демонстрировать свою преданность делу социалистического строительства, демонстрируя под лозунгом партии и ее ленинского ЦК.</w:t>
      </w:r>
    </w:p>
    <w:p w14:paraId="3671042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Настроение рабочих бодрое и здоровое. Рабочие твердо верят в успех социалистического строительства, отметая со своего победоносного пути всех «левых» и правых паникеров, льющих воду на мельницу шакалов капитала.</w:t>
      </w:r>
    </w:p>
    <w:p w14:paraId="28B9245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Трудящиеся Московской области еще раз доказали свою беззаветную преданность генеральной линии партии и ее ленинскому ЦК и неуклонную волю к выполнению пятилетки в 4 года.</w:t>
      </w:r>
    </w:p>
    <w:p w14:paraId="61B4AF3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ответ на раскрытое вредительство и угрозу интервенции рабочие отвечают новым мощным усилением соцсоревнования, ударничества, улучшения качества продукции и уменьшением брака, а также вступлением в партию.</w:t>
      </w:r>
    </w:p>
    <w:p w14:paraId="6BB3C4D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Все это является лучшим доказательством правильности генеральной линии партии и разбивает вдребезги надежды интервентов и их подпевал «правых» и «левых» оппортунистов на восстановление капитализма в СССР.</w:t>
      </w:r>
    </w:p>
    <w:p w14:paraId="6A93A52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Конкретно по предприятиям Союза имеются следующие [данные]:</w:t>
      </w:r>
    </w:p>
    <w:p w14:paraId="3D34A25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 с[ою]зу Текстильщиков.</w:t>
      </w:r>
    </w:p>
    <w:p w14:paraId="27459CA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Ф-ка Баумана. — 24/XI проведен митинг. Присутствовало 300 чел. 25/XI проводятся митинги, а также общая демонстрация, где будут участвовать 200 чел. и 70 домохозяек.</w:t>
      </w:r>
    </w:p>
    <w:p w14:paraId="3497AED3"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Настроение хорошее.</w:t>
      </w:r>
    </w:p>
    <w:p w14:paraId="3A1AADA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24/XI после митингов проведено собрание инженеров и техников. 47 чел. подписались на заем 1000 руб. и [на] более [чем] 1000 руб. подписались рабочие.</w:t>
      </w:r>
    </w:p>
    <w:p w14:paraId="2C854ADF"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Ф-ка Маркова. Проведен митинг 24/XI с охватом 300 чел. в обеденный перерыв; а также проведены беседы, вывешены лозунги.</w:t>
      </w:r>
    </w:p>
    <w:p w14:paraId="1096070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На ф-ке Щербакова. Проведены беседы — охвачено 200 ч. и митингами — 600 чел.</w:t>
      </w:r>
    </w:p>
    <w:p w14:paraId="6697A1D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25/XI митинг у ворот, предварительная подписка на заем дала более 2000 р. Выступавшие рабочие заявили об отработке дня на оборону.</w:t>
      </w:r>
    </w:p>
    <w:p w14:paraId="6228348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«Декоративная ткань». Назначено провести митинг 25/XI. Сейчас проводится дополнительная подписка на заем.</w:t>
      </w:r>
    </w:p>
    <w:p w14:paraId="3B7327AF"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«Победа Октября». 24/XI проводилось собрание с докладом о «Декаде обороны». 70 чел. подписалось на дирижабль, собрано 200 руб.</w:t>
      </w:r>
    </w:p>
    <w:p w14:paraId="4BC630D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Краснохолмская ф-ка. Проведены беседы, присутствовало 600 чел. Антипарт. выступлений не было.</w:t>
      </w:r>
    </w:p>
    <w:p w14:paraId="0D4CF19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«Красный Текстильщик». 25/XI утром проведен митинг, присутствовало 700 чел.</w:t>
      </w:r>
    </w:p>
    <w:p w14:paraId="5BDCF1E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24/XI по цехам проведены открытые партсобрания. 3 чел. подали заявления в партию. Несколько рабочих подписались на заем.</w:t>
      </w:r>
    </w:p>
    <w:p w14:paraId="46388EF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На ф-ках «Ливере», Свердлова, «Приводный ремень», «Красная Роза», Таганская, Кардолента, «Туркшелк», им. Фрунзе, им. Калинина, Семеновск[ая] м[ануфакту]ра, «Красная Заря» 24/XI были проведены митинги. Охват в среднем 70-75%, рабочие подавали заявления в партию, объявили соцсоревнование 2 человека.</w:t>
      </w:r>
    </w:p>
    <w:p w14:paraId="02D1A37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Настроение здоровое.</w:t>
      </w:r>
    </w:p>
    <w:p w14:paraId="3F78471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Была устроена подписка на заем. На отдельных фабриках, в частности ф-ке им. Калинина были выкрики — дайте ордеров больше на промтовары.</w:t>
      </w:r>
    </w:p>
    <w:p w14:paraId="044B64A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Ф-ка им. Ногина. Сегодня по окончании работы, было общефабричное собрание, на которое собралось около 700 ч. Настроение рабочих бодрое и приподнятое, выступлений в оправдание вредителей не было, в резолюции рабочие требуют расстрела всех вредителей, после чего вся смена вышла на демонстрацию. Рабочие в ответ на вредительство отвечают усилением производительности труда, уменьшением брака и выполнением промфинплана.</w:t>
      </w:r>
    </w:p>
    <w:p w14:paraId="5B60D60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 с[ою]зу Печатников.</w:t>
      </w:r>
    </w:p>
    <w:p w14:paraId="2CFF73F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 7-й Типографии — 24/XI проведены митинги, присутствовало 80 % рабочих, поступил ряд требований от рабочих-ударников чел. (50) от Бюро ИТС и др. рабочих о применении высшей меры наказания.</w:t>
      </w:r>
    </w:p>
    <w:p w14:paraId="5F1128D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На митингах в прениях выступало 8 чел., в ответ вредительству б/п молодежь в количестве 15 ч. подали заявление в ряды ВЛКСМ[;] б/п рабочи[е] в количестве 13 ч., из них 2 чел. завкома, 10 раб. стар. произв[одственников], подали заявление в ряды ВКП(б); в наборном книжном цеху создано 8 ударных бригад с количеством 168 чел. Из наборного газетного цеха закреплено 5 чел. до конца 5-летки.</w:t>
      </w:r>
    </w:p>
    <w:p w14:paraId="3057C27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ГОЗНАК. Митинги прошли при посещаемости 70-80 %. Требовали высшей меры наказания, в прениях выступало 12 ч. Отмечали — приветствовать правильную линию ОГПУ к контрреволюционерам.</w:t>
      </w:r>
    </w:p>
    <w:p w14:paraId="31CB9E8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22-я. Проведен митинг 24/[ХI], посвященный борьбе с вредителями. На данном митинге было принято 5 чел. в ВКП(б). Организованы в наборном цеху 2 бригады.</w:t>
      </w:r>
    </w:p>
    <w:p w14:paraId="6B8D785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Печатный цех целиком объявил себя ударным и самозакрепился в количестве 28 ч. до конца пятилетки.</w:t>
      </w:r>
    </w:p>
    <w:p w14:paraId="2D4E462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14-я типография. 24/XI состоялся митинг, присутствовало 100 %, в ответ на контрреволюционные выступления рабочие ответили сплочением вокруг генеральной [линии] партии и постановили отработать на </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bscript"/>
        </w:rPr>
        <w:t>2</w:t>
      </w:r>
      <w:r w:rsidRPr="00507A31">
        <w:rPr>
          <w:color w:val="000000" w:themeColor="text1"/>
          <w:sz w:val="16"/>
          <w:szCs w:val="16"/>
        </w:rPr>
        <w:t> дня на усиление средства обороны страны, а также постановлено создать бригаду им. Декады Обороны, дать в партию 5 лучших ударников.</w:t>
      </w:r>
    </w:p>
    <w:p w14:paraId="2EE6D20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НКВД. Митинг состоялся 24/XI, присутствовало 100%, выступало в прениях 5 ч. Прения носили ударный характер, в резолюции принято принять суровые меры к контрреволюционерам — расстрел.</w:t>
      </w:r>
    </w:p>
    <w:p w14:paraId="68148B1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Из[дательст]во «Крестьянской Газеты». На митинге было 250 ч. из 400 ч. Постановили: дополнительно подписаться на заем и отчислить 1 % в пользу дирижабля «Правда». Митинг прошел очень оживленно. Все присутствовавшие на митинге участвовали в демонстрации.</w:t>
      </w:r>
    </w:p>
    <w:p w14:paraId="7729F4A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26-й Мосполиграф. Присутств. 70 % всех рабочих. Было принято решение о дополнительной подписке на заем «пятилетка в 4 года».</w:t>
      </w:r>
    </w:p>
    <w:p w14:paraId="1F9BCD6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6-я Транспечать. На митинге было 300 ч. Прений не было.</w:t>
      </w:r>
    </w:p>
    <w:p w14:paraId="3724231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5-я Мосполиграф. В демонстрации участвовало 80 % рабочих. Во время митинга трое подали заявление о вступлении в партию. Приняли постановление о дополнительной йодписке на заем «Пятилетка в 4 года» и об организации ударной бригады им. ОГПУ. Трое дополнительно подписались на заем «Пятилетка в 4 года».</w:t>
      </w:r>
    </w:p>
    <w:p w14:paraId="0062089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Типография «Огонек». Митинг прошел с большим подъемом. Высказалось 5 ч. В ответ на вредительство ответим ростом ударничества, уничтожением прогулов и т. д. Тут же подали заявление о вступлении в партию 5 ч. Постановили отработать субботник на дирижабль и с тем подписаться дополнительно на заем пятилетка в 4 года на 25 %.</w:t>
      </w:r>
    </w:p>
    <w:p w14:paraId="4BEF376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14-я Типография. На митинге 24/XI присутствовало 320 ч. Прений не было. Вынесена резолюция, в которой рабочие требуют расстрела вредителей. В ответ на вредительство обязались ликвидировать прорыв промфинплана. Больше развернуть ударничество, вовлечь лучших ударников в ряды партии. Сегодня 25-го, прошла дополнительная подписка пятилетка в 4 года. Подписалось 108 чел. на сумму 1430 руб., увеличение к двухлетнему заработку на 4,1 %. Пять чел. [ИТР] подали заявление о вступлении в партию.</w:t>
      </w:r>
    </w:p>
    <w:p w14:paraId="332E5CD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26-й Мосполиграф. Присутствовало 70 % рабочих, также было принято решение о дополнительной подписке на заем пятилетка в 4 года. Прений не было.</w:t>
      </w:r>
    </w:p>
    <w:p w14:paraId="14AD73B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6-й Мосполиграф. На митинге присутствовало 120 ч. из 150 ч. Были три выступления, призывающие в ответ на вредительство промпартии максимально участвовать в колдоговорной кампании, отчетной кампании советов и т. д. На данном митинге трое ИТР объявили себя ударниками, закрепленными до конца пятилетки. Четверо рабочих из печатного цеха подали заявление, что они объявляют себя особой ударной бригадой в ответ вредителям.</w:t>
      </w:r>
    </w:p>
    <w:p w14:paraId="5D3CD66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13-я Типография. На митинге присутствовало 240 рабочих из 300 ч. Митинг прошел оживленно. На данном митинге бригада молодежи из 11 ч. объявила себя ударной с конкретными обязательствами. Коллектив столярного цеха из 5 чел. объявил себя ударным. Все присутствовавшие на митинге пошли на демонстрацию.</w:t>
      </w:r>
    </w:p>
    <w:p w14:paraId="01F9D343"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15-я литография. На митинге присутствовало 120 ч. из 150 ч. Прений не было.</w:t>
      </w:r>
    </w:p>
    <w:p w14:paraId="682A5A6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С[ою]з Коммунальников.</w:t>
      </w:r>
    </w:p>
    <w:p w14:paraId="3BDAE99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lastRenderedPageBreak/>
        <w:t>По месткому № 3-2-го Домотреста (Хам[овнического] р-на). Митинг состоялся 24/XI-30 г. Присутствовало 200 ч. из числа работающих 247 ч. Выступало 4 ч. Все выступающие требовали высшей меры наказания. В ответ вредителям рабочие обещали выполнение промфинплана, вступление в соцсоревнование и ударничество, а также подписались дополнительно на заем 30 чел. на сумму 450 руб.</w:t>
      </w:r>
    </w:p>
    <w:p w14:paraId="583F9A2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Русаковский трампарк. Митинги проходили 23 и 24/XI с. г. На двух митингах присутствовало 725 ч. Также были устроены летучие митинги при выпуске трам[вайных] вагонов и по станциям. Рабочие требуют расстрела. В ответ вредителям рабочие дополнительно подписались на заем на сумму 1.225 р. На митингах выступало 40 чел. Послано письмо Бельгийским трамвайщикам.</w:t>
      </w:r>
    </w:p>
    <w:p w14:paraId="1B0A67C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120-й местком 4 дом, треста Хам[овнического] р-на. Митинг состоялся 24[/ХI с.г.]. Присутствовало] 200 ч., выступало 18 ч. Принята резолюция — требовать высшей меры наказания — расстрела. Подписалось 38 ч. дополнительно на заем — на сумму 1200 р. Тут же вступило в Осоавиахим 42 ч.</w:t>
      </w:r>
    </w:p>
    <w:p w14:paraId="793CC07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Сокольнич[еская] пожарная станция. Состоялось 2 митинга. 23 и 24/XI. Присутствовало — 100 ч. Выступало 10 чел. Требовали высшей меры наказания — расстрела. Подписалось дополнительно на заем 26 ч. на сумму 480 р.</w:t>
      </w:r>
    </w:p>
    <w:p w14:paraId="2AB0A0C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С[ою]з Транспортников.</w:t>
      </w:r>
    </w:p>
    <w:p w14:paraId="5513A19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Гараж Такси (700 раб.). Митинг проведен 24/XI. Присутствовало 100 ч. Выступало в прениях 8 ч. Выступавшие говорили о том, чтобы к врагам применили высшие меры наказания и не только к ним, но и к их семьям, т. к. они знают, на какие средства живут. На митинге подали заявление о вступлении в партию 10 ч., из них — 2 рабочих по 50 лет. В принятой резолюции указывается на развертывание работы Осоавиахима.</w:t>
      </w:r>
    </w:p>
    <w:p w14:paraId="6D2C094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Проводится подписка добровольно на заем 5-летка в 4 года. На митинге, в ответ на вредительство, подписалось рабочих на 1000 &lt;р. ...&gt; чел.</w:t>
      </w:r>
    </w:p>
    <w:p w14:paraId="4D6C012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С[ою]з Медсантруд. Калуга.</w:t>
      </w:r>
    </w:p>
    <w:p w14:paraId="4375A08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24/XI на расширенном пленуме районного комитета Медсантруд, где присутствовало 70 ч., в числе которых 35 врачей. В прениях выступали 5 врачей, в числе предложений указывалось отмежевание от вредителей. Постановлено записаться на дополнительный заем на двухнедельный заработок. На 25[-е] назначена демонстрация.</w:t>
      </w:r>
    </w:p>
    <w:p w14:paraId="129BD64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Ин-т им. Склиф[о]совского. 19 и 24 [ноября] проведены два митинга. На первом присутствовало 80 ч., на втором — больше 100 чел. Причем 50 % врачей. В прениях из 15 ч. выступило 13 врачей, в т. ч. 11 ч. беспартийных. Среди них старые специалисты, работающие в И-те много лет, в частности Лебедев, работающий в И-те свыше 30 л. Все выступавшие сурово осудили вредителей, требовали от специалистов-врачей доказать преданность советской власти на деле. Беспартийный врач Бартенев предложил досрочно внести заем «пятилетка в 4 года», предложение принято единогласно, принято также единогласно предложение о награждении ОГПУ орденом Ленина и послать приветствие.</w:t>
      </w:r>
    </w:p>
    <w:p w14:paraId="7F77171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С[ою]з Совторгслужаших.</w:t>
      </w:r>
    </w:p>
    <w:p w14:paraId="16BE806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ответ на вредительство инженер Биленко, работающий в Нарком- труда Союза[,] удвоил свою подписку на заем пятилетка в 4 года, подписавшись на 4-х месячный оклад, вызвав горно-техническую инспекцию Наркомтруда СССР и РСФСР и инженеров научно-исследовательского института.</w:t>
      </w:r>
    </w:p>
    <w:p w14:paraId="2551241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С[ою]з Горняков.</w:t>
      </w:r>
    </w:p>
    <w:p w14:paraId="34E19DE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Горно-технический трест. На проведенном митинге из числа работающих сотрудников 60 ч. присутствовало 48 ч. Из них 10 инженеров. Несмотря на предупреждение о митинге, инженер Синягин на митинг не явился, общественность просит занести на черную доску. Принята резолюция, требуется применение ко всем членам промпартии высшей меры наказания — расстрела. ИТР обязу[ю]тся выполнить пятилетку в 4 года и не ослаблять борьбы с остатками вредительства.</w:t>
      </w:r>
    </w:p>
    <w:p w14:paraId="4E739F2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26/XI провести отчисление в фонд «Обороны страны» путем подписного листа.</w:t>
      </w:r>
    </w:p>
    <w:p w14:paraId="44AE6FA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Шатурские торфо-разработки. По окончании работы проведен митинг, участвовали все рабочие, занятые в смене, вынесли резолюцию[,] в которой требуют для вредителей расстрела и заявляют[,] что они поголовно вступают в ударные бригады для обеспечения выполнения 5-летки торфпром[ом] в 3 года.</w:t>
      </w:r>
    </w:p>
    <w:p w14:paraId="72FDCEC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С[ою]з Химиков.</w:t>
      </w:r>
    </w:p>
    <w:p w14:paraId="0DF381B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Митинги проведены по цехам 23 — 24/XI с охватом всех рабочих.</w:t>
      </w:r>
    </w:p>
    <w:p w14:paraId="51C40B0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ответ на вредительство организовалась сквозная бригада. Развернута широко кампания по добровольной подписке на заем 5-летка в 4 года.</w:t>
      </w:r>
    </w:p>
    <w:p w14:paraId="68E87C5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За 2 дня подписалось 2000 р., по ряду предприятий митинги проведены в течение ноября м-ца.</w:t>
      </w:r>
    </w:p>
    <w:p w14:paraId="39F7CDAF"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С[ою]з Строителей.</w:t>
      </w:r>
    </w:p>
    <w:p w14:paraId="729A7A8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Комитет № 189. Облстройсоюз. На митинге присутствовало 305 ч. После митинга сотрудники отправились на демонстрацию. Настроение здоровое.</w:t>
      </w:r>
    </w:p>
    <w:p w14:paraId="2B5A8F1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Комитет № 241. При постройке з-да АМО митингом охвачено 1300 ч. из числа рабочих 1600 ч. После митинга пошли на демонстрацию — 600 ч. На митинге были выступления рабочих, призывая к бдительности и отпору вредителям и попыткам интервентов.</w:t>
      </w:r>
    </w:p>
    <w:p w14:paraId="4C30324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Комитет № 32-й. Мосстрой Баум[анского] р-на. Митингами охвачено все 100 % — 1500 ч. На демонстрацию идут 1300 ч. Недостаточная подготовка к демонстрации. Настроение в основном здоровое, были выкрики с жалобами нет обуви.</w:t>
      </w:r>
    </w:p>
    <w:p w14:paraId="7006C91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Комитет № 155. На митинге 120 ч. из общего числа 220 ч.</w:t>
      </w:r>
    </w:p>
    <w:p w14:paraId="4F5CEFF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Комитет [№] 182. Объединяет 600 ч. На проведенном митинге присутствовало 340 ч. Это же количество присутствует и на демонстрации. ИТР были все на демонстрации и на митинге в количестве 40 ч. Выступлений, вопросов и резолюций на митинге не было.</w:t>
      </w:r>
    </w:p>
    <w:p w14:paraId="3B6DA4C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Комитет № 34. Объединяет 400 ч. 24[-го] было проведено общее собрание. Стоял вопрос о вредительстве. Присутствовало 200 ч., т. е. 50 %. 25[-го] проведен митинг. Рабочими вынесено решение — один день отработать на дирижабль «Правда». На ранее проведенных собраниях о раскрытии промпартии, рабочие ответили организацией ячейки Осоавиахима, в которую вошло 85 ч., а также рабочие собрали 600 руб. денег для дирижабля. На демонстрации присутствует 150 ч. Малочисленность рабочих на демонстрации объясняется недостаточной подготовкой местного комитета. ИТР на демонстрации почти [не было].</w:t>
      </w:r>
    </w:p>
    <w:p w14:paraId="785730E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Комитет [№] 169. Облпрофшкола. Из 204 ч. присутствовало на митинге 175 ч. На митинге все курсанты заявили о вступлении в партию. Настроение хорошее.</w:t>
      </w:r>
    </w:p>
    <w:p w14:paraId="43FCA44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Комитеты: 99-й, 372, 12, 167, 220, 129, 144, 7, 37 — на митингах 25/XI числа проставлено количество присутствовавших, ни прений, ни вынесенных резолюций не указано.</w:t>
      </w:r>
    </w:p>
    <w:p w14:paraId="4E3709D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Комитет [№] 226. На митинге присутствовало 800 ч., все участвовали на демонстрации. Вынесена резолюция — Мы, строители месткома 226 и 94, в числе 800 ч. клеймим позором подлых вредителей и все как один заявляем, что в ответ на происки наших классовых врагов все как один заменим пилу и лопату красной винтовкой и пойдем на защиту СССР. Приложим все свои силы на выполнение 5-летки в 4 года.</w:t>
      </w:r>
    </w:p>
    <w:p w14:paraId="308152F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Комитет [№] 136. Участвовало на митинге 500 ч. 400 ч. на демонстрации. Митинг прошел с большим подъемом, прений не было, в резолюции было вынесено обязательство выполнения пятилетки в 4 года.</w:t>
      </w:r>
    </w:p>
    <w:p w14:paraId="6C58FA7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Группком 19. На митинге присутствовало 400 ч. Прений не было, митинг прошел оживленно. Настроение приподнятое.</w:t>
      </w:r>
    </w:p>
    <w:p w14:paraId="2C8C8EA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Комитет [№] 101. Из 1079 ч. на митингах и демонстрации присутствовало 100 чел. Партячейка и комсомол бездействовали, а ФЗК ждал от них директивы и тоже ничего не делал.</w:t>
      </w:r>
    </w:p>
    <w:p w14:paraId="274A639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С[ою]з Металлистов.</w:t>
      </w:r>
    </w:p>
    <w:p w14:paraId="6BDB11B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24/XI Президиумом] Облотдела были посланы ответработники в количестве 32 чел. на предприятия для помощи и организации проведения митингов на заводах. Несмотря на предупреждения о представлении материалов о проведенных митингах в Информчасть Облотдела все же эти товарищи не представили своевременно материала, т. е. не выполнили задания Президиума и Информация Металлистов в 8 час. вечера могла сообщить лишь по 2-м предприятиям, материал который получила от 2 товарищей, посланных Президиумом] Облотдела.</w:t>
      </w:r>
    </w:p>
    <w:p w14:paraId="4E43510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Геодезия. 24[-го] проведен митинг в обеденный перерыв. Число работающих 735 чел. Присутствовало 80 %. Также были проведены беседы с охватом 100 %. Кроме того, в красном уголке было проведено собрание с рабочими[,] где выступало 5 чел. с требованием применения к контрреволюционерам высшей меры наказания — расстрела. Призывали рабочих к выполнению промфинплана, вступлению в ударничество и т. д. Настроение хорошее.</w:t>
      </w:r>
    </w:p>
    <w:p w14:paraId="07875DC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Металлолампа. Работающих 1400 чел. 24[-го] и 25[-го] проведены митинги по 8 цехам. Присутствовало на митинге 70 % не больше. Рабочие призывали к выполнению промфинплана, ликвидации прорыва, который имелся на Металлолампе. Какое количество присутствовало 25[-го] числа на демонстрации — сведений не имеется.</w:t>
      </w:r>
    </w:p>
    <w:p w14:paraId="6F251033"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Необходимо указать, как на безответственное отношение со стороны Облотдела Металлистов на тот факт, что несмотря на то, что союз Металлистов явля[ется] самым мощным и передовым союзом, в то же время не смог во время информировать о настроениях и митингах рабочих в связи с раскрытием контрреволюционного вредительства, несмотря на запрос и указание Информационного п/отд. МОСПС[;] таким образом, естественно, что в полной мере осветить прошедшую мощную волну протеста по союзу Металлистов не представилось возможным. Тем более, что такое безответственное отношение в вопросе дачи информационных сводок почти по всем вопросам как правило задерживаются и опаздывают. ИНФО МОСПС 25/XI-30 г.</w:t>
      </w:r>
    </w:p>
    <w:p w14:paraId="7BEB7939"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223. Л. 25-29. Машинописная копия того времени. На Л. 25 вверху слева прямоугольный штамп ВЦСПС «ИСПОЛНЕНО» со вписанной от руки датой «26.XI» (19021).</w:t>
      </w:r>
    </w:p>
    <w:p w14:paraId="139673ED" w14:textId="77777777" w:rsidR="0041096C" w:rsidRPr="00507A31" w:rsidRDefault="0041096C" w:rsidP="00507A31">
      <w:pPr>
        <w:jc w:val="both"/>
        <w:rPr>
          <w:color w:val="000000" w:themeColor="text1"/>
          <w:sz w:val="16"/>
          <w:szCs w:val="16"/>
        </w:rPr>
      </w:pPr>
    </w:p>
    <w:p w14:paraId="0DE9F416" w14:textId="77777777" w:rsidR="0041096C" w:rsidRPr="00507A31" w:rsidRDefault="0041096C" w:rsidP="00507A31">
      <w:pPr>
        <w:jc w:val="both"/>
        <w:rPr>
          <w:bCs/>
          <w:color w:val="000000" w:themeColor="text1"/>
          <w:sz w:val="16"/>
          <w:szCs w:val="16"/>
        </w:rPr>
      </w:pPr>
      <w:r w:rsidRPr="00507A31">
        <w:rPr>
          <w:color w:val="000000" w:themeColor="text1"/>
          <w:sz w:val="16"/>
          <w:szCs w:val="16"/>
        </w:rPr>
        <w:t>25 ноября 1930 г.</w:t>
      </w:r>
    </w:p>
    <w:p w14:paraId="6345B12E" w14:textId="77777777" w:rsidR="0041096C" w:rsidRPr="00507A31" w:rsidRDefault="0041096C" w:rsidP="00507A31">
      <w:pPr>
        <w:jc w:val="both"/>
        <w:rPr>
          <w:bCs/>
          <w:color w:val="000000" w:themeColor="text1"/>
          <w:sz w:val="16"/>
          <w:szCs w:val="16"/>
        </w:rPr>
      </w:pPr>
      <w:r w:rsidRPr="00507A31">
        <w:rPr>
          <w:color w:val="000000" w:themeColor="text1"/>
          <w:sz w:val="16"/>
          <w:szCs w:val="16"/>
        </w:rPr>
        <w:t>Запрос ВЦСПС о бронировании мест для рабочих-ударников в зале суда на процессе «Промпартии». 25 ноября 1930 г.</w:t>
      </w:r>
    </w:p>
    <w:p w14:paraId="03AB0C9A"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540F3015"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5B4820C"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lastRenderedPageBreak/>
        <w:t>Архив: </w:t>
      </w:r>
    </w:p>
    <w:p w14:paraId="58EE0031" w14:textId="77777777" w:rsidR="0041096C" w:rsidRPr="00507A31" w:rsidRDefault="0041096C" w:rsidP="00507A31">
      <w:pPr>
        <w:jc w:val="both"/>
        <w:rPr>
          <w:color w:val="000000" w:themeColor="text1"/>
          <w:sz w:val="16"/>
          <w:szCs w:val="16"/>
        </w:rPr>
      </w:pPr>
      <w:r w:rsidRPr="00507A31">
        <w:rPr>
          <w:color w:val="000000" w:themeColor="text1"/>
          <w:sz w:val="16"/>
          <w:szCs w:val="16"/>
        </w:rPr>
        <w:t>ГА РФ. Ф. P-5451. Oп. 14. Д. 223. Л. 11</w:t>
      </w:r>
    </w:p>
    <w:p w14:paraId="3D8A3EFA"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Не ранее 25 ноября 1930 г.</w:t>
      </w:r>
    </w:p>
    <w:p w14:paraId="7B9EDB3A"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СРОЧНО</w:t>
      </w:r>
    </w:p>
    <w:p w14:paraId="184D3B2E"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В ВЕРХОВНЫЙ СУД</w:t>
      </w:r>
    </w:p>
    <w:p w14:paraId="65E417F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ВЦСПС просит отпустить из забронированных для ВЦСПС мест для делегаций рабочих-ударников, прибывших на процесс из промышленных центров[,] 100 (сто) билетов.</w:t>
      </w:r>
    </w:p>
    <w:p w14:paraId="7A787123"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СЕКРЕТАРЬ ВЦСПС</w:t>
      </w:r>
    </w:p>
    <w:p w14:paraId="7999491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ЗАВ. СЕКТ. МАССОВ. КАМП. ВЦСПС</w:t>
      </w:r>
    </w:p>
    <w:p w14:paraId="08950D09"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223. Л. 11. Машинописная копия того времени на бланке Президиума ВЦСПС. Дата отсутствует (19022).</w:t>
      </w:r>
    </w:p>
    <w:p w14:paraId="5921CF7C" w14:textId="77777777" w:rsidR="0041096C" w:rsidRPr="00507A31" w:rsidRDefault="0041096C" w:rsidP="00507A31">
      <w:pPr>
        <w:jc w:val="both"/>
        <w:rPr>
          <w:color w:val="000000" w:themeColor="text1"/>
          <w:sz w:val="16"/>
          <w:szCs w:val="16"/>
        </w:rPr>
      </w:pPr>
    </w:p>
    <w:p w14:paraId="0121B140" w14:textId="77777777" w:rsidR="0041096C" w:rsidRPr="00507A31" w:rsidRDefault="0041096C"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049998A1" w14:textId="77777777" w:rsidR="0041096C" w:rsidRPr="00507A31" w:rsidRDefault="0041096C" w:rsidP="00507A31">
      <w:pPr>
        <w:autoSpaceDE w:val="0"/>
        <w:autoSpaceDN w:val="0"/>
        <w:adjustRightInd w:val="0"/>
        <w:jc w:val="both"/>
        <w:rPr>
          <w:iCs/>
          <w:color w:val="000000" w:themeColor="text1"/>
          <w:sz w:val="16"/>
          <w:szCs w:val="16"/>
        </w:rPr>
      </w:pPr>
    </w:p>
    <w:p w14:paraId="13810AB2" w14:textId="77777777" w:rsidR="001D2773" w:rsidRPr="00507A31" w:rsidRDefault="001D2773" w:rsidP="00507A31">
      <w:pPr>
        <w:jc w:val="both"/>
        <w:rPr>
          <w:color w:val="000000" w:themeColor="text1"/>
          <w:sz w:val="16"/>
          <w:szCs w:val="16"/>
        </w:rPr>
      </w:pPr>
      <w:r w:rsidRPr="00507A31">
        <w:rPr>
          <w:color w:val="000000" w:themeColor="text1"/>
          <w:sz w:val="16"/>
          <w:szCs w:val="16"/>
        </w:rPr>
        <w:t>25 ноября 1930 г.</w:t>
      </w:r>
    </w:p>
    <w:p w14:paraId="58840219" w14:textId="77777777" w:rsidR="001D2773" w:rsidRPr="00507A31" w:rsidRDefault="001D2773" w:rsidP="00507A31">
      <w:pPr>
        <w:jc w:val="both"/>
        <w:rPr>
          <w:color w:val="000000" w:themeColor="text1"/>
          <w:sz w:val="16"/>
          <w:szCs w:val="16"/>
        </w:rPr>
      </w:pPr>
      <w:r w:rsidRPr="00507A31">
        <w:rPr>
          <w:color w:val="000000" w:themeColor="text1"/>
          <w:sz w:val="16"/>
          <w:szCs w:val="16"/>
        </w:rPr>
        <w:t>Обращение А. М. Горького к трудящимся зарубежных стран, «рабочим Франции и Англии» в связи с началом судебного процесса по «делу “Промпартии”». 25 ноября 1930 г.</w:t>
      </w:r>
    </w:p>
    <w:p w14:paraId="5B5152D3" w14:textId="77777777" w:rsidR="001D2773" w:rsidRPr="00507A31" w:rsidRDefault="001D2773" w:rsidP="00507A31">
      <w:pPr>
        <w:jc w:val="both"/>
        <w:rPr>
          <w:color w:val="000000" w:themeColor="text1"/>
          <w:sz w:val="16"/>
          <w:szCs w:val="16"/>
        </w:rPr>
      </w:pPr>
      <w:r w:rsidRPr="00507A31">
        <w:rPr>
          <w:color w:val="000000" w:themeColor="text1"/>
          <w:sz w:val="16"/>
          <w:szCs w:val="16"/>
        </w:rPr>
        <w:t>Источник: </w:t>
      </w:r>
    </w:p>
    <w:p w14:paraId="59E36196" w14:textId="77777777" w:rsidR="001D2773" w:rsidRPr="00507A31" w:rsidRDefault="001D277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2397C7" w14:textId="77777777" w:rsidR="001D2773" w:rsidRPr="00507A31" w:rsidRDefault="001D2773" w:rsidP="00507A31">
      <w:pPr>
        <w:jc w:val="both"/>
        <w:rPr>
          <w:color w:val="000000" w:themeColor="text1"/>
          <w:sz w:val="16"/>
          <w:szCs w:val="16"/>
        </w:rPr>
      </w:pPr>
      <w:r w:rsidRPr="00507A31">
        <w:rPr>
          <w:color w:val="000000" w:themeColor="text1"/>
          <w:sz w:val="16"/>
          <w:szCs w:val="16"/>
        </w:rPr>
        <w:t>25 ноября 1930 г.</w:t>
      </w:r>
    </w:p>
    <w:p w14:paraId="0782706F" w14:textId="77777777" w:rsidR="001D2773" w:rsidRPr="00507A31" w:rsidRDefault="001D2773" w:rsidP="00507A31">
      <w:pPr>
        <w:jc w:val="both"/>
        <w:rPr>
          <w:color w:val="000000" w:themeColor="text1"/>
          <w:sz w:val="16"/>
          <w:szCs w:val="16"/>
        </w:rPr>
      </w:pPr>
      <w:r w:rsidRPr="00507A31">
        <w:rPr>
          <w:color w:val="000000" w:themeColor="text1"/>
          <w:sz w:val="16"/>
          <w:szCs w:val="16"/>
        </w:rPr>
        <w:t>К рабочим и крестьянам.</w:t>
      </w:r>
    </w:p>
    <w:p w14:paraId="321FFC36" w14:textId="77777777" w:rsidR="001D2773" w:rsidRPr="00507A31" w:rsidRDefault="001D2773" w:rsidP="00507A31">
      <w:pPr>
        <w:jc w:val="both"/>
        <w:rPr>
          <w:color w:val="000000" w:themeColor="text1"/>
          <w:sz w:val="16"/>
          <w:szCs w:val="16"/>
        </w:rPr>
      </w:pPr>
      <w:r w:rsidRPr="00507A31">
        <w:rPr>
          <w:color w:val="000000" w:themeColor="text1"/>
          <w:sz w:val="16"/>
          <w:szCs w:val="16"/>
        </w:rPr>
        <w:t>В Москве Верховный суд рабочих и крестьян Союза социалистических советов судит людей, которые организовали контрреволюционный заговор против рабоче-крестьянской власти.</w:t>
      </w:r>
    </w:p>
    <w:p w14:paraId="101B82B2" w14:textId="77777777" w:rsidR="001D2773" w:rsidRPr="00507A31" w:rsidRDefault="001D2773" w:rsidP="00507A31">
      <w:pPr>
        <w:jc w:val="both"/>
        <w:rPr>
          <w:color w:val="000000" w:themeColor="text1"/>
          <w:sz w:val="16"/>
          <w:szCs w:val="16"/>
        </w:rPr>
      </w:pPr>
      <w:r w:rsidRPr="00507A31">
        <w:rPr>
          <w:color w:val="000000" w:themeColor="text1"/>
          <w:sz w:val="16"/>
          <w:szCs w:val="16"/>
        </w:rPr>
        <w:t>Пролетарии всех стран, а особенно вы, рабочие Франции и Англии, должны понять смысл этого заговора и его значение для вас, потому что и вам со временем придется иметь дело с такими же изменниками и предателями, каких судят в Москве. Эти люди, специалисты по технике, ученые, лакеи капиталистов, изгнанных из России, уличены и сознались в целом ряде гнуснейших преступлений против рабочих. Они, пользуясь своими знаниями и доверием советской власти, вредили всеми способами делу строительства рабочими своего государства равных, социалистического общества.</w:t>
      </w:r>
    </w:p>
    <w:p w14:paraId="0A719E27" w14:textId="77777777" w:rsidR="001D2773" w:rsidRPr="00507A31" w:rsidRDefault="001D2773" w:rsidP="00507A31">
      <w:pPr>
        <w:jc w:val="both"/>
        <w:rPr>
          <w:color w:val="000000" w:themeColor="text1"/>
          <w:sz w:val="16"/>
          <w:szCs w:val="16"/>
        </w:rPr>
      </w:pPr>
      <w:r w:rsidRPr="00507A31">
        <w:rPr>
          <w:color w:val="000000" w:themeColor="text1"/>
          <w:sz w:val="16"/>
          <w:szCs w:val="16"/>
        </w:rPr>
        <w:t>Они затрудняли развитие промышленности в Союзе советов, портили все, что можно испортить, бессмысленно тратили средства и силы трудового народа, стараясь всячески вредить росту и развитию хозяйства страны, они искусственно создавали в Стране советов пищевой голод. Все преступное и подлое, что они делали, делалось ими для того, чтоб расстроить работу советской власти по развитию хозяйства Союза советов, создать в Союзе хаос, возбудить недовольство советской властью в массах народа, особенно крестьянства. Делалось это ими по соглашению и под руководством тех русских капиталистов, которые эмигрировали из России, приютились в Европе — больше всего в Париже — и которые хотят восстановить свою власть над рабочим классом и крестьянством Союза советов.</w:t>
      </w:r>
    </w:p>
    <w:p w14:paraId="43CCF1D5" w14:textId="77777777" w:rsidR="001D2773" w:rsidRPr="00507A31" w:rsidRDefault="001D2773" w:rsidP="00507A31">
      <w:pPr>
        <w:jc w:val="both"/>
        <w:rPr>
          <w:color w:val="000000" w:themeColor="text1"/>
          <w:sz w:val="16"/>
          <w:szCs w:val="16"/>
        </w:rPr>
      </w:pPr>
      <w:r w:rsidRPr="00507A31">
        <w:rPr>
          <w:color w:val="000000" w:themeColor="text1"/>
          <w:sz w:val="16"/>
          <w:szCs w:val="16"/>
        </w:rPr>
        <w:t>Разумеется, что русские фабриканты и банкиры не рассчитывают вернуться в Россию, вооруженные только своими кулаками и карманами.</w:t>
      </w:r>
    </w:p>
    <w:p w14:paraId="2866484B" w14:textId="77777777" w:rsidR="001D2773" w:rsidRPr="00507A31" w:rsidRDefault="001D2773" w:rsidP="00507A31">
      <w:pPr>
        <w:jc w:val="both"/>
        <w:rPr>
          <w:color w:val="000000" w:themeColor="text1"/>
          <w:sz w:val="16"/>
          <w:szCs w:val="16"/>
        </w:rPr>
      </w:pPr>
      <w:r w:rsidRPr="00507A31">
        <w:rPr>
          <w:color w:val="000000" w:themeColor="text1"/>
          <w:sz w:val="16"/>
          <w:szCs w:val="16"/>
        </w:rPr>
        <w:t>Дело всех капиталистов одинаково во всем мире, дело это — циническая эксплуатация труда рабочих. Поэтому естественно, что русские капиталисты нашли среди капиталистов Франции и Англии полное сочувствие своим преступным целям. Пуанкаре-Война, Бриан, Черчилль, Болдуин и прочие авантюристы на службе капитала охотно пошли навстречу целям русских хищников и мошенников. Вместе с теми вредителями, которых в Москве судит Верховный суд народа, ими выработан план военного вторжения в Союз советов — план интервенции. Гнусная и разрушительная работа вредителей в Союзе советов была затеяна для того, чтобы облегчить армиям интервентов разбойничье нападение на Союз советов в 1930-31 году.</w:t>
      </w:r>
    </w:p>
    <w:p w14:paraId="76F02130" w14:textId="77777777" w:rsidR="001D2773" w:rsidRPr="00507A31" w:rsidRDefault="001D2773" w:rsidP="00507A31">
      <w:pPr>
        <w:jc w:val="both"/>
        <w:rPr>
          <w:color w:val="000000" w:themeColor="text1"/>
          <w:sz w:val="16"/>
          <w:szCs w:val="16"/>
        </w:rPr>
      </w:pPr>
      <w:r w:rsidRPr="00507A31">
        <w:rPr>
          <w:color w:val="000000" w:themeColor="text1"/>
          <w:sz w:val="16"/>
          <w:szCs w:val="16"/>
        </w:rPr>
        <w:t>Предполагалось спровоцировать советскую власть на войну против рабочих и крестьян Польши и Румынии, а рабочим и крестьянам Франции, Англии выступить будто бы для защиты этих стран, уже экономически порабощенных капиталом крупных организаций хищников.</w:t>
      </w:r>
    </w:p>
    <w:p w14:paraId="75361443" w14:textId="77777777" w:rsidR="001D2773" w:rsidRPr="00507A31" w:rsidRDefault="001D2773" w:rsidP="00507A31">
      <w:pPr>
        <w:jc w:val="both"/>
        <w:rPr>
          <w:color w:val="000000" w:themeColor="text1"/>
          <w:sz w:val="16"/>
          <w:szCs w:val="16"/>
        </w:rPr>
      </w:pPr>
      <w:r w:rsidRPr="00507A31">
        <w:rPr>
          <w:color w:val="000000" w:themeColor="text1"/>
          <w:sz w:val="16"/>
          <w:szCs w:val="16"/>
        </w:rPr>
        <w:t>Война капиталистам выгодна, они торгуют оружием и хорошо наживаются на крови рабочих. Они не остановятся перед ужасами новой войны, хотя знают, что ужас ее превзойдет все то, что было в 1914-18 гг. Капиталисты не пожалеют истребить еще десятка два-три миллионов рабочих и крестьян. Дело всех капиталистов во всем мире одинаково.</w:t>
      </w:r>
    </w:p>
    <w:p w14:paraId="36B448D9" w14:textId="77777777" w:rsidR="001D2773" w:rsidRPr="00507A31" w:rsidRDefault="001D2773" w:rsidP="00507A31">
      <w:pPr>
        <w:jc w:val="both"/>
        <w:rPr>
          <w:color w:val="000000" w:themeColor="text1"/>
          <w:sz w:val="16"/>
          <w:szCs w:val="16"/>
        </w:rPr>
      </w:pPr>
      <w:r w:rsidRPr="00507A31">
        <w:rPr>
          <w:color w:val="000000" w:themeColor="text1"/>
          <w:sz w:val="16"/>
          <w:szCs w:val="16"/>
        </w:rPr>
        <w:t>Дело рабочих и крестьян тоже одинаково во всем мире: рабочие и крестьяне должны освободить себя от власти капитала, от нищеты и вымирания.</w:t>
      </w:r>
    </w:p>
    <w:p w14:paraId="3D5B8612" w14:textId="77777777" w:rsidR="001D2773" w:rsidRPr="00507A31" w:rsidRDefault="001D2773" w:rsidP="00507A31">
      <w:pPr>
        <w:jc w:val="both"/>
        <w:rPr>
          <w:color w:val="000000" w:themeColor="text1"/>
          <w:sz w:val="16"/>
          <w:szCs w:val="16"/>
        </w:rPr>
      </w:pPr>
      <w:r w:rsidRPr="00507A31">
        <w:rPr>
          <w:color w:val="000000" w:themeColor="text1"/>
          <w:sz w:val="16"/>
          <w:szCs w:val="16"/>
        </w:rPr>
        <w:t>Рабочие! Вам давно пора понять, что источник всего зла и горя, всех несчастий и уродств жизни, источник этот — жадность ничтожного меньшинства людей, которые одичали, обезумели от жажды накопления денег и беззаконно, бессмысленно командуют жизнью трудового большинства, растрачивая его силы, истребляя сокровища земли, которые принадлежат вам. Вспомните, что за четыре года империалистической войны потоплены были в морях миллиарды тонн металла, добытого и обработанного вами, сожжены миллионы тонн угля, добытого вами, уничтожено неисчислимое количество кожи, тканей и всевозможных продуктов вашего труда. Истребляются сокровища, которые принадлежат вам, вашим детям, но, истребляя эти сокровища, разоряя вас, уничтожая миллионы ваших отцов и братьев по крови и по классу, капиталисты наживают жир и золото.</w:t>
      </w:r>
    </w:p>
    <w:p w14:paraId="7B334730" w14:textId="77777777" w:rsidR="001D2773" w:rsidRPr="00507A31" w:rsidRDefault="001D2773" w:rsidP="00507A31">
      <w:pPr>
        <w:jc w:val="both"/>
        <w:rPr>
          <w:color w:val="000000" w:themeColor="text1"/>
          <w:sz w:val="16"/>
          <w:szCs w:val="16"/>
        </w:rPr>
      </w:pPr>
      <w:r w:rsidRPr="00507A31">
        <w:rPr>
          <w:color w:val="000000" w:themeColor="text1"/>
          <w:sz w:val="16"/>
          <w:szCs w:val="16"/>
        </w:rPr>
        <w:t>Сотни тысяч рабочих строят суда, которые будут потоплены, делают пушки, пулеметы, ружья, которые послужат в конце концов, чтоб убивать вас. Вы тоже, конечно, будете убивать рабочих и крестьян, ни в чем не виноватых перед вами, так же, как невиновны и вы перед ними. И это взаимное отсутствие виновности делает преступление войны еще более безумным и преступным. Вооружая капиталистов, вы работаете против себя, ваш труд на войну — самоубийство. Вас хотят послать против рабочих и крестьян Советского Союза, которые показывают вам, как хорошо можно жить и работать без хозяев.</w:t>
      </w:r>
    </w:p>
    <w:p w14:paraId="793EF6CB" w14:textId="77777777" w:rsidR="001D2773" w:rsidRPr="00507A31" w:rsidRDefault="001D2773" w:rsidP="00507A31">
      <w:pPr>
        <w:jc w:val="both"/>
        <w:rPr>
          <w:color w:val="000000" w:themeColor="text1"/>
          <w:sz w:val="16"/>
          <w:szCs w:val="16"/>
        </w:rPr>
      </w:pPr>
      <w:r w:rsidRPr="00507A31">
        <w:rPr>
          <w:color w:val="000000" w:themeColor="text1"/>
          <w:sz w:val="16"/>
          <w:szCs w:val="16"/>
        </w:rPr>
        <w:t>Буржуазная печать ежедневно лжет и клевещет на Союз Советов, выдумывая различные глупости и ужасы, — она делает это для того, чтобы вызвать у вас недоверие к успехам рабочих Союза, чтобы настроить вас враждебно к рабочим.</w:t>
      </w:r>
    </w:p>
    <w:p w14:paraId="7F8EBB69" w14:textId="77777777" w:rsidR="001D2773" w:rsidRPr="00507A31" w:rsidRDefault="001D2773" w:rsidP="00507A31">
      <w:pPr>
        <w:jc w:val="both"/>
        <w:rPr>
          <w:color w:val="000000" w:themeColor="text1"/>
          <w:sz w:val="16"/>
          <w:szCs w:val="16"/>
        </w:rPr>
      </w:pPr>
      <w:r w:rsidRPr="00507A31">
        <w:rPr>
          <w:color w:val="000000" w:themeColor="text1"/>
          <w:sz w:val="16"/>
          <w:szCs w:val="16"/>
        </w:rPr>
        <w:t>Сама она отлично знает, как велики успехи рабочего строительства в Союзе Советов, как они велики, несмотря на организованное вредительство продажных душ. И она отлично понимает, чем грозят эти успехи мировому капитализму. Но буржуазная пресса — послушное орудие буржуазии, буржуазные журналисты — купленные люди, они не могут говорить правду, а если б захотели сказать ее, — хозяева газет вышвырнут журналистов на улицу, так же как фабриканты вышвыривают вас.</w:t>
      </w:r>
    </w:p>
    <w:p w14:paraId="21B89A1E" w14:textId="77777777" w:rsidR="001D2773" w:rsidRPr="00507A31" w:rsidRDefault="001D2773" w:rsidP="00507A31">
      <w:pPr>
        <w:jc w:val="both"/>
        <w:rPr>
          <w:color w:val="000000" w:themeColor="text1"/>
          <w:sz w:val="16"/>
          <w:szCs w:val="16"/>
        </w:rPr>
      </w:pPr>
      <w:r w:rsidRPr="00507A31">
        <w:rPr>
          <w:color w:val="000000" w:themeColor="text1"/>
          <w:sz w:val="16"/>
          <w:szCs w:val="16"/>
        </w:rPr>
        <w:t>Капиталисты знают, что, если рабочие Союза Советов достигнут своей цели — а она уже близка, — вы тоже последуете примеру трудового народа Советских республик. Вам внушают вражду к рабоче-крестьянской власти Союза Советов из жадности, потому что страна Советов — огромный рынок и что земля страны сказочно богата; вам внушают вражду к ней из страха, потому что рабочие и крестьяне Союза быстро и неутомимо роют могилу капитализму. Капиталисты хотят, чтобы вы пошли на смерть ради торжества их власти и ради обогащения их.</w:t>
      </w:r>
    </w:p>
    <w:p w14:paraId="41FD24D3" w14:textId="77777777" w:rsidR="001D2773" w:rsidRPr="00507A31" w:rsidRDefault="001D2773" w:rsidP="00507A31">
      <w:pPr>
        <w:jc w:val="both"/>
        <w:rPr>
          <w:color w:val="000000" w:themeColor="text1"/>
          <w:sz w:val="16"/>
          <w:szCs w:val="16"/>
        </w:rPr>
      </w:pPr>
      <w:r w:rsidRPr="00507A31">
        <w:rPr>
          <w:color w:val="000000" w:themeColor="text1"/>
          <w:sz w:val="16"/>
          <w:szCs w:val="16"/>
        </w:rPr>
        <w:t>В Союзе Советов даже дети-пионеры уже знают, что всякая война, — кроме войны рабочих против хозяев, — есть безумнейшее преступление рабочих разных стран друг против друга.</w:t>
      </w:r>
    </w:p>
    <w:p w14:paraId="277A87C6" w14:textId="77777777" w:rsidR="001D2773" w:rsidRPr="00507A31" w:rsidRDefault="001D2773" w:rsidP="00507A31">
      <w:pPr>
        <w:jc w:val="both"/>
        <w:rPr>
          <w:color w:val="000000" w:themeColor="text1"/>
          <w:sz w:val="16"/>
          <w:szCs w:val="16"/>
        </w:rPr>
      </w:pPr>
      <w:r w:rsidRPr="00507A31">
        <w:rPr>
          <w:color w:val="000000" w:themeColor="text1"/>
          <w:sz w:val="16"/>
          <w:szCs w:val="16"/>
        </w:rPr>
        <w:t>Народ Союза Советов не хочет войны, но вы должны знать, что он не боится ее и готов к ней.</w:t>
      </w:r>
    </w:p>
    <w:p w14:paraId="22B77798" w14:textId="77777777" w:rsidR="001D2773" w:rsidRPr="00507A31" w:rsidRDefault="001D2773" w:rsidP="00507A31">
      <w:pPr>
        <w:jc w:val="both"/>
        <w:rPr>
          <w:color w:val="000000" w:themeColor="text1"/>
          <w:sz w:val="16"/>
          <w:szCs w:val="16"/>
        </w:rPr>
      </w:pPr>
      <w:r w:rsidRPr="00507A31">
        <w:rPr>
          <w:color w:val="000000" w:themeColor="text1"/>
          <w:sz w:val="16"/>
          <w:szCs w:val="16"/>
        </w:rPr>
        <w:t>Вы уже знаете, что 12 лет тому назад рабочие и крестьяне Союза Советов отказались драться против вас и почти безоружные, голодные, полуодетые разбили армии офицеров, которыми командовали ученые генералы и которых отлично вооружили капиталисты Франции и Англии. Теперь Союз Советов имеет хорошо вооруженную армию, каждый боец которой прекрасно знает, что он будет драться за свою свободу, за свободу страны, где он полноправный хозяин и где нет хозяев, кроме рабочих и крестьян. Вы будете драться за интересы, враждебные вам, за интересы капиталистов, которые торгуют вашей плотью и кровью. Они продают друг другу из страны в страну оружие, сработанное вами, и, возможно, что вас будут убивать именно из тех пушек и ружей, которые сделаны вашими руками и проданы вашими хозяевами вашим — будто бы — «врагам». Понятно ли вам поразительное безумие вашего пассивного отношения и той кровавой игры против вас, которую снова затевают ваши хозяева — небольшая банда разбойников, приученных жить грабежом вашего тяжелого труда?</w:t>
      </w:r>
    </w:p>
    <w:p w14:paraId="7373D2B0" w14:textId="77777777" w:rsidR="001D2773" w:rsidRPr="00507A31" w:rsidRDefault="001D2773" w:rsidP="00507A31">
      <w:pPr>
        <w:jc w:val="both"/>
        <w:rPr>
          <w:color w:val="000000" w:themeColor="text1"/>
          <w:sz w:val="16"/>
          <w:szCs w:val="16"/>
        </w:rPr>
      </w:pPr>
      <w:r w:rsidRPr="00507A31">
        <w:rPr>
          <w:color w:val="000000" w:themeColor="text1"/>
          <w:sz w:val="16"/>
          <w:szCs w:val="16"/>
        </w:rPr>
        <w:t>Они вооружились для войны еще более ужасной, чем война 1914-18 гг. Они снова хотят уничтожить, искалечить миллионы людей.</w:t>
      </w:r>
    </w:p>
    <w:p w14:paraId="3D66AD4A" w14:textId="77777777" w:rsidR="001D2773" w:rsidRPr="00507A31" w:rsidRDefault="001D2773" w:rsidP="00507A31">
      <w:pPr>
        <w:jc w:val="both"/>
        <w:rPr>
          <w:color w:val="000000" w:themeColor="text1"/>
          <w:sz w:val="16"/>
          <w:szCs w:val="16"/>
        </w:rPr>
      </w:pPr>
      <w:r w:rsidRPr="00507A31">
        <w:rPr>
          <w:color w:val="000000" w:themeColor="text1"/>
          <w:sz w:val="16"/>
          <w:szCs w:val="16"/>
        </w:rPr>
        <w:t>Хотите ли вы этого? Вы в силах не допустить войны. Вы и все люди, которые еще способны понять бессмысленность и преступность новой общеевропейской войны, можете ударить по рукам авантюристов. У вас для этого есть все средства.</w:t>
      </w:r>
    </w:p>
    <w:p w14:paraId="2712B365" w14:textId="77777777" w:rsidR="001D2773" w:rsidRPr="00507A31" w:rsidRDefault="001D2773" w:rsidP="00507A31">
      <w:pPr>
        <w:jc w:val="both"/>
        <w:rPr>
          <w:color w:val="000000" w:themeColor="text1"/>
          <w:sz w:val="16"/>
          <w:szCs w:val="16"/>
        </w:rPr>
      </w:pPr>
      <w:r w:rsidRPr="00507A31">
        <w:rPr>
          <w:color w:val="000000" w:themeColor="text1"/>
          <w:sz w:val="16"/>
          <w:szCs w:val="16"/>
        </w:rPr>
        <w:t>В частности, вы, рабочие Франции и Англии, должны бы потребовать от своих правительств, чтобы они выгнали всех русских эмигрантов и капиталистов, которые хотели бы продать рабочих и крестьян Союза Советов вашим капиталистам.</w:t>
      </w:r>
    </w:p>
    <w:p w14:paraId="1378F66C" w14:textId="77777777" w:rsidR="001D2773" w:rsidRPr="00507A31" w:rsidRDefault="001D2773" w:rsidP="00507A31">
      <w:pPr>
        <w:jc w:val="both"/>
        <w:rPr>
          <w:color w:val="000000" w:themeColor="text1"/>
          <w:sz w:val="16"/>
          <w:szCs w:val="16"/>
        </w:rPr>
      </w:pPr>
      <w:r w:rsidRPr="00507A31">
        <w:rPr>
          <w:color w:val="000000" w:themeColor="text1"/>
          <w:sz w:val="16"/>
          <w:szCs w:val="16"/>
        </w:rPr>
        <w:t>Это требование должно быть внушено вам не только классовым чувством солидарности пролетариата всех стран, но и простым чувством самозащиты против чужих вам людей, которые подкупают ваших хозяев и министров обещаниями поделиться с ними добычей бандитов, провоцируют новую бойню, которая уничтожит не один миллион ваших жизней.</w:t>
      </w:r>
    </w:p>
    <w:p w14:paraId="229240B6" w14:textId="77777777" w:rsidR="001D2773" w:rsidRPr="00507A31" w:rsidRDefault="001D2773" w:rsidP="00507A31">
      <w:pPr>
        <w:jc w:val="both"/>
        <w:rPr>
          <w:color w:val="000000" w:themeColor="text1"/>
          <w:sz w:val="16"/>
          <w:szCs w:val="16"/>
        </w:rPr>
      </w:pPr>
      <w:r w:rsidRPr="00507A31">
        <w:rPr>
          <w:color w:val="000000" w:themeColor="text1"/>
          <w:sz w:val="16"/>
          <w:szCs w:val="16"/>
        </w:rPr>
        <w:t>Протестовать против этой бойни должны женщины — матери, жены, сестры и невесты, должны бы протестовать и те интеллигенты-«гуманисты», которые недавно протестовали против наказания, не зная, как гнусно было преступление.</w:t>
      </w:r>
    </w:p>
    <w:p w14:paraId="5FC957CA" w14:textId="77777777" w:rsidR="001D2773" w:rsidRPr="00507A31" w:rsidRDefault="001D2773" w:rsidP="00507A31">
      <w:pPr>
        <w:jc w:val="both"/>
        <w:rPr>
          <w:color w:val="000000" w:themeColor="text1"/>
          <w:sz w:val="16"/>
          <w:szCs w:val="16"/>
        </w:rPr>
      </w:pPr>
      <w:r w:rsidRPr="00507A31">
        <w:rPr>
          <w:color w:val="000000" w:themeColor="text1"/>
          <w:sz w:val="16"/>
          <w:szCs w:val="16"/>
        </w:rPr>
        <w:t>М. ГОРЬКИЙ.</w:t>
      </w:r>
    </w:p>
    <w:p w14:paraId="4A39B9C6" w14:textId="77777777" w:rsidR="001D2773" w:rsidRPr="00507A31" w:rsidRDefault="001D2773" w:rsidP="00507A31">
      <w:pPr>
        <w:jc w:val="both"/>
        <w:rPr>
          <w:color w:val="000000" w:themeColor="text1"/>
          <w:sz w:val="16"/>
          <w:szCs w:val="16"/>
        </w:rPr>
      </w:pPr>
      <w:r w:rsidRPr="00507A31">
        <w:rPr>
          <w:color w:val="000000" w:themeColor="text1"/>
          <w:sz w:val="16"/>
          <w:szCs w:val="16"/>
        </w:rPr>
        <w:t>Д. 356. Л. 14. Типографский экземпляр того времени, вырезка из газеты «Правда». Вверху машинописью «“ПРАВДА” от 25.XI.30 г. № 324» (18662).</w:t>
      </w:r>
    </w:p>
    <w:p w14:paraId="2398AF28" w14:textId="77777777" w:rsidR="001D2773" w:rsidRPr="00507A31" w:rsidRDefault="001D2773" w:rsidP="00507A31">
      <w:pPr>
        <w:jc w:val="both"/>
        <w:rPr>
          <w:color w:val="000000" w:themeColor="text1"/>
          <w:sz w:val="16"/>
          <w:szCs w:val="16"/>
        </w:rPr>
      </w:pPr>
    </w:p>
    <w:p w14:paraId="33845D49" w14:textId="77777777" w:rsidR="001D2773" w:rsidRPr="00507A31" w:rsidRDefault="001D2773" w:rsidP="00507A31">
      <w:pPr>
        <w:jc w:val="both"/>
        <w:rPr>
          <w:color w:val="000000" w:themeColor="text1"/>
          <w:sz w:val="16"/>
          <w:szCs w:val="16"/>
        </w:rPr>
      </w:pPr>
      <w:r w:rsidRPr="00507A31">
        <w:rPr>
          <w:color w:val="000000" w:themeColor="text1"/>
          <w:sz w:val="16"/>
          <w:szCs w:val="16"/>
        </w:rPr>
        <w:t>25 ноября 1930 г.</w:t>
      </w:r>
    </w:p>
    <w:p w14:paraId="77FB857E" w14:textId="77777777" w:rsidR="001D2773" w:rsidRPr="00507A31" w:rsidRDefault="001D2773" w:rsidP="00507A31">
      <w:pPr>
        <w:jc w:val="both"/>
        <w:rPr>
          <w:color w:val="000000" w:themeColor="text1"/>
          <w:sz w:val="16"/>
          <w:szCs w:val="16"/>
        </w:rPr>
      </w:pPr>
      <w:r w:rsidRPr="00507A31">
        <w:rPr>
          <w:color w:val="000000" w:themeColor="text1"/>
          <w:sz w:val="16"/>
          <w:szCs w:val="16"/>
        </w:rPr>
        <w:t>Информация ТАСС о «заявлении Торгпрома» в связи с публикацией «обвинительного заключения» по «делу “Промпартии”». 25 ноября 1930 г.</w:t>
      </w:r>
    </w:p>
    <w:p w14:paraId="073D3A06" w14:textId="77777777" w:rsidR="001D2773" w:rsidRPr="00507A31" w:rsidRDefault="001D2773" w:rsidP="00507A31">
      <w:pPr>
        <w:jc w:val="both"/>
        <w:rPr>
          <w:color w:val="000000" w:themeColor="text1"/>
          <w:sz w:val="16"/>
          <w:szCs w:val="16"/>
        </w:rPr>
      </w:pPr>
      <w:r w:rsidRPr="00507A31">
        <w:rPr>
          <w:color w:val="000000" w:themeColor="text1"/>
          <w:sz w:val="16"/>
          <w:szCs w:val="16"/>
        </w:rPr>
        <w:t>Источник: </w:t>
      </w:r>
    </w:p>
    <w:p w14:paraId="52E7A669" w14:textId="77777777" w:rsidR="001D2773" w:rsidRPr="00507A31" w:rsidRDefault="001D277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E7E6C2" w14:textId="77777777" w:rsidR="001D2773" w:rsidRPr="00507A31" w:rsidRDefault="001D2773" w:rsidP="00507A31">
      <w:pPr>
        <w:jc w:val="both"/>
        <w:rPr>
          <w:color w:val="000000" w:themeColor="text1"/>
          <w:sz w:val="16"/>
          <w:szCs w:val="16"/>
        </w:rPr>
      </w:pPr>
      <w:r w:rsidRPr="00507A31">
        <w:rPr>
          <w:color w:val="000000" w:themeColor="text1"/>
          <w:sz w:val="16"/>
          <w:szCs w:val="16"/>
        </w:rPr>
        <w:t>25 ноября 1930 г.</w:t>
      </w:r>
    </w:p>
    <w:p w14:paraId="2A8C676F" w14:textId="77777777" w:rsidR="001D2773" w:rsidRPr="00507A31" w:rsidRDefault="001D2773" w:rsidP="00507A31">
      <w:pPr>
        <w:jc w:val="both"/>
        <w:rPr>
          <w:color w:val="000000" w:themeColor="text1"/>
          <w:sz w:val="16"/>
          <w:szCs w:val="16"/>
        </w:rPr>
      </w:pPr>
      <w:r w:rsidRPr="00507A31">
        <w:rPr>
          <w:color w:val="000000" w:themeColor="text1"/>
          <w:sz w:val="16"/>
          <w:szCs w:val="16"/>
        </w:rPr>
        <w:t>ЗАЯВЛЕНИЕ ТОРГПРОМА.</w:t>
      </w:r>
    </w:p>
    <w:p w14:paraId="6768E7B0" w14:textId="77777777" w:rsidR="001D2773" w:rsidRPr="00507A31" w:rsidRDefault="001D2773" w:rsidP="00507A31">
      <w:pPr>
        <w:jc w:val="both"/>
        <w:rPr>
          <w:color w:val="000000" w:themeColor="text1"/>
          <w:sz w:val="16"/>
          <w:szCs w:val="16"/>
        </w:rPr>
      </w:pPr>
      <w:r w:rsidRPr="00507A31">
        <w:rPr>
          <w:color w:val="000000" w:themeColor="text1"/>
          <w:sz w:val="16"/>
          <w:szCs w:val="16"/>
        </w:rPr>
        <w:t>БИ. 905. ПАРИЖ. 25/XI. (Тасс). — Заявление Торгпрома, опубликованное в белоэмигрантских газетах в связи с делом «Промпартии», гласит: «Ввиду опубликования в “Известиях ЦИК СССР” от 11 ноября 1930 года обвинительного заключения по делу контрреволюционной организации Союза инженерных организаций (промышленная партия), комитет российского торгово-промышленного и финансового союза считает своим долгом сделать следующее заявление: “Обвинительный акт утверждает, будто российский торгово-промышленный и финансовый союз находиться в связи с так называемым Союзом инженерных организаций («Промышленная партия») России, будто он субсидировал обвиняемых и будто он организовал совместную работу обвиняемых с французским генеральным штабом, подготовляя иностранную интервенцию. Все эти утверждения без исключения измышлены. Российский торгово-промышленный и финансовый союз никогда никаких переговоров с обвиняемыми не вел, никогда никаких встреч ни с кем не устраивал, никогда никаких денежных субсидий им не предоставлял и вообще никогда ни в каких отношениях с ними не находился. Эти обвинения основываются, якобы, на собственных показаниях обвиняемых. Подобные показания или измышлены, или вымучены от обвиняемых пытками. Советской власти нужно объяснить провал своих безумных хозяйственных планов обманутому ею русскому народу, оправдать этот провал в глазах некоторых политических кругов заграницей. Ради этих целей измышлен этот чудовищный процесс, ради них обрекаются убийцами на смерть десятки неповинных людей. Российский торгово-промышленный и финансовый союз решительно протестует против лживых утверждений советской власти, которыми она старается оправдать массовые убийства неугодных ей деятелей. Эти зверства свидетельствуют лишь о безнадежности положения советской власти. Как центральная организация торгово-промышленного класса заграницей российский торгово-промышленный и финансовый союз будет продолжать неустанную борьбу против советской власти, разъяснять общественному мнению культурных стран истинный смысл происходящих в России событий и подготовлять будущее восстановление родины на началах свободы и права.</w:t>
      </w:r>
    </w:p>
    <w:p w14:paraId="3E8D2706" w14:textId="77777777" w:rsidR="001D2773" w:rsidRPr="00507A31" w:rsidRDefault="001D2773" w:rsidP="00507A31">
      <w:pPr>
        <w:jc w:val="both"/>
        <w:rPr>
          <w:color w:val="000000" w:themeColor="text1"/>
          <w:sz w:val="16"/>
          <w:szCs w:val="16"/>
        </w:rPr>
      </w:pPr>
      <w:r w:rsidRPr="00507A31">
        <w:rPr>
          <w:color w:val="000000" w:themeColor="text1"/>
          <w:sz w:val="16"/>
          <w:szCs w:val="16"/>
        </w:rPr>
        <w:t>Председатель: Н. X. Денисов.</w:t>
      </w:r>
    </w:p>
    <w:p w14:paraId="481EF416" w14:textId="77777777" w:rsidR="001D2773" w:rsidRPr="00507A31" w:rsidRDefault="001D2773" w:rsidP="00507A31">
      <w:pPr>
        <w:jc w:val="both"/>
        <w:rPr>
          <w:color w:val="000000" w:themeColor="text1"/>
          <w:sz w:val="16"/>
          <w:szCs w:val="16"/>
        </w:rPr>
      </w:pPr>
      <w:r w:rsidRPr="00507A31">
        <w:rPr>
          <w:color w:val="000000" w:themeColor="text1"/>
          <w:sz w:val="16"/>
          <w:szCs w:val="16"/>
        </w:rPr>
        <w:t>Товарищи председателя: И. Л. Любович, Г. Л. Нобель, С. Г. Лианозов,</w:t>
      </w:r>
    </w:p>
    <w:p w14:paraId="6686C0D6" w14:textId="77777777" w:rsidR="001D2773" w:rsidRPr="00507A31" w:rsidRDefault="001D2773" w:rsidP="00507A31">
      <w:pPr>
        <w:jc w:val="both"/>
        <w:rPr>
          <w:color w:val="000000" w:themeColor="text1"/>
          <w:sz w:val="16"/>
          <w:szCs w:val="16"/>
        </w:rPr>
      </w:pPr>
      <w:r w:rsidRPr="00507A31">
        <w:rPr>
          <w:color w:val="000000" w:themeColor="text1"/>
          <w:sz w:val="16"/>
          <w:szCs w:val="16"/>
        </w:rPr>
        <w:t>Н. Н. Изнар, С. Н. Третьяков.</w:t>
      </w:r>
    </w:p>
    <w:p w14:paraId="5AA0D192" w14:textId="77777777" w:rsidR="001D2773" w:rsidRPr="00507A31" w:rsidRDefault="001D2773" w:rsidP="00507A31">
      <w:pPr>
        <w:jc w:val="both"/>
        <w:rPr>
          <w:color w:val="000000" w:themeColor="text1"/>
          <w:sz w:val="16"/>
          <w:szCs w:val="16"/>
        </w:rPr>
      </w:pPr>
      <w:r w:rsidRPr="00507A31">
        <w:rPr>
          <w:color w:val="000000" w:themeColor="text1"/>
          <w:sz w:val="16"/>
          <w:szCs w:val="16"/>
        </w:rPr>
        <w:t>Секретарь: Новиков.»</w:t>
      </w:r>
    </w:p>
    <w:p w14:paraId="6694A33B" w14:textId="77777777" w:rsidR="001D2773" w:rsidRPr="00507A31" w:rsidRDefault="001D2773" w:rsidP="00507A31">
      <w:pPr>
        <w:jc w:val="both"/>
        <w:rPr>
          <w:color w:val="000000" w:themeColor="text1"/>
          <w:sz w:val="16"/>
          <w:szCs w:val="16"/>
        </w:rPr>
      </w:pPr>
      <w:r w:rsidRPr="00507A31">
        <w:rPr>
          <w:color w:val="000000" w:themeColor="text1"/>
          <w:sz w:val="16"/>
          <w:szCs w:val="16"/>
        </w:rPr>
        <w:t>Д. 356. Л. 15-16. Машинописная копия того времени (18651).</w:t>
      </w:r>
    </w:p>
    <w:p w14:paraId="6F46FC6D" w14:textId="77777777" w:rsidR="001D2773" w:rsidRPr="00507A31" w:rsidRDefault="001D2773" w:rsidP="00507A31">
      <w:pPr>
        <w:jc w:val="both"/>
        <w:rPr>
          <w:color w:val="000000" w:themeColor="text1"/>
          <w:sz w:val="16"/>
          <w:szCs w:val="16"/>
        </w:rPr>
      </w:pPr>
    </w:p>
    <w:p w14:paraId="114ED451" w14:textId="77777777" w:rsidR="0041096C" w:rsidRPr="00507A31" w:rsidRDefault="0041096C" w:rsidP="00507A31">
      <w:pPr>
        <w:jc w:val="both"/>
        <w:rPr>
          <w:bCs/>
          <w:color w:val="000000" w:themeColor="text1"/>
          <w:sz w:val="16"/>
          <w:szCs w:val="16"/>
        </w:rPr>
      </w:pPr>
      <w:r w:rsidRPr="00507A31">
        <w:rPr>
          <w:color w:val="000000" w:themeColor="text1"/>
          <w:sz w:val="16"/>
          <w:szCs w:val="16"/>
        </w:rPr>
        <w:t>25 ноября 1930 г.</w:t>
      </w:r>
    </w:p>
    <w:p w14:paraId="1833DE80" w14:textId="77777777" w:rsidR="0041096C" w:rsidRPr="00507A31" w:rsidRDefault="0041096C" w:rsidP="00507A31">
      <w:pPr>
        <w:jc w:val="both"/>
        <w:rPr>
          <w:bCs/>
          <w:color w:val="000000" w:themeColor="text1"/>
          <w:sz w:val="16"/>
          <w:szCs w:val="16"/>
        </w:rPr>
      </w:pPr>
      <w:r w:rsidRPr="00507A31">
        <w:rPr>
          <w:color w:val="000000" w:themeColor="text1"/>
          <w:sz w:val="16"/>
          <w:szCs w:val="16"/>
        </w:rPr>
        <w:t>Письмо полпреда СССР во Франции В. С. Довгалевского заместителю наркома иностранных дел СССР Н. Н. Крестинскому. 25 ноября 1930 г.</w:t>
      </w:r>
    </w:p>
    <w:p w14:paraId="18EB9B63"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21B4D200"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0E903D9"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Архив: </w:t>
      </w:r>
    </w:p>
    <w:p w14:paraId="764557FF" w14:textId="77777777" w:rsidR="0041096C" w:rsidRPr="00507A31" w:rsidRDefault="0041096C" w:rsidP="00507A31">
      <w:pPr>
        <w:jc w:val="both"/>
        <w:rPr>
          <w:color w:val="000000" w:themeColor="text1"/>
          <w:sz w:val="16"/>
          <w:szCs w:val="16"/>
        </w:rPr>
      </w:pPr>
      <w:r w:rsidRPr="00507A31">
        <w:rPr>
          <w:color w:val="000000" w:themeColor="text1"/>
          <w:sz w:val="16"/>
          <w:szCs w:val="16"/>
        </w:rPr>
        <w:t>АВП РФ. Ф. 010. On. 1. П. 5. Д. 83. Л. 70</w:t>
      </w:r>
    </w:p>
    <w:p w14:paraId="5D4DCC5E"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25 ноября 1930 г.</w:t>
      </w:r>
    </w:p>
    <w:p w14:paraId="0CA6205F"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5C349767"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Париж, 25-го ноября 1930 года</w:t>
      </w:r>
    </w:p>
    <w:p w14:paraId="68A141C7"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 545/с</w:t>
      </w:r>
    </w:p>
    <w:p w14:paraId="0D6556B3"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Зам. НАРКОМИНДЕЛ</w:t>
      </w:r>
    </w:p>
    <w:p w14:paraId="03BBB79F"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тов. Н. Н. КРЕСТИНСКОМУ</w:t>
      </w:r>
    </w:p>
    <w:p w14:paraId="537FF0C7"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Москва</w:t>
      </w:r>
    </w:p>
    <w:p w14:paraId="6E44EDF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Многоуважаемый Николай Николаевич,</w:t>
      </w:r>
    </w:p>
    <w:p w14:paraId="6569F73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I. В исполнение Ваших директив мы занялись организацией корреспондентских отчетов с суда над группой Рамзина для французской прессы. О первых результатах мы Вам уже телеграфировали и надеемся быть завтра в состоянии подвести уже окончательные итоги. Досадно, конечно, что в нашем распоряжении оказалось так мало времени. Ваша первая телеграмма была получена поздно вечером в субботу, 22-го; следующий день - воскресенье, пропал даром и только вчера нам удалось вступить в сношения с некоторыми из заинтересованных лиц.</w:t>
      </w:r>
    </w:p>
    <w:p w14:paraId="2D3EEF8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II.    Вы совершенно правы были, заключив, что отсутствие сведений от меня о демарше МИДа в связи с обвинительным актом по делу промышленной партии, объясняется тем, что такого демарша не было. Только 22-го Вертело попутно в разговоре и весьма вскользь упомянул о «странности обвинения, направленного против таких лиц, как Пуанкарэ и Бриан». Следует отметить, что пресса, за весьма редкими исключениями, не посвятила комментариев этому делу, которое постаралась обойти молчанием, очевидно, по указке свыше. Францпра, видимо, решило занять выжидательную позицию и пока не делать из этого конфликта. В виде реванша французская пресса последние дни пестрит сообщениями из Риги, Берлина и Варшавы о беспорядках и «революции» в СССР.</w:t>
      </w:r>
    </w:p>
    <w:p w14:paraId="6278A88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III.   От тов. Розенгольца получилось разрешение на ассигнование необходимых средств на издание брошюры против обвинения СССР в дэм- пинге. Мы приступили к изданию этой брошюры.</w:t>
      </w:r>
    </w:p>
    <w:p w14:paraId="49E5EE4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IV.   Мною послан Обществу Спальных Вагонов ответ в соответствии с Вашими директивами. Копию ответа при настоящем прилагаю.</w:t>
      </w:r>
    </w:p>
    <w:p w14:paraId="14F2EC3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V.    Посылаю также копию моего ответа персидскому посольству в ответ на его просьбу о разрешении транзитного провоза через СССР оборудования кожевенной фабрики для частной персидской фирмы.</w:t>
      </w:r>
    </w:p>
    <w:p w14:paraId="465CCC5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VI.   Мне, разумеется[,] ничего не остается, как примириться с постановлением инстанции и отпустить тов. Кузьмина. Как Вы знаете, у нас в Париже имеется вице-консул, содержание которого, однако, оплачивается помимо Наркоминдела. Наличность этого вице-консула и позволяет мне примириться с незамещением тов. Кузьмина. Это положение следует, однако, признать временным и подлежащим изменению, в случае откомандирования вице-консула, тов. Сперанского, которое может состояться в любое время без того, чтобы вопрос был с нами согласован. Временно таким образом я поручаю управление Ген. Консульством тов. Ильину-Женевскому. МИДу я нотифицирую, что, в связи с откомандированием тов. Кузьмина в НКИД, я поручаю временное управление Ген. Консульством советнику, Ильину-Женевскому, по совместительству с его прямыми обязанностями. Это оставит перед нами открытой дверь для всякого эвентуального решения в отношении Генконсульства. Я бы просил также оставить в наших штатах на будущий год должность Генконсула, которая, повторяю, не будет нами замещаться[,] пока у нас будет вице-консул. Т. Кузьмин выезжает 7-го декабрям</w:t>
      </w:r>
    </w:p>
    <w:p w14:paraId="71177DE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VII.   Отправляя мне запись первого разговора тов. Розенгольца с Марлио, Ваша канцелярия по рассеянности положила вместо третьей страницы две вторые страницы. Буду очень обязан, если эта ошибка будет исправлена, и мне будет дослана третья страница. Ожидаю также присылки записи второй беседы тов. Розенгольца.</w:t>
      </w:r>
    </w:p>
    <w:p w14:paraId="2D4589B1"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С товарищеским приветом</w:t>
      </w:r>
    </w:p>
    <w:p w14:paraId="5FC01A80"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В. Довгалевский</w:t>
      </w:r>
    </w:p>
    <w:p w14:paraId="67C57A1D"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010. On. 1. П. 5. Д. 83. Л. 70. Машинописный подлинник, подпись - автограф. Гриф секретности машинописью. Штамп Секретариата замнаркома НКИД СССР с вписанными от руки номером и датой получения «30.XI.1930 г.» Внизу листа (после подписи) написано от руки «Приложения: 2». Вверху слева делопроизводственная помета машинописью о количестве размноженных экземпляров (7 экз.) и адрес рассылки «5 экз. - т. Крестинскому, 1 - т. Литвинову, 1 - в дело». Здесь же подпись- росчерк Н. Н. Крестинского «НК» (18800).</w:t>
      </w:r>
    </w:p>
    <w:p w14:paraId="1DEA8DAB" w14:textId="77777777" w:rsidR="0041096C" w:rsidRPr="00507A31" w:rsidRDefault="0041096C" w:rsidP="00507A31">
      <w:pPr>
        <w:jc w:val="both"/>
        <w:rPr>
          <w:color w:val="000000" w:themeColor="text1"/>
          <w:sz w:val="16"/>
          <w:szCs w:val="16"/>
        </w:rPr>
      </w:pPr>
    </w:p>
    <w:p w14:paraId="4A499883" w14:textId="77777777" w:rsidR="0041096C" w:rsidRPr="00507A31" w:rsidRDefault="0041096C" w:rsidP="00507A31">
      <w:pPr>
        <w:jc w:val="both"/>
        <w:rPr>
          <w:bCs/>
          <w:color w:val="000000" w:themeColor="text1"/>
          <w:sz w:val="16"/>
          <w:szCs w:val="16"/>
        </w:rPr>
      </w:pPr>
      <w:r w:rsidRPr="00507A31">
        <w:rPr>
          <w:color w:val="000000" w:themeColor="text1"/>
          <w:sz w:val="16"/>
          <w:szCs w:val="16"/>
        </w:rPr>
        <w:t>25 ноября 1930 г.</w:t>
      </w:r>
    </w:p>
    <w:p w14:paraId="046CA6B2" w14:textId="77777777" w:rsidR="0041096C" w:rsidRPr="00507A31" w:rsidRDefault="0041096C" w:rsidP="00507A31">
      <w:pPr>
        <w:jc w:val="both"/>
        <w:rPr>
          <w:bCs/>
          <w:color w:val="000000" w:themeColor="text1"/>
          <w:sz w:val="16"/>
          <w:szCs w:val="16"/>
        </w:rPr>
      </w:pPr>
      <w:r w:rsidRPr="00507A31">
        <w:rPr>
          <w:color w:val="000000" w:themeColor="text1"/>
          <w:sz w:val="16"/>
          <w:szCs w:val="16"/>
        </w:rPr>
        <w:t>«Сводка инотелеграмм № 478». 25 ноября 1930 г.</w:t>
      </w:r>
    </w:p>
    <w:p w14:paraId="5743AA9E"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59F552D4"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776A48"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Архив: </w:t>
      </w:r>
    </w:p>
    <w:p w14:paraId="073508C7" w14:textId="77777777" w:rsidR="0041096C" w:rsidRPr="00507A31" w:rsidRDefault="0041096C" w:rsidP="00507A31">
      <w:pPr>
        <w:jc w:val="both"/>
        <w:rPr>
          <w:color w:val="000000" w:themeColor="text1"/>
          <w:sz w:val="16"/>
          <w:szCs w:val="16"/>
        </w:rPr>
      </w:pPr>
      <w:r w:rsidRPr="00507A31">
        <w:rPr>
          <w:color w:val="000000" w:themeColor="text1"/>
          <w:sz w:val="16"/>
          <w:szCs w:val="16"/>
        </w:rPr>
        <w:t>АВП РФ. Ф. 0136. Oп. 14. П. 140. Д. 593. Л. 45-46</w:t>
      </w:r>
    </w:p>
    <w:p w14:paraId="189E6BC0"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за 25 ноября 1930 г.</w:t>
      </w:r>
    </w:p>
    <w:p w14:paraId="109853BC"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3ED10281"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ДНЕВНЫЕ ТЕЛЕГРАММЫ</w:t>
      </w:r>
    </w:p>
    <w:p w14:paraId="7359D2F8"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lastRenderedPageBreak/>
        <w:t>за 25/XI-30 г.</w:t>
      </w:r>
    </w:p>
    <w:p w14:paraId="57FF789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ВУУД. Сегодняшние газеты, вышедшие в двойном объеме, печатают сообщения из разных стран с требованием вынесения смертного приговора подсудимым. По всей стране от арктических областей до солнечной Аму-Дарьи и от Камчатки до польской границы рабочие будут демонстрировать свое возмущение фактами, разоблаченными обвинительным актом. От Женевы, где уже четвертый год проходят в многословной подготовке обсуждения разоружения, все взоры обратятся на Москву в связи с процессом небольшой кучки людей, обвиняемых в подготовке нового европейского катаклизма. Кое[-]кто заграницей может с пренебрежением относиться к международным разветвлениям заговора, кое-кто может не удостаивать процесс своим вниманием — в Советском Союзе это будет самый сенсационный судебный процесс за 13 лет существования СССР. Будет ли он продолжаться неделю или месяц — зависит от того, как он будет проходить, будут ли сделаны разоблачения относительно Франции и других внешне-дружеских к СССР державах на открытых или закрытых заседаниях.</w:t>
      </w:r>
    </w:p>
    <w:p w14:paraId="7EC131E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СТОК. [1)] Расчеты на рекламирование процесса заграницей не оправдались, и совпресса не скрывает своего недовольства этим. «Известия» упрекают польские газеты в том, что они обошли молчанием сенсационные разоблачения обвинительного акта. Скептическое отношение к обвинительному акту со стороны немецкой прессы вызвало возмущение в советских кругах. Любопытно, что выданные два дня тому назад билеты были аннулированы и заменены новыми.</w:t>
      </w:r>
    </w:p>
    <w:p w14:paraId="54A48C5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 Советские газеты очень недовольны результатами выборов в сенат. По адресу Пилсудского и польских административных властей делаются глупые инсинуации, причем советская пресса черпает при этом обильный материал из польских оппозиционных газет.</w:t>
      </w:r>
    </w:p>
    <w:p w14:paraId="47A7BCC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ЛАЙОНС. Дипломатический корпус будет самым тщательным образом следить за ходом процесса, поскольку ожидают, что показания подсудимых так или иначе затронут внешние отношения СССР. Сегодняшняя «передовица» «Известий» развивает те же мысли, которые были высказаны Сталиным в беседе с Вашим корреспондентом по поводу смысла кампании лжи заграницей.</w:t>
      </w:r>
    </w:p>
    <w:p w14:paraId="0902888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БАУМ. Показательный процесс-монстр против группы инженеров подготовляется, как событие величайшей важности, интересующее весь Советский Союз. Сильнейшим образом заостряется в дальнейшем кампания против Франции. Если прежде делались упреки в активной враждебности и другим ближним или дальним государствам, то теперь все снаряды направляются исключительно против Парижа. Это факт, который следует пока констатировать и чье действительное значение покажет только будущее.</w:t>
      </w:r>
    </w:p>
    <w:p w14:paraId="413C28D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ЧЕМБЕРЛИН. Психологический эффект необычайных признаний подсудимых очень велик, и тут не щадят усилий для капитализации народного негодования. Поскольку вина подсудимых считается установленной на основании их показаний, главной чертой процесса — помимо дальнейших подробностей предполагаемого заговора — будет подхлестывание народного негодования против внутренних изменников и внешних врагов, чем должна быть укреплена решимость масс осуществить честолюбивую программу пятилетки.</w:t>
      </w:r>
    </w:p>
    <w:p w14:paraId="3BF68CE1"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ВИГАНД. В ответ на запрос подтверждение аутентичности интервью Сталина.</w:t>
      </w:r>
    </w:p>
    <w:p w14:paraId="7C875AFE"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ПРИМЕЧАНИЕ: Такие же запросы получили и другие инкоры.</w:t>
      </w:r>
    </w:p>
    <w:p w14:paraId="6FBAB88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КИНКЕЙД: Сообщения о военных бунтах не имеют под собой никакой основы, жизнь протекает нормально, не видно никаких признаков агитации.</w:t>
      </w:r>
    </w:p>
    <w:p w14:paraId="6945455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ДОЙС: Среди сотен (продиктованных) резолюций на фабриках, в университетах и т. д. выделяется письмо сына одного из заговорщиков — Ситнина[,] требующего расстрела своего отца.</w:t>
      </w:r>
    </w:p>
    <w:p w14:paraId="21820D0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 то время, как возбуждение толпы раздувается лихорадочной подготовкой...) В то время как готовятся к началу пропесса[.] «Правда» требует исключения всех партийцев, отказывающихся подчиняться партдисциплине и участвующих в заговорах против партии. Но все эти разногласия не имеют ничего общего с какой бы то ни было попыткой вооруженного выступления. Должностные лица говорят, что слухи о восстаниях до того бессмысленны, что не заслуживают опровержения. Засыпанная снегом Москва ничем не проявляет и следа беспорядков, все проходит по обычному, включая очереди у магазинов и трамваев. (За исключением кое-каких местных беспорядков на Кавказе) сообщения из провинции говорят о полном спокойствии.</w:t>
      </w:r>
    </w:p>
    <w:p w14:paraId="153A60A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ФИШЕР: Хотя, как говорят, Европа еще волнуется в связи с сообщениями о восстаниях в Москве, этот город спокоен, как всегда и москвичи смеялись, слушая мои рассказы о фантастических выдумках иностранной прессы. Как сказал В/корр[еспонден]ту один советский гражданин, единственное тело, лежащее на Красной площади — это тело Ленина, а войска марширующие по городу — группы красноармейцев, направляющихся в баню. Московский воздух является слишком хорошим проводником для слухов, анекдотов и т. д., чтобы можно было предположить возможность восстания какого[-]нибудь батальона без того, чтобы весь город тотчас же не знал бы об этом.</w:t>
      </w:r>
    </w:p>
    <w:p w14:paraId="7B9B508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(Объяснение заграничных сообщений следует искать в перенесении в действительность чьих[-]то планов. Возможно, что несколько недель тому назад, когда борьба против Сталина приняла самые ожесточенные формы, группа оппозиции мечтала захватить власть в партии другими мерами, нежели переубеждением и путем подачи голосов.)</w:t>
      </w:r>
    </w:p>
    <w:p w14:paraId="106CD45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ВУУД: 1. Перечисление многочисленных резолюций, требующих расстрела для подсудимых, в том числе и резолюции Московской Коллегии Защитников.</w:t>
      </w:r>
    </w:p>
    <w:p w14:paraId="3A1AAEC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 О мерах, принимаемых по отношению к лицам, отказывающимся выполнять путевки бирж труда.</w:t>
      </w:r>
    </w:p>
    <w:p w14:paraId="2CB0B3DC"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45-46. Машинописная копия того времени. Формула «Не подлежит оглашению» машинописью на Л. 45 вверху справа, здесь же по центру рукописная помета (росчерк) «НТ». На Л. 45 внизу слева машинописная делопроизводственная помета о размножении документа (37 экз.). Слова и фразы в скобках — текст, вычеркнутый цензурой (см. легенду к док. № 48 данного раздела «Сводка телеграмм иностранных корреспондентов» за 11 ноября 1930 г.). В ряде случаев следом за вычеркнутыми словами (фразой) следуют подчеркнутые слова (фразы) — видимо, результат цензурной правки (замена вычеркнутым) (18982).</w:t>
      </w:r>
    </w:p>
    <w:p w14:paraId="11F0BA0B" w14:textId="77777777" w:rsidR="0041096C" w:rsidRPr="00507A31" w:rsidRDefault="0041096C" w:rsidP="00507A31">
      <w:pPr>
        <w:jc w:val="both"/>
        <w:rPr>
          <w:color w:val="000000" w:themeColor="text1"/>
          <w:sz w:val="16"/>
          <w:szCs w:val="16"/>
        </w:rPr>
      </w:pPr>
    </w:p>
    <w:p w14:paraId="5B1DF789" w14:textId="77777777" w:rsidR="0041096C" w:rsidRPr="00507A31" w:rsidRDefault="0041096C" w:rsidP="00507A31">
      <w:pPr>
        <w:jc w:val="both"/>
        <w:rPr>
          <w:bCs/>
          <w:color w:val="000000" w:themeColor="text1"/>
          <w:sz w:val="16"/>
          <w:szCs w:val="16"/>
        </w:rPr>
      </w:pPr>
      <w:r w:rsidRPr="00507A31">
        <w:rPr>
          <w:color w:val="000000" w:themeColor="text1"/>
          <w:sz w:val="16"/>
          <w:szCs w:val="16"/>
        </w:rPr>
        <w:t>25 ноября 1930 г.</w:t>
      </w:r>
    </w:p>
    <w:p w14:paraId="27AE1DCF" w14:textId="77777777" w:rsidR="0041096C" w:rsidRPr="00507A31" w:rsidRDefault="0041096C" w:rsidP="00507A31">
      <w:pPr>
        <w:jc w:val="both"/>
        <w:rPr>
          <w:bCs/>
          <w:color w:val="000000" w:themeColor="text1"/>
          <w:sz w:val="16"/>
          <w:szCs w:val="16"/>
        </w:rPr>
      </w:pPr>
      <w:r w:rsidRPr="00507A31">
        <w:rPr>
          <w:color w:val="000000" w:themeColor="text1"/>
          <w:sz w:val="16"/>
          <w:szCs w:val="16"/>
        </w:rPr>
        <w:t>«Сводка инотелеграмм № 479». 25 ноября 1930 г.</w:t>
      </w:r>
    </w:p>
    <w:p w14:paraId="5DBA5C46"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5172CD9C"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C46ADE4"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Архив: </w:t>
      </w:r>
    </w:p>
    <w:p w14:paraId="7E89E3F5" w14:textId="77777777" w:rsidR="0041096C" w:rsidRPr="00507A31" w:rsidRDefault="0041096C" w:rsidP="00507A31">
      <w:pPr>
        <w:jc w:val="both"/>
        <w:rPr>
          <w:color w:val="000000" w:themeColor="text1"/>
          <w:sz w:val="16"/>
          <w:szCs w:val="16"/>
        </w:rPr>
      </w:pPr>
      <w:r w:rsidRPr="00507A31">
        <w:rPr>
          <w:color w:val="000000" w:themeColor="text1"/>
          <w:sz w:val="16"/>
          <w:szCs w:val="16"/>
        </w:rPr>
        <w:t>АВП РФ. Ф. 0136. Oп. 14. П. 140. Д. 593. Л. 47</w:t>
      </w:r>
    </w:p>
    <w:p w14:paraId="0AFB2FEF"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25 ноября 1930 г.</w:t>
      </w:r>
    </w:p>
    <w:p w14:paraId="616A9619"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510D38B7"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Вечерние телеграммы за 25.XI.30 г.</w:t>
      </w:r>
    </w:p>
    <w:p w14:paraId="03459316"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Все инкоры подробно описывают демонстрацию, общий вид колонного зала, как выглядят подсудимые и судьи, особо отмеча[ю]т спортивный костюм Крыленко. Указывается на присутствие представителей посольства, в том числе и французского.</w:t>
      </w:r>
    </w:p>
    <w:p w14:paraId="1F2854D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ЮБЕНК: Сегодня произошла величайшая в истории демонстрация (шествие смерти) — более полумиллиона профсоюзников, рабочих маршировали по главным улицам, требуя смерти 8-ми подсудимых. 2 адвоката назначены для защиты подсудимых (хотя обязанности защитников, по[-]видимому, чисто номинальны). Судебный зал переполнен не поддающимися описанию русскими, с открытым ртом следящими за тщательно охраняемыми подсудимыми. Последние, кажется, самые спокойные люди во всем зале; некоторые из них курят, просматривают журналы, пока судебный клерк монотонно читает обвинительный акт. Они также лучше одеты (умнее выглядят), чем остальные присутствующие. Судьи в мягких воротниках утомленно курят, очень просто одеты. Крыленко — пославший уже многих на смерть — в хакки, ноги в обмотках, с головой выбритой до блеска, праздно глядит вокруг.</w:t>
      </w:r>
    </w:p>
    <w:p w14:paraId="694C59A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ДОЙС: В пышной обстановке бывш[его] благородного собрания пущены в ход сегодня колеса пролетарской юстиции... Итак, Вы отказываетесь от адвокатов — обратился Вышинский к 6-ти подсудимым. «Да» — тихо ответило несколько голосов.</w:t>
      </w:r>
    </w:p>
    <w:p w14:paraId="31187BC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ВУУД: По 24 в ряд, с пением, факелами демонстранты, как призраки, появлялись из сумерек, освещаемые прожекторами. Тюремная карета ожидала подсудимых у греческого фасада для одной из нескольких быть может оставшихся им еще в жизни поездок.</w:t>
      </w:r>
    </w:p>
    <w:p w14:paraId="1351D498"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Описывается наружность подсудимых.</w:t>
      </w:r>
    </w:p>
    <w:p w14:paraId="45558763"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ДЮРАНТИ: Красные ковры, крытые красным столы на сцене, как пятно крови на снежно-мраморном фоне залы. У подсудимых бледновосковые лица, они изнурились от ослепительного света. Это пожилые, интеллигентные, хорошо одетые люди. И такова сила русского стоицизма, что на их лицах ни страха, ни отчаяния, хотя они чувствуют на плечах руку смерти. Крыленко — с быстрыми движениями альпиниста, охотника, с тонкими губами, глазами бульдога — суров, как всегда. При входе суда все встали, только подсудимые, все еще ошеломленные светом или апатичные — едва приподнялись со стульев.</w:t>
      </w:r>
    </w:p>
    <w:p w14:paraId="7D37B55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Миллионы людей работали 6-7-8 часов, потом пошли на демонстрацию, без обеда, добрались домой только через 4-5 часов. Внушительное доказательство власти Кремля над настроением массы.</w:t>
      </w:r>
    </w:p>
    <w:p w14:paraId="5D346BF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ФИШЕР: Если бы не 4 молодцеватых красноармейца, стоящие на страже, все это могло показаться заседанием съезда или лекцией. Секретарь, читающий обвинительный акт — докладчик, судьи — президиум, в зале делегаты, научные работники... Подсудимые сидят рядом, могут совещаться друг с другом, их лидер Рамзин, он отвечает за всех на общие вопросы судей.</w:t>
      </w:r>
    </w:p>
    <w:p w14:paraId="3F1E1CA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ЛАЙОНС: Подсудимые заняли свои места бледные (истощенные), но стоически сохраняя спокойствие. По общему мнению (это живые трупы) — им не избежать смерти. Радио, кино-аппараты придают этой трагической сцене обманчиво праздничный характер. Это во всех отношениях скорее ревтрибунал, напоминающий трибуналы французской революции, чем суд.</w:t>
      </w:r>
    </w:p>
    <w:p w14:paraId="013ED2B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lastRenderedPageBreak/>
        <w:t>БАУМ: Описание обстановки процесса.</w:t>
      </w:r>
    </w:p>
    <w:p w14:paraId="6225B2D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 улицам проходят демонстранты — рабочие, служащие, солдаты — с песнями, эмблемами, красными флагами. Все подготовлено и развернуто в самом широком масштабе.</w:t>
      </w:r>
    </w:p>
    <w:p w14:paraId="5B4A69BF"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Остальные инкоры — обычная описательная информация.</w:t>
      </w:r>
    </w:p>
    <w:p w14:paraId="50C7BDEB"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47. Машинописная копия того времени. Подпись отсутствует. Формула «Не подлежит оглашению» машинописью вверху справа. Рукописная помета (росчерк) «НТ». Слова и фразы в скобках — текст, вычеркнутый цензурой (см. легенду к док. № 48 данного раздела «Сводка телеграмм иностранных корреспондентов» за 11 ноября 1930 г.) (18983).</w:t>
      </w:r>
    </w:p>
    <w:p w14:paraId="19CDD20A" w14:textId="77777777" w:rsidR="0041096C" w:rsidRPr="00507A31" w:rsidRDefault="0041096C" w:rsidP="00507A31">
      <w:pPr>
        <w:jc w:val="both"/>
        <w:rPr>
          <w:color w:val="000000" w:themeColor="text1"/>
          <w:sz w:val="16"/>
          <w:szCs w:val="16"/>
        </w:rPr>
      </w:pPr>
    </w:p>
    <w:p w14:paraId="07FF922B" w14:textId="77777777" w:rsidR="0041096C" w:rsidRPr="00507A31" w:rsidRDefault="0041096C" w:rsidP="00507A31">
      <w:pPr>
        <w:jc w:val="both"/>
        <w:rPr>
          <w:bCs/>
          <w:color w:val="000000" w:themeColor="text1"/>
          <w:sz w:val="16"/>
          <w:szCs w:val="16"/>
        </w:rPr>
      </w:pPr>
      <w:r w:rsidRPr="00507A31">
        <w:rPr>
          <w:color w:val="000000" w:themeColor="text1"/>
          <w:sz w:val="16"/>
          <w:szCs w:val="16"/>
        </w:rPr>
        <w:t>25 ноября 1930 г.</w:t>
      </w:r>
    </w:p>
    <w:p w14:paraId="72972880" w14:textId="77777777" w:rsidR="0041096C" w:rsidRPr="00507A31" w:rsidRDefault="0041096C" w:rsidP="00507A31">
      <w:pPr>
        <w:jc w:val="both"/>
        <w:rPr>
          <w:bCs/>
          <w:color w:val="000000" w:themeColor="text1"/>
          <w:sz w:val="16"/>
          <w:szCs w:val="16"/>
        </w:rPr>
      </w:pPr>
      <w:r w:rsidRPr="00507A31">
        <w:rPr>
          <w:color w:val="000000" w:themeColor="text1"/>
          <w:sz w:val="16"/>
          <w:szCs w:val="16"/>
        </w:rPr>
        <w:t>Предложения секции кино ВОКСа в связи с кампанией по процессу «Промпартии». 25 ноября 1930 г.</w:t>
      </w:r>
    </w:p>
    <w:p w14:paraId="2BF9AF23"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24C09647"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B51DCFD"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Архив: </w:t>
      </w:r>
    </w:p>
    <w:p w14:paraId="5E979C6B" w14:textId="77777777" w:rsidR="0041096C" w:rsidRPr="00507A31" w:rsidRDefault="0041096C" w:rsidP="00507A31">
      <w:pPr>
        <w:jc w:val="both"/>
        <w:rPr>
          <w:color w:val="000000" w:themeColor="text1"/>
          <w:sz w:val="16"/>
          <w:szCs w:val="16"/>
        </w:rPr>
      </w:pPr>
      <w:r w:rsidRPr="00507A31">
        <w:rPr>
          <w:color w:val="000000" w:themeColor="text1"/>
          <w:sz w:val="16"/>
          <w:szCs w:val="16"/>
        </w:rPr>
        <w:t>ГА РФ. Ф. P-5283. On. 1. Д. 139. Л. 48-48 об.</w:t>
      </w:r>
    </w:p>
    <w:p w14:paraId="79588BC9"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Не позднее 25 ноября 1930 г.</w:t>
      </w:r>
    </w:p>
    <w:p w14:paraId="54F792D5" w14:textId="77777777" w:rsidR="0041096C" w:rsidRPr="00507A31" w:rsidRDefault="0041096C" w:rsidP="00507A31">
      <w:pPr>
        <w:pStyle w:val="rtecenter"/>
        <w:spacing w:before="0" w:after="0"/>
        <w:jc w:val="both"/>
        <w:rPr>
          <w:color w:val="000000" w:themeColor="text1"/>
          <w:sz w:val="16"/>
          <w:szCs w:val="16"/>
        </w:rPr>
      </w:pPr>
      <w:r w:rsidRPr="00507A31">
        <w:rPr>
          <w:color w:val="000000" w:themeColor="text1"/>
          <w:sz w:val="16"/>
          <w:szCs w:val="16"/>
        </w:rPr>
        <w:t>По проводимой кампании сообщаю следующий план</w:t>
      </w:r>
    </w:p>
    <w:p w14:paraId="38C8D61D" w14:textId="77777777" w:rsidR="0041096C" w:rsidRPr="00507A31" w:rsidRDefault="0041096C" w:rsidP="00507A31">
      <w:pPr>
        <w:pStyle w:val="rtecenter"/>
        <w:spacing w:before="0" w:after="0"/>
        <w:jc w:val="both"/>
        <w:rPr>
          <w:color w:val="000000" w:themeColor="text1"/>
          <w:sz w:val="16"/>
          <w:szCs w:val="16"/>
        </w:rPr>
      </w:pPr>
      <w:r w:rsidRPr="00507A31">
        <w:rPr>
          <w:color w:val="000000" w:themeColor="text1"/>
          <w:sz w:val="16"/>
          <w:szCs w:val="16"/>
        </w:rPr>
        <w:t>Кино-Секции БОКС.</w:t>
      </w:r>
    </w:p>
    <w:p w14:paraId="0BCADD1F" w14:textId="77777777" w:rsidR="0041096C" w:rsidRPr="00507A31" w:rsidRDefault="0041096C" w:rsidP="00507A31">
      <w:pPr>
        <w:pStyle w:val="rtecenter"/>
        <w:spacing w:before="0" w:after="0"/>
        <w:jc w:val="both"/>
        <w:rPr>
          <w:color w:val="000000" w:themeColor="text1"/>
          <w:sz w:val="16"/>
          <w:szCs w:val="16"/>
        </w:rPr>
      </w:pPr>
      <w:r w:rsidRPr="00507A31">
        <w:rPr>
          <w:color w:val="000000" w:themeColor="text1"/>
          <w:sz w:val="16"/>
          <w:szCs w:val="16"/>
        </w:rPr>
        <w:t>I.</w:t>
      </w:r>
    </w:p>
    <w:p w14:paraId="0091A5C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Продвижение культур-фильм для общественного показа, как в Обществе Сближения и в пролетарских кинематографических организациях, так и в специальных кино-обществах. В первую очередь, должна быть показана фильма процесс «Промышленной партии», причем необходимо для использования по нашей линии, монтировать контрастный документальный материал, иллюстрирующий ту или иную область социалистического строительства (на процессе слушается вредительство нефтяной промышленности — документация нефтяного дела).</w:t>
      </w:r>
    </w:p>
    <w:p w14:paraId="6E91DA5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Для этого потребуется оплата специального редактора.</w:t>
      </w:r>
    </w:p>
    <w:p w14:paraId="6C72695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Необходимо 4 экземпляра на разных языках такого фильма по 300 метров, русский язык — Латвия, Польша.</w:t>
      </w:r>
    </w:p>
    <w:p w14:paraId="7C4102D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немецкий язык — Германия, Австрия, Голландия</w:t>
      </w:r>
    </w:p>
    <w:p w14:paraId="65175EF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французский язык — Франция, Бельгия и Швейцария</w:t>
      </w:r>
    </w:p>
    <w:p w14:paraId="4CA296E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английский язык — САСШ, Англия</w:t>
      </w:r>
    </w:p>
    <w:p w14:paraId="1484C53D"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Переотправка в 12 пунктов по 20 долларов в каждый — 240 дол. 3 раза в месяц — 720 долларов.</w:t>
      </w:r>
    </w:p>
    <w:p w14:paraId="448F5F0C"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Культур-фильмы: «Великий путь» — Шуб, «Симфония Донбасса» — Вертов, «Днепрострой» — Курдюм, «Гигант», «Звено энергетики», «Турксиб». Потребуется переделка надписи на иностранные языки и переотправка за каждую фильму из города в город — примерно 50 долларов.</w:t>
      </w:r>
    </w:p>
    <w:p w14:paraId="4B3E1771" w14:textId="77777777" w:rsidR="0041096C" w:rsidRPr="00507A31" w:rsidRDefault="0041096C" w:rsidP="00507A31">
      <w:pPr>
        <w:pStyle w:val="rtecenter"/>
        <w:spacing w:before="0" w:after="0"/>
        <w:jc w:val="both"/>
        <w:rPr>
          <w:color w:val="000000" w:themeColor="text1"/>
          <w:sz w:val="16"/>
          <w:szCs w:val="16"/>
        </w:rPr>
      </w:pPr>
      <w:r w:rsidRPr="00507A31">
        <w:rPr>
          <w:color w:val="000000" w:themeColor="text1"/>
          <w:sz w:val="16"/>
          <w:szCs w:val="16"/>
        </w:rPr>
        <w:t>II.</w:t>
      </w:r>
    </w:p>
    <w:p w14:paraId="281619D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1. Усиление снабжения прессы различными статьями о советской кинематографии, 2. Пятилетний план кинофикации; 3. Капитальное строительство; 4. Кино в нацреспубликах; 5. Проблема звукового кино и ее осуществление; 6. Кино-общественность; 7. Кино-учеба; 8. Развитие кино-сети в деревне и городе.</w:t>
      </w:r>
    </w:p>
    <w:p w14:paraId="72EA84D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Всего на первое время около 10 статей по </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bscript"/>
        </w:rPr>
        <w:t>4</w:t>
      </w:r>
      <w:r w:rsidRPr="00507A31">
        <w:rPr>
          <w:color w:val="000000" w:themeColor="text1"/>
          <w:sz w:val="16"/>
          <w:szCs w:val="16"/>
        </w:rPr>
        <w:t> печатного листа —  400 руб. с переводом на 3 языка — перевод 250 руб., фото к ним — 200 р.</w:t>
      </w:r>
    </w:p>
    <w:p w14:paraId="29F6A18B" w14:textId="77777777" w:rsidR="0041096C" w:rsidRPr="00507A31" w:rsidRDefault="0041096C" w:rsidP="00507A31">
      <w:pPr>
        <w:pStyle w:val="rtecenter"/>
        <w:spacing w:before="0" w:after="0"/>
        <w:jc w:val="both"/>
        <w:rPr>
          <w:color w:val="000000" w:themeColor="text1"/>
          <w:sz w:val="16"/>
          <w:szCs w:val="16"/>
        </w:rPr>
      </w:pPr>
      <w:r w:rsidRPr="00507A31">
        <w:rPr>
          <w:color w:val="000000" w:themeColor="text1"/>
          <w:sz w:val="16"/>
          <w:szCs w:val="16"/>
        </w:rPr>
        <w:t>III.</w:t>
      </w:r>
    </w:p>
    <w:p w14:paraId="75A013F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Подготовка монографии о советской кинематографии — 10 печатных листов для Америки — авторский гонорар 1200 руб. и переводы 800 р.</w:t>
      </w:r>
    </w:p>
    <w:p w14:paraId="192A7C44"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Использование находящихся за границей работников кино для докладов (группа Эйзенштейна в Японии). Желательно по окончании монтажа фильмы «Очень хорошо живется» содействовать поездке Пудовкина за границу — в разные страны и максимально использовать его для работы ВОКС.</w:t>
      </w:r>
    </w:p>
    <w:p w14:paraId="0DEE03AA"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P-5283. On. 1. Д. 139. Л. 48-48 об. Машинописная копия того времени. Датируется по протоколу № 2 от 20.X1.30 г. (см. док. № 6 данного раздела) (18914).</w:t>
      </w:r>
    </w:p>
    <w:p w14:paraId="7F0F44C1" w14:textId="77777777" w:rsidR="0041096C" w:rsidRPr="00507A31" w:rsidRDefault="0041096C" w:rsidP="00507A31">
      <w:pPr>
        <w:jc w:val="both"/>
        <w:rPr>
          <w:color w:val="000000" w:themeColor="text1"/>
          <w:sz w:val="16"/>
          <w:szCs w:val="16"/>
        </w:rPr>
      </w:pPr>
    </w:p>
    <w:p w14:paraId="07CDA291" w14:textId="77777777" w:rsidR="0041096C" w:rsidRPr="00507A31" w:rsidRDefault="0041096C" w:rsidP="00507A31">
      <w:pPr>
        <w:jc w:val="both"/>
        <w:rPr>
          <w:bCs/>
          <w:color w:val="000000" w:themeColor="text1"/>
          <w:sz w:val="16"/>
          <w:szCs w:val="16"/>
        </w:rPr>
      </w:pPr>
      <w:r w:rsidRPr="00507A31">
        <w:rPr>
          <w:color w:val="000000" w:themeColor="text1"/>
          <w:sz w:val="16"/>
          <w:szCs w:val="16"/>
        </w:rPr>
        <w:t>25 ноября 1930 г.</w:t>
      </w:r>
    </w:p>
    <w:p w14:paraId="76E2514A" w14:textId="77777777" w:rsidR="0041096C" w:rsidRPr="00507A31" w:rsidRDefault="0041096C" w:rsidP="00507A31">
      <w:pPr>
        <w:jc w:val="both"/>
        <w:rPr>
          <w:bCs/>
          <w:color w:val="000000" w:themeColor="text1"/>
          <w:sz w:val="16"/>
          <w:szCs w:val="16"/>
        </w:rPr>
      </w:pPr>
      <w:r w:rsidRPr="00507A31">
        <w:rPr>
          <w:color w:val="000000" w:themeColor="text1"/>
          <w:sz w:val="16"/>
          <w:szCs w:val="16"/>
        </w:rPr>
        <w:t>Предложения секции искусствоведов ВОКС в связи с кампанией по процессу «Промпартии». 25 ноября 1930 г.</w:t>
      </w:r>
    </w:p>
    <w:p w14:paraId="6355820F"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626B7527"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7A5519"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Не позднее 25 ноября 1930 г.</w:t>
      </w:r>
    </w:p>
    <w:p w14:paraId="231F8A8F" w14:textId="77777777" w:rsidR="0041096C" w:rsidRPr="00507A31" w:rsidRDefault="0041096C" w:rsidP="00507A31">
      <w:pPr>
        <w:pStyle w:val="rtecenter"/>
        <w:spacing w:before="0" w:after="0"/>
        <w:jc w:val="both"/>
        <w:rPr>
          <w:color w:val="000000" w:themeColor="text1"/>
          <w:sz w:val="16"/>
          <w:szCs w:val="16"/>
        </w:rPr>
      </w:pPr>
      <w:r w:rsidRPr="00507A31">
        <w:rPr>
          <w:color w:val="000000" w:themeColor="text1"/>
          <w:sz w:val="16"/>
          <w:szCs w:val="16"/>
        </w:rPr>
        <w:t>РАБОТА СЕКЦИИ ИСКУССТВОВЕДОВ БОКС</w:t>
      </w:r>
    </w:p>
    <w:p w14:paraId="0C1347B3" w14:textId="77777777" w:rsidR="0041096C" w:rsidRPr="00507A31" w:rsidRDefault="0041096C" w:rsidP="00507A31">
      <w:pPr>
        <w:pStyle w:val="rtecenter"/>
        <w:spacing w:before="0" w:after="0"/>
        <w:jc w:val="both"/>
        <w:rPr>
          <w:color w:val="000000" w:themeColor="text1"/>
          <w:sz w:val="16"/>
          <w:szCs w:val="16"/>
        </w:rPr>
      </w:pPr>
      <w:r w:rsidRPr="00507A31">
        <w:rPr>
          <w:color w:val="000000" w:themeColor="text1"/>
          <w:sz w:val="16"/>
          <w:szCs w:val="16"/>
        </w:rPr>
        <w:t>ПО ПРОВЕДЕНИЮ УДАРНОЙ КАМПАНИИ</w:t>
      </w:r>
    </w:p>
    <w:p w14:paraId="5AB256E6" w14:textId="77777777" w:rsidR="0041096C" w:rsidRPr="00507A31" w:rsidRDefault="0041096C" w:rsidP="00507A31">
      <w:pPr>
        <w:pStyle w:val="rtecenter"/>
        <w:spacing w:before="0" w:after="0"/>
        <w:jc w:val="both"/>
        <w:rPr>
          <w:color w:val="000000" w:themeColor="text1"/>
          <w:sz w:val="16"/>
          <w:szCs w:val="16"/>
        </w:rPr>
      </w:pPr>
      <w:r w:rsidRPr="00507A31">
        <w:rPr>
          <w:color w:val="000000" w:themeColor="text1"/>
          <w:sz w:val="16"/>
          <w:szCs w:val="16"/>
        </w:rPr>
        <w:t>В СВЯЗИ С ПРОЦЕССОМ ПРОМЫШЛЕННОЙ ПАРТИИ</w:t>
      </w:r>
    </w:p>
    <w:p w14:paraId="06BC8A3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1. Обратиться с телеграфными запросами-анкетами к художникам и искусствоведам всех стран с просьбой высказать свое мнение о готовящейся интервенции.</w:t>
      </w:r>
    </w:p>
    <w:p w14:paraId="0A0F904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2. Ускорить выход специальных номеров журналов, посвященных искусству СССР, работа над которыми уже ведется: «Ар е Метье график» (Франция), «Штурм» (Германия), «Аршитектюр д’Ожурдюи» (Франция).</w:t>
      </w:r>
    </w:p>
    <w:p w14:paraId="121F29B9"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Принять все меры к изданию в Германии книги, посвященной оформлению нового быта в СССР и искусству в рабочем быту (архитектура, производственное искусство, самодеятельное искусство).</w:t>
      </w:r>
    </w:p>
    <w:p w14:paraId="5090529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Стремиться к пропаганде за границей актуальных и новых форм советского искусства.</w:t>
      </w:r>
    </w:p>
    <w:p w14:paraId="4BBCF6B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3. В целях развития этой пропаганды увеличить посылку книг по искусству статей, фотографий, плакатов Обществам Сближения с СССР и отдельным выдающимся деятелям искусства всех стран.</w:t>
      </w:r>
    </w:p>
    <w:p w14:paraId="2B50D8F7"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4. Увеличить контакт советских художников и искусствоведов с иностранными путем организации бесед, докладов, встреч, обмена работами и т. д.</w:t>
      </w:r>
    </w:p>
    <w:p w14:paraId="57A04E73"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5. Организация лекций по актуальным вопросам советского искусства для иностранных специалистов, работающих в Москве.</w:t>
      </w:r>
    </w:p>
    <w:p w14:paraId="3BEE7FFF"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Вся означенная работа проводится с соответствующими отделами ВОКС с консультацией Секции Искусствоведов.</w:t>
      </w:r>
    </w:p>
    <w:p w14:paraId="47B13AE5"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ГА</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P-5283. On. 1.</w:t>
      </w:r>
      <w:r w:rsidRPr="00507A31">
        <w:rPr>
          <w:rStyle w:val="af0"/>
          <w:i w:val="0"/>
          <w:color w:val="000000" w:themeColor="text1"/>
          <w:sz w:val="16"/>
          <w:szCs w:val="16"/>
        </w:rPr>
        <w:t>Д</w:t>
      </w:r>
      <w:r w:rsidRPr="00507A31">
        <w:rPr>
          <w:rStyle w:val="af0"/>
          <w:i w:val="0"/>
          <w:color w:val="000000" w:themeColor="text1"/>
          <w:sz w:val="16"/>
          <w:szCs w:val="16"/>
          <w:lang w:val="en-US"/>
        </w:rPr>
        <w:t xml:space="preserve">. 139. </w:t>
      </w:r>
      <w:r w:rsidRPr="00507A31">
        <w:rPr>
          <w:rStyle w:val="af0"/>
          <w:i w:val="0"/>
          <w:color w:val="000000" w:themeColor="text1"/>
          <w:sz w:val="16"/>
          <w:szCs w:val="16"/>
        </w:rPr>
        <w:t>Л</w:t>
      </w:r>
      <w:r w:rsidRPr="00507A31">
        <w:rPr>
          <w:rStyle w:val="af0"/>
          <w:i w:val="0"/>
          <w:color w:val="000000" w:themeColor="text1"/>
          <w:sz w:val="16"/>
          <w:szCs w:val="16"/>
          <w:lang w:val="en-US"/>
        </w:rPr>
        <w:t xml:space="preserve">. 49. </w:t>
      </w:r>
      <w:r w:rsidRPr="00507A31">
        <w:rPr>
          <w:rStyle w:val="af0"/>
          <w:i w:val="0"/>
          <w:color w:val="000000" w:themeColor="text1"/>
          <w:sz w:val="16"/>
          <w:szCs w:val="16"/>
        </w:rPr>
        <w:t>Машинописная копия того времени. Датируется по протоколу № 2 от 20.XI.30 г. (см. док. № 6 данного раздела ) (18915).</w:t>
      </w:r>
    </w:p>
    <w:p w14:paraId="752D3430" w14:textId="77777777" w:rsidR="0041096C" w:rsidRPr="00507A31" w:rsidRDefault="0041096C" w:rsidP="00507A31">
      <w:pPr>
        <w:jc w:val="both"/>
        <w:rPr>
          <w:color w:val="000000" w:themeColor="text1"/>
          <w:sz w:val="16"/>
          <w:szCs w:val="16"/>
        </w:rPr>
      </w:pPr>
    </w:p>
    <w:p w14:paraId="6237FCD6" w14:textId="77777777" w:rsidR="0041096C" w:rsidRPr="00507A31" w:rsidRDefault="0041096C" w:rsidP="00507A31">
      <w:pPr>
        <w:jc w:val="both"/>
        <w:rPr>
          <w:bCs/>
          <w:color w:val="000000" w:themeColor="text1"/>
          <w:sz w:val="16"/>
          <w:szCs w:val="16"/>
        </w:rPr>
      </w:pPr>
      <w:r w:rsidRPr="00507A31">
        <w:rPr>
          <w:color w:val="000000" w:themeColor="text1"/>
          <w:sz w:val="16"/>
          <w:szCs w:val="16"/>
        </w:rPr>
        <w:t>25 ноября 1930 г.</w:t>
      </w:r>
    </w:p>
    <w:p w14:paraId="18EB910F" w14:textId="77777777" w:rsidR="0041096C" w:rsidRPr="00507A31" w:rsidRDefault="0041096C" w:rsidP="00507A31">
      <w:pPr>
        <w:jc w:val="both"/>
        <w:rPr>
          <w:bCs/>
          <w:color w:val="000000" w:themeColor="text1"/>
          <w:sz w:val="16"/>
          <w:szCs w:val="16"/>
        </w:rPr>
      </w:pPr>
      <w:r w:rsidRPr="00507A31">
        <w:rPr>
          <w:color w:val="000000" w:themeColor="text1"/>
          <w:sz w:val="16"/>
          <w:szCs w:val="16"/>
        </w:rPr>
        <w:t>«Сводка инотелеграмм № 480». 25 ноября 1930 г.</w:t>
      </w:r>
    </w:p>
    <w:p w14:paraId="2028B4D5" w14:textId="77777777" w:rsidR="0041096C" w:rsidRPr="00507A31" w:rsidRDefault="0041096C" w:rsidP="00507A31">
      <w:pPr>
        <w:jc w:val="both"/>
        <w:rPr>
          <w:bCs/>
          <w:color w:val="000000" w:themeColor="text1"/>
          <w:sz w:val="16"/>
          <w:szCs w:val="16"/>
        </w:rPr>
      </w:pPr>
      <w:r w:rsidRPr="00507A31">
        <w:rPr>
          <w:bCs/>
          <w:color w:val="000000" w:themeColor="text1"/>
          <w:sz w:val="16"/>
          <w:szCs w:val="16"/>
        </w:rPr>
        <w:t>Источник: </w:t>
      </w:r>
    </w:p>
    <w:p w14:paraId="54AE14B0" w14:textId="77777777" w:rsidR="0041096C" w:rsidRPr="00507A31" w:rsidRDefault="0041096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5C7E74"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25 ноября 1930 г.</w:t>
      </w:r>
    </w:p>
    <w:p w14:paraId="386BEBCD" w14:textId="77777777" w:rsidR="0041096C" w:rsidRPr="00507A31" w:rsidRDefault="0041096C"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1F41F223"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Ночные телеграммы за 25.XI.30 г.</w:t>
      </w:r>
    </w:p>
    <w:p w14:paraId="3FF2FA50"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ЮСТ: Сегодняшний процесс обращается в производящую большое впечатление, волнующую манифестацию против призрака интервенции, вспугнутого 10 лет тому назад красными войсками. Этот ужасный образ живет не только в представлении сов.политиков и тех, кто видит все лишь в освещении сов. прессы. Каждый политически полуграмотный человек знает, что интервенция это действительность, поскольку живет в умах тех европейских политиков, которые своей исходной точкой сделали насилие и войну. Вряд ли можно отрицать, что широчайшие народные круги, в том числе и те, что не считаются целиком дружески расположенными к Советам, охотно подчиняются воздействию официальной пропаганды, призыву к национальному чувству, освещающему пропасть, отделяющую советских русских от эмиграции. Самый процесс как бы отодвигается при этом на задний план.</w:t>
      </w:r>
    </w:p>
    <w:p w14:paraId="6779A17B"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Отказ 6-ти подсудимых от защитников не должен удивлять при том положении, какое занимает защита в сов. юстиции — за пределами формальной правовой консультации защита имеет здесь небольшое значение. Французское посольство охраняется усиленными милиционными и красноармейскими нарядами.</w:t>
      </w:r>
    </w:p>
    <w:p w14:paraId="4034E465"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ЧОЛЛЕРТОН: Все как для большого матча бокса — усилители, юпитера. Ужасно бледные подсудимые занимают места, крепкий, маленький Крыленко в ловко сидящем охотничьем костюме выходит на сцену не совсем доев свой бутерброд. Я заметил Ульриха, Катаньяна и др. крупных охотников за контр-революционерами. В ложе слева видные сотрудники ОГПУ оглядывали привычным взором своих заключенных. У моложавого Вышинского по сравнению с шахтинским процессом постаревшее озабоченное лицо. Антонов-Саратовский — приятный на вид человек, с тонким лицом, странными чувственными, пожалуй, жестокими линиями рта. Бесцветные рабочие — члены суда, они как будто не выспались. Еще не создалось соответствующей атмосферы. Продолжается чтение бесконечного обвинительного акта.</w:t>
      </w:r>
    </w:p>
    <w:p w14:paraId="482AC21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lastRenderedPageBreak/>
        <w:t>ЧЕМБЕРЛИН: Подсудимые — типичные представители дореволюционной профессиональной интеллигенции. Несмотря на различные утомительные допросы до суда, несмотря на подавляющую тяжесть своих собственных признаний и многотысячные демонстрации, подсудимые — несколько бледные держались твердо и спокойно.</w:t>
      </w:r>
    </w:p>
    <w:p w14:paraId="2B63FC0A"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ДЮРАНТИ: Странно видеть, как человек сам отказывается от жизни. Вот — в одной фразе показания Рамзина — полное фатальное повторение прежних признаний. Вначале он очень нервничал, но постепенно успокоился, все время только облизывал губы. Бездушно (как автомат) повторил всю ужасную историю, ничего нового или драматического. Внезапно после 2-х часового показания, Вышинский объявил заседание закрытым.</w:t>
      </w:r>
    </w:p>
    <w:p w14:paraId="35C8DAC2"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ВИГАНД: Один за другим пожилые экономисты выходили со своих мест и, ослепленные юпитерами, дрожащими голосами заявляли о своей виновности.</w:t>
      </w:r>
    </w:p>
    <w:p w14:paraId="757D171F" w14:textId="77777777" w:rsidR="0041096C" w:rsidRPr="00507A31" w:rsidRDefault="0041096C" w:rsidP="00507A31">
      <w:pPr>
        <w:pStyle w:val="rtejustify"/>
        <w:spacing w:before="0" w:after="0"/>
        <w:rPr>
          <w:color w:val="000000" w:themeColor="text1"/>
          <w:sz w:val="16"/>
          <w:szCs w:val="16"/>
        </w:rPr>
      </w:pPr>
      <w:r w:rsidRPr="00507A31">
        <w:rPr>
          <w:color w:val="000000" w:themeColor="text1"/>
          <w:sz w:val="16"/>
          <w:szCs w:val="16"/>
        </w:rPr>
        <w:t>ЛАЙОНС: Большой педагогический опыт Рамзина сослужил ему службу у микрофона. Говорил как хороший докладчик.</w:t>
      </w:r>
    </w:p>
    <w:p w14:paraId="5AECE783" w14:textId="77777777" w:rsidR="0041096C" w:rsidRPr="00507A31" w:rsidRDefault="0041096C"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4D7A721E" w14:textId="77777777" w:rsidR="0041096C" w:rsidRPr="00507A31" w:rsidRDefault="0041096C"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On. 14. П. 140. Д. 593. Л. 48. Машинописная копия того времени. Формула «Не подлежит оглашению» вверху справа машинописью. Рукописная помета (росчерк) вверху «НТ». Внизу слева машинописью делопроизводственные пометы о размножении документа (41 экз.) (18991).</w:t>
      </w:r>
    </w:p>
    <w:p w14:paraId="6D78C775" w14:textId="699DEA8D" w:rsidR="0041096C" w:rsidRPr="00507A31" w:rsidRDefault="0041096C" w:rsidP="00507A31">
      <w:pPr>
        <w:jc w:val="both"/>
        <w:rPr>
          <w:color w:val="000000" w:themeColor="text1"/>
          <w:sz w:val="16"/>
          <w:szCs w:val="16"/>
        </w:rPr>
      </w:pPr>
    </w:p>
    <w:p w14:paraId="6A3C0A52" w14:textId="6BAEBF64" w:rsidR="007D3B68" w:rsidRPr="00507A31" w:rsidRDefault="007D3B68" w:rsidP="00507A31">
      <w:pPr>
        <w:jc w:val="both"/>
        <w:rPr>
          <w:i/>
          <w:iCs/>
          <w:color w:val="000000" w:themeColor="text1"/>
          <w:sz w:val="16"/>
          <w:szCs w:val="16"/>
        </w:rPr>
      </w:pPr>
      <w:r w:rsidRPr="00507A31">
        <w:rPr>
          <w:i/>
          <w:iCs/>
          <w:color w:val="000000" w:themeColor="text1"/>
          <w:sz w:val="16"/>
          <w:szCs w:val="16"/>
        </w:rPr>
        <w:t>За рубежом:</w:t>
      </w:r>
    </w:p>
    <w:p w14:paraId="66624515" w14:textId="77777777" w:rsidR="007D3B68" w:rsidRPr="00507A31" w:rsidRDefault="007D3B68" w:rsidP="00507A31">
      <w:pPr>
        <w:jc w:val="both"/>
        <w:rPr>
          <w:i/>
          <w:iCs/>
          <w:color w:val="000000" w:themeColor="text1"/>
          <w:sz w:val="16"/>
          <w:szCs w:val="16"/>
        </w:rPr>
      </w:pPr>
    </w:p>
    <w:p w14:paraId="271247CA" w14:textId="77777777" w:rsidR="007D3B68" w:rsidRPr="00507A31" w:rsidRDefault="007D3B68" w:rsidP="00507A31">
      <w:pPr>
        <w:jc w:val="both"/>
        <w:rPr>
          <w:color w:val="0070C0"/>
          <w:sz w:val="16"/>
          <w:szCs w:val="16"/>
        </w:rPr>
      </w:pPr>
      <w:r w:rsidRPr="00507A31">
        <w:rPr>
          <w:color w:val="0070C0"/>
          <w:sz w:val="16"/>
          <w:szCs w:val="16"/>
        </w:rPr>
        <w:t xml:space="preserve">25 ноября 1930 первый полет Фейри Хендон (20805). </w:t>
      </w:r>
    </w:p>
    <w:p w14:paraId="0358E222" w14:textId="77777777" w:rsidR="007D3B68" w:rsidRPr="00507A31" w:rsidRDefault="007D3B68" w:rsidP="00507A31">
      <w:pPr>
        <w:jc w:val="both"/>
        <w:rPr>
          <w:color w:val="0070C0"/>
          <w:sz w:val="16"/>
          <w:szCs w:val="16"/>
        </w:rPr>
      </w:pPr>
    </w:p>
    <w:p w14:paraId="03E7EC5A" w14:textId="77777777" w:rsidR="007D3B68" w:rsidRPr="00507A31" w:rsidRDefault="007D3B68" w:rsidP="00507A31">
      <w:pPr>
        <w:jc w:val="both"/>
        <w:rPr>
          <w:color w:val="0070C0"/>
          <w:sz w:val="16"/>
          <w:szCs w:val="16"/>
        </w:rPr>
      </w:pPr>
      <w:r w:rsidRPr="00507A31">
        <w:rPr>
          <w:color w:val="0070C0"/>
          <w:sz w:val="16"/>
          <w:szCs w:val="16"/>
        </w:rPr>
        <w:t>25 ноября 1930 - Первый полет бомбардировщика Fairey Hendon под управлением Нормана Макмиллана. Состоял на вооружении RAF до 1939 года (22484).</w:t>
      </w:r>
    </w:p>
    <w:p w14:paraId="7362DC6F" w14:textId="77777777" w:rsidR="007D3B68" w:rsidRPr="00507A31" w:rsidRDefault="007D3B68" w:rsidP="00507A31">
      <w:pPr>
        <w:jc w:val="both"/>
        <w:rPr>
          <w:color w:val="0070C0"/>
          <w:sz w:val="16"/>
          <w:szCs w:val="16"/>
        </w:rPr>
      </w:pPr>
    </w:p>
    <w:p w14:paraId="32AF80D1" w14:textId="77777777" w:rsidR="007D3B68" w:rsidRPr="00507A31" w:rsidRDefault="007D3B68" w:rsidP="00507A31">
      <w:pPr>
        <w:jc w:val="both"/>
        <w:rPr>
          <w:color w:val="0070C0"/>
          <w:sz w:val="16"/>
          <w:szCs w:val="16"/>
        </w:rPr>
      </w:pPr>
      <w:r w:rsidRPr="00507A31">
        <w:rPr>
          <w:color w:val="0070C0"/>
          <w:sz w:val="16"/>
          <w:szCs w:val="16"/>
        </w:rPr>
        <w:t>25 ноября 1930 года — первый полёт тяжёлого бомбардировщика Fairey Hendon. /Англия/</w:t>
      </w:r>
    </w:p>
    <w:p w14:paraId="11ED9A62" w14:textId="77777777" w:rsidR="007D3B68" w:rsidRPr="00507A31" w:rsidRDefault="007D3B68" w:rsidP="00507A31">
      <w:pPr>
        <w:jc w:val="both"/>
        <w:rPr>
          <w:color w:val="0070C0"/>
          <w:sz w:val="16"/>
          <w:szCs w:val="16"/>
        </w:rPr>
      </w:pPr>
      <w:r w:rsidRPr="00507A31">
        <w:rPr>
          <w:color w:val="0070C0"/>
          <w:sz w:val="16"/>
          <w:szCs w:val="16"/>
        </w:rPr>
        <w:t>В 1927 году британское авиационное министерство опубликовало спецификацию B.19/27 на ночной тяжёлый бомбардировщик. Среди 8 проектов, поданных на конкурс, был и Hendon (до 1934 года называвшийся просто Fairey Night Bomber) от компании Fairey Aviation.</w:t>
      </w:r>
    </w:p>
    <w:p w14:paraId="63486DE0" w14:textId="77777777" w:rsidR="007D3B68" w:rsidRPr="00507A31" w:rsidRDefault="007D3B68" w:rsidP="00507A31">
      <w:pPr>
        <w:jc w:val="both"/>
        <w:rPr>
          <w:color w:val="0070C0"/>
          <w:sz w:val="16"/>
          <w:szCs w:val="16"/>
        </w:rPr>
      </w:pPr>
      <w:r w:rsidRPr="00507A31">
        <w:rPr>
          <w:color w:val="0070C0"/>
          <w:sz w:val="16"/>
          <w:szCs w:val="16"/>
        </w:rPr>
        <w:t>Hendon представлял собой низкоплан с неубираемым шасси и двухкилевым хвостовым оперением. Каркас фюзеляжа был выполнен из стальных труб и обтянут полотном. 2 × двигателя Rolls-Royce Kestrel VI (600 л.с.) позволяли развить максимальную скорость до 245 км/ч. Дальность полёта — 2190 км. Вооружение — 3 × 7,7-мм пулемёта Lewis + 753 кг бомб.</w:t>
      </w:r>
    </w:p>
    <w:p w14:paraId="6CAC2721" w14:textId="77777777" w:rsidR="007D3B68" w:rsidRPr="00507A31" w:rsidRDefault="007D3B68" w:rsidP="00507A31">
      <w:pPr>
        <w:jc w:val="both"/>
        <w:rPr>
          <w:color w:val="0070C0"/>
          <w:sz w:val="16"/>
          <w:szCs w:val="16"/>
        </w:rPr>
      </w:pPr>
      <w:r w:rsidRPr="00507A31">
        <w:rPr>
          <w:color w:val="0070C0"/>
          <w:sz w:val="16"/>
          <w:szCs w:val="16"/>
        </w:rPr>
        <w:t>Испытания и запуск в серийное производство Hendon затянулись. Первый серийный бомбардировщик построили лишь в 1936 году. К этому времени были представлены более совершенные Armstrong Whitworth Whitley, Vickers Wellington и Handley Page Hampden. Поэтому было выпущено лишь 14 самолётов Fairey Hendon (22542).</w:t>
      </w:r>
    </w:p>
    <w:p w14:paraId="23660763" w14:textId="77777777" w:rsidR="007D3B68" w:rsidRPr="00507A31" w:rsidRDefault="007D3B68" w:rsidP="00507A31">
      <w:pPr>
        <w:jc w:val="both"/>
        <w:rPr>
          <w:color w:val="0070C0"/>
          <w:sz w:val="16"/>
          <w:szCs w:val="16"/>
        </w:rPr>
      </w:pPr>
    </w:p>
    <w:p w14:paraId="4D88B62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0C20B75" w14:textId="77777777" w:rsidR="00537E5F" w:rsidRPr="00507A31" w:rsidRDefault="00537E5F" w:rsidP="00507A31">
      <w:pPr>
        <w:autoSpaceDE w:val="0"/>
        <w:autoSpaceDN w:val="0"/>
        <w:adjustRightInd w:val="0"/>
        <w:jc w:val="both"/>
        <w:rPr>
          <w:iCs/>
          <w:color w:val="000000" w:themeColor="text1"/>
          <w:sz w:val="16"/>
          <w:szCs w:val="16"/>
        </w:rPr>
      </w:pPr>
    </w:p>
    <w:p w14:paraId="7F3E4DE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ноября 1930 года состоялся полет ТБ3 на НОА (6925).</w:t>
      </w:r>
    </w:p>
    <w:p w14:paraId="1440C024"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317D15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ноября 1930 года ЦАГИ представил в НИИ ВВС предварительный эскизный проект одноместного самолета И12 - двухвостки с моторами Ю-VI тандем (6925).</w:t>
      </w:r>
    </w:p>
    <w:p w14:paraId="13C79DA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BF8B4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ноября 1930 Зам. Нач. ЦКБ Пууфлер и Зав. отд. Пред. Проектир. Сутугин писали письмо № 1665/с в ЭАО ЦАГИ:</w:t>
      </w:r>
    </w:p>
    <w:p w14:paraId="3F3F52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Препровождаю чертеж очертаний носика профиля ЦКБ сообщает требуемые Вами сведе</w:t>
      </w:r>
      <w:r w:rsidRPr="00507A31">
        <w:rPr>
          <w:color w:val="000000" w:themeColor="text1"/>
          <w:sz w:val="16"/>
          <w:szCs w:val="16"/>
        </w:rPr>
        <w:softHyphen/>
        <w:t>но самолету И5: отклонения стабилизатора от средней линии +/- 2°; нормальное положение его - 1,5°, изменение угда атаки стабилизатора достигается движением переднеймки, поэтому, при перестановке его углы рулей высоты сохраняются, - отклонение вверх , вниз 9°.</w:t>
      </w:r>
    </w:p>
    <w:p w14:paraId="7B5C79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Средняя линия стабилизатора параллельна хор</w:t>
      </w:r>
      <w:r w:rsidRPr="00507A31">
        <w:rPr>
          <w:color w:val="000000" w:themeColor="text1"/>
          <w:sz w:val="16"/>
          <w:szCs w:val="16"/>
        </w:rPr>
        <w:softHyphen/>
        <w:t>де крыла. Расположение лонжеронов даны на посланных Вам чертежах модели (10757).</w:t>
      </w:r>
    </w:p>
    <w:p w14:paraId="25A2A173" w14:textId="77777777" w:rsidR="00537E5F" w:rsidRPr="00507A31" w:rsidRDefault="00537E5F" w:rsidP="00507A31">
      <w:pPr>
        <w:autoSpaceDE w:val="0"/>
        <w:autoSpaceDN w:val="0"/>
        <w:adjustRightInd w:val="0"/>
        <w:jc w:val="both"/>
        <w:rPr>
          <w:color w:val="000000" w:themeColor="text1"/>
          <w:sz w:val="16"/>
          <w:szCs w:val="16"/>
        </w:rPr>
      </w:pPr>
    </w:p>
    <w:p w14:paraId="6B187F6F" w14:textId="77777777" w:rsidR="007C50A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5DDAA2E" w14:textId="77777777" w:rsidR="007C50AE" w:rsidRPr="00507A31" w:rsidRDefault="007C50AE" w:rsidP="00507A31">
      <w:pPr>
        <w:autoSpaceDE w:val="0"/>
        <w:autoSpaceDN w:val="0"/>
        <w:adjustRightInd w:val="0"/>
        <w:jc w:val="both"/>
        <w:rPr>
          <w:iCs/>
          <w:color w:val="000000" w:themeColor="text1"/>
          <w:sz w:val="16"/>
          <w:szCs w:val="16"/>
        </w:rPr>
      </w:pPr>
    </w:p>
    <w:p w14:paraId="43D66D12" w14:textId="77777777" w:rsidR="007C50AE" w:rsidRPr="00507A31" w:rsidRDefault="007C50AE" w:rsidP="00507A31">
      <w:pPr>
        <w:jc w:val="both"/>
        <w:rPr>
          <w:color w:val="000000" w:themeColor="text1"/>
          <w:sz w:val="16"/>
          <w:szCs w:val="16"/>
        </w:rPr>
      </w:pPr>
      <w:r w:rsidRPr="00507A31">
        <w:rPr>
          <w:rStyle w:val="a7"/>
          <w:b w:val="0"/>
          <w:color w:val="000000" w:themeColor="text1"/>
          <w:sz w:val="16"/>
          <w:szCs w:val="16"/>
        </w:rPr>
        <w:t xml:space="preserve">26 ноября 1930 </w:t>
      </w:r>
      <w:r w:rsidRPr="00507A31">
        <w:rPr>
          <w:color w:val="000000" w:themeColor="text1"/>
          <w:sz w:val="16"/>
          <w:szCs w:val="16"/>
        </w:rPr>
        <w:t>СНК принял постановление «О финансировании строительства электростанций, подстанций, электропередач и распределительных сетей» (12265).</w:t>
      </w:r>
    </w:p>
    <w:p w14:paraId="14231486" w14:textId="77777777" w:rsidR="007C50AE" w:rsidRPr="00507A31" w:rsidRDefault="007C50AE" w:rsidP="00507A31">
      <w:pPr>
        <w:jc w:val="both"/>
        <w:rPr>
          <w:color w:val="000000" w:themeColor="text1"/>
          <w:sz w:val="16"/>
          <w:szCs w:val="16"/>
        </w:rPr>
      </w:pPr>
      <w:r w:rsidRPr="00507A31">
        <w:rPr>
          <w:color w:val="000000" w:themeColor="text1"/>
          <w:sz w:val="16"/>
          <w:szCs w:val="16"/>
        </w:rPr>
        <w:t> </w:t>
      </w:r>
    </w:p>
    <w:p w14:paraId="20D70903" w14:textId="77777777" w:rsidR="00DD7307" w:rsidRPr="00507A31" w:rsidRDefault="00DD7307"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48171A2" w14:textId="77777777" w:rsidR="00DD7307" w:rsidRPr="00507A31" w:rsidRDefault="00DD7307" w:rsidP="00507A31">
      <w:pPr>
        <w:autoSpaceDE w:val="0"/>
        <w:autoSpaceDN w:val="0"/>
        <w:adjustRightInd w:val="0"/>
        <w:jc w:val="both"/>
        <w:rPr>
          <w:iCs/>
          <w:color w:val="000000" w:themeColor="text1"/>
          <w:sz w:val="16"/>
          <w:szCs w:val="16"/>
        </w:rPr>
      </w:pPr>
    </w:p>
    <w:p w14:paraId="24F140E0" w14:textId="77777777" w:rsidR="00DD7307" w:rsidRPr="00507A31" w:rsidRDefault="00DD7307" w:rsidP="00507A31">
      <w:pPr>
        <w:jc w:val="both"/>
        <w:rPr>
          <w:bCs/>
          <w:color w:val="000000" w:themeColor="text1"/>
          <w:sz w:val="16"/>
          <w:szCs w:val="16"/>
        </w:rPr>
      </w:pPr>
      <w:r w:rsidRPr="00507A31">
        <w:rPr>
          <w:color w:val="000000" w:themeColor="text1"/>
          <w:sz w:val="16"/>
          <w:szCs w:val="16"/>
        </w:rPr>
        <w:t>26 ноября 1930 г.</w:t>
      </w:r>
    </w:p>
    <w:p w14:paraId="56528FF0" w14:textId="77777777" w:rsidR="00DD7307" w:rsidRPr="00507A31" w:rsidRDefault="00DD7307" w:rsidP="00507A31">
      <w:pPr>
        <w:jc w:val="both"/>
        <w:rPr>
          <w:bCs/>
          <w:color w:val="000000" w:themeColor="text1"/>
          <w:sz w:val="16"/>
          <w:szCs w:val="16"/>
        </w:rPr>
      </w:pPr>
      <w:r w:rsidRPr="00507A31">
        <w:rPr>
          <w:color w:val="000000" w:themeColor="text1"/>
          <w:sz w:val="16"/>
          <w:szCs w:val="16"/>
        </w:rPr>
        <w:t>Информационная сводка Ленинградского областного комитета Союза рабочих-металлистов об участии в митингах и демонстрации в связи с началом судебного процесса «Промпартии». 26 ноября 1930 г.</w:t>
      </w:r>
    </w:p>
    <w:p w14:paraId="3868DDBA"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2A0F05DC"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6081DF"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Архив: </w:t>
      </w:r>
    </w:p>
    <w:p w14:paraId="1A62FD4A" w14:textId="77777777" w:rsidR="00DD7307" w:rsidRPr="00507A31" w:rsidRDefault="00DD7307" w:rsidP="00507A31">
      <w:pPr>
        <w:jc w:val="both"/>
        <w:rPr>
          <w:color w:val="000000" w:themeColor="text1"/>
          <w:sz w:val="16"/>
          <w:szCs w:val="16"/>
        </w:rPr>
      </w:pPr>
      <w:r w:rsidRPr="00507A31">
        <w:rPr>
          <w:color w:val="000000" w:themeColor="text1"/>
          <w:sz w:val="16"/>
          <w:szCs w:val="16"/>
        </w:rPr>
        <w:t>ГА РФ. Ф. P-5469. Oп. 14. Д. 135. Л. 11-12</w:t>
      </w:r>
    </w:p>
    <w:p w14:paraId="629BB8FA"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26 ноября 1930 г.</w:t>
      </w:r>
    </w:p>
    <w:p w14:paraId="0B143866"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ИНФОРМСВОДКА Л.О.К. В.С.Р.М.</w:t>
      </w:r>
    </w:p>
    <w:p w14:paraId="21C451E9"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на 26/ХI-30 г.</w:t>
      </w:r>
    </w:p>
    <w:p w14:paraId="03871B9C"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Об участии металлистов в демонстрации по поводу открытия</w:t>
      </w:r>
    </w:p>
    <w:p w14:paraId="713AD97B"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судебного процесса над вредителями контрреволюционерами</w:t>
      </w:r>
    </w:p>
    <w:p w14:paraId="79B62B2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24/XI На собрании общегородского профактива металлистов обсуждалось Обращение Облпрофсовета, где было решено, что Ленинградские Металлисты были в прошлом и будут в дальнейшем верной опорой Ленинского Ц.К.В.К.П.(б). Неоднократно доказывающие свою преданность в борьбе против классового врага, еще раз докажут, что воля Металлистов несокрушима.</w:t>
      </w:r>
    </w:p>
    <w:p w14:paraId="5CA297E3"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25/XI Металлисты в ответ на Обращение ЛОСПС многотысячными рядами со всех концов города двинулись на площадь Урицкого, единодушно желая доказать свою готовность бороться против капитала, против интервенции, против вредительства.</w:t>
      </w:r>
    </w:p>
    <w:p w14:paraId="64A9D12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На ряде крупнейших заводов организуются ударные бригады: Карл Маркс — 2 рабочих бригады, 1 техническая в Ватерном цехе, в 3-й механической 3 бригады с охватом в 40 чел., одна коммуна в 6 чел. На демонстрацию вышло свыше 70 %, явились даже те, кто был освобожден в этот день, и те, которые должны были работать в 3-ю смену. На цеховых собраниях принято решение отработать выходной день на оборону страны (Ватерный цех, 3 механическая, чугунно-литейный). На митинг явился подшефный полк, который был встречен с большим подъемом, как защитников мирного труда завода. На общезаводском митинге решено устроить отработку на дирижабль «Встречный».</w:t>
      </w:r>
    </w:p>
    <w:p w14:paraId="61C8CDE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Зав. Свердлова. В этот день на митинге заключил договор на соцсоревнование с подшефным пограничным отрядом. Принято решение об устройстве субботника по сбору лома и заработанные средства передать в фонд Обороны. 25/XI почин в отработке сделали ученики ФЗУ, участвовало 400 чел. ребят. На демонстрацию явилось 60 % от общего количества списочного состава.</w:t>
      </w:r>
    </w:p>
    <w:p w14:paraId="6F8F2A5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Зав. Ленина. На демонстрацию выставил 3000 человек при трехсменной работе, также участвовали выходные и работающие в 3-й смене. Подано свыше 60-ти заявлений о вступлении в партию, усилился приток в ударные бригады. Уже 25/XI создано 2 бригады «Ответ Пуанкаре».</w:t>
      </w:r>
    </w:p>
    <w:p w14:paraId="62586A9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Зав. Егорова. На демонстрацию выставил около 2000 человек — 90 %. Создано 6 ударных бригад. Вынесено решение об отчислении 1 % с зарплаты на дирижабле-строение.</w:t>
      </w:r>
    </w:p>
    <w:p w14:paraId="74FE80D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Кр[асный] Выборжеп. Организовано 4 ударные бригады «Ответ Интервентам», пущены подписные листы в фонд обороны страны. На демонстрацию вышло 2 тысячи человек при наличии трех и четырехсменной работы.</w:t>
      </w:r>
    </w:p>
    <w:p w14:paraId="62A2A63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На зав. «Электросила». Организуются ударные бригады им. ОСОАвиахима (49 отделение из 16 человек). Большинством цехов вынесено предложение об отчислении 1-2 часового заработка в фонд обороны страны. В демонстрации участвовали 3.500 рабочих при 3-х сменной работе.</w:t>
      </w:r>
    </w:p>
    <w:p w14:paraId="14CF05E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Кр[асный] Путиловец. На митинге о вредительстве в главной конторе инженер с долголетним стажем вступил в партию. В Первом цехе рабочие сдали облигации на Танк в ответ Интервентам. К площади Урицкого завод подошел во главе с вооруженным отрядом молодежи с шести с половиной тысячной колонной, несмотря на то, что завод работает на прерывке и трехсменной работе.</w:t>
      </w:r>
    </w:p>
    <w:p w14:paraId="6522A07F"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Зав. «Кр[асный] Октябрь». В ответ интервентам решил организовать массовый сбор рабочих предложений, не менее 1 тысячи, объявив этот сбор фондом обороны страны. Кроме этого, Кр. Октябрь решил отработать выходной день в фонд обороны. На демонстрации участвовало 80 % работающих.</w:t>
      </w:r>
    </w:p>
    <w:p w14:paraId="7C7414B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lastRenderedPageBreak/>
        <w:t>Завод № 7. В ответ интервентам вредителям подано свыше 20 заявлений о вступлении в партию. Организуются новые ударные бригады, уже 3 из них оформлены, с охватом в 32 человека. На демонстрации участвовало 80 %.</w:t>
      </w:r>
    </w:p>
    <w:p w14:paraId="0C4B452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Зав. «Большевик». Выставил колонну свыше 5000 человек, во главе колонны красовались 5 танков.</w:t>
      </w:r>
    </w:p>
    <w:p w14:paraId="3EA914D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Особо следует отметить, что несмотря на выходной день, предприятия Союзверфи обеспечили удовлетворительную явку на демонстрацию: Сев. Суд. Верфь дала 1500 чел., в обрабатывающей мастерской из 150 работающих 75 человек на летучке вступили в ряды ОСОАвиахима. Зав. им. Марти — в демонстрации участвовало 2500 человек. Происходит массовое вступление в ряды ОСОАвиахима и в ударные бригады.</w:t>
      </w:r>
    </w:p>
    <w:p w14:paraId="7790E82C"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Основным лозунгом демонстрации было: мобилизовать все силы на выполнение 5-летки в 3 года, Краснопутиловский лозунг «Вредители не имеют права жить, враг бил по трактору, меч пролетарской диктатуры ударит по вредителю и контрреволюционеру!». Этот лозунг Путиловского плаката горел в сердце каждого Металлиста.</w:t>
      </w:r>
    </w:p>
    <w:p w14:paraId="0D27D40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В заключение надо отметить, что металлисты вчерашний день продемонстрировали свою непреклонную волю в борьбе за генеральную линию Компартии и ее ЦК ВКП(б) и со всей решительностью заявили о своем гневе и ненависти ко всем вредителям, буржуазно-помещичьей контрреволюции и интервенции.</w:t>
      </w:r>
    </w:p>
    <w:p w14:paraId="4BFEB822"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ЗАВ. ИНФОРМСТАТСЕКТОРОМ</w:t>
      </w:r>
    </w:p>
    <w:p w14:paraId="05EAE026"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&lt;...&gt;</w:t>
      </w:r>
    </w:p>
    <w:p w14:paraId="1EA5C595"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P-5469. Oп. 14. Д. 135. Л. 11-12. Машинописный подлинник, подпись-автограф (неразборчиво). На Л. 11 вверху написано от руки «В Ц.К.ВСРМ» (19023).</w:t>
      </w:r>
    </w:p>
    <w:p w14:paraId="5899AC4F" w14:textId="77777777" w:rsidR="00DD7307" w:rsidRPr="00507A31" w:rsidRDefault="00DD7307" w:rsidP="00507A31">
      <w:pPr>
        <w:jc w:val="both"/>
        <w:rPr>
          <w:color w:val="000000" w:themeColor="text1"/>
          <w:sz w:val="16"/>
          <w:szCs w:val="16"/>
        </w:rPr>
      </w:pPr>
    </w:p>
    <w:p w14:paraId="1A7441F8" w14:textId="77777777" w:rsidR="001D2773" w:rsidRPr="00507A31" w:rsidRDefault="001D2773"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791396D0" w14:textId="77777777" w:rsidR="001D2773" w:rsidRPr="00507A31" w:rsidRDefault="001D2773" w:rsidP="00507A31">
      <w:pPr>
        <w:autoSpaceDE w:val="0"/>
        <w:autoSpaceDN w:val="0"/>
        <w:adjustRightInd w:val="0"/>
        <w:jc w:val="both"/>
        <w:rPr>
          <w:iCs/>
          <w:color w:val="000000" w:themeColor="text1"/>
          <w:sz w:val="16"/>
          <w:szCs w:val="16"/>
        </w:rPr>
      </w:pPr>
    </w:p>
    <w:p w14:paraId="7F8DB3F4" w14:textId="77777777" w:rsidR="00DD7307" w:rsidRPr="00507A31" w:rsidRDefault="00DD7307" w:rsidP="00507A31">
      <w:pPr>
        <w:jc w:val="both"/>
        <w:rPr>
          <w:bCs/>
          <w:color w:val="000000" w:themeColor="text1"/>
          <w:sz w:val="16"/>
          <w:szCs w:val="16"/>
        </w:rPr>
      </w:pPr>
      <w:r w:rsidRPr="00507A31">
        <w:rPr>
          <w:color w:val="000000" w:themeColor="text1"/>
          <w:sz w:val="16"/>
          <w:szCs w:val="16"/>
        </w:rPr>
        <w:t>26 ноября 1930 г.</w:t>
      </w:r>
    </w:p>
    <w:p w14:paraId="7A3D845C" w14:textId="77777777" w:rsidR="00DD7307" w:rsidRPr="00507A31" w:rsidRDefault="00DD7307" w:rsidP="00507A31">
      <w:pPr>
        <w:jc w:val="both"/>
        <w:rPr>
          <w:bCs/>
          <w:color w:val="000000" w:themeColor="text1"/>
          <w:sz w:val="16"/>
          <w:szCs w:val="16"/>
        </w:rPr>
      </w:pPr>
      <w:r w:rsidRPr="00507A31">
        <w:rPr>
          <w:color w:val="000000" w:themeColor="text1"/>
          <w:sz w:val="16"/>
          <w:szCs w:val="16"/>
        </w:rPr>
        <w:t>«Сводка инотелеграмм № 481». 26 ноября 1930 г.</w:t>
      </w:r>
    </w:p>
    <w:p w14:paraId="250BACD8"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4BF291D7"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D1C7DD"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26 ноября 1930 г.</w:t>
      </w:r>
    </w:p>
    <w:p w14:paraId="11ED2C33"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52C55BDF"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ЛАЙОНС: О демонстрациях во всем Союзе против вредительства и угрозы интервенции. Описание вчерашней московской демонстрации.</w:t>
      </w:r>
    </w:p>
    <w:p w14:paraId="78624E7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ВУУД: Сегодня впервые на процессе была упомянута Германия, как соучастница франко-британских планов интервенции. Рамзин показал, что он видел в Берлине (представителя германской армии) Зегера, который заверил его, что он может мобилизовать 300.000 штальгельмовцев, в случае войны. Дальше отмечается, что планы интервенции обсуждались с Лушером. Подробно излагаются показания Рамзина в части, касающейся переговоров с Жуанвилем. В изложении показаний Рамзина относительно Англии подчеркивается, что в Англии планы интервенции вдохновляются Черчиллем и Детердингом.</w:t>
      </w:r>
    </w:p>
    <w:p w14:paraId="6E68AD2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ЮСТ: На процессе продолжается доклад Рамзина на основе рукописи, причем его доклад тщательно разделен на разделы и подглавы. Дальше подробно излагаются показания Рамзина. Отмечается, что значение имеют, главным образом, показания Рамзина о совещаниях в Париже под председательством Денисова.</w:t>
      </w:r>
    </w:p>
    <w:p w14:paraId="40C88D0F"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БАУМ: Дает описание картины суда и изложение показаний Рамзина без комментариев.</w:t>
      </w:r>
    </w:p>
    <w:p w14:paraId="68D86013"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ЮБЕНК: Рамзин производит впечатление профессора, читающего лекцию для своей аудитории, а не человека, которого ждет смертная казнь за государственную измену. Дальше подробно излагаются показания Рамзина, причем особенно подробно излагается та часть показаний, которая касается Пуанкаре и Черчилля. По окончании показаний Рамзина начинает свою исповедь Ларичев. Все восемь обвиняемых сознались и, если теперь они повторяют свои показания, то это производится для того, чтобы массы с помощью радио узнали из уст самих обвиняемых, как они договаривались с капиталистами о военной интервенции против советского правительства. Показания Рамзина и Ларичева мало отличаются от того, что сказано в обвинительном заключении.</w:t>
      </w:r>
    </w:p>
    <w:p w14:paraId="4FEA9AC2"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Примечание: Инкор получил запрос — соответствует ли действительности сообщение об исчерпании у нас хлебных запасов и о прекращении в связи с этим хлебного экспорта. Инкор ответил, что эти сообщения не соответствуют действительности и что он завтра даст подробные сведения.</w:t>
      </w:r>
    </w:p>
    <w:p w14:paraId="763FE6DB"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ФИШЕР: Подробнейшее изложение показаний Рамзина, без комментариев. Лишь о вчерашней демонстрации инкор замечает, что все иностранные наблюдатели согласны между собою в том, что это была самая восторженная демонстрация, которую они видели, включая и патриотические манифестации во время войны.</w:t>
      </w:r>
    </w:p>
    <w:p w14:paraId="0C884C5C"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ЛАЙОНС: Излагая показания Рамзина, говорит, что Рамзин рассказывает свою историю холодно и безлично. В другой телеграмме, излагая показания Ларичева, инкор говорит, что Ларичев в общем повторяет то, что есть в обвинительном заключении и что было доложено Рамзиным в его тщательно выработанном докладе.</w:t>
      </w:r>
    </w:p>
    <w:p w14:paraId="63E60F01"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(Миронов)</w:t>
      </w:r>
    </w:p>
    <w:p w14:paraId="0BDA924D"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On. 14. П. 140. Д. 593. Л. 49. Машинописная копия того времени. Формула «Не подлежит оглашению» вверху справа машинописью. Рукописные пометы вверху «НТ» (росчерк) и «NB» (Нотабене). Внизу слева машинописью делопроизводственные пометы о размножении документа (46 экз.) (18992).</w:t>
      </w:r>
    </w:p>
    <w:p w14:paraId="5B2B4DE4" w14:textId="77777777" w:rsidR="00DD7307" w:rsidRPr="00507A31" w:rsidRDefault="00DD7307" w:rsidP="00507A31">
      <w:pPr>
        <w:jc w:val="both"/>
        <w:rPr>
          <w:color w:val="000000" w:themeColor="text1"/>
          <w:sz w:val="16"/>
          <w:szCs w:val="16"/>
        </w:rPr>
      </w:pPr>
    </w:p>
    <w:p w14:paraId="27580D54" w14:textId="77777777" w:rsidR="00DD7307" w:rsidRPr="00507A31" w:rsidRDefault="00DD7307" w:rsidP="00507A31">
      <w:pPr>
        <w:jc w:val="both"/>
        <w:rPr>
          <w:bCs/>
          <w:color w:val="000000" w:themeColor="text1"/>
          <w:sz w:val="16"/>
          <w:szCs w:val="16"/>
        </w:rPr>
      </w:pPr>
      <w:r w:rsidRPr="00507A31">
        <w:rPr>
          <w:color w:val="000000" w:themeColor="text1"/>
          <w:sz w:val="16"/>
          <w:szCs w:val="16"/>
        </w:rPr>
        <w:t>26 ноября 1930 г.</w:t>
      </w:r>
    </w:p>
    <w:p w14:paraId="78041FC3" w14:textId="77777777" w:rsidR="00DD7307" w:rsidRPr="00507A31" w:rsidRDefault="00DD7307" w:rsidP="00507A31">
      <w:pPr>
        <w:jc w:val="both"/>
        <w:rPr>
          <w:bCs/>
          <w:color w:val="000000" w:themeColor="text1"/>
          <w:sz w:val="16"/>
          <w:szCs w:val="16"/>
        </w:rPr>
      </w:pPr>
      <w:r w:rsidRPr="00507A31">
        <w:rPr>
          <w:color w:val="000000" w:themeColor="text1"/>
          <w:sz w:val="16"/>
          <w:szCs w:val="16"/>
        </w:rPr>
        <w:t>«Сводка инотелеграмм № 482». 26 ноября 1930 г.</w:t>
      </w:r>
    </w:p>
    <w:p w14:paraId="51436A49"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22514278"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26FC82B"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[26] ноября 1930 г.</w:t>
      </w:r>
    </w:p>
    <w:p w14:paraId="355ED38B"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Не подлежит оглашению</w:t>
      </w:r>
    </w:p>
    <w:p w14:paraId="11E63EA3"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Ночные телеграммы</w:t>
      </w:r>
    </w:p>
    <w:p w14:paraId="48FD9D1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ЧОЛЛЕРТОН: В течение семи тягостных часов профессор Рамзин скучным заспанным, как бы издалека звучащим, голосом повторял признания, напечатанные уже в брошюре. Часовые ГПУ (всегдашний предмет особенного внимания в С.С.С.Р.) сменялись каждые полчаса, но суд и даже маленький Крыленко — твердый как шар для крикета, начал показывать признаки утомления.</w:t>
      </w:r>
    </w:p>
    <w:p w14:paraId="4480B68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(Слушая показания, временами как бы схватываешь себя на том, что собственно, под судом находится самое советское правительство, а Рамзин — это защитник, сваливающий всю ответственность за нынешнее экономическое положение России на всех инженеров и оставшихся в живых экономистов, более или менее крупной репутации).</w:t>
      </w:r>
    </w:p>
    <w:p w14:paraId="18E728D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Все те отрасли промышленности, которые, по утверждениям Рамзина, конспираторы хотели разрушить, именно и находятся сейчас в самом тяжелом положении. Эти вредители должны были быть сильнее, чем силы ада. Что касается утверждений Рамзина об иностранном заговоре, то (если это не просто рос[с]казни старых баб) они очень неопределенны (так что не имеют никакой цены в нормальном суде). Рамзин никогда не видал Пуанкаре, Бриана, Черчилля и др., но у него создалось впечатление, что они являются душой анти-советского заговора. Он не давал точных дат своих встреч со второстепенными иностранцами, обычно указывая только год, только раз, кажется, назвал месяц. Как это ни странно, все эти иностранцы скорее стремились давать ему информацию о военном заговоре, чем расспрашивать о положении в России. Он позабыл адрес ресторана в Париже, где к концу 1928 г. получил такие точные данные. В Лондоне он встретил полковника Лоуренса, который только рассказывал ему о военных планах других людей. Сэр Филипп рассказывал ему такие банальные вещи как то, что Англия заинтересована в нефти, Черчилль — глава анти-большевистского движения в Англии и т. д. Другой подсудимый — Ларичев сопровождал его иногда при этих встречах. Более или менее то же самое рассказывает Рамзин и относительно французского чиновника К., не называя его полным именем (но Ваш корр[еспонден]т встретил сегодня г-на К. в зале суда).</w:t>
      </w:r>
    </w:p>
    <w:p w14:paraId="7716AB1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ВИГАНД: [1.] В отличие от Рамзина, Ларичев — (живой труп) неприятный серый человек, все время извиняется. За ним следует Калинников — седовласый профессор, со слезами в голосе вспоминающий свое детство. Подсудимые со специальными приборами на ушах, внимательно следят за ходом процесса. Глубокое разочарование, написанное на их лицах, производит более тяжелое впечатление, чем судебная процедура. Судьи, служащие, подсудимые курят, что запрещено в зале. Суд — это событие в общественной жизни Москвы, публика, приезжающая на санях, подымается по мраморным ступеням в бывш[ий] бальный зал дворянства, где в ослепительном блеске люстры и рабочие и Бела-Кун и Ярославский, профессора ВСНХ, Госплана, студенты, Рамзин.</w:t>
      </w:r>
    </w:p>
    <w:p w14:paraId="3BAEECF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2. История с Сокольниковым — фантазия, заявляет НКИД. Это белогвардейские слухи, исходящие из лондонских кругов и дающие дешевую пищу для «Дейли Мейль» с целью отвлечения внимания от показаний интервентов.</w:t>
      </w:r>
    </w:p>
    <w:p w14:paraId="40C5CEEB"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Настоящее имя Сокольникова — Бриллиант (у него два брата: один Михаил — инженер, член ЦИКа, уже пять месяцев, как арестован, другой — Виктор — находится в Берлине, отказался вернуться в Москву).</w:t>
      </w:r>
    </w:p>
    <w:p w14:paraId="7F9FEBA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 xml:space="preserve">ЛАЙОНС: Ларичев — нервный, тонколицый человек, типичный дореволюционный интеллигент, начисто покаялся в своих политических грехах. Как и Рамзин, он закончил свои показания, не прося о пощаде. Показания Ларичева непосредственно связываются с делом Кондратьева, Громана и др. Ларичев указал, что Шахтинский процесс был серьезным ударом по заговору. Два конспиратора, якобы, помогавшие ведению процесса — Шейн и Осадчий — в действительности делали все, чтобы запутать. Среди слушателей много бывш[их] студентов из Института Рамзина. Ваш корр[еспонден]т интервьюировал одного из них. Рамзин также скучен в своих показаниях, как и в лекционном зале — сказал студент. Показания Калинникова, Чарновского развернули сенсационную картину саботажа, доходившего почти до верхушки Госплана. По словам Чарновского — типичного русского помещика, каких изображал Толстой, Тургенев, саботаж начался с первых же лет революции и Промпартия только поставила его на более деловые рельсы. Самая трагическая фигура — это Калинников, седовласый, с ван-дейковскими усами, символ достоинства </w:t>
      </w:r>
      <w:r w:rsidRPr="00507A31">
        <w:rPr>
          <w:color w:val="000000" w:themeColor="text1"/>
          <w:sz w:val="16"/>
          <w:szCs w:val="16"/>
        </w:rPr>
        <w:lastRenderedPageBreak/>
        <w:t>старого мира. Человек, воспитанный как я — сказал он — не мог понять, почему это рабочие должны править страной. Самый спокойный человек во всей аудитории — Крыленко, маленький с лицом бульдога, плотно сжатыми губами, головой, напоминающей ядро, Марат русской революции.</w:t>
      </w:r>
    </w:p>
    <w:p w14:paraId="351F6CA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ЮБЕНК: Кратко о показаниях Ларичева и Калинникова — подтвердивших сообщение Рамзина об участии французов в совещаниях заговорщиков в Париже о шпионаже и т. д. «Подсудимые повторяют в общем свои прежние показания. Новая демонстрация — меньших размеров — которая должна была иметь место этим вечером, не состоялась, так как удовлетворились первой большой демонстрацией».</w:t>
      </w:r>
    </w:p>
    <w:p w14:paraId="11985BE6"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1D0A4B7E"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On. 14. П. 140. Д. 593. Л. 52-53. Машинописная копия. Датируется по сопутствующим документам. Формула «Не подлежит оглашению» вверху справа машинописью. Рукописные пометы на Л. 52 — «НТ» (росчерк) и «NB» (Нотабене). Слова и фразы в скобках — текст, вычеркнутый цензурой (см. легенду к док. № 48 данного раздела «Сводка телеграмм иностранных корреспондентов» за 11 ноября 1930 г.) (18993).</w:t>
      </w:r>
    </w:p>
    <w:p w14:paraId="2EFED872" w14:textId="77777777" w:rsidR="00DD7307" w:rsidRPr="00507A31" w:rsidRDefault="00DD7307" w:rsidP="00507A31">
      <w:pPr>
        <w:jc w:val="both"/>
        <w:rPr>
          <w:color w:val="000000" w:themeColor="text1"/>
          <w:sz w:val="16"/>
          <w:szCs w:val="16"/>
        </w:rPr>
      </w:pPr>
    </w:p>
    <w:p w14:paraId="01C265AF" w14:textId="77777777" w:rsidR="00DD7307" w:rsidRPr="00507A31" w:rsidRDefault="00DD7307" w:rsidP="00507A31">
      <w:pPr>
        <w:jc w:val="both"/>
        <w:rPr>
          <w:bCs/>
          <w:color w:val="000000" w:themeColor="text1"/>
          <w:sz w:val="16"/>
          <w:szCs w:val="16"/>
        </w:rPr>
      </w:pPr>
      <w:r w:rsidRPr="00507A31">
        <w:rPr>
          <w:color w:val="000000" w:themeColor="text1"/>
          <w:sz w:val="16"/>
          <w:szCs w:val="16"/>
        </w:rPr>
        <w:t>26 ноября 1930 г.</w:t>
      </w:r>
    </w:p>
    <w:p w14:paraId="19C39D01" w14:textId="77777777" w:rsidR="00DD7307" w:rsidRPr="00507A31" w:rsidRDefault="00DD7307" w:rsidP="00507A31">
      <w:pPr>
        <w:jc w:val="both"/>
        <w:rPr>
          <w:bCs/>
          <w:color w:val="000000" w:themeColor="text1"/>
          <w:sz w:val="16"/>
          <w:szCs w:val="16"/>
        </w:rPr>
      </w:pPr>
      <w:r w:rsidRPr="00507A31">
        <w:rPr>
          <w:color w:val="000000" w:themeColor="text1"/>
          <w:sz w:val="16"/>
          <w:szCs w:val="16"/>
        </w:rPr>
        <w:t>«Сводка инотелеграмм № 484». 26 ноября 1930 г.</w:t>
      </w:r>
    </w:p>
    <w:p w14:paraId="006AEC36"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20F48A9E"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768F50"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Архив: </w:t>
      </w:r>
    </w:p>
    <w:p w14:paraId="3F64D315" w14:textId="77777777" w:rsidR="00DD7307" w:rsidRPr="00507A31" w:rsidRDefault="00DD7307" w:rsidP="00507A31">
      <w:pPr>
        <w:jc w:val="both"/>
        <w:rPr>
          <w:color w:val="000000" w:themeColor="text1"/>
          <w:sz w:val="16"/>
          <w:szCs w:val="16"/>
        </w:rPr>
      </w:pPr>
      <w:r w:rsidRPr="00507A31">
        <w:rPr>
          <w:color w:val="000000" w:themeColor="text1"/>
          <w:sz w:val="16"/>
          <w:szCs w:val="16"/>
        </w:rPr>
        <w:t>АВП РФ. Ф. 0136. On. 14. П. 140.Д. 593. Л. 56-58</w:t>
      </w:r>
    </w:p>
    <w:p w14:paraId="1A0294B6"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26 ноября 1930 г.</w:t>
      </w:r>
    </w:p>
    <w:p w14:paraId="700FD9EA"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2B27D102"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Ночные телеграммы за 27-ое ноября 1930 г.</w:t>
      </w:r>
    </w:p>
    <w:p w14:paraId="3189FBE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ДЮРАНТИ: Процесс инженеров вызвал тут наиболее значительный интерес к себе в народе, чем какой[-]либо другой подобный процесс за последние 10 лет[,] и состоявшиеся в Москве и провинции демонстрации прошли совершенно беспрецедентным образом. Иностранные наблюдатели, дипломаты поражены энтузиазмом и спонтанностью московских масс, дефилировавших мимо дома Союзов в количестве, близком к миллиону. Как ни смотри на это — сказал Вашему корр[еспонден]ту один посланник — это является в высшей степени знаменательным и может быть истолковано, что население или же крепко поддерживает советский режим, или же как то, что авторитет Кремля и общая дисциплина чрезвычайно увеличились. Суд происходит в тот психологический момент, когда нервы нации еще полны чрезвычайного напряжения, чьи благоприятные результаты начали уже сказываться. Некоторая депрессия, имевшая место летом и осенью[,] постепенно уступает место тому чувству, что худшее уже осталось впереди</w:t>
      </w:r>
      <w:r w:rsidRPr="00507A31">
        <w:rPr>
          <w:color w:val="000000" w:themeColor="text1"/>
          <w:sz w:val="16"/>
          <w:szCs w:val="16"/>
          <w:vertAlign w:val="superscript"/>
        </w:rPr>
        <w:t>3</w:t>
      </w:r>
      <w:r w:rsidRPr="00507A31">
        <w:rPr>
          <w:color w:val="000000" w:themeColor="text1"/>
          <w:sz w:val="16"/>
          <w:szCs w:val="16"/>
        </w:rPr>
        <w:t>. Гораздо эффективнее, если теперь заговорщики несут ответственность за превзойденные трудности, и как бы предвещают лучшее будущее, чем если бы в их действиях искали извинения или объяснения неудач и затруднений настоящего времени. Мировая политика также повлияла на чувства русских. Они видят как страна борется за отвоевание своих прежних рынков с тем, чтобы сломить или аннулировать финансовую блокаду, вопреки всем крикам [о] демпинге и эмбарго. Руководящая роль, которую играла во всем этом Франция и ее менее крупные союзники[,] подготовила общественное мнение для принятия интервенционистского заговора. Для опытного журналиста обвинительный акт (сплетающий факты со слухами и подкрепляющий один сомнительный пункт другим лишь немного более убедительным[,] отдает несколько «кухней») не во всех частях одинаково убедителен, но русское общество с более простым складом ума отвечает на все сомнения: «зачем лгать этим людям, на которых пала уже тень смерти». Как бы там ни было, показания производят большое впечатление самим объемом и весом деталей. Почти не приходится сомневаться, что заговор был опасным и широко распространенным, как в смысле внутренней деятельности, так и в смысле связи с влиятельными эмигрантами и высокопоставленными лицами. Более чем вероятно также, что заговорщики дали ценную информацию иностранной разведывательной службе относительно Красной Армии, химических и аммуниционных фабрик и т. д. Быть может во вред самим себе, поскольку не позволили французскому штабу передаваться иллюзиям о возможности захвата врасплох СССР небольшими дружинами добровольцев, как бы восторженно не поддерживала последних Румыния или даже Польша. Не менее характерной чертой всего заговора является то, что главари — Рамзин и Ларичев — сравнительно молодые люди 42-43-х лет обязаны своим высоким положением не бывшим капиталистам, а большевикам. Рамзин имел квартиру в 6 комнат, слуг, автомобиль и жалование в 600 долл, в месяц, мог жить и одеваться как хотел и почти что уезжать заграницу по своему желанию. В незначительно худшем положении был Ларичев. Коммунисты сказали бы, что успех разбудил в них классовые инстинкты и они воспылали желанием играть роль не советников, а распорядителей. Это быть может приближает нас к объяснению всего заговора. Как и (много) кое-кто из коммунистов — в том числе и несколько высокопоставленных работников — они были испуганы смелыми кремлевскими планами и небывалым размахом предпринимаемых усилий. Они заболели сомнениями и поверили тем плакальщикам, которые на все лады кричали и заграницей и в России: осторожнее, слишком быстрые темпы, если мы не остановимся, то произойдет катастрофа. Как сильные честолюбивые люди, они начали строить планы о том, что они будут делать в момент катастрофы и явились легкой добычей для эмигрантов, у которых настроение всегда рождало убеждения и для офицеров иностранной разведки, чьей профессией является шпионаж. Крыленко или советский суд не согласятся — по крайней мере целиком не согласятся с таким объяснением, характерны, однако, замечания «Правды»: Заговорщики всячески старались дезорганизовать нашу экономику; в этом они явственно рас[с] читывали на разрушение партийного единства внутренней оппозицией, которая со своей стороны сделала все возможное для облегчения работы конспираторов.</w:t>
      </w:r>
    </w:p>
    <w:p w14:paraId="15911C3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2. Первый инцидент произошел с Федотовым, который, указывая на комиссионные, выплаченные советским инженерам иностранными фирмами, упомянул об иностранных миссиях в Москве. Немедленно же председатель Вышинский позвонил и резко указал на недопустимость этого. Однако он разрешил рассказывать Калинникову о встрече с г-ном К., что дает повод «Рабочей Москве» заметить: «Суд бросает новый свет на систему шпионажа в Москве; мы имеем дело теперь не со старомодными шпионами с электрическими фонарями и переодеваниями, а с уважаемыми джентльменами, живущими в домах, охраняемых советской милицией и разъезжающих в автомобилях с развевающимися национальными флагами. Это замечание как будто бы довольно ясно указывает в чем, собственно, дело. Профес. Федотов, маленький седобородый человек, видавший лучшие дни, с несколько помпезными манерами, которые он не оставил и сейчас, по[-]видимому, вступил в число заговорщиков примерно таким же образом, как большинство шахтинцев — от тайных комиссионных, дававшихся иностранцами — к шпионажу, саботажу, а затем и к участию в подлинном контрреволюционном заговоре. Эмигранты — сказал он тихим жалобным голосом — не понимали как трудно создавать ячейки среди студентов ВТУЗов, когда из 35-ти студентов 30 являются коммунистами. Аудитория разразилась взрывом смеха.</w:t>
      </w:r>
    </w:p>
    <w:p w14:paraId="7AF4414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Инкор указывает на искренний пафос, с каким Федотов закончил свои показания.</w:t>
      </w:r>
    </w:p>
    <w:p w14:paraId="0778E55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Несчастный Ситнин внес невольную комическую нотку, без которой не обходится ни одна русская трагедия. Этот человек, от которого отказался собственный сын, закончил свое показание весь в слезах: да, за пять месяцев, проведенных мною в тюрьме, я много передумал и понял, что совершил серьезную ошибку.</w:t>
      </w:r>
    </w:p>
    <w:p w14:paraId="4403C67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Все инкоры отмечают вызов в качестве свидетелей Юровского и Осадчего.</w:t>
      </w:r>
    </w:p>
    <w:p w14:paraId="5FE1F7CE"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ДОЙС: Есть основания предполагать, что при возобновлении процесса Крыленко сделает важные документальные разоблачения о шпионаже — интервенции.</w:t>
      </w:r>
    </w:p>
    <w:p w14:paraId="7AEC909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ЮБЕНК. Не прислушиваясь, но по[-]видимому раскаиваясь, восемь инженеров закончили сегодня свои показания, полностью подтвердив планы заговора с иностранной интервенцией и низвержением совпра.</w:t>
      </w:r>
    </w:p>
    <w:p w14:paraId="6074139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Кратко о показаниях Очкина и Ситнина.</w:t>
      </w:r>
    </w:p>
    <w:p w14:paraId="6020C280"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ЛАЙОНС. Федотов упомянул о получении 50-ти тысяч рубл. от членов британской миссии перед разрывом в качестве комиссионных, говорит также о контакте с Чарноком. Летом 1928 г. Рамзин посетил С. А.С. Ш. от имени Термо-Технического Ин-та, главой которого он был и являлся гостем крупнейшей американской электрической корпорации и др. учреждений.</w:t>
      </w:r>
    </w:p>
    <w:p w14:paraId="63D2943F"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ЧОЛЛЕРТОН. Старый профессор Федотов, почти слепой, и не могший двигаться при сильном свете в зале, показал, что получил 50 тыс. рубл. от член[а] британской миссии, имени которого он не имеет права назвать. Это был первый контакт с эмигрантами. Чарнок, сказал он — обнадеживая нас — уверял, что придут лучшие времена. Некто Нудль, представитель британской фирмы в Москве, сказал, что британские деловые круги хотят войны.</w:t>
      </w:r>
    </w:p>
    <w:p w14:paraId="208E165F"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05FCFA0E"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On. 14. П. 140.Д. 593. Л. 56-58. Машинописная копия того времени. Формула «Не подлежит оглашению» на Л. 56 вверху справа машинописью, рукописные пометы «NB» (Нотабене) и неразборчивый росчерк. Делопроизводственная помета о распечатке (30 экз.) документа (Л. 58 внизу слева). Скобками (в документе это вертикальные черты) выделены фразы (слова), вычеркнутые цензурой; следом приводится, видимо, ихзамена (подчеркнуто). В частности, (Л. 56) текст, выделенный скобками «(сплетающий факты со слухами и подкрепляющий один сомнительный пункт другим лишь немного более убедительным[,] отдает несколько «кухней»)» удален цензурой, рядом его замена: «не во всех частях одинаково убедителен». Результат той же правки — замена слова «(много)» на «кое-кто» (Л. 56, внизу). См. также легенду к док. № 48 данного раздела (18994).</w:t>
      </w:r>
    </w:p>
    <w:p w14:paraId="55119FC2" w14:textId="77777777" w:rsidR="00DD7307" w:rsidRPr="00507A31" w:rsidRDefault="00DD7307" w:rsidP="00507A31">
      <w:pPr>
        <w:jc w:val="both"/>
        <w:rPr>
          <w:color w:val="000000" w:themeColor="text1"/>
          <w:sz w:val="16"/>
          <w:szCs w:val="16"/>
        </w:rPr>
      </w:pPr>
    </w:p>
    <w:p w14:paraId="202AC9EB" w14:textId="77777777" w:rsidR="00DD7307" w:rsidRPr="00507A31" w:rsidRDefault="00DD7307" w:rsidP="00507A31">
      <w:pPr>
        <w:jc w:val="both"/>
        <w:rPr>
          <w:bCs/>
          <w:color w:val="000000" w:themeColor="text1"/>
          <w:sz w:val="16"/>
          <w:szCs w:val="16"/>
        </w:rPr>
      </w:pPr>
      <w:r w:rsidRPr="00507A31">
        <w:rPr>
          <w:color w:val="000000" w:themeColor="text1"/>
          <w:sz w:val="16"/>
          <w:szCs w:val="16"/>
        </w:rPr>
        <w:t>26 ноября 1930 г.</w:t>
      </w:r>
    </w:p>
    <w:p w14:paraId="2490FA30" w14:textId="77777777" w:rsidR="00DD7307" w:rsidRPr="00507A31" w:rsidRDefault="00DD7307" w:rsidP="00507A31">
      <w:pPr>
        <w:jc w:val="both"/>
        <w:rPr>
          <w:bCs/>
          <w:color w:val="000000" w:themeColor="text1"/>
          <w:sz w:val="16"/>
          <w:szCs w:val="16"/>
        </w:rPr>
      </w:pPr>
      <w:r w:rsidRPr="00507A31">
        <w:rPr>
          <w:color w:val="000000" w:themeColor="text1"/>
          <w:sz w:val="16"/>
          <w:szCs w:val="16"/>
        </w:rPr>
        <w:t>Письмо заведующего романским сектором БОКС М. Ингбера В. Н. Баркову о способах организации просоветского общественного мнения во Франции. 26 ноября 1930 г.</w:t>
      </w:r>
    </w:p>
    <w:p w14:paraId="68DAD7A8"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2E90282A"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61AED1"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lastRenderedPageBreak/>
        <w:t>26 ноября 1930 г.</w:t>
      </w:r>
    </w:p>
    <w:p w14:paraId="1D7C86C8"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4D4B6E10"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Тов. Баркову.</w:t>
      </w:r>
    </w:p>
    <w:p w14:paraId="61CA399F"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Уполномоченному БОКС во Франции</w:t>
      </w:r>
    </w:p>
    <w:p w14:paraId="2611727D"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Париж.</w:t>
      </w:r>
    </w:p>
    <w:p w14:paraId="0661E43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Ввиду предстоящего у нас в ближайшие дни процесса, так называемой «промпартии» и в связи с давно развернувшейся у Вас кампанией интервенционистских выступлений против СССР как в прессе, так и в парламентских кругах, мы считаем существенно необходимым прежде всего ознакомить Вас с общим планом тех противодействующих мероприятий, которые были намечены и разработаны усилиями ВОКСа в целом и уже проводятся нами в жизнь.</w:t>
      </w:r>
    </w:p>
    <w:p w14:paraId="747C5A9B"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 этой целью препровождаем Вам при сем отдельные оттиски 1) плана работы БОКС и 2) пояснительную повестку о митинге ВОКСа, созванного 23-го с. м.</w:t>
      </w:r>
    </w:p>
    <w:p w14:paraId="61ACE39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 этим двум документам Вы, с одной стороны, ознакомьтесь со всей нашей работой в целом, а с другой стороны — применительно к условиям места и времени в Вашей стране сделаете необходимые конкретные организационные выводы и предложения, а также наметите наиболее действенные меры к их осуществлению, в зависимости от окружающей Вас обстановки.</w:t>
      </w:r>
    </w:p>
    <w:p w14:paraId="40A41EA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Мы, со своей стороны, находим возможным и необходимым изложить Вам наши взгляды и пожелания по данному вопросу. Мы в основном исходим из того положения, что главнейший метод противодействия, ведущимся против нас враждебным кампаниям, является организация сочувственного нам общественного мнения в Вашей стране следующими способами и путями:</w:t>
      </w:r>
    </w:p>
    <w:p w14:paraId="7338BDB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1.  Создание в находящихся в Вашей стране Об-вах Сближения с СССР активного ядра журналистов, литераторов и ученых в форме «бюро печати», члены которого своими статьями, сообщениями и личными воздействиями проникали бы в наиболее влиятельные органы печати Вашей страны (примером тому служит проникновение наших швейцарских товарищей в социалистическую прессу).</w:t>
      </w:r>
    </w:p>
    <w:p w14:paraId="62D3EA0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2.   Наибольшее сплочение и активизация обществ сближения в Вашей стране путем привлечения новых активных членов и организации более частных собраний и митингов как закрытых для самих членов об- ва, так и открытых для широкой публики.</w:t>
      </w:r>
    </w:p>
    <w:p w14:paraId="76C5FDCF"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3.  Объединение в особо активную группу, как составную часть Об-ва Сближения, всех тех граждан Вашей страны, которые уже побывали в СССР, воочию убедились и ознакомились с нашей колоссальной социа- листической стройкой и которые с наибольшей силой и убежденностью личного примера и опыта могли бы воздействовать словом и пером на общественное мнение Вашей страны.</w:t>
      </w:r>
    </w:p>
    <w:p w14:paraId="24A6E44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4.   Сборы протестов с подписями, а также анкет и интервью среди наиболее видных и влиятельных граждан Вашей страны, ученых, артистов, литераторов, музыкантов, художников, общественно-политических деятелей и людей деловых кругов, оценивших наши всякие достижения и культуру и могущих деятельно выступить в нашу защиту как в прессе, так и в разных общественных кругах и Парламенте.</w:t>
      </w:r>
    </w:p>
    <w:p w14:paraId="3190A88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5.   Сборы массовых протестов с подписями против ведущихся интервенционистских кампаний как на организуемых в нашу защиту собраниях, митингах, так и вне их, в самых широких общественных кругах со следующей пересылкой этих протестов как в печать, так и в парламенты.</w:t>
      </w:r>
    </w:p>
    <w:p w14:paraId="159EEF82"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6.   Перепечатка отдельными изданиями, массовое распространение в Вашей стране как получаемых от нас печатных материалов, так и оригинальных трудов против интервенции в нашу защиту.</w:t>
      </w:r>
    </w:p>
    <w:p w14:paraId="0D57103E"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7.   Регулярная и частая доставка нам печатных материалов книг, статей и газетных вырезок о всех проявлениях в отношении Вашей страны к СССР.</w:t>
      </w:r>
    </w:p>
    <w:p w14:paraId="6016CEF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8.   Наиболее широкое распространение и сбор подписки на издание «СССР на стройке», являющееся наилучшей иллюстрированной демонстрацией происходящей социалистической стройки в нашей стране.</w:t>
      </w:r>
    </w:p>
    <w:p w14:paraId="660F05F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9.   Установление наиболее тесных и регулярных связей и взаимоотношений между учеными, литературными, художественными, музыкальными и деловыми кругами Вашей страны и СССР.</w:t>
      </w:r>
    </w:p>
    <w:p w14:paraId="6965AB73"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10.  По возможности более частные и целесообразнее используемые в Вашей стране всевозможного рода научные, художественные и технические выставки, театральные и музыкальные выступления и кино-сеансы с отнесением по возможности расходов по их осуществлению на учреждения, антрепризы, организации и т. п., заинтересованные в данных случаях.</w:t>
      </w:r>
    </w:p>
    <w:p w14:paraId="7C6F543C"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Вот все наиболее основные и главные мероприятия, нами намеченные, которые, надеемся, также встретят с Вашей стороны полное одобрение и наиболее скорое и энергичное осуществление.</w:t>
      </w:r>
    </w:p>
    <w:p w14:paraId="55FF6C7E"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Ждем Ваших сообщений и по возможности с обратной диппочтой подробного ответа на все вопросы данного письма.</w:t>
      </w:r>
    </w:p>
    <w:p w14:paraId="42F210C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М. Ингбер</w:t>
      </w:r>
    </w:p>
    <w:p w14:paraId="5B7AE841"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Зав. Романск[им] сект[ором] ВОКС</w:t>
      </w:r>
    </w:p>
    <w:p w14:paraId="152CDB69"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ГА РФ. ф. Р-5283 Oп. 1. Д. 147. Л. 106-106 об. Машинописный экземпляр того времени (отпуск). На Л. 106 вверху вписаны от руки номер документа «691/с» и дата «26.XI.30 г.», внизу слева от руки помета «Снята одна копия и послана в ИККИ 9.XII.30 г.» Гриф секретности машинописью. Делопроизводственная помета машинописью на Л. 106 об. внизу о количестве напечатанных экземпляров (3) (18916).</w:t>
      </w:r>
    </w:p>
    <w:p w14:paraId="74E9FDCB" w14:textId="77777777" w:rsidR="00DD7307" w:rsidRPr="00507A31" w:rsidRDefault="00DD7307" w:rsidP="00507A31">
      <w:pPr>
        <w:jc w:val="both"/>
        <w:rPr>
          <w:color w:val="000000" w:themeColor="text1"/>
          <w:sz w:val="16"/>
          <w:szCs w:val="16"/>
        </w:rPr>
      </w:pPr>
    </w:p>
    <w:p w14:paraId="4FBA4CDB" w14:textId="77777777" w:rsidR="00DD7307" w:rsidRPr="00507A31" w:rsidRDefault="00DD7307" w:rsidP="00507A31">
      <w:pPr>
        <w:jc w:val="both"/>
        <w:rPr>
          <w:bCs/>
          <w:color w:val="000000" w:themeColor="text1"/>
          <w:sz w:val="16"/>
          <w:szCs w:val="16"/>
        </w:rPr>
      </w:pPr>
      <w:r w:rsidRPr="00507A31">
        <w:rPr>
          <w:color w:val="000000" w:themeColor="text1"/>
          <w:sz w:val="16"/>
          <w:szCs w:val="16"/>
        </w:rPr>
        <w:t>26 ноября 1930 г.</w:t>
      </w:r>
    </w:p>
    <w:p w14:paraId="39234DFE" w14:textId="77777777" w:rsidR="00DD7307" w:rsidRPr="00507A31" w:rsidRDefault="00DD7307" w:rsidP="00507A31">
      <w:pPr>
        <w:jc w:val="both"/>
        <w:rPr>
          <w:bCs/>
          <w:color w:val="000000" w:themeColor="text1"/>
          <w:sz w:val="16"/>
          <w:szCs w:val="16"/>
        </w:rPr>
      </w:pPr>
      <w:r w:rsidRPr="00507A31">
        <w:rPr>
          <w:color w:val="000000" w:themeColor="text1"/>
          <w:sz w:val="16"/>
          <w:szCs w:val="16"/>
        </w:rPr>
        <w:t>Заседание «Ударной комиссии» БОКС по вопросам текущей работы в связи с проведением кампании по процессу «Промпартии». 26 ноября 1930 г.</w:t>
      </w:r>
    </w:p>
    <w:p w14:paraId="1A73DA59"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698C5056"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6F2E270"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Архив: </w:t>
      </w:r>
    </w:p>
    <w:p w14:paraId="6EE5AB71" w14:textId="77777777" w:rsidR="00DD7307" w:rsidRPr="00507A31" w:rsidRDefault="00DD7307" w:rsidP="00507A31">
      <w:pPr>
        <w:jc w:val="both"/>
        <w:rPr>
          <w:color w:val="000000" w:themeColor="text1"/>
          <w:sz w:val="16"/>
          <w:szCs w:val="16"/>
        </w:rPr>
      </w:pPr>
      <w:r w:rsidRPr="00507A31">
        <w:rPr>
          <w:color w:val="000000" w:themeColor="text1"/>
          <w:sz w:val="16"/>
          <w:szCs w:val="16"/>
        </w:rPr>
        <w:t>ГА РФ. Ф. P-5283. On. 1. Д. 139. Л. 33-35</w:t>
      </w:r>
    </w:p>
    <w:p w14:paraId="7BEEF633"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26 ноября 1930 г.</w:t>
      </w:r>
    </w:p>
    <w:p w14:paraId="1967EEF4"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4346B3D3" w14:textId="77777777" w:rsidR="00DD7307" w:rsidRPr="00507A31" w:rsidRDefault="00DD7307" w:rsidP="00507A31">
      <w:pPr>
        <w:pStyle w:val="rtecenter"/>
        <w:spacing w:before="0" w:after="0"/>
        <w:jc w:val="both"/>
        <w:rPr>
          <w:color w:val="000000" w:themeColor="text1"/>
          <w:sz w:val="16"/>
          <w:szCs w:val="16"/>
        </w:rPr>
      </w:pPr>
      <w:r w:rsidRPr="00507A31">
        <w:rPr>
          <w:color w:val="000000" w:themeColor="text1"/>
          <w:sz w:val="16"/>
          <w:szCs w:val="16"/>
        </w:rPr>
        <w:t>ПРОТОКОЛ № 5</w:t>
      </w:r>
    </w:p>
    <w:p w14:paraId="0A6D6D70" w14:textId="77777777" w:rsidR="00DD7307" w:rsidRPr="00507A31" w:rsidRDefault="00DD7307" w:rsidP="00507A31">
      <w:pPr>
        <w:pStyle w:val="rtecenter"/>
        <w:spacing w:before="0" w:after="0"/>
        <w:jc w:val="both"/>
        <w:rPr>
          <w:color w:val="000000" w:themeColor="text1"/>
          <w:sz w:val="16"/>
          <w:szCs w:val="16"/>
        </w:rPr>
      </w:pPr>
      <w:r w:rsidRPr="00507A31">
        <w:rPr>
          <w:color w:val="000000" w:themeColor="text1"/>
          <w:sz w:val="16"/>
          <w:szCs w:val="16"/>
        </w:rPr>
        <w:t>заседания ударной комиссии от 26.XI.</w:t>
      </w:r>
    </w:p>
    <w:p w14:paraId="230C159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Присутствовали: т.т. Шуман, Новомирский, Ингбер, Штейнберг, Песне, Ротенберг.</w:t>
      </w:r>
    </w:p>
    <w:p w14:paraId="21A5FD2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Председатель — Шуман.</w:t>
      </w:r>
    </w:p>
    <w:p w14:paraId="77EDA83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I. О корреспондентском обслуживании процесса.</w:t>
      </w:r>
    </w:p>
    <w:p w14:paraId="735A56A2"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т. ШУМАН информирует, что в предоставлении билетов на суд ВОКСу отказано.</w:t>
      </w:r>
    </w:p>
    <w:p w14:paraId="6BBA885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I.</w:t>
      </w:r>
    </w:p>
    <w:p w14:paraId="6E0DB62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Категорически настаивать, чтобы Бюро Правления приняло экстренные меры для получения билетов на процесс по следующим соображениям:</w:t>
      </w:r>
    </w:p>
    <w:p w14:paraId="1F116E0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а) Отсутствие корреспондента ВОКС на процессе не даст возможности воспринять всю картину процесса в целом для последующего воздействия на заграницу.</w:t>
      </w:r>
    </w:p>
    <w:p w14:paraId="7AB5D7A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б) Неполучение билетов ВОКСом в то время, как на процессе представлена вся советская и иностранная печать, отрицательно отразится на авторитете ВОКС как организации.</w:t>
      </w:r>
    </w:p>
    <w:p w14:paraId="2D1E2F5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2. Поручить т. Песис срочно выяснить, с какими организациями ВОКСу целесообразно связаться для скорейшего получения всех материалов о процессе в том случае, если все-таки Отделу Печати не удастся получить доступ на процесс.</w:t>
      </w:r>
    </w:p>
    <w:p w14:paraId="7A0A7C7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II. О подготовке информационных бюллетеней ВОКС.</w:t>
      </w:r>
    </w:p>
    <w:p w14:paraId="7F5597A0"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т. ПЕСИС сообщает, что 1-й номер бюллетеня целиком заполнен откликами советских ученых и деятелей искусства по поводу раскрытого вредительства. Весь материал уже подобран и находится в переводе. В дальнейшем в бюллетенях необходимо давать и небольшие статьи о наших достижениях в отдельных отраслях культурного строительства и др. способами разнообразить бюллетень, чтобы за границей не создалось впечатление, что все выступления проходят шаблонно по какому-то указанию. В качестве предисловия ко всем бюллетеням т. Песис предполагает поместить в 1-м номере обращение от объединенного бюро работников науки, литературы и искусства, членов секций ВОКС, котор[о]е он зачитывает собранию.</w:t>
      </w:r>
    </w:p>
    <w:p w14:paraId="11A6D08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II.</w:t>
      </w:r>
    </w:p>
    <w:p w14:paraId="479AD18A" w14:textId="77777777" w:rsidR="00DD7307" w:rsidRPr="00507A31" w:rsidRDefault="00DD7307" w:rsidP="00507A31">
      <w:pPr>
        <w:numPr>
          <w:ilvl w:val="0"/>
          <w:numId w:val="99"/>
        </w:numPr>
        <w:ind w:left="0" w:firstLine="0"/>
        <w:jc w:val="both"/>
        <w:rPr>
          <w:color w:val="000000" w:themeColor="text1"/>
          <w:sz w:val="16"/>
          <w:szCs w:val="16"/>
        </w:rPr>
      </w:pPr>
      <w:r w:rsidRPr="00507A31">
        <w:rPr>
          <w:color w:val="000000" w:themeColor="text1"/>
          <w:sz w:val="16"/>
          <w:szCs w:val="16"/>
        </w:rPr>
        <w:t>Обращение от объединенного бюро работников науки, литературы и искусства, членов секций ВОКС в основном утвердить, поручив т. Песис выправить его стилистически и значительно сократить.</w:t>
      </w:r>
    </w:p>
    <w:p w14:paraId="196576B3" w14:textId="77777777" w:rsidR="00DD7307" w:rsidRPr="00507A31" w:rsidRDefault="00DD7307" w:rsidP="00507A31">
      <w:pPr>
        <w:numPr>
          <w:ilvl w:val="0"/>
          <w:numId w:val="99"/>
        </w:numPr>
        <w:ind w:left="0" w:firstLine="0"/>
        <w:jc w:val="both"/>
        <w:rPr>
          <w:color w:val="000000" w:themeColor="text1"/>
          <w:sz w:val="16"/>
          <w:szCs w:val="16"/>
        </w:rPr>
      </w:pPr>
      <w:r w:rsidRPr="00507A31">
        <w:rPr>
          <w:color w:val="000000" w:themeColor="text1"/>
          <w:sz w:val="16"/>
          <w:szCs w:val="16"/>
        </w:rPr>
        <w:t>Считать целесообразным выпуск известного числа бюллетеней и на русском языке для использования внутри СССР и рассылки в страны (Польша, Чехо-Словакия и др.), где владеют русским языком.</w:t>
      </w:r>
    </w:p>
    <w:p w14:paraId="64876327" w14:textId="77777777" w:rsidR="00DD7307" w:rsidRPr="00507A31" w:rsidRDefault="00DD7307" w:rsidP="00507A31">
      <w:pPr>
        <w:numPr>
          <w:ilvl w:val="0"/>
          <w:numId w:val="99"/>
        </w:numPr>
        <w:ind w:left="0" w:firstLine="0"/>
        <w:jc w:val="both"/>
        <w:rPr>
          <w:color w:val="000000" w:themeColor="text1"/>
          <w:sz w:val="16"/>
          <w:szCs w:val="16"/>
        </w:rPr>
      </w:pPr>
      <w:r w:rsidRPr="00507A31">
        <w:rPr>
          <w:color w:val="000000" w:themeColor="text1"/>
          <w:sz w:val="16"/>
          <w:szCs w:val="16"/>
        </w:rPr>
        <w:t>В дальнейшем посвятить один номер бюллетеня целиком откликам заграничной общественности на процесс, которые будут систематически браться на учет в отдельных секторах ОВС.</w:t>
      </w:r>
    </w:p>
    <w:p w14:paraId="38F3BCD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III. О тираже бюллетеней.</w:t>
      </w:r>
    </w:p>
    <w:p w14:paraId="79A14120"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III.</w:t>
      </w:r>
    </w:p>
    <w:p w14:paraId="3A4C5678" w14:textId="77777777" w:rsidR="00DD7307" w:rsidRPr="00507A31" w:rsidRDefault="00DD7307" w:rsidP="00507A31">
      <w:pPr>
        <w:numPr>
          <w:ilvl w:val="0"/>
          <w:numId w:val="100"/>
        </w:numPr>
        <w:ind w:left="0" w:firstLine="0"/>
        <w:jc w:val="both"/>
        <w:rPr>
          <w:color w:val="000000" w:themeColor="text1"/>
          <w:sz w:val="16"/>
          <w:szCs w:val="16"/>
        </w:rPr>
      </w:pPr>
      <w:r w:rsidRPr="00507A31">
        <w:rPr>
          <w:color w:val="000000" w:themeColor="text1"/>
          <w:sz w:val="16"/>
          <w:szCs w:val="16"/>
        </w:rPr>
        <w:t>Установить ориентировочно тираж русского издания бюллетеня 200 экз.</w:t>
      </w:r>
    </w:p>
    <w:p w14:paraId="1D9E1E86" w14:textId="77777777" w:rsidR="00DD7307" w:rsidRPr="00507A31" w:rsidRDefault="00DD7307" w:rsidP="00507A31">
      <w:pPr>
        <w:numPr>
          <w:ilvl w:val="0"/>
          <w:numId w:val="100"/>
        </w:numPr>
        <w:ind w:left="0" w:firstLine="0"/>
        <w:jc w:val="both"/>
        <w:rPr>
          <w:color w:val="000000" w:themeColor="text1"/>
          <w:sz w:val="16"/>
          <w:szCs w:val="16"/>
        </w:rPr>
      </w:pPr>
      <w:r w:rsidRPr="00507A31">
        <w:rPr>
          <w:color w:val="000000" w:themeColor="text1"/>
          <w:sz w:val="16"/>
          <w:szCs w:val="16"/>
        </w:rPr>
        <w:lastRenderedPageBreak/>
        <w:t>Поручить т. Шуман, Новомирскому, Ингбер к 28/XI точно определить тираж немецкого, англ, и французского издания бюллетеней.</w:t>
      </w:r>
    </w:p>
    <w:p w14:paraId="5605C7DB"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IV. О сборе подписей под протестом против вредительства в СССР.</w:t>
      </w:r>
    </w:p>
    <w:p w14:paraId="36D0F9D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IV.</w:t>
      </w:r>
    </w:p>
    <w:p w14:paraId="0A0DB2C8" w14:textId="77777777" w:rsidR="00DD7307" w:rsidRPr="00507A31" w:rsidRDefault="00DD7307" w:rsidP="00507A31">
      <w:pPr>
        <w:numPr>
          <w:ilvl w:val="0"/>
          <w:numId w:val="101"/>
        </w:numPr>
        <w:ind w:left="0" w:firstLine="0"/>
        <w:jc w:val="both"/>
        <w:rPr>
          <w:color w:val="000000" w:themeColor="text1"/>
          <w:sz w:val="16"/>
          <w:szCs w:val="16"/>
        </w:rPr>
      </w:pPr>
      <w:r w:rsidRPr="00507A31">
        <w:rPr>
          <w:color w:val="000000" w:themeColor="text1"/>
          <w:sz w:val="16"/>
          <w:szCs w:val="16"/>
        </w:rPr>
        <w:t>Считать целесообразным собрать подписи виднейших деятелей науки и искусства в СССР, не присутствовавших на митинге протеста против вредителей 23/XI, под резолюцией, вынесенной на этом собрании.</w:t>
      </w:r>
    </w:p>
    <w:p w14:paraId="4A9057EE" w14:textId="77777777" w:rsidR="00DD7307" w:rsidRPr="00507A31" w:rsidRDefault="00DD7307" w:rsidP="00507A31">
      <w:pPr>
        <w:numPr>
          <w:ilvl w:val="0"/>
          <w:numId w:val="101"/>
        </w:numPr>
        <w:ind w:left="0" w:firstLine="0"/>
        <w:jc w:val="both"/>
        <w:rPr>
          <w:color w:val="000000" w:themeColor="text1"/>
          <w:sz w:val="16"/>
          <w:szCs w:val="16"/>
        </w:rPr>
      </w:pPr>
      <w:r w:rsidRPr="00507A31">
        <w:rPr>
          <w:color w:val="000000" w:themeColor="text1"/>
          <w:sz w:val="16"/>
          <w:szCs w:val="16"/>
        </w:rPr>
        <w:t>Эти подписи с соответствующей расшифровкой имен использовать для информации заграницы.</w:t>
      </w:r>
    </w:p>
    <w:p w14:paraId="1E8A24EC" w14:textId="77777777" w:rsidR="00DD7307" w:rsidRPr="00507A31" w:rsidRDefault="00DD7307" w:rsidP="00507A31">
      <w:pPr>
        <w:numPr>
          <w:ilvl w:val="0"/>
          <w:numId w:val="101"/>
        </w:numPr>
        <w:ind w:left="0" w:firstLine="0"/>
        <w:jc w:val="both"/>
        <w:rPr>
          <w:color w:val="000000" w:themeColor="text1"/>
          <w:sz w:val="16"/>
          <w:szCs w:val="16"/>
        </w:rPr>
      </w:pPr>
      <w:r w:rsidRPr="00507A31">
        <w:rPr>
          <w:color w:val="000000" w:themeColor="text1"/>
          <w:sz w:val="16"/>
          <w:szCs w:val="16"/>
        </w:rPr>
        <w:t>Возложить организацию сбора подписей на т.т. Брук и Богомазова.</w:t>
      </w:r>
    </w:p>
    <w:p w14:paraId="34B734F2"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V. О манифесте советских ученых против интервенции.</w:t>
      </w:r>
    </w:p>
    <w:p w14:paraId="7376FF2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V.</w:t>
      </w:r>
    </w:p>
    <w:p w14:paraId="37267F50" w14:textId="77777777" w:rsidR="00DD7307" w:rsidRPr="00507A31" w:rsidRDefault="00DD7307" w:rsidP="00507A31">
      <w:pPr>
        <w:numPr>
          <w:ilvl w:val="0"/>
          <w:numId w:val="102"/>
        </w:numPr>
        <w:ind w:left="0" w:firstLine="0"/>
        <w:jc w:val="both"/>
        <w:rPr>
          <w:color w:val="000000" w:themeColor="text1"/>
          <w:sz w:val="16"/>
          <w:szCs w:val="16"/>
        </w:rPr>
      </w:pPr>
      <w:r w:rsidRPr="00507A31">
        <w:rPr>
          <w:color w:val="000000" w:themeColor="text1"/>
          <w:sz w:val="16"/>
          <w:szCs w:val="16"/>
        </w:rPr>
        <w:t>Признать желательным выпуск специального манифеста, подписанного советскими учеными против интервенции, с последующей широкой информацией о нем заграницы.</w:t>
      </w:r>
    </w:p>
    <w:p w14:paraId="5AEEF04F" w14:textId="77777777" w:rsidR="00DD7307" w:rsidRPr="00507A31" w:rsidRDefault="00DD7307" w:rsidP="00507A31">
      <w:pPr>
        <w:numPr>
          <w:ilvl w:val="0"/>
          <w:numId w:val="102"/>
        </w:numPr>
        <w:ind w:left="0" w:firstLine="0"/>
        <w:jc w:val="both"/>
        <w:rPr>
          <w:color w:val="000000" w:themeColor="text1"/>
          <w:sz w:val="16"/>
          <w:szCs w:val="16"/>
        </w:rPr>
      </w:pPr>
      <w:r w:rsidRPr="00507A31">
        <w:rPr>
          <w:color w:val="000000" w:themeColor="text1"/>
          <w:sz w:val="16"/>
          <w:szCs w:val="16"/>
        </w:rPr>
        <w:t>Выпуск такого манифеста приурочить к концу процесса против «Промпартии», использовав его итоги.</w:t>
      </w:r>
    </w:p>
    <w:p w14:paraId="1B85F52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VI. Об использовании статьи М. Горького с обращением ко всем рабочим и крестьянам.</w:t>
      </w:r>
    </w:p>
    <w:p w14:paraId="7D1A5C3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VI.</w:t>
      </w:r>
    </w:p>
    <w:p w14:paraId="77517B28" w14:textId="77777777" w:rsidR="00DD7307" w:rsidRPr="00507A31" w:rsidRDefault="00DD7307" w:rsidP="00507A31">
      <w:pPr>
        <w:numPr>
          <w:ilvl w:val="0"/>
          <w:numId w:val="103"/>
        </w:numPr>
        <w:ind w:left="0" w:firstLine="0"/>
        <w:jc w:val="both"/>
        <w:rPr>
          <w:color w:val="000000" w:themeColor="text1"/>
          <w:sz w:val="16"/>
          <w:szCs w:val="16"/>
        </w:rPr>
      </w:pPr>
      <w:r w:rsidRPr="00507A31">
        <w:rPr>
          <w:color w:val="000000" w:themeColor="text1"/>
          <w:sz w:val="16"/>
          <w:szCs w:val="16"/>
        </w:rPr>
        <w:t>Ввиду специфического характера всех воксовских изданий, считать нецелесообразным использование этой статьи целиком в бюллетенях и брошюрах.</w:t>
      </w:r>
    </w:p>
    <w:p w14:paraId="0BEE960F" w14:textId="77777777" w:rsidR="00DD7307" w:rsidRPr="00507A31" w:rsidRDefault="00DD7307" w:rsidP="00507A31">
      <w:pPr>
        <w:numPr>
          <w:ilvl w:val="0"/>
          <w:numId w:val="103"/>
        </w:numPr>
        <w:ind w:left="0" w:firstLine="0"/>
        <w:jc w:val="both"/>
        <w:rPr>
          <w:color w:val="000000" w:themeColor="text1"/>
          <w:sz w:val="16"/>
          <w:szCs w:val="16"/>
        </w:rPr>
      </w:pPr>
      <w:r w:rsidRPr="00507A31">
        <w:rPr>
          <w:color w:val="000000" w:themeColor="text1"/>
          <w:sz w:val="16"/>
          <w:szCs w:val="16"/>
        </w:rPr>
        <w:t>Отослать эту статью в качестве материала для журнала «Монд» и использовать ее в форме отдельных цитат в других статьях, помещаемых в изданиях ВОКС.</w:t>
      </w:r>
    </w:p>
    <w:p w14:paraId="5AFF7FE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VII. О первой брошюре, издаваемой ВОКСом в связи с процессом.</w:t>
      </w:r>
    </w:p>
    <w:p w14:paraId="16DAEBE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т.т. Штейнберг и Ингбер сообщают о следующем плане брошюры:</w:t>
      </w:r>
    </w:p>
    <w:p w14:paraId="6798EA16" w14:textId="77777777" w:rsidR="00DD7307" w:rsidRPr="00507A31" w:rsidRDefault="00DD7307" w:rsidP="00507A31">
      <w:pPr>
        <w:numPr>
          <w:ilvl w:val="0"/>
          <w:numId w:val="104"/>
        </w:numPr>
        <w:ind w:left="0" w:firstLine="0"/>
        <w:jc w:val="both"/>
        <w:rPr>
          <w:color w:val="000000" w:themeColor="text1"/>
          <w:sz w:val="16"/>
          <w:szCs w:val="16"/>
        </w:rPr>
      </w:pPr>
      <w:r w:rsidRPr="00507A31">
        <w:rPr>
          <w:color w:val="000000" w:themeColor="text1"/>
          <w:sz w:val="16"/>
          <w:szCs w:val="16"/>
        </w:rPr>
        <w:t>ВОКС и оборона страны (предисловие, указывающее, почему ВОКС издает подобную брошюру) — автор т. Ф. Н. Петров.</w:t>
      </w:r>
    </w:p>
    <w:p w14:paraId="705940C8" w14:textId="77777777" w:rsidR="00DD7307" w:rsidRPr="00507A31" w:rsidRDefault="00DD7307" w:rsidP="00507A31">
      <w:pPr>
        <w:numPr>
          <w:ilvl w:val="0"/>
          <w:numId w:val="104"/>
        </w:numPr>
        <w:ind w:left="0" w:firstLine="0"/>
        <w:jc w:val="both"/>
        <w:rPr>
          <w:color w:val="000000" w:themeColor="text1"/>
          <w:sz w:val="16"/>
          <w:szCs w:val="16"/>
        </w:rPr>
      </w:pPr>
      <w:r w:rsidRPr="00507A31">
        <w:rPr>
          <w:color w:val="000000" w:themeColor="text1"/>
          <w:sz w:val="16"/>
          <w:szCs w:val="16"/>
        </w:rPr>
        <w:t>Статья М. Горького «Если враг не сдается его нужно уничтожить».</w:t>
      </w:r>
    </w:p>
    <w:p w14:paraId="2B171CFD" w14:textId="77777777" w:rsidR="00DD7307" w:rsidRPr="00507A31" w:rsidRDefault="00DD7307" w:rsidP="00507A31">
      <w:pPr>
        <w:numPr>
          <w:ilvl w:val="0"/>
          <w:numId w:val="104"/>
        </w:numPr>
        <w:ind w:left="0" w:firstLine="0"/>
        <w:jc w:val="both"/>
        <w:rPr>
          <w:color w:val="000000" w:themeColor="text1"/>
          <w:sz w:val="16"/>
          <w:szCs w:val="16"/>
        </w:rPr>
      </w:pPr>
      <w:r w:rsidRPr="00507A31">
        <w:rPr>
          <w:color w:val="000000" w:themeColor="text1"/>
          <w:sz w:val="16"/>
          <w:szCs w:val="16"/>
        </w:rPr>
        <w:t>Наука и вредительство. Авторы акад. Карпинский или Ферсман.</w:t>
      </w:r>
    </w:p>
    <w:p w14:paraId="30BFD1C7" w14:textId="77777777" w:rsidR="00DD7307" w:rsidRPr="00507A31" w:rsidRDefault="00DD7307" w:rsidP="00507A31">
      <w:pPr>
        <w:numPr>
          <w:ilvl w:val="0"/>
          <w:numId w:val="104"/>
        </w:numPr>
        <w:ind w:left="0" w:firstLine="0"/>
        <w:jc w:val="both"/>
        <w:rPr>
          <w:color w:val="000000" w:themeColor="text1"/>
          <w:sz w:val="16"/>
          <w:szCs w:val="16"/>
        </w:rPr>
      </w:pPr>
      <w:r w:rsidRPr="00507A31">
        <w:rPr>
          <w:color w:val="000000" w:themeColor="text1"/>
          <w:sz w:val="16"/>
          <w:szCs w:val="16"/>
        </w:rPr>
        <w:t>Искусство в СССР и интервенция:</w:t>
      </w:r>
    </w:p>
    <w:p w14:paraId="49DF9E2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а)   изобразительное искусство и интервенция — авторы т. И. Грабарь или Кончаловский.</w:t>
      </w:r>
    </w:p>
    <w:p w14:paraId="22C3165C"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б)  театр и кино и интервенция — один из следующих авторов: Москвин, Качалов, Мейерхольд.</w:t>
      </w:r>
    </w:p>
    <w:p w14:paraId="313D993F"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в)   литература и интервенция — Вересаев.</w:t>
      </w:r>
    </w:p>
    <w:p w14:paraId="232CC6DA" w14:textId="77777777" w:rsidR="00DD7307" w:rsidRPr="00507A31" w:rsidRDefault="00DD7307" w:rsidP="00507A31">
      <w:pPr>
        <w:numPr>
          <w:ilvl w:val="0"/>
          <w:numId w:val="105"/>
        </w:numPr>
        <w:ind w:left="0" w:firstLine="0"/>
        <w:jc w:val="both"/>
        <w:rPr>
          <w:color w:val="000000" w:themeColor="text1"/>
          <w:sz w:val="16"/>
          <w:szCs w:val="16"/>
        </w:rPr>
      </w:pPr>
      <w:r w:rsidRPr="00507A31">
        <w:rPr>
          <w:color w:val="000000" w:themeColor="text1"/>
          <w:sz w:val="16"/>
          <w:szCs w:val="16"/>
        </w:rPr>
        <w:t>Национальная культура и интервенция — автор акад. Марр.</w:t>
      </w:r>
    </w:p>
    <w:p w14:paraId="07D55F2F" w14:textId="77777777" w:rsidR="00DD7307" w:rsidRPr="00507A31" w:rsidRDefault="00DD7307" w:rsidP="00507A31">
      <w:pPr>
        <w:numPr>
          <w:ilvl w:val="0"/>
          <w:numId w:val="106"/>
        </w:numPr>
        <w:ind w:left="0" w:firstLine="0"/>
        <w:jc w:val="both"/>
        <w:rPr>
          <w:color w:val="000000" w:themeColor="text1"/>
          <w:sz w:val="16"/>
          <w:szCs w:val="16"/>
        </w:rPr>
      </w:pPr>
      <w:r w:rsidRPr="00507A31">
        <w:rPr>
          <w:color w:val="000000" w:themeColor="text1"/>
          <w:sz w:val="16"/>
          <w:szCs w:val="16"/>
        </w:rPr>
        <w:t>Выборки из анкеты, проведенной в свое время Международным Бюро &lt;...&gt; литературы по вопросу о войне.</w:t>
      </w:r>
    </w:p>
    <w:p w14:paraId="1FB1343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Объем всей брошюры — I-II печ. листа.</w:t>
      </w:r>
    </w:p>
    <w:p w14:paraId="6C2CE6E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VII.</w:t>
      </w:r>
    </w:p>
    <w:p w14:paraId="11A37D0C" w14:textId="77777777" w:rsidR="00DD7307" w:rsidRPr="00507A31" w:rsidRDefault="00DD7307" w:rsidP="00507A31">
      <w:pPr>
        <w:numPr>
          <w:ilvl w:val="0"/>
          <w:numId w:val="107"/>
        </w:numPr>
        <w:ind w:left="0" w:firstLine="0"/>
        <w:jc w:val="both"/>
        <w:rPr>
          <w:color w:val="000000" w:themeColor="text1"/>
          <w:sz w:val="16"/>
          <w:szCs w:val="16"/>
        </w:rPr>
      </w:pPr>
      <w:r w:rsidRPr="00507A31">
        <w:rPr>
          <w:color w:val="000000" w:themeColor="text1"/>
          <w:sz w:val="16"/>
          <w:szCs w:val="16"/>
        </w:rPr>
        <w:t>Вся брошюра должна быть построена под следующим углом зрения: каковы наши достижения в той или иной отрасли культурного строительства и чему угрожает интервенция.</w:t>
      </w:r>
    </w:p>
    <w:p w14:paraId="4800E756" w14:textId="77777777" w:rsidR="00DD7307" w:rsidRPr="00507A31" w:rsidRDefault="00DD7307" w:rsidP="00507A31">
      <w:pPr>
        <w:numPr>
          <w:ilvl w:val="0"/>
          <w:numId w:val="107"/>
        </w:numPr>
        <w:ind w:left="0" w:firstLine="0"/>
        <w:jc w:val="both"/>
        <w:rPr>
          <w:color w:val="000000" w:themeColor="text1"/>
          <w:sz w:val="16"/>
          <w:szCs w:val="16"/>
        </w:rPr>
      </w:pPr>
      <w:r w:rsidRPr="00507A31">
        <w:rPr>
          <w:color w:val="000000" w:themeColor="text1"/>
          <w:sz w:val="16"/>
          <w:szCs w:val="16"/>
        </w:rPr>
        <w:t>Дополнить план брошюры статьей «Народное образование и интервенция» Автор т. Шацкий.</w:t>
      </w:r>
    </w:p>
    <w:p w14:paraId="65B7AE00" w14:textId="77777777" w:rsidR="00DD7307" w:rsidRPr="00507A31" w:rsidRDefault="00DD7307" w:rsidP="00507A31">
      <w:pPr>
        <w:numPr>
          <w:ilvl w:val="0"/>
          <w:numId w:val="107"/>
        </w:numPr>
        <w:ind w:left="0" w:firstLine="0"/>
        <w:jc w:val="both"/>
        <w:rPr>
          <w:color w:val="000000" w:themeColor="text1"/>
          <w:sz w:val="16"/>
          <w:szCs w:val="16"/>
        </w:rPr>
      </w:pPr>
      <w:r w:rsidRPr="00507A31">
        <w:rPr>
          <w:color w:val="000000" w:themeColor="text1"/>
          <w:sz w:val="16"/>
          <w:szCs w:val="16"/>
        </w:rPr>
        <w:t>Поручить редакции с привлечением НТС и Худож. Сектора окончательно установить авторов всех статей и принять энергичные меры, обеспечивающие своевременное получение статей. Ввиду возможных затруднений с получением статей от ленинградских авторов — заказать одновременно статьи на те же темы запасным авторам в Москве.</w:t>
      </w:r>
    </w:p>
    <w:p w14:paraId="529B1515" w14:textId="77777777" w:rsidR="00DD7307" w:rsidRPr="00507A31" w:rsidRDefault="00DD7307" w:rsidP="00507A31">
      <w:pPr>
        <w:numPr>
          <w:ilvl w:val="0"/>
          <w:numId w:val="107"/>
        </w:numPr>
        <w:ind w:left="0" w:firstLine="0"/>
        <w:jc w:val="both"/>
        <w:rPr>
          <w:color w:val="000000" w:themeColor="text1"/>
          <w:sz w:val="16"/>
          <w:szCs w:val="16"/>
        </w:rPr>
      </w:pPr>
      <w:r w:rsidRPr="00507A31">
        <w:rPr>
          <w:color w:val="000000" w:themeColor="text1"/>
          <w:sz w:val="16"/>
          <w:szCs w:val="16"/>
        </w:rPr>
        <w:t>Установить сроком сдачи всего материала редакции 5/ХII с тем, чтобы обеспечить выход брошюры из печати 15/ХII.</w:t>
      </w:r>
    </w:p>
    <w:p w14:paraId="2284B3B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VIII. Об обеспечении бесперебойной работы комиссии.</w:t>
      </w:r>
    </w:p>
    <w:p w14:paraId="57EFAC0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VIII.</w:t>
      </w:r>
    </w:p>
    <w:p w14:paraId="20A770FF" w14:textId="77777777" w:rsidR="00DD7307" w:rsidRPr="00507A31" w:rsidRDefault="00DD7307" w:rsidP="00507A31">
      <w:pPr>
        <w:numPr>
          <w:ilvl w:val="0"/>
          <w:numId w:val="108"/>
        </w:numPr>
        <w:ind w:left="0" w:firstLine="0"/>
        <w:jc w:val="both"/>
        <w:rPr>
          <w:color w:val="000000" w:themeColor="text1"/>
          <w:sz w:val="16"/>
          <w:szCs w:val="16"/>
        </w:rPr>
      </w:pPr>
      <w:r w:rsidRPr="00507A31">
        <w:rPr>
          <w:color w:val="000000" w:themeColor="text1"/>
          <w:sz w:val="16"/>
          <w:szCs w:val="16"/>
        </w:rPr>
        <w:t>Ввиду ударного характера всех заданий, намеченных по линии Отдела Печати, поставить перед Бюро Правления вопрос о выделении т.т. Минлос и Штейнберга на время проведения кампании для усиления Отдела Печати по совместительству с их основной работой.</w:t>
      </w:r>
    </w:p>
    <w:p w14:paraId="52A6A20E" w14:textId="77777777" w:rsidR="00DD7307" w:rsidRPr="00507A31" w:rsidRDefault="00DD7307" w:rsidP="00507A31">
      <w:pPr>
        <w:numPr>
          <w:ilvl w:val="0"/>
          <w:numId w:val="108"/>
        </w:numPr>
        <w:ind w:left="0" w:firstLine="0"/>
        <w:jc w:val="both"/>
        <w:rPr>
          <w:color w:val="000000" w:themeColor="text1"/>
          <w:sz w:val="16"/>
          <w:szCs w:val="16"/>
        </w:rPr>
      </w:pPr>
      <w:r w:rsidRPr="00507A31">
        <w:rPr>
          <w:color w:val="000000" w:themeColor="text1"/>
          <w:sz w:val="16"/>
          <w:szCs w:val="16"/>
        </w:rPr>
        <w:t>Поручить Бюро Правления пополнить переводческий коллектив, выделенный для обслуживания кампании.</w:t>
      </w:r>
    </w:p>
    <w:p w14:paraId="5DA3CE7F" w14:textId="77777777" w:rsidR="00DD7307" w:rsidRPr="00507A31" w:rsidRDefault="00DD7307" w:rsidP="00507A31">
      <w:pPr>
        <w:numPr>
          <w:ilvl w:val="0"/>
          <w:numId w:val="108"/>
        </w:numPr>
        <w:ind w:left="0" w:firstLine="0"/>
        <w:jc w:val="both"/>
        <w:rPr>
          <w:color w:val="000000" w:themeColor="text1"/>
          <w:sz w:val="16"/>
          <w:szCs w:val="16"/>
        </w:rPr>
      </w:pPr>
      <w:r w:rsidRPr="00507A31">
        <w:rPr>
          <w:color w:val="000000" w:themeColor="text1"/>
          <w:sz w:val="16"/>
          <w:szCs w:val="16"/>
        </w:rPr>
        <w:t>Поручить всем зав. секторами ОВС к 3 часам дня 26/XI представить окончательные списки адресатов их странам, куда будет направляться бюллетень.</w:t>
      </w:r>
    </w:p>
    <w:p w14:paraId="7035CF0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XI. План работы Нацбюро в связи с кампанией (план прилагается).</w:t>
      </w:r>
    </w:p>
    <w:p w14:paraId="5B551BA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т. БРУК зачитывает план.</w:t>
      </w:r>
    </w:p>
    <w:p w14:paraId="6B12F8A2"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XI.</w:t>
      </w:r>
    </w:p>
    <w:p w14:paraId="51D961A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План в основном принять, поручив Нацбюро в процессе работы внести в него конкретизацию.</w:t>
      </w:r>
    </w:p>
    <w:p w14:paraId="1B850962"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X. План работы НТС в связи с кампанией.</w:t>
      </w:r>
    </w:p>
    <w:p w14:paraId="59C5BEC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т. Брук зачитывает план.</w:t>
      </w:r>
    </w:p>
    <w:p w14:paraId="1234D1C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X.</w:t>
      </w:r>
    </w:p>
    <w:p w14:paraId="0F5F9D74" w14:textId="77777777" w:rsidR="00DD7307" w:rsidRPr="00507A31" w:rsidRDefault="00DD7307" w:rsidP="00507A31">
      <w:pPr>
        <w:numPr>
          <w:ilvl w:val="0"/>
          <w:numId w:val="109"/>
        </w:numPr>
        <w:ind w:left="0" w:firstLine="0"/>
        <w:jc w:val="both"/>
        <w:rPr>
          <w:color w:val="000000" w:themeColor="text1"/>
          <w:sz w:val="16"/>
          <w:szCs w:val="16"/>
        </w:rPr>
      </w:pPr>
      <w:r w:rsidRPr="00507A31">
        <w:rPr>
          <w:color w:val="000000" w:themeColor="text1"/>
          <w:sz w:val="16"/>
          <w:szCs w:val="16"/>
        </w:rPr>
        <w:t>Ввиду того, что выработанный НТС план недостаточно конкретен — поручить т. Бруку собрать к 27 от всех секций, входящих в НТС и Художественный Сектор и от Отд. Приема Иностр., их предложения по кампании для составления на их основе единого плана работы.</w:t>
      </w:r>
    </w:p>
    <w:p w14:paraId="6228116D" w14:textId="77777777" w:rsidR="00DD7307" w:rsidRPr="00507A31" w:rsidRDefault="00DD7307" w:rsidP="00507A31">
      <w:pPr>
        <w:numPr>
          <w:ilvl w:val="0"/>
          <w:numId w:val="109"/>
        </w:numPr>
        <w:ind w:left="0" w:firstLine="0"/>
        <w:jc w:val="both"/>
        <w:rPr>
          <w:color w:val="000000" w:themeColor="text1"/>
          <w:sz w:val="16"/>
          <w:szCs w:val="16"/>
        </w:rPr>
      </w:pPr>
      <w:r w:rsidRPr="00507A31">
        <w:rPr>
          <w:color w:val="000000" w:themeColor="text1"/>
          <w:sz w:val="16"/>
          <w:szCs w:val="16"/>
        </w:rPr>
        <w:t>Ввиду того, что ВОКС своевременно не информируется о всех заграничных командировках сов. ученых, что может помешать ему в использовании советских ученых, командируемых за границу, в связи с кампанией:</w:t>
      </w:r>
    </w:p>
    <w:p w14:paraId="36317BD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а)  просить т. Петрова поставить в директивных инстанциях вопрос о необходимости связывать всех ученых, направляемых за границу, с ВОКСом.</w:t>
      </w:r>
    </w:p>
    <w:p w14:paraId="2368702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б)  поручить т. Брук договориться с комиссией по научным командировкам при Наркомпросе о своевременном и систематическом извещении ВОКСа о всех предполагаемых заграничных командировках.</w:t>
      </w:r>
    </w:p>
    <w:p w14:paraId="78A420FF"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XI. Об инструктировании отделов ВОКС в связи с кампанией.</w:t>
      </w:r>
    </w:p>
    <w:p w14:paraId="4B92CEBF"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XI.</w:t>
      </w:r>
    </w:p>
    <w:p w14:paraId="5A1255D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1) Поручить т. Ротенберг срочно выслать во все отделы ВОКС план работы самого ВОКС по кампании и другие материалы с приложением небольшого письма, излагающего конкретные задания этих отделов в связи с кампанией.</w:t>
      </w:r>
    </w:p>
    <w:p w14:paraId="0C732A5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СЛУШАЛИ. XII. О плане работы Выставочного Отдела, Фото и Кино-Секции.</w:t>
      </w:r>
    </w:p>
    <w:p w14:paraId="392CF9CB"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ПОСТАНОВИЛИ. XII.</w:t>
      </w:r>
    </w:p>
    <w:p w14:paraId="0D77A99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Поручить т. Ротенберг согласовать представленные Отд[елом] Выставок, Фото и Кино-Секцией планы работ по кампании с членами комиссии и всеми референтами.</w:t>
      </w:r>
    </w:p>
    <w:p w14:paraId="42B15B8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Председатель (ШУМАН)</w:t>
      </w:r>
    </w:p>
    <w:p w14:paraId="2910E57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Секретарь (РОТЕНБЕРГ)</w:t>
      </w:r>
    </w:p>
    <w:p w14:paraId="083FF281"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P-5283. On. 1. Д. 139. Л. 33-35. Машинописная копия того времени. На Л. 33 в верхнем правом углу напечатано «Не подлежит оглашению» На Л. 36 — «Приложение к протоколу № 5. Мероприятия по Нацбюро» (18919).</w:t>
      </w:r>
    </w:p>
    <w:p w14:paraId="18470466" w14:textId="77777777" w:rsidR="00DD7307" w:rsidRPr="00507A31" w:rsidRDefault="00DD7307" w:rsidP="00507A31">
      <w:pPr>
        <w:jc w:val="both"/>
        <w:rPr>
          <w:color w:val="000000" w:themeColor="text1"/>
          <w:sz w:val="16"/>
          <w:szCs w:val="16"/>
        </w:rPr>
      </w:pPr>
    </w:p>
    <w:p w14:paraId="7780861B" w14:textId="77777777" w:rsidR="00DD7307" w:rsidRPr="00507A31" w:rsidRDefault="00DD7307" w:rsidP="00507A31">
      <w:pPr>
        <w:jc w:val="both"/>
        <w:rPr>
          <w:bCs/>
          <w:color w:val="000000" w:themeColor="text1"/>
          <w:sz w:val="16"/>
          <w:szCs w:val="16"/>
        </w:rPr>
      </w:pPr>
      <w:r w:rsidRPr="00507A31">
        <w:rPr>
          <w:color w:val="000000" w:themeColor="text1"/>
          <w:sz w:val="16"/>
          <w:szCs w:val="16"/>
        </w:rPr>
        <w:t>26 ноября 1930 г.</w:t>
      </w:r>
    </w:p>
    <w:p w14:paraId="18A5BDD6" w14:textId="77777777" w:rsidR="00DD7307" w:rsidRPr="00507A31" w:rsidRDefault="00DD7307" w:rsidP="00507A31">
      <w:pPr>
        <w:jc w:val="both"/>
        <w:rPr>
          <w:bCs/>
          <w:color w:val="000000" w:themeColor="text1"/>
          <w:sz w:val="16"/>
          <w:szCs w:val="16"/>
        </w:rPr>
      </w:pPr>
      <w:r w:rsidRPr="00507A31">
        <w:rPr>
          <w:color w:val="000000" w:themeColor="text1"/>
          <w:sz w:val="16"/>
          <w:szCs w:val="16"/>
        </w:rPr>
        <w:t>План работы БОКС по проведению кампании в связи с процессом «Промпартии» с указанием ее целей и мероприятий внутри и за пределами СССР. 26 ноября 1930 г.</w:t>
      </w:r>
    </w:p>
    <w:p w14:paraId="29707051"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5991A865"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3F603C8"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Архив: </w:t>
      </w:r>
    </w:p>
    <w:p w14:paraId="4FFBE85F" w14:textId="77777777" w:rsidR="00DD7307" w:rsidRPr="00507A31" w:rsidRDefault="00DD7307" w:rsidP="00507A31">
      <w:pPr>
        <w:jc w:val="both"/>
        <w:rPr>
          <w:color w:val="000000" w:themeColor="text1"/>
          <w:sz w:val="16"/>
          <w:szCs w:val="16"/>
        </w:rPr>
      </w:pPr>
      <w:r w:rsidRPr="00507A31">
        <w:rPr>
          <w:color w:val="000000" w:themeColor="text1"/>
          <w:sz w:val="16"/>
          <w:szCs w:val="16"/>
        </w:rPr>
        <w:t>ГА РФ. Ф. P-5283. On. 1. Д. 147. Л. 104-105</w:t>
      </w:r>
    </w:p>
    <w:p w14:paraId="0E0E60C0"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26 ноября 1930 г.</w:t>
      </w:r>
    </w:p>
    <w:p w14:paraId="58A2703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Кампания, в соответствии с характером и формами работы ВОКС, должна преследовать следующие цели:</w:t>
      </w:r>
    </w:p>
    <w:p w14:paraId="6AB8500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1.  Показать перед лицом заграничной общественности, что опасность интервенции превратилась сейчас в непосредственную угрозу строительству и самому существованию СССР.</w:t>
      </w:r>
    </w:p>
    <w:p w14:paraId="3BE369D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2. Показать, что организаторы интервенции из «Промышленной Партии» представляют собой кучку отщепенцев, не имеющую никакой опоры в массах СССР, в том числе и у огромного большинства работников советской науки, техники и искусства.</w:t>
      </w:r>
    </w:p>
    <w:p w14:paraId="1E6077FC"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Именно этой изолированностью вредителей объясняется то, что руководители «Промпартии» вынуждены были для осуществления своих целей стать на путь организации интервенции.</w:t>
      </w:r>
    </w:p>
    <w:p w14:paraId="75E7C35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lastRenderedPageBreak/>
        <w:t>3.  Показать, что эта попытка организации интервенции вызвала огромное возмущение и жесточайший отпор со стороны трудящихся масс СССР, в том числе и массах работников науки и искусства во главе с лучшими и виднейшими их представителями, которые безоговорочно связали свою судьбу с делом пролетариата и трудящихся масс.</w:t>
      </w:r>
    </w:p>
    <w:p w14:paraId="573D63F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4.  Разъяснить, что какая бы то ни было защита вредителей и организаторов интервенции является защитой ничтожной кучки врагов трудящихся и тем самым направлена против воли и интересов миллионных масс носителей и строителей новой жизни в шестой части мира.</w:t>
      </w:r>
    </w:p>
    <w:p w14:paraId="69314E6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5.  Разъяснить, что интервенция против страны социализма, строящей эту новую жизнь, грозит гибелью не только СССР, но и будущему всего человечества, развитие которого определяется самим существованием СССР и успехами его мирного социалистического строительства, в частности, культурного строительства.</w:t>
      </w:r>
    </w:p>
    <w:p w14:paraId="2399A46E"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Для проведения этой кампании ВОКС — с одной стороны, организует общественное мнение за границей, призывая к активной борьбе в защиту СССР под указанными выше лозунгами, — с другой стороны, мобилизует научную и художественную общественность в СССР для демонстрации за границей отношения этой общественности к вредительству и интервенции и для организации активной борьбы советских ученых, писателей, художников и т. д. против интервенции путем систематической связи и обращений к соответствующим кругам за границей.</w:t>
      </w:r>
    </w:p>
    <w:p w14:paraId="5845CFB9" w14:textId="77777777" w:rsidR="00DD7307" w:rsidRPr="00507A31" w:rsidRDefault="00DD7307" w:rsidP="00507A31">
      <w:pPr>
        <w:pStyle w:val="rtecenter"/>
        <w:spacing w:before="0" w:after="0"/>
        <w:jc w:val="both"/>
        <w:rPr>
          <w:color w:val="000000" w:themeColor="text1"/>
          <w:sz w:val="16"/>
          <w:szCs w:val="16"/>
        </w:rPr>
      </w:pPr>
      <w:r w:rsidRPr="00507A31">
        <w:rPr>
          <w:color w:val="000000" w:themeColor="text1"/>
          <w:sz w:val="16"/>
          <w:szCs w:val="16"/>
        </w:rPr>
        <w:t>КОНКРЕТНО НАМЕЧЕНЫ СЛЕДУЮЩИЕ МЕРОПРИЯТИЯ:</w:t>
      </w:r>
    </w:p>
    <w:p w14:paraId="093EDC27" w14:textId="77777777" w:rsidR="00DD7307" w:rsidRPr="00507A31" w:rsidRDefault="00DD7307" w:rsidP="00507A31">
      <w:pPr>
        <w:pStyle w:val="rtecenter"/>
        <w:spacing w:before="0" w:after="0"/>
        <w:jc w:val="both"/>
        <w:rPr>
          <w:color w:val="000000" w:themeColor="text1"/>
          <w:sz w:val="16"/>
          <w:szCs w:val="16"/>
        </w:rPr>
      </w:pPr>
      <w:r w:rsidRPr="00507A31">
        <w:rPr>
          <w:color w:val="000000" w:themeColor="text1"/>
          <w:sz w:val="16"/>
          <w:szCs w:val="16"/>
        </w:rPr>
        <w:t>ПО ЛИНИИ ОТДЕЛА ВНЕШНИХ СНОШЕНИЙ</w:t>
      </w:r>
    </w:p>
    <w:p w14:paraId="4B9085E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1. Посредством Общества Сближения провести следующие мероприятия:</w:t>
      </w:r>
    </w:p>
    <w:p w14:paraId="026CEE0C"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а)   Организация общих собраний членов для выявления их отношений к процессу.</w:t>
      </w:r>
    </w:p>
    <w:p w14:paraId="27F4E5A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б)   Сбор подписей под протестами по поводу готовящейся интервенции видных представителей заграничной общественности, как входящих в Общество, так и состоящих вне их.</w:t>
      </w:r>
    </w:p>
    <w:p w14:paraId="791B005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в)   Вербовка новых членов из широких кругов трудящейся интеллигенции под лозунгом — «в защиту мирного строительства СССР».</w:t>
      </w:r>
    </w:p>
    <w:p w14:paraId="1BE94E8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При проведении этих мероприятий, надо иметь одновременно в виду освежение членского состава Обществ.</w:t>
      </w:r>
    </w:p>
    <w:p w14:paraId="6076054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г)  Максимальное использование Обществами общей печати для продвижения материалов вокруг процесса вредителей, а также выпуск экстренных номеров, посвященных проводимой кампании в тех случаях, когда Общества имеют самостоятельные органы печати.</w:t>
      </w:r>
    </w:p>
    <w:p w14:paraId="2AB5612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д)   Разоблачительная работа против специальных анти-советских организаций, как — «Союз защиты западной культуры» и т. д.</w:t>
      </w:r>
    </w:p>
    <w:p w14:paraId="0B5C6E9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II.  Обеспечить широкое и систематическое снабжение из-за границы</w:t>
      </w:r>
      <w:r w:rsidRPr="00507A31">
        <w:rPr>
          <w:color w:val="000000" w:themeColor="text1"/>
          <w:sz w:val="16"/>
          <w:szCs w:val="16"/>
          <w:vertAlign w:val="superscript"/>
        </w:rPr>
        <w:t>3</w:t>
      </w:r>
      <w:r w:rsidRPr="00507A31">
        <w:rPr>
          <w:color w:val="000000" w:themeColor="text1"/>
          <w:sz w:val="16"/>
          <w:szCs w:val="16"/>
        </w:rPr>
        <w:t> всеми материалами, относящимися к процессу, путем их рассылки Уполномоченным, Обществам Сближения, редакциям газет и журналов, выдающимся деятелям науки и искусств, иностранцами, посе[тившим] СССР, с которыми БОКС имеет связь и т. д.</w:t>
      </w:r>
    </w:p>
    <w:p w14:paraId="740B0F0F"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III.  Проводить систематический учет откликов заграничной печати на процесс с последующей информацией о них советской прессы.</w:t>
      </w:r>
    </w:p>
    <w:p w14:paraId="674DB6D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IV.  Разослать особые письма декларативного характера от имени председателя ВОКС к представителям заграничных Обществ Сближения и выдающимся деятелям каждой страны с призывом выступить на защиту мирного строительства СССР.</w:t>
      </w:r>
    </w:p>
    <w:p w14:paraId="2B6C7B2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V.    Разослать выдающимся представителям зарубежной общественности соответствующим образом сформулированную анкету, которая побудила бы их выявить свое отношение к подготавливаемой интервенции.</w:t>
      </w:r>
    </w:p>
    <w:p w14:paraId="7BBE26B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VI.  В связи с предстоящей кампанией снабдить Общества соответствующими материалами по линии кино, радио, фото, литературы, иллюстрирующими наши достижения и дающими представление о прошлой интервенции, включая сюда развертывание специальных выставок о наших культурных достижениях.</w:t>
      </w:r>
    </w:p>
    <w:p w14:paraId="48E1261B"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(Конкретный план снабжения этими материалами в указанных выше направлениях будет в 2-хдневный срок разработан соответствующими отделами ВОКС.)</w:t>
      </w:r>
    </w:p>
    <w:p w14:paraId="007FC6FC" w14:textId="77777777" w:rsidR="00DD7307" w:rsidRPr="00507A31" w:rsidRDefault="00DD7307" w:rsidP="00507A31">
      <w:pPr>
        <w:pStyle w:val="rtecenter"/>
        <w:spacing w:before="0" w:after="0"/>
        <w:jc w:val="both"/>
        <w:rPr>
          <w:color w:val="000000" w:themeColor="text1"/>
          <w:sz w:val="16"/>
          <w:szCs w:val="16"/>
        </w:rPr>
      </w:pPr>
      <w:r w:rsidRPr="00507A31">
        <w:rPr>
          <w:color w:val="000000" w:themeColor="text1"/>
          <w:sz w:val="16"/>
          <w:szCs w:val="16"/>
        </w:rPr>
        <w:t>ПО ЛИНИИ ОТДЕЛА ПЕЧАТИ</w:t>
      </w:r>
    </w:p>
    <w:p w14:paraId="4101579C"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I. Издает две специальных брошюры, посвященных процессу вредителей на 3-х иностранных языках.</w:t>
      </w:r>
    </w:p>
    <w:p w14:paraId="6B8AE000"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ПЕРВАЯ БРОШЮРА, размером 1 печ. л. должна выйти не позже 7-го декабря и носить подготовительный характер, включая статьи видных советских ученых, художников и артистов и выступления советской общественности по поводу вредительства, а также предварительные данные по процессу.</w:t>
      </w:r>
    </w:p>
    <w:p w14:paraId="49C04D9F"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ВТОРАЯ БРОШЮРА — итоговая. Она должна дать статейный материал и информацию о всем процессе.</w:t>
      </w:r>
    </w:p>
    <w:p w14:paraId="716E9CB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II.  Выпускать в течение всего процесса, каждые два дня, информационные бюллетени, размером до 1/2 п. л„ включающие наряду с информационным материалом по процессу статьи, освещающие отдельные достижения социалистического строительства, материалы по прошлой интервенции и т. д. Бюллетени должны переводиться на 3 иностранных языка для широкого распространения за границей.</w:t>
      </w:r>
    </w:p>
    <w:p w14:paraId="3B7EC4B0"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III.  Для своевременного обеспечения заграницы свежим информационным материалом по процессу провести его корреспондентское обслуживание силами аппарата ВОКС с привлечением актива ФОСП.</w:t>
      </w:r>
    </w:p>
    <w:p w14:paraId="094C7460"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IV.  Регулярно снабжать материалами о процессе иностранные газеты, издающиеся в Москве, с последующим их распространением заграницей.</w:t>
      </w:r>
    </w:p>
    <w:p w14:paraId="5519319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V.  Использовать радио-журнал для трансляции материалов, связанных с процессом, за границу.</w:t>
      </w:r>
    </w:p>
    <w:p w14:paraId="42900F80"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(Подробный план трансляции будет представлен дополнительно).</w:t>
      </w:r>
    </w:p>
    <w:p w14:paraId="2BAF6A55" w14:textId="77777777" w:rsidR="00DD7307" w:rsidRPr="00507A31" w:rsidRDefault="00DD7307" w:rsidP="00507A31">
      <w:pPr>
        <w:pStyle w:val="rtecenter"/>
        <w:spacing w:before="0" w:after="0"/>
        <w:jc w:val="both"/>
        <w:rPr>
          <w:color w:val="000000" w:themeColor="text1"/>
          <w:sz w:val="16"/>
          <w:szCs w:val="16"/>
        </w:rPr>
      </w:pPr>
      <w:r w:rsidRPr="00507A31">
        <w:rPr>
          <w:color w:val="000000" w:themeColor="text1"/>
          <w:sz w:val="16"/>
          <w:szCs w:val="16"/>
        </w:rPr>
        <w:t>В ОБЛАСТИ РАБОТЫ ВНУТРИ СССР ПО ЛИНИИ НТС</w:t>
      </w:r>
    </w:p>
    <w:p w14:paraId="038F07A3" w14:textId="77777777" w:rsidR="00DD7307" w:rsidRPr="00507A31" w:rsidRDefault="00DD7307" w:rsidP="00507A31">
      <w:pPr>
        <w:pStyle w:val="rtecenter"/>
        <w:spacing w:before="0" w:after="0"/>
        <w:jc w:val="both"/>
        <w:rPr>
          <w:color w:val="000000" w:themeColor="text1"/>
          <w:sz w:val="16"/>
          <w:szCs w:val="16"/>
        </w:rPr>
      </w:pPr>
      <w:r w:rsidRPr="00507A31">
        <w:rPr>
          <w:color w:val="000000" w:themeColor="text1"/>
          <w:sz w:val="16"/>
          <w:szCs w:val="16"/>
        </w:rPr>
        <w:t>и ХУДОЖЕСТВЕННОГО СЕКТОРА ВОКС</w:t>
      </w:r>
    </w:p>
    <w:p w14:paraId="2124BA0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I.  Организовать массовый сбор подписей под протестом против вредительства как среди представителей общественности, так и среди выдающихся деятелей науки и искусства, известных за рубежом. Кампанию провести в центре, по провинции (через Отделы ВОКС), в частности, в национальных областях, с последующей посылкой всех подписей, с соответствующей расшифровкой имен заграницу.</w:t>
      </w:r>
    </w:p>
    <w:p w14:paraId="19007E46"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II. Провести 23.XI в Доме Ученых специальный митинг протеста, имеющий целью обращение советской, научной и художественной общественности за границу с призывом к борьбе против интервенции. Широко информировать заграницу о результатах этого митинга.</w:t>
      </w:r>
    </w:p>
    <w:p w14:paraId="42F908F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III. Ускорить выпуск сборников, подготовляемых Научно-Техническим Сект[ором] и Национальным Бюро, освещающих наши достижения по отдельным отраслям культурного строительства, а также форсировать издание брошюр.</w:t>
      </w:r>
    </w:p>
    <w:p w14:paraId="66D9B4C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(Подробный план мобилизации советской общественности вокруг кампании борьбы с подготовляемой интервенцией будет дополнительно представлен).</w:t>
      </w:r>
    </w:p>
    <w:p w14:paraId="48F960AE"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IV. Привлечь к кампании протеста против подготовляемой интервенции работающих в СССР иностранных специалистов, находящихся как в центре, так и на крупных объектах нашего строительства в провинции.</w:t>
      </w:r>
    </w:p>
    <w:p w14:paraId="21FECF00"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(Конкретный план по этому разделу так же как и по работе с иностранцами, приехавшими в СССР и обслуживаемыми ВОКСом, будет представлен дополнительно).</w:t>
      </w:r>
    </w:p>
    <w:p w14:paraId="4757FA08"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ГА</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P-5283. On. 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147. </w:t>
      </w:r>
      <w:r w:rsidRPr="00507A31">
        <w:rPr>
          <w:rStyle w:val="af0"/>
          <w:i w:val="0"/>
          <w:color w:val="000000" w:themeColor="text1"/>
          <w:sz w:val="16"/>
          <w:szCs w:val="16"/>
        </w:rPr>
        <w:t>Л</w:t>
      </w:r>
      <w:r w:rsidRPr="00507A31">
        <w:rPr>
          <w:rStyle w:val="af0"/>
          <w:i w:val="0"/>
          <w:color w:val="000000" w:themeColor="text1"/>
          <w:sz w:val="16"/>
          <w:szCs w:val="16"/>
          <w:lang w:val="en-US"/>
        </w:rPr>
        <w:t xml:space="preserve">. 104-105. </w:t>
      </w:r>
      <w:r w:rsidRPr="00507A31">
        <w:rPr>
          <w:rStyle w:val="af0"/>
          <w:i w:val="0"/>
          <w:color w:val="000000" w:themeColor="text1"/>
          <w:sz w:val="16"/>
          <w:szCs w:val="16"/>
        </w:rPr>
        <w:t>Машинописная копия того времени. Датируется по сопроводительному письму (Л. 106, см. предыдущий док. № 16) (18917).</w:t>
      </w:r>
    </w:p>
    <w:p w14:paraId="151FE63E" w14:textId="77777777" w:rsidR="00DD7307" w:rsidRPr="00507A31" w:rsidRDefault="00DD7307" w:rsidP="00507A31">
      <w:pPr>
        <w:jc w:val="both"/>
        <w:rPr>
          <w:color w:val="000000" w:themeColor="text1"/>
          <w:sz w:val="16"/>
          <w:szCs w:val="16"/>
        </w:rPr>
      </w:pPr>
    </w:p>
    <w:p w14:paraId="03D08A21" w14:textId="77777777" w:rsidR="00DD7307" w:rsidRPr="00507A31" w:rsidRDefault="00DD7307" w:rsidP="00507A31">
      <w:pPr>
        <w:jc w:val="both"/>
        <w:rPr>
          <w:bCs/>
          <w:color w:val="000000" w:themeColor="text1"/>
          <w:sz w:val="16"/>
          <w:szCs w:val="16"/>
        </w:rPr>
      </w:pPr>
      <w:r w:rsidRPr="00507A31">
        <w:rPr>
          <w:color w:val="000000" w:themeColor="text1"/>
          <w:sz w:val="16"/>
          <w:szCs w:val="16"/>
        </w:rPr>
        <w:t>26 ноября 1930 г.</w:t>
      </w:r>
    </w:p>
    <w:p w14:paraId="724FD0E7" w14:textId="77777777" w:rsidR="00DD7307" w:rsidRPr="00507A31" w:rsidRDefault="00DD7307" w:rsidP="00507A31">
      <w:pPr>
        <w:jc w:val="both"/>
        <w:rPr>
          <w:bCs/>
          <w:color w:val="000000" w:themeColor="text1"/>
          <w:sz w:val="16"/>
          <w:szCs w:val="16"/>
        </w:rPr>
      </w:pPr>
      <w:r w:rsidRPr="00507A31">
        <w:rPr>
          <w:color w:val="000000" w:themeColor="text1"/>
          <w:sz w:val="16"/>
          <w:szCs w:val="16"/>
        </w:rPr>
        <w:t>Информация сотрудника Полпредства СССР в Германии Б. Д. Виноградова об обсуждении с немецкими дипломатами текущих вопросов, включая «антисоветскую кампанию» в печати. 26 ноября 1930 г.</w:t>
      </w:r>
    </w:p>
    <w:p w14:paraId="7B0E219B"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682C2287"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35928D"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Архив: </w:t>
      </w:r>
    </w:p>
    <w:p w14:paraId="2243E837" w14:textId="77777777" w:rsidR="00DD7307" w:rsidRPr="00507A31" w:rsidRDefault="00DD7307" w:rsidP="00507A31">
      <w:pPr>
        <w:jc w:val="both"/>
        <w:rPr>
          <w:color w:val="000000" w:themeColor="text1"/>
          <w:sz w:val="16"/>
          <w:szCs w:val="16"/>
        </w:rPr>
      </w:pPr>
      <w:r w:rsidRPr="00507A31">
        <w:rPr>
          <w:color w:val="000000" w:themeColor="text1"/>
          <w:sz w:val="16"/>
          <w:szCs w:val="16"/>
        </w:rPr>
        <w:t>АВП РФ. Ф. 056. On. 15. П. 31. Д. 9. Л. 71-73</w:t>
      </w:r>
    </w:p>
    <w:p w14:paraId="22305A47"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26 ноября 1930 г.</w:t>
      </w:r>
    </w:p>
    <w:p w14:paraId="340424EB"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1E091E05"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Дневник Виноградова</w:t>
      </w:r>
    </w:p>
    <w:p w14:paraId="5ED166B4"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Разговор с Динстманом и Шлезингером 27[-]го ноября</w:t>
      </w:r>
    </w:p>
    <w:p w14:paraId="225DECC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1.   Просил информации о галатской и венской конференциях Дунайской комиссии (1-ая в конце ноября, 2-ая в середине декабря). Просил предоставить нам все договора, заключенные Германией с другими государствами начиная с 1[-]го января [19]30 года (в связи с циркуляром НКИД № 582 от 15 июля [19]30 г.). Просил также предоставить нам договора за тот же срок, заключенные странами Южной Америки. По этому последнему вопросу Динстман просил написать официальную ноту.</w:t>
      </w:r>
    </w:p>
    <w:p w14:paraId="0851123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2.  По вопросу о ликвидации Штеттинской пароходной компании Динстман рекомендовал мне обратиться к Шлезингеру, который этим занимается. Я тут же встретился с Шлезингером и изложил ему суть дела. Шлезингер обещал в ближайшее же время выяснить, кто будет наследником Штеттинской пароходной компании. Между прочим, когда я заметил, что эта компания ликвидируется, Шлезингер поправил меня, сказав, что она не ликвидируется, а реорганизуется.</w:t>
      </w:r>
    </w:p>
    <w:p w14:paraId="2933A65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 xml:space="preserve">3.  Продолжал разговор с Динстманом по вопросу об антисоветской травле в германской печати. Я сказал ему, что этой травле предшествовал целый ряд враждебных СССР актов, которые по существу подготовляли эту новую антисоветскую кампанию. Сначала появился протест германских ученых, в то время как ученые других стран не выступали с подобными протестами. Потом было созвано собрание в Спортпаласте (Союз Защиты &lt;западной культуры&gt;), о котором я своевременно предупреждал Динстмана. Динстман вставил замечание, что он ходил к организаторам этого собрания и приложил немало усилий к тому, чтобы смягчить выступления </w:t>
      </w:r>
      <w:r w:rsidRPr="00507A31">
        <w:rPr>
          <w:color w:val="000000" w:themeColor="text1"/>
          <w:sz w:val="16"/>
          <w:szCs w:val="16"/>
        </w:rPr>
        <w:lastRenderedPageBreak/>
        <w:t>и ограничить их специфической (религиозной) областью. Я ответил Динстману, что к сожалению его усилия не имели никакого успеха, поскольку ораторы Союза защиты совершенно не стеснялись и не ограничивались в своих речах. В Спортпаласте снова была пущена утка о многоженстве в СССР, чего мы не слышали уже со времен интервенции. Следующим этапом является та клеветническая кампания, которая была развернута «Рулем» и «Социал[истическим] Вестником». Сначала «Руль» писал о невозвращенчестве [Б. С.] Стомонякова, о чем мы опять таки своевременно делали представление Аусамту. Потом появились сообщения [«]Социал. Вестника[»] о заговоре Блюхера, убийстве Сталина и перерыве сообщения с Москвой. [«]Форвертс[»] тут же перепечатал эти сообщения и оно пошло гулять по всей прессе. На ряду с этим процесс вредителей, в противовес которому была выпущена утка о перевороте в Москве, сопровождался неслыханно враждебными СССР комментариями, что могло служить только на руку французам. Я сказал Динстману, что антисоветские кампании — дело для нас не новое, что в целях подготовки интервенции они будут неоднократно повторяться, но что меня крайне удивляет, что эта кампания началась и развернулась именно в Германии, не являющейся участницей анти-советского блока. Я подчеркнул, что материалы для этой кампании были почерпнуты из мутного источника — [«]Руля[»] и [«]Социалист. Вестника[»], приютившихся в Берлине и периодически отравляющих общественное мнение ложной информацией. Наконец я заметил, что утверждени[я] прессы в продолжении почти недели о «революции» в Москве создавали такое впечатление, что правительственные органы Германии действительно не имеют никакой связи с Москвой (я намекнул этим на запоздалость и недостаточность опровержений, исходивших из Аусамта). Закончил указанием на то, что не только Берлин в те дни не мог соединиться по телефону с Москвой, но и Москва с Берлином, однако это не дало повода нашей печати утверждать, что в Германии революция. Динстман отвечал по пунктам. По поводу протеста ученых он сказал, что появление этого протеста именно в Германии объясняется тем, что германские ученые больше, чем ученые других стран, связаны с учеными СССР. На эту тему у нас завязалась довольно пространная полемика, которую я не записываю и в продолжении которой я рассказал ему об инциденте с Зерингом и о письме Прянишникова. По поводу кампании прессы Динстман ответил, что может здесь и сыграли свою роль белогвардейские газеты, но нужно иметь в виду и следующий фактор: возвращение более двух сот германских рабочих из СССР и непрекращающиеся аресты среди немцев, русских граждан. Динстман снова назвал цифру — 60 арестов в течение сентября месяца (просьба ко 2[-]му Запад[ному] отд[елу НКИД], правильны ли эти сведения и были ли представления со стороны германского посольства в Москве). Я ответил Динстману, что по моему мнению эти факторы играли в последней антисоветской кампании ничтожную роль, что немецкие газеты почти ничего не писали об арестах среди русских немцев и о возвратившихся рабочих, но зато много писалось об арестах профессоров вредителей в крайне враждебном для СССР духе. Наконец, если в Германии кто[-]либо недоволен арестами среди русских немцев, то это не значит, что в течение недели нужно распространять всей прессе нелепые сведения о перевороте в Москве и об убийстве Сталина. Динстман резюмировал, что все[-]таки до тех пор пока репрессии в СССР продолжаются пресса будет нервничать. Мне оставалось только заметить, что подобные инциденты омрачают советско-германские отношения, с чем понятно мой собеседник не пр[е]минул согласиться.</w:t>
      </w:r>
    </w:p>
    <w:p w14:paraId="3D81F8FB"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(Виноградов)</w:t>
      </w:r>
    </w:p>
    <w:p w14:paraId="3E397BB1"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31. Д. 9. Л. 71-73. Машинописная копия того времени. Дата и гриф секретности машинописью. На Л. 71 вверху слева написаны от руки входящий номер и дата «1/ХII-30 г.», справа штамп Секретариата Западного отдела НКИД СССР с вписанными от руки номером и датой «30 XI 1930 г.». Ниже рукописная помета «архив» (подпись-росчерк, неразборчиво) (18839).</w:t>
      </w:r>
    </w:p>
    <w:p w14:paraId="3E4B0C38" w14:textId="77777777" w:rsidR="00DD7307" w:rsidRPr="00507A31" w:rsidRDefault="00DD7307" w:rsidP="00507A31">
      <w:pPr>
        <w:jc w:val="both"/>
        <w:rPr>
          <w:color w:val="000000" w:themeColor="text1"/>
          <w:sz w:val="16"/>
          <w:szCs w:val="16"/>
        </w:rPr>
      </w:pPr>
    </w:p>
    <w:p w14:paraId="60208ECB" w14:textId="77777777" w:rsidR="00DD7307" w:rsidRPr="00507A31" w:rsidRDefault="00DD7307" w:rsidP="00507A31">
      <w:pPr>
        <w:jc w:val="both"/>
        <w:rPr>
          <w:color w:val="000000" w:themeColor="text1"/>
          <w:sz w:val="16"/>
          <w:szCs w:val="16"/>
        </w:rPr>
      </w:pPr>
      <w:r w:rsidRPr="00507A31">
        <w:rPr>
          <w:color w:val="000000" w:themeColor="text1"/>
          <w:sz w:val="16"/>
          <w:szCs w:val="16"/>
        </w:rPr>
        <w:t>26 ноября 1930 г.</w:t>
      </w:r>
    </w:p>
    <w:p w14:paraId="5C12E267" w14:textId="77777777" w:rsidR="00DD7307" w:rsidRPr="00507A31" w:rsidRDefault="00DD7307" w:rsidP="00507A31">
      <w:pPr>
        <w:jc w:val="both"/>
        <w:rPr>
          <w:color w:val="000000" w:themeColor="text1"/>
          <w:sz w:val="16"/>
          <w:szCs w:val="16"/>
        </w:rPr>
      </w:pPr>
      <w:r w:rsidRPr="00507A31">
        <w:rPr>
          <w:color w:val="000000" w:themeColor="text1"/>
          <w:sz w:val="16"/>
          <w:szCs w:val="16"/>
        </w:rPr>
        <w:t>Сводка материалов германской прессы о начавшемся процессе «Промпартии», подготовленная отделом печати Полпредства СССР. 26 ноября 1930 г.</w:t>
      </w:r>
    </w:p>
    <w:p w14:paraId="5B846F65"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02B257B4"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DB37FC"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Архив: </w:t>
      </w:r>
    </w:p>
    <w:p w14:paraId="0AFF7CBE" w14:textId="77777777" w:rsidR="00DD7307" w:rsidRPr="00507A31" w:rsidRDefault="00DD7307" w:rsidP="00507A31">
      <w:pPr>
        <w:jc w:val="both"/>
        <w:rPr>
          <w:color w:val="000000" w:themeColor="text1"/>
          <w:sz w:val="16"/>
          <w:szCs w:val="16"/>
        </w:rPr>
      </w:pPr>
      <w:r w:rsidRPr="00507A31">
        <w:rPr>
          <w:color w:val="000000" w:themeColor="text1"/>
          <w:sz w:val="16"/>
          <w:szCs w:val="16"/>
        </w:rPr>
        <w:t>АВП РФ. Ф. 056. On. 15. П. 31. Д. 9. Л. 66-67</w:t>
      </w:r>
    </w:p>
    <w:p w14:paraId="0661465D"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26 ноября 1930 г.</w:t>
      </w:r>
    </w:p>
    <w:p w14:paraId="5CD5203F"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ГЕРМАНСКАЯ ПРЕССА И ПРОЦЕСС ПРОМПАРТИИ</w:t>
      </w:r>
    </w:p>
    <w:p w14:paraId="7742EF25"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(сводка печати от 26 ноября 1930 г.)</w:t>
      </w:r>
    </w:p>
    <w:p w14:paraId="5DDD4B9C"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Ко дню начала судебного разбирательства германская пресса помещает ряд статей и сообщений, в основном сводящихся к следующему:</w:t>
      </w:r>
    </w:p>
    <w:p w14:paraId="0DAA928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[«]Берзен Курир[»] печатает большую статью своего московского корреспондента Бассехеса. Редакция снабжает статью сообщением, что слухи о перевороте в СССР оказались неосновательными. Изложив основные моменты обвинительного заключения, Бассехес переходит к их «критическому разбору». Он подчеркивает, что все материалы ГПУ вызывают у объективного наблюдателя большое недоверие. Все советские органы, особенно ГПУ, страдают манией преувеличения. В данном случае эмигрантские сплетни в Париже превращены в серьезный обвинительный материал. На этот раз материал подобран более заботливо, чем во время других процессов, однако он весь покоится на самообвинениях подсудимых. Люди, решившие бороться с Сов. Властью, после нескольких месяцев пребывания в ГПУ начинают каяться и разоблачать себя и других. Далее Бассехес указывает, что руководителей вредительской организации Пальчинского и Хренникова уже нет в живых. Характерно также, что пока не привлечен к процессу Рабинович, во время шахтинского процесса отрицавший свою вину и теперь вновь называемый руководителем вредительской организации. Все это вместе взятое не разрешает обойти обвинение. То что заговор имел место, само по себе вполне возможно. Советское инженерство недовольно своим положением: от них требуют невероятной работы, лишают всякого политического влияния, плохо оплачивают. В старой России инженерство играло крупнейшую роль. Если во французской революции Бонапарт был офицером, то в России он будет инженером. Тем не менее Бассехес считает, что вся внешне-политическая сторона обвинения совершенно не убедительна. Ни Польша, ни Румыния не желают войны с СССР, также как они не хотят падения советского правительства. Франция также не заинтересована в интервенции, хотя возможно, что русские эмигранты этого и желают. Отсюда не исключены связи эмигрантских военных кругов с французским Генштабом. Для мира было бы угрозой, если при генштабах имелись отделения по подготовке войны. Московский процесс должен это доказать, если Москве этого не удастся, она не вправе требовать к себе доверия.</w:t>
      </w:r>
    </w:p>
    <w:p w14:paraId="63C47D1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Баум помещает большую корреспонденцию в «Гамбургер Фремден-блатт» и в «Лейппигер Нейсте Нахрихтен». озаглавленную «Трагедия русского инженерства». По его мнению, обвинительный акт является настоящим криминальным романом, в нем есть и заговорщики и таинственные встречи и иностранные штабы. Все обвиняемые, вместо того, чтобы защищаться, почему-то занимаются покаянием и исповедями. Не подлежит сомнению, что Рамзин и др. ездили заграницу, так как среди коммунистов ученых нет и некого посылать на международные съезды. Вполне возможно, что обвиняемые во время этих поездок и встречались со своими прежними коллегами. Крыленко, однако, знает о чем говорилось в таинственных кабинетах, где все было предусмотрено, кроме одного, невыполнимости планов. Теперь оказывается, что во всех кризисах и неудачах виновен Рамзин и его люди, сумевшие разрушить советское хозяйство. Все это они сделали на глазах ВСНХ, РКИ и др. органов. Заканчивает свою статью Баум словами «одного иностранного консультанта» — «Вредители в 99 случаях из ста так же виновны в инкриминируемом им преступлении, как в самой системе, которую не они изобрели».</w:t>
      </w:r>
    </w:p>
    <w:p w14:paraId="03FED33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«Кельнише Фольке Цейтунг» помещает статью Цинау, который характеризует вредителей, как героев десять лет отдававших свои силы советской промышленности. Теперь им угрожает расстрел, так как «Сталину нужен новый вредительский процесс». Далее Цинау пишет о внутрипартийном кризисе, вызванном тем, что «разумные коммунисты и настоящие] марксисты» поняли авантюризм проводимой политики.</w:t>
      </w:r>
    </w:p>
    <w:p w14:paraId="61F996E2"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«Форвертс» (от 25 ноября) помещает статью «Сталин нуждается в реабилитации». Несмотря на этот заголовок за ним следует довольно подробная передача содержания обвинительного акта, и только в последних строках оказывается, что процесс должен объяснить населению, почему оно голодает. «Социал демократише Прессединст» также довольно [подробно] передает содержание обвинения, провинциальная с-д пресса это сообщение воспроизводит. «Рейнише Цейтунг» снабжает его подзаголовком: «Правда или политический целевой процесс».</w:t>
      </w:r>
    </w:p>
    <w:p w14:paraId="3F1E34E4"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«Шлезише Цейтунг» в небольшой статье передает основные моменты обвинения и иронизирует над французскими протестами. «Французская чувствительность в отношении Москвы приобретает своеобразный характер, в то время как травля Германии проводится не только во французской прессе, но и в парламентер».</w:t>
      </w:r>
    </w:p>
    <w:p w14:paraId="04DFF20A"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26 ноября ряд газет помещает сообщение Тасса, посвященное началу судебного разбирательства.</w:t>
      </w:r>
    </w:p>
    <w:p w14:paraId="1E5509A1"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[«]Франкфуртер Цейтунг[»] помещает подробное сообщение Юнайтед Пресс, довольно объективно передающее содержание обвинения.</w:t>
      </w:r>
    </w:p>
    <w:p w14:paraId="3F5F2E78"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[«]Берзен Курир[»] сообщает о росте «воинственных настроений» в связи с процессом, использовываемых в пропагандистских целях. Далее приводится воз[з]вание советских ученых, которых газета называет учеными из ГПУ. На этом фоне пришпоривания доверчивых русских рабочих Литвинов беседует в Милане с Гранди.</w:t>
      </w:r>
    </w:p>
    <w:p w14:paraId="4186884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[«]Фоссише Пейтунг[»] 25-го [ноября] вечером пишет, что процесс является большим диверсионным маневром. Война Сов. Союза против остального мира сопровождается обычными явлениями натравливания и психоза. 26-го [ноября] та же газета дает сообщению заголовок «Хорошая режиссура в постановке процесса Рамзина».</w:t>
      </w:r>
    </w:p>
    <w:p w14:paraId="6127386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Гугенберговская пресса помещает сообщение [«]Интернац. Ньюс Сервис[»], сопровождая его заголовком: «Сенсационное начало шпионажного процесса».</w:t>
      </w:r>
    </w:p>
    <w:p w14:paraId="38AC9A9E"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Отдел Печати Полпредства СССР в Германии.</w:t>
      </w:r>
    </w:p>
    <w:p w14:paraId="50B48440"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056. On. 15.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31.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9. </w:t>
      </w:r>
      <w:r w:rsidRPr="00507A31">
        <w:rPr>
          <w:rStyle w:val="af0"/>
          <w:i w:val="0"/>
          <w:color w:val="000000" w:themeColor="text1"/>
          <w:sz w:val="16"/>
          <w:szCs w:val="16"/>
        </w:rPr>
        <w:t>Л. 66-67. Машинописная копия того времени. На Л. 66 вверху справа рукописные пометы карандашом «Отд[ел] печати» «архив», подпись-росчерк (неразборчиво) (18843).</w:t>
      </w:r>
    </w:p>
    <w:p w14:paraId="384277D2" w14:textId="77777777" w:rsidR="00DD7307" w:rsidRPr="00507A31" w:rsidRDefault="00DD7307" w:rsidP="00507A31">
      <w:pPr>
        <w:jc w:val="both"/>
        <w:rPr>
          <w:color w:val="000000" w:themeColor="text1"/>
          <w:sz w:val="16"/>
          <w:szCs w:val="16"/>
        </w:rPr>
      </w:pPr>
    </w:p>
    <w:p w14:paraId="68FB94B2" w14:textId="77777777" w:rsidR="00DD7307" w:rsidRPr="00507A31" w:rsidRDefault="00DD7307" w:rsidP="00507A31">
      <w:pPr>
        <w:jc w:val="both"/>
        <w:rPr>
          <w:bCs/>
          <w:color w:val="000000" w:themeColor="text1"/>
          <w:sz w:val="16"/>
          <w:szCs w:val="16"/>
        </w:rPr>
      </w:pPr>
      <w:r w:rsidRPr="00507A31">
        <w:rPr>
          <w:color w:val="000000" w:themeColor="text1"/>
          <w:sz w:val="16"/>
          <w:szCs w:val="16"/>
        </w:rPr>
        <w:t>26 ноября 1930 г.</w:t>
      </w:r>
    </w:p>
    <w:p w14:paraId="16844F9A" w14:textId="77777777" w:rsidR="00DD7307" w:rsidRPr="00507A31" w:rsidRDefault="00DD7307" w:rsidP="00507A31">
      <w:pPr>
        <w:jc w:val="both"/>
        <w:rPr>
          <w:bCs/>
          <w:color w:val="000000" w:themeColor="text1"/>
          <w:sz w:val="16"/>
          <w:szCs w:val="16"/>
        </w:rPr>
      </w:pPr>
      <w:r w:rsidRPr="00507A31">
        <w:rPr>
          <w:color w:val="000000" w:themeColor="text1"/>
          <w:sz w:val="16"/>
          <w:szCs w:val="16"/>
        </w:rPr>
        <w:lastRenderedPageBreak/>
        <w:t>Информация сотрудника Полпредства СССР в Германии Б. Д. Виноградова об обсуждении с немецкими дипломатами текущих вопросов, включая «антисоветскую кампанию» в печати. 26 ноября 1930 г.</w:t>
      </w:r>
    </w:p>
    <w:p w14:paraId="6CEE7FBD"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14A769BA"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8FC5FB"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Архив: </w:t>
      </w:r>
    </w:p>
    <w:p w14:paraId="27AB1DFA" w14:textId="77777777" w:rsidR="00DD7307" w:rsidRPr="00507A31" w:rsidRDefault="00DD7307" w:rsidP="00507A31">
      <w:pPr>
        <w:jc w:val="both"/>
        <w:rPr>
          <w:color w:val="000000" w:themeColor="text1"/>
          <w:sz w:val="16"/>
          <w:szCs w:val="16"/>
        </w:rPr>
      </w:pPr>
      <w:r w:rsidRPr="00507A31">
        <w:rPr>
          <w:color w:val="000000" w:themeColor="text1"/>
          <w:sz w:val="16"/>
          <w:szCs w:val="16"/>
        </w:rPr>
        <w:t>АВП РФ. Ф. 056. On. 15. П. 31. Д. 9. Л. 71-73</w:t>
      </w:r>
    </w:p>
    <w:p w14:paraId="6AA9D9F5"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26 ноября 1930 г.</w:t>
      </w:r>
    </w:p>
    <w:p w14:paraId="111B798D"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6612DF20"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Дневник Виноградова</w:t>
      </w:r>
    </w:p>
    <w:p w14:paraId="7D06C4B5"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Разговор с Динстманом и Шлезингером 27[-]го ноября</w:t>
      </w:r>
    </w:p>
    <w:p w14:paraId="07B55E26"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1.   Просил информации о галатской и венской конференциях Дунайской комиссии (1-ая в конце ноября, 2-ая в середине декабря). Просил предоставить нам все договора, заключенные Германией с другими государствами начиная с 1[-]го января [19]30 года (в связи с циркуляром НКИД № 582 от 15 июля [19]30 г.). Просил также предоставить нам договора за тот же срок, заключенные странами Южной Америки. По этому последнему вопросу Динстман просил написать официальную ноту.</w:t>
      </w:r>
    </w:p>
    <w:p w14:paraId="53E99E2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2.  По вопросу о ликвидации Штеттинской пароходной компании Динстман рекомендовал мне обратиться к Шлезингеру, который этим занимается. Я тут же встретился с Шлезингером и изложил ему суть дела. Шлезингер обещал в ближайшее же время выяснить, кто будет наследником Штеттинской пароходной компании. Между прочим, когда я заметил, что эта компания ликвидируется, Шлезингер поправил меня, сказав, что она не ликвидируется, а реорганизуется.</w:t>
      </w:r>
    </w:p>
    <w:p w14:paraId="44657A3D"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3.  Продолжал разговор с Динстманом по вопросу об антисоветской травле в германской печати. Я сказал ему, что этой травле предшествовал целый ряд враждебных СССР актов, которые по существу подготовляли эту новую антисоветскую кампанию. Сначала появился протест германских ученых, в то время как ученые других стран не выступали с подобными протестами. Потом было созвано собрание в Спортпаласте (Союз Защиты &lt;западной культуры&gt;), о котором я своевременно предупреждал Динстмана. Динстман вставил замечание, что он ходил к организаторам этого собрания и приложил немало усилий к тому, чтобы смягчить выступления и ограничить их специфической (религиозной) областью. Я ответил Динстману, что к сожалению его усилия не имели никакого успеха, поскольку ораторы Союза защиты совершенно не стеснялись и не ограничивались в своих речах. В Спортпаласте снова была пущена утка о многоженстве в СССР, чего мы не слышали уже со времен интервенции. Следующим этапом является та клеветническая кампания, которая была развернута «Рулем» и «Социал[истическим] Вестником». Сначала «Руль» писал о невозвращенчестве [Б. С.] Стомонякова, о чем мы опять таки своевременно делали представление Аусамту. Потом появились сообщения [«]Социал. Вестника[»] о заговоре Блюхера, убийстве Сталина и перерыве сообщения с Москвой. [«]Форвертс[»] тут же перепечатал эти сообщения и оно пошло гулять по всей прессе. На ряду с этим процесс вредителей, в противовес которому была выпущена утка о перевороте в Москве, сопровождался неслыханно враждебными СССР комментариями, что могло служить только на руку французам. Я сказал Динстману, что антисоветские кампании — дело для нас не новое, что в целях подготовки интервенции они будут неоднократно повторяться, но что меня крайне удивляет, что эта кампания началась и развернулась именно в Германии, не являющейся участницей анти-советского блока. Я подчеркнул, что материалы для этой кампании были почерпнуты из мутного источника — [«]Руля[»] и [«]Социалист. Вестника[»], приютившихся в Берлине и периодически отравляющих общественное мнение ложной информацией. Наконец я заметил, что утверждени[я] прессы в продолжении почти недели о «революции» в Москве создавали такое впечатление, что правительственные органы Германии действительно не имеют никакой связи с Москвой (я намекнул этим на запоздалость и недостаточность опровержений, исходивших из Аусамта). Закончил указанием на то, что не только Берлин в те дни не мог соединиться по телефону с Москвой, но и Москва с Берлином, однако это не дало повода нашей печати утверждать, что в Германии революция. Динстман отвечал по пунктам. По поводу протеста ученых он сказал, что появление этого протеста именно в Германии объясняется тем, что германские ученые больше, чем ученые других стран, связаны с учеными СССР. На эту тему у нас завязалась довольно пространная полемика, которую я не записываю и в продолжении которой я рассказал ему об инциденте с Зерингом и о письме Прянишникова. По поводу кампании прессы Динстман ответил, что может здесь и сыграли свою роль белогвардейские газеты, но нужно иметь в виду и следующий фактор: возвращение более двух сот германских рабочих из СССР и непрекращающиеся аресты среди немцев, русских граждан. Динстман снова назвал цифру — 60 арестов в течение сентября месяца (просьба ко 2[-]му Запад[ному] отд[елу НКИД], правильны ли эти сведения и были ли представления со стороны германского посольства в Москве). Я ответил Динстману, что по моему мнению эти факторы играли в последней антисоветской кампании ничтожную роль, что немецкие газеты почти ничего не писали об арестах среди русских немцев и о возвратившихся рабочих, но зато много писалось об арестах профессоров вредителей в крайне враждебном для СССР духе. Наконец, если в Германии кто[-]либо недоволен арестами среди русских немцев, то это не значит, что в течение недели нужно распространять всей прессе нелепые сведения о перевороте в Москве и об убийстве Сталина. Динстман резюмировал, что все[-]таки до тех пор пока репрессии в СССР продолжаются пресса будет нервничать. Мне оставалось только заметить, что подобные инциденты омрачают советско-германские отношения, с чем понятно мой собеседник не пр[е]минул согласиться.</w:t>
      </w:r>
    </w:p>
    <w:p w14:paraId="040F4CDB"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(Виноградов)</w:t>
      </w:r>
    </w:p>
    <w:p w14:paraId="5A04271A"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31. Д. 9. Л. 71-73. Машинописная копия того времени. Дата и гриф секретности машинописью. На Л. 71 вверху слева написаны от руки входящий номер и дата «1/ХII-30 г.», справа штамп Секретариата Западного отдела НКИД СССР с вписанными от руки номером и датой «30 XI 1930 г.». Ниже рукописная помета «архив» (подпись-росчерк, неразборчиво) (18844).</w:t>
      </w:r>
    </w:p>
    <w:p w14:paraId="6C5CFD77" w14:textId="77777777" w:rsidR="00DD7307" w:rsidRPr="00507A31" w:rsidRDefault="00DD7307" w:rsidP="00507A31">
      <w:pPr>
        <w:jc w:val="both"/>
        <w:rPr>
          <w:color w:val="000000" w:themeColor="text1"/>
          <w:sz w:val="16"/>
          <w:szCs w:val="16"/>
        </w:rPr>
      </w:pPr>
    </w:p>
    <w:p w14:paraId="4674A315" w14:textId="77777777" w:rsidR="00DD7307" w:rsidRPr="00507A31" w:rsidRDefault="00DD7307" w:rsidP="00507A31">
      <w:pPr>
        <w:jc w:val="both"/>
        <w:rPr>
          <w:bCs/>
          <w:color w:val="000000" w:themeColor="text1"/>
          <w:sz w:val="16"/>
          <w:szCs w:val="16"/>
        </w:rPr>
      </w:pPr>
      <w:r w:rsidRPr="00507A31">
        <w:rPr>
          <w:color w:val="000000" w:themeColor="text1"/>
          <w:sz w:val="16"/>
          <w:szCs w:val="16"/>
        </w:rPr>
        <w:t>26 ноября 1930 г.</w:t>
      </w:r>
    </w:p>
    <w:p w14:paraId="03A1495B" w14:textId="77777777" w:rsidR="00DD7307" w:rsidRPr="00507A31" w:rsidRDefault="00DD7307" w:rsidP="00507A31">
      <w:pPr>
        <w:jc w:val="both"/>
        <w:rPr>
          <w:bCs/>
          <w:color w:val="000000" w:themeColor="text1"/>
          <w:sz w:val="16"/>
          <w:szCs w:val="16"/>
        </w:rPr>
      </w:pPr>
      <w:r w:rsidRPr="00507A31">
        <w:rPr>
          <w:color w:val="000000" w:themeColor="text1"/>
          <w:sz w:val="16"/>
          <w:szCs w:val="16"/>
        </w:rPr>
        <w:t>Письмо Д. Г. Штерна руководству НКИД СССР с перечнем стран-заказчиков «антисоветской кампании» в мировой прессе. 26 ноября 1930 г.</w:t>
      </w:r>
    </w:p>
    <w:p w14:paraId="5D87CAAD"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3D77258A"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E7FF0B"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Архив: </w:t>
      </w:r>
    </w:p>
    <w:p w14:paraId="45300FA7" w14:textId="77777777" w:rsidR="00DD7307" w:rsidRPr="00507A31" w:rsidRDefault="00DD7307" w:rsidP="00507A31">
      <w:pPr>
        <w:jc w:val="both"/>
        <w:rPr>
          <w:color w:val="000000" w:themeColor="text1"/>
          <w:sz w:val="16"/>
          <w:szCs w:val="16"/>
        </w:rPr>
      </w:pPr>
      <w:r w:rsidRPr="00507A31">
        <w:rPr>
          <w:color w:val="000000" w:themeColor="text1"/>
          <w:sz w:val="16"/>
          <w:szCs w:val="16"/>
        </w:rPr>
        <w:t>АВП РФ. Ф. 056. On. 15. Папка 31.Д.9.Л. 76</w:t>
      </w:r>
    </w:p>
    <w:p w14:paraId="5FD55E85"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26 ноября 1930 г.</w:t>
      </w:r>
    </w:p>
    <w:p w14:paraId="179800E4"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3D66E5DF" w14:textId="77777777" w:rsidR="00DD7307" w:rsidRPr="00507A31" w:rsidRDefault="00DD7307" w:rsidP="00507A31">
      <w:pPr>
        <w:pStyle w:val="rtecenter"/>
        <w:spacing w:before="0" w:after="0"/>
        <w:jc w:val="both"/>
        <w:rPr>
          <w:color w:val="000000" w:themeColor="text1"/>
          <w:sz w:val="16"/>
          <w:szCs w:val="16"/>
        </w:rPr>
      </w:pPr>
      <w:r w:rsidRPr="00507A31">
        <w:rPr>
          <w:color w:val="000000" w:themeColor="text1"/>
          <w:sz w:val="16"/>
          <w:szCs w:val="16"/>
        </w:rPr>
        <w:t>т. Залкинду, копия т. Крестинскому</w:t>
      </w:r>
    </w:p>
    <w:p w14:paraId="2F8D7AF2"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Уважаемый товарищ,</w:t>
      </w:r>
    </w:p>
    <w:p w14:paraId="61B27512"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С настоящей почтой я отправил записку, подытоживающую кампанию, проведенную в прессе в связи с мнимыми «событиями» в СССР. По моим сведениям[,] центром «информации» являлась Варшава. Сегодня у меня однако был Гилман, который категорически утверждает[,] что он получил запрос об СССР из Нь[ю-Й]орка, за 12 часов до того как в Европе появились первые слухи. По словам Гилмана[,] сообщение о падении советского правительства было в первую очередь пущено «Финэншиэл Тикер», обслуживающим Уол[л-]стрит. Следующее сообщение пришло в Берлин из Парижа, в частности его получил якобы Аусамт. Третьим источником явилась телеграмма Рейтера из Риги и лишь потом на сцену выступила Варшава. Гилман имеет основания считать, что кампания еще не окончательно заглохла.</w:t>
      </w:r>
    </w:p>
    <w:p w14:paraId="1642279B"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С тов. приветом</w:t>
      </w:r>
    </w:p>
    <w:p w14:paraId="02F626A6"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Д. Штерн</w:t>
      </w:r>
    </w:p>
    <w:p w14:paraId="383570C4"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Папка 31.Д.9.Л. 76. Машинописный подлинник на бланке Полпредства СССР в Германии, подпись Штерна — автограф. Гриф секретности и дата машинописью, исходящий «№ 1458» от руки в графе бланка. Вверху листа слева написаны от руки входящий № 2262 и дата получения документа «1/ХII-30»; подпись-росчерк Миронова (18846).</w:t>
      </w:r>
    </w:p>
    <w:p w14:paraId="7533ED76" w14:textId="77777777" w:rsidR="00DD7307" w:rsidRPr="00507A31" w:rsidRDefault="00DD7307" w:rsidP="00507A31">
      <w:pPr>
        <w:jc w:val="both"/>
        <w:rPr>
          <w:color w:val="000000" w:themeColor="text1"/>
          <w:sz w:val="16"/>
          <w:szCs w:val="16"/>
        </w:rPr>
      </w:pPr>
    </w:p>
    <w:p w14:paraId="6429CC0A" w14:textId="77777777" w:rsidR="00DD7307" w:rsidRPr="00507A31" w:rsidRDefault="00DD7307" w:rsidP="00507A31">
      <w:pPr>
        <w:jc w:val="both"/>
        <w:rPr>
          <w:bCs/>
          <w:color w:val="000000" w:themeColor="text1"/>
          <w:sz w:val="16"/>
          <w:szCs w:val="16"/>
        </w:rPr>
      </w:pPr>
      <w:r w:rsidRPr="00507A31">
        <w:rPr>
          <w:color w:val="000000" w:themeColor="text1"/>
          <w:sz w:val="16"/>
          <w:szCs w:val="16"/>
        </w:rPr>
        <w:t>26 ноября 1930 г.</w:t>
      </w:r>
    </w:p>
    <w:p w14:paraId="3285855C" w14:textId="77777777" w:rsidR="00DD7307" w:rsidRPr="00507A31" w:rsidRDefault="00DD7307" w:rsidP="00507A31">
      <w:pPr>
        <w:jc w:val="both"/>
        <w:rPr>
          <w:bCs/>
          <w:color w:val="000000" w:themeColor="text1"/>
          <w:sz w:val="16"/>
          <w:szCs w:val="16"/>
        </w:rPr>
      </w:pPr>
      <w:r w:rsidRPr="00507A31">
        <w:rPr>
          <w:color w:val="000000" w:themeColor="text1"/>
          <w:sz w:val="16"/>
          <w:szCs w:val="16"/>
        </w:rPr>
        <w:t>Французские коммунисты о процессе «Промпартии». Из «Иностранной информации ТАСС». 26 ноября 1930 г.</w:t>
      </w:r>
    </w:p>
    <w:p w14:paraId="4759D936" w14:textId="77777777" w:rsidR="00DD7307" w:rsidRPr="00507A31" w:rsidRDefault="00DD7307" w:rsidP="00507A31">
      <w:pPr>
        <w:jc w:val="both"/>
        <w:rPr>
          <w:bCs/>
          <w:color w:val="000000" w:themeColor="text1"/>
          <w:sz w:val="16"/>
          <w:szCs w:val="16"/>
        </w:rPr>
      </w:pPr>
      <w:r w:rsidRPr="00507A31">
        <w:rPr>
          <w:bCs/>
          <w:color w:val="000000" w:themeColor="text1"/>
          <w:sz w:val="16"/>
          <w:szCs w:val="16"/>
        </w:rPr>
        <w:t>Источник: </w:t>
      </w:r>
    </w:p>
    <w:p w14:paraId="5CEECEB2" w14:textId="77777777" w:rsidR="00DD7307" w:rsidRPr="00507A31" w:rsidRDefault="00DD7307"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07C79F3" w14:textId="77777777" w:rsidR="00DD7307" w:rsidRPr="00507A31" w:rsidRDefault="00DD7307" w:rsidP="00507A31">
      <w:pPr>
        <w:pStyle w:val="rteright"/>
        <w:spacing w:before="0" w:after="0"/>
        <w:jc w:val="both"/>
        <w:rPr>
          <w:color w:val="000000" w:themeColor="text1"/>
          <w:sz w:val="16"/>
          <w:szCs w:val="16"/>
        </w:rPr>
      </w:pPr>
      <w:r w:rsidRPr="00507A31">
        <w:rPr>
          <w:color w:val="000000" w:themeColor="text1"/>
          <w:sz w:val="16"/>
          <w:szCs w:val="16"/>
        </w:rPr>
        <w:t>от 26 ноября 1930 г.</w:t>
      </w:r>
    </w:p>
    <w:p w14:paraId="525F3FB6"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СООБЩЕНИЕ ЦК ФРАНЦУЗСКОЙ КОМПАРТИИ</w:t>
      </w:r>
    </w:p>
    <w:p w14:paraId="2B1BFA31"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В СВЯЗИ С ПРОЦЕССОМ ВРЕДИТЕЛЕЙ</w:t>
      </w:r>
    </w:p>
    <w:p w14:paraId="6B59F1CE"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 xml:space="preserve">ДБ. 910. ПАРИЖ, 26/XI. (Тасс). — «Юманите» публикует следующее сообщение: «С целью дать отпор кампании ложных сообщений и клеветнических измышлений, распространяемых буржуазией и социал-фашистами, которые хотели бы отвлечь внимание рабочих от подготовки войны против Советского Союза, Политбюро ЦК французской коммунистической партии приняло ряд решений: 1) уполномочить тов. Кашена присутствовать на начавшемся вчера в Москве процессе “Промпартии”. Кашей даст отчет об этом процессе, на котором будут разоблачены деяния контрреволюционеров — техников, агентов французского империализма. 2) Предложить </w:t>
      </w:r>
      <w:r w:rsidRPr="00507A31">
        <w:rPr>
          <w:color w:val="000000" w:themeColor="text1"/>
          <w:sz w:val="16"/>
          <w:szCs w:val="16"/>
        </w:rPr>
        <w:lastRenderedPageBreak/>
        <w:t>всей партийной печати дать мощный отпор атаке фашистов и социал-фашистов, 3) обратиться с призывом к дружественным организациям с целью мобилизовать массы к защите Советского Союза, 4) призвать партийные организации и ячейки в срочном порядке организовать многочисленные митинги и собрания протеста под лозунгами солидарных действий с рабочими и трудящимися крестьянами СССР.</w:t>
      </w:r>
    </w:p>
    <w:p w14:paraId="749E5B07"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Политбюро призывает все партийные организации проявить большую активность и максимальную энергию в проведении массовой кампании, в связи с предстоящим 10-летнем коммунистической партии, а также в связи с предстоящей борьбой в отдельных отраслях производства.</w:t>
      </w:r>
    </w:p>
    <w:p w14:paraId="7A170AA9"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(продолжение)</w:t>
      </w:r>
    </w:p>
    <w:p w14:paraId="6100DD9E"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ИНОСТРАННАЯ ИНФОРМАЦИЯ ТАСС, 26/XI-30 г.</w:t>
      </w:r>
    </w:p>
    <w:p w14:paraId="7942E9B6"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ПОСЛЕДНИЕ ИЗВЕСТИЯ</w:t>
      </w:r>
    </w:p>
    <w:p w14:paraId="170CD9DD"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Лист № 2</w:t>
      </w:r>
    </w:p>
    <w:p w14:paraId="630EB8BE" w14:textId="77777777" w:rsidR="00DD7307" w:rsidRPr="00507A31" w:rsidRDefault="00DD7307" w:rsidP="00507A31">
      <w:pPr>
        <w:pStyle w:val="ae"/>
        <w:spacing w:before="0" w:after="0"/>
        <w:jc w:val="both"/>
        <w:rPr>
          <w:color w:val="000000" w:themeColor="text1"/>
          <w:sz w:val="16"/>
          <w:szCs w:val="16"/>
        </w:rPr>
      </w:pPr>
      <w:r w:rsidRPr="00507A31">
        <w:rPr>
          <w:color w:val="000000" w:themeColor="text1"/>
          <w:sz w:val="16"/>
          <w:szCs w:val="16"/>
        </w:rPr>
        <w:t>(продолжение)</w:t>
      </w:r>
    </w:p>
    <w:p w14:paraId="46D23979"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ЦК призывает быть в полной боевой готовности к защите Советского Союза и к борьбе против империалистической войны[»].</w:t>
      </w:r>
    </w:p>
    <w:p w14:paraId="09F3B8BE"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«Юманите» публикует текст телеграммы ЦК ФКП на имя т. Сталина.</w:t>
      </w:r>
    </w:p>
    <w:p w14:paraId="66030612"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«Центральный Комитет французской коммунистической партии, подтверждая свою безоговорочную солидарность с большевистской ВКП(б), с ее ЦК и ее вождем, открывает кампанию, чтобы разъяснить рабочим Франции смысл нового антисоветского наступления, а также показать необходимость защиты русской революции. ЦК выражает уверенность, что пролетарский трибунал безжалостно покарает предателей и шпионов французского империализма».</w:t>
      </w:r>
    </w:p>
    <w:p w14:paraId="1D0CD17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ФРАНЦУЗСКИЕ РАБОЧИЕ О ПРОЦЕССЕ «ПРОМПАРТИИ»</w:t>
      </w:r>
    </w:p>
    <w:p w14:paraId="0FCC4515" w14:textId="77777777" w:rsidR="00DD7307" w:rsidRPr="00507A31" w:rsidRDefault="00DD7307" w:rsidP="00507A31">
      <w:pPr>
        <w:pStyle w:val="rtejustify"/>
        <w:spacing w:before="0" w:after="0"/>
        <w:rPr>
          <w:color w:val="000000" w:themeColor="text1"/>
          <w:sz w:val="16"/>
          <w:szCs w:val="16"/>
        </w:rPr>
      </w:pPr>
      <w:r w:rsidRPr="00507A31">
        <w:rPr>
          <w:color w:val="000000" w:themeColor="text1"/>
          <w:sz w:val="16"/>
          <w:szCs w:val="16"/>
        </w:rPr>
        <w:t>ДБ. 910. ПАРИЖ, 26/XI (ТАСС). — Съезд комитетов защиты «Юманите» Парижской области от имени 12.000 членов отправил приветствие на имя т. Марти и других заключенных в тюрьмах коммунистов. В этом приветствии, между прочим, говорится: «Накануне процесса контрреволюционных агентов французского правительства, съезд подчеркивает твердую готовность защищать Советский Союз по примеру черноморских героев, а также в духе письма к Фошу, за которое т. Марти отбывает теперь наказание». Приветствие заканчивается следующими словами: «Долой контрреволюцию! Беспощадно покарать саботажников и предателей советской власти!»</w:t>
      </w:r>
    </w:p>
    <w:p w14:paraId="2A82E65C" w14:textId="77777777" w:rsidR="00DD7307" w:rsidRPr="00507A31" w:rsidRDefault="00DD7307"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104-105. Машинописный экземпляр того времени, размноженный на ротаторе (вырезки из ежедневных обзоров иностранной информации ТАСС). На Л. 105 перед заголовком «ИНОСТРАНННАЯ ИНФОРМАЦИЯ [...]» написано от руки прописными буквами «Т А С С». Рукописные пометы «П. Д.» (Л. 104,105) и «Б. К.» (Л. 105) (18969).</w:t>
      </w:r>
    </w:p>
    <w:p w14:paraId="7ACC25F2" w14:textId="77777777" w:rsidR="00DD7307" w:rsidRPr="00507A31" w:rsidRDefault="00DD7307" w:rsidP="00507A31">
      <w:pPr>
        <w:jc w:val="both"/>
        <w:rPr>
          <w:color w:val="000000" w:themeColor="text1"/>
          <w:sz w:val="16"/>
          <w:szCs w:val="16"/>
        </w:rPr>
      </w:pPr>
    </w:p>
    <w:p w14:paraId="04D89C8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4FA3C11" w14:textId="77777777" w:rsidR="00537E5F" w:rsidRPr="00507A31" w:rsidRDefault="00537E5F" w:rsidP="00507A31">
      <w:pPr>
        <w:autoSpaceDE w:val="0"/>
        <w:autoSpaceDN w:val="0"/>
        <w:adjustRightInd w:val="0"/>
        <w:jc w:val="both"/>
        <w:rPr>
          <w:iCs/>
          <w:color w:val="000000" w:themeColor="text1"/>
          <w:sz w:val="16"/>
          <w:szCs w:val="16"/>
        </w:rPr>
      </w:pPr>
    </w:p>
    <w:p w14:paraId="0EDF1B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 ноября 1930 г. Распоряжением начальника ВВС все М-17, изготовленные заводом № 24, которые признали не</w:t>
      </w:r>
      <w:r w:rsidRPr="00507A31">
        <w:rPr>
          <w:color w:val="000000" w:themeColor="text1"/>
          <w:sz w:val="16"/>
          <w:szCs w:val="16"/>
        </w:rPr>
        <w:softHyphen/>
        <w:t>кондиционными, стали принимать как учебные по сниженной цене. Всего в Москве изготовили около 30 моторов, из которых только 17 покинули стены за</w:t>
      </w:r>
      <w:r w:rsidRPr="00507A31">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507A31">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507A31">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507A31">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07A31">
        <w:rPr>
          <w:color w:val="000000" w:themeColor="text1"/>
          <w:sz w:val="16"/>
          <w:szCs w:val="16"/>
        </w:rPr>
        <w:softHyphen/>
        <w:t>лись целые серии высотных двигателей. Например, все моторы, входив</w:t>
      </w:r>
      <w:r w:rsidRPr="00507A31">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07A31">
        <w:rPr>
          <w:color w:val="000000" w:themeColor="text1"/>
          <w:sz w:val="16"/>
          <w:szCs w:val="16"/>
        </w:rPr>
        <w:softHyphen/>
        <w:t>лись планы его последующей модернизации. При этом не только следова</w:t>
      </w:r>
      <w:r w:rsidRPr="00507A31">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07A31">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07A31">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07A31">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07A31">
        <w:rPr>
          <w:color w:val="000000" w:themeColor="text1"/>
          <w:sz w:val="16"/>
          <w:szCs w:val="16"/>
        </w:rPr>
        <w:softHyphen/>
        <w:t>ны всего производства авиадвигателей в стране. Далее же начался спад (11852).</w:t>
      </w:r>
    </w:p>
    <w:p w14:paraId="2021DC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E179D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ноября 1930 г. в III отдел УСС - Горелицу была направлена выписка с совещание у начальника ВВС по вопросу Об огнетушителях:</w:t>
      </w:r>
    </w:p>
    <w:p w14:paraId="7AFCC7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поручить 5 отделу НИИ ВВС начать разработку огнетушителей минимальных весов (до 1 кг).</w:t>
      </w:r>
    </w:p>
    <w:p w14:paraId="4E8B28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Ввиду того, что в практике эксплуатации одноместных истребителей еще не было случаев использования огнетушителей в воздухе, а равно и преследуя цель максимального облегчения мертвых весов этого типа самолетов, признать целесообразным огнетушителей на одноместных самолетах не устанавливать.</w:t>
      </w:r>
    </w:p>
    <w:p w14:paraId="4B9A7C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Для решения аналогичного вопроса в отношении остальных типов самолетов, запросить начальников ВВС округов о случаях использования огнетушителей на самолетах в воздухе за последние 5 лет, с подробным описанием этих случаев. (3196,1).</w:t>
      </w:r>
    </w:p>
    <w:p w14:paraId="00A2FB46" w14:textId="77777777" w:rsidR="00537E5F" w:rsidRPr="00507A31" w:rsidRDefault="00537E5F" w:rsidP="00507A31">
      <w:pPr>
        <w:autoSpaceDE w:val="0"/>
        <w:autoSpaceDN w:val="0"/>
        <w:adjustRightInd w:val="0"/>
        <w:jc w:val="both"/>
        <w:rPr>
          <w:color w:val="000000" w:themeColor="text1"/>
          <w:sz w:val="16"/>
          <w:szCs w:val="16"/>
        </w:rPr>
      </w:pPr>
    </w:p>
    <w:p w14:paraId="131DAC17" w14:textId="77777777" w:rsidR="00534909" w:rsidRPr="00507A31" w:rsidRDefault="00534909"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45F9A43" w14:textId="77777777" w:rsidR="00534909" w:rsidRPr="00507A31" w:rsidRDefault="00534909" w:rsidP="00507A31">
      <w:pPr>
        <w:autoSpaceDE w:val="0"/>
        <w:autoSpaceDN w:val="0"/>
        <w:adjustRightInd w:val="0"/>
        <w:jc w:val="both"/>
        <w:rPr>
          <w:iCs/>
          <w:color w:val="000000" w:themeColor="text1"/>
          <w:sz w:val="16"/>
          <w:szCs w:val="16"/>
        </w:rPr>
      </w:pPr>
    </w:p>
    <w:p w14:paraId="0B72ED39" w14:textId="77777777" w:rsidR="00534909" w:rsidRPr="00507A31" w:rsidRDefault="00534909" w:rsidP="00507A31">
      <w:pPr>
        <w:shd w:val="clear" w:color="auto" w:fill="FFFFFF"/>
        <w:jc w:val="both"/>
        <w:rPr>
          <w:color w:val="0070C0"/>
          <w:sz w:val="16"/>
          <w:szCs w:val="16"/>
        </w:rPr>
      </w:pPr>
      <w:r w:rsidRPr="00507A31">
        <w:rPr>
          <w:color w:val="0070C0"/>
          <w:sz w:val="16"/>
          <w:szCs w:val="16"/>
        </w:rPr>
        <w:t>27 ноября 1930 на завод прибыл конструктор с ГКБ ОАТ. После устранения проблемы танк Т-20 пошел во второй пробег, он состоялся 10 декабря.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530365F1" w14:textId="77777777" w:rsidR="00534909" w:rsidRPr="00507A31" w:rsidRDefault="00534909" w:rsidP="00507A31">
      <w:pPr>
        <w:jc w:val="both"/>
        <w:rPr>
          <w:color w:val="0070C0"/>
          <w:sz w:val="16"/>
          <w:szCs w:val="16"/>
        </w:rPr>
      </w:pPr>
    </w:p>
    <w:p w14:paraId="078E51F9" w14:textId="77777777" w:rsidR="00823523" w:rsidRPr="00507A31" w:rsidRDefault="00823523"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9EB7101" w14:textId="77777777" w:rsidR="00823523" w:rsidRPr="00507A31" w:rsidRDefault="00823523" w:rsidP="00507A31">
      <w:pPr>
        <w:autoSpaceDE w:val="0"/>
        <w:autoSpaceDN w:val="0"/>
        <w:adjustRightInd w:val="0"/>
        <w:jc w:val="both"/>
        <w:rPr>
          <w:iCs/>
          <w:color w:val="000000" w:themeColor="text1"/>
          <w:sz w:val="16"/>
          <w:szCs w:val="16"/>
        </w:rPr>
      </w:pPr>
    </w:p>
    <w:p w14:paraId="585B3DDE" w14:textId="77777777" w:rsidR="00823523" w:rsidRPr="00507A31" w:rsidRDefault="00823523" w:rsidP="00507A31">
      <w:pPr>
        <w:jc w:val="both"/>
        <w:rPr>
          <w:bCs/>
          <w:color w:val="000000" w:themeColor="text1"/>
          <w:sz w:val="16"/>
          <w:szCs w:val="16"/>
        </w:rPr>
      </w:pPr>
      <w:r w:rsidRPr="00507A31">
        <w:rPr>
          <w:color w:val="000000" w:themeColor="text1"/>
          <w:sz w:val="16"/>
          <w:szCs w:val="16"/>
        </w:rPr>
        <w:t>27 ноября 1930 г.</w:t>
      </w:r>
    </w:p>
    <w:p w14:paraId="3F6151AE" w14:textId="77777777" w:rsidR="00823523" w:rsidRPr="00507A31" w:rsidRDefault="00823523" w:rsidP="00507A31">
      <w:pPr>
        <w:jc w:val="both"/>
        <w:rPr>
          <w:bCs/>
          <w:color w:val="000000" w:themeColor="text1"/>
          <w:sz w:val="16"/>
          <w:szCs w:val="16"/>
        </w:rPr>
      </w:pPr>
      <w:r w:rsidRPr="00507A31">
        <w:rPr>
          <w:color w:val="000000" w:themeColor="text1"/>
          <w:sz w:val="16"/>
          <w:szCs w:val="16"/>
        </w:rPr>
        <w:t>Информационная сводка оргбюро ВЦСПС Восточно-Сибирского края по проведению кампании в связи с судебным процессом «Промпартии». 27 ноября 1930 г.</w:t>
      </w:r>
    </w:p>
    <w:p w14:paraId="1387467F" w14:textId="77777777" w:rsidR="00823523" w:rsidRPr="00507A31" w:rsidRDefault="00823523" w:rsidP="00507A31">
      <w:pPr>
        <w:jc w:val="both"/>
        <w:rPr>
          <w:bCs/>
          <w:color w:val="000000" w:themeColor="text1"/>
          <w:sz w:val="16"/>
          <w:szCs w:val="16"/>
        </w:rPr>
      </w:pPr>
      <w:r w:rsidRPr="00507A31">
        <w:rPr>
          <w:bCs/>
          <w:color w:val="000000" w:themeColor="text1"/>
          <w:sz w:val="16"/>
          <w:szCs w:val="16"/>
        </w:rPr>
        <w:t>Источник: </w:t>
      </w:r>
    </w:p>
    <w:p w14:paraId="47A83826" w14:textId="77777777" w:rsidR="00823523" w:rsidRPr="00507A31" w:rsidRDefault="0082352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7EE49F" w14:textId="77777777" w:rsidR="00823523" w:rsidRPr="00507A31" w:rsidRDefault="00823523" w:rsidP="00507A31">
      <w:pPr>
        <w:jc w:val="both"/>
        <w:rPr>
          <w:bCs/>
          <w:color w:val="000000" w:themeColor="text1"/>
          <w:sz w:val="16"/>
          <w:szCs w:val="16"/>
        </w:rPr>
      </w:pPr>
      <w:r w:rsidRPr="00507A31">
        <w:rPr>
          <w:bCs/>
          <w:color w:val="000000" w:themeColor="text1"/>
          <w:sz w:val="16"/>
          <w:szCs w:val="16"/>
        </w:rPr>
        <w:t>Архив: </w:t>
      </w:r>
    </w:p>
    <w:p w14:paraId="6E1560EE" w14:textId="77777777" w:rsidR="00823523" w:rsidRPr="00507A31" w:rsidRDefault="00823523" w:rsidP="00507A31">
      <w:pPr>
        <w:jc w:val="both"/>
        <w:rPr>
          <w:color w:val="000000" w:themeColor="text1"/>
          <w:sz w:val="16"/>
          <w:szCs w:val="16"/>
        </w:rPr>
      </w:pPr>
      <w:r w:rsidRPr="00507A31">
        <w:rPr>
          <w:color w:val="000000" w:themeColor="text1"/>
          <w:sz w:val="16"/>
          <w:szCs w:val="16"/>
        </w:rPr>
        <w:t>ГА РФ. Ф. P-5451. Oп. 14. Д. 761. Л. 42-47</w:t>
      </w:r>
    </w:p>
    <w:p w14:paraId="45347B01"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27 ноября 1930 г.</w:t>
      </w:r>
    </w:p>
    <w:p w14:paraId="095FA89D"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Секретно</w:t>
      </w:r>
    </w:p>
    <w:p w14:paraId="35D43AF2"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Москва ВЦСПС</w:t>
      </w:r>
    </w:p>
    <w:p w14:paraId="29E61A53"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ИНФОРМАЦИОННАЯ СВОДКА</w:t>
      </w:r>
    </w:p>
    <w:p w14:paraId="7B8CB5C5"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(только по городу Иркутску)</w:t>
      </w:r>
    </w:p>
    <w:p w14:paraId="60263BAD"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Оргбюро ВЦСПС Восточно-Сибирского Края по проведению кампании</w:t>
      </w:r>
    </w:p>
    <w:p w14:paraId="35CC5874"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против контрреволюционной организации (промышленной партии).</w:t>
      </w:r>
    </w:p>
    <w:p w14:paraId="7B6A3699"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24 Ноября, в 2 часа ночи, по получению указаний от Массового Отдела Оргбюро ЦК ВКП(б) по вопросу проведения кампании против контрреволюционной организации (пром. партии), Оргбюро ВЦСПС был составлен план работы, в котором предусматривались и проведены следующие мероприятия:</w:t>
      </w:r>
    </w:p>
    <w:p w14:paraId="34BD9154" w14:textId="77777777" w:rsidR="00823523" w:rsidRPr="00507A31" w:rsidRDefault="00823523" w:rsidP="00507A31">
      <w:pPr>
        <w:numPr>
          <w:ilvl w:val="0"/>
          <w:numId w:val="110"/>
        </w:numPr>
        <w:ind w:left="0" w:firstLine="0"/>
        <w:jc w:val="both"/>
        <w:rPr>
          <w:color w:val="000000" w:themeColor="text1"/>
          <w:sz w:val="16"/>
          <w:szCs w:val="16"/>
        </w:rPr>
      </w:pPr>
      <w:r w:rsidRPr="00507A31">
        <w:rPr>
          <w:color w:val="000000" w:themeColor="text1"/>
          <w:sz w:val="16"/>
          <w:szCs w:val="16"/>
        </w:rPr>
        <w:t>24 Ноября в 10 часов утра созвано инструктивное совещание Крайотделов Союзов совместно с низовыми ячейками, не имеющими Крайотделов, где дана установка по вопросу проведения кампании против контрреволюционной организации (пром. партии).</w:t>
      </w:r>
    </w:p>
    <w:p w14:paraId="677D2632" w14:textId="77777777" w:rsidR="00823523" w:rsidRPr="00507A31" w:rsidRDefault="00823523" w:rsidP="00507A31">
      <w:pPr>
        <w:numPr>
          <w:ilvl w:val="0"/>
          <w:numId w:val="110"/>
        </w:numPr>
        <w:ind w:left="0" w:firstLine="0"/>
        <w:jc w:val="both"/>
        <w:rPr>
          <w:color w:val="000000" w:themeColor="text1"/>
          <w:sz w:val="16"/>
          <w:szCs w:val="16"/>
        </w:rPr>
      </w:pPr>
      <w:r w:rsidRPr="00507A31">
        <w:rPr>
          <w:color w:val="000000" w:themeColor="text1"/>
          <w:sz w:val="16"/>
          <w:szCs w:val="16"/>
        </w:rPr>
        <w:t>24 Ноября, в 12 часов дня, всеми Крайотделами Союзов созваны инструктивные совещания членов ФЗМК по вопросу проведения кампании.</w:t>
      </w:r>
    </w:p>
    <w:p w14:paraId="472F2E78" w14:textId="77777777" w:rsidR="00823523" w:rsidRPr="00507A31" w:rsidRDefault="00823523" w:rsidP="00507A31">
      <w:pPr>
        <w:numPr>
          <w:ilvl w:val="0"/>
          <w:numId w:val="110"/>
        </w:numPr>
        <w:ind w:left="0" w:firstLine="0"/>
        <w:jc w:val="both"/>
        <w:rPr>
          <w:color w:val="000000" w:themeColor="text1"/>
          <w:sz w:val="16"/>
          <w:szCs w:val="16"/>
        </w:rPr>
      </w:pPr>
      <w:r w:rsidRPr="00507A31">
        <w:rPr>
          <w:color w:val="000000" w:themeColor="text1"/>
          <w:sz w:val="16"/>
          <w:szCs w:val="16"/>
        </w:rPr>
        <w:lastRenderedPageBreak/>
        <w:t>От имени Оргбюро ВЦСПС 24 Ноября, в 11 часов дня написано обращение ко всем рабочим и служащим членам профсоюзов по вопросу проведения кампании, каковое отпечатано и разослано всем городским и ст[анции] Иннокентьевская предприятиям и учреждениям, помещено в производственной печати, зачитано на митингах и передано по радио в полдень (тов. Строков).</w:t>
      </w:r>
    </w:p>
    <w:p w14:paraId="7816976B" w14:textId="77777777" w:rsidR="00823523" w:rsidRPr="00507A31" w:rsidRDefault="00823523" w:rsidP="00507A31">
      <w:pPr>
        <w:numPr>
          <w:ilvl w:val="0"/>
          <w:numId w:val="110"/>
        </w:numPr>
        <w:ind w:left="0" w:firstLine="0"/>
        <w:jc w:val="both"/>
        <w:rPr>
          <w:color w:val="000000" w:themeColor="text1"/>
          <w:sz w:val="16"/>
          <w:szCs w:val="16"/>
        </w:rPr>
      </w:pPr>
      <w:r w:rsidRPr="00507A31">
        <w:rPr>
          <w:color w:val="000000" w:themeColor="text1"/>
          <w:sz w:val="16"/>
          <w:szCs w:val="16"/>
        </w:rPr>
        <w:t>24 Ноября с. г. разработаны и даны по телефону и телеграфу указания по проведению кампании против контрреволюционной организации (пром. партии) в крупнейшие районы: КРАСНОЯРСК, КАНСК, НИЖНЕУДИНСК, ЧЕРЕМХОВО, СЛЮДЯНКА, ВЕРХНЕУДИНСК, ЧИТА, ПЕТРОВСКИЙ ЗАВОД, ЧЕРНОВСКИЕ КОПИ и СРЕТЕНСК.</w:t>
      </w:r>
    </w:p>
    <w:p w14:paraId="15BBDE4F" w14:textId="77777777" w:rsidR="00823523" w:rsidRPr="00507A31" w:rsidRDefault="00823523" w:rsidP="00507A31">
      <w:pPr>
        <w:numPr>
          <w:ilvl w:val="0"/>
          <w:numId w:val="110"/>
        </w:numPr>
        <w:ind w:left="0" w:firstLine="0"/>
        <w:jc w:val="both"/>
        <w:rPr>
          <w:color w:val="000000" w:themeColor="text1"/>
          <w:sz w:val="16"/>
          <w:szCs w:val="16"/>
        </w:rPr>
      </w:pPr>
      <w:r w:rsidRPr="00507A31">
        <w:rPr>
          <w:color w:val="000000" w:themeColor="text1"/>
          <w:sz w:val="16"/>
          <w:szCs w:val="16"/>
        </w:rPr>
        <w:t>24 Ноября с. г. Оргбюро ВЦСПС командировало для проведения этой работы в район: Иннокентьевские мастерские, Нижне-Удинск, Усолье, Черемхово и Слюдянка членов Оргбюро и Председателей Крайотделов.</w:t>
      </w:r>
    </w:p>
    <w:p w14:paraId="634C28AE" w14:textId="77777777" w:rsidR="00823523" w:rsidRPr="00507A31" w:rsidRDefault="00823523" w:rsidP="00507A31">
      <w:pPr>
        <w:numPr>
          <w:ilvl w:val="0"/>
          <w:numId w:val="110"/>
        </w:numPr>
        <w:ind w:left="0" w:firstLine="0"/>
        <w:jc w:val="both"/>
        <w:rPr>
          <w:color w:val="000000" w:themeColor="text1"/>
          <w:sz w:val="16"/>
          <w:szCs w:val="16"/>
        </w:rPr>
      </w:pPr>
      <w:r w:rsidRPr="00507A31">
        <w:rPr>
          <w:color w:val="000000" w:themeColor="text1"/>
          <w:sz w:val="16"/>
          <w:szCs w:val="16"/>
        </w:rPr>
        <w:t>Культсектором Оргбюро ВЦСПС написаны статьи для производственной печати, многотиражек, стенгазет, Ильичевой и т. д., которые спущены по гор. Иркутску на места.</w:t>
      </w:r>
    </w:p>
    <w:p w14:paraId="7BC18CF3" w14:textId="77777777" w:rsidR="00823523" w:rsidRPr="00507A31" w:rsidRDefault="00823523" w:rsidP="00507A31">
      <w:pPr>
        <w:numPr>
          <w:ilvl w:val="0"/>
          <w:numId w:val="110"/>
        </w:numPr>
        <w:ind w:left="0" w:firstLine="0"/>
        <w:jc w:val="both"/>
        <w:rPr>
          <w:color w:val="000000" w:themeColor="text1"/>
          <w:sz w:val="16"/>
          <w:szCs w:val="16"/>
        </w:rPr>
      </w:pPr>
      <w:r w:rsidRPr="00507A31">
        <w:rPr>
          <w:color w:val="000000" w:themeColor="text1"/>
          <w:sz w:val="16"/>
          <w:szCs w:val="16"/>
        </w:rPr>
        <w:t>24 Ноября с. г. разработаны лозунги к кампании против контрреволюционной организации (пром. партии), каковые спущены на места.</w:t>
      </w:r>
    </w:p>
    <w:p w14:paraId="4B493C24" w14:textId="77777777" w:rsidR="00823523" w:rsidRPr="00507A31" w:rsidRDefault="00823523" w:rsidP="00507A31">
      <w:pPr>
        <w:numPr>
          <w:ilvl w:val="0"/>
          <w:numId w:val="110"/>
        </w:numPr>
        <w:ind w:left="0" w:firstLine="0"/>
        <w:jc w:val="both"/>
        <w:rPr>
          <w:color w:val="000000" w:themeColor="text1"/>
          <w:sz w:val="16"/>
          <w:szCs w:val="16"/>
        </w:rPr>
      </w:pPr>
      <w:r w:rsidRPr="00507A31">
        <w:rPr>
          <w:color w:val="000000" w:themeColor="text1"/>
          <w:sz w:val="16"/>
          <w:szCs w:val="16"/>
        </w:rPr>
        <w:t>24 Ноября по всем предприятиям и учреждениям после занятий и даже в период работы проведены митинги с требованием суровых мер от Правительства по отношению к контрреволюционной организации (пром. партии).</w:t>
      </w:r>
    </w:p>
    <w:p w14:paraId="53950047" w14:textId="77777777" w:rsidR="00823523" w:rsidRPr="00507A31" w:rsidRDefault="00823523" w:rsidP="00507A31">
      <w:pPr>
        <w:numPr>
          <w:ilvl w:val="0"/>
          <w:numId w:val="110"/>
        </w:numPr>
        <w:ind w:left="0" w:firstLine="0"/>
        <w:jc w:val="both"/>
        <w:rPr>
          <w:color w:val="000000" w:themeColor="text1"/>
          <w:sz w:val="16"/>
          <w:szCs w:val="16"/>
        </w:rPr>
      </w:pPr>
      <w:r w:rsidRPr="00507A31">
        <w:rPr>
          <w:color w:val="000000" w:themeColor="text1"/>
          <w:sz w:val="16"/>
          <w:szCs w:val="16"/>
        </w:rPr>
        <w:t>25 Ноября с. г. проведена демонстрация всех членов профсоюзов совместно с частями Красной Армии и массовой школой.</w:t>
      </w:r>
    </w:p>
    <w:p w14:paraId="16387D69" w14:textId="77777777" w:rsidR="00823523" w:rsidRPr="00507A31" w:rsidRDefault="00823523" w:rsidP="00507A31">
      <w:pPr>
        <w:numPr>
          <w:ilvl w:val="0"/>
          <w:numId w:val="110"/>
        </w:numPr>
        <w:ind w:left="0" w:firstLine="0"/>
        <w:jc w:val="both"/>
        <w:rPr>
          <w:color w:val="000000" w:themeColor="text1"/>
          <w:sz w:val="16"/>
          <w:szCs w:val="16"/>
        </w:rPr>
      </w:pPr>
      <w:r w:rsidRPr="00507A31">
        <w:rPr>
          <w:color w:val="000000" w:themeColor="text1"/>
          <w:sz w:val="16"/>
          <w:szCs w:val="16"/>
        </w:rPr>
        <w:t>24 Ноября созвано городское собрание инженерно-технических и научных работников с постановкой доклада о контрреволюционной организации «пром. партии», собрание прошло с большим подъемом, выступавшие инженеры и научные работники требовали расстрела участников контрреволюционной организации и послали приветственную телеграмму ОГПУ.</w:t>
      </w:r>
    </w:p>
    <w:p w14:paraId="102FE1EA"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Результаты проведенной работы Краевыми Отделами и низовыми ячейками по вопросу проведения кампании против контрреволюционной организации «пром. партии» СЛЕДУЮЩИЕ:</w:t>
      </w:r>
    </w:p>
    <w:p w14:paraId="17FA8D66"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ДЕРЕВООБДЕЛОЧНИКОВ:</w:t>
      </w:r>
    </w:p>
    <w:p w14:paraId="020F4F29"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а) Проведены митинги по всем предприятиям и учреждениям, вывешены специальные лозунги.</w:t>
      </w:r>
    </w:p>
    <w:p w14:paraId="205C87DA"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б) Для проработки процесса суда все Завкомы и Месткомы выписывают газету «Известия ВЦИК СССР».</w:t>
      </w:r>
    </w:p>
    <w:p w14:paraId="18D47344"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 В ответ на наглые проделки «пром. партии» рабочие Ангарского завода посылают в деревню рабочую бригаду по перевыборам Советов за свой счет.</w:t>
      </w:r>
    </w:p>
    <w:p w14:paraId="2956C39B"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г)  Самозакрепилось до конца третьего года пятилетки 105 чел.</w:t>
      </w:r>
    </w:p>
    <w:p w14:paraId="009AEB3A"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д)  Вновь вступило в ударные бригады........................... 7 — / -</w:t>
      </w:r>
    </w:p>
    <w:p w14:paraId="523EC259"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е)  Вступило в ряды В КП (б)......................................... 1 — / -</w:t>
      </w:r>
    </w:p>
    <w:p w14:paraId="4CB2A59A"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НАРСВЯЗИ:</w:t>
      </w:r>
    </w:p>
    <w:p w14:paraId="7C87DF01"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а) Проведено по городу 8 собраний.</w:t>
      </w:r>
    </w:p>
    <w:p w14:paraId="0383364F"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б) Организовано 6 новых бригад с охватом 42 человека.</w:t>
      </w:r>
    </w:p>
    <w:p w14:paraId="5BC71B70"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 По районам послано 18 человек руководителей Управления для непосредственной ликвидации прорывов в районах.</w:t>
      </w:r>
    </w:p>
    <w:p w14:paraId="00746E02"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СХР</w:t>
      </w:r>
    </w:p>
    <w:p w14:paraId="0DACFFCC"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Проведено митингов по городу, предприятиям и учреждениям 26.</w:t>
      </w:r>
    </w:p>
    <w:p w14:paraId="40DDEA03"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Самозакрепилось до конца пятилетки по учреждениям:</w:t>
      </w:r>
    </w:p>
    <w:p w14:paraId="1C673D36"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1) Крайохотсоюз — 60 человек, 2) Крайполеводсоюз — 29 чел., 3) Сельхозтехникум — 300 чел., до конца учебы и после учебы для работы в крае до конца пятилетки, 4) Крайзу — специалисты — 71 чел., 5) Райколхоз- союз — 17 чел., 6) Совхоз «Труженик» — 45 чел., 7) Опытная станция — 29 чел., 8) Горрабочком — 37 чел., 9) Крайколхозсоюз — 66 человек.</w:t>
      </w:r>
    </w:p>
    <w:p w14:paraId="3FA400C2"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Объявили себя ударниками по этим учреждениям в количестве 86 человек.</w:t>
      </w:r>
    </w:p>
    <w:p w14:paraId="11BDD88A"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ПЕЧАТНИКОВ:</w:t>
      </w:r>
    </w:p>
    <w:p w14:paraId="3B28D33E"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а)  В обеденный перерыв по коллективу Типографии и др. проведены митинги.</w:t>
      </w:r>
    </w:p>
    <w:p w14:paraId="283CB25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б)  Самозакрепилось до конца пятилетки 81 человек.</w:t>
      </w:r>
    </w:p>
    <w:p w14:paraId="3B926BA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  Подало заявлений в партию — 9 человек.</w:t>
      </w:r>
    </w:p>
    <w:p w14:paraId="7B38BA69"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РАБИС:</w:t>
      </w:r>
    </w:p>
    <w:p w14:paraId="4A5438B1"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 всем кино-театрам до начала сеансов проведены летучие митинги, коими охвачено 1600 человек зрителей.</w:t>
      </w:r>
    </w:p>
    <w:p w14:paraId="1C0FC388"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 театру перед началом концерта артиста Словцова проведен митинг с охватом 1000 человек.</w:t>
      </w:r>
    </w:p>
    <w:p w14:paraId="23CCFB18"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ВОДНИКОВ:</w:t>
      </w:r>
    </w:p>
    <w:p w14:paraId="09C99486"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 обеденные перерывы и после занятия проведены митинги с охватом рабочих и служащих — 339 человек.</w:t>
      </w:r>
    </w:p>
    <w:p w14:paraId="15539320"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Создана ударная бригада в затоне под названием «Ответ вредителям «пром. партии».</w:t>
      </w:r>
    </w:p>
    <w:p w14:paraId="4240002D"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Самозакрепилось до конца пятилетки — 90 человек.</w:t>
      </w:r>
    </w:p>
    <w:p w14:paraId="2C53981D"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КОЖЕВНИКОВ:</w:t>
      </w:r>
    </w:p>
    <w:p w14:paraId="1DFF5B3E"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 всем предприятиям днем и вечером проводились митинги.</w:t>
      </w:r>
    </w:p>
    <w:p w14:paraId="685C10AB"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Выпущен специальный номер стенгазеты.</w:t>
      </w:r>
    </w:p>
    <w:p w14:paraId="2EF86456"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Вступило в соцсоревнование — 250 человек и самозакрепилось 250 человек.</w:t>
      </w:r>
    </w:p>
    <w:p w14:paraId="0A2E0685"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Вступило в партию — 23 чел., вступило в члены Осоавиахима — 10 человек.</w:t>
      </w:r>
    </w:p>
    <w:p w14:paraId="22BCD68A"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Созданы ударные бригады с охватом 15 человек.</w:t>
      </w:r>
    </w:p>
    <w:p w14:paraId="417F24C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 всем предприятиям и учреждениям с участием Президиума Крайотдела Союза проведены митинги. Самозакрепилось до конца пятилетки 79 человек.</w:t>
      </w:r>
    </w:p>
    <w:p w14:paraId="45B2CC6C"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Вступило в ударничество 7 бригад с охватом 189 чел.</w:t>
      </w:r>
    </w:p>
    <w:p w14:paraId="775914D0"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Подало заявлений в партию — 26 человек.</w:t>
      </w:r>
    </w:p>
    <w:p w14:paraId="2F8057A4"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ПИМОКАТНАЯ ФАБРИКА:</w:t>
      </w:r>
    </w:p>
    <w:p w14:paraId="69AEED9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 предприятиям фабрики проведен митинг.</w:t>
      </w:r>
    </w:p>
    <w:p w14:paraId="76DDB0D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Сформирована ударная бригада имени ОГПУ с охватом 15 чел.</w:t>
      </w:r>
    </w:p>
    <w:p w14:paraId="31D61308"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РАЙПРОФСОЖ</w:t>
      </w:r>
    </w:p>
    <w:p w14:paraId="7CA4D52C"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Ст. Иннокентьевская: по всем цехам проведены митинги, а также проведен общий митинг с охватом 1884 чел.</w:t>
      </w:r>
    </w:p>
    <w:p w14:paraId="5A92ECD2"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Самозакрепилось до конца пятилетки — 20 человек.</w:t>
      </w:r>
    </w:p>
    <w:p w14:paraId="51942D99"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Объявили себя ударниками — 20 чел.</w:t>
      </w:r>
    </w:p>
    <w:p w14:paraId="3CA62358"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Подало заявлений в партию — 20 человек.</w:t>
      </w:r>
    </w:p>
    <w:p w14:paraId="4CA6BBDD"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Подало заявлений в ВЛКСМ — 100 человек.</w:t>
      </w:r>
    </w:p>
    <w:p w14:paraId="3381DF68"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Ст. Иркутск: Тоже проведены митинги по всем коллективам. Самозакрепилось до конца пятилетки — 42 человека.</w:t>
      </w:r>
    </w:p>
    <w:p w14:paraId="1864759F"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Объявили себя ударниками — 84 чел.</w:t>
      </w:r>
    </w:p>
    <w:p w14:paraId="61010A42"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Подало заявлений в партию — 22 чел.</w:t>
      </w:r>
    </w:p>
    <w:p w14:paraId="7FF37A56"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МЕДИКОВ:</w:t>
      </w:r>
    </w:p>
    <w:p w14:paraId="3AA938D1"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 всем учреждениям и предприятиям проведены летучие митинги. Самозакрепилось до конца пятилетки — 72 чел.</w:t>
      </w:r>
    </w:p>
    <w:p w14:paraId="08F58245"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Объявили себя ударниками — 101 чел.</w:t>
      </w:r>
    </w:p>
    <w:p w14:paraId="4D934A76"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Необходимо отметить, что врачи плохо принимали участие в митинге при Горбольнице.</w:t>
      </w:r>
    </w:p>
    <w:p w14:paraId="269C6FF4"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КРАЙОТЛЕЛ СОЮЗА ГОРНОРАБОЧИХ:</w:t>
      </w:r>
    </w:p>
    <w:p w14:paraId="5A7FAA5F"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Проведены летучие митинги по Слюдфабрике, Союззолото и Цветметснаб.</w:t>
      </w:r>
    </w:p>
    <w:p w14:paraId="6EB7EA55"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Вступило в партию — 15 чел.</w:t>
      </w:r>
    </w:p>
    <w:p w14:paraId="20A5A755"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Вступило в ВЛКСМ — 33 чел.</w:t>
      </w:r>
    </w:p>
    <w:p w14:paraId="0E112373"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2 отделения — смены объявили себя ударниками с охватом 60 ч.</w:t>
      </w:r>
    </w:p>
    <w:p w14:paraId="4289B5C3"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КОММУНАЛЬНИКОВ:</w:t>
      </w:r>
    </w:p>
    <w:p w14:paraId="380EE284"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 всем предприятиям и учреждениям проведены летучие митинги, где служащие и рабочие все самозакрепились до конца пятилетки в количестве — 103 человек.</w:t>
      </w:r>
    </w:p>
    <w:p w14:paraId="2E14B24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Инвентаризационное Бюро в количестве 6 чел. самозакрепилось до конца пятилетки и вносит 30 руб. в фонд обороны страны.</w:t>
      </w:r>
    </w:p>
    <w:p w14:paraId="6B081CD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Инженерно-техническая секция самозакрепилась до конца пятилетки — 12 человек.</w:t>
      </w:r>
    </w:p>
    <w:p w14:paraId="31475626"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Групповой комитет бань в ответ на вылазку врага провел дополнительную подписку на заем «пятилетка в четыре года» на сумму 250 рублей.</w:t>
      </w:r>
    </w:p>
    <w:p w14:paraId="18C0B4F7"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РАБПРОС:</w:t>
      </w:r>
    </w:p>
    <w:p w14:paraId="33EB344F"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Летучие митинги проведены в 26 коллективах, участвовало просвещенцев — 730 человек, учащихся — 1780 человек.</w:t>
      </w:r>
    </w:p>
    <w:p w14:paraId="6142869A"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lastRenderedPageBreak/>
        <w:t>Самозакрепилось до конца пятилетки — 90 чел. и учащ[ихся] — 660 ч.</w:t>
      </w:r>
    </w:p>
    <w:p w14:paraId="50329BDC"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Объявили себя ударниками 10 коллективов с охватом 1510 чел.</w:t>
      </w:r>
    </w:p>
    <w:p w14:paraId="40921F90"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При коллективе Профтехшколы 20 детей рабочих вступили в Комсомол.</w:t>
      </w:r>
    </w:p>
    <w:p w14:paraId="40D1AC95"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Вступило в Осоавиахим — 330 чел.</w:t>
      </w:r>
    </w:p>
    <w:p w14:paraId="46D69EBB"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МЕТАЛЛИСТОВ:</w:t>
      </w:r>
    </w:p>
    <w:p w14:paraId="3294342A"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 всем предприятиям и учреждениям проведены митинги, где масса требует немедленной расправы с вредителями.</w:t>
      </w:r>
    </w:p>
    <w:p w14:paraId="7AA20CFD"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Подало заявлений в партию — 152 чел.</w:t>
      </w:r>
    </w:p>
    <w:p w14:paraId="35D94F08"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Организовано ударных бригад — 7, с охватом 96 чел.</w:t>
      </w:r>
    </w:p>
    <w:p w14:paraId="6CB9A8F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Организована цеховая коммуна с охватом 60 человек.</w:t>
      </w:r>
    </w:p>
    <w:p w14:paraId="2993FB60"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Самозакрепилось до конца пятилетки — 81 человек.</w:t>
      </w:r>
    </w:p>
    <w:p w14:paraId="2D1F5E3A"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Проведена дополнит[ельная] подписка на заем в сумме 1000 руб.</w:t>
      </w:r>
    </w:p>
    <w:p w14:paraId="276EB46F"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Проведено собраний и митингов — 16, с охватом 3480 чел.</w:t>
      </w:r>
    </w:p>
    <w:p w14:paraId="5D0CC63D"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СТРОИТЕЛЕЙ:</w:t>
      </w:r>
    </w:p>
    <w:p w14:paraId="4E1DE9AD"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Проведено собраний и митингов по предприятиям и учреждениям 10, с охватом 1129 человек.</w:t>
      </w:r>
    </w:p>
    <w:p w14:paraId="6C9A71AE"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Самозакрепилось 218 человек.</w:t>
      </w:r>
    </w:p>
    <w:p w14:paraId="7C080643"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Созданы ударные бригады с охватом 484 чел.</w:t>
      </w:r>
    </w:p>
    <w:p w14:paraId="5AE5217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Вступило в соцсоревнование и объявили себя ударниками постройком «Союззолото», с охватом 250 чел.</w:t>
      </w:r>
    </w:p>
    <w:p w14:paraId="2341A614"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Подписалось дополнительно на заем «пятилетка в четыре года» на месячный оклад 83 чел.</w:t>
      </w:r>
    </w:p>
    <w:p w14:paraId="288D0A8F"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Подало заявлений в партию — 26 чел. и ВЛКСМ — 14 чел.</w:t>
      </w:r>
    </w:p>
    <w:p w14:paraId="45DAD9C1"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 предприятиям Иркутской бойни, Кишзаводе бойцы в числе 30 человек объявили себя ударниками и в тот же день уехали в Култук на убой скота.</w:t>
      </w:r>
    </w:p>
    <w:p w14:paraId="77E097BA"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На митинге спиртоводочн[ого] завода присутствовало 70 чел., каковые объявили себя ударниками, и самозакрепилось до конца пятилетки там же 28 чел.</w:t>
      </w:r>
    </w:p>
    <w:p w14:paraId="7E29B9DF"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Рабочие Госмельницы в количестве 60 чел. объявили себя ударниками.</w:t>
      </w:r>
    </w:p>
    <w:p w14:paraId="21CC913B"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Рабочие Дрожзавода в количестве 40 чел. объявили себя ударниками до конца третьего года пятилетки и подало заявлений в партию — 3 чел.</w:t>
      </w:r>
    </w:p>
    <w:p w14:paraId="3FEC4998"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На митинге Группкома столовых ЦРК, где присутствовало 214 чел., которые закрепились до конца 3-го года пятилетки.</w:t>
      </w:r>
    </w:p>
    <w:p w14:paraId="66D018CB"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Подало заявлений в партию — 6 чел. и ВЛКСМ — 5 чел.</w:t>
      </w:r>
    </w:p>
    <w:p w14:paraId="58541603"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КРАЙОТДЕЛ СОЮЗА СОВТОРГСЛУЖАЩИХ:</w:t>
      </w:r>
    </w:p>
    <w:p w14:paraId="2CDD4B01"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 4 коллективам города прошли летучие митинги с охватом 2204 человек.</w:t>
      </w:r>
    </w:p>
    <w:p w14:paraId="40933E01"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Участвовало на демонстрации 1878 человек, организовано ударных бригад — 29, с охватом 373 чел.</w:t>
      </w:r>
    </w:p>
    <w:p w14:paraId="6BBE81A1"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Самозакрепилось на работе — 1442 чел.</w:t>
      </w:r>
    </w:p>
    <w:p w14:paraId="067FF275"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Проведена дополнительная подписка на заем в сумме 330 руб.</w:t>
      </w:r>
    </w:p>
    <w:p w14:paraId="75851472"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Проведено отчисление на дирижабль в сумме 585 руб.</w:t>
      </w:r>
    </w:p>
    <w:p w14:paraId="0D6E3E1F"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Вступило в Комсомол — 5 человек.</w:t>
      </w:r>
    </w:p>
    <w:p w14:paraId="5951E388"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ПО КРАЙОСОАВИАХИМУ:</w:t>
      </w:r>
    </w:p>
    <w:p w14:paraId="3592C20E"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За время кампании против контрреволюции «пром. партии» проделано следующее:</w:t>
      </w:r>
    </w:p>
    <w:p w14:paraId="5A2B7145"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а)  Вступило новых членов в ОСО — 2500 чел.</w:t>
      </w:r>
    </w:p>
    <w:p w14:paraId="4FA54A45"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б)  Организовано 8 ударн. бригад с охватом — 500 чел., каковые закреплялись на своих предприятиях до конца пятилетки.</w:t>
      </w:r>
    </w:p>
    <w:p w14:paraId="131F099E"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РАДИОГАЗЕТА:</w:t>
      </w:r>
    </w:p>
    <w:p w14:paraId="28C0AFFE" w14:textId="77777777" w:rsidR="00823523" w:rsidRPr="00507A31" w:rsidRDefault="00823523" w:rsidP="00507A31">
      <w:pPr>
        <w:numPr>
          <w:ilvl w:val="0"/>
          <w:numId w:val="111"/>
        </w:numPr>
        <w:ind w:left="0" w:firstLine="0"/>
        <w:jc w:val="both"/>
        <w:rPr>
          <w:color w:val="000000" w:themeColor="text1"/>
          <w:sz w:val="16"/>
          <w:szCs w:val="16"/>
        </w:rPr>
      </w:pPr>
      <w:r w:rsidRPr="00507A31">
        <w:rPr>
          <w:color w:val="000000" w:themeColor="text1"/>
          <w:sz w:val="16"/>
          <w:szCs w:val="16"/>
        </w:rPr>
        <w:t>Ноября была беседа о контрреволюционном вредительстве.</w:t>
      </w:r>
    </w:p>
    <w:p w14:paraId="032C6298" w14:textId="77777777" w:rsidR="00823523" w:rsidRPr="00507A31" w:rsidRDefault="00823523" w:rsidP="00507A31">
      <w:pPr>
        <w:numPr>
          <w:ilvl w:val="0"/>
          <w:numId w:val="112"/>
        </w:numPr>
        <w:ind w:left="0" w:firstLine="0"/>
        <w:jc w:val="both"/>
        <w:rPr>
          <w:color w:val="000000" w:themeColor="text1"/>
          <w:sz w:val="16"/>
          <w:szCs w:val="16"/>
        </w:rPr>
      </w:pPr>
      <w:r w:rsidRPr="00507A31">
        <w:rPr>
          <w:color w:val="000000" w:themeColor="text1"/>
          <w:sz w:val="16"/>
          <w:szCs w:val="16"/>
        </w:rPr>
        <w:t>-”- в полдень — беседа тов. Строкова о процессе вредителей.</w:t>
      </w:r>
    </w:p>
    <w:p w14:paraId="58CF00FD" w14:textId="77777777" w:rsidR="00823523" w:rsidRPr="00507A31" w:rsidRDefault="00823523" w:rsidP="00507A31">
      <w:pPr>
        <w:numPr>
          <w:ilvl w:val="0"/>
          <w:numId w:val="113"/>
        </w:numPr>
        <w:ind w:left="0" w:firstLine="0"/>
        <w:jc w:val="both"/>
        <w:rPr>
          <w:color w:val="000000" w:themeColor="text1"/>
          <w:sz w:val="16"/>
          <w:szCs w:val="16"/>
        </w:rPr>
      </w:pPr>
      <w:r w:rsidRPr="00507A31">
        <w:rPr>
          <w:color w:val="000000" w:themeColor="text1"/>
          <w:sz w:val="16"/>
          <w:szCs w:val="16"/>
        </w:rPr>
        <w:t>-”- вечером — беседа по материалам газеты «Правда» о вредителях промпартии.</w:t>
      </w:r>
    </w:p>
    <w:p w14:paraId="1865C45B" w14:textId="77777777" w:rsidR="00823523" w:rsidRPr="00507A31" w:rsidRDefault="00823523" w:rsidP="00507A31">
      <w:pPr>
        <w:numPr>
          <w:ilvl w:val="0"/>
          <w:numId w:val="114"/>
        </w:numPr>
        <w:ind w:left="0" w:firstLine="0"/>
        <w:jc w:val="both"/>
        <w:rPr>
          <w:color w:val="000000" w:themeColor="text1"/>
          <w:sz w:val="16"/>
          <w:szCs w:val="16"/>
        </w:rPr>
      </w:pPr>
      <w:r w:rsidRPr="00507A31">
        <w:rPr>
          <w:color w:val="000000" w:themeColor="text1"/>
          <w:sz w:val="16"/>
          <w:szCs w:val="16"/>
        </w:rPr>
        <w:t>Ноября в полдень — беседа — Контрреволюция и Интервенция по материалам газеты «Правда».</w:t>
      </w:r>
    </w:p>
    <w:p w14:paraId="132A8465" w14:textId="77777777" w:rsidR="00823523" w:rsidRPr="00507A31" w:rsidRDefault="00823523" w:rsidP="00507A31">
      <w:pPr>
        <w:numPr>
          <w:ilvl w:val="0"/>
          <w:numId w:val="115"/>
        </w:numPr>
        <w:ind w:left="0" w:firstLine="0"/>
        <w:jc w:val="both"/>
        <w:rPr>
          <w:color w:val="000000" w:themeColor="text1"/>
          <w:sz w:val="16"/>
          <w:szCs w:val="16"/>
        </w:rPr>
      </w:pPr>
      <w:r w:rsidRPr="00507A31">
        <w:rPr>
          <w:color w:val="000000" w:themeColor="text1"/>
          <w:sz w:val="16"/>
          <w:szCs w:val="16"/>
        </w:rPr>
        <w:t>Ноября вечером — обращение М. Горького к рабочим и крестьянам всего мира, в связи с процессом контрреволюционной организации.</w:t>
      </w:r>
    </w:p>
    <w:p w14:paraId="6125C60B" w14:textId="77777777" w:rsidR="00823523" w:rsidRPr="00507A31" w:rsidRDefault="00823523" w:rsidP="00507A31">
      <w:pPr>
        <w:numPr>
          <w:ilvl w:val="0"/>
          <w:numId w:val="116"/>
        </w:numPr>
        <w:ind w:left="0" w:firstLine="0"/>
        <w:jc w:val="both"/>
        <w:rPr>
          <w:color w:val="000000" w:themeColor="text1"/>
          <w:sz w:val="16"/>
          <w:szCs w:val="16"/>
        </w:rPr>
      </w:pPr>
      <w:r w:rsidRPr="00507A31">
        <w:rPr>
          <w:color w:val="000000" w:themeColor="text1"/>
          <w:sz w:val="16"/>
          <w:szCs w:val="16"/>
        </w:rPr>
        <w:t>Кроме того[,] ежедневно в работе радио-газеты помещался материал о решениях рабочих собраний, союзных съездов и рабочих[,] «Вост.-Сиб. Правда» о вредителях.</w:t>
      </w:r>
    </w:p>
    <w:p w14:paraId="012B8C69"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Предварительные итоги кампании, проведенной против выступления контрреволюционной вредительской организации показывают, что основная масса членов профсоюзов — рабочих — служащих — специалистов, выразила классовую ненависть контрреволюционной организации «промышленной партии», требуя от Правительства и Верховного Пролетарского Суда применения высшей меры социальной защиты — расстрела классовых врагов, в то же время награждения ОГПУ орденом Ленина.</w:t>
      </w:r>
    </w:p>
    <w:p w14:paraId="7EB647A5"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Классовое самосознание рабочих можно характеризовать следующими показателями:</w:t>
      </w:r>
    </w:p>
    <w:p w14:paraId="31E78B4A" w14:textId="77777777" w:rsidR="00823523" w:rsidRPr="00507A31" w:rsidRDefault="00823523" w:rsidP="00507A31">
      <w:pPr>
        <w:numPr>
          <w:ilvl w:val="0"/>
          <w:numId w:val="117"/>
        </w:numPr>
        <w:ind w:left="0" w:firstLine="0"/>
        <w:jc w:val="both"/>
        <w:rPr>
          <w:color w:val="000000" w:themeColor="text1"/>
          <w:sz w:val="16"/>
          <w:szCs w:val="16"/>
        </w:rPr>
      </w:pPr>
      <w:r w:rsidRPr="00507A31">
        <w:rPr>
          <w:color w:val="000000" w:themeColor="text1"/>
          <w:sz w:val="16"/>
          <w:szCs w:val="16"/>
        </w:rPr>
        <w:t>Подало заявлений в ряды ВКП(б) (раб.) — 303 чел.</w:t>
      </w:r>
    </w:p>
    <w:p w14:paraId="1AD76F20" w14:textId="77777777" w:rsidR="00823523" w:rsidRPr="00507A31" w:rsidRDefault="00823523" w:rsidP="00507A31">
      <w:pPr>
        <w:numPr>
          <w:ilvl w:val="0"/>
          <w:numId w:val="117"/>
        </w:numPr>
        <w:ind w:left="0" w:firstLine="0"/>
        <w:jc w:val="both"/>
        <w:rPr>
          <w:color w:val="000000" w:themeColor="text1"/>
          <w:sz w:val="16"/>
          <w:szCs w:val="16"/>
        </w:rPr>
      </w:pPr>
      <w:r w:rsidRPr="00507A31">
        <w:rPr>
          <w:color w:val="000000" w:themeColor="text1"/>
          <w:sz w:val="16"/>
          <w:szCs w:val="16"/>
        </w:rPr>
        <w:t> Самозакрепилось — 4747 чел.</w:t>
      </w:r>
    </w:p>
    <w:p w14:paraId="55CEDEEA" w14:textId="77777777" w:rsidR="00823523" w:rsidRPr="00507A31" w:rsidRDefault="00823523" w:rsidP="00507A31">
      <w:pPr>
        <w:numPr>
          <w:ilvl w:val="0"/>
          <w:numId w:val="117"/>
        </w:numPr>
        <w:ind w:left="0" w:firstLine="0"/>
        <w:jc w:val="both"/>
        <w:rPr>
          <w:color w:val="000000" w:themeColor="text1"/>
          <w:sz w:val="16"/>
          <w:szCs w:val="16"/>
        </w:rPr>
      </w:pPr>
      <w:r w:rsidRPr="00507A31">
        <w:rPr>
          <w:color w:val="000000" w:themeColor="text1"/>
          <w:sz w:val="16"/>
          <w:szCs w:val="16"/>
        </w:rPr>
        <w:t>Подало заявлений в ВЛКСМ (рабоч.) — 177 чел.</w:t>
      </w:r>
    </w:p>
    <w:p w14:paraId="7C4A8B00" w14:textId="77777777" w:rsidR="00823523" w:rsidRPr="00507A31" w:rsidRDefault="00823523" w:rsidP="00507A31">
      <w:pPr>
        <w:numPr>
          <w:ilvl w:val="0"/>
          <w:numId w:val="117"/>
        </w:numPr>
        <w:ind w:left="0" w:firstLine="0"/>
        <w:jc w:val="both"/>
        <w:rPr>
          <w:color w:val="000000" w:themeColor="text1"/>
          <w:sz w:val="16"/>
          <w:szCs w:val="16"/>
        </w:rPr>
      </w:pPr>
      <w:r w:rsidRPr="00507A31">
        <w:rPr>
          <w:color w:val="000000" w:themeColor="text1"/>
          <w:sz w:val="16"/>
          <w:szCs w:val="16"/>
        </w:rPr>
        <w:t> Объявило себя ударниками — 2248 чел.</w:t>
      </w:r>
    </w:p>
    <w:p w14:paraId="52C3709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Из них учащихся........................... 1510 чел.</w:t>
      </w:r>
    </w:p>
    <w:p w14:paraId="2EC338C8" w14:textId="77777777" w:rsidR="00823523" w:rsidRPr="00507A31" w:rsidRDefault="00823523" w:rsidP="00507A31">
      <w:pPr>
        <w:numPr>
          <w:ilvl w:val="0"/>
          <w:numId w:val="118"/>
        </w:numPr>
        <w:ind w:left="0" w:firstLine="0"/>
        <w:jc w:val="both"/>
        <w:rPr>
          <w:color w:val="000000" w:themeColor="text1"/>
          <w:sz w:val="16"/>
          <w:szCs w:val="16"/>
        </w:rPr>
      </w:pPr>
      <w:r w:rsidRPr="00507A31">
        <w:rPr>
          <w:color w:val="000000" w:themeColor="text1"/>
          <w:sz w:val="16"/>
          <w:szCs w:val="16"/>
        </w:rPr>
        <w:t> Организовано ударных бригад — 12</w:t>
      </w:r>
    </w:p>
    <w:p w14:paraId="12662807" w14:textId="77777777" w:rsidR="00823523" w:rsidRPr="00507A31" w:rsidRDefault="00823523" w:rsidP="00507A31">
      <w:pPr>
        <w:numPr>
          <w:ilvl w:val="0"/>
          <w:numId w:val="119"/>
        </w:numPr>
        <w:ind w:left="0" w:firstLine="0"/>
        <w:jc w:val="both"/>
        <w:rPr>
          <w:color w:val="000000" w:themeColor="text1"/>
          <w:sz w:val="16"/>
          <w:szCs w:val="16"/>
        </w:rPr>
      </w:pPr>
      <w:r w:rsidRPr="00507A31">
        <w:rPr>
          <w:color w:val="000000" w:themeColor="text1"/>
          <w:sz w:val="16"/>
          <w:szCs w:val="16"/>
        </w:rPr>
        <w:t>Вступило в члены ОСО — 2810 чел.</w:t>
      </w:r>
    </w:p>
    <w:p w14:paraId="741A4013" w14:textId="77777777" w:rsidR="00823523" w:rsidRPr="00507A31" w:rsidRDefault="00823523" w:rsidP="00507A31">
      <w:pPr>
        <w:numPr>
          <w:ilvl w:val="0"/>
          <w:numId w:val="120"/>
        </w:numPr>
        <w:ind w:left="0" w:firstLine="0"/>
        <w:jc w:val="both"/>
        <w:rPr>
          <w:color w:val="000000" w:themeColor="text1"/>
          <w:sz w:val="16"/>
          <w:szCs w:val="16"/>
        </w:rPr>
      </w:pPr>
      <w:r w:rsidRPr="00507A31">
        <w:rPr>
          <w:color w:val="000000" w:themeColor="text1"/>
          <w:sz w:val="16"/>
          <w:szCs w:val="16"/>
        </w:rPr>
        <w:t>Дополнит, подписалось на заем «пятилетки» на сумму — 1580 р.</w:t>
      </w:r>
    </w:p>
    <w:p w14:paraId="2E190733" w14:textId="77777777" w:rsidR="00823523" w:rsidRPr="00507A31" w:rsidRDefault="00823523" w:rsidP="00507A31">
      <w:pPr>
        <w:numPr>
          <w:ilvl w:val="0"/>
          <w:numId w:val="121"/>
        </w:numPr>
        <w:ind w:left="0" w:firstLine="0"/>
        <w:jc w:val="both"/>
        <w:rPr>
          <w:color w:val="000000" w:themeColor="text1"/>
          <w:sz w:val="16"/>
          <w:szCs w:val="16"/>
        </w:rPr>
      </w:pPr>
      <w:r w:rsidRPr="00507A31">
        <w:rPr>
          <w:color w:val="000000" w:themeColor="text1"/>
          <w:sz w:val="16"/>
          <w:szCs w:val="16"/>
        </w:rPr>
        <w:t> Отчислено на дирижабль — 685 р.</w:t>
      </w:r>
    </w:p>
    <w:p w14:paraId="1135F164"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Но име[ю]тся со стороны отдельных специалистов антисоветские выступления и настроения, примером чего может служить выступление на митинге 19/XI в Правлении «Союззолото» инженера Федорчука (сына бывш. крупного помещика), который заявил: «Выносить решение по физическому уничтожению наших светил науки сейчас не нужно, нужно применить к ним метод целесообразности. Да и вообще, нужно сказать наше руководство (следует понимать Компартию и Соввласть) в области использования специалистов является неправильным...»</w:t>
      </w:r>
    </w:p>
    <w:p w14:paraId="5D7A5634"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Счетовод УТК Баранов (сын кулака) в своем выступлении в точности отобразил выступление Федорчука.</w:t>
      </w:r>
    </w:p>
    <w:p w14:paraId="3949F0AB"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Субботин, член ВКП(б) пригласил инженера Василова на собрание ИТР, где должен был обсуждаться вопрос о контрреволюционной организации «промыш. партии», инженер Василов отказался, мотивируя: «на собрание я не пойду и голосовать против вредителей я не буду» (рабочими собраниями Федорчук, Баранов и Василов из профсоюза и ИТС исключены).</w:t>
      </w:r>
    </w:p>
    <w:p w14:paraId="64A2998D"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Инженер Дражник-Сидоров, когда выносили резолюции с требованием рабочих расстрела контрреволюционной вредительской организации, голосовать отказался, мотивируя: «Митинговой спешкой и необходимостью детальной проработки этого вопроса».</w:t>
      </w:r>
    </w:p>
    <w:p w14:paraId="4CE9905C"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Все эти факты констатируют о наличии в отдельных звеньях специалистов сочувствующих контрреволюционной организации «пром. партия» и требуют еще большей бдительности контроля со стороны рабочих организаций к нашему социалистическому строительству. Завкультсектором Оргбюро ВЦСПС</w:t>
      </w:r>
    </w:p>
    <w:p w14:paraId="375406F8"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&lt;В. Кр&gt;асильников 27/XI—1930 г.</w:t>
      </w:r>
    </w:p>
    <w:p w14:paraId="2D9C2100" w14:textId="77777777" w:rsidR="00823523" w:rsidRPr="00507A31" w:rsidRDefault="00823523"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761. Л. 42-47. Машинописный подлинник, подпись-автограф. Гриф секретности (Л. 42) и дата в конце — от руки чернилами (19024).</w:t>
      </w:r>
    </w:p>
    <w:p w14:paraId="59AACCB9" w14:textId="77777777" w:rsidR="00823523" w:rsidRPr="00507A31" w:rsidRDefault="00823523" w:rsidP="00507A31">
      <w:pPr>
        <w:jc w:val="both"/>
        <w:rPr>
          <w:color w:val="000000" w:themeColor="text1"/>
          <w:sz w:val="16"/>
          <w:szCs w:val="16"/>
        </w:rPr>
      </w:pPr>
    </w:p>
    <w:p w14:paraId="087CB93D" w14:textId="77777777" w:rsidR="00823523" w:rsidRPr="00507A31" w:rsidRDefault="00823523" w:rsidP="00507A31">
      <w:pPr>
        <w:jc w:val="both"/>
        <w:rPr>
          <w:bCs/>
          <w:color w:val="000000" w:themeColor="text1"/>
          <w:sz w:val="16"/>
          <w:szCs w:val="16"/>
        </w:rPr>
      </w:pPr>
      <w:r w:rsidRPr="00507A31">
        <w:rPr>
          <w:color w:val="000000" w:themeColor="text1"/>
          <w:sz w:val="16"/>
          <w:szCs w:val="16"/>
        </w:rPr>
        <w:t>27 ноября 1930 г.</w:t>
      </w:r>
    </w:p>
    <w:p w14:paraId="33DB1F72" w14:textId="77777777" w:rsidR="00823523" w:rsidRPr="00507A31" w:rsidRDefault="00823523" w:rsidP="00507A31">
      <w:pPr>
        <w:jc w:val="both"/>
        <w:rPr>
          <w:bCs/>
          <w:color w:val="000000" w:themeColor="text1"/>
          <w:sz w:val="16"/>
          <w:szCs w:val="16"/>
        </w:rPr>
      </w:pPr>
      <w:r w:rsidRPr="00507A31">
        <w:rPr>
          <w:color w:val="000000" w:themeColor="text1"/>
          <w:sz w:val="16"/>
          <w:szCs w:val="16"/>
        </w:rPr>
        <w:t>Письмо руководства ВЦСПС председателю Верховного суда А. Я. Вышинскому с просьбой о пропуске прибывшей рабочей делегации в зал судебных слушаний. 27 ноября 1930 г.</w:t>
      </w:r>
    </w:p>
    <w:p w14:paraId="78521A6C" w14:textId="77777777" w:rsidR="00823523" w:rsidRPr="00507A31" w:rsidRDefault="00823523" w:rsidP="00507A31">
      <w:pPr>
        <w:jc w:val="both"/>
        <w:rPr>
          <w:bCs/>
          <w:color w:val="000000" w:themeColor="text1"/>
          <w:sz w:val="16"/>
          <w:szCs w:val="16"/>
        </w:rPr>
      </w:pPr>
      <w:r w:rsidRPr="00507A31">
        <w:rPr>
          <w:bCs/>
          <w:color w:val="000000" w:themeColor="text1"/>
          <w:sz w:val="16"/>
          <w:szCs w:val="16"/>
        </w:rPr>
        <w:t>Источник: </w:t>
      </w:r>
    </w:p>
    <w:p w14:paraId="00CCA26A" w14:textId="77777777" w:rsidR="00823523" w:rsidRPr="00507A31" w:rsidRDefault="0082352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57F75AE" w14:textId="77777777" w:rsidR="00823523" w:rsidRPr="00507A31" w:rsidRDefault="00823523" w:rsidP="00507A31">
      <w:pPr>
        <w:jc w:val="both"/>
        <w:rPr>
          <w:bCs/>
          <w:color w:val="000000" w:themeColor="text1"/>
          <w:sz w:val="16"/>
          <w:szCs w:val="16"/>
        </w:rPr>
      </w:pPr>
      <w:r w:rsidRPr="00507A31">
        <w:rPr>
          <w:bCs/>
          <w:color w:val="000000" w:themeColor="text1"/>
          <w:sz w:val="16"/>
          <w:szCs w:val="16"/>
        </w:rPr>
        <w:t>Архив: </w:t>
      </w:r>
    </w:p>
    <w:p w14:paraId="45D25E64" w14:textId="77777777" w:rsidR="00823523" w:rsidRPr="00507A31" w:rsidRDefault="00823523" w:rsidP="00507A31">
      <w:pPr>
        <w:jc w:val="both"/>
        <w:rPr>
          <w:color w:val="000000" w:themeColor="text1"/>
          <w:sz w:val="16"/>
          <w:szCs w:val="16"/>
        </w:rPr>
      </w:pPr>
      <w:r w:rsidRPr="00507A31">
        <w:rPr>
          <w:color w:val="000000" w:themeColor="text1"/>
          <w:sz w:val="16"/>
          <w:szCs w:val="16"/>
        </w:rPr>
        <w:t>ГА РФ. Ф. P-5451. Oп. 14. Д. 223. Л. 12</w:t>
      </w:r>
    </w:p>
    <w:p w14:paraId="327C00E4" w14:textId="77777777" w:rsidR="00823523" w:rsidRPr="00507A31" w:rsidRDefault="00823523" w:rsidP="00507A31">
      <w:pPr>
        <w:pStyle w:val="rteright"/>
        <w:spacing w:before="0" w:after="0"/>
        <w:jc w:val="both"/>
        <w:rPr>
          <w:color w:val="000000" w:themeColor="text1"/>
          <w:sz w:val="16"/>
          <w:szCs w:val="16"/>
        </w:rPr>
      </w:pPr>
      <w:r w:rsidRPr="00507A31">
        <w:rPr>
          <w:color w:val="000000" w:themeColor="text1"/>
          <w:sz w:val="16"/>
          <w:szCs w:val="16"/>
        </w:rPr>
        <w:t>27 ноября 1930 г.</w:t>
      </w:r>
    </w:p>
    <w:p w14:paraId="5A3AE725" w14:textId="77777777" w:rsidR="00823523" w:rsidRPr="00507A31" w:rsidRDefault="00823523" w:rsidP="00507A31">
      <w:pPr>
        <w:pStyle w:val="rteright"/>
        <w:spacing w:before="0" w:after="0"/>
        <w:jc w:val="both"/>
        <w:rPr>
          <w:color w:val="000000" w:themeColor="text1"/>
          <w:sz w:val="16"/>
          <w:szCs w:val="16"/>
        </w:rPr>
      </w:pPr>
      <w:r w:rsidRPr="00507A31">
        <w:rPr>
          <w:color w:val="000000" w:themeColor="text1"/>
          <w:sz w:val="16"/>
          <w:szCs w:val="16"/>
        </w:rPr>
        <w:t>В. Срочно</w:t>
      </w:r>
    </w:p>
    <w:p w14:paraId="20C258C0"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КОМЕНДАНТУ СУДА ДЛЯ ПЕРЕДАЧИ</w:t>
      </w:r>
    </w:p>
    <w:p w14:paraId="5AD37D37"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ПРЕДСЕДАТЕЛЮ ВЕРХ. СУДА</w:t>
      </w:r>
    </w:p>
    <w:p w14:paraId="7E777B0C"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lastRenderedPageBreak/>
        <w:t>тов. Вышинскому</w:t>
      </w:r>
    </w:p>
    <w:p w14:paraId="48B873EB"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По вызову ВЦСПС прибыло из разных мест СССР 50 рабочих-ударников крупнейших заводов. Несмотря на Ваше распоряжение, опубликованное в «Правде» о броне мест за ВЦСПС[,] делегации на суд не пропущены. МОСПС отпустил только 10 билетов. Рабочие возмущаются. Просьба распорядиться о пропуске делегаций ударников.</w:t>
      </w:r>
    </w:p>
    <w:p w14:paraId="6743E240"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СЕКРЕТАРЬ ВЦСПС</w:t>
      </w:r>
    </w:p>
    <w:p w14:paraId="324B8FF6"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ЗАВ. СЕКТ. МАССОВ. КАМП. ВЦСПС</w:t>
      </w:r>
    </w:p>
    <w:p w14:paraId="17DE9AA0" w14:textId="77777777" w:rsidR="00823523" w:rsidRPr="00507A31" w:rsidRDefault="00823523"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223. Л. 12. Машинописная копия того времени. Помета «В. Срочно» вверху справа машинописью, дата «27/ХI 30» от руки вверху слева (19025).</w:t>
      </w:r>
    </w:p>
    <w:p w14:paraId="51DE9FD3" w14:textId="77777777" w:rsidR="00823523" w:rsidRPr="00507A31" w:rsidRDefault="00823523" w:rsidP="00507A31">
      <w:pPr>
        <w:jc w:val="both"/>
        <w:rPr>
          <w:color w:val="000000" w:themeColor="text1"/>
          <w:sz w:val="16"/>
          <w:szCs w:val="16"/>
        </w:rPr>
      </w:pPr>
    </w:p>
    <w:p w14:paraId="64A6483A" w14:textId="77777777" w:rsidR="00DD7307" w:rsidRPr="00507A31" w:rsidRDefault="00DD7307"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5A2DCC75" w14:textId="77777777" w:rsidR="00DD7307" w:rsidRPr="00507A31" w:rsidRDefault="00DD7307" w:rsidP="00507A31">
      <w:pPr>
        <w:autoSpaceDE w:val="0"/>
        <w:autoSpaceDN w:val="0"/>
        <w:adjustRightInd w:val="0"/>
        <w:jc w:val="both"/>
        <w:rPr>
          <w:iCs/>
          <w:color w:val="000000" w:themeColor="text1"/>
          <w:sz w:val="16"/>
          <w:szCs w:val="16"/>
        </w:rPr>
      </w:pPr>
    </w:p>
    <w:p w14:paraId="2A099A38" w14:textId="77777777" w:rsidR="00823523" w:rsidRPr="00507A31" w:rsidRDefault="00823523" w:rsidP="00507A31">
      <w:pPr>
        <w:jc w:val="both"/>
        <w:rPr>
          <w:color w:val="000000" w:themeColor="text1"/>
          <w:sz w:val="16"/>
          <w:szCs w:val="16"/>
        </w:rPr>
      </w:pPr>
      <w:r w:rsidRPr="00507A31">
        <w:rPr>
          <w:color w:val="000000" w:themeColor="text1"/>
          <w:sz w:val="16"/>
          <w:szCs w:val="16"/>
        </w:rPr>
        <w:t>27 ноября 1930 г.</w:t>
      </w:r>
    </w:p>
    <w:p w14:paraId="4D6E1788" w14:textId="77777777" w:rsidR="00823523" w:rsidRPr="00507A31" w:rsidRDefault="00823523" w:rsidP="00507A31">
      <w:pPr>
        <w:jc w:val="both"/>
        <w:rPr>
          <w:bCs/>
          <w:color w:val="000000" w:themeColor="text1"/>
          <w:sz w:val="16"/>
          <w:szCs w:val="16"/>
        </w:rPr>
      </w:pPr>
      <w:r w:rsidRPr="00507A31">
        <w:rPr>
          <w:color w:val="000000" w:themeColor="text1"/>
          <w:sz w:val="16"/>
          <w:szCs w:val="16"/>
        </w:rPr>
        <w:t>Французская печать о процессе «Промпартии». Из иностранной информации ТАСС. 27 ноября 1930 г.</w:t>
      </w:r>
    </w:p>
    <w:p w14:paraId="1389974C" w14:textId="77777777" w:rsidR="00823523" w:rsidRPr="00507A31" w:rsidRDefault="00823523" w:rsidP="00507A31">
      <w:pPr>
        <w:jc w:val="both"/>
        <w:rPr>
          <w:bCs/>
          <w:color w:val="000000" w:themeColor="text1"/>
          <w:sz w:val="16"/>
          <w:szCs w:val="16"/>
        </w:rPr>
      </w:pPr>
      <w:r w:rsidRPr="00507A31">
        <w:rPr>
          <w:bCs/>
          <w:color w:val="000000" w:themeColor="text1"/>
          <w:sz w:val="16"/>
          <w:szCs w:val="16"/>
        </w:rPr>
        <w:t>Источник: </w:t>
      </w:r>
    </w:p>
    <w:p w14:paraId="207DFEC0" w14:textId="77777777" w:rsidR="00823523" w:rsidRPr="00507A31" w:rsidRDefault="00823523"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CA2D1CF" w14:textId="77777777" w:rsidR="00823523" w:rsidRPr="00507A31" w:rsidRDefault="00823523" w:rsidP="00507A31">
      <w:pPr>
        <w:jc w:val="both"/>
        <w:rPr>
          <w:bCs/>
          <w:color w:val="000000" w:themeColor="text1"/>
          <w:sz w:val="16"/>
          <w:szCs w:val="16"/>
        </w:rPr>
      </w:pPr>
      <w:r w:rsidRPr="00507A31">
        <w:rPr>
          <w:bCs/>
          <w:color w:val="000000" w:themeColor="text1"/>
          <w:sz w:val="16"/>
          <w:szCs w:val="16"/>
        </w:rPr>
        <w:t>Архив: </w:t>
      </w:r>
    </w:p>
    <w:p w14:paraId="2D57C5AC" w14:textId="77777777" w:rsidR="00823523" w:rsidRPr="00507A31" w:rsidRDefault="00823523" w:rsidP="00507A31">
      <w:pPr>
        <w:jc w:val="both"/>
        <w:rPr>
          <w:color w:val="000000" w:themeColor="text1"/>
          <w:sz w:val="16"/>
          <w:szCs w:val="16"/>
        </w:rPr>
      </w:pPr>
      <w:r w:rsidRPr="00507A31">
        <w:rPr>
          <w:color w:val="000000" w:themeColor="text1"/>
          <w:sz w:val="16"/>
          <w:szCs w:val="16"/>
        </w:rPr>
        <w:t>АВП РФ. Ф. 0136. On. 14. П. 140. Д. 593. Л. 106-107, 110-111</w:t>
      </w:r>
    </w:p>
    <w:p w14:paraId="1B47184D" w14:textId="77777777" w:rsidR="00823523" w:rsidRPr="00507A31" w:rsidRDefault="00823523" w:rsidP="00507A31">
      <w:pPr>
        <w:pStyle w:val="rteright"/>
        <w:spacing w:before="0" w:after="0"/>
        <w:jc w:val="both"/>
        <w:rPr>
          <w:color w:val="000000" w:themeColor="text1"/>
          <w:sz w:val="16"/>
          <w:szCs w:val="16"/>
        </w:rPr>
      </w:pPr>
      <w:r w:rsidRPr="00507A31">
        <w:rPr>
          <w:color w:val="000000" w:themeColor="text1"/>
          <w:sz w:val="16"/>
          <w:szCs w:val="16"/>
        </w:rPr>
        <w:t>27 ноября 1930 г.</w:t>
      </w:r>
    </w:p>
    <w:p w14:paraId="117BFA06" w14:textId="77777777" w:rsidR="00823523" w:rsidRPr="00507A31" w:rsidRDefault="00823523" w:rsidP="00507A31">
      <w:pPr>
        <w:pStyle w:val="ae"/>
        <w:spacing w:before="0" w:after="0"/>
        <w:jc w:val="both"/>
        <w:rPr>
          <w:color w:val="000000" w:themeColor="text1"/>
          <w:sz w:val="16"/>
          <w:szCs w:val="16"/>
        </w:rPr>
      </w:pPr>
      <w:r w:rsidRPr="00507A31">
        <w:rPr>
          <w:color w:val="000000" w:themeColor="text1"/>
          <w:sz w:val="16"/>
          <w:szCs w:val="16"/>
        </w:rPr>
        <w:t>ФРАНЦУЗСКАЯ ПЕЧАТЬ О ПРОЦЕССЕ</w:t>
      </w:r>
    </w:p>
    <w:p w14:paraId="5C33668F"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ЯГ 916-915, 914. ПАРИЖ, 27/XI. (Тасс). — Почти все газеты публикуют сжатые сообщения о процессе промпартии, уделяя внимание показаниям Рамзина о содержании его переговоров с Денисовым и другими. На это тратится в пределах 30 до 70 строк. Более обстоятельно сообщает о процессе «Эко де Пари». «Юманите» помещает полностью материалы, передаваемые ТАСС, публикуя также корреспонденции т. Кашена. «Попюлер» (орган социалистов), «Пепль» и «Репюблик» не публикуют сведений о процессе. Одновременно газеты публикуют опровержение агентства Гаваса, в котором Пуанкаре и Бриан заявляют, что утверждения Рамзина, касающиеся их[,] «лишены» всякого основания. (Как известно, Гавас сопроводил этим опровержением сообщение ТАСС о показаниях Рамзина).</w:t>
      </w:r>
    </w:p>
    <w:p w14:paraId="3AF2667F"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(Продолжение следует).</w:t>
      </w:r>
    </w:p>
    <w:p w14:paraId="0052FB38"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ТАСС</w:t>
      </w:r>
    </w:p>
    <w:p w14:paraId="0A7C4819"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ИНОСТРАННАЯ ИНФОРМАЦИЯ ТАСС, 27/XI-30 г.</w:t>
      </w:r>
    </w:p>
    <w:p w14:paraId="5CE695C3" w14:textId="77777777" w:rsidR="00823523" w:rsidRPr="00507A31" w:rsidRDefault="00823523" w:rsidP="00507A31">
      <w:pPr>
        <w:pStyle w:val="rtecenter"/>
        <w:spacing w:before="0" w:after="0"/>
        <w:jc w:val="both"/>
        <w:rPr>
          <w:color w:val="000000" w:themeColor="text1"/>
          <w:sz w:val="16"/>
          <w:szCs w:val="16"/>
        </w:rPr>
      </w:pPr>
      <w:r w:rsidRPr="00507A31">
        <w:rPr>
          <w:color w:val="000000" w:themeColor="text1"/>
          <w:sz w:val="16"/>
          <w:szCs w:val="16"/>
        </w:rPr>
        <w:t>Дневной выпуск № 15</w:t>
      </w:r>
    </w:p>
    <w:p w14:paraId="150C484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33. ФРАНЦУЗСКИЙ ПРОЛЕТАРИАТ О ПРОЦЕССЕ ПРОМПАРТИИ</w:t>
      </w:r>
    </w:p>
    <w:p w14:paraId="133D8C4F"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СЛ. 914. ПАРИЖ, 27/XI (ТАСС). Французское общество друзей СССР публикует в «Юманите» воззвание, в котором указывает, что обвинительное заключение по делу «промпартии» с полной очевидностью подтверждает факт широкой подготовки интервенции против Советского Союза. Воззвание заявляет, что этот обширный заговор «требует немедленных энергичных действий со стороны друзей СССР во всех капиталистических странах и особенно во Франции, этом подлинном центре заговора. Французское общество друзей СССР организует широкую кампанию для разоблачения военных планов империалистов, для мобилизации рабочих против интервентов — на защиту Советского Союза». Напоминая далее о происходящей в Советском Союзе декаде обороны, воззвание указывает, что «декада защиты Советского Союза во всех капиталистических странах послужила бы прекрасным выражением солидарности мирового пролетариата с первым в мире пролетарским государством».</w:t>
      </w:r>
    </w:p>
    <w:p w14:paraId="3B3C753C"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Парижский комитет общества друзей СССР организует в ближайшую субботу 29-го ноября массовое собрание, посвященное процессу «промпартии».</w:t>
      </w:r>
    </w:p>
    <w:p w14:paraId="196A6407"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Парижский областной комитет комитетов защиты «Юманите» печатает в «Юманите» воззвание ко всем провинциальным комитетам, в котором заявляет: «Московский процесс вредителей вызвал взрыв ярости во всех капиталистах, которые, хотя и готовят войну против СССР, все же чувствуют свое полное бессилие задержать осуществление пятилетки. Вся буржуазная печать наполнена озлобленными выпадами против СССР. Однако первое место в антисоветской кампании принадлежит социалистической прессе. “Юманите” — единственная газета, говорящая правду о процессе и о СССР. Необходимо, чтобы статьи т. Кашена о процессе стали известны широчайшим рабочим массам. Вот почему следует напрячь все усилия к тому, чтобы увеличить распространение “Юманите”.</w:t>
      </w:r>
    </w:p>
    <w:p w14:paraId="218C233B"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 этой целью комитет объявляет кампанию по усилению распространения “Юманите” и дает следующие практические указания своим членам: за время кампании каждый член комитетов защиты “Юманите” должен покупать два номера газеты с тем, чтобы передавать один из них на прочтение рабочим; одновременно комитеты должны организовать самое широкое платное распространение “Юманите”, в частности,</w:t>
      </w:r>
    </w:p>
    <w:p w14:paraId="18305B3D"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w:t>
      </w:r>
    </w:p>
    <w:p w14:paraId="1228ED9B"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33. ФРАНЦУЗСКИЕ СОЦИАЛ-ФАШИСТЫ ЗАМАЛЧИВАЮТ ПРОЦЕСС «ПРОМПАРТИИ»</w:t>
      </w:r>
    </w:p>
    <w:p w14:paraId="473020DC"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АН. 916. ПАРИЖ, 27/XI (ТАСС). — В то время как коммунистическая «Юманите» публикует наряду с телеграммами о ходе процесса контрреволюционной «Промпартии» и подробные корреспонденции т. Кашэна, социал-фашистские органы «Попюлэр» и «Пепль» пытаются замалчивать процессы. Эти газеты, так же как и орган радикалов «Репюблик» совершенно не печатают сообщений о процессе.</w:t>
      </w:r>
    </w:p>
    <w:p w14:paraId="1C6971B0"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41. ВОЗЗВАНИЕ ФРАНЦУЗСКОГО МОПРа</w:t>
      </w:r>
    </w:p>
    <w:p w14:paraId="143B37A5" w14:textId="77777777" w:rsidR="00823523" w:rsidRPr="00507A31" w:rsidRDefault="00823523" w:rsidP="00507A31">
      <w:pPr>
        <w:pStyle w:val="rtejustify"/>
        <w:spacing w:before="0" w:after="0"/>
        <w:rPr>
          <w:color w:val="000000" w:themeColor="text1"/>
          <w:sz w:val="16"/>
          <w:szCs w:val="16"/>
        </w:rPr>
      </w:pPr>
      <w:r w:rsidRPr="00507A31">
        <w:rPr>
          <w:color w:val="000000" w:themeColor="text1"/>
          <w:sz w:val="16"/>
          <w:szCs w:val="16"/>
        </w:rPr>
        <w:t>СЛ. 915. ПАРИЖ, 27/XI. (ТАСС). — В связи с бешеной травлей Советского Союза французский МОПР опубликовал в«Юманите» воззвание, в котором заявляет: «Перед лицом кампании оскорблений и клеветы капиталистической прессы против Советского Союза парижский комитет МОПРа призывает свои местные комитеты и секции на местах и на предприятиях дать немедленный ответ на бесчестный заговор, направленный против первого в мире пролетарского государства. Наш МОПР, созданный борцами-большевиками, освобожденными с царской каторги, заявляет о своей полной солидарности с октябрьской революцией и всецело одобряет те меры, которыми революция защищает свои победы. Учитывая, что клевета против Советского Союза, распространяемая капиталистами и их печатью, должна служить оправданием репрессий против рабочего класса и подготовки новой империалистической войны, все члены МОПРа обязаны вести энергичнейшую разъяснительную кампанию на рабочих собраниях и обязаны призывать рабочих к созданию единого фронта перед лицом антисоветского наступления. Мы должны разрушить планы империалистов, стремящихся уничтожить СССР».</w:t>
      </w:r>
    </w:p>
    <w:p w14:paraId="29897C35" w14:textId="77777777" w:rsidR="00823523" w:rsidRPr="00507A31" w:rsidRDefault="00823523"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On. 14. П. 140. Д. 593. Л. 106-107, 110-111. Машинописный экземпляр того времени, размноженный на ротаторе (вырезки из 4Бюллетеней» и обзоров иностранной информации ТАСС). На Л. 106 рукописная помета внизу «И. А.», в подстрочнике — данные о размножении документа («1 воск. 2 подвоск. 137 ротаторск.»). На Л. 107 вверху справа рукописная помета «А. Н.». На Л. 111 после текста напечатано «Конец» (18970).</w:t>
      </w:r>
    </w:p>
    <w:p w14:paraId="1A6ECC88" w14:textId="77777777" w:rsidR="00823523" w:rsidRPr="00507A31" w:rsidRDefault="00823523" w:rsidP="00507A31">
      <w:pPr>
        <w:jc w:val="both"/>
        <w:rPr>
          <w:color w:val="000000" w:themeColor="text1"/>
          <w:sz w:val="16"/>
          <w:szCs w:val="16"/>
        </w:rPr>
      </w:pPr>
    </w:p>
    <w:p w14:paraId="27A937A1" w14:textId="77777777" w:rsidR="001C102F" w:rsidRPr="00507A31" w:rsidRDefault="001C102F" w:rsidP="00507A31">
      <w:pPr>
        <w:jc w:val="both"/>
        <w:rPr>
          <w:bCs/>
          <w:color w:val="000000" w:themeColor="text1"/>
          <w:sz w:val="16"/>
          <w:szCs w:val="16"/>
        </w:rPr>
      </w:pPr>
      <w:r w:rsidRPr="00507A31">
        <w:rPr>
          <w:color w:val="000000" w:themeColor="text1"/>
          <w:sz w:val="16"/>
          <w:szCs w:val="16"/>
        </w:rPr>
        <w:t>27-28 ноября 1930 г.</w:t>
      </w:r>
    </w:p>
    <w:p w14:paraId="21C7D423" w14:textId="77777777" w:rsidR="001C102F" w:rsidRPr="00507A31" w:rsidRDefault="001C102F" w:rsidP="00507A31">
      <w:pPr>
        <w:jc w:val="both"/>
        <w:rPr>
          <w:bCs/>
          <w:color w:val="000000" w:themeColor="text1"/>
          <w:sz w:val="16"/>
          <w:szCs w:val="16"/>
        </w:rPr>
      </w:pPr>
      <w:r w:rsidRPr="00507A31">
        <w:rPr>
          <w:color w:val="000000" w:themeColor="text1"/>
          <w:sz w:val="16"/>
          <w:szCs w:val="16"/>
        </w:rPr>
        <w:t>Немецкая и французская пресса об обвинительном заключении по «делу “Промпартии”». Из «Бюллетеня» и «Иностранной информации» ТАСС. 27-28 ноября 1930 г.</w:t>
      </w:r>
    </w:p>
    <w:p w14:paraId="0A22027C" w14:textId="77777777" w:rsidR="001C102F" w:rsidRPr="00507A31" w:rsidRDefault="001C102F" w:rsidP="00507A31">
      <w:pPr>
        <w:jc w:val="both"/>
        <w:rPr>
          <w:bCs/>
          <w:color w:val="000000" w:themeColor="text1"/>
          <w:sz w:val="16"/>
          <w:szCs w:val="16"/>
        </w:rPr>
      </w:pPr>
      <w:r w:rsidRPr="00507A31">
        <w:rPr>
          <w:bCs/>
          <w:color w:val="000000" w:themeColor="text1"/>
          <w:sz w:val="16"/>
          <w:szCs w:val="16"/>
        </w:rPr>
        <w:t>Источник: </w:t>
      </w:r>
    </w:p>
    <w:p w14:paraId="55C5F243" w14:textId="77777777" w:rsidR="001C102F" w:rsidRPr="00507A31" w:rsidRDefault="001C10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EBDC6B" w14:textId="77777777" w:rsidR="001C102F" w:rsidRPr="00507A31" w:rsidRDefault="001C102F" w:rsidP="00507A31">
      <w:pPr>
        <w:jc w:val="both"/>
        <w:rPr>
          <w:bCs/>
          <w:color w:val="000000" w:themeColor="text1"/>
          <w:sz w:val="16"/>
          <w:szCs w:val="16"/>
        </w:rPr>
      </w:pPr>
      <w:r w:rsidRPr="00507A31">
        <w:rPr>
          <w:bCs/>
          <w:color w:val="000000" w:themeColor="text1"/>
          <w:sz w:val="16"/>
          <w:szCs w:val="16"/>
        </w:rPr>
        <w:t>Архив: </w:t>
      </w:r>
    </w:p>
    <w:p w14:paraId="6473B3CF" w14:textId="77777777" w:rsidR="001C102F" w:rsidRPr="00507A31" w:rsidRDefault="001C102F" w:rsidP="00507A31">
      <w:pPr>
        <w:jc w:val="both"/>
        <w:rPr>
          <w:color w:val="000000" w:themeColor="text1"/>
          <w:sz w:val="16"/>
          <w:szCs w:val="16"/>
        </w:rPr>
      </w:pPr>
      <w:r w:rsidRPr="00507A31">
        <w:rPr>
          <w:color w:val="000000" w:themeColor="text1"/>
          <w:sz w:val="16"/>
          <w:szCs w:val="16"/>
        </w:rPr>
        <w:t>АВП РФ. Ф. 0136. Oп. 14. П. 140. Д. 593. Л. 112-115</w:t>
      </w:r>
    </w:p>
    <w:p w14:paraId="45C5FC38" w14:textId="77777777" w:rsidR="001C102F" w:rsidRPr="00507A31" w:rsidRDefault="001C102F" w:rsidP="00507A31">
      <w:pPr>
        <w:pStyle w:val="rteright"/>
        <w:spacing w:before="0" w:after="0"/>
        <w:jc w:val="both"/>
        <w:rPr>
          <w:color w:val="000000" w:themeColor="text1"/>
          <w:sz w:val="16"/>
          <w:szCs w:val="16"/>
        </w:rPr>
      </w:pPr>
      <w:r w:rsidRPr="00507A31">
        <w:rPr>
          <w:color w:val="000000" w:themeColor="text1"/>
          <w:sz w:val="16"/>
          <w:szCs w:val="16"/>
        </w:rPr>
        <w:t>27-28 ноября 1930 г.</w:t>
      </w:r>
    </w:p>
    <w:p w14:paraId="5769B906"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315</w:t>
      </w:r>
    </w:p>
    <w:p w14:paraId="0DEBFC5D"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28/XI-30 г.</w:t>
      </w:r>
    </w:p>
    <w:p w14:paraId="313D45D1"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Лист № 1-ый</w:t>
      </w:r>
    </w:p>
    <w:p w14:paraId="16AC2816"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ОТКЛИКИ НА ПРОЦЕСС «ПРОМПАРТИИ»</w:t>
      </w:r>
    </w:p>
    <w:p w14:paraId="658AA091"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ЯГ. 914. Париж, 27/XI. (Тасс). — Выходящий в Страсбурге немецкий орган католиков «Эльзесер», анализируя обвинительное заключение по делу «Промпартии», заявляет, что «политические планы мировой интервенции против СССР в частности сведения о роли Польши и Румынии более чем невероятны, но, конечно, возможно, что у русских эмигрантов в Париже эти проекты существуют». «Также возможно, — пишет газета, —  что они через бывших русских военных оказывали известное влияние на офицерские круги».</w:t>
      </w:r>
    </w:p>
    <w:p w14:paraId="123ECCF2"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ТОВ. КАШЕН О ПРОЦЕССЕ «ПРОМПАРТИИ»</w:t>
      </w:r>
    </w:p>
    <w:p w14:paraId="0E491378"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 xml:space="preserve">МП. 923. ПАРИЖ, 28/XI. (Тасс). — «Юманите» печатает подробный отчет тов. Кашена о процессе «Промпартии». «Все, кто присутствовал в последние дни на грандиозных демонстрациях трудящихся СССР против вредителей и интервентов, мог[ли] убедиться в беспредельной привязанности советского пролетариата к его власти. Позорные статьи буржуазных газет не опровергнут огромный, неоспоримый факт единства советских рабочих перед лицом непосредственной угрозы нашествия империалистов. Рабочие Франции и всей Европы, читая отчет о московском процессе, ответят на планы интервентов мобилизацией на защиту Советского </w:t>
      </w:r>
      <w:r w:rsidRPr="00507A31">
        <w:rPr>
          <w:color w:val="000000" w:themeColor="text1"/>
          <w:sz w:val="16"/>
          <w:szCs w:val="16"/>
        </w:rPr>
        <w:lastRenderedPageBreak/>
        <w:t>Союза. Разоблаченные на процессе факты имеют неподдающееся учету значение. Речь идет не о пророчествах или теоретических выводах о неизбежности интервенции и войны. Вскрытые процессом факты откроют глаза всему пролетариату на то, как преступно готовят империалисты уничтожение русской революции. Интервенция против Советского Союза была бы преддверием к новой мировой войне. Французский пролетариат должен быть в авангарде защиты русской революции и всеобщего мира».</w:t>
      </w:r>
    </w:p>
    <w:p w14:paraId="247C94DF"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ТАСС</w:t>
      </w:r>
    </w:p>
    <w:p w14:paraId="5A680447"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ИНОСТРАННАЯ ИНФОРМАЦИЯ ТАСС, 28/XI-30 г.</w:t>
      </w:r>
    </w:p>
    <w:p w14:paraId="63790CC1"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ПОСЛЕДНИЕ ИЗВЕСТИЯ</w:t>
      </w:r>
    </w:p>
    <w:p w14:paraId="35EB36B5"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Лист № 3</w:t>
      </w:r>
    </w:p>
    <w:p w14:paraId="1B9E9B7E"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ФРАНЦУЗСКИЕ РАБОЧИЕ ПРОТИВ ВРЕДИТЕЛЕЙ</w:t>
      </w:r>
    </w:p>
    <w:p w14:paraId="2EBFED2B"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СЛ. 922. ПАРИЖ, 28/XI (Тасс). — По сообщению «Юманите», в парижском пригороде Сан-Дени состоялось рабочее собрание с участием свыше 2.500 чел. для заслушания доклада о деятельности местного коммунистического муниципалитета. На собрании с речью о положении в Советском Союзе и о процессе «промпартии» выступил тов. Фрашон. Напомнив о французской интервенции 1919 года в Черном море, Фрашон заявил: «Процесс “промышленной партии” с полной ясностью доказывает, что французская буржуазия втайне продолжает преследовать свои прежние цели. Нашим большевистским товарищам удалось полностью разоблачить эти цели. Русские рабочие готовы к обороне. Вредители понесут должное наказание. Мы, французские рабочие, должны быть бдительными и должны твердо стоять на страже Советского Союза».</w:t>
      </w:r>
    </w:p>
    <w:p w14:paraId="13FA4D89"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Собрание приняло резолюцию, в которой беспощадно клеймит контрреволюционных вредителей и их союзников. Одновременно собрание приняло резолюцию протеста против казни индокитайских революционеров.</w:t>
      </w:r>
    </w:p>
    <w:p w14:paraId="047D3C1E"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В тот же день социал-фашисты организовали собрание в другом парижском пригороде, Витри. После выступлений представителей коммунистической партии, проникших на собрание, присутствовавшие на нем 400 рабочих приняли резолюцию, в которой заявляют: «Выслушав ораторов социалистов и республиканцев, прикрывающих своею лже-пацифистской демагогией подготовку войны и, в первую очередь, подготовку интервенции против Советского Союза, берущих под свою защиту контрреволюционных саботажников, мы, рабочие Витри, полностью солидаризуемся с коммунистической партией и русской революцией. Клеймим презрением социал-демократию — этот последний оплот капитализма. Требует безжалостной кары для тех, кто стремится удушить русский народ в тисках голода. Обещаем последовать примеру товарища Марти и черноморских моряков, если капиталисты с помощью социал-фашистов захотят сокрушить единственное подлинное отечество рабочего класса всего мира».</w:t>
      </w:r>
    </w:p>
    <w:p w14:paraId="5377F8FA"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(продолжение следует)</w:t>
      </w:r>
    </w:p>
    <w:p w14:paraId="3C9783DC"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Т А С С</w:t>
      </w:r>
    </w:p>
    <w:p w14:paraId="1BAA5E20"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ИНОСТРАННАЯ ИНФОРМАЦИЯ ТАСС, 28/XI-30 г.</w:t>
      </w:r>
    </w:p>
    <w:p w14:paraId="71E9A4E0"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ПОСЛЕДНИЕ ИЗВЕСТИЯ</w:t>
      </w:r>
    </w:p>
    <w:p w14:paraId="2B670882"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Лист № 4</w:t>
      </w:r>
    </w:p>
    <w:p w14:paraId="2ABE22B1"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(Продолжение)</w:t>
      </w:r>
    </w:p>
    <w:p w14:paraId="5B45B45E"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Вчера в парижском пригороде Иврина многолюдном рабочем собрании с докладом о положении в Советском Союзе выступил секретарь французской коммунистической партии тов. Торез. На вопрос Тореза: «Пролетарскому суду предстоит вынести суровый приговор тем, кто намеревался сорвать социалистическое строительство в Советском Союзе. Находитесь ли вы с теми, кто защищает завоевания революции?» — собрание ответило решительным: «Да!»</w:t>
      </w:r>
    </w:p>
    <w:p w14:paraId="1C2572B6"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Как сообщает «Юманите», французская коммунистическая партия в течение ближайших десяти дней устраивает в Париже и в провинциальных рабочих центрах двенадцать массовых митингов, посвященных защите Советского Союза, разъяснению политического значения процесса «промпартии» и десятилетию французской компартии.</w:t>
      </w:r>
    </w:p>
    <w:p w14:paraId="63AE6D8E" w14:textId="77777777" w:rsidR="001C102F" w:rsidRPr="00507A31" w:rsidRDefault="001C102F"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112-115. Машинописный экземпляр того времени, размноженный на ротаторе (вырезки из «Бюллетеня» и обзоров иностранной информации ТАСС). Л. 112 — вырезка из «Бюллетеня не для печати № 315» с шапкой «НЕ ПОДЛЕЖИТ ОГЛАШЕНИЮ». На Л. 113-155 — рукописные пометы «А. Н.». В подстрочнике на Л. 113-115 — делопроизводственные пометы о времени получения информации (18971).</w:t>
      </w:r>
    </w:p>
    <w:p w14:paraId="35ADDEB1" w14:textId="77777777" w:rsidR="001C102F" w:rsidRPr="00507A31" w:rsidRDefault="001C102F" w:rsidP="00507A31">
      <w:pPr>
        <w:jc w:val="both"/>
        <w:rPr>
          <w:color w:val="000000" w:themeColor="text1"/>
          <w:sz w:val="16"/>
          <w:szCs w:val="16"/>
        </w:rPr>
      </w:pPr>
    </w:p>
    <w:p w14:paraId="6A44FAAC" w14:textId="77777777" w:rsidR="001C102F" w:rsidRPr="00507A31" w:rsidRDefault="001C102F" w:rsidP="00507A31">
      <w:pPr>
        <w:jc w:val="both"/>
        <w:rPr>
          <w:bCs/>
          <w:color w:val="000000" w:themeColor="text1"/>
          <w:sz w:val="16"/>
          <w:szCs w:val="16"/>
        </w:rPr>
      </w:pPr>
      <w:r w:rsidRPr="00507A31">
        <w:rPr>
          <w:color w:val="000000" w:themeColor="text1"/>
          <w:sz w:val="16"/>
          <w:szCs w:val="16"/>
        </w:rPr>
        <w:t>27 ноября 1930 г.</w:t>
      </w:r>
    </w:p>
    <w:p w14:paraId="73519889" w14:textId="77777777" w:rsidR="001C102F" w:rsidRPr="00507A31" w:rsidRDefault="001C102F" w:rsidP="00507A31">
      <w:pPr>
        <w:jc w:val="both"/>
        <w:rPr>
          <w:bCs/>
          <w:color w:val="000000" w:themeColor="text1"/>
          <w:sz w:val="16"/>
          <w:szCs w:val="16"/>
        </w:rPr>
      </w:pPr>
      <w:r w:rsidRPr="00507A31">
        <w:rPr>
          <w:color w:val="000000" w:themeColor="text1"/>
          <w:sz w:val="16"/>
          <w:szCs w:val="16"/>
        </w:rPr>
        <w:t>Письмо Д. Г. Штерна в отдел печати НКИД СССР с анализом направлений «антисоветской кампании» в германской прессе. 27 ноября 1930 г.</w:t>
      </w:r>
    </w:p>
    <w:p w14:paraId="1C55A9DF" w14:textId="77777777" w:rsidR="001C102F" w:rsidRPr="00507A31" w:rsidRDefault="001C102F" w:rsidP="00507A31">
      <w:pPr>
        <w:jc w:val="both"/>
        <w:rPr>
          <w:bCs/>
          <w:color w:val="000000" w:themeColor="text1"/>
          <w:sz w:val="16"/>
          <w:szCs w:val="16"/>
        </w:rPr>
      </w:pPr>
      <w:r w:rsidRPr="00507A31">
        <w:rPr>
          <w:bCs/>
          <w:color w:val="000000" w:themeColor="text1"/>
          <w:sz w:val="16"/>
          <w:szCs w:val="16"/>
        </w:rPr>
        <w:t>Источник: </w:t>
      </w:r>
    </w:p>
    <w:p w14:paraId="1D628B48" w14:textId="77777777" w:rsidR="001C102F" w:rsidRPr="00507A31" w:rsidRDefault="001C10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88616A1" w14:textId="77777777" w:rsidR="001C102F" w:rsidRPr="00507A31" w:rsidRDefault="001C102F" w:rsidP="00507A31">
      <w:pPr>
        <w:jc w:val="both"/>
        <w:rPr>
          <w:bCs/>
          <w:color w:val="000000" w:themeColor="text1"/>
          <w:sz w:val="16"/>
          <w:szCs w:val="16"/>
        </w:rPr>
      </w:pPr>
      <w:r w:rsidRPr="00507A31">
        <w:rPr>
          <w:bCs/>
          <w:color w:val="000000" w:themeColor="text1"/>
          <w:sz w:val="16"/>
          <w:szCs w:val="16"/>
        </w:rPr>
        <w:t>Архив: </w:t>
      </w:r>
    </w:p>
    <w:p w14:paraId="7B1F17A5" w14:textId="77777777" w:rsidR="001C102F" w:rsidRPr="00507A31" w:rsidRDefault="001C102F" w:rsidP="00507A31">
      <w:pPr>
        <w:jc w:val="both"/>
        <w:rPr>
          <w:color w:val="000000" w:themeColor="text1"/>
          <w:sz w:val="16"/>
          <w:szCs w:val="16"/>
        </w:rPr>
      </w:pPr>
      <w:r w:rsidRPr="00507A31">
        <w:rPr>
          <w:color w:val="000000" w:themeColor="text1"/>
          <w:sz w:val="16"/>
          <w:szCs w:val="16"/>
        </w:rPr>
        <w:t>АВП РФ. Ф. 056. On. 15. П. 31. Д. 9. Л. 75-75 об.</w:t>
      </w:r>
    </w:p>
    <w:p w14:paraId="72DB0A20" w14:textId="77777777" w:rsidR="001C102F" w:rsidRPr="00507A31" w:rsidRDefault="001C102F" w:rsidP="00507A31">
      <w:pPr>
        <w:pStyle w:val="rteright"/>
        <w:spacing w:before="0" w:after="0"/>
        <w:jc w:val="both"/>
        <w:rPr>
          <w:color w:val="000000" w:themeColor="text1"/>
          <w:sz w:val="16"/>
          <w:szCs w:val="16"/>
        </w:rPr>
      </w:pPr>
      <w:r w:rsidRPr="00507A31">
        <w:rPr>
          <w:color w:val="000000" w:themeColor="text1"/>
          <w:sz w:val="16"/>
          <w:szCs w:val="16"/>
        </w:rPr>
        <w:t>27 ноября 1930 г.</w:t>
      </w:r>
    </w:p>
    <w:p w14:paraId="5820711F" w14:textId="77777777" w:rsidR="001C102F" w:rsidRPr="00507A31" w:rsidRDefault="001C102F"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6FA0AA12"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т. Залкинду, копия т. Крестинскому</w:t>
      </w:r>
    </w:p>
    <w:p w14:paraId="01A95F64"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59BD33B4"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В настоящий момент представляется возможным подвести итоги кампании вокруг легенды о «событиях» в СССР. В этом отношении особого внимания заслуживают следующие моменты:</w:t>
      </w:r>
    </w:p>
    <w:p w14:paraId="4A7558F5"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1.   В качестве исходных точек для кампании были использованы с одной стороны [-] перерыв телефонного сообщения, с другой [-] процесс промышленной партии.</w:t>
      </w:r>
    </w:p>
    <w:p w14:paraId="12E288C5"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2.   Основными источниками травли явились в первую очередь эми</w:t>
      </w:r>
    </w:p>
    <w:p w14:paraId="17A5B846"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гранты-меньшевики и каналы польской газетной информации. Первые сообщения в Германии об аресте Блюхера, восстании и пр. были пущены т. н. «русским с. д. бюллетенем». Эти материалы были широко использованы по линии «Социал-демократише Прессединст». Польские измышления пускались либо непосредственно из Варшавы, либо через Ригу. Редакции берлинских газет буквально наводнялись «информацией» из нескольких источников.</w:t>
      </w:r>
    </w:p>
    <w:p w14:paraId="4B9B0C94"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3.   Германская пресса в общем предоставила свои столбцы организаторам очередной травли. Наиболее далеко пошел в этом отношении ДАЦ, в последнее время превратившийся в один из самых враждебных нам органов в Германии. Между этой газетой и Союзом защиты западной культуры имеется несомненная связь. Относительно прилично вела себя «Дейтше Тагес цейтунг». Улльштейновская пресса распределила роли: в то время как «Фоссише Цейтунг» проявляла сдержанность, [«]Темпо[»] и отчасти Б. Ц. пускали [в печать] все версии. «Берлинер тагеблатт» сначала усиленно перепечатывал сообщения «Соц. Вестника»[,] потом же занял более приличную позицию, очевидно избегая бламажа</w:t>
      </w:r>
      <w:r w:rsidRPr="00507A31">
        <w:rPr>
          <w:color w:val="000000" w:themeColor="text1"/>
          <w:sz w:val="16"/>
          <w:szCs w:val="16"/>
          <w:vertAlign w:val="superscript"/>
        </w:rPr>
        <w:t>г</w:t>
      </w:r>
      <w:r w:rsidRPr="00507A31">
        <w:rPr>
          <w:color w:val="000000" w:themeColor="text1"/>
          <w:sz w:val="16"/>
          <w:szCs w:val="16"/>
        </w:rPr>
        <w:t>. Гугенберговская пресса занимала двойственную позицию.</w:t>
      </w:r>
    </w:p>
    <w:p w14:paraId="163E579E"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4.   Следует констатировать, что многие даже серьезные журналисты были убеждены, что в СССР «что[-]то происходит». Вообще характерно, что никогда за последние годы германская пресса не помещала столько невероятного вздора об СССР, сколько за эти дни. Несмотря на все опровержения, слухи не прекращались. Не совсем понятно почему корреспонденты в Москве не информировали свои газеты по телеграфу. Даже в промышленных кругах распространявшиеся прессой слухи встречали в известной степени доверие. Так Унгерн-Штернберг рассказывал, что в разгар травли видный деятель АЕГ ему заявил: «советское правительство падает, хорошо что мы не давали новых кредитов».</w:t>
      </w:r>
    </w:p>
    <w:p w14:paraId="70B417AC"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5.  Следует считать, что проведенная против нас кампания, несомненно прекрасно организованная, нанесла нам не малый вред. В массе, особенно обывательской осталось впечатление, что в [Советском] Союзе назревают какие-то события, что кое-что произошло. Такие контршаги, как предоставление тов. Сталиным интервью Лайонсу, являются несомненно очень действенным оружием.</w:t>
      </w:r>
    </w:p>
    <w:p w14:paraId="47FD0211"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Пересылаю с тяжелой почтой коллекцию вырезок в связи с отмеченной кампанией.</w:t>
      </w:r>
    </w:p>
    <w:p w14:paraId="50452542" w14:textId="77777777" w:rsidR="001C102F" w:rsidRPr="00507A31" w:rsidRDefault="001C102F" w:rsidP="00507A31">
      <w:pPr>
        <w:pStyle w:val="rtejustify"/>
        <w:spacing w:before="0" w:after="0"/>
        <w:rPr>
          <w:color w:val="000000" w:themeColor="text1"/>
          <w:sz w:val="16"/>
          <w:szCs w:val="16"/>
        </w:rPr>
      </w:pPr>
      <w:r w:rsidRPr="00507A31">
        <w:rPr>
          <w:color w:val="000000" w:themeColor="text1"/>
          <w:sz w:val="16"/>
          <w:szCs w:val="16"/>
        </w:rPr>
        <w:t>С тов. приветом</w:t>
      </w:r>
    </w:p>
    <w:p w14:paraId="07B34213" w14:textId="77777777" w:rsidR="001C102F" w:rsidRPr="00507A31" w:rsidRDefault="001C102F" w:rsidP="00507A31">
      <w:pPr>
        <w:pStyle w:val="ae"/>
        <w:spacing w:before="0" w:after="0"/>
        <w:jc w:val="both"/>
        <w:rPr>
          <w:color w:val="000000" w:themeColor="text1"/>
          <w:sz w:val="16"/>
          <w:szCs w:val="16"/>
        </w:rPr>
      </w:pPr>
      <w:r w:rsidRPr="00507A31">
        <w:rPr>
          <w:color w:val="000000" w:themeColor="text1"/>
          <w:sz w:val="16"/>
          <w:szCs w:val="16"/>
        </w:rPr>
        <w:t>Д. Штерн</w:t>
      </w:r>
    </w:p>
    <w:p w14:paraId="02FA985D" w14:textId="77777777" w:rsidR="001C102F" w:rsidRPr="00507A31" w:rsidRDefault="001C102F"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31. Д. 9. Л. 75-75 об. Машинописный подлинник на бланке Полпредства СССР в Германии, подпись — автограф. Гриф секретности и дата машинописью, исходящий номер «№ 1443» от руки в графе бланка. На Л. 75 вверху слева написаны от руки входящий номер и дата получения документа «1/ХII-30 г.» (18845).</w:t>
      </w:r>
    </w:p>
    <w:p w14:paraId="62B3E9DF" w14:textId="6F23FD71" w:rsidR="001C102F" w:rsidRPr="00507A31" w:rsidRDefault="001C102F" w:rsidP="00507A31">
      <w:pPr>
        <w:jc w:val="both"/>
        <w:rPr>
          <w:color w:val="000000" w:themeColor="text1"/>
          <w:sz w:val="16"/>
          <w:szCs w:val="16"/>
        </w:rPr>
      </w:pPr>
    </w:p>
    <w:p w14:paraId="52BED28F" w14:textId="34070A90" w:rsidR="007D3B68" w:rsidRPr="00507A31" w:rsidRDefault="007D3B68" w:rsidP="00507A31">
      <w:pPr>
        <w:jc w:val="both"/>
        <w:rPr>
          <w:i/>
          <w:iCs/>
          <w:color w:val="000000" w:themeColor="text1"/>
          <w:sz w:val="16"/>
          <w:szCs w:val="16"/>
        </w:rPr>
      </w:pPr>
      <w:r w:rsidRPr="00507A31">
        <w:rPr>
          <w:i/>
          <w:iCs/>
          <w:color w:val="000000" w:themeColor="text1"/>
          <w:sz w:val="16"/>
          <w:szCs w:val="16"/>
        </w:rPr>
        <w:t>За рубежом:</w:t>
      </w:r>
    </w:p>
    <w:p w14:paraId="13EEC518" w14:textId="77777777" w:rsidR="007D3B68" w:rsidRPr="00507A31" w:rsidRDefault="007D3B68" w:rsidP="00507A31">
      <w:pPr>
        <w:jc w:val="both"/>
        <w:rPr>
          <w:i/>
          <w:iCs/>
          <w:color w:val="000000" w:themeColor="text1"/>
          <w:sz w:val="16"/>
          <w:szCs w:val="16"/>
        </w:rPr>
      </w:pPr>
    </w:p>
    <w:p w14:paraId="3B5C4F68" w14:textId="77777777" w:rsidR="007D3B68" w:rsidRPr="00507A31" w:rsidRDefault="007D3B68" w:rsidP="00507A31">
      <w:pPr>
        <w:jc w:val="both"/>
        <w:rPr>
          <w:color w:val="0070C0"/>
          <w:sz w:val="16"/>
          <w:szCs w:val="16"/>
        </w:rPr>
      </w:pPr>
      <w:r w:rsidRPr="00507A31">
        <w:rPr>
          <w:color w:val="0070C0"/>
          <w:sz w:val="16"/>
          <w:szCs w:val="16"/>
        </w:rPr>
        <w:t>27 ноября 1930 первый полет Бернар 80 гр. (20805).</w:t>
      </w:r>
    </w:p>
    <w:p w14:paraId="5F5F2F95" w14:textId="77777777" w:rsidR="007D3B68" w:rsidRPr="00507A31" w:rsidRDefault="007D3B68" w:rsidP="00507A31">
      <w:pPr>
        <w:jc w:val="both"/>
        <w:rPr>
          <w:color w:val="0070C0"/>
          <w:sz w:val="16"/>
          <w:szCs w:val="16"/>
        </w:rPr>
      </w:pPr>
    </w:p>
    <w:p w14:paraId="61B1490F" w14:textId="77777777" w:rsidR="007D3B68" w:rsidRPr="00507A31" w:rsidRDefault="007D3B68" w:rsidP="00507A31">
      <w:pPr>
        <w:jc w:val="both"/>
        <w:rPr>
          <w:color w:val="0070C0"/>
          <w:sz w:val="16"/>
          <w:szCs w:val="16"/>
        </w:rPr>
      </w:pPr>
      <w:r w:rsidRPr="00507A31">
        <w:rPr>
          <w:color w:val="0070C0"/>
          <w:sz w:val="16"/>
          <w:szCs w:val="16"/>
        </w:rPr>
        <w:t>27 ноября 1930 года — первый полёт самолёта для дальних перелётов Bernard 80 GR. /Франция/</w:t>
      </w:r>
    </w:p>
    <w:p w14:paraId="694CADCC" w14:textId="77777777" w:rsidR="007D3B68" w:rsidRPr="00507A31" w:rsidRDefault="007D3B68" w:rsidP="00507A31">
      <w:pPr>
        <w:jc w:val="both"/>
        <w:rPr>
          <w:color w:val="0070C0"/>
          <w:sz w:val="16"/>
          <w:szCs w:val="16"/>
        </w:rPr>
      </w:pPr>
      <w:r w:rsidRPr="00507A31">
        <w:rPr>
          <w:color w:val="0070C0"/>
          <w:sz w:val="16"/>
          <w:szCs w:val="16"/>
        </w:rPr>
        <w:lastRenderedPageBreak/>
        <w:t>В 1929 году министр авиации Франции Альбер Клако (Albert Claquot) объявил конкурс на разработку самолёта с закрытой кабиной, способного пролететь 10 000 км при встречном ветре 35 км/ч. Победитель получал 1 миллион франков. Было заявлено 3 проекта, среди которых был Bernard 80 GR (Grand Raid — «дальний полёт») от компании Société des Avions Bernard.</w:t>
      </w:r>
    </w:p>
    <w:p w14:paraId="3DB453C9" w14:textId="77777777" w:rsidR="007D3B68" w:rsidRPr="00507A31" w:rsidRDefault="007D3B68" w:rsidP="00507A31">
      <w:pPr>
        <w:jc w:val="both"/>
        <w:rPr>
          <w:color w:val="0070C0"/>
          <w:sz w:val="16"/>
          <w:szCs w:val="16"/>
        </w:rPr>
      </w:pPr>
      <w:r w:rsidRPr="00507A31">
        <w:rPr>
          <w:color w:val="0070C0"/>
          <w:sz w:val="16"/>
          <w:szCs w:val="16"/>
        </w:rPr>
        <w:t>Это был трёхместный среднеплан с крылом большого удлинения и неубираемым шасси. Оснащался двигателем Hispano-Suiza 12Nb (650 л.с.) Крейсерская скорость — 210 км/ч, дальность полёта — до 11 000 км.</w:t>
      </w:r>
    </w:p>
    <w:p w14:paraId="49FF1658" w14:textId="77777777" w:rsidR="007D3B68" w:rsidRPr="00507A31" w:rsidRDefault="007D3B68" w:rsidP="00507A31">
      <w:pPr>
        <w:jc w:val="both"/>
        <w:rPr>
          <w:color w:val="0070C0"/>
          <w:sz w:val="16"/>
          <w:szCs w:val="16"/>
        </w:rPr>
      </w:pPr>
      <w:r w:rsidRPr="00507A31">
        <w:rPr>
          <w:color w:val="0070C0"/>
          <w:sz w:val="16"/>
          <w:szCs w:val="16"/>
        </w:rPr>
        <w:t>30 марта — 2 апреля 1931 года авиаторы Антуан Пайяр (Antoine Paillard) и Жан Мермоз (Jean Mermoz) на Bernard 80 GR рекорд дальности полёта по замкнутому маршруту. За 52 часа 44 минуты полёта они пролетели 8960 км. После этого самолёт отправили на модернизацию на завод Société des Avions Bernard. Ему присвоят новое обозначение Bernard 81 GR, но больше рекордов он не установит (22542).</w:t>
      </w:r>
    </w:p>
    <w:p w14:paraId="5A08FD04" w14:textId="77777777" w:rsidR="007D3B68" w:rsidRPr="00507A31" w:rsidRDefault="007D3B68" w:rsidP="00507A31">
      <w:pPr>
        <w:jc w:val="both"/>
        <w:rPr>
          <w:color w:val="0070C0"/>
          <w:sz w:val="16"/>
          <w:szCs w:val="16"/>
        </w:rPr>
      </w:pPr>
    </w:p>
    <w:p w14:paraId="2B1FF1C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38BEB2A" w14:textId="77777777" w:rsidR="00537E5F" w:rsidRPr="00507A31" w:rsidRDefault="00537E5F" w:rsidP="00507A31">
      <w:pPr>
        <w:autoSpaceDE w:val="0"/>
        <w:autoSpaceDN w:val="0"/>
        <w:adjustRightInd w:val="0"/>
        <w:jc w:val="both"/>
        <w:rPr>
          <w:iCs/>
          <w:color w:val="000000" w:themeColor="text1"/>
          <w:sz w:val="16"/>
          <w:szCs w:val="16"/>
        </w:rPr>
      </w:pPr>
    </w:p>
    <w:p w14:paraId="29C96BB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28 ноября 1930 года состоялись два полета на ТБ3 на НОА (6925).</w:t>
      </w:r>
    </w:p>
    <w:p w14:paraId="2F374EC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77D64B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28 ноября 1930 по 24 января 1931 в 73-и авиаотряде 5 авиабригады в Киеве проводились войсковые испытания И-5 - летали на лыжах. В числе 54 дефектов - баллон сжатого воздуха мешает управлять педалями в валенках (191,21).</w:t>
      </w:r>
    </w:p>
    <w:p w14:paraId="730986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Основной целью тактических эксплуатационных испытаний самолетов И5 являлось выявление техническо-эксплоатационных и конструктивных особенностей и недостатков, а также выявление тактических свойств самолета (2979).</w:t>
      </w:r>
    </w:p>
    <w:p w14:paraId="4F6DCB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Летных дней - 25</w:t>
      </w:r>
    </w:p>
    <w:p w14:paraId="421B8B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Нелетных дней - 32</w:t>
      </w:r>
    </w:p>
    <w:p w14:paraId="35C396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пяти самолетов И5, полученных отрядом программа войсковых испытаний выполняли на 3-х самолетах, а два оставались в резерве.</w:t>
      </w:r>
    </w:p>
    <w:p w14:paraId="2B67EC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28 ноября 1930 г. по 24 января 1931 г. проходили войсковые испытаний пятерки И-5 в 73-М отряде 5-й авиабригады в Киеве. В отчете об их проведении отмеча</w:t>
      </w:r>
      <w:r w:rsidRPr="00507A31">
        <w:rPr>
          <w:color w:val="000000" w:themeColor="text1"/>
          <w:sz w:val="16"/>
          <w:szCs w:val="16"/>
        </w:rPr>
        <w:softHyphen/>
        <w:t>лось, что взлет и посадка просты, что самолет обладает хорошей маневренностью, управляемостью, устойчиво</w:t>
      </w:r>
      <w:r w:rsidRPr="00507A31">
        <w:rPr>
          <w:color w:val="000000" w:themeColor="text1"/>
          <w:sz w:val="16"/>
          <w:szCs w:val="16"/>
        </w:rPr>
        <w:softHyphen/>
        <w:t>стью, может действовать с небольших площадок. Выяви</w:t>
      </w:r>
      <w:r w:rsidRPr="00507A31">
        <w:rPr>
          <w:color w:val="000000" w:themeColor="text1"/>
          <w:sz w:val="16"/>
          <w:szCs w:val="16"/>
        </w:rPr>
        <w:softHyphen/>
        <w:t>лись и недостатки - не очень прочный пол кабины, ее загазованность выхлопными газами и др. Но наиболее неприятной являлась путевая неустойчивость при про</w:t>
      </w:r>
      <w:r w:rsidRPr="00507A31">
        <w:rPr>
          <w:color w:val="000000" w:themeColor="text1"/>
          <w:sz w:val="16"/>
          <w:szCs w:val="16"/>
        </w:rPr>
        <w:softHyphen/>
        <w:t>беге, приводившая к неуправляемому развороту и, зача</w:t>
      </w:r>
      <w:r w:rsidRPr="00507A31">
        <w:rPr>
          <w:color w:val="000000" w:themeColor="text1"/>
          <w:sz w:val="16"/>
          <w:szCs w:val="16"/>
        </w:rPr>
        <w:softHyphen/>
        <w:t>стую, к поломке шасси. По предложению летчика и инженера из НИИ ВВС И.Ф.Петрова изменили размеры подкоса и основной стойки, костыль сделали управляе</w:t>
      </w:r>
      <w:r w:rsidRPr="00507A31">
        <w:rPr>
          <w:color w:val="000000" w:themeColor="text1"/>
          <w:sz w:val="16"/>
          <w:szCs w:val="16"/>
        </w:rPr>
        <w:softHyphen/>
        <w:t>мым. Это позволило полностью устранить недоста</w:t>
      </w:r>
      <w:r w:rsidRPr="00507A31">
        <w:rPr>
          <w:color w:val="000000" w:themeColor="text1"/>
          <w:sz w:val="16"/>
          <w:szCs w:val="16"/>
        </w:rPr>
        <w:softHyphen/>
        <w:t>ток. Указанные доработки немедленно внедрили в серийное производство (эталоны 1931, 1932 и 1933 гг.) (10667).</w:t>
      </w:r>
    </w:p>
    <w:p w14:paraId="4CEA5B6D" w14:textId="77777777" w:rsidR="00537E5F" w:rsidRPr="00507A31" w:rsidRDefault="00537E5F" w:rsidP="00507A31">
      <w:pPr>
        <w:autoSpaceDE w:val="0"/>
        <w:autoSpaceDN w:val="0"/>
        <w:adjustRightInd w:val="0"/>
        <w:jc w:val="both"/>
        <w:rPr>
          <w:color w:val="000000" w:themeColor="text1"/>
          <w:sz w:val="16"/>
          <w:szCs w:val="16"/>
        </w:rPr>
      </w:pPr>
    </w:p>
    <w:p w14:paraId="55C230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28 ноября 1930 г. по 24 января 1931 г. в 73-м авиаотряде 5-й авиабригады в Киеве велись войсковые испытания первых 7 верийных И-5. Это были И-5 производства завода № 39 с двигателями Ю-</w:t>
      </w:r>
      <w:r w:rsidRPr="00507A31">
        <w:rPr>
          <w:color w:val="000000" w:themeColor="text1"/>
          <w:sz w:val="16"/>
          <w:szCs w:val="16"/>
          <w:lang w:val="en-US"/>
        </w:rPr>
        <w:t>VI</w:t>
      </w:r>
      <w:r w:rsidRPr="00507A31">
        <w:rPr>
          <w:color w:val="000000" w:themeColor="text1"/>
          <w:sz w:val="16"/>
          <w:szCs w:val="16"/>
        </w:rPr>
        <w:t xml:space="preserve"> (указывалось, что это французские Гном Рон «Юпитер» VI, изготовленные в Париже в 1930 г.). Погода в начале зимы стояла плохая - туман, снег, дождь. Затем начались порозы, температуры опускались почти до иинустридцати градусов. Тем не менее, летчи</w:t>
      </w:r>
      <w:r w:rsidRPr="00507A31">
        <w:rPr>
          <w:color w:val="000000" w:themeColor="text1"/>
          <w:sz w:val="16"/>
          <w:szCs w:val="16"/>
        </w:rPr>
        <w:softHyphen/>
        <w:t>ки полностью завершили цикл войсковых ис</w:t>
      </w:r>
      <w:r w:rsidRPr="00507A31">
        <w:rPr>
          <w:color w:val="000000" w:themeColor="text1"/>
          <w:sz w:val="16"/>
          <w:szCs w:val="16"/>
        </w:rPr>
        <w:softHyphen/>
        <w:t>пытаний. Летали на трех самолетах, еще два держали в резерве. Было совершено несколь</w:t>
      </w:r>
      <w:r w:rsidRPr="00507A31">
        <w:rPr>
          <w:color w:val="000000" w:themeColor="text1"/>
          <w:sz w:val="16"/>
          <w:szCs w:val="16"/>
        </w:rPr>
        <w:softHyphen/>
        <w:t>ко сотен взлетов и посадок, на каждом И-5 вы</w:t>
      </w:r>
      <w:r w:rsidRPr="00507A31">
        <w:rPr>
          <w:color w:val="000000" w:themeColor="text1"/>
          <w:sz w:val="16"/>
          <w:szCs w:val="16"/>
        </w:rPr>
        <w:softHyphen/>
        <w:t>полнили по две с лишним тысячи фигур выс</w:t>
      </w:r>
      <w:r w:rsidRPr="00507A31">
        <w:rPr>
          <w:color w:val="000000" w:themeColor="text1"/>
          <w:sz w:val="16"/>
          <w:szCs w:val="16"/>
        </w:rPr>
        <w:softHyphen/>
        <w:t>шего пилотажа.</w:t>
      </w:r>
    </w:p>
    <w:p w14:paraId="15D138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облада</w:t>
      </w:r>
      <w:r w:rsidRPr="00507A31">
        <w:rPr>
          <w:color w:val="000000" w:themeColor="text1"/>
          <w:sz w:val="16"/>
          <w:szCs w:val="16"/>
        </w:rPr>
        <w:softHyphen/>
        <w:t>ет высокими скороподъемностью и маневрен</w:t>
      </w:r>
      <w:r w:rsidRPr="00507A31">
        <w:rPr>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507A31">
        <w:rPr>
          <w:color w:val="000000" w:themeColor="text1"/>
          <w:sz w:val="16"/>
          <w:szCs w:val="16"/>
        </w:rPr>
        <w:softHyphen/>
        <w:t>том и прицелом «Альдис» заметно затруднял обзор из пилотской кабины.</w:t>
      </w:r>
    </w:p>
    <w:p w14:paraId="166426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итоговом отчете по испытаниям коман</w:t>
      </w:r>
      <w:r w:rsidRPr="00507A31">
        <w:rPr>
          <w:color w:val="000000" w:themeColor="text1"/>
          <w:sz w:val="16"/>
          <w:szCs w:val="16"/>
        </w:rPr>
        <w:softHyphen/>
        <w:t>дир 73-го авиаотряда Павлушев и командир 5-й авиабригады Астахов подписали следую</w:t>
      </w:r>
      <w:r w:rsidRPr="00507A31">
        <w:rPr>
          <w:color w:val="000000" w:themeColor="text1"/>
          <w:sz w:val="16"/>
          <w:szCs w:val="16"/>
        </w:rPr>
        <w:softHyphen/>
        <w:t>щее заключение: «Самолет И-Б может быть принят на вооружение ВВС РККА».</w:t>
      </w:r>
    </w:p>
    <w:p w14:paraId="1B364E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принятии решения о серийном про</w:t>
      </w:r>
      <w:r w:rsidRPr="00507A31">
        <w:rPr>
          <w:color w:val="000000" w:themeColor="text1"/>
          <w:sz w:val="16"/>
          <w:szCs w:val="16"/>
        </w:rPr>
        <w:softHyphen/>
        <w:t>изводстве И-5 к процессу предполагалось подключить заводы №1, №39 и №22 (послед</w:t>
      </w:r>
      <w:r w:rsidRPr="00507A31">
        <w:rPr>
          <w:color w:val="000000" w:themeColor="text1"/>
          <w:sz w:val="16"/>
          <w:szCs w:val="16"/>
        </w:rPr>
        <w:softHyphen/>
        <w:t>ний - для изготовления металлических агре</w:t>
      </w:r>
      <w:r w:rsidRPr="00507A31">
        <w:rPr>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 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0D6D8C3E" w14:textId="77777777" w:rsidR="00537E5F" w:rsidRPr="00507A31" w:rsidRDefault="00537E5F" w:rsidP="00507A31">
      <w:pPr>
        <w:autoSpaceDE w:val="0"/>
        <w:autoSpaceDN w:val="0"/>
        <w:adjustRightInd w:val="0"/>
        <w:jc w:val="both"/>
        <w:rPr>
          <w:color w:val="000000" w:themeColor="text1"/>
          <w:sz w:val="16"/>
          <w:szCs w:val="16"/>
        </w:rPr>
      </w:pPr>
    </w:p>
    <w:p w14:paraId="3EA9EB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28 ноября 1930 г. по 24 января 1931 г. велись войсковые испытания И-5 в Киеве в 73-м отряде 5-й авиабригады. На аэродроме уже лежал снег, поэтому колёса заменили на лыжи.</w:t>
      </w:r>
    </w:p>
    <w:p w14:paraId="17CC04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08DF92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бензи-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040D5E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Страдзин в районе Поста- Волынского попытался выполнить петлю на недопустимо низкой высоте (около 150 м) и врезался в землю.</w:t>
      </w:r>
    </w:p>
    <w:p w14:paraId="0FDE59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602B3DA4" w14:textId="77777777" w:rsidR="00537E5F" w:rsidRPr="00507A31" w:rsidRDefault="00537E5F" w:rsidP="00507A31">
      <w:pPr>
        <w:autoSpaceDE w:val="0"/>
        <w:autoSpaceDN w:val="0"/>
        <w:adjustRightInd w:val="0"/>
        <w:jc w:val="both"/>
        <w:rPr>
          <w:color w:val="000000" w:themeColor="text1"/>
          <w:sz w:val="16"/>
          <w:szCs w:val="16"/>
        </w:rPr>
      </w:pPr>
    </w:p>
    <w:p w14:paraId="75E8B728" w14:textId="77777777" w:rsidR="007C50AE" w:rsidRPr="00507A31" w:rsidRDefault="007C50AE" w:rsidP="00507A31">
      <w:pPr>
        <w:jc w:val="both"/>
        <w:rPr>
          <w:color w:val="000000" w:themeColor="text1"/>
          <w:sz w:val="16"/>
          <w:szCs w:val="16"/>
        </w:rPr>
      </w:pPr>
      <w:r w:rsidRPr="00507A31">
        <w:rPr>
          <w:color w:val="000000" w:themeColor="text1"/>
          <w:sz w:val="16"/>
          <w:szCs w:val="16"/>
        </w:rPr>
        <w:t>С 28 ноября 1930 г. по 24 января 1931 г. велись войсковые испытания И-5 опытной серии. Погода в начале зимы стояла плохая — туман, снег, дождь. Затем начались морозы, температуры опускались почти до минус тридцати градусов. Тем не менее лет</w:t>
      </w:r>
      <w:r w:rsidRPr="00507A31">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507A31">
        <w:rPr>
          <w:color w:val="000000" w:themeColor="text1"/>
          <w:sz w:val="16"/>
          <w:szCs w:val="16"/>
        </w:rPr>
        <w:softHyphen/>
        <w:t>сколько сотен взлетов и посадок, на каждом И-5 выполнили по 2 с лишним тысячи фигур высшего пилотажа.</w:t>
      </w:r>
    </w:p>
    <w:p w14:paraId="7BC78006" w14:textId="77777777" w:rsidR="007C50AE" w:rsidRPr="00507A31" w:rsidRDefault="007C50AE" w:rsidP="00507A31">
      <w:pPr>
        <w:jc w:val="both"/>
        <w:rPr>
          <w:color w:val="000000" w:themeColor="text1"/>
          <w:sz w:val="16"/>
          <w:szCs w:val="16"/>
        </w:rPr>
      </w:pPr>
      <w:r w:rsidRPr="00507A31">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w:t>
      </w:r>
      <w:r w:rsidRPr="00507A31">
        <w:rPr>
          <w:color w:val="000000" w:themeColor="text1"/>
          <w:sz w:val="16"/>
          <w:szCs w:val="16"/>
        </w:rPr>
        <w:softHyphen/>
        <w:t>дает высокими скороподъемностью и манев</w:t>
      </w:r>
      <w:r w:rsidRPr="00507A31">
        <w:rPr>
          <w:color w:val="000000" w:themeColor="text1"/>
          <w:sz w:val="16"/>
          <w:szCs w:val="16"/>
        </w:rPr>
        <w:softHyphen/>
        <w:t>ренностью. До 5000 м маневренность в строю звена хорошая». К недостаткам отнесли уз</w:t>
      </w:r>
      <w:r w:rsidRPr="00507A31">
        <w:rPr>
          <w:color w:val="000000" w:themeColor="text1"/>
          <w:sz w:val="16"/>
          <w:szCs w:val="16"/>
        </w:rPr>
        <w:softHyphen/>
        <w:t>кий козырек, который вместе с широким пе</w:t>
      </w:r>
      <w:r w:rsidRPr="00507A31">
        <w:rPr>
          <w:color w:val="000000" w:themeColor="text1"/>
          <w:sz w:val="16"/>
          <w:szCs w:val="16"/>
        </w:rPr>
        <w:softHyphen/>
        <w:t>реплетом и прицелом «Альдис» заметно за</w:t>
      </w:r>
      <w:r w:rsidRPr="00507A31">
        <w:rPr>
          <w:color w:val="000000" w:themeColor="text1"/>
          <w:sz w:val="16"/>
          <w:szCs w:val="16"/>
        </w:rPr>
        <w:softHyphen/>
        <w:t>труднял обзор из пилотской кабины.</w:t>
      </w:r>
    </w:p>
    <w:p w14:paraId="2F87682E" w14:textId="77777777" w:rsidR="007C50AE" w:rsidRPr="00507A31" w:rsidRDefault="007C50AE" w:rsidP="00507A31">
      <w:pPr>
        <w:jc w:val="both"/>
        <w:rPr>
          <w:color w:val="000000" w:themeColor="text1"/>
          <w:sz w:val="16"/>
          <w:szCs w:val="16"/>
        </w:rPr>
      </w:pPr>
      <w:r w:rsidRPr="00507A31">
        <w:rPr>
          <w:color w:val="000000" w:themeColor="text1"/>
          <w:sz w:val="16"/>
          <w:szCs w:val="16"/>
        </w:rPr>
        <w:t>В итоговом отчете по испытаниям коман</w:t>
      </w:r>
      <w:r w:rsidRPr="00507A31">
        <w:rPr>
          <w:color w:val="000000" w:themeColor="text1"/>
          <w:sz w:val="16"/>
          <w:szCs w:val="16"/>
        </w:rPr>
        <w:softHyphen/>
        <w:t>дир 73-го авиаотряда Павлушев и командир 5-й авиабригады Астахов подписали следую</w:t>
      </w:r>
      <w:r w:rsidRPr="00507A31">
        <w:rPr>
          <w:color w:val="000000" w:themeColor="text1"/>
          <w:sz w:val="16"/>
          <w:szCs w:val="16"/>
        </w:rPr>
        <w:softHyphen/>
        <w:t>щее заключение: «Самолет И-5 может быть принят на вооружение ВВС РККА» (12295).</w:t>
      </w:r>
    </w:p>
    <w:p w14:paraId="78B48C3E" w14:textId="77777777" w:rsidR="007C50AE" w:rsidRPr="00507A31" w:rsidRDefault="007C50AE" w:rsidP="00507A31">
      <w:pPr>
        <w:jc w:val="both"/>
        <w:rPr>
          <w:color w:val="000000" w:themeColor="text1"/>
          <w:sz w:val="16"/>
          <w:szCs w:val="16"/>
        </w:rPr>
      </w:pPr>
    </w:p>
    <w:p w14:paraId="41751711" w14:textId="77777777" w:rsidR="007C50AE" w:rsidRPr="00507A31" w:rsidRDefault="007C50AE" w:rsidP="00507A31">
      <w:pPr>
        <w:jc w:val="both"/>
        <w:rPr>
          <w:color w:val="000000" w:themeColor="text1"/>
          <w:sz w:val="16"/>
          <w:szCs w:val="16"/>
        </w:rPr>
      </w:pPr>
      <w:r w:rsidRPr="00507A31">
        <w:rPr>
          <w:color w:val="000000" w:themeColor="text1"/>
          <w:sz w:val="16"/>
          <w:szCs w:val="16"/>
        </w:rPr>
        <w:t>С 28 ноября 1930 г. по 24 января 1931 г. велись испытания 1-й опытной серии И-5 с двигателями Ю-\/1 (указывалось, что это французские Гном-Рон Ю-\/1, изготовленные в Париже в 1930 г.), построенной на заводе №39 в коли</w:t>
      </w:r>
      <w:r w:rsidRPr="00507A31">
        <w:rPr>
          <w:color w:val="000000" w:themeColor="text1"/>
          <w:sz w:val="16"/>
          <w:szCs w:val="16"/>
        </w:rPr>
        <w:softHyphen/>
        <w:t>честве 5 экземпляров. Погода в начале зимы стояла плохая — туман, снег, дождь. Затем начались морозы, температуры опу</w:t>
      </w:r>
      <w:r w:rsidRPr="00507A31">
        <w:rPr>
          <w:color w:val="000000" w:themeColor="text1"/>
          <w:sz w:val="16"/>
          <w:szCs w:val="16"/>
        </w:rPr>
        <w:softHyphen/>
        <w:t>скались почти до -ЗО'С. Тем не менее, лет</w:t>
      </w:r>
      <w:r w:rsidRPr="00507A31">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507A31">
        <w:rPr>
          <w:color w:val="000000" w:themeColor="text1"/>
          <w:sz w:val="16"/>
          <w:szCs w:val="16"/>
        </w:rPr>
        <w:softHyphen/>
        <w:t>сколько сотен взлетов и посадок, на каждом И-5 выполнено по 2 с лишним тысячи фигур высшего пилотажа.</w:t>
      </w:r>
    </w:p>
    <w:p w14:paraId="4402BA6C" w14:textId="77777777" w:rsidR="007C50AE" w:rsidRPr="00507A31" w:rsidRDefault="007C50AE" w:rsidP="00507A31">
      <w:pPr>
        <w:jc w:val="both"/>
        <w:rPr>
          <w:color w:val="000000" w:themeColor="text1"/>
          <w:sz w:val="16"/>
          <w:szCs w:val="16"/>
        </w:rPr>
      </w:pPr>
      <w:r w:rsidRPr="00507A31">
        <w:rPr>
          <w:rStyle w:val="8"/>
          <w:rFonts w:ascii="Times New Roman" w:hAnsi="Times New Roman" w:cs="Times New Roman"/>
          <w:i w:val="0"/>
          <w:color w:val="000000" w:themeColor="text1"/>
        </w:rPr>
        <w:t>Летчики отмечали, что</w:t>
      </w:r>
      <w:r w:rsidRPr="00507A31">
        <w:rPr>
          <w:color w:val="000000" w:themeColor="text1"/>
          <w:sz w:val="16"/>
          <w:szCs w:val="16"/>
        </w:rPr>
        <w:t xml:space="preserve"> «взлет и посадка на самолете просты и позволяют работать на малых полевых площадках... Самолет обла</w:t>
      </w:r>
      <w:r w:rsidRPr="00507A31">
        <w:rPr>
          <w:color w:val="000000" w:themeColor="text1"/>
          <w:sz w:val="16"/>
          <w:szCs w:val="16"/>
        </w:rPr>
        <w:softHyphen/>
        <w:t>дает высокими скороподъемностью и манев</w:t>
      </w:r>
      <w:r w:rsidRPr="00507A31">
        <w:rPr>
          <w:color w:val="000000" w:themeColor="text1"/>
          <w:sz w:val="16"/>
          <w:szCs w:val="16"/>
        </w:rPr>
        <w:softHyphen/>
        <w:t>ренностью. До 5000 м маневренность в строю звена хорошая». К недостаткам отнесли уз</w:t>
      </w:r>
      <w:r w:rsidRPr="00507A31">
        <w:rPr>
          <w:color w:val="000000" w:themeColor="text1"/>
          <w:sz w:val="16"/>
          <w:szCs w:val="16"/>
        </w:rPr>
        <w:softHyphen/>
        <w:t>кий козырек, который вместе с широким пе</w:t>
      </w:r>
      <w:r w:rsidRPr="00507A31">
        <w:rPr>
          <w:color w:val="000000" w:themeColor="text1"/>
          <w:sz w:val="16"/>
          <w:szCs w:val="16"/>
        </w:rPr>
        <w:softHyphen/>
        <w:t>реплетом и прицелом «Альдис» заметно за</w:t>
      </w:r>
      <w:r w:rsidRPr="00507A31">
        <w:rPr>
          <w:color w:val="000000" w:themeColor="text1"/>
          <w:sz w:val="16"/>
          <w:szCs w:val="16"/>
        </w:rPr>
        <w:softHyphen/>
        <w:t>труднял обзор из пилотской кабины.</w:t>
      </w:r>
    </w:p>
    <w:p w14:paraId="37B69382" w14:textId="77777777" w:rsidR="007C50AE" w:rsidRPr="00507A31" w:rsidRDefault="007C50AE" w:rsidP="00507A31">
      <w:pPr>
        <w:jc w:val="both"/>
        <w:rPr>
          <w:color w:val="000000" w:themeColor="text1"/>
          <w:sz w:val="16"/>
          <w:szCs w:val="16"/>
        </w:rPr>
      </w:pPr>
      <w:r w:rsidRPr="00507A31">
        <w:rPr>
          <w:color w:val="000000" w:themeColor="text1"/>
          <w:sz w:val="16"/>
          <w:szCs w:val="16"/>
        </w:rPr>
        <w:t>В отчете по испытаниям командир 73-го авиаотряда Павлушев и командир 5-й авиа</w:t>
      </w:r>
      <w:r w:rsidRPr="00507A31">
        <w:rPr>
          <w:color w:val="000000" w:themeColor="text1"/>
          <w:sz w:val="16"/>
          <w:szCs w:val="16"/>
        </w:rPr>
        <w:softHyphen/>
        <w:t>бригады Астахов подписали следующее за</w:t>
      </w:r>
      <w:r w:rsidRPr="00507A31">
        <w:rPr>
          <w:color w:val="000000" w:themeColor="text1"/>
          <w:sz w:val="16"/>
          <w:szCs w:val="16"/>
        </w:rPr>
        <w:softHyphen/>
        <w:t>ключение: «Самолет И-5 может быть принят на вооружение ВВС РККА» (12610).</w:t>
      </w:r>
    </w:p>
    <w:p w14:paraId="7245A6A2" w14:textId="77777777" w:rsidR="007C50AE" w:rsidRPr="00507A31" w:rsidRDefault="007C50AE" w:rsidP="00507A31">
      <w:pPr>
        <w:jc w:val="both"/>
        <w:rPr>
          <w:color w:val="000000" w:themeColor="text1"/>
          <w:sz w:val="16"/>
          <w:szCs w:val="16"/>
        </w:rPr>
      </w:pPr>
    </w:p>
    <w:p w14:paraId="75168ED5" w14:textId="77777777" w:rsidR="00273CE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D72767D" w14:textId="77777777" w:rsidR="00273CEF" w:rsidRPr="00507A31" w:rsidRDefault="00273CEF" w:rsidP="00507A31">
      <w:pPr>
        <w:autoSpaceDE w:val="0"/>
        <w:autoSpaceDN w:val="0"/>
        <w:adjustRightInd w:val="0"/>
        <w:jc w:val="both"/>
        <w:rPr>
          <w:iCs/>
          <w:color w:val="000000" w:themeColor="text1"/>
          <w:sz w:val="16"/>
          <w:szCs w:val="16"/>
        </w:rPr>
      </w:pPr>
    </w:p>
    <w:p w14:paraId="2B389604" w14:textId="77777777" w:rsidR="00273CEF" w:rsidRPr="00507A31" w:rsidRDefault="00273CEF" w:rsidP="00507A31">
      <w:pPr>
        <w:pStyle w:val="a3"/>
        <w:rPr>
          <w:color w:val="000000" w:themeColor="text1"/>
          <w:lang w:val="ru-RU"/>
        </w:rPr>
      </w:pPr>
      <w:r w:rsidRPr="00507A31">
        <w:rPr>
          <w:color w:val="000000" w:themeColor="text1"/>
          <w:lang w:val="ru-RU"/>
        </w:rPr>
        <w:t xml:space="preserve">28 ноября 1930 г. (с задержкой почти на месяц) В. Бегунову был предъявлен первый опытный образец 12-тонного танка (№229) и принят только 5 декабря, так как в ходе испытаний были обнаружены дефекты (в том числе нагрев планетарного демультипликатора), потребовавшие их устранения. Кроме того, танк не смог </w:t>
      </w:r>
      <w:r w:rsidRPr="00507A31">
        <w:rPr>
          <w:color w:val="000000" w:themeColor="text1"/>
          <w:lang w:val="ru-RU"/>
        </w:rPr>
        <w:lastRenderedPageBreak/>
        <w:t>преодолеть заявленные подъем в 45" и вертикальную стенку высотой 0,8 м из-за недостаточного сцепле</w:t>
      </w:r>
      <w:r w:rsidRPr="00507A31">
        <w:rPr>
          <w:color w:val="000000" w:themeColor="text1"/>
          <w:lang w:val="ru-RU"/>
        </w:rPr>
        <w:softHyphen/>
        <w:t>ния гусениц с грунтом (15745).</w:t>
      </w:r>
    </w:p>
    <w:p w14:paraId="34DFF3FE" w14:textId="77777777" w:rsidR="00273CEF" w:rsidRPr="00507A31" w:rsidRDefault="00273CEF" w:rsidP="00507A31">
      <w:pPr>
        <w:pStyle w:val="a3"/>
        <w:rPr>
          <w:color w:val="000000" w:themeColor="text1"/>
          <w:lang w:val="ru-RU"/>
        </w:rPr>
      </w:pPr>
    </w:p>
    <w:p w14:paraId="0EA01744" w14:textId="77777777" w:rsidR="0060292F" w:rsidRPr="00507A31" w:rsidRDefault="0060292F"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EA943D3" w14:textId="77777777" w:rsidR="0060292F" w:rsidRPr="00507A31" w:rsidRDefault="0060292F" w:rsidP="00507A31">
      <w:pPr>
        <w:autoSpaceDE w:val="0"/>
        <w:autoSpaceDN w:val="0"/>
        <w:adjustRightInd w:val="0"/>
        <w:jc w:val="both"/>
        <w:rPr>
          <w:iCs/>
          <w:color w:val="000000" w:themeColor="text1"/>
          <w:sz w:val="16"/>
          <w:szCs w:val="16"/>
        </w:rPr>
      </w:pPr>
    </w:p>
    <w:p w14:paraId="2E9BD15E" w14:textId="77777777" w:rsidR="0060292F" w:rsidRPr="00507A31" w:rsidRDefault="0060292F" w:rsidP="00507A31">
      <w:pPr>
        <w:jc w:val="both"/>
        <w:rPr>
          <w:bCs/>
          <w:color w:val="000000" w:themeColor="text1"/>
          <w:sz w:val="16"/>
          <w:szCs w:val="16"/>
        </w:rPr>
      </w:pPr>
      <w:r w:rsidRPr="00507A31">
        <w:rPr>
          <w:color w:val="000000" w:themeColor="text1"/>
          <w:sz w:val="16"/>
          <w:szCs w:val="16"/>
        </w:rPr>
        <w:t>28 ноября 1930 г.</w:t>
      </w:r>
    </w:p>
    <w:p w14:paraId="2ABBC337" w14:textId="77777777" w:rsidR="0060292F" w:rsidRPr="00507A31" w:rsidRDefault="0060292F" w:rsidP="00507A31">
      <w:pPr>
        <w:jc w:val="both"/>
        <w:rPr>
          <w:bCs/>
          <w:color w:val="000000" w:themeColor="text1"/>
          <w:sz w:val="16"/>
          <w:szCs w:val="16"/>
        </w:rPr>
      </w:pPr>
      <w:r w:rsidRPr="00507A31">
        <w:rPr>
          <w:color w:val="000000" w:themeColor="text1"/>
          <w:sz w:val="16"/>
          <w:szCs w:val="16"/>
        </w:rPr>
        <w:t>Резолюция IV пленума Всесоюзного межсекционного бюро ИТС о развитии «политико-воспитательной работы среди ИТР». 28 ноября 1930 г.</w:t>
      </w:r>
    </w:p>
    <w:p w14:paraId="003CD413"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38A08E22"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796ECC"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28 ноября 1930 г.</w:t>
      </w:r>
    </w:p>
    <w:p w14:paraId="079C2BB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1.  Быстро возрастающие успехи реконструктивного периода строительства социализма в нашей стране, широко развернутое наступление на остатки капитализма, ликвидация кулачества как класса, на основе сплошной коллективизации увеличивают бешеную ненависть к диктатуре пролетариата со стороны наших врагов и вызывают обострение классовой борьбы, проявляющейся в самых разнообразных формах.</w:t>
      </w:r>
    </w:p>
    <w:p w14:paraId="0D45569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2.  Выполняемый Советской страной план великих работ требует, чтобы инженеры и техники, работающие в различных отраслях народного хозяйства, не только стояли по своим техническим знаниям на современном уровне науки и техники, но и понимали и разделяли политику советской власти и в своей основной части были в достаточной мере марксистско-ленински подготовлены, классово воспитаны и идеологически выдержаны.</w:t>
      </w:r>
    </w:p>
    <w:p w14:paraId="381779D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Преодолеть «нейтральность» и «аполитичность» обывательской массы ИТР, перевести ее на классовые рельсы пролетариата, ликвидировать ее политическую неграмотность — являются величайшей задачей профсоюзов.</w:t>
      </w:r>
    </w:p>
    <w:p w14:paraId="77A946D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3.  Поэтому все профорганизации должны развернуть ударную политико-воспитательную работу среди ИТР, с тем, чтобы в кратчайший срок не только ликвидировать политнеграмотность и малограмотность ИТР, но и широко развернуть работу по марксистско-ленинскому воспитанию масс ИТР в вопросах науки и техники.</w:t>
      </w:r>
    </w:p>
    <w:p w14:paraId="3410232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этой основе пленум предлагает президиуму ВМБИТ своей работой обеспечить систематическое вовлечение ИТР в работу марксистских учреждений и марксистско-ленинских институтов во главе с секцией техники Комакадемии и Обществом техников-марксистов при секции. Вовлечение в научную работу, в постоянные и повременные консультации и всякая другая помощь своими техническими знаниями в работе этих учреждений должн[ы] стать постоянной заботой ВМБИТ и всех профорганизаций. Победа марксизма-ленинизма на технологическом фронте должна стать кровным делом всех профсоюзов и ИТС, в частности.</w:t>
      </w:r>
    </w:p>
    <w:p w14:paraId="6A20DEF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связи с этим пленум предлагает президиуму ВМБИТ совместно с Комакадемией и другими марксистско-ленинскими учреждениями немедленно приступить к разработке методологии и организации работы по марксистско-ленинскому воспитанию ИТР.</w:t>
      </w:r>
    </w:p>
    <w:p w14:paraId="0A17719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4.  Вместе с тем для быстрейшего охвата ИТР политической учебой предложить президиуму ВМБИТ совместно с Комакадемией немедленно приступить к организации заочных политических курсов для ИТР, с филиалами на местах, обеспечив их соответствующей консультацией на предприятиях.</w:t>
      </w:r>
    </w:p>
    <w:p w14:paraId="406E8ED8"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ряду с этим местные профорганизации должны обеспечить поголовное вовлечение в кружки политграмоты, текущей политики партшколы и т. д. на предприятиях, совместно с рабочей массой.</w:t>
      </w:r>
    </w:p>
    <w:p w14:paraId="6C6AC32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5. Чтобы политическое воспитание ИТР было действительно марксистско-ленинским, оно должно быть не только учебой, но и быть действенным.</w:t>
      </w:r>
    </w:p>
    <w:p w14:paraId="56CD31A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Политико-воспитательная работа среди ИТР должна тесно увязываться с их практической работой по социалистическому строительству: соцсоревнование и ударничество, доведение промфинплана до рабочего места, организация планирования, инициативное участие в разработке мероприятий по мобилизации внутренних ресурсов и встречного промфинплана, достижение наилучших количественных и качественных производственных показателей, успешное проведение социалистической рационализации работы по повышению технической грамотности рабочих — все это характеризует степень политической сознательности и активности ИТР.</w:t>
      </w:r>
    </w:p>
    <w:p w14:paraId="18F63A4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6.  Все органы ИТС должны проводить среди ИТР проработку решений партийных съездов, конференций и т. д. Должны устраиваться политвечера и политчасы, а также вечера политвопросов. Необходимо широко развернуть социалистическое соревнование и ударничество в вопросах политвоспитания ИТР.</w:t>
      </w:r>
    </w:p>
    <w:p w14:paraId="39262CC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7. На все органы ИТС должна быть возложена обязанность организовать активное участие ИТР на открытых партийных собраниях, на всех политических кампаниях (перевыборы советов, посевные кампании и т. д.); добровольных общественных организациях — МОПР, Осоавиахим, шефство над деревней, научных обществах в строительстве и работе технических музеев и т. д.</w:t>
      </w:r>
    </w:p>
    <w:p w14:paraId="0891961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8. Политико-воспитательная роль журнала «Инженерный Труд» и всей секционной печати должна быть всемерно усилена.</w:t>
      </w:r>
    </w:p>
    <w:p w14:paraId="5438574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Бюро ИТС должны повести работу по распространению своего секционного журнала «Инженерный Труд» и газеты «Правда» и по широкому снабжению ИТР политлитературой — сочинениями Маркса, Энгельса, Ленина и Плеханова.</w:t>
      </w:r>
    </w:p>
    <w:p w14:paraId="10795E5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9. Во всех Бюро ИТС должны быть выделены лица, персонально ответственные за постановку политико-воспитательной работы среди ИТР. Эта работа должна учитываться, контролироваться и обсуждаться при всех отчетах на съездах, конференциях ИТС и т. д., а также при всех выездах на места.</w:t>
      </w:r>
    </w:p>
    <w:p w14:paraId="1B24184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10. Политико-воспитательная работа среди ИТР должна проводиться профсоюзами в тесном контакте с местными партийными органами и при их активном содействии и руководстве. Вопрос об этой работе среди ИТР должен быть поставлен перед руководящими органами, так как только с их помощью он может быть практически разрешен во все объеме.</w:t>
      </w:r>
    </w:p>
    <w:p w14:paraId="52C32C63"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Инженерный труд. 1930. № 22-23. С. 707. Опубликовано в рубрике «Резолюции IV пленума ВМБИТ» под заголовком «III. Резолюция по докладам тт. Фальковского и Бабинского “о политико-воспитательной работе среди ИТР”». Резолюция была принята (наряду с другими), на заседании пленума ВМБИТ 28 ноября 1930 г., утверждена президиумом ВЦСПС 13 декабря 1930 г. (19026).</w:t>
      </w:r>
    </w:p>
    <w:p w14:paraId="248AA357" w14:textId="77777777" w:rsidR="0060292F" w:rsidRPr="00507A31" w:rsidRDefault="0060292F" w:rsidP="00507A31">
      <w:pPr>
        <w:jc w:val="both"/>
        <w:rPr>
          <w:color w:val="000000" w:themeColor="text1"/>
          <w:sz w:val="16"/>
          <w:szCs w:val="16"/>
        </w:rPr>
      </w:pPr>
    </w:p>
    <w:p w14:paraId="75A8FE1E" w14:textId="77777777" w:rsidR="00040950" w:rsidRPr="00507A31" w:rsidRDefault="00040950"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6F29C9F8" w14:textId="77777777" w:rsidR="00040950" w:rsidRPr="00507A31" w:rsidRDefault="00040950" w:rsidP="00507A31">
      <w:pPr>
        <w:autoSpaceDE w:val="0"/>
        <w:autoSpaceDN w:val="0"/>
        <w:adjustRightInd w:val="0"/>
        <w:jc w:val="both"/>
        <w:rPr>
          <w:iCs/>
          <w:color w:val="000000" w:themeColor="text1"/>
          <w:sz w:val="16"/>
          <w:szCs w:val="16"/>
        </w:rPr>
      </w:pPr>
    </w:p>
    <w:p w14:paraId="31361FB6" w14:textId="77777777" w:rsidR="00C641F9" w:rsidRPr="00507A31" w:rsidRDefault="00C641F9" w:rsidP="00507A31">
      <w:pPr>
        <w:jc w:val="both"/>
        <w:rPr>
          <w:color w:val="000000" w:themeColor="text1"/>
          <w:sz w:val="16"/>
          <w:szCs w:val="16"/>
        </w:rPr>
      </w:pPr>
      <w:r w:rsidRPr="00507A31">
        <w:rPr>
          <w:color w:val="000000" w:themeColor="text1"/>
          <w:sz w:val="16"/>
          <w:szCs w:val="16"/>
        </w:rPr>
        <w:t>28 ноября 1930 г.</w:t>
      </w:r>
    </w:p>
    <w:p w14:paraId="046B6343" w14:textId="77777777" w:rsidR="00C641F9" w:rsidRPr="00507A31" w:rsidRDefault="00C641F9" w:rsidP="00507A31">
      <w:pPr>
        <w:jc w:val="both"/>
        <w:rPr>
          <w:color w:val="000000" w:themeColor="text1"/>
          <w:sz w:val="16"/>
          <w:szCs w:val="16"/>
        </w:rPr>
      </w:pPr>
      <w:r w:rsidRPr="00507A31">
        <w:rPr>
          <w:color w:val="000000" w:themeColor="text1"/>
          <w:sz w:val="16"/>
          <w:szCs w:val="16"/>
        </w:rPr>
        <w:t>Публикация немецкой газеты «Фольксвилле» о процессе «Промпартии» и роли «центристской политики» Сталина «в усилении контр-революции». 28 ноября 1930 г.</w:t>
      </w:r>
    </w:p>
    <w:p w14:paraId="26CBA229" w14:textId="77777777" w:rsidR="00C641F9" w:rsidRPr="00507A31" w:rsidRDefault="00C641F9" w:rsidP="00507A31">
      <w:pPr>
        <w:jc w:val="both"/>
        <w:rPr>
          <w:color w:val="000000" w:themeColor="text1"/>
          <w:sz w:val="16"/>
          <w:szCs w:val="16"/>
        </w:rPr>
      </w:pPr>
      <w:r w:rsidRPr="00507A31">
        <w:rPr>
          <w:color w:val="000000" w:themeColor="text1"/>
          <w:sz w:val="16"/>
          <w:szCs w:val="16"/>
        </w:rPr>
        <w:t>Источник: </w:t>
      </w:r>
    </w:p>
    <w:p w14:paraId="6D18C7CC" w14:textId="77777777" w:rsidR="00C641F9" w:rsidRPr="00507A31" w:rsidRDefault="00C641F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B5D332" w14:textId="77777777" w:rsidR="00C641F9" w:rsidRPr="00507A31" w:rsidRDefault="00C641F9" w:rsidP="00507A31">
      <w:pPr>
        <w:jc w:val="both"/>
        <w:rPr>
          <w:color w:val="000000" w:themeColor="text1"/>
          <w:sz w:val="16"/>
          <w:szCs w:val="16"/>
        </w:rPr>
      </w:pPr>
      <w:r w:rsidRPr="00507A31">
        <w:rPr>
          <w:color w:val="000000" w:themeColor="text1"/>
          <w:sz w:val="16"/>
          <w:szCs w:val="16"/>
        </w:rPr>
        <w:t>28 ноября 1930 г.</w:t>
      </w:r>
    </w:p>
    <w:p w14:paraId="5C740931" w14:textId="77777777" w:rsidR="00C641F9" w:rsidRPr="00507A31" w:rsidRDefault="00C641F9" w:rsidP="00507A31">
      <w:pPr>
        <w:jc w:val="both"/>
        <w:rPr>
          <w:color w:val="000000" w:themeColor="text1"/>
          <w:sz w:val="16"/>
          <w:szCs w:val="16"/>
        </w:rPr>
      </w:pPr>
      <w:r w:rsidRPr="00507A31">
        <w:rPr>
          <w:color w:val="000000" w:themeColor="text1"/>
          <w:sz w:val="16"/>
          <w:szCs w:val="16"/>
        </w:rPr>
        <w:t>ПРОЦЕСС В МОСКВЕ.</w:t>
      </w:r>
    </w:p>
    <w:p w14:paraId="6A918972" w14:textId="77777777" w:rsidR="00C641F9" w:rsidRPr="00507A31" w:rsidRDefault="00C641F9" w:rsidP="00507A31">
      <w:pPr>
        <w:jc w:val="both"/>
        <w:rPr>
          <w:color w:val="000000" w:themeColor="text1"/>
          <w:sz w:val="16"/>
          <w:szCs w:val="16"/>
        </w:rPr>
      </w:pPr>
      <w:r w:rsidRPr="00507A31">
        <w:rPr>
          <w:color w:val="000000" w:themeColor="text1"/>
          <w:sz w:val="16"/>
          <w:szCs w:val="16"/>
        </w:rPr>
        <w:t>В настоящее время в Москве происходит процесс профессоров и инженеров, которые составили заговор против Советского правительства, будучи членами промышленной партии. Эти восемь специалистов в течение ряда лет занимали важнейшие посты в Советском государстве и планомерно подготавливали почву для империалистической интервенции против Советского Союза. Они рассказывают в своих показаниях, как они не только одобряли борьбу империалистов против Советской России, но активно поддерживали ее. Они сознаются в своей связи с представителями английского нефтяного короля Детердинга, с посланниками Пуанкаре и они намекают на связь с немецким «стальным шлемом».</w:t>
      </w:r>
    </w:p>
    <w:p w14:paraId="6C52C2C9" w14:textId="77777777" w:rsidR="00C641F9" w:rsidRPr="00507A31" w:rsidRDefault="00C641F9" w:rsidP="00507A31">
      <w:pPr>
        <w:jc w:val="both"/>
        <w:rPr>
          <w:color w:val="000000" w:themeColor="text1"/>
          <w:sz w:val="16"/>
          <w:szCs w:val="16"/>
        </w:rPr>
      </w:pPr>
      <w:r w:rsidRPr="00507A31">
        <w:rPr>
          <w:color w:val="000000" w:themeColor="text1"/>
          <w:sz w:val="16"/>
          <w:szCs w:val="16"/>
        </w:rPr>
        <w:t>О ходе и результатах процесса мы дадим позднее отчет, когда будем располагать полным материалом. В настоящее время мы ограничимся тем, что установим следующее:</w:t>
      </w:r>
    </w:p>
    <w:p w14:paraId="3E079A32" w14:textId="77777777" w:rsidR="00C641F9" w:rsidRPr="00507A31" w:rsidRDefault="00C641F9" w:rsidP="00507A31">
      <w:pPr>
        <w:jc w:val="both"/>
        <w:rPr>
          <w:color w:val="000000" w:themeColor="text1"/>
          <w:sz w:val="16"/>
          <w:szCs w:val="16"/>
        </w:rPr>
      </w:pPr>
      <w:r w:rsidRPr="00507A31">
        <w:rPr>
          <w:color w:val="000000" w:themeColor="text1"/>
          <w:sz w:val="16"/>
          <w:szCs w:val="16"/>
        </w:rPr>
        <w:t>В тюрьмах и ссылке Советской России находятся два рода заключенных. Лица, подобные Рамзину, Калинникову, Ларичеву, Чарновскому, Федотову, Куприянову, Очкину, Ситнину, которые сидят сегодня на скамье обвиняемых, но возможно, что им подобные в еше большем числе не только находятся на свободе, но и на важнейших постах советского государства и имеют решающее влияние на судьбы Советской России. Мы напомним поименный список, обнародованный недавно в сталинской прессе, который называл царских генералов, бывших фабрикантов и тому подобных светил. Это был список вредителей, которые были расстреляны, т. к. они использовали свою деятельность для контр-революционных актов. Сотни, тысячи таких вредителей находятся сегодня еще на постах и пользуются привилегиями, могут основывать «промышленные партии» и принимать участие в обостряющейся классовой борьбе в интересах буржуазного класса. Временами таких вредителей арестовывают, иногда их привлекают к суду, после чего они попадают в тюрьму или их расстреливают.</w:t>
      </w:r>
    </w:p>
    <w:p w14:paraId="44B34FB3" w14:textId="77777777" w:rsidR="00C641F9" w:rsidRPr="00507A31" w:rsidRDefault="00C641F9" w:rsidP="00507A31">
      <w:pPr>
        <w:jc w:val="both"/>
        <w:rPr>
          <w:color w:val="000000" w:themeColor="text1"/>
          <w:sz w:val="16"/>
          <w:szCs w:val="16"/>
        </w:rPr>
      </w:pPr>
      <w:r w:rsidRPr="00507A31">
        <w:rPr>
          <w:color w:val="000000" w:themeColor="text1"/>
          <w:sz w:val="16"/>
          <w:szCs w:val="16"/>
        </w:rPr>
        <w:t>Но наряду с ними Сталин наполнил тюрьмы и места ссылки революционными пролетариями, часть которых в течение десятилетий верно служила пролетарскому движению и с самого начала верно служила пролетарской революции.</w:t>
      </w:r>
    </w:p>
    <w:p w14:paraId="2E055035" w14:textId="77777777" w:rsidR="00C641F9" w:rsidRPr="00507A31" w:rsidRDefault="00C641F9" w:rsidP="00507A31">
      <w:pPr>
        <w:jc w:val="both"/>
        <w:rPr>
          <w:color w:val="000000" w:themeColor="text1"/>
          <w:sz w:val="16"/>
          <w:szCs w:val="16"/>
        </w:rPr>
      </w:pPr>
      <w:r w:rsidRPr="00507A31">
        <w:rPr>
          <w:color w:val="000000" w:themeColor="text1"/>
          <w:sz w:val="16"/>
          <w:szCs w:val="16"/>
        </w:rPr>
        <w:t>Их бросили теперь в тюрьмы, потому что они рассматривают политику Сталина как благоприятствующую классовым противникам и борются с ней, как с таковой. Они хотели, чтобы над всеми учреждениями советского государства и партии, и последней особенно, проводился пролетарский контроль. Они хотели поставить пролетариат России в теснейшую связь с партией пролетариата ВКП и они хотели, чтобы государственный аппарат все больше отождествлялся с пролетариатом.</w:t>
      </w:r>
    </w:p>
    <w:p w14:paraId="1CE2D45A" w14:textId="77777777" w:rsidR="00C641F9" w:rsidRPr="00507A31" w:rsidRDefault="00C641F9" w:rsidP="00507A31">
      <w:pPr>
        <w:jc w:val="both"/>
        <w:rPr>
          <w:color w:val="000000" w:themeColor="text1"/>
          <w:sz w:val="16"/>
          <w:szCs w:val="16"/>
        </w:rPr>
      </w:pPr>
      <w:r w:rsidRPr="00507A31">
        <w:rPr>
          <w:color w:val="000000" w:themeColor="text1"/>
          <w:sz w:val="16"/>
          <w:szCs w:val="16"/>
        </w:rPr>
        <w:t>Оба рода заключенных «Роте Фане» осмеливается поставить в прямую связь. Она утверждает в своем номере от 27 ноября:</w:t>
      </w:r>
    </w:p>
    <w:p w14:paraId="44F94508" w14:textId="77777777" w:rsidR="00C641F9" w:rsidRPr="00507A31" w:rsidRDefault="00C641F9" w:rsidP="00507A31">
      <w:pPr>
        <w:jc w:val="both"/>
        <w:rPr>
          <w:color w:val="000000" w:themeColor="text1"/>
          <w:sz w:val="16"/>
          <w:szCs w:val="16"/>
        </w:rPr>
      </w:pPr>
      <w:r w:rsidRPr="00507A31">
        <w:rPr>
          <w:color w:val="000000" w:themeColor="text1"/>
          <w:sz w:val="16"/>
          <w:szCs w:val="16"/>
        </w:rPr>
        <w:t xml:space="preserve">«В показании обвиняемого Ларичева, которого допрашивали после Рамзина, особенно интересно было утверждение, что корни вредительской организации восходят к временам октябрьской революции. Этот факт опровергает теорию правых оппортунистов ВКП о будто бы имеющем место притуплении и затухании классовой </w:t>
      </w:r>
      <w:r w:rsidRPr="00507A31">
        <w:rPr>
          <w:color w:val="000000" w:themeColor="text1"/>
          <w:sz w:val="16"/>
          <w:szCs w:val="16"/>
        </w:rPr>
        <w:lastRenderedPageBreak/>
        <w:t>борьбы под руководством Советской власти. Требуемая ими капитуляция перед кулаком благоприятствовала контр-революционной промышленной партии и кондратьевской трудовой крестьянской партии. Этот факт показывает, что оппортунисты явились пленниками контр-революции.[»]</w:t>
      </w:r>
    </w:p>
    <w:p w14:paraId="29DA108F" w14:textId="77777777" w:rsidR="00C641F9" w:rsidRPr="00507A31" w:rsidRDefault="00C641F9" w:rsidP="00507A31">
      <w:pPr>
        <w:jc w:val="both"/>
        <w:rPr>
          <w:color w:val="000000" w:themeColor="text1"/>
          <w:sz w:val="16"/>
          <w:szCs w:val="16"/>
        </w:rPr>
      </w:pPr>
      <w:r w:rsidRPr="00507A31">
        <w:rPr>
          <w:color w:val="000000" w:themeColor="text1"/>
          <w:sz w:val="16"/>
          <w:szCs w:val="16"/>
        </w:rPr>
        <w:t>Рамзин сделал потрясающее сообщение, что выступление правых и левых оппортунистов непосредственно способствовало вредительской работе промышленной партии.</w:t>
      </w:r>
    </w:p>
    <w:p w14:paraId="2DBA10D2" w14:textId="77777777" w:rsidR="00C641F9" w:rsidRPr="00507A31" w:rsidRDefault="00C641F9" w:rsidP="00507A31">
      <w:pPr>
        <w:jc w:val="both"/>
        <w:rPr>
          <w:color w:val="000000" w:themeColor="text1"/>
          <w:sz w:val="16"/>
          <w:szCs w:val="16"/>
        </w:rPr>
      </w:pPr>
      <w:r w:rsidRPr="00507A31">
        <w:rPr>
          <w:color w:val="000000" w:themeColor="text1"/>
          <w:sz w:val="16"/>
          <w:szCs w:val="16"/>
        </w:rPr>
        <w:t>Это последнее показание контр-революционера Рамзина, напечатанное в «Роте Фане», прежде всего обнаруживает с полной ясностью, — это мы хотим подчеркнуть, — что Сталин использует вредительский процесс для того, чтобы одновременно обосновать свой террор против оппозиции. Мы не удивляемся тому, что Сталин пытается оклеветать левую ленинскую позицию. Он уже слишком много раз занимался надувательством относительно связи с врангелевскими офицерами и т. д. Это относится к методу Сталина. Мы выставляем этот метод перед рабочей общественностью, как метод действительной помощи контр-революции. Само собой разумеется, что таких связей между контр-революцией и оппозицией не существует.</w:t>
      </w:r>
    </w:p>
    <w:p w14:paraId="56241E15" w14:textId="77777777" w:rsidR="00C641F9" w:rsidRPr="00507A31" w:rsidRDefault="00C641F9" w:rsidP="00507A31">
      <w:pPr>
        <w:jc w:val="both"/>
        <w:rPr>
          <w:color w:val="000000" w:themeColor="text1"/>
          <w:sz w:val="16"/>
          <w:szCs w:val="16"/>
        </w:rPr>
      </w:pPr>
      <w:r w:rsidRPr="00507A31">
        <w:rPr>
          <w:color w:val="000000" w:themeColor="text1"/>
          <w:sz w:val="16"/>
          <w:szCs w:val="16"/>
        </w:rPr>
        <w:t>Те связи, которые следует отметить, выглядят так: так как оппозицию бросают в тюрьмы вследствие того, что ее деятельность среди пролетариата для поддержки ленинской линии запрещается сталинским центризмом. то контр-революпия тем лучше может поднять голову. Вредители именно потому могли так распространить свою деятельность, что сегодня они действительно стали во многих случаях прямым вторым правительством. Таковыми сделала их сталинская политика.</w:t>
      </w:r>
    </w:p>
    <w:p w14:paraId="42A2E4A5" w14:textId="77777777" w:rsidR="00C641F9" w:rsidRPr="00507A31" w:rsidRDefault="00C641F9" w:rsidP="00507A31">
      <w:pPr>
        <w:jc w:val="both"/>
        <w:rPr>
          <w:color w:val="000000" w:themeColor="text1"/>
          <w:sz w:val="16"/>
          <w:szCs w:val="16"/>
        </w:rPr>
      </w:pPr>
      <w:r w:rsidRPr="00507A31">
        <w:rPr>
          <w:color w:val="000000" w:themeColor="text1"/>
          <w:sz w:val="16"/>
          <w:szCs w:val="16"/>
        </w:rPr>
        <w:t>Мы это поясним несколькими примерами:</w:t>
      </w:r>
    </w:p>
    <w:p w14:paraId="7E2A5FAF" w14:textId="77777777" w:rsidR="00C641F9" w:rsidRPr="00507A31" w:rsidRDefault="00C641F9" w:rsidP="00507A31">
      <w:pPr>
        <w:jc w:val="both"/>
        <w:rPr>
          <w:color w:val="000000" w:themeColor="text1"/>
          <w:sz w:val="16"/>
          <w:szCs w:val="16"/>
        </w:rPr>
      </w:pPr>
      <w:r w:rsidRPr="00507A31">
        <w:rPr>
          <w:color w:val="000000" w:themeColor="text1"/>
          <w:sz w:val="16"/>
          <w:szCs w:val="16"/>
        </w:rPr>
        <w:t>Находящиеся сейчас под судом являются только представителями буржуазного класса, которые пытаются усилить свое положение в государственном аппарате в прямых интересах буржуазии. Они находятся, как специалисты, во всех организациях, во всех инстанциях государственного аппарата. Они работают как инженеры и мастера, как торговые руководители в ряде предприятий. Они являются профессорами в лабораториях и учебных заведениях. Они являются счетчиками в статистических учреждениях, в плановых, хозяйственных и торговых комиссиях. Они занимают ответственные посты и являются руководящими лицами в Красной армии.</w:t>
      </w:r>
    </w:p>
    <w:p w14:paraId="3AA5C34C" w14:textId="77777777" w:rsidR="00C641F9" w:rsidRPr="00507A31" w:rsidRDefault="00C641F9" w:rsidP="00507A31">
      <w:pPr>
        <w:jc w:val="both"/>
        <w:rPr>
          <w:color w:val="000000" w:themeColor="text1"/>
          <w:sz w:val="16"/>
          <w:szCs w:val="16"/>
        </w:rPr>
      </w:pPr>
      <w:r w:rsidRPr="00507A31">
        <w:rPr>
          <w:color w:val="000000" w:themeColor="text1"/>
          <w:sz w:val="16"/>
          <w:szCs w:val="16"/>
        </w:rPr>
        <w:t>Мы знаем, что рабочий класс России был еще слишком слаб и слаб до сих пор, чтобы отказаться от сотрудничества буржуазных специалистов и бывших чиновников царского государства. Но мы знаем также, и в этом заключается то. что отрицает и чему препятствует Сталин, что специалисты и т. д. только тогда могут быть использованы пролетариатомв. если они находятся под постоянным наблюдением и контролем органов пролетариата. Так, нуждались и нуждаются до сих пор в буржуазных инженерах и торговых руководителях на предприятиях. Но еще больше нуждаются в интенсивном сотрудничестве и контроле фабрично-заводских делегатов, профсоюзных органов и партийных ячеек над этими буржуазными «помощниками».</w:t>
      </w:r>
    </w:p>
    <w:p w14:paraId="044204DE" w14:textId="77777777" w:rsidR="00C641F9" w:rsidRPr="00507A31" w:rsidRDefault="00C641F9" w:rsidP="00507A31">
      <w:pPr>
        <w:jc w:val="both"/>
        <w:rPr>
          <w:color w:val="000000" w:themeColor="text1"/>
          <w:sz w:val="16"/>
          <w:szCs w:val="16"/>
        </w:rPr>
      </w:pPr>
      <w:r w:rsidRPr="00507A31">
        <w:rPr>
          <w:color w:val="000000" w:themeColor="text1"/>
          <w:sz w:val="16"/>
          <w:szCs w:val="16"/>
        </w:rPr>
        <w:t>Что же произошло, однако, при сталинском режиме?</w:t>
      </w:r>
    </w:p>
    <w:p w14:paraId="73C16C59" w14:textId="77777777" w:rsidR="00C641F9" w:rsidRPr="00507A31" w:rsidRDefault="00C641F9" w:rsidP="00507A31">
      <w:pPr>
        <w:jc w:val="both"/>
        <w:rPr>
          <w:color w:val="000000" w:themeColor="text1"/>
          <w:sz w:val="16"/>
          <w:szCs w:val="16"/>
        </w:rPr>
      </w:pPr>
      <w:r w:rsidRPr="00507A31">
        <w:rPr>
          <w:color w:val="000000" w:themeColor="text1"/>
          <w:sz w:val="16"/>
          <w:szCs w:val="16"/>
        </w:rPr>
        <w:t>Только в прошлом году был издан закон, по которому фабзавкомы и профсоюзные органы были отстранены от прямого влияния на руководство предприятием, на процесс работы и на распределение работ и т. д. и т. д., разрешение вопросов было представлено единственно руководителям предприятия и инженерам, руководящим отдельными отраслями. Таким образом, они получили в полном объеме власть над предприятиями. Это произошло при такой ситуации, при которой был достигнут крупный успех в направлении социализма (пятилетний план). Представители фабзавкомов сохранили только право жаловаться. Но свои жалобы они должны были направлять в следующую высшую инстанцию. Таким образом, у них оставалось одна возможность жаловаться на вредителей специалистов на производстве — их же братьям, носящим ту же форму, в следующей высшей инстанции. Это отстранениег рабочего класса сталинским режимом является в действительности причиной того, что Рамзин и его присные так усилились. Кто удивляется тому, что они осмелели вплоть до основания промышленной партии, которая поставила себе целью свержение советского государства с помощью иностранцев?</w:t>
      </w:r>
    </w:p>
    <w:p w14:paraId="5E6678E8" w14:textId="77777777" w:rsidR="00C641F9" w:rsidRPr="00507A31" w:rsidRDefault="00C641F9" w:rsidP="00507A31">
      <w:pPr>
        <w:jc w:val="both"/>
        <w:rPr>
          <w:color w:val="000000" w:themeColor="text1"/>
          <w:sz w:val="16"/>
          <w:szCs w:val="16"/>
        </w:rPr>
      </w:pPr>
      <w:r w:rsidRPr="00507A31">
        <w:rPr>
          <w:color w:val="000000" w:themeColor="text1"/>
          <w:sz w:val="16"/>
          <w:szCs w:val="16"/>
        </w:rPr>
        <w:t>Сталин рассказывает рабочим, что при этих обстоятельствах строительство социализма растет в огромных размерах, что оно при проведении пятилетнего плана осуществляется на 90 %. Мы отсылаем в этой связи к ленинскому тезису, что не огосударствление предприятий и земли путем распоряжений и законов составляет социализм, но что для этого необходимо, чтобы рабочие действительно получили предприятия в свои руки. Сталин мешает этому своим методом.</w:t>
      </w:r>
    </w:p>
    <w:p w14:paraId="1C394FC0" w14:textId="77777777" w:rsidR="00C641F9" w:rsidRPr="00507A31" w:rsidRDefault="00C641F9" w:rsidP="00507A31">
      <w:pPr>
        <w:jc w:val="both"/>
        <w:rPr>
          <w:color w:val="000000" w:themeColor="text1"/>
          <w:sz w:val="16"/>
          <w:szCs w:val="16"/>
        </w:rPr>
      </w:pPr>
      <w:r w:rsidRPr="00507A31">
        <w:rPr>
          <w:color w:val="000000" w:themeColor="text1"/>
          <w:sz w:val="16"/>
          <w:szCs w:val="16"/>
        </w:rPr>
        <w:t>Или другой пример: сталинская бюрократия поставила себе целью в пятилетием плане коллективизировать 20 % крестьянских хозяйств в пять лет. С этой целью она нуждалась, по ее собственному вычислению, по меньшей мере в 160.000 тракторов. После двух лет пятилетки сталинская пресса с триумфом заявила, что уже 50 % крестьянских хозяйств вошли в колхозы. Мы можем себе представить, что буржуазные вредители даже охотно проводили сталинские указания на ускоренную коллективизацию, так как они знали, что созданные таким образом колхозы распадутся, так как на лицо нет ни технических предпосылок для их сохранения, ни желания крестьян, которые в них работают. Буржуазные вредители, сотрудники Сталина знали, что при прорыве этой коллективизации зацветет их контр-революционная пшеница. А пролетарии, революционеры. которые в течение десятилетнего опыта на практике изучили борьбу за социализм и которые владеют ленинской теорией, как основой практики, их Сталин послал в ссылку и тюрьмы. Тем лучше могли контр-революнионеры вести свою работу.</w:t>
      </w:r>
    </w:p>
    <w:p w14:paraId="5DB528B4" w14:textId="77777777" w:rsidR="00C641F9" w:rsidRPr="00507A31" w:rsidRDefault="00C641F9" w:rsidP="00507A31">
      <w:pPr>
        <w:jc w:val="both"/>
        <w:rPr>
          <w:color w:val="000000" w:themeColor="text1"/>
          <w:sz w:val="16"/>
          <w:szCs w:val="16"/>
        </w:rPr>
      </w:pPr>
      <w:r w:rsidRPr="00507A31">
        <w:rPr>
          <w:color w:val="000000" w:themeColor="text1"/>
          <w:sz w:val="16"/>
          <w:szCs w:val="16"/>
        </w:rPr>
        <w:t>Этих немногих примеров будет достаточно, чтобы показать ответственность Сталина вследствие его центристской политики в усилении контр-революции.</w:t>
      </w:r>
    </w:p>
    <w:p w14:paraId="09E764D3" w14:textId="77777777" w:rsidR="00C641F9" w:rsidRPr="00507A31" w:rsidRDefault="00C641F9" w:rsidP="00507A31">
      <w:pPr>
        <w:jc w:val="both"/>
        <w:rPr>
          <w:color w:val="000000" w:themeColor="text1"/>
          <w:sz w:val="16"/>
          <w:szCs w:val="16"/>
        </w:rPr>
      </w:pPr>
      <w:r w:rsidRPr="00507A31">
        <w:rPr>
          <w:color w:val="000000" w:themeColor="text1"/>
          <w:sz w:val="16"/>
          <w:szCs w:val="16"/>
        </w:rPr>
        <w:t>Однако, может быть, вредителей, членов промышленной партии, не нужно было предавать суду? Нет и трижды нет. Вредителей в советском государстве нужно уничтожить. Мы, как марксисты, ленинцы, стоим за революционный террор. Но мы говорим больше того. Недостаточно выхватить тут и там несколько вредителей, предать их суду и расстрелять. Значительно более необходимо, чтобы общая политика Сталина изменилась и чтобы против всей буржуазии проводилась планомерная систематическая политика пролетариата, чтобы быть в состоянии ответить на все их нападки во всех формах. Но для этого необходимо порвать и в теории и на практике со сталинским центризмом, необходимо вернуться к ленинским принципам, которые дают возможность пролетариату, как господствующему классу, чтобы бороться и победить буржуазию в интернациональной совместной работе, под руководством коммунистов.</w:t>
      </w:r>
    </w:p>
    <w:p w14:paraId="0D13A78E" w14:textId="77777777" w:rsidR="00C641F9" w:rsidRPr="00507A31" w:rsidRDefault="00C641F9" w:rsidP="00507A31">
      <w:pPr>
        <w:jc w:val="both"/>
        <w:rPr>
          <w:color w:val="000000" w:themeColor="text1"/>
          <w:sz w:val="16"/>
          <w:szCs w:val="16"/>
        </w:rPr>
      </w:pPr>
      <w:r w:rsidRPr="00507A31">
        <w:rPr>
          <w:color w:val="000000" w:themeColor="text1"/>
          <w:sz w:val="16"/>
          <w:szCs w:val="16"/>
        </w:rPr>
        <w:t>Д. 356. Л. 41-46. Машинописная копия того времени. Вверху справа напечатано «“Фольксвилле” 28 ноября [19]30 г.» (18652).</w:t>
      </w:r>
    </w:p>
    <w:p w14:paraId="460FAF34" w14:textId="77777777" w:rsidR="00C641F9" w:rsidRPr="00507A31" w:rsidRDefault="00C641F9" w:rsidP="00507A31">
      <w:pPr>
        <w:jc w:val="both"/>
        <w:rPr>
          <w:color w:val="000000" w:themeColor="text1"/>
          <w:sz w:val="16"/>
          <w:szCs w:val="16"/>
        </w:rPr>
      </w:pPr>
    </w:p>
    <w:p w14:paraId="62C135B4" w14:textId="77777777" w:rsidR="00C641F9" w:rsidRPr="00507A31" w:rsidRDefault="00C641F9" w:rsidP="00507A31">
      <w:pPr>
        <w:jc w:val="both"/>
        <w:rPr>
          <w:bCs/>
          <w:color w:val="000000" w:themeColor="text1"/>
          <w:sz w:val="16"/>
          <w:szCs w:val="16"/>
        </w:rPr>
      </w:pPr>
      <w:r w:rsidRPr="00507A31">
        <w:rPr>
          <w:color w:val="000000" w:themeColor="text1"/>
          <w:sz w:val="16"/>
          <w:szCs w:val="16"/>
        </w:rPr>
        <w:t>28 ноября 1930 г.</w:t>
      </w:r>
    </w:p>
    <w:p w14:paraId="29363619" w14:textId="77777777" w:rsidR="00C641F9" w:rsidRPr="00507A31" w:rsidRDefault="00C641F9" w:rsidP="00507A31">
      <w:pPr>
        <w:jc w:val="both"/>
        <w:rPr>
          <w:bCs/>
          <w:color w:val="000000" w:themeColor="text1"/>
          <w:sz w:val="16"/>
          <w:szCs w:val="16"/>
        </w:rPr>
      </w:pPr>
      <w:r w:rsidRPr="00507A31">
        <w:rPr>
          <w:color w:val="000000" w:themeColor="text1"/>
          <w:sz w:val="16"/>
          <w:szCs w:val="16"/>
        </w:rPr>
        <w:t>«Выписка из дневника» Н. Н. Крестинского о встрече с послом Франции в СССР Эрбетом от 28 ноября 1930 г.</w:t>
      </w:r>
    </w:p>
    <w:p w14:paraId="1FC632A7" w14:textId="77777777" w:rsidR="00C641F9" w:rsidRPr="00507A31" w:rsidRDefault="00C641F9" w:rsidP="00507A31">
      <w:pPr>
        <w:jc w:val="both"/>
        <w:rPr>
          <w:bCs/>
          <w:color w:val="000000" w:themeColor="text1"/>
          <w:sz w:val="16"/>
          <w:szCs w:val="16"/>
        </w:rPr>
      </w:pPr>
      <w:r w:rsidRPr="00507A31">
        <w:rPr>
          <w:bCs/>
          <w:color w:val="000000" w:themeColor="text1"/>
          <w:sz w:val="16"/>
          <w:szCs w:val="16"/>
        </w:rPr>
        <w:t>Источник: </w:t>
      </w:r>
    </w:p>
    <w:p w14:paraId="1191F4C8" w14:textId="77777777" w:rsidR="00C641F9" w:rsidRPr="00507A31" w:rsidRDefault="00C641F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7685468" w14:textId="77777777" w:rsidR="00C641F9" w:rsidRPr="00507A31" w:rsidRDefault="00C641F9" w:rsidP="00507A31">
      <w:pPr>
        <w:jc w:val="both"/>
        <w:rPr>
          <w:bCs/>
          <w:color w:val="000000" w:themeColor="text1"/>
          <w:sz w:val="16"/>
          <w:szCs w:val="16"/>
        </w:rPr>
      </w:pPr>
      <w:r w:rsidRPr="00507A31">
        <w:rPr>
          <w:bCs/>
          <w:color w:val="000000" w:themeColor="text1"/>
          <w:sz w:val="16"/>
          <w:szCs w:val="16"/>
        </w:rPr>
        <w:t>Архив: </w:t>
      </w:r>
    </w:p>
    <w:p w14:paraId="687AD2A6" w14:textId="77777777" w:rsidR="00C641F9" w:rsidRPr="00507A31" w:rsidRDefault="00C641F9" w:rsidP="00507A31">
      <w:pPr>
        <w:jc w:val="both"/>
        <w:rPr>
          <w:color w:val="000000" w:themeColor="text1"/>
          <w:sz w:val="16"/>
          <w:szCs w:val="16"/>
        </w:rPr>
      </w:pPr>
      <w:r w:rsidRPr="00507A31">
        <w:rPr>
          <w:color w:val="000000" w:themeColor="text1"/>
          <w:sz w:val="16"/>
          <w:szCs w:val="16"/>
        </w:rPr>
        <w:t>АВП РФ. Ф. 0136. On. 14. П. 140. Д. 593. Л. 182, 180, 181</w:t>
      </w:r>
    </w:p>
    <w:p w14:paraId="4AF02556" w14:textId="77777777" w:rsidR="00C641F9" w:rsidRPr="00507A31" w:rsidRDefault="00C641F9" w:rsidP="00507A31">
      <w:pPr>
        <w:pStyle w:val="rteright"/>
        <w:spacing w:before="0" w:after="0"/>
        <w:jc w:val="both"/>
        <w:rPr>
          <w:color w:val="000000" w:themeColor="text1"/>
          <w:sz w:val="16"/>
          <w:szCs w:val="16"/>
        </w:rPr>
      </w:pPr>
      <w:r w:rsidRPr="00507A31">
        <w:rPr>
          <w:color w:val="000000" w:themeColor="text1"/>
          <w:sz w:val="16"/>
          <w:szCs w:val="16"/>
        </w:rPr>
        <w:t>от 28 ноября 1930 г.</w:t>
      </w:r>
    </w:p>
    <w:p w14:paraId="79D537D2" w14:textId="77777777" w:rsidR="00C641F9" w:rsidRPr="00507A31" w:rsidRDefault="00C641F9"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03CB5C7E"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Выписка</w:t>
      </w:r>
    </w:p>
    <w:p w14:paraId="2BA80226"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из дневника тов. Крестинского от 28 ноября 1930 г.</w:t>
      </w:r>
    </w:p>
    <w:p w14:paraId="6767445E"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Третьего дня Эрбетт позвонил в мой секретариат и просил принять его на другой день 27-го между 12 и 2 часами дня. Я ответил, что 27[-го] я весь день занят и назначил ему прием на 28[-е] в половине первого.</w:t>
      </w:r>
    </w:p>
    <w:p w14:paraId="7FB6BECF"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Эрбетт начал с того, что, вопреки моему заявлению в одном из наших прежних разговоров, что мы отнюдь не стремимся к ухудшению отношений с Францией, наша пресса делает все возможное, чтобы ухудшить наши отношения. Он ссылался на одну из статей в «Известиях» от 14 ноября, затем на фельетон Рыклина в «Известиях» от 27 числа и на письмо Горького, которое раздается даже публике в заседании. Правительство поручило ему обратить внимание советского правительства на то, что такое поведение прессы не может не вызвать ухудшения отношений.</w:t>
      </w:r>
    </w:p>
    <w:p w14:paraId="20C30449"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Я ответил Эрбетту, что совершенно не понимаю, как он может предъявлять какие-либо претензии в связи с поведением нашей прессы. Французская печать бесчисленное количество раз позволяла себе самые отборные ругательства по отношению к нашим официальным лицам. Трудно найти такое бранное слово, которое не употреблялось бы на страницах французских газет по отношению к Довгалевскому, Аренсу и другим членам нашего посольства в Париже. Наши представления министерству иностранных дел оставались безрезультатными, ввиду ссылки министерства на существующую во Франции свободу печати.</w:t>
      </w:r>
    </w:p>
    <w:p w14:paraId="74882C5F"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Нельзя иметь двух различных мерок — одной для французской, другой для советской печати. Если французская печать может по малейшему поводу и даже без всякого повода осыпать грубыми ругательствами наших официальных лиц и наше посольство, то как может французское правительство высказывать свое недовольство, если наша печать дает на своих страницах выход выражению того беспокойства и того возмущения, которые испытывают самые широкие круги советской общественности в связи с раскрывающимися на процессе планами интервенции.</w:t>
      </w:r>
    </w:p>
    <w:p w14:paraId="271B4022"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Мы и формально не можем запретить нашей печати осуществлять принадлежащее ей право свободно высказываться, я и политически не вижу оснований делать подобные попытки.</w:t>
      </w:r>
    </w:p>
    <w:p w14:paraId="5B78297F"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Эрбетт указал, что в «Рабочей Газете» появилась заметка, прозрачно наме[к]ающая на шпионскую деятельность посольства, ибо в ней говорится о хорошем особняке на одном из московских переулков, о дипломатических фраках, о флажке на автомобиле и т. п.</w:t>
      </w:r>
    </w:p>
    <w:p w14:paraId="2BDCE27A"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Так как в то же время председательствующий на суде Вышинский при допросе одного из обвиняемых запретил ему называть в открытом заседании полные фамилии и имена находящихся в Москве официальных лиц, то он считает, что председатель тем самым пытался внушить присутствовавшим зрителям предположение, что некоторые члены французского посольства изобличены, как соучастники подсудимых.</w:t>
      </w:r>
    </w:p>
    <w:p w14:paraId="53E92707"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 xml:space="preserve">Я выразил изумление, как Эрбетт может усматривать в заявлении председателя враждебное выступление против французского посольства в то время, как оно сделано в защиту французских должностных лиц. Эти их показания приведены в обвинительном заключении, причем фамилии в обвинительном заключении не названы, а </w:t>
      </w:r>
      <w:r w:rsidRPr="00507A31">
        <w:rPr>
          <w:color w:val="000000" w:themeColor="text1"/>
          <w:sz w:val="16"/>
          <w:szCs w:val="16"/>
        </w:rPr>
        <w:lastRenderedPageBreak/>
        <w:t>стоят инициалы. Совершенно естественно, что когда подсудимые в судебном заседании в своих объяснениях подошли к этой теме, то председатель, желая предотвратить произнесение в открытом заседании полных имен, предупредил подсудимых, что это можно будет сделать лишь в закрытом заседании.</w:t>
      </w:r>
    </w:p>
    <w:p w14:paraId="328B270A"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Эрбетт пытался поставить вопрос так, что если те или другие сотрудники посольства подозреваются нами в преступных деяниях, то он просит предъявить ему эти обвинения и обосновать их. Я ответил, что решение вопроса о том, ставить ли перед французским правительством вопрос о деятельности тех или других его агентов и когда ставить принадлежит целиком нам. До окончания суда я не считаю нужным говорить с ним на эту тему.</w:t>
      </w:r>
    </w:p>
    <w:p w14:paraId="1F6568E7"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Далее, оговорившись, что об этой части разговора он ничего не будет писать в Париж, Эрбетт обратил мое внимание на то, что охрана французского посольства милиционерами и агентами производится таким образом, что резко бросается в глаза. Не только на улице находятся усиленные наряды, но и в соседних дворах прогуливаются милиционеры. На посещающих его французов это производит впечатление не столько охраны, сколько блокирования французского посольства.</w:t>
      </w:r>
    </w:p>
    <w:p w14:paraId="10761739"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Я ответил, что это его заявление удивляет меня еще больше, чем предыдущее. Ведь он сам два раза в разговоре со мной выражал опасение, как бы не произошли какие-нибудь эксцессы по отношению к французскому посольству. Первый такой разговор имел место в день опубликования обвинительного акта, второй — накануне открытия процесса, в связи с происходившей демонстрацией. После обоих разговоров я сносился с внутренними органами и просил принять меры к охране французского посольства. Эти мои просьбы были выполнены. Что же касается формы охраны и количества необходимых для этого милиционеров, то это вопрос, в котором и я, и он не являемся специалистами. Предоставим его руководителям московской милиции. Эрбетт подтвердил, что он обращался ко мне дважды с изложением своих опасений, причем, правда, имея в виду безопасность не столько посольства, сколько живущих в разных местах СССР французских граждан. Он не возражает против продолжения охраны посольства, просит лишь меня обратить внимание местных органов на то, чтобы охрана меньше бросалась в глаза посторонним.</w:t>
      </w:r>
    </w:p>
    <w:p w14:paraId="1D65AD1E" w14:textId="77777777" w:rsidR="00C641F9" w:rsidRPr="00507A31" w:rsidRDefault="00C641F9"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182, 180, 181. Заверенные машинописные копии того времени. Выписки на трех листах; на каждом из них напечатано «Выписка из дневника тов. Крестинского от 28 ноября 1930 г.», ниже написано от руки «стр. 31»; вверху справа напечатано «СЕКРЕТНО», внизу формула «верно:» (машинописью) и подпись-автограф заверяющего лица «Трофимов». Также на каждом листе внизу слева машинописная делопроизводственная помета «2 экз. № 2»; вверху написано от руки «В дело» (18816).</w:t>
      </w:r>
    </w:p>
    <w:p w14:paraId="60AF0F58" w14:textId="77777777" w:rsidR="00C641F9" w:rsidRPr="00507A31" w:rsidRDefault="00C641F9" w:rsidP="00507A31">
      <w:pPr>
        <w:jc w:val="both"/>
        <w:rPr>
          <w:color w:val="000000" w:themeColor="text1"/>
          <w:sz w:val="16"/>
          <w:szCs w:val="16"/>
        </w:rPr>
      </w:pPr>
    </w:p>
    <w:p w14:paraId="36EC8CB2" w14:textId="77777777" w:rsidR="00C641F9" w:rsidRPr="00507A31" w:rsidRDefault="00C641F9" w:rsidP="00507A31">
      <w:pPr>
        <w:jc w:val="both"/>
        <w:rPr>
          <w:color w:val="000000" w:themeColor="text1"/>
          <w:sz w:val="16"/>
          <w:szCs w:val="16"/>
        </w:rPr>
      </w:pPr>
      <w:r w:rsidRPr="00507A31">
        <w:rPr>
          <w:color w:val="000000" w:themeColor="text1"/>
          <w:sz w:val="16"/>
          <w:szCs w:val="16"/>
        </w:rPr>
        <w:t>http://istmat.info/node/61426</w:t>
      </w:r>
    </w:p>
    <w:p w14:paraId="2BDE4775" w14:textId="77777777" w:rsidR="00C641F9" w:rsidRPr="00507A31" w:rsidRDefault="00C641F9" w:rsidP="00507A31">
      <w:pPr>
        <w:jc w:val="both"/>
        <w:rPr>
          <w:color w:val="000000" w:themeColor="text1"/>
          <w:sz w:val="16"/>
          <w:szCs w:val="16"/>
        </w:rPr>
      </w:pPr>
    </w:p>
    <w:p w14:paraId="09680F3A" w14:textId="77777777" w:rsidR="00C641F9" w:rsidRPr="00507A31" w:rsidRDefault="00C641F9" w:rsidP="00507A31">
      <w:pPr>
        <w:jc w:val="both"/>
        <w:rPr>
          <w:bCs/>
          <w:color w:val="000000" w:themeColor="text1"/>
          <w:sz w:val="16"/>
          <w:szCs w:val="16"/>
        </w:rPr>
      </w:pPr>
      <w:r w:rsidRPr="00507A31">
        <w:rPr>
          <w:color w:val="000000" w:themeColor="text1"/>
          <w:sz w:val="16"/>
          <w:szCs w:val="16"/>
        </w:rPr>
        <w:t>28 ноября 1930 г.</w:t>
      </w:r>
    </w:p>
    <w:p w14:paraId="781CCEA0" w14:textId="77777777" w:rsidR="00C641F9" w:rsidRPr="00507A31" w:rsidRDefault="00C641F9" w:rsidP="00507A31">
      <w:pPr>
        <w:jc w:val="both"/>
        <w:rPr>
          <w:bCs/>
          <w:color w:val="000000" w:themeColor="text1"/>
          <w:sz w:val="16"/>
          <w:szCs w:val="16"/>
        </w:rPr>
      </w:pPr>
      <w:r w:rsidRPr="00507A31">
        <w:rPr>
          <w:color w:val="000000" w:themeColor="text1"/>
          <w:sz w:val="16"/>
          <w:szCs w:val="16"/>
        </w:rPr>
        <w:t>«План проведения кампании в связи с судебным процессом “Промпартии” по линии Научно- технического и Художественного Сект[оров] ВОКС». 28 ноября 1930 г.</w:t>
      </w:r>
    </w:p>
    <w:p w14:paraId="042FD6ED" w14:textId="77777777" w:rsidR="00C641F9" w:rsidRPr="00507A31" w:rsidRDefault="00C641F9" w:rsidP="00507A31">
      <w:pPr>
        <w:jc w:val="both"/>
        <w:rPr>
          <w:bCs/>
          <w:color w:val="000000" w:themeColor="text1"/>
          <w:sz w:val="16"/>
          <w:szCs w:val="16"/>
        </w:rPr>
      </w:pPr>
      <w:r w:rsidRPr="00507A31">
        <w:rPr>
          <w:bCs/>
          <w:color w:val="000000" w:themeColor="text1"/>
          <w:sz w:val="16"/>
          <w:szCs w:val="16"/>
        </w:rPr>
        <w:t>Источник: </w:t>
      </w:r>
    </w:p>
    <w:p w14:paraId="3A54ECE2" w14:textId="77777777" w:rsidR="00C641F9" w:rsidRPr="00507A31" w:rsidRDefault="00C641F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7106913" w14:textId="77777777" w:rsidR="00C641F9" w:rsidRPr="00507A31" w:rsidRDefault="00C641F9" w:rsidP="00507A31">
      <w:pPr>
        <w:jc w:val="both"/>
        <w:rPr>
          <w:bCs/>
          <w:color w:val="000000" w:themeColor="text1"/>
          <w:sz w:val="16"/>
          <w:szCs w:val="16"/>
        </w:rPr>
      </w:pPr>
      <w:r w:rsidRPr="00507A31">
        <w:rPr>
          <w:bCs/>
          <w:color w:val="000000" w:themeColor="text1"/>
          <w:sz w:val="16"/>
          <w:szCs w:val="16"/>
        </w:rPr>
        <w:t>Архив: </w:t>
      </w:r>
    </w:p>
    <w:p w14:paraId="7B9BE8F9" w14:textId="77777777" w:rsidR="00C641F9" w:rsidRPr="00507A31" w:rsidRDefault="00C641F9" w:rsidP="00507A31">
      <w:pPr>
        <w:jc w:val="both"/>
        <w:rPr>
          <w:color w:val="000000" w:themeColor="text1"/>
          <w:sz w:val="16"/>
          <w:szCs w:val="16"/>
        </w:rPr>
      </w:pPr>
      <w:r w:rsidRPr="00507A31">
        <w:rPr>
          <w:color w:val="000000" w:themeColor="text1"/>
          <w:sz w:val="16"/>
          <w:szCs w:val="16"/>
        </w:rPr>
        <w:t>ГА РФ. Ф. P-5283. On. 1.Д. 139. Л. 38-39</w:t>
      </w:r>
    </w:p>
    <w:p w14:paraId="274587F4"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I. По линии мобилизации советской общественности на борьбу с подготовкой интервенции.</w:t>
      </w:r>
    </w:p>
    <w:p w14:paraId="317D59E8"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При проведении мероприятий этого раздела надо взять установку на создание благодаря кампании крепкого общественного актива вокруг секций ВОКСа и его последующее закрепление для постоянной работы.</w:t>
      </w:r>
    </w:p>
    <w:tbl>
      <w:tblPr>
        <w:tblStyle w:val="aff9"/>
        <w:tblW w:w="23107" w:type="dxa"/>
        <w:tblLook w:val="04A0" w:firstRow="1" w:lastRow="0" w:firstColumn="1" w:lastColumn="0" w:noHBand="0" w:noVBand="1"/>
      </w:tblPr>
      <w:tblGrid>
        <w:gridCol w:w="3851"/>
        <w:gridCol w:w="3851"/>
        <w:gridCol w:w="3851"/>
        <w:gridCol w:w="3851"/>
        <w:gridCol w:w="3851"/>
        <w:gridCol w:w="3852"/>
      </w:tblGrid>
      <w:tr w:rsidR="00E371BA" w:rsidRPr="00507A31" w14:paraId="2A78F189" w14:textId="77777777" w:rsidTr="00DE6527">
        <w:tc>
          <w:tcPr>
            <w:tcW w:w="3851" w:type="dxa"/>
            <w:vAlign w:val="center"/>
          </w:tcPr>
          <w:p w14:paraId="30EEF0F3" w14:textId="77777777" w:rsidR="00C641F9" w:rsidRPr="00507A31" w:rsidRDefault="00C641F9" w:rsidP="00507A31">
            <w:pPr>
              <w:jc w:val="both"/>
              <w:rPr>
                <w:color w:val="000000" w:themeColor="text1"/>
                <w:sz w:val="16"/>
                <w:szCs w:val="16"/>
              </w:rPr>
            </w:pPr>
            <w:r w:rsidRPr="00507A31">
              <w:rPr>
                <w:color w:val="000000" w:themeColor="text1"/>
                <w:sz w:val="16"/>
                <w:szCs w:val="16"/>
              </w:rPr>
              <w:t>Содержание мероприятия</w:t>
            </w:r>
          </w:p>
        </w:tc>
        <w:tc>
          <w:tcPr>
            <w:tcW w:w="3851" w:type="dxa"/>
            <w:vAlign w:val="center"/>
          </w:tcPr>
          <w:p w14:paraId="599E61AF" w14:textId="77777777" w:rsidR="00C641F9" w:rsidRPr="00507A31" w:rsidRDefault="00C641F9" w:rsidP="00507A31">
            <w:pPr>
              <w:jc w:val="both"/>
              <w:rPr>
                <w:color w:val="000000" w:themeColor="text1"/>
                <w:sz w:val="16"/>
                <w:szCs w:val="16"/>
              </w:rPr>
            </w:pPr>
            <w:r w:rsidRPr="00507A31">
              <w:rPr>
                <w:color w:val="000000" w:themeColor="text1"/>
                <w:sz w:val="16"/>
                <w:szCs w:val="16"/>
              </w:rPr>
              <w:t>Ответствен. Исполнитель</w:t>
            </w:r>
          </w:p>
        </w:tc>
        <w:tc>
          <w:tcPr>
            <w:tcW w:w="3851" w:type="dxa"/>
            <w:vAlign w:val="center"/>
          </w:tcPr>
          <w:p w14:paraId="2C165463" w14:textId="77777777" w:rsidR="00C641F9" w:rsidRPr="00507A31" w:rsidRDefault="00C641F9" w:rsidP="00507A31">
            <w:pPr>
              <w:jc w:val="both"/>
              <w:rPr>
                <w:color w:val="000000" w:themeColor="text1"/>
                <w:sz w:val="16"/>
                <w:szCs w:val="16"/>
              </w:rPr>
            </w:pPr>
            <w:r w:rsidRPr="00507A31">
              <w:rPr>
                <w:color w:val="000000" w:themeColor="text1"/>
                <w:sz w:val="16"/>
                <w:szCs w:val="16"/>
              </w:rPr>
              <w:t>Срок выполнения</w:t>
            </w:r>
          </w:p>
        </w:tc>
        <w:tc>
          <w:tcPr>
            <w:tcW w:w="3851" w:type="dxa"/>
          </w:tcPr>
          <w:p w14:paraId="6FB01D53" w14:textId="77777777" w:rsidR="00C641F9" w:rsidRPr="00507A31" w:rsidRDefault="00C641F9" w:rsidP="00507A31">
            <w:pPr>
              <w:pStyle w:val="ae"/>
              <w:spacing w:before="0" w:after="0"/>
              <w:jc w:val="both"/>
              <w:rPr>
                <w:color w:val="000000" w:themeColor="text1"/>
                <w:sz w:val="16"/>
                <w:szCs w:val="16"/>
              </w:rPr>
            </w:pPr>
          </w:p>
        </w:tc>
        <w:tc>
          <w:tcPr>
            <w:tcW w:w="3851" w:type="dxa"/>
          </w:tcPr>
          <w:p w14:paraId="5261DE4E" w14:textId="77777777" w:rsidR="00C641F9" w:rsidRPr="00507A31" w:rsidRDefault="00C641F9" w:rsidP="00507A31">
            <w:pPr>
              <w:pStyle w:val="ae"/>
              <w:spacing w:before="0" w:after="0"/>
              <w:jc w:val="both"/>
              <w:rPr>
                <w:color w:val="000000" w:themeColor="text1"/>
                <w:sz w:val="16"/>
                <w:szCs w:val="16"/>
              </w:rPr>
            </w:pPr>
          </w:p>
        </w:tc>
        <w:tc>
          <w:tcPr>
            <w:tcW w:w="3852" w:type="dxa"/>
          </w:tcPr>
          <w:p w14:paraId="0F9A3892" w14:textId="77777777" w:rsidR="00C641F9" w:rsidRPr="00507A31" w:rsidRDefault="00C641F9" w:rsidP="00507A31">
            <w:pPr>
              <w:pStyle w:val="ae"/>
              <w:spacing w:before="0" w:after="0"/>
              <w:jc w:val="both"/>
              <w:rPr>
                <w:color w:val="000000" w:themeColor="text1"/>
                <w:sz w:val="16"/>
                <w:szCs w:val="16"/>
              </w:rPr>
            </w:pPr>
          </w:p>
        </w:tc>
      </w:tr>
      <w:tr w:rsidR="00E371BA" w:rsidRPr="00507A31" w14:paraId="31F29215" w14:textId="77777777" w:rsidTr="00DE6527">
        <w:tc>
          <w:tcPr>
            <w:tcW w:w="3851" w:type="dxa"/>
            <w:vAlign w:val="center"/>
          </w:tcPr>
          <w:p w14:paraId="7CD6ECF5" w14:textId="77777777" w:rsidR="00C641F9" w:rsidRPr="00507A31" w:rsidRDefault="00C641F9" w:rsidP="00507A31">
            <w:pPr>
              <w:jc w:val="both"/>
              <w:rPr>
                <w:color w:val="000000" w:themeColor="text1"/>
                <w:sz w:val="16"/>
                <w:szCs w:val="16"/>
              </w:rPr>
            </w:pPr>
            <w:r w:rsidRPr="00507A31">
              <w:rPr>
                <w:color w:val="000000" w:themeColor="text1"/>
                <w:sz w:val="16"/>
                <w:szCs w:val="16"/>
              </w:rPr>
              <w:t>1. Организовать массовый сбор подписей под резолюцией против вредительства, принятой на митинге 23.XI среди членов секций и выдающихся деятелей науки и искусства для передачи их с соответствующей расшифровкой имен за границу.</w:t>
            </w:r>
          </w:p>
        </w:tc>
        <w:tc>
          <w:tcPr>
            <w:tcW w:w="3851" w:type="dxa"/>
            <w:vAlign w:val="center"/>
          </w:tcPr>
          <w:p w14:paraId="5C4D6B30" w14:textId="77777777" w:rsidR="00C641F9" w:rsidRPr="00507A31" w:rsidRDefault="00C641F9" w:rsidP="00507A31">
            <w:pPr>
              <w:jc w:val="both"/>
              <w:rPr>
                <w:color w:val="000000" w:themeColor="text1"/>
                <w:sz w:val="16"/>
                <w:szCs w:val="16"/>
              </w:rPr>
            </w:pPr>
            <w:r w:rsidRPr="00507A31">
              <w:rPr>
                <w:color w:val="000000" w:themeColor="text1"/>
                <w:sz w:val="16"/>
                <w:szCs w:val="16"/>
              </w:rPr>
              <w:t>Секретари всех секций, входящих в Технический] и худож. сектор по Москве, по периферии — работники отделений ВОКС.</w:t>
            </w:r>
          </w:p>
        </w:tc>
        <w:tc>
          <w:tcPr>
            <w:tcW w:w="3851" w:type="dxa"/>
            <w:vAlign w:val="center"/>
          </w:tcPr>
          <w:p w14:paraId="2115F7C4" w14:textId="77777777" w:rsidR="00C641F9" w:rsidRPr="00507A31" w:rsidRDefault="00C641F9" w:rsidP="00507A31">
            <w:pPr>
              <w:jc w:val="both"/>
              <w:rPr>
                <w:color w:val="000000" w:themeColor="text1"/>
                <w:sz w:val="16"/>
                <w:szCs w:val="16"/>
              </w:rPr>
            </w:pPr>
            <w:r w:rsidRPr="00507A31">
              <w:rPr>
                <w:color w:val="000000" w:themeColor="text1"/>
                <w:sz w:val="16"/>
                <w:szCs w:val="16"/>
              </w:rPr>
              <w:t>15.XII</w:t>
            </w:r>
          </w:p>
        </w:tc>
        <w:tc>
          <w:tcPr>
            <w:tcW w:w="3851" w:type="dxa"/>
          </w:tcPr>
          <w:p w14:paraId="62CEE02F" w14:textId="77777777" w:rsidR="00C641F9" w:rsidRPr="00507A31" w:rsidRDefault="00C641F9" w:rsidP="00507A31">
            <w:pPr>
              <w:pStyle w:val="ae"/>
              <w:spacing w:before="0" w:after="0"/>
              <w:jc w:val="both"/>
              <w:rPr>
                <w:color w:val="000000" w:themeColor="text1"/>
                <w:sz w:val="16"/>
                <w:szCs w:val="16"/>
              </w:rPr>
            </w:pPr>
          </w:p>
        </w:tc>
        <w:tc>
          <w:tcPr>
            <w:tcW w:w="3851" w:type="dxa"/>
          </w:tcPr>
          <w:p w14:paraId="357B5DF1" w14:textId="77777777" w:rsidR="00C641F9" w:rsidRPr="00507A31" w:rsidRDefault="00C641F9" w:rsidP="00507A31">
            <w:pPr>
              <w:pStyle w:val="ae"/>
              <w:spacing w:before="0" w:after="0"/>
              <w:jc w:val="both"/>
              <w:rPr>
                <w:color w:val="000000" w:themeColor="text1"/>
                <w:sz w:val="16"/>
                <w:szCs w:val="16"/>
              </w:rPr>
            </w:pPr>
          </w:p>
        </w:tc>
        <w:tc>
          <w:tcPr>
            <w:tcW w:w="3852" w:type="dxa"/>
          </w:tcPr>
          <w:p w14:paraId="58CFAB7C" w14:textId="77777777" w:rsidR="00C641F9" w:rsidRPr="00507A31" w:rsidRDefault="00C641F9" w:rsidP="00507A31">
            <w:pPr>
              <w:pStyle w:val="ae"/>
              <w:spacing w:before="0" w:after="0"/>
              <w:jc w:val="both"/>
              <w:rPr>
                <w:color w:val="000000" w:themeColor="text1"/>
                <w:sz w:val="16"/>
                <w:szCs w:val="16"/>
              </w:rPr>
            </w:pPr>
          </w:p>
        </w:tc>
      </w:tr>
      <w:tr w:rsidR="00E371BA" w:rsidRPr="00507A31" w14:paraId="048CB1BA" w14:textId="77777777" w:rsidTr="00DE6527">
        <w:tc>
          <w:tcPr>
            <w:tcW w:w="3851" w:type="dxa"/>
            <w:vAlign w:val="center"/>
          </w:tcPr>
          <w:p w14:paraId="41DB07E5" w14:textId="77777777" w:rsidR="00C641F9" w:rsidRPr="00507A31" w:rsidRDefault="00C641F9" w:rsidP="00507A31">
            <w:pPr>
              <w:jc w:val="both"/>
              <w:rPr>
                <w:color w:val="000000" w:themeColor="text1"/>
                <w:sz w:val="16"/>
                <w:szCs w:val="16"/>
              </w:rPr>
            </w:pPr>
            <w:r w:rsidRPr="00507A31">
              <w:rPr>
                <w:color w:val="000000" w:themeColor="text1"/>
                <w:sz w:val="16"/>
                <w:szCs w:val="16"/>
              </w:rPr>
              <w:t>2. Организовать советскую общественность вокруг манифеста советских ученых против интервенции, который будет разработан на основе итогов процесса.</w:t>
            </w:r>
          </w:p>
        </w:tc>
        <w:tc>
          <w:tcPr>
            <w:tcW w:w="3851" w:type="dxa"/>
            <w:vAlign w:val="center"/>
          </w:tcPr>
          <w:p w14:paraId="0ACAB4FC" w14:textId="77777777" w:rsidR="00C641F9" w:rsidRPr="00507A31" w:rsidRDefault="00C641F9" w:rsidP="00507A31">
            <w:pPr>
              <w:jc w:val="both"/>
              <w:rPr>
                <w:color w:val="000000" w:themeColor="text1"/>
                <w:sz w:val="16"/>
                <w:szCs w:val="16"/>
              </w:rPr>
            </w:pPr>
            <w:r w:rsidRPr="00507A31">
              <w:rPr>
                <w:color w:val="000000" w:themeColor="text1"/>
                <w:sz w:val="16"/>
                <w:szCs w:val="16"/>
              </w:rPr>
              <w:t> </w:t>
            </w:r>
          </w:p>
        </w:tc>
        <w:tc>
          <w:tcPr>
            <w:tcW w:w="3851" w:type="dxa"/>
            <w:vAlign w:val="center"/>
          </w:tcPr>
          <w:p w14:paraId="1D8DE464" w14:textId="77777777" w:rsidR="00C641F9" w:rsidRPr="00507A31" w:rsidRDefault="00C641F9" w:rsidP="00507A31">
            <w:pPr>
              <w:jc w:val="both"/>
              <w:rPr>
                <w:color w:val="000000" w:themeColor="text1"/>
                <w:sz w:val="16"/>
                <w:szCs w:val="16"/>
              </w:rPr>
            </w:pPr>
            <w:r w:rsidRPr="00507A31">
              <w:rPr>
                <w:color w:val="000000" w:themeColor="text1"/>
                <w:sz w:val="16"/>
                <w:szCs w:val="16"/>
              </w:rPr>
              <w:t> </w:t>
            </w:r>
          </w:p>
        </w:tc>
        <w:tc>
          <w:tcPr>
            <w:tcW w:w="3851" w:type="dxa"/>
          </w:tcPr>
          <w:p w14:paraId="677F96AF" w14:textId="77777777" w:rsidR="00C641F9" w:rsidRPr="00507A31" w:rsidRDefault="00C641F9" w:rsidP="00507A31">
            <w:pPr>
              <w:pStyle w:val="ae"/>
              <w:spacing w:before="0" w:after="0"/>
              <w:jc w:val="both"/>
              <w:rPr>
                <w:color w:val="000000" w:themeColor="text1"/>
                <w:sz w:val="16"/>
                <w:szCs w:val="16"/>
              </w:rPr>
            </w:pPr>
          </w:p>
        </w:tc>
        <w:tc>
          <w:tcPr>
            <w:tcW w:w="3851" w:type="dxa"/>
          </w:tcPr>
          <w:p w14:paraId="24C4A6EB" w14:textId="77777777" w:rsidR="00C641F9" w:rsidRPr="00507A31" w:rsidRDefault="00C641F9" w:rsidP="00507A31">
            <w:pPr>
              <w:pStyle w:val="ae"/>
              <w:spacing w:before="0" w:after="0"/>
              <w:jc w:val="both"/>
              <w:rPr>
                <w:color w:val="000000" w:themeColor="text1"/>
                <w:sz w:val="16"/>
                <w:szCs w:val="16"/>
              </w:rPr>
            </w:pPr>
          </w:p>
        </w:tc>
        <w:tc>
          <w:tcPr>
            <w:tcW w:w="3852" w:type="dxa"/>
          </w:tcPr>
          <w:p w14:paraId="27445C11" w14:textId="77777777" w:rsidR="00C641F9" w:rsidRPr="00507A31" w:rsidRDefault="00C641F9" w:rsidP="00507A31">
            <w:pPr>
              <w:pStyle w:val="ae"/>
              <w:spacing w:before="0" w:after="0"/>
              <w:jc w:val="both"/>
              <w:rPr>
                <w:color w:val="000000" w:themeColor="text1"/>
                <w:sz w:val="16"/>
                <w:szCs w:val="16"/>
              </w:rPr>
            </w:pPr>
          </w:p>
        </w:tc>
      </w:tr>
      <w:tr w:rsidR="00E371BA" w:rsidRPr="00507A31" w14:paraId="5A1842B5" w14:textId="77777777" w:rsidTr="00DE6527">
        <w:tc>
          <w:tcPr>
            <w:tcW w:w="3851" w:type="dxa"/>
            <w:vAlign w:val="center"/>
          </w:tcPr>
          <w:p w14:paraId="248ACCDE" w14:textId="77777777" w:rsidR="00C641F9" w:rsidRPr="00507A31" w:rsidRDefault="00C641F9" w:rsidP="00507A31">
            <w:pPr>
              <w:jc w:val="both"/>
              <w:rPr>
                <w:color w:val="000000" w:themeColor="text1"/>
                <w:sz w:val="16"/>
                <w:szCs w:val="16"/>
              </w:rPr>
            </w:pPr>
            <w:r w:rsidRPr="00507A31">
              <w:rPr>
                <w:color w:val="000000" w:themeColor="text1"/>
                <w:sz w:val="16"/>
                <w:szCs w:val="16"/>
              </w:rPr>
              <w:t>3. Провести интервью с виднейшими деятелями науки и искусства по Москве об их отношении к интервенции (по 2 интервью по каждой специальности, представленной в секции ВОКС для использования этих материалов в Информ. Бюллетене.</w:t>
            </w:r>
          </w:p>
        </w:tc>
        <w:tc>
          <w:tcPr>
            <w:tcW w:w="3851" w:type="dxa"/>
            <w:vAlign w:val="center"/>
          </w:tcPr>
          <w:p w14:paraId="7BE21F23" w14:textId="77777777" w:rsidR="00C641F9" w:rsidRPr="00507A31" w:rsidRDefault="00C641F9" w:rsidP="00507A31">
            <w:pPr>
              <w:jc w:val="both"/>
              <w:rPr>
                <w:color w:val="000000" w:themeColor="text1"/>
                <w:sz w:val="16"/>
                <w:szCs w:val="16"/>
              </w:rPr>
            </w:pPr>
            <w:r w:rsidRPr="00507A31">
              <w:rPr>
                <w:color w:val="000000" w:themeColor="text1"/>
                <w:sz w:val="16"/>
                <w:szCs w:val="16"/>
              </w:rPr>
              <w:t>т. Брук по Науч.-Тех. сектору.</w:t>
            </w:r>
          </w:p>
          <w:p w14:paraId="2CD16E4A" w14:textId="77777777" w:rsidR="00C641F9" w:rsidRPr="00507A31" w:rsidRDefault="00C641F9" w:rsidP="00507A31">
            <w:pPr>
              <w:jc w:val="both"/>
              <w:rPr>
                <w:color w:val="000000" w:themeColor="text1"/>
                <w:sz w:val="16"/>
                <w:szCs w:val="16"/>
              </w:rPr>
            </w:pPr>
            <w:r w:rsidRPr="00507A31">
              <w:rPr>
                <w:color w:val="000000" w:themeColor="text1"/>
                <w:sz w:val="16"/>
                <w:szCs w:val="16"/>
              </w:rPr>
              <w:t>Т. Богомазов - по Худож. сектору.</w:t>
            </w:r>
          </w:p>
          <w:p w14:paraId="7980C800" w14:textId="77777777" w:rsidR="00C641F9" w:rsidRPr="00507A31" w:rsidRDefault="00C641F9" w:rsidP="00507A31">
            <w:pPr>
              <w:jc w:val="both"/>
              <w:rPr>
                <w:color w:val="000000" w:themeColor="text1"/>
                <w:sz w:val="16"/>
                <w:szCs w:val="16"/>
              </w:rPr>
            </w:pPr>
            <w:r w:rsidRPr="00507A31">
              <w:rPr>
                <w:color w:val="000000" w:themeColor="text1"/>
                <w:sz w:val="16"/>
                <w:szCs w:val="16"/>
              </w:rPr>
              <w:t>По периферии - через Отделения ВОКС.</w:t>
            </w:r>
          </w:p>
        </w:tc>
        <w:tc>
          <w:tcPr>
            <w:tcW w:w="3851" w:type="dxa"/>
            <w:vAlign w:val="center"/>
          </w:tcPr>
          <w:p w14:paraId="5C858DE7" w14:textId="77777777" w:rsidR="00C641F9" w:rsidRPr="00507A31" w:rsidRDefault="00C641F9" w:rsidP="00507A31">
            <w:pPr>
              <w:jc w:val="both"/>
              <w:rPr>
                <w:color w:val="000000" w:themeColor="text1"/>
                <w:sz w:val="16"/>
                <w:szCs w:val="16"/>
              </w:rPr>
            </w:pPr>
            <w:r w:rsidRPr="00507A31">
              <w:rPr>
                <w:color w:val="000000" w:themeColor="text1"/>
                <w:sz w:val="16"/>
                <w:szCs w:val="16"/>
              </w:rPr>
              <w:t>1.XII</w:t>
            </w:r>
          </w:p>
        </w:tc>
        <w:tc>
          <w:tcPr>
            <w:tcW w:w="3851" w:type="dxa"/>
          </w:tcPr>
          <w:p w14:paraId="0AA1B1F6" w14:textId="77777777" w:rsidR="00C641F9" w:rsidRPr="00507A31" w:rsidRDefault="00C641F9" w:rsidP="00507A31">
            <w:pPr>
              <w:pStyle w:val="ae"/>
              <w:spacing w:before="0" w:after="0"/>
              <w:jc w:val="both"/>
              <w:rPr>
                <w:color w:val="000000" w:themeColor="text1"/>
                <w:sz w:val="16"/>
                <w:szCs w:val="16"/>
              </w:rPr>
            </w:pPr>
          </w:p>
        </w:tc>
        <w:tc>
          <w:tcPr>
            <w:tcW w:w="3851" w:type="dxa"/>
          </w:tcPr>
          <w:p w14:paraId="7834D213" w14:textId="77777777" w:rsidR="00C641F9" w:rsidRPr="00507A31" w:rsidRDefault="00C641F9" w:rsidP="00507A31">
            <w:pPr>
              <w:pStyle w:val="ae"/>
              <w:spacing w:before="0" w:after="0"/>
              <w:jc w:val="both"/>
              <w:rPr>
                <w:color w:val="000000" w:themeColor="text1"/>
                <w:sz w:val="16"/>
                <w:szCs w:val="16"/>
              </w:rPr>
            </w:pPr>
          </w:p>
        </w:tc>
        <w:tc>
          <w:tcPr>
            <w:tcW w:w="3852" w:type="dxa"/>
          </w:tcPr>
          <w:p w14:paraId="1D6C2D72" w14:textId="77777777" w:rsidR="00C641F9" w:rsidRPr="00507A31" w:rsidRDefault="00C641F9" w:rsidP="00507A31">
            <w:pPr>
              <w:pStyle w:val="ae"/>
              <w:spacing w:before="0" w:after="0"/>
              <w:jc w:val="both"/>
              <w:rPr>
                <w:color w:val="000000" w:themeColor="text1"/>
                <w:sz w:val="16"/>
                <w:szCs w:val="16"/>
              </w:rPr>
            </w:pPr>
          </w:p>
        </w:tc>
      </w:tr>
      <w:tr w:rsidR="00E371BA" w:rsidRPr="00507A31" w14:paraId="19D304CD" w14:textId="77777777" w:rsidTr="00DE6527">
        <w:tc>
          <w:tcPr>
            <w:tcW w:w="3851" w:type="dxa"/>
            <w:vAlign w:val="center"/>
          </w:tcPr>
          <w:p w14:paraId="6FC400DA" w14:textId="77777777" w:rsidR="00C641F9" w:rsidRPr="00507A31" w:rsidRDefault="00C641F9" w:rsidP="00507A31">
            <w:pPr>
              <w:jc w:val="both"/>
              <w:rPr>
                <w:color w:val="000000" w:themeColor="text1"/>
                <w:sz w:val="16"/>
                <w:szCs w:val="16"/>
              </w:rPr>
            </w:pPr>
            <w:r w:rsidRPr="00507A31">
              <w:rPr>
                <w:color w:val="000000" w:themeColor="text1"/>
                <w:sz w:val="16"/>
                <w:szCs w:val="16"/>
              </w:rPr>
              <w:t>II. По работе с иностранцами, обслуживаемыми ВОКСом.</w:t>
            </w:r>
          </w:p>
        </w:tc>
        <w:tc>
          <w:tcPr>
            <w:tcW w:w="3851" w:type="dxa"/>
          </w:tcPr>
          <w:p w14:paraId="4D61A900" w14:textId="77777777" w:rsidR="00C641F9" w:rsidRPr="00507A31" w:rsidRDefault="00C641F9" w:rsidP="00507A31">
            <w:pPr>
              <w:pStyle w:val="ae"/>
              <w:spacing w:before="0" w:after="0"/>
              <w:jc w:val="both"/>
              <w:rPr>
                <w:color w:val="000000" w:themeColor="text1"/>
                <w:sz w:val="16"/>
                <w:szCs w:val="16"/>
              </w:rPr>
            </w:pPr>
          </w:p>
        </w:tc>
        <w:tc>
          <w:tcPr>
            <w:tcW w:w="3851" w:type="dxa"/>
          </w:tcPr>
          <w:p w14:paraId="369D3DF1" w14:textId="77777777" w:rsidR="00C641F9" w:rsidRPr="00507A31" w:rsidRDefault="00C641F9" w:rsidP="00507A31">
            <w:pPr>
              <w:pStyle w:val="ae"/>
              <w:spacing w:before="0" w:after="0"/>
              <w:jc w:val="both"/>
              <w:rPr>
                <w:color w:val="000000" w:themeColor="text1"/>
                <w:sz w:val="16"/>
                <w:szCs w:val="16"/>
              </w:rPr>
            </w:pPr>
          </w:p>
        </w:tc>
        <w:tc>
          <w:tcPr>
            <w:tcW w:w="3851" w:type="dxa"/>
          </w:tcPr>
          <w:p w14:paraId="495E1154" w14:textId="77777777" w:rsidR="00C641F9" w:rsidRPr="00507A31" w:rsidRDefault="00C641F9" w:rsidP="00507A31">
            <w:pPr>
              <w:pStyle w:val="ae"/>
              <w:spacing w:before="0" w:after="0"/>
              <w:jc w:val="both"/>
              <w:rPr>
                <w:color w:val="000000" w:themeColor="text1"/>
                <w:sz w:val="16"/>
                <w:szCs w:val="16"/>
              </w:rPr>
            </w:pPr>
          </w:p>
        </w:tc>
        <w:tc>
          <w:tcPr>
            <w:tcW w:w="3851" w:type="dxa"/>
          </w:tcPr>
          <w:p w14:paraId="38CBA7FF" w14:textId="77777777" w:rsidR="00C641F9" w:rsidRPr="00507A31" w:rsidRDefault="00C641F9" w:rsidP="00507A31">
            <w:pPr>
              <w:pStyle w:val="ae"/>
              <w:spacing w:before="0" w:after="0"/>
              <w:jc w:val="both"/>
              <w:rPr>
                <w:color w:val="000000" w:themeColor="text1"/>
                <w:sz w:val="16"/>
                <w:szCs w:val="16"/>
              </w:rPr>
            </w:pPr>
          </w:p>
        </w:tc>
        <w:tc>
          <w:tcPr>
            <w:tcW w:w="3852" w:type="dxa"/>
          </w:tcPr>
          <w:p w14:paraId="77F8AB5D" w14:textId="77777777" w:rsidR="00C641F9" w:rsidRPr="00507A31" w:rsidRDefault="00C641F9" w:rsidP="00507A31">
            <w:pPr>
              <w:pStyle w:val="ae"/>
              <w:spacing w:before="0" w:after="0"/>
              <w:jc w:val="both"/>
              <w:rPr>
                <w:color w:val="000000" w:themeColor="text1"/>
                <w:sz w:val="16"/>
                <w:szCs w:val="16"/>
              </w:rPr>
            </w:pPr>
          </w:p>
        </w:tc>
      </w:tr>
      <w:tr w:rsidR="00E371BA" w:rsidRPr="00507A31" w14:paraId="26B06643" w14:textId="77777777" w:rsidTr="00DE6527">
        <w:tc>
          <w:tcPr>
            <w:tcW w:w="3851" w:type="dxa"/>
            <w:vAlign w:val="center"/>
          </w:tcPr>
          <w:p w14:paraId="4F6BE33F" w14:textId="77777777" w:rsidR="00C641F9" w:rsidRPr="00507A31" w:rsidRDefault="00C641F9" w:rsidP="00507A31">
            <w:pPr>
              <w:jc w:val="both"/>
              <w:rPr>
                <w:color w:val="000000" w:themeColor="text1"/>
                <w:sz w:val="16"/>
                <w:szCs w:val="16"/>
              </w:rPr>
            </w:pPr>
            <w:r w:rsidRPr="00507A31">
              <w:rPr>
                <w:color w:val="000000" w:themeColor="text1"/>
                <w:sz w:val="16"/>
                <w:szCs w:val="16"/>
              </w:rPr>
              <w:t>1. Организовать при ВОКС в качестве базы для работы уголок «против интервенции», который бы включал все издания ВОКС в связи с процессом, соответствующую продукцию ГИЗа (книги, плакаты), фото, газетные вырезки, кинокадры и т. д., относящиеся к интервенции, а также отдельные моменты, характеризующие наше строительство.</w:t>
            </w:r>
          </w:p>
        </w:tc>
        <w:tc>
          <w:tcPr>
            <w:tcW w:w="3851" w:type="dxa"/>
            <w:vAlign w:val="center"/>
          </w:tcPr>
          <w:p w14:paraId="78F9B941" w14:textId="77777777" w:rsidR="00C641F9" w:rsidRPr="00507A31" w:rsidRDefault="00C641F9" w:rsidP="00507A31">
            <w:pPr>
              <w:jc w:val="both"/>
              <w:rPr>
                <w:color w:val="000000" w:themeColor="text1"/>
                <w:sz w:val="16"/>
                <w:szCs w:val="16"/>
              </w:rPr>
            </w:pPr>
            <w:r w:rsidRPr="00507A31">
              <w:rPr>
                <w:color w:val="000000" w:themeColor="text1"/>
                <w:sz w:val="16"/>
                <w:szCs w:val="16"/>
              </w:rPr>
              <w:t>т.т. Богомазов,</w:t>
            </w:r>
          </w:p>
          <w:p w14:paraId="1F44FCDC" w14:textId="77777777" w:rsidR="00C641F9" w:rsidRPr="00507A31" w:rsidRDefault="00C641F9" w:rsidP="00507A31">
            <w:pPr>
              <w:jc w:val="both"/>
              <w:rPr>
                <w:color w:val="000000" w:themeColor="text1"/>
                <w:sz w:val="16"/>
                <w:szCs w:val="16"/>
              </w:rPr>
            </w:pPr>
            <w:r w:rsidRPr="00507A31">
              <w:rPr>
                <w:color w:val="000000" w:themeColor="text1"/>
                <w:sz w:val="16"/>
                <w:szCs w:val="16"/>
              </w:rPr>
              <w:t>Мильман,</w:t>
            </w:r>
          </w:p>
          <w:p w14:paraId="34A53C58" w14:textId="77777777" w:rsidR="00C641F9" w:rsidRPr="00507A31" w:rsidRDefault="00C641F9" w:rsidP="00507A31">
            <w:pPr>
              <w:jc w:val="both"/>
              <w:rPr>
                <w:color w:val="000000" w:themeColor="text1"/>
                <w:sz w:val="16"/>
                <w:szCs w:val="16"/>
              </w:rPr>
            </w:pPr>
            <w:r w:rsidRPr="00507A31">
              <w:rPr>
                <w:color w:val="000000" w:themeColor="text1"/>
                <w:sz w:val="16"/>
                <w:szCs w:val="16"/>
              </w:rPr>
              <w:t>Кравченко.</w:t>
            </w:r>
          </w:p>
        </w:tc>
        <w:tc>
          <w:tcPr>
            <w:tcW w:w="3851" w:type="dxa"/>
            <w:vAlign w:val="center"/>
          </w:tcPr>
          <w:p w14:paraId="4208CD31" w14:textId="77777777" w:rsidR="00C641F9" w:rsidRPr="00507A31" w:rsidRDefault="00C641F9" w:rsidP="00507A31">
            <w:pPr>
              <w:jc w:val="both"/>
              <w:rPr>
                <w:color w:val="000000" w:themeColor="text1"/>
                <w:sz w:val="16"/>
                <w:szCs w:val="16"/>
              </w:rPr>
            </w:pPr>
            <w:r w:rsidRPr="00507A31">
              <w:rPr>
                <w:color w:val="000000" w:themeColor="text1"/>
                <w:sz w:val="16"/>
                <w:szCs w:val="16"/>
              </w:rPr>
              <w:t>Приурочить открытие к 10.XII с тем, чтобы уголок постепенно пополнялся свежим материалом.</w:t>
            </w:r>
          </w:p>
        </w:tc>
        <w:tc>
          <w:tcPr>
            <w:tcW w:w="3851" w:type="dxa"/>
          </w:tcPr>
          <w:p w14:paraId="66B4A6BE" w14:textId="77777777" w:rsidR="00C641F9" w:rsidRPr="00507A31" w:rsidRDefault="00C641F9" w:rsidP="00507A31">
            <w:pPr>
              <w:pStyle w:val="ae"/>
              <w:spacing w:before="0" w:after="0"/>
              <w:jc w:val="both"/>
              <w:rPr>
                <w:color w:val="000000" w:themeColor="text1"/>
                <w:sz w:val="16"/>
                <w:szCs w:val="16"/>
              </w:rPr>
            </w:pPr>
          </w:p>
        </w:tc>
        <w:tc>
          <w:tcPr>
            <w:tcW w:w="3851" w:type="dxa"/>
          </w:tcPr>
          <w:p w14:paraId="3B6DADFA" w14:textId="77777777" w:rsidR="00C641F9" w:rsidRPr="00507A31" w:rsidRDefault="00C641F9" w:rsidP="00507A31">
            <w:pPr>
              <w:pStyle w:val="ae"/>
              <w:spacing w:before="0" w:after="0"/>
              <w:jc w:val="both"/>
              <w:rPr>
                <w:color w:val="000000" w:themeColor="text1"/>
                <w:sz w:val="16"/>
                <w:szCs w:val="16"/>
              </w:rPr>
            </w:pPr>
          </w:p>
        </w:tc>
        <w:tc>
          <w:tcPr>
            <w:tcW w:w="3852" w:type="dxa"/>
          </w:tcPr>
          <w:p w14:paraId="79B81952" w14:textId="77777777" w:rsidR="00C641F9" w:rsidRPr="00507A31" w:rsidRDefault="00C641F9" w:rsidP="00507A31">
            <w:pPr>
              <w:pStyle w:val="ae"/>
              <w:spacing w:before="0" w:after="0"/>
              <w:jc w:val="both"/>
              <w:rPr>
                <w:color w:val="000000" w:themeColor="text1"/>
                <w:sz w:val="16"/>
                <w:szCs w:val="16"/>
              </w:rPr>
            </w:pPr>
          </w:p>
        </w:tc>
      </w:tr>
      <w:tr w:rsidR="00E371BA" w:rsidRPr="00507A31" w14:paraId="11A8DFC9" w14:textId="77777777" w:rsidTr="00DE6527">
        <w:tc>
          <w:tcPr>
            <w:tcW w:w="3851" w:type="dxa"/>
            <w:vAlign w:val="center"/>
          </w:tcPr>
          <w:p w14:paraId="584FDB66" w14:textId="77777777" w:rsidR="00C641F9" w:rsidRPr="00507A31" w:rsidRDefault="00C641F9" w:rsidP="00507A31">
            <w:pPr>
              <w:jc w:val="both"/>
              <w:rPr>
                <w:color w:val="000000" w:themeColor="text1"/>
                <w:sz w:val="16"/>
                <w:szCs w:val="16"/>
              </w:rPr>
            </w:pPr>
            <w:r w:rsidRPr="00507A31">
              <w:rPr>
                <w:color w:val="000000" w:themeColor="text1"/>
                <w:sz w:val="16"/>
                <w:szCs w:val="16"/>
              </w:rPr>
              <w:t>2. Проводить с приходящими иностранцами беседы о процессе и систематически снабжать их соответствующими изданиями ВОКС, иностранными газетами, издающимися в СССР, литературой (СССР на стройке и т. д.), открытками и др. материалами, характеризующими наше строительство.</w:t>
            </w:r>
          </w:p>
        </w:tc>
        <w:tc>
          <w:tcPr>
            <w:tcW w:w="3851" w:type="dxa"/>
            <w:vAlign w:val="center"/>
          </w:tcPr>
          <w:p w14:paraId="0AA0C7B4" w14:textId="77777777" w:rsidR="00C641F9" w:rsidRPr="00507A31" w:rsidRDefault="00C641F9" w:rsidP="00507A31">
            <w:pPr>
              <w:jc w:val="both"/>
              <w:rPr>
                <w:color w:val="000000" w:themeColor="text1"/>
                <w:sz w:val="16"/>
                <w:szCs w:val="16"/>
              </w:rPr>
            </w:pPr>
            <w:r w:rsidRPr="00507A31">
              <w:rPr>
                <w:color w:val="000000" w:themeColor="text1"/>
                <w:sz w:val="16"/>
                <w:szCs w:val="16"/>
              </w:rPr>
              <w:t>Проведение бесед возложить на референтов, членов ударной комиссии, т. Добину поручить представлять систематически (1 раз в декаду) соответствующие сводки о проделанной работе (как проходило снабжение литературой, сколько проведено бесед и т. д.).</w:t>
            </w:r>
          </w:p>
        </w:tc>
        <w:tc>
          <w:tcPr>
            <w:tcW w:w="3851" w:type="dxa"/>
            <w:vAlign w:val="center"/>
          </w:tcPr>
          <w:p w14:paraId="5519EA3A" w14:textId="77777777" w:rsidR="00C641F9" w:rsidRPr="00507A31" w:rsidRDefault="00C641F9" w:rsidP="00507A31">
            <w:pPr>
              <w:jc w:val="both"/>
              <w:rPr>
                <w:color w:val="000000" w:themeColor="text1"/>
                <w:sz w:val="16"/>
                <w:szCs w:val="16"/>
              </w:rPr>
            </w:pPr>
            <w:r w:rsidRPr="00507A31">
              <w:rPr>
                <w:color w:val="000000" w:themeColor="text1"/>
                <w:sz w:val="16"/>
                <w:szCs w:val="16"/>
              </w:rPr>
              <w:t>На время всей кампании.</w:t>
            </w:r>
          </w:p>
        </w:tc>
        <w:tc>
          <w:tcPr>
            <w:tcW w:w="3851" w:type="dxa"/>
          </w:tcPr>
          <w:p w14:paraId="5E3BA8DB" w14:textId="77777777" w:rsidR="00C641F9" w:rsidRPr="00507A31" w:rsidRDefault="00C641F9" w:rsidP="00507A31">
            <w:pPr>
              <w:pStyle w:val="ae"/>
              <w:spacing w:before="0" w:after="0"/>
              <w:jc w:val="both"/>
              <w:rPr>
                <w:color w:val="000000" w:themeColor="text1"/>
                <w:sz w:val="16"/>
                <w:szCs w:val="16"/>
              </w:rPr>
            </w:pPr>
          </w:p>
        </w:tc>
        <w:tc>
          <w:tcPr>
            <w:tcW w:w="3851" w:type="dxa"/>
          </w:tcPr>
          <w:p w14:paraId="31C9C814" w14:textId="77777777" w:rsidR="00C641F9" w:rsidRPr="00507A31" w:rsidRDefault="00C641F9" w:rsidP="00507A31">
            <w:pPr>
              <w:pStyle w:val="ae"/>
              <w:spacing w:before="0" w:after="0"/>
              <w:jc w:val="both"/>
              <w:rPr>
                <w:color w:val="000000" w:themeColor="text1"/>
                <w:sz w:val="16"/>
                <w:szCs w:val="16"/>
              </w:rPr>
            </w:pPr>
          </w:p>
        </w:tc>
        <w:tc>
          <w:tcPr>
            <w:tcW w:w="3852" w:type="dxa"/>
          </w:tcPr>
          <w:p w14:paraId="250D7E09" w14:textId="77777777" w:rsidR="00C641F9" w:rsidRPr="00507A31" w:rsidRDefault="00C641F9" w:rsidP="00507A31">
            <w:pPr>
              <w:pStyle w:val="ae"/>
              <w:spacing w:before="0" w:after="0"/>
              <w:jc w:val="both"/>
              <w:rPr>
                <w:color w:val="000000" w:themeColor="text1"/>
                <w:sz w:val="16"/>
                <w:szCs w:val="16"/>
              </w:rPr>
            </w:pPr>
          </w:p>
        </w:tc>
      </w:tr>
      <w:tr w:rsidR="00E371BA" w:rsidRPr="00507A31" w14:paraId="4F405A95" w14:textId="77777777" w:rsidTr="00DE6527">
        <w:tc>
          <w:tcPr>
            <w:tcW w:w="3851" w:type="dxa"/>
            <w:vAlign w:val="center"/>
          </w:tcPr>
          <w:p w14:paraId="169DE48F" w14:textId="77777777" w:rsidR="00C641F9" w:rsidRPr="00507A31" w:rsidRDefault="00C641F9" w:rsidP="00507A31">
            <w:pPr>
              <w:jc w:val="both"/>
              <w:rPr>
                <w:color w:val="000000" w:themeColor="text1"/>
                <w:sz w:val="16"/>
                <w:szCs w:val="16"/>
              </w:rPr>
            </w:pPr>
            <w:r w:rsidRPr="00507A31">
              <w:rPr>
                <w:color w:val="000000" w:themeColor="text1"/>
                <w:sz w:val="16"/>
                <w:szCs w:val="16"/>
              </w:rPr>
              <w:t>3. Разработать специальную программу посещений иностр. по Москве под углом зрения — что из себя представляла интервенция и чему она угрожает.</w:t>
            </w:r>
          </w:p>
        </w:tc>
        <w:tc>
          <w:tcPr>
            <w:tcW w:w="3851" w:type="dxa"/>
            <w:vAlign w:val="center"/>
          </w:tcPr>
          <w:p w14:paraId="425600D0" w14:textId="77777777" w:rsidR="00C641F9" w:rsidRPr="00507A31" w:rsidRDefault="00C641F9" w:rsidP="00507A31">
            <w:pPr>
              <w:jc w:val="both"/>
              <w:rPr>
                <w:color w:val="000000" w:themeColor="text1"/>
                <w:sz w:val="16"/>
                <w:szCs w:val="16"/>
              </w:rPr>
            </w:pPr>
            <w:r w:rsidRPr="00507A31">
              <w:rPr>
                <w:color w:val="000000" w:themeColor="text1"/>
                <w:sz w:val="16"/>
                <w:szCs w:val="16"/>
              </w:rPr>
              <w:t>Отдел по Приему с привлечением соответствующих секций.</w:t>
            </w:r>
          </w:p>
        </w:tc>
        <w:tc>
          <w:tcPr>
            <w:tcW w:w="3851" w:type="dxa"/>
            <w:vAlign w:val="center"/>
          </w:tcPr>
          <w:p w14:paraId="786A149C" w14:textId="77777777" w:rsidR="00C641F9" w:rsidRPr="00507A31" w:rsidRDefault="00C641F9" w:rsidP="00507A31">
            <w:pPr>
              <w:jc w:val="both"/>
              <w:rPr>
                <w:color w:val="000000" w:themeColor="text1"/>
                <w:sz w:val="16"/>
                <w:szCs w:val="16"/>
              </w:rPr>
            </w:pPr>
            <w:r w:rsidRPr="00507A31">
              <w:rPr>
                <w:color w:val="000000" w:themeColor="text1"/>
                <w:sz w:val="16"/>
                <w:szCs w:val="16"/>
              </w:rPr>
              <w:t>1.ХII</w:t>
            </w:r>
          </w:p>
        </w:tc>
        <w:tc>
          <w:tcPr>
            <w:tcW w:w="3851" w:type="dxa"/>
          </w:tcPr>
          <w:p w14:paraId="18A597D7" w14:textId="77777777" w:rsidR="00C641F9" w:rsidRPr="00507A31" w:rsidRDefault="00C641F9" w:rsidP="00507A31">
            <w:pPr>
              <w:pStyle w:val="ae"/>
              <w:spacing w:before="0" w:after="0"/>
              <w:jc w:val="both"/>
              <w:rPr>
                <w:color w:val="000000" w:themeColor="text1"/>
                <w:sz w:val="16"/>
                <w:szCs w:val="16"/>
              </w:rPr>
            </w:pPr>
          </w:p>
        </w:tc>
        <w:tc>
          <w:tcPr>
            <w:tcW w:w="3851" w:type="dxa"/>
          </w:tcPr>
          <w:p w14:paraId="23BECDA0" w14:textId="77777777" w:rsidR="00C641F9" w:rsidRPr="00507A31" w:rsidRDefault="00C641F9" w:rsidP="00507A31">
            <w:pPr>
              <w:pStyle w:val="ae"/>
              <w:spacing w:before="0" w:after="0"/>
              <w:jc w:val="both"/>
              <w:rPr>
                <w:color w:val="000000" w:themeColor="text1"/>
                <w:sz w:val="16"/>
                <w:szCs w:val="16"/>
              </w:rPr>
            </w:pPr>
          </w:p>
        </w:tc>
        <w:tc>
          <w:tcPr>
            <w:tcW w:w="3852" w:type="dxa"/>
          </w:tcPr>
          <w:p w14:paraId="69E347A4" w14:textId="77777777" w:rsidR="00C641F9" w:rsidRPr="00507A31" w:rsidRDefault="00C641F9" w:rsidP="00507A31">
            <w:pPr>
              <w:pStyle w:val="ae"/>
              <w:spacing w:before="0" w:after="0"/>
              <w:jc w:val="both"/>
              <w:rPr>
                <w:color w:val="000000" w:themeColor="text1"/>
                <w:sz w:val="16"/>
                <w:szCs w:val="16"/>
              </w:rPr>
            </w:pPr>
          </w:p>
        </w:tc>
      </w:tr>
      <w:tr w:rsidR="00E371BA" w:rsidRPr="00507A31" w14:paraId="3EAAAF7D" w14:textId="77777777" w:rsidTr="00DE6527">
        <w:tc>
          <w:tcPr>
            <w:tcW w:w="3851" w:type="dxa"/>
            <w:vAlign w:val="center"/>
          </w:tcPr>
          <w:p w14:paraId="72DFF791" w14:textId="77777777" w:rsidR="00C641F9" w:rsidRPr="00507A31" w:rsidRDefault="00C641F9" w:rsidP="00507A31">
            <w:pPr>
              <w:jc w:val="both"/>
              <w:rPr>
                <w:color w:val="000000" w:themeColor="text1"/>
                <w:sz w:val="16"/>
                <w:szCs w:val="16"/>
              </w:rPr>
            </w:pPr>
            <w:r w:rsidRPr="00507A31">
              <w:rPr>
                <w:color w:val="000000" w:themeColor="text1"/>
                <w:sz w:val="16"/>
                <w:szCs w:val="16"/>
              </w:rPr>
              <w:t>4. Включить в число картин, демонстрирующих иностранцам на очередных кино-просмотрах фильмы, особенно ярко отображающие наше социалистическое строительство.</w:t>
            </w:r>
          </w:p>
        </w:tc>
        <w:tc>
          <w:tcPr>
            <w:tcW w:w="3851" w:type="dxa"/>
            <w:vAlign w:val="center"/>
          </w:tcPr>
          <w:p w14:paraId="15297608" w14:textId="77777777" w:rsidR="00C641F9" w:rsidRPr="00507A31" w:rsidRDefault="00C641F9" w:rsidP="00507A31">
            <w:pPr>
              <w:jc w:val="both"/>
              <w:rPr>
                <w:color w:val="000000" w:themeColor="text1"/>
                <w:sz w:val="16"/>
                <w:szCs w:val="16"/>
              </w:rPr>
            </w:pPr>
            <w:r w:rsidRPr="00507A31">
              <w:rPr>
                <w:color w:val="000000" w:themeColor="text1"/>
                <w:sz w:val="16"/>
                <w:szCs w:val="16"/>
              </w:rPr>
              <w:t>Кино-Секция составляет список таких картин и дого- варив. об их демонстрации с Союзкино.</w:t>
            </w:r>
          </w:p>
        </w:tc>
        <w:tc>
          <w:tcPr>
            <w:tcW w:w="3851" w:type="dxa"/>
            <w:vAlign w:val="center"/>
          </w:tcPr>
          <w:p w14:paraId="72A1CA39" w14:textId="77777777" w:rsidR="00C641F9" w:rsidRPr="00507A31" w:rsidRDefault="00C641F9" w:rsidP="00507A31">
            <w:pPr>
              <w:jc w:val="both"/>
              <w:rPr>
                <w:color w:val="000000" w:themeColor="text1"/>
                <w:sz w:val="16"/>
                <w:szCs w:val="16"/>
              </w:rPr>
            </w:pPr>
            <w:r w:rsidRPr="00507A31">
              <w:rPr>
                <w:color w:val="000000" w:themeColor="text1"/>
                <w:sz w:val="16"/>
                <w:szCs w:val="16"/>
              </w:rPr>
              <w:t>1.ХII</w:t>
            </w:r>
          </w:p>
        </w:tc>
        <w:tc>
          <w:tcPr>
            <w:tcW w:w="3851" w:type="dxa"/>
          </w:tcPr>
          <w:p w14:paraId="43D7EB30" w14:textId="77777777" w:rsidR="00C641F9" w:rsidRPr="00507A31" w:rsidRDefault="00C641F9" w:rsidP="00507A31">
            <w:pPr>
              <w:pStyle w:val="ae"/>
              <w:spacing w:before="0" w:after="0"/>
              <w:jc w:val="both"/>
              <w:rPr>
                <w:color w:val="000000" w:themeColor="text1"/>
                <w:sz w:val="16"/>
                <w:szCs w:val="16"/>
              </w:rPr>
            </w:pPr>
          </w:p>
        </w:tc>
        <w:tc>
          <w:tcPr>
            <w:tcW w:w="3851" w:type="dxa"/>
          </w:tcPr>
          <w:p w14:paraId="4D665B4A" w14:textId="77777777" w:rsidR="00C641F9" w:rsidRPr="00507A31" w:rsidRDefault="00C641F9" w:rsidP="00507A31">
            <w:pPr>
              <w:pStyle w:val="ae"/>
              <w:spacing w:before="0" w:after="0"/>
              <w:jc w:val="both"/>
              <w:rPr>
                <w:color w:val="000000" w:themeColor="text1"/>
                <w:sz w:val="16"/>
                <w:szCs w:val="16"/>
              </w:rPr>
            </w:pPr>
          </w:p>
        </w:tc>
        <w:tc>
          <w:tcPr>
            <w:tcW w:w="3852" w:type="dxa"/>
          </w:tcPr>
          <w:p w14:paraId="6AC91154" w14:textId="77777777" w:rsidR="00C641F9" w:rsidRPr="00507A31" w:rsidRDefault="00C641F9" w:rsidP="00507A31">
            <w:pPr>
              <w:pStyle w:val="ae"/>
              <w:spacing w:before="0" w:after="0"/>
              <w:jc w:val="both"/>
              <w:rPr>
                <w:color w:val="000000" w:themeColor="text1"/>
                <w:sz w:val="16"/>
                <w:szCs w:val="16"/>
              </w:rPr>
            </w:pPr>
          </w:p>
        </w:tc>
      </w:tr>
      <w:tr w:rsidR="00E371BA" w:rsidRPr="00507A31" w14:paraId="5F414205" w14:textId="77777777" w:rsidTr="00DE6527">
        <w:tc>
          <w:tcPr>
            <w:tcW w:w="3851" w:type="dxa"/>
            <w:vAlign w:val="center"/>
          </w:tcPr>
          <w:p w14:paraId="351B1E82"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III. По обслуживанию иностранных специалистов.</w:t>
            </w:r>
          </w:p>
          <w:p w14:paraId="6C6E41BB"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Этот раздел начинается ориентировочно, т. к. все мероприятия по этой линии должны быть согласованы с НК РКИ СССР.</w:t>
            </w:r>
          </w:p>
        </w:tc>
        <w:tc>
          <w:tcPr>
            <w:tcW w:w="3851" w:type="dxa"/>
          </w:tcPr>
          <w:p w14:paraId="5CDCA156" w14:textId="77777777" w:rsidR="00C641F9" w:rsidRPr="00507A31" w:rsidRDefault="00C641F9" w:rsidP="00507A31">
            <w:pPr>
              <w:pStyle w:val="ae"/>
              <w:spacing w:before="0" w:after="0"/>
              <w:jc w:val="both"/>
              <w:rPr>
                <w:color w:val="000000" w:themeColor="text1"/>
                <w:sz w:val="16"/>
                <w:szCs w:val="16"/>
              </w:rPr>
            </w:pPr>
          </w:p>
        </w:tc>
        <w:tc>
          <w:tcPr>
            <w:tcW w:w="3851" w:type="dxa"/>
          </w:tcPr>
          <w:p w14:paraId="17264A91" w14:textId="77777777" w:rsidR="00C641F9" w:rsidRPr="00507A31" w:rsidRDefault="00C641F9" w:rsidP="00507A31">
            <w:pPr>
              <w:pStyle w:val="ae"/>
              <w:spacing w:before="0" w:after="0"/>
              <w:jc w:val="both"/>
              <w:rPr>
                <w:color w:val="000000" w:themeColor="text1"/>
                <w:sz w:val="16"/>
                <w:szCs w:val="16"/>
              </w:rPr>
            </w:pPr>
          </w:p>
        </w:tc>
        <w:tc>
          <w:tcPr>
            <w:tcW w:w="3851" w:type="dxa"/>
          </w:tcPr>
          <w:p w14:paraId="33076CDA" w14:textId="77777777" w:rsidR="00C641F9" w:rsidRPr="00507A31" w:rsidRDefault="00C641F9" w:rsidP="00507A31">
            <w:pPr>
              <w:pStyle w:val="ae"/>
              <w:spacing w:before="0" w:after="0"/>
              <w:jc w:val="both"/>
              <w:rPr>
                <w:color w:val="000000" w:themeColor="text1"/>
                <w:sz w:val="16"/>
                <w:szCs w:val="16"/>
              </w:rPr>
            </w:pPr>
          </w:p>
        </w:tc>
        <w:tc>
          <w:tcPr>
            <w:tcW w:w="3851" w:type="dxa"/>
          </w:tcPr>
          <w:p w14:paraId="3EE7A84F" w14:textId="77777777" w:rsidR="00C641F9" w:rsidRPr="00507A31" w:rsidRDefault="00C641F9" w:rsidP="00507A31">
            <w:pPr>
              <w:pStyle w:val="ae"/>
              <w:spacing w:before="0" w:after="0"/>
              <w:jc w:val="both"/>
              <w:rPr>
                <w:color w:val="000000" w:themeColor="text1"/>
                <w:sz w:val="16"/>
                <w:szCs w:val="16"/>
              </w:rPr>
            </w:pPr>
          </w:p>
        </w:tc>
        <w:tc>
          <w:tcPr>
            <w:tcW w:w="3852" w:type="dxa"/>
          </w:tcPr>
          <w:p w14:paraId="5830B29E" w14:textId="77777777" w:rsidR="00C641F9" w:rsidRPr="00507A31" w:rsidRDefault="00C641F9" w:rsidP="00507A31">
            <w:pPr>
              <w:pStyle w:val="ae"/>
              <w:spacing w:before="0" w:after="0"/>
              <w:jc w:val="both"/>
              <w:rPr>
                <w:color w:val="000000" w:themeColor="text1"/>
                <w:sz w:val="16"/>
                <w:szCs w:val="16"/>
              </w:rPr>
            </w:pPr>
          </w:p>
        </w:tc>
      </w:tr>
      <w:tr w:rsidR="00E371BA" w:rsidRPr="00507A31" w14:paraId="47F8C313" w14:textId="77777777" w:rsidTr="00DE6527">
        <w:tc>
          <w:tcPr>
            <w:tcW w:w="3851" w:type="dxa"/>
            <w:vAlign w:val="center"/>
          </w:tcPr>
          <w:p w14:paraId="658EA5DC" w14:textId="77777777" w:rsidR="00C641F9" w:rsidRPr="00507A31" w:rsidRDefault="00C641F9" w:rsidP="00507A31">
            <w:pPr>
              <w:jc w:val="both"/>
              <w:rPr>
                <w:color w:val="000000" w:themeColor="text1"/>
                <w:sz w:val="16"/>
                <w:szCs w:val="16"/>
              </w:rPr>
            </w:pPr>
            <w:r w:rsidRPr="00507A31">
              <w:rPr>
                <w:color w:val="000000" w:themeColor="text1"/>
                <w:sz w:val="16"/>
                <w:szCs w:val="16"/>
              </w:rPr>
              <w:t>1. Проведение интервью с иностранными специалистами по Москве и периферии (через отделения ВОКС) об их отношении к интервенции.</w:t>
            </w:r>
          </w:p>
        </w:tc>
        <w:tc>
          <w:tcPr>
            <w:tcW w:w="3851" w:type="dxa"/>
            <w:vAlign w:val="center"/>
          </w:tcPr>
          <w:p w14:paraId="2C7DE647" w14:textId="77777777" w:rsidR="00C641F9" w:rsidRPr="00507A31" w:rsidRDefault="00C641F9" w:rsidP="00507A31">
            <w:pPr>
              <w:jc w:val="both"/>
              <w:rPr>
                <w:color w:val="000000" w:themeColor="text1"/>
                <w:sz w:val="16"/>
                <w:szCs w:val="16"/>
              </w:rPr>
            </w:pPr>
            <w:r w:rsidRPr="00507A31">
              <w:rPr>
                <w:color w:val="000000" w:themeColor="text1"/>
                <w:sz w:val="16"/>
                <w:szCs w:val="16"/>
              </w:rPr>
              <w:t> </w:t>
            </w:r>
          </w:p>
        </w:tc>
        <w:tc>
          <w:tcPr>
            <w:tcW w:w="3851" w:type="dxa"/>
            <w:vAlign w:val="center"/>
          </w:tcPr>
          <w:p w14:paraId="74F80735" w14:textId="77777777" w:rsidR="00C641F9" w:rsidRPr="00507A31" w:rsidRDefault="00C641F9" w:rsidP="00507A31">
            <w:pPr>
              <w:jc w:val="both"/>
              <w:rPr>
                <w:color w:val="000000" w:themeColor="text1"/>
                <w:sz w:val="16"/>
                <w:szCs w:val="16"/>
              </w:rPr>
            </w:pPr>
            <w:r w:rsidRPr="00507A31">
              <w:rPr>
                <w:color w:val="000000" w:themeColor="text1"/>
                <w:sz w:val="16"/>
                <w:szCs w:val="16"/>
              </w:rPr>
              <w:t> </w:t>
            </w:r>
          </w:p>
        </w:tc>
        <w:tc>
          <w:tcPr>
            <w:tcW w:w="3851" w:type="dxa"/>
          </w:tcPr>
          <w:p w14:paraId="6A397F27" w14:textId="77777777" w:rsidR="00C641F9" w:rsidRPr="00507A31" w:rsidRDefault="00C641F9" w:rsidP="00507A31">
            <w:pPr>
              <w:pStyle w:val="ae"/>
              <w:spacing w:before="0" w:after="0"/>
              <w:jc w:val="both"/>
              <w:rPr>
                <w:color w:val="000000" w:themeColor="text1"/>
                <w:sz w:val="16"/>
                <w:szCs w:val="16"/>
              </w:rPr>
            </w:pPr>
          </w:p>
        </w:tc>
        <w:tc>
          <w:tcPr>
            <w:tcW w:w="3851" w:type="dxa"/>
          </w:tcPr>
          <w:p w14:paraId="3ACFE198" w14:textId="77777777" w:rsidR="00C641F9" w:rsidRPr="00507A31" w:rsidRDefault="00C641F9" w:rsidP="00507A31">
            <w:pPr>
              <w:pStyle w:val="ae"/>
              <w:spacing w:before="0" w:after="0"/>
              <w:jc w:val="both"/>
              <w:rPr>
                <w:color w:val="000000" w:themeColor="text1"/>
                <w:sz w:val="16"/>
                <w:szCs w:val="16"/>
              </w:rPr>
            </w:pPr>
          </w:p>
        </w:tc>
        <w:tc>
          <w:tcPr>
            <w:tcW w:w="3852" w:type="dxa"/>
          </w:tcPr>
          <w:p w14:paraId="540E69AC" w14:textId="77777777" w:rsidR="00C641F9" w:rsidRPr="00507A31" w:rsidRDefault="00C641F9" w:rsidP="00507A31">
            <w:pPr>
              <w:pStyle w:val="ae"/>
              <w:spacing w:before="0" w:after="0"/>
              <w:jc w:val="both"/>
              <w:rPr>
                <w:color w:val="000000" w:themeColor="text1"/>
                <w:sz w:val="16"/>
                <w:szCs w:val="16"/>
              </w:rPr>
            </w:pPr>
          </w:p>
        </w:tc>
      </w:tr>
      <w:tr w:rsidR="00E371BA" w:rsidRPr="00507A31" w14:paraId="357F56EE" w14:textId="77777777" w:rsidTr="00DE6527">
        <w:tc>
          <w:tcPr>
            <w:tcW w:w="3851" w:type="dxa"/>
            <w:vAlign w:val="center"/>
          </w:tcPr>
          <w:p w14:paraId="2D6096B5" w14:textId="77777777" w:rsidR="00C641F9" w:rsidRPr="00507A31" w:rsidRDefault="00C641F9" w:rsidP="00507A31">
            <w:pPr>
              <w:jc w:val="both"/>
              <w:rPr>
                <w:color w:val="000000" w:themeColor="text1"/>
                <w:sz w:val="16"/>
                <w:szCs w:val="16"/>
              </w:rPr>
            </w:pPr>
            <w:r w:rsidRPr="00507A31">
              <w:rPr>
                <w:color w:val="000000" w:themeColor="text1"/>
                <w:sz w:val="16"/>
                <w:szCs w:val="16"/>
              </w:rPr>
              <w:t>2. Получение у иностр. специалистов, работающих в Москве и на крупных объектах строительства на периферии статей на темы: их положение в СССР, их мнение о строительстве СССР, их мнение о вредительстве и др.</w:t>
            </w:r>
          </w:p>
        </w:tc>
        <w:tc>
          <w:tcPr>
            <w:tcW w:w="3851" w:type="dxa"/>
            <w:vAlign w:val="center"/>
          </w:tcPr>
          <w:p w14:paraId="6D825952" w14:textId="77777777" w:rsidR="00C641F9" w:rsidRPr="00507A31" w:rsidRDefault="00C641F9" w:rsidP="00507A31">
            <w:pPr>
              <w:jc w:val="both"/>
              <w:rPr>
                <w:color w:val="000000" w:themeColor="text1"/>
                <w:sz w:val="16"/>
                <w:szCs w:val="16"/>
              </w:rPr>
            </w:pPr>
            <w:r w:rsidRPr="00507A31">
              <w:rPr>
                <w:color w:val="000000" w:themeColor="text1"/>
                <w:sz w:val="16"/>
                <w:szCs w:val="16"/>
              </w:rPr>
              <w:t> </w:t>
            </w:r>
          </w:p>
        </w:tc>
        <w:tc>
          <w:tcPr>
            <w:tcW w:w="3851" w:type="dxa"/>
            <w:vAlign w:val="center"/>
          </w:tcPr>
          <w:p w14:paraId="3CA98824" w14:textId="77777777" w:rsidR="00C641F9" w:rsidRPr="00507A31" w:rsidRDefault="00C641F9" w:rsidP="00507A31">
            <w:pPr>
              <w:jc w:val="both"/>
              <w:rPr>
                <w:color w:val="000000" w:themeColor="text1"/>
                <w:sz w:val="16"/>
                <w:szCs w:val="16"/>
              </w:rPr>
            </w:pPr>
            <w:r w:rsidRPr="00507A31">
              <w:rPr>
                <w:color w:val="000000" w:themeColor="text1"/>
                <w:sz w:val="16"/>
                <w:szCs w:val="16"/>
              </w:rPr>
              <w:t> </w:t>
            </w:r>
          </w:p>
        </w:tc>
        <w:tc>
          <w:tcPr>
            <w:tcW w:w="3851" w:type="dxa"/>
          </w:tcPr>
          <w:p w14:paraId="4ED88F8A" w14:textId="77777777" w:rsidR="00C641F9" w:rsidRPr="00507A31" w:rsidRDefault="00C641F9" w:rsidP="00507A31">
            <w:pPr>
              <w:pStyle w:val="ae"/>
              <w:spacing w:before="0" w:after="0"/>
              <w:jc w:val="both"/>
              <w:rPr>
                <w:color w:val="000000" w:themeColor="text1"/>
                <w:sz w:val="16"/>
                <w:szCs w:val="16"/>
              </w:rPr>
            </w:pPr>
          </w:p>
        </w:tc>
        <w:tc>
          <w:tcPr>
            <w:tcW w:w="3851" w:type="dxa"/>
          </w:tcPr>
          <w:p w14:paraId="65077F64" w14:textId="77777777" w:rsidR="00C641F9" w:rsidRPr="00507A31" w:rsidRDefault="00C641F9" w:rsidP="00507A31">
            <w:pPr>
              <w:pStyle w:val="ae"/>
              <w:spacing w:before="0" w:after="0"/>
              <w:jc w:val="both"/>
              <w:rPr>
                <w:color w:val="000000" w:themeColor="text1"/>
                <w:sz w:val="16"/>
                <w:szCs w:val="16"/>
              </w:rPr>
            </w:pPr>
          </w:p>
        </w:tc>
        <w:tc>
          <w:tcPr>
            <w:tcW w:w="3852" w:type="dxa"/>
          </w:tcPr>
          <w:p w14:paraId="6BAF0C7F" w14:textId="77777777" w:rsidR="00C641F9" w:rsidRPr="00507A31" w:rsidRDefault="00C641F9" w:rsidP="00507A31">
            <w:pPr>
              <w:pStyle w:val="ae"/>
              <w:spacing w:before="0" w:after="0"/>
              <w:jc w:val="both"/>
              <w:rPr>
                <w:color w:val="000000" w:themeColor="text1"/>
                <w:sz w:val="16"/>
                <w:szCs w:val="16"/>
              </w:rPr>
            </w:pPr>
          </w:p>
        </w:tc>
      </w:tr>
      <w:tr w:rsidR="00E371BA" w:rsidRPr="00507A31" w14:paraId="3926070C" w14:textId="77777777" w:rsidTr="00DE6527">
        <w:tc>
          <w:tcPr>
            <w:tcW w:w="3851" w:type="dxa"/>
            <w:vAlign w:val="center"/>
          </w:tcPr>
          <w:p w14:paraId="7136A66D" w14:textId="77777777" w:rsidR="00C641F9" w:rsidRPr="00507A31" w:rsidRDefault="00C641F9" w:rsidP="00507A31">
            <w:pPr>
              <w:jc w:val="both"/>
              <w:rPr>
                <w:color w:val="000000" w:themeColor="text1"/>
                <w:sz w:val="16"/>
                <w:szCs w:val="16"/>
              </w:rPr>
            </w:pPr>
            <w:r w:rsidRPr="00507A31">
              <w:rPr>
                <w:color w:val="000000" w:themeColor="text1"/>
                <w:sz w:val="16"/>
                <w:szCs w:val="16"/>
              </w:rPr>
              <w:lastRenderedPageBreak/>
              <w:t>3. Устройство для иностранных специалистов цикла лекций (10 лекций) по различным разделам культ, строительства с использованием в качестве лекторов высококвалифиц. актива секций и организация (10 экс.) экскурсий по Москве.</w:t>
            </w:r>
          </w:p>
        </w:tc>
        <w:tc>
          <w:tcPr>
            <w:tcW w:w="3851" w:type="dxa"/>
            <w:vAlign w:val="center"/>
          </w:tcPr>
          <w:p w14:paraId="589B85C1" w14:textId="77777777" w:rsidR="00C641F9" w:rsidRPr="00507A31" w:rsidRDefault="00C641F9" w:rsidP="00507A31">
            <w:pPr>
              <w:jc w:val="both"/>
              <w:rPr>
                <w:color w:val="000000" w:themeColor="text1"/>
                <w:sz w:val="16"/>
                <w:szCs w:val="16"/>
              </w:rPr>
            </w:pPr>
            <w:r w:rsidRPr="00507A31">
              <w:rPr>
                <w:color w:val="000000" w:themeColor="text1"/>
                <w:sz w:val="16"/>
                <w:szCs w:val="16"/>
              </w:rPr>
              <w:t>Цикл лекций и экскурсий вырабатывают т.т. Богомазов, Брук. Ротенберг представляет маршруты экскурсий, разраб. в соотв. экскурсионно-метод. центрах.</w:t>
            </w:r>
          </w:p>
        </w:tc>
        <w:tc>
          <w:tcPr>
            <w:tcW w:w="3851" w:type="dxa"/>
            <w:vAlign w:val="center"/>
          </w:tcPr>
          <w:p w14:paraId="61671527" w14:textId="77777777" w:rsidR="00C641F9" w:rsidRPr="00507A31" w:rsidRDefault="00C641F9" w:rsidP="00507A31">
            <w:pPr>
              <w:jc w:val="both"/>
              <w:rPr>
                <w:color w:val="000000" w:themeColor="text1"/>
                <w:sz w:val="16"/>
                <w:szCs w:val="16"/>
              </w:rPr>
            </w:pPr>
            <w:r w:rsidRPr="00507A31">
              <w:rPr>
                <w:color w:val="000000" w:themeColor="text1"/>
                <w:sz w:val="16"/>
                <w:szCs w:val="16"/>
              </w:rPr>
              <w:t>29.XII</w:t>
            </w:r>
          </w:p>
        </w:tc>
        <w:tc>
          <w:tcPr>
            <w:tcW w:w="3851" w:type="dxa"/>
          </w:tcPr>
          <w:p w14:paraId="4AA3636A" w14:textId="77777777" w:rsidR="00C641F9" w:rsidRPr="00507A31" w:rsidRDefault="00C641F9" w:rsidP="00507A31">
            <w:pPr>
              <w:pStyle w:val="ae"/>
              <w:spacing w:before="0" w:after="0"/>
              <w:jc w:val="both"/>
              <w:rPr>
                <w:color w:val="000000" w:themeColor="text1"/>
                <w:sz w:val="16"/>
                <w:szCs w:val="16"/>
              </w:rPr>
            </w:pPr>
          </w:p>
        </w:tc>
        <w:tc>
          <w:tcPr>
            <w:tcW w:w="3851" w:type="dxa"/>
          </w:tcPr>
          <w:p w14:paraId="7929C913" w14:textId="77777777" w:rsidR="00C641F9" w:rsidRPr="00507A31" w:rsidRDefault="00C641F9" w:rsidP="00507A31">
            <w:pPr>
              <w:pStyle w:val="ae"/>
              <w:spacing w:before="0" w:after="0"/>
              <w:jc w:val="both"/>
              <w:rPr>
                <w:color w:val="000000" w:themeColor="text1"/>
                <w:sz w:val="16"/>
                <w:szCs w:val="16"/>
              </w:rPr>
            </w:pPr>
          </w:p>
        </w:tc>
        <w:tc>
          <w:tcPr>
            <w:tcW w:w="3852" w:type="dxa"/>
          </w:tcPr>
          <w:p w14:paraId="5313C980" w14:textId="77777777" w:rsidR="00C641F9" w:rsidRPr="00507A31" w:rsidRDefault="00C641F9" w:rsidP="00507A31">
            <w:pPr>
              <w:pStyle w:val="ae"/>
              <w:spacing w:before="0" w:after="0"/>
              <w:jc w:val="both"/>
              <w:rPr>
                <w:color w:val="000000" w:themeColor="text1"/>
                <w:sz w:val="16"/>
                <w:szCs w:val="16"/>
              </w:rPr>
            </w:pPr>
          </w:p>
        </w:tc>
      </w:tr>
      <w:tr w:rsidR="00E371BA" w:rsidRPr="00507A31" w14:paraId="360C8F41" w14:textId="77777777" w:rsidTr="00DE6527">
        <w:tc>
          <w:tcPr>
            <w:tcW w:w="3851" w:type="dxa"/>
            <w:vAlign w:val="center"/>
          </w:tcPr>
          <w:p w14:paraId="02E91F25" w14:textId="77777777" w:rsidR="00C641F9" w:rsidRPr="00507A31" w:rsidRDefault="00C641F9" w:rsidP="00507A31">
            <w:pPr>
              <w:jc w:val="both"/>
              <w:rPr>
                <w:color w:val="000000" w:themeColor="text1"/>
                <w:sz w:val="16"/>
                <w:szCs w:val="16"/>
              </w:rPr>
            </w:pPr>
            <w:r w:rsidRPr="00507A31">
              <w:rPr>
                <w:color w:val="000000" w:themeColor="text1"/>
                <w:sz w:val="16"/>
                <w:szCs w:val="16"/>
              </w:rPr>
              <w:t>4. Устройство специальных 10-ти кино-просмотров, иллюстр. наше строительство.</w:t>
            </w:r>
          </w:p>
        </w:tc>
        <w:tc>
          <w:tcPr>
            <w:tcW w:w="3851" w:type="dxa"/>
            <w:vAlign w:val="center"/>
          </w:tcPr>
          <w:p w14:paraId="445C825E" w14:textId="77777777" w:rsidR="00C641F9" w:rsidRPr="00507A31" w:rsidRDefault="00C641F9" w:rsidP="00507A31">
            <w:pPr>
              <w:jc w:val="both"/>
              <w:rPr>
                <w:color w:val="000000" w:themeColor="text1"/>
                <w:sz w:val="16"/>
                <w:szCs w:val="16"/>
              </w:rPr>
            </w:pPr>
            <w:r w:rsidRPr="00507A31">
              <w:rPr>
                <w:color w:val="000000" w:themeColor="text1"/>
                <w:sz w:val="16"/>
                <w:szCs w:val="16"/>
              </w:rPr>
              <w:t>т. Ильинская составляет список.</w:t>
            </w:r>
          </w:p>
        </w:tc>
        <w:tc>
          <w:tcPr>
            <w:tcW w:w="3851" w:type="dxa"/>
            <w:vAlign w:val="center"/>
          </w:tcPr>
          <w:p w14:paraId="2C022545" w14:textId="77777777" w:rsidR="00C641F9" w:rsidRPr="00507A31" w:rsidRDefault="00C641F9" w:rsidP="00507A31">
            <w:pPr>
              <w:jc w:val="both"/>
              <w:rPr>
                <w:color w:val="000000" w:themeColor="text1"/>
                <w:sz w:val="16"/>
                <w:szCs w:val="16"/>
              </w:rPr>
            </w:pPr>
            <w:r w:rsidRPr="00507A31">
              <w:rPr>
                <w:color w:val="000000" w:themeColor="text1"/>
                <w:sz w:val="16"/>
                <w:szCs w:val="16"/>
              </w:rPr>
              <w:t>1.ХII</w:t>
            </w:r>
          </w:p>
        </w:tc>
        <w:tc>
          <w:tcPr>
            <w:tcW w:w="3851" w:type="dxa"/>
          </w:tcPr>
          <w:p w14:paraId="695C9FBB" w14:textId="77777777" w:rsidR="00C641F9" w:rsidRPr="00507A31" w:rsidRDefault="00C641F9" w:rsidP="00507A31">
            <w:pPr>
              <w:pStyle w:val="ae"/>
              <w:spacing w:before="0" w:after="0"/>
              <w:jc w:val="both"/>
              <w:rPr>
                <w:color w:val="000000" w:themeColor="text1"/>
                <w:sz w:val="16"/>
                <w:szCs w:val="16"/>
              </w:rPr>
            </w:pPr>
          </w:p>
        </w:tc>
        <w:tc>
          <w:tcPr>
            <w:tcW w:w="3851" w:type="dxa"/>
          </w:tcPr>
          <w:p w14:paraId="2168B6B5" w14:textId="77777777" w:rsidR="00C641F9" w:rsidRPr="00507A31" w:rsidRDefault="00C641F9" w:rsidP="00507A31">
            <w:pPr>
              <w:pStyle w:val="ae"/>
              <w:spacing w:before="0" w:after="0"/>
              <w:jc w:val="both"/>
              <w:rPr>
                <w:color w:val="000000" w:themeColor="text1"/>
                <w:sz w:val="16"/>
                <w:szCs w:val="16"/>
              </w:rPr>
            </w:pPr>
          </w:p>
        </w:tc>
        <w:tc>
          <w:tcPr>
            <w:tcW w:w="3852" w:type="dxa"/>
          </w:tcPr>
          <w:p w14:paraId="4935F533" w14:textId="77777777" w:rsidR="00C641F9" w:rsidRPr="00507A31" w:rsidRDefault="00C641F9" w:rsidP="00507A31">
            <w:pPr>
              <w:pStyle w:val="ae"/>
              <w:spacing w:before="0" w:after="0"/>
              <w:jc w:val="both"/>
              <w:rPr>
                <w:color w:val="000000" w:themeColor="text1"/>
                <w:sz w:val="16"/>
                <w:szCs w:val="16"/>
              </w:rPr>
            </w:pPr>
          </w:p>
        </w:tc>
      </w:tr>
      <w:tr w:rsidR="00E371BA" w:rsidRPr="00507A31" w14:paraId="0A3FD5E5" w14:textId="77777777" w:rsidTr="00DE6527">
        <w:tc>
          <w:tcPr>
            <w:tcW w:w="3851" w:type="dxa"/>
            <w:vAlign w:val="center"/>
          </w:tcPr>
          <w:p w14:paraId="1AE06F68" w14:textId="77777777" w:rsidR="00C641F9" w:rsidRPr="00507A31" w:rsidRDefault="00C641F9" w:rsidP="00507A31">
            <w:pPr>
              <w:jc w:val="both"/>
              <w:rPr>
                <w:color w:val="000000" w:themeColor="text1"/>
                <w:sz w:val="16"/>
                <w:szCs w:val="16"/>
              </w:rPr>
            </w:pPr>
            <w:r w:rsidRPr="00507A31">
              <w:rPr>
                <w:color w:val="000000" w:themeColor="text1"/>
                <w:sz w:val="16"/>
                <w:szCs w:val="16"/>
              </w:rPr>
              <w:t>5. В качестве иллюстрации наших достижений по линии культурных связей с заграницей популяризировать перед иностр. специалистами выставку работы ВОКС (перевести ее на месяц в Москву а затем направить в места скопления иностр. специалистов на периферию).</w:t>
            </w:r>
          </w:p>
        </w:tc>
        <w:tc>
          <w:tcPr>
            <w:tcW w:w="3851" w:type="dxa"/>
            <w:vAlign w:val="center"/>
          </w:tcPr>
          <w:p w14:paraId="2F1EA480" w14:textId="77777777" w:rsidR="00C641F9" w:rsidRPr="00507A31" w:rsidRDefault="00C641F9" w:rsidP="00507A31">
            <w:pPr>
              <w:jc w:val="both"/>
              <w:rPr>
                <w:color w:val="000000" w:themeColor="text1"/>
                <w:sz w:val="16"/>
                <w:szCs w:val="16"/>
              </w:rPr>
            </w:pPr>
            <w:r w:rsidRPr="00507A31">
              <w:rPr>
                <w:color w:val="000000" w:themeColor="text1"/>
                <w:sz w:val="16"/>
                <w:szCs w:val="16"/>
              </w:rPr>
              <w:t>Выставочный отдел</w:t>
            </w:r>
          </w:p>
        </w:tc>
        <w:tc>
          <w:tcPr>
            <w:tcW w:w="3851" w:type="dxa"/>
            <w:vAlign w:val="center"/>
          </w:tcPr>
          <w:p w14:paraId="4599936C" w14:textId="77777777" w:rsidR="00C641F9" w:rsidRPr="00507A31" w:rsidRDefault="00C641F9" w:rsidP="00507A31">
            <w:pPr>
              <w:jc w:val="both"/>
              <w:rPr>
                <w:color w:val="000000" w:themeColor="text1"/>
                <w:sz w:val="16"/>
                <w:szCs w:val="16"/>
              </w:rPr>
            </w:pPr>
            <w:r w:rsidRPr="00507A31">
              <w:rPr>
                <w:color w:val="000000" w:themeColor="text1"/>
                <w:sz w:val="16"/>
                <w:szCs w:val="16"/>
              </w:rPr>
              <w:t>К 1/I.31 г. развернуть в Москве выставку Сообщить к 5. XII о ходе подготовит. работ.</w:t>
            </w:r>
          </w:p>
        </w:tc>
        <w:tc>
          <w:tcPr>
            <w:tcW w:w="3851" w:type="dxa"/>
          </w:tcPr>
          <w:p w14:paraId="2FB976AB" w14:textId="77777777" w:rsidR="00C641F9" w:rsidRPr="00507A31" w:rsidRDefault="00C641F9" w:rsidP="00507A31">
            <w:pPr>
              <w:pStyle w:val="ae"/>
              <w:spacing w:before="0" w:after="0"/>
              <w:jc w:val="both"/>
              <w:rPr>
                <w:color w:val="000000" w:themeColor="text1"/>
                <w:sz w:val="16"/>
                <w:szCs w:val="16"/>
              </w:rPr>
            </w:pPr>
          </w:p>
        </w:tc>
        <w:tc>
          <w:tcPr>
            <w:tcW w:w="3851" w:type="dxa"/>
          </w:tcPr>
          <w:p w14:paraId="790A4F31" w14:textId="77777777" w:rsidR="00C641F9" w:rsidRPr="00507A31" w:rsidRDefault="00C641F9" w:rsidP="00507A31">
            <w:pPr>
              <w:pStyle w:val="ae"/>
              <w:spacing w:before="0" w:after="0"/>
              <w:jc w:val="both"/>
              <w:rPr>
                <w:color w:val="000000" w:themeColor="text1"/>
                <w:sz w:val="16"/>
                <w:szCs w:val="16"/>
              </w:rPr>
            </w:pPr>
          </w:p>
        </w:tc>
        <w:tc>
          <w:tcPr>
            <w:tcW w:w="3852" w:type="dxa"/>
          </w:tcPr>
          <w:p w14:paraId="1B8CF92C" w14:textId="77777777" w:rsidR="00C641F9" w:rsidRPr="00507A31" w:rsidRDefault="00C641F9" w:rsidP="00507A31">
            <w:pPr>
              <w:pStyle w:val="ae"/>
              <w:spacing w:before="0" w:after="0"/>
              <w:jc w:val="both"/>
              <w:rPr>
                <w:color w:val="000000" w:themeColor="text1"/>
                <w:sz w:val="16"/>
                <w:szCs w:val="16"/>
              </w:rPr>
            </w:pPr>
          </w:p>
        </w:tc>
      </w:tr>
      <w:tr w:rsidR="00E371BA" w:rsidRPr="00507A31" w14:paraId="5A129118" w14:textId="77777777" w:rsidTr="00DE6527">
        <w:tc>
          <w:tcPr>
            <w:tcW w:w="3851" w:type="dxa"/>
            <w:vAlign w:val="center"/>
          </w:tcPr>
          <w:p w14:paraId="4DFD5B8D" w14:textId="77777777" w:rsidR="00C641F9" w:rsidRPr="00507A31" w:rsidRDefault="00C641F9" w:rsidP="00507A31">
            <w:pPr>
              <w:jc w:val="both"/>
              <w:rPr>
                <w:color w:val="000000" w:themeColor="text1"/>
                <w:sz w:val="16"/>
                <w:szCs w:val="16"/>
              </w:rPr>
            </w:pPr>
            <w:r w:rsidRPr="00507A31">
              <w:rPr>
                <w:color w:val="000000" w:themeColor="text1"/>
                <w:sz w:val="16"/>
                <w:szCs w:val="16"/>
              </w:rPr>
              <w:t>6. Использовать для показа иностр. специалистам достижений в разрезе нац. культур, имеющуюся выставку ВОКС (Грузинского худ. и предполагаемые выставки Белорусской и Украинской культуры).</w:t>
            </w:r>
          </w:p>
        </w:tc>
        <w:tc>
          <w:tcPr>
            <w:tcW w:w="3851" w:type="dxa"/>
            <w:vAlign w:val="center"/>
          </w:tcPr>
          <w:p w14:paraId="0BAE1441" w14:textId="77777777" w:rsidR="00C641F9" w:rsidRPr="00507A31" w:rsidRDefault="00C641F9" w:rsidP="00507A31">
            <w:pPr>
              <w:jc w:val="both"/>
              <w:rPr>
                <w:color w:val="000000" w:themeColor="text1"/>
                <w:sz w:val="16"/>
                <w:szCs w:val="16"/>
              </w:rPr>
            </w:pPr>
            <w:r w:rsidRPr="00507A31">
              <w:rPr>
                <w:color w:val="000000" w:themeColor="text1"/>
                <w:sz w:val="16"/>
                <w:szCs w:val="16"/>
              </w:rPr>
              <w:t> </w:t>
            </w:r>
          </w:p>
        </w:tc>
        <w:tc>
          <w:tcPr>
            <w:tcW w:w="3851" w:type="dxa"/>
            <w:vAlign w:val="center"/>
          </w:tcPr>
          <w:p w14:paraId="304BC7E6" w14:textId="77777777" w:rsidR="00C641F9" w:rsidRPr="00507A31" w:rsidRDefault="00C641F9" w:rsidP="00507A31">
            <w:pPr>
              <w:jc w:val="both"/>
              <w:rPr>
                <w:color w:val="000000" w:themeColor="text1"/>
                <w:sz w:val="16"/>
                <w:szCs w:val="16"/>
              </w:rPr>
            </w:pPr>
            <w:r w:rsidRPr="00507A31">
              <w:rPr>
                <w:color w:val="000000" w:themeColor="text1"/>
                <w:sz w:val="16"/>
                <w:szCs w:val="16"/>
              </w:rPr>
              <w:t> </w:t>
            </w:r>
          </w:p>
        </w:tc>
        <w:tc>
          <w:tcPr>
            <w:tcW w:w="3851" w:type="dxa"/>
          </w:tcPr>
          <w:p w14:paraId="66408491" w14:textId="77777777" w:rsidR="00C641F9" w:rsidRPr="00507A31" w:rsidRDefault="00C641F9" w:rsidP="00507A31">
            <w:pPr>
              <w:pStyle w:val="ae"/>
              <w:spacing w:before="0" w:after="0"/>
              <w:jc w:val="both"/>
              <w:rPr>
                <w:color w:val="000000" w:themeColor="text1"/>
                <w:sz w:val="16"/>
                <w:szCs w:val="16"/>
              </w:rPr>
            </w:pPr>
          </w:p>
        </w:tc>
        <w:tc>
          <w:tcPr>
            <w:tcW w:w="3851" w:type="dxa"/>
          </w:tcPr>
          <w:p w14:paraId="542A897D" w14:textId="77777777" w:rsidR="00C641F9" w:rsidRPr="00507A31" w:rsidRDefault="00C641F9" w:rsidP="00507A31">
            <w:pPr>
              <w:pStyle w:val="ae"/>
              <w:spacing w:before="0" w:after="0"/>
              <w:jc w:val="both"/>
              <w:rPr>
                <w:color w:val="000000" w:themeColor="text1"/>
                <w:sz w:val="16"/>
                <w:szCs w:val="16"/>
              </w:rPr>
            </w:pPr>
          </w:p>
        </w:tc>
        <w:tc>
          <w:tcPr>
            <w:tcW w:w="3852" w:type="dxa"/>
          </w:tcPr>
          <w:p w14:paraId="7EE95FF1" w14:textId="77777777" w:rsidR="00C641F9" w:rsidRPr="00507A31" w:rsidRDefault="00C641F9" w:rsidP="00507A31">
            <w:pPr>
              <w:pStyle w:val="ae"/>
              <w:spacing w:before="0" w:after="0"/>
              <w:jc w:val="both"/>
              <w:rPr>
                <w:color w:val="000000" w:themeColor="text1"/>
                <w:sz w:val="16"/>
                <w:szCs w:val="16"/>
              </w:rPr>
            </w:pPr>
          </w:p>
        </w:tc>
      </w:tr>
      <w:tr w:rsidR="00E371BA" w:rsidRPr="00507A31" w14:paraId="783C8FD1" w14:textId="77777777" w:rsidTr="00DE6527">
        <w:tc>
          <w:tcPr>
            <w:tcW w:w="3851" w:type="dxa"/>
            <w:vAlign w:val="center"/>
          </w:tcPr>
          <w:p w14:paraId="155518F8" w14:textId="77777777" w:rsidR="00C641F9" w:rsidRPr="00507A31" w:rsidRDefault="00C641F9" w:rsidP="00507A31">
            <w:pPr>
              <w:jc w:val="both"/>
              <w:rPr>
                <w:color w:val="000000" w:themeColor="text1"/>
                <w:sz w:val="16"/>
                <w:szCs w:val="16"/>
              </w:rPr>
            </w:pPr>
            <w:r w:rsidRPr="00507A31">
              <w:rPr>
                <w:color w:val="000000" w:themeColor="text1"/>
                <w:sz w:val="16"/>
                <w:szCs w:val="16"/>
              </w:rPr>
              <w:t>IV. Внутренние мероприятия по подготовке материалов для заграницы (в связи с VI плана работы ОВС).</w:t>
            </w:r>
          </w:p>
        </w:tc>
        <w:tc>
          <w:tcPr>
            <w:tcW w:w="3851" w:type="dxa"/>
          </w:tcPr>
          <w:p w14:paraId="7CAB8E00" w14:textId="77777777" w:rsidR="00C641F9" w:rsidRPr="00507A31" w:rsidRDefault="00C641F9" w:rsidP="00507A31">
            <w:pPr>
              <w:pStyle w:val="ae"/>
              <w:spacing w:before="0" w:after="0"/>
              <w:jc w:val="both"/>
              <w:rPr>
                <w:color w:val="000000" w:themeColor="text1"/>
                <w:sz w:val="16"/>
                <w:szCs w:val="16"/>
              </w:rPr>
            </w:pPr>
          </w:p>
        </w:tc>
        <w:tc>
          <w:tcPr>
            <w:tcW w:w="3851" w:type="dxa"/>
          </w:tcPr>
          <w:p w14:paraId="5C7380C5" w14:textId="77777777" w:rsidR="00C641F9" w:rsidRPr="00507A31" w:rsidRDefault="00C641F9" w:rsidP="00507A31">
            <w:pPr>
              <w:pStyle w:val="ae"/>
              <w:spacing w:before="0" w:after="0"/>
              <w:jc w:val="both"/>
              <w:rPr>
                <w:color w:val="000000" w:themeColor="text1"/>
                <w:sz w:val="16"/>
                <w:szCs w:val="16"/>
              </w:rPr>
            </w:pPr>
          </w:p>
        </w:tc>
        <w:tc>
          <w:tcPr>
            <w:tcW w:w="3851" w:type="dxa"/>
          </w:tcPr>
          <w:p w14:paraId="561FFFA0" w14:textId="77777777" w:rsidR="00C641F9" w:rsidRPr="00507A31" w:rsidRDefault="00C641F9" w:rsidP="00507A31">
            <w:pPr>
              <w:pStyle w:val="ae"/>
              <w:spacing w:before="0" w:after="0"/>
              <w:jc w:val="both"/>
              <w:rPr>
                <w:color w:val="000000" w:themeColor="text1"/>
                <w:sz w:val="16"/>
                <w:szCs w:val="16"/>
              </w:rPr>
            </w:pPr>
          </w:p>
        </w:tc>
        <w:tc>
          <w:tcPr>
            <w:tcW w:w="3851" w:type="dxa"/>
          </w:tcPr>
          <w:p w14:paraId="249E72D8" w14:textId="77777777" w:rsidR="00C641F9" w:rsidRPr="00507A31" w:rsidRDefault="00C641F9" w:rsidP="00507A31">
            <w:pPr>
              <w:pStyle w:val="ae"/>
              <w:spacing w:before="0" w:after="0"/>
              <w:jc w:val="both"/>
              <w:rPr>
                <w:color w:val="000000" w:themeColor="text1"/>
                <w:sz w:val="16"/>
                <w:szCs w:val="16"/>
              </w:rPr>
            </w:pPr>
          </w:p>
        </w:tc>
        <w:tc>
          <w:tcPr>
            <w:tcW w:w="3852" w:type="dxa"/>
          </w:tcPr>
          <w:p w14:paraId="6DA89A83" w14:textId="77777777" w:rsidR="00C641F9" w:rsidRPr="00507A31" w:rsidRDefault="00C641F9" w:rsidP="00507A31">
            <w:pPr>
              <w:pStyle w:val="ae"/>
              <w:spacing w:before="0" w:after="0"/>
              <w:jc w:val="both"/>
              <w:rPr>
                <w:color w:val="000000" w:themeColor="text1"/>
                <w:sz w:val="16"/>
                <w:szCs w:val="16"/>
              </w:rPr>
            </w:pPr>
          </w:p>
        </w:tc>
      </w:tr>
      <w:tr w:rsidR="00E371BA" w:rsidRPr="00507A31" w14:paraId="0554E85A" w14:textId="77777777" w:rsidTr="00DE6527">
        <w:tc>
          <w:tcPr>
            <w:tcW w:w="3851" w:type="dxa"/>
            <w:vAlign w:val="center"/>
          </w:tcPr>
          <w:p w14:paraId="46664B6C" w14:textId="77777777" w:rsidR="00C641F9" w:rsidRPr="00507A31" w:rsidRDefault="00C641F9" w:rsidP="00507A31">
            <w:pPr>
              <w:jc w:val="both"/>
              <w:rPr>
                <w:color w:val="000000" w:themeColor="text1"/>
                <w:sz w:val="16"/>
                <w:szCs w:val="16"/>
              </w:rPr>
            </w:pPr>
            <w:r w:rsidRPr="00507A31">
              <w:rPr>
                <w:color w:val="000000" w:themeColor="text1"/>
                <w:sz w:val="16"/>
                <w:szCs w:val="16"/>
              </w:rPr>
              <w:t>1. Форсировать собирание и выпуск сборников, издаваемых НТС, Ху дож. Сектором и Нацбюро, освещающих наши достижения по отд. отраслям культурного строительства.</w:t>
            </w:r>
          </w:p>
        </w:tc>
        <w:tc>
          <w:tcPr>
            <w:tcW w:w="3851" w:type="dxa"/>
            <w:vAlign w:val="center"/>
          </w:tcPr>
          <w:p w14:paraId="5D6849DF" w14:textId="77777777" w:rsidR="00C641F9" w:rsidRPr="00507A31" w:rsidRDefault="00C641F9" w:rsidP="00507A31">
            <w:pPr>
              <w:jc w:val="both"/>
              <w:rPr>
                <w:color w:val="000000" w:themeColor="text1"/>
                <w:sz w:val="16"/>
                <w:szCs w:val="16"/>
              </w:rPr>
            </w:pPr>
            <w:r w:rsidRPr="00507A31">
              <w:rPr>
                <w:color w:val="000000" w:themeColor="text1"/>
                <w:sz w:val="16"/>
                <w:szCs w:val="16"/>
              </w:rPr>
              <w:t>По линии НТС — Брук. По Худ. Секции — т. Кравченко.</w:t>
            </w:r>
          </w:p>
        </w:tc>
        <w:tc>
          <w:tcPr>
            <w:tcW w:w="3851" w:type="dxa"/>
            <w:vAlign w:val="center"/>
          </w:tcPr>
          <w:p w14:paraId="04E6CF79" w14:textId="77777777" w:rsidR="00C641F9" w:rsidRPr="00507A31" w:rsidRDefault="00C641F9" w:rsidP="00507A31">
            <w:pPr>
              <w:jc w:val="both"/>
              <w:rPr>
                <w:color w:val="000000" w:themeColor="text1"/>
                <w:sz w:val="16"/>
                <w:szCs w:val="16"/>
              </w:rPr>
            </w:pPr>
            <w:r w:rsidRPr="00507A31">
              <w:rPr>
                <w:color w:val="000000" w:themeColor="text1"/>
                <w:sz w:val="16"/>
                <w:szCs w:val="16"/>
              </w:rPr>
              <w:t>Закончить сбор материалов от 15.ХII- 1.I включ. по всем сборн.</w:t>
            </w:r>
          </w:p>
        </w:tc>
        <w:tc>
          <w:tcPr>
            <w:tcW w:w="3851" w:type="dxa"/>
          </w:tcPr>
          <w:p w14:paraId="25B2182B" w14:textId="77777777" w:rsidR="00C641F9" w:rsidRPr="00507A31" w:rsidRDefault="00C641F9" w:rsidP="00507A31">
            <w:pPr>
              <w:pStyle w:val="ae"/>
              <w:spacing w:before="0" w:after="0"/>
              <w:jc w:val="both"/>
              <w:rPr>
                <w:color w:val="000000" w:themeColor="text1"/>
                <w:sz w:val="16"/>
                <w:szCs w:val="16"/>
              </w:rPr>
            </w:pPr>
          </w:p>
        </w:tc>
        <w:tc>
          <w:tcPr>
            <w:tcW w:w="3851" w:type="dxa"/>
          </w:tcPr>
          <w:p w14:paraId="3C5600D7" w14:textId="77777777" w:rsidR="00C641F9" w:rsidRPr="00507A31" w:rsidRDefault="00C641F9" w:rsidP="00507A31">
            <w:pPr>
              <w:pStyle w:val="ae"/>
              <w:spacing w:before="0" w:after="0"/>
              <w:jc w:val="both"/>
              <w:rPr>
                <w:color w:val="000000" w:themeColor="text1"/>
                <w:sz w:val="16"/>
                <w:szCs w:val="16"/>
              </w:rPr>
            </w:pPr>
          </w:p>
        </w:tc>
        <w:tc>
          <w:tcPr>
            <w:tcW w:w="3852" w:type="dxa"/>
          </w:tcPr>
          <w:p w14:paraId="4A6AFC11" w14:textId="77777777" w:rsidR="00C641F9" w:rsidRPr="00507A31" w:rsidRDefault="00C641F9" w:rsidP="00507A31">
            <w:pPr>
              <w:pStyle w:val="ae"/>
              <w:spacing w:before="0" w:after="0"/>
              <w:jc w:val="both"/>
              <w:rPr>
                <w:color w:val="000000" w:themeColor="text1"/>
                <w:sz w:val="16"/>
                <w:szCs w:val="16"/>
              </w:rPr>
            </w:pPr>
          </w:p>
        </w:tc>
      </w:tr>
      <w:tr w:rsidR="00E371BA" w:rsidRPr="00507A31" w14:paraId="53B40086" w14:textId="77777777" w:rsidTr="00DE6527">
        <w:tc>
          <w:tcPr>
            <w:tcW w:w="3851" w:type="dxa"/>
            <w:vAlign w:val="center"/>
          </w:tcPr>
          <w:p w14:paraId="256285CF" w14:textId="77777777" w:rsidR="00C641F9" w:rsidRPr="00507A31" w:rsidRDefault="00C641F9" w:rsidP="00507A31">
            <w:pPr>
              <w:jc w:val="both"/>
              <w:rPr>
                <w:color w:val="000000" w:themeColor="text1"/>
                <w:sz w:val="16"/>
                <w:szCs w:val="16"/>
              </w:rPr>
            </w:pPr>
            <w:r w:rsidRPr="00507A31">
              <w:rPr>
                <w:color w:val="000000" w:themeColor="text1"/>
                <w:sz w:val="16"/>
                <w:szCs w:val="16"/>
              </w:rPr>
              <w:t>2. Создать через Союзки- но специальную фильму, посвященную процессу вредителей (с параллельным показом наших достижений в суд. областях соц. строительства).</w:t>
            </w:r>
          </w:p>
        </w:tc>
        <w:tc>
          <w:tcPr>
            <w:tcW w:w="3851" w:type="dxa"/>
            <w:vAlign w:val="center"/>
          </w:tcPr>
          <w:p w14:paraId="4FB42A1E" w14:textId="77777777" w:rsidR="00C641F9" w:rsidRPr="00507A31" w:rsidRDefault="00C641F9" w:rsidP="00507A31">
            <w:pPr>
              <w:jc w:val="both"/>
              <w:rPr>
                <w:color w:val="000000" w:themeColor="text1"/>
                <w:sz w:val="16"/>
                <w:szCs w:val="16"/>
              </w:rPr>
            </w:pPr>
            <w:r w:rsidRPr="00507A31">
              <w:rPr>
                <w:color w:val="000000" w:themeColor="text1"/>
                <w:sz w:val="16"/>
                <w:szCs w:val="16"/>
              </w:rPr>
              <w:t>Т.т. Мильман и Ильинская составляют докладную записку в Союзкино и проводят последующую консультацию.</w:t>
            </w:r>
          </w:p>
        </w:tc>
        <w:tc>
          <w:tcPr>
            <w:tcW w:w="3851" w:type="dxa"/>
            <w:vAlign w:val="center"/>
          </w:tcPr>
          <w:p w14:paraId="4DC0AB85" w14:textId="77777777" w:rsidR="00C641F9" w:rsidRPr="00507A31" w:rsidRDefault="00C641F9" w:rsidP="00507A31">
            <w:pPr>
              <w:jc w:val="both"/>
              <w:rPr>
                <w:color w:val="000000" w:themeColor="text1"/>
                <w:sz w:val="16"/>
                <w:szCs w:val="16"/>
              </w:rPr>
            </w:pPr>
            <w:r w:rsidRPr="00507A31">
              <w:rPr>
                <w:color w:val="000000" w:themeColor="text1"/>
                <w:sz w:val="16"/>
                <w:szCs w:val="16"/>
              </w:rPr>
              <w:t>Срок составления записки 1.ХII</w:t>
            </w:r>
          </w:p>
        </w:tc>
        <w:tc>
          <w:tcPr>
            <w:tcW w:w="3851" w:type="dxa"/>
          </w:tcPr>
          <w:p w14:paraId="7380F95C" w14:textId="77777777" w:rsidR="00C641F9" w:rsidRPr="00507A31" w:rsidRDefault="00C641F9" w:rsidP="00507A31">
            <w:pPr>
              <w:pStyle w:val="ae"/>
              <w:spacing w:before="0" w:after="0"/>
              <w:jc w:val="both"/>
              <w:rPr>
                <w:color w:val="000000" w:themeColor="text1"/>
                <w:sz w:val="16"/>
                <w:szCs w:val="16"/>
              </w:rPr>
            </w:pPr>
          </w:p>
        </w:tc>
        <w:tc>
          <w:tcPr>
            <w:tcW w:w="3851" w:type="dxa"/>
          </w:tcPr>
          <w:p w14:paraId="35EB3BC7" w14:textId="77777777" w:rsidR="00C641F9" w:rsidRPr="00507A31" w:rsidRDefault="00C641F9" w:rsidP="00507A31">
            <w:pPr>
              <w:pStyle w:val="ae"/>
              <w:spacing w:before="0" w:after="0"/>
              <w:jc w:val="both"/>
              <w:rPr>
                <w:color w:val="000000" w:themeColor="text1"/>
                <w:sz w:val="16"/>
                <w:szCs w:val="16"/>
              </w:rPr>
            </w:pPr>
          </w:p>
        </w:tc>
        <w:tc>
          <w:tcPr>
            <w:tcW w:w="3852" w:type="dxa"/>
          </w:tcPr>
          <w:p w14:paraId="1C6116CA" w14:textId="77777777" w:rsidR="00C641F9" w:rsidRPr="00507A31" w:rsidRDefault="00C641F9" w:rsidP="00507A31">
            <w:pPr>
              <w:pStyle w:val="ae"/>
              <w:spacing w:before="0" w:after="0"/>
              <w:jc w:val="both"/>
              <w:rPr>
                <w:color w:val="000000" w:themeColor="text1"/>
                <w:sz w:val="16"/>
                <w:szCs w:val="16"/>
              </w:rPr>
            </w:pPr>
          </w:p>
        </w:tc>
      </w:tr>
      <w:tr w:rsidR="00E371BA" w:rsidRPr="00507A31" w14:paraId="44863D08" w14:textId="77777777" w:rsidTr="00DE6527">
        <w:tc>
          <w:tcPr>
            <w:tcW w:w="3851" w:type="dxa"/>
            <w:vAlign w:val="center"/>
          </w:tcPr>
          <w:p w14:paraId="3B84F6E9" w14:textId="77777777" w:rsidR="00C641F9" w:rsidRPr="00507A31" w:rsidRDefault="00C641F9" w:rsidP="00507A31">
            <w:pPr>
              <w:jc w:val="both"/>
              <w:rPr>
                <w:color w:val="000000" w:themeColor="text1"/>
                <w:sz w:val="16"/>
                <w:szCs w:val="16"/>
              </w:rPr>
            </w:pPr>
            <w:r w:rsidRPr="00507A31">
              <w:rPr>
                <w:color w:val="000000" w:themeColor="text1"/>
                <w:sz w:val="16"/>
                <w:szCs w:val="16"/>
              </w:rPr>
              <w:t>3. Взять на учет художественный материал (по линии литературы, музыки, театра, кино, репродукций произведений искусства и т. д.), который отображает интервенцию и может быть использован в той или иной форме для воздействия на заграничную общественность.</w:t>
            </w:r>
          </w:p>
        </w:tc>
        <w:tc>
          <w:tcPr>
            <w:tcW w:w="3851" w:type="dxa"/>
            <w:vAlign w:val="center"/>
          </w:tcPr>
          <w:p w14:paraId="77012780" w14:textId="77777777" w:rsidR="00C641F9" w:rsidRPr="00507A31" w:rsidRDefault="00C641F9" w:rsidP="00507A31">
            <w:pPr>
              <w:jc w:val="both"/>
              <w:rPr>
                <w:color w:val="000000" w:themeColor="text1"/>
                <w:sz w:val="16"/>
                <w:szCs w:val="16"/>
              </w:rPr>
            </w:pPr>
            <w:r w:rsidRPr="00507A31">
              <w:rPr>
                <w:color w:val="000000" w:themeColor="text1"/>
                <w:sz w:val="16"/>
                <w:szCs w:val="16"/>
              </w:rPr>
              <w:t>Под ответственность т. Богомазова.</w:t>
            </w:r>
          </w:p>
        </w:tc>
        <w:tc>
          <w:tcPr>
            <w:tcW w:w="3851" w:type="dxa"/>
            <w:vAlign w:val="center"/>
          </w:tcPr>
          <w:p w14:paraId="0255580F" w14:textId="77777777" w:rsidR="00C641F9" w:rsidRPr="00507A31" w:rsidRDefault="00C641F9" w:rsidP="00507A31">
            <w:pPr>
              <w:jc w:val="both"/>
              <w:rPr>
                <w:color w:val="000000" w:themeColor="text1"/>
                <w:sz w:val="16"/>
                <w:szCs w:val="16"/>
              </w:rPr>
            </w:pPr>
            <w:r w:rsidRPr="00507A31">
              <w:rPr>
                <w:color w:val="000000" w:themeColor="text1"/>
                <w:sz w:val="16"/>
                <w:szCs w:val="16"/>
              </w:rPr>
              <w:t>1.XII</w:t>
            </w:r>
          </w:p>
        </w:tc>
        <w:tc>
          <w:tcPr>
            <w:tcW w:w="3851" w:type="dxa"/>
          </w:tcPr>
          <w:p w14:paraId="1F1FE2FC" w14:textId="77777777" w:rsidR="00C641F9" w:rsidRPr="00507A31" w:rsidRDefault="00C641F9" w:rsidP="00507A31">
            <w:pPr>
              <w:pStyle w:val="ae"/>
              <w:spacing w:before="0" w:after="0"/>
              <w:jc w:val="both"/>
              <w:rPr>
                <w:color w:val="000000" w:themeColor="text1"/>
                <w:sz w:val="16"/>
                <w:szCs w:val="16"/>
              </w:rPr>
            </w:pPr>
          </w:p>
        </w:tc>
        <w:tc>
          <w:tcPr>
            <w:tcW w:w="3851" w:type="dxa"/>
          </w:tcPr>
          <w:p w14:paraId="2553A57B" w14:textId="77777777" w:rsidR="00C641F9" w:rsidRPr="00507A31" w:rsidRDefault="00C641F9" w:rsidP="00507A31">
            <w:pPr>
              <w:pStyle w:val="ae"/>
              <w:spacing w:before="0" w:after="0"/>
              <w:jc w:val="both"/>
              <w:rPr>
                <w:color w:val="000000" w:themeColor="text1"/>
                <w:sz w:val="16"/>
                <w:szCs w:val="16"/>
              </w:rPr>
            </w:pPr>
          </w:p>
        </w:tc>
        <w:tc>
          <w:tcPr>
            <w:tcW w:w="3852" w:type="dxa"/>
          </w:tcPr>
          <w:p w14:paraId="1500388D" w14:textId="77777777" w:rsidR="00C641F9" w:rsidRPr="00507A31" w:rsidRDefault="00C641F9" w:rsidP="00507A31">
            <w:pPr>
              <w:pStyle w:val="ae"/>
              <w:spacing w:before="0" w:after="0"/>
              <w:jc w:val="both"/>
              <w:rPr>
                <w:color w:val="000000" w:themeColor="text1"/>
                <w:sz w:val="16"/>
                <w:szCs w:val="16"/>
              </w:rPr>
            </w:pPr>
          </w:p>
        </w:tc>
      </w:tr>
    </w:tbl>
    <w:p w14:paraId="6CE04481"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ПРИМЕЧАНИЕ: Каждой Секцией представлен дополнительно в Комиссию план интенсификации работы в связи с проведением кампании.</w:t>
      </w:r>
    </w:p>
    <w:p w14:paraId="72B0F894" w14:textId="77777777" w:rsidR="00C641F9" w:rsidRPr="00507A31" w:rsidRDefault="00C641F9" w:rsidP="00507A31">
      <w:pPr>
        <w:pStyle w:val="ae"/>
        <w:spacing w:before="0" w:after="0"/>
        <w:jc w:val="both"/>
        <w:rPr>
          <w:color w:val="000000" w:themeColor="text1"/>
          <w:sz w:val="16"/>
          <w:szCs w:val="16"/>
        </w:rPr>
      </w:pPr>
      <w:r w:rsidRPr="00507A31">
        <w:rPr>
          <w:rStyle w:val="af0"/>
          <w:i w:val="0"/>
          <w:color w:val="000000" w:themeColor="text1"/>
          <w:sz w:val="16"/>
          <w:szCs w:val="16"/>
        </w:rPr>
        <w:t>ГА</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P-5283. On. 1.</w:t>
      </w:r>
      <w:r w:rsidRPr="00507A31">
        <w:rPr>
          <w:rStyle w:val="af0"/>
          <w:i w:val="0"/>
          <w:color w:val="000000" w:themeColor="text1"/>
          <w:sz w:val="16"/>
          <w:szCs w:val="16"/>
        </w:rPr>
        <w:t>Д</w:t>
      </w:r>
      <w:r w:rsidRPr="00507A31">
        <w:rPr>
          <w:rStyle w:val="af0"/>
          <w:i w:val="0"/>
          <w:color w:val="000000" w:themeColor="text1"/>
          <w:sz w:val="16"/>
          <w:szCs w:val="16"/>
          <w:lang w:val="en-US"/>
        </w:rPr>
        <w:t xml:space="preserve">. 139. </w:t>
      </w:r>
      <w:r w:rsidRPr="00507A31">
        <w:rPr>
          <w:rStyle w:val="af0"/>
          <w:i w:val="0"/>
          <w:color w:val="000000" w:themeColor="text1"/>
          <w:sz w:val="16"/>
          <w:szCs w:val="16"/>
        </w:rPr>
        <w:t>Л</w:t>
      </w:r>
      <w:r w:rsidRPr="00507A31">
        <w:rPr>
          <w:rStyle w:val="af0"/>
          <w:i w:val="0"/>
          <w:color w:val="000000" w:themeColor="text1"/>
          <w:sz w:val="16"/>
          <w:szCs w:val="16"/>
          <w:lang w:val="en-US"/>
        </w:rPr>
        <w:t xml:space="preserve">. 38-39. </w:t>
      </w:r>
      <w:r w:rsidRPr="00507A31">
        <w:rPr>
          <w:rStyle w:val="af0"/>
          <w:i w:val="0"/>
          <w:color w:val="000000" w:themeColor="text1"/>
          <w:sz w:val="16"/>
          <w:szCs w:val="16"/>
        </w:rPr>
        <w:t>Машинописная заверенная копия того времени. «План...» утвержден на совместном заседании Научнотехнического и Художественного секторов ВОКС 28 ноября 1930 г. (Л. 37) (18920).</w:t>
      </w:r>
    </w:p>
    <w:p w14:paraId="0A3D3F61" w14:textId="77777777" w:rsidR="00C641F9" w:rsidRPr="00507A31" w:rsidRDefault="00C641F9" w:rsidP="00507A31">
      <w:pPr>
        <w:jc w:val="both"/>
        <w:rPr>
          <w:color w:val="000000" w:themeColor="text1"/>
          <w:sz w:val="16"/>
          <w:szCs w:val="16"/>
        </w:rPr>
      </w:pPr>
    </w:p>
    <w:p w14:paraId="6AB51838" w14:textId="77777777" w:rsidR="00C641F9" w:rsidRPr="00507A31" w:rsidRDefault="00C641F9" w:rsidP="00507A31">
      <w:pPr>
        <w:jc w:val="both"/>
        <w:rPr>
          <w:bCs/>
          <w:color w:val="000000" w:themeColor="text1"/>
          <w:sz w:val="16"/>
          <w:szCs w:val="16"/>
        </w:rPr>
      </w:pPr>
      <w:r w:rsidRPr="00507A31">
        <w:rPr>
          <w:color w:val="000000" w:themeColor="text1"/>
          <w:sz w:val="16"/>
          <w:szCs w:val="16"/>
        </w:rPr>
        <w:t>28 ноября 1930 г.</w:t>
      </w:r>
    </w:p>
    <w:p w14:paraId="406F0E16" w14:textId="77777777" w:rsidR="00C641F9" w:rsidRPr="00507A31" w:rsidRDefault="00C641F9" w:rsidP="00507A31">
      <w:pPr>
        <w:jc w:val="both"/>
        <w:rPr>
          <w:bCs/>
          <w:color w:val="000000" w:themeColor="text1"/>
          <w:sz w:val="16"/>
          <w:szCs w:val="16"/>
        </w:rPr>
      </w:pPr>
      <w:r w:rsidRPr="00507A31">
        <w:rPr>
          <w:color w:val="000000" w:themeColor="text1"/>
          <w:sz w:val="16"/>
          <w:szCs w:val="16"/>
        </w:rPr>
        <w:t>«Сводка инотелеграмм № 486». 28 ноября 1930 г.</w:t>
      </w:r>
    </w:p>
    <w:p w14:paraId="7F7C317D" w14:textId="77777777" w:rsidR="00C641F9" w:rsidRPr="00507A31" w:rsidRDefault="00C641F9" w:rsidP="00507A31">
      <w:pPr>
        <w:jc w:val="both"/>
        <w:rPr>
          <w:bCs/>
          <w:color w:val="000000" w:themeColor="text1"/>
          <w:sz w:val="16"/>
          <w:szCs w:val="16"/>
        </w:rPr>
      </w:pPr>
      <w:r w:rsidRPr="00507A31">
        <w:rPr>
          <w:bCs/>
          <w:color w:val="000000" w:themeColor="text1"/>
          <w:sz w:val="16"/>
          <w:szCs w:val="16"/>
        </w:rPr>
        <w:t>Источник: </w:t>
      </w:r>
    </w:p>
    <w:p w14:paraId="5A837DE5" w14:textId="77777777" w:rsidR="00C641F9" w:rsidRPr="00507A31" w:rsidRDefault="00C641F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181B334" w14:textId="77777777" w:rsidR="00C641F9" w:rsidRPr="00507A31" w:rsidRDefault="00C641F9" w:rsidP="00507A31">
      <w:pPr>
        <w:jc w:val="both"/>
        <w:rPr>
          <w:bCs/>
          <w:color w:val="000000" w:themeColor="text1"/>
          <w:sz w:val="16"/>
          <w:szCs w:val="16"/>
        </w:rPr>
      </w:pPr>
      <w:r w:rsidRPr="00507A31">
        <w:rPr>
          <w:bCs/>
          <w:color w:val="000000" w:themeColor="text1"/>
          <w:sz w:val="16"/>
          <w:szCs w:val="16"/>
        </w:rPr>
        <w:t>Архив: </w:t>
      </w:r>
    </w:p>
    <w:p w14:paraId="67C492C7" w14:textId="77777777" w:rsidR="00C641F9" w:rsidRPr="00507A31" w:rsidRDefault="00C641F9" w:rsidP="00507A31">
      <w:pPr>
        <w:jc w:val="both"/>
        <w:rPr>
          <w:color w:val="000000" w:themeColor="text1"/>
          <w:sz w:val="16"/>
          <w:szCs w:val="16"/>
        </w:rPr>
      </w:pPr>
      <w:r w:rsidRPr="00507A31">
        <w:rPr>
          <w:color w:val="000000" w:themeColor="text1"/>
          <w:sz w:val="16"/>
          <w:szCs w:val="16"/>
        </w:rPr>
        <w:t>АВП РФ. Ф. 0136. Oп. 14. П. 140. Д. 593. Л. 61</w:t>
      </w:r>
    </w:p>
    <w:p w14:paraId="7B3FC1AB"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28 ноября 1930 г.</w:t>
      </w:r>
    </w:p>
    <w:p w14:paraId="57F5BF92"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[Не подлежит оглашению]</w:t>
      </w:r>
    </w:p>
    <w:p w14:paraId="09C32706"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ВЕЧЕРНИЕ ТЕЛЕГРАММЫ ЗА 28.XI-30 г. № 48[6]</w:t>
      </w:r>
    </w:p>
    <w:p w14:paraId="1EBCC2A2"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ЛАЙОНС. Переполненный зал находится в крайней степени напряжения, когда Крыленко начал допрос Рамзина. Несмотря на то, что Крыленко всего только чуть выше 5 футов, он доминирует большой &lt;зал&gt; своей динамической личностью, ясным пронзительным голосом и быстрым &lt;умом&gt;. Сегодняшняя пресса &lt;жаловалась&gt;, что несмотря на длинные &lt;показания&gt; подсудимых, многое еще осталось открытым из того, что пролетариат желает знать. Задача Крыленко вытащить эту информацию. Зная его силу и &lt;высокий&gt; ум подсудимых, публика ожидала этой борьбы также возбужденно, как когда[-]то ждали сражения между гладиаторами. Рамзин начал эту интеллектуальную дуэль в хорошем настроении духа. Почти забыв о том, что тут идет дело его жизни, он казалось наслаждается самой &lt;игрой&gt; парирования вопросов. В одном по крайней мере, фехтовальном выходе он оказался победителем, а именно, когда упомянул о &lt;...&gt; — прокурор был явно озадачен, т. к., по[-]видимому, никогда не слыхал об этом писателе, выработавшем теорию инженеров-правителей. Рамзин осветил свою биографию, указал, что начиная с 1920 г., когда стал красным профессором, он лойяльно работал, но с упадком нэпа уверовал в то, что советы находятся накануне падения. Аудитория так и ахнула, когда он описывал свой образ жизни до ареста — жалование 1500 руб. в м[еся]ц, прекрасная квартира, автомобиль и лаборатория, которой мог бы позавидовать любой иностранный инженер. Эти детали могут не произвести впечатления на американца, но русские считали, по[-]видимому, такую роскошь немыслимой.</w:t>
      </w:r>
    </w:p>
    <w:p w14:paraId="4A839632"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ЮБЕНК. Крыленко требовал подробного рассмотрения деятельности французских и других иностранных агентов в Москве. Начав допрос подсудимых Крыленко при общем напряжении забрасывал Рамзина вопросами, на которые тот медленно и осторожно отвечал.</w:t>
      </w:r>
    </w:p>
    <w:p w14:paraId="3525D1BC"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Подробно передается содержание допроса.</w:t>
      </w:r>
    </w:p>
    <w:p w14:paraId="06EBDD69"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Нельзя сказать, как долго будет продолжаться допрос подсудимых прокурором. У него есть ряд свидетелей, которых он в любое время может вызвать для показания.</w:t>
      </w:r>
    </w:p>
    <w:p w14:paraId="2199BCE5"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ФИШЕР. Вся Москва горит нетерпением в связи с начавшимся допросом. Крыленко имеет репутацию непобедимого диалектика и самые мужественные сердца не выдерживают его допросов. Быстро &lt;двигаясь&gt; по платформе, презрительно глядя своими пронизывающими глазами, улыбаясь цинической улыбкой недоверия — Крыленко делает &lt;свое дело&gt;, являясь для советского общества лучшей гарантией того, что он вытащит из подсудимых то, что они скрывают.</w:t>
      </w:r>
    </w:p>
    <w:p w14:paraId="21F05610"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ДОЙС. Заговорщики раскрыли сегодня планы установления военной диктатуры, которую должна была сменить демократия со свободой слова, печати и т. д. На вопрос Крыленко о возможности контр-революции</w:t>
      </w:r>
    </w:p>
    <w:p w14:paraId="1C22787C"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Рамзин ответил, что это теперь невозможно, русские знают, что они оказались бы рабами Франции.</w:t>
      </w:r>
    </w:p>
    <w:p w14:paraId="7174EA43"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ЧОЛЛЕРТОН. Крыленко, слишком толстый, чтобы можно было его сравнить с пантерой, выпрыгнул на сцену для допроса Рамзина. Даже Крыленко, а вместе с ним судьи, подсудимые одинаково мучаются от ослепительных юпитеров — главной части этого процесса «воспитания масс». Рамзин в ответ на расспросы об его отношении к советскому режиму, еще задолго до революции, более или менее &lt;ест&gt; из рук генерального прокурора. Крыленко опускает углы своего тонкого рта, выпячивает нижнюю губу и с едкой улыбкой нежно ставит далее свои ехидные вопросы. Ваш корреспондент сидит на расстоянии &lt;...-х&gt; футов от него. Вблизи он не так уж хорошо выглядит, его лицо, как бы сделанное из индийской резины, покрыто тонким слоем желтоватого жира. Его маленькие припухшие слоновьи глаза неспокойно бегают по залу. Из вызываемых свидетелей наиболее интересными являются, пожалуй, трое, не игравшие никакой общественной роли в советской индустрии (и являющиеся, по[-]видимому, свидетелями] полиции), среди них — некий Спарро, как нам бухштабировал его фамилию Крыленко. Может быть эти свидетели дадут разоблачения о шпионаже.</w:t>
      </w:r>
    </w:p>
    <w:p w14:paraId="2D4BF58A"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561789DF" w14:textId="77777777" w:rsidR="00C641F9" w:rsidRPr="00507A31" w:rsidRDefault="00C641F9"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61. Машинописная копия того времени. Рукописные пометы вверху «NB» (Нотабене) и неразборчивый росчерк (вверху). Делопроизводственная помета о распечатке (35 экз.) — внизу слева (19030).</w:t>
      </w:r>
    </w:p>
    <w:p w14:paraId="60110893" w14:textId="77777777" w:rsidR="00C641F9" w:rsidRPr="00507A31" w:rsidRDefault="00C641F9" w:rsidP="00507A31">
      <w:pPr>
        <w:jc w:val="both"/>
        <w:rPr>
          <w:color w:val="000000" w:themeColor="text1"/>
          <w:sz w:val="16"/>
          <w:szCs w:val="16"/>
        </w:rPr>
      </w:pPr>
    </w:p>
    <w:p w14:paraId="0882E412" w14:textId="77777777" w:rsidR="00C641F9" w:rsidRPr="00507A31" w:rsidRDefault="00C641F9" w:rsidP="00507A31">
      <w:pPr>
        <w:jc w:val="both"/>
        <w:rPr>
          <w:bCs/>
          <w:color w:val="000000" w:themeColor="text1"/>
          <w:sz w:val="16"/>
          <w:szCs w:val="16"/>
        </w:rPr>
      </w:pPr>
      <w:r w:rsidRPr="00507A31">
        <w:rPr>
          <w:color w:val="000000" w:themeColor="text1"/>
          <w:sz w:val="16"/>
          <w:szCs w:val="16"/>
        </w:rPr>
        <w:t>28 ноября 1930 г.</w:t>
      </w:r>
    </w:p>
    <w:p w14:paraId="207432E6" w14:textId="77777777" w:rsidR="00C641F9" w:rsidRPr="00507A31" w:rsidRDefault="00C641F9" w:rsidP="00507A31">
      <w:pPr>
        <w:jc w:val="both"/>
        <w:rPr>
          <w:bCs/>
          <w:color w:val="000000" w:themeColor="text1"/>
          <w:sz w:val="16"/>
          <w:szCs w:val="16"/>
        </w:rPr>
      </w:pPr>
      <w:r w:rsidRPr="00507A31">
        <w:rPr>
          <w:color w:val="000000" w:themeColor="text1"/>
          <w:sz w:val="16"/>
          <w:szCs w:val="16"/>
        </w:rPr>
        <w:t>«Сводка инотелеграмм № 487». 28 ноября 1930 г.</w:t>
      </w:r>
    </w:p>
    <w:p w14:paraId="24D1696A" w14:textId="77777777" w:rsidR="00C641F9" w:rsidRPr="00507A31" w:rsidRDefault="00C641F9" w:rsidP="00507A31">
      <w:pPr>
        <w:jc w:val="both"/>
        <w:rPr>
          <w:bCs/>
          <w:color w:val="000000" w:themeColor="text1"/>
          <w:sz w:val="16"/>
          <w:szCs w:val="16"/>
        </w:rPr>
      </w:pPr>
      <w:r w:rsidRPr="00507A31">
        <w:rPr>
          <w:bCs/>
          <w:color w:val="000000" w:themeColor="text1"/>
          <w:sz w:val="16"/>
          <w:szCs w:val="16"/>
        </w:rPr>
        <w:t>Источник: </w:t>
      </w:r>
    </w:p>
    <w:p w14:paraId="10C5C268" w14:textId="77777777" w:rsidR="00C641F9" w:rsidRPr="00507A31" w:rsidRDefault="00C641F9" w:rsidP="00507A31">
      <w:pPr>
        <w:jc w:val="both"/>
        <w:rPr>
          <w:color w:val="000000" w:themeColor="text1"/>
          <w:sz w:val="16"/>
          <w:szCs w:val="16"/>
        </w:rPr>
      </w:pPr>
      <w:r w:rsidRPr="00507A31">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DBFBA6B" w14:textId="77777777" w:rsidR="00C641F9" w:rsidRPr="00507A31" w:rsidRDefault="00C641F9" w:rsidP="00507A31">
      <w:pPr>
        <w:jc w:val="both"/>
        <w:rPr>
          <w:bCs/>
          <w:color w:val="000000" w:themeColor="text1"/>
          <w:sz w:val="16"/>
          <w:szCs w:val="16"/>
        </w:rPr>
      </w:pPr>
      <w:r w:rsidRPr="00507A31">
        <w:rPr>
          <w:bCs/>
          <w:color w:val="000000" w:themeColor="text1"/>
          <w:sz w:val="16"/>
          <w:szCs w:val="16"/>
        </w:rPr>
        <w:t>Архив: </w:t>
      </w:r>
    </w:p>
    <w:p w14:paraId="0F5F5BEA" w14:textId="77777777" w:rsidR="00C641F9" w:rsidRPr="00507A31" w:rsidRDefault="00C641F9" w:rsidP="00507A31">
      <w:pPr>
        <w:jc w:val="both"/>
        <w:rPr>
          <w:color w:val="000000" w:themeColor="text1"/>
          <w:sz w:val="16"/>
          <w:szCs w:val="16"/>
        </w:rPr>
      </w:pPr>
      <w:r w:rsidRPr="00507A31">
        <w:rPr>
          <w:color w:val="000000" w:themeColor="text1"/>
          <w:sz w:val="16"/>
          <w:szCs w:val="16"/>
        </w:rPr>
        <w:t>АВП РФ. Ф. 0136. Oп. 14. П. 140.Д.593.Л. 62-63</w:t>
      </w:r>
    </w:p>
    <w:p w14:paraId="5855C698" w14:textId="77777777" w:rsidR="00C641F9" w:rsidRPr="00507A31" w:rsidRDefault="00C641F9" w:rsidP="00507A31">
      <w:pPr>
        <w:pStyle w:val="rteright"/>
        <w:spacing w:before="0" w:after="0"/>
        <w:jc w:val="both"/>
        <w:rPr>
          <w:color w:val="000000" w:themeColor="text1"/>
          <w:sz w:val="16"/>
          <w:szCs w:val="16"/>
        </w:rPr>
      </w:pPr>
      <w:r w:rsidRPr="00507A31">
        <w:rPr>
          <w:color w:val="000000" w:themeColor="text1"/>
          <w:sz w:val="16"/>
          <w:szCs w:val="16"/>
        </w:rPr>
        <w:t>28 ноября 1930 г.</w:t>
      </w:r>
    </w:p>
    <w:p w14:paraId="6DB0A3F6" w14:textId="77777777" w:rsidR="00C641F9" w:rsidRPr="00507A31" w:rsidRDefault="00C641F9"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2C8F000A"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Ночные телеграммы</w:t>
      </w:r>
    </w:p>
    <w:p w14:paraId="05015A3A"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ЮСТ: Я признаю свою вину во всех совершенных мною преступлениях — начал свою обвинительную речь против самого себя предпоследний обвиняемый Очкин. И последний по порядку обвиняемый — Ситнин — не представлял в этом смысле исключения. Все, связанное с заграницей, очевидно, уже исчерпано. Нового только упоминание о куртаже при закупке текстильных машин у английских фирм. Приводится как[-]то имя Чарнока — и сейчас же Вышинский предупреждает, что о нем будет говорить на закрытом заседании.</w:t>
      </w:r>
    </w:p>
    <w:p w14:paraId="1FEF0757"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Куприянов рассказывает о саботаже в текстильной индустрии, которой до 1929 года управлял Лопатин, в том же году умерший и похороненный со всеми коммунистическими почестями. Он, как говорят, с 1919 года сначала через германских представителей, а потом после 1920 года — через французских и английских представителей в Москве сносился с парижскими эмигрантами, Чарновский рассказывает о металлической промышленности типичные случаи бесполезного вложения капитала. Для тех, кто верит показаниям подсудимых (должно рухнуть теперь все построение пятилетнего плана) должно выясниться фантастическое основание важных частей пятилетнего плана. Этого логического вывода здесь, очевидно, не ожидали.</w:t>
      </w:r>
    </w:p>
    <w:p w14:paraId="2FF944C9"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В указаниях подсудимых все время упоминалось о партии трудовых крестьян — земледельческой параллели к Промпартии. Особенно много говорилось о ней в дополнительных показаниях. Здесь идет речь о той партии, руководителями которой были профессора Кондратьев, Чаянов и Юровский, в последние недели называвшиеся прессой в качестве идеологических родственников правой оппозиции Рыкова, Бухарина, Томского. Со свойственным ему пафосом Крыленко заявил по окончании показаний, что он мог бы сейчас же начать свою обвинительную речь, но хочет еще кое-что выяснить и требует приглашения свидетелей, наиболее интересными из которых являются Юровский и Осадчий. Таким образом, мы услышим голоса из кругов тех обвиняемых, которые пока еще не преданы суду. Как обвинение, так и защита отказываются от заслушания показаний не обвиняемых коммунистов, занимающих высокие хозяйственные посты, как, например, Кржижановского. Выступление названных свидетелей является последней надеждой на оживление процесса.</w:t>
      </w:r>
    </w:p>
    <w:p w14:paraId="08D0A4FF"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Первый допрос прокурором, продолжающийся до 11 часов[,] был довольно бледен.</w:t>
      </w:r>
    </w:p>
    <w:p w14:paraId="4756732C"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ДЮРАНТИ. Крыленко взялся за процесс сегодня вечером и общий интерес к процессу удвоился в ожидании сенсации. К 6-ти часам — к началу заседания — судебный зал наполнен до отказа, в коридорах, на лестнице стоят длинные очереди. Ожидали, что прокурор вызовет свидетелей, но вместо этого Крыленко сделал краткое указание о необходимости ознакомления с деятельностью иностранных агентов в Москве на закрытом заседании и перешел к допросу Рамзина и Ларичева — порознь и вместе. Несчастная пара, как мухи на липкой бумаге все более слабели и вязли при каждой попытке увильнуть. Есть что[-]то очень жестокое и механически бесчеловечное в том, как каждая гримаса утомленных лиц подсудимых, каждая дрожь их измученных нервов освещались концентрированным светом юпитеров между тем как резко выкрикивал свои вопросы Крыленко, мягко рокотал Вышинский, на разные тона ставили &lt;вопросы&gt; другие судьи и помощник прокурора.</w:t>
      </w:r>
    </w:p>
    <w:p w14:paraId="5A8D4316"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Сегодняшняя пресса возмущается отзывами иностранных газет, характеризующих суд как фарс. Можно пожалуй доказывать, что это не суд, как его понимают в Англии, но Крыленко, во всяком случае показал сегодня ночью[,] что это не фарс. Сам же Крыленко заявил, что, поскольку вопрос идет о личности подсудимых[,] добавлять больше ничего не приходится, сейчас речь и идет о том, чтобы внушить известные выводы русским массам. Этим занялся теперь Крыленко с некоторым разочарованием потому, что как настоящий охотник не хочет стрелять в запутавшихся уже в ловушке птиц. Однако, он взялся за дело с характерной для него силой и временами, например, при допросе Рамзина[,] делает с большой охотой. Крыленко оставил в стороне подробности показаний, уже хорошо знакомых русскому народу[,] и начал доказывать следующее: подсудимые не имели твердой идеологической установки — они были игрушками обстоятельств и собственных настроений и, во- вторых, если бы их планы увенчались успехом, то не они и не их друзья эмигранты правили бы Россией, а иностранные шпики. Эти оба пункта Крыленко выяснил умело и грубо, причем раз или два едва мог скрыть свое нетерпение, когда кто-либо прерывал его не относящимися к делу вопросами, не совсем понимая к чему Крыленко клонит. Заче[м] щадить или жалеть подсудимых[,] думают [в] Сов. России, если дрожащие губы их могут сделать полезные для нас выводы (как делали когда[-]то мыло из человеческих тел). Крыленко ловко вел подсудимых от одного признания к другому. Трагическая вещь — и Рамзин и Ларичев были бы уважаемыми людьми в Америке, они бы оставили политику политикам. Здесь же их захватила политика, против которой, как морфиноман, не может устоять ни один русский интеллигент.</w:t>
      </w:r>
    </w:p>
    <w:p w14:paraId="7853969A"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39C59C90" w14:textId="77777777" w:rsidR="00C641F9" w:rsidRPr="00507A31" w:rsidRDefault="00C641F9"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140.Д.593.Л. 62-63. Машинописная копия того времени. Формула «Не подлежит оглашению» на Л. 62 вверху справа машинописью; рукописные пометы вверху «NB» (Нотабене) и неразборчивый росчерк. Делопроизводственная помета о распечатке (30 экз.) на Л. 63 внизу слева (19031).</w:t>
      </w:r>
    </w:p>
    <w:p w14:paraId="6D141BA6" w14:textId="77777777" w:rsidR="00C641F9" w:rsidRPr="00507A31" w:rsidRDefault="00C641F9" w:rsidP="00507A31">
      <w:pPr>
        <w:jc w:val="both"/>
        <w:rPr>
          <w:color w:val="000000" w:themeColor="text1"/>
          <w:sz w:val="16"/>
          <w:szCs w:val="16"/>
        </w:rPr>
      </w:pPr>
    </w:p>
    <w:p w14:paraId="37759941" w14:textId="77777777" w:rsidR="00C641F9" w:rsidRPr="00507A31" w:rsidRDefault="00C641F9" w:rsidP="00507A31">
      <w:pPr>
        <w:jc w:val="both"/>
        <w:rPr>
          <w:bCs/>
          <w:color w:val="000000" w:themeColor="text1"/>
          <w:sz w:val="16"/>
          <w:szCs w:val="16"/>
        </w:rPr>
      </w:pPr>
      <w:r w:rsidRPr="00507A31">
        <w:rPr>
          <w:color w:val="000000" w:themeColor="text1"/>
          <w:sz w:val="16"/>
          <w:szCs w:val="16"/>
        </w:rPr>
        <w:t>28 ноября 1930 г.</w:t>
      </w:r>
    </w:p>
    <w:p w14:paraId="35852676" w14:textId="77777777" w:rsidR="00C641F9" w:rsidRPr="00507A31" w:rsidRDefault="00C641F9" w:rsidP="00507A31">
      <w:pPr>
        <w:jc w:val="both"/>
        <w:rPr>
          <w:bCs/>
          <w:color w:val="000000" w:themeColor="text1"/>
          <w:sz w:val="16"/>
          <w:szCs w:val="16"/>
        </w:rPr>
      </w:pPr>
      <w:r w:rsidRPr="00507A31">
        <w:rPr>
          <w:color w:val="000000" w:themeColor="text1"/>
          <w:sz w:val="16"/>
          <w:szCs w:val="16"/>
        </w:rPr>
        <w:t>Французская пресса о процессе «Промпартии». Из «Бюллетеня не для печати № 316 иностранной информации ТАСС». 28 ноября 1930 г.</w:t>
      </w:r>
    </w:p>
    <w:p w14:paraId="50213A28" w14:textId="77777777" w:rsidR="00C641F9" w:rsidRPr="00507A31" w:rsidRDefault="00C641F9" w:rsidP="00507A31">
      <w:pPr>
        <w:jc w:val="both"/>
        <w:rPr>
          <w:bCs/>
          <w:color w:val="000000" w:themeColor="text1"/>
          <w:sz w:val="16"/>
          <w:szCs w:val="16"/>
        </w:rPr>
      </w:pPr>
      <w:r w:rsidRPr="00507A31">
        <w:rPr>
          <w:bCs/>
          <w:color w:val="000000" w:themeColor="text1"/>
          <w:sz w:val="16"/>
          <w:szCs w:val="16"/>
        </w:rPr>
        <w:t>Источник: </w:t>
      </w:r>
    </w:p>
    <w:p w14:paraId="25C100B3" w14:textId="77777777" w:rsidR="00C641F9" w:rsidRPr="00507A31" w:rsidRDefault="00C641F9"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844A9A4" w14:textId="77777777" w:rsidR="00C641F9" w:rsidRPr="00507A31" w:rsidRDefault="00C641F9" w:rsidP="00507A31">
      <w:pPr>
        <w:jc w:val="both"/>
        <w:rPr>
          <w:bCs/>
          <w:color w:val="000000" w:themeColor="text1"/>
          <w:sz w:val="16"/>
          <w:szCs w:val="16"/>
        </w:rPr>
      </w:pPr>
      <w:r w:rsidRPr="00507A31">
        <w:rPr>
          <w:bCs/>
          <w:color w:val="000000" w:themeColor="text1"/>
          <w:sz w:val="16"/>
          <w:szCs w:val="16"/>
        </w:rPr>
        <w:t>Архив: </w:t>
      </w:r>
    </w:p>
    <w:p w14:paraId="7D2CF7E1" w14:textId="77777777" w:rsidR="00C641F9" w:rsidRPr="00507A31" w:rsidRDefault="00C641F9" w:rsidP="00507A31">
      <w:pPr>
        <w:jc w:val="both"/>
        <w:rPr>
          <w:color w:val="000000" w:themeColor="text1"/>
          <w:sz w:val="16"/>
          <w:szCs w:val="16"/>
        </w:rPr>
      </w:pPr>
      <w:r w:rsidRPr="00507A31">
        <w:rPr>
          <w:color w:val="000000" w:themeColor="text1"/>
          <w:sz w:val="16"/>
          <w:szCs w:val="16"/>
        </w:rPr>
        <w:t>АВП РФ. Ф. 0136. Oп. 14. П. 140. Д. 593. Л. 116, 118</w:t>
      </w:r>
    </w:p>
    <w:p w14:paraId="412E63F5" w14:textId="77777777" w:rsidR="00C641F9" w:rsidRPr="00507A31" w:rsidRDefault="00C641F9" w:rsidP="00507A31">
      <w:pPr>
        <w:pStyle w:val="rteright"/>
        <w:spacing w:before="0" w:after="0"/>
        <w:jc w:val="both"/>
        <w:rPr>
          <w:color w:val="000000" w:themeColor="text1"/>
          <w:sz w:val="16"/>
          <w:szCs w:val="16"/>
        </w:rPr>
      </w:pPr>
      <w:r w:rsidRPr="00507A31">
        <w:rPr>
          <w:color w:val="000000" w:themeColor="text1"/>
          <w:sz w:val="16"/>
          <w:szCs w:val="16"/>
        </w:rPr>
        <w:t>от 28 ноября 1930 г.</w:t>
      </w:r>
    </w:p>
    <w:p w14:paraId="2BBD732A" w14:textId="77777777" w:rsidR="00C641F9" w:rsidRPr="00507A31" w:rsidRDefault="00C641F9"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1DF7DED6"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316</w:t>
      </w:r>
    </w:p>
    <w:p w14:paraId="492C83A5"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28/XI-30 г.</w:t>
      </w:r>
    </w:p>
    <w:p w14:paraId="4BC32ADB" w14:textId="77777777" w:rsidR="00C641F9" w:rsidRPr="00507A31" w:rsidRDefault="00C641F9" w:rsidP="00507A31">
      <w:pPr>
        <w:pStyle w:val="ae"/>
        <w:spacing w:before="0" w:after="0"/>
        <w:jc w:val="both"/>
        <w:rPr>
          <w:color w:val="000000" w:themeColor="text1"/>
          <w:sz w:val="16"/>
          <w:szCs w:val="16"/>
        </w:rPr>
      </w:pPr>
      <w:r w:rsidRPr="00507A31">
        <w:rPr>
          <w:color w:val="000000" w:themeColor="text1"/>
          <w:sz w:val="16"/>
          <w:szCs w:val="16"/>
        </w:rPr>
        <w:t>Лист № 1</w:t>
      </w:r>
    </w:p>
    <w:p w14:paraId="194FEC34"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ЗАЯВЛЕНИЕ КАШТАНОВА</w:t>
      </w:r>
    </w:p>
    <w:p w14:paraId="2A2535CC"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ИЯ. 917. ПАРИЖ, 27/XI (Тасс). — «Последние новости» печатают письмо Каштанова, в котором он заявляет: «В бытность мою в составе президиума союза, там никогда никаких совещаний и свиданий с Рамзиным не было. Лично я никогда Рамзина не знал, не знаю и никогда не встречал».</w:t>
      </w:r>
    </w:p>
    <w:p w14:paraId="708DA1B5"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АГЕНТСТВО САН-ФИЛЬ ОБ АНТИСОВЕТСКОЙ АГИТАЦИИ</w:t>
      </w:r>
    </w:p>
    <w:p w14:paraId="04818B5A"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ИЯ. 917. ПАРИЖ, 27/XI (Тасс). — Агентство «Сан-Филь», касаясь последних лживых слухов, распускаемых заграницей о «крахе пятилетки», заявляет: «Нет большой нужды доказывать важность, которую представляет для будущего европейского производства открытие важного потребительского рынка, ускользнувшего со времени русской революции».</w:t>
      </w:r>
    </w:p>
    <w:p w14:paraId="78CBB310"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Оговариваясь, что «противоречивые информации из Москвы и Ленинграда позволяют лишь делать предположения», агентство далее добавляет: «Тем не менее по свидетельству даже опытных деловых людей, появление у власти в России нового режима — какова бы ни была его форма, тотчас же произвело бы в общей экономике мощный возбуждающий эффект».</w:t>
      </w:r>
    </w:p>
    <w:p w14:paraId="39A175EF"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ФРАНЦУЗСКАЯ ПЕЧАТЬ О ПРОЦЕССЕ ПРОМПАРТИИ</w:t>
      </w:r>
    </w:p>
    <w:p w14:paraId="023614E4" w14:textId="77777777" w:rsidR="00C641F9" w:rsidRPr="00507A31" w:rsidRDefault="00C641F9" w:rsidP="00507A31">
      <w:pPr>
        <w:pStyle w:val="rtejustify"/>
        <w:spacing w:before="0" w:after="0"/>
        <w:rPr>
          <w:color w:val="000000" w:themeColor="text1"/>
          <w:sz w:val="16"/>
          <w:szCs w:val="16"/>
        </w:rPr>
      </w:pPr>
      <w:r w:rsidRPr="00507A31">
        <w:rPr>
          <w:color w:val="000000" w:themeColor="text1"/>
          <w:sz w:val="16"/>
          <w:szCs w:val="16"/>
        </w:rPr>
        <w:t>МП. 913. ПАРИЖ, 28/XI. (ТАСС). — Некоторые газеты передают сообщение агентства «Радио» из Москвы о том, что председатель суда на процессе «Промпартии» т. Вышинский объявил, что вопрос об интервенции иностранных держав будет рассматриваться при закрытых дверях. Газеты заявляют, что Вышинский «тем самым хотел сказать, что мнимая деятельность Пуанкаре и Бриана будет обсуждаться вне присутствия дипкорпуса, журналистов и публики».</w:t>
      </w:r>
    </w:p>
    <w:p w14:paraId="6FCC11BE" w14:textId="77777777" w:rsidR="00C641F9" w:rsidRPr="00507A31" w:rsidRDefault="00C641F9"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116, 118. Машинописный экземпляр того времени, размноженный на ротаторе. Вырезки из «Бюллетеня не для печати» ТАСС, с грифом «НЕ ПОДЛЕЖИТ ОГЛАШЕНИЮ» (Л. 116). На Л. 116 рукописная помета (росчерк) «Гл.». На Л. 118 в подстрочнике — данные о размножении документа («1 воск. 12 подвоск. 136 ро гат.»). На Л. 113-155 — рукописные пометы «А. Н.» (18972).</w:t>
      </w:r>
    </w:p>
    <w:p w14:paraId="02D19898" w14:textId="77777777" w:rsidR="00C641F9" w:rsidRPr="00507A31" w:rsidRDefault="00C641F9" w:rsidP="00507A31">
      <w:pPr>
        <w:jc w:val="both"/>
        <w:rPr>
          <w:color w:val="000000" w:themeColor="text1"/>
          <w:sz w:val="16"/>
          <w:szCs w:val="16"/>
        </w:rPr>
      </w:pPr>
    </w:p>
    <w:p w14:paraId="3DD7BF4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8D2129D" w14:textId="77777777" w:rsidR="00537E5F" w:rsidRPr="00507A31" w:rsidRDefault="00537E5F" w:rsidP="00507A31">
      <w:pPr>
        <w:autoSpaceDE w:val="0"/>
        <w:autoSpaceDN w:val="0"/>
        <w:adjustRightInd w:val="0"/>
        <w:jc w:val="both"/>
        <w:rPr>
          <w:iCs/>
          <w:color w:val="000000" w:themeColor="text1"/>
          <w:sz w:val="16"/>
          <w:szCs w:val="16"/>
        </w:rPr>
      </w:pPr>
    </w:p>
    <w:p w14:paraId="4E20D9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 ноября 1930 г. закончились начавшиеся 5 октября 1930 полеты 2-го И-6. Всего совершили 17 полетов с общим налетом 15 часов 20 минут. Провели и 4 учебных воздушных боя с И-4 и И-5. В отчете по испытаниям отмечалось, что самолет на всех режимах с закреп</w:t>
      </w:r>
      <w:r w:rsidRPr="00507A31">
        <w:rPr>
          <w:color w:val="000000" w:themeColor="text1"/>
          <w:sz w:val="16"/>
          <w:szCs w:val="16"/>
        </w:rPr>
        <w:softHyphen/>
        <w:t>ленными рулями устойчив. Ввод в што</w:t>
      </w:r>
      <w:r w:rsidRPr="00507A31">
        <w:rPr>
          <w:color w:val="000000" w:themeColor="text1"/>
          <w:sz w:val="16"/>
          <w:szCs w:val="16"/>
        </w:rPr>
        <w:softHyphen/>
        <w:t>пор вялый, тенденций к плоскому харак</w:t>
      </w:r>
      <w:r w:rsidRPr="00507A31">
        <w:rPr>
          <w:color w:val="000000" w:themeColor="text1"/>
          <w:sz w:val="16"/>
          <w:szCs w:val="16"/>
        </w:rPr>
        <w:softHyphen/>
        <w:t>теру штопора не наблюдалось. Замечен</w:t>
      </w:r>
      <w:r w:rsidRPr="00507A31">
        <w:rPr>
          <w:color w:val="000000" w:themeColor="text1"/>
          <w:sz w:val="16"/>
          <w:szCs w:val="16"/>
        </w:rPr>
        <w:softHyphen/>
        <w:t>ное биение элеронов предлагалось уст</w:t>
      </w:r>
      <w:r w:rsidRPr="00507A31">
        <w:rPr>
          <w:color w:val="000000" w:themeColor="text1"/>
          <w:sz w:val="16"/>
          <w:szCs w:val="16"/>
        </w:rPr>
        <w:softHyphen/>
        <w:t>ранить, уменьшив передаточное число в проводке управления. Обзор вниз и вбок был затруднен из-за скруглен пости фю</w:t>
      </w:r>
      <w:r w:rsidRPr="00507A31">
        <w:rPr>
          <w:color w:val="000000" w:themeColor="text1"/>
          <w:sz w:val="16"/>
          <w:szCs w:val="16"/>
        </w:rPr>
        <w:softHyphen/>
        <w:t>зеляжа и сравнительно большой шири</w:t>
      </w:r>
      <w:r w:rsidRPr="00507A31">
        <w:rPr>
          <w:color w:val="000000" w:themeColor="text1"/>
          <w:sz w:val="16"/>
          <w:szCs w:val="16"/>
        </w:rPr>
        <w:softHyphen/>
        <w:t>ны нижнего крыла. Маневренность и скороподъемность были хуже, чем у дру</w:t>
      </w:r>
      <w:r w:rsidRPr="00507A31">
        <w:rPr>
          <w:color w:val="000000" w:themeColor="text1"/>
          <w:sz w:val="16"/>
          <w:szCs w:val="16"/>
        </w:rPr>
        <w:softHyphen/>
        <w:t>гих истребителей. Главный инженер НИИ ВВС по сухо</w:t>
      </w:r>
      <w:r w:rsidRPr="00507A31">
        <w:rPr>
          <w:color w:val="000000" w:themeColor="text1"/>
          <w:sz w:val="16"/>
          <w:szCs w:val="16"/>
        </w:rPr>
        <w:softHyphen/>
        <w:t>путным самолетам Горощенко в заклю</w:t>
      </w:r>
      <w:r w:rsidRPr="00507A31">
        <w:rPr>
          <w:color w:val="000000" w:themeColor="text1"/>
          <w:sz w:val="16"/>
          <w:szCs w:val="16"/>
        </w:rPr>
        <w:softHyphen/>
        <w:t>чении по испытаниям И-6 обращался на имя Начальника ВВС: «...Согласно Вашей директиве мною в отношении этого самолета приняты следующие решения.</w:t>
      </w:r>
    </w:p>
    <w:p w14:paraId="5D3BE3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 Так как самолет практической ценно</w:t>
      </w:r>
      <w:r w:rsidRPr="00507A31">
        <w:rPr>
          <w:color w:val="000000" w:themeColor="text1"/>
          <w:sz w:val="16"/>
          <w:szCs w:val="16"/>
        </w:rPr>
        <w:softHyphen/>
        <w:t>сти для ВВС не представляет, дальней</w:t>
      </w:r>
      <w:r w:rsidRPr="00507A31">
        <w:rPr>
          <w:color w:val="000000" w:themeColor="text1"/>
          <w:sz w:val="16"/>
          <w:szCs w:val="16"/>
        </w:rPr>
        <w:softHyphen/>
        <w:t>шие его испытания в НИИ не произво</w:t>
      </w:r>
      <w:r w:rsidRPr="00507A31">
        <w:rPr>
          <w:color w:val="000000" w:themeColor="text1"/>
          <w:sz w:val="16"/>
          <w:szCs w:val="16"/>
        </w:rPr>
        <w:softHyphen/>
        <w:t>дить, ограничившись заводскими испы</w:t>
      </w:r>
      <w:r w:rsidRPr="00507A31">
        <w:rPr>
          <w:color w:val="000000" w:themeColor="text1"/>
          <w:sz w:val="16"/>
          <w:szCs w:val="16"/>
        </w:rPr>
        <w:softHyphen/>
        <w:t>таниями поведения элеронов в воздухе и испытаниями вооружения. Самолет 2 ноября передан на завод №39 для устра</w:t>
      </w:r>
      <w:r w:rsidRPr="00507A31">
        <w:rPr>
          <w:color w:val="000000" w:themeColor="text1"/>
          <w:sz w:val="16"/>
          <w:szCs w:val="16"/>
        </w:rPr>
        <w:softHyphen/>
        <w:t>нения дефектов элеронов и доработки вооружения.</w:t>
      </w:r>
    </w:p>
    <w:p w14:paraId="5D9122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Построенные 2 экземпляра могут быть использованы как тренировочные или персонального использования, при</w:t>
      </w:r>
      <w:r w:rsidRPr="00507A31">
        <w:rPr>
          <w:color w:val="000000" w:themeColor="text1"/>
          <w:sz w:val="16"/>
          <w:szCs w:val="16"/>
        </w:rPr>
        <w:softHyphen/>
        <w:t>чем, ввиду отсутствия особенностей пи</w:t>
      </w:r>
      <w:r w:rsidRPr="00507A31">
        <w:rPr>
          <w:color w:val="000000" w:themeColor="text1"/>
          <w:sz w:val="16"/>
          <w:szCs w:val="16"/>
        </w:rPr>
        <w:softHyphen/>
        <w:t>лотирования, за исключением отмечен</w:t>
      </w:r>
      <w:r w:rsidRPr="00507A31">
        <w:rPr>
          <w:color w:val="000000" w:themeColor="text1"/>
          <w:sz w:val="16"/>
          <w:szCs w:val="16"/>
        </w:rPr>
        <w:softHyphen/>
        <w:t>ных в сводке, самолеты должны быть переданы непосредственно с завода, с уст</w:t>
      </w:r>
      <w:r w:rsidRPr="00507A31">
        <w:rPr>
          <w:color w:val="000000" w:themeColor="text1"/>
          <w:sz w:val="16"/>
          <w:szCs w:val="16"/>
        </w:rPr>
        <w:softHyphen/>
        <w:t>ранением отмеченных дефектов. 3. Разрешение вопроса о целесообразно</w:t>
      </w:r>
      <w:r w:rsidRPr="00507A31">
        <w:rPr>
          <w:color w:val="000000" w:themeColor="text1"/>
          <w:sz w:val="16"/>
          <w:szCs w:val="16"/>
        </w:rPr>
        <w:softHyphen/>
        <w:t>сти постройки 4-го экземпляра самолета И-6 Ю-У1 передать ВАО». (ВАО - Все</w:t>
      </w:r>
      <w:r w:rsidRPr="00507A31">
        <w:rPr>
          <w:color w:val="000000" w:themeColor="text1"/>
          <w:sz w:val="16"/>
          <w:szCs w:val="16"/>
        </w:rPr>
        <w:softHyphen/>
        <w:t>союзное авиационное объединение, ор</w:t>
      </w:r>
      <w:r w:rsidRPr="00507A31">
        <w:rPr>
          <w:color w:val="000000" w:themeColor="text1"/>
          <w:sz w:val="16"/>
          <w:szCs w:val="16"/>
        </w:rPr>
        <w:softHyphen/>
        <w:t>ганизовано на базе Авиатреста) (10729).</w:t>
      </w:r>
    </w:p>
    <w:p w14:paraId="23E332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E0E7BD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CB27B5D" w14:textId="77777777" w:rsidR="00537E5F" w:rsidRPr="00507A31" w:rsidRDefault="00537E5F" w:rsidP="00507A31">
      <w:pPr>
        <w:autoSpaceDE w:val="0"/>
        <w:autoSpaceDN w:val="0"/>
        <w:adjustRightInd w:val="0"/>
        <w:jc w:val="both"/>
        <w:rPr>
          <w:iCs/>
          <w:color w:val="000000" w:themeColor="text1"/>
          <w:sz w:val="16"/>
          <w:szCs w:val="16"/>
        </w:rPr>
      </w:pPr>
    </w:p>
    <w:p w14:paraId="163393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ноября 1930 года на заседании КБ Оружобъединения под председательством комкора Уборевича немецкие конструкторы представили эскизный проект 305-мм гаубицы. Проект был в целом одобрен. Ствол скрепленный. Затвор горизонтальный клиновой. Заряжание раздельно-гильзовое. Станины раздвижные типа орудий системы Депора. В боевом положении система в центре (немного ближе к дулу) опирается на круглую плиту, а сзади на два мощных сошника. Платформы нет. В походном положении система перевозилась на 6 основных и 4-х вспомогательных повозках: ствола; сектора и балки; казенника; верхнего лафета; сошников; электрического генератора (для приводов наведения), устройство заряжания и т.д. (3861).</w:t>
      </w:r>
    </w:p>
    <w:p w14:paraId="53BAD500" w14:textId="77777777" w:rsidR="00537E5F" w:rsidRPr="00507A31" w:rsidRDefault="00537E5F" w:rsidP="00507A31">
      <w:pPr>
        <w:autoSpaceDE w:val="0"/>
        <w:autoSpaceDN w:val="0"/>
        <w:adjustRightInd w:val="0"/>
        <w:jc w:val="both"/>
        <w:rPr>
          <w:color w:val="000000" w:themeColor="text1"/>
          <w:sz w:val="16"/>
          <w:szCs w:val="16"/>
        </w:rPr>
      </w:pPr>
    </w:p>
    <w:p w14:paraId="418A488D"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29 ноября 1930 г. приказом № 2356 была введена новая структура центрального аппарата ВСНХ СССР. Произошла реорганизация всех функциональных управлений в секторы, которые взяли на себя задачи ликвидированных главных управлений. Всего было создано 7 отраслевых секторов и 12 функциональных, в том числе и мобилизационно-плановый сектор, ликвидированный с упразднением ВСНХ СССР 5 января 1932 г. (РГАЭ. Ф. 3429. Оп. 16, предисловие; Ф. 2097. Оп. 1. Д. 887. Л. 9</w:t>
      </w:r>
      <w:r w:rsidRPr="00507A31">
        <w:rPr>
          <w:color w:val="000000" w:themeColor="text1"/>
          <w:sz w:val="16"/>
          <w:szCs w:val="16"/>
        </w:rPr>
        <w:noBreakHyphen/>
        <w:t>13) (12372).</w:t>
      </w:r>
    </w:p>
    <w:p w14:paraId="710E241C" w14:textId="77777777" w:rsidR="007C50AE" w:rsidRPr="00507A31" w:rsidRDefault="007C50AE" w:rsidP="00507A31">
      <w:pPr>
        <w:pStyle w:val="rtejustify"/>
        <w:spacing w:before="0" w:after="0"/>
        <w:rPr>
          <w:color w:val="000000" w:themeColor="text1"/>
          <w:sz w:val="16"/>
          <w:szCs w:val="16"/>
        </w:rPr>
      </w:pPr>
    </w:p>
    <w:p w14:paraId="468C2CAC" w14:textId="77777777" w:rsidR="007C50AE" w:rsidRPr="00507A31" w:rsidRDefault="007C50AE" w:rsidP="00507A31">
      <w:pPr>
        <w:jc w:val="both"/>
        <w:rPr>
          <w:color w:val="000000" w:themeColor="text1"/>
          <w:sz w:val="16"/>
          <w:szCs w:val="16"/>
        </w:rPr>
      </w:pPr>
      <w:r w:rsidRPr="00507A31">
        <w:rPr>
          <w:color w:val="000000" w:themeColor="text1"/>
          <w:sz w:val="16"/>
          <w:szCs w:val="16"/>
        </w:rPr>
        <w:t>29 ноября 1930 г. — Из протокола комиссии Политбюро ЦК ВКП(б) о плане заказов Наркомата по военным и морским делам СССР на 1931 г.</w:t>
      </w:r>
    </w:p>
    <w:p w14:paraId="0A9AAEE9" w14:textId="77777777" w:rsidR="007C50AE" w:rsidRPr="00507A31" w:rsidRDefault="007C50AE" w:rsidP="00507A31">
      <w:pPr>
        <w:jc w:val="both"/>
        <w:rPr>
          <w:color w:val="000000" w:themeColor="text1"/>
          <w:sz w:val="16"/>
          <w:szCs w:val="16"/>
        </w:rPr>
      </w:pPr>
      <w:r w:rsidRPr="00507A31">
        <w:rPr>
          <w:color w:val="000000" w:themeColor="text1"/>
          <w:sz w:val="16"/>
          <w:szCs w:val="16"/>
        </w:rPr>
        <w:t>Совершенно секретно.</w:t>
      </w:r>
    </w:p>
    <w:p w14:paraId="6B34CDC0" w14:textId="77777777" w:rsidR="007C50AE" w:rsidRPr="00507A31" w:rsidRDefault="007C50AE" w:rsidP="00507A31">
      <w:pPr>
        <w:jc w:val="both"/>
        <w:rPr>
          <w:color w:val="000000" w:themeColor="text1"/>
          <w:sz w:val="16"/>
          <w:szCs w:val="16"/>
        </w:rPr>
      </w:pPr>
      <w:r w:rsidRPr="00507A31">
        <w:rPr>
          <w:color w:val="000000" w:themeColor="text1"/>
          <w:sz w:val="16"/>
          <w:szCs w:val="16"/>
        </w:rPr>
        <w:t>Присутствовали: т. Сталин, Ворошилов, Орджоникидзе, Куйбышев, Молотов, Рудзутак.</w:t>
      </w:r>
    </w:p>
    <w:p w14:paraId="63C625ED" w14:textId="77777777" w:rsidR="007C50AE" w:rsidRPr="00507A31" w:rsidRDefault="007C50AE" w:rsidP="00507A31">
      <w:pPr>
        <w:jc w:val="both"/>
        <w:rPr>
          <w:color w:val="000000" w:themeColor="text1"/>
          <w:sz w:val="16"/>
          <w:szCs w:val="16"/>
        </w:rPr>
      </w:pPr>
      <w:r w:rsidRPr="00507A31">
        <w:rPr>
          <w:color w:val="000000" w:themeColor="text1"/>
          <w:sz w:val="16"/>
          <w:szCs w:val="16"/>
        </w:rPr>
        <w:t>Приглашены: т. Уборевич, Мехоношин, Урываев, Смилга, Гамарник, Павлуновский, Мартинович, Шапошников.</w:t>
      </w:r>
    </w:p>
    <w:p w14:paraId="43A9D395" w14:textId="77777777" w:rsidR="007C50AE" w:rsidRPr="00507A31" w:rsidRDefault="007C50AE" w:rsidP="00507A31">
      <w:pPr>
        <w:jc w:val="both"/>
        <w:rPr>
          <w:color w:val="000000" w:themeColor="text1"/>
          <w:sz w:val="16"/>
          <w:szCs w:val="16"/>
        </w:rPr>
      </w:pPr>
      <w:r w:rsidRPr="00507A31">
        <w:rPr>
          <w:color w:val="000000" w:themeColor="text1"/>
          <w:sz w:val="16"/>
          <w:szCs w:val="16"/>
        </w:rPr>
        <w:t>Председатель — т. Ворошилов</w:t>
      </w:r>
    </w:p>
    <w:p w14:paraId="6526D6D7" w14:textId="77777777" w:rsidR="007C50AE" w:rsidRPr="00507A31" w:rsidRDefault="007C50AE" w:rsidP="00507A31">
      <w:pPr>
        <w:jc w:val="both"/>
        <w:rPr>
          <w:color w:val="000000" w:themeColor="text1"/>
          <w:sz w:val="16"/>
          <w:szCs w:val="16"/>
        </w:rPr>
      </w:pPr>
      <w:r w:rsidRPr="00507A31">
        <w:rPr>
          <w:color w:val="000000" w:themeColor="text1"/>
          <w:sz w:val="16"/>
          <w:szCs w:val="16"/>
        </w:rPr>
        <w:t>2. О плане заказов Наркомвоенмора на 1931 г.²*</w:t>
      </w:r>
    </w:p>
    <w:p w14:paraId="1E0CDC89" w14:textId="77777777" w:rsidR="007C50AE" w:rsidRPr="00507A31" w:rsidRDefault="007C50AE" w:rsidP="00507A31">
      <w:pPr>
        <w:jc w:val="both"/>
        <w:rPr>
          <w:color w:val="000000" w:themeColor="text1"/>
          <w:sz w:val="16"/>
          <w:szCs w:val="16"/>
        </w:rPr>
      </w:pPr>
      <w:r w:rsidRPr="00507A31">
        <w:rPr>
          <w:color w:val="000000" w:themeColor="text1"/>
          <w:sz w:val="16"/>
          <w:szCs w:val="16"/>
        </w:rPr>
        <w:t>Утвердить материальный план заказов Наркомвоенмора на 1931 г.: а) в размере: по ВСНХ (с Морфлотом) — 710 млн. руб., по ВАО — 173 млн. руб.; всего — 883 млн. руб.; б) заказ на 203</w:t>
      </w:r>
      <w:r w:rsidRPr="00507A31">
        <w:rPr>
          <w:color w:val="000000" w:themeColor="text1"/>
          <w:sz w:val="16"/>
          <w:szCs w:val="16"/>
        </w:rPr>
        <w:noBreakHyphen/>
        <w:t>мм гаубицы должен быть принят ВСНХ в размере 60 гаубиц; заказ на 152</w:t>
      </w:r>
      <w:r w:rsidRPr="00507A31">
        <w:rPr>
          <w:color w:val="000000" w:themeColor="text1"/>
          <w:sz w:val="16"/>
          <w:szCs w:val="16"/>
        </w:rPr>
        <w:noBreakHyphen/>
        <w:t>мм пушки — 60 пушек; заказ на 152</w:t>
      </w:r>
      <w:r w:rsidRPr="00507A31">
        <w:rPr>
          <w:color w:val="000000" w:themeColor="text1"/>
          <w:sz w:val="16"/>
          <w:szCs w:val="16"/>
        </w:rPr>
        <w:noBreakHyphen/>
        <w:t>мм гаубицы — 250 гаубиц, не увеличивая суммы ассигнований, указанной в п. «а».</w:t>
      </w:r>
    </w:p>
    <w:p w14:paraId="6E7532DB" w14:textId="77777777" w:rsidR="007C50AE" w:rsidRPr="00507A31" w:rsidRDefault="007C50AE" w:rsidP="00507A31">
      <w:pPr>
        <w:jc w:val="both"/>
        <w:rPr>
          <w:color w:val="000000" w:themeColor="text1"/>
          <w:sz w:val="16"/>
          <w:szCs w:val="16"/>
        </w:rPr>
      </w:pPr>
      <w:r w:rsidRPr="00507A31">
        <w:rPr>
          <w:color w:val="000000" w:themeColor="text1"/>
          <w:sz w:val="16"/>
          <w:szCs w:val="16"/>
        </w:rPr>
        <w:t>3. Заявка Наркомвоенмора на год ведения войны по мобплану № 10</w:t>
      </w:r>
    </w:p>
    <w:p w14:paraId="212CF984"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А. Утвердить заявку Наркомвоенмора на год ведения войны в 36,5 млн. выстрелов согласно прилагаемому при сем перечню.</w:t>
      </w:r>
    </w:p>
    <w:p w14:paraId="556CFD77"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Б. Принять к сведению заявление ВСНХ СССР о том, что он обращает особое внимание на развитие мощностей и подачи по порохам, азотной кислоте и взрыв[чатых] веществ для обеспечения указанной заявки и образования резерва по этим производствам.</w:t>
      </w:r>
    </w:p>
    <w:p w14:paraId="5144A721"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В. Поручить ВСНХ и Наркомвоенмору проработать вопрос о производстве средних и малых танков во время войны и доложить ПБ в двухмесячный срок.</w:t>
      </w:r>
    </w:p>
    <w:p w14:paraId="51CC8237"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4. Об импортном контингенте</w:t>
      </w:r>
    </w:p>
    <w:p w14:paraId="2DAC6108"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А. Утвердить импортный контингент в размере: Наркомвоенмору — 13 млн. руб., ВАО — 15 млн. руб.</w:t>
      </w:r>
    </w:p>
    <w:p w14:paraId="49133CB5"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б) Поручить т. </w:t>
      </w:r>
      <w:hyperlink r:id="rId170" w:history="1">
        <w:r w:rsidRPr="00507A31">
          <w:rPr>
            <w:color w:val="000000" w:themeColor="text1"/>
            <w:sz w:val="16"/>
            <w:szCs w:val="16"/>
          </w:rPr>
          <w:t>Розенгольцу</w:t>
        </w:r>
      </w:hyperlink>
      <w:r w:rsidRPr="00507A31">
        <w:rPr>
          <w:color w:val="000000" w:themeColor="text1"/>
          <w:sz w:val="16"/>
          <w:szCs w:val="16"/>
        </w:rPr>
        <w:t xml:space="preserve"> и </w:t>
      </w:r>
      <w:hyperlink r:id="rId171" w:history="1">
        <w:r w:rsidRPr="00507A31">
          <w:rPr>
            <w:color w:val="000000" w:themeColor="text1"/>
            <w:sz w:val="16"/>
            <w:szCs w:val="16"/>
          </w:rPr>
          <w:t>Павлуновскому</w:t>
        </w:r>
      </w:hyperlink>
      <w:r w:rsidRPr="00507A31">
        <w:rPr>
          <w:color w:val="000000" w:themeColor="text1"/>
          <w:sz w:val="16"/>
          <w:szCs w:val="16"/>
        </w:rPr>
        <w:t xml:space="preserve"> в трехдневный срок просмотреть заявку ВСНХ на техническое снабжение по военной промышленности и доложить ПБ ЦК ВКП(б).</w:t>
      </w:r>
    </w:p>
    <w:p w14:paraId="020CCC91" w14:textId="77777777" w:rsidR="007C50AE" w:rsidRPr="00507A31" w:rsidRDefault="007C50AE" w:rsidP="00507A31">
      <w:pPr>
        <w:pStyle w:val="ae"/>
        <w:spacing w:before="0" w:after="0"/>
        <w:jc w:val="both"/>
        <w:rPr>
          <w:color w:val="000000" w:themeColor="text1"/>
          <w:sz w:val="16"/>
          <w:szCs w:val="16"/>
        </w:rPr>
      </w:pPr>
      <w:r w:rsidRPr="00507A31">
        <w:rPr>
          <w:rStyle w:val="af0"/>
          <w:i w:val="0"/>
          <w:color w:val="000000" w:themeColor="text1"/>
          <w:sz w:val="16"/>
          <w:szCs w:val="16"/>
        </w:rPr>
        <w:t>Председатель Ворошилов</w:t>
      </w:r>
    </w:p>
    <w:p w14:paraId="40107DDD" w14:textId="77777777" w:rsidR="007C50AE" w:rsidRPr="00507A31" w:rsidRDefault="007C50AE"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r w:rsidRPr="00507A31">
        <w:rPr>
          <w:color w:val="000000" w:themeColor="text1"/>
          <w:sz w:val="16"/>
          <w:szCs w:val="16"/>
        </w:rPr>
        <w:t>:</w:t>
      </w:r>
    </w:p>
    <w:p w14:paraId="53B9610D"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Датируется по времени заседания комиссии Ворошилова. Утверждено Политбюро 30 ноября 1930 г.</w:t>
      </w:r>
    </w:p>
    <w:p w14:paraId="09CD116F"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Опущен п. 1. «О мобилизационном развертывании Красной армии в 1931 г.» (см. там же, л. 88</w:t>
      </w:r>
      <w:r w:rsidRPr="00507A31">
        <w:rPr>
          <w:color w:val="000000" w:themeColor="text1"/>
          <w:sz w:val="16"/>
          <w:szCs w:val="16"/>
        </w:rPr>
        <w:noBreakHyphen/>
        <w:t>89).</w:t>
      </w:r>
    </w:p>
    <w:p w14:paraId="1B227D68" w14:textId="77777777" w:rsidR="007C50AE" w:rsidRPr="00507A31" w:rsidRDefault="007C50AE" w:rsidP="00507A31">
      <w:pPr>
        <w:pStyle w:val="ae"/>
        <w:spacing w:before="0" w:after="0"/>
        <w:jc w:val="both"/>
        <w:rPr>
          <w:color w:val="000000" w:themeColor="text1"/>
          <w:sz w:val="16"/>
          <w:szCs w:val="16"/>
        </w:rPr>
      </w:pPr>
      <w:r w:rsidRPr="00507A31">
        <w:rPr>
          <w:color w:val="000000" w:themeColor="text1"/>
          <w:sz w:val="16"/>
          <w:szCs w:val="16"/>
        </w:rPr>
        <w:t>РГАСПИ. Ф. 17. Оп. 162. Д. 9. Л. 89—90. Заверенная копия.</w:t>
      </w:r>
    </w:p>
    <w:p w14:paraId="1531CD75" w14:textId="77777777" w:rsidR="007C50AE" w:rsidRPr="00507A31" w:rsidRDefault="007C50AE" w:rsidP="00507A31">
      <w:pPr>
        <w:jc w:val="both"/>
        <w:rPr>
          <w:color w:val="000000" w:themeColor="text1"/>
          <w:sz w:val="16"/>
          <w:szCs w:val="16"/>
        </w:rPr>
      </w:pPr>
      <w:r w:rsidRPr="00507A31">
        <w:rPr>
          <w:color w:val="000000" w:themeColor="text1"/>
          <w:sz w:val="16"/>
          <w:szCs w:val="16"/>
        </w:rPr>
        <w:t xml:space="preserve">Архив: РГАСПИ. Ф. 17. Оп. 162. Д. 9. Л. 89—90. Заверенная копия. </w:t>
      </w:r>
    </w:p>
    <w:p w14:paraId="32A3D0B4" w14:textId="77777777" w:rsidR="007C50AE" w:rsidRPr="00507A31" w:rsidRDefault="007C50AE"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507-508 (12519).</w:t>
      </w:r>
    </w:p>
    <w:p w14:paraId="518A6301" w14:textId="77777777" w:rsidR="007C50AE" w:rsidRPr="00507A31" w:rsidRDefault="007C50AE" w:rsidP="00507A31">
      <w:pPr>
        <w:jc w:val="both"/>
        <w:rPr>
          <w:color w:val="000000" w:themeColor="text1"/>
          <w:sz w:val="16"/>
          <w:szCs w:val="16"/>
        </w:rPr>
      </w:pPr>
    </w:p>
    <w:p w14:paraId="5B771DD9" w14:textId="77777777" w:rsidR="00534909" w:rsidRPr="00507A31" w:rsidRDefault="00534909" w:rsidP="00507A31">
      <w:pPr>
        <w:shd w:val="clear" w:color="auto" w:fill="FFFFFF"/>
        <w:jc w:val="both"/>
        <w:rPr>
          <w:color w:val="0070C0"/>
          <w:sz w:val="16"/>
          <w:szCs w:val="16"/>
        </w:rPr>
      </w:pPr>
      <w:r w:rsidRPr="00507A31">
        <w:rPr>
          <w:color w:val="0070C0"/>
          <w:sz w:val="16"/>
          <w:szCs w:val="16"/>
        </w:rPr>
        <w:t>29 ноября 1930 особая комиссии Политбюро под председательством Ворошилова (в состав комиссии вошли Сталин, Орджоникидзе, Куйбышев, Молотов и Рудзутак (Когда и в какой редакции было принято решение создать комиссию и когда она была распущена, выяснить не удалось) был рассмотрен план заказом Наркомвоенмора на 1931 г. В финансовом выражении он составил 883 млн руб. (решения РЗ СТО от 30 июля и 10 сентября 1930 г. устанавливали ассигнования на новые заказы промышленности на 1930/31 г. в 750 млн руб. (Выписка из протокола № 55 заседания РЗ СТО от 10.09.1930 // РГАЭ. Ф. 4372. Оп. 91- Д 387. Л. 8. Первоначальные предложения военного ведомства выражались суммой в 956 млн руб. Понимая, что "на это, конечно, рассчитывать не приходится", аппарат Шапошникова "смог свести паши новые заказы к 780-800 млн руб.", и в июле-августе 1930 г. НКВМ тщетно убеждало РЗ СТО в том, что эти цифры являются минимально допустимыми. Подготовленная по заданию Уборсвича соответствующая записка была "немного резко направлена против Рыкова". Возмущенный ее содержанием Рыков "смотреть не хотел" на начальника вооружений РККА, который, в свою очередь, адресовал претензии военных не к официальному главе правительства, а к Молотову. "Но решающую роль, - писал управделами НКВМ Ворошилову, - будете играть Вы, тов. Сталин и т. Орджоникидзе" (Личное письмо Литуновского Ворошилову, 6.08.1930// РГА СПИ. Ф. 74. Оп</w:t>
      </w:r>
      <w:r w:rsidRPr="00507A31">
        <w:rPr>
          <w:color w:val="0070C0"/>
          <w:sz w:val="16"/>
          <w:szCs w:val="16"/>
          <w:lang w:val="en-US"/>
        </w:rPr>
        <w:t xml:space="preserve">. 2. </w:t>
      </w:r>
      <w:r w:rsidRPr="00507A31">
        <w:rPr>
          <w:color w:val="0070C0"/>
          <w:sz w:val="16"/>
          <w:szCs w:val="16"/>
        </w:rPr>
        <w:t>Д</w:t>
      </w:r>
      <w:r w:rsidRPr="00507A31">
        <w:rPr>
          <w:color w:val="0070C0"/>
          <w:sz w:val="16"/>
          <w:szCs w:val="16"/>
          <w:lang w:val="en-US"/>
        </w:rPr>
        <w:t xml:space="preserve"> 101. </w:t>
      </w:r>
      <w:r w:rsidRPr="00507A31">
        <w:rPr>
          <w:color w:val="0070C0"/>
          <w:sz w:val="16"/>
          <w:szCs w:val="16"/>
        </w:rPr>
        <w:t>Л</w:t>
      </w:r>
      <w:r w:rsidRPr="00507A31">
        <w:rPr>
          <w:color w:val="0070C0"/>
          <w:sz w:val="16"/>
          <w:szCs w:val="16"/>
          <w:lang w:val="en-US"/>
        </w:rPr>
        <w:t xml:space="preserve">. 201). </w:t>
      </w:r>
      <w:r w:rsidRPr="00507A31">
        <w:rPr>
          <w:color w:val="0070C0"/>
          <w:sz w:val="16"/>
          <w:szCs w:val="16"/>
        </w:rPr>
        <w:t>См</w:t>
      </w:r>
      <w:r w:rsidRPr="00507A31">
        <w:rPr>
          <w:color w:val="0070C0"/>
          <w:sz w:val="16"/>
          <w:szCs w:val="16"/>
          <w:lang w:val="en-US"/>
        </w:rPr>
        <w:t xml:space="preserve">. </w:t>
      </w:r>
      <w:r w:rsidRPr="00507A31">
        <w:rPr>
          <w:color w:val="0070C0"/>
          <w:sz w:val="16"/>
          <w:szCs w:val="16"/>
        </w:rPr>
        <w:t>также</w:t>
      </w:r>
      <w:r w:rsidRPr="00507A31">
        <w:rPr>
          <w:color w:val="0070C0"/>
          <w:sz w:val="16"/>
          <w:szCs w:val="16"/>
          <w:lang w:val="en-US"/>
        </w:rPr>
        <w:t xml:space="preserve">: STONE D. Op. cit. P. 145-146)). </w:t>
      </w:r>
      <w:r w:rsidRPr="00507A31">
        <w:rPr>
          <w:color w:val="0070C0"/>
          <w:sz w:val="16"/>
          <w:szCs w:val="16"/>
        </w:rPr>
        <w:t>Кроме того, комиссия обсудила заявку НКВМ на год ведения войны по мобплану на 1931-1932 гг. и вопрос о выделении импортного контингента НКВМ и ВАО (</w:t>
      </w:r>
      <w:r w:rsidRPr="00507A31">
        <w:rPr>
          <w:color w:val="0070C0"/>
          <w:sz w:val="16"/>
          <w:szCs w:val="16"/>
          <w:lang w:val="en-US"/>
        </w:rPr>
        <w:t>C</w:t>
      </w:r>
      <w:r w:rsidRPr="00507A31">
        <w:rPr>
          <w:color w:val="0070C0"/>
          <w:sz w:val="16"/>
          <w:szCs w:val="16"/>
        </w:rPr>
        <w:t xml:space="preserve"> 1928 г. в заявку НКВМ не включались новые формирования первого года войны. На этот раз "в заявке по варианту № 10, представленной на утверждение правительства, учтены формирования 1-го года войны в размере: 20 стрелковых дивизий, 10 дивизий АРГК, 1000 танков, 1000 самолетов и соответствующее число спецчастей" (справка к материалам по заявке и нормам по варианту № 10 [не позднее 4.11.1930] // РГВА Ф. 40442. On. 1. Д 378. Л. 96)). Таким образом, комиссия Политбюро фактически приняла на себя те полномочия, которые прежде выполняли Распорядительные заседания СТО. 30 ноября Политбюро утвердило "с поправками" "предложение ко миссии т. Ворошилова" (Протокол комиссии Политбюро ЦК ВКП(б) от 2911.1930 // РГА СПИ. Ф. 17. Оп. 162. Д 9. Л. 89-90; Протокол № 17 заседания Политбюро ЦК ВКП(б) от 5.12.1930 // Там же. Л. 87) (22725).</w:t>
      </w:r>
    </w:p>
    <w:p w14:paraId="03C0EDD2" w14:textId="77777777" w:rsidR="00534909" w:rsidRPr="00507A31" w:rsidRDefault="00534909" w:rsidP="00507A31">
      <w:pPr>
        <w:jc w:val="both"/>
        <w:rPr>
          <w:color w:val="0070C0"/>
          <w:sz w:val="16"/>
          <w:szCs w:val="16"/>
        </w:rPr>
      </w:pPr>
    </w:p>
    <w:p w14:paraId="1B70388E" w14:textId="77777777" w:rsidR="00534909" w:rsidRPr="00507A31" w:rsidRDefault="00534909" w:rsidP="00507A31">
      <w:pPr>
        <w:shd w:val="clear" w:color="auto" w:fill="FFFFFF"/>
        <w:jc w:val="both"/>
        <w:rPr>
          <w:color w:val="0070C0"/>
          <w:sz w:val="16"/>
          <w:szCs w:val="16"/>
        </w:rPr>
      </w:pPr>
      <w:r w:rsidRPr="00507A31">
        <w:rPr>
          <w:color w:val="0070C0"/>
          <w:sz w:val="16"/>
          <w:szCs w:val="16"/>
        </w:rPr>
        <w:t>29-30 ноября комиссия Ворошилова и Политбюро утвердили заявку Наркомата по военным и морским делам "на год ведения войны по мобплану Мв 10". Производство артиллерийских орудий должно было составить 12 610, самолетов - 7098, танков - 20 000 (начиная с мая 1932 г.). При рассмотрении в Политбюро мобзаявка НКВМ на снаряды была увеличена с 36,5 до 40 млн выстрелов288. План промышленной мобилизации литеры "С" был заменен новым мобпланом, название которого ("МВ-10") указывало на задачу обслуживать потребности года войны по расписании' № 10 (т. е. до 1 мая 1933 г.)( Дата принятия решения о переходе на новый мобплап промышленности неизвестна; замечания Л. Самуэльсона на этот счет вызывают сомнения (САМУЭЛЬСОН Л. Указ соч. С. 140). Решение о подготовке плана "нового поколения" было принято РЗ СТО еще в марте 1930 г., когда работа МПУ ВСНХ над "С-30" была в разгаре (STONK D. Op. cit. P. 153).) (22725).</w:t>
      </w:r>
    </w:p>
    <w:p w14:paraId="3B3659F5" w14:textId="77777777" w:rsidR="00534909" w:rsidRPr="00507A31" w:rsidRDefault="00534909" w:rsidP="00507A31">
      <w:pPr>
        <w:jc w:val="both"/>
        <w:rPr>
          <w:color w:val="0070C0"/>
          <w:sz w:val="16"/>
          <w:szCs w:val="16"/>
        </w:rPr>
      </w:pPr>
    </w:p>
    <w:p w14:paraId="4505007E" w14:textId="77777777" w:rsidR="0060292F" w:rsidRPr="00507A31" w:rsidRDefault="0060292F"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BF0C786" w14:textId="77777777" w:rsidR="0060292F" w:rsidRPr="00507A31" w:rsidRDefault="0060292F" w:rsidP="00507A31">
      <w:pPr>
        <w:autoSpaceDE w:val="0"/>
        <w:autoSpaceDN w:val="0"/>
        <w:adjustRightInd w:val="0"/>
        <w:jc w:val="both"/>
        <w:rPr>
          <w:iCs/>
          <w:color w:val="000000" w:themeColor="text1"/>
          <w:sz w:val="16"/>
          <w:szCs w:val="16"/>
        </w:rPr>
      </w:pPr>
    </w:p>
    <w:p w14:paraId="0F235326" w14:textId="77777777" w:rsidR="0060292F" w:rsidRPr="00507A31" w:rsidRDefault="0060292F" w:rsidP="00507A31">
      <w:pPr>
        <w:jc w:val="both"/>
        <w:rPr>
          <w:bCs/>
          <w:color w:val="000000" w:themeColor="text1"/>
          <w:sz w:val="16"/>
          <w:szCs w:val="16"/>
        </w:rPr>
      </w:pPr>
      <w:r w:rsidRPr="00507A31">
        <w:rPr>
          <w:color w:val="000000" w:themeColor="text1"/>
          <w:sz w:val="16"/>
          <w:szCs w:val="16"/>
        </w:rPr>
        <w:t>29 ноября 1930 г.</w:t>
      </w:r>
    </w:p>
    <w:p w14:paraId="593988D5" w14:textId="77777777" w:rsidR="0060292F" w:rsidRPr="00507A31" w:rsidRDefault="0060292F" w:rsidP="00507A31">
      <w:pPr>
        <w:jc w:val="both"/>
        <w:rPr>
          <w:bCs/>
          <w:color w:val="000000" w:themeColor="text1"/>
          <w:sz w:val="16"/>
          <w:szCs w:val="16"/>
        </w:rPr>
      </w:pPr>
      <w:r w:rsidRPr="00507A31">
        <w:rPr>
          <w:color w:val="000000" w:themeColor="text1"/>
          <w:sz w:val="16"/>
          <w:szCs w:val="16"/>
        </w:rPr>
        <w:t>Информация Московского областного совета профсоюзов в ВЦСПС об участии рабочих в демонстрации протеста против «Промпартии». 29 ноября 1930 г.</w:t>
      </w:r>
    </w:p>
    <w:p w14:paraId="0F433DC8"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21A5D270"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186CFAD"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29 ноября 1930 г.</w:t>
      </w:r>
    </w:p>
    <w:p w14:paraId="5BDA1A81"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ИНФОРМСПРАВКА</w:t>
      </w:r>
    </w:p>
    <w:p w14:paraId="5937AE0A"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ОБ УЧАСТИИ В ДЕМОНСТРАЦИИ ПРОТЕСТА</w:t>
      </w:r>
    </w:p>
    <w:p w14:paraId="481C940B"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ПРОТИВ ВРЕДИТЕЛЬСКОЙ ОРГАНИЗАЦИИ «ПРОМПАРТИИ»</w:t>
      </w:r>
    </w:p>
    <w:p w14:paraId="0B683EBE"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ПО СОЮЗАМ</w:t>
      </w:r>
    </w:p>
    <w:p w14:paraId="393BC335"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По полученным в МОСПС сведениям на митингах и в демонстрациях 25-го ноября т. г. по союзам Металлистов, Текстильщиков и Строителей участвовало:</w:t>
      </w:r>
    </w:p>
    <w:tbl>
      <w:tblPr>
        <w:tblpPr w:leftFromText="45" w:rightFromText="45" w:vertAnchor="text"/>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1672"/>
        <w:gridCol w:w="1187"/>
        <w:gridCol w:w="1217"/>
        <w:gridCol w:w="1608"/>
        <w:gridCol w:w="4509"/>
      </w:tblGrid>
      <w:tr w:rsidR="00E371BA" w:rsidRPr="00507A31" w14:paraId="3742D931" w14:textId="77777777" w:rsidTr="00DE6527">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BCAD55"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Название союзов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5270FF"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Колич. предпр., давших сведен.</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6C59552"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Колич. работаю-щих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FE247C"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Из них: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CA7DA5"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ПРИМЕЧАНИЕ</w:t>
            </w:r>
          </w:p>
        </w:tc>
      </w:tr>
      <w:tr w:rsidR="00E371BA" w:rsidRPr="00507A31" w14:paraId="345AC77D" w14:textId="77777777" w:rsidTr="00DE6527">
        <w:tc>
          <w:tcPr>
            <w:tcW w:w="0" w:type="auto"/>
            <w:vMerge/>
            <w:tcBorders>
              <w:top w:val="outset" w:sz="6" w:space="0" w:color="auto"/>
              <w:left w:val="outset" w:sz="6" w:space="0" w:color="auto"/>
              <w:bottom w:val="outset" w:sz="6" w:space="0" w:color="auto"/>
              <w:right w:val="outset" w:sz="6" w:space="0" w:color="auto"/>
            </w:tcBorders>
            <w:vAlign w:val="center"/>
            <w:hideMark/>
          </w:tcPr>
          <w:p w14:paraId="1A92F3C3" w14:textId="77777777" w:rsidR="0060292F" w:rsidRPr="00507A31" w:rsidRDefault="0060292F"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9E33D8" w14:textId="77777777" w:rsidR="0060292F" w:rsidRPr="00507A31" w:rsidRDefault="0060292F" w:rsidP="00507A31">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379B31" w14:textId="77777777" w:rsidR="0060292F" w:rsidRPr="00507A31" w:rsidRDefault="0060292F" w:rsidP="00507A31">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4989B5"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 охвата митингами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4B599"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 охвата демонстрациями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27AE69" w14:textId="77777777" w:rsidR="0060292F" w:rsidRPr="00507A31" w:rsidRDefault="0060292F" w:rsidP="00507A31">
            <w:pPr>
              <w:jc w:val="both"/>
              <w:rPr>
                <w:color w:val="000000" w:themeColor="text1"/>
                <w:sz w:val="16"/>
                <w:szCs w:val="16"/>
              </w:rPr>
            </w:pPr>
          </w:p>
        </w:tc>
      </w:tr>
      <w:tr w:rsidR="00E371BA" w:rsidRPr="00507A31" w14:paraId="5AF26F74"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19A3DBFB"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Металлисты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AF04B"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14B5A"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44.387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4C14A"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82EFE"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98%</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7F8A88"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Все количество участников в демонстрации, митингах — работающие в дневных сменах</w:t>
            </w:r>
          </w:p>
        </w:tc>
      </w:tr>
      <w:tr w:rsidR="00E371BA" w:rsidRPr="00507A31" w14:paraId="0722E933"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21AA8C49"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Текстильщики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48983"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C3AE2"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36.302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BD733"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BBD55"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81%</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7B3EBF" w14:textId="77777777" w:rsidR="0060292F" w:rsidRPr="00507A31" w:rsidRDefault="0060292F" w:rsidP="00507A31">
            <w:pPr>
              <w:jc w:val="both"/>
              <w:rPr>
                <w:color w:val="000000" w:themeColor="text1"/>
                <w:sz w:val="16"/>
                <w:szCs w:val="16"/>
              </w:rPr>
            </w:pPr>
          </w:p>
        </w:tc>
      </w:tr>
      <w:tr w:rsidR="00E371BA" w:rsidRPr="00507A31" w14:paraId="6F916BC5"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61590BC3"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Пищевики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5278F"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B6C1F"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5.680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FAC90"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BFF35"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60-70 %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EA6780" w14:textId="77777777" w:rsidR="0060292F" w:rsidRPr="00507A31" w:rsidRDefault="0060292F" w:rsidP="00507A31">
            <w:pPr>
              <w:jc w:val="both"/>
              <w:rPr>
                <w:color w:val="000000" w:themeColor="text1"/>
                <w:sz w:val="16"/>
                <w:szCs w:val="16"/>
              </w:rPr>
            </w:pPr>
          </w:p>
        </w:tc>
      </w:tr>
      <w:tr w:rsidR="00E371BA" w:rsidRPr="00507A31" w14:paraId="1773F01C"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38E04F57"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Деревообдел.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0904E"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AFB0"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CEB59"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D8B46"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85%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64E361" w14:textId="77777777" w:rsidR="0060292F" w:rsidRPr="00507A31" w:rsidRDefault="0060292F" w:rsidP="00507A31">
            <w:pPr>
              <w:jc w:val="both"/>
              <w:rPr>
                <w:color w:val="000000" w:themeColor="text1"/>
                <w:sz w:val="16"/>
                <w:szCs w:val="16"/>
              </w:rPr>
            </w:pPr>
          </w:p>
        </w:tc>
      </w:tr>
      <w:tr w:rsidR="00E371BA" w:rsidRPr="00507A31" w14:paraId="73D29497"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55CF1CFD"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Печатники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8064E"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6A37F"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B0BB7"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D3763"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28483"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 </w:t>
            </w:r>
          </w:p>
        </w:tc>
      </w:tr>
      <w:tr w:rsidR="00E371BA" w:rsidRPr="00507A31" w14:paraId="581127B8"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709B608F"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Строители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449F5"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60728"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6.453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D6A7E"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61 %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B18E7"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70114"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 </w:t>
            </w:r>
          </w:p>
        </w:tc>
      </w:tr>
      <w:tr w:rsidR="00E371BA" w:rsidRPr="00507A31" w14:paraId="77CA4162"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252D9450"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Медсантруд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F8C10"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D3B32"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4D0E5"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B1F6"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E233B"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 </w:t>
            </w:r>
          </w:p>
        </w:tc>
      </w:tr>
    </w:tbl>
    <w:p w14:paraId="253B3A39" w14:textId="77777777" w:rsidR="0060292F" w:rsidRPr="00507A31" w:rsidRDefault="0060292F" w:rsidP="00507A31">
      <w:pPr>
        <w:jc w:val="both"/>
        <w:rPr>
          <w:color w:val="000000" w:themeColor="text1"/>
          <w:sz w:val="16"/>
          <w:szCs w:val="16"/>
        </w:rPr>
      </w:pPr>
      <w:r w:rsidRPr="00507A31">
        <w:rPr>
          <w:color w:val="000000" w:themeColor="text1"/>
          <w:sz w:val="16"/>
          <w:szCs w:val="16"/>
        </w:rPr>
        <w:t> </w:t>
      </w:r>
    </w:p>
    <w:p w14:paraId="6C356CA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Причем необходимо указать, что по некоторым предприятиям, где подготовка ФЗМК была проведена удовлетворительно, явка как на митинги, так и на демонстрацию, была 90-100 %.</w:t>
      </w:r>
    </w:p>
    <w:p w14:paraId="58963B9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Например, по СОЮЗУ МЕТАЛЛИСТОВ:</w:t>
      </w:r>
    </w:p>
    <w:p w14:paraId="1679636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«ДИНАМО» — охват митингами — 100 %</w:t>
      </w:r>
    </w:p>
    <w:p w14:paraId="49E6514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 /- демонстрац. — 98 %.</w:t>
      </w:r>
    </w:p>
    <w:p w14:paraId="23CA321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«СЕРП и МОЛОТ» — охват митингами — 90 %</w:t>
      </w:r>
    </w:p>
    <w:p w14:paraId="1EEFA55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 /- демонстрац. — 100 % (всех работающих в дневных сменах).</w:t>
      </w:r>
    </w:p>
    <w:p w14:paraId="6AA7F64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«АВИАХИМ № 1»</w:t>
      </w:r>
    </w:p>
    <w:p w14:paraId="489F76D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Охват митингами и демонстрацией 100 %.</w:t>
      </w:r>
    </w:p>
    <w:p w14:paraId="289F7578"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им. КАЛИНИНА — 100 % участие как в демонстрации, так и в митингах.</w:t>
      </w:r>
    </w:p>
    <w:p w14:paraId="086A422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КОЛОМЕНСКИЙ завод — 97 %.</w:t>
      </w:r>
    </w:p>
    <w:p w14:paraId="6F77B50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ЛЮБЕРЕЦКИЙ завод — 85 %.</w:t>
      </w:r>
    </w:p>
    <w:p w14:paraId="5E6944A8"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ТЕКСТИЛЕЙ</w:t>
      </w:r>
    </w:p>
    <w:p w14:paraId="077BBCF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ТРЕХГОРНАЯ МАНУФАКТУРА.</w:t>
      </w:r>
    </w:p>
    <w:p w14:paraId="310D4B10"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Митингами охвачено 100 %</w:t>
      </w:r>
    </w:p>
    <w:p w14:paraId="66057DE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Демонстрациями — / — 80 %, т. е. к общему числу работающих на фабрике.</w:t>
      </w:r>
    </w:p>
    <w:p w14:paraId="7BBBDFA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Ф-ка им. СВЕРДЛОВА.</w:t>
      </w:r>
    </w:p>
    <w:p w14:paraId="717F261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Митингами охвачено 100 %</w:t>
      </w:r>
    </w:p>
    <w:p w14:paraId="35E50AE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Демонстрац. — / — 90 %</w:t>
      </w:r>
    </w:p>
    <w:p w14:paraId="2EE05C4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Ф-ка «КРАСНАЯ ЗАРЯ».</w:t>
      </w:r>
    </w:p>
    <w:p w14:paraId="7041864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Митингами охвачено 85 %</w:t>
      </w:r>
    </w:p>
    <w:p w14:paraId="1CCA4F1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Демонстрац. — / — 100 % всех работавших в дневной смене — 2500. Ф-ка «КАРЛО-ЛЕНТА».</w:t>
      </w:r>
    </w:p>
    <w:p w14:paraId="1849808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100% охват как демонстрацией, так и митингами (число работающих — 520 чел.).</w:t>
      </w:r>
    </w:p>
    <w:p w14:paraId="56D4539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Ф-ка «ПОБЕДА ОКТЯБРЯ».</w:t>
      </w:r>
    </w:p>
    <w:p w14:paraId="2A98C46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320 чел. работающих, охват — 75 %.</w:t>
      </w:r>
    </w:p>
    <w:p w14:paraId="41B4058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Ф-ка «КРАСНАЯ РОЗА» — в демонстрации участвовало 90-100 %.</w:t>
      </w:r>
    </w:p>
    <w:p w14:paraId="3245D368"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ДЕРЕВООБДЕЛОЧНИКОВ.</w:t>
      </w:r>
    </w:p>
    <w:p w14:paraId="3BCC06D0"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Ф-ка ГНУТОЙ МЕБЕЛИ (Замоскворец. р-н).</w:t>
      </w:r>
    </w:p>
    <w:p w14:paraId="1D2E1EB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Количество работающих — 500 чел.</w:t>
      </w:r>
    </w:p>
    <w:p w14:paraId="0D5D6BC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Охват демонстрацией — 100% всех работавших в дневной смене (200 чел.).</w:t>
      </w:r>
    </w:p>
    <w:p w14:paraId="53FCC9E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6-я ПУГОВИЧНАЯ (Бауманский район).</w:t>
      </w:r>
    </w:p>
    <w:p w14:paraId="23DB3CA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Работающих — 4 тыс. чел.</w:t>
      </w:r>
    </w:p>
    <w:p w14:paraId="2CB284F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100 % охват митингами и 100 % — демонстрацией всех работающих в дневной смене (1300 чел.).</w:t>
      </w:r>
    </w:p>
    <w:p w14:paraId="57A30D2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им. РЫКОВА (Красная Пресня).</w:t>
      </w:r>
    </w:p>
    <w:p w14:paraId="253D92A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Работающих — 600 чел.</w:t>
      </w:r>
    </w:p>
    <w:p w14:paraId="4630BF1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100 % охват как митингами, так и демонстрацией.</w:t>
      </w:r>
    </w:p>
    <w:p w14:paraId="571F4000"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Там, где завкомы и фабкомы не сумели провести в достаточной степени подготовительной работы, посещаемость митингов и демонстрации была далеко недостаточной.</w:t>
      </w:r>
    </w:p>
    <w:p w14:paraId="64E722C1"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ТЕКСТИЛЬЩИКОВ.</w:t>
      </w:r>
    </w:p>
    <w:p w14:paraId="122D2F6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Ф-ка ФРУНЗЕ (Замоскворечье).</w:t>
      </w:r>
    </w:p>
    <w:p w14:paraId="6A7FCAA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Из числа работающих в 2800 чел. в дневной смене в количестве 1400 чел. — в демонстрации участвовало 500 чел., т. е. 35,7 %.</w:t>
      </w:r>
    </w:p>
    <w:p w14:paraId="438EFCE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Такой недостаточный % участия в демонстрации фабком объясняет тем, что 25-го утром выданы были ордера на промтовары и рабочие направились за получением таковых.</w:t>
      </w:r>
    </w:p>
    <w:p w14:paraId="5F8A052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Такое же недопонимание политического значения демонстрации 25-го ноября было проявлено и по другим союзам, например,</w:t>
      </w:r>
    </w:p>
    <w:p w14:paraId="4CF3DEEA"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СТРОИТЕЛЕЙ.</w:t>
      </w:r>
    </w:p>
    <w:p w14:paraId="42BB909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МК № 101.</w:t>
      </w:r>
    </w:p>
    <w:p w14:paraId="30A806E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Из числа работающих в 1079 чел. на митингах и в демонстрации участвовало 100 чел., т. е. 10 %.</w:t>
      </w:r>
    </w:p>
    <w:p w14:paraId="391D3E9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Партийные и комсомольские ячейки бездействовали, а МК, дожидаясь от них директивы, тоже ничего не сделал.</w:t>
      </w:r>
    </w:p>
    <w:p w14:paraId="31F6A73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Комитет № 241. (при постройке з-да «АМО»)</w:t>
      </w:r>
    </w:p>
    <w:p w14:paraId="5E7A58C0"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Число работающих — 1600 чел., присутствовало на демонстрации — 600 чел, т. е. 37,8 %.</w:t>
      </w:r>
    </w:p>
    <w:p w14:paraId="16ABA12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Комитет № 34.</w:t>
      </w:r>
    </w:p>
    <w:p w14:paraId="51533CF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Объединяет 400 чел. Охвачено митингами — 50 %.</w:t>
      </w:r>
    </w:p>
    <w:p w14:paraId="0156FF71"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ЛЕСДРЕВА.</w:t>
      </w:r>
    </w:p>
    <w:p w14:paraId="0192438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3-д ВСНХ № 28 СССР (Красная Пресня)</w:t>
      </w:r>
    </w:p>
    <w:p w14:paraId="6334813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Охват демонстрацией — 50 %</w:t>
      </w:r>
    </w:p>
    <w:p w14:paraId="704DAF5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Недостаточный процент участия в демонстрации завком объясняет выходным днем завода.</w:t>
      </w:r>
    </w:p>
    <w:p w14:paraId="6F4BBEF1"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РАБПРОС.</w:t>
      </w:r>
    </w:p>
    <w:p w14:paraId="47E921F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ГЕОЛОГО-РАЗВЕДОЧНЫЙ ИНСТИТУТ.</w:t>
      </w:r>
    </w:p>
    <w:p w14:paraId="55C877F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Из числа 180 чел. педагогического персонала пришло на демонстрацию 18 чел., т. е. 10 %. В составе педагогов института в большинстве работают старые специалисты.</w:t>
      </w:r>
    </w:p>
    <w:p w14:paraId="06AF0EE8"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Настроения.</w:t>
      </w:r>
    </w:p>
    <w:p w14:paraId="04DB9B6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Митинги протеста проводились по всем заводам и фабрикам как Москвы, так и Московской области. Во всех выступлениях и в принятых резолюциях рабочие и работницы выражали свое возмущение действиями контрреволюционной вредительской организации «Промпартии», и все как один требовали применения к вредителям дела социалистического строительства высшей меры наказания — РАССТРЕЛА.</w:t>
      </w:r>
    </w:p>
    <w:p w14:paraId="77E5459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ответ на вредительство и угрозы интервенции рабочие и работницы заявляли, что они еще сильнее сплотятся вокруг Ленинского ЦК ВКП(б), мобилизуются на выполнение пятилетки в 4 года, усилят соцсоревнование, ударничество и пополнят ряды ВКП(б) лучшими ударниками и испытанными кадровиками-пролетариями.</w:t>
      </w:r>
    </w:p>
    <w:p w14:paraId="31AC5C4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Новой ДОПОЛНИТЕЛЬНОЙ подпиской на заем пятилетки в 4 года, отработкой рабочими в декаду Обороны страны и массовым вступлением в ряды Осоавиахима.</w:t>
      </w:r>
    </w:p>
    <w:p w14:paraId="3C5D955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Так ответили рабочие Красной столицы шпионам капитализма!</w:t>
      </w:r>
    </w:p>
    <w:p w14:paraId="6D38151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Как проходили митинги на заводах?</w:t>
      </w:r>
    </w:p>
    <w:p w14:paraId="1B8EA47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«ДИНАМО».</w:t>
      </w:r>
    </w:p>
    <w:p w14:paraId="4A486C9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25/XI — в обеденный перерыв митингами охвачены 12 цехов с 100 %-м охватом рабочих. Настроение рабочих боевое. В ответ на вылазку контрреволюционной банды вредителей 136 чел. кадровиков-рабочих (в большинстве имеющих 30 лет производственного стажа) ответили вступлением в ряды ВКП(б).</w:t>
      </w:r>
    </w:p>
    <w:p w14:paraId="577A5390"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выступлениях рабочие требовали РАССТРЕЛА вредителей, а также заочного приговора Пуанкаре к расстрелу.</w:t>
      </w:r>
    </w:p>
    <w:p w14:paraId="0AE4A770"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Рабочими вынесено постановление в декаду Обороны страны отработать один день.</w:t>
      </w:r>
    </w:p>
    <w:p w14:paraId="00F82B4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Вынесено предложение о ДОПОЛНИТЕЛЬНОЙ ПОДПИСКЕ на заем «Пятилетка в 4 года». Подписались на 3000 руб.</w:t>
      </w:r>
    </w:p>
    <w:p w14:paraId="4BA160D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lastRenderedPageBreak/>
        <w:t>Рабочие завода «ДИНАМО» требовали от правых и «левых» оппортунистов признания, с кем они идут: с партией или с вредителями?</w:t>
      </w:r>
    </w:p>
    <w:p w14:paraId="090C0ED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ЛЮБЕРЕЦКИЙ ЗАВОД.</w:t>
      </w:r>
    </w:p>
    <w:p w14:paraId="2EA2160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 всем цехам з-да проведены митинги с 100 % охватом всех рабочих. Участвовало в демонстрации 85 % общего числа рабочих. На демонстрации среди многих плакатов была карикатура, изображающая, как Советская Пятилетка захлестнула петлей капиталиста.</w:t>
      </w:r>
    </w:p>
    <w:p w14:paraId="1B343F7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Изображение показывало предсмертную агонию задыхающегося капитализма.</w:t>
      </w:r>
    </w:p>
    <w:p w14:paraId="3E74B80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«СЕРП и МОЛОТ».</w:t>
      </w:r>
    </w:p>
    <w:p w14:paraId="1EC432D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 всем цехам проведены митинги и беседы. На митингах присутствовало от 80-90 %. Цеха художественно оформлены плакатами. Настроение у рабочих боевое. Демонстрация в количестве 2500 чел. всех работающих в дневной смене с большим количеством плакатов вышла на улицу столицы.</w:t>
      </w:r>
    </w:p>
    <w:p w14:paraId="67E0381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КОЛОМЕНСКИЙ Завод.</w:t>
      </w:r>
    </w:p>
    <w:p w14:paraId="1FD43168"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 всем цехам проведены митинги. В демонстрации участвовало 97%.</w:t>
      </w:r>
    </w:p>
    <w:p w14:paraId="2A7829F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АВИАХИМ № 1 (Красная Пресня)</w:t>
      </w:r>
    </w:p>
    <w:p w14:paraId="5EEEB1A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 всем цехам проведены митинги, а также в ночных сменах проводились беседы. Митингами и беседами охвачено 100 % рабочих.</w:t>
      </w:r>
    </w:p>
    <w:p w14:paraId="062189F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25-го утром, перед началом работы, проведен общезаводской митинг. В выступлениях рабочие указывали[:] «Усилим бдительность на своем заводе. Выйдем из прорыва, выполним и перевыполним план ударного квартала!»</w:t>
      </w:r>
    </w:p>
    <w:p w14:paraId="4FB5A03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Демонстрацией охвачено 100 % рабочих. Настроение боевое.</w:t>
      </w:r>
    </w:p>
    <w:p w14:paraId="05D04AA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Художественное оформление: чучело Пуанкаре, который был сожжен перед демонстрацией Союза.</w:t>
      </w:r>
    </w:p>
    <w:p w14:paraId="22CBC48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Рабочие на митинге предложили ДОПОЛНИТЕЛЬНО провести подписку на заем «Пятилетка в 4 года».</w:t>
      </w:r>
    </w:p>
    <w:p w14:paraId="7E3E3D4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одном из цехов организована ударная бригада.</w:t>
      </w:r>
    </w:p>
    <w:p w14:paraId="34C3059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им. КАЛИНИНА.</w:t>
      </w:r>
    </w:p>
    <w:p w14:paraId="38BA88D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25-го, после работы организован общезаводской митинг, на котором присутствовало около 1000 чел. рабочих, а также делегация иностранных рабочих. Митинг прошел под лозунгом «Выполнения промфинплана и составления встречного на 1931 год».</w:t>
      </w:r>
    </w:p>
    <w:p w14:paraId="672053C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Также на этом митинге подписан договор на соцсоревнование с заводом «Мосэлектрик».</w:t>
      </w:r>
    </w:p>
    <w:p w14:paraId="5E3BEC6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Выступавшие инженеры говорили, что их путь вместе с рабочим классом до полной победы.</w:t>
      </w:r>
    </w:p>
    <w:p w14:paraId="3BE96B8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митинге поданы заявления рабочими 6-ю человеками о вступлении в партию.</w:t>
      </w:r>
    </w:p>
    <w:p w14:paraId="04CF361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Развернута ДОПОЛНИТЕЛЬНАЯ ПОДПИСКА на заем «Пятилетка в 4 года».</w:t>
      </w:r>
    </w:p>
    <w:p w14:paraId="1C5C0474"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ТЕКСТИЛЬЩИКОВ.</w:t>
      </w:r>
    </w:p>
    <w:p w14:paraId="11238AA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ТРЕХГОРКА.</w:t>
      </w:r>
    </w:p>
    <w:p w14:paraId="1B8B824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Митингами охвачены все цеха. Настроение рабочих — боевое. В демонстрации участвовало 2605 рабочих, т. е. 80 %.</w:t>
      </w:r>
    </w:p>
    <w:p w14:paraId="52110A6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Во время митингов некоторые рабочие Трехгорки подали заявления о вступлении в партию.</w:t>
      </w:r>
    </w:p>
    <w:p w14:paraId="72C8BE86"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МЕТАЛЛИСТОВ.</w:t>
      </w:r>
    </w:p>
    <w:p w14:paraId="1A4201D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Участие ИТР.</w:t>
      </w:r>
    </w:p>
    <w:p w14:paraId="714E0D0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«МАСТЯЖАРТ».</w:t>
      </w:r>
    </w:p>
    <w:p w14:paraId="5A573AB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з-де проведен специальный митинг инженерно-технических работников, на котором ИТР клеймят позором вредителей «промпартии» и в своем постановлении предложили сделать отчисление на самолет им. ОГПУ.</w:t>
      </w:r>
    </w:p>
    <w:p w14:paraId="5F74182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«КРАСНЫЙ ПРОЛЕТАРИЙ».</w:t>
      </w:r>
    </w:p>
    <w:p w14:paraId="03D0822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ИТР участвовали в митингах и демонстрациях вместе с рабочими.</w:t>
      </w:r>
    </w:p>
    <w:p w14:paraId="711E5CD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Завод «СЕРП и МОЛОТ».</w:t>
      </w:r>
    </w:p>
    <w:p w14:paraId="34DCD7A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Проведена конференция ИТР, на которой присутствовало 200 ч.</w:t>
      </w:r>
    </w:p>
    <w:p w14:paraId="174943C9"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ЛЕСДРЕВРАБОЧИХ.</w:t>
      </w:r>
    </w:p>
    <w:p w14:paraId="70BA390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СОЮЗЛЕСПРОМ.</w:t>
      </w:r>
    </w:p>
    <w:p w14:paraId="3329C40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собрании выступил один специалист, который клеймил позором вредителей и требовал применения суровых мер.</w:t>
      </w:r>
    </w:p>
    <w:p w14:paraId="64528407"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МЕДСАНТРУД.</w:t>
      </w:r>
    </w:p>
    <w:p w14:paraId="4C9FFCE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г. КАЛУГА.</w:t>
      </w:r>
    </w:p>
    <w:p w14:paraId="30B6D7A8"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расширенном пленуме районного комитета Медсантруд, в числе присутствующих 7-ми человек, выступило 5 врачей, в числе предложений которые исходили от врачебного персонала, указывалось на отмежевание от вредителей.</w:t>
      </w:r>
    </w:p>
    <w:p w14:paraId="717C0D6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г. МОСКВА.</w:t>
      </w:r>
    </w:p>
    <w:p w14:paraId="3F1B7CF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Институт им. СКЛИФАССОВСКОГО.</w:t>
      </w:r>
    </w:p>
    <w:p w14:paraId="1C96DBE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состоявшихся митингах в Институте — 50 % участников врачей. Из выступавших 15-ти человек в прениях выступило 13 врачей, в том числе 11 б/п. Среди них старые специалисты, работающие в Институте десятки лет. Выступавшие врачи сурово осуждали вредительство и требовали от специалистов-врачей ДОКАЗАТЬ ПРЕДАННОСТЬ СОВЕТСКОЙ ВЛАСТИ НА ДЕЛЕ.</w:t>
      </w:r>
    </w:p>
    <w:p w14:paraId="627E7578"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Б/п врач Бартеньев предложил ДОСРОЧНО внести заем «Пятилетка в 4 года». Предложение принято единогласно.</w:t>
      </w:r>
    </w:p>
    <w:p w14:paraId="286D6CE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Также внесено предложение о награждении ОГПУ ОРДЕНОМ ЛЕНИНА и послать приветствие. Предложение принято единогласно.</w:t>
      </w:r>
    </w:p>
    <w:p w14:paraId="08F80B34"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ПЕЧАТНИКОВ.</w:t>
      </w:r>
    </w:p>
    <w:p w14:paraId="2ED2743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14-я Типография.</w:t>
      </w:r>
    </w:p>
    <w:p w14:paraId="5AC1A09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5 чел. ИТР подали заявление о вступлении в партию.</w:t>
      </w:r>
    </w:p>
    <w:p w14:paraId="513AEB0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6-я Типография МОСПОЛИГРАФА.</w:t>
      </w:r>
    </w:p>
    <w:p w14:paraId="5C56E5B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состоявшемся митинге 24-го числа 3 ИТР объявили себя ударниками и подали заявление о закреплении себя до конца пятилетки.</w:t>
      </w:r>
    </w:p>
    <w:p w14:paraId="0CB6D76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Отрицательные настроения.</w:t>
      </w:r>
    </w:p>
    <w:p w14:paraId="5D732A7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Наряду с положительными сторонами, необходимо отметить и те отрицательные явления, которые наблюдались по некоторым предприятиям союзов, так:</w:t>
      </w:r>
    </w:p>
    <w:p w14:paraId="2630139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ГЕОЛОГО-РАЗВЕДОЧНЫЙ ИНСТИТУТ (СОЮЗ РАБПРОС)</w:t>
      </w:r>
    </w:p>
    <w:p w14:paraId="1D6C0F80"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Митинг был 24/XI вместе со студентами, прошел активно. На митинге решили: всем явиться на демонстрацию, пришли на демонстрацию полностью студенты и служащие, а из 180 чел. педагогического персонала пришло ТОЛЬКО 18 ЧЕЛОВЕК.</w:t>
      </w:r>
    </w:p>
    <w:p w14:paraId="559B693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43-я ШКОЛА ХОНО</w:t>
      </w:r>
    </w:p>
    <w:p w14:paraId="461FE99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митинге в школе учительница Макаричева выступила с заявлением, что она верит в невиновность подсудимых и голосует ПРОТИВ смертного приговора!</w:t>
      </w:r>
    </w:p>
    <w:p w14:paraId="515085A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Против такого выступления присутствующие на митинге дали отпор такому выступлению Макаричевой.</w:t>
      </w:r>
    </w:p>
    <w:p w14:paraId="1923CB3C"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РАБИС</w:t>
      </w:r>
    </w:p>
    <w:p w14:paraId="0D386A6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двух предприятиях союза имело место колебание двух работников о мере наказания вредителей.</w:t>
      </w:r>
    </w:p>
    <w:p w14:paraId="4857C930"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Кино-театр «АРС ТВЕРСКОЙ» выступил оркестрант, который заявил: что «меры наказания установить суду и нам достаточно лишь осуждения поступка вредителей».</w:t>
      </w:r>
    </w:p>
    <w:p w14:paraId="6ACE1E5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Академии Художественных Наук одна из сотрудниц заявила, что она «по своим убеждениям не может голосовать за применение смертной казни».</w:t>
      </w:r>
    </w:p>
    <w:p w14:paraId="006FAD28"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СТРОИТЕЛЕЙ.</w:t>
      </w:r>
    </w:p>
    <w:p w14:paraId="5752833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КОМИТЕТ № 32 (Бауманский район).</w:t>
      </w:r>
    </w:p>
    <w:p w14:paraId="1380AAD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митинге были выкрики — нет обуви. Настроение же в основном вполне здоровое.</w:t>
      </w:r>
    </w:p>
    <w:p w14:paraId="4A27324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КОМИТЕТ № 34.</w:t>
      </w:r>
    </w:p>
    <w:p w14:paraId="5CC0B9C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ИТР в количестве 5-ти человек присутствовали на митингах, но не выступали и держались в стороне.</w:t>
      </w:r>
    </w:p>
    <w:p w14:paraId="68A36439"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ГОРНЯКОВ.</w:t>
      </w:r>
    </w:p>
    <w:p w14:paraId="5F48DE9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Горно-технический трест.</w:t>
      </w:r>
    </w:p>
    <w:p w14:paraId="0990E2D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проведенном митинге из числа работающих сотрудников 60 чел. присутствовало 48 чел. Из них 10 инженеров. Несмотря на предупреждение о митинге, инженер Сипягин на митинг не явился, общественность просит занести его на черную доску.</w:t>
      </w:r>
    </w:p>
    <w:p w14:paraId="165AEF4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Принята резолюция, требующая применения ко всем членам «Промпартии» высшей меры наказания — РАССТРЕЛА. ИТР обязуются выполнить пятилетку в 4 года и не ослаблять борьбы с остатками вредительства.</w:t>
      </w:r>
    </w:p>
    <w:p w14:paraId="39995D5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26/XI — провести отчисление в фонд Обороны страны путем подписного листа.</w:t>
      </w:r>
    </w:p>
    <w:p w14:paraId="4B9EAC72"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ТЕКСТИЛЬЩИКОВ.</w:t>
      </w:r>
    </w:p>
    <w:p w14:paraId="214A631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Ф-ка им. КАЛИНИНА.</w:t>
      </w:r>
    </w:p>
    <w:p w14:paraId="3DC81C6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проведенном митинге были выкрики: «Давайте ордеров больше на промтовары».</w:t>
      </w:r>
    </w:p>
    <w:p w14:paraId="40F5A9D4"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ШВЕЙНИКОВ.</w:t>
      </w:r>
    </w:p>
    <w:p w14:paraId="2B80F5C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lastRenderedPageBreak/>
        <w:t>Ф-ка № 6 МОСКВОШВЕЯ.</w:t>
      </w:r>
    </w:p>
    <w:p w14:paraId="0D61528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Были также замечания: «Идем, чего тут слушать!»</w:t>
      </w:r>
    </w:p>
    <w:p w14:paraId="69A87F60"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КОММУНАЛЬНИКОВ.</w:t>
      </w:r>
    </w:p>
    <w:p w14:paraId="002B80C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Сл[ужба] Пути 3-го Уч[астка]</w:t>
      </w:r>
    </w:p>
    <w:p w14:paraId="1FF7681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около[т]ке десятника Степанова выступавший рабочий Куприянов говорил, что напрасно расстреляли 58 вредителей.</w:t>
      </w:r>
    </w:p>
    <w:p w14:paraId="7162385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Этому выступлению был ДАН ОТПОР со стороны пред. МК и рабочих, из выступлений некоторой части рабочих была поддержка.</w:t>
      </w:r>
    </w:p>
    <w:p w14:paraId="601849FB"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ПИЩЕВИКОВ.</w:t>
      </w:r>
    </w:p>
    <w:p w14:paraId="1EDAFD1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Ф-ка «МАРАТ».</w:t>
      </w:r>
    </w:p>
    <w:p w14:paraId="522B820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Из числа работающих админ.-технического персонала 12 человек — на демонстрации присутствовало 7 человек.</w:t>
      </w:r>
    </w:p>
    <w:p w14:paraId="6A28A60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КУСТ № 3.</w:t>
      </w:r>
    </w:p>
    <w:p w14:paraId="34773A8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Пекарня № 77.</w:t>
      </w:r>
    </w:p>
    <w:p w14:paraId="5D0E40C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 митинге один б/п рабочий заявил: «Уплатите нам сначала зарплату (задержка — 10 дней), тогда мы пойдем на демонстрацию[»].</w:t>
      </w:r>
    </w:p>
    <w:p w14:paraId="06D7574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Выступлению рабочего тут же на митинге был ДАН соответствующий ОТПОР со стороны самих же рабочих.</w:t>
      </w:r>
    </w:p>
    <w:p w14:paraId="0E3B06FF"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ПО СОЮЗУ НАРСВЯЗИ.</w:t>
      </w:r>
    </w:p>
    <w:p w14:paraId="098828D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Областная контора.</w:t>
      </w:r>
    </w:p>
    <w:p w14:paraId="4792E55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Было выступление старого инженера при обсуждении резолюции, пункта применения ВЫСШЕЙ МЕРЫ НАКАЗАНИЯ. Он указывал, что «при разборе дела надо тщательно подходить к невиновным».</w:t>
      </w:r>
    </w:p>
    <w:p w14:paraId="6976224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Со стороны работников ДАН был тут же ему ОТПОР.</w:t>
      </w:r>
    </w:p>
    <w:p w14:paraId="740D396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ИНФО М.О.С.П.С. Корне&lt;...&gt;</w:t>
      </w:r>
    </w:p>
    <w:p w14:paraId="3A5F44A9"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223. Л. 30-39. Машинописный подлинник, подпись-автограф (неразборчиво). На Л. 30 вверху слева штамп МОСПС, справа — штамп ВЦСПС («ИСПОЛНЕНО») с вписанной от руки датой «30.XI». Рукописные пометы «ВЦСПС» «2-ому инфо. 1/ХII». На Л. 39 внизу слева делопроизводственная помета машинописью с датой «29/ХI» (датируется по этой помете) (10040).</w:t>
      </w:r>
    </w:p>
    <w:p w14:paraId="73D9DC23" w14:textId="77777777" w:rsidR="0060292F" w:rsidRPr="00507A31" w:rsidRDefault="0060292F" w:rsidP="00507A31">
      <w:pPr>
        <w:jc w:val="both"/>
        <w:rPr>
          <w:color w:val="000000" w:themeColor="text1"/>
          <w:sz w:val="16"/>
          <w:szCs w:val="16"/>
        </w:rPr>
      </w:pPr>
    </w:p>
    <w:p w14:paraId="07DF1544" w14:textId="77777777" w:rsidR="0060292F" w:rsidRPr="00507A31" w:rsidRDefault="0060292F" w:rsidP="00507A31">
      <w:pPr>
        <w:jc w:val="both"/>
        <w:rPr>
          <w:bCs/>
          <w:color w:val="000000" w:themeColor="text1"/>
          <w:sz w:val="16"/>
          <w:szCs w:val="16"/>
        </w:rPr>
      </w:pPr>
      <w:r w:rsidRPr="00507A31">
        <w:rPr>
          <w:color w:val="000000" w:themeColor="text1"/>
          <w:sz w:val="16"/>
          <w:szCs w:val="16"/>
        </w:rPr>
        <w:t>29 ноября 1930 г.</w:t>
      </w:r>
    </w:p>
    <w:p w14:paraId="143F9092" w14:textId="77777777" w:rsidR="0060292F" w:rsidRPr="00507A31" w:rsidRDefault="0060292F" w:rsidP="00507A31">
      <w:pPr>
        <w:jc w:val="both"/>
        <w:rPr>
          <w:bCs/>
          <w:color w:val="000000" w:themeColor="text1"/>
          <w:sz w:val="16"/>
          <w:szCs w:val="16"/>
        </w:rPr>
      </w:pPr>
      <w:r w:rsidRPr="00507A31">
        <w:rPr>
          <w:color w:val="000000" w:themeColor="text1"/>
          <w:sz w:val="16"/>
          <w:szCs w:val="16"/>
        </w:rPr>
        <w:t>Обращение участников пленума ЦБ ИТС Союза металлистов в президиум ВАРНИТСО с критикой опубликованной в печати «декларации ВАРНИТСО». 29 ноября 1930 г.</w:t>
      </w:r>
    </w:p>
    <w:p w14:paraId="6599F3B9"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5E27F35F"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DB06452"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Архив: </w:t>
      </w:r>
    </w:p>
    <w:p w14:paraId="33056B57" w14:textId="77777777" w:rsidR="0060292F" w:rsidRPr="00507A31" w:rsidRDefault="0060292F" w:rsidP="00507A31">
      <w:pPr>
        <w:jc w:val="both"/>
        <w:rPr>
          <w:color w:val="000000" w:themeColor="text1"/>
          <w:sz w:val="16"/>
          <w:szCs w:val="16"/>
        </w:rPr>
      </w:pPr>
      <w:r w:rsidRPr="00507A31">
        <w:rPr>
          <w:color w:val="000000" w:themeColor="text1"/>
          <w:sz w:val="16"/>
          <w:szCs w:val="16"/>
        </w:rPr>
        <w:t>ГА РФ. Ф. P-5469. Oп. 14. Д. 135. Л. 9-10</w:t>
      </w:r>
    </w:p>
    <w:p w14:paraId="71F3C25E"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29 ноября 1930 г.</w:t>
      </w:r>
    </w:p>
    <w:p w14:paraId="2F748137" w14:textId="77777777" w:rsidR="0060292F" w:rsidRPr="00507A31" w:rsidRDefault="0060292F" w:rsidP="00507A31">
      <w:pPr>
        <w:pStyle w:val="rtecenter"/>
        <w:spacing w:before="0" w:after="0"/>
        <w:jc w:val="both"/>
        <w:rPr>
          <w:color w:val="000000" w:themeColor="text1"/>
          <w:sz w:val="16"/>
          <w:szCs w:val="16"/>
        </w:rPr>
      </w:pPr>
      <w:r w:rsidRPr="00507A31">
        <w:rPr>
          <w:color w:val="000000" w:themeColor="text1"/>
          <w:sz w:val="16"/>
          <w:szCs w:val="16"/>
        </w:rPr>
        <w:t>В ПРЕЗИДИУМ «ВАРНИТСО»</w:t>
      </w:r>
    </w:p>
    <w:p w14:paraId="238DF89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Проходящий в настоящее время Пленум Центрального Бюро Инженерно-Технической Секции ВСРМ — штаб общественно-технического руководства инженеров и техников металло-электропромышленности — обсуждая вскрытое ОГПУ вредительство, подвергая, в связи с вредительством, жесточайшей критике работу Президиума ЦБ и членов Пленума, равно как и всех звеньев ИТС — не мог пройти мимо документа, отпечатанного сегодня в газетах ВАРНИТСО.</w:t>
      </w:r>
    </w:p>
    <w:p w14:paraId="1885A77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Пленум считает, что эта декларация является аполитичным и «нейтральным» документом, не только не способным мобилизовать научных работников на действительную, реальную борьбу с вредительством, но и дезориентирующим тех научных работников, которые могут и хотят усвоить методы классовой борьбы в научной работе.</w:t>
      </w:r>
    </w:p>
    <w:p w14:paraId="5A777E4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О чем толкует эта бесклассовая декларация?</w:t>
      </w:r>
    </w:p>
    <w:p w14:paraId="3534BDD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Пленум ЦБ считает абсолютно недопустимым, что ВАРНИТСО — организация, считающая себя идеологически близкой к коммунистической партии — в своей декларации полностью обходит молчанием вопрос о политической ответственности, которая падает, наравне с ИТС, и на ВАРНИТСО, не сумевшую мобилизовать на деле, а не на словах, преданных партии научно-технических работников для борьбы с вредителями и своевременного пресечения вредительских актов.</w:t>
      </w:r>
    </w:p>
    <w:p w14:paraId="4363BC98"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Основной костяк вредителей — ЦК промпартии и руководящие центры отраслевых вредительских ответвлений — комплектовался в значительной степени из научно-технической среды, которая является ареной деятельности ВАРНИТСО и в составе которой ВАРНИТСО была призвана стать бдительным стражем завоеваний рабочего класса. На деле же ВАРНИТСО до настоящего времени этим стражем не стала в борьбе с агентами классового врага, искавшим опоры среди научно-технических работников, не проявила, как и ИТС, должной бдительности и активности.</w:t>
      </w:r>
    </w:p>
    <w:p w14:paraId="6446E4B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Только в стране пролетарской диктатуры есть безграничный простор для приложения научного знания и т. д.</w:t>
      </w:r>
    </w:p>
    <w:p w14:paraId="0EC2187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декларации совершенно отсутствуют КОНКРЕТНЫЕ ФОРМЫ и данные поворота научной мысли к трудящимся, тем самым смазывается классовая установка в данный момент в связи с вредительством — работы научной мысли.</w:t>
      </w:r>
    </w:p>
    <w:p w14:paraId="4731D6C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«Кроме далеких обломков давно не существующих партий и политического отрепья “бывших людей” в СССР нет другой опоры и других союзников для черного дела вредителей».</w:t>
      </w:r>
    </w:p>
    <w:p w14:paraId="5E09CE6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Это в корне неправильная политическая установка. Пока в СССР не выкорчеваны до конца остатки капитализма и пока СССР находится в капиталистическом окружении — до тех пор контрреволюционные и вредительские элементы будут иметь базу для своей классовой борьбы против пролетариата.</w:t>
      </w:r>
    </w:p>
    <w:p w14:paraId="393F7EF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Более того, именно развернутое и успешное соц. строительство, все более обостряя классовую борьбу, будет вызывать все более бешенное сопротивление этих элементов. Поэтому мы считаем, что Ваша установка приводит к ослаблению классовой бдительности научно-технических работников и отклоняет от борьбы за генеральную линию партии.</w:t>
      </w:r>
    </w:p>
    <w:p w14:paraId="53F76D4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Наконец, мы поражены тем, что ВАРНИТСО — штаб научной мысли СССР — ОТКАЗЫВАЕТСЯ в своей декларации от классовой борьбы в НАСТОЯЩИЙ МОМЕНТ и обещает ее только в случае войны:</w:t>
      </w:r>
    </w:p>
    <w:p w14:paraId="56280D9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тот день, когда рабочему классу придется на полях сражения отстаивать свое право на существование, мы без колебаний и раздумий станем в ряды его передовых бойцов, сумеем передать л[а]боратории в окопы и траншеи фронта и наше перо ученого превратить в винтовку бойца».</w:t>
      </w:r>
    </w:p>
    <w:p w14:paraId="599D462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Ссылка на то, что ВАРНИТСО крепила вчера и будет крепить сегодня оборону страны, тоже не заполняет основного пробела о необходимости мобилизации научной мысли уже сегодня на укрепление народного хозяйства, как основы обороноспособности СССР.</w:t>
      </w:r>
    </w:p>
    <w:p w14:paraId="0199DF4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Инженерно-техническая и рабочая общественность ждет от Вас, чтобы научная мысль в ОТВЕТ НА ВРЕДИТЕЛЬСТВО заработала УЖЕ СЕЙЧАС на фронте классовых боев, которые на Ваших и наших глазах, на глазах пролетариата всего мира идут ежедневно, ежечасно. Поэтому перо научного работника не должно ожидать «указание», чтобы превратиться в винтовку бойца: «рабочий класс не только завоевал право на существование», но и исторически призван создать новое социалистическое общество, в борьбе за которое научные работники должны помогать ему ежедневно.</w:t>
      </w:r>
    </w:p>
    <w:p w14:paraId="0718543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Поэтому, мы члены Центрального Бюро инженеров и техников металлистов, разъезжаясь на места — фабрики, заводы, строительства — во все концы Советского Союза будем ожидать от Вас ответ — как научные работники перевооружаются на борьбу с вредительством.</w:t>
      </w:r>
    </w:p>
    <w:p w14:paraId="4B642B4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Для нас это особенно важно, потому что научные лаборатории еще оторваны от производства, научная мысль еще в стороне от того котла, где кипит великий творческий энтузиазм рабочих; подлинный героизм пролетариев еще недостаточно оплодотворен научной работой и ответственность за &lt;это&gt; ложится и на ВАС, работников науки и на нас — командиров производства.</w:t>
      </w:r>
    </w:p>
    <w:p w14:paraId="5CDE4CC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III (Внеочередной) Пленум Центрального Бюро</w:t>
      </w:r>
    </w:p>
    <w:p w14:paraId="57354790"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ИТС Металлистов</w:t>
      </w:r>
    </w:p>
    <w:p w14:paraId="32073927"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P-5469. Oп. 14. Д. 135. Л. 9-10. Машинописная копия того времени. На Л. 9 вверху справа машинописью дата «... Ноября [19]30 г.» (число отсутствует). Внизу Л. 10 делопроизводственная помета с датой «29/ХI. 30 г.» (датируется по этой помете) (19041).</w:t>
      </w:r>
    </w:p>
    <w:p w14:paraId="5A285ED7" w14:textId="77777777" w:rsidR="0060292F" w:rsidRPr="00507A31" w:rsidRDefault="0060292F" w:rsidP="00507A31">
      <w:pPr>
        <w:jc w:val="both"/>
        <w:rPr>
          <w:color w:val="000000" w:themeColor="text1"/>
          <w:sz w:val="16"/>
          <w:szCs w:val="16"/>
        </w:rPr>
      </w:pPr>
    </w:p>
    <w:p w14:paraId="59CB377E" w14:textId="77777777" w:rsidR="0060292F" w:rsidRPr="00507A31" w:rsidRDefault="0060292F"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641CD15C" w14:textId="77777777" w:rsidR="0060292F" w:rsidRPr="00507A31" w:rsidRDefault="0060292F" w:rsidP="00507A31">
      <w:pPr>
        <w:autoSpaceDE w:val="0"/>
        <w:autoSpaceDN w:val="0"/>
        <w:adjustRightInd w:val="0"/>
        <w:jc w:val="both"/>
        <w:rPr>
          <w:iCs/>
          <w:color w:val="000000" w:themeColor="text1"/>
          <w:sz w:val="16"/>
          <w:szCs w:val="16"/>
        </w:rPr>
      </w:pPr>
    </w:p>
    <w:p w14:paraId="4098A88A" w14:textId="77777777" w:rsidR="0060292F" w:rsidRPr="00507A31" w:rsidRDefault="0060292F" w:rsidP="00507A31">
      <w:pPr>
        <w:jc w:val="both"/>
        <w:rPr>
          <w:bCs/>
          <w:color w:val="000000" w:themeColor="text1"/>
          <w:sz w:val="16"/>
          <w:szCs w:val="16"/>
        </w:rPr>
      </w:pPr>
      <w:r w:rsidRPr="00507A31">
        <w:rPr>
          <w:color w:val="000000" w:themeColor="text1"/>
          <w:sz w:val="16"/>
          <w:szCs w:val="16"/>
        </w:rPr>
        <w:t>29 ноября 1930 г.</w:t>
      </w:r>
    </w:p>
    <w:p w14:paraId="3B86821C" w14:textId="77777777" w:rsidR="0060292F" w:rsidRPr="00507A31" w:rsidRDefault="0060292F" w:rsidP="00507A31">
      <w:pPr>
        <w:jc w:val="both"/>
        <w:rPr>
          <w:bCs/>
          <w:color w:val="000000" w:themeColor="text1"/>
          <w:sz w:val="16"/>
          <w:szCs w:val="16"/>
        </w:rPr>
      </w:pPr>
      <w:r w:rsidRPr="00507A31">
        <w:rPr>
          <w:color w:val="000000" w:themeColor="text1"/>
          <w:sz w:val="16"/>
          <w:szCs w:val="16"/>
        </w:rPr>
        <w:t>Французская «право-буржуазная» печать о процессе «Промпартии». Из «Бюллетеня не для печати № 317 иностранной информации ТАСС». 29 ноября 1930 г.</w:t>
      </w:r>
    </w:p>
    <w:p w14:paraId="323A4D0E"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01AAE69C"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45D9DF4"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Архив: </w:t>
      </w:r>
    </w:p>
    <w:p w14:paraId="668164B8" w14:textId="77777777" w:rsidR="0060292F" w:rsidRPr="00507A31" w:rsidRDefault="0060292F" w:rsidP="00507A31">
      <w:pPr>
        <w:jc w:val="both"/>
        <w:rPr>
          <w:color w:val="000000" w:themeColor="text1"/>
          <w:sz w:val="16"/>
          <w:szCs w:val="16"/>
        </w:rPr>
      </w:pPr>
      <w:r w:rsidRPr="00507A31">
        <w:rPr>
          <w:color w:val="000000" w:themeColor="text1"/>
          <w:sz w:val="16"/>
          <w:szCs w:val="16"/>
        </w:rPr>
        <w:lastRenderedPageBreak/>
        <w:t>АВП РФ. Ф. 0136. Oп. 14.П. 140.Д.593.Л. 119-120, 124-125</w:t>
      </w:r>
    </w:p>
    <w:p w14:paraId="0D01D7D7"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от 29 ноября 1930 г.</w:t>
      </w:r>
    </w:p>
    <w:p w14:paraId="1AC20349"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2004D97E"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317</w:t>
      </w:r>
    </w:p>
    <w:p w14:paraId="751885AC"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29/XI-30 г.</w:t>
      </w:r>
    </w:p>
    <w:p w14:paraId="48CCFB97"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Лист № 2.</w:t>
      </w:r>
    </w:p>
    <w:p w14:paraId="7ADC9D1A"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КАМПАНИЯ ФРАНЦУЗСКОЙ ПЕЧАТИ.</w:t>
      </w:r>
    </w:p>
    <w:p w14:paraId="7C83F90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СЛ. 901. ПАРИЖ, 28/XI. (ТАСС). — Право-буржуазная «Матен» в редакционной статье под заголовком «Некорректность советских</w:t>
      </w:r>
    </w:p>
    <w:p w14:paraId="6DF6B62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правителей в отношении Франции. На этот раз московское правительство не сможет переложить ответственность на третий Интернационал» пишет: «Процесс контрреволюционеров продолжается в Москве с недопустимой и упорной верой в долготерпение Франции. Все было предусмотрено и заранее сорганизовано, чтобы довести оскорбления до крайних пределов. Все, начиная с обвинительного заключения генерального прокурора Крыленко до театральных манифестаций на улицах Москвы и показаний в достаточной степени двусмысленных, даваемых обвиняемыми с исключительной целью представить себя в качестве лиц, действовавших, якобы, по наущению со стороны наших государственных деятелей Пуанкаре и Бриана, в легендарной корректности которых вся Франция в полном единодушии питает законнейшее и полнейшее доверие. Ни одно правительство, дипломатия ни одной страны не могли бы допустить, чтобы бывший президент республики, бывший председатель совета министров, бывший министр иностранных дел (т. е. Пуанкаре. — Ред.) бывший председатель совета министров и нынешний министр иностранных дел (т. е. Бриан. — Ред.), что эти господа систематически подвергались столь очевидно ложным обвинениям. Много русских со времени большевистской революции предстали перед нашими различными судебными инстанциями по обвинению в чисто политических преступлениях. Однако, нет ни одного примера, чтобы наши судебные власти произнесли хотя бы самое незначительное оскорбительное слово по адресу советского правительства или хотя бы по адресу некоторых прежних его членов. Наши судебные власти доводили свою щепетильность и понимание собственного достоинства до того, что предлагали выступавшим на процессах адвокатам следовать их примеру, хотя последние не были обязаны обнаруживать такую же деликатность. До последнего времени советское правительство при любой из своих очередных провокаций, при любом из своих подкопных маневров, направленных к вмешательству во внутреннюю политику Франции, упорно заявлял[о] о своей полной корректности и всю ответственность возлагал[о] на пресловутый третий Интернационал, который служит ему превосходной ширмой.</w:t>
      </w:r>
    </w:p>
    <w:p w14:paraId="2CB6B9D4"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(продолжение] следует).</w:t>
      </w:r>
    </w:p>
    <w:p w14:paraId="7903D4C0"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317</w:t>
      </w:r>
    </w:p>
    <w:p w14:paraId="2305C8AE"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29/XI-30 г.</w:t>
      </w:r>
    </w:p>
    <w:p w14:paraId="2FF089AA"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Лист № 3</w:t>
      </w:r>
    </w:p>
    <w:p w14:paraId="39DDF90D"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(продолжение)</w:t>
      </w:r>
    </w:p>
    <w:p w14:paraId="13A84DB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Ныне советское правительство снимает маску. Его наступление совершенно открыто. Генеральный прокурор Крыленко официально отнюдь не агент Сталина. Крыленко — советский чиновник, который поддерживает обвинение от имени самого правительства. То обстоятельство, что советское правительство позволяет Крыленко продолжать его клеветническую игру после официальных опровержений Пуанкаре и Бриана, после протеста нашего посла в Москве, доказывает желание советского правительства заставить Францию порвать с Советским Союзом все дипломатические и другие отношения. Но тогда пусть же у советского правительства хватит смелости отозвать своего собственного посла в Париже прежде, чем возмущенная Франция не увидит себя вынужденной с позором отослать этого посла его правительству».</w:t>
      </w:r>
    </w:p>
    <w:p w14:paraId="3AB9AE0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«Депеш Колониаль», орган финансового капитала, связанного с эксплоатацией французских колоний, в статье под заголовком: «Советская клевета против Франции» пишет: «Как Пуанкаре, так и Бриан протестовали против советских обвинений дипломатическим путем. Однако, их протесты не возымели никаких последствий. На московском процессе даже и после выступления нашего посла Эрбетта продолжают, не смущаясь, говорить о военных планах, вырабатываемых в Париже. Вся эта история столь же возмутительна, сколь нелепа. Что же, однако, делать? Приходится во всяком случае задуматься, а зачем советы продолжают держать посольства в стране, на которую они так горько во многом жалуются. Им следовало бы отозвать их посла из Франции, если только мы сами не попросим его проехаться в Москву при том условии, конечно, что советский рай все еще продолжает его привлекать».</w:t>
      </w:r>
    </w:p>
    <w:p w14:paraId="0056593A"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w:t>
      </w:r>
    </w:p>
    <w:p w14:paraId="0BA9C444"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317</w:t>
      </w:r>
    </w:p>
    <w:p w14:paraId="0ADB0F0B"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29/XI-30 г.</w:t>
      </w:r>
    </w:p>
    <w:p w14:paraId="10DCCC8A"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Лист № 7</w:t>
      </w:r>
    </w:p>
    <w:p w14:paraId="019F938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ИЗМЫШЛЕНИЯ ФРАНЦУЗСКИХ ГАЗЕТ.</w:t>
      </w:r>
    </w:p>
    <w:p w14:paraId="61EB098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ЯГ. 925. ПАРИЖ, 28/XI. (ТАСС). — Некоторые газеты под ставшим уже традиционным заголовком «Что происходит в России» публикуют очередные утки «Дейли Мейль» о «прибытии в Ригу московского поезда изрешетенного пулями, о стрельбе и восстаниях в пограничной полосе» ИТ. д.</w:t>
      </w:r>
    </w:p>
    <w:p w14:paraId="10D9E42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«ТАН» О ПРОЦЕССЕ.</w:t>
      </w:r>
    </w:p>
    <w:p w14:paraId="121181A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ЯГ. 925. ПАРИЖ, 28/XI. (ТАСС). — «Тан»[,] сообщая, что на процессе «промпартии» были заслушаны показания ряда обвиняемых, «повторяющих Рамзина»[,] указывает, что «эти обвиняемые все же более сдержанны в части, касающейся мнимых иностранных влияний и ограничиваются изложением своего саботажа».</w:t>
      </w:r>
    </w:p>
    <w:p w14:paraId="44A6EDCE"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317</w:t>
      </w:r>
    </w:p>
    <w:p w14:paraId="52FDDC64"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29/XI-30 г.</w:t>
      </w:r>
    </w:p>
    <w:p w14:paraId="6FFCB906"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Лист № 12</w:t>
      </w:r>
    </w:p>
    <w:p w14:paraId="4D530D12"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ФРАНЦУЗСКАЯ ПЕЧАТЬ О ПРОЦЕССЕ «ПРОМПАРТИИ»</w:t>
      </w:r>
    </w:p>
    <w:p w14:paraId="062948F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МП. 927. ПАРИЖ, 29/XI. (Тасс). — Правая «Фигаро» резко упрекает французское правительство за «проявление инертности перед лицом позорного процесса в Москве» и за то, что оно «позволяет советам вовлекать в дело “промпартии” французских руководящих политиков». «Не является ли Российское государство позором для всей европейской цивилизации — восклицает газета. Если еще есть смысл верить в возможность солидарности цивилизованных наций, какое чувство унижения должны мы испытать перед инертностью Европы, слепой и глухой к неподдающимся описанию несчастьям русских крестьян».</w:t>
      </w:r>
    </w:p>
    <w:p w14:paraId="78E165B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АНГЛИЙСКИЕ КОРРЕСПОНДЕНТЫ О ПРОЦЕССЕ «ПРОМПАРТИИ».</w:t>
      </w:r>
    </w:p>
    <w:p w14:paraId="7A077DC8"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ПЛ. 2071. ЛОНДОН, 29/XI. (Тасс). — Описывая свои впечатления от процесса «промпартии», корреспонденты английских газет подчеркивают, что суд не похож на обычное судебное разбирательство и напоминает скорее театральное зрелище. Некоторые корреспонденты сравнивают процесс с Холливудом, т. к. в зале суда беспрерывно работают прожектора, киноаппараты и радиопередатчики. Основываясь на этом, печать утверждает, что процесс протекает в атмосфере постоянного давления на психику подсудимых и совесть судей. Консервативный журнал «Спектейтор» пишет: «Это давление на судей если и не организовано самим правительством, то, по крайней мере, санкционировано им. Так или иначе, это отвратительный продукт демагогии советских правителей». Останавливаясь на признаниях обвиняемых, «Спектейтор» утверждает, что эти признания вынуждены пытками и угрозами. «Мы надеемся, — восклицает “Спектейтор”, что Гендерсон немедленно предпримет необходимые шаги для того, чтобы помочь этим несчастным жертвам советского правительства, которое нуждается в козлах отпущения».</w:t>
      </w:r>
    </w:p>
    <w:p w14:paraId="0C71684E"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14.П. 140.Д.593.Л. 119-120, 124-125. Машинописный экземпляр того времени, размноженный на ротаторе. На каждом листе вверху имеется гриф «НЕ ПОДЛЕЖИТ ОГЛАШЕНИЮ». Рукописные пометы «Их.» (на Л.119, 120, 125), «Гл.» (Л. 120), «С. Д.» (Л. 124). На Л. 119 в подстрочнике — данные о размножении документа («1 воск. 2 подвоск. 136 ротат.»). (См. также легенду к док. №36 — «Отклики» немецкой прессы о процессе «Промпартии» [...]. Из «Бюллетеня не для печати № 302 иностранной информации ТАСС» от 16 ноября 1930 г.) (18973).</w:t>
      </w:r>
    </w:p>
    <w:p w14:paraId="75BB3B8B" w14:textId="77777777" w:rsidR="0060292F" w:rsidRPr="00507A31" w:rsidRDefault="0060292F" w:rsidP="00507A31">
      <w:pPr>
        <w:jc w:val="both"/>
        <w:rPr>
          <w:color w:val="000000" w:themeColor="text1"/>
          <w:sz w:val="16"/>
          <w:szCs w:val="16"/>
        </w:rPr>
      </w:pPr>
    </w:p>
    <w:p w14:paraId="2AE84114" w14:textId="77777777" w:rsidR="0060292F" w:rsidRPr="00507A31" w:rsidRDefault="0060292F" w:rsidP="00507A31">
      <w:pPr>
        <w:jc w:val="both"/>
        <w:rPr>
          <w:bCs/>
          <w:color w:val="000000" w:themeColor="text1"/>
          <w:sz w:val="16"/>
          <w:szCs w:val="16"/>
        </w:rPr>
      </w:pPr>
      <w:r w:rsidRPr="00507A31">
        <w:rPr>
          <w:color w:val="000000" w:themeColor="text1"/>
          <w:sz w:val="16"/>
          <w:szCs w:val="16"/>
        </w:rPr>
        <w:t>29 ноября 1930 г.</w:t>
      </w:r>
    </w:p>
    <w:p w14:paraId="2B15603A" w14:textId="77777777" w:rsidR="0060292F" w:rsidRPr="00507A31" w:rsidRDefault="0060292F" w:rsidP="00507A31">
      <w:pPr>
        <w:jc w:val="both"/>
        <w:rPr>
          <w:bCs/>
          <w:color w:val="000000" w:themeColor="text1"/>
          <w:sz w:val="16"/>
          <w:szCs w:val="16"/>
        </w:rPr>
      </w:pPr>
      <w:r w:rsidRPr="00507A31">
        <w:rPr>
          <w:color w:val="000000" w:themeColor="text1"/>
          <w:sz w:val="16"/>
          <w:szCs w:val="16"/>
        </w:rPr>
        <w:t>Телеграмма министра иностранных дел Франции послу Франции в СССР Ж. Эрбету о встрече Ф. Вертело с В. С. Довгалевским. 29 ноября 1930 г.</w:t>
      </w:r>
    </w:p>
    <w:p w14:paraId="6E19613E"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5EB46EFF"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1326FF"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29 ноября 1930 г.</w:t>
      </w:r>
    </w:p>
    <w:p w14:paraId="38CBCFDE"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МИД</w:t>
      </w:r>
    </w:p>
    <w:p w14:paraId="7DF23935"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Телеграмма № 349-350</w:t>
      </w:r>
    </w:p>
    <w:p w14:paraId="5089A3FC"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Политическое управление</w:t>
      </w:r>
    </w:p>
    <w:p w14:paraId="4B64CC98"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Париж, 29 ноября 1930 г.</w:t>
      </w:r>
    </w:p>
    <w:p w14:paraId="7509B915"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Министр иностранных дел в Москву</w:t>
      </w:r>
    </w:p>
    <w:p w14:paraId="110E60F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Главный секретарь вызвал советского посла, чтобы официально возобновить протесты против текущего политического процесса, которые Вы уже сделали в Москве.</w:t>
      </w:r>
    </w:p>
    <w:p w14:paraId="6FAB248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Это был протест против нападок на глав французского правительства, фигурирующих в официальном документе, против обвинений генерального штаба, французских офицеров и членов посольства, против ожесточенности и подстрекательства газет, находящихся под государственным контролем, таких, например, как «Известия».</w:t>
      </w:r>
    </w:p>
    <w:p w14:paraId="13A4EA0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lastRenderedPageBreak/>
        <w:t>Вертело сравнил подобное поведение советского правительства с позицией, которую занимала Франция в переговорах между двумя правительствами по политическим и экономическим вопросам. Он привел в пример проект пакта о ненападении, или скорее примирительной комиссии, упомянул возможность возобновления переговоров для заключения торгового договора, и т. д.</w:t>
      </w:r>
    </w:p>
    <w:p w14:paraId="38B2844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Довгалевский же указал на интервью Эльбеля, Фландена и Фернанда Давида, касающихся цели декрета от 3-го октября против советской торговли.</w:t>
      </w:r>
    </w:p>
    <w:p w14:paraId="3389760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Он говорил о том, что статьи во французской прессе были настолько же оскорбительными для руководителей режима, для советского посольства и большевистских принципов, как и статьи в русской прессе для Франции.</w:t>
      </w:r>
    </w:p>
    <w:p w14:paraId="3B82BDE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Что касается процесса, он ответил, что суд принял решение рассматривать все международные вопросы на заседаниях при закрытых дверях, что позволит без огласки проверить, насколько правдивы утверждения обвиняемых.</w:t>
      </w:r>
    </w:p>
    <w:p w14:paraId="21BBC69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Довгалевский поинтересовался, как ему следует резюмировать смысл и значение протеста главного секретаря. Последний ответил, что его целью было возобновить в Париже уже заявленные французским послом в Москве протесты и заявить, что процесс и публичные обвинения против глав французского правительства и его официальных представителей могут серьезно скомпрометировать отношения между двумя странами.</w:t>
      </w:r>
    </w:p>
    <w:p w14:paraId="3BBF7FBA"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Б[риан]</w:t>
      </w:r>
    </w:p>
    <w:p w14:paraId="3C93E4BA"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94-94а. Машинописный подлинник, подпись-росчерк. Штамп шифровального отдела с датой «29 нояб. 1930» и вписанным от руки временем «20 ч. 3», ниже штамп Департамента политических и торговых дел с вписанным от руки номером о сдаче в архив «z 619-20 s/d5» (18756).</w:t>
      </w:r>
    </w:p>
    <w:p w14:paraId="10BA8B77" w14:textId="77777777" w:rsidR="0060292F" w:rsidRPr="00507A31" w:rsidRDefault="0060292F" w:rsidP="00507A31">
      <w:pPr>
        <w:jc w:val="both"/>
        <w:rPr>
          <w:color w:val="000000" w:themeColor="text1"/>
          <w:sz w:val="16"/>
          <w:szCs w:val="16"/>
        </w:rPr>
      </w:pPr>
    </w:p>
    <w:p w14:paraId="5F850A2D" w14:textId="77777777" w:rsidR="0060292F" w:rsidRPr="00507A31" w:rsidRDefault="0060292F" w:rsidP="00507A31">
      <w:pPr>
        <w:jc w:val="both"/>
        <w:rPr>
          <w:bCs/>
          <w:color w:val="000000" w:themeColor="text1"/>
          <w:sz w:val="16"/>
          <w:szCs w:val="16"/>
        </w:rPr>
      </w:pPr>
      <w:r w:rsidRPr="00507A31">
        <w:rPr>
          <w:color w:val="000000" w:themeColor="text1"/>
          <w:sz w:val="16"/>
          <w:szCs w:val="16"/>
        </w:rPr>
        <w:t>29 ноября 1930 г.</w:t>
      </w:r>
    </w:p>
    <w:p w14:paraId="0DE45829" w14:textId="77777777" w:rsidR="0060292F" w:rsidRPr="00507A31" w:rsidRDefault="0060292F" w:rsidP="00507A31">
      <w:pPr>
        <w:jc w:val="both"/>
        <w:rPr>
          <w:bCs/>
          <w:color w:val="000000" w:themeColor="text1"/>
          <w:sz w:val="16"/>
          <w:szCs w:val="16"/>
        </w:rPr>
      </w:pPr>
      <w:r w:rsidRPr="00507A31">
        <w:rPr>
          <w:color w:val="000000" w:themeColor="text1"/>
          <w:sz w:val="16"/>
          <w:szCs w:val="16"/>
        </w:rPr>
        <w:t>Внутренняя служебная записка МИД Франции о встрече Ф. Вертело с В. С. Довгалевским. 29 ноября 1930 г.</w:t>
      </w:r>
    </w:p>
    <w:p w14:paraId="0C16E162"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64D120D3"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5E52FA5"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29 ноября 1930 г.</w:t>
      </w:r>
    </w:p>
    <w:p w14:paraId="0461A37D"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Служебная записка</w:t>
      </w:r>
    </w:p>
    <w:p w14:paraId="30C99E05"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29 ноября 1930 [г.]</w:t>
      </w:r>
    </w:p>
    <w:p w14:paraId="41BFF4B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Главный секретарь просил посла СССР Довгалевского зайти к нему, чтобы проинформировать его об условиях, в которых разворачивался начатый советским правительством политический процесс против советских профессоров и инженеров, обвиняемых во вредительстве и шпионаже при содействии иностранных агентов и правительств с целью подготовки вооруженной интервенции нескольких стран против СССР.</w:t>
      </w:r>
    </w:p>
    <w:p w14:paraId="7C1BF49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Вертело официально повторил протесты, уже высказанные Эрбетом в Москве:</w:t>
      </w:r>
    </w:p>
    <w:p w14:paraId="5782EBB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1. против нападок, содержащихся в официальном документе, на глав французского правительства, таких, как Пуанкаре и Бриан</w:t>
      </w:r>
    </w:p>
    <w:p w14:paraId="549ABC5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2. против обвинений французских офицеров и генерального штаба в подготовке военной интервенции в СССР</w:t>
      </w:r>
    </w:p>
    <w:p w14:paraId="4F38AAD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3. против обвинений агентов, имеющих отношение к посольству и обозначаемых инициалами</w:t>
      </w:r>
    </w:p>
    <w:p w14:paraId="4BFF451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4. против подстрекательства прессой населения, которое, таким образом, могло начать чинить расправы с проживающими в СССР французами</w:t>
      </w:r>
    </w:p>
    <w:p w14:paraId="1B0A394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5. в особенности, против ожесточенности обвинений в таких почти официозных газетах, как «Известия».</w:t>
      </w:r>
    </w:p>
    <w:p w14:paraId="724536C8"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Вертело сравнил подобное поведение советского правительства с позицией, которую занимала Франция в переговорах между двумя правительствами по политическим и экономическим вопросам.</w:t>
      </w:r>
    </w:p>
    <w:p w14:paraId="6453818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 политической точки зрения предложение Литвинова о заключении пакта о ненападении с Францией, Польшей и прибалтийскими странами не было отвергнуто, но было отмечено, что подписание Парижского пакта заинтересованными сторонами уже отвечало подобной необходимости, и вариант примирительной комиссии, кажется, больше соответствовал сложившейся ситуации.</w:t>
      </w:r>
    </w:p>
    <w:p w14:paraId="729C0C9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 экономической точки зрения французская памятная записка, врученная послу России 22-го ноября, с ясностью показала легитимность антидемпингового декрета от 3-го октября, настаивала на отмене излишних репрессивных мер, введенных СССР 14-го октября, и заканчивалась принятием идеи о возобновлении переговоров по заключению торгового договора между двумя странами в соответствии с просьбой советского правительства.</w:t>
      </w:r>
    </w:p>
    <w:p w14:paraId="679C488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Вертело указал на абсурдность обвинений против французского правительства и его агентов на текущем политическом процессе в Москве. Он продемонстрировал, насколько так называемые признания Рамзина представляли из себя только передачу более чем сомнительных слухов из вторых и третьих рук. В заключение Вертело напомнил, что на протест нашего посла Крестинский ответил, что советское правительство нисколько не стремилось к углублению конфликта или к разрыву отношений с Францией. В такой ситуации было сложно оправдать позицию советского правительства как с точки зрения торговых отношений между двумя странами, так как полностью отсутствует понятие взаимности и торговый баланс полностью нарушен, так и с точки зрения политических отношений, поскольку публичные нападки на глав французского правительства в официальных документах или в прессе, находящейся под абсолютным государственным контролем, могут серьезно скомпрометировать отношения между двумя странами.</w:t>
      </w:r>
    </w:p>
    <w:p w14:paraId="7196980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Довгалевский постарался ответить по пунктам.</w:t>
      </w:r>
    </w:p>
    <w:p w14:paraId="3953984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Что касается торговых отношений, он указал на интервью о цели декрета от 3-го октября, данных Эльбелем в Женеве, Фланденом во время его поездки по центральной Европе и Фернандом Давидом.</w:t>
      </w:r>
    </w:p>
    <w:p w14:paraId="5706350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Что касается прессы, Довгалевский утверждал, что если сравнивать статьи во французской и в русской прессе, то можно было бы найти больше нападок против руководителей советского режима, против советского посла в Париже и против самих принципов большевизма во французской прессе, чем похожих нападок против французов в советской прессе.</w:t>
      </w:r>
    </w:p>
    <w:p w14:paraId="242C7DA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 вопросу о процессе он ответил, что суд решил рассматривать все международные вопросы на заседаниях при закрытых дверях. В этом проявляется его стремление с осторожностью рассматривать сведения об иностранных государствах, до тех пор, когда станет возможным выяснить, насколько обоснованы выдвинутые против них обвинения.</w:t>
      </w:r>
    </w:p>
    <w:p w14:paraId="59DDF13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Главный секретарь снова обсудил по пунктам ответы советского посла.</w:t>
      </w:r>
    </w:p>
    <w:p w14:paraId="327AF078"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Довгалевский поинтересовался, как ему следует резюмировать смысл и значение протеста главного секретаря. Последний ответил, что его целью было возобновить в Париже протесты, уже сделанные французским послом в Москве, и заявить, что процесс и публичные обвинения против глав французского правительства и его официальных представителей могут серьезно скомпрометировать отношения между двумя странами.</w:t>
      </w:r>
    </w:p>
    <w:p w14:paraId="3167F540"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95-98. Машинописный подлинник, без подписи. Штамп Департамента политических и торговых дел с вписанным от руки номером о сдаче в архив «z 619-20 s/d5» (18767).</w:t>
      </w:r>
    </w:p>
    <w:p w14:paraId="7C3860ED" w14:textId="77777777" w:rsidR="0060292F" w:rsidRPr="00507A31" w:rsidRDefault="0060292F" w:rsidP="00507A31">
      <w:pPr>
        <w:jc w:val="both"/>
        <w:rPr>
          <w:color w:val="000000" w:themeColor="text1"/>
          <w:sz w:val="16"/>
          <w:szCs w:val="16"/>
        </w:rPr>
      </w:pPr>
    </w:p>
    <w:p w14:paraId="19EB6BA5" w14:textId="77777777" w:rsidR="0060292F" w:rsidRPr="00507A31" w:rsidRDefault="0060292F" w:rsidP="00507A31">
      <w:pPr>
        <w:jc w:val="both"/>
        <w:rPr>
          <w:bCs/>
          <w:color w:val="000000" w:themeColor="text1"/>
          <w:sz w:val="16"/>
          <w:szCs w:val="16"/>
        </w:rPr>
      </w:pPr>
      <w:r w:rsidRPr="00507A31">
        <w:rPr>
          <w:color w:val="000000" w:themeColor="text1"/>
          <w:sz w:val="16"/>
          <w:szCs w:val="16"/>
        </w:rPr>
        <w:t>29 ноября 1930 г.</w:t>
      </w:r>
    </w:p>
    <w:p w14:paraId="778D630B" w14:textId="77777777" w:rsidR="0060292F" w:rsidRPr="00507A31" w:rsidRDefault="0060292F" w:rsidP="00507A31">
      <w:pPr>
        <w:jc w:val="both"/>
        <w:rPr>
          <w:bCs/>
          <w:color w:val="000000" w:themeColor="text1"/>
          <w:sz w:val="16"/>
          <w:szCs w:val="16"/>
        </w:rPr>
      </w:pPr>
      <w:r w:rsidRPr="00507A31">
        <w:rPr>
          <w:color w:val="000000" w:themeColor="text1"/>
          <w:sz w:val="16"/>
          <w:szCs w:val="16"/>
        </w:rPr>
        <w:t>«Сводка инотелеграмм № 488». 29 ноября 1930 г.</w:t>
      </w:r>
    </w:p>
    <w:p w14:paraId="061D8F7E"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371676DE"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DAEEEC"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Архив: </w:t>
      </w:r>
    </w:p>
    <w:p w14:paraId="310CD07E" w14:textId="77777777" w:rsidR="0060292F" w:rsidRPr="00507A31" w:rsidRDefault="0060292F" w:rsidP="00507A31">
      <w:pPr>
        <w:jc w:val="both"/>
        <w:rPr>
          <w:color w:val="000000" w:themeColor="text1"/>
          <w:sz w:val="16"/>
          <w:szCs w:val="16"/>
        </w:rPr>
      </w:pPr>
      <w:r w:rsidRPr="00507A31">
        <w:rPr>
          <w:color w:val="000000" w:themeColor="text1"/>
          <w:sz w:val="16"/>
          <w:szCs w:val="16"/>
        </w:rPr>
        <w:t>АВП РФ. Ф. 0136. Oп. 14. П. 140. Д. 593. Л. 64</w:t>
      </w:r>
    </w:p>
    <w:p w14:paraId="53A735E2"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29 ноября 1930 г.</w:t>
      </w:r>
    </w:p>
    <w:p w14:paraId="50CAFD36"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Не подлежит оглашению</w:t>
      </w:r>
    </w:p>
    <w:p w14:paraId="1660DFDB"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Дневные телеграммы</w:t>
      </w:r>
    </w:p>
    <w:p w14:paraId="1D7882D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ВУУД: Со всей вежливостью, с декорумом торжественного экзамена происходит допрос подсудимых, отвечающих на вопросы об их социальном положении, родителях, воспитании, жаловании, идеологии, и т. д. Все это имеет чрезвычайно большое значение при определении их виновности. Часто при обсуждении теоретических вопросов подсудимые обмениваются улыбками с судьями. Даже суровое лицо Крыленко иногда смягчается и все вопросы, ставящиеся им[,] сопровождаются неизбежным «пожалуйста», как будто бы дело идет не о неизбежно[й] смерти 8 человек. Самые важные данные процесса, включая документы, имеющие большое значение для всего мира, будут заслушаны не на открытом заседании. То, что говорилось об участии Франции, Британии и др. на открытых заседаниях[,] ограничивается показаниями подсудимых о разговорах с двумя[-]тремя французскими или британскими офицерами, которые указали, что Пуанкаре, Бриан, Черчилль заинтересованы в интервенции.</w:t>
      </w:r>
    </w:p>
    <w:p w14:paraId="33413BD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 xml:space="preserve">ЮБЕНК: Председательствующий запретил выступления на открытых заседаниях против иностранных правительств — это значит, что во время процесса не произойдет разрыва с Францией или иной страной. Поскольку все подсудимые письменно и устно признались в своей вине, взаимно подтверждая свои показания, </w:t>
      </w:r>
      <w:r w:rsidRPr="00507A31">
        <w:rPr>
          <w:color w:val="000000" w:themeColor="text1"/>
          <w:sz w:val="16"/>
          <w:szCs w:val="16"/>
        </w:rPr>
        <w:lastRenderedPageBreak/>
        <w:t>казалось бы остается только выслушать выступления адвокатов и перейти к вынесению приговора. Но Советы, по[-]видимому, полагают, что заграницей считают процесс неправдоподобным и потому тут хотят дать всевозможные доказательства.</w:t>
      </w:r>
    </w:p>
    <w:p w14:paraId="68A2767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Цитируется передовица «Известий».</w:t>
      </w:r>
    </w:p>
    <w:p w14:paraId="3BA84DC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БАУМ: В течение трех дней подсудимые пересказывали и расширяли свои показания, заключающиеся в обвинительном акте. Обычным образом очень настойчиво выясняется социальное происхождение и политическое прошлое подсудимых. Прокурор потребовал заслушивания Оса[д]чего — находящегося сейчас в предварительном аресте: Поскольку Оса[д]чий является членом ЦИКа, для привлечения его к суду требуется согласие высшего советского органа. Такое разрешение было дано пока только в том, что касается следствия. По словам Рамзина, Оса[д]чий позже всех встречался с членами парижского эмигрантского комитета в Берлине.</w:t>
      </w:r>
    </w:p>
    <w:p w14:paraId="42BCF09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Сегодняшняя «Правда» делает более ясными открытые выступления против членов французского посольства.</w:t>
      </w:r>
    </w:p>
    <w:p w14:paraId="656678C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ЛАЙОНС: Рамзин, наследовавший мантию расстрелянного лидера Промпартии — Пальчинского[,] показал, что он давно уже усумнился в возможности осуществления своих планов, но был слишком замешан, чтобы мог отойти в сторону. Быть может эти сомнения были вызваны арестом ваших друзей — спросил Крыленко со всей</w:t>
      </w:r>
      <w:r w:rsidRPr="00507A31">
        <w:rPr>
          <w:color w:val="000000" w:themeColor="text1"/>
          <w:sz w:val="16"/>
          <w:szCs w:val="16"/>
          <w:vertAlign w:val="superscript"/>
        </w:rPr>
        <w:t>3</w:t>
      </w:r>
      <w:r w:rsidRPr="00507A31">
        <w:rPr>
          <w:color w:val="000000" w:themeColor="text1"/>
          <w:sz w:val="16"/>
          <w:szCs w:val="16"/>
        </w:rPr>
        <w:t> известной по всему Союзу улыбкой, при которой углы рта опускаются на целый дюйм. Рамзин согласился с этим.</w:t>
      </w:r>
    </w:p>
    <w:p w14:paraId="2734D678"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Под огнем вопросов Калинников нарисовал ужасную картину того, что ожидало бы рабочий класс и советских работников в случае успеха интервенции. Обвиняемые пытаются доказать свое рабочее или крестьянское происхождение и то[,] что они рано начали жить своим трудом. Крыленко не удовлетворился показанием Калинникова, что его отец был разносчиком, и добился указания, что тот владел двумя небольшими имениями. Все они подчеркивают, что от [19] 19-го до [19]29 г. поддерживали советскую власть. Однако, Антонов-Саратовский очень ловко выяснил, что это совпадало с тем периодом НЭПа, когда инженер[ы] надеялись на мирное возрождение капитализма.</w:t>
      </w:r>
    </w:p>
    <w:p w14:paraId="3114817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Опять подчеркивается контраст между тем, какова атмосфера на суде, как вежливо, почти запросто проходит заседание[,] и громовыми требованиями масс о кровавой расплате с изменниками. Цитируются стихи Кирсанова и Инбер.</w:t>
      </w:r>
    </w:p>
    <w:p w14:paraId="7AB6FA08"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58A2FC44"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64. Машинописная копия того времени. Формула «Не подлежит оглашению» вверху справа машинописью. Здесь же неразборчивый росчерк (19032).</w:t>
      </w:r>
    </w:p>
    <w:p w14:paraId="7FB4A42D" w14:textId="77777777" w:rsidR="0060292F" w:rsidRPr="00507A31" w:rsidRDefault="0060292F" w:rsidP="00507A31">
      <w:pPr>
        <w:jc w:val="both"/>
        <w:rPr>
          <w:color w:val="000000" w:themeColor="text1"/>
          <w:sz w:val="16"/>
          <w:szCs w:val="16"/>
        </w:rPr>
      </w:pPr>
    </w:p>
    <w:p w14:paraId="500B4CA1" w14:textId="77777777" w:rsidR="0060292F" w:rsidRPr="00507A31" w:rsidRDefault="0060292F" w:rsidP="00507A31">
      <w:pPr>
        <w:jc w:val="both"/>
        <w:rPr>
          <w:bCs/>
          <w:color w:val="000000" w:themeColor="text1"/>
          <w:sz w:val="16"/>
          <w:szCs w:val="16"/>
        </w:rPr>
      </w:pPr>
      <w:r w:rsidRPr="00507A31">
        <w:rPr>
          <w:color w:val="000000" w:themeColor="text1"/>
          <w:sz w:val="16"/>
          <w:szCs w:val="16"/>
        </w:rPr>
        <w:t xml:space="preserve"> [29] ноября 1930 г.</w:t>
      </w:r>
    </w:p>
    <w:p w14:paraId="5C87A71C" w14:textId="77777777" w:rsidR="0060292F" w:rsidRPr="00507A31" w:rsidRDefault="0060292F" w:rsidP="00507A31">
      <w:pPr>
        <w:jc w:val="both"/>
        <w:rPr>
          <w:bCs/>
          <w:color w:val="000000" w:themeColor="text1"/>
          <w:sz w:val="16"/>
          <w:szCs w:val="16"/>
        </w:rPr>
      </w:pPr>
      <w:r w:rsidRPr="00507A31">
        <w:rPr>
          <w:color w:val="000000" w:themeColor="text1"/>
          <w:sz w:val="16"/>
          <w:szCs w:val="16"/>
        </w:rPr>
        <w:t>«Сводка инотелеграмм № 489». [29] ноября 1930 г.</w:t>
      </w:r>
    </w:p>
    <w:p w14:paraId="5B22C938"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608E4055"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46F8A9"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Архив: </w:t>
      </w:r>
    </w:p>
    <w:p w14:paraId="59BE47EE" w14:textId="77777777" w:rsidR="0060292F" w:rsidRPr="00507A31" w:rsidRDefault="0060292F" w:rsidP="00507A31">
      <w:pPr>
        <w:jc w:val="both"/>
        <w:rPr>
          <w:color w:val="000000" w:themeColor="text1"/>
          <w:sz w:val="16"/>
          <w:szCs w:val="16"/>
        </w:rPr>
      </w:pPr>
      <w:r w:rsidRPr="00507A31">
        <w:rPr>
          <w:color w:val="000000" w:themeColor="text1"/>
          <w:sz w:val="16"/>
          <w:szCs w:val="16"/>
        </w:rPr>
        <w:t>АВП РФ. Ф. 0136. Oп. 14. П. 140. Д. 593. Л. 65-66</w:t>
      </w:r>
    </w:p>
    <w:p w14:paraId="73DA5BCF"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[29] ноября 1930 г.</w:t>
      </w:r>
    </w:p>
    <w:p w14:paraId="1B01190D"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142ABD26"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Вечерние инотелеграммы № 489</w:t>
      </w:r>
    </w:p>
    <w:p w14:paraId="46A721D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ЧОЛЛЕРТОН. Большой крыленковский процесс планов мировой войны и саботажа, наподобие раненной змеи Александра Попа, влачит свое длинное тело. Наиболее драматическим моментом процесса является пока обвинительный акт Крыленко, опубликованный в количестве миллиона экземпляров. Если бы, согласно нормальной процедуре, процесс закончился после признания подсудимых — неопределенные, вписанные на машинке слова в идеологической рамке — пролетарской диктатуры, весь процесс как бы завял.</w:t>
      </w:r>
    </w:p>
    <w:p w14:paraId="14C9F01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 тому, что для каждого, имеющего хотя бы унцию мозгов, ясно, что подсудимые дали показания, уменьшающие или же увеличивающие их вину — а по всей вероятности комбинируя оба способа).</w:t>
      </w:r>
    </w:p>
    <w:p w14:paraId="220BE0D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Заграницей много говорят о Кисмет и о том, как русские очищаются от своих грехов в духе «преступления и наказания» Достоевского, но было бы большой ошибкой смешивать Достоевского с нынешним процессом. Крыленко — величайший методор, чьей задачей является вонзить меч реальности в этих амфибий — сразу же сказал, что подсудимые признались во всем и соответственно с этим уже осуждены. Но Крыленко хочет не только рассмотреть подробно биографии подсудимых от самого молодого из них до Пуанкаре, а допросить еще 10 свидетелей. &lt;...&gt; из последних (будут приведены прямо из камер ГПУ), находятся под арестом, в том числе 2 члена Президиума Союза инженеров Осадчий и Шейн и 3 (таинственных) людей, чья связь с торговлей и промышленностью неизвестна. От них можно ожидать, пожалуй, разоблачений о секретной стороне процесса.</w:t>
      </w:r>
    </w:p>
    <w:p w14:paraId="3CBE87E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Не приходится более подчеркивать политических целей процесса в СССР и заграницей. Развитие процесса зашло уже достаточно далеко, чтобы можно было составить себе предварительное мнение о признаниях подсудимых и первых результатах их допроса. Вероятным кажется получение ими куртажа за заказы в Америке и Англии. Правильно также, по всей вероятности, что во время своих деловых поездок заграницу они болтали с хвастливыми, бездеятельными белыми о том, что по словам этих метателей ножей, им говорили Пуанкаре, Бриан и друг[ие] о возможности войны против большевиков. Кое-кто из обвиняемых вел такие разговоры с французскими, а возможно и с английскими штабными офицерами, принадлежавшими Восточно-Европейской Секции своих штабов, которые, конечно, выманивали у них кое-что. Очень возможно, что один или два человека из их числа давали обычные сообщения об экономической жизни СССР г-ну К. (чье имя состоит из 7-точек[;] в Москве, кто знает г-на К. — удивлен внезапно приданной им важностью[)]. Однако существование индустриальной партии — да и вообще существование любой подобной партии с 2 тысячами членов в стране с такой прекрасной полицией, пока не доказано и Ваш корреспондент не видит ни одной серьезной попытки доказать это.</w:t>
      </w:r>
    </w:p>
    <w:p w14:paraId="747182C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(Когда [один] из судей — рабочий — наивно спросил одного из обвиняемых, как и кого он рекрутировал для предполагаемой индустриальной партии, Крыленко быстро пришел к нему на помощь[)].</w:t>
      </w:r>
    </w:p>
    <w:p w14:paraId="41B3443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Ваш корреспондент не находит также и тени доказательства того, как распределялась огромная сумма в миллионов рублей, якобы, полученная из Франции, между предполагающимися 2 тысячами членов, предполагающейся] индустриальной партии. Профессор Калинников называет величайшим актом саботажа то большое участие, какое он принял в составлении пятилетки. Здесь Ваш корреспондент находит ключ ко всему процессу. Профессор Чарновский, читая на напечатанной на машинке бумажке, весело заявил суду, что (Госплан никогда не существовал), и что (департаменты Госплана никогда не получали никаких реальных данных) департамент, находившийся под его руководством, не получал реальных данных.</w:t>
      </w:r>
    </w:p>
    <w:p w14:paraId="154DD5A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ДЮРАНТИ. Местные иностранные корреспонденты не особенно хорошо отнеслись к процессу и как совпресса едко отметила, свободно высказали свое мнение о слабых местах обвинительного акта, отдельных показаний подсудимых и о том внутреннем эффекте, какой, быть может, ожидается от процесса Кремлем. Но если есть что[-]либо, что может убедить несколько скептическую корреспондентскую братию в том, что обвинительный акт обоснован и что влиятельные деятели капиталистического мира действительно составляли планы интервенции, то это тот ураганный огонь бессмысленной чепухи, какой был направлен заграничной прессой против СССР. Вся Москва вибрирует, как Эолова арфа, когда кучка крестьян поколотит где[-]либо хлебозаготовителя, между тем, ни инкоры, ни дипломаты, ничего не слышали о восстании 2-х красноармейских батальонов, — что конечно, никогда в действительности не имело место. Затем Рига убила Сталина, а на следующий день он беседовал с корреспондентом «Юнайтед-Пресс». Три дня спустя корреспонденту «Ньо-Йорк-Таймс» взволнованно позвонили по телефону из Берлина о втором убийстве Сталина, а еще через 2 дня Сталин лично говорил с этим самым корреспондентом. Рыков находится сейчас на отдыхе в Сочи и вернется в Москву в начале декабря к Пленуму ЦК. Между тем для иностранных газет его вытащили из поезда на пути в Одессу, по[-]видимому для того, чтобы перевести принкипо” к Троцкому, захватили обратно и под арестом доставили в Москву. Другое дело, как будет поступлено с лидерами правой оппозиции, хотя сейчас есть указания, что (возможен компромисс) Рыков может, пожалуй, остаться на своем посту.</w:t>
      </w:r>
    </w:p>
    <w:p w14:paraId="660ABE1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Как бы это ни неприятно было иностранным «мудрецам», уже долгие годы ожидающим, что большевистские вожди начнут убивать друг друга, как дикие кошки, по примеру французской революции, — этого не происходит. Вместо того, чтобы писать всякую чепуху, полученную от рижских, берлинских и парижских корреспондентов «Дейли-Телеграф»[,] лучше бы послал[и] своего корреспондента в Москву. Ни иностранные корреспонденты, ни дипломаты, находящиеся здесь, не являются дураками. Они не глухи ко всему происходящему, никто их не терроризирует.</w:t>
      </w:r>
    </w:p>
    <w:p w14:paraId="452C32D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ЛАЙОНС. Из уст 60-ти летнего Федотова — самой симпатичной и трагической фигур[ы] на процессе — мы услышали красноречивую защиту морального права человека на честные, хотя и ошибочные убеждения. На указания Крыленко о беззубом профессорском либерализме кадетской партии, старик ответил дрожащим голосом: мне нечего стыдиться. Этот беззубый либерализм, как Вы его называете, был нашим честным убеждением.</w:t>
      </w:r>
    </w:p>
    <w:p w14:paraId="4BA6D61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ФИШЕР. Информация о допросе Рамзина и Ларичева.</w:t>
      </w:r>
    </w:p>
    <w:p w14:paraId="5A711457"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3F262679"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65-66. Машинописная копия того времени. Формула «Не подлежит оглашению» на Л. 65 вверху справа машинописью, здесь же рукописная помета (росчерк), неразборчиво. Датируется по сопутствующим документам. Текст в скобках вычеркнут цензурой; подчеркнутые далее слова, видимо, сделанная в результате этой правки замена (см. легенду к док. № 48 и № 57 данного раздела) (19033).</w:t>
      </w:r>
    </w:p>
    <w:p w14:paraId="359EB3C5" w14:textId="77777777" w:rsidR="0060292F" w:rsidRPr="00507A31" w:rsidRDefault="0060292F" w:rsidP="00507A31">
      <w:pPr>
        <w:jc w:val="both"/>
        <w:rPr>
          <w:color w:val="000000" w:themeColor="text1"/>
          <w:sz w:val="16"/>
          <w:szCs w:val="16"/>
        </w:rPr>
      </w:pPr>
    </w:p>
    <w:p w14:paraId="24634ECE" w14:textId="77777777" w:rsidR="0060292F" w:rsidRPr="00507A31" w:rsidRDefault="0060292F" w:rsidP="00507A31">
      <w:pPr>
        <w:jc w:val="both"/>
        <w:rPr>
          <w:bCs/>
          <w:color w:val="000000" w:themeColor="text1"/>
          <w:sz w:val="16"/>
          <w:szCs w:val="16"/>
        </w:rPr>
      </w:pPr>
      <w:r w:rsidRPr="00507A31">
        <w:rPr>
          <w:color w:val="000000" w:themeColor="text1"/>
          <w:sz w:val="16"/>
          <w:szCs w:val="16"/>
        </w:rPr>
        <w:t>29 ноября 1930 г.</w:t>
      </w:r>
    </w:p>
    <w:p w14:paraId="10D2FE32" w14:textId="77777777" w:rsidR="0060292F" w:rsidRPr="00507A31" w:rsidRDefault="0060292F" w:rsidP="00507A31">
      <w:pPr>
        <w:jc w:val="both"/>
        <w:rPr>
          <w:bCs/>
          <w:color w:val="000000" w:themeColor="text1"/>
          <w:sz w:val="16"/>
          <w:szCs w:val="16"/>
        </w:rPr>
      </w:pPr>
      <w:r w:rsidRPr="00507A31">
        <w:rPr>
          <w:color w:val="000000" w:themeColor="text1"/>
          <w:sz w:val="16"/>
          <w:szCs w:val="16"/>
        </w:rPr>
        <w:t>«Сводка инотелеграмм № 489». 29 ноября 1930 г.</w:t>
      </w:r>
    </w:p>
    <w:p w14:paraId="096E70FA"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lastRenderedPageBreak/>
        <w:t>Источник: </w:t>
      </w:r>
    </w:p>
    <w:p w14:paraId="6CF0CBC2"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CC5C05E"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Архив: </w:t>
      </w:r>
    </w:p>
    <w:p w14:paraId="7971CFC1" w14:textId="77777777" w:rsidR="0060292F" w:rsidRPr="00507A31" w:rsidRDefault="0060292F" w:rsidP="00507A31">
      <w:pPr>
        <w:jc w:val="both"/>
        <w:rPr>
          <w:color w:val="000000" w:themeColor="text1"/>
          <w:sz w:val="16"/>
          <w:szCs w:val="16"/>
        </w:rPr>
      </w:pPr>
      <w:r w:rsidRPr="00507A31">
        <w:rPr>
          <w:color w:val="000000" w:themeColor="text1"/>
          <w:sz w:val="16"/>
          <w:szCs w:val="16"/>
        </w:rPr>
        <w:t>АВП РФ. Ф. 0136. Oп. 14. П. 140. Д. 593. Л. 65-66</w:t>
      </w:r>
    </w:p>
    <w:p w14:paraId="1E3C17D3"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[29] ноября 1930 г.</w:t>
      </w:r>
    </w:p>
    <w:p w14:paraId="026AC51C"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55187346"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Вечерние инотелеграммы № 489</w:t>
      </w:r>
    </w:p>
    <w:p w14:paraId="260B35C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ЧОЛЛЕРТОН. Большой крыленковский процесс планов мировой войны и саботажа, наподобие раненной змеи Александра Попа, влачит свое длинное тело. Наиболее драматическим моментом процесса является пока обвинительный акт Крыленко, опубликованный в количестве миллиона экземпляров. Если бы, согласно нормальной процедуре, процесс закончился после признания подсудимых — неопределенные, вписанные на машинке слова в идеологической рамке — пролетарской диктатуры, весь процесс как бы завял.</w:t>
      </w:r>
    </w:p>
    <w:p w14:paraId="171BBD2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 тому, что для каждого, имеющего хотя бы унцию мозгов, ясно, что подсудимые дали показания, уменьшающие или же увеличивающие их вину — а по всей вероятности комбинируя оба способа).</w:t>
      </w:r>
    </w:p>
    <w:p w14:paraId="1E339C0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Заграницей много говорят о Кисмет и о том, как русские очищаются от своих грехов в духе «преступления и наказания» Достоевского, но было бы большой ошибкой смешивать Достоевского с нынешним процессом. Крыленко — величайший методор, чьей задачей является вонзить меч реальности в этих амфибий — сразу же сказал, что подсудимые признались во всем и соответственно с этим уже осуждены. Но Крыленко хочет не только рассмотреть подробно биографии подсудимых от самого молодого из них до Пуанкаре, а допросить еще 10 свидетелей. &lt;...&gt; из последних (будут приведены прямо из камер ГПУ), находятся под арестом, в том числе 2 члена Президиума Союза инженеров Осадчий и Шейн и 3 (таинственных) людей, чья связь с торговлей и промышленностью неизвестна. От них можно ожидать, пожалуй, разоблачений о секретной стороне процесса.</w:t>
      </w:r>
    </w:p>
    <w:p w14:paraId="3CF5170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Не приходится более подчеркивать политических целей процесса в СССР и заграницей. Развитие процесса зашло уже достаточно далеко, чтобы можно было составить себе предварительное мнение о признаниях подсудимых и первых результатах их допроса. Вероятным кажется получение ими куртажа за заказы в Америке и Англии. Правильно также, по всей вероятности, что во время своих деловых поездок заграницу они болтали с хвастливыми, бездеятельными белыми о том, что по словам этих метателей ножей, им говорили Пуанкаре, Бриан и друг[ие] о возможности войны против большевиков. Кое-кто из обвиняемых вел такие разговоры с французскими, а возможно и с английскими штабными офицерами, принадлежавшими Восточно-Европейской Секции своих штабов, которые, конечно, выманивали у них кое-что. Очень возможно, что один или два человека из их числа давали обычные сообщения об экономической жизни СССР г-ну К. (чье имя состоит из 7-точек[;] в Москве, кто знает г-на К. — удивлен внезапно приданной им важностью[)]. Однако существование индустриальной партии — да и вообще существование любой подобной партии с 2 тысячами членов в стране с такой прекрасной полицией, пока не доказано и Ваш корреспондент не видит ни одной серьезной попытки доказать это.</w:t>
      </w:r>
    </w:p>
    <w:p w14:paraId="2182202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(Когда [один] из судей — рабочий — наивно спросил одного из обвиняемых, как и кого он рекрутировал для предполагаемой индустриальной партии, Крыленко быстро пришел к нему на помощь[)].</w:t>
      </w:r>
    </w:p>
    <w:p w14:paraId="1817FDC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Ваш корреспондент не находит также и тени доказательства того, как распределялась огромная сумма в миллионов рублей, якобы, полученная из Франции, между предполагающимися 2 тысячами членов, предполагающейся] индустриальной партии. Профессор Калинников называет величайшим актом саботажа то большое участие, какое он принял в составлении пятилетки. Здесь Ваш корреспондент находит ключ ко всему процессу. Профессор Чарновский, читая на напечатанной на машинке бумажке, весело заявил суду, что (Госплан никогда не существовал), и что (департаменты Госплана никогда не получали никаких реальных данных) департамент, находившийся под его руководством, не получал реальных данных.</w:t>
      </w:r>
    </w:p>
    <w:p w14:paraId="6B6FF9C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ДЮРАНТИ. Местные иностранные корреспонденты не особенно хорошо отнеслись к процессу и как совпресса едко отметила, свободно высказали свое мнение о слабых местах обвинительного акта, отдельных показаний подсудимых и о том внутреннем эффекте, какой, быть может, ожидается от процесса Кремлем. Но если есть что[-]либо, что может убедить несколько скептическую корреспондентскую братию в том, что обвинительный акт обоснован и что влиятельные деятели капиталистического мира действительно составляли планы интервенции, то это тот ураганный огонь бессмысленной чепухи, какой был направлен заграничной прессой против СССР. Вся Москва вибрирует, как Эолова арфа, когда кучка крестьян поколотит где[-]либо хлебозаготовителя, между тем, ни инкоры, ни дипломаты, ничего не слышали о восстании 2-х красноармейских батальонов, — что конечно, никогда в действительности не имело место. Затем Рига убила Сталина, а на следующий день он беседовал с корреспондентом «Юнайтед-Пресс». Три дня спустя корреспонденту «Ньо-Йорк-Таймс» взволнованно позвонили по телефону из Берлина о втором убийстве Сталина, а еще через 2 дня Сталин лично говорил с этим самым корреспондентом. Рыков находится сейчас на отдыхе в Сочи и вернется в Москву в начале декабря к Пленуму ЦК. Между тем для иностранных газет его вытащили из поезда на пути в Одессу, по[-]видимому для того, чтобы перевести принкипо” к Троцкому, захватили обратно и под арестом доставили в Москву. Другое дело, как будет поступлено с лидерами правой оппозиции, хотя сейчас есть указания, что (возможен компромисс) Рыков может, пожалуй, остаться на своем посту.</w:t>
      </w:r>
    </w:p>
    <w:p w14:paraId="41CD7D5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Как бы это ни неприятно было иностранным «мудрецам», уже долгие годы ожидающим, что большевистские вожди начнут убивать друг друга, как дикие кошки, по примеру французской революции, — этого не происходит. Вместо того, чтобы писать всякую чепуху, полученную от рижских, берлинских и парижских корреспондентов «Дейли-Телеграф»[,] лучше бы послал[и] своего корреспондента в Москву. Ни иностранные корреспонденты, ни дипломаты, находящиеся здесь, не являются дураками. Они не глухи ко всему происходящему, никто их не терроризирует.</w:t>
      </w:r>
    </w:p>
    <w:p w14:paraId="034E41C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ЛАЙОНС. Из уст 60-ти летнего Федотова — самой симпатичной и трагической фигур[ы] на процессе — мы услышали красноречивую защиту морального права человека на честные, хотя и ошибочные убеждения. На указания Крыленко о беззубом профессорском либерализме кадетской партии, старик ответил дрожащим голосом: мне нечего стыдиться. Этот беззубый либерализм, как Вы его называете, был нашим честным убеждением.</w:t>
      </w:r>
    </w:p>
    <w:p w14:paraId="6C3F557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ФИШЕР. Информация о допросе Рамзина и Ларичева.</w:t>
      </w:r>
    </w:p>
    <w:p w14:paraId="54BDFFE9"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180F640A"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65-66. Машинописная копия того времени. Формула «Не подлежит оглашению» на Л. 65 вверху справа машинописью, здесь же рукописная помета (росчерк), неразборчиво. Датируется по сопутствующим документам. Текст в скобках вычеркнут цензурой; подчеркнутые далее слова, видимо, сделанная в результате этой правки замена (см. легенду к док. № 48 и № 57 данного раздела) (19039).</w:t>
      </w:r>
    </w:p>
    <w:p w14:paraId="217D97AB" w14:textId="77777777" w:rsidR="0060292F" w:rsidRPr="00507A31" w:rsidRDefault="0060292F" w:rsidP="00507A31">
      <w:pPr>
        <w:jc w:val="both"/>
        <w:rPr>
          <w:color w:val="000000" w:themeColor="text1"/>
          <w:sz w:val="16"/>
          <w:szCs w:val="16"/>
        </w:rPr>
      </w:pPr>
    </w:p>
    <w:p w14:paraId="6A305243" w14:textId="77777777" w:rsidR="0060292F" w:rsidRPr="00507A31" w:rsidRDefault="0060292F" w:rsidP="00507A31">
      <w:pPr>
        <w:jc w:val="both"/>
        <w:rPr>
          <w:bCs/>
          <w:color w:val="000000" w:themeColor="text1"/>
          <w:sz w:val="16"/>
          <w:szCs w:val="16"/>
        </w:rPr>
      </w:pPr>
      <w:r w:rsidRPr="00507A31">
        <w:rPr>
          <w:color w:val="000000" w:themeColor="text1"/>
          <w:sz w:val="16"/>
          <w:szCs w:val="16"/>
        </w:rPr>
        <w:t>29 ноября 1930 г.</w:t>
      </w:r>
    </w:p>
    <w:p w14:paraId="5AD0B7B2" w14:textId="77777777" w:rsidR="0060292F" w:rsidRPr="00507A31" w:rsidRDefault="0060292F" w:rsidP="00507A31">
      <w:pPr>
        <w:jc w:val="both"/>
        <w:rPr>
          <w:bCs/>
          <w:color w:val="000000" w:themeColor="text1"/>
          <w:sz w:val="16"/>
          <w:szCs w:val="16"/>
        </w:rPr>
      </w:pPr>
      <w:r w:rsidRPr="00507A31">
        <w:rPr>
          <w:color w:val="000000" w:themeColor="text1"/>
          <w:sz w:val="16"/>
          <w:szCs w:val="16"/>
        </w:rPr>
        <w:t>«Сводка инотелеграмм № 489». 29 ноября 1930 г.</w:t>
      </w:r>
    </w:p>
    <w:p w14:paraId="1423FBF6"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4385CD1B"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1A5C3F"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Архив: </w:t>
      </w:r>
    </w:p>
    <w:p w14:paraId="3151DC1E" w14:textId="77777777" w:rsidR="0060292F" w:rsidRPr="00507A31" w:rsidRDefault="0060292F" w:rsidP="00507A31">
      <w:pPr>
        <w:jc w:val="both"/>
        <w:rPr>
          <w:color w:val="000000" w:themeColor="text1"/>
          <w:sz w:val="16"/>
          <w:szCs w:val="16"/>
        </w:rPr>
      </w:pPr>
      <w:r w:rsidRPr="00507A31">
        <w:rPr>
          <w:color w:val="000000" w:themeColor="text1"/>
          <w:sz w:val="16"/>
          <w:szCs w:val="16"/>
        </w:rPr>
        <w:t>АВП РФ. Ф. 0136. Oп. 14. П. 140. Д. 593. Л. 67-69</w:t>
      </w:r>
    </w:p>
    <w:p w14:paraId="2C762EDC"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29 ноября 1930 г.</w:t>
      </w:r>
    </w:p>
    <w:p w14:paraId="4CF07E18"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41224632"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Ночные телеграммы за 29-ое ноября 1930 г,</w:t>
      </w:r>
    </w:p>
    <w:p w14:paraId="5AEBC01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ЮСТ: (для американской газеты). Я признаюсь во всех своих преступлениях, которые я совершил, так начали восемь обвиняемых инженеров и профессоров их подробные признания перед высшим судом Совреспублики в белом колонном зале Дома Союзов. Заседание продолжается с 10-ти до 3-х и с 6-ти до 11-ти час[ов] вечера ежедневно. Все время горят юпитерские лампы, трещит мотор аппаратуры тон-фильма. Перед обвиняемыми, судьями, прокурором и комендантом стоят микрофоны. В зале поставлены огромные громкоговорители. В кулуарах толпятся слушатели вокруг громкоговорителя. Для того, чтобы обвиняемые могли следить за ходом процесса каждый из них имеет наушники. Радио-монтер постоянно занимается тем, чтобы связать микрофон с аппаратурой громкоговорителей. На каждом заседании присутствуют две тысячи новых слушателей, которые получают билеты через Профсоюзы. Никто из обвиняемых не сказал пока ни одного слова в свою защиту. Они фактически взяли на себя роль обвинителей по отношению к самим себе. Это создает монотонную и утомляющую атмосферу. Прокурору Крыленко почти не остается работы. Он пока ограничивается вопросами о биографиях обвиняемых и развитии их политических взглядов. Пока нет никаких противоречий по сравнению с обвинительным актом. Этот процесс имеет три фона. Во внешне-политическом смысле он должен дать доказательства того, что иностранные державы, в особенности Франция, в течение многих лет трезво и систематически приготовляли военную интервенцию сначала к 1928-ому году, затем к 1930-ому, и, наконец, к 1931-ому году. В доказательство этого имеются признания Рамзина, Ларичева и Федотова, которые во время своих заграничных поездок встречались с бывш[ими] русскими промышленниками, большинство которых живет в Париже и объединилось в Торгпроме.</w:t>
      </w:r>
    </w:p>
    <w:p w14:paraId="2134D04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 xml:space="preserve">Рамзин и Ларичев участвовали в 1928 г. в заседаниях этого комитета, председатель которого Денисов сделал им сообщение об официальной французской поддержке планов интервенции. Пуанкаре будто бы принял Рябушинского, Третьякова и Лианозова и сообщил им, что французский генеральный штаб создал, под руководством генерала Жанэна, отделение по подготовке интервенции. Рамзин далее заявляет, что он встретил полковника французского генштаба Жуанвилля, который дал ему шпионские и диверсионные поручения. Перманентная связь с парижскими эмигрантами была установлена через двух французских агентов в Москве К. и Р. </w:t>
      </w:r>
      <w:r w:rsidRPr="00507A31">
        <w:rPr>
          <w:color w:val="000000" w:themeColor="text1"/>
          <w:sz w:val="16"/>
          <w:szCs w:val="16"/>
        </w:rPr>
        <w:lastRenderedPageBreak/>
        <w:t>(официозно заявляют, что речь идет не о чиновниках нынешнего французского посольства). Несмотря на это их имена будут названы только в закрытом заседании. Федотов встретил в Берлине русского промышленника Карпова и в Лондоне — Крестовникова. До 1928 г. Англия была также сильно заинтересована в подготовке интервенции, причем в качестве связующего звена назывался Чарнок из английской миссии в Москве до разрыва. Через посредников было доставлено 1</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bscript"/>
        </w:rPr>
        <w:t>2</w:t>
      </w:r>
      <w:r w:rsidRPr="00507A31">
        <w:rPr>
          <w:color w:val="000000" w:themeColor="text1"/>
          <w:sz w:val="16"/>
          <w:szCs w:val="16"/>
        </w:rPr>
        <w:t> миллиона рубл. для финансирования саботажа и диверсии. Пока неясно, на что в конце концов ушли эти деньги. Обвиняемый Ситнин рассказал, что он получил 100 тысяч рубл. куртажа за покупку английских текстильных машин. Пока ничего нет более из области, имеющей прямое касательство к внешней политике, если не хотеть углубляться в то, что сообщается отчасти на основании разговоров русских инженеров между собою, отчасти на основании сообщений русских парижских белоэмигрантов. Фактом остается антисоветская деятельность Торгпрома, может быть его связь с французским правительством и французским генеральным штабом. Далее факт — связь отдельных инженеров с эмигрантами для целей шпионажа, причем исходной точкой была надежда на интервенцию. Внутри-политически — показания обвиняемых о их практике саботажа дали возможность глубоко посмотреть на бессовестность их при составлении пятилетки. Чарновский сказал: мы увеличивали плановые цифры по продукции железа с 7-ми на 17 милн тонн, мы сделали 100 проектов и давали их пять раз менять. Мы дали десять вариантов и не утвердили ничего. Мы затрудняли, таким образом, устройство новых предприятий. Мы причинили диспропорцию в продукции отдельных продуктов. Магнитогорск проектировался четыре года. Он теперь строится и все[-]таки нет окончательного плана. Мы задержали на два года стройку фабрики в Свердловске и Краматорске. Очкин сказал: Мы замалчивали, что при увеличивающейся индустриализации нужны будут в большом количестве специальные рабочие и инженера. Ситнин сказал: Мы дали преувеличенные перспективы урожая хлопка и поэтому, когда были построены текстильные фабрики, то получился недостаток сырья. Чарновский заявил, что планы составлялись по принципу «чего изволите». При этом открытым остался вопрос, кто ставил такие требования и пожелания. Крыленко, хотя и вызвал в качестве свидетеля арестованного зам. преда Госплана — профессора Осадчего, но не появятся перед судом ответственные коммунисты из высших органов народного хозяйства, между тем, как обвиняемые работали на их глазах. Таким образом, получается картина, что весьма важные части пятилетнего плана были построены при слепом доверии в работу</w:t>
      </w:r>
      <w:r w:rsidRPr="00507A31">
        <w:rPr>
          <w:color w:val="000000" w:themeColor="text1"/>
          <w:sz w:val="16"/>
          <w:szCs w:val="16"/>
          <w:vertAlign w:val="superscript"/>
        </w:rPr>
        <w:t>6</w:t>
      </w:r>
      <w:r w:rsidRPr="00507A31">
        <w:rPr>
          <w:color w:val="000000" w:themeColor="text1"/>
          <w:sz w:val="16"/>
          <w:szCs w:val="16"/>
        </w:rPr>
        <w:t> государственных преступников. Таким образом наполовину объясняются неполадки и прорывы в плане, равно как и критические явления. Третий момент — лишь слегка затронут в рамках процесса. Кроме Промпартии, вожди которой стоят перед нами в качестве обвиняемых, есть еще партия крестьян, вожди которой были профессора Кондратьев, Чаянов, Юровский и др. С ними была конспиративная связь: Юровский появится в качестве свидетеля. Однако в последнее время этих профессоров постоянно называют идеологическими друзьями Рыкова, Томского и Бухарина, потому что они враги Сталина в вопросе коллективизации сельского хозяйства. Таким образом, процесс вклинивается во внутрипартийные споры, которые, однако, как будто бы улажены мужественным и лойяльным заявлением Бухарина, в котором он преклонился перед Сталиным, но не безусловно. Эти вещи, конечно, не поддаются освещению на процессе. Рамзин заявил, что из 30-ти тыс. русских инженеров около 7% принадлежало к промпартии, т. е. было настроено антисоветски. Это быть может самая интересная констатация всего процесса.</w:t>
      </w:r>
    </w:p>
    <w:p w14:paraId="0226134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ЛАЙОНС: Пойманный вопросами Крыленко Чарновский признал, что он занимался военным и экономическим шпионажем в пользу заграницы. Полчаса он пытался освободиться от мертвой хватки Крыленко, но в конце концов признал, что он давал весь госплановский материал, включая военные сведения. Я регулярно давал эту информацию Ц.К. промпартии, который посылал ее заграницу нашим врагам. По аудитории прошло судорожное движение (чувствовалось, что человек только что покончил самоубийством). В ВСНХ и Госплане происходили встречи руководителей конспирации. Здесь Хренников делал доклад после возвращения из Парижа. Вся группа была убеждена, что советская власть падет и она совещалась о том, как ускорить это падение. Изложив затем еще несколько показаний[,] инкор указывает, что слушатели удивляются тому, как могли Советы достигнуть таких больших успехов, когда у них была измена в столь руководящих постах. Этот неуспех заговорщиков заставляет их признать, что вся их саботажная работа была бессмыслицей.</w:t>
      </w:r>
    </w:p>
    <w:p w14:paraId="09BF219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другой телеграмме инкор указывает, что около суда огромнейшие очереди жаждущих попасть на суд, который [на]долго оставит свои следы в истории России. Разговоры в трамваях, в ресторанах и в других местах идут только о процессе. Нация преисполнена чувства, что она избежала большой опасности. Ваш корр[еспонден]т слышал от обыкновенных граждан за это время больше похвал ГПУ, чем за все три года пребывания в Союзе. Дипломатическая ложа переполнена. Члены французского посольства может быть довольны, что из вежливости деятельность господ К. и Р. будет слушаться при закрытых дверях, но остальные дипломаты очень разочарованы, что эта столь интересная для них часть процесса будет от них скрыта.</w:t>
      </w:r>
    </w:p>
    <w:p w14:paraId="0478E65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ДОЙС: Несмотря на предупреждения Вышинского, Куприянов опять впутал Германию в процесс, заявив, со слов Лопатина, что в 1919-ом году вредители имели контакт с заграницей через германскую миссию.</w:t>
      </w:r>
    </w:p>
    <w:p w14:paraId="2D2A715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ЮБЕНК: Трагедией русской интеллигенции являлось ее неумение ассимилироваться с советскими принципами и работать при диктатуре пролетариата. Этому были даны примеры во время перекрестного допроса инженеров, когда они признали, что участвовали в заговоре для того, чтобы с помощью иностранной интервенции свергнуть советское правительство. Большинство обвиняемых признает, что само их воспитание не давало им веры в возможности успеха коммунистического строительства. Единственный обвиняемый, который внушает известное сожаление слушателей, — это Федотов. Его возраст, очевидная искренность и у[мо]ляющий голос производят благоприятное впечатление. Инкор подробно излагает показания Федотова. В изложении дальнейшего допроса инкор подчеркивает, что Крыленко удалось доказать, что Чарновский был не только пассивным вредителем, а активным членом Промпартии, в которую его привлек Хренников. Кроме того, Крыленко удалось доказать, что Чарновский пытался неправильно изобразить положение: военная интервенция была бы не коротким периодом, а привела бы русский народ к продолжительным бедствиям. Из показаний Куприянова инкор выделил подробно ту часть, где Куприянов говорил о связи со своими бывш[ими] хозяевами в 1919 г. через германскую миссию.</w:t>
      </w:r>
    </w:p>
    <w:p w14:paraId="5049FE7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ЧЕМБЕРЛИН: Интерес к процессу не ослабевает, ни одно событие не привлекает внимания помимо процесса: в то время, как на суде сами обвиняемые дают наилучший материал для их обвинения и удивляют всех своим спокойствием, вся нация требует их расстрела. Остается решить, является ли такое положение фатализмом, раскаянием или же выражением надежды, что полное признание может спасти от высшей меры, хотя для этой надежды мало оснований.</w:t>
      </w:r>
    </w:p>
    <w:p w14:paraId="41B38CC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ЮСТ: Подробно изложив статью Зарзара из «Правды», инкор прибавляет: после разоблачений Зарзара об англо-французском соглашении 1929 г. приходится ожидать заявлений заинтересованных государств. Зарзар коснулся весьма современной и актуальной международной политики, за которой приходится очень внимательно следить Германии и Америке.</w:t>
      </w:r>
    </w:p>
    <w:p w14:paraId="202C393C"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(Миронов)</w:t>
      </w:r>
    </w:p>
    <w:p w14:paraId="5B9C7A34"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67-69. Машинописная копия того времени. Формула «Не подлежит оглашению» на Л. 67 вверху справа машинописью. Текст в скобках вычеркнут цензурой. (См. легенду к док. № 48 данного раздела «Сводка телеграмм иностранных корреспондентов» за 11 ноября 1930 г.) (19034).</w:t>
      </w:r>
    </w:p>
    <w:p w14:paraId="1D08FAB4" w14:textId="77777777" w:rsidR="0060292F" w:rsidRPr="00507A31" w:rsidRDefault="0060292F" w:rsidP="00507A31">
      <w:pPr>
        <w:jc w:val="both"/>
        <w:rPr>
          <w:color w:val="000000" w:themeColor="text1"/>
          <w:sz w:val="16"/>
          <w:szCs w:val="16"/>
        </w:rPr>
      </w:pPr>
    </w:p>
    <w:p w14:paraId="7C868EB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11F40E7" w14:textId="77777777" w:rsidR="00537E5F" w:rsidRPr="00507A31" w:rsidRDefault="00537E5F" w:rsidP="00507A31">
      <w:pPr>
        <w:autoSpaceDE w:val="0"/>
        <w:autoSpaceDN w:val="0"/>
        <w:adjustRightInd w:val="0"/>
        <w:jc w:val="both"/>
        <w:rPr>
          <w:iCs/>
          <w:color w:val="000000" w:themeColor="text1"/>
          <w:sz w:val="16"/>
          <w:szCs w:val="16"/>
        </w:rPr>
      </w:pPr>
    </w:p>
    <w:p w14:paraId="3709C0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ноября 1930 состоялся первый полет АНТ-6 (ТБ-3) (66,151). Утверждая эскизный проект НТК УВВС предусмотрел опускающиеся башни как на Р-6. Их ставили до появления кормовой установки (71,167).</w:t>
      </w:r>
    </w:p>
    <w:p w14:paraId="0C1D50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первый полет ТБ-3 (АНТ-6) состоялся только 22 декабря 1930.</w:t>
      </w:r>
    </w:p>
    <w:p w14:paraId="5BAC61F2" w14:textId="77777777" w:rsidR="00537E5F" w:rsidRPr="00507A31" w:rsidRDefault="00537E5F" w:rsidP="00507A31">
      <w:pPr>
        <w:autoSpaceDE w:val="0"/>
        <w:autoSpaceDN w:val="0"/>
        <w:adjustRightInd w:val="0"/>
        <w:jc w:val="both"/>
        <w:rPr>
          <w:color w:val="000000" w:themeColor="text1"/>
          <w:sz w:val="16"/>
          <w:szCs w:val="16"/>
        </w:rPr>
      </w:pPr>
    </w:p>
    <w:p w14:paraId="7F3679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ноября 1930 был готов эскизный проект И-12 (АНТ-23) (80,151).</w:t>
      </w:r>
    </w:p>
    <w:p w14:paraId="67D09B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 был утвержден эскизный проект.</w:t>
      </w:r>
    </w:p>
    <w:p w14:paraId="48E6D134" w14:textId="77777777" w:rsidR="00537E5F" w:rsidRPr="00507A31" w:rsidRDefault="00537E5F" w:rsidP="00507A31">
      <w:pPr>
        <w:widowControl w:val="0"/>
        <w:tabs>
          <w:tab w:val="left" w:pos="11199"/>
        </w:tabs>
        <w:autoSpaceDE w:val="0"/>
        <w:autoSpaceDN w:val="0"/>
        <w:adjustRightInd w:val="0"/>
        <w:jc w:val="both"/>
        <w:rPr>
          <w:color w:val="000000" w:themeColor="text1"/>
          <w:sz w:val="16"/>
          <w:szCs w:val="16"/>
        </w:rPr>
      </w:pPr>
    </w:p>
    <w:p w14:paraId="59F48B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ноября 1930 г. требования к двухмоторному штурмовику, утвержденные НК УВВС КА 10 марта 1928, были пересмотрены (9649).</w:t>
      </w:r>
    </w:p>
    <w:p w14:paraId="15932F9A" w14:textId="77777777" w:rsidR="00537E5F" w:rsidRPr="00507A31" w:rsidRDefault="00537E5F" w:rsidP="00507A31">
      <w:pPr>
        <w:autoSpaceDE w:val="0"/>
        <w:autoSpaceDN w:val="0"/>
        <w:adjustRightInd w:val="0"/>
        <w:jc w:val="both"/>
        <w:rPr>
          <w:color w:val="000000" w:themeColor="text1"/>
          <w:sz w:val="16"/>
          <w:szCs w:val="16"/>
        </w:rPr>
      </w:pPr>
    </w:p>
    <w:p w14:paraId="4A95DEFE" w14:textId="77777777" w:rsidR="00537E5F" w:rsidRPr="00507A31" w:rsidRDefault="00537E5F" w:rsidP="00507A31">
      <w:pPr>
        <w:widowControl w:val="0"/>
        <w:tabs>
          <w:tab w:val="left" w:pos="11199"/>
        </w:tabs>
        <w:autoSpaceDE w:val="0"/>
        <w:autoSpaceDN w:val="0"/>
        <w:adjustRightInd w:val="0"/>
        <w:jc w:val="both"/>
        <w:rPr>
          <w:color w:val="000000" w:themeColor="text1"/>
          <w:sz w:val="16"/>
          <w:szCs w:val="16"/>
        </w:rPr>
      </w:pPr>
      <w:r w:rsidRPr="00507A31">
        <w:rPr>
          <w:color w:val="000000" w:themeColor="text1"/>
          <w:sz w:val="16"/>
          <w:szCs w:val="16"/>
        </w:rPr>
        <w:t>30 ноября 1930 НТК ВВС РККА были пересмотрены требования к двухмоторному штурмовику. Про</w:t>
      </w:r>
      <w:r w:rsidRPr="00507A31">
        <w:rPr>
          <w:color w:val="000000" w:themeColor="text1"/>
          <w:sz w:val="16"/>
          <w:szCs w:val="16"/>
        </w:rPr>
        <w:softHyphen/>
        <w:t>работка этих вариантов проводилась параллельно. Тактико-технические тре</w:t>
      </w:r>
      <w:r w:rsidRPr="00507A31">
        <w:rPr>
          <w:color w:val="000000" w:themeColor="text1"/>
          <w:sz w:val="16"/>
          <w:szCs w:val="16"/>
        </w:rPr>
        <w:softHyphen/>
        <w:t>бования полностью отражали взгляды видных советских военных специалис</w:t>
      </w:r>
      <w:r w:rsidRPr="00507A31">
        <w:rPr>
          <w:color w:val="000000" w:themeColor="text1"/>
          <w:sz w:val="16"/>
          <w:szCs w:val="16"/>
        </w:rPr>
        <w:softHyphen/>
        <w:t>тов (В.К.Триандафилова, А.И.Егорова и других) на роль и место штурмовой авиации в глубокой операции. В глубокой наступательной операции советские стратеги предполагали синх</w:t>
      </w:r>
      <w:r w:rsidRPr="00507A31">
        <w:rPr>
          <w:color w:val="000000" w:themeColor="text1"/>
          <w:sz w:val="16"/>
          <w:szCs w:val="16"/>
        </w:rPr>
        <w:softHyphen/>
        <w:t>ронно накрыть оборону противника на всю ее глубину всем имеющимся арсе</w:t>
      </w:r>
      <w:r w:rsidRPr="00507A31">
        <w:rPr>
          <w:color w:val="000000" w:themeColor="text1"/>
          <w:sz w:val="16"/>
          <w:szCs w:val="16"/>
        </w:rPr>
        <w:softHyphen/>
        <w:t>налом боевых средств (авиабомбами, огнем артиллерии, атакой пехоты, под</w:t>
      </w:r>
      <w:r w:rsidRPr="00507A31">
        <w:rPr>
          <w:color w:val="000000" w:themeColor="text1"/>
          <w:sz w:val="16"/>
          <w:szCs w:val="16"/>
        </w:rPr>
        <w:softHyphen/>
        <w:t>держанной танками и авиацией, а так</w:t>
      </w:r>
      <w:r w:rsidRPr="00507A31">
        <w:rPr>
          <w:color w:val="000000" w:themeColor="text1"/>
          <w:sz w:val="16"/>
          <w:szCs w:val="16"/>
        </w:rPr>
        <w:softHyphen/>
        <w:t>же высадкой многочисленных десантов в районах сосредоточения крупных ре</w:t>
      </w:r>
      <w:r w:rsidRPr="00507A31">
        <w:rPr>
          <w:color w:val="000000" w:themeColor="text1"/>
          <w:sz w:val="16"/>
          <w:szCs w:val="16"/>
        </w:rPr>
        <w:softHyphen/>
        <w:t>зервов), чем обеспечить быстрый про</w:t>
      </w:r>
      <w:r w:rsidRPr="00507A31">
        <w:rPr>
          <w:color w:val="000000" w:themeColor="text1"/>
          <w:sz w:val="16"/>
          <w:szCs w:val="16"/>
        </w:rPr>
        <w:softHyphen/>
        <w:t>рыв тактической обороны противника, и далее стремительным вводом в обра</w:t>
      </w:r>
      <w:r w:rsidRPr="00507A31">
        <w:rPr>
          <w:color w:val="000000" w:themeColor="text1"/>
          <w:sz w:val="16"/>
          <w:szCs w:val="16"/>
        </w:rPr>
        <w:softHyphen/>
        <w:t>зовавшуюся брешь мотомеханизирован</w:t>
      </w:r>
      <w:r w:rsidRPr="00507A31">
        <w:rPr>
          <w:color w:val="000000" w:themeColor="text1"/>
          <w:sz w:val="16"/>
          <w:szCs w:val="16"/>
        </w:rPr>
        <w:softHyphen/>
        <w:t>ных и танковых соединений, поддержи</w:t>
      </w:r>
      <w:r w:rsidRPr="00507A31">
        <w:rPr>
          <w:color w:val="000000" w:themeColor="text1"/>
          <w:sz w:val="16"/>
          <w:szCs w:val="16"/>
        </w:rPr>
        <w:softHyphen/>
        <w:t>ваемых штурмовой авиацией, развить тактический успех в оперативный. В свою очередь, в противовес глубо</w:t>
      </w:r>
      <w:r w:rsidRPr="00507A31">
        <w:rPr>
          <w:color w:val="000000" w:themeColor="text1"/>
          <w:sz w:val="16"/>
          <w:szCs w:val="16"/>
        </w:rPr>
        <w:softHyphen/>
        <w:t>кой наступательной операции оборони</w:t>
      </w:r>
      <w:r w:rsidRPr="00507A31">
        <w:rPr>
          <w:color w:val="000000" w:themeColor="text1"/>
          <w:sz w:val="16"/>
          <w:szCs w:val="16"/>
        </w:rPr>
        <w:softHyphen/>
        <w:t>тельная операция Красной Армии пред</w:t>
      </w:r>
      <w:r w:rsidRPr="00507A31">
        <w:rPr>
          <w:color w:val="000000" w:themeColor="text1"/>
          <w:sz w:val="16"/>
          <w:szCs w:val="16"/>
        </w:rPr>
        <w:softHyphen/>
        <w:t>полагала активными действиями глубокоэшелонированной обороны с широким привлечением авиации, в том числе и штурмовой, вымотать, обескровить и материально истощить основные удар</w:t>
      </w:r>
      <w:r w:rsidRPr="00507A31">
        <w:rPr>
          <w:color w:val="000000" w:themeColor="text1"/>
          <w:sz w:val="16"/>
          <w:szCs w:val="16"/>
        </w:rPr>
        <w:softHyphen/>
        <w:t>ные силы противника, а затем обеспе</w:t>
      </w:r>
      <w:r w:rsidRPr="00507A31">
        <w:rPr>
          <w:color w:val="000000" w:themeColor="text1"/>
          <w:sz w:val="16"/>
          <w:szCs w:val="16"/>
        </w:rPr>
        <w:softHyphen/>
        <w:t>чить благоприятные условия для пере</w:t>
      </w:r>
      <w:r w:rsidRPr="00507A31">
        <w:rPr>
          <w:color w:val="000000" w:themeColor="text1"/>
          <w:sz w:val="16"/>
          <w:szCs w:val="16"/>
        </w:rPr>
        <w:softHyphen/>
        <w:t>хода своих подвижных мотобронетанковых групп в контрнаступление на ре</w:t>
      </w:r>
      <w:r w:rsidRPr="00507A31">
        <w:rPr>
          <w:color w:val="000000" w:themeColor="text1"/>
          <w:sz w:val="16"/>
          <w:szCs w:val="16"/>
        </w:rPr>
        <w:softHyphen/>
        <w:t>шающем направлении с целью пораже</w:t>
      </w:r>
      <w:r w:rsidRPr="00507A31">
        <w:rPr>
          <w:color w:val="000000" w:themeColor="text1"/>
          <w:sz w:val="16"/>
          <w:szCs w:val="16"/>
        </w:rPr>
        <w:softHyphen/>
        <w:t>ния всей группировки противника. В соответствие с этими задачами лег</w:t>
      </w:r>
      <w:r w:rsidRPr="00507A31">
        <w:rPr>
          <w:color w:val="000000" w:themeColor="text1"/>
          <w:sz w:val="16"/>
          <w:szCs w:val="16"/>
        </w:rPr>
        <w:softHyphen/>
        <w:t>кий одномоторный скоростной штурмо</w:t>
      </w:r>
      <w:r w:rsidRPr="00507A31">
        <w:rPr>
          <w:color w:val="000000" w:themeColor="text1"/>
          <w:sz w:val="16"/>
          <w:szCs w:val="16"/>
        </w:rPr>
        <w:softHyphen/>
        <w:t>вик предназначался для поражения мар</w:t>
      </w:r>
      <w:r w:rsidRPr="00507A31">
        <w:rPr>
          <w:color w:val="000000" w:themeColor="text1"/>
          <w:sz w:val="16"/>
          <w:szCs w:val="16"/>
        </w:rPr>
        <w:softHyphen/>
        <w:t>шевых колонн пехоты и конницы противника, его артиллерийских и мино</w:t>
      </w:r>
      <w:r w:rsidRPr="00507A31">
        <w:rPr>
          <w:color w:val="000000" w:themeColor="text1"/>
          <w:sz w:val="16"/>
          <w:szCs w:val="16"/>
        </w:rPr>
        <w:softHyphen/>
        <w:t>метных батарей на позициях и на мар</w:t>
      </w:r>
      <w:r w:rsidRPr="00507A31">
        <w:rPr>
          <w:color w:val="000000" w:themeColor="text1"/>
          <w:sz w:val="16"/>
          <w:szCs w:val="16"/>
        </w:rPr>
        <w:softHyphen/>
        <w:t>ше, уничтожение самолетов на аэро</w:t>
      </w:r>
      <w:r w:rsidRPr="00507A31">
        <w:rPr>
          <w:color w:val="000000" w:themeColor="text1"/>
          <w:sz w:val="16"/>
          <w:szCs w:val="16"/>
        </w:rPr>
        <w:softHyphen/>
        <w:t>дромах и средств ПВО и т.д., а тяже</w:t>
      </w:r>
      <w:r w:rsidRPr="00507A31">
        <w:rPr>
          <w:color w:val="000000" w:themeColor="text1"/>
          <w:sz w:val="16"/>
          <w:szCs w:val="16"/>
        </w:rPr>
        <w:softHyphen/>
        <w:t>лый двухмоторный с усиленным бро</w:t>
      </w:r>
      <w:r w:rsidRPr="00507A31">
        <w:rPr>
          <w:color w:val="000000" w:themeColor="text1"/>
          <w:sz w:val="16"/>
          <w:szCs w:val="16"/>
        </w:rPr>
        <w:softHyphen/>
        <w:t>нированием - главным образом для борьбы с хорошо защищенными назем</w:t>
      </w:r>
      <w:r w:rsidRPr="00507A31">
        <w:rPr>
          <w:color w:val="000000" w:themeColor="text1"/>
          <w:sz w:val="16"/>
          <w:szCs w:val="16"/>
        </w:rPr>
        <w:softHyphen/>
        <w:t>ными целями на поле боя, в том числе - танками (6269).</w:t>
      </w:r>
    </w:p>
    <w:p w14:paraId="72988B04" w14:textId="77777777" w:rsidR="00537E5F" w:rsidRPr="00507A31" w:rsidRDefault="00537E5F" w:rsidP="00507A31">
      <w:pPr>
        <w:widowControl w:val="0"/>
        <w:tabs>
          <w:tab w:val="left" w:pos="11199"/>
        </w:tabs>
        <w:autoSpaceDE w:val="0"/>
        <w:autoSpaceDN w:val="0"/>
        <w:adjustRightInd w:val="0"/>
        <w:jc w:val="both"/>
        <w:rPr>
          <w:color w:val="000000" w:themeColor="text1"/>
          <w:sz w:val="16"/>
          <w:szCs w:val="16"/>
        </w:rPr>
      </w:pPr>
    </w:p>
    <w:p w14:paraId="611A03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30 ноября 1930 г., требования к двухмоторному штурмовику были пересмотрены. Легкий одномоторный скоростной штурмовик предназначался для поражения колонн пехоты и конницы противника на марше, его артиллерийских и минометных батарей, уничтожения средств ПВО и самолетов на аэродромах и т. д. Главными </w:t>
      </w:r>
      <w:r w:rsidRPr="00507A31">
        <w:rPr>
          <w:color w:val="000000" w:themeColor="text1"/>
          <w:sz w:val="16"/>
          <w:szCs w:val="16"/>
        </w:rPr>
        <w:lastRenderedPageBreak/>
        <w:t>целями тяжелого двухмоторного штурмовика определялись хорошо защищенные объекты на поле боя, в том числе наступающие танки. Сравнительная оценка тактико-технических данных опытных и серийных самолетов-штурмовиков и истребителей, проведенная к середине 30-х годов советскими военными авиаспециалистами, послужила толчком к развитию идеи "войскового самолета", который обеспечивал бы решение основных боевых задач глубокой наступательной операции. Предполагалось, что на основе базового самолета "войскового типа" будут созданы боевые машины, способные решать задачи и дальнего разведчика, и корректировщика артиллерийского огня, и легкого бомбардировщика, и дальнего штурмовика (3451).</w:t>
      </w:r>
    </w:p>
    <w:p w14:paraId="3DF1FC3B" w14:textId="77777777" w:rsidR="00537E5F" w:rsidRPr="00507A31" w:rsidRDefault="00537E5F" w:rsidP="00507A31">
      <w:pPr>
        <w:autoSpaceDE w:val="0"/>
        <w:autoSpaceDN w:val="0"/>
        <w:adjustRightInd w:val="0"/>
        <w:jc w:val="both"/>
        <w:rPr>
          <w:color w:val="000000" w:themeColor="text1"/>
          <w:sz w:val="16"/>
          <w:szCs w:val="16"/>
        </w:rPr>
      </w:pPr>
    </w:p>
    <w:p w14:paraId="076626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ноября 1930 НТК ВВС КА утвердило новые ТТТ к самолету-штурмовику. В конструкцию ТШ-2 пришлось вносить определенные коррективы (9649).</w:t>
      </w:r>
    </w:p>
    <w:p w14:paraId="74D140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Носовая часть ТШ-2 была выполнена в виде «бронекоробки», в которой размещались мотор BMW-6, закрепленный на стержневой мотораме, масло- и водорадиаторы, бензобаки, кабины пилота и стрелка.</w:t>
      </w:r>
    </w:p>
    <w:p w14:paraId="1A9386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бронекоробке на четырех узлах крепилась сваренная из стальных труб с проволочными растяжками хвостовая часть фюзеляжа, обтянутая полотном.</w:t>
      </w:r>
    </w:p>
    <w:p w14:paraId="28A04F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Бронекоробка собиралась из отдельных плоских и гнутых бронесегментов (всего 20 шт.) гомогенной брони, имеющей по толщине одинаковые физико-механические свойства.</w:t>
      </w:r>
    </w:p>
    <w:p w14:paraId="290F89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Поверхностей двояковыпуклой кривизны не было. Кабина стрелка замыкалась сзади бронеплитой,поставленной вертикально.</w:t>
      </w:r>
    </w:p>
    <w:p w14:paraId="542754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районе мотора и у края кабины летчика борт мог открываться на шарнирах. Толщина брони: внизу - б мм, по бортам - 5 мм, сверху - 4 мм. Броневые листы, а также все узлы бронекоробки, собирались на б-мм болтах с потайной клепкой, так как автогенную сварку брони Ижорскому заводу освоить так и не удалось.</w:t>
      </w:r>
    </w:p>
    <w:p w14:paraId="03E9F4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Подобная конструкция бронекоробки штурмовика не только придавала ей угловатый вид, ухудшая аэродинамику, но и затрудняла полное включение брони в силовую схему самолета и увеличивала его массу. Масса самой бронекоробки - 520 кг.</w:t>
      </w:r>
    </w:p>
    <w:p w14:paraId="415014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 новой машины состояло из двух синхронных пулеметов ПВ-1, установленных над мотором, двух батарей по четыре ПВ-1 под нижним крылом или, вместо пулеметов, могла подвешиваться «гранатница» (ящик на 300 ручных гранат), и спарки пулеметов ДА на турели у стрелка. Работами по вооружению самолета руководил А. В. Надашкевич, работавший в то время у Н. Н. Поликарпова (9649).</w:t>
      </w:r>
    </w:p>
    <w:p w14:paraId="383EFDEB" w14:textId="77777777" w:rsidR="00537E5F" w:rsidRPr="00507A31" w:rsidRDefault="00537E5F" w:rsidP="00507A31">
      <w:pPr>
        <w:autoSpaceDE w:val="0"/>
        <w:autoSpaceDN w:val="0"/>
        <w:adjustRightInd w:val="0"/>
        <w:jc w:val="both"/>
        <w:rPr>
          <w:color w:val="000000" w:themeColor="text1"/>
          <w:sz w:val="16"/>
          <w:szCs w:val="16"/>
        </w:rPr>
      </w:pPr>
    </w:p>
    <w:p w14:paraId="63A000F4" w14:textId="77777777" w:rsidR="0060292F" w:rsidRPr="00507A31" w:rsidRDefault="0060292F" w:rsidP="00507A31">
      <w:pPr>
        <w:jc w:val="both"/>
        <w:rPr>
          <w:color w:val="000000" w:themeColor="text1"/>
          <w:sz w:val="16"/>
          <w:szCs w:val="16"/>
        </w:rPr>
      </w:pPr>
      <w:r w:rsidRPr="00507A31">
        <w:rPr>
          <w:color w:val="000000" w:themeColor="text1"/>
          <w:sz w:val="16"/>
          <w:szCs w:val="16"/>
        </w:rPr>
        <w:t>30 ноября 1930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w:t>
      </w:r>
    </w:p>
    <w:p w14:paraId="0C516FA7" w14:textId="77777777" w:rsidR="0060292F" w:rsidRPr="00507A31" w:rsidRDefault="0060292F" w:rsidP="00507A31">
      <w:pPr>
        <w:jc w:val="both"/>
        <w:rPr>
          <w:color w:val="000000" w:themeColor="text1"/>
          <w:sz w:val="16"/>
          <w:szCs w:val="16"/>
        </w:rPr>
      </w:pPr>
      <w:r w:rsidRPr="00507A31">
        <w:rPr>
          <w:color w:val="000000" w:themeColor="text1"/>
          <w:sz w:val="16"/>
          <w:szCs w:val="16"/>
        </w:rPr>
        <w:t>Бронекоробка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у края кабины летчика, борт бронекоробки мог открываться на шарнирах. Толщина брони: по низу 6 мм, по бортам 5 мм, по верху 4 мм. Броня для штурмовиков изготовлялась на Ижорском заводе под 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w:t>
      </w:r>
    </w:p>
    <w:p w14:paraId="2B35196F" w14:textId="77777777" w:rsidR="0060292F" w:rsidRPr="00507A31" w:rsidRDefault="0060292F" w:rsidP="00507A31">
      <w:pPr>
        <w:jc w:val="both"/>
        <w:rPr>
          <w:color w:val="000000" w:themeColor="text1"/>
          <w:sz w:val="16"/>
          <w:szCs w:val="16"/>
        </w:rPr>
      </w:pPr>
      <w:r w:rsidRPr="00507A31">
        <w:rPr>
          <w:color w:val="000000" w:themeColor="text1"/>
          <w:sz w:val="16"/>
          <w:szCs w:val="16"/>
        </w:rPr>
        <w:t>Сварка брони (автогенная) оказалась не простым делом. При ее выполнении нарушалась строгая геометрия бронекоробки, иногда появлялись трещины. После изготовления первого экземпляра самолета со сварной бронекоробкой,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бронекоробку на 6-мм болтах с потайной головкой и шагом 25-30 мм. На болтах (винтах) крепились и все узлы бронекоробки. Масса бронекоробки составляла около 520 кг.</w:t>
      </w:r>
    </w:p>
    <w:p w14:paraId="2F1D80E8" w14:textId="77777777" w:rsidR="0060292F" w:rsidRPr="00507A31" w:rsidRDefault="0060292F" w:rsidP="00507A31">
      <w:pPr>
        <w:jc w:val="both"/>
        <w:rPr>
          <w:color w:val="000000" w:themeColor="text1"/>
          <w:sz w:val="16"/>
          <w:szCs w:val="16"/>
        </w:rPr>
      </w:pPr>
      <w:r w:rsidRPr="00507A31">
        <w:rPr>
          <w:color w:val="000000" w:themeColor="text1"/>
          <w:sz w:val="16"/>
          <w:szCs w:val="16"/>
        </w:rPr>
        <w:t>Конструкция ТШ-1 была смешанной. В бронекоробке размещались кабины летчика и стрелка, двигатель ВМW-6, радиатор и основной бензобак. К бронекоробке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пулемеметов ПВ-1 под нижним крылом. Вместо этих пулеметов могла подвешиваться «гранатница»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Надашкевич, отличавшийся творческим подходом, изобретательностью и достижением хороших результатов работ (18293).</w:t>
      </w:r>
    </w:p>
    <w:p w14:paraId="19E705FF" w14:textId="77777777" w:rsidR="0060292F" w:rsidRPr="00507A31" w:rsidRDefault="0060292F" w:rsidP="00507A31">
      <w:pPr>
        <w:jc w:val="both"/>
        <w:rPr>
          <w:color w:val="000000" w:themeColor="text1"/>
          <w:sz w:val="16"/>
          <w:szCs w:val="16"/>
        </w:rPr>
      </w:pPr>
    </w:p>
    <w:p w14:paraId="25B67FE6" w14:textId="77777777" w:rsidR="00BF1F3E" w:rsidRPr="00507A31" w:rsidRDefault="00BF1F3E" w:rsidP="00507A31">
      <w:pPr>
        <w:jc w:val="both"/>
        <w:rPr>
          <w:color w:val="0070C0"/>
          <w:sz w:val="16"/>
          <w:szCs w:val="16"/>
          <w:lang w:bidi="ru-RU"/>
        </w:rPr>
      </w:pPr>
      <w:r w:rsidRPr="00507A31">
        <w:rPr>
          <w:color w:val="0070C0"/>
          <w:sz w:val="16"/>
          <w:szCs w:val="16"/>
          <w:lang w:bidi="ru-RU"/>
        </w:rPr>
        <w:t>30 но</w:t>
      </w:r>
      <w:r w:rsidRPr="00507A31">
        <w:rPr>
          <w:color w:val="0070C0"/>
          <w:sz w:val="16"/>
          <w:szCs w:val="16"/>
          <w:lang w:bidi="ru-RU"/>
        </w:rPr>
        <w:softHyphen/>
        <w:t>ября 1930 НТК ВВС утвердило новые тактико</w:t>
      </w:r>
      <w:r w:rsidRPr="00507A31">
        <w:rPr>
          <w:color w:val="0070C0"/>
          <w:sz w:val="16"/>
          <w:szCs w:val="16"/>
          <w:lang w:bidi="ru-RU"/>
        </w:rPr>
        <w:softHyphen/>
        <w:t>технические требования к самолету-штур</w:t>
      </w:r>
      <w:r w:rsidRPr="00507A31">
        <w:rPr>
          <w:color w:val="0070C0"/>
          <w:sz w:val="16"/>
          <w:szCs w:val="16"/>
          <w:lang w:bidi="ru-RU"/>
        </w:rPr>
        <w:softHyphen/>
        <w:t>мовику класса ТШ-2.</w:t>
      </w:r>
    </w:p>
    <w:p w14:paraId="655563D5" w14:textId="77777777" w:rsidR="00BF1F3E" w:rsidRPr="00507A31" w:rsidRDefault="00BF1F3E" w:rsidP="00507A31">
      <w:pPr>
        <w:jc w:val="both"/>
        <w:rPr>
          <w:color w:val="0070C0"/>
          <w:sz w:val="16"/>
          <w:szCs w:val="16"/>
        </w:rPr>
      </w:pPr>
      <w:r w:rsidRPr="00507A31">
        <w:rPr>
          <w:color w:val="0070C0"/>
          <w:sz w:val="16"/>
          <w:szCs w:val="16"/>
          <w:lang w:bidi="ru-RU"/>
        </w:rPr>
        <w:t>Основные изменения сводились к следующему. В развитие проверенной схемы самолета ТШ-2 в составе бое</w:t>
      </w:r>
      <w:r w:rsidRPr="00507A31">
        <w:rPr>
          <w:color w:val="0070C0"/>
          <w:sz w:val="16"/>
          <w:szCs w:val="16"/>
          <w:lang w:bidi="ru-RU"/>
        </w:rPr>
        <w:softHyphen/>
        <w:t>вых сил авиации ВВС КА предполагалось иметь легкий бронированный штурмо</w:t>
      </w:r>
      <w:r w:rsidRPr="00507A31">
        <w:rPr>
          <w:color w:val="0070C0"/>
          <w:sz w:val="16"/>
          <w:szCs w:val="16"/>
          <w:lang w:bidi="ru-RU"/>
        </w:rPr>
        <w:softHyphen/>
        <w:t>вик ЛБШ-3 с мотором М-27. Самолет дол</w:t>
      </w:r>
      <w:r w:rsidRPr="00507A31">
        <w:rPr>
          <w:color w:val="0070C0"/>
          <w:sz w:val="16"/>
          <w:szCs w:val="16"/>
          <w:lang w:bidi="ru-RU"/>
        </w:rPr>
        <w:softHyphen/>
        <w:t>жен был заменить ТШ-2 в серийном про</w:t>
      </w:r>
      <w:r w:rsidRPr="00507A31">
        <w:rPr>
          <w:color w:val="0070C0"/>
          <w:sz w:val="16"/>
          <w:szCs w:val="16"/>
          <w:lang w:bidi="ru-RU"/>
        </w:rPr>
        <w:softHyphen/>
        <w:t>изводстве с 1933 г.</w:t>
      </w:r>
    </w:p>
    <w:p w14:paraId="17E3D4F2" w14:textId="77777777" w:rsidR="00BF1F3E" w:rsidRPr="00507A31" w:rsidRDefault="00BF1F3E" w:rsidP="00507A31">
      <w:pPr>
        <w:jc w:val="both"/>
        <w:rPr>
          <w:color w:val="0070C0"/>
          <w:sz w:val="16"/>
          <w:szCs w:val="16"/>
        </w:rPr>
      </w:pPr>
      <w:r w:rsidRPr="00507A31">
        <w:rPr>
          <w:color w:val="0070C0"/>
          <w:sz w:val="16"/>
          <w:szCs w:val="16"/>
          <w:lang w:bidi="ru-RU"/>
        </w:rPr>
        <w:t>Рассматривались два варианта приме</w:t>
      </w:r>
      <w:r w:rsidRPr="00507A31">
        <w:rPr>
          <w:color w:val="0070C0"/>
          <w:sz w:val="16"/>
          <w:szCs w:val="16"/>
          <w:lang w:bidi="ru-RU"/>
        </w:rPr>
        <w:softHyphen/>
        <w:t>нения ЛБШ-3 М-27: одноместный и двух</w:t>
      </w:r>
      <w:r w:rsidRPr="00507A31">
        <w:rPr>
          <w:color w:val="0070C0"/>
          <w:sz w:val="16"/>
          <w:szCs w:val="16"/>
          <w:lang w:bidi="ru-RU"/>
        </w:rPr>
        <w:softHyphen/>
        <w:t>местный (с летнабом). Одноместный вари</w:t>
      </w:r>
      <w:r w:rsidRPr="00507A31">
        <w:rPr>
          <w:color w:val="0070C0"/>
          <w:sz w:val="16"/>
          <w:szCs w:val="16"/>
          <w:lang w:bidi="ru-RU"/>
        </w:rPr>
        <w:softHyphen/>
        <w:t>ант считался основным.</w:t>
      </w:r>
    </w:p>
    <w:p w14:paraId="1A6D1757" w14:textId="77777777" w:rsidR="00BF1F3E" w:rsidRPr="00507A31" w:rsidRDefault="00BF1F3E" w:rsidP="00507A31">
      <w:pPr>
        <w:jc w:val="both"/>
        <w:rPr>
          <w:color w:val="0070C0"/>
          <w:sz w:val="16"/>
          <w:szCs w:val="16"/>
        </w:rPr>
      </w:pPr>
      <w:r w:rsidRPr="00507A31">
        <w:rPr>
          <w:color w:val="0070C0"/>
          <w:sz w:val="16"/>
          <w:szCs w:val="16"/>
          <w:lang w:bidi="ru-RU"/>
        </w:rPr>
        <w:t>Вооружение самолета включало че</w:t>
      </w:r>
      <w:r w:rsidRPr="00507A31">
        <w:rPr>
          <w:color w:val="0070C0"/>
          <w:sz w:val="16"/>
          <w:szCs w:val="16"/>
          <w:lang w:bidi="ru-RU"/>
        </w:rPr>
        <w:softHyphen/>
        <w:t>тыре пулемета ПВ-1 для стрельбы через винт (из них два пулемета съемные в счет перегрузки) с боекомплектом по 500 па</w:t>
      </w:r>
      <w:r w:rsidRPr="00507A31">
        <w:rPr>
          <w:color w:val="0070C0"/>
          <w:sz w:val="16"/>
          <w:szCs w:val="16"/>
          <w:lang w:bidi="ru-RU"/>
        </w:rPr>
        <w:softHyphen/>
        <w:t>трон на ствол и 200 кг бомб («осколоч</w:t>
      </w:r>
      <w:r w:rsidRPr="00507A31">
        <w:rPr>
          <w:color w:val="0070C0"/>
          <w:sz w:val="16"/>
          <w:szCs w:val="16"/>
          <w:lang w:bidi="ru-RU"/>
        </w:rPr>
        <w:softHyphen/>
        <w:t>ные калибра 1, 2, 5 и 10 кг и гранаты пе</w:t>
      </w:r>
      <w:r w:rsidRPr="00507A31">
        <w:rPr>
          <w:color w:val="0070C0"/>
          <w:sz w:val="16"/>
          <w:szCs w:val="16"/>
          <w:lang w:bidi="ru-RU"/>
        </w:rPr>
        <w:softHyphen/>
        <w:t>хотного образца в кассетах»). Вместо син</w:t>
      </w:r>
      <w:r w:rsidRPr="00507A31">
        <w:rPr>
          <w:color w:val="0070C0"/>
          <w:sz w:val="16"/>
          <w:szCs w:val="16"/>
          <w:lang w:bidi="ru-RU"/>
        </w:rPr>
        <w:softHyphen/>
        <w:t>хронных пулеметов ПВ-1 рассматривался вариант установки «тяжелых пулеметов новой конструкции» (имелись ввиду опыт</w:t>
      </w:r>
      <w:r w:rsidRPr="00507A31">
        <w:rPr>
          <w:color w:val="0070C0"/>
          <w:sz w:val="16"/>
          <w:szCs w:val="16"/>
          <w:lang w:bidi="ru-RU"/>
        </w:rPr>
        <w:softHyphen/>
        <w:t>ные пулеметы калибра 12,7 мм Шпиталь- ного и Дегтярева - прим. авт.). В пере</w:t>
      </w:r>
      <w:r w:rsidRPr="00507A31">
        <w:rPr>
          <w:color w:val="0070C0"/>
          <w:sz w:val="16"/>
          <w:szCs w:val="16"/>
          <w:lang w:bidi="ru-RU"/>
        </w:rPr>
        <w:softHyphen/>
        <w:t>грузку допускалась подвеска 400 кг бомб (осколочные как в нормальном варианте и «50-кг бомбы на подвесках под кры</w:t>
      </w:r>
      <w:r w:rsidRPr="00507A31">
        <w:rPr>
          <w:color w:val="0070C0"/>
          <w:sz w:val="16"/>
          <w:szCs w:val="16"/>
          <w:lang w:bidi="ru-RU"/>
        </w:rPr>
        <w:softHyphen/>
        <w:t>лом») или двух пулеметных батарей по четыре ПВ-1 каждая под крылом (всего 6000 патрон).</w:t>
      </w:r>
    </w:p>
    <w:p w14:paraId="66252CC2" w14:textId="77777777" w:rsidR="00BF1F3E" w:rsidRPr="00507A31" w:rsidRDefault="00BF1F3E" w:rsidP="00507A31">
      <w:pPr>
        <w:jc w:val="both"/>
        <w:rPr>
          <w:color w:val="0070C0"/>
          <w:sz w:val="16"/>
          <w:szCs w:val="16"/>
        </w:rPr>
      </w:pPr>
      <w:r w:rsidRPr="00507A31">
        <w:rPr>
          <w:color w:val="0070C0"/>
          <w:sz w:val="16"/>
          <w:szCs w:val="16"/>
          <w:lang w:bidi="ru-RU"/>
        </w:rPr>
        <w:t>Полеты с летнабом предполагались только в перегрузку (в том числе с под</w:t>
      </w:r>
      <w:r w:rsidRPr="00507A31">
        <w:rPr>
          <w:color w:val="0070C0"/>
          <w:sz w:val="16"/>
          <w:szCs w:val="16"/>
          <w:lang w:bidi="ru-RU"/>
        </w:rPr>
        <w:softHyphen/>
        <w:t>веской 400 кг бомб или пулеметных ба</w:t>
      </w:r>
      <w:r w:rsidRPr="00507A31">
        <w:rPr>
          <w:color w:val="0070C0"/>
          <w:sz w:val="16"/>
          <w:szCs w:val="16"/>
          <w:lang w:bidi="ru-RU"/>
        </w:rPr>
        <w:softHyphen/>
        <w:t>тарей). В этом случае добавлялся один пулемет ДА «для стрельбы в задней по</w:t>
      </w:r>
      <w:r w:rsidRPr="00507A31">
        <w:rPr>
          <w:color w:val="0070C0"/>
          <w:sz w:val="16"/>
          <w:szCs w:val="16"/>
          <w:lang w:bidi="ru-RU"/>
        </w:rPr>
        <w:softHyphen/>
        <w:t>лусфере на специальном облегченном шкворне» («12 магазинов патрон»). Для защиты летнаба от ружейно-пулемет</w:t>
      </w:r>
      <w:r w:rsidRPr="00507A31">
        <w:rPr>
          <w:color w:val="0070C0"/>
          <w:sz w:val="16"/>
          <w:szCs w:val="16"/>
          <w:lang w:bidi="ru-RU"/>
        </w:rPr>
        <w:softHyphen/>
        <w:t>ного и зенитного огня с земли и огня воз</w:t>
      </w:r>
      <w:r w:rsidRPr="00507A31">
        <w:rPr>
          <w:color w:val="0070C0"/>
          <w:sz w:val="16"/>
          <w:szCs w:val="16"/>
          <w:lang w:bidi="ru-RU"/>
        </w:rPr>
        <w:softHyphen/>
        <w:t>душного противника предусматривалась съемная броня.</w:t>
      </w:r>
    </w:p>
    <w:p w14:paraId="3B330B9C" w14:textId="77777777" w:rsidR="00BF1F3E" w:rsidRPr="00507A31" w:rsidRDefault="00BF1F3E" w:rsidP="00507A31">
      <w:pPr>
        <w:jc w:val="both"/>
        <w:rPr>
          <w:color w:val="0070C0"/>
          <w:sz w:val="16"/>
          <w:szCs w:val="16"/>
        </w:rPr>
      </w:pPr>
      <w:r w:rsidRPr="00507A31">
        <w:rPr>
          <w:color w:val="0070C0"/>
          <w:sz w:val="16"/>
          <w:szCs w:val="16"/>
          <w:lang w:bidi="ru-RU"/>
        </w:rPr>
        <w:t>По заданию максимальная скорость самолета на высоте боевого применения 1000 м должна была составлять 300 км/ч. Посадочная скорость - не более 80</w:t>
      </w:r>
      <w:r w:rsidRPr="00507A31">
        <w:rPr>
          <w:color w:val="0070C0"/>
          <w:sz w:val="16"/>
          <w:szCs w:val="16"/>
          <w:lang w:bidi="ru-RU"/>
        </w:rPr>
        <w:softHyphen/>
        <w:t>90 км/ч. Боевой радиус устанавливался на уровне 250 км при условии, что «ем</w:t>
      </w:r>
      <w:r w:rsidRPr="00507A31">
        <w:rPr>
          <w:color w:val="0070C0"/>
          <w:sz w:val="16"/>
          <w:szCs w:val="16"/>
          <w:lang w:bidi="ru-RU"/>
        </w:rPr>
        <w:softHyphen/>
        <w:t>кость бензобаков обеспечивает радиус до 400 км (на крейсерской скорости)».</w:t>
      </w:r>
    </w:p>
    <w:p w14:paraId="30512030" w14:textId="77777777" w:rsidR="00BF1F3E" w:rsidRPr="00507A31" w:rsidRDefault="00BF1F3E" w:rsidP="00507A31">
      <w:pPr>
        <w:jc w:val="both"/>
        <w:rPr>
          <w:color w:val="0070C0"/>
          <w:sz w:val="16"/>
          <w:szCs w:val="16"/>
        </w:rPr>
      </w:pPr>
      <w:r w:rsidRPr="00507A31">
        <w:rPr>
          <w:color w:val="0070C0"/>
          <w:sz w:val="16"/>
          <w:szCs w:val="16"/>
          <w:lang w:bidi="ru-RU"/>
        </w:rPr>
        <w:t>Все вспомогательное и аэронавига</w:t>
      </w:r>
      <w:r w:rsidRPr="00507A31">
        <w:rPr>
          <w:color w:val="0070C0"/>
          <w:sz w:val="16"/>
          <w:szCs w:val="16"/>
          <w:lang w:bidi="ru-RU"/>
        </w:rPr>
        <w:softHyphen/>
        <w:t>ционное оборудование самолета пред</w:t>
      </w:r>
      <w:r w:rsidRPr="00507A31">
        <w:rPr>
          <w:color w:val="0070C0"/>
          <w:sz w:val="16"/>
          <w:szCs w:val="16"/>
          <w:lang w:bidi="ru-RU"/>
        </w:rPr>
        <w:softHyphen/>
        <w:t>полагалось иметь «как для одномест</w:t>
      </w:r>
      <w:r w:rsidRPr="00507A31">
        <w:rPr>
          <w:color w:val="0070C0"/>
          <w:sz w:val="16"/>
          <w:szCs w:val="16"/>
          <w:lang w:bidi="ru-RU"/>
        </w:rPr>
        <w:softHyphen/>
        <w:t>ного истребителя». Радио- и фотообору</w:t>
      </w:r>
      <w:r w:rsidRPr="00507A31">
        <w:rPr>
          <w:color w:val="0070C0"/>
          <w:sz w:val="16"/>
          <w:szCs w:val="16"/>
          <w:lang w:bidi="ru-RU"/>
        </w:rPr>
        <w:softHyphen/>
        <w:t>дование - съемное, только в счет пере</w:t>
      </w:r>
      <w:r w:rsidRPr="00507A31">
        <w:rPr>
          <w:color w:val="0070C0"/>
          <w:sz w:val="16"/>
          <w:szCs w:val="16"/>
          <w:lang w:bidi="ru-RU"/>
        </w:rPr>
        <w:softHyphen/>
        <w:t>грузки (с летнабом).</w:t>
      </w:r>
    </w:p>
    <w:p w14:paraId="334C93FA" w14:textId="77777777" w:rsidR="00BF1F3E" w:rsidRPr="00507A31" w:rsidRDefault="00BF1F3E" w:rsidP="00507A31">
      <w:pPr>
        <w:jc w:val="both"/>
        <w:rPr>
          <w:color w:val="0070C0"/>
          <w:sz w:val="16"/>
          <w:szCs w:val="16"/>
        </w:rPr>
      </w:pPr>
      <w:r w:rsidRPr="00507A31">
        <w:rPr>
          <w:color w:val="0070C0"/>
          <w:sz w:val="16"/>
          <w:szCs w:val="16"/>
          <w:lang w:bidi="ru-RU"/>
        </w:rPr>
        <w:t>Самолет должен быть смешанной кон</w:t>
      </w:r>
      <w:r w:rsidRPr="00507A31">
        <w:rPr>
          <w:color w:val="0070C0"/>
          <w:sz w:val="16"/>
          <w:szCs w:val="16"/>
          <w:lang w:bidi="ru-RU"/>
        </w:rPr>
        <w:softHyphen/>
        <w:t>струкции, оптимизированной для массо</w:t>
      </w:r>
      <w:r w:rsidRPr="00507A31">
        <w:rPr>
          <w:color w:val="0070C0"/>
          <w:sz w:val="16"/>
          <w:szCs w:val="16"/>
          <w:lang w:bidi="ru-RU"/>
        </w:rPr>
        <w:softHyphen/>
        <w:t>вого производства (дюраль, броня, свар</w:t>
      </w:r>
      <w:r w:rsidRPr="00507A31">
        <w:rPr>
          <w:color w:val="0070C0"/>
          <w:sz w:val="16"/>
          <w:szCs w:val="16"/>
          <w:lang w:bidi="ru-RU"/>
        </w:rPr>
        <w:softHyphen/>
        <w:t>ные трубы, дерево, полотно).</w:t>
      </w:r>
    </w:p>
    <w:p w14:paraId="1BD59CB0" w14:textId="77777777" w:rsidR="00BF1F3E" w:rsidRPr="00507A31" w:rsidRDefault="00BF1F3E" w:rsidP="00507A31">
      <w:pPr>
        <w:jc w:val="both"/>
        <w:rPr>
          <w:color w:val="0070C0"/>
          <w:sz w:val="16"/>
          <w:szCs w:val="16"/>
        </w:rPr>
      </w:pPr>
      <w:r w:rsidRPr="00507A31">
        <w:rPr>
          <w:color w:val="0070C0"/>
          <w:sz w:val="16"/>
          <w:szCs w:val="16"/>
          <w:lang w:bidi="ru-RU"/>
        </w:rPr>
        <w:t>Очевидно, какие-либо серьезные из</w:t>
      </w:r>
      <w:r w:rsidRPr="00507A31">
        <w:rPr>
          <w:color w:val="0070C0"/>
          <w:sz w:val="16"/>
          <w:szCs w:val="16"/>
          <w:lang w:bidi="ru-RU"/>
        </w:rPr>
        <w:softHyphen/>
        <w:t>менения в «облик» ТШ-2 №2 внести уже было нельзя, собственно, так вопрос никто и не ставил, но некоторые доработки по настоянию военных пришлось все же вы</w:t>
      </w:r>
      <w:r w:rsidRPr="00507A31">
        <w:rPr>
          <w:color w:val="0070C0"/>
          <w:sz w:val="16"/>
          <w:szCs w:val="16"/>
          <w:lang w:bidi="ru-RU"/>
        </w:rPr>
        <w:softHyphen/>
        <w:t>полнить. Соответственно, выход самолета из производства перенесли на 1 января, а передачу в НИИ ВВС для прохождения го</w:t>
      </w:r>
      <w:r w:rsidRPr="00507A31">
        <w:rPr>
          <w:color w:val="0070C0"/>
          <w:sz w:val="16"/>
          <w:szCs w:val="16"/>
          <w:lang w:bidi="ru-RU"/>
        </w:rPr>
        <w:softHyphen/>
        <w:t>сударственных испытаний - на 15 января 1931 г. Сами испытания предполагали за</w:t>
      </w:r>
      <w:r w:rsidRPr="00507A31">
        <w:rPr>
          <w:color w:val="0070C0"/>
          <w:sz w:val="16"/>
          <w:szCs w:val="16"/>
          <w:lang w:bidi="ru-RU"/>
        </w:rPr>
        <w:softHyphen/>
        <w:t>вершить в течение двух-трех недель.</w:t>
      </w:r>
    </w:p>
    <w:p w14:paraId="6CE8CE9F" w14:textId="77777777" w:rsidR="00BF1F3E" w:rsidRPr="00507A31" w:rsidRDefault="00BF1F3E" w:rsidP="00507A31">
      <w:pPr>
        <w:jc w:val="both"/>
        <w:rPr>
          <w:color w:val="0070C0"/>
          <w:sz w:val="16"/>
          <w:szCs w:val="16"/>
        </w:rPr>
      </w:pPr>
      <w:r w:rsidRPr="00507A31">
        <w:rPr>
          <w:color w:val="0070C0"/>
          <w:sz w:val="16"/>
          <w:szCs w:val="16"/>
          <w:lang w:bidi="ru-RU"/>
        </w:rPr>
        <w:t>Как следует из документов, постройка ТШ-2 №2 была завершена лишь в фев</w:t>
      </w:r>
      <w:r w:rsidRPr="00507A31">
        <w:rPr>
          <w:color w:val="0070C0"/>
          <w:sz w:val="16"/>
          <w:szCs w:val="16"/>
          <w:lang w:bidi="ru-RU"/>
        </w:rPr>
        <w:softHyphen/>
        <w:t>рале 1931 г. и к 20 марта самолет вышел на заводские испытания.</w:t>
      </w:r>
    </w:p>
    <w:p w14:paraId="3A4B9CED" w14:textId="77777777" w:rsidR="00BF1F3E" w:rsidRPr="00507A31" w:rsidRDefault="00BF1F3E" w:rsidP="00507A31">
      <w:pPr>
        <w:jc w:val="both"/>
        <w:rPr>
          <w:color w:val="0070C0"/>
          <w:sz w:val="16"/>
          <w:szCs w:val="16"/>
          <w:lang w:bidi="ru-RU"/>
        </w:rPr>
      </w:pPr>
      <w:r w:rsidRPr="00507A31">
        <w:rPr>
          <w:color w:val="0070C0"/>
          <w:sz w:val="16"/>
          <w:szCs w:val="16"/>
          <w:lang w:bidi="ru-RU"/>
        </w:rPr>
        <w:t>В силу специфических особенностей мотора М-17 возникли проблемы с его охлаждением, устранить которые быстро не удавалось. Стало ясно, что отработка ТШ-2 с М-17 до требуемого уровня над</w:t>
      </w:r>
      <w:r w:rsidRPr="00507A31">
        <w:rPr>
          <w:color w:val="0070C0"/>
          <w:sz w:val="16"/>
          <w:szCs w:val="16"/>
          <w:lang w:bidi="ru-RU"/>
        </w:rPr>
        <w:softHyphen/>
        <w:t>ежности затянется. Срок предъявления са</w:t>
      </w:r>
      <w:r w:rsidRPr="00507A31">
        <w:rPr>
          <w:color w:val="0070C0"/>
          <w:sz w:val="16"/>
          <w:szCs w:val="16"/>
          <w:lang w:bidi="ru-RU"/>
        </w:rPr>
        <w:softHyphen/>
        <w:t>молета в НИИ ВВС вновь перенесли, те</w:t>
      </w:r>
      <w:r w:rsidRPr="00507A31">
        <w:rPr>
          <w:color w:val="0070C0"/>
          <w:sz w:val="16"/>
          <w:szCs w:val="16"/>
          <w:lang w:bidi="ru-RU"/>
        </w:rPr>
        <w:softHyphen/>
        <w:t>перь уже на июнь месяц (21062).</w:t>
      </w:r>
    </w:p>
    <w:p w14:paraId="01D010FC" w14:textId="77777777" w:rsidR="00BF1F3E" w:rsidRPr="00507A31" w:rsidRDefault="00BF1F3E" w:rsidP="00507A31">
      <w:pPr>
        <w:jc w:val="both"/>
        <w:rPr>
          <w:color w:val="0070C0"/>
          <w:sz w:val="16"/>
          <w:szCs w:val="16"/>
        </w:rPr>
      </w:pPr>
    </w:p>
    <w:p w14:paraId="4EDDC69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30 ноября 1930 Зам. Нач. вооружения Ефимова собрал в Москве совещание, на котром рассматривались перспективы ЗАМ и ПБМ Майзеля. Постановило выделить 400-500 тыс. и начать подготовку к серии. Т.к. были ближе к самолетам, чем к артиллерии решили поручить изготовление ВАО. ПБМ и ЗАМ - планирующие бомбы-мины и Майзеля - крылатые аппараты с винтом, вращаемым предварительно раскрученным маховиком (15000-16000) (8908,36).</w:t>
      </w:r>
    </w:p>
    <w:p w14:paraId="2D17E56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8C928E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8337A31" w14:textId="77777777" w:rsidR="00537E5F" w:rsidRPr="00507A31" w:rsidRDefault="00537E5F" w:rsidP="00507A31">
      <w:pPr>
        <w:autoSpaceDE w:val="0"/>
        <w:autoSpaceDN w:val="0"/>
        <w:adjustRightInd w:val="0"/>
        <w:jc w:val="both"/>
        <w:rPr>
          <w:iCs/>
          <w:color w:val="000000" w:themeColor="text1"/>
          <w:sz w:val="16"/>
          <w:szCs w:val="16"/>
        </w:rPr>
      </w:pPr>
    </w:p>
    <w:p w14:paraId="59E373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ноября 1930 ПБ одобрило программу танкового строительства с учетом начала войны к весне 1932. Запланировали танков и танкеток 20000 в военное время, в т.ч. тракторов (9089,134).</w:t>
      </w:r>
    </w:p>
    <w:p w14:paraId="05DF778B" w14:textId="77777777" w:rsidR="00537E5F" w:rsidRPr="00507A31" w:rsidRDefault="00537E5F" w:rsidP="00507A31">
      <w:pPr>
        <w:autoSpaceDE w:val="0"/>
        <w:autoSpaceDN w:val="0"/>
        <w:adjustRightInd w:val="0"/>
        <w:jc w:val="both"/>
        <w:rPr>
          <w:color w:val="000000" w:themeColor="text1"/>
          <w:sz w:val="16"/>
          <w:szCs w:val="16"/>
        </w:rPr>
      </w:pPr>
    </w:p>
    <w:p w14:paraId="68F9B5B5" w14:textId="77777777" w:rsidR="00273CEF" w:rsidRPr="00507A31" w:rsidRDefault="00273CEF" w:rsidP="00507A31">
      <w:pPr>
        <w:pStyle w:val="rtejustify"/>
        <w:spacing w:before="0" w:after="0"/>
        <w:rPr>
          <w:color w:val="000000" w:themeColor="text1"/>
          <w:sz w:val="16"/>
          <w:szCs w:val="16"/>
        </w:rPr>
      </w:pPr>
      <w:r w:rsidRPr="00507A31">
        <w:rPr>
          <w:color w:val="000000" w:themeColor="text1"/>
          <w:sz w:val="16"/>
          <w:szCs w:val="16"/>
        </w:rPr>
        <w:t>30 ноября 1930 г. было решение ПБ о программе танкостроения в военное время к весне 1932 г., согласно которой должно быть подано для нужд вооруженного фронта:</w:t>
      </w:r>
    </w:p>
    <w:p w14:paraId="4EBCD305" w14:textId="77777777" w:rsidR="00273CEF" w:rsidRPr="00507A31" w:rsidRDefault="00273CEF" w:rsidP="00507A31">
      <w:pPr>
        <w:pStyle w:val="HTML"/>
        <w:jc w:val="both"/>
        <w:rPr>
          <w:rFonts w:ascii="Times New Roman" w:hAnsi="Times New Roman" w:cs="Times New Roman"/>
          <w:color w:val="000000" w:themeColor="text1"/>
          <w:sz w:val="16"/>
          <w:szCs w:val="16"/>
        </w:rPr>
      </w:pPr>
      <w:r w:rsidRPr="00507A31">
        <w:rPr>
          <w:rFonts w:ascii="Times New Roman" w:hAnsi="Times New Roman" w:cs="Times New Roman"/>
          <w:color w:val="000000" w:themeColor="text1"/>
          <w:sz w:val="16"/>
          <w:szCs w:val="16"/>
        </w:rPr>
        <w:t>танкеток ............ —  4.000</w:t>
      </w:r>
    </w:p>
    <w:p w14:paraId="3CF840BB" w14:textId="77777777" w:rsidR="00273CEF" w:rsidRPr="00507A31" w:rsidRDefault="00273CEF" w:rsidP="00507A31">
      <w:pPr>
        <w:pStyle w:val="HTML"/>
        <w:jc w:val="both"/>
        <w:rPr>
          <w:rFonts w:ascii="Times New Roman" w:hAnsi="Times New Roman" w:cs="Times New Roman"/>
          <w:color w:val="000000" w:themeColor="text1"/>
          <w:sz w:val="16"/>
          <w:szCs w:val="16"/>
        </w:rPr>
      </w:pPr>
      <w:r w:rsidRPr="00507A31">
        <w:rPr>
          <w:rFonts w:ascii="Times New Roman" w:hAnsi="Times New Roman" w:cs="Times New Roman"/>
          <w:color w:val="000000" w:themeColor="text1"/>
          <w:sz w:val="16"/>
          <w:szCs w:val="16"/>
        </w:rPr>
        <w:t>малых танков ........ — 13.000</w:t>
      </w:r>
    </w:p>
    <w:p w14:paraId="1AD81E94" w14:textId="77777777" w:rsidR="00273CEF" w:rsidRPr="00507A31" w:rsidRDefault="00273CEF" w:rsidP="00507A31">
      <w:pPr>
        <w:pStyle w:val="HTML"/>
        <w:jc w:val="both"/>
        <w:rPr>
          <w:rFonts w:ascii="Times New Roman" w:hAnsi="Times New Roman" w:cs="Times New Roman"/>
          <w:color w:val="000000" w:themeColor="text1"/>
          <w:sz w:val="16"/>
          <w:szCs w:val="16"/>
        </w:rPr>
      </w:pPr>
      <w:r w:rsidRPr="00507A31">
        <w:rPr>
          <w:rFonts w:ascii="Times New Roman" w:hAnsi="Times New Roman" w:cs="Times New Roman"/>
          <w:color w:val="000000" w:themeColor="text1"/>
          <w:sz w:val="16"/>
          <w:szCs w:val="16"/>
        </w:rPr>
        <w:t>средних танков ...... —  2.000 (17111).</w:t>
      </w:r>
    </w:p>
    <w:p w14:paraId="7019C2AB" w14:textId="77777777" w:rsidR="00273CEF" w:rsidRPr="00507A31" w:rsidRDefault="00273CEF" w:rsidP="00507A31">
      <w:pPr>
        <w:jc w:val="both"/>
        <w:rPr>
          <w:color w:val="000000" w:themeColor="text1"/>
          <w:sz w:val="16"/>
          <w:szCs w:val="16"/>
        </w:rPr>
      </w:pPr>
    </w:p>
    <w:p w14:paraId="274E0F16" w14:textId="77777777" w:rsidR="007C50AE" w:rsidRPr="00507A31" w:rsidRDefault="007C50AE" w:rsidP="00507A31">
      <w:pPr>
        <w:jc w:val="both"/>
        <w:rPr>
          <w:color w:val="000000" w:themeColor="text1"/>
          <w:sz w:val="16"/>
          <w:szCs w:val="16"/>
        </w:rPr>
      </w:pPr>
      <w:r w:rsidRPr="00507A31">
        <w:rPr>
          <w:rStyle w:val="a7"/>
          <w:b w:val="0"/>
          <w:color w:val="000000" w:themeColor="text1"/>
          <w:sz w:val="16"/>
          <w:szCs w:val="16"/>
        </w:rPr>
        <w:t xml:space="preserve">30 ноября 1930 </w:t>
      </w:r>
      <w:r w:rsidRPr="00507A31">
        <w:rPr>
          <w:color w:val="000000" w:themeColor="text1"/>
          <w:sz w:val="16"/>
          <w:szCs w:val="16"/>
        </w:rPr>
        <w:t>Политбюро ЦК ВКП (б) приняло постановление о ходе выполнения финансового плана особого квартала (12265).</w:t>
      </w:r>
    </w:p>
    <w:p w14:paraId="78A5874B" w14:textId="77777777" w:rsidR="007C50AE" w:rsidRPr="00507A31" w:rsidRDefault="007C50AE" w:rsidP="00507A31">
      <w:pPr>
        <w:jc w:val="both"/>
        <w:rPr>
          <w:color w:val="000000" w:themeColor="text1"/>
          <w:sz w:val="16"/>
          <w:szCs w:val="16"/>
        </w:rPr>
      </w:pPr>
    </w:p>
    <w:p w14:paraId="01445351" w14:textId="77777777" w:rsidR="0060292F" w:rsidRPr="00507A31" w:rsidRDefault="0060292F" w:rsidP="00507A31">
      <w:pPr>
        <w:jc w:val="both"/>
        <w:rPr>
          <w:color w:val="000000" w:themeColor="text1"/>
          <w:sz w:val="16"/>
          <w:szCs w:val="16"/>
        </w:rPr>
      </w:pPr>
      <w:r w:rsidRPr="00507A31">
        <w:rPr>
          <w:color w:val="000000" w:themeColor="text1"/>
          <w:sz w:val="16"/>
          <w:szCs w:val="16"/>
        </w:rPr>
        <w:t>30 ноября 1930</w:t>
      </w:r>
    </w:p>
    <w:p w14:paraId="353D02B3" w14:textId="77777777" w:rsidR="0060292F" w:rsidRPr="00507A31" w:rsidRDefault="0060292F" w:rsidP="00507A31">
      <w:pPr>
        <w:jc w:val="both"/>
        <w:rPr>
          <w:color w:val="000000" w:themeColor="text1"/>
          <w:sz w:val="16"/>
          <w:szCs w:val="16"/>
        </w:rPr>
      </w:pPr>
      <w:r w:rsidRPr="00507A31">
        <w:rPr>
          <w:color w:val="000000" w:themeColor="text1"/>
          <w:sz w:val="16"/>
          <w:szCs w:val="16"/>
        </w:rPr>
        <w:lastRenderedPageBreak/>
        <w:t>Доклад начальника ВХУ Ошлея на имя заместителя наркома НКВМ и председателя РВС С.С.Каменева по вопросу о качестве продукции военно-хозяйственного снабжения за 1929/30 г. от 30.11.1930 и диаграммы к докладу] (18627).</w:t>
      </w:r>
    </w:p>
    <w:p w14:paraId="009D5051" w14:textId="77777777" w:rsidR="0060292F" w:rsidRPr="00507A31" w:rsidRDefault="0060292F" w:rsidP="00507A31">
      <w:pPr>
        <w:jc w:val="both"/>
        <w:rPr>
          <w:color w:val="000000" w:themeColor="text1"/>
          <w:sz w:val="16"/>
          <w:szCs w:val="16"/>
        </w:rPr>
      </w:pPr>
    </w:p>
    <w:p w14:paraId="2E1EF6C0" w14:textId="77777777" w:rsidR="00E8749C" w:rsidRPr="00507A31" w:rsidRDefault="00E8749C"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4ECF23C" w14:textId="77777777" w:rsidR="00E8749C" w:rsidRPr="00507A31" w:rsidRDefault="00E8749C" w:rsidP="00507A31">
      <w:pPr>
        <w:autoSpaceDE w:val="0"/>
        <w:autoSpaceDN w:val="0"/>
        <w:adjustRightInd w:val="0"/>
        <w:jc w:val="both"/>
        <w:rPr>
          <w:iCs/>
          <w:color w:val="000000" w:themeColor="text1"/>
          <w:sz w:val="16"/>
          <w:szCs w:val="16"/>
        </w:rPr>
      </w:pPr>
    </w:p>
    <w:p w14:paraId="4115EA9F" w14:textId="77777777" w:rsidR="00E8749C" w:rsidRPr="00507A31" w:rsidRDefault="00E8749C" w:rsidP="00507A31">
      <w:pPr>
        <w:jc w:val="both"/>
        <w:rPr>
          <w:bCs/>
          <w:color w:val="000000" w:themeColor="text1"/>
          <w:sz w:val="16"/>
          <w:szCs w:val="16"/>
        </w:rPr>
      </w:pPr>
      <w:r w:rsidRPr="00507A31">
        <w:rPr>
          <w:color w:val="000000" w:themeColor="text1"/>
          <w:sz w:val="16"/>
          <w:szCs w:val="16"/>
        </w:rPr>
        <w:t>30 ноября 1930 г.</w:t>
      </w:r>
    </w:p>
    <w:p w14:paraId="00D6B54D" w14:textId="77777777" w:rsidR="00E8749C" w:rsidRPr="00507A31" w:rsidRDefault="00E8749C" w:rsidP="00507A31">
      <w:pPr>
        <w:jc w:val="both"/>
        <w:rPr>
          <w:bCs/>
          <w:color w:val="000000" w:themeColor="text1"/>
          <w:sz w:val="16"/>
          <w:szCs w:val="16"/>
        </w:rPr>
      </w:pPr>
      <w:r w:rsidRPr="00507A31">
        <w:rPr>
          <w:color w:val="000000" w:themeColor="text1"/>
          <w:sz w:val="16"/>
          <w:szCs w:val="16"/>
        </w:rPr>
        <w:t>Резолюция ноябрьской сессии АН СССР «О контрреволюционном заговоре “Промпартии”». Из «Информационного бюллетеня» ВОКС № 3. 30 ноября 1930 г.</w:t>
      </w:r>
    </w:p>
    <w:p w14:paraId="47F5EECA" w14:textId="77777777" w:rsidR="00E8749C" w:rsidRPr="00507A31" w:rsidRDefault="00E8749C" w:rsidP="00507A31">
      <w:pPr>
        <w:jc w:val="both"/>
        <w:rPr>
          <w:bCs/>
          <w:color w:val="000000" w:themeColor="text1"/>
          <w:sz w:val="16"/>
          <w:szCs w:val="16"/>
        </w:rPr>
      </w:pPr>
      <w:r w:rsidRPr="00507A31">
        <w:rPr>
          <w:bCs/>
          <w:color w:val="000000" w:themeColor="text1"/>
          <w:sz w:val="16"/>
          <w:szCs w:val="16"/>
        </w:rPr>
        <w:t>Источник: </w:t>
      </w:r>
    </w:p>
    <w:p w14:paraId="40D68E7B" w14:textId="77777777" w:rsidR="00E8749C" w:rsidRPr="00507A31" w:rsidRDefault="00E8749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24D47C" w14:textId="77777777" w:rsidR="00E8749C" w:rsidRPr="00507A31" w:rsidRDefault="00E8749C" w:rsidP="00507A31">
      <w:pPr>
        <w:jc w:val="both"/>
        <w:rPr>
          <w:bCs/>
          <w:color w:val="000000" w:themeColor="text1"/>
          <w:sz w:val="16"/>
          <w:szCs w:val="16"/>
        </w:rPr>
      </w:pPr>
      <w:r w:rsidRPr="00507A31">
        <w:rPr>
          <w:bCs/>
          <w:color w:val="000000" w:themeColor="text1"/>
          <w:sz w:val="16"/>
          <w:szCs w:val="16"/>
        </w:rPr>
        <w:t>Архив: </w:t>
      </w:r>
    </w:p>
    <w:p w14:paraId="59F85DAE" w14:textId="77777777" w:rsidR="00E8749C" w:rsidRPr="00507A31" w:rsidRDefault="00E8749C" w:rsidP="00507A31">
      <w:pPr>
        <w:jc w:val="both"/>
        <w:rPr>
          <w:color w:val="000000" w:themeColor="text1"/>
          <w:sz w:val="16"/>
          <w:szCs w:val="16"/>
        </w:rPr>
      </w:pPr>
      <w:r w:rsidRPr="00507A31">
        <w:rPr>
          <w:color w:val="000000" w:themeColor="text1"/>
          <w:sz w:val="16"/>
          <w:szCs w:val="16"/>
        </w:rPr>
        <w:t>ГА РФ. Р-5283. On. 1.Д. 139. Л. 76, 84</w:t>
      </w:r>
    </w:p>
    <w:p w14:paraId="282EC4BD" w14:textId="77777777" w:rsidR="00E8749C" w:rsidRPr="00507A31" w:rsidRDefault="00E8749C" w:rsidP="00507A31">
      <w:pPr>
        <w:pStyle w:val="rteright"/>
        <w:spacing w:before="0" w:after="0"/>
        <w:jc w:val="both"/>
        <w:rPr>
          <w:color w:val="000000" w:themeColor="text1"/>
          <w:sz w:val="16"/>
          <w:szCs w:val="16"/>
        </w:rPr>
      </w:pPr>
      <w:r w:rsidRPr="00507A31">
        <w:rPr>
          <w:color w:val="000000" w:themeColor="text1"/>
          <w:sz w:val="16"/>
          <w:szCs w:val="16"/>
        </w:rPr>
        <w:t>30 ноября 1930 г.</w:t>
      </w:r>
    </w:p>
    <w:p w14:paraId="253E600D"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АКАДЕМИЯ НАУК СССР</w:t>
      </w:r>
    </w:p>
    <w:p w14:paraId="64F7A0F2"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ПРИЗЫВАЕТ УЧЕНЫХ ВСЕГО МИРА</w:t>
      </w:r>
    </w:p>
    <w:p w14:paraId="0AE65609"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АКТИВНО ПРОТИВОДЕЙСТВОВАТЬ</w:t>
      </w:r>
    </w:p>
    <w:p w14:paraId="417F3CE2"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ПОДГОТОВКЕ ИНТЕРВЕНЦИИ ПРОТИВ СССР</w:t>
      </w:r>
    </w:p>
    <w:p w14:paraId="494F8AFC" w14:textId="77777777" w:rsidR="00E8749C" w:rsidRPr="00507A31" w:rsidRDefault="00E8749C" w:rsidP="00507A31">
      <w:pPr>
        <w:pStyle w:val="rtejustify"/>
        <w:spacing w:before="0" w:after="0"/>
        <w:rPr>
          <w:color w:val="000000" w:themeColor="text1"/>
          <w:sz w:val="16"/>
          <w:szCs w:val="16"/>
        </w:rPr>
      </w:pPr>
      <w:r w:rsidRPr="00507A31">
        <w:rPr>
          <w:color w:val="000000" w:themeColor="text1"/>
          <w:sz w:val="16"/>
          <w:szCs w:val="16"/>
        </w:rPr>
        <w:t>Ноябрьская Сессия Академии Наук СССР на общем собрании 30 ноября 1930 г. рассмотрев вопрос о контр-революционном заговоре «Промпартии» и подготовке интервенции против СССР, единогласно приняла следующую резолюцию:</w:t>
      </w:r>
    </w:p>
    <w:p w14:paraId="0B93BA12" w14:textId="77777777" w:rsidR="00E8749C" w:rsidRPr="00507A31" w:rsidRDefault="00E8749C" w:rsidP="00507A31">
      <w:pPr>
        <w:pStyle w:val="rtejustify"/>
        <w:spacing w:before="0" w:after="0"/>
        <w:rPr>
          <w:color w:val="000000" w:themeColor="text1"/>
          <w:sz w:val="16"/>
          <w:szCs w:val="16"/>
        </w:rPr>
      </w:pPr>
      <w:r w:rsidRPr="00507A31">
        <w:rPr>
          <w:color w:val="000000" w:themeColor="text1"/>
          <w:sz w:val="16"/>
          <w:szCs w:val="16"/>
        </w:rPr>
        <w:t>«Ноябрьская Сессия Академии Наук СССР протекает в дни судебного процесса по делу об участниках контр-революционной организации, которая имела целью, путем вредительских действий внутри нашей страны, подготовить почву для иностранной интервенции, чтобы свергнуть власть Советов, сорвать социалистическое строительство и ценою отторжения ряда территорий СССР, ценою бесчисленных кровавых жертв, восстановить власть капитала и эксплоатации трудящихся.</w:t>
      </w:r>
    </w:p>
    <w:p w14:paraId="3D55F3D2" w14:textId="77777777" w:rsidR="00E8749C" w:rsidRPr="00507A31" w:rsidRDefault="00E8749C" w:rsidP="00507A31">
      <w:pPr>
        <w:pStyle w:val="rtejustify"/>
        <w:spacing w:before="0" w:after="0"/>
        <w:rPr>
          <w:color w:val="000000" w:themeColor="text1"/>
          <w:sz w:val="16"/>
          <w:szCs w:val="16"/>
        </w:rPr>
      </w:pPr>
      <w:r w:rsidRPr="00507A31">
        <w:rPr>
          <w:color w:val="000000" w:themeColor="text1"/>
          <w:sz w:val="16"/>
          <w:szCs w:val="16"/>
        </w:rPr>
        <w:t>Научные работники СССР в неразрывном единении с пролетариатом, со всею резкостью выявили уже перед всем миром свое отношение к предательской деятельности группы ученых и специалистов техники, выполнявших враждебные трудящимся планы российской белой эмиграции и главарей международной буржуазии.</w:t>
      </w:r>
    </w:p>
    <w:p w14:paraId="25778A5F" w14:textId="77777777" w:rsidR="00E8749C" w:rsidRPr="00507A31" w:rsidRDefault="00E8749C" w:rsidP="00507A31">
      <w:pPr>
        <w:pStyle w:val="rtejustify"/>
        <w:spacing w:before="0" w:after="0"/>
        <w:rPr>
          <w:color w:val="000000" w:themeColor="text1"/>
          <w:sz w:val="16"/>
          <w:szCs w:val="16"/>
        </w:rPr>
      </w:pPr>
      <w:r w:rsidRPr="00507A31">
        <w:rPr>
          <w:color w:val="000000" w:themeColor="text1"/>
          <w:sz w:val="16"/>
          <w:szCs w:val="16"/>
        </w:rPr>
        <w:t>Всесоюзная Академия Наук, собравшись на очередную сессию для выполнения своих задач, связанных с мирным строительством нашей страны и с прогрессом теоретического знания, не может пройти молча мимо открытого бдительностью ОГПУ опаснейшего заговора.</w:t>
      </w:r>
    </w:p>
    <w:p w14:paraId="76041222" w14:textId="77777777" w:rsidR="00E8749C" w:rsidRPr="00507A31" w:rsidRDefault="00E8749C" w:rsidP="00507A31">
      <w:pPr>
        <w:pStyle w:val="rtejustify"/>
        <w:spacing w:before="0" w:after="0"/>
        <w:rPr>
          <w:color w:val="000000" w:themeColor="text1"/>
          <w:sz w:val="16"/>
          <w:szCs w:val="16"/>
        </w:rPr>
      </w:pPr>
      <w:r w:rsidRPr="00507A31">
        <w:rPr>
          <w:color w:val="000000" w:themeColor="text1"/>
          <w:sz w:val="16"/>
          <w:szCs w:val="16"/>
        </w:rPr>
        <w:t>Мы, члены Академии Наук, заявляем, что ответом на попытки мирового капитала и его агентов помешать реконструкции хозяйства и культуры народов СССР на началах социализма, будет удвоенное напряжение организованной и планомерной научно-исследовательской деятельности Академии в интересах скорейшего осуществления пятилетнего плана великих творческих работ и в интересах обороны трудящихся Союза от покушений его врагов. Мы приветствуем самые решительные мероприятия, направленные к обнаружению и беспощадной ликвидации заговоров против советской страны и против ее мирного строительства.</w:t>
      </w:r>
    </w:p>
    <w:p w14:paraId="1538A854" w14:textId="77777777" w:rsidR="00E8749C" w:rsidRPr="00507A31" w:rsidRDefault="00E8749C" w:rsidP="00507A31">
      <w:pPr>
        <w:pStyle w:val="rtejustify"/>
        <w:spacing w:before="0" w:after="0"/>
        <w:rPr>
          <w:color w:val="000000" w:themeColor="text1"/>
          <w:sz w:val="16"/>
          <w:szCs w:val="16"/>
        </w:rPr>
      </w:pPr>
      <w:r w:rsidRPr="00507A31">
        <w:rPr>
          <w:color w:val="000000" w:themeColor="text1"/>
          <w:sz w:val="16"/>
          <w:szCs w:val="16"/>
        </w:rPr>
        <w:t>Мы приветствуем, разделяем и всячески поддерживаем политику мира, провозглашенную и энергично проводимую нашим правительством. Мы заявляем, что в случае нападения на Советский Союз мы отдадим все свои силы делу его защиты. Мы призываем ученых всего мира вспомнить ужасы мировой войны, не повторить роковых ошибок 1914 года, когда многие представители науки оказались в плену шовинизма, — и активно содействовать предотвращению интервенции и новых, еще невиданных ужасов международной бойни».</w:t>
      </w:r>
    </w:p>
    <w:p w14:paraId="399E494D"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ПРЕЗИДЕНТ АКАДЕМИИ НАУК СССР — А. П. КАРПИНСКИЙ</w:t>
      </w:r>
    </w:p>
    <w:p w14:paraId="086EDDF3"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Вице-Президенты: ак. В. Л. КОМАРОВ</w:t>
      </w:r>
    </w:p>
    <w:p w14:paraId="204577FD"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ак. Н. Я. МАРР</w:t>
      </w:r>
    </w:p>
    <w:p w14:paraId="2418EE0B"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Непременный Секретарь ак. В. П. ВОЛГИН</w:t>
      </w:r>
    </w:p>
    <w:p w14:paraId="6B70DA42"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Отделение Математических и Естественных Наук.</w:t>
      </w:r>
    </w:p>
    <w:p w14:paraId="63721401"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Академики:</w:t>
      </w:r>
    </w:p>
    <w:tbl>
      <w:tblPr>
        <w:tblW w:w="0" w:type="auto"/>
        <w:tblCellMar>
          <w:top w:w="15" w:type="dxa"/>
          <w:left w:w="15" w:type="dxa"/>
          <w:bottom w:w="15" w:type="dxa"/>
          <w:right w:w="15" w:type="dxa"/>
        </w:tblCellMar>
        <w:tblLook w:val="04A0" w:firstRow="1" w:lastRow="0" w:firstColumn="1" w:lastColumn="0" w:noHBand="0" w:noVBand="1"/>
      </w:tblPr>
      <w:tblGrid>
        <w:gridCol w:w="1413"/>
        <w:gridCol w:w="1756"/>
      </w:tblGrid>
      <w:tr w:rsidR="00E371BA" w:rsidRPr="00507A31" w14:paraId="0A796DE5" w14:textId="77777777" w:rsidTr="00DE6527">
        <w:tc>
          <w:tcPr>
            <w:tcW w:w="0" w:type="auto"/>
            <w:vAlign w:val="center"/>
            <w:hideMark/>
          </w:tcPr>
          <w:p w14:paraId="2A765849" w14:textId="77777777" w:rsidR="00E8749C" w:rsidRPr="00507A31" w:rsidRDefault="00E8749C" w:rsidP="00507A31">
            <w:pPr>
              <w:jc w:val="both"/>
              <w:rPr>
                <w:color w:val="000000" w:themeColor="text1"/>
                <w:sz w:val="16"/>
                <w:szCs w:val="16"/>
              </w:rPr>
            </w:pPr>
            <w:r w:rsidRPr="00507A31">
              <w:rPr>
                <w:color w:val="000000" w:themeColor="text1"/>
                <w:sz w:val="16"/>
                <w:szCs w:val="16"/>
              </w:rPr>
              <w:t>А. А. Борисяк </w:t>
            </w:r>
          </w:p>
          <w:p w14:paraId="1925ADE8" w14:textId="77777777" w:rsidR="00E8749C" w:rsidRPr="00507A31" w:rsidRDefault="00E8749C" w:rsidP="00507A31">
            <w:pPr>
              <w:jc w:val="both"/>
              <w:rPr>
                <w:color w:val="000000" w:themeColor="text1"/>
                <w:sz w:val="16"/>
                <w:szCs w:val="16"/>
              </w:rPr>
            </w:pPr>
            <w:r w:rsidRPr="00507A31">
              <w:rPr>
                <w:color w:val="000000" w:themeColor="text1"/>
                <w:sz w:val="16"/>
                <w:szCs w:val="16"/>
              </w:rPr>
              <w:t>И. М. Виноградов </w:t>
            </w:r>
          </w:p>
          <w:p w14:paraId="558D5866" w14:textId="77777777" w:rsidR="00E8749C" w:rsidRPr="00507A31" w:rsidRDefault="00E8749C" w:rsidP="00507A31">
            <w:pPr>
              <w:jc w:val="both"/>
              <w:rPr>
                <w:color w:val="000000" w:themeColor="text1"/>
                <w:sz w:val="16"/>
                <w:szCs w:val="16"/>
              </w:rPr>
            </w:pPr>
            <w:r w:rsidRPr="00507A31">
              <w:rPr>
                <w:color w:val="000000" w:themeColor="text1"/>
                <w:sz w:val="16"/>
                <w:szCs w:val="16"/>
              </w:rPr>
              <w:t>И. М. Губкин </w:t>
            </w:r>
          </w:p>
          <w:p w14:paraId="2A8526F5" w14:textId="77777777" w:rsidR="00E8749C" w:rsidRPr="00507A31" w:rsidRDefault="00E8749C" w:rsidP="00507A31">
            <w:pPr>
              <w:jc w:val="both"/>
              <w:rPr>
                <w:color w:val="000000" w:themeColor="text1"/>
                <w:sz w:val="16"/>
                <w:szCs w:val="16"/>
              </w:rPr>
            </w:pPr>
            <w:r w:rsidRPr="00507A31">
              <w:rPr>
                <w:color w:val="000000" w:themeColor="text1"/>
                <w:sz w:val="16"/>
                <w:szCs w:val="16"/>
              </w:rPr>
              <w:t>Н. Я. Демьянов </w:t>
            </w:r>
          </w:p>
          <w:p w14:paraId="5134600B" w14:textId="77777777" w:rsidR="00E8749C" w:rsidRPr="00507A31" w:rsidRDefault="00E8749C" w:rsidP="00507A31">
            <w:pPr>
              <w:jc w:val="both"/>
              <w:rPr>
                <w:color w:val="000000" w:themeColor="text1"/>
                <w:sz w:val="16"/>
                <w:szCs w:val="16"/>
              </w:rPr>
            </w:pPr>
            <w:r w:rsidRPr="00507A31">
              <w:rPr>
                <w:color w:val="000000" w:themeColor="text1"/>
                <w:sz w:val="16"/>
                <w:szCs w:val="16"/>
              </w:rPr>
              <w:t>Н. Д. Зелинский</w:t>
            </w:r>
          </w:p>
          <w:p w14:paraId="61555412" w14:textId="77777777" w:rsidR="00E8749C" w:rsidRPr="00507A31" w:rsidRDefault="00E8749C" w:rsidP="00507A31">
            <w:pPr>
              <w:jc w:val="both"/>
              <w:rPr>
                <w:color w:val="000000" w:themeColor="text1"/>
                <w:sz w:val="16"/>
                <w:szCs w:val="16"/>
              </w:rPr>
            </w:pPr>
            <w:r w:rsidRPr="00507A31">
              <w:rPr>
                <w:color w:val="000000" w:themeColor="text1"/>
                <w:sz w:val="16"/>
                <w:szCs w:val="16"/>
              </w:rPr>
              <w:t>A. Ф. Иоффе</w:t>
            </w:r>
          </w:p>
          <w:p w14:paraId="21871AB8" w14:textId="77777777" w:rsidR="00E8749C" w:rsidRPr="00507A31" w:rsidRDefault="00E8749C" w:rsidP="00507A31">
            <w:pPr>
              <w:jc w:val="both"/>
              <w:rPr>
                <w:color w:val="000000" w:themeColor="text1"/>
                <w:sz w:val="16"/>
                <w:szCs w:val="16"/>
              </w:rPr>
            </w:pPr>
            <w:r w:rsidRPr="00507A31">
              <w:rPr>
                <w:color w:val="000000" w:themeColor="text1"/>
                <w:sz w:val="16"/>
                <w:szCs w:val="16"/>
              </w:rPr>
              <w:t>B. А. Кистяковский </w:t>
            </w:r>
          </w:p>
          <w:p w14:paraId="5718D910" w14:textId="77777777" w:rsidR="00E8749C" w:rsidRPr="00507A31" w:rsidRDefault="00E8749C" w:rsidP="00507A31">
            <w:pPr>
              <w:jc w:val="both"/>
              <w:rPr>
                <w:color w:val="000000" w:themeColor="text1"/>
                <w:sz w:val="16"/>
                <w:szCs w:val="16"/>
              </w:rPr>
            </w:pPr>
            <w:r w:rsidRPr="00507A31">
              <w:rPr>
                <w:color w:val="000000" w:themeColor="text1"/>
                <w:sz w:val="16"/>
                <w:szCs w:val="16"/>
              </w:rPr>
              <w:t>А. Н. Крылов</w:t>
            </w:r>
          </w:p>
          <w:p w14:paraId="6F4C1AF1" w14:textId="77777777" w:rsidR="00E8749C" w:rsidRPr="00507A31" w:rsidRDefault="00E8749C" w:rsidP="00507A31">
            <w:pPr>
              <w:jc w:val="both"/>
              <w:rPr>
                <w:color w:val="000000" w:themeColor="text1"/>
                <w:sz w:val="16"/>
                <w:szCs w:val="16"/>
              </w:rPr>
            </w:pPr>
            <w:r w:rsidRPr="00507A31">
              <w:rPr>
                <w:color w:val="000000" w:themeColor="text1"/>
                <w:sz w:val="16"/>
                <w:szCs w:val="16"/>
              </w:rPr>
              <w:t>C. П. Костычев</w:t>
            </w:r>
          </w:p>
        </w:tc>
        <w:tc>
          <w:tcPr>
            <w:tcW w:w="0" w:type="auto"/>
            <w:vAlign w:val="center"/>
            <w:hideMark/>
          </w:tcPr>
          <w:p w14:paraId="55B2917A" w14:textId="77777777" w:rsidR="00E8749C" w:rsidRPr="00507A31" w:rsidRDefault="00E8749C" w:rsidP="00507A31">
            <w:pPr>
              <w:jc w:val="both"/>
              <w:rPr>
                <w:color w:val="000000" w:themeColor="text1"/>
                <w:sz w:val="16"/>
                <w:szCs w:val="16"/>
              </w:rPr>
            </w:pPr>
            <w:r w:rsidRPr="00507A31">
              <w:rPr>
                <w:color w:val="000000" w:themeColor="text1"/>
                <w:sz w:val="16"/>
                <w:szCs w:val="16"/>
              </w:rPr>
              <w:t>Н. С. Курнаков</w:t>
            </w:r>
          </w:p>
          <w:p w14:paraId="3E83CDF6" w14:textId="77777777" w:rsidR="00E8749C" w:rsidRPr="00507A31" w:rsidRDefault="00E8749C" w:rsidP="00507A31">
            <w:pPr>
              <w:jc w:val="both"/>
              <w:rPr>
                <w:color w:val="000000" w:themeColor="text1"/>
                <w:sz w:val="16"/>
                <w:szCs w:val="16"/>
              </w:rPr>
            </w:pPr>
            <w:r w:rsidRPr="00507A31">
              <w:rPr>
                <w:color w:val="000000" w:themeColor="text1"/>
                <w:sz w:val="16"/>
                <w:szCs w:val="16"/>
              </w:rPr>
              <w:t>Ф. Ю. Левинсон-Лессинг</w:t>
            </w:r>
          </w:p>
          <w:p w14:paraId="61812BA2" w14:textId="77777777" w:rsidR="00E8749C" w:rsidRPr="00507A31" w:rsidRDefault="00E8749C" w:rsidP="00507A31">
            <w:pPr>
              <w:jc w:val="both"/>
              <w:rPr>
                <w:color w:val="000000" w:themeColor="text1"/>
                <w:sz w:val="16"/>
                <w:szCs w:val="16"/>
              </w:rPr>
            </w:pPr>
            <w:r w:rsidRPr="00507A31">
              <w:rPr>
                <w:color w:val="000000" w:themeColor="text1"/>
                <w:sz w:val="16"/>
                <w:szCs w:val="16"/>
              </w:rPr>
              <w:t>Л. И. Мандельштам</w:t>
            </w:r>
          </w:p>
          <w:p w14:paraId="3373DAD1" w14:textId="77777777" w:rsidR="00E8749C" w:rsidRPr="00507A31" w:rsidRDefault="00E8749C" w:rsidP="00507A31">
            <w:pPr>
              <w:jc w:val="both"/>
              <w:rPr>
                <w:color w:val="000000" w:themeColor="text1"/>
                <w:sz w:val="16"/>
                <w:szCs w:val="16"/>
              </w:rPr>
            </w:pPr>
            <w:r w:rsidRPr="00507A31">
              <w:rPr>
                <w:color w:val="000000" w:themeColor="text1"/>
                <w:sz w:val="16"/>
                <w:szCs w:val="16"/>
              </w:rPr>
              <w:t>B. Ф. Миткевич </w:t>
            </w:r>
          </w:p>
          <w:p w14:paraId="7E9E4C27" w14:textId="77777777" w:rsidR="00E8749C" w:rsidRPr="00507A31" w:rsidRDefault="00E8749C" w:rsidP="00507A31">
            <w:pPr>
              <w:jc w:val="both"/>
              <w:rPr>
                <w:color w:val="000000" w:themeColor="text1"/>
                <w:sz w:val="16"/>
                <w:szCs w:val="16"/>
              </w:rPr>
            </w:pPr>
            <w:r w:rsidRPr="00507A31">
              <w:rPr>
                <w:color w:val="000000" w:themeColor="text1"/>
                <w:sz w:val="16"/>
                <w:szCs w:val="16"/>
              </w:rPr>
              <w:t>Г. А. Надсон</w:t>
            </w:r>
          </w:p>
          <w:p w14:paraId="19DC7845" w14:textId="77777777" w:rsidR="00E8749C" w:rsidRPr="00507A31" w:rsidRDefault="00E8749C" w:rsidP="00507A31">
            <w:pPr>
              <w:jc w:val="both"/>
              <w:rPr>
                <w:color w:val="000000" w:themeColor="text1"/>
                <w:sz w:val="16"/>
                <w:szCs w:val="16"/>
              </w:rPr>
            </w:pPr>
            <w:r w:rsidRPr="00507A31">
              <w:rPr>
                <w:color w:val="000000" w:themeColor="text1"/>
                <w:sz w:val="16"/>
                <w:szCs w:val="16"/>
              </w:rPr>
              <w:t>А. Е. Фаворский </w:t>
            </w:r>
          </w:p>
          <w:p w14:paraId="39FEAB89" w14:textId="77777777" w:rsidR="00E8749C" w:rsidRPr="00507A31" w:rsidRDefault="00E8749C" w:rsidP="00507A31">
            <w:pPr>
              <w:jc w:val="both"/>
              <w:rPr>
                <w:color w:val="000000" w:themeColor="text1"/>
                <w:sz w:val="16"/>
                <w:szCs w:val="16"/>
              </w:rPr>
            </w:pPr>
            <w:r w:rsidRPr="00507A31">
              <w:rPr>
                <w:color w:val="000000" w:themeColor="text1"/>
                <w:sz w:val="16"/>
                <w:szCs w:val="16"/>
              </w:rPr>
              <w:t>А. Е. Ферсман</w:t>
            </w:r>
          </w:p>
          <w:p w14:paraId="7A0770A5" w14:textId="77777777" w:rsidR="00E8749C" w:rsidRPr="00507A31" w:rsidRDefault="00E8749C" w:rsidP="00507A31">
            <w:pPr>
              <w:jc w:val="both"/>
              <w:rPr>
                <w:color w:val="000000" w:themeColor="text1"/>
                <w:sz w:val="16"/>
                <w:szCs w:val="16"/>
              </w:rPr>
            </w:pPr>
            <w:r w:rsidRPr="00507A31">
              <w:rPr>
                <w:color w:val="000000" w:themeColor="text1"/>
                <w:sz w:val="16"/>
                <w:szCs w:val="16"/>
              </w:rPr>
              <w:t>C. А. Чаплыгин</w:t>
            </w:r>
          </w:p>
        </w:tc>
      </w:tr>
    </w:tbl>
    <w:p w14:paraId="6F7998B8"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Отделение общественных наук.</w:t>
      </w:r>
    </w:p>
    <w:p w14:paraId="26E4C355" w14:textId="77777777" w:rsidR="00E8749C" w:rsidRPr="00507A31" w:rsidRDefault="00E8749C" w:rsidP="00507A31">
      <w:pPr>
        <w:pStyle w:val="ae"/>
        <w:spacing w:before="0" w:after="0"/>
        <w:jc w:val="both"/>
        <w:rPr>
          <w:color w:val="000000" w:themeColor="text1"/>
          <w:sz w:val="16"/>
          <w:szCs w:val="16"/>
        </w:rPr>
      </w:pPr>
      <w:r w:rsidRPr="00507A31">
        <w:rPr>
          <w:color w:val="000000" w:themeColor="text1"/>
          <w:sz w:val="16"/>
          <w:szCs w:val="16"/>
        </w:rPr>
        <w:t>Академики:</w:t>
      </w:r>
    </w:p>
    <w:tbl>
      <w:tblPr>
        <w:tblW w:w="0" w:type="auto"/>
        <w:tblCellMar>
          <w:top w:w="15" w:type="dxa"/>
          <w:left w:w="15" w:type="dxa"/>
          <w:bottom w:w="15" w:type="dxa"/>
          <w:right w:w="15" w:type="dxa"/>
        </w:tblCellMar>
        <w:tblLook w:val="04A0" w:firstRow="1" w:lastRow="0" w:firstColumn="1" w:lastColumn="0" w:noHBand="0" w:noVBand="1"/>
      </w:tblPr>
      <w:tblGrid>
        <w:gridCol w:w="1488"/>
        <w:gridCol w:w="1491"/>
      </w:tblGrid>
      <w:tr w:rsidR="00E371BA" w:rsidRPr="00507A31" w14:paraId="7E296DD5" w14:textId="77777777" w:rsidTr="00DE6527">
        <w:tc>
          <w:tcPr>
            <w:tcW w:w="0" w:type="auto"/>
            <w:vAlign w:val="center"/>
            <w:hideMark/>
          </w:tcPr>
          <w:p w14:paraId="31264A5A" w14:textId="77777777" w:rsidR="00E8749C" w:rsidRPr="00507A31" w:rsidRDefault="00E8749C" w:rsidP="00507A31">
            <w:pPr>
              <w:jc w:val="both"/>
              <w:rPr>
                <w:color w:val="000000" w:themeColor="text1"/>
                <w:sz w:val="16"/>
                <w:szCs w:val="16"/>
              </w:rPr>
            </w:pPr>
            <w:r w:rsidRPr="00507A31">
              <w:rPr>
                <w:color w:val="000000" w:themeColor="text1"/>
                <w:sz w:val="16"/>
                <w:szCs w:val="16"/>
              </w:rPr>
              <w:t>B. М. Алексеев</w:t>
            </w:r>
          </w:p>
          <w:p w14:paraId="24FF3A8F" w14:textId="77777777" w:rsidR="00E8749C" w:rsidRPr="00507A31" w:rsidRDefault="00E8749C" w:rsidP="00507A31">
            <w:pPr>
              <w:jc w:val="both"/>
              <w:rPr>
                <w:color w:val="000000" w:themeColor="text1"/>
                <w:sz w:val="16"/>
                <w:szCs w:val="16"/>
              </w:rPr>
            </w:pPr>
            <w:r w:rsidRPr="00507A31">
              <w:rPr>
                <w:color w:val="000000" w:themeColor="text1"/>
                <w:sz w:val="16"/>
                <w:szCs w:val="16"/>
              </w:rPr>
              <w:t>C. Ф. Ольденбург </w:t>
            </w:r>
          </w:p>
          <w:p w14:paraId="6E764DF2" w14:textId="77777777" w:rsidR="00E8749C" w:rsidRPr="00507A31" w:rsidRDefault="00E8749C" w:rsidP="00507A31">
            <w:pPr>
              <w:jc w:val="both"/>
              <w:rPr>
                <w:color w:val="000000" w:themeColor="text1"/>
                <w:sz w:val="16"/>
                <w:szCs w:val="16"/>
              </w:rPr>
            </w:pPr>
            <w:r w:rsidRPr="00507A31">
              <w:rPr>
                <w:color w:val="000000" w:themeColor="text1"/>
                <w:sz w:val="16"/>
                <w:szCs w:val="16"/>
              </w:rPr>
              <w:t>Б. Я. Владимирцов</w:t>
            </w:r>
          </w:p>
          <w:p w14:paraId="4B99407D" w14:textId="77777777" w:rsidR="00E8749C" w:rsidRPr="00507A31" w:rsidRDefault="00E8749C" w:rsidP="00507A31">
            <w:pPr>
              <w:jc w:val="both"/>
              <w:rPr>
                <w:color w:val="000000" w:themeColor="text1"/>
                <w:sz w:val="16"/>
                <w:szCs w:val="16"/>
              </w:rPr>
            </w:pPr>
            <w:r w:rsidRPr="00507A31">
              <w:rPr>
                <w:color w:val="000000" w:themeColor="text1"/>
                <w:sz w:val="16"/>
                <w:szCs w:val="16"/>
              </w:rPr>
              <w:t>B. Н. Перетц</w:t>
            </w:r>
          </w:p>
          <w:p w14:paraId="514BD3C0" w14:textId="77777777" w:rsidR="00E8749C" w:rsidRPr="00507A31" w:rsidRDefault="00E8749C" w:rsidP="00507A31">
            <w:pPr>
              <w:jc w:val="both"/>
              <w:rPr>
                <w:color w:val="000000" w:themeColor="text1"/>
                <w:sz w:val="16"/>
                <w:szCs w:val="16"/>
              </w:rPr>
            </w:pPr>
            <w:r w:rsidRPr="00507A31">
              <w:rPr>
                <w:color w:val="000000" w:themeColor="text1"/>
                <w:sz w:val="16"/>
                <w:szCs w:val="16"/>
              </w:rPr>
              <w:t>C. А. Жебелев</w:t>
            </w:r>
          </w:p>
          <w:p w14:paraId="65074C82" w14:textId="77777777" w:rsidR="00E8749C" w:rsidRPr="00507A31" w:rsidRDefault="00E8749C" w:rsidP="00507A31">
            <w:pPr>
              <w:jc w:val="both"/>
              <w:rPr>
                <w:color w:val="000000" w:themeColor="text1"/>
                <w:sz w:val="16"/>
                <w:szCs w:val="16"/>
              </w:rPr>
            </w:pPr>
            <w:r w:rsidRPr="00507A31">
              <w:rPr>
                <w:color w:val="000000" w:themeColor="text1"/>
                <w:sz w:val="16"/>
                <w:szCs w:val="16"/>
              </w:rPr>
              <w:t>Д. М. Петрушевский </w:t>
            </w:r>
          </w:p>
          <w:p w14:paraId="640EF64F" w14:textId="77777777" w:rsidR="00E8749C" w:rsidRPr="00507A31" w:rsidRDefault="00E8749C" w:rsidP="00507A31">
            <w:pPr>
              <w:jc w:val="both"/>
              <w:rPr>
                <w:color w:val="000000" w:themeColor="text1"/>
                <w:sz w:val="16"/>
                <w:szCs w:val="16"/>
              </w:rPr>
            </w:pPr>
            <w:r w:rsidRPr="00507A31">
              <w:rPr>
                <w:color w:val="000000" w:themeColor="text1"/>
                <w:sz w:val="16"/>
                <w:szCs w:val="16"/>
              </w:rPr>
              <w:t>М. Ю. Крачковский </w:t>
            </w:r>
          </w:p>
          <w:p w14:paraId="2D0C21CC" w14:textId="77777777" w:rsidR="00E8749C" w:rsidRPr="00507A31" w:rsidRDefault="00E8749C" w:rsidP="00507A31">
            <w:pPr>
              <w:jc w:val="both"/>
              <w:rPr>
                <w:color w:val="000000" w:themeColor="text1"/>
                <w:sz w:val="16"/>
                <w:szCs w:val="16"/>
              </w:rPr>
            </w:pPr>
          </w:p>
        </w:tc>
        <w:tc>
          <w:tcPr>
            <w:tcW w:w="0" w:type="auto"/>
            <w:vAlign w:val="center"/>
            <w:hideMark/>
          </w:tcPr>
          <w:p w14:paraId="45795491" w14:textId="77777777" w:rsidR="00E8749C" w:rsidRPr="00507A31" w:rsidRDefault="00E8749C" w:rsidP="00507A31">
            <w:pPr>
              <w:jc w:val="both"/>
              <w:rPr>
                <w:color w:val="000000" w:themeColor="text1"/>
                <w:sz w:val="16"/>
                <w:szCs w:val="16"/>
              </w:rPr>
            </w:pPr>
            <w:r w:rsidRPr="00507A31">
              <w:rPr>
                <w:color w:val="000000" w:themeColor="text1"/>
                <w:sz w:val="16"/>
                <w:szCs w:val="16"/>
              </w:rPr>
              <w:t>А. Н. Самойлович </w:t>
            </w:r>
          </w:p>
          <w:p w14:paraId="5AAE2720" w14:textId="77777777" w:rsidR="00E8749C" w:rsidRPr="00507A31" w:rsidRDefault="00E8749C" w:rsidP="00507A31">
            <w:pPr>
              <w:jc w:val="both"/>
              <w:rPr>
                <w:color w:val="000000" w:themeColor="text1"/>
                <w:sz w:val="16"/>
                <w:szCs w:val="16"/>
              </w:rPr>
            </w:pPr>
            <w:r w:rsidRPr="00507A31">
              <w:rPr>
                <w:color w:val="000000" w:themeColor="text1"/>
                <w:sz w:val="16"/>
                <w:szCs w:val="16"/>
              </w:rPr>
              <w:t>Н. М. Лукин </w:t>
            </w:r>
          </w:p>
          <w:p w14:paraId="661FD868" w14:textId="77777777" w:rsidR="00E8749C" w:rsidRPr="00507A31" w:rsidRDefault="00E8749C" w:rsidP="00507A31">
            <w:pPr>
              <w:jc w:val="both"/>
              <w:rPr>
                <w:color w:val="000000" w:themeColor="text1"/>
                <w:sz w:val="16"/>
                <w:szCs w:val="16"/>
              </w:rPr>
            </w:pPr>
            <w:r w:rsidRPr="00507A31">
              <w:rPr>
                <w:color w:val="000000" w:themeColor="text1"/>
                <w:sz w:val="16"/>
                <w:szCs w:val="16"/>
              </w:rPr>
              <w:t>С. И. Солнцев </w:t>
            </w:r>
          </w:p>
          <w:p w14:paraId="6EBDE931" w14:textId="77777777" w:rsidR="00E8749C" w:rsidRPr="00507A31" w:rsidRDefault="00E8749C" w:rsidP="00507A31">
            <w:pPr>
              <w:jc w:val="both"/>
              <w:rPr>
                <w:color w:val="000000" w:themeColor="text1"/>
                <w:sz w:val="16"/>
                <w:szCs w:val="16"/>
              </w:rPr>
            </w:pPr>
            <w:r w:rsidRPr="00507A31">
              <w:rPr>
                <w:color w:val="000000" w:themeColor="text1"/>
                <w:sz w:val="16"/>
                <w:szCs w:val="16"/>
              </w:rPr>
              <w:t>Н. Н. Лузин </w:t>
            </w:r>
          </w:p>
          <w:p w14:paraId="06A7EDB9" w14:textId="77777777" w:rsidR="00E8749C" w:rsidRPr="00507A31" w:rsidRDefault="00E8749C" w:rsidP="00507A31">
            <w:pPr>
              <w:jc w:val="both"/>
              <w:rPr>
                <w:color w:val="000000" w:themeColor="text1"/>
                <w:sz w:val="16"/>
                <w:szCs w:val="16"/>
              </w:rPr>
            </w:pPr>
            <w:r w:rsidRPr="00507A31">
              <w:rPr>
                <w:color w:val="000000" w:themeColor="text1"/>
                <w:sz w:val="16"/>
                <w:szCs w:val="16"/>
              </w:rPr>
              <w:t>Ф. И. Щербаковский </w:t>
            </w:r>
          </w:p>
          <w:p w14:paraId="73577B7D" w14:textId="77777777" w:rsidR="00E8749C" w:rsidRPr="00507A31" w:rsidRDefault="00E8749C" w:rsidP="00507A31">
            <w:pPr>
              <w:jc w:val="both"/>
              <w:rPr>
                <w:color w:val="000000" w:themeColor="text1"/>
                <w:sz w:val="16"/>
                <w:szCs w:val="16"/>
              </w:rPr>
            </w:pPr>
            <w:r w:rsidRPr="00507A31">
              <w:rPr>
                <w:color w:val="000000" w:themeColor="text1"/>
                <w:sz w:val="16"/>
                <w:szCs w:val="16"/>
              </w:rPr>
              <w:t>Н. К. Никольский</w:t>
            </w:r>
          </w:p>
        </w:tc>
      </w:tr>
    </w:tbl>
    <w:p w14:paraId="1667754C" w14:textId="77777777" w:rsidR="00E8749C" w:rsidRPr="00507A31" w:rsidRDefault="00E8749C" w:rsidP="00507A31">
      <w:pPr>
        <w:pStyle w:val="ae"/>
        <w:spacing w:before="0" w:after="0"/>
        <w:jc w:val="both"/>
        <w:rPr>
          <w:color w:val="000000" w:themeColor="text1"/>
          <w:sz w:val="16"/>
          <w:szCs w:val="16"/>
        </w:rPr>
      </w:pPr>
      <w:r w:rsidRPr="00507A31">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3. С. 1-2 (Данный выпуск бюллетеня был напечатан и полностью разослан до 18 декабря 1930 г. ГА РФ. Р-5283. On. 1.Д. 139. Л. 76, 84.)</w:t>
      </w:r>
    </w:p>
    <w:p w14:paraId="1A0BB443" w14:textId="77777777" w:rsidR="00E8749C" w:rsidRPr="00507A31" w:rsidRDefault="00E8749C" w:rsidP="00507A31">
      <w:pPr>
        <w:pStyle w:val="ae"/>
        <w:spacing w:before="0" w:after="0"/>
        <w:jc w:val="both"/>
        <w:rPr>
          <w:color w:val="000000" w:themeColor="text1"/>
          <w:sz w:val="16"/>
          <w:szCs w:val="16"/>
        </w:rPr>
      </w:pPr>
      <w:r w:rsidRPr="00507A31">
        <w:rPr>
          <w:rStyle w:val="af0"/>
          <w:i w:val="0"/>
          <w:color w:val="000000" w:themeColor="text1"/>
          <w:sz w:val="16"/>
          <w:szCs w:val="16"/>
        </w:rPr>
        <w:t>Опубликовано: Соболев В. С. Академия и власть // Вестник РАН. 1998. Т. 68. №2. С. 182 (18955).</w:t>
      </w:r>
    </w:p>
    <w:p w14:paraId="4E0F2509" w14:textId="77777777" w:rsidR="00E8749C" w:rsidRPr="00507A31" w:rsidRDefault="00E8749C" w:rsidP="00507A31">
      <w:pPr>
        <w:jc w:val="both"/>
        <w:rPr>
          <w:color w:val="000000" w:themeColor="text1"/>
          <w:sz w:val="16"/>
          <w:szCs w:val="16"/>
        </w:rPr>
      </w:pPr>
    </w:p>
    <w:p w14:paraId="360CBB0A" w14:textId="77777777" w:rsidR="0060292F" w:rsidRPr="00507A31" w:rsidRDefault="0060292F"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1703046" w14:textId="77777777" w:rsidR="0060292F" w:rsidRPr="00507A31" w:rsidRDefault="0060292F" w:rsidP="00507A31">
      <w:pPr>
        <w:autoSpaceDE w:val="0"/>
        <w:autoSpaceDN w:val="0"/>
        <w:adjustRightInd w:val="0"/>
        <w:jc w:val="both"/>
        <w:rPr>
          <w:iCs/>
          <w:color w:val="000000" w:themeColor="text1"/>
          <w:sz w:val="16"/>
          <w:szCs w:val="16"/>
        </w:rPr>
      </w:pPr>
    </w:p>
    <w:p w14:paraId="67F8A566" w14:textId="77777777" w:rsidR="0060292F" w:rsidRPr="00507A31" w:rsidRDefault="0060292F" w:rsidP="00507A31">
      <w:pPr>
        <w:jc w:val="both"/>
        <w:rPr>
          <w:bCs/>
          <w:color w:val="000000" w:themeColor="text1"/>
          <w:sz w:val="16"/>
          <w:szCs w:val="16"/>
        </w:rPr>
      </w:pPr>
      <w:r w:rsidRPr="00507A31">
        <w:rPr>
          <w:color w:val="000000" w:themeColor="text1"/>
          <w:sz w:val="16"/>
          <w:szCs w:val="16"/>
        </w:rPr>
        <w:t>30 ноября 1930 г.</w:t>
      </w:r>
    </w:p>
    <w:p w14:paraId="48EE2E31" w14:textId="77777777" w:rsidR="0060292F" w:rsidRPr="00507A31" w:rsidRDefault="0060292F" w:rsidP="00507A31">
      <w:pPr>
        <w:jc w:val="both"/>
        <w:rPr>
          <w:bCs/>
          <w:color w:val="000000" w:themeColor="text1"/>
          <w:sz w:val="16"/>
          <w:szCs w:val="16"/>
        </w:rPr>
      </w:pPr>
      <w:r w:rsidRPr="00507A31">
        <w:rPr>
          <w:color w:val="000000" w:themeColor="text1"/>
          <w:sz w:val="16"/>
          <w:szCs w:val="16"/>
        </w:rPr>
        <w:t>Из «дневника тов. Подольского» об особенностях работы зарубежных корреспондентов по освещению процесса от 30 ноября 1930 г.</w:t>
      </w:r>
    </w:p>
    <w:p w14:paraId="746EFC78"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60D86C4C"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9BF7E3E"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Архив: </w:t>
      </w:r>
    </w:p>
    <w:p w14:paraId="725AFA2B" w14:textId="77777777" w:rsidR="0060292F" w:rsidRPr="00507A31" w:rsidRDefault="0060292F" w:rsidP="00507A31">
      <w:pPr>
        <w:jc w:val="both"/>
        <w:rPr>
          <w:color w:val="000000" w:themeColor="text1"/>
          <w:sz w:val="16"/>
          <w:szCs w:val="16"/>
        </w:rPr>
      </w:pPr>
      <w:r w:rsidRPr="00507A31">
        <w:rPr>
          <w:color w:val="000000" w:themeColor="text1"/>
          <w:sz w:val="16"/>
          <w:szCs w:val="16"/>
        </w:rPr>
        <w:t>АВП РФ. Ф. 0136. On. 14. П. 140. Д. 593. Л. 153</w:t>
      </w:r>
    </w:p>
    <w:p w14:paraId="273C482C"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от 30 ноября 1930 г.</w:t>
      </w:r>
    </w:p>
    <w:p w14:paraId="4EA97FE6"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579C7212"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ДНЕВНИК тов. ПОДОЛЬСКОГО</w:t>
      </w:r>
    </w:p>
    <w:p w14:paraId="27D0FC60"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от 30-го ноября 1930 г.</w:t>
      </w:r>
    </w:p>
    <w:p w14:paraId="176EAE9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 xml:space="preserve">1). Если оставить в стороне Чоллертона, инкоры пишут о процессе в общем лучше, чем можно было ожидать. Дюранти и Фишер пишут почти в предельно благоприятном нам для буржуазного кор[респонден] та духе. Лайонс, все еще переживающий сладость интервью с т. Сталиным, лишь время от времени сбивается в сенсационность с «живыми трупами» и восторгами, перед мужеством подсудимых и т. д. Юст дал одну большую телеграмму с объективной оценкой внешнеполитического значения процесса. К процессу, как к таковому, и его значению в экономике СССР он, как и Баум, относится скептически, но оба они очень легко уступают цензурному давлению. Бассекес послал пока одну телеграмму, где наряду с резкостями, довольно безболезненно устраненными, — дал ряд очень полезных для нас констатаций. Юбенк и Дойс вначале будировали, отчасти завидуя успеху Лайонса, и пробовали писать всякие гадости, которые старательно вымарывались цензурой. Под давлением цензуры, в результате нескольких разговоров в духе приводящегося ниже, они несколько поуспокоились и посылают удовлетворительную информацию. Один из них пишет много, другой (Дойс) мало, но это вызвано не личным отношением, а инструкциями их европейских бюро. Подробно и в общем сочувственно реферирует Вууд, написавший, между прочим, в одной из последних телеграмм, что на закрытом заседании будут, по[-]видимому, </w:t>
      </w:r>
      <w:r w:rsidRPr="00507A31">
        <w:rPr>
          <w:color w:val="000000" w:themeColor="text1"/>
          <w:sz w:val="16"/>
          <w:szCs w:val="16"/>
        </w:rPr>
        <w:lastRenderedPageBreak/>
        <w:t>оглашены документы, доказывающие наличность французских и прочих интервенционистских планов. Вендров изредка, но очень умело, освещает процесс с еврейской точки зрения — смотри его разговоры в кулуарах и возглас мифического еврея, тут же якобы заснятого фотографами, о недосказанных подготовлениях к погромам со стороны промпартии. Таба телеграфирует в Японию и Грамматикопуло в Грецию по нашим газетным отчетам.</w:t>
      </w:r>
    </w:p>
    <w:p w14:paraId="0C2BB34A"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153. Машинописная копия того времени. Гриф секретности от руки вверху справа. Вверху рукописные делопроизводственные пометы «Исх. [№] 7338[,] 30/ХII-30 г.]», «вх. [№] 2255[,] 30/XI-30[г.]»; здесь же штамп Секретного архива НКИД СССР (3-й Западный отдел) с вписанной от руки датой «30/ХI-30 г.» (18817).</w:t>
      </w:r>
    </w:p>
    <w:p w14:paraId="0389E3B8" w14:textId="77777777" w:rsidR="0060292F" w:rsidRPr="00507A31" w:rsidRDefault="0060292F" w:rsidP="00507A31">
      <w:pPr>
        <w:jc w:val="both"/>
        <w:rPr>
          <w:color w:val="000000" w:themeColor="text1"/>
          <w:sz w:val="16"/>
          <w:szCs w:val="16"/>
        </w:rPr>
      </w:pPr>
    </w:p>
    <w:p w14:paraId="5BF1C868" w14:textId="77777777" w:rsidR="0060292F" w:rsidRPr="00507A31" w:rsidRDefault="0060292F" w:rsidP="00507A31">
      <w:pPr>
        <w:jc w:val="both"/>
        <w:rPr>
          <w:bCs/>
          <w:color w:val="000000" w:themeColor="text1"/>
          <w:sz w:val="16"/>
          <w:szCs w:val="16"/>
        </w:rPr>
      </w:pPr>
      <w:r w:rsidRPr="00507A31">
        <w:rPr>
          <w:color w:val="000000" w:themeColor="text1"/>
          <w:sz w:val="16"/>
          <w:szCs w:val="16"/>
        </w:rPr>
        <w:t>30 ноября 1930 г.</w:t>
      </w:r>
    </w:p>
    <w:p w14:paraId="65A23152" w14:textId="77777777" w:rsidR="0060292F" w:rsidRPr="00507A31" w:rsidRDefault="0060292F" w:rsidP="00507A31">
      <w:pPr>
        <w:jc w:val="both"/>
        <w:rPr>
          <w:bCs/>
          <w:color w:val="000000" w:themeColor="text1"/>
          <w:sz w:val="16"/>
          <w:szCs w:val="16"/>
        </w:rPr>
      </w:pPr>
      <w:r w:rsidRPr="00507A31">
        <w:rPr>
          <w:color w:val="000000" w:themeColor="text1"/>
          <w:sz w:val="16"/>
          <w:szCs w:val="16"/>
        </w:rPr>
        <w:t>Совещание ответственных работников ВОКС по обсуждению линии проведения зарубежной «ударной кампании». 30 ноября 1930 г.</w:t>
      </w:r>
    </w:p>
    <w:p w14:paraId="1A4AF414"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48825C36"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185F41"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Архив: </w:t>
      </w:r>
    </w:p>
    <w:p w14:paraId="5E0B2012" w14:textId="77777777" w:rsidR="0060292F" w:rsidRPr="00507A31" w:rsidRDefault="0060292F" w:rsidP="00507A31">
      <w:pPr>
        <w:jc w:val="both"/>
        <w:rPr>
          <w:color w:val="000000" w:themeColor="text1"/>
          <w:sz w:val="16"/>
          <w:szCs w:val="16"/>
        </w:rPr>
      </w:pPr>
      <w:r w:rsidRPr="00507A31">
        <w:rPr>
          <w:color w:val="000000" w:themeColor="text1"/>
          <w:sz w:val="16"/>
          <w:szCs w:val="16"/>
        </w:rPr>
        <w:t>ГА РФ. Ф. P-5283. On. 1. Д. 139. Л. 53</w:t>
      </w:r>
    </w:p>
    <w:p w14:paraId="6BDA3C1C"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30 ноября 1930 г.</w:t>
      </w:r>
    </w:p>
    <w:p w14:paraId="2E40FBC1"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ПРОТОКОЛ</w:t>
      </w:r>
    </w:p>
    <w:p w14:paraId="0E06DF14"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заседания Отдела Выставок, ОВС, Научно-Технического</w:t>
      </w:r>
    </w:p>
    <w:p w14:paraId="38A8AC14"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и художественного Секторов ВОКС по выработке мероприятий</w:t>
      </w:r>
    </w:p>
    <w:p w14:paraId="39DE3C61"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в связи с ударной кампанией ВОКС</w:t>
      </w:r>
    </w:p>
    <w:p w14:paraId="1DBF2929"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по интенсификации работы за рубежом</w:t>
      </w:r>
    </w:p>
    <w:p w14:paraId="499ACE27"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30.ХI.1930 г.</w:t>
      </w:r>
    </w:p>
    <w:p w14:paraId="52E39A3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Присутствовали: т.т. Богомазов, Брук, Белостоцкая, Шуман, Мильман, Ротенберг, Ильинская, Кравченко.</w:t>
      </w:r>
    </w:p>
    <w:p w14:paraId="00A006F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Председатель — Богомазов. Секретарь — Кравченко.</w:t>
      </w:r>
    </w:p>
    <w:p w14:paraId="163853E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СЛУШАЛИ.</w:t>
      </w:r>
    </w:p>
    <w:p w14:paraId="09F694E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План мероприятий по интенсификации работы ВОКС за рубежом в связи с проводимой ударной кампанией.</w:t>
      </w:r>
    </w:p>
    <w:p w14:paraId="53BBA07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ПОСТАНОВИЛИ.</w:t>
      </w:r>
    </w:p>
    <w:p w14:paraId="6009154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Принять следующий план работ (план прилагается).</w:t>
      </w:r>
    </w:p>
    <w:p w14:paraId="5781D43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СЛУШАЛИ.</w:t>
      </w:r>
    </w:p>
    <w:p w14:paraId="2AB79EF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Вопрос об использовании для работы ВОКС советских работников, находящихся в заграничных командировках.</w:t>
      </w:r>
    </w:p>
    <w:p w14:paraId="615976A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ПОСТАНОВИЛИ.</w:t>
      </w:r>
    </w:p>
    <w:p w14:paraId="40294B6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связи с желательностью использования для работы ВОКС советских работников, находящихся в заграничных командировках, считать необходимым участие представителя ВОКС в комиссиях, регулирующих вопросы выезда научных работников за границу.</w:t>
      </w:r>
    </w:p>
    <w:p w14:paraId="0B3F198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СЛУШАЛИ.</w:t>
      </w:r>
    </w:p>
    <w:p w14:paraId="0EC3C2E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Вопрос о снабжении библиотеками Обществ Сближения с СССР.</w:t>
      </w:r>
    </w:p>
    <w:p w14:paraId="07184CB2"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ПОСТАНОВИЛИ.</w:t>
      </w:r>
    </w:p>
    <w:p w14:paraId="4A42EE0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связи с поднятым вопросом констатировать, что получение рецензионных экз. книг в силу технических причин находится в катастрофическом состоянии. Просить администрацию ВОКС принять все меры к проведению этой работы, весьма способствующей информационной нашей деятельности за границей.</w:t>
      </w:r>
    </w:p>
    <w:p w14:paraId="04B35B1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Председатель (Богомазов)</w:t>
      </w:r>
    </w:p>
    <w:p w14:paraId="6FB955B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Секретарь (Кравченко)</w:t>
      </w:r>
    </w:p>
    <w:p w14:paraId="3419622F"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P-5283. On. 1. Д. 139. Л. 53. Машинописная копия того времени. На Л. 54-58 — «ПЛАН ПРОВЕДЕНИЯ КАМПАНИИ В СВЯЗИ С ПРОЦЕССОМ «ПРОМПАРТИИ» ПО ЛИНИИ НАУЧНОТЕХНИЧЕСКОГО И ХУДОЖЕСТВЕННОГО СЕКТОРОВ ВОКС». На Л. 54 вверху рукописная помета карандашом «окончательный» (18921).</w:t>
      </w:r>
    </w:p>
    <w:p w14:paraId="4CD87AB8" w14:textId="77777777" w:rsidR="0060292F" w:rsidRPr="00507A31" w:rsidRDefault="0060292F" w:rsidP="00507A31">
      <w:pPr>
        <w:jc w:val="both"/>
        <w:rPr>
          <w:color w:val="000000" w:themeColor="text1"/>
          <w:sz w:val="16"/>
          <w:szCs w:val="16"/>
        </w:rPr>
      </w:pPr>
    </w:p>
    <w:p w14:paraId="27E8AFEC" w14:textId="77777777" w:rsidR="0060292F" w:rsidRPr="00507A31" w:rsidRDefault="0060292F" w:rsidP="00507A31">
      <w:pPr>
        <w:jc w:val="both"/>
        <w:rPr>
          <w:bCs/>
          <w:color w:val="000000" w:themeColor="text1"/>
          <w:sz w:val="16"/>
          <w:szCs w:val="16"/>
        </w:rPr>
      </w:pPr>
      <w:r w:rsidRPr="00507A31">
        <w:rPr>
          <w:color w:val="000000" w:themeColor="text1"/>
          <w:sz w:val="16"/>
          <w:szCs w:val="16"/>
        </w:rPr>
        <w:t>30 ноября 1930 г.</w:t>
      </w:r>
    </w:p>
    <w:p w14:paraId="24B1CABA" w14:textId="77777777" w:rsidR="0060292F" w:rsidRPr="00507A31" w:rsidRDefault="0060292F"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об упоминаниях иностранных государственных деятелей и стран на процессе. 30 ноября 1930 г.</w:t>
      </w:r>
    </w:p>
    <w:p w14:paraId="53BAFAD1"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4734F513"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5AAA8E0"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30 ноября 1930 г.</w:t>
      </w:r>
    </w:p>
    <w:p w14:paraId="0F1D847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Входящая телеграмма (копия)</w:t>
      </w:r>
    </w:p>
    <w:p w14:paraId="7A6EF8E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Шифровальный отдел</w:t>
      </w:r>
    </w:p>
    <w:p w14:paraId="0E4FC0E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 679-680</w:t>
      </w:r>
    </w:p>
    <w:p w14:paraId="24A88263"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Москва, 30 ноября 1930, 15 ч.</w:t>
      </w:r>
    </w:p>
    <w:p w14:paraId="6F9EDE5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Получено: 30 ноября 1930, 14.50</w:t>
      </w:r>
    </w:p>
    <w:p w14:paraId="3CC4894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Ссылаюсь на Вашу телеграмму № 349.</w:t>
      </w:r>
    </w:p>
    <w:p w14:paraId="5AD3EC6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Благодарю Вас за то, что сообщили мне краткое содержание Вашей беседы с Довгалевским. Он сказал Вам, что советский суд принял решение рассматривать все международные вопросы, которые могут возникнуть, на заседаниях при закрытых дверях.</w:t>
      </w:r>
    </w:p>
    <w:p w14:paraId="0F21AD7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Довгалевский несомненно ссылался на слова председателя суда, о которых я сообщал в своих телеграммах № 666-667.</w:t>
      </w:r>
    </w:p>
    <w:p w14:paraId="1A08C451"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Чтобы позволить Вам оценить то, как выполняется данное решение председателем и судом, я ограничусь всего одной цитатой из допроса обвиняемого Ситнина (открытое вечернее заседание 27-го ноября), взятой из сегодняшнего выпуска «Известий». Таких примеров много. Обвиняемый сообщает о разговоре, который якобы состоялся у него за границей в 1928 году с русским эмигрантом Коноваловым:</w:t>
      </w:r>
    </w:p>
    <w:p w14:paraId="5D60043B"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«Он сообщил, что, так сказать, вожди “Торгпрома” (Рябушинский, Третьяков) были приняты одним очень видным политическим французским деятелем, который очень сочувственно отнесся...»</w:t>
      </w:r>
    </w:p>
    <w:p w14:paraId="478F3D1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Ситнин, кто же был этот видный деятель Франции?»</w:t>
      </w:r>
    </w:p>
    <w:p w14:paraId="5D27D6F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Ситнин. «Пуанкаре. ... Они были приняты Пуанкаре, и тот сообщил им, что его отношение к интервенции вполне сочувственное и что он надеется и уверен в том, что эта мысль встретит поддержку во Франции. На основании этой беседы с Пуанкаре “Торгпром” и считает, по словам Коновалова, что нужно надеяться на то, что интервенция должна произойти в 1930-1931 году. ... Что касается Англии, то он сказал, что при правительстве Макдональда нельзя надеяться на активную поддержку Англии, но в то же время он сказал, что, конечно, сочувственное отношение Англии обеспечено. Активное же вмешательство настолько уж не необходимо, поскольку обеспечено активное участие Франции, а через нее и активное участие окружающих нас мелких держав».</w:t>
      </w:r>
    </w:p>
    <w:p w14:paraId="5C6F0810"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Жан Эрбет</w:t>
      </w:r>
    </w:p>
    <w:p w14:paraId="2A954673"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99-100.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«30 нояб. 1930» и вписанным от руки номером о сдаче в архив «z 619-20 s/d5» (18758).</w:t>
      </w:r>
    </w:p>
    <w:p w14:paraId="3BBC6E30" w14:textId="77777777" w:rsidR="0060292F" w:rsidRPr="00507A31" w:rsidRDefault="0060292F" w:rsidP="00507A31">
      <w:pPr>
        <w:jc w:val="both"/>
        <w:rPr>
          <w:color w:val="000000" w:themeColor="text1"/>
          <w:sz w:val="16"/>
          <w:szCs w:val="16"/>
        </w:rPr>
      </w:pPr>
    </w:p>
    <w:p w14:paraId="46DBFB0F" w14:textId="77777777" w:rsidR="0060292F" w:rsidRPr="00507A31" w:rsidRDefault="0060292F" w:rsidP="00507A31">
      <w:pPr>
        <w:jc w:val="both"/>
        <w:rPr>
          <w:bCs/>
          <w:color w:val="000000" w:themeColor="text1"/>
          <w:sz w:val="16"/>
          <w:szCs w:val="16"/>
        </w:rPr>
      </w:pPr>
      <w:r w:rsidRPr="00507A31">
        <w:rPr>
          <w:color w:val="000000" w:themeColor="text1"/>
          <w:sz w:val="16"/>
          <w:szCs w:val="16"/>
        </w:rPr>
        <w:t>30 ноября 1930 г.</w:t>
      </w:r>
    </w:p>
    <w:p w14:paraId="003B3D34" w14:textId="77777777" w:rsidR="0060292F" w:rsidRPr="00507A31" w:rsidRDefault="0060292F"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протесте посла Великобритании в Москве. 30 ноября 1930 г.</w:t>
      </w:r>
    </w:p>
    <w:p w14:paraId="7BA7A3B1"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693FB928"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AF257F"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30 ноября 1930 г.</w:t>
      </w:r>
    </w:p>
    <w:p w14:paraId="763E5D8A"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Конфиденциально</w:t>
      </w:r>
    </w:p>
    <w:p w14:paraId="51976042"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375497D2"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Шифровальный отдел</w:t>
      </w:r>
    </w:p>
    <w:p w14:paraId="435136F2"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№681</w:t>
      </w:r>
    </w:p>
    <w:p w14:paraId="1DB5ABB9"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Москва, 30 ноября 1930, 22.50</w:t>
      </w:r>
    </w:p>
    <w:p w14:paraId="5D898876"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lastRenderedPageBreak/>
        <w:t>Получено: 30 ноября 1930, 22.20</w:t>
      </w:r>
    </w:p>
    <w:p w14:paraId="0044EFD0"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Посол Англии лично сообщил мне, что согласно инструкциям своего правительства он сегодня выразил устный протест против упоминания британского генерального штаба в обвинительном заключении. Это был протест против присутствия в советском официальном документе параграфа, который может создать неблагоприятное и ничем не обоснованное впечатление, наносящее ущерб английскому правительству.</w:t>
      </w:r>
    </w:p>
    <w:p w14:paraId="6FB0A2FA"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Жан Эрбет</w:t>
      </w:r>
    </w:p>
    <w:p w14:paraId="6669354C"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101.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«1 дек. 1930» и вписанным от руки номером о сдаче в архив «z 619-20 s/d5». Слева помета карандашом: «Лондон, Берлин, Варшава, Рим, Мадрид» (18760)</w:t>
      </w:r>
      <w:r w:rsidRPr="00507A31">
        <w:rPr>
          <w:color w:val="000000" w:themeColor="text1"/>
          <w:sz w:val="16"/>
          <w:szCs w:val="16"/>
        </w:rPr>
        <w:t>.</w:t>
      </w:r>
    </w:p>
    <w:p w14:paraId="6D2EA329" w14:textId="77777777" w:rsidR="0060292F" w:rsidRPr="00507A31" w:rsidRDefault="0060292F" w:rsidP="00507A31">
      <w:pPr>
        <w:jc w:val="both"/>
        <w:rPr>
          <w:color w:val="000000" w:themeColor="text1"/>
          <w:sz w:val="16"/>
          <w:szCs w:val="16"/>
        </w:rPr>
      </w:pPr>
    </w:p>
    <w:p w14:paraId="31365415" w14:textId="77777777" w:rsidR="0060292F" w:rsidRPr="00507A31" w:rsidRDefault="0060292F" w:rsidP="00507A31">
      <w:pPr>
        <w:jc w:val="both"/>
        <w:rPr>
          <w:bCs/>
          <w:color w:val="000000" w:themeColor="text1"/>
          <w:sz w:val="16"/>
          <w:szCs w:val="16"/>
        </w:rPr>
      </w:pPr>
      <w:r w:rsidRPr="00507A31">
        <w:rPr>
          <w:color w:val="000000" w:themeColor="text1"/>
          <w:sz w:val="16"/>
          <w:szCs w:val="16"/>
        </w:rPr>
        <w:t>30 ноября 1930 г.</w:t>
      </w:r>
    </w:p>
    <w:p w14:paraId="0C446A98" w14:textId="77777777" w:rsidR="0060292F" w:rsidRPr="00507A31" w:rsidRDefault="0060292F"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заседании 30 ноября по вопросу о связи «Промпартии» с «Торгпромом» и с французскими военными и правительственными кругами. 30 ноября 1930 г.</w:t>
      </w:r>
    </w:p>
    <w:p w14:paraId="37BA0F34"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77E60A64"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2989A0"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30 ноября 1930 г.</w:t>
      </w:r>
    </w:p>
    <w:p w14:paraId="07919D2A"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78470628"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Шифровальный отдел</w:t>
      </w:r>
    </w:p>
    <w:p w14:paraId="57C42BAF"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 683-685</w:t>
      </w:r>
    </w:p>
    <w:p w14:paraId="1BCCBBDB"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Москва, 30 ноября 1930, 22.57</w:t>
      </w:r>
    </w:p>
    <w:p w14:paraId="184F8DE3"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Получено: 30 ноября 1930, 22.20</w:t>
      </w:r>
    </w:p>
    <w:p w14:paraId="3F030253"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Процесс по обвинению в государственной измене</w:t>
      </w:r>
    </w:p>
    <w:p w14:paraId="717D013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Сегодня было два открытых судебных заседания. На них подсудимых допрашивали об их отношениях с французским генеральным штабом и с французским правительством. Их вел главный прокурор Крыленко. Его вопросы были, в частности, направлены на то, чтобы уточнить предполагаемые планы французского генерального штаба и характер тех мер, которые якобы были приняты, для того чтобы подготовить военную интервенцию в СССР. Снова был поднят вопрос о разговоре, в котором Пуанкаре якобы рекомендовал заниматься вредительством в СССР, чтобы облегчить успех интервенции.</w:t>
      </w:r>
    </w:p>
    <w:p w14:paraId="63A49DBA"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Заявления некоторых подсудимых подкрепили впечатление, что они играли роль подстрекателей, когда во время их поездок в Париж с 1927 года они просили военной поддержки и субсидий. Оба заседания подтверждают, что между обвинителями и обвиняемыми (которые, безусловно, находятся под влиянием сделанных им обещаний и угроз) установились отношения скорее сотрудничества, чем борьбы. Кажется, мы присутствуем при драме с заранее предопределенным сценарием.</w:t>
      </w:r>
    </w:p>
    <w:p w14:paraId="3D43E76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В последней части сегодняшнего вечернего заседания профессор Юровский, арестованный по делу другого политического заговора, но выступающий на суде в качестве свидетеля, заявил, что во время его разговора с Милюковым в Париже в 1928 году у него сложилось впечатление, что его собеседник состоял в тесных отношениях с французским министерством иностранных дел. Главный прокурор Крыленко сразу попросил уточнений об отношениях Милюкова с Кэ д’Орсэ, но Юровский был не в состоянии их предоставить (и не без оснований).</w:t>
      </w:r>
    </w:p>
    <w:p w14:paraId="711207E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После допросов и сегодняшних показаний главный прокурор заявил, что показания подсудимых подтвердили существование связей между московской «Промпартией» и французскими военными и правительственными кругами посредством «Торговой и промышленной партии» русских эмигрантов в Париже.</w:t>
      </w:r>
    </w:p>
    <w:p w14:paraId="5BC70C4D" w14:textId="77777777" w:rsidR="0060292F" w:rsidRPr="00507A31" w:rsidRDefault="0060292F" w:rsidP="00507A31">
      <w:pPr>
        <w:pStyle w:val="ae"/>
        <w:spacing w:before="0" w:after="0"/>
        <w:jc w:val="both"/>
        <w:rPr>
          <w:color w:val="000000" w:themeColor="text1"/>
          <w:sz w:val="16"/>
          <w:szCs w:val="16"/>
        </w:rPr>
      </w:pPr>
      <w:r w:rsidRPr="00507A31">
        <w:rPr>
          <w:color w:val="000000" w:themeColor="text1"/>
          <w:sz w:val="16"/>
          <w:szCs w:val="16"/>
        </w:rPr>
        <w:t>Жан Эрбет</w:t>
      </w:r>
    </w:p>
    <w:p w14:paraId="7E2FD3E4"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102-104. Машинописный текст телеграммы, полученный из шифровального отдела, копия того времени, подпись машинописью. Штампы Департамента политических и торговых дел с датой «1 дек. 1930» и вписанным от руки номером о сдаче в архив «z 619-20 S/VI5» на всех листах (18761).</w:t>
      </w:r>
    </w:p>
    <w:p w14:paraId="0BE0BD94" w14:textId="77777777" w:rsidR="0060292F" w:rsidRPr="00507A31" w:rsidRDefault="0060292F" w:rsidP="00507A31">
      <w:pPr>
        <w:jc w:val="both"/>
        <w:rPr>
          <w:color w:val="000000" w:themeColor="text1"/>
          <w:sz w:val="16"/>
          <w:szCs w:val="16"/>
        </w:rPr>
      </w:pPr>
    </w:p>
    <w:p w14:paraId="47D59209" w14:textId="77777777" w:rsidR="0060292F" w:rsidRPr="00507A31" w:rsidRDefault="0060292F" w:rsidP="00507A31">
      <w:pPr>
        <w:jc w:val="both"/>
        <w:rPr>
          <w:bCs/>
          <w:color w:val="000000" w:themeColor="text1"/>
          <w:sz w:val="16"/>
          <w:szCs w:val="16"/>
        </w:rPr>
      </w:pPr>
      <w:r w:rsidRPr="00507A31">
        <w:rPr>
          <w:color w:val="000000" w:themeColor="text1"/>
          <w:sz w:val="16"/>
          <w:szCs w:val="16"/>
        </w:rPr>
        <w:t>30 ноября 1930 г.</w:t>
      </w:r>
    </w:p>
    <w:p w14:paraId="675030BE" w14:textId="77777777" w:rsidR="0060292F" w:rsidRPr="00507A31" w:rsidRDefault="0060292F" w:rsidP="00507A31">
      <w:pPr>
        <w:jc w:val="both"/>
        <w:rPr>
          <w:bCs/>
          <w:color w:val="000000" w:themeColor="text1"/>
          <w:sz w:val="16"/>
          <w:szCs w:val="16"/>
        </w:rPr>
      </w:pPr>
      <w:r w:rsidRPr="00507A31">
        <w:rPr>
          <w:color w:val="000000" w:themeColor="text1"/>
          <w:sz w:val="16"/>
          <w:szCs w:val="16"/>
        </w:rPr>
        <w:t>Телеграмма министра иностранных дел Франции послу Франции в СССР Ж. Эрбету с запросом о проверке сведений о процессе, поступивших из Риги. 30 ноября 1930 г.</w:t>
      </w:r>
    </w:p>
    <w:p w14:paraId="0A6AE230" w14:textId="77777777" w:rsidR="0060292F" w:rsidRPr="00507A31" w:rsidRDefault="0060292F" w:rsidP="00507A31">
      <w:pPr>
        <w:jc w:val="both"/>
        <w:rPr>
          <w:bCs/>
          <w:color w:val="000000" w:themeColor="text1"/>
          <w:sz w:val="16"/>
          <w:szCs w:val="16"/>
        </w:rPr>
      </w:pPr>
      <w:r w:rsidRPr="00507A31">
        <w:rPr>
          <w:bCs/>
          <w:color w:val="000000" w:themeColor="text1"/>
          <w:sz w:val="16"/>
          <w:szCs w:val="16"/>
        </w:rPr>
        <w:t>Источник: </w:t>
      </w:r>
    </w:p>
    <w:p w14:paraId="4173F3E6" w14:textId="77777777" w:rsidR="0060292F" w:rsidRPr="00507A31" w:rsidRDefault="0060292F"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8609BB1" w14:textId="77777777" w:rsidR="0060292F" w:rsidRPr="00507A31" w:rsidRDefault="0060292F" w:rsidP="00507A31">
      <w:pPr>
        <w:pStyle w:val="rteright"/>
        <w:spacing w:before="0" w:after="0"/>
        <w:jc w:val="both"/>
        <w:rPr>
          <w:color w:val="000000" w:themeColor="text1"/>
          <w:sz w:val="16"/>
          <w:szCs w:val="16"/>
        </w:rPr>
      </w:pPr>
      <w:r w:rsidRPr="00507A31">
        <w:rPr>
          <w:color w:val="000000" w:themeColor="text1"/>
          <w:sz w:val="16"/>
          <w:szCs w:val="16"/>
        </w:rPr>
        <w:t>30 ноября 1930 г.</w:t>
      </w:r>
    </w:p>
    <w:p w14:paraId="4D41A6A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МИД</w:t>
      </w:r>
    </w:p>
    <w:p w14:paraId="6AA3F85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Политическое управление</w:t>
      </w:r>
    </w:p>
    <w:p w14:paraId="2F7BE67F"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Телеграмма № 354</w:t>
      </w:r>
    </w:p>
    <w:p w14:paraId="3F466064"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Министр иностранных дел в Москву</w:t>
      </w:r>
    </w:p>
    <w:p w14:paraId="09ECB665"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Телеграмма из Лондона передает новости из Риги, согласно которым</w:t>
      </w:r>
    </w:p>
    <w:p w14:paraId="591E00E7"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1. Ленсовет принял решение, что сразу после вынесения вердикта по политическому процессу на одной из площадей города соорудят виселицу, на которой повесят чучела Пуанкаре, Бриана, Черчилля и Детердинга.</w:t>
      </w:r>
    </w:p>
    <w:p w14:paraId="6F15914E"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2. Четыре места &lt;в зале суда&gt; оставлены незанятыми, так как они предназначаются для упомянутых выше лиц, которых рассматривают в качестве отсутствующих обвиняемых.</w:t>
      </w:r>
    </w:p>
    <w:p w14:paraId="2974530D"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Есть ли в этих сведениях что-либо соответствующее действительности?</w:t>
      </w:r>
    </w:p>
    <w:p w14:paraId="6EA2DAFC" w14:textId="77777777" w:rsidR="0060292F" w:rsidRPr="00507A31" w:rsidRDefault="0060292F" w:rsidP="00507A31">
      <w:pPr>
        <w:pStyle w:val="rtejustify"/>
        <w:spacing w:before="0" w:after="0"/>
        <w:rPr>
          <w:color w:val="000000" w:themeColor="text1"/>
          <w:sz w:val="16"/>
          <w:szCs w:val="16"/>
        </w:rPr>
      </w:pPr>
      <w:r w:rsidRPr="00507A31">
        <w:rPr>
          <w:color w:val="000000" w:themeColor="text1"/>
          <w:sz w:val="16"/>
          <w:szCs w:val="16"/>
        </w:rPr>
        <w:t>Б[риан]</w:t>
      </w:r>
    </w:p>
    <w:p w14:paraId="78B7D766" w14:textId="77777777" w:rsidR="0060292F" w:rsidRPr="00507A31" w:rsidRDefault="0060292F"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105. Рукописный подлинник, подпись-росчерк. Вверху справа штамп шифровального отдела с датой «30 нояб. 1930» и вписанным от руки временем «11ч 40», ниже штамп Департамента политических и торговых дел с вписанным от руки номером о сдаче в архив «z 619-20 s/d5», левее второй штамп шифровального отдела с надписью «отправлено и [согласовано]». Номер телеграммы вписан от руки. Датируется по штампу шифровального отдела (18762).</w:t>
      </w:r>
    </w:p>
    <w:p w14:paraId="3FCF6CF3" w14:textId="77777777" w:rsidR="0060292F" w:rsidRPr="00507A31" w:rsidRDefault="0060292F" w:rsidP="00507A31">
      <w:pPr>
        <w:jc w:val="both"/>
        <w:rPr>
          <w:color w:val="000000" w:themeColor="text1"/>
          <w:sz w:val="16"/>
          <w:szCs w:val="16"/>
        </w:rPr>
      </w:pPr>
    </w:p>
    <w:p w14:paraId="56E5FB49" w14:textId="77777777" w:rsidR="00AE569B" w:rsidRPr="00507A31" w:rsidRDefault="00AE569B"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FE60798" w14:textId="77777777" w:rsidR="00AE569B" w:rsidRPr="00507A31" w:rsidRDefault="00AE569B" w:rsidP="00507A31">
      <w:pPr>
        <w:autoSpaceDE w:val="0"/>
        <w:autoSpaceDN w:val="0"/>
        <w:adjustRightInd w:val="0"/>
        <w:jc w:val="both"/>
        <w:rPr>
          <w:iCs/>
          <w:color w:val="000000" w:themeColor="text1"/>
          <w:sz w:val="16"/>
          <w:szCs w:val="16"/>
        </w:rPr>
      </w:pPr>
    </w:p>
    <w:p w14:paraId="1F1360C1" w14:textId="77777777" w:rsidR="00AE569B" w:rsidRPr="00507A31" w:rsidRDefault="00AE569B" w:rsidP="00507A31">
      <w:pPr>
        <w:jc w:val="both"/>
        <w:rPr>
          <w:rFonts w:eastAsia="TimesNewRomanPSMT"/>
          <w:color w:val="0070C0"/>
          <w:sz w:val="16"/>
          <w:szCs w:val="16"/>
        </w:rPr>
      </w:pPr>
      <w:r w:rsidRPr="00507A31">
        <w:rPr>
          <w:color w:val="0070C0"/>
          <w:sz w:val="16"/>
          <w:szCs w:val="16"/>
        </w:rPr>
        <w:t>В конце ноября 1930 г. начальником ВОХИМУ Я. М. Фишманом в Технический штаб Начальника Вооружений РККА и НТК АУ было направлено письмо с просьбой о начале разработки 107-мм миномета типа 42-линейной американской химической мортиры Стокса. Будущее орудие должно было обладать весом 88,7 кг (в боевом положении) и обеспечивать максимальную дальность стрельбы 2 500 м. Разработать проект надлежало к 1 февраля 1931 г., изготовить опытный образец к 1 апреля и испытать – до 1 июня 1931 г. Разработка проекта должна была проводиться на основе материалов (описание и фотографии), имевшихся в IV Управлении Штаба РККА.368</w:t>
      </w:r>
    </w:p>
    <w:p w14:paraId="45737EEA" w14:textId="77777777" w:rsidR="00AE569B" w:rsidRPr="00507A31" w:rsidRDefault="00AE569B" w:rsidP="00507A31">
      <w:pPr>
        <w:jc w:val="both"/>
        <w:rPr>
          <w:rFonts w:eastAsia="TimesNewRomanPSMT"/>
          <w:color w:val="0070C0"/>
          <w:sz w:val="16"/>
          <w:szCs w:val="16"/>
        </w:rPr>
      </w:pPr>
      <w:r w:rsidRPr="00507A31">
        <w:rPr>
          <w:color w:val="0070C0"/>
          <w:sz w:val="16"/>
          <w:szCs w:val="16"/>
        </w:rPr>
        <w:t>В декабре 1930 г. материалы по 42-линейной мортире были направлены в АНИИ.369 Руководством военного ведомства этой работе придавалось большое значение: в течение января – февраля 1931 г. руководство ВОХИМУ неоднократно сообщало в АНИИ о настоятельных требованиях Начальника Вооружений РККА по форсированию выполнения проекта нарезного химического миномета типа американского и выполнении его в течение II квартала 1931 г., чтобы принять решение о вводе его на вооружение – предполагалось не позднее марта выдать заказ промышленности на изготовление опытной партии систем и боеприпасов к ним.370 (20074).</w:t>
      </w:r>
    </w:p>
    <w:p w14:paraId="7AD8B6B0" w14:textId="77777777" w:rsidR="00AE569B" w:rsidRPr="00507A31" w:rsidRDefault="00AE569B" w:rsidP="00507A31">
      <w:pPr>
        <w:autoSpaceDE w:val="0"/>
        <w:autoSpaceDN w:val="0"/>
        <w:adjustRightInd w:val="0"/>
        <w:jc w:val="both"/>
        <w:rPr>
          <w:color w:val="0070C0"/>
          <w:sz w:val="16"/>
          <w:szCs w:val="16"/>
        </w:rPr>
      </w:pPr>
    </w:p>
    <w:p w14:paraId="66E57C6A" w14:textId="77777777" w:rsidR="00AE569B" w:rsidRPr="00507A31" w:rsidRDefault="00AE569B" w:rsidP="00507A31">
      <w:pPr>
        <w:jc w:val="both"/>
        <w:rPr>
          <w:color w:val="0070C0"/>
          <w:sz w:val="16"/>
          <w:szCs w:val="16"/>
        </w:rPr>
      </w:pPr>
      <w:r w:rsidRPr="00507A31">
        <w:rPr>
          <w:color w:val="0070C0"/>
          <w:sz w:val="16"/>
          <w:szCs w:val="16"/>
        </w:rPr>
        <w:t>С конца ноября 1930 г. номенклатура работ группы «Д» увеличилась. В ноябре 1930 г. заместителем Народного комиссара по военным и морским делам (НКВМ) и председателем РВС И. П. Уборевичем было отдано распоряжение о передаче работ по проектированию газоминометов и боеприпасов к ним из ведения ВОХИМУ в АУ РККА (о проектировании химических минометов см. ниже).179 В результате централизации работ по проектированию всех систем минометов и газоминометов в АУ, к ноябрю 1930 г. под техническим наблюдением НТК АУ (II секции) находились из числа минометов - 11 опытных образцов, 2 образца в стадии выполнения опытного заказа, 2 образца, готовящихся к проектированию, а также 3 образца минометов ГДЛ и один образец системы Л. В. Курчевского. Добавившиеся к ним 20 (проектируемых и опытных) образцов газоминометов потребовали кадрового усиления II секции НТК АУ. Учитывая специфику проектирования средств доставки химического оружия, в штат АУ был переведен еще один инженер НТК ВОХИМУ - А. М. Талакин. Все работы по минометам и газоминометам были переданы для непосредственного исполнения в группу «Д» АНИИ. (20074)</w:t>
      </w:r>
    </w:p>
    <w:p w14:paraId="0CE2DFBA" w14:textId="77777777" w:rsidR="00AE569B" w:rsidRPr="00507A31" w:rsidRDefault="00AE569B" w:rsidP="00507A31">
      <w:pPr>
        <w:jc w:val="both"/>
        <w:rPr>
          <w:color w:val="0070C0"/>
          <w:sz w:val="16"/>
          <w:szCs w:val="16"/>
        </w:rPr>
      </w:pPr>
    </w:p>
    <w:p w14:paraId="413A8A69" w14:textId="41879608" w:rsidR="00D97B58" w:rsidRPr="00507A31" w:rsidRDefault="00D97B58" w:rsidP="00507A31">
      <w:pPr>
        <w:autoSpaceDE w:val="0"/>
        <w:autoSpaceDN w:val="0"/>
        <w:adjustRightInd w:val="0"/>
        <w:jc w:val="both"/>
        <w:rPr>
          <w:i/>
          <w:iCs/>
          <w:color w:val="000000" w:themeColor="text1"/>
          <w:sz w:val="16"/>
          <w:szCs w:val="16"/>
        </w:rPr>
      </w:pPr>
      <w:r w:rsidRPr="00507A31">
        <w:rPr>
          <w:i/>
          <w:iCs/>
          <w:color w:val="000000" w:themeColor="text1"/>
          <w:sz w:val="16"/>
          <w:szCs w:val="16"/>
        </w:rPr>
        <w:lastRenderedPageBreak/>
        <w:t>Армия:</w:t>
      </w:r>
    </w:p>
    <w:p w14:paraId="16C4C6C8" w14:textId="77777777" w:rsidR="00D97B58" w:rsidRPr="00507A31" w:rsidRDefault="00D97B58" w:rsidP="00507A31">
      <w:pPr>
        <w:autoSpaceDE w:val="0"/>
        <w:autoSpaceDN w:val="0"/>
        <w:adjustRightInd w:val="0"/>
        <w:jc w:val="both"/>
        <w:rPr>
          <w:i/>
          <w:iCs/>
          <w:color w:val="000000" w:themeColor="text1"/>
          <w:sz w:val="16"/>
          <w:szCs w:val="16"/>
        </w:rPr>
      </w:pPr>
    </w:p>
    <w:p w14:paraId="160AABD1" w14:textId="77777777" w:rsidR="00D97B58" w:rsidRPr="00507A31" w:rsidRDefault="00D97B58" w:rsidP="00507A31">
      <w:pPr>
        <w:shd w:val="clear" w:color="auto" w:fill="FFFFFF"/>
        <w:jc w:val="both"/>
        <w:rPr>
          <w:color w:val="0070C0"/>
          <w:sz w:val="16"/>
          <w:szCs w:val="16"/>
        </w:rPr>
      </w:pPr>
      <w:r w:rsidRPr="00507A31">
        <w:rPr>
          <w:color w:val="0070C0"/>
          <w:sz w:val="16"/>
          <w:szCs w:val="16"/>
        </w:rPr>
        <w:t>В конце ноября 1930 военное и политическое руководство подвело предварительные итоги проработки нового плана строительства вооруженных сил на конец пятилетки и их развертывания по варианту № 12. Сначала, по всей вероятности, они были обсуждены Сталиным с Уборевичем, Гамарником, Шапошниковым, Павлуновским п Мехоношиным 23 ноября. Дискуссия (тема которой в точности неизвестна) заняла три с половиной часа; наркомвоенмор (которого накануне Сталин демонстрировал американскому корреспонденту) участия в ней не принимал (Посетители кремлевского кабинета И. В. Сталина: Журналы (тетради) записи лиц, принятых первым генсеком, 1924-1953 гг. / Сост. А. В. Коротков и др. // ИА 1994. № 6. С. 25 (Далее - Посетители...). Пятью днями позже в НКВМ состоялось совещание с участием наркома Ворошилова, его заместителей (Гамарника, Уборсвича, Каменева), начальников УВМС и УВВС (Муклевича, Баранова), начальника Штаба РККА Шапошникова, начальника II Управления Штаба Венцова и начальника его I отдела Балакирева. Фактически это собрание являлось суженным заседанием Реввоенсовета Союза (отсутствовали лишь командующие войсками МВО и ЛВО, представители ВСНХ и ОГПУ); статус "совещания" повышал роль наркома в формулировании его итогов. Шапошников сделал доклад по привычно звучащему вопросу - "О строительстве вооруженных сил Союза на конец пятилетки", после чего развернулись четырехчасовые прения (Протокол совещания от 28.11.1930// РГВА. Ф. 40442. Оп. 1.Д. 153 Л. 53-54 об.). Протокол заседания не содержит прямого заявления об одобрении программы на ближайшие два-три гола - она, вероятно, никем и не оспаривалась. "Предварительные решения" по плану- строительства РККА сводились к следующему:</w:t>
      </w:r>
    </w:p>
    <w:p w14:paraId="326E3D81" w14:textId="77777777" w:rsidR="00D97B58" w:rsidRPr="00507A31" w:rsidRDefault="00D97B58" w:rsidP="00507A31">
      <w:pPr>
        <w:shd w:val="clear" w:color="auto" w:fill="FFFFFF"/>
        <w:jc w:val="both"/>
        <w:rPr>
          <w:color w:val="0070C0"/>
          <w:sz w:val="16"/>
          <w:szCs w:val="16"/>
        </w:rPr>
      </w:pPr>
      <w:r w:rsidRPr="00507A31">
        <w:rPr>
          <w:color w:val="0070C0"/>
          <w:sz w:val="16"/>
          <w:szCs w:val="16"/>
        </w:rPr>
        <w:t>а) "срок окончательного завершения всей программы удлинить, в соответствии с чем план заказов на 1933 г. учитывать полностью". Поскольку программа составлялась как вариант мобразвертывания, ее завершение прежде приурочивалось к моменту перехода на новое расписание 1 мая 1933 г. "Удлинение" сроков, продиктованное необходимостью "учета" заказов промышленности и на остающиеся семь месяцев 1933 г., означало ослабление темпов перевооружения, придавало программе большую реалистичность и одновременно делало ее неприменимой в качестве основы мобрасписания до весны 1934 г.;</w:t>
      </w:r>
    </w:p>
    <w:p w14:paraId="4A3A49C4" w14:textId="77777777" w:rsidR="00D97B58" w:rsidRPr="00507A31" w:rsidRDefault="00D97B58" w:rsidP="00507A31">
      <w:pPr>
        <w:shd w:val="clear" w:color="auto" w:fill="FFFFFF"/>
        <w:jc w:val="both"/>
        <w:rPr>
          <w:color w:val="0070C0"/>
          <w:sz w:val="16"/>
          <w:szCs w:val="16"/>
        </w:rPr>
      </w:pPr>
      <w:r w:rsidRPr="00507A31">
        <w:rPr>
          <w:color w:val="0070C0"/>
          <w:sz w:val="16"/>
          <w:szCs w:val="16"/>
        </w:rPr>
        <w:t>б) "весь план строительства армии в соответствии с материальным оснащением расчленить на этапы, точно рассчитав, что мы реально будем иметь по каждому году". За этим напоминанием стояла попытка наркома вновь акцентировать "cтpoгyю увязку готовности плана строительства армии с материальным ее оснащением" (Доклад Начальника Штаба Шапошникова и Начальника II Управления Штаба РККА Венцова Наркомвоенмору Ворошилову (проект), декабрь 1930 г. // Там же. Л. 29. Эти слова, составлявшие, согласно Венцову и Балакиреву, особый пункт указания наркома, Шапошников удалил из подготовленного II Управлением проекта доклада), превратив программу из набора показателей на 1933 г. в дсйствительный план поэтапного строительства РККА на военное и мирное время. Тем самым Штаб возвращали к неисполненному июньскому поручению - представить в РВСС и затем в пpавительство календарный план строительства РККА Эти этапы вчерне были намечены в связи с годовыми показателями на мобразвертывание (см. табл. 5):</w:t>
      </w:r>
    </w:p>
    <w:p w14:paraId="392CBE1E" w14:textId="77777777" w:rsidR="00D97B58" w:rsidRPr="00507A31" w:rsidRDefault="00D97B58" w:rsidP="00507A31">
      <w:pPr>
        <w:shd w:val="clear" w:color="auto" w:fill="FFFFFF"/>
        <w:jc w:val="both"/>
        <w:rPr>
          <w:color w:val="0070C0"/>
          <w:sz w:val="16"/>
          <w:szCs w:val="16"/>
        </w:rPr>
      </w:pPr>
      <w:r w:rsidRPr="00507A31">
        <w:rPr>
          <w:color w:val="0070C0"/>
          <w:sz w:val="16"/>
          <w:szCs w:val="16"/>
        </w:rPr>
        <w:t>ТАБЛИЦА 5</w:t>
      </w:r>
    </w:p>
    <w:p w14:paraId="04865D8B" w14:textId="77777777" w:rsidR="00D97B58" w:rsidRPr="00507A31" w:rsidRDefault="00D97B58" w:rsidP="00507A31">
      <w:pPr>
        <w:shd w:val="clear" w:color="auto" w:fill="FFFFFF"/>
        <w:jc w:val="both"/>
        <w:rPr>
          <w:color w:val="0070C0"/>
          <w:sz w:val="16"/>
          <w:szCs w:val="16"/>
        </w:rPr>
      </w:pPr>
      <w:r w:rsidRPr="00507A31">
        <w:rPr>
          <w:color w:val="0070C0"/>
          <w:sz w:val="16"/>
          <w:szCs w:val="16"/>
        </w:rPr>
        <w:t>Плагируемое мобилизационное развертывание в 1931-1933 гг.</w:t>
      </w:r>
    </w:p>
    <w:p w14:paraId="31BF4C67" w14:textId="77777777" w:rsidR="00D97B58" w:rsidRPr="00507A31" w:rsidRDefault="00D97B58" w:rsidP="00507A31">
      <w:pPr>
        <w:shd w:val="clear" w:color="auto" w:fill="FFFFFF"/>
        <w:jc w:val="both"/>
        <w:rPr>
          <w:color w:val="0070C0"/>
          <w:sz w:val="16"/>
          <w:szCs w:val="16"/>
        </w:rPr>
      </w:pPr>
      <w:r w:rsidRPr="00507A31">
        <w:rPr>
          <w:color w:val="0070C0"/>
          <w:sz w:val="16"/>
          <w:szCs w:val="16"/>
        </w:rPr>
        <w:t>Срок готовности</w:t>
      </w:r>
      <w:r w:rsidRPr="00507A31">
        <w:rPr>
          <w:color w:val="0070C0"/>
          <w:sz w:val="16"/>
          <w:szCs w:val="16"/>
        </w:rPr>
        <w:tab/>
        <w:t>Стрелковые дивизии 1-й очереди</w:t>
      </w:r>
      <w:r w:rsidRPr="00507A31">
        <w:rPr>
          <w:color w:val="0070C0"/>
          <w:sz w:val="16"/>
          <w:szCs w:val="16"/>
        </w:rPr>
        <w:tab/>
        <w:t>Стрелковые дивизии 2-й очереди</w:t>
      </w:r>
      <w:r w:rsidRPr="00507A31">
        <w:rPr>
          <w:color w:val="0070C0"/>
          <w:sz w:val="16"/>
          <w:szCs w:val="16"/>
        </w:rPr>
        <w:tab/>
        <w:t>Стрелковые дивизии 3-й очереди</w:t>
      </w:r>
      <w:r w:rsidRPr="00507A31">
        <w:rPr>
          <w:color w:val="0070C0"/>
          <w:sz w:val="16"/>
          <w:szCs w:val="16"/>
        </w:rPr>
        <w:tab/>
        <w:t>Всего стрелковых дивизий 1.2,3-й очереди</w:t>
      </w:r>
      <w:r w:rsidRPr="00507A31">
        <w:rPr>
          <w:color w:val="0070C0"/>
          <w:sz w:val="16"/>
          <w:szCs w:val="16"/>
        </w:rPr>
        <w:tab/>
        <w:t xml:space="preserve"> Стрелковые дивизии - новые формирования первого года войны</w:t>
      </w:r>
    </w:p>
    <w:p w14:paraId="12E2DA05" w14:textId="77777777" w:rsidR="00D97B58" w:rsidRPr="00507A31" w:rsidRDefault="00D97B58" w:rsidP="00507A31">
      <w:pPr>
        <w:shd w:val="clear" w:color="auto" w:fill="FFFFFF"/>
        <w:jc w:val="both"/>
        <w:rPr>
          <w:color w:val="0070C0"/>
          <w:sz w:val="16"/>
          <w:szCs w:val="16"/>
        </w:rPr>
      </w:pPr>
      <w:r w:rsidRPr="00507A31">
        <w:rPr>
          <w:color w:val="0070C0"/>
          <w:sz w:val="16"/>
          <w:szCs w:val="16"/>
        </w:rPr>
        <w:t>1 января 1932 г.</w:t>
      </w:r>
      <w:r w:rsidRPr="00507A31">
        <w:rPr>
          <w:color w:val="0070C0"/>
          <w:sz w:val="16"/>
          <w:szCs w:val="16"/>
        </w:rPr>
        <w:tab/>
        <w:t>75</w:t>
      </w:r>
      <w:r w:rsidRPr="00507A31">
        <w:rPr>
          <w:color w:val="0070C0"/>
          <w:sz w:val="16"/>
          <w:szCs w:val="16"/>
        </w:rPr>
        <w:tab/>
        <w:t>27</w:t>
      </w:r>
      <w:r w:rsidRPr="00507A31">
        <w:rPr>
          <w:color w:val="0070C0"/>
          <w:sz w:val="16"/>
          <w:szCs w:val="16"/>
        </w:rPr>
        <w:tab/>
        <w:t>20</w:t>
      </w:r>
      <w:r w:rsidRPr="00507A31">
        <w:rPr>
          <w:color w:val="0070C0"/>
          <w:sz w:val="16"/>
          <w:szCs w:val="16"/>
        </w:rPr>
        <w:tab/>
        <w:t>122</w:t>
      </w:r>
      <w:r w:rsidRPr="00507A31">
        <w:rPr>
          <w:color w:val="0070C0"/>
          <w:sz w:val="16"/>
          <w:szCs w:val="16"/>
        </w:rPr>
        <w:tab/>
        <w:t>18</w:t>
      </w:r>
    </w:p>
    <w:p w14:paraId="23D2BA0D" w14:textId="77777777" w:rsidR="00D97B58" w:rsidRPr="00507A31" w:rsidRDefault="00D97B58" w:rsidP="00507A31">
      <w:pPr>
        <w:shd w:val="clear" w:color="auto" w:fill="FFFFFF"/>
        <w:jc w:val="both"/>
        <w:rPr>
          <w:color w:val="0070C0"/>
          <w:sz w:val="16"/>
          <w:szCs w:val="16"/>
        </w:rPr>
      </w:pPr>
      <w:r w:rsidRPr="00507A31">
        <w:rPr>
          <w:color w:val="0070C0"/>
          <w:sz w:val="16"/>
          <w:szCs w:val="16"/>
        </w:rPr>
        <w:t>1 января 1933 г.</w:t>
      </w:r>
      <w:r w:rsidRPr="00507A31">
        <w:rPr>
          <w:color w:val="0070C0"/>
          <w:sz w:val="16"/>
          <w:szCs w:val="16"/>
        </w:rPr>
        <w:tab/>
        <w:t>90(новой организации)</w:t>
      </w:r>
      <w:r w:rsidRPr="00507A31">
        <w:rPr>
          <w:color w:val="0070C0"/>
          <w:sz w:val="16"/>
          <w:szCs w:val="16"/>
        </w:rPr>
        <w:tab/>
        <w:t>30</w:t>
      </w:r>
      <w:r w:rsidRPr="00507A31">
        <w:rPr>
          <w:color w:val="0070C0"/>
          <w:sz w:val="16"/>
          <w:szCs w:val="16"/>
        </w:rPr>
        <w:tab/>
        <w:t>30</w:t>
      </w:r>
      <w:r w:rsidRPr="00507A31">
        <w:rPr>
          <w:color w:val="0070C0"/>
          <w:sz w:val="16"/>
          <w:szCs w:val="16"/>
        </w:rPr>
        <w:tab/>
        <w:t>150</w:t>
      </w:r>
      <w:r w:rsidRPr="00507A31">
        <w:rPr>
          <w:color w:val="0070C0"/>
          <w:sz w:val="16"/>
          <w:szCs w:val="16"/>
        </w:rPr>
        <w:tab/>
        <w:t>20</w:t>
      </w:r>
    </w:p>
    <w:p w14:paraId="66383C18" w14:textId="77777777" w:rsidR="00D97B58" w:rsidRPr="00507A31" w:rsidRDefault="00D97B58" w:rsidP="00507A31">
      <w:pPr>
        <w:shd w:val="clear" w:color="auto" w:fill="FFFFFF"/>
        <w:jc w:val="both"/>
        <w:rPr>
          <w:color w:val="0070C0"/>
          <w:sz w:val="16"/>
          <w:szCs w:val="16"/>
        </w:rPr>
      </w:pPr>
      <w:r w:rsidRPr="00507A31">
        <w:rPr>
          <w:color w:val="0070C0"/>
          <w:sz w:val="16"/>
          <w:szCs w:val="16"/>
        </w:rPr>
        <w:t xml:space="preserve">1 января 1934 г. </w:t>
      </w:r>
      <w:r w:rsidRPr="00507A31">
        <w:rPr>
          <w:color w:val="0070C0"/>
          <w:sz w:val="16"/>
          <w:szCs w:val="16"/>
        </w:rPr>
        <w:tab/>
        <w:t>111(100 нормальной организации, 11 горных)</w:t>
      </w:r>
      <w:r w:rsidRPr="00507A31">
        <w:rPr>
          <w:color w:val="0070C0"/>
          <w:sz w:val="16"/>
          <w:szCs w:val="16"/>
        </w:rPr>
        <w:tab/>
        <w:t>39</w:t>
      </w:r>
      <w:r w:rsidRPr="00507A31">
        <w:rPr>
          <w:color w:val="0070C0"/>
          <w:sz w:val="16"/>
          <w:szCs w:val="16"/>
        </w:rPr>
        <w:tab/>
        <w:t>150</w:t>
      </w:r>
      <w:r w:rsidRPr="00507A31">
        <w:rPr>
          <w:color w:val="0070C0"/>
          <w:sz w:val="16"/>
          <w:szCs w:val="16"/>
        </w:rPr>
        <w:tab/>
        <w:t>20</w:t>
      </w:r>
    </w:p>
    <w:p w14:paraId="1666477A" w14:textId="77777777" w:rsidR="00D97B58" w:rsidRPr="00507A31" w:rsidRDefault="00D97B58" w:rsidP="00507A31">
      <w:pPr>
        <w:shd w:val="clear" w:color="auto" w:fill="FFFFFF"/>
        <w:jc w:val="both"/>
        <w:rPr>
          <w:color w:val="0070C0"/>
          <w:sz w:val="16"/>
          <w:szCs w:val="16"/>
        </w:rPr>
      </w:pPr>
      <w:r w:rsidRPr="00507A31">
        <w:rPr>
          <w:color w:val="0070C0"/>
          <w:sz w:val="16"/>
          <w:szCs w:val="16"/>
        </w:rPr>
        <w:t>Размеры и номенклатуру вооружения по годам предстояло установить. По всей вероятности, совещание утвердило (без фиксирования в протоколе) сокращение числа артиллерийских орудий до 17-18 тыс., что придает осмысленность протокольной записи: "Taнковую и авиационную программу не сокращать, но число танкой и самолетов в строю иметь точно по каждому году".</w:t>
      </w:r>
    </w:p>
    <w:p w14:paraId="6CD0D63B" w14:textId="77777777" w:rsidR="00D97B58" w:rsidRPr="00507A31" w:rsidRDefault="00D97B58" w:rsidP="00507A31">
      <w:pPr>
        <w:shd w:val="clear" w:color="auto" w:fill="FFFFFF"/>
        <w:jc w:val="both"/>
        <w:rPr>
          <w:color w:val="0070C0"/>
          <w:sz w:val="16"/>
          <w:szCs w:val="16"/>
        </w:rPr>
      </w:pPr>
      <w:r w:rsidRPr="00507A31">
        <w:rPr>
          <w:color w:val="0070C0"/>
          <w:sz w:val="16"/>
          <w:szCs w:val="16"/>
        </w:rPr>
        <w:t>Эти решения свидетельствовали о стремлении руководителей НКВМ ослабить натиск сторонников всемерного ускорения перевооружения, хотя Ворошилов и его сторонники (в частности, Муклевич) вынуждены были вести себя крайне осторожно (22725).</w:t>
      </w:r>
    </w:p>
    <w:p w14:paraId="22B77724" w14:textId="77777777" w:rsidR="00D97B58" w:rsidRPr="00507A31" w:rsidRDefault="00D97B58" w:rsidP="00507A31">
      <w:pPr>
        <w:jc w:val="both"/>
        <w:rPr>
          <w:color w:val="0070C0"/>
          <w:sz w:val="16"/>
          <w:szCs w:val="16"/>
        </w:rPr>
      </w:pPr>
    </w:p>
    <w:p w14:paraId="13937AB9" w14:textId="7DDCB2D0" w:rsidR="003A73DA" w:rsidRPr="00507A31" w:rsidRDefault="003A73DA"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1BD7D9E2" w14:textId="77777777" w:rsidR="003A73DA" w:rsidRPr="00507A31" w:rsidRDefault="003A73DA" w:rsidP="00507A31">
      <w:pPr>
        <w:autoSpaceDE w:val="0"/>
        <w:autoSpaceDN w:val="0"/>
        <w:adjustRightInd w:val="0"/>
        <w:jc w:val="both"/>
        <w:rPr>
          <w:iCs/>
          <w:color w:val="000000" w:themeColor="text1"/>
          <w:sz w:val="16"/>
          <w:szCs w:val="16"/>
        </w:rPr>
      </w:pPr>
    </w:p>
    <w:p w14:paraId="42CE824D" w14:textId="77777777" w:rsidR="003A73DA" w:rsidRPr="00507A31" w:rsidRDefault="003A73DA" w:rsidP="00507A31">
      <w:pPr>
        <w:jc w:val="both"/>
        <w:rPr>
          <w:color w:val="000000" w:themeColor="text1"/>
          <w:sz w:val="16"/>
          <w:szCs w:val="16"/>
        </w:rPr>
      </w:pPr>
      <w:r w:rsidRPr="00507A31">
        <w:rPr>
          <w:color w:val="000000" w:themeColor="text1"/>
          <w:sz w:val="16"/>
          <w:szCs w:val="16"/>
        </w:rPr>
        <w:t>Конец ноября 1930 г.</w:t>
      </w:r>
    </w:p>
    <w:p w14:paraId="07699D97" w14:textId="77777777" w:rsidR="003A73DA" w:rsidRPr="00507A31" w:rsidRDefault="003A73DA" w:rsidP="00507A31">
      <w:pPr>
        <w:jc w:val="both"/>
        <w:rPr>
          <w:bCs/>
          <w:color w:val="000000" w:themeColor="text1"/>
          <w:sz w:val="16"/>
          <w:szCs w:val="16"/>
        </w:rPr>
      </w:pPr>
      <w:r w:rsidRPr="00507A31">
        <w:rPr>
          <w:color w:val="000000" w:themeColor="text1"/>
          <w:sz w:val="16"/>
          <w:szCs w:val="16"/>
        </w:rPr>
        <w:t>Митинг «советской трудовой интеллигенции» в Ленинграде. Из «Информационного бюллетеня ВОКС» № 3. Конец ноября 1930 г.</w:t>
      </w:r>
    </w:p>
    <w:p w14:paraId="79CF669E" w14:textId="77777777" w:rsidR="003A73DA" w:rsidRPr="00507A31" w:rsidRDefault="003A73DA" w:rsidP="00507A31">
      <w:pPr>
        <w:jc w:val="both"/>
        <w:rPr>
          <w:bCs/>
          <w:color w:val="000000" w:themeColor="text1"/>
          <w:sz w:val="16"/>
          <w:szCs w:val="16"/>
        </w:rPr>
      </w:pPr>
      <w:r w:rsidRPr="00507A31">
        <w:rPr>
          <w:bCs/>
          <w:color w:val="000000" w:themeColor="text1"/>
          <w:sz w:val="16"/>
          <w:szCs w:val="16"/>
        </w:rPr>
        <w:t>Источник: </w:t>
      </w:r>
    </w:p>
    <w:p w14:paraId="24A0C784" w14:textId="77777777" w:rsidR="003A73DA" w:rsidRPr="00507A31" w:rsidRDefault="003A73D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12E034" w14:textId="77777777" w:rsidR="003A73DA" w:rsidRPr="00507A31" w:rsidRDefault="003A73DA" w:rsidP="00507A31">
      <w:pPr>
        <w:jc w:val="both"/>
        <w:rPr>
          <w:bCs/>
          <w:color w:val="000000" w:themeColor="text1"/>
          <w:sz w:val="16"/>
          <w:szCs w:val="16"/>
        </w:rPr>
      </w:pPr>
      <w:r w:rsidRPr="00507A31">
        <w:rPr>
          <w:bCs/>
          <w:color w:val="000000" w:themeColor="text1"/>
          <w:sz w:val="16"/>
          <w:szCs w:val="16"/>
        </w:rPr>
        <w:t>Архив: </w:t>
      </w:r>
    </w:p>
    <w:p w14:paraId="3A300F25" w14:textId="77777777" w:rsidR="003A73DA" w:rsidRPr="00507A31" w:rsidRDefault="003A73DA" w:rsidP="00507A31">
      <w:pPr>
        <w:jc w:val="both"/>
        <w:rPr>
          <w:color w:val="000000" w:themeColor="text1"/>
          <w:sz w:val="16"/>
          <w:szCs w:val="16"/>
        </w:rPr>
      </w:pPr>
      <w:r w:rsidRPr="00507A31">
        <w:rPr>
          <w:color w:val="000000" w:themeColor="text1"/>
          <w:sz w:val="16"/>
          <w:szCs w:val="16"/>
        </w:rPr>
        <w:t>ГА РФ. P-5283. On. 1.Д. 139. Л. 76, 84</w:t>
      </w:r>
    </w:p>
    <w:p w14:paraId="60C1D9A1" w14:textId="77777777" w:rsidR="003A73DA" w:rsidRPr="00507A31" w:rsidRDefault="003A73DA" w:rsidP="00507A31">
      <w:pPr>
        <w:pStyle w:val="ae"/>
        <w:spacing w:before="0" w:after="0"/>
        <w:jc w:val="both"/>
        <w:rPr>
          <w:color w:val="000000" w:themeColor="text1"/>
          <w:sz w:val="16"/>
          <w:szCs w:val="16"/>
        </w:rPr>
      </w:pPr>
      <w:r w:rsidRPr="00507A31">
        <w:rPr>
          <w:color w:val="000000" w:themeColor="text1"/>
          <w:sz w:val="16"/>
          <w:szCs w:val="16"/>
        </w:rPr>
        <w:t>Конец ноября 1930 г.</w:t>
      </w:r>
    </w:p>
    <w:p w14:paraId="07C6D181" w14:textId="77777777" w:rsidR="003A73DA" w:rsidRPr="00507A31" w:rsidRDefault="003A73DA" w:rsidP="00507A31">
      <w:pPr>
        <w:pStyle w:val="ae"/>
        <w:spacing w:before="0" w:after="0"/>
        <w:jc w:val="both"/>
        <w:rPr>
          <w:color w:val="000000" w:themeColor="text1"/>
          <w:sz w:val="16"/>
          <w:szCs w:val="16"/>
        </w:rPr>
      </w:pPr>
      <w:r w:rsidRPr="00507A31">
        <w:rPr>
          <w:color w:val="000000" w:themeColor="text1"/>
          <w:sz w:val="16"/>
          <w:szCs w:val="16"/>
        </w:rPr>
        <w:t>«НАУКА И КУЛЬТУРА ВСЕГО МИРА ДОЛЖНЫ ВЫСТУПИТЬ</w:t>
      </w:r>
    </w:p>
    <w:p w14:paraId="715FF76F" w14:textId="77777777" w:rsidR="003A73DA" w:rsidRPr="00507A31" w:rsidRDefault="003A73DA" w:rsidP="00507A31">
      <w:pPr>
        <w:pStyle w:val="ae"/>
        <w:spacing w:before="0" w:after="0"/>
        <w:jc w:val="both"/>
        <w:rPr>
          <w:color w:val="000000" w:themeColor="text1"/>
          <w:sz w:val="16"/>
          <w:szCs w:val="16"/>
        </w:rPr>
      </w:pPr>
      <w:r w:rsidRPr="00507A31">
        <w:rPr>
          <w:color w:val="000000" w:themeColor="text1"/>
          <w:sz w:val="16"/>
          <w:szCs w:val="16"/>
        </w:rPr>
        <w:t>НА ЗАЩИТУ СССР ПРОТИВ ИНТЕРВЕНЦИИ, ПРОТИВ</w:t>
      </w:r>
    </w:p>
    <w:p w14:paraId="09A458A9" w14:textId="77777777" w:rsidR="003A73DA" w:rsidRPr="00507A31" w:rsidRDefault="003A73DA" w:rsidP="00507A31">
      <w:pPr>
        <w:pStyle w:val="ae"/>
        <w:spacing w:before="0" w:after="0"/>
        <w:jc w:val="both"/>
        <w:rPr>
          <w:color w:val="000000" w:themeColor="text1"/>
          <w:sz w:val="16"/>
          <w:szCs w:val="16"/>
        </w:rPr>
      </w:pPr>
      <w:r w:rsidRPr="00507A31">
        <w:rPr>
          <w:color w:val="000000" w:themeColor="text1"/>
          <w:sz w:val="16"/>
          <w:szCs w:val="16"/>
        </w:rPr>
        <w:t>ВТОРЖЕНИЯ ИМПЕРИАЛИСТОВ В МИРНУЮ</w:t>
      </w:r>
    </w:p>
    <w:p w14:paraId="00E9FE46" w14:textId="77777777" w:rsidR="003A73DA" w:rsidRPr="00507A31" w:rsidRDefault="003A73DA" w:rsidP="00507A31">
      <w:pPr>
        <w:pStyle w:val="ae"/>
        <w:spacing w:before="0" w:after="0"/>
        <w:jc w:val="both"/>
        <w:rPr>
          <w:color w:val="000000" w:themeColor="text1"/>
          <w:sz w:val="16"/>
          <w:szCs w:val="16"/>
        </w:rPr>
      </w:pPr>
      <w:r w:rsidRPr="00507A31">
        <w:rPr>
          <w:color w:val="000000" w:themeColor="text1"/>
          <w:sz w:val="16"/>
          <w:szCs w:val="16"/>
        </w:rPr>
        <w:t>СТРОИТЕЛЬНУЮ РАБОТУ ВЕЛИКОЙ СТРАНЫ»</w:t>
      </w:r>
    </w:p>
    <w:p w14:paraId="2BCC83B8"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Под таким лозунгом прошел в Ленинграде многотысячный митинг советской трудовой интеллигенции. На митинге выступили виднейшие советские ученые, писатели, артисты, а также иностранные специалисты, работающие в СССР.</w:t>
      </w:r>
    </w:p>
    <w:p w14:paraId="5FE5FDD7"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РЕЧЬ АКАДЕМИКА МАРР.</w:t>
      </w:r>
    </w:p>
    <w:p w14:paraId="1547F7D7"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Счастливейшая судьба выпала на долю современников революции. Ибо за все время существования человечества, с момента его зарождения, в природе было только три таких величайших поворотных момента: первый — когда природный процесс превратил животное в сознательное существо, второй — когда первобытный человек стал общественно-классовым, и третий — нынешний — когда пролетариат взялся за построение бесклассового социалистического общества.</w:t>
      </w:r>
    </w:p>
    <w:p w14:paraId="04FB9CEB"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Мы заявляем сегодня твердо: кто не с революцией, тот против нее, каким бы безупречным он ни был в собственных глазах и в глазах единомышленников. Когда 150-миллионный народ строит новое социалистическое общество, когда все силы страны направлены на достижение этой цели, в такое время быть нейтральным становится преступлением.</w:t>
      </w:r>
    </w:p>
    <w:p w14:paraId="43BFA47C"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Невиданными темпами идет Советский Союз к своей цели. Твердо намечены пути. Где наше место? Где место научных работников в настоящих условиях? Разве это не ясно, как солнечный день? Ведь речь идет о судьбе, о деле 169 наций, населяющих Советский Союз, наций, которые исторически вчера еще не числились в людях и которые сейчас вступили в бурный период строительства хозяйства и культуры, в период реконструкции.</w:t>
      </w:r>
    </w:p>
    <w:p w14:paraId="2A15FCF8"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Я хотел бы сказать, об одной из этих наций — об армянах. Вы знаете как относился к этой нации царизм. По воле царизма это был самый отсталый, самый невежественный народ. А сейчас армянская нация переживает то же, что весь Советский Союз, переживает эпоху величайшего культурного и хозяйственного подъема.</w:t>
      </w:r>
    </w:p>
    <w:p w14:paraId="28967A5B"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Сотни миллионов трудящихся, вся революционно-мыслящая интеллигенция, все научные работники мира не могут, не имеют права быть равнодушными к тому делу, которое у нас создается. Культурный мир знает, каких огромных завоеваний добилась у нас наука не только теоретически, но и в деле вовлечения масс в научно-исследовательскую работу.</w:t>
      </w:r>
    </w:p>
    <w:p w14:paraId="2FE0BABE"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Рабочий класс кует счастье всех трудящихся, кует новое, свободное будущее для всех народов. В труднейших условиях проходит эта работа. И когда перед нами, перед научными работниками становится вопрос «быть или не быть» этому свободному будущему, быть или не быть этому величайшему делу человечества — наш решительный ответ: БЫТЬ.</w:t>
      </w:r>
    </w:p>
    <w:p w14:paraId="5B68E204"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РЕЧЬ АКАДЕМИКА А. Ф. ИОФФЕ:</w:t>
      </w:r>
    </w:p>
    <w:p w14:paraId="61B388DF"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Уже с первых лет революции русская интеллигенция разбилась на два лагеря: один из них оказался за рубежом. Вместе с ушедшими туда капиталистами, этот лагерь видел свое будущее и свое счастье в возвращении к власти кучки угнетателей 150-миллионного народа. Другая, оставшаяся здесь часть интеллигенции, почти целиком, если и не сразу, не с первых лет, то все же за 13 лет революции, а в особенности за последние годы колоссального социалистического строительства, связала свою судьбу, слилась с самой революцией. Так же, как вся страна, мы, работники науки, техники, искусства захвачены энтузиазмом перед лицом того небывалого и, действительно, поражающего мысль и воображение строительства, которое реально, не в мечтах, а на деле осуществляется НАМИ, среди НАС.</w:t>
      </w:r>
    </w:p>
    <w:p w14:paraId="3F96AF8C"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В самом деле, мечта человечества, на протяжении многих десятилетий, на протяжении столетий одушевлявшая лучших людей, эта мечта на наших глазах, среди нас осуществляется и осуществляется темпами, о которых никто не мог и думать.</w:t>
      </w:r>
    </w:p>
    <w:p w14:paraId="12D97437"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Пятилетка есть форсированное строительство социализма. Первые два года пятилетки показывают, что реально вырастает новая, имеющая громадное будущее система, система, создающая не только новое, социалистическое хозяйство, но и новую социалистическую культуру и новый социалистический быт. Это — система, свободная от противоречий прежнего строя, устраняющая эксплоатацию и порабощение и неудивительно, что те, для которых успех социалистической системы представляет опасность, пускают в ход все средства, чтобы эту опасность преодолеть. С этой точки зрения ОПАСНОСТЬ ВОЙНЫ СЕЙЧАС, в БЛИЖАЙШЕЕ ВРЕМЯ, как это и раскрывает обвинительное заключение — является несомненно реальной опасностью.</w:t>
      </w:r>
    </w:p>
    <w:p w14:paraId="3B4C1A1A"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lastRenderedPageBreak/>
        <w:t>В то время как кучка вредителей вела свою подрывную работу, громадная часть интеллигенции отдавала свои силы социалистическому строительству. Масса научных работников активно участвует вместе с рабочим классом и трудящимися деревни в этом грандиозном строительстве, которое поражает не только нас, но и Запад.</w:t>
      </w:r>
    </w:p>
    <w:p w14:paraId="71923328"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Как кучке вредителей, преданных суду, не удалось уничтожить наш Союз путем интервенции, также не удастся и другая форма срыва нашего строительства, — не удастся внести раскол между трудящимися массами и советской интеллигенцией.</w:t>
      </w:r>
    </w:p>
    <w:p w14:paraId="10C16BF6"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Разбираясь во всем том, о чем я вам только что говорил, я пришел к убеждению, что в громадной своей массе наша интеллигенция видит свое счастье и свое будущее в счастье и будущем нашей страны.</w:t>
      </w:r>
    </w:p>
    <w:p w14:paraId="67577B88"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Я уверен, что советская интеллигенция вместе с рабочим классом войдет в это будущее, что вместе с ним она построит новую жизнь и не только для нашего Союза, но и для всего человечества. В этом я совершенно убежден.</w:t>
      </w:r>
    </w:p>
    <w:p w14:paraId="222AEEF8"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РЕЧЬ АКАДЕМИКА С. Ф. ОЛЬДЕНБУРГА</w:t>
      </w:r>
    </w:p>
    <w:p w14:paraId="641E5C69"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Советский Союз объявил всему миру, что его хозяйство, что его система строится на базе науки. Это возлагает большую ответственность на научных работников нашей страны.</w:t>
      </w:r>
    </w:p>
    <w:p w14:paraId="7BCC0A72"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Наука только тогда велика и сильна, — говорим мы, — когда она идет в ногу с жизнью. Научный работник только тогда полезен, когда он твердо знает свои политические взгляды.</w:t>
      </w:r>
    </w:p>
    <w:p w14:paraId="5DB9C39A"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Мы живем и работаем в полосе величайшей борьбы, и мы должны знать и сознавать, по какую сторону баррикады находимся. Я убежден, что мы, научные работники, твердо знаем и сознаем, что стоим по эту сторону баррикады, что мы — с революцией. Мы твердо знаем и твердо верим, что те, кто стоят по это сторону баррикады — ПОБЕДЯТ.</w:t>
      </w:r>
    </w:p>
    <w:p w14:paraId="3A91E574"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АМЕРИКАНСКИЙ СПЕЦИАЛИСТ г. ГЕРЦОГ</w:t>
      </w:r>
    </w:p>
    <w:p w14:paraId="0A1C6C4F"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Те успехи, свидетелем которых я являюсь, в которых я в значительной мере заинтересован и которым я способствую своими техническими знаниями, гарантируют в будущем СССР первое место среди всех других стран. Положение инженеров на Западе далеко не так блестяще, как это иногда полагают в некоторых кругах. Настоящий экономический кризис в Западной Европе привел к тому, что масса инженеров является безработными. Средний рядовой инженер оплачивается там очень скверно. Условия работы для среднего инженерского состава на Западе чрезвычайно трудны. Противопоставляя этому успехи советской промышленности, подъем благосостояния масс в СССР, г. Герцог выражает уверенность в том, что никакие возможные осложнения не остановят гигантского роста Советского Союза.</w:t>
      </w:r>
    </w:p>
    <w:p w14:paraId="7F73CC04"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Затем выступил немецкий инженер г. ГАН говоривший о приобщении к науке, к высшему образованию широчайших масс в СССР.</w:t>
      </w:r>
    </w:p>
    <w:p w14:paraId="1866B3EF"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ВЫСТУПЛЕНИЯ РАБОТНИКОВ ИСКУССТВА И ПИСАТЕЛЕЙ.</w:t>
      </w:r>
    </w:p>
    <w:p w14:paraId="3711A2AE"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ЗАСЛУЖЕННЫЙ АРТИСТ ГОСТЕАТРОВ Н. В. ПЕТРОВ:</w:t>
      </w:r>
    </w:p>
    <w:p w14:paraId="3A9AB24C"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Сила искусства, организующего мысль и волю зрителя — огромна. И в нынешний период развернутого социалистического строительства на работников искусства ложится огромная ответственность. Мы, работники искусства, работники театра, по своей работе хорошо знаем, что рабочий зритель самый искусный зритель и никакой блестящий режиссер, вроде Пуанкаре — рабочего зрителя не обманет. Мы заявляем, что отдаем всю энергию, все силы на службу социализму.</w:t>
      </w:r>
    </w:p>
    <w:p w14:paraId="5BB6D337"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ПИСАТЕЛЬ А. Н. ТОЛСТОЙ</w:t>
      </w:r>
    </w:p>
    <w:p w14:paraId="0FD1DB5F"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Мы не бежим сбоку дороги строительства социализма, мы в рядах. Мы с теми, кто живет во имя великого будущего.</w:t>
      </w:r>
    </w:p>
    <w:p w14:paraId="00D97EB1"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Поэт Н. С. ТИХОНОВ указывает, что среди бесчисленных заговоров, которые были раскрыты за эти годы, позорнейшее место занимает заговор «высоких специалистов». Эти культурнейшие люди сознательно, с варварским хладнокровием разрабатывали планы уничтожения миллионов людей и порабощения всей страны. При первом же шуме вражеских снарядов, мы встанем в ряды Красной Армии и сумеем с винтовкой в руке отразить врага.</w:t>
      </w:r>
    </w:p>
    <w:p w14:paraId="32DE021A"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СОБРАНИЕ ПРИНЯЛО СЛЕДУЮЩЕЕ ОБРАЩЕНИЕ:</w:t>
      </w:r>
    </w:p>
    <w:p w14:paraId="0A0362F6"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«К ДЕЯТЕЛЯМ НАУКИ И ИСКУССТВА ВСЕХ СТРАН»</w:t>
      </w:r>
    </w:p>
    <w:p w14:paraId="3EF8293B"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ОТ РАБОТНИКОВ НАУКИ, ТЕХНИКИ, ИСКУССТВА и ЛИТЕРАТУРЫ СССР</w:t>
      </w:r>
    </w:p>
    <w:p w14:paraId="5152A4EC" w14:textId="77777777" w:rsidR="003A73DA" w:rsidRPr="00507A31" w:rsidRDefault="003A73DA" w:rsidP="00507A31">
      <w:pPr>
        <w:pStyle w:val="rtecenter"/>
        <w:spacing w:before="0" w:after="0"/>
        <w:jc w:val="both"/>
        <w:rPr>
          <w:color w:val="000000" w:themeColor="text1"/>
          <w:sz w:val="16"/>
          <w:szCs w:val="16"/>
        </w:rPr>
      </w:pPr>
      <w:r w:rsidRPr="00507A31">
        <w:rPr>
          <w:color w:val="000000" w:themeColor="text1"/>
          <w:sz w:val="16"/>
          <w:szCs w:val="16"/>
        </w:rPr>
        <w:t>(Извлечение)</w:t>
      </w:r>
    </w:p>
    <w:p w14:paraId="6A8DC3DA"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Уже с первых дней после революции и до сего времени мы видим со стороны целого ряда государств скрытые или плохо скрытые враждебные действия, направленные против СССР. Эти враждебные действия комбинируются с действиями групп и организаций, представляющих внутри СССР и за рубежом — обломки господствовавших в нашей стране классов.</w:t>
      </w:r>
    </w:p>
    <w:p w14:paraId="5B9F8565"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Сознавая свое бессилие прежние угнетатели многомиллионного народа понимают, что им своими, даже и самыми нерасборчивыми средствами, не вернуть себе господства. Они не стесняются войти в позорные сделки с иностранными державами, готовые продать им любую часть Советского Союза, в надежде на возвращение своих бывших поместий или фабрик.</w:t>
      </w:r>
    </w:p>
    <w:p w14:paraId="11CD4F8E"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Агенты их превращаются в подлых шпионов милитаристических кругов иностранных держав и подрывателей строительства нашей страны. Организаторы интервенции готовят нашей стране и, очевидно, всему миру кровавую бойню и неслыханные действия, перед которыми побледнеет все то, что дала еще свежая в памяти мировая война.</w:t>
      </w:r>
    </w:p>
    <w:p w14:paraId="0C71C897"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Некоторые иностранные правительства обвиняют Советский Союз в «большевистской пропаганде» в других странах и в то же время агенты этих правительств производят внутри нашей страны реальные диверсионные действия. Генеральные штабы их проявляют лихорадочную деятельность, идет непрерывная подготовка и провокация мировой бойни.</w:t>
      </w:r>
    </w:p>
    <w:p w14:paraId="0428FFB5"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Мы, представители советской науки, техники и искусств, обращаясь ко всему научному миру, ко всем честным гражданам, заявляем: мы резко и с величайшим негодованием отмежевываемся от вредителей, которые под видом работников науки и техники выполняли роль продажных наемников и шпионов своих работодателей, как капиталистов, вышвырнутых за пределы Советской страны, так и враждебных нам генеральных штабов.</w:t>
      </w:r>
    </w:p>
    <w:p w14:paraId="33E674BB"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Пусть позор и самое жестокое наказание падет на их головы. Мы не запятнаем честного имени представителей настоящей советской науки, доверие к которым рабочего класса останется незыблемым.</w:t>
      </w:r>
    </w:p>
    <w:p w14:paraId="2B1909B2" w14:textId="77777777" w:rsidR="003A73DA" w:rsidRPr="00507A31" w:rsidRDefault="003A73DA" w:rsidP="00507A31">
      <w:pPr>
        <w:pStyle w:val="rtejustify"/>
        <w:spacing w:before="0" w:after="0"/>
        <w:rPr>
          <w:color w:val="000000" w:themeColor="text1"/>
          <w:sz w:val="16"/>
          <w:szCs w:val="16"/>
        </w:rPr>
      </w:pPr>
      <w:r w:rsidRPr="00507A31">
        <w:rPr>
          <w:color w:val="000000" w:themeColor="text1"/>
          <w:sz w:val="16"/>
          <w:szCs w:val="16"/>
        </w:rPr>
        <w:t>Мы призываем представителей науки и культуры всего мира, всех честных людей всех стран поднять свой голос протеста против неслыханного вторжения в мирную строительную работу великой страны, организуемого теми, кому нужны новые рынки и колонии.</w:t>
      </w:r>
    </w:p>
    <w:p w14:paraId="7A95AA62" w14:textId="77777777" w:rsidR="003A73DA" w:rsidRPr="00507A31" w:rsidRDefault="003A73DA" w:rsidP="00507A31">
      <w:pPr>
        <w:pStyle w:val="rtejustify"/>
        <w:spacing w:before="0" w:after="0"/>
        <w:rPr>
          <w:color w:val="000000" w:themeColor="text1"/>
          <w:sz w:val="16"/>
          <w:szCs w:val="16"/>
        </w:rPr>
      </w:pPr>
      <w:r w:rsidRPr="00507A31">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3. С. 3-6. Датируется по сопутствующим документам. (Данный выпуск бюллетеня был напечатан и полностью разослан до 18 декабря 1930 г. ГА РФ. P-5283. On. 1.Д. 139. Л. 76, 84.) (18956).</w:t>
      </w:r>
    </w:p>
    <w:p w14:paraId="5AB65EB2" w14:textId="77777777" w:rsidR="003A73DA" w:rsidRPr="00507A31" w:rsidRDefault="003A73DA" w:rsidP="00507A31">
      <w:pPr>
        <w:jc w:val="both"/>
        <w:rPr>
          <w:color w:val="000000" w:themeColor="text1"/>
          <w:sz w:val="16"/>
          <w:szCs w:val="16"/>
        </w:rPr>
      </w:pPr>
    </w:p>
    <w:p w14:paraId="215BBE7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7A7837F" w14:textId="77777777" w:rsidR="00537E5F" w:rsidRPr="00507A31" w:rsidRDefault="00537E5F" w:rsidP="00507A31">
      <w:pPr>
        <w:autoSpaceDE w:val="0"/>
        <w:autoSpaceDN w:val="0"/>
        <w:adjustRightInd w:val="0"/>
        <w:jc w:val="both"/>
        <w:rPr>
          <w:iCs/>
          <w:color w:val="000000" w:themeColor="text1"/>
          <w:sz w:val="16"/>
          <w:szCs w:val="16"/>
        </w:rPr>
      </w:pPr>
    </w:p>
    <w:p w14:paraId="506C80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г. начались заводские испытания второго экз. И-5. Второй опытный образец, BT-12, яр- ко-красный истребитель с белой надписью на борту "Клим Ворошилов", отличался от ВТ-11 мотором "Юпитер" VI (480 л.с., тоже французского производства) и меньшей высотой руля направления, кончик которого как бы "затупился" сверху. Бомбоотсек под креслом пилота отсутствовал. По требованию военных вооружение должно было состоять из четырёх пулемётов ПВ-1; вторая пара размещалась выше первой тоже по бортам фюзеляжа. Но вместо настоящих пулемётов стояли деревянные макеты. Прицел сначала отсутствовал. Второй экземпляр был немного легче первого. Перед передачей в НИИ ВВС на машине смонтировали импортный оптический прицел "Альдис", длинная труба которого насквозь проходила через козырёк (11997).</w:t>
      </w:r>
    </w:p>
    <w:p w14:paraId="6D9A92C8" w14:textId="77777777" w:rsidR="00537E5F" w:rsidRPr="00507A31" w:rsidRDefault="00537E5F" w:rsidP="00507A31">
      <w:pPr>
        <w:autoSpaceDE w:val="0"/>
        <w:autoSpaceDN w:val="0"/>
        <w:adjustRightInd w:val="0"/>
        <w:jc w:val="both"/>
        <w:rPr>
          <w:color w:val="000000" w:themeColor="text1"/>
          <w:sz w:val="16"/>
          <w:szCs w:val="16"/>
        </w:rPr>
      </w:pPr>
    </w:p>
    <w:p w14:paraId="5DFDF3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месяце 1930 в Киев доставили пять И-5 (из них два - резервных) для войсковых испытаний. От НИИ ВВС на испытания откомандировали лётчика И.Я. Козлова и инженера И.Ф. Петрова. Новые машины пилотировали Павлушев, Овчинников, Окуневич, Томбак и Страдзин.</w:t>
      </w:r>
    </w:p>
    <w:p w14:paraId="72761E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Полёты велись с 28 ноября 1930 г. по 24 января 1931 г. На аэродроме уже лежал снег, поэтому колёса заменили на лыжи.</w:t>
      </w:r>
    </w:p>
    <w:p w14:paraId="386BB5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1729AA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бензи-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348198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Страдзин в районе Поста- Волынского попытался выполнить петлю на недопустимо низкой высоте (около 150 м) и врезался в землю.</w:t>
      </w:r>
    </w:p>
    <w:p w14:paraId="6AD684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42B5D388" w14:textId="77777777" w:rsidR="00537E5F" w:rsidRPr="00507A31" w:rsidRDefault="00537E5F" w:rsidP="00507A31">
      <w:pPr>
        <w:autoSpaceDE w:val="0"/>
        <w:autoSpaceDN w:val="0"/>
        <w:adjustRightInd w:val="0"/>
        <w:jc w:val="both"/>
        <w:rPr>
          <w:color w:val="000000" w:themeColor="text1"/>
          <w:sz w:val="16"/>
          <w:szCs w:val="16"/>
        </w:rPr>
      </w:pPr>
    </w:p>
    <w:p w14:paraId="5480F008" w14:textId="77777777" w:rsidR="0009051B" w:rsidRPr="00507A31" w:rsidRDefault="0009051B" w:rsidP="00507A31">
      <w:pPr>
        <w:pStyle w:val="ae"/>
        <w:shd w:val="clear" w:color="auto" w:fill="FFFFFF"/>
        <w:spacing w:before="0" w:after="0"/>
        <w:jc w:val="both"/>
        <w:textAlignment w:val="baseline"/>
        <w:rPr>
          <w:color w:val="000000" w:themeColor="text1"/>
          <w:sz w:val="16"/>
          <w:szCs w:val="16"/>
        </w:rPr>
      </w:pPr>
      <w:r w:rsidRPr="00507A31">
        <w:rPr>
          <w:color w:val="000000" w:themeColor="text1"/>
          <w:sz w:val="16"/>
          <w:szCs w:val="16"/>
        </w:rPr>
        <w:t>В ноябре 1930 г. – январе 1931 г. пять И-5 проходили войсковые испытания в 73-м авиаотряде 5-й авиабригады в Киеве. Летали на лыжах. Новый истребитель получил у строевых летчиков положительную оценку. Взлет и посадка выполнялись просто, самолет мог работать с небольших площадок, обладал хорошей маневренностью, был легок в управлении. Итогом войсковых испытаний стало заключение:</w:t>
      </w:r>
    </w:p>
    <w:p w14:paraId="718544C3" w14:textId="77777777" w:rsidR="0009051B" w:rsidRPr="00507A31" w:rsidRDefault="0009051B" w:rsidP="00507A31">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507A31">
        <w:rPr>
          <w:rStyle w:val="af0"/>
          <w:i w:val="0"/>
          <w:color w:val="000000" w:themeColor="text1"/>
          <w:sz w:val="16"/>
          <w:szCs w:val="16"/>
          <w:bdr w:val="none" w:sz="0" w:space="0" w:color="auto" w:frame="1"/>
        </w:rPr>
        <w:t>«Самолет И-5 может быть принят на снабжение ВВС».</w:t>
      </w:r>
    </w:p>
    <w:p w14:paraId="20ABCF39" w14:textId="77777777" w:rsidR="0009051B" w:rsidRPr="00507A31" w:rsidRDefault="0009051B" w:rsidP="00507A31">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507A31">
        <w:rPr>
          <w:color w:val="000000" w:themeColor="text1"/>
          <w:sz w:val="16"/>
          <w:szCs w:val="16"/>
        </w:rPr>
        <w:t>И-5 решили внедрить в массовое производство, выпустив за 1931-32 годы 269 самолетов. Ни один советский истребитель до этого не строился в таких количествах. Для серии выделили завод №1 в Москве, ранее занимавшийся сборкой истребителей И-3. К концу 1932 г. хотели иметь в строю 200 И-5, чуть позже эту цифру подняли до 250</w:t>
      </w:r>
      <w:r w:rsidRPr="00507A31">
        <w:rPr>
          <w:rStyle w:val="af0"/>
          <w:i w:val="0"/>
          <w:color w:val="000000" w:themeColor="text1"/>
          <w:sz w:val="16"/>
          <w:szCs w:val="16"/>
          <w:bdr w:val="none" w:sz="0" w:space="0" w:color="auto" w:frame="1"/>
        </w:rPr>
        <w:t xml:space="preserve"> (19176).</w:t>
      </w:r>
    </w:p>
    <w:p w14:paraId="7A398436" w14:textId="77777777" w:rsidR="0009051B" w:rsidRPr="00507A31" w:rsidRDefault="0009051B" w:rsidP="00507A31">
      <w:pPr>
        <w:pStyle w:val="ae"/>
        <w:shd w:val="clear" w:color="auto" w:fill="FFFFFF"/>
        <w:spacing w:before="0" w:after="0"/>
        <w:jc w:val="both"/>
        <w:textAlignment w:val="baseline"/>
        <w:rPr>
          <w:color w:val="000000" w:themeColor="text1"/>
          <w:sz w:val="16"/>
          <w:szCs w:val="16"/>
        </w:rPr>
      </w:pPr>
    </w:p>
    <w:p w14:paraId="0B9208E7" w14:textId="77777777" w:rsidR="0009051B" w:rsidRPr="00507A31" w:rsidRDefault="0009051B"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В ноябре 1930 УВВС утвердило усовершенствованную установку с двумя ПВ-1 для И-4, что повлекло за собой переделку значительного количества ранее выпущенных самолетов в воинских частях (10100).</w:t>
      </w:r>
    </w:p>
    <w:p w14:paraId="7C6C2E00" w14:textId="77777777" w:rsidR="0009051B" w:rsidRPr="00507A31" w:rsidRDefault="0009051B" w:rsidP="00507A31">
      <w:pPr>
        <w:pStyle w:val="a8"/>
        <w:jc w:val="both"/>
        <w:rPr>
          <w:rFonts w:ascii="Times New Roman" w:hAnsi="Times New Roman" w:cs="Times New Roman"/>
          <w:color w:val="000000" w:themeColor="text1"/>
        </w:rPr>
      </w:pPr>
    </w:p>
    <w:p w14:paraId="5D2DBD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был готов И-8 (АНТ-13, жокей) (140,34).</w:t>
      </w:r>
    </w:p>
    <w:p w14:paraId="3EB94EF2" w14:textId="77777777" w:rsidR="00537E5F" w:rsidRPr="00507A31" w:rsidRDefault="00537E5F" w:rsidP="00507A31">
      <w:pPr>
        <w:autoSpaceDE w:val="0"/>
        <w:autoSpaceDN w:val="0"/>
        <w:adjustRightInd w:val="0"/>
        <w:jc w:val="both"/>
        <w:rPr>
          <w:color w:val="000000" w:themeColor="text1"/>
          <w:sz w:val="16"/>
          <w:szCs w:val="16"/>
        </w:rPr>
      </w:pPr>
    </w:p>
    <w:p w14:paraId="661663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был поставлен вопрос об утоншении консолей крыльев на И-5 (3029,211).</w:t>
      </w:r>
    </w:p>
    <w:p w14:paraId="03F3C0DA" w14:textId="77777777" w:rsidR="00537E5F" w:rsidRPr="00507A31" w:rsidRDefault="00537E5F" w:rsidP="00507A31">
      <w:pPr>
        <w:autoSpaceDE w:val="0"/>
        <w:autoSpaceDN w:val="0"/>
        <w:adjustRightInd w:val="0"/>
        <w:jc w:val="both"/>
        <w:rPr>
          <w:color w:val="000000" w:themeColor="text1"/>
          <w:sz w:val="16"/>
          <w:szCs w:val="16"/>
        </w:rPr>
      </w:pPr>
    </w:p>
    <w:p w14:paraId="393A2A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были готовы АНТ-10 (Р-7) и АНТ-13 (И-8) (514).</w:t>
      </w:r>
    </w:p>
    <w:p w14:paraId="076F4A60" w14:textId="77777777" w:rsidR="00537E5F" w:rsidRPr="00507A31" w:rsidRDefault="00537E5F" w:rsidP="00507A31">
      <w:pPr>
        <w:autoSpaceDE w:val="0"/>
        <w:autoSpaceDN w:val="0"/>
        <w:adjustRightInd w:val="0"/>
        <w:jc w:val="both"/>
        <w:rPr>
          <w:color w:val="000000" w:themeColor="text1"/>
          <w:sz w:val="16"/>
          <w:szCs w:val="16"/>
        </w:rPr>
      </w:pPr>
    </w:p>
    <w:p w14:paraId="5384E7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ООС переехал из ВВА в помещение ремонтных мастерских Добролета. Образовалось КБ из 30 чел. Начальники бригад: П.И.Эберзин, Н.Г.Нуров, И.Ф.Мохов, Б.К.Мальцев, И.В.Остославский (92,439).</w:t>
      </w:r>
    </w:p>
    <w:p w14:paraId="2CA623FC" w14:textId="77777777" w:rsidR="00537E5F" w:rsidRPr="00507A31" w:rsidRDefault="00537E5F" w:rsidP="00507A31">
      <w:pPr>
        <w:autoSpaceDE w:val="0"/>
        <w:autoSpaceDN w:val="0"/>
        <w:adjustRightInd w:val="0"/>
        <w:jc w:val="both"/>
        <w:rPr>
          <w:color w:val="000000" w:themeColor="text1"/>
          <w:sz w:val="16"/>
          <w:szCs w:val="16"/>
        </w:rPr>
      </w:pPr>
    </w:p>
    <w:p w14:paraId="7CBF44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года к постройке был принят МБР4 (С62бис) (3899).</w:t>
      </w:r>
    </w:p>
    <w:p w14:paraId="50B6A6EC" w14:textId="77777777" w:rsidR="00537E5F" w:rsidRPr="00507A31" w:rsidRDefault="00537E5F" w:rsidP="00507A31">
      <w:pPr>
        <w:autoSpaceDE w:val="0"/>
        <w:autoSpaceDN w:val="0"/>
        <w:adjustRightInd w:val="0"/>
        <w:jc w:val="both"/>
        <w:rPr>
          <w:color w:val="000000" w:themeColor="text1"/>
          <w:sz w:val="16"/>
          <w:szCs w:val="16"/>
        </w:rPr>
      </w:pPr>
    </w:p>
    <w:p w14:paraId="0A2E9EC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ноябре 1930 была подготовлена Сводка о состоянии опытного самолетостроения в ЦАГИ на 15 ноября 1930 года</w:t>
      </w:r>
    </w:p>
    <w:p w14:paraId="398CFE9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Р6</w:t>
      </w:r>
    </w:p>
    <w:p w14:paraId="7110EF8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29 октября 1930 года передан в ЦАГИ.</w:t>
      </w:r>
    </w:p>
    <w:p w14:paraId="31C2F39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Р7</w:t>
      </w:r>
    </w:p>
    <w:p w14:paraId="1F082CB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Со 2 октября 1930 года находится на испытании в НИИ. Испытание в НИИ заканчивается.</w:t>
      </w:r>
    </w:p>
    <w:p w14:paraId="17A762A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Согласно указания начальника УВВС Баранова самолет в серии строиться не будет.</w:t>
      </w:r>
    </w:p>
    <w:p w14:paraId="0B80B78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ТБ1</w:t>
      </w:r>
    </w:p>
    <w:p w14:paraId="640C75A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Баранов приказал передать 18 ноября 1930 года передать ЦАГИ самолет ТБ1 с завода № 22.</w:t>
      </w:r>
    </w:p>
    <w:p w14:paraId="4D0969F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ТБ3</w:t>
      </w:r>
    </w:p>
    <w:p w14:paraId="7D32353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октября 1930 года.</w:t>
      </w:r>
    </w:p>
    <w:p w14:paraId="0A2F6F3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Первый полет состоялся 1 ноября 1930 года, второй – 2 ноября 1930 года, третий – 7 ноября 1930 года – участие в параде. 11 ноября 1930 года самолет введен в ангар для переделок и исправлений. Ведется подготовка машины к полетам зимой. ГВАО поручено к 18 ноября 1930 года согласовать сроки сдачи чертежей для серийной постройки.</w:t>
      </w:r>
    </w:p>
    <w:p w14:paraId="58C9954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И-8</w:t>
      </w:r>
    </w:p>
    <w:p w14:paraId="48707C8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окончания 15 сентября 1930 года. Первый полет состоялся 28 октября 1930 года. До 15 ноября 1930 года произведены 4 полета. 4 ноября 1930 года состоялся полет на проверку нового электрического счетчика оборотов и нового указателя скорости. 6 ноября 1930 года состоялся полет с обтекателем, закрывающим только спицы. 7 ноября 1930 года самолет участвовал в демонстрации в воздухе.</w:t>
      </w:r>
    </w:p>
    <w:p w14:paraId="1E66995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ТБ4</w:t>
      </w:r>
    </w:p>
    <w:p w14:paraId="61167FD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октября 1930 года.</w:t>
      </w:r>
    </w:p>
    <w:p w14:paraId="3732588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До сих пор не выбран мотор. Макет будет предъявлен 20 ноября 1930 года.</w:t>
      </w:r>
    </w:p>
    <w:p w14:paraId="217A361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И-12</w:t>
      </w:r>
    </w:p>
    <w:p w14:paraId="6878DE8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июля 1931 года</w:t>
      </w:r>
    </w:p>
    <w:p w14:paraId="7FFE9FC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Экспериментальная машина с пушками Курчевского. ЦАГИ были представлены схемы одноместного и двухместного истребителя.</w:t>
      </w:r>
    </w:p>
    <w:p w14:paraId="6644D6A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МДР-2</w:t>
      </w:r>
    </w:p>
    <w:p w14:paraId="79ECCA5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окончания 1 декабря 1930 года. Готовность – 88%.</w:t>
      </w:r>
    </w:p>
    <w:p w14:paraId="0C1C6D5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МТБ-3</w:t>
      </w:r>
    </w:p>
    <w:p w14:paraId="399B596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октября 1932 года.</w:t>
      </w:r>
    </w:p>
    <w:p w14:paraId="17C0AF9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Группа И.И. Погосского предполагает приступить к разработке проекта в конце ноября 1930 года.</w:t>
      </w:r>
    </w:p>
    <w:p w14:paraId="561DD78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И-4 (моноплан).</w:t>
      </w:r>
    </w:p>
    <w:p w14:paraId="51E31AE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Работы идут медленно.</w:t>
      </w:r>
    </w:p>
    <w:p w14:paraId="108D0D1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ТШ1</w:t>
      </w:r>
    </w:p>
    <w:p w14:paraId="0E3B92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января 1932 года (условно).</w:t>
      </w:r>
    </w:p>
    <w:p w14:paraId="1E69871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5 июля 1930 года эскизный проект и 10 вариантов аэродинамических расчетов находятся на заключении в НТК.</w:t>
      </w:r>
    </w:p>
    <w:p w14:paraId="517070B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МИ-3</w:t>
      </w:r>
    </w:p>
    <w:p w14:paraId="61A21EB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января 1932 года</w:t>
      </w:r>
    </w:p>
    <w:p w14:paraId="2381F9D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АНТ-9</w:t>
      </w:r>
    </w:p>
    <w:p w14:paraId="4C5AD4B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После испытания в НИИ, ЦАГИ были произведены переделки ……….. 11, 12 и 14 ноября 1930 года состоялся облет с участием летчиков НИИ.</w:t>
      </w:r>
    </w:p>
    <w:p w14:paraId="539F7D5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ВГ1</w:t>
      </w:r>
    </w:p>
    <w:p w14:paraId="2898856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После аварии произведен ремонт (6925, 120-123).</w:t>
      </w:r>
    </w:p>
    <w:p w14:paraId="7E4220C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9F1194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ноябре 1930 была подготовлена Сводка о состоянии опытного самолетостроения в ЦАГИ на 1 ноября 1930 года</w:t>
      </w:r>
    </w:p>
    <w:p w14:paraId="4163E40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Р6</w:t>
      </w:r>
    </w:p>
    <w:p w14:paraId="302ED61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НИИ закончены дополнительные испытания и 29 октября 1930 года самолет передан в ЦАГИ. ЦАГИ произведены два полета с перегрузкой. Первый полет состоялся 29 октября 1930 года с перегрузкой в 1 тонну. Второй полет – 30 октября 1930 года – пробный с перегрузкой в 1,5 тонны. В ближайшие дни состоится полет с перегрузкой в 2 тонны.</w:t>
      </w:r>
    </w:p>
    <w:p w14:paraId="0FD77D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Р7</w:t>
      </w:r>
    </w:p>
    <w:p w14:paraId="58EFE4F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Со 2 октября 1930 года находится на испытании в НИИ.</w:t>
      </w:r>
    </w:p>
    <w:p w14:paraId="062FD5B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ТБ-3</w:t>
      </w:r>
    </w:p>
    <w:p w14:paraId="7425815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октября 1930 года. Машина к сроку не выполнена. 17 октября 1930 года закончена перевозка на аэродром и только 26 октября 1930 года самолет впервые выведен из ангара для пробы мотора, которая в этот день не состоялась. 27-31 октября 1931 года производилась проба моторов и 1 ноября состоялся первый полет. По расчету ЦАГИ хорошие данные самолета получаются с мотором М-34.</w:t>
      </w:r>
    </w:p>
    <w:p w14:paraId="5DE121C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И-8</w:t>
      </w:r>
    </w:p>
    <w:p w14:paraId="20DAC54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15 сентября 1930 года. 23-25 сентября 1930 года – проба мотора во дворе ЦАГИ. 26 сентября 1930 года вывезен на аэродром. 28 сентября 1930 года состоялся первый полет. Состоялись всего 4 полета: ознакомительный, устойчивость и управляемость, фигуры – виражи и петли, полет с обтекателями колес.</w:t>
      </w:r>
    </w:p>
    <w:p w14:paraId="03CE64A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МДР-2</w:t>
      </w:r>
    </w:p>
    <w:p w14:paraId="1FF6F3F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декабря 1930 года. Готовность – 80%.</w:t>
      </w:r>
    </w:p>
    <w:p w14:paraId="5FFA1A2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ТБ4</w:t>
      </w:r>
    </w:p>
    <w:p w14:paraId="18CA38B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октября 1931 года</w:t>
      </w:r>
    </w:p>
    <w:p w14:paraId="20ED8EB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Произведен аэродинамический расчет.</w:t>
      </w:r>
    </w:p>
    <w:p w14:paraId="5488764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ТШ1</w:t>
      </w:r>
    </w:p>
    <w:p w14:paraId="122DF79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 1 января 1932 года. 5 июля 1932 года АГОСом представлен в НТК эскизный проект.</w:t>
      </w:r>
    </w:p>
    <w:p w14:paraId="0880B42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И-4 (моноплан).</w:t>
      </w:r>
    </w:p>
    <w:p w14:paraId="4C8CE50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идет вне плана, как экспериментальная работа.</w:t>
      </w:r>
    </w:p>
    <w:p w14:paraId="543B571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После пятимесячного перерыва опять начаты работы на самолете. Срок окончания не намечен.</w:t>
      </w:r>
    </w:p>
    <w:p w14:paraId="03882E5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И-12</w:t>
      </w:r>
    </w:p>
    <w:p w14:paraId="1A66D9E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 1 июля 1931 года</w:t>
      </w:r>
    </w:p>
    <w:p w14:paraId="76C18CD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 октября 1930 года в НТК представлен эскизный проект одноместного и двухместного.</w:t>
      </w:r>
    </w:p>
    <w:p w14:paraId="7A45EB5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ВГ1</w:t>
      </w:r>
    </w:p>
    <w:p w14:paraId="6762B94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22 октября 1930 года во время испытаний на аэродроме аппарат потерпел аварию. Исправления заканчиваются и 5 ноября 1930 года намечаются вновь испытания (6925, 107-112).</w:t>
      </w:r>
    </w:p>
    <w:p w14:paraId="516AD40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A55C8D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ноябре 1930 были подготовлены Сведения о ходе работ пятилетнего плана по опытному самолетостроению ЦКБ завода № 39 по состоянию на 1 ноября 1930 года</w:t>
      </w:r>
    </w:p>
    <w:p w14:paraId="1806E34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ТШ-2 1-й экземпляр с мотором БМВ-VI Е=7,3</w:t>
      </w:r>
    </w:p>
    <w:p w14:paraId="5B4B033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ноября 1930 года самолет сдан в НИИ на гос. испытание. Самолет облетан на заводе. Вооружение самолета окончательно не доведено.</w:t>
      </w:r>
    </w:p>
    <w:p w14:paraId="67C6898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ТШ-2 2-й экземпляр с мотором БМВ-VI</w:t>
      </w:r>
    </w:p>
    <w:p w14:paraId="4696DD4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Степень готовности – 40%. Отличительными особенностями второго экземпляра являются: нижние крылья металлической конструкции утолщенного профиля, в них будут скрыты пулеметы, бензиновые баки и фары; конструкция оперения изменяется, незначительно изменяется броня, увеличивается радиатор и ряд мелких переделок.</w:t>
      </w:r>
    </w:p>
    <w:p w14:paraId="24B2DEF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готовности – 1 декабря 1930 года.</w:t>
      </w:r>
    </w:p>
    <w:p w14:paraId="7D20166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ДИ-2 с мотором БМВ VI Е=7,3</w:t>
      </w:r>
    </w:p>
    <w:p w14:paraId="5308262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Степень готовности 15%.</w:t>
      </w:r>
    </w:p>
    <w:p w14:paraId="7AABF9E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Эскизный проект и макет утверждены. Делается подвесной бак под фюзеляжем.</w:t>
      </w:r>
    </w:p>
    <w:p w14:paraId="329E45E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 ноября 1930 года поступит в производство.</w:t>
      </w:r>
    </w:p>
    <w:p w14:paraId="7CEC202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готовности – 1 февраля 1931 года.</w:t>
      </w:r>
    </w:p>
    <w:p w14:paraId="099A80B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ТБ-5 с Фэдом</w:t>
      </w:r>
    </w:p>
    <w:p w14:paraId="0747B7F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Степень готовности – 10%. Эскизный проект готов. Вопрос с этой машиной в ЦКБ в отношении моторов до сих пор не увязан, так как ЦКБ не надеется на мотор Фэд 1200 НР, как на реальный.</w:t>
      </w:r>
    </w:p>
    <w:p w14:paraId="6569DC1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готовности – 1 мая 1931 года.</w:t>
      </w:r>
    </w:p>
    <w:p w14:paraId="292C67B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И-5 с мотором ЮП-VI</w:t>
      </w:r>
    </w:p>
    <w:p w14:paraId="2794CF9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Вся серия самолетов в производстве готова. Завод 10 ноября 1930 года намечает сдать в части.</w:t>
      </w:r>
    </w:p>
    <w:p w14:paraId="12EDDA4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Головная серийная машина будет передана к 10 ноября 1930 года в НИИ для испытаний.</w:t>
      </w:r>
    </w:p>
    <w:p w14:paraId="49DCD07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ТБ-II с 2-мя моторами БМВ VI</w:t>
      </w:r>
    </w:p>
    <w:p w14:paraId="3736D8F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передан в НИИ на испытания.</w:t>
      </w:r>
    </w:p>
    <w:p w14:paraId="4E2E9D9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И-6 с мотором Юп-VI 3-й экземпляр</w:t>
      </w:r>
    </w:p>
    <w:p w14:paraId="6D5FF76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Испытания в НИИ закончены, самолет передан на завод № 39 для переделок элеронов.</w:t>
      </w:r>
    </w:p>
    <w:p w14:paraId="15A4077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И-6 с мотором Юп-VI 2-й экземпляр</w:t>
      </w:r>
    </w:p>
    <w:p w14:paraId="50BE0A7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Машина уже облетана, на ней нет вооружения и ничего не делается.</w:t>
      </w:r>
    </w:p>
    <w:p w14:paraId="25A4223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Р-8 М-27 и Р-8 М-34</w:t>
      </w:r>
    </w:p>
    <w:p w14:paraId="24C2620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данное время по этим самолетам в отделе предварительных проектов ничего не делается.</w:t>
      </w:r>
    </w:p>
    <w:p w14:paraId="5037F85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Р-5 с мотором БМВ-VI на поплавках</w:t>
      </w:r>
    </w:p>
    <w:p w14:paraId="0E3F123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прорабатывается в отделе новых проектов. Эскизный проект еще не закончен и будет готов к 20 декабря 1930 года, макет – к 10 декабря 1930 года.</w:t>
      </w:r>
    </w:p>
    <w:p w14:paraId="24AAEEC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Р5 для переделок и установки поплавков завод не получил.</w:t>
      </w:r>
    </w:p>
    <w:p w14:paraId="4C96E22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Р-5 4-й экземпляр с повышенным шасси</w:t>
      </w:r>
    </w:p>
    <w:p w14:paraId="536E727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Завод предполагает после произведенных переделок сдать в НИИ.</w:t>
      </w:r>
    </w:p>
    <w:p w14:paraId="4F2A34F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Установки же тормозных колес, разрезные крылья будут монтированы на отдельном самолете, что по плану отнесено к августу 1931 года в отношении готовности.</w:t>
      </w:r>
    </w:p>
    <w:p w14:paraId="213DE91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Р-5 с мотором М-19</w:t>
      </w:r>
    </w:p>
    <w:p w14:paraId="5F2465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Аэродинамический расчет сделан. На заводе нет самолета, нет мотора, настоящая работа отнесена на 1 января 1931 года, вместо готовности к 1 декабря 1930 года, это объясняется отсутствием мотора (6925, 81-82).</w:t>
      </w:r>
    </w:p>
    <w:p w14:paraId="1250546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EC1F9A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ноябре 1930 была подготовлена Сводка наблюдений за морским опытным строительством на 1 ноября 1930 года</w:t>
      </w:r>
    </w:p>
    <w:p w14:paraId="62939BD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ЦАГИ</w:t>
      </w:r>
    </w:p>
    <w:p w14:paraId="53CF547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МДР-2 с 2 БМВVI (экспериментальный).</w:t>
      </w:r>
    </w:p>
    <w:p w14:paraId="53E8114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будет готов в производстве и закончен в сборке к 1 декабря 1930 года.</w:t>
      </w:r>
    </w:p>
    <w:p w14:paraId="08EBA58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Предположительно, учитывая доставку самолета в Севастополь, сборку и заводские испытания, самолет будет передан в НИИ 25-30 января 1931 года.</w:t>
      </w:r>
    </w:p>
    <w:p w14:paraId="533A635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МТБ-2</w:t>
      </w:r>
    </w:p>
    <w:p w14:paraId="0200FF8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подачи на гос. испытания – 1 октября 1932 года. К разработке задания ЦАГИ еще не приступало.</w:t>
      </w:r>
    </w:p>
    <w:p w14:paraId="7B56D2F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ТБ-1 на поплавках</w:t>
      </w:r>
    </w:p>
    <w:p w14:paraId="4CE895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Первая партия поплавков Шора должна прибыть к 1 января 1931 года.</w:t>
      </w:r>
    </w:p>
    <w:p w14:paraId="11CA365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ЦКБ завода № 39</w:t>
      </w:r>
    </w:p>
    <w:p w14:paraId="1593BFD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ЦКБ завода № 39</w:t>
      </w:r>
    </w:p>
    <w:p w14:paraId="6034385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МДР-3 с 4-мя Юп VI</w:t>
      </w:r>
    </w:p>
    <w:p w14:paraId="4E62E84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Эскизный проект к 20 декабря 1930 года. Макет будет окончен к 13 ноября 1930 года.</w:t>
      </w:r>
    </w:p>
    <w:p w14:paraId="4376CBB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МБР-1 с БМВ VI (лодка Ришара).</w:t>
      </w:r>
    </w:p>
    <w:p w14:paraId="3F72A52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Процент готовности самолета на 1 ноября 1930 года на 85-88%. По последней планировке завода эскизный проект будет представлен 15 ноября 1930 года.</w:t>
      </w:r>
    </w:p>
    <w:p w14:paraId="2C36389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МДР-1 с 2 БМВ VI</w:t>
      </w:r>
    </w:p>
    <w:p w14:paraId="37268D0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Эскизный проект закончат к 15 ноября 1930 года.</w:t>
      </w:r>
    </w:p>
    <w:p w14:paraId="5CFDA6B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Р-5 на поплавках</w:t>
      </w:r>
    </w:p>
    <w:p w14:paraId="09F11AB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Эскизный проект будет к 15 декабря 1930 года, макет – к 10 декабря 1930 года. Завод предполагает взять готовый самолет Р-5 и переделать для ускорения выполнения задания.</w:t>
      </w:r>
    </w:p>
    <w:p w14:paraId="019A915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заводу 3 23 (Ленинград).</w:t>
      </w:r>
    </w:p>
    <w:p w14:paraId="21C736B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МУ-3</w:t>
      </w:r>
    </w:p>
    <w:p w14:paraId="728AB81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 проектировке еще не приступали.</w:t>
      </w:r>
    </w:p>
    <w:p w14:paraId="4EC6074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А-1 с М-11 (амфибия).</w:t>
      </w:r>
    </w:p>
    <w:p w14:paraId="1E118BF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Сведений нет.</w:t>
      </w:r>
    </w:p>
    <w:p w14:paraId="2232D7B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заводу № 22 (МОС).</w:t>
      </w:r>
    </w:p>
    <w:p w14:paraId="138AA40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МТБ-1 с 2БМВ VI</w:t>
      </w:r>
    </w:p>
    <w:p w14:paraId="48C2A55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 1 ноября 1930 года на испытания выйти не может, так как общий процент готовности 80-85%.</w:t>
      </w:r>
    </w:p>
    <w:p w14:paraId="6E4EA2F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Предположительно самолет выходит с опозданием на 3-3,5 месяца.</w:t>
      </w:r>
    </w:p>
    <w:p w14:paraId="59CE06A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МБР-2 с БМВ VI</w:t>
      </w:r>
    </w:p>
    <w:p w14:paraId="4FE27F3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ноября 1930 года вторично рассматривался макет самолета. Завод 6 ноября 1930 года думает представить макет третий раз. К 4 ноября 1930 года будет представлен эскизный проект на утверждение НТК.</w:t>
      </w:r>
    </w:p>
    <w:p w14:paraId="3F36A06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Катапульта (К-3) (6925, 104-106).</w:t>
      </w:r>
    </w:p>
    <w:p w14:paraId="2DB4068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E6A45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ноябре 1930 г. на заводе № 36 изготовили первые опытные высотные М-17 со степенью сжатия 7,3.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07A31">
        <w:rPr>
          <w:color w:val="000000" w:themeColor="text1"/>
          <w:sz w:val="16"/>
          <w:szCs w:val="16"/>
        </w:rPr>
        <w:softHyphen/>
        <w:t>лись целые серии высотных двигателей. Например, все моторы, входив</w:t>
      </w:r>
      <w:r w:rsidRPr="00507A31">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07A31">
        <w:rPr>
          <w:color w:val="000000" w:themeColor="text1"/>
          <w:sz w:val="16"/>
          <w:szCs w:val="16"/>
        </w:rPr>
        <w:softHyphen/>
        <w:t>лись планы его последующей модернизации. При этом не только следова</w:t>
      </w:r>
      <w:r w:rsidRPr="00507A31">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07A31">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07A31">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07A31">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07A31">
        <w:rPr>
          <w:color w:val="000000" w:themeColor="text1"/>
          <w:sz w:val="16"/>
          <w:szCs w:val="16"/>
        </w:rPr>
        <w:softHyphen/>
        <w:t>ны всего производства авиадвигателей в стране. Далее же начался спад (11852).</w:t>
      </w:r>
    </w:p>
    <w:p w14:paraId="7DE9BF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B6FEE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ЦИАМ после испытания одноцилиндровых установок получил задание на дизель Н-1 (2310,130).</w:t>
      </w:r>
    </w:p>
    <w:p w14:paraId="6025DB30" w14:textId="77777777" w:rsidR="00537E5F" w:rsidRPr="00507A31" w:rsidRDefault="00537E5F" w:rsidP="00507A31">
      <w:pPr>
        <w:autoSpaceDE w:val="0"/>
        <w:autoSpaceDN w:val="0"/>
        <w:adjustRightInd w:val="0"/>
        <w:jc w:val="both"/>
        <w:rPr>
          <w:color w:val="000000" w:themeColor="text1"/>
          <w:sz w:val="16"/>
          <w:szCs w:val="16"/>
        </w:rPr>
      </w:pPr>
    </w:p>
    <w:p w14:paraId="2756B2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г. один Р-5 переделали под установку опытного мотора М-19, 12-цилиндровый V-образ- ный, водяного охлаждения. Он имел меньшую мощность, чем М-17, 600 л.с. По расчетам, вариант с этим двигателем получался легче примерно на 20-40 кг и должен был уступать в максимальной скорости на 20 км/ч и в 1000 м в практическом потолке. М-19 рассматривали как возможную замену для М-17, считавшегося первоначально временным. Но годного для полетов двигателя пришлось дожидаться почти полгода. Летные испытания начали лишь в мае 1931 г., а в июне мотор уже вышел из строя (12034).</w:t>
      </w:r>
    </w:p>
    <w:p w14:paraId="43FE5E36" w14:textId="77777777" w:rsidR="00537E5F" w:rsidRPr="00507A31" w:rsidRDefault="00537E5F" w:rsidP="00507A31">
      <w:pPr>
        <w:autoSpaceDE w:val="0"/>
        <w:autoSpaceDN w:val="0"/>
        <w:adjustRightInd w:val="0"/>
        <w:jc w:val="both"/>
        <w:rPr>
          <w:color w:val="000000" w:themeColor="text1"/>
          <w:sz w:val="16"/>
          <w:szCs w:val="16"/>
        </w:rPr>
      </w:pPr>
    </w:p>
    <w:p w14:paraId="10710C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УВВС принял на вооружение усовершенствованную установку с двумя ПВ-1 для И-4 (1060,53).</w:t>
      </w:r>
    </w:p>
    <w:p w14:paraId="5C02A7AB" w14:textId="77777777" w:rsidR="00537E5F" w:rsidRPr="00507A31" w:rsidRDefault="00537E5F" w:rsidP="00507A31">
      <w:pPr>
        <w:autoSpaceDE w:val="0"/>
        <w:autoSpaceDN w:val="0"/>
        <w:adjustRightInd w:val="0"/>
        <w:jc w:val="both"/>
        <w:rPr>
          <w:color w:val="000000" w:themeColor="text1"/>
          <w:sz w:val="16"/>
          <w:szCs w:val="16"/>
        </w:rPr>
      </w:pPr>
    </w:p>
    <w:p w14:paraId="6CE732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ноябре 1930 г. на Р-1 испытывали необычное оружие: </w:t>
      </w:r>
      <w:r w:rsidR="00984C86" w:rsidRPr="00507A31">
        <w:rPr>
          <w:color w:val="000000" w:themeColor="text1"/>
          <w:sz w:val="16"/>
          <w:szCs w:val="16"/>
        </w:rPr>
        <w:fldChar w:fldCharType="begin"/>
      </w:r>
      <w:r w:rsidR="00984C86" w:rsidRPr="00507A31">
        <w:rPr>
          <w:color w:val="000000" w:themeColor="text1"/>
          <w:sz w:val="16"/>
          <w:szCs w:val="16"/>
        </w:rPr>
        <w:instrText xml:space="preserve">ref HYPERLINK "../../AiKOut02/PrMaz/PrMaz001.htm" \* MERGEFORMAT </w:instrText>
      </w:r>
      <w:r w:rsidR="00984C86" w:rsidRPr="00507A31">
        <w:rPr>
          <w:color w:val="000000" w:themeColor="text1"/>
          <w:sz w:val="16"/>
          <w:szCs w:val="16"/>
        </w:rPr>
        <w:fldChar w:fldCharType="separate"/>
      </w:r>
      <w:r w:rsidRPr="00507A31">
        <w:rPr>
          <w:color w:val="000000" w:themeColor="text1"/>
          <w:sz w:val="16"/>
          <w:szCs w:val="16"/>
        </w:rPr>
        <w:t>«приборы» инженера Майзеля</w:t>
      </w:r>
      <w:r w:rsidR="00984C86" w:rsidRPr="00507A31">
        <w:rPr>
          <w:color w:val="000000" w:themeColor="text1"/>
          <w:sz w:val="16"/>
          <w:szCs w:val="16"/>
        </w:rPr>
        <w:fldChar w:fldCharType="end"/>
      </w:r>
      <w:r w:rsidRPr="00507A31">
        <w:rPr>
          <w:color w:val="000000" w:themeColor="text1"/>
          <w:sz w:val="16"/>
          <w:szCs w:val="16"/>
        </w:rPr>
        <w:t>. Это были маленькие беспилотные самолеты без мотора, но с воздушным винтом. Энергию для вращения винта давал маховик, перед запуском раскручивавшийся до 18 000 об/мин с помощью ветряка и повышающего редуктора на самолете-носителе. Раскрутка занимала 5-6 мин. Планер аппарата был деревянным, обшивка - фанерная. Майзель разработал два семейства «приборов» — ЗАМ, способных некоторое время лететь горизонтально, и ПБМ, летевших со снижением. Первые предназначались для поражения воздушных целей, вторые - наземных. Дальность полета колебалась от 2500 до 6000 м. Никакой системы наведения и управления «приборы» не имели - конструктор полагался на свойства маховика-гироскопа. Головные части у этих крылатых снарядов были разными — осколочными, фугасными, зажигательными и химическими. У ЗАМ, например, предусматривался подрыв маховика, создававший стену осколков в площади его вращения; так собирались поражать дирижабли. Вес опытных образцов ЗАМ и ПБМ равнялся приблизительно 50 кг, в том числе около 20 кг взрывчатки.</w:t>
      </w:r>
    </w:p>
    <w:p w14:paraId="7C844B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Пуски крылатых снарядов производились со специально оборудованного Р-1 («ЗАМоносца») на полигоне под Евпаторией. Самолет поднимал один «прибор». Летал известный испытатель А. Залевский. Он выпустил около десятка ЗАМ и ПБМ с разных высот. Кустарное качество изготовления привело к невысокой точности стрельбы. Два снаряда значительно отклонились от траектории и упали близ населенных пунктов. Один ЗАМ при сбросе попал под раскруточный ветряк. В результате ветряк разлетелся, но его лопасти успели повредить механизм, и винт снаряда не включился.</w:t>
      </w:r>
    </w:p>
    <w:p w14:paraId="7A603A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дальнейшем различные варианты ЗАМ и ПБМ испытывали на самолетах Р-5, но довести до требуемых заданием характеристик не смогли (11923).</w:t>
      </w:r>
    </w:p>
    <w:p w14:paraId="58B218A5" w14:textId="77777777" w:rsidR="00537E5F" w:rsidRPr="00507A31" w:rsidRDefault="00537E5F" w:rsidP="00507A31">
      <w:pPr>
        <w:autoSpaceDE w:val="0"/>
        <w:autoSpaceDN w:val="0"/>
        <w:adjustRightInd w:val="0"/>
        <w:jc w:val="both"/>
        <w:rPr>
          <w:color w:val="000000" w:themeColor="text1"/>
          <w:sz w:val="16"/>
          <w:szCs w:val="16"/>
        </w:rPr>
      </w:pPr>
    </w:p>
    <w:p w14:paraId="436856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ноября 1930 ООС при Инспекции ГВФ переехал в помещение бывших ремонтных мастерских Добролета, которые перешли в ЦАРБ на ЦА и образовалось КБ из 30 чел. (1076,601).</w:t>
      </w:r>
    </w:p>
    <w:p w14:paraId="14C836F7" w14:textId="77777777" w:rsidR="00537E5F" w:rsidRPr="00507A31" w:rsidRDefault="00537E5F" w:rsidP="00507A31">
      <w:pPr>
        <w:autoSpaceDE w:val="0"/>
        <w:autoSpaceDN w:val="0"/>
        <w:adjustRightInd w:val="0"/>
        <w:jc w:val="both"/>
        <w:rPr>
          <w:color w:val="000000" w:themeColor="text1"/>
          <w:sz w:val="16"/>
          <w:szCs w:val="16"/>
        </w:rPr>
      </w:pPr>
    </w:p>
    <w:p w14:paraId="5FF1716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ноябре 1930 года было сформировано бюро Гроховского и 11 января 1931 года была проведена демонстрация наркому Ворошилову отечественных десантных парашютов …………….После демонстрации Баранов поднял вопрос о переводе Гроховского в его распоряжение на что и получил согласие бывшего зампреда Уборевича (6769, 29-31).</w:t>
      </w:r>
    </w:p>
    <w:p w14:paraId="4C97734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E3D9DE2" w14:textId="77777777" w:rsidR="006C5D63" w:rsidRPr="00507A31" w:rsidRDefault="006C5D63" w:rsidP="00507A31">
      <w:pPr>
        <w:shd w:val="clear" w:color="auto" w:fill="FFFFFF"/>
        <w:jc w:val="both"/>
        <w:rPr>
          <w:color w:val="0070C0"/>
          <w:sz w:val="16"/>
          <w:szCs w:val="16"/>
        </w:rPr>
      </w:pPr>
      <w:r w:rsidRPr="00507A31">
        <w:rPr>
          <w:color w:val="0070C0"/>
          <w:sz w:val="16"/>
          <w:szCs w:val="16"/>
        </w:rPr>
        <w:t>В ноябре 1930 года первые четыре истребителя Мартинсайд сдали ОСОАВИАХИМу. За ними последовали другие машины. Один «Мартинсайд» достался аэроклубу стекольного завода «Пролетарий», один — ячейке ОСОАВИАХИМа Вечернего рабочего университета, два — аэроклубу Восточно-Сибирского края. На 1 января 1931 года в ВВС оставались три последние машины. Вскоре и они перешли к ОСОАВИАХИМу. Там их использовали примерно до середины 1932 года для тренировок в высшем пилотаже, а затем как наглядные пособия на земле (20270).</w:t>
      </w:r>
    </w:p>
    <w:p w14:paraId="4CDEDF23" w14:textId="77777777" w:rsidR="006C5D63" w:rsidRPr="00507A31" w:rsidRDefault="006C5D63" w:rsidP="00507A31">
      <w:pPr>
        <w:autoSpaceDE w:val="0"/>
        <w:autoSpaceDN w:val="0"/>
        <w:adjustRightInd w:val="0"/>
        <w:jc w:val="both"/>
        <w:rPr>
          <w:color w:val="0070C0"/>
          <w:sz w:val="16"/>
          <w:szCs w:val="16"/>
        </w:rPr>
      </w:pPr>
    </w:p>
    <w:p w14:paraId="692F1B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А.Н.Т. был командирован в США для изучения дирижаблестроительной промышленности (61,64).</w:t>
      </w:r>
    </w:p>
    <w:p w14:paraId="4F3A19E0" w14:textId="77777777" w:rsidR="00537E5F" w:rsidRPr="00507A31" w:rsidRDefault="00537E5F" w:rsidP="00507A31">
      <w:pPr>
        <w:autoSpaceDE w:val="0"/>
        <w:autoSpaceDN w:val="0"/>
        <w:adjustRightInd w:val="0"/>
        <w:jc w:val="both"/>
        <w:rPr>
          <w:color w:val="000000" w:themeColor="text1"/>
          <w:sz w:val="16"/>
          <w:szCs w:val="16"/>
        </w:rPr>
      </w:pPr>
    </w:p>
    <w:p w14:paraId="02FF84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года А. Н. Туполева командовали в США для изучения дирижаблестроительной промышленности. Это была не первая встреча Андрея Николаевича с зарубежным дирижаблестроением. Еще в 1928 году, находясь в Германии, он знакомился не только с авиационными заводами, но и посетил аэродинамическую лабораторию Цеппелина. Год спустя, будучи в Англии и Америке, Туполев также интересовался достижениями этих стран в области дирижаблестроения. Их опыт не оставлял сомнений в том, что для успешного выполнения дирижаблестроительной программы в СССР необходимо объединить деятельность разрозненных организаций этого профиля в едином центре (10731).</w:t>
      </w:r>
    </w:p>
    <w:p w14:paraId="1F9307E5" w14:textId="77777777" w:rsidR="00537E5F" w:rsidRPr="00507A31" w:rsidRDefault="00537E5F" w:rsidP="00507A31">
      <w:pPr>
        <w:autoSpaceDE w:val="0"/>
        <w:autoSpaceDN w:val="0"/>
        <w:adjustRightInd w:val="0"/>
        <w:jc w:val="both"/>
        <w:rPr>
          <w:color w:val="000000" w:themeColor="text1"/>
          <w:sz w:val="16"/>
          <w:szCs w:val="16"/>
        </w:rPr>
      </w:pPr>
    </w:p>
    <w:p w14:paraId="1181752F" w14:textId="77777777" w:rsidR="006C5D63" w:rsidRPr="00507A31" w:rsidRDefault="006C5D63" w:rsidP="00507A31">
      <w:pPr>
        <w:jc w:val="both"/>
        <w:rPr>
          <w:color w:val="0070C0"/>
          <w:sz w:val="16"/>
          <w:szCs w:val="16"/>
        </w:rPr>
      </w:pPr>
      <w:r w:rsidRPr="00507A31">
        <w:rPr>
          <w:color w:val="0070C0"/>
          <w:sz w:val="16"/>
          <w:szCs w:val="16"/>
        </w:rPr>
        <w:t>В ноябре 1930 г. при ВО ГВФ создали управ</w:t>
      </w:r>
      <w:r w:rsidRPr="00507A31">
        <w:rPr>
          <w:color w:val="0070C0"/>
          <w:sz w:val="16"/>
          <w:szCs w:val="16"/>
        </w:rPr>
        <w:softHyphen/>
        <w:t>ление Базы опытного строительства и эксплу</w:t>
      </w:r>
      <w:r w:rsidRPr="00507A31">
        <w:rPr>
          <w:color w:val="0070C0"/>
          <w:sz w:val="16"/>
          <w:szCs w:val="16"/>
        </w:rPr>
        <w:softHyphen/>
        <w:t>атации дирижаблей (БОСЭД). На БОСЭД воз</w:t>
      </w:r>
      <w:r w:rsidRPr="00507A31">
        <w:rPr>
          <w:color w:val="0070C0"/>
          <w:sz w:val="16"/>
          <w:szCs w:val="16"/>
        </w:rPr>
        <w:softHyphen/>
        <w:t>лагалась задачи планирования, строительства и эксплуатации дирижаблей. По заданию БОСЭД при Ленинградском институте ГВФ создали кон</w:t>
      </w:r>
      <w:r w:rsidRPr="00507A31">
        <w:rPr>
          <w:color w:val="0070C0"/>
          <w:sz w:val="16"/>
          <w:szCs w:val="16"/>
        </w:rPr>
        <w:softHyphen/>
        <w:t>структорское бюро по разработке полужёст</w:t>
      </w:r>
      <w:r w:rsidRPr="00507A31">
        <w:rPr>
          <w:color w:val="0070C0"/>
          <w:sz w:val="16"/>
          <w:szCs w:val="16"/>
        </w:rPr>
        <w:softHyphen/>
        <w:t>ких дирижаблей под руководством профессора А.Г. Воробьева (20120).</w:t>
      </w:r>
    </w:p>
    <w:p w14:paraId="2E7957D4" w14:textId="77777777" w:rsidR="006C5D63" w:rsidRPr="00507A31" w:rsidRDefault="006C5D63" w:rsidP="00507A31">
      <w:pPr>
        <w:autoSpaceDE w:val="0"/>
        <w:autoSpaceDN w:val="0"/>
        <w:adjustRightInd w:val="0"/>
        <w:jc w:val="both"/>
        <w:rPr>
          <w:color w:val="0070C0"/>
          <w:sz w:val="16"/>
          <w:szCs w:val="16"/>
        </w:rPr>
      </w:pPr>
    </w:p>
    <w:p w14:paraId="2978DBE9" w14:textId="77777777" w:rsidR="00A21048" w:rsidRPr="00507A31" w:rsidRDefault="00A21048" w:rsidP="00507A31">
      <w:pPr>
        <w:jc w:val="both"/>
        <w:rPr>
          <w:color w:val="0070C0"/>
          <w:sz w:val="16"/>
          <w:szCs w:val="16"/>
        </w:rPr>
      </w:pPr>
      <w:r w:rsidRPr="00507A31">
        <w:rPr>
          <w:color w:val="0070C0"/>
          <w:sz w:val="16"/>
          <w:szCs w:val="16"/>
          <w:lang w:bidi="ru-RU"/>
        </w:rPr>
        <w:t>В ноябре 1930 года Гольцман создал в структуре своего ведомства Базу опытного строительства и эксплуатации дирижаблей - БОСЭД. Наряду с задачами, определёнными в самом названии нового подразделения, ему предстояло заняться разработкой технологий промышленного дирижаблестроения, изысканиями баз и дирижабельных линий, а также обучением технических и лётных кадров.</w:t>
      </w:r>
    </w:p>
    <w:p w14:paraId="7C132DA6" w14:textId="3BB8B643" w:rsidR="00A21048" w:rsidRPr="00507A31" w:rsidRDefault="00A21048" w:rsidP="00507A31">
      <w:pPr>
        <w:autoSpaceDE w:val="0"/>
        <w:autoSpaceDN w:val="0"/>
        <w:adjustRightInd w:val="0"/>
        <w:jc w:val="both"/>
        <w:rPr>
          <w:color w:val="0070C0"/>
          <w:sz w:val="16"/>
          <w:szCs w:val="16"/>
          <w:lang w:bidi="ru-RU"/>
        </w:rPr>
      </w:pPr>
      <w:r w:rsidRPr="00507A31">
        <w:rPr>
          <w:color w:val="0070C0"/>
          <w:sz w:val="16"/>
          <w:szCs w:val="16"/>
          <w:lang w:bidi="ru-RU"/>
        </w:rPr>
        <w:t>Одним из основных вопросов, от которого зависела вся организация работы, было местонахождение главной базы. По-видимому, ещё на этапе предварительных обсуждений декабрьского доклада для Политбюро Гольцман предполагал, что предпочтение с большой вероятностью отдадут Поволжью. Не отменяя подготовки к строительному сезону 1931 года на переславской площадке, он откомандировал специальную комиссию в Саратов. Обосновавшись в гостинице «Астория», она обследовала окрестности города, подыскивая наиболее подходящий участок, который нашёлся на левом берегу Волги, в районе станции Анисовка</w:t>
      </w:r>
      <w:r w:rsidR="00F815C5" w:rsidRPr="00507A31">
        <w:rPr>
          <w:color w:val="0070C0"/>
          <w:sz w:val="16"/>
          <w:szCs w:val="16"/>
          <w:lang w:bidi="ru-RU"/>
        </w:rPr>
        <w:t xml:space="preserve"> (23192)</w:t>
      </w:r>
      <w:r w:rsidRPr="00507A31">
        <w:rPr>
          <w:color w:val="0070C0"/>
          <w:sz w:val="16"/>
          <w:szCs w:val="16"/>
          <w:lang w:bidi="ru-RU"/>
        </w:rPr>
        <w:t xml:space="preserve">. </w:t>
      </w:r>
    </w:p>
    <w:p w14:paraId="3DC31E0A" w14:textId="77777777" w:rsidR="00A21048" w:rsidRPr="00507A31" w:rsidRDefault="00A21048" w:rsidP="00507A31">
      <w:pPr>
        <w:autoSpaceDE w:val="0"/>
        <w:autoSpaceDN w:val="0"/>
        <w:adjustRightInd w:val="0"/>
        <w:jc w:val="both"/>
        <w:rPr>
          <w:color w:val="0070C0"/>
          <w:sz w:val="16"/>
          <w:szCs w:val="16"/>
          <w:lang w:bidi="ru-RU"/>
        </w:rPr>
      </w:pPr>
    </w:p>
    <w:p w14:paraId="66A2A47F" w14:textId="06CB3BD5"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88D97D9" w14:textId="77777777" w:rsidR="00537E5F" w:rsidRPr="00507A31" w:rsidRDefault="00537E5F" w:rsidP="00507A31">
      <w:pPr>
        <w:autoSpaceDE w:val="0"/>
        <w:autoSpaceDN w:val="0"/>
        <w:adjustRightInd w:val="0"/>
        <w:jc w:val="both"/>
        <w:rPr>
          <w:iCs/>
          <w:color w:val="000000" w:themeColor="text1"/>
          <w:sz w:val="16"/>
          <w:szCs w:val="16"/>
        </w:rPr>
      </w:pPr>
    </w:p>
    <w:p w14:paraId="3B070F0A" w14:textId="77777777" w:rsidR="0009051B" w:rsidRPr="00507A31" w:rsidRDefault="0009051B" w:rsidP="00507A31">
      <w:pPr>
        <w:jc w:val="both"/>
        <w:rPr>
          <w:color w:val="000000" w:themeColor="text1"/>
          <w:sz w:val="16"/>
          <w:szCs w:val="16"/>
        </w:rPr>
      </w:pPr>
      <w:r w:rsidRPr="00507A31">
        <w:rPr>
          <w:color w:val="000000" w:themeColor="text1"/>
          <w:sz w:val="16"/>
          <w:szCs w:val="16"/>
        </w:rPr>
        <w:t>В ноябре</w:t>
      </w:r>
      <w:r w:rsidRPr="00507A31">
        <w:rPr>
          <w:color w:val="000000" w:themeColor="text1"/>
          <w:sz w:val="16"/>
          <w:szCs w:val="16"/>
        </w:rPr>
        <w:softHyphen/>
        <w:t>1930 г. ПБ решило одобрить заявку МВ-10. На основе ее сопос</w:t>
      </w:r>
      <w:r w:rsidRPr="00507A31">
        <w:rPr>
          <w:color w:val="000000" w:themeColor="text1"/>
          <w:sz w:val="16"/>
          <w:szCs w:val="16"/>
        </w:rPr>
        <w:softHyphen/>
        <w:t>тавления и реального производства специально на мобилизаци</w:t>
      </w:r>
      <w:r w:rsidRPr="00507A31">
        <w:rPr>
          <w:color w:val="000000" w:themeColor="text1"/>
          <w:sz w:val="16"/>
          <w:szCs w:val="16"/>
        </w:rPr>
        <w:softHyphen/>
        <w:t>онное развитие было решено отпустить ВСНХ 883 млн руб. (вместе с морским флотом), в том числе по авиаобъединению (BAO) - 173 млн руб. Импортные контингенты для НКВМ ПБ определило в 13 млн руб., отдельно по BAO - 15 млн руб. Отме</w:t>
      </w:r>
      <w:r w:rsidRPr="00507A31">
        <w:rPr>
          <w:color w:val="000000" w:themeColor="text1"/>
          <w:sz w:val="16"/>
          <w:szCs w:val="16"/>
        </w:rPr>
        <w:softHyphen/>
        <w:t>чалось, что узким местом остаются химия и танки</w:t>
      </w:r>
      <w:bookmarkStart w:id="102" w:name="_ednref54"/>
      <w:r w:rsidRPr="00507A31">
        <w:rPr>
          <w:color w:val="000000" w:themeColor="text1"/>
          <w:sz w:val="16"/>
          <w:szCs w:val="16"/>
        </w:rPr>
        <w:t xml:space="preserve"> (18393)</w:t>
      </w:r>
      <w:bookmarkEnd w:id="102"/>
      <w:r w:rsidRPr="00507A31">
        <w:rPr>
          <w:color w:val="000000" w:themeColor="text1"/>
          <w:sz w:val="16"/>
          <w:szCs w:val="16"/>
        </w:rPr>
        <w:t>.</w:t>
      </w:r>
    </w:p>
    <w:p w14:paraId="18D8B6BF" w14:textId="77777777" w:rsidR="0009051B" w:rsidRPr="00507A31" w:rsidRDefault="0009051B" w:rsidP="00507A31">
      <w:pPr>
        <w:jc w:val="both"/>
        <w:rPr>
          <w:color w:val="000000" w:themeColor="text1"/>
          <w:sz w:val="16"/>
          <w:szCs w:val="16"/>
        </w:rPr>
      </w:pPr>
    </w:p>
    <w:p w14:paraId="1890C0E5" w14:textId="77777777" w:rsidR="006C5D63" w:rsidRPr="00507A31" w:rsidRDefault="006C5D63" w:rsidP="00507A31">
      <w:pPr>
        <w:autoSpaceDE w:val="0"/>
        <w:autoSpaceDN w:val="0"/>
        <w:adjustRightInd w:val="0"/>
        <w:jc w:val="both"/>
        <w:rPr>
          <w:color w:val="0070C0"/>
          <w:sz w:val="16"/>
          <w:szCs w:val="16"/>
        </w:rPr>
      </w:pPr>
      <w:r w:rsidRPr="00507A31">
        <w:rPr>
          <w:color w:val="0070C0"/>
          <w:sz w:val="16"/>
          <w:szCs w:val="16"/>
        </w:rPr>
        <w:t>В ноябре 1930 г. на заводу № 7 в составе ВОО был образован научно-исследовательский отдел (НИО), заведующим которого был назначен В. В. Витте. К этому времени заведующий ВОО М. М. Шикунин был освобожден от занимаемой должности и переведен в распоряжение Треста, на его место был назначен военный инженер-технолог Ф. Г. Сухомлинов, прибывший на завод после длительной загранкомандировки, в которой находился в целях повышения квалификации. В январе он был освобожден от должности заведующего ВОО и откомандирован в распоряжение ГВООПО. Руководство отделом временно было поручено помощнику директора по технической части И. П. Коптелову.</w:t>
      </w:r>
    </w:p>
    <w:p w14:paraId="0444DAC6" w14:textId="77777777" w:rsidR="006C5D63" w:rsidRPr="00507A31" w:rsidRDefault="006C5D63" w:rsidP="00507A31">
      <w:pPr>
        <w:jc w:val="both"/>
        <w:rPr>
          <w:rFonts w:eastAsia="TimesNewRomanPSMT"/>
          <w:color w:val="0070C0"/>
          <w:sz w:val="16"/>
          <w:szCs w:val="16"/>
        </w:rPr>
      </w:pPr>
      <w:r w:rsidRPr="00507A31">
        <w:rPr>
          <w:color w:val="0070C0"/>
          <w:sz w:val="16"/>
          <w:szCs w:val="16"/>
        </w:rPr>
        <w:t xml:space="preserve">По состоянию на конец 1931 г. номенклатура вопросов, рассматриваемых НИО, включала в себя следующие направления: металлургические и механические исследования, суррогатирование отдельных частей артиллерийских систем (втулки, составные элементы поворотного механизма, колеса, биметалл и др.), исследование трения, хромирование (артиллерийских деталей, мерительного инструмента, лейнеров), металловедение (резание металлов, исследование ковкого и </w:t>
      </w:r>
      <w:r w:rsidRPr="00507A31">
        <w:rPr>
          <w:color w:val="0070C0"/>
          <w:sz w:val="16"/>
          <w:szCs w:val="16"/>
        </w:rPr>
        <w:lastRenderedPageBreak/>
        <w:t>сталистого чугуна, рентгенографическое исследование металла), переписка с механической, химической, рентгеновской, термической и хромировочной лабораториями завода, вопросы сушки дерева и т.д.502 (20074).</w:t>
      </w:r>
    </w:p>
    <w:p w14:paraId="60899FA4" w14:textId="77777777" w:rsidR="006C5D63" w:rsidRPr="00507A31" w:rsidRDefault="006C5D63" w:rsidP="00507A31">
      <w:pPr>
        <w:jc w:val="both"/>
        <w:rPr>
          <w:rFonts w:eastAsia="TimesNewRomanPSMT"/>
          <w:color w:val="0070C0"/>
          <w:sz w:val="16"/>
          <w:szCs w:val="16"/>
        </w:rPr>
      </w:pPr>
    </w:p>
    <w:p w14:paraId="1ABE3BE2" w14:textId="77777777" w:rsidR="006C5D63" w:rsidRPr="00507A31" w:rsidRDefault="006C5D63" w:rsidP="00507A31">
      <w:pPr>
        <w:jc w:val="both"/>
        <w:rPr>
          <w:color w:val="0070C0"/>
          <w:sz w:val="16"/>
          <w:szCs w:val="16"/>
        </w:rPr>
      </w:pPr>
      <w:bookmarkStart w:id="103" w:name="_Hlk56763869"/>
      <w:r w:rsidRPr="00507A31">
        <w:rPr>
          <w:color w:val="0070C0"/>
          <w:sz w:val="16"/>
          <w:szCs w:val="16"/>
        </w:rPr>
        <w:t>В ноябре 1930 вступил в строй Московский авто</w:t>
      </w:r>
      <w:r w:rsidRPr="00507A31">
        <w:rPr>
          <w:color w:val="0070C0"/>
          <w:sz w:val="16"/>
          <w:szCs w:val="16"/>
        </w:rPr>
        <w:softHyphen/>
        <w:t>сборочный завод. В декабре постановлением ВАТО завод стал именоваться «Государственный автосбо</w:t>
      </w:r>
      <w:r w:rsidRPr="00507A31">
        <w:rPr>
          <w:color w:val="0070C0"/>
          <w:sz w:val="16"/>
          <w:szCs w:val="16"/>
        </w:rPr>
        <w:softHyphen/>
        <w:t>рочный завод им. КИМ в Москве» (КИМ - Коммунис</w:t>
      </w:r>
      <w:r w:rsidRPr="00507A31">
        <w:rPr>
          <w:color w:val="0070C0"/>
          <w:sz w:val="16"/>
          <w:szCs w:val="16"/>
        </w:rPr>
        <w:softHyphen/>
        <w:t>тический Интернационал Молодежи). До 1933 г. за</w:t>
      </w:r>
      <w:r w:rsidRPr="00507A31">
        <w:rPr>
          <w:color w:val="0070C0"/>
          <w:sz w:val="16"/>
          <w:szCs w:val="16"/>
        </w:rPr>
        <w:softHyphen/>
        <w:t>вод выпускал автомобили Форд-А и Форд-АА (22518).</w:t>
      </w:r>
    </w:p>
    <w:p w14:paraId="0F0C16C2" w14:textId="77777777" w:rsidR="006C5D63" w:rsidRPr="00507A31" w:rsidRDefault="006C5D63" w:rsidP="00507A31">
      <w:pPr>
        <w:jc w:val="both"/>
        <w:rPr>
          <w:color w:val="0070C0"/>
          <w:sz w:val="16"/>
          <w:szCs w:val="16"/>
        </w:rPr>
      </w:pPr>
    </w:p>
    <w:p w14:paraId="5DD1D928" w14:textId="77777777" w:rsidR="006C5D63" w:rsidRPr="00507A31" w:rsidRDefault="006C5D63" w:rsidP="00507A31">
      <w:pPr>
        <w:pStyle w:val="ae"/>
        <w:shd w:val="clear" w:color="auto" w:fill="FFFFFF"/>
        <w:spacing w:before="0" w:after="0"/>
        <w:jc w:val="both"/>
        <w:rPr>
          <w:color w:val="0070C0"/>
          <w:sz w:val="16"/>
          <w:szCs w:val="16"/>
        </w:rPr>
      </w:pPr>
      <w:r w:rsidRPr="00507A31">
        <w:rPr>
          <w:color w:val="0070C0"/>
          <w:sz w:val="16"/>
          <w:szCs w:val="16"/>
        </w:rPr>
        <w:t>В ноябре 1930 года администрация завода «Красный путиловец» попросила Мобилизационно-плановое управление (МПУ) ВСНХ выделить высококвалифицированных специалистов для укомплектования конструкторского бюро предприятия, в ответ был получен категорический отказ, мотивированный следующими аргументами: «Мобилизационно-плановое управление ВСНХ в настоящее время не имеет в своем распоряжении инженерно-технического персонала, могущего быть выделенным на завод «Красный путиловец», снять лиц с других заводов нет возможности. МПУ ВСНХ СССР еще раз указывает на необходимость выделения специалистов в конструкторское бюро за счет своих резервов…» (20981).</w:t>
      </w:r>
    </w:p>
    <w:p w14:paraId="5684B4B6" w14:textId="77777777" w:rsidR="006C5D63" w:rsidRPr="00507A31" w:rsidRDefault="006C5D63" w:rsidP="00507A31">
      <w:pPr>
        <w:pStyle w:val="ae"/>
        <w:shd w:val="clear" w:color="auto" w:fill="FFFFFF"/>
        <w:spacing w:before="0" w:after="0"/>
        <w:jc w:val="both"/>
        <w:rPr>
          <w:color w:val="0070C0"/>
          <w:sz w:val="16"/>
          <w:szCs w:val="16"/>
        </w:rPr>
      </w:pPr>
    </w:p>
    <w:bookmarkEnd w:id="103"/>
    <w:p w14:paraId="4CE775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г. завод «Красный пахарь» был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668578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  г. Вологда ул. Машиностроительная, 19/).</w:t>
      </w:r>
      <w:r w:rsidRPr="00507A31">
        <w:rPr>
          <w:color w:val="000000" w:themeColor="text1"/>
          <w:sz w:val="16"/>
          <w:szCs w:val="16"/>
          <w:vertAlign w:val="superscript"/>
        </w:rPr>
        <w:t>129</w:t>
      </w:r>
    </w:p>
    <w:p w14:paraId="296FE7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4503F3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43A052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1961 г. на заводе создано Вологодское головное КБ по проектированию деревообрабатывающего оборудования.</w:t>
      </w:r>
    </w:p>
    <w:p w14:paraId="787CA3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609066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  г. Вологды № 2062 от 29.12.1992 г. Решением акционеров от 5.05.1996 г. АООТ преобразовано в ОАО.</w:t>
      </w:r>
    </w:p>
    <w:p w14:paraId="1EBE23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(1992 г.)-1170 чел.</w:t>
      </w:r>
    </w:p>
    <w:p w14:paraId="7F5D21A0"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w:t>
      </w:r>
      <w:r w:rsidRPr="00507A31">
        <w:rPr>
          <w:color w:val="000000" w:themeColor="text1"/>
          <w:sz w:val="16"/>
          <w:szCs w:val="16"/>
        </w:rPr>
        <w:t xml:space="preserve"> лесопильные рамы Р65-1, Р65-2, ГГС-2 (1930-е) (11982).</w:t>
      </w:r>
    </w:p>
    <w:p w14:paraId="32E00378" w14:textId="77777777" w:rsidR="00537E5F" w:rsidRPr="00507A31" w:rsidRDefault="00537E5F" w:rsidP="00507A31">
      <w:pPr>
        <w:autoSpaceDE w:val="0"/>
        <w:autoSpaceDN w:val="0"/>
        <w:adjustRightInd w:val="0"/>
        <w:jc w:val="both"/>
        <w:rPr>
          <w:color w:val="000000" w:themeColor="text1"/>
          <w:sz w:val="16"/>
          <w:szCs w:val="16"/>
        </w:rPr>
      </w:pPr>
    </w:p>
    <w:p w14:paraId="56F1CE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года были испытаны на НИАПе все 6 опытных образцов 76-мм батальонных мортир:</w:t>
      </w:r>
    </w:p>
    <w:p w14:paraId="1584A3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КБ НТК Артуправления 1-й вариант;</w:t>
      </w:r>
    </w:p>
    <w:p w14:paraId="1C93DA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КБ НТК Артуправления 3-й вариант;</w:t>
      </w:r>
    </w:p>
    <w:p w14:paraId="6F44A0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Завод "Красный Путиловец;</w:t>
      </w:r>
    </w:p>
    <w:p w14:paraId="36C4CB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Завод "Большевик";</w:t>
      </w:r>
    </w:p>
    <w:p w14:paraId="36D24B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ОАТ;</w:t>
      </w:r>
    </w:p>
    <w:p w14:paraId="3CA570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Глухарева, Щелкова и Тагунова (ГШТ).</w:t>
      </w:r>
    </w:p>
    <w:p w14:paraId="31E7B2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Лучшей на испытаниях была признана мортира заводов "Большевик". Ворошилову же не понравились все системы. Хотя лучших мортир никто не предлагал. После 1930 года дальнейшая доработка и испытания перечисленных образцов 76-мм мортир не велось, а сами образцы были попросту заброшены на заводах-изготовителях и на НИАПе (3861).</w:t>
      </w:r>
    </w:p>
    <w:p w14:paraId="20B093B6" w14:textId="77777777" w:rsidR="00537E5F" w:rsidRPr="00507A31" w:rsidRDefault="00537E5F" w:rsidP="00507A31">
      <w:pPr>
        <w:autoSpaceDE w:val="0"/>
        <w:autoSpaceDN w:val="0"/>
        <w:adjustRightInd w:val="0"/>
        <w:jc w:val="both"/>
        <w:rPr>
          <w:color w:val="000000" w:themeColor="text1"/>
          <w:sz w:val="16"/>
          <w:szCs w:val="16"/>
        </w:rPr>
      </w:pPr>
    </w:p>
    <w:p w14:paraId="311F6F21" w14:textId="77777777" w:rsidR="00343E79" w:rsidRPr="00507A31" w:rsidRDefault="00343E79" w:rsidP="00507A31">
      <w:pPr>
        <w:pStyle w:val="ae"/>
        <w:shd w:val="clear" w:color="auto" w:fill="FFFFFF"/>
        <w:spacing w:before="0" w:after="0"/>
        <w:jc w:val="both"/>
        <w:rPr>
          <w:color w:val="000000" w:themeColor="text1"/>
          <w:sz w:val="16"/>
          <w:szCs w:val="16"/>
        </w:rPr>
      </w:pPr>
      <w:r w:rsidRPr="00507A31">
        <w:rPr>
          <w:color w:val="000000" w:themeColor="text1"/>
          <w:sz w:val="16"/>
          <w:szCs w:val="16"/>
        </w:rPr>
        <w:t>В ноябре 1930 года прошли испытания трёх типов ведущих колёс Т-18. Наиболее удачным оказалось 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1DF71FCE" w14:textId="77777777" w:rsidR="00343E79" w:rsidRPr="00507A31" w:rsidRDefault="00343E79" w:rsidP="00507A31">
      <w:pPr>
        <w:jc w:val="both"/>
        <w:rPr>
          <w:color w:val="000000" w:themeColor="text1"/>
          <w:sz w:val="16"/>
          <w:szCs w:val="16"/>
        </w:rPr>
      </w:pPr>
    </w:p>
    <w:p w14:paraId="2C8BDB02" w14:textId="77777777" w:rsidR="0009051B" w:rsidRPr="00507A31" w:rsidRDefault="0009051B" w:rsidP="00507A31">
      <w:pPr>
        <w:jc w:val="both"/>
        <w:rPr>
          <w:color w:val="000000" w:themeColor="text1"/>
          <w:sz w:val="16"/>
          <w:szCs w:val="16"/>
          <w:shd w:val="clear" w:color="auto" w:fill="FFFFFF"/>
        </w:rPr>
      </w:pPr>
      <w:r w:rsidRPr="00507A31">
        <w:rPr>
          <w:color w:val="000000" w:themeColor="text1"/>
          <w:sz w:val="16"/>
          <w:szCs w:val="16"/>
          <w:shd w:val="clear" w:color="auto" w:fill="FFFFFF"/>
        </w:rPr>
        <w:t>В ноябре 1930 - февраль 1932 гг.) бала переписка т.т. Халепского, Заславского и Ворошилова, из которой можно понять, что глава УММ был очарован "танком ГРОТТО". В частности он отмечал лучшие вооружение, плавность хода, легкость в управлении, обзор и даже ... простоту изготовления этого танка по сравнению не только с Т-12/Т-24, но и с танками "...американца Кристи, которые я видел в прошлом году в Америке". При этом тов. Заславский, отвечавший за Т-24, сетовал Климентию Ефремовичу на малое внимание к освоению серийного выпуска изделия ХПЗ. А тов. Ворошилов, отвечая Заславскому, чтобы тот обходился собственными силами, интересовался у Халепского: "... когда же новый и необходимый танк (Гроте) наконец появится в частях Красной армии?". Это продолжалось практически целый год. Завод сидел без финансирования и материалов, а начальство ждало окончания испытаний танка Гроте, потом изучало и обобщало их результаты и т.д. Но танк ТГ принят на вооружение не был, а мощности ХПЗ уже были заняты новым заказом - освоением того самого танка Кристи, который незадолго до того был отвергнут тов. Халепским (19553).</w:t>
      </w:r>
    </w:p>
    <w:p w14:paraId="0C5DA5E9" w14:textId="77777777" w:rsidR="0009051B" w:rsidRPr="00507A31" w:rsidRDefault="0009051B" w:rsidP="00507A31">
      <w:pPr>
        <w:jc w:val="both"/>
        <w:rPr>
          <w:color w:val="000000" w:themeColor="text1"/>
          <w:sz w:val="16"/>
          <w:szCs w:val="16"/>
          <w:shd w:val="clear" w:color="auto" w:fill="FFFFFF"/>
        </w:rPr>
      </w:pPr>
    </w:p>
    <w:p w14:paraId="7FB28860" w14:textId="77777777" w:rsidR="0009051B" w:rsidRPr="00507A31" w:rsidRDefault="0009051B" w:rsidP="00507A31">
      <w:pPr>
        <w:jc w:val="both"/>
        <w:rPr>
          <w:color w:val="000000" w:themeColor="text1"/>
          <w:sz w:val="16"/>
          <w:szCs w:val="16"/>
        </w:rPr>
      </w:pPr>
      <w:r w:rsidRPr="00507A31">
        <w:rPr>
          <w:color w:val="000000" w:themeColor="text1"/>
          <w:sz w:val="16"/>
          <w:szCs w:val="16"/>
        </w:rPr>
        <w:t>В ноябре 1930 года Дыренков, учитывая результаты испытания первого опытного броневагона своей конструкции, разработал проект более мощной боевой единицы, получившей обозначение Д-2. Одновременно прошедшему ремонт опытному образцу мотоброне-вагона присвоили индекс Д-3 (18626).</w:t>
      </w:r>
    </w:p>
    <w:p w14:paraId="7F26B592" w14:textId="77777777" w:rsidR="0009051B" w:rsidRPr="00507A31" w:rsidRDefault="0009051B" w:rsidP="00507A31">
      <w:pPr>
        <w:jc w:val="both"/>
        <w:rPr>
          <w:color w:val="000000" w:themeColor="text1"/>
          <w:sz w:val="16"/>
          <w:szCs w:val="16"/>
        </w:rPr>
      </w:pPr>
    </w:p>
    <w:p w14:paraId="0B10950F" w14:textId="77777777" w:rsidR="008D0DCF" w:rsidRPr="00507A31" w:rsidRDefault="008D0DCF" w:rsidP="00507A31">
      <w:pPr>
        <w:jc w:val="both"/>
        <w:rPr>
          <w:color w:val="000000" w:themeColor="text1"/>
          <w:sz w:val="16"/>
          <w:szCs w:val="16"/>
        </w:rPr>
      </w:pPr>
      <w:r w:rsidRPr="00507A31">
        <w:rPr>
          <w:color w:val="000000" w:themeColor="text1"/>
          <w:sz w:val="16"/>
          <w:szCs w:val="16"/>
        </w:rPr>
        <w:t>В ноябре 1930 года Дыренков, учитывая результаты испытания первого опытного броневагона своей конструкции, разработал проект более мощной боевой единицы, получившей обозначение Д-2. Одновременно прошедшему ремонт опытному образцу мотоброневагона присвоили индекс Д-3 (15624).</w:t>
      </w:r>
    </w:p>
    <w:p w14:paraId="16330D09" w14:textId="77777777" w:rsidR="008D0DCF" w:rsidRPr="00507A31" w:rsidRDefault="008D0DCF" w:rsidP="00507A31">
      <w:pPr>
        <w:jc w:val="both"/>
        <w:rPr>
          <w:color w:val="000000" w:themeColor="text1"/>
          <w:sz w:val="16"/>
          <w:szCs w:val="16"/>
        </w:rPr>
      </w:pPr>
    </w:p>
    <w:p w14:paraId="3F87C8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года к заводу "Гудок Октября" в Нижнем Новгороде, который с февраля 1930 начал сборку автомобилей "Форд-А", "Форд-АА" и "Форд-Тимкен", подключился московский завод "им. КИМ" (3862).</w:t>
      </w:r>
    </w:p>
    <w:p w14:paraId="572A1D04" w14:textId="77777777" w:rsidR="00537E5F" w:rsidRPr="00507A31" w:rsidRDefault="00537E5F" w:rsidP="00507A31">
      <w:pPr>
        <w:autoSpaceDE w:val="0"/>
        <w:autoSpaceDN w:val="0"/>
        <w:adjustRightInd w:val="0"/>
        <w:jc w:val="both"/>
        <w:rPr>
          <w:color w:val="000000" w:themeColor="text1"/>
          <w:sz w:val="16"/>
          <w:szCs w:val="16"/>
        </w:rPr>
      </w:pPr>
    </w:p>
    <w:p w14:paraId="05A7F4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ноябре 1930 в сборке «фордов» из американских деталей к заводу «Гудок Октября» в Нижнем Нов</w:t>
      </w:r>
      <w:r w:rsidRPr="00507A31">
        <w:rPr>
          <w:color w:val="000000" w:themeColor="text1"/>
          <w:sz w:val="16"/>
          <w:szCs w:val="16"/>
        </w:rPr>
        <w:softHyphen/>
        <w:t>городе, который начал в феврале 1930, присоединился 2-й автосборочный завод в Москве. В январе 1932 года был запущен автомо</w:t>
      </w:r>
      <w:r w:rsidRPr="00507A31">
        <w:rPr>
          <w:color w:val="000000" w:themeColor="text1"/>
          <w:sz w:val="16"/>
          <w:szCs w:val="16"/>
        </w:rPr>
        <w:softHyphen/>
        <w:t>бильный завод в Нижнем Новгороде, ставший крупнейшим производителем легковых и грузовых машин в СССР (по</w:t>
      </w:r>
      <w:r w:rsidRPr="00507A31">
        <w:rPr>
          <w:color w:val="000000" w:themeColor="text1"/>
          <w:sz w:val="16"/>
          <w:szCs w:val="16"/>
        </w:rPr>
        <w:softHyphen/>
        <w:t>сле переименования Нижнего Новгорода в Горький пред</w:t>
      </w:r>
      <w:r w:rsidRPr="00507A31">
        <w:rPr>
          <w:color w:val="000000" w:themeColor="text1"/>
          <w:sz w:val="16"/>
          <w:szCs w:val="16"/>
        </w:rPr>
        <w:softHyphen/>
        <w:t>приятие стало называться ГАЗ — Горьковский автомобиль</w:t>
      </w:r>
      <w:r w:rsidRPr="00507A31">
        <w:rPr>
          <w:color w:val="000000" w:themeColor="text1"/>
          <w:sz w:val="16"/>
          <w:szCs w:val="16"/>
        </w:rPr>
        <w:softHyphen/>
        <w:t>ный завод имени Молотова). Здесь выпускались грузовики ГАЗ-АА и легковые ГАЗ-А, являвшиеся советскими вариан</w:t>
      </w:r>
      <w:r w:rsidRPr="00507A31">
        <w:rPr>
          <w:color w:val="000000" w:themeColor="text1"/>
          <w:sz w:val="16"/>
          <w:szCs w:val="16"/>
        </w:rPr>
        <w:softHyphen/>
        <w:t>тами фордовских моделей (11284).</w:t>
      </w:r>
    </w:p>
    <w:p w14:paraId="175E88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09D68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ноября 1930 г. второе автосборочное предприятие - завод имени КИМ (ныне АЗЛК) вступил в строй. В противоположность "Гудку Октября" он строился заново как современное предприятие, был рассчитан на годовой выпуск 24 тыс. машин. Оба собирали "Форд-А" и "Форд-АА", то есть модели, которые после окончания строительства предстояло выпускать основному заводу в Нижнем Новгороде. Тогда фордовские детали должны были постепенно уступать место отечественным. Надо отметить, что "Гудок Октября" со второй половины 1931 г. начал монтаж и трехосных грузовиков "Форд-Тимкен" (12098).</w:t>
      </w:r>
    </w:p>
    <w:p w14:paraId="51AC7C2E" w14:textId="77777777" w:rsidR="00537E5F" w:rsidRPr="00507A31" w:rsidRDefault="00537E5F" w:rsidP="00507A31">
      <w:pPr>
        <w:autoSpaceDE w:val="0"/>
        <w:autoSpaceDN w:val="0"/>
        <w:adjustRightInd w:val="0"/>
        <w:jc w:val="both"/>
        <w:rPr>
          <w:color w:val="000000" w:themeColor="text1"/>
          <w:sz w:val="16"/>
          <w:szCs w:val="16"/>
        </w:rPr>
      </w:pPr>
    </w:p>
    <w:p w14:paraId="6124CD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ноябре 1930 г. в Центральном Совете (ЦС) АВТОДОРа прошло расширенное совещание, на которое пригласили членов мотосекции и представителей АВТОДОРа Ленинграда и Ижев</w:t>
      </w:r>
      <w:r w:rsidRPr="00507A31">
        <w:rPr>
          <w:color w:val="000000" w:themeColor="text1"/>
          <w:sz w:val="16"/>
          <w:szCs w:val="16"/>
        </w:rPr>
        <w:softHyphen/>
        <w:t>ска. Обсуждали проблемы отечественного мотоциклостроения. До конца года в Ленинграде предполагали изготовить только 75 мотоциклов [4.33], несмотря на то, что к началу ноября 1930 г. заводам «Красный Октябрь» и «ПРОМЕТ» удалось изготовить всего 15 экземпляров [4.34]. Дискуссия показала, что столь огра</w:t>
      </w:r>
      <w:r w:rsidRPr="00507A31">
        <w:rPr>
          <w:color w:val="000000" w:themeColor="text1"/>
          <w:sz w:val="16"/>
          <w:szCs w:val="16"/>
        </w:rPr>
        <w:softHyphen/>
        <w:t>ниченный выпуск не одобряли рабочие заводов и общественные организации города на Неве. Эти обсуждения выявили странное явление. Вслед за трестом РУЖ, Всесоюзное автотракторное объединение (ВАТО) отказалось возглавить строительство мото</w:t>
      </w:r>
      <w:r w:rsidRPr="00507A31">
        <w:rPr>
          <w:color w:val="000000" w:themeColor="text1"/>
          <w:sz w:val="16"/>
          <w:szCs w:val="16"/>
        </w:rPr>
        <w:softHyphen/>
        <w:t>циклетного завода. Возникло даже предложение поручить произ</w:t>
      </w:r>
      <w:r w:rsidRPr="00507A31">
        <w:rPr>
          <w:color w:val="000000" w:themeColor="text1"/>
          <w:sz w:val="16"/>
          <w:szCs w:val="16"/>
        </w:rPr>
        <w:softHyphen/>
        <w:t xml:space="preserve">водство </w:t>
      </w:r>
      <w:r w:rsidRPr="00507A31">
        <w:rPr>
          <w:color w:val="000000" w:themeColor="text1"/>
          <w:sz w:val="16"/>
          <w:szCs w:val="16"/>
        </w:rPr>
        <w:lastRenderedPageBreak/>
        <w:t>мотоциклов трестам Союзсредмаш или Госшвеймашины. Проводивший заседание заместитель наркома по военным и мор</w:t>
      </w:r>
      <w:r w:rsidRPr="00507A31">
        <w:rPr>
          <w:color w:val="000000" w:themeColor="text1"/>
          <w:sz w:val="16"/>
          <w:szCs w:val="16"/>
        </w:rPr>
        <w:softHyphen/>
        <w:t>ским делам С.С. Каменев высказался о целесообразности увели</w:t>
      </w:r>
      <w:r w:rsidRPr="00507A31">
        <w:rPr>
          <w:color w:val="000000" w:themeColor="text1"/>
          <w:sz w:val="16"/>
          <w:szCs w:val="16"/>
        </w:rPr>
        <w:softHyphen/>
        <w:t>чения в ближайшее время выпуска мотоциклов в Ленинграде до 10 тыс. в год и ускоренном строительстве завода с годовой про</w:t>
      </w:r>
      <w:r w:rsidRPr="00507A31">
        <w:rPr>
          <w:color w:val="000000" w:themeColor="text1"/>
          <w:sz w:val="16"/>
          <w:szCs w:val="16"/>
        </w:rPr>
        <w:softHyphen/>
        <w:t>граммой 50 тыс. мотоциклов в Ижевске или другом городе [4.35]. Известие об этом побудило руководство завода «Красный Ок</w:t>
      </w:r>
      <w:r w:rsidRPr="00507A31">
        <w:rPr>
          <w:color w:val="000000" w:themeColor="text1"/>
          <w:sz w:val="16"/>
          <w:szCs w:val="16"/>
        </w:rPr>
        <w:softHyphen/>
        <w:t>тябрь» создать Мотобюро в составе 49 человек во главе с инже</w:t>
      </w:r>
      <w:r w:rsidRPr="00507A31">
        <w:rPr>
          <w:color w:val="000000" w:themeColor="text1"/>
          <w:sz w:val="16"/>
          <w:szCs w:val="16"/>
        </w:rPr>
        <w:softHyphen/>
        <w:t>нером Колесниковым [4.22], с частью штата которого П.В. Мо</w:t>
      </w:r>
      <w:r w:rsidRPr="00507A31">
        <w:rPr>
          <w:color w:val="000000" w:themeColor="text1"/>
          <w:sz w:val="16"/>
          <w:szCs w:val="16"/>
        </w:rPr>
        <w:softHyphen/>
        <w:t>жаров по личной инициативе взялся за доработку чертежей мото</w:t>
      </w:r>
      <w:r w:rsidRPr="00507A31">
        <w:rPr>
          <w:color w:val="000000" w:themeColor="text1"/>
          <w:sz w:val="16"/>
          <w:szCs w:val="16"/>
        </w:rPr>
        <w:softHyphen/>
        <w:t>цикла Л-300, а затем и за изготовление трёх опытных машин. Эту работу выполняли в трудных условиях. Из-за опасения возмож</w:t>
      </w:r>
      <w:r w:rsidRPr="00507A31">
        <w:rPr>
          <w:color w:val="000000" w:themeColor="text1"/>
          <w:sz w:val="16"/>
          <w:szCs w:val="16"/>
        </w:rPr>
        <w:softHyphen/>
        <w:t>ной войны, на заводе «Красный Октябрь» переориентировали финансирование на военную тематику и снизили на 30% план по</w:t>
      </w:r>
      <w:r w:rsidRPr="00507A31">
        <w:rPr>
          <w:color w:val="000000" w:themeColor="text1"/>
          <w:sz w:val="16"/>
          <w:szCs w:val="16"/>
        </w:rPr>
        <w:softHyphen/>
        <w:t>ставок зарубежного оборудования [4.36]. Лучшие кадры перево</w:t>
      </w:r>
      <w:r w:rsidRPr="00507A31">
        <w:rPr>
          <w:color w:val="000000" w:themeColor="text1"/>
          <w:sz w:val="16"/>
          <w:szCs w:val="16"/>
        </w:rPr>
        <w:softHyphen/>
        <w:t>дили на военную тематику, численность Мотобюро сократили. К началу лета 1931 г. удалось изготовить три усовершенствован</w:t>
      </w:r>
      <w:r w:rsidRPr="00507A31">
        <w:rPr>
          <w:color w:val="000000" w:themeColor="text1"/>
          <w:sz w:val="16"/>
          <w:szCs w:val="16"/>
        </w:rPr>
        <w:softHyphen/>
        <w:t>ных мотоцикла, в которые ввели изменения, предусмотренные обновлёнными чертежами. Главным было использование первого советского магнето, созданного на заводе «Красный Октябрь» [4.37]. Новинка оказалась компактней и надёжней зарубежных</w:t>
      </w:r>
    </w:p>
    <w:p w14:paraId="5BFCAF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моделей [4.38] (11429).</w:t>
      </w:r>
    </w:p>
    <w:p w14:paraId="07D54B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CC471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Г.К.О. назначили председателем ВСНХ (1348,199).</w:t>
      </w:r>
    </w:p>
    <w:p w14:paraId="3742426B" w14:textId="77777777" w:rsidR="00537E5F" w:rsidRPr="00507A31" w:rsidRDefault="00537E5F" w:rsidP="00507A31">
      <w:pPr>
        <w:autoSpaceDE w:val="0"/>
        <w:autoSpaceDN w:val="0"/>
        <w:adjustRightInd w:val="0"/>
        <w:jc w:val="both"/>
        <w:rPr>
          <w:color w:val="000000" w:themeColor="text1"/>
          <w:sz w:val="16"/>
          <w:szCs w:val="16"/>
        </w:rPr>
      </w:pPr>
    </w:p>
    <w:p w14:paraId="03FAC8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ноябре 1930 Председателем ВСНХ становится Г. Орджоникидзе.</w:t>
      </w:r>
    </w:p>
    <w:p w14:paraId="46E426F7" w14:textId="77777777" w:rsidR="00537E5F" w:rsidRPr="00507A31" w:rsidRDefault="00537E5F" w:rsidP="00507A31">
      <w:pPr>
        <w:autoSpaceDE w:val="0"/>
        <w:autoSpaceDN w:val="0"/>
        <w:adjustRightInd w:val="0"/>
        <w:jc w:val="both"/>
        <w:rPr>
          <w:iCs/>
          <w:color w:val="000000" w:themeColor="text1"/>
          <w:sz w:val="16"/>
          <w:szCs w:val="16"/>
        </w:rPr>
      </w:pPr>
    </w:p>
    <w:p w14:paraId="39B7B383" w14:textId="77777777" w:rsidR="000000E5" w:rsidRPr="00507A31" w:rsidRDefault="000000E5"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ноябре </w:t>
      </w:r>
      <w:bookmarkStart w:id="104" w:name="YANDEX_57"/>
      <w:bookmarkEnd w:id="104"/>
      <w:r w:rsidRPr="00507A31">
        <w:rPr>
          <w:rStyle w:val="highlight"/>
          <w:color w:val="000000" w:themeColor="text1"/>
          <w:sz w:val="16"/>
          <w:szCs w:val="16"/>
        </w:rPr>
        <w:t> 1930 </w:t>
      </w:r>
      <w:r w:rsidRPr="00507A31">
        <w:rPr>
          <w:color w:val="000000" w:themeColor="text1"/>
          <w:sz w:val="16"/>
          <w:szCs w:val="16"/>
        </w:rPr>
        <w:t xml:space="preserve"> года когда администрация </w:t>
      </w:r>
      <w:bookmarkStart w:id="105" w:name="YANDEX_56"/>
      <w:bookmarkEnd w:id="105"/>
      <w:r w:rsidRPr="00507A31">
        <w:rPr>
          <w:rStyle w:val="highlight"/>
          <w:color w:val="000000" w:themeColor="text1"/>
          <w:sz w:val="16"/>
          <w:szCs w:val="16"/>
        </w:rPr>
        <w:t> завода </w:t>
      </w:r>
      <w:r w:rsidRPr="00507A31">
        <w:rPr>
          <w:color w:val="000000" w:themeColor="text1"/>
          <w:sz w:val="16"/>
          <w:szCs w:val="16"/>
        </w:rPr>
        <w:t xml:space="preserve"> «Красный путиловец» попросила Мобилизационно-плановое управление (МПУ) ВСНХ выделить высококвалифицированных специалистов для укомплектования конструкторского бюро предприятия, в ответ был получен категорический отказ, мотивированный следующими аргументами: «Мобилизационно-плановое управление ВСНХ в настоящее время не имеет в своем распоряжении инженерно-технического персонала, могущего быть выделенным на </w:t>
      </w:r>
      <w:bookmarkStart w:id="106" w:name="YANDEX_58"/>
      <w:bookmarkEnd w:id="106"/>
      <w:r w:rsidRPr="00507A31">
        <w:rPr>
          <w:rStyle w:val="highlight"/>
          <w:color w:val="000000" w:themeColor="text1"/>
          <w:sz w:val="16"/>
          <w:szCs w:val="16"/>
        </w:rPr>
        <w:t> завод </w:t>
      </w:r>
      <w:r w:rsidRPr="00507A31">
        <w:rPr>
          <w:color w:val="000000" w:themeColor="text1"/>
          <w:sz w:val="16"/>
          <w:szCs w:val="16"/>
        </w:rPr>
        <w:t xml:space="preserve"> «Красный путиловец», снять лиц с других </w:t>
      </w:r>
      <w:bookmarkStart w:id="107" w:name="YANDEX_59"/>
      <w:bookmarkEnd w:id="107"/>
      <w:r w:rsidRPr="00507A31">
        <w:rPr>
          <w:rStyle w:val="highlight"/>
          <w:color w:val="000000" w:themeColor="text1"/>
          <w:sz w:val="16"/>
          <w:szCs w:val="16"/>
        </w:rPr>
        <w:t> заводов </w:t>
      </w:r>
      <w:r w:rsidRPr="00507A31">
        <w:rPr>
          <w:color w:val="000000" w:themeColor="text1"/>
          <w:sz w:val="16"/>
          <w:szCs w:val="16"/>
        </w:rPr>
        <w:t xml:space="preserve"> нет возможности. МПУ ВСНХ СССР еще раз указывает на необходимость выделения специалистов в конструкторское бюро за счет своих резервов…» (17235).</w:t>
      </w:r>
    </w:p>
    <w:p w14:paraId="576E8400" w14:textId="77777777" w:rsidR="000000E5" w:rsidRPr="00507A31" w:rsidRDefault="000000E5" w:rsidP="00507A31">
      <w:pPr>
        <w:autoSpaceDE w:val="0"/>
        <w:autoSpaceDN w:val="0"/>
        <w:adjustRightInd w:val="0"/>
        <w:jc w:val="both"/>
        <w:rPr>
          <w:iCs/>
          <w:color w:val="000000" w:themeColor="text1"/>
          <w:sz w:val="16"/>
          <w:szCs w:val="16"/>
        </w:rPr>
      </w:pPr>
    </w:p>
    <w:p w14:paraId="45CAE4EB" w14:textId="77777777" w:rsidR="0009051B" w:rsidRPr="00507A31" w:rsidRDefault="0009051B" w:rsidP="00507A31">
      <w:pPr>
        <w:jc w:val="both"/>
        <w:rPr>
          <w:color w:val="000000" w:themeColor="text1"/>
          <w:sz w:val="16"/>
          <w:szCs w:val="16"/>
        </w:rPr>
      </w:pPr>
      <w:r w:rsidRPr="00507A31">
        <w:rPr>
          <w:color w:val="000000" w:themeColor="text1"/>
          <w:sz w:val="16"/>
          <w:szCs w:val="16"/>
        </w:rPr>
        <w:t>В ноябре 1930 г., в развитие заказа «Блокада», Мортехупр выдал ВЭО новый заказ на радиоаппаратуру на общую сумму 8 555 тыс. руб. Он был рассчитан на период до 1 января 1934 г. и предполагал, с учетом ранее выданных заказов, полное оснащение всех новых и действующих судов флота (включая Гидрографическое управление), объектов СНиС и береговой обороны однотипной радиоаппаратурой единой системы радиовооружения (приложение 3.7) (18297).</w:t>
      </w:r>
    </w:p>
    <w:p w14:paraId="13BCDAF3" w14:textId="77777777" w:rsidR="0009051B" w:rsidRPr="00507A31" w:rsidRDefault="0009051B" w:rsidP="00507A31">
      <w:pPr>
        <w:jc w:val="both"/>
        <w:rPr>
          <w:color w:val="000000" w:themeColor="text1"/>
          <w:sz w:val="16"/>
          <w:szCs w:val="16"/>
        </w:rPr>
      </w:pPr>
    </w:p>
    <w:p w14:paraId="4F284C02" w14:textId="77777777" w:rsidR="0009051B" w:rsidRPr="00507A31" w:rsidRDefault="0009051B" w:rsidP="00507A31">
      <w:pPr>
        <w:jc w:val="both"/>
        <w:rPr>
          <w:color w:val="000000" w:themeColor="text1"/>
          <w:sz w:val="16"/>
          <w:szCs w:val="16"/>
        </w:rPr>
      </w:pPr>
      <w:r w:rsidRPr="00507A31">
        <w:rPr>
          <w:color w:val="000000" w:themeColor="text1"/>
          <w:sz w:val="16"/>
          <w:szCs w:val="16"/>
        </w:rPr>
        <w:t>В ноябре 1930 года ОГПУ организовало Особую кабельную экспедицию, в составе которой работала группа осужденных специалистов под руководством Лапина. Экспедиция ОГПУ подняла со дна Баренцева и Белого моря 825 км подводного телеграфного кабеля, из которых 350 км было проложено на Каспийском море и 212 км на Азовском и Черном море. Работы по подъему, транспортировке и прокладке кабеля были закончены 5 февраля 1933 года. Кабельные линии Керчь--Бердянск, Баку--Красноводск, Баилов--Нарген, Балаклава--Сухуми и Нарген--Султан общей протяженностью свыше 1550 км были проверены и переданы от ОГПУ для эксплуатации Народному комиссариату связи СССР.</w:t>
      </w:r>
    </w:p>
    <w:p w14:paraId="57F8B740" w14:textId="77777777" w:rsidR="0009051B" w:rsidRPr="00507A31" w:rsidRDefault="0009051B" w:rsidP="00507A31">
      <w:pPr>
        <w:jc w:val="both"/>
        <w:rPr>
          <w:color w:val="000000" w:themeColor="text1"/>
          <w:sz w:val="16"/>
          <w:szCs w:val="16"/>
        </w:rPr>
      </w:pPr>
      <w:r w:rsidRPr="00507A31">
        <w:rPr>
          <w:color w:val="000000" w:themeColor="text1"/>
          <w:sz w:val="16"/>
          <w:szCs w:val="16"/>
        </w:rPr>
        <w:t>В конце 1920-х годов после нескольких неудачных попыток Наркомата связи восстановить подводные линии телеграфного сообщения между Баку и Красноводском к работам подключилось ОГПУ. Для решения этой сложной технической задачи привлекли осужденных специалистов во главе с Николаем Лапиным (бывший заведующий электроиспытательной лабораторией Наркомата почт и телеграфа, арестован 3 сентября 1929 года и заключен в лагерь на десять лет). Вместо латания многократных повреждений кабеля Лапин предложил оригинальное решение -- поднять и использовать часть бездействующих телеграфных кабелей, проложенных в северных морях: кабель Архангельск--Мурманск (841 км) и советскую часть международного кабеля Мурманск--Александровск--Лервик (1400 км) (18728).</w:t>
      </w:r>
    </w:p>
    <w:p w14:paraId="7B9AF9DF" w14:textId="77777777" w:rsidR="0009051B" w:rsidRPr="00507A31" w:rsidRDefault="0009051B" w:rsidP="00507A31">
      <w:pPr>
        <w:jc w:val="both"/>
        <w:rPr>
          <w:color w:val="000000" w:themeColor="text1"/>
          <w:sz w:val="16"/>
          <w:szCs w:val="16"/>
        </w:rPr>
      </w:pPr>
    </w:p>
    <w:p w14:paraId="0370E83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D8A01F7" w14:textId="77777777" w:rsidR="00537E5F" w:rsidRPr="00507A31" w:rsidRDefault="00537E5F" w:rsidP="00507A31">
      <w:pPr>
        <w:autoSpaceDE w:val="0"/>
        <w:autoSpaceDN w:val="0"/>
        <w:adjustRightInd w:val="0"/>
        <w:jc w:val="both"/>
        <w:rPr>
          <w:iCs/>
          <w:color w:val="000000" w:themeColor="text1"/>
          <w:sz w:val="16"/>
          <w:szCs w:val="16"/>
        </w:rPr>
      </w:pPr>
    </w:p>
    <w:p w14:paraId="527A35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был закончен процесс "Промпартии" (70,185).</w:t>
      </w:r>
    </w:p>
    <w:p w14:paraId="3553EE27" w14:textId="77777777" w:rsidR="00537E5F" w:rsidRPr="00507A31" w:rsidRDefault="00537E5F" w:rsidP="00507A31">
      <w:pPr>
        <w:autoSpaceDE w:val="0"/>
        <w:autoSpaceDN w:val="0"/>
        <w:adjustRightInd w:val="0"/>
        <w:jc w:val="both"/>
        <w:rPr>
          <w:color w:val="000000" w:themeColor="text1"/>
          <w:sz w:val="16"/>
          <w:szCs w:val="16"/>
        </w:rPr>
      </w:pPr>
    </w:p>
    <w:p w14:paraId="6FE421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года газета «Известия» опубликовала обвинительное заключение по делу «Промпартии». В нем указано, что за истекшие два года усилиями ОГПУ раскрыт ряд вредительских организаций, действовавших под руководством единого руководящего центра. Констатируется, что «материалы по делу раскрытой, наконец, ОГПУ к./р. организации, называвшей себя «Промышленной Партией» или «Советом Союза Инженерных организаций»,</w:t>
      </w:r>
      <w:r w:rsidRPr="00507A31">
        <w:rPr>
          <w:color w:val="000000" w:themeColor="text1"/>
          <w:sz w:val="16"/>
          <w:szCs w:val="16"/>
          <w:u w:val="single"/>
        </w:rPr>
        <w:t xml:space="preserve"> объединившей в </w:t>
      </w:r>
      <w:r w:rsidRPr="00507A31">
        <w:rPr>
          <w:color w:val="000000" w:themeColor="text1"/>
          <w:sz w:val="16"/>
          <w:szCs w:val="16"/>
        </w:rPr>
        <w:t>единую организацию все отдельные вредительские организации по различным отраслям промышленности и действовавшей не только по указаниям международных организаций бывших русских и иностранных капиталистов, но и в связи и по прямым указаниям правящих сфер и генерального штаба Франции по подготовке вооруженного вмешательства и вооруженного свержения Советской власти — подтвердили целиком эти выводы».</w:t>
      </w:r>
    </w:p>
    <w:p w14:paraId="1DE591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данным следствия в состав ЦК Промпартии входили инженеры П.И.Пальчинский (расстрелян по приговору коллегии ОГПУ по делу о вредительстве в золото-платиновой промышленности), Л.Г.Рабинович (осужден по «шахтинскому процессу»), С.А.Хренников (умер во время следствия), А.А.Федотов, С.В.Куприянов, В.А.Ларичев, профессор Н.Ф.Чарновский. Главой «Промпартии» был объявлен профессор Л. К. Рамзин — директор Теплотехнического института, член Госплана и ВСХН. Основные пункты обвинения строились на его показаниях во время следствия и суда.</w:t>
      </w:r>
    </w:p>
    <w:p w14:paraId="0B1174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Процесс по делу «Контрреволюционной организации союза инженерных организаций (Промышленная партия)» состоялся 25 ноября — 7 декабря 1930 года. Л.К.Рамзин и остальные четверо подсудимых были приговорены к расстрелу, замененному по решению ВЦИК десятью годами тюремного заключения. В 1936 году Л.К.Рамзина освободили по амнистии, а в 1943 году за выдающиеся научные изобретения ему была присуждена Сталинская премия. Многие осужденные по делу «Промпартии» также вскоре были амнистированы.</w:t>
      </w:r>
    </w:p>
    <w:p w14:paraId="379D31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основного дела были сфабрикованы т.н. отраслевые дела «Промпартии» о «вредительстве»: в угольной промышленности, в нефтяной промышленности, в металлопромышленности, в текстильной промышленности, в химической секции Госплана, в лесной промышленности, в цементной промышленности, в электротехнической промышленности, в области топливо-снабжения, в энергетической промышленности, в энергетической военной промышленности, в энергетике транспорта, в Наркомате путей сообщения, т.н. «ленинградская группа», т.н. «профсоюз инженерно-технических работников», т.н. экономической группы в ВСНХ, т.н. «отраслевой к/р организация «Промпартии» в Госплане» и др.</w:t>
      </w:r>
    </w:p>
    <w:p w14:paraId="248EFF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сентября 1931 года В.Р.Менжинский утвердил обвинительное заключение по делу «Центрального Комитета контр-революционной вредительской организации «Трудовая Крестьянская Партия». К моменту составления обвинительного заключения Коллегией ОГПУ уже были осуждены: по делу Московской областной организации ТКП — 68 человек; по делу Ленинградской областной организации — 106; по делу Северо-Кавказской организации — 120; по делу Нижегородской Краевой организации — 24; по делу Областной организации в Центрально-Черноземной обла­сти — 132; по делу Западной областной организации — 174; по делу Средне-Волжской организации — 107; по делу Западно-Сибирской организации — 35; по делу Крымской организации — 26; по делу Украинской организации — 143; по делу Уральской областной организации — 26; по делу Ивановской областной организации — 96; по делу Нижне-Волжской организации — 56. Всего на периферии, по неполным данным, было арестовано в связи с делом ТКП 1296 человек.</w:t>
      </w:r>
    </w:p>
    <w:p w14:paraId="1CDE0A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Название «Трудовая крестьянская партия» было изобретено следствием для того, чтобы связать обвиняемых с организацией «Крестьянская Россия», созданной в 20-х годах в Праге эсером С.С.Масловым, с которым Н.Д.Кондратьев был довольно близко знаком. В декабре 1927 года «Крестьянская Россия» получила наименование «Трудовой крестьянской партии».</w:t>
      </w:r>
    </w:p>
    <w:p w14:paraId="0D3A1A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Согласно обвинительному заключению, лица, проходящие по делу, были признаны виновными в том, что входили в состав нелегальной «Трудовой крестьянской партии», ставившей своей целью свержение Советской власти и создание буржуазно-демократической республики. Им также вменялось в вину проведение вредительства в различных отраслях сельского хозяйства, связь с руководителями контрреволюционных организаций, вербовка в контрреволюционную организацию специалистов сельского хозяйства, а также преступная связь с иностранными гражданами.</w:t>
      </w:r>
    </w:p>
    <w:p w14:paraId="091292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Обвиняемые по делу ТКП так и не были выведены на открытый процесс. 26 января 1932 года состоялось заседа­ние коллегии ОГПУ, которая вынесла постановление заключить в концлагерь: сроком на 8 лет — профессора Тимирязевской сельскохозяйственной академии, директора Конъюнктурного института Н.Д.Кондратьева; профессора Тимирязевской академии, члена Президиума Земплана Наркомзема РСФСР Н.П.Макарова; профессора Московского планово-экономического института, начальника валютного управления, члена Коллегии Наркомфина СССР Л.Н.Юровского; сроком на 5 лет — профессора Тимирязевской академии, члена Коллегии Института крупного хозяйства и консультанта правления Зернотреста А.В.Чаянова; профессора Тимирязевской академии, редактора журнала «Вестник сельского хозяйства» А.Г.Дояренко; профессора Тимирязевской академии и МГУ А.А.Рыбникова; сроком на 3 года с заменой этого наказания высылкой на тот же срок — профессора Тимирязевской академии, научного сотрудника Госплана СССР Л.Н.Литошенко; профессора Тимирязевской академии, заведующего опытным отделом Наркомзема РСФСР С.К.Чаянова; профессора МГУ и Института промышленности и труда Л.Б.Кафенгауза; сроком на 3 года с заменой этого наказания ограничением в месте жительства на тот же срок — старшего экономиста Наркомзема РСФСР А.В.Тейтеля; доцента Московского планового института и консультанта Наркомфина СССР И.Н.Леонтьева; сроком на 3 года с последующим освобождением от наказания — профессора Тимирязевской академии и редактора журнала «Агропром» А.О.Фабриканта.</w:t>
      </w:r>
    </w:p>
    <w:p w14:paraId="287E45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За арестованных по делу ТКП ходатайствовал академик Н.И.Вавилов. Это обстоятельство, в частности, послужило в 1941 году основанием для обвинения в том, что он «является одним из руководителей антисоветской организации, именовавшейся «Трудовая крестьянская партия».</w:t>
      </w:r>
    </w:p>
    <w:p w14:paraId="0F3A3D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1937-38 гг. многие из осужденных по делу ТКП были вновь арестованы и приговорены к расстрелу (А.В.Чаянов, А.В.Тейтель — в 1937; А.А.Рыбников, Н.Д.Кондратьев, Л.Н.Юровский — в 1938; Л.Н.Литошенко скончался в лагере в 1943 году) (11253).</w:t>
      </w:r>
    </w:p>
    <w:p w14:paraId="484B3FEC" w14:textId="77777777" w:rsidR="00537E5F" w:rsidRPr="00507A31" w:rsidRDefault="00537E5F" w:rsidP="00507A31">
      <w:pPr>
        <w:autoSpaceDE w:val="0"/>
        <w:autoSpaceDN w:val="0"/>
        <w:adjustRightInd w:val="0"/>
        <w:jc w:val="both"/>
        <w:rPr>
          <w:color w:val="000000" w:themeColor="text1"/>
          <w:sz w:val="16"/>
          <w:szCs w:val="16"/>
        </w:rPr>
      </w:pPr>
    </w:p>
    <w:p w14:paraId="09E00B8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73268511" w14:textId="77777777" w:rsidR="00537E5F" w:rsidRPr="00507A31" w:rsidRDefault="00537E5F" w:rsidP="00507A31">
      <w:pPr>
        <w:autoSpaceDE w:val="0"/>
        <w:autoSpaceDN w:val="0"/>
        <w:adjustRightInd w:val="0"/>
        <w:jc w:val="both"/>
        <w:rPr>
          <w:iCs/>
          <w:color w:val="000000" w:themeColor="text1"/>
          <w:sz w:val="16"/>
          <w:szCs w:val="16"/>
        </w:rPr>
      </w:pPr>
    </w:p>
    <w:p w14:paraId="27CBCD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г. советским полпредом в Берлин на замену Крестинскому, ставшему заместителем наркома иностранных дел в СССР, был направлен Л. М. Хинчук, работавший до этого заместителем наркома торговли СССР. Он, что называется, «вплотную» занялся проталкиванием советских товаров на рынок Германии. Речь шла в основном о сырье и сельскохозяйственных поставках (зерно). В советском меморандуме от 28 сентября 1931 г. по итогам осеннего раунда экономических переговоров было выставлено требование об обеспечении условий роста советского экспорта до уровня в 750 млн. Марок (ДВП СССР, т. XIV, с. 821-822.). Протоколом от 22 декабря 1931 г. Хинчук и германский министр экономики X. Вармбольд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 млрд. марок и расплачиваться приходилось золотом и валютой (11784).</w:t>
      </w:r>
    </w:p>
    <w:p w14:paraId="508E9FB7" w14:textId="77777777" w:rsidR="00537E5F" w:rsidRPr="00507A31" w:rsidRDefault="00537E5F" w:rsidP="00507A31">
      <w:pPr>
        <w:autoSpaceDE w:val="0"/>
        <w:autoSpaceDN w:val="0"/>
        <w:adjustRightInd w:val="0"/>
        <w:jc w:val="both"/>
        <w:rPr>
          <w:color w:val="000000" w:themeColor="text1"/>
          <w:sz w:val="16"/>
          <w:szCs w:val="16"/>
        </w:rPr>
      </w:pPr>
    </w:p>
    <w:p w14:paraId="0A920C8C" w14:textId="77777777" w:rsidR="008B74DD" w:rsidRPr="00507A31" w:rsidRDefault="008B74DD" w:rsidP="00507A31">
      <w:pPr>
        <w:jc w:val="both"/>
        <w:rPr>
          <w:color w:val="000000" w:themeColor="text1"/>
          <w:sz w:val="16"/>
          <w:szCs w:val="16"/>
        </w:rPr>
      </w:pPr>
      <w:r w:rsidRPr="00507A31">
        <w:rPr>
          <w:color w:val="000000" w:themeColor="text1"/>
          <w:sz w:val="16"/>
          <w:szCs w:val="16"/>
        </w:rPr>
        <w:t>В ноябре 1930 г. советским полпредом в Берлин на замену Крестинскому, ставшему заместителем наркома иностранных дел в СССР, был направлен Л. М. Хинчук, работавший до этого заместителем наркома торговли СССР. Он, что называется, «вплотную» занялся проталкиванием советских товаров на рынок Германии. Речь шла в основном о сырье и сельскохозяйственных поставках (зерно). В советском меморандуме от 28 сентября 1931 г. по итогам осеннего раунда экономических переговоров было выставлено требование об обеспечении условий роста советского экспорта до уровня в 750 млн. марок. Протоколом от 22 декабря 1931 г. Хинчук и германский министр экономики X. Вармбольд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 млрд. марок и расплачиваться приходилось золотом и валютой.</w:t>
      </w:r>
    </w:p>
    <w:p w14:paraId="1FF7FAE7" w14:textId="77777777" w:rsidR="008B74DD" w:rsidRPr="00507A31" w:rsidRDefault="008B74DD" w:rsidP="00507A31">
      <w:pPr>
        <w:jc w:val="both"/>
        <w:rPr>
          <w:color w:val="000000" w:themeColor="text1"/>
          <w:sz w:val="16"/>
          <w:szCs w:val="16"/>
        </w:rPr>
      </w:pPr>
      <w:r w:rsidRPr="00507A31">
        <w:rPr>
          <w:color w:val="000000" w:themeColor="text1"/>
          <w:sz w:val="16"/>
          <w:szCs w:val="16"/>
        </w:rPr>
        <w:t>Вместе с тем именно в период экономического кризиса после отставки 27 марта 1930 г. правительства «большой коалиции» во главе с X. Мюллером (СДПГ, Центр, ННП, ДП), правительство Х. Брюнинга (Центр, ДП) взяло курс на свертывание отношений с СССР. Сначала это нашло свое отражение в политической сфере. Подписав 24 июня 1931 г. в Москве протокол о продлении Берлинского договора, правительство Брюнинга так и не ратифицировало его (18265).</w:t>
      </w:r>
    </w:p>
    <w:p w14:paraId="0761318F" w14:textId="77777777" w:rsidR="008B74DD" w:rsidRPr="00507A31" w:rsidRDefault="008B74DD" w:rsidP="00507A31">
      <w:pPr>
        <w:jc w:val="both"/>
        <w:rPr>
          <w:color w:val="000000" w:themeColor="text1"/>
          <w:sz w:val="16"/>
          <w:szCs w:val="16"/>
        </w:rPr>
      </w:pPr>
    </w:p>
    <w:p w14:paraId="36B6F2E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3921583" w14:textId="77777777" w:rsidR="00537E5F" w:rsidRPr="00507A31" w:rsidRDefault="00537E5F" w:rsidP="00507A31">
      <w:pPr>
        <w:autoSpaceDE w:val="0"/>
        <w:autoSpaceDN w:val="0"/>
        <w:adjustRightInd w:val="0"/>
        <w:jc w:val="both"/>
        <w:rPr>
          <w:iCs/>
          <w:color w:val="000000" w:themeColor="text1"/>
          <w:sz w:val="16"/>
          <w:szCs w:val="16"/>
        </w:rPr>
      </w:pPr>
    </w:p>
    <w:p w14:paraId="36500A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г. министр колоний лорд Пассфилд опубликовал меморандум о британской политике в Палестине ("меморандум Пассфилда"). В нем утверждалось, что мандатарий, т.е. Великобритания, несет равную ответственность и имеет равные обязательства в отношении арабов и евреев, а следовательно, создание "еврейского национального очага" нельзя рассматривать как ключевой пункт мандата. В нем, кроме того, отмечалось, что в Палестине уже не осталось свободных земель для еврейской колонизации, и что она не должна выходить за рамки "экономической емкости" страны. В нем также подчеркивалось, что "Еврейское агентство", хотя и является официальным органом управления еврейской общиной, не может претендовать на роль палестинского правительства.</w:t>
      </w:r>
    </w:p>
    <w:p w14:paraId="37BED7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Этот меморандум был воспринят резко отрицательно не только со стороны лидеров сионистского движения, которые не без оснований расценили его как начало ревизии декларации Бальфура, но со стороны ряда влиятельных британских политических деятелей, таких как Ллойд-Джордж, Чемберлен, Болдуин и другие, которые явно недооценивали перспектив обострения обстановки в Палестине. Под их давлением идеи, изложенные в меморандуме Пассфилда, практической реализации не получили, но к ним пришлось вернуться после восстаний 1933 - 1936 гг. (3871).</w:t>
      </w:r>
    </w:p>
    <w:p w14:paraId="2F6D4AD4" w14:textId="77777777" w:rsidR="00537E5F" w:rsidRPr="00507A31" w:rsidRDefault="00537E5F" w:rsidP="00507A31">
      <w:pPr>
        <w:autoSpaceDE w:val="0"/>
        <w:autoSpaceDN w:val="0"/>
        <w:adjustRightInd w:val="0"/>
        <w:jc w:val="both"/>
        <w:rPr>
          <w:color w:val="000000" w:themeColor="text1"/>
          <w:sz w:val="16"/>
          <w:szCs w:val="16"/>
        </w:rPr>
      </w:pPr>
    </w:p>
    <w:p w14:paraId="0EDC6A4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8E6EA29" w14:textId="77777777" w:rsidR="00537E5F" w:rsidRPr="00507A31" w:rsidRDefault="00537E5F" w:rsidP="00507A31">
      <w:pPr>
        <w:autoSpaceDE w:val="0"/>
        <w:autoSpaceDN w:val="0"/>
        <w:adjustRightInd w:val="0"/>
        <w:jc w:val="both"/>
        <w:rPr>
          <w:iCs/>
          <w:color w:val="000000" w:themeColor="text1"/>
          <w:sz w:val="16"/>
          <w:szCs w:val="16"/>
        </w:rPr>
      </w:pPr>
    </w:p>
    <w:p w14:paraId="0DB1E6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1930 - январе 1931 И-5 проходили войсковые испытания в в 73-м авиаотряде 5-й авиабригады в Киеве. Летали на лыжах. Вывод - с-т м.б. принят на снабжение ВВС (7498, 28).</w:t>
      </w:r>
    </w:p>
    <w:p w14:paraId="7CED8AD7" w14:textId="77777777" w:rsidR="00537E5F" w:rsidRPr="00507A31" w:rsidRDefault="00537E5F" w:rsidP="00507A31">
      <w:pPr>
        <w:autoSpaceDE w:val="0"/>
        <w:autoSpaceDN w:val="0"/>
        <w:adjustRightInd w:val="0"/>
        <w:jc w:val="both"/>
        <w:rPr>
          <w:color w:val="000000" w:themeColor="text1"/>
          <w:sz w:val="16"/>
          <w:szCs w:val="16"/>
        </w:rPr>
      </w:pPr>
    </w:p>
    <w:p w14:paraId="3FF4646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DBD6910" w14:textId="77777777" w:rsidR="00537E5F" w:rsidRPr="00507A31" w:rsidRDefault="00537E5F" w:rsidP="00507A31">
      <w:pPr>
        <w:autoSpaceDE w:val="0"/>
        <w:autoSpaceDN w:val="0"/>
        <w:adjustRightInd w:val="0"/>
        <w:jc w:val="both"/>
        <w:rPr>
          <w:iCs/>
          <w:color w:val="000000" w:themeColor="text1"/>
          <w:sz w:val="16"/>
          <w:szCs w:val="16"/>
        </w:rPr>
      </w:pPr>
    </w:p>
    <w:p w14:paraId="06745E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ноябре и декабре 1930 г. "Декабрист" и "Революционер" вступили в строй, остальные лодки — летом—осенью следующего года. Таким образом, строитель</w:t>
      </w:r>
      <w:r w:rsidRPr="00507A31">
        <w:rPr>
          <w:color w:val="000000" w:themeColor="text1"/>
          <w:sz w:val="16"/>
          <w:szCs w:val="16"/>
        </w:rPr>
        <w:softHyphen/>
        <w:t>ство всех шести единиц I серии заняло 55 мес., а считая от начала конкретной рабо</w:t>
      </w:r>
      <w:r w:rsidRPr="00507A31">
        <w:rPr>
          <w:color w:val="000000" w:themeColor="text1"/>
          <w:sz w:val="16"/>
          <w:szCs w:val="16"/>
        </w:rPr>
        <w:softHyphen/>
        <w:t>ты НТК над проектом — около 6 лет. Сто</w:t>
      </w:r>
      <w:r w:rsidRPr="00507A31">
        <w:rPr>
          <w:color w:val="000000" w:themeColor="text1"/>
          <w:sz w:val="16"/>
          <w:szCs w:val="16"/>
        </w:rPr>
        <w:softHyphen/>
        <w:t>имость одной лодки Балтийского завода в ценах 1926/27 г. составила 2 млн 6Q5 тыс. руб., николаевской — 2 млн 470 тыс. руб.</w:t>
      </w:r>
    </w:p>
    <w:p w14:paraId="3968D6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Подводные лодки типа "Декабрист" были двухкорпусными, клепаной конструкции. Прочный корпус (максимальный диаметр 4,76 м), рассчитанный на предельную глубину погружения 90 м, имел сложную веретенообразную форму с плавными переходами от одного диаметра к другому. Поэтому листы его обшивки при</w:t>
      </w:r>
      <w:r w:rsidRPr="00507A31">
        <w:rPr>
          <w:color w:val="000000" w:themeColor="text1"/>
          <w:sz w:val="16"/>
          <w:szCs w:val="16"/>
        </w:rPr>
        <w:softHyphen/>
        <w:t>шлось изготовлять способом горячей выколотки по пространствен</w:t>
      </w:r>
      <w:r w:rsidRPr="00507A31">
        <w:rPr>
          <w:color w:val="000000" w:themeColor="text1"/>
          <w:sz w:val="16"/>
          <w:szCs w:val="16"/>
        </w:rPr>
        <w:softHyphen/>
        <w:t>ным шаблонам. Шпацию приняли равной 500 мм. Пять сфериче</w:t>
      </w:r>
      <w:r w:rsidRPr="00507A31">
        <w:rPr>
          <w:color w:val="000000" w:themeColor="text1"/>
          <w:sz w:val="16"/>
          <w:szCs w:val="16"/>
        </w:rPr>
        <w:softHyphen/>
        <w:t>ских и одна плоская водонепроницаемые переборки подразделяли прочный корпус на семь отсеков, наибольшим из которых оказался первый, где помещались большая часть торпедного вооружения и основные жилые и бытовые помещения рядового состава. В пере</w:t>
      </w:r>
      <w:r w:rsidRPr="00507A31">
        <w:rPr>
          <w:color w:val="000000" w:themeColor="text1"/>
          <w:sz w:val="16"/>
          <w:szCs w:val="16"/>
        </w:rPr>
        <w:softHyphen/>
        <w:t>борках были прорезаны круглые лазы диаметром 800 мм с дверя</w:t>
      </w:r>
      <w:r w:rsidRPr="00507A31">
        <w:rPr>
          <w:color w:val="000000" w:themeColor="text1"/>
          <w:sz w:val="16"/>
          <w:szCs w:val="16"/>
        </w:rPr>
        <w:softHyphen/>
        <w:t>ми, закрывающимися с помощью кремальерного устройства.</w:t>
      </w:r>
    </w:p>
    <w:p w14:paraId="05F205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Прочность переборок со стороны вогнутости рассчитывалась на давление 9 кгс/см</w:t>
      </w:r>
      <w:r w:rsidRPr="00507A31">
        <w:rPr>
          <w:color w:val="000000" w:themeColor="text1"/>
          <w:sz w:val="16"/>
          <w:szCs w:val="16"/>
          <w:vertAlign w:val="superscript"/>
        </w:rPr>
        <w:t>2</w:t>
      </w:r>
      <w:r w:rsidRPr="00507A31">
        <w:rPr>
          <w:color w:val="000000" w:themeColor="text1"/>
          <w:sz w:val="16"/>
          <w:szCs w:val="16"/>
        </w:rPr>
        <w:t>, что соответствовало предельной глубине по</w:t>
      </w:r>
      <w:r w:rsidRPr="00507A31">
        <w:rPr>
          <w:color w:val="000000" w:themeColor="text1"/>
          <w:sz w:val="16"/>
          <w:szCs w:val="16"/>
        </w:rPr>
        <w:softHyphen/>
        <w:t>гружения. Отсеком-убежищем стал четвертый — цетральный пост (ЦП), где бьши сосредоточены средства управления лодкой и борь</w:t>
      </w:r>
      <w:r w:rsidRPr="00507A31">
        <w:rPr>
          <w:color w:val="000000" w:themeColor="text1"/>
          <w:sz w:val="16"/>
          <w:szCs w:val="16"/>
        </w:rPr>
        <w:softHyphen/>
        <w:t>бой за живучесть. Здесь же в подводном положении располагался и главный командный пункт (ГКП), а цилиндрическая прочная руб</w:t>
      </w:r>
      <w:r w:rsidRPr="00507A31">
        <w:rPr>
          <w:color w:val="000000" w:themeColor="text1"/>
          <w:sz w:val="16"/>
          <w:szCs w:val="16"/>
        </w:rPr>
        <w:softHyphen/>
        <w:t>ка небольших размеров с верхним и нижним люками служила только для обеспечения выхода из подводной лодки.</w:t>
      </w:r>
    </w:p>
    <w:p w14:paraId="30C68B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Система погружения и всплытия включала две концевых, шесть пар междубортнььх и среднюю цистерны главного балласта (ЦГБ), прочную цистерну быстрого погружения, воздушные маги</w:t>
      </w:r>
      <w:r w:rsidRPr="00507A31">
        <w:rPr>
          <w:color w:val="000000" w:themeColor="text1"/>
          <w:sz w:val="16"/>
          <w:szCs w:val="16"/>
        </w:rPr>
        <w:softHyphen/>
        <w:t>страли систем высокого и низкого давления. Работа последней обеспечивалась трубовоздуходувками фирмы "Броун-Бовери". Кла</w:t>
      </w:r>
      <w:r w:rsidRPr="00507A31">
        <w:rPr>
          <w:color w:val="000000" w:themeColor="text1"/>
          <w:sz w:val="16"/>
          <w:szCs w:val="16"/>
        </w:rPr>
        <w:softHyphen/>
        <w:t>паны вентиляции ЦГБ снабжались пневматическими и ручными приводами, кингстоны ЦГБ — только ручными. Для удобства плаческим льдом, а Д-1 под командованием М. П. Августиновича со</w:t>
      </w:r>
      <w:r w:rsidRPr="00507A31">
        <w:rPr>
          <w:color w:val="000000" w:themeColor="text1"/>
          <w:sz w:val="16"/>
          <w:szCs w:val="16"/>
        </w:rPr>
        <w:softHyphen/>
        <w:t>вершила автономный поход продолжительностью 44 сут. (3898)</w:t>
      </w:r>
    </w:p>
    <w:p w14:paraId="4BD8E4A0" w14:textId="77777777" w:rsidR="00537E5F" w:rsidRPr="00507A31" w:rsidRDefault="00537E5F" w:rsidP="00507A31">
      <w:pPr>
        <w:autoSpaceDE w:val="0"/>
        <w:autoSpaceDN w:val="0"/>
        <w:adjustRightInd w:val="0"/>
        <w:jc w:val="both"/>
        <w:rPr>
          <w:iCs/>
          <w:color w:val="000000" w:themeColor="text1"/>
          <w:sz w:val="16"/>
          <w:szCs w:val="16"/>
        </w:rPr>
      </w:pPr>
    </w:p>
    <w:p w14:paraId="5AC7A7D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87DC0A9" w14:textId="77777777" w:rsidR="00537E5F" w:rsidRPr="00507A31" w:rsidRDefault="00537E5F" w:rsidP="00507A31">
      <w:pPr>
        <w:autoSpaceDE w:val="0"/>
        <w:autoSpaceDN w:val="0"/>
        <w:adjustRightInd w:val="0"/>
        <w:jc w:val="both"/>
        <w:rPr>
          <w:iCs/>
          <w:color w:val="000000" w:themeColor="text1"/>
          <w:sz w:val="16"/>
          <w:szCs w:val="16"/>
        </w:rPr>
      </w:pPr>
    </w:p>
    <w:p w14:paraId="4B54F5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конца осени 1930 г. самолеты ТБ-1 отправлялись с завода № 22 на лыжах. В начале года провели сравнительные испытания нескольких типов лыж, сконструированных в ЦАГИ и на заводе № 28. Первые делались целиком из кольчугалюминия, вторые были деревянными с козелком из стальных труб. Металлические оказались прочнее и легче, но вдвое дороже. В итоге выбрали облегченные лыжи завода № 28 с усиленной обшивкой. Их запустили в производство и стали отправлять во все эскадрильи, вооружавшиеся новыми бомбардировщиками (12001).</w:t>
      </w:r>
    </w:p>
    <w:p w14:paraId="1548DB06" w14:textId="77777777" w:rsidR="00537E5F" w:rsidRPr="00507A31" w:rsidRDefault="00537E5F" w:rsidP="00507A31">
      <w:pPr>
        <w:autoSpaceDE w:val="0"/>
        <w:autoSpaceDN w:val="0"/>
        <w:adjustRightInd w:val="0"/>
        <w:jc w:val="both"/>
        <w:rPr>
          <w:color w:val="000000" w:themeColor="text1"/>
          <w:sz w:val="16"/>
          <w:szCs w:val="16"/>
        </w:rPr>
      </w:pPr>
    </w:p>
    <w:p w14:paraId="2707219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7A152DC" w14:textId="77777777" w:rsidR="00537E5F" w:rsidRPr="00507A31" w:rsidRDefault="00537E5F" w:rsidP="00507A31">
      <w:pPr>
        <w:autoSpaceDE w:val="0"/>
        <w:autoSpaceDN w:val="0"/>
        <w:adjustRightInd w:val="0"/>
        <w:jc w:val="both"/>
        <w:rPr>
          <w:iCs/>
          <w:color w:val="000000" w:themeColor="text1"/>
          <w:sz w:val="16"/>
          <w:szCs w:val="16"/>
        </w:rPr>
      </w:pPr>
    </w:p>
    <w:p w14:paraId="62F49F0E" w14:textId="77777777" w:rsidR="00E07EF9" w:rsidRPr="00507A31" w:rsidRDefault="00E07EF9" w:rsidP="00507A31">
      <w:pPr>
        <w:jc w:val="both"/>
        <w:rPr>
          <w:color w:val="000000" w:themeColor="text1"/>
          <w:sz w:val="16"/>
          <w:szCs w:val="16"/>
        </w:rPr>
      </w:pPr>
      <w:r w:rsidRPr="00507A31">
        <w:rPr>
          <w:color w:val="000000" w:themeColor="text1"/>
          <w:sz w:val="16"/>
          <w:szCs w:val="16"/>
        </w:rPr>
        <w:t>1 декабря 1930 г. на совещании у пом. Начальника ВВС РККА Меженинова утвердили схему И-12 (тандем), представленную ЦАГИ. Он представлял собой цельнометалличес</w:t>
      </w:r>
      <w:r w:rsidRPr="00507A31">
        <w:rPr>
          <w:color w:val="000000" w:themeColor="text1"/>
          <w:sz w:val="16"/>
          <w:szCs w:val="16"/>
        </w:rPr>
        <w:softHyphen/>
        <w:t>кий моноплан оригинальной компоновки: вместо классического фюзеляжа в середине центроплана крепилась гондола, в передней и задней частях которой размещались дви</w:t>
      </w:r>
      <w:r w:rsidRPr="00507A31">
        <w:rPr>
          <w:color w:val="000000" w:themeColor="text1"/>
          <w:sz w:val="16"/>
          <w:szCs w:val="16"/>
        </w:rPr>
        <w:softHyphen/>
        <w:t>гатели, вращавшие тянущий и толкающий винты. Оперение крепилось на двух металли</w:t>
      </w:r>
      <w:r w:rsidRPr="00507A31">
        <w:rPr>
          <w:color w:val="000000" w:themeColor="text1"/>
          <w:sz w:val="16"/>
          <w:szCs w:val="16"/>
        </w:rPr>
        <w:softHyphen/>
        <w:t>ческих балках-трубах, являвшихся частью динамо-реактивных пушек и служивших для отвода газов. Автоматические авиационные 76,2-мм пушки Л.В. Курчевского (АПК) заря</w:t>
      </w:r>
      <w:r w:rsidRPr="00507A31">
        <w:rPr>
          <w:color w:val="000000" w:themeColor="text1"/>
          <w:sz w:val="16"/>
          <w:szCs w:val="16"/>
        </w:rPr>
        <w:softHyphen/>
        <w:t>жались унитарными патронами, которые перемещались к дульному срезу по цилиндри</w:t>
      </w:r>
      <w:r w:rsidRPr="00507A31">
        <w:rPr>
          <w:color w:val="000000" w:themeColor="text1"/>
          <w:sz w:val="16"/>
          <w:szCs w:val="16"/>
        </w:rPr>
        <w:softHyphen/>
        <w:t>ческому магазину, расположенному над стволом. Попадая в специальный лоток перед дульным срезом, они досылались в канал ствола специальным устройством. Выстрел производился двумя способами: основной — электрозапалом, аварийный — от капсюля на боевой рейке. Все операции по перезаряжанию выполнялись пневмоприводом (15823).</w:t>
      </w:r>
    </w:p>
    <w:p w14:paraId="5D86D3D2" w14:textId="77777777" w:rsidR="00E07EF9" w:rsidRPr="00507A31" w:rsidRDefault="00E07EF9" w:rsidP="00507A31">
      <w:pPr>
        <w:jc w:val="both"/>
        <w:rPr>
          <w:color w:val="000000" w:themeColor="text1"/>
          <w:sz w:val="16"/>
          <w:szCs w:val="16"/>
        </w:rPr>
      </w:pPr>
    </w:p>
    <w:p w14:paraId="187903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 был (в основном - 1076,885) закончен МДР-2 (АНТ-8), в разобранном виде перевезен на базу в Севастополь и с января 1931 начались его испытания (92,355). МДР-2 был с крылом от АНТ-9 (44,97).</w:t>
      </w:r>
    </w:p>
    <w:p w14:paraId="757B67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первый полет МДР-2 состоялся только в декабре 1931.</w:t>
      </w:r>
    </w:p>
    <w:p w14:paraId="1A37F2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третьим данным постройка АНТ-8 была закончена в ноябре 1930 (514).</w:t>
      </w:r>
    </w:p>
    <w:p w14:paraId="6F50DC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Машина, задуманная в 1925 - морально устарела и все из-за загруженности ЦАГИ. Ни хера себе - торопились.</w:t>
      </w:r>
    </w:p>
    <w:p w14:paraId="0C2794F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58A440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декабря 1930 года самолет МДР-2 был постройкой закончен (6925).</w:t>
      </w:r>
    </w:p>
    <w:p w14:paraId="0461D11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79FFAF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декабря 1930 года был закончен постройкой МДР2-М17 (6274).</w:t>
      </w:r>
    </w:p>
    <w:p w14:paraId="0F6B7667"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8AA08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 закончили испытания системы дозаправке в воздухе на Р-1. Всего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1E1095EF" w14:textId="77777777" w:rsidR="00537E5F" w:rsidRPr="00507A31" w:rsidRDefault="00537E5F" w:rsidP="00507A31">
      <w:pPr>
        <w:autoSpaceDE w:val="0"/>
        <w:autoSpaceDN w:val="0"/>
        <w:adjustRightInd w:val="0"/>
        <w:jc w:val="both"/>
        <w:rPr>
          <w:color w:val="000000" w:themeColor="text1"/>
          <w:sz w:val="16"/>
          <w:szCs w:val="16"/>
        </w:rPr>
      </w:pPr>
    </w:p>
    <w:p w14:paraId="7D54AEB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4C07C5A" w14:textId="77777777" w:rsidR="00537E5F" w:rsidRPr="00507A31" w:rsidRDefault="00537E5F" w:rsidP="00507A31">
      <w:pPr>
        <w:autoSpaceDE w:val="0"/>
        <w:autoSpaceDN w:val="0"/>
        <w:adjustRightInd w:val="0"/>
        <w:jc w:val="both"/>
        <w:rPr>
          <w:iCs/>
          <w:color w:val="000000" w:themeColor="text1"/>
          <w:sz w:val="16"/>
          <w:szCs w:val="16"/>
        </w:rPr>
      </w:pPr>
    </w:p>
    <w:p w14:paraId="576F4D8E" w14:textId="77777777" w:rsidR="007C50AE" w:rsidRPr="00507A31" w:rsidRDefault="007C50AE" w:rsidP="00507A31">
      <w:pPr>
        <w:jc w:val="both"/>
        <w:rPr>
          <w:color w:val="000000" w:themeColor="text1"/>
          <w:sz w:val="16"/>
          <w:szCs w:val="16"/>
        </w:rPr>
      </w:pPr>
      <w:r w:rsidRPr="00507A31">
        <w:rPr>
          <w:color w:val="000000" w:themeColor="text1"/>
          <w:sz w:val="16"/>
          <w:szCs w:val="16"/>
        </w:rPr>
        <w:t>1 декабря 1930 г. Выписка из протокола заседания Президиума ВСНХ СССР о прохожении заказа РККА на изготовление заводом «Красный путиловец» 15?тонных подъемных кранов для гидропланов Черноморского флота (РГАЭ. Ф. 3429. Оп. 6. Д. 198. Л. 2) (12417).</w:t>
      </w:r>
    </w:p>
    <w:p w14:paraId="63FF17A7" w14:textId="77777777" w:rsidR="007C50AE" w:rsidRPr="00507A31" w:rsidRDefault="007C50AE" w:rsidP="00507A31">
      <w:pPr>
        <w:jc w:val="both"/>
        <w:rPr>
          <w:color w:val="000000" w:themeColor="text1"/>
          <w:sz w:val="16"/>
          <w:szCs w:val="16"/>
        </w:rPr>
      </w:pPr>
    </w:p>
    <w:p w14:paraId="4C3B3E0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декабря 1930 ПБ сволим решением заменило мобплан С-30 планом МВ-10 - вплоть до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823"/>
        <w:gridCol w:w="1843"/>
        <w:gridCol w:w="2126"/>
        <w:gridCol w:w="2127"/>
      </w:tblGrid>
      <w:tr w:rsidR="00E371BA" w:rsidRPr="00507A31" w14:paraId="2E1B9C09" w14:textId="77777777">
        <w:tc>
          <w:tcPr>
            <w:tcW w:w="2254" w:type="dxa"/>
          </w:tcPr>
          <w:p w14:paraId="17C8778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c>
          <w:tcPr>
            <w:tcW w:w="7919" w:type="dxa"/>
            <w:gridSpan w:val="4"/>
          </w:tcPr>
          <w:p w14:paraId="009D503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Год представления запроса</w:t>
            </w:r>
          </w:p>
        </w:tc>
      </w:tr>
      <w:tr w:rsidR="00E371BA" w:rsidRPr="00507A31" w14:paraId="36307EDB" w14:textId="77777777">
        <w:tc>
          <w:tcPr>
            <w:tcW w:w="2254" w:type="dxa"/>
          </w:tcPr>
          <w:p w14:paraId="743DCC6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c>
          <w:tcPr>
            <w:tcW w:w="1823" w:type="dxa"/>
          </w:tcPr>
          <w:p w14:paraId="01D672A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С-30 (1927)</w:t>
            </w:r>
          </w:p>
        </w:tc>
        <w:tc>
          <w:tcPr>
            <w:tcW w:w="1843" w:type="dxa"/>
          </w:tcPr>
          <w:p w14:paraId="1AFA396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1928</w:t>
            </w:r>
          </w:p>
        </w:tc>
        <w:tc>
          <w:tcPr>
            <w:tcW w:w="2126" w:type="dxa"/>
          </w:tcPr>
          <w:p w14:paraId="0C78129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МВ-10 (1930)</w:t>
            </w:r>
          </w:p>
        </w:tc>
        <w:tc>
          <w:tcPr>
            <w:tcW w:w="2127" w:type="dxa"/>
          </w:tcPr>
          <w:p w14:paraId="756EC96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Пересмотр МВ-10</w:t>
            </w:r>
          </w:p>
        </w:tc>
      </w:tr>
      <w:tr w:rsidR="00E371BA" w:rsidRPr="00507A31" w14:paraId="45248477" w14:textId="77777777">
        <w:tc>
          <w:tcPr>
            <w:tcW w:w="2254" w:type="dxa"/>
          </w:tcPr>
          <w:p w14:paraId="7D7F71B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Винтовок (тыс)</w:t>
            </w:r>
          </w:p>
        </w:tc>
        <w:tc>
          <w:tcPr>
            <w:tcW w:w="1823" w:type="dxa"/>
          </w:tcPr>
          <w:p w14:paraId="1D39A73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1000</w:t>
            </w:r>
          </w:p>
        </w:tc>
        <w:tc>
          <w:tcPr>
            <w:tcW w:w="1843" w:type="dxa"/>
          </w:tcPr>
          <w:p w14:paraId="47D08BA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1275</w:t>
            </w:r>
          </w:p>
        </w:tc>
        <w:tc>
          <w:tcPr>
            <w:tcW w:w="2126" w:type="dxa"/>
          </w:tcPr>
          <w:p w14:paraId="268B232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1575</w:t>
            </w:r>
          </w:p>
        </w:tc>
        <w:tc>
          <w:tcPr>
            <w:tcW w:w="2127" w:type="dxa"/>
          </w:tcPr>
          <w:p w14:paraId="42D01E3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595452C7" w14:textId="77777777">
        <w:tc>
          <w:tcPr>
            <w:tcW w:w="2254" w:type="dxa"/>
          </w:tcPr>
          <w:p w14:paraId="24FAAA9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Пулеметов</w:t>
            </w:r>
          </w:p>
        </w:tc>
        <w:tc>
          <w:tcPr>
            <w:tcW w:w="1823" w:type="dxa"/>
          </w:tcPr>
          <w:p w14:paraId="3F6E2E4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43500</w:t>
            </w:r>
          </w:p>
        </w:tc>
        <w:tc>
          <w:tcPr>
            <w:tcW w:w="1843" w:type="dxa"/>
          </w:tcPr>
          <w:p w14:paraId="00F23D1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68900</w:t>
            </w:r>
          </w:p>
        </w:tc>
        <w:tc>
          <w:tcPr>
            <w:tcW w:w="2126" w:type="dxa"/>
          </w:tcPr>
          <w:p w14:paraId="681DCF3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90600</w:t>
            </w:r>
          </w:p>
        </w:tc>
        <w:tc>
          <w:tcPr>
            <w:tcW w:w="2127" w:type="dxa"/>
          </w:tcPr>
          <w:p w14:paraId="5AA3CF4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2C153650" w14:textId="77777777">
        <w:tc>
          <w:tcPr>
            <w:tcW w:w="2254" w:type="dxa"/>
          </w:tcPr>
          <w:p w14:paraId="12F870A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Орудий</w:t>
            </w:r>
          </w:p>
        </w:tc>
        <w:tc>
          <w:tcPr>
            <w:tcW w:w="1823" w:type="dxa"/>
          </w:tcPr>
          <w:p w14:paraId="6006F17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3763</w:t>
            </w:r>
          </w:p>
        </w:tc>
        <w:tc>
          <w:tcPr>
            <w:tcW w:w="1843" w:type="dxa"/>
          </w:tcPr>
          <w:p w14:paraId="056A358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4562</w:t>
            </w:r>
          </w:p>
        </w:tc>
        <w:tc>
          <w:tcPr>
            <w:tcW w:w="2126" w:type="dxa"/>
          </w:tcPr>
          <w:p w14:paraId="56953B7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12610</w:t>
            </w:r>
          </w:p>
        </w:tc>
        <w:tc>
          <w:tcPr>
            <w:tcW w:w="2127" w:type="dxa"/>
          </w:tcPr>
          <w:p w14:paraId="3617048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18467</w:t>
            </w:r>
          </w:p>
        </w:tc>
      </w:tr>
      <w:tr w:rsidR="00E371BA" w:rsidRPr="00507A31" w14:paraId="5B3BDC1A" w14:textId="77777777">
        <w:tc>
          <w:tcPr>
            <w:tcW w:w="2254" w:type="dxa"/>
          </w:tcPr>
          <w:p w14:paraId="44D1664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Снарядов</w:t>
            </w:r>
          </w:p>
        </w:tc>
        <w:tc>
          <w:tcPr>
            <w:tcW w:w="1823" w:type="dxa"/>
          </w:tcPr>
          <w:p w14:paraId="304E0CC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37900000</w:t>
            </w:r>
          </w:p>
        </w:tc>
        <w:tc>
          <w:tcPr>
            <w:tcW w:w="1843" w:type="dxa"/>
          </w:tcPr>
          <w:p w14:paraId="3D4E389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51200000</w:t>
            </w:r>
          </w:p>
        </w:tc>
        <w:tc>
          <w:tcPr>
            <w:tcW w:w="2126" w:type="dxa"/>
          </w:tcPr>
          <w:p w14:paraId="7CDCE49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40000000</w:t>
            </w:r>
          </w:p>
        </w:tc>
        <w:tc>
          <w:tcPr>
            <w:tcW w:w="2127" w:type="dxa"/>
          </w:tcPr>
          <w:p w14:paraId="4139A355"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7BFA9CD0" w14:textId="77777777">
        <w:tc>
          <w:tcPr>
            <w:tcW w:w="2254" w:type="dxa"/>
          </w:tcPr>
          <w:p w14:paraId="2277C4B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Хим. Боеприпасов</w:t>
            </w:r>
          </w:p>
        </w:tc>
        <w:tc>
          <w:tcPr>
            <w:tcW w:w="1823" w:type="dxa"/>
          </w:tcPr>
          <w:p w14:paraId="67C1555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27235</w:t>
            </w:r>
          </w:p>
        </w:tc>
        <w:tc>
          <w:tcPr>
            <w:tcW w:w="1843" w:type="dxa"/>
          </w:tcPr>
          <w:p w14:paraId="7EF4271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47140</w:t>
            </w:r>
          </w:p>
        </w:tc>
        <w:tc>
          <w:tcPr>
            <w:tcW w:w="2126" w:type="dxa"/>
          </w:tcPr>
          <w:p w14:paraId="778DD0C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75515</w:t>
            </w:r>
          </w:p>
        </w:tc>
        <w:tc>
          <w:tcPr>
            <w:tcW w:w="2127" w:type="dxa"/>
          </w:tcPr>
          <w:p w14:paraId="168EB676"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5D57FA45" w14:textId="77777777">
        <w:tc>
          <w:tcPr>
            <w:tcW w:w="2254" w:type="dxa"/>
          </w:tcPr>
          <w:p w14:paraId="585ED07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Самолетов</w:t>
            </w:r>
          </w:p>
        </w:tc>
        <w:tc>
          <w:tcPr>
            <w:tcW w:w="1823" w:type="dxa"/>
          </w:tcPr>
          <w:p w14:paraId="4871789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2905</w:t>
            </w:r>
          </w:p>
        </w:tc>
        <w:tc>
          <w:tcPr>
            <w:tcW w:w="1843" w:type="dxa"/>
          </w:tcPr>
          <w:p w14:paraId="442B4A1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4267</w:t>
            </w:r>
          </w:p>
        </w:tc>
        <w:tc>
          <w:tcPr>
            <w:tcW w:w="2126" w:type="dxa"/>
          </w:tcPr>
          <w:p w14:paraId="4BC7028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7098</w:t>
            </w:r>
          </w:p>
        </w:tc>
        <w:tc>
          <w:tcPr>
            <w:tcW w:w="2127" w:type="dxa"/>
          </w:tcPr>
          <w:p w14:paraId="2CB9575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12500</w:t>
            </w:r>
          </w:p>
        </w:tc>
      </w:tr>
      <w:tr w:rsidR="00E371BA" w:rsidRPr="00507A31" w14:paraId="1E71F111" w14:textId="77777777">
        <w:tc>
          <w:tcPr>
            <w:tcW w:w="2254" w:type="dxa"/>
          </w:tcPr>
          <w:p w14:paraId="1329113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Танков</w:t>
            </w:r>
          </w:p>
        </w:tc>
        <w:tc>
          <w:tcPr>
            <w:tcW w:w="1823" w:type="dxa"/>
          </w:tcPr>
          <w:p w14:paraId="2986574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150</w:t>
            </w:r>
          </w:p>
        </w:tc>
        <w:tc>
          <w:tcPr>
            <w:tcW w:w="1843" w:type="dxa"/>
          </w:tcPr>
          <w:p w14:paraId="21CE1E2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1055</w:t>
            </w:r>
          </w:p>
        </w:tc>
        <w:tc>
          <w:tcPr>
            <w:tcW w:w="2126" w:type="dxa"/>
          </w:tcPr>
          <w:p w14:paraId="7B6760D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20000</w:t>
            </w:r>
          </w:p>
        </w:tc>
        <w:tc>
          <w:tcPr>
            <w:tcW w:w="2127" w:type="dxa"/>
          </w:tcPr>
          <w:p w14:paraId="47FBB59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40000</w:t>
            </w:r>
          </w:p>
        </w:tc>
      </w:tr>
    </w:tbl>
    <w:p w14:paraId="1439EE2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(9440)</w:t>
      </w:r>
    </w:p>
    <w:p w14:paraId="0D71DA8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Одобрили и новую мобзаявку - ориентированную на расширение артиллерийских, танковых и ввс в 1931-2 (9089,141).</w:t>
      </w:r>
    </w:p>
    <w:p w14:paraId="63D96C1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4506A9C" w14:textId="77777777" w:rsidR="00D61C7A" w:rsidRPr="00507A31" w:rsidRDefault="00D61C7A" w:rsidP="00507A31">
      <w:pPr>
        <w:jc w:val="both"/>
        <w:rPr>
          <w:color w:val="0070C0"/>
          <w:sz w:val="16"/>
          <w:szCs w:val="16"/>
        </w:rPr>
      </w:pPr>
      <w:r w:rsidRPr="00507A31">
        <w:rPr>
          <w:color w:val="0070C0"/>
          <w:sz w:val="16"/>
          <w:szCs w:val="16"/>
        </w:rPr>
        <w:t>1 декабря 1930 г. мобплан С-30 был заменен планом MB-10. План MB-10 должен был удовлетворять мобилизационные потребности вплоть до 1933 г. Изменения по наиболее важным категориям вооружений приводятся в таблице</w:t>
      </w:r>
    </w:p>
    <w:p w14:paraId="2C16D1B8" w14:textId="77777777" w:rsidR="00D61C7A" w:rsidRPr="00507A31" w:rsidRDefault="00D61C7A" w:rsidP="00507A31">
      <w:pPr>
        <w:jc w:val="both"/>
        <w:rPr>
          <w:color w:val="0070C0"/>
          <w:sz w:val="16"/>
          <w:szCs w:val="16"/>
        </w:rPr>
      </w:pPr>
      <w:r w:rsidRPr="00507A31">
        <w:rPr>
          <w:color w:val="0070C0"/>
          <w:sz w:val="16"/>
          <w:szCs w:val="16"/>
        </w:rPr>
        <w:t>Запросы Наркомвоенмора на один год войны, фигурирующие в мобилизационных планах 1927–1933 гг.</w:t>
      </w:r>
    </w:p>
    <w:tbl>
      <w:tblPr>
        <w:tblW w:w="10455" w:type="dxa"/>
        <w:tblLook w:val="04A0" w:firstRow="1" w:lastRow="0" w:firstColumn="1" w:lastColumn="0" w:noHBand="0" w:noVBand="1"/>
      </w:tblPr>
      <w:tblGrid>
        <w:gridCol w:w="2091"/>
        <w:gridCol w:w="2091"/>
        <w:gridCol w:w="2091"/>
        <w:gridCol w:w="2091"/>
        <w:gridCol w:w="2091"/>
      </w:tblGrid>
      <w:tr w:rsidR="00D61C7A" w:rsidRPr="00507A31" w14:paraId="15A64930" w14:textId="77777777" w:rsidTr="00027DFA">
        <w:tc>
          <w:tcPr>
            <w:tcW w:w="2091" w:type="dxa"/>
          </w:tcPr>
          <w:p w14:paraId="02783AAB" w14:textId="77777777" w:rsidR="00D61C7A" w:rsidRPr="00507A31" w:rsidRDefault="00D61C7A" w:rsidP="00507A31">
            <w:pPr>
              <w:jc w:val="both"/>
              <w:rPr>
                <w:color w:val="0070C0"/>
                <w:sz w:val="16"/>
                <w:szCs w:val="16"/>
                <w:shd w:val="clear" w:color="auto" w:fill="FFFFFF"/>
              </w:rPr>
            </w:pPr>
            <w:r w:rsidRPr="00507A31">
              <w:rPr>
                <w:color w:val="0070C0"/>
                <w:sz w:val="16"/>
                <w:szCs w:val="16"/>
              </w:rPr>
              <w:t>Год представления запроса</w:t>
            </w:r>
          </w:p>
        </w:tc>
        <w:tc>
          <w:tcPr>
            <w:tcW w:w="2091" w:type="dxa"/>
          </w:tcPr>
          <w:p w14:paraId="596F55C9" w14:textId="77777777" w:rsidR="00D61C7A" w:rsidRPr="00507A31" w:rsidRDefault="00D61C7A" w:rsidP="00507A31">
            <w:pPr>
              <w:jc w:val="both"/>
              <w:rPr>
                <w:color w:val="0070C0"/>
                <w:sz w:val="16"/>
                <w:szCs w:val="16"/>
                <w:shd w:val="clear" w:color="auto" w:fill="FFFFFF"/>
              </w:rPr>
            </w:pPr>
          </w:p>
        </w:tc>
        <w:tc>
          <w:tcPr>
            <w:tcW w:w="2091" w:type="dxa"/>
          </w:tcPr>
          <w:p w14:paraId="1F3AEB8C" w14:textId="77777777" w:rsidR="00D61C7A" w:rsidRPr="00507A31" w:rsidRDefault="00D61C7A" w:rsidP="00507A31">
            <w:pPr>
              <w:jc w:val="both"/>
              <w:rPr>
                <w:color w:val="0070C0"/>
                <w:sz w:val="16"/>
                <w:szCs w:val="16"/>
                <w:shd w:val="clear" w:color="auto" w:fill="FFFFFF"/>
              </w:rPr>
            </w:pPr>
          </w:p>
        </w:tc>
        <w:tc>
          <w:tcPr>
            <w:tcW w:w="2091" w:type="dxa"/>
          </w:tcPr>
          <w:p w14:paraId="326B1714" w14:textId="77777777" w:rsidR="00D61C7A" w:rsidRPr="00507A31" w:rsidRDefault="00D61C7A" w:rsidP="00507A31">
            <w:pPr>
              <w:jc w:val="both"/>
              <w:rPr>
                <w:color w:val="0070C0"/>
                <w:sz w:val="16"/>
                <w:szCs w:val="16"/>
                <w:shd w:val="clear" w:color="auto" w:fill="FFFFFF"/>
              </w:rPr>
            </w:pPr>
          </w:p>
        </w:tc>
        <w:tc>
          <w:tcPr>
            <w:tcW w:w="2091" w:type="dxa"/>
          </w:tcPr>
          <w:p w14:paraId="51611D1A" w14:textId="77777777" w:rsidR="00D61C7A" w:rsidRPr="00507A31" w:rsidRDefault="00D61C7A" w:rsidP="00507A31">
            <w:pPr>
              <w:jc w:val="both"/>
              <w:rPr>
                <w:color w:val="0070C0"/>
                <w:sz w:val="16"/>
                <w:szCs w:val="16"/>
                <w:shd w:val="clear" w:color="auto" w:fill="FFFFFF"/>
              </w:rPr>
            </w:pPr>
          </w:p>
        </w:tc>
      </w:tr>
      <w:tr w:rsidR="00D61C7A" w:rsidRPr="00507A31" w14:paraId="62B1693A" w14:textId="77777777" w:rsidTr="00027DFA">
        <w:tc>
          <w:tcPr>
            <w:tcW w:w="2091" w:type="dxa"/>
          </w:tcPr>
          <w:p w14:paraId="275268A4" w14:textId="77777777" w:rsidR="00D61C7A" w:rsidRPr="00507A31" w:rsidRDefault="00D61C7A" w:rsidP="00507A31">
            <w:pPr>
              <w:jc w:val="both"/>
              <w:rPr>
                <w:color w:val="0070C0"/>
                <w:sz w:val="16"/>
                <w:szCs w:val="16"/>
                <w:shd w:val="clear" w:color="auto" w:fill="FFFFFF"/>
              </w:rPr>
            </w:pPr>
          </w:p>
        </w:tc>
        <w:tc>
          <w:tcPr>
            <w:tcW w:w="2091" w:type="dxa"/>
          </w:tcPr>
          <w:p w14:paraId="1F8529E1" w14:textId="77777777" w:rsidR="00D61C7A" w:rsidRPr="00507A31" w:rsidRDefault="00D61C7A" w:rsidP="00507A31">
            <w:pPr>
              <w:jc w:val="both"/>
              <w:rPr>
                <w:color w:val="0070C0"/>
                <w:sz w:val="16"/>
                <w:szCs w:val="16"/>
                <w:shd w:val="clear" w:color="auto" w:fill="FFFFFF"/>
              </w:rPr>
            </w:pPr>
            <w:r w:rsidRPr="00507A31">
              <w:rPr>
                <w:color w:val="0070C0"/>
                <w:sz w:val="16"/>
                <w:szCs w:val="16"/>
              </w:rPr>
              <w:t>С-30 (1927)</w:t>
            </w:r>
          </w:p>
        </w:tc>
        <w:tc>
          <w:tcPr>
            <w:tcW w:w="2091" w:type="dxa"/>
          </w:tcPr>
          <w:p w14:paraId="52A46F75" w14:textId="77777777" w:rsidR="00D61C7A" w:rsidRPr="00507A31" w:rsidRDefault="00D61C7A" w:rsidP="00507A31">
            <w:pPr>
              <w:jc w:val="both"/>
              <w:rPr>
                <w:color w:val="0070C0"/>
                <w:sz w:val="16"/>
                <w:szCs w:val="16"/>
                <w:shd w:val="clear" w:color="auto" w:fill="FFFFFF"/>
              </w:rPr>
            </w:pPr>
            <w:r w:rsidRPr="00507A31">
              <w:rPr>
                <w:color w:val="0070C0"/>
                <w:sz w:val="16"/>
                <w:szCs w:val="16"/>
              </w:rPr>
              <w:t>1928</w:t>
            </w:r>
          </w:p>
        </w:tc>
        <w:tc>
          <w:tcPr>
            <w:tcW w:w="2091" w:type="dxa"/>
          </w:tcPr>
          <w:p w14:paraId="0954C9BA" w14:textId="77777777" w:rsidR="00D61C7A" w:rsidRPr="00507A31" w:rsidRDefault="00D61C7A" w:rsidP="00507A31">
            <w:pPr>
              <w:jc w:val="both"/>
              <w:rPr>
                <w:color w:val="0070C0"/>
                <w:sz w:val="16"/>
                <w:szCs w:val="16"/>
                <w:shd w:val="clear" w:color="auto" w:fill="FFFFFF"/>
              </w:rPr>
            </w:pPr>
            <w:r w:rsidRPr="00507A31">
              <w:rPr>
                <w:color w:val="0070C0"/>
                <w:sz w:val="16"/>
                <w:szCs w:val="16"/>
              </w:rPr>
              <w:t>MB-10 (1930)</w:t>
            </w:r>
          </w:p>
        </w:tc>
        <w:tc>
          <w:tcPr>
            <w:tcW w:w="2091" w:type="dxa"/>
          </w:tcPr>
          <w:p w14:paraId="14CB9F78" w14:textId="77777777" w:rsidR="00D61C7A" w:rsidRPr="00507A31" w:rsidRDefault="00D61C7A" w:rsidP="00507A31">
            <w:pPr>
              <w:jc w:val="both"/>
              <w:rPr>
                <w:color w:val="0070C0"/>
                <w:sz w:val="16"/>
                <w:szCs w:val="16"/>
                <w:shd w:val="clear" w:color="auto" w:fill="FFFFFF"/>
              </w:rPr>
            </w:pPr>
            <w:r w:rsidRPr="00507A31">
              <w:rPr>
                <w:color w:val="0070C0"/>
                <w:sz w:val="16"/>
                <w:szCs w:val="16"/>
              </w:rPr>
              <w:t>Пересмотр MB-10</w:t>
            </w:r>
          </w:p>
        </w:tc>
      </w:tr>
      <w:tr w:rsidR="00D61C7A" w:rsidRPr="00507A31" w14:paraId="382C0D8F" w14:textId="77777777" w:rsidTr="00027DFA">
        <w:tc>
          <w:tcPr>
            <w:tcW w:w="2091" w:type="dxa"/>
          </w:tcPr>
          <w:p w14:paraId="4B1EBD79" w14:textId="77777777" w:rsidR="00D61C7A" w:rsidRPr="00507A31" w:rsidRDefault="00D61C7A" w:rsidP="00507A31">
            <w:pPr>
              <w:jc w:val="both"/>
              <w:rPr>
                <w:color w:val="0070C0"/>
                <w:sz w:val="16"/>
                <w:szCs w:val="16"/>
                <w:shd w:val="clear" w:color="auto" w:fill="FFFFFF"/>
              </w:rPr>
            </w:pPr>
            <w:r w:rsidRPr="00507A31">
              <w:rPr>
                <w:color w:val="0070C0"/>
                <w:sz w:val="16"/>
                <w:szCs w:val="16"/>
              </w:rPr>
              <w:t>Винтовок (тыс. шт.)</w:t>
            </w:r>
          </w:p>
        </w:tc>
        <w:tc>
          <w:tcPr>
            <w:tcW w:w="2091" w:type="dxa"/>
          </w:tcPr>
          <w:p w14:paraId="755797E8" w14:textId="77777777" w:rsidR="00D61C7A" w:rsidRPr="00507A31" w:rsidRDefault="00D61C7A" w:rsidP="00507A31">
            <w:pPr>
              <w:jc w:val="both"/>
              <w:rPr>
                <w:color w:val="0070C0"/>
                <w:sz w:val="16"/>
                <w:szCs w:val="16"/>
                <w:shd w:val="clear" w:color="auto" w:fill="FFFFFF"/>
              </w:rPr>
            </w:pPr>
            <w:r w:rsidRPr="00507A31">
              <w:rPr>
                <w:color w:val="0070C0"/>
                <w:sz w:val="16"/>
                <w:szCs w:val="16"/>
              </w:rPr>
              <w:t>1000</w:t>
            </w:r>
          </w:p>
        </w:tc>
        <w:tc>
          <w:tcPr>
            <w:tcW w:w="2091" w:type="dxa"/>
          </w:tcPr>
          <w:p w14:paraId="3C6B8E07" w14:textId="77777777" w:rsidR="00D61C7A" w:rsidRPr="00507A31" w:rsidRDefault="00D61C7A" w:rsidP="00507A31">
            <w:pPr>
              <w:jc w:val="both"/>
              <w:rPr>
                <w:color w:val="0070C0"/>
                <w:sz w:val="16"/>
                <w:szCs w:val="16"/>
                <w:shd w:val="clear" w:color="auto" w:fill="FFFFFF"/>
              </w:rPr>
            </w:pPr>
            <w:r w:rsidRPr="00507A31">
              <w:rPr>
                <w:color w:val="0070C0"/>
                <w:sz w:val="16"/>
                <w:szCs w:val="16"/>
              </w:rPr>
              <w:t>1275</w:t>
            </w:r>
          </w:p>
        </w:tc>
        <w:tc>
          <w:tcPr>
            <w:tcW w:w="2091" w:type="dxa"/>
          </w:tcPr>
          <w:p w14:paraId="05346801" w14:textId="77777777" w:rsidR="00D61C7A" w:rsidRPr="00507A31" w:rsidRDefault="00D61C7A" w:rsidP="00507A31">
            <w:pPr>
              <w:jc w:val="both"/>
              <w:rPr>
                <w:color w:val="0070C0"/>
                <w:sz w:val="16"/>
                <w:szCs w:val="16"/>
                <w:shd w:val="clear" w:color="auto" w:fill="FFFFFF"/>
              </w:rPr>
            </w:pPr>
            <w:r w:rsidRPr="00507A31">
              <w:rPr>
                <w:color w:val="0070C0"/>
                <w:sz w:val="16"/>
                <w:szCs w:val="16"/>
              </w:rPr>
              <w:t>1575</w:t>
            </w:r>
          </w:p>
        </w:tc>
        <w:tc>
          <w:tcPr>
            <w:tcW w:w="2091" w:type="dxa"/>
          </w:tcPr>
          <w:p w14:paraId="4686B073" w14:textId="77777777" w:rsidR="00D61C7A" w:rsidRPr="00507A31" w:rsidRDefault="00D61C7A" w:rsidP="00507A31">
            <w:pPr>
              <w:jc w:val="both"/>
              <w:rPr>
                <w:color w:val="0070C0"/>
                <w:sz w:val="16"/>
                <w:szCs w:val="16"/>
                <w:shd w:val="clear" w:color="auto" w:fill="FFFFFF"/>
              </w:rPr>
            </w:pPr>
            <w:r w:rsidRPr="00507A31">
              <w:rPr>
                <w:color w:val="0070C0"/>
                <w:sz w:val="16"/>
                <w:szCs w:val="16"/>
              </w:rPr>
              <w:t> —</w:t>
            </w:r>
          </w:p>
        </w:tc>
      </w:tr>
      <w:tr w:rsidR="00D61C7A" w:rsidRPr="00507A31" w14:paraId="365D850C" w14:textId="77777777" w:rsidTr="00027DFA">
        <w:tc>
          <w:tcPr>
            <w:tcW w:w="2091" w:type="dxa"/>
          </w:tcPr>
          <w:p w14:paraId="0D11025D" w14:textId="77777777" w:rsidR="00D61C7A" w:rsidRPr="00507A31" w:rsidRDefault="00D61C7A" w:rsidP="00507A31">
            <w:pPr>
              <w:jc w:val="both"/>
              <w:rPr>
                <w:color w:val="0070C0"/>
                <w:sz w:val="16"/>
                <w:szCs w:val="16"/>
                <w:shd w:val="clear" w:color="auto" w:fill="FFFFFF"/>
              </w:rPr>
            </w:pPr>
            <w:r w:rsidRPr="00507A31">
              <w:rPr>
                <w:color w:val="0070C0"/>
                <w:sz w:val="16"/>
                <w:szCs w:val="16"/>
              </w:rPr>
              <w:t>Пулеметов (тыс. шт.)</w:t>
            </w:r>
          </w:p>
        </w:tc>
        <w:tc>
          <w:tcPr>
            <w:tcW w:w="2091" w:type="dxa"/>
          </w:tcPr>
          <w:p w14:paraId="60947456" w14:textId="77777777" w:rsidR="00D61C7A" w:rsidRPr="00507A31" w:rsidRDefault="00D61C7A" w:rsidP="00507A31">
            <w:pPr>
              <w:jc w:val="both"/>
              <w:rPr>
                <w:color w:val="0070C0"/>
                <w:sz w:val="16"/>
                <w:szCs w:val="16"/>
                <w:shd w:val="clear" w:color="auto" w:fill="FFFFFF"/>
              </w:rPr>
            </w:pPr>
            <w:r w:rsidRPr="00507A31">
              <w:rPr>
                <w:color w:val="0070C0"/>
                <w:sz w:val="16"/>
                <w:szCs w:val="16"/>
              </w:rPr>
              <w:t>43,5</w:t>
            </w:r>
          </w:p>
        </w:tc>
        <w:tc>
          <w:tcPr>
            <w:tcW w:w="2091" w:type="dxa"/>
          </w:tcPr>
          <w:p w14:paraId="3A3FFD2E" w14:textId="77777777" w:rsidR="00D61C7A" w:rsidRPr="00507A31" w:rsidRDefault="00D61C7A" w:rsidP="00507A31">
            <w:pPr>
              <w:jc w:val="both"/>
              <w:rPr>
                <w:color w:val="0070C0"/>
                <w:sz w:val="16"/>
                <w:szCs w:val="16"/>
                <w:shd w:val="clear" w:color="auto" w:fill="FFFFFF"/>
              </w:rPr>
            </w:pPr>
            <w:r w:rsidRPr="00507A31">
              <w:rPr>
                <w:color w:val="0070C0"/>
                <w:sz w:val="16"/>
                <w:szCs w:val="16"/>
              </w:rPr>
              <w:t>68,9</w:t>
            </w:r>
          </w:p>
        </w:tc>
        <w:tc>
          <w:tcPr>
            <w:tcW w:w="2091" w:type="dxa"/>
          </w:tcPr>
          <w:p w14:paraId="43E0A3CE" w14:textId="77777777" w:rsidR="00D61C7A" w:rsidRPr="00507A31" w:rsidRDefault="00D61C7A" w:rsidP="00507A31">
            <w:pPr>
              <w:jc w:val="both"/>
              <w:rPr>
                <w:color w:val="0070C0"/>
                <w:sz w:val="16"/>
                <w:szCs w:val="16"/>
                <w:shd w:val="clear" w:color="auto" w:fill="FFFFFF"/>
              </w:rPr>
            </w:pPr>
            <w:r w:rsidRPr="00507A31">
              <w:rPr>
                <w:color w:val="0070C0"/>
                <w:sz w:val="16"/>
                <w:szCs w:val="16"/>
              </w:rPr>
              <w:t>90,6</w:t>
            </w:r>
          </w:p>
        </w:tc>
        <w:tc>
          <w:tcPr>
            <w:tcW w:w="2091" w:type="dxa"/>
          </w:tcPr>
          <w:p w14:paraId="1BF8E45D" w14:textId="77777777" w:rsidR="00D61C7A" w:rsidRPr="00507A31" w:rsidRDefault="00D61C7A" w:rsidP="00507A31">
            <w:pPr>
              <w:jc w:val="both"/>
              <w:rPr>
                <w:color w:val="0070C0"/>
                <w:sz w:val="16"/>
                <w:szCs w:val="16"/>
                <w:shd w:val="clear" w:color="auto" w:fill="FFFFFF"/>
              </w:rPr>
            </w:pPr>
            <w:r w:rsidRPr="00507A31">
              <w:rPr>
                <w:color w:val="0070C0"/>
                <w:sz w:val="16"/>
                <w:szCs w:val="16"/>
              </w:rPr>
              <w:t> —</w:t>
            </w:r>
          </w:p>
        </w:tc>
      </w:tr>
      <w:tr w:rsidR="00D61C7A" w:rsidRPr="00507A31" w14:paraId="3C933A36" w14:textId="77777777" w:rsidTr="00027DFA">
        <w:tc>
          <w:tcPr>
            <w:tcW w:w="2091" w:type="dxa"/>
          </w:tcPr>
          <w:p w14:paraId="3CC5FF37" w14:textId="77777777" w:rsidR="00D61C7A" w:rsidRPr="00507A31" w:rsidRDefault="00D61C7A" w:rsidP="00507A31">
            <w:pPr>
              <w:jc w:val="both"/>
              <w:rPr>
                <w:color w:val="0070C0"/>
                <w:sz w:val="16"/>
                <w:szCs w:val="16"/>
                <w:shd w:val="clear" w:color="auto" w:fill="FFFFFF"/>
              </w:rPr>
            </w:pPr>
            <w:r w:rsidRPr="00507A31">
              <w:rPr>
                <w:color w:val="0070C0"/>
                <w:sz w:val="16"/>
                <w:szCs w:val="16"/>
              </w:rPr>
              <w:t>Орудий (тыс. шт.)</w:t>
            </w:r>
          </w:p>
        </w:tc>
        <w:tc>
          <w:tcPr>
            <w:tcW w:w="2091" w:type="dxa"/>
          </w:tcPr>
          <w:p w14:paraId="12DCC35D" w14:textId="77777777" w:rsidR="00D61C7A" w:rsidRPr="00507A31" w:rsidRDefault="00D61C7A" w:rsidP="00507A31">
            <w:pPr>
              <w:jc w:val="both"/>
              <w:rPr>
                <w:color w:val="0070C0"/>
                <w:sz w:val="16"/>
                <w:szCs w:val="16"/>
                <w:shd w:val="clear" w:color="auto" w:fill="FFFFFF"/>
              </w:rPr>
            </w:pPr>
            <w:r w:rsidRPr="00507A31">
              <w:rPr>
                <w:color w:val="0070C0"/>
                <w:sz w:val="16"/>
                <w:szCs w:val="16"/>
              </w:rPr>
              <w:t>3,763</w:t>
            </w:r>
          </w:p>
        </w:tc>
        <w:tc>
          <w:tcPr>
            <w:tcW w:w="2091" w:type="dxa"/>
          </w:tcPr>
          <w:p w14:paraId="3A3F8D38" w14:textId="77777777" w:rsidR="00D61C7A" w:rsidRPr="00507A31" w:rsidRDefault="00D61C7A" w:rsidP="00507A31">
            <w:pPr>
              <w:jc w:val="both"/>
              <w:rPr>
                <w:color w:val="0070C0"/>
                <w:sz w:val="16"/>
                <w:szCs w:val="16"/>
                <w:shd w:val="clear" w:color="auto" w:fill="FFFFFF"/>
              </w:rPr>
            </w:pPr>
            <w:r w:rsidRPr="00507A31">
              <w:rPr>
                <w:color w:val="0070C0"/>
                <w:sz w:val="16"/>
                <w:szCs w:val="16"/>
              </w:rPr>
              <w:t>4,562</w:t>
            </w:r>
          </w:p>
        </w:tc>
        <w:tc>
          <w:tcPr>
            <w:tcW w:w="2091" w:type="dxa"/>
          </w:tcPr>
          <w:p w14:paraId="33196D4B" w14:textId="77777777" w:rsidR="00D61C7A" w:rsidRPr="00507A31" w:rsidRDefault="00D61C7A" w:rsidP="00507A31">
            <w:pPr>
              <w:jc w:val="both"/>
              <w:rPr>
                <w:color w:val="0070C0"/>
                <w:sz w:val="16"/>
                <w:szCs w:val="16"/>
                <w:shd w:val="clear" w:color="auto" w:fill="FFFFFF"/>
              </w:rPr>
            </w:pPr>
            <w:r w:rsidRPr="00507A31">
              <w:rPr>
                <w:color w:val="0070C0"/>
                <w:sz w:val="16"/>
                <w:szCs w:val="16"/>
              </w:rPr>
              <w:t>12,61</w:t>
            </w:r>
          </w:p>
        </w:tc>
        <w:tc>
          <w:tcPr>
            <w:tcW w:w="2091" w:type="dxa"/>
          </w:tcPr>
          <w:p w14:paraId="7182A8D0" w14:textId="77777777" w:rsidR="00D61C7A" w:rsidRPr="00507A31" w:rsidRDefault="00D61C7A" w:rsidP="00507A31">
            <w:pPr>
              <w:jc w:val="both"/>
              <w:rPr>
                <w:color w:val="0070C0"/>
                <w:sz w:val="16"/>
                <w:szCs w:val="16"/>
                <w:shd w:val="clear" w:color="auto" w:fill="FFFFFF"/>
              </w:rPr>
            </w:pPr>
            <w:r w:rsidRPr="00507A31">
              <w:rPr>
                <w:color w:val="0070C0"/>
                <w:sz w:val="16"/>
                <w:szCs w:val="16"/>
              </w:rPr>
              <w:t>18,467</w:t>
            </w:r>
          </w:p>
        </w:tc>
      </w:tr>
      <w:tr w:rsidR="00D61C7A" w:rsidRPr="00507A31" w14:paraId="66752693" w14:textId="77777777" w:rsidTr="00027DFA">
        <w:tc>
          <w:tcPr>
            <w:tcW w:w="2091" w:type="dxa"/>
          </w:tcPr>
          <w:p w14:paraId="772CECD3" w14:textId="77777777" w:rsidR="00D61C7A" w:rsidRPr="00507A31" w:rsidRDefault="00D61C7A" w:rsidP="00507A31">
            <w:pPr>
              <w:jc w:val="both"/>
              <w:rPr>
                <w:color w:val="0070C0"/>
                <w:sz w:val="16"/>
                <w:szCs w:val="16"/>
                <w:shd w:val="clear" w:color="auto" w:fill="FFFFFF"/>
              </w:rPr>
            </w:pPr>
            <w:r w:rsidRPr="00507A31">
              <w:rPr>
                <w:color w:val="0070C0"/>
                <w:sz w:val="16"/>
                <w:szCs w:val="16"/>
              </w:rPr>
              <w:t>Снарядов (млн. шт.)</w:t>
            </w:r>
          </w:p>
        </w:tc>
        <w:tc>
          <w:tcPr>
            <w:tcW w:w="2091" w:type="dxa"/>
          </w:tcPr>
          <w:p w14:paraId="1186583C" w14:textId="77777777" w:rsidR="00D61C7A" w:rsidRPr="00507A31" w:rsidRDefault="00D61C7A" w:rsidP="00507A31">
            <w:pPr>
              <w:jc w:val="both"/>
              <w:rPr>
                <w:color w:val="0070C0"/>
                <w:sz w:val="16"/>
                <w:szCs w:val="16"/>
                <w:shd w:val="clear" w:color="auto" w:fill="FFFFFF"/>
              </w:rPr>
            </w:pPr>
            <w:r w:rsidRPr="00507A31">
              <w:rPr>
                <w:color w:val="0070C0"/>
                <w:sz w:val="16"/>
                <w:szCs w:val="16"/>
              </w:rPr>
              <w:t>37,9</w:t>
            </w:r>
          </w:p>
        </w:tc>
        <w:tc>
          <w:tcPr>
            <w:tcW w:w="2091" w:type="dxa"/>
          </w:tcPr>
          <w:p w14:paraId="69F3B9C1" w14:textId="77777777" w:rsidR="00D61C7A" w:rsidRPr="00507A31" w:rsidRDefault="00D61C7A" w:rsidP="00507A31">
            <w:pPr>
              <w:jc w:val="both"/>
              <w:rPr>
                <w:color w:val="0070C0"/>
                <w:sz w:val="16"/>
                <w:szCs w:val="16"/>
                <w:shd w:val="clear" w:color="auto" w:fill="FFFFFF"/>
              </w:rPr>
            </w:pPr>
            <w:r w:rsidRPr="00507A31">
              <w:rPr>
                <w:color w:val="0070C0"/>
                <w:sz w:val="16"/>
                <w:szCs w:val="16"/>
              </w:rPr>
              <w:t>51,2</w:t>
            </w:r>
          </w:p>
        </w:tc>
        <w:tc>
          <w:tcPr>
            <w:tcW w:w="2091" w:type="dxa"/>
          </w:tcPr>
          <w:p w14:paraId="462A17A6" w14:textId="77777777" w:rsidR="00D61C7A" w:rsidRPr="00507A31" w:rsidRDefault="00D61C7A" w:rsidP="00507A31">
            <w:pPr>
              <w:jc w:val="both"/>
              <w:rPr>
                <w:color w:val="0070C0"/>
                <w:sz w:val="16"/>
                <w:szCs w:val="16"/>
                <w:shd w:val="clear" w:color="auto" w:fill="FFFFFF"/>
              </w:rPr>
            </w:pPr>
            <w:r w:rsidRPr="00507A31">
              <w:rPr>
                <w:color w:val="0070C0"/>
                <w:sz w:val="16"/>
                <w:szCs w:val="16"/>
              </w:rPr>
              <w:t>40,0</w:t>
            </w:r>
          </w:p>
        </w:tc>
        <w:tc>
          <w:tcPr>
            <w:tcW w:w="2091" w:type="dxa"/>
          </w:tcPr>
          <w:p w14:paraId="57DA22C8" w14:textId="77777777" w:rsidR="00D61C7A" w:rsidRPr="00507A31" w:rsidRDefault="00D61C7A" w:rsidP="00507A31">
            <w:pPr>
              <w:jc w:val="both"/>
              <w:rPr>
                <w:color w:val="0070C0"/>
                <w:sz w:val="16"/>
                <w:szCs w:val="16"/>
                <w:shd w:val="clear" w:color="auto" w:fill="FFFFFF"/>
              </w:rPr>
            </w:pPr>
            <w:r w:rsidRPr="00507A31">
              <w:rPr>
                <w:color w:val="0070C0"/>
                <w:sz w:val="16"/>
                <w:szCs w:val="16"/>
              </w:rPr>
              <w:t> —</w:t>
            </w:r>
          </w:p>
        </w:tc>
      </w:tr>
      <w:tr w:rsidR="00D61C7A" w:rsidRPr="00507A31" w14:paraId="26488E36" w14:textId="77777777" w:rsidTr="00027DFA">
        <w:tc>
          <w:tcPr>
            <w:tcW w:w="2091" w:type="dxa"/>
          </w:tcPr>
          <w:p w14:paraId="3755C007" w14:textId="77777777" w:rsidR="00D61C7A" w:rsidRPr="00507A31" w:rsidRDefault="00D61C7A" w:rsidP="00507A31">
            <w:pPr>
              <w:jc w:val="both"/>
              <w:rPr>
                <w:color w:val="0070C0"/>
                <w:sz w:val="16"/>
                <w:szCs w:val="16"/>
                <w:shd w:val="clear" w:color="auto" w:fill="FFFFFF"/>
              </w:rPr>
            </w:pPr>
            <w:r w:rsidRPr="00507A31">
              <w:rPr>
                <w:color w:val="0070C0"/>
                <w:sz w:val="16"/>
                <w:szCs w:val="16"/>
              </w:rPr>
              <w:t>Химических боеприпасов (тыс. тонн)</w:t>
            </w:r>
          </w:p>
        </w:tc>
        <w:tc>
          <w:tcPr>
            <w:tcW w:w="2091" w:type="dxa"/>
          </w:tcPr>
          <w:p w14:paraId="6FB49239" w14:textId="77777777" w:rsidR="00D61C7A" w:rsidRPr="00507A31" w:rsidRDefault="00D61C7A" w:rsidP="00507A31">
            <w:pPr>
              <w:jc w:val="both"/>
              <w:rPr>
                <w:color w:val="0070C0"/>
                <w:sz w:val="16"/>
                <w:szCs w:val="16"/>
                <w:shd w:val="clear" w:color="auto" w:fill="FFFFFF"/>
              </w:rPr>
            </w:pPr>
            <w:r w:rsidRPr="00507A31">
              <w:rPr>
                <w:color w:val="0070C0"/>
                <w:sz w:val="16"/>
                <w:szCs w:val="16"/>
              </w:rPr>
              <w:t>27,235</w:t>
            </w:r>
          </w:p>
        </w:tc>
        <w:tc>
          <w:tcPr>
            <w:tcW w:w="2091" w:type="dxa"/>
          </w:tcPr>
          <w:p w14:paraId="7D5A920F" w14:textId="77777777" w:rsidR="00D61C7A" w:rsidRPr="00507A31" w:rsidRDefault="00D61C7A" w:rsidP="00507A31">
            <w:pPr>
              <w:jc w:val="both"/>
              <w:rPr>
                <w:color w:val="0070C0"/>
                <w:sz w:val="16"/>
                <w:szCs w:val="16"/>
                <w:shd w:val="clear" w:color="auto" w:fill="FFFFFF"/>
              </w:rPr>
            </w:pPr>
            <w:r w:rsidRPr="00507A31">
              <w:rPr>
                <w:color w:val="0070C0"/>
                <w:sz w:val="16"/>
                <w:szCs w:val="16"/>
              </w:rPr>
              <w:t>47,14</w:t>
            </w:r>
          </w:p>
        </w:tc>
        <w:tc>
          <w:tcPr>
            <w:tcW w:w="2091" w:type="dxa"/>
          </w:tcPr>
          <w:p w14:paraId="16A2454F" w14:textId="77777777" w:rsidR="00D61C7A" w:rsidRPr="00507A31" w:rsidRDefault="00D61C7A" w:rsidP="00507A31">
            <w:pPr>
              <w:jc w:val="both"/>
              <w:rPr>
                <w:color w:val="0070C0"/>
                <w:sz w:val="16"/>
                <w:szCs w:val="16"/>
                <w:shd w:val="clear" w:color="auto" w:fill="FFFFFF"/>
              </w:rPr>
            </w:pPr>
            <w:r w:rsidRPr="00507A31">
              <w:rPr>
                <w:color w:val="0070C0"/>
                <w:sz w:val="16"/>
                <w:szCs w:val="16"/>
              </w:rPr>
              <w:t>75,515</w:t>
            </w:r>
          </w:p>
        </w:tc>
        <w:tc>
          <w:tcPr>
            <w:tcW w:w="2091" w:type="dxa"/>
          </w:tcPr>
          <w:p w14:paraId="6A49A4EA" w14:textId="77777777" w:rsidR="00D61C7A" w:rsidRPr="00507A31" w:rsidRDefault="00D61C7A" w:rsidP="00507A31">
            <w:pPr>
              <w:jc w:val="both"/>
              <w:rPr>
                <w:color w:val="0070C0"/>
                <w:sz w:val="16"/>
                <w:szCs w:val="16"/>
                <w:shd w:val="clear" w:color="auto" w:fill="FFFFFF"/>
              </w:rPr>
            </w:pPr>
            <w:r w:rsidRPr="00507A31">
              <w:rPr>
                <w:color w:val="0070C0"/>
                <w:sz w:val="16"/>
                <w:szCs w:val="16"/>
              </w:rPr>
              <w:t> —</w:t>
            </w:r>
          </w:p>
        </w:tc>
      </w:tr>
      <w:tr w:rsidR="00D61C7A" w:rsidRPr="00507A31" w14:paraId="32529B2D" w14:textId="77777777" w:rsidTr="00027DFA">
        <w:tc>
          <w:tcPr>
            <w:tcW w:w="2091" w:type="dxa"/>
          </w:tcPr>
          <w:p w14:paraId="488461FE" w14:textId="77777777" w:rsidR="00D61C7A" w:rsidRPr="00507A31" w:rsidRDefault="00D61C7A" w:rsidP="00507A31">
            <w:pPr>
              <w:jc w:val="both"/>
              <w:rPr>
                <w:color w:val="0070C0"/>
                <w:sz w:val="16"/>
                <w:szCs w:val="16"/>
                <w:shd w:val="clear" w:color="auto" w:fill="FFFFFF"/>
              </w:rPr>
            </w:pPr>
            <w:r w:rsidRPr="00507A31">
              <w:rPr>
                <w:color w:val="0070C0"/>
                <w:sz w:val="16"/>
                <w:szCs w:val="16"/>
              </w:rPr>
              <w:t>Самолетов (тыс. шт.)</w:t>
            </w:r>
          </w:p>
        </w:tc>
        <w:tc>
          <w:tcPr>
            <w:tcW w:w="2091" w:type="dxa"/>
          </w:tcPr>
          <w:p w14:paraId="19B025D7" w14:textId="77777777" w:rsidR="00D61C7A" w:rsidRPr="00507A31" w:rsidRDefault="00D61C7A" w:rsidP="00507A31">
            <w:pPr>
              <w:jc w:val="both"/>
              <w:rPr>
                <w:color w:val="0070C0"/>
                <w:sz w:val="16"/>
                <w:szCs w:val="16"/>
                <w:shd w:val="clear" w:color="auto" w:fill="FFFFFF"/>
              </w:rPr>
            </w:pPr>
            <w:r w:rsidRPr="00507A31">
              <w:rPr>
                <w:color w:val="0070C0"/>
                <w:sz w:val="16"/>
                <w:szCs w:val="16"/>
              </w:rPr>
              <w:t>2,905</w:t>
            </w:r>
          </w:p>
        </w:tc>
        <w:tc>
          <w:tcPr>
            <w:tcW w:w="2091" w:type="dxa"/>
          </w:tcPr>
          <w:p w14:paraId="15A87769" w14:textId="77777777" w:rsidR="00D61C7A" w:rsidRPr="00507A31" w:rsidRDefault="00D61C7A" w:rsidP="00507A31">
            <w:pPr>
              <w:jc w:val="both"/>
              <w:rPr>
                <w:color w:val="0070C0"/>
                <w:sz w:val="16"/>
                <w:szCs w:val="16"/>
                <w:shd w:val="clear" w:color="auto" w:fill="FFFFFF"/>
              </w:rPr>
            </w:pPr>
            <w:r w:rsidRPr="00507A31">
              <w:rPr>
                <w:color w:val="0070C0"/>
                <w:sz w:val="16"/>
                <w:szCs w:val="16"/>
              </w:rPr>
              <w:t>4,267</w:t>
            </w:r>
          </w:p>
        </w:tc>
        <w:tc>
          <w:tcPr>
            <w:tcW w:w="2091" w:type="dxa"/>
          </w:tcPr>
          <w:p w14:paraId="7AF9A380" w14:textId="77777777" w:rsidR="00D61C7A" w:rsidRPr="00507A31" w:rsidRDefault="00D61C7A" w:rsidP="00507A31">
            <w:pPr>
              <w:jc w:val="both"/>
              <w:rPr>
                <w:color w:val="0070C0"/>
                <w:sz w:val="16"/>
                <w:szCs w:val="16"/>
                <w:shd w:val="clear" w:color="auto" w:fill="FFFFFF"/>
              </w:rPr>
            </w:pPr>
            <w:r w:rsidRPr="00507A31">
              <w:rPr>
                <w:color w:val="0070C0"/>
                <w:sz w:val="16"/>
                <w:szCs w:val="16"/>
              </w:rPr>
              <w:t>7,098</w:t>
            </w:r>
          </w:p>
        </w:tc>
        <w:tc>
          <w:tcPr>
            <w:tcW w:w="2091" w:type="dxa"/>
          </w:tcPr>
          <w:p w14:paraId="560253B8" w14:textId="77777777" w:rsidR="00D61C7A" w:rsidRPr="00507A31" w:rsidRDefault="00D61C7A" w:rsidP="00507A31">
            <w:pPr>
              <w:jc w:val="both"/>
              <w:rPr>
                <w:color w:val="0070C0"/>
                <w:sz w:val="16"/>
                <w:szCs w:val="16"/>
                <w:shd w:val="clear" w:color="auto" w:fill="FFFFFF"/>
              </w:rPr>
            </w:pPr>
            <w:r w:rsidRPr="00507A31">
              <w:rPr>
                <w:color w:val="0070C0"/>
                <w:sz w:val="16"/>
                <w:szCs w:val="16"/>
              </w:rPr>
              <w:t>12,5</w:t>
            </w:r>
          </w:p>
        </w:tc>
      </w:tr>
      <w:tr w:rsidR="00D61C7A" w:rsidRPr="00507A31" w14:paraId="6FE7B3C7" w14:textId="77777777" w:rsidTr="00027DFA">
        <w:tc>
          <w:tcPr>
            <w:tcW w:w="2091" w:type="dxa"/>
          </w:tcPr>
          <w:p w14:paraId="2617E551" w14:textId="77777777" w:rsidR="00D61C7A" w:rsidRPr="00507A31" w:rsidRDefault="00D61C7A" w:rsidP="00507A31">
            <w:pPr>
              <w:jc w:val="both"/>
              <w:rPr>
                <w:color w:val="0070C0"/>
                <w:sz w:val="16"/>
                <w:szCs w:val="16"/>
              </w:rPr>
            </w:pPr>
            <w:r w:rsidRPr="00507A31">
              <w:rPr>
                <w:color w:val="0070C0"/>
                <w:sz w:val="16"/>
                <w:szCs w:val="16"/>
              </w:rPr>
              <w:t>Танков </w:t>
            </w:r>
          </w:p>
        </w:tc>
        <w:tc>
          <w:tcPr>
            <w:tcW w:w="2091" w:type="dxa"/>
            <w:vAlign w:val="center"/>
          </w:tcPr>
          <w:p w14:paraId="7DC51157" w14:textId="77777777" w:rsidR="00D61C7A" w:rsidRPr="00507A31" w:rsidRDefault="00D61C7A" w:rsidP="00507A31">
            <w:pPr>
              <w:jc w:val="both"/>
              <w:rPr>
                <w:color w:val="0070C0"/>
                <w:sz w:val="16"/>
                <w:szCs w:val="16"/>
              </w:rPr>
            </w:pPr>
            <w:r w:rsidRPr="00507A31">
              <w:rPr>
                <w:color w:val="0070C0"/>
                <w:sz w:val="16"/>
                <w:szCs w:val="16"/>
              </w:rPr>
              <w:t>0,15</w:t>
            </w:r>
          </w:p>
        </w:tc>
        <w:tc>
          <w:tcPr>
            <w:tcW w:w="2091" w:type="dxa"/>
          </w:tcPr>
          <w:p w14:paraId="0C372A4C" w14:textId="77777777" w:rsidR="00D61C7A" w:rsidRPr="00507A31" w:rsidRDefault="00D61C7A" w:rsidP="00507A31">
            <w:pPr>
              <w:jc w:val="both"/>
              <w:rPr>
                <w:color w:val="0070C0"/>
                <w:sz w:val="16"/>
                <w:szCs w:val="16"/>
                <w:shd w:val="clear" w:color="auto" w:fill="FFFFFF"/>
              </w:rPr>
            </w:pPr>
            <w:r w:rsidRPr="00507A31">
              <w:rPr>
                <w:color w:val="0070C0"/>
                <w:sz w:val="16"/>
                <w:szCs w:val="16"/>
              </w:rPr>
              <w:t>1,055</w:t>
            </w:r>
          </w:p>
        </w:tc>
        <w:tc>
          <w:tcPr>
            <w:tcW w:w="2091" w:type="dxa"/>
          </w:tcPr>
          <w:p w14:paraId="3B5E6A78" w14:textId="77777777" w:rsidR="00D61C7A" w:rsidRPr="00507A31" w:rsidRDefault="00D61C7A" w:rsidP="00507A31">
            <w:pPr>
              <w:jc w:val="both"/>
              <w:rPr>
                <w:color w:val="0070C0"/>
                <w:sz w:val="16"/>
                <w:szCs w:val="16"/>
                <w:shd w:val="clear" w:color="auto" w:fill="FFFFFF"/>
              </w:rPr>
            </w:pPr>
            <w:r w:rsidRPr="00507A31">
              <w:rPr>
                <w:color w:val="0070C0"/>
                <w:sz w:val="16"/>
                <w:szCs w:val="16"/>
              </w:rPr>
              <w:t>20</w:t>
            </w:r>
          </w:p>
        </w:tc>
        <w:tc>
          <w:tcPr>
            <w:tcW w:w="2091" w:type="dxa"/>
          </w:tcPr>
          <w:p w14:paraId="302754A9" w14:textId="77777777" w:rsidR="00D61C7A" w:rsidRPr="00507A31" w:rsidRDefault="00D61C7A" w:rsidP="00507A31">
            <w:pPr>
              <w:jc w:val="both"/>
              <w:rPr>
                <w:color w:val="0070C0"/>
                <w:sz w:val="16"/>
                <w:szCs w:val="16"/>
                <w:shd w:val="clear" w:color="auto" w:fill="FFFFFF"/>
              </w:rPr>
            </w:pPr>
            <w:r w:rsidRPr="00507A31">
              <w:rPr>
                <w:color w:val="0070C0"/>
                <w:sz w:val="16"/>
                <w:szCs w:val="16"/>
                <w:shd w:val="clear" w:color="auto" w:fill="FFFFFF"/>
              </w:rPr>
              <w:t>40</w:t>
            </w:r>
          </w:p>
        </w:tc>
      </w:tr>
    </w:tbl>
    <w:p w14:paraId="26E8D813" w14:textId="77777777" w:rsidR="00D61C7A" w:rsidRPr="00507A31" w:rsidRDefault="00D61C7A" w:rsidP="00507A31">
      <w:pPr>
        <w:jc w:val="both"/>
        <w:rPr>
          <w:color w:val="0070C0"/>
          <w:sz w:val="16"/>
          <w:szCs w:val="16"/>
          <w:shd w:val="clear" w:color="auto" w:fill="FFFFFF"/>
        </w:rPr>
      </w:pPr>
      <w:r w:rsidRPr="00507A31">
        <w:rPr>
          <w:color w:val="0070C0"/>
          <w:sz w:val="16"/>
          <w:szCs w:val="16"/>
          <w:shd w:val="clear" w:color="auto" w:fill="FFFFFF"/>
        </w:rPr>
        <w:t>Источник: РГАЭ. Ф.4372. Оп.91. Д.1268. Л.32. Обзор Сектора обороны Госплана о первом пятилетнем плане, январь 1933 г. (9089).</w:t>
      </w:r>
    </w:p>
    <w:p w14:paraId="4DB61144" w14:textId="77777777" w:rsidR="00D61C7A" w:rsidRPr="00507A31" w:rsidRDefault="00D61C7A" w:rsidP="00507A31">
      <w:pPr>
        <w:jc w:val="both"/>
        <w:rPr>
          <w:color w:val="0070C0"/>
          <w:sz w:val="16"/>
          <w:szCs w:val="16"/>
        </w:rPr>
      </w:pPr>
    </w:p>
    <w:p w14:paraId="5CC138AA" w14:textId="77777777" w:rsidR="00D61C7A" w:rsidRPr="00507A31" w:rsidRDefault="00D61C7A" w:rsidP="00507A31">
      <w:pPr>
        <w:jc w:val="both"/>
        <w:rPr>
          <w:color w:val="0070C0"/>
          <w:sz w:val="16"/>
          <w:szCs w:val="16"/>
        </w:rPr>
      </w:pPr>
      <w:r w:rsidRPr="00507A31">
        <w:rPr>
          <w:color w:val="0070C0"/>
          <w:sz w:val="16"/>
          <w:szCs w:val="16"/>
        </w:rPr>
        <w:t>1 декабря 1930 г. Политбюро одобрило новую мобилизационную заявку. Эта заявка ориентировала на расширение артиллерийских, танковых и военно-воздушных сил на протяжении 1931 и 1932 гг., а также на значительно более высокий уровень боеготовности военного времени. Производство орудий за год войны увеличивалось с 4562 до 12610 стволов (все калибры). Соответственно, годовое производство самолетов в военное время увеличивалось с 4267 до 7098, а мощности производства танков в военное время устанавливались в принятом 1 декабря 1930 г. решении руководства на уровне 20000 машин, который должен был быть достигнут к 1 мая 1932 г. Используя эти новые мобилизационные запросы в качестве отправной точки, можно приступать к объяснению и анализу увеличения военного бюджета в последующие годы. Принимая во внимание изменения в планируемом масштабе операций военного времени, непосредственные изменения в оценке военной угрозы в 1931 г. не имели такого большого значения. Обусловленные ими последствия покрывались мобилизационными показателями.</w:t>
      </w:r>
    </w:p>
    <w:p w14:paraId="7BA7BF3A" w14:textId="77777777" w:rsidR="00D61C7A" w:rsidRPr="00507A31" w:rsidRDefault="00D61C7A" w:rsidP="00507A31">
      <w:pPr>
        <w:jc w:val="both"/>
        <w:rPr>
          <w:color w:val="0070C0"/>
          <w:sz w:val="16"/>
          <w:szCs w:val="16"/>
        </w:rPr>
      </w:pPr>
      <w:r w:rsidRPr="00507A31">
        <w:rPr>
          <w:color w:val="0070C0"/>
          <w:sz w:val="16"/>
          <w:szCs w:val="16"/>
        </w:rPr>
        <w:t>Для того, чтобы достичь этих мобилизационных показателей на 1932–1933 гг. НКВМ предложил установить годовой военный бюджет на уровне 4000 млн. рублей, что более чем в два раза превышало оборонный бюджет на 1931 г. Эта сумма была большей, чем одобренная в середине 1931 г. Сектором обороны Госплана, поэтому он выступил за сокращение проекта военного бюджета до 2800 млн. рублей. Директивы к плану оборонной промышленности на 1930/1931 г. состояли из следующих разделов: а) план подготовки производственных мощностей; б) план применения ручного и механизированного труда; в) план по сырью; г) план по мобилизационным резервам. Был составлен проект отдельного плана для первого периода войны (ППВ). Ожидалось, что во время этого периода заводы смогут выйти на уровень в 75–90% от предусмотренного для производства военного времени. Подробные планы на первый период войны должны были разрабатываться совместно военными и руководителями промышленности (9089).</w:t>
      </w:r>
    </w:p>
    <w:p w14:paraId="6D5FFC5E" w14:textId="77777777" w:rsidR="00D61C7A" w:rsidRPr="00507A31" w:rsidRDefault="00D61C7A" w:rsidP="00507A31">
      <w:pPr>
        <w:jc w:val="both"/>
        <w:rPr>
          <w:color w:val="0070C0"/>
          <w:sz w:val="16"/>
          <w:szCs w:val="16"/>
        </w:rPr>
      </w:pPr>
    </w:p>
    <w:p w14:paraId="2715BD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декабря 1930 года во время «процесса Промпартии» на вечернем заседании, член Специального судебного присутствия Верховного суда СССР В.Л. Львов задал вопрос одному из «участников» так называемого инженерного центра профессору Чармовскому: «... Было ли какое-либо соприкосновение по вредительству с вашей группой по тракторо — и ав</w:t>
      </w:r>
      <w:r w:rsidRPr="00507A31">
        <w:rPr>
          <w:color w:val="000000" w:themeColor="text1"/>
          <w:sz w:val="16"/>
          <w:szCs w:val="16"/>
        </w:rPr>
        <w:softHyphen/>
        <w:t>тостроению?».</w:t>
      </w:r>
    </w:p>
    <w:p w14:paraId="0813A1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ЧАРМОВСКИЙ. По тракторостроению в нашем ИТС была образована комиссия, которая рассматривала типы тракторов. Она была образована под председательством. Кутского Н.М. и должна была рассматривать вопрос о типе тракторов для сталинградского завода... Относительно вредительства в пределах этой комиссии мне не было известно, но что Кутский сам принад</w:t>
      </w:r>
      <w:r w:rsidRPr="00507A31">
        <w:rPr>
          <w:color w:val="000000" w:themeColor="text1"/>
          <w:sz w:val="16"/>
          <w:szCs w:val="16"/>
        </w:rPr>
        <w:softHyphen/>
        <w:t>лежал к нашему инженерному вредительскому центру — это факт. Относи</w:t>
      </w:r>
      <w:r w:rsidRPr="00507A31">
        <w:rPr>
          <w:color w:val="000000" w:themeColor="text1"/>
          <w:sz w:val="16"/>
          <w:szCs w:val="16"/>
        </w:rPr>
        <w:softHyphen/>
        <w:t>тельно других сочленов комиссии я не знаю. Затем перед этим была учрежде</w:t>
      </w:r>
      <w:r w:rsidRPr="00507A31">
        <w:rPr>
          <w:color w:val="000000" w:themeColor="text1"/>
          <w:sz w:val="16"/>
          <w:szCs w:val="16"/>
        </w:rPr>
        <w:softHyphen/>
        <w:t>на тракторная комиссия при Госплане... Она тогда выбрала тип «фордзона» для Путиловского завода. Многие были недовольны этим типом... Вот круг вопросов, в которых вращалась техника тракторостроения.</w:t>
      </w:r>
    </w:p>
    <w:p w14:paraId="7439E2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Все-таки в вашей вредительской организации, в центре, обсуждался ли вопрос в отношении тракторостроения, если да, то какова была установка в этом деле?</w:t>
      </w:r>
    </w:p>
    <w:p w14:paraId="6BBE39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ЧАРМОВСКИЙ.... в НТО нам пришлось столкнуться с дефектами нашего производства, давать советы заводам и т.д., но это мы делали не в порядке вредительства, а в порядке текущей работы. Что касается типа трактора, то мы приняли такой тип, который был выбран комиссией и передан в Главмашстрой.</w:t>
      </w:r>
    </w:p>
    <w:p w14:paraId="7BB470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ПРЕДСЕДАТЕЛЬ. Значит... центр в область тракторостроения с вре</w:t>
      </w:r>
      <w:r w:rsidRPr="00507A31">
        <w:rPr>
          <w:color w:val="000000" w:themeColor="text1"/>
          <w:sz w:val="16"/>
          <w:szCs w:val="16"/>
        </w:rPr>
        <w:softHyphen/>
        <w:t>дительскими целями не вмешивался?</w:t>
      </w:r>
    </w:p>
    <w:p w14:paraId="5455A1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ЧАРНОВСКИЙ. Нет, не вмешивался.</w:t>
      </w:r>
    </w:p>
    <w:p w14:paraId="741452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Тогда это непонятно. Тракторостроение — такая область, на которую вам надо было обратить внимание, а инженерный центр на эту область специального внимания не обращал?</w:t>
      </w:r>
    </w:p>
    <w:p w14:paraId="4AB473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ЧАРНОВСКИЙ. Нет. Дело в том, что была образована организация ВАТО, все это перешло к ВАТО, и интерес к этому делу у нас охладел...</w:t>
      </w:r>
    </w:p>
    <w:p w14:paraId="07CCD3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Наше дело было выбрать комиссию из самых лучших знатоков трак</w:t>
      </w:r>
      <w:r w:rsidRPr="00507A31">
        <w:rPr>
          <w:color w:val="000000" w:themeColor="text1"/>
          <w:sz w:val="16"/>
          <w:szCs w:val="16"/>
        </w:rPr>
        <w:softHyphen/>
        <w:t>торного дела.</w:t>
      </w:r>
    </w:p>
    <w:p w14:paraId="57DC96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Кто же вошел в эту комиссию?</w:t>
      </w:r>
    </w:p>
    <w:p w14:paraId="4495C4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ЧАРНОВСКИЙ. Туда вошли двое военных — А.А.Жановский, Кутс-кий...</w:t>
      </w:r>
    </w:p>
    <w:p w14:paraId="40A9F9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ПРЕДСЕДАТЕЛЬ. Кто еще вошел?</w:t>
      </w:r>
    </w:p>
    <w:p w14:paraId="53DE37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ЧАРНОВСКИЙ. Тимофеевич, Кристи, больше не помню» (11504).</w:t>
      </w:r>
    </w:p>
    <w:p w14:paraId="0F0BB3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EFCCC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декабря 1930 г. была спущена на воду Головная лодка "Щука", давшая наименование всей серии и вскоре отнесенная к средним подводным лодкам, и вступила в строй в октябре 1933 г. Строителем ее бьш инженер М. Л. Ковальский. Почти одновремен</w:t>
      </w:r>
      <w:r w:rsidRPr="00507A31">
        <w:rPr>
          <w:color w:val="000000" w:themeColor="text1"/>
          <w:sz w:val="16"/>
          <w:szCs w:val="16"/>
        </w:rPr>
        <w:softHyphen/>
        <w:t>но были окончены постройкой "Окунь" и "Ерш" (3898).</w:t>
      </w:r>
    </w:p>
    <w:p w14:paraId="534804CB" w14:textId="77777777" w:rsidR="00537E5F" w:rsidRPr="00507A31" w:rsidRDefault="00537E5F" w:rsidP="00507A31">
      <w:pPr>
        <w:autoSpaceDE w:val="0"/>
        <w:autoSpaceDN w:val="0"/>
        <w:adjustRightInd w:val="0"/>
        <w:jc w:val="both"/>
        <w:rPr>
          <w:color w:val="000000" w:themeColor="text1"/>
          <w:sz w:val="16"/>
          <w:szCs w:val="16"/>
        </w:rPr>
      </w:pPr>
    </w:p>
    <w:p w14:paraId="0CECC32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7208709C" w14:textId="77777777" w:rsidR="00537E5F" w:rsidRPr="00507A31" w:rsidRDefault="00537E5F" w:rsidP="00507A31">
      <w:pPr>
        <w:autoSpaceDE w:val="0"/>
        <w:autoSpaceDN w:val="0"/>
        <w:adjustRightInd w:val="0"/>
        <w:jc w:val="both"/>
        <w:rPr>
          <w:iCs/>
          <w:color w:val="000000" w:themeColor="text1"/>
          <w:sz w:val="16"/>
          <w:szCs w:val="16"/>
        </w:rPr>
      </w:pPr>
    </w:p>
    <w:p w14:paraId="48D4F3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 декабря 1930 года приняты постановления Реввоенсовета «О противовоздушной обороне действующей армии и объектов военного назначения» и «О противовоздушной обороне тыла» (10109).</w:t>
      </w:r>
    </w:p>
    <w:p w14:paraId="2C94258F" w14:textId="77777777" w:rsidR="00537E5F" w:rsidRPr="00507A31" w:rsidRDefault="00537E5F" w:rsidP="00507A31">
      <w:pPr>
        <w:autoSpaceDE w:val="0"/>
        <w:autoSpaceDN w:val="0"/>
        <w:adjustRightInd w:val="0"/>
        <w:jc w:val="both"/>
        <w:rPr>
          <w:color w:val="000000" w:themeColor="text1"/>
          <w:sz w:val="16"/>
          <w:szCs w:val="16"/>
        </w:rPr>
      </w:pPr>
    </w:p>
    <w:p w14:paraId="4A71BB43" w14:textId="77777777" w:rsidR="00FA7A8D" w:rsidRPr="00507A31" w:rsidRDefault="0096514A"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w:t>
      </w:r>
      <w:r w:rsidR="00FA7A8D" w:rsidRPr="00507A31">
        <w:rPr>
          <w:i/>
          <w:iCs/>
          <w:color w:val="000000" w:themeColor="text1"/>
          <w:sz w:val="16"/>
          <w:szCs w:val="16"/>
        </w:rPr>
        <w:t xml:space="preserve"> политика:</w:t>
      </w:r>
    </w:p>
    <w:p w14:paraId="0829CACA" w14:textId="77777777" w:rsidR="00FA7A8D" w:rsidRPr="00507A31" w:rsidRDefault="00FA7A8D" w:rsidP="00507A31">
      <w:pPr>
        <w:autoSpaceDE w:val="0"/>
        <w:autoSpaceDN w:val="0"/>
        <w:adjustRightInd w:val="0"/>
        <w:jc w:val="both"/>
        <w:rPr>
          <w:iCs/>
          <w:color w:val="000000" w:themeColor="text1"/>
          <w:sz w:val="16"/>
          <w:szCs w:val="16"/>
        </w:rPr>
      </w:pPr>
    </w:p>
    <w:p w14:paraId="46556BDE" w14:textId="77777777" w:rsidR="00FA7A8D" w:rsidRPr="00507A31" w:rsidRDefault="00FA7A8D" w:rsidP="00507A31">
      <w:pPr>
        <w:jc w:val="both"/>
        <w:rPr>
          <w:color w:val="000000" w:themeColor="text1"/>
          <w:sz w:val="16"/>
          <w:szCs w:val="16"/>
        </w:rPr>
      </w:pPr>
      <w:r w:rsidRPr="00507A31">
        <w:rPr>
          <w:color w:val="000000" w:themeColor="text1"/>
          <w:sz w:val="16"/>
          <w:szCs w:val="16"/>
        </w:rPr>
        <w:t>1 декабря 1930 г.</w:t>
      </w:r>
    </w:p>
    <w:p w14:paraId="5617FE3C" w14:textId="77777777" w:rsidR="00FA7A8D" w:rsidRPr="00507A31" w:rsidRDefault="00FA7A8D" w:rsidP="00507A31">
      <w:pPr>
        <w:jc w:val="both"/>
        <w:rPr>
          <w:color w:val="000000" w:themeColor="text1"/>
          <w:sz w:val="16"/>
          <w:szCs w:val="16"/>
        </w:rPr>
      </w:pPr>
      <w:r w:rsidRPr="00507A31">
        <w:rPr>
          <w:color w:val="000000" w:themeColor="text1"/>
          <w:sz w:val="16"/>
          <w:szCs w:val="16"/>
        </w:rPr>
        <w:t>Письмо П. Н. Мостовенко «государственному обвинителю по делу Промпартии» Н. В. Крыленко с характеристикой подсудимых Рамзина и Чарновского. 1 декабря 1930 г.</w:t>
      </w:r>
    </w:p>
    <w:p w14:paraId="718134C9" w14:textId="77777777" w:rsidR="00FA7A8D" w:rsidRPr="00507A31" w:rsidRDefault="00FA7A8D" w:rsidP="00507A31">
      <w:pPr>
        <w:jc w:val="both"/>
        <w:rPr>
          <w:color w:val="000000" w:themeColor="text1"/>
          <w:sz w:val="16"/>
          <w:szCs w:val="16"/>
        </w:rPr>
      </w:pPr>
      <w:r w:rsidRPr="00507A31">
        <w:rPr>
          <w:color w:val="000000" w:themeColor="text1"/>
          <w:sz w:val="16"/>
          <w:szCs w:val="16"/>
        </w:rPr>
        <w:t>Источник: </w:t>
      </w:r>
    </w:p>
    <w:p w14:paraId="04D2FFEE" w14:textId="77777777" w:rsidR="00FA7A8D" w:rsidRPr="00507A31" w:rsidRDefault="00FA7A8D"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B0F925" w14:textId="77777777" w:rsidR="00FA7A8D" w:rsidRPr="00507A31" w:rsidRDefault="00FA7A8D" w:rsidP="00507A31">
      <w:pPr>
        <w:jc w:val="both"/>
        <w:rPr>
          <w:color w:val="000000" w:themeColor="text1"/>
          <w:sz w:val="16"/>
          <w:szCs w:val="16"/>
        </w:rPr>
      </w:pPr>
      <w:r w:rsidRPr="00507A31">
        <w:rPr>
          <w:color w:val="000000" w:themeColor="text1"/>
          <w:sz w:val="16"/>
          <w:szCs w:val="16"/>
        </w:rPr>
        <w:t>1 декабря 1930 г.</w:t>
      </w:r>
    </w:p>
    <w:p w14:paraId="7952D64E" w14:textId="77777777" w:rsidR="00FA7A8D" w:rsidRPr="00507A31" w:rsidRDefault="00FA7A8D" w:rsidP="00507A31">
      <w:pPr>
        <w:jc w:val="both"/>
        <w:rPr>
          <w:color w:val="000000" w:themeColor="text1"/>
          <w:sz w:val="16"/>
          <w:szCs w:val="16"/>
        </w:rPr>
      </w:pPr>
      <w:r w:rsidRPr="00507A31">
        <w:rPr>
          <w:color w:val="000000" w:themeColor="text1"/>
          <w:sz w:val="16"/>
          <w:szCs w:val="16"/>
        </w:rPr>
        <w:t>Не подлежит оглашению.</w:t>
      </w:r>
    </w:p>
    <w:p w14:paraId="79F474AE" w14:textId="77777777" w:rsidR="00FA7A8D" w:rsidRPr="00507A31" w:rsidRDefault="00FA7A8D" w:rsidP="00507A31">
      <w:pPr>
        <w:jc w:val="both"/>
        <w:rPr>
          <w:color w:val="000000" w:themeColor="text1"/>
          <w:sz w:val="16"/>
          <w:szCs w:val="16"/>
        </w:rPr>
      </w:pPr>
      <w:r w:rsidRPr="00507A31">
        <w:rPr>
          <w:color w:val="000000" w:themeColor="text1"/>
          <w:sz w:val="16"/>
          <w:szCs w:val="16"/>
        </w:rPr>
        <w:t>ГОСУДАРСТВЕННОМУ ОБВИНИТЕЛЮ</w:t>
      </w:r>
    </w:p>
    <w:p w14:paraId="322D2B47" w14:textId="77777777" w:rsidR="00FA7A8D" w:rsidRPr="00507A31" w:rsidRDefault="00FA7A8D" w:rsidP="00507A31">
      <w:pPr>
        <w:jc w:val="both"/>
        <w:rPr>
          <w:color w:val="000000" w:themeColor="text1"/>
          <w:sz w:val="16"/>
          <w:szCs w:val="16"/>
        </w:rPr>
      </w:pPr>
      <w:r w:rsidRPr="00507A31">
        <w:rPr>
          <w:color w:val="000000" w:themeColor="text1"/>
          <w:sz w:val="16"/>
          <w:szCs w:val="16"/>
        </w:rPr>
        <w:t>ПО ДЕЛУ ПРОМПАРТИИ</w:t>
      </w:r>
    </w:p>
    <w:p w14:paraId="09E20436" w14:textId="77777777" w:rsidR="00FA7A8D" w:rsidRPr="00507A31" w:rsidRDefault="00FA7A8D" w:rsidP="00507A31">
      <w:pPr>
        <w:jc w:val="both"/>
        <w:rPr>
          <w:color w:val="000000" w:themeColor="text1"/>
          <w:sz w:val="16"/>
          <w:szCs w:val="16"/>
        </w:rPr>
      </w:pPr>
      <w:r w:rsidRPr="00507A31">
        <w:rPr>
          <w:color w:val="000000" w:themeColor="text1"/>
          <w:sz w:val="16"/>
          <w:szCs w:val="16"/>
        </w:rPr>
        <w:t>тов. Крыленко Н. В.</w:t>
      </w:r>
    </w:p>
    <w:p w14:paraId="3EC82EAF" w14:textId="77777777" w:rsidR="00FA7A8D" w:rsidRPr="00507A31" w:rsidRDefault="00FA7A8D" w:rsidP="00507A31">
      <w:pPr>
        <w:jc w:val="both"/>
        <w:rPr>
          <w:color w:val="000000" w:themeColor="text1"/>
          <w:sz w:val="16"/>
          <w:szCs w:val="16"/>
        </w:rPr>
      </w:pPr>
      <w:r w:rsidRPr="00507A31">
        <w:rPr>
          <w:color w:val="000000" w:themeColor="text1"/>
          <w:sz w:val="16"/>
          <w:szCs w:val="16"/>
        </w:rPr>
        <w:t>От тов. МОСТОВЕНКО —</w:t>
      </w:r>
    </w:p>
    <w:p w14:paraId="20B3C9B7" w14:textId="77777777" w:rsidR="00FA7A8D" w:rsidRPr="00507A31" w:rsidRDefault="00FA7A8D" w:rsidP="00507A31">
      <w:pPr>
        <w:jc w:val="both"/>
        <w:rPr>
          <w:color w:val="000000" w:themeColor="text1"/>
          <w:sz w:val="16"/>
          <w:szCs w:val="16"/>
        </w:rPr>
      </w:pPr>
      <w:r w:rsidRPr="00507A31">
        <w:rPr>
          <w:color w:val="000000" w:themeColor="text1"/>
          <w:sz w:val="16"/>
          <w:szCs w:val="16"/>
        </w:rPr>
        <w:t>Плющиха, 2-й Воздвиженский пер., д. 4, кв. 5.</w:t>
      </w:r>
    </w:p>
    <w:p w14:paraId="2C4E38AA" w14:textId="77777777" w:rsidR="00FA7A8D" w:rsidRPr="00507A31" w:rsidRDefault="00FA7A8D" w:rsidP="00507A31">
      <w:pPr>
        <w:jc w:val="both"/>
        <w:rPr>
          <w:color w:val="000000" w:themeColor="text1"/>
          <w:sz w:val="16"/>
          <w:szCs w:val="16"/>
        </w:rPr>
      </w:pPr>
      <w:r w:rsidRPr="00507A31">
        <w:rPr>
          <w:color w:val="000000" w:themeColor="text1"/>
          <w:sz w:val="16"/>
          <w:szCs w:val="16"/>
        </w:rPr>
        <w:t>Согласно Вашему предложению, в результате моего телефонного звонка Вам, сообщаю нижеследующее.</w:t>
      </w:r>
    </w:p>
    <w:p w14:paraId="4FE09AAA" w14:textId="77777777" w:rsidR="00FA7A8D" w:rsidRPr="00507A31" w:rsidRDefault="00FA7A8D" w:rsidP="00507A31">
      <w:pPr>
        <w:jc w:val="both"/>
        <w:rPr>
          <w:color w:val="000000" w:themeColor="text1"/>
          <w:sz w:val="16"/>
          <w:szCs w:val="16"/>
        </w:rPr>
      </w:pPr>
      <w:r w:rsidRPr="00507A31">
        <w:rPr>
          <w:color w:val="000000" w:themeColor="text1"/>
          <w:sz w:val="16"/>
          <w:szCs w:val="16"/>
        </w:rPr>
        <w:t>Из подсудимых я хорошо знаю Рамзина (с конца 1917 г.) и Чарновского (по работе в МВТУ).</w:t>
      </w:r>
    </w:p>
    <w:p w14:paraId="769A3B7A" w14:textId="77777777" w:rsidR="00FA7A8D" w:rsidRPr="00507A31" w:rsidRDefault="00FA7A8D" w:rsidP="00507A31">
      <w:pPr>
        <w:jc w:val="both"/>
        <w:rPr>
          <w:color w:val="000000" w:themeColor="text1"/>
          <w:sz w:val="16"/>
          <w:szCs w:val="16"/>
        </w:rPr>
      </w:pPr>
      <w:r w:rsidRPr="00507A31">
        <w:rPr>
          <w:color w:val="000000" w:themeColor="text1"/>
          <w:sz w:val="16"/>
          <w:szCs w:val="16"/>
        </w:rPr>
        <w:t>С Рамзиным в первый раз я встретился в конце [19]17 — начале [19]18 г. в качестве Заведующего Хозяйственными предприятиями Москвы, когда я явился в Тепловой Комитет (М. Никитская) попытаться выяснить, какую и для чего предназначавшуюся нефть мы пережигаем, — и каковы предполагавшиеся старыми органами управления перспективы на возможность получения ее в ближайшем будущем. Общий тон в К[омите]те был напряженно враждебный, но в пределах внешней корректности. Рамзин запомнился мне по исключительной его озлобленности в то время и неумению сдерживать себя. Его то и дело прорывало оскорбительными, чисто ругательными выходками. Так, когда я знакомился с Членами К[омите]та и обменивался рукопожатиями, при подходе моем к Р[амзину] он демонстративно заложил руки назад и бросил реплику: «Может быть нам лучше обойтись без взаимных знаков уважения». Я ответил шуткой[:] «о, да, это не нарушит наших планов, мы, собственно, приехали за нефтью, а не за уважением». Другие его запомнившиеся реплики: «Может быть, Вам проще спросить об этом Ваших приятелей немцев», или: «Может быть, по пути расскажете нам, сколько Вы получили за произведенный Вами разгром от Вашего приятеля Кайзера».</w:t>
      </w:r>
    </w:p>
    <w:p w14:paraId="15E8C1B7" w14:textId="77777777" w:rsidR="00FA7A8D" w:rsidRPr="00507A31" w:rsidRDefault="00FA7A8D" w:rsidP="00507A31">
      <w:pPr>
        <w:jc w:val="both"/>
        <w:rPr>
          <w:color w:val="000000" w:themeColor="text1"/>
          <w:sz w:val="16"/>
          <w:szCs w:val="16"/>
        </w:rPr>
      </w:pPr>
      <w:r w:rsidRPr="00507A31">
        <w:rPr>
          <w:color w:val="000000" w:themeColor="text1"/>
          <w:sz w:val="16"/>
          <w:szCs w:val="16"/>
        </w:rPr>
        <w:t>Запомнилось мне также, что, хотя Р[амзин], несмотря на свою тогдашнюю крайнюю моложавость, видимо, пользовался в К[омите]те очень большим весом — напряженность и нелепая неуместность его отдельных выходок была такова, что другие члены К[омите]та мягко успокаивали его. Особенно близкое мое знакомство с Р[амзиным] — по моей работе в качестве ректора МВТУ ([19]28-30г.). Р[амзин] этого времени отличался от Р[амзина] конца [19]17 — начала [19]18-го года тем, что явно научился сдерживать себя и играть роль. На меня произвело большое впечатление поистине безобразное отношение Р[амзина] к элементарным, чисто человеческим потребностям студенчества. Так, пользуясь своим совершенно исключительным весом во ВТУЗе (роль морального рабства, начиная с поистине трепетавшей перед ним профессуры и кончая преклонявшимся перед предполагаемой незаменимостью его передовым студенчеством), он под предлогом своей исключительной занятости все полагавшееся ему — скажем, в запомнившемся мне случае 5 недельных часов «отзванивал» без перерыва поздно вечером сразу в один из дней недели. Свое резко отрицательное отношение к проводившейся нами работе по перестройке ВТУЗа он явно старался маскировать маской лояльной покорности велениям начальства. Но то и дело на общих собраниях, где положение было обычно таково, что такому авторитетному профессору нельзя было не выступать, его прорывало резко враждебными выходками. Зная Р[амзина] [19]17-го — [19]18-го года и [19]28-30 г. я совершенно не допускаю психологической возможности его «стояния на советской платформе» до 1926 г. Просто, очевидно, соответствующие руководящие места в то время прочно занимали другие, привычные в этой среде «вожди»; мириться со второй ролью Р[амзин], при его громадном честолюбии и навыке к авторитету и властности в своей сфере, не мог. Поведение Р[амзина] на процессе мне вполне понятно. У меня твердое впечатление, что кроме отдельных вставных фраз ему даже и вида не удается показать, что он действительности раскаивается. Вернее просто, что оказавшись в исключительно позорном положении и определенно одураченный (роль шпиона, коррупщика; выяснившееся отсутствие опоры внутри, готовность французских и прочих нанимателей воевать с нами, но не иначе[,] как на условиях старой традиции — «до последней капли крови — на этот раз — румынского солдата» и кое-что другое) Р[амзин] использует скамью подсудимых для того, чтобы через голову суда апеллировать к своим, довести до их сведения об оправдывающих его, по его мнению, причинах краха и по пути, для руководства тех же «своих», на будущее время изложить исключительно тщательно проработанную «платформу» своей партии. Играет несомненно роль и понимание, что гласный характер процесса и внешние знаки раскаяния — уже какой[-]то залог возможности сохранения жизни. По моему общему впечатлению Р[амзин] вообще исключительно «тертая», опытная, «стреляная» фигура. Я все время держал под большим сомнением его собственно научную основательность и ценность. Он — отличный администратор, очень хорошо научившийся «обминать» вокруг себя фундамент, создавать себе и поддерживать авторитетное положение и использовать в своих целях работу подчиненных ему научных «негров», державшихся возле него под знаком исключительной от него зависимости.</w:t>
      </w:r>
    </w:p>
    <w:p w14:paraId="1D5C4FD7" w14:textId="77777777" w:rsidR="00FA7A8D" w:rsidRPr="00507A31" w:rsidRDefault="00FA7A8D" w:rsidP="00507A31">
      <w:pPr>
        <w:jc w:val="both"/>
        <w:rPr>
          <w:color w:val="000000" w:themeColor="text1"/>
          <w:sz w:val="16"/>
          <w:szCs w:val="16"/>
        </w:rPr>
      </w:pPr>
      <w:r w:rsidRPr="00507A31">
        <w:rPr>
          <w:color w:val="000000" w:themeColor="text1"/>
          <w:sz w:val="16"/>
          <w:szCs w:val="16"/>
        </w:rPr>
        <w:t>Другого типа — Чарновский. В сравнении с Р[амзиным] — это комбинация «ч[ё]рта» (Р[амзин]) и «младенца» (седовласый Чарновский). Как ученый, Чарновский, несомненно, для своего времени (лет 40 назад) очень серьезная, крупная, высоко-одаренная величина. В работе по перестройке ВТУЗа Ч[арновский] (в отличие от Р[амзина], понимавшего, что кое-какие элементы наших преобразований в настоящее время соответствуют объективным нуждам высоко-технической промышленности при всяком режиме и что эти элементы в иных формах и иными путями проводились бы любой другой властью), вызванный нами на бой[,] в талантливейшей форме и исключительно выпукло нарисовал мировоззрение, свойственное старой российской, еще не державшейся на собственных ногах, до-Виттевской промышленности, отметая допустимость каких бы то ни было перемен. Еще раз поясню — Р[амзин], в отличие от Ч[арновского] явно понимал, что выступать против кое[-]чего принципиально было трудно, но был на 100 % против формы проведения, методов его, против проводящих субъектов, а, значит, и против конечных результатов.</w:t>
      </w:r>
    </w:p>
    <w:p w14:paraId="796FB415" w14:textId="77777777" w:rsidR="00FA7A8D" w:rsidRPr="00507A31" w:rsidRDefault="00FA7A8D" w:rsidP="00507A31">
      <w:pPr>
        <w:jc w:val="both"/>
        <w:rPr>
          <w:color w:val="000000" w:themeColor="text1"/>
          <w:sz w:val="16"/>
          <w:szCs w:val="16"/>
        </w:rPr>
      </w:pPr>
      <w:r w:rsidRPr="00507A31">
        <w:rPr>
          <w:color w:val="000000" w:themeColor="text1"/>
          <w:sz w:val="16"/>
          <w:szCs w:val="16"/>
        </w:rPr>
        <w:t>Во ВТУЗе Чарновский был откровенным хранителем старых ценностей в самом непосредственном, материальном их виде — чем-то вроде почетного, в порядке «общественной нагрузки», — «ктитора». Так, когда я в поисках помещения для аудитории распорядился неожиданно вскрыть «кабинет» проф. Чарновского, я нашел там церковные ризы и утварь, трехцветные флаги старой императорской «России», убранные явно до поры до времени, снятые со здания императорские гербы и проч.</w:t>
      </w:r>
    </w:p>
    <w:p w14:paraId="4D5C86AF" w14:textId="77777777" w:rsidR="00FA7A8D" w:rsidRPr="00507A31" w:rsidRDefault="00FA7A8D" w:rsidP="00507A31">
      <w:pPr>
        <w:jc w:val="both"/>
        <w:rPr>
          <w:color w:val="000000" w:themeColor="text1"/>
          <w:sz w:val="16"/>
          <w:szCs w:val="16"/>
        </w:rPr>
      </w:pPr>
      <w:r w:rsidRPr="00507A31">
        <w:rPr>
          <w:color w:val="000000" w:themeColor="text1"/>
          <w:sz w:val="16"/>
          <w:szCs w:val="16"/>
        </w:rPr>
        <w:t>В заключение скажу вот что. Даже для меня, человека по политической сознательности, стоящего, конечно, выше среднего уровня (30-летний партийный стаж хотя бы) совершенно не будет понятна замена явно заслуженной подсудимыми высшей меры каким[-]либо другим приговором. Я только что вернулся в Москву после 6-ти месячного пребывания заграницей, где имел возможность весьма пристальных наблюдений над настроениями различных, интересных нам кругов. И у меня твердое впечатление, что смягченный приговор уронит нас и там в глазах самых различных кругов (и друзей и врагов), ибо, обыватель судит упрощенно — если не решились (а иначе после всей картины дела он не поймет этого) как следует ударить, значит или все выдумано, несерьезно, или власть не чувствует достаточной уверенности под собой, достаточного авторитета и силы.</w:t>
      </w:r>
    </w:p>
    <w:p w14:paraId="71A7C78E" w14:textId="77777777" w:rsidR="00FA7A8D" w:rsidRPr="00507A31" w:rsidRDefault="00FA7A8D" w:rsidP="00507A31">
      <w:pPr>
        <w:jc w:val="both"/>
        <w:rPr>
          <w:color w:val="000000" w:themeColor="text1"/>
          <w:sz w:val="16"/>
          <w:szCs w:val="16"/>
        </w:rPr>
      </w:pPr>
      <w:r w:rsidRPr="00507A31">
        <w:rPr>
          <w:color w:val="000000" w:themeColor="text1"/>
          <w:sz w:val="16"/>
          <w:szCs w:val="16"/>
        </w:rPr>
        <w:t>Если Вы найдете необходимым вызвать меня в качестве свидетеля, то может быть мне вообще будет иметь смысл обрисовать кое[-]какие, весьма интересные бытовые подробности той обстановки, в которой подсудимые «работали».</w:t>
      </w:r>
    </w:p>
    <w:p w14:paraId="4C9F8693" w14:textId="77777777" w:rsidR="00FA7A8D" w:rsidRPr="00507A31" w:rsidRDefault="00FA7A8D" w:rsidP="00507A31">
      <w:pPr>
        <w:jc w:val="both"/>
        <w:rPr>
          <w:color w:val="000000" w:themeColor="text1"/>
          <w:sz w:val="16"/>
          <w:szCs w:val="16"/>
        </w:rPr>
      </w:pPr>
      <w:r w:rsidRPr="00507A31">
        <w:rPr>
          <w:color w:val="000000" w:themeColor="text1"/>
          <w:sz w:val="16"/>
          <w:szCs w:val="16"/>
        </w:rPr>
        <w:t>С товарищеским приветом П. Мостовенко</w:t>
      </w:r>
    </w:p>
    <w:p w14:paraId="1EFA9623" w14:textId="77777777" w:rsidR="00FA7A8D" w:rsidRPr="00507A31" w:rsidRDefault="00FA7A8D" w:rsidP="00507A31">
      <w:pPr>
        <w:jc w:val="both"/>
        <w:rPr>
          <w:color w:val="000000" w:themeColor="text1"/>
          <w:sz w:val="16"/>
          <w:szCs w:val="16"/>
        </w:rPr>
      </w:pPr>
      <w:r w:rsidRPr="00507A31">
        <w:rPr>
          <w:color w:val="000000" w:themeColor="text1"/>
          <w:sz w:val="16"/>
          <w:szCs w:val="16"/>
        </w:rPr>
        <w:t>Д. 356. Л. 47-49. Машинописный подлинник, подпись — автограф. Л. 47 — типографский бланк ВСНХ СССР, под угловым штампом в левом углу графа «По вопросу:», далее — текст письма. Дата машинописью в графе бланка справа. Вверху слева напечатано столбцом «ВГ 2/ХII. 30 г. Не подлежит оглашению». Вверху справа от руки «Копия т. Сталину». На Л. 49 (после текста) машинописная делопроизводственная помета «Отпечатано] 4 экз.» (18653).</w:t>
      </w:r>
    </w:p>
    <w:p w14:paraId="0E5E834D" w14:textId="77777777" w:rsidR="00FA7A8D" w:rsidRPr="00507A31" w:rsidRDefault="00FA7A8D" w:rsidP="00507A31">
      <w:pPr>
        <w:jc w:val="both"/>
        <w:rPr>
          <w:color w:val="000000" w:themeColor="text1"/>
          <w:sz w:val="16"/>
          <w:szCs w:val="16"/>
        </w:rPr>
      </w:pPr>
    </w:p>
    <w:p w14:paraId="5ADFD87E" w14:textId="77777777" w:rsidR="00FA7A8D" w:rsidRPr="00507A31" w:rsidRDefault="00FA7A8D"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58814A77" w14:textId="77777777" w:rsidR="00FA7A8D" w:rsidRPr="00507A31" w:rsidRDefault="00FA7A8D" w:rsidP="00507A31">
      <w:pPr>
        <w:autoSpaceDE w:val="0"/>
        <w:autoSpaceDN w:val="0"/>
        <w:adjustRightInd w:val="0"/>
        <w:jc w:val="both"/>
        <w:rPr>
          <w:iCs/>
          <w:color w:val="000000" w:themeColor="text1"/>
          <w:sz w:val="16"/>
          <w:szCs w:val="16"/>
        </w:rPr>
      </w:pPr>
    </w:p>
    <w:p w14:paraId="73129843" w14:textId="77777777" w:rsidR="0096514A" w:rsidRPr="00507A31" w:rsidRDefault="0096514A" w:rsidP="00507A31">
      <w:pPr>
        <w:jc w:val="both"/>
        <w:rPr>
          <w:bCs/>
          <w:color w:val="000000" w:themeColor="text1"/>
          <w:sz w:val="16"/>
          <w:szCs w:val="16"/>
        </w:rPr>
      </w:pPr>
      <w:r w:rsidRPr="00507A31">
        <w:rPr>
          <w:color w:val="000000" w:themeColor="text1"/>
          <w:sz w:val="16"/>
          <w:szCs w:val="16"/>
        </w:rPr>
        <w:t>1 декабря 1930 г.</w:t>
      </w:r>
    </w:p>
    <w:p w14:paraId="2B6824CC" w14:textId="77777777" w:rsidR="0096514A" w:rsidRPr="00507A31" w:rsidRDefault="0096514A"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сведениях о процессе «Промпартии», поступивших из Риги. 1 декабря 1930 г.</w:t>
      </w:r>
    </w:p>
    <w:p w14:paraId="555873A9"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3D59F429"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EF89399"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1 декабря 1930 г.</w:t>
      </w:r>
    </w:p>
    <w:p w14:paraId="61433217"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Входящая телеграмма (копия)</w:t>
      </w:r>
    </w:p>
    <w:p w14:paraId="69E59091"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Шифровальный отдел</w:t>
      </w:r>
    </w:p>
    <w:p w14:paraId="26E80051"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№688</w:t>
      </w:r>
    </w:p>
    <w:p w14:paraId="2D60DDA6"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lastRenderedPageBreak/>
        <w:t>Москва, 1 декабря 1930, 15.22</w:t>
      </w:r>
    </w:p>
    <w:p w14:paraId="7823E1F3"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Получено: 1 декабря 1930, 18.00</w:t>
      </w:r>
    </w:p>
    <w:p w14:paraId="13A00D68"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В ответ на Вашу телеграмму № 354.</w:t>
      </w:r>
    </w:p>
    <w:p w14:paraId="7E2F186F"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1. Мне не поступало никаких сведений из Ленинграда, и насколько я знаю, здесь не появлялось никакой информации о подобном мероприятии. Но так как неистовство местных коммунистических организаций не знает никаких пределов, я обратил внимание комиссариата по иностранным делам на эту информацию, подчеркнув, какое впечатление произведут во Франции подобные эксцессы.</w:t>
      </w:r>
    </w:p>
    <w:p w14:paraId="6FC9495E"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2. Это утверждение неточно: в зале заседаний обвиняемые сидят рядом друг с другом без промежутков, кроме тех случаев, когда они случайно возникают при рассадке.</w:t>
      </w:r>
    </w:p>
    <w:p w14:paraId="18107C7C"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Жан Эрбет</w:t>
      </w:r>
    </w:p>
    <w:p w14:paraId="4B8452B9"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113.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«1 дек. 1930» и вписанным от руки номером о сдаче в архив «z 619-20 s/d5» (18763).</w:t>
      </w:r>
    </w:p>
    <w:p w14:paraId="2E666D75" w14:textId="77777777" w:rsidR="0096514A" w:rsidRPr="00507A31" w:rsidRDefault="0096514A" w:rsidP="00507A31">
      <w:pPr>
        <w:jc w:val="both"/>
        <w:rPr>
          <w:color w:val="000000" w:themeColor="text1"/>
          <w:sz w:val="16"/>
          <w:szCs w:val="16"/>
        </w:rPr>
      </w:pPr>
    </w:p>
    <w:p w14:paraId="2A81EAB6" w14:textId="77777777" w:rsidR="0096514A" w:rsidRPr="00507A31" w:rsidRDefault="0096514A" w:rsidP="00507A31">
      <w:pPr>
        <w:jc w:val="both"/>
        <w:rPr>
          <w:bCs/>
          <w:color w:val="000000" w:themeColor="text1"/>
          <w:sz w:val="16"/>
          <w:szCs w:val="16"/>
        </w:rPr>
      </w:pPr>
      <w:r w:rsidRPr="00507A31">
        <w:rPr>
          <w:color w:val="000000" w:themeColor="text1"/>
          <w:sz w:val="16"/>
          <w:szCs w:val="16"/>
        </w:rPr>
        <w:t>1 декабря 1930 г.</w:t>
      </w:r>
    </w:p>
    <w:p w14:paraId="55160D5A" w14:textId="77777777" w:rsidR="0096514A" w:rsidRPr="00507A31" w:rsidRDefault="0096514A" w:rsidP="00507A31">
      <w:pPr>
        <w:jc w:val="both"/>
        <w:rPr>
          <w:bCs/>
          <w:color w:val="000000" w:themeColor="text1"/>
          <w:sz w:val="16"/>
          <w:szCs w:val="16"/>
        </w:rPr>
      </w:pPr>
      <w:r w:rsidRPr="00507A31">
        <w:rPr>
          <w:color w:val="000000" w:themeColor="text1"/>
          <w:sz w:val="16"/>
          <w:szCs w:val="16"/>
        </w:rPr>
        <w:t>Телеграмма министра иностранных дел Франции в Белград с запросом о проверке подлинности письма С. Рамзина. 1 декабря 1930 г.</w:t>
      </w:r>
    </w:p>
    <w:p w14:paraId="4A0B093D"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246E574F"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81825A0"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1 декабря 1930 г.</w:t>
      </w:r>
    </w:p>
    <w:p w14:paraId="1168403F"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МИД</w:t>
      </w:r>
    </w:p>
    <w:p w14:paraId="6775718C"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Политическое управление</w:t>
      </w:r>
    </w:p>
    <w:p w14:paraId="1F91FEB3"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Телеграмма № 318</w:t>
      </w:r>
    </w:p>
    <w:p w14:paraId="3EE4CFA7"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Министр иностранных дел в Белград</w:t>
      </w:r>
    </w:p>
    <w:p w14:paraId="6AFEFD1A"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Ведомство получило рукописное письмо за подписью д-ра С. Рамзина (с указанием адреса проживания — Краля Милана 26), утверждающего, что он является братом русского ученого Рамзина, одного из главных обвиняемых на политическом процессе в Москве, и предоставляющего важные сведения о последней поездке Рамзина во Францию в 1928 году. Из этого письма следует, что эта поездка была организована советским правительством, которое пристально следило за ее ходом.</w:t>
      </w:r>
    </w:p>
    <w:p w14:paraId="5340BA91"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Прошу Вас в срочном порядке проверить подлинность письма и личность д-ра Рамзина и сообщить мне по телеграфу.</w:t>
      </w:r>
    </w:p>
    <w:p w14:paraId="75422AB5"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Б[риан]</w:t>
      </w:r>
    </w:p>
    <w:p w14:paraId="066D6063"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114. Рукописный подлинник исходящей телеграммы, подпись — росчерк. Вверху справа штамп шифровального отдела с датой «1 дек. 1930» и вписанным от руки временем «10 ч 30», ниже штамп Департамента политических и торговых дел с вписанным от руки номером о сдаче в архив «z 619-20 s/d5», левее второй штамп шифровального отдела с надписью «отправлено и [согласовано]». Перед текстом телеграммы рукописная помета чернилами «срочно». Номер телеграммы вписан от руки. Датируется по штампу шифровального отдела (18764).</w:t>
      </w:r>
    </w:p>
    <w:p w14:paraId="2D17688B" w14:textId="77777777" w:rsidR="0096514A" w:rsidRPr="00507A31" w:rsidRDefault="0096514A" w:rsidP="00507A31">
      <w:pPr>
        <w:jc w:val="both"/>
        <w:rPr>
          <w:color w:val="000000" w:themeColor="text1"/>
          <w:sz w:val="16"/>
          <w:szCs w:val="16"/>
        </w:rPr>
      </w:pPr>
    </w:p>
    <w:p w14:paraId="76126746" w14:textId="77777777" w:rsidR="0096514A" w:rsidRPr="00507A31" w:rsidRDefault="0096514A" w:rsidP="00507A31">
      <w:pPr>
        <w:jc w:val="both"/>
        <w:rPr>
          <w:bCs/>
          <w:color w:val="000000" w:themeColor="text1"/>
          <w:sz w:val="16"/>
          <w:szCs w:val="16"/>
        </w:rPr>
      </w:pPr>
      <w:r w:rsidRPr="00507A31">
        <w:rPr>
          <w:color w:val="000000" w:themeColor="text1"/>
          <w:sz w:val="16"/>
          <w:szCs w:val="16"/>
        </w:rPr>
        <w:t>1 декабря 1930 г.</w:t>
      </w:r>
    </w:p>
    <w:p w14:paraId="3B10CCE9" w14:textId="77777777" w:rsidR="0096514A" w:rsidRPr="00507A31" w:rsidRDefault="0096514A" w:rsidP="00507A31">
      <w:pPr>
        <w:jc w:val="both"/>
        <w:rPr>
          <w:bCs/>
          <w:color w:val="000000" w:themeColor="text1"/>
          <w:sz w:val="16"/>
          <w:szCs w:val="16"/>
        </w:rPr>
      </w:pPr>
      <w:r w:rsidRPr="00507A31">
        <w:rPr>
          <w:color w:val="000000" w:themeColor="text1"/>
          <w:sz w:val="16"/>
          <w:szCs w:val="16"/>
        </w:rPr>
        <w:t>Телеграмма министра иностранных дел Франции в Москву с запросом информации о ситуации в СССР. 1 декабря 1930 г.</w:t>
      </w:r>
    </w:p>
    <w:p w14:paraId="0E91D074"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0AF6A266"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2C0D5A2"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1 декабря 1930 г.</w:t>
      </w:r>
    </w:p>
    <w:p w14:paraId="2AD072A2"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МИД</w:t>
      </w:r>
    </w:p>
    <w:p w14:paraId="19CA6EF8"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Политическое управление</w:t>
      </w:r>
    </w:p>
    <w:p w14:paraId="060FE9D4"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Телеграмма № 355</w:t>
      </w:r>
    </w:p>
    <w:p w14:paraId="2B8A134D"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Министр иностранных дел в Москву</w:t>
      </w:r>
    </w:p>
    <w:p w14:paraId="6B134E08"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Несколько недель подряд французская и иностранная пресса распространяет сенсационные слухи, безусловно неточные или, как минимум, преувеличенные о нападках на Сталина, чья власть якобы пошатнулась, о военных мятежах, о политических заговорах, о рабочих и крестьянских выступлениях против режима.</w:t>
      </w:r>
    </w:p>
    <w:p w14:paraId="5EA579AC"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По Вашим сведениям, насколько верны и правдоподобны эти слухи? Мне не хватает информации, чтобы составить объективное мнение о политическом положении руководителей, о настроениях населения и об изменениях, которые могут произойти в ближайшее время.</w:t>
      </w:r>
    </w:p>
    <w:p w14:paraId="0D39A390"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Б[риан]</w:t>
      </w:r>
    </w:p>
    <w:p w14:paraId="77448A40"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117СРСОМ.Д. 1269. Л. 115. Рукописный подлинник, подпись — росчерк. Вверху справа штамп шифровального отдела с датой «1 дек. 1930» и вписанным от руки временем «11 ч», ниже штамп Департамента политических и торговых дел с вписанным от руки номером о сдаче в архив «z 619-20 s/d.5», левее второй штамп шифровального отдела с надписью «отправлено и [согласовано]». Номер телеграммы вписан от руки. Датируется по штампу шифровального отдела (18765).</w:t>
      </w:r>
    </w:p>
    <w:p w14:paraId="1B78A945" w14:textId="77777777" w:rsidR="0096514A" w:rsidRPr="00507A31" w:rsidRDefault="0096514A" w:rsidP="00507A31">
      <w:pPr>
        <w:jc w:val="both"/>
        <w:rPr>
          <w:color w:val="000000" w:themeColor="text1"/>
          <w:sz w:val="16"/>
          <w:szCs w:val="16"/>
        </w:rPr>
      </w:pPr>
    </w:p>
    <w:p w14:paraId="7F0284D1" w14:textId="77777777" w:rsidR="0096514A" w:rsidRPr="00507A31" w:rsidRDefault="0096514A" w:rsidP="00507A31">
      <w:pPr>
        <w:jc w:val="both"/>
        <w:rPr>
          <w:bCs/>
          <w:color w:val="000000" w:themeColor="text1"/>
          <w:sz w:val="16"/>
          <w:szCs w:val="16"/>
        </w:rPr>
      </w:pPr>
      <w:r w:rsidRPr="00507A31">
        <w:rPr>
          <w:color w:val="000000" w:themeColor="text1"/>
          <w:sz w:val="16"/>
          <w:szCs w:val="16"/>
        </w:rPr>
        <w:t>1 декабря 1930 г.</w:t>
      </w:r>
    </w:p>
    <w:p w14:paraId="1EAE5471" w14:textId="77777777" w:rsidR="0096514A" w:rsidRPr="00507A31" w:rsidRDefault="0096514A" w:rsidP="00507A31">
      <w:pPr>
        <w:jc w:val="both"/>
        <w:rPr>
          <w:bCs/>
          <w:color w:val="000000" w:themeColor="text1"/>
          <w:sz w:val="16"/>
          <w:szCs w:val="16"/>
        </w:rPr>
      </w:pPr>
      <w:r w:rsidRPr="00507A31">
        <w:rPr>
          <w:color w:val="000000" w:themeColor="text1"/>
          <w:sz w:val="16"/>
          <w:szCs w:val="16"/>
        </w:rPr>
        <w:t>Письмо С. К. Рамзина в МИД Франции с описанием поездки его брата Л. К. Рамзина в Париж в 1928 г. 1 декабря 1930 г.</w:t>
      </w:r>
    </w:p>
    <w:p w14:paraId="20EA391C"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549DBAA4"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0E0CC1"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Не позднее 1 декабря 1930 г.</w:t>
      </w:r>
    </w:p>
    <w:p w14:paraId="300C2686"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Министерство иностранных дел Республики осведомлено о процессе, который происходит в настоящее время в Москве. На этом процессе многие представители русской интеллигенции, и в первую очередь профессор Рамзин, мой брат, обвиняются в том, что они вместе с некоторыми французскими государственными органами замышляли заговор против советской власти.</w:t>
      </w:r>
    </w:p>
    <w:p w14:paraId="5D2EB76C"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Кажется, что европейское общественное мнение уже в достаточной степени убедилось в безосновательности процесса и в его истинной цели. Цель советского правительства — переложить ответственность за беды, от которых страдает население Союза, на русскую интеллигенцию и найти новый предлог, чтобы окончательно уничтожить ее как класс. И это происходит, возможно, не без участия некоторых иностранных государств.</w:t>
      </w:r>
    </w:p>
    <w:p w14:paraId="643F94C8"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Тем не менее, правительству Республики будет, возможно, небезынтересно получить от меня некоторые детали о пребывании моего брата в Париже в октябре 1928 года, учитывая тот резонанс, который произвели обвинения главного прокурора Крыленко.</w:t>
      </w:r>
    </w:p>
    <w:p w14:paraId="763BA1BB"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Профессор Рамзин вместе с некоторыми другими советскими специалистами приехал в Париж по служебным делам и по указанию Москвы. Как это обычно водится, их сопровождали члены русской коммунистической партии.</w:t>
      </w:r>
    </w:p>
    <w:p w14:paraId="68B88468"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День или два спустя после приезда моего брата в Париж, я сам приехал туда, чтобы изучать способы фильтрации водопроводной воды при Парижском бюро гигиены, и, естественно, хотел увидеться со своим братом. Я сразу понял, что он находится под постоянной слежкой со стороны коммунистов, как это бывает при задержании.</w:t>
      </w:r>
    </w:p>
    <w:p w14:paraId="09BC8531"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Он и его спутники остановились в отеле Терминюс недалеко от вокзала Сан-Лазар. Каждый раз, когда он со мной встречался, чтобы пойти в театр и т. д., он был обязан предупредить своих спутников, что я за ним зашел, и сказать им, куда он намеревался пойти. За всеми его движениями следили, и коммунисты, приехавшие вместе с ним, были всегда сильно недовольны, когда он покидал их компанию, так как при их крайне несовершенном владении французским языком они всегда нуждались в моем брате как в переводчике.</w:t>
      </w:r>
    </w:p>
    <w:p w14:paraId="204E627F"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По выполнении своей миссии, мой брат вместе с его спутниками покинули Париж и поехали в Берлин в одном и том же купе скоростного поезда.</w:t>
      </w:r>
    </w:p>
    <w:p w14:paraId="7A2576BA"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Мой брат никогда не занимался политикой, и абсолютно абсурдно предполагать, что при подобном наблюдении он мог принять участие в каких-либо переговорах вроде тех, в которых его обвиняют.</w:t>
      </w:r>
    </w:p>
    <w:p w14:paraId="0A48C08C"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Считаю своим долгом дать свои показания французскому правительству. Я хотел бы надеяться, что они будут полезными для моего несчастного брата, если посольство Франции в Москве посчитает нужным ими воспользоваться.</w:t>
      </w:r>
    </w:p>
    <w:p w14:paraId="240F81D2"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Я готов подтвердить свои показания в любом месте и в любое время.</w:t>
      </w:r>
    </w:p>
    <w:p w14:paraId="01F4094B"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С. Рамзин</w:t>
      </w:r>
    </w:p>
    <w:p w14:paraId="0A1537F9"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Краля Милана 26, Белград, Югославия</w:t>
      </w:r>
    </w:p>
    <w:p w14:paraId="6B110800"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117СРС0М.Д. 1269. Л. 116-116а. Машинописный подлинник, подпись — автограф. Штамп Департамента политических и торговых дел с вписанным от руки номером о сдаче в архив «z 619-</w:t>
      </w:r>
      <w:r w:rsidRPr="00507A31">
        <w:rPr>
          <w:rStyle w:val="af0"/>
          <w:i w:val="0"/>
          <w:color w:val="000000" w:themeColor="text1"/>
          <w:sz w:val="16"/>
          <w:szCs w:val="16"/>
        </w:rPr>
        <w:lastRenderedPageBreak/>
        <w:t>20 s/d5». Вверху рукописная помета «без даты» и рядом «1 декабря 1930» (датируется на основании этой пометы) (18766).</w:t>
      </w:r>
    </w:p>
    <w:p w14:paraId="076CCFD8" w14:textId="77777777" w:rsidR="0096514A" w:rsidRPr="00507A31" w:rsidRDefault="0096514A" w:rsidP="00507A31">
      <w:pPr>
        <w:jc w:val="both"/>
        <w:rPr>
          <w:color w:val="000000" w:themeColor="text1"/>
          <w:sz w:val="16"/>
          <w:szCs w:val="16"/>
        </w:rPr>
      </w:pPr>
    </w:p>
    <w:p w14:paraId="746E52BA" w14:textId="77777777" w:rsidR="0096514A" w:rsidRPr="00507A31" w:rsidRDefault="0096514A" w:rsidP="00507A31">
      <w:pPr>
        <w:jc w:val="both"/>
        <w:rPr>
          <w:bCs/>
          <w:color w:val="000000" w:themeColor="text1"/>
          <w:sz w:val="16"/>
          <w:szCs w:val="16"/>
        </w:rPr>
      </w:pPr>
      <w:r w:rsidRPr="00507A31">
        <w:rPr>
          <w:color w:val="000000" w:themeColor="text1"/>
          <w:sz w:val="16"/>
          <w:szCs w:val="16"/>
        </w:rPr>
        <w:t>1 декабря 1930 г.</w:t>
      </w:r>
    </w:p>
    <w:p w14:paraId="4768B1CA" w14:textId="77777777" w:rsidR="0096514A" w:rsidRPr="00507A31" w:rsidRDefault="0096514A" w:rsidP="00507A31">
      <w:pPr>
        <w:jc w:val="both"/>
        <w:rPr>
          <w:bCs/>
          <w:color w:val="000000" w:themeColor="text1"/>
          <w:sz w:val="16"/>
          <w:szCs w:val="16"/>
        </w:rPr>
      </w:pPr>
      <w:r w:rsidRPr="00507A31">
        <w:rPr>
          <w:color w:val="000000" w:themeColor="text1"/>
          <w:sz w:val="16"/>
          <w:szCs w:val="16"/>
        </w:rPr>
        <w:t>Комментарии газеты «Маттен» о процессе «Промпартии». Из «Бюллетеня не для печати № 319 иностранной информации ТАСС». 1 декабря 1930 г.</w:t>
      </w:r>
    </w:p>
    <w:p w14:paraId="167974EB"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4C870960"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7F95F1"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Архив: </w:t>
      </w:r>
    </w:p>
    <w:p w14:paraId="00A8383D" w14:textId="77777777" w:rsidR="0096514A" w:rsidRPr="00507A31" w:rsidRDefault="0096514A" w:rsidP="00507A31">
      <w:pPr>
        <w:jc w:val="both"/>
        <w:rPr>
          <w:color w:val="000000" w:themeColor="text1"/>
          <w:sz w:val="16"/>
          <w:szCs w:val="16"/>
        </w:rPr>
      </w:pPr>
      <w:r w:rsidRPr="00507A31">
        <w:rPr>
          <w:color w:val="000000" w:themeColor="text1"/>
          <w:sz w:val="16"/>
          <w:szCs w:val="16"/>
        </w:rPr>
        <w:t>АВП РФ. Ф. 0136. Oп. 14. П. 140. Д. 593. Л. 126</w:t>
      </w:r>
    </w:p>
    <w:p w14:paraId="50822F09"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от 1 декабря 1930 г.</w:t>
      </w:r>
    </w:p>
    <w:p w14:paraId="2D5352ED"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70A10731"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БЮЛЛЕТЕНЬ НЕ ДЛЯ ПЕЧАТИ № 319</w:t>
      </w:r>
    </w:p>
    <w:p w14:paraId="6C9DCC5F"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ИНОСТРАННОЙ ИНФОРМАЦИИ ТАСС 1/XII-30 г.</w:t>
      </w:r>
    </w:p>
    <w:p w14:paraId="7CB6562A"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Лист № 6-ой.</w:t>
      </w:r>
    </w:p>
    <w:p w14:paraId="7A147A9F"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«МАТЭН» О ПРОЦЕССЕ «ПРОМПАРТИИ».</w:t>
      </w:r>
    </w:p>
    <w:p w14:paraId="7EB11F38"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ФВ. 933. ПАРИЖ, 30/XI. (Тасс). — «Матэн», комментируя процесс «промпартии», пишет: «Советское правительство сознательно извращает истину, стараясь в сознании народа, лишенного свободы печати и не располагающего никакими средствами проверки, спутать действия контрреволюционных русских группировок с деятельностью французского правительства. Это представляет собой нелойяльный акт, несовместимый с сохранением нормальных дипломатических отношений».</w:t>
      </w:r>
    </w:p>
    <w:p w14:paraId="6C07921D"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126. Машинописный экземпляр того времени, размноженный на ротаторе. Гриф «НЕ ПОДЛЕЖИТ ОГЛАШЕНИЮ». Рукописная помета «А. Н.» вверху справа.</w:t>
      </w:r>
    </w:p>
    <w:p w14:paraId="797D5C97" w14:textId="77777777" w:rsidR="0096514A" w:rsidRPr="00507A31" w:rsidRDefault="0096514A" w:rsidP="00507A31">
      <w:pPr>
        <w:jc w:val="both"/>
        <w:rPr>
          <w:color w:val="000000" w:themeColor="text1"/>
          <w:sz w:val="16"/>
          <w:szCs w:val="16"/>
        </w:rPr>
      </w:pPr>
    </w:p>
    <w:p w14:paraId="59560903" w14:textId="77777777" w:rsidR="0096514A" w:rsidRPr="00507A31" w:rsidRDefault="0096514A" w:rsidP="00507A31">
      <w:pPr>
        <w:jc w:val="both"/>
        <w:rPr>
          <w:bCs/>
          <w:color w:val="000000" w:themeColor="text1"/>
          <w:sz w:val="16"/>
          <w:szCs w:val="16"/>
        </w:rPr>
      </w:pPr>
      <w:r w:rsidRPr="00507A31">
        <w:rPr>
          <w:color w:val="000000" w:themeColor="text1"/>
          <w:sz w:val="16"/>
          <w:szCs w:val="16"/>
        </w:rPr>
        <w:t>1 декабря 1930 г.</w:t>
      </w:r>
    </w:p>
    <w:p w14:paraId="54A4912E" w14:textId="77777777" w:rsidR="0096514A" w:rsidRPr="00507A31" w:rsidRDefault="0096514A" w:rsidP="00507A31">
      <w:pPr>
        <w:jc w:val="both"/>
        <w:rPr>
          <w:bCs/>
          <w:color w:val="000000" w:themeColor="text1"/>
          <w:sz w:val="16"/>
          <w:szCs w:val="16"/>
        </w:rPr>
      </w:pPr>
      <w:r w:rsidRPr="00507A31">
        <w:rPr>
          <w:color w:val="000000" w:themeColor="text1"/>
          <w:sz w:val="16"/>
          <w:szCs w:val="16"/>
        </w:rPr>
        <w:t>«Сводка инотелеграмм № 494». 1 декабря 1930 г.</w:t>
      </w:r>
    </w:p>
    <w:p w14:paraId="48626A6D"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0299B3D7"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D94E338"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Архив: </w:t>
      </w:r>
    </w:p>
    <w:p w14:paraId="33DDCA51" w14:textId="77777777" w:rsidR="0096514A" w:rsidRPr="00507A31" w:rsidRDefault="0096514A" w:rsidP="00507A31">
      <w:pPr>
        <w:jc w:val="both"/>
        <w:rPr>
          <w:color w:val="000000" w:themeColor="text1"/>
          <w:sz w:val="16"/>
          <w:szCs w:val="16"/>
        </w:rPr>
      </w:pPr>
      <w:r w:rsidRPr="00507A31">
        <w:rPr>
          <w:color w:val="000000" w:themeColor="text1"/>
          <w:sz w:val="16"/>
          <w:szCs w:val="16"/>
        </w:rPr>
        <w:t>АВП РФ. Ф. 0136. Oп. 14. П. 140. Д. 593. Л. 70-71</w:t>
      </w:r>
    </w:p>
    <w:p w14:paraId="5EA75047"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1 декабря 1930 г.</w:t>
      </w:r>
    </w:p>
    <w:p w14:paraId="53BF9F3D"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794CD321"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ЮСТ: Вчера выступили, наконец, два интереснейших свидетеля — Осадчий и Юровский. Осадчий — 60-ти лет, всемирно известный электро-специалист, приведен из подследственного ареста. Для его допроса потребовалось согласие совпра, так как члены ЦИКа пользуются известным иммунитетом. Он показывает более чем ясно, со всеми подробностями, хорошо подготовившись.</w:t>
      </w:r>
    </w:p>
    <w:p w14:paraId="134C8F61"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Показания свидетелей не дали никакого нового фактического материала. Если рассматривать процесс, как драматизированное обучение советской политике, то мы приближаемся к счастливому концу: преступники пойманы, парижские инициаторы разоблачены, прогнозы для страдающего героя — советского государства — благоприятны. Так выглядит пропагандистский остов этого процесса, как он изображается прессой. Если отвлечься от удельного веса деталей и от грубого политиканства политических дилетантов, какими являются подсудимые, то общая тенденция безусловно правильна. Уже сегодня можно подвести итог этого процесса — для Сов. Союза существуют и существовали внутренние и внешние опасности, которые могут уменьшаться сообразно прироста сил внутри и изменению внешнеполитического положения.</w:t>
      </w:r>
    </w:p>
    <w:p w14:paraId="7B252F69"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Тоже — для «Консопресс Нью-Йорк». Сверх того, в данной телеграмме повторяются некоторые характеристики по процессу из прежних телеграмм. Отмечается, что процесс Крестьянской партии был бы очень интересен, поскольку известна идеологическая близость Кондратьева с лидерами правого уклона.</w:t>
      </w:r>
    </w:p>
    <w:p w14:paraId="5C98D1AB"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БАУМ. О раскрытии контр-революционной организации в Минске.</w:t>
      </w:r>
    </w:p>
    <w:p w14:paraId="6DB07724"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Тоже ЛАЙОНС.</w:t>
      </w:r>
    </w:p>
    <w:p w14:paraId="25D7A11B"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ЛАЙОНС. Рамзин сегодня стойко защищал свою научную честь[,] и Крыленко при всем его умении не удалось добиться от Рамзина признания в том, что его научные труды также писались под влиянием антисоветских чувств. Тоже было подтверждено Ларичевым, который, однако, не мог сказать и этого о себе[,] и Крыленко подчеркнул разницу между ними обоими. Ваш корреспондент узнал, что Рамзин уже много лет страдает туберкулезом, что ему вряд ли долго осталось жить, что придает новую трагическую нотку всей этой драме.</w:t>
      </w:r>
    </w:p>
    <w:p w14:paraId="5C4C5A8E"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Тоже ДОЙС.</w:t>
      </w:r>
    </w:p>
    <w:p w14:paraId="783AD9F1"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(В публике довольно широко распространено мнение, что «К» — это атташе французского посольства Кифер, а «Р» — сам Эрбетт. Ведь данное лицо обозначается также буквой «А» — первой буквой слова «Амбассадер»).</w:t>
      </w:r>
    </w:p>
    <w:p w14:paraId="04C7E306"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В ответ на запрос корреспондент объясняет подробность показания подсудимых их надежды чистосердечностью признаний смягчить меру наказания, а также пресловутой достоевщиной. Вычеркнута параллель, проводимая инкором между подсудимыми — коллективным Иваном</w:t>
      </w:r>
    </w:p>
    <w:p w14:paraId="035D0306"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Карамазовым и Смердяковыми из аудитории, перед которыми каются подсудимые.</w:t>
      </w:r>
    </w:p>
    <w:p w14:paraId="2249A63E"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ЮБЕНК. Подробная передача утреннего заседания.</w:t>
      </w:r>
    </w:p>
    <w:p w14:paraId="7E7B60AD"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Зал суда по[-]прежнему наполнен до отказа, на тротуаре стоят в очереди, все хотят пройти в зал хотя бы для того, чтобы послушать несколько обрывков показаний.</w:t>
      </w:r>
    </w:p>
    <w:p w14:paraId="5E38C9FA"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Подсудимые выглядят хорошо, но не так свежи и бодры, как в начале процесса. Если процесс будет продолжаться еще неделю или более, кое-кто из подсудимых, возможно, не избежит полного упадка сил. Крыленко, по[-]видимому, не знает или не хочет сказать, кого он вызовет еще в качестве свидетелей. Он человек, полный неожиданностей и толпа, наполняющая зал, среди которой он очень популярен, так и ждет (какое он выкинет коленце) чего[-]либо нового.</w:t>
      </w:r>
    </w:p>
    <w:p w14:paraId="43A962D9"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Примечание: Если оставить в стороне Чоллертона, инкоры пишут о процессе, в общем, лучше, чем можно было ожидать. Дюранти и Фишер пишут почти в предельно благоприятном нам для буржуазного корр[еспонден]та духе. Лайонс, все еще переживающий сладость интервью с т. Сталиным, лишь время от времени сбивается в сенсационность с «живыми трупами» и восторгами перед мужеством подсудимых, и т. д. Юст дал одну большую телеграмму с объективной оценкой внешнеполитического значения процесса. К процессу, как к таковому, и его значению в экономике СССР он, как и Баум, относится скептически, но оба они очень легко уступают цензурному давлению. Бассехес послал пока одну телеграмму, где наряду с резкостями, довольно безболезненно устраненными — дал ряд очень полезных для нас констатаций. Юбенк и Дойс вначале будировали, отчасти завидуя успеху Лайонса, и пробовали писать всякие гадости, которые старательно вымарывались цензурой. В результате цензурного воздействия и указаний на то, что каждый из корр[еспонден]тов может попытать свое счастье в смысле получения интервью у наших вождей, они несколько поуспокоились и посылают удовлетворительную информацию. Один из них пишет много, другой (Дойс) мало, но это вызвано не личным отношением, а инструкциями их европейских бюро. Подробно и в общем сочувственно реферирует Вууд, написавший, между прочим, в одной из последних телеграмм, что на закрытом заседании будут, по[-]видимому, оглашены документы, доказывающие наличность французских и прочих интервенционистских планов. Вендров изредка, но очень умело, освещает процесс с еврейской точки зрения — смотри его разговоры в кулуарах и возглас мифического еврея, тут же, якобы, заснятого фотографами, о недосказанных подготовлениях к погромам со стороны Промпартии[.] Баба телеграфирует в Японию и Грамматикопуло в Грецию по нашим газетным отчетам.</w:t>
      </w:r>
    </w:p>
    <w:p w14:paraId="5441EF4E"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00866053"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70-71. Машинописная копия того времени. Формула «Не подлежит оглашению» на Л. 70 вверху справа машинописью; здесь же рукописные помета «NB» (Нотабене) и неразборчивый росчерк. Текст «Примечания» аналогичен тексту док. №74 из 2-го раздела сборника («Из «дневника тов. Подольского»...»). Делопроизводственная помета о распечатке (30 экз.) на Л. 71 внизу слева. Текст в скобках вычеркнут цензурой; подчеркнутые далее слова, видимо, сделанная в результате этой правки замена. (См. легенды к док. № 48 и №57 данного раздела) (19035).</w:t>
      </w:r>
    </w:p>
    <w:p w14:paraId="3E2A1397" w14:textId="77777777" w:rsidR="0096514A" w:rsidRPr="00507A31" w:rsidRDefault="0096514A" w:rsidP="00507A31">
      <w:pPr>
        <w:jc w:val="both"/>
        <w:rPr>
          <w:color w:val="000000" w:themeColor="text1"/>
          <w:sz w:val="16"/>
          <w:szCs w:val="16"/>
        </w:rPr>
      </w:pPr>
    </w:p>
    <w:p w14:paraId="6F3E4D9D" w14:textId="77777777" w:rsidR="0096514A" w:rsidRPr="00507A31" w:rsidRDefault="0096514A" w:rsidP="00507A31">
      <w:pPr>
        <w:jc w:val="both"/>
        <w:rPr>
          <w:bCs/>
          <w:color w:val="000000" w:themeColor="text1"/>
          <w:sz w:val="16"/>
          <w:szCs w:val="16"/>
        </w:rPr>
      </w:pPr>
      <w:r w:rsidRPr="00507A31">
        <w:rPr>
          <w:color w:val="000000" w:themeColor="text1"/>
          <w:sz w:val="16"/>
          <w:szCs w:val="16"/>
        </w:rPr>
        <w:t>1 декабря 1930 г.</w:t>
      </w:r>
    </w:p>
    <w:p w14:paraId="44346976" w14:textId="77777777" w:rsidR="0096514A" w:rsidRPr="00507A31" w:rsidRDefault="0096514A" w:rsidP="00507A31">
      <w:pPr>
        <w:jc w:val="both"/>
        <w:rPr>
          <w:bCs/>
          <w:color w:val="000000" w:themeColor="text1"/>
          <w:sz w:val="16"/>
          <w:szCs w:val="16"/>
        </w:rPr>
      </w:pPr>
      <w:r w:rsidRPr="00507A31">
        <w:rPr>
          <w:color w:val="000000" w:themeColor="text1"/>
          <w:sz w:val="16"/>
          <w:szCs w:val="16"/>
        </w:rPr>
        <w:t>«Сводка инотелеграмм № 495». 1 декабря 1930 г.</w:t>
      </w:r>
    </w:p>
    <w:p w14:paraId="29BE9D39"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10A266E1"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151910B"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Архив: </w:t>
      </w:r>
    </w:p>
    <w:p w14:paraId="71361B86" w14:textId="77777777" w:rsidR="0096514A" w:rsidRPr="00507A31" w:rsidRDefault="0096514A" w:rsidP="00507A31">
      <w:pPr>
        <w:jc w:val="both"/>
        <w:rPr>
          <w:color w:val="000000" w:themeColor="text1"/>
          <w:sz w:val="16"/>
          <w:szCs w:val="16"/>
        </w:rPr>
      </w:pPr>
      <w:r w:rsidRPr="00507A31">
        <w:rPr>
          <w:color w:val="000000" w:themeColor="text1"/>
          <w:sz w:val="16"/>
          <w:szCs w:val="16"/>
        </w:rPr>
        <w:t>АВП РФ. Ф. 0136. Oп. 14. П. 140. Д. 593. Л. 72-73</w:t>
      </w:r>
    </w:p>
    <w:p w14:paraId="43CADD4A"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1 декабря 1930 г.</w:t>
      </w:r>
    </w:p>
    <w:p w14:paraId="5898323A"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lastRenderedPageBreak/>
        <w:t>Не подлежит оглашению</w:t>
      </w:r>
    </w:p>
    <w:p w14:paraId="61CBCCCF"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ВЕЧЕРНИЕ ТЕЛЕГРАММЫ ЗА 1.XII-30 г.</w:t>
      </w:r>
    </w:p>
    <w:p w14:paraId="627D170F"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ЧОЛЛЕРТОН: Отвечая на вопросы Крыленко, подсудимые блаженно протыкают мыльные пузыри Госплана, так что начинаешь чуть ли не подозревать, что они хотят уничтожить все, что осталось еще от репутации последнего. Ларичев, улыбаясь, сообщил Крыленко, что из того, что на место Рабиновича назначили его, Ларичева, очень мало изменилось. Не было никакого реального плана для Донбасса ни в рационализации, ни в механизации. Та же история с нефтью. Хотя нельзя уловить там наше вредительство, поскольку добыча нефти увеличилась, но если наступит война, у нас не окажется средств для перевозки нефти. “(Нефтепровод Баку — Грозный является сплошным актом вредительства). И при постройке нефтепровода были допущены акты вредительства.</w:t>
      </w:r>
    </w:p>
    <w:p w14:paraId="73EA8FEF"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Рамзин, обычно такой спокойный, сегодня возмутился и дал отпор Крыленко, а отчасти Антонову-Саратовскому за заподозривание его научных трудов. Рамзин чрезвычайно популярен (и любим) среди молодых инженеров (и студентов). Этим и объясняется стратегия Крыленко.</w:t>
      </w:r>
    </w:p>
    <w:p w14:paraId="08A0BCD6"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Приведенные под строгой охраной вчера выступали две звезды процесса Осадчий и Юровский. Юровский — известный молодой финансист и экономист, который (стабилизовал) помог стабилизовать рубль. Осадчий — первый небольшевик, занимавший правительственный пост после революции и близкий друг большевистского профессора Кржижановского (который за всю эту историю был смещен). Ни один из свидетелей не прибавил ничего нового к тому, что мы уже знаем о заговоре, произведении саботажа и распределении средств. Осадчий нехотя признал все же, что встретил Денисова в Берлине и передал имевший там место разговор (оба — и Денисов...) и Осадчий сомневался в возможности интервенции.</w:t>
      </w:r>
    </w:p>
    <w:p w14:paraId="19791EB5"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ЮБЕНК: Федотов вызвал некоторое удивление в зале, сообщив об акте саботажа при постройке знаменитой текстильной фабрики в Иваново-Вознесенске им. Дзержинского. Другой свидетель — Кирпотенко показал, что заговорщики отказались от применения американских машин, хотя те были более приспособлены к русским условиям, чем английские. Под перекрестным огнем Крыленко подсудимые описывают свой первосортный технический саботаж в пользу иностранной интервенции. Неизвестно, многое ли осуществилось из планов саботажников, подсудимые признали, во всяком случае, две или три неудачи. Несмотря на то, что заседание было несколько скучным, зала суда по[-]прежнему полна.</w:t>
      </w:r>
    </w:p>
    <w:p w14:paraId="569BCBBC"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ДОЙС: Федотов, Калинников, Чарновский признали вчера прямой саботаж с их стороны в ряде отраслей промышленности, что привело к теперешнему плачевному состоянию. Даже фабрика им. Дзержинского, которую показывают обычно туристам, также была объектом вредительства.</w:t>
      </w:r>
    </w:p>
    <w:p w14:paraId="31E3DE2A"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ЛАЙОНС: Подсудимые читали лекции по искусству саботажа, в котором они, по общему признанию, были специалистами. Федотов описывал, как всякий проект текстильного строительства проходил через четыре стадии и как он постепенно «улучшался». Сообщники Федотова и др. подсудимые также ловко работали в своих отраслях промышленности, делая проекты, по возможности, дорогими и непрактичными.</w:t>
      </w:r>
    </w:p>
    <w:p w14:paraId="0DCEB632"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Подробная передача показаний подсудимых</w:t>
      </w:r>
    </w:p>
    <w:p w14:paraId="4E3053D6"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ФИШЕР: Англичане, живущие в Москве, были очень возмущены, узнав из газет непочтительное упоминание Кешендэна в Палате Лордов об Овие и еще более оскорбительные письма Кешендэна в газеты. Местные англичане считают, что Овию удалось установить здесь прекрасные источники информации. Информация эта богато снабжается бесконечной самокритикой местной прессы. Британская колония особенно сожалеет об этих выступлениях, поскольку Овий рассеял много взаимных подозрений, которые мешали нормальному развитию англо-советских отношений.</w:t>
      </w:r>
    </w:p>
    <w:p w14:paraId="2F0D1102"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БАССЕХЕС: После того, как генеральный прокурор пытался в последние дни выяснить подробности заговора с конфронтированием подсудимых, процесс достиг сегодня своего кульминационного пункта при допросе Осадчего — инженера мировой известности и Юровского — одного из создателей червонца.</w:t>
      </w:r>
    </w:p>
    <w:p w14:paraId="23525285"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Передается эпизод с показаниями подсудимых о режиме ГПУ.</w:t>
      </w:r>
    </w:p>
    <w:p w14:paraId="28347529"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Осадчий наглядно, точно описывает деятельность нелегальной партии и свою личную встречу в Берлине с Денисовым, деловым образом рассказывая о подробностях этой встречи.</w:t>
      </w:r>
    </w:p>
    <w:p w14:paraId="7F7F6C40"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(Однако, из его указаний видно, что хотя эмигрантские лидеры делали все, чтобы вызвать интервенцию, французский генеральный штаб не следовал их желаниям).</w:t>
      </w:r>
    </w:p>
    <w:p w14:paraId="5668C298"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Осадчий — импонирующая личность — произвел большое впечатление спокойным деловым изложением и умными политическими соображениями. Перед уходом Осадчий сделал заявление, которое побудило генерального прокурора ходатайствовать о приобщении его к подсудимым. Таким образом, Осадчий добьется открытого рассмотрения своего дела (между тем, как в противном случае ему, как члену ЦИКа грозила бы смерть без гласного суда).</w:t>
      </w:r>
    </w:p>
    <w:p w14:paraId="0BFE1810"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Юровский высказывается очень свободно, несколько раз в вежливом ироническом тоне дает даже отпор Крыленко. Из разговора его с Милюковым видно, что эмигрантские круги очень энергично пытались добиться военного вмешательства со стороны Франции и лимитрофов. Не подлежит сомнению также шпионская деятельность французского генерального штаба, проводившаяся через заговорщиков. Не доказано пока участие французских правительственных кругов в заговоре и действительное намерение Франции вызвать войну на Востоке. Нужно выждать, подтвердятся ли советские утверждения и в этой части.</w:t>
      </w:r>
    </w:p>
    <w:p w14:paraId="2DEDE54C"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Прекратилась пропаганда за смертный приговор. Московская коллегия защитников получила выговор за вынесенную резолюцию такого же характера. Все более усиливается впечатление, что дело не дойдет до смертной казни. Советы по[-]видимому используют процесс для очищения политической атмосферы и примирения с кругами интеллигенции, враждебно относящихся к Сталинской политике. Без содействия интеллигенции невозможна работа совпра.</w:t>
      </w:r>
    </w:p>
    <w:p w14:paraId="1A825307"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14B7F2C9"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72-73. Машинописная копия того времени. Формула «Не подлежит оглашению» на Л. 72 вверху справа машинописью. Здесь же рукописная помета (росчерк) «НТ». Текст в скобках вычеркнут цензурой (см. легенду к док. № 48 и № 57 данного раздела ) (19036).</w:t>
      </w:r>
    </w:p>
    <w:p w14:paraId="6FE9C82E" w14:textId="77777777" w:rsidR="0096514A" w:rsidRPr="00507A31" w:rsidRDefault="0096514A" w:rsidP="00507A31">
      <w:pPr>
        <w:jc w:val="both"/>
        <w:rPr>
          <w:color w:val="000000" w:themeColor="text1"/>
          <w:sz w:val="16"/>
          <w:szCs w:val="16"/>
        </w:rPr>
      </w:pPr>
    </w:p>
    <w:p w14:paraId="76B191A1" w14:textId="77777777" w:rsidR="00E07EF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52CD6AF" w14:textId="77777777" w:rsidR="00E07EF9" w:rsidRPr="00507A31" w:rsidRDefault="00E07EF9" w:rsidP="00507A31">
      <w:pPr>
        <w:autoSpaceDE w:val="0"/>
        <w:autoSpaceDN w:val="0"/>
        <w:adjustRightInd w:val="0"/>
        <w:jc w:val="both"/>
        <w:rPr>
          <w:iCs/>
          <w:color w:val="000000" w:themeColor="text1"/>
          <w:sz w:val="16"/>
          <w:szCs w:val="16"/>
        </w:rPr>
      </w:pPr>
    </w:p>
    <w:p w14:paraId="7434C187" w14:textId="77777777" w:rsidR="00E07EF9" w:rsidRPr="00507A31" w:rsidRDefault="00E07EF9" w:rsidP="00507A31">
      <w:pPr>
        <w:jc w:val="both"/>
        <w:rPr>
          <w:color w:val="000000" w:themeColor="text1"/>
          <w:sz w:val="16"/>
          <w:szCs w:val="16"/>
        </w:rPr>
      </w:pPr>
      <w:r w:rsidRPr="00507A31">
        <w:rPr>
          <w:rStyle w:val="ucoz-forum-post"/>
          <w:bCs/>
          <w:color w:val="000000" w:themeColor="text1"/>
          <w:sz w:val="16"/>
          <w:szCs w:val="16"/>
        </w:rPr>
        <w:t xml:space="preserve">1 декабря </w:t>
      </w:r>
      <w:r w:rsidRPr="00507A31">
        <w:rPr>
          <w:color w:val="000000" w:themeColor="text1"/>
          <w:sz w:val="16"/>
          <w:szCs w:val="16"/>
        </w:rPr>
        <w:t>в 1930 году закладывается "Куин Мэри" - самое популярное и грандиозное плавучее сооружение за всю историю пассажирского флота (14847).</w:t>
      </w:r>
    </w:p>
    <w:p w14:paraId="26F13C99" w14:textId="77777777" w:rsidR="00E07EF9" w:rsidRPr="00507A31" w:rsidRDefault="00E07EF9" w:rsidP="00507A31">
      <w:pPr>
        <w:jc w:val="both"/>
        <w:rPr>
          <w:color w:val="000000" w:themeColor="text1"/>
          <w:sz w:val="16"/>
          <w:szCs w:val="16"/>
        </w:rPr>
      </w:pPr>
    </w:p>
    <w:p w14:paraId="0FAE8A6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601776D" w14:textId="77777777" w:rsidR="00537E5F" w:rsidRPr="00507A31" w:rsidRDefault="00537E5F" w:rsidP="00507A31">
      <w:pPr>
        <w:autoSpaceDE w:val="0"/>
        <w:autoSpaceDN w:val="0"/>
        <w:adjustRightInd w:val="0"/>
        <w:jc w:val="both"/>
        <w:rPr>
          <w:iCs/>
          <w:color w:val="000000" w:themeColor="text1"/>
          <w:sz w:val="16"/>
          <w:szCs w:val="16"/>
        </w:rPr>
      </w:pPr>
    </w:p>
    <w:p w14:paraId="714F65C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декабря 1930 года состоялся последний пробный полет на ТБ3 на НОА (6925).</w:t>
      </w:r>
    </w:p>
    <w:p w14:paraId="0E00E46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534629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 2 декабря 1930 г. по 13 января 1931 г. на 2-ом опытном N 5 завода N 39 проводились испытания стрелкового вооружения на серийном самолете И-5 (3208).</w:t>
      </w:r>
    </w:p>
    <w:p w14:paraId="45B66337" w14:textId="77777777" w:rsidR="00537E5F" w:rsidRPr="00507A31" w:rsidRDefault="00537E5F" w:rsidP="00507A31">
      <w:pPr>
        <w:autoSpaceDE w:val="0"/>
        <w:autoSpaceDN w:val="0"/>
        <w:adjustRightInd w:val="0"/>
        <w:jc w:val="both"/>
        <w:rPr>
          <w:color w:val="000000" w:themeColor="text1"/>
          <w:sz w:val="16"/>
          <w:szCs w:val="16"/>
        </w:rPr>
      </w:pPr>
    </w:p>
    <w:p w14:paraId="01091B4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5678A7E" w14:textId="77777777" w:rsidR="00537E5F" w:rsidRPr="00507A31" w:rsidRDefault="00537E5F" w:rsidP="00507A31">
      <w:pPr>
        <w:autoSpaceDE w:val="0"/>
        <w:autoSpaceDN w:val="0"/>
        <w:adjustRightInd w:val="0"/>
        <w:jc w:val="both"/>
        <w:rPr>
          <w:iCs/>
          <w:color w:val="000000" w:themeColor="text1"/>
          <w:sz w:val="16"/>
          <w:szCs w:val="16"/>
        </w:rPr>
      </w:pPr>
    </w:p>
    <w:p w14:paraId="0038E3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декабря 1930 г. был подготовлен ДОКЛАД ВТА НАЧАЛЬНИКУ УММ ОБ ИССЛЕДОВАТЕЛЬСКИХ РАБОТАХ</w:t>
      </w:r>
    </w:p>
    <w:p w14:paraId="2180A2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мере, ше-</w:t>
      </w:r>
    </w:p>
    <w:p w14:paraId="5EF359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Ленинград</w:t>
      </w:r>
    </w:p>
    <w:p w14:paraId="38C19F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Препровождая при сем перечень работ исследовательского характера, проводимых в лаборато</w:t>
      </w:r>
      <w:r w:rsidRPr="00507A31">
        <w:rPr>
          <w:color w:val="000000" w:themeColor="text1"/>
          <w:sz w:val="16"/>
          <w:szCs w:val="16"/>
        </w:rPr>
        <w:softHyphen/>
        <w:t>рии моторного топлива с обязательным продолжением их на автомобильных двигателях, прошу о высылке американского смазочного масла и моторного топлива, различных сортов, для проведения сравнительных исследований с русским бензином и смазкой.</w:t>
      </w:r>
    </w:p>
    <w:p w14:paraId="77128A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 Упомянутое.</w:t>
      </w:r>
    </w:p>
    <w:p w14:paraId="1D5B76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факультета механизации и моторизации ВТА Тягунов</w:t>
      </w:r>
    </w:p>
    <w:p w14:paraId="58D76C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Перечень работ исследовательского характера, проводимых в лаборатории моторного топлива при факультете механизации и моторизации ВТА</w:t>
      </w:r>
    </w:p>
    <w:p w14:paraId="5B6F16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Исследовательские работы</w:t>
      </w:r>
    </w:p>
    <w:p w14:paraId="4FBE5D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Работы исследовательского характера проводятся в лаборатории моторного топлива с обяза</w:t>
      </w:r>
      <w:r w:rsidRPr="00507A31">
        <w:rPr>
          <w:color w:val="000000" w:themeColor="text1"/>
          <w:sz w:val="16"/>
          <w:szCs w:val="16"/>
        </w:rPr>
        <w:softHyphen/>
        <w:t>тельным продолжением их на автомобильных двигателях. В указанных работах принимают участие; слушатели факультета механизации и моторизации.</w:t>
      </w:r>
    </w:p>
    <w:p w14:paraId="55086D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Сравнительное испытание советских и американских моторных топлив.</w:t>
      </w:r>
    </w:p>
    <w:p w14:paraId="3F55C5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часть физико-химическая: определение удельного веса, разгонка, докторская проба, количественное определение серы, йодное число, анилиновая точка, содержание непредельных и бензольных углеводородов, испаряемость статическая и динамическая.</w:t>
      </w:r>
    </w:p>
    <w:p w14:paraId="5875E9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испытание на автомобильных двигателях: снятие характеристик на полном дросселе и на при</w:t>
      </w:r>
      <w:r w:rsidRPr="00507A31">
        <w:rPr>
          <w:color w:val="000000" w:themeColor="text1"/>
          <w:sz w:val="16"/>
          <w:szCs w:val="16"/>
        </w:rPr>
        <w:softHyphen/>
        <w:t>крытом, регулировка мотора, определение удельного расхода горючего, определение механических потерь, определение потерь с охлаждающей водой и отработанными газами, загрязняемость мотора, испытание пробегом.</w:t>
      </w:r>
    </w:p>
    <w:p w14:paraId="3E89DD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Сравнительные испытания автобензолов (смесь бензина с бензолом и толуолом).</w:t>
      </w:r>
    </w:p>
    <w:p w14:paraId="4A0494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той же программе, но с добавкой:</w:t>
      </w:r>
    </w:p>
    <w:p w14:paraId="2CCD79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замерзаемость бензольных топлив;</w:t>
      </w:r>
    </w:p>
    <w:p w14:paraId="61CD4F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гигроскоричность бензольных топлив.</w:t>
      </w:r>
    </w:p>
    <w:p w14:paraId="1C6345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Исследование бензина, полученного из сланцевой смолы (по заданию Сланцеобъединения) по той же программе.</w:t>
      </w:r>
    </w:p>
    <w:p w14:paraId="27738B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Исследование моторного топлива, полученного из буроугольной смолы (по заданию Мосхимэнергостроя) по той же программе.</w:t>
      </w:r>
    </w:p>
    <w:p w14:paraId="16C269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Анализ выхлопных газов и изменение состава и токсичности их в зависимости от состава топлива и характера работы двигателя.</w:t>
      </w:r>
    </w:p>
    <w:p w14:paraId="3B5C04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6. Сравнительное исследование смазочных автомобильных масел советских и заграничных.</w:t>
      </w:r>
    </w:p>
    <w:p w14:paraId="5426BF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физико-химические свойства масел: удельный вес, яркость, вспышка, застывание, зольность, кислотность, коэффициент омыления, содержание органических кислот, кокс;</w:t>
      </w:r>
    </w:p>
    <w:p w14:paraId="6D9079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изменение масел после работы двигателя;</w:t>
      </w:r>
    </w:p>
    <w:p w14:paraId="5A8CD4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расход масла;</w:t>
      </w:r>
    </w:p>
    <w:p w14:paraId="67C12C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степень загрязнения и возможность регенерации масла.</w:t>
      </w:r>
    </w:p>
    <w:p w14:paraId="78C600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Влияние различных примесей на легкость зажигания.</w:t>
      </w:r>
    </w:p>
    <w:p w14:paraId="5F0BD9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Сложные смеси и возможность применения этиленгликоля и технического гликоля, как моторного топлива.</w:t>
      </w:r>
    </w:p>
    <w:p w14:paraId="64B047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Условия применения бензина, содержащего сернистые соединения:</w:t>
      </w:r>
    </w:p>
    <w:p w14:paraId="59ADF7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методика определения содержания серы в моторном топливе;</w:t>
      </w:r>
    </w:p>
    <w:p w14:paraId="01EB7F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действие сернистых бензинов на металле двигателя и возможность повышения нормы содержания серы в бензинах;</w:t>
      </w:r>
    </w:p>
    <w:p w14:paraId="42917E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способы обессеривания моторного топлива.</w:t>
      </w:r>
    </w:p>
    <w:p w14:paraId="62AC48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факульт Тягун</w:t>
      </w:r>
    </w:p>
    <w:p w14:paraId="065EE3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1. Д. 256. Л. 16-17. Подлинник (11210).</w:t>
      </w:r>
    </w:p>
    <w:p w14:paraId="0143E530" w14:textId="77777777" w:rsidR="00537E5F" w:rsidRPr="00507A31" w:rsidRDefault="00537E5F" w:rsidP="00507A31">
      <w:pPr>
        <w:autoSpaceDE w:val="0"/>
        <w:autoSpaceDN w:val="0"/>
        <w:adjustRightInd w:val="0"/>
        <w:jc w:val="both"/>
        <w:rPr>
          <w:color w:val="000000" w:themeColor="text1"/>
          <w:sz w:val="16"/>
          <w:szCs w:val="16"/>
        </w:rPr>
      </w:pPr>
    </w:p>
    <w:p w14:paraId="24BC037C" w14:textId="77777777" w:rsidR="00753E0E" w:rsidRPr="00507A31" w:rsidRDefault="00753E0E" w:rsidP="00507A31">
      <w:pPr>
        <w:jc w:val="both"/>
        <w:rPr>
          <w:color w:val="000000" w:themeColor="text1"/>
          <w:sz w:val="16"/>
          <w:szCs w:val="16"/>
        </w:rPr>
      </w:pPr>
      <w:r w:rsidRPr="00507A31">
        <w:rPr>
          <w:color w:val="000000" w:themeColor="text1"/>
          <w:sz w:val="16"/>
          <w:szCs w:val="16"/>
        </w:rPr>
        <w:t>2 декабря 1930 г. Гинзбург сделал подробное сообщение руководству РККА об А-6 фирмы Виккерс. Он отметил, что А6 представляет максимальный интерес для РККА как лучший современный тип манёвренного среднего танка (15132).</w:t>
      </w:r>
    </w:p>
    <w:p w14:paraId="5BDE637E" w14:textId="77777777" w:rsidR="00753E0E" w:rsidRPr="00507A31" w:rsidRDefault="00753E0E" w:rsidP="00507A31">
      <w:pPr>
        <w:jc w:val="both"/>
        <w:rPr>
          <w:color w:val="000000" w:themeColor="text1"/>
          <w:sz w:val="16"/>
          <w:szCs w:val="16"/>
        </w:rPr>
      </w:pPr>
    </w:p>
    <w:p w14:paraId="7D9BCDFF" w14:textId="77777777" w:rsidR="0096514A" w:rsidRPr="00507A31" w:rsidRDefault="0096514A"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5D3AA379" w14:textId="77777777" w:rsidR="0096514A" w:rsidRPr="00507A31" w:rsidRDefault="0096514A" w:rsidP="00507A31">
      <w:pPr>
        <w:autoSpaceDE w:val="0"/>
        <w:autoSpaceDN w:val="0"/>
        <w:adjustRightInd w:val="0"/>
        <w:jc w:val="both"/>
        <w:rPr>
          <w:iCs/>
          <w:color w:val="000000" w:themeColor="text1"/>
          <w:sz w:val="16"/>
          <w:szCs w:val="16"/>
        </w:rPr>
      </w:pPr>
    </w:p>
    <w:p w14:paraId="2D9E5244" w14:textId="77777777" w:rsidR="0096514A" w:rsidRPr="00507A31" w:rsidRDefault="0096514A" w:rsidP="00507A31">
      <w:pPr>
        <w:jc w:val="both"/>
        <w:rPr>
          <w:bCs/>
          <w:color w:val="000000" w:themeColor="text1"/>
          <w:sz w:val="16"/>
          <w:szCs w:val="16"/>
        </w:rPr>
      </w:pPr>
      <w:r w:rsidRPr="00507A31">
        <w:rPr>
          <w:color w:val="000000" w:themeColor="text1"/>
          <w:sz w:val="16"/>
          <w:szCs w:val="16"/>
        </w:rPr>
        <w:t>2 декабря 1930 г.</w:t>
      </w:r>
    </w:p>
    <w:p w14:paraId="2DC6D777" w14:textId="77777777" w:rsidR="0096514A" w:rsidRPr="00507A31" w:rsidRDefault="0096514A" w:rsidP="00507A31">
      <w:pPr>
        <w:jc w:val="both"/>
        <w:rPr>
          <w:bCs/>
          <w:color w:val="000000" w:themeColor="text1"/>
          <w:sz w:val="16"/>
          <w:szCs w:val="16"/>
        </w:rPr>
      </w:pPr>
      <w:r w:rsidRPr="00507A31">
        <w:rPr>
          <w:color w:val="000000" w:themeColor="text1"/>
          <w:sz w:val="16"/>
          <w:szCs w:val="16"/>
        </w:rPr>
        <w:t>Телеграмма посла Франции в Югославии Э. Дарда в МИД Франции о С. Рамзине. 2 декабря 1930 г.</w:t>
      </w:r>
    </w:p>
    <w:p w14:paraId="4044C520"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294B2EC0"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44D3239"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2 декабря 1930 г.</w:t>
      </w:r>
    </w:p>
    <w:p w14:paraId="608C9091"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0B92FF0B"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Шифровальный отдел</w:t>
      </w:r>
    </w:p>
    <w:p w14:paraId="214EFFD9"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№290</w:t>
      </w:r>
    </w:p>
    <w:p w14:paraId="6EB9D9CF"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Белград, 2 декабря 1930, 20.15</w:t>
      </w:r>
    </w:p>
    <w:p w14:paraId="6AE5B9F5"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Получено: 2 декабря 1930, 23.00</w:t>
      </w:r>
    </w:p>
    <w:p w14:paraId="0A1BCB3E"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В ответ на Вашу телеграмму № 318.</w:t>
      </w:r>
    </w:p>
    <w:p w14:paraId="6750B7E7"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Доктор Сергей Рамзии, проживающий по адресу Краля Милана 26 в Белграде, является главой отдела гигиены в городском муниципалитете.</w:t>
      </w:r>
    </w:p>
    <w:p w14:paraId="1EAC0378"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Это именно он написал письмо о своем брате в МИД.</w:t>
      </w:r>
    </w:p>
    <w:p w14:paraId="480DD14F"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Сергей Рамзин, военный врач, с 1921 года проживающий в Югославии и имеющий югославское гражданство, является выдающимся ученым и пользуется здесь почетом.</w:t>
      </w:r>
    </w:p>
    <w:p w14:paraId="55239ED0"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Дард</w:t>
      </w:r>
    </w:p>
    <w:p w14:paraId="5290669B"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122.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 декабря» и вписанным от руки номером о сдаче в архив «z 619-20 s/d5» (18767).</w:t>
      </w:r>
    </w:p>
    <w:p w14:paraId="08BD285F" w14:textId="77777777" w:rsidR="0096514A" w:rsidRPr="00507A31" w:rsidRDefault="0096514A" w:rsidP="00507A31">
      <w:pPr>
        <w:jc w:val="both"/>
        <w:rPr>
          <w:color w:val="000000" w:themeColor="text1"/>
          <w:sz w:val="16"/>
          <w:szCs w:val="16"/>
        </w:rPr>
      </w:pPr>
    </w:p>
    <w:p w14:paraId="5BC272BE" w14:textId="77777777" w:rsidR="0096514A" w:rsidRPr="00507A31" w:rsidRDefault="0096514A" w:rsidP="00507A31">
      <w:pPr>
        <w:jc w:val="both"/>
        <w:rPr>
          <w:bCs/>
          <w:color w:val="000000" w:themeColor="text1"/>
          <w:sz w:val="16"/>
          <w:szCs w:val="16"/>
        </w:rPr>
      </w:pPr>
      <w:r w:rsidRPr="00507A31">
        <w:rPr>
          <w:color w:val="000000" w:themeColor="text1"/>
          <w:sz w:val="16"/>
          <w:szCs w:val="16"/>
        </w:rPr>
        <w:t>2 декабря 1930 г.</w:t>
      </w:r>
    </w:p>
    <w:p w14:paraId="4DB8BFA2" w14:textId="77777777" w:rsidR="0096514A" w:rsidRPr="00507A31" w:rsidRDefault="0096514A" w:rsidP="00507A31">
      <w:pPr>
        <w:jc w:val="both"/>
        <w:rPr>
          <w:bCs/>
          <w:color w:val="000000" w:themeColor="text1"/>
          <w:sz w:val="16"/>
          <w:szCs w:val="16"/>
        </w:rPr>
      </w:pPr>
      <w:r w:rsidRPr="00507A31">
        <w:rPr>
          <w:color w:val="000000" w:themeColor="text1"/>
          <w:sz w:val="16"/>
          <w:szCs w:val="16"/>
        </w:rPr>
        <w:t>Депеша посла Франции в Великобритании Э. де Флерио министру иностранных дел Франции А. Бриану об изменении отношения Великобритании к процессу «Промпартии». 2 декабря 1930 г.</w:t>
      </w:r>
    </w:p>
    <w:p w14:paraId="439C972C"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69604D58"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E842B6C"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2 декабря 1930 г.</w:t>
      </w:r>
    </w:p>
    <w:p w14:paraId="1F828AC7"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Посольство Французской Республики в Англии</w:t>
      </w:r>
    </w:p>
    <w:p w14:paraId="6E12C523"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Департамент политических и торговых дел</w:t>
      </w:r>
    </w:p>
    <w:p w14:paraId="6121CF8A"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Депеша № 539</w:t>
      </w:r>
    </w:p>
    <w:p w14:paraId="6923DCD6"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(Европа)</w:t>
      </w:r>
    </w:p>
    <w:p w14:paraId="1FDBF9AD"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Посол Франции в Лондоне Флерио</w:t>
      </w:r>
    </w:p>
    <w:p w14:paraId="550625F5"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министру иностранных дел Бриану</w:t>
      </w:r>
    </w:p>
    <w:p w14:paraId="67EB061D"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Британское правительство и московский процесс</w:t>
      </w:r>
    </w:p>
    <w:p w14:paraId="3E5665C5"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Мое письмо №531 от 27-го ноября уведомляло Ваше превосходительство о том, что британское правительство не имело намерения протестовать против обвинений, выдвинутых против нескольких английских лиц на московском процессе. Хендерсон ограничился заявлением, что обвинения фигурировали только в высказываниях некоторых свидетелей, но не в обвинительной речи главного защитника.</w:t>
      </w:r>
    </w:p>
    <w:p w14:paraId="138B0B3D"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Однако с тех пор английская пресса, в частности «Таймс» и «Дэйли Мэйл» с достоверностью выяснила, что в речи прокурора советское правительство официально признало обвинения против Англии. В этой ситуации МИД Великобритании посчитал необходимым согласовать отношение британского правительства с французской позицией по этому вопросу, и посол Англии в Москве получил инструкции выразить протест перед Литвиновым. Вчера Хендерсон объяснялся с некоторым смущением по этому вопросу в Палате общин.</w:t>
      </w:r>
    </w:p>
    <w:p w14:paraId="583AE060"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В приложении отправляю Вам текст заявления государственного секретаря МИДа.</w:t>
      </w:r>
    </w:p>
    <w:p w14:paraId="65BEAC13"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Флерио</w:t>
      </w:r>
    </w:p>
    <w:p w14:paraId="5EDC2FA4"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123-123а. Машинописный подлинник, подпись — автограф. Штамп Департамента политических и торговых дел с датой «3 дек. 1930» и вписанным от руки номером о сдаче в архив «z 619-20 s/d5». Ниже штамп Кабинета министра с датой (неразборчиво) (18768).</w:t>
      </w:r>
    </w:p>
    <w:p w14:paraId="401C7F25" w14:textId="77777777" w:rsidR="0096514A" w:rsidRPr="00507A31" w:rsidRDefault="0096514A" w:rsidP="00507A31">
      <w:pPr>
        <w:jc w:val="both"/>
        <w:rPr>
          <w:color w:val="000000" w:themeColor="text1"/>
          <w:sz w:val="16"/>
          <w:szCs w:val="16"/>
        </w:rPr>
      </w:pPr>
    </w:p>
    <w:p w14:paraId="20467CBE" w14:textId="77777777" w:rsidR="0096514A" w:rsidRPr="00507A31" w:rsidRDefault="0096514A" w:rsidP="00507A31">
      <w:pPr>
        <w:jc w:val="both"/>
        <w:rPr>
          <w:bCs/>
          <w:color w:val="000000" w:themeColor="text1"/>
          <w:sz w:val="16"/>
          <w:szCs w:val="16"/>
        </w:rPr>
      </w:pPr>
      <w:r w:rsidRPr="00507A31">
        <w:rPr>
          <w:color w:val="000000" w:themeColor="text1"/>
          <w:sz w:val="16"/>
          <w:szCs w:val="16"/>
        </w:rPr>
        <w:t>2 декабря 1930 г.</w:t>
      </w:r>
    </w:p>
    <w:p w14:paraId="4B2C57BE" w14:textId="77777777" w:rsidR="0096514A" w:rsidRPr="00507A31" w:rsidRDefault="0096514A" w:rsidP="00507A31">
      <w:pPr>
        <w:jc w:val="both"/>
        <w:rPr>
          <w:bCs/>
          <w:color w:val="000000" w:themeColor="text1"/>
          <w:sz w:val="16"/>
          <w:szCs w:val="16"/>
        </w:rPr>
      </w:pPr>
      <w:r w:rsidRPr="00507A31">
        <w:rPr>
          <w:color w:val="000000" w:themeColor="text1"/>
          <w:sz w:val="16"/>
          <w:szCs w:val="16"/>
        </w:rPr>
        <w:t>Приложение к депеше № 539 посла Франции в Великобритании Э. де Флерио министру иностранных дел Франции А. Бриану от 2 декабря 1930 г.</w:t>
      </w:r>
    </w:p>
    <w:p w14:paraId="7F2F023D"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4975E5C8"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FCFACE"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Таймс от 2 декабря 1930</w:t>
      </w:r>
    </w:p>
    <w:p w14:paraId="662E7FCF"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Статья «Русский процесс. Хендерсон и советские обвинения»</w:t>
      </w:r>
    </w:p>
    <w:p w14:paraId="20EA1346"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Г-н Смизерс (Числехерст) и другие юнионистские члены парламента обратились с вопросом к секретарю иностранных дел г-ну Хендерсону (Бернли), последует ли он примеру французского правительства и заявит ли он протест советскому правительству в связи с упоминанием правительства его величества и некоторых британских подданных в полном тексте обвинительного заключения на процессе профессоров и инженеров в России. Хендерсон ответил следующее: «Со времени моего ответа 26-го ноября я тщательно изучил полный и теперь уже доступный перевод документов, выпущенных советским правительством. В результате я пришел к заключению, что в замечаниях, сделанных представителем обвинения на заявления заключенных, имеются некоторые пассажи, которые без всякого на то основания выставляют правительство его величества в неблагоприятном свете. Согласно моим инструкциям, посол его величества в Москве уведомил советское правительство, что, так как комментарии главного прокурора на заявления обвиняемых были официально приняты советским правительством, я протестую против тех его отрывков, которые содержат безосновательные и неблагоприятные замечания о предыдущем и настоящем правительстве Великобритании».</w:t>
      </w:r>
    </w:p>
    <w:p w14:paraId="4EF22D8F"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Сэр К. Вуд спросил, какие дальнейшие действия Хендерсон собирается предпринять в связи с этими тяжелыми обвинениями. Хендерсон ответил, что, очевидно, он должен сначала дождаться ответа от посла.</w:t>
      </w:r>
    </w:p>
    <w:p w14:paraId="3BCAAB94"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lastRenderedPageBreak/>
        <w:t>Смизерс спросил, не ввели ли в заблуждение парламент предыдущие заявления Хендерсона, которые он сделал после просмотра резюме, а не полной версии обвинительного заключения. Г-н Хендерсон ответил: «Я не думаю, что я ввел в заблуждение парламент, и я точно не имел никакого намерения этого делать».</w:t>
      </w:r>
    </w:p>
    <w:p w14:paraId="6925246E"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124-125. Газетная вырезка того времени (18769).</w:t>
      </w:r>
    </w:p>
    <w:p w14:paraId="50F37DBB" w14:textId="77777777" w:rsidR="0096514A" w:rsidRPr="00507A31" w:rsidRDefault="0096514A" w:rsidP="00507A31">
      <w:pPr>
        <w:jc w:val="both"/>
        <w:rPr>
          <w:color w:val="000000" w:themeColor="text1"/>
          <w:sz w:val="16"/>
          <w:szCs w:val="16"/>
        </w:rPr>
      </w:pPr>
    </w:p>
    <w:p w14:paraId="282B4CBF" w14:textId="77777777" w:rsidR="0096514A" w:rsidRPr="00507A31" w:rsidRDefault="0096514A" w:rsidP="00507A31">
      <w:pPr>
        <w:jc w:val="both"/>
        <w:rPr>
          <w:bCs/>
          <w:color w:val="000000" w:themeColor="text1"/>
          <w:sz w:val="16"/>
          <w:szCs w:val="16"/>
        </w:rPr>
      </w:pPr>
      <w:r w:rsidRPr="00507A31">
        <w:rPr>
          <w:color w:val="000000" w:themeColor="text1"/>
          <w:sz w:val="16"/>
          <w:szCs w:val="16"/>
        </w:rPr>
        <w:t>2 декабря 1930 г.</w:t>
      </w:r>
    </w:p>
    <w:p w14:paraId="202BFEC0" w14:textId="77777777" w:rsidR="0096514A" w:rsidRPr="00507A31" w:rsidRDefault="0096514A" w:rsidP="00507A31">
      <w:pPr>
        <w:jc w:val="both"/>
        <w:rPr>
          <w:bCs/>
          <w:color w:val="000000" w:themeColor="text1"/>
          <w:sz w:val="16"/>
          <w:szCs w:val="16"/>
        </w:rPr>
      </w:pPr>
      <w:r w:rsidRPr="00507A31">
        <w:rPr>
          <w:color w:val="000000" w:themeColor="text1"/>
          <w:sz w:val="16"/>
          <w:szCs w:val="16"/>
        </w:rPr>
        <w:t>Директивы отдела печати НКИД СССР Д. Г. Штерну для «обработки общественного мнения» Германии о процессе «Промпартии». 2 декабря 1930 г.</w:t>
      </w:r>
    </w:p>
    <w:p w14:paraId="52D8CA8A"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61DEF236"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0FEF8E7"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Архив: </w:t>
      </w:r>
    </w:p>
    <w:p w14:paraId="109F965B" w14:textId="77777777" w:rsidR="0096514A" w:rsidRPr="00507A31" w:rsidRDefault="0096514A" w:rsidP="00507A31">
      <w:pPr>
        <w:jc w:val="both"/>
        <w:rPr>
          <w:color w:val="000000" w:themeColor="text1"/>
          <w:sz w:val="16"/>
          <w:szCs w:val="16"/>
        </w:rPr>
      </w:pPr>
      <w:r w:rsidRPr="00507A31">
        <w:rPr>
          <w:color w:val="000000" w:themeColor="text1"/>
          <w:sz w:val="16"/>
          <w:szCs w:val="16"/>
        </w:rPr>
        <w:t>АВП РФ. Ф. 056. On. 15. П. 31. Д. 9. Л. 80-81</w:t>
      </w:r>
    </w:p>
    <w:p w14:paraId="5557CBC4"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2 декабря 1930 г.</w:t>
      </w:r>
    </w:p>
    <w:p w14:paraId="24310C93"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08BC2C3D"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35F9C28E"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 7372</w:t>
      </w:r>
    </w:p>
    <w:p w14:paraId="49A9835F"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2[-]го декабря 1930</w:t>
      </w:r>
    </w:p>
    <w:p w14:paraId="0721BFC9"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Тов. Штерну, Берлин</w:t>
      </w:r>
    </w:p>
    <w:p w14:paraId="34C7478E"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По процессу Рамзина нами получены директивные указания об использовании материалов по линии журналов и издания брошюр и книг. Передавая Вам в дальнейшем эти указания для исполнения в ударном порядке, отмечаем, что изыскание средств и путей для обработки общественного мнения Вашей страны, конечно, представляется Вам в соответствии с местными условиями. Таким образом, наши соображения являются отнюдь необязательным маршрутом для Вас, а лишь нашими предположениями, осуществимость которых Вам должна быть яснее, чем нам.</w:t>
      </w:r>
    </w:p>
    <w:p w14:paraId="5C10DBA4"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Основным моментом в изображении материалов, полученных в ходе следствия и самого процесса Промпартии является вопрос интервенции, подготовки новой войны не только против СССР, но и войны вообще, т. е. такого вооруженного столкновения огромных размеров, в которое неминуемо должна быть вовлечена Германия и во время которого обязательно были бы ущемлены германские интересы. Поэтому, для освещения данных &lt;моментов&gt; процесса нам здесь представляется возможным использование следующих кругов: 1) посколько речь идет о войне — левопацифистических и леворадикальных, 2) посколько речь идет об интервенции против СССР — тех буржуазных кругов, которые стоят за развитие политических и экономических сношений с нами и 3) посколько речь идет о подготовке интервенции со стороны Франции с ущемлением германских интересов — тех кругов, которые враждебны Франции и желают форсировать вопрос вооружения Германии. По всем этим линиям нам представляется необходимым начать публикацию материалов по процессу в следующих журналах: «Вельтбюне», «Тагебух», «Дейтчер Шпигель» (здесь, вероятно, можно будет использовать Хаака).</w:t>
      </w:r>
    </w:p>
    <w:p w14:paraId="0DC7003E"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Затем необходимо уже теперь начать соответствующие переговоры с Хэтч — Ионасом и Грабовским, а может быть даже с Мендельсоном (Гамбург). Имейте при всех Ваших переговорах в виду, что мы готовы в данном деле на сравнительно крупные финансовые жертвы, так что Вы смело можете ставить вопрос об издании специальных номеров того или другого журнала, посвященных процессу хотя бы в виде документации.</w:t>
      </w:r>
    </w:p>
    <w:p w14:paraId="2660FFF3"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Конечно, публикация материалов в журналах и еженедельниках не исключает дальнейшей обработки газет. Здесь помимо усиления абонемента на бюро вырезок Шустермана, надо пустить в ход решительно все имеющиеся у Вас возможности. Сырье имеется, посколько почти все материалы по процессу имеются на немецком языке. Имеются также самые разнообразные фото-снимки.</w:t>
      </w:r>
    </w:p>
    <w:p w14:paraId="7247D44E"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Нам здесь представляется целесообразным, чтобы для левых кругов написал по материалам суда книжку Эгон Эрвин Киш в форме того, что в Германии называется «репортажем» т. е. в форме полуфельетонного описания, но с резким выделением фактического интервенционистского материала. Немедленно поговорите с ним и сообщите об его наметках и т. д., а также о Ваших соображениях по этому поводу. Одновременно надо продумать, нет ли еще какого-нибудь кандидата. Что Вы скажете о Людвике Ренне? Он, вероятно, подойдет к этой теме иначе, чем Киш, так что они отнюдь не исключают друг друга. Кроме того, мы подумываем об Альфонсе Гольдшмите.</w:t>
      </w:r>
    </w:p>
    <w:p w14:paraId="48A8BC08"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Что же касается правых кандидатур, то здесь мы пока ничего не надумали. Тов. Миронов беседовал на эту тему с Хааком. Он сам, очевидно, брошюры писать не будет, но обещал подумать, кто мог бы из его друзей за такое дело взяться. Возьмите под свое «рассмотрение» всевозможные кандидатуры и в срочном порядке сообщите нам свои соображения.</w:t>
      </w:r>
    </w:p>
    <w:p w14:paraId="0C4256F3"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Помещение статей в журналах, издание полурепортажных книг Киша и т. п., конечно, не исключает возможности издания по данным процесса документации, скажем, при помощи «Ост-Еуропа». На эту [тему] надо немедленно поговорить с Ионасом при разговоре с ним на тему о помещении в его журнале статей (или выпуска специального номера) посвященных процессу.</w:t>
      </w:r>
    </w:p>
    <w:p w14:paraId="680E6C29"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Словом, как Вы видите, по этому делу надо пустить в ход все средства, все возможности и все Ваши связи.</w:t>
      </w:r>
    </w:p>
    <w:p w14:paraId="0C585077"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Зав. отделом Печати (Аренс)</w:t>
      </w:r>
    </w:p>
    <w:p w14:paraId="3313AA77"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Референт Миронов</w:t>
      </w:r>
    </w:p>
    <w:p w14:paraId="147F6AC7"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056. On. 15.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31.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9. </w:t>
      </w:r>
      <w:r w:rsidRPr="00507A31">
        <w:rPr>
          <w:rStyle w:val="af0"/>
          <w:i w:val="0"/>
          <w:color w:val="000000" w:themeColor="text1"/>
          <w:sz w:val="16"/>
          <w:szCs w:val="16"/>
        </w:rPr>
        <w:t>Л. 80-81. Машинописный подлинник, подпись референта Миронова — автограф. Гриф секретности и дата машинописью, исходящий номер «№ 7342» — от руки. На Л. 80 вверху рукописная помета «Архив». На Л. 81 внизу слева машинописью делопроизводственная помета (столбцом) «5 экз. 1 — тов. Литвинову 1 — тов. Крестинскому 1 — тов. Штейну 1 — адресату 1 — архив» (18847).</w:t>
      </w:r>
    </w:p>
    <w:p w14:paraId="77301C12" w14:textId="77777777" w:rsidR="0096514A" w:rsidRPr="00507A31" w:rsidRDefault="0096514A" w:rsidP="00507A31">
      <w:pPr>
        <w:jc w:val="both"/>
        <w:rPr>
          <w:color w:val="000000" w:themeColor="text1"/>
          <w:sz w:val="16"/>
          <w:szCs w:val="16"/>
        </w:rPr>
      </w:pPr>
    </w:p>
    <w:p w14:paraId="0BB1DF32" w14:textId="77777777" w:rsidR="0096514A" w:rsidRPr="00507A31" w:rsidRDefault="0096514A" w:rsidP="00507A31">
      <w:pPr>
        <w:jc w:val="both"/>
        <w:rPr>
          <w:bCs/>
          <w:color w:val="000000" w:themeColor="text1"/>
          <w:sz w:val="16"/>
          <w:szCs w:val="16"/>
        </w:rPr>
      </w:pPr>
      <w:r w:rsidRPr="00507A31">
        <w:rPr>
          <w:color w:val="000000" w:themeColor="text1"/>
          <w:sz w:val="16"/>
          <w:szCs w:val="16"/>
        </w:rPr>
        <w:t>2 декабря 1930 г.</w:t>
      </w:r>
    </w:p>
    <w:p w14:paraId="41CC2FFF" w14:textId="77777777" w:rsidR="0096514A" w:rsidRPr="00507A31" w:rsidRDefault="0096514A" w:rsidP="00507A31">
      <w:pPr>
        <w:jc w:val="both"/>
        <w:rPr>
          <w:bCs/>
          <w:color w:val="000000" w:themeColor="text1"/>
          <w:sz w:val="16"/>
          <w:szCs w:val="16"/>
        </w:rPr>
      </w:pPr>
      <w:r w:rsidRPr="00507A31">
        <w:rPr>
          <w:color w:val="000000" w:themeColor="text1"/>
          <w:sz w:val="16"/>
          <w:szCs w:val="16"/>
        </w:rPr>
        <w:t>«Сводка инотелеграмм № 497». 2 декабря 1930 г.</w:t>
      </w:r>
    </w:p>
    <w:p w14:paraId="515A1144"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Источник: </w:t>
      </w:r>
    </w:p>
    <w:p w14:paraId="0755506C" w14:textId="77777777" w:rsidR="0096514A" w:rsidRPr="00507A31" w:rsidRDefault="0096514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EFAF63B" w14:textId="77777777" w:rsidR="0096514A" w:rsidRPr="00507A31" w:rsidRDefault="0096514A" w:rsidP="00507A31">
      <w:pPr>
        <w:jc w:val="both"/>
        <w:rPr>
          <w:bCs/>
          <w:color w:val="000000" w:themeColor="text1"/>
          <w:sz w:val="16"/>
          <w:szCs w:val="16"/>
        </w:rPr>
      </w:pPr>
      <w:r w:rsidRPr="00507A31">
        <w:rPr>
          <w:bCs/>
          <w:color w:val="000000" w:themeColor="text1"/>
          <w:sz w:val="16"/>
          <w:szCs w:val="16"/>
        </w:rPr>
        <w:t>Архив: </w:t>
      </w:r>
    </w:p>
    <w:p w14:paraId="2CC51BB6" w14:textId="77777777" w:rsidR="0096514A" w:rsidRPr="00507A31" w:rsidRDefault="0096514A" w:rsidP="00507A31">
      <w:pPr>
        <w:jc w:val="both"/>
        <w:rPr>
          <w:color w:val="000000" w:themeColor="text1"/>
          <w:sz w:val="16"/>
          <w:szCs w:val="16"/>
        </w:rPr>
      </w:pPr>
      <w:r w:rsidRPr="00507A31">
        <w:rPr>
          <w:color w:val="000000" w:themeColor="text1"/>
          <w:sz w:val="16"/>
          <w:szCs w:val="16"/>
        </w:rPr>
        <w:t>АВП РФ. Ф. 0136. Oп. 14. П. 140. Д. 593. Л. 74-75</w:t>
      </w:r>
    </w:p>
    <w:p w14:paraId="20C4ECB6"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2 декабря 1930 г.</w:t>
      </w:r>
    </w:p>
    <w:p w14:paraId="3DB9C28E" w14:textId="77777777" w:rsidR="0096514A" w:rsidRPr="00507A31" w:rsidRDefault="0096514A"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1A69A385"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ВЕЧЕРНИЕ ТЕЛЕГРАММЫ ЗА 2-ое декабря</w:t>
      </w:r>
    </w:p>
    <w:p w14:paraId="61B2E84D"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ДЮРАНТИ: Сегодня Крыленко поступил очень разумно, оставив тему отдельных случаев вредительства и саботажа, по поводу которых он подвергал вчера перекрестному допросу подсудимых и перейдя к вопросу о шпионаже, где он находится на более прочной и более интересной базе. Споры с текстильными специалистами является ли увеличение кубатуры фабричного здания на один метр социалистическим завоеванием или вредительством, принесли мало пользы суду и публике. Точно так же мало способствовала освещению положения потеря время в споре со специалистом по транспорту, является ли требование увеличения нагрузки локомотивов на пять тонн, угрозой для пятилетки. Между прочим американский железнодорожник Ральф Будд, являющийся советником Советов — сторонник американской системы тяжелой нагрузки локомотивов и его следовало бы расстрелять. Более того такого рода течения судебного следствия может вызвать сомнения в умах иностранных наблюдателей, которые и без того у них мелькают. Мы слышали как обвиняемые сознались в создании огромного заговора с тысячью сторонниками, с планами создания нового правительства и иностранной интервенцией. Они были в заговоре с эмигрантами и получали огромные суммы денег. Но когда дело доходит до подробностей относительно денег и того[,] как была организована конспирация, точность покидает подсудимых и все становится неясным. Зато в области[,] касающейся шпионажа, все на весьма солидной и романтической почве. Как бы ни были туманны показания обвиняемых в другой области, практическая их работа в делах конспирации находится на твердой базе и полна точных подробностей относительно мест[,] времени и личностей[,] с которыми они встречались. Так, например, Рамзин дал сегодня подробную и весьма убедительную картину того, как он передавал информацию о транспорте, авиации, производстве стали и проч. иностранным агентам. Совершенно ясно, что он и его товарищи имели доступ к такого рода информации. Не приходится сомневаться в том, что французская, как и любая другая, контрразведка была в восторге, получив возможность иметь информацию в условиях послевоенной Европы. Быть может даже как это ни чудовищно Рамзин думал даже вначале, что он служит своей стране или себе самому, выдавая такую информацию. Во всяком случае быть может он вначале так думал, а потом не мог поступать иначе. Во всяком случае, для вашего корреспондента все это звучит убедительно и помогает ему понять почему Париж этим летом был полон сплетен относительно советских аэропланов и строительства ядовитых газов, с помощью офицеров бывшей кайзеровской армии, которые продали свои души большевистскому сатане, чтобы отомстить мирной Франции. Совершенно верно[,] что в области авиастроительства у советов были такие же договоры о технической помощи[,] какие у них есть с американцами в области тракторостроительства между тем как тракторы тоже могут быть превращены в танки.</w:t>
      </w:r>
    </w:p>
    <w:p w14:paraId="2786BAA6"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ДОЙС: Кратко сообщает показания Красовского о вредительстве при рассмотрении американского плана строительства железных дорог.</w:t>
      </w:r>
    </w:p>
    <w:p w14:paraId="76B342A0"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ФИШЕР: Показания Красовского о вредительстве на окраинных железных дорогах для того, чтобы понизить дееспособность железных дорог в случае мобилизации.</w:t>
      </w:r>
    </w:p>
    <w:p w14:paraId="560FE989"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lastRenderedPageBreak/>
        <w:t>ЛАЙОНС: О том же подробно. Инкор полагает, что на секретном заседании будут разбираться связи обвиняемых с иностранными ведомствами. Подробное изложение показаний Михайленко.</w:t>
      </w:r>
    </w:p>
    <w:p w14:paraId="3B7F1EE3"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ЮБЕНК: Показание Михайленко иллюстрировало, как подготовлялись к интервенции на железных дорогах. Председатель предупредил свидетеля, что он не должен называть отдельных пунктов[,] о которых идет речь.</w:t>
      </w:r>
    </w:p>
    <w:p w14:paraId="16D0B672" w14:textId="77777777" w:rsidR="0096514A" w:rsidRPr="00507A31" w:rsidRDefault="0096514A" w:rsidP="00507A31">
      <w:pPr>
        <w:pStyle w:val="rtejustify"/>
        <w:spacing w:before="0" w:after="0"/>
        <w:rPr>
          <w:color w:val="000000" w:themeColor="text1"/>
          <w:sz w:val="16"/>
          <w:szCs w:val="16"/>
        </w:rPr>
      </w:pPr>
      <w:r w:rsidRPr="00507A31">
        <w:rPr>
          <w:color w:val="000000" w:themeColor="text1"/>
          <w:sz w:val="16"/>
          <w:szCs w:val="16"/>
        </w:rPr>
        <w:t>ЧОЛЛЕРТОН: Сегодня — самый горячий день процесса, поскольку речь идет о шпионаже в пользу Франции и о вредительстве для облегчения вооруженного вторжения. Все больше становится понятным, что чем больший кусок пытается отхватить обвинение, тем менее оно может или хочет прожевать его. Какова бы ни была измена Рамзина, который вместе с Калинниковым, Ларичевым и Чарновским все время дает показания, теперь ясно, что он «не поставлял своего товара». То, о чем господа «К» и «Р» просили у подсудимых и что они получали представляется нам в следующем виде: о техническом состоянии военной авиации они не могли дать никаких сведений. В отношении осмотра больших запасов бензина в Ленинградской области ничего не было сделано, о постройке воздушных портов в той же области сам же Крыленко поспешно сказал, что все это ясно и не нужно никаких подробностей, и т. д. и т. п. Все, в чем фактически сознаются подсудимые, — это передача докладов Госплана, что повсюду имеется к услугам каждого образованного человека, и имелось и здесь до марта м[еся]ца. Подсудимые, впрочем, очень усердно сообщают Крыленко, что господин «К.» получал более подробные доклады, чем Госплан. Ничего удивительного нет, что Торгпром был недоволен, что Рамзин и Осадчий разочаровались в интервенции. Все эти планы саботажа никуда не годились, что было ясно для нас — корреспондентов. По указанию суда, подсудимые не должны называть новых сообщников, не включенных в дело, так что эти, большей частью пожилые люди целый день заняты постирушкой друг друга. Время от времени Крыленко интервенирует: Достаточно, мы понимаем, без подробностей, пожалуйста. Единственные разоблачения, на которые можно еще надеяться, будут сделаны на закрытом заседании, а кор[респонден]ты узнают о них только из полемических статей в советской прессе.</w:t>
      </w:r>
    </w:p>
    <w:p w14:paraId="5FF3EDEE"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ЮБЕНК: Обычная подробная информация о процессе.</w:t>
      </w:r>
    </w:p>
    <w:p w14:paraId="2BFBBE58"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w:t>
      </w:r>
    </w:p>
    <w:p w14:paraId="73C20B9C" w14:textId="77777777" w:rsidR="0096514A" w:rsidRPr="00507A31" w:rsidRDefault="0096514A" w:rsidP="00507A31">
      <w:pPr>
        <w:pStyle w:val="ae"/>
        <w:spacing w:before="0" w:after="0"/>
        <w:jc w:val="both"/>
        <w:rPr>
          <w:color w:val="000000" w:themeColor="text1"/>
          <w:sz w:val="16"/>
          <w:szCs w:val="16"/>
        </w:rPr>
      </w:pPr>
      <w:r w:rsidRPr="00507A31">
        <w:rPr>
          <w:color w:val="000000" w:themeColor="text1"/>
          <w:sz w:val="16"/>
          <w:szCs w:val="16"/>
        </w:rPr>
        <w:t>(Подольский)</w:t>
      </w:r>
    </w:p>
    <w:p w14:paraId="7644511C" w14:textId="77777777" w:rsidR="0096514A" w:rsidRPr="00507A31" w:rsidRDefault="0096514A"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0136. Oп. 14. П. 140. Д. 593. Л. 74-75. Машинописная копия того времени. Формула «Не подлежит оглашению» на Л. 74 вверху справа машинописью, здесь же рукописная помета «NB» (Нотабене) (19037).</w:t>
      </w:r>
    </w:p>
    <w:p w14:paraId="35E89FAD" w14:textId="77777777" w:rsidR="0096514A" w:rsidRPr="00507A31" w:rsidRDefault="0096514A" w:rsidP="00507A31">
      <w:pPr>
        <w:jc w:val="both"/>
        <w:rPr>
          <w:color w:val="000000" w:themeColor="text1"/>
          <w:sz w:val="16"/>
          <w:szCs w:val="16"/>
        </w:rPr>
      </w:pPr>
    </w:p>
    <w:p w14:paraId="3842771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8E016AE" w14:textId="77777777" w:rsidR="00537E5F" w:rsidRPr="00507A31" w:rsidRDefault="00537E5F" w:rsidP="00507A31">
      <w:pPr>
        <w:autoSpaceDE w:val="0"/>
        <w:autoSpaceDN w:val="0"/>
        <w:adjustRightInd w:val="0"/>
        <w:jc w:val="both"/>
        <w:rPr>
          <w:iCs/>
          <w:color w:val="000000" w:themeColor="text1"/>
          <w:sz w:val="16"/>
          <w:szCs w:val="16"/>
        </w:rPr>
      </w:pPr>
    </w:p>
    <w:p w14:paraId="77D303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(3 - 71,184) 1930 начальником ЦАГИ С.А.Чаплыгиным А.Н.Туполев был утвержден главным конструктором и начальником АГОС (61,127). А.Н.Туполев обдумывает планы строительства завода особых конструкций (ЗОК).</w:t>
      </w:r>
    </w:p>
    <w:p w14:paraId="752DB9C0" w14:textId="77777777" w:rsidR="00537E5F" w:rsidRPr="00507A31" w:rsidRDefault="00537E5F" w:rsidP="00507A31">
      <w:pPr>
        <w:autoSpaceDE w:val="0"/>
        <w:autoSpaceDN w:val="0"/>
        <w:adjustRightInd w:val="0"/>
        <w:jc w:val="both"/>
        <w:rPr>
          <w:color w:val="000000" w:themeColor="text1"/>
          <w:sz w:val="16"/>
          <w:szCs w:val="16"/>
        </w:rPr>
      </w:pPr>
    </w:p>
    <w:p w14:paraId="763BE3DF" w14:textId="77777777" w:rsidR="00CC1505" w:rsidRPr="00507A31" w:rsidRDefault="00CC1505" w:rsidP="00507A31">
      <w:pPr>
        <w:jc w:val="both"/>
        <w:rPr>
          <w:color w:val="000000" w:themeColor="text1"/>
          <w:sz w:val="16"/>
          <w:szCs w:val="16"/>
        </w:rPr>
      </w:pPr>
      <w:r w:rsidRPr="00507A31">
        <w:rPr>
          <w:color w:val="000000" w:themeColor="text1"/>
          <w:sz w:val="16"/>
          <w:szCs w:val="16"/>
        </w:rPr>
        <w:t xml:space="preserve">3 декабря 1930 г. начальник ЦАГИ С.А.Чаплыгин утвердил А.Н.Туполева главным конструктором и начальником АГОС. </w:t>
      </w:r>
    </w:p>
    <w:p w14:paraId="72A1DC38" w14:textId="77777777" w:rsidR="00CC1505" w:rsidRPr="00507A31" w:rsidRDefault="00CC1505" w:rsidP="00507A31">
      <w:pPr>
        <w:jc w:val="both"/>
        <w:rPr>
          <w:color w:val="000000" w:themeColor="text1"/>
          <w:sz w:val="16"/>
          <w:szCs w:val="16"/>
        </w:rPr>
      </w:pPr>
      <w:r w:rsidRPr="00507A31">
        <w:rPr>
          <w:color w:val="000000" w:themeColor="text1"/>
          <w:sz w:val="16"/>
          <w:szCs w:val="16"/>
        </w:rPr>
        <w:t>Роль АГОС в жизни ЦАГИ была огромной. В 1925-1926 гг. в ЦАГИ работало 305 человек, из которых 183 трудились в АГОС. Из бюджета, составлявшего 979.4 тыс. руб., на АГОС выделялось 604.2 тыс. руб.</w:t>
      </w:r>
    </w:p>
    <w:p w14:paraId="468A3413" w14:textId="77777777" w:rsidR="00CC1505" w:rsidRPr="00507A31" w:rsidRDefault="00CC1505" w:rsidP="00507A31">
      <w:pPr>
        <w:jc w:val="both"/>
        <w:rPr>
          <w:color w:val="000000" w:themeColor="text1"/>
          <w:sz w:val="16"/>
          <w:szCs w:val="16"/>
        </w:rPr>
      </w:pPr>
      <w:r w:rsidRPr="00507A31">
        <w:rPr>
          <w:color w:val="000000" w:themeColor="text1"/>
          <w:sz w:val="16"/>
          <w:szCs w:val="16"/>
        </w:rPr>
        <w:t>К этому времени в построенном здании отделу уже стало тесно и началось строительство завода опытных конструкций (ЗОК, затем завод №156). На московском аэродроме была создана летная станция с рядом лабораторий, построили аэродинамическую трубу Т-5 с открытой рабочей частью, которая имела диаметр 2.25 м и длину 3 м, скорость потока — 50 м/с. В трубе имелись шестикомпонентные аэродинамические весы. До 1938 г. трубы Т-1-2 и Т-5 оставались главным инструментом Эксперимен - тально-аэродинамического отдела (ЭАО, впоследствии лаборатория № 4). Кроме того, к 1943 г. московские лаборатории ЦАГИ располагали аэродинамической трубой больших скоростей Т-15 (ширина и высота рабочей части 100 мм, длина 400 мм, скорость потока 600 м/с). В лаборатории промышленной аэродинамики имелась камера с наддувом, камера с разряжением, балансирные станки. Это позволяло исследовать вентиляторы и вентиляционные системы, а также аэродинамику авиамоторов (в холодном состоянии) (19727).</w:t>
      </w:r>
    </w:p>
    <w:p w14:paraId="3EFC8DC0" w14:textId="77777777" w:rsidR="00CC1505" w:rsidRPr="00507A31" w:rsidRDefault="00CC1505" w:rsidP="00507A31">
      <w:pPr>
        <w:jc w:val="both"/>
        <w:rPr>
          <w:color w:val="000000" w:themeColor="text1"/>
          <w:sz w:val="16"/>
          <w:szCs w:val="16"/>
        </w:rPr>
      </w:pPr>
    </w:p>
    <w:p w14:paraId="79D6D8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декабря 1930 на заседании РВС (прот. 27) П.И.Б. докладывал "Ход выполнения опытного строительства по самолетам и моторам" (1028,108).</w:t>
      </w:r>
    </w:p>
    <w:p w14:paraId="42318B2D" w14:textId="77777777" w:rsidR="00537E5F" w:rsidRPr="00507A31" w:rsidRDefault="00537E5F" w:rsidP="00507A31">
      <w:pPr>
        <w:autoSpaceDE w:val="0"/>
        <w:autoSpaceDN w:val="0"/>
        <w:adjustRightInd w:val="0"/>
        <w:jc w:val="both"/>
        <w:rPr>
          <w:color w:val="000000" w:themeColor="text1"/>
          <w:sz w:val="16"/>
          <w:szCs w:val="16"/>
        </w:rPr>
      </w:pPr>
    </w:p>
    <w:p w14:paraId="70470777" w14:textId="77777777" w:rsidR="00A83307" w:rsidRPr="00507A31" w:rsidRDefault="00A83307" w:rsidP="00507A31">
      <w:pPr>
        <w:shd w:val="clear" w:color="auto" w:fill="FFFFFF"/>
        <w:jc w:val="both"/>
        <w:rPr>
          <w:color w:val="0070C0"/>
          <w:sz w:val="16"/>
          <w:szCs w:val="16"/>
        </w:rPr>
      </w:pPr>
      <w:r w:rsidRPr="00507A31">
        <w:rPr>
          <w:color w:val="0070C0"/>
          <w:sz w:val="16"/>
          <w:szCs w:val="16"/>
        </w:rPr>
        <w:t>3 декабря 1930 г. на заседании бюро ячейки курса обсуждали уже 16 человек, но сосредоточили внимание лишь на тех, кто был «ближе к партии», т. е. без Яковлева и Туманского. Цитата из протокола: «О Дементьеве. Считать близким к партии» (21471).</w:t>
      </w:r>
    </w:p>
    <w:p w14:paraId="6FF6453B" w14:textId="77777777" w:rsidR="00A83307" w:rsidRPr="00507A31" w:rsidRDefault="00A83307" w:rsidP="00507A31">
      <w:pPr>
        <w:shd w:val="clear" w:color="auto" w:fill="FFFFFF"/>
        <w:jc w:val="both"/>
        <w:rPr>
          <w:color w:val="0070C0"/>
          <w:sz w:val="16"/>
          <w:szCs w:val="16"/>
        </w:rPr>
      </w:pPr>
    </w:p>
    <w:p w14:paraId="7BF39E87" w14:textId="77777777" w:rsidR="00A83307" w:rsidRPr="00507A31" w:rsidRDefault="00A83307" w:rsidP="00507A31">
      <w:pPr>
        <w:jc w:val="both"/>
        <w:rPr>
          <w:color w:val="0070C0"/>
          <w:sz w:val="16"/>
          <w:szCs w:val="16"/>
        </w:rPr>
      </w:pPr>
      <w:r w:rsidRPr="00507A31">
        <w:rPr>
          <w:color w:val="0070C0"/>
          <w:sz w:val="16"/>
          <w:szCs w:val="16"/>
        </w:rPr>
        <w:t>3 декабря 1930 состоялось заседание Реввоенсо</w:t>
      </w:r>
      <w:r w:rsidRPr="00507A31">
        <w:rPr>
          <w:color w:val="0070C0"/>
          <w:sz w:val="16"/>
          <w:szCs w:val="16"/>
        </w:rPr>
        <w:softHyphen/>
        <w:t>вета (РВС) СССР, на котором по докладу П.И. Бара</w:t>
      </w:r>
      <w:r w:rsidRPr="00507A31">
        <w:rPr>
          <w:color w:val="0070C0"/>
          <w:sz w:val="16"/>
          <w:szCs w:val="16"/>
        </w:rPr>
        <w:softHyphen/>
        <w:t>нова было принято решение объединить в составе ВАС (Всесоюзное авиационное объединение) Авиамоторный отдел ЦАГИ и отдел опытного мото</w:t>
      </w:r>
      <w:r w:rsidRPr="00507A31">
        <w:rPr>
          <w:color w:val="0070C0"/>
          <w:sz w:val="16"/>
          <w:szCs w:val="16"/>
        </w:rPr>
        <w:softHyphen/>
        <w:t>ростроения завода № 24 ВАС в единый опытный авиамоторный институт.</w:t>
      </w:r>
    </w:p>
    <w:p w14:paraId="4C15934F" w14:textId="77777777" w:rsidR="00A83307" w:rsidRPr="00507A31" w:rsidRDefault="00A83307" w:rsidP="00507A31">
      <w:pPr>
        <w:jc w:val="both"/>
        <w:rPr>
          <w:color w:val="0070C0"/>
          <w:sz w:val="16"/>
          <w:szCs w:val="16"/>
        </w:rPr>
      </w:pPr>
      <w:r w:rsidRPr="00507A31">
        <w:rPr>
          <w:color w:val="0070C0"/>
          <w:sz w:val="16"/>
          <w:szCs w:val="16"/>
        </w:rPr>
        <w:t>Новый институт стали называть Институтом авиа</w:t>
      </w:r>
      <w:r w:rsidRPr="00507A31">
        <w:rPr>
          <w:color w:val="0070C0"/>
          <w:sz w:val="16"/>
          <w:szCs w:val="16"/>
        </w:rPr>
        <w:softHyphen/>
        <w:t>ционного моторостроения - ИАМ. На него и возложи</w:t>
      </w:r>
      <w:r w:rsidRPr="00507A31">
        <w:rPr>
          <w:color w:val="0070C0"/>
          <w:sz w:val="16"/>
          <w:szCs w:val="16"/>
        </w:rPr>
        <w:softHyphen/>
        <w:t>ли задачу всех научных и инженерных работ. Началь</w:t>
      </w:r>
      <w:r w:rsidRPr="00507A31">
        <w:rPr>
          <w:color w:val="0070C0"/>
          <w:sz w:val="16"/>
          <w:szCs w:val="16"/>
        </w:rPr>
        <w:softHyphen/>
        <w:t>ником ИАМ назначили кадрового военного специа</w:t>
      </w:r>
      <w:r w:rsidRPr="00507A31">
        <w:rPr>
          <w:color w:val="0070C0"/>
          <w:sz w:val="16"/>
          <w:szCs w:val="16"/>
        </w:rPr>
        <w:softHyphen/>
        <w:t>листа ВВС РККА И.Э. Марьямова. Отдел бензиновых двигателей возглавил В.Я. Климов, отдел нефтяных двигателей (ОНД) - А.Д. Чаромский (22518).</w:t>
      </w:r>
    </w:p>
    <w:p w14:paraId="72C117AF" w14:textId="77777777" w:rsidR="00A83307" w:rsidRPr="00507A31" w:rsidRDefault="00A83307" w:rsidP="00507A31">
      <w:pPr>
        <w:jc w:val="both"/>
        <w:rPr>
          <w:color w:val="0070C0"/>
          <w:sz w:val="16"/>
          <w:szCs w:val="16"/>
        </w:rPr>
      </w:pPr>
    </w:p>
    <w:p w14:paraId="01B505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декабря 1930 РВС рассмотрел вопрос о ходе выполнения опытного строительства по самолетам и моторам (351).</w:t>
      </w:r>
    </w:p>
    <w:p w14:paraId="188FBD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Там был...3. Создать в составе ЦАГИ специальный отдел по конструированию и постройке экспериментальных образцов ЛА на новых принципах (геликоптеры, параболы, амфибии, вертолеты, автожиры) (351).</w:t>
      </w:r>
    </w:p>
    <w:p w14:paraId="5D621806" w14:textId="77777777" w:rsidR="00537E5F" w:rsidRPr="00507A31" w:rsidRDefault="00537E5F" w:rsidP="00507A31">
      <w:pPr>
        <w:autoSpaceDE w:val="0"/>
        <w:autoSpaceDN w:val="0"/>
        <w:adjustRightInd w:val="0"/>
        <w:jc w:val="both"/>
        <w:rPr>
          <w:color w:val="000000" w:themeColor="text1"/>
          <w:sz w:val="16"/>
          <w:szCs w:val="16"/>
        </w:rPr>
      </w:pPr>
    </w:p>
    <w:p w14:paraId="174075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декабря 1930 г. Решением Ревво</w:t>
      </w:r>
      <w:r w:rsidRPr="00507A31">
        <w:rPr>
          <w:color w:val="000000" w:themeColor="text1"/>
          <w:sz w:val="16"/>
          <w:szCs w:val="16"/>
        </w:rPr>
        <w:softHyphen/>
        <w:t>енсовета СССР от, принятым по докладу П.И. Ба</w:t>
      </w:r>
      <w:r w:rsidRPr="00507A31">
        <w:rPr>
          <w:color w:val="000000" w:themeColor="text1"/>
          <w:sz w:val="16"/>
          <w:szCs w:val="16"/>
        </w:rPr>
        <w:softHyphen/>
        <w:t>ранова, на базе винтомоторного отдела ЦАГИ, авиационного отдела НАМИ и части конструкторского бюро завода им. М.В. Фрунзе был создан Институт авиационных моторов (НАМ), с 1932 г. - ЦИАМ. В 1933 г. ЦИАМу было присвоено имя П.И. Баранова — крупного руководителя ВВС и организатора отечественной авиационной про</w:t>
      </w:r>
      <w:r w:rsidRPr="00507A31">
        <w:rPr>
          <w:color w:val="000000" w:themeColor="text1"/>
          <w:sz w:val="16"/>
          <w:szCs w:val="16"/>
        </w:rPr>
        <w:softHyphen/>
        <w:t>мышленности (10781).</w:t>
      </w:r>
    </w:p>
    <w:p w14:paraId="1EE76DE3" w14:textId="77777777" w:rsidR="00537E5F" w:rsidRPr="00507A31" w:rsidRDefault="00537E5F" w:rsidP="00507A31">
      <w:pPr>
        <w:autoSpaceDE w:val="0"/>
        <w:autoSpaceDN w:val="0"/>
        <w:adjustRightInd w:val="0"/>
        <w:jc w:val="both"/>
        <w:rPr>
          <w:color w:val="000000" w:themeColor="text1"/>
          <w:sz w:val="16"/>
          <w:szCs w:val="16"/>
        </w:rPr>
      </w:pPr>
    </w:p>
    <w:p w14:paraId="2F6F69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авиамоторный отдел НАМИ, куда входила группа А.А.М., была передана в ЦИАМ (422,121).</w:t>
      </w:r>
    </w:p>
    <w:p w14:paraId="602FD4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Здесь же приняли решение создать в составе ЦАГИ специальный отдел по конструированию и постройке экспериментальных образцов ЛА на новых принципах (геликоптеры, параболы, амфибии, вертолеты, автожиры и т.п.) (1026,141).</w:t>
      </w:r>
    </w:p>
    <w:p w14:paraId="2603B33C" w14:textId="77777777" w:rsidR="00537E5F" w:rsidRPr="00507A31" w:rsidRDefault="00537E5F" w:rsidP="00507A31">
      <w:pPr>
        <w:autoSpaceDE w:val="0"/>
        <w:autoSpaceDN w:val="0"/>
        <w:adjustRightInd w:val="0"/>
        <w:jc w:val="both"/>
        <w:rPr>
          <w:color w:val="000000" w:themeColor="text1"/>
          <w:sz w:val="16"/>
          <w:szCs w:val="16"/>
        </w:rPr>
      </w:pPr>
    </w:p>
    <w:p w14:paraId="76FFDA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декабря 1930 - постановлением Реввоенсовета (прот. 27 - 1026,141) был образован ЦИАМ (71,243). ИАМ был образован из ОАМ ЦАГИ и части опытного отдела завода 24, который был создан в 1927-1930 путем объединения ГАЗ-2 и ГАЗ-4 (80,59).</w:t>
      </w:r>
    </w:p>
    <w:p w14:paraId="507A4B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ИАМ были отделы:</w:t>
      </w:r>
    </w:p>
    <w:p w14:paraId="7EAE99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бензиновых двигателей - В.Я.Климов;</w:t>
      </w:r>
    </w:p>
    <w:p w14:paraId="0B43D2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нефтяных двигателей - А.М.Чаромский;</w:t>
      </w:r>
    </w:p>
    <w:p w14:paraId="43E828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испытательный отдел;</w:t>
      </w:r>
    </w:p>
    <w:p w14:paraId="3C7981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опытный завод</w:t>
      </w:r>
    </w:p>
    <w:p w14:paraId="1C6E99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Начальником ИАМ был И.Э.Марьянов - зам. нач. ВМО ЦАГИ и ОАМ ЦАГИ.</w:t>
      </w:r>
    </w:p>
    <w:p w14:paraId="5A012E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Переименован в ЦИАМ в 1932 (80,59).</w:t>
      </w:r>
    </w:p>
    <w:p w14:paraId="7A4EF8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Вырос с 231 (75 инженеров) в 1930 до 2151 (292) в 1931 и 4735 (747) в 1932 (80,45).</w:t>
      </w:r>
    </w:p>
    <w:p w14:paraId="429248C2" w14:textId="77777777" w:rsidR="00537E5F" w:rsidRPr="00507A31" w:rsidRDefault="00537E5F" w:rsidP="00507A31">
      <w:pPr>
        <w:autoSpaceDE w:val="0"/>
        <w:autoSpaceDN w:val="0"/>
        <w:adjustRightInd w:val="0"/>
        <w:jc w:val="both"/>
        <w:rPr>
          <w:color w:val="000000" w:themeColor="text1"/>
          <w:sz w:val="16"/>
          <w:szCs w:val="16"/>
        </w:rPr>
      </w:pPr>
    </w:p>
    <w:p w14:paraId="00FDFF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декабря 1930 г. решением Революционного военного совета СССР был создан Институт авиационных моторов (ИАМ). Приказом Наркомата тяжелой промышленности СССР от 29 июля 1932 г. переименован в Центральный институт авиационного моторостроения (ЦИАМ). В 1933 г. институту присвоено имя П. И. Баранова, в 1945 г. - награжден орденом Ленина (12102).</w:t>
      </w:r>
    </w:p>
    <w:p w14:paraId="2B44DCCB" w14:textId="77777777" w:rsidR="00753E0E" w:rsidRPr="00507A31" w:rsidRDefault="00753E0E" w:rsidP="00507A31">
      <w:pPr>
        <w:jc w:val="both"/>
        <w:rPr>
          <w:rStyle w:val="ucoz-forum-post"/>
          <w:bCs/>
          <w:color w:val="000000" w:themeColor="text1"/>
          <w:sz w:val="16"/>
          <w:szCs w:val="16"/>
        </w:rPr>
      </w:pPr>
    </w:p>
    <w:p w14:paraId="0BD723A7" w14:textId="77777777" w:rsidR="00753E0E" w:rsidRPr="00507A31" w:rsidRDefault="00753E0E" w:rsidP="00507A31">
      <w:pPr>
        <w:jc w:val="both"/>
        <w:rPr>
          <w:color w:val="000000" w:themeColor="text1"/>
          <w:sz w:val="16"/>
          <w:szCs w:val="16"/>
        </w:rPr>
      </w:pPr>
      <w:r w:rsidRPr="00507A31">
        <w:rPr>
          <w:rStyle w:val="ucoz-forum-post"/>
          <w:bCs/>
          <w:color w:val="000000" w:themeColor="text1"/>
          <w:sz w:val="16"/>
          <w:szCs w:val="16"/>
        </w:rPr>
        <w:t xml:space="preserve">3 декабря </w:t>
      </w:r>
      <w:r w:rsidRPr="00507A31">
        <w:rPr>
          <w:color w:val="000000" w:themeColor="text1"/>
          <w:sz w:val="16"/>
          <w:szCs w:val="16"/>
        </w:rPr>
        <w:t>в 1930 году на заседании Революционного Военного Совета СССР было принято решение об объединении винтомоторного отдела ЦАГИ, к которому в сентябре 1930г. были присоединены авиационный отдел Автомобильного и автомоторного НИИ (НАМИ) и отделы опытного моторостроения авиационного завода имени М.В.Фрунзе, в единый Институт авиационных моторов (ИАМ). С 1932 года он носит название Центральный институт авиационного моторостроения (ЦИАМ). В 1933 г. ему присвоено имя П.И. Баранова - видного руководителя авиационной промышленности СССР. В 1994 году ЦИАМ получил статус Государственного научного центра Российской Федерации. ФГУП "ЦИАМ имени П.И.Баранова" - единственная в России организация, осуществляющая комплексные научные исследования и разработки в области авиадвигателестроения. В состав ЦИАМ входит Научно-испытательный центр ЦИАМ (НИЦ ЦИАМ), который представляет собой самый крупный в Европе центр для высотно-скоростных и специальных испытаний натурных полноразмерных воздушно-реактивных двигателей (14849).</w:t>
      </w:r>
    </w:p>
    <w:p w14:paraId="577F7CB8" w14:textId="77777777" w:rsidR="00753E0E" w:rsidRPr="00507A31" w:rsidRDefault="00753E0E" w:rsidP="00507A31">
      <w:pPr>
        <w:jc w:val="both"/>
        <w:rPr>
          <w:color w:val="000000" w:themeColor="text1"/>
          <w:sz w:val="16"/>
          <w:szCs w:val="16"/>
        </w:rPr>
      </w:pPr>
    </w:p>
    <w:p w14:paraId="50E08622" w14:textId="77777777" w:rsidR="007C50AE" w:rsidRPr="00507A31" w:rsidRDefault="007C50AE" w:rsidP="00507A31">
      <w:pPr>
        <w:pStyle w:val="rtejustify"/>
        <w:spacing w:before="0" w:after="0"/>
        <w:rPr>
          <w:color w:val="000000" w:themeColor="text1"/>
          <w:sz w:val="16"/>
          <w:szCs w:val="16"/>
        </w:rPr>
      </w:pPr>
      <w:r w:rsidRPr="00507A31">
        <w:rPr>
          <w:rStyle w:val="af0"/>
          <w:i w:val="0"/>
          <w:color w:val="000000" w:themeColor="text1"/>
          <w:sz w:val="16"/>
          <w:szCs w:val="16"/>
        </w:rPr>
        <w:lastRenderedPageBreak/>
        <w:t xml:space="preserve">3 декабря 1930 г. Протокол Реввоенсовета № 27. </w:t>
      </w:r>
      <w:r w:rsidRPr="00507A31">
        <w:rPr>
          <w:color w:val="000000" w:themeColor="text1"/>
          <w:sz w:val="16"/>
          <w:szCs w:val="16"/>
        </w:rPr>
        <w:t>2. Ход выполнения опытного строительства по самолетам и моторам. (Баранов П. И.). 3. Выполнение плана постройки и сдачи ВВС самолетов И</w:t>
      </w:r>
      <w:r w:rsidRPr="00507A31">
        <w:rPr>
          <w:color w:val="000000" w:themeColor="text1"/>
          <w:sz w:val="16"/>
          <w:szCs w:val="16"/>
        </w:rPr>
        <w:noBreakHyphen/>
        <w:t>5 (Урываев). 4. Перечень мероприятий, необходимых для обеспечения производства в СССР всех агрегатов и деталей к самолетам и моторам (Урываев). 5. Об эскадренной подводной лодке. (Муклевич). 6. Проект эсминца для Балтийского и Черного морей (Никитин). 13. О введении на производство 4</w:t>
      </w:r>
      <w:r w:rsidRPr="00507A31">
        <w:rPr>
          <w:color w:val="000000" w:themeColor="text1"/>
          <w:sz w:val="16"/>
          <w:szCs w:val="16"/>
        </w:rPr>
        <w:noBreakHyphen/>
        <w:t>скоростной коробки для танка МС</w:t>
      </w:r>
      <w:r w:rsidRPr="00507A31">
        <w:rPr>
          <w:color w:val="000000" w:themeColor="text1"/>
          <w:sz w:val="16"/>
          <w:szCs w:val="16"/>
        </w:rPr>
        <w:noBreakHyphen/>
        <w:t>1 (Халепский). 14. Уточненный план работ Остехбюро на 1931 г. (Баранов П. И.). (РГВА. Ф. 4. Оп. 18. Д. 19. Л. 419</w:t>
      </w:r>
      <w:r w:rsidRPr="00507A31">
        <w:rPr>
          <w:color w:val="000000" w:themeColor="text1"/>
          <w:sz w:val="16"/>
          <w:szCs w:val="16"/>
        </w:rPr>
        <w:noBreakHyphen/>
        <w:t>421, 422</w:t>
      </w:r>
      <w:r w:rsidRPr="00507A31">
        <w:rPr>
          <w:color w:val="000000" w:themeColor="text1"/>
          <w:sz w:val="16"/>
          <w:szCs w:val="16"/>
        </w:rPr>
        <w:noBreakHyphen/>
        <w:t>423) (12342).</w:t>
      </w:r>
    </w:p>
    <w:p w14:paraId="50869C12" w14:textId="77777777" w:rsidR="007C50AE" w:rsidRPr="00507A31" w:rsidRDefault="007C50AE" w:rsidP="00507A31">
      <w:pPr>
        <w:pStyle w:val="rtejustify"/>
        <w:spacing w:before="0" w:after="0"/>
        <w:rPr>
          <w:color w:val="000000" w:themeColor="text1"/>
          <w:sz w:val="16"/>
          <w:szCs w:val="16"/>
        </w:rPr>
      </w:pPr>
    </w:p>
    <w:p w14:paraId="571E30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декабря 1930 ВЫПИСКА</w:t>
      </w:r>
    </w:p>
    <w:p w14:paraId="3C3AC0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 протокола № 27 заседания РВС Союза ССР:</w:t>
      </w:r>
    </w:p>
    <w:p w14:paraId="34F269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Ход выполнения опытного строительства по самолетам и моторам. Докл. т. Баранова П.И.</w:t>
      </w:r>
    </w:p>
    <w:p w14:paraId="52C288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Для обеспечения выполненйя программы опытного моторостроения, объединить в составе ВО ВАО Ааиамоторный Отдел ЦАГИ и отдел опытного моторостроения завода № 24 ВАО - в единый Опытный Авиамоторный Институт. Для этого Института исполь</w:t>
      </w:r>
      <w:r w:rsidRPr="00507A31">
        <w:rPr>
          <w:color w:val="000000" w:themeColor="text1"/>
          <w:sz w:val="16"/>
          <w:szCs w:val="16"/>
        </w:rPr>
        <w:softHyphen/>
        <w:t>зовать- помещения, переданные НАМИ.</w:t>
      </w:r>
    </w:p>
    <w:p w14:paraId="0BF7DE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Начальнику ВАО, при составлении сметы на дооборудование и развитие Опытного Авиамоторного Института ВАО, учесть предусмотренные сметой ЦАГИ средства для пеоедаваемого авиа-моторного отдела. Начальнику ЦАГИ передать эти средства ВАО.</w:t>
      </w:r>
    </w:p>
    <w:p w14:paraId="3F2034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Оборудование опытного завояа и лабораторий Института первой очереди закончить, не позднее 1 февраля 1933.</w:t>
      </w:r>
    </w:p>
    <w:p w14:paraId="518C49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Создать в составе ЦАГИ специальный отдел по конструированию и постройке экспериментальных образцов летательных аппаратов на новых .принципах /геликоптеры, параболы, амфибии, вертолеты, авто-жиры и т. п./. В исполнительной смете ЦАГИ предусмотреть необходимые средства (351).</w:t>
      </w:r>
    </w:p>
    <w:p w14:paraId="0DF27C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A99B6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декабря 1930 г. состоялось заседание РВС СССР, на котором по докладу П.И. Баранова было принято решение объединить в составе ВАО (Всесоюзное авиационное объединение) Авиамоторный Отдел ЦАГИ и отдел опытного моторостроения завода № 24 ВАО - в единый Опытный Авиамоторный Институт.</w:t>
      </w:r>
    </w:p>
    <w:p w14:paraId="65F962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Новый институт стали называть Институт авиационного моторостроения - ИАМ. На него и возложили задачу всех научных и инженерных работ. Начальником ИАМ назначили кадрового военного специалиста ВВС РККА И.Э. Марьямова. Таким образом, именно 3 декабря 1930 г. - дату исторического заседания РВС СССР - принято считать началом официального существования того, что теперь называется ЦИАМ (11557).</w:t>
      </w:r>
    </w:p>
    <w:p w14:paraId="2B4854FC" w14:textId="77777777" w:rsidR="00537E5F" w:rsidRPr="00507A31" w:rsidRDefault="00537E5F" w:rsidP="00507A31">
      <w:pPr>
        <w:autoSpaceDE w:val="0"/>
        <w:autoSpaceDN w:val="0"/>
        <w:adjustRightInd w:val="0"/>
        <w:jc w:val="both"/>
        <w:rPr>
          <w:color w:val="000000" w:themeColor="text1"/>
          <w:sz w:val="16"/>
          <w:szCs w:val="16"/>
        </w:rPr>
      </w:pPr>
    </w:p>
    <w:p w14:paraId="10F11361" w14:textId="77777777" w:rsidR="0096514A" w:rsidRPr="00507A31" w:rsidRDefault="0096514A" w:rsidP="00507A31">
      <w:pPr>
        <w:jc w:val="both"/>
        <w:rPr>
          <w:color w:val="000000" w:themeColor="text1"/>
          <w:sz w:val="16"/>
          <w:szCs w:val="16"/>
        </w:rPr>
      </w:pPr>
      <w:r w:rsidRPr="00507A31">
        <w:rPr>
          <w:color w:val="000000" w:themeColor="text1"/>
          <w:sz w:val="16"/>
          <w:szCs w:val="16"/>
        </w:rPr>
        <w:t>3 декабря 1930 г. на заседании Революционного Военного Совета СССР было принято решение об объединении винтомоторного отдела ЦАГИ, к которому в сентябре 1930 г. были присоединены авиационный отдел Автомобильного и автомоторного НИИ (НАМИ), и отдела опытного моторостроения авиационного завода им. М.В. Фрунзе в единый Институт авиационных моторов, позднее ЦИАМ. НАМИ был реорганизован в Научный автотракторный институт, и с 1931 г. назывался НАТИ. В том же году, уже в НАТИ, прошла очередная чистка и на место A.C. Кузина был назначен молодой инженер-конструктор, который шёл «по пути квалификации» и был «лояльный политически». В 1946 г. из НАТИ была выделена автомобильная часть под историческим наименованием НАМИ, а тракторная часть продолжила существование под прежним названием. Впрочем, история снегоходов НАМИ на этом не закончилась (18640).</w:t>
      </w:r>
    </w:p>
    <w:p w14:paraId="0B811CD3" w14:textId="77777777" w:rsidR="0096514A" w:rsidRPr="00507A31" w:rsidRDefault="0096514A" w:rsidP="00507A31">
      <w:pPr>
        <w:jc w:val="both"/>
        <w:rPr>
          <w:color w:val="000000" w:themeColor="text1"/>
          <w:sz w:val="16"/>
          <w:szCs w:val="16"/>
        </w:rPr>
      </w:pPr>
    </w:p>
    <w:p w14:paraId="733B81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декабря 1930 г. состоялось заседание РВС СССР, на котором выступил П.И. Баранов с докладом "О ходе выполнения опытного строительства по самолетам и моторам". В Решении этого заседания (протокол № 27, п.2, пп.1), явившемся тем документом, который поставил точку в вопросе "Быть или не быть?", говорится: "</w:t>
      </w:r>
      <w:r w:rsidRPr="00507A31">
        <w:rPr>
          <w:iCs/>
          <w:color w:val="000000" w:themeColor="text1"/>
          <w:sz w:val="16"/>
          <w:szCs w:val="16"/>
        </w:rPr>
        <w:t>…объединить в составе ВАО Авиамоторный Отдел ЦАГИ и отдел опытного моторостроения завода № 24 ВАО - в единый Опытный Авиамоторный Институт. Для этого Института использовать помещения, переданные НАМИ. 2) … Оборудование опытного завода и лабораторий Института первой очереди должно быть закончено не позднее 1 февраля 1931 г.</w:t>
      </w:r>
      <w:r w:rsidRPr="00507A31">
        <w:rPr>
          <w:color w:val="000000" w:themeColor="text1"/>
          <w:sz w:val="16"/>
          <w:szCs w:val="16"/>
        </w:rPr>
        <w:t>". Здесь ВАО - Всесоюзное авиационное объединение - "букет" из авиационных предприятий. ОАИ - второе из наименований будущего ЦИАМ.</w:t>
      </w:r>
    </w:p>
    <w:p w14:paraId="4CD2A4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Примерно через полгода, а может и скорее, в различных документах стало фигурировать такое название - Институт авиационного моторостроения - ИАМ. Говорят, что такое название придумал и ввел в оборот уже упомянутый Б.С. Стечкин (первый "собиратель" нашего института и первый же его начальник), считая непроизносимой аббревиатуру из одних гласных. Площадку в Лефортово, вместе со всем, что уже успели построить НАМИ, передали новому институту.</w:t>
      </w:r>
    </w:p>
    <w:p w14:paraId="480213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Николай Романович Бриллинг, который начинал создавать испытательную станцию НАМИ в Лефортово, в 1930 году был вторично арестован по процессу промпартии (впрочем, не слишком надолго - 3 года двигательной "шарашки" НКВД), и от руководства НАМИ отстранён, потому его резоны против принятого решения никто во внимание не принимал. Однако, до конца своих дней в 1961 г. он, работая в МАДИ, с ЦИАМ не сотрудничал. Хотя его учёных весьма уважал. С А.А. Микулиным, так вообще приятельствовал.</w:t>
      </w:r>
    </w:p>
    <w:p w14:paraId="12B692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Стечкинское название тоже просуществовало недолго. Приказом по Народному комиссариату тяжелой промышленности № 435 от 29 июня 1932 года Институт авиационного моторостроения был переименован в Центральный институт авиационного моторостроения - ЦИАМ.</w:t>
      </w:r>
    </w:p>
    <w:p w14:paraId="010CC7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Начальником ЦИАМ назначили кадрового военного специалиста ВВС РККА И.Э. Марьямова. Таким образом, именно 3 декабря 1930 г. - дату исторического заседания РВС СССР - принято считать началом официального существования того, что теперь называется ЦИАМ (12057). </w:t>
      </w:r>
    </w:p>
    <w:p w14:paraId="625E771C" w14:textId="77777777" w:rsidR="00537E5F" w:rsidRPr="00507A31" w:rsidRDefault="00537E5F" w:rsidP="00507A31">
      <w:pPr>
        <w:autoSpaceDE w:val="0"/>
        <w:autoSpaceDN w:val="0"/>
        <w:adjustRightInd w:val="0"/>
        <w:jc w:val="both"/>
        <w:rPr>
          <w:color w:val="000000" w:themeColor="text1"/>
          <w:sz w:val="16"/>
          <w:szCs w:val="16"/>
        </w:rPr>
      </w:pPr>
    </w:p>
    <w:p w14:paraId="5D0C46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3 декабря 1930 года по 11 января 1931 года и с 2 марта 1931 года по 22 марта 1931 года в НИАПе были проведены испытания опытной партии 2-кг осколочных бомб (3326).</w:t>
      </w:r>
    </w:p>
    <w:p w14:paraId="3B075B7C" w14:textId="77777777" w:rsidR="00537E5F" w:rsidRPr="00507A31" w:rsidRDefault="00537E5F" w:rsidP="00507A31">
      <w:pPr>
        <w:autoSpaceDE w:val="0"/>
        <w:autoSpaceDN w:val="0"/>
        <w:adjustRightInd w:val="0"/>
        <w:jc w:val="both"/>
        <w:rPr>
          <w:color w:val="000000" w:themeColor="text1"/>
          <w:sz w:val="16"/>
          <w:szCs w:val="16"/>
        </w:rPr>
      </w:pPr>
    </w:p>
    <w:p w14:paraId="244D7DA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BDA9F86" w14:textId="77777777" w:rsidR="00537E5F" w:rsidRPr="00507A31" w:rsidRDefault="00537E5F" w:rsidP="00507A31">
      <w:pPr>
        <w:autoSpaceDE w:val="0"/>
        <w:autoSpaceDN w:val="0"/>
        <w:adjustRightInd w:val="0"/>
        <w:jc w:val="both"/>
        <w:rPr>
          <w:iCs/>
          <w:color w:val="000000" w:themeColor="text1"/>
          <w:sz w:val="16"/>
          <w:szCs w:val="16"/>
        </w:rPr>
      </w:pPr>
    </w:p>
    <w:p w14:paraId="1D26BD6F" w14:textId="77777777" w:rsidR="007C50AE" w:rsidRPr="00507A31" w:rsidRDefault="007C50AE" w:rsidP="00507A31">
      <w:pPr>
        <w:pStyle w:val="rtejustify"/>
        <w:spacing w:before="0" w:after="0"/>
        <w:rPr>
          <w:color w:val="000000" w:themeColor="text1"/>
          <w:sz w:val="16"/>
          <w:szCs w:val="16"/>
        </w:rPr>
      </w:pPr>
      <w:r w:rsidRPr="00507A31">
        <w:rPr>
          <w:rStyle w:val="af0"/>
          <w:i w:val="0"/>
          <w:color w:val="000000" w:themeColor="text1"/>
          <w:sz w:val="16"/>
          <w:szCs w:val="16"/>
        </w:rPr>
        <w:t xml:space="preserve">3 декабря 1930 г. Протокол Реввоенсовета № 27. </w:t>
      </w:r>
      <w:r w:rsidRPr="00507A31">
        <w:rPr>
          <w:color w:val="000000" w:themeColor="text1"/>
          <w:sz w:val="16"/>
          <w:szCs w:val="16"/>
        </w:rPr>
        <w:t>2. Ход выполнения опытного строительства по самолетам и моторам. (Баранов П. И.). 3. Выполнение плана постройки и сдачи ВВС самолетов И</w:t>
      </w:r>
      <w:r w:rsidRPr="00507A31">
        <w:rPr>
          <w:color w:val="000000" w:themeColor="text1"/>
          <w:sz w:val="16"/>
          <w:szCs w:val="16"/>
        </w:rPr>
        <w:noBreakHyphen/>
        <w:t>5 (Урываев). 4. Перечень мероприятий, необходимых для обеспечения производства в СССР всех агрегатов и деталей к самолетам и моторам (Урываев). 5. Об эскадренной подводной лодке. (Муклевич). 6. Проект эсминца для Балтийского и Черного морей (Никитин). 13. О введении на производство 4</w:t>
      </w:r>
      <w:r w:rsidRPr="00507A31">
        <w:rPr>
          <w:color w:val="000000" w:themeColor="text1"/>
          <w:sz w:val="16"/>
          <w:szCs w:val="16"/>
        </w:rPr>
        <w:noBreakHyphen/>
        <w:t>скоростной коробки для танка МС</w:t>
      </w:r>
      <w:r w:rsidRPr="00507A31">
        <w:rPr>
          <w:color w:val="000000" w:themeColor="text1"/>
          <w:sz w:val="16"/>
          <w:szCs w:val="16"/>
        </w:rPr>
        <w:noBreakHyphen/>
        <w:t>1 (Халепский). 14. Уточненный план работ Остехбюро на 1931 г. (Баранов П. И.). (РГВА. Ф. 4. Оп. 18. Д. 19. Л. 419</w:t>
      </w:r>
      <w:r w:rsidRPr="00507A31">
        <w:rPr>
          <w:color w:val="000000" w:themeColor="text1"/>
          <w:sz w:val="16"/>
          <w:szCs w:val="16"/>
        </w:rPr>
        <w:noBreakHyphen/>
        <w:t>421, 422</w:t>
      </w:r>
      <w:r w:rsidRPr="00507A31">
        <w:rPr>
          <w:color w:val="000000" w:themeColor="text1"/>
          <w:sz w:val="16"/>
          <w:szCs w:val="16"/>
        </w:rPr>
        <w:noBreakHyphen/>
        <w:t>423) (12342).</w:t>
      </w:r>
    </w:p>
    <w:p w14:paraId="723E186C" w14:textId="77777777" w:rsidR="007C50AE" w:rsidRPr="00507A31" w:rsidRDefault="007C50AE" w:rsidP="00507A31">
      <w:pPr>
        <w:pStyle w:val="rtejustify"/>
        <w:spacing w:before="0" w:after="0"/>
        <w:rPr>
          <w:color w:val="000000" w:themeColor="text1"/>
          <w:sz w:val="16"/>
          <w:szCs w:val="16"/>
        </w:rPr>
      </w:pPr>
    </w:p>
    <w:p w14:paraId="533BE3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декабря 1930 г. все основные характеристики нового английского танка “Виккерс 16-тонный” были известны со</w:t>
      </w:r>
      <w:r w:rsidRPr="00507A31">
        <w:rPr>
          <w:color w:val="000000" w:themeColor="text1"/>
          <w:sz w:val="16"/>
          <w:szCs w:val="16"/>
        </w:rPr>
        <w:softHyphen/>
        <w:t>ветской стороне:</w:t>
      </w:r>
    </w:p>
    <w:p w14:paraId="3BA36B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доклад зампреду 6/ХП</w:t>
      </w:r>
    </w:p>
    <w:p w14:paraId="075D82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ПРЕДСЕДАТЕЛЮ НТК УММ</w:t>
      </w:r>
    </w:p>
    <w:p w14:paraId="297587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результате проведенных мною разговоров с английски</w:t>
      </w:r>
      <w:r w:rsidRPr="00507A31">
        <w:rPr>
          <w:color w:val="000000" w:themeColor="text1"/>
          <w:sz w:val="16"/>
          <w:szCs w:val="16"/>
        </w:rPr>
        <w:softHyphen/>
        <w:t>ми инструкторами, последними мне были сообщены следую</w:t>
      </w:r>
      <w:r w:rsidRPr="00507A31">
        <w:rPr>
          <w:color w:val="000000" w:themeColor="text1"/>
          <w:sz w:val="16"/>
          <w:szCs w:val="16"/>
        </w:rPr>
        <w:softHyphen/>
        <w:t>щие сведения о 16-ти тонном танке Виккерса</w:t>
      </w:r>
    </w:p>
    <w:p w14:paraId="1CD2C6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Танк уже испытан и признан лучшим образцом английских танков.</w:t>
      </w:r>
    </w:p>
    <w:p w14:paraId="5D212F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Общие размеры танка примерно равны размерам 12-ти тонного танка Виккерса марка П.</w:t>
      </w:r>
    </w:p>
    <w:p w14:paraId="5D185A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Максимальная скорость движения 35 клм в час.</w:t>
      </w:r>
    </w:p>
    <w:p w14:paraId="0A64FA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Бронирование: башня и вертикальные листы боевого отде</w:t>
      </w:r>
      <w:r w:rsidRPr="00507A31">
        <w:rPr>
          <w:color w:val="000000" w:themeColor="text1"/>
          <w:sz w:val="16"/>
          <w:szCs w:val="16"/>
        </w:rPr>
        <w:softHyphen/>
        <w:t>ления 17-18 мм.</w:t>
      </w:r>
    </w:p>
    <w:p w14:paraId="5EDFA1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Вооружение: в центральной башне — одна «большая» в боко</w:t>
      </w:r>
      <w:r w:rsidRPr="00507A31">
        <w:rPr>
          <w:color w:val="000000" w:themeColor="text1"/>
          <w:sz w:val="16"/>
          <w:szCs w:val="16"/>
        </w:rPr>
        <w:softHyphen/>
        <w:t>вых передних башенках — по 1 пулемету. Итого одна пушка и 2 пулемета.</w:t>
      </w:r>
    </w:p>
    <w:p w14:paraId="443E4C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Команда: 2 офицера/или один/, 2 артимерийста, 2 пуле</w:t>
      </w:r>
      <w:r w:rsidRPr="00507A31">
        <w:rPr>
          <w:color w:val="000000" w:themeColor="text1"/>
          <w:sz w:val="16"/>
          <w:szCs w:val="16"/>
        </w:rPr>
        <w:softHyphen/>
        <w:t>метчика, 1 водитель.</w:t>
      </w:r>
    </w:p>
    <w:p w14:paraId="24F730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Мотор воздушного охлаждения в 180 НР имеет пуск от инерционного стратера и от электростартера (последний — запасной) Пуск производится изнутри танка. Доступность к мотору хорошая.</w:t>
      </w:r>
    </w:p>
    <w:p w14:paraId="3A0BE8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Подвеска на каждую строну имеет по 7свечей с пружина</w:t>
      </w:r>
      <w:r w:rsidRPr="00507A31">
        <w:rPr>
          <w:color w:val="000000" w:themeColor="text1"/>
          <w:sz w:val="16"/>
          <w:szCs w:val="16"/>
        </w:rPr>
        <w:softHyphen/>
        <w:t>ми. Каждая свеча опирается на один свой каток. Катки при</w:t>
      </w:r>
      <w:r w:rsidRPr="00507A31">
        <w:rPr>
          <w:color w:val="000000" w:themeColor="text1"/>
          <w:sz w:val="16"/>
          <w:szCs w:val="16"/>
        </w:rPr>
        <w:softHyphen/>
        <w:t>мерно устройства шеститонного. Подвеска сообщает на хо</w:t>
      </w:r>
      <w:r w:rsidRPr="00507A31">
        <w:rPr>
          <w:color w:val="000000" w:themeColor="text1"/>
          <w:sz w:val="16"/>
          <w:szCs w:val="16"/>
        </w:rPr>
        <w:softHyphen/>
        <w:t>ду танка устойчивость не хуже чем у шеститонного танка.</w:t>
      </w:r>
    </w:p>
    <w:p w14:paraId="75E82B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ведущие колеса задние.</w:t>
      </w:r>
    </w:p>
    <w:p w14:paraId="66D2E9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Гусеница мелко-звенчатая со с»емными привинтными шпорами. Ведение и направление гусеницы подобно шеститон</w:t>
      </w:r>
      <w:r w:rsidRPr="00507A31">
        <w:rPr>
          <w:color w:val="000000" w:themeColor="text1"/>
          <w:sz w:val="16"/>
          <w:szCs w:val="16"/>
        </w:rPr>
        <w:softHyphen/>
        <w:t>ному танку.- 11. Центральная башня имеет оптический прицел и оптичес</w:t>
      </w:r>
      <w:r w:rsidRPr="00507A31">
        <w:rPr>
          <w:color w:val="000000" w:themeColor="text1"/>
          <w:sz w:val="16"/>
          <w:szCs w:val="16"/>
        </w:rPr>
        <w:softHyphen/>
        <w:t>кое наблюдение.</w:t>
      </w:r>
    </w:p>
    <w:p w14:paraId="4463A8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Место у водителя впереди по середине обеспечивает хоро</w:t>
      </w:r>
      <w:r w:rsidRPr="00507A31">
        <w:rPr>
          <w:color w:val="000000" w:themeColor="text1"/>
          <w:sz w:val="16"/>
          <w:szCs w:val="16"/>
        </w:rPr>
        <w:softHyphen/>
        <w:t>шую видимость для управления.</w:t>
      </w:r>
    </w:p>
    <w:p w14:paraId="3E42D8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Трансмиссия — коробка скоростей и бортовые фрикционы. Коробка скоростей двух типов: оригинальная/запатентован</w:t>
      </w:r>
      <w:r w:rsidRPr="00507A31">
        <w:rPr>
          <w:color w:val="000000" w:themeColor="text1"/>
          <w:sz w:val="16"/>
          <w:szCs w:val="16"/>
        </w:rPr>
        <w:softHyphen/>
        <w:t>ная/и нормального типа.</w:t>
      </w:r>
    </w:p>
    <w:p w14:paraId="258664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Радиус действия тот же, что и у шеститонного танка.</w:t>
      </w:r>
    </w:p>
    <w:p w14:paraId="2FD920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ПРИМЕЧАНИЕ: Сведения получены только после того, что переводчик заявил, что мы уже купили этот танк и ожидаем его получения.</w:t>
      </w:r>
    </w:p>
    <w:p w14:paraId="37C82A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Сведения дали: инженер механик-моторист старший мастер и водитель, проводившие испытания этой машины.</w:t>
      </w:r>
    </w:p>
    <w:p w14:paraId="150F6D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Сведения о машине до сих пор засекречены.</w:t>
      </w:r>
    </w:p>
    <w:p w14:paraId="0BF487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ПРИЛОЖЕНИЕ: схема плана и бокового вида танка.</w:t>
      </w:r>
    </w:p>
    <w:p w14:paraId="3EFE0E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Ы В О Д: Присоединяясь к выводу указанных выше ин</w:t>
      </w:r>
      <w:r w:rsidRPr="00507A31">
        <w:rPr>
          <w:color w:val="000000" w:themeColor="text1"/>
          <w:sz w:val="16"/>
          <w:szCs w:val="16"/>
        </w:rPr>
        <w:softHyphen/>
        <w:t>структоров, что эта машина является лучшим образцом ан</w:t>
      </w:r>
      <w:r w:rsidRPr="00507A31">
        <w:rPr>
          <w:color w:val="000000" w:themeColor="text1"/>
          <w:sz w:val="16"/>
          <w:szCs w:val="16"/>
        </w:rPr>
        <w:softHyphen/>
        <w:t>глийских танков, считаю, что эта машина представляет максимальный интерес Красной Армии как лучший современ</w:t>
      </w:r>
      <w:r w:rsidRPr="00507A31">
        <w:rPr>
          <w:color w:val="000000" w:themeColor="text1"/>
          <w:sz w:val="16"/>
          <w:szCs w:val="16"/>
        </w:rPr>
        <w:softHyphen/>
        <w:t>ный тип маневренного среднего танка.</w:t>
      </w:r>
    </w:p>
    <w:p w14:paraId="338564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Вследствие этого покупка этой машины представляет бесценный интерес. Эта машина в настоящее или ближайшее время выйдет а армейские части и следовательно секрет</w:t>
      </w:r>
      <w:r w:rsidRPr="00507A31">
        <w:rPr>
          <w:color w:val="000000" w:themeColor="text1"/>
          <w:sz w:val="16"/>
          <w:szCs w:val="16"/>
        </w:rPr>
        <w:softHyphen/>
        <w:t>ность с нея будет снята.</w:t>
      </w:r>
    </w:p>
    <w:p w14:paraId="1F61ED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Нач-к Испыт. группы: /ГИНЗБУРГ/ (10733,134).</w:t>
      </w:r>
    </w:p>
    <w:p w14:paraId="0AE3A2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9EC44FD" w14:textId="77777777" w:rsidR="007C50AE" w:rsidRPr="00507A31" w:rsidRDefault="007C50AE" w:rsidP="00507A31">
      <w:pPr>
        <w:jc w:val="both"/>
        <w:rPr>
          <w:color w:val="000000" w:themeColor="text1"/>
          <w:sz w:val="16"/>
          <w:szCs w:val="16"/>
        </w:rPr>
      </w:pPr>
      <w:r w:rsidRPr="00507A31">
        <w:rPr>
          <w:color w:val="000000" w:themeColor="text1"/>
          <w:sz w:val="16"/>
          <w:szCs w:val="16"/>
        </w:rPr>
        <w:t xml:space="preserve">3 декабря 1930 г. — Письмо наркома по военным и морским делам СССР и председателя Реввоенсовета СССР К. Е. Ворошилова председателю ВСНХ СССР С. </w:t>
      </w:r>
    </w:p>
    <w:p w14:paraId="581F810A" w14:textId="77777777" w:rsidR="007C50AE" w:rsidRPr="00507A31" w:rsidRDefault="007C50AE"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4BA64263"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18 ноября я знакомился с ходом работ по танкостроению на заводах «Большевик» и Ижорском. На «Большевике» выполнение заказа идет в общем удовлетворительно, остается лишь подтянуть завод по отдельным вопросам (предложения см. ниже). Положение же на Ижорском заводе внушает большую тревогу за выполнение заказов особого квартала и 1931 г. тем более, что от Ижорского завода зависит выполнение программы на «Большевике» (должен дать в 1931 г. «Большевику» 300</w:t>
      </w:r>
      <w:r w:rsidRPr="00507A31">
        <w:rPr>
          <w:color w:val="000000" w:themeColor="text1"/>
          <w:sz w:val="16"/>
          <w:szCs w:val="16"/>
        </w:rPr>
        <w:noBreakHyphen/>
        <w:t>360 бронекорпусов для Т</w:t>
      </w:r>
      <w:r w:rsidRPr="00507A31">
        <w:rPr>
          <w:color w:val="000000" w:themeColor="text1"/>
          <w:sz w:val="16"/>
          <w:szCs w:val="16"/>
        </w:rPr>
        <w:noBreakHyphen/>
        <w:t>20).</w:t>
      </w:r>
    </w:p>
    <w:p w14:paraId="444D9D11"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Ижорский завод имеет задания на особый квартал: Т</w:t>
      </w:r>
      <w:r w:rsidRPr="00507A31">
        <w:rPr>
          <w:color w:val="000000" w:themeColor="text1"/>
          <w:sz w:val="16"/>
          <w:szCs w:val="16"/>
        </w:rPr>
        <w:noBreakHyphen/>
        <w:t>24 — 15 шт. Машинообъединение и заводоуправление эту заявку опротестовало и берется дать 10 шт. При существующем положении завод, очевидно, не выполнит и 10 машин (это прямо заявил техдиректор завода). На 18 ноября в сборке было только 2 танка; Т-18 — 90 корпусов (+10 недодела). Пока не было сдано ни одного корпуса, заводоуправление обещало сдать к 1 декабря 52 танка, остальные плюс недодел также выполнить к 1 января 1931 г., но никаких гарантий, что это будет выполнено, нет. Корпусов для автобронемашин — 65, сдано в октябре 7. На 1931 г. программа Ижорского завода: корпуса для танков Т</w:t>
      </w:r>
      <w:r w:rsidRPr="00507A31">
        <w:rPr>
          <w:color w:val="000000" w:themeColor="text1"/>
          <w:sz w:val="16"/>
          <w:szCs w:val="16"/>
        </w:rPr>
        <w:noBreakHyphen/>
        <w:t>20, Т</w:t>
      </w:r>
      <w:r w:rsidRPr="00507A31">
        <w:rPr>
          <w:color w:val="000000" w:themeColor="text1"/>
          <w:sz w:val="16"/>
          <w:szCs w:val="16"/>
        </w:rPr>
        <w:noBreakHyphen/>
        <w:t>24 и танкеток — 1050 шт.; бронирование шестиколесных автомобилей, БА</w:t>
      </w:r>
      <w:r w:rsidRPr="00507A31">
        <w:rPr>
          <w:color w:val="000000" w:themeColor="text1"/>
          <w:sz w:val="16"/>
          <w:szCs w:val="16"/>
        </w:rPr>
        <w:noBreakHyphen/>
        <w:t>27 и АА — 150 шт.; брони 8</w:t>
      </w:r>
      <w:r w:rsidRPr="00507A31">
        <w:rPr>
          <w:color w:val="000000" w:themeColor="text1"/>
          <w:sz w:val="16"/>
          <w:szCs w:val="16"/>
        </w:rPr>
        <w:noBreakHyphen/>
        <w:t>10 мм — 391 т. В общей сумме потребность брони на 1931 г. — 3,5 тыс. т.</w:t>
      </w:r>
    </w:p>
    <w:p w14:paraId="708F6B7E"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Обеспечение этой программы, от выполнения которой в огромной степени зависит весь план механизации РККА, помимо некоторого дополнительного оборудования (о чем ниже), требует, чтобы завод в течение особого квартала коренным образом перестроил всю свою работу. Между тем обстановка на заводе совершенно неудовлетворительна. 18 ноября в моем присутствии состоялось импровизированное совещание по вопросам выполнения военных заказов руководящей административной, технической, партийной и профсоюзной головки, в котором участвовала также комиссия Ленобкома, обследующая завод, работники, военные и ГПУ. На совещании, представлявшем собою форменную потасовку между различными работниками, где каждый стремился прежде всего свалить ответственность с себя, выяснилась безобразнейшая картина, говорящая о том, что завод тяжело болен, что указания, неоднократно даваемые заводу, в частности постановление Ленобкома от 9 октября, не выполнены:</w:t>
      </w:r>
    </w:p>
    <w:p w14:paraId="491BA434"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 xml:space="preserve">1. Руководящая головка завода не сумела сработаться. Поддержки директору </w:t>
      </w:r>
      <w:r w:rsidRPr="00507A31">
        <w:rPr>
          <w:rStyle w:val="af0"/>
          <w:i w:val="0"/>
          <w:color w:val="000000" w:themeColor="text1"/>
          <w:sz w:val="16"/>
          <w:szCs w:val="16"/>
        </w:rPr>
        <w:t xml:space="preserve">со </w:t>
      </w:r>
      <w:r w:rsidRPr="00507A31">
        <w:rPr>
          <w:color w:val="000000" w:themeColor="text1"/>
          <w:sz w:val="16"/>
          <w:szCs w:val="16"/>
        </w:rPr>
        <w:t>стороны парт[ийной] и профорганизаций нет.</w:t>
      </w:r>
    </w:p>
    <w:p w14:paraId="44773A3A"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 xml:space="preserve">2. Директор Богомолов мягкотел, время его уходит на бесконечные совещания и дрязги, в цеха не спускается, соответствующих помощников фактически нет, единоначалие и авторитет директора отсутствует. Сам Богомолов только и мечтает удрать </w:t>
      </w:r>
      <w:r w:rsidRPr="00507A31">
        <w:rPr>
          <w:rStyle w:val="af0"/>
          <w:i w:val="0"/>
          <w:color w:val="000000" w:themeColor="text1"/>
          <w:sz w:val="16"/>
          <w:szCs w:val="16"/>
        </w:rPr>
        <w:t xml:space="preserve">с </w:t>
      </w:r>
      <w:r w:rsidRPr="00507A31">
        <w:rPr>
          <w:color w:val="000000" w:themeColor="text1"/>
          <w:sz w:val="16"/>
          <w:szCs w:val="16"/>
        </w:rPr>
        <w:t>завода (чего сейчас допускать не следует, нужно заставить его по-настоящему взяться за дело).</w:t>
      </w:r>
    </w:p>
    <w:p w14:paraId="2D01AD05"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3. Технический директор Власов (по данным ГПУ, сознавшийся вредитель) перепуган и просто жалок, делу не помогает. Зав. механической [мастерской] № 2 (где выполняются военные заказы) арестован, временно исполняющий эти обязанности инженер Лосицкий беспомощен и так же жалок, как и технический директор. Руководства цехом и в самом цеху нет.</w:t>
      </w:r>
    </w:p>
    <w:p w14:paraId="34576C83"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4. В общем, царит полнейшая безответственность. Почти все выступавшие, в том числе и ряд работников завода, заявляли, что на заводе «сверху донизу не ясно, кто за что отвечает», «никто на заводе не знает, будет выполнена программа или нет».</w:t>
      </w:r>
    </w:p>
    <w:p w14:paraId="18EAB34F"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5. Организованности технологических процессов нет. Планирование отсутствует, все хотят взять напором. Простои оборудования из-за отсутствия организации производственных процессов огромные, материалы вовремя не подаются, что еще больше развинчивает рабочих, и без того весьма слабо дисциплинированных. Переплачиваются огромные деньги за фактически не сделанную работу, платят за брак, за одну и ту же работу получают разные рабочие.</w:t>
      </w:r>
    </w:p>
    <w:p w14:paraId="7EEDAFBE"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6. Невыходы на работу огромны. Вторая смена работает еле-еле (85 чел. против 685 в первой), третья смена подчас вовсе срывается из-за не прихода рабочих. Рабочие приходят работать в ту смену, в которую им сегодня удобнее, хотя числятся в другой смене. Администрация и парторганизации реагируют на это только на бумаге. В механической мастерской] № 2 дело хуже, чем во всем заводе.</w:t>
      </w:r>
    </w:p>
    <w:p w14:paraId="7F7C0840"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7. Брак чудовищный — последний раз запороли 60 танковых башен.</w:t>
      </w:r>
    </w:p>
    <w:p w14:paraId="545585BF"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8. Постройка нового цеха идет самотеком, планирования и руководства строительством нет.</w:t>
      </w:r>
    </w:p>
    <w:p w14:paraId="6FF8CC05"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9. Парторганизация, по-видимому, очень слаба, пассивна, руководство казенное, бюрократическое, выносят кучи всяких постановлений, но за выполнением следить не умеют. Отсталые настроения рабочих, рвачество, прогулы, даже прямые хулигански контрреволюционные выступления отсталой части рабочих (открытая ругань матом на собрании по адресу обращения ЦК) отпора не встречают.</w:t>
      </w:r>
    </w:p>
    <w:p w14:paraId="36B7E1A4"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10. Назначенные постановлением Ленобкома на подкрепление завода новые техн[ические] и административные работники не прибывают — Судотрест, «Русский дизель» и ЛСНХ не выполняют имеющихся на сей счет постановлений. Зато на заводе непрерывно работают всевозможные комиссии (Машинообъединения, союза металлистов, райкома, обкома и др.), которые отрывают работников от дела и нервируют их.</w:t>
      </w:r>
    </w:p>
    <w:p w14:paraId="475813F0"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В общем, вся сумма обстановки на заводе требует немедленного вмешательства и помощи в целях обеспечения реализации поставленной заводу программы особого квартала и 1931 г. Все основания говорят за то, что завод имеет внутри себя громадные возможности, чтобы справиться с поставленными ему задачами.</w:t>
      </w:r>
    </w:p>
    <w:p w14:paraId="1901C358"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Для обеспечения бронетанковой программы особого квартала и 1931 г. считаю необходимым:</w:t>
      </w:r>
    </w:p>
    <w:p w14:paraId="73AFC2AF" w14:textId="77777777" w:rsidR="007C50AE" w:rsidRPr="00507A31" w:rsidRDefault="007C50AE" w:rsidP="00507A31">
      <w:pPr>
        <w:pStyle w:val="rtejustify"/>
        <w:spacing w:before="0" w:after="0"/>
        <w:rPr>
          <w:color w:val="000000" w:themeColor="text1"/>
          <w:sz w:val="16"/>
          <w:szCs w:val="16"/>
        </w:rPr>
      </w:pPr>
      <w:r w:rsidRPr="00507A31">
        <w:rPr>
          <w:rStyle w:val="af0"/>
          <w:i w:val="0"/>
          <w:color w:val="000000" w:themeColor="text1"/>
          <w:sz w:val="16"/>
          <w:szCs w:val="16"/>
        </w:rPr>
        <w:t>По заводу «Большевик»:</w:t>
      </w:r>
      <w:r w:rsidRPr="00507A31">
        <w:rPr>
          <w:color w:val="000000" w:themeColor="text1"/>
          <w:sz w:val="16"/>
          <w:szCs w:val="16"/>
        </w:rPr>
        <w:t xml:space="preserve"> а) форсировать изготовление опытного образца Т</w:t>
      </w:r>
      <w:r w:rsidRPr="00507A31">
        <w:rPr>
          <w:color w:val="000000" w:themeColor="text1"/>
          <w:sz w:val="16"/>
          <w:szCs w:val="16"/>
        </w:rPr>
        <w:noBreakHyphen/>
        <w:t>20 с таким расчетом, чтобы 1 декабря танк поступил на войсковое испытание; б) форсировать технический процесс производства по модели Т</w:t>
      </w:r>
      <w:r w:rsidRPr="00507A31">
        <w:rPr>
          <w:color w:val="000000" w:themeColor="text1"/>
          <w:sz w:val="16"/>
          <w:szCs w:val="16"/>
        </w:rPr>
        <w:noBreakHyphen/>
        <w:t>20 с тем, чтобы в установленный срок (апрель 1931 г.) начать производство этих машин; в) во что бы то ни стало закончить первый образец Т</w:t>
      </w:r>
      <w:r w:rsidRPr="00507A31">
        <w:rPr>
          <w:color w:val="000000" w:themeColor="text1"/>
          <w:sz w:val="16"/>
          <w:szCs w:val="16"/>
        </w:rPr>
        <w:noBreakHyphen/>
        <w:t>19 к 1 января 1931 г.; г) заводу «Большевик» взять на буксир Ижорский завод в целях полного выполнения последним своих заданий.</w:t>
      </w:r>
    </w:p>
    <w:p w14:paraId="38CCAADC" w14:textId="77777777" w:rsidR="007C50AE" w:rsidRPr="00507A31" w:rsidRDefault="007C50AE" w:rsidP="00507A31">
      <w:pPr>
        <w:pStyle w:val="rtejustify"/>
        <w:spacing w:before="0" w:after="0"/>
        <w:rPr>
          <w:color w:val="000000" w:themeColor="text1"/>
          <w:sz w:val="16"/>
          <w:szCs w:val="16"/>
        </w:rPr>
      </w:pPr>
      <w:r w:rsidRPr="00507A31">
        <w:rPr>
          <w:rStyle w:val="af0"/>
          <w:i w:val="0"/>
          <w:color w:val="000000" w:themeColor="text1"/>
          <w:sz w:val="16"/>
          <w:szCs w:val="16"/>
        </w:rPr>
        <w:t>По Ижорскому заводу:</w:t>
      </w:r>
      <w:r w:rsidRPr="00507A31">
        <w:rPr>
          <w:color w:val="000000" w:themeColor="text1"/>
          <w:sz w:val="16"/>
          <w:szCs w:val="16"/>
        </w:rPr>
        <w:t xml:space="preserve"> а) во что бы то ни стало обеспечить выполнение программы как особого квартала, так и предстоящего 1931 г.; б) немедленно приступить к реконструкции бронетанкового цеха завода (2</w:t>
      </w:r>
      <w:r w:rsidRPr="00507A31">
        <w:rPr>
          <w:color w:val="000000" w:themeColor="text1"/>
          <w:sz w:val="16"/>
          <w:szCs w:val="16"/>
        </w:rPr>
        <w:noBreakHyphen/>
        <w:t>я механич[еская] мастерская); в) форсировать начатую постройку дополнительного бронетанкового цеха (6</w:t>
      </w:r>
      <w:r w:rsidRPr="00507A31">
        <w:rPr>
          <w:color w:val="000000" w:themeColor="text1"/>
          <w:sz w:val="16"/>
          <w:szCs w:val="16"/>
        </w:rPr>
        <w:noBreakHyphen/>
        <w:t>я механическая [мастерская]), обеспечив его своевременно надлежащим оборудованием. Новый цех должен быть построен с таким расчетом, чтобы пустить термические печи с 1 апреля, а остальную часть с 1 марта 1931 г.</w:t>
      </w:r>
    </w:p>
    <w:p w14:paraId="1EC39A5B"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Я полагаю, что ВСНХ должен взять завод на ближайшее время под свое особое наблюдение. Возможно, было бы полезно послать на завод одного из членов През[идиума] ВСНХ, не для того чтобы начинать новую инспекцию, а чтобы на месте помочь директору создать на заводе нормальную производственную обстановку и через Ленобком провести необходимые мероприятия по оздоровлению и усилению работы парт[ийных] и профорганизаций завода.</w:t>
      </w:r>
    </w:p>
    <w:p w14:paraId="51056621" w14:textId="77777777" w:rsidR="007C50AE" w:rsidRPr="00507A31" w:rsidRDefault="007C50AE" w:rsidP="00507A31">
      <w:pPr>
        <w:pStyle w:val="rtejustify"/>
        <w:spacing w:before="0" w:after="0"/>
        <w:rPr>
          <w:color w:val="000000" w:themeColor="text1"/>
          <w:sz w:val="16"/>
          <w:szCs w:val="16"/>
        </w:rPr>
      </w:pPr>
      <w:r w:rsidRPr="00507A31">
        <w:rPr>
          <w:color w:val="000000" w:themeColor="text1"/>
          <w:sz w:val="16"/>
          <w:szCs w:val="16"/>
        </w:rPr>
        <w:t>Прошу не отказать сообщить мне Ваше решение по этим вопросам.</w:t>
      </w:r>
    </w:p>
    <w:p w14:paraId="572BEE5B" w14:textId="77777777" w:rsidR="007C50AE" w:rsidRPr="00507A31" w:rsidRDefault="007C50AE"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Народный комиссар по военным и морским делам и председатель РВС СССР </w:t>
      </w:r>
      <w:hyperlink r:id="rId172" w:history="1">
        <w:r w:rsidRPr="00507A31">
          <w:rPr>
            <w:rStyle w:val="af0"/>
            <w:i w:val="0"/>
            <w:color w:val="000000" w:themeColor="text1"/>
            <w:sz w:val="16"/>
            <w:szCs w:val="16"/>
          </w:rPr>
          <w:t>К. Е. Ворошилов</w:t>
        </w:r>
      </w:hyperlink>
    </w:p>
    <w:p w14:paraId="4B640840" w14:textId="77777777" w:rsidR="007C50AE" w:rsidRPr="00507A31" w:rsidRDefault="007C50AE" w:rsidP="00507A31">
      <w:pPr>
        <w:pStyle w:val="ae"/>
        <w:spacing w:before="0" w:after="0"/>
        <w:jc w:val="both"/>
        <w:rPr>
          <w:color w:val="000000" w:themeColor="text1"/>
          <w:sz w:val="16"/>
          <w:szCs w:val="16"/>
        </w:rPr>
      </w:pPr>
      <w:r w:rsidRPr="00507A31">
        <w:rPr>
          <w:color w:val="000000" w:themeColor="text1"/>
          <w:sz w:val="16"/>
          <w:szCs w:val="16"/>
        </w:rPr>
        <w:t>РГВА. Ф. 31811. Оп. 1. Д. 245. Л. 241—245. Заверенная копия.</w:t>
      </w:r>
    </w:p>
    <w:p w14:paraId="579D6E5E" w14:textId="77777777" w:rsidR="007C50AE" w:rsidRPr="00507A31" w:rsidRDefault="007C50AE" w:rsidP="00507A31">
      <w:pPr>
        <w:jc w:val="both"/>
        <w:rPr>
          <w:color w:val="000000" w:themeColor="text1"/>
          <w:sz w:val="16"/>
          <w:szCs w:val="16"/>
        </w:rPr>
      </w:pPr>
      <w:r w:rsidRPr="00507A31">
        <w:rPr>
          <w:color w:val="000000" w:themeColor="text1"/>
          <w:sz w:val="16"/>
          <w:szCs w:val="16"/>
        </w:rPr>
        <w:t>Орджоникидзе о выполнении танкостроительной программы на заводах «Большевик» и Ижорском</w:t>
      </w:r>
    </w:p>
    <w:p w14:paraId="4D9FF44C" w14:textId="77777777" w:rsidR="007C50AE" w:rsidRPr="00507A31" w:rsidRDefault="007C50AE" w:rsidP="00507A31">
      <w:pPr>
        <w:jc w:val="both"/>
        <w:rPr>
          <w:color w:val="000000" w:themeColor="text1"/>
          <w:sz w:val="16"/>
          <w:szCs w:val="16"/>
        </w:rPr>
      </w:pPr>
      <w:r w:rsidRPr="00507A31">
        <w:rPr>
          <w:color w:val="000000" w:themeColor="text1"/>
          <w:sz w:val="16"/>
          <w:szCs w:val="16"/>
        </w:rPr>
        <w:t xml:space="preserve">Источник: Становление оборонно-промышленного комплекса СССР (1927-1932). М. 2008, стр. 508-510. </w:t>
      </w:r>
    </w:p>
    <w:p w14:paraId="0C6BF3E2" w14:textId="77777777" w:rsidR="007C50AE" w:rsidRPr="00507A31" w:rsidRDefault="007C50AE" w:rsidP="00507A31">
      <w:pPr>
        <w:jc w:val="both"/>
        <w:rPr>
          <w:color w:val="000000" w:themeColor="text1"/>
          <w:sz w:val="16"/>
          <w:szCs w:val="16"/>
        </w:rPr>
      </w:pPr>
      <w:r w:rsidRPr="00507A31">
        <w:rPr>
          <w:color w:val="000000" w:themeColor="text1"/>
          <w:sz w:val="16"/>
          <w:szCs w:val="16"/>
        </w:rPr>
        <w:t>Архив: РГВА. Ф. 31811. Оп. 1. Д. 245. Л. 241—245. Заверенная копия (12519).</w:t>
      </w:r>
    </w:p>
    <w:p w14:paraId="2477EAA3" w14:textId="77777777" w:rsidR="007C50AE" w:rsidRPr="00507A31" w:rsidRDefault="007C50AE" w:rsidP="00507A31">
      <w:pPr>
        <w:jc w:val="both"/>
        <w:rPr>
          <w:color w:val="000000" w:themeColor="text1"/>
          <w:sz w:val="16"/>
          <w:szCs w:val="16"/>
        </w:rPr>
      </w:pPr>
    </w:p>
    <w:p w14:paraId="27713846" w14:textId="77777777" w:rsidR="00722106" w:rsidRPr="00507A31" w:rsidRDefault="00722106"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D888CBA" w14:textId="77777777" w:rsidR="00722106" w:rsidRPr="00507A31" w:rsidRDefault="00722106" w:rsidP="00507A31">
      <w:pPr>
        <w:autoSpaceDE w:val="0"/>
        <w:autoSpaceDN w:val="0"/>
        <w:adjustRightInd w:val="0"/>
        <w:jc w:val="both"/>
        <w:rPr>
          <w:iCs/>
          <w:color w:val="000000" w:themeColor="text1"/>
          <w:sz w:val="16"/>
          <w:szCs w:val="16"/>
        </w:rPr>
      </w:pPr>
    </w:p>
    <w:p w14:paraId="3A8B975C" w14:textId="77777777" w:rsidR="00722106" w:rsidRPr="00507A31" w:rsidRDefault="00722106" w:rsidP="00507A31">
      <w:pPr>
        <w:jc w:val="both"/>
        <w:rPr>
          <w:bCs/>
          <w:color w:val="000000" w:themeColor="text1"/>
          <w:sz w:val="16"/>
          <w:szCs w:val="16"/>
        </w:rPr>
      </w:pPr>
      <w:r w:rsidRPr="00507A31">
        <w:rPr>
          <w:color w:val="000000" w:themeColor="text1"/>
          <w:sz w:val="16"/>
          <w:szCs w:val="16"/>
        </w:rPr>
        <w:t>3 декабря 1930 г.</w:t>
      </w:r>
    </w:p>
    <w:p w14:paraId="183A6B75" w14:textId="77777777" w:rsidR="00722106" w:rsidRPr="00507A31" w:rsidRDefault="00722106" w:rsidP="00507A31">
      <w:pPr>
        <w:jc w:val="both"/>
        <w:rPr>
          <w:bCs/>
          <w:color w:val="000000" w:themeColor="text1"/>
          <w:sz w:val="16"/>
          <w:szCs w:val="16"/>
        </w:rPr>
      </w:pPr>
      <w:r w:rsidRPr="00507A31">
        <w:rPr>
          <w:color w:val="000000" w:themeColor="text1"/>
          <w:sz w:val="16"/>
          <w:szCs w:val="16"/>
        </w:rPr>
        <w:t>Стенограмма закрытого заседания Специального присутствия Верховного суда СССР. 3 декабря 1930 г.</w:t>
      </w:r>
    </w:p>
    <w:p w14:paraId="1439227A" w14:textId="77777777" w:rsidR="00722106" w:rsidRPr="00507A31" w:rsidRDefault="00722106" w:rsidP="00507A31">
      <w:pPr>
        <w:jc w:val="both"/>
        <w:rPr>
          <w:bCs/>
          <w:color w:val="000000" w:themeColor="text1"/>
          <w:sz w:val="16"/>
          <w:szCs w:val="16"/>
        </w:rPr>
      </w:pPr>
      <w:r w:rsidRPr="00507A31">
        <w:rPr>
          <w:bCs/>
          <w:color w:val="000000" w:themeColor="text1"/>
          <w:sz w:val="16"/>
          <w:szCs w:val="16"/>
        </w:rPr>
        <w:t>Источник: </w:t>
      </w:r>
    </w:p>
    <w:p w14:paraId="6EEC53EC" w14:textId="77777777" w:rsidR="00722106" w:rsidRPr="00507A31" w:rsidRDefault="00722106"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B5C6803" w14:textId="77777777" w:rsidR="00722106" w:rsidRPr="00507A31" w:rsidRDefault="00722106" w:rsidP="00507A31">
      <w:pPr>
        <w:jc w:val="both"/>
        <w:rPr>
          <w:bCs/>
          <w:color w:val="000000" w:themeColor="text1"/>
          <w:sz w:val="16"/>
          <w:szCs w:val="16"/>
        </w:rPr>
      </w:pPr>
      <w:r w:rsidRPr="00507A31">
        <w:rPr>
          <w:bCs/>
          <w:color w:val="000000" w:themeColor="text1"/>
          <w:sz w:val="16"/>
          <w:szCs w:val="16"/>
        </w:rPr>
        <w:t>Архив: </w:t>
      </w:r>
    </w:p>
    <w:p w14:paraId="230F2EDB" w14:textId="77777777" w:rsidR="00722106" w:rsidRPr="00507A31" w:rsidRDefault="00722106" w:rsidP="00507A31">
      <w:pPr>
        <w:jc w:val="both"/>
        <w:rPr>
          <w:color w:val="000000" w:themeColor="text1"/>
          <w:sz w:val="16"/>
          <w:szCs w:val="16"/>
        </w:rPr>
      </w:pPr>
      <w:r w:rsidRPr="00507A31">
        <w:rPr>
          <w:color w:val="000000" w:themeColor="text1"/>
          <w:sz w:val="16"/>
          <w:szCs w:val="16"/>
        </w:rPr>
        <w:t>ГА РФ. Ф. P-9474. On. 7. Д. 418. Л. 1-40</w:t>
      </w:r>
    </w:p>
    <w:p w14:paraId="18855377" w14:textId="77777777" w:rsidR="00722106" w:rsidRPr="00507A31" w:rsidRDefault="00722106" w:rsidP="00507A31">
      <w:pPr>
        <w:pStyle w:val="rteright"/>
        <w:spacing w:before="0" w:after="0"/>
        <w:jc w:val="both"/>
        <w:rPr>
          <w:color w:val="000000" w:themeColor="text1"/>
          <w:sz w:val="16"/>
          <w:szCs w:val="16"/>
        </w:rPr>
      </w:pPr>
      <w:r w:rsidRPr="00507A31">
        <w:rPr>
          <w:color w:val="000000" w:themeColor="text1"/>
          <w:sz w:val="16"/>
          <w:szCs w:val="16"/>
        </w:rPr>
        <w:t>3 декабря 1930 г.</w:t>
      </w:r>
    </w:p>
    <w:p w14:paraId="4DDFAFC8"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ЗАКРЫТОЕ ЗАСЕДАНИЕ</w:t>
      </w:r>
    </w:p>
    <w:p w14:paraId="1967644D"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СПЕЦИАЛЬНОГО ПРИСУТСТВИЯ ВЕРХОВНОГО СУДА</w:t>
      </w:r>
    </w:p>
    <w:p w14:paraId="2E7F8CE1"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СОЮЗА ССР</w:t>
      </w:r>
    </w:p>
    <w:p w14:paraId="6E4C6256"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от 3 ХII-30 года.</w:t>
      </w:r>
    </w:p>
    <w:p w14:paraId="03656BD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Заседание Специального Присутствия возобновляется. Тов. КРЫЛЕНКО, Вам угодно перейти к допросу.</w:t>
      </w:r>
    </w:p>
    <w:p w14:paraId="64E6CE7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Можно спросить гр-на Рамзина.</w:t>
      </w:r>
    </w:p>
    <w:p w14:paraId="058C011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Рамзин.</w:t>
      </w:r>
    </w:p>
    <w:p w14:paraId="67121F2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lastRenderedPageBreak/>
        <w:t>КРЫЛЕНКО: Скажите пожалуйста РАМЗИН в Ваше первое свидание в 1927 г. с Рябушинским, когда впервые была установлена связь с К., какое конкретно имя Вам было названо.</w:t>
      </w:r>
    </w:p>
    <w:p w14:paraId="3D42E30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Господин КЮФЕР.</w:t>
      </w:r>
    </w:p>
    <w:p w14:paraId="4A0D648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Как он был охарактеризован в служебном положении.</w:t>
      </w:r>
    </w:p>
    <w:p w14:paraId="7ED6841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Мне сказали, что в дипломатической французской миссии имеется КЮФЕР на должности коммерческого атташе.</w:t>
      </w:r>
    </w:p>
    <w:p w14:paraId="0695E8D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Каким образом была установлена с ним связь в Москве.</w:t>
      </w:r>
    </w:p>
    <w:p w14:paraId="4011E6B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Мне сообщили, что Кюфер уже связан с «Промпартией» и при моем возвращении в Москву через знакомых членов промпартии меня с ним свяжут.</w:t>
      </w:r>
    </w:p>
    <w:p w14:paraId="09CC717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Каким путем. .</w:t>
      </w:r>
    </w:p>
    <w:p w14:paraId="032AAA0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Точно с Пальчинским не было условлено об этом свидании, как произойдет знакомство. Мне сказали, что посколько у него имеется связь с некоторыми членами промпартии, мне удастся с ним связаться.</w:t>
      </w:r>
    </w:p>
    <w:p w14:paraId="16CA357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Каким путем была реализована связь.</w:t>
      </w:r>
    </w:p>
    <w:p w14:paraId="667235C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Через Нальчикского в Цекубу.</w:t>
      </w:r>
    </w:p>
    <w:p w14:paraId="468512F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Непосредственно путем представления через Паль- чинского.</w:t>
      </w:r>
    </w:p>
    <w:p w14:paraId="7A347B9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Я был в Цекубу, если не ошибаюсь, на вечере или банкете горняков в 1927 году. Там был Пальчинский. На этом вечере присутствовал Кюфер и он меня с ним познакомил.</w:t>
      </w:r>
    </w:p>
    <w:p w14:paraId="4A7754F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Каким образом могли попадать на такие вечера представители иностранных государств, связанные с дипломатической миссией и не имеющие никакого отношения к Цекубу.</w:t>
      </w:r>
    </w:p>
    <w:p w14:paraId="5F031EE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На этих вечеринках была масса народу совершенно посторонних.</w:t>
      </w:r>
    </w:p>
    <w:p w14:paraId="15C4A2D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От кого зависела рассылка билетов.</w:t>
      </w:r>
    </w:p>
    <w:p w14:paraId="33A6CFD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От горняков, которые приглашали своих знакомых.</w:t>
      </w:r>
    </w:p>
    <w:p w14:paraId="217F5EF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Пальчинский мог пригласить по своему усмотрению.</w:t>
      </w:r>
    </w:p>
    <w:p w14:paraId="2E6BF67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Любой горняк мог пригласить своих знакомых.</w:t>
      </w:r>
    </w:p>
    <w:p w14:paraId="7EDBE66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Никакой специальной рассылки через администрацию не было.</w:t>
      </w:r>
    </w:p>
    <w:p w14:paraId="5524260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Такие вечеринки устраивались по подписи, билеты примерно стоили 5 руб., вы уплачивали по 5 руб. за билет, брали 10 билетов и рассылали своим знакомым, чтобы каждый мог притти.</w:t>
      </w:r>
    </w:p>
    <w:p w14:paraId="66D40EE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Этим путем была реализована связь с Кюфером.</w:t>
      </w:r>
    </w:p>
    <w:p w14:paraId="704C490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Именно таким путем.</w:t>
      </w:r>
    </w:p>
    <w:p w14:paraId="399B33B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Со вторым лицом, когда вы познакомились. Или когда вы о нем услышали.</w:t>
      </w:r>
    </w:p>
    <w:p w14:paraId="121CC68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Мне было сообщено Денисовым в 1928 году в октябре месяце в конце свидания с Лукомским.</w:t>
      </w:r>
    </w:p>
    <w:p w14:paraId="74F9265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Какое имя было названо.</w:t>
      </w:r>
    </w:p>
    <w:p w14:paraId="15400C9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Ренье.</w:t>
      </w:r>
    </w:p>
    <w:p w14:paraId="553050A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Вам не сказали, кто это был: Секретарь Эрбета или Секретарь французского посольства.</w:t>
      </w:r>
    </w:p>
    <w:p w14:paraId="3993E9C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Точно мне не сказали. Сказали или Секретарь Эрбета или Секретарь французского посольства.</w:t>
      </w:r>
    </w:p>
    <w:p w14:paraId="7A7CEEA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Вам не было точно сказано, какую должность занимал РЕНЬЕ.</w:t>
      </w:r>
    </w:p>
    <w:p w14:paraId="25DB872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Мне было сказано — Секретарь, но я не могу точно утверждать, что это был Секретарь посольства или личный секретарь Эрбета.</w:t>
      </w:r>
    </w:p>
    <w:p w14:paraId="71DDD0B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Каким образом должна быть реализована эта связь.</w:t>
      </w:r>
    </w:p>
    <w:p w14:paraId="659DEB7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Первая встреча была точно обусловлена, поскольку мне было известно, что связь Ренье с членами промпартии была завязана еще до меня.</w:t>
      </w:r>
    </w:p>
    <w:p w14:paraId="765F9B3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Каким образом технически она должна быть реализована.</w:t>
      </w:r>
    </w:p>
    <w:p w14:paraId="4CD3268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Она была обусловлена таким образом из разговора с Денисовым. При обсуждении с ним относительно связи я предложил такой путь: т. к. к нам в Институт в течение года часто обращались иностранцы с целью получения разрешения на осмотр института, я и предложил, чтобы не попасться на провокацию, чтобы Ренье явился в институт с письмом от французской миссии и официальным поводом для свидания было выставлено ходатайство о получении разрешения на осмотр Института группой французских инженеров, потому, что по имеющемуся правилу нельзя было допускать осмотра института без специального на то разрешения.</w:t>
      </w:r>
    </w:p>
    <w:p w14:paraId="5B7B2D2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...так что повод был совершенно благовидный. С таким письмом ко мне Реньо явился в Теплотехнический Институт. Письмо было на бланке Французской миссии.</w:t>
      </w:r>
    </w:p>
    <w:p w14:paraId="1F808FB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От кого именно?</w:t>
      </w:r>
    </w:p>
    <w:p w14:paraId="2215D85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Этого я не знаю.</w:t>
      </w:r>
    </w:p>
    <w:p w14:paraId="3B1A37C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содержание письма?</w:t>
      </w:r>
    </w:p>
    <w:p w14:paraId="77DBD9B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 письме говорилось, что Французское Посольство или Миссия обращаются с просьбой оказать содействие группе французских инженеров для осмотра Теплотехнического Института.</w:t>
      </w:r>
    </w:p>
    <w:p w14:paraId="483D03D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Но ведь была не группа, а одно лицо?</w:t>
      </w:r>
    </w:p>
    <w:p w14:paraId="67C8794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Являлось одно Лицо с просьбой оказать содействие. На организацию таких экскурсий мы всегда испрашивали разрешения у ВСНХ. Я поручил организовать эту экскурсию Очкину и экскурсия была реализована.</w:t>
      </w:r>
    </w:p>
    <w:p w14:paraId="10E2CCB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Кто-нибудь из инженеров явился?</w:t>
      </w:r>
    </w:p>
    <w:p w14:paraId="67D4CD2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 но меня экскурсия больше не интересовала, я поручил все дело Очкину.</w:t>
      </w:r>
    </w:p>
    <w:p w14:paraId="69CFBD0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Он всегда был известен под именем Реньо?</w:t>
      </w:r>
    </w:p>
    <w:p w14:paraId="6194215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w:t>
      </w:r>
    </w:p>
    <w:p w14:paraId="0ACFF85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Ваше сообщение относительно Анрио чем вызывается?</w:t>
      </w:r>
    </w:p>
    <w:p w14:paraId="67773DD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Когда мне задали вопрос, не ошибся ли я именем, потому что в составе французской миссии такого лица не было, когда мне назвали фамилию Анрио, я сказал, что по созвучию я мог спутать.</w:t>
      </w:r>
    </w:p>
    <w:p w14:paraId="648BE38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Так что это не было вторым псевдонимом этого лица?</w:t>
      </w:r>
    </w:p>
    <w:p w14:paraId="65A39E8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 течение следствия мне сказали...</w:t>
      </w:r>
    </w:p>
    <w:p w14:paraId="5104C87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Я понимаю — это в порядке следствия, а Вам он был известен в процессе связи как...</w:t>
      </w:r>
    </w:p>
    <w:p w14:paraId="3F8BD5B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Всегда как Реньо и письма адресовались во Французское посольство на имя Реньо.</w:t>
      </w:r>
    </w:p>
    <w:p w14:paraId="729204A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Разве письма шли по почте?</w:t>
      </w:r>
    </w:p>
    <w:p w14:paraId="66C93F3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Нет, не по почте, а через Гордона — инженера Электроимпорта.</w:t>
      </w:r>
    </w:p>
    <w:p w14:paraId="518B75B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И он уже должен был соответственно вручать?</w:t>
      </w:r>
    </w:p>
    <w:p w14:paraId="6E2F47D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Он вручал через французских инженеров, с которыми он был связан.</w:t>
      </w:r>
    </w:p>
    <w:p w14:paraId="26E4E27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Связан по своим делам?</w:t>
      </w:r>
    </w:p>
    <w:p w14:paraId="35CFFE5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w:t>
      </w:r>
    </w:p>
    <w:p w14:paraId="075C272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Так что была установлена такая связь — от него непосредственно Вам, от Реньо и Кюфера непосредственно Вам через Ларичева и Калинникова, а от Вас связь шла более длительным путем, если не было случая прямой передачи, как здесь рассказывали о встречах у Метрополя и у Почтамта.</w:t>
      </w:r>
    </w:p>
    <w:p w14:paraId="755769D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Всякое личное свидание использовалось для соответствующих передач. Но если было необходимо сделать экстренное сообщение — звонить я вполне понятно воздерживался — так вот в этих случаях я посылал письмо через Гордона во Французское посольство на имя Реньо, чтобы устроить свидание или позвонить по телефону.</w:t>
      </w:r>
    </w:p>
    <w:p w14:paraId="3585744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сколько раз встречались с Реньо?</w:t>
      </w:r>
    </w:p>
    <w:p w14:paraId="5BCA300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Три раза.</w:t>
      </w:r>
    </w:p>
    <w:p w14:paraId="76A1D99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Эти встречи были продолжительными, сколько времени они длились?</w:t>
      </w:r>
    </w:p>
    <w:p w14:paraId="3A24FCD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Каждая встреча от 40 минут до 1</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bscript"/>
        </w:rPr>
        <w:t>2</w:t>
      </w:r>
      <w:r w:rsidRPr="00507A31">
        <w:rPr>
          <w:color w:val="000000" w:themeColor="text1"/>
          <w:sz w:val="16"/>
          <w:szCs w:val="16"/>
        </w:rPr>
        <w:t> часов.</w:t>
      </w:r>
    </w:p>
    <w:p w14:paraId="3804007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передавали, что во время 1929-30 г. во время встречи с Реньо...</w:t>
      </w:r>
    </w:p>
    <w:p w14:paraId="0C91EE6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 1930 г. не было встречи.</w:t>
      </w:r>
    </w:p>
    <w:p w14:paraId="5574C3B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...был дан целый ряд заданий, при чем при этом присутствовали и другие лица из подсудимых. Вот эти встречи носили продолжительный характер?</w:t>
      </w:r>
    </w:p>
    <w:p w14:paraId="7B84D71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Час — полтора.</w:t>
      </w:r>
    </w:p>
    <w:p w14:paraId="323D3DA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Внешность Реньо должна была в Вашей памяти запечатлеться?</w:t>
      </w:r>
    </w:p>
    <w:p w14:paraId="727288C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 конечно.</w:t>
      </w:r>
    </w:p>
    <w:p w14:paraId="2EF6301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Где была первая встреча?</w:t>
      </w:r>
    </w:p>
    <w:p w14:paraId="359F5DC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У меня на квартире.</w:t>
      </w:r>
    </w:p>
    <w:p w14:paraId="3DDDBEC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lastRenderedPageBreak/>
        <w:t>КРЫЛЕНКО: Кто был?</w:t>
      </w:r>
    </w:p>
    <w:p w14:paraId="7EED0BE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Очкин.</w:t>
      </w:r>
    </w:p>
    <w:p w14:paraId="66EE391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вторая встреча.</w:t>
      </w:r>
    </w:p>
    <w:p w14:paraId="5C110C9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Вторая встреча была на квартире Калиникова, где присутствовал я и Калинников, и в конце ненадолго заезжал Ларичев, который привез очередной пакет для передачи.</w:t>
      </w:r>
    </w:p>
    <w:p w14:paraId="151C992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Третья встреча.</w:t>
      </w:r>
    </w:p>
    <w:p w14:paraId="052D468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Третья встреча на квартире у Очкина в конце 1929 года.</w:t>
      </w:r>
    </w:p>
    <w:p w14:paraId="34F6F06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Эта встреча с Ренье.</w:t>
      </w:r>
    </w:p>
    <w:p w14:paraId="0071469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w:t>
      </w:r>
    </w:p>
    <w:p w14:paraId="14AE821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встречи с Кюфером.</w:t>
      </w:r>
    </w:p>
    <w:p w14:paraId="05C0DD9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Если не считать знакомства, то было две встречи и третья встреча, когда он привез деньги.</w:t>
      </w:r>
    </w:p>
    <w:p w14:paraId="53026C5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всего сколько было встреч.</w:t>
      </w:r>
    </w:p>
    <w:p w14:paraId="1F02624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Если не считать кратковременной встречи в Цекубу, всего было три. Первая встреча была у меня на квартире в середине 1928 года, на которой был Калинников, Ларичев и Предтеченский. Вторая встреча была осенью или в конце 1928 года, в конце ноября или начале декабря, она происходила на квартире Ларичева, присутствовал я и Ларичев. Может быть после моего ухода кто-нибудь был еще, но об этом мне неизвестно.</w:t>
      </w:r>
    </w:p>
    <w:p w14:paraId="3981809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Я попрошу т. Председателя предъявить подсудимому РАМЗИНУ ряд карточек совершенно различного происхождения, и затем попрошу отметить тех лиц, которые Вам будут напоминать упоминаемых Вами господ. Напишите отдельно на каждой карточке, не оглашая, фамилию лица, которое Вы узнаете (передает карточки Председателю).</w:t>
      </w:r>
    </w:p>
    <w:p w14:paraId="382F9E5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Рамзин. Я передам Вам 6 карточек. На этих карточках не содержится никаких имен, содержатся только номера 1, 2, 3, 4, 5, 6. Вы благоволите, рассмотрев карточки[,] на листе чистой бумаги, которую я Вам передал, написать, что номер 1-й по Вашему мнению содержит изображение такого-то лица, номер 2 — такое-то лицо и т. д. и подпишитесь. Лучше это сделать чернилами (передает подсудимому Рамзину 6 карточек). Вслух не называйте фамилии изображаемых здесь лиц.</w:t>
      </w:r>
    </w:p>
    <w:p w14:paraId="15DA35E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 представленных 6-ти карточках я должен опознать или не опознать изображенных здесь лиц.</w:t>
      </w:r>
    </w:p>
    <w:p w14:paraId="6F522DD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Вы напишите, находите ли Вы сходство или узнаете, одним словом Вы напишите, как считаете нужным.</w:t>
      </w:r>
    </w:p>
    <w:p w14:paraId="3EB56BE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просматривает карточки).</w:t>
      </w:r>
    </w:p>
    <w:p w14:paraId="50F9F5E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 Председателю): Можно гр. Ларичева?</w:t>
      </w:r>
    </w:p>
    <w:p w14:paraId="205B8F7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(к Рамзину): Вы можете сесть.</w:t>
      </w:r>
    </w:p>
    <w:p w14:paraId="739B74F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Подсудимый Ларичев. (Подходит).</w:t>
      </w:r>
    </w:p>
    <w:p w14:paraId="2DE2EC1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 Ларичеву): Вы с кем непосредственно имели отношение из агентуры?</w:t>
      </w:r>
    </w:p>
    <w:p w14:paraId="758714D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С одним из сотрудников Французского посольства — с Кюфером.</w:t>
      </w:r>
    </w:p>
    <w:p w14:paraId="5A36DBE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Только?</w:t>
      </w:r>
    </w:p>
    <w:p w14:paraId="059E696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И один раз я видел г-на Реньо на квартире Калиникова, когда передавал материал.</w:t>
      </w:r>
    </w:p>
    <w:p w14:paraId="293EA1B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сколько раз видели Кюфера?</w:t>
      </w:r>
    </w:p>
    <w:p w14:paraId="62CF72C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Первое знакомство произошло на квартире к Рамзина, а за оставшееся время после нашего возвращения из-за границы у меня было шесть встреч.</w:t>
      </w:r>
    </w:p>
    <w:p w14:paraId="4B74039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Шесть встреч?</w:t>
      </w:r>
    </w:p>
    <w:p w14:paraId="3CBA2E3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Да.</w:t>
      </w:r>
    </w:p>
    <w:p w14:paraId="4D8AD71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По поводу чего Вы встречались?</w:t>
      </w:r>
    </w:p>
    <w:p w14:paraId="626A0CD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Эти встречи обуславливались моей обязанностью получения денег и передачей поквартальных сводок.</w:t>
      </w:r>
    </w:p>
    <w:p w14:paraId="197B16C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говорили, что была встреча — где была встреча?</w:t>
      </w:r>
    </w:p>
    <w:p w14:paraId="2226A4F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Я встречался только на квартире у меня.</w:t>
      </w:r>
    </w:p>
    <w:p w14:paraId="3F947B0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Значит Вы встречались только на квартире?</w:t>
      </w:r>
    </w:p>
    <w:p w14:paraId="3E41158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Да, он привозил деньги, а я передавал ему сводки. Видел его шесть раз.</w:t>
      </w:r>
    </w:p>
    <w:p w14:paraId="61E3052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 предыдущих показаниях мы имеем указание на две встречи.</w:t>
      </w:r>
    </w:p>
    <w:p w14:paraId="5D4881D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Две встречи имели характер более серьезных разговоров, а остальные — это было выполнение технических поручений.</w:t>
      </w:r>
    </w:p>
    <w:p w14:paraId="41AA713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Эти две встречи чем отличались?</w:t>
      </w:r>
    </w:p>
    <w:p w14:paraId="42C74AB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Мы виделись у меня на квартире вместе с Рамзиным. Была сделана информация о нашей поездке, он нас информировал, что знает о результатах нашей поездки.</w:t>
      </w:r>
    </w:p>
    <w:p w14:paraId="728922B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А вторая встреча в конце 1929 года, кажется, около нового года или, может быть, непосредственно после нового года, уже с Калиниковым. Тут речь шла об отсрочке интервенции. По-моему, это был конец 1929 г.</w:t>
      </w:r>
    </w:p>
    <w:p w14:paraId="1206C6F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Так что вторую встречу вы датируете концом 1929 г.?</w:t>
      </w:r>
    </w:p>
    <w:p w14:paraId="290ABF0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Да.</w:t>
      </w:r>
    </w:p>
    <w:p w14:paraId="1C4F413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достаточно точно знаете его в лицо?</w:t>
      </w:r>
    </w:p>
    <w:p w14:paraId="2785B45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Да, конечно.</w:t>
      </w:r>
    </w:p>
    <w:p w14:paraId="4F656EB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(Председателю): Я бы попросил Вас предложить Ларичеву те же карточки.</w:t>
      </w:r>
    </w:p>
    <w:p w14:paraId="0156146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(к Ларичеву): Ознакомьтесь вот с этими карточками, и на чистом листе бумаги напишите, какой номер карточки соответствует какому лицу.</w:t>
      </w:r>
    </w:p>
    <w:p w14:paraId="5E59F27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Можно сделать дополнительное заявление?</w:t>
      </w:r>
    </w:p>
    <w:p w14:paraId="3BB85FE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Пожалуйста.</w:t>
      </w:r>
    </w:p>
    <w:p w14:paraId="2B450D7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Я дополнительно должен заявить, что г-на Кюфера я видел здесь в зале заседания в ложе и указал моим соседям Очкину и Калинникову.</w:t>
      </w:r>
    </w:p>
    <w:p w14:paraId="13219C0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Подсудимые Калинников и Очкин, что Вы скажете по поводу заявления Рамзина?</w:t>
      </w:r>
    </w:p>
    <w:p w14:paraId="0B6C0C5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Рамзин мне об этом говорил, но я очень близорук и сегодня только получил пенсне и поэтому не мог рассмотреть.</w:t>
      </w:r>
    </w:p>
    <w:p w14:paraId="4B2338B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Рамзин сообщал Вам, что в ложе видел г-на Кюфера?</w:t>
      </w:r>
    </w:p>
    <w:p w14:paraId="21443BD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 сообщал во время процесса.</w:t>
      </w:r>
    </w:p>
    <w:p w14:paraId="51B7B19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(Калинникову): А Вам?</w:t>
      </w:r>
    </w:p>
    <w:p w14:paraId="0F25DB6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И мне также сообщал.</w:t>
      </w:r>
    </w:p>
    <w:p w14:paraId="3A5FED6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Вы его лично не видели?</w:t>
      </w:r>
    </w:p>
    <w:p w14:paraId="0D23EF4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Не особенно ясно, я недостаточно вижу издали.</w:t>
      </w:r>
    </w:p>
    <w:p w14:paraId="369F1C4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Я дальнозоркий и его узнал.</w:t>
      </w:r>
    </w:p>
    <w:p w14:paraId="110BE2E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В предъявленных мне 6-ти карточках что писать?</w:t>
      </w:r>
    </w:p>
    <w:p w14:paraId="100D548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Узнаете или не узнаете изображаемых лиц. Напишите то, что считаете нужным написать.</w:t>
      </w:r>
    </w:p>
    <w:p w14:paraId="6A6F610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(просматривает карточки, подписывает и передает Председателю).</w:t>
      </w:r>
    </w:p>
    <w:p w14:paraId="4DEA420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Дальше.</w:t>
      </w:r>
    </w:p>
    <w:p w14:paraId="2EF3E36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Можно считать, что с Кюфером у вас было 6 встреч и одна с Ренье?</w:t>
      </w:r>
    </w:p>
    <w:p w14:paraId="5D66DC1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Да.</w:t>
      </w:r>
    </w:p>
    <w:p w14:paraId="4E169F7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Под каким именем вы знали Ренье?</w:t>
      </w:r>
    </w:p>
    <w:p w14:paraId="54EFB5A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Под именем Ренье.</w:t>
      </w:r>
    </w:p>
    <w:p w14:paraId="0B17937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Не возбуждало сомнения у вас, что это настоящее имя или псевдоним?</w:t>
      </w:r>
    </w:p>
    <w:p w14:paraId="22811BF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Я даже не задумывался над этим вопросом.</w:t>
      </w:r>
    </w:p>
    <w:p w14:paraId="4E1B97F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считали, что в данном случае, как и Кюфер — это подлинное имя?</w:t>
      </w:r>
    </w:p>
    <w:p w14:paraId="13A2D85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ЛАРИЧЕВ: Его Рамзин назвал господином Ренье, и я лично не сомневался.</w:t>
      </w:r>
    </w:p>
    <w:p w14:paraId="695379F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Подсудимый Очкин.</w:t>
      </w:r>
    </w:p>
    <w:p w14:paraId="427B078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Очкин.</w:t>
      </w:r>
    </w:p>
    <w:p w14:paraId="04DD414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видели и Ренье и Кюфера? -</w:t>
      </w:r>
    </w:p>
    <w:p w14:paraId="371E1C3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И того и другого.</w:t>
      </w:r>
    </w:p>
    <w:p w14:paraId="192CE7C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При каких обстоятельствах вы видели первого в первый раз и в последний раз? И при каких обстоятельствах вы видели второго в первый и в последний раз? Сколько раз видели первого и второго?</w:t>
      </w:r>
    </w:p>
    <w:p w14:paraId="6AC5BFC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lastRenderedPageBreak/>
        <w:t>ОЧКИН: Раз вечером директор института Рамзин вызвал меня к себе на квартиру. Я приехал, он мне сказал, что нужно очень срочно организовать экскурсию в Институт для инженеров, приехавших из Франции.</w:t>
      </w:r>
    </w:p>
    <w:p w14:paraId="3F5AE50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Дата?</w:t>
      </w:r>
    </w:p>
    <w:p w14:paraId="1D10E5C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Это было в конце 1928 г. в ноябре месяце.</w:t>
      </w:r>
    </w:p>
    <w:p w14:paraId="2C4BF1E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Дальше.</w:t>
      </w:r>
    </w:p>
    <w:p w14:paraId="788B6F3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Он представил меня Реньо, познакомил меня.</w:t>
      </w:r>
    </w:p>
    <w:p w14:paraId="1835DA4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Эту фактическую сторону мы слышали. Сколько у вас было в дальнейшем встреч?</w:t>
      </w:r>
    </w:p>
    <w:p w14:paraId="6503E59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Было у меня с ним так: дело было в феврале, мне Рамзин дал пакет для передачи Реньо. Так как у меня была с ним установлена связь, он позвонил ко мне и я ему сказал, чтобы он пришел в ВАИ, это рядом с нами, на 4-й этаж.</w:t>
      </w:r>
    </w:p>
    <w:p w14:paraId="618B4E6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в ВАИ могли ходить свободно?</w:t>
      </w:r>
    </w:p>
    <w:p w14:paraId="384BDE5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 я занимал выборную должность.</w:t>
      </w:r>
    </w:p>
    <w:p w14:paraId="519DCBC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посторонние лица тоже могли ходить?</w:t>
      </w:r>
    </w:p>
    <w:p w14:paraId="2D9E99A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 там с утра до вечера всевозможные курсы.</w:t>
      </w:r>
    </w:p>
    <w:p w14:paraId="3878B29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И лица иностранных миссий могут разгуливать?</w:t>
      </w:r>
    </w:p>
    <w:p w14:paraId="09693E4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А что, там были доклады приезжающих инженеров из Германии, из Франции, из Америки.</w:t>
      </w:r>
    </w:p>
    <w:p w14:paraId="2586EC5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Сколько раз вы встречались?</w:t>
      </w:r>
    </w:p>
    <w:p w14:paraId="442537B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Раз — в феврале, а затем Калинников мне позвонил и сказал, чтобы я зашел. Я зашел и получил от Калинникова пакет. Он сказал: «Это нужно передать известному Вам Р.». Я ответил — ладно, если он будет звонить, передам. Он мне позвонил, и я в ВАИ ему передал. Это было приблизительно в мае-июне 1929 года.</w:t>
      </w:r>
    </w:p>
    <w:p w14:paraId="62D85D1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первая встреча когда была?</w:t>
      </w:r>
    </w:p>
    <w:p w14:paraId="21776EB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Я познакомился с ним в конце 1928 г.</w:t>
      </w:r>
    </w:p>
    <w:p w14:paraId="7DDED03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вторая встреча?</w:t>
      </w:r>
    </w:p>
    <w:p w14:paraId="67E6021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В начале 1929 года — в феврале. Затем, в конце мая или начале июня. Четвертая встреча (т. е. вторая в присутствии Рамзина) была у меня на квартире в конце 1929 года, кажется, в ноябре.</w:t>
      </w:r>
    </w:p>
    <w:p w14:paraId="7DEA931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не можете точно сказать — это был конец 1929 г.?</w:t>
      </w:r>
    </w:p>
    <w:p w14:paraId="2B1A447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 конец 1929 г.</w:t>
      </w:r>
    </w:p>
    <w:p w14:paraId="29C1FC3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месяц — ноябрь?</w:t>
      </w:r>
    </w:p>
    <w:p w14:paraId="11F5F2D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Во второй половине ноября.</w:t>
      </w:r>
    </w:p>
    <w:p w14:paraId="2373188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Не декабря?</w:t>
      </w:r>
    </w:p>
    <w:p w14:paraId="1180996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Нет, во второй половине ноября. Дело было так: ко мне позвонил Рамзин...</w:t>
      </w:r>
      <w:r w:rsidRPr="00507A31">
        <w:rPr>
          <w:color w:val="000000" w:themeColor="text1"/>
          <w:sz w:val="16"/>
          <w:szCs w:val="16"/>
          <w:vertAlign w:val="superscript"/>
        </w:rPr>
        <w:t>е</w:t>
      </w:r>
    </w:p>
    <w:p w14:paraId="0D8A04A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Об этом мы знаем, как они пришли, беседовали, это нам не нужно. Затем?</w:t>
      </w:r>
    </w:p>
    <w:p w14:paraId="02E0197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Затем, я с Реньо потерял связь. Появляется Кюфер.</w:t>
      </w:r>
    </w:p>
    <w:p w14:paraId="6A3C90B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 познакомил меня с ним в конце 1929 г. Рамзин опять-таки у себя в служебном кабинете.</w:t>
      </w:r>
    </w:p>
    <w:p w14:paraId="30888AB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 1929 году?</w:t>
      </w:r>
    </w:p>
    <w:p w14:paraId="013E248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w:t>
      </w:r>
    </w:p>
    <w:p w14:paraId="480B788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Рамзин, насколько мне показалось, говорил, что он Кюфера видел дважды в 1928 году. Вы вспомните точнее, если память Вам не изменяет.</w:t>
      </w:r>
    </w:p>
    <w:p w14:paraId="7B1AA83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Я познакомился с ним в конце 1929 года.</w:t>
      </w:r>
    </w:p>
    <w:p w14:paraId="48B3D92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 конце 1929 года?</w:t>
      </w:r>
    </w:p>
    <w:p w14:paraId="369EE6E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w:t>
      </w:r>
    </w:p>
    <w:p w14:paraId="090D83D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У Рамзина?</w:t>
      </w:r>
    </w:p>
    <w:p w14:paraId="66887B7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 в его служебном кабинете.</w:t>
      </w:r>
    </w:p>
    <w:p w14:paraId="1CF6722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По поводу чего?</w:t>
      </w:r>
    </w:p>
    <w:p w14:paraId="35872DA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Он мне сказал, что как будто (я забыл точно разговор), что теперь Ренье нет, теперь нужно с Кюфером поддерживать связь и я передал в январе-феврале 1930 г. Кюферу.</w:t>
      </w:r>
    </w:p>
    <w:p w14:paraId="1DEEF21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Рамзин, по поводу даты знакомства или встречи Очкина с Кюфером, скажите, было это в 1928 г. или 1929 г.?</w:t>
      </w:r>
    </w:p>
    <w:p w14:paraId="72CA9D2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Правильно, в 1929 г.</w:t>
      </w:r>
    </w:p>
    <w:p w14:paraId="61FB7C2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сейчас утверждали, что встреча была в 1928 г.</w:t>
      </w:r>
    </w:p>
    <w:p w14:paraId="07D659E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У меня были две встречи в 1928 году и в конце 1929 года — одна, когда Кюфер привозил мне деньги. И в эту короткую встречу я познакомил его с Очкиным.</w:t>
      </w:r>
    </w:p>
    <w:p w14:paraId="4543D12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Я оглашу Ваше показание в томе № 1 на стр. 101/ оборот: «После этого я имел с Р. ...».</w:t>
      </w:r>
    </w:p>
    <w:p w14:paraId="55BC988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Но ведь сейчас мы говорим о Кюфере.</w:t>
      </w:r>
    </w:p>
    <w:p w14:paraId="3F33F2B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 предварительных показаниях нет указания на эту встречу.</w:t>
      </w:r>
    </w:p>
    <w:p w14:paraId="46F4475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Здесь на суде я указывал, что произошла встреча с Кюфером в 1929 г., когда он привозил деньги.</w:t>
      </w:r>
    </w:p>
    <w:p w14:paraId="246229D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Разрешите здесь установить, что во время судебного следствия были установлены новые подробности встречи в театре со стороны Калинникова, которая указывала на иной характер, чем это имело место по его первым показаниям, установили две встречи у Очкина, которых не было в предварительных показаниях и, наконец сейчас эта встреча, которой не было в предварительных показаниях.</w:t>
      </w:r>
    </w:p>
    <w:p w14:paraId="64EC681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 большом показании на суде я на эту встречу указывал.</w:t>
      </w:r>
    </w:p>
    <w:p w14:paraId="5C61F04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Меня интересует здесь факт противоречия в указании на 1929 г., когда произошла встреча у Очкина с Кюфером.</w:t>
      </w:r>
    </w:p>
    <w:p w14:paraId="344CB1C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Так как беседы при этой короткой встрече с Кюфером у меня не было, поэтому я на ней не останавливался.</w:t>
      </w:r>
    </w:p>
    <w:p w14:paraId="7D4D308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(Очкину): Только произошло знакомство?</w:t>
      </w:r>
    </w:p>
    <w:p w14:paraId="154A9F7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 знакомство, и мне сказали, что теперь Вам придется продолжать связь с Кюфером.</w:t>
      </w:r>
    </w:p>
    <w:p w14:paraId="6AD3EFD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Сколько раз еще встречались?</w:t>
      </w:r>
    </w:p>
    <w:p w14:paraId="5FA50EF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Это было через месяц и потом еще через месяц, в январе-феврале 1930 года.</w:t>
      </w:r>
    </w:p>
    <w:p w14:paraId="5A3C810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Какого содержания были эти две встречи?</w:t>
      </w:r>
    </w:p>
    <w:p w14:paraId="5E2F058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Они подробно описаны в показаниях.</w:t>
      </w:r>
    </w:p>
    <w:p w14:paraId="4CF4861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О которых вы упоминали раньше?</w:t>
      </w:r>
    </w:p>
    <w:p w14:paraId="5BC88C4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w:t>
      </w:r>
    </w:p>
    <w:p w14:paraId="37BA3F8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устанавливаете, что с Реньо было сколько встреч?</w:t>
      </w:r>
    </w:p>
    <w:p w14:paraId="7F251A8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Четыре.</w:t>
      </w:r>
    </w:p>
    <w:p w14:paraId="4D77951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с Кюфером?</w:t>
      </w:r>
    </w:p>
    <w:p w14:paraId="7FA0854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Три, одна встреча — знакомство и две, о которых говорится подробно в показаниях.</w:t>
      </w:r>
    </w:p>
    <w:p w14:paraId="4C25C56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Можно просить суд проделать то же относительно карточек, что и Рамзину?</w:t>
      </w:r>
    </w:p>
    <w:p w14:paraId="60135E6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Рамзин больше не нужен?</w:t>
      </w:r>
    </w:p>
    <w:p w14:paraId="621A838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Нет.</w:t>
      </w:r>
    </w:p>
    <w:p w14:paraId="2E344BD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Рамзин, садитесь.</w:t>
      </w:r>
    </w:p>
    <w:p w14:paraId="274DB49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(ОЧКИНУ): Вот вам 6 карточек, вы их просмотрите и на белом листке отметьте, какой номер соответствует какому лицу по вашему мнению.</w:t>
      </w:r>
    </w:p>
    <w:p w14:paraId="6B15137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Хорошо (просматривает карточки).</w:t>
      </w:r>
    </w:p>
    <w:p w14:paraId="2299831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Еще вопросы есть к Очкину?</w:t>
      </w:r>
    </w:p>
    <w:p w14:paraId="7646094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Нет.</w:t>
      </w:r>
    </w:p>
    <w:p w14:paraId="77DFBEE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Очкин, можете сесть на место.</w:t>
      </w:r>
    </w:p>
    <w:p w14:paraId="5DABFF3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Подсудимый Калинников (подходит).</w:t>
      </w:r>
    </w:p>
    <w:p w14:paraId="2A6B6DC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 Калинникову): Вы обоих знали?</w:t>
      </w:r>
    </w:p>
    <w:p w14:paraId="765E272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Да.</w:t>
      </w:r>
    </w:p>
    <w:p w14:paraId="151008A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Первое свидание, приблизительно, с обоими?</w:t>
      </w:r>
    </w:p>
    <w:p w14:paraId="232915F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 xml:space="preserve">КАЛИННИКОВ: С Кюфером у меня было первое свидание, я познакомился у Рамзина на квартире в начале лета 1928 года. Здесь у меня было, главным образом, знакомство; затем я услышал требование, обращенное к Рамзину, что желательно было бы получить сведения по химической промышленности, при чем он </w:t>
      </w:r>
      <w:r w:rsidRPr="00507A31">
        <w:rPr>
          <w:color w:val="000000" w:themeColor="text1"/>
          <w:sz w:val="16"/>
          <w:szCs w:val="16"/>
        </w:rPr>
        <w:lastRenderedPageBreak/>
        <w:t>подчеркнул, что сведения по военной промышленности имеются, а по химической, по этому связующему звену, нет. Поэтому первое требование было по основной химической промышленности, а затем уже это распространилось на военную промышленность. Это было первое свидание.</w:t>
      </w:r>
    </w:p>
    <w:p w14:paraId="7A3D2F2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Второе свидание — я должен исправить неточность в обвинительном акте. Я перепутал название пьес: в 1928 г. шла не «Наталья Тарпова», а «Багровый остров». Я здесь перепутал и название пьес и года. Я просил бы внести это исправление.</w:t>
      </w:r>
    </w:p>
    <w:p w14:paraId="1847A7E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Второй момент -- я был извещен по телефону Кюфером, что он там будет.</w:t>
      </w:r>
    </w:p>
    <w:p w14:paraId="1000A7E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откуда он знал Ваш телефон?</w:t>
      </w:r>
    </w:p>
    <w:p w14:paraId="0435123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Он узнал мой служебный телефон, причем я предупредил его, чтобы он звонил из автомата и чтобы он называл себя инженер Французов — у меня был такой знакомый, — это в целях конспирации.</w:t>
      </w:r>
    </w:p>
    <w:p w14:paraId="0309B48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Вот это была вторая встреча и здесь я мельком познакомился со вторым агентом — Реньо.</w:t>
      </w:r>
    </w:p>
    <w:p w14:paraId="265EACD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Кто вас познакомил?</w:t>
      </w:r>
    </w:p>
    <w:p w14:paraId="191A07E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Кюфер, при чем должен сказать, что это было в шумливой обстановке.</w:t>
      </w:r>
    </w:p>
    <w:p w14:paraId="16AF130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Месяца не помните?</w:t>
      </w:r>
    </w:p>
    <w:p w14:paraId="557A882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Это было в конце ноября. Был представлен под именем Ренье.</w:t>
      </w:r>
    </w:p>
    <w:p w14:paraId="58C717D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Вам его так и представили?</w:t>
      </w:r>
    </w:p>
    <w:p w14:paraId="68EB5A3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Да, мусье Ренье.</w:t>
      </w:r>
    </w:p>
    <w:p w14:paraId="27F1D80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Это было в большом фойэ, где в антрактах прогуливается публика?</w:t>
      </w:r>
    </w:p>
    <w:p w14:paraId="03F8BC9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Да, это было в шумной обстановке. Возможно, что я точно не расслышал фамилию, но и в дальнейшем я встречался с ним под именем Ренье.</w:t>
      </w:r>
    </w:p>
    <w:p w14:paraId="78689E7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У вас сомнения не было?</w:t>
      </w:r>
    </w:p>
    <w:p w14:paraId="6094F7E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Когда я потом с ним встретился, физиономия была одна и та же.</w:t>
      </w:r>
    </w:p>
    <w:p w14:paraId="4DF63DE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У вас не было сомнения в том, что это настоящая фамилия или псевдоним?</w:t>
      </w:r>
    </w:p>
    <w:p w14:paraId="7AB134C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Нет, я его знал как Ренье.</w:t>
      </w:r>
    </w:p>
    <w:p w14:paraId="7B42DE8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Итак, у вас было две встречи с Кюфером.</w:t>
      </w:r>
    </w:p>
    <w:p w14:paraId="4F5EF2D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Да, третья встреча была у Ларичева в конце 1928 года или в начале 1929 года. Здесь передал записку относительно основной химической промышленности — Евреиновскую записку, а в театре передал, как я дополнительно показывал, записку Кравеца об основах химии. Четвертая встреча была у меня с Кюфером через год. Я объясню, почему произошел такой длительный промежуток. Нужно было встретиться в конце мая или начале июня, но ввиду экстренной необходимости выехать мне в отпуск, хотя и были подготовлены материалы Чарновским для передачи, но я ничего не мог сделать и обратился к Очкину с просьбой передать этот материал. Передал этот материал Очкину и в дальнейшем материал пошел через Очкина.</w:t>
      </w:r>
    </w:p>
    <w:p w14:paraId="08965B2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Я встретился с Кюфером в конце 1929 года на квартире Ларичева, где передал ему две записки экономического порядка — Майеровскую по линии лесной промышленности и большую записку, составленную Громаном, Кондратьевым и Гинзбургом о конъюнктуре на 1930 г.</w:t>
      </w:r>
    </w:p>
    <w:p w14:paraId="0B339A1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Перспективно на 1930 год?</w:t>
      </w:r>
    </w:p>
    <w:p w14:paraId="55AC5E8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Да, ожидаемая конъюнктура на 1930 год.</w:t>
      </w:r>
    </w:p>
    <w:p w14:paraId="50B2E43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Хозяйственная конъюнктура?</w:t>
      </w:r>
    </w:p>
    <w:p w14:paraId="79E8F76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Да, конъюнктура по всем отраслям народного хозяйства. Это была четвертая последняя встреча.</w:t>
      </w:r>
    </w:p>
    <w:p w14:paraId="79680ED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У вас всего было четыре встречи с Кюфером?</w:t>
      </w:r>
    </w:p>
    <w:p w14:paraId="280D776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Да.</w:t>
      </w:r>
    </w:p>
    <w:p w14:paraId="27AAF15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с Ренье?</w:t>
      </w:r>
    </w:p>
    <w:p w14:paraId="63F9ED5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Были две встречи: одна — знакомство и вторая встреча в 1929 году, устроенная у меня на квартире по просьбе Рамзина. На свидании был и Ларичев, который пришел передать материал, приготовленный для Ренье.</w:t>
      </w:r>
    </w:p>
    <w:p w14:paraId="06135F8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Это относится к какому году?</w:t>
      </w:r>
    </w:p>
    <w:p w14:paraId="3043881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Весна 1929 года.</w:t>
      </w:r>
    </w:p>
    <w:p w14:paraId="29C9BFD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присутствовали при беседах, где давались указания на нажим?</w:t>
      </w:r>
    </w:p>
    <w:p w14:paraId="3BD165E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Да, несомненно здесь были довольно определенные указания на нажим. Леонид Константинович подробно рассказал о плане диверсии по энергетике, но он все-таки настойчиво предложил усилить работу по подготовке.</w:t>
      </w:r>
    </w:p>
    <w:p w14:paraId="6B3E739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по вопросам военной организации?</w:t>
      </w:r>
    </w:p>
    <w:p w14:paraId="55E4E4D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Он здесь подчеркнул, что до сих пор не сдвинулась с места военная организация. Это особенно сильно было подчеркнуто.</w:t>
      </w:r>
    </w:p>
    <w:p w14:paraId="492C9B9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После этой встречи вы не видели Ренье?</w:t>
      </w:r>
    </w:p>
    <w:p w14:paraId="4F590D1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КАЛИННИКОВ: Нет.</w:t>
      </w:r>
    </w:p>
    <w:p w14:paraId="265868D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Можно предложить вам то же самое, что и Рамзину и Очкину (Председатель передает карточки Калинникову для просмотра и опознания).</w:t>
      </w:r>
    </w:p>
    <w:p w14:paraId="28BB34D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Разрешите спросить Рамзина, известно ли ему было в 1930 году относительно пребывания Ренье в СССР или не пребывания его здесь?</w:t>
      </w:r>
    </w:p>
    <w:p w14:paraId="30E6ADB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По этому вопросу могу сделать только одно сообщение, которое уже имеется в моих показаниях, что в начале 1930 года примерно в феврале или начале марта я получил записку от Ренье такого содержания, что он временно выезжает из Москвы. Относительно того, когда он предполагает вернуться из-за границы, мне ничего не было известно. После этого никаких свиданий с ним у меня не было.</w:t>
      </w:r>
    </w:p>
    <w:p w14:paraId="1CA3134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И сведений от Кюфера вы по этому поводу не получали?</w:t>
      </w:r>
    </w:p>
    <w:p w14:paraId="3726934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РАМЗИИ: По поводу возвращения Ренье — нет.</w:t>
      </w:r>
    </w:p>
    <w:p w14:paraId="5DED15D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Прямой связи между Кюфером и Ренье в Вашем присутствии не было?</w:t>
      </w:r>
    </w:p>
    <w:p w14:paraId="6B6C778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РАМЗИИ: Нет.</w:t>
      </w:r>
    </w:p>
    <w:p w14:paraId="3B336C3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Они держались каждый по своей линии, говорил ли Реньо о Кюфере или Кюфер о Реньо, кроме встречи в театре?</w:t>
      </w:r>
    </w:p>
    <w:p w14:paraId="3ECC182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Конечно, говорили, потому что, когда направляли записки, они говорили — безразлично кому направлять — Реньо или Кюферу, но чтобы одновременно видеться, этого не было.</w:t>
      </w:r>
    </w:p>
    <w:p w14:paraId="36C69E2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после марта 1930 г. Кюфер ничего не говорил?</w:t>
      </w:r>
    </w:p>
    <w:p w14:paraId="7CAD204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Я не виделся с ним больше.</w:t>
      </w:r>
    </w:p>
    <w:p w14:paraId="18BCC1F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передает Калинникову фотографии с теми же указаниями, которые он делал предыдущему подсудимому).</w:t>
      </w:r>
    </w:p>
    <w:p w14:paraId="1C6965E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не знали фактического момента выезда Кюфера?</w:t>
      </w:r>
    </w:p>
    <w:p w14:paraId="1277854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Нет.</w:t>
      </w:r>
    </w:p>
    <w:p w14:paraId="0E416C6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Рамзин, у меня такого рода вопрос: чем вызывалась необходимость встречаться для вас с Кюфером или Реньо в присутствии еще других лиц, не непосредственно вы и он, с глазу на глаз, а в одном случае участвовал Ларичев и Калинников, в другом случае был Предтеченский и т.д.?</w:t>
      </w:r>
    </w:p>
    <w:p w14:paraId="7EE99E2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Это было вызвано необходимостью познакомить этих лиц. С Очкиным я познакомил для того, чтобы он в дальнейшем поддерживал связь. Это вполне естественно, потому что мои сношения с Реньо могли вызвать подозрения. Поэтому я установил связь через Очкина и Гордона. Это было вызвано необходимостью и моим желанием иметь не прямую связь, а через третьих лиц. С Предтеченским связь была установлена также на случай, скажем, отъезда Очкина, чтобы он его замещал. Это было легко сделать, так как Предтеченский живет рядом со мной. Поэтому, когда ко мне приехал Кюфер, я познакомил с ним Предтеченского.</w:t>
      </w:r>
    </w:p>
    <w:p w14:paraId="636581C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Тут был и Ларичев?</w:t>
      </w:r>
    </w:p>
    <w:p w14:paraId="48319FD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Эта первая встреча была использована для знакомства с Очкиным, чтобы осуществить связь, с Предтеченским — для той же цели. Что касается Ларичева, то ему необходимо было иметь связь по денежным делам и по тем сношениям, которые вел Ларичев, так что эти встречи вызывались необходимостью с этой точки зрения.</w:t>
      </w:r>
    </w:p>
    <w:p w14:paraId="32CECDE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С Калинниковым — здесь, кроме того, были вопросы военного характера или, вернее, военной промышленности, которые были поручены Калинникову. Поэтому эта встреча и происходила в присутствии Калинникова.</w:t>
      </w:r>
    </w:p>
    <w:p w14:paraId="42BF0BD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Повторяю, это вызывалось прямой необходимостью.</w:t>
      </w:r>
    </w:p>
    <w:p w14:paraId="3635EB8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Все эти свидания Калинникова и Ларичева были организованы по Вашей инициативе?</w:t>
      </w:r>
    </w:p>
    <w:p w14:paraId="4D9A861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Первое свидание было у меня. Я по очереди пройду по всем свиданиям, как они были организованы.</w:t>
      </w:r>
    </w:p>
    <w:p w14:paraId="3C181D7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Первое свидание с Кюфером было организовано так. После моего знакомство с ним в Цекубу, я уговорился с ним, что через некоторое время мы созвонимся по телефону и я устрою встречу у себя на квартире и познакомлю его с теми членами промпартии, которые необходимы для дальнейших связей и взаимоотношений. Так как было условлено время час этой встречи по телефону, я к этому времени предложил притти ко мне членам промпартии.</w:t>
      </w:r>
    </w:p>
    <w:p w14:paraId="042E4B2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Следующая встреча с Кюфером была организована Ларичевым в конце 1928 г. Эта встреча была организована Ларичевым потому, что он перед этим видел Кюфера.</w:t>
      </w:r>
    </w:p>
    <w:p w14:paraId="7F05B52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Первая встреча с Реньо произошла в Институте, куда он пришел с письмом от Французской Миссии. При этой встрече было условлено встретиться через две недели у меня на квартире, предварительно созвонившись по телефону. Так и было сделано: я условился с ним по телефону относительно времени и часа и пригласил Очкина.</w:t>
      </w:r>
    </w:p>
    <w:p w14:paraId="1902F2B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lastRenderedPageBreak/>
        <w:t>ПРЕДСЕДАТЕЛЬ: До встречи Вашей с Реньо у Вас на квартире с участием Очкина была еще встреча с Реньо?</w:t>
      </w:r>
    </w:p>
    <w:p w14:paraId="2126C2E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 мое знакомство с ним произошло в служебном кабинете в Теплотехническом Институте, куда он пришел с письмом от Дипломатической миссии. Длительной беседы в служебном кабинете мы не вели, так как было неудобно вести, каждую минуту мог кто-либо зайти, и я предложил устроить ему встречу для установления связи у себя на квартире.</w:t>
      </w:r>
    </w:p>
    <w:p w14:paraId="670F0E7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Другими словами, Ваше знакомство с ним — была первая встреча, с Очкиным — вторая и третья с Калинниковым и Ларичевым?</w:t>
      </w:r>
    </w:p>
    <w:p w14:paraId="47AC196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 но с Ларичевым он случайно встретился. Когда он находился у Калинникова, я позвонил Ларичеву по телефону, зная, что ему необходимо передать Реньо пакет и сказал, что если он скоро придет на квартиру Калинникова, то он успеет передать пакет Реньо. Он пришел, вручил пакет и ушел. И четвертая встреча была у Очкина.</w:t>
      </w:r>
    </w:p>
    <w:p w14:paraId="305709D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Еще были встречи?</w:t>
      </w:r>
    </w:p>
    <w:p w14:paraId="16204D6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Всего четыре встречи с Реньо.</w:t>
      </w:r>
    </w:p>
    <w:p w14:paraId="70461DE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Вы сначала назвали три встречи.</w:t>
      </w:r>
    </w:p>
    <w:p w14:paraId="4CF68E5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Я назвал три длинных встречи, а эту короткую встречу — знакомство, я упустил.</w:t>
      </w:r>
    </w:p>
    <w:p w14:paraId="29C0AFC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А с Кюфером?</w:t>
      </w:r>
    </w:p>
    <w:p w14:paraId="6025046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Две встречи длительные у меня были с Кюфером и две кратковременных. Две коротких встречи — первая встреча в ЦЕКУБУ, где меня с ним познакомил Пальчинский, и вторая кратковременная встреча в конце 1929 г., когда Кюфер познакомился с Очкиным. И две длительных встречи были у меня и Ларичева. Последняя кратковременная встреча с Кюфером произошла потому, что он привез последнюю порцию денег. Это были последние деньги, полученные из-за границы.</w:t>
      </w:r>
    </w:p>
    <w:p w14:paraId="0727588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Сколько всего встреч было?</w:t>
      </w:r>
    </w:p>
    <w:p w14:paraId="0B7B52B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Четыре с Кюфером и четыре с Реньо.</w:t>
      </w:r>
    </w:p>
    <w:p w14:paraId="151FED2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Из них две встречи какого порядка?</w:t>
      </w:r>
    </w:p>
    <w:p w14:paraId="04D9A20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Формального порядка в первом случае и три встречи такого же порядка в другом.</w:t>
      </w:r>
    </w:p>
    <w:p w14:paraId="2C29842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Еще можно поставить несколько вопросов для уточнения по существу?</w:t>
      </w:r>
    </w:p>
    <w:p w14:paraId="4FBF294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Я хотел бы поставить на обсуждение Специального Присутствия следующий вопрос: считает ли целесообразным Специальное Присутствие огласить на закрытом заседании факты опознания подсудимыми карточек?</w:t>
      </w:r>
    </w:p>
    <w:p w14:paraId="739E63B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Специальное Присутствие считает нужным огласить сейчас следующие данные: подсудимый Рамзин из предъявленных ему шести карточек опознал на карточке, значащейся под номером 4 гр. Реньо и на карточке под № 5 — гр. Кюфера; подсудимый Ларичев из предъявленных ему для просмотра шести карточек указал, что на карточке № 5 он опознал Кюфера; подсудимый Калинников из предъявленных ему шести карточек указал, что на карточке под № 4 он узнал Реньо и на карточке под № 5 — Кюфера; Очкин показал также, что на карточке, обозначенной под № 4, он узнал Реньо и на карточке № 5 — Кюфера.</w:t>
      </w:r>
    </w:p>
    <w:p w14:paraId="1E64AA7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Этими фактами мы можем удостоверить в настоящий момент, что все подсудимые в карточках, непосредственно им предъявленных, в порядке закрытого изложения ими своего мнения на отдельных листах, узнали на карточке под № 4 — Реньо и на карточке под № 5 — Кюфера, за исключением подсудимого Ларичева, который указал под № 5 только на одного Кюфера.</w:t>
      </w:r>
    </w:p>
    <w:p w14:paraId="16ED680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Пожалуйста, тов. Секретарь, приобщите это к делу (передает материал).</w:t>
      </w:r>
    </w:p>
    <w:p w14:paraId="2CBCE6F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Какие угодны еще вопросы?</w:t>
      </w:r>
    </w:p>
    <w:p w14:paraId="65F4F5A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Я бы хотел уточнить некоторые моменты. Нельзя ли попросить гр. Рамзина. (Рамзин подходит).</w:t>
      </w:r>
    </w:p>
    <w:p w14:paraId="01801D4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 Рамзину) Расскажите про свидание, где говорилось относительно интервенции, относительно связи с военной промышленностью и о необходимости использования ряда заданий шпионского характера.</w:t>
      </w:r>
    </w:p>
    <w:p w14:paraId="2AEFBC9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Виноват, я не расслышал.</w:t>
      </w:r>
    </w:p>
    <w:p w14:paraId="4A23464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Я хотел бы, чтобы Вы рассказали, говорилось ли на совещаниях о тех сведениях, которые мы уже знаем, при чем сообщите дополнительно, если помните, некоторые подробности — может быть они были, может быть нет, подробности относительно того, говорилось ли прямо о связи с французским командованием, в частности по вопросу установления прямой связи между военными командирами?</w:t>
      </w:r>
    </w:p>
    <w:p w14:paraId="464CBB9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Те беседы, которые касались военной промышленности или военных дел, они имели место при следующих встречах: первая встреча у меня на квартире с Кюфером в 1928 г. в присутствии Калинникова, где Кюфер просил дать дополнительно сведения из военной промышленности. Во исполнение этой просьбы были собраны и затем доставлены сведения по основной химической промышленности, как говорил Калинников...</w:t>
      </w:r>
    </w:p>
    <w:p w14:paraId="08C5A09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Остальные вопросы были другого характера.</w:t>
      </w:r>
    </w:p>
    <w:p w14:paraId="20AFA48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Следующий вопрос, касающийся опять-таки военного дела. По этому поводу была беседа с Кюфером на квартире у Ларичева, где Кюфер давал директиву от имени французского Генерального Штаба и Торгпрома, при чем эта директива была письменно подтверждена Торгпромом — о необходимости принять ряд мер в плановом порядке к плановой задержке военной промышленности. Из бесед с Кюфером — первая беседа касалась установления связей, общего положения и информации об интервенции.</w:t>
      </w:r>
    </w:p>
    <w:p w14:paraId="0D48257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Тут прямых военных вопросов не было. При второй встрече с Реньо на квартире Калинникова в середине 1929 г. беседа была, главным образом, посвящена военным вопросам, а именно, был изложен план диверсии по электростанциям, военной промышленности, военным заводам и районным станциям. План был одобрен в смысле подхода к диверсии и здесь настойчиво г-н Реньо требовал ускорения диверсионной работы и создания диверсионных ячеек. Следующий вопрос — это относительно создания военной организации. Здесь было чрезвычайно настойчивое требование, в дополнение к письму, которое получили от Торгпрома, что хотя в Париже был разговор о создании военной организации, но до сих пор ничего в этом отношении не сделали, а французский Генеральный Штаб придает этому вопросу большое значение и поэтому нужно принять меры к ускорению создания вредительской организации. Под этим давлением была избрана военная комиссия, чтобы завязать связи в военных кругах. При этой же встрече был разговор относительно работы по осушению Кубанских плавней, работы, которая была начата в направлении мелиорации, имела целью осуществить высадку десанта на этой осушенной площади, чтобы обеспечить плацдарм для размещения военных сил.</w:t>
      </w:r>
    </w:p>
    <w:p w14:paraId="23D300B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 этой работе было приступлено очень спешно в начале 1929 г. В середине 1929 г. эта работа находилась в периоде исполнения. В эту встречу Реньо говорил мне, что необходимо, если имеются возможности, Промпартии принять меры к проведению этой работы и что срок окончания работы, поставленный на осень 1930 года, не удовлетворяет. Желательно было бы закончить работу не осенью, а летом 1930 г. и просил Промпартию принять все меры к ускорению этой работы. Когда я поинтересовался причиной форсирования работы, то здесь получил разъяснение относительно десанта красновских казаков, о которых я говорил на судебном следствии.</w:t>
      </w:r>
    </w:p>
    <w:p w14:paraId="70CEE07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Затем следующий вопрос военного характера — была просьба дать записку о состоянии авиации, причем дать записку о состоянии военной авиации. Я сказал, что мы не можем получить сведения о военной авиации за отсутствием источника, откуда можно эти сведения взять. И, единственно, что мы можем представить, это сведения о гражданской авиации. И на этом согласились. При последней встрече с Реньо в конце 1929 г. — в ноябре или декабре, за точность воспоминаний я не ручаюсь, когда были поставлены такие вопросы информационного характера — относительно отсрочки интервенции, причины, нового плана, экономической блокады, я передал записку об авиации, которую получил от Стечкина.</w:t>
      </w:r>
    </w:p>
    <w:p w14:paraId="4B87193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Второй заказ был дан относительно сведений о авиобазах в районе Ленинграда, что также было поручено ЦК Промпартии Стечкину и другим работникам, находящимся в воздушном флоте. Задание было исполнено, и через Калинникова Кюферу была доставлена записка. Это было уже после отъезда Реньо. И последний вопрос — относительно создания прямой связи между военной группой Промпартии и французским Генеральным штабом. Я могу назвать фамилии участвовавших официальных французских лиц.</w:t>
      </w:r>
    </w:p>
    <w:p w14:paraId="18DF2BE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Нет, не надо.</w:t>
      </w:r>
    </w:p>
    <w:p w14:paraId="44A4C78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Сообщите точно содержание поручений, которые получили через Реньо.</w:t>
      </w:r>
    </w:p>
    <w:p w14:paraId="0086D11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Но поручение шло от имени официального лица, находящегося в Москве. Назвать его здесь?</w:t>
      </w:r>
    </w:p>
    <w:p w14:paraId="4F0F694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Называть это лицо не надлежит.</w:t>
      </w:r>
    </w:p>
    <w:p w14:paraId="1D464BB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От имени официального французского лица, находящегося в Москве, Реньо мне передал, что связь через посредство длинной цепочки гражданских лиц вызывает недоразумения и является мало удовлетворительной, что Французский Генштаб через то лицо, которое я не называю, считает необходимым установить прямую связь между военными лицами, которые будут работать в военной комиссии «Промпартии», непосредственно с французским Генеральным штабом в лице полковника Ришара, при чем, как я уже говорил на открытом заседании, мне осталось не совсем ясным — предполагает ли полковник Ришар приехать в Москву или будет находиться по[-]прежнему в Париже. Эта деталь осталась для меня неясной.</w:t>
      </w:r>
    </w:p>
    <w:p w14:paraId="2CD3940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А конкретные шаги по реализации этого были установлены?</w:t>
      </w:r>
    </w:p>
    <w:p w14:paraId="4BE1D31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Я на 99 % могу сказать, что эта связь не была установлена.</w:t>
      </w:r>
    </w:p>
    <w:p w14:paraId="316CD6D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Но предполагалось иметь связь между отдельными лицами нашего командования или лицами, соприкасающимися с нашим командованием, установить связь с командованием французского Генерального штаба?</w:t>
      </w:r>
    </w:p>
    <w:p w14:paraId="377A4DF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По мере продвижения вербовки членов в военную комиссию Промпартии, один из руководящих членов этой комиссии должен был установить прямую связь с Ришаром.</w:t>
      </w:r>
    </w:p>
    <w:p w14:paraId="6A0D08F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Прямую связь — устного или личного характера, если бы таковой приехал?</w:t>
      </w:r>
    </w:p>
    <w:p w14:paraId="111DD39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lastRenderedPageBreak/>
        <w:t>РАМЗИН: Очевидно так.</w:t>
      </w:r>
    </w:p>
    <w:p w14:paraId="404ACB8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Во всяком случае минуя эту цепочку лиц?</w:t>
      </w:r>
    </w:p>
    <w:p w14:paraId="106ED01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w:t>
      </w:r>
    </w:p>
    <w:p w14:paraId="0630BD5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Ввиду большей специализации или ввиду большей конспирации?</w:t>
      </w:r>
    </w:p>
    <w:p w14:paraId="16DDAAE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Главным образом, потому, что сведения, проходя через гражданских лиц, неизбежно путались. У меня создалось такое впечатление, что когда специалисты между собой разговаривают, они гораздо скорее и легче договариваются, а штатские вносят путаницу и задержку.</w:t>
      </w:r>
    </w:p>
    <w:p w14:paraId="50F1F4A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Вот, насколько я помню, все эти разговоры.</w:t>
      </w:r>
    </w:p>
    <w:p w14:paraId="6D44506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Я хотел бы сделать следующее предложение для дальнейшего уточнения моментов, касающихся непосредственно указанных лиц, значит, момента, что из себя представляют эти карточки, каким образом они оказались в руках обвинения и представлены суду — я бы хотел сделать предложение приобщить их к делу, поскольку такого рода сведения не могут быть оглашены даже в секретном заседании.</w:t>
      </w:r>
    </w:p>
    <w:p w14:paraId="70CCC10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Конечно.</w:t>
      </w:r>
    </w:p>
    <w:p w14:paraId="7A15118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 Рамзину больше вопросов нет? (Нет).</w:t>
      </w:r>
    </w:p>
    <w:p w14:paraId="154DB9D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Имеются ли вопросы к другим подсудимым?</w:t>
      </w:r>
    </w:p>
    <w:p w14:paraId="61DE37B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Остальные вопросы, которые подлежали рассмотрению, касаются вопросов военной организации. Поскольку эти вопросы относятся еще к стадии следственной разработки и здесь имеется целый ряд имен, обвинение равным образом считает возможным устранить их из настоящего рассмотрения и приобщить к делу.</w:t>
      </w:r>
    </w:p>
    <w:p w14:paraId="250BD7B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Хорошо, если Вы не настаиваете на специальных вопросах, можно с этим будет согласиться.</w:t>
      </w:r>
    </w:p>
    <w:p w14:paraId="52608EA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Вы имеете в виду подвергнуть дополнительно исследованию какие-нибудь вопросы диверсионного характера?</w:t>
      </w:r>
    </w:p>
    <w:p w14:paraId="5D4E905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Да, я хочу немного уточнить некоторые вопросы. Разрешите спросить Рамзина?</w:t>
      </w:r>
    </w:p>
    <w:p w14:paraId="2A03248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Рамзин.</w:t>
      </w:r>
    </w:p>
    <w:p w14:paraId="559C41B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Установите пять групп объектов диверсионного характера по электростанциям, которые имелись в виду.</w:t>
      </w:r>
    </w:p>
    <w:p w14:paraId="669266B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РАМ3ИН: Были намечены по электростанциям такие объекты для диверсии — Московское Объединение Электрических станций — МОГЭС. Не пять объектов, а вся группа станций, входящих в это объединение — Москва, Шатурская станция, станция имени Классона, Электропередача. Второй узел — объединение Ленинградских Электростанций — Электроток. Следующая группа по электростанциям военной промышленности. Объединение всех станций в одну группу, которая должна действовать по этим станциям, но сами станции разбросаны. Четвертая группа — Ленинградская группа промышленного значения, помимо Электротока, по заводам оборонного значения — Путиловский, Обуховский заводы. Пятая группа — Объединение электростанций Донбасса, куда входит Горловское кольцо, Штеровская станция и др., обслуживающие Донбасс.</w:t>
      </w:r>
    </w:p>
    <w:p w14:paraId="197C6FA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МОГЭС — одна группа, Ленинградский Электроток — вторая, а затем?</w:t>
      </w:r>
    </w:p>
    <w:p w14:paraId="55D3167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 Ленинграде одна группа по Электротоку, а другая по промышленным заводам. Четвертая группа по военной промышленности и пятая Донбассовская.</w:t>
      </w:r>
    </w:p>
    <w:p w14:paraId="1E123FD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 каждой из этих областей были созданы специальные группы?</w:t>
      </w:r>
    </w:p>
    <w:p w14:paraId="3D287FD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 некоторых уже были созданы, а в некоторых только что создавались. В МОГЭСе создана, по Электротоку — создана, по Ленинградской промышленности — создана, по Донбассу только что начала создаваться.</w:t>
      </w:r>
    </w:p>
    <w:p w14:paraId="55BE09D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Конкретно кто организовывал?</w:t>
      </w:r>
    </w:p>
    <w:p w14:paraId="768B6A2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 МОГЭСе начальные разговоры я вел с головкой, также и по Ленинграду разговоры с головкой вел я. Состав групп до конца мне не был известен, но руководящая головка, с которой я вел переговоры, мне была известна и я о них указывал в своих показаниях.</w:t>
      </w:r>
    </w:p>
    <w:p w14:paraId="5D74EC4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Какую роль играл здесь Очкин?</w:t>
      </w:r>
    </w:p>
    <w:p w14:paraId="6998648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 диверсионной организации никакой. У Очкина были периферийные связи.</w:t>
      </w:r>
    </w:p>
    <w:p w14:paraId="1655BD5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Можно спросить подсудимого Очкина?</w:t>
      </w:r>
    </w:p>
    <w:p w14:paraId="724D060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Очкин (Очкин подходит).</w:t>
      </w:r>
    </w:p>
    <w:p w14:paraId="0FECEB1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никакой роли в диверсионной работе не играли, никакого участия не принимали?</w:t>
      </w:r>
    </w:p>
    <w:p w14:paraId="0F03EC8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Нет, и в своих показаниях я так и показывал.</w:t>
      </w:r>
    </w:p>
    <w:p w14:paraId="2495FE1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Но где-то в Ваших показаниях я видел, что Вы как будто участвовали.</w:t>
      </w:r>
    </w:p>
    <w:p w14:paraId="294091C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Я видел это в его обвинительном заключении и тогда еще очень этому удивился.</w:t>
      </w:r>
    </w:p>
    <w:p w14:paraId="2D25D46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не помните, чтобы Очкин принимал участия?</w:t>
      </w:r>
    </w:p>
    <w:p w14:paraId="1F51CA4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Никогда таких разговоров я с ним не вел и поручений в таком направлении не давал.</w:t>
      </w:r>
    </w:p>
    <w:p w14:paraId="1FCA10B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Мы проверим такой факт, и если ошибаемся, примем это во внимание.</w:t>
      </w:r>
    </w:p>
    <w:p w14:paraId="25EFE6D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Через Евреинова вел переговоры.</w:t>
      </w:r>
    </w:p>
    <w:p w14:paraId="7F76AB7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Имя Евреинова мне хорошо известно.</w:t>
      </w:r>
    </w:p>
    <w:p w14:paraId="069C5E9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Это недоразумение, я думаю, возникло на такой почве, что у Очкина были периферийные связи.</w:t>
      </w:r>
    </w:p>
    <w:p w14:paraId="37E51AB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В показаниях об этом написано: «В ячейку Теплотехнического Института входили такие-то и такие-то лица». Там надо было бы поставить тире.</w:t>
      </w:r>
    </w:p>
    <w:p w14:paraId="6B3F059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На открытом заседании Вам был задан вопрос тов. Львовым относительно диверсионных намерений в части завода «Амо». Входил ли в план диверсионных актов этот завод, который по своему местоположению находится близко от Теплотехнического Института?</w:t>
      </w:r>
    </w:p>
    <w:p w14:paraId="6BC58E2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Он расположен рядом, но специальных диверсионных актов в отношении этого завода не предполагалось. Он шел, как и другие заводы.</w:t>
      </w:r>
    </w:p>
    <w:p w14:paraId="14EA449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Специальных разрушительных действий не предполагалось?</w:t>
      </w:r>
    </w:p>
    <w:p w14:paraId="7A56C63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Нет, но, выключая ток, мы этим самым выключали все заводы.</w:t>
      </w:r>
    </w:p>
    <w:p w14:paraId="6DFE6ED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 Очкину): В ваших показаниях на стр. 338/об. говорится «Мне известно, что диверсионные станции"...» (читает).</w:t>
      </w:r>
    </w:p>
    <w:p w14:paraId="54EEFF8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Я говорил о том, что только знал от Рамзина.</w:t>
      </w:r>
    </w:p>
    <w:p w14:paraId="6FCEAF2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Он знал не только от меня, но и от Евреинова. Прямого участия в диверсионной организации он не принимал.</w:t>
      </w:r>
    </w:p>
    <w:p w14:paraId="6721FFF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И специальных заданий на периферии не имел?</w:t>
      </w:r>
    </w:p>
    <w:p w14:paraId="1E66C6A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Нет, не имел.</w:t>
      </w:r>
    </w:p>
    <w:p w14:paraId="67DFFFE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об этом нигде не показывали?</w:t>
      </w:r>
    </w:p>
    <w:p w14:paraId="17686DA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Нет, но что Очкин знал об этом — это да.</w:t>
      </w:r>
    </w:p>
    <w:p w14:paraId="1C4440E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 Очкину): Предтеченского вы знали?</w:t>
      </w:r>
    </w:p>
    <w:p w14:paraId="017A49C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w:t>
      </w:r>
    </w:p>
    <w:p w14:paraId="4B6C9D0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Худякова знали?</w:t>
      </w:r>
    </w:p>
    <w:p w14:paraId="20CFD6B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w:t>
      </w:r>
    </w:p>
    <w:p w14:paraId="606C843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 вопросе Московского узла не эти лица должны были принимать участие?</w:t>
      </w:r>
    </w:p>
    <w:p w14:paraId="3E182C9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Это совсем другое.</w:t>
      </w:r>
    </w:p>
    <w:p w14:paraId="40742A3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Другое, так как (к Председателю) можно гр. Очкина сюда попросить? (Очкин подходит)</w:t>
      </w:r>
    </w:p>
    <w:p w14:paraId="4384A67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 Очкину): Вот, посмотрите, на эту часть Ваших самых первых показаний. Здесь говорится...</w:t>
      </w:r>
      <w:r w:rsidRPr="00507A31">
        <w:rPr>
          <w:color w:val="000000" w:themeColor="text1"/>
          <w:sz w:val="16"/>
          <w:szCs w:val="16"/>
          <w:vertAlign w:val="superscript"/>
        </w:rPr>
        <w:t>0</w:t>
      </w:r>
    </w:p>
    <w:p w14:paraId="52F33AA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«Для проведения в жизнь мероприятий Рамзин...». А раньше говорится: «Следующие обязанности на Предтеченского, Худякова и меня по подготовке диверсионных актов».</w:t>
      </w:r>
    </w:p>
    <w:p w14:paraId="581E42E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Это ошибка произошла. Здесь имелось другое слово, а не «диверсионных». Здесь произошла ошибка, которую я не заметил.</w:t>
      </w:r>
    </w:p>
    <w:p w14:paraId="1BF98C2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Что же Вы не сообщили тогда, когда Вам предъявляли обвинение, второй пункт обвинения, о чем здесь правильно говорит Рамзии, что он удивился, что Вам было предъявлено такое обвинение. В обвинении следователя по важнейшим делам тов. Левентона вторым пунктом говорится об этом, а дальше внизу написано, что «все показания подтверждаю полностью и признаю в полном объеме» и Ваша подпись.</w:t>
      </w:r>
    </w:p>
    <w:p w14:paraId="4F81C3A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Я не разобрал в чем дело.</w:t>
      </w:r>
    </w:p>
    <w:p w14:paraId="403AB1B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Нельзя не разбираться в таких вещах. Что же Ваше участие относится не к производству актов такого характера, а актов иного вредительского характера?</w:t>
      </w:r>
    </w:p>
    <w:p w14:paraId="26C04BC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w:t>
      </w:r>
    </w:p>
    <w:p w14:paraId="3A275DF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Нужно было тогда соответственно оговорить, раз Вы утверждаете, что Вам это было неизвестно?</w:t>
      </w:r>
    </w:p>
    <w:p w14:paraId="134CBCA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 и Рамзин говорит — это совершенно другое задание.</w:t>
      </w:r>
    </w:p>
    <w:p w14:paraId="01EEFA9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 xml:space="preserve">КРЫЛЕНКО: Для того, чтобы по этому вопросу не было никаких недоразумений у Специального Присутствия, я ходатайствую о приобщении этого протокола, который я держу в руках, его показаний, для того, чтобы Специальное Присутствие могло, разобравшись во всем содержании протокола, установить возможность или правдоподобность утверждения подсудимого Очкина о том, что здесь ошибка или описка, которую он не заметил, когда ему читали, как равным образом, по тем </w:t>
      </w:r>
      <w:r w:rsidRPr="00507A31">
        <w:rPr>
          <w:color w:val="000000" w:themeColor="text1"/>
          <w:sz w:val="16"/>
          <w:szCs w:val="16"/>
        </w:rPr>
        <w:lastRenderedPageBreak/>
        <w:t>же соображениям, не вдумавшись, он признал предъявленное к нему обвинение правильным. Я прошу приобщить только вторую часть его показаний, вернее, только первые пять строчек его. Можете огласить эти пять строчек сторонам (передает протокол Председателю).</w:t>
      </w:r>
    </w:p>
    <w:p w14:paraId="480F254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Вы эти пять строчек знаете?</w:t>
      </w:r>
    </w:p>
    <w:p w14:paraId="0814F84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w:t>
      </w:r>
    </w:p>
    <w:p w14:paraId="27854EC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Специальное Присутствие определяет приобщить это показание от 19-го октября 1930 г.</w:t>
      </w:r>
    </w:p>
    <w:p w14:paraId="402AF3D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(Председателю): Точно сказано, что имелись все основания для предъявления обвинения. Имеются все основания для предъявления такого обвинения и Очкин может сейчас противопоставить или одно голое отрицание или ссылку на ошибку.</w:t>
      </w:r>
    </w:p>
    <w:p w14:paraId="4ADA568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Подсудимый Очкин, в Ваших показаниях от 31-го октября Вы достаточно подробно рассказывали на 329/об. листе, что может явиться актом диверсии, указывали то-то и то-то. От кого Вы это знали?</w:t>
      </w:r>
    </w:p>
    <w:p w14:paraId="353557F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От Рамзина.</w:t>
      </w:r>
    </w:p>
    <w:p w14:paraId="5A7BCAE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Больше ни от кого?</w:t>
      </w:r>
    </w:p>
    <w:p w14:paraId="5A23367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Там было пять человек.</w:t>
      </w:r>
    </w:p>
    <w:p w14:paraId="13EE32F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Кто именно? Давидов был?</w:t>
      </w:r>
    </w:p>
    <w:p w14:paraId="3425707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w:t>
      </w:r>
    </w:p>
    <w:p w14:paraId="1B57629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Козлинский был?</w:t>
      </w:r>
    </w:p>
    <w:p w14:paraId="026CFB0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Был.</w:t>
      </w:r>
    </w:p>
    <w:p w14:paraId="29E7887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Предтеченский был?</w:t>
      </w:r>
    </w:p>
    <w:p w14:paraId="326B5BA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Был.</w:t>
      </w:r>
    </w:p>
    <w:p w14:paraId="5BA71FE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Кто еще был?</w:t>
      </w:r>
    </w:p>
    <w:p w14:paraId="357EE64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Кажется, Евреинов.</w:t>
      </w:r>
    </w:p>
    <w:p w14:paraId="605464E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Это все люди, которые имели поручения диверсионного характера?</w:t>
      </w:r>
    </w:p>
    <w:p w14:paraId="20B0574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w:t>
      </w:r>
    </w:p>
    <w:p w14:paraId="2810F25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Значит, Рамзин делал сообщение на заседании, где присутствовало несколько лиц, имеющих диверсионные поручения?</w:t>
      </w:r>
    </w:p>
    <w:p w14:paraId="2D2DF29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(молчит).</w:t>
      </w:r>
    </w:p>
    <w:p w14:paraId="56C11FF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Давидов имел диверсионное поручение?</w:t>
      </w:r>
    </w:p>
    <w:p w14:paraId="49F32F2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Кажется, нет.</w:t>
      </w:r>
    </w:p>
    <w:p w14:paraId="1164B36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Возьмем шестую строчку этих показаний: «На Козлинского и Давидова в таком-то районе было возложено...». А раньше говорится, что в Московском районе было возложено на Вас. Вы, правда, говорите, что это ошибка, но относительно Козлинского и Давидова не отрицаете. И вот эти лица присутствовали вместе с Вами на заседании, где Рамзин делал сообщение маленькой диверсионной группе.</w:t>
      </w:r>
    </w:p>
    <w:p w14:paraId="5F432DC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Это информация.</w:t>
      </w:r>
    </w:p>
    <w:p w14:paraId="2F40812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Поставим вопрос ребром: было дело?</w:t>
      </w:r>
    </w:p>
    <w:p w14:paraId="58A704F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Только информация была.</w:t>
      </w:r>
    </w:p>
    <w:p w14:paraId="1A773F9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Но почему он Вас информировал?</w:t>
      </w:r>
    </w:p>
    <w:p w14:paraId="6BD064D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(молчит).</w:t>
      </w:r>
    </w:p>
    <w:p w14:paraId="34B9812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Трудно допустить ошибку, ну, скажем, в протоколе была ошибка, а второй документ?</w:t>
      </w:r>
    </w:p>
    <w:p w14:paraId="4B9C37C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Я во всем сознаюсь и раскаиваюсь, но у меня никаких связей не было с диверсионной группой.</w:t>
      </w:r>
    </w:p>
    <w:p w14:paraId="431527E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Последующую часть этих показаний Вы признаете или опровергаете: «На Козлинского и Давидова было возложено...». Это вы подтверждаете?</w:t>
      </w:r>
    </w:p>
    <w:p w14:paraId="1DA9D6B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Подтверждаю.</w:t>
      </w:r>
    </w:p>
    <w:p w14:paraId="179EEA9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Следовательно, можно сказать, что на Козлинского, Давидова, Евреинова возлагались некоторые поручения диверсионного характера?</w:t>
      </w:r>
    </w:p>
    <w:p w14:paraId="469B9BD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Это было.</w:t>
      </w:r>
    </w:p>
    <w:p w14:paraId="5AB59AC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Вы подтверждаете, что Рамзин о диверсионных актах делал сообщение на заседании, где присутствовали — Козлинский, Давидов, Евреинов?</w:t>
      </w:r>
    </w:p>
    <w:p w14:paraId="03FEEBA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w:t>
      </w:r>
    </w:p>
    <w:p w14:paraId="65A3441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На этом заседании присутствовали и Вы?</w:t>
      </w:r>
    </w:p>
    <w:p w14:paraId="4377880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Да.</w:t>
      </w:r>
    </w:p>
    <w:p w14:paraId="5BA99F4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Значит, присутствовало четыре человека, из которых трое получили прямые диверсионные поручения, а Вы только присутствовали?</w:t>
      </w:r>
    </w:p>
    <w:p w14:paraId="1550258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Я тоже получил.</w:t>
      </w:r>
    </w:p>
    <w:p w14:paraId="3EBBC75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Что — диверсионное поручение?</w:t>
      </w:r>
    </w:p>
    <w:p w14:paraId="44DB29A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Диверсионное поручение.</w:t>
      </w:r>
    </w:p>
    <w:p w14:paraId="26D9A55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Вы поколебались немного, но теперь можно установить, что содержание этих показаний правильно?</w:t>
      </w:r>
    </w:p>
    <w:p w14:paraId="06A9B56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Правильно.</w:t>
      </w:r>
    </w:p>
    <w:p w14:paraId="37A026D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И все остальное тоже правильно?</w:t>
      </w:r>
    </w:p>
    <w:p w14:paraId="15FF402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ОЧКИН: Все правильно.</w:t>
      </w:r>
    </w:p>
    <w:p w14:paraId="7C4CF28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Вопрос исчерпан. Садитесь.</w:t>
      </w:r>
    </w:p>
    <w:p w14:paraId="2F01277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Мне кажется, что дело здесь не совсем так: это были предварительные разговоры, были...</w:t>
      </w:r>
    </w:p>
    <w:p w14:paraId="5A54EFC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Но диверсионная группа была окончательно сформирована или только намечался план?</w:t>
      </w:r>
    </w:p>
    <w:p w14:paraId="077E96E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 том-то и сила, что в эту группу ни Козлинский, ни Давидов, ни Очкин не входили. Была только Евреиновская группа. Это были первые разговоры, первые проекты.</w:t>
      </w:r>
    </w:p>
    <w:p w14:paraId="1E70FDC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Когда Вы утверждали в защите Очкина, что Очкин не имел прямых поручений... Вы хотели этим сказать, что он не вошел в последнюю группу?</w:t>
      </w:r>
    </w:p>
    <w:p w14:paraId="6FC59D6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 так как окончательно в то время еще эта ячейка не сложилась.</w:t>
      </w:r>
    </w:p>
    <w:p w14:paraId="0B3462E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Но осведомленность Очкина об этом устанавливаете?</w:t>
      </w:r>
    </w:p>
    <w:p w14:paraId="73C2A303"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w:t>
      </w:r>
    </w:p>
    <w:p w14:paraId="0CF4904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 первый проект группы Очкин намечался?</w:t>
      </w:r>
    </w:p>
    <w:p w14:paraId="1D505DC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w:t>
      </w:r>
    </w:p>
    <w:p w14:paraId="2F2B18B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 этом отношении его роль не ограничилась только тем, что он слышал?</w:t>
      </w:r>
    </w:p>
    <w:p w14:paraId="235F70B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 но фактически он не принял участия в той окончательной форме диверсионной группы, как она сложилась.</w:t>
      </w:r>
    </w:p>
    <w:p w14:paraId="1F7395E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Он был намечен первоначально в группу, которая окончательно еще не была оформлена. Следовательно, он предназначался для определенных диверсионных актов?</w:t>
      </w:r>
    </w:p>
    <w:p w14:paraId="3049FFE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Но он не был использован.</w:t>
      </w:r>
    </w:p>
    <w:p w14:paraId="21EB23F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Но вы диверсионных актов еще не производили?</w:t>
      </w:r>
    </w:p>
    <w:p w14:paraId="54CFE63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Да, но диверсионная организация сложилась и в конце концов приняла определенную форму, причем в состав не вошли ни Очкин, ни Давыдов, ни Козлинский.</w:t>
      </w:r>
    </w:p>
    <w:p w14:paraId="46C0A9B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Член суда тов. Львов спрашивает Вас может быть в виде пробы где-нибудь небольшие диверсионные акты репетировали?</w:t>
      </w:r>
    </w:p>
    <w:p w14:paraId="683CDA5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Нет, конечно. Такая репетиция...</w:t>
      </w:r>
    </w:p>
    <w:p w14:paraId="0190AF7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Была опасна?</w:t>
      </w:r>
    </w:p>
    <w:p w14:paraId="26A8581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Была не нужна и чрезвычайно опасна.</w:t>
      </w:r>
    </w:p>
    <w:p w14:paraId="23489831"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У меня больше вопросов к подсудимым нет, а документы я могу представить в секретном пакете на открытом заседании Специального Присутствия.</w:t>
      </w:r>
    </w:p>
    <w:p w14:paraId="33035E5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У защиты нет никаких вопросов к подсудимым в связи с последним эпизодом?</w:t>
      </w:r>
    </w:p>
    <w:p w14:paraId="2347EDB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БРАУДЭ: Нет.</w:t>
      </w:r>
    </w:p>
    <w:p w14:paraId="1977521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У подсудимых есть вопросы?</w:t>
      </w:r>
    </w:p>
    <w:p w14:paraId="1195454A"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Разрешите мне?</w:t>
      </w:r>
    </w:p>
    <w:p w14:paraId="268FEC8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Пожалуйста.</w:t>
      </w:r>
    </w:p>
    <w:p w14:paraId="7A72DC6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На судебном заседании Государственное обвинение запрашивало меня о том, что в моих показаниях нет указаний на вредительскую работу НКПСа. Разрешите мне ответить. Или это сделать в открытом заседании?</w:t>
      </w:r>
    </w:p>
    <w:p w14:paraId="237EA20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Нет, пожалуйста, сейчас.</w:t>
      </w:r>
    </w:p>
    <w:p w14:paraId="4C1A4B0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В моих показаниях от 3-го ноября о внутренней работе Промпартии на стр. 11-й имеется такое показание.</w:t>
      </w:r>
    </w:p>
    <w:p w14:paraId="27BDCBC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lastRenderedPageBreak/>
        <w:t>ПРЕДСЕДАТЕЛЬ: Можно огласить?</w:t>
      </w:r>
    </w:p>
    <w:p w14:paraId="3740330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Разрешите мне его огласить. Оно у меня как раз под руками.</w:t>
      </w:r>
    </w:p>
    <w:p w14:paraId="34F2EFF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«Общее руководство работой Промпартии в области транспорта осуществлялось сначала инж. Красовским и Янушевским, а после их ареста Ларичевым и Коган-Бернштейнов. Я могу указать лишь общие директивы направления деятельности Промпартии в этой области:</w:t>
      </w:r>
    </w:p>
    <w:p w14:paraId="66ED58D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Неправильное и нерациональное использование подвижного состава и паровозов с передачей годных паровозов на кладбища и т. п.; задержка развития провозоспособности по важнейшим направлениям Донбасс — Москва, Кузбасс — Урал и др., ставящее под удар и вопросы топливоснабжения; при неизбежном в ближайшем будущем остром дефиците спекающихся углей в Донбассе неприняти[е] никаких мер для подготовки к рациональному сжиганию неспекающихся углей; недостаточное развитие вагонного парка и платформ, приводившие в 1930 г. к перебоям в погрузке грузов; задержка развития нефтеналивного флота».</w:t>
      </w:r>
    </w:p>
    <w:p w14:paraId="3A76C03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Я имел в виду именно это показание и хотел констатировать, что в этих показаниях такого характера работы, о которой сообщал Красовский, ничего не значится, также и по разрушению мобилизационной готовности прифронтовых дорог. Вам было это известно, но в Ваших показаниях этого не имеется.</w:t>
      </w:r>
    </w:p>
    <w:p w14:paraId="78B9FFE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Я именно это и показываю. Указание следующего порядка относительно дорог...</w:t>
      </w:r>
    </w:p>
    <w:p w14:paraId="129C65DE"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Вы хотите сказать о том показании, где говорится относительно понижения провозоспособности. Должен констатировать, что и там не указывается той работы, о которой говорил Красовский.</w:t>
      </w:r>
    </w:p>
    <w:p w14:paraId="14FCBAC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Я уже говорил, что об этом заседании мне могли не докладывать.</w:t>
      </w:r>
    </w:p>
    <w:p w14:paraId="3E9763C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КРЫЛЕНКО: Но я сейчас же уточнил вопрос, что эта работа была Вам известна и Вы на это ответили утвердительно.</w:t>
      </w:r>
    </w:p>
    <w:p w14:paraId="50DB953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РАМЗИН (молчит).</w:t>
      </w:r>
    </w:p>
    <w:p w14:paraId="12F7791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ПРЕДСЕДАТЕЛЬ: Других вопросов у подсудимых нет? (Нет).</w:t>
      </w:r>
    </w:p>
    <w:p w14:paraId="3AECCCE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Тогда считаем Закрытое заседание Специального Присутствия и заключительную часть судебного заседания закрытым. Дальше будут прения сторон.</w:t>
      </w:r>
    </w:p>
    <w:p w14:paraId="297DB58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Объявляется перерыв до завтрашнего вечера о 5-ти часов.</w:t>
      </w:r>
    </w:p>
    <w:p w14:paraId="56AAB0D2"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Заседание закрывается.</w:t>
      </w:r>
    </w:p>
    <w:p w14:paraId="6D4E56E1" w14:textId="77777777" w:rsidR="00722106" w:rsidRPr="00507A31" w:rsidRDefault="00722106" w:rsidP="00507A31">
      <w:pPr>
        <w:pStyle w:val="ae"/>
        <w:spacing w:before="0" w:after="0"/>
        <w:jc w:val="both"/>
        <w:rPr>
          <w:color w:val="000000" w:themeColor="text1"/>
          <w:sz w:val="16"/>
          <w:szCs w:val="16"/>
        </w:rPr>
      </w:pPr>
      <w:r w:rsidRPr="00507A31">
        <w:rPr>
          <w:rStyle w:val="af0"/>
          <w:i w:val="0"/>
          <w:color w:val="000000" w:themeColor="text1"/>
          <w:sz w:val="16"/>
          <w:szCs w:val="16"/>
        </w:rPr>
        <w:t>ГА РФ. Ф. P-9474. On. 7. Д. 418. Л. 1-40. Машинописная копия того времени, экземпляр закладки. Имеются разночтения в написании фамилий (Реньо — Ренъе), расстановке необходимых знаков препинания и др. (18739).</w:t>
      </w:r>
    </w:p>
    <w:p w14:paraId="7167F9D6" w14:textId="77777777" w:rsidR="00722106" w:rsidRPr="00507A31" w:rsidRDefault="00722106" w:rsidP="00507A31">
      <w:pPr>
        <w:jc w:val="both"/>
        <w:rPr>
          <w:color w:val="000000" w:themeColor="text1"/>
          <w:sz w:val="16"/>
          <w:szCs w:val="16"/>
        </w:rPr>
      </w:pPr>
    </w:p>
    <w:p w14:paraId="3CE86993" w14:textId="77777777" w:rsidR="00655B74" w:rsidRPr="00507A31" w:rsidRDefault="00655B74" w:rsidP="00507A31">
      <w:pPr>
        <w:jc w:val="both"/>
        <w:rPr>
          <w:bCs/>
          <w:color w:val="000000" w:themeColor="text1"/>
          <w:sz w:val="16"/>
          <w:szCs w:val="16"/>
        </w:rPr>
      </w:pPr>
      <w:r w:rsidRPr="00507A31">
        <w:rPr>
          <w:color w:val="000000" w:themeColor="text1"/>
          <w:sz w:val="16"/>
          <w:szCs w:val="16"/>
        </w:rPr>
        <w:t>3 декабря 1930 г.</w:t>
      </w:r>
    </w:p>
    <w:p w14:paraId="3B26F65B" w14:textId="77777777" w:rsidR="00655B74" w:rsidRPr="00507A31" w:rsidRDefault="00655B74" w:rsidP="00507A31">
      <w:pPr>
        <w:jc w:val="both"/>
        <w:rPr>
          <w:bCs/>
          <w:color w:val="000000" w:themeColor="text1"/>
          <w:sz w:val="16"/>
          <w:szCs w:val="16"/>
        </w:rPr>
      </w:pPr>
      <w:r w:rsidRPr="00507A31">
        <w:rPr>
          <w:color w:val="000000" w:themeColor="text1"/>
          <w:sz w:val="16"/>
          <w:szCs w:val="16"/>
        </w:rPr>
        <w:t>Информация Ленинградского областного комитета Союза рабочих-металлистов в ЦК ВСРМ о проведении кампании в ответ «на угрозу интервенции и вредительство» на заводах Ленинграда. 3 декабря 1930 г.</w:t>
      </w:r>
    </w:p>
    <w:p w14:paraId="60C5E59C" w14:textId="77777777" w:rsidR="00655B74" w:rsidRPr="00507A31" w:rsidRDefault="00655B74" w:rsidP="00507A31">
      <w:pPr>
        <w:jc w:val="both"/>
        <w:rPr>
          <w:bCs/>
          <w:color w:val="000000" w:themeColor="text1"/>
          <w:sz w:val="16"/>
          <w:szCs w:val="16"/>
        </w:rPr>
      </w:pPr>
      <w:r w:rsidRPr="00507A31">
        <w:rPr>
          <w:bCs/>
          <w:color w:val="000000" w:themeColor="text1"/>
          <w:sz w:val="16"/>
          <w:szCs w:val="16"/>
        </w:rPr>
        <w:t>Источник: </w:t>
      </w:r>
    </w:p>
    <w:p w14:paraId="230688BC" w14:textId="77777777" w:rsidR="00655B74" w:rsidRPr="00507A31" w:rsidRDefault="00655B7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B85FD3" w14:textId="77777777" w:rsidR="00655B74" w:rsidRPr="00507A31" w:rsidRDefault="00655B74" w:rsidP="00507A31">
      <w:pPr>
        <w:pStyle w:val="rteright"/>
        <w:spacing w:before="0" w:after="0"/>
        <w:jc w:val="both"/>
        <w:rPr>
          <w:color w:val="000000" w:themeColor="text1"/>
          <w:sz w:val="16"/>
          <w:szCs w:val="16"/>
        </w:rPr>
      </w:pPr>
      <w:r w:rsidRPr="00507A31">
        <w:rPr>
          <w:color w:val="000000" w:themeColor="text1"/>
          <w:sz w:val="16"/>
          <w:szCs w:val="16"/>
        </w:rPr>
        <w:t>3 декабря 1930 г.</w:t>
      </w:r>
    </w:p>
    <w:p w14:paraId="5840FF16" w14:textId="77777777" w:rsidR="00655B74" w:rsidRPr="00507A31" w:rsidRDefault="00655B74" w:rsidP="00507A31">
      <w:pPr>
        <w:pStyle w:val="rtecenter"/>
        <w:spacing w:before="0" w:after="0"/>
        <w:jc w:val="both"/>
        <w:rPr>
          <w:color w:val="000000" w:themeColor="text1"/>
          <w:sz w:val="16"/>
          <w:szCs w:val="16"/>
        </w:rPr>
      </w:pPr>
      <w:r w:rsidRPr="00507A31">
        <w:rPr>
          <w:color w:val="000000" w:themeColor="text1"/>
          <w:sz w:val="16"/>
          <w:szCs w:val="16"/>
        </w:rPr>
        <w:t>ИНФОРМСВОДКА ЛОК ВСРМ от 3-го декабря 1980 г.</w:t>
      </w:r>
    </w:p>
    <w:p w14:paraId="5086DC3D" w14:textId="77777777" w:rsidR="00655B74" w:rsidRPr="00507A31" w:rsidRDefault="00655B74" w:rsidP="00507A31">
      <w:pPr>
        <w:pStyle w:val="rtecenter"/>
        <w:spacing w:before="0" w:after="0"/>
        <w:jc w:val="both"/>
        <w:rPr>
          <w:color w:val="000000" w:themeColor="text1"/>
          <w:sz w:val="16"/>
          <w:szCs w:val="16"/>
        </w:rPr>
      </w:pPr>
      <w:r w:rsidRPr="00507A31">
        <w:rPr>
          <w:color w:val="000000" w:themeColor="text1"/>
          <w:sz w:val="16"/>
          <w:szCs w:val="16"/>
        </w:rPr>
        <w:t>ОТВЕТ ЛЕНИНГРАДСКИХ МЕТАЛЛИСТОВ</w:t>
      </w:r>
    </w:p>
    <w:p w14:paraId="60BBE38E" w14:textId="77777777" w:rsidR="00655B74" w:rsidRPr="00507A31" w:rsidRDefault="00655B74" w:rsidP="00507A31">
      <w:pPr>
        <w:pStyle w:val="rtecenter"/>
        <w:spacing w:before="0" w:after="0"/>
        <w:jc w:val="both"/>
        <w:rPr>
          <w:color w:val="000000" w:themeColor="text1"/>
          <w:sz w:val="16"/>
          <w:szCs w:val="16"/>
        </w:rPr>
      </w:pPr>
      <w:r w:rsidRPr="00507A31">
        <w:rPr>
          <w:color w:val="000000" w:themeColor="text1"/>
          <w:sz w:val="16"/>
          <w:szCs w:val="16"/>
        </w:rPr>
        <w:t>НА КОНТР-РЕВОЛЮЦИОННОЕ ВРЕДИТЕЛЬСТВО</w:t>
      </w:r>
    </w:p>
    <w:p w14:paraId="23159ECC" w14:textId="77777777" w:rsidR="00655B74" w:rsidRPr="00507A31" w:rsidRDefault="00655B74" w:rsidP="00507A31">
      <w:pPr>
        <w:pStyle w:val="rtecenter"/>
        <w:spacing w:before="0" w:after="0"/>
        <w:jc w:val="both"/>
        <w:rPr>
          <w:color w:val="000000" w:themeColor="text1"/>
          <w:sz w:val="16"/>
          <w:szCs w:val="16"/>
        </w:rPr>
      </w:pPr>
      <w:r w:rsidRPr="00507A31">
        <w:rPr>
          <w:color w:val="000000" w:themeColor="text1"/>
          <w:sz w:val="16"/>
          <w:szCs w:val="16"/>
        </w:rPr>
        <w:t>АГЕНТОВ МЕЖДУНАРОДНОГО КАПИТАЛА.</w:t>
      </w:r>
    </w:p>
    <w:p w14:paraId="0F79B448"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Вслед за обращением ВЦСПС и МОСПС, опубликованным в газете «Труд» от 25/XI, Президиум Областкома на заседании своем от 28/XI наметил ряд практических мероприятий к реализации обращения. 29/XI были собраны все ответработники, которые были проинструктированы и 40 чел. прикреплены к заводам для практической помощи в работе заводских организаций и, кроме того, организована бригада из слушателей Профуниверситета в количестве 350 чел.</w:t>
      </w:r>
    </w:p>
    <w:p w14:paraId="4B05DC29"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 настоящее время по ряду крупнейших заводов ленинградские металлисты на угрозу интервенции и вредительство выносят свой приговор путем усиления работы в ударном квартале, укрепления и увеличения рядов ударников, рядов коммунистической партии и самозакрепившихся, предъявлением рационализаторских счетов, внесением новых тысяч предложений на улучшение процессов производства.</w:t>
      </w:r>
    </w:p>
    <w:p w14:paraId="3ADBFEF7"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На выполнение пятилетки в 3 года металлисты в ответ на интервенцию, на вредительство вносят свои отчисления, производят отработки в фонд обороны страны на постройку дирижаблей, эскадрильи «Встречный», танков и т. д.</w:t>
      </w:r>
    </w:p>
    <w:p w14:paraId="24D11D0D"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По отдельным заводам конкретно ответ носит следующий характер:</w:t>
      </w:r>
    </w:p>
    <w:p w14:paraId="055454F7"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По заводу им. ЛЕНИНА. В сталелитейном цехе бригада из 13 чел., во главе с бригадиром Ивановым, объявила себя ударной и все подали</w:t>
      </w:r>
    </w:p>
    <w:p w14:paraId="0F4C4806"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заявление о вступлении в партии; кроме того, отработали свой выходной день на постройку дирижабля. 3 цеха с количеством рабочих в 700 чел. произвели отработку в 4 часа на постройку 6-колесного автомобиля для дирижабля. В Мартеновской мастерской несколько человек сдали свой заем на 200 рублей в фонд обороны страны. По учтенным трем цехам рабочими внесено свыше 300 предложений производственного характера. 3 механических цеха объявили поход за улучшение качества продукции и борьбы с браком. В чугунно-литейной мастерской организованы 4 стальные бригады в 27 чел. и энергетические по улучшению технологических процессов и по экономии топлива и электро-энергии. В ответ на вредительство самозакрепилось 140 чел.</w:t>
      </w:r>
    </w:p>
    <w:p w14:paraId="7C73BBCF"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По заводу им. СТАЛИНА. На постройку дирижабля им. К. Ворошилова по подписным листам собрано 2.670 руб., кроме того рабочие выносят постановления об отчислении 1/2 % в фонд обороны страны. Обрубщики чугунно-литейной мастерской отработали свой выходной день и сделали вызов всем ударникам завода. 93 лучших ударника подали заявление о вступлении в ряды партии. Дополнительно самозакрепилось за заводом 514 чел. Организовано 19 ударных бригад с охватом 419 чел. им. ОСО. Свыше 1.000 чел вступило в ряды Осо-Авиахима. Заводская организация увязала работу с подшефной частью, вовлекли в военную учебу 633 чел.</w:t>
      </w:r>
    </w:p>
    <w:p w14:paraId="7EF8E5C9"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По заводу «КРАСНАЯ ЗАРЯ». Записалось на военную учебу 680 ч. Организованы 3 бригады в 21 чел., улучшение качества продукции. Организовано 6 ударных бригад в 93 чел. им. Сталина. Предложений внесено в фонд обороны, по неполным сведениям, 101.67 заявлений подано о вступлении в партию. Постановлено в цехах отработать полдня в фонд обороны, а в некоторых цехах — отчислить от 1-3 %. Кроме того, собрано 635 р. на дирижабль.</w:t>
      </w:r>
    </w:p>
    <w:p w14:paraId="2D945E4F"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По заводу «ЭЛЕКТРИК».</w:t>
      </w:r>
    </w:p>
    <w:p w14:paraId="2FF2D424"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Вынесено по цехам постановление отработать в фонд обороны в свой выходной день. Самозакрепилось 130 чел. Организовано 10 новых образцового качества бригад в ответ интервентам с охватом 65 чел. По подписному листу собрано 125 р. Собрано лома около 100 тонн. Взято обязательство собрать еще 100 в течение первой декады декабря. Завод обязуется перевыполнить декабрьскую программу на 2 %. Проводят дополнительную подписку на заем «Пятилетка в 4 года». Вызывают «Электроаппарат» и другие электро-предприятия.</w:t>
      </w:r>
    </w:p>
    <w:p w14:paraId="11C141F2"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По заводу «ЭЛЕКТРОСИЛА».</w:t>
      </w:r>
    </w:p>
    <w:p w14:paraId="3E0BA4BA"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Собрано под подписному листу на постройку дирижабля 650 р. Мастер 51-го отделения т. Осипов внес свою премию в 100 р. в фонд обороны страны и вызвал 5 чел. инженерно-технических работников. По цехам выносятся постановления об [отчислении 1-2 часов заработка. Внесено 193 рабочих предложения. Организованы 4 бригады имени ОсоАвиа- хима с охватом в 43 чел., 2 бригады им. ГПУ с охватом в 16 ч. «Ответ интервентам» 2 бригады с охватом 14 чел. Организация бригад продолжается. 60 заявлений подано о вступлении в партию. Кроме того, подано 3 заявления от инженеров.</w:t>
      </w:r>
    </w:p>
    <w:p w14:paraId="5FBB35CE"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По заводу «КРАСНЫЙ ВЫБОРЖЕЦ».</w:t>
      </w:r>
    </w:p>
    <w:p w14:paraId="2C0C0F8E"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Самозакрепилось 300 чел. Организовано 9 бригад им. ОГПУ с охватом 80 чел. Постановлено отчислить 1 % из зарплаты. Собрано 350 рабочих предложений. Наряду с этим поступают отдельные пожертвования. Так, 16 чел. рабочих кладовой готовых изделий внесли 29 р., рабочие Рем[онтно]-Механического цеха внесли 133 р. Привлечены к сбору отчислений ученики подшефной школы.</w:t>
      </w:r>
    </w:p>
    <w:p w14:paraId="65BD8DC1"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По заводу «КРАСНЫЙ ПУТИЛОВЕЦ».</w:t>
      </w:r>
    </w:p>
    <w:p w14:paraId="33F416C8"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Паровозо-сборочный цех отработал выходной день в фонд обороны. 3-я механическая дополнительно подписалась на заем на сумму в 2.000 р. 36 чел. рабочих с производственным стажем от 25-37 лет организовали ударную бригаду им. ОГПУ. 15 инженеров подали заявление о вступлении в партию. Рабочие рессорно-болтовой, котельно-вагонной, столярной, закрепились до конца пятилетки. Комсомольцы паровозо-механической постановили отчислить в фонд обороны полдневный заработок и вызвали всех комсомольцев завода. Рабочие паровозного цеха сдали облигации займа на танк.</w:t>
      </w:r>
    </w:p>
    <w:p w14:paraId="361ABF30"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Инженерно-технические работники — металлисты в ответ на вредительство буржуазных агентов мирового капитала заявляют о готовности отдать все силы в фонд социалистического строительства. Так например: на заводе «Кр[асный] Путиловец» подано свыше 20 заявлений инженеров о вступлении в партию. На заводе им. К. Маркса инженер Маркин внес свою премию в сумме 150 р. в фонд обороны. Самоконтрактация доведена до 95 %. Завод им. Энгельса — все инженерно-технические работники в количестве 85 чел. закрепились за заводом, из них 14 чел. подали заявление о принятии в партию. На заводе «Электроаппраат» организована сквозная бригада из инженеров в числе 11 чел. назвав ее «Ответ интервентам». [«]Средточмашем[»] на расширенном пленуме ИТР совместно с заводами треста принята резолюция, в которой говорится: «мы приветствуем верного стража Советского государства — ОГПУ, со своей стороны на смену вредителям всех мастей выдвинем лучших из нас и подготовим новые кадры пролетарских специалистов. В ответ интервентам мы объявляем себя ударными и закрепляемся за работой до конца пятилетки».</w:t>
      </w:r>
    </w:p>
    <w:p w14:paraId="3B2567AF"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Завод «Большевик»: инженерно-технические работники вынесли резолюцию, требующую высшей меры наказания всем участникам вредительства (Промпартии) и предлагают провести немедленную чистку ИТР предприятий и учреждений.</w:t>
      </w:r>
    </w:p>
    <w:p w14:paraId="250776D9"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lastRenderedPageBreak/>
        <w:t>Завод им. Ленина. ИТР в числе 120 чел., что составляет 100 %, объявили себя ударниками; из них 86 чел. инженеров.</w:t>
      </w:r>
    </w:p>
    <w:p w14:paraId="2A67273E"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2/XII на пленуме ИТР металлистов при Областном Комитете стоял вопрос о вредительстве «Промпартии». Пленум единодушно вынес резолюцию, требующую высшей меры наказания предателям социализма, обязуясь в ответ на это принять все усилия к выполнению программы ударного квартала и промфинплана 3-го года пятилетки.</w:t>
      </w:r>
    </w:p>
    <w:p w14:paraId="52594925"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Однако, наряду с откликами передовой части инженерства находятся и сочувствующие вредителям и интервентам. Так, на собрании ИТР правления Тремасса инж. т. Соловьев предложил включить в резолюцию пункт о 100 %-ной самоконтрактации ИТР за заводом. При голосовании этого предложения двое воздержались и 1 голосовал против.</w:t>
      </w:r>
    </w:p>
    <w:p w14:paraId="4657DF31"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Зав. Информстатсектором &lt;...&gt;</w:t>
      </w:r>
    </w:p>
    <w:p w14:paraId="341A30F8" w14:textId="77777777" w:rsidR="00655B74" w:rsidRPr="00507A31" w:rsidRDefault="00655B74" w:rsidP="00507A31">
      <w:pPr>
        <w:pStyle w:val="ae"/>
        <w:spacing w:before="0" w:after="0"/>
        <w:jc w:val="both"/>
        <w:rPr>
          <w:color w:val="000000" w:themeColor="text1"/>
          <w:sz w:val="16"/>
          <w:szCs w:val="16"/>
        </w:rPr>
      </w:pPr>
      <w:r w:rsidRPr="00507A31">
        <w:rPr>
          <w:rStyle w:val="af0"/>
          <w:i w:val="0"/>
          <w:color w:val="000000" w:themeColor="text1"/>
          <w:sz w:val="16"/>
          <w:szCs w:val="16"/>
        </w:rPr>
        <w:t>ГА РФ. Ф. 5469. Oп. 14. Д. 135. Л. 13-15. Машинописный подлинник, подпись-автограф (неразборчиво). На Л. 13 вверху написано от руки «В ПК ВСРМ» (19042).</w:t>
      </w:r>
    </w:p>
    <w:p w14:paraId="6BD56F96" w14:textId="77777777" w:rsidR="00655B74" w:rsidRPr="00507A31" w:rsidRDefault="00655B74" w:rsidP="00507A31">
      <w:pPr>
        <w:jc w:val="both"/>
        <w:rPr>
          <w:color w:val="000000" w:themeColor="text1"/>
          <w:sz w:val="16"/>
          <w:szCs w:val="16"/>
        </w:rPr>
      </w:pPr>
    </w:p>
    <w:p w14:paraId="7626B0FE" w14:textId="77777777" w:rsidR="0096514A" w:rsidRPr="00507A31" w:rsidRDefault="0096514A"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456108DE" w14:textId="77777777" w:rsidR="0096514A" w:rsidRPr="00507A31" w:rsidRDefault="0096514A" w:rsidP="00507A31">
      <w:pPr>
        <w:autoSpaceDE w:val="0"/>
        <w:autoSpaceDN w:val="0"/>
        <w:adjustRightInd w:val="0"/>
        <w:jc w:val="both"/>
        <w:rPr>
          <w:iCs/>
          <w:color w:val="000000" w:themeColor="text1"/>
          <w:sz w:val="16"/>
          <w:szCs w:val="16"/>
        </w:rPr>
      </w:pPr>
    </w:p>
    <w:p w14:paraId="369E0B95" w14:textId="77777777" w:rsidR="00CC1505" w:rsidRPr="00507A31" w:rsidRDefault="00CC1505" w:rsidP="00507A31">
      <w:pPr>
        <w:jc w:val="both"/>
        <w:rPr>
          <w:bCs/>
          <w:color w:val="000000" w:themeColor="text1"/>
          <w:sz w:val="16"/>
          <w:szCs w:val="16"/>
        </w:rPr>
      </w:pPr>
      <w:r w:rsidRPr="00507A31">
        <w:rPr>
          <w:color w:val="000000" w:themeColor="text1"/>
          <w:sz w:val="16"/>
          <w:szCs w:val="16"/>
        </w:rPr>
        <w:t>3 декабря 1930 г.</w:t>
      </w:r>
    </w:p>
    <w:p w14:paraId="682F3249" w14:textId="77777777" w:rsidR="00CC1505" w:rsidRPr="00507A31" w:rsidRDefault="00CC1505" w:rsidP="00507A31">
      <w:pPr>
        <w:jc w:val="both"/>
        <w:rPr>
          <w:bCs/>
          <w:color w:val="000000" w:themeColor="text1"/>
          <w:sz w:val="16"/>
          <w:szCs w:val="16"/>
        </w:rPr>
      </w:pPr>
      <w:r w:rsidRPr="00507A31">
        <w:rPr>
          <w:color w:val="000000" w:themeColor="text1"/>
          <w:sz w:val="16"/>
          <w:szCs w:val="16"/>
        </w:rPr>
        <w:t>Заседание «Ударной комиссии» ВОКС по вопросу о политических директивах кампании в связи с процессом «Промпартии» и задачах конкретных отделов. 3 декабря 1930 г.</w:t>
      </w:r>
    </w:p>
    <w:p w14:paraId="75A90E95"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Источник: </w:t>
      </w:r>
    </w:p>
    <w:p w14:paraId="71A151D4" w14:textId="77777777" w:rsidR="00CC1505" w:rsidRPr="00507A31" w:rsidRDefault="00CC150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CD1AD7"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3 декабря 1930 г.</w:t>
      </w:r>
    </w:p>
    <w:p w14:paraId="5B8B8870"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12FE24D4"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ПРОТОКОЛ № 6</w:t>
      </w:r>
    </w:p>
    <w:p w14:paraId="3AD7A152"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заседания Ударной Комиссии</w:t>
      </w:r>
    </w:p>
    <w:p w14:paraId="7D54AB7D"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от 3-го декабря 30 г.</w:t>
      </w:r>
    </w:p>
    <w:p w14:paraId="3443DF69"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Присутствовали: т.т. Петров, Шуман, Мстиславский, Ешуков, Сахаров, Новомирский, Брук, Богомазов, Ингбер, Песис, Корольчук, Ротенберг.</w:t>
      </w:r>
    </w:p>
    <w:p w14:paraId="2ADE8282"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Председатель — Петров.</w:t>
      </w:r>
    </w:p>
    <w:p w14:paraId="35417404"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Секретарь: Ротенберг.</w:t>
      </w:r>
    </w:p>
    <w:p w14:paraId="2B0C9F89" w14:textId="77777777" w:rsidR="00CC1505" w:rsidRPr="00507A31" w:rsidRDefault="00CC1505" w:rsidP="00507A31">
      <w:pPr>
        <w:numPr>
          <w:ilvl w:val="0"/>
          <w:numId w:val="122"/>
        </w:numPr>
        <w:ind w:left="0" w:firstLine="0"/>
        <w:jc w:val="both"/>
        <w:rPr>
          <w:color w:val="000000" w:themeColor="text1"/>
          <w:sz w:val="16"/>
          <w:szCs w:val="16"/>
        </w:rPr>
      </w:pPr>
      <w:r w:rsidRPr="00507A31">
        <w:rPr>
          <w:color w:val="000000" w:themeColor="text1"/>
          <w:sz w:val="16"/>
          <w:szCs w:val="16"/>
        </w:rPr>
        <w:t>СЛУШАЛИ:</w:t>
      </w:r>
    </w:p>
    <w:p w14:paraId="1E511BB2"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Сообщение тов. ПЕТРОВА о политических директивах по проведению кампании.</w:t>
      </w:r>
    </w:p>
    <w:p w14:paraId="28A035BC"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При проведении всей работы заграницей надо взять установку на:</w:t>
      </w:r>
    </w:p>
    <w:p w14:paraId="253A3E5F" w14:textId="77777777" w:rsidR="00CC1505" w:rsidRPr="00507A31" w:rsidRDefault="00CC1505" w:rsidP="00507A31">
      <w:pPr>
        <w:numPr>
          <w:ilvl w:val="0"/>
          <w:numId w:val="123"/>
        </w:numPr>
        <w:ind w:left="0" w:firstLine="0"/>
        <w:jc w:val="both"/>
        <w:rPr>
          <w:color w:val="000000" w:themeColor="text1"/>
          <w:sz w:val="16"/>
          <w:szCs w:val="16"/>
        </w:rPr>
      </w:pPr>
      <w:r w:rsidRPr="00507A31">
        <w:rPr>
          <w:color w:val="000000" w:themeColor="text1"/>
          <w:sz w:val="16"/>
          <w:szCs w:val="16"/>
        </w:rPr>
        <w:t>дискредитацию политических группировок, стоящих сейчас во главе правительств, 2) на мобилизацию доброжелательных к СССР общественных элементов под лозунгом: «Война угрожает мировой культуре. Все — против интервенции». До сих пор недостаточно выявлена роль Франции как главной действующей силы по подготовке интервенции. При проведении кампании в Германии нельзя заострять вопрос на необходимости расстрела вредителей, что заслоняет от германской общественности основную цель кампании — борьбу с подготовляемой против СССР интервенцией.</w:t>
      </w:r>
    </w:p>
    <w:p w14:paraId="46778A85"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Весь процесс вредителей необходимо рассматривать на фоне подготовки интервенции, установив социальные корни, которые связывали часть старой технической интеллигенции с буржуазно-помещичьими элементами эмиграции, и четко выявив, что внутри СССР вредители делали ставки на остатки кулачества и пережитки буржуазно-капиталистических элементов в городе. Процесс вредителей необходимо также использовать Для иллюстрации всей лживости и беспричинности утверждения буржуазных ученых о надклассовом и аполитичном характере науки.</w:t>
      </w:r>
    </w:p>
    <w:p w14:paraId="7309D925"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ПОСТАНОВИЛИ:</w:t>
      </w:r>
    </w:p>
    <w:p w14:paraId="5BDC4F8F"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Сообщение тов. Петрова принять к руководству.</w:t>
      </w:r>
    </w:p>
    <w:p w14:paraId="2DE5092D" w14:textId="77777777" w:rsidR="00CC1505" w:rsidRPr="00507A31" w:rsidRDefault="00CC1505" w:rsidP="00507A31">
      <w:pPr>
        <w:numPr>
          <w:ilvl w:val="0"/>
          <w:numId w:val="124"/>
        </w:numPr>
        <w:ind w:left="0" w:firstLine="0"/>
        <w:jc w:val="both"/>
        <w:rPr>
          <w:color w:val="000000" w:themeColor="text1"/>
          <w:sz w:val="16"/>
          <w:szCs w:val="16"/>
        </w:rPr>
      </w:pPr>
      <w:r w:rsidRPr="00507A31">
        <w:rPr>
          <w:color w:val="000000" w:themeColor="text1"/>
          <w:sz w:val="16"/>
          <w:szCs w:val="16"/>
        </w:rPr>
        <w:t>СЛУШАЛИ:</w:t>
      </w:r>
    </w:p>
    <w:p w14:paraId="469DD039"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О заданиях, стоящих перед Отделами ВОКС в связи с кампанией.</w:t>
      </w:r>
    </w:p>
    <w:p w14:paraId="2F4A027C"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Тов. Петров указывает на следующие задания, стоящие перед Отделами ВОКС.</w:t>
      </w:r>
    </w:p>
    <w:p w14:paraId="454E187A"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 линии ОВС.</w:t>
      </w:r>
    </w:p>
    <w:p w14:paraId="600DDA75" w14:textId="77777777" w:rsidR="00CC1505" w:rsidRPr="00507A31" w:rsidRDefault="00CC1505" w:rsidP="00507A31">
      <w:pPr>
        <w:numPr>
          <w:ilvl w:val="0"/>
          <w:numId w:val="125"/>
        </w:numPr>
        <w:ind w:left="0" w:firstLine="0"/>
        <w:jc w:val="both"/>
        <w:rPr>
          <w:color w:val="000000" w:themeColor="text1"/>
          <w:sz w:val="16"/>
          <w:szCs w:val="16"/>
        </w:rPr>
      </w:pPr>
      <w:r w:rsidRPr="00507A31">
        <w:rPr>
          <w:color w:val="000000" w:themeColor="text1"/>
          <w:sz w:val="16"/>
          <w:szCs w:val="16"/>
        </w:rPr>
        <w:t>Необходимо поставить перед уполномоченными и обществами более решительно вопрос о мобилизации заграничной общественности в связи с кампанией. Уполномоченным уже даны директивы о том, что в данный момент их работа по линии ВОКС является ударной. Перед обществами надо поставить вопрос о проведении собраний членов с докладами о процессе, о получении интервью с видными учеными, художниками и т. д. по вопросам демпинга, их отношения к подготовке интервенции и т. д. Эти интервью должны быть использованы или в общей прессе или в специальной, если об-ва такую имеют. В этом случае им необходимо выпустить в связи с кампанией специальные издания в форме брошюр или бюллетеней. Обществам надо постоянно напоминать, чтобы они держали ВОКС в курсе всех предпринятых ими мероприятий по кампании и регулярно посылали бы все газетные вырезки и др. материалы, связанные с откликом на процесс. В данный момент нужно четко поставить вопрос о дальнейшем пребывании социал-демократов в обществах. Тех социал-демократов, которые уже выявили свою активность в поддержке интервенции и войны, необходимо немедленно изгнать из состава обществ. Тех социал-демократов, которые имеют тенденцию шагнуть сейчас влево, надо побудить четко выявить свою позицию, чтобы они или целиком примкнули к заграничной-общественности, выступающей против интервенции, или же вышли из обществ.</w:t>
      </w:r>
    </w:p>
    <w:p w14:paraId="0E82A80D" w14:textId="77777777" w:rsidR="00CC1505" w:rsidRPr="00507A31" w:rsidRDefault="00CC1505" w:rsidP="00507A31">
      <w:pPr>
        <w:numPr>
          <w:ilvl w:val="0"/>
          <w:numId w:val="125"/>
        </w:numPr>
        <w:ind w:left="0" w:firstLine="0"/>
        <w:jc w:val="both"/>
        <w:rPr>
          <w:color w:val="000000" w:themeColor="text1"/>
          <w:sz w:val="16"/>
          <w:szCs w:val="16"/>
        </w:rPr>
      </w:pPr>
      <w:r w:rsidRPr="00507A31">
        <w:rPr>
          <w:color w:val="000000" w:themeColor="text1"/>
          <w:sz w:val="16"/>
          <w:szCs w:val="16"/>
        </w:rPr>
        <w:t>Необходимо усиленно продвигать материалы, характеризующие отдельные отрасли нашего культурного строительства в Польшу, Латвию, Финляндию и др. лимитрофы, поставив вопрос об организации выставок на обменных началах; в частности, сейчас своевременно поставить вопрос об организации такой выставки в Финляндии.</w:t>
      </w:r>
    </w:p>
    <w:p w14:paraId="4575C3A1" w14:textId="77777777" w:rsidR="00CC1505" w:rsidRPr="00507A31" w:rsidRDefault="00CC1505" w:rsidP="00507A31">
      <w:pPr>
        <w:numPr>
          <w:ilvl w:val="0"/>
          <w:numId w:val="125"/>
        </w:numPr>
        <w:ind w:left="0" w:firstLine="0"/>
        <w:jc w:val="both"/>
        <w:rPr>
          <w:color w:val="000000" w:themeColor="text1"/>
          <w:sz w:val="16"/>
          <w:szCs w:val="16"/>
        </w:rPr>
      </w:pPr>
      <w:r w:rsidRPr="00507A31">
        <w:rPr>
          <w:color w:val="000000" w:themeColor="text1"/>
          <w:sz w:val="16"/>
          <w:szCs w:val="16"/>
        </w:rPr>
        <w:t>На сектор Романских стран ложится особо ответственная задача по консолидации доброжелательных к СССР элементов во Франции. Помимо мероприятий, намеченных по линии работы Обществ во всех странах, необходимо использовать все материалы для дискредитации французских правительственных кругов (использовать 3 письма Пуанкаре, историю банкира Устрика и т. д.). Необходимо подготовить материал для специального номера журнала «Монд», посвященного борьбе с подготовкой интервенции и систематически снабжать этот журнал всеми материалами по кампании.</w:t>
      </w:r>
    </w:p>
    <w:p w14:paraId="51DEC736" w14:textId="77777777" w:rsidR="00CC1505" w:rsidRPr="00507A31" w:rsidRDefault="00CC1505" w:rsidP="00507A31">
      <w:pPr>
        <w:numPr>
          <w:ilvl w:val="0"/>
          <w:numId w:val="125"/>
        </w:numPr>
        <w:ind w:left="0" w:firstLine="0"/>
        <w:jc w:val="both"/>
        <w:rPr>
          <w:color w:val="000000" w:themeColor="text1"/>
          <w:sz w:val="16"/>
          <w:szCs w:val="16"/>
        </w:rPr>
      </w:pPr>
      <w:r w:rsidRPr="00507A31">
        <w:rPr>
          <w:color w:val="000000" w:themeColor="text1"/>
          <w:sz w:val="16"/>
          <w:szCs w:val="16"/>
        </w:rPr>
        <w:t>В качестве специальных заданий по работе в Германии надо провести интервью с общественными деятелями, подписавшими протест 82-х по вопросу об их отношении к интервенции, поставив перед ними четко вопрос, солидаризуются ли они с мировой бойней. Кроме того, надо тактично и гибко использовать в связи с процессом вредителей настроения правонационалистического крыла буржуазии, направленные против Франции.</w:t>
      </w:r>
    </w:p>
    <w:p w14:paraId="6A8D46A5"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 линии Отдела печати.</w:t>
      </w:r>
    </w:p>
    <w:p w14:paraId="48DC1496" w14:textId="77777777" w:rsidR="00CC1505" w:rsidRPr="00507A31" w:rsidRDefault="00CC1505" w:rsidP="00507A31">
      <w:pPr>
        <w:numPr>
          <w:ilvl w:val="0"/>
          <w:numId w:val="126"/>
        </w:numPr>
        <w:ind w:left="0" w:firstLine="0"/>
        <w:jc w:val="both"/>
        <w:rPr>
          <w:color w:val="000000" w:themeColor="text1"/>
          <w:sz w:val="16"/>
          <w:szCs w:val="16"/>
        </w:rPr>
      </w:pPr>
      <w:r w:rsidRPr="00507A31">
        <w:rPr>
          <w:color w:val="000000" w:themeColor="text1"/>
          <w:sz w:val="16"/>
          <w:szCs w:val="16"/>
        </w:rPr>
        <w:t>Необходимо придать Бюллетеню боевой и политически заостренный характер, сильнее выявив непосредственную угрозу интервенции. В дальнейшем Бюллетень не должен носить узко информационный характер, а давать статьи по отдельным актуальным вопросам, которые могут служить материалом для заграничных изданий. Надо также улучшить техническую сторону этого издания.</w:t>
      </w:r>
    </w:p>
    <w:p w14:paraId="3E0EA6DE" w14:textId="77777777" w:rsidR="00CC1505" w:rsidRPr="00507A31" w:rsidRDefault="00CC1505" w:rsidP="00507A31">
      <w:pPr>
        <w:numPr>
          <w:ilvl w:val="0"/>
          <w:numId w:val="126"/>
        </w:numPr>
        <w:ind w:left="0" w:firstLine="0"/>
        <w:jc w:val="both"/>
        <w:rPr>
          <w:color w:val="000000" w:themeColor="text1"/>
          <w:sz w:val="16"/>
          <w:szCs w:val="16"/>
        </w:rPr>
      </w:pPr>
      <w:r w:rsidRPr="00507A31">
        <w:rPr>
          <w:color w:val="000000" w:themeColor="text1"/>
          <w:sz w:val="16"/>
          <w:szCs w:val="16"/>
        </w:rPr>
        <w:t>Надо принять срочные меры, обеспечивающие своевременный выход брошюры, в связи с процессом вредителей, а также выпуск специального внеочередного номера журнала ВОКС, посвященного ударным вопросам.</w:t>
      </w:r>
    </w:p>
    <w:p w14:paraId="53246D76" w14:textId="77777777" w:rsidR="00CC1505" w:rsidRPr="00507A31" w:rsidRDefault="00CC1505" w:rsidP="00507A31">
      <w:pPr>
        <w:numPr>
          <w:ilvl w:val="0"/>
          <w:numId w:val="126"/>
        </w:numPr>
        <w:ind w:left="0" w:firstLine="0"/>
        <w:jc w:val="both"/>
        <w:rPr>
          <w:color w:val="000000" w:themeColor="text1"/>
          <w:sz w:val="16"/>
          <w:szCs w:val="16"/>
        </w:rPr>
      </w:pPr>
      <w:r w:rsidRPr="00507A31">
        <w:rPr>
          <w:color w:val="000000" w:themeColor="text1"/>
          <w:sz w:val="16"/>
          <w:szCs w:val="16"/>
        </w:rPr>
        <w:t>Тематика для внеочередного номера журнала, для ближайших бюллетеней и статей, направляемых в инопрессу:</w:t>
      </w:r>
    </w:p>
    <w:p w14:paraId="37882767" w14:textId="77777777" w:rsidR="00CC1505" w:rsidRPr="00507A31" w:rsidRDefault="00CC1505" w:rsidP="00507A31">
      <w:pPr>
        <w:numPr>
          <w:ilvl w:val="0"/>
          <w:numId w:val="127"/>
        </w:numPr>
        <w:ind w:left="0" w:firstLine="0"/>
        <w:jc w:val="both"/>
        <w:rPr>
          <w:color w:val="000000" w:themeColor="text1"/>
          <w:sz w:val="16"/>
          <w:szCs w:val="16"/>
        </w:rPr>
      </w:pPr>
      <w:r w:rsidRPr="00507A31">
        <w:rPr>
          <w:color w:val="000000" w:themeColor="text1"/>
          <w:sz w:val="16"/>
          <w:szCs w:val="16"/>
        </w:rPr>
        <w:t>Статьи, освещающие успехи социалистического строительства.</w:t>
      </w:r>
    </w:p>
    <w:p w14:paraId="7D5C6498" w14:textId="77777777" w:rsidR="00CC1505" w:rsidRPr="00507A31" w:rsidRDefault="00CC1505" w:rsidP="00507A31">
      <w:pPr>
        <w:numPr>
          <w:ilvl w:val="0"/>
          <w:numId w:val="128"/>
        </w:numPr>
        <w:ind w:left="0" w:firstLine="0"/>
        <w:jc w:val="both"/>
        <w:rPr>
          <w:color w:val="000000" w:themeColor="text1"/>
          <w:sz w:val="16"/>
          <w:szCs w:val="16"/>
        </w:rPr>
      </w:pPr>
      <w:r w:rsidRPr="00507A31">
        <w:rPr>
          <w:color w:val="000000" w:themeColor="text1"/>
          <w:sz w:val="16"/>
          <w:szCs w:val="16"/>
        </w:rPr>
        <w:t>Сорвана ли пятилетка вредительством (для этой статьи надо мобилизовать высококвалифицированных техников и экономистов, которые с цифрами в руках докажут, что общественный контроль и встречный промфинплан не дали вредителям сорвать пятилетку).</w:t>
      </w:r>
    </w:p>
    <w:p w14:paraId="5C8C14AD" w14:textId="77777777" w:rsidR="00CC1505" w:rsidRPr="00507A31" w:rsidRDefault="00CC1505" w:rsidP="00507A31">
      <w:pPr>
        <w:numPr>
          <w:ilvl w:val="0"/>
          <w:numId w:val="128"/>
        </w:numPr>
        <w:ind w:left="0" w:firstLine="0"/>
        <w:jc w:val="both"/>
        <w:rPr>
          <w:color w:val="000000" w:themeColor="text1"/>
          <w:sz w:val="16"/>
          <w:szCs w:val="16"/>
        </w:rPr>
      </w:pPr>
      <w:r w:rsidRPr="00507A31">
        <w:rPr>
          <w:color w:val="000000" w:themeColor="text1"/>
          <w:sz w:val="16"/>
          <w:szCs w:val="16"/>
        </w:rPr>
        <w:t>Лживость утверждений о демпинге.</w:t>
      </w:r>
    </w:p>
    <w:p w14:paraId="05021BA0" w14:textId="77777777" w:rsidR="00CC1505" w:rsidRPr="00507A31" w:rsidRDefault="00CC1505" w:rsidP="00507A31">
      <w:pPr>
        <w:numPr>
          <w:ilvl w:val="0"/>
          <w:numId w:val="128"/>
        </w:numPr>
        <w:ind w:left="0" w:firstLine="0"/>
        <w:jc w:val="both"/>
        <w:rPr>
          <w:color w:val="000000" w:themeColor="text1"/>
          <w:sz w:val="16"/>
          <w:szCs w:val="16"/>
        </w:rPr>
      </w:pPr>
      <w:r w:rsidRPr="00507A31">
        <w:rPr>
          <w:color w:val="000000" w:themeColor="text1"/>
          <w:sz w:val="16"/>
          <w:szCs w:val="16"/>
        </w:rPr>
        <w:t>Индустриализация сельского хозяйства.</w:t>
      </w:r>
    </w:p>
    <w:p w14:paraId="3CEA7662" w14:textId="77777777" w:rsidR="00CC1505" w:rsidRPr="00507A31" w:rsidRDefault="00CC1505" w:rsidP="00507A31">
      <w:pPr>
        <w:numPr>
          <w:ilvl w:val="0"/>
          <w:numId w:val="128"/>
        </w:numPr>
        <w:ind w:left="0" w:firstLine="0"/>
        <w:jc w:val="both"/>
        <w:rPr>
          <w:color w:val="000000" w:themeColor="text1"/>
          <w:sz w:val="16"/>
          <w:szCs w:val="16"/>
        </w:rPr>
      </w:pPr>
      <w:r w:rsidRPr="00507A31">
        <w:rPr>
          <w:color w:val="000000" w:themeColor="text1"/>
          <w:sz w:val="16"/>
          <w:szCs w:val="16"/>
        </w:rPr>
        <w:t>Зерновая проблема и проблема растениеводства.</w:t>
      </w:r>
    </w:p>
    <w:p w14:paraId="09CC5C5B" w14:textId="77777777" w:rsidR="00CC1505" w:rsidRPr="00507A31" w:rsidRDefault="00CC1505" w:rsidP="00507A31">
      <w:pPr>
        <w:numPr>
          <w:ilvl w:val="0"/>
          <w:numId w:val="128"/>
        </w:numPr>
        <w:ind w:left="0" w:firstLine="0"/>
        <w:jc w:val="both"/>
        <w:rPr>
          <w:color w:val="000000" w:themeColor="text1"/>
          <w:sz w:val="16"/>
          <w:szCs w:val="16"/>
        </w:rPr>
      </w:pPr>
      <w:r w:rsidRPr="00507A31">
        <w:rPr>
          <w:color w:val="000000" w:themeColor="text1"/>
          <w:sz w:val="16"/>
          <w:szCs w:val="16"/>
        </w:rPr>
        <w:t>Как проводится осенний сев и т. д.</w:t>
      </w:r>
    </w:p>
    <w:p w14:paraId="7FFFBEDC" w14:textId="77777777" w:rsidR="00CC1505" w:rsidRPr="00507A31" w:rsidRDefault="00CC1505" w:rsidP="00507A31">
      <w:pPr>
        <w:numPr>
          <w:ilvl w:val="0"/>
          <w:numId w:val="129"/>
        </w:numPr>
        <w:ind w:left="0" w:firstLine="0"/>
        <w:jc w:val="both"/>
        <w:rPr>
          <w:color w:val="000000" w:themeColor="text1"/>
          <w:sz w:val="16"/>
          <w:szCs w:val="16"/>
        </w:rPr>
      </w:pPr>
      <w:r w:rsidRPr="00507A31">
        <w:rPr>
          <w:color w:val="000000" w:themeColor="text1"/>
          <w:sz w:val="16"/>
          <w:szCs w:val="16"/>
        </w:rPr>
        <w:t>Ряд статей, освещающих место интеллигенции в обстановке развивающейся борьбы пролетариата.</w:t>
      </w:r>
    </w:p>
    <w:p w14:paraId="1149F9C8" w14:textId="77777777" w:rsidR="00CC1505" w:rsidRPr="00507A31" w:rsidRDefault="00CC1505" w:rsidP="00507A31">
      <w:pPr>
        <w:numPr>
          <w:ilvl w:val="0"/>
          <w:numId w:val="130"/>
        </w:numPr>
        <w:ind w:left="0" w:firstLine="0"/>
        <w:jc w:val="both"/>
        <w:rPr>
          <w:color w:val="000000" w:themeColor="text1"/>
          <w:sz w:val="16"/>
          <w:szCs w:val="16"/>
        </w:rPr>
      </w:pPr>
      <w:r w:rsidRPr="00507A31">
        <w:rPr>
          <w:color w:val="000000" w:themeColor="text1"/>
          <w:sz w:val="16"/>
          <w:szCs w:val="16"/>
        </w:rPr>
        <w:t>Интеллигенция и Октябрьская Революция в СССР.</w:t>
      </w:r>
    </w:p>
    <w:p w14:paraId="5E002ADF" w14:textId="77777777" w:rsidR="00CC1505" w:rsidRPr="00507A31" w:rsidRDefault="00CC1505" w:rsidP="00507A31">
      <w:pPr>
        <w:numPr>
          <w:ilvl w:val="0"/>
          <w:numId w:val="130"/>
        </w:numPr>
        <w:ind w:left="0" w:firstLine="0"/>
        <w:jc w:val="both"/>
        <w:rPr>
          <w:color w:val="000000" w:themeColor="text1"/>
          <w:sz w:val="16"/>
          <w:szCs w:val="16"/>
        </w:rPr>
      </w:pPr>
      <w:r w:rsidRPr="00507A31">
        <w:rPr>
          <w:color w:val="000000" w:themeColor="text1"/>
          <w:sz w:val="16"/>
          <w:szCs w:val="16"/>
        </w:rPr>
        <w:t>Заграничная интеллигенция и грядущая социальная революция.</w:t>
      </w:r>
    </w:p>
    <w:p w14:paraId="47799636" w14:textId="77777777" w:rsidR="00CC1505" w:rsidRPr="00507A31" w:rsidRDefault="00CC1505" w:rsidP="00507A31">
      <w:pPr>
        <w:numPr>
          <w:ilvl w:val="0"/>
          <w:numId w:val="131"/>
        </w:numPr>
        <w:ind w:left="0" w:firstLine="0"/>
        <w:jc w:val="both"/>
        <w:rPr>
          <w:color w:val="000000" w:themeColor="text1"/>
          <w:sz w:val="16"/>
          <w:szCs w:val="16"/>
        </w:rPr>
      </w:pPr>
      <w:r w:rsidRPr="00507A31">
        <w:rPr>
          <w:color w:val="000000" w:themeColor="text1"/>
          <w:sz w:val="16"/>
          <w:szCs w:val="16"/>
        </w:rPr>
        <w:t>Статьи, связанные непосредственно с процессом:</w:t>
      </w:r>
    </w:p>
    <w:p w14:paraId="1E84705C" w14:textId="77777777" w:rsidR="00CC1505" w:rsidRPr="00507A31" w:rsidRDefault="00CC1505" w:rsidP="00507A31">
      <w:pPr>
        <w:numPr>
          <w:ilvl w:val="0"/>
          <w:numId w:val="132"/>
        </w:numPr>
        <w:ind w:left="0" w:firstLine="0"/>
        <w:jc w:val="both"/>
        <w:rPr>
          <w:color w:val="000000" w:themeColor="text1"/>
          <w:sz w:val="16"/>
          <w:szCs w:val="16"/>
        </w:rPr>
      </w:pPr>
      <w:r w:rsidRPr="00507A31">
        <w:rPr>
          <w:color w:val="000000" w:themeColor="text1"/>
          <w:sz w:val="16"/>
          <w:szCs w:val="16"/>
        </w:rPr>
        <w:t>Разъяснение хода процесса со стороны формальной (необходимость такой статьи обусловлена циркулирующими за границей слухами, что имеет место инсценировка суда).</w:t>
      </w:r>
    </w:p>
    <w:p w14:paraId="59D72B9F" w14:textId="77777777" w:rsidR="00CC1505" w:rsidRPr="00507A31" w:rsidRDefault="00CC1505" w:rsidP="00507A31">
      <w:pPr>
        <w:numPr>
          <w:ilvl w:val="0"/>
          <w:numId w:val="132"/>
        </w:numPr>
        <w:ind w:left="0" w:firstLine="0"/>
        <w:jc w:val="both"/>
        <w:rPr>
          <w:color w:val="000000" w:themeColor="text1"/>
          <w:sz w:val="16"/>
          <w:szCs w:val="16"/>
        </w:rPr>
      </w:pPr>
      <w:r w:rsidRPr="00507A31">
        <w:rPr>
          <w:color w:val="000000" w:themeColor="text1"/>
          <w:sz w:val="16"/>
          <w:szCs w:val="16"/>
        </w:rPr>
        <w:t>Характеристика личности отдельных подсудимых (цель этих статей — выявить крах буржуазной морали).</w:t>
      </w:r>
    </w:p>
    <w:p w14:paraId="2EB1676D" w14:textId="77777777" w:rsidR="00CC1505" w:rsidRPr="00507A31" w:rsidRDefault="00CC1505" w:rsidP="00507A31">
      <w:pPr>
        <w:numPr>
          <w:ilvl w:val="0"/>
          <w:numId w:val="132"/>
        </w:numPr>
        <w:ind w:left="0" w:firstLine="0"/>
        <w:jc w:val="both"/>
        <w:rPr>
          <w:color w:val="000000" w:themeColor="text1"/>
          <w:sz w:val="16"/>
          <w:szCs w:val="16"/>
        </w:rPr>
      </w:pPr>
      <w:r w:rsidRPr="00507A31">
        <w:rPr>
          <w:color w:val="000000" w:themeColor="text1"/>
          <w:sz w:val="16"/>
          <w:szCs w:val="16"/>
        </w:rPr>
        <w:t>О доверии, которое советская власть имела к специалистам, и как они злоупотребляли им.</w:t>
      </w:r>
    </w:p>
    <w:p w14:paraId="66D99351"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lastRenderedPageBreak/>
        <w:t>IV. Культурная роль ОГПУ.</w:t>
      </w:r>
    </w:p>
    <w:p w14:paraId="43F578A5"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Выявление политической роли ОГПУ с точки зрения защиты мирного строительства и культуры и непосредственная работа ОГПУ в области просвещения (массовое просвещение, борьба с беспризорностью и т. д.).</w:t>
      </w:r>
    </w:p>
    <w:p w14:paraId="3B223333" w14:textId="77777777" w:rsidR="00CC1505" w:rsidRPr="00507A31" w:rsidRDefault="00CC1505" w:rsidP="00507A31">
      <w:pPr>
        <w:numPr>
          <w:ilvl w:val="0"/>
          <w:numId w:val="133"/>
        </w:numPr>
        <w:ind w:left="0" w:firstLine="0"/>
        <w:jc w:val="both"/>
        <w:rPr>
          <w:color w:val="000000" w:themeColor="text1"/>
          <w:sz w:val="16"/>
          <w:szCs w:val="16"/>
        </w:rPr>
      </w:pPr>
      <w:r w:rsidRPr="00507A31">
        <w:rPr>
          <w:color w:val="000000" w:themeColor="text1"/>
          <w:sz w:val="16"/>
          <w:szCs w:val="16"/>
        </w:rPr>
        <w:t>Наряду с продвижением статей, характеризующих наши достижения, необходимо собрать документацию о прошлой интервенции, использовав материалы, характеризующие участие в интервенции деятелей, играющих сейчас видную политическую роль (в Англии, Франции, Германии).</w:t>
      </w:r>
    </w:p>
    <w:p w14:paraId="2A12FC87" w14:textId="77777777" w:rsidR="00CC1505" w:rsidRPr="00507A31" w:rsidRDefault="00CC1505" w:rsidP="00507A31">
      <w:pPr>
        <w:numPr>
          <w:ilvl w:val="0"/>
          <w:numId w:val="134"/>
        </w:numPr>
        <w:ind w:left="0" w:firstLine="0"/>
        <w:jc w:val="both"/>
        <w:rPr>
          <w:color w:val="000000" w:themeColor="text1"/>
          <w:sz w:val="16"/>
          <w:szCs w:val="16"/>
        </w:rPr>
      </w:pPr>
      <w:r w:rsidRPr="00507A31">
        <w:rPr>
          <w:color w:val="000000" w:themeColor="text1"/>
          <w:sz w:val="16"/>
          <w:szCs w:val="16"/>
        </w:rPr>
        <w:t>Статья Горького с воззванием к рабочим и крестьянам должна быть в срочном порядке использована в бюллетене и др. изданиях ВОКС и продвинута за границу.</w:t>
      </w:r>
    </w:p>
    <w:p w14:paraId="356E8815"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 линии Научно-Технического и Художественного Секторов.</w:t>
      </w:r>
    </w:p>
    <w:p w14:paraId="6C675A94" w14:textId="77777777" w:rsidR="00CC1505" w:rsidRPr="00507A31" w:rsidRDefault="00CC1505" w:rsidP="00507A31">
      <w:pPr>
        <w:numPr>
          <w:ilvl w:val="0"/>
          <w:numId w:val="135"/>
        </w:numPr>
        <w:ind w:left="0" w:firstLine="0"/>
        <w:jc w:val="both"/>
        <w:rPr>
          <w:color w:val="000000" w:themeColor="text1"/>
          <w:sz w:val="16"/>
          <w:szCs w:val="16"/>
        </w:rPr>
      </w:pPr>
      <w:r w:rsidRPr="00507A31">
        <w:rPr>
          <w:color w:val="000000" w:themeColor="text1"/>
          <w:sz w:val="16"/>
          <w:szCs w:val="16"/>
        </w:rPr>
        <w:t>Необходимо срочно провести реорганизацию всех секций, входящих в НТС, поставив перед ними задачу работать впредь общественно-обращенным лицом к загранице. Надо созвать совещание председателей всех секций, ввести их в курс всей работы, проводимой сейчас в ВОКС по кампании и вести чистку членского состава секций.</w:t>
      </w:r>
    </w:p>
    <w:p w14:paraId="540ACE82" w14:textId="77777777" w:rsidR="00CC1505" w:rsidRPr="00507A31" w:rsidRDefault="00CC1505" w:rsidP="00507A31">
      <w:pPr>
        <w:numPr>
          <w:ilvl w:val="0"/>
          <w:numId w:val="135"/>
        </w:numPr>
        <w:ind w:left="0" w:firstLine="0"/>
        <w:jc w:val="both"/>
        <w:rPr>
          <w:color w:val="000000" w:themeColor="text1"/>
          <w:sz w:val="16"/>
          <w:szCs w:val="16"/>
        </w:rPr>
      </w:pPr>
      <w:r w:rsidRPr="00507A31">
        <w:rPr>
          <w:color w:val="000000" w:themeColor="text1"/>
          <w:sz w:val="16"/>
          <w:szCs w:val="16"/>
        </w:rPr>
        <w:t>В ударном порядке провести массовый сбор подписей под резолюцией протеста против вредителей, по линии всех секций, входящих в НТС, и Художественного Сектора.</w:t>
      </w:r>
    </w:p>
    <w:p w14:paraId="3DA13D0D" w14:textId="77777777" w:rsidR="00CC1505" w:rsidRPr="00507A31" w:rsidRDefault="00CC1505" w:rsidP="00507A31">
      <w:pPr>
        <w:numPr>
          <w:ilvl w:val="0"/>
          <w:numId w:val="135"/>
        </w:numPr>
        <w:ind w:left="0" w:firstLine="0"/>
        <w:jc w:val="both"/>
        <w:rPr>
          <w:color w:val="000000" w:themeColor="text1"/>
          <w:sz w:val="16"/>
          <w:szCs w:val="16"/>
        </w:rPr>
      </w:pPr>
      <w:r w:rsidRPr="00507A31">
        <w:rPr>
          <w:color w:val="000000" w:themeColor="text1"/>
          <w:sz w:val="16"/>
          <w:szCs w:val="16"/>
        </w:rPr>
        <w:t>Организовать индивидуальную переписку наших ученых, художников и т. д. с их личными знакомыми за границей, указав им, что эту переписку желательно проводить через ВОКС.</w:t>
      </w:r>
    </w:p>
    <w:p w14:paraId="6DAFDDCF" w14:textId="77777777" w:rsidR="00CC1505" w:rsidRPr="00507A31" w:rsidRDefault="00CC1505" w:rsidP="00507A31">
      <w:pPr>
        <w:numPr>
          <w:ilvl w:val="0"/>
          <w:numId w:val="135"/>
        </w:numPr>
        <w:ind w:left="0" w:firstLine="0"/>
        <w:jc w:val="both"/>
        <w:rPr>
          <w:color w:val="000000" w:themeColor="text1"/>
          <w:sz w:val="16"/>
          <w:szCs w:val="16"/>
        </w:rPr>
      </w:pPr>
      <w:r w:rsidRPr="00507A31">
        <w:rPr>
          <w:color w:val="000000" w:themeColor="text1"/>
          <w:sz w:val="16"/>
          <w:szCs w:val="16"/>
        </w:rPr>
        <w:t>Получить у иностранных специалистов интервью о пятилетке, о ходе нашего строительства, о вредителях для последующей печати за границу.</w:t>
      </w:r>
    </w:p>
    <w:p w14:paraId="0EDD2FFC"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ПОСТАНОВИЛИ:</w:t>
      </w:r>
    </w:p>
    <w:p w14:paraId="56868BAC" w14:textId="77777777" w:rsidR="00CC1505" w:rsidRPr="00507A31" w:rsidRDefault="00CC1505" w:rsidP="00507A31">
      <w:pPr>
        <w:numPr>
          <w:ilvl w:val="0"/>
          <w:numId w:val="136"/>
        </w:numPr>
        <w:ind w:left="0" w:firstLine="0"/>
        <w:jc w:val="both"/>
        <w:rPr>
          <w:color w:val="000000" w:themeColor="text1"/>
          <w:sz w:val="16"/>
          <w:szCs w:val="16"/>
        </w:rPr>
      </w:pPr>
      <w:r w:rsidRPr="00507A31">
        <w:rPr>
          <w:color w:val="000000" w:themeColor="text1"/>
          <w:sz w:val="16"/>
          <w:szCs w:val="16"/>
        </w:rPr>
        <w:t>Указания тов. Петрова о работе Отделов по кампании принять к руководству.</w:t>
      </w:r>
    </w:p>
    <w:p w14:paraId="02A91703"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III. СЛУШАЛИ:</w:t>
      </w:r>
    </w:p>
    <w:p w14:paraId="2BE4732E"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О брошюре, посвященной процессу.</w:t>
      </w:r>
    </w:p>
    <w:p w14:paraId="7623822D"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ПОСТАНОВИЛИ:</w:t>
      </w:r>
    </w:p>
    <w:p w14:paraId="4B4600B7" w14:textId="77777777" w:rsidR="00CC1505" w:rsidRPr="00507A31" w:rsidRDefault="00CC1505" w:rsidP="00507A31">
      <w:pPr>
        <w:numPr>
          <w:ilvl w:val="0"/>
          <w:numId w:val="137"/>
        </w:numPr>
        <w:ind w:left="0" w:firstLine="0"/>
        <w:jc w:val="both"/>
        <w:rPr>
          <w:color w:val="000000" w:themeColor="text1"/>
          <w:sz w:val="16"/>
          <w:szCs w:val="16"/>
        </w:rPr>
      </w:pPr>
      <w:r w:rsidRPr="00507A31">
        <w:rPr>
          <w:color w:val="000000" w:themeColor="text1"/>
          <w:sz w:val="16"/>
          <w:szCs w:val="16"/>
        </w:rPr>
        <w:t>Признать необходимым изменить намеченный прежде план брошюры.</w:t>
      </w:r>
    </w:p>
    <w:p w14:paraId="57965CCC" w14:textId="77777777" w:rsidR="00CC1505" w:rsidRPr="00507A31" w:rsidRDefault="00CC1505" w:rsidP="00507A31">
      <w:pPr>
        <w:numPr>
          <w:ilvl w:val="0"/>
          <w:numId w:val="137"/>
        </w:numPr>
        <w:ind w:left="0" w:firstLine="0"/>
        <w:jc w:val="both"/>
        <w:rPr>
          <w:color w:val="000000" w:themeColor="text1"/>
          <w:sz w:val="16"/>
          <w:szCs w:val="16"/>
        </w:rPr>
      </w:pPr>
      <w:r w:rsidRPr="00507A31">
        <w:rPr>
          <w:color w:val="000000" w:themeColor="text1"/>
          <w:sz w:val="16"/>
          <w:szCs w:val="16"/>
        </w:rPr>
        <w:t>Составить брошюру из имеющегося в редакции статейного материала по соответствующим актуальным вопросам: выполнение пятилетки, место интеллигенции в СССР, характеристика личностей и позиция вредителей, поручив разработку С. Д. Мстиславскому, размер — 2 печ. листа.</w:t>
      </w:r>
    </w:p>
    <w:p w14:paraId="3E72E2AA" w14:textId="77777777" w:rsidR="00CC1505" w:rsidRPr="00507A31" w:rsidRDefault="00CC1505" w:rsidP="00507A31">
      <w:pPr>
        <w:numPr>
          <w:ilvl w:val="0"/>
          <w:numId w:val="137"/>
        </w:numPr>
        <w:ind w:left="0" w:firstLine="0"/>
        <w:jc w:val="both"/>
        <w:rPr>
          <w:color w:val="000000" w:themeColor="text1"/>
          <w:sz w:val="16"/>
          <w:szCs w:val="16"/>
        </w:rPr>
      </w:pPr>
      <w:r w:rsidRPr="00507A31">
        <w:rPr>
          <w:color w:val="000000" w:themeColor="text1"/>
          <w:sz w:val="16"/>
          <w:szCs w:val="16"/>
        </w:rPr>
        <w:t>Признать необходимым издать брошюру в ударном порядке: обязать &lt;...&gt; взять весь материал в обработанном виде 8-го декабря, закончив &lt;...&gt; на 3 языка к 10-му, обязав товарищей Пигит и Гаркова принять все меры, обеспечивающие выход брошюры к 20 декабря.</w:t>
      </w:r>
    </w:p>
    <w:p w14:paraId="586E6474" w14:textId="77777777" w:rsidR="00CC1505" w:rsidRPr="00507A31" w:rsidRDefault="00CC1505" w:rsidP="00507A31">
      <w:pPr>
        <w:numPr>
          <w:ilvl w:val="0"/>
          <w:numId w:val="137"/>
        </w:numPr>
        <w:ind w:left="0" w:firstLine="0"/>
        <w:jc w:val="both"/>
        <w:rPr>
          <w:color w:val="000000" w:themeColor="text1"/>
          <w:sz w:val="16"/>
          <w:szCs w:val="16"/>
        </w:rPr>
      </w:pPr>
      <w:r w:rsidRPr="00507A31">
        <w:rPr>
          <w:color w:val="000000" w:themeColor="text1"/>
          <w:sz w:val="16"/>
          <w:szCs w:val="16"/>
        </w:rPr>
        <w:t>Просить тов. Петрова поставить в директивных инстанциях вопрос о необходимости создания условий, обеспечивающих выход брошюры в таком ударном порядке.</w:t>
      </w:r>
    </w:p>
    <w:p w14:paraId="1E10A809"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IV. СЛУШАЛИ</w:t>
      </w:r>
    </w:p>
    <w:p w14:paraId="000B1859"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О ходе дальнейшей работы Ударной Комиссии.</w:t>
      </w:r>
    </w:p>
    <w:p w14:paraId="44B1AEDA"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ПОСТАНОВИЛИ:</w:t>
      </w:r>
    </w:p>
    <w:p w14:paraId="6F8DB497"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Ввиду ударного характера всех заданий, связанных с кампанией:</w:t>
      </w:r>
    </w:p>
    <w:p w14:paraId="2A55F2B4" w14:textId="77777777" w:rsidR="00CC1505" w:rsidRPr="00507A31" w:rsidRDefault="00CC1505" w:rsidP="00507A31">
      <w:pPr>
        <w:numPr>
          <w:ilvl w:val="0"/>
          <w:numId w:val="138"/>
        </w:numPr>
        <w:ind w:left="0" w:firstLine="0"/>
        <w:jc w:val="both"/>
        <w:rPr>
          <w:color w:val="000000" w:themeColor="text1"/>
          <w:sz w:val="16"/>
          <w:szCs w:val="16"/>
        </w:rPr>
      </w:pPr>
      <w:r w:rsidRPr="00507A31">
        <w:rPr>
          <w:color w:val="000000" w:themeColor="text1"/>
          <w:sz w:val="16"/>
          <w:szCs w:val="16"/>
        </w:rPr>
        <w:t>Вовлечь в работу Комиссии большее количество товарищей, поручив Комиссии установить точный список всех привлеченных к ударной работе товарищей с указанием персональной ответственности за тот или иной раздел работы.</w:t>
      </w:r>
    </w:p>
    <w:p w14:paraId="3E4CA1F5" w14:textId="77777777" w:rsidR="00CC1505" w:rsidRPr="00507A31" w:rsidRDefault="00CC1505" w:rsidP="00507A31">
      <w:pPr>
        <w:numPr>
          <w:ilvl w:val="0"/>
          <w:numId w:val="138"/>
        </w:numPr>
        <w:ind w:left="0" w:firstLine="0"/>
        <w:jc w:val="both"/>
        <w:rPr>
          <w:color w:val="000000" w:themeColor="text1"/>
          <w:sz w:val="16"/>
          <w:szCs w:val="16"/>
        </w:rPr>
      </w:pPr>
      <w:r w:rsidRPr="00507A31">
        <w:rPr>
          <w:color w:val="000000" w:themeColor="text1"/>
          <w:sz w:val="16"/>
          <w:szCs w:val="16"/>
        </w:rPr>
        <w:t>Вменить в обязанность т. Шуман, как руководителю Ударной Комиссии составление каждую пятидневку сводки с указанием проведенной работы с учетом всех моментов, которые тормозили ее нормальное проведение.</w:t>
      </w:r>
    </w:p>
    <w:p w14:paraId="1CEE012F" w14:textId="77777777" w:rsidR="00CC1505" w:rsidRPr="00507A31" w:rsidRDefault="00CC1505" w:rsidP="00507A31">
      <w:pPr>
        <w:numPr>
          <w:ilvl w:val="0"/>
          <w:numId w:val="138"/>
        </w:numPr>
        <w:ind w:left="0" w:firstLine="0"/>
        <w:jc w:val="both"/>
        <w:rPr>
          <w:color w:val="000000" w:themeColor="text1"/>
          <w:sz w:val="16"/>
          <w:szCs w:val="16"/>
        </w:rPr>
      </w:pPr>
      <w:r w:rsidRPr="00507A31">
        <w:rPr>
          <w:color w:val="000000" w:themeColor="text1"/>
          <w:sz w:val="16"/>
          <w:szCs w:val="16"/>
        </w:rPr>
        <w:t>Ввиду необходимости быть в курсе откликов белогвардейской печати на процесс, обратиться в НКИД к тов. Аренсу с письмом за подписью тов. Петрова с просьбой допустить ряд ответственных работников ВОКС (по особому списку) к имеющейся в НКИД белогвардейской прессе.</w:t>
      </w:r>
    </w:p>
    <w:p w14:paraId="71B01EFE" w14:textId="77777777" w:rsidR="00CC1505" w:rsidRPr="00507A31" w:rsidRDefault="00CC1505" w:rsidP="00507A31">
      <w:pPr>
        <w:numPr>
          <w:ilvl w:val="0"/>
          <w:numId w:val="138"/>
        </w:numPr>
        <w:ind w:left="0" w:firstLine="0"/>
        <w:jc w:val="both"/>
        <w:rPr>
          <w:color w:val="000000" w:themeColor="text1"/>
          <w:sz w:val="16"/>
          <w:szCs w:val="16"/>
        </w:rPr>
      </w:pPr>
      <w:r w:rsidRPr="00507A31">
        <w:rPr>
          <w:color w:val="000000" w:themeColor="text1"/>
          <w:sz w:val="16"/>
          <w:szCs w:val="16"/>
        </w:rPr>
        <w:t>Дать директиву т.т. Сахарову и Корольчуку обеспечить ударную работу всеми необходимыми техническими средствами.</w:t>
      </w:r>
    </w:p>
    <w:p w14:paraId="0CA1FBF3" w14:textId="77777777" w:rsidR="00CC1505" w:rsidRPr="00507A31" w:rsidRDefault="00CC1505" w:rsidP="00507A31">
      <w:pPr>
        <w:numPr>
          <w:ilvl w:val="0"/>
          <w:numId w:val="138"/>
        </w:numPr>
        <w:ind w:left="0" w:firstLine="0"/>
        <w:jc w:val="both"/>
        <w:rPr>
          <w:color w:val="000000" w:themeColor="text1"/>
          <w:sz w:val="16"/>
          <w:szCs w:val="16"/>
        </w:rPr>
      </w:pPr>
      <w:r w:rsidRPr="00507A31">
        <w:rPr>
          <w:color w:val="000000" w:themeColor="text1"/>
          <w:sz w:val="16"/>
          <w:szCs w:val="16"/>
        </w:rPr>
        <w:t>Заключить с типографией генеральный договор, гарантирующий выпуск изданий ВОКС к определенному сроку.</w:t>
      </w:r>
    </w:p>
    <w:p w14:paraId="3D4B4E8D" w14:textId="77777777" w:rsidR="00CC1505" w:rsidRPr="00507A31" w:rsidRDefault="00CC1505" w:rsidP="00507A31">
      <w:pPr>
        <w:numPr>
          <w:ilvl w:val="0"/>
          <w:numId w:val="138"/>
        </w:numPr>
        <w:ind w:left="0" w:firstLine="0"/>
        <w:jc w:val="both"/>
        <w:rPr>
          <w:color w:val="000000" w:themeColor="text1"/>
          <w:sz w:val="16"/>
          <w:szCs w:val="16"/>
        </w:rPr>
      </w:pPr>
      <w:r w:rsidRPr="00507A31">
        <w:rPr>
          <w:color w:val="000000" w:themeColor="text1"/>
          <w:sz w:val="16"/>
          <w:szCs w:val="16"/>
        </w:rPr>
        <w:t>Поручить Закс-Гладневой пополнить переводческий коллектив, обслуживающий ударную работу.</w:t>
      </w:r>
    </w:p>
    <w:p w14:paraId="0D1156AF"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Председатель Ф. Н. Петров</w:t>
      </w:r>
    </w:p>
    <w:p w14:paraId="6D373AC8"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Секретарь Ротенберг</w:t>
      </w:r>
    </w:p>
    <w:p w14:paraId="7AD7083C" w14:textId="77777777" w:rsidR="00CC1505" w:rsidRPr="00507A31" w:rsidRDefault="00CC1505" w:rsidP="00507A31">
      <w:pPr>
        <w:pStyle w:val="ae"/>
        <w:spacing w:before="0" w:after="0"/>
        <w:jc w:val="both"/>
        <w:rPr>
          <w:color w:val="000000" w:themeColor="text1"/>
          <w:sz w:val="16"/>
          <w:szCs w:val="16"/>
        </w:rPr>
      </w:pPr>
      <w:r w:rsidRPr="00507A31">
        <w:rPr>
          <w:rStyle w:val="af0"/>
          <w:i w:val="0"/>
          <w:color w:val="000000" w:themeColor="text1"/>
          <w:sz w:val="16"/>
          <w:szCs w:val="16"/>
        </w:rPr>
        <w:t>ГА</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P-5283. On. 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139. </w:t>
      </w:r>
      <w:r w:rsidRPr="00507A31">
        <w:rPr>
          <w:rStyle w:val="af0"/>
          <w:i w:val="0"/>
          <w:color w:val="000000" w:themeColor="text1"/>
          <w:sz w:val="16"/>
          <w:szCs w:val="16"/>
        </w:rPr>
        <w:t>Л</w:t>
      </w:r>
      <w:r w:rsidRPr="00507A31">
        <w:rPr>
          <w:rStyle w:val="af0"/>
          <w:i w:val="0"/>
          <w:color w:val="000000" w:themeColor="text1"/>
          <w:sz w:val="16"/>
          <w:szCs w:val="16"/>
          <w:lang w:val="en-US"/>
        </w:rPr>
        <w:t xml:space="preserve">. 59-62. </w:t>
      </w:r>
      <w:r w:rsidRPr="00507A31">
        <w:rPr>
          <w:rStyle w:val="af0"/>
          <w:i w:val="0"/>
          <w:color w:val="000000" w:themeColor="text1"/>
          <w:sz w:val="16"/>
          <w:szCs w:val="16"/>
        </w:rPr>
        <w:t>Заверенная машинописная копия того времени. На Л. 59 в правом верхнем углу написано от руки: «Не подлежит оглашению». На Л. 62 делопроизводственная помета машинописью о количестве напечатанных экземпляров (10) (18922).</w:t>
      </w:r>
    </w:p>
    <w:p w14:paraId="2663D01F" w14:textId="77777777" w:rsidR="00CC1505" w:rsidRPr="00507A31" w:rsidRDefault="00CC1505" w:rsidP="00507A31">
      <w:pPr>
        <w:jc w:val="both"/>
        <w:rPr>
          <w:color w:val="000000" w:themeColor="text1"/>
          <w:sz w:val="16"/>
          <w:szCs w:val="16"/>
        </w:rPr>
      </w:pPr>
    </w:p>
    <w:p w14:paraId="5E340582" w14:textId="77777777" w:rsidR="00655B74" w:rsidRPr="00507A31" w:rsidRDefault="00655B74" w:rsidP="00507A31">
      <w:pPr>
        <w:jc w:val="both"/>
        <w:rPr>
          <w:bCs/>
          <w:color w:val="000000" w:themeColor="text1"/>
          <w:sz w:val="16"/>
          <w:szCs w:val="16"/>
        </w:rPr>
      </w:pPr>
      <w:r w:rsidRPr="00507A31">
        <w:rPr>
          <w:color w:val="000000" w:themeColor="text1"/>
          <w:sz w:val="16"/>
          <w:szCs w:val="16"/>
        </w:rPr>
        <w:t>3 декабря 1930 г.</w:t>
      </w:r>
    </w:p>
    <w:p w14:paraId="0CC43AAD" w14:textId="77777777" w:rsidR="00655B74" w:rsidRPr="00507A31" w:rsidRDefault="00655B74"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заседании при закрытых дверях на процессе «Промпартии». 3 декабря 1930 г.</w:t>
      </w:r>
    </w:p>
    <w:p w14:paraId="5F0BA848" w14:textId="77777777" w:rsidR="00655B74" w:rsidRPr="00507A31" w:rsidRDefault="00655B74" w:rsidP="00507A31">
      <w:pPr>
        <w:jc w:val="both"/>
        <w:rPr>
          <w:bCs/>
          <w:color w:val="000000" w:themeColor="text1"/>
          <w:sz w:val="16"/>
          <w:szCs w:val="16"/>
        </w:rPr>
      </w:pPr>
      <w:r w:rsidRPr="00507A31">
        <w:rPr>
          <w:bCs/>
          <w:color w:val="000000" w:themeColor="text1"/>
          <w:sz w:val="16"/>
          <w:szCs w:val="16"/>
        </w:rPr>
        <w:t>Источник: </w:t>
      </w:r>
    </w:p>
    <w:p w14:paraId="5D43BD27" w14:textId="77777777" w:rsidR="00655B74" w:rsidRPr="00507A31" w:rsidRDefault="00655B7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ABC69B2" w14:textId="77777777" w:rsidR="00655B74" w:rsidRPr="00507A31" w:rsidRDefault="00655B74" w:rsidP="00507A31">
      <w:pPr>
        <w:pStyle w:val="rteright"/>
        <w:spacing w:before="0" w:after="0"/>
        <w:jc w:val="both"/>
        <w:rPr>
          <w:color w:val="000000" w:themeColor="text1"/>
          <w:sz w:val="16"/>
          <w:szCs w:val="16"/>
        </w:rPr>
      </w:pPr>
      <w:r w:rsidRPr="00507A31">
        <w:rPr>
          <w:color w:val="000000" w:themeColor="text1"/>
          <w:sz w:val="16"/>
          <w:szCs w:val="16"/>
        </w:rPr>
        <w:t>3 декабря 1930 г.</w:t>
      </w:r>
    </w:p>
    <w:p w14:paraId="792F940C"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Входящая телеграмма (копия)</w:t>
      </w:r>
    </w:p>
    <w:p w14:paraId="314F8E04"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Шифровальный отдел</w:t>
      </w:r>
    </w:p>
    <w:p w14:paraId="5407FA75"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 699</w:t>
      </w:r>
    </w:p>
    <w:p w14:paraId="51202D86"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Москва, 3 декабря 1930, 13.47</w:t>
      </w:r>
    </w:p>
    <w:p w14:paraId="5A7F5168"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Получено: 3 декабря 1930, 13.55</w:t>
      </w:r>
    </w:p>
    <w:p w14:paraId="6162F9EA"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Процесс по обвинению в государственной измене</w:t>
      </w:r>
    </w:p>
    <w:p w14:paraId="2D1A7EDE"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Сегодня в среду в 12.30 состоялось заседание при закрытых дверях. Открытые заседания возобновятся завтра в 17 часов.</w:t>
      </w:r>
    </w:p>
    <w:p w14:paraId="6C81E3F6" w14:textId="77777777" w:rsidR="00655B74" w:rsidRPr="00507A31" w:rsidRDefault="00655B74" w:rsidP="00507A31">
      <w:pPr>
        <w:pStyle w:val="ae"/>
        <w:spacing w:before="0" w:after="0"/>
        <w:jc w:val="both"/>
        <w:rPr>
          <w:color w:val="000000" w:themeColor="text1"/>
          <w:sz w:val="16"/>
          <w:szCs w:val="16"/>
        </w:rPr>
      </w:pPr>
      <w:r w:rsidRPr="00507A31">
        <w:rPr>
          <w:color w:val="000000" w:themeColor="text1"/>
          <w:sz w:val="16"/>
          <w:szCs w:val="16"/>
        </w:rPr>
        <w:t>Жан Эрбет</w:t>
      </w:r>
    </w:p>
    <w:p w14:paraId="4E1341FD" w14:textId="77777777" w:rsidR="00655B74" w:rsidRPr="00507A31" w:rsidRDefault="00655B74"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127.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 дек. 1930» и вписанным от руки номером о сдаче в архив «z 619— 20 s/d5» (18771).</w:t>
      </w:r>
    </w:p>
    <w:p w14:paraId="53D756DC" w14:textId="77777777" w:rsidR="00655B74" w:rsidRPr="00507A31" w:rsidRDefault="00655B74" w:rsidP="00507A31">
      <w:pPr>
        <w:jc w:val="both"/>
        <w:rPr>
          <w:color w:val="000000" w:themeColor="text1"/>
          <w:sz w:val="16"/>
          <w:szCs w:val="16"/>
        </w:rPr>
      </w:pPr>
    </w:p>
    <w:p w14:paraId="072C087F" w14:textId="77777777" w:rsidR="00655B74" w:rsidRPr="00507A31" w:rsidRDefault="00655B74" w:rsidP="00507A31">
      <w:pPr>
        <w:jc w:val="both"/>
        <w:rPr>
          <w:bCs/>
          <w:color w:val="000000" w:themeColor="text1"/>
          <w:sz w:val="16"/>
          <w:szCs w:val="16"/>
        </w:rPr>
      </w:pPr>
      <w:r w:rsidRPr="00507A31">
        <w:rPr>
          <w:color w:val="000000" w:themeColor="text1"/>
          <w:sz w:val="16"/>
          <w:szCs w:val="16"/>
        </w:rPr>
        <w:t>3 декабря 1930 г.</w:t>
      </w:r>
    </w:p>
    <w:p w14:paraId="3F4EAA0F" w14:textId="77777777" w:rsidR="00655B74" w:rsidRPr="00507A31" w:rsidRDefault="00655B74" w:rsidP="00507A31">
      <w:pPr>
        <w:jc w:val="both"/>
        <w:rPr>
          <w:bCs/>
          <w:color w:val="000000" w:themeColor="text1"/>
          <w:sz w:val="16"/>
          <w:szCs w:val="16"/>
        </w:rPr>
      </w:pPr>
      <w:r w:rsidRPr="00507A31">
        <w:rPr>
          <w:color w:val="000000" w:themeColor="text1"/>
          <w:sz w:val="16"/>
          <w:szCs w:val="16"/>
        </w:rPr>
        <w:t>Внутренняя служебная записка МИД Франции о визите В. С. Довгалевского к Ф. Вертело. 3 декабря 1930 г.</w:t>
      </w:r>
    </w:p>
    <w:p w14:paraId="47DEC496" w14:textId="77777777" w:rsidR="00655B74" w:rsidRPr="00507A31" w:rsidRDefault="00655B74" w:rsidP="00507A31">
      <w:pPr>
        <w:jc w:val="both"/>
        <w:rPr>
          <w:bCs/>
          <w:color w:val="000000" w:themeColor="text1"/>
          <w:sz w:val="16"/>
          <w:szCs w:val="16"/>
        </w:rPr>
      </w:pPr>
      <w:r w:rsidRPr="00507A31">
        <w:rPr>
          <w:bCs/>
          <w:color w:val="000000" w:themeColor="text1"/>
          <w:sz w:val="16"/>
          <w:szCs w:val="16"/>
        </w:rPr>
        <w:t>Источник: </w:t>
      </w:r>
    </w:p>
    <w:p w14:paraId="48287EBD" w14:textId="77777777" w:rsidR="00655B74" w:rsidRPr="00507A31" w:rsidRDefault="00655B7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93071B" w14:textId="77777777" w:rsidR="00655B74" w:rsidRPr="00507A31" w:rsidRDefault="00655B74" w:rsidP="00507A31">
      <w:pPr>
        <w:pStyle w:val="rteright"/>
        <w:spacing w:before="0" w:after="0"/>
        <w:jc w:val="both"/>
        <w:rPr>
          <w:color w:val="000000" w:themeColor="text1"/>
          <w:sz w:val="16"/>
          <w:szCs w:val="16"/>
        </w:rPr>
      </w:pPr>
      <w:r w:rsidRPr="00507A31">
        <w:rPr>
          <w:color w:val="000000" w:themeColor="text1"/>
          <w:sz w:val="16"/>
          <w:szCs w:val="16"/>
        </w:rPr>
        <w:t>3 декабря 1930 г.</w:t>
      </w:r>
    </w:p>
    <w:p w14:paraId="2784669C"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3 декабря 1930</w:t>
      </w:r>
    </w:p>
    <w:p w14:paraId="1D61334F"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Визит советского посла к г-ну Вертело</w:t>
      </w:r>
    </w:p>
    <w:p w14:paraId="34FA1FDD"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Советский посол нанес визит главному секретарю, чтобы устно информировать его об ответе правительства СССР на французский протест, выраженный недавно Вертело в связи с происходящим в Москве политическим процессом.</w:t>
      </w:r>
    </w:p>
    <w:p w14:paraId="7AA523AB"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Ответ советского правительства был сформулирован практически дословно следующим образом:</w:t>
      </w:r>
    </w:p>
    <w:p w14:paraId="2C5654C7"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«К сожалению, Советский Союз расценивает линию поведения французского правительства в политической и экономической сферах иначе, чем это делает Вертело. Не останавливаясь на всех фактах, которые подтверждают правильность советской оценки, достаточно напомнить задержание советских судов в Бизерте и произвольное ослабление средств морской защиты СССР в пользу третьих стран. В ответ на дружественное заявление Литвинова о желании улучшить отношения между двумя странами был принят декрет, устанавливающий исключительные меры против советского импорта во Францию. Этот декрет может восприниматься только как враждебный акт со стороны французского правительства. Еще до принятия декрета экономические отношения между двумя странами стали практически невозможными из-за отсутствия правовой базы. При этом все советские предложения по установлению подобной базы посредством подписания конвенций были отвергнуты, а на государственное имущество &lt;СССР во Франции&gt; накладывались аресты на основании плохо обоснованных претензий.</w:t>
      </w:r>
    </w:p>
    <w:p w14:paraId="06FF214D"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Несмотря на глубокое возмущение советской общественности из-за выявленных на процессе “Промпартии” фактов, ни одно из заявлений советской прессы о Франции не идет ни в какое сравнение ни по своему тону, ни по содержанию с антисоветскими выпадами, которые без всякой на то причины ежедневно появляются во французской прессе.</w:t>
      </w:r>
    </w:p>
    <w:p w14:paraId="04AD33A2"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lastRenderedPageBreak/>
        <w:t>По своей враждебности к СССР и манере публиковать всякого рода клевету и обман французская пресса побила рекорд капиталистической прессы всех других стран. Она не останавливается перед самыми грубыми оскорблениями политических деятелей СССР, членов правительства и советского посла во Франции. И ни разу советское посольство не нашло во французском правительстве поддержки и защиты от свирепости французской прессы.</w:t>
      </w:r>
    </w:p>
    <w:p w14:paraId="03A28B39"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Советское правительство не может согласиться с заявлением о том, что каждое из государств несет разную ответственность за свою прессу и суды.</w:t>
      </w:r>
    </w:p>
    <w:p w14:paraId="0DC3B41F"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Советское правительство не только далеко от мысли о разрыве отношений, но и как прежде чистосердечно стремится развивать и укреплять эти отношения во всех областях. Но для достижения этой цели необходимо, чтобы французское правительство также испытывало подобное желание. Тем не менее, французское правительство не может не понимать, что советское правительство не в состоянии ни приостановить уже начатый процесс, который вызывает большой интерес в советском общественном мнении, ни умалчивать о публичных признаниях обвиняемых. Однако, как только в этих признаниях было упомянуто об участии в деле официальных иностранных лиц и организаций (таких, как Бриан, французское правительство, французские служащие в СССР), суд принял решение, что эти вопросы будут рассматриваться на заседаниях при закрытых дверях.</w:t>
      </w:r>
    </w:p>
    <w:p w14:paraId="27E1B565"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Советское правительство будет приветствовать все практические предложения французского правительства по установлению действительно нормальных и корректных отношений между двумя странами. В этом случае утверждения представителей контрреволюционной эмиграции об их официальных отношениях с французскими политическими деятелями и о данных ими обещаниях не будут вызывать доверия у советских специалистов и поощрять их на нелояльные и преступные действия. Советское правительство стремится к таким отношениям, полагая, что они отвечают интересам обеих стран, спокойствию Европы и сохранению всеобщего мира».</w:t>
      </w:r>
    </w:p>
    <w:p w14:paraId="18F8BD02"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Вертело обсудил по пунктам заявление советского правительства. Он снова выразил протест против оценки антидемпингового декрета от 3-го октября как враждебного акта. Он отреагировал на замечание советского посла о свирепости французской прессы, заявив, что не следует вступать в длительное обсуждение статей из русской прессы, направленных против французских чиновников и членов правительства, — это стало бы серией противоречивых и бесполезных утверждений.</w:t>
      </w:r>
    </w:p>
    <w:p w14:paraId="1977BCFC"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Тем не менее, главный секретарь отметил, что в то время как французская пресса абсолютно свободна, русская пресса находится под строгим контролем советского правительства.</w:t>
      </w:r>
    </w:p>
    <w:p w14:paraId="2199DF6C"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Вертело принял к сведению, заявление советского правительства о том, что оно «не только далеко от мысли о разрыве отношений, но и как прежде чистосердечно стремится развивать и укреплять эти отношения во всех областях».</w:t>
      </w:r>
    </w:p>
    <w:p w14:paraId="271CFDD7"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Он также принял к сведению решение суда рассматривать вопросы об участии иностранных лиц и организаций при закрытых дверях, о чем было заявлено 2 декабря в 12.30.</w:t>
      </w:r>
    </w:p>
    <w:p w14:paraId="1E42DF26"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Наконец, главный секретарь напомнил, что французское правительство в своем последнем заявлении выразило готовность снова рассмотреть возможность заключения торгового соглашения между двумя странами. В этом отражается его миролюбивая позиция, от которой оно никогда не отходило в своих отношениях с Россией.</w:t>
      </w:r>
    </w:p>
    <w:p w14:paraId="06777792" w14:textId="77777777" w:rsidR="00655B74" w:rsidRPr="00507A31" w:rsidRDefault="00655B74"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130-133. Машинописный экземпляр того времени, без подписи. Штамп Департамента политических и торговых дел с вписанным от руки номером о сдаче в архив «z 619-20 s/ d5». На первой странице на полях рукописные пометы карандашом (неразборчиво) (18772).</w:t>
      </w:r>
    </w:p>
    <w:p w14:paraId="3032C972" w14:textId="77777777" w:rsidR="00655B74" w:rsidRPr="00507A31" w:rsidRDefault="00655B74" w:rsidP="00507A31">
      <w:pPr>
        <w:jc w:val="both"/>
        <w:rPr>
          <w:color w:val="000000" w:themeColor="text1"/>
          <w:sz w:val="16"/>
          <w:szCs w:val="16"/>
        </w:rPr>
      </w:pPr>
    </w:p>
    <w:p w14:paraId="2766F71A" w14:textId="77777777" w:rsidR="00655B74" w:rsidRPr="00507A31" w:rsidRDefault="00655B74" w:rsidP="00507A31">
      <w:pPr>
        <w:jc w:val="both"/>
        <w:rPr>
          <w:bCs/>
          <w:color w:val="000000" w:themeColor="text1"/>
          <w:sz w:val="16"/>
          <w:szCs w:val="16"/>
        </w:rPr>
      </w:pPr>
      <w:r w:rsidRPr="00507A31">
        <w:rPr>
          <w:color w:val="000000" w:themeColor="text1"/>
          <w:sz w:val="16"/>
          <w:szCs w:val="16"/>
        </w:rPr>
        <w:t>3 декабря 1930 г.</w:t>
      </w:r>
    </w:p>
    <w:p w14:paraId="34226E5F" w14:textId="77777777" w:rsidR="00655B74" w:rsidRPr="00507A31" w:rsidRDefault="00655B74" w:rsidP="00507A31">
      <w:pPr>
        <w:jc w:val="both"/>
        <w:rPr>
          <w:bCs/>
          <w:color w:val="000000" w:themeColor="text1"/>
          <w:sz w:val="16"/>
          <w:szCs w:val="16"/>
        </w:rPr>
      </w:pPr>
      <w:r w:rsidRPr="00507A31">
        <w:rPr>
          <w:color w:val="000000" w:themeColor="text1"/>
          <w:sz w:val="16"/>
          <w:szCs w:val="16"/>
        </w:rPr>
        <w:t>Письмо Д. Г. Штерна заведующему отделом печати НКИД СССР Ж. Л. Аренсу о возможностях освещения процесса «Промпартии» в Германии. 3 декабря 1930 г.</w:t>
      </w:r>
    </w:p>
    <w:p w14:paraId="27F108C2" w14:textId="77777777" w:rsidR="00655B74" w:rsidRPr="00507A31" w:rsidRDefault="00655B74" w:rsidP="00507A31">
      <w:pPr>
        <w:jc w:val="both"/>
        <w:rPr>
          <w:bCs/>
          <w:color w:val="000000" w:themeColor="text1"/>
          <w:sz w:val="16"/>
          <w:szCs w:val="16"/>
        </w:rPr>
      </w:pPr>
      <w:r w:rsidRPr="00507A31">
        <w:rPr>
          <w:bCs/>
          <w:color w:val="000000" w:themeColor="text1"/>
          <w:sz w:val="16"/>
          <w:szCs w:val="16"/>
        </w:rPr>
        <w:t>Источник: </w:t>
      </w:r>
    </w:p>
    <w:p w14:paraId="64E9B093" w14:textId="77777777" w:rsidR="00655B74" w:rsidRPr="00507A31" w:rsidRDefault="00655B7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427D6C8" w14:textId="77777777" w:rsidR="00655B74" w:rsidRPr="00507A31" w:rsidRDefault="00655B74" w:rsidP="00507A31">
      <w:pPr>
        <w:jc w:val="both"/>
        <w:rPr>
          <w:bCs/>
          <w:color w:val="000000" w:themeColor="text1"/>
          <w:sz w:val="16"/>
          <w:szCs w:val="16"/>
        </w:rPr>
      </w:pPr>
      <w:r w:rsidRPr="00507A31">
        <w:rPr>
          <w:bCs/>
          <w:color w:val="000000" w:themeColor="text1"/>
          <w:sz w:val="16"/>
          <w:szCs w:val="16"/>
        </w:rPr>
        <w:t>Архив: </w:t>
      </w:r>
    </w:p>
    <w:p w14:paraId="3767BFA0" w14:textId="77777777" w:rsidR="00655B74" w:rsidRPr="00507A31" w:rsidRDefault="00655B74" w:rsidP="00507A31">
      <w:pPr>
        <w:jc w:val="both"/>
        <w:rPr>
          <w:color w:val="000000" w:themeColor="text1"/>
          <w:sz w:val="16"/>
          <w:szCs w:val="16"/>
        </w:rPr>
      </w:pPr>
      <w:r w:rsidRPr="00507A31">
        <w:rPr>
          <w:color w:val="000000" w:themeColor="text1"/>
          <w:sz w:val="16"/>
          <w:szCs w:val="16"/>
        </w:rPr>
        <w:t>АВП РФ. Ф. 056. On. 15. П.31.Д. 9. Л. 90-91</w:t>
      </w:r>
    </w:p>
    <w:p w14:paraId="222F3877" w14:textId="77777777" w:rsidR="00655B74" w:rsidRPr="00507A31" w:rsidRDefault="00655B74" w:rsidP="00507A31">
      <w:pPr>
        <w:pStyle w:val="rteright"/>
        <w:spacing w:before="0" w:after="0"/>
        <w:jc w:val="both"/>
        <w:rPr>
          <w:color w:val="000000" w:themeColor="text1"/>
          <w:sz w:val="16"/>
          <w:szCs w:val="16"/>
        </w:rPr>
      </w:pPr>
      <w:r w:rsidRPr="00507A31">
        <w:rPr>
          <w:color w:val="000000" w:themeColor="text1"/>
          <w:sz w:val="16"/>
          <w:szCs w:val="16"/>
        </w:rPr>
        <w:t>3 декабря 1930 г.</w:t>
      </w:r>
    </w:p>
    <w:p w14:paraId="0895F0D2" w14:textId="77777777" w:rsidR="00655B74" w:rsidRPr="00507A31" w:rsidRDefault="00655B74"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7B44559E" w14:textId="77777777" w:rsidR="00655B74" w:rsidRPr="00507A31" w:rsidRDefault="00655B74" w:rsidP="00507A31">
      <w:pPr>
        <w:pStyle w:val="rtecenter"/>
        <w:spacing w:before="0" w:after="0"/>
        <w:jc w:val="both"/>
        <w:rPr>
          <w:color w:val="000000" w:themeColor="text1"/>
          <w:sz w:val="16"/>
          <w:szCs w:val="16"/>
        </w:rPr>
      </w:pPr>
      <w:r w:rsidRPr="00507A31">
        <w:rPr>
          <w:color w:val="000000" w:themeColor="text1"/>
          <w:sz w:val="16"/>
          <w:szCs w:val="16"/>
        </w:rPr>
        <w:t>т. Аренсу, копии: т.т. Литвинову и Крестинскому</w:t>
      </w:r>
    </w:p>
    <w:p w14:paraId="07958A7C" w14:textId="77777777" w:rsidR="00655B74" w:rsidRPr="00507A31" w:rsidRDefault="00655B74"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0EEE62BC"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Я получил с сегодняшней почтой Ваши задания и спешу высказать ряд конкретных соображений в связи с процессом промпартии и его освещением в Германии. Не подлежит сомнению, что мы здесь должны проявить максимальную энергию по использованию всех возможностей, однако необходимо заранее эти возможности взвесить и уяснить во избежани[е] получения неправильного представления и вредной потери времени. В основном следует констатировать следующее:</w:t>
      </w:r>
    </w:p>
    <w:p w14:paraId="6A4E75CD"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1.  Использование лево-радикальной и лево-пацифистской печати представляется возможным в очень ограниченных рамках. «Тагебух», нам всегда враждебный, в деле промпартии занимает отчетливую антисоветскую позицию, с которой его можно сдвинуть лишь при помощи применения денежных средств, нам недоступных. «Вельтбюне» занимает «нейтральную позицию» то есть печатает статьи с различными установками. Так журнал поместил резко-враждебную статью Арнольда Цвейга и возражения ему со стороны Гейнца Поля и Бруно Фрея. Сам Осецкий в последнем номере поместил достаточно недоброжелательную статью (при сем прилагаемую). Я могу с полной определенностью утверждать, что за совершенно незначительными исключениями весь лево-пацифистский лагерь занимает в этом вопросе нам недружественную позицию. Даже «Дортмундер Генераль Лнцейгер» напечатал статью Шэнаиха, в которой тот высказывает сомнения в факте вредительства. Необходимо поэтому проявить большую энергию по оказанию влияния на Вейнбер- га (в Москве). Даже Поль, выступавший против Цвейга, в разговоре со мной отметил, что он «понимает наше положение, но очень сомневается во многом». Таким образом в отношении левых можно очень не многого добиться. Я конечно буду говорить с Осецким, Полем и др., но большого эффекта от этого не жду.</w:t>
      </w:r>
    </w:p>
    <w:p w14:paraId="5F0A1974"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2.   Что касается «Остеуропы»[,] то несомненно можно провести через Иона&lt;са&gt; ту или другую статью, нашего происхождения, но т. Виноградов и я очень сомневаемся, чтобы Гетч или кто либо другой сами взялись писать на эту тему. Возможно вероятно поместить в этот журнал отдельные выдержки из обвинительного заключения, однако мы уверены, что особого номера, посвященного процессу[,] они не выпустят.</w:t>
      </w:r>
    </w:p>
    <w:p w14:paraId="217F6B22"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3.   Что касается правого лагеря, то национал-социалисты в этом вопросе занимают совершенно враждебную нам позицию. Гугенберговские круги и их пресса не желают поддерживать французов, но ни в коем случае не ангажируются в этом деле. Вообще установка наиболее дружественных нам в этом процессе националистических кругов сводится к следующей формуле: «мы относимся скептически к процессу, но довольны что он направлен против французов». Очень ясно эта установка выражена в корреспонденции от 3-го декабря из Берлина «Кельнише Цейтунг». Наиболее положительна установка «Дайтше Тагесцейтунг», но в отношении этой газеты сделано уже все возможное. Таким образом в отношении правой прессы можно рассчитывать лишь на проведение отдельных статей. В отношении «Дейтшер Шпигель» и также «Дейтше Рундшау» необходимо прозондировать почву.</w:t>
      </w:r>
    </w:p>
    <w:p w14:paraId="303DB1B9"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4. Использование мендельсоновских «Еуропеише Гешпрэхе» нам представляется совершенно маловероятным.</w:t>
      </w:r>
    </w:p>
    <w:p w14:paraId="49D7CCCA"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5.   Грабовский теперь находится вне Берлина и вряд ли захочет ангажироваться, но все же буду поджидать его возвращения.</w:t>
      </w:r>
    </w:p>
    <w:p w14:paraId="76D83F44"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6.   Гораздо реальнее обстоит дело с изданием книг Кишем, Ренном и Гольдшмитом и т. п. Это дело однако потребует по крайней мере недель, а интерес к процессу в широких кругах тогда ослабеет, что не исключает однако целесообразности издания этих книг.</w:t>
      </w:r>
    </w:p>
    <w:p w14:paraId="61000465"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Таковы мои соображения в связи с Вашими предположениями. Со своей стороны я пока могу наметить следующее:</w:t>
      </w:r>
    </w:p>
    <w:p w14:paraId="58B577B9"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а) выпуск отдельного номера «Дас Нейе Руссланд», для чего т. Виноградову нужны немедленно средства в размере около 500 дол.</w:t>
      </w:r>
    </w:p>
    <w:p w14:paraId="44BED6AA"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б) Использование в обычном направлении бюро [вырезок Шустермана].</w:t>
      </w:r>
    </w:p>
    <w:p w14:paraId="683E0528"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 Попытку продвинуть какие[-]либо материалы в следующие] журналы: «Дейтше Републик», «Политише Вохеншрифт», «Ди Тат» (последнее зависит от выздоровления серьезно больного Церера).</w:t>
      </w:r>
    </w:p>
    <w:p w14:paraId="2E58C1B9"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Кроме того я буду искать и других возможностей. На данном примере видно как важно иметь заранее подготовленный канал, вроде Агентства Д[,] о котором я неоднократно писал. Если вы считаете целесообразным, я мог бы попытаться использовать этот канал теперь, но это будет импровизацией и обойдется в несколько тысяч марок, сообщите свое мнение по этому вопросу.</w:t>
      </w:r>
    </w:p>
    <w:p w14:paraId="1E0CA928"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Резюмируя все сказанное[,] следует учитывать, что возможности, имеющиеся в нашем распоряжении[,] невелики, при чем[,] как Вы можете убедиться[,] отклики прессы и в особенности писания большинства московских корреспондентов (в особенности Баума) доказывают, что в такого рода обстановке на первом месте стоят классовые моменты, определяющие установку буржуазной прессы. Могу с полной уверенностью утверждать, что если бы не давление Аусамта и вероятно посольства в Москве, отношение германской прессы было бы еще менее благоприятным в отношении нас.</w:t>
      </w:r>
    </w:p>
    <w:p w14:paraId="66C219ED"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 течение ближайших дней использую для зондажа и выполнения все возможности, однако подчеркиваю, что в основном мы можем рассчитывать лишь [на] органы типа «Нойе Руссланд», писателей, как Киш, и немногие правые каналы.</w:t>
      </w:r>
    </w:p>
    <w:p w14:paraId="3F69945B"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 данной обстановке считаю совершенно не мыслимым представить Вам даже подобие сметы. Гораздо более целесообразно будет, если Вы сообщите хотя бы приблизительно, какими суммами мы можем располагать.</w:t>
      </w:r>
    </w:p>
    <w:p w14:paraId="506D392E"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 тов. приветом</w:t>
      </w:r>
    </w:p>
    <w:p w14:paraId="0937768D"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Д. Штерн</w:t>
      </w:r>
    </w:p>
    <w:p w14:paraId="2FCBB4B9" w14:textId="77777777" w:rsidR="00655B74" w:rsidRPr="00507A31" w:rsidRDefault="00655B74" w:rsidP="00507A31">
      <w:pPr>
        <w:pStyle w:val="ae"/>
        <w:spacing w:before="0" w:after="0"/>
        <w:jc w:val="both"/>
        <w:rPr>
          <w:color w:val="000000" w:themeColor="text1"/>
          <w:sz w:val="16"/>
          <w:szCs w:val="16"/>
        </w:rPr>
      </w:pPr>
      <w:r w:rsidRPr="00507A31">
        <w:rPr>
          <w:rStyle w:val="af0"/>
          <w:i w:val="0"/>
          <w:color w:val="000000" w:themeColor="text1"/>
          <w:sz w:val="16"/>
          <w:szCs w:val="16"/>
        </w:rPr>
        <w:lastRenderedPageBreak/>
        <w:t>АВП РФ. Ф. 056. On. 15. П.31.Д. 9. Л. 90-91. Машинописный подлинник на бланке Полпредства СССР в Германии, подпись Штерна — автограф. Гриф секретности и дата машинописью, исходящий номер «№ 1473» от руки в графе бланка (Л. 90). Вверху на Л. 90 написаны от руки входящий номер и дата получения документа «8/ХII-30 г.». Ниже рукописная помета «архив», подпись-росчерк Миронова (18849).</w:t>
      </w:r>
    </w:p>
    <w:p w14:paraId="34E0EB35" w14:textId="77777777" w:rsidR="00655B74" w:rsidRPr="00507A31" w:rsidRDefault="00655B74" w:rsidP="00507A31">
      <w:pPr>
        <w:jc w:val="both"/>
        <w:rPr>
          <w:color w:val="000000" w:themeColor="text1"/>
          <w:sz w:val="16"/>
          <w:szCs w:val="16"/>
        </w:rPr>
      </w:pPr>
    </w:p>
    <w:p w14:paraId="33AC2D77" w14:textId="77777777" w:rsidR="00655B74" w:rsidRPr="00507A31" w:rsidRDefault="00655B74" w:rsidP="00507A31">
      <w:pPr>
        <w:jc w:val="both"/>
        <w:rPr>
          <w:bCs/>
          <w:color w:val="000000" w:themeColor="text1"/>
          <w:sz w:val="16"/>
          <w:szCs w:val="16"/>
        </w:rPr>
      </w:pPr>
      <w:r w:rsidRPr="00507A31">
        <w:rPr>
          <w:color w:val="000000" w:themeColor="text1"/>
          <w:sz w:val="16"/>
          <w:szCs w:val="16"/>
        </w:rPr>
        <w:t>3 декабря 1930 г.</w:t>
      </w:r>
    </w:p>
    <w:p w14:paraId="6F590692" w14:textId="77777777" w:rsidR="00655B74" w:rsidRPr="00507A31" w:rsidRDefault="00655B74"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выпадах советской прессы против социалистов и их печатных органов. 3 декабря 1930 г.</w:t>
      </w:r>
    </w:p>
    <w:p w14:paraId="455DEECC" w14:textId="77777777" w:rsidR="00655B74" w:rsidRPr="00507A31" w:rsidRDefault="00655B74" w:rsidP="00507A31">
      <w:pPr>
        <w:jc w:val="both"/>
        <w:rPr>
          <w:bCs/>
          <w:color w:val="000000" w:themeColor="text1"/>
          <w:sz w:val="16"/>
          <w:szCs w:val="16"/>
        </w:rPr>
      </w:pPr>
      <w:r w:rsidRPr="00507A31">
        <w:rPr>
          <w:bCs/>
          <w:color w:val="000000" w:themeColor="text1"/>
          <w:sz w:val="16"/>
          <w:szCs w:val="16"/>
        </w:rPr>
        <w:t>Источник: </w:t>
      </w:r>
    </w:p>
    <w:p w14:paraId="3F9EE758" w14:textId="77777777" w:rsidR="00655B74" w:rsidRPr="00507A31" w:rsidRDefault="00655B7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E1DEFA3" w14:textId="77777777" w:rsidR="00655B74" w:rsidRPr="00507A31" w:rsidRDefault="00655B74" w:rsidP="00507A31">
      <w:pPr>
        <w:pStyle w:val="rteright"/>
        <w:spacing w:before="0" w:after="0"/>
        <w:jc w:val="both"/>
        <w:rPr>
          <w:color w:val="000000" w:themeColor="text1"/>
          <w:sz w:val="16"/>
          <w:szCs w:val="16"/>
        </w:rPr>
      </w:pPr>
      <w:r w:rsidRPr="00507A31">
        <w:rPr>
          <w:color w:val="000000" w:themeColor="text1"/>
          <w:sz w:val="16"/>
          <w:szCs w:val="16"/>
        </w:rPr>
        <w:t>3 декабря 1930 г.</w:t>
      </w:r>
    </w:p>
    <w:p w14:paraId="6D7F23CB" w14:textId="77777777" w:rsidR="00655B74" w:rsidRPr="00507A31" w:rsidRDefault="00655B74"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418D0BF2" w14:textId="77777777" w:rsidR="00655B74" w:rsidRPr="00507A31" w:rsidRDefault="00655B74" w:rsidP="00507A31">
      <w:pPr>
        <w:pStyle w:val="ae"/>
        <w:spacing w:before="0" w:after="0"/>
        <w:jc w:val="both"/>
        <w:rPr>
          <w:color w:val="000000" w:themeColor="text1"/>
          <w:sz w:val="16"/>
          <w:szCs w:val="16"/>
        </w:rPr>
      </w:pPr>
      <w:r w:rsidRPr="00507A31">
        <w:rPr>
          <w:color w:val="000000" w:themeColor="text1"/>
          <w:sz w:val="16"/>
          <w:szCs w:val="16"/>
        </w:rPr>
        <w:t>Шифровальный отдел</w:t>
      </w:r>
    </w:p>
    <w:p w14:paraId="5B101DA7" w14:textId="77777777" w:rsidR="00655B74" w:rsidRPr="00507A31" w:rsidRDefault="00655B74" w:rsidP="00507A31">
      <w:pPr>
        <w:pStyle w:val="ae"/>
        <w:spacing w:before="0" w:after="0"/>
        <w:jc w:val="both"/>
        <w:rPr>
          <w:color w:val="000000" w:themeColor="text1"/>
          <w:sz w:val="16"/>
          <w:szCs w:val="16"/>
        </w:rPr>
      </w:pPr>
      <w:r w:rsidRPr="00507A31">
        <w:rPr>
          <w:color w:val="000000" w:themeColor="text1"/>
          <w:sz w:val="16"/>
          <w:szCs w:val="16"/>
        </w:rPr>
        <w:t>№698</w:t>
      </w:r>
    </w:p>
    <w:p w14:paraId="144E683C" w14:textId="77777777" w:rsidR="00655B74" w:rsidRPr="00507A31" w:rsidRDefault="00655B74" w:rsidP="00507A31">
      <w:pPr>
        <w:pStyle w:val="ae"/>
        <w:spacing w:before="0" w:after="0"/>
        <w:jc w:val="both"/>
        <w:rPr>
          <w:color w:val="000000" w:themeColor="text1"/>
          <w:sz w:val="16"/>
          <w:szCs w:val="16"/>
        </w:rPr>
      </w:pPr>
      <w:r w:rsidRPr="00507A31">
        <w:rPr>
          <w:color w:val="000000" w:themeColor="text1"/>
          <w:sz w:val="16"/>
          <w:szCs w:val="16"/>
        </w:rPr>
        <w:t>Москва, 3 декабря 1930, 12.55</w:t>
      </w:r>
    </w:p>
    <w:p w14:paraId="1F019419" w14:textId="77777777" w:rsidR="00655B74" w:rsidRPr="00507A31" w:rsidRDefault="00655B74" w:rsidP="00507A31">
      <w:pPr>
        <w:pStyle w:val="ae"/>
        <w:spacing w:before="0" w:after="0"/>
        <w:jc w:val="both"/>
        <w:rPr>
          <w:color w:val="000000" w:themeColor="text1"/>
          <w:sz w:val="16"/>
          <w:szCs w:val="16"/>
        </w:rPr>
      </w:pPr>
      <w:r w:rsidRPr="00507A31">
        <w:rPr>
          <w:color w:val="000000" w:themeColor="text1"/>
          <w:sz w:val="16"/>
          <w:szCs w:val="16"/>
        </w:rPr>
        <w:t>Получено: 3 декабря 1930, 12.30</w:t>
      </w:r>
    </w:p>
    <w:p w14:paraId="1A9B55CE"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Сегодня «Правда» выступает с нападками на французские и немецкие социалистические газеты «Популер» и «Форвертс», упрекая их в неверии в виновность обвиняемых на московском процессе о государственной измене. Вот то, каким неожиданным способом «Правда» объясняет отношение социалистов:</w:t>
      </w:r>
    </w:p>
    <w:p w14:paraId="543787B1"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«Этот единый фронт защиты и выгораживания вредителей является результатом того, что в подготовке к интервенции принимали участие не только “Торгпром” и Пуанкаре и К. О подготовке к интервенции знали Милюков, меньшевики и французские социалисты. Они принимали в ней участие».</w:t>
      </w:r>
    </w:p>
    <w:p w14:paraId="715D728E"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Продолжение статьи говорит о том, что обвинения французских социалистов в подготовке военной интервенции против СССР являются внутриполитическим маневром, чтобы вовлечь в этот заговор русских социалистов (Громан, Суханов и т. д.) В завершении статьи печатный орган ЦК требует «укрепления мощи Красной армии».</w:t>
      </w:r>
    </w:p>
    <w:p w14:paraId="2900A8F3" w14:textId="77777777" w:rsidR="00655B74" w:rsidRPr="00507A31" w:rsidRDefault="00655B74" w:rsidP="00507A31">
      <w:pPr>
        <w:pStyle w:val="ae"/>
        <w:spacing w:before="0" w:after="0"/>
        <w:jc w:val="both"/>
        <w:rPr>
          <w:color w:val="000000" w:themeColor="text1"/>
          <w:sz w:val="16"/>
          <w:szCs w:val="16"/>
        </w:rPr>
      </w:pPr>
      <w:r w:rsidRPr="00507A31">
        <w:rPr>
          <w:color w:val="000000" w:themeColor="text1"/>
          <w:sz w:val="16"/>
          <w:szCs w:val="16"/>
        </w:rPr>
        <w:t>Жан Эрбет</w:t>
      </w:r>
    </w:p>
    <w:p w14:paraId="195E3365" w14:textId="77777777" w:rsidR="00655B74" w:rsidRPr="00507A31" w:rsidRDefault="00655B74"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126.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 дек. 1930» и вписанным от руки номером о сдаче в архив «z 619-20 s/ d5». Перед текстом телеграммы рукописная помета карандашом: «Лондон, Рим, Берлин, Вена, Копенгаген, Брюссель» (18770).</w:t>
      </w:r>
    </w:p>
    <w:p w14:paraId="4DE6573F" w14:textId="77777777" w:rsidR="00655B74" w:rsidRPr="00507A31" w:rsidRDefault="00655B74" w:rsidP="00507A31">
      <w:pPr>
        <w:jc w:val="both"/>
        <w:rPr>
          <w:color w:val="000000" w:themeColor="text1"/>
          <w:sz w:val="16"/>
          <w:szCs w:val="16"/>
        </w:rPr>
      </w:pPr>
    </w:p>
    <w:p w14:paraId="18ADF683" w14:textId="77777777" w:rsidR="00655B74" w:rsidRPr="00507A31" w:rsidRDefault="00655B74" w:rsidP="00507A31">
      <w:pPr>
        <w:jc w:val="both"/>
        <w:rPr>
          <w:bCs/>
          <w:color w:val="000000" w:themeColor="text1"/>
          <w:sz w:val="16"/>
          <w:szCs w:val="16"/>
        </w:rPr>
      </w:pPr>
      <w:r w:rsidRPr="00507A31">
        <w:rPr>
          <w:color w:val="000000" w:themeColor="text1"/>
          <w:sz w:val="16"/>
          <w:szCs w:val="16"/>
        </w:rPr>
        <w:t>3 декабря 1930 г.</w:t>
      </w:r>
    </w:p>
    <w:p w14:paraId="64D6C545" w14:textId="77777777" w:rsidR="00655B74" w:rsidRPr="00507A31" w:rsidRDefault="00655B74" w:rsidP="00507A31">
      <w:pPr>
        <w:jc w:val="both"/>
        <w:rPr>
          <w:bCs/>
          <w:color w:val="000000" w:themeColor="text1"/>
          <w:sz w:val="16"/>
          <w:szCs w:val="16"/>
        </w:rPr>
      </w:pPr>
      <w:r w:rsidRPr="00507A31">
        <w:rPr>
          <w:color w:val="000000" w:themeColor="text1"/>
          <w:sz w:val="16"/>
          <w:szCs w:val="16"/>
        </w:rPr>
        <w:t>Репортаж М, Е. Кольцова о процессе «Промпартии». Из «Информационного бюллетеня ВОКС» № 4 за 1930 г. 3 декабря 1930 г.</w:t>
      </w:r>
    </w:p>
    <w:p w14:paraId="1E5AE56C" w14:textId="77777777" w:rsidR="00655B74" w:rsidRPr="00507A31" w:rsidRDefault="00655B74" w:rsidP="00507A31">
      <w:pPr>
        <w:jc w:val="both"/>
        <w:rPr>
          <w:bCs/>
          <w:color w:val="000000" w:themeColor="text1"/>
          <w:sz w:val="16"/>
          <w:szCs w:val="16"/>
        </w:rPr>
      </w:pPr>
      <w:r w:rsidRPr="00507A31">
        <w:rPr>
          <w:bCs/>
          <w:color w:val="000000" w:themeColor="text1"/>
          <w:sz w:val="16"/>
          <w:szCs w:val="16"/>
        </w:rPr>
        <w:t>Источник: </w:t>
      </w:r>
    </w:p>
    <w:p w14:paraId="202035A8" w14:textId="77777777" w:rsidR="00655B74" w:rsidRPr="00507A31" w:rsidRDefault="00655B7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B72435" w14:textId="77777777" w:rsidR="00655B74" w:rsidRPr="00507A31" w:rsidRDefault="00655B74" w:rsidP="00507A31">
      <w:pPr>
        <w:jc w:val="both"/>
        <w:rPr>
          <w:bCs/>
          <w:color w:val="000000" w:themeColor="text1"/>
          <w:sz w:val="16"/>
          <w:szCs w:val="16"/>
        </w:rPr>
      </w:pPr>
      <w:r w:rsidRPr="00507A31">
        <w:rPr>
          <w:bCs/>
          <w:color w:val="000000" w:themeColor="text1"/>
          <w:sz w:val="16"/>
          <w:szCs w:val="16"/>
        </w:rPr>
        <w:t>Архив: </w:t>
      </w:r>
    </w:p>
    <w:p w14:paraId="22F4C53F" w14:textId="77777777" w:rsidR="00655B74" w:rsidRPr="00507A31" w:rsidRDefault="00655B74" w:rsidP="00507A31">
      <w:pPr>
        <w:jc w:val="both"/>
        <w:rPr>
          <w:color w:val="000000" w:themeColor="text1"/>
          <w:sz w:val="16"/>
          <w:szCs w:val="16"/>
        </w:rPr>
      </w:pPr>
      <w:r w:rsidRPr="00507A31">
        <w:rPr>
          <w:color w:val="000000" w:themeColor="text1"/>
          <w:sz w:val="16"/>
          <w:szCs w:val="16"/>
        </w:rPr>
        <w:t>ГА РФ. P-5283. On. 1.Д. 139. Л. 92-93</w:t>
      </w:r>
    </w:p>
    <w:p w14:paraId="233FBA03" w14:textId="77777777" w:rsidR="00655B74" w:rsidRPr="00507A31" w:rsidRDefault="00655B74" w:rsidP="00507A31">
      <w:pPr>
        <w:pStyle w:val="rteright"/>
        <w:spacing w:before="0" w:after="0"/>
        <w:jc w:val="both"/>
        <w:rPr>
          <w:color w:val="000000" w:themeColor="text1"/>
          <w:sz w:val="16"/>
          <w:szCs w:val="16"/>
        </w:rPr>
      </w:pPr>
      <w:r w:rsidRPr="00507A31">
        <w:rPr>
          <w:color w:val="000000" w:themeColor="text1"/>
          <w:sz w:val="16"/>
          <w:szCs w:val="16"/>
        </w:rPr>
        <w:t>3 декабря 1930 г.</w:t>
      </w:r>
    </w:p>
    <w:p w14:paraId="5ECFBA70" w14:textId="77777777" w:rsidR="00655B74" w:rsidRPr="00507A31" w:rsidRDefault="00655B74" w:rsidP="00507A31">
      <w:pPr>
        <w:pStyle w:val="ae"/>
        <w:spacing w:before="0" w:after="0"/>
        <w:jc w:val="both"/>
        <w:rPr>
          <w:color w:val="000000" w:themeColor="text1"/>
          <w:sz w:val="16"/>
          <w:szCs w:val="16"/>
        </w:rPr>
      </w:pPr>
      <w:r w:rsidRPr="00507A31">
        <w:rPr>
          <w:color w:val="000000" w:themeColor="text1"/>
          <w:sz w:val="16"/>
          <w:szCs w:val="16"/>
        </w:rPr>
        <w:t>КОГДА ПРОФЕССОРА ПЛАЧУТ</w:t>
      </w:r>
    </w:p>
    <w:p w14:paraId="6230411D" w14:textId="77777777" w:rsidR="00655B74" w:rsidRPr="00507A31" w:rsidRDefault="00655B74" w:rsidP="00507A31">
      <w:pPr>
        <w:pStyle w:val="ae"/>
        <w:spacing w:before="0" w:after="0"/>
        <w:jc w:val="both"/>
        <w:rPr>
          <w:color w:val="000000" w:themeColor="text1"/>
          <w:sz w:val="16"/>
          <w:szCs w:val="16"/>
        </w:rPr>
      </w:pPr>
      <w:r w:rsidRPr="00507A31">
        <w:rPr>
          <w:color w:val="000000" w:themeColor="text1"/>
          <w:sz w:val="16"/>
          <w:szCs w:val="16"/>
        </w:rPr>
        <w:t>(М. Кольцов)</w:t>
      </w:r>
    </w:p>
    <w:p w14:paraId="703EDAFC"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Профессор Осадчий, Петр Семенович, свидетель по делу «Промышленной партии», окончил свои показания. Поправляет очки — они так по-профессорски сползли на кончик носа во время объяснений Петра Семеновича.</w:t>
      </w:r>
    </w:p>
    <w:p w14:paraId="3663F381"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Тишина в зале. Молчание. Раздумье. На несколько секунд захвачены глубоким раздумьем все. И две тысячи человек в зале и находчивейший в мире прокурор и спокойнейший, выдержаннейший в мире председатель.</w:t>
      </w:r>
    </w:p>
    <w:p w14:paraId="33815C61"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Все смотрят на Петра Семеновича, на профессора Осадчего, и не знают, что ответить своим мыслям. Осадчий тоже смотрит, на себя и кругом себя.</w:t>
      </w:r>
    </w:p>
    <w:p w14:paraId="04C1B7C7"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Петру Семеновичу хорошо известен помост Верховного суда в Колонном зале Дома союзов. В свое время он провел здесь же много дней.</w:t>
      </w:r>
    </w:p>
    <w:p w14:paraId="16B40C29"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Только не с правой, а с левой стороны помоста, если глядеть в зал.</w:t>
      </w:r>
    </w:p>
    <w:p w14:paraId="14434395"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Профессор Осадчий сидел тогда за столом прокуратуры.</w:t>
      </w:r>
    </w:p>
    <w:p w14:paraId="738477ED"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Он был общественным обвинителем по делу шахтинских вредителей. Если вы не выбрасываете позапрошлогодних журналов, вы легко разыщете снимок. Стол, за столом — Николай Васильевич Крыленко, позади него Петр Семенович.</w:t>
      </w:r>
    </w:p>
    <w:p w14:paraId="3BF9C645"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Осадчий произнес тогда обвинительную речь. Большую речь.</w:t>
      </w:r>
    </w:p>
    <w:p w14:paraId="7838129D"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Много говорил Осадчий в своей речи.</w:t>
      </w:r>
    </w:p>
    <w:p w14:paraId="1A2F112A"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Насколько раньше правительство было слугой класса, класса угнетавших, очень немногочисленного, интересы которого не совпадали с большинством, с массой — настолько элементарно ясно, что правительство в советском государстве нельзя отделить от масс народа, нельзя к нему иначе относиться, чем к тому народу, который его поставил. Не остается места для противопоставления народа и правительства. Все слилось в одно: государство, народ, правительство, народное хозяйство страны!</w:t>
      </w:r>
    </w:p>
    <w:p w14:paraId="1AB2431D"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Еще говорит Осадчий:</w:t>
      </w:r>
    </w:p>
    <w:p w14:paraId="43C5749E"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 Зарубежные Дворжанчики, Соколовы и К</w:t>
      </w:r>
      <w:r w:rsidRPr="00507A31">
        <w:rPr>
          <w:color w:val="000000" w:themeColor="text1"/>
          <w:sz w:val="16"/>
          <w:szCs w:val="16"/>
          <w:vertAlign w:val="superscript"/>
        </w:rPr>
        <w:t>О</w:t>
      </w:r>
      <w:r w:rsidRPr="00507A31">
        <w:rPr>
          <w:color w:val="000000" w:themeColor="text1"/>
          <w:sz w:val="16"/>
          <w:szCs w:val="16"/>
        </w:rPr>
        <w:t>, с их купленными прислужниками в Союзе ССР из бывших служащих на рудниках, представляют собой отмирающих пигмеев копошащихся у подножья великана не заметивших, как он вырос, как возникла новая политическая и экономическая сила — советская власть и советское народное хозяйство, которую им не только не побороть, но и не понять, пока идеи этой силы не овладеют всем миром. С тем большим, однако, основанием следует покончить с этим вскрытым гнойником. Этого требует все инженерство! Это должно быть сделано!</w:t>
      </w:r>
    </w:p>
    <w:p w14:paraId="0917BD60"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И еще говорил Осадчий:</w:t>
      </w:r>
    </w:p>
    <w:p w14:paraId="6EC8B588"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Уже теперь видно, что дело шахтинцев — это агония остатков интеллигенции со старой идеологией. В ближайшее время еще возможно появление таких гнойников на растущем коллективе советского государства. Но они уже не опасны, эти остатки. С ними легко справится здоровый организм!</w:t>
      </w:r>
    </w:p>
    <w:p w14:paraId="24E92250"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...Секундное раздумье кончилось. Председатель суда делает знак охране увести свидетеля Осадчего из зала суда.</w:t>
      </w:r>
    </w:p>
    <w:p w14:paraId="1ED60CF0"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Ведь профессор Петр Семенович Осадчий — он не только свидетель. Вчерашний обвинитель, сегодняшний свидетель, он завтрашний подсудимый.</w:t>
      </w:r>
    </w:p>
    <w:p w14:paraId="14BB1DAB"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Он — содержащееся под стражей лицо. Обвиняемое в тех же преступлениях, что и Рамзин, Федотов, Ларичев. Он подлежит лишению неприкосновенности члена ЦИК, для него надо приготовить место вот тут, справа.</w:t>
      </w:r>
    </w:p>
    <w:p w14:paraId="696DF1B9"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Красноармейцы обступают профессора. Он вздрогнул. Очки опять съехали на кончик носа. Осадчий отстраняет караульных. Он хочет еще что-то сказать.</w:t>
      </w:r>
    </w:p>
    <w:p w14:paraId="39DF46C9"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  Разрешите мне уходя из суда, пользуясь присутствием на суде и вообще в зале множества публики всенародно...</w:t>
      </w:r>
    </w:p>
    <w:p w14:paraId="45AB5B2B"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 ...Всенародно принести искреннее раскаяние в том великом преступлении, по которому я являюсь обвиняемым.</w:t>
      </w:r>
    </w:p>
    <w:p w14:paraId="59D56BC4"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Народ, к которому обращается Осадчий уже видывал нечто подобное. И не раз.</w:t>
      </w:r>
    </w:p>
    <w:p w14:paraId="6B9434AA"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Облик кающегося в слезах интеллигента не нов в нашей истории, в нашей литературе. Высокообразованный покаянец из дворян, потомок разночинцев из буржуа мелькает со второй половины прошлого века. Он щедро показан у Тургенева, у Достоевского, у Толстого, Чехова, Леонида Андреева.</w:t>
      </w:r>
    </w:p>
    <w:p w14:paraId="2FB53E44"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Семьдесят лет каются интеллигентные, начитанные, европейски образованные люди, каются в слезах и всенародно. Гадят и каются. Подличают и каются. Угнетают, эксплоатируют, обкрадывают, убивают, насилуют женщин, и каются. И всегда всенародно. Весь народ должен прочувствованно и почтительно слушать покаяния своих высокоблагородных, тонких, умных грешников.</w:t>
      </w:r>
    </w:p>
    <w:p w14:paraId="57228EBE"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Православная церковь выработала для кающихся разные категории, в зависимости от степени грехов и степени раскаяния. Первая категория — это были «плачущие». Они не имели права входа в храм и во время богослужения стояли на паперти с посыпанной пеплом головой, повергаясь перед входящими в храм с просьбой о молитве за них. Вторая категория — «слушающие». Им дозволялось слушать чтение писания за литургией, после чего они выходили из храма. Третья категория — «припадающие» или «преклоняющие колена» — имели право слушать не только священное писание, но и возносимые вслед молитвы за них, но только до начала литургии. Четвертая категория — «стоящие вместе с верными» — им дозволено было слушать и литургию.</w:t>
      </w:r>
    </w:p>
    <w:p w14:paraId="63CAF945"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На какое же место в церкви прикажете поставить кающегося Петра Семеновича Осадчего?</w:t>
      </w:r>
    </w:p>
    <w:p w14:paraId="7CC9BBA2"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Трудно, невозможно определить категорию для профессора Осадчего. Ведь каялся он, хотя и всенародно, но не в церкви. О нет!</w:t>
      </w:r>
    </w:p>
    <w:p w14:paraId="62302172"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Колонный зал Дома профессиональных союзов — это не церковь. Да и народ не церковный. Другой народ. И грехи не те. Другого масштаба грехи.</w:t>
      </w:r>
    </w:p>
    <w:p w14:paraId="6B800C52"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Десятилетиями опускалась, блекла, грязнела пятнами российская интеллигенция, пошедшая на службу к классу-эксплоататору. Сначала потихоньку, постепенно, а потом все быстрее и стремительнее росли ее преступления в отношении народа. Преступления и покаяния.</w:t>
      </w:r>
    </w:p>
    <w:p w14:paraId="2A6593EF"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Сначала покаяния шли вровень с преступлениями. Потом отстали.</w:t>
      </w:r>
    </w:p>
    <w:p w14:paraId="15E91244"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lastRenderedPageBreak/>
        <w:t>Последняя смена буржуазной интеллигенции, застигнутая революцией в расцвете сил, — это была поистине последняя смена. Федотовы, Куприяновы, Калинниковы — какие это интеллигенты? Коноваловские приказчики и управители, седые купеческие «малые» с робкими нашивками профессоров и либералов. Интеллигенты, «соль земли» с валютой на текущем счету, с портретом Михайловского на стенке и с готовым раскаянием, припрятанным про запас в заштатных шкатулках души.</w:t>
      </w:r>
    </w:p>
    <w:p w14:paraId="296E7766"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Раскольников у Достоевского убил старушку. Разбору его психологии и переживаний посвящен громадный роман гениального писателя. Князь Нехлюдов у Толстого соблазнил горничную — об этом написаны сотни глубоких страниц «Воскресения».</w:t>
      </w:r>
    </w:p>
    <w:p w14:paraId="0DE73C7B"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Но ведь это детские игрушки по сравнению с тем, в чем каялся живой, реальный профессор Петр Семенович Осадчий!</w:t>
      </w:r>
    </w:p>
    <w:p w14:paraId="7B07E58A"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Там — одна старушка, одна горничная.</w:t>
      </w:r>
    </w:p>
    <w:p w14:paraId="78FDDB70"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Здесь — холодное математически-рассчитанное разрушение фабрик, заводов, железных дорог, громадного хозяйства величайшей в мире страны.</w:t>
      </w:r>
    </w:p>
    <w:p w14:paraId="3DD83EB7"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Здесь — подготовка взрывов, тщательная, плановая! Через Госплан! — организация катастроф, голода, холода, эпидемий, массовых бедствий среди многих миллионов людей.</w:t>
      </w:r>
    </w:p>
    <w:p w14:paraId="2BEAC308"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Здесь — вперемежку со словами и статьями о служении социалистическому отечеству — ночная работа над шпионскими сводками для иностранного военного штаба.</w:t>
      </w:r>
    </w:p>
    <w:p w14:paraId="6848C77F"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Здесь — рядом с приветствием в честь Красной армии, одновременно с отчислением трех рублей для Осоавиахима — организация бензинных баз, бетонированных площадок на западной границе, для нужд нападающей польской и всякой иной авиации!</w:t>
      </w:r>
    </w:p>
    <w:p w14:paraId="4B1A38D0"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Здесь — хладнокровные гидротехнические работы, осушка приграничных болот для более удобного вторжения в нашу страну неприятельских армий, высадки белогвардейских десантов.</w:t>
      </w:r>
    </w:p>
    <w:p w14:paraId="4802700F"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Здесь — профессор Осадчий, произнеся на суде древне-римскую обвинительную речь, требуя суровой казни для вредителей — вскоре сам отправляется на вредительское заседание, там принимает участие в планах измены и разрушения и, попав за границу, крадучись, как мелкий шпик, дает белогвардейцу-эмигранту отчет в полученных от него деньгах, устанавливает сроки нападения на страну, где он облечен товарищеским доверием, назначает время для войны, для гибели сотен тысяч, миллионов людей, не старушек только, а маленьких детей, виновных только в том, что живут в стране труда, в стране без эксплоататоров!</w:t>
      </w:r>
    </w:p>
    <w:p w14:paraId="2091C9E4"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Пойманный, арестованный, пригвожденный — профессор Осадчий кается.</w:t>
      </w:r>
    </w:p>
    <w:p w14:paraId="13FAEC86"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Сколько же прикажете родить и мобилизовать Толстых и Достоевских чтобы изучить и показать психологически вот такого покаянца!</w:t>
      </w:r>
    </w:p>
    <w:p w14:paraId="1C50891A"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Сколько для этого прикажете написать томов!</w:t>
      </w:r>
    </w:p>
    <w:p w14:paraId="58A87BAB"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Нет, это не потребуется. Довольно тонкой психологии. Довольно преступлений, довольно раскаяний.</w:t>
      </w:r>
    </w:p>
    <w:p w14:paraId="529D2510"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Тот, нынешний рабочий народ, перед которым &lt;...&gt; каются Рамзины и Осадчие, извлечет совсем другие, более простые и гораздо более полезные уроки из процесса.</w:t>
      </w:r>
    </w:p>
    <w:p w14:paraId="71A3BDC3"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«Нам, товарищи, гадко от этого шахтинского дела, но нам нисколько не страшно за успехи социалистического строительства».</w:t>
      </w:r>
    </w:p>
    <w:p w14:paraId="31B3D1B6" w14:textId="77777777" w:rsidR="00655B74" w:rsidRPr="00507A31" w:rsidRDefault="00655B74" w:rsidP="00507A31">
      <w:pPr>
        <w:pStyle w:val="rtejustify"/>
        <w:spacing w:before="0" w:after="0"/>
        <w:rPr>
          <w:color w:val="000000" w:themeColor="text1"/>
          <w:sz w:val="16"/>
          <w:szCs w:val="16"/>
        </w:rPr>
      </w:pPr>
      <w:r w:rsidRPr="00507A31">
        <w:rPr>
          <w:color w:val="000000" w:themeColor="text1"/>
          <w:sz w:val="16"/>
          <w:szCs w:val="16"/>
        </w:rPr>
        <w:t>Это позапрошлогодние заключительные слова обвинителя Осадчего. Мы их возобновляем. А сегодняшнюю заключительную слезу вредителя, шпиона, изменника — Осадчего — отвергаем. Неинтересная слеза.</w:t>
      </w:r>
    </w:p>
    <w:p w14:paraId="5A80EDEF" w14:textId="77777777" w:rsidR="00655B74" w:rsidRPr="00507A31" w:rsidRDefault="00655B74" w:rsidP="00507A31">
      <w:pPr>
        <w:pStyle w:val="ae"/>
        <w:spacing w:before="0" w:after="0"/>
        <w:jc w:val="both"/>
        <w:rPr>
          <w:color w:val="000000" w:themeColor="text1"/>
          <w:sz w:val="16"/>
          <w:szCs w:val="16"/>
        </w:rPr>
      </w:pPr>
      <w:r w:rsidRPr="00507A31">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4. С. 13-15. Текст репортажа передан по радио 3 декабря 1930 г. (Выпуск бюллетеня № 4 был напечатан до 26 декабря 1930 г. ГА РФ. P-5283. On. 1.Д. 139. Л. 92-93.) (18957).</w:t>
      </w:r>
    </w:p>
    <w:p w14:paraId="1F34DA38" w14:textId="77777777" w:rsidR="00655B74" w:rsidRPr="00507A31" w:rsidRDefault="00655B74" w:rsidP="00507A31">
      <w:pPr>
        <w:jc w:val="both"/>
        <w:rPr>
          <w:color w:val="000000" w:themeColor="text1"/>
          <w:sz w:val="16"/>
          <w:szCs w:val="16"/>
        </w:rPr>
      </w:pPr>
    </w:p>
    <w:p w14:paraId="49A45B81" w14:textId="77777777" w:rsidR="00722106" w:rsidRPr="00507A31" w:rsidRDefault="00722106" w:rsidP="00507A31">
      <w:pPr>
        <w:jc w:val="both"/>
        <w:rPr>
          <w:bCs/>
          <w:color w:val="000000" w:themeColor="text1"/>
          <w:sz w:val="16"/>
          <w:szCs w:val="16"/>
        </w:rPr>
      </w:pPr>
      <w:r w:rsidRPr="00507A31">
        <w:rPr>
          <w:color w:val="000000" w:themeColor="text1"/>
          <w:sz w:val="16"/>
          <w:szCs w:val="16"/>
        </w:rPr>
        <w:t>3 декабря 1930 г.</w:t>
      </w:r>
    </w:p>
    <w:p w14:paraId="41573071" w14:textId="77777777" w:rsidR="00722106" w:rsidRPr="00507A31" w:rsidRDefault="00722106" w:rsidP="00507A31">
      <w:pPr>
        <w:jc w:val="both"/>
        <w:rPr>
          <w:bCs/>
          <w:color w:val="000000" w:themeColor="text1"/>
          <w:sz w:val="16"/>
          <w:szCs w:val="16"/>
        </w:rPr>
      </w:pPr>
      <w:r w:rsidRPr="00507A31">
        <w:rPr>
          <w:color w:val="000000" w:themeColor="text1"/>
          <w:sz w:val="16"/>
          <w:szCs w:val="16"/>
        </w:rPr>
        <w:t>Сводка сообщений германской прессы о процессе «Промпартии», подготовленная отделом печати Полпредства СССР в Германии. 3 декабря 1930 г.</w:t>
      </w:r>
    </w:p>
    <w:p w14:paraId="48EA2AF4" w14:textId="77777777" w:rsidR="00722106" w:rsidRPr="00507A31" w:rsidRDefault="00722106" w:rsidP="00507A31">
      <w:pPr>
        <w:jc w:val="both"/>
        <w:rPr>
          <w:bCs/>
          <w:color w:val="000000" w:themeColor="text1"/>
          <w:sz w:val="16"/>
          <w:szCs w:val="16"/>
        </w:rPr>
      </w:pPr>
      <w:r w:rsidRPr="00507A31">
        <w:rPr>
          <w:bCs/>
          <w:color w:val="000000" w:themeColor="text1"/>
          <w:sz w:val="16"/>
          <w:szCs w:val="16"/>
        </w:rPr>
        <w:t>Источник: </w:t>
      </w:r>
    </w:p>
    <w:p w14:paraId="5A7EAC8E" w14:textId="77777777" w:rsidR="00722106" w:rsidRPr="00507A31" w:rsidRDefault="00722106"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8AE9C3A" w14:textId="77777777" w:rsidR="00722106" w:rsidRPr="00507A31" w:rsidRDefault="00722106" w:rsidP="00507A31">
      <w:pPr>
        <w:jc w:val="both"/>
        <w:rPr>
          <w:bCs/>
          <w:color w:val="000000" w:themeColor="text1"/>
          <w:sz w:val="16"/>
          <w:szCs w:val="16"/>
        </w:rPr>
      </w:pPr>
      <w:r w:rsidRPr="00507A31">
        <w:rPr>
          <w:bCs/>
          <w:color w:val="000000" w:themeColor="text1"/>
          <w:sz w:val="16"/>
          <w:szCs w:val="16"/>
        </w:rPr>
        <w:t>Архив: </w:t>
      </w:r>
    </w:p>
    <w:p w14:paraId="6DAC3256" w14:textId="77777777" w:rsidR="00722106" w:rsidRPr="00507A31" w:rsidRDefault="00722106" w:rsidP="00507A31">
      <w:pPr>
        <w:jc w:val="both"/>
        <w:rPr>
          <w:color w:val="000000" w:themeColor="text1"/>
          <w:sz w:val="16"/>
          <w:szCs w:val="16"/>
        </w:rPr>
      </w:pPr>
      <w:r w:rsidRPr="00507A31">
        <w:rPr>
          <w:color w:val="000000" w:themeColor="text1"/>
          <w:sz w:val="16"/>
          <w:szCs w:val="16"/>
        </w:rPr>
        <w:t>АВП РФ. Ф. 056. On. 15. П. 31. Д. 9. Л. 78-79</w:t>
      </w:r>
    </w:p>
    <w:p w14:paraId="02140236" w14:textId="77777777" w:rsidR="00722106" w:rsidRPr="00507A31" w:rsidRDefault="00722106" w:rsidP="00507A31">
      <w:pPr>
        <w:pStyle w:val="rteright"/>
        <w:spacing w:before="0" w:after="0"/>
        <w:jc w:val="both"/>
        <w:rPr>
          <w:color w:val="000000" w:themeColor="text1"/>
          <w:sz w:val="16"/>
          <w:szCs w:val="16"/>
        </w:rPr>
      </w:pPr>
      <w:r w:rsidRPr="00507A31">
        <w:rPr>
          <w:color w:val="000000" w:themeColor="text1"/>
          <w:sz w:val="16"/>
          <w:szCs w:val="16"/>
        </w:rPr>
        <w:t>3 декабря 1930 г.</w:t>
      </w:r>
    </w:p>
    <w:p w14:paraId="54A5738F"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ГЕРМАНСКАЯ ПРЕССА И ПРОЦЕСС ПРОМПАРТИИ</w:t>
      </w:r>
    </w:p>
    <w:p w14:paraId="6A4F19A7"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(сводка печати) 3/12</w:t>
      </w:r>
    </w:p>
    <w:p w14:paraId="7798114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Пресса в основном ограничивается воспроизведением сообщений Тасса и лишь в редких случаях снабжает их подробными комментариями.</w:t>
      </w:r>
    </w:p>
    <w:p w14:paraId="1FDCBDE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[«]Берл[инер] Тагеблатт[»] от 27 ноября приводит сообщение Тасса, подчеркивая, что на процессе было отмечено ослабление антисоветской деятельности Англии. Та же газета от 2/12 подчеркивает заявление подсудимых о гуманном обращении с ними.</w:t>
      </w:r>
    </w:p>
    <w:p w14:paraId="726EBF7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[«]Кельнише Цейтунг[»] от 1/12 помещает большое сообщение Юста, снабжая его заголовками: «Интервенция против Сов. России», «Переговоры Рамзина с представителями франц. генштаба», «Поддержка со стороны Пуанкаре и Лушера». В корреспонденции подчеркивается, что «картина деятельности политиканствующих эмигрантских кругов в Париже соответствует действительности. Вполне вероятно также, что Франция и др. государства пользуются эмигрантами как шпионами». Та же газета от 2/12 дает подзаголовок «Деньги из Парижа». В корреспонденции приводятся показания Осадчего и Юровского. Заканчивается все следующими строками: «Мы приближаемся к счастливому концу, негодяи схвачены и парижские режиссеры разоблачены, судебное разбирательство дела Осадчего и группы Кондратьева еще предстоит, однако прогноз для страждущего героя — Советского государства — звучит благоприятно. К этому сводится скелет пропаганды развертываемой советской прессой. Если отвлечься от удельного веса деталей и грубого политиканства обвиняемых политических дилетантов, то общая тенденция совершенно верна: для Сов. Союза существовали и существуют внутренние и внешние опасности, величина которых может уменьшиться соответственно росту внутренних сил и внешнеполитической обстановки. Этим путем уже можно подвести итог процессу[»].</w:t>
      </w:r>
    </w:p>
    <w:p w14:paraId="1DB3B23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[«]Дейче Тагесцейтунг[»] от 2 дек. помещает корреспонденцию своего московского сотрудника. Он констатирует, что ход процесса противоречит европейским представлениям, так [как] обвиняемые не только не защищаются, но во всем сознаются. Нельзя предположить, чтобы кроме сознания обвиняемых у ГПУ имеются и другие данные.</w:t>
      </w:r>
    </w:p>
    <w:p w14:paraId="11C9939F"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«Ни в коем случае нельзя утверждать, что заговора не существовало и что Пуанкаре и генштаб не готовили с помощью эмигрантов и преступных советских] чиновников интервенции». Далее указывается, что процесс протекает более однообразно, чем можно было ожидать, о таинственных К. и Р. говорится лишь при закрытых дверях. «Советская пресса весьма недипломатично называет французских деятелей бандитами, однако это делается понятным, если считать, что Франция готовила нападение на СССР[»]. Далее описывается возбуждение московского населения и впечатление, производимое демонстрациями.</w:t>
      </w:r>
    </w:p>
    <w:p w14:paraId="7D30FCD8"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[«]Нахтаусгабе[»] от 26/11 пишет, что «судьбу Сов. Союза разрешат не процессы, но тенденции экономического развития. Такие процессы, как происходящий в Москве[,] мыслимы лишь в рамках умирающей государственной] организации».</w:t>
      </w:r>
    </w:p>
    <w:p w14:paraId="5B60F29D"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[«]Берзен Цейтунг[»] от 26 [ноября] и последующих чисел упорно пишет о «вынужденных показаниях». Обвиняемые надеются путем самооговора спасти себя.</w:t>
      </w:r>
    </w:p>
    <w:p w14:paraId="31484C86"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[«]Локаль Анлейгер[»] от 2 декабря дает корреспонденции [«]Интерн[эшнл] Нью Сервис[»]. Заголовок: «Московские обвиняемые делают себя смешными». Идет речь о благотворном влиянии заключения на нервную систему обвиняемых.</w:t>
      </w:r>
    </w:p>
    <w:p w14:paraId="3DAC823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Осецкий в «Вельтбюне» помещает статью «Советская юстиция», в которой он отрицает за признаниями реальное значение, он приводит пример процесса «лейпцигской чека», на котором Нейман признавался как по приказу прокуратуры. Московский процесс имеет целевую установку, характерно, что в него из иностранцев запутаны только французы. Осецкий не понимает, какая выгода для совпра создавать во всем мире впечатление, что интеллигенция против него и что режим держится лишь при помощи террора. Осецкий верит в честность советских судей, он помнит о крови коммунистов проливаемой в Европе и Азии. Осецкий считает необходимым вмешаться в дискуссию о процессе, так как он считает недопустимым не критическое отношение германских коммунистов и их кровожадные крики.</w:t>
      </w:r>
    </w:p>
    <w:p w14:paraId="1E0BD059"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[«]Дер Дейче Фольксвирт[»] (журнал Штольпера) не считает исключенной возможность заговора, вероятны также интервенционалистские тенденции, однако все это нужно доказать. Журнал поэтому предпочитает выждать окончания процесса.</w:t>
      </w:r>
    </w:p>
    <w:p w14:paraId="46449670"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Отдел печати Полпредства СССР в Германии.</w:t>
      </w:r>
    </w:p>
    <w:p w14:paraId="504C11B1" w14:textId="77777777" w:rsidR="00722106" w:rsidRPr="00507A31" w:rsidRDefault="00722106"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056. On. 15.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31.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9. </w:t>
      </w:r>
      <w:r w:rsidRPr="00507A31">
        <w:rPr>
          <w:rStyle w:val="af0"/>
          <w:i w:val="0"/>
          <w:color w:val="000000" w:themeColor="text1"/>
          <w:sz w:val="16"/>
          <w:szCs w:val="16"/>
        </w:rPr>
        <w:t>Л. 78-79. Машинописная копия того времени. На Л. 78 вверху рукописные пометы «Отд[ел] печати», «Архив» (подпись-росчерк, неразборчиво) (18848).</w:t>
      </w:r>
    </w:p>
    <w:p w14:paraId="114F8653" w14:textId="77777777" w:rsidR="00722106" w:rsidRPr="00507A31" w:rsidRDefault="00722106" w:rsidP="00507A31">
      <w:pPr>
        <w:jc w:val="both"/>
        <w:rPr>
          <w:color w:val="000000" w:themeColor="text1"/>
          <w:sz w:val="16"/>
          <w:szCs w:val="16"/>
        </w:rPr>
      </w:pPr>
    </w:p>
    <w:p w14:paraId="32E0DB85" w14:textId="77777777" w:rsidR="00722106" w:rsidRPr="00507A31" w:rsidRDefault="00722106" w:rsidP="00507A31">
      <w:pPr>
        <w:jc w:val="both"/>
        <w:rPr>
          <w:bCs/>
          <w:color w:val="000000" w:themeColor="text1"/>
          <w:sz w:val="16"/>
          <w:szCs w:val="16"/>
        </w:rPr>
      </w:pPr>
      <w:r w:rsidRPr="00507A31">
        <w:rPr>
          <w:color w:val="000000" w:themeColor="text1"/>
          <w:sz w:val="16"/>
          <w:szCs w:val="16"/>
        </w:rPr>
        <w:t>3 декабря 1930 г.</w:t>
      </w:r>
    </w:p>
    <w:p w14:paraId="77524E16" w14:textId="77777777" w:rsidR="00722106" w:rsidRPr="00507A31" w:rsidRDefault="00722106" w:rsidP="00507A31">
      <w:pPr>
        <w:jc w:val="both"/>
        <w:rPr>
          <w:bCs/>
          <w:color w:val="000000" w:themeColor="text1"/>
          <w:sz w:val="16"/>
          <w:szCs w:val="16"/>
        </w:rPr>
      </w:pPr>
      <w:r w:rsidRPr="00507A31">
        <w:rPr>
          <w:color w:val="000000" w:themeColor="text1"/>
          <w:sz w:val="16"/>
          <w:szCs w:val="16"/>
        </w:rPr>
        <w:t>Письмо полпреда СССР во Франции В. С. Довгалевского заместителю наркома иностранных дел СССР Н. Н. Крестинскому. 3 декабря 1930 г.</w:t>
      </w:r>
    </w:p>
    <w:p w14:paraId="2B8A9ADA" w14:textId="77777777" w:rsidR="00722106" w:rsidRPr="00507A31" w:rsidRDefault="00722106" w:rsidP="00507A31">
      <w:pPr>
        <w:jc w:val="both"/>
        <w:rPr>
          <w:bCs/>
          <w:color w:val="000000" w:themeColor="text1"/>
          <w:sz w:val="16"/>
          <w:szCs w:val="16"/>
        </w:rPr>
      </w:pPr>
      <w:r w:rsidRPr="00507A31">
        <w:rPr>
          <w:bCs/>
          <w:color w:val="000000" w:themeColor="text1"/>
          <w:sz w:val="16"/>
          <w:szCs w:val="16"/>
        </w:rPr>
        <w:t>Источник: </w:t>
      </w:r>
    </w:p>
    <w:p w14:paraId="7F637695" w14:textId="77777777" w:rsidR="00722106" w:rsidRPr="00507A31" w:rsidRDefault="00722106"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C926B8" w14:textId="77777777" w:rsidR="00722106" w:rsidRPr="00507A31" w:rsidRDefault="00722106" w:rsidP="00507A31">
      <w:pPr>
        <w:jc w:val="both"/>
        <w:rPr>
          <w:bCs/>
          <w:color w:val="000000" w:themeColor="text1"/>
          <w:sz w:val="16"/>
          <w:szCs w:val="16"/>
        </w:rPr>
      </w:pPr>
      <w:r w:rsidRPr="00507A31">
        <w:rPr>
          <w:bCs/>
          <w:color w:val="000000" w:themeColor="text1"/>
          <w:sz w:val="16"/>
          <w:szCs w:val="16"/>
        </w:rPr>
        <w:t>Архив: </w:t>
      </w:r>
    </w:p>
    <w:p w14:paraId="30DF2C99" w14:textId="77777777" w:rsidR="00722106" w:rsidRPr="00507A31" w:rsidRDefault="00722106" w:rsidP="00507A31">
      <w:pPr>
        <w:jc w:val="both"/>
        <w:rPr>
          <w:color w:val="000000" w:themeColor="text1"/>
          <w:sz w:val="16"/>
          <w:szCs w:val="16"/>
        </w:rPr>
      </w:pPr>
      <w:r w:rsidRPr="00507A31">
        <w:rPr>
          <w:color w:val="000000" w:themeColor="text1"/>
          <w:sz w:val="16"/>
          <w:szCs w:val="16"/>
        </w:rPr>
        <w:t>АВПРФ. Ф.010. On. 1 .П.5.Д.83.Л. 105—106</w:t>
      </w:r>
    </w:p>
    <w:p w14:paraId="7CBEB58E" w14:textId="77777777" w:rsidR="00722106" w:rsidRPr="00507A31" w:rsidRDefault="00722106" w:rsidP="00507A31">
      <w:pPr>
        <w:pStyle w:val="rteright"/>
        <w:spacing w:before="0" w:after="0"/>
        <w:jc w:val="both"/>
        <w:rPr>
          <w:color w:val="000000" w:themeColor="text1"/>
          <w:sz w:val="16"/>
          <w:szCs w:val="16"/>
        </w:rPr>
      </w:pPr>
      <w:r w:rsidRPr="00507A31">
        <w:rPr>
          <w:color w:val="000000" w:themeColor="text1"/>
          <w:sz w:val="16"/>
          <w:szCs w:val="16"/>
        </w:rPr>
        <w:t>3 декабря 1930 г.</w:t>
      </w:r>
    </w:p>
    <w:p w14:paraId="3B480FD5" w14:textId="77777777" w:rsidR="00722106" w:rsidRPr="00507A31" w:rsidRDefault="00722106" w:rsidP="00507A31">
      <w:pPr>
        <w:pStyle w:val="rteright"/>
        <w:spacing w:before="0" w:after="0"/>
        <w:jc w:val="both"/>
        <w:rPr>
          <w:color w:val="000000" w:themeColor="text1"/>
          <w:sz w:val="16"/>
          <w:szCs w:val="16"/>
        </w:rPr>
      </w:pPr>
      <w:r w:rsidRPr="00507A31">
        <w:rPr>
          <w:color w:val="000000" w:themeColor="text1"/>
          <w:sz w:val="16"/>
          <w:szCs w:val="16"/>
        </w:rPr>
        <w:lastRenderedPageBreak/>
        <w:t>Секретно</w:t>
      </w:r>
    </w:p>
    <w:p w14:paraId="569432F9"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Париж, 3-го декабря 1930 г.</w:t>
      </w:r>
    </w:p>
    <w:p w14:paraId="0E745712"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 564/с</w:t>
      </w:r>
    </w:p>
    <w:p w14:paraId="203D1480"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Зам. НАРКОМИНДЕЛ</w:t>
      </w:r>
    </w:p>
    <w:p w14:paraId="62482680"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тов. Н. Н. КРЕСТИНСКОМУ</w:t>
      </w:r>
    </w:p>
    <w:p w14:paraId="04F9D897" w14:textId="77777777" w:rsidR="00722106" w:rsidRPr="00507A31" w:rsidRDefault="00722106" w:rsidP="00507A31">
      <w:pPr>
        <w:pStyle w:val="ae"/>
        <w:spacing w:before="0" w:after="0"/>
        <w:jc w:val="both"/>
        <w:rPr>
          <w:color w:val="000000" w:themeColor="text1"/>
          <w:sz w:val="16"/>
          <w:szCs w:val="16"/>
        </w:rPr>
      </w:pPr>
      <w:r w:rsidRPr="00507A31">
        <w:rPr>
          <w:color w:val="000000" w:themeColor="text1"/>
          <w:sz w:val="16"/>
          <w:szCs w:val="16"/>
        </w:rPr>
        <w:t>Москва</w:t>
      </w:r>
    </w:p>
    <w:p w14:paraId="7FF6D56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Многоуважаемый Николай Николаевич,</w:t>
      </w:r>
    </w:p>
    <w:p w14:paraId="3B657AE7"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I. Я в существенном подробно телеграфировал Вам о моих встречах с Вертело 29-го ноября, когда он мне заявил протест в связи с судом по делу Промпартии, и сегодня, когда я ему сообщил ответ на его протест. Как я уже сообщал Вам, Вертело часто прерывал мое чтение (я читал ответ по бумажке) репликами, которые он делал в весьма миролюбивом тоне, в целом же он воздержался от оценки ответа и сразу же перешел к делу Герцфельда. Таким образом мы можем рассматривать инцидент с протестом в нынешней стадии ликвидированным. Вопреки поведению Эрбетта, который, как я понял из Вашей телеграммы, протестовал даже по поводу заседания суда при закрытых дверях, у меня осталось впечатление, что Вертело с удовлетворением принял мое сообщение об этом решении суда и возражал только против того, что имя Пуанкаре продолжает оглашаться на публичных заседаниях. Вообще же в протесте Вертело чувствовались и конфуз, и некоторый страх, и боязнь за престиж и шантаж. Эта смесь разнообразных чувств не будет, видимо, покидать Кэ д’Орсэ до окончания протеста и, в частности, до выяснения результата закрытого заседания суда. Следует, конечно, констатировать, что франко-советские отношения, как политические, так и экономические, дошли почти до высшей точки напряжения, на которой они долго удержаться не смогут. Должна последовать разрядка в ту или в иную сторону. Францпра в ожидании этой разрядки усиленно продолжает занимать позиции. В этом отношении весьма характерны следующие два обстоятельства: 1) сегодняшнее заявление Вертело о том, что он сделает предложение Бриану и Тардье об открытии с нами переговоров по всему комплексу вопросов, стоящих между обоими странами, включая и вопрос о долгах, и 2) неожиданное предложение Ванжера, по настоянию Кэ д’Орсэ (как об этом сказал Ванжер), о включении в контракт с Союзнефтью пункта о подчинении исполнения контракта правительственным распоряжениям. Та редакция, которая вчера была сообщена Вам по телеграфу, сегодня была несколько изменена Ванжером, однако, отнюдь не в лучшую сторону, и ныне гласит так: «принимая во внимание, что поставки сырой нефти или нефтепродуктов могут быть связаны с более общим вопросом торговых отношений между совпра и францпра, то исполнение настоящего контракта остается подчиненным правительственным решениям, которые, в связи с этим могут иметь место».</w:t>
      </w:r>
    </w:p>
    <w:p w14:paraId="3F28C975"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Трудно еще сейчас сказать, серьезно ли францпра готово противопоставить нашему предложению о заключении временного торгового соглашения постоянный торговый договор с параллельным разрешением вопроса о долгах, или же эта мысль была обронена Вертело в виде угрозы на случай, если мы будем настаивать на своем предложении о временном торговом соглашении. Возможно, что это будет только шахматный ход со стороны францпра, но с возможностью и опасностью такого хода нам следует считаться. Что же касается наших поставок нефтепродуктов во Францию, то вмешательством Кэ д’Орсэ они поставлены под серьезный удар. Занимая свои позиции в конфликте с нами, францпра ставит под угрозу тот единственный объект франко-советской торговли, который поныне считался наиболее прочным и неподверженным печальным перипетиям отношений между обоими странами. Неожиданный ход этот облегчается для францпра нынешней неблагоприятной для нефтяной промышленности конъюнктурой, а также заинтересованностью Петрофины и некоторых ее участников и клиентов в том, чтобы не заключать с нами уже сейчас твердого бензинового договора на 1931 и 1932 гг. На совещании, состоявшемся у меня вчера с т.т. Рябоволом, Цукерманом, Островским и Бреславом, мы решили, что представители Союзнефти должны категорически отвергнуть предложенный Кэ д’Орсэ пункт, как явно неделовой, не имеющий никакого отношения к контракту, и целиком выходящий из пределов деятельности и компетенции Союзнефти. Попутно с этим т.т. из Союзнефти должны настаивать на дальнейшем обсуждении спорных коммерческих вопросов контракта и сделать возможные коммерческие уступки, чтобы таким путем прощупать Петрофину и, возможно, заинтересовать ее в заключении твердого контракта и привлечь ее таким образом в наши союзники. Окончательную линию поведения мы выработаем, когда получим московские инструкции и учтем результаты разговоров ближайших дней представителей Союзнефти с Петрофиной и с Пино, начальником топливного департамента министерства Торговли.</w:t>
      </w:r>
    </w:p>
    <w:p w14:paraId="1AC569A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II. Я имел продолжительный разговор с депутатом Бержери по поводу его затеи с воссозданием франко-советской парламентской группы. Бержери, разумеется, уже не в состоянии изменить совершившийся факт и перекроить учредительную группу. Но он — правда, не без резона, — возразил мне, что франко-советская парламентская группа должна быть построена по типу других аналогичных парламентских групп, которые состоят из представителей разных фракций, лишь бы только представители эти или не были заядлыми советофобами или же подавали надежду на исправление; под этим углом зрения Бержери возлагает гораздо больше надежд на ряд правых депутатов, в том числе и на Скапини и Сулье, чем на некоторых левых депутатов, как например де Монзи, Ивон Дельбос и др. Что же касается программы и плана работ группы, то после обмена мнений Бержери заявил, что считает правильным вначале очистить атмосферу вокруг франко-советских отношений путем прекращения нынешней экономической войны и судебных шикан и заключения коммерческого модуса вивенди и затем только перейти к капитальным вопросам, как торговый договор и долги. Бержери обещал познакомить меня с результатами учредительного собрания группы, которое, возможно, состоится еще в декабре. Я по[-]прежнему продолжаю считать в нынешних условиях образование этой группы несвоевременным и нежелательным, но убедить в этом Бержери, который слишком уже ангажировался, мне, к сожалению, не удалось.</w:t>
      </w:r>
    </w:p>
    <w:p w14:paraId="227388A2"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III. Вертело вовсю старается заслужить разрешение пропуска экспедиции Ситроэна и несомненно делает все зависящее для того, чтобы направить дело Герцфельда по благоприятному для нас руслу. Он очень усердно и даже суматошливо барахтается в тисках многоногого спрута, в который превратилось дело Герцфельда. Его обращение ко мне за помощью, в поисках выхода, не было лишено комизма. Я не удержался от того, чтобы намекнуть Вертело на то, что все старания его были бы значительно облегчены, если бы он внял моим предупреждениям и протестам несколько месяцев тому назад. Я в самой категорической форме отклонил предложение Вертело сделать депозит и наотрез отказался даже возбудить этот вопрос перед совпра. Так же категорически отклонил я и некоторые другие хитроумные предложения в виде, например, оценки (не фиктивной ли?) какого-либо одного предмета обстановки Торгпредства во всю искомую сумму. Я сказал, что единственный выход из положения в скорейшей инвалидации апелляционным судом неправомерного решения гражданского суда. Вертело при мне отдал распоряжение юрисконсульту МИДа, Жаку Лиону, изыскать все пути к воспрепятствованию Герцфельду описать обстановку Торгпредства до суда и повторить демарш от имени МИДа перед Минюстом о скорейшем слушании в апелляционном суде нашей жалобы по существу.</w:t>
      </w:r>
    </w:p>
    <w:p w14:paraId="454D7B94"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Небезынтересно отметить, до какой степени развязности и наглости дошли белогвардейцы во Франции. Как я телеграфировал Вам, Вертело прочитал мне инэкстенсо доклад Лиона о результатах его переговоров с адвокатом Герцфельа, Розенмарком, которого он имел поручение убедить придержаться с действиями в отношении описи и продажи имущества, впредь до рассмотрения апелляционным судом вопроса по существу. В докладе Лиона сказано, что Розенмарк отказал ему в этом, предупредив, что принесет жалобу на действия полицейского комиссара, не позволяющего ему приступить к описи обстановки Торгпредства, присовокупив при этом, что на стороне Герцфельда находится все общественное мнение... русской эмиграции. Несмотря на всю свою выдержку, Вертело явно сконфузился и произнес целую тираду о нелепости этого аргумента.</w:t>
      </w:r>
    </w:p>
    <w:p w14:paraId="488AB69B"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С товарищеским приветом.</w:t>
      </w:r>
    </w:p>
    <w:p w14:paraId="0C8C29FC" w14:textId="77777777" w:rsidR="00722106" w:rsidRPr="00507A31" w:rsidRDefault="00722106" w:rsidP="00507A31">
      <w:pPr>
        <w:pStyle w:val="rtejustify"/>
        <w:spacing w:before="0" w:after="0"/>
        <w:rPr>
          <w:color w:val="000000" w:themeColor="text1"/>
          <w:sz w:val="16"/>
          <w:szCs w:val="16"/>
        </w:rPr>
      </w:pPr>
      <w:r w:rsidRPr="00507A31">
        <w:rPr>
          <w:color w:val="000000" w:themeColor="text1"/>
          <w:sz w:val="16"/>
          <w:szCs w:val="16"/>
        </w:rPr>
        <w:t>В. Довгалевский</w:t>
      </w:r>
    </w:p>
    <w:p w14:paraId="78335B92" w14:textId="77777777" w:rsidR="00722106" w:rsidRPr="00507A31" w:rsidRDefault="00722106" w:rsidP="00507A31">
      <w:pPr>
        <w:pStyle w:val="ae"/>
        <w:spacing w:before="0" w:after="0"/>
        <w:jc w:val="both"/>
        <w:rPr>
          <w:color w:val="000000" w:themeColor="text1"/>
          <w:sz w:val="16"/>
          <w:szCs w:val="16"/>
        </w:rPr>
      </w:pPr>
      <w:r w:rsidRPr="00507A31">
        <w:rPr>
          <w:rStyle w:val="af0"/>
          <w:i w:val="0"/>
          <w:color w:val="000000" w:themeColor="text1"/>
          <w:sz w:val="16"/>
          <w:szCs w:val="16"/>
        </w:rPr>
        <w:t>АВПРФ. Ф.010. On. 1 .П.5.Д.83.Л. 105—106.Машинописныйподлинник, подпись — автограф. Гриф секретности машинописью. На Л. 105 штамп Секретариата замнаркома НКИД СССР с вписанными от руки номером и датой получения «8.XII.1930 г.»,рядом подпись-росчерк Н. Н. Крестин- ского «НК». На Л. 106 внизу слева машинописью делопроизводственная помета о количестве распечатанных экземпляров документа (7 экз.) и адрес рассылки «5 — т. Крестинскому, 1 — т. Литвинову, 1 — в дело». В конце письма (после подписи) напечатано: «ПРИЛОЖЕНИЕ: Текст ответа на протест Вертело (1 экз.)».</w:t>
      </w:r>
    </w:p>
    <w:p w14:paraId="654CE4A0" w14:textId="77777777" w:rsidR="00722106" w:rsidRPr="00507A31" w:rsidRDefault="00722106" w:rsidP="00507A31">
      <w:pPr>
        <w:pStyle w:val="ae"/>
        <w:spacing w:before="0" w:after="0"/>
        <w:jc w:val="both"/>
        <w:rPr>
          <w:color w:val="000000" w:themeColor="text1"/>
          <w:sz w:val="16"/>
          <w:szCs w:val="16"/>
        </w:rPr>
      </w:pPr>
      <w:r w:rsidRPr="00507A31">
        <w:rPr>
          <w:rStyle w:val="af0"/>
          <w:i w:val="0"/>
          <w:color w:val="000000" w:themeColor="text1"/>
          <w:sz w:val="16"/>
          <w:szCs w:val="16"/>
        </w:rPr>
        <w:t>Опубликовано: Документы внешней политики СССР: 1 января -31 декабря 1930 г. Т. 13. М., 1967. С. 723-724 (18801).</w:t>
      </w:r>
    </w:p>
    <w:p w14:paraId="51EBC03D" w14:textId="77777777" w:rsidR="00722106" w:rsidRPr="00507A31" w:rsidRDefault="00722106" w:rsidP="00507A31">
      <w:pPr>
        <w:jc w:val="both"/>
        <w:rPr>
          <w:color w:val="000000" w:themeColor="text1"/>
          <w:sz w:val="16"/>
          <w:szCs w:val="16"/>
        </w:rPr>
      </w:pPr>
    </w:p>
    <w:p w14:paraId="5C3AD68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5843CD62" w14:textId="77777777" w:rsidR="00537E5F" w:rsidRPr="00507A31" w:rsidRDefault="00537E5F" w:rsidP="00507A31">
      <w:pPr>
        <w:autoSpaceDE w:val="0"/>
        <w:autoSpaceDN w:val="0"/>
        <w:adjustRightInd w:val="0"/>
        <w:jc w:val="both"/>
        <w:rPr>
          <w:iCs/>
          <w:color w:val="000000" w:themeColor="text1"/>
          <w:sz w:val="16"/>
          <w:szCs w:val="16"/>
        </w:rPr>
      </w:pPr>
    </w:p>
    <w:p w14:paraId="6364B76F" w14:textId="77777777" w:rsidR="00BD034B" w:rsidRPr="00507A31" w:rsidRDefault="00BD034B" w:rsidP="00507A31">
      <w:pPr>
        <w:jc w:val="both"/>
        <w:rPr>
          <w:color w:val="0070C0"/>
          <w:sz w:val="16"/>
          <w:szCs w:val="16"/>
        </w:rPr>
      </w:pPr>
      <w:r w:rsidRPr="00507A31">
        <w:rPr>
          <w:color w:val="0070C0"/>
          <w:sz w:val="16"/>
          <w:szCs w:val="16"/>
        </w:rPr>
        <w:t>3 декабря 1930 рейс коммерческой авиакомпании впервые прибывает на Ямайку, когда летающая лодка Pan American Airways Consolidated Commodore приземляется в гавани Кингстона (20805).</w:t>
      </w:r>
    </w:p>
    <w:p w14:paraId="29DDFA03" w14:textId="77777777" w:rsidR="00BD034B" w:rsidRPr="00507A31" w:rsidRDefault="00BD034B" w:rsidP="00507A31">
      <w:pPr>
        <w:jc w:val="both"/>
        <w:rPr>
          <w:color w:val="0070C0"/>
          <w:sz w:val="16"/>
          <w:szCs w:val="16"/>
        </w:rPr>
      </w:pPr>
    </w:p>
    <w:p w14:paraId="3C2AFD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декабря 1930 было сформировано новое правительство Австрии (3907,163).</w:t>
      </w:r>
    </w:p>
    <w:p w14:paraId="583D63E7" w14:textId="77777777" w:rsidR="00537E5F" w:rsidRPr="00507A31" w:rsidRDefault="00537E5F" w:rsidP="00507A31">
      <w:pPr>
        <w:autoSpaceDE w:val="0"/>
        <w:autoSpaceDN w:val="0"/>
        <w:adjustRightInd w:val="0"/>
        <w:jc w:val="both"/>
        <w:rPr>
          <w:color w:val="000000" w:themeColor="text1"/>
          <w:sz w:val="16"/>
          <w:szCs w:val="16"/>
        </w:rPr>
      </w:pPr>
    </w:p>
    <w:p w14:paraId="462E86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декабря 1930 Отто Эндер, представитель христианских социалистов, формирует новое правительство Австрии (7444).</w:t>
      </w:r>
    </w:p>
    <w:p w14:paraId="01E5516A" w14:textId="77777777" w:rsidR="00537E5F" w:rsidRPr="00507A31" w:rsidRDefault="00537E5F" w:rsidP="00507A31">
      <w:pPr>
        <w:autoSpaceDE w:val="0"/>
        <w:autoSpaceDN w:val="0"/>
        <w:adjustRightInd w:val="0"/>
        <w:jc w:val="both"/>
        <w:rPr>
          <w:color w:val="000000" w:themeColor="text1"/>
          <w:sz w:val="16"/>
          <w:szCs w:val="16"/>
        </w:rPr>
      </w:pPr>
    </w:p>
    <w:p w14:paraId="557108C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C69A543" w14:textId="77777777" w:rsidR="00537E5F" w:rsidRPr="00507A31" w:rsidRDefault="00537E5F" w:rsidP="00507A31">
      <w:pPr>
        <w:autoSpaceDE w:val="0"/>
        <w:autoSpaceDN w:val="0"/>
        <w:adjustRightInd w:val="0"/>
        <w:jc w:val="both"/>
        <w:rPr>
          <w:iCs/>
          <w:color w:val="000000" w:themeColor="text1"/>
          <w:sz w:val="16"/>
          <w:szCs w:val="16"/>
        </w:rPr>
      </w:pPr>
    </w:p>
    <w:p w14:paraId="2BF5E15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 декабря 1930 года на ТБ1 были произведены два ознакомительных полета (6925).</w:t>
      </w:r>
    </w:p>
    <w:p w14:paraId="12D1C283"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41FC6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декабря 1930 года заводом 31 был предъявлен для производства серийного испытания самолета Р-1 N ОГ26 серии N 34 с мотором М-5-400 НР N 3279, степень сжатия 5,4 завода N 24 серия Ч возд. винт диаметр 2,9 м (3215).</w:t>
      </w:r>
    </w:p>
    <w:p w14:paraId="2201803D" w14:textId="77777777" w:rsidR="00537E5F" w:rsidRPr="00507A31" w:rsidRDefault="00537E5F" w:rsidP="00507A31">
      <w:pPr>
        <w:autoSpaceDE w:val="0"/>
        <w:autoSpaceDN w:val="0"/>
        <w:adjustRightInd w:val="0"/>
        <w:jc w:val="both"/>
        <w:rPr>
          <w:color w:val="000000" w:themeColor="text1"/>
          <w:sz w:val="16"/>
          <w:szCs w:val="16"/>
        </w:rPr>
      </w:pPr>
    </w:p>
    <w:p w14:paraId="2EA175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декабря 1930 был выполнен полет "звена" В.С.Вахмистрова: ТБ-1 с двумя И-4 (АНТ-5) на плоскостях (274). Это было З-1 и позволяло увеличить радиус И-4 вдвое за счет питания горючим от ТБ-1. Есть альбом (526).</w:t>
      </w:r>
    </w:p>
    <w:p w14:paraId="031B46CF" w14:textId="77777777" w:rsidR="00537E5F" w:rsidRPr="00507A31" w:rsidRDefault="00537E5F" w:rsidP="00507A31">
      <w:pPr>
        <w:autoSpaceDE w:val="0"/>
        <w:autoSpaceDN w:val="0"/>
        <w:adjustRightInd w:val="0"/>
        <w:jc w:val="both"/>
        <w:rPr>
          <w:color w:val="000000" w:themeColor="text1"/>
          <w:sz w:val="16"/>
          <w:szCs w:val="16"/>
        </w:rPr>
      </w:pPr>
    </w:p>
    <w:p w14:paraId="487815AB" w14:textId="77777777" w:rsidR="00CC1505" w:rsidRPr="00507A31" w:rsidRDefault="00CC150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1E409E1" w14:textId="77777777" w:rsidR="00CC1505" w:rsidRPr="00507A31" w:rsidRDefault="00CC1505" w:rsidP="00507A31">
      <w:pPr>
        <w:autoSpaceDE w:val="0"/>
        <w:autoSpaceDN w:val="0"/>
        <w:adjustRightInd w:val="0"/>
        <w:jc w:val="both"/>
        <w:rPr>
          <w:iCs/>
          <w:color w:val="000000" w:themeColor="text1"/>
          <w:sz w:val="16"/>
          <w:szCs w:val="16"/>
        </w:rPr>
      </w:pPr>
    </w:p>
    <w:p w14:paraId="645BD587" w14:textId="77777777" w:rsidR="00CC1505" w:rsidRPr="00507A31" w:rsidRDefault="00CC1505" w:rsidP="00507A31">
      <w:pPr>
        <w:jc w:val="both"/>
        <w:rPr>
          <w:bCs/>
          <w:color w:val="000000" w:themeColor="text1"/>
          <w:sz w:val="16"/>
          <w:szCs w:val="16"/>
        </w:rPr>
      </w:pPr>
      <w:r w:rsidRPr="00507A31">
        <w:rPr>
          <w:color w:val="000000" w:themeColor="text1"/>
          <w:sz w:val="16"/>
          <w:szCs w:val="16"/>
        </w:rPr>
        <w:t>4 декабря 1930 г.</w:t>
      </w:r>
    </w:p>
    <w:p w14:paraId="321B7F40" w14:textId="77777777" w:rsidR="00CC1505" w:rsidRPr="00507A31" w:rsidRDefault="00CC1505" w:rsidP="00507A31">
      <w:pPr>
        <w:jc w:val="both"/>
        <w:rPr>
          <w:bCs/>
          <w:color w:val="000000" w:themeColor="text1"/>
          <w:sz w:val="16"/>
          <w:szCs w:val="16"/>
        </w:rPr>
      </w:pPr>
      <w:r w:rsidRPr="00507A31">
        <w:rPr>
          <w:color w:val="000000" w:themeColor="text1"/>
          <w:sz w:val="16"/>
          <w:szCs w:val="16"/>
        </w:rPr>
        <w:t>Заявление в Коллегию ОГПУ арестованного за «принадлежность к террористической группе» профессора А. А. Надежина. 4 декабря 1930 г.</w:t>
      </w:r>
    </w:p>
    <w:p w14:paraId="63ED809B"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Источник: </w:t>
      </w:r>
    </w:p>
    <w:p w14:paraId="296BA9A7" w14:textId="77777777" w:rsidR="00CC1505" w:rsidRPr="00507A31" w:rsidRDefault="00CC150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258425D"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Архив: </w:t>
      </w:r>
    </w:p>
    <w:p w14:paraId="2EF6A355" w14:textId="77777777" w:rsidR="00CC1505" w:rsidRPr="00507A31" w:rsidRDefault="00CC1505" w:rsidP="00507A31">
      <w:pPr>
        <w:jc w:val="both"/>
        <w:rPr>
          <w:color w:val="000000" w:themeColor="text1"/>
          <w:sz w:val="16"/>
          <w:szCs w:val="16"/>
        </w:rPr>
      </w:pPr>
      <w:r w:rsidRPr="00507A31">
        <w:rPr>
          <w:color w:val="000000" w:themeColor="text1"/>
          <w:sz w:val="16"/>
          <w:szCs w:val="16"/>
        </w:rPr>
        <w:t>ЦА ФСБ РФ. Ф. Р-42280. Т. 1. Л. 290</w:t>
      </w:r>
    </w:p>
    <w:p w14:paraId="46E4BA89"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4 декабря 1930 г.</w:t>
      </w:r>
    </w:p>
    <w:p w14:paraId="4FD4FE9F"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В Коллегию ОГПУ</w:t>
      </w:r>
    </w:p>
    <w:p w14:paraId="39390655"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Арестованного Надежина Алексея Алексеевича</w:t>
      </w:r>
    </w:p>
    <w:p w14:paraId="5BB4CC49"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Заявление</w:t>
      </w:r>
    </w:p>
    <w:p w14:paraId="420DEB74"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В ночь с 2 на 3 октября с/г я был арестован и заключен во Внутреннюю Тюрьму. На допросе у следователей я узнал, что меня обвиняют в принадлежности к Пром. Партии. Основанием для обвинения служат показания обвиняемых Рамзина Л. К., Евреинова Е. Ф. и др. Решительно заявляю, что эти лица оговорили меня ложно. Ни в каких организациях, преследующих контр-революционные и вредительские цели я не состоял и не состою. О существовании же Промпартии впервые услыхал лишь после моего ареста.</w:t>
      </w:r>
    </w:p>
    <w:p w14:paraId="2B0EA04D"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За 13 лет существования Советской власти своей работой, напряженной сверх всякой меры, я — не на словах, а на деле, — доказал свою преданность Рабоче-Крестьянскому Правительству.</w:t>
      </w:r>
    </w:p>
    <w:p w14:paraId="6B2877AC"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Поэтому если Коллегия ОГПУ не считает возможным до окончания всего следствия вернуть мне полную свободу, которой я пользовался как гражданин СССР, то я прошу Коллегию разрешить мне хотя бы вернуться жить на мою квартиру, где, пользуясь собранной мной библиотекой и личными материалами, я могу хотя бы частично продолжать мой полезный труд, работая над составлением курсов для заочного обучения, к составлению коих я уже фактически приступил согласно моего договора с Институтом заочного технического обучения при ВМБИТ-ВЦСПС и каковая работа оборвалась в связи с моим арестом.</w:t>
      </w:r>
    </w:p>
    <w:p w14:paraId="0A83E930"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Внутренняя] тюрьма</w:t>
      </w:r>
    </w:p>
    <w:p w14:paraId="019598E7"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Камера 96 А. Надежин</w:t>
      </w:r>
    </w:p>
    <w:p w14:paraId="63178DD0"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4/XII—1930</w:t>
      </w:r>
    </w:p>
    <w:p w14:paraId="19A851BD" w14:textId="77777777" w:rsidR="00CC1505" w:rsidRPr="00507A31" w:rsidRDefault="00CC1505" w:rsidP="00507A31">
      <w:pPr>
        <w:pStyle w:val="ae"/>
        <w:spacing w:before="0" w:after="0"/>
        <w:jc w:val="both"/>
        <w:rPr>
          <w:color w:val="000000" w:themeColor="text1"/>
          <w:sz w:val="16"/>
          <w:szCs w:val="16"/>
        </w:rPr>
      </w:pPr>
      <w:r w:rsidRPr="00507A31">
        <w:rPr>
          <w:rStyle w:val="af0"/>
          <w:i w:val="0"/>
          <w:color w:val="000000" w:themeColor="text1"/>
          <w:sz w:val="16"/>
          <w:szCs w:val="16"/>
        </w:rPr>
        <w:t>ЦА ФСБ РФ. Ф. Р-42280. Т. 1. Л. 290. Рукописный подлинник, автограф А. А. Надежина (18740).</w:t>
      </w:r>
    </w:p>
    <w:p w14:paraId="69547130" w14:textId="77777777" w:rsidR="00CC1505" w:rsidRPr="00507A31" w:rsidRDefault="00CC1505" w:rsidP="00507A31">
      <w:pPr>
        <w:jc w:val="both"/>
        <w:rPr>
          <w:color w:val="000000" w:themeColor="text1"/>
          <w:sz w:val="16"/>
          <w:szCs w:val="16"/>
        </w:rPr>
      </w:pPr>
    </w:p>
    <w:p w14:paraId="67871ABF" w14:textId="77777777" w:rsidR="00CC1505" w:rsidRPr="00507A31" w:rsidRDefault="00CC150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451A0932" w14:textId="77777777" w:rsidR="00CC1505" w:rsidRPr="00507A31" w:rsidRDefault="00CC1505" w:rsidP="00507A31">
      <w:pPr>
        <w:autoSpaceDE w:val="0"/>
        <w:autoSpaceDN w:val="0"/>
        <w:adjustRightInd w:val="0"/>
        <w:jc w:val="both"/>
        <w:rPr>
          <w:iCs/>
          <w:color w:val="000000" w:themeColor="text1"/>
          <w:sz w:val="16"/>
          <w:szCs w:val="16"/>
        </w:rPr>
      </w:pPr>
    </w:p>
    <w:p w14:paraId="12DFAE04" w14:textId="77777777" w:rsidR="00CC1505" w:rsidRPr="00507A31" w:rsidRDefault="00CC1505" w:rsidP="00507A31">
      <w:pPr>
        <w:jc w:val="both"/>
        <w:rPr>
          <w:bCs/>
          <w:color w:val="000000" w:themeColor="text1"/>
          <w:sz w:val="16"/>
          <w:szCs w:val="16"/>
        </w:rPr>
      </w:pPr>
      <w:r w:rsidRPr="00507A31">
        <w:rPr>
          <w:color w:val="000000" w:themeColor="text1"/>
          <w:sz w:val="16"/>
          <w:szCs w:val="16"/>
        </w:rPr>
        <w:t>4 декабря 1930 г.</w:t>
      </w:r>
    </w:p>
    <w:p w14:paraId="2A2383AE" w14:textId="77777777" w:rsidR="00CC1505" w:rsidRPr="00507A31" w:rsidRDefault="00CC1505" w:rsidP="00507A31">
      <w:pPr>
        <w:jc w:val="both"/>
        <w:rPr>
          <w:bCs/>
          <w:color w:val="000000" w:themeColor="text1"/>
          <w:sz w:val="16"/>
          <w:szCs w:val="16"/>
        </w:rPr>
      </w:pPr>
      <w:r w:rsidRPr="00507A31">
        <w:rPr>
          <w:color w:val="000000" w:themeColor="text1"/>
          <w:sz w:val="16"/>
          <w:szCs w:val="16"/>
        </w:rPr>
        <w:t>Письмо Д. Г. Штерна в отдел печати НКИД СССР с обзором публикаций и выступлений немецких журналистов. 4 декабря 1930 г.</w:t>
      </w:r>
    </w:p>
    <w:p w14:paraId="2F7F74D7"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Источник: </w:t>
      </w:r>
    </w:p>
    <w:p w14:paraId="47B232A6" w14:textId="77777777" w:rsidR="00CC1505" w:rsidRPr="00507A31" w:rsidRDefault="00CC150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4DDC47"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Архив: </w:t>
      </w:r>
    </w:p>
    <w:p w14:paraId="38085EB1" w14:textId="77777777" w:rsidR="00CC1505" w:rsidRPr="00507A31" w:rsidRDefault="00CC1505" w:rsidP="00507A31">
      <w:pPr>
        <w:jc w:val="both"/>
        <w:rPr>
          <w:color w:val="000000" w:themeColor="text1"/>
          <w:sz w:val="16"/>
          <w:szCs w:val="16"/>
        </w:rPr>
      </w:pPr>
      <w:r w:rsidRPr="00507A31">
        <w:rPr>
          <w:color w:val="000000" w:themeColor="text1"/>
          <w:sz w:val="16"/>
          <w:szCs w:val="16"/>
        </w:rPr>
        <w:t>АВП РФ. Ф. 056. On. 15. Папка 31. Д. 9. Л. 89-89 об.</w:t>
      </w:r>
    </w:p>
    <w:p w14:paraId="34259068"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4 декабря 1930 г.</w:t>
      </w:r>
    </w:p>
    <w:p w14:paraId="2021B309"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47DE1E29"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Тов. Аренсу копии: т.т. Литвинову и Крестинскому</w:t>
      </w:r>
    </w:p>
    <w:p w14:paraId="2F37E615"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1. Сегодня мне звонил Заукен, спросивший прочел ли я берлинскую корреспонденцию «Кельнише Цейтунг»[,] датированную 3 дек. Я ответил утвердительно, тогда Заукен спросил [,] понравилась ли она нам, я ответил, что на меня она произвела неплохое впечатление. Заукен тогда намекнул, что советует отнестись к ней со вниманием, и если можно[,] обратить внимание Москвы на эту корреспонденцию. Не подлежит сомнению, что статья инспирирована Аусамтом. В ней указывается, что некоторые[,] под влиянием слухов о событиях в СССР[,] начали указывать на ошибочность германской русской политики, в связи с возможностью переворота. Все слухи оказались вздорными, кроме того надо помнить, что нет силы[,] способной в СССР свергнуть сов. власть[,] возможны лишь внутренние персональные изменения. Что касается процесса, то Германия не заинтересована в защите французских интересов. Москва более близка германским требованиям[,] нежели Париж.</w:t>
      </w:r>
    </w:p>
    <w:p w14:paraId="0E828FA5"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2. «Хейматдинст» (фактически подчиненный Рейхсканцлей и ею субсидируемый) помещает анонимную статью, посвященную СССР, содержащую резчайшие выпады. В частности указывается, что диктатура держится лишь штыками на костях целого поколения. Из вполне точного источника со слов редактора журнала Брейера я знаю[,] что автором статьи является крупный германский чиновник (не Аусамта)[,] недавно ездивший по диппаспорту в [Советский] Союз и там пробывший около двух месяцев. Брейер говорил, что не хотел помещать эту статью, но его заставили. Сообщение об авторе статьи строго доверительно.</w:t>
      </w:r>
    </w:p>
    <w:p w14:paraId="41CD6284"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3. Унгерн-Штернберг сделал очередной доклад об СССР в Реклинг-хаузене на большом собрании, состоявшем из с[оциал-]демократических рабочих. Как Вы видите из подробного отчета, помещенного в местной газете и прилагаемого при сем[,] доклад был выдержан в вполне дружественных тонах.</w:t>
      </w:r>
    </w:p>
    <w:p w14:paraId="7F4936EB"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4. В связи с процессом я предпринял некоторые шаги при посредстве Унгерн Штернберга.</w:t>
      </w:r>
    </w:p>
    <w:p w14:paraId="36CCD4D3"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С тов. приветом</w:t>
      </w:r>
    </w:p>
    <w:p w14:paraId="6B0D7B71"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Д. Штерн</w:t>
      </w:r>
    </w:p>
    <w:p w14:paraId="7F458141" w14:textId="77777777" w:rsidR="00CC1505" w:rsidRPr="00507A31" w:rsidRDefault="00CC1505"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Папка 31. Д. 9. Л. 89-89 об. Машинописный подлинник на бланке Полпредства СССР в Германии, подпись Штерна — автограф. Гриф секретности и дата машинописью, исходящий «№ 1486» от руки в графе бланка. Вверху Л. 89 слева написаны от руки входящий № 2290 и дата получения документа «8/ХII-30 г.», подпись-росчерк Миронова (18850).</w:t>
      </w:r>
    </w:p>
    <w:p w14:paraId="287C8756" w14:textId="77777777" w:rsidR="00CC1505" w:rsidRPr="00507A31" w:rsidRDefault="00CC1505" w:rsidP="00507A31">
      <w:pPr>
        <w:jc w:val="both"/>
        <w:rPr>
          <w:color w:val="000000" w:themeColor="text1"/>
          <w:sz w:val="16"/>
          <w:szCs w:val="16"/>
        </w:rPr>
      </w:pPr>
    </w:p>
    <w:p w14:paraId="4C60B74C" w14:textId="77777777" w:rsidR="00CC1505" w:rsidRPr="00507A31" w:rsidRDefault="00CC1505" w:rsidP="00507A31">
      <w:pPr>
        <w:jc w:val="both"/>
        <w:rPr>
          <w:bCs/>
          <w:color w:val="000000" w:themeColor="text1"/>
          <w:sz w:val="16"/>
          <w:szCs w:val="16"/>
        </w:rPr>
      </w:pPr>
      <w:r w:rsidRPr="00507A31">
        <w:rPr>
          <w:color w:val="000000" w:themeColor="text1"/>
          <w:sz w:val="16"/>
          <w:szCs w:val="16"/>
        </w:rPr>
        <w:t>4 декабря 1930 г.</w:t>
      </w:r>
    </w:p>
    <w:p w14:paraId="3564BC45" w14:textId="77777777" w:rsidR="00CC1505" w:rsidRPr="00507A31" w:rsidRDefault="00CC1505" w:rsidP="00507A31">
      <w:pPr>
        <w:jc w:val="both"/>
        <w:rPr>
          <w:bCs/>
          <w:color w:val="000000" w:themeColor="text1"/>
          <w:sz w:val="16"/>
          <w:szCs w:val="16"/>
        </w:rPr>
      </w:pPr>
      <w:r w:rsidRPr="00507A31">
        <w:rPr>
          <w:color w:val="000000" w:themeColor="text1"/>
          <w:sz w:val="16"/>
          <w:szCs w:val="16"/>
        </w:rPr>
        <w:t>Письмо первого секретаря Полпредства во Франции В. Н. Баркова зав. отделом печати НКИД СССР Ж. Л. Аренсу о принятых мерах «для организации информации» о процессе «Промпартии». 4 декабря 1930 г.</w:t>
      </w:r>
    </w:p>
    <w:p w14:paraId="74977EDA"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Источник: </w:t>
      </w:r>
    </w:p>
    <w:p w14:paraId="72EA5E96" w14:textId="77777777" w:rsidR="00CC1505" w:rsidRPr="00507A31" w:rsidRDefault="00CC150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3BA830"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4 декабря 1930 г.</w:t>
      </w:r>
    </w:p>
    <w:p w14:paraId="1FB0117B"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409B5F92"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Париж, 4-го декабря 1930 года.</w:t>
      </w:r>
    </w:p>
    <w:p w14:paraId="23AE2D3F"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 571/с</w:t>
      </w:r>
    </w:p>
    <w:p w14:paraId="6C0A8F1E"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Н.К.И.Д.</w:t>
      </w:r>
    </w:p>
    <w:p w14:paraId="6C216BCE"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ОТДЕЛ ПЕЧАТИ</w:t>
      </w:r>
    </w:p>
    <w:p w14:paraId="5931AC0E"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тов. Ж. Л. АРЕНСУ</w:t>
      </w:r>
    </w:p>
    <w:p w14:paraId="61A2766B"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Москва</w:t>
      </w:r>
    </w:p>
    <w:p w14:paraId="30A5BED7"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6196FB05"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1.  Сделали все возможное для организации информации о процессе «промышленной партии». Результаты следующие: «Волонтэ» печатает телеграммы; «Суар» печатает; «Репюблик» печатает (хотя последние два дня перестал печатать — выясняем), телеграммы от Брикон еще не поступали; «Пари-Миди» и «Пари Суар» послали корреспондентом Транэна, который до сих пор еще ничего не прислал (последние две газеты еще не наладили печатание тассовских телеграмм, будто-бы по причинам техническим — поздно, мол, поступают телеграммы, — сегодня говорил еще раз с директором, обещал с завтрашнего дня дело наладить). С радио не вышло. Со Снэллем тоже. Делэзи в Америке. Луциани неизвестно где, уехал куда-то за границу. Луиза Вейсс 5-го [декабря] уезжает в Центральную</w:t>
      </w:r>
    </w:p>
    <w:p w14:paraId="7828E281"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Европу. Окончательного ответа относительно номера, посвященного процессу, не дала, — хочет предварительно познакомиться с обвинительным актом. Материалы ей посланы. Тов. Мерлэ потом напишет подробнее о процессе в своем обзоре.</w:t>
      </w:r>
    </w:p>
    <w:p w14:paraId="53865A16"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lastRenderedPageBreak/>
        <w:t>2.  Предложение Валуа заслуживает самого серьезного внимания. Необходимо переговорить с [А. Б.] Халатовым. Он должен заинтересоваться этим предложением. Дело облегчается тем, что некоторая часть книг, трактующих проблемы, выдвинутые в проекте Валуа, — уже изданы (взять, хотя работу Стучки о государстве). Что же касается остальных проблем, по этим вопросам, ОГИЗ может заказать книги соответствующим авторам, включив эти темы — актуальные сами по себе — в свой издательский план; следовательно, останется только перевести эти работы на французский язык.</w:t>
      </w:r>
    </w:p>
    <w:p w14:paraId="643AD522"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3.  Необходимо решить вопрос о длительном сотрудничестве с двумя газетами в положительном смысле. Дело в том, что о временном использовании этих двух газет не могло быть и речи, после того, как их водили за нос целых 3 месяца. По совету Кайя, директору этих газет ни слова не сказали о временном сотрудничестве. Ежели все же вопрос о длительном сотрудничестве будет решен отрицательно, мы сумеем, конечно, найти «формулу для перехода к очередным делам». Но, само собой разумеется, последнее крайне нежелательно, ибо газеты тиражные, директор поддается обработке; в случае же разрыва сотрудничества — кто его знает — может «рассердиться». Надо решить вопрос до 27-го декабря.</w:t>
      </w:r>
    </w:p>
    <w:p w14:paraId="400F5CB5"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4 Вэллс сейчас в Женеве. Приедет только 7-8 декабря и собирается ехать в [Советский] Союз в начале января [1931 г.].</w:t>
      </w:r>
    </w:p>
    <w:p w14:paraId="2864600D"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5. Необходимо в срочном порядке издать после процесса брошюру о протесте. Готовить ее надо сейчас же. Думаем, надо воспользоваться пребыванием Транэна в Москве и поручить написать брошюру ему. Ваше мнение?</w:t>
      </w:r>
    </w:p>
    <w:p w14:paraId="2DC59376"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С товарищеским приветом.</w:t>
      </w:r>
    </w:p>
    <w:p w14:paraId="0FB6ED50"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В. Барков</w:t>
      </w:r>
    </w:p>
    <w:p w14:paraId="77BAC890" w14:textId="77777777" w:rsidR="00CC1505" w:rsidRPr="00507A31" w:rsidRDefault="00CC1505"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АВП РФ. Ф. 056. </w:t>
      </w:r>
      <w:r w:rsidRPr="00507A31">
        <w:rPr>
          <w:rStyle w:val="af0"/>
          <w:i w:val="0"/>
          <w:color w:val="000000" w:themeColor="text1"/>
          <w:sz w:val="16"/>
          <w:szCs w:val="16"/>
          <w:lang w:val="en-US"/>
        </w:rPr>
        <w:t>On</w:t>
      </w:r>
      <w:r w:rsidRPr="00507A31">
        <w:rPr>
          <w:rStyle w:val="af0"/>
          <w:i w:val="0"/>
          <w:color w:val="000000" w:themeColor="text1"/>
          <w:sz w:val="16"/>
          <w:szCs w:val="16"/>
        </w:rPr>
        <w:t>. 15. П. 32. Д. 12. Л. 177. Машинописный подлинник, подпись Баркова — автограф. Гриф секретности машинописью. Вверху от руки чернилами написаны входящий номер и дата получения документа «9/ХII-30 г.». Внизу делопроизводственная помета машинописью (столбцом) «2 экз. 1 — т. Аренсу. 1 — в дело» (18819).</w:t>
      </w:r>
    </w:p>
    <w:p w14:paraId="53AD267C" w14:textId="77777777" w:rsidR="00CC1505" w:rsidRPr="00507A31" w:rsidRDefault="00CC1505" w:rsidP="00507A31">
      <w:pPr>
        <w:jc w:val="both"/>
        <w:rPr>
          <w:color w:val="000000" w:themeColor="text1"/>
          <w:sz w:val="16"/>
          <w:szCs w:val="16"/>
        </w:rPr>
      </w:pPr>
    </w:p>
    <w:p w14:paraId="34AA4BB9" w14:textId="77777777" w:rsidR="00CC1505" w:rsidRPr="00507A31" w:rsidRDefault="00CC1505" w:rsidP="00507A31">
      <w:pPr>
        <w:jc w:val="both"/>
        <w:rPr>
          <w:color w:val="000000" w:themeColor="text1"/>
          <w:sz w:val="16"/>
          <w:szCs w:val="16"/>
        </w:rPr>
      </w:pPr>
      <w:r w:rsidRPr="00507A31">
        <w:rPr>
          <w:color w:val="000000" w:themeColor="text1"/>
          <w:sz w:val="16"/>
          <w:szCs w:val="16"/>
        </w:rPr>
        <w:t>4 декабря 1930 г.</w:t>
      </w:r>
    </w:p>
    <w:p w14:paraId="0427C889" w14:textId="77777777" w:rsidR="00CC1505" w:rsidRPr="00507A31" w:rsidRDefault="00CC1505" w:rsidP="00507A31">
      <w:pPr>
        <w:jc w:val="both"/>
        <w:rPr>
          <w:bCs/>
          <w:color w:val="000000" w:themeColor="text1"/>
          <w:sz w:val="16"/>
          <w:szCs w:val="16"/>
        </w:rPr>
      </w:pPr>
      <w:r w:rsidRPr="00507A31">
        <w:rPr>
          <w:color w:val="000000" w:themeColor="text1"/>
          <w:sz w:val="16"/>
          <w:szCs w:val="16"/>
        </w:rPr>
        <w:t>Письмо Д. Г. Штерна Ж. Л. Аренсу о мерах по освещению процесса «Промпартии» в Германии. 4 декабря 1930 г.</w:t>
      </w:r>
    </w:p>
    <w:p w14:paraId="0544D876"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Источник: </w:t>
      </w:r>
    </w:p>
    <w:p w14:paraId="3D30CC2F" w14:textId="77777777" w:rsidR="00CC1505" w:rsidRPr="00507A31" w:rsidRDefault="00CC150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415EC16"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Архив: </w:t>
      </w:r>
    </w:p>
    <w:p w14:paraId="280EC6A2" w14:textId="77777777" w:rsidR="00CC1505" w:rsidRPr="00507A31" w:rsidRDefault="00CC1505" w:rsidP="00507A31">
      <w:pPr>
        <w:jc w:val="both"/>
        <w:rPr>
          <w:color w:val="000000" w:themeColor="text1"/>
          <w:sz w:val="16"/>
          <w:szCs w:val="16"/>
        </w:rPr>
      </w:pPr>
      <w:r w:rsidRPr="00507A31">
        <w:rPr>
          <w:color w:val="000000" w:themeColor="text1"/>
          <w:sz w:val="16"/>
          <w:szCs w:val="16"/>
        </w:rPr>
        <w:t>АВП РФ. Ф. 056. On. 15. П.31.Д.9. Л. 96</w:t>
      </w:r>
    </w:p>
    <w:p w14:paraId="59E708FF"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4 декабря 1930 г.</w:t>
      </w:r>
    </w:p>
    <w:p w14:paraId="0F50F7CE"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303F5328"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т. Аренсу, копия т. Крестинскому</w:t>
      </w:r>
    </w:p>
    <w:p w14:paraId="0865FDA7"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Я уже предпринял шаги по продвижению в прессу статей[,] посвященных процессу. В основном в этих статьях будут объясняться причины[,] побудившие подсудимых пойти на вредительство, характер вредительства, влияние французского штаба, долголетнее доверие к вредителям у нас, их провал благодаря работе по шпионажу, проведенной под руководством французов.</w:t>
      </w:r>
    </w:p>
    <w:p w14:paraId="4BC09428"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Далее зондируется почва в двух журналах: «Зюд-дейтше Монатсхефте» и «Политик унд Гезелльшафт». Проведение в журналы извлечений из обвинительного] заключения очень затруднительно и по[-]моему малополезно — такие вещи в данных условиях не будут читаться. Необходимо давать живой материал с элементом сенсации.</w:t>
      </w:r>
    </w:p>
    <w:p w14:paraId="3600ADFB"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Помимо вышеизложенного, я ставлю на Ваше обсуждение следующее предложение. Гораздо больший эффект, нежели издания документов, показаний и пр. имело бы появление на книжном рынке сенсационного романа, в котором в легкой форме проводились нужные нам мысли и тенденции. Эта книга могла бы исходить от «анонимного сотрудника» французской Сюрте либо &lt;французского Генерального&gt; Штаба. Эти «разоблачения» можно было бы в течение короткого времени пустить на рынок. Не могу ручаться, что все гладко пойдет, но приступить к реализации уже могу. Денег понадобится вероятно около 2 тысяч м[арок]. Не исключено, что часть расходов окупиться. Жду Вашего ответа. В случае согласия вышлите фото основных обвиняемых и общие данные о их личной жизни. Повторяю, что речь идет не о научном труде, а о полудетективке. Обращаю Ваше внимание, что аналогичная книга Берндорфа «Дипломатише Унтервельт», инспирированная видимо Интеллидженс Сервис, за два месяца выдержала 14 изданий.</w:t>
      </w:r>
    </w:p>
    <w:p w14:paraId="531F3BCB"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Д. Штерн</w:t>
      </w:r>
    </w:p>
    <w:p w14:paraId="7045AAC4" w14:textId="77777777" w:rsidR="00CC1505" w:rsidRPr="00507A31" w:rsidRDefault="00CC1505"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П.31.Д.9. Л. 96. Машинописный подлинник на бланке Полпредства СССР в Германии, подпись Штерна — автограф. Гриф секретности и дата машинописью, исходящий номер «№ 1501» от руки в графе бланка. Вверху листа написаны от руки входящий номер и дата получения документа «9/ХII-30 г.», рукописная помета «архив», подпись-росчерк Миронова.</w:t>
      </w:r>
    </w:p>
    <w:p w14:paraId="3BB5211B" w14:textId="77777777" w:rsidR="00CC1505" w:rsidRPr="00507A31" w:rsidRDefault="00CC1505" w:rsidP="00507A31">
      <w:pPr>
        <w:jc w:val="both"/>
        <w:rPr>
          <w:color w:val="000000" w:themeColor="text1"/>
          <w:sz w:val="16"/>
          <w:szCs w:val="16"/>
        </w:rPr>
      </w:pPr>
    </w:p>
    <w:p w14:paraId="2EC3E50C" w14:textId="77777777" w:rsidR="002047B3"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C36C7D7" w14:textId="77777777" w:rsidR="002047B3" w:rsidRPr="00507A31" w:rsidRDefault="002047B3" w:rsidP="00507A31">
      <w:pPr>
        <w:autoSpaceDE w:val="0"/>
        <w:autoSpaceDN w:val="0"/>
        <w:adjustRightInd w:val="0"/>
        <w:jc w:val="both"/>
        <w:rPr>
          <w:iCs/>
          <w:color w:val="000000" w:themeColor="text1"/>
          <w:sz w:val="16"/>
          <w:szCs w:val="16"/>
        </w:rPr>
      </w:pPr>
    </w:p>
    <w:p w14:paraId="4C9D4BB6" w14:textId="77777777" w:rsidR="002047B3" w:rsidRPr="00507A31" w:rsidRDefault="002047B3" w:rsidP="00507A31">
      <w:pPr>
        <w:jc w:val="both"/>
        <w:rPr>
          <w:color w:val="000000" w:themeColor="text1"/>
          <w:sz w:val="16"/>
          <w:szCs w:val="16"/>
        </w:rPr>
      </w:pPr>
      <w:r w:rsidRPr="00507A31">
        <w:rPr>
          <w:rStyle w:val="ucoz-forum-post"/>
          <w:bCs/>
          <w:color w:val="000000" w:themeColor="text1"/>
          <w:sz w:val="16"/>
          <w:szCs w:val="16"/>
        </w:rPr>
        <w:t xml:space="preserve">4 декабря </w:t>
      </w:r>
      <w:r w:rsidRPr="00507A31">
        <w:rPr>
          <w:color w:val="000000" w:themeColor="text1"/>
          <w:sz w:val="16"/>
          <w:szCs w:val="16"/>
        </w:rPr>
        <w:t>в 1930 году премьер-министр Польши Пилсудский уходит в отставку и в новом правительстве занимает пост министра обороны (14850).</w:t>
      </w:r>
    </w:p>
    <w:p w14:paraId="496E5F55" w14:textId="77777777" w:rsidR="002047B3" w:rsidRPr="00507A31" w:rsidRDefault="002047B3" w:rsidP="00507A31">
      <w:pPr>
        <w:jc w:val="both"/>
        <w:rPr>
          <w:color w:val="000000" w:themeColor="text1"/>
          <w:sz w:val="16"/>
          <w:szCs w:val="16"/>
        </w:rPr>
      </w:pPr>
    </w:p>
    <w:p w14:paraId="2A4C0E0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2C30DB1" w14:textId="77777777" w:rsidR="00537E5F" w:rsidRPr="00507A31" w:rsidRDefault="00537E5F" w:rsidP="00507A31">
      <w:pPr>
        <w:autoSpaceDE w:val="0"/>
        <w:autoSpaceDN w:val="0"/>
        <w:adjustRightInd w:val="0"/>
        <w:jc w:val="both"/>
        <w:rPr>
          <w:iCs/>
          <w:color w:val="000000" w:themeColor="text1"/>
          <w:sz w:val="16"/>
          <w:szCs w:val="16"/>
        </w:rPr>
      </w:pPr>
    </w:p>
    <w:p w14:paraId="4FF10F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декабря 1930 С.А.Чаплыгин издал приказ по ЦАГИ N 47 о "реорганизации отдела АГОС на принципах единоначалия" и в отдельное подразделение был выделен опытный завод, подчиняющийся начальнику АГОС. Были и ЛИС и гидродром и конструкторские части и группы (1018,5).</w:t>
      </w:r>
    </w:p>
    <w:p w14:paraId="6DE89C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“Пар. 1 Принимая во внимание те исключительно важные и ответственные задачи, возложенные РВС на Отдел АГОС по выполнению плана работ опытного самолетостроения в числе целого ряда мер, облегчающих проведение этой работы, считаю необходимым провести реорганизацию Отдела АГОС на принципах единоначалия по нижеследующей представленной нач. Отдела организационной схеме...</w:t>
      </w:r>
    </w:p>
    <w:p w14:paraId="0FCB185B" w14:textId="77777777" w:rsidR="00537E5F" w:rsidRPr="00507A31" w:rsidRDefault="00537E5F" w:rsidP="00507A31">
      <w:pPr>
        <w:autoSpaceDE w:val="0"/>
        <w:autoSpaceDN w:val="0"/>
        <w:adjustRightInd w:val="0"/>
        <w:jc w:val="both"/>
        <w:rPr>
          <w:color w:val="000000" w:themeColor="text1"/>
          <w:sz w:val="16"/>
          <w:szCs w:val="16"/>
        </w:rPr>
      </w:pPr>
    </w:p>
    <w:p w14:paraId="7D721F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Госплан СТО 5 декабря 1930 препроводили материал по опытному самолето- и моторостроению ВО ГВФ на пятилетие. На 10 декабря назначили совещание в Секторе Обороны Госплана (351).</w:t>
      </w:r>
    </w:p>
    <w:p w14:paraId="1E1CD2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ab/>
        <w:t>Доклад о состоянии и необходимых мероприятиях по опытному самолето- и моторостроению ГВФ за подписью А.Э.Гольцмана</w:t>
      </w:r>
    </w:p>
    <w:p w14:paraId="52D71B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ab/>
        <w:t>О состоянии самолетостроения из нержавеющей стали в НИИ ГВФ (351).</w:t>
      </w:r>
    </w:p>
    <w:p w14:paraId="214838A1" w14:textId="77777777" w:rsidR="00537E5F" w:rsidRPr="00507A31" w:rsidRDefault="00537E5F" w:rsidP="00507A31">
      <w:pPr>
        <w:autoSpaceDE w:val="0"/>
        <w:autoSpaceDN w:val="0"/>
        <w:adjustRightInd w:val="0"/>
        <w:jc w:val="both"/>
        <w:rPr>
          <w:color w:val="000000" w:themeColor="text1"/>
          <w:sz w:val="16"/>
          <w:szCs w:val="16"/>
        </w:rPr>
      </w:pPr>
    </w:p>
    <w:p w14:paraId="6AB13481" w14:textId="77777777" w:rsidR="00CC1505" w:rsidRPr="00507A31" w:rsidRDefault="00CC1505" w:rsidP="00507A31">
      <w:pPr>
        <w:jc w:val="both"/>
        <w:rPr>
          <w:color w:val="000000" w:themeColor="text1"/>
          <w:sz w:val="16"/>
          <w:szCs w:val="16"/>
        </w:rPr>
      </w:pPr>
      <w:r w:rsidRPr="00507A31">
        <w:rPr>
          <w:color w:val="000000" w:themeColor="text1"/>
          <w:sz w:val="16"/>
          <w:szCs w:val="16"/>
        </w:rPr>
        <w:t>5 декабря 1930</w:t>
      </w:r>
    </w:p>
    <w:p w14:paraId="2B3825A9" w14:textId="77777777" w:rsidR="00CC1505" w:rsidRPr="00507A31" w:rsidRDefault="00CC1505" w:rsidP="00507A31">
      <w:pPr>
        <w:jc w:val="both"/>
        <w:rPr>
          <w:color w:val="000000" w:themeColor="text1"/>
          <w:sz w:val="16"/>
          <w:szCs w:val="16"/>
        </w:rPr>
      </w:pPr>
      <w:r w:rsidRPr="00507A31">
        <w:rPr>
          <w:color w:val="000000" w:themeColor="text1"/>
          <w:sz w:val="16"/>
          <w:szCs w:val="16"/>
        </w:rPr>
        <w:t>п. 21: О дирижаблестроении</w:t>
      </w:r>
    </w:p>
    <w:p w14:paraId="24099458" w14:textId="77777777" w:rsidR="00CC1505" w:rsidRPr="00507A31" w:rsidRDefault="00CC1505" w:rsidP="00507A31">
      <w:pPr>
        <w:jc w:val="both"/>
        <w:rPr>
          <w:color w:val="000000" w:themeColor="text1"/>
          <w:sz w:val="16"/>
          <w:szCs w:val="16"/>
        </w:rPr>
      </w:pPr>
      <w:r w:rsidRPr="00507A31">
        <w:rPr>
          <w:color w:val="000000" w:themeColor="text1"/>
          <w:sz w:val="16"/>
          <w:szCs w:val="16"/>
        </w:rPr>
        <w:t>(ПБ от 25.XI.30 г., пр. № 16, п. 26).</w:t>
      </w:r>
    </w:p>
    <w:p w14:paraId="1E8CC68B" w14:textId="77777777" w:rsidR="00CC1505" w:rsidRPr="00507A31" w:rsidRDefault="00CC1505" w:rsidP="00507A31">
      <w:pPr>
        <w:jc w:val="both"/>
        <w:rPr>
          <w:color w:val="000000" w:themeColor="text1"/>
          <w:sz w:val="16"/>
          <w:szCs w:val="16"/>
        </w:rPr>
      </w:pPr>
      <w:r w:rsidRPr="00507A31">
        <w:rPr>
          <w:color w:val="000000" w:themeColor="text1"/>
          <w:sz w:val="16"/>
          <w:szCs w:val="16"/>
        </w:rPr>
        <w:t>(Гольцман, Ворошилов, Орджоникидзе, Межлаук).</w:t>
      </w:r>
    </w:p>
    <w:p w14:paraId="19A97C6B" w14:textId="77777777" w:rsidR="00CC1505" w:rsidRPr="00507A31" w:rsidRDefault="00CC1505" w:rsidP="00507A31">
      <w:pPr>
        <w:jc w:val="both"/>
        <w:rPr>
          <w:color w:val="000000" w:themeColor="text1"/>
          <w:sz w:val="16"/>
          <w:szCs w:val="16"/>
        </w:rPr>
      </w:pPr>
      <w:r w:rsidRPr="00507A31">
        <w:rPr>
          <w:color w:val="000000" w:themeColor="text1"/>
          <w:sz w:val="16"/>
          <w:szCs w:val="16"/>
        </w:rPr>
        <w:t>Поручить комиссии в составе т.т. Куйбышева (председатель), Кагановича, Гольцмана, Ворошилова, Баранова, Павлуновского и Урываева в 2</w:t>
      </w:r>
      <w:r w:rsidRPr="00507A31">
        <w:rPr>
          <w:color w:val="000000" w:themeColor="text1"/>
          <w:sz w:val="16"/>
          <w:szCs w:val="16"/>
        </w:rPr>
        <w:noBreakHyphen/>
        <w:t>х декадный срок представить проект постановления Политбюро (18321).</w:t>
      </w:r>
    </w:p>
    <w:p w14:paraId="1616D802" w14:textId="77777777" w:rsidR="00CC1505" w:rsidRPr="00507A31" w:rsidRDefault="00CC1505" w:rsidP="00507A31">
      <w:pPr>
        <w:jc w:val="both"/>
        <w:rPr>
          <w:color w:val="000000" w:themeColor="text1"/>
          <w:sz w:val="16"/>
          <w:szCs w:val="16"/>
        </w:rPr>
      </w:pPr>
    </w:p>
    <w:p w14:paraId="056994FB" w14:textId="77777777" w:rsidR="007C50A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E8502E7" w14:textId="77777777" w:rsidR="007C50AE" w:rsidRPr="00507A31" w:rsidRDefault="007C50AE" w:rsidP="00507A31">
      <w:pPr>
        <w:autoSpaceDE w:val="0"/>
        <w:autoSpaceDN w:val="0"/>
        <w:adjustRightInd w:val="0"/>
        <w:jc w:val="both"/>
        <w:rPr>
          <w:iCs/>
          <w:color w:val="000000" w:themeColor="text1"/>
          <w:sz w:val="16"/>
          <w:szCs w:val="16"/>
        </w:rPr>
      </w:pPr>
    </w:p>
    <w:p w14:paraId="0FCD27B8" w14:textId="77777777" w:rsidR="007C50AE" w:rsidRPr="00507A31" w:rsidRDefault="007C50AE" w:rsidP="00507A31">
      <w:pPr>
        <w:jc w:val="both"/>
        <w:rPr>
          <w:color w:val="000000" w:themeColor="text1"/>
          <w:sz w:val="16"/>
          <w:szCs w:val="16"/>
          <w:u w:color="002060"/>
        </w:rPr>
      </w:pPr>
      <w:r w:rsidRPr="00507A31">
        <w:rPr>
          <w:color w:val="000000" w:themeColor="text1"/>
          <w:sz w:val="16"/>
          <w:szCs w:val="16"/>
          <w:u w:color="002060"/>
        </w:rPr>
        <w:t>5 декабря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17. Решения ПБ от 30 ноября 1930 г. 19/27. Сообщение комиссии Ворошилова [о мобилизационном развертывании Красной армии в 1931 г.]. — ОП. 20/36. О состоянии речного и морского судостроения. 25/41. О контрольных цифрах по обороне (ПБ от 15 ноября 1930 г., пр. № 8, п. 19). (Политбюро... Т. 2. С. 105) (12416).</w:t>
      </w:r>
    </w:p>
    <w:p w14:paraId="4C79827A" w14:textId="77777777" w:rsidR="007C50AE" w:rsidRPr="00507A31" w:rsidRDefault="007C50AE" w:rsidP="00507A31">
      <w:pPr>
        <w:jc w:val="both"/>
        <w:rPr>
          <w:color w:val="000000" w:themeColor="text1"/>
          <w:sz w:val="16"/>
          <w:szCs w:val="16"/>
          <w:u w:color="002060"/>
        </w:rPr>
      </w:pPr>
    </w:p>
    <w:p w14:paraId="6C8F6AD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502C938" w14:textId="77777777" w:rsidR="00537E5F" w:rsidRPr="00507A31" w:rsidRDefault="00537E5F" w:rsidP="00507A31">
      <w:pPr>
        <w:autoSpaceDE w:val="0"/>
        <w:autoSpaceDN w:val="0"/>
        <w:adjustRightInd w:val="0"/>
        <w:jc w:val="both"/>
        <w:rPr>
          <w:iCs/>
          <w:color w:val="000000" w:themeColor="text1"/>
          <w:sz w:val="16"/>
          <w:szCs w:val="16"/>
        </w:rPr>
      </w:pPr>
    </w:p>
    <w:p w14:paraId="66EE40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декабря 1930 на вечернем заседании Рамзин произнес последнее слово.</w:t>
      </w:r>
    </w:p>
    <w:p w14:paraId="5D3837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«Граждане верховные судьи, я совершенно ясно и отчетливо сознаю, что теперешнее мое последнее слово является действительно последним словом...</w:t>
      </w:r>
    </w:p>
    <w:p w14:paraId="50C4C3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Первый вопрос — относительно тех личных побуждений, которые за</w:t>
      </w:r>
      <w:r w:rsidRPr="00507A31">
        <w:rPr>
          <w:color w:val="000000" w:themeColor="text1"/>
          <w:sz w:val="16"/>
          <w:szCs w:val="16"/>
        </w:rPr>
        <w:softHyphen/>
        <w:t>ставили меня вступить в контрреволюционную организацию... Главной и основной причиной, бьшо... глубокое убеждение... в гибельности поли</w:t>
      </w:r>
      <w:r w:rsidRPr="00507A31">
        <w:rPr>
          <w:color w:val="000000" w:themeColor="text1"/>
          <w:sz w:val="16"/>
          <w:szCs w:val="16"/>
        </w:rPr>
        <w:softHyphen/>
        <w:t>тики советской власти, убеждение, что эта политика ведет страну неиз</w:t>
      </w:r>
      <w:r w:rsidRPr="00507A31">
        <w:rPr>
          <w:color w:val="000000" w:themeColor="text1"/>
          <w:sz w:val="16"/>
          <w:szCs w:val="16"/>
        </w:rPr>
        <w:softHyphen/>
        <w:t>бежно к развалу, к кризисам, к катастрофам, к гибели, к неизбежному контрреволюционному перевороту... это убеждение бьшо главной и по</w:t>
      </w:r>
      <w:r w:rsidRPr="00507A31">
        <w:rPr>
          <w:color w:val="000000" w:themeColor="text1"/>
          <w:sz w:val="16"/>
          <w:szCs w:val="16"/>
        </w:rPr>
        <w:softHyphen/>
        <w:t>чти единственной движущей силой, которая меня и многих моих товари</w:t>
      </w:r>
      <w:r w:rsidRPr="00507A31">
        <w:rPr>
          <w:color w:val="000000" w:themeColor="text1"/>
          <w:sz w:val="16"/>
          <w:szCs w:val="16"/>
        </w:rPr>
        <w:softHyphen/>
        <w:t xml:space="preserve">щей по несчастью толкнула на этот путь. А путей всего-навсего бьшо два... Один путь — налево, к Кремлю и через него...к вершине социализма, и другой путь </w:t>
      </w:r>
      <w:r w:rsidRPr="00507A31">
        <w:rPr>
          <w:color w:val="000000" w:themeColor="text1"/>
          <w:sz w:val="16"/>
          <w:szCs w:val="16"/>
        </w:rPr>
        <w:lastRenderedPageBreak/>
        <w:t>— направо... в Париж, путь, который неизбежно приводил в ту адскую кухню воинствующего империализма, где готовились война, нападения при помощи шпионажа, измены, предательства, вредитель</w:t>
      </w:r>
      <w:r w:rsidRPr="00507A31">
        <w:rPr>
          <w:color w:val="000000" w:themeColor="text1"/>
          <w:sz w:val="16"/>
          <w:szCs w:val="16"/>
        </w:rPr>
        <w:softHyphen/>
        <w:t>ства. Третьего пути не было и нет» (11504).</w:t>
      </w:r>
    </w:p>
    <w:p w14:paraId="27843D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7262544" w14:textId="77777777" w:rsidR="00CC1505" w:rsidRPr="00507A31" w:rsidRDefault="00CC1505" w:rsidP="00507A31">
      <w:pPr>
        <w:jc w:val="both"/>
        <w:rPr>
          <w:bCs/>
          <w:color w:val="000000" w:themeColor="text1"/>
          <w:sz w:val="16"/>
          <w:szCs w:val="16"/>
        </w:rPr>
      </w:pPr>
      <w:r w:rsidRPr="00507A31">
        <w:rPr>
          <w:color w:val="000000" w:themeColor="text1"/>
          <w:sz w:val="16"/>
          <w:szCs w:val="16"/>
        </w:rPr>
        <w:t>5 декабря 1930 г.</w:t>
      </w:r>
    </w:p>
    <w:p w14:paraId="2D704E83"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Источник: </w:t>
      </w:r>
    </w:p>
    <w:p w14:paraId="4880C2E5" w14:textId="77777777" w:rsidR="00CC1505" w:rsidRPr="00507A31" w:rsidRDefault="00CC150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C193BA"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334CF374"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Шифровальный отдел</w:t>
      </w:r>
    </w:p>
    <w:p w14:paraId="2A247B6A"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 705-706</w:t>
      </w:r>
    </w:p>
    <w:p w14:paraId="549F55EB"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Москва, 5 декабря 1930, 2.15</w:t>
      </w:r>
    </w:p>
    <w:p w14:paraId="7FAFEBFD"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Получено: 5 декабря 1930, 2.50</w:t>
      </w:r>
    </w:p>
    <w:p w14:paraId="1AFD3E07"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Главный прокурор Крыленко в своей четырехчасовой обвинительной речи особенно старался опровергнуть критику, появившуюся в иностранной прессе, которая упрекает обвинение в том, что оно не предоставило никаких доказательств и основывается исключительно на подозрительных заявлениях заключенных. С этой целью прокурор заявил, что на территории СССР совершалось вредительство, что обвиняемые имели связь с «Русским торговым и промышленным комитетом» в Париже, что сам этот комитет поддерживал связь с Пуанкаре и, наконец, что французский генеральный штаб стремился подорвать план мобилизации СССР и имел на советской территории секретного агента, имя которого было указано на заседании при закрытых дверях. Крыленко подкрепил свои заявления отрывками из статей, появившихся во французских газетах, заявлением Детердинга и речью депутата-коммуниста Б в Нижней палате парламента.</w:t>
      </w:r>
    </w:p>
    <w:p w14:paraId="0041426D"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В качестве примера его аргументации можно привести то, что в статье Пуанкаре, напечатанной в прошлом феврале, в которой председатель совета &lt;министров&gt; указывал на опасность всеобщего конфликта по вопросу о Бессарабии, главный прокурор пожелал усмотреть доказательство того, что, начиная с этого времени Франция готовила пограничный инцидент, способный спровоцировать войну с СССР.</w:t>
      </w:r>
    </w:p>
    <w:p w14:paraId="629E05B2"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Жан Эрбет</w:t>
      </w:r>
    </w:p>
    <w:p w14:paraId="634D5D0C" w14:textId="77777777" w:rsidR="00CC1505" w:rsidRPr="00507A31" w:rsidRDefault="00CC1505"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137-138.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«5 дек. 1930» и вписанным от руки номером о сдаче в архив «z 619-20 s/d5».</w:t>
      </w:r>
    </w:p>
    <w:p w14:paraId="29F7865A" w14:textId="77777777" w:rsidR="00CC1505" w:rsidRPr="00507A31" w:rsidRDefault="00CC1505" w:rsidP="00507A31">
      <w:pPr>
        <w:jc w:val="both"/>
        <w:rPr>
          <w:color w:val="000000" w:themeColor="text1"/>
          <w:sz w:val="16"/>
          <w:szCs w:val="16"/>
        </w:rPr>
      </w:pPr>
    </w:p>
    <w:p w14:paraId="17EA013E" w14:textId="77777777" w:rsidR="00CC1505" w:rsidRPr="00507A31" w:rsidRDefault="00CC1505" w:rsidP="00507A31">
      <w:pPr>
        <w:jc w:val="both"/>
        <w:rPr>
          <w:bCs/>
          <w:color w:val="000000" w:themeColor="text1"/>
          <w:sz w:val="16"/>
          <w:szCs w:val="16"/>
        </w:rPr>
      </w:pPr>
      <w:r w:rsidRPr="00507A31">
        <w:rPr>
          <w:color w:val="000000" w:themeColor="text1"/>
          <w:sz w:val="16"/>
          <w:szCs w:val="16"/>
        </w:rPr>
        <w:t>5 декабря 1930 г.</w:t>
      </w:r>
    </w:p>
    <w:p w14:paraId="073E5323" w14:textId="77777777" w:rsidR="00CC1505" w:rsidRPr="00507A31" w:rsidRDefault="00CC1505" w:rsidP="00507A31">
      <w:pPr>
        <w:jc w:val="both"/>
        <w:rPr>
          <w:bCs/>
          <w:color w:val="000000" w:themeColor="text1"/>
          <w:sz w:val="16"/>
          <w:szCs w:val="16"/>
        </w:rPr>
      </w:pPr>
      <w:r w:rsidRPr="00507A31">
        <w:rPr>
          <w:color w:val="000000" w:themeColor="text1"/>
          <w:sz w:val="16"/>
          <w:szCs w:val="16"/>
        </w:rPr>
        <w:t>Письмо руководства ВЦСПС председателю Верховного суда А. Я. Вышинскому, секретарю ЦК ВКП(б) П. П. Постышеву, зав. Агитационно-массовым отделом ЦК ВКП(б) К. И. Николаевой с просьбой о пропуске рабочей делегации в зал судебных слушаний. 5 декабря</w:t>
      </w:r>
    </w:p>
    <w:p w14:paraId="7D080E3F"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Источник: </w:t>
      </w:r>
    </w:p>
    <w:p w14:paraId="3917915B" w14:textId="77777777" w:rsidR="00CC1505" w:rsidRPr="00507A31" w:rsidRDefault="00CC150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301D4F"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Архив: </w:t>
      </w:r>
    </w:p>
    <w:p w14:paraId="48E143F4" w14:textId="77777777" w:rsidR="00CC1505" w:rsidRPr="00507A31" w:rsidRDefault="00CC1505" w:rsidP="00507A31">
      <w:pPr>
        <w:jc w:val="both"/>
        <w:rPr>
          <w:color w:val="000000" w:themeColor="text1"/>
          <w:sz w:val="16"/>
          <w:szCs w:val="16"/>
        </w:rPr>
      </w:pPr>
      <w:r w:rsidRPr="00507A31">
        <w:rPr>
          <w:color w:val="000000" w:themeColor="text1"/>
          <w:sz w:val="16"/>
          <w:szCs w:val="16"/>
        </w:rPr>
        <w:t>ГА РФ. Ф. P-5451. Oп. 14. Д. 223. Л. 13</w:t>
      </w:r>
    </w:p>
    <w:p w14:paraId="04F8C2D5"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Не позднее 5 декабря 1930 г.</w:t>
      </w:r>
    </w:p>
    <w:p w14:paraId="56571B07"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Срочно. Секретно</w:t>
      </w:r>
    </w:p>
    <w:p w14:paraId="66B4B77A"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Председателю Верховного суда тов. Вышинскому.</w:t>
      </w:r>
    </w:p>
    <w:p w14:paraId="3DEFBEA7"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Секретарю ЦК ВКП(б) тов. Постышеву.</w:t>
      </w:r>
    </w:p>
    <w:p w14:paraId="3171E5C2"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Зав. Агитмас. отд. ЦК ВКП(б) т. Николаевой.</w:t>
      </w:r>
    </w:p>
    <w:p w14:paraId="79881C30"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 директиве ЦК ВКП(б) Секретариат ВЦСПС вызвал на процесс Промпартии 75 рабочих-ударников из различных мест СССР. Распоряжением т. Вышинского, опубликованном в «Правде», для иногородних рабочих за ВЦСПС бронируется определенное количество мест. Между тем вот уже шестой день, каждый раз, когда делегатам необходимо пройти на процесс, то приходится преодолевать сотни преград. ВЦСПС билетов для ударников иногородних не получает. Комендатура суда направляет в МОСПС, а МОСПС — обратно в комендатуру. На глазах у ударников, вызванных из различных концов СССР, тянется волокита, граничащая с издевательством, вызывающая возмущение рабочих.</w:t>
      </w:r>
    </w:p>
    <w:p w14:paraId="75AE6009"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Вчера, после решительного нажима комендатура суда выдала билеты на 5[-й] день процесса для всех ударников, обещав, что вопрос отныне урегулирован и ежедневно будут выдавать пропуска на имеющееся по списку количество ударников. Когда 5/ХII вечером представитель ВЦСПС явился за билетами на 6-ое, ему было заявлено, что будет выдано только 25 билетов для Ленинградской делегации, а для остальных делегатов — билетов нет. Считая совершенно ненормальным разграничение прибывших делегатов на Ленинградцев и других иногородних, ВЦСПС просит решительно воздействовать на виновных в допущении указанных фактов, предложив комендатуре суда обеспечить ежедневный пропуск 75 делегатов ударников из всех промышленных районов СССР и иностр[анных] рабочих, работающих в СССР[,] по списку, представляемому ВЦСПС.</w:t>
      </w:r>
    </w:p>
    <w:p w14:paraId="3DA72A30"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СЕКРЕТАРЬ ВЦСПС</w:t>
      </w:r>
    </w:p>
    <w:p w14:paraId="510A4316"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ЗАВ. СЕКТОР[ОМ] МАССОВЫХ КАМПАНИЙ ВЦСПС</w:t>
      </w:r>
    </w:p>
    <w:p w14:paraId="11BC800E" w14:textId="77777777" w:rsidR="00CC1505" w:rsidRPr="00507A31" w:rsidRDefault="00CC1505"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223. Л. 13. Машинописная копия того времени. Датируется по содержанию. Вверху справа напечатано «СрочноСекретно». Вверху слева написано от руки «В материал процесса Промпартии». Внизу листа делопроизводственная помета о количестве отпечатанных экземпляров (4) (19043).</w:t>
      </w:r>
    </w:p>
    <w:p w14:paraId="0789637E" w14:textId="77777777" w:rsidR="00CC1505" w:rsidRPr="00507A31" w:rsidRDefault="00CC1505" w:rsidP="00507A31">
      <w:pPr>
        <w:jc w:val="both"/>
        <w:rPr>
          <w:color w:val="000000" w:themeColor="text1"/>
          <w:sz w:val="16"/>
          <w:szCs w:val="16"/>
        </w:rPr>
      </w:pPr>
    </w:p>
    <w:p w14:paraId="3CBA9A69" w14:textId="77777777" w:rsidR="00CC1505" w:rsidRPr="00507A31" w:rsidRDefault="00CC150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5DC28C7A" w14:textId="77777777" w:rsidR="00CC1505" w:rsidRPr="00507A31" w:rsidRDefault="00CC1505" w:rsidP="00507A31">
      <w:pPr>
        <w:autoSpaceDE w:val="0"/>
        <w:autoSpaceDN w:val="0"/>
        <w:adjustRightInd w:val="0"/>
        <w:jc w:val="both"/>
        <w:rPr>
          <w:iCs/>
          <w:color w:val="000000" w:themeColor="text1"/>
          <w:sz w:val="16"/>
          <w:szCs w:val="16"/>
        </w:rPr>
      </w:pPr>
    </w:p>
    <w:p w14:paraId="0B941876" w14:textId="77777777" w:rsidR="00CC1505" w:rsidRPr="00507A31" w:rsidRDefault="00CC1505" w:rsidP="00507A31">
      <w:pPr>
        <w:jc w:val="both"/>
        <w:rPr>
          <w:bCs/>
          <w:color w:val="000000" w:themeColor="text1"/>
          <w:sz w:val="16"/>
          <w:szCs w:val="16"/>
        </w:rPr>
      </w:pPr>
      <w:r w:rsidRPr="00507A31">
        <w:rPr>
          <w:color w:val="000000" w:themeColor="text1"/>
          <w:sz w:val="16"/>
          <w:szCs w:val="16"/>
        </w:rPr>
        <w:t>5 декабря 1930 г.</w:t>
      </w:r>
    </w:p>
    <w:p w14:paraId="4B7B2F2C" w14:textId="77777777" w:rsidR="00CC1505" w:rsidRPr="00507A31" w:rsidRDefault="00CC1505"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об обвинительной речи Н. В. Крыленко. 5 декабря 1930 г.</w:t>
      </w:r>
    </w:p>
    <w:p w14:paraId="4FCD8FB0" w14:textId="77777777" w:rsidR="00CC1505" w:rsidRPr="00507A31" w:rsidRDefault="00CC1505" w:rsidP="00507A31">
      <w:pPr>
        <w:jc w:val="both"/>
        <w:rPr>
          <w:bCs/>
          <w:color w:val="000000" w:themeColor="text1"/>
          <w:sz w:val="16"/>
          <w:szCs w:val="16"/>
        </w:rPr>
      </w:pPr>
      <w:r w:rsidRPr="00507A31">
        <w:rPr>
          <w:bCs/>
          <w:color w:val="000000" w:themeColor="text1"/>
          <w:sz w:val="16"/>
          <w:szCs w:val="16"/>
        </w:rPr>
        <w:t>Источник: </w:t>
      </w:r>
    </w:p>
    <w:p w14:paraId="1C0E3193" w14:textId="77777777" w:rsidR="00CC1505" w:rsidRPr="00507A31" w:rsidRDefault="00CC150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79097B0"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5 декабря 1930 г.</w:t>
      </w:r>
    </w:p>
    <w:p w14:paraId="31181920" w14:textId="77777777" w:rsidR="00CC1505" w:rsidRPr="00507A31" w:rsidRDefault="00CC1505"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0488A078"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Входящая телеграмма (копия)</w:t>
      </w:r>
    </w:p>
    <w:p w14:paraId="0880C5C8"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Шифровальный отдел</w:t>
      </w:r>
    </w:p>
    <w:p w14:paraId="4F30473F"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№712</w:t>
      </w:r>
    </w:p>
    <w:p w14:paraId="0A2A2191"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Москва, 5 декабря 1930, 22.14</w:t>
      </w:r>
    </w:p>
    <w:p w14:paraId="0D567DD0"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Получено: 5 декабря 1930, 21 ч.</w:t>
      </w:r>
    </w:p>
    <w:p w14:paraId="4A2548A3"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В соответствии с инструкциями своего правительства посол Англии вчера выразил энергичный протест Литвинову:</w:t>
      </w:r>
    </w:p>
    <w:p w14:paraId="13607846" w14:textId="77777777" w:rsidR="00CC1505" w:rsidRPr="00507A31" w:rsidRDefault="00CC1505" w:rsidP="00507A31">
      <w:pPr>
        <w:numPr>
          <w:ilvl w:val="0"/>
          <w:numId w:val="139"/>
        </w:numPr>
        <w:ind w:left="0" w:firstLine="0"/>
        <w:jc w:val="both"/>
        <w:rPr>
          <w:color w:val="000000" w:themeColor="text1"/>
          <w:sz w:val="16"/>
          <w:szCs w:val="16"/>
        </w:rPr>
      </w:pPr>
      <w:r w:rsidRPr="00507A31">
        <w:rPr>
          <w:color w:val="000000" w:themeColor="text1"/>
          <w:sz w:val="16"/>
          <w:szCs w:val="16"/>
        </w:rPr>
        <w:t>против замечаний, сделанных главным прокурором Крыленко во время процесса, которые затрагивают британское правительство</w:t>
      </w:r>
    </w:p>
    <w:p w14:paraId="76F2CDD9" w14:textId="77777777" w:rsidR="00CC1505" w:rsidRPr="00507A31" w:rsidRDefault="00CC1505" w:rsidP="00507A31">
      <w:pPr>
        <w:numPr>
          <w:ilvl w:val="0"/>
          <w:numId w:val="139"/>
        </w:numPr>
        <w:ind w:left="0" w:firstLine="0"/>
        <w:jc w:val="both"/>
        <w:rPr>
          <w:color w:val="000000" w:themeColor="text1"/>
          <w:sz w:val="16"/>
          <w:szCs w:val="16"/>
        </w:rPr>
      </w:pPr>
      <w:r w:rsidRPr="00507A31">
        <w:rPr>
          <w:color w:val="000000" w:themeColor="text1"/>
          <w:sz w:val="16"/>
          <w:szCs w:val="16"/>
        </w:rPr>
        <w:t>против распространения через беспроводной передатчик статьи Горького, в которой обвиняется Болдуин и Англия (см. мою телеграмму № 657).</w:t>
      </w:r>
    </w:p>
    <w:p w14:paraId="5BCFF56B" w14:textId="77777777" w:rsidR="00CC1505" w:rsidRPr="00507A31" w:rsidRDefault="00CC1505" w:rsidP="00507A31">
      <w:pPr>
        <w:pStyle w:val="rtejustify"/>
        <w:spacing w:before="0" w:after="0"/>
        <w:rPr>
          <w:color w:val="000000" w:themeColor="text1"/>
          <w:sz w:val="16"/>
          <w:szCs w:val="16"/>
        </w:rPr>
      </w:pPr>
      <w:r w:rsidRPr="00507A31">
        <w:rPr>
          <w:color w:val="000000" w:themeColor="text1"/>
          <w:sz w:val="16"/>
          <w:szCs w:val="16"/>
        </w:rPr>
        <w:t>Посол отметил, что подобные факты могут привести к ухудшению англо-советских отношений.</w:t>
      </w:r>
    </w:p>
    <w:p w14:paraId="5406DFD0" w14:textId="77777777" w:rsidR="00CC1505" w:rsidRPr="00507A31" w:rsidRDefault="00CC1505" w:rsidP="00507A31">
      <w:pPr>
        <w:pStyle w:val="ae"/>
        <w:spacing w:before="0" w:after="0"/>
        <w:jc w:val="both"/>
        <w:rPr>
          <w:color w:val="000000" w:themeColor="text1"/>
          <w:sz w:val="16"/>
          <w:szCs w:val="16"/>
        </w:rPr>
      </w:pPr>
      <w:r w:rsidRPr="00507A31">
        <w:rPr>
          <w:color w:val="000000" w:themeColor="text1"/>
          <w:sz w:val="16"/>
          <w:szCs w:val="16"/>
        </w:rPr>
        <w:t>Жан Эрбет</w:t>
      </w:r>
    </w:p>
    <w:p w14:paraId="26C51584" w14:textId="77777777" w:rsidR="00CC1505" w:rsidRPr="00507A31" w:rsidRDefault="00CC1505"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139.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«6 дек. 1930» и вписанным от руки номером о сдаче в архив «z 619-20 s/d5». На полях помета карандашом «Лондон, Берлин, Варшава, Рим» (18774).</w:t>
      </w:r>
    </w:p>
    <w:p w14:paraId="71D73274" w14:textId="77777777" w:rsidR="00CC1505" w:rsidRPr="00507A31" w:rsidRDefault="00CC1505" w:rsidP="00507A31">
      <w:pPr>
        <w:jc w:val="both"/>
        <w:rPr>
          <w:color w:val="000000" w:themeColor="text1"/>
          <w:sz w:val="16"/>
          <w:szCs w:val="16"/>
        </w:rPr>
      </w:pPr>
    </w:p>
    <w:p w14:paraId="67B7939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8A6B11A" w14:textId="77777777" w:rsidR="00537E5F" w:rsidRPr="00507A31" w:rsidRDefault="00537E5F" w:rsidP="00507A31">
      <w:pPr>
        <w:autoSpaceDE w:val="0"/>
        <w:autoSpaceDN w:val="0"/>
        <w:adjustRightInd w:val="0"/>
        <w:jc w:val="both"/>
        <w:rPr>
          <w:iCs/>
          <w:color w:val="000000" w:themeColor="text1"/>
          <w:sz w:val="16"/>
          <w:szCs w:val="16"/>
        </w:rPr>
      </w:pPr>
    </w:p>
    <w:p w14:paraId="7DE4D5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декабря 1930 состоялось взвешивание АНТ-8 МДР-2 (1017,212).</w:t>
      </w:r>
    </w:p>
    <w:p w14:paraId="4EDA1CFD" w14:textId="77777777" w:rsidR="00537E5F" w:rsidRPr="00507A31" w:rsidRDefault="00537E5F" w:rsidP="00507A31">
      <w:pPr>
        <w:autoSpaceDE w:val="0"/>
        <w:autoSpaceDN w:val="0"/>
        <w:adjustRightInd w:val="0"/>
        <w:jc w:val="both"/>
        <w:rPr>
          <w:color w:val="000000" w:themeColor="text1"/>
          <w:sz w:val="16"/>
          <w:szCs w:val="16"/>
        </w:rPr>
      </w:pPr>
    </w:p>
    <w:p w14:paraId="2096E56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7EBBC45" w14:textId="77777777" w:rsidR="00537E5F" w:rsidRPr="00507A31" w:rsidRDefault="00537E5F" w:rsidP="00507A31">
      <w:pPr>
        <w:autoSpaceDE w:val="0"/>
        <w:autoSpaceDN w:val="0"/>
        <w:adjustRightInd w:val="0"/>
        <w:jc w:val="both"/>
        <w:rPr>
          <w:iCs/>
          <w:color w:val="000000" w:themeColor="text1"/>
          <w:sz w:val="16"/>
          <w:szCs w:val="16"/>
        </w:rPr>
      </w:pPr>
    </w:p>
    <w:p w14:paraId="09A275B7" w14:textId="77777777" w:rsidR="003670F5" w:rsidRPr="00507A31" w:rsidRDefault="003670F5" w:rsidP="00507A31">
      <w:pPr>
        <w:jc w:val="both"/>
        <w:rPr>
          <w:bCs/>
          <w:iCs/>
          <w:color w:val="000000" w:themeColor="text1"/>
          <w:sz w:val="16"/>
          <w:szCs w:val="16"/>
        </w:rPr>
      </w:pPr>
      <w:r w:rsidRPr="00507A31">
        <w:rPr>
          <w:color w:val="000000" w:themeColor="text1"/>
          <w:sz w:val="16"/>
          <w:szCs w:val="16"/>
        </w:rPr>
        <w:lastRenderedPageBreak/>
        <w:t>6 Декабря 1930</w:t>
      </w:r>
    </w:p>
    <w:p w14:paraId="388AAE5F" w14:textId="77777777" w:rsidR="003670F5" w:rsidRPr="00507A31" w:rsidRDefault="003670F5" w:rsidP="00507A31">
      <w:pPr>
        <w:jc w:val="both"/>
        <w:rPr>
          <w:color w:val="000000" w:themeColor="text1"/>
          <w:sz w:val="16"/>
          <w:szCs w:val="16"/>
        </w:rPr>
      </w:pPr>
      <w:r w:rsidRPr="00507A31">
        <w:rPr>
          <w:bCs/>
          <w:iCs/>
          <w:color w:val="000000" w:themeColor="text1"/>
          <w:sz w:val="16"/>
          <w:szCs w:val="16"/>
        </w:rPr>
        <w:t>РГВА Фонд 31811 Опись 1 Дело 38 лист 247 с об.</w:t>
      </w:r>
      <w:r w:rsidRPr="00507A31">
        <w:rPr>
          <w:color w:val="000000" w:themeColor="text1"/>
          <w:sz w:val="16"/>
          <w:szCs w:val="16"/>
        </w:rPr>
        <w:t xml:space="preserve"> </w:t>
      </w:r>
    </w:p>
    <w:p w14:paraId="3B503187"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Сов.Секретно </w:t>
      </w:r>
    </w:p>
    <w:p w14:paraId="0E88D8AB"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Экз. № 2 </w:t>
      </w:r>
    </w:p>
    <w:p w14:paraId="32ECDCAE"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6 Декабря 1930 г. </w:t>
      </w:r>
    </w:p>
    <w:p w14:paraId="43DAE0C5"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 9005148 </w:t>
      </w:r>
    </w:p>
    <w:p w14:paraId="3EEDAC13" w14:textId="77777777" w:rsidR="003670F5" w:rsidRPr="00507A31" w:rsidRDefault="003670F5" w:rsidP="00507A31">
      <w:pPr>
        <w:jc w:val="both"/>
        <w:rPr>
          <w:color w:val="000000" w:themeColor="text1"/>
          <w:sz w:val="16"/>
          <w:szCs w:val="16"/>
        </w:rPr>
      </w:pPr>
      <w:r w:rsidRPr="00507A31">
        <w:rPr>
          <w:color w:val="000000" w:themeColor="text1"/>
          <w:sz w:val="16"/>
          <w:szCs w:val="16"/>
        </w:rPr>
        <w:t>О.В.З. тов. ГИТТИСУ.</w:t>
      </w:r>
    </w:p>
    <w:p w14:paraId="3EEF2BD2"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Судя по изложению телеграфного донесения т. ГОБАР по вопросу о танке "Кристи", вытекает, что Кристи, отказываясь дать техническую помощь согласно заключенного с ним договора, этим самым нарушает коренным образом все свои обязательства по договору. </w:t>
      </w:r>
    </w:p>
    <w:p w14:paraId="7870E5BC"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Окончательное решение по этому вопросу может принять только Народный Комиссар, но прежде чем ему доложить, нужно попросить от т. Гобар разъяснение, которое, по моему мнению, должно быть составлено следующим образом: </w:t>
      </w:r>
    </w:p>
    <w:p w14:paraId="1E2A6452"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1. Чем мотивирует Кристи невыполнение договора §§ 10, 11, 12, где точно изложено, какой характер носит техническая помощь. В связи со странным заявлением в телеграмме т. Гобар, что Кристи без оплаты полностью технической помощи отдать машины отказался, – спрашивается, как Кристи рассматривает § 13, – в последнем сказано, что 40 тысяч долларов мы платим по выполнении со стороны Кристи § 10 договора спустя 4 недели после доставки двух танков. Через 12 месяцев мы платим 25 тысяч долларов и через 24 месяца остальные 25 тысяч долларов. В итоге получается, что на 50 тысяч долларов мы имеем 2 года кредита, откуда вытекает требование, что мы все должны заплатить сейчас. </w:t>
      </w:r>
    </w:p>
    <w:p w14:paraId="5B575D8D"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В связи с этим предложить т. Гобару выяснить: </w:t>
      </w:r>
    </w:p>
    <w:p w14:paraId="41ACDA2A"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1) возвращает ли 38 тысяч долларов Кристи, если он идет на нарушение договора, не выполняя § 10; </w:t>
      </w:r>
    </w:p>
    <w:p w14:paraId="1F3A6556"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2) заявить официально Кристи, что мы требуем точного выполнения §§ 10, 11 и 12-го и остальную сумму будем платить так, как это изложено в договоре по § 13, и, наконец, </w:t>
      </w:r>
    </w:p>
    <w:p w14:paraId="1E4E532F"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3) потребовать от Гобара точных разъяснений, чем же все это вызвано, предупредив его, что окончательно ему будет дана директива, если он не добьется положительных результатов в переговорах с Кристи после его вторичной информации; </w:t>
      </w:r>
    </w:p>
    <w:p w14:paraId="3DD9FBBB"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4) Выяснить у т. Гобара, в чем не выполнены полностью спецификации, относятся ли эти спецификации к § 10 или постройке самого танка. </w:t>
      </w:r>
    </w:p>
    <w:p w14:paraId="6E9AFD9D" w14:textId="77777777" w:rsidR="003670F5" w:rsidRPr="00507A31" w:rsidRDefault="003670F5" w:rsidP="00507A31">
      <w:pPr>
        <w:jc w:val="both"/>
        <w:rPr>
          <w:color w:val="000000" w:themeColor="text1"/>
          <w:sz w:val="16"/>
          <w:szCs w:val="16"/>
        </w:rPr>
      </w:pPr>
      <w:r w:rsidRPr="00507A31">
        <w:rPr>
          <w:color w:val="000000" w:themeColor="text1"/>
          <w:sz w:val="16"/>
          <w:szCs w:val="16"/>
        </w:rPr>
        <w:t>п/п НАЧАЛЬНИК УММ РККА (Халепский)</w:t>
      </w:r>
    </w:p>
    <w:p w14:paraId="4B005138"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Отпечатано 2 экз. </w:t>
      </w:r>
    </w:p>
    <w:p w14:paraId="66389B72" w14:textId="77777777" w:rsidR="003670F5" w:rsidRPr="00507A31" w:rsidRDefault="003670F5" w:rsidP="00507A31">
      <w:pPr>
        <w:jc w:val="both"/>
        <w:rPr>
          <w:color w:val="000000" w:themeColor="text1"/>
          <w:sz w:val="16"/>
          <w:szCs w:val="16"/>
        </w:rPr>
      </w:pPr>
      <w:r w:rsidRPr="00507A31">
        <w:rPr>
          <w:color w:val="000000" w:themeColor="text1"/>
          <w:sz w:val="16"/>
          <w:szCs w:val="16"/>
        </w:rPr>
        <w:t xml:space="preserve">экз. № 1 – адресату </w:t>
      </w:r>
    </w:p>
    <w:p w14:paraId="24B056E8" w14:textId="77777777" w:rsidR="003670F5" w:rsidRPr="00507A31" w:rsidRDefault="003670F5" w:rsidP="00507A31">
      <w:pPr>
        <w:jc w:val="both"/>
        <w:rPr>
          <w:color w:val="000000" w:themeColor="text1"/>
          <w:sz w:val="16"/>
          <w:szCs w:val="16"/>
        </w:rPr>
      </w:pPr>
      <w:r w:rsidRPr="00507A31">
        <w:rPr>
          <w:color w:val="000000" w:themeColor="text1"/>
          <w:sz w:val="16"/>
          <w:szCs w:val="16"/>
        </w:rPr>
        <w:t>экз. № 2 – в деле (19762).</w:t>
      </w:r>
    </w:p>
    <w:p w14:paraId="1C02CABD" w14:textId="77777777" w:rsidR="003670F5" w:rsidRPr="00507A31" w:rsidRDefault="003670F5" w:rsidP="00507A31">
      <w:pPr>
        <w:jc w:val="both"/>
        <w:rPr>
          <w:color w:val="000000" w:themeColor="text1"/>
          <w:sz w:val="16"/>
          <w:szCs w:val="16"/>
        </w:rPr>
      </w:pPr>
    </w:p>
    <w:p w14:paraId="322880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декабря 1930 г. в соответствии с пост. СТО № 437 началось строительство Уральского завода химического машиностроения</w:t>
      </w:r>
    </w:p>
    <w:p w14:paraId="56E74D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08.1941 г. на площадку завода эвакуирован киевский завод «Большевик». Перед заводом была поставлена задача - в кратчайшие сроки наладить выпуск оборудования для Уральского алюминиевого завода и Нижнетагильского коксохимического комбината. Первая продукция была выпущена в 10.1941 г. Параллельно с этим был освоен выпуск военной продукции. 23.02.1942 г. была изготовлена первая партия полковых минометов (этот день стал официальным днем рождения завода). Назывался завод «Уралтяжхиммаш» НКМВ, на 19.05.1942 г. - завод № 726. Приказом НКМВ № 250с от 7.07.1942 г. завод № 726 передан в ведение 4ГУ.</w:t>
      </w:r>
      <w:r w:rsidRPr="00507A31">
        <w:rPr>
          <w:color w:val="000000" w:themeColor="text1"/>
          <w:sz w:val="16"/>
          <w:szCs w:val="16"/>
          <w:vertAlign w:val="superscript"/>
        </w:rPr>
        <w:t>129</w:t>
      </w:r>
    </w:p>
    <w:p w14:paraId="029811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Приказом НКМВ № 209сс от 10.06.1942 г. заводу поручено изготовление емкостей для нефтепродуктов. Пост. ГКО № 1962сс от 4.07.1942 г. и приказом НКМВ № 237сс от 7.07.1942 г. заводу установлен план выпуска на 3-й квартал 1942 г. 120-мм минометов- 120 шт. 24.08.1942 г. вышло постановление ГКО № 2212 о восстановлении производства химического оборудования завода «Большевик» на Уралтяжхиммаше НКМВ. 27.05.1943 г. вышло постановление ГКО № 3444 об ускорении строительства завода № 726 НКМВ; 28.10.1943 г. - постановление ГКО № 4452 о мерах неотложной помощи строительству завода; 30.04.1945 г. - постановление ГКО № 8361 об окончании строительства и вводе в эксплуатацию 1-й очерди завода.</w:t>
      </w:r>
    </w:p>
    <w:p w14:paraId="1ED74F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09.1945 г. - завод № 726 НКМВ. В 1947-53 г. ОТКЗ завод «Уралхиммаш» - в ведении Главхиммаша ММиП.</w:t>
      </w:r>
    </w:p>
    <w:p w14:paraId="450DDF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завода (1953 г.) цехи: основные: блок № 1: механо-сборочный № 11, ремонтно-механический № 24 (был и в 1947 г.), монтажный № 8 (был и в 1947 г.), инструментальный № 4 (был и в 1947 г.), ширпотреба № 40, мастерские РУ, гальванический; блок № 2: чугунно-литейный № 12 (в 1947 г. был сталелитейным), лаборатории; блок № 3: кузнечно-прессовый № 6 (был и в 1947 г.); блок № 4: механический № 2 (был и в 1947 г.), котельно- сборочный № 3 (был и в 1947 г.), котельно-заготовительный № 9, механосборочный № 1, компрессорная; блок № 5: парокотельный № 27, ГРУ № 28, ацетиленовая и кислородная станции № 33 (были и в 1947 г.); блок № 10: метизный, электро-ремонтный № 26 (был и в 1947 г.), электродный, лаборатория электросварки. В 1947 г. помимо этого, были цехи: электролизерный № 1, чугунно- и сталелитейный № 5, ширпотреба № 34, модельный № 20, железнодорожный № 22, склад металла № 30, № 32, дворовый № 35, строительный № 37, гараж № 23.</w:t>
      </w:r>
    </w:p>
    <w:p w14:paraId="4040AA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1945 г. после окончания войны завод полностью перешел на производство гражданской продукции. К началу 1950-х  г. выпускались сушильные и прокалочные печи, газогенераторы, корбонизационные колонны. С 1951 г. освоен выпуск оборудования для атомной промышленности - металлоконструкции для атомных реакторов. Была проведена реконструкция производства. С 1958 г. развернуто крупномасштабное производство химического оборудования (емкостного, фильтровального, теплообменного, электролизного). Освоен выпуск центробежных сепараторов, автоматизированных линий для производства каучука, аппаратов с вращающимися барабанами. Выпускались автоклавы с перемешивающими устройствами для промышленности редких металлов, автоклавы с байонетными затворами. В автоклавах «Уралхиммаша» были изготовлены теплоизолирующие элементы для ОК «Буран».</w:t>
      </w:r>
    </w:p>
    <w:p w14:paraId="0BD78F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заводе было создано уникальное производство по изготовлению крупнотоннажного оборудования высокого давления для производства аммиака и полиэтилена. К началу 1970-х  г. построены новые цехи, где освоен выпуск уникальных установок для опреснения морской воды. Одновременно выпускались крупногабаритные шаровые резервуары, оборудование для целлюлозно-бумажной промышленности, шаровые краны для магистральных газопроводов.</w:t>
      </w:r>
    </w:p>
    <w:p w14:paraId="679917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Количество оборудования: (1946 г.)- 702 ед., (1947 г.)- 783 ед., (1953 г.)- 996 ед.</w:t>
      </w:r>
    </w:p>
    <w:p w14:paraId="771E17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Площадь: территории (1947-53 г.)- 31,85 га; застройки (1947 г.)- 44528 м</w:t>
      </w:r>
      <w:r w:rsidRPr="00507A31">
        <w:rPr>
          <w:color w:val="000000" w:themeColor="text1"/>
          <w:sz w:val="16"/>
          <w:szCs w:val="16"/>
          <w:vertAlign w:val="superscript"/>
        </w:rPr>
        <w:t>2</w:t>
      </w:r>
      <w:r w:rsidRPr="00507A31">
        <w:rPr>
          <w:color w:val="000000" w:themeColor="text1"/>
          <w:sz w:val="16"/>
          <w:szCs w:val="16"/>
        </w:rPr>
        <w:t>, (1953 г.)- 88586 м</w:t>
      </w:r>
      <w:r w:rsidRPr="00507A31">
        <w:rPr>
          <w:color w:val="000000" w:themeColor="text1"/>
          <w:sz w:val="16"/>
          <w:szCs w:val="16"/>
          <w:vertAlign w:val="superscript"/>
        </w:rPr>
        <w:t>2</w:t>
      </w:r>
      <w:r w:rsidRPr="00507A31">
        <w:rPr>
          <w:color w:val="000000" w:themeColor="text1"/>
          <w:sz w:val="16"/>
          <w:szCs w:val="16"/>
        </w:rPr>
        <w:t>; производственная (1946 г.)- 33038 м</w:t>
      </w:r>
      <w:r w:rsidRPr="00507A31">
        <w:rPr>
          <w:color w:val="000000" w:themeColor="text1"/>
          <w:sz w:val="16"/>
          <w:szCs w:val="16"/>
          <w:vertAlign w:val="superscript"/>
        </w:rPr>
        <w:t>2</w:t>
      </w:r>
      <w:r w:rsidRPr="00507A31">
        <w:rPr>
          <w:color w:val="000000" w:themeColor="text1"/>
          <w:sz w:val="16"/>
          <w:szCs w:val="16"/>
        </w:rPr>
        <w:t>, (1947 г.)- 38017 м</w:t>
      </w:r>
      <w:r w:rsidRPr="00507A31">
        <w:rPr>
          <w:color w:val="000000" w:themeColor="text1"/>
          <w:sz w:val="16"/>
          <w:szCs w:val="16"/>
          <w:vertAlign w:val="superscript"/>
        </w:rPr>
        <w:t>2</w:t>
      </w:r>
      <w:r w:rsidRPr="00507A31">
        <w:rPr>
          <w:color w:val="000000" w:themeColor="text1"/>
          <w:sz w:val="16"/>
          <w:szCs w:val="16"/>
        </w:rPr>
        <w:t>, (1953 г.)- 60.000 м</w:t>
      </w:r>
      <w:r w:rsidRPr="00507A31">
        <w:rPr>
          <w:color w:val="000000" w:themeColor="text1"/>
          <w:sz w:val="16"/>
          <w:szCs w:val="16"/>
          <w:vertAlign w:val="superscript"/>
        </w:rPr>
        <w:t>2</w:t>
      </w:r>
      <w:r w:rsidRPr="00507A31">
        <w:rPr>
          <w:color w:val="000000" w:themeColor="text1"/>
          <w:sz w:val="16"/>
          <w:szCs w:val="16"/>
        </w:rPr>
        <w:t>; вспомогательная (1953 г.)- 8700 м</w:t>
      </w:r>
      <w:r w:rsidRPr="00507A31">
        <w:rPr>
          <w:color w:val="000000" w:themeColor="text1"/>
          <w:sz w:val="16"/>
          <w:szCs w:val="16"/>
          <w:vertAlign w:val="superscript"/>
        </w:rPr>
        <w:t>2</w:t>
      </w:r>
      <w:r w:rsidRPr="00507A31">
        <w:rPr>
          <w:color w:val="000000" w:themeColor="text1"/>
          <w:sz w:val="16"/>
          <w:szCs w:val="16"/>
        </w:rPr>
        <w:t>; прочая (1953 г.)- 19900 м</w:t>
      </w:r>
      <w:r w:rsidRPr="00507A31">
        <w:rPr>
          <w:color w:val="000000" w:themeColor="text1"/>
          <w:sz w:val="16"/>
          <w:szCs w:val="16"/>
          <w:vertAlign w:val="superscript"/>
        </w:rPr>
        <w:t>2</w:t>
      </w:r>
      <w:r w:rsidRPr="00507A31">
        <w:rPr>
          <w:color w:val="000000" w:themeColor="text1"/>
          <w:sz w:val="16"/>
          <w:szCs w:val="16"/>
        </w:rPr>
        <w:t>.</w:t>
      </w:r>
    </w:p>
    <w:p w14:paraId="58829D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(1946 г.)- 2429 чел., (1947 г.)- 2577 чел., (1953 г.)- 4656 чел.</w:t>
      </w:r>
    </w:p>
    <w:p w14:paraId="25DD8B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(-06.1942-48 г.-&gt; В.П. Курганов, (1980-е)- В.М. Макаров. Гендиректор (2000 г.)- А. Вихарев, (2001 г.)- А.А. Беседин, (-01.2004 г.)- А. Ахтямов, (01-04.2004 г.)- Д. Тихонов, (04.2004 г.-&gt; В. Бурага.</w:t>
      </w:r>
    </w:p>
    <w:p w14:paraId="3F3D9C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1-й зам. гендиректора (-01.2004 г.)- Д. Тихонов. Зам. директора по строительству (1953 г.)- Климов.</w:t>
      </w:r>
    </w:p>
    <w:p w14:paraId="39B6E1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(1948 г.)- В.А. Ивановский.</w:t>
      </w:r>
    </w:p>
    <w:p w14:paraId="37E8C1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И.О. гл. технолога (1953 г.)- Яшин.</w:t>
      </w:r>
    </w:p>
    <w:p w14:paraId="775FC2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УКС (1953 г.)- Орлов.</w:t>
      </w:r>
    </w:p>
    <w:p w14:paraId="2FB540A1"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w:t>
      </w:r>
      <w:r w:rsidRPr="00507A31">
        <w:rPr>
          <w:color w:val="000000" w:themeColor="text1"/>
          <w:sz w:val="16"/>
          <w:szCs w:val="16"/>
        </w:rPr>
        <w:t xml:space="preserve"> 120-мм минометы (1942); электролизеры ФВ-500 (1947), Х-1627, -1734 (1953); вакуум- фильтры Б-20, -40; редукторы: ЦД-50, -65, -75, -85; сушильный барабан, выпарной аппарат «Зайдаак», теплообменники (1947); сушилка соды Х-1744, выгрузной механизм Х-1777, сушильный барабан Х-1855, жиротопенный котел Х-1759, смолоперегонные кубы Х-1848, -1852, автоклав Х-1615, -1860, компаундная установка Х-1749, гидролизный аппарат Х-1123, скруббер Х-1708, хранилища: для жидкого аммиака Х-1796, для кислот Х-1931; печи вращающиеся Х-1788, -1849, -2076, контактный аппарат Х-1724 (1953).</w:t>
      </w:r>
    </w:p>
    <w:p w14:paraId="577D26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Киевский машиностроительный завод «Большевик» ММиП /г. Киев 1-я Дачная ул., 9/11 «Большевик» (1948 г.)/</w:t>
      </w:r>
    </w:p>
    <w:p w14:paraId="77481B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08.1941 г. завод «Большевик» эвакуирован в Свердловск на площадку «Уралхиммаша»; часть завода эвакуирована в  г. Нижний Исетск на площадку промартели «Смычка». На базе этой части организован завод «Смычка» НКМВ. 24.08.1942 г. вышло постановление ГКО № 2212 о восстановлении производства химического оборудования завода «Большевик» на Уралтяжхиммаше НКМВ.</w:t>
      </w:r>
    </w:p>
    <w:p w14:paraId="245FD1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Затем завод восстановлен в Киеве. В 1947-53 г. Киевский машиностроительный завод «Большевик» - в ведении Главхиммаша ММиП.</w:t>
      </w:r>
    </w:p>
    <w:p w14:paraId="0AEB8A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завода (1947 г.) цехи: основные: химаппаратуры, мартеновский, чугунолитейный, механосборочный, котельный; вспомогательные: инструментальный, модельный, кузнечный, ремонтно-механический. Кроме того, (1953 г.): основные: сталелитейный, кислотоупорный, котлоаппаратный, заказов ММиП, ширпотреба, центральная лаборатория; вспомогательные: транспортный, теплосиловой.</w:t>
      </w:r>
    </w:p>
    <w:p w14:paraId="0930DD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Ярославского шинного завода изготовлена камера для вулканизации покрышек самолета А</w:t>
      </w:r>
      <w:r w:rsidRPr="00507A31">
        <w:rPr>
          <w:smallCaps/>
          <w:color w:val="000000" w:themeColor="text1"/>
          <w:sz w:val="16"/>
          <w:szCs w:val="16"/>
        </w:rPr>
        <w:t>н</w:t>
      </w:r>
      <w:r w:rsidRPr="00507A31">
        <w:rPr>
          <w:color w:val="000000" w:themeColor="text1"/>
          <w:sz w:val="16"/>
          <w:szCs w:val="16"/>
        </w:rPr>
        <w:t>-22.</w:t>
      </w:r>
    </w:p>
    <w:p w14:paraId="32A31A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Количество оборудования: (1946 г.)- 196 ед., (1947 г.)- 734 ед., (1953 г.)-1281 ед.</w:t>
      </w:r>
    </w:p>
    <w:p w14:paraId="364F22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Площадь: территории (1947-53 г.)- 26,3 га; застройки (1947 г.)- 37912 м</w:t>
      </w:r>
      <w:r w:rsidRPr="00507A31">
        <w:rPr>
          <w:color w:val="000000" w:themeColor="text1"/>
          <w:sz w:val="16"/>
          <w:szCs w:val="16"/>
          <w:vertAlign w:val="superscript"/>
        </w:rPr>
        <w:t>2</w:t>
      </w:r>
      <w:r w:rsidRPr="00507A31">
        <w:rPr>
          <w:color w:val="000000" w:themeColor="text1"/>
          <w:sz w:val="16"/>
          <w:szCs w:val="16"/>
        </w:rPr>
        <w:t>, (1953 г.)- 68631 м</w:t>
      </w:r>
      <w:r w:rsidRPr="00507A31">
        <w:rPr>
          <w:color w:val="000000" w:themeColor="text1"/>
          <w:sz w:val="16"/>
          <w:szCs w:val="16"/>
          <w:vertAlign w:val="superscript"/>
        </w:rPr>
        <w:t>2</w:t>
      </w:r>
      <w:r w:rsidRPr="00507A31">
        <w:rPr>
          <w:color w:val="000000" w:themeColor="text1"/>
          <w:sz w:val="16"/>
          <w:szCs w:val="16"/>
        </w:rPr>
        <w:t>; производственная (1939 г.)- 50940 м</w:t>
      </w:r>
      <w:r w:rsidRPr="00507A31">
        <w:rPr>
          <w:color w:val="000000" w:themeColor="text1"/>
          <w:sz w:val="16"/>
          <w:szCs w:val="16"/>
          <w:vertAlign w:val="superscript"/>
        </w:rPr>
        <w:t>2</w:t>
      </w:r>
      <w:r w:rsidRPr="00507A31">
        <w:rPr>
          <w:color w:val="000000" w:themeColor="text1"/>
          <w:sz w:val="16"/>
          <w:szCs w:val="16"/>
        </w:rPr>
        <w:t>, (1946 г.)- 18100 м</w:t>
      </w:r>
      <w:r w:rsidRPr="00507A31">
        <w:rPr>
          <w:color w:val="000000" w:themeColor="text1"/>
          <w:sz w:val="16"/>
          <w:szCs w:val="16"/>
          <w:vertAlign w:val="superscript"/>
        </w:rPr>
        <w:t>2</w:t>
      </w:r>
      <w:r w:rsidRPr="00507A31">
        <w:rPr>
          <w:color w:val="000000" w:themeColor="text1"/>
          <w:sz w:val="16"/>
          <w:szCs w:val="16"/>
        </w:rPr>
        <w:t>, (1947 г.)- 31427 м</w:t>
      </w:r>
      <w:r w:rsidRPr="00507A31">
        <w:rPr>
          <w:color w:val="000000" w:themeColor="text1"/>
          <w:sz w:val="16"/>
          <w:szCs w:val="16"/>
          <w:vertAlign w:val="superscript"/>
        </w:rPr>
        <w:t>2</w:t>
      </w:r>
      <w:r w:rsidRPr="00507A31">
        <w:rPr>
          <w:color w:val="000000" w:themeColor="text1"/>
          <w:sz w:val="16"/>
          <w:szCs w:val="16"/>
        </w:rPr>
        <w:t>, (1953 г.)- 54312 м</w:t>
      </w:r>
      <w:r w:rsidRPr="00507A31">
        <w:rPr>
          <w:color w:val="000000" w:themeColor="text1"/>
          <w:sz w:val="16"/>
          <w:szCs w:val="16"/>
          <w:vertAlign w:val="superscript"/>
        </w:rPr>
        <w:t>2</w:t>
      </w:r>
      <w:r w:rsidRPr="00507A31">
        <w:rPr>
          <w:color w:val="000000" w:themeColor="text1"/>
          <w:sz w:val="16"/>
          <w:szCs w:val="16"/>
        </w:rPr>
        <w:t>, вспомогательная (1953 г.)- 9723 м</w:t>
      </w:r>
      <w:r w:rsidRPr="00507A31">
        <w:rPr>
          <w:color w:val="000000" w:themeColor="text1"/>
          <w:sz w:val="16"/>
          <w:szCs w:val="16"/>
          <w:vertAlign w:val="superscript"/>
        </w:rPr>
        <w:t>2</w:t>
      </w:r>
      <w:r w:rsidRPr="00507A31">
        <w:rPr>
          <w:color w:val="000000" w:themeColor="text1"/>
          <w:sz w:val="16"/>
          <w:szCs w:val="16"/>
        </w:rPr>
        <w:t>, прочая (1953 г.)- 13165 м</w:t>
      </w:r>
      <w:r w:rsidRPr="00507A31">
        <w:rPr>
          <w:color w:val="000000" w:themeColor="text1"/>
          <w:sz w:val="16"/>
          <w:szCs w:val="16"/>
          <w:vertAlign w:val="superscript"/>
        </w:rPr>
        <w:t>2</w:t>
      </w:r>
      <w:r w:rsidRPr="00507A31">
        <w:rPr>
          <w:color w:val="000000" w:themeColor="text1"/>
          <w:sz w:val="16"/>
          <w:szCs w:val="16"/>
        </w:rPr>
        <w:t>.</w:t>
      </w:r>
    </w:p>
    <w:p w14:paraId="14EB19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(1939 г.)- 3620 чел., (1946 г.)- 1199 чел., (1947 г.)- 1920 чел., (1953 г.)- 3998 чел.</w:t>
      </w:r>
    </w:p>
    <w:p w14:paraId="1A4432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(1948 г.)- Пономарев, (01.1954 г.)- Приходченко.</w:t>
      </w:r>
    </w:p>
    <w:p w14:paraId="455AC4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(1948 г.)- Мазурук, (01.1954 г.)- Миргородский.</w:t>
      </w:r>
    </w:p>
    <w:p w14:paraId="46273A9E"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lastRenderedPageBreak/>
        <w:t>Производство: хгшоборудование:</w:t>
      </w:r>
      <w:r w:rsidRPr="00507A31">
        <w:rPr>
          <w:color w:val="000000" w:themeColor="text1"/>
          <w:sz w:val="16"/>
          <w:szCs w:val="16"/>
        </w:rPr>
        <w:t xml:space="preserve"> машины: большие ФВ-500, укороченные ФВ-80, -125, -250 (1947); автоклавы (-1947-53-); вальцы, резиносмеситель РС-2, вулканизационный котел, каландры, шприцмашина, фильтрпресс червячный, смесители, полимеризаторы, вакуум-фильтры; редукторы Ц0-40, ЦД-40, -50, -65, -75, - 85, -100, 5т-5н (1953); поверочные плиты (1947); свеклорезка (1953), кровати; стальное, чугунное, хромистое литье (1947) (11982).</w:t>
      </w:r>
    </w:p>
    <w:p w14:paraId="6A008CCC" w14:textId="77777777" w:rsidR="00537E5F" w:rsidRPr="00507A31" w:rsidRDefault="00537E5F" w:rsidP="00507A31">
      <w:pPr>
        <w:autoSpaceDE w:val="0"/>
        <w:autoSpaceDN w:val="0"/>
        <w:adjustRightInd w:val="0"/>
        <w:jc w:val="both"/>
        <w:rPr>
          <w:color w:val="000000" w:themeColor="text1"/>
          <w:sz w:val="16"/>
          <w:szCs w:val="16"/>
        </w:rPr>
      </w:pPr>
    </w:p>
    <w:p w14:paraId="322660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декабря 1930 был представлен:</w:t>
      </w:r>
    </w:p>
    <w:p w14:paraId="05493C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доклад зампреду 6/ХП</w:t>
      </w:r>
    </w:p>
    <w:p w14:paraId="65B2E0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ПРЕДСЕДАТЕЛЮ НТК УММ</w:t>
      </w:r>
    </w:p>
    <w:p w14:paraId="1A4D4D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результате проведенных мною разговоров с английски</w:t>
      </w:r>
      <w:r w:rsidRPr="00507A31">
        <w:rPr>
          <w:color w:val="000000" w:themeColor="text1"/>
          <w:sz w:val="16"/>
          <w:szCs w:val="16"/>
        </w:rPr>
        <w:softHyphen/>
        <w:t>ми инструкторами, последними мне были сообщены следую</w:t>
      </w:r>
      <w:r w:rsidRPr="00507A31">
        <w:rPr>
          <w:color w:val="000000" w:themeColor="text1"/>
          <w:sz w:val="16"/>
          <w:szCs w:val="16"/>
        </w:rPr>
        <w:softHyphen/>
        <w:t>щие сведения о 16-ти тонном танке Виккерса</w:t>
      </w:r>
    </w:p>
    <w:p w14:paraId="22993C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Танк уже испытан и признан лучшим образцом английских танков.</w:t>
      </w:r>
    </w:p>
    <w:p w14:paraId="6B9FF5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Общие размеры танка примерно равны размерам 12-ти тонного танка Виккерса марка П.</w:t>
      </w:r>
    </w:p>
    <w:p w14:paraId="729C71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Максимальная скорость движения 35 клм в час.</w:t>
      </w:r>
    </w:p>
    <w:p w14:paraId="76AE99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Бронирование: башня и вертикальные листы боевого отде</w:t>
      </w:r>
      <w:r w:rsidRPr="00507A31">
        <w:rPr>
          <w:color w:val="000000" w:themeColor="text1"/>
          <w:sz w:val="16"/>
          <w:szCs w:val="16"/>
        </w:rPr>
        <w:softHyphen/>
        <w:t>ления 17-18 мм.</w:t>
      </w:r>
    </w:p>
    <w:p w14:paraId="234388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Вооружение: в центральной башне — одна «большая» в боко</w:t>
      </w:r>
      <w:r w:rsidRPr="00507A31">
        <w:rPr>
          <w:color w:val="000000" w:themeColor="text1"/>
          <w:sz w:val="16"/>
          <w:szCs w:val="16"/>
        </w:rPr>
        <w:softHyphen/>
        <w:t>вых передних башенках — по 1 пулемету. Итого одна пушка и 2 пулемета.</w:t>
      </w:r>
    </w:p>
    <w:p w14:paraId="70D308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Команда: 2 офицера/или один/, 2 артимерийста, 2 пуле</w:t>
      </w:r>
      <w:r w:rsidRPr="00507A31">
        <w:rPr>
          <w:color w:val="000000" w:themeColor="text1"/>
          <w:sz w:val="16"/>
          <w:szCs w:val="16"/>
        </w:rPr>
        <w:softHyphen/>
        <w:t>метчика, 1 водитель.</w:t>
      </w:r>
    </w:p>
    <w:p w14:paraId="6AFC5F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Мотор воздушного охлаждения в 180 НР имеет пуск от инерционного стратера и от электростартера (последний — запасной) Пуск производится изнутри танка. Доступность к мотору хорошая.</w:t>
      </w:r>
    </w:p>
    <w:p w14:paraId="6EEEF7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Подвеска на каждую строну имеет по 7свечей с пружина</w:t>
      </w:r>
      <w:r w:rsidRPr="00507A31">
        <w:rPr>
          <w:color w:val="000000" w:themeColor="text1"/>
          <w:sz w:val="16"/>
          <w:szCs w:val="16"/>
        </w:rPr>
        <w:softHyphen/>
        <w:t>ми. Каждая свеча опирается на один свой каток. Катки при</w:t>
      </w:r>
      <w:r w:rsidRPr="00507A31">
        <w:rPr>
          <w:color w:val="000000" w:themeColor="text1"/>
          <w:sz w:val="16"/>
          <w:szCs w:val="16"/>
        </w:rPr>
        <w:softHyphen/>
        <w:t>мерно устройства шеститонного. Подвеска сообщает на хо</w:t>
      </w:r>
      <w:r w:rsidRPr="00507A31">
        <w:rPr>
          <w:color w:val="000000" w:themeColor="text1"/>
          <w:sz w:val="16"/>
          <w:szCs w:val="16"/>
        </w:rPr>
        <w:softHyphen/>
        <w:t>ду танка устойчивость не хуже чем у шеститонного танка.</w:t>
      </w:r>
    </w:p>
    <w:p w14:paraId="609C44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ведущие колеса задние.</w:t>
      </w:r>
    </w:p>
    <w:p w14:paraId="65F9DF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Гусеница мелко-звенчатая со с»емными привинтными шпорами. Ведение и направление гусеницы подобно шеститон</w:t>
      </w:r>
      <w:r w:rsidRPr="00507A31">
        <w:rPr>
          <w:color w:val="000000" w:themeColor="text1"/>
          <w:sz w:val="16"/>
          <w:szCs w:val="16"/>
        </w:rPr>
        <w:softHyphen/>
        <w:t>ному танку.- 11. Центральная башня имеет оптический прицел и оптичес</w:t>
      </w:r>
      <w:r w:rsidRPr="00507A31">
        <w:rPr>
          <w:color w:val="000000" w:themeColor="text1"/>
          <w:sz w:val="16"/>
          <w:szCs w:val="16"/>
        </w:rPr>
        <w:softHyphen/>
        <w:t>кое наблюдение.</w:t>
      </w:r>
    </w:p>
    <w:p w14:paraId="3E0D17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Место у водителя впереди по середине обеспечивает хоро</w:t>
      </w:r>
      <w:r w:rsidRPr="00507A31">
        <w:rPr>
          <w:color w:val="000000" w:themeColor="text1"/>
          <w:sz w:val="16"/>
          <w:szCs w:val="16"/>
        </w:rPr>
        <w:softHyphen/>
        <w:t>шую видимость для управления.</w:t>
      </w:r>
    </w:p>
    <w:p w14:paraId="174DF5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Трансмиссия — коробка скоростей и бортовые фрикционы. Коробка скоростей двух типов: оригинальная/запатентован</w:t>
      </w:r>
      <w:r w:rsidRPr="00507A31">
        <w:rPr>
          <w:color w:val="000000" w:themeColor="text1"/>
          <w:sz w:val="16"/>
          <w:szCs w:val="16"/>
        </w:rPr>
        <w:softHyphen/>
        <w:t>ная/и нормального типа.</w:t>
      </w:r>
    </w:p>
    <w:p w14:paraId="24BF23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Радиус действия тот же, что и у шеститонного танка.</w:t>
      </w:r>
    </w:p>
    <w:p w14:paraId="53B0AB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ПРИМЕЧАНИЕ: Сведения получены только после того, что переводчик заявил, что мы уже купили этот танк и ожидаем его получения.</w:t>
      </w:r>
    </w:p>
    <w:p w14:paraId="3BAD38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Сведения дали: инженер механик-моторист старший мастер и водитель, проводившие испытания этой машины.</w:t>
      </w:r>
    </w:p>
    <w:p w14:paraId="7F5136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Сведения о машине до сих пор засекречены.</w:t>
      </w:r>
    </w:p>
    <w:p w14:paraId="69AEF9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ПРИЛОЖЕНИЕ: схема плана и бокового вида танка.</w:t>
      </w:r>
    </w:p>
    <w:p w14:paraId="789E37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Ы В О Д: Присоединяясь к выводу указанных выше ин</w:t>
      </w:r>
      <w:r w:rsidRPr="00507A31">
        <w:rPr>
          <w:color w:val="000000" w:themeColor="text1"/>
          <w:sz w:val="16"/>
          <w:szCs w:val="16"/>
        </w:rPr>
        <w:softHyphen/>
        <w:t>структоров, что эта машина является лучшим образцом ан</w:t>
      </w:r>
      <w:r w:rsidRPr="00507A31">
        <w:rPr>
          <w:color w:val="000000" w:themeColor="text1"/>
          <w:sz w:val="16"/>
          <w:szCs w:val="16"/>
        </w:rPr>
        <w:softHyphen/>
        <w:t>глийских танков, считаю, что эта машина представляет максимальный интерес Красной Армии как лучший современ</w:t>
      </w:r>
      <w:r w:rsidRPr="00507A31">
        <w:rPr>
          <w:color w:val="000000" w:themeColor="text1"/>
          <w:sz w:val="16"/>
          <w:szCs w:val="16"/>
        </w:rPr>
        <w:softHyphen/>
        <w:t>ный тип маневренного среднего танка.</w:t>
      </w:r>
    </w:p>
    <w:p w14:paraId="68C68B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Вследствие этого покупка этой машины представляет бесценный интерес. Эта машина в настоящее или ближайшее время выйдет а армейские части и следовательно секрет</w:t>
      </w:r>
      <w:r w:rsidRPr="00507A31">
        <w:rPr>
          <w:color w:val="000000" w:themeColor="text1"/>
          <w:sz w:val="16"/>
          <w:szCs w:val="16"/>
        </w:rPr>
        <w:softHyphen/>
        <w:t>ность с нея будет снята.</w:t>
      </w:r>
    </w:p>
    <w:p w14:paraId="23E433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Нач-к Испыт. группы: /ГИНЗБУРГ/ (10733,134).</w:t>
      </w:r>
    </w:p>
    <w:p w14:paraId="049D83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9B96237" w14:textId="77777777" w:rsidR="000F1CB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7F99F50" w14:textId="77777777" w:rsidR="000F1CB9" w:rsidRPr="00507A31" w:rsidRDefault="000F1CB9" w:rsidP="00507A31">
      <w:pPr>
        <w:autoSpaceDE w:val="0"/>
        <w:autoSpaceDN w:val="0"/>
        <w:adjustRightInd w:val="0"/>
        <w:jc w:val="both"/>
        <w:rPr>
          <w:iCs/>
          <w:color w:val="000000" w:themeColor="text1"/>
          <w:sz w:val="16"/>
          <w:szCs w:val="16"/>
        </w:rPr>
      </w:pPr>
    </w:p>
    <w:p w14:paraId="4E6196E7" w14:textId="77777777" w:rsidR="000F1CB9" w:rsidRPr="00507A31" w:rsidRDefault="000F1CB9" w:rsidP="00507A31">
      <w:pPr>
        <w:jc w:val="both"/>
        <w:rPr>
          <w:color w:val="000000" w:themeColor="text1"/>
          <w:sz w:val="16"/>
          <w:szCs w:val="16"/>
        </w:rPr>
      </w:pPr>
      <w:r w:rsidRPr="00507A31">
        <w:rPr>
          <w:bCs/>
          <w:color w:val="000000" w:themeColor="text1"/>
          <w:sz w:val="16"/>
          <w:szCs w:val="16"/>
        </w:rPr>
        <w:t>6 декабря</w:t>
      </w:r>
      <w:r w:rsidRPr="00507A31">
        <w:rPr>
          <w:color w:val="000000" w:themeColor="text1"/>
          <w:sz w:val="16"/>
          <w:szCs w:val="16"/>
        </w:rPr>
        <w:t xml:space="preserve"> в 1930 году секретариат ЦК ВКП(б) принял постановление о фельетонах Демьяна Бедного "Слезай с печки" и "Без пощады". Они были осуждены за "фальшивые нотки, выразившиеся в огульном охаивании "России и русского", в объявлении "лени" и "сидения на печи" чуть ли не национальной чертой русских (14852).</w:t>
      </w:r>
    </w:p>
    <w:p w14:paraId="10E709C4" w14:textId="77777777" w:rsidR="000F1CB9" w:rsidRPr="00507A31" w:rsidRDefault="000F1CB9" w:rsidP="00507A31">
      <w:pPr>
        <w:jc w:val="both"/>
        <w:rPr>
          <w:color w:val="000000" w:themeColor="text1"/>
          <w:sz w:val="16"/>
          <w:szCs w:val="16"/>
        </w:rPr>
      </w:pPr>
    </w:p>
    <w:p w14:paraId="0A6E629F" w14:textId="77777777" w:rsidR="003670F5" w:rsidRPr="00507A31" w:rsidRDefault="003670F5" w:rsidP="00507A31">
      <w:pPr>
        <w:jc w:val="both"/>
        <w:rPr>
          <w:color w:val="000000" w:themeColor="text1"/>
          <w:sz w:val="16"/>
          <w:szCs w:val="16"/>
        </w:rPr>
      </w:pPr>
      <w:r w:rsidRPr="00507A31">
        <w:rPr>
          <w:color w:val="000000" w:themeColor="text1"/>
          <w:sz w:val="16"/>
          <w:szCs w:val="16"/>
        </w:rPr>
        <w:t>6 декабря 1930 г.</w:t>
      </w:r>
    </w:p>
    <w:p w14:paraId="47CA2D00" w14:textId="77777777" w:rsidR="003670F5" w:rsidRPr="00507A31" w:rsidRDefault="003670F5" w:rsidP="00507A31">
      <w:pPr>
        <w:jc w:val="both"/>
        <w:rPr>
          <w:color w:val="000000" w:themeColor="text1"/>
          <w:sz w:val="16"/>
          <w:szCs w:val="16"/>
        </w:rPr>
      </w:pPr>
      <w:r w:rsidRPr="00507A31">
        <w:rPr>
          <w:color w:val="000000" w:themeColor="text1"/>
          <w:sz w:val="16"/>
          <w:szCs w:val="16"/>
        </w:rPr>
        <w:t>Постановление Политбюро ЦК ВКП(б) «о приговоре» по «делу “Промпартии”». Из протокола № 18 «экстренного заседания» заседания Политбюро от 6 декабря 1930 г.</w:t>
      </w:r>
    </w:p>
    <w:p w14:paraId="322D3E87" w14:textId="77777777" w:rsidR="003670F5" w:rsidRPr="00507A31" w:rsidRDefault="003670F5" w:rsidP="00507A31">
      <w:pPr>
        <w:jc w:val="both"/>
        <w:rPr>
          <w:color w:val="000000" w:themeColor="text1"/>
          <w:sz w:val="16"/>
          <w:szCs w:val="16"/>
        </w:rPr>
      </w:pPr>
      <w:r w:rsidRPr="00507A31">
        <w:rPr>
          <w:color w:val="000000" w:themeColor="text1"/>
          <w:sz w:val="16"/>
          <w:szCs w:val="16"/>
        </w:rPr>
        <w:t>Источник: </w:t>
      </w:r>
    </w:p>
    <w:p w14:paraId="0CC49F9B" w14:textId="77777777" w:rsidR="003670F5" w:rsidRPr="00507A31" w:rsidRDefault="003670F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E2BB9A0" w14:textId="77777777" w:rsidR="003670F5" w:rsidRPr="00507A31" w:rsidRDefault="003670F5" w:rsidP="00507A31">
      <w:pPr>
        <w:jc w:val="both"/>
        <w:rPr>
          <w:color w:val="000000" w:themeColor="text1"/>
          <w:sz w:val="16"/>
          <w:szCs w:val="16"/>
        </w:rPr>
      </w:pPr>
      <w:r w:rsidRPr="00507A31">
        <w:rPr>
          <w:color w:val="000000" w:themeColor="text1"/>
          <w:sz w:val="16"/>
          <w:szCs w:val="16"/>
        </w:rPr>
        <w:t>от 6 декабря 1930 г.</w:t>
      </w:r>
    </w:p>
    <w:p w14:paraId="1E7D116F" w14:textId="77777777" w:rsidR="003670F5" w:rsidRPr="00507A31" w:rsidRDefault="003670F5" w:rsidP="00507A31">
      <w:pPr>
        <w:jc w:val="both"/>
        <w:rPr>
          <w:color w:val="000000" w:themeColor="text1"/>
          <w:sz w:val="16"/>
          <w:szCs w:val="16"/>
        </w:rPr>
      </w:pPr>
      <w:r w:rsidRPr="00507A31">
        <w:rPr>
          <w:color w:val="000000" w:themeColor="text1"/>
          <w:sz w:val="16"/>
          <w:szCs w:val="16"/>
        </w:rPr>
        <w:t>СТРОГО СЕКРЕТНО</w:t>
      </w:r>
    </w:p>
    <w:p w14:paraId="3F128ECA" w14:textId="77777777" w:rsidR="003670F5" w:rsidRPr="00507A31" w:rsidRDefault="003670F5" w:rsidP="00507A31">
      <w:pPr>
        <w:jc w:val="both"/>
        <w:rPr>
          <w:color w:val="000000" w:themeColor="text1"/>
          <w:sz w:val="16"/>
          <w:szCs w:val="16"/>
        </w:rPr>
      </w:pPr>
      <w:r w:rsidRPr="00507A31">
        <w:rPr>
          <w:color w:val="000000" w:themeColor="text1"/>
          <w:sz w:val="16"/>
          <w:szCs w:val="16"/>
        </w:rPr>
        <w:t>Решение Политбюро от 6. XII. 30 г.</w:t>
      </w:r>
    </w:p>
    <w:p w14:paraId="45FCAF74" w14:textId="77777777" w:rsidR="003670F5" w:rsidRPr="00507A31" w:rsidRDefault="003670F5" w:rsidP="00507A31">
      <w:pPr>
        <w:jc w:val="both"/>
        <w:rPr>
          <w:color w:val="000000" w:themeColor="text1"/>
          <w:sz w:val="16"/>
          <w:szCs w:val="16"/>
        </w:rPr>
      </w:pPr>
      <w:r w:rsidRPr="00507A31">
        <w:rPr>
          <w:color w:val="000000" w:themeColor="text1"/>
          <w:sz w:val="16"/>
          <w:szCs w:val="16"/>
        </w:rPr>
        <w:t>Предложение комиссии о приговоре по делу вредительской группы Рамзина.</w:t>
      </w:r>
    </w:p>
    <w:p w14:paraId="09E3C757" w14:textId="77777777" w:rsidR="003670F5" w:rsidRPr="00507A31" w:rsidRDefault="003670F5" w:rsidP="00507A31">
      <w:pPr>
        <w:jc w:val="both"/>
        <w:rPr>
          <w:color w:val="000000" w:themeColor="text1"/>
          <w:sz w:val="16"/>
          <w:szCs w:val="16"/>
        </w:rPr>
      </w:pPr>
      <w:r w:rsidRPr="00507A31">
        <w:rPr>
          <w:color w:val="000000" w:themeColor="text1"/>
          <w:sz w:val="16"/>
          <w:szCs w:val="16"/>
        </w:rPr>
        <w:t>Принять предложение комиссии ЦК.</w:t>
      </w:r>
    </w:p>
    <w:p w14:paraId="0263120D" w14:textId="77777777" w:rsidR="003670F5" w:rsidRPr="00507A31" w:rsidRDefault="003670F5" w:rsidP="00507A31">
      <w:pPr>
        <w:jc w:val="both"/>
        <w:rPr>
          <w:color w:val="000000" w:themeColor="text1"/>
          <w:sz w:val="16"/>
          <w:szCs w:val="16"/>
        </w:rPr>
      </w:pPr>
      <w:r w:rsidRPr="00507A31">
        <w:rPr>
          <w:color w:val="000000" w:themeColor="text1"/>
          <w:sz w:val="16"/>
          <w:szCs w:val="16"/>
        </w:rPr>
        <w:t>СЕКРЕТАРЬ ЦК</w:t>
      </w:r>
    </w:p>
    <w:p w14:paraId="2DB82E1A" w14:textId="77777777" w:rsidR="003670F5" w:rsidRPr="00507A31" w:rsidRDefault="003670F5" w:rsidP="00507A31">
      <w:pPr>
        <w:jc w:val="both"/>
        <w:rPr>
          <w:color w:val="000000" w:themeColor="text1"/>
          <w:sz w:val="16"/>
          <w:szCs w:val="16"/>
        </w:rPr>
      </w:pPr>
      <w:r w:rsidRPr="00507A31">
        <w:rPr>
          <w:color w:val="000000" w:themeColor="text1"/>
          <w:sz w:val="16"/>
          <w:szCs w:val="16"/>
        </w:rPr>
        <w:t>Д. 356. Л. 50. Машинописная выписка на бланке ЦК ВКП(б). Номер протокола «№ П18/2рс» и дата «10.XII.1930 г.» впечатаны в графы бланка. Текст «предложения комиссии ЦК» в деле отсутствует.</w:t>
      </w:r>
    </w:p>
    <w:p w14:paraId="0DCD69D3" w14:textId="77777777" w:rsidR="003670F5" w:rsidRPr="00507A31" w:rsidRDefault="003670F5" w:rsidP="00507A31">
      <w:pPr>
        <w:jc w:val="both"/>
        <w:rPr>
          <w:color w:val="000000" w:themeColor="text1"/>
          <w:sz w:val="16"/>
          <w:szCs w:val="16"/>
        </w:rPr>
      </w:pPr>
      <w:r w:rsidRPr="00507A31">
        <w:rPr>
          <w:color w:val="000000" w:themeColor="text1"/>
          <w:sz w:val="16"/>
          <w:szCs w:val="16"/>
        </w:rPr>
        <w:t>РГАСПИ. Ф. 17. On. 3. Д. 807. Л. 1. «Подписной» протокол № 18 экстренного заседания Политбюро ЦК ВКП(б) от 6 декабря 1930 г. Присутствовали: «Члены ЦК ВКП: т.т. Ворошилов, Калинин, Куйбышев, Молотов, Рыков, Рудзутак, Сталин. Кандидаты в члены ПБ: тов. Микоян. Члены президиума] ЦКК: т.т. Акулов, Орджоникидзе, Шкирятов, Ярославский». Текст пунктов «[Слушали:] — [Постановили:]» совпадает с текстом публикуемого документа. Машинописная копия того времени, заверенная печатью ЦК В КП (б), подпись-факсимиле И. В. Сталина (18654).</w:t>
      </w:r>
    </w:p>
    <w:p w14:paraId="1C618DFC" w14:textId="77777777" w:rsidR="003670F5" w:rsidRPr="00507A31" w:rsidRDefault="003670F5" w:rsidP="00507A31">
      <w:pPr>
        <w:jc w:val="both"/>
        <w:rPr>
          <w:color w:val="000000" w:themeColor="text1"/>
          <w:sz w:val="16"/>
          <w:szCs w:val="16"/>
        </w:rPr>
      </w:pPr>
    </w:p>
    <w:p w14:paraId="6590B737" w14:textId="77777777" w:rsidR="003670F5" w:rsidRPr="00507A31" w:rsidRDefault="003670F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7BD19B6F" w14:textId="77777777" w:rsidR="003670F5" w:rsidRPr="00507A31" w:rsidRDefault="003670F5" w:rsidP="00507A31">
      <w:pPr>
        <w:autoSpaceDE w:val="0"/>
        <w:autoSpaceDN w:val="0"/>
        <w:adjustRightInd w:val="0"/>
        <w:jc w:val="both"/>
        <w:rPr>
          <w:iCs/>
          <w:color w:val="000000" w:themeColor="text1"/>
          <w:sz w:val="16"/>
          <w:szCs w:val="16"/>
        </w:rPr>
      </w:pPr>
    </w:p>
    <w:p w14:paraId="3344E517" w14:textId="77777777" w:rsidR="003670F5" w:rsidRPr="00507A31" w:rsidRDefault="003670F5" w:rsidP="00507A31">
      <w:pPr>
        <w:jc w:val="both"/>
        <w:rPr>
          <w:bCs/>
          <w:color w:val="000000" w:themeColor="text1"/>
          <w:sz w:val="16"/>
          <w:szCs w:val="16"/>
        </w:rPr>
      </w:pPr>
      <w:r w:rsidRPr="00507A31">
        <w:rPr>
          <w:color w:val="000000" w:themeColor="text1"/>
          <w:sz w:val="16"/>
          <w:szCs w:val="16"/>
        </w:rPr>
        <w:t>6 декабря 1930 г.</w:t>
      </w:r>
    </w:p>
    <w:p w14:paraId="75156F41" w14:textId="77777777" w:rsidR="003670F5" w:rsidRPr="00507A31" w:rsidRDefault="003670F5" w:rsidP="00507A31">
      <w:pPr>
        <w:jc w:val="both"/>
        <w:rPr>
          <w:bCs/>
          <w:color w:val="000000" w:themeColor="text1"/>
          <w:sz w:val="16"/>
          <w:szCs w:val="16"/>
        </w:rPr>
      </w:pPr>
      <w:r w:rsidRPr="00507A31">
        <w:rPr>
          <w:color w:val="000000" w:themeColor="text1"/>
          <w:sz w:val="16"/>
          <w:szCs w:val="16"/>
        </w:rPr>
        <w:t>Телеграмма уполномоченного ВОКС во Франции В. Н. Баркова председателю ВОКС Ф. Н. Петрову о деятельности французского Общества сближения с СССР. 6 декабря 1930 г.</w:t>
      </w:r>
    </w:p>
    <w:p w14:paraId="525A10E4" w14:textId="77777777" w:rsidR="003670F5" w:rsidRPr="00507A31" w:rsidRDefault="003670F5" w:rsidP="00507A31">
      <w:pPr>
        <w:jc w:val="both"/>
        <w:rPr>
          <w:bCs/>
          <w:color w:val="000000" w:themeColor="text1"/>
          <w:sz w:val="16"/>
          <w:szCs w:val="16"/>
        </w:rPr>
      </w:pPr>
      <w:r w:rsidRPr="00507A31">
        <w:rPr>
          <w:bCs/>
          <w:color w:val="000000" w:themeColor="text1"/>
          <w:sz w:val="16"/>
          <w:szCs w:val="16"/>
        </w:rPr>
        <w:t>Источник: </w:t>
      </w:r>
    </w:p>
    <w:p w14:paraId="6446D377" w14:textId="77777777" w:rsidR="003670F5" w:rsidRPr="00507A31" w:rsidRDefault="003670F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C2B77DE" w14:textId="77777777" w:rsidR="003670F5" w:rsidRPr="00507A31" w:rsidRDefault="003670F5" w:rsidP="00507A31">
      <w:pPr>
        <w:jc w:val="both"/>
        <w:rPr>
          <w:bCs/>
          <w:color w:val="000000" w:themeColor="text1"/>
          <w:sz w:val="16"/>
          <w:szCs w:val="16"/>
        </w:rPr>
      </w:pPr>
      <w:r w:rsidRPr="00507A31">
        <w:rPr>
          <w:bCs/>
          <w:color w:val="000000" w:themeColor="text1"/>
          <w:sz w:val="16"/>
          <w:szCs w:val="16"/>
        </w:rPr>
        <w:t>Архив: </w:t>
      </w:r>
    </w:p>
    <w:p w14:paraId="7AA227E2" w14:textId="77777777" w:rsidR="003670F5" w:rsidRPr="00507A31" w:rsidRDefault="003670F5" w:rsidP="00507A31">
      <w:pPr>
        <w:jc w:val="both"/>
        <w:rPr>
          <w:color w:val="000000" w:themeColor="text1"/>
          <w:sz w:val="16"/>
          <w:szCs w:val="16"/>
        </w:rPr>
      </w:pPr>
      <w:r w:rsidRPr="00507A31">
        <w:rPr>
          <w:color w:val="000000" w:themeColor="text1"/>
          <w:sz w:val="16"/>
          <w:szCs w:val="16"/>
        </w:rPr>
        <w:t>ГА РФ. ф. P-5283. Oп. 1. Д. 147. Л. 128</w:t>
      </w:r>
    </w:p>
    <w:p w14:paraId="39E0F7B2" w14:textId="77777777" w:rsidR="003670F5" w:rsidRPr="00507A31" w:rsidRDefault="003670F5" w:rsidP="00507A31">
      <w:pPr>
        <w:pStyle w:val="rteright"/>
        <w:spacing w:before="0" w:after="0"/>
        <w:jc w:val="both"/>
        <w:rPr>
          <w:color w:val="000000" w:themeColor="text1"/>
          <w:sz w:val="16"/>
          <w:szCs w:val="16"/>
        </w:rPr>
      </w:pPr>
      <w:r w:rsidRPr="00507A31">
        <w:rPr>
          <w:color w:val="000000" w:themeColor="text1"/>
          <w:sz w:val="16"/>
          <w:szCs w:val="16"/>
        </w:rPr>
        <w:t>Не позднее 6 декабря 1930 г.</w:t>
      </w:r>
    </w:p>
    <w:p w14:paraId="068B4567" w14:textId="77777777" w:rsidR="003670F5" w:rsidRPr="00507A31" w:rsidRDefault="003670F5" w:rsidP="00507A31">
      <w:pPr>
        <w:pStyle w:val="ae"/>
        <w:spacing w:before="0" w:after="0"/>
        <w:jc w:val="both"/>
        <w:rPr>
          <w:color w:val="000000" w:themeColor="text1"/>
          <w:sz w:val="16"/>
          <w:szCs w:val="16"/>
        </w:rPr>
      </w:pPr>
      <w:r w:rsidRPr="00507A31">
        <w:rPr>
          <w:color w:val="000000" w:themeColor="text1"/>
          <w:sz w:val="16"/>
          <w:szCs w:val="16"/>
        </w:rPr>
        <w:t>тов. Петрову.</w:t>
      </w:r>
    </w:p>
    <w:p w14:paraId="27F23CD0"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Уважаемый товарищ,</w:t>
      </w:r>
    </w:p>
    <w:p w14:paraId="1313BA7A"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1.  Очень рады, что вопрос о платном секретаре решен, как Вы пишете, в положительном смысле. Однако, мы хотели бы иметь более точный ответ: сколько Вы намерены платить этому секретарю, и с какого момента сумеете регулярно посылать соответствующую сумму. Квалифицированному секретарю необходимо платить долларов 70. Во всяком случае, секретаря подыскиваем. То же самое сообщите и относительно Бельгии.</w:t>
      </w:r>
    </w:p>
    <w:p w14:paraId="76E595A9"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2.  Ваше письмо об организации кампании в связи с процессом «индустриальной партии» — получил. Кое-что начали делать. Однако, народ в «Рюсси Нав» трусливый и аполитичный. Все же постараемся раскачать эту организацию.</w:t>
      </w:r>
    </w:p>
    <w:p w14:paraId="60AB6F33"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3.  6 декабря первая публичная демонстрация «Турксиба» в одном из больших зал[ов] Парижа. Рожер Франк сделает доклад об СССР, коснется процесса.</w:t>
      </w:r>
    </w:p>
    <w:p w14:paraId="2BD5ECA4"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4.  Обещанное письмо об участии в выставке «независимых» так и не получили, хотя телеграмму имеем.</w:t>
      </w:r>
    </w:p>
    <w:p w14:paraId="48E425BF"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В. Барков</w:t>
      </w:r>
    </w:p>
    <w:p w14:paraId="7388E5E1" w14:textId="77777777" w:rsidR="003670F5" w:rsidRPr="00507A31" w:rsidRDefault="003670F5"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P-5283. Oп. 1. Д. 147. Л. 128. Машинописная копия того времени. Вверху слева напечатано «тов. Петрову». Рядом с машинописной подписью В. Баркова написано от руки «В. Г. Сухов». Номер документа «В8 427/с» и дата «9.ХИ.30 г.» написаны от руки внизу (справа). Внизу (слева) машинописью адрес рассылки: «т. Петрову — 1, в Отдел печати НКИД — 1, в дело — 1». Датируется по содержанию документа (18918).</w:t>
      </w:r>
    </w:p>
    <w:p w14:paraId="65E7CC3E" w14:textId="77777777" w:rsidR="003670F5" w:rsidRPr="00507A31" w:rsidRDefault="003670F5" w:rsidP="00507A31">
      <w:pPr>
        <w:jc w:val="both"/>
        <w:rPr>
          <w:color w:val="000000" w:themeColor="text1"/>
          <w:sz w:val="16"/>
          <w:szCs w:val="16"/>
        </w:rPr>
      </w:pPr>
    </w:p>
    <w:p w14:paraId="089348C2" w14:textId="77777777" w:rsidR="003670F5" w:rsidRPr="00507A31" w:rsidRDefault="003670F5" w:rsidP="00507A31">
      <w:pPr>
        <w:jc w:val="both"/>
        <w:rPr>
          <w:bCs/>
          <w:color w:val="000000" w:themeColor="text1"/>
          <w:sz w:val="16"/>
          <w:szCs w:val="16"/>
        </w:rPr>
      </w:pPr>
      <w:r w:rsidRPr="00507A31">
        <w:rPr>
          <w:color w:val="000000" w:themeColor="text1"/>
          <w:sz w:val="16"/>
          <w:szCs w:val="16"/>
        </w:rPr>
        <w:t>6 декабря 1930 г.</w:t>
      </w:r>
    </w:p>
    <w:p w14:paraId="155AF2FA" w14:textId="77777777" w:rsidR="003670F5" w:rsidRPr="00507A31" w:rsidRDefault="003670F5" w:rsidP="00507A31">
      <w:pPr>
        <w:jc w:val="both"/>
        <w:rPr>
          <w:bCs/>
          <w:color w:val="000000" w:themeColor="text1"/>
          <w:sz w:val="16"/>
          <w:szCs w:val="16"/>
        </w:rPr>
      </w:pPr>
      <w:r w:rsidRPr="00507A31">
        <w:rPr>
          <w:color w:val="000000" w:themeColor="text1"/>
          <w:sz w:val="16"/>
          <w:szCs w:val="16"/>
        </w:rPr>
        <w:lastRenderedPageBreak/>
        <w:t>Письмо Д. Г. Штерна Ж. Л. Аренсу о новостях в области внешней политики Германии и успехе в продвижении советской точки зрения на процесс «Промпартии». 6 декабря 1930 г.</w:t>
      </w:r>
    </w:p>
    <w:p w14:paraId="5D2812A5" w14:textId="77777777" w:rsidR="003670F5" w:rsidRPr="00507A31" w:rsidRDefault="003670F5" w:rsidP="00507A31">
      <w:pPr>
        <w:jc w:val="both"/>
        <w:rPr>
          <w:bCs/>
          <w:color w:val="000000" w:themeColor="text1"/>
          <w:sz w:val="16"/>
          <w:szCs w:val="16"/>
        </w:rPr>
      </w:pPr>
      <w:r w:rsidRPr="00507A31">
        <w:rPr>
          <w:bCs/>
          <w:color w:val="000000" w:themeColor="text1"/>
          <w:sz w:val="16"/>
          <w:szCs w:val="16"/>
        </w:rPr>
        <w:t>Источник: </w:t>
      </w:r>
    </w:p>
    <w:p w14:paraId="65603C20" w14:textId="77777777" w:rsidR="003670F5" w:rsidRPr="00507A31" w:rsidRDefault="003670F5"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7EF7EF4" w14:textId="77777777" w:rsidR="003670F5" w:rsidRPr="00507A31" w:rsidRDefault="003670F5" w:rsidP="00507A31">
      <w:pPr>
        <w:jc w:val="both"/>
        <w:rPr>
          <w:bCs/>
          <w:color w:val="000000" w:themeColor="text1"/>
          <w:sz w:val="16"/>
          <w:szCs w:val="16"/>
        </w:rPr>
      </w:pPr>
      <w:r w:rsidRPr="00507A31">
        <w:rPr>
          <w:bCs/>
          <w:color w:val="000000" w:themeColor="text1"/>
          <w:sz w:val="16"/>
          <w:szCs w:val="16"/>
        </w:rPr>
        <w:t>Архив: </w:t>
      </w:r>
    </w:p>
    <w:p w14:paraId="79E61C9F" w14:textId="77777777" w:rsidR="003670F5" w:rsidRPr="00507A31" w:rsidRDefault="003670F5" w:rsidP="00507A31">
      <w:pPr>
        <w:jc w:val="both"/>
        <w:rPr>
          <w:color w:val="000000" w:themeColor="text1"/>
          <w:sz w:val="16"/>
          <w:szCs w:val="16"/>
        </w:rPr>
      </w:pPr>
      <w:r w:rsidRPr="00507A31">
        <w:rPr>
          <w:color w:val="000000" w:themeColor="text1"/>
          <w:sz w:val="16"/>
          <w:szCs w:val="16"/>
        </w:rPr>
        <w:t>АВП РФ. Ф. 056. On. 15. П.31.Д. 9. Л. 93-93 об.</w:t>
      </w:r>
    </w:p>
    <w:p w14:paraId="0BE4F2A1" w14:textId="77777777" w:rsidR="003670F5" w:rsidRPr="00507A31" w:rsidRDefault="003670F5" w:rsidP="00507A31">
      <w:pPr>
        <w:pStyle w:val="ae"/>
        <w:spacing w:before="0" w:after="0"/>
        <w:jc w:val="both"/>
        <w:rPr>
          <w:color w:val="000000" w:themeColor="text1"/>
          <w:sz w:val="16"/>
          <w:szCs w:val="16"/>
        </w:rPr>
      </w:pPr>
      <w:r w:rsidRPr="00507A31">
        <w:rPr>
          <w:color w:val="000000" w:themeColor="text1"/>
          <w:sz w:val="16"/>
          <w:szCs w:val="16"/>
        </w:rPr>
        <w:t>6 декабря 1930 г.</w:t>
      </w:r>
    </w:p>
    <w:p w14:paraId="693CCF7F" w14:textId="77777777" w:rsidR="003670F5" w:rsidRPr="00507A31" w:rsidRDefault="003670F5" w:rsidP="00507A31">
      <w:pPr>
        <w:pStyle w:val="ae"/>
        <w:spacing w:before="0" w:after="0"/>
        <w:jc w:val="both"/>
        <w:rPr>
          <w:color w:val="000000" w:themeColor="text1"/>
          <w:sz w:val="16"/>
          <w:szCs w:val="16"/>
        </w:rPr>
      </w:pPr>
      <w:r w:rsidRPr="00507A31">
        <w:rPr>
          <w:color w:val="000000" w:themeColor="text1"/>
          <w:sz w:val="16"/>
          <w:szCs w:val="16"/>
        </w:rPr>
        <w:t>Секретно</w:t>
      </w:r>
    </w:p>
    <w:p w14:paraId="5CF12023" w14:textId="77777777" w:rsidR="003670F5" w:rsidRPr="00507A31" w:rsidRDefault="003670F5" w:rsidP="00507A31">
      <w:pPr>
        <w:pStyle w:val="ae"/>
        <w:spacing w:before="0" w:after="0"/>
        <w:jc w:val="both"/>
        <w:rPr>
          <w:color w:val="000000" w:themeColor="text1"/>
          <w:sz w:val="16"/>
          <w:szCs w:val="16"/>
        </w:rPr>
      </w:pPr>
      <w:r w:rsidRPr="00507A31">
        <w:rPr>
          <w:color w:val="000000" w:themeColor="text1"/>
          <w:sz w:val="16"/>
          <w:szCs w:val="16"/>
        </w:rPr>
        <w:t>т. Аренсу, копии: т.т. Литвинову, Крестинскому</w:t>
      </w:r>
    </w:p>
    <w:p w14:paraId="296AD939"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1.  В прошлом письме я в очень осторожной форме обращал Ваше внимание на некоторые явления в области внешнеполитических тенденций Германии. В настоящее время необходимо отметить дополнительно следующее:</w:t>
      </w:r>
    </w:p>
    <w:p w14:paraId="031C38E0"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3 декабря состоялся годовой банкет в «Герренклубе», на котором с одной стороны участвовали такие антисоветские деятели, как граф Альвенслебен, граф Кайзерлинк, суперинтинедент Каров Зольмсен; с другой же стороны: оба Гинденбурга, Мейсснер, Брюнинг, Тренер, Дитрих, Шиле, Гаммерштейн, Шлейхер, Хассе, Гейе, Штюльпнагель, Гесслер, посол Надольный, посланник Франк, Шмидт-Отт. На основании этого факта, разумеется, нельзя делать каких[-]либо заключений, тем не менее внимания он заслуживает. «Геррен-Клуб» нельзя рассматривать, как официальную антисоветскую организацию, однако «Союз защиты западной культуры» вышел из его лона. Далее обращаю Ваше внимание на статью Вулле (руководитель «фелькише» до их упадка) в его органе «Дейтше Нахрихтен». Он подчеркивает, что за кулисами происходят важные переговоры, ожидается новая активность Польши в отношении Литвы, вновь делается актуальной советская проблема. Далее обращается особое внимание на речь Гаммерштейна и статьи Рехберга в «Ла Франс Милитер». Одновременно указывается на тенденцию военного сближения между Францией и Германией (статью прилагаю). Указания Вулле, конечно, требуют осторожного отношения, тем не менее у меня все более укрепляется представление, что за кулисами какой[-]то новый зондаж происходит и именно по линии военной. В связи с этим следует внимательно относиться ко всем проявлениям германской внешнеполитической активности, в частности и к изложенным мною в прошлом и настоящем письмах моментам.</w:t>
      </w:r>
    </w:p>
    <w:p w14:paraId="6CBEA2B1"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2.   Мне удалось установить, что автором статьи в «Хейматдинст», о которой я сообщал с прошлой почтой[,] является крупный чиновник прусского министерства внутренних дел Вейхман, в конце июля получивший у нас дипвизу. Одновременно оказалось, что Вейхман 12 ноября делал доклад о своей поездке в СССР в Республиканском судебном Союзе. Доклад был также составлен в самых враждебных и злостных тонах.</w:t>
      </w:r>
    </w:p>
    <w:p w14:paraId="68745EC8"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3.   Ганс Вейнберг напечатал в [«]Дортмундер Генераль Анцейгер[»] в высшей степени положительную статью о процессе, газета поместила ее без каких[-]либо оговорок. В статье дается просто восторженное описание нашего суда.</w:t>
      </w:r>
    </w:p>
    <w:p w14:paraId="53650096"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4.   Имел письмо от Гака, он видимо доволен поездкой.</w:t>
      </w:r>
    </w:p>
    <w:p w14:paraId="64D463D7"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Д. Штерн</w:t>
      </w:r>
    </w:p>
    <w:p w14:paraId="430717C8" w14:textId="77777777" w:rsidR="003670F5" w:rsidRPr="00507A31" w:rsidRDefault="003670F5" w:rsidP="00507A31">
      <w:pPr>
        <w:pStyle w:val="rtejustify"/>
        <w:spacing w:before="0" w:after="0"/>
        <w:rPr>
          <w:color w:val="000000" w:themeColor="text1"/>
          <w:sz w:val="16"/>
          <w:szCs w:val="16"/>
        </w:rPr>
      </w:pPr>
      <w:r w:rsidRPr="00507A31">
        <w:rPr>
          <w:color w:val="000000" w:themeColor="text1"/>
          <w:sz w:val="16"/>
          <w:szCs w:val="16"/>
        </w:rPr>
        <w:t>п. с. Телеграмма относительно моего разговора с Дитмаром, была мне передана с большим опозданием, вследствие чего я уже не мог встретиться с ним.</w:t>
      </w:r>
    </w:p>
    <w:p w14:paraId="022823FC" w14:textId="77777777" w:rsidR="003670F5" w:rsidRPr="00507A31" w:rsidRDefault="003670F5" w:rsidP="00507A31">
      <w:pPr>
        <w:pStyle w:val="ae"/>
        <w:spacing w:before="0" w:after="0"/>
        <w:jc w:val="both"/>
        <w:rPr>
          <w:color w:val="000000" w:themeColor="text1"/>
          <w:sz w:val="16"/>
          <w:szCs w:val="16"/>
        </w:rPr>
      </w:pPr>
      <w:r w:rsidRPr="00507A31">
        <w:rPr>
          <w:color w:val="000000" w:themeColor="text1"/>
          <w:sz w:val="16"/>
          <w:szCs w:val="16"/>
        </w:rPr>
        <w:t>Д. Штерн</w:t>
      </w:r>
    </w:p>
    <w:p w14:paraId="58F9233B" w14:textId="77777777" w:rsidR="003670F5" w:rsidRPr="00507A31" w:rsidRDefault="003670F5"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П.31.Д. 9. Л. 93-93 об. Машинописный подлинник на бланке Полпредства СССР в Германии, подпись Штерна — автограф. Гриф секретности и дата машинописью, исходящий «№ 1498» от руки в графе бланка. Вверху Л. 93 слева написаны от руки входящий № 2297 и дата получения «9/ХII-30 г.», подпись-росчерк Миронова, помета «архив» (18851).</w:t>
      </w:r>
    </w:p>
    <w:p w14:paraId="68C9807A" w14:textId="77777777" w:rsidR="003670F5" w:rsidRPr="00507A31" w:rsidRDefault="003670F5" w:rsidP="00507A31">
      <w:pPr>
        <w:jc w:val="both"/>
        <w:rPr>
          <w:color w:val="000000" w:themeColor="text1"/>
          <w:sz w:val="16"/>
          <w:szCs w:val="16"/>
        </w:rPr>
      </w:pPr>
    </w:p>
    <w:p w14:paraId="1552A45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E772CD1" w14:textId="77777777" w:rsidR="00537E5F" w:rsidRPr="00507A31" w:rsidRDefault="00537E5F" w:rsidP="00507A31">
      <w:pPr>
        <w:autoSpaceDE w:val="0"/>
        <w:autoSpaceDN w:val="0"/>
        <w:adjustRightInd w:val="0"/>
        <w:jc w:val="both"/>
        <w:rPr>
          <w:iCs/>
          <w:color w:val="000000" w:themeColor="text1"/>
          <w:sz w:val="16"/>
          <w:szCs w:val="16"/>
        </w:rPr>
      </w:pPr>
    </w:p>
    <w:p w14:paraId="5CFF22E5" w14:textId="77777777" w:rsidR="000F1CB9" w:rsidRPr="00507A31" w:rsidRDefault="000F1CB9" w:rsidP="00507A31">
      <w:pPr>
        <w:shd w:val="clear" w:color="auto" w:fill="FFFFFF"/>
        <w:jc w:val="both"/>
        <w:rPr>
          <w:color w:val="000000" w:themeColor="text1"/>
          <w:sz w:val="16"/>
          <w:szCs w:val="16"/>
        </w:rPr>
      </w:pPr>
      <w:r w:rsidRPr="00507A31">
        <w:rPr>
          <w:color w:val="000000" w:themeColor="text1"/>
          <w:sz w:val="16"/>
          <w:szCs w:val="16"/>
        </w:rPr>
        <w:t>К началу декабря 1930 года самолет И-7 предполагалось выкатить на летное поле, однако, после ликвидации завода № 25 и передачи его заданий заводу № 39, темпы работ над И-7 замедлились, а затем и вовсе были прекращены. Недостроенный самолет несколько месяцев стоял на заводе № 39, пока не был разобран (15223).</w:t>
      </w:r>
    </w:p>
    <w:p w14:paraId="42EA8448" w14:textId="77777777" w:rsidR="000F1CB9" w:rsidRPr="00507A31" w:rsidRDefault="000F1CB9" w:rsidP="00507A31">
      <w:pPr>
        <w:shd w:val="clear" w:color="auto" w:fill="FFFFFF"/>
        <w:jc w:val="both"/>
        <w:rPr>
          <w:color w:val="000000" w:themeColor="text1"/>
          <w:sz w:val="16"/>
          <w:szCs w:val="16"/>
        </w:rPr>
      </w:pPr>
    </w:p>
    <w:p w14:paraId="39E196DF" w14:textId="77777777" w:rsidR="00356E4B" w:rsidRPr="00507A31" w:rsidRDefault="00356E4B" w:rsidP="00507A31">
      <w:pPr>
        <w:pStyle w:val="rtejustify"/>
        <w:shd w:val="clear" w:color="auto" w:fill="FFFFFF"/>
        <w:spacing w:before="0" w:after="0"/>
        <w:rPr>
          <w:color w:val="000000" w:themeColor="text1"/>
          <w:sz w:val="16"/>
          <w:szCs w:val="16"/>
        </w:rPr>
      </w:pPr>
      <w:r w:rsidRPr="00507A31">
        <w:rPr>
          <w:color w:val="000000" w:themeColor="text1"/>
          <w:sz w:val="16"/>
          <w:szCs w:val="16"/>
        </w:rPr>
        <w:t>В начале декабря 1930 на самолете И-8 была достигнута максимальная скорость 310 км/ч, но с длительным разгоном.</w:t>
      </w:r>
    </w:p>
    <w:p w14:paraId="1E65C540" w14:textId="77777777" w:rsidR="00356E4B" w:rsidRPr="00507A31" w:rsidRDefault="00356E4B" w:rsidP="00507A31">
      <w:pPr>
        <w:pStyle w:val="rtejustify"/>
        <w:shd w:val="clear" w:color="auto" w:fill="FFFFFF"/>
        <w:spacing w:before="0" w:after="0"/>
        <w:rPr>
          <w:color w:val="000000" w:themeColor="text1"/>
          <w:sz w:val="16"/>
          <w:szCs w:val="16"/>
        </w:rPr>
      </w:pPr>
      <w:r w:rsidRPr="00507A31">
        <w:rPr>
          <w:color w:val="000000" w:themeColor="text1"/>
          <w:sz w:val="16"/>
          <w:szCs w:val="16"/>
        </w:rPr>
        <w:t>Завершился 1930 год, в «Отчете о деятельности ЦАГИ за 1929-30 г.г. и за Особый квартал 1930 г.» , по работам, выполненным по самолету АНТ-13 (И-8), отмечалось, что:</w:t>
      </w:r>
    </w:p>
    <w:p w14:paraId="414CF2BB" w14:textId="77777777" w:rsidR="00356E4B" w:rsidRPr="00507A31" w:rsidRDefault="00356E4B"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«…Дерзкое вооруженное нападение китайских империалистов побудило общественность ЦАГИ активно участвовать в обороне Союза путем создания для воздушного флота нового типа боевого самолета. Общественность ЦАГИ дала обязательство Красному Воздушному Флоту отдать по 70 часов сверхурочной работы каждого в фонд новой боевой машины. ЦАГИ выполнил свое обязательство и дал Союзу АНТ-13.</w:t>
      </w:r>
    </w:p>
    <w:p w14:paraId="4008B88A" w14:textId="77777777" w:rsidR="00356E4B" w:rsidRPr="00507A31" w:rsidRDefault="00356E4B"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Кроме общественно-политического значения выпуска этой машины, следует указать на ряд технических достижений, осуществленных в процессе проектирования и постройки: впервые в Союзе была применена нержавеющая сталь в нагартованном состоянии, для этого ЦАГИ пришлось предварительно изучать вопросы протяжки стальных профилей, научиться их клепать, гнуть, резать.</w:t>
      </w:r>
    </w:p>
    <w:p w14:paraId="299C6059" w14:textId="77777777" w:rsidR="00356E4B" w:rsidRPr="00507A31" w:rsidRDefault="00356E4B"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 этой же машине был применен ряд новых для СССР конструкций, как-то: устройство щелевого элерона, металлической нервюры ферменного типа с разработанным соединительным профилем для полок нервюр, комбинированные из стали и дуралюмина лонжероны, металлические крылья впервые были обтянуты полотном, и наконец, была применена сварка при постройке фюзеляжа, взамен обычной клепки швов.</w:t>
      </w:r>
    </w:p>
    <w:p w14:paraId="6F29047B" w14:textId="77777777" w:rsidR="00356E4B" w:rsidRPr="00507A31" w:rsidRDefault="00356E4B" w:rsidP="00507A31">
      <w:pPr>
        <w:pStyle w:val="rtejustify"/>
        <w:shd w:val="clear" w:color="auto" w:fill="FFFFFF"/>
        <w:spacing w:before="0" w:after="0"/>
        <w:rPr>
          <w:color w:val="000000" w:themeColor="text1"/>
          <w:sz w:val="16"/>
          <w:szCs w:val="16"/>
        </w:rPr>
      </w:pPr>
      <w:r w:rsidRPr="00507A31">
        <w:rPr>
          <w:rStyle w:val="af0"/>
          <w:i w:val="0"/>
          <w:color w:val="000000" w:themeColor="text1"/>
          <w:sz w:val="16"/>
          <w:szCs w:val="16"/>
          <w:bdr w:val="none" w:sz="0" w:space="0" w:color="auto" w:frame="1"/>
        </w:rPr>
        <w:t>В результате опыта постройки АНТ-13 ЦАГИ поставил вопрос во всей его широте, перед промышленностью о выпуске ею, электростали нужных для авиации сортаментов. К сожалению, данная машина не полностью удовлетворяет поставленным техническим условиям, из-за отсутствия соответствующего мотора. После замены мотора, ЦАГИ надеется, что она не будет иметь недостатков…».</w:t>
      </w:r>
    </w:p>
    <w:p w14:paraId="139DCDD6" w14:textId="77777777" w:rsidR="00356E4B" w:rsidRPr="00507A31" w:rsidRDefault="00356E4B" w:rsidP="00507A31">
      <w:pPr>
        <w:pStyle w:val="rtejustify"/>
        <w:shd w:val="clear" w:color="auto" w:fill="FFFFFF"/>
        <w:spacing w:before="0" w:after="0"/>
        <w:rPr>
          <w:color w:val="000000" w:themeColor="text1"/>
          <w:sz w:val="16"/>
          <w:szCs w:val="16"/>
        </w:rPr>
      </w:pPr>
      <w:r w:rsidRPr="00507A31">
        <w:rPr>
          <w:color w:val="000000" w:themeColor="text1"/>
          <w:sz w:val="16"/>
          <w:szCs w:val="16"/>
        </w:rPr>
        <w:t>По плану самолет И-8 должен был поступить на госиспытания в НИИ ВВС к 15 декабря 1930 года, но доработки машины, начатые в начале декабря 1930 года, затянулись, практически, до конца 1931 года. В основном это было связано с отсутствием высотного мотора. Результаты испытаний самолета после переделок пока неизвестны.</w:t>
      </w:r>
    </w:p>
    <w:p w14:paraId="27EE34A1" w14:textId="77777777" w:rsidR="00356E4B" w:rsidRPr="00507A31" w:rsidRDefault="00356E4B" w:rsidP="00507A31">
      <w:pPr>
        <w:pStyle w:val="rtejustify"/>
        <w:shd w:val="clear" w:color="auto" w:fill="FFFFFF"/>
        <w:spacing w:before="0" w:after="0"/>
        <w:rPr>
          <w:color w:val="000000" w:themeColor="text1"/>
          <w:sz w:val="16"/>
          <w:szCs w:val="16"/>
        </w:rPr>
      </w:pPr>
      <w:r w:rsidRPr="00507A31">
        <w:rPr>
          <w:color w:val="000000" w:themeColor="text1"/>
          <w:sz w:val="16"/>
          <w:szCs w:val="16"/>
        </w:rPr>
        <w:t>О дальнейшей судьбе самолета И-8 известно только то, что работы по нему продолжались до 1932 года (19171).</w:t>
      </w:r>
    </w:p>
    <w:p w14:paraId="7865CC91" w14:textId="77777777" w:rsidR="00356E4B" w:rsidRPr="00507A31" w:rsidRDefault="00356E4B" w:rsidP="00507A31">
      <w:pPr>
        <w:pStyle w:val="rtejustify"/>
        <w:shd w:val="clear" w:color="auto" w:fill="FFFFFF"/>
        <w:spacing w:before="0" w:after="0"/>
        <w:rPr>
          <w:color w:val="000000" w:themeColor="text1"/>
          <w:sz w:val="16"/>
          <w:szCs w:val="16"/>
        </w:rPr>
      </w:pPr>
    </w:p>
    <w:p w14:paraId="7465CC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начала декабря 1930 проходили испытания второго образца М-27 на стенде, а первого - с сентября 1930 г. Проходил госиспытания с 10 декабря 1930 г. по 15 января 1931 г.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007018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6774D3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 18-цилиндровый, рядный </w:t>
      </w:r>
      <w:r w:rsidRPr="00507A31">
        <w:rPr>
          <w:color w:val="000000" w:themeColor="text1"/>
          <w:sz w:val="16"/>
          <w:szCs w:val="16"/>
          <w:lang w:val="en-US"/>
        </w:rPr>
        <w:t>W</w:t>
      </w:r>
      <w:r w:rsidRPr="00507A31">
        <w:rPr>
          <w:color w:val="000000" w:themeColor="text1"/>
          <w:sz w:val="16"/>
          <w:szCs w:val="16"/>
        </w:rPr>
        <w:t>-образный блочный (блоки под углом 40°), четырехтактный, водяного охлаждения;</w:t>
      </w:r>
    </w:p>
    <w:p w14:paraId="07D484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по заданию 700/900 л.с.;</w:t>
      </w:r>
    </w:p>
    <w:p w14:paraId="7EEF4D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по представлению завода 700/850 л.с. (фактически 707/828 л.с.);</w:t>
      </w:r>
    </w:p>
    <w:p w14:paraId="3D7D0D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135/160 мм;</w:t>
      </w:r>
    </w:p>
    <w:p w14:paraId="0180A3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41,1 л;</w:t>
      </w:r>
    </w:p>
    <w:p w14:paraId="3EFF8B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6,4;</w:t>
      </w:r>
    </w:p>
    <w:p w14:paraId="6C8905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5FA2BB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вес 633 кг (без выхлопных патрубков). Известны модификации:</w:t>
      </w:r>
    </w:p>
    <w:p w14:paraId="010F96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 исходный вариант без редуктора и нагнетателя;</w:t>
      </w:r>
    </w:p>
    <w:p w14:paraId="4E1B5F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М-27Р, вариант с понижающим редуктором; максимальная мощность 830 л.с. Проектировался в ИАМ в 1931 г.</w:t>
      </w:r>
    </w:p>
    <w:p w14:paraId="0B1D03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М-27РН, предполагавшийся вариант с редуктором и нагнетателем. Не разрабатывался.</w:t>
      </w:r>
    </w:p>
    <w:p w14:paraId="7308FB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 сдвоенный для самолета Г-1. Экспериментальная установка ис</w:t>
      </w:r>
      <w:r w:rsidRPr="00507A31">
        <w:rPr>
          <w:color w:val="000000" w:themeColor="text1"/>
          <w:sz w:val="16"/>
          <w:szCs w:val="16"/>
        </w:rPr>
        <w:softHyphen/>
        <w:t>пытывалась в марте — апреле 1933 г.</w:t>
      </w:r>
    </w:p>
    <w:p w14:paraId="3A9328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3A79A1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674743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0D89597" w14:textId="5CA1C6B8" w:rsidR="003046AF" w:rsidRPr="00507A31" w:rsidRDefault="003046AF" w:rsidP="00507A31">
      <w:pPr>
        <w:jc w:val="both"/>
        <w:rPr>
          <w:color w:val="0070C0"/>
          <w:sz w:val="16"/>
          <w:szCs w:val="16"/>
        </w:rPr>
      </w:pPr>
      <w:r w:rsidRPr="00507A31">
        <w:rPr>
          <w:color w:val="0070C0"/>
          <w:sz w:val="16"/>
          <w:szCs w:val="16"/>
          <w:lang w:bidi="ru-RU"/>
        </w:rPr>
        <w:t xml:space="preserve">В начале декабря 1930 Политбюро рассмотрело вопрос о дирижаблестроении, по которому в повестке дня стоял доклад начальника ВОГВФ, и поручило подготовить соответствующий проект постановления очередной комиссии в составе председателя - главы союзного Госплана Валериана Куйбышева, Лазаря Кагановича, Гольцмана, Ворошилова, Баранова, зампредседателя ВСНХ СССР Ивана Павлуновского и начальника Всесоюзного объединения авиационной промышленности Михаила Урываева. Несколько позднее к ним присоединились Мехоношин, который к этому времени стал председателем Сектора обороны Госплана, Н. Куйбышев </w:t>
      </w:r>
      <w:r w:rsidRPr="00507A31">
        <w:rPr>
          <w:color w:val="0070C0"/>
          <w:sz w:val="16"/>
          <w:szCs w:val="16"/>
          <w:lang w:bidi="ru-RU"/>
        </w:rPr>
        <w:lastRenderedPageBreak/>
        <w:t xml:space="preserve">и Антипов. Кроме того, состав комиссии пополнил начальник Главного геолого-разведочного управления при президиуме </w:t>
      </w:r>
      <w:r w:rsidRPr="00507A31">
        <w:rPr>
          <w:color w:val="0070C0"/>
          <w:sz w:val="16"/>
          <w:szCs w:val="16"/>
          <w:lang w:val="en-US" w:eastAsia="en-US" w:bidi="en-US"/>
        </w:rPr>
        <w:t>BCHX</w:t>
      </w:r>
      <w:r w:rsidRPr="00507A31">
        <w:rPr>
          <w:color w:val="0070C0"/>
          <w:sz w:val="16"/>
          <w:szCs w:val="16"/>
          <w:lang w:eastAsia="en-US" w:bidi="en-US"/>
        </w:rPr>
        <w:t xml:space="preserve"> </w:t>
      </w:r>
      <w:r w:rsidRPr="00507A31">
        <w:rPr>
          <w:color w:val="0070C0"/>
          <w:sz w:val="16"/>
          <w:szCs w:val="16"/>
          <w:lang w:bidi="ru-RU"/>
        </w:rPr>
        <w:t>Фёдор Сыромолотов: стояла задача разведки и скорейшего освоения месторождений гелия, который должен был заменить огнеопасный водород в качестве подъёмного газа для воздушных кораблей.</w:t>
      </w:r>
    </w:p>
    <w:p w14:paraId="3FEFBCF7" w14:textId="77777777" w:rsidR="003046AF" w:rsidRPr="00507A31" w:rsidRDefault="003046AF" w:rsidP="00507A31">
      <w:pPr>
        <w:jc w:val="both"/>
        <w:rPr>
          <w:color w:val="0070C0"/>
          <w:sz w:val="16"/>
          <w:szCs w:val="16"/>
        </w:rPr>
      </w:pPr>
      <w:r w:rsidRPr="00507A31">
        <w:rPr>
          <w:color w:val="0070C0"/>
          <w:sz w:val="16"/>
          <w:szCs w:val="16"/>
          <w:lang w:bidi="ru-RU"/>
        </w:rPr>
        <w:t>План Гольцмана, подготовленный для рассмотрения в комиссии, строился на уже известной формуле «5-3 - 2»: до конца пятилетки предлагалось построить 5 жёстких, 3 полужёстких и 2 цельнометаллических дирижабля.</w:t>
      </w:r>
    </w:p>
    <w:p w14:paraId="6B3113FD" w14:textId="77777777" w:rsidR="003046AF" w:rsidRPr="00507A31" w:rsidRDefault="003046AF" w:rsidP="00507A31">
      <w:pPr>
        <w:jc w:val="both"/>
        <w:rPr>
          <w:color w:val="0070C0"/>
          <w:sz w:val="16"/>
          <w:szCs w:val="16"/>
        </w:rPr>
      </w:pPr>
      <w:r w:rsidRPr="00507A31">
        <w:rPr>
          <w:color w:val="0070C0"/>
          <w:sz w:val="16"/>
          <w:szCs w:val="16"/>
          <w:lang w:bidi="ru-RU"/>
        </w:rPr>
        <w:t>Жёсткие корабли объёмом по 150 тыс. кубометров, составляющие основу советского дирижабельного флота, должны были работать на трёх регулярных маршрутах.</w:t>
      </w:r>
    </w:p>
    <w:p w14:paraId="54D8BCF5" w14:textId="77777777" w:rsidR="003046AF" w:rsidRPr="00507A31" w:rsidRDefault="003046AF" w:rsidP="00507A31">
      <w:pPr>
        <w:jc w:val="both"/>
        <w:rPr>
          <w:color w:val="0070C0"/>
          <w:sz w:val="16"/>
          <w:szCs w:val="16"/>
        </w:rPr>
      </w:pPr>
      <w:r w:rsidRPr="00507A31">
        <w:rPr>
          <w:color w:val="0070C0"/>
          <w:sz w:val="16"/>
          <w:szCs w:val="16"/>
          <w:lang w:bidi="ru-RU"/>
        </w:rPr>
        <w:t>На пассажирской линии Москва - Игарка - Якутск - Николаевскна-Амуре - Хабаровск предусматривалось выполнение двух рейсов в неделю (104 в год). Ожидалось, что услугами воздушных кораблей воспользуются не только путешественники, чей полёт заканчивается в одном из пунктов трассы, но и транзитники, которые далее направляются во Владивосток, на Сахалин, в Китай и Японию. За один рейс дирижабль должен был перевозить 125 пассажиров и 13 тонн ценных грузов и почты.</w:t>
      </w:r>
    </w:p>
    <w:p w14:paraId="19D5DA26" w14:textId="77777777" w:rsidR="003046AF" w:rsidRPr="00507A31" w:rsidRDefault="003046AF" w:rsidP="00507A31">
      <w:pPr>
        <w:jc w:val="both"/>
        <w:rPr>
          <w:color w:val="0070C0"/>
          <w:sz w:val="16"/>
          <w:szCs w:val="16"/>
        </w:rPr>
      </w:pPr>
      <w:r w:rsidRPr="00507A31">
        <w:rPr>
          <w:color w:val="0070C0"/>
          <w:sz w:val="16"/>
          <w:szCs w:val="16"/>
          <w:lang w:bidi="ru-RU"/>
        </w:rPr>
        <w:t>Преимущественно грузовыми намечались две другие линии: Красноярск - Якутск и Красноярск - Булун - Нижнеколымск с выполнением 100 и 30 рейсов в год соответственно. Здесь каждый корабль вмещал бы 38 тонн груза.</w:t>
      </w:r>
    </w:p>
    <w:p w14:paraId="3C1EA0CC" w14:textId="77777777" w:rsidR="003046AF" w:rsidRPr="00507A31" w:rsidRDefault="003046AF" w:rsidP="00507A31">
      <w:pPr>
        <w:jc w:val="both"/>
        <w:rPr>
          <w:color w:val="0070C0"/>
          <w:sz w:val="16"/>
          <w:szCs w:val="16"/>
        </w:rPr>
      </w:pPr>
      <w:r w:rsidRPr="00507A31">
        <w:rPr>
          <w:color w:val="0070C0"/>
          <w:sz w:val="16"/>
          <w:szCs w:val="16"/>
          <w:lang w:bidi="ru-RU"/>
        </w:rPr>
        <w:t>Наземная инфраструктура была представлена дирижабельными базами в Переславле-Залесском (главная) и Красноярске (эксплуатационно-ремонтная), а также шестью швартовыми точками в остальных пунктах линий.</w:t>
      </w:r>
    </w:p>
    <w:p w14:paraId="7E0B8666" w14:textId="77777777" w:rsidR="003046AF" w:rsidRPr="00507A31" w:rsidRDefault="003046AF" w:rsidP="00507A31">
      <w:pPr>
        <w:jc w:val="both"/>
        <w:rPr>
          <w:color w:val="0070C0"/>
          <w:sz w:val="16"/>
          <w:szCs w:val="16"/>
        </w:rPr>
      </w:pPr>
      <w:r w:rsidRPr="00507A31">
        <w:rPr>
          <w:color w:val="0070C0"/>
          <w:sz w:val="16"/>
          <w:szCs w:val="16"/>
          <w:lang w:bidi="ru-RU"/>
        </w:rPr>
        <w:t>Билеты на дирижабль Москва - Хабаровск собирались продавать по цене 500 рублей - на 80 рублей дороже проезда по железной дороге в международном вагоне, а стоимость грузоперевозок определили в 30 копеек за тонно-километр, что примерно равнялось плате за провоз из Иркутска в Якутск гужевым транспортом. Эти цены обеспечивали безубыточность линий.</w:t>
      </w:r>
    </w:p>
    <w:p w14:paraId="1B300486" w14:textId="77777777" w:rsidR="003046AF" w:rsidRPr="00507A31" w:rsidRDefault="003046AF" w:rsidP="00507A31">
      <w:pPr>
        <w:jc w:val="both"/>
        <w:rPr>
          <w:color w:val="0070C0"/>
          <w:sz w:val="16"/>
          <w:szCs w:val="16"/>
        </w:rPr>
      </w:pPr>
      <w:r w:rsidRPr="00507A31">
        <w:rPr>
          <w:color w:val="0070C0"/>
          <w:sz w:val="16"/>
          <w:szCs w:val="16"/>
          <w:lang w:bidi="ru-RU"/>
        </w:rPr>
        <w:t>Затраты на постройку каждого жёсткого дирижабля оценивались в 5 млн рублей, на каждую из баз отводилось по 13 млн, а все швартовые точки должны были обойтись в 8 млн - итого около 60 млн капитальных вложений.</w:t>
      </w:r>
    </w:p>
    <w:p w14:paraId="1C2A39C3" w14:textId="77777777" w:rsidR="003046AF" w:rsidRPr="00507A31" w:rsidRDefault="003046AF" w:rsidP="00507A31">
      <w:pPr>
        <w:jc w:val="both"/>
        <w:rPr>
          <w:color w:val="0070C0"/>
          <w:sz w:val="16"/>
          <w:szCs w:val="16"/>
        </w:rPr>
      </w:pPr>
      <w:r w:rsidRPr="00507A31">
        <w:rPr>
          <w:color w:val="0070C0"/>
          <w:sz w:val="16"/>
          <w:szCs w:val="16"/>
          <w:lang w:bidi="ru-RU"/>
        </w:rPr>
        <w:t>Полужёсткие корабли объёмом по 20 тыс. кубометров предполагалось использовать для учебных целей. Кроме того, говорилось в плане, «они имеют серьёзное значение для военных целей: разведка, конвоирование морских судов и т. п.».</w:t>
      </w:r>
    </w:p>
    <w:p w14:paraId="1AF6A058" w14:textId="77777777" w:rsidR="003046AF" w:rsidRPr="00507A31" w:rsidRDefault="003046AF" w:rsidP="00507A31">
      <w:pPr>
        <w:jc w:val="both"/>
        <w:rPr>
          <w:color w:val="0070C0"/>
          <w:sz w:val="16"/>
          <w:szCs w:val="16"/>
        </w:rPr>
      </w:pPr>
      <w:r w:rsidRPr="00507A31">
        <w:rPr>
          <w:color w:val="0070C0"/>
          <w:sz w:val="16"/>
          <w:szCs w:val="16"/>
          <w:lang w:bidi="ru-RU"/>
        </w:rPr>
        <w:t>Решение о постройке цельнометаллических дирижаблей откладывалось на будущее и обусловливалось результатами исследовательских и опытных работ: «Строительство этого типа дирижаблей находится пока ещё в экспериментальной стадии. Поэтому использование их должно быть поставлено в зависимость от степени успешности производимых опытов».</w:t>
      </w:r>
    </w:p>
    <w:p w14:paraId="027213C8" w14:textId="77777777" w:rsidR="003046AF" w:rsidRPr="00507A31" w:rsidRDefault="003046AF" w:rsidP="00507A31">
      <w:pPr>
        <w:jc w:val="both"/>
        <w:rPr>
          <w:color w:val="0070C0"/>
          <w:sz w:val="16"/>
          <w:szCs w:val="16"/>
        </w:rPr>
      </w:pPr>
      <w:r w:rsidRPr="00507A31">
        <w:rPr>
          <w:color w:val="0070C0"/>
          <w:sz w:val="16"/>
          <w:szCs w:val="16"/>
          <w:lang w:bidi="ru-RU"/>
        </w:rPr>
        <w:t>Декабрьский план Гольцмана представлял собой не что иное, как несколько изменённый «Дирижабельный Беломорканал», и сохранил его основные черты: представление о регулярных сообщениях как главном предназначении дирижаблей и завидный оптимизм в оценке экономических показателей и сроков.</w:t>
      </w:r>
    </w:p>
    <w:p w14:paraId="6D6DA1E4" w14:textId="77777777" w:rsidR="003046AF" w:rsidRPr="00507A31" w:rsidRDefault="003046AF" w:rsidP="00507A31">
      <w:pPr>
        <w:jc w:val="both"/>
        <w:rPr>
          <w:color w:val="0070C0"/>
          <w:sz w:val="16"/>
          <w:szCs w:val="16"/>
        </w:rPr>
      </w:pPr>
      <w:r w:rsidRPr="00507A31">
        <w:rPr>
          <w:color w:val="0070C0"/>
          <w:sz w:val="16"/>
          <w:szCs w:val="16"/>
          <w:lang w:bidi="ru-RU"/>
        </w:rPr>
        <w:t>Применение дирижаблей для ледовой разведки, аэрофотосъёмки, борьбы с пожарами и вредителями лесов и полей, их участие в научных экспедициях и спасательных операциях - обо всём этом план умалчивал, превращаясь, таким образом, в чисто коммерческий проект.</w:t>
      </w:r>
    </w:p>
    <w:p w14:paraId="21E8978D" w14:textId="77777777" w:rsidR="003046AF" w:rsidRPr="00507A31" w:rsidRDefault="003046AF" w:rsidP="00507A31">
      <w:pPr>
        <w:jc w:val="both"/>
        <w:rPr>
          <w:color w:val="0070C0"/>
          <w:sz w:val="16"/>
          <w:szCs w:val="16"/>
        </w:rPr>
      </w:pPr>
      <w:r w:rsidRPr="00507A31">
        <w:rPr>
          <w:color w:val="0070C0"/>
          <w:sz w:val="16"/>
          <w:szCs w:val="16"/>
          <w:lang w:bidi="ru-RU"/>
        </w:rPr>
        <w:t>С этим не соглашалась группа членов комиссии во главе с Мехоношиным, которая составила объяснительную записку, где предусматривался существенно более широкий спектр задач для дирижаблей:</w:t>
      </w:r>
    </w:p>
    <w:p w14:paraId="730AC008" w14:textId="77777777" w:rsidR="003046AF" w:rsidRPr="00507A31" w:rsidRDefault="003046AF" w:rsidP="00507A31">
      <w:pPr>
        <w:jc w:val="both"/>
        <w:rPr>
          <w:color w:val="0070C0"/>
          <w:sz w:val="16"/>
          <w:szCs w:val="16"/>
        </w:rPr>
      </w:pPr>
      <w:r w:rsidRPr="00507A31">
        <w:rPr>
          <w:color w:val="0070C0"/>
          <w:sz w:val="16"/>
          <w:szCs w:val="16"/>
          <w:lang w:bidi="ru-RU"/>
        </w:rPr>
        <w:t>Дирижабли всех 4-х типов имеют своё определённое значение, причём мягкие дирижабли могут с успехом служить для подготовки пилотов, для борьбы с вредителями сельского и лесного хозяйства, для разведывательной службы на море; полужёсткие дирижабли - помимо указанных работ могут быть использованы и для некоторых малых транспортных операций; жёсткие и крупные цельнометаллические дирижабли имеют бесспорное военно-политическое значение, могут быть использованы для больших воздушных магистралей... и не исключается возможность военно-бомбардировочного использования этих кораблей на некоторых слабо защищённых театрах войны и совместно с авиацией даже на главных театрах войны (более спорно).</w:t>
      </w:r>
    </w:p>
    <w:p w14:paraId="7E75DB81" w14:textId="77777777" w:rsidR="003046AF" w:rsidRPr="00507A31" w:rsidRDefault="003046AF" w:rsidP="00507A31">
      <w:pPr>
        <w:jc w:val="both"/>
        <w:rPr>
          <w:color w:val="0070C0"/>
          <w:sz w:val="16"/>
          <w:szCs w:val="16"/>
        </w:rPr>
      </w:pPr>
      <w:r w:rsidRPr="00507A31">
        <w:rPr>
          <w:color w:val="0070C0"/>
          <w:sz w:val="16"/>
          <w:szCs w:val="16"/>
          <w:lang w:bidi="ru-RU"/>
        </w:rPr>
        <w:t>Кроме того, главную базу предлагалось разместить за пределами центральной части страны - в Поволжье. Гольцман возражал: уход с переславской площадки, частично уже подготовленной, означал бы потерю строительного сезона 1931 года и срыв выполнения плана пятилетки.</w:t>
      </w:r>
    </w:p>
    <w:p w14:paraId="0A72D396" w14:textId="5F2C909C" w:rsidR="003046AF" w:rsidRPr="00507A31" w:rsidRDefault="003046AF" w:rsidP="00507A31">
      <w:pPr>
        <w:jc w:val="both"/>
        <w:rPr>
          <w:color w:val="0070C0"/>
          <w:sz w:val="16"/>
          <w:szCs w:val="16"/>
        </w:rPr>
      </w:pPr>
      <w:r w:rsidRPr="00507A31">
        <w:rPr>
          <w:color w:val="0070C0"/>
          <w:sz w:val="16"/>
          <w:szCs w:val="16"/>
          <w:lang w:bidi="ru-RU"/>
        </w:rPr>
        <w:t>Военные, которых на этот раз представлял в комиссии сам наркомвоенмор и председатель Реввоенсовета, соглашались с тем, что основным типом советского дирижабля должен быть жёсткий корабль цеппелиновской конструкции объёмом около 150 тыс. кубометров, имеющий дальность полёта 15 тыс. километров и способный нести 25-30 тонн сбрасываемого груза (23192).</w:t>
      </w:r>
    </w:p>
    <w:p w14:paraId="4009298F" w14:textId="746B1712" w:rsidR="003046AF" w:rsidRPr="00507A31" w:rsidRDefault="003046AF" w:rsidP="00507A31">
      <w:pPr>
        <w:autoSpaceDE w:val="0"/>
        <w:autoSpaceDN w:val="0"/>
        <w:adjustRightInd w:val="0"/>
        <w:jc w:val="both"/>
        <w:rPr>
          <w:color w:val="0070C0"/>
          <w:sz w:val="16"/>
          <w:szCs w:val="16"/>
        </w:rPr>
      </w:pPr>
    </w:p>
    <w:p w14:paraId="6E3CF2A6" w14:textId="4263A622" w:rsidR="00F815C5" w:rsidRPr="00507A31" w:rsidRDefault="00F815C5" w:rsidP="00507A31">
      <w:pPr>
        <w:jc w:val="both"/>
        <w:rPr>
          <w:color w:val="0070C0"/>
          <w:sz w:val="16"/>
          <w:szCs w:val="16"/>
        </w:rPr>
      </w:pPr>
      <w:r w:rsidRPr="00507A31">
        <w:rPr>
          <w:color w:val="0070C0"/>
          <w:sz w:val="16"/>
          <w:szCs w:val="16"/>
          <w:lang w:bidi="ru-RU"/>
        </w:rPr>
        <w:t>В начале декабря 1930 Павел Пурмаль, замначальника БОСЭД, телеграфировал в Москву:</w:t>
      </w:r>
    </w:p>
    <w:p w14:paraId="3335C27E" w14:textId="77777777" w:rsidR="00F815C5" w:rsidRPr="00507A31" w:rsidRDefault="00F815C5" w:rsidP="00507A31">
      <w:pPr>
        <w:jc w:val="both"/>
        <w:rPr>
          <w:color w:val="0070C0"/>
          <w:sz w:val="16"/>
          <w:szCs w:val="16"/>
        </w:rPr>
      </w:pPr>
      <w:r w:rsidRPr="00507A31">
        <w:rPr>
          <w:color w:val="0070C0"/>
          <w:sz w:val="16"/>
          <w:szCs w:val="16"/>
          <w:lang w:bidi="ru-RU"/>
        </w:rPr>
        <w:t>Работа комиссии изыскания площадки успешна местные организации оказывают максимум содействия. Участок близ Покровска станция Анисовка экономические преимущества [перед] Переславлем несравнимы обеспечивают исполнение стройпрограммы этого года полностью. Телеграфьте окончательное решение [о] постройке верфи здесь.</w:t>
      </w:r>
    </w:p>
    <w:p w14:paraId="30731CBD" w14:textId="77777777" w:rsidR="00F815C5" w:rsidRPr="00507A31" w:rsidRDefault="00F815C5" w:rsidP="00507A31">
      <w:pPr>
        <w:jc w:val="both"/>
        <w:rPr>
          <w:color w:val="0070C0"/>
          <w:sz w:val="16"/>
          <w:szCs w:val="16"/>
        </w:rPr>
      </w:pPr>
      <w:r w:rsidRPr="00507A31">
        <w:rPr>
          <w:color w:val="0070C0"/>
          <w:sz w:val="16"/>
          <w:szCs w:val="16"/>
          <w:lang w:bidi="ru-RU"/>
        </w:rPr>
        <w:t>Однако ничего «телеграфить» в ответ Гольцман пока не мог: решение находилось в компетенции Политбюро, которое в это самое время поручило вопрос комиссии Куйбышева, а в январе отложило ещё на два месяца.</w:t>
      </w:r>
    </w:p>
    <w:p w14:paraId="4B2244A5" w14:textId="7CADD225" w:rsidR="00F815C5" w:rsidRPr="00507A31" w:rsidRDefault="00F815C5" w:rsidP="00507A31">
      <w:pPr>
        <w:jc w:val="both"/>
        <w:rPr>
          <w:color w:val="0070C0"/>
          <w:sz w:val="16"/>
          <w:szCs w:val="16"/>
        </w:rPr>
      </w:pPr>
      <w:r w:rsidRPr="00507A31">
        <w:rPr>
          <w:color w:val="0070C0"/>
          <w:sz w:val="16"/>
          <w:szCs w:val="16"/>
          <w:lang w:bidi="ru-RU"/>
        </w:rPr>
        <w:t>Ясность отсутствовала не только в размещении базы, но и в направлениях дирижабельных линий и в привлечении интехпомощи. Само задание на постройку воздушных кораблей оставалось сформулированным в общем виде, выраженное лишь их количеством (23192).</w:t>
      </w:r>
    </w:p>
    <w:p w14:paraId="279730EE" w14:textId="77777777" w:rsidR="00F815C5" w:rsidRPr="00507A31" w:rsidRDefault="00F815C5" w:rsidP="00507A31">
      <w:pPr>
        <w:autoSpaceDE w:val="0"/>
        <w:autoSpaceDN w:val="0"/>
        <w:adjustRightInd w:val="0"/>
        <w:jc w:val="both"/>
        <w:rPr>
          <w:color w:val="0070C0"/>
          <w:sz w:val="16"/>
          <w:szCs w:val="16"/>
        </w:rPr>
      </w:pPr>
    </w:p>
    <w:p w14:paraId="33E6AD31" w14:textId="7A08D610"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38EFBBB" w14:textId="77777777" w:rsidR="00537E5F" w:rsidRPr="00507A31" w:rsidRDefault="00537E5F" w:rsidP="00507A31">
      <w:pPr>
        <w:autoSpaceDE w:val="0"/>
        <w:autoSpaceDN w:val="0"/>
        <w:adjustRightInd w:val="0"/>
        <w:jc w:val="both"/>
        <w:rPr>
          <w:iCs/>
          <w:color w:val="000000" w:themeColor="text1"/>
          <w:sz w:val="16"/>
          <w:szCs w:val="16"/>
        </w:rPr>
      </w:pPr>
    </w:p>
    <w:p w14:paraId="0F5C00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декабря 1930 танковым отделом ХПЗ под руководством М.Н.Тоскина были представлены проекты модернизации закупленных танков Кристи, направленные на создание утяжеленного танка с массой 12-12.5 т, вооруженного 37-мм или 45-мм пушкой и двумя пулеметами ДТ под двигатель М-17 мощностью 680 нр. Броневую защиту хотели усилить до 12, 10 и 6-мм бронелистов. Был и второй проект облегченного и укороченного танка в 7.5 т под М-6 А.А.М. мощностью 300 нр. При рассмотрении проектов решили сосредоточится на совершенствовании вооружения закупленных образцов (3879,21).</w:t>
      </w:r>
    </w:p>
    <w:p w14:paraId="579EAB65" w14:textId="77777777" w:rsidR="00537E5F" w:rsidRPr="00507A31" w:rsidRDefault="00537E5F" w:rsidP="00507A31">
      <w:pPr>
        <w:autoSpaceDE w:val="0"/>
        <w:autoSpaceDN w:val="0"/>
        <w:adjustRightInd w:val="0"/>
        <w:jc w:val="both"/>
        <w:rPr>
          <w:color w:val="000000" w:themeColor="text1"/>
          <w:sz w:val="16"/>
          <w:szCs w:val="16"/>
        </w:rPr>
      </w:pPr>
    </w:p>
    <w:p w14:paraId="7D223873" w14:textId="77777777" w:rsidR="000F1CB9" w:rsidRPr="00507A31" w:rsidRDefault="000F1CB9" w:rsidP="00507A31">
      <w:pPr>
        <w:jc w:val="both"/>
        <w:rPr>
          <w:color w:val="000000" w:themeColor="text1"/>
          <w:sz w:val="16"/>
          <w:szCs w:val="16"/>
        </w:rPr>
      </w:pPr>
      <w:r w:rsidRPr="00507A31">
        <w:rPr>
          <w:color w:val="000000" w:themeColor="text1"/>
          <w:sz w:val="16"/>
          <w:szCs w:val="16"/>
        </w:rPr>
        <w:t xml:space="preserve">В начале декабря 1930 года </w:t>
      </w:r>
      <w:hyperlink r:id="rId173" w:tgtFrame="_blank" w:history="1">
        <w:r w:rsidRPr="00507A31">
          <w:rPr>
            <w:color w:val="000000" w:themeColor="text1"/>
            <w:sz w:val="16"/>
            <w:szCs w:val="16"/>
          </w:rPr>
          <w:t>танк</w:t>
        </w:r>
      </w:hyperlink>
      <w:r w:rsidRPr="00507A31">
        <w:rPr>
          <w:color w:val="000000" w:themeColor="text1"/>
          <w:sz w:val="16"/>
          <w:szCs w:val="16"/>
        </w:rPr>
        <w:t>овым отделом ХПЗ под руководством М.Н. Тоскина были представлены два проекта модернизации закупленных машин БТ.</w:t>
      </w:r>
    </w:p>
    <w:p w14:paraId="24DC9029" w14:textId="77777777" w:rsidR="000F1CB9" w:rsidRPr="00507A31" w:rsidRDefault="000F1CB9" w:rsidP="00507A31">
      <w:pPr>
        <w:jc w:val="both"/>
        <w:rPr>
          <w:color w:val="000000" w:themeColor="text1"/>
          <w:sz w:val="16"/>
          <w:szCs w:val="16"/>
        </w:rPr>
      </w:pPr>
      <w:r w:rsidRPr="00507A31">
        <w:rPr>
          <w:color w:val="000000" w:themeColor="text1"/>
          <w:sz w:val="16"/>
          <w:szCs w:val="16"/>
        </w:rPr>
        <w:t xml:space="preserve">Первый проект представлял вариант </w:t>
      </w:r>
      <w:hyperlink r:id="rId174" w:tgtFrame="_blank" w:history="1">
        <w:r w:rsidRPr="00507A31">
          <w:rPr>
            <w:color w:val="000000" w:themeColor="text1"/>
            <w:sz w:val="16"/>
            <w:szCs w:val="16"/>
          </w:rPr>
          <w:t>танк</w:t>
        </w:r>
      </w:hyperlink>
      <w:r w:rsidRPr="00507A31">
        <w:rPr>
          <w:color w:val="000000" w:themeColor="text1"/>
          <w:sz w:val="16"/>
          <w:szCs w:val="16"/>
        </w:rPr>
        <w:t>а массой 7,5тонн. Его предполагалось вооружить одной 45-мм или 37-мм пушкой и пулеметом ДТ, установленными в уменьшенной по высоте башне. Боекомплект должен был включать 90 выстрелов к пушке и 2520 патронов. В укороченном корпусе предусматривалась установка карбюраторного двигателя м-6 мощностью 300 л.с. Ходовая часть должна была быть выполнена по четырехкатковой схеме. На колесном ходу передние катки были управляемыми, задние - ведущими. Рачетная максимальная скорость на колесном и гусеничном ходу составляла 53 км/ч. Экипаж машины должен был состоять из двух человек.</w:t>
      </w:r>
    </w:p>
    <w:p w14:paraId="3C933C74" w14:textId="77777777" w:rsidR="000F1CB9" w:rsidRPr="00507A31" w:rsidRDefault="000F1CB9" w:rsidP="00507A31">
      <w:pPr>
        <w:jc w:val="both"/>
        <w:rPr>
          <w:color w:val="000000" w:themeColor="text1"/>
          <w:sz w:val="16"/>
          <w:szCs w:val="16"/>
        </w:rPr>
      </w:pPr>
      <w:r w:rsidRPr="00507A31">
        <w:rPr>
          <w:color w:val="000000" w:themeColor="text1"/>
          <w:sz w:val="16"/>
          <w:szCs w:val="16"/>
        </w:rPr>
        <w:t xml:space="preserve">Второй проект предусматривал создание </w:t>
      </w:r>
      <w:hyperlink r:id="rId175" w:tgtFrame="_blank" w:history="1">
        <w:r w:rsidRPr="00507A31">
          <w:rPr>
            <w:color w:val="000000" w:themeColor="text1"/>
            <w:sz w:val="16"/>
            <w:szCs w:val="16"/>
          </w:rPr>
          <w:t>танк</w:t>
        </w:r>
      </w:hyperlink>
      <w:r w:rsidRPr="00507A31">
        <w:rPr>
          <w:color w:val="000000" w:themeColor="text1"/>
          <w:sz w:val="16"/>
          <w:szCs w:val="16"/>
        </w:rPr>
        <w:t xml:space="preserve">а, имевшего боевую массу 12-12,5 тонн, вооруженного одной 37-мм или 45-мм пушкой и двумя пулеметами ДТ (один пулемет устанавливался в лобовом листе рядом с механиком-водителем) с боекомплектом в 100 выстрелов к пушке и 2780 патронов к пулеметам. Проектировалась установка в </w:t>
      </w:r>
      <w:hyperlink r:id="rId176" w:tgtFrame="_blank" w:history="1">
        <w:r w:rsidRPr="00507A31">
          <w:rPr>
            <w:color w:val="000000" w:themeColor="text1"/>
            <w:sz w:val="16"/>
            <w:szCs w:val="16"/>
          </w:rPr>
          <w:t>танк</w:t>
        </w:r>
      </w:hyperlink>
      <w:r w:rsidRPr="00507A31">
        <w:rPr>
          <w:color w:val="000000" w:themeColor="text1"/>
          <w:sz w:val="16"/>
          <w:szCs w:val="16"/>
        </w:rPr>
        <w:t xml:space="preserve"> карбюраторного двигателя М-17 мощностью 500 л.с. Броневую защиту предусматривалось изготовить из 6-, 10- и 13-мм бронелистов. В ходовой части предусматривалось использовать пятикатковую схему с двумя ведущими (задними) и управляемыми (передними) опорными катками колесного хода состороны каждого борта. Привод к ведущим колесам осуществлялся "самостоятельной подвеской через две гитары, расположенные на одной оси".</w:t>
      </w:r>
    </w:p>
    <w:p w14:paraId="7782F385" w14:textId="77777777" w:rsidR="000F1CB9" w:rsidRPr="00507A31" w:rsidRDefault="000F1CB9" w:rsidP="00507A31">
      <w:pPr>
        <w:jc w:val="both"/>
        <w:rPr>
          <w:color w:val="000000" w:themeColor="text1"/>
          <w:sz w:val="16"/>
          <w:szCs w:val="16"/>
        </w:rPr>
      </w:pPr>
      <w:r w:rsidRPr="00507A31">
        <w:rPr>
          <w:color w:val="000000" w:themeColor="text1"/>
          <w:sz w:val="16"/>
          <w:szCs w:val="16"/>
        </w:rPr>
        <w:t xml:space="preserve">Расчетная максимальная скорость </w:t>
      </w:r>
      <w:hyperlink r:id="rId177" w:tgtFrame="_blank" w:history="1">
        <w:r w:rsidRPr="00507A31">
          <w:rPr>
            <w:color w:val="000000" w:themeColor="text1"/>
            <w:sz w:val="16"/>
            <w:szCs w:val="16"/>
          </w:rPr>
          <w:t>танк</w:t>
        </w:r>
      </w:hyperlink>
      <w:r w:rsidRPr="00507A31">
        <w:rPr>
          <w:color w:val="000000" w:themeColor="text1"/>
          <w:sz w:val="16"/>
          <w:szCs w:val="16"/>
        </w:rPr>
        <w:t>а на колесном ходу составляла 74 км/ч, на гусеничном - 53 км/ч. Экипаж должен был состоять из четырех человек.</w:t>
      </w:r>
    </w:p>
    <w:p w14:paraId="75C53D29" w14:textId="77777777" w:rsidR="000F1CB9" w:rsidRPr="00507A31" w:rsidRDefault="000F1CB9" w:rsidP="00507A31">
      <w:pPr>
        <w:jc w:val="both"/>
        <w:rPr>
          <w:color w:val="000000" w:themeColor="text1"/>
          <w:sz w:val="16"/>
          <w:szCs w:val="16"/>
        </w:rPr>
      </w:pPr>
      <w:r w:rsidRPr="00507A31">
        <w:rPr>
          <w:color w:val="000000" w:themeColor="text1"/>
          <w:sz w:val="16"/>
          <w:szCs w:val="16"/>
        </w:rPr>
        <w:t>При рассмотрении проектов НТК УММ постановил:</w:t>
      </w:r>
    </w:p>
    <w:p w14:paraId="2AC833E0" w14:textId="77777777" w:rsidR="000F1CB9" w:rsidRPr="00507A31" w:rsidRDefault="000F1CB9" w:rsidP="00507A31">
      <w:pPr>
        <w:jc w:val="both"/>
        <w:rPr>
          <w:color w:val="000000" w:themeColor="text1"/>
          <w:sz w:val="16"/>
          <w:szCs w:val="16"/>
        </w:rPr>
      </w:pPr>
      <w:r w:rsidRPr="00507A31">
        <w:rPr>
          <w:color w:val="000000" w:themeColor="text1"/>
          <w:sz w:val="16"/>
          <w:szCs w:val="16"/>
        </w:rPr>
        <w:t>"1. Считать первоочередной задачей модернизацию существующего серийного образца.</w:t>
      </w:r>
    </w:p>
    <w:p w14:paraId="5D7AD417" w14:textId="77777777" w:rsidR="000F1CB9" w:rsidRPr="00507A31" w:rsidRDefault="000F1CB9" w:rsidP="00507A31">
      <w:pPr>
        <w:jc w:val="both"/>
        <w:rPr>
          <w:color w:val="000000" w:themeColor="text1"/>
          <w:sz w:val="16"/>
          <w:szCs w:val="16"/>
        </w:rPr>
      </w:pPr>
      <w:r w:rsidRPr="00507A31">
        <w:rPr>
          <w:color w:val="000000" w:themeColor="text1"/>
          <w:sz w:val="16"/>
          <w:szCs w:val="16"/>
        </w:rPr>
        <w:t>2. по модернизации БТ:</w:t>
      </w:r>
    </w:p>
    <w:p w14:paraId="4C276DA4" w14:textId="77777777" w:rsidR="000F1CB9" w:rsidRPr="00507A31" w:rsidRDefault="000F1CB9" w:rsidP="00507A31">
      <w:pPr>
        <w:jc w:val="both"/>
        <w:rPr>
          <w:color w:val="000000" w:themeColor="text1"/>
          <w:sz w:val="16"/>
          <w:szCs w:val="16"/>
        </w:rPr>
      </w:pPr>
      <w:r w:rsidRPr="00507A31">
        <w:rPr>
          <w:color w:val="000000" w:themeColor="text1"/>
          <w:sz w:val="16"/>
          <w:szCs w:val="16"/>
        </w:rPr>
        <w:t>- работы по БТ (утяжеленному типу) не прекращать. В узловых чертежах испраить все ошибки, как в части конструктивного исполнения, так и в расчетной." (15619).</w:t>
      </w:r>
    </w:p>
    <w:p w14:paraId="1FA60D03" w14:textId="77777777" w:rsidR="000F1CB9" w:rsidRPr="00507A31" w:rsidRDefault="000F1CB9" w:rsidP="00507A31">
      <w:pPr>
        <w:jc w:val="both"/>
        <w:rPr>
          <w:color w:val="000000" w:themeColor="text1"/>
          <w:sz w:val="16"/>
          <w:szCs w:val="16"/>
        </w:rPr>
      </w:pPr>
    </w:p>
    <w:p w14:paraId="404DFD2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AF5FC44" w14:textId="77777777" w:rsidR="00537E5F" w:rsidRPr="00507A31" w:rsidRDefault="00537E5F" w:rsidP="00507A31">
      <w:pPr>
        <w:autoSpaceDE w:val="0"/>
        <w:autoSpaceDN w:val="0"/>
        <w:adjustRightInd w:val="0"/>
        <w:jc w:val="both"/>
        <w:rPr>
          <w:iCs/>
          <w:color w:val="000000" w:themeColor="text1"/>
          <w:sz w:val="16"/>
          <w:szCs w:val="16"/>
        </w:rPr>
      </w:pPr>
    </w:p>
    <w:p w14:paraId="19DB858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 декабря 1930 года перешли к испытанию геликоптера СОК ЭАО ЦАГИ без привязи. Аппарат совершил несколько рулений по земле и подъем на высоту примерно 2,5-3 метра. После четырех таких свободных испытаний машина потерпела аварию и ее пришлось основательно ремонтировать (6926, 5).</w:t>
      </w:r>
    </w:p>
    <w:p w14:paraId="159EA187"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1A779D6" w14:textId="77777777" w:rsidR="00537E5F" w:rsidRPr="00507A31" w:rsidRDefault="00AC7355" w:rsidP="00507A31">
      <w:pPr>
        <w:tabs>
          <w:tab w:val="left" w:pos="11199"/>
        </w:tabs>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0F9A64A" w14:textId="77777777" w:rsidR="00537E5F" w:rsidRPr="00507A31" w:rsidRDefault="00537E5F" w:rsidP="00507A31">
      <w:pPr>
        <w:tabs>
          <w:tab w:val="left" w:pos="11199"/>
        </w:tabs>
        <w:autoSpaceDE w:val="0"/>
        <w:autoSpaceDN w:val="0"/>
        <w:adjustRightInd w:val="0"/>
        <w:jc w:val="both"/>
        <w:rPr>
          <w:iCs/>
          <w:color w:val="000000" w:themeColor="text1"/>
          <w:sz w:val="16"/>
          <w:szCs w:val="16"/>
        </w:rPr>
      </w:pPr>
    </w:p>
    <w:p w14:paraId="546D2A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декабря 1930 г. было подготовлено ПИСЬМО ПРЕДСЕДАТЕЛЮ ВАТО О ПРОИЗВОДСТВЕ ТРЕХОСНЫХ АВТОМОБИЛЕЙ ДЛЯ РККА</w:t>
      </w:r>
    </w:p>
    <w:p w14:paraId="7B011F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751F84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Уважаемый Валериан Валерианович!</w:t>
      </w:r>
    </w:p>
    <w:p w14:paraId="553C04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течение 4 месяцев ведется переписка между аппаратами ВАТО и УММ по вопросу о производстве трехосных машин.</w:t>
      </w:r>
    </w:p>
    <w:p w14:paraId="7A8801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получено последнее письмо от т. Дмитриева, что ВАТО этим вопросом может заняться только к концу пятилетки.</w:t>
      </w:r>
    </w:p>
    <w:p w14:paraId="4EB30D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 сами понимаете, что о таких темпах не может быть и речи, ибо никто не позволит нам откладывать этот вопрос до конца пятилетия.</w:t>
      </w:r>
    </w:p>
    <w:p w14:paraId="461AA2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Кроме того, Вы знаете, что вопрос с трехосками — это вопрос моторизации нашей армии. Без трехосной машины не представляется возможным разрешать все те проблемы, в области моторизации, которые стоят перед нами. За этот период Вы знаете, что мы получили все типы трехосных машин, мы имеем на сегодняшний день трехосный Форд, образец изготовленный в Америке, который показал прекрасные качества, мы имеем трехосный Форд конструкции 4-го завода и, наконец, мы имеем трехоску АМО-2, образец сделанный из американских частей силами УММ. Этот перечень может быть увеличен в области трехосных машин, если Вы нам даете шасси Я-3, мы подкатим под не-; го мосты американских частей завода Тимкен и тем самым получим тип трехосного Я-3.</w:t>
      </w:r>
    </w:p>
    <w:p w14:paraId="06E173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Отсюда ясно, доказывается документально самими образцами, что у нас нет никаких мотивов го</w:t>
      </w:r>
      <w:r w:rsidRPr="00507A31">
        <w:rPr>
          <w:color w:val="000000" w:themeColor="text1"/>
          <w:sz w:val="16"/>
          <w:szCs w:val="16"/>
        </w:rPr>
        <w:softHyphen/>
        <w:t>ворить о том, что сейчас мы не можем реально поставить вопрос о производстве трехосных машин.</w:t>
      </w:r>
    </w:p>
    <w:p w14:paraId="120FCC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Отсюда совершенно ясно и понятно, что все вопросы о конструкции опытных образцов на сего</w:t>
      </w:r>
      <w:r w:rsidRPr="00507A31">
        <w:rPr>
          <w:color w:val="000000" w:themeColor="text1"/>
          <w:sz w:val="16"/>
          <w:szCs w:val="16"/>
        </w:rPr>
        <w:softHyphen/>
        <w:t>дняшний день отпадают, ибо они есть.</w:t>
      </w:r>
    </w:p>
    <w:p w14:paraId="031D5C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этим я позволю себе сделать следующие предложения:</w:t>
      </w:r>
    </w:p>
    <w:p w14:paraId="1867BD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На основе образцов трехосного Форда дать задание по проектированию производственной базы, так как мы в свое время с Вами этот вопрос фактически предрешили, это Нижегородская сборочная.</w:t>
      </w:r>
    </w:p>
    <w:p w14:paraId="5EE3FD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Дать задание АМО по образцу АМО-2, собранному УММ РККА, заниматься сейчас не в обла</w:t>
      </w:r>
      <w:r w:rsidRPr="00507A31">
        <w:rPr>
          <w:color w:val="000000" w:themeColor="text1"/>
          <w:sz w:val="16"/>
          <w:szCs w:val="16"/>
        </w:rPr>
        <w:softHyphen/>
        <w:t>сти самой конструкции, а вопросами производственного порядка. Образец АМО может быть пере</w:t>
      </w:r>
      <w:r w:rsidRPr="00507A31">
        <w:rPr>
          <w:color w:val="000000" w:themeColor="text1"/>
          <w:sz w:val="16"/>
          <w:szCs w:val="16"/>
        </w:rPr>
        <w:softHyphen/>
        <w:t>дан в любую минуту.</w:t>
      </w:r>
    </w:p>
    <w:p w14:paraId="6B7281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Дать нам шасси Я-3 и мы соберем образец для Ярославского завода, и для последнего останут</w:t>
      </w:r>
      <w:r w:rsidRPr="00507A31">
        <w:rPr>
          <w:color w:val="000000" w:themeColor="text1"/>
          <w:sz w:val="16"/>
          <w:szCs w:val="16"/>
        </w:rPr>
        <w:softHyphen/>
        <w:t>ся только вопросы производственного характера.</w:t>
      </w:r>
    </w:p>
    <w:p w14:paraId="22D933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Вот, по моему мнению, план конкретных мероприятий по трехоскам.</w:t>
      </w:r>
    </w:p>
    <w:p w14:paraId="019AE0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Убедительно прошу, Вас, Валериан Валерианович, не только по занимаемой должности, но как член Партии, - вмешаться в этот вопрос, отдать Ваше конкретное личное распоряжение, и я уверен, что дело пойдет.</w:t>
      </w:r>
    </w:p>
    <w:p w14:paraId="2DA408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Коммунистическим Приветом Халепский</w:t>
      </w:r>
    </w:p>
    <w:p w14:paraId="08DFAF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РГВАФ. 31811. Оп. 1. Д. 351. Л. 2. Копия (11210).</w:t>
      </w:r>
    </w:p>
    <w:p w14:paraId="084FDC41" w14:textId="77777777" w:rsidR="00537E5F" w:rsidRPr="00507A31" w:rsidRDefault="00537E5F" w:rsidP="00507A31">
      <w:pPr>
        <w:autoSpaceDE w:val="0"/>
        <w:autoSpaceDN w:val="0"/>
        <w:adjustRightInd w:val="0"/>
        <w:jc w:val="both"/>
        <w:rPr>
          <w:color w:val="000000" w:themeColor="text1"/>
          <w:sz w:val="16"/>
          <w:szCs w:val="16"/>
        </w:rPr>
      </w:pPr>
    </w:p>
    <w:p w14:paraId="7AC15A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декабря 1930 года постановлением РВСС был утвержден технический проект лидета, которые разработало БСПС. По результатам разработки общего проекта корабль имел полубачную архитектуру и клепаный корпус с наклонным форштевнем. Корпус предполагалось изготовить из новой специально разрабатываемой, легированной марганцовистой стали. Главная энергетическая установка состояла из трех паровых котлов и трех ГТЗА, работаю­щих каждый на свой вал. Было принято эше­лонное размещение ГЭУ: два котла в 1 -м котельном отделении обеспечивали паром два главных ГТЗА, расположенных в 1 -м машинном отделении и работающих на левый и правый гребные валы, третий паровой ко­тел — во 2-м котельном отделении, ГТЗА, работающий на средний вал — во 2-м ма­шинном отделении. Отработанные продук­ты сгорания выводились через две дымовых трубы. Пять 130-мм щитовых орудий главного калибра устанавливались в диаметральной плоскости, причем 2-е и 4-е устанавли­вались на высоких барбетах над 1 -м и 5-м, 3-е — за носовой трубой. Для предохране­ния расчетов 1 -го и 5-го орудий от воздей­ствия дульных газов при стрельбе 2-го и 4-го они снабжались козырьками-газоотбой­никами. Зенитные пулеметы располагались по­парно по бортам — два на носовой над­стройке, два — на кормовой. Трехтрубные торпедные аппараты устанавливались в средней части: один между дымовыми тру­бами, второй — за кормовой трубой. Ко­рабль имел две мачты и стрелу для подъе­ма и спуска на воду гидросамолета, разме­щавшегося между трубами. По бортам, у кормовой трубы, имелись площадки для прожекторов. КДП разме­щался на четвертом ярусе носовой надстройки. Экипаж располагался в основном в носовой части корпуса корабля и в над­стройке. По общему виду лидер, разработанный БСПС, мало отличался от проекта, пред­ставленного ранее НТКМ УВМС: та же полубачная архитектура, тот же клепаный стальной корпус. Основные отличия заклю­чались в следующем: все орудия главного калибра приобрели противопульные щиты; торпедные аппараты стали четырехтрубными; на кормовой надстройке появился вто­рой КДП; усилилось зенитное вооружение: к 37-мм орудиям и 12,7-мм пулеметам до­бавились два 76,2-мм орудия; лидер лишил­ся катапульты — самолет со складывающи­мися крыльями (СПЛ) предполагалось опус­кать на воду и поднимать с воды с помощью грузовой стрелы. Однако оценка возможности достиже­ния заданных ТТЭ и сравнение с зарубежны­ми аналогами, а также закладываемые вы­сокие характеристики (в частности, по ско­рости и дальности плавания) побудили БСПС к более тщательным проектным проработ­кам и проведению глубоких научно-техни­ческих исследований. Развернутое в СССР строительство боль­шого флота, появление новых классов и ти­пов кораблей с высокими характеристика­ми, в частности, высокоскоростных лиде­ров, вызвало необходимость решения многих научно-технических проблем. Круг возникавших при этом вопросов постоянно расширялся, сами проблемы становились все более сложными, вызывали необходи­мость проведения большого объема науч­ных исследований и экспериментов. В ответ на запросы практики корабле­строения в годы 1 -и пятилетки начала создаваться и научно-исследовательская база отечественно­го судостроения. В этот период сложилась система научно-исследова­тельских и проект­ных организаций. Задания на проекты отдельных систем и устройств разраба­тывались научно-исследовательскими институтами ВМФ, созданными на базе секций НТКМ. На разных эта­пах создания лиде­ров возникали и ре­шались свои специ­фические проблемы:</w:t>
      </w:r>
    </w:p>
    <w:p w14:paraId="66B421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проектиро­вании — задачи те­ории корабля и строительной меха­ники, совершен­ствование форм и обводов корпуса, раци­онального конструирования;</w:t>
      </w:r>
    </w:p>
    <w:p w14:paraId="277F85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строительстве — совершенствова­ние технологии, особенно сварки, создание новых совершенных энергетических устано­вок и вооружения, поиск и создание новых конструкционных материалов;</w:t>
      </w:r>
    </w:p>
    <w:p w14:paraId="624305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испытаниях — анализ путей совер­шенствования ходовых качеств и решения проблемы кавитации;</w:t>
      </w:r>
    </w:p>
    <w:p w14:paraId="403A0F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эксплуатации — обеспечение проч­ностных характеристик корпусных конструк­ций корабля, повышение эффективности применения вооружения (11866).</w:t>
      </w:r>
    </w:p>
    <w:p w14:paraId="0E6FA551" w14:textId="77777777" w:rsidR="00537E5F" w:rsidRPr="00507A31" w:rsidRDefault="00537E5F" w:rsidP="00507A31">
      <w:pPr>
        <w:autoSpaceDE w:val="0"/>
        <w:autoSpaceDN w:val="0"/>
        <w:adjustRightInd w:val="0"/>
        <w:jc w:val="both"/>
        <w:rPr>
          <w:color w:val="000000" w:themeColor="text1"/>
          <w:sz w:val="16"/>
          <w:szCs w:val="16"/>
        </w:rPr>
      </w:pPr>
    </w:p>
    <w:p w14:paraId="6C25D589" w14:textId="77777777" w:rsidR="009C0FC4" w:rsidRPr="00507A31" w:rsidRDefault="009C0FC4"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27DE30E" w14:textId="77777777" w:rsidR="009C0FC4" w:rsidRPr="00507A31" w:rsidRDefault="009C0FC4" w:rsidP="00507A31">
      <w:pPr>
        <w:autoSpaceDE w:val="0"/>
        <w:autoSpaceDN w:val="0"/>
        <w:adjustRightInd w:val="0"/>
        <w:jc w:val="both"/>
        <w:rPr>
          <w:iCs/>
          <w:color w:val="000000" w:themeColor="text1"/>
          <w:sz w:val="16"/>
          <w:szCs w:val="16"/>
        </w:rPr>
      </w:pPr>
    </w:p>
    <w:p w14:paraId="327C5459" w14:textId="77777777" w:rsidR="009C0FC4" w:rsidRPr="00507A31" w:rsidRDefault="009C0FC4"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декабря 1930 года Верховный суд СССР вынес приговор Рамзину и его подельникам по «Промпартии». После объявления приговора нача</w:t>
      </w:r>
      <w:r w:rsidRPr="00507A31">
        <w:rPr>
          <w:color w:val="000000" w:themeColor="text1"/>
          <w:sz w:val="16"/>
          <w:szCs w:val="16"/>
        </w:rPr>
        <w:softHyphen/>
        <w:t>лись по стране митинги трудящихся. За раскрытие вредительской орга</w:t>
      </w:r>
      <w:r w:rsidRPr="00507A31">
        <w:rPr>
          <w:color w:val="000000" w:themeColor="text1"/>
          <w:sz w:val="16"/>
          <w:szCs w:val="16"/>
        </w:rPr>
        <w:softHyphen/>
        <w:t>низации выступающие благодарили работников ОГПУ, клеймили позо</w:t>
      </w:r>
      <w:r w:rsidRPr="00507A31">
        <w:rPr>
          <w:color w:val="000000" w:themeColor="text1"/>
          <w:sz w:val="16"/>
          <w:szCs w:val="16"/>
        </w:rPr>
        <w:softHyphen/>
        <w:t>ром преступную банду, обещали быть бдительными на своих местах. И еще лучше работать на благо Родины, не считаясь с трудностями жизни...</w:t>
      </w:r>
    </w:p>
    <w:p w14:paraId="66BCA004" w14:textId="77777777" w:rsidR="009C0FC4" w:rsidRPr="00507A31" w:rsidRDefault="009C0FC4"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Зачитывая обвинительное заключение по делу «Промпартии», Госу</w:t>
      </w:r>
      <w:r w:rsidRPr="00507A31">
        <w:rPr>
          <w:color w:val="000000" w:themeColor="text1"/>
          <w:sz w:val="16"/>
          <w:szCs w:val="16"/>
        </w:rPr>
        <w:softHyphen/>
        <w:t>дарственный обвинитель Н.В. Крыленко отметил: «...По моему впечат</w:t>
      </w:r>
      <w:r w:rsidRPr="00507A31">
        <w:rPr>
          <w:color w:val="000000" w:themeColor="text1"/>
          <w:sz w:val="16"/>
          <w:szCs w:val="16"/>
        </w:rPr>
        <w:softHyphen/>
        <w:t>лению, общий объем московской организации, непосредственно связан</w:t>
      </w:r>
      <w:r w:rsidRPr="00507A31">
        <w:rPr>
          <w:color w:val="000000" w:themeColor="text1"/>
          <w:sz w:val="16"/>
          <w:szCs w:val="16"/>
        </w:rPr>
        <w:softHyphen/>
        <w:t>ной с центром, можно оценивать около 40-50 человек, а суммарное коли</w:t>
      </w:r>
      <w:r w:rsidRPr="00507A31">
        <w:rPr>
          <w:color w:val="000000" w:themeColor="text1"/>
          <w:sz w:val="16"/>
          <w:szCs w:val="16"/>
        </w:rPr>
        <w:softHyphen/>
        <w:t>чество членов организации, тяготеющих непосредственно к центру,— порядка 400-500 человек. Общее же количество участников организации, включая низовых работников, доходило до 2 тысяч человек» (11504).</w:t>
      </w:r>
    </w:p>
    <w:p w14:paraId="6D53A772" w14:textId="77777777" w:rsidR="009C0FC4" w:rsidRPr="00507A31" w:rsidRDefault="009C0FC4" w:rsidP="00507A31">
      <w:pPr>
        <w:shd w:val="clear" w:color="auto" w:fill="FFFFFF"/>
        <w:autoSpaceDE w:val="0"/>
        <w:autoSpaceDN w:val="0"/>
        <w:adjustRightInd w:val="0"/>
        <w:jc w:val="both"/>
        <w:rPr>
          <w:color w:val="000000" w:themeColor="text1"/>
          <w:sz w:val="16"/>
          <w:szCs w:val="16"/>
        </w:rPr>
      </w:pPr>
    </w:p>
    <w:p w14:paraId="3D4BB321" w14:textId="77777777" w:rsidR="009C0FC4" w:rsidRPr="00507A31" w:rsidRDefault="009C0FC4" w:rsidP="00507A31">
      <w:pPr>
        <w:jc w:val="both"/>
        <w:rPr>
          <w:color w:val="000000" w:themeColor="text1"/>
          <w:sz w:val="16"/>
          <w:szCs w:val="16"/>
        </w:rPr>
      </w:pPr>
      <w:r w:rsidRPr="00507A31">
        <w:rPr>
          <w:color w:val="000000" w:themeColor="text1"/>
          <w:sz w:val="16"/>
          <w:szCs w:val="16"/>
        </w:rPr>
        <w:t>7 декабря 1930 г.</w:t>
      </w:r>
    </w:p>
    <w:p w14:paraId="1C23D66D" w14:textId="77777777" w:rsidR="009C0FC4" w:rsidRPr="00507A31" w:rsidRDefault="009C0FC4" w:rsidP="00507A31">
      <w:pPr>
        <w:jc w:val="both"/>
        <w:rPr>
          <w:color w:val="000000" w:themeColor="text1"/>
          <w:sz w:val="16"/>
          <w:szCs w:val="16"/>
        </w:rPr>
      </w:pPr>
      <w:r w:rsidRPr="00507A31">
        <w:rPr>
          <w:color w:val="000000" w:themeColor="text1"/>
          <w:sz w:val="16"/>
          <w:szCs w:val="16"/>
        </w:rPr>
        <w:t>Приговор по «делу “Промпартии”». 7 декабря 1930 г.</w:t>
      </w:r>
    </w:p>
    <w:p w14:paraId="25E5DA7B" w14:textId="77777777" w:rsidR="009C0FC4" w:rsidRPr="00507A31" w:rsidRDefault="009C0FC4" w:rsidP="00507A31">
      <w:pPr>
        <w:jc w:val="both"/>
        <w:rPr>
          <w:color w:val="000000" w:themeColor="text1"/>
          <w:sz w:val="16"/>
          <w:szCs w:val="16"/>
        </w:rPr>
      </w:pPr>
      <w:r w:rsidRPr="00507A31">
        <w:rPr>
          <w:color w:val="000000" w:themeColor="text1"/>
          <w:sz w:val="16"/>
          <w:szCs w:val="16"/>
        </w:rPr>
        <w:t>Источник: </w:t>
      </w:r>
    </w:p>
    <w:p w14:paraId="7DFB7413" w14:textId="77777777" w:rsidR="009C0FC4" w:rsidRPr="00507A31" w:rsidRDefault="009C0FC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2A1037A" w14:textId="77777777" w:rsidR="009C0FC4" w:rsidRPr="00507A31" w:rsidRDefault="009C0FC4" w:rsidP="00507A31">
      <w:pPr>
        <w:jc w:val="both"/>
        <w:rPr>
          <w:color w:val="000000" w:themeColor="text1"/>
          <w:sz w:val="16"/>
          <w:szCs w:val="16"/>
        </w:rPr>
      </w:pPr>
      <w:r w:rsidRPr="00507A31">
        <w:rPr>
          <w:color w:val="000000" w:themeColor="text1"/>
          <w:sz w:val="16"/>
          <w:szCs w:val="16"/>
        </w:rPr>
        <w:t>7 декабря 1930 г.</w:t>
      </w:r>
    </w:p>
    <w:p w14:paraId="660F1B7C" w14:textId="77777777" w:rsidR="009C0FC4" w:rsidRPr="00507A31" w:rsidRDefault="009C0FC4" w:rsidP="00507A31">
      <w:pPr>
        <w:jc w:val="both"/>
        <w:rPr>
          <w:color w:val="000000" w:themeColor="text1"/>
          <w:sz w:val="16"/>
          <w:szCs w:val="16"/>
        </w:rPr>
      </w:pPr>
      <w:r w:rsidRPr="00507A31">
        <w:rPr>
          <w:color w:val="000000" w:themeColor="text1"/>
          <w:sz w:val="16"/>
          <w:szCs w:val="16"/>
        </w:rPr>
        <w:t>ПРИГОВОР</w:t>
      </w:r>
    </w:p>
    <w:p w14:paraId="6C9E5EC7" w14:textId="77777777" w:rsidR="009C0FC4" w:rsidRPr="00507A31" w:rsidRDefault="009C0FC4" w:rsidP="00507A31">
      <w:pPr>
        <w:jc w:val="both"/>
        <w:rPr>
          <w:color w:val="000000" w:themeColor="text1"/>
          <w:sz w:val="16"/>
          <w:szCs w:val="16"/>
        </w:rPr>
      </w:pPr>
      <w:r w:rsidRPr="00507A31">
        <w:rPr>
          <w:color w:val="000000" w:themeColor="text1"/>
          <w:sz w:val="16"/>
          <w:szCs w:val="16"/>
        </w:rPr>
        <w:t>Специального судебного присутствия Верховного суда Союза ССР по делу контрреволюционной организации «Промышленная партия»</w:t>
      </w:r>
    </w:p>
    <w:p w14:paraId="12A6E65E" w14:textId="77777777" w:rsidR="009C0FC4" w:rsidRPr="00507A31" w:rsidRDefault="009C0FC4" w:rsidP="00507A31">
      <w:pPr>
        <w:jc w:val="both"/>
        <w:rPr>
          <w:color w:val="000000" w:themeColor="text1"/>
          <w:sz w:val="16"/>
          <w:szCs w:val="16"/>
        </w:rPr>
      </w:pPr>
      <w:r w:rsidRPr="00507A31">
        <w:rPr>
          <w:color w:val="000000" w:themeColor="text1"/>
          <w:sz w:val="16"/>
          <w:szCs w:val="16"/>
        </w:rPr>
        <w:t>Именем Союза Советских Социалистических Республик Специальное судебное присутствие Верховного суда Союза ССР в составе: председательствующего т. Вышинского А. Я. и членов тт. Антонова-Саратовского В. П. и Львова В. Л., при секретарях тт. Яковлеве А. Ф., Иваненко Г. И. и Шарутине П. И. с участием государственных обвинителей — прокурора РСФСР тов. Крыленко Н. В. и пом. прокурора РСФСР тов. Фридберга В. И. и членов московской областной коллегии защитников тт. Брауде И. Д. и Оцеп М. А., рассмотрев в открытых и закрытом судебных заседаниях от 25 ноября по 7 декабря 1930 г. дело № 38 контрреволюционной организации «Союза инженерных организаций» («Промышленная партия») по обвинению:</w:t>
      </w:r>
    </w:p>
    <w:p w14:paraId="27E0512F" w14:textId="77777777" w:rsidR="009C0FC4" w:rsidRPr="00507A31" w:rsidRDefault="009C0FC4" w:rsidP="00507A31">
      <w:pPr>
        <w:jc w:val="both"/>
        <w:rPr>
          <w:color w:val="000000" w:themeColor="text1"/>
          <w:sz w:val="16"/>
          <w:szCs w:val="16"/>
        </w:rPr>
      </w:pPr>
      <w:r w:rsidRPr="00507A31">
        <w:rPr>
          <w:color w:val="000000" w:themeColor="text1"/>
          <w:sz w:val="16"/>
          <w:szCs w:val="16"/>
        </w:rPr>
        <w:t>Рамзина Леонида Константиновича, 43 лет, гр-на СССР, бывш. профессора Московского высшего механ. машиностроительного училища и б. директора Теплотехнического института;</w:t>
      </w:r>
    </w:p>
    <w:p w14:paraId="639731EB" w14:textId="77777777" w:rsidR="009C0FC4" w:rsidRPr="00507A31" w:rsidRDefault="009C0FC4" w:rsidP="00507A31">
      <w:pPr>
        <w:jc w:val="both"/>
        <w:rPr>
          <w:color w:val="000000" w:themeColor="text1"/>
          <w:sz w:val="16"/>
          <w:szCs w:val="16"/>
        </w:rPr>
      </w:pPr>
      <w:r w:rsidRPr="00507A31">
        <w:rPr>
          <w:color w:val="000000" w:themeColor="text1"/>
          <w:sz w:val="16"/>
          <w:szCs w:val="16"/>
        </w:rPr>
        <w:t>Калинникова Ивана Андреевича, 56 лет, гр-на СССР, бывш. зам. председателя производственного Сектора Госплана СССР, б. профессора Военно-Воздушной академии и др. высших учебных заведений;</w:t>
      </w:r>
    </w:p>
    <w:p w14:paraId="3A62E6E7" w14:textId="77777777" w:rsidR="009C0FC4" w:rsidRPr="00507A31" w:rsidRDefault="009C0FC4" w:rsidP="00507A31">
      <w:pPr>
        <w:jc w:val="both"/>
        <w:rPr>
          <w:color w:val="000000" w:themeColor="text1"/>
          <w:sz w:val="16"/>
          <w:szCs w:val="16"/>
        </w:rPr>
      </w:pPr>
      <w:r w:rsidRPr="00507A31">
        <w:rPr>
          <w:color w:val="000000" w:themeColor="text1"/>
          <w:sz w:val="16"/>
          <w:szCs w:val="16"/>
        </w:rPr>
        <w:t>Ларичева Виктора Алексеевича, 43 л., гр-на СССР, бывш. председателя топливной секции и члена президиума Госплана СССР;</w:t>
      </w:r>
    </w:p>
    <w:p w14:paraId="7F410049" w14:textId="77777777" w:rsidR="009C0FC4" w:rsidRPr="00507A31" w:rsidRDefault="009C0FC4" w:rsidP="00507A31">
      <w:pPr>
        <w:jc w:val="both"/>
        <w:rPr>
          <w:color w:val="000000" w:themeColor="text1"/>
          <w:sz w:val="16"/>
          <w:szCs w:val="16"/>
        </w:rPr>
      </w:pPr>
      <w:r w:rsidRPr="00507A31">
        <w:rPr>
          <w:color w:val="000000" w:themeColor="text1"/>
          <w:sz w:val="16"/>
          <w:szCs w:val="16"/>
        </w:rPr>
        <w:t>Чарновского Николая Францевича, 62 лет, гр-на СССР, бывш. зам. председателя Научно-технического совета машиностроения при правлении Машобъединения ВСНХ СССР и б. профессора различных высших учебных заведений;</w:t>
      </w:r>
    </w:p>
    <w:p w14:paraId="7BB4DE96" w14:textId="77777777" w:rsidR="009C0FC4" w:rsidRPr="00507A31" w:rsidRDefault="009C0FC4" w:rsidP="00507A31">
      <w:pPr>
        <w:jc w:val="both"/>
        <w:rPr>
          <w:color w:val="000000" w:themeColor="text1"/>
          <w:sz w:val="16"/>
          <w:szCs w:val="16"/>
        </w:rPr>
      </w:pPr>
      <w:r w:rsidRPr="00507A31">
        <w:rPr>
          <w:color w:val="000000" w:themeColor="text1"/>
          <w:sz w:val="16"/>
          <w:szCs w:val="16"/>
        </w:rPr>
        <w:t>Федотова Александра Александровича, 66 лет, гр-на СССР, бывш. председателя коллегии Научно-исследовательского текстильного института (НИТИ) и б. профессора высших технических учебных заведений;</w:t>
      </w:r>
    </w:p>
    <w:p w14:paraId="64CC1A40" w14:textId="77777777" w:rsidR="009C0FC4" w:rsidRPr="00507A31" w:rsidRDefault="009C0FC4" w:rsidP="00507A31">
      <w:pPr>
        <w:jc w:val="both"/>
        <w:rPr>
          <w:color w:val="000000" w:themeColor="text1"/>
          <w:sz w:val="16"/>
          <w:szCs w:val="16"/>
        </w:rPr>
      </w:pPr>
      <w:r w:rsidRPr="00507A31">
        <w:rPr>
          <w:color w:val="000000" w:themeColor="text1"/>
          <w:sz w:val="16"/>
          <w:szCs w:val="16"/>
        </w:rPr>
        <w:t>Куприянова Сергея Викторовича, 59 лет, гр-на СССР, бывш. технического директора Оргтекстиля ВСНХ СССР, — всех шестерых в преступлениях, предусмотренных ст.ст. 58 п. 3, 58 п. 4 и 58 п. 6 Уг. Код. РСФСР;</w:t>
      </w:r>
    </w:p>
    <w:p w14:paraId="0517E989" w14:textId="77777777" w:rsidR="009C0FC4" w:rsidRPr="00507A31" w:rsidRDefault="009C0FC4" w:rsidP="00507A31">
      <w:pPr>
        <w:jc w:val="both"/>
        <w:rPr>
          <w:color w:val="000000" w:themeColor="text1"/>
          <w:sz w:val="16"/>
          <w:szCs w:val="16"/>
        </w:rPr>
      </w:pPr>
      <w:r w:rsidRPr="00507A31">
        <w:rPr>
          <w:color w:val="000000" w:themeColor="text1"/>
          <w:sz w:val="16"/>
          <w:szCs w:val="16"/>
        </w:rPr>
        <w:lastRenderedPageBreak/>
        <w:t>Очкина Владимира Ивановича, 39 л., гр-на СССР, бывш. ученого секретаря Теплотехнического института и бывш. заведующего] отделом руководства научно-исследовательского сектора ВСНХ СССР, в преступлениях, предусмотренных ст.ст. 58 п. 3 и 58 п. 6 Уг. Код. РСФСР, и</w:t>
      </w:r>
    </w:p>
    <w:p w14:paraId="0166EFE9" w14:textId="77777777" w:rsidR="009C0FC4" w:rsidRPr="00507A31" w:rsidRDefault="009C0FC4" w:rsidP="00507A31">
      <w:pPr>
        <w:jc w:val="both"/>
        <w:rPr>
          <w:color w:val="000000" w:themeColor="text1"/>
          <w:sz w:val="16"/>
          <w:szCs w:val="16"/>
        </w:rPr>
      </w:pPr>
      <w:r w:rsidRPr="00507A31">
        <w:rPr>
          <w:color w:val="000000" w:themeColor="text1"/>
          <w:sz w:val="16"/>
          <w:szCs w:val="16"/>
        </w:rPr>
        <w:t>Ситнина Ксенофонта Васильевича, 52 л., гр-на СССР, бывш. инженера Всесоюзного текстильного синдиката, в преступлениях, предусмотренных ст.ст. 58 п. 3 и 58 п. 4 УК РСФСР, нашло:</w:t>
      </w:r>
    </w:p>
    <w:p w14:paraId="650E6787" w14:textId="77777777" w:rsidR="009C0FC4" w:rsidRPr="00507A31" w:rsidRDefault="009C0FC4" w:rsidP="00507A31">
      <w:pPr>
        <w:jc w:val="both"/>
        <w:rPr>
          <w:color w:val="000000" w:themeColor="text1"/>
          <w:sz w:val="16"/>
          <w:szCs w:val="16"/>
        </w:rPr>
      </w:pPr>
      <w:r w:rsidRPr="00507A31">
        <w:rPr>
          <w:color w:val="000000" w:themeColor="text1"/>
          <w:sz w:val="16"/>
          <w:szCs w:val="16"/>
        </w:rPr>
        <w:t>Окончательный разгром Красной армией в 1920 г. армий белогвардейских генералов, организованных и руководимых империалистическими государствами, пытавшихся свергнуть советскую власть и восстановить власть помещиков и капиталистов, открыл трудящимся СССР путь к мирному хозяйственному строительству на социалистических началах.</w:t>
      </w:r>
    </w:p>
    <w:p w14:paraId="74A6947C" w14:textId="77777777" w:rsidR="009C0FC4" w:rsidRPr="00507A31" w:rsidRDefault="009C0FC4" w:rsidP="00507A31">
      <w:pPr>
        <w:jc w:val="both"/>
        <w:rPr>
          <w:color w:val="000000" w:themeColor="text1"/>
          <w:sz w:val="16"/>
          <w:szCs w:val="16"/>
        </w:rPr>
      </w:pPr>
      <w:r w:rsidRPr="00507A31">
        <w:rPr>
          <w:color w:val="000000" w:themeColor="text1"/>
          <w:sz w:val="16"/>
          <w:szCs w:val="16"/>
        </w:rPr>
        <w:t>Рабочий класс СССР в союзе с основными крестьянскими массами с величайшим напряжением сил ликвидировали в течение последовавших затем нескольких лет тягчайшие последствия империалистической и гражданской войн, преодолев многочисленные трудности пройденного в эти годы восстановительного периода и перейдя в новых условиях к широкому социалистическому наступлению по всему фронту.</w:t>
      </w:r>
    </w:p>
    <w:p w14:paraId="359B5AAC" w14:textId="77777777" w:rsidR="009C0FC4" w:rsidRPr="00507A31" w:rsidRDefault="009C0FC4" w:rsidP="00507A31">
      <w:pPr>
        <w:jc w:val="both"/>
        <w:rPr>
          <w:color w:val="000000" w:themeColor="text1"/>
          <w:sz w:val="16"/>
          <w:szCs w:val="16"/>
        </w:rPr>
      </w:pPr>
      <w:r w:rsidRPr="00507A31">
        <w:rPr>
          <w:color w:val="000000" w:themeColor="text1"/>
          <w:sz w:val="16"/>
          <w:szCs w:val="16"/>
        </w:rPr>
        <w:t>Уже в течение всего восстановительного периода борьба рабочего класса за скорейшее налаживание хозяйственной жизни СССР, за успехи социалистического строительства встречала упорное и непрекращающееся сопротивление со стороны уцелевших в нашей стране капиталистических элементов и примыкавшей к ним части буржуазной интеллигенции, пытавшихся всеми средствами — саботажем, прямой порчей и разрушением государственного имущества и даже целых предприятий — дезорганизовать, задержать и сорвать победоносное движение пролетариата по пути восстановления хозяйственной жизни пролетарского государства и укрепления его социалистического строительства.</w:t>
      </w:r>
    </w:p>
    <w:p w14:paraId="23F25B9E" w14:textId="77777777" w:rsidR="009C0FC4" w:rsidRPr="00507A31" w:rsidRDefault="009C0FC4" w:rsidP="00507A31">
      <w:pPr>
        <w:jc w:val="both"/>
        <w:rPr>
          <w:color w:val="000000" w:themeColor="text1"/>
          <w:sz w:val="16"/>
          <w:szCs w:val="16"/>
        </w:rPr>
      </w:pPr>
      <w:r w:rsidRPr="00507A31">
        <w:rPr>
          <w:color w:val="000000" w:themeColor="text1"/>
          <w:sz w:val="16"/>
          <w:szCs w:val="16"/>
        </w:rPr>
        <w:t>Успехи этого строительства, с одной стороны, и энергичная, решительная борьба пролетариата со всякими попытками его срыва, с другой, парализовали эти попытки, вызывая одновременно в среде самой буржуазной интеллигенции усиление того процесса расслоения, в результате которого антисоветские и антипролетарские настроения сделались достоянием по преимуществу верхушечной части этой интеллигенции, тесно связанной в прошлом с капиталистическими кругами и занимавшей при капиталистическом строе привилегированное положение.</w:t>
      </w:r>
    </w:p>
    <w:p w14:paraId="23B17BCA" w14:textId="77777777" w:rsidR="009C0FC4" w:rsidRPr="00507A31" w:rsidRDefault="009C0FC4" w:rsidP="00507A31">
      <w:pPr>
        <w:jc w:val="both"/>
        <w:rPr>
          <w:color w:val="000000" w:themeColor="text1"/>
          <w:sz w:val="16"/>
          <w:szCs w:val="16"/>
        </w:rPr>
      </w:pPr>
      <w:r w:rsidRPr="00507A31">
        <w:rPr>
          <w:color w:val="000000" w:themeColor="text1"/>
          <w:sz w:val="16"/>
          <w:szCs w:val="16"/>
        </w:rPr>
        <w:t>Именно из среды этой верхушечной части специалистов, пропитанных буржуазно-капиталистической идеологией и являвшихся убежденными противниками Октябрьской революции и социалистического строительства, вышли наиболее непримиримые и наиболее озлобленные организаторы и участники всякого рода контрреволюционных заговоров, направленных на дезорганизацию советского народного хозяйства, на разрушение социалистической промышленности, на подготовку низвержения советской власти вооруженной силой.</w:t>
      </w:r>
    </w:p>
    <w:p w14:paraId="6AE6C17B" w14:textId="77777777" w:rsidR="009C0FC4" w:rsidRPr="00507A31" w:rsidRDefault="009C0FC4" w:rsidP="00507A31">
      <w:pPr>
        <w:jc w:val="both"/>
        <w:rPr>
          <w:color w:val="000000" w:themeColor="text1"/>
          <w:sz w:val="16"/>
          <w:szCs w:val="16"/>
        </w:rPr>
      </w:pPr>
      <w:r w:rsidRPr="00507A31">
        <w:rPr>
          <w:color w:val="000000" w:themeColor="text1"/>
          <w:sz w:val="16"/>
          <w:szCs w:val="16"/>
        </w:rPr>
        <w:t>Переход от восстановительного к реконструктивному периоду, означавший растущий подъем всего народного хозяйства СССР и громадные успехи социалистического строительства, с одной стороны, и все усиливающийся кризис в странах капитализма, с другой, вызвали ожесточенное сопротивление капиталистических элементов и идеологически связанных с ними кругов технической интеллигенции СССР и всего мира.</w:t>
      </w:r>
    </w:p>
    <w:p w14:paraId="3199885E" w14:textId="77777777" w:rsidR="009C0FC4" w:rsidRPr="00507A31" w:rsidRDefault="009C0FC4" w:rsidP="00507A31">
      <w:pPr>
        <w:jc w:val="both"/>
        <w:rPr>
          <w:color w:val="000000" w:themeColor="text1"/>
          <w:sz w:val="16"/>
          <w:szCs w:val="16"/>
        </w:rPr>
      </w:pPr>
      <w:r w:rsidRPr="00507A31">
        <w:rPr>
          <w:color w:val="000000" w:themeColor="text1"/>
          <w:sz w:val="16"/>
          <w:szCs w:val="16"/>
        </w:rPr>
        <w:t>Перед лицом все более и более крепнущей и усиливающейся хозяйственной, политической и военной мощи СССР смыкаются единым фронтом все силы старого мира, мобилизующего в «крестовый поход» против пролетарского государства — отечества мирового пролетариата и всех трудящихся — все средства скрытой борьбы и открытого нападения.</w:t>
      </w:r>
    </w:p>
    <w:p w14:paraId="6A113B36" w14:textId="77777777" w:rsidR="009C0FC4" w:rsidRPr="00507A31" w:rsidRDefault="009C0FC4" w:rsidP="00507A31">
      <w:pPr>
        <w:jc w:val="both"/>
        <w:rPr>
          <w:color w:val="000000" w:themeColor="text1"/>
          <w:sz w:val="16"/>
          <w:szCs w:val="16"/>
        </w:rPr>
      </w:pPr>
      <w:r w:rsidRPr="00507A31">
        <w:rPr>
          <w:color w:val="000000" w:themeColor="text1"/>
          <w:sz w:val="16"/>
          <w:szCs w:val="16"/>
        </w:rPr>
        <w:t>Такова была обстановка, в которой сложилась и стала действовать контрреволюционная организация «Союз инженерных организаций» («Промышленная партия»), объединившая в единую организацию все вредительские группировки, действовавшие по различным отраслям промышленности.</w:t>
      </w:r>
    </w:p>
    <w:p w14:paraId="3219883F" w14:textId="77777777" w:rsidR="009C0FC4" w:rsidRPr="00507A31" w:rsidRDefault="009C0FC4" w:rsidP="00507A31">
      <w:pPr>
        <w:jc w:val="both"/>
        <w:rPr>
          <w:color w:val="000000" w:themeColor="text1"/>
          <w:sz w:val="16"/>
          <w:szCs w:val="16"/>
        </w:rPr>
      </w:pPr>
      <w:r w:rsidRPr="00507A31">
        <w:rPr>
          <w:color w:val="000000" w:themeColor="text1"/>
          <w:sz w:val="16"/>
          <w:szCs w:val="16"/>
        </w:rPr>
        <w:t>Судебное следствие по делу означенной «Промышленной партии» установило, что оформлению этих групп в «Промышленную партию» в известной степени помогло и то обстоятельство, что основным ядром ее участников явились деятели образовавшейся в 1925 г. контрреволюционной организации, известной под именем «Инженерного центра», возглавлявшейся расстрелянным в 1930 г. по делу о вредительстве в золото-платиновой промышленности инж. Пальчинским, осужденным по шахтинскому делу, быв. капиталистом и шахтовладельцем Рабиновичем и инж. Федоровичем. В свою очередь «Инженерный центр» образовался из двух контрреволюционных организаций, сложившихся еще ранее в виде т[ак] наз[ываемого] клуба горных деятелей и Всесоюзной ассоциации инженеров (ВАИ), вобравших в себя наиболее реакционную и антисоветски настроенную часть старого инженерства. Эта часть старого инженерства работала по преимуществу в горной промышленности и на транспорте и в значительном числе состояла из владельцев или акционеров капиталистических предприятий.</w:t>
      </w:r>
    </w:p>
    <w:p w14:paraId="188C9582" w14:textId="77777777" w:rsidR="009C0FC4" w:rsidRPr="00507A31" w:rsidRDefault="009C0FC4" w:rsidP="00507A31">
      <w:pPr>
        <w:jc w:val="both"/>
        <w:rPr>
          <w:color w:val="000000" w:themeColor="text1"/>
          <w:sz w:val="16"/>
          <w:szCs w:val="16"/>
        </w:rPr>
      </w:pPr>
      <w:r w:rsidRPr="00507A31">
        <w:rPr>
          <w:color w:val="000000" w:themeColor="text1"/>
          <w:sz w:val="16"/>
          <w:szCs w:val="16"/>
        </w:rPr>
        <w:t>«Промышленная партия», составившаяся таким образом из лиц, принадлежавших к узкой буржуазно-интеллигентской прослойке, лишена была каких бы то ни было связей с широкими народными массами или каких бы то ни было точек опоры в этих массах и была обречена поэтому на замкнутый, узко-кастовый характер своей организации. Сами подсудимые (Рамзин, Ларичев и др.), вынуждены были признать, что «ПП» не могла рассчитывать не только на сочувствие рабочего класса, сочувствие которого, даже по их словам, совершенно исключалось, но и широких крестьянских масс. Этим обстоятельством объясняется и то, что, будучи лишенной всякого сочувствия и поддержки трудящихся масс, «ПП» все свои надежды в осуществлении своих преступных планов возлагала не на внутренние, а на внешние силы.</w:t>
      </w:r>
    </w:p>
    <w:p w14:paraId="64504DAD" w14:textId="77777777" w:rsidR="009C0FC4" w:rsidRPr="00507A31" w:rsidRDefault="009C0FC4" w:rsidP="00507A31">
      <w:pPr>
        <w:jc w:val="both"/>
        <w:rPr>
          <w:color w:val="000000" w:themeColor="text1"/>
          <w:sz w:val="16"/>
          <w:szCs w:val="16"/>
        </w:rPr>
      </w:pPr>
      <w:r w:rsidRPr="00507A31">
        <w:rPr>
          <w:color w:val="000000" w:themeColor="text1"/>
          <w:sz w:val="16"/>
          <w:szCs w:val="16"/>
        </w:rPr>
        <w:t>Специальное присутствие установило, что центральный комитет «ПП», вербуя своих членов из среды инженерно-технического и профессорско-преподавательского состава различных учреждений, предприятий, научно-исследовательских институтов и высших учебных заведений, прибегал к самым разнообразным приемам, начиная от агитации и денежных выдач в виде вознаграждения за выполнение директив «ПП» и кончая угрозами ухудшения, в случае свержения советской власти, служебного, имущественного или общественного положения в отношении лиц, колебавшихся или воздерживавшихся от вступления в ряды «Промышленной партии».</w:t>
      </w:r>
    </w:p>
    <w:p w14:paraId="77C0E18D" w14:textId="77777777" w:rsidR="009C0FC4" w:rsidRPr="00507A31" w:rsidRDefault="009C0FC4" w:rsidP="00507A31">
      <w:pPr>
        <w:jc w:val="both"/>
        <w:rPr>
          <w:color w:val="000000" w:themeColor="text1"/>
          <w:sz w:val="16"/>
          <w:szCs w:val="16"/>
        </w:rPr>
      </w:pPr>
      <w:r w:rsidRPr="00507A31">
        <w:rPr>
          <w:color w:val="000000" w:themeColor="text1"/>
          <w:sz w:val="16"/>
          <w:szCs w:val="16"/>
        </w:rPr>
        <w:t>Свою работу «Промышленная партия» строила на строго конспиративных началах, допуская связь отдельных своих членов между собой лишь в пределах отраслевых организаций, вследствие чего члены различных отраслевых организаций друг друга не знали.</w:t>
      </w:r>
    </w:p>
    <w:p w14:paraId="3D99DA28" w14:textId="77777777" w:rsidR="009C0FC4" w:rsidRPr="00507A31" w:rsidRDefault="009C0FC4" w:rsidP="00507A31">
      <w:pPr>
        <w:jc w:val="both"/>
        <w:rPr>
          <w:color w:val="000000" w:themeColor="text1"/>
          <w:sz w:val="16"/>
          <w:szCs w:val="16"/>
        </w:rPr>
      </w:pPr>
      <w:r w:rsidRPr="00507A31">
        <w:rPr>
          <w:color w:val="000000" w:themeColor="text1"/>
          <w:sz w:val="16"/>
          <w:szCs w:val="16"/>
        </w:rPr>
        <w:t>Во главе «Промпартии», как это было установлено судебным следствием, — ЦК, составившийся из основного ядра «Инженерного центра», главными деятелями которого были Пальчинский, Рабинович, Федорович, Хренников, Красовский, а впоследствии — Рамзин, Ларичев, Калинников, Чарновский, Федотов, Осадчий, Шейн и др., причем после ареста Пальчинского и Хренникова руководящая роль в ЦК «Промпартии» перешла к Рамзину.</w:t>
      </w:r>
    </w:p>
    <w:p w14:paraId="5252F4CA" w14:textId="77777777" w:rsidR="009C0FC4" w:rsidRPr="00507A31" w:rsidRDefault="009C0FC4" w:rsidP="00507A31">
      <w:pPr>
        <w:jc w:val="both"/>
        <w:rPr>
          <w:color w:val="000000" w:themeColor="text1"/>
          <w:sz w:val="16"/>
          <w:szCs w:val="16"/>
        </w:rPr>
      </w:pPr>
      <w:r w:rsidRPr="00507A31">
        <w:rPr>
          <w:color w:val="000000" w:themeColor="text1"/>
          <w:sz w:val="16"/>
          <w:szCs w:val="16"/>
        </w:rPr>
        <w:t>Внутри «Инж. центра», а впоследствии центр[ального] ком[ите]та «Промпартии» руководство контрреволюционной работой было распределено между отдельными членами ЦК также по отраслевому принципу. Так, Пальчинский руководил контрреволюционной работой в горной, золото-платиновой промышленности и геолкоме; Рабинович — в угольной; Хренников и Чарновский — в тяжелой металлической промышленности; Федотов — в текстильной; Ларичев — в топливной и в частности в нефтяной; Красовский — в области транспорта; Калинников — в экономгруппе; Рамзин — кроме общего руководства, также в топливной и энергетической отрасли хозяйства.</w:t>
      </w:r>
    </w:p>
    <w:p w14:paraId="5385D56E" w14:textId="77777777" w:rsidR="009C0FC4" w:rsidRPr="00507A31" w:rsidRDefault="009C0FC4" w:rsidP="00507A31">
      <w:pPr>
        <w:jc w:val="both"/>
        <w:rPr>
          <w:color w:val="000000" w:themeColor="text1"/>
          <w:sz w:val="16"/>
          <w:szCs w:val="16"/>
        </w:rPr>
      </w:pPr>
      <w:r w:rsidRPr="00507A31">
        <w:rPr>
          <w:color w:val="000000" w:themeColor="text1"/>
          <w:sz w:val="16"/>
          <w:szCs w:val="16"/>
        </w:rPr>
        <w:t>Так, к концу 1927 г. — к началу 1928 г. завершилось преобразование «Инж. центра» в «Промышленную партию». Судебное следствие установило, что одной из причин, ускоривших это преобразование, было стремление «Инж. центра» мобилизовать и объединить все контрреволюционные элементы технической интеллигенции для борьбы за власть.</w:t>
      </w:r>
    </w:p>
    <w:p w14:paraId="5059B3F4" w14:textId="77777777" w:rsidR="009C0FC4" w:rsidRPr="00507A31" w:rsidRDefault="009C0FC4" w:rsidP="00507A31">
      <w:pPr>
        <w:jc w:val="both"/>
        <w:rPr>
          <w:color w:val="000000" w:themeColor="text1"/>
          <w:sz w:val="16"/>
          <w:szCs w:val="16"/>
        </w:rPr>
      </w:pPr>
      <w:r w:rsidRPr="00507A31">
        <w:rPr>
          <w:color w:val="000000" w:themeColor="text1"/>
          <w:sz w:val="16"/>
          <w:szCs w:val="16"/>
        </w:rPr>
        <w:t>Другой важнейшей причиной явилось шедшее в том же направлении влияние таких зарубежных контрреволюционных организаций, как «Торгпром» (объединение бывших российских капиталистов во главе с Денисовым, Рябушинским, Третьяковым, Коноваловым, Гукасовым, Нобелем, Манташевым и др.), имеющий местопребывание в Париже, и наиболее агрессивных империалистических кругов Франции.</w:t>
      </w:r>
    </w:p>
    <w:p w14:paraId="1C596D10" w14:textId="77777777" w:rsidR="009C0FC4" w:rsidRPr="00507A31" w:rsidRDefault="009C0FC4" w:rsidP="00507A31">
      <w:pPr>
        <w:jc w:val="both"/>
        <w:rPr>
          <w:color w:val="000000" w:themeColor="text1"/>
          <w:sz w:val="16"/>
          <w:szCs w:val="16"/>
        </w:rPr>
      </w:pPr>
      <w:r w:rsidRPr="00507A31">
        <w:rPr>
          <w:color w:val="000000" w:themeColor="text1"/>
          <w:sz w:val="16"/>
          <w:szCs w:val="16"/>
        </w:rPr>
        <w:t>В основу своей преступной вредительской работы «Промышленная партия» положила программу, главные установки которой сводились к уничтожению советской власти и реставрации власти капиталистов и помещиков путем установления военной диктатуры. В качестве военного диктатора намечался белогвардейский генерал Лукомский или руководитель ЦК «Промпартии» Пальчинский. Экономическая часть программы «Промпартии» намечала возвращение предприятий бывшим владельцам, а в случае реконструкций этих предприятий — возмещение бывши[м] владельцам в форме так называемого акционирования. Этим путем, кроме того, достигалась бы цель возмещения прежних владельцев в повышенном размере за счет увеличившейся ценности предприятий, восстановленных, преобразованных и вновь созданных героическими усилиями трудящихся масс Советского Союза.</w:t>
      </w:r>
    </w:p>
    <w:p w14:paraId="2DB9B4FD" w14:textId="77777777" w:rsidR="009C0FC4" w:rsidRPr="00507A31" w:rsidRDefault="009C0FC4" w:rsidP="00507A31">
      <w:pPr>
        <w:jc w:val="both"/>
        <w:rPr>
          <w:color w:val="000000" w:themeColor="text1"/>
          <w:sz w:val="16"/>
          <w:szCs w:val="16"/>
        </w:rPr>
      </w:pPr>
      <w:r w:rsidRPr="00507A31">
        <w:rPr>
          <w:color w:val="000000" w:themeColor="text1"/>
          <w:sz w:val="16"/>
          <w:szCs w:val="16"/>
        </w:rPr>
        <w:t>В области сельского хозяйства программа «Промпартии» делала установку на восстановление помещичьих и укрепление кулацких хозяйств, с возвратом земли их бывшим владельцам или с возмещением их из специального фонда, образуемого за счет средств вышеуказанного акционирования предприятий.</w:t>
      </w:r>
    </w:p>
    <w:p w14:paraId="48610DE6" w14:textId="77777777" w:rsidR="009C0FC4" w:rsidRPr="00507A31" w:rsidRDefault="009C0FC4" w:rsidP="00507A31">
      <w:pPr>
        <w:jc w:val="both"/>
        <w:rPr>
          <w:color w:val="000000" w:themeColor="text1"/>
          <w:sz w:val="16"/>
          <w:szCs w:val="16"/>
        </w:rPr>
      </w:pPr>
      <w:r w:rsidRPr="00507A31">
        <w:rPr>
          <w:color w:val="000000" w:themeColor="text1"/>
          <w:sz w:val="16"/>
          <w:szCs w:val="16"/>
        </w:rPr>
        <w:t>Что касается методов осуществления этой программы, то таковые были различны в различные периоды преступной деятельности «Инженерного центра» и «Промпартии». Так, в первоначальный период своей преступной работы, относившийся ко времени введения новой экономической политики, основная ставка «Промпартии» («Инж. центра») была на капиталистическое перерождение советской власти. О таком понимании «Промпартией» («Инж. центром») говорил на предварительном и судебном следствии ряд подсудимых: так, подсудимый Ларичев в показаниях, данных им Специальному присутствию, говорил: «Нэп должен был привести к перерождению советской власти».</w:t>
      </w:r>
    </w:p>
    <w:p w14:paraId="4E5F0F0A" w14:textId="77777777" w:rsidR="009C0FC4" w:rsidRPr="00507A31" w:rsidRDefault="009C0FC4" w:rsidP="00507A31">
      <w:pPr>
        <w:jc w:val="both"/>
        <w:rPr>
          <w:color w:val="000000" w:themeColor="text1"/>
          <w:sz w:val="16"/>
          <w:szCs w:val="16"/>
        </w:rPr>
      </w:pPr>
      <w:r w:rsidRPr="00507A31">
        <w:rPr>
          <w:color w:val="000000" w:themeColor="text1"/>
          <w:sz w:val="16"/>
          <w:szCs w:val="16"/>
        </w:rPr>
        <w:t>Подсудимый Калинников показывал: «Когда был объявлен в 1921 г. нэп, инженеры, уверенные, что восстановление промышленности неизбежно приведет к восстановлению буржуазии, так как они иначе не мыслили восстановления промышленности, как средствами капиталистическими, — охотно стали принимать участие в общей с советской властью работе по восстановлению хозяйства»...</w:t>
      </w:r>
    </w:p>
    <w:p w14:paraId="2FD0CE59" w14:textId="77777777" w:rsidR="009C0FC4" w:rsidRPr="00507A31" w:rsidRDefault="009C0FC4" w:rsidP="00507A31">
      <w:pPr>
        <w:jc w:val="both"/>
        <w:rPr>
          <w:color w:val="000000" w:themeColor="text1"/>
          <w:sz w:val="16"/>
          <w:szCs w:val="16"/>
        </w:rPr>
      </w:pPr>
      <w:r w:rsidRPr="00507A31">
        <w:rPr>
          <w:color w:val="000000" w:themeColor="text1"/>
          <w:sz w:val="16"/>
          <w:szCs w:val="16"/>
        </w:rPr>
        <w:t>О том же заявил суду и подсудимый Рамзин, говоря: «Нэп мною и подавляющей частью прежнего инженерства был понят как начало перерождения советской власти».</w:t>
      </w:r>
    </w:p>
    <w:p w14:paraId="7888EC65" w14:textId="77777777" w:rsidR="009C0FC4" w:rsidRPr="00507A31" w:rsidRDefault="009C0FC4" w:rsidP="00507A31">
      <w:pPr>
        <w:jc w:val="both"/>
        <w:rPr>
          <w:color w:val="000000" w:themeColor="text1"/>
          <w:sz w:val="16"/>
          <w:szCs w:val="16"/>
        </w:rPr>
      </w:pPr>
      <w:r w:rsidRPr="00507A31">
        <w:rPr>
          <w:color w:val="000000" w:themeColor="text1"/>
          <w:sz w:val="16"/>
          <w:szCs w:val="16"/>
        </w:rPr>
        <w:t>В скором времени «Промпартия» однако должна была в виду успешного развертывания социалистического строительства в городе и деревне убедиться в полной неосновательности своего представления о возможности перерождения советской власти.</w:t>
      </w:r>
    </w:p>
    <w:p w14:paraId="37E1C425" w14:textId="77777777" w:rsidR="009C0FC4" w:rsidRPr="00507A31" w:rsidRDefault="009C0FC4" w:rsidP="00507A31">
      <w:pPr>
        <w:jc w:val="both"/>
        <w:rPr>
          <w:color w:val="000000" w:themeColor="text1"/>
          <w:sz w:val="16"/>
          <w:szCs w:val="16"/>
        </w:rPr>
      </w:pPr>
      <w:r w:rsidRPr="00507A31">
        <w:rPr>
          <w:color w:val="000000" w:themeColor="text1"/>
          <w:sz w:val="16"/>
          <w:szCs w:val="16"/>
        </w:rPr>
        <w:t xml:space="preserve">«В 1926 г., — говорил на суде подсудимый Калинников, — восстановительный период промышленности и транспорта был почти закончен... Техническая интеллигенция, уверенная, что результатом нэпа в конце восстановительного периода будет переход к укреплению буржуазных начал в политике советской власти, </w:t>
      </w:r>
      <w:r w:rsidRPr="00507A31">
        <w:rPr>
          <w:color w:val="000000" w:themeColor="text1"/>
          <w:sz w:val="16"/>
          <w:szCs w:val="16"/>
        </w:rPr>
        <w:lastRenderedPageBreak/>
        <w:t>встретила начало реконструктивного периода, уже на новых, социалистических началах, крайне отрицательно. Здесь не оправдались ее надежды на то, что политика нэпа будет продолжаться и в период реконструктивного восстановления хозяйства»...</w:t>
      </w:r>
    </w:p>
    <w:p w14:paraId="6B2E972E" w14:textId="77777777" w:rsidR="009C0FC4" w:rsidRPr="00507A31" w:rsidRDefault="009C0FC4" w:rsidP="00507A31">
      <w:pPr>
        <w:jc w:val="both"/>
        <w:rPr>
          <w:color w:val="000000" w:themeColor="text1"/>
          <w:sz w:val="16"/>
          <w:szCs w:val="16"/>
        </w:rPr>
      </w:pPr>
      <w:r w:rsidRPr="00507A31">
        <w:rPr>
          <w:color w:val="000000" w:themeColor="text1"/>
          <w:sz w:val="16"/>
          <w:szCs w:val="16"/>
        </w:rPr>
        <w:t>Отсюда — искание новых путей и средств борьбы с советской властью и постепенный переход к подготовке вооруженного свержения советской власти силами внутренней и внешней контрреволюции. «Промышленная партия», оторванная от народных масс и лишенная всякой поддержки со стороны трудящихся, должна была однако в скором времени убедиться в полной безнадежности своих расчетов на переворот одними лишь силами контрреволюционных элементов внутри СССР. С этого момента «Промышленная партия» делает основной упор на военную интервенцию против СССР, для подготовки которой «Промышленная партия» вступает в организационную связь с интервенционистскими организациями как внутри СССР (эсеро-кадетской и кулацкой групп[ой] Кондратьева-Чаянова, меньшевистской группой Суханова-Громана), так и за границей («Торгпром», группа Милюкова, интервенционистские круги Парижа).</w:t>
      </w:r>
    </w:p>
    <w:p w14:paraId="756AB472" w14:textId="77777777" w:rsidR="009C0FC4" w:rsidRPr="00507A31" w:rsidRDefault="009C0FC4" w:rsidP="00507A31">
      <w:pPr>
        <w:jc w:val="both"/>
        <w:rPr>
          <w:color w:val="000000" w:themeColor="text1"/>
          <w:sz w:val="16"/>
          <w:szCs w:val="16"/>
        </w:rPr>
      </w:pPr>
      <w:r w:rsidRPr="00507A31">
        <w:rPr>
          <w:color w:val="000000" w:themeColor="text1"/>
          <w:sz w:val="16"/>
          <w:szCs w:val="16"/>
        </w:rPr>
        <w:t>В первый период существования «Инженерного центра» контакт между этим последним и представителями «Торгпрома» носил характер индивидуальных связей отдельных членов « ИЦ» с отдельными бывшими владельцами предприятий. Так, Пальчинский был связан с Мещерским, Федотов — с Морозовым, Коноваловым, Рябушинским В., Чарновский — с Денисовым и Мещерским, Ларичев — с Бардыгиным, Стрижев — с Нобелем, Гукасовым и Манташевым, Рабинович — с Дворжанчиком и т. д.</w:t>
      </w:r>
    </w:p>
    <w:p w14:paraId="1999799E" w14:textId="77777777" w:rsidR="009C0FC4" w:rsidRPr="00507A31" w:rsidRDefault="009C0FC4" w:rsidP="00507A31">
      <w:pPr>
        <w:jc w:val="both"/>
        <w:rPr>
          <w:color w:val="000000" w:themeColor="text1"/>
          <w:sz w:val="16"/>
          <w:szCs w:val="16"/>
        </w:rPr>
      </w:pPr>
      <w:r w:rsidRPr="00507A31">
        <w:rPr>
          <w:color w:val="000000" w:themeColor="text1"/>
          <w:sz w:val="16"/>
          <w:szCs w:val="16"/>
        </w:rPr>
        <w:t>Но с 1927-1928 г. эти связи приобретают организованный и планомерный характер, при чем «Промпартия» полностью подчиняется руководству «Торгпрома», окончательно сложившись в плотную агентуру этого последнего («Торгпрома») и иностранных интервентов.</w:t>
      </w:r>
    </w:p>
    <w:p w14:paraId="2FDB7426" w14:textId="77777777" w:rsidR="009C0FC4" w:rsidRPr="00507A31" w:rsidRDefault="009C0FC4" w:rsidP="00507A31">
      <w:pPr>
        <w:jc w:val="both"/>
        <w:rPr>
          <w:color w:val="000000" w:themeColor="text1"/>
          <w:sz w:val="16"/>
          <w:szCs w:val="16"/>
        </w:rPr>
      </w:pPr>
      <w:r w:rsidRPr="00507A31">
        <w:rPr>
          <w:color w:val="000000" w:themeColor="text1"/>
          <w:sz w:val="16"/>
          <w:szCs w:val="16"/>
        </w:rPr>
        <w:t>К этому времени относится первое свидание Рамзина с В. Рябушинским по поручению Пальчинского и «Инженерного центра». На этом свидании (во второй половине 1927 г.) шла речь не только о таких программных вопросах, как акционирование предприятий, форма будущего правления и т. п., но и о переговорах, происходивших между «Торгпромом» и правящими кругами Франции, об организации интервенции, которая должна была состояться в 1928 году. На этом же свидании Ря- бушинский передал Рамзину требование «Торгпрома» и французских капиталистических кругов усилить работу по внутренней подготовке интервенции.</w:t>
      </w:r>
    </w:p>
    <w:p w14:paraId="11038FCD" w14:textId="77777777" w:rsidR="009C0FC4" w:rsidRPr="00507A31" w:rsidRDefault="009C0FC4" w:rsidP="00507A31">
      <w:pPr>
        <w:jc w:val="both"/>
        <w:rPr>
          <w:color w:val="000000" w:themeColor="text1"/>
          <w:sz w:val="16"/>
          <w:szCs w:val="16"/>
        </w:rPr>
      </w:pPr>
      <w:r w:rsidRPr="00507A31">
        <w:rPr>
          <w:color w:val="000000" w:themeColor="text1"/>
          <w:sz w:val="16"/>
          <w:szCs w:val="16"/>
        </w:rPr>
        <w:t>Решительный сдвиг в этом направлении относится в 1928 г., когда ряд членов «Промпартии» и ее ЦК (Рамзин, Ларичев, Федотов, Ситнин и др.) посетил деятелей белоэмигрантского центра в Париже. В результате этих посещений явился конкретно проработанный план и методы подготовки интервенции с точным распределением ролей между «Торгпромом» и наиболее агрессивными военными кругами Франции, с одной стороны, и центральным комитетом «Промпартии», с другой.</w:t>
      </w:r>
    </w:p>
    <w:p w14:paraId="50B07593" w14:textId="77777777" w:rsidR="009C0FC4" w:rsidRPr="00507A31" w:rsidRDefault="009C0FC4" w:rsidP="00507A31">
      <w:pPr>
        <w:jc w:val="both"/>
        <w:rPr>
          <w:color w:val="000000" w:themeColor="text1"/>
          <w:sz w:val="16"/>
          <w:szCs w:val="16"/>
        </w:rPr>
      </w:pPr>
      <w:r w:rsidRPr="00507A31">
        <w:rPr>
          <w:color w:val="000000" w:themeColor="text1"/>
          <w:sz w:val="16"/>
          <w:szCs w:val="16"/>
        </w:rPr>
        <w:t>Особенно важным в этом отношении явились совещания членов ЦК «Промпартии» — Рамзина и Ларичева с руководителями «Торгпрома» в лице Денисова, Рябушинского, Нобеля, Гукасова, Коновалова, Старинкевича и Манташева, имевшие место в Париже в октябре 1928 года, а также совещания Рамзина с ген. Лукомским и полковником Жуанвилем, а затем с полковником Ришаром.</w:t>
      </w:r>
    </w:p>
    <w:p w14:paraId="1C9B7AE5" w14:textId="77777777" w:rsidR="009C0FC4" w:rsidRPr="00507A31" w:rsidRDefault="009C0FC4" w:rsidP="00507A31">
      <w:pPr>
        <w:jc w:val="both"/>
        <w:rPr>
          <w:color w:val="000000" w:themeColor="text1"/>
          <w:sz w:val="16"/>
          <w:szCs w:val="16"/>
        </w:rPr>
      </w:pPr>
      <w:r w:rsidRPr="00507A31">
        <w:rPr>
          <w:color w:val="000000" w:themeColor="text1"/>
          <w:sz w:val="16"/>
          <w:szCs w:val="16"/>
        </w:rPr>
        <w:t>На совещаниях с «Торгпромом», как это было установлено на судебном следствии из допроса подсудимых Рамзина и Ларичева, особенно много внимания уделялось таким событиям, нарушившим деятельность «Промпартии», как раскрытие вредительской деятельности в Донбассе и шахтинский процесс, а также провал вредительской организации на транспорте. Эти вопросы сильно интересовали «Торгпром» (Денисов, Рябушинский), так как осложняли дальнейшую вредительскую работу «Промпартии». Денисовым был сделан упор на то, чтобы теперь обратить внимание на металлопромышленность, добиваясь здесь резких диспропорций и ослабляя эффект производимых капиталовложений. Нобелем и Гукасовым были заданы вопросы о положении нефтяной промышленности, о прочности действующей здесь вредительской организации, о проведении вредительских мероприятий по задержке нового строительства и сокращению экспорта. Они указали, что общие директивы в отношении вредительства в нефтяной промышленности ими были даны Стрижову (члену «ПП») во время его пребывания в Париже. В отношении общего положения «Торгпрома» и «Промпартии» Денисов указал, что несмотря на провал отдельных вредительских организаций, работу необходимо во что бы то ни стало продолжать. Денисов особенно подчеркнул, что вопрос об интервенции, хотя и отложенной с 1928 г. на 1930 г., ни в коем случае не снимается, а, наоборот, к интервенции против СССР идет деятельная подготовка за границей, и следовательно особо важной является вредительская работа «Промпартии» внутри Союза. На этом совещании председатель «Торгпрома» Денисов от имени «Торгпрома» сообщил о том, что правящие круги Франции решили организовать против СССР военную интервенцию. Далее, говоря о подготовке этой интервенции, Денисов сообщил об образовании и работе специальной военной комиссии под председательством генерала Жанена, бывшего военного представителя Франции при Колчаке.</w:t>
      </w:r>
    </w:p>
    <w:p w14:paraId="13C66BA6" w14:textId="77777777" w:rsidR="009C0FC4" w:rsidRPr="00507A31" w:rsidRDefault="009C0FC4" w:rsidP="00507A31">
      <w:pPr>
        <w:jc w:val="both"/>
        <w:rPr>
          <w:color w:val="000000" w:themeColor="text1"/>
          <w:sz w:val="16"/>
          <w:szCs w:val="16"/>
        </w:rPr>
      </w:pPr>
      <w:r w:rsidRPr="00507A31">
        <w:rPr>
          <w:color w:val="000000" w:themeColor="text1"/>
          <w:sz w:val="16"/>
          <w:szCs w:val="16"/>
        </w:rPr>
        <w:t>Парижское свидание в октябре 1928 г. имело решающее значение, ибо здесь: 1) окончательно определились и были согласованы основные линии в работе вредительских организаций, «Торгпрома» и интервенционистских кругов Франции; 2) были установлены совершенно точно формы связи с «Торгпромом» и этими кругами, и было достигнуто внутреннее разделение ролей по подготовке интервенции; наряду с этим был окончательно определен порядок финансирования вредительской деятельности «Промпартии» со стороны этих кругов и «Торгпрома».</w:t>
      </w:r>
    </w:p>
    <w:p w14:paraId="3E1C8B95" w14:textId="77777777" w:rsidR="009C0FC4" w:rsidRPr="00507A31" w:rsidRDefault="009C0FC4" w:rsidP="00507A31">
      <w:pPr>
        <w:jc w:val="both"/>
        <w:rPr>
          <w:color w:val="000000" w:themeColor="text1"/>
          <w:sz w:val="16"/>
          <w:szCs w:val="16"/>
        </w:rPr>
      </w:pPr>
      <w:r w:rsidRPr="00507A31">
        <w:rPr>
          <w:color w:val="000000" w:themeColor="text1"/>
          <w:sz w:val="16"/>
          <w:szCs w:val="16"/>
        </w:rPr>
        <w:t>Специальное присутствие установило, что Рамзин во время своего пребывания в Париже в 1927 г. и в 1928 г. получил связь с лицами французской службы в Москве — гр. К. и гр. Р. Эта связь между «Промпартией» в лице Рамзина, а затем Ларичева, Калинникова и Очкина с упомянутыми лицами французской службы продолжалась затем в течение всего последующего времени вплоть до ареста подсудимых по настоящему делу летом 1930 г. Эта связь была широко использована для получения «Промпартией» из-за границы различного рода директив интервенционистского характера и для передачи за границу от «Промпартии» сведений шпионского характера.</w:t>
      </w:r>
    </w:p>
    <w:p w14:paraId="6823A985" w14:textId="77777777" w:rsidR="009C0FC4" w:rsidRPr="00507A31" w:rsidRDefault="009C0FC4" w:rsidP="00507A31">
      <w:pPr>
        <w:jc w:val="both"/>
        <w:rPr>
          <w:color w:val="000000" w:themeColor="text1"/>
          <w:sz w:val="16"/>
          <w:szCs w:val="16"/>
        </w:rPr>
      </w:pPr>
      <w:r w:rsidRPr="00507A31">
        <w:rPr>
          <w:color w:val="000000" w:themeColor="text1"/>
          <w:sz w:val="16"/>
          <w:szCs w:val="16"/>
        </w:rPr>
        <w:t>Специальное присутствие Верховного суда СССР, остановившись в своем закрытом заседании на исследовании этой стороны преступной деятельности подсудимых, установило в отношении гр. К. и гр. Р. факты, полностью подтверждающие данные обвинительного заключения, постановив специально довести о вышеизложенном до сведения правительства.</w:t>
      </w:r>
    </w:p>
    <w:p w14:paraId="3B2B3DB7" w14:textId="77777777" w:rsidR="009C0FC4" w:rsidRPr="00507A31" w:rsidRDefault="009C0FC4" w:rsidP="00507A31">
      <w:pPr>
        <w:jc w:val="both"/>
        <w:rPr>
          <w:color w:val="000000" w:themeColor="text1"/>
          <w:sz w:val="16"/>
          <w:szCs w:val="16"/>
        </w:rPr>
      </w:pPr>
      <w:r w:rsidRPr="00507A31">
        <w:rPr>
          <w:color w:val="000000" w:themeColor="text1"/>
          <w:sz w:val="16"/>
          <w:szCs w:val="16"/>
        </w:rPr>
        <w:t>В соответствии с достигнутым в октябре 1928 г. на парижском совещании с «Торгпромом» соглашением «Промышленная партия» начинает с этого момента форсировать свою работу по «искусственному ухудшению экономической жизни страны», широко применяя в этих целях метод вредительства, принявшего плановый характер.</w:t>
      </w:r>
    </w:p>
    <w:p w14:paraId="04EB6CA0" w14:textId="77777777" w:rsidR="009C0FC4" w:rsidRPr="00507A31" w:rsidRDefault="009C0FC4" w:rsidP="00507A31">
      <w:pPr>
        <w:jc w:val="both"/>
        <w:rPr>
          <w:color w:val="000000" w:themeColor="text1"/>
          <w:sz w:val="16"/>
          <w:szCs w:val="16"/>
        </w:rPr>
      </w:pPr>
      <w:r w:rsidRPr="00507A31">
        <w:rPr>
          <w:color w:val="000000" w:themeColor="text1"/>
          <w:sz w:val="16"/>
          <w:szCs w:val="16"/>
        </w:rPr>
        <w:t>Плановое вредительство осуществлялось главным образом при помощи следующих методов:</w:t>
      </w:r>
    </w:p>
    <w:p w14:paraId="56B2F31E" w14:textId="77777777" w:rsidR="009C0FC4" w:rsidRPr="00507A31" w:rsidRDefault="009C0FC4" w:rsidP="00507A31">
      <w:pPr>
        <w:jc w:val="both"/>
        <w:rPr>
          <w:color w:val="000000" w:themeColor="text1"/>
          <w:sz w:val="16"/>
          <w:szCs w:val="16"/>
        </w:rPr>
      </w:pPr>
      <w:r w:rsidRPr="00507A31">
        <w:rPr>
          <w:color w:val="000000" w:themeColor="text1"/>
          <w:sz w:val="16"/>
          <w:szCs w:val="16"/>
        </w:rPr>
        <w:t>метода проектировок минимальных планов, в связи с чем стоял вопрос о задержке темпов индустриализации и экономического роста всего народного хозяйства.</w:t>
      </w:r>
    </w:p>
    <w:p w14:paraId="2A259A32" w14:textId="77777777" w:rsidR="009C0FC4" w:rsidRPr="00507A31" w:rsidRDefault="009C0FC4" w:rsidP="00507A31">
      <w:pPr>
        <w:jc w:val="both"/>
        <w:rPr>
          <w:color w:val="000000" w:themeColor="text1"/>
          <w:sz w:val="16"/>
          <w:szCs w:val="16"/>
        </w:rPr>
      </w:pPr>
      <w:r w:rsidRPr="00507A31">
        <w:rPr>
          <w:color w:val="000000" w:themeColor="text1"/>
          <w:sz w:val="16"/>
          <w:szCs w:val="16"/>
        </w:rPr>
        <w:t>Как показывал суду подсудимый Федотов, осуществление этого метода «Промпартия» связывала с поддержкой идей правого уклона. «Эти идеи, — говорил на суде Федотов, — казались подходящими, казались настолько удобными и дающими шансы на развитие нэпа, на развитие идей в сущности буржуазного характера, что поддержка их являлась желательной и необходимой». Этот же метод был связан с борьбой за минималистскую пятилетку;</w:t>
      </w:r>
    </w:p>
    <w:p w14:paraId="7F9930E6" w14:textId="77777777" w:rsidR="009C0FC4" w:rsidRPr="00507A31" w:rsidRDefault="009C0FC4" w:rsidP="00507A31">
      <w:pPr>
        <w:jc w:val="both"/>
        <w:rPr>
          <w:color w:val="000000" w:themeColor="text1"/>
          <w:sz w:val="16"/>
          <w:szCs w:val="16"/>
        </w:rPr>
      </w:pPr>
      <w:r w:rsidRPr="00507A31">
        <w:rPr>
          <w:color w:val="000000" w:themeColor="text1"/>
          <w:sz w:val="16"/>
          <w:szCs w:val="16"/>
        </w:rPr>
        <w:t>метода создания диспропорций между отдельными отраслями народного хозяйства и между отдельными частями одной и той же отрасли;</w:t>
      </w:r>
    </w:p>
    <w:p w14:paraId="32F5E55C" w14:textId="77777777" w:rsidR="009C0FC4" w:rsidRPr="00507A31" w:rsidRDefault="009C0FC4" w:rsidP="00507A31">
      <w:pPr>
        <w:jc w:val="both"/>
        <w:rPr>
          <w:color w:val="000000" w:themeColor="text1"/>
          <w:sz w:val="16"/>
          <w:szCs w:val="16"/>
        </w:rPr>
      </w:pPr>
      <w:r w:rsidRPr="00507A31">
        <w:rPr>
          <w:color w:val="000000" w:themeColor="text1"/>
          <w:sz w:val="16"/>
          <w:szCs w:val="16"/>
        </w:rPr>
        <w:t>метода так называемого «омертвления капиталов», т. е. вложения капиталов в ненужное строительство или нерациональное использование капиталов, имевшие своей задачей привести к ослаблению темпа и эффективности индустриализации и к понижению успешности социалистического строительства. «Эти три основных метода, — говорил в своих показаниях суду подсудимый Рамзин, — проводились в качестве основных методов планового вредительства».</w:t>
      </w:r>
    </w:p>
    <w:p w14:paraId="1E6CD35D" w14:textId="77777777" w:rsidR="009C0FC4" w:rsidRPr="00507A31" w:rsidRDefault="009C0FC4" w:rsidP="00507A31">
      <w:pPr>
        <w:jc w:val="both"/>
        <w:rPr>
          <w:color w:val="000000" w:themeColor="text1"/>
          <w:sz w:val="16"/>
          <w:szCs w:val="16"/>
        </w:rPr>
      </w:pPr>
      <w:r w:rsidRPr="00507A31">
        <w:rPr>
          <w:color w:val="000000" w:themeColor="text1"/>
          <w:sz w:val="16"/>
          <w:szCs w:val="16"/>
        </w:rPr>
        <w:t>Установленные Специальным присутствием многочисленные факты вредительства дали исчерпывающую картину этой стороны преступной деятельности «Промпартии», хотя и причинившей ущерб нашему социалистическому хозяйству, но оказавшейся бессильной сорвать наш пятилетний план и приостановить наше движение вперед.</w:t>
      </w:r>
    </w:p>
    <w:p w14:paraId="4FF56190" w14:textId="77777777" w:rsidR="009C0FC4" w:rsidRPr="00507A31" w:rsidRDefault="009C0FC4" w:rsidP="00507A31">
      <w:pPr>
        <w:jc w:val="both"/>
        <w:rPr>
          <w:color w:val="000000" w:themeColor="text1"/>
          <w:sz w:val="16"/>
          <w:szCs w:val="16"/>
        </w:rPr>
      </w:pPr>
      <w:r w:rsidRPr="00507A31">
        <w:rPr>
          <w:color w:val="000000" w:themeColor="text1"/>
          <w:sz w:val="16"/>
          <w:szCs w:val="16"/>
        </w:rPr>
        <w:t>Вредительская работа «Промышленной партии» парализовалась величайшим трудовым подъемом трудящихся масс, трудовым энтузиазмом и упорной борьбой за выполнение и перевыполнение промфинплана. Массовое ударничество, социалистическое соревнование усиление классовой бдительности пролетариата, встречный промфинплан обеспечивали такие успехи делу социалистического строительства, при которых минималистская пятилетка «Промпартии» уже за первые два года оказалась перекрытой и превзойденной. «Промышленная партия», перейдя к плановому вредительству, сосредоточила свои преступные усилия в наиболее важных отраслях промышленности и транспорта, пытаясь нанести свои удары по металлу, топливу, энергетике, химической и текстильной промышленности и транспорту, подготавливая здесь прорывы, диспропорции и кризис.</w:t>
      </w:r>
    </w:p>
    <w:p w14:paraId="13ACB5CB" w14:textId="77777777" w:rsidR="009C0FC4" w:rsidRPr="00507A31" w:rsidRDefault="009C0FC4" w:rsidP="00507A31">
      <w:pPr>
        <w:jc w:val="both"/>
        <w:rPr>
          <w:color w:val="000000" w:themeColor="text1"/>
          <w:sz w:val="16"/>
          <w:szCs w:val="16"/>
        </w:rPr>
      </w:pPr>
      <w:r w:rsidRPr="00507A31">
        <w:rPr>
          <w:color w:val="000000" w:themeColor="text1"/>
          <w:sz w:val="16"/>
          <w:szCs w:val="16"/>
        </w:rPr>
        <w:t>В области топливного хозяйства «Промпартия» рассчитывала создать кризис таким направлением в развитии этого хозяйства, при котором в наибольшей степени облегчались бы задачи интервенции. «Промпартия» в этих целях принимала все меры к максимальной задержке разработки местных топлив, в частности подмосковного угля и торфа и угля в Кузнецком бассейне. Она подготавливала такие условия, при которых были бы поставлены в критическое положение такие районы, как Центрально-Промышленный и Северо-Западный, такие центры, как Москва и Ленинград, что достигалось при помощи удара по жел[езно]-дорожной магистрали, соединяющей эти центры с Донбассом, и перерыва в снабжении этих районов донецким углем. Одновременно «Промпартия» вела борьбу против всякого рода рациональных методов добычи топлива и в частности против фрезерного способа добычи торфа, а также против его удешевления и рационального использования.</w:t>
      </w:r>
    </w:p>
    <w:p w14:paraId="63C6F679" w14:textId="77777777" w:rsidR="009C0FC4" w:rsidRPr="00507A31" w:rsidRDefault="009C0FC4" w:rsidP="00507A31">
      <w:pPr>
        <w:jc w:val="both"/>
        <w:rPr>
          <w:color w:val="000000" w:themeColor="text1"/>
          <w:sz w:val="16"/>
          <w:szCs w:val="16"/>
        </w:rPr>
      </w:pPr>
      <w:r w:rsidRPr="00507A31">
        <w:rPr>
          <w:color w:val="000000" w:themeColor="text1"/>
          <w:sz w:val="16"/>
          <w:szCs w:val="16"/>
        </w:rPr>
        <w:t>Специальным присутствием установлено, что эту свою вредительскую деятельность «Промпартия» осуществляла не только в процессе оперативной работы своих членов, занимавших различные должности в советских учреждениях, но и путем соответствующего направления деятельности научно-исследовательских институтов, как например, Теплотехнического, возглавлявшегося Рамзиным, или Инсторфа, возглавлявшегося тоже членом «Промпартии» В. Кирпичниковым.</w:t>
      </w:r>
    </w:p>
    <w:p w14:paraId="62EA75F8" w14:textId="77777777" w:rsidR="009C0FC4" w:rsidRPr="00507A31" w:rsidRDefault="009C0FC4" w:rsidP="00507A31">
      <w:pPr>
        <w:jc w:val="both"/>
        <w:rPr>
          <w:color w:val="000000" w:themeColor="text1"/>
          <w:sz w:val="16"/>
          <w:szCs w:val="16"/>
        </w:rPr>
      </w:pPr>
      <w:r w:rsidRPr="00507A31">
        <w:rPr>
          <w:color w:val="000000" w:themeColor="text1"/>
          <w:sz w:val="16"/>
          <w:szCs w:val="16"/>
        </w:rPr>
        <w:t>Основными способами вредительства в топливном хозяйстве являлось такое построение планов, при котором: 1) брались заведомо низкие показатели и темпы, значительно отстающие от фактических производственных возможностей; 2) обеспечивалось получение разрывов между развертыванием подготовительных работ и оперативными производственными планами; 3) давалось преимущество производству менее ценной продукции за счет продукции более высокого качества.</w:t>
      </w:r>
    </w:p>
    <w:p w14:paraId="57BC8827" w14:textId="77777777" w:rsidR="009C0FC4" w:rsidRPr="00507A31" w:rsidRDefault="009C0FC4" w:rsidP="00507A31">
      <w:pPr>
        <w:jc w:val="both"/>
        <w:rPr>
          <w:color w:val="000000" w:themeColor="text1"/>
          <w:sz w:val="16"/>
          <w:szCs w:val="16"/>
        </w:rPr>
      </w:pPr>
      <w:r w:rsidRPr="00507A31">
        <w:rPr>
          <w:color w:val="000000" w:themeColor="text1"/>
          <w:sz w:val="16"/>
          <w:szCs w:val="16"/>
        </w:rPr>
        <w:lastRenderedPageBreak/>
        <w:t>Особенное внимание при этом вредителями было обращено на такие основные топливные районы, как Донбасс, Кузбасс, Кизел и другие, с направлением главного удара по линии питания этих районов электроэнергией. В целях срыва этого питания «Промпартия» через свои ячейки и отдельных членов принимала меры к задержке постройки или достройки новых электростанций (Тверской, Бобриковской, Штеровской, Зуевской и других) и к снабжению их непригодным оборудованием и т. п.</w:t>
      </w:r>
    </w:p>
    <w:p w14:paraId="76C030EF" w14:textId="77777777" w:rsidR="009C0FC4" w:rsidRPr="00507A31" w:rsidRDefault="009C0FC4" w:rsidP="00507A31">
      <w:pPr>
        <w:jc w:val="both"/>
        <w:rPr>
          <w:color w:val="000000" w:themeColor="text1"/>
          <w:sz w:val="16"/>
          <w:szCs w:val="16"/>
        </w:rPr>
      </w:pPr>
      <w:r w:rsidRPr="00507A31">
        <w:rPr>
          <w:color w:val="000000" w:themeColor="text1"/>
          <w:sz w:val="16"/>
          <w:szCs w:val="16"/>
        </w:rPr>
        <w:t>Вредительство в области энергетического хозяйства «Промпартия» направляла на подготовку критического состояния важнейших энергетических узлов с таким расчетом, чтобы оно сказалось с особенной силой к 1930 г., т. е. году, на который была намечена интервенция.</w:t>
      </w:r>
    </w:p>
    <w:p w14:paraId="462228D3" w14:textId="77777777" w:rsidR="009C0FC4" w:rsidRPr="00507A31" w:rsidRDefault="009C0FC4" w:rsidP="00507A31">
      <w:pPr>
        <w:jc w:val="both"/>
        <w:rPr>
          <w:color w:val="000000" w:themeColor="text1"/>
          <w:sz w:val="16"/>
          <w:szCs w:val="16"/>
        </w:rPr>
      </w:pPr>
      <w:r w:rsidRPr="00507A31">
        <w:rPr>
          <w:color w:val="000000" w:themeColor="text1"/>
          <w:sz w:val="16"/>
          <w:szCs w:val="16"/>
        </w:rPr>
        <w:t>Итоги этой преступной деятельности «Промпартии» в области энергетики Рамзин охарактеризовал на судебном следствии следующим образом: «Донбасс, Московская область, Ленинградская область, Кузбасс, Кизел, — во всех этих пунктах электроснабжение было задержано и доведено до чрезвычайного напряжения, так что в момент военных действий должна была наступить катастрофа»... Надо однако сказать, что и в этой области попытки «Промпартии» потерпели полную неудачу.</w:t>
      </w:r>
    </w:p>
    <w:p w14:paraId="278504FD" w14:textId="77777777" w:rsidR="009C0FC4" w:rsidRPr="00507A31" w:rsidRDefault="009C0FC4" w:rsidP="00507A31">
      <w:pPr>
        <w:jc w:val="both"/>
        <w:rPr>
          <w:color w:val="000000" w:themeColor="text1"/>
          <w:sz w:val="16"/>
          <w:szCs w:val="16"/>
        </w:rPr>
      </w:pPr>
      <w:r w:rsidRPr="00507A31">
        <w:rPr>
          <w:color w:val="000000" w:themeColor="text1"/>
          <w:sz w:val="16"/>
          <w:szCs w:val="16"/>
        </w:rPr>
        <w:t>В области металлоснабжения «Промпартия» стремилась углубить металлический голод путем создания диспропорций между производством металла и потребностью в нем с заведомым преуменьшением плановых наметок в отношении производственных возможностей (напр. 7 млн. тонн чугуна вместо 17 млн. тонн); путем неправильного использования производимого в стране металла (в частности, в области котлостроения); путем создания диспропорций между металлической промышленностью и металлургической (диспропорция между отдельными цехами заводов); путем заведомого замедления машиностроения и т. д.</w:t>
      </w:r>
    </w:p>
    <w:p w14:paraId="351D2BB0" w14:textId="77777777" w:rsidR="009C0FC4" w:rsidRPr="00507A31" w:rsidRDefault="009C0FC4" w:rsidP="00507A31">
      <w:pPr>
        <w:jc w:val="both"/>
        <w:rPr>
          <w:color w:val="000000" w:themeColor="text1"/>
          <w:sz w:val="16"/>
          <w:szCs w:val="16"/>
        </w:rPr>
      </w:pPr>
      <w:r w:rsidRPr="00507A31">
        <w:rPr>
          <w:color w:val="000000" w:themeColor="text1"/>
          <w:sz w:val="16"/>
          <w:szCs w:val="16"/>
        </w:rPr>
        <w:t>В области транспортного хозяйства вредительство шло по линии попыток ослабить парки подвижного состава и в частности паровозного; дезорганизовать топливоснабжение, вагоностроение и т. д.</w:t>
      </w:r>
    </w:p>
    <w:p w14:paraId="3B21C73E" w14:textId="77777777" w:rsidR="009C0FC4" w:rsidRPr="00507A31" w:rsidRDefault="009C0FC4" w:rsidP="00507A31">
      <w:pPr>
        <w:jc w:val="both"/>
        <w:rPr>
          <w:color w:val="000000" w:themeColor="text1"/>
          <w:sz w:val="16"/>
          <w:szCs w:val="16"/>
        </w:rPr>
      </w:pPr>
      <w:r w:rsidRPr="00507A31">
        <w:rPr>
          <w:color w:val="000000" w:themeColor="text1"/>
          <w:sz w:val="16"/>
          <w:szCs w:val="16"/>
        </w:rPr>
        <w:t>Как это установлено Специальным присутствием из допроса подсудимого Рамзина, свидетеля Красовского и из приобщенных к делу материалов, здесь вредительская работа шла по установкам, непосредственной целью которых было: 1) ослабление ремонтного хозяйства и провозоспособности сети ж. д.; 2) неправильное в преступных целях составление мобпланов; 3) заведомо преступное урезывание кредитов на ж.-д. сеть прифронтовой полосы; 4) применение так называемых «методов пониженных измерителей», т. е. пользование заведомо преуменьшенными измерителями или показателями, в результате чего осуществлялось вложение капиталов на постройку ж.-д. оборудования в количествах и номенклатуре, не соответствующих действительной потребности, чем достигалось «омертвление капиталов».</w:t>
      </w:r>
    </w:p>
    <w:p w14:paraId="19E57A3B" w14:textId="77777777" w:rsidR="009C0FC4" w:rsidRPr="00507A31" w:rsidRDefault="009C0FC4" w:rsidP="00507A31">
      <w:pPr>
        <w:jc w:val="both"/>
        <w:rPr>
          <w:color w:val="000000" w:themeColor="text1"/>
          <w:sz w:val="16"/>
          <w:szCs w:val="16"/>
        </w:rPr>
      </w:pPr>
      <w:r w:rsidRPr="00507A31">
        <w:rPr>
          <w:color w:val="000000" w:themeColor="text1"/>
          <w:sz w:val="16"/>
          <w:szCs w:val="16"/>
        </w:rPr>
        <w:t>Все эти преступные действия имели целью дезорганизовать транспорт, поставив его в момент военного нападения на СССР со стороны интервентов в критическое положение, особенно в западной полосе, а также перерезать пути сообщения, ведущие в Донбасс, и тем самым отрезать его от центра.</w:t>
      </w:r>
    </w:p>
    <w:p w14:paraId="138EE1B5" w14:textId="77777777" w:rsidR="009C0FC4" w:rsidRPr="00507A31" w:rsidRDefault="009C0FC4" w:rsidP="00507A31">
      <w:pPr>
        <w:jc w:val="both"/>
        <w:rPr>
          <w:color w:val="000000" w:themeColor="text1"/>
          <w:sz w:val="16"/>
          <w:szCs w:val="16"/>
        </w:rPr>
      </w:pPr>
      <w:r w:rsidRPr="00507A31">
        <w:rPr>
          <w:color w:val="000000" w:themeColor="text1"/>
          <w:sz w:val="16"/>
          <w:szCs w:val="16"/>
        </w:rPr>
        <w:t>В области химической промышленности вредительство выражалось главным образом в попытках постройки ряда крупнейших объектов в заведомо непригодных условиях и пунктах, а также в попытках задержать производство необходимой для химической промышленности аппаратуры.</w:t>
      </w:r>
    </w:p>
    <w:p w14:paraId="6B75A00A" w14:textId="77777777" w:rsidR="009C0FC4" w:rsidRPr="00507A31" w:rsidRDefault="009C0FC4" w:rsidP="00507A31">
      <w:pPr>
        <w:jc w:val="both"/>
        <w:rPr>
          <w:color w:val="000000" w:themeColor="text1"/>
          <w:sz w:val="16"/>
          <w:szCs w:val="16"/>
        </w:rPr>
      </w:pPr>
      <w:r w:rsidRPr="00507A31">
        <w:rPr>
          <w:color w:val="000000" w:themeColor="text1"/>
          <w:sz w:val="16"/>
          <w:szCs w:val="16"/>
        </w:rPr>
        <w:t>В области текстильной промышленности вредительство направлялось в сторону нерационального использования капиталов путем вредительского расчета высоты этажей во вновь строящихся фабриках, оставления без использования значительных площадей фабричных корпусов, задержки введения новейших американских машин, неправильного ведения хлопкового хозяйства и заведомо нерационального использования хлопка, распределения его урожая и т. п, заведомо неправильного распределения ассортимента текстильной продукции. Особенно обращает на себя внимание в этой области осуществлявшаяся в связи с подготовкой интервенции вредительская задержка развития льняной и пеньковой промышленности, благодаря чему и с этой стороны мог бы быть нанесен ущерб обороноспособности СССР.</w:t>
      </w:r>
    </w:p>
    <w:p w14:paraId="1A897DD2" w14:textId="77777777" w:rsidR="009C0FC4" w:rsidRPr="00507A31" w:rsidRDefault="009C0FC4" w:rsidP="00507A31">
      <w:pPr>
        <w:jc w:val="both"/>
        <w:rPr>
          <w:color w:val="000000" w:themeColor="text1"/>
          <w:sz w:val="16"/>
          <w:szCs w:val="16"/>
        </w:rPr>
      </w:pPr>
      <w:r w:rsidRPr="00507A31">
        <w:rPr>
          <w:color w:val="000000" w:themeColor="text1"/>
          <w:sz w:val="16"/>
          <w:szCs w:val="16"/>
        </w:rPr>
        <w:t>Судебным следствием установлено также, что одновременно с попытками подготовить к весне 1930 года хозяйственный кризис «Промышленная партия» развивала свою преступную деятельность по подготовке диверсионных актов и условий, обеспечивавших наиболее успешное осуществление в случае интервенции непосредственно военных действий.</w:t>
      </w:r>
    </w:p>
    <w:p w14:paraId="27ACA134" w14:textId="77777777" w:rsidR="009C0FC4" w:rsidRPr="00507A31" w:rsidRDefault="009C0FC4" w:rsidP="00507A31">
      <w:pPr>
        <w:jc w:val="both"/>
        <w:rPr>
          <w:color w:val="000000" w:themeColor="text1"/>
          <w:sz w:val="16"/>
          <w:szCs w:val="16"/>
        </w:rPr>
      </w:pPr>
      <w:r w:rsidRPr="00507A31">
        <w:rPr>
          <w:color w:val="000000" w:themeColor="text1"/>
          <w:sz w:val="16"/>
          <w:szCs w:val="16"/>
        </w:rPr>
        <w:t>Диверсионные задания «Промпартия» впервые получила, как это было установлено на судебном следствии, от «Торгпрома» и гр. К. в 1928 г. Основная директива в этом отношении сводилась к требованию избегать при осуществлении диверсионных актов капитальных разрушений, дабы не ухудшать положения будущего контрреволюционного правительства и интервентов. Поэтому предполагалось прибегнуть к выключению тока электростанций, питающих те или иные группы предприятий, с целью выведения их из строя на более или менее продолжительный период времени.</w:t>
      </w:r>
    </w:p>
    <w:p w14:paraId="24B11F69" w14:textId="77777777" w:rsidR="009C0FC4" w:rsidRPr="00507A31" w:rsidRDefault="009C0FC4" w:rsidP="00507A31">
      <w:pPr>
        <w:jc w:val="both"/>
        <w:rPr>
          <w:color w:val="000000" w:themeColor="text1"/>
          <w:sz w:val="16"/>
          <w:szCs w:val="16"/>
        </w:rPr>
      </w:pPr>
      <w:r w:rsidRPr="00507A31">
        <w:rPr>
          <w:color w:val="000000" w:themeColor="text1"/>
          <w:sz w:val="16"/>
          <w:szCs w:val="16"/>
        </w:rPr>
        <w:t>Диверсионная деятельность должна была по плану «Промпартии» осуществляться не только в области электроснабжения, но и в других областях (военная промышленность, транспорт). План диверсионных актов в области военной промышленности был разработан ЦК «Промпартии» при непосредственном участии указанных уже выше лиц французской службы в Москве. Главное внимание при этом было уделено заводам, производящим боевые припасы и снаряжение.</w:t>
      </w:r>
    </w:p>
    <w:p w14:paraId="3A0EB89D" w14:textId="77777777" w:rsidR="009C0FC4" w:rsidRPr="00507A31" w:rsidRDefault="009C0FC4" w:rsidP="00507A31">
      <w:pPr>
        <w:jc w:val="both"/>
        <w:rPr>
          <w:color w:val="000000" w:themeColor="text1"/>
          <w:sz w:val="16"/>
          <w:szCs w:val="16"/>
        </w:rPr>
      </w:pPr>
      <w:r w:rsidRPr="00507A31">
        <w:rPr>
          <w:color w:val="000000" w:themeColor="text1"/>
          <w:sz w:val="16"/>
          <w:szCs w:val="16"/>
        </w:rPr>
        <w:t>В целях наиболее успешного осуществления диверсионных актов «Промпартией» были созданы в некоторых учреждениях (напр., в Теплотехническом инст., «Электротоке», МОГЭС и др.) специальные диверсионные группы, имевшие задачей выведение из строя основных предприятий.</w:t>
      </w:r>
    </w:p>
    <w:p w14:paraId="61CD4516" w14:textId="77777777" w:rsidR="009C0FC4" w:rsidRPr="00507A31" w:rsidRDefault="009C0FC4" w:rsidP="00507A31">
      <w:pPr>
        <w:jc w:val="both"/>
        <w:rPr>
          <w:color w:val="000000" w:themeColor="text1"/>
          <w:sz w:val="16"/>
          <w:szCs w:val="16"/>
        </w:rPr>
      </w:pPr>
      <w:r w:rsidRPr="00507A31">
        <w:rPr>
          <w:color w:val="000000" w:themeColor="text1"/>
          <w:sz w:val="16"/>
          <w:szCs w:val="16"/>
        </w:rPr>
        <w:t>Диверсии на транспорте по составленному подсудимым Ларичевым плану предполагалось осуществлять созданием пробок, и прямым разрушением мостов и др. капитальных сооружений.</w:t>
      </w:r>
    </w:p>
    <w:p w14:paraId="1AE045F8" w14:textId="77777777" w:rsidR="009C0FC4" w:rsidRPr="00507A31" w:rsidRDefault="009C0FC4" w:rsidP="00507A31">
      <w:pPr>
        <w:jc w:val="both"/>
        <w:rPr>
          <w:color w:val="000000" w:themeColor="text1"/>
          <w:sz w:val="16"/>
          <w:szCs w:val="16"/>
        </w:rPr>
      </w:pPr>
      <w:r w:rsidRPr="00507A31">
        <w:rPr>
          <w:color w:val="000000" w:themeColor="text1"/>
          <w:sz w:val="16"/>
          <w:szCs w:val="16"/>
        </w:rPr>
        <w:t>Судебное следствие установило, что по мере приближения 1930 г. — срока интервенции — и особенно с конца 1929 г. перед «Промпартией» был поставлен в решительной форме вопрос о выполнении еще одного поручения, полученного в Париже от иностранных интервенционистских кругов, а именно об организации военных ячеек.</w:t>
      </w:r>
    </w:p>
    <w:p w14:paraId="28E900EE" w14:textId="77777777" w:rsidR="009C0FC4" w:rsidRPr="00507A31" w:rsidRDefault="009C0FC4" w:rsidP="00507A31">
      <w:pPr>
        <w:jc w:val="both"/>
        <w:rPr>
          <w:color w:val="000000" w:themeColor="text1"/>
          <w:sz w:val="16"/>
          <w:szCs w:val="16"/>
        </w:rPr>
      </w:pPr>
      <w:r w:rsidRPr="00507A31">
        <w:rPr>
          <w:color w:val="000000" w:themeColor="text1"/>
          <w:sz w:val="16"/>
          <w:szCs w:val="16"/>
        </w:rPr>
        <w:t>На свидании Рамзина с гр. К., происходившем, как это было установлено судебным следствием, на квартире Ларичева осенью 1928 г., гр. К. потребовал более энергичной работы, так как внутренняя подготовка признавалась неудовлетворительной и не наступил внутренний кризис, ожидавшийся интервентами.</w:t>
      </w:r>
    </w:p>
    <w:p w14:paraId="0DD56908" w14:textId="77777777" w:rsidR="009C0FC4" w:rsidRPr="00507A31" w:rsidRDefault="009C0FC4" w:rsidP="00507A31">
      <w:pPr>
        <w:jc w:val="both"/>
        <w:rPr>
          <w:color w:val="000000" w:themeColor="text1"/>
          <w:sz w:val="16"/>
          <w:szCs w:val="16"/>
        </w:rPr>
      </w:pPr>
      <w:r w:rsidRPr="00507A31">
        <w:rPr>
          <w:color w:val="000000" w:themeColor="text1"/>
          <w:sz w:val="16"/>
          <w:szCs w:val="16"/>
        </w:rPr>
        <w:t>Специальное присутствие установило, что члены «Промпартии», принимая участие в силу своего служебного положения в различных работах в пограничных районах, пытались неоднократно использовать это свое положение, организуя эти работы в направлении осуществления своих преступных и даже изменнических планов. Используя свое участие в таких работах, как работы по мелиорации, по постройке промышленных зданий и т. п., они делали попытки подготовить наилучшие условия для военных действий против СССР интервентов и их военных отрядов; они делали попытки подготовить для них удобопроходимые дороги, площадки для посадки аэропланов, плацдармы для развертывания отрядов, базы топливного снабжения и питания горючим неприятельских частей и т. д. и т. п. В прямой связи с изменнической, диверсионной и интервенционистской деятельностью ЦК «Промпартии» стояла и его работа по организации шпионажа и разведывательной службы в интересах интервентов. Специальное присутствие установило, что еще в 1928 г. ЦК «Промпартии» получил от «Торгпрома» поручение организовать систематическую доставку заграничным контрреволюционным центрам квартальных сводок, освещающих состояние народного хозяйства СССР с интересующих эти центр[ы] точек зрения.</w:t>
      </w:r>
    </w:p>
    <w:p w14:paraId="4F2AFEB8" w14:textId="77777777" w:rsidR="009C0FC4" w:rsidRPr="00507A31" w:rsidRDefault="009C0FC4" w:rsidP="00507A31">
      <w:pPr>
        <w:jc w:val="both"/>
        <w:rPr>
          <w:color w:val="000000" w:themeColor="text1"/>
          <w:sz w:val="16"/>
          <w:szCs w:val="16"/>
        </w:rPr>
      </w:pPr>
      <w:r w:rsidRPr="00507A31">
        <w:rPr>
          <w:color w:val="000000" w:themeColor="text1"/>
          <w:sz w:val="16"/>
          <w:szCs w:val="16"/>
        </w:rPr>
        <w:t>Составление этих сводок ЦК «Промпартии» поручил Ларичеву и Калинникову, что последние систематически и осуществляли. Пересылка этих сводок за границу производилась через гр. К., который, однако, помимо этих сводок получал сведения, связанные с обороной страны, и непосредственно.</w:t>
      </w:r>
    </w:p>
    <w:p w14:paraId="3F7AB621" w14:textId="77777777" w:rsidR="009C0FC4" w:rsidRPr="00507A31" w:rsidRDefault="009C0FC4" w:rsidP="00507A31">
      <w:pPr>
        <w:jc w:val="both"/>
        <w:rPr>
          <w:color w:val="000000" w:themeColor="text1"/>
          <w:sz w:val="16"/>
          <w:szCs w:val="16"/>
        </w:rPr>
      </w:pPr>
      <w:r w:rsidRPr="00507A31">
        <w:rPr>
          <w:color w:val="000000" w:themeColor="text1"/>
          <w:sz w:val="16"/>
          <w:szCs w:val="16"/>
        </w:rPr>
        <w:t>Связи с гр. К. и гр. Р., как это было установлено в процессе судебного следствия, поддерживали, неся такую же шпионскую службу, и подсудимые Рамзин и Очкин, передавая требуемые от них сведения как в письменной, так и в устной форме. Такова была широко разветвленная и шедшая под руководством ЦК «Промпартии» по многочисленным и разнообразным направлениям вредительская контрреволюционная работа по подготовке интервенции 1930 г. Три главные силы действовали в этой подготовке: капиталистические и военные круги Франции, «Торгпром» и «Промпартия». Удельный вес каждой из них был в этой подготовке неодинаков. Важнейшая, ведущая роль в этом отношении, как это было с исчерпывающей полнотой установлено на судебном следствии, принадлежала капиталистическим и военным французским кругам. Влияние этих кругов сказывалось и в таких вопросах, как выработка плана и методов осуществления интервенции, так и установление ее сроков. Стратегический план интервенции, рассчитанный на проведение операций соединенными силами иностранных экспедиционных корпусов при участии остатков врангелевской армии и красновских казачьих частей, сводился к комбинированному удару на Москву и Ленинград. По этому плану южная армия должна была двигаться по Правобережной Украине, опираясь на правый берег Днепра, и дальше на Москву.</w:t>
      </w:r>
    </w:p>
    <w:p w14:paraId="61A9EF4C" w14:textId="77777777" w:rsidR="009C0FC4" w:rsidRPr="00507A31" w:rsidRDefault="009C0FC4" w:rsidP="00507A31">
      <w:pPr>
        <w:jc w:val="both"/>
        <w:rPr>
          <w:color w:val="000000" w:themeColor="text1"/>
          <w:sz w:val="16"/>
          <w:szCs w:val="16"/>
        </w:rPr>
      </w:pPr>
      <w:r w:rsidRPr="00507A31">
        <w:rPr>
          <w:color w:val="000000" w:themeColor="text1"/>
          <w:sz w:val="16"/>
          <w:szCs w:val="16"/>
        </w:rPr>
        <w:t>Северная же группа интервенционистской армии должна была действовать при поддержке морского и воздушного флота против Ленинграда. В план интервенции входило использовать в качестве повода для нападения интервентов на СССР какой-либо пограничный конфликт с тем, чтобы в процессе дальнейшего его развития могли быть использованы вооруженные силы союзных с Францией государств — Польши и Румынии, а также армии лимитрофов. По замыслам интервентов успешное завершение военной интервенции против СССР должно было повлечь за собой раздел СССР, отторжение значительных территорий и предоставление иностранным участникам интервенции значительных финансово-экономических приобретений, несущих с собой закабаление трудящихся Союза. По этим замыслам империалистические круги Франции должны были получить уплату царских долгов и концессии по разработке рудных и горных богатств СССР, при чем, как это было установлено судебным следствием, эти концессии были такого характера, что делались равносильными прямому захвату; империалистические круги Англии должны были получить Кавказ, нефтяные источники; претендовали на территориальный захват также империалистические круги Румынии и Польши (Правобережная Украина, Киев, Одесса).</w:t>
      </w:r>
    </w:p>
    <w:p w14:paraId="4F4E123F" w14:textId="77777777" w:rsidR="009C0FC4" w:rsidRPr="00507A31" w:rsidRDefault="009C0FC4" w:rsidP="00507A31">
      <w:pPr>
        <w:jc w:val="both"/>
        <w:rPr>
          <w:color w:val="000000" w:themeColor="text1"/>
          <w:sz w:val="16"/>
          <w:szCs w:val="16"/>
        </w:rPr>
      </w:pPr>
      <w:r w:rsidRPr="00507A31">
        <w:rPr>
          <w:color w:val="000000" w:themeColor="text1"/>
          <w:sz w:val="16"/>
          <w:szCs w:val="16"/>
        </w:rPr>
        <w:t>Срок интервенции, первоначально намечавшийся даже на 1928 г., интервенты вынуждены были отодвинуть сначала на 1930 г., а затем и на 1931 г.</w:t>
      </w:r>
    </w:p>
    <w:p w14:paraId="011EDA59" w14:textId="77777777" w:rsidR="009C0FC4" w:rsidRPr="00507A31" w:rsidRDefault="009C0FC4" w:rsidP="00507A31">
      <w:pPr>
        <w:jc w:val="both"/>
        <w:rPr>
          <w:color w:val="000000" w:themeColor="text1"/>
          <w:sz w:val="16"/>
          <w:szCs w:val="16"/>
        </w:rPr>
      </w:pPr>
      <w:r w:rsidRPr="00507A31">
        <w:rPr>
          <w:color w:val="000000" w:themeColor="text1"/>
          <w:sz w:val="16"/>
          <w:szCs w:val="16"/>
        </w:rPr>
        <w:t>Причины этих отсрочек заключались не только в том, что готовящие интервенцию против СССР интервенционистские круги капиталистических государств оказались в силу имеющихся в их среде разногласий неподготовленными к этому выступлению, но еще в большей степени в отсутствии внутри СССР условий, благоприятствующих осуществлению интервенции.</w:t>
      </w:r>
    </w:p>
    <w:p w14:paraId="17AB4B8C" w14:textId="77777777" w:rsidR="009C0FC4" w:rsidRPr="00507A31" w:rsidRDefault="009C0FC4" w:rsidP="00507A31">
      <w:pPr>
        <w:jc w:val="both"/>
        <w:rPr>
          <w:color w:val="000000" w:themeColor="text1"/>
          <w:sz w:val="16"/>
          <w:szCs w:val="16"/>
        </w:rPr>
      </w:pPr>
      <w:r w:rsidRPr="00507A31">
        <w:rPr>
          <w:color w:val="000000" w:themeColor="text1"/>
          <w:sz w:val="16"/>
          <w:szCs w:val="16"/>
        </w:rPr>
        <w:t>Несмотря на развернутую вредительскую работу различных контрреволюционных организаций и в том числе «Промышленной партии», пытавшихся создать в хозяйственной жизни СССР разнообразные и тяжелые затруднения и на этой почве продовольственных и хозяйственных прорывов вызвать недовольство против советской власти трудящихся масс, эти попытки не дали никаких результатов, показав, что всякие расчеты интервентов на недовольство трудящихся масс в отношении советской власти являются совершенно беспочвенными.</w:t>
      </w:r>
    </w:p>
    <w:p w14:paraId="217DEAB7" w14:textId="77777777" w:rsidR="009C0FC4" w:rsidRPr="00507A31" w:rsidRDefault="009C0FC4" w:rsidP="00507A31">
      <w:pPr>
        <w:jc w:val="both"/>
        <w:rPr>
          <w:color w:val="000000" w:themeColor="text1"/>
          <w:sz w:val="16"/>
          <w:szCs w:val="16"/>
        </w:rPr>
      </w:pPr>
      <w:r w:rsidRPr="00507A31">
        <w:rPr>
          <w:color w:val="000000" w:themeColor="text1"/>
          <w:sz w:val="16"/>
          <w:szCs w:val="16"/>
        </w:rPr>
        <w:lastRenderedPageBreak/>
        <w:t>Здесь также лежит одна из важнейших причин откладывания срока интервенции. Это оказалось необходимым для интервентов тем более, что, как это установлено судебным следствием, интервенционистские круги Франции не могли не учесть урока Китайско-Восточного конфликта, доказавшего мощь и обороноспособность Советского Союза, единство воли трудящихся масс к защите своих границ и борьбе за советскую власть и социалистическое строительство.</w:t>
      </w:r>
    </w:p>
    <w:p w14:paraId="76A23DF0" w14:textId="77777777" w:rsidR="009C0FC4" w:rsidRPr="00507A31" w:rsidRDefault="009C0FC4" w:rsidP="00507A31">
      <w:pPr>
        <w:jc w:val="both"/>
        <w:rPr>
          <w:color w:val="000000" w:themeColor="text1"/>
          <w:sz w:val="16"/>
          <w:szCs w:val="16"/>
        </w:rPr>
      </w:pPr>
      <w:r w:rsidRPr="00507A31">
        <w:rPr>
          <w:color w:val="000000" w:themeColor="text1"/>
          <w:sz w:val="16"/>
          <w:szCs w:val="16"/>
        </w:rPr>
        <w:t>На основании выше изложенного и руководствуясь ст.ст. 319 и 320 УПК РСФСР, Специальное присутствие Верховного суда СССР установило:</w:t>
      </w:r>
    </w:p>
    <w:p w14:paraId="492F255F" w14:textId="77777777" w:rsidR="009C0FC4" w:rsidRPr="00507A31" w:rsidRDefault="009C0FC4" w:rsidP="00507A31">
      <w:pPr>
        <w:jc w:val="both"/>
        <w:rPr>
          <w:color w:val="000000" w:themeColor="text1"/>
          <w:sz w:val="16"/>
          <w:szCs w:val="16"/>
        </w:rPr>
      </w:pPr>
      <w:r w:rsidRPr="00507A31">
        <w:rPr>
          <w:color w:val="000000" w:themeColor="text1"/>
          <w:sz w:val="16"/>
          <w:szCs w:val="16"/>
        </w:rPr>
        <w:t>Рамзин, Леонид Константинович, — вступив в первой половине 1927 г. в контрреволюционную организацию «Совет инженерных организаций» (СИО), или «Инженерный центр», принял активное участие в организации контрреволюционной партии под именем «Промышленная партия», при чем после ареста руководителей этой организации Пальчинского и Хренникова стал во главе ЦК этой партии, деятельность которой была направлена на прямое свержение советской власти путем военной интервенции и восстановление в СССР капиталистического строя.</w:t>
      </w:r>
    </w:p>
    <w:p w14:paraId="30B99570" w14:textId="77777777" w:rsidR="009C0FC4" w:rsidRPr="00507A31" w:rsidRDefault="009C0FC4" w:rsidP="00507A31">
      <w:pPr>
        <w:jc w:val="both"/>
        <w:rPr>
          <w:color w:val="000000" w:themeColor="text1"/>
          <w:sz w:val="16"/>
          <w:szCs w:val="16"/>
        </w:rPr>
      </w:pPr>
      <w:r w:rsidRPr="00507A31">
        <w:rPr>
          <w:color w:val="000000" w:themeColor="text1"/>
          <w:sz w:val="16"/>
          <w:szCs w:val="16"/>
        </w:rPr>
        <w:t>В этих целях, а также в целях непосредственной подготовки интервенции Рамзин: а) вступил в сношение от имени «Промпартии» с белоэмигрантским центром бывших собственников, находящимся в Париже («Торгпром»);</w:t>
      </w:r>
    </w:p>
    <w:p w14:paraId="5AA6C10D" w14:textId="77777777" w:rsidR="009C0FC4" w:rsidRPr="00507A31" w:rsidRDefault="009C0FC4" w:rsidP="00507A31">
      <w:pPr>
        <w:jc w:val="both"/>
        <w:rPr>
          <w:color w:val="000000" w:themeColor="text1"/>
          <w:sz w:val="16"/>
          <w:szCs w:val="16"/>
        </w:rPr>
      </w:pPr>
      <w:r w:rsidRPr="00507A31">
        <w:rPr>
          <w:color w:val="000000" w:themeColor="text1"/>
          <w:sz w:val="16"/>
          <w:szCs w:val="16"/>
        </w:rPr>
        <w:t>б) вступил в связь с интервенционистскими кругами Франции, установив с ними постоянное сношение через лиц французской службы Москвы граждан К. и Р.;</w:t>
      </w:r>
    </w:p>
    <w:p w14:paraId="4A4907FB" w14:textId="77777777" w:rsidR="009C0FC4" w:rsidRPr="00507A31" w:rsidRDefault="009C0FC4" w:rsidP="00507A31">
      <w:pPr>
        <w:jc w:val="both"/>
        <w:rPr>
          <w:color w:val="000000" w:themeColor="text1"/>
          <w:sz w:val="16"/>
          <w:szCs w:val="16"/>
        </w:rPr>
      </w:pPr>
      <w:r w:rsidRPr="00507A31">
        <w:rPr>
          <w:color w:val="000000" w:themeColor="text1"/>
          <w:sz w:val="16"/>
          <w:szCs w:val="16"/>
        </w:rPr>
        <w:t>в) установил систематическое финансирование «Промпартии» со стороны «Торгпрома» и указанных выше (п. «б») кругов;</w:t>
      </w:r>
    </w:p>
    <w:p w14:paraId="6EC4167A" w14:textId="77777777" w:rsidR="009C0FC4" w:rsidRPr="00507A31" w:rsidRDefault="009C0FC4" w:rsidP="00507A31">
      <w:pPr>
        <w:jc w:val="both"/>
        <w:rPr>
          <w:color w:val="000000" w:themeColor="text1"/>
          <w:sz w:val="16"/>
          <w:szCs w:val="16"/>
        </w:rPr>
      </w:pPr>
      <w:r w:rsidRPr="00507A31">
        <w:rPr>
          <w:color w:val="000000" w:themeColor="text1"/>
          <w:sz w:val="16"/>
          <w:szCs w:val="16"/>
        </w:rPr>
        <w:t>г) принял участие в разработке конкретного плана подготовки совместно с указанными выше кругами и «Торгпромом» интервенции против СССР и дал от имени ЦК «Промпартии» согласие на уплату царских долгов и отторжение от СССР значительной территории;</w:t>
      </w:r>
    </w:p>
    <w:p w14:paraId="739F2E8B" w14:textId="77777777" w:rsidR="009C0FC4" w:rsidRPr="00507A31" w:rsidRDefault="009C0FC4" w:rsidP="00507A31">
      <w:pPr>
        <w:jc w:val="both"/>
        <w:rPr>
          <w:color w:val="000000" w:themeColor="text1"/>
          <w:sz w:val="16"/>
          <w:szCs w:val="16"/>
        </w:rPr>
      </w:pPr>
      <w:r w:rsidRPr="00507A31">
        <w:rPr>
          <w:color w:val="000000" w:themeColor="text1"/>
          <w:sz w:val="16"/>
          <w:szCs w:val="16"/>
        </w:rPr>
        <w:t>д) организовал и руководил в тех же целях систематическим вредительством в различных отраслях народного хозяйства СССР;</w:t>
      </w:r>
    </w:p>
    <w:p w14:paraId="3CC97DD0" w14:textId="77777777" w:rsidR="009C0FC4" w:rsidRPr="00507A31" w:rsidRDefault="009C0FC4" w:rsidP="00507A31">
      <w:pPr>
        <w:jc w:val="both"/>
        <w:rPr>
          <w:color w:val="000000" w:themeColor="text1"/>
          <w:sz w:val="16"/>
          <w:szCs w:val="16"/>
        </w:rPr>
      </w:pPr>
      <w:r w:rsidRPr="00507A31">
        <w:rPr>
          <w:color w:val="000000" w:themeColor="text1"/>
          <w:sz w:val="16"/>
          <w:szCs w:val="16"/>
        </w:rPr>
        <w:t>е) организовал подготовку диверсионных актов, для чего организовал соответствующие диверсионные группы, лично разработав, кроме того, план диверсионной деятельности в области энергетики;</w:t>
      </w:r>
    </w:p>
    <w:p w14:paraId="18EC5D05" w14:textId="77777777" w:rsidR="009C0FC4" w:rsidRPr="00507A31" w:rsidRDefault="009C0FC4" w:rsidP="00507A31">
      <w:pPr>
        <w:jc w:val="both"/>
        <w:rPr>
          <w:color w:val="000000" w:themeColor="text1"/>
          <w:sz w:val="16"/>
          <w:szCs w:val="16"/>
        </w:rPr>
      </w:pPr>
      <w:r w:rsidRPr="00507A31">
        <w:rPr>
          <w:color w:val="000000" w:themeColor="text1"/>
          <w:sz w:val="16"/>
          <w:szCs w:val="16"/>
        </w:rPr>
        <w:t>ж) сносясь регулярно с лицами французской службы гражданами К. и Р., сообщал им и через них сведения в устной и письменной форме шпионского характера;</w:t>
      </w:r>
    </w:p>
    <w:p w14:paraId="3EB95518" w14:textId="77777777" w:rsidR="009C0FC4" w:rsidRPr="00507A31" w:rsidRDefault="009C0FC4" w:rsidP="00507A31">
      <w:pPr>
        <w:jc w:val="both"/>
        <w:rPr>
          <w:color w:val="000000" w:themeColor="text1"/>
          <w:sz w:val="16"/>
          <w:szCs w:val="16"/>
        </w:rPr>
      </w:pPr>
      <w:r w:rsidRPr="00507A31">
        <w:rPr>
          <w:color w:val="000000" w:themeColor="text1"/>
          <w:sz w:val="16"/>
          <w:szCs w:val="16"/>
        </w:rPr>
        <w:t>з) организовал и осуществлял распределение денежных средств, поступавших из-за границы на цели преступной деятельности «Промпартии», т. е. совершил преступления, предусмотренные статьями 58 п. 3, 58 п. 4, 58 п. 6 и 58 п. 11 УК РСФСР.</w:t>
      </w:r>
    </w:p>
    <w:p w14:paraId="6702501C" w14:textId="77777777" w:rsidR="009C0FC4" w:rsidRPr="00507A31" w:rsidRDefault="009C0FC4" w:rsidP="00507A31">
      <w:pPr>
        <w:jc w:val="both"/>
        <w:rPr>
          <w:color w:val="000000" w:themeColor="text1"/>
          <w:sz w:val="16"/>
          <w:szCs w:val="16"/>
        </w:rPr>
      </w:pPr>
      <w:r w:rsidRPr="00507A31">
        <w:rPr>
          <w:color w:val="000000" w:themeColor="text1"/>
          <w:sz w:val="16"/>
          <w:szCs w:val="16"/>
        </w:rPr>
        <w:t>Калинников, Иван Андреевич, — а) вступив в те же организации в качестве члена ЦК «Промпартии», руководил вредительской, диверсионной и шпионской деятельностью «Промпартии», направленной к свержению советской власти путем военной интервенции и к восстановлению капиталистического строя. Кроме того, состоя в должности зампредседателя промышленной] секции Госплана, использовал свое служебное положение в целях составления вредительских планов и срыва пятилетки;</w:t>
      </w:r>
    </w:p>
    <w:p w14:paraId="5EC82C92" w14:textId="77777777" w:rsidR="009C0FC4" w:rsidRPr="00507A31" w:rsidRDefault="009C0FC4" w:rsidP="00507A31">
      <w:pPr>
        <w:jc w:val="both"/>
        <w:rPr>
          <w:color w:val="000000" w:themeColor="text1"/>
          <w:sz w:val="16"/>
          <w:szCs w:val="16"/>
        </w:rPr>
      </w:pPr>
      <w:r w:rsidRPr="00507A31">
        <w:rPr>
          <w:color w:val="000000" w:themeColor="text1"/>
          <w:sz w:val="16"/>
          <w:szCs w:val="16"/>
        </w:rPr>
        <w:t>б) предложил вместе с Чарновским ЦК «Промпартии» осуществить диверсионный план в области металлургической промышленности, что и было ЦК «Промпартии» принято;</w:t>
      </w:r>
    </w:p>
    <w:p w14:paraId="4062B42E" w14:textId="77777777" w:rsidR="009C0FC4" w:rsidRPr="00507A31" w:rsidRDefault="009C0FC4" w:rsidP="00507A31">
      <w:pPr>
        <w:jc w:val="both"/>
        <w:rPr>
          <w:color w:val="000000" w:themeColor="text1"/>
          <w:sz w:val="16"/>
          <w:szCs w:val="16"/>
        </w:rPr>
      </w:pPr>
      <w:r w:rsidRPr="00507A31">
        <w:rPr>
          <w:color w:val="000000" w:themeColor="text1"/>
          <w:sz w:val="16"/>
          <w:szCs w:val="16"/>
        </w:rPr>
        <w:t>в) вступив в связь с лицами французской службы в Москве К. и Р., подготовлял и передавал через них за границу сведения шпионского характера;</w:t>
      </w:r>
    </w:p>
    <w:p w14:paraId="25A72C11" w14:textId="77777777" w:rsidR="009C0FC4" w:rsidRPr="00507A31" w:rsidRDefault="009C0FC4" w:rsidP="00507A31">
      <w:pPr>
        <w:jc w:val="both"/>
        <w:rPr>
          <w:color w:val="000000" w:themeColor="text1"/>
          <w:sz w:val="16"/>
          <w:szCs w:val="16"/>
        </w:rPr>
      </w:pPr>
      <w:r w:rsidRPr="00507A31">
        <w:rPr>
          <w:color w:val="000000" w:themeColor="text1"/>
          <w:sz w:val="16"/>
          <w:szCs w:val="16"/>
        </w:rPr>
        <w:t>г) распределял денежные средства, получаемые из-за границы, между членами «Промпартии», подведомственной ему отраслевой цепочки, т. е. совершил преступления, предусмотренные статьями 58 п. 3, 58 п. 4, 58 п. 6 и 58 п. 11 УК РСФСР.</w:t>
      </w:r>
    </w:p>
    <w:p w14:paraId="19525C79" w14:textId="77777777" w:rsidR="009C0FC4" w:rsidRPr="00507A31" w:rsidRDefault="009C0FC4" w:rsidP="00507A31">
      <w:pPr>
        <w:jc w:val="both"/>
        <w:rPr>
          <w:color w:val="000000" w:themeColor="text1"/>
          <w:sz w:val="16"/>
          <w:szCs w:val="16"/>
        </w:rPr>
      </w:pPr>
      <w:r w:rsidRPr="00507A31">
        <w:rPr>
          <w:color w:val="000000" w:themeColor="text1"/>
          <w:sz w:val="16"/>
          <w:szCs w:val="16"/>
        </w:rPr>
        <w:t>Ларичев, Виктор Алексеевич, — вступив в контрреволюционную организацию «Инж. центр» в 1926 году, участвовал в организации «Промпартии». Будучи членом ЦК «Промпартии», руководил диверсионной, шпионской и вредительской деятельностью, направленной на указанные выше цели. Кроме того: а) вступил в непосредственные сношения от имени «Промпартии» с «Торгпромом» и интервенционистскими кругами в Париже;</w:t>
      </w:r>
    </w:p>
    <w:p w14:paraId="07B24EB3" w14:textId="77777777" w:rsidR="009C0FC4" w:rsidRPr="00507A31" w:rsidRDefault="009C0FC4" w:rsidP="00507A31">
      <w:pPr>
        <w:jc w:val="both"/>
        <w:rPr>
          <w:color w:val="000000" w:themeColor="text1"/>
          <w:sz w:val="16"/>
          <w:szCs w:val="16"/>
        </w:rPr>
      </w:pPr>
      <w:r w:rsidRPr="00507A31">
        <w:rPr>
          <w:color w:val="000000" w:themeColor="text1"/>
          <w:sz w:val="16"/>
          <w:szCs w:val="16"/>
        </w:rPr>
        <w:t>б) вошел в связь с лицами французской службы в Москве К. и Р. в указанных выше целях;</w:t>
      </w:r>
    </w:p>
    <w:p w14:paraId="5E81DA1B" w14:textId="77777777" w:rsidR="009C0FC4" w:rsidRPr="00507A31" w:rsidRDefault="009C0FC4" w:rsidP="00507A31">
      <w:pPr>
        <w:jc w:val="both"/>
        <w:rPr>
          <w:color w:val="000000" w:themeColor="text1"/>
          <w:sz w:val="16"/>
          <w:szCs w:val="16"/>
        </w:rPr>
      </w:pPr>
      <w:r w:rsidRPr="00507A31">
        <w:rPr>
          <w:color w:val="000000" w:themeColor="text1"/>
          <w:sz w:val="16"/>
          <w:szCs w:val="16"/>
        </w:rPr>
        <w:t>в) распределял между членами подведомственных ему вредительских отраслевых организаций получаемые из-за границы денежные суммы;</w:t>
      </w:r>
    </w:p>
    <w:p w14:paraId="369916AD" w14:textId="77777777" w:rsidR="009C0FC4" w:rsidRPr="00507A31" w:rsidRDefault="009C0FC4" w:rsidP="00507A31">
      <w:pPr>
        <w:jc w:val="both"/>
        <w:rPr>
          <w:color w:val="000000" w:themeColor="text1"/>
          <w:sz w:val="16"/>
          <w:szCs w:val="16"/>
        </w:rPr>
      </w:pPr>
      <w:r w:rsidRPr="00507A31">
        <w:rPr>
          <w:color w:val="000000" w:themeColor="text1"/>
          <w:sz w:val="16"/>
          <w:szCs w:val="16"/>
        </w:rPr>
        <w:t>г) будучи председателем топливной секции Госплана, непосредственно руководил, используя в контрреволюционных целях свое служебное положение, вредительством в области планирования топливной промышленности, в частности нефтяной, а также принял участие в руководстве вредительской работой на транспорте;</w:t>
      </w:r>
    </w:p>
    <w:p w14:paraId="2A07AEA9" w14:textId="77777777" w:rsidR="009C0FC4" w:rsidRPr="00507A31" w:rsidRDefault="009C0FC4" w:rsidP="00507A31">
      <w:pPr>
        <w:jc w:val="both"/>
        <w:rPr>
          <w:color w:val="000000" w:themeColor="text1"/>
          <w:sz w:val="16"/>
          <w:szCs w:val="16"/>
        </w:rPr>
      </w:pPr>
      <w:r w:rsidRPr="00507A31">
        <w:rPr>
          <w:color w:val="000000" w:themeColor="text1"/>
          <w:sz w:val="16"/>
          <w:szCs w:val="16"/>
        </w:rPr>
        <w:t>д) осуществлял шпионскую работу путем передачи соответствующих материалов за границу через указанных выше лиц французской службы в Москве, т. е. совершил преступления, предусмотренные ст.ст. 58 п. 3, 58 п. 4, 58 п. 6 и 58 п. 11 УК РСФСР.</w:t>
      </w:r>
    </w:p>
    <w:p w14:paraId="03C44BA3" w14:textId="77777777" w:rsidR="009C0FC4" w:rsidRPr="00507A31" w:rsidRDefault="009C0FC4" w:rsidP="00507A31">
      <w:pPr>
        <w:jc w:val="both"/>
        <w:rPr>
          <w:color w:val="000000" w:themeColor="text1"/>
          <w:sz w:val="16"/>
          <w:szCs w:val="16"/>
        </w:rPr>
      </w:pPr>
      <w:r w:rsidRPr="00507A31">
        <w:rPr>
          <w:color w:val="000000" w:themeColor="text1"/>
          <w:sz w:val="16"/>
          <w:szCs w:val="16"/>
        </w:rPr>
        <w:t>Чарновский, Николай Францевич, — вступив в 1927 году в те же контрреволюционные организации и активно участвуя в руководстве работой контрреволюционной организации «Промпартия» в качестве члена ее ЦК, осуществлял вредительскую, диверсионную и шпионскую работу в тех же целях.</w:t>
      </w:r>
    </w:p>
    <w:p w14:paraId="1C964F35" w14:textId="77777777" w:rsidR="009C0FC4" w:rsidRPr="00507A31" w:rsidRDefault="009C0FC4" w:rsidP="00507A31">
      <w:pPr>
        <w:jc w:val="both"/>
        <w:rPr>
          <w:color w:val="000000" w:themeColor="text1"/>
          <w:sz w:val="16"/>
          <w:szCs w:val="16"/>
        </w:rPr>
      </w:pPr>
      <w:r w:rsidRPr="00507A31">
        <w:rPr>
          <w:color w:val="000000" w:themeColor="text1"/>
          <w:sz w:val="16"/>
          <w:szCs w:val="16"/>
        </w:rPr>
        <w:t>Кроме того: а) руководил вредительством в области металлургической промышленности, б) руководил вредительской работой при прохождении проектов через научно-технический совет, им возглавлявшийся, благодаря чему была задержана постройка ряда заводов, в том числе по станкостроению, была создана диспропорция в цехах, были осуществлены нерациональные вложения капиталов и в целом было задержано развитие металлургической промышленности;</w:t>
      </w:r>
    </w:p>
    <w:p w14:paraId="4D69776C" w14:textId="77777777" w:rsidR="009C0FC4" w:rsidRPr="00507A31" w:rsidRDefault="009C0FC4" w:rsidP="00507A31">
      <w:pPr>
        <w:jc w:val="both"/>
        <w:rPr>
          <w:color w:val="000000" w:themeColor="text1"/>
          <w:sz w:val="16"/>
          <w:szCs w:val="16"/>
        </w:rPr>
      </w:pPr>
      <w:r w:rsidRPr="00507A31">
        <w:rPr>
          <w:color w:val="000000" w:themeColor="text1"/>
          <w:sz w:val="16"/>
          <w:szCs w:val="16"/>
        </w:rPr>
        <w:t>в) разработал совместно с Калинниковым диверсионный план в области обслуживания заводами военных нужд;</w:t>
      </w:r>
    </w:p>
    <w:p w14:paraId="62175BE6" w14:textId="77777777" w:rsidR="009C0FC4" w:rsidRPr="00507A31" w:rsidRDefault="009C0FC4" w:rsidP="00507A31">
      <w:pPr>
        <w:jc w:val="both"/>
        <w:rPr>
          <w:color w:val="000000" w:themeColor="text1"/>
          <w:sz w:val="16"/>
          <w:szCs w:val="16"/>
        </w:rPr>
      </w:pPr>
      <w:r w:rsidRPr="00507A31">
        <w:rPr>
          <w:color w:val="000000" w:themeColor="text1"/>
          <w:sz w:val="16"/>
          <w:szCs w:val="16"/>
        </w:rPr>
        <w:t>г) распределял между членами руководимой им отраслевой вредительской] организации получаемые из-за границы денежные средства;</w:t>
      </w:r>
    </w:p>
    <w:p w14:paraId="352D7573" w14:textId="77777777" w:rsidR="009C0FC4" w:rsidRPr="00507A31" w:rsidRDefault="009C0FC4" w:rsidP="00507A31">
      <w:pPr>
        <w:jc w:val="both"/>
        <w:rPr>
          <w:color w:val="000000" w:themeColor="text1"/>
          <w:sz w:val="16"/>
          <w:szCs w:val="16"/>
        </w:rPr>
      </w:pPr>
      <w:r w:rsidRPr="00507A31">
        <w:rPr>
          <w:color w:val="000000" w:themeColor="text1"/>
          <w:sz w:val="16"/>
          <w:szCs w:val="16"/>
        </w:rPr>
        <w:t>д) составлял совместно с Калинниковым для передачи за границу сводки шпионского характера, т. е. совершил преступления, предусмотренные ст.ст. 58 п. 3,58 п. 4, 58 п. 6 и 58 п. 11 УК РСФСР.</w:t>
      </w:r>
    </w:p>
    <w:p w14:paraId="2BFF9006" w14:textId="77777777" w:rsidR="009C0FC4" w:rsidRPr="00507A31" w:rsidRDefault="009C0FC4" w:rsidP="00507A31">
      <w:pPr>
        <w:jc w:val="both"/>
        <w:rPr>
          <w:color w:val="000000" w:themeColor="text1"/>
          <w:sz w:val="16"/>
          <w:szCs w:val="16"/>
        </w:rPr>
      </w:pPr>
      <w:r w:rsidRPr="00507A31">
        <w:rPr>
          <w:color w:val="000000" w:themeColor="text1"/>
          <w:sz w:val="16"/>
          <w:szCs w:val="16"/>
        </w:rPr>
        <w:t>Федотов, Александр Александрович, — в 1925 году вступил в текстильную вредительскую группу, которой впоследствии и руководил. Вступил в «Промпартию», войдя в ее ЦК, и осуществлял руководство диверсионной, вредительской и шпионской деятельностью «Промпартии».</w:t>
      </w:r>
    </w:p>
    <w:p w14:paraId="06450874" w14:textId="77777777" w:rsidR="009C0FC4" w:rsidRPr="00507A31" w:rsidRDefault="009C0FC4" w:rsidP="00507A31">
      <w:pPr>
        <w:jc w:val="both"/>
        <w:rPr>
          <w:color w:val="000000" w:themeColor="text1"/>
          <w:sz w:val="16"/>
          <w:szCs w:val="16"/>
        </w:rPr>
      </w:pPr>
      <w:r w:rsidRPr="00507A31">
        <w:rPr>
          <w:color w:val="000000" w:themeColor="text1"/>
          <w:sz w:val="16"/>
          <w:szCs w:val="16"/>
        </w:rPr>
        <w:t>Кроме того: а) руководил непосредственно вредительской деятельностью отраслевой организации в текстильной промышленности, осуществляя это вредительство как в работе по составлению 5-летнего плана, так и путем искусственного замедления темпов развертывания производства и нового строительства, создавая затруднения по снабжению этой промышленности сырьем и импортным оборудованием наиболее технически высокого качества и подрывая развитие тех производств, в которых советское государство ощутило бы особую нужду в случае открытия военных действий;</w:t>
      </w:r>
    </w:p>
    <w:p w14:paraId="21620E8D" w14:textId="77777777" w:rsidR="009C0FC4" w:rsidRPr="00507A31" w:rsidRDefault="009C0FC4" w:rsidP="00507A31">
      <w:pPr>
        <w:jc w:val="both"/>
        <w:rPr>
          <w:color w:val="000000" w:themeColor="text1"/>
          <w:sz w:val="16"/>
          <w:szCs w:val="16"/>
        </w:rPr>
      </w:pPr>
      <w:r w:rsidRPr="00507A31">
        <w:rPr>
          <w:color w:val="000000" w:themeColor="text1"/>
          <w:sz w:val="16"/>
          <w:szCs w:val="16"/>
        </w:rPr>
        <w:t>распределял денежные средства с вредительскими целями, получаемые им из указанных выше источников, т. е. совершил преступления, предусмотренные ст.ст. 58 п. 3, 58 п. 4, 58 п. 6 и 58 п. 11 УК РСФСР.</w:t>
      </w:r>
    </w:p>
    <w:p w14:paraId="49D50AD8" w14:textId="77777777" w:rsidR="009C0FC4" w:rsidRPr="00507A31" w:rsidRDefault="009C0FC4" w:rsidP="00507A31">
      <w:pPr>
        <w:jc w:val="both"/>
        <w:rPr>
          <w:color w:val="000000" w:themeColor="text1"/>
          <w:sz w:val="16"/>
          <w:szCs w:val="16"/>
        </w:rPr>
      </w:pPr>
      <w:r w:rsidRPr="00507A31">
        <w:rPr>
          <w:color w:val="000000" w:themeColor="text1"/>
          <w:sz w:val="16"/>
          <w:szCs w:val="16"/>
        </w:rPr>
        <w:t>6) Куприянов, Сергей Викторович, — будучи членом «Промпартии», в тех же целях:</w:t>
      </w:r>
    </w:p>
    <w:p w14:paraId="0D0DCF39" w14:textId="77777777" w:rsidR="009C0FC4" w:rsidRPr="00507A31" w:rsidRDefault="009C0FC4" w:rsidP="00507A31">
      <w:pPr>
        <w:jc w:val="both"/>
        <w:rPr>
          <w:color w:val="000000" w:themeColor="text1"/>
          <w:sz w:val="16"/>
          <w:szCs w:val="16"/>
        </w:rPr>
      </w:pPr>
      <w:r w:rsidRPr="00507A31">
        <w:rPr>
          <w:color w:val="000000" w:themeColor="text1"/>
          <w:sz w:val="16"/>
          <w:szCs w:val="16"/>
        </w:rPr>
        <w:t>а) поддерживал сношения с представителями «Торгпрома» в целях осуществления вредительской и интервенционистской работы «Промпартии»;</w:t>
      </w:r>
    </w:p>
    <w:p w14:paraId="65D36D82" w14:textId="77777777" w:rsidR="009C0FC4" w:rsidRPr="00507A31" w:rsidRDefault="009C0FC4" w:rsidP="00507A31">
      <w:pPr>
        <w:jc w:val="both"/>
        <w:rPr>
          <w:color w:val="000000" w:themeColor="text1"/>
          <w:sz w:val="16"/>
          <w:szCs w:val="16"/>
        </w:rPr>
      </w:pPr>
      <w:r w:rsidRPr="00507A31">
        <w:rPr>
          <w:color w:val="000000" w:themeColor="text1"/>
          <w:sz w:val="16"/>
          <w:szCs w:val="16"/>
        </w:rPr>
        <w:t>б) проводил в жизнь директивы ЦК «Промпартии» по составлению вредительских планов текстильной промышленности; по выработке ассортимента товаров, не соответствующего требованиям рынка; по задержке текстильного машиностроения; по несвоевременному и неправильному завозу текстильных товаров по районам;</w:t>
      </w:r>
    </w:p>
    <w:p w14:paraId="7B1D1014" w14:textId="77777777" w:rsidR="009C0FC4" w:rsidRPr="00507A31" w:rsidRDefault="009C0FC4" w:rsidP="00507A31">
      <w:pPr>
        <w:jc w:val="both"/>
        <w:rPr>
          <w:color w:val="000000" w:themeColor="text1"/>
          <w:sz w:val="16"/>
          <w:szCs w:val="16"/>
        </w:rPr>
      </w:pPr>
      <w:r w:rsidRPr="00507A31">
        <w:rPr>
          <w:color w:val="000000" w:themeColor="text1"/>
          <w:sz w:val="16"/>
          <w:szCs w:val="16"/>
        </w:rPr>
        <w:t>в) распределял деньги между членами текстильной вредительской группы;</w:t>
      </w:r>
    </w:p>
    <w:p w14:paraId="24FED923" w14:textId="77777777" w:rsidR="009C0FC4" w:rsidRPr="00507A31" w:rsidRDefault="009C0FC4" w:rsidP="00507A31">
      <w:pPr>
        <w:jc w:val="both"/>
        <w:rPr>
          <w:color w:val="000000" w:themeColor="text1"/>
          <w:sz w:val="16"/>
          <w:szCs w:val="16"/>
        </w:rPr>
      </w:pPr>
      <w:r w:rsidRPr="00507A31">
        <w:rPr>
          <w:color w:val="000000" w:themeColor="text1"/>
          <w:sz w:val="16"/>
          <w:szCs w:val="16"/>
        </w:rPr>
        <w:t>г) принял поручение ЦК «ПП» организовать военную группу из бывших белых офицеров;</w:t>
      </w:r>
    </w:p>
    <w:p w14:paraId="5FDCCF95" w14:textId="77777777" w:rsidR="009C0FC4" w:rsidRPr="00507A31" w:rsidRDefault="009C0FC4" w:rsidP="00507A31">
      <w:pPr>
        <w:jc w:val="both"/>
        <w:rPr>
          <w:color w:val="000000" w:themeColor="text1"/>
          <w:sz w:val="16"/>
          <w:szCs w:val="16"/>
        </w:rPr>
      </w:pPr>
      <w:r w:rsidRPr="00507A31">
        <w:rPr>
          <w:color w:val="000000" w:themeColor="text1"/>
          <w:sz w:val="16"/>
          <w:szCs w:val="16"/>
        </w:rPr>
        <w:t>д) принял поручение ЦК «ПП» по добыванию секретных сведений по мобработе в текстильной промышленности, т. е. совершил преступления, предусмотренные ст.ст. 58 п. 3, 58 п. 4, 58 п. 6 и 58 п. 11 УК РСФСР.</w:t>
      </w:r>
    </w:p>
    <w:p w14:paraId="351465FD" w14:textId="77777777" w:rsidR="009C0FC4" w:rsidRPr="00507A31" w:rsidRDefault="009C0FC4" w:rsidP="00507A31">
      <w:pPr>
        <w:jc w:val="both"/>
        <w:rPr>
          <w:color w:val="000000" w:themeColor="text1"/>
          <w:sz w:val="16"/>
          <w:szCs w:val="16"/>
        </w:rPr>
      </w:pPr>
      <w:r w:rsidRPr="00507A31">
        <w:rPr>
          <w:color w:val="000000" w:themeColor="text1"/>
          <w:sz w:val="16"/>
          <w:szCs w:val="16"/>
        </w:rPr>
        <w:t>Очкин, Владимир Иванович, — будучи членом «Промпартии», выполнял поручения ЦК «Промпартии» в лице Рамзина по связям с лицами французской службы в Москве К. и Р. Кроме того, входил в диверсионную группу Теплотехнического института, т. е. совершил преступления, предусмотренные ст.ст. 58 п. 3,58 п. 6 и 58 п. 11 УК РСФСР.</w:t>
      </w:r>
    </w:p>
    <w:p w14:paraId="6A997319" w14:textId="77777777" w:rsidR="009C0FC4" w:rsidRPr="00507A31" w:rsidRDefault="009C0FC4" w:rsidP="00507A31">
      <w:pPr>
        <w:jc w:val="both"/>
        <w:rPr>
          <w:color w:val="000000" w:themeColor="text1"/>
          <w:sz w:val="16"/>
          <w:szCs w:val="16"/>
        </w:rPr>
      </w:pPr>
      <w:r w:rsidRPr="00507A31">
        <w:rPr>
          <w:color w:val="000000" w:themeColor="text1"/>
          <w:sz w:val="16"/>
          <w:szCs w:val="16"/>
        </w:rPr>
        <w:t>Ситнин, Ксенофонт Васильевич, — будучи членом «Промпартии», зная заведомо о поставленных ею целях, принимал на себя исполнение соответствующих заданий в области вредительской работы и, кроме того, вступив в сношения с представителями «Торгпрома», информировал последних о деятельности «Промпартии» и передавал от них последние директивы, т. е. совершил преступления, предусмотренные ст.ст. 58 п. 3, 58 п. 4 и 58 п. И УК РСФСР.</w:t>
      </w:r>
    </w:p>
    <w:p w14:paraId="1BE17E45" w14:textId="77777777" w:rsidR="009C0FC4" w:rsidRPr="00507A31" w:rsidRDefault="009C0FC4" w:rsidP="00507A31">
      <w:pPr>
        <w:jc w:val="both"/>
        <w:rPr>
          <w:color w:val="000000" w:themeColor="text1"/>
          <w:sz w:val="16"/>
          <w:szCs w:val="16"/>
        </w:rPr>
      </w:pPr>
      <w:r w:rsidRPr="00507A31">
        <w:rPr>
          <w:color w:val="000000" w:themeColor="text1"/>
          <w:sz w:val="16"/>
          <w:szCs w:val="16"/>
        </w:rPr>
        <w:t>На основании ст. 326 ч. 3 УПК РСФСР Специальное присутствие Верховного суда СССР приговорило:</w:t>
      </w:r>
    </w:p>
    <w:p w14:paraId="34B5DE08" w14:textId="77777777" w:rsidR="009C0FC4" w:rsidRPr="00507A31" w:rsidRDefault="009C0FC4" w:rsidP="00507A31">
      <w:pPr>
        <w:jc w:val="both"/>
        <w:rPr>
          <w:color w:val="000000" w:themeColor="text1"/>
          <w:sz w:val="16"/>
          <w:szCs w:val="16"/>
        </w:rPr>
      </w:pPr>
      <w:r w:rsidRPr="00507A31">
        <w:rPr>
          <w:color w:val="000000" w:themeColor="text1"/>
          <w:sz w:val="16"/>
          <w:szCs w:val="16"/>
        </w:rPr>
        <w:t>Куприянова, Сергея Викторовича — на основании ст.ст. 58 п. 3, 58 п. 4, 58 п. 6 и 58 п. 11 УК РСФСР — к 10 годам (десяти годам) лишения свободы с поражением в правах, согласно ст. 31 УК РСФСР, предусмотренных лит. лит. «а», «б», «в», «г» и «е» ст. 31, сроком на 5 лет и с конфискацией всего имущества.</w:t>
      </w:r>
    </w:p>
    <w:p w14:paraId="40139EE4" w14:textId="77777777" w:rsidR="009C0FC4" w:rsidRPr="00507A31" w:rsidRDefault="009C0FC4" w:rsidP="00507A31">
      <w:pPr>
        <w:jc w:val="both"/>
        <w:rPr>
          <w:color w:val="000000" w:themeColor="text1"/>
          <w:sz w:val="16"/>
          <w:szCs w:val="16"/>
        </w:rPr>
      </w:pPr>
      <w:r w:rsidRPr="00507A31">
        <w:rPr>
          <w:color w:val="000000" w:themeColor="text1"/>
          <w:sz w:val="16"/>
          <w:szCs w:val="16"/>
        </w:rPr>
        <w:t>Ситнина, Ксенофонта Васильевича — на основании ст.ст. 58 п. 3, 58 п. 4, 58 п. 6 и 58 п. 11 УК РСФСР — к 10 годам (десяти годам) лишения свободы с поражением в правах, согласно ст. 31 УК РСФСР, предусмотренных лит. лит. «а», «б», «в», «г» и «е» ст. 31, сроком на 5 лет и с конфискацией всего имущества;</w:t>
      </w:r>
    </w:p>
    <w:p w14:paraId="4BC35D54" w14:textId="77777777" w:rsidR="009C0FC4" w:rsidRPr="00507A31" w:rsidRDefault="009C0FC4" w:rsidP="00507A31">
      <w:pPr>
        <w:jc w:val="both"/>
        <w:rPr>
          <w:color w:val="000000" w:themeColor="text1"/>
          <w:sz w:val="16"/>
          <w:szCs w:val="16"/>
        </w:rPr>
      </w:pPr>
      <w:r w:rsidRPr="00507A31">
        <w:rPr>
          <w:color w:val="000000" w:themeColor="text1"/>
          <w:sz w:val="16"/>
          <w:szCs w:val="16"/>
        </w:rPr>
        <w:t>Очкина, Владимира Ивановича — на основании ст.ст. 58 п. 3, 58 п. 6 и 58 п. И УК РСФСР — к 10 годам (десяти годам) лишения свободы с поражением в правах, согласно ст. 31 УК РСФСР, предусмотренных лит.</w:t>
      </w:r>
    </w:p>
    <w:p w14:paraId="20E04AD1" w14:textId="77777777" w:rsidR="009C0FC4" w:rsidRPr="00507A31" w:rsidRDefault="009C0FC4" w:rsidP="00507A31">
      <w:pPr>
        <w:jc w:val="both"/>
        <w:rPr>
          <w:color w:val="000000" w:themeColor="text1"/>
          <w:sz w:val="16"/>
          <w:szCs w:val="16"/>
        </w:rPr>
      </w:pPr>
      <w:r w:rsidRPr="00507A31">
        <w:rPr>
          <w:color w:val="000000" w:themeColor="text1"/>
          <w:sz w:val="16"/>
          <w:szCs w:val="16"/>
        </w:rPr>
        <w:t>лит. «а», «б», «в», «г» и «е» ст. 31, сроком на 5 лет и с конфискацией всего имущества;</w:t>
      </w:r>
    </w:p>
    <w:p w14:paraId="57A2EB99" w14:textId="77777777" w:rsidR="009C0FC4" w:rsidRPr="00507A31" w:rsidRDefault="009C0FC4" w:rsidP="00507A31">
      <w:pPr>
        <w:jc w:val="both"/>
        <w:rPr>
          <w:color w:val="000000" w:themeColor="text1"/>
          <w:sz w:val="16"/>
          <w:szCs w:val="16"/>
        </w:rPr>
      </w:pPr>
      <w:r w:rsidRPr="00507A31">
        <w:rPr>
          <w:color w:val="000000" w:themeColor="text1"/>
          <w:sz w:val="16"/>
          <w:szCs w:val="16"/>
        </w:rPr>
        <w:t>Калинникова, Ивана Андреевича — согласно ст.ст. 58 п. 3, 58 п. 4, 58 п. 6 и 58 п. 11 УК РСФСР — к высшей мере социальной защиты — расстрелу с конфискацией всего имущества;</w:t>
      </w:r>
    </w:p>
    <w:p w14:paraId="203524DA" w14:textId="77777777" w:rsidR="009C0FC4" w:rsidRPr="00507A31" w:rsidRDefault="009C0FC4" w:rsidP="00507A31">
      <w:pPr>
        <w:jc w:val="both"/>
        <w:rPr>
          <w:color w:val="000000" w:themeColor="text1"/>
          <w:sz w:val="16"/>
          <w:szCs w:val="16"/>
        </w:rPr>
      </w:pPr>
      <w:r w:rsidRPr="00507A31">
        <w:rPr>
          <w:color w:val="000000" w:themeColor="text1"/>
          <w:sz w:val="16"/>
          <w:szCs w:val="16"/>
        </w:rPr>
        <w:t>Чарновского, Николая Францевича — согласно ст.ст. 58 п. 3,58 и. 4, 58 п. 6 и 58 п. 11 УК РСФСР — к высшей мере социальной защиты — расстрелу с конфискацией всего имущества;</w:t>
      </w:r>
    </w:p>
    <w:p w14:paraId="31D371A0" w14:textId="77777777" w:rsidR="009C0FC4" w:rsidRPr="00507A31" w:rsidRDefault="009C0FC4" w:rsidP="00507A31">
      <w:pPr>
        <w:jc w:val="both"/>
        <w:rPr>
          <w:color w:val="000000" w:themeColor="text1"/>
          <w:sz w:val="16"/>
          <w:szCs w:val="16"/>
        </w:rPr>
      </w:pPr>
      <w:r w:rsidRPr="00507A31">
        <w:rPr>
          <w:color w:val="000000" w:themeColor="text1"/>
          <w:sz w:val="16"/>
          <w:szCs w:val="16"/>
        </w:rPr>
        <w:t>Ларичева, Виктора Алексеевича — согласно ст.ст. 58 п. 3, 58 п. 4, 58 п. 6 и 58 и. 11 УК РСФСР — к высшей мере социальной защиты — расстрелу с конфискацией всего имущества;</w:t>
      </w:r>
    </w:p>
    <w:p w14:paraId="17BAC3F8" w14:textId="77777777" w:rsidR="009C0FC4" w:rsidRPr="00507A31" w:rsidRDefault="009C0FC4" w:rsidP="00507A31">
      <w:pPr>
        <w:jc w:val="both"/>
        <w:rPr>
          <w:color w:val="000000" w:themeColor="text1"/>
          <w:sz w:val="16"/>
          <w:szCs w:val="16"/>
        </w:rPr>
      </w:pPr>
      <w:r w:rsidRPr="00507A31">
        <w:rPr>
          <w:color w:val="000000" w:themeColor="text1"/>
          <w:sz w:val="16"/>
          <w:szCs w:val="16"/>
        </w:rPr>
        <w:lastRenderedPageBreak/>
        <w:t>Федотова, Александра Александровича — согласно ст.ст. 58 п. 3, 58 п. 4, 58 п. 6 и 58 п. 11 УК РСФСР — к высшей мере социальной защиты — расстрелу с конфискацией всего имущества;</w:t>
      </w:r>
    </w:p>
    <w:p w14:paraId="72FCC773" w14:textId="77777777" w:rsidR="009C0FC4" w:rsidRPr="00507A31" w:rsidRDefault="009C0FC4" w:rsidP="00507A31">
      <w:pPr>
        <w:jc w:val="both"/>
        <w:rPr>
          <w:color w:val="000000" w:themeColor="text1"/>
          <w:sz w:val="16"/>
          <w:szCs w:val="16"/>
        </w:rPr>
      </w:pPr>
      <w:r w:rsidRPr="00507A31">
        <w:rPr>
          <w:color w:val="000000" w:themeColor="text1"/>
          <w:sz w:val="16"/>
          <w:szCs w:val="16"/>
        </w:rPr>
        <w:t>Рамзина, Леонида Константиновича — согласно ст.ст. 58 п. 3, 58 п. 4, 58 п. 6 и 58 п. 11 УК РСФСР — к высшей мере социальной защиты — расстрелу с конфискацией всего имущества.</w:t>
      </w:r>
    </w:p>
    <w:p w14:paraId="667C761E" w14:textId="77777777" w:rsidR="009C0FC4" w:rsidRPr="00507A31" w:rsidRDefault="009C0FC4" w:rsidP="00507A31">
      <w:pPr>
        <w:jc w:val="both"/>
        <w:rPr>
          <w:color w:val="000000" w:themeColor="text1"/>
          <w:sz w:val="16"/>
          <w:szCs w:val="16"/>
        </w:rPr>
      </w:pPr>
      <w:r w:rsidRPr="00507A31">
        <w:rPr>
          <w:color w:val="000000" w:themeColor="text1"/>
          <w:sz w:val="16"/>
          <w:szCs w:val="16"/>
        </w:rPr>
        <w:t>Всем приговоренным к срочному лишению свободы зачесть сроки их предварительного заключения.</w:t>
      </w:r>
    </w:p>
    <w:p w14:paraId="4FCC5A1A" w14:textId="77777777" w:rsidR="009C0FC4" w:rsidRPr="00507A31" w:rsidRDefault="009C0FC4" w:rsidP="00507A31">
      <w:pPr>
        <w:jc w:val="both"/>
        <w:rPr>
          <w:color w:val="000000" w:themeColor="text1"/>
          <w:sz w:val="16"/>
          <w:szCs w:val="16"/>
        </w:rPr>
      </w:pPr>
      <w:r w:rsidRPr="00507A31">
        <w:rPr>
          <w:color w:val="000000" w:themeColor="text1"/>
          <w:sz w:val="16"/>
          <w:szCs w:val="16"/>
        </w:rPr>
        <w:t>Приговор окончательный и обжалованию не подлежит.</w:t>
      </w:r>
    </w:p>
    <w:p w14:paraId="6DA9854A" w14:textId="77777777" w:rsidR="009C0FC4" w:rsidRPr="00507A31" w:rsidRDefault="009C0FC4" w:rsidP="00507A31">
      <w:pPr>
        <w:jc w:val="both"/>
        <w:rPr>
          <w:color w:val="000000" w:themeColor="text1"/>
          <w:sz w:val="16"/>
          <w:szCs w:val="16"/>
        </w:rPr>
      </w:pPr>
      <w:r w:rsidRPr="00507A31">
        <w:rPr>
          <w:color w:val="000000" w:themeColor="text1"/>
          <w:sz w:val="16"/>
          <w:szCs w:val="16"/>
        </w:rPr>
        <w:t>Председатель Специального присутствия Верховного суда СССР</w:t>
      </w:r>
    </w:p>
    <w:p w14:paraId="1B6B4CAA" w14:textId="77777777" w:rsidR="009C0FC4" w:rsidRPr="00507A31" w:rsidRDefault="009C0FC4" w:rsidP="00507A31">
      <w:pPr>
        <w:jc w:val="both"/>
        <w:rPr>
          <w:color w:val="000000" w:themeColor="text1"/>
          <w:sz w:val="16"/>
          <w:szCs w:val="16"/>
        </w:rPr>
      </w:pPr>
      <w:r w:rsidRPr="00507A31">
        <w:rPr>
          <w:color w:val="000000" w:themeColor="text1"/>
          <w:sz w:val="16"/>
          <w:szCs w:val="16"/>
        </w:rPr>
        <w:t>А. ВЫШИНСКИЙ</w:t>
      </w:r>
    </w:p>
    <w:p w14:paraId="7E68D512" w14:textId="77777777" w:rsidR="009C0FC4" w:rsidRPr="00507A31" w:rsidRDefault="009C0FC4" w:rsidP="00507A31">
      <w:pPr>
        <w:jc w:val="both"/>
        <w:rPr>
          <w:color w:val="000000" w:themeColor="text1"/>
          <w:sz w:val="16"/>
          <w:szCs w:val="16"/>
        </w:rPr>
      </w:pPr>
      <w:r w:rsidRPr="00507A31">
        <w:rPr>
          <w:color w:val="000000" w:themeColor="text1"/>
          <w:sz w:val="16"/>
          <w:szCs w:val="16"/>
        </w:rPr>
        <w:t>Члены Специального присутствия Верховного суда СССР</w:t>
      </w:r>
    </w:p>
    <w:p w14:paraId="16C3000A" w14:textId="77777777" w:rsidR="009C0FC4" w:rsidRPr="00507A31" w:rsidRDefault="009C0FC4" w:rsidP="00507A31">
      <w:pPr>
        <w:jc w:val="both"/>
        <w:rPr>
          <w:color w:val="000000" w:themeColor="text1"/>
          <w:sz w:val="16"/>
          <w:szCs w:val="16"/>
        </w:rPr>
      </w:pPr>
      <w:r w:rsidRPr="00507A31">
        <w:rPr>
          <w:color w:val="000000" w:themeColor="text1"/>
          <w:sz w:val="16"/>
          <w:szCs w:val="16"/>
        </w:rPr>
        <w:t>АНТОНОВ-САРАТОВСКИЙ, В. ЛЬВОВ</w:t>
      </w:r>
    </w:p>
    <w:p w14:paraId="51E533B5" w14:textId="77777777" w:rsidR="009C0FC4" w:rsidRPr="00507A31" w:rsidRDefault="009C0FC4" w:rsidP="00507A31">
      <w:pPr>
        <w:jc w:val="both"/>
        <w:rPr>
          <w:color w:val="000000" w:themeColor="text1"/>
          <w:sz w:val="16"/>
          <w:szCs w:val="16"/>
        </w:rPr>
      </w:pPr>
      <w:r w:rsidRPr="00507A31">
        <w:rPr>
          <w:color w:val="000000" w:themeColor="text1"/>
          <w:sz w:val="16"/>
          <w:szCs w:val="16"/>
        </w:rPr>
        <w:t>Д. 356. Л. 51. Вырезка из газеты «Правда» от 8 декабря 1950 г. (типографский экземпляр того времени) (18655).</w:t>
      </w:r>
    </w:p>
    <w:p w14:paraId="60FD89CF" w14:textId="77777777" w:rsidR="009C0FC4" w:rsidRPr="00507A31" w:rsidRDefault="009C0FC4" w:rsidP="00507A31">
      <w:pPr>
        <w:jc w:val="both"/>
        <w:rPr>
          <w:color w:val="000000" w:themeColor="text1"/>
          <w:sz w:val="16"/>
          <w:szCs w:val="16"/>
        </w:rPr>
      </w:pPr>
    </w:p>
    <w:p w14:paraId="799CA8FB" w14:textId="77777777" w:rsidR="008A180E" w:rsidRPr="00507A31" w:rsidRDefault="008A180E"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0A0B9CC6" w14:textId="77777777" w:rsidR="008A180E" w:rsidRPr="00507A31" w:rsidRDefault="008A180E" w:rsidP="00507A31">
      <w:pPr>
        <w:autoSpaceDE w:val="0"/>
        <w:autoSpaceDN w:val="0"/>
        <w:adjustRightInd w:val="0"/>
        <w:jc w:val="both"/>
        <w:rPr>
          <w:iCs/>
          <w:color w:val="000000" w:themeColor="text1"/>
          <w:sz w:val="16"/>
          <w:szCs w:val="16"/>
        </w:rPr>
      </w:pPr>
    </w:p>
    <w:p w14:paraId="7A8A0782" w14:textId="77777777" w:rsidR="009C0FC4" w:rsidRPr="00507A31" w:rsidRDefault="009C0FC4" w:rsidP="00507A31">
      <w:pPr>
        <w:jc w:val="both"/>
        <w:rPr>
          <w:bCs/>
          <w:color w:val="000000" w:themeColor="text1"/>
          <w:sz w:val="16"/>
          <w:szCs w:val="16"/>
        </w:rPr>
      </w:pPr>
      <w:r w:rsidRPr="00507A31">
        <w:rPr>
          <w:color w:val="000000" w:themeColor="text1"/>
          <w:sz w:val="16"/>
          <w:szCs w:val="16"/>
        </w:rPr>
        <w:t>7 декабря 1930 г.</w:t>
      </w:r>
    </w:p>
    <w:p w14:paraId="1C4EED2E" w14:textId="77777777" w:rsidR="009C0FC4" w:rsidRPr="00507A31" w:rsidRDefault="009C0FC4" w:rsidP="00507A31">
      <w:pPr>
        <w:jc w:val="both"/>
        <w:rPr>
          <w:bCs/>
          <w:color w:val="000000" w:themeColor="text1"/>
          <w:sz w:val="16"/>
          <w:szCs w:val="16"/>
        </w:rPr>
      </w:pPr>
      <w:r w:rsidRPr="00507A31">
        <w:rPr>
          <w:color w:val="000000" w:themeColor="text1"/>
          <w:sz w:val="16"/>
          <w:szCs w:val="16"/>
        </w:rPr>
        <w:t>Письмо Ж. Л. Аренса В. Н. Баркову о возможностях публикации во Франции «стенографического отчета» о процессе «Промпартии». 7 декабря 1930 г.</w:t>
      </w:r>
    </w:p>
    <w:p w14:paraId="1AEDC75E" w14:textId="77777777" w:rsidR="009C0FC4" w:rsidRPr="00507A31" w:rsidRDefault="009C0FC4" w:rsidP="00507A31">
      <w:pPr>
        <w:jc w:val="both"/>
        <w:rPr>
          <w:bCs/>
          <w:color w:val="000000" w:themeColor="text1"/>
          <w:sz w:val="16"/>
          <w:szCs w:val="16"/>
        </w:rPr>
      </w:pPr>
      <w:r w:rsidRPr="00507A31">
        <w:rPr>
          <w:bCs/>
          <w:color w:val="000000" w:themeColor="text1"/>
          <w:sz w:val="16"/>
          <w:szCs w:val="16"/>
        </w:rPr>
        <w:t>Источник: </w:t>
      </w:r>
    </w:p>
    <w:p w14:paraId="2F0629D5" w14:textId="77777777" w:rsidR="009C0FC4" w:rsidRPr="00507A31" w:rsidRDefault="009C0FC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7F8B33" w14:textId="77777777" w:rsidR="009C0FC4" w:rsidRPr="00507A31" w:rsidRDefault="009C0FC4" w:rsidP="00507A31">
      <w:pPr>
        <w:pStyle w:val="rteright"/>
        <w:spacing w:before="0" w:after="0"/>
        <w:jc w:val="both"/>
        <w:rPr>
          <w:color w:val="000000" w:themeColor="text1"/>
          <w:sz w:val="16"/>
          <w:szCs w:val="16"/>
        </w:rPr>
      </w:pPr>
      <w:r w:rsidRPr="00507A31">
        <w:rPr>
          <w:color w:val="000000" w:themeColor="text1"/>
          <w:sz w:val="16"/>
          <w:szCs w:val="16"/>
        </w:rPr>
        <w:t>7 декабря 1930 г.</w:t>
      </w:r>
    </w:p>
    <w:p w14:paraId="2A0BED8F" w14:textId="77777777" w:rsidR="009C0FC4" w:rsidRPr="00507A31" w:rsidRDefault="009C0FC4"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26A54C1C"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2E659AC0"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7 декабря 1930 г.</w:t>
      </w:r>
    </w:p>
    <w:p w14:paraId="0AEE83A8"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 7355</w:t>
      </w:r>
    </w:p>
    <w:p w14:paraId="7B3D7794"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Тов. Баркову</w:t>
      </w:r>
    </w:p>
    <w:p w14:paraId="002167C6"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Париж</w:t>
      </w:r>
    </w:p>
    <w:p w14:paraId="1C96C5EA"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1. Приехал сюда молодой француз Люциани, которого я хорошо знаю по Парижу и который хорошо к нам относится. Он получил стипендию от Буайе, но хотел бы здесь остаться довольно длительное время. Поэтому ему необходим добавочный заработок. Буайе предложил ему быть местным корр[еспонден]том агентства Гавас. Люциани не хотел дать ответа, пока не получил на это моей санкции. Вчера, согласовав со мной этот вопрос, он протелеграфировал Буайе, что согласен принять это предложение. Желательно было бы, чтобы Вы при удобном случае поддержали кандидатуру Люциани перед Буайе.</w:t>
      </w:r>
    </w:p>
    <w:p w14:paraId="5F335136"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Люциани является хорошим журналистом и его необходимо использовать и по этой линии. Предлагаю Вам сговориться с соответствующими предприятиями, чтобы они помещали его московские корреспонденции и платили ему поштучно от 200 до 300 франков за корреспонденцию или же назначили ему небольшой месячный гонорар, например 1000 франк[ов] за еженедельные корреспонденции. Он сможет корреспондировать, как в связанных с нами предприятиях, так и эвентуально в «Репюблик» и «Эвр». Одно не исключает другого, так как ни одна из этих газет не может позволить себе иметь здесь специального человека, который бы исключительно ее обслуживал. Он сможет тогда выступать в этих газетах под разными фамилиями. Спросите их, согласятся ли они в экстренных случаях помещать его телеграфную информацию и на каких условиях.</w:t>
      </w:r>
    </w:p>
    <w:p w14:paraId="4EBF7D7A"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3. а) В дополнение к моему предыдущему письму: Выясните с Эдисион Валюа возможность перевода стенографического отчета о процессе на французский язык и приблизительную стоимость этого, а также на каких условиях, т. е. другими словами, какое количество [напечатанных] экземпляров мы должны у них взять, для того чтобы они издали эти отчеты. Я Вам на днях протелеграфирую приблизительный размер предстоящей книги, чтобы Вы могли уже конкретно приступить к переговорам (с Эдисион Валюа Вы можете связаться через Доминика или Вожеля).</w:t>
      </w:r>
    </w:p>
    <w:p w14:paraId="233D8AA3"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б) Предложите Делези написать брошюрку против интервенции, использовав материалы о процессе. По своему характеру эта брошюра должна быть похожа на его брошюру по вопросу о франко-русских долгах. Возможно, что Эдисион Валуа согласилось бы издать ее, однако, имейте в виду, что литературный гонорар за эту работу нам придется уплатить отдельно.</w:t>
      </w:r>
    </w:p>
    <w:p w14:paraId="0AFC567A"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в) Желательно было бы издать брошюру с отзывами о процессе и интервенции разных французских литераторов и видных деятелей (Поль Маргеритт и т. д.). Эту работу смог бы взять на себя «Серкль де ля Рюсси Нэв».</w:t>
      </w:r>
    </w:p>
    <w:p w14:paraId="0D8E2FD6"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1.   Мы получили статью с изложением основ пятилетки для «Эйроп Нувелль» из Госплана, но должны были ее забраковать. Теперь пишется другая, которую надеемся выслать Вам в самом близком будущем.</w:t>
      </w:r>
    </w:p>
    <w:p w14:paraId="22CDC9FC"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(Аренс)</w:t>
      </w:r>
    </w:p>
    <w:p w14:paraId="4BCA8696" w14:textId="77777777" w:rsidR="009C0FC4" w:rsidRPr="00507A31" w:rsidRDefault="009C0FC4"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32. Л. 181-182. Машинописная копия того времени. Гриф секретности машинописью, исходящий номер от руки. Внизу слева делопроизводственная помета машинописью (столбцом) «4 экз. 1 — т. Баркову 1 — т. Литвинову 1 — т. Крестинскому 1 — архив» (18820).</w:t>
      </w:r>
    </w:p>
    <w:p w14:paraId="339A119E" w14:textId="77777777" w:rsidR="009C0FC4" w:rsidRPr="00507A31" w:rsidRDefault="009C0FC4" w:rsidP="00507A31">
      <w:pPr>
        <w:jc w:val="both"/>
        <w:rPr>
          <w:color w:val="000000" w:themeColor="text1"/>
          <w:sz w:val="16"/>
          <w:szCs w:val="16"/>
        </w:rPr>
      </w:pPr>
    </w:p>
    <w:p w14:paraId="38A2AE2B" w14:textId="77777777" w:rsidR="009C0FC4" w:rsidRPr="00507A31" w:rsidRDefault="009C0FC4" w:rsidP="00507A31">
      <w:pPr>
        <w:jc w:val="both"/>
        <w:rPr>
          <w:bCs/>
          <w:color w:val="000000" w:themeColor="text1"/>
          <w:sz w:val="16"/>
          <w:szCs w:val="16"/>
        </w:rPr>
      </w:pPr>
      <w:r w:rsidRPr="00507A31">
        <w:rPr>
          <w:color w:val="000000" w:themeColor="text1"/>
          <w:sz w:val="16"/>
          <w:szCs w:val="16"/>
        </w:rPr>
        <w:t>7 декабря 1930 г.</w:t>
      </w:r>
    </w:p>
    <w:p w14:paraId="5400844E" w14:textId="77777777" w:rsidR="009C0FC4" w:rsidRPr="00507A31" w:rsidRDefault="009C0FC4" w:rsidP="00507A31">
      <w:pPr>
        <w:jc w:val="both"/>
        <w:rPr>
          <w:bCs/>
          <w:color w:val="000000" w:themeColor="text1"/>
          <w:sz w:val="16"/>
          <w:szCs w:val="16"/>
        </w:rPr>
      </w:pPr>
      <w:r w:rsidRPr="00507A31">
        <w:rPr>
          <w:color w:val="000000" w:themeColor="text1"/>
          <w:sz w:val="16"/>
          <w:szCs w:val="16"/>
        </w:rPr>
        <w:t>Письмо Ж. Л. Аренса В. Н. Баркову по поводу организации «ознакомления» французской общественности с материалами процесса «Промпартии». 7 декабря 1930 г.</w:t>
      </w:r>
    </w:p>
    <w:p w14:paraId="32E098A0" w14:textId="77777777" w:rsidR="009C0FC4" w:rsidRPr="00507A31" w:rsidRDefault="009C0FC4" w:rsidP="00507A31">
      <w:pPr>
        <w:jc w:val="both"/>
        <w:rPr>
          <w:bCs/>
          <w:color w:val="000000" w:themeColor="text1"/>
          <w:sz w:val="16"/>
          <w:szCs w:val="16"/>
        </w:rPr>
      </w:pPr>
      <w:r w:rsidRPr="00507A31">
        <w:rPr>
          <w:bCs/>
          <w:color w:val="000000" w:themeColor="text1"/>
          <w:sz w:val="16"/>
          <w:szCs w:val="16"/>
        </w:rPr>
        <w:t>Источник: </w:t>
      </w:r>
    </w:p>
    <w:p w14:paraId="6D4C085D" w14:textId="77777777" w:rsidR="009C0FC4" w:rsidRPr="00507A31" w:rsidRDefault="009C0FC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8E9DA9D" w14:textId="77777777" w:rsidR="009C0FC4" w:rsidRPr="00507A31" w:rsidRDefault="009C0FC4" w:rsidP="00507A31">
      <w:pPr>
        <w:jc w:val="both"/>
        <w:rPr>
          <w:bCs/>
          <w:color w:val="000000" w:themeColor="text1"/>
          <w:sz w:val="16"/>
          <w:szCs w:val="16"/>
        </w:rPr>
      </w:pPr>
      <w:r w:rsidRPr="00507A31">
        <w:rPr>
          <w:bCs/>
          <w:color w:val="000000" w:themeColor="text1"/>
          <w:sz w:val="16"/>
          <w:szCs w:val="16"/>
        </w:rPr>
        <w:t>Архив: </w:t>
      </w:r>
    </w:p>
    <w:p w14:paraId="5E747234" w14:textId="77777777" w:rsidR="009C0FC4" w:rsidRPr="00507A31" w:rsidRDefault="009C0FC4" w:rsidP="00507A31">
      <w:pPr>
        <w:jc w:val="both"/>
        <w:rPr>
          <w:color w:val="000000" w:themeColor="text1"/>
          <w:sz w:val="16"/>
          <w:szCs w:val="16"/>
        </w:rPr>
      </w:pPr>
      <w:r w:rsidRPr="00507A31">
        <w:rPr>
          <w:color w:val="000000" w:themeColor="text1"/>
          <w:sz w:val="16"/>
          <w:szCs w:val="16"/>
        </w:rPr>
        <w:t>АВП РФ. Ф. 010. On. 1. П. 5.Д. 82. Л. 23-25</w:t>
      </w:r>
    </w:p>
    <w:p w14:paraId="344E256F" w14:textId="77777777" w:rsidR="009C0FC4" w:rsidRPr="00507A31" w:rsidRDefault="009C0FC4" w:rsidP="00507A31">
      <w:pPr>
        <w:pStyle w:val="rteright"/>
        <w:spacing w:before="0" w:after="0"/>
        <w:jc w:val="both"/>
        <w:rPr>
          <w:color w:val="000000" w:themeColor="text1"/>
          <w:sz w:val="16"/>
          <w:szCs w:val="16"/>
        </w:rPr>
      </w:pPr>
      <w:r w:rsidRPr="00507A31">
        <w:rPr>
          <w:color w:val="000000" w:themeColor="text1"/>
          <w:sz w:val="16"/>
          <w:szCs w:val="16"/>
        </w:rPr>
        <w:t>7 декабря 1930 г.</w:t>
      </w:r>
    </w:p>
    <w:p w14:paraId="34FEE66C" w14:textId="77777777" w:rsidR="009C0FC4" w:rsidRPr="00507A31" w:rsidRDefault="009C0FC4" w:rsidP="00507A31">
      <w:pPr>
        <w:pStyle w:val="rteright"/>
        <w:spacing w:before="0" w:after="0"/>
        <w:jc w:val="both"/>
        <w:rPr>
          <w:color w:val="000000" w:themeColor="text1"/>
          <w:sz w:val="16"/>
          <w:szCs w:val="16"/>
        </w:rPr>
      </w:pPr>
      <w:r w:rsidRPr="00507A31">
        <w:rPr>
          <w:color w:val="000000" w:themeColor="text1"/>
          <w:sz w:val="16"/>
          <w:szCs w:val="16"/>
        </w:rPr>
        <w:t>Совершенно секретно</w:t>
      </w:r>
    </w:p>
    <w:p w14:paraId="31DA8192"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26A98AB1"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7 декабря 1930 г.</w:t>
      </w:r>
    </w:p>
    <w:p w14:paraId="513A7B2C"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 7356</w:t>
      </w:r>
    </w:p>
    <w:p w14:paraId="4B941CC7"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Полпредство С.С.С.Р. в Париже</w:t>
      </w:r>
    </w:p>
    <w:p w14:paraId="0C20D750"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Тов. Баркову</w:t>
      </w:r>
    </w:p>
    <w:p w14:paraId="62F0C372"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Согласно директивным указаниям Вы должны немедленно приступить к ознакомлению возможно более широких кругов общественного мнения Франции с итоговыми материалами процесса Промпартии. Это необходимо сделать по линии газет, журналов и эвентуально брошюр и книг. Для этой цели необходимо использовать все наши связи. Необходимо сосредоточить внимание на том, что основным моментом является подготовка интервенции и новой мировой войны. В этом разрезе Вы сможете привлечь к этой кампании значительные пацифистские круги, которые, если даже не захотят выступить решительно за или против вредителей, но которые, однако, можно будет уговорить выступить решительно против интервенции.</w:t>
      </w:r>
    </w:p>
    <w:p w14:paraId="4986CCC6"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1)  По линии газет. Необходимо поместить итоговые статьи во всех тех газетах, с которыми мы связаны («Волонтэ», «Пари Миди», «Пари Суар», «Суар»), причем желательно, чтобы эти статьи для каждой газеты были специально написаны. Полагаю, что и в «Репюблик» и в «Л’Эвр», если поговорить лично с Домиником и Снеллем, удастся соответствующие статьи инспирировать. Желательно было бы что[-]нибудь предпринять и в провинции, но, насколько мне кажется, возможности в этом отношении крайне ограничены.</w:t>
      </w:r>
    </w:p>
    <w:p w14:paraId="536A9208"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Какие у нас теперь отношения с Гохшилером? Нельзя ли его как[-]нибудь использовать для «Бюллетень Котидьен». В данном случае нам важны не столько комментарии «Бюллетень Котидьен», сколько самый факт помещения материалов. Вы можете ему указать на то, что по вопросу о пятилетке он опубликовал довольно обширный материал из наших источников.</w:t>
      </w:r>
    </w:p>
    <w:p w14:paraId="3A712F66"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2)  Необходимо во что бы то ни стало добиться того, чтобы «Эйроп Нувелль» посвятил, если не целый номер, то во всяком случае, раздел (докюмантэр) с материалами о процессе. Мы Вам уже телеграфировали по этому поводу, но не получили ответа. Предлагаем Вам снестись с Луизой Вейс и от моего личного имени передать ей желательность принятия нашего предложения. Издание специального номера о процессе не предрешает вопроса об издании спецномера о пятилетке. К этому вопросу мы вернемся через некоторое время (передайте ей, пожалуйста, что я получил ее письмо и отвечу, как только найду свободную минутку).</w:t>
      </w:r>
    </w:p>
    <w:p w14:paraId="23342483"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ВОКС сообщил мне, что он подготовляет специальный номер «Монда» о процессе. Необходимо, чтобы Вы настояли перед Барбюссом, чтобы все статьи, которые будут получены из Москвы, были помещены, в частности статья известного французского писателя Арагона.</w:t>
      </w:r>
    </w:p>
    <w:p w14:paraId="226981DE"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lastRenderedPageBreak/>
        <w:t>При сем прилагаю статью того же Арагона для ежемесячника «Эйроп». Она написана в очень резких тонах. Однако, не исключено, что «Эйроп» поместит ее, как впечатления видного французского писателя о процессе. С «Эйроп» Вы сможете сговориться через Брис Парэна, который сведет Вас с Гехено (Gеhеnnо), одним из редакторов «Эйроп». Если необходимо будет смягчить несколько статью Арагона, снеситесь с ним и он это сделает.</w:t>
      </w:r>
    </w:p>
    <w:p w14:paraId="44A7F80A"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Поговорите с Андрэ Виолис в смысле использования «Нувэль Литэрэр» для статьи о процессе.</w:t>
      </w:r>
    </w:p>
    <w:p w14:paraId="7AE38207"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Брис Парэн сможет Вам дать сведения относительно возможностей в журнале «Нувель Ревю Франсэз».</w:t>
      </w:r>
    </w:p>
    <w:p w14:paraId="0500440D"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Необходимо «Эволюс,ион» и «Ревю Мондиаль» заставить поместить соответствующие статьи. Возможно, что они будут обслужены непосредственно ВОКСом, так что Вам придется лишь проследить за тем, чтобы соответствующие статьи были своевременно напечатаны.</w:t>
      </w:r>
    </w:p>
    <w:p w14:paraId="763F63C9"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3)   Несколько дней тому назад я послал непосредственно в «Вю» коллекцию фотографий. Появились ли они уже?</w:t>
      </w:r>
    </w:p>
    <w:p w14:paraId="78E417A4"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Как обстоит дело с Делези и приступил ли он уже к изданию своего журнала[?] Уговорите его, чтобы он в той или другой форме высказался по поводу подготовки интервенции и новой войны.</w:t>
      </w:r>
    </w:p>
    <w:p w14:paraId="616BF812"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Желательно было бы, чтобы Аларди сорганизовал доклад в Сорбонне о процессе.</w:t>
      </w:r>
    </w:p>
    <w:p w14:paraId="0618B05F"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Не исключена возможность, что мы издадим почти полный стенографический отчет о процессе на французском языке. Желательно было бы, чтобы его опубликовало буржуазное издательство, например, Эдисион Валуа. Если вопрос будет разрешен, то мы Вам протелеграфируем соответствующие инструкции.</w:t>
      </w:r>
    </w:p>
    <w:p w14:paraId="7C32DA37"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Вам на месте, понятно, виднее, как кого использовать и я не сомневаюсь, что Вы сможете пополнить те пробелы, которые имеются в моих предложениях.</w:t>
      </w:r>
    </w:p>
    <w:p w14:paraId="45EA688A"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О работе с политическими кругами в связи с делом промпартии Вам, вероятно, напишет Политотдел, поэтому я на этом останавливаться не буду.</w:t>
      </w:r>
    </w:p>
    <w:p w14:paraId="4CB95A03"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(Аренс)</w:t>
      </w:r>
    </w:p>
    <w:p w14:paraId="7DBF03CC" w14:textId="77777777" w:rsidR="009C0FC4" w:rsidRPr="00507A31" w:rsidRDefault="009C0FC4"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010. On. 1. П. 5.Д. 82. Л. 23-25. Машинописная копия того времени. Вверху штамп Секретариата замнаркома НКИД СССР с вписанными от руки номером и датой поступления документа (8.XII.1930 г.). Гриф секретности машинописью. На Л. 25 внизу слева машинописью делопроизводственная (столбцом) помета о количестве отпечатанных (4 экз.) и отправленных экземпляров «1 — т. Баркову 1 — т. Литвинову 1   - т. Крестинскому 1 — архив».</w:t>
      </w:r>
    </w:p>
    <w:p w14:paraId="240199BB" w14:textId="77777777" w:rsidR="009C0FC4" w:rsidRPr="00507A31" w:rsidRDefault="009C0FC4" w:rsidP="00507A31">
      <w:pPr>
        <w:pStyle w:val="ae"/>
        <w:spacing w:before="0" w:after="0"/>
        <w:jc w:val="both"/>
        <w:rPr>
          <w:color w:val="000000" w:themeColor="text1"/>
          <w:sz w:val="16"/>
          <w:szCs w:val="16"/>
        </w:rPr>
      </w:pPr>
      <w:r w:rsidRPr="00507A31">
        <w:rPr>
          <w:rStyle w:val="af0"/>
          <w:i w:val="0"/>
          <w:color w:val="000000" w:themeColor="text1"/>
          <w:sz w:val="16"/>
          <w:szCs w:val="16"/>
        </w:rPr>
        <w:t>Там же. Ф. 056. On. 15. П. 32. Д. 12. Л. 178-180. Машинописная копия того времени, экземпляр закладки (18821).</w:t>
      </w:r>
    </w:p>
    <w:p w14:paraId="6C734EB5" w14:textId="77777777" w:rsidR="009C0FC4" w:rsidRPr="00507A31" w:rsidRDefault="009C0FC4" w:rsidP="00507A31">
      <w:pPr>
        <w:jc w:val="both"/>
        <w:rPr>
          <w:color w:val="000000" w:themeColor="text1"/>
          <w:sz w:val="16"/>
          <w:szCs w:val="16"/>
        </w:rPr>
      </w:pPr>
    </w:p>
    <w:p w14:paraId="1E9F634D" w14:textId="77777777" w:rsidR="009C0FC4" w:rsidRPr="00507A31" w:rsidRDefault="009C0FC4" w:rsidP="00507A31">
      <w:pPr>
        <w:jc w:val="both"/>
        <w:rPr>
          <w:bCs/>
          <w:color w:val="000000" w:themeColor="text1"/>
          <w:sz w:val="16"/>
          <w:szCs w:val="16"/>
        </w:rPr>
      </w:pPr>
      <w:r w:rsidRPr="00507A31">
        <w:rPr>
          <w:color w:val="000000" w:themeColor="text1"/>
          <w:sz w:val="16"/>
          <w:szCs w:val="16"/>
        </w:rPr>
        <w:t>7 декабря 1930 г.</w:t>
      </w:r>
    </w:p>
    <w:p w14:paraId="63B14A07" w14:textId="77777777" w:rsidR="009C0FC4" w:rsidRPr="00507A31" w:rsidRDefault="009C0FC4" w:rsidP="00507A31">
      <w:pPr>
        <w:jc w:val="both"/>
        <w:rPr>
          <w:bCs/>
          <w:color w:val="000000" w:themeColor="text1"/>
          <w:sz w:val="16"/>
          <w:szCs w:val="16"/>
        </w:rPr>
      </w:pPr>
      <w:r w:rsidRPr="00507A31">
        <w:rPr>
          <w:color w:val="000000" w:themeColor="text1"/>
          <w:sz w:val="16"/>
          <w:szCs w:val="16"/>
        </w:rPr>
        <w:t>Письмо заместителя наркома иностранных дел СССР Н. Н. Крестинского полпреду СССР во Франции В. С. Довгалевскому. 7 декабря 1930 г.</w:t>
      </w:r>
    </w:p>
    <w:p w14:paraId="2371CC35" w14:textId="77777777" w:rsidR="009C0FC4" w:rsidRPr="00507A31" w:rsidRDefault="009C0FC4" w:rsidP="00507A31">
      <w:pPr>
        <w:jc w:val="both"/>
        <w:rPr>
          <w:bCs/>
          <w:color w:val="000000" w:themeColor="text1"/>
          <w:sz w:val="16"/>
          <w:szCs w:val="16"/>
        </w:rPr>
      </w:pPr>
      <w:r w:rsidRPr="00507A31">
        <w:rPr>
          <w:bCs/>
          <w:color w:val="000000" w:themeColor="text1"/>
          <w:sz w:val="16"/>
          <w:szCs w:val="16"/>
        </w:rPr>
        <w:t>Источник: </w:t>
      </w:r>
    </w:p>
    <w:p w14:paraId="5FB3C2AD" w14:textId="77777777" w:rsidR="009C0FC4" w:rsidRPr="00507A31" w:rsidRDefault="009C0FC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40543F" w14:textId="77777777" w:rsidR="009C0FC4" w:rsidRPr="00507A31" w:rsidRDefault="009C0FC4" w:rsidP="00507A31">
      <w:pPr>
        <w:jc w:val="both"/>
        <w:rPr>
          <w:bCs/>
          <w:color w:val="000000" w:themeColor="text1"/>
          <w:sz w:val="16"/>
          <w:szCs w:val="16"/>
        </w:rPr>
      </w:pPr>
      <w:r w:rsidRPr="00507A31">
        <w:rPr>
          <w:bCs/>
          <w:color w:val="000000" w:themeColor="text1"/>
          <w:sz w:val="16"/>
          <w:szCs w:val="16"/>
        </w:rPr>
        <w:t>Архив: </w:t>
      </w:r>
    </w:p>
    <w:p w14:paraId="54ECAFDB" w14:textId="77777777" w:rsidR="009C0FC4" w:rsidRPr="00507A31" w:rsidRDefault="009C0FC4" w:rsidP="00507A31">
      <w:pPr>
        <w:jc w:val="both"/>
        <w:rPr>
          <w:color w:val="000000" w:themeColor="text1"/>
          <w:sz w:val="16"/>
          <w:szCs w:val="16"/>
        </w:rPr>
      </w:pPr>
      <w:r w:rsidRPr="00507A31">
        <w:rPr>
          <w:color w:val="000000" w:themeColor="text1"/>
          <w:sz w:val="16"/>
          <w:szCs w:val="16"/>
        </w:rPr>
        <w:t>АВП РФ. Ф. 010. On. 1. П. 5. Д. 82. Л. 32-33</w:t>
      </w:r>
    </w:p>
    <w:p w14:paraId="17233C87" w14:textId="77777777" w:rsidR="009C0FC4" w:rsidRPr="00507A31" w:rsidRDefault="009C0FC4" w:rsidP="00507A31">
      <w:pPr>
        <w:pStyle w:val="rteright"/>
        <w:spacing w:before="0" w:after="0"/>
        <w:jc w:val="both"/>
        <w:rPr>
          <w:color w:val="000000" w:themeColor="text1"/>
          <w:sz w:val="16"/>
          <w:szCs w:val="16"/>
        </w:rPr>
      </w:pPr>
      <w:r w:rsidRPr="00507A31">
        <w:rPr>
          <w:color w:val="000000" w:themeColor="text1"/>
          <w:sz w:val="16"/>
          <w:szCs w:val="16"/>
        </w:rPr>
        <w:t>7 декабря 1930 г.</w:t>
      </w:r>
    </w:p>
    <w:p w14:paraId="3DD5C3F6" w14:textId="77777777" w:rsidR="009C0FC4" w:rsidRPr="00507A31" w:rsidRDefault="009C0FC4"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4CCB81B1"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Тов. ДОВГАЛЕВСКОМУ</w:t>
      </w:r>
    </w:p>
    <w:p w14:paraId="363B4E86" w14:textId="77777777" w:rsidR="009C0FC4" w:rsidRPr="00507A31" w:rsidRDefault="009C0FC4" w:rsidP="00507A31">
      <w:pPr>
        <w:pStyle w:val="ae"/>
        <w:spacing w:before="0" w:after="0"/>
        <w:jc w:val="both"/>
        <w:rPr>
          <w:color w:val="000000" w:themeColor="text1"/>
          <w:sz w:val="16"/>
          <w:szCs w:val="16"/>
        </w:rPr>
      </w:pPr>
      <w:r w:rsidRPr="00507A31">
        <w:rPr>
          <w:color w:val="000000" w:themeColor="text1"/>
          <w:sz w:val="16"/>
          <w:szCs w:val="16"/>
        </w:rPr>
        <w:t>Многоуважаемый Валериан Савельевич,</w:t>
      </w:r>
    </w:p>
    <w:p w14:paraId="1C4041C0"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1.  В центре наших отношений с Францией стоит сейчас процесс промпартии.</w:t>
      </w:r>
    </w:p>
    <w:p w14:paraId="682718C5"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Я протелеграфировал Вам содержание моего разговора с Эрбеттом от 28 ноября. В сегодняшней почте посылаю подробную запись этого разговора. От разговора у меня осталось впечатление миролюбивого настроения, желания французов избежать демонстративного ухудшения отношений или разрыва.</w:t>
      </w:r>
    </w:p>
    <w:p w14:paraId="3EEE3C58"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Ваша телеграмма о свидании с Вертело 29 ноября произвела здесь уже более тревожное впечатление. Нам не верилось, что французы пойдут на разрыв, но подобная угроза в словах Вертело прозвучала.</w:t>
      </w:r>
    </w:p>
    <w:p w14:paraId="548DE2B2"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Ответ Максима Максимовича был тщательно нами продуман. Давал французам понять, от чего мы отступиться никак не можем, и в то же время открыто разъяснял, что мы к разрыву не стремимся и не желаем французов на разрыв провоцировать.</w:t>
      </w:r>
    </w:p>
    <w:p w14:paraId="623EA1A0"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Как видно из телеграммы о Вашем последнем разговоре с Вертело, французы усвоили нашу точку зрения, примирились с неизбежностью некоторого заушения их в процессе, и не будут делать из этого никаких агрессивно-организационных выводов.</w:t>
      </w:r>
    </w:p>
    <w:p w14:paraId="17CB6499"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Если в приговоре, который будет объявлен сегодня, будут упоминаться хотя бы и под инициалами агенты французской службы в СССР и если мы затем потребуем отзыва кой[-]кого из сотрудников посольства, атмосфера опять сгустится.</w:t>
      </w:r>
    </w:p>
    <w:p w14:paraId="70DF0384"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Я не думаю, однако, чтобы французы пошли на разрыв, особенно если к власти придет Пуанкаре. О Пуанкаре так много говорилось на процессе и в печати, что разрыв отношений с нами немедленно после его прихода к власти, был бы понят всеми, как акт его личной мести. Пуанкаре слишком умный человек, чтобы таким шагом скомпрометировать себя, как политика.</w:t>
      </w:r>
    </w:p>
    <w:p w14:paraId="3696D929"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Я думаю поэтому, что в ближайшее время разрыв с Францией нам не угрожает.</w:t>
      </w:r>
    </w:p>
    <w:p w14:paraId="5415DDA0"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2.   Я прочитал внимательно меморандум Вертело и вижу, что он, пожалуй, даже хуже, чем я думал на основании Вашей телеграммы, хотя Вы в своей телеграмме нисколько не при[у]крашивали этого меморандума. По[-]моему, придется дать на этот меморандум достаточно твердый ответ. Мы не будем, однако, торопиться с ответом. На Ваш меморандум от 14 октября Вертело ответил только 22 ноября, т. е. почти через 6 недель. У нас есть время, по меньшей мере, до нового года. За это время выяснятся все обстоятельства, связанные с процессом, будет легче и удобнее формулировать наш ответ. Пока поручили 3-му Зап[адному] Отделу и ДПО прорабатывать меморандум и намечать тезисы для ответа.</w:t>
      </w:r>
    </w:p>
    <w:p w14:paraId="65E413E5"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3.   Максим Максимович протелеграфировал Вам для сведения о протестах Овия</w:t>
      </w:r>
      <w:r w:rsidRPr="00507A31">
        <w:rPr>
          <w:color w:val="000000" w:themeColor="text1"/>
          <w:sz w:val="16"/>
          <w:szCs w:val="16"/>
          <w:vertAlign w:val="superscript"/>
        </w:rPr>
        <w:t>в</w:t>
      </w:r>
      <w:r w:rsidRPr="00507A31">
        <w:rPr>
          <w:color w:val="000000" w:themeColor="text1"/>
          <w:sz w:val="16"/>
          <w:szCs w:val="16"/>
        </w:rPr>
        <w:t> в связи с процессом. Вчера он дал уже Овию ответ, и я думаю, что с англичанами на тему о процессе разговаривать больше не придется. Сегодня у М. М. и его секретариата выходной день, и я не знаю, посылаются ли Вам копии записей обоих разговоров М. М. с Овием. Если завтра выяснится, что записи не пошли, дошлем их со следующей почтой.</w:t>
      </w:r>
    </w:p>
    <w:p w14:paraId="79DC310C"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С тов. приветом</w:t>
      </w:r>
    </w:p>
    <w:p w14:paraId="0F52990A" w14:textId="77777777" w:rsidR="009C0FC4" w:rsidRPr="00507A31" w:rsidRDefault="009C0FC4" w:rsidP="00507A31">
      <w:pPr>
        <w:pStyle w:val="rtejustify"/>
        <w:spacing w:before="0" w:after="0"/>
        <w:rPr>
          <w:color w:val="000000" w:themeColor="text1"/>
          <w:sz w:val="16"/>
          <w:szCs w:val="16"/>
        </w:rPr>
      </w:pPr>
      <w:r w:rsidRPr="00507A31">
        <w:rPr>
          <w:color w:val="000000" w:themeColor="text1"/>
          <w:sz w:val="16"/>
          <w:szCs w:val="16"/>
        </w:rPr>
        <w:t>Н. Крестинский</w:t>
      </w:r>
    </w:p>
    <w:p w14:paraId="6EC5DBE3" w14:textId="77777777" w:rsidR="009C0FC4" w:rsidRPr="00507A31" w:rsidRDefault="009C0FC4"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010. On. 1. П. 5. Д. 82. Л. 32-33. Машинописный подлинник (экземпляр закладки), подпись — автограф. На Л. 32 вверху справа дата машинописью, ниже от руки — исходящий номер документа (К/29245). Гриф секретности машинописью. На Л. 33 внизу слева столбцом машинописью делопроизводственная помета о количестве отпечатанных экземпляров (6) и адрес рассылки «1 — адресату, 2 — Лит[винову], 3 — Кар[ахану], 4 -Стом[онякову], 5 — Зап[адный отдел] 3,6 — в дело» (18802).</w:t>
      </w:r>
    </w:p>
    <w:p w14:paraId="379189B4" w14:textId="77777777" w:rsidR="009C0FC4" w:rsidRPr="00507A31" w:rsidRDefault="009C0FC4" w:rsidP="00507A31">
      <w:pPr>
        <w:jc w:val="both"/>
        <w:rPr>
          <w:color w:val="000000" w:themeColor="text1"/>
          <w:sz w:val="16"/>
          <w:szCs w:val="16"/>
        </w:rPr>
      </w:pPr>
    </w:p>
    <w:p w14:paraId="655C8A2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A2C796C" w14:textId="77777777" w:rsidR="00537E5F" w:rsidRPr="00507A31" w:rsidRDefault="00537E5F" w:rsidP="00507A31">
      <w:pPr>
        <w:autoSpaceDE w:val="0"/>
        <w:autoSpaceDN w:val="0"/>
        <w:adjustRightInd w:val="0"/>
        <w:jc w:val="both"/>
        <w:rPr>
          <w:iCs/>
          <w:color w:val="000000" w:themeColor="text1"/>
          <w:sz w:val="16"/>
          <w:szCs w:val="16"/>
        </w:rPr>
      </w:pPr>
    </w:p>
    <w:p w14:paraId="073ADE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декабря 1930 г. был подписан отчет о лет</w:t>
      </w:r>
      <w:r w:rsidRPr="00507A31">
        <w:rPr>
          <w:color w:val="000000" w:themeColor="text1"/>
          <w:sz w:val="16"/>
          <w:szCs w:val="16"/>
        </w:rPr>
        <w:softHyphen/>
        <w:t>ных испытаниях И-6, в котором отмеча</w:t>
      </w:r>
      <w:r w:rsidRPr="00507A31">
        <w:rPr>
          <w:color w:val="000000" w:themeColor="text1"/>
          <w:sz w:val="16"/>
          <w:szCs w:val="16"/>
        </w:rPr>
        <w:softHyphen/>
        <w:t>лось: «Самолет на всех режимах устойчив... В горизонтальном полете при скорости 150 км/ч идет с от</w:t>
      </w:r>
      <w:r w:rsidRPr="00507A31">
        <w:rPr>
          <w:color w:val="000000" w:themeColor="text1"/>
          <w:sz w:val="16"/>
          <w:szCs w:val="16"/>
        </w:rPr>
        <w:softHyphen/>
        <w:t>пущенной ручкой... Ввод в штопор очень вялый, што</w:t>
      </w:r>
      <w:r w:rsidRPr="00507A31">
        <w:rPr>
          <w:color w:val="000000" w:themeColor="text1"/>
          <w:sz w:val="16"/>
          <w:szCs w:val="16"/>
        </w:rPr>
        <w:softHyphen/>
        <w:t>пор крутой, неравномерный, рывками». При взлетном весе 1480 кг И-6 развивал у земли мак</w:t>
      </w:r>
      <w:r w:rsidRPr="00507A31">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507A31">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507A31">
        <w:rPr>
          <w:color w:val="000000" w:themeColor="text1"/>
          <w:sz w:val="16"/>
          <w:szCs w:val="16"/>
        </w:rPr>
        <w:softHyphen/>
        <w:t>ный винт изменяемого шага конструкции ЦАГИ, кото</w:t>
      </w:r>
      <w:r w:rsidRPr="00507A31">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507A31">
        <w:rPr>
          <w:color w:val="000000" w:themeColor="text1"/>
          <w:sz w:val="16"/>
          <w:szCs w:val="16"/>
        </w:rPr>
        <w:softHyphen/>
        <w:t>люцию в отчете о летных испытаниях истребителя И-6: «...Самолет практической ценности для ВВС не пред</w:t>
      </w:r>
      <w:r w:rsidRPr="00507A31">
        <w:rPr>
          <w:color w:val="000000" w:themeColor="text1"/>
          <w:sz w:val="16"/>
          <w:szCs w:val="16"/>
        </w:rPr>
        <w:softHyphen/>
        <w:t>ставляет» (10667).</w:t>
      </w:r>
    </w:p>
    <w:p w14:paraId="788066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0EE2A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8 по 28 декабря 1930 Д.Ф.Тихомиров в НИИ ВВС испытывал первый советский автопилот на Р-1 и выполнил 8 полетов. По результатам Ниренбергу заказали 10 для ТБ-1, Осконбюро сделало, опробовали, заказали еще 100 (390,122).</w:t>
      </w:r>
    </w:p>
    <w:p w14:paraId="7BE11549" w14:textId="77777777" w:rsidR="00537E5F" w:rsidRPr="00507A31" w:rsidRDefault="00537E5F" w:rsidP="00507A31">
      <w:pPr>
        <w:autoSpaceDE w:val="0"/>
        <w:autoSpaceDN w:val="0"/>
        <w:adjustRightInd w:val="0"/>
        <w:jc w:val="both"/>
        <w:rPr>
          <w:color w:val="000000" w:themeColor="text1"/>
          <w:sz w:val="16"/>
          <w:szCs w:val="16"/>
        </w:rPr>
      </w:pPr>
    </w:p>
    <w:p w14:paraId="04FA98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декабря 1930 г. вышел Доклад о работе и состоянии авиапромышленности за 1929/30 производств.</w:t>
      </w:r>
    </w:p>
    <w:p w14:paraId="1CC92B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Выполнение производственной программы по договору УВВС с ВАО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799"/>
        <w:gridCol w:w="799"/>
        <w:gridCol w:w="799"/>
        <w:gridCol w:w="799"/>
        <w:gridCol w:w="799"/>
        <w:gridCol w:w="1657"/>
      </w:tblGrid>
      <w:tr w:rsidR="00E371BA" w:rsidRPr="00507A31" w14:paraId="74E02A59" w14:textId="77777777">
        <w:tc>
          <w:tcPr>
            <w:tcW w:w="2376" w:type="dxa"/>
          </w:tcPr>
          <w:p w14:paraId="6C9821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Основной договор</w:t>
            </w:r>
          </w:p>
        </w:tc>
        <w:tc>
          <w:tcPr>
            <w:tcW w:w="799" w:type="dxa"/>
          </w:tcPr>
          <w:p w14:paraId="234A1992"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6CC3C96F"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2E138789"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3E434EF0"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3738218F" w14:textId="77777777" w:rsidR="00537E5F" w:rsidRPr="00507A31" w:rsidRDefault="00537E5F" w:rsidP="00507A31">
            <w:pPr>
              <w:autoSpaceDE w:val="0"/>
              <w:autoSpaceDN w:val="0"/>
              <w:adjustRightInd w:val="0"/>
              <w:jc w:val="both"/>
              <w:rPr>
                <w:color w:val="000000" w:themeColor="text1"/>
                <w:sz w:val="16"/>
                <w:szCs w:val="16"/>
              </w:rPr>
            </w:pPr>
          </w:p>
        </w:tc>
        <w:tc>
          <w:tcPr>
            <w:tcW w:w="1657" w:type="dxa"/>
          </w:tcPr>
          <w:p w14:paraId="7F6C32A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793DF05" w14:textId="77777777">
        <w:tc>
          <w:tcPr>
            <w:tcW w:w="2376" w:type="dxa"/>
          </w:tcPr>
          <w:p w14:paraId="56C597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Заводы и наименование продукции</w:t>
            </w:r>
          </w:p>
        </w:tc>
        <w:tc>
          <w:tcPr>
            <w:tcW w:w="799" w:type="dxa"/>
          </w:tcPr>
          <w:p w14:paraId="756292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Должно быть предъявл.</w:t>
            </w:r>
          </w:p>
        </w:tc>
        <w:tc>
          <w:tcPr>
            <w:tcW w:w="799" w:type="dxa"/>
          </w:tcPr>
          <w:p w14:paraId="619D06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Предъявл. на 1.10.30 г.</w:t>
            </w:r>
          </w:p>
        </w:tc>
        <w:tc>
          <w:tcPr>
            <w:tcW w:w="799" w:type="dxa"/>
          </w:tcPr>
          <w:p w14:paraId="600326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вып. По предъявл.</w:t>
            </w:r>
          </w:p>
        </w:tc>
        <w:tc>
          <w:tcPr>
            <w:tcW w:w="799" w:type="dxa"/>
          </w:tcPr>
          <w:p w14:paraId="73F04A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Должно быть сдано</w:t>
            </w:r>
          </w:p>
        </w:tc>
        <w:tc>
          <w:tcPr>
            <w:tcW w:w="799" w:type="dxa"/>
          </w:tcPr>
          <w:p w14:paraId="64685B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Сдано на 1.10.30</w:t>
            </w:r>
          </w:p>
        </w:tc>
        <w:tc>
          <w:tcPr>
            <w:tcW w:w="1657" w:type="dxa"/>
          </w:tcPr>
          <w:p w14:paraId="12941F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вып. По сдаче</w:t>
            </w:r>
          </w:p>
        </w:tc>
      </w:tr>
      <w:tr w:rsidR="00E371BA" w:rsidRPr="00507A31" w14:paraId="1EAB9A05" w14:textId="77777777">
        <w:tc>
          <w:tcPr>
            <w:tcW w:w="2376" w:type="dxa"/>
          </w:tcPr>
          <w:p w14:paraId="5EDFB8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1</w:t>
            </w:r>
          </w:p>
        </w:tc>
        <w:tc>
          <w:tcPr>
            <w:tcW w:w="799" w:type="dxa"/>
          </w:tcPr>
          <w:p w14:paraId="47C27A14"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0AD21BAC"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397C571F"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72271E98"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61CDA15B" w14:textId="77777777" w:rsidR="00537E5F" w:rsidRPr="00507A31" w:rsidRDefault="00537E5F" w:rsidP="00507A31">
            <w:pPr>
              <w:autoSpaceDE w:val="0"/>
              <w:autoSpaceDN w:val="0"/>
              <w:adjustRightInd w:val="0"/>
              <w:jc w:val="both"/>
              <w:rPr>
                <w:color w:val="000000" w:themeColor="text1"/>
                <w:sz w:val="16"/>
                <w:szCs w:val="16"/>
              </w:rPr>
            </w:pPr>
          </w:p>
        </w:tc>
        <w:tc>
          <w:tcPr>
            <w:tcW w:w="1657" w:type="dxa"/>
          </w:tcPr>
          <w:p w14:paraId="28B40EE1"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02298F19" w14:textId="77777777">
        <w:tc>
          <w:tcPr>
            <w:tcW w:w="2376" w:type="dxa"/>
          </w:tcPr>
          <w:p w14:paraId="384061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С-ты Р1 с М5</w:t>
            </w:r>
          </w:p>
        </w:tc>
        <w:tc>
          <w:tcPr>
            <w:tcW w:w="799" w:type="dxa"/>
          </w:tcPr>
          <w:p w14:paraId="18F685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w:t>
            </w:r>
          </w:p>
        </w:tc>
        <w:tc>
          <w:tcPr>
            <w:tcW w:w="799" w:type="dxa"/>
          </w:tcPr>
          <w:p w14:paraId="447A6C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w:t>
            </w:r>
          </w:p>
        </w:tc>
        <w:tc>
          <w:tcPr>
            <w:tcW w:w="799" w:type="dxa"/>
          </w:tcPr>
          <w:p w14:paraId="27AC64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99" w:type="dxa"/>
          </w:tcPr>
          <w:p w14:paraId="1BA17A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52</w:t>
            </w:r>
          </w:p>
        </w:tc>
        <w:tc>
          <w:tcPr>
            <w:tcW w:w="799" w:type="dxa"/>
          </w:tcPr>
          <w:p w14:paraId="1CF6C9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33</w:t>
            </w:r>
          </w:p>
        </w:tc>
        <w:tc>
          <w:tcPr>
            <w:tcW w:w="1657" w:type="dxa"/>
          </w:tcPr>
          <w:p w14:paraId="42A655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63,4</w:t>
            </w:r>
          </w:p>
        </w:tc>
      </w:tr>
      <w:tr w:rsidR="00E371BA" w:rsidRPr="00507A31" w14:paraId="432EAF42" w14:textId="77777777">
        <w:tc>
          <w:tcPr>
            <w:tcW w:w="2376" w:type="dxa"/>
          </w:tcPr>
          <w:p w14:paraId="0F6375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С-ты И3 с БМВ-VI</w:t>
            </w:r>
          </w:p>
        </w:tc>
        <w:tc>
          <w:tcPr>
            <w:tcW w:w="799" w:type="dxa"/>
          </w:tcPr>
          <w:p w14:paraId="75AE94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273</w:t>
            </w:r>
          </w:p>
        </w:tc>
        <w:tc>
          <w:tcPr>
            <w:tcW w:w="799" w:type="dxa"/>
          </w:tcPr>
          <w:p w14:paraId="458120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239</w:t>
            </w:r>
          </w:p>
        </w:tc>
        <w:tc>
          <w:tcPr>
            <w:tcW w:w="799" w:type="dxa"/>
          </w:tcPr>
          <w:p w14:paraId="05C1B4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87,5</w:t>
            </w:r>
          </w:p>
        </w:tc>
        <w:tc>
          <w:tcPr>
            <w:tcW w:w="799" w:type="dxa"/>
          </w:tcPr>
          <w:p w14:paraId="7324E4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243</w:t>
            </w:r>
          </w:p>
        </w:tc>
        <w:tc>
          <w:tcPr>
            <w:tcW w:w="799" w:type="dxa"/>
          </w:tcPr>
          <w:p w14:paraId="694DFA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182</w:t>
            </w:r>
          </w:p>
        </w:tc>
        <w:tc>
          <w:tcPr>
            <w:tcW w:w="1657" w:type="dxa"/>
          </w:tcPr>
          <w:p w14:paraId="6F7DAB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74,8</w:t>
            </w:r>
          </w:p>
        </w:tc>
      </w:tr>
      <w:tr w:rsidR="00E371BA" w:rsidRPr="00507A31" w14:paraId="0C884986" w14:textId="77777777">
        <w:tc>
          <w:tcPr>
            <w:tcW w:w="2376" w:type="dxa"/>
          </w:tcPr>
          <w:p w14:paraId="71065A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С-ты Р5 с БМВ-VI (М-17)</w:t>
            </w:r>
          </w:p>
        </w:tc>
        <w:tc>
          <w:tcPr>
            <w:tcW w:w="799" w:type="dxa"/>
          </w:tcPr>
          <w:p w14:paraId="1BC723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w:t>
            </w:r>
          </w:p>
        </w:tc>
        <w:tc>
          <w:tcPr>
            <w:tcW w:w="799" w:type="dxa"/>
          </w:tcPr>
          <w:p w14:paraId="419840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w:t>
            </w:r>
          </w:p>
        </w:tc>
        <w:tc>
          <w:tcPr>
            <w:tcW w:w="799" w:type="dxa"/>
          </w:tcPr>
          <w:p w14:paraId="08E0F1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63,3</w:t>
            </w:r>
          </w:p>
        </w:tc>
        <w:tc>
          <w:tcPr>
            <w:tcW w:w="799" w:type="dxa"/>
          </w:tcPr>
          <w:p w14:paraId="3898E3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w:t>
            </w:r>
          </w:p>
        </w:tc>
        <w:tc>
          <w:tcPr>
            <w:tcW w:w="799" w:type="dxa"/>
          </w:tcPr>
          <w:p w14:paraId="5C5656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w:t>
            </w:r>
          </w:p>
        </w:tc>
        <w:tc>
          <w:tcPr>
            <w:tcW w:w="1657" w:type="dxa"/>
          </w:tcPr>
          <w:p w14:paraId="77517F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53,3</w:t>
            </w:r>
          </w:p>
        </w:tc>
      </w:tr>
      <w:tr w:rsidR="00E371BA" w:rsidRPr="00507A31" w14:paraId="494A9C27" w14:textId="77777777">
        <w:tc>
          <w:tcPr>
            <w:tcW w:w="2376" w:type="dxa"/>
          </w:tcPr>
          <w:p w14:paraId="637956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22</w:t>
            </w:r>
          </w:p>
        </w:tc>
        <w:tc>
          <w:tcPr>
            <w:tcW w:w="799" w:type="dxa"/>
          </w:tcPr>
          <w:p w14:paraId="40F6392B"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40FBF3B9"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1CC1D687"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534FB61C"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340A2B70" w14:textId="77777777" w:rsidR="00537E5F" w:rsidRPr="00507A31" w:rsidRDefault="00537E5F" w:rsidP="00507A31">
            <w:pPr>
              <w:autoSpaceDE w:val="0"/>
              <w:autoSpaceDN w:val="0"/>
              <w:adjustRightInd w:val="0"/>
              <w:jc w:val="both"/>
              <w:rPr>
                <w:color w:val="000000" w:themeColor="text1"/>
                <w:sz w:val="16"/>
                <w:szCs w:val="16"/>
              </w:rPr>
            </w:pPr>
          </w:p>
        </w:tc>
        <w:tc>
          <w:tcPr>
            <w:tcW w:w="1657" w:type="dxa"/>
          </w:tcPr>
          <w:p w14:paraId="0531244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A46FA2F" w14:textId="77777777">
        <w:tc>
          <w:tcPr>
            <w:tcW w:w="2376" w:type="dxa"/>
          </w:tcPr>
          <w:p w14:paraId="4E5559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С-ты ТБ-1 с БМВ-VI</w:t>
            </w:r>
          </w:p>
        </w:tc>
        <w:tc>
          <w:tcPr>
            <w:tcW w:w="799" w:type="dxa"/>
          </w:tcPr>
          <w:p w14:paraId="3B57CC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w:t>
            </w:r>
          </w:p>
        </w:tc>
        <w:tc>
          <w:tcPr>
            <w:tcW w:w="799" w:type="dxa"/>
          </w:tcPr>
          <w:p w14:paraId="324005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w:t>
            </w:r>
          </w:p>
        </w:tc>
        <w:tc>
          <w:tcPr>
            <w:tcW w:w="799" w:type="dxa"/>
          </w:tcPr>
          <w:p w14:paraId="5D0CD5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99" w:type="dxa"/>
          </w:tcPr>
          <w:p w14:paraId="506662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w:t>
            </w:r>
          </w:p>
        </w:tc>
        <w:tc>
          <w:tcPr>
            <w:tcW w:w="799" w:type="dxa"/>
          </w:tcPr>
          <w:p w14:paraId="02D1C6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w:t>
            </w:r>
          </w:p>
        </w:tc>
        <w:tc>
          <w:tcPr>
            <w:tcW w:w="1657" w:type="dxa"/>
          </w:tcPr>
          <w:p w14:paraId="44B7CD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09B821FB" w14:textId="77777777">
        <w:tc>
          <w:tcPr>
            <w:tcW w:w="2376" w:type="dxa"/>
          </w:tcPr>
          <w:p w14:paraId="6FF8CE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С-ты И-4 с ЮП-VI</w:t>
            </w:r>
          </w:p>
        </w:tc>
        <w:tc>
          <w:tcPr>
            <w:tcW w:w="799" w:type="dxa"/>
          </w:tcPr>
          <w:p w14:paraId="3722F7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w:t>
            </w:r>
          </w:p>
        </w:tc>
        <w:tc>
          <w:tcPr>
            <w:tcW w:w="799" w:type="dxa"/>
          </w:tcPr>
          <w:p w14:paraId="537ADF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w:t>
            </w:r>
          </w:p>
        </w:tc>
        <w:tc>
          <w:tcPr>
            <w:tcW w:w="799" w:type="dxa"/>
          </w:tcPr>
          <w:p w14:paraId="2BE86E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99" w:type="dxa"/>
          </w:tcPr>
          <w:p w14:paraId="0EEC92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w:t>
            </w:r>
          </w:p>
        </w:tc>
        <w:tc>
          <w:tcPr>
            <w:tcW w:w="799" w:type="dxa"/>
          </w:tcPr>
          <w:p w14:paraId="24B6D2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66</w:t>
            </w:r>
          </w:p>
        </w:tc>
        <w:tc>
          <w:tcPr>
            <w:tcW w:w="1657" w:type="dxa"/>
          </w:tcPr>
          <w:p w14:paraId="14C94D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110</w:t>
            </w:r>
          </w:p>
        </w:tc>
      </w:tr>
      <w:tr w:rsidR="00E371BA" w:rsidRPr="00507A31" w14:paraId="0BBCAF3E" w14:textId="77777777">
        <w:tc>
          <w:tcPr>
            <w:tcW w:w="2376" w:type="dxa"/>
          </w:tcPr>
          <w:p w14:paraId="77FC57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С-ты АНТ-9 с Райт</w:t>
            </w:r>
          </w:p>
        </w:tc>
        <w:tc>
          <w:tcPr>
            <w:tcW w:w="799" w:type="dxa"/>
          </w:tcPr>
          <w:p w14:paraId="26AC0D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799" w:type="dxa"/>
          </w:tcPr>
          <w:p w14:paraId="318F3D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799" w:type="dxa"/>
          </w:tcPr>
          <w:p w14:paraId="5F3FA1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99" w:type="dxa"/>
          </w:tcPr>
          <w:p w14:paraId="272737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799" w:type="dxa"/>
          </w:tcPr>
          <w:p w14:paraId="26900A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1657" w:type="dxa"/>
          </w:tcPr>
          <w:p w14:paraId="7EFEB0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w:t>
            </w:r>
          </w:p>
        </w:tc>
      </w:tr>
      <w:tr w:rsidR="00E371BA" w:rsidRPr="00507A31" w14:paraId="240F949D" w14:textId="77777777">
        <w:tc>
          <w:tcPr>
            <w:tcW w:w="2376" w:type="dxa"/>
          </w:tcPr>
          <w:p w14:paraId="609B9A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23</w:t>
            </w:r>
          </w:p>
        </w:tc>
        <w:tc>
          <w:tcPr>
            <w:tcW w:w="799" w:type="dxa"/>
          </w:tcPr>
          <w:p w14:paraId="4C7AEEA3"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2321B051"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5E75E9BE"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6C950173"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2B659A68" w14:textId="77777777" w:rsidR="00537E5F" w:rsidRPr="00507A31" w:rsidRDefault="00537E5F" w:rsidP="00507A31">
            <w:pPr>
              <w:autoSpaceDE w:val="0"/>
              <w:autoSpaceDN w:val="0"/>
              <w:adjustRightInd w:val="0"/>
              <w:jc w:val="both"/>
              <w:rPr>
                <w:color w:val="000000" w:themeColor="text1"/>
                <w:sz w:val="16"/>
                <w:szCs w:val="16"/>
              </w:rPr>
            </w:pPr>
          </w:p>
        </w:tc>
        <w:tc>
          <w:tcPr>
            <w:tcW w:w="1657" w:type="dxa"/>
          </w:tcPr>
          <w:p w14:paraId="73E1448C"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233D8C7" w14:textId="77777777">
        <w:tc>
          <w:tcPr>
            <w:tcW w:w="2376" w:type="dxa"/>
          </w:tcPr>
          <w:p w14:paraId="04C518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С-ты VI с М2</w:t>
            </w:r>
          </w:p>
        </w:tc>
        <w:tc>
          <w:tcPr>
            <w:tcW w:w="799" w:type="dxa"/>
          </w:tcPr>
          <w:p w14:paraId="18418C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w:t>
            </w:r>
          </w:p>
        </w:tc>
        <w:tc>
          <w:tcPr>
            <w:tcW w:w="799" w:type="dxa"/>
          </w:tcPr>
          <w:p w14:paraId="25C263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w:t>
            </w:r>
          </w:p>
        </w:tc>
        <w:tc>
          <w:tcPr>
            <w:tcW w:w="799" w:type="dxa"/>
          </w:tcPr>
          <w:p w14:paraId="2D6151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99" w:type="dxa"/>
          </w:tcPr>
          <w:p w14:paraId="099033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w:t>
            </w:r>
          </w:p>
        </w:tc>
        <w:tc>
          <w:tcPr>
            <w:tcW w:w="799" w:type="dxa"/>
          </w:tcPr>
          <w:p w14:paraId="7C17B0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w:t>
            </w:r>
          </w:p>
        </w:tc>
        <w:tc>
          <w:tcPr>
            <w:tcW w:w="1657" w:type="dxa"/>
          </w:tcPr>
          <w:p w14:paraId="33CB88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22B738F5" w14:textId="77777777">
        <w:tc>
          <w:tcPr>
            <w:tcW w:w="2376" w:type="dxa"/>
          </w:tcPr>
          <w:p w14:paraId="3A1007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С-ты У2 с М11</w:t>
            </w:r>
          </w:p>
        </w:tc>
        <w:tc>
          <w:tcPr>
            <w:tcW w:w="799" w:type="dxa"/>
          </w:tcPr>
          <w:p w14:paraId="13EE90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w:t>
            </w:r>
          </w:p>
        </w:tc>
        <w:tc>
          <w:tcPr>
            <w:tcW w:w="799" w:type="dxa"/>
          </w:tcPr>
          <w:p w14:paraId="4219F1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w:t>
            </w:r>
          </w:p>
        </w:tc>
        <w:tc>
          <w:tcPr>
            <w:tcW w:w="799" w:type="dxa"/>
          </w:tcPr>
          <w:p w14:paraId="786141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99" w:type="dxa"/>
          </w:tcPr>
          <w:p w14:paraId="4625E8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w:t>
            </w:r>
          </w:p>
        </w:tc>
        <w:tc>
          <w:tcPr>
            <w:tcW w:w="799" w:type="dxa"/>
          </w:tcPr>
          <w:p w14:paraId="375B3B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57</w:t>
            </w:r>
          </w:p>
        </w:tc>
        <w:tc>
          <w:tcPr>
            <w:tcW w:w="1657" w:type="dxa"/>
          </w:tcPr>
          <w:p w14:paraId="420DB3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r>
      <w:tr w:rsidR="00E371BA" w:rsidRPr="00507A31" w14:paraId="4A4F9FEE" w14:textId="77777777">
        <w:tc>
          <w:tcPr>
            <w:tcW w:w="2376" w:type="dxa"/>
          </w:tcPr>
          <w:p w14:paraId="6A10CA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С-ты МУ1 с М2</w:t>
            </w:r>
          </w:p>
        </w:tc>
        <w:tc>
          <w:tcPr>
            <w:tcW w:w="799" w:type="dxa"/>
          </w:tcPr>
          <w:p w14:paraId="21240D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w:t>
            </w:r>
          </w:p>
        </w:tc>
        <w:tc>
          <w:tcPr>
            <w:tcW w:w="799" w:type="dxa"/>
          </w:tcPr>
          <w:p w14:paraId="7F1ED5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w:t>
            </w:r>
          </w:p>
        </w:tc>
        <w:tc>
          <w:tcPr>
            <w:tcW w:w="799" w:type="dxa"/>
          </w:tcPr>
          <w:p w14:paraId="5CEDC4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99" w:type="dxa"/>
          </w:tcPr>
          <w:p w14:paraId="28978A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w:t>
            </w:r>
          </w:p>
        </w:tc>
        <w:tc>
          <w:tcPr>
            <w:tcW w:w="799" w:type="dxa"/>
          </w:tcPr>
          <w:p w14:paraId="58A79A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w:t>
            </w:r>
          </w:p>
        </w:tc>
        <w:tc>
          <w:tcPr>
            <w:tcW w:w="1657" w:type="dxa"/>
          </w:tcPr>
          <w:p w14:paraId="30D72F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r>
      <w:tr w:rsidR="00E371BA" w:rsidRPr="00507A31" w14:paraId="1CA0B0F9" w14:textId="77777777">
        <w:tc>
          <w:tcPr>
            <w:tcW w:w="2376" w:type="dxa"/>
          </w:tcPr>
          <w:p w14:paraId="6BB75C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31</w:t>
            </w:r>
          </w:p>
        </w:tc>
        <w:tc>
          <w:tcPr>
            <w:tcW w:w="799" w:type="dxa"/>
          </w:tcPr>
          <w:p w14:paraId="746D41A8"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1E7CAE10"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302E622C"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7E78FAF6"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0240AC6D" w14:textId="77777777" w:rsidR="00537E5F" w:rsidRPr="00507A31" w:rsidRDefault="00537E5F" w:rsidP="00507A31">
            <w:pPr>
              <w:autoSpaceDE w:val="0"/>
              <w:autoSpaceDN w:val="0"/>
              <w:adjustRightInd w:val="0"/>
              <w:jc w:val="both"/>
              <w:rPr>
                <w:color w:val="000000" w:themeColor="text1"/>
                <w:sz w:val="16"/>
                <w:szCs w:val="16"/>
              </w:rPr>
            </w:pPr>
          </w:p>
        </w:tc>
        <w:tc>
          <w:tcPr>
            <w:tcW w:w="1657" w:type="dxa"/>
          </w:tcPr>
          <w:p w14:paraId="06238B3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78C04AB" w14:textId="77777777">
        <w:tc>
          <w:tcPr>
            <w:tcW w:w="2376" w:type="dxa"/>
          </w:tcPr>
          <w:p w14:paraId="5BB211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С-ты Р1 с М5</w:t>
            </w:r>
          </w:p>
        </w:tc>
        <w:tc>
          <w:tcPr>
            <w:tcW w:w="799" w:type="dxa"/>
          </w:tcPr>
          <w:p w14:paraId="596279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393</w:t>
            </w:r>
          </w:p>
        </w:tc>
        <w:tc>
          <w:tcPr>
            <w:tcW w:w="799" w:type="dxa"/>
          </w:tcPr>
          <w:p w14:paraId="31EC1F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383</w:t>
            </w:r>
          </w:p>
        </w:tc>
        <w:tc>
          <w:tcPr>
            <w:tcW w:w="799" w:type="dxa"/>
          </w:tcPr>
          <w:p w14:paraId="4A858B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97,4</w:t>
            </w:r>
          </w:p>
        </w:tc>
        <w:tc>
          <w:tcPr>
            <w:tcW w:w="799" w:type="dxa"/>
          </w:tcPr>
          <w:p w14:paraId="004384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303</w:t>
            </w:r>
          </w:p>
        </w:tc>
        <w:tc>
          <w:tcPr>
            <w:tcW w:w="799" w:type="dxa"/>
          </w:tcPr>
          <w:p w14:paraId="3933BF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246</w:t>
            </w:r>
          </w:p>
        </w:tc>
        <w:tc>
          <w:tcPr>
            <w:tcW w:w="1657" w:type="dxa"/>
          </w:tcPr>
          <w:p w14:paraId="11424C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81,1</w:t>
            </w:r>
          </w:p>
        </w:tc>
      </w:tr>
      <w:tr w:rsidR="00E371BA" w:rsidRPr="00507A31" w14:paraId="71FA30E3" w14:textId="77777777">
        <w:tc>
          <w:tcPr>
            <w:tcW w:w="2376" w:type="dxa"/>
          </w:tcPr>
          <w:p w14:paraId="119BDF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24</w:t>
            </w:r>
          </w:p>
        </w:tc>
        <w:tc>
          <w:tcPr>
            <w:tcW w:w="799" w:type="dxa"/>
          </w:tcPr>
          <w:p w14:paraId="23C8C1C7"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67BEB0C7"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1990B90F"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6018241A"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192DE75E" w14:textId="77777777" w:rsidR="00537E5F" w:rsidRPr="00507A31" w:rsidRDefault="00537E5F" w:rsidP="00507A31">
            <w:pPr>
              <w:autoSpaceDE w:val="0"/>
              <w:autoSpaceDN w:val="0"/>
              <w:adjustRightInd w:val="0"/>
              <w:jc w:val="both"/>
              <w:rPr>
                <w:color w:val="000000" w:themeColor="text1"/>
                <w:sz w:val="16"/>
                <w:szCs w:val="16"/>
              </w:rPr>
            </w:pPr>
          </w:p>
        </w:tc>
        <w:tc>
          <w:tcPr>
            <w:tcW w:w="1657" w:type="dxa"/>
          </w:tcPr>
          <w:p w14:paraId="1111C68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695AFB08" w14:textId="77777777">
        <w:tc>
          <w:tcPr>
            <w:tcW w:w="2376" w:type="dxa"/>
          </w:tcPr>
          <w:p w14:paraId="26325A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 М5-400 НР</w:t>
            </w:r>
          </w:p>
        </w:tc>
        <w:tc>
          <w:tcPr>
            <w:tcW w:w="799" w:type="dxa"/>
          </w:tcPr>
          <w:p w14:paraId="74C1A3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693</w:t>
            </w:r>
          </w:p>
        </w:tc>
        <w:tc>
          <w:tcPr>
            <w:tcW w:w="799" w:type="dxa"/>
          </w:tcPr>
          <w:p w14:paraId="439E36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693</w:t>
            </w:r>
          </w:p>
        </w:tc>
        <w:tc>
          <w:tcPr>
            <w:tcW w:w="799" w:type="dxa"/>
          </w:tcPr>
          <w:p w14:paraId="279E23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99" w:type="dxa"/>
          </w:tcPr>
          <w:p w14:paraId="78D4D0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603</w:t>
            </w:r>
          </w:p>
        </w:tc>
        <w:tc>
          <w:tcPr>
            <w:tcW w:w="799" w:type="dxa"/>
          </w:tcPr>
          <w:p w14:paraId="1750A2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693</w:t>
            </w:r>
          </w:p>
        </w:tc>
        <w:tc>
          <w:tcPr>
            <w:tcW w:w="1657" w:type="dxa"/>
          </w:tcPr>
          <w:p w14:paraId="0B8787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114,9</w:t>
            </w:r>
          </w:p>
        </w:tc>
      </w:tr>
      <w:tr w:rsidR="00E371BA" w:rsidRPr="00507A31" w14:paraId="1980AC26" w14:textId="77777777">
        <w:tc>
          <w:tcPr>
            <w:tcW w:w="2376" w:type="dxa"/>
          </w:tcPr>
          <w:p w14:paraId="625D48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 М2-120 НР</w:t>
            </w:r>
          </w:p>
        </w:tc>
        <w:tc>
          <w:tcPr>
            <w:tcW w:w="799" w:type="dxa"/>
          </w:tcPr>
          <w:p w14:paraId="2FB849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w:t>
            </w:r>
          </w:p>
        </w:tc>
        <w:tc>
          <w:tcPr>
            <w:tcW w:w="799" w:type="dxa"/>
          </w:tcPr>
          <w:p w14:paraId="4BF49E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260</w:t>
            </w:r>
          </w:p>
        </w:tc>
        <w:tc>
          <w:tcPr>
            <w:tcW w:w="799" w:type="dxa"/>
          </w:tcPr>
          <w:p w14:paraId="025F81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117,5</w:t>
            </w:r>
          </w:p>
        </w:tc>
        <w:tc>
          <w:tcPr>
            <w:tcW w:w="799" w:type="dxa"/>
          </w:tcPr>
          <w:p w14:paraId="24ECA2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160</w:t>
            </w:r>
          </w:p>
        </w:tc>
        <w:tc>
          <w:tcPr>
            <w:tcW w:w="799" w:type="dxa"/>
          </w:tcPr>
          <w:p w14:paraId="25137C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220</w:t>
            </w:r>
          </w:p>
        </w:tc>
        <w:tc>
          <w:tcPr>
            <w:tcW w:w="1657" w:type="dxa"/>
          </w:tcPr>
          <w:p w14:paraId="77A53F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137,5</w:t>
            </w:r>
          </w:p>
        </w:tc>
      </w:tr>
      <w:tr w:rsidR="00E371BA" w:rsidRPr="00507A31" w14:paraId="6A25069A" w14:textId="77777777">
        <w:tc>
          <w:tcPr>
            <w:tcW w:w="2376" w:type="dxa"/>
          </w:tcPr>
          <w:p w14:paraId="7858E1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 М17-500 НР</w:t>
            </w:r>
          </w:p>
        </w:tc>
        <w:tc>
          <w:tcPr>
            <w:tcW w:w="799" w:type="dxa"/>
          </w:tcPr>
          <w:p w14:paraId="04C758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w:t>
            </w:r>
          </w:p>
        </w:tc>
        <w:tc>
          <w:tcPr>
            <w:tcW w:w="799" w:type="dxa"/>
          </w:tcPr>
          <w:p w14:paraId="6EA796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tc>
        <w:tc>
          <w:tcPr>
            <w:tcW w:w="799" w:type="dxa"/>
          </w:tcPr>
          <w:p w14:paraId="2E47A1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tc>
        <w:tc>
          <w:tcPr>
            <w:tcW w:w="799" w:type="dxa"/>
          </w:tcPr>
          <w:p w14:paraId="0D1506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56</w:t>
            </w:r>
          </w:p>
        </w:tc>
        <w:tc>
          <w:tcPr>
            <w:tcW w:w="799" w:type="dxa"/>
          </w:tcPr>
          <w:p w14:paraId="7AA3C4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tc>
        <w:tc>
          <w:tcPr>
            <w:tcW w:w="1657" w:type="dxa"/>
          </w:tcPr>
          <w:p w14:paraId="77C20A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tc>
      </w:tr>
      <w:tr w:rsidR="00E371BA" w:rsidRPr="00507A31" w14:paraId="37B91E5B" w14:textId="77777777">
        <w:tc>
          <w:tcPr>
            <w:tcW w:w="2376" w:type="dxa"/>
          </w:tcPr>
          <w:p w14:paraId="297B41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26</w:t>
            </w:r>
          </w:p>
        </w:tc>
        <w:tc>
          <w:tcPr>
            <w:tcW w:w="799" w:type="dxa"/>
          </w:tcPr>
          <w:p w14:paraId="78943E40"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6A250F5D"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2ACB5534"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55906D61"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20C0F2A3" w14:textId="77777777" w:rsidR="00537E5F" w:rsidRPr="00507A31" w:rsidRDefault="00537E5F" w:rsidP="00507A31">
            <w:pPr>
              <w:autoSpaceDE w:val="0"/>
              <w:autoSpaceDN w:val="0"/>
              <w:adjustRightInd w:val="0"/>
              <w:jc w:val="both"/>
              <w:rPr>
                <w:color w:val="000000" w:themeColor="text1"/>
                <w:sz w:val="16"/>
                <w:szCs w:val="16"/>
              </w:rPr>
            </w:pPr>
          </w:p>
        </w:tc>
        <w:tc>
          <w:tcPr>
            <w:tcW w:w="1657" w:type="dxa"/>
          </w:tcPr>
          <w:p w14:paraId="25292D3C"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0438B033" w14:textId="77777777">
        <w:tc>
          <w:tcPr>
            <w:tcW w:w="2376" w:type="dxa"/>
          </w:tcPr>
          <w:p w14:paraId="53CE4E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 М17-500 НР</w:t>
            </w:r>
          </w:p>
        </w:tc>
        <w:tc>
          <w:tcPr>
            <w:tcW w:w="799" w:type="dxa"/>
          </w:tcPr>
          <w:p w14:paraId="2CA426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c>
          <w:tcPr>
            <w:tcW w:w="799" w:type="dxa"/>
          </w:tcPr>
          <w:p w14:paraId="306715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165</w:t>
            </w:r>
          </w:p>
        </w:tc>
        <w:tc>
          <w:tcPr>
            <w:tcW w:w="799" w:type="dxa"/>
          </w:tcPr>
          <w:p w14:paraId="7DA952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110</w:t>
            </w:r>
          </w:p>
        </w:tc>
        <w:tc>
          <w:tcPr>
            <w:tcW w:w="799" w:type="dxa"/>
          </w:tcPr>
          <w:p w14:paraId="63D7EA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w:t>
            </w:r>
          </w:p>
        </w:tc>
        <w:tc>
          <w:tcPr>
            <w:tcW w:w="799" w:type="dxa"/>
          </w:tcPr>
          <w:p w14:paraId="6D5512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85</w:t>
            </w:r>
          </w:p>
        </w:tc>
        <w:tc>
          <w:tcPr>
            <w:tcW w:w="1657" w:type="dxa"/>
          </w:tcPr>
          <w:p w14:paraId="73B866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141,6</w:t>
            </w:r>
          </w:p>
        </w:tc>
      </w:tr>
      <w:tr w:rsidR="00E371BA" w:rsidRPr="00507A31" w14:paraId="29169109" w14:textId="77777777">
        <w:tc>
          <w:tcPr>
            <w:tcW w:w="2376" w:type="dxa"/>
          </w:tcPr>
          <w:p w14:paraId="0DCC58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29</w:t>
            </w:r>
          </w:p>
        </w:tc>
        <w:tc>
          <w:tcPr>
            <w:tcW w:w="799" w:type="dxa"/>
          </w:tcPr>
          <w:p w14:paraId="736B8395"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7EA3D29A"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6DD3584D"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5FEF73A3" w14:textId="77777777" w:rsidR="00537E5F" w:rsidRPr="00507A31" w:rsidRDefault="00537E5F" w:rsidP="00507A31">
            <w:pPr>
              <w:autoSpaceDE w:val="0"/>
              <w:autoSpaceDN w:val="0"/>
              <w:adjustRightInd w:val="0"/>
              <w:jc w:val="both"/>
              <w:rPr>
                <w:color w:val="000000" w:themeColor="text1"/>
                <w:sz w:val="16"/>
                <w:szCs w:val="16"/>
              </w:rPr>
            </w:pPr>
          </w:p>
        </w:tc>
        <w:tc>
          <w:tcPr>
            <w:tcW w:w="799" w:type="dxa"/>
          </w:tcPr>
          <w:p w14:paraId="00342330" w14:textId="77777777" w:rsidR="00537E5F" w:rsidRPr="00507A31" w:rsidRDefault="00537E5F" w:rsidP="00507A31">
            <w:pPr>
              <w:autoSpaceDE w:val="0"/>
              <w:autoSpaceDN w:val="0"/>
              <w:adjustRightInd w:val="0"/>
              <w:jc w:val="both"/>
              <w:rPr>
                <w:color w:val="000000" w:themeColor="text1"/>
                <w:sz w:val="16"/>
                <w:szCs w:val="16"/>
              </w:rPr>
            </w:pPr>
          </w:p>
        </w:tc>
        <w:tc>
          <w:tcPr>
            <w:tcW w:w="1657" w:type="dxa"/>
          </w:tcPr>
          <w:p w14:paraId="6B369C4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E783AC3" w14:textId="77777777">
        <w:tc>
          <w:tcPr>
            <w:tcW w:w="2376" w:type="dxa"/>
          </w:tcPr>
          <w:p w14:paraId="61C6D9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 М6-300 НР</w:t>
            </w:r>
          </w:p>
        </w:tc>
        <w:tc>
          <w:tcPr>
            <w:tcW w:w="799" w:type="dxa"/>
          </w:tcPr>
          <w:p w14:paraId="24936F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64</w:t>
            </w:r>
          </w:p>
        </w:tc>
        <w:tc>
          <w:tcPr>
            <w:tcW w:w="799" w:type="dxa"/>
          </w:tcPr>
          <w:p w14:paraId="471EC8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w:t>
            </w:r>
          </w:p>
        </w:tc>
        <w:tc>
          <w:tcPr>
            <w:tcW w:w="799" w:type="dxa"/>
          </w:tcPr>
          <w:p w14:paraId="02FDEA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w:t>
            </w:r>
          </w:p>
        </w:tc>
        <w:tc>
          <w:tcPr>
            <w:tcW w:w="799" w:type="dxa"/>
          </w:tcPr>
          <w:p w14:paraId="621281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w:t>
            </w:r>
          </w:p>
        </w:tc>
        <w:tc>
          <w:tcPr>
            <w:tcW w:w="799" w:type="dxa"/>
          </w:tcPr>
          <w:p w14:paraId="7AEEFF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43</w:t>
            </w:r>
          </w:p>
        </w:tc>
        <w:tc>
          <w:tcPr>
            <w:tcW w:w="1657" w:type="dxa"/>
          </w:tcPr>
          <w:p w14:paraId="3DBFB4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78,1</w:t>
            </w:r>
          </w:p>
        </w:tc>
      </w:tr>
      <w:tr w:rsidR="00E371BA" w:rsidRPr="00507A31" w14:paraId="0FC23008" w14:textId="77777777">
        <w:tc>
          <w:tcPr>
            <w:tcW w:w="2376" w:type="dxa"/>
          </w:tcPr>
          <w:p w14:paraId="657354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 М11-100 НР</w:t>
            </w:r>
          </w:p>
        </w:tc>
        <w:tc>
          <w:tcPr>
            <w:tcW w:w="799" w:type="dxa"/>
          </w:tcPr>
          <w:p w14:paraId="147446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799" w:type="dxa"/>
          </w:tcPr>
          <w:p w14:paraId="4BD137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94</w:t>
            </w:r>
          </w:p>
        </w:tc>
        <w:tc>
          <w:tcPr>
            <w:tcW w:w="799" w:type="dxa"/>
          </w:tcPr>
          <w:p w14:paraId="3456A7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94</w:t>
            </w:r>
          </w:p>
        </w:tc>
        <w:tc>
          <w:tcPr>
            <w:tcW w:w="799" w:type="dxa"/>
          </w:tcPr>
          <w:p w14:paraId="7B661A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w:t>
            </w:r>
          </w:p>
        </w:tc>
        <w:tc>
          <w:tcPr>
            <w:tcW w:w="799" w:type="dxa"/>
          </w:tcPr>
          <w:p w14:paraId="171256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77</w:t>
            </w:r>
          </w:p>
        </w:tc>
        <w:tc>
          <w:tcPr>
            <w:tcW w:w="1657" w:type="dxa"/>
          </w:tcPr>
          <w:p w14:paraId="358A25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128,3</w:t>
            </w:r>
          </w:p>
        </w:tc>
      </w:tr>
    </w:tbl>
    <w:p w14:paraId="27B96B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того ВАО сданы самолеты и моторы в счет наличной покупки, а также из перешедшей с прошлого года продукции.</w:t>
      </w:r>
    </w:p>
    <w:p w14:paraId="0F52DB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Предъявление и сдача главнейшей продукции программы 29/30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E371BA" w:rsidRPr="00507A31" w14:paraId="770F4D76" w14:textId="77777777">
        <w:tc>
          <w:tcPr>
            <w:tcW w:w="1878" w:type="dxa"/>
          </w:tcPr>
          <w:p w14:paraId="78B4B7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Заводы и наименование продукции</w:t>
            </w:r>
          </w:p>
        </w:tc>
        <w:tc>
          <w:tcPr>
            <w:tcW w:w="1878" w:type="dxa"/>
          </w:tcPr>
          <w:p w14:paraId="47ED93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Программа</w:t>
            </w:r>
          </w:p>
        </w:tc>
        <w:tc>
          <w:tcPr>
            <w:tcW w:w="1878" w:type="dxa"/>
          </w:tcPr>
          <w:p w14:paraId="004F23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w:t>
            </w:r>
          </w:p>
        </w:tc>
      </w:tr>
      <w:tr w:rsidR="00E371BA" w:rsidRPr="00507A31" w14:paraId="15301968" w14:textId="77777777">
        <w:tc>
          <w:tcPr>
            <w:tcW w:w="1878" w:type="dxa"/>
          </w:tcPr>
          <w:p w14:paraId="211B96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1</w:t>
            </w:r>
          </w:p>
        </w:tc>
        <w:tc>
          <w:tcPr>
            <w:tcW w:w="1878" w:type="dxa"/>
          </w:tcPr>
          <w:p w14:paraId="3A6AF8EF" w14:textId="77777777" w:rsidR="00537E5F" w:rsidRPr="00507A31" w:rsidRDefault="00537E5F" w:rsidP="00507A31">
            <w:pPr>
              <w:autoSpaceDE w:val="0"/>
              <w:autoSpaceDN w:val="0"/>
              <w:adjustRightInd w:val="0"/>
              <w:jc w:val="both"/>
              <w:rPr>
                <w:color w:val="000000" w:themeColor="text1"/>
                <w:sz w:val="16"/>
                <w:szCs w:val="16"/>
              </w:rPr>
            </w:pPr>
          </w:p>
        </w:tc>
        <w:tc>
          <w:tcPr>
            <w:tcW w:w="1878" w:type="dxa"/>
          </w:tcPr>
          <w:p w14:paraId="34DCC9A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36632A2" w14:textId="77777777">
        <w:tc>
          <w:tcPr>
            <w:tcW w:w="1878" w:type="dxa"/>
          </w:tcPr>
          <w:p w14:paraId="714B5E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Р1 с М5</w:t>
            </w:r>
          </w:p>
        </w:tc>
        <w:tc>
          <w:tcPr>
            <w:tcW w:w="1878" w:type="dxa"/>
          </w:tcPr>
          <w:p w14:paraId="7368FB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w:t>
            </w:r>
          </w:p>
        </w:tc>
        <w:tc>
          <w:tcPr>
            <w:tcW w:w="1878" w:type="dxa"/>
          </w:tcPr>
          <w:p w14:paraId="1D8FDE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55/33</w:t>
            </w:r>
          </w:p>
        </w:tc>
      </w:tr>
      <w:tr w:rsidR="00E371BA" w:rsidRPr="00507A31" w14:paraId="1E2F940C" w14:textId="77777777">
        <w:tc>
          <w:tcPr>
            <w:tcW w:w="1878" w:type="dxa"/>
          </w:tcPr>
          <w:p w14:paraId="72B142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И3 с БМВ-VI</w:t>
            </w:r>
          </w:p>
        </w:tc>
        <w:tc>
          <w:tcPr>
            <w:tcW w:w="1878" w:type="dxa"/>
          </w:tcPr>
          <w:p w14:paraId="156327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273</w:t>
            </w:r>
          </w:p>
        </w:tc>
        <w:tc>
          <w:tcPr>
            <w:tcW w:w="1878" w:type="dxa"/>
          </w:tcPr>
          <w:p w14:paraId="17E744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239/182</w:t>
            </w:r>
          </w:p>
        </w:tc>
      </w:tr>
      <w:tr w:rsidR="00E371BA" w:rsidRPr="00507A31" w14:paraId="3F1F9CC1" w14:textId="77777777">
        <w:tc>
          <w:tcPr>
            <w:tcW w:w="1878" w:type="dxa"/>
          </w:tcPr>
          <w:p w14:paraId="224F43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Р5 с БМВ-VI</w:t>
            </w:r>
          </w:p>
        </w:tc>
        <w:tc>
          <w:tcPr>
            <w:tcW w:w="1878" w:type="dxa"/>
          </w:tcPr>
          <w:p w14:paraId="55CD7B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w:t>
            </w:r>
          </w:p>
        </w:tc>
        <w:tc>
          <w:tcPr>
            <w:tcW w:w="1878" w:type="dxa"/>
          </w:tcPr>
          <w:p w14:paraId="470FAA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19/16</w:t>
            </w:r>
          </w:p>
        </w:tc>
      </w:tr>
      <w:tr w:rsidR="00E371BA" w:rsidRPr="00507A31" w14:paraId="62C306CD" w14:textId="77777777">
        <w:tc>
          <w:tcPr>
            <w:tcW w:w="1878" w:type="dxa"/>
          </w:tcPr>
          <w:p w14:paraId="3ACD60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22</w:t>
            </w:r>
          </w:p>
        </w:tc>
        <w:tc>
          <w:tcPr>
            <w:tcW w:w="1878" w:type="dxa"/>
          </w:tcPr>
          <w:p w14:paraId="74044D0E" w14:textId="77777777" w:rsidR="00537E5F" w:rsidRPr="00507A31" w:rsidRDefault="00537E5F" w:rsidP="00507A31">
            <w:pPr>
              <w:autoSpaceDE w:val="0"/>
              <w:autoSpaceDN w:val="0"/>
              <w:adjustRightInd w:val="0"/>
              <w:jc w:val="both"/>
              <w:rPr>
                <w:color w:val="000000" w:themeColor="text1"/>
                <w:sz w:val="16"/>
                <w:szCs w:val="16"/>
              </w:rPr>
            </w:pPr>
          </w:p>
        </w:tc>
        <w:tc>
          <w:tcPr>
            <w:tcW w:w="1878" w:type="dxa"/>
          </w:tcPr>
          <w:p w14:paraId="640D069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7832D6C" w14:textId="77777777">
        <w:tc>
          <w:tcPr>
            <w:tcW w:w="1878" w:type="dxa"/>
          </w:tcPr>
          <w:p w14:paraId="6EE8E3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ТБ-1</w:t>
            </w:r>
          </w:p>
        </w:tc>
        <w:tc>
          <w:tcPr>
            <w:tcW w:w="1878" w:type="dxa"/>
          </w:tcPr>
          <w:p w14:paraId="777BF1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w:t>
            </w:r>
          </w:p>
        </w:tc>
        <w:tc>
          <w:tcPr>
            <w:tcW w:w="1878" w:type="dxa"/>
          </w:tcPr>
          <w:p w14:paraId="68E515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38/20</w:t>
            </w:r>
          </w:p>
        </w:tc>
      </w:tr>
      <w:tr w:rsidR="00E371BA" w:rsidRPr="00507A31" w14:paraId="537D98B8" w14:textId="77777777">
        <w:tc>
          <w:tcPr>
            <w:tcW w:w="1878" w:type="dxa"/>
          </w:tcPr>
          <w:p w14:paraId="3E7266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И-4</w:t>
            </w:r>
          </w:p>
        </w:tc>
        <w:tc>
          <w:tcPr>
            <w:tcW w:w="1878" w:type="dxa"/>
          </w:tcPr>
          <w:p w14:paraId="45C19D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w:t>
            </w:r>
          </w:p>
        </w:tc>
        <w:tc>
          <w:tcPr>
            <w:tcW w:w="1878" w:type="dxa"/>
          </w:tcPr>
          <w:p w14:paraId="2FCC81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90/66</w:t>
            </w:r>
          </w:p>
        </w:tc>
      </w:tr>
      <w:tr w:rsidR="00E371BA" w:rsidRPr="00507A31" w14:paraId="6454E2E3" w14:textId="77777777">
        <w:tc>
          <w:tcPr>
            <w:tcW w:w="1878" w:type="dxa"/>
          </w:tcPr>
          <w:p w14:paraId="14589B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АНТ-9</w:t>
            </w:r>
          </w:p>
        </w:tc>
        <w:tc>
          <w:tcPr>
            <w:tcW w:w="1878" w:type="dxa"/>
          </w:tcPr>
          <w:p w14:paraId="265C8E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1878" w:type="dxa"/>
          </w:tcPr>
          <w:p w14:paraId="47D8D4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5/1</w:t>
            </w:r>
          </w:p>
        </w:tc>
      </w:tr>
      <w:tr w:rsidR="00E371BA" w:rsidRPr="00507A31" w14:paraId="5A3E4EEA" w14:textId="77777777">
        <w:tc>
          <w:tcPr>
            <w:tcW w:w="1878" w:type="dxa"/>
          </w:tcPr>
          <w:p w14:paraId="27910D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23</w:t>
            </w:r>
          </w:p>
        </w:tc>
        <w:tc>
          <w:tcPr>
            <w:tcW w:w="1878" w:type="dxa"/>
          </w:tcPr>
          <w:p w14:paraId="02C5D527" w14:textId="77777777" w:rsidR="00537E5F" w:rsidRPr="00507A31" w:rsidRDefault="00537E5F" w:rsidP="00507A31">
            <w:pPr>
              <w:autoSpaceDE w:val="0"/>
              <w:autoSpaceDN w:val="0"/>
              <w:adjustRightInd w:val="0"/>
              <w:jc w:val="both"/>
              <w:rPr>
                <w:color w:val="000000" w:themeColor="text1"/>
                <w:sz w:val="16"/>
                <w:szCs w:val="16"/>
              </w:rPr>
            </w:pPr>
          </w:p>
        </w:tc>
        <w:tc>
          <w:tcPr>
            <w:tcW w:w="1878" w:type="dxa"/>
          </w:tcPr>
          <w:p w14:paraId="7A8EFAF4"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F6C4F22" w14:textId="77777777">
        <w:tc>
          <w:tcPr>
            <w:tcW w:w="1878" w:type="dxa"/>
          </w:tcPr>
          <w:p w14:paraId="236643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У1-М2</w:t>
            </w:r>
          </w:p>
        </w:tc>
        <w:tc>
          <w:tcPr>
            <w:tcW w:w="1878" w:type="dxa"/>
          </w:tcPr>
          <w:p w14:paraId="253A11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w:t>
            </w:r>
          </w:p>
        </w:tc>
        <w:tc>
          <w:tcPr>
            <w:tcW w:w="1878" w:type="dxa"/>
          </w:tcPr>
          <w:p w14:paraId="3FCB90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75/75</w:t>
            </w:r>
          </w:p>
        </w:tc>
      </w:tr>
      <w:tr w:rsidR="00E371BA" w:rsidRPr="00507A31" w14:paraId="79541132" w14:textId="77777777">
        <w:tc>
          <w:tcPr>
            <w:tcW w:w="1878" w:type="dxa"/>
          </w:tcPr>
          <w:p w14:paraId="7924D8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МУ1-М2</w:t>
            </w:r>
          </w:p>
        </w:tc>
        <w:tc>
          <w:tcPr>
            <w:tcW w:w="1878" w:type="dxa"/>
          </w:tcPr>
          <w:p w14:paraId="1584C2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w:t>
            </w:r>
          </w:p>
        </w:tc>
        <w:tc>
          <w:tcPr>
            <w:tcW w:w="1878" w:type="dxa"/>
          </w:tcPr>
          <w:p w14:paraId="212A92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16/16</w:t>
            </w:r>
          </w:p>
        </w:tc>
      </w:tr>
      <w:tr w:rsidR="00E371BA" w:rsidRPr="00507A31" w14:paraId="1DD09A17" w14:textId="77777777">
        <w:tc>
          <w:tcPr>
            <w:tcW w:w="1878" w:type="dxa"/>
          </w:tcPr>
          <w:p w14:paraId="2924AF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У2-М11</w:t>
            </w:r>
          </w:p>
        </w:tc>
        <w:tc>
          <w:tcPr>
            <w:tcW w:w="1878" w:type="dxa"/>
          </w:tcPr>
          <w:p w14:paraId="7F75BF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w:t>
            </w:r>
          </w:p>
        </w:tc>
        <w:tc>
          <w:tcPr>
            <w:tcW w:w="1878" w:type="dxa"/>
          </w:tcPr>
          <w:p w14:paraId="633C5D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60/57</w:t>
            </w:r>
          </w:p>
        </w:tc>
      </w:tr>
      <w:tr w:rsidR="00E371BA" w:rsidRPr="00507A31" w14:paraId="44762BD0" w14:textId="77777777">
        <w:tc>
          <w:tcPr>
            <w:tcW w:w="1878" w:type="dxa"/>
          </w:tcPr>
          <w:p w14:paraId="66B424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31</w:t>
            </w:r>
          </w:p>
        </w:tc>
        <w:tc>
          <w:tcPr>
            <w:tcW w:w="1878" w:type="dxa"/>
          </w:tcPr>
          <w:p w14:paraId="27D7A2F9" w14:textId="77777777" w:rsidR="00537E5F" w:rsidRPr="00507A31" w:rsidRDefault="00537E5F" w:rsidP="00507A31">
            <w:pPr>
              <w:autoSpaceDE w:val="0"/>
              <w:autoSpaceDN w:val="0"/>
              <w:adjustRightInd w:val="0"/>
              <w:jc w:val="both"/>
              <w:rPr>
                <w:color w:val="000000" w:themeColor="text1"/>
                <w:sz w:val="16"/>
                <w:szCs w:val="16"/>
              </w:rPr>
            </w:pPr>
          </w:p>
        </w:tc>
        <w:tc>
          <w:tcPr>
            <w:tcW w:w="1878" w:type="dxa"/>
          </w:tcPr>
          <w:p w14:paraId="1693F04B"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C8BF759" w14:textId="77777777">
        <w:tc>
          <w:tcPr>
            <w:tcW w:w="1878" w:type="dxa"/>
          </w:tcPr>
          <w:p w14:paraId="047B97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Р1-М5</w:t>
            </w:r>
          </w:p>
        </w:tc>
        <w:tc>
          <w:tcPr>
            <w:tcW w:w="1878" w:type="dxa"/>
          </w:tcPr>
          <w:p w14:paraId="14790A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393</w:t>
            </w:r>
          </w:p>
        </w:tc>
        <w:tc>
          <w:tcPr>
            <w:tcW w:w="1878" w:type="dxa"/>
          </w:tcPr>
          <w:p w14:paraId="02A5C5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383/246</w:t>
            </w:r>
          </w:p>
        </w:tc>
      </w:tr>
      <w:tr w:rsidR="00E371BA" w:rsidRPr="00507A31" w14:paraId="43684749" w14:textId="77777777">
        <w:tc>
          <w:tcPr>
            <w:tcW w:w="1878" w:type="dxa"/>
          </w:tcPr>
          <w:p w14:paraId="109CCA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24</w:t>
            </w:r>
          </w:p>
        </w:tc>
        <w:tc>
          <w:tcPr>
            <w:tcW w:w="1878" w:type="dxa"/>
          </w:tcPr>
          <w:p w14:paraId="6A0EB82C" w14:textId="77777777" w:rsidR="00537E5F" w:rsidRPr="00507A31" w:rsidRDefault="00537E5F" w:rsidP="00507A31">
            <w:pPr>
              <w:autoSpaceDE w:val="0"/>
              <w:autoSpaceDN w:val="0"/>
              <w:adjustRightInd w:val="0"/>
              <w:jc w:val="both"/>
              <w:rPr>
                <w:color w:val="000000" w:themeColor="text1"/>
                <w:sz w:val="16"/>
                <w:szCs w:val="16"/>
              </w:rPr>
            </w:pPr>
          </w:p>
        </w:tc>
        <w:tc>
          <w:tcPr>
            <w:tcW w:w="1878" w:type="dxa"/>
          </w:tcPr>
          <w:p w14:paraId="51BC647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D824C0A" w14:textId="77777777">
        <w:tc>
          <w:tcPr>
            <w:tcW w:w="1878" w:type="dxa"/>
          </w:tcPr>
          <w:p w14:paraId="12838B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М5-400 НР</w:t>
            </w:r>
          </w:p>
        </w:tc>
        <w:tc>
          <w:tcPr>
            <w:tcW w:w="1878" w:type="dxa"/>
          </w:tcPr>
          <w:p w14:paraId="5B900C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693</w:t>
            </w:r>
          </w:p>
        </w:tc>
        <w:tc>
          <w:tcPr>
            <w:tcW w:w="1878" w:type="dxa"/>
          </w:tcPr>
          <w:p w14:paraId="404BF8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760/718</w:t>
            </w:r>
          </w:p>
        </w:tc>
      </w:tr>
      <w:tr w:rsidR="00E371BA" w:rsidRPr="00507A31" w14:paraId="45DD01F3" w14:textId="77777777">
        <w:tc>
          <w:tcPr>
            <w:tcW w:w="1878" w:type="dxa"/>
          </w:tcPr>
          <w:p w14:paraId="4AABE4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М2 120 НР</w:t>
            </w:r>
          </w:p>
        </w:tc>
        <w:tc>
          <w:tcPr>
            <w:tcW w:w="1878" w:type="dxa"/>
          </w:tcPr>
          <w:p w14:paraId="3F76D1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w:t>
            </w:r>
          </w:p>
        </w:tc>
        <w:tc>
          <w:tcPr>
            <w:tcW w:w="1878" w:type="dxa"/>
          </w:tcPr>
          <w:p w14:paraId="4C49CA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260/220</w:t>
            </w:r>
          </w:p>
        </w:tc>
      </w:tr>
      <w:tr w:rsidR="00E371BA" w:rsidRPr="00507A31" w14:paraId="10B3B268" w14:textId="77777777">
        <w:tc>
          <w:tcPr>
            <w:tcW w:w="1878" w:type="dxa"/>
          </w:tcPr>
          <w:p w14:paraId="4AA0A1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М-17</w:t>
            </w:r>
          </w:p>
        </w:tc>
        <w:tc>
          <w:tcPr>
            <w:tcW w:w="1878" w:type="dxa"/>
          </w:tcPr>
          <w:p w14:paraId="0F630C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80</w:t>
            </w:r>
          </w:p>
        </w:tc>
        <w:tc>
          <w:tcPr>
            <w:tcW w:w="1878" w:type="dxa"/>
          </w:tcPr>
          <w:p w14:paraId="65EEAE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tc>
      </w:tr>
      <w:tr w:rsidR="00E371BA" w:rsidRPr="00507A31" w14:paraId="2A33B468" w14:textId="77777777">
        <w:tc>
          <w:tcPr>
            <w:tcW w:w="1878" w:type="dxa"/>
          </w:tcPr>
          <w:p w14:paraId="58CFF6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26</w:t>
            </w:r>
          </w:p>
        </w:tc>
        <w:tc>
          <w:tcPr>
            <w:tcW w:w="1878" w:type="dxa"/>
          </w:tcPr>
          <w:p w14:paraId="3D2CB738" w14:textId="77777777" w:rsidR="00537E5F" w:rsidRPr="00507A31" w:rsidRDefault="00537E5F" w:rsidP="00507A31">
            <w:pPr>
              <w:autoSpaceDE w:val="0"/>
              <w:autoSpaceDN w:val="0"/>
              <w:adjustRightInd w:val="0"/>
              <w:jc w:val="both"/>
              <w:rPr>
                <w:color w:val="000000" w:themeColor="text1"/>
                <w:sz w:val="16"/>
                <w:szCs w:val="16"/>
              </w:rPr>
            </w:pPr>
          </w:p>
        </w:tc>
        <w:tc>
          <w:tcPr>
            <w:tcW w:w="1878" w:type="dxa"/>
          </w:tcPr>
          <w:p w14:paraId="777DA51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93B7EFF" w14:textId="77777777">
        <w:tc>
          <w:tcPr>
            <w:tcW w:w="1878" w:type="dxa"/>
          </w:tcPr>
          <w:p w14:paraId="1C9CCB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М-17</w:t>
            </w:r>
          </w:p>
        </w:tc>
        <w:tc>
          <w:tcPr>
            <w:tcW w:w="1878" w:type="dxa"/>
          </w:tcPr>
          <w:p w14:paraId="462D5A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150</w:t>
            </w:r>
          </w:p>
        </w:tc>
        <w:tc>
          <w:tcPr>
            <w:tcW w:w="1878" w:type="dxa"/>
          </w:tcPr>
          <w:p w14:paraId="5505C3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165/85</w:t>
            </w:r>
          </w:p>
        </w:tc>
      </w:tr>
      <w:tr w:rsidR="00E371BA" w:rsidRPr="00507A31" w14:paraId="07BFF311" w14:textId="77777777">
        <w:tc>
          <w:tcPr>
            <w:tcW w:w="1878" w:type="dxa"/>
          </w:tcPr>
          <w:p w14:paraId="5A83D3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29</w:t>
            </w:r>
          </w:p>
        </w:tc>
        <w:tc>
          <w:tcPr>
            <w:tcW w:w="1878" w:type="dxa"/>
          </w:tcPr>
          <w:p w14:paraId="0E495DB0" w14:textId="77777777" w:rsidR="00537E5F" w:rsidRPr="00507A31" w:rsidRDefault="00537E5F" w:rsidP="00507A31">
            <w:pPr>
              <w:autoSpaceDE w:val="0"/>
              <w:autoSpaceDN w:val="0"/>
              <w:adjustRightInd w:val="0"/>
              <w:jc w:val="both"/>
              <w:rPr>
                <w:color w:val="000000" w:themeColor="text1"/>
                <w:sz w:val="16"/>
                <w:szCs w:val="16"/>
              </w:rPr>
            </w:pPr>
          </w:p>
        </w:tc>
        <w:tc>
          <w:tcPr>
            <w:tcW w:w="1878" w:type="dxa"/>
          </w:tcPr>
          <w:p w14:paraId="2F9BD17A"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63EB2CC" w14:textId="77777777">
        <w:tc>
          <w:tcPr>
            <w:tcW w:w="1878" w:type="dxa"/>
          </w:tcPr>
          <w:p w14:paraId="69DC7A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М6 300-НР</w:t>
            </w:r>
          </w:p>
        </w:tc>
        <w:tc>
          <w:tcPr>
            <w:tcW w:w="1878" w:type="dxa"/>
          </w:tcPr>
          <w:p w14:paraId="4A439C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64</w:t>
            </w:r>
          </w:p>
        </w:tc>
        <w:tc>
          <w:tcPr>
            <w:tcW w:w="1878" w:type="dxa"/>
          </w:tcPr>
          <w:p w14:paraId="1EC713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48/43</w:t>
            </w:r>
          </w:p>
        </w:tc>
      </w:tr>
      <w:tr w:rsidR="00E371BA" w:rsidRPr="00507A31" w14:paraId="66CB4706" w14:textId="77777777">
        <w:tc>
          <w:tcPr>
            <w:tcW w:w="1878" w:type="dxa"/>
          </w:tcPr>
          <w:p w14:paraId="3E5E18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М-11 100-НР</w:t>
            </w:r>
          </w:p>
        </w:tc>
        <w:tc>
          <w:tcPr>
            <w:tcW w:w="1878" w:type="dxa"/>
          </w:tcPr>
          <w:p w14:paraId="3ACD59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100</w:t>
            </w:r>
          </w:p>
        </w:tc>
        <w:tc>
          <w:tcPr>
            <w:tcW w:w="1878" w:type="dxa"/>
          </w:tcPr>
          <w:p w14:paraId="72E8C4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94/77</w:t>
            </w:r>
          </w:p>
        </w:tc>
      </w:tr>
      <w:tr w:rsidR="00E371BA" w:rsidRPr="00507A31" w14:paraId="1AA4E130" w14:textId="77777777">
        <w:tc>
          <w:tcPr>
            <w:tcW w:w="1878" w:type="dxa"/>
          </w:tcPr>
          <w:p w14:paraId="1F708D6B" w14:textId="77777777" w:rsidR="00537E5F" w:rsidRPr="00507A31" w:rsidRDefault="00537E5F" w:rsidP="00507A31">
            <w:pPr>
              <w:autoSpaceDE w:val="0"/>
              <w:autoSpaceDN w:val="0"/>
              <w:adjustRightInd w:val="0"/>
              <w:jc w:val="both"/>
              <w:rPr>
                <w:color w:val="000000" w:themeColor="text1"/>
                <w:sz w:val="16"/>
                <w:szCs w:val="16"/>
              </w:rPr>
            </w:pPr>
          </w:p>
        </w:tc>
        <w:tc>
          <w:tcPr>
            <w:tcW w:w="1878" w:type="dxa"/>
          </w:tcPr>
          <w:p w14:paraId="3BEE0C5A" w14:textId="77777777" w:rsidR="00537E5F" w:rsidRPr="00507A31" w:rsidRDefault="00537E5F" w:rsidP="00507A31">
            <w:pPr>
              <w:autoSpaceDE w:val="0"/>
              <w:autoSpaceDN w:val="0"/>
              <w:adjustRightInd w:val="0"/>
              <w:jc w:val="both"/>
              <w:rPr>
                <w:color w:val="000000" w:themeColor="text1"/>
                <w:sz w:val="16"/>
                <w:szCs w:val="16"/>
              </w:rPr>
            </w:pPr>
          </w:p>
        </w:tc>
        <w:tc>
          <w:tcPr>
            <w:tcW w:w="1878" w:type="dxa"/>
          </w:tcPr>
          <w:p w14:paraId="365CA1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(предъявление/сдача).</w:t>
            </w:r>
          </w:p>
        </w:tc>
      </w:tr>
    </w:tbl>
    <w:p w14:paraId="425FBC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Процент удовлетворения потребности ВВС в самолетах и моторах продукцией внутреннего производства, рисуется следующими цифрами: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E371BA" w:rsidRPr="00507A31" w14:paraId="1D717F4A" w14:textId="77777777">
        <w:tc>
          <w:tcPr>
            <w:tcW w:w="1409" w:type="dxa"/>
          </w:tcPr>
          <w:p w14:paraId="6DD2B1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 продукции</w:t>
            </w:r>
          </w:p>
        </w:tc>
        <w:tc>
          <w:tcPr>
            <w:tcW w:w="1409" w:type="dxa"/>
          </w:tcPr>
          <w:p w14:paraId="46F5B0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Штатная потреб. ВВС на 29/30 г.</w:t>
            </w:r>
          </w:p>
        </w:tc>
        <w:tc>
          <w:tcPr>
            <w:tcW w:w="1409" w:type="dxa"/>
          </w:tcPr>
          <w:p w14:paraId="5A87BD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Фактически сдано ВАО в 29/30 г.</w:t>
            </w:r>
          </w:p>
        </w:tc>
        <w:tc>
          <w:tcPr>
            <w:tcW w:w="1409" w:type="dxa"/>
          </w:tcPr>
          <w:p w14:paraId="247B03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удовлетворен. потребности ВВС</w:t>
            </w:r>
          </w:p>
        </w:tc>
        <w:tc>
          <w:tcPr>
            <w:tcW w:w="1409" w:type="dxa"/>
          </w:tcPr>
          <w:p w14:paraId="1E5427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Закуплено за границей</w:t>
            </w:r>
          </w:p>
        </w:tc>
      </w:tr>
      <w:tr w:rsidR="00E371BA" w:rsidRPr="00507A31" w14:paraId="1FB0EB67" w14:textId="77777777">
        <w:tc>
          <w:tcPr>
            <w:tcW w:w="1409" w:type="dxa"/>
          </w:tcPr>
          <w:p w14:paraId="262CFB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Истребители</w:t>
            </w:r>
          </w:p>
        </w:tc>
        <w:tc>
          <w:tcPr>
            <w:tcW w:w="1409" w:type="dxa"/>
          </w:tcPr>
          <w:p w14:paraId="26BCDB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520</w:t>
            </w:r>
          </w:p>
        </w:tc>
        <w:tc>
          <w:tcPr>
            <w:tcW w:w="1409" w:type="dxa"/>
          </w:tcPr>
          <w:p w14:paraId="363E6D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389</w:t>
            </w:r>
          </w:p>
        </w:tc>
        <w:tc>
          <w:tcPr>
            <w:tcW w:w="1409" w:type="dxa"/>
          </w:tcPr>
          <w:p w14:paraId="13F544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74,8</w:t>
            </w:r>
          </w:p>
        </w:tc>
        <w:tc>
          <w:tcPr>
            <w:tcW w:w="1409" w:type="dxa"/>
          </w:tcPr>
          <w:p w14:paraId="4361F2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177179D2" w14:textId="77777777">
        <w:tc>
          <w:tcPr>
            <w:tcW w:w="1409" w:type="dxa"/>
          </w:tcPr>
          <w:p w14:paraId="614393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Разведчики</w:t>
            </w:r>
          </w:p>
        </w:tc>
        <w:tc>
          <w:tcPr>
            <w:tcW w:w="1409" w:type="dxa"/>
          </w:tcPr>
          <w:p w14:paraId="788161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1650</w:t>
            </w:r>
          </w:p>
        </w:tc>
        <w:tc>
          <w:tcPr>
            <w:tcW w:w="1409" w:type="dxa"/>
          </w:tcPr>
          <w:p w14:paraId="168038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428</w:t>
            </w:r>
          </w:p>
        </w:tc>
        <w:tc>
          <w:tcPr>
            <w:tcW w:w="1409" w:type="dxa"/>
          </w:tcPr>
          <w:p w14:paraId="50129D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25,9</w:t>
            </w:r>
          </w:p>
        </w:tc>
        <w:tc>
          <w:tcPr>
            <w:tcW w:w="1409" w:type="dxa"/>
          </w:tcPr>
          <w:p w14:paraId="751DE8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6F0C80BA" w14:textId="77777777">
        <w:tc>
          <w:tcPr>
            <w:tcW w:w="1409" w:type="dxa"/>
          </w:tcPr>
          <w:p w14:paraId="775B3C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 бомбов.</w:t>
            </w:r>
          </w:p>
        </w:tc>
        <w:tc>
          <w:tcPr>
            <w:tcW w:w="1409" w:type="dxa"/>
          </w:tcPr>
          <w:p w14:paraId="0226A1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w:t>
            </w:r>
          </w:p>
        </w:tc>
        <w:tc>
          <w:tcPr>
            <w:tcW w:w="1409" w:type="dxa"/>
          </w:tcPr>
          <w:p w14:paraId="1F0632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w:t>
            </w:r>
          </w:p>
        </w:tc>
        <w:tc>
          <w:tcPr>
            <w:tcW w:w="1409" w:type="dxa"/>
          </w:tcPr>
          <w:p w14:paraId="4BD309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133,3</w:t>
            </w:r>
          </w:p>
        </w:tc>
        <w:tc>
          <w:tcPr>
            <w:tcW w:w="1409" w:type="dxa"/>
          </w:tcPr>
          <w:p w14:paraId="7A2B6D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26E9A6D6" w14:textId="77777777">
        <w:tc>
          <w:tcPr>
            <w:tcW w:w="1409" w:type="dxa"/>
          </w:tcPr>
          <w:p w14:paraId="4DB35F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Учебные</w:t>
            </w:r>
          </w:p>
        </w:tc>
        <w:tc>
          <w:tcPr>
            <w:tcW w:w="1409" w:type="dxa"/>
          </w:tcPr>
          <w:p w14:paraId="756281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369</w:t>
            </w:r>
          </w:p>
        </w:tc>
        <w:tc>
          <w:tcPr>
            <w:tcW w:w="1409" w:type="dxa"/>
          </w:tcPr>
          <w:p w14:paraId="5F0325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158</w:t>
            </w:r>
          </w:p>
        </w:tc>
        <w:tc>
          <w:tcPr>
            <w:tcW w:w="1409" w:type="dxa"/>
          </w:tcPr>
          <w:p w14:paraId="16C7F3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42,8</w:t>
            </w:r>
          </w:p>
        </w:tc>
        <w:tc>
          <w:tcPr>
            <w:tcW w:w="1409" w:type="dxa"/>
          </w:tcPr>
          <w:p w14:paraId="0FDCDB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37F62C81" w14:textId="77777777">
        <w:tc>
          <w:tcPr>
            <w:tcW w:w="1409" w:type="dxa"/>
          </w:tcPr>
          <w:p w14:paraId="6CB225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w:t>
            </w:r>
          </w:p>
        </w:tc>
        <w:tc>
          <w:tcPr>
            <w:tcW w:w="1409" w:type="dxa"/>
          </w:tcPr>
          <w:p w14:paraId="094CDDDA" w14:textId="77777777" w:rsidR="00537E5F" w:rsidRPr="00507A31" w:rsidRDefault="00537E5F" w:rsidP="00507A31">
            <w:pPr>
              <w:autoSpaceDE w:val="0"/>
              <w:autoSpaceDN w:val="0"/>
              <w:adjustRightInd w:val="0"/>
              <w:jc w:val="both"/>
              <w:rPr>
                <w:color w:val="000000" w:themeColor="text1"/>
                <w:sz w:val="16"/>
                <w:szCs w:val="16"/>
              </w:rPr>
            </w:pPr>
          </w:p>
        </w:tc>
        <w:tc>
          <w:tcPr>
            <w:tcW w:w="1409" w:type="dxa"/>
          </w:tcPr>
          <w:p w14:paraId="64E7AB91" w14:textId="77777777" w:rsidR="00537E5F" w:rsidRPr="00507A31" w:rsidRDefault="00537E5F" w:rsidP="00507A31">
            <w:pPr>
              <w:autoSpaceDE w:val="0"/>
              <w:autoSpaceDN w:val="0"/>
              <w:adjustRightInd w:val="0"/>
              <w:jc w:val="both"/>
              <w:rPr>
                <w:color w:val="000000" w:themeColor="text1"/>
                <w:sz w:val="16"/>
                <w:szCs w:val="16"/>
              </w:rPr>
            </w:pPr>
          </w:p>
        </w:tc>
        <w:tc>
          <w:tcPr>
            <w:tcW w:w="1409" w:type="dxa"/>
          </w:tcPr>
          <w:p w14:paraId="26ADBC6F" w14:textId="77777777" w:rsidR="00537E5F" w:rsidRPr="00507A31" w:rsidRDefault="00537E5F" w:rsidP="00507A31">
            <w:pPr>
              <w:autoSpaceDE w:val="0"/>
              <w:autoSpaceDN w:val="0"/>
              <w:adjustRightInd w:val="0"/>
              <w:jc w:val="both"/>
              <w:rPr>
                <w:color w:val="000000" w:themeColor="text1"/>
                <w:sz w:val="16"/>
                <w:szCs w:val="16"/>
              </w:rPr>
            </w:pPr>
          </w:p>
        </w:tc>
        <w:tc>
          <w:tcPr>
            <w:tcW w:w="1409" w:type="dxa"/>
          </w:tcPr>
          <w:p w14:paraId="7222B13C"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0F713C88" w14:textId="77777777">
        <w:tc>
          <w:tcPr>
            <w:tcW w:w="1409" w:type="dxa"/>
          </w:tcPr>
          <w:p w14:paraId="7A1625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М-2</w:t>
            </w:r>
          </w:p>
        </w:tc>
        <w:tc>
          <w:tcPr>
            <w:tcW w:w="1409" w:type="dxa"/>
          </w:tcPr>
          <w:p w14:paraId="3EA216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990</w:t>
            </w:r>
          </w:p>
        </w:tc>
        <w:tc>
          <w:tcPr>
            <w:tcW w:w="1409" w:type="dxa"/>
          </w:tcPr>
          <w:p w14:paraId="6B4130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220</w:t>
            </w:r>
          </w:p>
        </w:tc>
        <w:tc>
          <w:tcPr>
            <w:tcW w:w="1409" w:type="dxa"/>
          </w:tcPr>
          <w:p w14:paraId="3EE3E2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22,2</w:t>
            </w:r>
          </w:p>
        </w:tc>
        <w:tc>
          <w:tcPr>
            <w:tcW w:w="1409" w:type="dxa"/>
          </w:tcPr>
          <w:p w14:paraId="476BD9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500</w:t>
            </w:r>
          </w:p>
        </w:tc>
      </w:tr>
      <w:tr w:rsidR="00E371BA" w:rsidRPr="00507A31" w14:paraId="0FDD2F66" w14:textId="77777777">
        <w:tc>
          <w:tcPr>
            <w:tcW w:w="1409" w:type="dxa"/>
          </w:tcPr>
          <w:p w14:paraId="062BEB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М-5</w:t>
            </w:r>
          </w:p>
        </w:tc>
        <w:tc>
          <w:tcPr>
            <w:tcW w:w="1409" w:type="dxa"/>
          </w:tcPr>
          <w:p w14:paraId="5DEBBD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2337</w:t>
            </w:r>
          </w:p>
        </w:tc>
        <w:tc>
          <w:tcPr>
            <w:tcW w:w="1409" w:type="dxa"/>
          </w:tcPr>
          <w:p w14:paraId="37E20D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734</w:t>
            </w:r>
          </w:p>
        </w:tc>
        <w:tc>
          <w:tcPr>
            <w:tcW w:w="1409" w:type="dxa"/>
          </w:tcPr>
          <w:p w14:paraId="76226B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31,4</w:t>
            </w:r>
          </w:p>
        </w:tc>
        <w:tc>
          <w:tcPr>
            <w:tcW w:w="1409" w:type="dxa"/>
          </w:tcPr>
          <w:p w14:paraId="2195EE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37AAE3BC" w14:textId="77777777">
        <w:tc>
          <w:tcPr>
            <w:tcW w:w="1409" w:type="dxa"/>
          </w:tcPr>
          <w:p w14:paraId="337013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М-6</w:t>
            </w:r>
          </w:p>
        </w:tc>
        <w:tc>
          <w:tcPr>
            <w:tcW w:w="1409" w:type="dxa"/>
          </w:tcPr>
          <w:p w14:paraId="6DA8FF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125</w:t>
            </w:r>
          </w:p>
        </w:tc>
        <w:tc>
          <w:tcPr>
            <w:tcW w:w="1409" w:type="dxa"/>
          </w:tcPr>
          <w:p w14:paraId="075412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w:t>
            </w:r>
          </w:p>
        </w:tc>
        <w:tc>
          <w:tcPr>
            <w:tcW w:w="1409" w:type="dxa"/>
          </w:tcPr>
          <w:p w14:paraId="3F6464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38,4</w:t>
            </w:r>
          </w:p>
        </w:tc>
        <w:tc>
          <w:tcPr>
            <w:tcW w:w="1409" w:type="dxa"/>
          </w:tcPr>
          <w:p w14:paraId="09630B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26048B6B" w14:textId="77777777">
        <w:tc>
          <w:tcPr>
            <w:tcW w:w="1409" w:type="dxa"/>
          </w:tcPr>
          <w:p w14:paraId="31EF75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М-17</w:t>
            </w:r>
          </w:p>
        </w:tc>
        <w:tc>
          <w:tcPr>
            <w:tcW w:w="1409" w:type="dxa"/>
          </w:tcPr>
          <w:p w14:paraId="4A6CE7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685</w:t>
            </w:r>
          </w:p>
        </w:tc>
        <w:tc>
          <w:tcPr>
            <w:tcW w:w="1409" w:type="dxa"/>
          </w:tcPr>
          <w:p w14:paraId="4EEF62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120</w:t>
            </w:r>
          </w:p>
        </w:tc>
        <w:tc>
          <w:tcPr>
            <w:tcW w:w="1409" w:type="dxa"/>
          </w:tcPr>
          <w:p w14:paraId="50917F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9" w:type="dxa"/>
          </w:tcPr>
          <w:p w14:paraId="78D888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565</w:t>
            </w:r>
          </w:p>
        </w:tc>
      </w:tr>
      <w:tr w:rsidR="00E371BA" w:rsidRPr="00507A31" w14:paraId="71AFD85E" w14:textId="77777777">
        <w:tc>
          <w:tcPr>
            <w:tcW w:w="1409" w:type="dxa"/>
          </w:tcPr>
          <w:p w14:paraId="176560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Ю-VI</w:t>
            </w:r>
          </w:p>
        </w:tc>
        <w:tc>
          <w:tcPr>
            <w:tcW w:w="1409" w:type="dxa"/>
          </w:tcPr>
          <w:p w14:paraId="2728D7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w:t>
            </w:r>
          </w:p>
        </w:tc>
        <w:tc>
          <w:tcPr>
            <w:tcW w:w="1409" w:type="dxa"/>
          </w:tcPr>
          <w:p w14:paraId="64DB5C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9" w:type="dxa"/>
          </w:tcPr>
          <w:p w14:paraId="4E8A10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9" w:type="dxa"/>
          </w:tcPr>
          <w:p w14:paraId="21987A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250</w:t>
            </w:r>
          </w:p>
        </w:tc>
      </w:tr>
      <w:tr w:rsidR="00E371BA" w:rsidRPr="00507A31" w14:paraId="09958E31" w14:textId="77777777">
        <w:tc>
          <w:tcPr>
            <w:tcW w:w="1409" w:type="dxa"/>
          </w:tcPr>
          <w:p w14:paraId="020C6F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Сименс-Юпитер</w:t>
            </w:r>
          </w:p>
        </w:tc>
        <w:tc>
          <w:tcPr>
            <w:tcW w:w="1409" w:type="dxa"/>
          </w:tcPr>
          <w:p w14:paraId="322ED8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w:t>
            </w:r>
          </w:p>
        </w:tc>
        <w:tc>
          <w:tcPr>
            <w:tcW w:w="1409" w:type="dxa"/>
          </w:tcPr>
          <w:p w14:paraId="4A45B3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9" w:type="dxa"/>
          </w:tcPr>
          <w:p w14:paraId="6F0FA1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9" w:type="dxa"/>
          </w:tcPr>
          <w:p w14:paraId="45C3F4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w:t>
            </w:r>
          </w:p>
        </w:tc>
      </w:tr>
      <w:tr w:rsidR="00E371BA" w:rsidRPr="00507A31" w14:paraId="59D5AAA4" w14:textId="77777777">
        <w:tc>
          <w:tcPr>
            <w:tcW w:w="1409" w:type="dxa"/>
          </w:tcPr>
          <w:p w14:paraId="497CA1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Райт 300-НР</w:t>
            </w:r>
          </w:p>
        </w:tc>
        <w:tc>
          <w:tcPr>
            <w:tcW w:w="1409" w:type="dxa"/>
          </w:tcPr>
          <w:p w14:paraId="4D46D2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9" w:type="dxa"/>
          </w:tcPr>
          <w:p w14:paraId="310002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9" w:type="dxa"/>
          </w:tcPr>
          <w:p w14:paraId="686D2A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1409" w:type="dxa"/>
          </w:tcPr>
          <w:p w14:paraId="3EF862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w:t>
            </w:r>
          </w:p>
        </w:tc>
      </w:tr>
    </w:tbl>
    <w:p w14:paraId="750038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Хроническое невыполнение программы, продолжающееся уже ряд лет имеет место и в 29/30 году даже по старым типам самолетов, как Р-1 и И-3 строящегося уже второй год.</w:t>
      </w:r>
    </w:p>
    <w:p w14:paraId="247DFE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Общий обзор состояния Авиапромышленности</w:t>
      </w:r>
    </w:p>
    <w:p w14:paraId="108BFF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заводам и объектам производства</w:t>
      </w:r>
    </w:p>
    <w:p w14:paraId="65E6E8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Самолетостроение.</w:t>
      </w:r>
    </w:p>
    <w:p w14:paraId="667998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1.</w:t>
      </w:r>
    </w:p>
    <w:p w14:paraId="61E9D9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И-3.</w:t>
      </w:r>
    </w:p>
    <w:p w14:paraId="633BC3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за время его постройки с января 29 года и до 1.10.30 г. не был доведен до состояния удовлетворяющего все требования по устранению имевшихся в нем дефектов.</w:t>
      </w:r>
    </w:p>
    <w:p w14:paraId="06C5BA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Р-5.</w:t>
      </w:r>
    </w:p>
    <w:p w14:paraId="6AA170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пущен в производство лишь в 1929/30 г. только в небольшой серии для войсковых испытаний (30 шт.) причем сразу же требовал для введения в серийное производство (большой серии) осуществления ряда переделок.</w:t>
      </w:r>
    </w:p>
    <w:p w14:paraId="4E71BD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Р-1.</w:t>
      </w:r>
    </w:p>
    <w:p w14:paraId="7C7C94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заводе в 29/30 г. построено 55 самолетов по образцу последней серии 28/29 года и следовательно данные самолета должны были бы остаться неизменяемыми, однако, специальное испытание самолета взятого из серии 29/30 года показывает ухудшение качества.</w:t>
      </w:r>
    </w:p>
    <w:p w14:paraId="525048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И-5.</w:t>
      </w:r>
    </w:p>
    <w:p w14:paraId="6CE8C4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Производство самолетов находится в зачаточном состоянии и все сроки предъявления уже прошли.</w:t>
      </w:r>
    </w:p>
    <w:p w14:paraId="38BFDD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Предложенный ВАО метод кооперативного производства на трех заводах на практике приводит к ряду неувязок при подгонке деталей, что задерживает окончательную сборку самолета и заставляет переделывать готовую конструкцию.</w:t>
      </w:r>
    </w:p>
    <w:p w14:paraId="339880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ожидается из серийного производства перетяжеленным.</w:t>
      </w:r>
    </w:p>
    <w:p w14:paraId="7C867F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настоящее время этот самолет является лучшим нашим истребителем, немногим лишь уступающим по некоторым показателям такому например самолету как НД-37.</w:t>
      </w:r>
    </w:p>
    <w:p w14:paraId="4ED8F2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22.</w:t>
      </w:r>
    </w:p>
    <w:p w14:paraId="73D86F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 ТБ-1 и И-4</w:t>
      </w:r>
    </w:p>
    <w:p w14:paraId="512915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Состояние производства и качество продукции.</w:t>
      </w:r>
    </w:p>
    <w:p w14:paraId="30289A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 ТБ-1 и И-4.</w:t>
      </w:r>
    </w:p>
    <w:p w14:paraId="20B9CD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Удовлетворительного прочного покрытия краской нет и не выработано. Практически УВВС приходится принимать самолеты с неудовлетворительной окраской и разрешать в частях ВВС лишь подкраску облупившихся мест. Основные дефекты:</w:t>
      </w:r>
    </w:p>
    <w:p w14:paraId="13150E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ТБ-1 - плохая видимость вперед с сиденья летчика, большое давление на ручку при виражах и спиралях, вибрация хвостового оперения.</w:t>
      </w:r>
    </w:p>
    <w:p w14:paraId="29C870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И-4 - медленность перетекания бензина из верхнего бака в нижний, слабость крепления помп "АМ", неудобство положения синхронизатора, отрывы обтекателя винта, тяжелость ручного управления.</w:t>
      </w:r>
    </w:p>
    <w:p w14:paraId="098EA4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Вышеуказанные дефекты будут иметь место и в самолетах постройки 31 года.</w:t>
      </w:r>
    </w:p>
    <w:p w14:paraId="405AC8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АНТ-9 - до сих пор нет окончательно доработанного типа этого самолета, так как в связи с переменой моторов Титан на Райт, оказалось, что необоходимо переделывать хвостовое оперение. Самолет имеет основной дефект в заворачивании самолета, трудности посадки на три точки. Моторы Райт отсутствуют и безнадежно их получение из-за границы. Предполагается установка М-26, который находится в стадии опытных работ.</w:t>
      </w:r>
    </w:p>
    <w:p w14:paraId="75C903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23.</w:t>
      </w:r>
    </w:p>
    <w:p w14:paraId="3B9BEF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Самолеты - VI, MVI и У2.</w:t>
      </w:r>
    </w:p>
    <w:p w14:paraId="683769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28.</w:t>
      </w:r>
    </w:p>
    <w:p w14:paraId="30E2FD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винтов и лыж.</w:t>
      </w:r>
    </w:p>
    <w:p w14:paraId="0F1371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можно считать налаженным и установившимся и не имеющим серьезных дефектов.</w:t>
      </w:r>
    </w:p>
    <w:p w14:paraId="77EFA2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31.</w:t>
      </w:r>
    </w:p>
    <w:p w14:paraId="3F48FC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II. Состояние производства и качества продукции.</w:t>
      </w:r>
    </w:p>
    <w:p w14:paraId="6E1C63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Р1-М5.</w:t>
      </w:r>
    </w:p>
    <w:p w14:paraId="52269B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 строится в течение 8-ми лет. Однако его качество ухудшается. Летные качества самолетов неустойчивы и в большинстве находятся на низшем пределе норм техусловий.</w:t>
      </w:r>
    </w:p>
    <w:p w14:paraId="2E3528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плану развития этого завода, он предназначается в будущем году для производства самолетов Р-5, гидросамолета Савойя с постепенным переходом на гидросамолетостроение.</w:t>
      </w:r>
    </w:p>
    <w:p w14:paraId="486ED6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Моторостроение.</w:t>
      </w:r>
    </w:p>
    <w:p w14:paraId="5F20EE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минувшем производственном году авиационное моторостроение находилось в условиях переходного периода - большой перестройки.</w:t>
      </w:r>
    </w:p>
    <w:p w14:paraId="0D70D8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Завод "Большевик".</w:t>
      </w:r>
    </w:p>
    <w:p w14:paraId="3D348A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моторов М-5 "Б" 400 НР на этом заводе в истекшем году было закончено. Авиационное моторостроение на этом заводе было закончено.</w:t>
      </w:r>
    </w:p>
    <w:p w14:paraId="23A8EF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настоящее время производство авиамоторов сосредоточено исключительно в руках ВАО.</w:t>
      </w:r>
    </w:p>
    <w:p w14:paraId="22E6AC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Завод N 24.</w:t>
      </w:r>
    </w:p>
    <w:p w14:paraId="066E8C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Подавляющее количество авиамоторов в истекшем году было выпущено с этого завода.</w:t>
      </w:r>
    </w:p>
    <w:p w14:paraId="5A1B7B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Основной мотор производства этого завода - М5 400-НР старел и фактически последний год находился в серийном производстве завода.</w:t>
      </w:r>
    </w:p>
    <w:p w14:paraId="6B6AE7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Постановлением СТО заводу было предложено перейти к постройке моторов М-17.</w:t>
      </w:r>
    </w:p>
    <w:p w14:paraId="7F35B3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лицензионное строительство моторов на заводе N 24 осуществлено не было, решение о серийном производстве М-17 было отменено. И в программу текущего квартала и следующего года были включены моторы М-19, М-15 и М-26, т.е. моторы конструкции завода N 24.</w:t>
      </w:r>
    </w:p>
    <w:p w14:paraId="4A3413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Моторы М-19, М-15 и М-26 не прошли еще гос. испытания и не могут считаться моторами конструктивно доработанными.</w:t>
      </w:r>
    </w:p>
    <w:p w14:paraId="4ACD07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числа моторов, находящихся в опытном строительстве на заводе N 24 наибольшие надежды по своему настоящему состоянию подает мотор без наддува М-27 700-НР. Этот мотор и по мощности наиболее удовлетворяет нужды ВВС.</w:t>
      </w:r>
    </w:p>
    <w:p w14:paraId="36B461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М-5.</w:t>
      </w:r>
    </w:p>
    <w:p w14:paraId="411094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закончил год с перевыполнением программы по сдаче моторов. Моторы имели устойчивое качество.</w:t>
      </w:r>
    </w:p>
    <w:p w14:paraId="341736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М-17.</w:t>
      </w:r>
    </w:p>
    <w:p w14:paraId="798DF5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не справился с производством моторов М-17. Выпущенные 30 моторов имеют дефекты.</w:t>
      </w:r>
    </w:p>
    <w:p w14:paraId="560602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М-2.</w:t>
      </w:r>
    </w:p>
    <w:p w14:paraId="3F95CE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Несмотря на длительный срок производства этих моторов завод до сих пор не дает идентичной продукции.</w:t>
      </w:r>
    </w:p>
    <w:p w14:paraId="712D60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26.</w:t>
      </w:r>
    </w:p>
    <w:p w14:paraId="74ED4F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Фактически выход продукции завода N 26 (М-17 500 НР) начался только в рассматриваемом производственном году.</w:t>
      </w:r>
    </w:p>
    <w:p w14:paraId="4F1859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моторам М-17 завод выполнил программу. Моторы М-17 изготовления завода N 26 до сих пор не имели еще проверки в эксплуатации при удовлетворительных, в общем, результатах длительных испытаний на заводе. Моторы поступают на самолетостроительные заводы.</w:t>
      </w:r>
    </w:p>
    <w:p w14:paraId="7429AA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не достиг необходимой серийности в производстве.</w:t>
      </w:r>
    </w:p>
    <w:p w14:paraId="7D87FF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N 29.</w:t>
      </w:r>
    </w:p>
    <w:p w14:paraId="657338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Начиная с истекшего года с завода начался выход учебных моторов М-11 100-НР.</w:t>
      </w:r>
    </w:p>
    <w:p w14:paraId="1039AF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Проведенные войсковые испытания самолетов с моторами этого типа дали неудовлетворительные результаты.</w:t>
      </w:r>
    </w:p>
    <w:p w14:paraId="1020C3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Основной объект производства этого завода в течение ряда последних лет, начиная с 1923-24 г. - блочный мотор М-6 - устарел и фактически был закончен производством в отчетном году.</w:t>
      </w:r>
    </w:p>
    <w:p w14:paraId="53EDF4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Однако, одновременно завод получил заказ на незначительно модифицированный М-6 - мотор М6 т. 12 для установки на танки.</w:t>
      </w:r>
    </w:p>
    <w:p w14:paraId="6AB8F6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Как основной объект производства завода на будущее время был выбран мощный мотор воздушного охлаждения М-22 480 НР, производство которого было начато, как лицензионного мотора Ю-VI.</w:t>
      </w:r>
    </w:p>
    <w:p w14:paraId="54E50E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отчетном году мотор М-22 испытан не был и в какой мере завод справится с этим лицензионным строительством - сказать в настоящее время нельзя.</w:t>
      </w:r>
    </w:p>
    <w:p w14:paraId="725AE3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М-6.</w:t>
      </w:r>
    </w:p>
    <w:p w14:paraId="23E5A9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этих моторов можно считать наладившимся.</w:t>
      </w:r>
    </w:p>
    <w:p w14:paraId="3CB690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М-11.</w:t>
      </w:r>
    </w:p>
    <w:p w14:paraId="42E365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Войсковые испытания дали неудовлетворительные результаты. Особенно отрицательно отражается на самолете тряска моторов.</w:t>
      </w:r>
    </w:p>
    <w:p w14:paraId="28B745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 М-22.</w:t>
      </w:r>
    </w:p>
    <w:p w14:paraId="19E44C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Испытание и выпуск головной серии еще не проведено.</w:t>
      </w:r>
    </w:p>
    <w:p w14:paraId="665961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Степень обеспечения промышленностью моторного парка.</w:t>
      </w:r>
    </w:p>
    <w:p w14:paraId="0E0C2E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общего поступления моторов нашей промышленностью было покрыто менее 50%.</w:t>
      </w:r>
    </w:p>
    <w:p w14:paraId="04594A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числа мощных моторов наши заводы дали 120 моторов или 14,4%.</w:t>
      </w:r>
    </w:p>
    <w:p w14:paraId="707B3E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Основное поступление моторов советского изготовления шло за счет моторов М-5 400 НР, моторов устаревшего типа, снимаемого сейчас с производства.</w:t>
      </w:r>
    </w:p>
    <w:p w14:paraId="432AC2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Общее заключение.</w:t>
      </w:r>
    </w:p>
    <w:p w14:paraId="5A7EFF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Прошедший производственный год был в известной мере переломным в развитии авиапромышленности, когда с одной стороны заканчивалось производство старых типов самолетов и моторов (У-1, Р-1, И-3, М-5, М-6, М-2) и происходил переход на производство новых более современных конструкций (Р-5, И-5, И-4, ТБ-1, АНТ-9, М-17, М-11), с другой стороны все наши заводы подготавливались к резкому увеличению выпуска продукции в связи с увеличившимися потребностями снабжения ВВС материальной частью. (3197,2-39).</w:t>
      </w:r>
    </w:p>
    <w:p w14:paraId="5515BB03" w14:textId="77777777" w:rsidR="00537E5F" w:rsidRPr="00507A31" w:rsidRDefault="00537E5F" w:rsidP="00507A31">
      <w:pPr>
        <w:autoSpaceDE w:val="0"/>
        <w:autoSpaceDN w:val="0"/>
        <w:adjustRightInd w:val="0"/>
        <w:jc w:val="both"/>
        <w:rPr>
          <w:color w:val="000000" w:themeColor="text1"/>
          <w:sz w:val="16"/>
          <w:szCs w:val="16"/>
        </w:rPr>
      </w:pPr>
    </w:p>
    <w:p w14:paraId="3DB4543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A0F413B" w14:textId="77777777" w:rsidR="00537E5F" w:rsidRPr="00507A31" w:rsidRDefault="00537E5F" w:rsidP="00507A31">
      <w:pPr>
        <w:autoSpaceDE w:val="0"/>
        <w:autoSpaceDN w:val="0"/>
        <w:adjustRightInd w:val="0"/>
        <w:jc w:val="both"/>
        <w:rPr>
          <w:iCs/>
          <w:color w:val="000000" w:themeColor="text1"/>
          <w:sz w:val="16"/>
          <w:szCs w:val="16"/>
        </w:rPr>
      </w:pPr>
    </w:p>
    <w:p w14:paraId="464655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8 декабря 1930 года УВМС заводу "Большевик" был выдан заказ на разработку проекта, чертежей и изготовление опытного образца 130/45-мм установки для подводных лодок с углом возвышения до +30 и для надводных кораблей с углом возвышения +45 со сроком изготовления опытного образца к 1 марта 1932 года, но завод установил срок готовности 1 октября 1932 года (3861).</w:t>
      </w:r>
    </w:p>
    <w:p w14:paraId="1343D8F3" w14:textId="77777777" w:rsidR="00537E5F" w:rsidRPr="00507A31" w:rsidRDefault="00537E5F" w:rsidP="00507A31">
      <w:pPr>
        <w:autoSpaceDE w:val="0"/>
        <w:autoSpaceDN w:val="0"/>
        <w:adjustRightInd w:val="0"/>
        <w:jc w:val="both"/>
        <w:rPr>
          <w:color w:val="000000" w:themeColor="text1"/>
          <w:sz w:val="16"/>
          <w:szCs w:val="16"/>
        </w:rPr>
      </w:pPr>
    </w:p>
    <w:p w14:paraId="2CE691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декабря 1930 года УВМС направил заводу «Большевик» заказ на разработку рабочих чертежей и изготовление опытного образца новой 130-мм артустановки для лидеров со сро­ком изготовления опытного образца к 1 мар­та 1932 года, однако завод принял его лишь со сроком готовности этого образца (полу­чившего обозначение Б-13) к 1 октября 1932 года. Для повышения качества проектирова­ния и сокращения сроков подготовки черте­жей опытного образца к работе был под­ключен АНИМИ, который взял на себя техни­ческое руководство и координацию вопросов по разработке и созданию 130-мм артил­лерийской установки Б-13. В мае 1932 года УВМС выдало заводу дополнительное ТТЗ, согласно которому длину ствола увеличили до 50 калибров, клиновой затвор заменили поршневым и ввели картузное заряжание. Большой вклад в разработку Б-13 вне­сли конструкторы КБ завода С.А.Замараев, С.А.Морозов, Б.А.Левер, В.И.Кудряшов и В.М.Розенберг. Несмотря на усилия дос­таточно сильного коллектива квалифициро­ванных специалистов, создание новой артсистемы затянулось. Изготовление тела орудия и станка раз­местили на заводе «Большевик» в первом квартале 1 932 года. Все рабочие чертежи были закончены к маю того же года и запущены в производство; исключение состав­ляли чертежи досылателя, которые много­кратно менялись, что приводило к многочис­ленным изменениям в казеннике и затворе: на 1 октября 1933 года готовность системы составляла 50%, а по досылателю еще от­сутствовали чертежи. Заводские испытания опытного образца Б-13, при большой некомплектности орудия, начались лишь в апреле 1 934 года; из-за спешки они проводились по сокращенной программе. В ходе испытаний выявился це­лый ряд существенных недостатков: досылатель не отработан, низкая скорострель­ность (10 выстр./мин), малая живучесть ствола (150—200 выстрелов), сложная, часто выходившая из строя автоматика и полуавтоматика. После срыва испытаний орудие вернули на завод на доработку. Повторные испытания опытного образ­ца артсистемы проводились уже в апреле 1 935 года, хотя тогда она все еще не была полностью укомплектована: отсутствовали щит, штатная система эжекции и так далее; кроме того, орудие не было уравновешено на станке. При отстреле выяснилось, что досылатель не удовлетворяет техническим тре­бованиям, так как его работа зависела от длины отката. Но командование ВМС торопилось с введением лидеров в строй и поэтому, не­смотря на имевшиеся недостатки, после проведения испытаний артиллерийскую ус­тановку все же приняли на вооружение и в 1935 году запустили в серийное производ­ство. Из 12 палубных установок Б-13 1-й серии, еще не освоенных промышленнос­тью, но сданных заводом «Большевик» фло­ту в том же году, пять установили на спу­щенный на воду еще два года назад голов­ной лидер «Ленинград». В результате эти артустановки длительное время дорабаты­вались как на полигоне, так и на кораблях: в августе 1 935 года, еще до начала их поли­гонных испытаний, приступили к корабель­ным. Полигонные испытания Б-13 были за­вершены в марте, а корабельные — летом 1 936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246AE608" w14:textId="77777777" w:rsidR="00537E5F" w:rsidRPr="00507A31" w:rsidRDefault="00537E5F" w:rsidP="00507A31">
      <w:pPr>
        <w:autoSpaceDE w:val="0"/>
        <w:autoSpaceDN w:val="0"/>
        <w:adjustRightInd w:val="0"/>
        <w:jc w:val="both"/>
        <w:rPr>
          <w:color w:val="000000" w:themeColor="text1"/>
          <w:sz w:val="16"/>
          <w:szCs w:val="16"/>
        </w:rPr>
      </w:pPr>
    </w:p>
    <w:p w14:paraId="340774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декабря 1930 г. Уральское отделение Теплотехнического института имени профессоров В. И. Гриневецкого и К. В. Кирша, созданное в мае 1930, В связи с переименованием института приказом ВСНХ СССР становится Уральским отделением Всесоюзного теплотехнического института (ВТИ) им. Ф. Э. Дзержинского. 5 февраля 1940 г. переименовано в Восточный научно-исследовательский институт топливоиспользования (ВНИИТ). Приказом Министерства черной металлургии СССР от 20 июля 1956 г. институт преобразован во ВНИИМТ (12102).</w:t>
      </w:r>
    </w:p>
    <w:p w14:paraId="1D0E6504" w14:textId="77777777" w:rsidR="00B36B61" w:rsidRPr="00507A31" w:rsidRDefault="00B36B61" w:rsidP="00507A31">
      <w:pPr>
        <w:autoSpaceDE w:val="0"/>
        <w:autoSpaceDN w:val="0"/>
        <w:adjustRightInd w:val="0"/>
        <w:jc w:val="both"/>
        <w:rPr>
          <w:iCs/>
          <w:color w:val="000000" w:themeColor="text1"/>
          <w:sz w:val="16"/>
          <w:szCs w:val="16"/>
        </w:rPr>
      </w:pPr>
    </w:p>
    <w:p w14:paraId="4C461B9A" w14:textId="77777777" w:rsidR="00F118FC" w:rsidRPr="00507A31" w:rsidRDefault="00F118FC"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389DB1EC" w14:textId="77777777" w:rsidR="00F118FC" w:rsidRPr="00507A31" w:rsidRDefault="00F118FC" w:rsidP="00507A31">
      <w:pPr>
        <w:autoSpaceDE w:val="0"/>
        <w:autoSpaceDN w:val="0"/>
        <w:adjustRightInd w:val="0"/>
        <w:jc w:val="both"/>
        <w:rPr>
          <w:iCs/>
          <w:color w:val="000000" w:themeColor="text1"/>
          <w:sz w:val="16"/>
          <w:szCs w:val="16"/>
        </w:rPr>
      </w:pPr>
    </w:p>
    <w:p w14:paraId="14BF6F72" w14:textId="77777777" w:rsidR="00F118FC" w:rsidRPr="00507A31" w:rsidRDefault="00F118FC" w:rsidP="00507A31">
      <w:pPr>
        <w:jc w:val="both"/>
        <w:rPr>
          <w:color w:val="000000" w:themeColor="text1"/>
          <w:sz w:val="16"/>
          <w:szCs w:val="16"/>
        </w:rPr>
      </w:pPr>
      <w:r w:rsidRPr="00507A31">
        <w:rPr>
          <w:color w:val="000000" w:themeColor="text1"/>
          <w:sz w:val="16"/>
          <w:szCs w:val="16"/>
        </w:rPr>
        <w:t>8 декабря 1930 г.</w:t>
      </w:r>
    </w:p>
    <w:p w14:paraId="0F23318C" w14:textId="77777777" w:rsidR="00F118FC" w:rsidRPr="00507A31" w:rsidRDefault="00F118FC" w:rsidP="00507A31">
      <w:pPr>
        <w:jc w:val="both"/>
        <w:rPr>
          <w:color w:val="000000" w:themeColor="text1"/>
          <w:sz w:val="16"/>
          <w:szCs w:val="16"/>
        </w:rPr>
      </w:pPr>
      <w:r w:rsidRPr="00507A31">
        <w:rPr>
          <w:color w:val="000000" w:themeColor="text1"/>
          <w:sz w:val="16"/>
          <w:szCs w:val="16"/>
        </w:rPr>
        <w:t>Постановление ЦИК СССР об изменении приговора Верховного суда Союза ССР по «делу “Промпартии”» от 8 декабря 1930 г.</w:t>
      </w:r>
    </w:p>
    <w:p w14:paraId="54308620" w14:textId="77777777" w:rsidR="00F118FC" w:rsidRPr="00507A31" w:rsidRDefault="00F118FC" w:rsidP="00507A31">
      <w:pPr>
        <w:jc w:val="both"/>
        <w:rPr>
          <w:color w:val="000000" w:themeColor="text1"/>
          <w:sz w:val="16"/>
          <w:szCs w:val="16"/>
        </w:rPr>
      </w:pPr>
      <w:r w:rsidRPr="00507A31">
        <w:rPr>
          <w:color w:val="000000" w:themeColor="text1"/>
          <w:sz w:val="16"/>
          <w:szCs w:val="16"/>
        </w:rPr>
        <w:t>Источник: </w:t>
      </w:r>
    </w:p>
    <w:p w14:paraId="6496514A" w14:textId="77777777" w:rsidR="00F118FC" w:rsidRPr="00507A31" w:rsidRDefault="00F118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B971A6" w14:textId="77777777" w:rsidR="00F118FC" w:rsidRPr="00507A31" w:rsidRDefault="00F118FC" w:rsidP="00507A31">
      <w:pPr>
        <w:jc w:val="both"/>
        <w:rPr>
          <w:color w:val="000000" w:themeColor="text1"/>
          <w:sz w:val="16"/>
          <w:szCs w:val="16"/>
        </w:rPr>
      </w:pPr>
      <w:r w:rsidRPr="00507A31">
        <w:rPr>
          <w:color w:val="000000" w:themeColor="text1"/>
          <w:sz w:val="16"/>
          <w:szCs w:val="16"/>
        </w:rPr>
        <w:t>от 8 декабря 1930 г.</w:t>
      </w:r>
    </w:p>
    <w:p w14:paraId="6649F17A" w14:textId="77777777" w:rsidR="00F118FC" w:rsidRPr="00507A31" w:rsidRDefault="00F118FC" w:rsidP="00507A31">
      <w:pPr>
        <w:jc w:val="both"/>
        <w:rPr>
          <w:color w:val="000000" w:themeColor="text1"/>
          <w:sz w:val="16"/>
          <w:szCs w:val="16"/>
        </w:rPr>
      </w:pPr>
      <w:r w:rsidRPr="00507A31">
        <w:rPr>
          <w:color w:val="000000" w:themeColor="text1"/>
          <w:sz w:val="16"/>
          <w:szCs w:val="16"/>
        </w:rPr>
        <w:t>ПОСТАНОВЛЕНИЕ</w:t>
      </w:r>
    </w:p>
    <w:p w14:paraId="3DC1BF0B" w14:textId="77777777" w:rsidR="00F118FC" w:rsidRPr="00507A31" w:rsidRDefault="00F118FC" w:rsidP="00507A31">
      <w:pPr>
        <w:jc w:val="both"/>
        <w:rPr>
          <w:color w:val="000000" w:themeColor="text1"/>
          <w:sz w:val="16"/>
          <w:szCs w:val="16"/>
        </w:rPr>
      </w:pPr>
      <w:r w:rsidRPr="00507A31">
        <w:rPr>
          <w:color w:val="000000" w:themeColor="text1"/>
          <w:sz w:val="16"/>
          <w:szCs w:val="16"/>
        </w:rPr>
        <w:t>ПРЕЗИДИУМА ЦЕНТРАЛЬНОГО ИСПОЛНИТЕЛЬНОГО</w:t>
      </w:r>
    </w:p>
    <w:p w14:paraId="4CCAEE26" w14:textId="77777777" w:rsidR="00F118FC" w:rsidRPr="00507A31" w:rsidRDefault="00F118FC" w:rsidP="00507A31">
      <w:pPr>
        <w:jc w:val="both"/>
        <w:rPr>
          <w:color w:val="000000" w:themeColor="text1"/>
          <w:sz w:val="16"/>
          <w:szCs w:val="16"/>
        </w:rPr>
      </w:pPr>
      <w:r w:rsidRPr="00507A31">
        <w:rPr>
          <w:color w:val="000000" w:themeColor="text1"/>
          <w:sz w:val="16"/>
          <w:szCs w:val="16"/>
        </w:rPr>
        <w:t>КОМИТЕТА СОЮЗА ССР.</w:t>
      </w:r>
    </w:p>
    <w:p w14:paraId="201F09E3" w14:textId="77777777" w:rsidR="00F118FC" w:rsidRPr="00507A31" w:rsidRDefault="00F118FC" w:rsidP="00507A31">
      <w:pPr>
        <w:jc w:val="both"/>
        <w:rPr>
          <w:color w:val="000000" w:themeColor="text1"/>
          <w:sz w:val="16"/>
          <w:szCs w:val="16"/>
        </w:rPr>
      </w:pPr>
      <w:r w:rsidRPr="00507A31">
        <w:rPr>
          <w:color w:val="000000" w:themeColor="text1"/>
          <w:sz w:val="16"/>
          <w:szCs w:val="16"/>
        </w:rPr>
        <w:t>Заслушав поступившие 8 сего декабря ходатайства о помиловании приговоренных Специальным присутствием Верховного суда Союза ССР по делу контрреволюционной организации, так называемой «Промпартии», к высшей мере социальной защиты — расстрелу Рамзина Леонида Константиновича, Чарновского Николая Францевича, Калинникова</w:t>
      </w:r>
    </w:p>
    <w:p w14:paraId="61CB1A63" w14:textId="77777777" w:rsidR="00F118FC" w:rsidRPr="00507A31" w:rsidRDefault="00F118FC" w:rsidP="00507A31">
      <w:pPr>
        <w:jc w:val="both"/>
        <w:rPr>
          <w:color w:val="000000" w:themeColor="text1"/>
          <w:sz w:val="16"/>
          <w:szCs w:val="16"/>
        </w:rPr>
      </w:pPr>
      <w:r w:rsidRPr="00507A31">
        <w:rPr>
          <w:color w:val="000000" w:themeColor="text1"/>
          <w:sz w:val="16"/>
          <w:szCs w:val="16"/>
        </w:rPr>
        <w:t>Ивана Андреевича, Ларичева Виктора Алексеевича и Федотова Александра Александровича и приговоренных к 10-летнему лишению свободы Очкина Владимира Ивановича и Куприянова Сергея Викторовича</w:t>
      </w:r>
    </w:p>
    <w:p w14:paraId="47C02866" w14:textId="77777777" w:rsidR="00F118FC" w:rsidRPr="00507A31" w:rsidRDefault="00F118FC" w:rsidP="00507A31">
      <w:pPr>
        <w:jc w:val="both"/>
        <w:rPr>
          <w:color w:val="000000" w:themeColor="text1"/>
          <w:sz w:val="16"/>
          <w:szCs w:val="16"/>
        </w:rPr>
      </w:pPr>
      <w:r w:rsidRPr="00507A31">
        <w:rPr>
          <w:color w:val="000000" w:themeColor="text1"/>
          <w:sz w:val="16"/>
          <w:szCs w:val="16"/>
        </w:rPr>
        <w:t>и приняв во внимание,</w:t>
      </w:r>
    </w:p>
    <w:p w14:paraId="31DAA221" w14:textId="77777777" w:rsidR="00F118FC" w:rsidRPr="00507A31" w:rsidRDefault="00F118FC" w:rsidP="00507A31">
      <w:pPr>
        <w:jc w:val="both"/>
        <w:rPr>
          <w:color w:val="000000" w:themeColor="text1"/>
          <w:sz w:val="16"/>
          <w:szCs w:val="16"/>
        </w:rPr>
      </w:pPr>
      <w:r w:rsidRPr="00507A31">
        <w:rPr>
          <w:color w:val="000000" w:themeColor="text1"/>
          <w:sz w:val="16"/>
          <w:szCs w:val="16"/>
        </w:rPr>
        <w:t>1)  что осужденные не только сознались и раскаялись в совершенных ими преступлениях, но своими показаниями на предварительном и судебном следствии разоружили свою контрреволюционную организацию, явившуюся агентурой и исполнительницей директив интервенционистских и военных кругов правящей буржуазии Франции и их придатка в виде «Торгпрома» — объединения бывших крупных русских капиталистов в Париже;</w:t>
      </w:r>
    </w:p>
    <w:p w14:paraId="2B8A93FF" w14:textId="77777777" w:rsidR="00F118FC" w:rsidRPr="00507A31" w:rsidRDefault="00F118FC" w:rsidP="00507A31">
      <w:pPr>
        <w:jc w:val="both"/>
        <w:rPr>
          <w:color w:val="000000" w:themeColor="text1"/>
          <w:sz w:val="16"/>
          <w:szCs w:val="16"/>
        </w:rPr>
      </w:pPr>
      <w:r w:rsidRPr="00507A31">
        <w:rPr>
          <w:color w:val="000000" w:themeColor="text1"/>
          <w:sz w:val="16"/>
          <w:szCs w:val="16"/>
        </w:rPr>
        <w:t>2)  что советская власть не может руководствоваться вообще чувством мести, в особенности в отношении обезвреженных, сознавшихся и раскаявшихся преступников, -</w:t>
      </w:r>
    </w:p>
    <w:p w14:paraId="7E5C6677" w14:textId="77777777" w:rsidR="00F118FC" w:rsidRPr="00507A31" w:rsidRDefault="00F118FC" w:rsidP="00507A31">
      <w:pPr>
        <w:jc w:val="both"/>
        <w:rPr>
          <w:color w:val="000000" w:themeColor="text1"/>
          <w:sz w:val="16"/>
          <w:szCs w:val="16"/>
        </w:rPr>
      </w:pPr>
      <w:r w:rsidRPr="00507A31">
        <w:rPr>
          <w:color w:val="000000" w:themeColor="text1"/>
          <w:sz w:val="16"/>
          <w:szCs w:val="16"/>
        </w:rPr>
        <w:t>Президиум Центрального исполнительного комитета Союза ССР постановляет:</w:t>
      </w:r>
    </w:p>
    <w:p w14:paraId="39D3D25A" w14:textId="77777777" w:rsidR="00F118FC" w:rsidRPr="00507A31" w:rsidRDefault="00F118FC" w:rsidP="00507A31">
      <w:pPr>
        <w:jc w:val="both"/>
        <w:rPr>
          <w:color w:val="000000" w:themeColor="text1"/>
          <w:sz w:val="16"/>
          <w:szCs w:val="16"/>
        </w:rPr>
      </w:pPr>
      <w:r w:rsidRPr="00507A31">
        <w:rPr>
          <w:color w:val="000000" w:themeColor="text1"/>
          <w:sz w:val="16"/>
          <w:szCs w:val="16"/>
        </w:rPr>
        <w:t>1.  Заменить осужденным к высшей мере социальной защиты — расстрелу Рамзину Леониду Константиновичу, Чарновскому Николаю Францевичу, Калинникову Ивану Андреевичу, Ларичеву Виктору Алексеевичу и Федотову Александру Александровичу расстрел лишением свободы на десять лет с поражением в правах сроком на пять лет и с оставлением приговора Верховного суда в отношении конфискации имущества.</w:t>
      </w:r>
    </w:p>
    <w:p w14:paraId="0E398890" w14:textId="77777777" w:rsidR="00F118FC" w:rsidRPr="00507A31" w:rsidRDefault="00F118FC" w:rsidP="00507A31">
      <w:pPr>
        <w:jc w:val="both"/>
        <w:rPr>
          <w:color w:val="000000" w:themeColor="text1"/>
          <w:sz w:val="16"/>
          <w:szCs w:val="16"/>
        </w:rPr>
      </w:pPr>
      <w:r w:rsidRPr="00507A31">
        <w:rPr>
          <w:color w:val="000000" w:themeColor="text1"/>
          <w:sz w:val="16"/>
          <w:szCs w:val="16"/>
        </w:rPr>
        <w:t>2.  Заменить осужденным Очкину Владимиру Ивановичу, Ситнину Ксенофонту Васильевичу и Куприянову Сергею Викторовичу определенную им Верховным судом меру социальной защиты — десятилетнее лишение свободы — лишением свободы на 8 лет, оставив в силе все остальные определенные приговором Верховного суда последствия — конфискация имущества и поражение в правах.</w:t>
      </w:r>
    </w:p>
    <w:p w14:paraId="5038A2D3" w14:textId="77777777" w:rsidR="00F118FC" w:rsidRPr="00507A31" w:rsidRDefault="00F118FC" w:rsidP="00507A31">
      <w:pPr>
        <w:jc w:val="both"/>
        <w:rPr>
          <w:color w:val="000000" w:themeColor="text1"/>
          <w:sz w:val="16"/>
          <w:szCs w:val="16"/>
        </w:rPr>
      </w:pPr>
      <w:r w:rsidRPr="00507A31">
        <w:rPr>
          <w:color w:val="000000" w:themeColor="text1"/>
          <w:sz w:val="16"/>
          <w:szCs w:val="16"/>
        </w:rPr>
        <w:t>Председатель Центрального исполнительного</w:t>
      </w:r>
    </w:p>
    <w:p w14:paraId="27CB606E" w14:textId="77777777" w:rsidR="00F118FC" w:rsidRPr="00507A31" w:rsidRDefault="00F118FC" w:rsidP="00507A31">
      <w:pPr>
        <w:jc w:val="both"/>
        <w:rPr>
          <w:color w:val="000000" w:themeColor="text1"/>
          <w:sz w:val="16"/>
          <w:szCs w:val="16"/>
        </w:rPr>
      </w:pPr>
      <w:r w:rsidRPr="00507A31">
        <w:rPr>
          <w:color w:val="000000" w:themeColor="text1"/>
          <w:sz w:val="16"/>
          <w:szCs w:val="16"/>
        </w:rPr>
        <w:t>Комитета Союза ССР М. КАЛИНИН.</w:t>
      </w:r>
    </w:p>
    <w:p w14:paraId="403F2564" w14:textId="77777777" w:rsidR="00F118FC" w:rsidRPr="00507A31" w:rsidRDefault="00F118FC" w:rsidP="00507A31">
      <w:pPr>
        <w:jc w:val="both"/>
        <w:rPr>
          <w:color w:val="000000" w:themeColor="text1"/>
          <w:sz w:val="16"/>
          <w:szCs w:val="16"/>
        </w:rPr>
      </w:pPr>
      <w:r w:rsidRPr="00507A31">
        <w:rPr>
          <w:color w:val="000000" w:themeColor="text1"/>
          <w:sz w:val="16"/>
          <w:szCs w:val="16"/>
        </w:rPr>
        <w:t>Секретарь Центрального исполнительного</w:t>
      </w:r>
    </w:p>
    <w:p w14:paraId="518A4777" w14:textId="77777777" w:rsidR="00F118FC" w:rsidRPr="00507A31" w:rsidRDefault="00F118FC" w:rsidP="00507A31">
      <w:pPr>
        <w:jc w:val="both"/>
        <w:rPr>
          <w:color w:val="000000" w:themeColor="text1"/>
          <w:sz w:val="16"/>
          <w:szCs w:val="16"/>
        </w:rPr>
      </w:pPr>
      <w:r w:rsidRPr="00507A31">
        <w:rPr>
          <w:color w:val="000000" w:themeColor="text1"/>
          <w:sz w:val="16"/>
          <w:szCs w:val="16"/>
        </w:rPr>
        <w:t>Комитета Союза ССР А. ЕНУКИДЗЕ.</w:t>
      </w:r>
    </w:p>
    <w:p w14:paraId="40E48DC7" w14:textId="77777777" w:rsidR="00F118FC" w:rsidRPr="00507A31" w:rsidRDefault="00F118FC" w:rsidP="00507A31">
      <w:pPr>
        <w:jc w:val="both"/>
        <w:rPr>
          <w:color w:val="000000" w:themeColor="text1"/>
          <w:sz w:val="16"/>
          <w:szCs w:val="16"/>
        </w:rPr>
      </w:pPr>
      <w:r w:rsidRPr="00507A31">
        <w:rPr>
          <w:color w:val="000000" w:themeColor="text1"/>
          <w:sz w:val="16"/>
          <w:szCs w:val="16"/>
        </w:rPr>
        <w:t>Москва, Кремль, 8 декабря 1930 г.</w:t>
      </w:r>
    </w:p>
    <w:p w14:paraId="1B1FD433" w14:textId="77777777" w:rsidR="00F118FC" w:rsidRPr="00507A31" w:rsidRDefault="00F118FC" w:rsidP="00507A31">
      <w:pPr>
        <w:jc w:val="both"/>
        <w:rPr>
          <w:color w:val="000000" w:themeColor="text1"/>
          <w:sz w:val="16"/>
          <w:szCs w:val="16"/>
        </w:rPr>
      </w:pPr>
      <w:r w:rsidRPr="00507A31">
        <w:rPr>
          <w:color w:val="000000" w:themeColor="text1"/>
          <w:sz w:val="16"/>
          <w:szCs w:val="16"/>
        </w:rPr>
        <w:t>Д. 356. Л. 52. Типографский экземпляр того времени, вырезка из газеты «Правда», наклеенная на лист простой бумаги. Вверху напечатано «“ПРАВДА” от 9.ХII.30 г. № 338» (18656).</w:t>
      </w:r>
    </w:p>
    <w:p w14:paraId="2F1C7841" w14:textId="77777777" w:rsidR="00F118FC" w:rsidRPr="00507A31" w:rsidRDefault="00F118FC" w:rsidP="00507A31">
      <w:pPr>
        <w:jc w:val="both"/>
        <w:rPr>
          <w:color w:val="000000" w:themeColor="text1"/>
          <w:sz w:val="16"/>
          <w:szCs w:val="16"/>
        </w:rPr>
      </w:pPr>
    </w:p>
    <w:p w14:paraId="723E1347" w14:textId="77777777" w:rsidR="00820F94" w:rsidRPr="00507A31" w:rsidRDefault="00820F94" w:rsidP="00507A31">
      <w:pPr>
        <w:jc w:val="both"/>
        <w:rPr>
          <w:bCs/>
          <w:color w:val="000000" w:themeColor="text1"/>
          <w:sz w:val="16"/>
          <w:szCs w:val="16"/>
        </w:rPr>
      </w:pPr>
      <w:r w:rsidRPr="00507A31">
        <w:rPr>
          <w:color w:val="000000" w:themeColor="text1"/>
          <w:sz w:val="16"/>
          <w:szCs w:val="16"/>
        </w:rPr>
        <w:t>8 декабря 1930 г.</w:t>
      </w:r>
    </w:p>
    <w:p w14:paraId="52767770" w14:textId="77777777" w:rsidR="00820F94" w:rsidRPr="00507A31" w:rsidRDefault="00820F94" w:rsidP="00507A31">
      <w:pPr>
        <w:jc w:val="both"/>
        <w:rPr>
          <w:bCs/>
          <w:color w:val="000000" w:themeColor="text1"/>
          <w:sz w:val="16"/>
          <w:szCs w:val="16"/>
        </w:rPr>
      </w:pPr>
      <w:r w:rsidRPr="00507A31">
        <w:rPr>
          <w:color w:val="000000" w:themeColor="text1"/>
          <w:sz w:val="16"/>
          <w:szCs w:val="16"/>
        </w:rPr>
        <w:t>Запись беседы секретаря ВЦСПС А. К. Аболина с делегацией рабочих Харьковских предприятий, прибывших на процесс «Промпартии». 8 декабря 1930 г.</w:t>
      </w:r>
    </w:p>
    <w:p w14:paraId="25D0EC37" w14:textId="77777777" w:rsidR="00820F94" w:rsidRPr="00507A31" w:rsidRDefault="00820F94" w:rsidP="00507A31">
      <w:pPr>
        <w:jc w:val="both"/>
        <w:rPr>
          <w:bCs/>
          <w:color w:val="000000" w:themeColor="text1"/>
          <w:sz w:val="16"/>
          <w:szCs w:val="16"/>
        </w:rPr>
      </w:pPr>
      <w:r w:rsidRPr="00507A31">
        <w:rPr>
          <w:bCs/>
          <w:color w:val="000000" w:themeColor="text1"/>
          <w:sz w:val="16"/>
          <w:szCs w:val="16"/>
        </w:rPr>
        <w:t>Источник: </w:t>
      </w:r>
    </w:p>
    <w:p w14:paraId="5B02BC5E" w14:textId="77777777" w:rsidR="00820F94" w:rsidRPr="00507A31" w:rsidRDefault="00820F9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3013971" w14:textId="77777777" w:rsidR="00820F94" w:rsidRPr="00507A31" w:rsidRDefault="00820F94" w:rsidP="00507A31">
      <w:pPr>
        <w:pStyle w:val="rteright"/>
        <w:spacing w:before="0" w:after="0"/>
        <w:jc w:val="both"/>
        <w:rPr>
          <w:color w:val="000000" w:themeColor="text1"/>
          <w:sz w:val="16"/>
          <w:szCs w:val="16"/>
        </w:rPr>
      </w:pPr>
      <w:r w:rsidRPr="00507A31">
        <w:rPr>
          <w:color w:val="000000" w:themeColor="text1"/>
          <w:sz w:val="16"/>
          <w:szCs w:val="16"/>
        </w:rPr>
        <w:t>8 декабря 1930 г.</w:t>
      </w:r>
    </w:p>
    <w:p w14:paraId="31056EFB" w14:textId="77777777" w:rsidR="00820F94" w:rsidRPr="00507A31" w:rsidRDefault="00820F94" w:rsidP="00507A31">
      <w:pPr>
        <w:pStyle w:val="rtecenter"/>
        <w:spacing w:before="0" w:after="0"/>
        <w:jc w:val="both"/>
        <w:rPr>
          <w:color w:val="000000" w:themeColor="text1"/>
          <w:sz w:val="16"/>
          <w:szCs w:val="16"/>
        </w:rPr>
      </w:pPr>
      <w:r w:rsidRPr="00507A31">
        <w:rPr>
          <w:color w:val="000000" w:themeColor="text1"/>
          <w:sz w:val="16"/>
          <w:szCs w:val="16"/>
        </w:rPr>
        <w:t>Беседа секретаря ВЦСПС т. Аболина с делегацией Харьковских</w:t>
      </w:r>
    </w:p>
    <w:p w14:paraId="387F5F3D" w14:textId="77777777" w:rsidR="00820F94" w:rsidRPr="00507A31" w:rsidRDefault="00820F94" w:rsidP="00507A31">
      <w:pPr>
        <w:pStyle w:val="rtecenter"/>
        <w:spacing w:before="0" w:after="0"/>
        <w:jc w:val="both"/>
        <w:rPr>
          <w:color w:val="000000" w:themeColor="text1"/>
          <w:sz w:val="16"/>
          <w:szCs w:val="16"/>
        </w:rPr>
      </w:pPr>
      <w:r w:rsidRPr="00507A31">
        <w:rPr>
          <w:color w:val="000000" w:themeColor="text1"/>
          <w:sz w:val="16"/>
          <w:szCs w:val="16"/>
        </w:rPr>
        <w:lastRenderedPageBreak/>
        <w:t>предприятий, прибывших на процесс «Промпартии» 8 декабря 1930 г.</w:t>
      </w:r>
    </w:p>
    <w:p w14:paraId="097568A7"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т. Тараник (Харьковский паровозостроит. завод). 16.000 рабочих ХПЗ поручили мне передать, что мы требуем расстрела вредителей. В ответ интервентам мы объявили «день штурма», заработок отчислили на оборону. Соревнуется 6.838 чел. Самозакрепилось 39,4 % раб., инжен. — 31,3 %.</w:t>
      </w:r>
    </w:p>
    <w:p w14:paraId="783C78B3"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Промфинплан на 1930 г. мы выполнили полностью. В этом квартале тракторный цех выполнил программу на 80,4 %</w:t>
      </w:r>
      <w:r w:rsidRPr="00507A31">
        <w:rPr>
          <w:color w:val="000000" w:themeColor="text1"/>
          <w:sz w:val="16"/>
          <w:szCs w:val="16"/>
          <w:vertAlign w:val="superscript"/>
        </w:rPr>
        <w:t>в</w:t>
      </w:r>
      <w:r w:rsidRPr="00507A31">
        <w:rPr>
          <w:color w:val="000000" w:themeColor="text1"/>
          <w:sz w:val="16"/>
          <w:szCs w:val="16"/>
        </w:rPr>
        <w:t>. Это вселило тревогу. Мы сейчас взялись за обнаружение виновных. Выяснилось, что имеются конкретные виновники, сорвавшие промплан неподачей деталей. Установив виновников и причины мы приступили к их устранению и к ликвидации прорыва.</w:t>
      </w:r>
    </w:p>
    <w:p w14:paraId="42EF6769"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Махленко («Свет шахтера»). Приговор наших рабочих — расстрелять. Теперь бьем по корням вредительства — по неполадкам. За 1930 г. мы выполнили промплан на 101 %.</w:t>
      </w:r>
    </w:p>
    <w:p w14:paraId="755EEEB3"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Боев (Основнянский узел Донецкой ж. д.). Процесс «Промпартии» всколыхнул всех рабочих. В ответ врагам мы включились в конкурс предприятий, обещаем ВЦСПС план перевозок выполнить, а также выполнить производственную] программу наших предприятий. Когда начали борьбу с прорывами, то у нас почти не было рабочих, которые бы не проявили своего участия. Жены рабочих работали на ликвидации прорыва с таким энтузиазмом, который трудно поддается описанию. Проделана огромная работа по разгрузке и ликвидации пробок. Жены рабочих просили передать, что они в любой момент отдадут свои силы, чтобы отстоять пятилетку и страну от интервентов.</w:t>
      </w:r>
    </w:p>
    <w:p w14:paraId="55F834C6"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Хромцов (завод «Серп и Молот»), На подлость интервентов и вредителей мы ответили встречным промфинпланом. Мы поставили задачу выпускать 80 молотилок в день. Если раньше выпускали 17-18 молотилок, то уже выпускаем 25 молотилок и принимаемыми мерами по выявлению всех ресурсов и рационализаторскими мероприятиями мы добьемся, что свой встречный план в 80 молотилок выполним.</w:t>
      </w:r>
    </w:p>
    <w:p w14:paraId="2E0D7190"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Ложникова (Канатный завод). На нашем заводе работает 8000 рабочих преимущественно женщин. Работницы и послали меня потребовать расстрела вредителей. Один рабочий выступил с жалостью к вредителям. Это вызвало такое возмущение работниц и даже отсталых крестьянок, что «жалобщик» </w:t>
      </w:r>
      <w:r w:rsidRPr="00507A31">
        <w:rPr>
          <w:color w:val="000000" w:themeColor="text1"/>
          <w:sz w:val="16"/>
          <w:szCs w:val="16"/>
          <w:vertAlign w:val="superscript"/>
        </w:rPr>
        <w:t>ж</w:t>
      </w:r>
      <w:r w:rsidRPr="00507A31">
        <w:rPr>
          <w:color w:val="000000" w:themeColor="text1"/>
          <w:sz w:val="16"/>
          <w:szCs w:val="16"/>
        </w:rPr>
        <w:t>на следующий же</w:t>
      </w:r>
      <w:r w:rsidRPr="00507A31">
        <w:rPr>
          <w:color w:val="000000" w:themeColor="text1"/>
          <w:sz w:val="16"/>
          <w:szCs w:val="16"/>
          <w:vertAlign w:val="superscript"/>
        </w:rPr>
        <w:t>3</w:t>
      </w:r>
      <w:r w:rsidRPr="00507A31">
        <w:rPr>
          <w:color w:val="000000" w:themeColor="text1"/>
          <w:sz w:val="16"/>
          <w:szCs w:val="16"/>
        </w:rPr>
        <w:t> день был уволен. Почему у нас получился прорыв? Мы не додали стране мешки, потому что большинство работниц пришли из деревни. Среди них было много кулачек и подкулачниц. Когда мы завод маленько почистили от чужаков, то и с выполнением плана дело пошло лучше.</w:t>
      </w:r>
    </w:p>
    <w:p w14:paraId="54CA6ECA"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Васильев (ТЭЗ). Промфинпланы мы выполнили полностью, ликвидировав отдельные прорывы. Брак доходил до 8 %. Мы ответили на вредительство увеличенным промфинпланом, который мы выполняем, несмотря на все неполадки.</w:t>
      </w:r>
    </w:p>
    <w:p w14:paraId="75090E2D"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Федин (Депо Южн. ж. д.). 12.000 рабочих Южной ж. д. поручили мне передать, что известие о вредителях и интервентах заставило всех рабочих всколыхнуться и энергично взяться за ликвидацию прорывов. Мы решили каждому рабочему отработать лишних 36 часов, чтобы ликвидировать прорыв.</w:t>
      </w:r>
    </w:p>
    <w:p w14:paraId="7771C988"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Рабинович (Коммуна «Червонная Заря»). Наша коммуна состоит из евреев-крестьян. Известие о процессе Промпартии вызвало большую тревогу среди коммунаров. Мы решили в ответ интервентам еще раз проверить свои излишки и сдать их государству сверх выполненного плана хлебозаготовок. Кроме того, мы выполнили все финансовые обязательства (с.-х. налог, страховка и внесли деньги за заем «Пятилетка в 4 года»).</w:t>
      </w:r>
    </w:p>
    <w:p w14:paraId="634D69E7"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т. Аболин. Процесс вредителей сигнализирует рабочему классу о необходимости усиления классовой бдительности (приводит ряд фактов засорения производства классово враждебным элементом). Важнейшая задача — проверка людей и исполнения директив и планов, выявление всех наших ресурсов.</w:t>
      </w:r>
    </w:p>
    <w:p w14:paraId="2BE4BABB"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Председатель совещания Лен&lt;...&gt;</w:t>
      </w:r>
    </w:p>
    <w:p w14:paraId="00DC5C6C" w14:textId="77777777" w:rsidR="00820F94" w:rsidRPr="00507A31" w:rsidRDefault="00820F94"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223. Л. 19-20. Рукописный подлинник (написано чернилами), подпись-автограф (неразборчиво) (19044).</w:t>
      </w:r>
    </w:p>
    <w:p w14:paraId="20D24F76" w14:textId="77777777" w:rsidR="00820F94" w:rsidRPr="00507A31" w:rsidRDefault="00820F94" w:rsidP="00507A31">
      <w:pPr>
        <w:jc w:val="both"/>
        <w:rPr>
          <w:color w:val="000000" w:themeColor="text1"/>
          <w:sz w:val="16"/>
          <w:szCs w:val="16"/>
        </w:rPr>
      </w:pPr>
    </w:p>
    <w:p w14:paraId="3F3F2C7F" w14:textId="77777777" w:rsidR="00F118FC" w:rsidRPr="00507A31" w:rsidRDefault="00F118FC"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759AE62D" w14:textId="77777777" w:rsidR="00F118FC" w:rsidRPr="00507A31" w:rsidRDefault="00F118FC" w:rsidP="00507A31">
      <w:pPr>
        <w:autoSpaceDE w:val="0"/>
        <w:autoSpaceDN w:val="0"/>
        <w:adjustRightInd w:val="0"/>
        <w:jc w:val="both"/>
        <w:rPr>
          <w:iCs/>
          <w:color w:val="000000" w:themeColor="text1"/>
          <w:sz w:val="16"/>
          <w:szCs w:val="16"/>
        </w:rPr>
      </w:pPr>
    </w:p>
    <w:p w14:paraId="527D535E" w14:textId="77777777" w:rsidR="00F118FC" w:rsidRPr="00507A31" w:rsidRDefault="00F118FC" w:rsidP="00507A31">
      <w:pPr>
        <w:jc w:val="both"/>
        <w:rPr>
          <w:bCs/>
          <w:color w:val="000000" w:themeColor="text1"/>
          <w:sz w:val="16"/>
          <w:szCs w:val="16"/>
        </w:rPr>
      </w:pPr>
      <w:r w:rsidRPr="00507A31">
        <w:rPr>
          <w:color w:val="000000" w:themeColor="text1"/>
          <w:sz w:val="16"/>
          <w:szCs w:val="16"/>
        </w:rPr>
        <w:t>8 декабря 1930 г.</w:t>
      </w:r>
    </w:p>
    <w:p w14:paraId="2CF42347" w14:textId="77777777" w:rsidR="00F118FC" w:rsidRPr="00507A31" w:rsidRDefault="00F118FC"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приговоре по «делу “Промпартии”». 8 декабря 1930 г.</w:t>
      </w:r>
    </w:p>
    <w:p w14:paraId="2CFA2460" w14:textId="77777777" w:rsidR="00F118FC" w:rsidRPr="00507A31" w:rsidRDefault="00F118FC" w:rsidP="00507A31">
      <w:pPr>
        <w:jc w:val="both"/>
        <w:rPr>
          <w:bCs/>
          <w:color w:val="000000" w:themeColor="text1"/>
          <w:sz w:val="16"/>
          <w:szCs w:val="16"/>
        </w:rPr>
      </w:pPr>
      <w:r w:rsidRPr="00507A31">
        <w:rPr>
          <w:bCs/>
          <w:color w:val="000000" w:themeColor="text1"/>
          <w:sz w:val="16"/>
          <w:szCs w:val="16"/>
        </w:rPr>
        <w:t>Источник: </w:t>
      </w:r>
    </w:p>
    <w:p w14:paraId="13523897" w14:textId="77777777" w:rsidR="00F118FC" w:rsidRPr="00507A31" w:rsidRDefault="00F118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51B7CB"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8 декабря 1930 г.</w:t>
      </w:r>
    </w:p>
    <w:p w14:paraId="5E04D6C3"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7AAFE5E1"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Шифровальный отдел</w:t>
      </w:r>
    </w:p>
    <w:p w14:paraId="4912F049"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№716-719</w:t>
      </w:r>
    </w:p>
    <w:p w14:paraId="7698EA9F"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Москва, 8 декабря 1930, 7.10</w:t>
      </w:r>
    </w:p>
    <w:p w14:paraId="636DC840"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Получено: 8 декабря 1930, 7.45</w:t>
      </w:r>
    </w:p>
    <w:p w14:paraId="05A82E13"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Сегодня ночью председатель суда в течение полутора часов зачитывал приговор. Согласно судебному постановлению, пять главных обвиняемых приговорены к смертной казни и трое остальных к десяти годам заключения. Приговор в деталях повторяет выдвинутые против подсудимых обвинения и подчеркивает их вину в подготовке иностранной интервенции против СССР по предложению французских правительственных и военных кругов.</w:t>
      </w:r>
    </w:p>
    <w:p w14:paraId="1FFC34D1"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В приговоре не говорится о роли Англии, упоминаемой в обвинительном заключении и во время судебного разбирательства. Имена Пуанкаре и Бриана также опущены.</w:t>
      </w:r>
    </w:p>
    <w:p w14:paraId="29830C52"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Тем не менее, в тексте упоминаются имена генерала Жанена и французских офицеров Жуанвиля и Ришара. Кроме того, говорится о «двух агентах французской службы в Москве», обозначаемых буквами К. и Р. (суд заявляет, что сведения об этих агентах полностью подтвердились на заседании при закрытых дверях и будут переданы для информации советскому правительству). Приговор четко излагает следующую позицию: имело место сотрудничество трех групп, а именно «Промпартии» в Москве, русского промышленного и торгового комитета в Париже и французских «кругов». Последние якобы играли руководящую роль в подготовке планов и определении сроков.</w:t>
      </w:r>
    </w:p>
    <w:p w14:paraId="237C69D3"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Когда завтра будет опубликован текст приговора, я сообщу Вам свои дополнительные наблюдения. Но так как советская пропаганда сразу придаст ему резонанс во всем мире, а советское правительство может предпринять действия, которые потребуют от нас быстрых решений, я позволю себе сейчас же уточнить ситуацию.</w:t>
      </w:r>
    </w:p>
    <w:p w14:paraId="76F49ACA"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Хотя в приговоре не упоминаются имена Пуанкаре и Бриана, чтобы не создавать смехотворное впечатление, в этом тщательно продуманном документе Франция обвиняется в организации вторжения в СССР. Таким образом, приговор не принимает в расчет ни наше категорическое опровержение, ни наши повторные протесты. То, что в нем не упоминается Англия, только ярче подчеркивает его направленность против Франции. Какое бы презрение не внушал нам этот документ, я не думаю, что мы можем остаться к нему безразличными. Нельзя терпеть, что нас обвиняют в измене и в подготовке войны, тем более если эти обвинения исходят от правительства, которое занимается шпионажем на нашей территории и подталкивает Францию к гражданской войне. Авторитет, в котором мы нуждаемся, чтобы поддерживать мир в Европе, будет поколеблен, если мы допустим к себе подобное отношение.</w:t>
      </w:r>
    </w:p>
    <w:p w14:paraId="20E3411A"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Теперешняя ситуация слишком серьезна, чтобы я мог действовать без инструкций. Но наше посольство может быть поставлено перед такими фактами или требованиями, которые принудят его занять определенную позицию. Поэтому я был бы признателен Вашему превосходительству, если бы Вы могли указать мне как можно быстрее, какую позицию займет французское правительство относительно только что принятого приговора.</w:t>
      </w:r>
    </w:p>
    <w:p w14:paraId="494556E4"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Впрочем, меры, принятые советским правительством касательно наших коммерческих интересов (см. мои телеграммы № 708-711), оставляют нам не больше иллюзий насчет материальных результатов наших отношений с СССР, чем сегодняшний приговор — насчет результатов политических.</w:t>
      </w:r>
    </w:p>
    <w:p w14:paraId="04233782"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Ситуация должна быть выправлена или устранена. В частности, присутствие торгового представительства и различных советских организаций в Париже кажется как никогда наименее оправданным после того, что только что произошло в Москве.</w:t>
      </w:r>
    </w:p>
    <w:p w14:paraId="56151F10"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Жан Эрбет</w:t>
      </w:r>
    </w:p>
    <w:p w14:paraId="0355826E" w14:textId="77777777" w:rsidR="00F118FC" w:rsidRPr="00507A31" w:rsidRDefault="00F118FC"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151-154.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«8 дек. 1930» и вписанным от руки номером о сдаче в архив «z 619-20 s/d5» (18791).</w:t>
      </w:r>
    </w:p>
    <w:p w14:paraId="027972BB" w14:textId="77777777" w:rsidR="00F118FC" w:rsidRPr="00507A31" w:rsidRDefault="00F118FC" w:rsidP="00507A31">
      <w:pPr>
        <w:jc w:val="both"/>
        <w:rPr>
          <w:color w:val="000000" w:themeColor="text1"/>
          <w:sz w:val="16"/>
          <w:szCs w:val="16"/>
        </w:rPr>
      </w:pPr>
    </w:p>
    <w:p w14:paraId="08332F54" w14:textId="77777777" w:rsidR="00F118FC" w:rsidRPr="00507A31" w:rsidRDefault="00F118FC" w:rsidP="00507A31">
      <w:pPr>
        <w:jc w:val="both"/>
        <w:rPr>
          <w:bCs/>
          <w:color w:val="000000" w:themeColor="text1"/>
          <w:sz w:val="16"/>
          <w:szCs w:val="16"/>
        </w:rPr>
      </w:pPr>
      <w:r w:rsidRPr="00507A31">
        <w:rPr>
          <w:color w:val="000000" w:themeColor="text1"/>
          <w:sz w:val="16"/>
          <w:szCs w:val="16"/>
        </w:rPr>
        <w:t>8 декабря 1930 г.</w:t>
      </w:r>
    </w:p>
    <w:p w14:paraId="2EAB5042" w14:textId="77777777" w:rsidR="00F118FC" w:rsidRPr="00507A31" w:rsidRDefault="00F118FC"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возможности советского демарша в Париже. 8 декабря 1930 г.</w:t>
      </w:r>
    </w:p>
    <w:p w14:paraId="7D32BAEC" w14:textId="77777777" w:rsidR="00F118FC" w:rsidRPr="00507A31" w:rsidRDefault="00F118FC" w:rsidP="00507A31">
      <w:pPr>
        <w:jc w:val="both"/>
        <w:rPr>
          <w:bCs/>
          <w:color w:val="000000" w:themeColor="text1"/>
          <w:sz w:val="16"/>
          <w:szCs w:val="16"/>
        </w:rPr>
      </w:pPr>
      <w:r w:rsidRPr="00507A31">
        <w:rPr>
          <w:bCs/>
          <w:color w:val="000000" w:themeColor="text1"/>
          <w:sz w:val="16"/>
          <w:szCs w:val="16"/>
        </w:rPr>
        <w:t>Источник: </w:t>
      </w:r>
    </w:p>
    <w:p w14:paraId="1E39E137" w14:textId="77777777" w:rsidR="00F118FC" w:rsidRPr="00507A31" w:rsidRDefault="00F118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81C563"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8 декабря 1930 г.</w:t>
      </w:r>
    </w:p>
    <w:p w14:paraId="667E289A"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10E87A49"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41A7E9EF"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Шифровальный отдел</w:t>
      </w:r>
    </w:p>
    <w:p w14:paraId="61C63E21"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№720</w:t>
      </w:r>
    </w:p>
    <w:p w14:paraId="0D4A5CB2"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lastRenderedPageBreak/>
        <w:t>Москва, 8 декабря 1930, 14 ч</w:t>
      </w:r>
    </w:p>
    <w:p w14:paraId="78D2D0EF"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Получено: 8 декабря 1930, 13.30</w:t>
      </w:r>
    </w:p>
    <w:p w14:paraId="4AA64A79"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Секретно.</w:t>
      </w:r>
    </w:p>
    <w:p w14:paraId="6883E24A"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Из косвенных источников мне стало известно, что вследствие вынесенного сегодня ночью приговора советское правительство предпримет демарш в Париже.</w:t>
      </w:r>
    </w:p>
    <w:p w14:paraId="268D2506"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Жан Эрбет</w:t>
      </w:r>
    </w:p>
    <w:p w14:paraId="0FD21F7D" w14:textId="77777777" w:rsidR="00F118FC" w:rsidRPr="00507A31" w:rsidRDefault="00F118FC"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155.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«8 дек. 1930» и вписанным от руки номером о сЗаче в архив «z 619-20 s/d5» (18790).</w:t>
      </w:r>
    </w:p>
    <w:p w14:paraId="0B0EBCC1" w14:textId="77777777" w:rsidR="00F118FC" w:rsidRPr="00507A31" w:rsidRDefault="00F118FC" w:rsidP="00507A31">
      <w:pPr>
        <w:jc w:val="both"/>
        <w:rPr>
          <w:color w:val="000000" w:themeColor="text1"/>
          <w:sz w:val="16"/>
          <w:szCs w:val="16"/>
        </w:rPr>
      </w:pPr>
    </w:p>
    <w:p w14:paraId="4F6BF062" w14:textId="77777777" w:rsidR="00F118FC" w:rsidRPr="00507A31" w:rsidRDefault="00F118FC" w:rsidP="00507A31">
      <w:pPr>
        <w:jc w:val="both"/>
        <w:rPr>
          <w:bCs/>
          <w:color w:val="000000" w:themeColor="text1"/>
          <w:sz w:val="16"/>
          <w:szCs w:val="16"/>
        </w:rPr>
      </w:pPr>
      <w:r w:rsidRPr="00507A31">
        <w:rPr>
          <w:color w:val="000000" w:themeColor="text1"/>
          <w:sz w:val="16"/>
          <w:szCs w:val="16"/>
        </w:rPr>
        <w:t>8 декабря 1930 г.</w:t>
      </w:r>
    </w:p>
    <w:p w14:paraId="7AF1C93F" w14:textId="77777777" w:rsidR="00F118FC" w:rsidRPr="00507A31" w:rsidRDefault="00F118FC"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с переводом отрывка судебного приговора, посвященного планам военной интервенции. 8 декабря 1930 г.</w:t>
      </w:r>
    </w:p>
    <w:p w14:paraId="28C27A70" w14:textId="77777777" w:rsidR="00F118FC" w:rsidRPr="00507A31" w:rsidRDefault="00F118FC" w:rsidP="00507A31">
      <w:pPr>
        <w:jc w:val="both"/>
        <w:rPr>
          <w:bCs/>
          <w:color w:val="000000" w:themeColor="text1"/>
          <w:sz w:val="16"/>
          <w:szCs w:val="16"/>
        </w:rPr>
      </w:pPr>
      <w:r w:rsidRPr="00507A31">
        <w:rPr>
          <w:bCs/>
          <w:color w:val="000000" w:themeColor="text1"/>
          <w:sz w:val="16"/>
          <w:szCs w:val="16"/>
        </w:rPr>
        <w:t>Источник: </w:t>
      </w:r>
    </w:p>
    <w:p w14:paraId="47DFDA9A" w14:textId="77777777" w:rsidR="00F118FC" w:rsidRPr="00507A31" w:rsidRDefault="00F118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1D21D75"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8 декабря 1930 г.</w:t>
      </w:r>
    </w:p>
    <w:p w14:paraId="24C117B4"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1EB71428"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Шифровальный отдел № 721-722</w:t>
      </w:r>
    </w:p>
    <w:p w14:paraId="708D0C1C"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Москва, 8 декабря 1930,14 ч 50</w:t>
      </w:r>
    </w:p>
    <w:p w14:paraId="6E16763F"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Получено: 8 декабря 1930,14.50</w:t>
      </w:r>
    </w:p>
    <w:p w14:paraId="6EC33443"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Ссылаюсь на свою телеграмму № 716.</w:t>
      </w:r>
    </w:p>
    <w:p w14:paraId="51B8E566"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Чтение приговора показывает, что Англия фигурирует в нем один &lt;раз&gt; и во второстепенной роли. Вот перевод пассажа, в котором приговор якобы резюмирует планы военной интервенции:</w:t>
      </w:r>
    </w:p>
    <w:p w14:paraId="3D456C05"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«В план интервенции входило использовать в качестве повода для нападения интервентов на СССР какой-либо пограничный конфликт с тем, чтобы в процессе дальнейшего его развития могли быть использованы вооруженные силы союзных с Францией государств — Польши и Румынии, а также армии лимитрофов. По замыслам интервентов успешное завершение военной интервенции против СССР должно было повлечь за собой раздел СССР, отторжение значительных территорий и предоставление иностранным участникам интервенции значительных финансово-экономических приобретений, несущих с собой закабаление трудящихся Союза. По этим замыслам империалистические круги Франции должны были получить уплату царских долгов и концессии по разработке рудных и горных богатств СССР, при чем, как это было установлено судебным следствием, эти концессии были такого характера, что делались равносильными прямому захвату; империалистические круги Англии должны были получить Кавказ, нефтяные источники; претендовали на территориальный захват также империалистические крути Румынии и Польши (Правобережная Украина, Киев, Одесса). Срок интервенции, первоначально намечавшийся даже на 1928 г., интервенты вынуждены были отодвинуть сначала на 1930 г., а затем и на 1931 г.»</w:t>
      </w:r>
    </w:p>
    <w:p w14:paraId="2B4DE039"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Эрбет</w:t>
      </w:r>
    </w:p>
    <w:p w14:paraId="659FAD77" w14:textId="77777777" w:rsidR="00F118FC" w:rsidRPr="00507A31" w:rsidRDefault="00F118FC"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156-157.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«8 дек. 1930» и вписанным от руки номером о сдаче в архив «z 619-20 s/d5» (18789).</w:t>
      </w:r>
    </w:p>
    <w:p w14:paraId="39CEA85D" w14:textId="77777777" w:rsidR="00F118FC" w:rsidRPr="00507A31" w:rsidRDefault="00F118FC" w:rsidP="00507A31">
      <w:pPr>
        <w:jc w:val="both"/>
        <w:rPr>
          <w:color w:val="000000" w:themeColor="text1"/>
          <w:sz w:val="16"/>
          <w:szCs w:val="16"/>
        </w:rPr>
      </w:pPr>
    </w:p>
    <w:p w14:paraId="481DD479" w14:textId="77777777" w:rsidR="00F118FC" w:rsidRPr="00507A31" w:rsidRDefault="00F118FC" w:rsidP="00507A31">
      <w:pPr>
        <w:jc w:val="both"/>
        <w:rPr>
          <w:bCs/>
          <w:color w:val="000000" w:themeColor="text1"/>
          <w:sz w:val="16"/>
          <w:szCs w:val="16"/>
        </w:rPr>
      </w:pPr>
      <w:r w:rsidRPr="00507A31">
        <w:rPr>
          <w:color w:val="000000" w:themeColor="text1"/>
          <w:sz w:val="16"/>
          <w:szCs w:val="16"/>
        </w:rPr>
        <w:t>8 декабря 1930 г.</w:t>
      </w:r>
    </w:p>
    <w:p w14:paraId="3B6CF3E2" w14:textId="77777777" w:rsidR="00F118FC" w:rsidRPr="00507A31" w:rsidRDefault="00F118FC" w:rsidP="00507A31">
      <w:pPr>
        <w:jc w:val="both"/>
        <w:rPr>
          <w:bCs/>
          <w:color w:val="000000" w:themeColor="text1"/>
          <w:sz w:val="16"/>
          <w:szCs w:val="16"/>
        </w:rPr>
      </w:pPr>
      <w:r w:rsidRPr="00507A31">
        <w:rPr>
          <w:color w:val="000000" w:themeColor="text1"/>
          <w:sz w:val="16"/>
          <w:szCs w:val="16"/>
        </w:rPr>
        <w:t>Внутренняя записка МИД Франции об установлении личностей французских военных, на которых ссылались на процессе «Промпартии». 8 декабря 1930 г.</w:t>
      </w:r>
    </w:p>
    <w:p w14:paraId="5DD4FB58" w14:textId="77777777" w:rsidR="00F118FC" w:rsidRPr="00507A31" w:rsidRDefault="00F118FC" w:rsidP="00507A31">
      <w:pPr>
        <w:jc w:val="both"/>
        <w:rPr>
          <w:bCs/>
          <w:color w:val="000000" w:themeColor="text1"/>
          <w:sz w:val="16"/>
          <w:szCs w:val="16"/>
        </w:rPr>
      </w:pPr>
      <w:r w:rsidRPr="00507A31">
        <w:rPr>
          <w:bCs/>
          <w:color w:val="000000" w:themeColor="text1"/>
          <w:sz w:val="16"/>
          <w:szCs w:val="16"/>
        </w:rPr>
        <w:t>Источник: </w:t>
      </w:r>
    </w:p>
    <w:p w14:paraId="4EBB3B6E" w14:textId="77777777" w:rsidR="00F118FC" w:rsidRPr="00507A31" w:rsidRDefault="00F118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E3CA57"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8 декабря 1930 г.</w:t>
      </w:r>
    </w:p>
    <w:p w14:paraId="60D67493"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1E4306BE"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Подполковник Лоран, наведя необходимые справки, в состоянии подтвердить то, что он сказал г-ну Л.</w:t>
      </w:r>
    </w:p>
    <w:p w14:paraId="0C666A9D"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Полковник Жуанвиль неизвестен.</w:t>
      </w:r>
    </w:p>
    <w:p w14:paraId="5014B65E"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Есть много офицеров, носящих фамилию Ришар. Единственный, о ком может идти речь, это бывший кадровый офицер, шеф батальона Ришар, который с марта 1919 г. по май 1926 г. занимал пост заместителя военного атташе в Стокгольме. Этот офицер, чья деятельность была, впрочем, довольно ограниченной, интересовался только размещением немецкой авиационной промышленности в Скандинавии (в частности, фирмы Юнкерс в Мальмё). Согласно последним сведениям, этот офицер вышел на пенсию в 1926 году и в настоящее время представляет интересы французской коммерческой авиации в Скандинавии. Связи с ним у нас не сохранилось.</w:t>
      </w:r>
    </w:p>
    <w:p w14:paraId="45A509DE"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Что касается К. и Р., оказалось невозможным вычислить лиц, которые могут обозначаться данными буквами. Двух офицеров, отправленных осенью 1929 года с г-ном Тома, главой кабинета министерства пенсий для репатриации тел французских солдат, звали комендант Русе из колониальной пехоты (в настоящее время подполковник в сенегальской пехоте) и капитан Кюри (в настоящий момент заместитель военного атташе в Бухаресте). По их возвращении из поездки эти офицеры сделали донесения, не имеющие большого интереса, так как они не смогли ничего предпринять за рамками их миссии; впрочем, они получили поздравления от посла Франции и министра пенсий. С подполковником Русе связь утрачена; капитан Кюри, напротив, до сих пор служит в генеральном штабе армии.</w:t>
      </w:r>
    </w:p>
    <w:p w14:paraId="67785BB1" w14:textId="77777777" w:rsidR="00F118FC" w:rsidRPr="00507A31" w:rsidRDefault="00F118FC"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158-159. Машинописный подлинник, без подписи. Штамп Департамента политических и торговых дел с вписанным от руки номером о сдаче в архив «z 619-20 s/d5». Гриф секретности также от руки (18788).</w:t>
      </w:r>
    </w:p>
    <w:p w14:paraId="0F629189" w14:textId="77777777" w:rsidR="00F118FC" w:rsidRPr="00507A31" w:rsidRDefault="00F118FC" w:rsidP="00507A31">
      <w:pPr>
        <w:jc w:val="both"/>
        <w:rPr>
          <w:color w:val="000000" w:themeColor="text1"/>
          <w:sz w:val="16"/>
          <w:szCs w:val="16"/>
        </w:rPr>
      </w:pPr>
    </w:p>
    <w:p w14:paraId="5375EE63" w14:textId="77777777" w:rsidR="00F118FC" w:rsidRPr="00507A31" w:rsidRDefault="00F118FC" w:rsidP="00507A31">
      <w:pPr>
        <w:jc w:val="both"/>
        <w:rPr>
          <w:color w:val="000000" w:themeColor="text1"/>
          <w:sz w:val="16"/>
          <w:szCs w:val="16"/>
        </w:rPr>
      </w:pPr>
      <w:r w:rsidRPr="00507A31">
        <w:rPr>
          <w:color w:val="000000" w:themeColor="text1"/>
          <w:sz w:val="16"/>
          <w:szCs w:val="16"/>
        </w:rPr>
        <w:t>8 декабря 1930 г.</w:t>
      </w:r>
    </w:p>
    <w:p w14:paraId="6E473FF4" w14:textId="77777777" w:rsidR="00F118FC" w:rsidRPr="00507A31" w:rsidRDefault="00F118FC" w:rsidP="00507A31">
      <w:pPr>
        <w:jc w:val="both"/>
        <w:rPr>
          <w:bCs/>
          <w:color w:val="000000" w:themeColor="text1"/>
          <w:sz w:val="16"/>
          <w:szCs w:val="16"/>
        </w:rPr>
      </w:pPr>
      <w:r w:rsidRPr="00507A31">
        <w:rPr>
          <w:color w:val="000000" w:themeColor="text1"/>
          <w:sz w:val="16"/>
          <w:szCs w:val="16"/>
        </w:rPr>
        <w:t>Внутренняя записка МИД Франции об установлении личностей французских военных, на которых ссылались на процессе «Промпартии». 8 декабря 1930 г.</w:t>
      </w:r>
    </w:p>
    <w:p w14:paraId="3E6D5460" w14:textId="77777777" w:rsidR="00F118FC" w:rsidRPr="00507A31" w:rsidRDefault="00F118FC" w:rsidP="00507A31">
      <w:pPr>
        <w:jc w:val="both"/>
        <w:rPr>
          <w:bCs/>
          <w:color w:val="000000" w:themeColor="text1"/>
          <w:sz w:val="16"/>
          <w:szCs w:val="16"/>
        </w:rPr>
      </w:pPr>
      <w:r w:rsidRPr="00507A31">
        <w:rPr>
          <w:bCs/>
          <w:color w:val="000000" w:themeColor="text1"/>
          <w:sz w:val="16"/>
          <w:szCs w:val="16"/>
        </w:rPr>
        <w:t>Источник: </w:t>
      </w:r>
    </w:p>
    <w:p w14:paraId="034AAD89" w14:textId="77777777" w:rsidR="00F118FC" w:rsidRPr="00507A31" w:rsidRDefault="00F118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F01F42"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8 декабря 1930 г.</w:t>
      </w:r>
    </w:p>
    <w:p w14:paraId="30EC138D"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6BB6DA44"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Согласно сведениям, предоставленным военным министерством, У нас нет ни одного секретного агента в СССР.</w:t>
      </w:r>
    </w:p>
    <w:p w14:paraId="60E05EEF"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Командир Русе и капитан Кюри, которые год назад были отправлены в СССР для эксгумации тел французских солдат, погибших во время войны, оба говорили по-русски и были уполномочены собирать информацию о ситуации в целом и о Красной армии в частности. Но сразу по окончании их миссии они покинули Россию и, впрочем, не сообщили каких-либо интересных сведений. Тем не менее, необходимо отметить, что их инициалы на русском языке соответствуют инициалам Р. и К., которыми обозначают французских агентов в советском приговоре.</w:t>
      </w:r>
    </w:p>
    <w:p w14:paraId="1AA6D6F6"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У нас нет никаких сведений о переговорах, в которых мог быть замешан генерал Жанен, живущий на пенсии в пригороде Гренобля. Что касается полковника Жуанвиля, в справочнике французской армии офицера с таким именем не значится.</w:t>
      </w:r>
    </w:p>
    <w:p w14:paraId="0D915092"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Наконец, офицер Ришар действительно был заместителем военного атташе в Стокгольме с 1919 по 1926 год, но он специализировался в делах авиации и ушел из армии, чтобы представлять фирму Фарманн в Скандинавии.</w:t>
      </w:r>
    </w:p>
    <w:p w14:paraId="1ACCA32B"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Инициалы К. и Р. не соответствуют никакой информации, содержащейся в личных делах военного министерства, которое как уже было указано, не имеет агентов в СССР.</w:t>
      </w:r>
    </w:p>
    <w:p w14:paraId="379C6FF4" w14:textId="77777777" w:rsidR="00F118FC" w:rsidRPr="00507A31" w:rsidRDefault="00F118FC"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160. Машинописный подлинник, без подписи. Штамп Департамента политических и торговых дел с вписанным от руки номером о сдаче в архив «z 619-20 s/d5» (18787).</w:t>
      </w:r>
    </w:p>
    <w:p w14:paraId="077FBA7C" w14:textId="77777777" w:rsidR="00F118FC" w:rsidRPr="00507A31" w:rsidRDefault="00F118FC" w:rsidP="00507A31">
      <w:pPr>
        <w:jc w:val="both"/>
        <w:rPr>
          <w:color w:val="000000" w:themeColor="text1"/>
          <w:sz w:val="16"/>
          <w:szCs w:val="16"/>
        </w:rPr>
      </w:pPr>
    </w:p>
    <w:p w14:paraId="4A21EE87" w14:textId="77777777" w:rsidR="00F118FC" w:rsidRPr="00507A31" w:rsidRDefault="00F118FC" w:rsidP="00507A31">
      <w:pPr>
        <w:jc w:val="both"/>
        <w:rPr>
          <w:bCs/>
          <w:color w:val="000000" w:themeColor="text1"/>
          <w:sz w:val="16"/>
          <w:szCs w:val="16"/>
        </w:rPr>
      </w:pPr>
      <w:r w:rsidRPr="00507A31">
        <w:rPr>
          <w:color w:val="000000" w:themeColor="text1"/>
          <w:sz w:val="16"/>
          <w:szCs w:val="16"/>
        </w:rPr>
        <w:t>8 декабря 1930 г.</w:t>
      </w:r>
    </w:p>
    <w:p w14:paraId="12C895D3" w14:textId="77777777" w:rsidR="00F118FC" w:rsidRPr="00507A31" w:rsidRDefault="00F118FC" w:rsidP="00507A31">
      <w:pPr>
        <w:jc w:val="both"/>
        <w:rPr>
          <w:bCs/>
          <w:color w:val="000000" w:themeColor="text1"/>
          <w:sz w:val="16"/>
          <w:szCs w:val="16"/>
        </w:rPr>
      </w:pPr>
      <w:r w:rsidRPr="00507A31">
        <w:rPr>
          <w:color w:val="000000" w:themeColor="text1"/>
          <w:sz w:val="16"/>
          <w:szCs w:val="16"/>
        </w:rPr>
        <w:t>Письмо секретаря «местного отделения УВКТ» г. Сент-Этьена М. Тибо министру иностранных дел Франции А. Бриану, сопровождающее резолюцию о «Промпартии». 8 декабря 1930 г.</w:t>
      </w:r>
    </w:p>
    <w:p w14:paraId="34287EE5" w14:textId="77777777" w:rsidR="00F118FC" w:rsidRPr="00507A31" w:rsidRDefault="00F118FC" w:rsidP="00507A31">
      <w:pPr>
        <w:jc w:val="both"/>
        <w:rPr>
          <w:bCs/>
          <w:color w:val="000000" w:themeColor="text1"/>
          <w:sz w:val="16"/>
          <w:szCs w:val="16"/>
        </w:rPr>
      </w:pPr>
      <w:r w:rsidRPr="00507A31">
        <w:rPr>
          <w:bCs/>
          <w:color w:val="000000" w:themeColor="text1"/>
          <w:sz w:val="16"/>
          <w:szCs w:val="16"/>
        </w:rPr>
        <w:t>Источник: </w:t>
      </w:r>
    </w:p>
    <w:p w14:paraId="1098D65C" w14:textId="77777777" w:rsidR="00F118FC" w:rsidRPr="00507A31" w:rsidRDefault="00F118FC" w:rsidP="00507A31">
      <w:pPr>
        <w:jc w:val="both"/>
        <w:rPr>
          <w:color w:val="000000" w:themeColor="text1"/>
          <w:sz w:val="16"/>
          <w:szCs w:val="16"/>
        </w:rPr>
      </w:pPr>
      <w:r w:rsidRPr="00507A31">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643F9E"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8 декабря 1930 г.</w:t>
      </w:r>
    </w:p>
    <w:p w14:paraId="6AE97314"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УВКТ</w:t>
      </w:r>
    </w:p>
    <w:p w14:paraId="18F0A893"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Сент-Этьен</w:t>
      </w:r>
    </w:p>
    <w:p w14:paraId="637FCEDD"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8 декабря 1930</w:t>
      </w:r>
    </w:p>
    <w:p w14:paraId="392FEEB8"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Секретарь местного отделения УВКТ министру иностранных дел Господин министр,</w:t>
      </w:r>
    </w:p>
    <w:p w14:paraId="7EE5DB09"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Имею честь отправить вам резолюцию, принятую местным отделением УВКТ по вопросу о «Промпартии» в СССР и той роли, которую играл французский империализм против наших товарищей в СССР. Мы предупреждаем Вас, что не потерпим новой военной интервенции против русских рабочих и крестьян и сумеем выполнить свой долг, о котором Вы говорили, когда были в социалистической партии.</w:t>
      </w:r>
    </w:p>
    <w:p w14:paraId="5310F270"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С уважением, секретарь: Марсель Тибо</w:t>
      </w:r>
    </w:p>
    <w:p w14:paraId="4C318A6E" w14:textId="77777777" w:rsidR="00F118FC" w:rsidRPr="00507A31" w:rsidRDefault="00F118FC"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161. Машинописный подлинник, подпись — автограф, расшифровка подписи машинописью. Штамп Департамента политических и торговых дел с датой «10 дек. 1930» и вписанным от руки номером о сдаче в архив «z 619-20 s/d5» (18786).</w:t>
      </w:r>
    </w:p>
    <w:p w14:paraId="23986C57" w14:textId="77777777" w:rsidR="00F118FC" w:rsidRPr="00507A31" w:rsidRDefault="00F118FC" w:rsidP="00507A31">
      <w:pPr>
        <w:jc w:val="both"/>
        <w:rPr>
          <w:color w:val="000000" w:themeColor="text1"/>
          <w:sz w:val="16"/>
          <w:szCs w:val="16"/>
        </w:rPr>
      </w:pPr>
    </w:p>
    <w:p w14:paraId="2980F8EF" w14:textId="77777777" w:rsidR="00F118FC" w:rsidRPr="00507A31" w:rsidRDefault="00F118FC" w:rsidP="00507A31">
      <w:pPr>
        <w:jc w:val="both"/>
        <w:rPr>
          <w:bCs/>
          <w:color w:val="000000" w:themeColor="text1"/>
          <w:sz w:val="16"/>
          <w:szCs w:val="16"/>
        </w:rPr>
      </w:pPr>
      <w:r w:rsidRPr="00507A31">
        <w:rPr>
          <w:color w:val="000000" w:themeColor="text1"/>
          <w:sz w:val="16"/>
          <w:szCs w:val="16"/>
        </w:rPr>
        <w:t>8 декабря 1930 г.</w:t>
      </w:r>
    </w:p>
    <w:p w14:paraId="53DAAC8F" w14:textId="77777777" w:rsidR="00F118FC" w:rsidRPr="00507A31" w:rsidRDefault="00F118FC" w:rsidP="00507A31">
      <w:pPr>
        <w:jc w:val="both"/>
        <w:rPr>
          <w:bCs/>
          <w:color w:val="000000" w:themeColor="text1"/>
          <w:sz w:val="16"/>
          <w:szCs w:val="16"/>
        </w:rPr>
      </w:pPr>
      <w:r w:rsidRPr="00507A31">
        <w:rPr>
          <w:color w:val="000000" w:themeColor="text1"/>
          <w:sz w:val="16"/>
          <w:szCs w:val="16"/>
        </w:rPr>
        <w:t>Резолюция собрания регионального отделения Унитарной всеобщей конфедерации труда г. Сент-Этьена о процессе «Промпартии» с выражением поддержки трудящимся СССР. 8 декабря 1930 г.</w:t>
      </w:r>
    </w:p>
    <w:p w14:paraId="071ACB96" w14:textId="77777777" w:rsidR="00F118FC" w:rsidRPr="00507A31" w:rsidRDefault="00F118FC" w:rsidP="00507A31">
      <w:pPr>
        <w:jc w:val="both"/>
        <w:rPr>
          <w:bCs/>
          <w:color w:val="000000" w:themeColor="text1"/>
          <w:sz w:val="16"/>
          <w:szCs w:val="16"/>
        </w:rPr>
      </w:pPr>
      <w:r w:rsidRPr="00507A31">
        <w:rPr>
          <w:bCs/>
          <w:color w:val="000000" w:themeColor="text1"/>
          <w:sz w:val="16"/>
          <w:szCs w:val="16"/>
        </w:rPr>
        <w:t>Источник: </w:t>
      </w:r>
    </w:p>
    <w:p w14:paraId="2A00E09B" w14:textId="77777777" w:rsidR="00F118FC" w:rsidRPr="00507A31" w:rsidRDefault="00F118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EB56D1A"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8 декабря 1930 г.</w:t>
      </w:r>
    </w:p>
    <w:p w14:paraId="112773A3"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УВКТ, секция Сент-Этьена</w:t>
      </w:r>
    </w:p>
    <w:p w14:paraId="318BEAFD"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Сент-Этьен, 8 декабря 1930</w:t>
      </w:r>
    </w:p>
    <w:p w14:paraId="5FC2BD48"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Местное отделение УВКТ, рассмотрев на сеансе 5-го декабря 1930 ситуацию в СССР и, в частности, процесс «Промпартии», и констатируя, что империалисты, и, прежде всего, французское правительство занимаются подготовкой военной интервенции в СССР:</w:t>
      </w:r>
    </w:p>
    <w:p w14:paraId="4CE45709"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   подчеркивает, что во главе широкого вредительского заговора «Промпартии» находились политические, промышленные и военные круги Франции</w:t>
      </w:r>
    </w:p>
    <w:p w14:paraId="6EEBD2FA"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   энергично выступает протйв этой новой попытки организовать военную интервенцию в СССР, имеющую целью разгром 150 миллионов рабочих, мирно работающих на построение социализма, возвращение рабства времен царизма или установление так называемой демократии в форме буржуазной республики и порабощение мирового пролетариата на десятки лет</w:t>
      </w:r>
    </w:p>
    <w:p w14:paraId="6809B16F"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   требует от французского правительства прогнать русских эмигрантов-капиталистов, которые, получая от этого правительства активную помощь, поддержку и защиту, готовят новую бойню против рабочих и крестьян СССР</w:t>
      </w:r>
    </w:p>
    <w:p w14:paraId="56E8EFD3"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   и просит у Советского Союза без колебаний расстрелять вредителей и шпионов рабочего режима</w:t>
      </w:r>
    </w:p>
    <w:p w14:paraId="41455F33"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   предупреждает французское правительство, что ему не следует рассчитывать на французский пролетариат, чтобы атаковать первое пролетарское государство, и что, напротив, в случае нового военного нападения французские рабочие будут на стороне русской революции и в этом последуют примеру храбрых моряков Черного моря</w:t>
      </w:r>
    </w:p>
    <w:p w14:paraId="1D61F06F"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   они будут бороться против своего империализма, превратят интервенцию в пролетарскую революцию и продолжат, таким образом, освобождение мирового пролетариата, начатое в 1917 году русскими рабочими, крестьянами, солдатами и моряками.</w:t>
      </w:r>
    </w:p>
    <w:p w14:paraId="5151A20C"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Секретарь: Марсель Тибо</w:t>
      </w:r>
    </w:p>
    <w:p w14:paraId="43C28A64" w14:textId="77777777" w:rsidR="00F118FC" w:rsidRPr="00507A31" w:rsidRDefault="00F118FC"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162. Машинописный подлинник, подпись- автограф, расшифровка подписи машинописью (18785).</w:t>
      </w:r>
    </w:p>
    <w:p w14:paraId="1943E49D" w14:textId="77777777" w:rsidR="00F118FC" w:rsidRPr="00507A31" w:rsidRDefault="00F118FC" w:rsidP="00507A31">
      <w:pPr>
        <w:jc w:val="both"/>
        <w:rPr>
          <w:color w:val="000000" w:themeColor="text1"/>
          <w:sz w:val="16"/>
          <w:szCs w:val="16"/>
        </w:rPr>
      </w:pPr>
    </w:p>
    <w:p w14:paraId="5CA61D0C" w14:textId="77777777" w:rsidR="00F118FC" w:rsidRPr="00507A31" w:rsidRDefault="00F118FC" w:rsidP="00507A31">
      <w:pPr>
        <w:jc w:val="both"/>
        <w:rPr>
          <w:bCs/>
          <w:color w:val="000000" w:themeColor="text1"/>
          <w:sz w:val="16"/>
          <w:szCs w:val="16"/>
        </w:rPr>
      </w:pPr>
      <w:r w:rsidRPr="00507A31">
        <w:rPr>
          <w:color w:val="000000" w:themeColor="text1"/>
          <w:sz w:val="16"/>
          <w:szCs w:val="16"/>
        </w:rPr>
        <w:t>8 декабря 1930 г.</w:t>
      </w:r>
    </w:p>
    <w:p w14:paraId="6BB5302C" w14:textId="77777777" w:rsidR="00F118FC" w:rsidRPr="00507A31" w:rsidRDefault="00F118FC" w:rsidP="00507A31">
      <w:pPr>
        <w:jc w:val="both"/>
        <w:rPr>
          <w:bCs/>
          <w:color w:val="000000" w:themeColor="text1"/>
          <w:sz w:val="16"/>
          <w:szCs w:val="16"/>
        </w:rPr>
      </w:pPr>
      <w:r w:rsidRPr="00507A31">
        <w:rPr>
          <w:color w:val="000000" w:themeColor="text1"/>
          <w:sz w:val="16"/>
          <w:szCs w:val="16"/>
        </w:rPr>
        <w:t>Депеша посла Франции в СССР Ж. Эрбета министру иностранных дел Франции А. Бриану об ответе советского правительства на протест Великобритании. 8 декабря 1930 г.</w:t>
      </w:r>
    </w:p>
    <w:p w14:paraId="2105E785" w14:textId="77777777" w:rsidR="00F118FC" w:rsidRPr="00507A31" w:rsidRDefault="00F118FC" w:rsidP="00507A31">
      <w:pPr>
        <w:jc w:val="both"/>
        <w:rPr>
          <w:bCs/>
          <w:color w:val="000000" w:themeColor="text1"/>
          <w:sz w:val="16"/>
          <w:szCs w:val="16"/>
        </w:rPr>
      </w:pPr>
      <w:r w:rsidRPr="00507A31">
        <w:rPr>
          <w:bCs/>
          <w:color w:val="000000" w:themeColor="text1"/>
          <w:sz w:val="16"/>
          <w:szCs w:val="16"/>
        </w:rPr>
        <w:t>Источник: </w:t>
      </w:r>
    </w:p>
    <w:p w14:paraId="7A8FA391" w14:textId="77777777" w:rsidR="00F118FC" w:rsidRPr="00507A31" w:rsidRDefault="00F118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82F21A"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8 декабря 1930 г.</w:t>
      </w:r>
    </w:p>
    <w:p w14:paraId="018EB62D"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Конфиденциально</w:t>
      </w:r>
    </w:p>
    <w:p w14:paraId="5AEF9105"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Посольство Французской Республики в СССР</w:t>
      </w:r>
    </w:p>
    <w:p w14:paraId="339B6142"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Департамент политических и торговых дел</w:t>
      </w:r>
    </w:p>
    <w:p w14:paraId="6AEEEA41"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Депеша № 743</w:t>
      </w:r>
    </w:p>
    <w:p w14:paraId="6A9DB22D"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(Европа)</w:t>
      </w:r>
    </w:p>
    <w:p w14:paraId="3EC95E36"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Посол Французской Республики в Москве министру иностранных дел Аристиду Бриану</w:t>
      </w:r>
    </w:p>
    <w:p w14:paraId="4E300CBE"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Советский ответ на второй протест Англии в связи с процессом по обвинению в государственной измене</w:t>
      </w:r>
    </w:p>
    <w:p w14:paraId="2465A7AC"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В моей телеграмме № 712 от 5 декабря я проинформировал Вас о том, что посол Англии в Москве получил инструкции, согласно которым он должен был выразить протест против определенных замечаний главного прокурора Крыленко и против распространения через беспроводной передатчик оскорбительной статьи Максима Горького, переведенной на английский язык.</w:t>
      </w:r>
    </w:p>
    <w:p w14:paraId="6ADE325F"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Из британского источника мне конфиденциально сообщили, что по первому пункту правительство СССР по существу ответило, что оно не в состоянии воспрепятствовать Крыленко выражать свое мнение. По второму вопросу советское правительство заявило, что статья была распространена по инициативе частной организации. Однако при этом оно добавило, что власти находят нежелательным подобное использование советской радиостанции, и соответствующие указания уже были сделаны в адрес организации, распространившей статью.</w:t>
      </w:r>
    </w:p>
    <w:p w14:paraId="693F4BE3"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Хендерсон должен сегодня сообщить об этом ответе в Палате общин.</w:t>
      </w:r>
    </w:p>
    <w:p w14:paraId="3C4F3A87" w14:textId="77777777" w:rsidR="00F118FC" w:rsidRPr="00507A31" w:rsidRDefault="00F118FC" w:rsidP="00507A31">
      <w:pPr>
        <w:pStyle w:val="rtejustify"/>
        <w:spacing w:before="0" w:after="0"/>
        <w:rPr>
          <w:color w:val="000000" w:themeColor="text1"/>
          <w:sz w:val="16"/>
          <w:szCs w:val="16"/>
        </w:rPr>
      </w:pPr>
      <w:r w:rsidRPr="00507A31">
        <w:rPr>
          <w:color w:val="000000" w:themeColor="text1"/>
          <w:sz w:val="16"/>
          <w:szCs w:val="16"/>
        </w:rPr>
        <w:t>В здешних английских кругах остались довольными полученным результатом по второму вопросу. Его приписывают жесткости, проявленной британским правительством, когда Хендерсон не скрывал своего намерения предпринять определенные действия в случае, если обязательство не заниматься пропагандой будет снова нарушено.</w:t>
      </w:r>
    </w:p>
    <w:p w14:paraId="46851892" w14:textId="77777777" w:rsidR="00F118FC" w:rsidRPr="00507A31" w:rsidRDefault="00F118FC"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165-165а. Машинописный подлинник, подпись — автограф. Штамп Департамента политических и торговых дел с вписанным от руки номером о сдаче в архив «z 619-20 s/d5». Левее штамп Кабинета министра с датой «13 дек. 1930 (18784).</w:t>
      </w:r>
    </w:p>
    <w:p w14:paraId="7B0C7679" w14:textId="77777777" w:rsidR="00F118FC" w:rsidRPr="00507A31" w:rsidRDefault="00F118FC" w:rsidP="00507A31">
      <w:pPr>
        <w:jc w:val="both"/>
        <w:rPr>
          <w:color w:val="000000" w:themeColor="text1"/>
          <w:sz w:val="16"/>
          <w:szCs w:val="16"/>
        </w:rPr>
      </w:pPr>
    </w:p>
    <w:p w14:paraId="2829ED34" w14:textId="77777777" w:rsidR="00F118FC" w:rsidRPr="00507A31" w:rsidRDefault="00F118FC" w:rsidP="00507A31">
      <w:pPr>
        <w:jc w:val="both"/>
        <w:rPr>
          <w:bCs/>
          <w:color w:val="000000" w:themeColor="text1"/>
          <w:sz w:val="16"/>
          <w:szCs w:val="16"/>
        </w:rPr>
      </w:pPr>
      <w:r w:rsidRPr="00507A31">
        <w:rPr>
          <w:color w:val="000000" w:themeColor="text1"/>
          <w:sz w:val="16"/>
          <w:szCs w:val="16"/>
        </w:rPr>
        <w:t>8 декабря 1930 г.</w:t>
      </w:r>
    </w:p>
    <w:p w14:paraId="6B7DB76F" w14:textId="77777777" w:rsidR="00F118FC" w:rsidRPr="00507A31" w:rsidRDefault="00F118FC" w:rsidP="00507A31">
      <w:pPr>
        <w:jc w:val="both"/>
        <w:rPr>
          <w:bCs/>
          <w:color w:val="000000" w:themeColor="text1"/>
          <w:sz w:val="16"/>
          <w:szCs w:val="16"/>
        </w:rPr>
      </w:pPr>
      <w:r w:rsidRPr="00507A31">
        <w:rPr>
          <w:color w:val="000000" w:themeColor="text1"/>
          <w:sz w:val="16"/>
          <w:szCs w:val="16"/>
        </w:rPr>
        <w:t>«Информационная сводка № 1» о работе ВОКСа по организации кампании в связи с процессом «Промпартии». 8 декабря 1930 г.</w:t>
      </w:r>
    </w:p>
    <w:p w14:paraId="50F30B78" w14:textId="77777777" w:rsidR="00F118FC" w:rsidRPr="00507A31" w:rsidRDefault="00F118FC" w:rsidP="00507A31">
      <w:pPr>
        <w:jc w:val="both"/>
        <w:rPr>
          <w:bCs/>
          <w:color w:val="000000" w:themeColor="text1"/>
          <w:sz w:val="16"/>
          <w:szCs w:val="16"/>
        </w:rPr>
      </w:pPr>
      <w:r w:rsidRPr="00507A31">
        <w:rPr>
          <w:bCs/>
          <w:color w:val="000000" w:themeColor="text1"/>
          <w:sz w:val="16"/>
          <w:szCs w:val="16"/>
        </w:rPr>
        <w:t>Источник: </w:t>
      </w:r>
    </w:p>
    <w:p w14:paraId="170BD509" w14:textId="77777777" w:rsidR="00F118FC" w:rsidRPr="00507A31" w:rsidRDefault="00F118FC"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BF876F6" w14:textId="77777777" w:rsidR="00F118FC" w:rsidRPr="00507A31" w:rsidRDefault="00F118FC" w:rsidP="00507A31">
      <w:pPr>
        <w:jc w:val="both"/>
        <w:rPr>
          <w:bCs/>
          <w:color w:val="000000" w:themeColor="text1"/>
          <w:sz w:val="16"/>
          <w:szCs w:val="16"/>
        </w:rPr>
      </w:pPr>
      <w:r w:rsidRPr="00507A31">
        <w:rPr>
          <w:bCs/>
          <w:color w:val="000000" w:themeColor="text1"/>
          <w:sz w:val="16"/>
          <w:szCs w:val="16"/>
        </w:rPr>
        <w:t>Архив: </w:t>
      </w:r>
    </w:p>
    <w:p w14:paraId="45F89A27" w14:textId="77777777" w:rsidR="00F118FC" w:rsidRPr="00507A31" w:rsidRDefault="00F118FC" w:rsidP="00507A31">
      <w:pPr>
        <w:jc w:val="both"/>
        <w:rPr>
          <w:color w:val="000000" w:themeColor="text1"/>
          <w:sz w:val="16"/>
          <w:szCs w:val="16"/>
        </w:rPr>
      </w:pPr>
      <w:r w:rsidRPr="00507A31">
        <w:rPr>
          <w:color w:val="000000" w:themeColor="text1"/>
          <w:sz w:val="16"/>
          <w:szCs w:val="16"/>
        </w:rPr>
        <w:t>ГА РФ. Ф. P-5283. On. 1. Д. 139. Л. 75</w:t>
      </w:r>
    </w:p>
    <w:p w14:paraId="6D3E9B63" w14:textId="77777777" w:rsidR="00F118FC" w:rsidRPr="00507A31" w:rsidRDefault="00F118FC" w:rsidP="00507A31">
      <w:pPr>
        <w:pStyle w:val="rteright"/>
        <w:spacing w:before="0" w:after="0"/>
        <w:jc w:val="both"/>
        <w:rPr>
          <w:color w:val="000000" w:themeColor="text1"/>
          <w:sz w:val="16"/>
          <w:szCs w:val="16"/>
        </w:rPr>
      </w:pPr>
      <w:r w:rsidRPr="00507A31">
        <w:rPr>
          <w:color w:val="000000" w:themeColor="text1"/>
          <w:sz w:val="16"/>
          <w:szCs w:val="16"/>
        </w:rPr>
        <w:t>8 декабря 1930 г.</w:t>
      </w:r>
    </w:p>
    <w:p w14:paraId="15DC2146"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ИНФОРМАЦИОННАЯ СВОДКА № 1</w:t>
      </w:r>
    </w:p>
    <w:p w14:paraId="38F53B18"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О ХОДЕ УДАРНОЙ РАБОТЫ В ВОКСе</w:t>
      </w:r>
    </w:p>
    <w:p w14:paraId="32E8D831" w14:textId="77777777" w:rsidR="00F118FC" w:rsidRPr="00507A31" w:rsidRDefault="00F118FC" w:rsidP="00507A31">
      <w:pPr>
        <w:pStyle w:val="ae"/>
        <w:spacing w:before="0" w:after="0"/>
        <w:jc w:val="both"/>
        <w:rPr>
          <w:color w:val="000000" w:themeColor="text1"/>
          <w:sz w:val="16"/>
          <w:szCs w:val="16"/>
        </w:rPr>
      </w:pPr>
      <w:r w:rsidRPr="00507A31">
        <w:rPr>
          <w:color w:val="000000" w:themeColor="text1"/>
          <w:sz w:val="16"/>
          <w:szCs w:val="16"/>
        </w:rPr>
        <w:t>на 8 декабря 1930 г.</w:t>
      </w:r>
    </w:p>
    <w:tbl>
      <w:tblPr>
        <w:tblW w:w="118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30"/>
        <w:gridCol w:w="2805"/>
        <w:gridCol w:w="3270"/>
        <w:gridCol w:w="3000"/>
      </w:tblGrid>
      <w:tr w:rsidR="00E371BA" w:rsidRPr="00507A31" w14:paraId="48DFFEF5"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9BAACCA" w14:textId="77777777" w:rsidR="00F118FC" w:rsidRPr="00507A31" w:rsidRDefault="00F118FC" w:rsidP="00507A31">
            <w:pPr>
              <w:jc w:val="both"/>
              <w:rPr>
                <w:color w:val="000000" w:themeColor="text1"/>
                <w:sz w:val="16"/>
                <w:szCs w:val="16"/>
              </w:rPr>
            </w:pPr>
            <w:r w:rsidRPr="00507A31">
              <w:rPr>
                <w:color w:val="000000" w:themeColor="text1"/>
                <w:sz w:val="16"/>
                <w:szCs w:val="16"/>
              </w:rPr>
              <w:t>Задание</w:t>
            </w:r>
          </w:p>
        </w:tc>
        <w:tc>
          <w:tcPr>
            <w:tcW w:w="2805" w:type="dxa"/>
            <w:tcBorders>
              <w:top w:val="outset" w:sz="6" w:space="0" w:color="auto"/>
              <w:left w:val="outset" w:sz="6" w:space="0" w:color="auto"/>
              <w:bottom w:val="outset" w:sz="6" w:space="0" w:color="auto"/>
              <w:right w:val="outset" w:sz="6" w:space="0" w:color="auto"/>
            </w:tcBorders>
            <w:vAlign w:val="center"/>
            <w:hideMark/>
          </w:tcPr>
          <w:p w14:paraId="798384D1" w14:textId="77777777" w:rsidR="00F118FC" w:rsidRPr="00507A31" w:rsidRDefault="00F118FC" w:rsidP="00507A31">
            <w:pPr>
              <w:jc w:val="both"/>
              <w:rPr>
                <w:color w:val="000000" w:themeColor="text1"/>
                <w:sz w:val="16"/>
                <w:szCs w:val="16"/>
              </w:rPr>
            </w:pPr>
            <w:r w:rsidRPr="00507A31">
              <w:rPr>
                <w:color w:val="000000" w:themeColor="text1"/>
                <w:sz w:val="16"/>
                <w:szCs w:val="16"/>
              </w:rPr>
              <w:t>§ плана</w:t>
            </w:r>
          </w:p>
        </w:tc>
        <w:tc>
          <w:tcPr>
            <w:tcW w:w="3270" w:type="dxa"/>
            <w:tcBorders>
              <w:top w:val="outset" w:sz="6" w:space="0" w:color="auto"/>
              <w:left w:val="outset" w:sz="6" w:space="0" w:color="auto"/>
              <w:bottom w:val="outset" w:sz="6" w:space="0" w:color="auto"/>
              <w:right w:val="outset" w:sz="6" w:space="0" w:color="auto"/>
            </w:tcBorders>
            <w:vAlign w:val="center"/>
            <w:hideMark/>
          </w:tcPr>
          <w:p w14:paraId="458B320C" w14:textId="77777777" w:rsidR="00F118FC" w:rsidRPr="00507A31" w:rsidRDefault="00F118FC" w:rsidP="00507A31">
            <w:pPr>
              <w:jc w:val="both"/>
              <w:rPr>
                <w:color w:val="000000" w:themeColor="text1"/>
                <w:sz w:val="16"/>
                <w:szCs w:val="16"/>
              </w:rPr>
            </w:pPr>
            <w:r w:rsidRPr="00507A31">
              <w:rPr>
                <w:color w:val="000000" w:themeColor="text1"/>
                <w:sz w:val="16"/>
                <w:szCs w:val="16"/>
              </w:rPr>
              <w:t>Исполнение</w:t>
            </w:r>
          </w:p>
        </w:tc>
        <w:tc>
          <w:tcPr>
            <w:tcW w:w="3000" w:type="dxa"/>
            <w:tcBorders>
              <w:top w:val="outset" w:sz="6" w:space="0" w:color="auto"/>
              <w:left w:val="outset" w:sz="6" w:space="0" w:color="auto"/>
              <w:bottom w:val="outset" w:sz="6" w:space="0" w:color="auto"/>
              <w:right w:val="outset" w:sz="6" w:space="0" w:color="auto"/>
            </w:tcBorders>
            <w:vAlign w:val="center"/>
            <w:hideMark/>
          </w:tcPr>
          <w:p w14:paraId="080BD466" w14:textId="77777777" w:rsidR="00F118FC" w:rsidRPr="00507A31" w:rsidRDefault="00F118FC" w:rsidP="00507A31">
            <w:pPr>
              <w:jc w:val="both"/>
              <w:rPr>
                <w:color w:val="000000" w:themeColor="text1"/>
                <w:sz w:val="16"/>
                <w:szCs w:val="16"/>
              </w:rPr>
            </w:pPr>
            <w:r w:rsidRPr="00507A31">
              <w:rPr>
                <w:color w:val="000000" w:themeColor="text1"/>
                <w:sz w:val="16"/>
                <w:szCs w:val="16"/>
              </w:rPr>
              <w:t>Задерживающие моменты в работе</w:t>
            </w:r>
          </w:p>
        </w:tc>
      </w:tr>
      <w:tr w:rsidR="00E371BA" w:rsidRPr="00507A31" w14:paraId="5B7D5161"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444D5CB" w14:textId="77777777" w:rsidR="00F118FC" w:rsidRPr="00507A31" w:rsidRDefault="00F118FC" w:rsidP="00507A31">
            <w:pPr>
              <w:jc w:val="both"/>
              <w:rPr>
                <w:color w:val="000000" w:themeColor="text1"/>
                <w:sz w:val="16"/>
                <w:szCs w:val="16"/>
              </w:rPr>
            </w:pPr>
            <w:r w:rsidRPr="00507A31">
              <w:rPr>
                <w:color w:val="000000" w:themeColor="text1"/>
                <w:sz w:val="16"/>
                <w:szCs w:val="16"/>
              </w:rPr>
              <w:lastRenderedPageBreak/>
              <w:t>По ОВС </w:t>
            </w:r>
          </w:p>
          <w:p w14:paraId="6FCAAFF3" w14:textId="77777777" w:rsidR="00F118FC" w:rsidRPr="00507A31" w:rsidRDefault="00F118FC" w:rsidP="00507A31">
            <w:pPr>
              <w:jc w:val="both"/>
              <w:rPr>
                <w:color w:val="000000" w:themeColor="text1"/>
                <w:sz w:val="16"/>
                <w:szCs w:val="16"/>
              </w:rPr>
            </w:pPr>
            <w:r w:rsidRPr="00507A31">
              <w:rPr>
                <w:color w:val="000000" w:themeColor="text1"/>
                <w:sz w:val="16"/>
                <w:szCs w:val="16"/>
              </w:rPr>
              <w:t>1) Посылка директивных писем уполномоченным по руководству обществами в связи с кампанией.</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DCCE9FF" w14:textId="77777777" w:rsidR="00F118FC" w:rsidRPr="00507A31" w:rsidRDefault="00F118FC" w:rsidP="00507A31">
            <w:pPr>
              <w:jc w:val="both"/>
              <w:rPr>
                <w:color w:val="000000" w:themeColor="text1"/>
                <w:sz w:val="16"/>
                <w:szCs w:val="16"/>
              </w:rPr>
            </w:pPr>
            <w:r w:rsidRPr="00507A31">
              <w:rPr>
                <w:color w:val="000000" w:themeColor="text1"/>
                <w:sz w:val="16"/>
                <w:szCs w:val="16"/>
              </w:rPr>
              <w:t>Прот.</w:t>
            </w:r>
          </w:p>
          <w:p w14:paraId="4939CB0E" w14:textId="77777777" w:rsidR="00F118FC" w:rsidRPr="00507A31" w:rsidRDefault="00F118FC" w:rsidP="00507A31">
            <w:pPr>
              <w:jc w:val="both"/>
              <w:rPr>
                <w:color w:val="000000" w:themeColor="text1"/>
                <w:sz w:val="16"/>
                <w:szCs w:val="16"/>
              </w:rPr>
            </w:pPr>
            <w:r w:rsidRPr="00507A31">
              <w:rPr>
                <w:color w:val="000000" w:themeColor="text1"/>
                <w:sz w:val="16"/>
                <w:szCs w:val="16"/>
              </w:rPr>
              <w:t>№2</w:t>
            </w:r>
          </w:p>
        </w:tc>
        <w:tc>
          <w:tcPr>
            <w:tcW w:w="3270" w:type="dxa"/>
            <w:tcBorders>
              <w:top w:val="outset" w:sz="6" w:space="0" w:color="auto"/>
              <w:left w:val="outset" w:sz="6" w:space="0" w:color="auto"/>
              <w:bottom w:val="outset" w:sz="6" w:space="0" w:color="auto"/>
              <w:right w:val="outset" w:sz="6" w:space="0" w:color="auto"/>
            </w:tcBorders>
            <w:vAlign w:val="center"/>
            <w:hideMark/>
          </w:tcPr>
          <w:p w14:paraId="492FB5BF" w14:textId="77777777" w:rsidR="00F118FC" w:rsidRPr="00507A31" w:rsidRDefault="00F118FC" w:rsidP="00507A31">
            <w:pPr>
              <w:jc w:val="both"/>
              <w:rPr>
                <w:color w:val="000000" w:themeColor="text1"/>
                <w:sz w:val="16"/>
                <w:szCs w:val="16"/>
              </w:rPr>
            </w:pPr>
            <w:r w:rsidRPr="00507A31">
              <w:rPr>
                <w:color w:val="000000" w:themeColor="text1"/>
                <w:sz w:val="16"/>
                <w:szCs w:val="16"/>
              </w:rPr>
              <w:t>Директивные письма по всем секторам ОВС разосланы, кроме стран, где нет уполномоченных (например, Голландия, Румыния, Болгария), и кроме стран, куда очередная почта пойдет 10-го (Австрия, Чехословакия).</w:t>
            </w:r>
          </w:p>
        </w:tc>
        <w:tc>
          <w:tcPr>
            <w:tcW w:w="3000" w:type="dxa"/>
            <w:tcBorders>
              <w:top w:val="outset" w:sz="6" w:space="0" w:color="auto"/>
              <w:left w:val="outset" w:sz="6" w:space="0" w:color="auto"/>
              <w:bottom w:val="outset" w:sz="6" w:space="0" w:color="auto"/>
              <w:right w:val="outset" w:sz="6" w:space="0" w:color="auto"/>
            </w:tcBorders>
            <w:vAlign w:val="center"/>
            <w:hideMark/>
          </w:tcPr>
          <w:p w14:paraId="465C3C2C"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r>
      <w:tr w:rsidR="00E371BA" w:rsidRPr="00507A31" w14:paraId="22A90A92"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71A7D791" w14:textId="77777777" w:rsidR="00F118FC" w:rsidRPr="00507A31" w:rsidRDefault="00F118FC" w:rsidP="00507A31">
            <w:pPr>
              <w:jc w:val="both"/>
              <w:rPr>
                <w:color w:val="000000" w:themeColor="text1"/>
                <w:sz w:val="16"/>
                <w:szCs w:val="16"/>
              </w:rPr>
            </w:pPr>
            <w:r w:rsidRPr="00507A31">
              <w:rPr>
                <w:color w:val="000000" w:themeColor="text1"/>
                <w:sz w:val="16"/>
                <w:szCs w:val="16"/>
              </w:rPr>
              <w:t>2) Посылка писем декларативного характера председателям Об-в и видным общественным деятелям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F05D401" w14:textId="77777777" w:rsidR="00F118FC" w:rsidRPr="00507A31" w:rsidRDefault="00F118FC" w:rsidP="00507A31">
            <w:pPr>
              <w:jc w:val="both"/>
              <w:rPr>
                <w:color w:val="000000" w:themeColor="text1"/>
                <w:sz w:val="16"/>
                <w:szCs w:val="16"/>
              </w:rPr>
            </w:pPr>
            <w:r w:rsidRPr="00507A31">
              <w:rPr>
                <w:color w:val="000000" w:themeColor="text1"/>
                <w:sz w:val="16"/>
                <w:szCs w:val="16"/>
              </w:rPr>
              <w:t>Прот.</w:t>
            </w:r>
          </w:p>
          <w:p w14:paraId="2DA30DCB" w14:textId="77777777" w:rsidR="00F118FC" w:rsidRPr="00507A31" w:rsidRDefault="00F118FC" w:rsidP="00507A31">
            <w:pPr>
              <w:jc w:val="both"/>
              <w:rPr>
                <w:color w:val="000000" w:themeColor="text1"/>
                <w:sz w:val="16"/>
                <w:szCs w:val="16"/>
              </w:rPr>
            </w:pPr>
            <w:r w:rsidRPr="00507A31">
              <w:rPr>
                <w:color w:val="000000" w:themeColor="text1"/>
                <w:sz w:val="16"/>
                <w:szCs w:val="16"/>
              </w:rPr>
              <w:t>№2</w:t>
            </w:r>
          </w:p>
        </w:tc>
        <w:tc>
          <w:tcPr>
            <w:tcW w:w="3270" w:type="dxa"/>
            <w:tcBorders>
              <w:top w:val="outset" w:sz="6" w:space="0" w:color="auto"/>
              <w:left w:val="outset" w:sz="6" w:space="0" w:color="auto"/>
              <w:bottom w:val="outset" w:sz="6" w:space="0" w:color="auto"/>
              <w:right w:val="outset" w:sz="6" w:space="0" w:color="auto"/>
            </w:tcBorders>
            <w:vAlign w:val="center"/>
            <w:hideMark/>
          </w:tcPr>
          <w:p w14:paraId="63550002" w14:textId="77777777" w:rsidR="00F118FC" w:rsidRPr="00507A31" w:rsidRDefault="00F118FC" w:rsidP="00507A31">
            <w:pPr>
              <w:jc w:val="both"/>
              <w:rPr>
                <w:color w:val="000000" w:themeColor="text1"/>
                <w:sz w:val="16"/>
                <w:szCs w:val="16"/>
              </w:rPr>
            </w:pPr>
            <w:r w:rsidRPr="00507A31">
              <w:rPr>
                <w:color w:val="000000" w:themeColor="text1"/>
                <w:sz w:val="16"/>
                <w:szCs w:val="16"/>
              </w:rPr>
              <w:t>Разосланы письма видным деятелям по Америке и Англии.</w:t>
            </w:r>
          </w:p>
        </w:tc>
        <w:tc>
          <w:tcPr>
            <w:tcW w:w="3000" w:type="dxa"/>
            <w:tcBorders>
              <w:top w:val="outset" w:sz="6" w:space="0" w:color="auto"/>
              <w:left w:val="outset" w:sz="6" w:space="0" w:color="auto"/>
              <w:bottom w:val="outset" w:sz="6" w:space="0" w:color="auto"/>
              <w:right w:val="outset" w:sz="6" w:space="0" w:color="auto"/>
            </w:tcBorders>
            <w:vAlign w:val="center"/>
            <w:hideMark/>
          </w:tcPr>
          <w:p w14:paraId="4EEE2FB5" w14:textId="77777777" w:rsidR="00F118FC" w:rsidRPr="00507A31" w:rsidRDefault="00F118FC" w:rsidP="00507A31">
            <w:pPr>
              <w:jc w:val="both"/>
              <w:rPr>
                <w:color w:val="000000" w:themeColor="text1"/>
                <w:sz w:val="16"/>
                <w:szCs w:val="16"/>
              </w:rPr>
            </w:pPr>
            <w:r w:rsidRPr="00507A31">
              <w:rPr>
                <w:color w:val="000000" w:themeColor="text1"/>
                <w:sz w:val="16"/>
                <w:szCs w:val="16"/>
              </w:rPr>
              <w:t>Рассылка писем предс. Об-в по Англо-Америк, и Романскому Секторам тормозится из-за невозможности до сих пор согласовать текст с т. Петровым.</w:t>
            </w:r>
          </w:p>
        </w:tc>
      </w:tr>
      <w:tr w:rsidR="00E371BA" w:rsidRPr="00507A31" w14:paraId="1DA32F40"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A075862" w14:textId="77777777" w:rsidR="00F118FC" w:rsidRPr="00507A31" w:rsidRDefault="00F118FC" w:rsidP="00507A31">
            <w:pPr>
              <w:jc w:val="both"/>
              <w:rPr>
                <w:color w:val="000000" w:themeColor="text1"/>
                <w:sz w:val="16"/>
                <w:szCs w:val="16"/>
              </w:rPr>
            </w:pPr>
            <w:r w:rsidRPr="00507A31">
              <w:rPr>
                <w:color w:val="000000" w:themeColor="text1"/>
                <w:sz w:val="16"/>
                <w:szCs w:val="16"/>
              </w:rPr>
              <w:t>3) Рассылка видным представителям зарубежной общественности анкеты об их отношении к интервенции.</w:t>
            </w:r>
          </w:p>
        </w:tc>
        <w:tc>
          <w:tcPr>
            <w:tcW w:w="2805" w:type="dxa"/>
            <w:tcBorders>
              <w:top w:val="outset" w:sz="6" w:space="0" w:color="auto"/>
              <w:left w:val="outset" w:sz="6" w:space="0" w:color="auto"/>
              <w:bottom w:val="outset" w:sz="6" w:space="0" w:color="auto"/>
              <w:right w:val="outset" w:sz="6" w:space="0" w:color="auto"/>
            </w:tcBorders>
            <w:vAlign w:val="center"/>
            <w:hideMark/>
          </w:tcPr>
          <w:p w14:paraId="16D67D2C" w14:textId="77777777" w:rsidR="00F118FC" w:rsidRPr="00507A31" w:rsidRDefault="00F118FC" w:rsidP="00507A31">
            <w:pPr>
              <w:jc w:val="both"/>
              <w:rPr>
                <w:color w:val="000000" w:themeColor="text1"/>
                <w:sz w:val="16"/>
                <w:szCs w:val="16"/>
              </w:rPr>
            </w:pPr>
            <w:r w:rsidRPr="00507A31">
              <w:rPr>
                <w:color w:val="000000" w:themeColor="text1"/>
                <w:sz w:val="16"/>
                <w:szCs w:val="16"/>
              </w:rPr>
              <w:t>Прот. №2</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D8CC518" w14:textId="77777777" w:rsidR="00F118FC" w:rsidRPr="00507A31" w:rsidRDefault="00F118FC" w:rsidP="00507A31">
            <w:pPr>
              <w:jc w:val="both"/>
              <w:rPr>
                <w:color w:val="000000" w:themeColor="text1"/>
                <w:sz w:val="16"/>
                <w:szCs w:val="16"/>
              </w:rPr>
            </w:pPr>
            <w:r w:rsidRPr="00507A31">
              <w:rPr>
                <w:color w:val="000000" w:themeColor="text1"/>
                <w:sz w:val="16"/>
                <w:szCs w:val="16"/>
              </w:rPr>
              <w:t>Не осуществлено.</w:t>
            </w:r>
          </w:p>
        </w:tc>
        <w:tc>
          <w:tcPr>
            <w:tcW w:w="3000" w:type="dxa"/>
            <w:tcBorders>
              <w:top w:val="outset" w:sz="6" w:space="0" w:color="auto"/>
              <w:left w:val="outset" w:sz="6" w:space="0" w:color="auto"/>
              <w:bottom w:val="outset" w:sz="6" w:space="0" w:color="auto"/>
              <w:right w:val="outset" w:sz="6" w:space="0" w:color="auto"/>
            </w:tcBorders>
            <w:vAlign w:val="center"/>
            <w:hideMark/>
          </w:tcPr>
          <w:p w14:paraId="5C7207D4" w14:textId="77777777" w:rsidR="00F118FC" w:rsidRPr="00507A31" w:rsidRDefault="00F118FC" w:rsidP="00507A31">
            <w:pPr>
              <w:jc w:val="both"/>
              <w:rPr>
                <w:color w:val="000000" w:themeColor="text1"/>
                <w:sz w:val="16"/>
                <w:szCs w:val="16"/>
              </w:rPr>
            </w:pPr>
            <w:r w:rsidRPr="00507A31">
              <w:rPr>
                <w:color w:val="000000" w:themeColor="text1"/>
                <w:sz w:val="16"/>
                <w:szCs w:val="16"/>
              </w:rPr>
              <w:t>т. Брук, которому было поручено организовать разработку анкеты силами членов секций, несмотря на все предпринятые шаги, пока это осуществить не удалось. Необходимо, чтобы т. Петров воздействовал на т. Бороздина, представителя этой бригады.</w:t>
            </w:r>
          </w:p>
        </w:tc>
      </w:tr>
      <w:tr w:rsidR="00E371BA" w:rsidRPr="00507A31" w14:paraId="111E4ED8"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18587EEC" w14:textId="77777777" w:rsidR="00F118FC" w:rsidRPr="00507A31" w:rsidRDefault="00F118FC" w:rsidP="00507A31">
            <w:pPr>
              <w:jc w:val="both"/>
              <w:rPr>
                <w:color w:val="000000" w:themeColor="text1"/>
                <w:sz w:val="16"/>
                <w:szCs w:val="16"/>
              </w:rPr>
            </w:pPr>
            <w:r w:rsidRPr="00507A31">
              <w:rPr>
                <w:color w:val="000000" w:themeColor="text1"/>
                <w:sz w:val="16"/>
                <w:szCs w:val="16"/>
              </w:rPr>
              <w:t>4) Разработка специального плана работы по Франции.</w:t>
            </w:r>
          </w:p>
          <w:p w14:paraId="1609E0F4"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p w14:paraId="1407B37B" w14:textId="77777777" w:rsidR="00F118FC" w:rsidRPr="00507A31" w:rsidRDefault="00F118FC" w:rsidP="00507A31">
            <w:pPr>
              <w:jc w:val="both"/>
              <w:rPr>
                <w:color w:val="000000" w:themeColor="text1"/>
                <w:sz w:val="16"/>
                <w:szCs w:val="16"/>
              </w:rPr>
            </w:pPr>
            <w:r w:rsidRPr="00507A31">
              <w:rPr>
                <w:color w:val="000000" w:themeColor="text1"/>
                <w:sz w:val="16"/>
                <w:szCs w:val="16"/>
              </w:rPr>
              <w:t>По линии участия НТС и Художествен. сектора в интенсификации работы за рубежом.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67D2A10" w14:textId="77777777" w:rsidR="00F118FC" w:rsidRPr="00507A31" w:rsidRDefault="00F118FC" w:rsidP="00507A31">
            <w:pPr>
              <w:jc w:val="both"/>
              <w:rPr>
                <w:color w:val="000000" w:themeColor="text1"/>
                <w:sz w:val="16"/>
                <w:szCs w:val="16"/>
              </w:rPr>
            </w:pPr>
            <w:r w:rsidRPr="00507A31">
              <w:rPr>
                <w:color w:val="000000" w:themeColor="text1"/>
                <w:sz w:val="16"/>
                <w:szCs w:val="16"/>
              </w:rPr>
              <w:t>Прот. №6</w:t>
            </w:r>
          </w:p>
          <w:p w14:paraId="0AC35A05"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p w14:paraId="036119C2" w14:textId="77777777" w:rsidR="00F118FC" w:rsidRPr="00507A31" w:rsidRDefault="00F118FC" w:rsidP="00507A31">
            <w:pPr>
              <w:jc w:val="both"/>
              <w:rPr>
                <w:color w:val="000000" w:themeColor="text1"/>
                <w:sz w:val="16"/>
                <w:szCs w:val="16"/>
              </w:rPr>
            </w:pPr>
            <w:r w:rsidRPr="00507A31">
              <w:rPr>
                <w:color w:val="000000" w:themeColor="text1"/>
                <w:sz w:val="16"/>
                <w:szCs w:val="16"/>
              </w:rPr>
              <w:t>Разд. IV плана НТС и Худож. сектора</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F25D3D6" w14:textId="77777777" w:rsidR="00F118FC" w:rsidRPr="00507A31" w:rsidRDefault="00F118FC" w:rsidP="00507A31">
            <w:pPr>
              <w:jc w:val="both"/>
              <w:rPr>
                <w:color w:val="000000" w:themeColor="text1"/>
                <w:sz w:val="16"/>
                <w:szCs w:val="16"/>
              </w:rPr>
            </w:pPr>
            <w:r w:rsidRPr="00507A31">
              <w:rPr>
                <w:color w:val="000000" w:themeColor="text1"/>
                <w:sz w:val="16"/>
                <w:szCs w:val="16"/>
              </w:rPr>
              <w:t>План разрабатывается т. Ингбер и будет представлен 9.XII.</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93C809A"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r>
      <w:tr w:rsidR="00E371BA" w:rsidRPr="00507A31" w14:paraId="69CB43B9"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2C35F1A" w14:textId="77777777" w:rsidR="00F118FC" w:rsidRPr="00507A31" w:rsidRDefault="00F118FC" w:rsidP="00507A31">
            <w:pPr>
              <w:jc w:val="both"/>
              <w:rPr>
                <w:color w:val="000000" w:themeColor="text1"/>
                <w:sz w:val="16"/>
                <w:szCs w:val="16"/>
              </w:rPr>
            </w:pPr>
            <w:r w:rsidRPr="00507A31">
              <w:rPr>
                <w:color w:val="000000" w:themeColor="text1"/>
                <w:sz w:val="16"/>
                <w:szCs w:val="16"/>
              </w:rPr>
              <w:t>5) Форсирование выпуска сборников, издаваемых секциями и Нацбюро.</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C244FD9" w14:textId="77777777" w:rsidR="00F118FC" w:rsidRPr="00507A31" w:rsidRDefault="00F118FC" w:rsidP="00507A31">
            <w:pPr>
              <w:jc w:val="both"/>
              <w:rPr>
                <w:color w:val="000000" w:themeColor="text1"/>
                <w:sz w:val="16"/>
                <w:szCs w:val="16"/>
              </w:rPr>
            </w:pPr>
            <w:r w:rsidRPr="00507A31">
              <w:rPr>
                <w:color w:val="000000" w:themeColor="text1"/>
                <w:sz w:val="16"/>
                <w:szCs w:val="16"/>
              </w:rPr>
              <w:t>§1</w:t>
            </w:r>
          </w:p>
        </w:tc>
        <w:tc>
          <w:tcPr>
            <w:tcW w:w="3270" w:type="dxa"/>
            <w:tcBorders>
              <w:top w:val="outset" w:sz="6" w:space="0" w:color="auto"/>
              <w:left w:val="outset" w:sz="6" w:space="0" w:color="auto"/>
              <w:bottom w:val="outset" w:sz="6" w:space="0" w:color="auto"/>
              <w:right w:val="outset" w:sz="6" w:space="0" w:color="auto"/>
            </w:tcBorders>
            <w:vAlign w:val="center"/>
            <w:hideMark/>
          </w:tcPr>
          <w:p w14:paraId="081804CA" w14:textId="77777777" w:rsidR="00F118FC" w:rsidRPr="00507A31" w:rsidRDefault="00F118FC" w:rsidP="00507A31">
            <w:pPr>
              <w:jc w:val="both"/>
              <w:rPr>
                <w:color w:val="000000" w:themeColor="text1"/>
                <w:sz w:val="16"/>
                <w:szCs w:val="16"/>
              </w:rPr>
            </w:pPr>
            <w:r w:rsidRPr="00507A31">
              <w:rPr>
                <w:color w:val="000000" w:themeColor="text1"/>
                <w:sz w:val="16"/>
                <w:szCs w:val="16"/>
              </w:rPr>
              <w:t>Разосланы письма всем авторам с просьбой ускорить присылку статей. Имеются по сборнику 7 статей (из 14), по национальному 6 (из 15), по медицинскому 2 (из 18), по археологическому — 16 (из 19), по музейному 9 (из 22).</w:t>
            </w:r>
          </w:p>
        </w:tc>
        <w:tc>
          <w:tcPr>
            <w:tcW w:w="3000" w:type="dxa"/>
            <w:tcBorders>
              <w:top w:val="outset" w:sz="6" w:space="0" w:color="auto"/>
              <w:left w:val="outset" w:sz="6" w:space="0" w:color="auto"/>
              <w:bottom w:val="outset" w:sz="6" w:space="0" w:color="auto"/>
              <w:right w:val="outset" w:sz="6" w:space="0" w:color="auto"/>
            </w:tcBorders>
            <w:vAlign w:val="center"/>
            <w:hideMark/>
          </w:tcPr>
          <w:p w14:paraId="1C7C5B67"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r>
      <w:tr w:rsidR="00E371BA" w:rsidRPr="00507A31" w14:paraId="2413B3E4"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5F21116" w14:textId="77777777" w:rsidR="00F118FC" w:rsidRPr="00507A31" w:rsidRDefault="00F118FC" w:rsidP="00507A31">
            <w:pPr>
              <w:jc w:val="both"/>
              <w:rPr>
                <w:color w:val="000000" w:themeColor="text1"/>
                <w:sz w:val="16"/>
                <w:szCs w:val="16"/>
              </w:rPr>
            </w:pPr>
            <w:r w:rsidRPr="00507A31">
              <w:rPr>
                <w:color w:val="000000" w:themeColor="text1"/>
                <w:sz w:val="16"/>
                <w:szCs w:val="16"/>
              </w:rPr>
              <w:t>6) Организация иллюстративных выставок-передвижек для ряда стран и передвижение выставок, находящихся за границей из одной страны в другую.</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2863CA8" w14:textId="77777777" w:rsidR="00F118FC" w:rsidRPr="00507A31" w:rsidRDefault="00F118FC" w:rsidP="00507A31">
            <w:pPr>
              <w:jc w:val="both"/>
              <w:rPr>
                <w:color w:val="000000" w:themeColor="text1"/>
                <w:sz w:val="16"/>
                <w:szCs w:val="16"/>
              </w:rPr>
            </w:pPr>
            <w:r w:rsidRPr="00507A31">
              <w:rPr>
                <w:color w:val="000000" w:themeColor="text1"/>
                <w:sz w:val="16"/>
                <w:szCs w:val="16"/>
              </w:rPr>
              <w:t>§4</w:t>
            </w:r>
          </w:p>
          <w:p w14:paraId="12D1AD56"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p w14:paraId="10F3677B" w14:textId="77777777" w:rsidR="00F118FC" w:rsidRPr="00507A31" w:rsidRDefault="00F118FC" w:rsidP="00507A31">
            <w:pPr>
              <w:jc w:val="both"/>
              <w:rPr>
                <w:color w:val="000000" w:themeColor="text1"/>
                <w:sz w:val="16"/>
                <w:szCs w:val="16"/>
              </w:rPr>
            </w:pPr>
            <w:r w:rsidRPr="00507A31">
              <w:rPr>
                <w:color w:val="000000" w:themeColor="text1"/>
                <w:sz w:val="16"/>
                <w:szCs w:val="16"/>
              </w:rPr>
              <w:t>§5</w:t>
            </w:r>
          </w:p>
        </w:tc>
        <w:tc>
          <w:tcPr>
            <w:tcW w:w="3270" w:type="dxa"/>
            <w:tcBorders>
              <w:top w:val="outset" w:sz="6" w:space="0" w:color="auto"/>
              <w:left w:val="outset" w:sz="6" w:space="0" w:color="auto"/>
              <w:bottom w:val="outset" w:sz="6" w:space="0" w:color="auto"/>
              <w:right w:val="outset" w:sz="6" w:space="0" w:color="auto"/>
            </w:tcBorders>
            <w:vAlign w:val="center"/>
            <w:hideMark/>
          </w:tcPr>
          <w:p w14:paraId="64D585BD"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E789C5E" w14:textId="77777777" w:rsidR="00F118FC" w:rsidRPr="00507A31" w:rsidRDefault="00F118FC" w:rsidP="00507A31">
            <w:pPr>
              <w:jc w:val="both"/>
              <w:rPr>
                <w:color w:val="000000" w:themeColor="text1"/>
                <w:sz w:val="16"/>
                <w:szCs w:val="16"/>
              </w:rPr>
            </w:pPr>
            <w:r w:rsidRPr="00507A31">
              <w:rPr>
                <w:color w:val="000000" w:themeColor="text1"/>
                <w:sz w:val="16"/>
                <w:szCs w:val="16"/>
              </w:rPr>
              <w:t>Ввиду постановления ударной комиссии прот. № 7 (о пересмотре тех стран, куда должны направляться выставки в соответствии с задачами кампании) Отделом Выставок перерабатывается этот раздел плана и 8/ХII он сдан в окончательной форме в комиссию.</w:t>
            </w:r>
          </w:p>
        </w:tc>
      </w:tr>
      <w:tr w:rsidR="00E371BA" w:rsidRPr="00507A31" w14:paraId="3693CB1D"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2E9017B" w14:textId="77777777" w:rsidR="00F118FC" w:rsidRPr="00507A31" w:rsidRDefault="00F118FC" w:rsidP="00507A31">
            <w:pPr>
              <w:jc w:val="both"/>
              <w:rPr>
                <w:color w:val="000000" w:themeColor="text1"/>
                <w:sz w:val="16"/>
                <w:szCs w:val="16"/>
              </w:rPr>
            </w:pPr>
            <w:r w:rsidRPr="00507A31">
              <w:rPr>
                <w:color w:val="000000" w:themeColor="text1"/>
                <w:sz w:val="16"/>
                <w:szCs w:val="16"/>
              </w:rPr>
              <w:t>7) Пополнение биб[лиоте]к обществ литературой.</w:t>
            </w:r>
          </w:p>
        </w:tc>
        <w:tc>
          <w:tcPr>
            <w:tcW w:w="2805" w:type="dxa"/>
            <w:tcBorders>
              <w:top w:val="outset" w:sz="6" w:space="0" w:color="auto"/>
              <w:left w:val="outset" w:sz="6" w:space="0" w:color="auto"/>
              <w:bottom w:val="outset" w:sz="6" w:space="0" w:color="auto"/>
              <w:right w:val="outset" w:sz="6" w:space="0" w:color="auto"/>
            </w:tcBorders>
            <w:vAlign w:val="center"/>
            <w:hideMark/>
          </w:tcPr>
          <w:p w14:paraId="5FEA8261" w14:textId="77777777" w:rsidR="00F118FC" w:rsidRPr="00507A31" w:rsidRDefault="00F118FC" w:rsidP="00507A31">
            <w:pPr>
              <w:jc w:val="both"/>
              <w:rPr>
                <w:color w:val="000000" w:themeColor="text1"/>
                <w:sz w:val="16"/>
                <w:szCs w:val="16"/>
              </w:rPr>
            </w:pPr>
            <w:r w:rsidRPr="00507A31">
              <w:rPr>
                <w:color w:val="000000" w:themeColor="text1"/>
                <w:sz w:val="16"/>
                <w:szCs w:val="16"/>
              </w:rPr>
              <w:t>план</w:t>
            </w:r>
          </w:p>
          <w:p w14:paraId="4298B401" w14:textId="77777777" w:rsidR="00F118FC" w:rsidRPr="00507A31" w:rsidRDefault="00F118FC" w:rsidP="00507A31">
            <w:pPr>
              <w:jc w:val="both"/>
              <w:rPr>
                <w:color w:val="000000" w:themeColor="text1"/>
                <w:sz w:val="16"/>
                <w:szCs w:val="16"/>
              </w:rPr>
            </w:pPr>
            <w:r w:rsidRPr="00507A31">
              <w:rPr>
                <w:color w:val="000000" w:themeColor="text1"/>
                <w:sz w:val="16"/>
                <w:szCs w:val="16"/>
              </w:rPr>
              <w:t>§6</w:t>
            </w:r>
          </w:p>
        </w:tc>
        <w:tc>
          <w:tcPr>
            <w:tcW w:w="3270" w:type="dxa"/>
            <w:tcBorders>
              <w:top w:val="outset" w:sz="6" w:space="0" w:color="auto"/>
              <w:left w:val="outset" w:sz="6" w:space="0" w:color="auto"/>
              <w:bottom w:val="outset" w:sz="6" w:space="0" w:color="auto"/>
              <w:right w:val="outset" w:sz="6" w:space="0" w:color="auto"/>
            </w:tcBorders>
            <w:vAlign w:val="center"/>
            <w:hideMark/>
          </w:tcPr>
          <w:p w14:paraId="773E725C" w14:textId="77777777" w:rsidR="00F118FC" w:rsidRPr="00507A31" w:rsidRDefault="00F118FC" w:rsidP="00507A31">
            <w:pPr>
              <w:jc w:val="both"/>
              <w:rPr>
                <w:color w:val="000000" w:themeColor="text1"/>
                <w:sz w:val="16"/>
                <w:szCs w:val="16"/>
              </w:rPr>
            </w:pPr>
            <w:r w:rsidRPr="00507A31">
              <w:rPr>
                <w:color w:val="000000" w:themeColor="text1"/>
                <w:sz w:val="16"/>
                <w:szCs w:val="16"/>
              </w:rPr>
              <w:t>т.т. Песис и Брук разрабатывается тематика для закупки книг.</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1B6381F"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r>
      <w:tr w:rsidR="00E371BA" w:rsidRPr="00507A31" w14:paraId="03F35F0C"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EE3E6CF" w14:textId="77777777" w:rsidR="00F118FC" w:rsidRPr="00507A31" w:rsidRDefault="00F118FC" w:rsidP="00507A31">
            <w:pPr>
              <w:jc w:val="both"/>
              <w:rPr>
                <w:color w:val="000000" w:themeColor="text1"/>
                <w:sz w:val="16"/>
                <w:szCs w:val="16"/>
              </w:rPr>
            </w:pPr>
            <w:r w:rsidRPr="00507A31">
              <w:rPr>
                <w:color w:val="000000" w:themeColor="text1"/>
                <w:sz w:val="16"/>
                <w:szCs w:val="16"/>
              </w:rPr>
              <w:t>8) Снабжение статьями и материалами видных представителей науки и искусства за рубежом.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681A73C8" w14:textId="77777777" w:rsidR="00F118FC" w:rsidRPr="00507A31" w:rsidRDefault="00F118FC" w:rsidP="00507A31">
            <w:pPr>
              <w:jc w:val="both"/>
              <w:rPr>
                <w:color w:val="000000" w:themeColor="text1"/>
                <w:sz w:val="16"/>
                <w:szCs w:val="16"/>
              </w:rPr>
            </w:pPr>
            <w:r w:rsidRPr="00507A31">
              <w:rPr>
                <w:color w:val="000000" w:themeColor="text1"/>
                <w:sz w:val="16"/>
                <w:szCs w:val="16"/>
              </w:rPr>
              <w:t>§7</w:t>
            </w:r>
          </w:p>
        </w:tc>
        <w:tc>
          <w:tcPr>
            <w:tcW w:w="3270" w:type="dxa"/>
            <w:tcBorders>
              <w:top w:val="outset" w:sz="6" w:space="0" w:color="auto"/>
              <w:left w:val="outset" w:sz="6" w:space="0" w:color="auto"/>
              <w:bottom w:val="outset" w:sz="6" w:space="0" w:color="auto"/>
              <w:right w:val="outset" w:sz="6" w:space="0" w:color="auto"/>
            </w:tcBorders>
            <w:vAlign w:val="center"/>
            <w:hideMark/>
          </w:tcPr>
          <w:p w14:paraId="59D89EAA" w14:textId="77777777" w:rsidR="00F118FC" w:rsidRPr="00507A31" w:rsidRDefault="00F118FC" w:rsidP="00507A31">
            <w:pPr>
              <w:jc w:val="both"/>
              <w:rPr>
                <w:color w:val="000000" w:themeColor="text1"/>
                <w:sz w:val="16"/>
                <w:szCs w:val="16"/>
              </w:rPr>
            </w:pPr>
            <w:r w:rsidRPr="00507A31">
              <w:rPr>
                <w:color w:val="000000" w:themeColor="text1"/>
                <w:sz w:val="16"/>
                <w:szCs w:val="16"/>
              </w:rPr>
              <w:t>Рассылаются по всем странам след, материалы: по пятилетке: альбом, наборы плакатов, карты с иностранным текстом, «Пятилетка для детей». Подбираются фотографии, плакаты и книги. Инопрессой заказаны статьи на тему «Итоги 2-х лет пятилетки», «Массовые культурные кампании» и т. д. В секциях разрабатывается тематика статей в связи с кампанией. Подсекция приступила к заказу статей. В след, сводке будет дан список статей в связи с кампанией.</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64BC5E2"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r>
      <w:tr w:rsidR="00E371BA" w:rsidRPr="00507A31" w14:paraId="61CC9184"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A921113" w14:textId="77777777" w:rsidR="00F118FC" w:rsidRPr="00507A31" w:rsidRDefault="00F118FC" w:rsidP="00507A31">
            <w:pPr>
              <w:jc w:val="both"/>
              <w:rPr>
                <w:color w:val="000000" w:themeColor="text1"/>
                <w:sz w:val="16"/>
                <w:szCs w:val="16"/>
              </w:rPr>
            </w:pPr>
            <w:r w:rsidRPr="00507A31">
              <w:rPr>
                <w:color w:val="000000" w:themeColor="text1"/>
                <w:sz w:val="16"/>
                <w:szCs w:val="16"/>
              </w:rPr>
              <w:t>9) Использование командируемых за границу ученых для чтения докладов по заданиям ВОКС.</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0A5C4D8" w14:textId="77777777" w:rsidR="00F118FC" w:rsidRPr="00507A31" w:rsidRDefault="00F118FC" w:rsidP="00507A31">
            <w:pPr>
              <w:jc w:val="both"/>
              <w:rPr>
                <w:color w:val="000000" w:themeColor="text1"/>
                <w:sz w:val="16"/>
                <w:szCs w:val="16"/>
              </w:rPr>
            </w:pPr>
            <w:r w:rsidRPr="00507A31">
              <w:rPr>
                <w:color w:val="000000" w:themeColor="text1"/>
                <w:sz w:val="16"/>
                <w:szCs w:val="16"/>
              </w:rPr>
              <w:t>§7</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27D5C20"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c>
          <w:tcPr>
            <w:tcW w:w="3000" w:type="dxa"/>
            <w:tcBorders>
              <w:top w:val="outset" w:sz="6" w:space="0" w:color="auto"/>
              <w:left w:val="outset" w:sz="6" w:space="0" w:color="auto"/>
              <w:bottom w:val="outset" w:sz="6" w:space="0" w:color="auto"/>
              <w:right w:val="outset" w:sz="6" w:space="0" w:color="auto"/>
            </w:tcBorders>
            <w:vAlign w:val="center"/>
            <w:hideMark/>
          </w:tcPr>
          <w:p w14:paraId="0E44004F" w14:textId="77777777" w:rsidR="00F118FC" w:rsidRPr="00507A31" w:rsidRDefault="00F118FC" w:rsidP="00507A31">
            <w:pPr>
              <w:jc w:val="both"/>
              <w:rPr>
                <w:color w:val="000000" w:themeColor="text1"/>
                <w:sz w:val="16"/>
                <w:szCs w:val="16"/>
              </w:rPr>
            </w:pPr>
            <w:r w:rsidRPr="00507A31">
              <w:rPr>
                <w:color w:val="000000" w:themeColor="text1"/>
                <w:sz w:val="16"/>
                <w:szCs w:val="16"/>
              </w:rPr>
              <w:t>По полученным сведениям в связи с финансовыми затруднениями в ближайшем будущем командировок не предвидится.</w:t>
            </w:r>
          </w:p>
        </w:tc>
      </w:tr>
      <w:tr w:rsidR="00E371BA" w:rsidRPr="00507A31" w14:paraId="1A32F364"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7FF76558" w14:textId="77777777" w:rsidR="00F118FC" w:rsidRPr="00507A31" w:rsidRDefault="00F118FC" w:rsidP="00507A31">
            <w:pPr>
              <w:jc w:val="both"/>
              <w:rPr>
                <w:color w:val="000000" w:themeColor="text1"/>
                <w:sz w:val="16"/>
                <w:szCs w:val="16"/>
              </w:rPr>
            </w:pPr>
            <w:r w:rsidRPr="00507A31">
              <w:rPr>
                <w:color w:val="000000" w:themeColor="text1"/>
                <w:sz w:val="16"/>
                <w:szCs w:val="16"/>
              </w:rPr>
              <w:t>10) Усиленный обмен молодыми художественно-музыкальными силами между СССР и др. странами.</w:t>
            </w:r>
          </w:p>
        </w:tc>
        <w:tc>
          <w:tcPr>
            <w:tcW w:w="2805" w:type="dxa"/>
            <w:tcBorders>
              <w:top w:val="outset" w:sz="6" w:space="0" w:color="auto"/>
              <w:left w:val="outset" w:sz="6" w:space="0" w:color="auto"/>
              <w:bottom w:val="outset" w:sz="6" w:space="0" w:color="auto"/>
              <w:right w:val="outset" w:sz="6" w:space="0" w:color="auto"/>
            </w:tcBorders>
            <w:vAlign w:val="center"/>
            <w:hideMark/>
          </w:tcPr>
          <w:p w14:paraId="50F7CC7D" w14:textId="77777777" w:rsidR="00F118FC" w:rsidRPr="00507A31" w:rsidRDefault="00F118FC" w:rsidP="00507A31">
            <w:pPr>
              <w:jc w:val="both"/>
              <w:rPr>
                <w:color w:val="000000" w:themeColor="text1"/>
                <w:sz w:val="16"/>
                <w:szCs w:val="16"/>
              </w:rPr>
            </w:pPr>
            <w:r w:rsidRPr="00507A31">
              <w:rPr>
                <w:color w:val="000000" w:themeColor="text1"/>
                <w:sz w:val="16"/>
                <w:szCs w:val="16"/>
              </w:rPr>
              <w:t>§13</w:t>
            </w:r>
          </w:p>
        </w:tc>
        <w:tc>
          <w:tcPr>
            <w:tcW w:w="3270" w:type="dxa"/>
            <w:tcBorders>
              <w:top w:val="outset" w:sz="6" w:space="0" w:color="auto"/>
              <w:left w:val="outset" w:sz="6" w:space="0" w:color="auto"/>
              <w:bottom w:val="outset" w:sz="6" w:space="0" w:color="auto"/>
              <w:right w:val="outset" w:sz="6" w:space="0" w:color="auto"/>
            </w:tcBorders>
            <w:vAlign w:val="center"/>
            <w:hideMark/>
          </w:tcPr>
          <w:p w14:paraId="4D6CCA6D" w14:textId="77777777" w:rsidR="00F118FC" w:rsidRPr="00507A31" w:rsidRDefault="00F118FC" w:rsidP="00507A31">
            <w:pPr>
              <w:jc w:val="both"/>
              <w:rPr>
                <w:color w:val="000000" w:themeColor="text1"/>
                <w:sz w:val="16"/>
                <w:szCs w:val="16"/>
              </w:rPr>
            </w:pPr>
            <w:r w:rsidRPr="00507A31">
              <w:rPr>
                <w:color w:val="000000" w:themeColor="text1"/>
                <w:sz w:val="16"/>
                <w:szCs w:val="16"/>
              </w:rPr>
              <w:t>Разрабатывается план по обмену с Чехословакией, Австрией, Германией, Польшей и Литвой. Посылается музыкальная бригада в Чехословакию, Австрию и Германию, в Польшу (3 лауреата), в Литву — 2.</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19E8A77"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r>
      <w:tr w:rsidR="00E371BA" w:rsidRPr="00507A31" w14:paraId="63AB40A9"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FAFF5FB" w14:textId="77777777" w:rsidR="00F118FC" w:rsidRPr="00507A31" w:rsidRDefault="00F118FC" w:rsidP="00507A31">
            <w:pPr>
              <w:jc w:val="both"/>
              <w:rPr>
                <w:color w:val="000000" w:themeColor="text1"/>
                <w:sz w:val="16"/>
                <w:szCs w:val="16"/>
              </w:rPr>
            </w:pPr>
            <w:r w:rsidRPr="00507A31">
              <w:rPr>
                <w:color w:val="000000" w:themeColor="text1"/>
                <w:sz w:val="16"/>
                <w:szCs w:val="16"/>
              </w:rPr>
              <w:t>По Отделу Печати</w:t>
            </w:r>
          </w:p>
          <w:p w14:paraId="0C7C6FEF"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p w14:paraId="1CDEDDD2" w14:textId="77777777" w:rsidR="00F118FC" w:rsidRPr="00507A31" w:rsidRDefault="00F118FC" w:rsidP="00507A31">
            <w:pPr>
              <w:jc w:val="both"/>
              <w:rPr>
                <w:color w:val="000000" w:themeColor="text1"/>
                <w:sz w:val="16"/>
                <w:szCs w:val="16"/>
              </w:rPr>
            </w:pPr>
            <w:r w:rsidRPr="00507A31">
              <w:rPr>
                <w:color w:val="000000" w:themeColor="text1"/>
                <w:sz w:val="16"/>
                <w:szCs w:val="16"/>
              </w:rPr>
              <w:t>А. По брошюре.</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CF08B65"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23206DD2"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E21D9BF" w14:textId="77777777" w:rsidR="00F118FC" w:rsidRPr="00507A31" w:rsidRDefault="00F118FC" w:rsidP="00507A31">
            <w:pPr>
              <w:jc w:val="both"/>
              <w:rPr>
                <w:color w:val="000000" w:themeColor="text1"/>
                <w:sz w:val="16"/>
                <w:szCs w:val="16"/>
              </w:rPr>
            </w:pPr>
            <w:r w:rsidRPr="00507A31">
              <w:rPr>
                <w:color w:val="000000" w:themeColor="text1"/>
                <w:sz w:val="16"/>
                <w:szCs w:val="16"/>
              </w:rPr>
              <w:t>Срок представления статей назначен на 8.XII, но поступление статей в этот срок сомнительно, т. к. по самому объему своему статьи в данный срок вряд ли смогут быть закончены авторами.</w:t>
            </w:r>
          </w:p>
        </w:tc>
      </w:tr>
      <w:tr w:rsidR="00E371BA" w:rsidRPr="00507A31" w14:paraId="3410F38E"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BDC9027" w14:textId="77777777" w:rsidR="00F118FC" w:rsidRPr="00507A31" w:rsidRDefault="00F118FC" w:rsidP="00507A31">
            <w:pPr>
              <w:jc w:val="both"/>
              <w:rPr>
                <w:color w:val="000000" w:themeColor="text1"/>
                <w:sz w:val="16"/>
                <w:szCs w:val="16"/>
              </w:rPr>
            </w:pPr>
            <w:r w:rsidRPr="00507A31">
              <w:rPr>
                <w:color w:val="000000" w:themeColor="text1"/>
                <w:sz w:val="16"/>
                <w:szCs w:val="16"/>
              </w:rPr>
              <w:t>Б. По журналу.</w:t>
            </w:r>
          </w:p>
        </w:tc>
        <w:tc>
          <w:tcPr>
            <w:tcW w:w="2805" w:type="dxa"/>
            <w:tcBorders>
              <w:top w:val="outset" w:sz="6" w:space="0" w:color="auto"/>
              <w:left w:val="outset" w:sz="6" w:space="0" w:color="auto"/>
              <w:bottom w:val="outset" w:sz="6" w:space="0" w:color="auto"/>
              <w:right w:val="outset" w:sz="6" w:space="0" w:color="auto"/>
            </w:tcBorders>
            <w:vAlign w:val="center"/>
            <w:hideMark/>
          </w:tcPr>
          <w:p w14:paraId="1792EC35"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7A7C5E07" w14:textId="77777777" w:rsidR="00F118FC" w:rsidRPr="00507A31" w:rsidRDefault="00F118FC" w:rsidP="00507A31">
            <w:pPr>
              <w:jc w:val="both"/>
              <w:rPr>
                <w:color w:val="000000" w:themeColor="text1"/>
                <w:sz w:val="16"/>
                <w:szCs w:val="16"/>
              </w:rPr>
            </w:pPr>
            <w:r w:rsidRPr="00507A31">
              <w:rPr>
                <w:color w:val="000000" w:themeColor="text1"/>
                <w:sz w:val="16"/>
                <w:szCs w:val="16"/>
              </w:rPr>
              <w:t>1) Сдана в перевод статья «Как работает СССР».</w:t>
            </w:r>
          </w:p>
          <w:p w14:paraId="10303C44" w14:textId="77777777" w:rsidR="00F118FC" w:rsidRPr="00507A31" w:rsidRDefault="00F118FC" w:rsidP="00507A31">
            <w:pPr>
              <w:jc w:val="both"/>
              <w:rPr>
                <w:color w:val="000000" w:themeColor="text1"/>
                <w:sz w:val="16"/>
                <w:szCs w:val="16"/>
              </w:rPr>
            </w:pPr>
            <w:r w:rsidRPr="00507A31">
              <w:rPr>
                <w:color w:val="000000" w:themeColor="text1"/>
                <w:sz w:val="16"/>
                <w:szCs w:val="16"/>
              </w:rPr>
              <w:t>2) Сдана на машинку статья о ликвидации безработицы.</w:t>
            </w:r>
          </w:p>
          <w:p w14:paraId="2584AAC9" w14:textId="77777777" w:rsidR="00F118FC" w:rsidRPr="00507A31" w:rsidRDefault="00F118FC" w:rsidP="00507A31">
            <w:pPr>
              <w:jc w:val="both"/>
              <w:rPr>
                <w:color w:val="000000" w:themeColor="text1"/>
                <w:sz w:val="16"/>
                <w:szCs w:val="16"/>
              </w:rPr>
            </w:pPr>
            <w:r w:rsidRPr="00507A31">
              <w:rPr>
                <w:color w:val="000000" w:themeColor="text1"/>
                <w:sz w:val="16"/>
                <w:szCs w:val="16"/>
              </w:rPr>
              <w:t>3) Подобран материал по откликам советской общественности на процесс.</w:t>
            </w:r>
          </w:p>
          <w:p w14:paraId="6D98AFB1" w14:textId="77777777" w:rsidR="00F118FC" w:rsidRPr="00507A31" w:rsidRDefault="00F118FC" w:rsidP="00507A31">
            <w:pPr>
              <w:jc w:val="both"/>
              <w:rPr>
                <w:color w:val="000000" w:themeColor="text1"/>
                <w:sz w:val="16"/>
                <w:szCs w:val="16"/>
              </w:rPr>
            </w:pPr>
            <w:r w:rsidRPr="00507A31">
              <w:rPr>
                <w:color w:val="000000" w:themeColor="text1"/>
                <w:sz w:val="16"/>
                <w:szCs w:val="16"/>
              </w:rPr>
              <w:t>4) Заказаны (4.XII) статьи: «Рамзины и интеллигенция в СССР» и «Процесс промпартии».</w:t>
            </w:r>
          </w:p>
          <w:p w14:paraId="15990EDE" w14:textId="77777777" w:rsidR="00F118FC" w:rsidRPr="00507A31" w:rsidRDefault="00F118FC" w:rsidP="00507A31">
            <w:pPr>
              <w:jc w:val="both"/>
              <w:rPr>
                <w:color w:val="000000" w:themeColor="text1"/>
                <w:sz w:val="16"/>
                <w:szCs w:val="16"/>
              </w:rPr>
            </w:pPr>
            <w:r w:rsidRPr="00507A31">
              <w:rPr>
                <w:color w:val="000000" w:themeColor="text1"/>
                <w:sz w:val="16"/>
                <w:szCs w:val="16"/>
              </w:rPr>
              <w:t>5) Заказана статья «Два первых года пятилетки» (2.XII). Сдано в набор 25 % текста.</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BDC0DFA"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r>
      <w:tr w:rsidR="00E371BA" w:rsidRPr="00507A31" w14:paraId="7539DC2F"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095C7039" w14:textId="77777777" w:rsidR="00F118FC" w:rsidRPr="00507A31" w:rsidRDefault="00F118FC" w:rsidP="00507A31">
            <w:pPr>
              <w:jc w:val="both"/>
              <w:rPr>
                <w:color w:val="000000" w:themeColor="text1"/>
                <w:sz w:val="16"/>
                <w:szCs w:val="16"/>
              </w:rPr>
            </w:pPr>
            <w:r w:rsidRPr="00507A31">
              <w:rPr>
                <w:color w:val="000000" w:themeColor="text1"/>
                <w:sz w:val="16"/>
                <w:szCs w:val="16"/>
              </w:rPr>
              <w:t>В. По бюллетеню. Бюллетень № 1 и резолюция.</w:t>
            </w:r>
          </w:p>
        </w:tc>
        <w:tc>
          <w:tcPr>
            <w:tcW w:w="2805" w:type="dxa"/>
            <w:tcBorders>
              <w:top w:val="outset" w:sz="6" w:space="0" w:color="auto"/>
              <w:left w:val="outset" w:sz="6" w:space="0" w:color="auto"/>
              <w:bottom w:val="outset" w:sz="6" w:space="0" w:color="auto"/>
              <w:right w:val="outset" w:sz="6" w:space="0" w:color="auto"/>
            </w:tcBorders>
            <w:vAlign w:val="center"/>
            <w:hideMark/>
          </w:tcPr>
          <w:p w14:paraId="3A49E1D2"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F690816" w14:textId="77777777" w:rsidR="00F118FC" w:rsidRPr="00507A31" w:rsidRDefault="00F118FC" w:rsidP="00507A31">
            <w:pPr>
              <w:jc w:val="both"/>
              <w:rPr>
                <w:color w:val="000000" w:themeColor="text1"/>
                <w:sz w:val="16"/>
                <w:szCs w:val="16"/>
              </w:rPr>
            </w:pPr>
            <w:r w:rsidRPr="00507A31">
              <w:rPr>
                <w:color w:val="000000" w:themeColor="text1"/>
                <w:sz w:val="16"/>
                <w:szCs w:val="16"/>
              </w:rPr>
              <w:t>Бюллетень составлен, переведен, напечатан и разослан. Русск. — 320, фр. — 640, немецк. —  1065, англ. — 920.</w:t>
            </w:r>
          </w:p>
          <w:p w14:paraId="3B6802D1" w14:textId="77777777" w:rsidR="00F118FC" w:rsidRPr="00507A31" w:rsidRDefault="00F118FC" w:rsidP="00507A31">
            <w:pPr>
              <w:jc w:val="both"/>
              <w:rPr>
                <w:color w:val="000000" w:themeColor="text1"/>
                <w:sz w:val="16"/>
                <w:szCs w:val="16"/>
              </w:rPr>
            </w:pPr>
            <w:r w:rsidRPr="00507A31">
              <w:rPr>
                <w:color w:val="000000" w:themeColor="text1"/>
                <w:sz w:val="16"/>
                <w:szCs w:val="16"/>
              </w:rPr>
              <w:t>В СССР — 650, за границу — 2215.</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040E910"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r>
      <w:tr w:rsidR="00E371BA" w:rsidRPr="00507A31" w14:paraId="468A0F63"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7C0DAF4" w14:textId="77777777" w:rsidR="00F118FC" w:rsidRPr="00507A31" w:rsidRDefault="00F118FC" w:rsidP="00507A31">
            <w:pPr>
              <w:jc w:val="both"/>
              <w:rPr>
                <w:color w:val="000000" w:themeColor="text1"/>
                <w:sz w:val="16"/>
                <w:szCs w:val="16"/>
              </w:rPr>
            </w:pPr>
            <w:r w:rsidRPr="00507A31">
              <w:rPr>
                <w:color w:val="000000" w:themeColor="text1"/>
                <w:sz w:val="16"/>
                <w:szCs w:val="16"/>
              </w:rPr>
              <w:t>Бюллетень № 2</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C9CA16D"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2FE9A3D2" w14:textId="77777777" w:rsidR="00F118FC" w:rsidRPr="00507A31" w:rsidRDefault="00F118FC" w:rsidP="00507A31">
            <w:pPr>
              <w:jc w:val="both"/>
              <w:rPr>
                <w:color w:val="000000" w:themeColor="text1"/>
                <w:sz w:val="16"/>
                <w:szCs w:val="16"/>
              </w:rPr>
            </w:pPr>
            <w:r w:rsidRPr="00507A31">
              <w:rPr>
                <w:color w:val="000000" w:themeColor="text1"/>
                <w:sz w:val="16"/>
                <w:szCs w:val="16"/>
              </w:rPr>
              <w:t>Бюллетень составлен, переведен и находится в печати.</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13E853C" w14:textId="77777777" w:rsidR="00F118FC" w:rsidRPr="00507A31" w:rsidRDefault="00F118FC" w:rsidP="00507A31">
            <w:pPr>
              <w:jc w:val="both"/>
              <w:rPr>
                <w:color w:val="000000" w:themeColor="text1"/>
                <w:sz w:val="16"/>
                <w:szCs w:val="16"/>
              </w:rPr>
            </w:pPr>
            <w:r w:rsidRPr="00507A31">
              <w:rPr>
                <w:color w:val="000000" w:themeColor="text1"/>
                <w:sz w:val="16"/>
                <w:szCs w:val="16"/>
              </w:rPr>
              <w:t>1) 2-й бюллетень находится в течение 3-х дней у политредактора.</w:t>
            </w:r>
          </w:p>
        </w:tc>
      </w:tr>
      <w:tr w:rsidR="00E371BA" w:rsidRPr="00507A31" w14:paraId="54473496"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97D1278" w14:textId="77777777" w:rsidR="00F118FC" w:rsidRPr="00507A31" w:rsidRDefault="00F118FC" w:rsidP="00507A31">
            <w:pPr>
              <w:jc w:val="both"/>
              <w:rPr>
                <w:color w:val="000000" w:themeColor="text1"/>
                <w:sz w:val="16"/>
                <w:szCs w:val="16"/>
              </w:rPr>
            </w:pPr>
            <w:r w:rsidRPr="00507A31">
              <w:rPr>
                <w:color w:val="000000" w:themeColor="text1"/>
                <w:sz w:val="16"/>
                <w:szCs w:val="16"/>
              </w:rPr>
              <w:t>Бюллетень № 3</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E3A66B4"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7182CA73" w14:textId="77777777" w:rsidR="00F118FC" w:rsidRPr="00507A31" w:rsidRDefault="00F118FC" w:rsidP="00507A31">
            <w:pPr>
              <w:jc w:val="both"/>
              <w:rPr>
                <w:color w:val="000000" w:themeColor="text1"/>
                <w:sz w:val="16"/>
                <w:szCs w:val="16"/>
              </w:rPr>
            </w:pPr>
            <w:r w:rsidRPr="00507A31">
              <w:rPr>
                <w:color w:val="000000" w:themeColor="text1"/>
                <w:sz w:val="16"/>
                <w:szCs w:val="16"/>
              </w:rPr>
              <w:t>Материал для бюллетеня получен, находится в переводе (см. приложение № 1 — содержание 3-х номеров информац. бюллетеня).</w:t>
            </w:r>
          </w:p>
        </w:tc>
        <w:tc>
          <w:tcPr>
            <w:tcW w:w="3000" w:type="dxa"/>
            <w:tcBorders>
              <w:top w:val="outset" w:sz="6" w:space="0" w:color="auto"/>
              <w:left w:val="outset" w:sz="6" w:space="0" w:color="auto"/>
              <w:bottom w:val="outset" w:sz="6" w:space="0" w:color="auto"/>
              <w:right w:val="outset" w:sz="6" w:space="0" w:color="auto"/>
            </w:tcBorders>
            <w:vAlign w:val="center"/>
            <w:hideMark/>
          </w:tcPr>
          <w:p w14:paraId="419D8D6C" w14:textId="77777777" w:rsidR="00F118FC" w:rsidRPr="00507A31" w:rsidRDefault="00F118FC" w:rsidP="00507A31">
            <w:pPr>
              <w:jc w:val="both"/>
              <w:rPr>
                <w:color w:val="000000" w:themeColor="text1"/>
                <w:sz w:val="16"/>
                <w:szCs w:val="16"/>
              </w:rPr>
            </w:pPr>
            <w:r w:rsidRPr="00507A31">
              <w:rPr>
                <w:color w:val="000000" w:themeColor="text1"/>
                <w:sz w:val="16"/>
                <w:szCs w:val="16"/>
              </w:rPr>
              <w:t>2) В ВОКС имеется только одна машинка, годная для сковки.</w:t>
            </w:r>
          </w:p>
        </w:tc>
      </w:tr>
      <w:tr w:rsidR="00E371BA" w:rsidRPr="00507A31" w14:paraId="0EA6DFCF"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AB93BDA" w14:textId="77777777" w:rsidR="00F118FC" w:rsidRPr="00507A31" w:rsidRDefault="00F118FC" w:rsidP="00507A31">
            <w:pPr>
              <w:jc w:val="both"/>
              <w:rPr>
                <w:color w:val="000000" w:themeColor="text1"/>
                <w:sz w:val="16"/>
                <w:szCs w:val="16"/>
              </w:rPr>
            </w:pPr>
            <w:r w:rsidRPr="00507A31">
              <w:rPr>
                <w:color w:val="000000" w:themeColor="text1"/>
                <w:sz w:val="16"/>
                <w:szCs w:val="16"/>
              </w:rPr>
              <w:lastRenderedPageBreak/>
              <w:t>Г. По линии ино- прессы.</w:t>
            </w:r>
          </w:p>
          <w:p w14:paraId="3F3A0079" w14:textId="77777777" w:rsidR="00F118FC" w:rsidRPr="00507A31" w:rsidRDefault="00F118FC" w:rsidP="00507A31">
            <w:pPr>
              <w:jc w:val="both"/>
              <w:rPr>
                <w:color w:val="000000" w:themeColor="text1"/>
                <w:sz w:val="16"/>
                <w:szCs w:val="16"/>
              </w:rPr>
            </w:pPr>
            <w:r w:rsidRPr="00507A31">
              <w:rPr>
                <w:color w:val="000000" w:themeColor="text1"/>
                <w:sz w:val="16"/>
                <w:szCs w:val="16"/>
              </w:rPr>
              <w:t>1) Посвятить один номер бюллетеня целиком откликам заграничной общественности на процесс.</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F30F97A" w14:textId="77777777" w:rsidR="00F118FC" w:rsidRPr="00507A31" w:rsidRDefault="00F118FC" w:rsidP="00507A31">
            <w:pPr>
              <w:jc w:val="both"/>
              <w:rPr>
                <w:color w:val="000000" w:themeColor="text1"/>
                <w:sz w:val="16"/>
                <w:szCs w:val="16"/>
              </w:rPr>
            </w:pPr>
            <w:r w:rsidRPr="00507A31">
              <w:rPr>
                <w:color w:val="000000" w:themeColor="text1"/>
                <w:sz w:val="16"/>
                <w:szCs w:val="16"/>
              </w:rPr>
              <w:t>Прот.</w:t>
            </w:r>
          </w:p>
          <w:p w14:paraId="04DF76CB" w14:textId="77777777" w:rsidR="00F118FC" w:rsidRPr="00507A31" w:rsidRDefault="00F118FC" w:rsidP="00507A31">
            <w:pPr>
              <w:jc w:val="both"/>
              <w:rPr>
                <w:color w:val="000000" w:themeColor="text1"/>
                <w:sz w:val="16"/>
                <w:szCs w:val="16"/>
              </w:rPr>
            </w:pPr>
            <w:r w:rsidRPr="00507A31">
              <w:rPr>
                <w:color w:val="000000" w:themeColor="text1"/>
                <w:sz w:val="16"/>
                <w:szCs w:val="16"/>
              </w:rPr>
              <w:t>№5</w:t>
            </w:r>
          </w:p>
        </w:tc>
        <w:tc>
          <w:tcPr>
            <w:tcW w:w="3270" w:type="dxa"/>
            <w:tcBorders>
              <w:top w:val="outset" w:sz="6" w:space="0" w:color="auto"/>
              <w:left w:val="outset" w:sz="6" w:space="0" w:color="auto"/>
              <w:bottom w:val="outset" w:sz="6" w:space="0" w:color="auto"/>
              <w:right w:val="outset" w:sz="6" w:space="0" w:color="auto"/>
            </w:tcBorders>
            <w:vAlign w:val="center"/>
            <w:hideMark/>
          </w:tcPr>
          <w:p w14:paraId="0BDD0970" w14:textId="77777777" w:rsidR="00F118FC" w:rsidRPr="00507A31" w:rsidRDefault="00F118FC" w:rsidP="00507A31">
            <w:pPr>
              <w:jc w:val="both"/>
              <w:rPr>
                <w:color w:val="000000" w:themeColor="text1"/>
                <w:sz w:val="16"/>
                <w:szCs w:val="16"/>
              </w:rPr>
            </w:pPr>
            <w:r w:rsidRPr="00507A31">
              <w:rPr>
                <w:color w:val="000000" w:themeColor="text1"/>
                <w:sz w:val="16"/>
                <w:szCs w:val="16"/>
              </w:rPr>
              <w:t>Сейчас т. Штейнберг ведется работа по подбору материала по откликам заграничной общественности на процесс (поручено в заседании комиссии от 5.XII).</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9BFD04D" w14:textId="77777777" w:rsidR="00F118FC" w:rsidRPr="00507A31" w:rsidRDefault="00F118FC" w:rsidP="00507A31">
            <w:pPr>
              <w:jc w:val="both"/>
              <w:rPr>
                <w:color w:val="000000" w:themeColor="text1"/>
                <w:sz w:val="16"/>
                <w:szCs w:val="16"/>
              </w:rPr>
            </w:pPr>
            <w:r w:rsidRPr="00507A31">
              <w:rPr>
                <w:color w:val="000000" w:themeColor="text1"/>
                <w:sz w:val="16"/>
                <w:szCs w:val="16"/>
              </w:rPr>
              <w:t>До сих пор материал систематически не подбирался и нельзя было выпустить специальн. бюллетень.</w:t>
            </w:r>
          </w:p>
        </w:tc>
      </w:tr>
      <w:tr w:rsidR="00E371BA" w:rsidRPr="00507A31" w14:paraId="0DB0A48D"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2E4C6C4" w14:textId="77777777" w:rsidR="00F118FC" w:rsidRPr="00507A31" w:rsidRDefault="00F118FC" w:rsidP="00507A31">
            <w:pPr>
              <w:jc w:val="both"/>
              <w:rPr>
                <w:color w:val="000000" w:themeColor="text1"/>
                <w:sz w:val="16"/>
                <w:szCs w:val="16"/>
              </w:rPr>
            </w:pPr>
            <w:r w:rsidRPr="00507A31">
              <w:rPr>
                <w:color w:val="000000" w:themeColor="text1"/>
                <w:sz w:val="16"/>
                <w:szCs w:val="16"/>
              </w:rPr>
              <w:t>2) Использование статьи Горького с воззванием к рабочим и крестьянам.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DAA1A62"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51C2D886" w14:textId="77777777" w:rsidR="00F118FC" w:rsidRPr="00507A31" w:rsidRDefault="00F118FC" w:rsidP="00507A31">
            <w:pPr>
              <w:jc w:val="both"/>
              <w:rPr>
                <w:color w:val="000000" w:themeColor="text1"/>
                <w:sz w:val="16"/>
                <w:szCs w:val="16"/>
              </w:rPr>
            </w:pPr>
            <w:r w:rsidRPr="00507A31">
              <w:rPr>
                <w:color w:val="000000" w:themeColor="text1"/>
                <w:sz w:val="16"/>
                <w:szCs w:val="16"/>
              </w:rPr>
              <w:t>Статья включена в 3-й номер бюллетеня (см. прилож. № 1) и посылается за границу.</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AF96BFD"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r>
      <w:tr w:rsidR="00E371BA" w:rsidRPr="00507A31" w14:paraId="697DF202"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CA56E51" w14:textId="77777777" w:rsidR="00F118FC" w:rsidRPr="00507A31" w:rsidRDefault="00F118FC" w:rsidP="00507A31">
            <w:pPr>
              <w:jc w:val="both"/>
              <w:rPr>
                <w:color w:val="000000" w:themeColor="text1"/>
                <w:sz w:val="16"/>
                <w:szCs w:val="16"/>
              </w:rPr>
            </w:pPr>
            <w:r w:rsidRPr="00507A31">
              <w:rPr>
                <w:color w:val="000000" w:themeColor="text1"/>
                <w:sz w:val="16"/>
                <w:szCs w:val="16"/>
              </w:rPr>
              <w:t>3) Использование радио-журнала для трансляции материалов по кампании за границу.</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1860301"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0D2DEE38" w14:textId="77777777" w:rsidR="00F118FC" w:rsidRPr="00507A31" w:rsidRDefault="00F118FC" w:rsidP="00507A31">
            <w:pPr>
              <w:jc w:val="both"/>
              <w:rPr>
                <w:color w:val="000000" w:themeColor="text1"/>
                <w:sz w:val="16"/>
                <w:szCs w:val="16"/>
              </w:rPr>
            </w:pPr>
            <w:r w:rsidRPr="00507A31">
              <w:rPr>
                <w:color w:val="000000" w:themeColor="text1"/>
                <w:sz w:val="16"/>
                <w:szCs w:val="16"/>
              </w:rPr>
              <w:t>По радио передан митинг протеста деятелей науки и искусства против вредительства, организованный ВОКСом 23.XI. Сейчас разрабатывается план проведения всей кампании по радио.</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6189E4E" w14:textId="77777777" w:rsidR="00F118FC" w:rsidRPr="00507A31" w:rsidRDefault="00F118FC" w:rsidP="00507A31">
            <w:pPr>
              <w:jc w:val="both"/>
              <w:rPr>
                <w:color w:val="000000" w:themeColor="text1"/>
                <w:sz w:val="16"/>
                <w:szCs w:val="16"/>
              </w:rPr>
            </w:pPr>
            <w:r w:rsidRPr="00507A31">
              <w:rPr>
                <w:color w:val="000000" w:themeColor="text1"/>
                <w:sz w:val="16"/>
                <w:szCs w:val="16"/>
              </w:rPr>
              <w:t>Работа на этом участке не была достаточно интенсивной из-за отсутствия тов. ведущего эту работу (т. Гриневича) к началу кампании в ВОКС.</w:t>
            </w:r>
          </w:p>
        </w:tc>
      </w:tr>
      <w:tr w:rsidR="00E371BA" w:rsidRPr="00507A31" w14:paraId="3563CCA0"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1FBA2CD1" w14:textId="77777777" w:rsidR="00F118FC" w:rsidRPr="00507A31" w:rsidRDefault="00F118FC" w:rsidP="00507A31">
            <w:pPr>
              <w:jc w:val="both"/>
              <w:rPr>
                <w:color w:val="000000" w:themeColor="text1"/>
                <w:sz w:val="16"/>
                <w:szCs w:val="16"/>
              </w:rPr>
            </w:pPr>
            <w:r w:rsidRPr="00507A31">
              <w:rPr>
                <w:color w:val="000000" w:themeColor="text1"/>
                <w:sz w:val="16"/>
                <w:szCs w:val="16"/>
              </w:rPr>
              <w:t>По работе внутри СССР.</w:t>
            </w:r>
          </w:p>
          <w:p w14:paraId="44560B98" w14:textId="77777777" w:rsidR="00F118FC" w:rsidRPr="00507A31" w:rsidRDefault="00F118FC" w:rsidP="00507A31">
            <w:pPr>
              <w:jc w:val="both"/>
              <w:rPr>
                <w:color w:val="000000" w:themeColor="text1"/>
                <w:sz w:val="16"/>
                <w:szCs w:val="16"/>
              </w:rPr>
            </w:pPr>
            <w:r w:rsidRPr="00507A31">
              <w:rPr>
                <w:color w:val="000000" w:themeColor="text1"/>
                <w:sz w:val="16"/>
                <w:szCs w:val="16"/>
              </w:rPr>
              <w:t>Сбор подписей.</w:t>
            </w:r>
          </w:p>
        </w:tc>
        <w:tc>
          <w:tcPr>
            <w:tcW w:w="2805" w:type="dxa"/>
            <w:tcBorders>
              <w:top w:val="outset" w:sz="6" w:space="0" w:color="auto"/>
              <w:left w:val="outset" w:sz="6" w:space="0" w:color="auto"/>
              <w:bottom w:val="outset" w:sz="6" w:space="0" w:color="auto"/>
              <w:right w:val="outset" w:sz="6" w:space="0" w:color="auto"/>
            </w:tcBorders>
            <w:vAlign w:val="center"/>
            <w:hideMark/>
          </w:tcPr>
          <w:p w14:paraId="34078C81" w14:textId="77777777" w:rsidR="00F118FC" w:rsidRPr="00507A31" w:rsidRDefault="00F118FC" w:rsidP="00507A31">
            <w:pPr>
              <w:jc w:val="both"/>
              <w:rPr>
                <w:color w:val="000000" w:themeColor="text1"/>
                <w:sz w:val="16"/>
                <w:szCs w:val="16"/>
              </w:rPr>
            </w:pPr>
            <w:r w:rsidRPr="00507A31">
              <w:rPr>
                <w:color w:val="000000" w:themeColor="text1"/>
                <w:sz w:val="16"/>
                <w:szCs w:val="16"/>
              </w:rPr>
              <w:t>План по Отд. Печати</w:t>
            </w:r>
          </w:p>
          <w:p w14:paraId="20A5F2E1" w14:textId="77777777" w:rsidR="00F118FC" w:rsidRPr="00507A31" w:rsidRDefault="00F118FC" w:rsidP="00507A31">
            <w:pPr>
              <w:jc w:val="both"/>
              <w:rPr>
                <w:color w:val="000000" w:themeColor="text1"/>
                <w:sz w:val="16"/>
                <w:szCs w:val="16"/>
              </w:rPr>
            </w:pPr>
            <w:r w:rsidRPr="00507A31">
              <w:rPr>
                <w:color w:val="000000" w:themeColor="text1"/>
                <w:sz w:val="16"/>
                <w:szCs w:val="16"/>
              </w:rPr>
              <w:t>§5</w:t>
            </w:r>
          </w:p>
        </w:tc>
        <w:tc>
          <w:tcPr>
            <w:tcW w:w="3270" w:type="dxa"/>
            <w:tcBorders>
              <w:top w:val="outset" w:sz="6" w:space="0" w:color="auto"/>
              <w:left w:val="outset" w:sz="6" w:space="0" w:color="auto"/>
              <w:bottom w:val="outset" w:sz="6" w:space="0" w:color="auto"/>
              <w:right w:val="outset" w:sz="6" w:space="0" w:color="auto"/>
            </w:tcBorders>
            <w:vAlign w:val="center"/>
            <w:hideMark/>
          </w:tcPr>
          <w:p w14:paraId="19635631" w14:textId="77777777" w:rsidR="00F118FC" w:rsidRPr="00507A31" w:rsidRDefault="00F118FC" w:rsidP="00507A31">
            <w:pPr>
              <w:jc w:val="both"/>
              <w:rPr>
                <w:color w:val="000000" w:themeColor="text1"/>
                <w:sz w:val="16"/>
                <w:szCs w:val="16"/>
              </w:rPr>
            </w:pPr>
            <w:r w:rsidRPr="00507A31">
              <w:rPr>
                <w:color w:val="000000" w:themeColor="text1"/>
                <w:sz w:val="16"/>
                <w:szCs w:val="16"/>
              </w:rPr>
              <w:t>Для массового охвата подписей резолюции направлены в отдельные учреждения и организации.</w:t>
            </w:r>
          </w:p>
          <w:p w14:paraId="12EE4EF9" w14:textId="77777777" w:rsidR="00F118FC" w:rsidRPr="00507A31" w:rsidRDefault="00F118FC" w:rsidP="00507A31">
            <w:pPr>
              <w:jc w:val="both"/>
              <w:rPr>
                <w:color w:val="000000" w:themeColor="text1"/>
                <w:sz w:val="16"/>
                <w:szCs w:val="16"/>
              </w:rPr>
            </w:pPr>
            <w:r w:rsidRPr="00507A31">
              <w:rPr>
                <w:color w:val="000000" w:themeColor="text1"/>
                <w:sz w:val="16"/>
                <w:szCs w:val="16"/>
              </w:rPr>
              <w:t>В данный момент находятся:</w:t>
            </w:r>
          </w:p>
          <w:p w14:paraId="5B5870A2" w14:textId="77777777" w:rsidR="00F118FC" w:rsidRPr="00507A31" w:rsidRDefault="00F118FC" w:rsidP="00507A31">
            <w:pPr>
              <w:jc w:val="both"/>
              <w:rPr>
                <w:color w:val="000000" w:themeColor="text1"/>
                <w:sz w:val="16"/>
                <w:szCs w:val="16"/>
              </w:rPr>
            </w:pPr>
            <w:r w:rsidRPr="00507A31">
              <w:rPr>
                <w:color w:val="000000" w:themeColor="text1"/>
                <w:sz w:val="16"/>
                <w:szCs w:val="16"/>
              </w:rPr>
              <w:t>Музык. Секция —  Консерватория Театральная — МХТ 2 Кино-Секция — Востоккино ИЗО-Секция —  К общему собранию до 15.ХII Педагогическая — Об-во педагогов-марксистов. Академия Комвоспитания, Ин-т Методов Школьной работы, Ин-т промышленных кадров.</w:t>
            </w:r>
          </w:p>
          <w:p w14:paraId="6AE5F04F" w14:textId="77777777" w:rsidR="00F118FC" w:rsidRPr="00507A31" w:rsidRDefault="00F118FC" w:rsidP="00507A31">
            <w:pPr>
              <w:jc w:val="both"/>
              <w:rPr>
                <w:color w:val="000000" w:themeColor="text1"/>
                <w:sz w:val="16"/>
                <w:szCs w:val="16"/>
              </w:rPr>
            </w:pPr>
            <w:r w:rsidRPr="00507A31">
              <w:rPr>
                <w:color w:val="000000" w:themeColor="text1"/>
                <w:sz w:val="16"/>
                <w:szCs w:val="16"/>
              </w:rPr>
              <w:t>Музейная — Музейный съезд. Резолюции размножены, чтобы технически не задерживать сбор подписей в различных местах.</w:t>
            </w:r>
          </w:p>
          <w:p w14:paraId="1240F166" w14:textId="77777777" w:rsidR="00F118FC" w:rsidRPr="00507A31" w:rsidRDefault="00F118FC" w:rsidP="00507A31">
            <w:pPr>
              <w:jc w:val="both"/>
              <w:rPr>
                <w:color w:val="000000" w:themeColor="text1"/>
                <w:sz w:val="16"/>
                <w:szCs w:val="16"/>
              </w:rPr>
            </w:pPr>
            <w:r w:rsidRPr="00507A31">
              <w:rPr>
                <w:color w:val="000000" w:themeColor="text1"/>
                <w:sz w:val="16"/>
                <w:szCs w:val="16"/>
              </w:rPr>
              <w:t>К 15.XII подписи со всех резолюций будут сброшюрованы.</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079A2B4"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r>
      <w:tr w:rsidR="00E371BA" w:rsidRPr="00507A31" w14:paraId="68BD7EE5"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0ADEBEB" w14:textId="77777777" w:rsidR="00F118FC" w:rsidRPr="00507A31" w:rsidRDefault="00F118FC" w:rsidP="00507A31">
            <w:pPr>
              <w:jc w:val="both"/>
              <w:rPr>
                <w:color w:val="000000" w:themeColor="text1"/>
                <w:sz w:val="16"/>
                <w:szCs w:val="16"/>
              </w:rPr>
            </w:pPr>
            <w:r w:rsidRPr="00507A31">
              <w:rPr>
                <w:color w:val="000000" w:themeColor="text1"/>
                <w:sz w:val="16"/>
                <w:szCs w:val="16"/>
              </w:rPr>
              <w:t>Интервью.</w:t>
            </w:r>
          </w:p>
        </w:tc>
        <w:tc>
          <w:tcPr>
            <w:tcW w:w="2805" w:type="dxa"/>
            <w:tcBorders>
              <w:top w:val="outset" w:sz="6" w:space="0" w:color="auto"/>
              <w:left w:val="outset" w:sz="6" w:space="0" w:color="auto"/>
              <w:bottom w:val="outset" w:sz="6" w:space="0" w:color="auto"/>
              <w:right w:val="outset" w:sz="6" w:space="0" w:color="auto"/>
            </w:tcBorders>
            <w:vAlign w:val="center"/>
            <w:hideMark/>
          </w:tcPr>
          <w:p w14:paraId="3B406F63"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1FDFAB6" w14:textId="77777777" w:rsidR="00F118FC" w:rsidRPr="00507A31" w:rsidRDefault="00F118FC" w:rsidP="00507A31">
            <w:pPr>
              <w:jc w:val="both"/>
              <w:rPr>
                <w:color w:val="000000" w:themeColor="text1"/>
                <w:sz w:val="16"/>
                <w:szCs w:val="16"/>
              </w:rPr>
            </w:pPr>
            <w:r w:rsidRPr="00507A31">
              <w:rPr>
                <w:color w:val="000000" w:themeColor="text1"/>
                <w:sz w:val="16"/>
                <w:szCs w:val="16"/>
              </w:rPr>
              <w:t>Получены и сданы в Отдел Печати для использования. Театр.</w:t>
            </w:r>
          </w:p>
          <w:p w14:paraId="7787F879" w14:textId="77777777" w:rsidR="00F118FC" w:rsidRPr="00507A31" w:rsidRDefault="00F118FC" w:rsidP="00507A31">
            <w:pPr>
              <w:jc w:val="both"/>
              <w:rPr>
                <w:color w:val="000000" w:themeColor="text1"/>
                <w:sz w:val="16"/>
                <w:szCs w:val="16"/>
              </w:rPr>
            </w:pPr>
            <w:r w:rsidRPr="00507A31">
              <w:rPr>
                <w:color w:val="000000" w:themeColor="text1"/>
                <w:sz w:val="16"/>
                <w:szCs w:val="16"/>
              </w:rPr>
              <w:t>Народи, артист Респ. Ю. М. Юрьев.</w:t>
            </w:r>
          </w:p>
          <w:p w14:paraId="36542A6D" w14:textId="77777777" w:rsidR="00F118FC" w:rsidRPr="00507A31" w:rsidRDefault="00F118FC" w:rsidP="00507A31">
            <w:pPr>
              <w:jc w:val="both"/>
              <w:rPr>
                <w:color w:val="000000" w:themeColor="text1"/>
                <w:sz w:val="16"/>
                <w:szCs w:val="16"/>
              </w:rPr>
            </w:pPr>
            <w:r w:rsidRPr="00507A31">
              <w:rPr>
                <w:color w:val="000000" w:themeColor="text1"/>
                <w:sz w:val="16"/>
                <w:szCs w:val="16"/>
              </w:rPr>
              <w:t>Засл. артист Респ. — И. Н. Берсенев.</w:t>
            </w:r>
          </w:p>
        </w:tc>
        <w:tc>
          <w:tcPr>
            <w:tcW w:w="3000" w:type="dxa"/>
            <w:tcBorders>
              <w:top w:val="outset" w:sz="6" w:space="0" w:color="auto"/>
              <w:left w:val="outset" w:sz="6" w:space="0" w:color="auto"/>
              <w:bottom w:val="outset" w:sz="6" w:space="0" w:color="auto"/>
              <w:right w:val="outset" w:sz="6" w:space="0" w:color="auto"/>
            </w:tcBorders>
            <w:vAlign w:val="center"/>
            <w:hideMark/>
          </w:tcPr>
          <w:p w14:paraId="55EC63CC" w14:textId="77777777" w:rsidR="00F118FC" w:rsidRPr="00507A31" w:rsidRDefault="00F118FC" w:rsidP="00507A31">
            <w:pPr>
              <w:jc w:val="both"/>
              <w:rPr>
                <w:color w:val="000000" w:themeColor="text1"/>
                <w:sz w:val="16"/>
                <w:szCs w:val="16"/>
              </w:rPr>
            </w:pPr>
            <w:r w:rsidRPr="00507A31">
              <w:rPr>
                <w:color w:val="000000" w:themeColor="text1"/>
                <w:sz w:val="16"/>
                <w:szCs w:val="16"/>
              </w:rPr>
              <w:t> </w:t>
            </w:r>
          </w:p>
        </w:tc>
      </w:tr>
    </w:tbl>
    <w:p w14:paraId="48BA05B6" w14:textId="77777777" w:rsidR="00F118FC" w:rsidRPr="00507A31" w:rsidRDefault="00F118FC" w:rsidP="00507A31">
      <w:pPr>
        <w:pStyle w:val="ae"/>
        <w:spacing w:before="0" w:after="0"/>
        <w:jc w:val="both"/>
        <w:rPr>
          <w:color w:val="000000" w:themeColor="text1"/>
          <w:sz w:val="16"/>
          <w:szCs w:val="16"/>
        </w:rPr>
      </w:pPr>
      <w:r w:rsidRPr="00507A31">
        <w:rPr>
          <w:rStyle w:val="af0"/>
          <w:i w:val="0"/>
          <w:color w:val="000000" w:themeColor="text1"/>
          <w:sz w:val="16"/>
          <w:szCs w:val="16"/>
        </w:rPr>
        <w:t>ГА</w:t>
      </w:r>
      <w:r w:rsidRPr="00507A31">
        <w:rPr>
          <w:rStyle w:val="af0"/>
          <w:i w:val="0"/>
          <w:color w:val="000000" w:themeColor="text1"/>
          <w:sz w:val="16"/>
          <w:szCs w:val="16"/>
          <w:lang w:val="en-US"/>
        </w:rPr>
        <w:t> </w:t>
      </w:r>
      <w:r w:rsidRPr="00507A31">
        <w:rPr>
          <w:rStyle w:val="af0"/>
          <w:i w:val="0"/>
          <w:color w:val="000000" w:themeColor="text1"/>
          <w:sz w:val="16"/>
          <w:szCs w:val="16"/>
        </w:rPr>
        <w:t>РФ</w:t>
      </w:r>
      <w:r w:rsidRPr="00507A31">
        <w:rPr>
          <w:rStyle w:val="af0"/>
          <w:i w:val="0"/>
          <w:color w:val="000000" w:themeColor="text1"/>
          <w:sz w:val="16"/>
          <w:szCs w:val="16"/>
          <w:lang w:val="en-US"/>
        </w:rPr>
        <w:t>. </w:t>
      </w:r>
      <w:r w:rsidRPr="00507A31">
        <w:rPr>
          <w:rStyle w:val="af0"/>
          <w:i w:val="0"/>
          <w:color w:val="000000" w:themeColor="text1"/>
          <w:sz w:val="16"/>
          <w:szCs w:val="16"/>
        </w:rPr>
        <w:t>Ф</w:t>
      </w:r>
      <w:r w:rsidRPr="00507A31">
        <w:rPr>
          <w:rStyle w:val="af0"/>
          <w:i w:val="0"/>
          <w:color w:val="000000" w:themeColor="text1"/>
          <w:sz w:val="16"/>
          <w:szCs w:val="16"/>
          <w:lang w:val="en-US"/>
        </w:rPr>
        <w:t>. P-5283. On. 1. </w:t>
      </w:r>
      <w:r w:rsidRPr="00507A31">
        <w:rPr>
          <w:rStyle w:val="af0"/>
          <w:i w:val="0"/>
          <w:color w:val="000000" w:themeColor="text1"/>
          <w:sz w:val="16"/>
          <w:szCs w:val="16"/>
        </w:rPr>
        <w:t>Д</w:t>
      </w:r>
      <w:r w:rsidRPr="00507A31">
        <w:rPr>
          <w:rStyle w:val="af0"/>
          <w:i w:val="0"/>
          <w:color w:val="000000" w:themeColor="text1"/>
          <w:sz w:val="16"/>
          <w:szCs w:val="16"/>
          <w:lang w:val="en-US"/>
        </w:rPr>
        <w:t>. 139. </w:t>
      </w:r>
      <w:r w:rsidRPr="00507A31">
        <w:rPr>
          <w:rStyle w:val="af0"/>
          <w:i w:val="0"/>
          <w:color w:val="000000" w:themeColor="text1"/>
          <w:sz w:val="16"/>
          <w:szCs w:val="16"/>
        </w:rPr>
        <w:t>Л</w:t>
      </w:r>
      <w:r w:rsidRPr="00507A31">
        <w:rPr>
          <w:rStyle w:val="af0"/>
          <w:i w:val="0"/>
          <w:color w:val="000000" w:themeColor="text1"/>
          <w:sz w:val="16"/>
          <w:szCs w:val="16"/>
          <w:lang w:val="en-US"/>
        </w:rPr>
        <w:t>. 75. </w:t>
      </w:r>
      <w:r w:rsidRPr="00507A31">
        <w:rPr>
          <w:rStyle w:val="af0"/>
          <w:i w:val="0"/>
          <w:color w:val="000000" w:themeColor="text1"/>
          <w:sz w:val="16"/>
          <w:szCs w:val="16"/>
        </w:rPr>
        <w:t>Машинописная копия того времени (18923).</w:t>
      </w:r>
    </w:p>
    <w:p w14:paraId="2379EDE3" w14:textId="77777777" w:rsidR="00F118FC" w:rsidRPr="00507A31" w:rsidRDefault="00F118FC" w:rsidP="00507A31">
      <w:pPr>
        <w:jc w:val="both"/>
        <w:rPr>
          <w:color w:val="000000" w:themeColor="text1"/>
          <w:sz w:val="16"/>
          <w:szCs w:val="16"/>
        </w:rPr>
      </w:pPr>
    </w:p>
    <w:p w14:paraId="17A7DDFB" w14:textId="77777777" w:rsidR="00820F94" w:rsidRPr="00507A31" w:rsidRDefault="00820F94"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DFBA8B9" w14:textId="77777777" w:rsidR="00820F94" w:rsidRPr="00507A31" w:rsidRDefault="00820F94" w:rsidP="00507A31">
      <w:pPr>
        <w:autoSpaceDE w:val="0"/>
        <w:autoSpaceDN w:val="0"/>
        <w:adjustRightInd w:val="0"/>
        <w:jc w:val="both"/>
        <w:rPr>
          <w:iCs/>
          <w:color w:val="000000" w:themeColor="text1"/>
          <w:sz w:val="16"/>
          <w:szCs w:val="16"/>
        </w:rPr>
      </w:pPr>
    </w:p>
    <w:p w14:paraId="5A848012" w14:textId="77777777" w:rsidR="00820F94" w:rsidRPr="00507A31" w:rsidRDefault="00820F94" w:rsidP="00507A31">
      <w:pPr>
        <w:jc w:val="both"/>
        <w:rPr>
          <w:bCs/>
          <w:color w:val="000000" w:themeColor="text1"/>
          <w:sz w:val="16"/>
          <w:szCs w:val="16"/>
        </w:rPr>
      </w:pPr>
      <w:r w:rsidRPr="00507A31">
        <w:rPr>
          <w:color w:val="000000" w:themeColor="text1"/>
          <w:sz w:val="16"/>
          <w:szCs w:val="16"/>
        </w:rPr>
        <w:t>9 декабря 1930 г.</w:t>
      </w:r>
    </w:p>
    <w:p w14:paraId="28321B97" w14:textId="77777777" w:rsidR="00820F94" w:rsidRPr="00507A31" w:rsidRDefault="00820F94" w:rsidP="00507A31">
      <w:pPr>
        <w:jc w:val="both"/>
        <w:rPr>
          <w:bCs/>
          <w:color w:val="000000" w:themeColor="text1"/>
          <w:sz w:val="16"/>
          <w:szCs w:val="16"/>
        </w:rPr>
      </w:pPr>
      <w:r w:rsidRPr="00507A31">
        <w:rPr>
          <w:color w:val="000000" w:themeColor="text1"/>
          <w:sz w:val="16"/>
          <w:szCs w:val="16"/>
        </w:rPr>
        <w:t>Выступление А. Я. Вышинского на митинге сотрудников Наркомпроса о ходе и значении процесса «Промпартии». 9 декабря 1930 г.</w:t>
      </w:r>
    </w:p>
    <w:p w14:paraId="25593CA9" w14:textId="77777777" w:rsidR="00820F94" w:rsidRPr="00507A31" w:rsidRDefault="00820F94" w:rsidP="00507A31">
      <w:pPr>
        <w:jc w:val="both"/>
        <w:rPr>
          <w:bCs/>
          <w:color w:val="000000" w:themeColor="text1"/>
          <w:sz w:val="16"/>
          <w:szCs w:val="16"/>
        </w:rPr>
      </w:pPr>
      <w:r w:rsidRPr="00507A31">
        <w:rPr>
          <w:bCs/>
          <w:color w:val="000000" w:themeColor="text1"/>
          <w:sz w:val="16"/>
          <w:szCs w:val="16"/>
        </w:rPr>
        <w:t>Источник: </w:t>
      </w:r>
    </w:p>
    <w:p w14:paraId="6B78D9D6" w14:textId="77777777" w:rsidR="00820F94" w:rsidRPr="00507A31" w:rsidRDefault="00820F9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649DAA9" w14:textId="77777777" w:rsidR="00820F94" w:rsidRPr="00507A31" w:rsidRDefault="00820F94" w:rsidP="00507A31">
      <w:pPr>
        <w:jc w:val="both"/>
        <w:rPr>
          <w:bCs/>
          <w:color w:val="000000" w:themeColor="text1"/>
          <w:sz w:val="16"/>
          <w:szCs w:val="16"/>
        </w:rPr>
      </w:pPr>
      <w:r w:rsidRPr="00507A31">
        <w:rPr>
          <w:bCs/>
          <w:color w:val="000000" w:themeColor="text1"/>
          <w:sz w:val="16"/>
          <w:szCs w:val="16"/>
        </w:rPr>
        <w:t>Архив: </w:t>
      </w:r>
    </w:p>
    <w:p w14:paraId="2A5638DF" w14:textId="77777777" w:rsidR="00820F94" w:rsidRPr="00507A31" w:rsidRDefault="00820F94" w:rsidP="00507A31">
      <w:pPr>
        <w:jc w:val="both"/>
        <w:rPr>
          <w:color w:val="000000" w:themeColor="text1"/>
          <w:sz w:val="16"/>
          <w:szCs w:val="16"/>
        </w:rPr>
      </w:pPr>
      <w:r w:rsidRPr="00507A31">
        <w:rPr>
          <w:color w:val="000000" w:themeColor="text1"/>
          <w:sz w:val="16"/>
          <w:szCs w:val="16"/>
        </w:rPr>
        <w:t>ГА РФ. Ф. P-8131. Oп. 8. Д. 22. Л. 10-35</w:t>
      </w:r>
    </w:p>
    <w:p w14:paraId="48D094AF" w14:textId="77777777" w:rsidR="00820F94" w:rsidRPr="00507A31" w:rsidRDefault="00820F94" w:rsidP="00507A31">
      <w:pPr>
        <w:pStyle w:val="rteright"/>
        <w:spacing w:before="0" w:after="0"/>
        <w:jc w:val="both"/>
        <w:rPr>
          <w:color w:val="000000" w:themeColor="text1"/>
          <w:sz w:val="16"/>
          <w:szCs w:val="16"/>
        </w:rPr>
      </w:pPr>
      <w:r w:rsidRPr="00507A31">
        <w:rPr>
          <w:color w:val="000000" w:themeColor="text1"/>
          <w:sz w:val="16"/>
          <w:szCs w:val="16"/>
        </w:rPr>
        <w:t>9 декабря 1930 г.</w:t>
      </w:r>
    </w:p>
    <w:p w14:paraId="04E4D6F8"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МИТИНГ СОТРУДНИКОВ НАРКОМПРОСА</w:t>
      </w:r>
    </w:p>
    <w:p w14:paraId="5A178FF4"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от 9/ХII-30 г.</w:t>
      </w:r>
    </w:p>
    <w:p w14:paraId="54FA75C1"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т. ЭПШТЕЙН — Товарищи, ряд сотрудников НКПроса на состоявшемся сейчас совещание заведующих отделами выразило желание собраться сегодня вместе для того, чтобы высказать свои чувствования по поводу недавно закончившегося процесса вредителей. По поручению этого совещания Бюро ячейки и местного комитета объявляю по этому поводу митинг открытым.</w:t>
      </w:r>
    </w:p>
    <w:p w14:paraId="27845F75"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Слово по этому вопросу предоставляется бывшему председателю специального присутствия тов. Вышинскому (бурные аплодисменты).</w:t>
      </w:r>
    </w:p>
    <w:p w14:paraId="1C4EC607"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т. ВЫШИНСКИЙ: — Товарищи, я не собираюсь делать длительного доклада, во-первых, потому, что доклад большой требует большого времени, которого, очевидно, у сегодняшнего собрания нет, а во-вторых, потому что требует больш[е]го здоровья, чем то, которым я сегодня обладаю.</w:t>
      </w:r>
    </w:p>
    <w:p w14:paraId="150FA8B4"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Мне трудно сегодня говорить[,] потому что у меня бронхит, и поэтому я не имею возможности рассчитывать на больший срок для освещения этого вопроса, чем 15-20 минут.</w:t>
      </w:r>
    </w:p>
    <w:p w14:paraId="14C7B0AC"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Вполне понятно, что в этих пределах можно остановиться только на некоторых вопросах, которые наиболее сейчас должны интересовать нашу советскую общественность. Мне кажется, что таким вопросом является прежде всего вопрос о той атмосфере, о том отношении, о той борьбе, какую процесс этот должен был провести. Несмотря на то, что, якобы, на процессе нет никакой борьбы.</w:t>
      </w:r>
    </w:p>
    <w:p w14:paraId="4BD18190"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Вы, вероятно, помните, что с самого начала, кто только следил за ходом этого процесса, так называемой промпартии, отметили ту особенность, что на этом процессе нет борьбы. Иностранные корреспонденты, которые тароваты на всякого рода выдумки, они, к сожалению, в своих многочисленных телеграммах извещали, что этот молодой прокурор, или, как они его называли, этот маленький волк, который... (шум в зале, не слышно), он находится в весьма затруднительном положении, — нет объекта, с которым нужно было бы бороться, потому что нет борьбы, потому что все подсудимые признали себя виновными и рассказывают суду, столько, что в закрытом заседании суду приходилось умирять их стремление рассказывать даже в закрытом заседании.</w:t>
      </w:r>
    </w:p>
    <w:p w14:paraId="3F644B4D"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Создалось таким образом впечатление, что борьбы нет, что нет противника, и в этом процессе нет ничего интересного, ничего содержательного — в таком духе стремились информировать и мобилизовать общественность всего мира и раньше всего французской, и другой иностранной печати.</w:t>
      </w:r>
    </w:p>
    <w:p w14:paraId="05A9A896"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 действительности, борьба была глубокая в высшей степени содержательная и в высшей степени острая, борьба между действительными подсудимыми, которые, к сожалению, не сидят на скамье подсудимых, но мы в это твердо верим — будут сидеть на исторической скамье революционного народного трибунала. Борьба была между обвиняемыми и рабочим классом нашего союза, который сформулировал и бросил в лицо интервентским кругам — интервентской Европе, всей мировой буржуазии это обвинение и между этой буржуазией, которая пыталась поставить дело таким образом, что в сущности говоря она здесь ни при чем, ее это в меньшей степени касается.</w:t>
      </w:r>
    </w:p>
    <w:p w14:paraId="58B52D46"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Я обращаю Ваше внимание на это дело, потому что правильное понимание этого вопроса объясняет и очень много все последующее развитие процесса и его конец. Весь процесс шел в плоскости именно этой борьбы, борьбы с режиссерами подготавливавшими вооруженную интервенцию, опиравшуюся на свою платную агентуру, в виде промпартии, которая действовала на территории нашего Союза, и при помощи придатка — главного режиссера, которым являются французские правящие круги, (я сейчас не председатель Специального Присутствия Верховного Суда и поэтому могу говорить более лойяльно) (смех), — каковым является правительство Франции и ее Генеральный штаб в виде Торгпрома, возглавляющегося Рябушинским, Кондартьевым, Нобелем и т. д. и т. п. Борьба была ожесточенная и можно сейчас констатировать, борьба эта окончилась нашей победой, и в этом факте является самое основное и важное[,] и имеет историческое значение только что закончившегося процесса, то что наемники этой буржуазии, буржуазная печать — она с самого начала сделала громадные усилия к тому, чтобы замолчать этот процесс, что процесса, как такового, процесса, который освещает систему, ход, этапы, цель, задачи борьбы, котор[ую] ведет мировой пролетариат с мировой буржуазией за свое конечное освобождение — такого процесса не существует. Есть какой-то процесс[,] какие-то инженеры, которые совершили какие-то преступления, и еще неизвестно совершили ли они эти преступления, которые, вернее всего, рассказывают о, якобы, совершенном ими преступлении и рассказывают так, как этого хотят органы, посадившие их на скамью подсудимых.</w:t>
      </w:r>
    </w:p>
    <w:p w14:paraId="3996CBC5"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Вот это первая вариация, которую хотели придать этому процессу.</w:t>
      </w:r>
    </w:p>
    <w:p w14:paraId="69140946"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Попытка замолчать процесс выражалась в том, что, во-первых, за первые 3 дня процесса германские журналисты отправили из СССР 10 000 слов телеграфных сообщений, Франция отправила за эти три дня только 300 слов этого сообщения. В то время, когда Америка за эти три дня отправила около 20 тыс. телеграфных слов, Франция держалась все в тех же пределах, немного превышая 300 телеграфных слов. Это выдает вора, на котором шапка горит.</w:t>
      </w:r>
    </w:p>
    <w:p w14:paraId="40B4B1EC"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lastRenderedPageBreak/>
        <w:t>Наша задача заключается в том[,] чтобы раньше всего опровергнуть ту версию, которая мной сейчас была кратко изложена о том, что этот процесс не имеет никакого отношения к каким-нибудь империалистическим замыслам передовой буржуазии и ее передовым застрельщикам — французскому правительству вкупе с Румынией и др.</w:t>
      </w:r>
    </w:p>
    <w:p w14:paraId="6F1A8F5C"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Заговор молчания в конце концов был сорван. Тогда иностранная буржуазная печать усвоила себе другую тактику — перешла на другие позиции. Если нельзя молчать, то нужно говорить, но так, как это соответствует их интересам — нужно было ей клеветать, по[-]старому, по[-] старому придерживаясь принципа Игната Лойолы, «клевещите, клевещите, может быть, что-нибудь выйдет».</w:t>
      </w:r>
    </w:p>
    <w:p w14:paraId="68FABA73"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Я мог бы некоторыми документами сообщить вам о той невероятной клевете, которая помоями лилась на наш Верховный Суд, на наше Правительство, на весь рабочий класс, в той оценке, какую этому процессу давала буржуазная печать.</w:t>
      </w:r>
    </w:p>
    <w:p w14:paraId="75CFBBB2"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Оставим этот вопрос для какого[-]нибудь другого раза. Это, конечно, в конце концов тоже не удалось, потому что показания подсудимых, допросы этих самых подсудимых и допрос приглашенных по этому вопросу в качестве свидетелей и соучастников по разным другим отраслевым цепочкам должны были самому предубежденному и скептически настроенному зрителю доказать, что не может итти ни в малейшей степени речь о том, что хотя бы одно слово сидящих на скамье подсудимых раздается не под влиянием их собственного настроения и внутреннего желания[,] а под влиянием каких[-]то особых условий, в которых они оказались, особого давления, или, как писали иностранные корреспонденты, пыток, применявшихся к ним в ОГПУ.</w:t>
      </w:r>
    </w:p>
    <w:p w14:paraId="3D608769"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Вы может быть, обратили внимание, как мы вели процесс и, может быть, это показалось скучным, однако, в этой системе была своя логика. Сначала мы предоставили подсудимым дать объяснения по поводу тех преступлений, в которых они сознались и по которым им было предъявлено обвинение. Кто был на процессе и следил за печатью, тот, вероятно, заметил, что в течение 3-4 часов, когда говорил Рамзин, 2-х часов объяснений Федотова и др. не раздалось ни одной реплики ни со стороны скамьи обвинения, ни со стороны самого Специального Присутствия Верховного Суда. Мы молчали. Мы только слушали. Между тем нигде в законе не сказано, что нельзя прерывать объяснения подсудимых для направления их в ту или другую сторону. Это делалось для того, чтобы ничем не стеснять свободу слова подсудимого в нашем суде, чтобы дать возможность сказать то, что он хочет, и в таком объеме, как считает необходимым.</w:t>
      </w:r>
    </w:p>
    <w:p w14:paraId="3B37A8C7"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Перед нами сидели профессора, которые на меня и на других производили такое впечатление, что они, в сущности говоря, не дают объяснений, как подсудимые, а читают свои рефераты или доклады на каком[-]то ученом собрании, делают ученый доклад о пользе вредительства в капиталистических странах, (Смех), так, как когда[-]то писали о пользе книг церковных в российском языке. У них были заметки, конспекты, куда они посматривали, и что давало впечатление, что они как будто читают свои объяснения. Конспекты эти они составляли в течение всего времени, какое они пробыли под стражей. Это было не так долго. Самый ранний арест был в апреле, самый поздний оказался в октябре мес., т. е. буквально за месяц до начала процесса. Это производило впечатление, что обвиняемые дают показания, читая заранее приготовленный материал и документы, что они читают, конечно, то, что им написало ГПУ, и вложило в их руки, а им остается только прочитать.</w:t>
      </w:r>
    </w:p>
    <w:p w14:paraId="6152A7C4"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Во-первых, это было абсолютно неверно по существу. Я смею удостоверить, что ни один из обвиняемых, несмотря на самую большую длительность речи, не читал того, что было написано, а обращался к написанному, как к документу помогающему развивать свои мысли, как это принято в нашем академическом кругу.</w:t>
      </w:r>
    </w:p>
    <w:p w14:paraId="3AFB035D"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Когда мы терпеливо заслушали все их объяснения, мы перешли к допросу, т. е. мы пригласили их стать у своего пюпитра и отвечать на наши вопросы. Эти вопросы продолжались в течение большого времени, когда ставился и целый ряд мелких вопросов, и удивительная вещь — это может проверить любая экспертиза, любой Женевской конференции: их показания по допросу в мелочах, во всех пунктах, во всех запятых и запятульках полностью совпадали с тем, что говорилось ими в их пространных объяснениях в первые дни ареста и в объяснениях на предварительном следствии. Мы &lt;...&gt; имели даже такой случай, который является великолепным доказательством того, что объяснения, были «вымучены». Подсудимый Ситнин, один из наиболее «привлекательных» типов этого процесса, этот своего рода Иван Калита собиратель, который собрал, благодаря своим трудам, 7</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bscript"/>
        </w:rPr>
        <w:t>2</w:t>
      </w:r>
      <w:r w:rsidRPr="00507A31">
        <w:rPr>
          <w:color w:val="000000" w:themeColor="text1"/>
          <w:sz w:val="16"/>
          <w:szCs w:val="16"/>
        </w:rPr>
        <w:t> тыс. руб. в золотой чеканке и держал их у себя на черный день. День этот оказался черным для него, потому что именно в одно прекрасное утро он попал в руки О ГПУ. Поэтому комендант процесса очень хорошо относился к нему: он говорил, что это единственный полезный человек (смех), ибо как-никак а он принес 7 тыс. 533 руб. Это, конечно денежки. Так вот, этот самый Ситнин на предварительном следствии и в ОГПУ, и у следователя Леве[н]тона не признал себя членом Пром. партии. «Я не член Промпартии, я не знал о том, что есть такая промпартия, я не знал о ее преступной деятельности, планов. Я не член промпартии[».] Если вы возьмете дело том II, соответствующий лист, вы увидите эти показания. Эти показания он давал в ОГПУ, где «пытают», где даже, как говорят, «гипнотизируют». Мне говорил один бывший присяжный поверенный: «Т. Вышинский, вы как хотите. Я вас уверяю, вы не знаете, там гипнотизируют, и люди под гипнозом готовы признать себя виновными в чем угодно, в том, что убили родного отца или мать». Оказывается, этот человек (Ситнин) под перекрестным допросом на суде вынужден был признать, что он член промпартии, но не был членом ЦК. Этот маленький пример свидетельствует о том, что на суде гласном, открытом, он сознался больше, чем на негласном, тайном следствии, которое велось органами ГПУ. Таким образом, вторая задача, которая была перед судом, и заключалась в том, чтобы опрокинуть эту клеветническую выдумку. Эта задача была также разрешена ибо только вчера один из иностранных журналистов, более всего ненавидящих нашу работу, наш Союз, нашу революцию (я не хочу сейчас называть его имени, т. к. быть может впоследствии это причинило бы ему какие[-]нибудь неприятности и я оказался бы подстрекателем), сказал после окончания процесса: «Я должен признать, что я (тут он назвал свое имя) просто раздавленный червяк». Если сейчас вы проследите отзывы иностранной печати о процессе, то увидите, что там уже отражается совершенно иное отношение к процессу. Почитайте, что в сегодняшней нашей газете передается об отзывах английской газеты: «Они ... (читает)... это весьма правдоподобно». Вот что пишет английская газета «Манчестер Гардиан». Получается так: они не виноваты в международном заговоре, потому что его нет, т. е. не виноваты постольку, поскольку нет самого заговора. Но, так как заговор есть, они виноваты. По свидетельству самого «Манчестер Гардиан» обвиняемые виноваты в том, что, по сентиментальному выражению газеты, «бросали песок в промышленную машину», а ведь это один из важнейших пунктов, предъявленного к ним обвинения.</w:t>
      </w:r>
    </w:p>
    <w:p w14:paraId="4ABCD59C"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Таким образом можно сказать, что эта сторона задачи, стоящей перед судом, разрешена. Сейчас нет никакого сомнения в том, что обвинения предъявлены правильно, что лица, привлеченные к суду, были именно теми преступниками, против которых возбуждено дело, и все то, что на суде доказано, является, во-первых, действительным доказательством вины этих лиц, а во-вторых, — доказано было больше, чем это признается «Манчестер Гардиан» и аналогичными буржуазными газетами.</w:t>
      </w:r>
    </w:p>
    <w:p w14:paraId="495B9ECF"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Трудность процесса заключалась в том, что он был лишен так наз[ываемых] «объективных доказательств». Под объективными доказательствами наука уголовного процесса и права понимает такие доказательства, которые не опираются на личные объяснения и показания подсудимых. В этом процессе наоборот все опиралось на объяснения самих подсудимых, самих обвиняемых, поэтому и встала величайшая загадка, — почему обвиняемые сознаются. Что заставляет их сознаваться? Мы сами в течение этих 13-14-ти дней неуклонно над этим думали в совещательной комнате. Буржуазная печать, конечно, не могла обойтись без какой[-]нибудь легенды. Раньше всего она поставила перед собою вопрос о том, как удалось ОГПУ открыть всю эту историю. Ведь это самое интересное. Один буржуазный корреспондент решил, что открытие этого заговора произошло очень просто: Рамзин, приехавший в Париж и связавшийся с одним из капиталистов, с которым он, выступая от имени Торгпрома, должен был провести ряд бесед по интересующим их (а сейчас и нас) вопросам; конечно, как это всегда в буржуазных государствах делается, принужден был прибегнуть к помощи такси. Ему подали такси, он в этот такси сел и поехал к этому самому капиталисту, потом с ним поехал по бульварам и в Елисейские поля, во время дороги с ним переговорил обо всем и затем спокойно лег спать, но шоффер такси оказался агентом ОГПУ, который спать не лег, а пошел на телеграф и дал сюда соответствующую шифрованную телеграмму. Когда Рамзин приехал в Москву, то ему был подан уже другой такси, который его повез не по бульварам, а на Лубянку.</w:t>
      </w:r>
    </w:p>
    <w:p w14:paraId="5AE83C92"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Вот одна из очередных сенсационных уток буржуазной печати.</w:t>
      </w:r>
    </w:p>
    <w:p w14:paraId="1A6890EC"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На самом деле все обстояло гораздо проще. Один из обвиняемых не устоял против прямо поставленного ему вопроса об участии или неучастии в этом заговоре. Я говорю не о Рамзине и не об обвиняемом по этому процессу. Он сказал: «У нас действительно было маленькое в этом смысле предприятьице». Но ведь стоит сказать только букву а, а потом уже приходится называть все следующие буквы алфавита. Какие внутренние причины заставляли подсудимых сознаваться? Тут может быть только один ответ, который дадут нам сами подсудимые. — Это отсутствие у них внутренней правды. Нет у них этой правды, нет у них уверенности в том, что то дело, которое они делают — такое дело, во имя которого действительно можно приносить человеческие жертвы, можно прерывать мирный труд пролетарского государства, можно даже предавать свое отечество. Подсудимый Федотов, напр., с неподражаемым ужасом и (по моему личному впечатлению) с полной уверенностью и искренностью воскликнул: «боже мой, ведь я же предал свою родину». Когда ему показали, что он действительно предал, он сразу же рассказал, с кем вместе он предавал. Федотов говорил: «Обвинитель мне сейчас отказывает в доверии. Напрасно он мне не верит. Я говорю искренно, но, конечно, мне нельзя верить — я так низко пал». Когда меня вызвали в ОГПУ на допрос к одному из высокопоставленных работников этого учреждения, я ... — тут старик прослезился, «я был тронут тем, что после допроса он подал мне руку». Федотов заплакал.</w:t>
      </w:r>
    </w:p>
    <w:p w14:paraId="388C6615"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Я должен сказать, что ОГПУ имеет прекрасную систему для раскрытия преступлений. Нам, просвещенцам, это особенно интересно. (Смех). Я говорю совершенно серьезно, ибо там существует система определенного педагогического воздействия на людей. Там изучают человека, там нащупывают его слабые стороны и нажимают на эти слабые стороны. Вот напр., Федотов ... (Тов. Курц: «Постоянно вежливое обращение работников ОГПУ»), Да, постоянно культурное отношение. Итак, Федотов — это интеллигент, это человек, который читателям «Русских ведомостей» хорошо был известен под псевдонимом «Инженера». Так он подписывал свои статьи. Кто сейчас прочет эти статьи, тот скажет, что это марксистские статьи, где он защищает [социальное] фабричное законодательство, возражая против эксплоатации и т. д. Этот человек, который имеет в себе некоторую рабочую закваску, человек, который считает, что он защищал интересы рабочего класса, который в достаточной степени ценит культурное обращение с людьми и на которого рукопожатие после того, как он сознался, что взял 500 тыс. фунтов стерлингов взятки, действует потрясающе: «Вы такие милые люди, что вам не рассказать всего нельзя. Выложу все, моя душа облегчится». Латинская пословица говорит: «[Сказал] и облегчил [тем свою] душу».</w:t>
      </w:r>
    </w:p>
    <w:p w14:paraId="7D34FDE1"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lastRenderedPageBreak/>
        <w:t>Рамзин — человек в высшей степени крепкий. У нас было колебание: кто здесь главное действующее лицо — Федотов или Рамзин. Надо сказать, что Федотов — бывший член кадетской партии, который имеет все связи с деятелями контрреволюционной эмиграции. Он один из самых старых членов промпартии. Вступил он в нее в 1925 г. (тогда партия называлась инженерным центром), а Рамзин вступил в 1927 г. Стало быть, партийный стаж у Федотова выше и больше. (Смех). Федотова, скажу вам в частной, интимной беседе, все сидевшие в камере, в веселую, смешливую минуту называли бандитским папашей.</w:t>
      </w:r>
    </w:p>
    <w:p w14:paraId="74FCA12A"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Накануне приговора у подсудимых был маленький истерический вечерок, нервный, с некоторым преобладанием нервного смеха и некоторого сарказма приговоренных. После речи Крыленко они уже чувствовали себя приговоренными. Это понятно. — Возьмите сегодняшнюю газету «Ивнинг Ньюс», утреннее сообщение, где говорится, что «приговор будет приведен в исполнение на площади, публично». Вечернее сообщение «Ивнинг Ньюс» говорит, что «предполагавшийся публичный расстрел отменен и будет приведен в исполнение не публично». (Смех.)</w:t>
      </w:r>
    </w:p>
    <w:p w14:paraId="1ABFAEFD"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Вполне понятно, что после того, как Крыленко в высокой степени бурно закончил свою речь, бросивши книжку и сказавши: «Пусть, они все будут до одного сметены с лица Советского Союза», вполне понятно, что у подсудимых сложилось впечатление — «Ну, крышка — сметут».</w:t>
      </w:r>
    </w:p>
    <w:p w14:paraId="46A8D496"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И вот у подсудимых был шутливый разговор и между прочим один из обвиняемых, обрати&lt;вшись&gt; к Федотову, сказал: «Ну, главный бандит- папаша, неужели ты думаешь, что тебя не кокнут». Этот сарказм свидетельствует о приподнятом нервном состоянии.</w:t>
      </w:r>
    </w:p>
    <w:p w14:paraId="55F04C91"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Мы долго колебались — «Кто главный виновник: Федотов или Рамзин». В конце концов у нас не было никакого сомнения, что первую скрипку играет Рамзин. Это человек с колоссальной волей, человек недюжинного ума, прекрасно владеющий тактикой маневрирования. Это передавалось и всем подсудимым, как по беспроволочному телеграфу — то, что скажет Рамзин, скажут и все остальные.</w:t>
      </w:r>
    </w:p>
    <w:p w14:paraId="7EB63ADA"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Рамзин понимал, что если он пойман с поличным, то остальное уже будет мелким жульничеством и недостойно политического деятеля. В этом лежит секрет того[,] каким путем органы ГПУ получают сведения. Все было бы не действительно, если бы в душе обвиняемых не было той трещины, которая позволила бы им находить источник сил, чтобы сопротивляться допросу, который ведут органы, обладающие исторической правдой. Тут неравный спор. Против этой силы устоять не в состоянии никакая другая сила. Поэтому, нужно оставить для буржуазных кумушек гадание на кофейной гуще, как это теперь происходит. Это сложный психологический процесс, который после вдумчивой борьбы с запирательством преступника не заслуживает того, чтобы быть поставленным под подозрение.</w:t>
      </w:r>
    </w:p>
    <w:p w14:paraId="2FFCB7C8"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Возьмите другого подсудимого — Федотова. В первой анкете он пишет: «Я 13 лет работаю на советской службе. Я заслуженный деятель науки. У меня целый ряд книг и статей, где говорится против капиталистического строя. Я не могу себя признать ни в чем виновным». Это было в первой анкете. Через полторы недели он говорит: «Я, будучи заграницей, имел разговор с одним из своих старых знакомых — это с Третьяковым и Рябушинским». Через 2 недели он говорит, что действительно разговор шел об интервенции. Через 3 недели он говорит, что им предлагали деньги для развертывания интервенции.</w:t>
      </w:r>
    </w:p>
    <w:p w14:paraId="0D232D6E"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Да, здесь сложный, глубокий педагогический процесс, которому ничто не может научить кроме науки социалистического строительства. Поэтому здесь такой и успех. В самом деле — мне пришлось читать целый ряд секретных документов по другим организациям, — например, транспортная организация, документы замнаркомпути Борисова, который после открытия вредительской организации кончил самоубийством, он дает показания, изобличающие его полностью. А показания Чаянова? Он полностью рассказывает все и выдает всех своих сообщников. В чем же дело? Ведь это не случайные люди в политической борьбе. Дело в том, что у них нет внутренней точки моральной опоры, ибо мораль заключается в победе рабочего класса — право на борьбу, признание этого права. Если этого нет, то нет и остального. Разоблаченные в малом, они падают на колени и рассказывают обо всем. Поэтому, все сплетни о том, что применяются методы воздействия, нужно бросить. Применяются все методы, которые применяются в культурном обществе. По поводу одного сообщения, которое опубликовано в газете «Возрождение» ни я, ни Крыленко не считали тактичным, требовать от членов [Пром]партии, как они будут реагировать на эти обвинения Торгпрома. Но когда Федотов услышал по радио эти обвинения он воскликнул: «Это ложь». И попросил слово для того, чтобы дать объяснение.</w:t>
      </w:r>
    </w:p>
    <w:p w14:paraId="19928A2A"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Федотов сказал, что в тюрьме он чувствовал себя лучше, чем на воле, что у него прошли сердечные припадки (смех). И не мудрено — правильный режим, отсутствие всякого рода канцелярской и заседательской чепухи, конечно, могли принести свои хорошие результаты.</w:t>
      </w:r>
    </w:p>
    <w:p w14:paraId="25CB1F63"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Я не могу останавливаться на очень многих и многих вопроса[х], но хочу затронуть еще один вопрос, вопрос о приговоре и той коллизии, которая как будто бы получилась между приговором суда и постановлением о помиловании. Раньше всего Суд, конечно, есть Суд, который опирается на твердо сформулированные и предъявленные к нему нормы закона. Ведь суд не может действовать так, как ему хочется. Например, некоторые говорят, и даже один из корреспондентов вчера телеграфировал не то в Париж, не то в Лондон, что, к сожалению, пощажены самые несимпатичные личности. И это верно; конечно, Федотов симпатичнее Ситнина, но может ли суд руководствоваться соображениями такого порядка, что вот этот человек искреннее, морально чистоплотнее, можно его пощадить, а этот вот человек морально не чистоплотен, его надо уничтожить. Суд должен руководствоваться не только чувством социалистического правосознания, которое накладывает обязанности оценивать личность во всем ее облике, от начала до конца, и с этой точки зрения решать вопрос о ее социальной опасности или ценности, но должен руководствоваться определенными требованиями закона. Определенные статьи закона говорят, что при доказанности таких-то и таких-то преступлений, подсудимые должны быть расстреляны. Суду, товарищи, не предоставлено право миловать. Суд права помилования не имеет, право помилования принадлежит не суду, а органам, которые обладают иными функциями. Это есть прерогатива верховной государственной власти. Поэтому суд поступил совершенно справедливо, когда он, установив с точностью преступность и социальную опасность этих лиц, счел, что члены Ц.К., пятерка, являющаяся главным руководителем и организатором этих операций, подлежат высшей мере наказания, чем второстепенные персонажи, люди вовлеченные в контр-революционную работу. Возьмите Очкина. Это молодой человек, секретарь Политехнического Института, который буквально был втянут Рамзиным в контр-революционную организацию и сделался его alter ego. Было бы противно нашему чувству социалистического правосознания ставить Рамзина на одну доску с Очкиным. Ежели- бы у нас была более высокая мера наказания, чем расстрел, тогда можно было бы Очкина расстрелять и повысить меру наказания для Рамзина (смех). Но этого нет, и поэтому по чувству человеческой справедливости или социалистического правосознания, суд сделал такое различие. К этому присоединяется второе обстоятельство. Мы были глубоко убеждены в том, что объективно этот Ситнин, и этот Куприянов, и этот Очкин являются людьми, не представляющими собой такой опасности, какую представляют собой Рамзин или Ларичев, или Чарновский, наиболее, на мой взгляд, опасный и наименее раскаявшийся человек. С этой точки зрения они не требовали к себе такой репрессии, какой требовали первые пять. Суд есть суд. Он действует на основании закона, а не на основании иных, стоящих над законом, полномочий, которые принадлежат только верховной власти.</w:t>
      </w:r>
    </w:p>
    <w:p w14:paraId="7C7FE04B"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Правильно-ли поступил ЦИК, когда он отменил приговор суда? Думается, правильно. Ведь весь этот процесс был процессом, в котором шел бой между двумя силами — между силой пролетарской революции и силой буржуазной международной контр-революции. Ведь главные виновники подготавливающейся интервенции — это не Рамзин и не Федотов, это Пуанкаре-Война, это Бриан, это &lt;французский&gt; Генштаб, полковник Жуан[виль], господин Люшер и т. д. и т. д. Сейчас существует чрезвычайно опасная иллюзия, я, лично думаю, что это иллюзия, что если уничтожить этих гадов, как говорят, по-просту, то этим мы застрахованы будем от интервенции. Нет, это только иллюзия. Раздавив эту гадину, мы только усыпим наше внимание, успокоимся на том, что главные виновники уничтожены и мы можем чувствовать себя теперь покойно. Главный виновник не уничтожен и перед лицом еще предстоящей нам исторической необходимости уничтожения этого главного виновника, уничтожение этих тоже главных виновников в данном процессе, но не в процессе мирового масштаба, явится выражением ничем не оправдаемой жестокости. Это можно было бы оправдать только в том случае, если бы они сказали: мы не сознаемся и разоружаем себя и свою организацию, мы продолжаем вести борьбу против вас, мы продолжаем выполнять поручения международной буржуазии. Тогда — расстрел фактический, реальный, конкретный. Этого нет; люди говорят: мы разоружились и разоружили свою организацию, вот вам имена, вот вам связи, каналы, вот вам средства, пути, люди; мы передаем все в ваши руки. При этих условиях физическое уничтожение в порядке осуществления государством своей высшей власти над человеком имеет смысл или нет?</w:t>
      </w:r>
    </w:p>
    <w:p w14:paraId="50CC9A73"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Кроме того, не надо забывать, что это не последнее, к сожалению, уничтожение: сегодня Рамзин, завтрашний день новый Рамзин не раскается в такой же мере, не разоружится в такой степени, ибо он скажет: я принимаю на себя позор и не спасаю своей жизни. Он должен знать, что за сознание своего позора он, по крайней мере, получает жизнь со стороны Советского государства. И с этой точки зрения ни чем бы не оправдывался акт физического уничтожения этих преступников. Но здесь третье обстоятельство: надо сказать — да, товарищи, они раскаялись и разоружились, но кто из нас поверит, что они разоружи [лись?]</w:t>
      </w:r>
    </w:p>
    <w:p w14:paraId="544E1BB2"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Целый ряд подготавливается диверсионных актов здесь в Москве, в Могэсе, вредительская ячейка, в руках которой громадный план диверсии, которая в пять минут, в пять секунд лишает всю нашу Московскую промышленность света и энергии.</w:t>
      </w:r>
    </w:p>
    <w:p w14:paraId="53896769"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Это дополнительно выуживается у человека, который мог бы в каком-нибудь вопросе сказать — лучше я умру, но этого я не скажу. Так пусть лучше он поживет и это нам скажет (Голоса — правильно). (Аплодисменты.)</w:t>
      </w:r>
    </w:p>
    <w:p w14:paraId="595108A0"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Конечно, было бы очень хорошо никогда Правительству, руководящему государством, не встречаться в каком-нибудь конфликте с массой своего населения, со своим классом.</w:t>
      </w:r>
    </w:p>
    <w:p w14:paraId="14C4C808"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Если бы я показал громадную папку телеграмм, писем, в которых кричат о том, что «требуем расстрела всех до одного», то, конечно, было бы лучше и внутренне спокойнее построить так, чтобы полностью ответить на справедливые требования своего класса. Однако, нельзя этого делать в полном объеме, ибо негодование это есть вещь морального порядка, это есть чувство, и над этим чувством стоит политический разум, который требует взять линию иную, которая кажется более правильной. Наша партия и наше Правительство под руководством партии не раз умели в нужное время брать крепкий руль в свои руки и поворачивать ход событий так, как это соответствует пониманию рулевого и жизнь дальнейшего показывала, что это был единственно правильный поворот, единственно правильное действие, что рулевой поступил так, как нужно было поступить, сидя на руле государственной машины.</w:t>
      </w:r>
    </w:p>
    <w:p w14:paraId="5C3A8F94"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И в этом случае так получилось. Когда я впервые после процесса стал появляться среди товарищей, стал появляться — меня с негодованием, с возмущением встречали — как можно было помиловать этих людей.</w:t>
      </w:r>
    </w:p>
    <w:p w14:paraId="4DA31534"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lastRenderedPageBreak/>
        <w:t>Сейчас в этом вопросе взят крепкий поворот против инстинкта самосохранения здоровья, идущего к своей победе класса, требующего уничтожения физического, требующего смести со своего пути даже человеческие тела и жизни, которые стоят на его пути и мешают продвижению вперед. Это чувство негодования должно быть подчинено чувству государственной необходимости.</w:t>
      </w:r>
    </w:p>
    <w:p w14:paraId="04715013"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Мы сломили их оружие, подождем ломать их жизнь, пока не возьмем все то, что нужно, для того, чтобы собственным оружием защищать границы и нужды своего социалистического строительства.</w:t>
      </w:r>
    </w:p>
    <w:p w14:paraId="0A1996C3"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Мне кажется, что единственно возможной была та формулировка, и именно в устах Верховной власти, а не Верховного СУДА, которая дана решением ЦИКа... (читает постановление ЦИКа)</w:t>
      </w:r>
    </w:p>
    <w:p w14:paraId="12B9709D"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На это постановление Президиума ответим удесятеренной бдительностью и зоркостью, утысячеленным усилием в нашей борьбе за социализм. (Продолжительные аплодисменты).</w:t>
      </w:r>
    </w:p>
    <w:p w14:paraId="6F21EC3B"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Тов. ЭПШТЕЙН — Есть ли желающие выступить в прениях или мы дадим тов. Вышинскому ответить на записки и этим ограничимся (ПРИНИМАЕТСЯ ВТОРОЕ ПРЕДЛОЖЕНИЕ).</w:t>
      </w:r>
    </w:p>
    <w:p w14:paraId="0370924B"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Т. ВЫШИНСКИЙ. Т. к. я с записками знакомлюсь только сейчас, то, может быть, некоторые записки, содержание которых не соответствует условиями нашего собрания, я оставлю без ответа.</w:t>
      </w:r>
    </w:p>
    <w:p w14:paraId="10A8E84B"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1-ая записка — о личностях Осадчего и Шейна. Установлено два факта, что они были членами ЦК (Промпартии), введенные в него тогда, когда был арестован Рабинович, один из руководителей контр-революционной группировки по Шахтинскому делу, в котором они выступали в качестве общественных обвинителей по прямому поручению ЦК промпартии. Это заявил собственными словами, всеми буквами Рамзин на мой прямо поставленный ему вопрос. Так что этим личности Осадчего и Шейна характеризуются полностью.</w:t>
      </w:r>
    </w:p>
    <w:p w14:paraId="3AE43CB2"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Знали ли это шахтинцы — я этого не знаю. Рабинович, конечно, это знал, потому что он был членом ЦК. Правда, он был арестован, но связь с ними у него была. Что касается других рядовых членов партии, то если бы тогда возникла эта мысль, мы тогда же узнали бы. Теперь же узнать это в течение оффициального процесса было в высшей степени неудобно. Знал ли об этом какой[-]нибудь Матов — это вопрос, который не имеет судебного значения, а только обывательское.</w:t>
      </w:r>
    </w:p>
    <w:p w14:paraId="60F93C06"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Были ли Осадчий и Шейн членами ЦК в момент их участия в процессе. Это представляет большой интерес, потому что это относилось к моменту вхождения их в ЦК. Они сами сказали, что они тогда были членами ЦК и выступали по поручению ЦК.</w:t>
      </w:r>
    </w:p>
    <w:p w14:paraId="54809755"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Какие выводы будут сделаны в отношении их. Об этом мы узнаем в будущем.</w:t>
      </w:r>
    </w:p>
    <w:p w14:paraId="643A79F5"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Читали ли вредители газеты. Разрешают ли им читать газеты. Откуда вредители знали, что пишет о них «Возрождение». Об этом они узнали в суде, потому что мы это огласили. Я прочитал это полностью. Что касается газет, то сами отказались во время процесса получать газету. Они сами просили: «Не давайте нам газет». Почему. Они сказали: «Мы не можем перенести того гнева, который брызжет со всех сторон на страницах газет». Но так как право читать газеты не есть обязанность читать их, то, конечно, они их не читали. ОДН еще не додумалось до того, чтобы заставить их эти газеты читать.</w:t>
      </w:r>
    </w:p>
    <w:p w14:paraId="3265A34A"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Что касается слухов о смерти Шейна, то я могу сказать, что он не умер — он живет.</w:t>
      </w:r>
    </w:p>
    <w:p w14:paraId="00362E52"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Следующий вопрос: Почему не вызвали Шейна на суд. Мы вызвали Осадчего не для того, чтобы продемонстрировать его в новом положении, а потому, что он был нужен как свидетель по делу, удостоверяющий те или иные факты. Осадчий, признавший себя виновным в участии в этой организации и признавший, что он член партии, дал показания, из которых ясно ряд моментов, связывающих его с деятельностью подсудимых, и на которых можно было проверить показания подсудимых. Шейн виновным себя не признал. Зачем же было его вызывать. Мы бы его вызвали, если бы думали, что, может быть, он скажет, что знает, и тогда выявится роль обвиняемых. Что касается разговоров о смерти Шейна, то то же самое распространился слух о смерти Краснова, организатора вредительства на транспорте, а через три дня он появился в черной визитке в суде, хотя два с половиной года и находится в заключении.</w:t>
      </w:r>
    </w:p>
    <w:p w14:paraId="399BAA80"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Еще записка. Если помиловали эту пятерку, как же можно мотивировать расстрел вредителей шахтинцев. По шахтинскому делу [из] 11 приговоренных к расстрелу расстреляно 5. Горлецкий, Юсевич, Бояринов, Будный и еще один. Горлецкий был ближайший помощник Рабиновича, ни в чем не признавший себя виновным и заявивший, что и впредь будет продолжать борьбу против советской власти, и что единственный строй приемлемый — это капиталистическая система, Горлецкий, организатор вредительства, не раскаявшийся, который имел смелость заявить, что и впредь будет бороться против советской власти, естественно потерял какую-либо возможность на помилование. Помилуйте меня, потому что и впредь буду бороться против вас — это была бы недурная мотивировка помилования.</w:t>
      </w:r>
    </w:p>
    <w:p w14:paraId="23E8B882"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Почему расстреляны 48, а этих не расстреляли. Ведь это диктуется, как я уже говорил, социалистическим правосознанием и революционной целесообразностью. Эта публика, которая по своему политическому значению представляла гораздо меньший вес, чем ЦК Промпартии, требовала особого подхода. Целый ряд обстоятельств говорил о том, что это были люди, которые непосредственно организовывали массовое отравление консервами рабочих. Это, конечно, такие действия, которые ставят человека вне права на помилование. Почему они не были поставлены на публичный процесс. Потому что их дело не представляло того политического интереса и значения, которое представляло это дело, ибо это дело политической партии, насчитывавшей 3-4 тысячи членов, связанной с другими партиями, с Милюковской группой с заграничной, организационно-связанной с меньшевистской группой Громана — Суханова внутри и заграничным ЦК меньшевиков, связанной с Кондратьевской группой и Чаянова</w:t>
      </w:r>
      <w:r w:rsidRPr="00507A31">
        <w:rPr>
          <w:color w:val="000000" w:themeColor="text1"/>
          <w:sz w:val="16"/>
          <w:szCs w:val="16"/>
          <w:vertAlign w:val="superscript"/>
        </w:rPr>
        <w:t>11</w:t>
      </w:r>
      <w:r w:rsidRPr="00507A31">
        <w:rPr>
          <w:color w:val="000000" w:themeColor="text1"/>
          <w:sz w:val="16"/>
          <w:szCs w:val="16"/>
        </w:rPr>
        <w:t>, словом это был политический центр, действовавший по определенной политической платформе.</w:t>
      </w:r>
    </w:p>
    <w:p w14:paraId="31FB2A72"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Характерное обстоятельство: ни Рамзин, ни Калинников, ни Чарновский не брали ни одной копейки в свою личную пользу, тогда как сотни тысяч руб. проходили через их руки, потому что они больше руководствовались идейными побуждениями, хотя и контр-революционными, а к политике надо подходить иначе, чем с обывательскими примитивами — в одном случае приходится расстреливать, в одном случае — поставить на широкий общественный суд, а в другом случае — ..., как то соответствует задаче нашего строительства, как соответствует наше[й] борьбе с врагами.</w:t>
      </w:r>
    </w:p>
    <w:p w14:paraId="0B981B61"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Может быть вы спросите меня, почему мы не позволили Рамзину на открытом заседании рассказать все, что он хотел. Ведь на заседании не было даже ни одного члена ЦК, ни одного члена контрольной комиссии &lt;ВКП(б)&gt; и ни одного члена правительства. Был только один человек из Наркоминдела — Литвинов. Я не разрешил больше никому присутствовать на заседании. Если бы сведения, которые там очень откровенно сообщал Рамзин, каким[-]нибудь образом просочились из судебного зала, то мы могли бы ожидать целой кучи затруднений, осложнений, неприятностей, которые нам абсолютно не нужны и вредны. Мы узнаем все, что нам надо, в других условиях. Всякий процесс — это прежде всего есть привлечение широкого общественного внимания, но не всякое дело можно поставить под лучи юпитеров. Надо понять, что государственная власть, которая осуществляет ответственнейшее дело руководства грандиозным историческим моментом, не может действовать так, а не иначе, потому что так хочется, потому что так кажется. Она действует на основании величайшего закона — закона государственной мудрости. (Бурные аплодисменты.)</w:t>
      </w:r>
    </w:p>
    <w:p w14:paraId="655F020C" w14:textId="77777777" w:rsidR="00820F94" w:rsidRPr="00507A31" w:rsidRDefault="00820F94" w:rsidP="00507A31">
      <w:pPr>
        <w:pStyle w:val="ae"/>
        <w:spacing w:before="0" w:after="0"/>
        <w:jc w:val="both"/>
        <w:rPr>
          <w:color w:val="000000" w:themeColor="text1"/>
          <w:sz w:val="16"/>
          <w:szCs w:val="16"/>
        </w:rPr>
      </w:pPr>
      <w:r w:rsidRPr="00507A31">
        <w:rPr>
          <w:rStyle w:val="af0"/>
          <w:i w:val="0"/>
          <w:color w:val="000000" w:themeColor="text1"/>
          <w:sz w:val="16"/>
          <w:szCs w:val="16"/>
        </w:rPr>
        <w:t>ГА РФ. Ф. P-8131. Oп. 8. Д. 22. Л. 10-35. Машинописный экземпляр того времени, хранящийся в делопроизводстве Секретариата Прокуратуры Верховного суда СССР (19061).</w:t>
      </w:r>
    </w:p>
    <w:p w14:paraId="08DE6DD7" w14:textId="77777777" w:rsidR="00820F94" w:rsidRPr="00507A31" w:rsidRDefault="00820F94" w:rsidP="00507A31">
      <w:pPr>
        <w:jc w:val="both"/>
        <w:rPr>
          <w:color w:val="000000" w:themeColor="text1"/>
          <w:sz w:val="16"/>
          <w:szCs w:val="16"/>
        </w:rPr>
      </w:pPr>
    </w:p>
    <w:p w14:paraId="58287EA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4900405" w14:textId="77777777" w:rsidR="00537E5F" w:rsidRPr="00507A31" w:rsidRDefault="00537E5F" w:rsidP="00507A31">
      <w:pPr>
        <w:autoSpaceDE w:val="0"/>
        <w:autoSpaceDN w:val="0"/>
        <w:adjustRightInd w:val="0"/>
        <w:jc w:val="both"/>
        <w:rPr>
          <w:iCs/>
          <w:color w:val="000000" w:themeColor="text1"/>
          <w:sz w:val="16"/>
          <w:szCs w:val="16"/>
        </w:rPr>
      </w:pPr>
    </w:p>
    <w:p w14:paraId="43F6F98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9 декабря 1930 работала Подготовительная комиссия разрабатывает проект Соглашения о разоружении для обсуждения на конференции Лиги Наций в феврале 1932 года, однако Германия и СССР выступают против проекта (4962).</w:t>
      </w:r>
    </w:p>
    <w:p w14:paraId="74CE7A7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03E0931" w14:textId="77777777" w:rsidR="00820F94" w:rsidRPr="00507A31" w:rsidRDefault="00820F94" w:rsidP="00507A31">
      <w:pPr>
        <w:jc w:val="both"/>
        <w:rPr>
          <w:bCs/>
          <w:color w:val="000000" w:themeColor="text1"/>
          <w:sz w:val="16"/>
          <w:szCs w:val="16"/>
        </w:rPr>
      </w:pPr>
      <w:r w:rsidRPr="00507A31">
        <w:rPr>
          <w:color w:val="000000" w:themeColor="text1"/>
          <w:sz w:val="16"/>
          <w:szCs w:val="16"/>
        </w:rPr>
        <w:t>9 декабря 1930 г.</w:t>
      </w:r>
    </w:p>
    <w:p w14:paraId="56F37956" w14:textId="77777777" w:rsidR="00820F94" w:rsidRPr="00507A31" w:rsidRDefault="00820F94"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постановлении Президиума ЦИК СССР во изменение судебного приговора по «делу “Промпартии”». 9 декабря 1930 г.</w:t>
      </w:r>
    </w:p>
    <w:p w14:paraId="5582BE98" w14:textId="77777777" w:rsidR="00820F94" w:rsidRPr="00507A31" w:rsidRDefault="00820F94" w:rsidP="00507A31">
      <w:pPr>
        <w:jc w:val="both"/>
        <w:rPr>
          <w:bCs/>
          <w:color w:val="000000" w:themeColor="text1"/>
          <w:sz w:val="16"/>
          <w:szCs w:val="16"/>
        </w:rPr>
      </w:pPr>
      <w:r w:rsidRPr="00507A31">
        <w:rPr>
          <w:bCs/>
          <w:color w:val="000000" w:themeColor="text1"/>
          <w:sz w:val="16"/>
          <w:szCs w:val="16"/>
        </w:rPr>
        <w:t>Источник: </w:t>
      </w:r>
    </w:p>
    <w:p w14:paraId="13D6ABB5" w14:textId="77777777" w:rsidR="00820F94" w:rsidRPr="00507A31" w:rsidRDefault="00820F9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85F41B" w14:textId="77777777" w:rsidR="00820F94" w:rsidRPr="00507A31" w:rsidRDefault="00820F94" w:rsidP="00507A31">
      <w:pPr>
        <w:pStyle w:val="rteright"/>
        <w:spacing w:before="0" w:after="0"/>
        <w:jc w:val="both"/>
        <w:rPr>
          <w:color w:val="000000" w:themeColor="text1"/>
          <w:sz w:val="16"/>
          <w:szCs w:val="16"/>
        </w:rPr>
      </w:pPr>
      <w:r w:rsidRPr="00507A31">
        <w:rPr>
          <w:color w:val="000000" w:themeColor="text1"/>
          <w:sz w:val="16"/>
          <w:szCs w:val="16"/>
        </w:rPr>
        <w:t>9 декабря 1930 г.</w:t>
      </w:r>
    </w:p>
    <w:p w14:paraId="06F26FE0"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1DBAA378"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Шифровальный отдел</w:t>
      </w:r>
    </w:p>
    <w:p w14:paraId="1C1DE3D3"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 723-725</w:t>
      </w:r>
    </w:p>
    <w:p w14:paraId="41B9D617"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Москва, 9 декабря 1930, 16 ч</w:t>
      </w:r>
    </w:p>
    <w:p w14:paraId="1157124A"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Получено: 9 декабря 1930, 16 ч</w:t>
      </w:r>
    </w:p>
    <w:p w14:paraId="546563DE"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Процесс по обвинению в государственной измене</w:t>
      </w:r>
    </w:p>
    <w:p w14:paraId="50B52453"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Вот полный и дословный перевод причин, которые называются во вчерашнем декрете, по которым Президиум Центрального исполнительного комитета заменил смертную казнь десятью годами заключения для пяти обвиняемых, а для остальных трех сократил срок заключения с десяти до восьми лет:</w:t>
      </w:r>
    </w:p>
    <w:p w14:paraId="503F547A"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 xml:space="preserve">«Приняв во внимание 1) что осужденные не только сознались и раскаялись в совершенных ими преступлениях, но своими показаниями на предварительном и судебном следствии разоружили свою контрреволюционную организацию, являвшуюся агентурой и исполнительницей директив интервенционистских и военных кругов правящей буржуазии Франции и их придатка в виде «Торгпрома» — объединения бывших крупных русских капиталистов в Париже; 2) что советская власть </w:t>
      </w:r>
      <w:r w:rsidRPr="00507A31">
        <w:rPr>
          <w:color w:val="000000" w:themeColor="text1"/>
          <w:sz w:val="16"/>
          <w:szCs w:val="16"/>
        </w:rPr>
        <w:lastRenderedPageBreak/>
        <w:t>не может руководствоваться вообще чувством мести, в особенности в отношении обезвреженных, сознавшихся и раскаявшихся преступников, — Президиум Центрального исполнительного комитета Союза ССР постановляет...»</w:t>
      </w:r>
    </w:p>
    <w:p w14:paraId="28989B5F"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Из самого этого текста следует, что помилование приговоренных является вознаграждением за доносы, которыми они пытались скомпрометировать французских политических деятелей, офицеров и служащих. Таким образом, эти доносы окончательно принимают недоброжелательный характер. Их вымогали угрозами смертной казни и оплатили смягчением наказания. Отныне весь процесс предстает в своих двух истинных проявлениях: во внутренней политике он является умелой мистификацией, направленной на отвлечение общественного мнения, а во внешней политике это шантаж в адрес Франции, чтобы заставить ее отменить декрет от 3-го октября, и попытка поощрить формирование европейской группы, враждебной по отношению к нашей стране.</w:t>
      </w:r>
    </w:p>
    <w:p w14:paraId="018D5732"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Президиум Центрального исполнительного комитета является высшей конституционной властью в СССР. Его декрет, подписанный президентом Калининым, предъявляет обвинения Франции (хитрым образом, но Франция в нем фигурирует).</w:t>
      </w:r>
    </w:p>
    <w:p w14:paraId="2656B7D0"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Следует, безусловно, отреагировать на это тяжкое оскорбление протестом, который нужно будет высказать против определенных мотивов позавчерашнего судебного постановления. Но необходимое улучшение ситуации зависит в гораздо большей степени от наших действий, чем от наших слов. Своими проявлениями политической и экономической враждебности (декрет от 3-го октября, процесс с 25 ноября по 7 декабря и декрет от 8-го декабря), попытками наказать нас и отвлечь от нашего законного усилия выровнять торговый баланс советское правительство предоставило нам случай и даже навязало нам долг пересмотреть всю систему экономической и политической деятельности СССР во Франции. Строгое применение мер, которые подобный пересмотр посчитает необходимыми, будет самым эффективным ответом тем недобрым намерениям, которые нам были здесь продемонстрированы.</w:t>
      </w:r>
    </w:p>
    <w:p w14:paraId="67D66534"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Жан Эрбет</w:t>
      </w:r>
    </w:p>
    <w:p w14:paraId="26F55B8A" w14:textId="77777777" w:rsidR="00820F94" w:rsidRPr="00507A31" w:rsidRDefault="00820F94"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117СРС0М.Д. 1269. Л. 168-170. Машинописный подлинник, копия того времени, подпись машинописью. Штамп Департамента политических и торговых дел с датой «9 дек. 1930» и вписанным от руки номером о сдаче в архив «z 619-20 s/d5» (18783).</w:t>
      </w:r>
    </w:p>
    <w:p w14:paraId="2DC57E9F" w14:textId="77777777" w:rsidR="00820F94" w:rsidRPr="00507A31" w:rsidRDefault="00820F94" w:rsidP="00507A31">
      <w:pPr>
        <w:jc w:val="both"/>
        <w:rPr>
          <w:color w:val="000000" w:themeColor="text1"/>
          <w:sz w:val="16"/>
          <w:szCs w:val="16"/>
        </w:rPr>
      </w:pPr>
    </w:p>
    <w:p w14:paraId="0C976A2A" w14:textId="77777777" w:rsidR="00820F94" w:rsidRPr="00507A31" w:rsidRDefault="00820F94" w:rsidP="00507A31">
      <w:pPr>
        <w:jc w:val="both"/>
        <w:rPr>
          <w:bCs/>
          <w:color w:val="000000" w:themeColor="text1"/>
          <w:sz w:val="16"/>
          <w:szCs w:val="16"/>
        </w:rPr>
      </w:pPr>
      <w:r w:rsidRPr="00507A31">
        <w:rPr>
          <w:color w:val="000000" w:themeColor="text1"/>
          <w:sz w:val="16"/>
          <w:szCs w:val="16"/>
        </w:rPr>
        <w:t>9 декабря 1930 г.</w:t>
      </w:r>
    </w:p>
    <w:p w14:paraId="27D07CEA" w14:textId="77777777" w:rsidR="00820F94" w:rsidRPr="00507A31" w:rsidRDefault="00820F94" w:rsidP="00507A31">
      <w:pPr>
        <w:jc w:val="both"/>
        <w:rPr>
          <w:bCs/>
          <w:color w:val="000000" w:themeColor="text1"/>
          <w:sz w:val="16"/>
          <w:szCs w:val="16"/>
        </w:rPr>
      </w:pPr>
      <w:r w:rsidRPr="00507A31">
        <w:rPr>
          <w:color w:val="000000" w:themeColor="text1"/>
          <w:sz w:val="16"/>
          <w:szCs w:val="16"/>
        </w:rPr>
        <w:t>Телеграмма чрезвычайного посланника Франции в Австрии Г. Клозеля в МИД Франции о коммунистическом митинге у здания французской дипломатической миссии в Вене. 9 декабря 1930 г.</w:t>
      </w:r>
    </w:p>
    <w:p w14:paraId="0454E491" w14:textId="77777777" w:rsidR="00820F94" w:rsidRPr="00507A31" w:rsidRDefault="00820F94" w:rsidP="00507A31">
      <w:pPr>
        <w:jc w:val="both"/>
        <w:rPr>
          <w:bCs/>
          <w:color w:val="000000" w:themeColor="text1"/>
          <w:sz w:val="16"/>
          <w:szCs w:val="16"/>
        </w:rPr>
      </w:pPr>
      <w:r w:rsidRPr="00507A31">
        <w:rPr>
          <w:bCs/>
          <w:color w:val="000000" w:themeColor="text1"/>
          <w:sz w:val="16"/>
          <w:szCs w:val="16"/>
        </w:rPr>
        <w:t>Источник: </w:t>
      </w:r>
    </w:p>
    <w:p w14:paraId="47D1540F" w14:textId="77777777" w:rsidR="00820F94" w:rsidRPr="00507A31" w:rsidRDefault="00820F9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492A4EE" w14:textId="77777777" w:rsidR="00820F94" w:rsidRPr="00507A31" w:rsidRDefault="00820F94" w:rsidP="00507A31">
      <w:pPr>
        <w:pStyle w:val="rteright"/>
        <w:spacing w:before="0" w:after="0"/>
        <w:jc w:val="both"/>
        <w:rPr>
          <w:color w:val="000000" w:themeColor="text1"/>
          <w:sz w:val="16"/>
          <w:szCs w:val="16"/>
        </w:rPr>
      </w:pPr>
      <w:r w:rsidRPr="00507A31">
        <w:rPr>
          <w:color w:val="000000" w:themeColor="text1"/>
          <w:sz w:val="16"/>
          <w:szCs w:val="16"/>
        </w:rPr>
        <w:t>9 декабря 1930 г.</w:t>
      </w:r>
    </w:p>
    <w:p w14:paraId="48CE245D"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2755DED3"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№239</w:t>
      </w:r>
    </w:p>
    <w:p w14:paraId="245212BB"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Вена, 9 декабря 1930, 15 ч</w:t>
      </w:r>
    </w:p>
    <w:p w14:paraId="7BA54DBF"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Получено: 9 декабря 1930, 15.25</w:t>
      </w:r>
    </w:p>
    <w:p w14:paraId="0FA492F9"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Вчера вечером около двадцати молодых коммунистов устроили перед зданием дипломатической миссии антифранцузскую демонстрацию, которая сразу же была разогнана полицией. Трое были арестованы.</w:t>
      </w:r>
    </w:p>
    <w:p w14:paraId="37A7143A"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Согласно сведениям, которые мне были только что предоставлены на Балльплац, эта незначительная демонстрация была организована по случаю завершения московского процесса. Пока не удалось выяснить, имело ли место непосредственное участие советских лиц.</w:t>
      </w:r>
    </w:p>
    <w:p w14:paraId="1FBFD0A3"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Клозель</w:t>
      </w:r>
    </w:p>
    <w:p w14:paraId="1CB3AF58" w14:textId="77777777" w:rsidR="00820F94" w:rsidRPr="00507A31" w:rsidRDefault="00820F94"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171.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«9 дек. 1930» и вписанным от руки номером о сдаче в архив «z 619— 20 s/d5» (18782).</w:t>
      </w:r>
    </w:p>
    <w:p w14:paraId="345A8A4D" w14:textId="77777777" w:rsidR="00820F94" w:rsidRPr="00507A31" w:rsidRDefault="00820F94" w:rsidP="00507A31">
      <w:pPr>
        <w:jc w:val="both"/>
        <w:rPr>
          <w:color w:val="000000" w:themeColor="text1"/>
          <w:sz w:val="16"/>
          <w:szCs w:val="16"/>
        </w:rPr>
      </w:pPr>
    </w:p>
    <w:p w14:paraId="107882D1" w14:textId="77777777" w:rsidR="00820F94" w:rsidRPr="00507A31" w:rsidRDefault="00820F94" w:rsidP="00507A31">
      <w:pPr>
        <w:jc w:val="both"/>
        <w:rPr>
          <w:bCs/>
          <w:color w:val="000000" w:themeColor="text1"/>
          <w:sz w:val="16"/>
          <w:szCs w:val="16"/>
        </w:rPr>
      </w:pPr>
      <w:r w:rsidRPr="00507A31">
        <w:rPr>
          <w:color w:val="000000" w:themeColor="text1"/>
          <w:sz w:val="16"/>
          <w:szCs w:val="16"/>
        </w:rPr>
        <w:t>9 декабря 1930 г.</w:t>
      </w:r>
    </w:p>
    <w:p w14:paraId="7A3F5367" w14:textId="77777777" w:rsidR="00820F94" w:rsidRPr="00507A31" w:rsidRDefault="00820F94" w:rsidP="00507A31">
      <w:pPr>
        <w:jc w:val="both"/>
        <w:rPr>
          <w:bCs/>
          <w:color w:val="000000" w:themeColor="text1"/>
          <w:sz w:val="16"/>
          <w:szCs w:val="16"/>
        </w:rPr>
      </w:pPr>
      <w:r w:rsidRPr="00507A31">
        <w:rPr>
          <w:color w:val="000000" w:themeColor="text1"/>
          <w:sz w:val="16"/>
          <w:szCs w:val="16"/>
        </w:rPr>
        <w:t>Депеша посла Франции в СССР Ж. Эрбета министру иностранных дел Франции А. Бриану о значении процесса «Промпартии». 9 декабря 1930 г.</w:t>
      </w:r>
    </w:p>
    <w:p w14:paraId="6A6FA18F" w14:textId="77777777" w:rsidR="00820F94" w:rsidRPr="00507A31" w:rsidRDefault="00820F94" w:rsidP="00507A31">
      <w:pPr>
        <w:jc w:val="both"/>
        <w:rPr>
          <w:bCs/>
          <w:color w:val="000000" w:themeColor="text1"/>
          <w:sz w:val="16"/>
          <w:szCs w:val="16"/>
        </w:rPr>
      </w:pPr>
      <w:r w:rsidRPr="00507A31">
        <w:rPr>
          <w:bCs/>
          <w:color w:val="000000" w:themeColor="text1"/>
          <w:sz w:val="16"/>
          <w:szCs w:val="16"/>
        </w:rPr>
        <w:t>Источник: </w:t>
      </w:r>
    </w:p>
    <w:p w14:paraId="5795D0A0" w14:textId="77777777" w:rsidR="00820F94" w:rsidRPr="00507A31" w:rsidRDefault="00820F9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71769F" w14:textId="77777777" w:rsidR="00820F94" w:rsidRPr="00507A31" w:rsidRDefault="00820F94" w:rsidP="00507A31">
      <w:pPr>
        <w:pStyle w:val="rteright"/>
        <w:spacing w:before="0" w:after="0"/>
        <w:jc w:val="both"/>
        <w:rPr>
          <w:color w:val="000000" w:themeColor="text1"/>
          <w:sz w:val="16"/>
          <w:szCs w:val="16"/>
        </w:rPr>
      </w:pPr>
      <w:r w:rsidRPr="00507A31">
        <w:rPr>
          <w:color w:val="000000" w:themeColor="text1"/>
          <w:sz w:val="16"/>
          <w:szCs w:val="16"/>
        </w:rPr>
        <w:t>Москва, 9 декабря 1930 г.</w:t>
      </w:r>
    </w:p>
    <w:p w14:paraId="00E08C34" w14:textId="77777777" w:rsidR="00820F94" w:rsidRPr="00507A31" w:rsidRDefault="00820F94" w:rsidP="00507A31">
      <w:pPr>
        <w:pStyle w:val="rteright"/>
        <w:spacing w:before="0" w:after="0"/>
        <w:jc w:val="both"/>
        <w:rPr>
          <w:color w:val="000000" w:themeColor="text1"/>
          <w:sz w:val="16"/>
          <w:szCs w:val="16"/>
        </w:rPr>
      </w:pPr>
      <w:r w:rsidRPr="00507A31">
        <w:rPr>
          <w:color w:val="000000" w:themeColor="text1"/>
          <w:sz w:val="16"/>
          <w:szCs w:val="16"/>
        </w:rPr>
        <w:t>Конфиденциально</w:t>
      </w:r>
    </w:p>
    <w:p w14:paraId="416F6395"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Посольство Французской Республики в СССР</w:t>
      </w:r>
    </w:p>
    <w:p w14:paraId="694C29EA"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Департамент политических и торговых дел</w:t>
      </w:r>
    </w:p>
    <w:p w14:paraId="29F0D2B2"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Депеша № 752</w:t>
      </w:r>
    </w:p>
    <w:p w14:paraId="16CFC498"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(Европа)</w:t>
      </w:r>
    </w:p>
    <w:p w14:paraId="3BB5AB19"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Посол Французской Республики в Москве министру иностранных дел Аристиду Бриану</w:t>
      </w:r>
    </w:p>
    <w:p w14:paraId="4371BA8B"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Процесс по обвинению в государственной измене: перевод основных пассажей из допросов Рамзина и приговора. Общее заключение</w:t>
      </w:r>
    </w:p>
    <w:p w14:paraId="7D0E45E0"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Отправляю Вашему превосходительству перевод документов, имеющих отношение к только что завершившемуся в Москве процессу по обвинению в государственной измене. Речь идет об отрывках из допросов главного обвиняемого и вердикта суда, в которых затрагивается Франция. Прошу прощения, что не прилагаю к ним перевод других допросов и остальных частей вердикта. Ограниченные возможности нашего посольства не позволили выполнить подобный перевод. Я постарался заполнить лакуны, приложив к данной депеше опубликованные здесь протоколы процесса на немецком и английском языках, а также коллекцию протоколов на русском, которые до настоящего времени печатались в «Известиях». С другой стороны, я ежедневно информировал Вас о комментариях основных советских газет в своих обзорах прессы, чьи номера 336-338 уходят с сегодняшней почтой (...).</w:t>
      </w:r>
    </w:p>
    <w:p w14:paraId="279BAB59"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К своим телеграммам, в которых я постарался охарактеризовать главные моменты процесса, я прибавлю здесь только общие наблюдения.</w:t>
      </w:r>
    </w:p>
    <w:p w14:paraId="1A092A4F"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Во-первых, сотрудничество между обвинением и обвиняемыми очевидно. Оно было заметно на всем протяжении заседаний и подтвердилось смягчением наказания, объявленным вчерашним декретом. В то время как советское правительство беспощадно расстреливает бедняг, «виноватых» в том, что они отложили про запас немного разменной монеты, как можно объяснить, что хорошо оплачиваемые специалисты ускользают от «меча советского правосудия» после того, как они сами признались в том, что на протяжении трех лет они безнаказанно предавали родину и занимались вредительством? Своим помилованием государство очевидно вознаграждает их за донос на Францию и русских эмигрантов в Париже и за то, что они взяли на себя ответственность за экономический кризис, который вызывает недовольство у населения СССР. В самом декрете о помиловании уточняется, что эта любезность оказана им благодаря их доносам. И так как, с другой стороны, мы знаем методы, с помощью которых ГПУ получает «признания», мы можем сказать, что невозможно относиться хоть с каким-либо доверием к заявлениям подсудимых. Давления и пытки, которыми им угрожали с одной стороны, и помилование, на которое им позволяли надеяться, с другой стороны, не оставляли места для установления истины. Это было бы возможно, только если на месте обвиняемых были бы настоящие герои. Поведение этих людей с ясностью показало, что героями они не были.</w:t>
      </w:r>
    </w:p>
    <w:p w14:paraId="6CA8DC48"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Что касается целей процесса во внутренней политике СССР, лучше всего, я считаю, будет просто перевести несколько фраз из статьи, опубликованной 29-го ноября в берлинской газете «Дас Тагебух». Это компетентное заявление газеты, которую сложно подозревать в пристрастности по отношению к нам:</w:t>
      </w:r>
    </w:p>
    <w:p w14:paraId="2517B037"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«Диктатору Сталину нужен этот процесс. Он ему нужен по разным причинам. Правая оппозиция в последнее время усилилась и показывает зубы. Ею руководят старые большевики, боевые товарищи Ленина. Сложно дискредитировать таких, как Бухарин, Рыков или Томский. В этих людей верят массы. Их нужно оклеветать, чтобы сделать безоружными. Нет другой возможности, как искусственно связать идеи этой оппозиции и идеи так называемых преступных организаций. И связь якобы заключается в желании навредить стране и коммунистическому режиму.</w:t>
      </w:r>
    </w:p>
    <w:p w14:paraId="18D003C7"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Эта благая цель оправдывает все средства, даже если речь идет о том, чтобы пожертвовать жизнями сотен невиновных. Но другая важная причина также могла сыграть свою роль: пятилетний план подорван и его фиаско близко. Советская бюрократия своей неспособностью сама же дезорганизует всю экономическую жизнь, и ей удалось поставить Россию на порог кризиса снабжения, но козлами отпущения должны стать только ученые.</w:t>
      </w:r>
    </w:p>
    <w:p w14:paraId="7F2D9BF1"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Обвинительное заключение против Рамзина и других в действительности является обвинительным заключением против главного прокурора Крыленко и ГПУ, против представителей государства, которое наподобие перегревшейся машины, работает при помощи хитростей, мошенничества и провокаций. В то же время это обвинительное заключение против Сталина. Процесс против “вредителей” оборачивается против диктатуры».</w:t>
      </w:r>
    </w:p>
    <w:p w14:paraId="13C464AA"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Эта оценка дает представление о том напряжении, с которым ведется внутренняя борьба в коммунистической партии, и о роли, которую в ней играет московский процесс. Нам не следует занимать позицию в этих внутренних столкновениях. Достаточно заметить, что эта борьба тоже не оставляет места для справедливости, искренности и независимости, которые необходимы для установления истины.</w:t>
      </w:r>
    </w:p>
    <w:p w14:paraId="705687D3"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lastRenderedPageBreak/>
        <w:t>Что касается внешней политики, процесс направлен против Франции. Намек, сделанный однажды во время допроса на Германию, не имел никаких последствий. Недавний единичный визит, который Рамзин нанес в Берлин, не дал повода для подозрений в адрес Германии, тогда как предыдущие поездки того же Рамзина в Париж послужили предлогом для того, чтобы яростно атаковать Францию. Англия, которая упоминается в обвинительном заключении и иногда в устных выступлениях прокурора Крыленко, почти полностью исчезла из вердикта суда: очевидно, ее защитили от оскорблений инструкции, которые Хендерсон в итоге отправил британскому послу в Москве; но в еще большей степени ее оградили от нападок те надежды на получение кредитов на лондонском рынке, которые до сих пор питают русские коммунисты. Италию публично не ставили под сомнение, хотя она в своих переговорах с СССР интересуется румынами, и, если верить определенным сведениям, один итальянский журналист, проживающий в Москве, был обвинен в том, что имел связь с обвиняемыми. Все усилия были сконцентрированы против Франции настолько, что даже Польша и Румыния подвергались нападкам лишь косвенно, в качестве союзников нашей страны. Это правда, что в вердикте не упоминаются имена Пуанкаре и Бриана, как это было в обвинительном заключении. Но это припозднившееся опасение быть поднятыми на смех если и показывает, что советские власти сохранили достаточно хладнокровия, чтобы скорректировать их тактику, то только подчеркивает значение тех выпадов, которые они продолжили делать против Франции. Мы имеем дело не с «пьяными рабами», но с врагами, которые знают, что делают.</w:t>
      </w:r>
    </w:p>
    <w:p w14:paraId="42A5A117"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Причины их антифранцузских выступлений, если я не ошибаюсь, не трудно распознать. Теперешние руководители русского коммунизма ненавидят Францию по двум причинам: потому что они ее боятся и потому что она не ссужает им денег. Они ее боятся, потому что она поддерживает европейский порядок. Это исключает всякую возможность провести революцию в Европе и подвести, таким образом, к успешному концу большевистский опыт России. Они ее боятся, так как она разобралась в вопросе торговли с СССР и дала пример установления режима лицензий, который при условии его распространения на другие страны обяжет советское правительство отказаться от своих методов внутренней и внешней эксплуатации. Они бы предпочли, чтобы Франция, вместо того, чтобы давать этот пример, предоставляла им капиталы для продолжения подготовки широкомасштабного промышленного демпинга и революционного движения, что привело бы к тому, что Красная армия, мощно вооруженная благодаря кредитам капиталистических стран, нанесла бы удар по этим наивным кредиторам.</w:t>
      </w:r>
    </w:p>
    <w:p w14:paraId="6721B782"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Когда к кому-то питают горячее нерасположение, с готовностью верят, что он будет остерегаться и даже пытаться предотвратить удары, на него направленные. Поэтому московские коммунистические руководители всегда готовы представить, что Франция хочет их атаковать. Никакие миролюбивые заверения с нашей стороны не смогут рассеять этой одержимости, так как ее причина заключается не в наших действиях или планах, но в их собственных. Чтобы убедить их в том, что мы не желаем им зла, сначала нужно побудить их к тому, чтобы не желать зла нам. А это зависит не от нашей любезности, а от нашей силы.</w:t>
      </w:r>
    </w:p>
    <w:p w14:paraId="1389F35C"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 той степени, в которой нас затрагивают последствия процесса, они нас обязывают, как мне кажется, предпринять некоторые элементарные действия.</w:t>
      </w:r>
    </w:p>
    <w:p w14:paraId="2E49D0F0"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Во-первых, необходимо четко обозначить, что обвинения, выдвинутые против Франции, ее политических деятелей, генерального штаба или каких-либо ее представителей не заслуживают, как говорил Гизо, нашего презрения. Заявления подсудимых, поставленных в описанную мной выше ситуацию, не могут вызывать доверия, и всякое заявление или официальное решение, содержащее обвинения или инсинуации против Франции, заслуживает нашего энергичного протеста.</w:t>
      </w:r>
    </w:p>
    <w:p w14:paraId="60E149B9"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Из этого следует, что, если советское правительство (в соответствии с циркулирующими здесь слухами) возымеет наглость потребовать санкций или иных мер по отношению к Франции, которую оно якобы скомпрометировало разоблачениями на процессе, эти требования должны быть энергично отвергнуты. Международное право предусматривает процедуру, которой должно следовать правительство, если оно считает себя вправе жаловаться на человека, стоящего на государственной службе у другого правительства. Оно должно обратиться к этому второму правительству и в форме, соответствующей международной учтивости и корректности, попросить наказания или смещения обозначенного человека. Но советское правительство не повело себя таким образом. Никак не предупредив и не подготовив французское правительство, оно развязало вокруг этой судебной комедии отвратительную клеветническую кампанию против Франции. Если через месяц после начала подобной кампании Франция хоть в чем-нибудь уступит советским требованиям или даже предложениям, основанным на том, что мы знаем о процессе, создастся видимость того, что французское правительство признает себя виновным, и ложь во всех своих проявлениях будет возведена в ранг истины. Мы не можем так компрометировать репутацию и авторитет нашей страны. Лучше предупредить советское правительство, что, продолжая настаивать, оно возьмет на себе ответственность за разрыв отношений.</w:t>
      </w:r>
    </w:p>
    <w:p w14:paraId="3DD62370"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Но у нас нет необходимости рассматривать эту крайнюю ситуацию, чтобы осознать свой долг. Он заключается в том, чтобы выровнять наши отношения с СССР. Нарушен баланс не только наших торговых, но и политических отношений. Недопустимо, чтобы с честью и интересами Франции обходились так, как это делают здесь.</w:t>
      </w:r>
    </w:p>
    <w:p w14:paraId="5B1A425F"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Таким образом, необходим общий пересмотр наших отношений с СССР. Он должен касаться как работы торгового представительства и других советских организаций во Франции, так и коммунистической пропаганды и шпионажа в нашей армии, промышленности, колониях и маневров, предпринимаемых советской дипломатией, для того чтобы наносить вред нашей безопасности. После изучения этих вопросов нам нужно будет принять меры у себя в стране и сделать заявления советскому правительству. Выполнение этой двойной задачи принесет нам пользу. От позиции, которую мы займем по отношению к СССР, зависят, возможно, даже в еще большей степени, чем обычно принято считать, уважение и симпатии к нашей стране в Европе и Америке. В коалиции, которую некоторые мечтают составить против нас, Советская Россия будет участником, который будет беспокоить и дискредитировать других. Каждый раз, когда советское правительство проявляет к нам враждебность, мы от этого можем только выиграть, чтобы уличить и подорвать все недоброжелательные действия, которые не могли бы иметь место без его поддержки. Впрочем, население России, которое страдает от нынешнего режима, не будет недовольно тем, что мы дадим отпор его лидерам. Более того, это единственный способ, который нам остается, чтобы вернуть Франции ту популярность, которую она должна иметь в России. Даже среди русских коммунистов есть те, кто не одобряет антифранцузское неистовство Сталина и его советников. Нам невыгодно обескураживать этих людей своей пассивностью. И даже если мы воспринимаем всех большевиков без разбора как изгоев, мы можем сказать: помоги себе, тогда и дьявол тебе поможет.</w:t>
      </w:r>
    </w:p>
    <w:p w14:paraId="197129AE"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Жесткость, которую я позволяю себе рекомендовать &lt;в отношении СССР&gt;, объясняется в первую очередь желанием избежать еще более страшных кризисов. Русский коммунизм — это большая сила, которую необходимо уравновешивать, если мы не хотим быть однажды вынужденными поддерживать против него вооруженную борьбу. Чтобы его уравновешивать, нам надо непримиримо защищать наши права: наше право на всеобщий мир, наше право на спокойствие внутри страны, наше право на равновесие торгового баланса, наше право на все то, что нам приходится в материальном и моральном плане. Долг отстаивать эти права, конечно, не является слишком заманчивой перспективой. Но еще больше будет ответственность, которую мы понесем, если его не выполним.</w:t>
      </w:r>
    </w:p>
    <w:p w14:paraId="2558B2A8"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Эрбет</w:t>
      </w:r>
    </w:p>
    <w:p w14:paraId="56CAA495" w14:textId="77777777" w:rsidR="00820F94" w:rsidRPr="00507A31" w:rsidRDefault="00820F94"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177—180а. Машинописный подлинник, подпись — автограф. Штамп Департамента политических и торговых дел с вписанным от руки номером о сдаче в архив «z 619-20 s/d5». Левее штамп Кабинета министра с датой «13 дек. 1930» (18778).</w:t>
      </w:r>
    </w:p>
    <w:p w14:paraId="3718C1E5" w14:textId="77777777" w:rsidR="00820F94" w:rsidRPr="00507A31" w:rsidRDefault="00820F94" w:rsidP="00507A31">
      <w:pPr>
        <w:jc w:val="both"/>
        <w:rPr>
          <w:color w:val="000000" w:themeColor="text1"/>
          <w:sz w:val="16"/>
          <w:szCs w:val="16"/>
        </w:rPr>
      </w:pPr>
    </w:p>
    <w:p w14:paraId="4BD338E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13A86B5" w14:textId="77777777" w:rsidR="00537E5F" w:rsidRPr="00507A31" w:rsidRDefault="00537E5F" w:rsidP="00507A31">
      <w:pPr>
        <w:autoSpaceDE w:val="0"/>
        <w:autoSpaceDN w:val="0"/>
        <w:adjustRightInd w:val="0"/>
        <w:jc w:val="both"/>
        <w:rPr>
          <w:iCs/>
          <w:color w:val="000000" w:themeColor="text1"/>
          <w:sz w:val="16"/>
          <w:szCs w:val="16"/>
        </w:rPr>
      </w:pPr>
    </w:p>
    <w:p w14:paraId="3D4E75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декабря 1930 в Париже открылся первый Всемирный конгресс по безопасности полетов (274).</w:t>
      </w:r>
    </w:p>
    <w:p w14:paraId="05F49ACD" w14:textId="77777777" w:rsidR="00537E5F" w:rsidRPr="00507A31" w:rsidRDefault="00537E5F" w:rsidP="00507A31">
      <w:pPr>
        <w:autoSpaceDE w:val="0"/>
        <w:autoSpaceDN w:val="0"/>
        <w:adjustRightInd w:val="0"/>
        <w:jc w:val="both"/>
        <w:rPr>
          <w:color w:val="000000" w:themeColor="text1"/>
          <w:sz w:val="16"/>
          <w:szCs w:val="16"/>
        </w:rPr>
      </w:pPr>
    </w:p>
    <w:p w14:paraId="13E370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декабря 1930 подготовительная комиссия разработала проект Соглашение о разоружении для обсуждения на конференции Лиги Наций в феврале 1932, однако СССР и Германия выступили против проекта (3907,163).</w:t>
      </w:r>
    </w:p>
    <w:p w14:paraId="17528587" w14:textId="77777777" w:rsidR="00537E5F" w:rsidRPr="00507A31" w:rsidRDefault="00537E5F" w:rsidP="00507A31">
      <w:pPr>
        <w:autoSpaceDE w:val="0"/>
        <w:autoSpaceDN w:val="0"/>
        <w:adjustRightInd w:val="0"/>
        <w:jc w:val="both"/>
        <w:rPr>
          <w:color w:val="000000" w:themeColor="text1"/>
          <w:sz w:val="16"/>
          <w:szCs w:val="16"/>
        </w:rPr>
      </w:pPr>
    </w:p>
    <w:p w14:paraId="53D93B1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FBD0A9E" w14:textId="77777777" w:rsidR="00537E5F" w:rsidRPr="00507A31" w:rsidRDefault="00537E5F" w:rsidP="00507A31">
      <w:pPr>
        <w:autoSpaceDE w:val="0"/>
        <w:autoSpaceDN w:val="0"/>
        <w:adjustRightInd w:val="0"/>
        <w:jc w:val="both"/>
        <w:rPr>
          <w:iCs/>
          <w:color w:val="000000" w:themeColor="text1"/>
          <w:sz w:val="16"/>
          <w:szCs w:val="16"/>
        </w:rPr>
      </w:pPr>
    </w:p>
    <w:p w14:paraId="224D35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декабря 1930 состоялось совещание в 1-м управлении УВВС, состоявшегося 10 декабря 1930 года.</w:t>
      </w:r>
    </w:p>
    <w:p w14:paraId="0713E5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Присутствовали: Соколов-Соколенок, Волков, Мусселиус, Ханов (УВМС).</w:t>
      </w:r>
    </w:p>
    <w:p w14:paraId="214E0A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Слушали: О боевой схеме и полученных расчетных и конструктивных данных самолета МБР-2.</w:t>
      </w:r>
    </w:p>
    <w:p w14:paraId="49F603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Постановили:</w:t>
      </w:r>
    </w:p>
    <w:p w14:paraId="7DF703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Боевую схему самолета МБР-2, равно как его обзор и обстрел утвердить.</w:t>
      </w:r>
    </w:p>
    <w:p w14:paraId="083F93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Отметить, что летно-тактические требования, предъявленные к самолету, как базовому разведчику, согласно представленным расчетам удовлетворяются полностью.</w:t>
      </w:r>
    </w:p>
    <w:p w14:paraId="0A17F9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Отметить, что предполагавшаяся ранее (при задании на разработку) и соответственно предусмотренная в технических требованиях, возможность совмещения в одном аппарате и базового и катапультного разведчика оказалась технически не выполнима.</w:t>
      </w:r>
    </w:p>
    <w:p w14:paraId="54BB10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Допуская постройку опытного экземпляра целиком металлическим, следует в дальнейшем проработать конструкцию МБР2 таким образом, чтобы в серийной постройке лодка была бы деревянной.</w:t>
      </w:r>
    </w:p>
    <w:p w14:paraId="27727D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Признать своевременным поставить перед Штабом РККА вопрос о включении в систему вооружений ВВС и соответственно в план опытного самолетостроения специального типа самолета - катапультный разведчик. (2993,4).</w:t>
      </w:r>
    </w:p>
    <w:p w14:paraId="6E55630E" w14:textId="77777777" w:rsidR="00537E5F" w:rsidRPr="00507A31" w:rsidRDefault="00537E5F" w:rsidP="00507A31">
      <w:pPr>
        <w:autoSpaceDE w:val="0"/>
        <w:autoSpaceDN w:val="0"/>
        <w:adjustRightInd w:val="0"/>
        <w:jc w:val="both"/>
        <w:rPr>
          <w:color w:val="000000" w:themeColor="text1"/>
          <w:sz w:val="16"/>
          <w:szCs w:val="16"/>
        </w:rPr>
      </w:pPr>
    </w:p>
    <w:p w14:paraId="5CC603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10 декабря 1930 г. по 15 января 1931 г. проходили госиспытания М-27.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33778F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Характеристики:</w:t>
      </w:r>
    </w:p>
    <w:p w14:paraId="0CBADF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 18-цилиндровый, рядный </w:t>
      </w:r>
      <w:r w:rsidRPr="00507A31">
        <w:rPr>
          <w:color w:val="000000" w:themeColor="text1"/>
          <w:sz w:val="16"/>
          <w:szCs w:val="16"/>
          <w:lang w:val="en-US"/>
        </w:rPr>
        <w:t>W</w:t>
      </w:r>
      <w:r w:rsidRPr="00507A31">
        <w:rPr>
          <w:color w:val="000000" w:themeColor="text1"/>
          <w:sz w:val="16"/>
          <w:szCs w:val="16"/>
        </w:rPr>
        <w:t>-образный блочный (блоки под углом 40°), четырехтактный, водяного охлаждения;</w:t>
      </w:r>
    </w:p>
    <w:p w14:paraId="782B43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по заданию 700/900 л.с.;</w:t>
      </w:r>
    </w:p>
    <w:p w14:paraId="2ECF4F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по представлению завода 700/850 л.с. (фактически 707/828 л.с.);</w:t>
      </w:r>
    </w:p>
    <w:p w14:paraId="621ABF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135/160 мм;</w:t>
      </w:r>
    </w:p>
    <w:p w14:paraId="372A27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41,1 л;</w:t>
      </w:r>
    </w:p>
    <w:p w14:paraId="673064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6,4;</w:t>
      </w:r>
    </w:p>
    <w:p w14:paraId="46978F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3F67D2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вес 633 кг (без выхлопных патрубков). Известны модификации:</w:t>
      </w:r>
    </w:p>
    <w:p w14:paraId="0D080A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 исходный вариант без редуктора и нагнетателя;</w:t>
      </w:r>
    </w:p>
    <w:p w14:paraId="088420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М-27Р, вариант с понижающим редуктором; максимальная мощность 830 л.с. Проектировался в ИАМ в 1931 г.</w:t>
      </w:r>
    </w:p>
    <w:p w14:paraId="4FD279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М-27РН, предполагавшийся вариант с редуктором и нагнетателем. Не разрабатывался.</w:t>
      </w:r>
    </w:p>
    <w:p w14:paraId="588604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М-27 сдвоенный для самолета Г-1. Экспериментальная установка ис</w:t>
      </w:r>
      <w:r w:rsidRPr="00507A31">
        <w:rPr>
          <w:color w:val="000000" w:themeColor="text1"/>
          <w:sz w:val="16"/>
          <w:szCs w:val="16"/>
        </w:rPr>
        <w:softHyphen/>
        <w:t>пытывалась в марте — апреле 1933 г.</w:t>
      </w:r>
    </w:p>
    <w:p w14:paraId="286793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2880E0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7321BD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05E8EB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696BB9A" w14:textId="77777777" w:rsidR="00537E5F" w:rsidRPr="00507A31" w:rsidRDefault="00537E5F" w:rsidP="00507A31">
      <w:pPr>
        <w:autoSpaceDE w:val="0"/>
        <w:autoSpaceDN w:val="0"/>
        <w:adjustRightInd w:val="0"/>
        <w:jc w:val="both"/>
        <w:rPr>
          <w:iCs/>
          <w:color w:val="000000" w:themeColor="text1"/>
          <w:sz w:val="16"/>
          <w:szCs w:val="16"/>
        </w:rPr>
      </w:pPr>
    </w:p>
    <w:p w14:paraId="0FA806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декабря 1930 г. Постановление ЦК ВКП(б) признает безусловно необходимым скорейшее начало постройки в Западной Сибири крупного завода горного оборудования... Форсирование постройки завода вызывается принятыми пятилеткой темпами развития каменноугольной промышленности края, осуществление которых возможно исключительно на базе наиболее современной организации угледобычи... Мощность первой очереди завода рассчитана на выпуск ежегодно около 226 тыс. тонн продукции общей стоимостью около 160 млн рублей...» - будущего завода № 153 (10764).</w:t>
      </w:r>
    </w:p>
    <w:p w14:paraId="3C009561" w14:textId="77777777" w:rsidR="00537E5F" w:rsidRPr="00507A31" w:rsidRDefault="00537E5F" w:rsidP="00507A31">
      <w:pPr>
        <w:autoSpaceDE w:val="0"/>
        <w:autoSpaceDN w:val="0"/>
        <w:adjustRightInd w:val="0"/>
        <w:jc w:val="both"/>
        <w:rPr>
          <w:color w:val="000000" w:themeColor="text1"/>
          <w:sz w:val="16"/>
          <w:szCs w:val="16"/>
        </w:rPr>
      </w:pPr>
    </w:p>
    <w:p w14:paraId="09168D56" w14:textId="77777777" w:rsidR="00BD034B" w:rsidRPr="00507A31" w:rsidRDefault="00BD034B" w:rsidP="00507A31">
      <w:pPr>
        <w:shd w:val="clear" w:color="auto" w:fill="FFFFFF"/>
        <w:jc w:val="both"/>
        <w:rPr>
          <w:color w:val="0070C0"/>
          <w:sz w:val="16"/>
          <w:szCs w:val="16"/>
        </w:rPr>
      </w:pPr>
      <w:r w:rsidRPr="00507A31">
        <w:rPr>
          <w:color w:val="0070C0"/>
          <w:sz w:val="16"/>
          <w:szCs w:val="16"/>
        </w:rPr>
        <w:t>10 декабря 1930 состоялись первые испытания Т-20.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4138D138" w14:textId="77777777" w:rsidR="00BD034B" w:rsidRPr="00507A31" w:rsidRDefault="00BD034B" w:rsidP="00507A31">
      <w:pPr>
        <w:jc w:val="both"/>
        <w:rPr>
          <w:color w:val="0070C0"/>
          <w:sz w:val="16"/>
          <w:szCs w:val="16"/>
        </w:rPr>
      </w:pPr>
    </w:p>
    <w:p w14:paraId="7D6F7F34" w14:textId="77777777" w:rsidR="007C50AE" w:rsidRPr="00507A31" w:rsidRDefault="007C50AE" w:rsidP="00507A31">
      <w:pPr>
        <w:jc w:val="both"/>
        <w:rPr>
          <w:color w:val="000000" w:themeColor="text1"/>
          <w:sz w:val="16"/>
          <w:szCs w:val="16"/>
        </w:rPr>
      </w:pPr>
      <w:r w:rsidRPr="00507A31">
        <w:rPr>
          <w:rStyle w:val="a7"/>
          <w:b w:val="0"/>
          <w:color w:val="000000" w:themeColor="text1"/>
          <w:sz w:val="16"/>
          <w:szCs w:val="16"/>
        </w:rPr>
        <w:t xml:space="preserve">10 декабря 1930 </w:t>
      </w:r>
      <w:r w:rsidRPr="00507A31">
        <w:rPr>
          <w:color w:val="000000" w:themeColor="text1"/>
          <w:sz w:val="16"/>
          <w:szCs w:val="16"/>
        </w:rPr>
        <w:t>Политбюро ЦК ВКП (б) предложило ВСНХ докладывать раз в пять дней о ходе работы на Сталинградском тракторном заводе, срочно поставить производство машин для первичной обработки и уборки льна, кендыря и кенафа; одобрило производственную программу цементной промышленности на 1931 г.; утвердило проект постановления ЦК ВКП (б) «О положении угольной промышленности в Кузнецком бассейне» (12265).</w:t>
      </w:r>
    </w:p>
    <w:p w14:paraId="396FED58" w14:textId="77777777" w:rsidR="007C50AE" w:rsidRPr="00507A31" w:rsidRDefault="007C50AE" w:rsidP="00507A31">
      <w:pPr>
        <w:jc w:val="both"/>
        <w:rPr>
          <w:color w:val="000000" w:themeColor="text1"/>
          <w:sz w:val="16"/>
          <w:szCs w:val="16"/>
        </w:rPr>
      </w:pPr>
      <w:r w:rsidRPr="00507A31">
        <w:rPr>
          <w:color w:val="000000" w:themeColor="text1"/>
          <w:sz w:val="16"/>
          <w:szCs w:val="16"/>
        </w:rPr>
        <w:t> </w:t>
      </w:r>
    </w:p>
    <w:p w14:paraId="15F121C3" w14:textId="77777777" w:rsidR="00820F94" w:rsidRPr="00507A31" w:rsidRDefault="00820F94"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EA8F2AE" w14:textId="77777777" w:rsidR="00820F94" w:rsidRPr="00507A31" w:rsidRDefault="00820F94" w:rsidP="00507A31">
      <w:pPr>
        <w:autoSpaceDE w:val="0"/>
        <w:autoSpaceDN w:val="0"/>
        <w:adjustRightInd w:val="0"/>
        <w:jc w:val="both"/>
        <w:rPr>
          <w:iCs/>
          <w:color w:val="000000" w:themeColor="text1"/>
          <w:sz w:val="16"/>
          <w:szCs w:val="16"/>
        </w:rPr>
      </w:pPr>
    </w:p>
    <w:p w14:paraId="1272E9EF" w14:textId="77777777" w:rsidR="00820F94" w:rsidRPr="00507A31" w:rsidRDefault="00820F94" w:rsidP="00507A31">
      <w:pPr>
        <w:jc w:val="both"/>
        <w:rPr>
          <w:color w:val="000000" w:themeColor="text1"/>
          <w:sz w:val="16"/>
          <w:szCs w:val="16"/>
        </w:rPr>
      </w:pPr>
      <w:r w:rsidRPr="00507A31">
        <w:rPr>
          <w:color w:val="000000" w:themeColor="text1"/>
          <w:sz w:val="16"/>
          <w:szCs w:val="16"/>
        </w:rPr>
        <w:t>10 декабря 1930 г. начальник Штаба РККА направил Начальнику ВВС П.И. Баранову Докладную записку «О согласовании в Штабе РККА проекта дислокации ВВС», в котором было заложено компромиссное решение почти по всем вопросам дислокации и укомплектования. В Докладной записке говорилось «о нарастании самолетного парка по годам развития». Самолетный парк по записке в 1933 г. усиливался приблизительно на 1000 единиц за счет Гражданской авиации. Поэтому с 1932 г. план по кадрам почти без изменений переносился на 1933 год (19566).</w:t>
      </w:r>
    </w:p>
    <w:p w14:paraId="5D853ECE" w14:textId="77777777" w:rsidR="00820F94" w:rsidRPr="00507A31" w:rsidRDefault="00820F94" w:rsidP="00507A31">
      <w:pPr>
        <w:jc w:val="both"/>
        <w:rPr>
          <w:color w:val="000000" w:themeColor="text1"/>
          <w:sz w:val="16"/>
          <w:szCs w:val="16"/>
        </w:rPr>
      </w:pPr>
    </w:p>
    <w:p w14:paraId="5BC73B87" w14:textId="77777777" w:rsidR="00820F94" w:rsidRPr="00507A31" w:rsidRDefault="00820F94"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054389F5" w14:textId="77777777" w:rsidR="00820F94" w:rsidRPr="00507A31" w:rsidRDefault="00820F94" w:rsidP="00507A31">
      <w:pPr>
        <w:autoSpaceDE w:val="0"/>
        <w:autoSpaceDN w:val="0"/>
        <w:adjustRightInd w:val="0"/>
        <w:jc w:val="both"/>
        <w:rPr>
          <w:iCs/>
          <w:color w:val="000000" w:themeColor="text1"/>
          <w:sz w:val="16"/>
          <w:szCs w:val="16"/>
        </w:rPr>
      </w:pPr>
    </w:p>
    <w:p w14:paraId="0B101C4D" w14:textId="77777777" w:rsidR="00820F94" w:rsidRPr="00507A31" w:rsidRDefault="00820F94" w:rsidP="00507A31">
      <w:pPr>
        <w:jc w:val="both"/>
        <w:rPr>
          <w:bCs/>
          <w:color w:val="000000" w:themeColor="text1"/>
          <w:sz w:val="16"/>
          <w:szCs w:val="16"/>
        </w:rPr>
      </w:pPr>
      <w:r w:rsidRPr="00507A31">
        <w:rPr>
          <w:color w:val="000000" w:themeColor="text1"/>
          <w:sz w:val="16"/>
          <w:szCs w:val="16"/>
        </w:rPr>
        <w:t>10 декабря 1930 г.</w:t>
      </w:r>
    </w:p>
    <w:p w14:paraId="041A7478" w14:textId="77777777" w:rsidR="00820F94" w:rsidRPr="00507A31" w:rsidRDefault="00820F94" w:rsidP="00507A31">
      <w:pPr>
        <w:jc w:val="both"/>
        <w:rPr>
          <w:bCs/>
          <w:color w:val="000000" w:themeColor="text1"/>
          <w:sz w:val="16"/>
          <w:szCs w:val="16"/>
        </w:rPr>
      </w:pPr>
      <w:r w:rsidRPr="00507A31">
        <w:rPr>
          <w:color w:val="000000" w:themeColor="text1"/>
          <w:sz w:val="16"/>
          <w:szCs w:val="16"/>
        </w:rPr>
        <w:t>Рекомендации отдела печати НКИД СССР Д. Г. Штерну о формах и каналах освещения итогов процесса «Промпартии» в Германии. 10 декабря 1930 г.</w:t>
      </w:r>
    </w:p>
    <w:p w14:paraId="05F2BF71" w14:textId="77777777" w:rsidR="00820F94" w:rsidRPr="00507A31" w:rsidRDefault="00820F94" w:rsidP="00507A31">
      <w:pPr>
        <w:jc w:val="both"/>
        <w:rPr>
          <w:bCs/>
          <w:color w:val="000000" w:themeColor="text1"/>
          <w:sz w:val="16"/>
          <w:szCs w:val="16"/>
        </w:rPr>
      </w:pPr>
      <w:r w:rsidRPr="00507A31">
        <w:rPr>
          <w:bCs/>
          <w:color w:val="000000" w:themeColor="text1"/>
          <w:sz w:val="16"/>
          <w:szCs w:val="16"/>
        </w:rPr>
        <w:t>Источник: </w:t>
      </w:r>
    </w:p>
    <w:p w14:paraId="4CA70D18" w14:textId="77777777" w:rsidR="00820F94" w:rsidRPr="00507A31" w:rsidRDefault="00820F9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AE30A7" w14:textId="77777777" w:rsidR="00820F94" w:rsidRPr="00507A31" w:rsidRDefault="00820F94" w:rsidP="00507A31">
      <w:pPr>
        <w:jc w:val="both"/>
        <w:rPr>
          <w:bCs/>
          <w:color w:val="000000" w:themeColor="text1"/>
          <w:sz w:val="16"/>
          <w:szCs w:val="16"/>
        </w:rPr>
      </w:pPr>
      <w:r w:rsidRPr="00507A31">
        <w:rPr>
          <w:bCs/>
          <w:color w:val="000000" w:themeColor="text1"/>
          <w:sz w:val="16"/>
          <w:szCs w:val="16"/>
        </w:rPr>
        <w:t>Архив: </w:t>
      </w:r>
    </w:p>
    <w:p w14:paraId="188D55D4" w14:textId="77777777" w:rsidR="00820F94" w:rsidRPr="00507A31" w:rsidRDefault="00820F94" w:rsidP="00507A31">
      <w:pPr>
        <w:jc w:val="both"/>
        <w:rPr>
          <w:color w:val="000000" w:themeColor="text1"/>
          <w:sz w:val="16"/>
          <w:szCs w:val="16"/>
        </w:rPr>
      </w:pPr>
      <w:r w:rsidRPr="00507A31">
        <w:rPr>
          <w:color w:val="000000" w:themeColor="text1"/>
          <w:sz w:val="16"/>
          <w:szCs w:val="16"/>
        </w:rPr>
        <w:t>АВП РФ. Ф. 056. On. 15. П.31.Д.9. Л. 104</w:t>
      </w:r>
    </w:p>
    <w:p w14:paraId="012273B8" w14:textId="77777777" w:rsidR="00820F94" w:rsidRPr="00507A31" w:rsidRDefault="00820F94" w:rsidP="00507A31">
      <w:pPr>
        <w:pStyle w:val="rteright"/>
        <w:spacing w:before="0" w:after="0"/>
        <w:jc w:val="both"/>
        <w:rPr>
          <w:color w:val="000000" w:themeColor="text1"/>
          <w:sz w:val="16"/>
          <w:szCs w:val="16"/>
        </w:rPr>
      </w:pPr>
      <w:r w:rsidRPr="00507A31">
        <w:rPr>
          <w:color w:val="000000" w:themeColor="text1"/>
          <w:sz w:val="16"/>
          <w:szCs w:val="16"/>
        </w:rPr>
        <w:t>10 декабря 1930 г.</w:t>
      </w:r>
    </w:p>
    <w:p w14:paraId="21BE1B2F" w14:textId="77777777" w:rsidR="00820F94" w:rsidRPr="00507A31" w:rsidRDefault="00820F94"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15259C8A"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5EF31D87"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10.XII. 1930 г.</w:t>
      </w:r>
    </w:p>
    <w:p w14:paraId="2FC0BFDD"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 7362</w:t>
      </w:r>
    </w:p>
    <w:p w14:paraId="108D4E2A"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Тов. Штерну, Берлин</w:t>
      </w:r>
    </w:p>
    <w:p w14:paraId="17FC62AC"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1. Роман на тему о процессе должен быть издан издательством Мюнценберга. Если у Вас есть по этому поводу соображения или авторская кандидатура, снеситесь с ним.</w:t>
      </w:r>
    </w:p>
    <w:p w14:paraId="486229EA"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2.  Вопрос об агентстве Д на днях будет обсуждаться.</w:t>
      </w:r>
    </w:p>
    <w:p w14:paraId="78EED025"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3. При проведении материала в печать имейте ввиду, что было бы очень хорошо добиться опубликования полностью приговора в каком[-] нибудь журнале или еженедельнйке.</w:t>
      </w:r>
    </w:p>
    <w:p w14:paraId="7CB408FC"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4. Тов. Цихон отказался дать интервью для «Франк[фуртер] Цейтунг». Материалы собираются и будут Вам посланы.</w:t>
      </w:r>
    </w:p>
    <w:p w14:paraId="21C99AF8"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5. Тов. Комаровский считает целесообразным обмениваться номерами газет и журналов, где помещены благоприятные и в особенности лансированные нами статьи.</w:t>
      </w:r>
    </w:p>
    <w:p w14:paraId="4E4AD377"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Просьба это делать по мере сил и возможностей.</w:t>
      </w:r>
    </w:p>
    <w:p w14:paraId="279F5EFD"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Зав. Отд. Печати (Аренс)</w:t>
      </w:r>
    </w:p>
    <w:p w14:paraId="280BD2D3"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Референт Миронов</w:t>
      </w:r>
    </w:p>
    <w:p w14:paraId="68A3A3FE" w14:textId="77777777" w:rsidR="00820F94" w:rsidRPr="00507A31" w:rsidRDefault="00820F94"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АВП РФ. Ф. 056. </w:t>
      </w:r>
      <w:r w:rsidRPr="00507A31">
        <w:rPr>
          <w:rStyle w:val="af0"/>
          <w:i w:val="0"/>
          <w:color w:val="000000" w:themeColor="text1"/>
          <w:sz w:val="16"/>
          <w:szCs w:val="16"/>
          <w:lang w:val="en-US"/>
        </w:rPr>
        <w:t>On</w:t>
      </w:r>
      <w:r w:rsidRPr="00507A31">
        <w:rPr>
          <w:rStyle w:val="af0"/>
          <w:i w:val="0"/>
          <w:color w:val="000000" w:themeColor="text1"/>
          <w:sz w:val="16"/>
          <w:szCs w:val="16"/>
        </w:rPr>
        <w:t>. 15. П.31.Д.9. Л. 104. Машинописный подлинник, того времени, подпись Миронова — автограф. Гриф секретности и дата машинописью, исходящий номер от руки. Вверху листа рукописная помета «Штейну». Внизу слева делопроизводственная помета машинописью (столбцом) «3 экз. 1 — адресату 1 — тов. Штейну 1 — архив» (18877).</w:t>
      </w:r>
    </w:p>
    <w:p w14:paraId="68D74214" w14:textId="77777777" w:rsidR="00820F94" w:rsidRPr="00507A31" w:rsidRDefault="00820F94" w:rsidP="00507A31">
      <w:pPr>
        <w:jc w:val="both"/>
        <w:rPr>
          <w:color w:val="000000" w:themeColor="text1"/>
          <w:sz w:val="16"/>
          <w:szCs w:val="16"/>
        </w:rPr>
      </w:pPr>
    </w:p>
    <w:p w14:paraId="250EEE4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8D8F589" w14:textId="77777777" w:rsidR="00537E5F" w:rsidRPr="00507A31" w:rsidRDefault="00537E5F" w:rsidP="00507A31">
      <w:pPr>
        <w:autoSpaceDE w:val="0"/>
        <w:autoSpaceDN w:val="0"/>
        <w:adjustRightInd w:val="0"/>
        <w:jc w:val="both"/>
        <w:rPr>
          <w:iCs/>
          <w:color w:val="000000" w:themeColor="text1"/>
          <w:sz w:val="16"/>
          <w:szCs w:val="16"/>
        </w:rPr>
      </w:pPr>
    </w:p>
    <w:p w14:paraId="4650626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 первой декаде декабря 1930 года был передан на испытание самолет И5-М15, построенный в соответствии с постановлением РВС 13 сентября 1930 года № 20 (6274).</w:t>
      </w:r>
    </w:p>
    <w:p w14:paraId="14DB2CB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74FE7B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F78180B" w14:textId="77777777" w:rsidR="00537E5F" w:rsidRPr="00507A31" w:rsidRDefault="00537E5F" w:rsidP="00507A31">
      <w:pPr>
        <w:autoSpaceDE w:val="0"/>
        <w:autoSpaceDN w:val="0"/>
        <w:adjustRightInd w:val="0"/>
        <w:jc w:val="both"/>
        <w:rPr>
          <w:iCs/>
          <w:color w:val="000000" w:themeColor="text1"/>
          <w:sz w:val="16"/>
          <w:szCs w:val="16"/>
        </w:rPr>
      </w:pPr>
    </w:p>
    <w:p w14:paraId="0D3F0D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декабря 1930 было совещание у НКВМ по вопросам положения на 1 ГАЗ (1028,111).</w:t>
      </w:r>
    </w:p>
    <w:p w14:paraId="470706B5" w14:textId="77777777" w:rsidR="00537E5F" w:rsidRPr="00507A31" w:rsidRDefault="00537E5F" w:rsidP="00507A31">
      <w:pPr>
        <w:autoSpaceDE w:val="0"/>
        <w:autoSpaceDN w:val="0"/>
        <w:adjustRightInd w:val="0"/>
        <w:jc w:val="both"/>
        <w:rPr>
          <w:color w:val="000000" w:themeColor="text1"/>
          <w:sz w:val="16"/>
          <w:szCs w:val="16"/>
        </w:rPr>
      </w:pPr>
    </w:p>
    <w:p w14:paraId="73992904" w14:textId="77777777" w:rsidR="007C50A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5C7616F" w14:textId="77777777" w:rsidR="007C50AE" w:rsidRPr="00507A31" w:rsidRDefault="007C50AE" w:rsidP="00507A31">
      <w:pPr>
        <w:autoSpaceDE w:val="0"/>
        <w:autoSpaceDN w:val="0"/>
        <w:adjustRightInd w:val="0"/>
        <w:jc w:val="both"/>
        <w:rPr>
          <w:iCs/>
          <w:color w:val="000000" w:themeColor="text1"/>
          <w:sz w:val="16"/>
          <w:szCs w:val="16"/>
        </w:rPr>
      </w:pPr>
    </w:p>
    <w:p w14:paraId="5CF1B737" w14:textId="77777777" w:rsidR="007C50AE" w:rsidRPr="00507A31" w:rsidRDefault="007C50AE" w:rsidP="00507A31">
      <w:pPr>
        <w:jc w:val="both"/>
        <w:rPr>
          <w:color w:val="000000" w:themeColor="text1"/>
          <w:sz w:val="16"/>
          <w:szCs w:val="16"/>
        </w:rPr>
      </w:pPr>
      <w:r w:rsidRPr="00507A31">
        <w:rPr>
          <w:rStyle w:val="a7"/>
          <w:b w:val="0"/>
          <w:color w:val="000000" w:themeColor="text1"/>
          <w:sz w:val="16"/>
          <w:szCs w:val="16"/>
        </w:rPr>
        <w:t xml:space="preserve">11 декабря 1930 </w:t>
      </w:r>
      <w:r w:rsidRPr="00507A31">
        <w:rPr>
          <w:color w:val="000000" w:themeColor="text1"/>
          <w:sz w:val="16"/>
          <w:szCs w:val="16"/>
        </w:rPr>
        <w:t>Политбюро ЦК ВКП (б) приняло за основу проект резолюции о контрольных цифрах на 1931 г., признав необходимым увеличить государственный резерв (12265).</w:t>
      </w:r>
    </w:p>
    <w:p w14:paraId="400E954B" w14:textId="77777777" w:rsidR="007C50AE" w:rsidRPr="00507A31" w:rsidRDefault="007C50AE" w:rsidP="00507A31">
      <w:pPr>
        <w:jc w:val="both"/>
        <w:rPr>
          <w:color w:val="000000" w:themeColor="text1"/>
          <w:sz w:val="16"/>
          <w:szCs w:val="16"/>
        </w:rPr>
      </w:pPr>
      <w:r w:rsidRPr="00507A31">
        <w:rPr>
          <w:color w:val="000000" w:themeColor="text1"/>
          <w:sz w:val="16"/>
          <w:szCs w:val="16"/>
        </w:rPr>
        <w:t> </w:t>
      </w:r>
    </w:p>
    <w:p w14:paraId="0A822FB2" w14:textId="77777777" w:rsidR="00820F94" w:rsidRPr="00507A31" w:rsidRDefault="00820F94"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3F6C8426" w14:textId="77777777" w:rsidR="00820F94" w:rsidRPr="00507A31" w:rsidRDefault="00820F94" w:rsidP="00507A31">
      <w:pPr>
        <w:autoSpaceDE w:val="0"/>
        <w:autoSpaceDN w:val="0"/>
        <w:adjustRightInd w:val="0"/>
        <w:jc w:val="both"/>
        <w:rPr>
          <w:iCs/>
          <w:color w:val="000000" w:themeColor="text1"/>
          <w:sz w:val="16"/>
          <w:szCs w:val="16"/>
        </w:rPr>
      </w:pPr>
    </w:p>
    <w:p w14:paraId="41168065" w14:textId="77777777" w:rsidR="00820F94" w:rsidRPr="00507A31" w:rsidRDefault="00820F94" w:rsidP="00507A31">
      <w:pPr>
        <w:jc w:val="both"/>
        <w:rPr>
          <w:bCs/>
          <w:color w:val="000000" w:themeColor="text1"/>
          <w:sz w:val="16"/>
          <w:szCs w:val="16"/>
        </w:rPr>
      </w:pPr>
      <w:r w:rsidRPr="00507A31">
        <w:rPr>
          <w:color w:val="000000" w:themeColor="text1"/>
          <w:sz w:val="16"/>
          <w:szCs w:val="16"/>
        </w:rPr>
        <w:t>11 декабря 1930 г.</w:t>
      </w:r>
    </w:p>
    <w:p w14:paraId="17486D53" w14:textId="77777777" w:rsidR="00820F94" w:rsidRPr="00507A31" w:rsidRDefault="00820F94" w:rsidP="00507A31">
      <w:pPr>
        <w:jc w:val="both"/>
        <w:rPr>
          <w:bCs/>
          <w:color w:val="000000" w:themeColor="text1"/>
          <w:sz w:val="16"/>
          <w:szCs w:val="16"/>
        </w:rPr>
      </w:pPr>
      <w:r w:rsidRPr="00507A31">
        <w:rPr>
          <w:color w:val="000000" w:themeColor="text1"/>
          <w:sz w:val="16"/>
          <w:szCs w:val="16"/>
        </w:rPr>
        <w:lastRenderedPageBreak/>
        <w:t>Депеша посла Франции в Великобритании Э. де Флерио министру иностранных дел Франции А. Бриану об обсуждении процесса «Промпартии» в Палате общин. Лондон, 11 декабря 1930 г.</w:t>
      </w:r>
    </w:p>
    <w:p w14:paraId="5096B955" w14:textId="77777777" w:rsidR="00820F94" w:rsidRPr="00507A31" w:rsidRDefault="00820F94" w:rsidP="00507A31">
      <w:pPr>
        <w:jc w:val="both"/>
        <w:rPr>
          <w:bCs/>
          <w:color w:val="000000" w:themeColor="text1"/>
          <w:sz w:val="16"/>
          <w:szCs w:val="16"/>
        </w:rPr>
      </w:pPr>
      <w:r w:rsidRPr="00507A31">
        <w:rPr>
          <w:bCs/>
          <w:color w:val="000000" w:themeColor="text1"/>
          <w:sz w:val="16"/>
          <w:szCs w:val="16"/>
        </w:rPr>
        <w:t>Источник: </w:t>
      </w:r>
    </w:p>
    <w:p w14:paraId="4150C3DA" w14:textId="77777777" w:rsidR="00820F94" w:rsidRPr="00507A31" w:rsidRDefault="00820F9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765118" w14:textId="77777777" w:rsidR="00820F94" w:rsidRPr="00507A31" w:rsidRDefault="00820F94" w:rsidP="00507A31">
      <w:pPr>
        <w:pStyle w:val="rteright"/>
        <w:spacing w:before="0" w:after="0"/>
        <w:jc w:val="both"/>
        <w:rPr>
          <w:color w:val="000000" w:themeColor="text1"/>
          <w:sz w:val="16"/>
          <w:szCs w:val="16"/>
        </w:rPr>
      </w:pPr>
      <w:r w:rsidRPr="00507A31">
        <w:rPr>
          <w:color w:val="000000" w:themeColor="text1"/>
          <w:sz w:val="16"/>
          <w:szCs w:val="16"/>
        </w:rPr>
        <w:t>Лондон, 11 декабря 1930 г.</w:t>
      </w:r>
    </w:p>
    <w:p w14:paraId="2011E9D3"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Посольство Франции</w:t>
      </w:r>
    </w:p>
    <w:p w14:paraId="6A4410E7"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Департамент политических и торговых дел</w:t>
      </w:r>
    </w:p>
    <w:p w14:paraId="5049522C"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Депеша № 557</w:t>
      </w:r>
    </w:p>
    <w:p w14:paraId="27E23D2D"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(Европа)</w:t>
      </w:r>
    </w:p>
    <w:p w14:paraId="2D519CFF"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Посол Франции в Лондоне Флерио министру иностранных дел Аристиду Бриану</w:t>
      </w:r>
    </w:p>
    <w:p w14:paraId="2F00BE93"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Палата общин</w:t>
      </w:r>
    </w:p>
    <w:p w14:paraId="4A9BE25F"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Московский процесс и советская пропаганда в Англии</w:t>
      </w:r>
    </w:p>
    <w:p w14:paraId="59482F9A"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 Низшей палате парламента почти каждый день оппозиция консерваторов возобновляет атаки против позиции, занятой кабинетом лейбористов по отношению к Советам. На заседании 8 декабря Хендерсону задавали вопросы о судебных заседаниях на московском процессе и о сообщении антибританской пропаганды, переданном через беспроводной передатчик на все радиостанции в Англии (см. мое письмо № 539 от 2 декабря 1930).</w:t>
      </w:r>
    </w:p>
    <w:p w14:paraId="4156FFA9"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По первому вопросу государственный секретарь иностранных дел зачитал ответ советского правительства на протест, высказанный послом Англии. В этом документе говорится о том, что заявления подсудимых о контрреволюционных действиях в Англии были использованы государственным обвинителем в его обвинительной речи. Но суд не учел их при вынесении приговора.</w:t>
      </w:r>
    </w:p>
    <w:p w14:paraId="419AD2A2"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Хендерсона засыпали вопросами о недостаточности подобного ответа, но он ограничился заявлением, что подумает, нужно ли предпринять новый демарш в Москве по этому поводу.</w:t>
      </w:r>
    </w:p>
    <w:p w14:paraId="6B8F5B54"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Государственный секретарь иностранных дел затем сообщил, что согласно устному заявлению советского правительства, антибританское пропагандистское сообщение было передано через приемник, не находившийся под контролем советских властей, но свободно использовавшийся Советом русских профсоюзов. Тем не менее, НКИД в Москве приложит усилия, чтобы воспрепятствовать распространению подобных сообщений в будущем. Хендерсон заявил, что британское правительство не будет требовать других объяснений по этому вопросу. Это заявление вызвало сильное раздражение среди членов оппозиции.</w:t>
      </w:r>
    </w:p>
    <w:p w14:paraId="75AF947B" w14:textId="77777777" w:rsidR="00820F94" w:rsidRPr="00507A31" w:rsidRDefault="00820F94" w:rsidP="00507A31">
      <w:pPr>
        <w:pStyle w:val="rtejustify"/>
        <w:spacing w:before="0" w:after="0"/>
        <w:rPr>
          <w:color w:val="000000" w:themeColor="text1"/>
          <w:sz w:val="16"/>
          <w:szCs w:val="16"/>
        </w:rPr>
      </w:pPr>
      <w:r w:rsidRPr="00507A31">
        <w:rPr>
          <w:color w:val="000000" w:themeColor="text1"/>
          <w:sz w:val="16"/>
          <w:szCs w:val="16"/>
        </w:rPr>
        <w:t>В приложении, отправляю Вашему превосходительству протокол этой сессии парламента.</w:t>
      </w:r>
    </w:p>
    <w:p w14:paraId="6BE03355" w14:textId="77777777" w:rsidR="00820F94" w:rsidRPr="00507A31" w:rsidRDefault="00820F94" w:rsidP="00507A31">
      <w:pPr>
        <w:pStyle w:val="ae"/>
        <w:spacing w:before="0" w:after="0"/>
        <w:jc w:val="both"/>
        <w:rPr>
          <w:color w:val="000000" w:themeColor="text1"/>
          <w:sz w:val="16"/>
          <w:szCs w:val="16"/>
        </w:rPr>
      </w:pPr>
      <w:r w:rsidRPr="00507A31">
        <w:rPr>
          <w:color w:val="000000" w:themeColor="text1"/>
          <w:sz w:val="16"/>
          <w:szCs w:val="16"/>
        </w:rPr>
        <w:t>Флерио</w:t>
      </w:r>
    </w:p>
    <w:p w14:paraId="131E3F70" w14:textId="77777777" w:rsidR="00820F94" w:rsidRPr="00507A31" w:rsidRDefault="00820F94"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серияZ, Европа, СССР(1930-1940), 117СРСОМ. Д. 1269. Л. 194-194а. Машинописный подлинник, подпись — автограф. Штамп Департамента политических и торговых дел с датой «16 дек. 1930» и вписанным от руки номером о сдаче в архив «z 619-20 s/ d5». Правее штамп Кабинета министра с датой (неразборчиво) (18777).</w:t>
      </w:r>
    </w:p>
    <w:p w14:paraId="0A747366" w14:textId="77777777" w:rsidR="00820F94" w:rsidRPr="00507A31" w:rsidRDefault="00820F94" w:rsidP="00507A31">
      <w:pPr>
        <w:jc w:val="both"/>
        <w:rPr>
          <w:color w:val="000000" w:themeColor="text1"/>
          <w:sz w:val="16"/>
          <w:szCs w:val="16"/>
        </w:rPr>
      </w:pPr>
    </w:p>
    <w:p w14:paraId="307BBD0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60EF555" w14:textId="77777777" w:rsidR="00537E5F" w:rsidRPr="00507A31" w:rsidRDefault="00537E5F" w:rsidP="00507A31">
      <w:pPr>
        <w:autoSpaceDE w:val="0"/>
        <w:autoSpaceDN w:val="0"/>
        <w:adjustRightInd w:val="0"/>
        <w:jc w:val="both"/>
        <w:rPr>
          <w:iCs/>
          <w:color w:val="000000" w:themeColor="text1"/>
          <w:sz w:val="16"/>
          <w:szCs w:val="16"/>
        </w:rPr>
      </w:pPr>
    </w:p>
    <w:p w14:paraId="56E67E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декабря 1930 из-за разрастающегося кризиса закрылся Банк США (2100).</w:t>
      </w:r>
    </w:p>
    <w:p w14:paraId="63830B9D" w14:textId="77777777" w:rsidR="00537E5F" w:rsidRPr="00507A31" w:rsidRDefault="00537E5F" w:rsidP="00507A31">
      <w:pPr>
        <w:autoSpaceDE w:val="0"/>
        <w:autoSpaceDN w:val="0"/>
        <w:adjustRightInd w:val="0"/>
        <w:jc w:val="both"/>
        <w:rPr>
          <w:color w:val="000000" w:themeColor="text1"/>
          <w:sz w:val="16"/>
          <w:szCs w:val="16"/>
        </w:rPr>
      </w:pPr>
    </w:p>
    <w:p w14:paraId="356177A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7371D0C" w14:textId="77777777" w:rsidR="00537E5F" w:rsidRPr="00507A31" w:rsidRDefault="00537E5F" w:rsidP="00507A31">
      <w:pPr>
        <w:autoSpaceDE w:val="0"/>
        <w:autoSpaceDN w:val="0"/>
        <w:adjustRightInd w:val="0"/>
        <w:jc w:val="both"/>
        <w:rPr>
          <w:iCs/>
          <w:color w:val="000000" w:themeColor="text1"/>
          <w:sz w:val="16"/>
          <w:szCs w:val="16"/>
        </w:rPr>
      </w:pPr>
    </w:p>
    <w:p w14:paraId="1862531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12 декабря 1930 по 1 февраля 1931 в НИИ ВВС проходил испытания И5 № 3 с мотором М15.</w:t>
      </w:r>
    </w:p>
    <w:p w14:paraId="0F1A6B6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Результаты испытания (образца для серии) самолета И5 № 18 с мотором М15</w:t>
      </w:r>
    </w:p>
    <w:p w14:paraId="0397244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Выводы были сделаны на основании двух разновременных испытаний одного и того же самолета.</w:t>
      </w:r>
    </w:p>
    <w:p w14:paraId="5857E48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3EE5F67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172DFA2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сообщению завода № 39 данный самолет в сравнении с И5 Юп VI усилен ………….</w:t>
      </w:r>
    </w:p>
    <w:p w14:paraId="59E2240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Цель испытаний</w:t>
      </w:r>
    </w:p>
    <w:p w14:paraId="538CD81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5D49CE8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73840BE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Ход испытания</w:t>
      </w:r>
    </w:p>
    <w:p w14:paraId="2BC932A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 период первого испытания самолет И5 № 18 произвел следующие полеты:</w:t>
      </w:r>
    </w:p>
    <w:p w14:paraId="60A8D7D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486DC65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365E28D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5552371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 время второго испытания произведены следующие полеты:</w:t>
      </w:r>
    </w:p>
    <w:p w14:paraId="4E177B6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75E57A9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7F9D468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Заключение</w:t>
      </w:r>
    </w:p>
    <w:p w14:paraId="4FA7882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691E20C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3DCFE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декабря 1930 г. начались государственные испытания И-5-3 «подарка» в НИИ ВВС неоднократно прерывались по причине неустойчивой работы двигателя М-15. А 1 февра</w:t>
      </w:r>
      <w:r w:rsidRPr="00507A31">
        <w:rPr>
          <w:color w:val="000000" w:themeColor="text1"/>
          <w:sz w:val="16"/>
          <w:szCs w:val="16"/>
        </w:rPr>
        <w:softHyphen/>
        <w:t>ли 1931 г., после выполнения всего 8 полетов, их прекратили вовсе, опять же по причине отказа М-15. Но основные выводы были уже сде</w:t>
      </w:r>
      <w:r w:rsidRPr="00507A31">
        <w:rPr>
          <w:color w:val="000000" w:themeColor="text1"/>
          <w:sz w:val="16"/>
          <w:szCs w:val="16"/>
        </w:rPr>
        <w:softHyphen/>
        <w:t>ланы. В частности, И-5 М-15 даже с макетным вооружением оказался тяжелее на 80 кг, чем И-5 с «Юпитер» VI. Летчикам не понравился новый капот, который заметно уменьшал обзор из кабины вперед.</w:t>
      </w:r>
    </w:p>
    <w:p w14:paraId="101DB2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Третий опытный образец истребителя, из</w:t>
      </w:r>
      <w:r w:rsidRPr="00507A31">
        <w:rPr>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507A31">
        <w:rPr>
          <w:color w:val="000000" w:themeColor="text1"/>
          <w:sz w:val="16"/>
          <w:szCs w:val="16"/>
        </w:rPr>
        <w:softHyphen/>
        <w:t xml:space="preserve">ского капота типа </w:t>
      </w:r>
      <w:r w:rsidRPr="00507A31">
        <w:rPr>
          <w:color w:val="000000" w:themeColor="text1"/>
          <w:sz w:val="16"/>
          <w:szCs w:val="16"/>
          <w:lang w:val="en-US"/>
        </w:rPr>
        <w:t>NACA</w:t>
      </w:r>
      <w:r w:rsidRPr="00507A31">
        <w:rPr>
          <w:color w:val="000000" w:themeColor="text1"/>
          <w:sz w:val="16"/>
          <w:szCs w:val="16"/>
        </w:rPr>
        <w:t>. Особыми его внешни</w:t>
      </w:r>
      <w:r w:rsidRPr="00507A31">
        <w:rPr>
          <w:color w:val="000000" w:themeColor="text1"/>
          <w:sz w:val="16"/>
          <w:szCs w:val="16"/>
        </w:rPr>
        <w:softHyphen/>
        <w:t>ми отличиями были: надпись на борту фюзе</w:t>
      </w:r>
      <w:r w:rsidRPr="00507A31">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пользования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507A31">
        <w:rPr>
          <w:color w:val="000000" w:themeColor="text1"/>
          <w:sz w:val="16"/>
          <w:szCs w:val="16"/>
        </w:rPr>
        <w:softHyphen/>
        <w:t>рота.</w:t>
      </w:r>
    </w:p>
    <w:p w14:paraId="5E464B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Далее последовал второй этап испытаний И-5 №3 с двигателем М-15, который проходил в период 6 мая - 15 июня 1931 г. Однако этот ополет по-прежнему не имел вооружения и обладал множеством отличий от серийных об</w:t>
      </w:r>
      <w:r w:rsidRPr="00507A31">
        <w:rPr>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507A31">
        <w:rPr>
          <w:color w:val="000000" w:themeColor="text1"/>
          <w:sz w:val="16"/>
          <w:szCs w:val="16"/>
        </w:rPr>
        <w:softHyphen/>
        <w:t>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Тауненда. Другим отличи</w:t>
      </w:r>
      <w:r w:rsidRPr="00507A31">
        <w:rPr>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507A31">
        <w:rPr>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507A31">
        <w:rPr>
          <w:color w:val="000000" w:themeColor="text1"/>
          <w:sz w:val="16"/>
          <w:szCs w:val="16"/>
        </w:rPr>
        <w:softHyphen/>
        <w:t>ломки моторамы. После ремонта самолет предъявили к тестированию с новым двигате</w:t>
      </w:r>
      <w:r w:rsidRPr="00507A31">
        <w:rPr>
          <w:color w:val="000000" w:themeColor="text1"/>
          <w:sz w:val="16"/>
          <w:szCs w:val="16"/>
        </w:rPr>
        <w:softHyphen/>
        <w:t>лем - М-15 № 24109. Полеты начались 10 ок</w:t>
      </w:r>
      <w:r w:rsidRPr="00507A31">
        <w:rPr>
          <w:color w:val="000000" w:themeColor="text1"/>
          <w:sz w:val="16"/>
          <w:szCs w:val="16"/>
        </w:rPr>
        <w:softHyphen/>
        <w:t xml:space="preserve">тября, а через несколько дней самолет потерпел аварию при выполнении вынужденной </w:t>
      </w:r>
      <w:r w:rsidRPr="00507A31">
        <w:rPr>
          <w:color w:val="000000" w:themeColor="text1"/>
          <w:sz w:val="16"/>
          <w:szCs w:val="16"/>
        </w:rPr>
        <w:lastRenderedPageBreak/>
        <w:t>по</w:t>
      </w:r>
      <w:r w:rsidRPr="00507A31">
        <w:rPr>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49C13B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507A31">
        <w:rPr>
          <w:color w:val="000000" w:themeColor="text1"/>
          <w:sz w:val="16"/>
          <w:szCs w:val="16"/>
        </w:rPr>
        <w:softHyphen/>
        <w:t>рийные И-5 с М-15 будут обладать худшими летными данными и меньшим радиусом дей</w:t>
      </w:r>
      <w:r w:rsidRPr="00507A31">
        <w:rPr>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507A31">
        <w:rPr>
          <w:color w:val="000000" w:themeColor="text1"/>
          <w:sz w:val="16"/>
          <w:szCs w:val="16"/>
        </w:rPr>
        <w:softHyphen/>
        <w:t>ность чуть ниже, чем у второго опытного эк</w:t>
      </w:r>
      <w:r w:rsidRPr="00507A31">
        <w:rPr>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E371BA" w:rsidRPr="00507A31" w14:paraId="0A4C3C1C" w14:textId="77777777">
        <w:tc>
          <w:tcPr>
            <w:tcW w:w="3736" w:type="dxa"/>
            <w:tcBorders>
              <w:top w:val="single" w:sz="12" w:space="0" w:color="auto"/>
            </w:tcBorders>
          </w:tcPr>
          <w:p w14:paraId="15033E0A" w14:textId="77777777" w:rsidR="00537E5F" w:rsidRPr="00507A31" w:rsidRDefault="00537E5F" w:rsidP="00507A31">
            <w:pPr>
              <w:autoSpaceDE w:val="0"/>
              <w:autoSpaceDN w:val="0"/>
              <w:adjustRightInd w:val="0"/>
              <w:jc w:val="both"/>
              <w:rPr>
                <w:color w:val="000000" w:themeColor="text1"/>
                <w:sz w:val="16"/>
                <w:szCs w:val="16"/>
              </w:rPr>
            </w:pPr>
          </w:p>
        </w:tc>
        <w:tc>
          <w:tcPr>
            <w:tcW w:w="3736" w:type="dxa"/>
            <w:tcBorders>
              <w:top w:val="single" w:sz="12" w:space="0" w:color="auto"/>
            </w:tcBorders>
          </w:tcPr>
          <w:p w14:paraId="386FB0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И-5 М-15</w:t>
            </w:r>
          </w:p>
        </w:tc>
        <w:tc>
          <w:tcPr>
            <w:tcW w:w="3736" w:type="dxa"/>
            <w:tcBorders>
              <w:top w:val="single" w:sz="12" w:space="0" w:color="auto"/>
            </w:tcBorders>
          </w:tcPr>
          <w:p w14:paraId="2FDB47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И-5 Ю</w:t>
            </w:r>
            <w:r w:rsidRPr="00507A31">
              <w:rPr>
                <w:color w:val="000000" w:themeColor="text1"/>
                <w:sz w:val="16"/>
                <w:szCs w:val="16"/>
                <w:lang w:val="en-US"/>
              </w:rPr>
              <w:t>-VI</w:t>
            </w:r>
          </w:p>
        </w:tc>
      </w:tr>
      <w:tr w:rsidR="00E371BA" w:rsidRPr="00507A31" w14:paraId="179ACAAF" w14:textId="77777777">
        <w:tc>
          <w:tcPr>
            <w:tcW w:w="3736" w:type="dxa"/>
          </w:tcPr>
          <w:p w14:paraId="29AAA2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Скорость максимальная на 1000 м (км/ч)</w:t>
            </w:r>
          </w:p>
        </w:tc>
        <w:tc>
          <w:tcPr>
            <w:tcW w:w="3736" w:type="dxa"/>
          </w:tcPr>
          <w:p w14:paraId="122679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266</w:t>
            </w:r>
          </w:p>
        </w:tc>
        <w:tc>
          <w:tcPr>
            <w:tcW w:w="3736" w:type="dxa"/>
          </w:tcPr>
          <w:p w14:paraId="69059E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258</w:t>
            </w:r>
          </w:p>
        </w:tc>
      </w:tr>
      <w:tr w:rsidR="00E371BA" w:rsidRPr="00507A31" w14:paraId="5554DAA2" w14:textId="77777777">
        <w:tc>
          <w:tcPr>
            <w:tcW w:w="3736" w:type="dxa"/>
            <w:tcBorders>
              <w:bottom w:val="single" w:sz="12" w:space="0" w:color="auto"/>
            </w:tcBorders>
          </w:tcPr>
          <w:p w14:paraId="285E59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набора 3000 м (мин.)</w:t>
            </w:r>
          </w:p>
        </w:tc>
        <w:tc>
          <w:tcPr>
            <w:tcW w:w="3736" w:type="dxa"/>
            <w:tcBorders>
              <w:bottom w:val="single" w:sz="12" w:space="0" w:color="auto"/>
            </w:tcBorders>
          </w:tcPr>
          <w:p w14:paraId="469545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4,75</w:t>
            </w:r>
          </w:p>
        </w:tc>
        <w:tc>
          <w:tcPr>
            <w:tcW w:w="3736" w:type="dxa"/>
            <w:tcBorders>
              <w:bottom w:val="single" w:sz="12" w:space="0" w:color="auto"/>
            </w:tcBorders>
          </w:tcPr>
          <w:p w14:paraId="679EE2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4,68</w:t>
            </w:r>
          </w:p>
        </w:tc>
      </w:tr>
    </w:tbl>
    <w:p w14:paraId="335454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тем, значительные усилия, потра</w:t>
      </w:r>
      <w:r w:rsidRPr="00507A31">
        <w:rPr>
          <w:color w:val="000000" w:themeColor="text1"/>
          <w:sz w:val="16"/>
          <w:szCs w:val="16"/>
        </w:rPr>
        <w:softHyphen/>
        <w:t>ченные на внедрение М-15 в производство, и большие на него надежды обусловили про</w:t>
      </w:r>
      <w:r w:rsidRPr="00507A31">
        <w:rPr>
          <w:color w:val="000000" w:themeColor="text1"/>
          <w:sz w:val="16"/>
          <w:szCs w:val="16"/>
        </w:rPr>
        <w:softHyphen/>
        <w:t>должение работ по его внедрению. Было ре</w:t>
      </w:r>
      <w:r w:rsidRPr="00507A31">
        <w:rPr>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507A31">
        <w:rPr>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507A31">
        <w:rPr>
          <w:color w:val="000000" w:themeColor="text1"/>
          <w:sz w:val="16"/>
          <w:szCs w:val="16"/>
        </w:rPr>
        <w:softHyphen/>
        <w:t>лись и более И-5 с этими двигателями не строились (11974).</w:t>
      </w:r>
    </w:p>
    <w:p w14:paraId="45487E39" w14:textId="77777777" w:rsidR="00537E5F" w:rsidRPr="00507A31" w:rsidRDefault="00537E5F" w:rsidP="00507A31">
      <w:pPr>
        <w:autoSpaceDE w:val="0"/>
        <w:autoSpaceDN w:val="0"/>
        <w:adjustRightInd w:val="0"/>
        <w:jc w:val="both"/>
        <w:rPr>
          <w:color w:val="000000" w:themeColor="text1"/>
          <w:sz w:val="16"/>
          <w:szCs w:val="16"/>
        </w:rPr>
      </w:pPr>
    </w:p>
    <w:p w14:paraId="091F25AE" w14:textId="77777777" w:rsidR="007C50AE" w:rsidRPr="00507A31" w:rsidRDefault="007C50AE" w:rsidP="00507A31">
      <w:pPr>
        <w:autoSpaceDE w:val="0"/>
        <w:autoSpaceDN w:val="0"/>
        <w:adjustRightInd w:val="0"/>
        <w:jc w:val="both"/>
        <w:rPr>
          <w:color w:val="000000" w:themeColor="text1"/>
          <w:sz w:val="16"/>
          <w:szCs w:val="16"/>
        </w:rPr>
      </w:pPr>
      <w:r w:rsidRPr="00507A31">
        <w:rPr>
          <w:color w:val="000000" w:themeColor="text1"/>
          <w:sz w:val="16"/>
          <w:szCs w:val="16"/>
        </w:rPr>
        <w:t>С 12 декабря 1930 г. по 1 февраля 1931 г. самолет И5-М15 был начат гос. испытанием в НИИ УВВС, но ввиду неисправности мотора испытание было прервано 1 февраля 31 г. За указанный период произведено всего 8 полетов (3290,42-58).</w:t>
      </w:r>
    </w:p>
    <w:p w14:paraId="0AF536F1" w14:textId="77777777" w:rsidR="007C50AE" w:rsidRPr="00507A31" w:rsidRDefault="007C50AE" w:rsidP="00507A31">
      <w:pPr>
        <w:autoSpaceDE w:val="0"/>
        <w:autoSpaceDN w:val="0"/>
        <w:adjustRightInd w:val="0"/>
        <w:jc w:val="both"/>
        <w:rPr>
          <w:color w:val="000000" w:themeColor="text1"/>
          <w:sz w:val="16"/>
          <w:szCs w:val="16"/>
        </w:rPr>
      </w:pPr>
    </w:p>
    <w:p w14:paraId="7C496DE6" w14:textId="77777777" w:rsidR="007C50AE" w:rsidRPr="00507A31" w:rsidRDefault="007C50AE" w:rsidP="00507A31">
      <w:pPr>
        <w:jc w:val="both"/>
        <w:rPr>
          <w:color w:val="000000" w:themeColor="text1"/>
          <w:sz w:val="16"/>
          <w:szCs w:val="16"/>
        </w:rPr>
      </w:pPr>
      <w:r w:rsidRPr="00507A31">
        <w:rPr>
          <w:color w:val="000000" w:themeColor="text1"/>
          <w:sz w:val="16"/>
          <w:szCs w:val="16"/>
        </w:rPr>
        <w:t>12 декабря 1930 г. начались государственные испытания И-5 «подарка» в НИИ ВВС, которые начались, неоднократно прерывались по причине неустойчивой работы двигателя М-15. А 1 февраля 1931 года, после выполнения всего 8 полетов их прекратили вовсе, опять же по причине отказа М-15. Но основные выводы были уже сделаны. В частности, И-5 М-15 даже с макетным вооружением оказал</w:t>
      </w:r>
      <w:r w:rsidRPr="00507A31">
        <w:rPr>
          <w:color w:val="000000" w:themeColor="text1"/>
          <w:sz w:val="16"/>
          <w:szCs w:val="16"/>
        </w:rPr>
        <w:softHyphen/>
        <w:t>ся тяжелее на 80 кг, чем И-5 с «Юпитер» VI. Кроме того, летчикам не понравился новый капот, который заметно уменьшал обзор из кабины вперед.</w:t>
      </w:r>
    </w:p>
    <w:p w14:paraId="280A1328" w14:textId="77777777" w:rsidR="007C50AE" w:rsidRPr="00507A31" w:rsidRDefault="007C50AE" w:rsidP="00507A31">
      <w:pPr>
        <w:jc w:val="both"/>
        <w:rPr>
          <w:color w:val="000000" w:themeColor="text1"/>
          <w:sz w:val="16"/>
          <w:szCs w:val="16"/>
        </w:rPr>
      </w:pPr>
      <w:r w:rsidRPr="00507A31">
        <w:rPr>
          <w:color w:val="000000" w:themeColor="text1"/>
          <w:sz w:val="16"/>
          <w:szCs w:val="16"/>
        </w:rPr>
        <w:t>Далее последовал второй этап испытаний И-5 №3 с двигателем М-15, который прохо</w:t>
      </w:r>
      <w:r w:rsidRPr="00507A31">
        <w:rPr>
          <w:color w:val="000000" w:themeColor="text1"/>
          <w:sz w:val="16"/>
          <w:szCs w:val="16"/>
        </w:rPr>
        <w:softHyphen/>
        <w:t>дил в период 6 мая - 15 июня 1931 года. Од</w:t>
      </w:r>
      <w:r w:rsidRPr="00507A31">
        <w:rPr>
          <w:color w:val="000000" w:themeColor="text1"/>
          <w:sz w:val="16"/>
          <w:szCs w:val="16"/>
        </w:rPr>
        <w:softHyphen/>
        <w:t>нако этот самолет по-прежнему не имел во</w:t>
      </w:r>
      <w:r w:rsidRPr="00507A31">
        <w:rPr>
          <w:color w:val="000000" w:themeColor="text1"/>
          <w:sz w:val="16"/>
          <w:szCs w:val="16"/>
        </w:rPr>
        <w:softHyphen/>
        <w:t>оружения и обладал множеством отличий от серийных образцов с индивидуальными об</w:t>
      </w:r>
      <w:r w:rsidRPr="00507A31">
        <w:rPr>
          <w:color w:val="000000" w:themeColor="text1"/>
          <w:sz w:val="16"/>
          <w:szCs w:val="16"/>
        </w:rPr>
        <w:softHyphen/>
        <w:t>текателями цилиндров двигателя. Поэтому заводом № 39 был изготовлен еще один И-5 с двигателем М-15, который в основном по</w:t>
      </w:r>
      <w:r w:rsidRPr="00507A31">
        <w:rPr>
          <w:color w:val="000000" w:themeColor="text1"/>
          <w:sz w:val="16"/>
          <w:szCs w:val="16"/>
        </w:rPr>
        <w:softHyphen/>
        <w:t>вторял серийные машины завода №1. Фо</w:t>
      </w:r>
      <w:r w:rsidRPr="00507A31">
        <w:rPr>
          <w:color w:val="000000" w:themeColor="text1"/>
          <w:sz w:val="16"/>
          <w:szCs w:val="16"/>
        </w:rPr>
        <w:softHyphen/>
        <w:t>тографий этого самолета видеть не прихо</w:t>
      </w:r>
      <w:r w:rsidRPr="00507A31">
        <w:rPr>
          <w:color w:val="000000" w:themeColor="text1"/>
          <w:sz w:val="16"/>
          <w:szCs w:val="16"/>
        </w:rPr>
        <w:softHyphen/>
        <w:t>дилось, однако в ряде документов указыва</w:t>
      </w:r>
      <w:r w:rsidRPr="00507A31">
        <w:rPr>
          <w:color w:val="000000" w:themeColor="text1"/>
          <w:sz w:val="16"/>
          <w:szCs w:val="16"/>
        </w:rPr>
        <w:softHyphen/>
        <w:t>лось, что «данный экземпляр отличается из</w:t>
      </w:r>
      <w:r w:rsidRPr="00507A31">
        <w:rPr>
          <w:color w:val="000000" w:themeColor="text1"/>
          <w:sz w:val="16"/>
          <w:szCs w:val="16"/>
        </w:rPr>
        <w:softHyphen/>
        <w:t>мененной головной частью». Возможно, на этом И-5 впервые использовали кольцо Та- уненда. Другим отличием этого образца, из</w:t>
      </w:r>
      <w:r w:rsidRPr="00507A31">
        <w:rPr>
          <w:color w:val="000000" w:themeColor="text1"/>
          <w:sz w:val="16"/>
          <w:szCs w:val="16"/>
        </w:rPr>
        <w:softHyphen/>
        <w:t>вестного как И-5 №18, стало вооружение: верхние пулеметы были разнесены шире на 40 мм, а нижние заключены в трубы. Испы</w:t>
      </w:r>
      <w:r w:rsidRPr="00507A31">
        <w:rPr>
          <w:color w:val="000000" w:themeColor="text1"/>
          <w:sz w:val="16"/>
          <w:szCs w:val="16"/>
        </w:rPr>
        <w:softHyphen/>
        <w:t>тания в НИИ ВВС И-5 № 18 с двигателем М-15 №6 начались 30 июля и были прерваны 15 августа 1931 года по причине поломки мо</w:t>
      </w:r>
      <w:r w:rsidRPr="00507A31">
        <w:rPr>
          <w:color w:val="000000" w:themeColor="text1"/>
          <w:sz w:val="16"/>
          <w:szCs w:val="16"/>
        </w:rPr>
        <w:softHyphen/>
        <w:t>торамы. После ремонта самолет предъявили к тестированию с новым двигателем - М-15 №24109. Полеты начались 10 октября, а че</w:t>
      </w:r>
      <w:r w:rsidRPr="00507A31">
        <w:rPr>
          <w:color w:val="000000" w:themeColor="text1"/>
          <w:sz w:val="16"/>
          <w:szCs w:val="16"/>
        </w:rPr>
        <w:softHyphen/>
        <w:t>рез несколько дней самолет потерпел аварию при выполнении вынужденной посад</w:t>
      </w:r>
      <w:r w:rsidRPr="00507A31">
        <w:rPr>
          <w:color w:val="000000" w:themeColor="text1"/>
          <w:sz w:val="16"/>
          <w:szCs w:val="16"/>
        </w:rPr>
        <w:softHyphen/>
        <w:t>ки. Дальнейшая судьба машины не просле</w:t>
      </w:r>
      <w:r w:rsidRPr="00507A31">
        <w:rPr>
          <w:color w:val="000000" w:themeColor="text1"/>
          <w:sz w:val="16"/>
          <w:szCs w:val="16"/>
        </w:rPr>
        <w:softHyphen/>
        <w:t>живается, однако из переписки завода №39 известно, что какой-то И-5 с М-15 потерпел аварию и не восстанавливался (вероятно это был И-5 №18) (12295).</w:t>
      </w:r>
    </w:p>
    <w:p w14:paraId="258DB016" w14:textId="77777777" w:rsidR="007C50AE" w:rsidRPr="00507A31" w:rsidRDefault="007C50AE" w:rsidP="00507A31">
      <w:pPr>
        <w:jc w:val="both"/>
        <w:rPr>
          <w:color w:val="000000" w:themeColor="text1"/>
          <w:sz w:val="16"/>
          <w:szCs w:val="16"/>
        </w:rPr>
      </w:pPr>
    </w:p>
    <w:p w14:paraId="47A90B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(10 - 274) декабря 1930 состоялся первый полет И-8 (АНТ-13, Жокей), законченного в ноябре 1930. Летал М.М.Громов (109,235) 10 мин. 32 сек. (1454,22).</w:t>
      </w:r>
    </w:p>
    <w:p w14:paraId="3B2D8F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28 октября 1930</w:t>
      </w:r>
    </w:p>
    <w:p w14:paraId="5DF147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C4124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декабря 1930 г. состоялся первый вылет И-8 (АНТ-13). В процессе испытаний была достигнута максимальная скорость 303 км/час. Однако, развития проект не получил. Основной причиной стало от</w:t>
      </w:r>
      <w:r w:rsidRPr="00507A31">
        <w:rPr>
          <w:color w:val="000000" w:themeColor="text1"/>
          <w:sz w:val="16"/>
          <w:szCs w:val="16"/>
        </w:rPr>
        <w:softHyphen/>
        <w:t>сутствие каких-либо перспектив получе</w:t>
      </w:r>
      <w:r w:rsidRPr="00507A31">
        <w:rPr>
          <w:color w:val="000000" w:themeColor="text1"/>
          <w:sz w:val="16"/>
          <w:szCs w:val="16"/>
        </w:rPr>
        <w:softHyphen/>
        <w:t>ния достаточного количества американ</w:t>
      </w:r>
      <w:r w:rsidRPr="00507A31">
        <w:rPr>
          <w:color w:val="000000" w:themeColor="text1"/>
          <w:sz w:val="16"/>
          <w:szCs w:val="16"/>
        </w:rPr>
        <w:softHyphen/>
        <w:t>ских двигателей Conquerror (10729).</w:t>
      </w:r>
    </w:p>
    <w:p w14:paraId="3A3493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DF9C904" w14:textId="77777777" w:rsidR="006A33B7" w:rsidRPr="00507A31" w:rsidRDefault="006A33B7" w:rsidP="00507A31">
      <w:pPr>
        <w:jc w:val="both"/>
        <w:rPr>
          <w:color w:val="000000" w:themeColor="text1"/>
          <w:sz w:val="16"/>
          <w:szCs w:val="16"/>
        </w:rPr>
      </w:pPr>
      <w:r w:rsidRPr="00507A31">
        <w:rPr>
          <w:bCs/>
          <w:color w:val="000000" w:themeColor="text1"/>
          <w:sz w:val="16"/>
          <w:szCs w:val="16"/>
        </w:rPr>
        <w:t xml:space="preserve">12 декабря </w:t>
      </w:r>
      <w:r w:rsidRPr="00507A31">
        <w:rPr>
          <w:color w:val="000000" w:themeColor="text1"/>
          <w:sz w:val="16"/>
          <w:szCs w:val="16"/>
        </w:rPr>
        <w:t>в 1930 году состоялся первый полет истребителя «И-8» («АНТ-13») "Жокей", М.М.Громов. На этом одноместном истребителе-перехватчике впервые в СССР была достигнута скорость 303 (из других источников 310) км/ч. Из-за отсутствия нужного отечественного двигателя самолет серийно не строился (14858).</w:t>
      </w:r>
    </w:p>
    <w:p w14:paraId="42A164E3" w14:textId="77777777" w:rsidR="006A33B7" w:rsidRPr="00507A31" w:rsidRDefault="006A33B7" w:rsidP="00507A31">
      <w:pPr>
        <w:jc w:val="both"/>
        <w:rPr>
          <w:color w:val="000000" w:themeColor="text1"/>
          <w:sz w:val="16"/>
          <w:szCs w:val="16"/>
        </w:rPr>
      </w:pPr>
    </w:p>
    <w:p w14:paraId="44A8286A" w14:textId="77777777" w:rsidR="007C50AE" w:rsidRPr="00507A31" w:rsidRDefault="007C50AE" w:rsidP="00507A31">
      <w:pPr>
        <w:jc w:val="both"/>
        <w:rPr>
          <w:color w:val="000000" w:themeColor="text1"/>
          <w:sz w:val="16"/>
          <w:szCs w:val="16"/>
        </w:rPr>
      </w:pPr>
      <w:r w:rsidRPr="00507A31">
        <w:rPr>
          <w:color w:val="000000" w:themeColor="text1"/>
          <w:sz w:val="16"/>
          <w:szCs w:val="16"/>
        </w:rPr>
        <w:t>12 декаб</w:t>
      </w:r>
      <w:r w:rsidRPr="00507A31">
        <w:rPr>
          <w:color w:val="000000" w:themeColor="text1"/>
          <w:sz w:val="16"/>
          <w:szCs w:val="16"/>
        </w:rPr>
        <w:softHyphen/>
        <w:t>ря 1930 г. И-8 достроили и Михаил Громов совершил на нем первый полет. С полетным весом 1424 кг ис</w:t>
      </w:r>
      <w:r w:rsidRPr="00507A31">
        <w:rPr>
          <w:color w:val="000000" w:themeColor="text1"/>
          <w:sz w:val="16"/>
          <w:szCs w:val="16"/>
        </w:rPr>
        <w:softHyphen/>
        <w:t>требитель забирался на высоту 5 км за 10,32 минут. То есть по скороподъемности И-8 да</w:t>
      </w:r>
      <w:r w:rsidRPr="00507A31">
        <w:rPr>
          <w:color w:val="000000" w:themeColor="text1"/>
          <w:sz w:val="16"/>
          <w:szCs w:val="16"/>
        </w:rPr>
        <w:softHyphen/>
        <w:t>же не превзошел опальный истребитель И-3, который занимал высоту 5 км за 10,2 мину</w:t>
      </w:r>
      <w:r w:rsidRPr="00507A31">
        <w:rPr>
          <w:color w:val="000000" w:themeColor="text1"/>
          <w:sz w:val="16"/>
          <w:szCs w:val="16"/>
        </w:rPr>
        <w:softHyphen/>
        <w:t>ты. Что касается других достигнутых показа</w:t>
      </w:r>
      <w:r w:rsidRPr="00507A31">
        <w:rPr>
          <w:color w:val="000000" w:themeColor="text1"/>
          <w:sz w:val="16"/>
          <w:szCs w:val="16"/>
        </w:rPr>
        <w:softHyphen/>
        <w:t>телей, то обнаружить их не удалось. Так обы</w:t>
      </w:r>
      <w:r w:rsidRPr="00507A31">
        <w:rPr>
          <w:color w:val="000000" w:themeColor="text1"/>
          <w:sz w:val="16"/>
          <w:szCs w:val="16"/>
        </w:rPr>
        <w:softHyphen/>
        <w:t>чно бывает, когда полученные результаты не свидетельствуют о достигнутом успехе.</w:t>
      </w:r>
    </w:p>
    <w:p w14:paraId="02233D15" w14:textId="77777777" w:rsidR="007C50AE" w:rsidRPr="00507A31" w:rsidRDefault="007C50AE" w:rsidP="00507A31">
      <w:pPr>
        <w:jc w:val="both"/>
        <w:rPr>
          <w:color w:val="000000" w:themeColor="text1"/>
          <w:sz w:val="16"/>
          <w:szCs w:val="16"/>
        </w:rPr>
      </w:pPr>
      <w:r w:rsidRPr="00507A31">
        <w:rPr>
          <w:color w:val="000000" w:themeColor="text1"/>
          <w:sz w:val="16"/>
          <w:szCs w:val="16"/>
        </w:rPr>
        <w:t>После выполнения первых полетов в про</w:t>
      </w:r>
      <w:r w:rsidRPr="00507A31">
        <w:rPr>
          <w:color w:val="000000" w:themeColor="text1"/>
          <w:sz w:val="16"/>
          <w:szCs w:val="16"/>
        </w:rPr>
        <w:softHyphen/>
        <w:t>должение зимнего периода на И-8 произве</w:t>
      </w:r>
      <w:r w:rsidRPr="00507A31">
        <w:rPr>
          <w:color w:val="000000" w:themeColor="text1"/>
          <w:sz w:val="16"/>
          <w:szCs w:val="16"/>
        </w:rPr>
        <w:softHyphen/>
        <w:t>ли ряд усовершенствований. Было передела</w:t>
      </w:r>
      <w:r w:rsidRPr="00507A31">
        <w:rPr>
          <w:color w:val="000000" w:themeColor="text1"/>
          <w:sz w:val="16"/>
          <w:szCs w:val="16"/>
        </w:rPr>
        <w:softHyphen/>
        <w:t>но шасси, установлено новое горизонталь</w:t>
      </w:r>
      <w:r w:rsidRPr="00507A31">
        <w:rPr>
          <w:color w:val="000000" w:themeColor="text1"/>
          <w:sz w:val="16"/>
          <w:szCs w:val="16"/>
        </w:rPr>
        <w:softHyphen/>
        <w:t>ное оперение с полотняной обшивкой, заме</w:t>
      </w:r>
      <w:r w:rsidRPr="00507A31">
        <w:rPr>
          <w:color w:val="000000" w:themeColor="text1"/>
          <w:sz w:val="16"/>
          <w:szCs w:val="16"/>
        </w:rPr>
        <w:softHyphen/>
        <w:t>нен двигатель. Тип или модификацию двига</w:t>
      </w:r>
      <w:r w:rsidRPr="00507A31">
        <w:rPr>
          <w:color w:val="000000" w:themeColor="text1"/>
          <w:sz w:val="16"/>
          <w:szCs w:val="16"/>
        </w:rPr>
        <w:softHyphen/>
        <w:t>теля по имеющимся документам определить не удалось. 12 августа 1931 года улучшенный И-8 совершил очередной полет. О дальней</w:t>
      </w:r>
      <w:r w:rsidRPr="00507A31">
        <w:rPr>
          <w:color w:val="000000" w:themeColor="text1"/>
          <w:sz w:val="16"/>
          <w:szCs w:val="16"/>
        </w:rPr>
        <w:softHyphen/>
        <w:t>шей судьбе машины известно только, что ее доводки и усовершенствования продолжа</w:t>
      </w:r>
      <w:r w:rsidRPr="00507A31">
        <w:rPr>
          <w:color w:val="000000" w:themeColor="text1"/>
          <w:sz w:val="16"/>
          <w:szCs w:val="16"/>
        </w:rPr>
        <w:softHyphen/>
        <w:t>лись до 1932 года включительно. Результаты испытаний самолета после переделок пока неизвестны (12295).</w:t>
      </w:r>
    </w:p>
    <w:p w14:paraId="1CEB088D" w14:textId="77777777" w:rsidR="007C50AE" w:rsidRPr="00507A31" w:rsidRDefault="007C50AE" w:rsidP="00507A31">
      <w:pPr>
        <w:jc w:val="both"/>
        <w:rPr>
          <w:color w:val="000000" w:themeColor="text1"/>
          <w:sz w:val="16"/>
          <w:szCs w:val="16"/>
        </w:rPr>
      </w:pPr>
    </w:p>
    <w:p w14:paraId="7FB3CC5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2FB3CCAD" w14:textId="77777777" w:rsidR="00537E5F" w:rsidRPr="00507A31" w:rsidRDefault="00537E5F" w:rsidP="00507A31">
      <w:pPr>
        <w:autoSpaceDE w:val="0"/>
        <w:autoSpaceDN w:val="0"/>
        <w:adjustRightInd w:val="0"/>
        <w:jc w:val="both"/>
        <w:rPr>
          <w:iCs/>
          <w:color w:val="000000" w:themeColor="text1"/>
          <w:sz w:val="16"/>
          <w:szCs w:val="16"/>
        </w:rPr>
      </w:pPr>
    </w:p>
    <w:p w14:paraId="1FBFC80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12 декабря 1930 года Постановление зафиксировало более 30 категорий лишенцев: бывших землевладельцев, бывших торговцев, бывших кулаков, бывших "владельцев частных предприятий", служителей культа, монахов, монахинь, бывших членов оппозиционных политических партий и т.д. (6804).</w:t>
      </w:r>
    </w:p>
    <w:p w14:paraId="1B68F9A7"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53E37F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12 декабря 1930 в СССР принят декрет, по которому 30 категорий населения провозглашались «лишенцами» (их лишали гражданских прав) (4962).</w:t>
      </w:r>
    </w:p>
    <w:p w14:paraId="5EF6A0DA"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685B1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декабря 1930 Постановление ЦИК и СНК СССР зафиксировало более 30 категорий лишенцев: бывших землевладельцев, бывших торговцев, бывших кулаков, бывших владельцев частных предприятий, служителей культа, монахов, монахинь, бывших членов оппозиционных политических партий и т.д. (10687).</w:t>
      </w:r>
    </w:p>
    <w:p w14:paraId="41E50740" w14:textId="77777777" w:rsidR="00537E5F" w:rsidRPr="00507A31" w:rsidRDefault="00537E5F" w:rsidP="00507A31">
      <w:pPr>
        <w:autoSpaceDE w:val="0"/>
        <w:autoSpaceDN w:val="0"/>
        <w:adjustRightInd w:val="0"/>
        <w:jc w:val="both"/>
        <w:rPr>
          <w:color w:val="000000" w:themeColor="text1"/>
          <w:sz w:val="16"/>
          <w:szCs w:val="16"/>
        </w:rPr>
      </w:pPr>
    </w:p>
    <w:p w14:paraId="0A53F473" w14:textId="77777777" w:rsidR="00147B5B" w:rsidRPr="00507A31" w:rsidRDefault="00147B5B" w:rsidP="00507A31">
      <w:pPr>
        <w:jc w:val="both"/>
        <w:rPr>
          <w:color w:val="000000" w:themeColor="text1"/>
          <w:sz w:val="16"/>
          <w:szCs w:val="16"/>
        </w:rPr>
      </w:pPr>
      <w:r w:rsidRPr="00507A31">
        <w:rPr>
          <w:color w:val="000000" w:themeColor="text1"/>
          <w:sz w:val="16"/>
          <w:szCs w:val="16"/>
        </w:rPr>
        <w:t>12 декабря 1930 г.</w:t>
      </w:r>
    </w:p>
    <w:p w14:paraId="51D59D38" w14:textId="77777777" w:rsidR="00147B5B" w:rsidRPr="00507A31" w:rsidRDefault="00147B5B" w:rsidP="00507A31">
      <w:pPr>
        <w:jc w:val="both"/>
        <w:rPr>
          <w:color w:val="000000" w:themeColor="text1"/>
          <w:sz w:val="16"/>
          <w:szCs w:val="16"/>
        </w:rPr>
      </w:pPr>
      <w:r w:rsidRPr="00507A31">
        <w:rPr>
          <w:color w:val="000000" w:themeColor="text1"/>
          <w:sz w:val="16"/>
          <w:szCs w:val="16"/>
        </w:rPr>
        <w:t>Письмо В.Н. Ксандрова И. В. Сталину по поводу показаний Л.К. Рамзина о «влиянии» на него в период работы начальником Главэлектро «инженеров участников Промпартии». 12 декабря 1930 г.</w:t>
      </w:r>
    </w:p>
    <w:p w14:paraId="0AFD4517" w14:textId="77777777" w:rsidR="00147B5B" w:rsidRPr="00507A31" w:rsidRDefault="00147B5B" w:rsidP="00507A31">
      <w:pPr>
        <w:jc w:val="both"/>
        <w:rPr>
          <w:color w:val="000000" w:themeColor="text1"/>
          <w:sz w:val="16"/>
          <w:szCs w:val="16"/>
        </w:rPr>
      </w:pPr>
      <w:r w:rsidRPr="00507A31">
        <w:rPr>
          <w:color w:val="000000" w:themeColor="text1"/>
          <w:sz w:val="16"/>
          <w:szCs w:val="16"/>
        </w:rPr>
        <w:t>Источник: </w:t>
      </w:r>
    </w:p>
    <w:p w14:paraId="31502B5E" w14:textId="77777777" w:rsidR="00147B5B" w:rsidRPr="00507A31" w:rsidRDefault="00147B5B"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9C8ED6" w14:textId="77777777" w:rsidR="00147B5B" w:rsidRPr="00507A31" w:rsidRDefault="00147B5B" w:rsidP="00507A31">
      <w:pPr>
        <w:jc w:val="both"/>
        <w:rPr>
          <w:color w:val="000000" w:themeColor="text1"/>
          <w:sz w:val="16"/>
          <w:szCs w:val="16"/>
        </w:rPr>
      </w:pPr>
      <w:r w:rsidRPr="00507A31">
        <w:rPr>
          <w:color w:val="000000" w:themeColor="text1"/>
          <w:sz w:val="16"/>
          <w:szCs w:val="16"/>
        </w:rPr>
        <w:t>12 декабря 1930 г.</w:t>
      </w:r>
    </w:p>
    <w:p w14:paraId="702091D7" w14:textId="77777777" w:rsidR="00147B5B" w:rsidRPr="00507A31" w:rsidRDefault="00147B5B" w:rsidP="00507A31">
      <w:pPr>
        <w:jc w:val="both"/>
        <w:rPr>
          <w:color w:val="000000" w:themeColor="text1"/>
          <w:sz w:val="16"/>
          <w:szCs w:val="16"/>
        </w:rPr>
      </w:pPr>
      <w:r w:rsidRPr="00507A31">
        <w:rPr>
          <w:color w:val="000000" w:themeColor="text1"/>
          <w:sz w:val="16"/>
          <w:szCs w:val="16"/>
        </w:rPr>
        <w:t>Тов. СТАЛИНУ.</w:t>
      </w:r>
    </w:p>
    <w:p w14:paraId="2C87C6BD" w14:textId="77777777" w:rsidR="00147B5B" w:rsidRPr="00507A31" w:rsidRDefault="00147B5B" w:rsidP="00507A31">
      <w:pPr>
        <w:jc w:val="both"/>
        <w:rPr>
          <w:color w:val="000000" w:themeColor="text1"/>
          <w:sz w:val="16"/>
          <w:szCs w:val="16"/>
        </w:rPr>
      </w:pPr>
      <w:r w:rsidRPr="00507A31">
        <w:rPr>
          <w:color w:val="000000" w:themeColor="text1"/>
          <w:sz w:val="16"/>
          <w:szCs w:val="16"/>
        </w:rPr>
        <w:t>Дорогой товарищ!</w:t>
      </w:r>
    </w:p>
    <w:p w14:paraId="6FE00E35" w14:textId="77777777" w:rsidR="00147B5B" w:rsidRPr="00507A31" w:rsidRDefault="00147B5B" w:rsidP="00507A31">
      <w:pPr>
        <w:jc w:val="both"/>
        <w:rPr>
          <w:color w:val="000000" w:themeColor="text1"/>
          <w:sz w:val="16"/>
          <w:szCs w:val="16"/>
        </w:rPr>
      </w:pPr>
      <w:r w:rsidRPr="00507A31">
        <w:rPr>
          <w:color w:val="000000" w:themeColor="text1"/>
          <w:sz w:val="16"/>
          <w:szCs w:val="16"/>
        </w:rPr>
        <w:t>Я вынужден оторвать у Вас несколько минут. Только сейчас я ознакомился с показаниями негодяя Рамзина в части, касающейся меня. Этот</w:t>
      </w:r>
    </w:p>
    <w:p w14:paraId="018E0763" w14:textId="77777777" w:rsidR="00147B5B" w:rsidRPr="00507A31" w:rsidRDefault="00147B5B" w:rsidP="00507A31">
      <w:pPr>
        <w:jc w:val="both"/>
        <w:rPr>
          <w:color w:val="000000" w:themeColor="text1"/>
          <w:sz w:val="16"/>
          <w:szCs w:val="16"/>
        </w:rPr>
      </w:pPr>
      <w:r w:rsidRPr="00507A31">
        <w:rPr>
          <w:color w:val="000000" w:themeColor="text1"/>
          <w:sz w:val="16"/>
          <w:szCs w:val="16"/>
        </w:rPr>
        <w:t>мерзавец утверждает, что я, будучи начальником Главэлектро, подпал под влияние инженеров участников промпартии Каменецкого, Кукель-Краевского, Яновицкого и Катомина и это давало им возможность осуществлять их планы по задержке теплофикации, созданию энергетического кризиса в Ленинграде, Москве и Донбассе.</w:t>
      </w:r>
    </w:p>
    <w:p w14:paraId="40BE0575" w14:textId="77777777" w:rsidR="00147B5B" w:rsidRPr="00507A31" w:rsidRDefault="00147B5B" w:rsidP="00507A31">
      <w:pPr>
        <w:jc w:val="both"/>
        <w:rPr>
          <w:color w:val="000000" w:themeColor="text1"/>
          <w:sz w:val="16"/>
          <w:szCs w:val="16"/>
        </w:rPr>
      </w:pPr>
      <w:r w:rsidRPr="00507A31">
        <w:rPr>
          <w:color w:val="000000" w:themeColor="text1"/>
          <w:sz w:val="16"/>
          <w:szCs w:val="16"/>
        </w:rPr>
        <w:t>Говорит заклятый классовый враг, я не имею права молчать.</w:t>
      </w:r>
    </w:p>
    <w:p w14:paraId="54E41E97" w14:textId="77777777" w:rsidR="00147B5B" w:rsidRPr="00507A31" w:rsidRDefault="00147B5B" w:rsidP="00507A31">
      <w:pPr>
        <w:jc w:val="both"/>
        <w:rPr>
          <w:color w:val="000000" w:themeColor="text1"/>
          <w:sz w:val="16"/>
          <w:szCs w:val="16"/>
        </w:rPr>
      </w:pPr>
      <w:r w:rsidRPr="00507A31">
        <w:rPr>
          <w:color w:val="000000" w:themeColor="text1"/>
          <w:sz w:val="16"/>
          <w:szCs w:val="16"/>
        </w:rPr>
        <w:t>И прежде всего, тяжелый вопрос:</w:t>
      </w:r>
    </w:p>
    <w:p w14:paraId="4E7657ED" w14:textId="77777777" w:rsidR="00147B5B" w:rsidRPr="00507A31" w:rsidRDefault="00147B5B" w:rsidP="00507A31">
      <w:pPr>
        <w:jc w:val="both"/>
        <w:rPr>
          <w:color w:val="000000" w:themeColor="text1"/>
          <w:sz w:val="16"/>
          <w:szCs w:val="16"/>
        </w:rPr>
      </w:pPr>
      <w:r w:rsidRPr="00507A31">
        <w:rPr>
          <w:color w:val="000000" w:themeColor="text1"/>
          <w:sz w:val="16"/>
          <w:szCs w:val="16"/>
        </w:rPr>
        <w:t>Допустил ли я даже безсознательно «свое пленение» или нет, т. е. был ли я орудием в руках этой сволочи?</w:t>
      </w:r>
    </w:p>
    <w:p w14:paraId="2D180D78" w14:textId="77777777" w:rsidR="00147B5B" w:rsidRPr="00507A31" w:rsidRDefault="00147B5B" w:rsidP="00507A31">
      <w:pPr>
        <w:jc w:val="both"/>
        <w:rPr>
          <w:color w:val="000000" w:themeColor="text1"/>
          <w:sz w:val="16"/>
          <w:szCs w:val="16"/>
        </w:rPr>
      </w:pPr>
      <w:r w:rsidRPr="00507A31">
        <w:rPr>
          <w:color w:val="000000" w:themeColor="text1"/>
          <w:sz w:val="16"/>
          <w:szCs w:val="16"/>
        </w:rPr>
        <w:t>Для коммуниста этот вопрос — вопрос обязателен и обязателен ответ на него.</w:t>
      </w:r>
    </w:p>
    <w:p w14:paraId="0EC97D6D" w14:textId="77777777" w:rsidR="00147B5B" w:rsidRPr="00507A31" w:rsidRDefault="00147B5B" w:rsidP="00507A31">
      <w:pPr>
        <w:jc w:val="both"/>
        <w:rPr>
          <w:color w:val="000000" w:themeColor="text1"/>
          <w:sz w:val="16"/>
          <w:szCs w:val="16"/>
        </w:rPr>
      </w:pPr>
      <w:r w:rsidRPr="00507A31">
        <w:rPr>
          <w:color w:val="000000" w:themeColor="text1"/>
          <w:sz w:val="16"/>
          <w:szCs w:val="16"/>
        </w:rPr>
        <w:t>И вот — с полною ответственностью я заявляю, что этого не было, что утверждение Рамзина ложь от начала до конца.</w:t>
      </w:r>
    </w:p>
    <w:p w14:paraId="62DD875A" w14:textId="77777777" w:rsidR="00147B5B" w:rsidRPr="00507A31" w:rsidRDefault="00147B5B" w:rsidP="00507A31">
      <w:pPr>
        <w:jc w:val="both"/>
        <w:rPr>
          <w:color w:val="000000" w:themeColor="text1"/>
          <w:sz w:val="16"/>
          <w:szCs w:val="16"/>
        </w:rPr>
      </w:pPr>
      <w:r w:rsidRPr="00507A31">
        <w:rPr>
          <w:color w:val="000000" w:themeColor="text1"/>
          <w:sz w:val="16"/>
          <w:szCs w:val="16"/>
        </w:rPr>
        <w:t>Начальником Главэлектро я фактически был с июня [19]29 года по декабрь, т. е. всего около 7 месяцев.</w:t>
      </w:r>
    </w:p>
    <w:p w14:paraId="679E6FD8" w14:textId="77777777" w:rsidR="00147B5B" w:rsidRPr="00507A31" w:rsidRDefault="00147B5B" w:rsidP="00507A31">
      <w:pPr>
        <w:jc w:val="both"/>
        <w:rPr>
          <w:color w:val="000000" w:themeColor="text1"/>
          <w:sz w:val="16"/>
          <w:szCs w:val="16"/>
        </w:rPr>
      </w:pPr>
      <w:r w:rsidRPr="00507A31">
        <w:rPr>
          <w:color w:val="000000" w:themeColor="text1"/>
          <w:sz w:val="16"/>
          <w:szCs w:val="16"/>
        </w:rPr>
        <w:t>Всякий поймет, что за этот период я не мог создать кризисы в Москве, Ленинграде и Донбассе.</w:t>
      </w:r>
    </w:p>
    <w:p w14:paraId="44359DBD" w14:textId="77777777" w:rsidR="00147B5B" w:rsidRPr="00507A31" w:rsidRDefault="00147B5B" w:rsidP="00507A31">
      <w:pPr>
        <w:jc w:val="both"/>
        <w:rPr>
          <w:color w:val="000000" w:themeColor="text1"/>
          <w:sz w:val="16"/>
          <w:szCs w:val="16"/>
        </w:rPr>
      </w:pPr>
      <w:r w:rsidRPr="00507A31">
        <w:rPr>
          <w:color w:val="000000" w:themeColor="text1"/>
          <w:sz w:val="16"/>
          <w:szCs w:val="16"/>
        </w:rPr>
        <w:t>До поступления моего в Главэлектро я из перечисленных Рамзи- ным лиц никого не знал.</w:t>
      </w:r>
    </w:p>
    <w:p w14:paraId="57F1478E" w14:textId="77777777" w:rsidR="00147B5B" w:rsidRPr="00507A31" w:rsidRDefault="00147B5B" w:rsidP="00507A31">
      <w:pPr>
        <w:jc w:val="both"/>
        <w:rPr>
          <w:color w:val="000000" w:themeColor="text1"/>
          <w:sz w:val="16"/>
          <w:szCs w:val="16"/>
        </w:rPr>
      </w:pPr>
      <w:r w:rsidRPr="00507A31">
        <w:rPr>
          <w:color w:val="000000" w:themeColor="text1"/>
          <w:sz w:val="16"/>
          <w:szCs w:val="16"/>
        </w:rPr>
        <w:t>После поступления я, кроме служебных отношений, с ними никаких не имел.</w:t>
      </w:r>
    </w:p>
    <w:p w14:paraId="5E530201" w14:textId="77777777" w:rsidR="00147B5B" w:rsidRPr="00507A31" w:rsidRDefault="00147B5B" w:rsidP="00507A31">
      <w:pPr>
        <w:jc w:val="both"/>
        <w:rPr>
          <w:color w:val="000000" w:themeColor="text1"/>
          <w:sz w:val="16"/>
          <w:szCs w:val="16"/>
        </w:rPr>
      </w:pPr>
      <w:r w:rsidRPr="00507A31">
        <w:rPr>
          <w:color w:val="000000" w:themeColor="text1"/>
          <w:sz w:val="16"/>
          <w:szCs w:val="16"/>
        </w:rPr>
        <w:t>Из названных лиц — Катомин работал в Ленинграде, Яновицкий в МОГЭСе. Работниками аппарата Главэлектро являлись Кукель-Краевский и Каменецкий.</w:t>
      </w:r>
    </w:p>
    <w:p w14:paraId="3180BE06" w14:textId="77777777" w:rsidR="00147B5B" w:rsidRPr="00507A31" w:rsidRDefault="00147B5B" w:rsidP="00507A31">
      <w:pPr>
        <w:jc w:val="both"/>
        <w:rPr>
          <w:color w:val="000000" w:themeColor="text1"/>
          <w:sz w:val="16"/>
          <w:szCs w:val="16"/>
        </w:rPr>
      </w:pPr>
      <w:r w:rsidRPr="00507A31">
        <w:rPr>
          <w:color w:val="000000" w:themeColor="text1"/>
          <w:sz w:val="16"/>
          <w:szCs w:val="16"/>
        </w:rPr>
        <w:t>Катомин — главный инженер Ленинградского ГЭСа. Как строитель «Красного Октября» (Ленинградская] станция, мощность 108 т[ыс]. киловатт) был мною предупрежден о судебной ответственности за опоздание строительства. Станция выстроена в срок. Я приказал поднять гребень Волховской плотины — устройством деревянных щитов, дав 2 месяца срока. Работа исполнена. Мощность станции поднята на несколько процентов. Количество ежегодно отпускаемой энергии в ценностном выражении поднялось на 300-500 т[ыс]. рублей. Работа стоила всего 9.000 рублей. Проект станции Налиевской, по которому сейчас и строится станция, — изготовлен в 2 месяца — по прямому моему распоряжению.</w:t>
      </w:r>
    </w:p>
    <w:p w14:paraId="3306C7F8" w14:textId="77777777" w:rsidR="00147B5B" w:rsidRPr="00507A31" w:rsidRDefault="00147B5B" w:rsidP="00507A31">
      <w:pPr>
        <w:jc w:val="both"/>
        <w:rPr>
          <w:color w:val="000000" w:themeColor="text1"/>
          <w:sz w:val="16"/>
          <w:szCs w:val="16"/>
        </w:rPr>
      </w:pPr>
      <w:r w:rsidRPr="00507A31">
        <w:rPr>
          <w:color w:val="000000" w:themeColor="text1"/>
          <w:sz w:val="16"/>
          <w:szCs w:val="16"/>
        </w:rPr>
        <w:lastRenderedPageBreak/>
        <w:t>Этим ограничились все мои отношения с Катоминым. Ни по одному вопросу общей политики Главэлектро я с ним ни разу не вел разговоров.</w:t>
      </w:r>
    </w:p>
    <w:p w14:paraId="26323C21" w14:textId="77777777" w:rsidR="00147B5B" w:rsidRPr="00507A31" w:rsidRDefault="00147B5B" w:rsidP="00507A31">
      <w:pPr>
        <w:jc w:val="both"/>
        <w:rPr>
          <w:color w:val="000000" w:themeColor="text1"/>
          <w:sz w:val="16"/>
          <w:szCs w:val="16"/>
        </w:rPr>
      </w:pPr>
      <w:r w:rsidRPr="00507A31">
        <w:rPr>
          <w:color w:val="000000" w:themeColor="text1"/>
          <w:sz w:val="16"/>
          <w:szCs w:val="16"/>
        </w:rPr>
        <w:t>Число встреч — 5-8.</w:t>
      </w:r>
    </w:p>
    <w:p w14:paraId="703978F4" w14:textId="77777777" w:rsidR="00147B5B" w:rsidRPr="00507A31" w:rsidRDefault="00147B5B" w:rsidP="00507A31">
      <w:pPr>
        <w:jc w:val="both"/>
        <w:rPr>
          <w:color w:val="000000" w:themeColor="text1"/>
          <w:sz w:val="16"/>
          <w:szCs w:val="16"/>
        </w:rPr>
      </w:pPr>
      <w:r w:rsidRPr="00507A31">
        <w:rPr>
          <w:color w:val="000000" w:themeColor="text1"/>
          <w:sz w:val="16"/>
          <w:szCs w:val="16"/>
        </w:rPr>
        <w:t>Яновицкий — член правления МОГЭСа. Был 2-3 &lt;раза&gt; вместе со всеми членами правления МОГЭСа с докладами о положении в МОГЭСе — отчетными. Кроме того, встречался без разговоров, на заседаниях ЦЭСа при техническом рассмотрении новых проектов станции.</w:t>
      </w:r>
    </w:p>
    <w:p w14:paraId="67E226F8" w14:textId="77777777" w:rsidR="00147B5B" w:rsidRPr="00507A31" w:rsidRDefault="00147B5B" w:rsidP="00507A31">
      <w:pPr>
        <w:jc w:val="both"/>
        <w:rPr>
          <w:color w:val="000000" w:themeColor="text1"/>
          <w:sz w:val="16"/>
          <w:szCs w:val="16"/>
        </w:rPr>
      </w:pPr>
      <w:r w:rsidRPr="00507A31">
        <w:rPr>
          <w:color w:val="000000" w:themeColor="text1"/>
          <w:sz w:val="16"/>
          <w:szCs w:val="16"/>
        </w:rPr>
        <w:t>Число встреч — 8-10.</w:t>
      </w:r>
    </w:p>
    <w:p w14:paraId="69FDDB85" w14:textId="77777777" w:rsidR="00147B5B" w:rsidRPr="00507A31" w:rsidRDefault="00147B5B" w:rsidP="00507A31">
      <w:pPr>
        <w:jc w:val="both"/>
        <w:rPr>
          <w:color w:val="000000" w:themeColor="text1"/>
          <w:sz w:val="16"/>
          <w:szCs w:val="16"/>
        </w:rPr>
      </w:pPr>
      <w:r w:rsidRPr="00507A31">
        <w:rPr>
          <w:color w:val="000000" w:themeColor="text1"/>
          <w:sz w:val="16"/>
          <w:szCs w:val="16"/>
        </w:rPr>
        <w:t>Уже самый перечень этих встреч и вопросов исключают возможность «пленения».</w:t>
      </w:r>
    </w:p>
    <w:p w14:paraId="4ADB7EF1" w14:textId="77777777" w:rsidR="00147B5B" w:rsidRPr="00507A31" w:rsidRDefault="00147B5B" w:rsidP="00507A31">
      <w:pPr>
        <w:jc w:val="both"/>
        <w:rPr>
          <w:color w:val="000000" w:themeColor="text1"/>
          <w:sz w:val="16"/>
          <w:szCs w:val="16"/>
        </w:rPr>
      </w:pPr>
      <w:r w:rsidRPr="00507A31">
        <w:rPr>
          <w:color w:val="000000" w:themeColor="text1"/>
          <w:sz w:val="16"/>
          <w:szCs w:val="16"/>
        </w:rPr>
        <w:t>Каменецкий — работник аппарата Главэлектро, руководитель отдела сооружения новых станций. Коммунисты Главэлектро могут подтвердить, что я ему не доверял, ибо и бюро ячейки[,] и отдельным товарищам при оценке работников Главэлектро, я об этом говорил. Ни на один осмотр новой станции я его с собою не брал. Сметную часть строительств взял под свой ближайший присмотр.</w:t>
      </w:r>
    </w:p>
    <w:p w14:paraId="61A1C688" w14:textId="77777777" w:rsidR="00147B5B" w:rsidRPr="00507A31" w:rsidRDefault="00147B5B" w:rsidP="00507A31">
      <w:pPr>
        <w:jc w:val="both"/>
        <w:rPr>
          <w:color w:val="000000" w:themeColor="text1"/>
          <w:sz w:val="16"/>
          <w:szCs w:val="16"/>
        </w:rPr>
      </w:pPr>
      <w:r w:rsidRPr="00507A31">
        <w:rPr>
          <w:color w:val="000000" w:themeColor="text1"/>
          <w:sz w:val="16"/>
          <w:szCs w:val="16"/>
        </w:rPr>
        <w:t>Кукель-Краевский пока на свободе. К нему я относился лучше. Работал он не у меня непосредственно, а под руководством т. Флаксермана. Из 7 месяцев моей работы он фактически в Главэлектро был 31/2 м[есяца] (месяц в отпуску, 2 м[есяца] в Японии на энергетической конференции).</w:t>
      </w:r>
    </w:p>
    <w:p w14:paraId="164A273A" w14:textId="77777777" w:rsidR="00147B5B" w:rsidRPr="00507A31" w:rsidRDefault="00147B5B" w:rsidP="00507A31">
      <w:pPr>
        <w:jc w:val="both"/>
        <w:rPr>
          <w:color w:val="000000" w:themeColor="text1"/>
          <w:sz w:val="16"/>
          <w:szCs w:val="16"/>
        </w:rPr>
      </w:pPr>
      <w:r w:rsidRPr="00507A31">
        <w:rPr>
          <w:color w:val="000000" w:themeColor="text1"/>
          <w:sz w:val="16"/>
          <w:szCs w:val="16"/>
        </w:rPr>
        <w:t>Уже из этого изложения — ясно, что обстановка не давала возможности «пленить меня».</w:t>
      </w:r>
    </w:p>
    <w:p w14:paraId="35CF8B0D" w14:textId="77777777" w:rsidR="00147B5B" w:rsidRPr="00507A31" w:rsidRDefault="00147B5B" w:rsidP="00507A31">
      <w:pPr>
        <w:jc w:val="both"/>
        <w:rPr>
          <w:color w:val="000000" w:themeColor="text1"/>
          <w:sz w:val="16"/>
          <w:szCs w:val="16"/>
        </w:rPr>
      </w:pPr>
      <w:r w:rsidRPr="00507A31">
        <w:rPr>
          <w:color w:val="000000" w:themeColor="text1"/>
          <w:sz w:val="16"/>
          <w:szCs w:val="16"/>
        </w:rPr>
        <w:t>По существу. Вопросы теплофикации действительно мариновались в Главэлектро, но борьба эта была до меня. И мое выступление в Секретариате Ленинградского обкома, и внесение в план строительства 1930 г. теплоцентралей в Ленинграде и Москве, и срочная посылка в Америку т. Цишевского — инженера коммуниста для изучения этого дела и проектирования станции для Ленинграда — показывают, что я эти вопросы не мариновал, а толкал.</w:t>
      </w:r>
    </w:p>
    <w:p w14:paraId="7616474A" w14:textId="77777777" w:rsidR="00147B5B" w:rsidRPr="00507A31" w:rsidRDefault="00147B5B" w:rsidP="00507A31">
      <w:pPr>
        <w:jc w:val="both"/>
        <w:rPr>
          <w:color w:val="000000" w:themeColor="text1"/>
          <w:sz w:val="16"/>
          <w:szCs w:val="16"/>
        </w:rPr>
      </w:pPr>
      <w:r w:rsidRPr="00507A31">
        <w:rPr>
          <w:color w:val="000000" w:themeColor="text1"/>
          <w:sz w:val="16"/>
          <w:szCs w:val="16"/>
        </w:rPr>
        <w:t>Относительно Москвы, Ленинграда и Донбасса — кризис энергии.</w:t>
      </w:r>
    </w:p>
    <w:p w14:paraId="4FB9CC5B" w14:textId="77777777" w:rsidR="00147B5B" w:rsidRPr="00507A31" w:rsidRDefault="00147B5B" w:rsidP="00507A31">
      <w:pPr>
        <w:jc w:val="both"/>
        <w:rPr>
          <w:color w:val="000000" w:themeColor="text1"/>
          <w:sz w:val="16"/>
          <w:szCs w:val="16"/>
        </w:rPr>
      </w:pPr>
      <w:r w:rsidRPr="00507A31">
        <w:rPr>
          <w:color w:val="000000" w:themeColor="text1"/>
          <w:sz w:val="16"/>
          <w:szCs w:val="16"/>
        </w:rPr>
        <w:t>Что сделано при мне в этом отношении? По Ленинграду:</w:t>
      </w:r>
    </w:p>
    <w:p w14:paraId="25E19D3F" w14:textId="77777777" w:rsidR="00147B5B" w:rsidRPr="00507A31" w:rsidRDefault="00147B5B" w:rsidP="00507A31">
      <w:pPr>
        <w:jc w:val="both"/>
        <w:rPr>
          <w:color w:val="000000" w:themeColor="text1"/>
          <w:sz w:val="16"/>
          <w:szCs w:val="16"/>
        </w:rPr>
      </w:pPr>
      <w:r w:rsidRPr="00507A31">
        <w:rPr>
          <w:color w:val="000000" w:themeColor="text1"/>
          <w:sz w:val="16"/>
          <w:szCs w:val="16"/>
        </w:rPr>
        <w:t>1) закончена в срок ст. Красный Октябрь, сокращен срок строительства Свири с 5 лет до 4, обеспечен своевременный приступ к строительству торфяной станции и приняты все меры к изготовлению проекта теплоцентрали. По Москве: 1) решение о строительстве Бобриковской станции, 2) изготовление проекта теплоцентрали с приступом к работе в 1930 г. По Донбассу — решение о постройке, личный осмотр избранного места постройки и приступ к работам Зуевской станции и пуск 2-х турбин по 22.000 киловатт на Штеровке.</w:t>
      </w:r>
    </w:p>
    <w:p w14:paraId="5B5A39B9" w14:textId="77777777" w:rsidR="00147B5B" w:rsidRPr="00507A31" w:rsidRDefault="00147B5B" w:rsidP="00507A31">
      <w:pPr>
        <w:jc w:val="both"/>
        <w:rPr>
          <w:color w:val="000000" w:themeColor="text1"/>
          <w:sz w:val="16"/>
          <w:szCs w:val="16"/>
        </w:rPr>
      </w:pPr>
      <w:r w:rsidRPr="00507A31">
        <w:rPr>
          <w:color w:val="000000" w:themeColor="text1"/>
          <w:sz w:val="16"/>
          <w:szCs w:val="16"/>
        </w:rPr>
        <w:t>Что я проводил вообще: сокращение срока строительства паровых электростанций до 2-х лет (Сталинград) и удешевление строительства.</w:t>
      </w:r>
    </w:p>
    <w:p w14:paraId="2F65651F" w14:textId="77777777" w:rsidR="00147B5B" w:rsidRPr="00507A31" w:rsidRDefault="00147B5B" w:rsidP="00507A31">
      <w:pPr>
        <w:jc w:val="both"/>
        <w:rPr>
          <w:color w:val="000000" w:themeColor="text1"/>
          <w:sz w:val="16"/>
          <w:szCs w:val="16"/>
        </w:rPr>
      </w:pPr>
      <w:r w:rsidRPr="00507A31">
        <w:rPr>
          <w:color w:val="000000" w:themeColor="text1"/>
          <w:sz w:val="16"/>
          <w:szCs w:val="16"/>
        </w:rPr>
        <w:t>Тов. Сталин, вероятно, в моей работе по Главэлектро были свои недочеты и упущения. Но сейчас не в этом вопрос — в плену у специалистов, а тем более шайки вредителей я не был ни одной минуты. Вот что для меня главное. Но негодяй говорит. Почему он говорит? Потому, что даже тут он стремится вредить и мстить. Мои служебные сношения с Рамзиным, весьма короткие, ознаменовались резким конфликтом. В 1929 г. он позволил себе в течение недели не выполнить постановления ВСНХ СССР о передаче из Теплотехнического Ин-та коммерческого бюро по проектированию и монтажу тепловых установок в трест «Тепло и Сила». Когда я по телефону потребовал объяснение, то услышал, что он не согласен с этим постановлением, намерен его обжаловать и т. д. Заявив, что меня совершенно не интересуют его взгляды и соображения, я потребовал выполнения к 4 часам того же дня, предупредив, что в случае не исполнения, он будет предан суду. Свидетели разговора коммунисты из Главэлектро заявили, что Рамзин к такому тону не привык и что так или иначе, он отплатит. Распоряжение он выполнил в срок.</w:t>
      </w:r>
    </w:p>
    <w:p w14:paraId="5FE513DA" w14:textId="77777777" w:rsidR="00147B5B" w:rsidRPr="00507A31" w:rsidRDefault="00147B5B" w:rsidP="00507A31">
      <w:pPr>
        <w:jc w:val="both"/>
        <w:rPr>
          <w:color w:val="000000" w:themeColor="text1"/>
          <w:sz w:val="16"/>
          <w:szCs w:val="16"/>
        </w:rPr>
      </w:pPr>
      <w:r w:rsidRPr="00507A31">
        <w:rPr>
          <w:color w:val="000000" w:themeColor="text1"/>
          <w:sz w:val="16"/>
          <w:szCs w:val="16"/>
        </w:rPr>
        <w:t>А теперь гадит.</w:t>
      </w:r>
    </w:p>
    <w:p w14:paraId="723777DF" w14:textId="77777777" w:rsidR="00147B5B" w:rsidRPr="00507A31" w:rsidRDefault="00147B5B" w:rsidP="00507A31">
      <w:pPr>
        <w:jc w:val="both"/>
        <w:rPr>
          <w:color w:val="000000" w:themeColor="text1"/>
          <w:sz w:val="16"/>
          <w:szCs w:val="16"/>
        </w:rPr>
      </w:pPr>
      <w:r w:rsidRPr="00507A31">
        <w:rPr>
          <w:color w:val="000000" w:themeColor="text1"/>
          <w:sz w:val="16"/>
          <w:szCs w:val="16"/>
        </w:rPr>
        <w:t>Я с омерзением отвергаю утверждения этого мерзавца. Но его ложь — факт, и размноженный, и разосланный. Что делать скажите?</w:t>
      </w:r>
    </w:p>
    <w:p w14:paraId="54FE9282" w14:textId="77777777" w:rsidR="00147B5B" w:rsidRPr="00507A31" w:rsidRDefault="00147B5B" w:rsidP="00507A31">
      <w:pPr>
        <w:jc w:val="both"/>
        <w:rPr>
          <w:color w:val="000000" w:themeColor="text1"/>
          <w:sz w:val="16"/>
          <w:szCs w:val="16"/>
        </w:rPr>
      </w:pPr>
      <w:r w:rsidRPr="00507A31">
        <w:rPr>
          <w:color w:val="000000" w:themeColor="text1"/>
          <w:sz w:val="16"/>
          <w:szCs w:val="16"/>
        </w:rPr>
        <w:t>С коммунистическим приветом — В. КСАНДРОВ.</w:t>
      </w:r>
    </w:p>
    <w:p w14:paraId="45475FAA" w14:textId="77777777" w:rsidR="00147B5B" w:rsidRPr="00507A31" w:rsidRDefault="00147B5B" w:rsidP="00507A31">
      <w:pPr>
        <w:jc w:val="both"/>
        <w:rPr>
          <w:color w:val="000000" w:themeColor="text1"/>
          <w:sz w:val="16"/>
          <w:szCs w:val="16"/>
        </w:rPr>
      </w:pPr>
      <w:r w:rsidRPr="00507A31">
        <w:rPr>
          <w:color w:val="000000" w:themeColor="text1"/>
          <w:sz w:val="16"/>
          <w:szCs w:val="16"/>
        </w:rPr>
        <w:t>12.XI.30 г.</w:t>
      </w:r>
    </w:p>
    <w:p w14:paraId="5E2DDFD0" w14:textId="77777777" w:rsidR="00147B5B" w:rsidRPr="00507A31" w:rsidRDefault="00147B5B" w:rsidP="00507A31">
      <w:pPr>
        <w:jc w:val="both"/>
        <w:rPr>
          <w:color w:val="000000" w:themeColor="text1"/>
          <w:sz w:val="16"/>
          <w:szCs w:val="16"/>
        </w:rPr>
      </w:pPr>
      <w:r w:rsidRPr="00507A31">
        <w:rPr>
          <w:color w:val="000000" w:themeColor="text1"/>
          <w:sz w:val="16"/>
          <w:szCs w:val="16"/>
        </w:rPr>
        <w:t>Д. 355. Л. 162-165. Заверенная машинописная копия того времени. На Л. 162 вверху справа напечатано «Копия». На Л. 165 внизу машинописью «Верно: Сухова» (подпись-автограф).</w:t>
      </w:r>
    </w:p>
    <w:p w14:paraId="20F00D59" w14:textId="77777777" w:rsidR="00147B5B" w:rsidRPr="00507A31" w:rsidRDefault="00147B5B" w:rsidP="00507A31">
      <w:pPr>
        <w:jc w:val="both"/>
        <w:rPr>
          <w:color w:val="000000" w:themeColor="text1"/>
          <w:sz w:val="16"/>
          <w:szCs w:val="16"/>
        </w:rPr>
      </w:pPr>
      <w:r w:rsidRPr="00507A31">
        <w:rPr>
          <w:color w:val="000000" w:themeColor="text1"/>
          <w:sz w:val="16"/>
          <w:szCs w:val="16"/>
        </w:rPr>
        <w:t>Л. 166-168. Рукописный подлинник письма, автограф В. Н. Ксандрова (18625).</w:t>
      </w:r>
    </w:p>
    <w:p w14:paraId="343CE08E" w14:textId="77777777" w:rsidR="00147B5B" w:rsidRPr="00507A31" w:rsidRDefault="00147B5B" w:rsidP="00507A31">
      <w:pPr>
        <w:jc w:val="both"/>
        <w:rPr>
          <w:color w:val="000000" w:themeColor="text1"/>
          <w:sz w:val="16"/>
          <w:szCs w:val="16"/>
        </w:rPr>
      </w:pPr>
    </w:p>
    <w:p w14:paraId="1E7F7D88" w14:textId="77777777" w:rsidR="00820F94" w:rsidRPr="00507A31" w:rsidRDefault="00820F94"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1BFF8AFF" w14:textId="77777777" w:rsidR="00820F94" w:rsidRPr="00507A31" w:rsidRDefault="00820F94" w:rsidP="00507A31">
      <w:pPr>
        <w:autoSpaceDE w:val="0"/>
        <w:autoSpaceDN w:val="0"/>
        <w:adjustRightInd w:val="0"/>
        <w:jc w:val="both"/>
        <w:rPr>
          <w:iCs/>
          <w:color w:val="000000" w:themeColor="text1"/>
          <w:sz w:val="16"/>
          <w:szCs w:val="16"/>
        </w:rPr>
      </w:pPr>
    </w:p>
    <w:p w14:paraId="35842224" w14:textId="77777777" w:rsidR="00754084" w:rsidRPr="00507A31" w:rsidRDefault="00754084" w:rsidP="00507A31">
      <w:pPr>
        <w:jc w:val="both"/>
        <w:rPr>
          <w:bCs/>
          <w:color w:val="000000" w:themeColor="text1"/>
          <w:sz w:val="16"/>
          <w:szCs w:val="16"/>
        </w:rPr>
      </w:pPr>
      <w:r w:rsidRPr="00507A31">
        <w:rPr>
          <w:color w:val="000000" w:themeColor="text1"/>
          <w:sz w:val="16"/>
          <w:szCs w:val="16"/>
        </w:rPr>
        <w:t>12 декабря 1930 г.</w:t>
      </w:r>
    </w:p>
    <w:p w14:paraId="291EA030" w14:textId="77777777" w:rsidR="00754084" w:rsidRPr="00507A31" w:rsidRDefault="00754084" w:rsidP="00507A31">
      <w:pPr>
        <w:jc w:val="both"/>
        <w:rPr>
          <w:bCs/>
          <w:color w:val="000000" w:themeColor="text1"/>
          <w:sz w:val="16"/>
          <w:szCs w:val="16"/>
        </w:rPr>
      </w:pPr>
      <w:r w:rsidRPr="00507A31">
        <w:rPr>
          <w:color w:val="000000" w:themeColor="text1"/>
          <w:sz w:val="16"/>
          <w:szCs w:val="16"/>
        </w:rPr>
        <w:t>Письмо Д. Г. Штерна Ж. Л. Аренсу о мерах по «продвижению в прессу материалов по процессу Промпартии» в Германии. 12 декабря 1930 г.</w:t>
      </w:r>
    </w:p>
    <w:p w14:paraId="16F41480" w14:textId="77777777" w:rsidR="00754084" w:rsidRPr="00507A31" w:rsidRDefault="00754084" w:rsidP="00507A31">
      <w:pPr>
        <w:jc w:val="both"/>
        <w:rPr>
          <w:bCs/>
          <w:color w:val="000000" w:themeColor="text1"/>
          <w:sz w:val="16"/>
          <w:szCs w:val="16"/>
        </w:rPr>
      </w:pPr>
      <w:r w:rsidRPr="00507A31">
        <w:rPr>
          <w:bCs/>
          <w:color w:val="000000" w:themeColor="text1"/>
          <w:sz w:val="16"/>
          <w:szCs w:val="16"/>
        </w:rPr>
        <w:t>Источник: </w:t>
      </w:r>
    </w:p>
    <w:p w14:paraId="2CC33BC8" w14:textId="77777777" w:rsidR="00754084" w:rsidRPr="00507A31" w:rsidRDefault="0075408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D933DB" w14:textId="77777777" w:rsidR="00754084" w:rsidRPr="00507A31" w:rsidRDefault="00754084" w:rsidP="00507A31">
      <w:pPr>
        <w:jc w:val="both"/>
        <w:rPr>
          <w:bCs/>
          <w:color w:val="000000" w:themeColor="text1"/>
          <w:sz w:val="16"/>
          <w:szCs w:val="16"/>
        </w:rPr>
      </w:pPr>
      <w:r w:rsidRPr="00507A31">
        <w:rPr>
          <w:bCs/>
          <w:color w:val="000000" w:themeColor="text1"/>
          <w:sz w:val="16"/>
          <w:szCs w:val="16"/>
        </w:rPr>
        <w:t>Архив: </w:t>
      </w:r>
    </w:p>
    <w:p w14:paraId="1FA74E59" w14:textId="77777777" w:rsidR="00754084" w:rsidRPr="00507A31" w:rsidRDefault="00754084" w:rsidP="00507A31">
      <w:pPr>
        <w:jc w:val="both"/>
        <w:rPr>
          <w:color w:val="000000" w:themeColor="text1"/>
          <w:sz w:val="16"/>
          <w:szCs w:val="16"/>
        </w:rPr>
      </w:pPr>
      <w:r w:rsidRPr="00507A31">
        <w:rPr>
          <w:color w:val="000000" w:themeColor="text1"/>
          <w:sz w:val="16"/>
          <w:szCs w:val="16"/>
        </w:rPr>
        <w:t>АВП РФ. Ф. 056. On. 15. П. 31. Д. 9. Л. 110-112</w:t>
      </w:r>
    </w:p>
    <w:p w14:paraId="7075747C" w14:textId="77777777" w:rsidR="00754084" w:rsidRPr="00507A31" w:rsidRDefault="00754084" w:rsidP="00507A31">
      <w:pPr>
        <w:pStyle w:val="rteright"/>
        <w:spacing w:before="0" w:after="0"/>
        <w:jc w:val="both"/>
        <w:rPr>
          <w:color w:val="000000" w:themeColor="text1"/>
          <w:sz w:val="16"/>
          <w:szCs w:val="16"/>
        </w:rPr>
      </w:pPr>
      <w:r w:rsidRPr="00507A31">
        <w:rPr>
          <w:color w:val="000000" w:themeColor="text1"/>
          <w:sz w:val="16"/>
          <w:szCs w:val="16"/>
        </w:rPr>
        <w:t>12 декабря 1930 г.</w:t>
      </w:r>
    </w:p>
    <w:p w14:paraId="6502B62D" w14:textId="77777777" w:rsidR="00754084" w:rsidRPr="00507A31" w:rsidRDefault="00754084"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3413C360" w14:textId="77777777" w:rsidR="00754084" w:rsidRPr="00507A31" w:rsidRDefault="00754084" w:rsidP="00507A31">
      <w:pPr>
        <w:pStyle w:val="ae"/>
        <w:spacing w:before="0" w:after="0"/>
        <w:jc w:val="both"/>
        <w:rPr>
          <w:color w:val="000000" w:themeColor="text1"/>
          <w:sz w:val="16"/>
          <w:szCs w:val="16"/>
        </w:rPr>
      </w:pPr>
      <w:r w:rsidRPr="00507A31">
        <w:rPr>
          <w:color w:val="000000" w:themeColor="text1"/>
          <w:sz w:val="16"/>
          <w:szCs w:val="16"/>
        </w:rPr>
        <w:t>Тов. Аренсу</w:t>
      </w:r>
    </w:p>
    <w:p w14:paraId="753B0A58" w14:textId="77777777" w:rsidR="00754084" w:rsidRPr="00507A31" w:rsidRDefault="00754084" w:rsidP="00507A31">
      <w:pPr>
        <w:pStyle w:val="ae"/>
        <w:spacing w:before="0" w:after="0"/>
        <w:jc w:val="both"/>
        <w:rPr>
          <w:color w:val="000000" w:themeColor="text1"/>
          <w:sz w:val="16"/>
          <w:szCs w:val="16"/>
        </w:rPr>
      </w:pPr>
      <w:r w:rsidRPr="00507A31">
        <w:rPr>
          <w:color w:val="000000" w:themeColor="text1"/>
          <w:sz w:val="16"/>
          <w:szCs w:val="16"/>
        </w:rPr>
        <w:t>копии тт. Литвинову, Крестинскому и Штейну</w:t>
      </w:r>
    </w:p>
    <w:p w14:paraId="7508D551" w14:textId="77777777" w:rsidR="00754084" w:rsidRPr="00507A31" w:rsidRDefault="00754084"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6EEC6E4C"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Считаю необходимым возможно точно информировать Вас о работе, проведенной мною в области продвижения в прессу материалов по процессу Промпартии. В первую очередь хотел бы отметить, что та соответствующая энергия, о которой Вы пишете, была мною применена в полной степени, несмотря на состояние моего здоровья. Удостоверить это вероятно может тов. Бродовский. Что же касается эффекта затраты этой энергии, то он, как и следовало ожидать, представляется достаточно скромным. В основном останавливаюсь на следующих моментах:</w:t>
      </w:r>
    </w:p>
    <w:p w14:paraId="7F504CC5" w14:textId="77777777" w:rsidR="00754084" w:rsidRPr="00507A31" w:rsidRDefault="00754084" w:rsidP="00507A31">
      <w:pPr>
        <w:numPr>
          <w:ilvl w:val="0"/>
          <w:numId w:val="140"/>
        </w:numPr>
        <w:ind w:left="0" w:firstLine="0"/>
        <w:jc w:val="both"/>
        <w:rPr>
          <w:color w:val="000000" w:themeColor="text1"/>
          <w:sz w:val="16"/>
          <w:szCs w:val="16"/>
        </w:rPr>
      </w:pPr>
      <w:r w:rsidRPr="00507A31">
        <w:rPr>
          <w:color w:val="000000" w:themeColor="text1"/>
          <w:sz w:val="16"/>
          <w:szCs w:val="16"/>
        </w:rPr>
        <w:t>Посылка на процесс Гака и Вайнберга оказалась, очевидно, не бесполезной. Должен отметить, что Штекер не помещал большей части корреспонденций Вайнберга, так как они в основном являлись изложением отдельных моментов процесса. Две статьи Вайнберга, носившие общий характер, были напечатаны. Штекер поместит еще и другие статьи Вайнберга, ежели они будут носить итоговый характер.</w:t>
      </w:r>
    </w:p>
    <w:p w14:paraId="469E28D0" w14:textId="77777777" w:rsidR="00754084" w:rsidRPr="00507A31" w:rsidRDefault="00754084" w:rsidP="00507A31">
      <w:pPr>
        <w:numPr>
          <w:ilvl w:val="0"/>
          <w:numId w:val="140"/>
        </w:numPr>
        <w:ind w:left="0" w:firstLine="0"/>
        <w:jc w:val="both"/>
        <w:rPr>
          <w:color w:val="000000" w:themeColor="text1"/>
          <w:sz w:val="16"/>
          <w:szCs w:val="16"/>
        </w:rPr>
      </w:pPr>
      <w:r w:rsidRPr="00507A31">
        <w:rPr>
          <w:color w:val="000000" w:themeColor="text1"/>
          <w:sz w:val="16"/>
          <w:szCs w:val="16"/>
        </w:rPr>
        <w:t>В отношении [«]Франкфуртец Цейтунг[»] должен подчеркнуть, что после отказа редакции послать Брентано на процесс, я еще два раза разговаривал с Кирхером, обещавшим, что газета займет объективную позицию.</w:t>
      </w:r>
    </w:p>
    <w:p w14:paraId="3C908828" w14:textId="77777777" w:rsidR="00754084" w:rsidRPr="00507A31" w:rsidRDefault="00754084" w:rsidP="00507A31">
      <w:pPr>
        <w:numPr>
          <w:ilvl w:val="0"/>
          <w:numId w:val="140"/>
        </w:numPr>
        <w:ind w:left="0" w:firstLine="0"/>
        <w:jc w:val="both"/>
        <w:rPr>
          <w:color w:val="000000" w:themeColor="text1"/>
          <w:sz w:val="16"/>
          <w:szCs w:val="16"/>
        </w:rPr>
      </w:pPr>
      <w:r w:rsidRPr="00507A31">
        <w:rPr>
          <w:color w:val="000000" w:themeColor="text1"/>
          <w:sz w:val="16"/>
          <w:szCs w:val="16"/>
        </w:rPr>
        <w:t>Согласно Вашего задания я немедленно связался с Кишем, который однако оказался больным и обещал[,] как только выздоровеет[,] прийти ко мне. После этого я говорил с тов. Мюнценбергом, который отнесся крайне скептически к проекту издания книги о процессе, в частности[,] он считает бесполезной книгу и Киша. Он уклонился от конкретных разговоров на эту тему, указав на финансовую сторону вопроса.</w:t>
      </w:r>
    </w:p>
    <w:p w14:paraId="0FC44325" w14:textId="77777777" w:rsidR="00754084" w:rsidRPr="00507A31" w:rsidRDefault="00754084" w:rsidP="00507A31">
      <w:pPr>
        <w:numPr>
          <w:ilvl w:val="0"/>
          <w:numId w:val="140"/>
        </w:numPr>
        <w:ind w:left="0" w:firstLine="0"/>
        <w:jc w:val="both"/>
        <w:rPr>
          <w:color w:val="000000" w:themeColor="text1"/>
          <w:sz w:val="16"/>
          <w:szCs w:val="16"/>
        </w:rPr>
      </w:pPr>
      <w:r w:rsidRPr="00507A31">
        <w:rPr>
          <w:color w:val="000000" w:themeColor="text1"/>
          <w:sz w:val="16"/>
          <w:szCs w:val="16"/>
        </w:rPr>
        <w:t>После этого я решил попытаться переговорить с Глезером. Он теперь находится в провинции, я с ним связался и жду на днях его приезда. Тем не менее знающие его люди считают, что он не согласится дать свое имя репортажу.</w:t>
      </w:r>
    </w:p>
    <w:p w14:paraId="7750A965" w14:textId="77777777" w:rsidR="00754084" w:rsidRPr="00507A31" w:rsidRDefault="00754084" w:rsidP="00507A31">
      <w:pPr>
        <w:numPr>
          <w:ilvl w:val="0"/>
          <w:numId w:val="140"/>
        </w:numPr>
        <w:ind w:left="0" w:firstLine="0"/>
        <w:jc w:val="both"/>
        <w:rPr>
          <w:color w:val="000000" w:themeColor="text1"/>
          <w:sz w:val="16"/>
          <w:szCs w:val="16"/>
        </w:rPr>
      </w:pPr>
      <w:r w:rsidRPr="00507A31">
        <w:rPr>
          <w:color w:val="000000" w:themeColor="text1"/>
          <w:sz w:val="16"/>
          <w:szCs w:val="16"/>
        </w:rPr>
        <w:t>Унгерн[-]Штернберг, по моему поручению, вел переговоры с редакцией [«]Дейче Фольке Вирт[»], они предложили ему представить статью, статья нами была составлена. Однако Штоллпер отказался ее принять, так как, по его мнению, процесс является политической инсценировкой. Аналогичная попытка Унгерн[-]Штернберга в редакции [«]Ди Арбейт[»], также не имела успеха.</w:t>
      </w:r>
    </w:p>
    <w:p w14:paraId="6C7F886A" w14:textId="77777777" w:rsidR="00754084" w:rsidRPr="00507A31" w:rsidRDefault="00754084" w:rsidP="00507A31">
      <w:pPr>
        <w:numPr>
          <w:ilvl w:val="0"/>
          <w:numId w:val="140"/>
        </w:numPr>
        <w:ind w:left="0" w:firstLine="0"/>
        <w:jc w:val="both"/>
        <w:rPr>
          <w:color w:val="000000" w:themeColor="text1"/>
          <w:sz w:val="16"/>
          <w:szCs w:val="16"/>
        </w:rPr>
      </w:pPr>
      <w:r w:rsidRPr="00507A31">
        <w:rPr>
          <w:color w:val="000000" w:themeColor="text1"/>
          <w:sz w:val="16"/>
          <w:szCs w:val="16"/>
        </w:rPr>
        <w:t>Вчера я с тов. Виноградовым разговаривал с Грабовским. Очень подробно разъяснял ему сущность процесса. Он выражал большой интерес, но поместить какие[-]либо документы по процессу отказался, предложив лишь остановиться на процессе в своей статье о германо-советских отношениях. Я все же предложил дать ему сырой материал (дам ему законченную статью). Возможно, удастся, правда[,] немногого, от Грабовского добиться.</w:t>
      </w:r>
    </w:p>
    <w:p w14:paraId="73A14D1B" w14:textId="77777777" w:rsidR="00754084" w:rsidRPr="00507A31" w:rsidRDefault="00754084" w:rsidP="00507A31">
      <w:pPr>
        <w:numPr>
          <w:ilvl w:val="0"/>
          <w:numId w:val="140"/>
        </w:numPr>
        <w:ind w:left="0" w:firstLine="0"/>
        <w:jc w:val="both"/>
        <w:rPr>
          <w:color w:val="000000" w:themeColor="text1"/>
          <w:sz w:val="16"/>
          <w:szCs w:val="16"/>
        </w:rPr>
      </w:pPr>
      <w:r w:rsidRPr="00507A31">
        <w:rPr>
          <w:color w:val="000000" w:themeColor="text1"/>
          <w:sz w:val="16"/>
          <w:szCs w:val="16"/>
        </w:rPr>
        <w:t>Редакция [«]Дейче Рундшау[»], с которой я через посредника вел переговоры, подчеркнула, что считает достаточным проявлением своей лойяльности тот факт, что она не пишет ничего о процессе.</w:t>
      </w:r>
    </w:p>
    <w:p w14:paraId="0E17F5BB" w14:textId="77777777" w:rsidR="00754084" w:rsidRPr="00507A31" w:rsidRDefault="00754084" w:rsidP="00507A31">
      <w:pPr>
        <w:numPr>
          <w:ilvl w:val="0"/>
          <w:numId w:val="140"/>
        </w:numPr>
        <w:ind w:left="0" w:firstLine="0"/>
        <w:jc w:val="both"/>
        <w:rPr>
          <w:color w:val="000000" w:themeColor="text1"/>
          <w:sz w:val="16"/>
          <w:szCs w:val="16"/>
        </w:rPr>
      </w:pPr>
      <w:r w:rsidRPr="00507A31">
        <w:rPr>
          <w:color w:val="000000" w:themeColor="text1"/>
          <w:sz w:val="16"/>
          <w:szCs w:val="16"/>
        </w:rPr>
        <w:t>Через Ш., по[-]видимому, удастся провести статью в орган Гирш-Дункеровских проф. союзов «Виртшафтлихе Зельбстфервальтунг». Кроме того имеются шансы, что вторая статья пойдет в журнал «Политик унд Гезельшафт», издаваемый нам достаточно враждебным Эдгаром Шмидт Паули.</w:t>
      </w:r>
    </w:p>
    <w:p w14:paraId="483AB038" w14:textId="77777777" w:rsidR="00754084" w:rsidRPr="00507A31" w:rsidRDefault="00754084" w:rsidP="00507A31">
      <w:pPr>
        <w:numPr>
          <w:ilvl w:val="0"/>
          <w:numId w:val="140"/>
        </w:numPr>
        <w:ind w:left="0" w:firstLine="0"/>
        <w:jc w:val="both"/>
        <w:rPr>
          <w:color w:val="000000" w:themeColor="text1"/>
          <w:sz w:val="16"/>
          <w:szCs w:val="16"/>
        </w:rPr>
      </w:pPr>
      <w:r w:rsidRPr="00507A31">
        <w:rPr>
          <w:color w:val="000000" w:themeColor="text1"/>
          <w:sz w:val="16"/>
          <w:szCs w:val="16"/>
        </w:rPr>
        <w:t>Ш. провел в «Рейнвестфелише Цейтунг» статью, в которой описывается подготовка интервенции Англией и Францией, в частности[,] указывается, что Франция стремится к отделению Украины, для усиления позиций Польши против Германии. Кроме того[,] он поместил в [«] Кенигсб. Хартунише Цейтунг[»] статью об интригах русских эмигрантов в Париже против Германии.</w:t>
      </w:r>
    </w:p>
    <w:p w14:paraId="0E873168"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7-го декабря я узнал, что Делен пишет статью о процессе. Я немедленно вызвал его к себе и, не давая ему понять, что я знаю[,] что статья уже написана, предложил ему использовать эту тему. Он помялся и вынул из кармана уже готовую статью. В итоге долгой дискуссии он согласился статью переделать. Она отнюдь не стала нам дружественной, но все же в ней исчез ряд острых моментов и было включено несколько нам полезных заявлений. Так, например, было подчеркнуто, что Париж является центром эмиграции и антисоветских тенденций, кроме того[,] было указано на сеть французского промышленного шпионажа.</w:t>
      </w:r>
    </w:p>
    <w:p w14:paraId="737F2D2F"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Что касается романа, то, разумеется, не может быть и речи о совмещении моего проекта с изданием книги тов. Мюнценбергом. Мне казалось, что я уже подчеркивал, что этот роман должен бить на националистические инстинкты в Германии и быть направлен целиком против Франции и Польши. Таким образом, по[-]видимому, этот проект следует считать ликвидированным.</w:t>
      </w:r>
    </w:p>
    <w:p w14:paraId="70F54C12"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lastRenderedPageBreak/>
        <w:t>Фотоматериал к процессу находится в использовании, однако, большинство фотографий прессе уже известно.</w:t>
      </w:r>
    </w:p>
    <w:p w14:paraId="0D74533E"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Таким образом, из выше изложенного следует, что настойчивость с нашей стороны проявлена была, независимо от результатов.</w:t>
      </w:r>
    </w:p>
    <w:p w14:paraId="42AA1903"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С тов. приветом</w:t>
      </w:r>
    </w:p>
    <w:p w14:paraId="128E575E"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Д. Штерн</w:t>
      </w:r>
    </w:p>
    <w:p w14:paraId="79BA6B5D" w14:textId="77777777" w:rsidR="00754084" w:rsidRPr="00507A31" w:rsidRDefault="00754084"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31. Д. 9. Л. 110-112. Машинописный подлинник на бланке Полпредства СССР в Германии (Л. 110), подпись Штерна — автограф. Гриф секретности и дата машинописью, исходящий номер «№ 1523» от руки в графе бланка. На Л. 110 вверху написаны от руки входящий номер и дата получения документа «14/ХII-30 г.», рукописная помета «архив», подпись-росчерк Миронова (18878).</w:t>
      </w:r>
    </w:p>
    <w:p w14:paraId="7FB5D427" w14:textId="77777777" w:rsidR="00754084" w:rsidRPr="00507A31" w:rsidRDefault="00754084" w:rsidP="00507A31">
      <w:pPr>
        <w:jc w:val="both"/>
        <w:rPr>
          <w:color w:val="000000" w:themeColor="text1"/>
          <w:sz w:val="16"/>
          <w:szCs w:val="16"/>
        </w:rPr>
      </w:pPr>
    </w:p>
    <w:p w14:paraId="7D98E8A8" w14:textId="77777777" w:rsidR="00754084" w:rsidRPr="00507A31" w:rsidRDefault="00754084" w:rsidP="00507A31">
      <w:pPr>
        <w:jc w:val="both"/>
        <w:rPr>
          <w:bCs/>
          <w:color w:val="000000" w:themeColor="text1"/>
          <w:sz w:val="16"/>
          <w:szCs w:val="16"/>
        </w:rPr>
      </w:pPr>
      <w:r w:rsidRPr="00507A31">
        <w:rPr>
          <w:color w:val="000000" w:themeColor="text1"/>
          <w:sz w:val="16"/>
          <w:szCs w:val="16"/>
        </w:rPr>
        <w:t>12 декабря 1930 г.</w:t>
      </w:r>
    </w:p>
    <w:p w14:paraId="6E22650C" w14:textId="77777777" w:rsidR="00754084" w:rsidRPr="00507A31" w:rsidRDefault="00754084" w:rsidP="00507A31">
      <w:pPr>
        <w:jc w:val="both"/>
        <w:rPr>
          <w:bCs/>
          <w:color w:val="000000" w:themeColor="text1"/>
          <w:sz w:val="16"/>
          <w:szCs w:val="16"/>
        </w:rPr>
      </w:pPr>
      <w:r w:rsidRPr="00507A31">
        <w:rPr>
          <w:color w:val="000000" w:themeColor="text1"/>
          <w:sz w:val="16"/>
          <w:szCs w:val="16"/>
        </w:rPr>
        <w:t>Письмо полпреда СССР во Франции В. С. Довгалевского заместителю наркома иностранных дел СССР Н. Н. Крестинскому. 12 декабря 1930 г.</w:t>
      </w:r>
    </w:p>
    <w:p w14:paraId="388B6C7B" w14:textId="77777777" w:rsidR="00754084" w:rsidRPr="00507A31" w:rsidRDefault="00754084" w:rsidP="00507A31">
      <w:pPr>
        <w:jc w:val="both"/>
        <w:rPr>
          <w:bCs/>
          <w:color w:val="000000" w:themeColor="text1"/>
          <w:sz w:val="16"/>
          <w:szCs w:val="16"/>
        </w:rPr>
      </w:pPr>
      <w:r w:rsidRPr="00507A31">
        <w:rPr>
          <w:bCs/>
          <w:color w:val="000000" w:themeColor="text1"/>
          <w:sz w:val="16"/>
          <w:szCs w:val="16"/>
        </w:rPr>
        <w:t>Источник: </w:t>
      </w:r>
    </w:p>
    <w:p w14:paraId="57CD6C8B" w14:textId="77777777" w:rsidR="00754084" w:rsidRPr="00507A31" w:rsidRDefault="00754084"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ECA03BB" w14:textId="77777777" w:rsidR="00754084" w:rsidRPr="00507A31" w:rsidRDefault="00754084" w:rsidP="00507A31">
      <w:pPr>
        <w:jc w:val="both"/>
        <w:rPr>
          <w:bCs/>
          <w:color w:val="000000" w:themeColor="text1"/>
          <w:sz w:val="16"/>
          <w:szCs w:val="16"/>
        </w:rPr>
      </w:pPr>
      <w:r w:rsidRPr="00507A31">
        <w:rPr>
          <w:bCs/>
          <w:color w:val="000000" w:themeColor="text1"/>
          <w:sz w:val="16"/>
          <w:szCs w:val="16"/>
        </w:rPr>
        <w:t>Архив: </w:t>
      </w:r>
    </w:p>
    <w:p w14:paraId="26FE2B13" w14:textId="77777777" w:rsidR="00754084" w:rsidRPr="00507A31" w:rsidRDefault="00754084" w:rsidP="00507A31">
      <w:pPr>
        <w:jc w:val="both"/>
        <w:rPr>
          <w:color w:val="000000" w:themeColor="text1"/>
          <w:sz w:val="16"/>
          <w:szCs w:val="16"/>
        </w:rPr>
      </w:pPr>
      <w:r w:rsidRPr="00507A31">
        <w:rPr>
          <w:color w:val="000000" w:themeColor="text1"/>
          <w:sz w:val="16"/>
          <w:szCs w:val="16"/>
        </w:rPr>
        <w:t>АВП РФ. Ф. 010. On. 1. П. 5. Д. 83. Л. 111-112</w:t>
      </w:r>
    </w:p>
    <w:p w14:paraId="7FC74167" w14:textId="77777777" w:rsidR="00754084" w:rsidRPr="00507A31" w:rsidRDefault="00754084" w:rsidP="00507A31">
      <w:pPr>
        <w:pStyle w:val="rteright"/>
        <w:spacing w:before="0" w:after="0"/>
        <w:jc w:val="both"/>
        <w:rPr>
          <w:color w:val="000000" w:themeColor="text1"/>
          <w:sz w:val="16"/>
          <w:szCs w:val="16"/>
        </w:rPr>
      </w:pPr>
      <w:r w:rsidRPr="00507A31">
        <w:rPr>
          <w:color w:val="000000" w:themeColor="text1"/>
          <w:sz w:val="16"/>
          <w:szCs w:val="16"/>
        </w:rPr>
        <w:t>12 декабря 1930 г.</w:t>
      </w:r>
    </w:p>
    <w:p w14:paraId="1A2513E4" w14:textId="77777777" w:rsidR="00754084" w:rsidRPr="00507A31" w:rsidRDefault="00754084"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1B78D4E4" w14:textId="77777777" w:rsidR="00754084" w:rsidRPr="00507A31" w:rsidRDefault="00754084" w:rsidP="00507A31">
      <w:pPr>
        <w:pStyle w:val="ae"/>
        <w:spacing w:before="0" w:after="0"/>
        <w:jc w:val="both"/>
        <w:rPr>
          <w:color w:val="000000" w:themeColor="text1"/>
          <w:sz w:val="16"/>
          <w:szCs w:val="16"/>
        </w:rPr>
      </w:pPr>
      <w:r w:rsidRPr="00507A31">
        <w:rPr>
          <w:color w:val="000000" w:themeColor="text1"/>
          <w:sz w:val="16"/>
          <w:szCs w:val="16"/>
        </w:rPr>
        <w:t>Париж, 12-го декабря 1930 года.</w:t>
      </w:r>
    </w:p>
    <w:p w14:paraId="058BF81D" w14:textId="77777777" w:rsidR="00754084" w:rsidRPr="00507A31" w:rsidRDefault="00754084" w:rsidP="00507A31">
      <w:pPr>
        <w:pStyle w:val="ae"/>
        <w:spacing w:before="0" w:after="0"/>
        <w:jc w:val="both"/>
        <w:rPr>
          <w:color w:val="000000" w:themeColor="text1"/>
          <w:sz w:val="16"/>
          <w:szCs w:val="16"/>
        </w:rPr>
      </w:pPr>
      <w:r w:rsidRPr="00507A31">
        <w:rPr>
          <w:color w:val="000000" w:themeColor="text1"/>
          <w:sz w:val="16"/>
          <w:szCs w:val="16"/>
        </w:rPr>
        <w:t>№ 580/с</w:t>
      </w:r>
    </w:p>
    <w:p w14:paraId="65BA165F" w14:textId="77777777" w:rsidR="00754084" w:rsidRPr="00507A31" w:rsidRDefault="00754084" w:rsidP="00507A31">
      <w:pPr>
        <w:pStyle w:val="ae"/>
        <w:spacing w:before="0" w:after="0"/>
        <w:jc w:val="both"/>
        <w:rPr>
          <w:color w:val="000000" w:themeColor="text1"/>
          <w:sz w:val="16"/>
          <w:szCs w:val="16"/>
        </w:rPr>
      </w:pPr>
      <w:r w:rsidRPr="00507A31">
        <w:rPr>
          <w:color w:val="000000" w:themeColor="text1"/>
          <w:sz w:val="16"/>
          <w:szCs w:val="16"/>
        </w:rPr>
        <w:t>Зам. НАРКОМИНДЕЛ</w:t>
      </w:r>
    </w:p>
    <w:p w14:paraId="2EF9304D" w14:textId="77777777" w:rsidR="00754084" w:rsidRPr="00507A31" w:rsidRDefault="00754084" w:rsidP="00507A31">
      <w:pPr>
        <w:pStyle w:val="ae"/>
        <w:spacing w:before="0" w:after="0"/>
        <w:jc w:val="both"/>
        <w:rPr>
          <w:color w:val="000000" w:themeColor="text1"/>
          <w:sz w:val="16"/>
          <w:szCs w:val="16"/>
        </w:rPr>
      </w:pPr>
      <w:r w:rsidRPr="00507A31">
        <w:rPr>
          <w:color w:val="000000" w:themeColor="text1"/>
          <w:sz w:val="16"/>
          <w:szCs w:val="16"/>
        </w:rPr>
        <w:t>Тов. Н. Н. КРЕСТИНСКОМУ</w:t>
      </w:r>
    </w:p>
    <w:p w14:paraId="28BEC221" w14:textId="77777777" w:rsidR="00754084" w:rsidRPr="00507A31" w:rsidRDefault="00754084" w:rsidP="00507A31">
      <w:pPr>
        <w:pStyle w:val="ae"/>
        <w:spacing w:before="0" w:after="0"/>
        <w:jc w:val="both"/>
        <w:rPr>
          <w:color w:val="000000" w:themeColor="text1"/>
          <w:sz w:val="16"/>
          <w:szCs w:val="16"/>
        </w:rPr>
      </w:pPr>
      <w:r w:rsidRPr="00507A31">
        <w:rPr>
          <w:color w:val="000000" w:themeColor="text1"/>
          <w:sz w:val="16"/>
          <w:szCs w:val="16"/>
        </w:rPr>
        <w:t>Москва</w:t>
      </w:r>
    </w:p>
    <w:p w14:paraId="392A42C2" w14:textId="77777777" w:rsidR="00754084" w:rsidRPr="00507A31" w:rsidRDefault="00754084" w:rsidP="00507A31">
      <w:pPr>
        <w:pStyle w:val="ae"/>
        <w:spacing w:before="0" w:after="0"/>
        <w:jc w:val="both"/>
        <w:rPr>
          <w:color w:val="000000" w:themeColor="text1"/>
          <w:sz w:val="16"/>
          <w:szCs w:val="16"/>
        </w:rPr>
      </w:pPr>
      <w:r w:rsidRPr="00507A31">
        <w:rPr>
          <w:color w:val="000000" w:themeColor="text1"/>
          <w:sz w:val="16"/>
          <w:szCs w:val="16"/>
        </w:rPr>
        <w:t>Многоуважаемый Николай Николаевич,</w:t>
      </w:r>
    </w:p>
    <w:p w14:paraId="254FCCFE"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1.   Приговор по делу ЦК Промпартии вынесен уже пять дней тому назад, и францпра, вероятно, уже имеет полный текст его. Никакого демарша передо мной не сделано. Францпра, очевидно, занимает выжидательную позицию, ожидая нашей акции — в частности, в отношении К. и Р., участие которых судом доказано. Вам, разумеется, понятно то нетерпение, с которым я жду Вашего сообщения о принятых нами решениях.</w:t>
      </w:r>
    </w:p>
    <w:p w14:paraId="0177EED0"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2.   Депутат Маргэн сообщил мне, что был на днях у Вертело, с которым говорил о русских делах. Вертело заверял его в миролюбивых намерениях Кэ д’Орсэ и в готовности заключить с нами временное торговое соглашение. У Маргэна, однако, создалось твердое впечатление, что францпра, по соображениям внутреннего и внешнего престижа, ни в коем случае не сможет согласиться на аннулирование декрета от 3-го октября впредь до достижения соглашения по торговым вопросам. Когда я подробнее расспросил Маргэна о том, что точно разумел Вертело под временным торговым соглашением, (я хотел проверить, не говорил ли ему Вертело только о торговом балансе) то Маргэн ответил, что заявление Вертело до того приятно поразило его, что он и не подумал расспросить его конкретно. Таким образом из сообщения Маргэна пока можно сделать только тот вывод, что францпра не только перед нами, но и перед заинтересованными французскими кругами разыгрывает роль невинной жертвы, готовой, если бы это только от нее зависело, на примирение и укрепление франко-советских экономических отношений. Мне думается поэтому, что не в наших интересах затягивать наш ответ на французский меморандум. Нам нечего состязаться с французами в медлительности. Чем скорее мы дадим ответ по существу, тем будет лучше. В ответе, конечно, должно быть уделено должное место опровержению юридических и «фактических» хитросплетений французского меморандума, но главный упор должен быть сделан на наших конкретных предложениях. По этому поводу, в части, касающейся аннулирования декрета от 3-го октября, я позволю себе подсказать Вам возникшую у меня, хотя не вполне еще продуманную, мысль о том, не следовало ли бы нам, в виде отхода на заранее подготовленную позицию, в случае категорического отказа францпра от предварительного аннулирования декрета от 3-го октября, согласиться на компромисс, в виде суспендирования применения декрета на время переговоров с окончательной отменой его по благополучном разрешении их. Я при этом разумею, что суспендирование французского декрета автоматически повлечет за собою то же и в отношении нашего декрета.</w:t>
      </w:r>
    </w:p>
    <w:p w14:paraId="7111606D"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3.   Францпра уже внесло декрет в парламент на ратификацию. Парламентским докладчиком будет депутат Пьер Амидье Дю Кло. Депутат этот, принадлежавший раньше к реакционной фракции Марэна и ныне обретающийся в диких, посетил меня, чтобы выслушать мои соображения. Я ему дал некоторую документацию и обещал в дальнейшем, если у него встретится необходимость, дополнить ее. Пока еще неизвестно, когда парламент будет слушать этот вопрос. Следует, однако, иметь в виду, что как аннулирование декрета, так даже и суспендирование его, будет бесконечно затруднено в случае ратификации декрета парламентом. Это обстоятельство говорит также за желательность и необходимость ускорения нашего ответа.</w:t>
      </w:r>
    </w:p>
    <w:p w14:paraId="42AD1EA6"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4.   Как я уже Вам телеграфировал, Ванжер, натолкнувшись на решительный отпор представителей Союзнефти, снял навязанное ему Кэ д’Орсэ предложение. Кэ д’Орсэ[,] очевидно, решило только показать когти и отнюдь не собиралось резко вовлечь советскую нефть в экономическую войну. Переговоры о бензиновом контракте близятся к концу, и на днях, очевидно, контракт будет подписан. Мы вынуждены были пойти на значительную уступку в отношении сырой нефти, согласившись увязать бензиновый контракт с эвентуальным контрактом на сырую нефть длительностью на семь лет. Когда контракт будет подписан, я Вас подробнее познакомлю с нашим положением на французском нефтяном рынке.</w:t>
      </w:r>
    </w:p>
    <w:p w14:paraId="067D9EA6"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5.   Франко-русская парламентская группа окончательно оформилась на заседании от 11-го декабря, хотя, как мне передают, в группу записалось около 100 депутатов (среди них один социалист!), но на заседании присутствовало только около 20-ти человек. Председателем избран де Монзи, секретарем — Бержери, вице-председателями — Леви-Алфандери (радикал), Шарль Ламбер (радикал), Д’Аркур (правый), Гильомон (левый независимый) и Николь (льнопромышленник, какой фракции не знаю). Интересно отметить, что, несмотря на заверения Бержери, повестка, кроме вопроса о выборах, включала еще один вопрос, а именно — сообщение Бержери о долгах. В прениях выступал и де Монзи. Оба они рассказали историю вопроса. Кое-кто из присутствовавших поднял было вопрос и о национализированном имуществе, но он развития не получил. Собрание поручило Бержери изготовить записку о долгах. Таким образом, оправдываются мои худшие опасения. Франко-русская парламентская группа, вероятно, явится нам излишней помехой.</w:t>
      </w:r>
    </w:p>
    <w:p w14:paraId="1C3BFFB4"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6.  Дело Герцфельда назначено к слушанию в апелляционном суде на 8-ое января.</w:t>
      </w:r>
    </w:p>
    <w:p w14:paraId="44CD551D"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7.  Небезынтересно отметить, как курьез, обращение ко мне через посредника некоего француза, инженера Мишеля Бена, с предложением об организации во Франции так называемых «посылок Эррио», по типу бывших посылок Хувера (Ара), с освобождением их от таможенных пошлин и с отчислением 10 % от стоимости посылок в пользу «нуждающихся государственных советских учреждений». Я, разумеется, высмеял это предложение. Я не стал даже допытываться, был ли Эррио уведомлен об этой идее, которая навеяна ежедневной кампанией ложных слухов об экономическом кризисе и голоде в Советском Союзе.</w:t>
      </w:r>
    </w:p>
    <w:p w14:paraId="14470045"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8.  Ко мне не раз уже обращались отдельные лица с протестом (письменным, по почте) по делу об аресте Франческо Гецци. Я, разумеется, все эти обращения оставлял без Ответа. Сегодня я, опять-таки по почте, получил письмо на бланке революционно-синдикалистского еженедельника «Ле Кридю Пэпль», письмо с просьбой принять по этому же делу делегацию из 20-ти человек, получивших на то мандат на конференции, имевшей место 30-го ноября. Я решил и это письмо оставить без ответа. Только в случае повторных настояний я отвечу письменным отказом со ссылкой на мою некомпетентность в этом вопросе.</w:t>
      </w:r>
    </w:p>
    <w:p w14:paraId="02E21C87" w14:textId="77777777" w:rsidR="00754084" w:rsidRPr="00507A31" w:rsidRDefault="00754084" w:rsidP="00507A31">
      <w:pPr>
        <w:pStyle w:val="rtejustify"/>
        <w:spacing w:before="0" w:after="0"/>
        <w:rPr>
          <w:color w:val="000000" w:themeColor="text1"/>
          <w:sz w:val="16"/>
          <w:szCs w:val="16"/>
        </w:rPr>
      </w:pPr>
      <w:r w:rsidRPr="00507A31">
        <w:rPr>
          <w:color w:val="000000" w:themeColor="text1"/>
          <w:sz w:val="16"/>
          <w:szCs w:val="16"/>
        </w:rPr>
        <w:t>9.  Возвещенная Вами позапрошлой почтой радостная весть о возобновлении рассылки политбюллетеня, однако, не оправдала себя: ни в предпоследней, ни в последней почте бюллетеня не оказалось. Хотя бюллетени в прошлом, как Вы сами знаете, оставляли желать много лучшего, все же они являлись для нас ценным подспорьем в нашей работе. Отсутствие их в особенности дает себя чувствовать теперь, в связи с оживлением нашей дипломатической деятельности. О встречах тов. Литвинова с Гранди и Курциусом, о поездках Венизелоса и Бетлэна в Ангору и о прочих выдающихся событиях мы знаем только из прессы. Совершенно стороной от одного грека я узнал о посещении Михалакопулосом тов. Потемкина накануне поездки Венизелоса в Ангору. Мы бродим в потемках — и это в такой момент, когда наши Полпредства нуждаются в максимальной осведомленности для своей ориентации. Надеюсь, что следующая почта привезет нам наконец долгожданный бюллетень, который будет заключать сводку важнейших событий за последние полтора- два месяца, и что в дальнейшем рассылка бюллетеня будет производиться регулярно.</w:t>
      </w:r>
    </w:p>
    <w:p w14:paraId="376D2921" w14:textId="77777777" w:rsidR="00754084" w:rsidRPr="00507A31" w:rsidRDefault="00754084" w:rsidP="00507A31">
      <w:pPr>
        <w:pStyle w:val="ae"/>
        <w:spacing w:before="0" w:after="0"/>
        <w:jc w:val="both"/>
        <w:rPr>
          <w:color w:val="000000" w:themeColor="text1"/>
          <w:sz w:val="16"/>
          <w:szCs w:val="16"/>
        </w:rPr>
      </w:pPr>
      <w:r w:rsidRPr="00507A31">
        <w:rPr>
          <w:color w:val="000000" w:themeColor="text1"/>
          <w:sz w:val="16"/>
          <w:szCs w:val="16"/>
        </w:rPr>
        <w:t>С товарищеским приветом</w:t>
      </w:r>
    </w:p>
    <w:p w14:paraId="71CFB8C5" w14:textId="77777777" w:rsidR="00754084" w:rsidRPr="00507A31" w:rsidRDefault="00754084" w:rsidP="00507A31">
      <w:pPr>
        <w:pStyle w:val="ae"/>
        <w:spacing w:before="0" w:after="0"/>
        <w:jc w:val="both"/>
        <w:rPr>
          <w:color w:val="000000" w:themeColor="text1"/>
          <w:sz w:val="16"/>
          <w:szCs w:val="16"/>
        </w:rPr>
      </w:pPr>
      <w:r w:rsidRPr="00507A31">
        <w:rPr>
          <w:color w:val="000000" w:themeColor="text1"/>
          <w:sz w:val="16"/>
          <w:szCs w:val="16"/>
        </w:rPr>
        <w:t>В. Довгалевский</w:t>
      </w:r>
    </w:p>
    <w:p w14:paraId="48F04FFB" w14:textId="77777777" w:rsidR="00754084" w:rsidRPr="00507A31" w:rsidRDefault="00754084"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АВП РФ. Ф. 010. </w:t>
      </w:r>
      <w:r w:rsidRPr="00507A31">
        <w:rPr>
          <w:rStyle w:val="af0"/>
          <w:i w:val="0"/>
          <w:color w:val="000000" w:themeColor="text1"/>
          <w:sz w:val="16"/>
          <w:szCs w:val="16"/>
          <w:lang w:val="en-US"/>
        </w:rPr>
        <w:t>On</w:t>
      </w:r>
      <w:r w:rsidRPr="00507A31">
        <w:rPr>
          <w:rStyle w:val="af0"/>
          <w:i w:val="0"/>
          <w:color w:val="000000" w:themeColor="text1"/>
          <w:sz w:val="16"/>
          <w:szCs w:val="16"/>
        </w:rPr>
        <w:t>. 1. П. 5. Д. 83. Л. 111-112. Машинописный подлинник, подпись — автограф. Гриф секретности машинописью. На Л. 111 штамп Секретариата замнаркома НКИД СССР с вписанными от руки номером и датой получения документа «18.XII.1930 г.», подпись-росчерк Н. Н. Крестинского «НК». На Л. 112 внизу слева машинописью делопроизводственная помета о количестве распечатанных экземпляров (7 экз.) и адрес рассылки «5 — т. Крестинскому, 1 — т. Литвинову, 1 — в дело».</w:t>
      </w:r>
    </w:p>
    <w:p w14:paraId="4639381C" w14:textId="77777777" w:rsidR="00754084" w:rsidRPr="00507A31" w:rsidRDefault="00754084"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Там же. Ф. 0136. On. 14. П. 140. Д. 593. Л. 154. «Выписка из письма т. Довгалевского на имя т. Крестинского от 12/XII-30 г. № 580/с». Заверенная машинописная копия того времени. Скопирован пункт 1: «I. Приговор по делу ЦК Промпартии вынесен уже пять дней тому назад, и францпра, вероятно, уже имеет полный текст его. Никакого демарша передо мной не сделано. Францпра, очевидно, занимает выжидательную позицию, ожидая нашей акции — в частности, в отношении К. и Р., участие которых судом доказано. Вам, разумеется, понятно то нетерпение, с которым я жду Вашего сообщения о принятых нами решениях». Вверху листа слева написано от руки «Вх. 2418 от 19/ХП-30». Гриф секретности машинописью. Внизу формула «ВЕРНО» (машинописью) и подпись заверяющего лица от руки </w:t>
      </w:r>
      <w:r w:rsidRPr="00507A31">
        <w:rPr>
          <w:rStyle w:val="af0"/>
          <w:i w:val="0"/>
          <w:color w:val="000000" w:themeColor="text1"/>
          <w:sz w:val="16"/>
          <w:szCs w:val="16"/>
        </w:rPr>
        <w:lastRenderedPageBreak/>
        <w:t>«Трофимов» (18803).</w:t>
      </w:r>
    </w:p>
    <w:p w14:paraId="1C2A618A" w14:textId="77777777" w:rsidR="00754084" w:rsidRPr="00507A31" w:rsidRDefault="00754084" w:rsidP="00507A31">
      <w:pPr>
        <w:jc w:val="both"/>
        <w:rPr>
          <w:color w:val="000000" w:themeColor="text1"/>
          <w:sz w:val="16"/>
          <w:szCs w:val="16"/>
        </w:rPr>
      </w:pPr>
    </w:p>
    <w:p w14:paraId="20ECBD0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51CA3D7" w14:textId="77777777" w:rsidR="00537E5F" w:rsidRPr="00507A31" w:rsidRDefault="00537E5F" w:rsidP="00507A31">
      <w:pPr>
        <w:autoSpaceDE w:val="0"/>
        <w:autoSpaceDN w:val="0"/>
        <w:adjustRightInd w:val="0"/>
        <w:jc w:val="both"/>
        <w:rPr>
          <w:iCs/>
          <w:color w:val="000000" w:themeColor="text1"/>
          <w:sz w:val="16"/>
          <w:szCs w:val="16"/>
        </w:rPr>
      </w:pPr>
    </w:p>
    <w:p w14:paraId="26C630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декабря 1930 последний солдат союзников покинул Саар (2100).</w:t>
      </w:r>
    </w:p>
    <w:p w14:paraId="1C5166F9" w14:textId="77777777" w:rsidR="00537E5F" w:rsidRPr="00507A31" w:rsidRDefault="00537E5F" w:rsidP="00507A31">
      <w:pPr>
        <w:autoSpaceDE w:val="0"/>
        <w:autoSpaceDN w:val="0"/>
        <w:adjustRightInd w:val="0"/>
        <w:jc w:val="both"/>
        <w:rPr>
          <w:color w:val="000000" w:themeColor="text1"/>
          <w:sz w:val="16"/>
          <w:szCs w:val="16"/>
        </w:rPr>
      </w:pPr>
    </w:p>
    <w:p w14:paraId="79E81F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12-16 декабря 1930 в Испании прошли антимонархические выступления (2443,406).</w:t>
      </w:r>
    </w:p>
    <w:p w14:paraId="591B7771" w14:textId="77777777" w:rsidR="00537E5F" w:rsidRPr="00507A31" w:rsidRDefault="00537E5F" w:rsidP="00507A31">
      <w:pPr>
        <w:autoSpaceDE w:val="0"/>
        <w:autoSpaceDN w:val="0"/>
        <w:adjustRightInd w:val="0"/>
        <w:jc w:val="both"/>
        <w:rPr>
          <w:color w:val="000000" w:themeColor="text1"/>
          <w:sz w:val="16"/>
          <w:szCs w:val="16"/>
        </w:rPr>
      </w:pPr>
    </w:p>
    <w:p w14:paraId="0DC2043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72792FB" w14:textId="77777777" w:rsidR="00537E5F" w:rsidRPr="00507A31" w:rsidRDefault="00537E5F" w:rsidP="00507A31">
      <w:pPr>
        <w:autoSpaceDE w:val="0"/>
        <w:autoSpaceDN w:val="0"/>
        <w:adjustRightInd w:val="0"/>
        <w:jc w:val="both"/>
        <w:rPr>
          <w:iCs/>
          <w:color w:val="000000" w:themeColor="text1"/>
          <w:sz w:val="16"/>
          <w:szCs w:val="16"/>
        </w:rPr>
      </w:pPr>
    </w:p>
    <w:p w14:paraId="743E96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C 13 декабря 1930 года по 11 января 1931 года в НИАПе проходили испытания бомб осколочно-химических, корпус стальной; корпус железный, насыпные осколки - бомба осколочная и осколочно-химическая; корпус сталистого чугуна, наружная поверхность корпуса рифленая (3326).</w:t>
      </w:r>
    </w:p>
    <w:p w14:paraId="201EAFDE" w14:textId="77777777" w:rsidR="00537E5F" w:rsidRPr="00507A31" w:rsidRDefault="00537E5F" w:rsidP="00507A31">
      <w:pPr>
        <w:autoSpaceDE w:val="0"/>
        <w:autoSpaceDN w:val="0"/>
        <w:adjustRightInd w:val="0"/>
        <w:jc w:val="both"/>
        <w:rPr>
          <w:color w:val="000000" w:themeColor="text1"/>
          <w:sz w:val="16"/>
          <w:szCs w:val="16"/>
        </w:rPr>
      </w:pPr>
    </w:p>
    <w:p w14:paraId="544D9550"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F660AB5" w14:textId="77777777" w:rsidR="00537E5F" w:rsidRPr="00507A31" w:rsidRDefault="00537E5F" w:rsidP="00507A31">
      <w:pPr>
        <w:autoSpaceDE w:val="0"/>
        <w:autoSpaceDN w:val="0"/>
        <w:adjustRightInd w:val="0"/>
        <w:jc w:val="both"/>
        <w:rPr>
          <w:iCs/>
          <w:color w:val="000000" w:themeColor="text1"/>
          <w:sz w:val="16"/>
          <w:szCs w:val="16"/>
        </w:rPr>
      </w:pPr>
    </w:p>
    <w:p w14:paraId="48B5AA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декабря 1930 г. вышел ПРИКАЗ УММ О СОЗДАНИИ КОМИССИИ ПО ИСПЫТАНИЮ ТАНКА Т-20 № 65/8</w:t>
      </w:r>
    </w:p>
    <w:p w14:paraId="7C4C8E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200F2E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Для проведения испытания малого танка Т-20 назначаю комиссию в составе: Члена научно-технического комитета Рожкова А.В., Командира 2 танкового полка т. Мартынова, представителей Оружобъединения завода и военного представителя на заводе Большевик т. Воробьева.</w:t>
      </w:r>
    </w:p>
    <w:p w14:paraId="0164CC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К работам по испытанию привлечь представителя Штаба РККА.</w:t>
      </w:r>
    </w:p>
    <w:p w14:paraId="131893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В первую очередь комиссии следует установить пригодность нового корпуса и ходовой части для валового производства.</w:t>
      </w:r>
    </w:p>
    <w:p w14:paraId="30D5BE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При испытании руководствоваться программой испытания танков, утвержденной мною 23 ноября 1930 г.</w:t>
      </w:r>
    </w:p>
    <w:p w14:paraId="12F8B3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При проведении испытаний вести дневник испытаний.</w:t>
      </w:r>
    </w:p>
    <w:p w14:paraId="6A14F7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Испытания корпуса и ходовой части закончить в 10-дневный срок и материал по испытаниям, с заключением председателя НТК представить мне не позднее 1 января 1931 г.</w:t>
      </w:r>
    </w:p>
    <w:p w14:paraId="4166C4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Управления по механизации и моторизации РККА Халепский</w:t>
      </w:r>
    </w:p>
    <w:p w14:paraId="1E9D59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85. Л. б. Копия (11210).</w:t>
      </w:r>
    </w:p>
    <w:p w14:paraId="157A37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CB006DD" w14:textId="77777777" w:rsidR="00596600" w:rsidRPr="00507A31" w:rsidRDefault="00596600"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58040C33" w14:textId="77777777" w:rsidR="00596600" w:rsidRPr="00507A31" w:rsidRDefault="00596600" w:rsidP="00507A31">
      <w:pPr>
        <w:autoSpaceDE w:val="0"/>
        <w:autoSpaceDN w:val="0"/>
        <w:adjustRightInd w:val="0"/>
        <w:jc w:val="both"/>
        <w:rPr>
          <w:iCs/>
          <w:color w:val="000000" w:themeColor="text1"/>
          <w:sz w:val="16"/>
          <w:szCs w:val="16"/>
        </w:rPr>
      </w:pPr>
    </w:p>
    <w:p w14:paraId="2E54D80C" w14:textId="77777777" w:rsidR="00596600" w:rsidRPr="00507A31" w:rsidRDefault="00596600" w:rsidP="00507A31">
      <w:pPr>
        <w:jc w:val="both"/>
        <w:rPr>
          <w:color w:val="000000" w:themeColor="text1"/>
          <w:sz w:val="16"/>
          <w:szCs w:val="16"/>
        </w:rPr>
      </w:pPr>
      <w:r w:rsidRPr="00507A31">
        <w:rPr>
          <w:color w:val="000000" w:themeColor="text1"/>
          <w:sz w:val="16"/>
          <w:szCs w:val="16"/>
        </w:rPr>
        <w:t>13 декабря 1930 г. состоялось новое Совещание по дислокации ВВС у НШ РККА На другой день, 14 декабря 1930 г., Начальник ВВС РККА Баранов подписал «Указания …», которыми должно было руководствоваться Управление ВВС при реализации плана дислокации авиачастей и соединений. В разделе «Общие установки» доводились основные принципы дислокации:</w:t>
      </w:r>
    </w:p>
    <w:p w14:paraId="07F0FDD5" w14:textId="77777777" w:rsidR="00596600" w:rsidRPr="00507A31" w:rsidRDefault="00596600" w:rsidP="00507A31">
      <w:pPr>
        <w:jc w:val="both"/>
        <w:rPr>
          <w:color w:val="000000" w:themeColor="text1"/>
          <w:sz w:val="16"/>
          <w:szCs w:val="16"/>
        </w:rPr>
      </w:pPr>
      <w:r w:rsidRPr="00507A31">
        <w:rPr>
          <w:color w:val="000000" w:themeColor="text1"/>
          <w:sz w:val="16"/>
          <w:szCs w:val="16"/>
        </w:rPr>
        <w:t>1. В дислокации придать авиабригадам, по возможности, однотипность.</w:t>
      </w:r>
    </w:p>
    <w:p w14:paraId="43469411"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2. Для единства бригад за основу взять «кристаллизирование» вновь формируемых соединений. Перевод существующих частей проектировать в исключительном случае, и то это главным образом касается войсковой авиации. </w:t>
      </w:r>
    </w:p>
    <w:p w14:paraId="05AB3927"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3. При распланировании войсковой авиации за основу взять приближение ее к стрелковым, кавалерийским корпусам и мотомеханизированным частям. </w:t>
      </w:r>
    </w:p>
    <w:p w14:paraId="14BC5301"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4. От формирования кадров пока воздержаться. </w:t>
      </w:r>
    </w:p>
    <w:p w14:paraId="17C90BEE" w14:textId="77777777" w:rsidR="00596600" w:rsidRPr="00507A31" w:rsidRDefault="00596600" w:rsidP="00507A31">
      <w:pPr>
        <w:jc w:val="both"/>
        <w:rPr>
          <w:color w:val="000000" w:themeColor="text1"/>
          <w:sz w:val="16"/>
          <w:szCs w:val="16"/>
        </w:rPr>
      </w:pPr>
      <w:r w:rsidRPr="00507A31">
        <w:rPr>
          <w:color w:val="000000" w:themeColor="text1"/>
          <w:sz w:val="16"/>
          <w:szCs w:val="16"/>
        </w:rPr>
        <w:t>5. «Неизбежный некомплект узаконим распоряжением НВВС РККА. Число действующих самолетов иметь полностью, а фактически эксплуатируемых сократить, остальные иметь в свернутом виде. При этом руководствоваться:</w:t>
      </w:r>
    </w:p>
    <w:p w14:paraId="16DB76A4" w14:textId="77777777" w:rsidR="00596600" w:rsidRPr="00507A31" w:rsidRDefault="00596600" w:rsidP="00507A31">
      <w:pPr>
        <w:jc w:val="both"/>
        <w:rPr>
          <w:color w:val="000000" w:themeColor="text1"/>
          <w:sz w:val="16"/>
          <w:szCs w:val="16"/>
        </w:rPr>
      </w:pPr>
      <w:r w:rsidRPr="00507A31">
        <w:rPr>
          <w:color w:val="000000" w:themeColor="text1"/>
          <w:sz w:val="16"/>
          <w:szCs w:val="16"/>
        </w:rPr>
        <w:t>а) некомплектом летсостава по плану развития</w:t>
      </w:r>
    </w:p>
    <w:p w14:paraId="7C63287F"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Некомплект 1931 г. Фактическое наличие 1931 г. Летчиков – 987 2607 чел. Летчиков-наблюдателей – 1308 1330 чел. Техников – 3178 2301 чел. </w:t>
      </w:r>
    </w:p>
    <w:p w14:paraId="031595D0"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б) штурмовую, тяжелую бомбардировочную и войсковую авиацию не сокращать; </w:t>
      </w:r>
    </w:p>
    <w:p w14:paraId="6E2101D6" w14:textId="77777777" w:rsidR="00596600" w:rsidRPr="00507A31" w:rsidRDefault="00596600" w:rsidP="00507A31">
      <w:pPr>
        <w:jc w:val="both"/>
        <w:rPr>
          <w:color w:val="000000" w:themeColor="text1"/>
          <w:sz w:val="16"/>
          <w:szCs w:val="16"/>
        </w:rPr>
      </w:pPr>
      <w:r w:rsidRPr="00507A31">
        <w:rPr>
          <w:color w:val="000000" w:themeColor="text1"/>
          <w:sz w:val="16"/>
          <w:szCs w:val="16"/>
        </w:rPr>
        <w:t>в) сокращению подлежит истребительная авиация, легко-бомбардировочная авиация и армейская разведывательная авиация. Многоместные истребительные эскадрильи распределить по аэродромам с тяжелыми бригадами» (приложение «У») (19566).</w:t>
      </w:r>
    </w:p>
    <w:p w14:paraId="03504E35" w14:textId="77777777" w:rsidR="00596600" w:rsidRPr="00507A31" w:rsidRDefault="00596600" w:rsidP="00507A31">
      <w:pPr>
        <w:jc w:val="both"/>
        <w:rPr>
          <w:color w:val="000000" w:themeColor="text1"/>
          <w:sz w:val="16"/>
          <w:szCs w:val="16"/>
        </w:rPr>
      </w:pPr>
    </w:p>
    <w:p w14:paraId="3AD4FB2E" w14:textId="77777777" w:rsidR="00596600" w:rsidRPr="00507A31" w:rsidRDefault="00596600" w:rsidP="00507A31">
      <w:pPr>
        <w:jc w:val="both"/>
        <w:rPr>
          <w:color w:val="000000" w:themeColor="text1"/>
          <w:sz w:val="16"/>
          <w:szCs w:val="16"/>
        </w:rPr>
      </w:pPr>
      <w:r w:rsidRPr="00507A31">
        <w:rPr>
          <w:color w:val="000000" w:themeColor="text1"/>
          <w:sz w:val="16"/>
          <w:szCs w:val="16"/>
        </w:rPr>
        <w:t>13 декабря 1930 года состоялось совещание, на основе которого были выработаны Указания Начальника Штаба РККА по вопросам дислокации ВВС</w:t>
      </w:r>
    </w:p>
    <w:p w14:paraId="17B4E8D6"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 «Общие установки</w:t>
      </w:r>
    </w:p>
    <w:p w14:paraId="12550B0C"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1. При разработке дислокации придать по возможности однотипность авиабригад. </w:t>
      </w:r>
    </w:p>
    <w:p w14:paraId="639592C4"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2. При установлении единства бригад за основу взять кристаллизирование вновь формируемых соединений. Перевод существующих частей проектировать в исключительно крайнем случае, и то это главным образом касается войсковой авиации. </w:t>
      </w:r>
    </w:p>
    <w:p w14:paraId="7C2C4703"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3. При распланировании войсковой авиации за основу взять приближение ее к стрелковым, кавалерийским корпусам и мотомеханизированным частям. P.S. В дислоцировании корпусов учесть схему расположения стрелковых дивизий. </w:t>
      </w:r>
    </w:p>
    <w:p w14:paraId="49AD27D0"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4. От формирования кадров пока воздержаться и вести только все необходимые мероприятия. </w:t>
      </w:r>
    </w:p>
    <w:p w14:paraId="12DD3BCB"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5. Неизбежный некомплект в авиации узаконим распоряжением НВВС РККА. </w:t>
      </w:r>
    </w:p>
    <w:p w14:paraId="4C4B9D6F"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Число действующих (штатных) самолетов в частях иметь полностью, а фактически эксплуатируемых сократить, остальные иметь в свернутом виде. В сокращении руководствоваться: </w:t>
      </w:r>
    </w:p>
    <w:p w14:paraId="0BE37821" w14:textId="77777777" w:rsidR="00596600" w:rsidRPr="00507A31" w:rsidRDefault="00596600" w:rsidP="00507A31">
      <w:pPr>
        <w:jc w:val="both"/>
        <w:rPr>
          <w:color w:val="000000" w:themeColor="text1"/>
          <w:sz w:val="16"/>
          <w:szCs w:val="16"/>
        </w:rPr>
      </w:pPr>
      <w:r w:rsidRPr="00507A31">
        <w:rPr>
          <w:color w:val="000000" w:themeColor="text1"/>
          <w:sz w:val="16"/>
          <w:szCs w:val="16"/>
        </w:rPr>
        <w:t>а) некомплектом летсостава по плану развития (т а б л и ц а 1)</w:t>
      </w:r>
    </w:p>
    <w:p w14:paraId="3084446F"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Т а б л и ц а 1 некомплекта и наличия летного состава строевых частей без вузов Некомплект 1931 г. Фактическое наличие 1931 г. Летчиков – 987 2607 чел. Летчиков-наблюдателей - 1308 1330 чел. Техников - 3178 2301 чел. </w:t>
      </w:r>
    </w:p>
    <w:p w14:paraId="5D4223E0"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б) штурмовые части, тяжелую бомбардировочную и войсковую авиацию не сокращать; </w:t>
      </w:r>
    </w:p>
    <w:p w14:paraId="4D672223"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в) сокращению подлежит истребительная авиация, легкобомбардировочная авиация и армейская разведывательная авиация. </w:t>
      </w:r>
    </w:p>
    <w:p w14:paraId="089589C9"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6. Многоместные истребительные эскадрильи распределить по аэродромам с тяжелыми бригадами. </w:t>
      </w:r>
    </w:p>
    <w:p w14:paraId="6BD39B2A"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По МВО: </w:t>
      </w:r>
    </w:p>
    <w:p w14:paraId="2FF48E79"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1. В первую очередь двухместные истребительные эскадрильи придать тяжелым бригадам (Монино, Воронеж) и в прочих пунктах стоянок тяжелых эскадрилий. </w:t>
      </w:r>
    </w:p>
    <w:p w14:paraId="540A874E"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2. Против перевода корпусного авиационного отряда из Серпухова в ЛВО (Дет. Село) возражений нет. </w:t>
      </w:r>
    </w:p>
    <w:p w14:paraId="32F5A2E3"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3. Тульскую бригаду поставить во Ржев (БВО), т.к. в последнем проекте намеч. Самара. </w:t>
      </w:r>
    </w:p>
    <w:p w14:paraId="1476B95B"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4. Формирование Тамбовской бригады перенести в Тулу. </w:t>
      </w:r>
    </w:p>
    <w:p w14:paraId="29B19833"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По БВО: </w:t>
      </w:r>
    </w:p>
    <w:p w14:paraId="1D28A296" w14:textId="77777777" w:rsidR="00596600" w:rsidRPr="00507A31" w:rsidRDefault="00596600" w:rsidP="00507A31">
      <w:pPr>
        <w:jc w:val="both"/>
        <w:rPr>
          <w:color w:val="000000" w:themeColor="text1"/>
          <w:sz w:val="16"/>
          <w:szCs w:val="16"/>
        </w:rPr>
      </w:pPr>
      <w:r w:rsidRPr="00507A31">
        <w:rPr>
          <w:color w:val="000000" w:themeColor="text1"/>
          <w:sz w:val="16"/>
          <w:szCs w:val="16"/>
        </w:rPr>
        <w:t>1. Минск - Штаб РККА вводит как новый гарнизон. Иметь авиацию для кавалерии: 1э. 2-хместных истребителей и 1 кав. о. разв. продумать. НВВС пока возражает.</w:t>
      </w:r>
    </w:p>
    <w:p w14:paraId="3AF227F7"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 2. Могилев - новый гарнизон. Поставить Ржевскую бригаду типа легких 482 бомбардировщиков. </w:t>
      </w:r>
    </w:p>
    <w:p w14:paraId="76F3EF8A"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3. Ржев - поставить тяжелую бригаду из Тулы, или проектировать в Самара. </w:t>
      </w:r>
    </w:p>
    <w:p w14:paraId="073985E9"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4. Бобруйск - продумать. Кавгруппу, или нельзя ли создать легкобомбард. группу? </w:t>
      </w:r>
    </w:p>
    <w:p w14:paraId="44D2EA06"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5. Из Смоленск - арт. отряд - во Ржев. Див[ивизионный] отряд - в Бобруйск. </w:t>
      </w:r>
    </w:p>
    <w:p w14:paraId="6A68D2BA"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По ЛВО: </w:t>
      </w:r>
    </w:p>
    <w:p w14:paraId="52690EA6"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1. Кречевицы - придать многоместные истребители. </w:t>
      </w:r>
    </w:p>
    <w:p w14:paraId="2363D16B"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2. Детское Село - 1 к.о. из Серпухов. </w:t>
      </w:r>
    </w:p>
    <w:p w14:paraId="4765CAEA"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3. Просмотреть расположение войсковой авиации и дислоцирование корпусов. </w:t>
      </w:r>
    </w:p>
    <w:p w14:paraId="27265311"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По УВО: </w:t>
      </w:r>
    </w:p>
    <w:p w14:paraId="044D87C6"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1. Корпусные отряды приблизить к корпусам. </w:t>
      </w:r>
    </w:p>
    <w:p w14:paraId="2D5E6D2E"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2. Бердичев - новый аэродром. Умань - новый аэродром. Необходимы - авиационные кавалерийские части (постоянный кав. отряд, двухместные истребители)? </w:t>
      </w:r>
    </w:p>
    <w:p w14:paraId="1A8F44AC"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По ПриВО: </w:t>
      </w:r>
    </w:p>
    <w:p w14:paraId="054A2E7D"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1. Самара - (бригады не формировать?). Иметь - 1 корп. а.о. и 2 арт. о. </w:t>
      </w:r>
    </w:p>
    <w:p w14:paraId="09E62723"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2. Свердловск - 1 корп. а.о. перевести по мере обеспечения расположения. В связи с этим заготовить соответствующее письмо Комвойск т. Базилевичу и К[омиссару] комкору т. Примакову. </w:t>
      </w:r>
    </w:p>
    <w:p w14:paraId="5D782641" w14:textId="77777777" w:rsidR="00596600" w:rsidRPr="00507A31" w:rsidRDefault="00596600" w:rsidP="00507A31">
      <w:pPr>
        <w:jc w:val="both"/>
        <w:rPr>
          <w:color w:val="000000" w:themeColor="text1"/>
          <w:sz w:val="16"/>
          <w:szCs w:val="16"/>
        </w:rPr>
      </w:pPr>
      <w:r w:rsidRPr="00507A31">
        <w:rPr>
          <w:color w:val="000000" w:themeColor="text1"/>
          <w:sz w:val="16"/>
          <w:szCs w:val="16"/>
        </w:rPr>
        <w:lastRenderedPageBreak/>
        <w:t xml:space="preserve">По СКВО: </w:t>
      </w:r>
    </w:p>
    <w:p w14:paraId="656082D2"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1. Батайск отпадает (по мере строительства). </w:t>
      </w:r>
    </w:p>
    <w:p w14:paraId="4287B21E"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2. Из Ростов - части последовательно перевести в Новочеркасск. </w:t>
      </w:r>
    </w:p>
    <w:p w14:paraId="6AC8FE17"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По ККА: </w:t>
      </w:r>
    </w:p>
    <w:p w14:paraId="3BC8A65A"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1. В Баку – иметь 1 м[орскую] эскадрилью и иметь кадры на 1 эскадрилью. </w:t>
      </w:r>
    </w:p>
    <w:p w14:paraId="1BA2970D"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2. Переформирование в бригаду оставить в силе. </w:t>
      </w:r>
    </w:p>
    <w:p w14:paraId="478984B8"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По ОКДВА: Чита - тяжелая эскадрилья вместо Спасска. </w:t>
      </w:r>
    </w:p>
    <w:p w14:paraId="01B56D20"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По Балт. морю: </w:t>
      </w:r>
    </w:p>
    <w:p w14:paraId="282815C8"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1. Ораниенбаум - 1 отряд и 1 эскадрилья. </w:t>
      </w:r>
    </w:p>
    <w:p w14:paraId="24D85321"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2. Гребной порт - 1 отряд и 1 эскадрилья. </w:t>
      </w:r>
    </w:p>
    <w:p w14:paraId="19F9EFAF"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3. Боровичи - формирование тяжелой бригады вместо Старой Руссы. </w:t>
      </w:r>
    </w:p>
    <w:p w14:paraId="246CC61F"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4. Петергоф - 1 истр. отряд из Евпатория. </w:t>
      </w:r>
    </w:p>
    <w:p w14:paraId="7BF959EA"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По Черному морю: </w:t>
      </w:r>
    </w:p>
    <w:p w14:paraId="27FB713A"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1. Из Евпатория - 1 и.о. передать в Петергоф, иметь один кадр. </w:t>
      </w:r>
    </w:p>
    <w:p w14:paraId="7433846D" w14:textId="77777777" w:rsidR="00596600" w:rsidRPr="00507A31" w:rsidRDefault="00596600" w:rsidP="00507A31">
      <w:pPr>
        <w:jc w:val="both"/>
        <w:rPr>
          <w:color w:val="000000" w:themeColor="text1"/>
          <w:sz w:val="16"/>
          <w:szCs w:val="16"/>
        </w:rPr>
      </w:pPr>
      <w:r w:rsidRPr="00507A31">
        <w:rPr>
          <w:color w:val="000000" w:themeColor="text1"/>
          <w:sz w:val="16"/>
          <w:szCs w:val="16"/>
        </w:rPr>
        <w:t>2. … тяж бригаду. (…)»</w:t>
      </w:r>
    </w:p>
    <w:p w14:paraId="776C38F0" w14:textId="77777777" w:rsidR="00596600" w:rsidRPr="00507A31" w:rsidRDefault="00596600" w:rsidP="00507A31">
      <w:pPr>
        <w:jc w:val="both"/>
        <w:rPr>
          <w:color w:val="000000" w:themeColor="text1"/>
          <w:sz w:val="16"/>
          <w:szCs w:val="16"/>
        </w:rPr>
      </w:pPr>
      <w:r w:rsidRPr="00507A31">
        <w:rPr>
          <w:color w:val="000000" w:themeColor="text1"/>
          <w:sz w:val="16"/>
          <w:szCs w:val="16"/>
        </w:rPr>
        <w:t>(РГВА. Ф. 29. Оп. 23. Д. 100. Л. 270 - 271 об.) (19566).</w:t>
      </w:r>
    </w:p>
    <w:p w14:paraId="0DD14C65" w14:textId="77777777" w:rsidR="00596600" w:rsidRPr="00507A31" w:rsidRDefault="00596600" w:rsidP="00507A31">
      <w:pPr>
        <w:jc w:val="both"/>
        <w:rPr>
          <w:color w:val="000000" w:themeColor="text1"/>
          <w:sz w:val="16"/>
          <w:szCs w:val="16"/>
        </w:rPr>
      </w:pPr>
    </w:p>
    <w:p w14:paraId="316C8640" w14:textId="77777777" w:rsidR="006C6E2D"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B670AA3" w14:textId="77777777" w:rsidR="006C6E2D" w:rsidRPr="00507A31" w:rsidRDefault="006C6E2D" w:rsidP="00507A31">
      <w:pPr>
        <w:autoSpaceDE w:val="0"/>
        <w:autoSpaceDN w:val="0"/>
        <w:adjustRightInd w:val="0"/>
        <w:jc w:val="both"/>
        <w:rPr>
          <w:iCs/>
          <w:color w:val="000000" w:themeColor="text1"/>
          <w:sz w:val="16"/>
          <w:szCs w:val="16"/>
        </w:rPr>
      </w:pPr>
    </w:p>
    <w:p w14:paraId="2B0FCA56" w14:textId="77777777" w:rsidR="006C6E2D" w:rsidRPr="00507A31" w:rsidRDefault="006C6E2D" w:rsidP="00507A31">
      <w:pPr>
        <w:jc w:val="both"/>
        <w:rPr>
          <w:color w:val="000000" w:themeColor="text1"/>
          <w:sz w:val="16"/>
          <w:szCs w:val="16"/>
        </w:rPr>
      </w:pPr>
      <w:r w:rsidRPr="00507A31">
        <w:rPr>
          <w:color w:val="000000" w:themeColor="text1"/>
          <w:sz w:val="16"/>
          <w:szCs w:val="16"/>
        </w:rPr>
        <w:t>14 декабря 1930 г. на пленуме Научно-техниче</w:t>
      </w:r>
      <w:r w:rsidRPr="00507A31">
        <w:rPr>
          <w:color w:val="000000" w:themeColor="text1"/>
          <w:sz w:val="16"/>
          <w:szCs w:val="16"/>
        </w:rPr>
        <w:softHyphen/>
        <w:t>ского комитета АУ отмеча</w:t>
      </w:r>
      <w:r w:rsidRPr="00507A31">
        <w:rPr>
          <w:color w:val="000000" w:themeColor="text1"/>
          <w:sz w:val="16"/>
          <w:szCs w:val="16"/>
        </w:rPr>
        <w:softHyphen/>
        <w:t>лось:</w:t>
      </w:r>
      <w:r w:rsidRPr="00507A31">
        <w:rPr>
          <w:rStyle w:val="46"/>
          <w:rFonts w:ascii="Times New Roman" w:eastAsia="Trebuchet MS" w:cs="Times New Roman"/>
          <w:color w:val="000000" w:themeColor="text1"/>
          <w:sz w:val="16"/>
          <w:szCs w:val="16"/>
        </w:rPr>
        <w:t xml:space="preserve"> «Пистолеты-пулеметы применяются в настоящее время главным образом в полиции </w:t>
      </w:r>
      <w:r w:rsidRPr="00507A31">
        <w:rPr>
          <w:rStyle w:val="4d"/>
          <w:rFonts w:ascii="Times New Roman" w:hAnsi="Times New Roman" w:cs="Times New Roman"/>
          <w:b w:val="0"/>
          <w:color w:val="000000" w:themeColor="text1"/>
          <w:sz w:val="16"/>
          <w:szCs w:val="16"/>
        </w:rPr>
        <w:t>и</w:t>
      </w:r>
      <w:r w:rsidRPr="00507A31">
        <w:rPr>
          <w:rStyle w:val="46"/>
          <w:rFonts w:ascii="Times New Roman" w:eastAsia="Trebuchet MS" w:cs="Times New Roman"/>
          <w:color w:val="000000" w:themeColor="text1"/>
          <w:sz w:val="16"/>
          <w:szCs w:val="16"/>
        </w:rPr>
        <w:t xml:space="preserve"> в войсках внутренней охраны. Для боевых целей немцами и американцами они не при</w:t>
      </w:r>
      <w:r w:rsidRPr="00507A31">
        <w:rPr>
          <w:rStyle w:val="46"/>
          <w:rFonts w:ascii="Times New Roman" w:eastAsia="Trebuchet MS" w:cs="Times New Roman"/>
          <w:color w:val="000000" w:themeColor="text1"/>
          <w:sz w:val="16"/>
          <w:szCs w:val="16"/>
        </w:rPr>
        <w:softHyphen/>
        <w:t>знаются достаточно совершенными».</w:t>
      </w:r>
      <w:r w:rsidRPr="00507A31">
        <w:rPr>
          <w:rStyle w:val="4c"/>
          <w:rFonts w:ascii="Times New Roman" w:hAnsi="Times New Roman" w:cs="Times New Roman"/>
          <w:i w:val="0"/>
          <w:color w:val="000000" w:themeColor="text1"/>
          <w:sz w:val="16"/>
          <w:szCs w:val="16"/>
        </w:rPr>
        <w:t xml:space="preserve"> Выска</w:t>
      </w:r>
      <w:r w:rsidRPr="00507A31">
        <w:rPr>
          <w:rStyle w:val="4c"/>
          <w:rFonts w:ascii="Times New Roman" w:hAnsi="Times New Roman" w:cs="Times New Roman"/>
          <w:i w:val="0"/>
          <w:color w:val="000000" w:themeColor="text1"/>
          <w:sz w:val="16"/>
          <w:szCs w:val="16"/>
        </w:rPr>
        <w:softHyphen/>
        <w:t>зывались мнения, что и в системе вооружения РККА</w:t>
      </w:r>
      <w:r w:rsidRPr="00507A31">
        <w:rPr>
          <w:rStyle w:val="46"/>
          <w:rFonts w:ascii="Times New Roman" w:eastAsia="Trebuchet MS" w:cs="Times New Roman"/>
          <w:color w:val="000000" w:themeColor="text1"/>
          <w:sz w:val="16"/>
          <w:szCs w:val="16"/>
        </w:rPr>
        <w:t xml:space="preserve"> «пистолет-пулемет появился не от тре</w:t>
      </w:r>
      <w:r w:rsidRPr="00507A31">
        <w:rPr>
          <w:rStyle w:val="46"/>
          <w:rFonts w:ascii="Times New Roman" w:eastAsia="Trebuchet MS" w:cs="Times New Roman"/>
          <w:color w:val="000000" w:themeColor="text1"/>
          <w:sz w:val="16"/>
          <w:szCs w:val="16"/>
        </w:rPr>
        <w:softHyphen/>
        <w:t>бований, а благодаря тому, что был изготовлен такой образец и его попытались применить к этой системе».</w:t>
      </w:r>
      <w:r w:rsidRPr="00507A31">
        <w:rPr>
          <w:rStyle w:val="4c"/>
          <w:rFonts w:ascii="Times New Roman" w:hAnsi="Times New Roman" w:cs="Times New Roman"/>
          <w:i w:val="0"/>
          <w:color w:val="000000" w:themeColor="text1"/>
          <w:sz w:val="16"/>
          <w:szCs w:val="16"/>
        </w:rPr>
        <w:t xml:space="preserve"> Однако эти мнения не прерва</w:t>
      </w:r>
      <w:r w:rsidRPr="00507A31">
        <w:rPr>
          <w:rStyle w:val="4c"/>
          <w:rFonts w:ascii="Times New Roman" w:hAnsi="Times New Roman" w:cs="Times New Roman"/>
          <w:i w:val="0"/>
          <w:color w:val="000000" w:themeColor="text1"/>
          <w:sz w:val="16"/>
          <w:szCs w:val="16"/>
        </w:rPr>
        <w:softHyphen/>
        <w:t>ли практических работ (15766).</w:t>
      </w:r>
    </w:p>
    <w:p w14:paraId="17D204C9" w14:textId="77777777" w:rsidR="006C6E2D" w:rsidRPr="00507A31" w:rsidRDefault="006C6E2D" w:rsidP="00507A31">
      <w:pPr>
        <w:jc w:val="both"/>
        <w:rPr>
          <w:color w:val="000000" w:themeColor="text1"/>
          <w:sz w:val="16"/>
          <w:szCs w:val="16"/>
        </w:rPr>
      </w:pPr>
      <w:r w:rsidRPr="00507A31">
        <w:rPr>
          <w:color w:val="000000" w:themeColor="text1"/>
          <w:sz w:val="16"/>
          <w:szCs w:val="16"/>
        </w:rPr>
        <w:t>В 1929 г. Василий Алексеевич Дегтярев (1880-1949) изготовил свой первый пистолет-пулемет. В это время Дегтярев руководил ра</w:t>
      </w:r>
      <w:r w:rsidRPr="00507A31">
        <w:rPr>
          <w:color w:val="000000" w:themeColor="text1"/>
          <w:sz w:val="16"/>
          <w:szCs w:val="16"/>
        </w:rPr>
        <w:softHyphen/>
        <w:t>ботами проектно-конструкторского бюро Ковровского завода №2 (с января 1934 г. - Го</w:t>
      </w:r>
      <w:r w:rsidRPr="00507A31">
        <w:rPr>
          <w:color w:val="000000" w:themeColor="text1"/>
          <w:sz w:val="16"/>
          <w:szCs w:val="16"/>
        </w:rPr>
        <w:softHyphen/>
        <w:t>сударственный союзный инструментальный завод №2 им. К.О. Киркижа). Уже был при</w:t>
      </w:r>
      <w:r w:rsidRPr="00507A31">
        <w:rPr>
          <w:color w:val="000000" w:themeColor="text1"/>
          <w:sz w:val="16"/>
          <w:szCs w:val="16"/>
        </w:rPr>
        <w:softHyphen/>
        <w:t>нят на вооружение ручной пулемет Дегтяре</w:t>
      </w:r>
      <w:r w:rsidRPr="00507A31">
        <w:rPr>
          <w:color w:val="000000" w:themeColor="text1"/>
          <w:sz w:val="16"/>
          <w:szCs w:val="16"/>
        </w:rPr>
        <w:softHyphen/>
        <w:t>ва ДП, шла разработка на его базе семейст</w:t>
      </w:r>
      <w:r w:rsidRPr="00507A31">
        <w:rPr>
          <w:color w:val="000000" w:themeColor="text1"/>
          <w:sz w:val="16"/>
          <w:szCs w:val="16"/>
        </w:rPr>
        <w:softHyphen/>
        <w:t>ва автоматического оружия, и Дегтярев - уче</w:t>
      </w:r>
      <w:r w:rsidRPr="00507A31">
        <w:rPr>
          <w:color w:val="000000" w:themeColor="text1"/>
          <w:sz w:val="16"/>
          <w:szCs w:val="16"/>
        </w:rPr>
        <w:softHyphen/>
        <w:t>ник В.Г. Федорова, обосновавшего саму идею унификации, попытался использовать от</w:t>
      </w:r>
      <w:r w:rsidRPr="00507A31">
        <w:rPr>
          <w:color w:val="000000" w:themeColor="text1"/>
          <w:sz w:val="16"/>
          <w:szCs w:val="16"/>
        </w:rPr>
        <w:softHyphen/>
        <w:t>дельные черты своего ДП с учетом, разуме</w:t>
      </w:r>
      <w:r w:rsidRPr="00507A31">
        <w:rPr>
          <w:color w:val="000000" w:themeColor="text1"/>
          <w:sz w:val="16"/>
          <w:szCs w:val="16"/>
        </w:rPr>
        <w:softHyphen/>
        <w:t>ется, принципиально иных параметров патро</w:t>
      </w:r>
      <w:r w:rsidRPr="00507A31">
        <w:rPr>
          <w:color w:val="000000" w:themeColor="text1"/>
          <w:sz w:val="16"/>
          <w:szCs w:val="16"/>
        </w:rPr>
        <w:softHyphen/>
        <w:t>на. Это проявилось в конструктивном офор</w:t>
      </w:r>
      <w:r w:rsidRPr="00507A31">
        <w:rPr>
          <w:color w:val="000000" w:themeColor="text1"/>
          <w:sz w:val="16"/>
          <w:szCs w:val="16"/>
        </w:rPr>
        <w:softHyphen/>
        <w:t>млении ствольной коробки и спусковой ско</w:t>
      </w:r>
      <w:r w:rsidRPr="00507A31">
        <w:rPr>
          <w:color w:val="000000" w:themeColor="text1"/>
          <w:sz w:val="16"/>
          <w:szCs w:val="16"/>
        </w:rPr>
        <w:softHyphen/>
      </w:r>
      <w:r w:rsidRPr="00507A31">
        <w:rPr>
          <w:rStyle w:val="0pt0"/>
          <w:rFonts w:eastAsia="Arial Narrow"/>
          <w:b w:val="0"/>
          <w:color w:val="000000" w:themeColor="text1"/>
          <w:spacing w:val="0"/>
          <w:sz w:val="16"/>
          <w:szCs w:val="16"/>
        </w:rPr>
        <w:t>бы,</w:t>
      </w:r>
      <w:r w:rsidRPr="00507A31">
        <w:rPr>
          <w:color w:val="000000" w:themeColor="text1"/>
          <w:sz w:val="16"/>
          <w:szCs w:val="16"/>
        </w:rPr>
        <w:t xml:space="preserve"> выборе дискового магазина (емкостью </w:t>
      </w:r>
      <w:r w:rsidRPr="00507A31">
        <w:rPr>
          <w:rStyle w:val="0pt0"/>
          <w:rFonts w:eastAsia="Arial Narrow"/>
          <w:b w:val="0"/>
          <w:color w:val="000000" w:themeColor="text1"/>
          <w:spacing w:val="0"/>
          <w:sz w:val="16"/>
          <w:szCs w:val="16"/>
        </w:rPr>
        <w:t>44</w:t>
      </w:r>
      <w:r w:rsidRPr="00507A31">
        <w:rPr>
          <w:color w:val="000000" w:themeColor="text1"/>
          <w:sz w:val="16"/>
          <w:szCs w:val="16"/>
        </w:rPr>
        <w:t xml:space="preserve"> патрона). Автоматика действовала за счет отдачи полусвободного затвора - как и в ДП, по бокам затвора находились разводимые в стороны личинки, но в пистолете-пулеме</w:t>
      </w:r>
      <w:r w:rsidRPr="00507A31">
        <w:rPr>
          <w:color w:val="000000" w:themeColor="text1"/>
          <w:sz w:val="16"/>
          <w:szCs w:val="16"/>
        </w:rPr>
        <w:softHyphen/>
        <w:t>те они служили для замедления отхода затво</w:t>
      </w:r>
      <w:r w:rsidRPr="00507A31">
        <w:rPr>
          <w:color w:val="000000" w:themeColor="text1"/>
          <w:sz w:val="16"/>
          <w:szCs w:val="16"/>
        </w:rPr>
        <w:softHyphen/>
        <w:t>ра назад под действием отдачи. Сходясь, ли</w:t>
      </w:r>
      <w:r w:rsidRPr="00507A31">
        <w:rPr>
          <w:color w:val="000000" w:themeColor="text1"/>
          <w:sz w:val="16"/>
          <w:szCs w:val="16"/>
        </w:rPr>
        <w:softHyphen/>
        <w:t>чинки отводили ударник назад, передавая ему часть энергии отдачи. Ствол снабжен оребре- нием и перфорированным кожухом. Имелся переводчик видов огня и отдельный неавтома</w:t>
      </w:r>
      <w:r w:rsidRPr="00507A31">
        <w:rPr>
          <w:color w:val="000000" w:themeColor="text1"/>
          <w:sz w:val="16"/>
          <w:szCs w:val="16"/>
        </w:rPr>
        <w:softHyphen/>
        <w:t>тический предохранитель. Оружие получалось сложным, и в дальнейшем работы шли уже с другой системой (15766).</w:t>
      </w:r>
    </w:p>
    <w:p w14:paraId="6F0E47B1" w14:textId="77777777" w:rsidR="006C6E2D" w:rsidRPr="00507A31" w:rsidRDefault="006C6E2D" w:rsidP="00507A31">
      <w:pPr>
        <w:jc w:val="both"/>
        <w:rPr>
          <w:color w:val="000000" w:themeColor="text1"/>
          <w:sz w:val="16"/>
          <w:szCs w:val="16"/>
        </w:rPr>
      </w:pPr>
    </w:p>
    <w:p w14:paraId="11E145BE" w14:textId="77777777" w:rsidR="00596600" w:rsidRPr="00507A31" w:rsidRDefault="00596600"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0A3D47FE" w14:textId="77777777" w:rsidR="00596600" w:rsidRPr="00507A31" w:rsidRDefault="00596600" w:rsidP="00507A31">
      <w:pPr>
        <w:autoSpaceDE w:val="0"/>
        <w:autoSpaceDN w:val="0"/>
        <w:adjustRightInd w:val="0"/>
        <w:jc w:val="both"/>
        <w:rPr>
          <w:iCs/>
          <w:color w:val="000000" w:themeColor="text1"/>
          <w:sz w:val="16"/>
          <w:szCs w:val="16"/>
        </w:rPr>
      </w:pPr>
    </w:p>
    <w:p w14:paraId="6BFF9710" w14:textId="77777777" w:rsidR="00596600" w:rsidRPr="00507A31" w:rsidRDefault="00596600" w:rsidP="00507A31">
      <w:pPr>
        <w:jc w:val="both"/>
        <w:rPr>
          <w:bCs/>
          <w:color w:val="000000" w:themeColor="text1"/>
          <w:sz w:val="16"/>
          <w:szCs w:val="16"/>
        </w:rPr>
      </w:pPr>
      <w:r w:rsidRPr="00507A31">
        <w:rPr>
          <w:color w:val="000000" w:themeColor="text1"/>
          <w:sz w:val="16"/>
          <w:szCs w:val="16"/>
        </w:rPr>
        <w:t>14 декабря 1930 г.</w:t>
      </w:r>
    </w:p>
    <w:p w14:paraId="47533F11" w14:textId="77777777" w:rsidR="00596600" w:rsidRPr="00507A31" w:rsidRDefault="00596600" w:rsidP="00507A31">
      <w:pPr>
        <w:jc w:val="both"/>
        <w:rPr>
          <w:bCs/>
          <w:color w:val="000000" w:themeColor="text1"/>
          <w:sz w:val="16"/>
          <w:szCs w:val="16"/>
        </w:rPr>
      </w:pPr>
      <w:r w:rsidRPr="00507A31">
        <w:rPr>
          <w:color w:val="000000" w:themeColor="text1"/>
          <w:sz w:val="16"/>
          <w:szCs w:val="16"/>
        </w:rPr>
        <w:t>«Протокол совещания при ВОКС по работе с иноспециалистами». 14 декабря 1930 г.</w:t>
      </w:r>
    </w:p>
    <w:p w14:paraId="5FA74B90"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300AABBB"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6AE54D"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Архив: </w:t>
      </w:r>
    </w:p>
    <w:p w14:paraId="33EB6F93" w14:textId="77777777" w:rsidR="00596600" w:rsidRPr="00507A31" w:rsidRDefault="00596600" w:rsidP="00507A31">
      <w:pPr>
        <w:jc w:val="both"/>
        <w:rPr>
          <w:color w:val="000000" w:themeColor="text1"/>
          <w:sz w:val="16"/>
          <w:szCs w:val="16"/>
        </w:rPr>
      </w:pPr>
      <w:r w:rsidRPr="00507A31">
        <w:rPr>
          <w:color w:val="000000" w:themeColor="text1"/>
          <w:sz w:val="16"/>
          <w:szCs w:val="16"/>
        </w:rPr>
        <w:t>ГА РФ. Ф. P-5283. On. 1. Д. 139. Л. 86</w:t>
      </w:r>
    </w:p>
    <w:p w14:paraId="6A242182"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от 14 декабря 1930 г.</w:t>
      </w:r>
    </w:p>
    <w:p w14:paraId="07266088"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Присутствовали: т.т. Кутузов (Интурист), Шатуновский (Культура и техника), Брук, Богомазов, Добин (ВОКС).</w:t>
      </w:r>
    </w:p>
    <w:p w14:paraId="6651EEE3"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Председатель: Брук</w:t>
      </w:r>
    </w:p>
    <w:p w14:paraId="70465E1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Секретарь: Богомазов</w:t>
      </w:r>
    </w:p>
    <w:p w14:paraId="56959511"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СЛУШАЛИ.</w:t>
      </w:r>
    </w:p>
    <w:p w14:paraId="438483D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План, разработанный ВОКС по культурному обслуживанию иностранных специалистов, постоянно работающих в советских учреждениях и организациях.</w:t>
      </w:r>
    </w:p>
    <w:p w14:paraId="4DC3BB8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т. КУТУЗОВ — план, в целом, составлен правильно. Следует более детально расшифровать тему лекции «Хозяйственное строительство СССР», желательно усилить кино-просмотры показом новых художественных фильм, проводить закупку целевых спектаклей. В части экскурсий следует снять посещение «Трехгорки» ввиду технической устарелости оборудования ф-ки, включить Болошевскую колонию для беспризорных, Электрозавод, «Богатырь» и Рабочий клуб. Необходимо организовать экскурсионные поездки в ближайшие совхозы (под Москвой). Следует включить в программу организацию художественных вечеров с концертными отделениями.</w:t>
      </w:r>
    </w:p>
    <w:p w14:paraId="68FF239B"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т. ШАТУНОВСКИЙ — Общество «Культура и техника» могло бы пополнить список докладчиков и лекторов некоторыми именами иностранных специалистов, выступления которых в данном случае имели бы тактическое значение.</w:t>
      </w:r>
    </w:p>
    <w:p w14:paraId="1F05D62A"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ПОСТАНОВИЛИ.</w:t>
      </w:r>
    </w:p>
    <w:p w14:paraId="3DF5CF77"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Предложенный ВОКСом план принять за основу, с добавлениями, сделанными на настоящем собрании т.т. Кутузовым и Шатуновским.</w:t>
      </w:r>
    </w:p>
    <w:p w14:paraId="1A24E9A4"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Для практического выполнения плана организовать Рабочее Бюро из представителей ВОКС, ИНО ВСНХ, Интуриста, УЗТП, Клуба им. Дзержинского. Считать Бюро находящимся по адресу ВОКС, в каковой адрес просит направлять все правительственные распоряжения по работе с иноспециалистами.</w:t>
      </w:r>
    </w:p>
    <w:p w14:paraId="1523F127"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Войти в НК РКИ с намеченным планом работы и предложением об организации Рабочего Бюро.</w:t>
      </w:r>
    </w:p>
    <w:p w14:paraId="1EE71DF7"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Считать целесообразным всю работу с иноспециалистами производить под «маркой» организации культурной связи с иностранцами, т. е. ВОКС.</w:t>
      </w:r>
    </w:p>
    <w:p w14:paraId="23755A6F"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 дополнение к плану — разработать ориентировочную смету потребных расходов (представляемую одновременно НК РКИ), которые должны быть выделены в порядке особого фонда.</w:t>
      </w:r>
    </w:p>
    <w:p w14:paraId="681B15A9"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Председатель (БРУК)</w:t>
      </w:r>
    </w:p>
    <w:p w14:paraId="721ADD37"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Секретарь (БОГОМАЗОВ)</w:t>
      </w:r>
    </w:p>
    <w:p w14:paraId="0BA58B9B"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P-5283. On. 1. Д. 139. Л. 86. Машинописная копия того времени. Протокол является приложением № 2 к «Информационной сводке № 3 о ходе ударной работы в ВОКС на 18.XII.30 г.» (Л. 84-85). Здесь же (приложение № 3, Л. 87) «Ориентировочная смета расходов по работе с иностранными специалистами» (18951).</w:t>
      </w:r>
    </w:p>
    <w:p w14:paraId="68E98043" w14:textId="77777777" w:rsidR="00596600" w:rsidRPr="00507A31" w:rsidRDefault="00596600" w:rsidP="00507A31">
      <w:pPr>
        <w:jc w:val="both"/>
        <w:rPr>
          <w:color w:val="000000" w:themeColor="text1"/>
          <w:sz w:val="16"/>
          <w:szCs w:val="16"/>
        </w:rPr>
      </w:pPr>
    </w:p>
    <w:p w14:paraId="60EA8B1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0E5E744" w14:textId="77777777" w:rsidR="00537E5F" w:rsidRPr="00507A31" w:rsidRDefault="00537E5F" w:rsidP="00507A31">
      <w:pPr>
        <w:autoSpaceDE w:val="0"/>
        <w:autoSpaceDN w:val="0"/>
        <w:adjustRightInd w:val="0"/>
        <w:jc w:val="both"/>
        <w:rPr>
          <w:iCs/>
          <w:color w:val="000000" w:themeColor="text1"/>
          <w:sz w:val="16"/>
          <w:szCs w:val="16"/>
        </w:rPr>
      </w:pPr>
    </w:p>
    <w:p w14:paraId="2EE5D83F" w14:textId="77777777" w:rsidR="007C50AE" w:rsidRPr="00507A31" w:rsidRDefault="007C50AE" w:rsidP="00507A31">
      <w:pPr>
        <w:jc w:val="both"/>
        <w:rPr>
          <w:color w:val="000000" w:themeColor="text1"/>
          <w:sz w:val="16"/>
          <w:szCs w:val="16"/>
          <w:u w:color="002060"/>
        </w:rPr>
      </w:pPr>
      <w:r w:rsidRPr="00507A31">
        <w:rPr>
          <w:color w:val="000000" w:themeColor="text1"/>
          <w:sz w:val="16"/>
          <w:szCs w:val="16"/>
          <w:u w:color="002060"/>
        </w:rPr>
        <w:t>15 декабря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20. 12. Заявка ВСНХ на военное снабжение (Розенгольц). — ОП. Решения ПБ от 10 декабря 1930 г. 4/10. О работе Сталинградского тракторного завода (Сталин). 6/12. Сообщение Павлуновского и Розенгольца (ПБ от 30 ноября 1930 г.) [о заявке ВСНХ на военное снабжение]. (Политбюро... Т. 2. С. 107) (12416).</w:t>
      </w:r>
    </w:p>
    <w:p w14:paraId="42A5B9BC" w14:textId="77777777" w:rsidR="007C50AE" w:rsidRPr="00507A31" w:rsidRDefault="007C50AE" w:rsidP="00507A31">
      <w:pPr>
        <w:jc w:val="both"/>
        <w:rPr>
          <w:color w:val="000000" w:themeColor="text1"/>
          <w:sz w:val="16"/>
          <w:szCs w:val="16"/>
          <w:u w:color="002060"/>
        </w:rPr>
      </w:pPr>
    </w:p>
    <w:p w14:paraId="6AD33AC2" w14:textId="77777777" w:rsidR="007C50AE" w:rsidRPr="00507A31" w:rsidRDefault="007C50AE" w:rsidP="00507A31">
      <w:pPr>
        <w:jc w:val="both"/>
        <w:rPr>
          <w:color w:val="000000" w:themeColor="text1"/>
          <w:sz w:val="16"/>
          <w:szCs w:val="16"/>
        </w:rPr>
      </w:pPr>
      <w:r w:rsidRPr="00507A31">
        <w:rPr>
          <w:rStyle w:val="a7"/>
          <w:b w:val="0"/>
          <w:color w:val="000000" w:themeColor="text1"/>
          <w:sz w:val="16"/>
          <w:szCs w:val="16"/>
        </w:rPr>
        <w:t xml:space="preserve">15 декабря 1930 </w:t>
      </w:r>
      <w:r w:rsidRPr="00507A31">
        <w:rPr>
          <w:color w:val="000000" w:themeColor="text1"/>
          <w:sz w:val="16"/>
          <w:szCs w:val="16"/>
        </w:rPr>
        <w:t>Политбюро ЦК ВКП (б), рассмотрев вопрос о ходе работ на Сталинградском тракторном заводе, предложило ВСНХ совместно с Секретариатом ЦК ВКП (б) разработать меры по усилению руководства заводом (12265).</w:t>
      </w:r>
    </w:p>
    <w:p w14:paraId="44822009" w14:textId="77777777" w:rsidR="007C50AE" w:rsidRPr="00507A31" w:rsidRDefault="007C50AE" w:rsidP="00507A31">
      <w:pPr>
        <w:jc w:val="both"/>
        <w:rPr>
          <w:color w:val="000000" w:themeColor="text1"/>
          <w:sz w:val="16"/>
          <w:szCs w:val="16"/>
        </w:rPr>
      </w:pPr>
      <w:r w:rsidRPr="00507A31">
        <w:rPr>
          <w:color w:val="000000" w:themeColor="text1"/>
          <w:sz w:val="16"/>
          <w:szCs w:val="16"/>
        </w:rPr>
        <w:t>ЦИК и СНК приняли постановление «О порядке найма и распределения рабочей силы и о борьбе с текучестью рабочей силы» (12265).</w:t>
      </w:r>
    </w:p>
    <w:p w14:paraId="4F13C0FA" w14:textId="77777777" w:rsidR="007C50AE" w:rsidRPr="00507A31" w:rsidRDefault="007C50AE" w:rsidP="00507A31">
      <w:pPr>
        <w:jc w:val="both"/>
        <w:rPr>
          <w:color w:val="000000" w:themeColor="text1"/>
          <w:sz w:val="16"/>
          <w:szCs w:val="16"/>
        </w:rPr>
      </w:pPr>
      <w:r w:rsidRPr="00507A31">
        <w:rPr>
          <w:color w:val="000000" w:themeColor="text1"/>
          <w:sz w:val="16"/>
          <w:szCs w:val="16"/>
        </w:rPr>
        <w:t> </w:t>
      </w:r>
    </w:p>
    <w:p w14:paraId="43DF0A24" w14:textId="77777777" w:rsidR="00ED4BB9" w:rsidRPr="00507A31" w:rsidRDefault="00ED4BB9" w:rsidP="00507A31">
      <w:pPr>
        <w:jc w:val="both"/>
        <w:rPr>
          <w:color w:val="000000" w:themeColor="text1"/>
          <w:sz w:val="16"/>
          <w:szCs w:val="16"/>
        </w:rPr>
      </w:pPr>
      <w:r w:rsidRPr="00507A31">
        <w:rPr>
          <w:bCs/>
          <w:color w:val="000000" w:themeColor="text1"/>
          <w:sz w:val="16"/>
          <w:szCs w:val="16"/>
        </w:rPr>
        <w:t>15 декабря</w:t>
      </w:r>
      <w:r w:rsidRPr="00507A31">
        <w:rPr>
          <w:color w:val="000000" w:themeColor="text1"/>
          <w:sz w:val="16"/>
          <w:szCs w:val="16"/>
        </w:rPr>
        <w:t xml:space="preserve"> в 1930 году принято Постановление ЦИК и СНК об ИТР с этого дня переводы и переходы специалистов могли производиться только по согласованию между ведомствами (14861).</w:t>
      </w:r>
    </w:p>
    <w:p w14:paraId="5E94E051" w14:textId="77777777" w:rsidR="00ED4BB9" w:rsidRPr="00507A31" w:rsidRDefault="00ED4BB9" w:rsidP="00507A31">
      <w:pPr>
        <w:jc w:val="both"/>
        <w:rPr>
          <w:color w:val="000000" w:themeColor="text1"/>
          <w:sz w:val="16"/>
          <w:szCs w:val="16"/>
        </w:rPr>
      </w:pPr>
    </w:p>
    <w:p w14:paraId="106E6A1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15 декабря 1930 г. был создан "Морской судостроительный завод" (6395).</w:t>
      </w:r>
    </w:p>
    <w:p w14:paraId="76E8554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A1BB691" w14:textId="77777777" w:rsidR="00ED4BB9" w:rsidRPr="00507A31" w:rsidRDefault="00ED4BB9" w:rsidP="00507A31">
      <w:pPr>
        <w:jc w:val="both"/>
        <w:rPr>
          <w:color w:val="000000" w:themeColor="text1"/>
          <w:sz w:val="16"/>
          <w:szCs w:val="16"/>
        </w:rPr>
      </w:pPr>
      <w:r w:rsidRPr="00507A31">
        <w:rPr>
          <w:bCs/>
          <w:color w:val="000000" w:themeColor="text1"/>
          <w:sz w:val="16"/>
          <w:szCs w:val="16"/>
        </w:rPr>
        <w:t>15 декабря</w:t>
      </w:r>
      <w:r w:rsidRPr="00507A31">
        <w:rPr>
          <w:color w:val="000000" w:themeColor="text1"/>
          <w:sz w:val="16"/>
          <w:szCs w:val="16"/>
        </w:rPr>
        <w:t xml:space="preserve"> в 1930 году создан “Морской судостроительный завод”, город Астрахань. Основной вид деятельности "Морского судостроительного завода", город Астрахань, - судостроение: танкеры нефтеналивные, плавучие буровые установки (14861).</w:t>
      </w:r>
    </w:p>
    <w:p w14:paraId="2437C09A" w14:textId="77777777" w:rsidR="00ED4BB9" w:rsidRPr="00507A31" w:rsidRDefault="00ED4BB9" w:rsidP="00507A31">
      <w:pPr>
        <w:jc w:val="both"/>
        <w:rPr>
          <w:color w:val="000000" w:themeColor="text1"/>
          <w:sz w:val="16"/>
          <w:szCs w:val="16"/>
        </w:rPr>
      </w:pPr>
    </w:p>
    <w:p w14:paraId="09E4AB5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lastRenderedPageBreak/>
        <w:t>Жизнь и внутренняя политика:</w:t>
      </w:r>
    </w:p>
    <w:p w14:paraId="248CEDF6" w14:textId="77777777" w:rsidR="00537E5F" w:rsidRPr="00507A31" w:rsidRDefault="00537E5F" w:rsidP="00507A31">
      <w:pPr>
        <w:autoSpaceDE w:val="0"/>
        <w:autoSpaceDN w:val="0"/>
        <w:adjustRightInd w:val="0"/>
        <w:jc w:val="both"/>
        <w:rPr>
          <w:iCs/>
          <w:color w:val="000000" w:themeColor="text1"/>
          <w:sz w:val="16"/>
          <w:szCs w:val="16"/>
        </w:rPr>
      </w:pPr>
    </w:p>
    <w:p w14:paraId="4D91BE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декабря 1930 были приняты постановления СНК О ликвидации наркоматов ВД союзных и автономных республик и О руководстве органами ОГПУ деятельностью милиции и угро. Подчинили единому руководству всю следственную и розыскную деятельность по политическим и уголовным делам (3398,439).</w:t>
      </w:r>
    </w:p>
    <w:p w14:paraId="6B3E51D5" w14:textId="77777777" w:rsidR="00537E5F" w:rsidRPr="00507A31" w:rsidRDefault="00537E5F" w:rsidP="00507A31">
      <w:pPr>
        <w:autoSpaceDE w:val="0"/>
        <w:autoSpaceDN w:val="0"/>
        <w:adjustRightInd w:val="0"/>
        <w:jc w:val="both"/>
        <w:rPr>
          <w:color w:val="000000" w:themeColor="text1"/>
          <w:sz w:val="16"/>
          <w:szCs w:val="16"/>
        </w:rPr>
      </w:pPr>
    </w:p>
    <w:p w14:paraId="50D64B9E" w14:textId="77777777" w:rsidR="00ED4BB9" w:rsidRPr="00507A31" w:rsidRDefault="00ED4BB9" w:rsidP="00507A31">
      <w:pPr>
        <w:jc w:val="both"/>
        <w:rPr>
          <w:color w:val="000000" w:themeColor="text1"/>
          <w:sz w:val="16"/>
          <w:szCs w:val="16"/>
        </w:rPr>
      </w:pPr>
      <w:r w:rsidRPr="00507A31">
        <w:rPr>
          <w:bCs/>
          <w:color w:val="000000" w:themeColor="text1"/>
          <w:sz w:val="16"/>
          <w:szCs w:val="16"/>
        </w:rPr>
        <w:t>15 декабря</w:t>
      </w:r>
      <w:r w:rsidRPr="00507A31">
        <w:rPr>
          <w:color w:val="000000" w:themeColor="text1"/>
          <w:sz w:val="16"/>
          <w:szCs w:val="16"/>
        </w:rPr>
        <w:t xml:space="preserve"> в 1930 году постановлениями ЦИК и СНК «О ликвидации наркоматов внутренних дел союзных и автономных республик» и «О руководстве органами ОГПУ деятельностью милиции и уголовного розыска» ликвидированы НКВД союзных республик, а вся следственная и розыскная деятельность по политическим и уголовным делам подчинялась единому руководству. В дальнейшем приказом начальника ОГПУ № 475/224 на правах Управления создана Главная инспекция по милиции и уголовному розыску (И. А. Воронцов), а 27.12.1932 г. постановлением ЦИК и СНК № 1918 на ее основе организовано Главное управление рабоче-крестьянской милиции (Г.Е.Прокофьев) (14861).</w:t>
      </w:r>
    </w:p>
    <w:p w14:paraId="481FD453" w14:textId="77777777" w:rsidR="00ED4BB9" w:rsidRPr="00507A31" w:rsidRDefault="00ED4BB9" w:rsidP="00507A31">
      <w:pPr>
        <w:jc w:val="both"/>
        <w:rPr>
          <w:color w:val="000000" w:themeColor="text1"/>
          <w:sz w:val="16"/>
          <w:szCs w:val="16"/>
        </w:rPr>
      </w:pPr>
    </w:p>
    <w:p w14:paraId="08214B86" w14:textId="77777777" w:rsidR="00596600" w:rsidRPr="00507A31" w:rsidRDefault="00596600" w:rsidP="00507A31">
      <w:pPr>
        <w:jc w:val="both"/>
        <w:rPr>
          <w:bCs/>
          <w:color w:val="000000" w:themeColor="text1"/>
          <w:sz w:val="16"/>
          <w:szCs w:val="16"/>
        </w:rPr>
      </w:pPr>
      <w:r w:rsidRPr="00507A31">
        <w:rPr>
          <w:color w:val="000000" w:themeColor="text1"/>
          <w:sz w:val="16"/>
          <w:szCs w:val="16"/>
        </w:rPr>
        <w:t>15 декабря 1930 г.</w:t>
      </w:r>
    </w:p>
    <w:p w14:paraId="005AFF38" w14:textId="77777777" w:rsidR="00596600" w:rsidRPr="00507A31" w:rsidRDefault="00596600" w:rsidP="00507A31">
      <w:pPr>
        <w:jc w:val="both"/>
        <w:rPr>
          <w:bCs/>
          <w:color w:val="000000" w:themeColor="text1"/>
          <w:sz w:val="16"/>
          <w:szCs w:val="16"/>
        </w:rPr>
      </w:pPr>
      <w:r w:rsidRPr="00507A31">
        <w:rPr>
          <w:color w:val="000000" w:themeColor="text1"/>
          <w:sz w:val="16"/>
          <w:szCs w:val="16"/>
        </w:rPr>
        <w:t>Информационная сводка об участии рабочих деревообрабатывающей промышленности Московской области в митингах, связанных с вынесением приговора по «делу “Промпартии”». 15 декабря 1930 г.</w:t>
      </w:r>
    </w:p>
    <w:p w14:paraId="3DFDA8E9"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4745DADF"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DEA7846"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Архив: </w:t>
      </w:r>
    </w:p>
    <w:p w14:paraId="0714F86A" w14:textId="77777777" w:rsidR="00596600" w:rsidRPr="00507A31" w:rsidRDefault="00596600" w:rsidP="00507A31">
      <w:pPr>
        <w:jc w:val="both"/>
        <w:rPr>
          <w:color w:val="000000" w:themeColor="text1"/>
          <w:sz w:val="16"/>
          <w:szCs w:val="16"/>
        </w:rPr>
      </w:pPr>
      <w:r w:rsidRPr="00507A31">
        <w:rPr>
          <w:color w:val="000000" w:themeColor="text1"/>
          <w:sz w:val="16"/>
          <w:szCs w:val="16"/>
        </w:rPr>
        <w:t>ГА РФ. Ф. P-5451. Oп. 14. Д. 223. Л. 41-44</w:t>
      </w:r>
    </w:p>
    <w:p w14:paraId="4A8AABF6"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15 декабря 1930 г.</w:t>
      </w:r>
    </w:p>
    <w:p w14:paraId="44F3D1B6" w14:textId="77777777" w:rsidR="00596600" w:rsidRPr="00507A31" w:rsidRDefault="00596600" w:rsidP="00507A31">
      <w:pPr>
        <w:pStyle w:val="rtecenter"/>
        <w:spacing w:before="0" w:after="0"/>
        <w:jc w:val="both"/>
        <w:rPr>
          <w:color w:val="000000" w:themeColor="text1"/>
          <w:sz w:val="16"/>
          <w:szCs w:val="16"/>
        </w:rPr>
      </w:pPr>
      <w:r w:rsidRPr="00507A31">
        <w:rPr>
          <w:color w:val="000000" w:themeColor="text1"/>
          <w:sz w:val="16"/>
          <w:szCs w:val="16"/>
        </w:rPr>
        <w:t>ИНФОРМАЦИОННАЯ СВОДКА</w:t>
      </w:r>
    </w:p>
    <w:p w14:paraId="58C108AF" w14:textId="77777777" w:rsidR="00596600" w:rsidRPr="00507A31" w:rsidRDefault="00596600" w:rsidP="00507A31">
      <w:pPr>
        <w:pStyle w:val="rtecenter"/>
        <w:spacing w:before="0" w:after="0"/>
        <w:jc w:val="both"/>
        <w:rPr>
          <w:color w:val="000000" w:themeColor="text1"/>
          <w:sz w:val="16"/>
          <w:szCs w:val="16"/>
        </w:rPr>
      </w:pPr>
      <w:r w:rsidRPr="00507A31">
        <w:rPr>
          <w:color w:val="000000" w:themeColor="text1"/>
          <w:sz w:val="16"/>
          <w:szCs w:val="16"/>
        </w:rPr>
        <w:t>О МИТИНГАХ И ДЕМОНСТРАЦИЯХ НА ПРЕДПРИЯТИЯХ</w:t>
      </w:r>
    </w:p>
    <w:p w14:paraId="00770C0D" w14:textId="77777777" w:rsidR="00596600" w:rsidRPr="00507A31" w:rsidRDefault="00596600" w:rsidP="00507A31">
      <w:pPr>
        <w:pStyle w:val="rtecenter"/>
        <w:spacing w:before="0" w:after="0"/>
        <w:jc w:val="both"/>
        <w:rPr>
          <w:color w:val="000000" w:themeColor="text1"/>
          <w:sz w:val="16"/>
          <w:szCs w:val="16"/>
        </w:rPr>
      </w:pPr>
      <w:r w:rsidRPr="00507A31">
        <w:rPr>
          <w:color w:val="000000" w:themeColor="text1"/>
          <w:sz w:val="16"/>
          <w:szCs w:val="16"/>
        </w:rPr>
        <w:t>МОСКОВСКОЙ ЛЕСДРЕВПРОМЫШЛЕННОСТИ</w:t>
      </w:r>
    </w:p>
    <w:p w14:paraId="72160677"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 связи с разоблачением ОГПУ контрреволюционной вредительской организации «Промпартия».</w:t>
      </w:r>
    </w:p>
    <w:p w14:paraId="520308D4"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1. МИТИНГИ И ДЕМОНСТРАЦИИ 25/XI</w:t>
      </w:r>
    </w:p>
    <w:p w14:paraId="59768D4C"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25-го ноября по 9-ти предприятиям и 4-м учреждениям н[ашего] союза в Москве состоялись митинги и демонстрации протеста против вредителей и интервентов.</w:t>
      </w:r>
    </w:p>
    <w:p w14:paraId="3417861C"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Раскрытая ОГПУ контрреволюционная деятельность «Промпартии» вызвала взрыв негодования Московского пролетариата, которое отразилось в митингах и демонстрациях 25/XI.</w:t>
      </w:r>
    </w:p>
    <w:p w14:paraId="0580B06D"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Явка на митинги и на демонстрацию была хорошая. По некоторым предприятиям явились все 100% работавших (ф-ка гнутой мебели, 6-я Пуговичная им. Балакирева, з-д им. Рыкова). На заводе № 28 ВСНХ, несмотря на то, что весь завод в этот день отдыхал, явилось свыше 50 % рабочих.</w:t>
      </w:r>
    </w:p>
    <w:p w14:paraId="34FCE751"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Не отставали от рабочих в этот день и специалисты, так в Союзлеспроме, где работает большинство специалистов, на демонстрацию и митинг явилось 75 %. По некоторым предприятиям вышли на демонстрацию все специалисты (Симоновский л[есо]/з[авод], ф-ка гнутой мебели, з-д им. Рыкова и др.).</w:t>
      </w:r>
    </w:p>
    <w:p w14:paraId="6542DE39"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РЕЗОЛЮЦИИ, ПРИНЯТЫЕ НА МИТИНГАХ 25/XI</w:t>
      </w:r>
    </w:p>
    <w:p w14:paraId="51541BB4"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Во всех принятых на митингах резолюциях требовали применения суровых мер наказания вредителям. В ответ на вредительство рабочие заявляют, что «они еще больше сплотятся вокруг ВКП(б) и мобилизуют себя на выполнение пятилетки в 4 года». На некоторых предприятиях приняты постановления о дополнительной подписке на заем пятилетка в 4 года, отчисляют 2 % от месячного заработка в фонд обороны страны, 10 человек законтрактировалось на предприятии (Красносельская ф-ка). 1 цех постановил отработать один день на оборону страны (з-д им. Рыкова). В ответ на вредительство рабочие постановили увеличить программу встречного промфинплана, повести решительную борьбу с прогульщиками, летунами и за качество продукции (6-я пуговичная ф-ка).</w:t>
      </w:r>
    </w:p>
    <w:p w14:paraId="22B7B0EB"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Принято решение ходатайствовать о награждении ОГПУ орденом Ленина, подписались на однодневный заработок на постройку дирижабля и вызвали на это всех специалистов, работающих в системе Мослеспрома (Мослеспром). Один из специалистов на митинге клеймил позором вредителей и требовал применения к ним суровых мер (Союзлеспром).</w:t>
      </w:r>
    </w:p>
    <w:p w14:paraId="7C0AE9C1" w14:textId="77777777" w:rsidR="00596600" w:rsidRPr="00507A31" w:rsidRDefault="00596600" w:rsidP="00507A31">
      <w:pPr>
        <w:numPr>
          <w:ilvl w:val="0"/>
          <w:numId w:val="141"/>
        </w:numPr>
        <w:ind w:left="0" w:firstLine="0"/>
        <w:jc w:val="both"/>
        <w:rPr>
          <w:color w:val="000000" w:themeColor="text1"/>
          <w:sz w:val="16"/>
          <w:szCs w:val="16"/>
        </w:rPr>
      </w:pPr>
      <w:r w:rsidRPr="00507A31">
        <w:rPr>
          <w:color w:val="000000" w:themeColor="text1"/>
          <w:sz w:val="16"/>
          <w:szCs w:val="16"/>
        </w:rPr>
        <w:t>МИТИНГИ В СВЯЗИ С ОПУБЛИКОВАНИЕМ ПРИГОВОРА ВЕРХОВНОГО СУДА И ПОСТАНОВЛЕНИЯ НИКа</w:t>
      </w:r>
      <w:r w:rsidRPr="00507A31">
        <w:rPr>
          <w:color w:val="000000" w:themeColor="text1"/>
          <w:sz w:val="16"/>
          <w:szCs w:val="16"/>
          <w:vertAlign w:val="superscript"/>
        </w:rPr>
        <w:t> </w:t>
      </w:r>
      <w:r w:rsidRPr="00507A31">
        <w:rPr>
          <w:color w:val="000000" w:themeColor="text1"/>
          <w:sz w:val="16"/>
          <w:szCs w:val="16"/>
        </w:rPr>
        <w:t>О ПРОМПАРТИИ</w:t>
      </w:r>
    </w:p>
    <w:p w14:paraId="49B68EC5"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Во время хода судебного процесса рабочие и работницы н[ашего] союза живо интересовались им. На некоторых предприятиях происходили в цехах совместная читка газет и беседы (6-я пуговичная ф-ка).</w:t>
      </w:r>
    </w:p>
    <w:p w14:paraId="7B8FE691"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8, 9 и 10-го декабря в связи с опубликованием приговора суда и постановления ЦИКа проведены митинги по 15 московским предприятиям н[ашего] союза, причем часть митингов 10-го декабря проведена работниками ЦК н[ашего] союза, который организовал 10/ХII однодневный поход по Московским предприятиям н[ашего] с[оюза] с целью широкого разъяснения рабочим постановления ЦИКа.</w:t>
      </w:r>
    </w:p>
    <w:p w14:paraId="5A8D420F" w14:textId="77777777" w:rsidR="00596600" w:rsidRPr="00507A31" w:rsidRDefault="00596600" w:rsidP="00507A31">
      <w:pPr>
        <w:numPr>
          <w:ilvl w:val="0"/>
          <w:numId w:val="142"/>
        </w:numPr>
        <w:ind w:left="0" w:firstLine="0"/>
        <w:jc w:val="both"/>
        <w:rPr>
          <w:color w:val="000000" w:themeColor="text1"/>
          <w:sz w:val="16"/>
          <w:szCs w:val="16"/>
        </w:rPr>
      </w:pPr>
      <w:r w:rsidRPr="00507A31">
        <w:rPr>
          <w:color w:val="000000" w:themeColor="text1"/>
          <w:sz w:val="16"/>
          <w:szCs w:val="16"/>
        </w:rPr>
        <w:t>Явка и активность</w:t>
      </w:r>
    </w:p>
    <w:p w14:paraId="782C1D2D"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На всех митингах присутствовали почти все рабочие из смен, свободных от работы. Рабочие проявили свою заинтересованность подачей записок, вопросами, репликами, выступало в прениях сравнительно немного. Например: из 280 присутствовавших выступало 8 человек, подано записок — 13, задано вопросов — 10 (Красносельская ф-ка), из 85 человек выступало 3 чел., задано 13 вопросов (1-я Меб[ельная] ф-ка Мослеспро- ма), выступало 7 чел. на 7-й гребенной ф-ке.</w:t>
      </w:r>
    </w:p>
    <w:p w14:paraId="4F683E7C" w14:textId="77777777" w:rsidR="00596600" w:rsidRPr="00507A31" w:rsidRDefault="00596600" w:rsidP="00507A31">
      <w:pPr>
        <w:numPr>
          <w:ilvl w:val="0"/>
          <w:numId w:val="143"/>
        </w:numPr>
        <w:ind w:left="0" w:firstLine="0"/>
        <w:jc w:val="both"/>
        <w:rPr>
          <w:color w:val="000000" w:themeColor="text1"/>
          <w:sz w:val="16"/>
          <w:szCs w:val="16"/>
        </w:rPr>
      </w:pPr>
      <w:r w:rsidRPr="00507A31">
        <w:rPr>
          <w:color w:val="000000" w:themeColor="text1"/>
          <w:sz w:val="16"/>
          <w:szCs w:val="16"/>
        </w:rPr>
        <w:t>Характер выступлений</w:t>
      </w:r>
    </w:p>
    <w:p w14:paraId="6D31EDB1"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После разъяснения докладчиков постановления ЦИКа большинство рабочих выступавших в прениях одобряли решения ЦИК СССР, мотивируя его тем, что «нужно сохранить живых свидетелей козней буржуазии против СССР», «нужно заставить вредителей исправить то, что ими повреждено», «мы сильны, мы не мстим», «поскольку осужденные в большинстве научные работники, нужно от них взять еще все то, что они могут дать для нас» (Островский ящичный з-д, 1-я меб[ельная] ф-ка Мослеспрома, Меб[ельно]-Отделочная ф-ка Мослеспрома); «главный виновник организации военного похода — французский империализм, а промпартия — агентура его». «Мы гарантированы от участия осужденных во вредительстве, так как они будут находиться в заключении» (1-я меб[ельная] ф-ка). «Французская буржуазия и военщина рады были бы, если бы мы уничтожили и физически единственных свидетелей их вероломной политики» (Меб[ельно]-Отделочная ф-ка Мослеспрома).</w:t>
      </w:r>
    </w:p>
    <w:p w14:paraId="2F78868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Наряду с такими выступлениями были выступления, выражавшие недовольство смягчением приговор^ суда, выставляя такие мотивы: «напрасно надеяться на перерождение Рамзиных и им подобных, как некоторые здесь говорят, следовало бы приговор суда привести в исполнение — все равно от них проку будет мало» (1-я меб[ельная] ф-ка). «Они вредили, наносили ущерб государству, ставили задачей свержение Соввласти, а их помиловали — пользы от них все равно не будет». «Зачем мы ходили с демонстрацией протеста, когда ЦИК их помиловал» (1-й Лесопильный завод).</w:t>
      </w:r>
    </w:p>
    <w:p w14:paraId="3DCEB4C0" w14:textId="77777777" w:rsidR="00596600" w:rsidRPr="00507A31" w:rsidRDefault="00596600" w:rsidP="00507A31">
      <w:pPr>
        <w:numPr>
          <w:ilvl w:val="0"/>
          <w:numId w:val="144"/>
        </w:numPr>
        <w:ind w:left="0" w:firstLine="0"/>
        <w:jc w:val="both"/>
        <w:rPr>
          <w:color w:val="000000" w:themeColor="text1"/>
          <w:sz w:val="16"/>
          <w:szCs w:val="16"/>
        </w:rPr>
      </w:pPr>
      <w:r w:rsidRPr="00507A31">
        <w:rPr>
          <w:color w:val="000000" w:themeColor="text1"/>
          <w:sz w:val="16"/>
          <w:szCs w:val="16"/>
        </w:rPr>
        <w:t>Резолюции</w:t>
      </w:r>
    </w:p>
    <w:p w14:paraId="3DF9084F"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Во всех резолюциях вынесено одобрение как решением суда, так и постановлением ЦИКа.</w:t>
      </w:r>
    </w:p>
    <w:p w14:paraId="15C0A162"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На некоторых предприятиях решили организовать дополнительную подписку на заем 5-летка в 4 года (7-я гребен[ная] ф-ка, 1 меб. ф-ка), законтрактировалось на работе 12 человек (7-я гребенная ф-ка), дают обещание напрячь максимум энергии и добиться перевыполнения промфинплана в ударном квартале (Островский ящичный з-д, Меб[ельно]-Отделочная ф-ка, 1-я меб[ельная] ф-ка), вся ф-ка в целом вызывает на соц. соревнование по перевыполнению промфинплана ударного квартала Красносельскую ф-ку и 2-й ДОЗ (Меб.-Отделочная ф-ка Мослеспрома). «Рабочий класс под руководством Компартии стойко будет крепить оборону страны и выполнит пятилетку в 4 года» (1-й Лесопильный завод)». «Усилить свое внимание и контроль нал работой производства» (1-я меб. ф-ка).</w:t>
      </w:r>
    </w:p>
    <w:p w14:paraId="19FBE88C"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При голосовании резолюций на всех 11 предприятиях голосовавших против не было, на одном предприятии было 6 чел. воздержавшихся от голосований (Красносельская ф-ка).</w:t>
      </w:r>
    </w:p>
    <w:p w14:paraId="70150252"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4. Наиболее характерные вопросы на митингах</w:t>
      </w:r>
    </w:p>
    <w:p w14:paraId="7106FE38"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Из вопросов, задававшихся на митингах, надо отметить следующие, наиболее характерные:</w:t>
      </w:r>
    </w:p>
    <w:p w14:paraId="3453A30E" w14:textId="77777777" w:rsidR="00596600" w:rsidRPr="00507A31" w:rsidRDefault="00596600" w:rsidP="00507A31">
      <w:pPr>
        <w:numPr>
          <w:ilvl w:val="0"/>
          <w:numId w:val="145"/>
        </w:numPr>
        <w:ind w:left="0" w:firstLine="0"/>
        <w:jc w:val="both"/>
        <w:rPr>
          <w:color w:val="000000" w:themeColor="text1"/>
          <w:sz w:val="16"/>
          <w:szCs w:val="16"/>
        </w:rPr>
      </w:pPr>
      <w:r w:rsidRPr="00507A31">
        <w:rPr>
          <w:color w:val="000000" w:themeColor="text1"/>
          <w:sz w:val="16"/>
          <w:szCs w:val="16"/>
        </w:rPr>
        <w:t>Признал ли ЦИК неправильным решение суда.</w:t>
      </w:r>
    </w:p>
    <w:p w14:paraId="07A31B8B" w14:textId="77777777" w:rsidR="00596600" w:rsidRPr="00507A31" w:rsidRDefault="00596600" w:rsidP="00507A31">
      <w:pPr>
        <w:numPr>
          <w:ilvl w:val="0"/>
          <w:numId w:val="145"/>
        </w:numPr>
        <w:ind w:left="0" w:firstLine="0"/>
        <w:jc w:val="both"/>
        <w:rPr>
          <w:color w:val="000000" w:themeColor="text1"/>
          <w:sz w:val="16"/>
          <w:szCs w:val="16"/>
        </w:rPr>
      </w:pPr>
      <w:r w:rsidRPr="00507A31">
        <w:rPr>
          <w:color w:val="000000" w:themeColor="text1"/>
          <w:sz w:val="16"/>
          <w:szCs w:val="16"/>
        </w:rPr>
        <w:t>Какое взаимоотношение между постановлением судебным и ЦИКа (Меб.-Отд. ф-ка Мослеспрома).</w:t>
      </w:r>
    </w:p>
    <w:p w14:paraId="1764539A" w14:textId="77777777" w:rsidR="00596600" w:rsidRPr="00507A31" w:rsidRDefault="00596600" w:rsidP="00507A31">
      <w:pPr>
        <w:numPr>
          <w:ilvl w:val="0"/>
          <w:numId w:val="145"/>
        </w:numPr>
        <w:ind w:left="0" w:firstLine="0"/>
        <w:jc w:val="both"/>
        <w:rPr>
          <w:color w:val="000000" w:themeColor="text1"/>
          <w:sz w:val="16"/>
          <w:szCs w:val="16"/>
        </w:rPr>
      </w:pPr>
      <w:r w:rsidRPr="00507A31">
        <w:rPr>
          <w:color w:val="000000" w:themeColor="text1"/>
          <w:sz w:val="16"/>
          <w:szCs w:val="16"/>
        </w:rPr>
        <w:t>Если бы митинги и собрания рабочих постановили расстрелять вредителей, то расстреляли бы их.</w:t>
      </w:r>
    </w:p>
    <w:p w14:paraId="7EE805F2" w14:textId="77777777" w:rsidR="00596600" w:rsidRPr="00507A31" w:rsidRDefault="00596600" w:rsidP="00507A31">
      <w:pPr>
        <w:numPr>
          <w:ilvl w:val="0"/>
          <w:numId w:val="145"/>
        </w:numPr>
        <w:ind w:left="0" w:firstLine="0"/>
        <w:jc w:val="both"/>
        <w:rPr>
          <w:color w:val="000000" w:themeColor="text1"/>
          <w:sz w:val="16"/>
          <w:szCs w:val="16"/>
        </w:rPr>
      </w:pPr>
      <w:r w:rsidRPr="00507A31">
        <w:rPr>
          <w:color w:val="000000" w:themeColor="text1"/>
          <w:sz w:val="16"/>
          <w:szCs w:val="16"/>
        </w:rPr>
        <w:t>Каково было мнение самого докладчика до приговора.</w:t>
      </w:r>
    </w:p>
    <w:p w14:paraId="26390E4D" w14:textId="77777777" w:rsidR="00596600" w:rsidRPr="00507A31" w:rsidRDefault="00596600" w:rsidP="00507A31">
      <w:pPr>
        <w:numPr>
          <w:ilvl w:val="0"/>
          <w:numId w:val="145"/>
        </w:numPr>
        <w:ind w:left="0" w:firstLine="0"/>
        <w:jc w:val="both"/>
        <w:rPr>
          <w:color w:val="000000" w:themeColor="text1"/>
          <w:sz w:val="16"/>
          <w:szCs w:val="16"/>
        </w:rPr>
      </w:pPr>
      <w:r w:rsidRPr="00507A31">
        <w:rPr>
          <w:color w:val="000000" w:themeColor="text1"/>
          <w:sz w:val="16"/>
          <w:szCs w:val="16"/>
        </w:rPr>
        <w:t>Считался ли ЦИК с мнением рабочих и иностранных делегаций, требовавших расстрела вредителей и как на постановление ЦИКа реагирует международный рабочий класс (Красносельская ф-ка).</w:t>
      </w:r>
    </w:p>
    <w:p w14:paraId="75E65D56" w14:textId="77777777" w:rsidR="00596600" w:rsidRPr="00507A31" w:rsidRDefault="00596600" w:rsidP="00507A31">
      <w:pPr>
        <w:numPr>
          <w:ilvl w:val="0"/>
          <w:numId w:val="145"/>
        </w:numPr>
        <w:ind w:left="0" w:firstLine="0"/>
        <w:jc w:val="both"/>
        <w:rPr>
          <w:color w:val="000000" w:themeColor="text1"/>
          <w:sz w:val="16"/>
          <w:szCs w:val="16"/>
        </w:rPr>
      </w:pPr>
      <w:r w:rsidRPr="00507A31">
        <w:rPr>
          <w:color w:val="000000" w:themeColor="text1"/>
          <w:sz w:val="16"/>
          <w:szCs w:val="16"/>
        </w:rPr>
        <w:t>Где будут сидеть осужденные, хорошо бы отправить их в Соловки.</w:t>
      </w:r>
    </w:p>
    <w:p w14:paraId="2197A361" w14:textId="77777777" w:rsidR="00596600" w:rsidRPr="00507A31" w:rsidRDefault="00596600" w:rsidP="00507A31">
      <w:pPr>
        <w:numPr>
          <w:ilvl w:val="0"/>
          <w:numId w:val="145"/>
        </w:numPr>
        <w:ind w:left="0" w:firstLine="0"/>
        <w:jc w:val="both"/>
        <w:rPr>
          <w:color w:val="000000" w:themeColor="text1"/>
          <w:sz w:val="16"/>
          <w:szCs w:val="16"/>
        </w:rPr>
      </w:pPr>
      <w:r w:rsidRPr="00507A31">
        <w:rPr>
          <w:color w:val="000000" w:themeColor="text1"/>
          <w:sz w:val="16"/>
          <w:szCs w:val="16"/>
        </w:rPr>
        <w:t>Будут ли они использованы как техническая сила (6-я пуговичная ф-ка).</w:t>
      </w:r>
    </w:p>
    <w:p w14:paraId="516392E2" w14:textId="77777777" w:rsidR="00596600" w:rsidRPr="00507A31" w:rsidRDefault="00596600" w:rsidP="00507A31">
      <w:pPr>
        <w:numPr>
          <w:ilvl w:val="0"/>
          <w:numId w:val="145"/>
        </w:numPr>
        <w:ind w:left="0" w:firstLine="0"/>
        <w:jc w:val="both"/>
        <w:rPr>
          <w:color w:val="000000" w:themeColor="text1"/>
          <w:sz w:val="16"/>
          <w:szCs w:val="16"/>
        </w:rPr>
      </w:pPr>
      <w:r w:rsidRPr="00507A31">
        <w:rPr>
          <w:color w:val="000000" w:themeColor="text1"/>
          <w:sz w:val="16"/>
          <w:szCs w:val="16"/>
        </w:rPr>
        <w:t>Почему на процессе не разоблачены открыто две буквы К. и Р. и почему к ним не приняли соответствующих мер взыскания.</w:t>
      </w:r>
    </w:p>
    <w:p w14:paraId="7406CF5A" w14:textId="77777777" w:rsidR="00596600" w:rsidRPr="00507A31" w:rsidRDefault="00596600" w:rsidP="00507A31">
      <w:pPr>
        <w:numPr>
          <w:ilvl w:val="0"/>
          <w:numId w:val="145"/>
        </w:numPr>
        <w:ind w:left="0" w:firstLine="0"/>
        <w:jc w:val="both"/>
        <w:rPr>
          <w:color w:val="000000" w:themeColor="text1"/>
          <w:sz w:val="16"/>
          <w:szCs w:val="16"/>
        </w:rPr>
      </w:pPr>
      <w:r w:rsidRPr="00507A31">
        <w:rPr>
          <w:color w:val="000000" w:themeColor="text1"/>
          <w:sz w:val="16"/>
          <w:szCs w:val="16"/>
        </w:rPr>
        <w:t>Вполне ли правительство гарантировано в искренности признания Рамзина, Ларичева, Федотова и др. и будет ли это гарантией, что больше не будет вредительства и что они, т. е. «помилованные», не будут в этом участвовать.</w:t>
      </w:r>
    </w:p>
    <w:p w14:paraId="444D9513" w14:textId="77777777" w:rsidR="00596600" w:rsidRPr="00507A31" w:rsidRDefault="00596600" w:rsidP="00507A31">
      <w:pPr>
        <w:numPr>
          <w:ilvl w:val="0"/>
          <w:numId w:val="145"/>
        </w:numPr>
        <w:ind w:left="0" w:firstLine="0"/>
        <w:jc w:val="both"/>
        <w:rPr>
          <w:color w:val="000000" w:themeColor="text1"/>
          <w:sz w:val="16"/>
          <w:szCs w:val="16"/>
        </w:rPr>
      </w:pPr>
      <w:r w:rsidRPr="00507A31">
        <w:rPr>
          <w:color w:val="000000" w:themeColor="text1"/>
          <w:sz w:val="16"/>
          <w:szCs w:val="16"/>
        </w:rPr>
        <w:lastRenderedPageBreak/>
        <w:t>Что предпринимается к тем вредителям, участникам в деятельности промпартии, которые на судебном процессе выступали в качестве свидетелей: Красовскому, Сироцынскому и соучастникам вредительства — ШЕЙНУ и ОСАДЧЕМУ.</w:t>
      </w:r>
    </w:p>
    <w:p w14:paraId="6F5CCA99" w14:textId="77777777" w:rsidR="00596600" w:rsidRPr="00507A31" w:rsidRDefault="00596600" w:rsidP="00507A31">
      <w:pPr>
        <w:numPr>
          <w:ilvl w:val="0"/>
          <w:numId w:val="146"/>
        </w:numPr>
        <w:ind w:left="0" w:firstLine="0"/>
        <w:jc w:val="both"/>
        <w:rPr>
          <w:color w:val="000000" w:themeColor="text1"/>
          <w:sz w:val="16"/>
          <w:szCs w:val="16"/>
        </w:rPr>
      </w:pPr>
      <w:r w:rsidRPr="00507A31">
        <w:rPr>
          <w:color w:val="000000" w:themeColor="text1"/>
          <w:sz w:val="16"/>
          <w:szCs w:val="16"/>
        </w:rPr>
        <w:t>Кого Промпартия намечала во главе «своего» предполагаемого Российского Правительства и брали ли руководители ЦК Промпартии себе министерские портфели.</w:t>
      </w:r>
    </w:p>
    <w:p w14:paraId="55D54179" w14:textId="77777777" w:rsidR="00596600" w:rsidRPr="00507A31" w:rsidRDefault="00596600" w:rsidP="00507A31">
      <w:pPr>
        <w:numPr>
          <w:ilvl w:val="0"/>
          <w:numId w:val="147"/>
        </w:numPr>
        <w:ind w:left="0" w:firstLine="0"/>
        <w:jc w:val="both"/>
        <w:rPr>
          <w:color w:val="000000" w:themeColor="text1"/>
          <w:sz w:val="16"/>
          <w:szCs w:val="16"/>
        </w:rPr>
      </w:pPr>
      <w:r w:rsidRPr="00507A31">
        <w:rPr>
          <w:color w:val="000000" w:themeColor="text1"/>
          <w:sz w:val="16"/>
          <w:szCs w:val="16"/>
        </w:rPr>
        <w:t>Где эти Рамзины, Ларичевы, Федотовы, Калиниковы будут заглаживать свою вину перед нашим государством.</w:t>
      </w:r>
    </w:p>
    <w:p w14:paraId="713D9C64" w14:textId="77777777" w:rsidR="00596600" w:rsidRPr="00507A31" w:rsidRDefault="00596600" w:rsidP="00507A31">
      <w:pPr>
        <w:numPr>
          <w:ilvl w:val="0"/>
          <w:numId w:val="148"/>
        </w:numPr>
        <w:ind w:left="0" w:firstLine="0"/>
        <w:jc w:val="both"/>
        <w:rPr>
          <w:color w:val="000000" w:themeColor="text1"/>
          <w:sz w:val="16"/>
          <w:szCs w:val="16"/>
        </w:rPr>
      </w:pPr>
      <w:r w:rsidRPr="00507A31">
        <w:rPr>
          <w:color w:val="000000" w:themeColor="text1"/>
          <w:sz w:val="16"/>
          <w:szCs w:val="16"/>
        </w:rPr>
        <w:t>Будут ли они освобождены или будут находиться в заключении и там своим трудом будут выполнять данные ими обещания в заявлениях «о помиловании».</w:t>
      </w:r>
    </w:p>
    <w:p w14:paraId="63A59592" w14:textId="77777777" w:rsidR="00596600" w:rsidRPr="00507A31" w:rsidRDefault="00596600" w:rsidP="00507A31">
      <w:pPr>
        <w:numPr>
          <w:ilvl w:val="0"/>
          <w:numId w:val="149"/>
        </w:numPr>
        <w:ind w:left="0" w:firstLine="0"/>
        <w:jc w:val="both"/>
        <w:rPr>
          <w:color w:val="000000" w:themeColor="text1"/>
          <w:sz w:val="16"/>
          <w:szCs w:val="16"/>
        </w:rPr>
      </w:pPr>
      <w:r w:rsidRPr="00507A31">
        <w:rPr>
          <w:color w:val="000000" w:themeColor="text1"/>
          <w:sz w:val="16"/>
          <w:szCs w:val="16"/>
        </w:rPr>
        <w:t>На какую сумму они наделали вредительства.</w:t>
      </w:r>
    </w:p>
    <w:p w14:paraId="6267FBF2" w14:textId="77777777" w:rsidR="00596600" w:rsidRPr="00507A31" w:rsidRDefault="00596600" w:rsidP="00507A31">
      <w:pPr>
        <w:numPr>
          <w:ilvl w:val="0"/>
          <w:numId w:val="150"/>
        </w:numPr>
        <w:ind w:left="0" w:firstLine="0"/>
        <w:jc w:val="both"/>
        <w:rPr>
          <w:color w:val="000000" w:themeColor="text1"/>
          <w:sz w:val="16"/>
          <w:szCs w:val="16"/>
        </w:rPr>
      </w:pPr>
      <w:r w:rsidRPr="00507A31">
        <w:rPr>
          <w:color w:val="000000" w:themeColor="text1"/>
          <w:sz w:val="16"/>
          <w:szCs w:val="16"/>
        </w:rPr>
        <w:t>Какая имеется научная работа Рамзина, сколько у него трудов, где он литературный труд использовал, издавали ли его за границей.</w:t>
      </w:r>
    </w:p>
    <w:p w14:paraId="4A39610F" w14:textId="77777777" w:rsidR="00596600" w:rsidRPr="00507A31" w:rsidRDefault="00596600" w:rsidP="00507A31">
      <w:pPr>
        <w:numPr>
          <w:ilvl w:val="0"/>
          <w:numId w:val="151"/>
        </w:numPr>
        <w:ind w:left="0" w:firstLine="0"/>
        <w:jc w:val="both"/>
        <w:rPr>
          <w:color w:val="000000" w:themeColor="text1"/>
          <w:sz w:val="16"/>
          <w:szCs w:val="16"/>
        </w:rPr>
      </w:pPr>
      <w:r w:rsidRPr="00507A31">
        <w:rPr>
          <w:color w:val="000000" w:themeColor="text1"/>
          <w:sz w:val="16"/>
          <w:szCs w:val="16"/>
        </w:rPr>
        <w:t>На какую сумму у них было своего имущества.</w:t>
      </w:r>
    </w:p>
    <w:p w14:paraId="164D56BE" w14:textId="77777777" w:rsidR="00596600" w:rsidRPr="00507A31" w:rsidRDefault="00596600" w:rsidP="00507A31">
      <w:pPr>
        <w:numPr>
          <w:ilvl w:val="0"/>
          <w:numId w:val="152"/>
        </w:numPr>
        <w:ind w:left="0" w:firstLine="0"/>
        <w:jc w:val="both"/>
        <w:rPr>
          <w:color w:val="000000" w:themeColor="text1"/>
          <w:sz w:val="16"/>
          <w:szCs w:val="16"/>
        </w:rPr>
      </w:pPr>
      <w:r w:rsidRPr="00507A31">
        <w:rPr>
          <w:color w:val="000000" w:themeColor="text1"/>
          <w:sz w:val="16"/>
          <w:szCs w:val="16"/>
        </w:rPr>
        <w:t>Что из себя представляла Трудовая крестьянская партия.</w:t>
      </w:r>
    </w:p>
    <w:p w14:paraId="300565C8" w14:textId="77777777" w:rsidR="00596600" w:rsidRPr="00507A31" w:rsidRDefault="00596600" w:rsidP="00507A31">
      <w:pPr>
        <w:numPr>
          <w:ilvl w:val="0"/>
          <w:numId w:val="153"/>
        </w:numPr>
        <w:ind w:left="0" w:firstLine="0"/>
        <w:jc w:val="both"/>
        <w:rPr>
          <w:color w:val="000000" w:themeColor="text1"/>
          <w:sz w:val="16"/>
          <w:szCs w:val="16"/>
        </w:rPr>
      </w:pPr>
      <w:r w:rsidRPr="00507A31">
        <w:rPr>
          <w:color w:val="000000" w:themeColor="text1"/>
          <w:sz w:val="16"/>
          <w:szCs w:val="16"/>
        </w:rPr>
        <w:t>Имелась ли какая связь этого вредительства с Шахтинским делом и почему на судебном процессе не упоминались вредители шахтинского дела.</w:t>
      </w:r>
    </w:p>
    <w:p w14:paraId="5A1E6A51" w14:textId="77777777" w:rsidR="00596600" w:rsidRPr="00507A31" w:rsidRDefault="00596600" w:rsidP="00507A31">
      <w:pPr>
        <w:numPr>
          <w:ilvl w:val="0"/>
          <w:numId w:val="154"/>
        </w:numPr>
        <w:ind w:left="0" w:firstLine="0"/>
        <w:jc w:val="both"/>
        <w:rPr>
          <w:color w:val="000000" w:themeColor="text1"/>
          <w:sz w:val="16"/>
          <w:szCs w:val="16"/>
        </w:rPr>
      </w:pPr>
      <w:r w:rsidRPr="00507A31">
        <w:rPr>
          <w:color w:val="000000" w:themeColor="text1"/>
          <w:sz w:val="16"/>
          <w:szCs w:val="16"/>
        </w:rPr>
        <w:t>Когда была вскрыта вредительская деятельность Промпартии и какими путями.</w:t>
      </w:r>
    </w:p>
    <w:p w14:paraId="5BE19C43" w14:textId="77777777" w:rsidR="00596600" w:rsidRPr="00507A31" w:rsidRDefault="00596600" w:rsidP="00507A31">
      <w:pPr>
        <w:numPr>
          <w:ilvl w:val="0"/>
          <w:numId w:val="155"/>
        </w:numPr>
        <w:ind w:left="0" w:firstLine="0"/>
        <w:jc w:val="both"/>
        <w:rPr>
          <w:color w:val="000000" w:themeColor="text1"/>
          <w:sz w:val="16"/>
          <w:szCs w:val="16"/>
        </w:rPr>
      </w:pPr>
      <w:r w:rsidRPr="00507A31">
        <w:rPr>
          <w:color w:val="000000" w:themeColor="text1"/>
          <w:sz w:val="16"/>
          <w:szCs w:val="16"/>
        </w:rPr>
        <w:t>Кто из них (вредителей) был арестован первым (1-я меб. ф-ка).</w:t>
      </w:r>
    </w:p>
    <w:p w14:paraId="79349353"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III. НАСТРОЕНИЕ РАБОЧИХ.</w:t>
      </w:r>
    </w:p>
    <w:p w14:paraId="7104C0F3"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После опубликованного постановления ЦИКа почти на всех 11-ти предприятиях н[ашего] союза чувствовалось среди рабочих общее недовольство смягчением приговора Суда, но это настроение после разъяснения на митингах у большинства рабочих изменилось, однако у меньшинства оно еще оставалось и после митингов. Это выразилось в следующем: 6 человек воздержалось от голосования резолюции на Красносельской ф-ке, там же — 2 человека, подписавшиеся дополнительно на заем в ответ на вредительство, после опубликования постановления ЦИКа, приходили в Завком и говорили: «вычеркни меня из списка, вредителей помиловали, зачем тогда мы ходили на демонстрации, проводили митинги и т. д.» (Красносельская ф-ка).</w:t>
      </w:r>
    </w:p>
    <w:p w14:paraId="5E6B1666"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Во время митингов раздавались реплики: «почему не расстреляли». Хотя никто не голосовал против резолюции, но было заметно, что часть рабочих была малоактивна в голосовании резолюции. Отдельные рабочие во время беседы с ними 10/XII высказывались против постановления ЦИКа, так как «не будут бояться продолжать свою работу не выявленные еще вредители и даже осужденные будут нам вредить».</w:t>
      </w:r>
    </w:p>
    <w:p w14:paraId="4D472517"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Старые рабочие, наоборот, считали, что своим постановлением ЦИК доказал, что «мы достаточно сильны, чтобы не бояться их». Рабочие выражали опасения, что осужденные недостаточно будут крепко сидеть (6-я пуговичная). После проведенной беседы в вечерней смене 2 рабочих говорили: «сдрейфили, побоялись расстрелять».</w:t>
      </w:r>
    </w:p>
    <w:p w14:paraId="3D66BB9F"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На собрании профактива после разъяснения сделанного Секретарем ячейки, настроение среди присутствующих изменилось к лучшему (7-я Гребенная ф-ка). На Мебельно-отделочной фабрике настроение рабочих значительно поднялось после выступления на митинге рабочего эмигранта, хорошо объяснившего аудитории постановление ЦИКа.</w:t>
      </w:r>
    </w:p>
    <w:p w14:paraId="29389B8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ИНФОРМАТОР ОРГ[АНИЗАЦИОННО-]ИНСТР[УКТОРСКОГО] СЕКТ[ОРА] ЦК ЛЕСДРЕВРАБОЧИХ (Леви)</w:t>
      </w:r>
    </w:p>
    <w:p w14:paraId="7BB4536D"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15/ХII-30 г.</w:t>
      </w:r>
    </w:p>
    <w:p w14:paraId="4FF16951"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223. Л. 41-44. Машинописная копия того времени. На Л. 41 вверху слева написано от руки «ВЦСПС. В информацию»; вверху справа также от руки номер и дата получения документа «17/ХII» (19045).</w:t>
      </w:r>
    </w:p>
    <w:p w14:paraId="7B6237D7" w14:textId="77777777" w:rsidR="00596600" w:rsidRPr="00507A31" w:rsidRDefault="00596600" w:rsidP="00507A31">
      <w:pPr>
        <w:jc w:val="both"/>
        <w:rPr>
          <w:color w:val="000000" w:themeColor="text1"/>
          <w:sz w:val="16"/>
          <w:szCs w:val="16"/>
        </w:rPr>
      </w:pPr>
    </w:p>
    <w:p w14:paraId="385D38C2" w14:textId="77777777" w:rsidR="006C0DAF" w:rsidRPr="00507A31" w:rsidRDefault="006C0DAF" w:rsidP="00507A31">
      <w:pPr>
        <w:jc w:val="both"/>
        <w:rPr>
          <w:color w:val="0070C0"/>
          <w:sz w:val="16"/>
          <w:szCs w:val="16"/>
        </w:rPr>
      </w:pPr>
      <w:r w:rsidRPr="00507A31">
        <w:rPr>
          <w:color w:val="0070C0"/>
          <w:sz w:val="16"/>
          <w:szCs w:val="16"/>
        </w:rPr>
        <w:t>15 декабря 1930 г. система льгот и гарантий ударникам была закреплена постановлением ЦИК и СНК (21332).</w:t>
      </w:r>
    </w:p>
    <w:p w14:paraId="6B5735ED" w14:textId="77777777" w:rsidR="006C0DAF" w:rsidRPr="00507A31" w:rsidRDefault="006C0DAF" w:rsidP="00507A31">
      <w:pPr>
        <w:jc w:val="both"/>
        <w:rPr>
          <w:color w:val="0070C0"/>
          <w:sz w:val="16"/>
          <w:szCs w:val="16"/>
        </w:rPr>
      </w:pPr>
    </w:p>
    <w:p w14:paraId="02053722" w14:textId="77777777" w:rsidR="00596600" w:rsidRPr="00507A31" w:rsidRDefault="00596600"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1D20C8EE" w14:textId="77777777" w:rsidR="00596600" w:rsidRPr="00507A31" w:rsidRDefault="00596600" w:rsidP="00507A31">
      <w:pPr>
        <w:autoSpaceDE w:val="0"/>
        <w:autoSpaceDN w:val="0"/>
        <w:adjustRightInd w:val="0"/>
        <w:jc w:val="both"/>
        <w:rPr>
          <w:iCs/>
          <w:color w:val="000000" w:themeColor="text1"/>
          <w:sz w:val="16"/>
          <w:szCs w:val="16"/>
        </w:rPr>
      </w:pPr>
    </w:p>
    <w:p w14:paraId="0DC90112" w14:textId="77777777" w:rsidR="00596600" w:rsidRPr="00507A31" w:rsidRDefault="00596600" w:rsidP="00507A31">
      <w:pPr>
        <w:jc w:val="both"/>
        <w:rPr>
          <w:bCs/>
          <w:color w:val="000000" w:themeColor="text1"/>
          <w:sz w:val="16"/>
          <w:szCs w:val="16"/>
        </w:rPr>
      </w:pPr>
      <w:r w:rsidRPr="00507A31">
        <w:rPr>
          <w:color w:val="000000" w:themeColor="text1"/>
          <w:sz w:val="16"/>
          <w:szCs w:val="16"/>
        </w:rPr>
        <w:t>15 декабря 1930 г.</w:t>
      </w:r>
    </w:p>
    <w:p w14:paraId="733AD944" w14:textId="77777777" w:rsidR="00596600" w:rsidRPr="00507A31" w:rsidRDefault="00596600" w:rsidP="00507A31">
      <w:pPr>
        <w:jc w:val="both"/>
        <w:rPr>
          <w:bCs/>
          <w:color w:val="000000" w:themeColor="text1"/>
          <w:sz w:val="16"/>
          <w:szCs w:val="16"/>
        </w:rPr>
      </w:pPr>
      <w:r w:rsidRPr="00507A31">
        <w:rPr>
          <w:color w:val="000000" w:themeColor="text1"/>
          <w:sz w:val="16"/>
          <w:szCs w:val="16"/>
        </w:rPr>
        <w:t>Рекомендации отдела печати НКИД СССР Д. Г. Штерну о подготовке брошюр о процессе «Промпартии» в Германии. 15 декабря 1930 г.</w:t>
      </w:r>
    </w:p>
    <w:p w14:paraId="33ADFBB7"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349E789E"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E8616C5"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Архив: </w:t>
      </w:r>
    </w:p>
    <w:p w14:paraId="39246772" w14:textId="77777777" w:rsidR="00596600" w:rsidRPr="00507A31" w:rsidRDefault="00596600" w:rsidP="00507A31">
      <w:pPr>
        <w:jc w:val="both"/>
        <w:rPr>
          <w:color w:val="000000" w:themeColor="text1"/>
          <w:sz w:val="16"/>
          <w:szCs w:val="16"/>
        </w:rPr>
      </w:pPr>
      <w:r w:rsidRPr="00507A31">
        <w:rPr>
          <w:color w:val="000000" w:themeColor="text1"/>
          <w:sz w:val="16"/>
          <w:szCs w:val="16"/>
        </w:rPr>
        <w:t>АВП РФ. Ф. 056. On. 15. П. 31. Д. 9. Л. 113</w:t>
      </w:r>
    </w:p>
    <w:p w14:paraId="44A15F20"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15 декабря 1930 г.</w:t>
      </w:r>
    </w:p>
    <w:p w14:paraId="7DCB18E0"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738649CD"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01CA2434"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 7372</w:t>
      </w:r>
    </w:p>
    <w:p w14:paraId="42DB9391"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15-го декабря 1930 г.</w:t>
      </w:r>
    </w:p>
    <w:p w14:paraId="7CB8EFC0"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ТОВ. ШТЕРНУ, БЕРЛИН</w:t>
      </w:r>
    </w:p>
    <w:p w14:paraId="5DD293E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1.  Относительно брошюры о процессе для правых кругов мы условились, что вы будете говорить с Хааком. Не откажите сообщить мнение Хаака.</w:t>
      </w:r>
    </w:p>
    <w:p w14:paraId="728202F9"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2.  Мы здесь говорили с Вейнбергом об издании его брошюры листов в 5-6. Он должен на месте составить план брошюры, найти небольшое частное издательство и затем представить Вам окончательный план вместе со сметой. Если бы Вейнберг хотел включить в брошюру свои общие соображения о нашей юстиции и т. д., то против этого возражать не приходится, при условии, что эти общие рассуждения займут мало места. Но не надо ему позволять превращать брошюру о процессе в брошюру о Советском Союзе вообще.</w:t>
      </w:r>
    </w:p>
    <w:p w14:paraId="00B911C8"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3.  Мысли о книге Киша, по нашему мнению, оставлять не стоит. Надо с Кишем переговорить и выяснить его взгляд. Ведь Киш найдет и другого издателя, кроме Мюнценберга. В частности, он, вероятно, еще связан со своим старым издателем.</w:t>
      </w:r>
    </w:p>
    <w:p w14:paraId="56EBDAE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4.  Статью для «Ост-Еуропа» пишет тов. Радек. Предлагать ее писать Луначарскому было нецелесообразно.</w:t>
      </w:r>
    </w:p>
    <w:p w14:paraId="313ABBEC"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5.  Т. к. мы здесь не получаем газет, представляемых Баумом, просьба за его корреспонденциями следить особенно внимательно.</w:t>
      </w:r>
    </w:p>
    <w:p w14:paraId="35481B69"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6.  Корреспондент «Фоссише [Цейтунг]» Штейн в отпуску в Берлине. При случае узнайте, каково его положение в издательстве.</w:t>
      </w:r>
    </w:p>
    <w:p w14:paraId="2A505A58"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7.  На полное собрание сочинений Бисмарка, вероятно, в нормальном порядке подпишется библиотека НКИД.</w:t>
      </w:r>
    </w:p>
    <w:p w14:paraId="67A6BB95"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Зав. Отд. Печати (Аренс)</w:t>
      </w:r>
    </w:p>
    <w:p w14:paraId="02772643"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Референт Миронов</w:t>
      </w:r>
    </w:p>
    <w:p w14:paraId="300397BB"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056. On. 15.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31.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9. </w:t>
      </w:r>
      <w:r w:rsidRPr="00507A31">
        <w:rPr>
          <w:rStyle w:val="af0"/>
          <w:i w:val="0"/>
          <w:color w:val="000000" w:themeColor="text1"/>
          <w:sz w:val="16"/>
          <w:szCs w:val="16"/>
        </w:rPr>
        <w:t>Л. 113. Машинописный подлинник, подпись Миронова — автограф. Гриф секретности и дата машинописью, исходящий номер от руки. Внизу листа слева делопроизводственная помета машинописью (столбцом) «3 экз. 1 — адресату 1 — тов. Штейну 1 — архив» (18879).</w:t>
      </w:r>
    </w:p>
    <w:p w14:paraId="14E0AE0A" w14:textId="77777777" w:rsidR="00596600" w:rsidRPr="00507A31" w:rsidRDefault="00596600" w:rsidP="00507A31">
      <w:pPr>
        <w:jc w:val="both"/>
        <w:rPr>
          <w:color w:val="000000" w:themeColor="text1"/>
          <w:sz w:val="16"/>
          <w:szCs w:val="16"/>
        </w:rPr>
      </w:pPr>
    </w:p>
    <w:p w14:paraId="0A817C9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4958739" w14:textId="77777777" w:rsidR="00537E5F" w:rsidRPr="00507A31" w:rsidRDefault="00537E5F" w:rsidP="00507A31">
      <w:pPr>
        <w:autoSpaceDE w:val="0"/>
        <w:autoSpaceDN w:val="0"/>
        <w:adjustRightInd w:val="0"/>
        <w:jc w:val="both"/>
        <w:rPr>
          <w:iCs/>
          <w:color w:val="000000" w:themeColor="text1"/>
          <w:sz w:val="16"/>
          <w:szCs w:val="16"/>
        </w:rPr>
      </w:pPr>
    </w:p>
    <w:p w14:paraId="17714B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декабря 1930 в Испании провалился военный путч против правительства (3907,163).</w:t>
      </w:r>
    </w:p>
    <w:p w14:paraId="70679DDD" w14:textId="77777777" w:rsidR="00537E5F" w:rsidRPr="00507A31" w:rsidRDefault="00537E5F" w:rsidP="00507A31">
      <w:pPr>
        <w:autoSpaceDE w:val="0"/>
        <w:autoSpaceDN w:val="0"/>
        <w:adjustRightInd w:val="0"/>
        <w:jc w:val="both"/>
        <w:rPr>
          <w:color w:val="000000" w:themeColor="text1"/>
          <w:sz w:val="16"/>
          <w:szCs w:val="16"/>
        </w:rPr>
      </w:pPr>
    </w:p>
    <w:p w14:paraId="52201E7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53EC7AD" w14:textId="77777777" w:rsidR="00537E5F" w:rsidRPr="00507A31" w:rsidRDefault="00537E5F" w:rsidP="00507A31">
      <w:pPr>
        <w:autoSpaceDE w:val="0"/>
        <w:autoSpaceDN w:val="0"/>
        <w:adjustRightInd w:val="0"/>
        <w:jc w:val="both"/>
        <w:rPr>
          <w:iCs/>
          <w:color w:val="000000" w:themeColor="text1"/>
          <w:sz w:val="16"/>
          <w:szCs w:val="16"/>
        </w:rPr>
      </w:pPr>
    </w:p>
    <w:p w14:paraId="447F14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декабря 1930 начались полеты на третьем И-5. Третий самолёт, ВТ-13, названный "Подарок XVI партсъезду", был укомплектован одним из опытных образцов мотора 2М-15, ещё не проходившего государственных испытаний. Вместо сложного капота, использованного на первом и втором экземплярах И-5, на "Подарке" монтировалось так называемое "кольцо Тауненда" - узкий кольцевой капот, прикрывающий головки цилиндров. Он сочетался с выпуклым лобовым капотом с жалюзи, регулирующими охлаждение. За кабиной пилота появился гаргрот, улучшающий обтекание и защищающий голову лётчика при капотировании самолёта. На этой машине тоже предполагалось вооружение из четырёх пулемётов, но верхняя пара была расставлена шире, а на стволы нижних надевались защитные трубы. Однако испытания начали совсем без вооружения; несмотря на это, третий образец получился самым тяжёлым. Третью машину требовали выставить на испытания в НИИ ВВС к 1 октября 1930 г. Реально опоздали на полтора месяца. Из-за постоянных неполадок с двигателем до нового года совершили всего один полёт. В феврале истребитель потерпел аварию (разрушился нагнетатель мотора) и был отправлен на ремонт (11997).</w:t>
      </w:r>
    </w:p>
    <w:p w14:paraId="5A2F7A99" w14:textId="77777777" w:rsidR="00537E5F" w:rsidRPr="00507A31" w:rsidRDefault="00537E5F" w:rsidP="00507A31">
      <w:pPr>
        <w:autoSpaceDE w:val="0"/>
        <w:autoSpaceDN w:val="0"/>
        <w:adjustRightInd w:val="0"/>
        <w:jc w:val="both"/>
        <w:rPr>
          <w:color w:val="000000" w:themeColor="text1"/>
          <w:sz w:val="16"/>
          <w:szCs w:val="16"/>
        </w:rPr>
      </w:pPr>
    </w:p>
    <w:p w14:paraId="6A7F32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декабря 1930 в ЦАГИ была направлена выписка из протокола N 27 РВС от 3 декабря 1930 о ходе выполнения опытного строительства по самолетам и моторам.</w:t>
      </w:r>
    </w:p>
    <w:p w14:paraId="2CC7CA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Создать в составе ЦАГИ специальный отдел по конструированию и постройке экспериментальных образцов ЛА на новых принципах (геликоптеры, параболы, амфибии, вертолеты, автожиры).</w:t>
      </w:r>
    </w:p>
    <w:p w14:paraId="07A9A3D4" w14:textId="77777777" w:rsidR="00537E5F" w:rsidRPr="00507A31" w:rsidRDefault="00537E5F" w:rsidP="00507A31">
      <w:pPr>
        <w:autoSpaceDE w:val="0"/>
        <w:autoSpaceDN w:val="0"/>
        <w:adjustRightInd w:val="0"/>
        <w:jc w:val="both"/>
        <w:rPr>
          <w:color w:val="000000" w:themeColor="text1"/>
          <w:sz w:val="16"/>
          <w:szCs w:val="16"/>
        </w:rPr>
      </w:pPr>
    </w:p>
    <w:p w14:paraId="11FEAF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16 декабря УД РВС писал записку Нач. ЦАГИ:</w:t>
      </w:r>
    </w:p>
    <w:p w14:paraId="728E07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обороте сего препровождаю выписку из протокола № 27 РВС СССР от 3 декабря 1930 о ходе выполнения опытного строительства по самолетам и моторам для исполнения.</w:t>
      </w:r>
    </w:p>
    <w:p w14:paraId="4DB7E1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декабря 1930 ВЫПИСКА</w:t>
      </w:r>
    </w:p>
    <w:p w14:paraId="225137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 протокола № 27 заседания РВС Союза ССР:</w:t>
      </w:r>
    </w:p>
    <w:p w14:paraId="20DB1A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Ход выполнения опытного строительства по самолетам и моторам. Докл. т. Баранова П.И.</w:t>
      </w:r>
    </w:p>
    <w:p w14:paraId="1089CD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Для обеспечения выполненйя программы опытного моторостроения, объединить в составе ВО ВАО Авиамоторный Отдел ЦАГИ и отдел опытного моторостроения завода № 24 ВАО - в единый Опытный Авиамоторный Институт. Для этого Института исполь</w:t>
      </w:r>
      <w:r w:rsidRPr="00507A31">
        <w:rPr>
          <w:color w:val="000000" w:themeColor="text1"/>
          <w:sz w:val="16"/>
          <w:szCs w:val="16"/>
        </w:rPr>
        <w:softHyphen/>
        <w:t>зовать- помещения, переданные НАМИ.</w:t>
      </w:r>
    </w:p>
    <w:p w14:paraId="118E5A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Начальнику ВАО, при составлении сметы на дооборудование и развитие Опытного Авиамоторного Института ВАО, учесть предусмотренные сметой ЦАГИ средства для пеоедаваемого авиа-моторного отдела. Начальнику ЦАГИ передать эти средства ВАО.</w:t>
      </w:r>
    </w:p>
    <w:p w14:paraId="1D3F3E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Оборудование опытного завояа и лабораторий Института первой очереди закончить, не позднее 1 февраля 1933.</w:t>
      </w:r>
    </w:p>
    <w:p w14:paraId="1E5052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Создать в составе ЦАГИ специальный отдел по конструированию и постройке экспериментальных образцов летательных аппаратов на новых .принципах /геликоптеры, параболы, амфибии, вертолеты, автожиры и т. п./. В исполнительной смете ЦАГИ предусмотреть необходимые средства (351).</w:t>
      </w:r>
    </w:p>
    <w:p w14:paraId="0A84CA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Доклад</w:t>
      </w:r>
    </w:p>
    <w:p w14:paraId="235976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 состоянии и необходимых мероприятиях по опытному самолето и мотостроению.</w:t>
      </w:r>
    </w:p>
    <w:p w14:paraId="3A2028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Принятые рашения Правительственных органов о мощном развити ГВФ ВАО и ЦАГИ в части опытного самолето и моторостроения совершенно не обеспечиваются.</w:t>
      </w:r>
    </w:p>
    <w:p w14:paraId="7EBCDE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 стороны ВАО план опытных работ на 1929-30 г. по всем объектам строительство оказался невыполненным и постройка опытных самолетов, а также выполнение отдельных объектов опытных работ относится на неприемлемо-поздние сроки.</w:t>
      </w:r>
    </w:p>
    <w:p w14:paraId="2EB3B7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 многомоторный самолет К-7, коммерческой грузоподъемностью 6-7 тон (на 64 пассажира) переносится постройкой на 1 января 1932 г. против договорного срока его выполнения по 1 мая 1931, стальные крылья и поплавки к самолетам К-4, К-5, К-6 совсем не выполнялись и т.п.</w:t>
      </w:r>
    </w:p>
    <w:p w14:paraId="3FA493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Принятый ВАО план опытных работ на 1931 г. (включая особый квартал) в количестве 6 опытных образцов по срокам выполнения размещен также без всякого учета темпов развития ГВФ, так как изготовление опытных образцов, получение которых необходимо в середине года, по срокам выполнения отнесено фактически на 1932 г. (среднее время изготовления отдного опытного самолета планировано на 13,7 месяцев.</w:t>
      </w:r>
    </w:p>
    <w:p w14:paraId="27B03F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Выполнение ЦАГИ самолета НАТ-14 коммерческой грузоподъемностью в 3 тонны (на 32 пассажира), также проводится крайне медленными темпами и предельные сроки его постройки к 1-му мая 1931, оговоренные особым соглашениям с ГИ ГВФ от 10 марта 1930 г., ЦАГИ пересмотрены и к исполнению не принимаются.</w:t>
      </w:r>
    </w:p>
    <w:p w14:paraId="2F7B5D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Другие, необходимые для ГА, объекты опытного строительства, преддоженные ЦАГИ к исполнению, последним не приняты.</w:t>
      </w:r>
    </w:p>
    <w:p w14:paraId="2ABED0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Невыполнение указанными организациями взятых на себя обязательств, а аткже отнесение со стороны ВАО сроков выполнения опытного строительства 1931 г. на 1932 г., ставят под прямую угрозу план общего развития гражданской авиации на 1932 г. в количестве 3000 предположенных к эксплоатации самолетов, так как необходимые опытные образцы большого хозяйственного значения (самолеты большой грузоподъемности, самолеты по борьбе с с/х и лесными вредителями, аэрофотосъемочные самолеты, гидросамолеты и др.) в сроки, обеспечивающие их серийное прливодство на этот год, при взятых темпах изготовления не будут.</w:t>
      </w:r>
    </w:p>
    <w:p w14:paraId="754C69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деле опытного строительства весьма слабым местом является опытное гидросамолетостроение. В то время, как сухопутное самолетостроение СССР получило свое достаточное развитие самостоятельное развитие- в области гидросамолетостроения к настоящему времени мы не имеем ни одной разработаннной конструкция для серийной постройки, а также каких либо достижений в опытном строительстве.</w:t>
      </w:r>
    </w:p>
    <w:p w14:paraId="0F89C4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Нобходимо принять решительные меры к ииспользованию всех внутренних возможностей к развитию этого направления, а также обеспечить это дело в целях получения гидросамолетов с большой грузоподъемкостью в кратчайшие сроки, иностранной технической помощью, которая наряду с этим окажется также необходимой по производству парных колес, тормозов и металлической ленты.</w:t>
      </w:r>
    </w:p>
    <w:p w14:paraId="334837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Необжодимо также констатировать крайне низкое состояние отечественного моторостроения, которое не в состоянии обеспечить возросшие нужды Гражданской авиации. К</w:t>
      </w:r>
      <w:r w:rsidRPr="00507A31">
        <w:rPr>
          <w:iCs/>
          <w:color w:val="000000" w:themeColor="text1"/>
          <w:sz w:val="16"/>
          <w:szCs w:val="16"/>
        </w:rPr>
        <w:t xml:space="preserve"> н</w:t>
      </w:r>
      <w:r w:rsidRPr="00507A31">
        <w:rPr>
          <w:color w:val="000000" w:themeColor="text1"/>
          <w:sz w:val="16"/>
          <w:szCs w:val="16"/>
        </w:rPr>
        <w:t>астоящему времени мы имеем в серийных типах и в типах, вводимых в серию, мощости до 500 л .с. на моторах водяного охлажденил и до 480 л.с. на моторах воздушного охлаждения. Однако, эти моторы не удовлетворяют новым требованиям Гряжданского флотапо своей незначительной надежности и отсутствия массового производства....(551).</w:t>
      </w:r>
    </w:p>
    <w:p w14:paraId="748C47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4B040C4" w14:textId="77777777" w:rsidR="007C50AE"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38B167CF" w14:textId="77777777" w:rsidR="007C50AE" w:rsidRPr="00507A31" w:rsidRDefault="007C50AE" w:rsidP="00507A31">
      <w:pPr>
        <w:autoSpaceDE w:val="0"/>
        <w:autoSpaceDN w:val="0"/>
        <w:adjustRightInd w:val="0"/>
        <w:jc w:val="both"/>
        <w:rPr>
          <w:iCs/>
          <w:color w:val="000000" w:themeColor="text1"/>
          <w:sz w:val="16"/>
          <w:szCs w:val="16"/>
        </w:rPr>
      </w:pPr>
    </w:p>
    <w:p w14:paraId="08E84A6B" w14:textId="77777777" w:rsidR="007C50AE" w:rsidRPr="00507A31" w:rsidRDefault="007C50AE" w:rsidP="00507A31">
      <w:pPr>
        <w:jc w:val="both"/>
        <w:rPr>
          <w:color w:val="000000" w:themeColor="text1"/>
          <w:sz w:val="16"/>
          <w:szCs w:val="16"/>
          <w:u w:color="002060"/>
        </w:rPr>
      </w:pPr>
      <w:r w:rsidRPr="00507A31">
        <w:rPr>
          <w:color w:val="000000" w:themeColor="text1"/>
          <w:sz w:val="16"/>
          <w:szCs w:val="16"/>
          <w:u w:color="002060"/>
        </w:rPr>
        <w:t>16 декабря</w:t>
      </w:r>
      <w:r w:rsidRPr="00507A31">
        <w:rPr>
          <w:color w:val="000000" w:themeColor="text1"/>
          <w:sz w:val="16"/>
          <w:szCs w:val="16"/>
        </w:rPr>
        <w:t xml:space="preserve"> 1930 г</w:t>
      </w:r>
      <w:r w:rsidRPr="00507A31">
        <w:rPr>
          <w:color w:val="000000" w:themeColor="text1"/>
          <w:sz w:val="16"/>
          <w:szCs w:val="16"/>
          <w:u w:color="002060"/>
        </w:rPr>
        <w:t>. Постановление РЗ СТО СССР о военно-тракторной повинности (РГАЭ. Ф. 3429. Оп. 16. Д. 1. Л. 3?1 об.) (12415).</w:t>
      </w:r>
    </w:p>
    <w:p w14:paraId="527B92A8" w14:textId="77777777" w:rsidR="007C50AE" w:rsidRPr="00507A31" w:rsidRDefault="007C50AE" w:rsidP="00507A31">
      <w:pPr>
        <w:jc w:val="both"/>
        <w:rPr>
          <w:color w:val="000000" w:themeColor="text1"/>
          <w:sz w:val="16"/>
          <w:szCs w:val="16"/>
          <w:u w:color="002060"/>
        </w:rPr>
      </w:pPr>
    </w:p>
    <w:p w14:paraId="69B6222D" w14:textId="77777777" w:rsidR="00596600" w:rsidRPr="00507A31" w:rsidRDefault="00596600"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0B4A0ED0" w14:textId="77777777" w:rsidR="00596600" w:rsidRPr="00507A31" w:rsidRDefault="00596600" w:rsidP="00507A31">
      <w:pPr>
        <w:autoSpaceDE w:val="0"/>
        <w:autoSpaceDN w:val="0"/>
        <w:adjustRightInd w:val="0"/>
        <w:jc w:val="both"/>
        <w:rPr>
          <w:iCs/>
          <w:color w:val="000000" w:themeColor="text1"/>
          <w:sz w:val="16"/>
          <w:szCs w:val="16"/>
        </w:rPr>
      </w:pPr>
    </w:p>
    <w:p w14:paraId="3326FBB5" w14:textId="77777777" w:rsidR="00596600" w:rsidRPr="00507A31" w:rsidRDefault="00596600" w:rsidP="00507A31">
      <w:pPr>
        <w:jc w:val="both"/>
        <w:rPr>
          <w:bCs/>
          <w:color w:val="000000" w:themeColor="text1"/>
          <w:sz w:val="16"/>
          <w:szCs w:val="16"/>
        </w:rPr>
      </w:pPr>
      <w:r w:rsidRPr="00507A31">
        <w:rPr>
          <w:color w:val="000000" w:themeColor="text1"/>
          <w:sz w:val="16"/>
          <w:szCs w:val="16"/>
        </w:rPr>
        <w:t>16 декабря 1930 г.</w:t>
      </w:r>
    </w:p>
    <w:p w14:paraId="799326CB" w14:textId="77777777" w:rsidR="00596600" w:rsidRPr="00507A31" w:rsidRDefault="00596600" w:rsidP="00507A31">
      <w:pPr>
        <w:jc w:val="both"/>
        <w:rPr>
          <w:bCs/>
          <w:color w:val="000000" w:themeColor="text1"/>
          <w:sz w:val="16"/>
          <w:szCs w:val="16"/>
        </w:rPr>
      </w:pPr>
      <w:r w:rsidRPr="00507A31">
        <w:rPr>
          <w:color w:val="000000" w:themeColor="text1"/>
          <w:sz w:val="16"/>
          <w:szCs w:val="16"/>
        </w:rPr>
        <w:t>Письмо Д. Г. Штерна Ж. Л. Аренсу о размещении информации о процессе «Промпартии» в германских изданиях. 16 декабря 1930 г.</w:t>
      </w:r>
    </w:p>
    <w:p w14:paraId="1D4423FF"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5A25B6FE"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EA0171"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Архив: </w:t>
      </w:r>
    </w:p>
    <w:p w14:paraId="73463DB7" w14:textId="77777777" w:rsidR="00596600" w:rsidRPr="00507A31" w:rsidRDefault="00596600" w:rsidP="00507A31">
      <w:pPr>
        <w:jc w:val="both"/>
        <w:rPr>
          <w:color w:val="000000" w:themeColor="text1"/>
          <w:sz w:val="16"/>
          <w:szCs w:val="16"/>
        </w:rPr>
      </w:pPr>
      <w:r w:rsidRPr="00507A31">
        <w:rPr>
          <w:color w:val="000000" w:themeColor="text1"/>
          <w:sz w:val="16"/>
          <w:szCs w:val="16"/>
        </w:rPr>
        <w:t>АВП РФ. Ф. 056. On. 15. П. 31. Д. 9. Л. 117-118</w:t>
      </w:r>
    </w:p>
    <w:p w14:paraId="68BA8472"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16 декабря 1930 г.</w:t>
      </w:r>
    </w:p>
    <w:p w14:paraId="56780A11"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5627034B"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31B63B46"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тов. Аренсу</w:t>
      </w:r>
    </w:p>
    <w:p w14:paraId="370CBCE7"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Копии: т.т. Крестинскому, Штейну</w:t>
      </w:r>
    </w:p>
    <w:p w14:paraId="7EB7C6E7"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6B5675B7"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1.  Бывший у меня сегодня Вейнберг разсказывал мне, что договорился с т. Мироновым о составлении брошюры, посвященной процессу. Он приступает немедленно к работе и надеется в течение ближайших недель брошюру выпустить. Одновременно он отметил, что ему было сказано т. Мироновым не считаться с материальной стороной дела. В случае дефицита, таковой должен быть покрыт мною. Меня очень поразило, что мне ничего не было известно по поводу составления брошюры Вейнбергом и в частности ее финансирования. Я воздержался от дальнейшего разговора на эту тему, впредь до получения соответствующих указаний от вас.</w:t>
      </w:r>
    </w:p>
    <w:p w14:paraId="6EEED999"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2.  Мне необходимо знать Ваше мнение, целесообразно ли пропускать в прессу статьи за подписями наших авторов, либо анонимные, снабженные отметкой редакции, что они исходят от советского источника. Если бы Вы сочли этот вариант возможным, то перспективы продвижения материалов по процессу улучшились бы.</w:t>
      </w:r>
    </w:p>
    <w:p w14:paraId="5C1EC6FB"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3.   В дневнике я уже записал разговор с Кирхером по поводу интервью для «Франкфуртер Цейтунг». По моему мнению, если не было каких[-]ли6о принципиальных возражений, то предоставление Кирхеру интервью о нашей социальной политике, с нашей точки зрения несомненно следовало бы приветствовать. Считаю необходимым еще раз пояснить, что в таких случаях, для редакции и для читателя, сам материал по себе не столько важен, сколько форма, в которой он подается. Поэтому использовать сырой материал по этому вопросу, без придания ему формы интервью, почти немыслимо. В данном случае, как я уже писал, материал должен был бы быть предоставлен «Франкф. Цейтунг» к 19 декабря.</w:t>
      </w:r>
    </w:p>
    <w:p w14:paraId="23C46387"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4.   Интервью, данное т. Хинчуком В. Штейну, по моему настоянию было помещено не в рождественском номере «Фоссише Цейтунг», но в вечернем выпуске от 15-го декабря. Журналисты, с которыми я разговаривал по этому поводу, считают, что интервью было своевременным и произвело очень хорошее впечатление.</w:t>
      </w:r>
    </w:p>
    <w:p w14:paraId="402AEB70"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5.   Фото-снимки в связи с процессом использовать оказалось немыслимым, потому что все они уже имелись у иллюстрированных изданий, получивших их от Унионфото. «Мюнхенер Иллюстрирте» напечатало ряд снимков, снабдив их враждебной статейкой. Несомненно, если бы были приняты пропускаемые мною снимки, удалось бы пропустить и положительную статью. Я учитываю трудность получения от Вас фото-материалов, не исходящих от Унионфото, однако в противном случае почти немыслимо продвигать в прессу, особенно в случаях актуальных[,] фотоматериалы, снабженные положительными статьями.</w:t>
      </w:r>
    </w:p>
    <w:p w14:paraId="499706C5"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6.   Осецкий явно избегает встреч со мною, причем через одного журналиста дал мне понять, что в ближайшее время не хотел бы со мной встречаться, т. к. о нем циркулируют слухи, что он является рупором полпредства, финансирующего якобы [«]Вельтбюне[»]. Он не хочет больше давать поводов сплетням. Я, между прочим, предложил Вейнбергу попытаться продвинуть статью в [«]Вельтбюне[»].</w:t>
      </w:r>
    </w:p>
    <w:p w14:paraId="41EBA0AA"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С тов. приветом</w:t>
      </w:r>
    </w:p>
    <w:p w14:paraId="077F5F38"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Д. Штерн</w:t>
      </w:r>
    </w:p>
    <w:p w14:paraId="3C74A96E"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31. Д. 9. Л. 117-118. Машинописный подлинник на бланке Полпредства СССР в Германии (Л. 117), подпись Штерна — автограф. Гриф секретности и дата машинописью, исходящий номер «№ 1541» от руки в графе бланка. На Л. 117 вверху написаны от руки входящий номер и дата получения документа «20/ХII-30 г.», помета «архив», подпись-росчерк Миронова (18880).</w:t>
      </w:r>
    </w:p>
    <w:p w14:paraId="6294C2BE" w14:textId="77777777" w:rsidR="00596600" w:rsidRPr="00507A31" w:rsidRDefault="00596600" w:rsidP="00507A31">
      <w:pPr>
        <w:jc w:val="both"/>
        <w:rPr>
          <w:color w:val="000000" w:themeColor="text1"/>
          <w:sz w:val="16"/>
          <w:szCs w:val="16"/>
        </w:rPr>
      </w:pPr>
    </w:p>
    <w:p w14:paraId="7FFFCE6F" w14:textId="77777777" w:rsidR="00596600" w:rsidRPr="00507A31" w:rsidRDefault="00596600" w:rsidP="00507A31">
      <w:pPr>
        <w:jc w:val="both"/>
        <w:rPr>
          <w:bCs/>
          <w:color w:val="000000" w:themeColor="text1"/>
          <w:sz w:val="16"/>
          <w:szCs w:val="16"/>
        </w:rPr>
      </w:pPr>
      <w:r w:rsidRPr="00507A31">
        <w:rPr>
          <w:color w:val="000000" w:themeColor="text1"/>
          <w:sz w:val="16"/>
          <w:szCs w:val="16"/>
        </w:rPr>
        <w:t>16 декабря 1930 г.</w:t>
      </w:r>
    </w:p>
    <w:p w14:paraId="139F693F" w14:textId="77777777" w:rsidR="00596600" w:rsidRPr="00507A31" w:rsidRDefault="00596600" w:rsidP="00507A31">
      <w:pPr>
        <w:jc w:val="both"/>
        <w:rPr>
          <w:bCs/>
          <w:color w:val="000000" w:themeColor="text1"/>
          <w:sz w:val="16"/>
          <w:szCs w:val="16"/>
        </w:rPr>
      </w:pPr>
      <w:r w:rsidRPr="00507A31">
        <w:rPr>
          <w:color w:val="000000" w:themeColor="text1"/>
          <w:sz w:val="16"/>
          <w:szCs w:val="16"/>
        </w:rPr>
        <w:t>Письмо Б. Д. Виноградова Ж. Л. Аренсу о возможностях публикации материалов о процессе «Промпартии» в Германии. 16 декабря 1930 г.</w:t>
      </w:r>
    </w:p>
    <w:p w14:paraId="65953F2C"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29A5580C"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2F8EC3"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Архив: </w:t>
      </w:r>
    </w:p>
    <w:p w14:paraId="0684B6D8" w14:textId="77777777" w:rsidR="00596600" w:rsidRPr="00507A31" w:rsidRDefault="00596600" w:rsidP="00507A31">
      <w:pPr>
        <w:jc w:val="both"/>
        <w:rPr>
          <w:color w:val="000000" w:themeColor="text1"/>
          <w:sz w:val="16"/>
          <w:szCs w:val="16"/>
        </w:rPr>
      </w:pPr>
      <w:r w:rsidRPr="00507A31">
        <w:rPr>
          <w:color w:val="000000" w:themeColor="text1"/>
          <w:sz w:val="16"/>
          <w:szCs w:val="16"/>
        </w:rPr>
        <w:t>АВП РФ. Ф. 056. On. 15. П. 31. Д. 9. Л. 115-116</w:t>
      </w:r>
    </w:p>
    <w:p w14:paraId="2C673471"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16 декабря 1930 г.</w:t>
      </w:r>
    </w:p>
    <w:p w14:paraId="0E53A0D4"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394DAD52"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73FF077D"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тов. АРЕНСУ</w:t>
      </w:r>
    </w:p>
    <w:p w14:paraId="19CF4B69"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копии: т. Крестинскому, 2-й Зап[адный] Отд[ел], БОКС</w:t>
      </w:r>
    </w:p>
    <w:p w14:paraId="408CBE81"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72754004"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 [«]Ост Еуропой[»], как это Вы уже знаете из телеграммы, дело устроилось таким образом, что они согласны взять статью о процессе, написанную т. Луначарским. Эта статья будет излагать нашу точку зрения на процесс и не исключено, понятно, что [«]Ост Еуропа[»] в том же или другом номере журнала изложит свою точку зрения. Однако опасаться здесь каких[-]либо особых неприятностей не приходится, ввиду в общем лойяльных отношений между нами и [«]Ост Еуропой[»]. После [«]Ост Еуропы[»] я попытался провести нашу статью о процессе также и в «Европеише Гешпрехе» Мендельсона-Бартольди. Кстати, находившийся в Берлине т. Б. Е. Штейн сообщил мне, что Мендельсон-Бартольди его знает, интересуется его трудами и т. п. Так как т. Штейн фигурировал в том списке авторов статьи о процессе, который мы предварительно обсуждали с [«]Ост Еуропой[»], то решено было предложить Мендельсону-Бартольди в качестве автора именно т. Штейна. Мендельсон-Бартольди охотно согласился на помещение нашей статьи и на указанного автора. К сожалению, статья не может пойти в ближайшей книжке журнала, потому что он уже заканчивается печатанием. Для того чтобы она могла появиться в следующем номере, нужно прислать ее в Берлин не позже 5-го января. Размер </w:t>
      </w:r>
      <w:r w:rsidRPr="00507A31">
        <w:rPr>
          <w:color w:val="000000" w:themeColor="text1"/>
          <w:sz w:val="16"/>
          <w:szCs w:val="16"/>
          <w:vertAlign w:val="superscript"/>
        </w:rPr>
        <w:t>3</w:t>
      </w:r>
      <w:r w:rsidRPr="00507A31">
        <w:rPr>
          <w:color w:val="000000" w:themeColor="text1"/>
          <w:sz w:val="16"/>
          <w:szCs w:val="16"/>
        </w:rPr>
        <w:t>/</w:t>
      </w:r>
      <w:r w:rsidRPr="00507A31">
        <w:rPr>
          <w:color w:val="000000" w:themeColor="text1"/>
          <w:sz w:val="16"/>
          <w:szCs w:val="16"/>
          <w:vertAlign w:val="subscript"/>
        </w:rPr>
        <w:t>4</w:t>
      </w:r>
      <w:r w:rsidRPr="00507A31">
        <w:rPr>
          <w:color w:val="000000" w:themeColor="text1"/>
          <w:sz w:val="16"/>
          <w:szCs w:val="16"/>
        </w:rPr>
        <w:t> или один печатный лист. Статья должна быть переведена на немецкий язык. Тов. Штерн говорит, что у него имеется возможность провести наши статьи в другие немецкие журналы. Этот вопрос будете решать Вы. Что же касается [«]Ост Еуропы[»] и [«]Ейропеише Гешпрехе[»], то статьи для них, по моему мнению, обязательно нужно написать. Из всех журналов они в данном случае наиболее подходят.</w:t>
      </w:r>
    </w:p>
    <w:p w14:paraId="1725BB89"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Однако, кампания, которую мы проводим в связи с процессом[,] не может ограничиться помещением 2-х статей в немецких журналах и изданием специального номера «Дас нейе Руссланд». Обязательно нужно устроить несколько массовых собраний в различных пунктах Германии (Гамбург, Кенигсберг, Мюнхен). В Берлине такое собрание мы устраиваем сегодня. Не будет особой беды, если мы устроим эти собрания, хотя бы даже в начале января. Интерес к этой теме не ослабеет и мы вправе рассчитывать на полную аудиторию. На устройство этих собраний нужны средства, и поскольку я знаю о существовании особого фонда, я обращаюсь именно к Вам. Берлинское собрание нам уже стоит 600 германских] м[арок] (помещение, плакаты), которые я прошу покрыть, потому что этот расход никак не вмещается в мой месячный ВОКСовский бюджет. Тов. Хинчук Вам уже телеграфировал о средствах, необходимых для устройства собраний в провинции. Цифры, названные им, преуменьшены. Например, устройство одного лишь собрания в Гамбурге долж[но] обойтись в 600 германских м[арок] (помещение, плакаты, докладчик из Берлина). Подобные цифры Вас, возможно, отпугнут. Но я писал раньше и должен повторить еще раз, что было бы иллюзией предполагать, что в Германии можно созывать большие собрания ОДНР, не имея ни гроша в кармане. Мне кажется, что на эти расходы нужно пойти, для того чтобы оживить работу ОДНР и противопоставить растущей антисоветской травле[,] агитации фашистов и Союза Защиты Западной Культуры наши активные выступления.</w:t>
      </w:r>
    </w:p>
    <w:p w14:paraId="1D9847C5"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С тов. приветом — Виноградов</w:t>
      </w:r>
    </w:p>
    <w:p w14:paraId="7606119A"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31. Д. 9. Л. 115-116. Машинописный подлинник на бланке Полпредства СССР в Германии (Л. 115), подпись Виноградова — автограф. Гриф секретности и дата машинописью, исходящий «№ 1549» от руки в графе бланка. На Л. 115 вверху написаны от руки входящий номер и дата получения документа «20/ХII-30 г.», рукописная помета «архив», подпись-росчерк Миронова. На Л. 115 об. рукописная помета карандашом на левом поле «1000 марок на провинцию» (18881).</w:t>
      </w:r>
    </w:p>
    <w:p w14:paraId="61DE3442" w14:textId="77777777" w:rsidR="00596600" w:rsidRPr="00507A31" w:rsidRDefault="00596600" w:rsidP="00507A31">
      <w:pPr>
        <w:jc w:val="both"/>
        <w:rPr>
          <w:color w:val="000000" w:themeColor="text1"/>
          <w:sz w:val="16"/>
          <w:szCs w:val="16"/>
        </w:rPr>
      </w:pPr>
    </w:p>
    <w:p w14:paraId="2487B6CC" w14:textId="77777777" w:rsidR="00596600" w:rsidRPr="00507A31" w:rsidRDefault="00596600" w:rsidP="00507A31">
      <w:pPr>
        <w:jc w:val="both"/>
        <w:rPr>
          <w:bCs/>
          <w:color w:val="000000" w:themeColor="text1"/>
          <w:sz w:val="16"/>
          <w:szCs w:val="16"/>
        </w:rPr>
      </w:pPr>
      <w:r w:rsidRPr="00507A31">
        <w:rPr>
          <w:color w:val="000000" w:themeColor="text1"/>
          <w:sz w:val="16"/>
          <w:szCs w:val="16"/>
        </w:rPr>
        <w:t>16 декабря 1930 г.</w:t>
      </w:r>
    </w:p>
    <w:p w14:paraId="057C7C64" w14:textId="77777777" w:rsidR="00596600" w:rsidRPr="00507A31" w:rsidRDefault="00596600" w:rsidP="00507A31">
      <w:pPr>
        <w:jc w:val="both"/>
        <w:rPr>
          <w:bCs/>
          <w:color w:val="000000" w:themeColor="text1"/>
          <w:sz w:val="16"/>
          <w:szCs w:val="16"/>
        </w:rPr>
      </w:pPr>
      <w:r w:rsidRPr="00507A31">
        <w:rPr>
          <w:color w:val="000000" w:themeColor="text1"/>
          <w:sz w:val="16"/>
          <w:szCs w:val="16"/>
        </w:rPr>
        <w:t>Письмо Ж. Л. Аренса В. Н. Баркову о возможностях издания «стенографического отчета» и брошюры о процессе «Промпартии» во Франции. 16 декабря 1930 г.</w:t>
      </w:r>
    </w:p>
    <w:p w14:paraId="13BCB85C"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49F96575"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B610A4"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16 декабря 1930 г.</w:t>
      </w:r>
    </w:p>
    <w:p w14:paraId="06A96D4D"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2CD2D10E"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2EAAD4C3"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16/XII. 1930 г.</w:t>
      </w:r>
    </w:p>
    <w:p w14:paraId="6AB10C09"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 7373</w:t>
      </w:r>
    </w:p>
    <w:p w14:paraId="2527B540"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Тов. Баркову</w:t>
      </w:r>
    </w:p>
    <w:p w14:paraId="7F611503"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Париж</w:t>
      </w:r>
    </w:p>
    <w:p w14:paraId="4A702035" w14:textId="77777777" w:rsidR="00596600" w:rsidRPr="00507A31" w:rsidRDefault="00596600" w:rsidP="00507A31">
      <w:pPr>
        <w:numPr>
          <w:ilvl w:val="0"/>
          <w:numId w:val="158"/>
        </w:numPr>
        <w:ind w:left="0" w:firstLine="0"/>
        <w:jc w:val="both"/>
        <w:rPr>
          <w:color w:val="000000" w:themeColor="text1"/>
          <w:sz w:val="16"/>
          <w:szCs w:val="16"/>
        </w:rPr>
      </w:pPr>
      <w:r w:rsidRPr="00507A31">
        <w:rPr>
          <w:color w:val="000000" w:themeColor="text1"/>
          <w:sz w:val="16"/>
          <w:szCs w:val="16"/>
        </w:rPr>
        <w:t>Длительное сотрудничество с двумя предприятиями решено в принципе в положительном смысле. Необходимо лишь обеспечить соответствующие ассигновки. По этому поводу Вам пишет тов. Крестинский.</w:t>
      </w:r>
    </w:p>
    <w:p w14:paraId="4A905E81" w14:textId="77777777" w:rsidR="00596600" w:rsidRPr="00507A31" w:rsidRDefault="00596600" w:rsidP="00507A31">
      <w:pPr>
        <w:numPr>
          <w:ilvl w:val="0"/>
          <w:numId w:val="158"/>
        </w:numPr>
        <w:ind w:left="0" w:firstLine="0"/>
        <w:jc w:val="both"/>
        <w:rPr>
          <w:color w:val="000000" w:themeColor="text1"/>
          <w:sz w:val="16"/>
          <w:szCs w:val="16"/>
        </w:rPr>
      </w:pPr>
      <w:r w:rsidRPr="00507A31">
        <w:rPr>
          <w:color w:val="000000" w:themeColor="text1"/>
          <w:sz w:val="16"/>
          <w:szCs w:val="16"/>
        </w:rPr>
        <w:t>Печатали ли «Пари Миди» и «Пари Суар» корреспонденции Транэна. Не получая здесь этих газет, мы не могли проверить этого факта. Если установится постоянное сотрудничество, необходимо от них потребовать, чтобы они высылали два экземпляра в НКИД, — один в читальню НКИД и один в Отдел Печати.</w:t>
      </w:r>
    </w:p>
    <w:p w14:paraId="1F865F1F" w14:textId="77777777" w:rsidR="00596600" w:rsidRPr="00507A31" w:rsidRDefault="00596600" w:rsidP="00507A31">
      <w:pPr>
        <w:numPr>
          <w:ilvl w:val="0"/>
          <w:numId w:val="158"/>
        </w:numPr>
        <w:ind w:left="0" w:firstLine="0"/>
        <w:jc w:val="both"/>
        <w:rPr>
          <w:color w:val="000000" w:themeColor="text1"/>
          <w:sz w:val="16"/>
          <w:szCs w:val="16"/>
        </w:rPr>
      </w:pPr>
      <w:r w:rsidRPr="00507A31">
        <w:rPr>
          <w:color w:val="000000" w:themeColor="text1"/>
          <w:sz w:val="16"/>
          <w:szCs w:val="16"/>
        </w:rPr>
        <w:t>Получен ли уже в Париже материал для специального номера «Монд». Ждем Вашего ответа об условиях издания у Валюа стенографического отчета о процессе на французском языке. К сожалению, мне до сих пор не удалось установить приблизительный размер предстоящей книги. Однако, полагаю, что Вы могли бы начать переговоры, оставив вопрос о размере книги открытым.</w:t>
      </w:r>
    </w:p>
    <w:p w14:paraId="00FBDD17" w14:textId="77777777" w:rsidR="00596600" w:rsidRPr="00507A31" w:rsidRDefault="00596600" w:rsidP="00507A31">
      <w:pPr>
        <w:numPr>
          <w:ilvl w:val="0"/>
          <w:numId w:val="158"/>
        </w:numPr>
        <w:ind w:left="0" w:firstLine="0"/>
        <w:jc w:val="both"/>
        <w:rPr>
          <w:color w:val="000000" w:themeColor="text1"/>
          <w:sz w:val="16"/>
          <w:szCs w:val="16"/>
        </w:rPr>
      </w:pPr>
      <w:r w:rsidRPr="00507A31">
        <w:rPr>
          <w:color w:val="000000" w:themeColor="text1"/>
          <w:sz w:val="16"/>
          <w:szCs w:val="16"/>
        </w:rPr>
        <w:t>Собирается ли Уэлльс ехать в Союз и сообщили ли Вы ему условия, на которых ему дается виза. Необходимо внести в этот вопрос полную ясность.</w:t>
      </w:r>
    </w:p>
    <w:p w14:paraId="595D7101" w14:textId="77777777" w:rsidR="00596600" w:rsidRPr="00507A31" w:rsidRDefault="00596600" w:rsidP="00507A31">
      <w:pPr>
        <w:numPr>
          <w:ilvl w:val="0"/>
          <w:numId w:val="158"/>
        </w:numPr>
        <w:ind w:left="0" w:firstLine="0"/>
        <w:jc w:val="both"/>
        <w:rPr>
          <w:color w:val="000000" w:themeColor="text1"/>
          <w:sz w:val="16"/>
          <w:szCs w:val="16"/>
        </w:rPr>
      </w:pPr>
      <w:r w:rsidRPr="00507A31">
        <w:rPr>
          <w:color w:val="000000" w:themeColor="text1"/>
          <w:sz w:val="16"/>
          <w:szCs w:val="16"/>
        </w:rPr>
        <w:t>Транэн, вероятно, уже был у Вас и рассказал о своих московских впечатлениях. Не знаю, сможет ли он написать брошюру. Я не очень высоко ценю его литературные способности. Да и более целесообразным будет издать не брошюру, излагающую ход процесса, а отзывы о процессе и интервенции разных французских литераторов и видных деятелей. Жду Вашего ответа по этому поводу.</w:t>
      </w:r>
    </w:p>
    <w:p w14:paraId="70C50F4C" w14:textId="77777777" w:rsidR="00596600" w:rsidRPr="00507A31" w:rsidRDefault="00596600" w:rsidP="00507A31">
      <w:pPr>
        <w:numPr>
          <w:ilvl w:val="0"/>
          <w:numId w:val="158"/>
        </w:numPr>
        <w:ind w:left="0" w:firstLine="0"/>
        <w:jc w:val="both"/>
        <w:rPr>
          <w:color w:val="000000" w:themeColor="text1"/>
          <w:sz w:val="16"/>
          <w:szCs w:val="16"/>
        </w:rPr>
      </w:pPr>
      <w:r w:rsidRPr="00507A31">
        <w:rPr>
          <w:color w:val="000000" w:themeColor="text1"/>
          <w:sz w:val="16"/>
          <w:szCs w:val="16"/>
        </w:rPr>
        <w:t>Выяснили ли Вы вопрос об использовании Люциани в качестве московского корреспондента для одной или нескольких газет.</w:t>
      </w:r>
    </w:p>
    <w:p w14:paraId="52E8DD68" w14:textId="77777777" w:rsidR="00596600" w:rsidRPr="00507A31" w:rsidRDefault="00596600" w:rsidP="00507A31">
      <w:pPr>
        <w:numPr>
          <w:ilvl w:val="0"/>
          <w:numId w:val="158"/>
        </w:numPr>
        <w:ind w:left="0" w:firstLine="0"/>
        <w:jc w:val="both"/>
        <w:rPr>
          <w:color w:val="000000" w:themeColor="text1"/>
          <w:sz w:val="16"/>
          <w:szCs w:val="16"/>
        </w:rPr>
      </w:pPr>
      <w:r w:rsidRPr="00507A31">
        <w:rPr>
          <w:color w:val="000000" w:themeColor="text1"/>
          <w:sz w:val="16"/>
          <w:szCs w:val="16"/>
        </w:rPr>
        <w:t>НКИД не возражает, чтобы тов. Довгалевский разрешил внести свое имя в почетный комитет по устройству международного салона искусства книги, понятно, при условии, что мы будем в этой выставке участвовать.</w:t>
      </w:r>
    </w:p>
    <w:p w14:paraId="4A82AFEE" w14:textId="77777777" w:rsidR="00596600" w:rsidRPr="00507A31" w:rsidRDefault="00596600" w:rsidP="00507A31">
      <w:pPr>
        <w:numPr>
          <w:ilvl w:val="0"/>
          <w:numId w:val="158"/>
        </w:numPr>
        <w:ind w:left="0" w:firstLine="0"/>
        <w:jc w:val="both"/>
        <w:rPr>
          <w:color w:val="000000" w:themeColor="text1"/>
          <w:sz w:val="16"/>
          <w:szCs w:val="16"/>
        </w:rPr>
      </w:pPr>
      <w:r w:rsidRPr="00507A31">
        <w:rPr>
          <w:color w:val="000000" w:themeColor="text1"/>
          <w:sz w:val="16"/>
          <w:szCs w:val="16"/>
        </w:rPr>
        <w:t>Де-Марсиаку решено, ввиду Вашего отрицательного отзыва, визы не давать.</w:t>
      </w:r>
    </w:p>
    <w:p w14:paraId="12A40C70"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(Ж. Аренс)</w:t>
      </w:r>
    </w:p>
    <w:p w14:paraId="3A7DE966"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32. Д. 12. Л. 184-185. Машинописная копия того времени, исходящий номер вписан от руки карандашом. Гриф секретности машинописью. На Л. 185 внизу слева делопроизводственная помета машинописью (столбцом) «4 экз. 1 — Баркову 1 — Литвинову 1 — Крестинскому 1 — архив» (18822).</w:t>
      </w:r>
    </w:p>
    <w:p w14:paraId="0B6FB730" w14:textId="77777777" w:rsidR="00596600" w:rsidRPr="00507A31" w:rsidRDefault="00596600" w:rsidP="00507A31">
      <w:pPr>
        <w:jc w:val="both"/>
        <w:rPr>
          <w:color w:val="000000" w:themeColor="text1"/>
          <w:sz w:val="16"/>
          <w:szCs w:val="16"/>
        </w:rPr>
      </w:pPr>
    </w:p>
    <w:p w14:paraId="57D36AB4" w14:textId="77777777" w:rsidR="00596600" w:rsidRPr="00507A31" w:rsidRDefault="00596600" w:rsidP="00507A31">
      <w:pPr>
        <w:jc w:val="both"/>
        <w:rPr>
          <w:bCs/>
          <w:color w:val="000000" w:themeColor="text1"/>
          <w:sz w:val="16"/>
          <w:szCs w:val="16"/>
        </w:rPr>
      </w:pPr>
      <w:r w:rsidRPr="00507A31">
        <w:rPr>
          <w:color w:val="000000" w:themeColor="text1"/>
          <w:sz w:val="16"/>
          <w:szCs w:val="16"/>
        </w:rPr>
        <w:t>16 декабря 1930 г.</w:t>
      </w:r>
    </w:p>
    <w:p w14:paraId="64B1530E" w14:textId="77777777" w:rsidR="00596600" w:rsidRPr="00507A31" w:rsidRDefault="00596600" w:rsidP="00507A31">
      <w:pPr>
        <w:jc w:val="both"/>
        <w:rPr>
          <w:bCs/>
          <w:color w:val="000000" w:themeColor="text1"/>
          <w:sz w:val="16"/>
          <w:szCs w:val="16"/>
        </w:rPr>
      </w:pPr>
      <w:r w:rsidRPr="00507A31">
        <w:rPr>
          <w:color w:val="000000" w:themeColor="text1"/>
          <w:sz w:val="16"/>
          <w:szCs w:val="16"/>
        </w:rPr>
        <w:t>Письмо наркома иностранных дел СССР М. М. Литвинова полпреду СССР во Франции В. С. Довгалевскому. 16 декабря 1930 г.</w:t>
      </w:r>
    </w:p>
    <w:p w14:paraId="01CC2DDC"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1108085F"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35E7DF"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16 декабря 1930 г.</w:t>
      </w:r>
    </w:p>
    <w:p w14:paraId="3B0D522B"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Сов[ершенно] секретно</w:t>
      </w:r>
    </w:p>
    <w:p w14:paraId="091614B7"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Полномочному Представителю СССР во Франции</w:t>
      </w:r>
    </w:p>
    <w:p w14:paraId="2F2562D5"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тов. В. С. Довгалевскому</w:t>
      </w:r>
    </w:p>
    <w:p w14:paraId="484D619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Предлагаю Вам по получении сего немедленно потребовать свидания с Брианом и вручить ему прилагаемую при сем копию отношения Верховного Суда по делу Пром. Партии. При этом Вы сделайте Бриану устное заявление, согласно приложенного текста, утвержденного Сессией и не подлежащего никаким изменениям, оставив Бриану для памяти запись заявления. Об исполнении прошу протелеграфировать, сообщив об отношении Бриана к Вашему заявлению. Прошу Вас послать сюда копию французского перевода отношения Верх. Суда и Вашего устного заявления.</w:t>
      </w:r>
    </w:p>
    <w:p w14:paraId="5BA6B4E0"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lastRenderedPageBreak/>
        <w:t>Если Бриан спросит, что имеется в виду под «недружественными актами со стороны французского правительства», то можете напомнить ему о задержании Гизертского флота, а затем об издании декрета против советского экспорта, хотя этот акт последовал после событий, изложенных в отношении Верховного Суда. Под «неоднократными публичными выступлениями... членов французского правительства» Вы можете подвести соответственное заявление Бриана о наших вооружениях, «дающих основание Румынии и Польше тревожиться за свою безопасность». На Вашей памяти, вероятно, имеются и другие выступления Бриана, Пуанкаре и Тардье. Что касается «покровительственного отношения к российским контр-революционным организациям», то достаточно перечислить известные судебные решения, тесную связь между эмиграцией и французской полицией и т. д. Для иллюстрации выставленных нами обвинений Вы сможете найти у себя достаточно материала. Хорошо будет запастись Вам на всякий случай некоторыми вырезками из «Возрождения», «Общего Дела» и французских реакционных газет с призывами к насильственным действиям, в особенности во время Кутеповщины. Под нашими усилиями к улучшению отношений надо понимать наше предложение пакта о ненападении, о заключении торгового соглашения, предложение об урегулировании долгов и др.</w:t>
      </w:r>
    </w:p>
    <w:p w14:paraId="2575E459"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 случае упоминания в разговоре о французском меморандуме от 22 ноября Вы можете сказать, что в ближайшее время представите ответный меморандум, в котором будет изложена наша точка зрения на затронутые французами вопросы. Проэкт этого контр-меморандума уже выработан и будет Вам послан с ближайшей почтой, если в результате нашего заявления о процессе не наступит резкого обострения отношений, которое нами здесь, конечно, учитывается.</w:t>
      </w:r>
    </w:p>
    <w:p w14:paraId="36C5DE2F"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На возможный вопрос, требуем ли мы отозвания Эрбетта, Вы должны сказать, что Вы точно изложили требования и заявление своего правительства и ничего от себя не можете к этому прибавить.</w:t>
      </w:r>
    </w:p>
    <w:p w14:paraId="5FE97F39"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ЛИТВИНОВ</w:t>
      </w:r>
    </w:p>
    <w:p w14:paraId="1BC298DB"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Приложения:</w:t>
      </w:r>
    </w:p>
    <w:p w14:paraId="136ED9A9" w14:textId="77777777" w:rsidR="00596600" w:rsidRPr="00507A31" w:rsidRDefault="00596600" w:rsidP="00507A31">
      <w:pPr>
        <w:numPr>
          <w:ilvl w:val="0"/>
          <w:numId w:val="156"/>
        </w:numPr>
        <w:ind w:left="0" w:firstLine="0"/>
        <w:jc w:val="both"/>
        <w:rPr>
          <w:color w:val="000000" w:themeColor="text1"/>
          <w:sz w:val="16"/>
          <w:szCs w:val="16"/>
        </w:rPr>
      </w:pPr>
      <w:r w:rsidRPr="00507A31">
        <w:rPr>
          <w:color w:val="000000" w:themeColor="text1"/>
          <w:sz w:val="16"/>
          <w:szCs w:val="16"/>
        </w:rPr>
        <w:t>Копия отношения Верх. Суда.</w:t>
      </w:r>
    </w:p>
    <w:p w14:paraId="1EA0E28B" w14:textId="77777777" w:rsidR="00596600" w:rsidRPr="00507A31" w:rsidRDefault="00596600" w:rsidP="00507A31">
      <w:pPr>
        <w:numPr>
          <w:ilvl w:val="0"/>
          <w:numId w:val="156"/>
        </w:numPr>
        <w:ind w:left="0" w:firstLine="0"/>
        <w:jc w:val="both"/>
        <w:rPr>
          <w:color w:val="000000" w:themeColor="text1"/>
          <w:sz w:val="16"/>
          <w:szCs w:val="16"/>
        </w:rPr>
      </w:pPr>
      <w:r w:rsidRPr="00507A31">
        <w:rPr>
          <w:color w:val="000000" w:themeColor="text1"/>
          <w:sz w:val="16"/>
          <w:szCs w:val="16"/>
        </w:rPr>
        <w:t>Текст устного заявления (18804).</w:t>
      </w:r>
    </w:p>
    <w:p w14:paraId="1D1FA02D" w14:textId="77777777" w:rsidR="00596600" w:rsidRPr="00507A31" w:rsidRDefault="00596600" w:rsidP="00507A31">
      <w:pPr>
        <w:jc w:val="both"/>
        <w:rPr>
          <w:color w:val="000000" w:themeColor="text1"/>
          <w:sz w:val="16"/>
          <w:szCs w:val="16"/>
        </w:rPr>
      </w:pPr>
    </w:p>
    <w:p w14:paraId="6150A23B" w14:textId="77777777" w:rsidR="00596600" w:rsidRPr="00507A31" w:rsidRDefault="00596600" w:rsidP="00507A31">
      <w:pPr>
        <w:jc w:val="both"/>
        <w:rPr>
          <w:bCs/>
          <w:color w:val="000000" w:themeColor="text1"/>
          <w:sz w:val="16"/>
          <w:szCs w:val="16"/>
          <w:lang w:val="en-US"/>
        </w:rPr>
      </w:pPr>
      <w:r w:rsidRPr="00507A31">
        <w:rPr>
          <w:color w:val="000000" w:themeColor="text1"/>
          <w:sz w:val="16"/>
          <w:szCs w:val="16"/>
        </w:rPr>
        <w:t>16 декабря 1930 г.</w:t>
      </w:r>
    </w:p>
    <w:p w14:paraId="6D6CA100" w14:textId="77777777" w:rsidR="00596600" w:rsidRPr="00507A31" w:rsidRDefault="00596600" w:rsidP="00507A31">
      <w:pPr>
        <w:jc w:val="both"/>
        <w:rPr>
          <w:bCs/>
          <w:color w:val="000000" w:themeColor="text1"/>
          <w:sz w:val="16"/>
          <w:szCs w:val="16"/>
        </w:rPr>
      </w:pPr>
      <w:r w:rsidRPr="00507A31">
        <w:rPr>
          <w:color w:val="000000" w:themeColor="text1"/>
          <w:sz w:val="16"/>
          <w:szCs w:val="16"/>
        </w:rPr>
        <w:t>Письмо наркома иностранных дел СССР М. М. Литвинова полпреду СССР во Франции В. С. Довгалевскому. 16 декабря 1930 г.</w:t>
      </w:r>
    </w:p>
    <w:p w14:paraId="7B696898"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15DE8921"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3F7ED9"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Архив: </w:t>
      </w:r>
    </w:p>
    <w:p w14:paraId="3FF205BA" w14:textId="77777777" w:rsidR="00596600" w:rsidRPr="00507A31" w:rsidRDefault="00596600" w:rsidP="00507A31">
      <w:pPr>
        <w:jc w:val="both"/>
        <w:rPr>
          <w:color w:val="000000" w:themeColor="text1"/>
          <w:sz w:val="16"/>
          <w:szCs w:val="16"/>
        </w:rPr>
      </w:pPr>
      <w:r w:rsidRPr="00507A31">
        <w:rPr>
          <w:color w:val="000000" w:themeColor="text1"/>
          <w:sz w:val="16"/>
          <w:szCs w:val="16"/>
        </w:rPr>
        <w:t>АВП РФ. Ф. 010. On. 1. П. 5. Д. 82. Л. 37—38</w:t>
      </w:r>
    </w:p>
    <w:p w14:paraId="42D28191"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16 декабря 1930 г.</w:t>
      </w:r>
    </w:p>
    <w:p w14:paraId="20C17F14"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Сов[ершенно] секретно</w:t>
      </w:r>
    </w:p>
    <w:p w14:paraId="3A34EF38"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Полномочному Представителю СССР во Франции</w:t>
      </w:r>
    </w:p>
    <w:p w14:paraId="1BC9FFBA"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тов. В. С. Довгалевскому</w:t>
      </w:r>
    </w:p>
    <w:p w14:paraId="2F6447E1"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Предлагаю Вам по получении сего немедленно потребовать свидания с Брианом и вручить ему прилагаемую при сем копию отношения Верховного Суда по делу Пром. Партии. При этом Вы сделайте Бриану устное заявление, согласно приложенного текста, утвержденного Сессией и не подлежащего никаким изменениям, оставив Бриану для памяти запись заявления. Об исполнении прошу протелеграфировать, сообщив об отношении Бриана к Вашему заявлению. Прошу Вас послать сюда копию французского перевода отношения Верх. Суда и Вашего устного заявления.</w:t>
      </w:r>
    </w:p>
    <w:p w14:paraId="35265D41"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Если Бриан спросит, что имеется в виду под «недружественными актами со стороны французского правительства», то можете напомнить ему о задержании Гизертского флота, а затем об издании декрета против советского экспорта, хотя этот акт последовал после событий, изложенных в отношении Верховного Суда. Под «неоднократными публичными выступлениями... членов французского правительства» Вы можете подвести соответственное заявление Бриана о наших вооружениях, «дающих основание Румынии и Польше тревожиться за свою безопасность». На Вашей памяти, вероятно, имеются и другие выступления Бриана, Пуанкаре и Тардье. Что касается «покровительственного отношения к российским контр-революционным организациям», то достаточно перечислить известные судебные решения, тесную связь между эмиграцией и французской полицией и т. д. Для иллюстрации выставленных нами обвинений Вы сможете найти у себя достаточно материала. Хорошо будет запастись Вам на всякий случай некоторыми вырезками из «Возрождения», «Общего Дела» и французских реакционных газет с призывами к насильственным действиям, в особенности во время Кутеповщины. Под нашими усилиями к улучшению отношений надо понимать наше предложение пакта о ненападении, о заключении торгового соглашения, предложение об урегулировании долгов и др.</w:t>
      </w:r>
    </w:p>
    <w:p w14:paraId="1BD44A47"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 случае упоминания в разговоре о французском меморандуме от 22 ноября Вы можете сказать, что в ближайшее время представите ответный меморандум, в котором будет изложена наша точка зрения на затронутые французами вопросы. Проэкт этого контр-меморандума уже выработан и будет Вам послан с ближайшей почтой, если в результате нашего заявления о процессе не наступит резкого обострения отношений, которое нами здесь, конечно, учитывается.</w:t>
      </w:r>
    </w:p>
    <w:p w14:paraId="3A323A18"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На возможный вопрос, требуем ли мы отозвания Эрбетта, Вы должны сказать, что Вы точно изложили требования и заявление своего правительства и ничего от себя не можете к этому прибавить.</w:t>
      </w:r>
    </w:p>
    <w:p w14:paraId="33EB7C51"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ЛИТВИНОВ</w:t>
      </w:r>
    </w:p>
    <w:p w14:paraId="6C0D01D8"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Приложения:</w:t>
      </w:r>
    </w:p>
    <w:p w14:paraId="4A0CB42E" w14:textId="77777777" w:rsidR="00596600" w:rsidRPr="00507A31" w:rsidRDefault="00596600" w:rsidP="00507A31">
      <w:pPr>
        <w:numPr>
          <w:ilvl w:val="0"/>
          <w:numId w:val="157"/>
        </w:numPr>
        <w:ind w:left="0" w:firstLine="0"/>
        <w:jc w:val="both"/>
        <w:rPr>
          <w:color w:val="000000" w:themeColor="text1"/>
          <w:sz w:val="16"/>
          <w:szCs w:val="16"/>
        </w:rPr>
      </w:pPr>
      <w:r w:rsidRPr="00507A31">
        <w:rPr>
          <w:color w:val="000000" w:themeColor="text1"/>
          <w:sz w:val="16"/>
          <w:szCs w:val="16"/>
        </w:rPr>
        <w:t>Копия отношения Верх. Суда.</w:t>
      </w:r>
    </w:p>
    <w:p w14:paraId="64691429" w14:textId="77777777" w:rsidR="00596600" w:rsidRPr="00507A31" w:rsidRDefault="00596600" w:rsidP="00507A31">
      <w:pPr>
        <w:numPr>
          <w:ilvl w:val="0"/>
          <w:numId w:val="157"/>
        </w:numPr>
        <w:ind w:left="0" w:firstLine="0"/>
        <w:jc w:val="both"/>
        <w:rPr>
          <w:color w:val="000000" w:themeColor="text1"/>
          <w:sz w:val="16"/>
          <w:szCs w:val="16"/>
        </w:rPr>
      </w:pPr>
      <w:r w:rsidRPr="00507A31">
        <w:rPr>
          <w:color w:val="000000" w:themeColor="text1"/>
          <w:sz w:val="16"/>
          <w:szCs w:val="16"/>
        </w:rPr>
        <w:t>Текст устного заявления.</w:t>
      </w:r>
    </w:p>
    <w:p w14:paraId="2E3765BA"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О Вашем протесте мы пока в печать ничего давать не будем. В зависимости от формы реагирования Бриана, мы решим вопрос об оглашении протеста.</w:t>
      </w:r>
    </w:p>
    <w:p w14:paraId="1E465B93"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Формальный протест мы можем заявлять лишь против лиц, находящихся на действительной государственной службе во Франции. По этой причине ни в письме Верх. Суда, ни в Вашем заявлении не говорится о ген. Жанене, находящемся сейчас в резерве, хотя его имя упоминалось в судебном процессе. В последнюю минуту у нас возникли сомнения относительно Жуанвиля, ибо по справке Разведупра такого лица в официальных французских военных справочниках не имеется. Наводятся дополнительные справки и к моменту получения Вами письма мы сможем Вам протелеграфировать, нужно ли его имя исключить из документов.</w:t>
      </w:r>
    </w:p>
    <w:p w14:paraId="0C33E96D"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ЛИТВИНОВ</w:t>
      </w:r>
    </w:p>
    <w:p w14:paraId="3E8EB7F7"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010. On. 1. П. 5. Д. 82. Л. 37—38. Машинописная копия того времени, экз. машинописной закладки. На Л. 37 вверху слева напечатаны дата «16 декабря [19]30» (название месяца исправлено из первоначально напечатанного: ноябрф ниже — номер документа (л/3770); в центре — «Экз. 2» (цифра вписана от руки). Делопроизводственный штамп Секретариата замнаркома НКИД СССР с вписанной от руки датой получения документа «17.XII.1930 г.», подпись-росчерк Н. Н. Крестинского «НКр». Гриф секретности машинописью. На Л. 38 ниже первой подписи Литвинова: слева столбцом делопроизводственная помета о количестве отпечатанных экземпляров (6) и адрес рассылки «1 — Адресат, 2 — Кр[естинский], 3 — К[арахан], 4 — С&lt;[томоняков&gt;, 5 -3[ападный отдел] III, 6 — дело».</w:t>
      </w:r>
    </w:p>
    <w:p w14:paraId="04344F82"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Опубликовано: Документы внешней политики СССР: 1 января — 31 декабря 1930 г. Т. 13. М., 1967. С. 756-757. В публикацию не вошла приписка Литвинова (18804).</w:t>
      </w:r>
    </w:p>
    <w:p w14:paraId="65DADA5B" w14:textId="77777777" w:rsidR="00596600" w:rsidRPr="00507A31" w:rsidRDefault="00596600" w:rsidP="00507A31">
      <w:pPr>
        <w:jc w:val="both"/>
        <w:rPr>
          <w:color w:val="000000" w:themeColor="text1"/>
          <w:sz w:val="16"/>
          <w:szCs w:val="16"/>
        </w:rPr>
      </w:pPr>
    </w:p>
    <w:p w14:paraId="17F7D4BD" w14:textId="77777777" w:rsidR="00596600" w:rsidRPr="00507A31" w:rsidRDefault="00596600" w:rsidP="00507A31">
      <w:pPr>
        <w:jc w:val="both"/>
        <w:rPr>
          <w:bCs/>
          <w:color w:val="000000" w:themeColor="text1"/>
          <w:sz w:val="16"/>
          <w:szCs w:val="16"/>
        </w:rPr>
      </w:pPr>
      <w:r w:rsidRPr="00507A31">
        <w:rPr>
          <w:color w:val="000000" w:themeColor="text1"/>
          <w:sz w:val="16"/>
          <w:szCs w:val="16"/>
        </w:rPr>
        <w:t>16 декабря 1930 г.</w:t>
      </w:r>
    </w:p>
    <w:p w14:paraId="19A91DEB" w14:textId="77777777" w:rsidR="00596600" w:rsidRPr="00507A31" w:rsidRDefault="00596600" w:rsidP="00507A31">
      <w:pPr>
        <w:jc w:val="both"/>
        <w:rPr>
          <w:bCs/>
          <w:color w:val="000000" w:themeColor="text1"/>
          <w:sz w:val="16"/>
          <w:szCs w:val="16"/>
        </w:rPr>
      </w:pPr>
      <w:r w:rsidRPr="00507A31">
        <w:rPr>
          <w:color w:val="000000" w:themeColor="text1"/>
          <w:sz w:val="16"/>
          <w:szCs w:val="16"/>
        </w:rPr>
        <w:t>«ТЕКСТ УСТНОГО ЗАЯВЛЕНИЯ ДОВГАЛЕВСКОГО». Приложение к письму М. М. Литвинова. от 16 декабря 1930 г.</w:t>
      </w:r>
    </w:p>
    <w:p w14:paraId="07ED9040"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3FC38C7D"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F17BD0"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Архив: </w:t>
      </w:r>
    </w:p>
    <w:p w14:paraId="0A27C3B1" w14:textId="77777777" w:rsidR="00596600" w:rsidRPr="00507A31" w:rsidRDefault="00596600" w:rsidP="00507A31">
      <w:pPr>
        <w:jc w:val="both"/>
        <w:rPr>
          <w:color w:val="000000" w:themeColor="text1"/>
          <w:sz w:val="16"/>
          <w:szCs w:val="16"/>
        </w:rPr>
      </w:pPr>
      <w:r w:rsidRPr="00507A31">
        <w:rPr>
          <w:color w:val="000000" w:themeColor="text1"/>
          <w:sz w:val="16"/>
          <w:szCs w:val="16"/>
        </w:rPr>
        <w:t>АВП РФ. Ф. 010. On. 1. П. 5. Д. 83. Л. 113-114</w:t>
      </w:r>
    </w:p>
    <w:p w14:paraId="328B0AB5"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от 16 декабря 1930 г.</w:t>
      </w:r>
    </w:p>
    <w:p w14:paraId="1B269E71"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339922FA"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Мое правительство поручило мне вручить Вам копию официального сообщения, сделанного ему Верховным Судом СССР о связях, установленных Судом между осужденными по делу контр-революционной организации «Промышленная Партия» и лицами, находящимися на французской военной и гражданской службе. Из сообщения Верховного Суда усматривается, что Франция является той территорией[,] на которой подготовляются и организуются интервенционистские действия против Советского Союза.</w:t>
      </w:r>
    </w:p>
    <w:p w14:paraId="14DFA711"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Далее, из того же сообщения Верховного Суда усматривается, что в числе вышеуказанных лиц французской гражданской службы находились нынешний помощник коммерческого ат[т]аше французского посольства в Москве г. Кифер и бывший секретарь того же посольства г. Жорж[-]Пико, которые служили связующим звеном между представителями центральной организации Пром. Партии и французскими кругами, подготовлявшими интервенцию в СССР, причем означенная деятельность этих лиц при очевидном отсутствии надлежащего надзора за ними со стороны посла г. Эрбетта продолжалась в течение почти всего времени пребывания их в Москве, а г. Кифера до самого последнего времени.</w:t>
      </w:r>
    </w:p>
    <w:p w14:paraId="6318ED46"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lastRenderedPageBreak/>
        <w:t>Мое правительство, полагая, что французское правительство не может отклонять ответственности за подчиненных ему должностных лиц, поручило мне заявить решительный протест против охарактеризованных в сообщении Верховного Суда действий этих лиц, каковые действия, являясь прямым вмешательством в дела СССР, могли иметь своим результатом нарушение советско-французских отношений и создавали серьезную угрозу всеобщему миру.</w:t>
      </w:r>
    </w:p>
    <w:p w14:paraId="4E5375D0"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Одно из вышеназванных должностных лиц, а именно г. Кифер до сих пор находится в составе французского посольства в Москве[,] и мое правительство считает себя вправе ожидать скорейшего его отозвания. Что же касается г. Пико, то его служба в СССР должна считаться отныне исключенной.</w:t>
      </w:r>
    </w:p>
    <w:p w14:paraId="72DB8F2A"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Вместе с тем, мое правительство поручило мне заявить, что, по его мнению, нынешнее явно неудовлетворительное состояние советскофранцузских отношений, при котором имели место недружественные акты со стороны французского правительства, неоднократные публичные выступления во враждебном СССР духе членов французского правительства, явно покровительственное отношение к российским контр-революционным организациям и лицам со стороны французских властей, открытое существование во Франции организованных по военному российских контр-революционных отрядов, парадирующих иногда в полной военной форме со знаменами по улицам Парижа, безнаказанный призыв на страницах эмигрантских органов печати к интервенции и войне против СССР и к насильственным действиям против советского полпреда, при беспрерывной газетной травле и оскорблениях советского правительства и его полпреда в Париже, — все эти обстоятельства в совокупности не могли не создать ту обстановку, при которой отдельные французские должностные лица могли позволить себе действия, перечисленные во врученном мною документе, а «Торгпром» и так наз. «Промышленная Партия» могли находить руководителей и вдохновителей среди влиятельных кругов Франции в деле организации военной интервенции в Сов. Союзе.</w:t>
      </w:r>
    </w:p>
    <w:p w14:paraId="6C103FF5"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Мое правительство сомневается, чтобы при сохранении перечисленных мною обстоятельств Франция могла перестать служить территорией, на которой, согласно сообщения Верхсуда, подготовляются интервенционистские акты против СССР.</w:t>
      </w:r>
    </w:p>
    <w:p w14:paraId="46728407"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Мое правительство далее твердо убеждено в том, что повторение в будущем тяжелых случаев, подобных указанным в сообщении Верх. Суда, может быть предотвращено лишь установлением действительно нормальных отношений между обоими странами, к чему советское правительство со своей стороны всегда неизменно стремилось и стремится, сделав в этом направлении немало усилий, остававшихся до сих пор, к сожалению, безуспешными. В этих своих усилиях мое правительство всегда исходило и исходит из интересов сохранения всеобщего мира, зависящего в значительной степени от состояния советско-французских отношений.</w:t>
      </w:r>
    </w:p>
    <w:p w14:paraId="323FDB48"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010. On. 1.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5.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83. </w:t>
      </w:r>
      <w:r w:rsidRPr="00507A31">
        <w:rPr>
          <w:rStyle w:val="af0"/>
          <w:i w:val="0"/>
          <w:color w:val="000000" w:themeColor="text1"/>
          <w:sz w:val="16"/>
          <w:szCs w:val="16"/>
        </w:rPr>
        <w:t>Л. 113-114. Машинописная копия того времени. На Л. 113 — штамп Секретариата замнаркома НКИД СССР с вписанными от руки номером и датой получения документа «18.XII.1930 г», подпись-росчерк Н. Н. Крестинского «НК». Здесь же штамп «Секретариата т. Стомонякова» с вписанными от руки номером и датой получения документа «17.XII.1930 г.», рукописная помета «Т. С». Гриф секретности машинописью.</w:t>
      </w:r>
    </w:p>
    <w:p w14:paraId="56CC31B8"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Опубликовано: Документы внешней политики СССР: 1 января — 31 декабря 1930 г. Т. 13. М., 1967. С. 758-759 (18805).</w:t>
      </w:r>
    </w:p>
    <w:p w14:paraId="729C5481" w14:textId="77777777" w:rsidR="00596600" w:rsidRPr="00507A31" w:rsidRDefault="00596600" w:rsidP="00507A31">
      <w:pPr>
        <w:jc w:val="both"/>
        <w:rPr>
          <w:color w:val="000000" w:themeColor="text1"/>
          <w:sz w:val="16"/>
          <w:szCs w:val="16"/>
        </w:rPr>
      </w:pPr>
    </w:p>
    <w:p w14:paraId="7262D1F2" w14:textId="77777777" w:rsidR="00596600" w:rsidRPr="00507A31" w:rsidRDefault="00596600" w:rsidP="00507A31">
      <w:pPr>
        <w:jc w:val="both"/>
        <w:rPr>
          <w:bCs/>
          <w:color w:val="000000" w:themeColor="text1"/>
          <w:sz w:val="16"/>
          <w:szCs w:val="16"/>
        </w:rPr>
      </w:pPr>
      <w:r w:rsidRPr="00507A31">
        <w:rPr>
          <w:color w:val="000000" w:themeColor="text1"/>
          <w:sz w:val="16"/>
          <w:szCs w:val="16"/>
        </w:rPr>
        <w:t>16 декабря 1930 г.</w:t>
      </w:r>
    </w:p>
    <w:p w14:paraId="541D1F22" w14:textId="77777777" w:rsidR="00596600" w:rsidRPr="00507A31" w:rsidRDefault="00596600"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 передовице газеты «Известия» и тактике советского правительства. 16 декабря 1930 г.</w:t>
      </w:r>
    </w:p>
    <w:p w14:paraId="7C403CAE"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4764DD8A"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93DA91"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16 декабря 1930 г.</w:t>
      </w:r>
    </w:p>
    <w:p w14:paraId="5A34A193"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30276762"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Шифровальный отдел</w:t>
      </w:r>
    </w:p>
    <w:p w14:paraId="72B5F26A"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 739-742</w:t>
      </w:r>
    </w:p>
    <w:p w14:paraId="4921C837"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Москва, 16 декабря 1930</w:t>
      </w:r>
    </w:p>
    <w:p w14:paraId="300ABBA0"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Получено по почте: 22 декабря 1930, 12.15</w:t>
      </w:r>
    </w:p>
    <w:p w14:paraId="26CCB434"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Ссылаюсь на свои телеграммы № 737-738</w:t>
      </w:r>
    </w:p>
    <w:p w14:paraId="162A08E2"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Передовая статья, которой «Известия» отвечают Франсуа-Марсалю и чей перевод был выслан приложением к моей депеше № 772, свидетельствует о желании возобновить диалог с Францией (что исключает желание разорвать отношения между двумя странами). Однако эта статья не проявляет никакого сожаления о том, что во время недавнего процесса Франция стала предметом клеветы, так же как она не демонстрирует желания уравновесить торговые отношения. Более того, выдвинутые против Франции обвинения представлены как полностью доказанные, а сама идея уравновесить коммерческий баланс показана как проявление исключительной политики, направленной против СССР. В этих условиях желание восстановить диалог с Францией, возможно, объясняется следующими причинами.</w:t>
      </w:r>
    </w:p>
    <w:p w14:paraId="65A37F58"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1.   Речь идет о том, чтобы показать немецкому и английскому правительствам, чья любезность по отношению к СССР в последнее время, кажется, уменьшилась, что в конце концов правительство СССР не рассорилось с Францией, а значит не так уж нуждается в Германии и Англии. Это классическая тактика, которая состоит в том, чтобы настраивать большие державы друг против друга.</w:t>
      </w:r>
    </w:p>
    <w:p w14:paraId="4C594A7B"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2.  Речь идет о том, чтобы в момент собрания ЦК партии успокоить более разумных коммунистических лидеров (таких, как Калинин), которые опасаются международных осложнений, и лишить правую или левую коммунистическую оппозицию того оружия, которым бы для нее стала опасность &lt;международных&gt; осложнений.</w:t>
      </w:r>
    </w:p>
    <w:p w14:paraId="188B1FA9"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3.  Речь идет о том, чтобы по случаю смены кабинета во Франции заставить французское правительство отменить декрет 3-го октября (лицензии на импорт) и отказаться от всякой идеи восстановить торговый баланс с СССР.</w:t>
      </w:r>
    </w:p>
    <w:p w14:paraId="2C4A5B1B"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Эта последняя цель, без сомнения, является главной. Нападки, которым подвергается Франция на протяжении более двух месяцев, направлены в первую очередь на отмену режима лицензий и на получение иностранного финансирования для промышленного и торгового развития СССР путем открытия границ для советского экспорта и выдачи кредитов и, по возможности, займов.</w:t>
      </w:r>
    </w:p>
    <w:p w14:paraId="3B95E3F0"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Проблемы нынешнего режима в области внутренней и внешней политики и его финансовые потребности предоставляют нам определенные преимущества для защиты наших законных интересов, которыми нам не следует пренебрегать, особенно после той злобной кампании, которую вели здесь против Франции.</w:t>
      </w:r>
    </w:p>
    <w:p w14:paraId="005652D2"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Нам будет тем проще ими воспользоваться, что, таким образом, мы с точностью восстановим истину там, где она была искажена в статье «Известий».</w:t>
      </w:r>
    </w:p>
    <w:p w14:paraId="0AB3F398"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Жан Эрбет</w:t>
      </w:r>
    </w:p>
    <w:p w14:paraId="3494D5A1"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117СРСОМ.Д. 1269. Л. 198-201.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вписанным от руки номером о сдаче в архив «z 619-20 s/d5». На полях помета «Процесс против интеллигенции» (18776).</w:t>
      </w:r>
    </w:p>
    <w:p w14:paraId="4CD44750" w14:textId="77777777" w:rsidR="00596600" w:rsidRPr="00507A31" w:rsidRDefault="00596600" w:rsidP="00507A31">
      <w:pPr>
        <w:jc w:val="both"/>
        <w:rPr>
          <w:color w:val="000000" w:themeColor="text1"/>
          <w:sz w:val="16"/>
          <w:szCs w:val="16"/>
        </w:rPr>
      </w:pPr>
    </w:p>
    <w:p w14:paraId="06C09DBF" w14:textId="77777777" w:rsidR="00596600" w:rsidRPr="00507A31" w:rsidRDefault="00596600" w:rsidP="00507A31">
      <w:pPr>
        <w:jc w:val="both"/>
        <w:rPr>
          <w:bCs/>
          <w:color w:val="000000" w:themeColor="text1"/>
          <w:sz w:val="16"/>
          <w:szCs w:val="16"/>
        </w:rPr>
      </w:pPr>
      <w:r w:rsidRPr="00507A31">
        <w:rPr>
          <w:color w:val="000000" w:themeColor="text1"/>
          <w:sz w:val="16"/>
          <w:szCs w:val="16"/>
        </w:rPr>
        <w:t>16 декабря 1930 г.</w:t>
      </w:r>
    </w:p>
    <w:p w14:paraId="267063BB" w14:textId="77777777" w:rsidR="00596600" w:rsidRPr="00507A31" w:rsidRDefault="00596600" w:rsidP="00507A31">
      <w:pPr>
        <w:jc w:val="both"/>
        <w:rPr>
          <w:bCs/>
          <w:color w:val="000000" w:themeColor="text1"/>
          <w:sz w:val="16"/>
          <w:szCs w:val="16"/>
        </w:rPr>
      </w:pPr>
      <w:r w:rsidRPr="00507A31">
        <w:rPr>
          <w:color w:val="000000" w:themeColor="text1"/>
          <w:sz w:val="16"/>
          <w:szCs w:val="16"/>
        </w:rPr>
        <w:t>Депеша посла Франции в СССР Ж. Эрбета министру иностранных дел Франции А. Бриану о передовице газеты «Известия» о франко-советских отношениях. 16 декабря 1930 г.</w:t>
      </w:r>
    </w:p>
    <w:p w14:paraId="40AED161"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0DA344EB"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979435"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16 декабря 1930 г.</w:t>
      </w:r>
    </w:p>
    <w:p w14:paraId="111D8EDF"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Посольство Французской республики в СССР</w:t>
      </w:r>
    </w:p>
    <w:p w14:paraId="35FEBDC8"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Департамент политических и торговых дел</w:t>
      </w:r>
    </w:p>
    <w:p w14:paraId="08C3610D"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Депеша №772</w:t>
      </w:r>
    </w:p>
    <w:p w14:paraId="4A6ED676"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(Европа)</w:t>
      </w:r>
    </w:p>
    <w:p w14:paraId="19264330"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Москва, 16 декабря 1930, почтой</w:t>
      </w:r>
    </w:p>
    <w:p w14:paraId="6BEC4580"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Посол Франции в Москве министру иностранных дел Аристиду Бриану</w:t>
      </w:r>
    </w:p>
    <w:p w14:paraId="62334120"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Передовая «Известий» о франко-советских отношениях</w:t>
      </w:r>
    </w:p>
    <w:p w14:paraId="63564BC1"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 приложении отправляю в отдел перевод статьи о франко-советских отношениях, опубликованной сегодня на первой странице «Известий» (за исключением нескольких фраз, которые не представляют особого интереса для Франции). Эта статья написана в форме ответа Франсуа-Марсалю.</w:t>
      </w:r>
    </w:p>
    <w:p w14:paraId="00A510DF"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Эрбет</w:t>
      </w:r>
    </w:p>
    <w:p w14:paraId="5784E1C0"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203. Машинописный подлинник, подпись — автограф. Штамп Департамента политических и торговых дел с датой «24 дек. 1930» и вписанным от руки номером о сдаче в архив «z 619-20 s/d5». Ниже штамп Кабинета министра с датой «22 дек. 1930» (18781).</w:t>
      </w:r>
    </w:p>
    <w:p w14:paraId="1FD55912" w14:textId="77777777" w:rsidR="00596600" w:rsidRPr="00507A31" w:rsidRDefault="00596600" w:rsidP="00507A31">
      <w:pPr>
        <w:jc w:val="both"/>
        <w:rPr>
          <w:color w:val="000000" w:themeColor="text1"/>
          <w:sz w:val="16"/>
          <w:szCs w:val="16"/>
        </w:rPr>
      </w:pPr>
    </w:p>
    <w:p w14:paraId="56C6D012" w14:textId="77777777" w:rsidR="00596600" w:rsidRPr="00507A31" w:rsidRDefault="00596600" w:rsidP="00507A31">
      <w:pPr>
        <w:jc w:val="both"/>
        <w:rPr>
          <w:bCs/>
          <w:color w:val="000000" w:themeColor="text1"/>
          <w:sz w:val="16"/>
          <w:szCs w:val="16"/>
        </w:rPr>
      </w:pPr>
      <w:r w:rsidRPr="00507A31">
        <w:rPr>
          <w:color w:val="000000" w:themeColor="text1"/>
          <w:sz w:val="16"/>
          <w:szCs w:val="16"/>
        </w:rPr>
        <w:t>16 декабря 1930 г.</w:t>
      </w:r>
    </w:p>
    <w:p w14:paraId="242915C9" w14:textId="77777777" w:rsidR="00596600" w:rsidRPr="00507A31" w:rsidRDefault="00596600" w:rsidP="00507A31">
      <w:pPr>
        <w:jc w:val="both"/>
        <w:rPr>
          <w:bCs/>
          <w:color w:val="000000" w:themeColor="text1"/>
          <w:sz w:val="16"/>
          <w:szCs w:val="16"/>
        </w:rPr>
      </w:pPr>
      <w:r w:rsidRPr="00507A31">
        <w:rPr>
          <w:color w:val="000000" w:themeColor="text1"/>
          <w:sz w:val="16"/>
          <w:szCs w:val="16"/>
        </w:rPr>
        <w:t>«Из дневника т. Флоринского» (обед у посла Германии в Москве Герберта фон Дирксена) от 16 декабря 1930 г.</w:t>
      </w:r>
    </w:p>
    <w:p w14:paraId="5735924A"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lastRenderedPageBreak/>
        <w:t>Источник: </w:t>
      </w:r>
    </w:p>
    <w:p w14:paraId="3D3A0BA8"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6DDFFA6"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Архив: </w:t>
      </w:r>
    </w:p>
    <w:p w14:paraId="3DA5786B" w14:textId="77777777" w:rsidR="00596600" w:rsidRPr="00507A31" w:rsidRDefault="00596600" w:rsidP="00507A31">
      <w:pPr>
        <w:jc w:val="both"/>
        <w:rPr>
          <w:color w:val="000000" w:themeColor="text1"/>
          <w:sz w:val="16"/>
          <w:szCs w:val="16"/>
        </w:rPr>
      </w:pPr>
      <w:r w:rsidRPr="00507A31">
        <w:rPr>
          <w:color w:val="000000" w:themeColor="text1"/>
          <w:sz w:val="16"/>
          <w:szCs w:val="16"/>
        </w:rPr>
        <w:t>АВП РФ. Ф. 0136. On. 14. П. 140. Д. 593. Л. 156</w:t>
      </w:r>
    </w:p>
    <w:p w14:paraId="1009771E"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от 16 декабря 1930 г.</w:t>
      </w:r>
    </w:p>
    <w:p w14:paraId="562B6FFF"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5B746905"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ВЫПИСКА</w:t>
      </w:r>
    </w:p>
    <w:p w14:paraId="1BEDC76D"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из дневника т. Флоринского от 16/ХII-30 г. за № 7446</w:t>
      </w:r>
    </w:p>
    <w:p w14:paraId="0C085593"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Обед у Ф. Дирксена. Т. Крестинский с женой, Британский Посол с женой, Греческий и Австрийский Посланники с женами, Амо с женой, Торп с женой, Конти с женой, ф[он] Твардовский с женой, германский архитектор Май и я. Сидевшая со мной рядом за обедом м-м Конти, в достаточной мере бестактная, заводила разговоры о процессе. «Не думаете ли Вы, что таинственный г. К. мой муж? Гораздо приятнее быть женой нашумевшего героя процесса, чем какой-то м-м Конти.[»] — Сухо ей ответил, что ей самой должно быть хорошо известно, что г. К. не ее муж; вообще говоря, вряд ли может быть лестной репутация провалившегося агента; у нас во всяком случае здесь нечем хвастаться. — Далее м-м Конти жаловалась на работу, которую ей дал процесс: ей приходилось помогать мужу шифровать бесконечные материалы процесса, которые, по ее мнению, отлично можно было передавать клэрам. — За десертом среди печенья она выискала букву К, которую мне и передала. Глупая, бестактная женщина. — Фон Твардовский тоже говорил со мной о процессе. На мое замечание о недружелюбной позиции германской прессы, повторявшей французские наветы, ф. Твардовский сделал упрек, что Посольство не было заблаговременно информировано о процессе, что позволило бы ему воздействовать на прессу и дать ей известное направление; потребовались большие усилия со стороны Посольства, чтобы разобраться в колоссальном материале процесса; например, одна проработка речи т. Крыленко заняла около 2-х суток. — По этому поводу я обратил внимание Твардовского, что обвинительное заключение было распубликовано за 2 недели до начала процесса.</w:t>
      </w:r>
    </w:p>
    <w:p w14:paraId="36C7ABFD"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0136. On. 14.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140.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593. </w:t>
      </w:r>
      <w:r w:rsidRPr="00507A31">
        <w:rPr>
          <w:rStyle w:val="af0"/>
          <w:i w:val="0"/>
          <w:color w:val="000000" w:themeColor="text1"/>
          <w:sz w:val="16"/>
          <w:szCs w:val="16"/>
        </w:rPr>
        <w:t>Л. 156. Заверенная машинописная копия того времени. Гриф секретности машинописью вверху справа. Формула «Верно:» машинописью, подпись-автограф заверяющего лица «Трофимов» (18818).</w:t>
      </w:r>
    </w:p>
    <w:p w14:paraId="251DDC9B" w14:textId="77777777" w:rsidR="00596600" w:rsidRPr="00507A31" w:rsidRDefault="00596600" w:rsidP="00507A31">
      <w:pPr>
        <w:jc w:val="both"/>
        <w:rPr>
          <w:color w:val="000000" w:themeColor="text1"/>
          <w:sz w:val="16"/>
          <w:szCs w:val="16"/>
        </w:rPr>
      </w:pPr>
    </w:p>
    <w:p w14:paraId="05A4FC08" w14:textId="77777777" w:rsidR="00596600" w:rsidRPr="00507A31" w:rsidRDefault="00596600" w:rsidP="00507A31">
      <w:pPr>
        <w:jc w:val="both"/>
        <w:rPr>
          <w:bCs/>
          <w:color w:val="000000" w:themeColor="text1"/>
          <w:sz w:val="16"/>
          <w:szCs w:val="16"/>
        </w:rPr>
      </w:pPr>
      <w:r w:rsidRPr="00507A31">
        <w:rPr>
          <w:color w:val="000000" w:themeColor="text1"/>
          <w:sz w:val="16"/>
          <w:szCs w:val="16"/>
        </w:rPr>
        <w:t>16 декабря 1930 г.</w:t>
      </w:r>
    </w:p>
    <w:p w14:paraId="25656A97" w14:textId="77777777" w:rsidR="00596600" w:rsidRPr="00507A31" w:rsidRDefault="00596600" w:rsidP="00507A31">
      <w:pPr>
        <w:jc w:val="both"/>
        <w:rPr>
          <w:bCs/>
          <w:color w:val="000000" w:themeColor="text1"/>
          <w:sz w:val="16"/>
          <w:szCs w:val="16"/>
        </w:rPr>
      </w:pPr>
      <w:r w:rsidRPr="00507A31">
        <w:rPr>
          <w:color w:val="000000" w:themeColor="text1"/>
          <w:sz w:val="16"/>
          <w:szCs w:val="16"/>
        </w:rPr>
        <w:t>Заседание «Ударной комиссии» ВОКС по вопросу о политических директивах и текущих задачах отделов в связи с кампанией по процессу «Промпартии». 16 декабря 1930 г.</w:t>
      </w:r>
    </w:p>
    <w:p w14:paraId="3EB6F8B9"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0C70B132"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A4A726D"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16 декабря 1930 г.</w:t>
      </w:r>
    </w:p>
    <w:p w14:paraId="7514A054"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Не подлежит оглашению</w:t>
      </w:r>
    </w:p>
    <w:p w14:paraId="3357A376"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ПРОТОКОЛ № 8</w:t>
      </w:r>
    </w:p>
    <w:p w14:paraId="4426C3E7"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заседания ударной комиссии от 16.XII.</w:t>
      </w:r>
    </w:p>
    <w:p w14:paraId="1E364D30"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Присутствовали: т.т. Петров, Шуман, Брук, Мстиславский, Богомазов, Ингбер, Песис, Штейнберг, Мельников, Гриневич, Амдур, Ешуков, Закс-Гладнева, Белостоцкая, Новомирский, Ротенберг.</w:t>
      </w:r>
    </w:p>
    <w:p w14:paraId="243BDCD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Председатель — Петров.</w:t>
      </w:r>
    </w:p>
    <w:p w14:paraId="2794ED7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Секретарь — Ротенберг.</w:t>
      </w:r>
    </w:p>
    <w:p w14:paraId="1767C122"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СЛУШАЛИ:</w:t>
      </w:r>
    </w:p>
    <w:p w14:paraId="0268FE56"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Сообщение т. Петрова о политических директивах по проведению кампании.</w:t>
      </w:r>
    </w:p>
    <w:p w14:paraId="10F1D993"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т. ПЕТРОВ сообщает, что за границей массовые мероприятия на защиту СССР (митинги, демонстрации и т. д.) только начинают разворачиваться. В дружественной нам прессе в связи с окончанием процесса замечается ослабление внимания к вопросу защиты СССР в связи с подготовкой интервенции. С другой стороны, в буржуазной и в особенности в социал-демократической печати кампания против СССР в полном разгаре. При этом, так как благодаря помилованию осужденных, был выбит главный козырь из рук буржуазии, кампания против СССР ведется теперь по линии дискредитации процесса и целой волны клеветы о травле интеллигенции в СССР, голоде и т. д. Враждебная против СССР кампания несомненно усиливается, но ведется теперь более углубленными методами.</w:t>
      </w:r>
    </w:p>
    <w:p w14:paraId="293495F4"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 связи с этим перед ВОКСом стоит задача не только не ослаблять ударной работы, которая была начата вокруг процесса «Промпартии», но усилить ее, как по линии массовой, так и печати, проводя ее теперь под лозунгом борьбы против интервенции.</w:t>
      </w:r>
    </w:p>
    <w:p w14:paraId="616968F0"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Максимальную напряженность кампания должна приобрести в период между 15 января и 1 февраля, когда будут проводиться ленинские дни и ознаменование смерти Карла Либкнехта и Розы Люксембург. К этому времени должны быть приурочены массовые мероприятия за границей, выпуск брошюр и др. изданий, усиленная посылка статей и т. д.</w:t>
      </w:r>
    </w:p>
    <w:p w14:paraId="23EB9AFA"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ПОСТАНОВИЛИ:</w:t>
      </w:r>
    </w:p>
    <w:p w14:paraId="20A52FDB"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Сообщение т. Петрова принять к руководству.</w:t>
      </w:r>
    </w:p>
    <w:p w14:paraId="7C299F86"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СЛУШАЛИ 2.</w:t>
      </w:r>
    </w:p>
    <w:p w14:paraId="63D9D602"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О заданиях, стоящих перед отделами в связи с кампанией.</w:t>
      </w:r>
    </w:p>
    <w:p w14:paraId="36F3EE28"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т. Петров указывает на следующие задания, стоящие перед отделами ВОКС:</w:t>
      </w:r>
    </w:p>
    <w:p w14:paraId="47044FCB"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По линии ОВС.</w:t>
      </w:r>
    </w:p>
    <w:p w14:paraId="0B7601BB" w14:textId="77777777" w:rsidR="00596600" w:rsidRPr="00507A31" w:rsidRDefault="00596600" w:rsidP="00507A31">
      <w:pPr>
        <w:numPr>
          <w:ilvl w:val="0"/>
          <w:numId w:val="159"/>
        </w:numPr>
        <w:ind w:left="0" w:firstLine="0"/>
        <w:jc w:val="both"/>
        <w:rPr>
          <w:color w:val="000000" w:themeColor="text1"/>
          <w:sz w:val="16"/>
          <w:szCs w:val="16"/>
        </w:rPr>
      </w:pPr>
      <w:r w:rsidRPr="00507A31">
        <w:rPr>
          <w:color w:val="000000" w:themeColor="text1"/>
          <w:sz w:val="16"/>
          <w:szCs w:val="16"/>
        </w:rPr>
        <w:t>Необходимо дать директивы уполномоченным о тщательном пересмотре состава Обществ Сближения под углом зрения исключения пассивных и скрыто враждебных элементов и привлечения новых слоев трудовой интеллигенции.</w:t>
      </w:r>
    </w:p>
    <w:p w14:paraId="492D1463"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 отношении социал-демократов следует придерживаться следующей тактики: вышибать из об-в руководителей социал-демократической партии и вовлекать широкие массы интеллигенции и культурных рабочих, которые относятся сочувственно к СССР.</w:t>
      </w:r>
    </w:p>
    <w:p w14:paraId="6173EF4E" w14:textId="77777777" w:rsidR="00596600" w:rsidRPr="00507A31" w:rsidRDefault="00596600" w:rsidP="00507A31">
      <w:pPr>
        <w:numPr>
          <w:ilvl w:val="0"/>
          <w:numId w:val="160"/>
        </w:numPr>
        <w:ind w:left="0" w:firstLine="0"/>
        <w:jc w:val="both"/>
        <w:rPr>
          <w:color w:val="000000" w:themeColor="text1"/>
          <w:sz w:val="16"/>
          <w:szCs w:val="16"/>
        </w:rPr>
      </w:pPr>
      <w:r w:rsidRPr="00507A31">
        <w:rPr>
          <w:color w:val="000000" w:themeColor="text1"/>
          <w:sz w:val="16"/>
          <w:szCs w:val="16"/>
        </w:rPr>
        <w:t>Необходимо установить более тесную связь с уполномоченными в частности внести плановость во всю проводимую заграницей работу и наладить систематическую информацию Об-в и уполномоченных о намеченных к проведению мероприятиях (посылка докладчиков, выставок и т. д.). Для этого целесообразно включить в издающийся ВОКСом информационный бюллетень особый раздел, в котором давать регулярную информацию о внутренней работе ВОКС и предполагаемых за границей мероприятиях.</w:t>
      </w:r>
    </w:p>
    <w:p w14:paraId="37B07F45" w14:textId="77777777" w:rsidR="00596600" w:rsidRPr="00507A31" w:rsidRDefault="00596600" w:rsidP="00507A31">
      <w:pPr>
        <w:numPr>
          <w:ilvl w:val="0"/>
          <w:numId w:val="161"/>
        </w:numPr>
        <w:ind w:left="0" w:firstLine="0"/>
        <w:jc w:val="both"/>
        <w:rPr>
          <w:color w:val="000000" w:themeColor="text1"/>
          <w:sz w:val="16"/>
          <w:szCs w:val="16"/>
        </w:rPr>
      </w:pPr>
      <w:r w:rsidRPr="00507A31">
        <w:rPr>
          <w:color w:val="000000" w:themeColor="text1"/>
          <w:sz w:val="16"/>
          <w:szCs w:val="16"/>
        </w:rPr>
        <w:t>Необходимо установить связь с возникшим в ноябре мес. (после раскола организации свободомыслящих на конгрессе в Чехословакии) пролетарским интернационалом свободомыслящих, стоящем на классово-политической платформе. Эта организация разрабатывает широкую программу работы, в которую входит пропаганда научного материализма и предполагает вовлекать в работу широкие массы интеллигенции. Работе этого интернационала должно уделяться место в журнале ВОКС.</w:t>
      </w:r>
    </w:p>
    <w:p w14:paraId="090F3E2E" w14:textId="77777777" w:rsidR="00596600" w:rsidRPr="00507A31" w:rsidRDefault="00596600" w:rsidP="00507A31">
      <w:pPr>
        <w:numPr>
          <w:ilvl w:val="0"/>
          <w:numId w:val="162"/>
        </w:numPr>
        <w:ind w:left="0" w:firstLine="0"/>
        <w:jc w:val="both"/>
        <w:rPr>
          <w:color w:val="000000" w:themeColor="text1"/>
          <w:sz w:val="16"/>
          <w:szCs w:val="16"/>
        </w:rPr>
      </w:pPr>
      <w:r w:rsidRPr="00507A31">
        <w:rPr>
          <w:color w:val="000000" w:themeColor="text1"/>
          <w:sz w:val="16"/>
          <w:szCs w:val="16"/>
        </w:rPr>
        <w:t>В целях систематического «учета необходимо подбирать все материалы (по линии печати, массовых мероприятий, выступлений деятелей и т. д.), связанные с проведением за границей кампании по линии ВОКС.</w:t>
      </w:r>
    </w:p>
    <w:p w14:paraId="28D12276"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По линии Отдела Печати.</w:t>
      </w:r>
    </w:p>
    <w:p w14:paraId="7A23C1BC"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При подготовке материалов в связи с кампанией по интервенции следует исходить из изучения буржуазной прессы, отражая те аргументы, которые выдвигаются ею против СССР.</w:t>
      </w:r>
    </w:p>
    <w:p w14:paraId="48CC4454" w14:textId="77777777" w:rsidR="00596600" w:rsidRPr="00507A31" w:rsidRDefault="00596600" w:rsidP="00507A31">
      <w:pPr>
        <w:numPr>
          <w:ilvl w:val="0"/>
          <w:numId w:val="163"/>
        </w:numPr>
        <w:ind w:left="0" w:firstLine="0"/>
        <w:jc w:val="both"/>
        <w:rPr>
          <w:color w:val="000000" w:themeColor="text1"/>
          <w:sz w:val="16"/>
          <w:szCs w:val="16"/>
        </w:rPr>
      </w:pPr>
      <w:r w:rsidRPr="00507A31">
        <w:rPr>
          <w:color w:val="000000" w:themeColor="text1"/>
          <w:sz w:val="16"/>
          <w:szCs w:val="16"/>
        </w:rPr>
        <w:t>В ближайшем будущем надо подготовить статьи на след[ующие] темы:</w:t>
      </w:r>
    </w:p>
    <w:p w14:paraId="5F662E3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а) демпинг, б) рост социалистического строительства. Желательно дать противопоставление успешной реализации пятилетки и растущего мирового кризиса, изжития безработицы в СССР и роста безработицы за границей и т. д., в) дать серию марксистских статей по отдельным дисциплинам, выявляющих направление науки в СССР и разбивающих идеалистические течения в науке и литературе.</w:t>
      </w:r>
    </w:p>
    <w:p w14:paraId="6E08F7A8" w14:textId="77777777" w:rsidR="00596600" w:rsidRPr="00507A31" w:rsidRDefault="00596600" w:rsidP="00507A31">
      <w:pPr>
        <w:numPr>
          <w:ilvl w:val="0"/>
          <w:numId w:val="164"/>
        </w:numPr>
        <w:ind w:left="0" w:firstLine="0"/>
        <w:jc w:val="both"/>
        <w:rPr>
          <w:color w:val="000000" w:themeColor="text1"/>
          <w:sz w:val="16"/>
          <w:szCs w:val="16"/>
        </w:rPr>
      </w:pPr>
      <w:r w:rsidRPr="00507A31">
        <w:rPr>
          <w:color w:val="000000" w:themeColor="text1"/>
          <w:sz w:val="16"/>
          <w:szCs w:val="16"/>
        </w:rPr>
        <w:t>К Ленинским дням надо заготовить ряд статей о ленинизме на основе Сталинской установки. Особо надо дать статью на тему «Ленин и интервенция».</w:t>
      </w:r>
    </w:p>
    <w:p w14:paraId="6911E0E3" w14:textId="77777777" w:rsidR="00596600" w:rsidRPr="00507A31" w:rsidRDefault="00596600" w:rsidP="00507A31">
      <w:pPr>
        <w:numPr>
          <w:ilvl w:val="0"/>
          <w:numId w:val="165"/>
        </w:numPr>
        <w:ind w:left="0" w:firstLine="0"/>
        <w:jc w:val="both"/>
        <w:rPr>
          <w:color w:val="000000" w:themeColor="text1"/>
          <w:sz w:val="16"/>
          <w:szCs w:val="16"/>
        </w:rPr>
      </w:pPr>
      <w:r w:rsidRPr="00507A31">
        <w:rPr>
          <w:color w:val="000000" w:themeColor="text1"/>
          <w:sz w:val="16"/>
          <w:szCs w:val="16"/>
        </w:rPr>
        <w:t>Необходимо подготовить специальную брошюру на тему «Интеллигенция и пролетарская революция», где должна быть выявлена роль интеллигенции в бесклассовом обществе и разоблачено положение интеллигенции в буржуазном обществе (18924).</w:t>
      </w:r>
    </w:p>
    <w:p w14:paraId="6DED6437" w14:textId="77777777" w:rsidR="00596600" w:rsidRPr="00507A31" w:rsidRDefault="00596600" w:rsidP="00507A31">
      <w:pPr>
        <w:jc w:val="both"/>
        <w:rPr>
          <w:color w:val="000000" w:themeColor="text1"/>
          <w:sz w:val="16"/>
          <w:szCs w:val="16"/>
        </w:rPr>
      </w:pPr>
    </w:p>
    <w:p w14:paraId="472A8692" w14:textId="77777777" w:rsidR="00596600" w:rsidRPr="00507A31" w:rsidRDefault="00596600" w:rsidP="00507A31">
      <w:pPr>
        <w:jc w:val="both"/>
        <w:rPr>
          <w:color w:val="000000" w:themeColor="text1"/>
          <w:sz w:val="16"/>
          <w:szCs w:val="16"/>
        </w:rPr>
      </w:pPr>
      <w:r w:rsidRPr="00507A31">
        <w:rPr>
          <w:color w:val="000000" w:themeColor="text1"/>
          <w:sz w:val="16"/>
          <w:szCs w:val="16"/>
        </w:rPr>
        <w:t>http://istmat.info/node/61554</w:t>
      </w:r>
    </w:p>
    <w:p w14:paraId="45795ACB" w14:textId="77777777" w:rsidR="00596600" w:rsidRPr="00507A31" w:rsidRDefault="00596600" w:rsidP="00507A31">
      <w:pPr>
        <w:jc w:val="both"/>
        <w:rPr>
          <w:color w:val="000000" w:themeColor="text1"/>
          <w:sz w:val="16"/>
          <w:szCs w:val="16"/>
        </w:rPr>
      </w:pPr>
    </w:p>
    <w:p w14:paraId="5B9CE9B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DBF3F17" w14:textId="77777777" w:rsidR="00537E5F" w:rsidRPr="00507A31" w:rsidRDefault="00537E5F" w:rsidP="00507A31">
      <w:pPr>
        <w:autoSpaceDE w:val="0"/>
        <w:autoSpaceDN w:val="0"/>
        <w:adjustRightInd w:val="0"/>
        <w:jc w:val="both"/>
        <w:rPr>
          <w:iCs/>
          <w:color w:val="000000" w:themeColor="text1"/>
          <w:sz w:val="16"/>
          <w:szCs w:val="16"/>
        </w:rPr>
      </w:pPr>
    </w:p>
    <w:p w14:paraId="1CE429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декабря 1930 в Испании была объявлена всеобщая забастовка в поддержку революции (2100).</w:t>
      </w:r>
    </w:p>
    <w:p w14:paraId="78274C04" w14:textId="77777777" w:rsidR="00537E5F" w:rsidRPr="00507A31" w:rsidRDefault="00537E5F" w:rsidP="00507A31">
      <w:pPr>
        <w:autoSpaceDE w:val="0"/>
        <w:autoSpaceDN w:val="0"/>
        <w:adjustRightInd w:val="0"/>
        <w:jc w:val="both"/>
        <w:rPr>
          <w:color w:val="000000" w:themeColor="text1"/>
          <w:sz w:val="16"/>
          <w:szCs w:val="16"/>
        </w:rPr>
      </w:pPr>
    </w:p>
    <w:p w14:paraId="169C26E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F8CF954" w14:textId="77777777" w:rsidR="00537E5F" w:rsidRPr="00507A31" w:rsidRDefault="00537E5F" w:rsidP="00507A31">
      <w:pPr>
        <w:autoSpaceDE w:val="0"/>
        <w:autoSpaceDN w:val="0"/>
        <w:adjustRightInd w:val="0"/>
        <w:jc w:val="both"/>
        <w:rPr>
          <w:iCs/>
          <w:color w:val="000000" w:themeColor="text1"/>
          <w:sz w:val="16"/>
          <w:szCs w:val="16"/>
        </w:rPr>
      </w:pPr>
    </w:p>
    <w:p w14:paraId="5E45F9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17 декабря 1930 на заводе 22 были 10 готовых серийных АНТ-9, но принят был лишь один. В 1931 поставили 35 (10542,21).</w:t>
      </w:r>
    </w:p>
    <w:p w14:paraId="3D70A3DE" w14:textId="77777777" w:rsidR="00537E5F" w:rsidRPr="00507A31" w:rsidRDefault="00537E5F" w:rsidP="00507A31">
      <w:pPr>
        <w:autoSpaceDE w:val="0"/>
        <w:autoSpaceDN w:val="0"/>
        <w:adjustRightInd w:val="0"/>
        <w:jc w:val="both"/>
        <w:rPr>
          <w:color w:val="000000" w:themeColor="text1"/>
          <w:sz w:val="16"/>
          <w:szCs w:val="16"/>
        </w:rPr>
      </w:pPr>
    </w:p>
    <w:p w14:paraId="254B59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декабря 1930 состоялось техническое совещание руководителей групп отдела АГОС о тематическом плане на 1931 и в т.ч. поплавках для АНТ-4, которые поручили В.М.П. (1077,83). В.М.П. поручили статиспытания коробки крыла АНТ-7 (1077,152). Наметили и изготовление серийных чертежей АНТ-14 (1077,164). Определили трудозатраты по АНТ-16 (ТБ-4) (1077,172). В.М.П. поручили работу по расчету крыла АНТ-20 (1077,226). В т.ч. и МК-1 АНТ-22 - проектирование (1077,249).</w:t>
      </w:r>
    </w:p>
    <w:p w14:paraId="56AE077C" w14:textId="77777777" w:rsidR="00537E5F" w:rsidRPr="00507A31" w:rsidRDefault="00537E5F" w:rsidP="00507A31">
      <w:pPr>
        <w:autoSpaceDE w:val="0"/>
        <w:autoSpaceDN w:val="0"/>
        <w:adjustRightInd w:val="0"/>
        <w:jc w:val="both"/>
        <w:rPr>
          <w:color w:val="000000" w:themeColor="text1"/>
          <w:sz w:val="16"/>
          <w:szCs w:val="16"/>
        </w:rPr>
      </w:pPr>
    </w:p>
    <w:p w14:paraId="6D620D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декабря 1930 года были подготовлены Тактические требования к самолетам ВВС</w:t>
      </w:r>
    </w:p>
    <w:p w14:paraId="65AA89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Корпусной разведчик (он же корректировщик АРГК).</w:t>
      </w:r>
    </w:p>
    <w:p w14:paraId="5A654C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Назначение:</w:t>
      </w:r>
    </w:p>
    <w:p w14:paraId="7B3A19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разведка войскового тыла противника и поля боя;</w:t>
      </w:r>
    </w:p>
    <w:p w14:paraId="7EFDA3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наблюдение за полем боя, поддержание связи между колоннами на марше, корректирование артогня артиллерии;</w:t>
      </w:r>
    </w:p>
    <w:p w14:paraId="636B87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агитационная служба;</w:t>
      </w:r>
    </w:p>
    <w:p w14:paraId="2F277F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постановка дымовых завес на земле.</w:t>
      </w:r>
    </w:p>
    <w:p w14:paraId="194193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Условия работы:</w:t>
      </w:r>
    </w:p>
    <w:p w14:paraId="03C937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 аэродромов близко расположенных к штабам корпусов и дивизий в целях наилучшей связи и возможности личного общения;</w:t>
      </w:r>
    </w:p>
    <w:p w14:paraId="59696D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возможного (но не обязательного) противодействия истребительной авиации.</w:t>
      </w:r>
    </w:p>
    <w:p w14:paraId="3C8B00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Это требует минимальной посадочной скорости и сильного оборонительного вооружения. Работа с артиллерией в условиях противодействия истребительной авиации; требует разделения функций по наблюдению за землей и воздухом, т.е. наличия кроме наблюдателя и воздушного стрелка.</w:t>
      </w:r>
    </w:p>
    <w:p w14:paraId="3BA391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Дальность действия корпусной авиации - нормально - 2 - 3 перехода в тыл противника - от линии фронта до конечно-выгрузочной станции.</w:t>
      </w:r>
    </w:p>
    <w:p w14:paraId="0D11CF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Характер разведки - выяснение детального расположения противника, его передвижения по дорогам, расположения войсковых тылов и аэродромов (быстрая доставка и передача данных разведки безусловно обязательна). Высота применения не более 2000-3000 м. Для разведки объектов плохо различаемых днем (бивачные огни, вспышки выстрелов) возникает необходимость в выполнении ночных полетов.</w:t>
      </w:r>
    </w:p>
    <w:p w14:paraId="7F436F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Основные требования и их последовательность.</w:t>
      </w:r>
    </w:p>
    <w:p w14:paraId="5924739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Обзор и обстрел.</w:t>
      </w:r>
    </w:p>
    <w:p w14:paraId="667284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Минимальная посадочная скорость.</w:t>
      </w:r>
    </w:p>
    <w:p w14:paraId="5243A2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Горизонтальная скорость 2000 м - 200 км.</w:t>
      </w:r>
    </w:p>
    <w:p w14:paraId="07BF0C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Радиус действия - 150 км.</w:t>
      </w:r>
    </w:p>
    <w:p w14:paraId="4745F3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Маневренность, скороподъемность и диапазон скоростей.</w:t>
      </w:r>
    </w:p>
    <w:p w14:paraId="618B1B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Потолок - 3500 - 4000 м.</w:t>
      </w:r>
    </w:p>
    <w:p w14:paraId="30A945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 и оборудование.</w:t>
      </w:r>
    </w:p>
    <w:p w14:paraId="68DC0B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Один скорострельный пулемет через винт, 2 - на турели у летчика наблюдателя, 1 орудие кал. 20 - 30 мм - у воздушного стрелка.</w:t>
      </w:r>
    </w:p>
    <w:p w14:paraId="5CBF87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второстепенных участках фронта потребуется увеличение нагрузки горючим за счет воздушного стрелка в целях выполнения самолетом задач по дальней разведке, до 5 часов.</w:t>
      </w:r>
    </w:p>
    <w:p w14:paraId="3AC038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Возможность установки бомб (за счет воздушного стрелка) обязательна в целях применения корпусного разведчика для бомбардирования и штурмовых действий, что требует наличия быстро устанавливаемых бомбодержателей для бомб калибра 10-25 кг общим весом 160 кг.</w:t>
      </w:r>
    </w:p>
    <w:p w14:paraId="7B524D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w:t>
      </w:r>
    </w:p>
    <w:p w14:paraId="1F7F91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Конструкция 2-х моторного самолета из-за увеличения эксплуатационных затруднений и увеличения размеров в условиях работы с передовых аэродромов - нежелательна;</w:t>
      </w:r>
    </w:p>
    <w:p w14:paraId="7BF643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Для стратегической конницы, где корректирование артогня не вызывается необходимостью, потребуется другой тип самолета, обладающий качеством сочетания разведчика и истребителя.</w:t>
      </w:r>
    </w:p>
    <w:p w14:paraId="3186F5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Армейский разведчик - он же легкий бомбардировщик.</w:t>
      </w:r>
    </w:p>
    <w:p w14:paraId="2190EE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Назначение:</w:t>
      </w:r>
    </w:p>
    <w:p w14:paraId="501798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разведка тыла противника с целью выявления оперативных намерений противника (ж/д перебросок), инженерной подготовки театра;</w:t>
      </w:r>
    </w:p>
    <w:p w14:paraId="344141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разведка объектов, намечаемой к бомбардированию легкой и тяжело- бомбардировочной авиацией;</w:t>
      </w:r>
    </w:p>
    <w:p w14:paraId="468392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выполнение задач по бомбардированию войск и несложных сооружений и</w:t>
      </w:r>
    </w:p>
    <w:p w14:paraId="40A0C3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агитационная служба.</w:t>
      </w:r>
    </w:p>
    <w:p w14:paraId="7280E4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условия работы. Дальность действия армейского разведчика - 400 км от конечно-выгрузочных станций противника (2 суточных пробега); высота применения в целях безопасности от зенитной артиллерии противника 4000-5000 м. Наличие большого количества объектов и большая высота применения, требуют дополнения визуальной разведки фотографированием с больших высот. Дальность действия и противовоздушная оборона противника потребуют выполнения ночных полетов особенно в летнее время (вылет или посадка ночью).</w:t>
      </w:r>
    </w:p>
    <w:p w14:paraId="55C326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армейского разведчика будет протекать в условиях возможной встречи с истребительной авиацией противника, что требует летных данных, не намного уступающих истребительной авиации на высоте применения и сильного оборонительного вооружения.</w:t>
      </w:r>
    </w:p>
    <w:p w14:paraId="3AB755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Основные требования:</w:t>
      </w:r>
    </w:p>
    <w:p w14:paraId="265953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Обзор и обстрел;</w:t>
      </w:r>
    </w:p>
    <w:p w14:paraId="4BEF6E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Радиус действия - 650-750 км (для легкого бомбардировщика не менее 600 км);</w:t>
      </w:r>
    </w:p>
    <w:p w14:paraId="3B77BE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Скороподъемность на 3000 м - 8-10 мин.;</w:t>
      </w:r>
    </w:p>
    <w:p w14:paraId="7BCD27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Потолок 7000-7500 м (для бомбардировщика не менее 6000 м);</w:t>
      </w:r>
    </w:p>
    <w:p w14:paraId="08611B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 Горизонтальная скорость на 5000 м - 270-280 км/час;</w:t>
      </w:r>
    </w:p>
    <w:p w14:paraId="106B09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 Бомбовая нагрузка - 500 кг (для легкого бомбардировщика);</w:t>
      </w:r>
    </w:p>
    <w:p w14:paraId="75452C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ж) Минимальная посадочная скорость;</w:t>
      </w:r>
    </w:p>
    <w:p w14:paraId="79D677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 Экипаж - 2 человека.</w:t>
      </w:r>
    </w:p>
    <w:p w14:paraId="33B6D8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w:t>
      </w:r>
    </w:p>
    <w:p w14:paraId="089543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скоростр. Пулемета через винт, 2 - на турели. Запас патронов должен обеспечить возможность неоднократного ведения боя. Бомбовая нагрузка - для действия по разным целям (калибр - 10-50, 100 кг) не менее 500 кг, повышающаяся за счет уменьшения горючего, за счет перегрузки - 2 пулемета на плоскостях.</w:t>
      </w:r>
    </w:p>
    <w:p w14:paraId="615198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 Развитие этого типа должно идти в сторону улучшения летных качеств (горизонтальной скорости, потолка) и одновременно бомбовой нагрузки.</w:t>
      </w:r>
    </w:p>
    <w:p w14:paraId="1266FF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Боевая авиация</w:t>
      </w:r>
    </w:p>
    <w:p w14:paraId="146A3F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Истребитель одноместный</w:t>
      </w:r>
    </w:p>
    <w:p w14:paraId="4B1A78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Назначение:</w:t>
      </w:r>
    </w:p>
    <w:p w14:paraId="519E70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Наступательный воздушный бой с неприятельскими самолетами и аэростатами разных типов как на фронте, так и в своем тылу и противника;</w:t>
      </w:r>
    </w:p>
    <w:p w14:paraId="465DD5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в некоторых благоприятных условиях обстановки - штурмовые действия;</w:t>
      </w:r>
    </w:p>
    <w:p w14:paraId="18D99C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 условиях сильного противодействия истребительной авиации противника, иногда на истребителя могут быть возложены задачи по разведке и охранению передвижения крупных войсковых единиц (пехоты, кавалерии и артиллерии).</w:t>
      </w:r>
    </w:p>
    <w:p w14:paraId="6F64A6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Условия работы.</w:t>
      </w:r>
    </w:p>
    <w:p w14:paraId="034234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Истребительная авиация действует группами и соединениями в строях и порядках, обеспечивающих сомкнутость, хороший обзор и свободу маневрирования.</w:t>
      </w:r>
    </w:p>
    <w:p w14:paraId="1DD7C5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Одноместный истребитель может выполнять свои задачи будучи уже в воздухе или вылетая по вызову с аэродрома, что требует большой вертикальной скорости.</w:t>
      </w:r>
    </w:p>
    <w:p w14:paraId="79C6CA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Характер действия боевой авиации и огонь зенитной артиллерии требуют от истребителя большого потолка. Высота применения - 5000 - 6000 м с сохранением на этой высоте всех летных данных и качеств. Активный наступательный бой истребителя возможен благодаря качествам маневренности и мощности огня. Маневренность одноместного истребителя должна быть выше всех двух и многоместных самолетов. Обороноспособность и большая сфера обстрела многоместного самолета - требуют от истребителя мощного огня и с дальних дистанций.</w:t>
      </w:r>
    </w:p>
    <w:p w14:paraId="5A45F7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выхода из боя и для преследования истребитель должен обладать горизонтальной скоростью, превосходящей все остальные типы самолетов.</w:t>
      </w:r>
    </w:p>
    <w:p w14:paraId="494472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Нормальная продолжительность пребывания в воздухе - 2,5 - 3 часа.</w:t>
      </w:r>
    </w:p>
    <w:p w14:paraId="61F89F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Массирование истребительской авиации потребует ее переброски с одного участка фронта на другой. Это требует наличия горючего и смазочного на 5 час. полета на крейсерской скорости.</w:t>
      </w:r>
    </w:p>
    <w:p w14:paraId="1A09B3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Тактические требования и их последовательность:</w:t>
      </w:r>
    </w:p>
    <w:p w14:paraId="013BF6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Горизонтальная скорость - на 5000 м - 300-350 км/час</w:t>
      </w:r>
    </w:p>
    <w:p w14:paraId="747DF0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Скороподъемность - на 5000 м - 6-8 мин.</w:t>
      </w:r>
    </w:p>
    <w:p w14:paraId="1E9122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Маневренность</w:t>
      </w:r>
    </w:p>
    <w:p w14:paraId="40E62C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Потолок - 8000-9500 м</w:t>
      </w:r>
    </w:p>
    <w:p w14:paraId="595717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Радиус действия (на крейсерской скорости) - 350-400 км</w:t>
      </w:r>
    </w:p>
    <w:p w14:paraId="7D3076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Емкость баков - 5 час. Полная нагрузка - 480 кг</w:t>
      </w:r>
    </w:p>
    <w:p w14:paraId="474043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w:t>
      </w:r>
    </w:p>
    <w:p w14:paraId="076D6E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2 пулемета для стрельбы через винт с патронами обыкновенными, разрывно-бронебойными, трассирующими и зажигательными. Для штурмовых действий должны быть установлены 2 пулемета на плоскостях. Для подвески осколочных бомб (80-100 кг) устанавливаются съемные бомбодержатели.</w:t>
      </w:r>
    </w:p>
    <w:p w14:paraId="0C3496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 Глубина нашего театра и удаленность наших наиболее важных экономических центров от границ позволяет нам отказаться от постройки спец. типов истребителей для обороны пунктов - перехватчиков с большой вертикальной скоростью за счет уменьшения горизонтальной, тем более, что вертикальная скорость будет увеличиваться одновременно с остальными летными данными.</w:t>
      </w:r>
    </w:p>
    <w:p w14:paraId="5880F4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Двухместный истребитель</w:t>
      </w:r>
    </w:p>
    <w:p w14:paraId="662C97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Назначение:</w:t>
      </w:r>
    </w:p>
    <w:p w14:paraId="57C142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Наступательный воздушный бой со всеми типами самолетов и аэростатов противника;</w:t>
      </w:r>
    </w:p>
    <w:p w14:paraId="2C1FC6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Обеспечение действий легкой и тяжелой бомбардировочной и штурмовой авиации от воздушного нападения;</w:t>
      </w:r>
    </w:p>
    <w:p w14:paraId="5A1556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воздушная и фотографическая разведка, а иногда и штурмовые действия по земным войскам;</w:t>
      </w:r>
    </w:p>
    <w:p w14:paraId="7F95F8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совместные действия с конницей.</w:t>
      </w:r>
    </w:p>
    <w:p w14:paraId="377759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Условия работы:</w:t>
      </w:r>
    </w:p>
    <w:p w14:paraId="789FE3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Воздушный бой с одноместными истребителями требует летных качеств и данных, немного уступающих одноместному истребителю. Обеспечение действий других видов авиации требует увеличенной продолжительности полета (5 час.) и соответствующего диапазона горизонтальной скорости.</w:t>
      </w:r>
    </w:p>
    <w:p w14:paraId="28DCCE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Совместные действия с другими видами авиации и земными средствами противовоздушной обороны вызывает требование приспособленности к ночным полетам.</w:t>
      </w:r>
    </w:p>
    <w:p w14:paraId="39EE12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Двухместный истребитель представляет преимущества в части возможности согласования своих действий с земными средствами противовоздушной обороны, прожекторами и т.п., в ночное время - ввиду возможности ведения огня на параллельных курсах.</w:t>
      </w:r>
    </w:p>
    <w:p w14:paraId="7D377A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Этот тип самолета как сочетающий качества разведчика и истребителя, явится наиболее удобным для совместных действий с конницей, что делает чрезвычайно важным требование минимальной посадочной скорости.</w:t>
      </w:r>
    </w:p>
    <w:p w14:paraId="546186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Тактические требования и их последовательность:</w:t>
      </w:r>
    </w:p>
    <w:p w14:paraId="3C5FF5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Горизонтальная скорость - на 5000 м - 290-300 км/час</w:t>
      </w:r>
    </w:p>
    <w:p w14:paraId="485F5D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Маневренность</w:t>
      </w:r>
    </w:p>
    <w:p w14:paraId="0D8F4D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Скороподъемность - на 5000 м - 10-12 мин.</w:t>
      </w:r>
    </w:p>
    <w:p w14:paraId="4DAC58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Радиус действия - 450-500 км</w:t>
      </w:r>
    </w:p>
    <w:p w14:paraId="67D3DD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Потолок - 8000 м</w:t>
      </w:r>
    </w:p>
    <w:p w14:paraId="45EB88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Большой диапазон скоростей и минимальная посадочная скорость.</w:t>
      </w:r>
    </w:p>
    <w:p w14:paraId="77D86E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Продолжительность полета на крейсерской скорости 5 час.</w:t>
      </w:r>
    </w:p>
    <w:p w14:paraId="450C5D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Полная нагрузка - 750 кг.</w:t>
      </w:r>
    </w:p>
    <w:p w14:paraId="0670EB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w:t>
      </w:r>
    </w:p>
    <w:p w14:paraId="351279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пулемета через винт, 2 - на турели у пулеметчика, 2 - на плоскостях.</w:t>
      </w:r>
    </w:p>
    <w:p w14:paraId="20C64A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 2-х местные истребители, предназначенные для обороны пунктов должны иметь на турелях 1 орудие калибра 20-30 мм.</w:t>
      </w:r>
    </w:p>
    <w:p w14:paraId="722FD9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Многоместный истребитель- воздушный крейсер</w:t>
      </w:r>
    </w:p>
    <w:p w14:paraId="30C0DD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Назначение:</w:t>
      </w:r>
    </w:p>
    <w:p w14:paraId="71FF9B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Охранение в воздухе легкой и тяжелой бомбардировчной авиации;</w:t>
      </w:r>
    </w:p>
    <w:p w14:paraId="75F68E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стратегическая разведка в интересах фронтового и армейского командования наиболее удаленных объектов и связь с дружественными и нейтральными странами;</w:t>
      </w:r>
    </w:p>
    <w:p w14:paraId="0ECE4B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нападение на аэродромы.</w:t>
      </w:r>
    </w:p>
    <w:p w14:paraId="1B3F47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Условия работы:</w:t>
      </w:r>
    </w:p>
    <w:p w14:paraId="659770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Сопровождение и охранение бомбардировщиков требует сильного оборонительного вооружения (6-8-10 пулеметов) и большого радиуса действия. Разведка удаленных объектов потребует полета ночью.</w:t>
      </w:r>
    </w:p>
    <w:p w14:paraId="7DC130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Условия ведения воздушного боя наряду с мощным вооружением требует и соответствующей маневренности и летных данных, немного уступающим двухместному истребителю.</w:t>
      </w:r>
    </w:p>
    <w:p w14:paraId="777A50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Высота применения - 5000 - 6000 м, что требует сохранения всех летных данных на этой высоте.</w:t>
      </w:r>
    </w:p>
    <w:p w14:paraId="2A7EE1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Тактические требования и их последовательность:</w:t>
      </w:r>
    </w:p>
    <w:p w14:paraId="608D55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Число мест - 4 - 5</w:t>
      </w:r>
    </w:p>
    <w:p w14:paraId="29054B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Радиус действия - 1000 км</w:t>
      </w:r>
    </w:p>
    <w:p w14:paraId="4B374D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Потолок - 7000 - 8000 м</w:t>
      </w:r>
    </w:p>
    <w:p w14:paraId="23B752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Обстрел и обзор</w:t>
      </w:r>
    </w:p>
    <w:p w14:paraId="4AD67B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Горизонтальная скорость на 5000 м - 280 км/час</w:t>
      </w:r>
    </w:p>
    <w:p w14:paraId="214AE5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Маневренность и скороподъемность на 5000 м - 15-18 мин.</w:t>
      </w:r>
    </w:p>
    <w:p w14:paraId="51481A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Полная нагрузка - 2100 кг</w:t>
      </w:r>
    </w:p>
    <w:p w14:paraId="563981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w:t>
      </w:r>
    </w:p>
    <w:p w14:paraId="7724CA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6 - 8 пулеметов с обстрелом, приближающимся к сферическому; бомбовая нагрузка за счет горючего до 400 кг калибра 10 кг в кассетах или 100 кг на бомбодержателях.</w:t>
      </w:r>
    </w:p>
    <w:p w14:paraId="59885B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 Дальнейшее развитие вооружения этого типа ввиду его большой грузоподъемности, должно идти по пути установки на нем орудия 20-30 мм для борьбы с истребителями и бомбардировщиками на дальних дистанциях.</w:t>
      </w:r>
    </w:p>
    <w:p w14:paraId="5F1FB3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Штурмовик</w:t>
      </w:r>
    </w:p>
    <w:p w14:paraId="5E3EDE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Назначение:</w:t>
      </w:r>
    </w:p>
    <w:p w14:paraId="2CEEB9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Непосредственное участие в земном бою как в наступательном, так и в оборонительном, ударами с воздуха по живой силе и техническими средствами противника (танкам и бронемашинам);</w:t>
      </w:r>
    </w:p>
    <w:p w14:paraId="5D56D6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борьба с десантом противника в период его высадки на берег и нападения на транспорта;</w:t>
      </w:r>
    </w:p>
    <w:p w14:paraId="676647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атака аэродромов противника.</w:t>
      </w:r>
    </w:p>
    <w:p w14:paraId="59CCAD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Зона действий штурмовой авиации - поле боя, войсковой тыл противника и его передовые и основные аэродромы.</w:t>
      </w:r>
    </w:p>
    <w:p w14:paraId="1C1A85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Условия работы:</w:t>
      </w:r>
    </w:p>
    <w:p w14:paraId="4080A0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Успех действия штурмовой авиации достигается ее массированием. Основной прием атаки земных целей - внезапное и быстрое появление над целью и атака ее на низкой высоте.</w:t>
      </w:r>
    </w:p>
    <w:p w14:paraId="21A395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Штурмовые действия могут быть выполнены двухместным истребителем и легким бомбардировщиком, обладающими или мощностью пулеметного огня, или бомбовой нагрузкой и соответствующей горизонтальной скоростью.</w:t>
      </w:r>
    </w:p>
    <w:p w14:paraId="1B991E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Штурмовик же специального типа должен сочетать в целях наиболее мощного удара, достаточно мощный пулеметный огонь с значительной бомбовой нагрузкой и иметь усовершенствованные приборы химического нападения.</w:t>
      </w:r>
    </w:p>
    <w:p w14:paraId="5C4683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в условиях мощного огневого воздействия с земли требует от штурмового самолета живучести в смысле его бронирования и одновременно значительной горизонтальной скорости и маневренности. Радиус действия штурмовика не больше 100-150 км с целью наиболее возможного увеличения боевой нагрузки.</w:t>
      </w:r>
    </w:p>
    <w:p w14:paraId="1830FE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Штурмовые задачи могут быть выполнены с успехом лишь при условии тесного взаимодействия с земными войсками, что достигается наилучше всего расположением в районе штабов, корпусов и аэродромной корпусной авиацией.</w:t>
      </w:r>
    </w:p>
    <w:p w14:paraId="2A9BA0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Значительная бомбовая нагрузка и мощное вооружение вызывает необходимость наличия для этой цели 2-х моторного самолета. Действия боевиков могут сопровождаться истребительной авиацией и обслуживаться разведкой войсковой и армейской разведывательной авиацией. На части самолетов должна быть предусмотрена установка радио в целях быстрейшего наведения штурмовиков на атакуемую цель, что очень важно при действиях против подвижных объектов. </w:t>
      </w:r>
      <w:r w:rsidRPr="00507A31">
        <w:rPr>
          <w:color w:val="000000" w:themeColor="text1"/>
          <w:sz w:val="16"/>
          <w:szCs w:val="16"/>
        </w:rPr>
        <w:lastRenderedPageBreak/>
        <w:t>Возможность ночного применения штурмовиков против аэродромов требует приспособленности с ночным полетом. Маскировка от истребителей требует окраски (комуфляжа) штурмовиков.</w:t>
      </w:r>
    </w:p>
    <w:p w14:paraId="2F64C4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Основные тактические требования и их последовательность:</w:t>
      </w:r>
    </w:p>
    <w:p w14:paraId="47E416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Огневая мощь - 800-1000 кг (бомбы и приборы ВАП).</w:t>
      </w:r>
    </w:p>
    <w:p w14:paraId="1436D1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Горизонтальная скорость на высоте 2000 м - 220 км</w:t>
      </w:r>
    </w:p>
    <w:p w14:paraId="160ECD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Посадочная скорость - как у корпусного разведчика</w:t>
      </w:r>
    </w:p>
    <w:p w14:paraId="50E3DB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Маневренность</w:t>
      </w:r>
    </w:p>
    <w:p w14:paraId="5063B9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Потолок - 3-4000 м</w:t>
      </w:r>
    </w:p>
    <w:p w14:paraId="1CC7DC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Радиус действия - 150 км (с полной нагрузкой).</w:t>
      </w:r>
    </w:p>
    <w:p w14:paraId="3A74D9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Полная нагрузка 2200 кг</w:t>
      </w:r>
    </w:p>
    <w:p w14:paraId="2FC71C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Вооружение:</w:t>
      </w:r>
    </w:p>
    <w:p w14:paraId="04954B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менее 4-х пулеметов и 1 орудия калибра 20-30 мм, установленных для стрельбы вперед по земным целям, 2 пулемета для обороны от воздушного противника и стрельбы по земным целям. Бомбовая нагрузка - 800-1000 кг бомб - приборы ВАП за счет бомбовой нагрузки. Калибр бомб - 10-50 и 100 кг и 1-2 кг рассеивающего типа.</w:t>
      </w:r>
    </w:p>
    <w:p w14:paraId="6E77A6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Примечание: Развитие этого типа должно идти в сторону увеличения горизонтальной скорости и бомбовой нагрузки (3863).</w:t>
      </w:r>
    </w:p>
    <w:p w14:paraId="7F38F71E" w14:textId="77777777" w:rsidR="00537E5F" w:rsidRPr="00507A31" w:rsidRDefault="00537E5F" w:rsidP="00507A31">
      <w:pPr>
        <w:autoSpaceDE w:val="0"/>
        <w:autoSpaceDN w:val="0"/>
        <w:adjustRightInd w:val="0"/>
        <w:jc w:val="both"/>
        <w:rPr>
          <w:color w:val="000000" w:themeColor="text1"/>
          <w:sz w:val="16"/>
          <w:szCs w:val="16"/>
        </w:rPr>
      </w:pPr>
    </w:p>
    <w:p w14:paraId="476D31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декабря 1930 г. постановлением Реввоенсовета ВАП-4 приняли но вооружение и решили заказать промышленности на 1931 г. изготовление 500 приборов. Первыми серийные изделия, сделанные на заводе "Вулкан", получила в мае 1931 г. 56-я эскадрилья3-й авиабригады в Гомеле. Прибор ВАП-4 обеспечивал постепенный слив. Он имел сварной каплевидный корпус из железа длиной немного больше метра. В нем умещались 82 л раствора. Снизу бак имел три ножки, они же ручки для переноски. В действие он приводился тросом от бомбосбрасывателя СБР-8. Механизм одновременно открывал передний люк и сливную горловину. Жидкость вытеснялось напором набегающего потока - для этого и нужен был передний люк. Расход раствора мог изменяться сменой насадок на сливной горловине. Над ней размещался щиток, защищающий сам самолет от ядовитых брызг. После слива прибор закрывался. ВАП-4 подвешивался на бомбодержателях Дер-7 под крылом, но не штатных ухватах, а на хомутах. Р-1 нес два ВАП-4, подвеска которых немного ограничивала маневренность. В том же году провели модернизацию ВАП-4: улучшили характеристики разбрызгивания раствора и предусмотрели сброс прибора при отказе механизма открывания. В последнем случае он превращался в химическую бомбу. ВАП-4 надолго стал самым распространенным выливным прибором в нашей авиации (11931).</w:t>
      </w:r>
    </w:p>
    <w:p w14:paraId="430D5832" w14:textId="77777777" w:rsidR="00537E5F" w:rsidRPr="00507A31" w:rsidRDefault="00537E5F" w:rsidP="00507A31">
      <w:pPr>
        <w:autoSpaceDE w:val="0"/>
        <w:autoSpaceDN w:val="0"/>
        <w:adjustRightInd w:val="0"/>
        <w:jc w:val="both"/>
        <w:rPr>
          <w:color w:val="000000" w:themeColor="text1"/>
          <w:sz w:val="16"/>
          <w:szCs w:val="16"/>
        </w:rPr>
      </w:pPr>
    </w:p>
    <w:p w14:paraId="71FD41D7" w14:textId="77777777" w:rsidR="00ED4BB9" w:rsidRPr="00507A31" w:rsidRDefault="00ED4BB9" w:rsidP="00507A31">
      <w:pPr>
        <w:shd w:val="clear" w:color="auto" w:fill="FFFFFF"/>
        <w:jc w:val="both"/>
        <w:rPr>
          <w:color w:val="000000" w:themeColor="text1"/>
          <w:sz w:val="16"/>
          <w:szCs w:val="16"/>
        </w:rPr>
      </w:pPr>
      <w:r w:rsidRPr="00507A31">
        <w:rPr>
          <w:bCs/>
          <w:iCs/>
          <w:color w:val="000000" w:themeColor="text1"/>
          <w:sz w:val="16"/>
          <w:szCs w:val="16"/>
        </w:rPr>
        <w:t>17 декабря 1930 г.</w:t>
      </w:r>
      <w:r w:rsidRPr="00507A31">
        <w:rPr>
          <w:color w:val="000000" w:themeColor="text1"/>
          <w:sz w:val="16"/>
          <w:szCs w:val="16"/>
        </w:rPr>
        <w:t xml:space="preserve"> Решение РВС СССР о принятии на вооружение РККА авиационной химической бомбы калибра 32 кг. Бомба предназначалась для заражения местности с использованием СОВ и содержала 21,5 кг ОВ. Полигонные испытания были выполнены на полигоне в Кузьминках (Москва), войсковые — на Лужском (март 1929 г.) и Дретунском полигонах (август 1929 г.) (17133).</w:t>
      </w:r>
    </w:p>
    <w:p w14:paraId="1BD3C07B" w14:textId="77777777" w:rsidR="00ED4BB9" w:rsidRPr="00507A31" w:rsidRDefault="00ED4BB9" w:rsidP="00507A31">
      <w:pPr>
        <w:shd w:val="clear" w:color="auto" w:fill="FFFFFF"/>
        <w:jc w:val="both"/>
        <w:rPr>
          <w:color w:val="000000" w:themeColor="text1"/>
          <w:sz w:val="16"/>
          <w:szCs w:val="16"/>
        </w:rPr>
      </w:pPr>
    </w:p>
    <w:p w14:paraId="258BED67" w14:textId="77777777" w:rsidR="00ED4BB9" w:rsidRPr="00507A31" w:rsidRDefault="00ED4BB9" w:rsidP="00507A31">
      <w:pPr>
        <w:shd w:val="clear" w:color="auto" w:fill="FFFFFF"/>
        <w:jc w:val="both"/>
        <w:rPr>
          <w:color w:val="000000" w:themeColor="text1"/>
          <w:sz w:val="16"/>
          <w:szCs w:val="16"/>
        </w:rPr>
      </w:pPr>
      <w:r w:rsidRPr="00507A31">
        <w:rPr>
          <w:bCs/>
          <w:iCs/>
          <w:color w:val="000000" w:themeColor="text1"/>
          <w:sz w:val="16"/>
          <w:szCs w:val="16"/>
        </w:rPr>
        <w:t>17 декабря 1930 г.</w:t>
      </w:r>
      <w:r w:rsidRPr="00507A31">
        <w:rPr>
          <w:color w:val="000000" w:themeColor="text1"/>
          <w:sz w:val="16"/>
          <w:szCs w:val="16"/>
        </w:rPr>
        <w:t xml:space="preserve"> Решение РВС СССР о принятии на вооружение РККА выливного авиационного прибора ВАП-4. Комплект из двух приборов ВАП-4 предназначался для вооружения самолетов (Р1 и М5) и позволял поражать с помощью СОВ площадь от 3 до 50 га с высот от 20 до 600 м (17133).</w:t>
      </w:r>
    </w:p>
    <w:p w14:paraId="041F3D2C" w14:textId="77777777" w:rsidR="00ED4BB9" w:rsidRPr="00507A31" w:rsidRDefault="00ED4BB9" w:rsidP="00507A31">
      <w:pPr>
        <w:shd w:val="clear" w:color="auto" w:fill="FFFFFF"/>
        <w:jc w:val="both"/>
        <w:rPr>
          <w:color w:val="000000" w:themeColor="text1"/>
          <w:sz w:val="16"/>
          <w:szCs w:val="16"/>
        </w:rPr>
      </w:pPr>
    </w:p>
    <w:p w14:paraId="3D7A6FAA" w14:textId="77777777" w:rsidR="00B85E5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1D1AACD1" w14:textId="77777777" w:rsidR="00B85E59" w:rsidRPr="00507A31" w:rsidRDefault="00B85E59" w:rsidP="00507A31">
      <w:pPr>
        <w:autoSpaceDE w:val="0"/>
        <w:autoSpaceDN w:val="0"/>
        <w:adjustRightInd w:val="0"/>
        <w:jc w:val="both"/>
        <w:rPr>
          <w:iCs/>
          <w:color w:val="000000" w:themeColor="text1"/>
          <w:sz w:val="16"/>
          <w:szCs w:val="16"/>
        </w:rPr>
      </w:pPr>
    </w:p>
    <w:p w14:paraId="2364A286" w14:textId="77777777" w:rsidR="00B85E59" w:rsidRPr="00507A31" w:rsidRDefault="00B85E59" w:rsidP="00507A31">
      <w:pPr>
        <w:pStyle w:val="rtejustify"/>
        <w:spacing w:before="0" w:after="0"/>
        <w:rPr>
          <w:color w:val="000000" w:themeColor="text1"/>
          <w:sz w:val="16"/>
          <w:szCs w:val="16"/>
        </w:rPr>
      </w:pPr>
      <w:r w:rsidRPr="00507A31">
        <w:rPr>
          <w:rStyle w:val="af0"/>
          <w:i w:val="0"/>
          <w:color w:val="000000" w:themeColor="text1"/>
          <w:sz w:val="16"/>
          <w:szCs w:val="16"/>
        </w:rPr>
        <w:t>17 декабря. Протокол Реввоенсовета № 28.</w:t>
      </w:r>
      <w:r w:rsidRPr="00507A31">
        <w:rPr>
          <w:color w:val="000000" w:themeColor="text1"/>
          <w:sz w:val="16"/>
          <w:szCs w:val="16"/>
        </w:rPr>
        <w:t xml:space="preserve"> 1. Система военно-химической службы РККА и работа Вохиму (в частности, осуществление системы вооружения). 3. Система оптического вооружения РККА (Роговский). 4. О качестве поставляемой промышленностью продукции. (Уборевич). 5. О ходе работ по изготовлению опытных образцов новой системы артвооружения (Уборевич). 6. а) Производство винтпатронов с железной плакированной пулей и железных винтовочных и орудийных гильз. (Симонов), б) Усиление артиллерии горных дивизий и конструирование образцов горной артиллерии (Симонов), в) О стальных снарядах 76,2</w:t>
      </w:r>
      <w:r w:rsidRPr="00507A31">
        <w:rPr>
          <w:color w:val="000000" w:themeColor="text1"/>
          <w:sz w:val="16"/>
          <w:szCs w:val="16"/>
        </w:rPr>
        <w:noBreakHyphen/>
        <w:t>мм пушки и 152</w:t>
      </w:r>
      <w:r w:rsidRPr="00507A31">
        <w:rPr>
          <w:color w:val="000000" w:themeColor="text1"/>
          <w:sz w:val="16"/>
          <w:szCs w:val="16"/>
        </w:rPr>
        <w:noBreakHyphen/>
        <w:t>мм гаубицы и наилучшем чертеже для 76,2</w:t>
      </w:r>
      <w:r w:rsidRPr="00507A31">
        <w:rPr>
          <w:color w:val="000000" w:themeColor="text1"/>
          <w:sz w:val="16"/>
          <w:szCs w:val="16"/>
        </w:rPr>
        <w:noBreakHyphen/>
        <w:t>мм снаряда (Роговский). г) Результаты работ по усовершенствованию зенитной установки Иванова и по конструированию более усовершенствованной подвижной зенитной установки (Симонов). (РГВА. Ф.</w:t>
      </w:r>
      <w:r w:rsidRPr="00507A31">
        <w:rPr>
          <w:color w:val="000000" w:themeColor="text1"/>
          <w:sz w:val="16"/>
          <w:szCs w:val="16"/>
          <w:lang w:val="en-US"/>
        </w:rPr>
        <w:t> </w:t>
      </w:r>
      <w:r w:rsidRPr="00507A31">
        <w:rPr>
          <w:color w:val="000000" w:themeColor="text1"/>
          <w:sz w:val="16"/>
          <w:szCs w:val="16"/>
        </w:rPr>
        <w:t>4. Оп.</w:t>
      </w:r>
      <w:r w:rsidRPr="00507A31">
        <w:rPr>
          <w:color w:val="000000" w:themeColor="text1"/>
          <w:sz w:val="16"/>
          <w:szCs w:val="16"/>
          <w:lang w:val="en-US"/>
        </w:rPr>
        <w:t> </w:t>
      </w:r>
      <w:r w:rsidRPr="00507A31">
        <w:rPr>
          <w:color w:val="000000" w:themeColor="text1"/>
          <w:sz w:val="16"/>
          <w:szCs w:val="16"/>
        </w:rPr>
        <w:t>18. Д.</w:t>
      </w:r>
      <w:r w:rsidRPr="00507A31">
        <w:rPr>
          <w:color w:val="000000" w:themeColor="text1"/>
          <w:sz w:val="16"/>
          <w:szCs w:val="16"/>
          <w:lang w:val="en-US"/>
        </w:rPr>
        <w:t> </w:t>
      </w:r>
      <w:r w:rsidRPr="00507A31">
        <w:rPr>
          <w:color w:val="000000" w:themeColor="text1"/>
          <w:sz w:val="16"/>
          <w:szCs w:val="16"/>
        </w:rPr>
        <w:t>19. Л.</w:t>
      </w:r>
      <w:r w:rsidRPr="00507A31">
        <w:rPr>
          <w:color w:val="000000" w:themeColor="text1"/>
          <w:sz w:val="16"/>
          <w:szCs w:val="16"/>
          <w:lang w:val="en-US"/>
        </w:rPr>
        <w:t> </w:t>
      </w:r>
      <w:r w:rsidRPr="00507A31">
        <w:rPr>
          <w:color w:val="000000" w:themeColor="text1"/>
          <w:sz w:val="16"/>
          <w:szCs w:val="16"/>
        </w:rPr>
        <w:t>432</w:t>
      </w:r>
      <w:r w:rsidRPr="00507A31">
        <w:rPr>
          <w:color w:val="000000" w:themeColor="text1"/>
          <w:sz w:val="16"/>
          <w:szCs w:val="16"/>
        </w:rPr>
        <w:noBreakHyphen/>
        <w:t>434) (12342).</w:t>
      </w:r>
    </w:p>
    <w:p w14:paraId="66BBA4ED" w14:textId="77777777" w:rsidR="00B85E59" w:rsidRPr="00507A31" w:rsidRDefault="00B85E59" w:rsidP="00507A31">
      <w:pPr>
        <w:pStyle w:val="rtejustify"/>
        <w:spacing w:before="0" w:after="0"/>
        <w:rPr>
          <w:color w:val="000000" w:themeColor="text1"/>
          <w:sz w:val="16"/>
          <w:szCs w:val="16"/>
        </w:rPr>
      </w:pPr>
    </w:p>
    <w:p w14:paraId="47B3056B" w14:textId="77777777" w:rsidR="00ED4BB9" w:rsidRPr="00507A31" w:rsidRDefault="00ED4BB9" w:rsidP="00507A31">
      <w:pPr>
        <w:shd w:val="clear" w:color="auto" w:fill="FFFFFF"/>
        <w:jc w:val="both"/>
        <w:rPr>
          <w:color w:val="000000" w:themeColor="text1"/>
          <w:sz w:val="16"/>
          <w:szCs w:val="16"/>
        </w:rPr>
      </w:pPr>
      <w:r w:rsidRPr="00507A31">
        <w:rPr>
          <w:bCs/>
          <w:iCs/>
          <w:color w:val="000000" w:themeColor="text1"/>
          <w:sz w:val="16"/>
          <w:szCs w:val="16"/>
        </w:rPr>
        <w:t>17 декабря 1930 г.</w:t>
      </w:r>
      <w:r w:rsidRPr="00507A31">
        <w:rPr>
          <w:color w:val="000000" w:themeColor="text1"/>
          <w:sz w:val="16"/>
          <w:szCs w:val="16"/>
        </w:rPr>
        <w:t xml:space="preserve"> Постановление РВС СССР об утверждении плана строительства в районе Вольского химического полигона (имение Шиханы, Саратовская область). Имеется в виду расширение площади полигона до 400 км2 за счет выселения деревень Плетневка и Белгородня. В результате расстояние между наиболее удаленными точками границ с запада на восток составило 20 км, а с севера на юг — около 25 км. Вновь образовавшийся Центральный военно-химический полигон (ЦВХП) позволял выполнять больший объем испытаний химического оружия, в частности: 1) артхимстрельбы — налет одним артполком с одновременным расходом до 500 шт. 122 мм снарядов (длина директрис — 22 км); 2) газометно-минометные стрельбы- газометным дивизионом с расходом до 500 мин (по 10 кг ОВ в каждой); 3) действия авиаотряда из 9 самолетов с ВАП с высот до 500 м и др. Первыесерьезныеиспытанияначалисьс</w:t>
      </w:r>
      <w:r w:rsidRPr="00507A31">
        <w:rPr>
          <w:color w:val="000000" w:themeColor="text1"/>
          <w:sz w:val="16"/>
          <w:szCs w:val="16"/>
          <w:lang w:val="en-US"/>
        </w:rPr>
        <w:t> </w:t>
      </w:r>
      <w:r w:rsidRPr="00507A31">
        <w:rPr>
          <w:color w:val="000000" w:themeColor="text1"/>
          <w:sz w:val="16"/>
          <w:szCs w:val="16"/>
        </w:rPr>
        <w:t>лета 1931</w:t>
      </w:r>
      <w:r w:rsidRPr="00507A31">
        <w:rPr>
          <w:color w:val="000000" w:themeColor="text1"/>
          <w:sz w:val="16"/>
          <w:szCs w:val="16"/>
          <w:lang w:val="en-US"/>
        </w:rPr>
        <w:t> </w:t>
      </w:r>
      <w:r w:rsidRPr="00507A31">
        <w:rPr>
          <w:color w:val="000000" w:themeColor="text1"/>
          <w:sz w:val="16"/>
          <w:szCs w:val="16"/>
        </w:rPr>
        <w:t>г (17133).</w:t>
      </w:r>
    </w:p>
    <w:p w14:paraId="39E3B43C" w14:textId="77777777" w:rsidR="00ED4BB9" w:rsidRPr="00507A31" w:rsidRDefault="00ED4BB9" w:rsidP="00507A31">
      <w:pPr>
        <w:shd w:val="clear" w:color="auto" w:fill="FFFFFF"/>
        <w:jc w:val="both"/>
        <w:rPr>
          <w:color w:val="000000" w:themeColor="text1"/>
          <w:sz w:val="16"/>
          <w:szCs w:val="16"/>
        </w:rPr>
      </w:pPr>
    </w:p>
    <w:p w14:paraId="6F863DE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C00EA03" w14:textId="77777777" w:rsidR="00537E5F" w:rsidRPr="00507A31" w:rsidRDefault="00537E5F" w:rsidP="00507A31">
      <w:pPr>
        <w:autoSpaceDE w:val="0"/>
        <w:autoSpaceDN w:val="0"/>
        <w:adjustRightInd w:val="0"/>
        <w:jc w:val="both"/>
        <w:rPr>
          <w:iCs/>
          <w:color w:val="000000" w:themeColor="text1"/>
          <w:sz w:val="16"/>
          <w:szCs w:val="16"/>
        </w:rPr>
      </w:pPr>
    </w:p>
    <w:p w14:paraId="0D46225E" w14:textId="77777777" w:rsidR="006C0DAF" w:rsidRPr="00507A31" w:rsidRDefault="006C0DAF" w:rsidP="00507A31">
      <w:pPr>
        <w:jc w:val="both"/>
        <w:rPr>
          <w:color w:val="0070C0"/>
          <w:sz w:val="16"/>
          <w:szCs w:val="16"/>
        </w:rPr>
      </w:pPr>
      <w:r w:rsidRPr="00507A31">
        <w:rPr>
          <w:color w:val="0070C0"/>
          <w:sz w:val="16"/>
          <w:szCs w:val="16"/>
        </w:rPr>
        <w:t>17 декабря 1930 Junkers W 34 Bolivar совершает первый международный рейс из Венесуэлы в Колумбию в ознаменование столетия со дня смерти Симона Боливара (20805).</w:t>
      </w:r>
    </w:p>
    <w:p w14:paraId="56A1153D" w14:textId="77777777" w:rsidR="006C0DAF" w:rsidRPr="00507A31" w:rsidRDefault="006C0DAF" w:rsidP="00507A31">
      <w:pPr>
        <w:jc w:val="both"/>
        <w:rPr>
          <w:color w:val="0070C0"/>
          <w:sz w:val="16"/>
          <w:szCs w:val="16"/>
        </w:rPr>
      </w:pPr>
    </w:p>
    <w:p w14:paraId="1A1E1F94" w14:textId="77777777" w:rsidR="00537E5F" w:rsidRPr="00507A31" w:rsidRDefault="00537E5F" w:rsidP="00507A31">
      <w:pPr>
        <w:autoSpaceDE w:val="0"/>
        <w:autoSpaceDN w:val="0"/>
        <w:adjustRightInd w:val="0"/>
        <w:jc w:val="both"/>
        <w:rPr>
          <w:color w:val="000000" w:themeColor="text1"/>
          <w:sz w:val="16"/>
          <w:szCs w:val="16"/>
          <w:lang w:val="en-US"/>
        </w:rPr>
      </w:pPr>
      <w:r w:rsidRPr="00507A31">
        <w:rPr>
          <w:color w:val="000000" w:themeColor="text1"/>
          <w:sz w:val="16"/>
          <w:szCs w:val="16"/>
          <w:lang w:val="en-US"/>
        </w:rPr>
        <w:t>December 17 1930 German Army Ordnance Office, after reviewing work of Goddard and others, decided to establish rocket program and to equip artillery proving ground at Kummersdorff to develop military missiles (1038).</w:t>
      </w:r>
    </w:p>
    <w:p w14:paraId="10AE23DF" w14:textId="77777777" w:rsidR="00537E5F" w:rsidRPr="00507A31" w:rsidRDefault="00537E5F" w:rsidP="00507A31">
      <w:pPr>
        <w:autoSpaceDE w:val="0"/>
        <w:autoSpaceDN w:val="0"/>
        <w:adjustRightInd w:val="0"/>
        <w:jc w:val="both"/>
        <w:rPr>
          <w:color w:val="000000" w:themeColor="text1"/>
          <w:sz w:val="16"/>
          <w:szCs w:val="16"/>
          <w:lang w:val="en-US"/>
        </w:rPr>
      </w:pPr>
    </w:p>
    <w:p w14:paraId="03A2D0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декабря 1930 немецкое ведомство по военному заказу рассмотрела работу Годдарду и других и решила запустить ракетную программу и переоборудовать соответствующим образом артполигон Кюммерсдорфе (1038) Kummersdorf (3125).</w:t>
      </w:r>
    </w:p>
    <w:p w14:paraId="1832B61A" w14:textId="77777777" w:rsidR="00537E5F" w:rsidRPr="00507A31" w:rsidRDefault="00537E5F" w:rsidP="00507A31">
      <w:pPr>
        <w:autoSpaceDE w:val="0"/>
        <w:autoSpaceDN w:val="0"/>
        <w:adjustRightInd w:val="0"/>
        <w:jc w:val="both"/>
        <w:rPr>
          <w:color w:val="000000" w:themeColor="text1"/>
          <w:sz w:val="16"/>
          <w:szCs w:val="16"/>
        </w:rPr>
      </w:pPr>
    </w:p>
    <w:p w14:paraId="6C80CFCB" w14:textId="77777777" w:rsidR="00ED4BB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4B0A279" w14:textId="77777777" w:rsidR="00ED4BB9" w:rsidRPr="00507A31" w:rsidRDefault="00ED4BB9" w:rsidP="00507A31">
      <w:pPr>
        <w:autoSpaceDE w:val="0"/>
        <w:autoSpaceDN w:val="0"/>
        <w:adjustRightInd w:val="0"/>
        <w:jc w:val="both"/>
        <w:rPr>
          <w:iCs/>
          <w:color w:val="000000" w:themeColor="text1"/>
          <w:sz w:val="16"/>
          <w:szCs w:val="16"/>
        </w:rPr>
      </w:pPr>
    </w:p>
    <w:p w14:paraId="2755BC06" w14:textId="77777777" w:rsidR="00ED4BB9" w:rsidRPr="00507A31" w:rsidRDefault="00ED4BB9" w:rsidP="00507A31">
      <w:pPr>
        <w:pStyle w:val="a3"/>
        <w:rPr>
          <w:color w:val="000000" w:themeColor="text1"/>
          <w:lang w:val="ru-RU"/>
        </w:rPr>
      </w:pPr>
      <w:r w:rsidRPr="00507A31">
        <w:rPr>
          <w:color w:val="000000" w:themeColor="text1"/>
          <w:lang w:val="ru-RU"/>
        </w:rPr>
        <w:t>На 18 декабря 1930 г. намечалось испытание второго образца 12-тонного танка, тоже без вооружения. Однако, как и на первой маши</w:t>
      </w:r>
      <w:r w:rsidRPr="00507A31">
        <w:rPr>
          <w:color w:val="000000" w:themeColor="text1"/>
          <w:lang w:val="ru-RU"/>
        </w:rPr>
        <w:softHyphen/>
        <w:t>не, были выявлены отклонения от предъявленных технических требова</w:t>
      </w:r>
      <w:r w:rsidRPr="00507A31">
        <w:rPr>
          <w:color w:val="000000" w:themeColor="text1"/>
          <w:lang w:val="ru-RU"/>
        </w:rPr>
        <w:softHyphen/>
        <w:t>ний. Танк вновь не смог преодолеть требуемые подъем и вертикальное препятствие из-за недостаточного сцепления гусениц. Начиная со вто</w:t>
      </w:r>
      <w:r w:rsidRPr="00507A31">
        <w:rPr>
          <w:color w:val="000000" w:themeColor="text1"/>
          <w:lang w:val="ru-RU"/>
        </w:rPr>
        <w:softHyphen/>
        <w:t>рой машины, было решено комплектовать танки специальными шпора</w:t>
      </w:r>
      <w:r w:rsidRPr="00507A31">
        <w:rPr>
          <w:color w:val="000000" w:themeColor="text1"/>
          <w:lang w:val="ru-RU"/>
        </w:rPr>
        <w:softHyphen/>
        <w:t>ми . Тем не менее, приемка танков продолжалась (15745).</w:t>
      </w:r>
    </w:p>
    <w:p w14:paraId="1F1AF146" w14:textId="77777777" w:rsidR="00ED4BB9" w:rsidRPr="00507A31" w:rsidRDefault="00ED4BB9" w:rsidP="00507A31">
      <w:pPr>
        <w:pStyle w:val="a3"/>
        <w:rPr>
          <w:color w:val="000000" w:themeColor="text1"/>
          <w:lang w:val="ru-RU"/>
        </w:rPr>
      </w:pPr>
    </w:p>
    <w:p w14:paraId="67A6BBA8" w14:textId="77777777" w:rsidR="00596600" w:rsidRPr="00507A31" w:rsidRDefault="00596600" w:rsidP="00507A31">
      <w:pPr>
        <w:jc w:val="both"/>
        <w:rPr>
          <w:color w:val="000000" w:themeColor="text1"/>
          <w:sz w:val="16"/>
          <w:szCs w:val="16"/>
        </w:rPr>
      </w:pPr>
      <w:r w:rsidRPr="00507A31">
        <w:rPr>
          <w:color w:val="000000" w:themeColor="text1"/>
          <w:sz w:val="16"/>
          <w:szCs w:val="16"/>
        </w:rPr>
        <w:t>18 декабря 1930 г. был начат последовательный пуск производственных узлов опытного завода «Литер Б» и 15 февраля 1931 г. был получен первый блок натрий-бутадиенового каучука весом 200 кг. Через несколько дней в ленинградских и центральных газетах появилось скромное сообщение – «Первые сотни килограммов синтетического каучука получены. Ленинградский опытный завод начал работать» (18298).</w:t>
      </w:r>
    </w:p>
    <w:p w14:paraId="027A02D6" w14:textId="77777777" w:rsidR="00596600" w:rsidRPr="00507A31" w:rsidRDefault="00596600" w:rsidP="00507A31">
      <w:pPr>
        <w:jc w:val="both"/>
        <w:rPr>
          <w:color w:val="000000" w:themeColor="text1"/>
          <w:sz w:val="16"/>
          <w:szCs w:val="16"/>
        </w:rPr>
      </w:pPr>
    </w:p>
    <w:p w14:paraId="5F07ABFB" w14:textId="77777777" w:rsidR="006C0DAF" w:rsidRPr="00507A31" w:rsidRDefault="006C0DAF" w:rsidP="00507A31">
      <w:pPr>
        <w:jc w:val="both"/>
        <w:rPr>
          <w:color w:val="0070C0"/>
          <w:sz w:val="16"/>
          <w:szCs w:val="16"/>
        </w:rPr>
      </w:pPr>
      <w:r w:rsidRPr="00507A31">
        <w:rPr>
          <w:color w:val="0070C0"/>
          <w:sz w:val="16"/>
          <w:szCs w:val="16"/>
        </w:rPr>
        <w:t>18 декабря 1930 г. заседание минной секции НТК УВМС РККА по вопросу «Целесообразность с тактической точки зрения и возможность осуществления с технической стороны управления двумя группами катеров при посредстве одной станции «БУ». Присутствовали от НТК МС А.Е. Брыкин, Б.В. Никитин, Р.Б. Шварцберг, В.Е. Эмме; от Балтфлота Н.Ф. Чернышев; от Остехбюро Е.П. Бравин, Г.Н. Кутейников. Заседание решило: «Целесообразно продолжить разработку вопроса атаки катерами свободно маневрирующего корабля путем комбинированного управления береговой станции «БУ» совместно с самолетом» (22288).</w:t>
      </w:r>
    </w:p>
    <w:p w14:paraId="445DB57E" w14:textId="77777777" w:rsidR="006C0DAF" w:rsidRPr="00507A31" w:rsidRDefault="006C0DAF" w:rsidP="00507A31">
      <w:pPr>
        <w:jc w:val="both"/>
        <w:rPr>
          <w:color w:val="0070C0"/>
          <w:sz w:val="16"/>
          <w:szCs w:val="16"/>
        </w:rPr>
      </w:pPr>
    </w:p>
    <w:p w14:paraId="1DCB8750" w14:textId="77777777" w:rsidR="00596600" w:rsidRPr="00507A31" w:rsidRDefault="00596600"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412CB0E" w14:textId="77777777" w:rsidR="00596600" w:rsidRPr="00507A31" w:rsidRDefault="00596600" w:rsidP="00507A31">
      <w:pPr>
        <w:autoSpaceDE w:val="0"/>
        <w:autoSpaceDN w:val="0"/>
        <w:adjustRightInd w:val="0"/>
        <w:jc w:val="both"/>
        <w:rPr>
          <w:iCs/>
          <w:color w:val="000000" w:themeColor="text1"/>
          <w:sz w:val="16"/>
          <w:szCs w:val="16"/>
        </w:rPr>
      </w:pPr>
    </w:p>
    <w:p w14:paraId="00048B0B" w14:textId="77777777" w:rsidR="00596600" w:rsidRPr="00507A31" w:rsidRDefault="00596600" w:rsidP="00507A31">
      <w:pPr>
        <w:jc w:val="both"/>
        <w:rPr>
          <w:bCs/>
          <w:color w:val="000000" w:themeColor="text1"/>
          <w:sz w:val="16"/>
          <w:szCs w:val="16"/>
        </w:rPr>
      </w:pPr>
      <w:r w:rsidRPr="00507A31">
        <w:rPr>
          <w:color w:val="000000" w:themeColor="text1"/>
          <w:sz w:val="16"/>
          <w:szCs w:val="16"/>
        </w:rPr>
        <w:t>18 декабря 1930 г.</w:t>
      </w:r>
    </w:p>
    <w:p w14:paraId="4956C5E4" w14:textId="77777777" w:rsidR="00596600" w:rsidRPr="00507A31" w:rsidRDefault="00596600" w:rsidP="00507A31">
      <w:pPr>
        <w:jc w:val="both"/>
        <w:rPr>
          <w:bCs/>
          <w:color w:val="000000" w:themeColor="text1"/>
          <w:sz w:val="16"/>
          <w:szCs w:val="16"/>
        </w:rPr>
      </w:pPr>
      <w:r w:rsidRPr="00507A31">
        <w:rPr>
          <w:color w:val="000000" w:themeColor="text1"/>
          <w:sz w:val="16"/>
          <w:szCs w:val="16"/>
        </w:rPr>
        <w:t>Ответы деятелей науки и культуры на «Анкету ВОКС». Из «Информационного бюллетеня ВОКС» № 3 за 1930 г. 18 декабря 1930 г.</w:t>
      </w:r>
    </w:p>
    <w:p w14:paraId="20F28BB5"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13E651DC"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5DF13C2"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Архив: </w:t>
      </w:r>
    </w:p>
    <w:p w14:paraId="5A059ABE" w14:textId="77777777" w:rsidR="00596600" w:rsidRPr="00507A31" w:rsidRDefault="00596600" w:rsidP="00507A31">
      <w:pPr>
        <w:jc w:val="both"/>
        <w:rPr>
          <w:color w:val="000000" w:themeColor="text1"/>
          <w:sz w:val="16"/>
          <w:szCs w:val="16"/>
        </w:rPr>
      </w:pPr>
      <w:r w:rsidRPr="00507A31">
        <w:rPr>
          <w:color w:val="000000" w:themeColor="text1"/>
          <w:sz w:val="16"/>
          <w:szCs w:val="16"/>
        </w:rPr>
        <w:t>ГА РФ. Р-5283. Oп. 1.Д. 139. Л. 84, 97</w:t>
      </w:r>
    </w:p>
    <w:p w14:paraId="240E5DBE"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До 18 декабря 1930 г.</w:t>
      </w:r>
    </w:p>
    <w:p w14:paraId="562EF905"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lastRenderedPageBreak/>
        <w:t>АНКЕТА ВОКС</w:t>
      </w:r>
    </w:p>
    <w:p w14:paraId="63141B17"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Всесоюзное Общество Культурной Связи с заграницей проводит среди советских ученых, художников и писателей анкету о задачах науки и искусства в СССР и заграницей в борьбе с подготовляющейся интервенцией против Советского Союза.</w:t>
      </w:r>
    </w:p>
    <w:p w14:paraId="15603F3D"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Помещаем первые ответы:</w:t>
      </w:r>
    </w:p>
    <w:p w14:paraId="2866C0A2" w14:textId="77777777" w:rsidR="00596600" w:rsidRPr="00507A31" w:rsidRDefault="00596600" w:rsidP="00507A31">
      <w:pPr>
        <w:pStyle w:val="rtecenter"/>
        <w:spacing w:before="0" w:after="0"/>
        <w:jc w:val="both"/>
        <w:rPr>
          <w:color w:val="000000" w:themeColor="text1"/>
          <w:sz w:val="16"/>
          <w:szCs w:val="16"/>
        </w:rPr>
      </w:pPr>
      <w:r w:rsidRPr="00507A31">
        <w:rPr>
          <w:color w:val="000000" w:themeColor="text1"/>
          <w:sz w:val="16"/>
          <w:szCs w:val="16"/>
        </w:rPr>
        <w:t>В. ПУДОВКИН, РЕЖИССЕР МЕЖРАБПОМ–ФИЛЬМ:</w:t>
      </w:r>
    </w:p>
    <w:p w14:paraId="08F8C68B"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 гигантском процессе стройки первого в истории человечества социалистического государства наука и искусство играют огромную и ответственную роль. Это видит и знает каждый сознательный гражданин СССР. Это должен видеть и знать каждый разумно мыслящий человек, любой страны. В СССР работники науки и искусства не могут быть «аполитичны» и «нейтральны». Потому что можно, либо участвовать в стройке вместе с пролетариатом и руководящей им партией, и, следовательно, каждый свой шаг проверять политически, либо называть «аполитичностью» свой отрыв от общих задач социалистической стройки и становиться, в лучшем случае, орудием в руках врагов, в худшем же войти в ряды активных контрреволюционеров. План интервенции, родившийся из неизбежной ненависти разлагающегося класса к классу победителю, — этот план ставит своей задачей прежде всего задавить, стереть с лица земли ростки новой жизни, в которой нет места «эксплоатации человека человеком», нет места культуре паразитизма. Огромной задачей, задачей исторической, возложенной также и на работников науки и искусства всего мира, является сейчас открытая защита Советского Союза от варварского нападения остервенелых рабовладельцев.</w:t>
      </w:r>
    </w:p>
    <w:p w14:paraId="4AE5851B"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Угроза нападения на Советский Союз не устраняется даже если будет предотвращена опасность интервенции на ближайший период. Эта опасность останется на все то время, пока будет существовать буржуазия, а, следовательно, и хищнические ее стремления. Нужно поэтому постоянно быть на чеку, вести постоянную, бдительную, честную работу наблюдения за врагами СССР и постоянно мобилизовать новых и новых защитников великого дела постройки социализма. ВОКС должен создать для наших заграничных друзей возможность оформления их пьес и киносценариев. С нашей стороны должна быть еще более усилена организация и проведение заграницей показательных выставок, рисующих жизнь и строительство Советского Союза. Чрезвычайно важно создать достаточно полную, монументальную кинокартину, показывающую политическую структуру Советского Союза. Такая картина должна и может играть огромную роль именно в настоящий момент и в ближайшем будущем.</w:t>
      </w:r>
    </w:p>
    <w:p w14:paraId="62304901" w14:textId="77777777" w:rsidR="00596600" w:rsidRPr="00507A31" w:rsidRDefault="00596600" w:rsidP="00507A31">
      <w:pPr>
        <w:pStyle w:val="rtecenter"/>
        <w:spacing w:before="0" w:after="0"/>
        <w:jc w:val="both"/>
        <w:rPr>
          <w:color w:val="000000" w:themeColor="text1"/>
          <w:sz w:val="16"/>
          <w:szCs w:val="16"/>
        </w:rPr>
      </w:pPr>
      <w:r w:rsidRPr="00507A31">
        <w:rPr>
          <w:color w:val="000000" w:themeColor="text1"/>
          <w:sz w:val="16"/>
          <w:szCs w:val="16"/>
        </w:rPr>
        <w:t>И. Н. БЕРСЕНЕВ — ЗАСЛУЖЕННЫЙ АРТИСТ РЕСПУБЛИКИ</w:t>
      </w:r>
    </w:p>
    <w:p w14:paraId="716D904A" w14:textId="77777777" w:rsidR="00596600" w:rsidRPr="00507A31" w:rsidRDefault="00596600" w:rsidP="00507A31">
      <w:pPr>
        <w:pStyle w:val="rtecenter"/>
        <w:spacing w:before="0" w:after="0"/>
        <w:jc w:val="both"/>
        <w:rPr>
          <w:color w:val="000000" w:themeColor="text1"/>
          <w:sz w:val="16"/>
          <w:szCs w:val="16"/>
        </w:rPr>
      </w:pPr>
      <w:r w:rsidRPr="00507A31">
        <w:rPr>
          <w:color w:val="000000" w:themeColor="text1"/>
          <w:sz w:val="16"/>
          <w:szCs w:val="16"/>
        </w:rPr>
        <w:t>(Государственный Московский Художественный Театр 2-ой)</w:t>
      </w:r>
    </w:p>
    <w:p w14:paraId="13455A6D"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Советский театр должен создать репертуар, который вскрывал бы социальную, экономическую и политическую сущность затеваемой интервенции. Художественно значимая пьеса, посвященная разоблачению вредительства, непосредственно вытекающего из общих планов интервенции, — могла бы служить прекрасным ответом на вопрос — каковы задачи советского искусства в борьбе с вредительством и подготовкой интервенции. Звучание такой пьесы окажется тем выше, чем убежденнее будут ее исполнители. Отсюда — логический вывод: пресловутая «нейтральность» людей искусства сдается в архив.</w:t>
      </w:r>
    </w:p>
    <w:p w14:paraId="66AABEAB"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Передовые деятели искусства и науки на Западе должны объединиться вокруг кампании, раскрывающей истинные причины готовящейся интервенции, «Руки прочь от Советского Союза!», вот тот лозунг, с которым должен выступить передовой театр Европы и Америки.</w:t>
      </w:r>
    </w:p>
    <w:p w14:paraId="3F61935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Художественная общественность нашей страны не может не быть заинтересована в демонстрации лучших образцов советского искусства заграницей. Гастрольные выезды наших театров и выставки их достижений должны постоянно стоять в порядке дня работы ВОКСа. С другой стороны необходим приезд в СССР целых коллективов иностранных театров и отдельных деятелей искусства. Наряду с показом своих достижений они смогут, благодаря непосредственному ознакомлению со строительством СССР, узнать правду о нас и рассказать о ней в своих странах.</w:t>
      </w:r>
    </w:p>
    <w:p w14:paraId="1D5F508C" w14:textId="77777777" w:rsidR="00596600" w:rsidRPr="00507A31" w:rsidRDefault="00596600" w:rsidP="00507A31">
      <w:pPr>
        <w:pStyle w:val="rtecenter"/>
        <w:spacing w:before="0" w:after="0"/>
        <w:jc w:val="both"/>
        <w:rPr>
          <w:color w:val="000000" w:themeColor="text1"/>
          <w:sz w:val="16"/>
          <w:szCs w:val="16"/>
        </w:rPr>
      </w:pPr>
      <w:r w:rsidRPr="00507A31">
        <w:rPr>
          <w:color w:val="000000" w:themeColor="text1"/>
          <w:sz w:val="16"/>
          <w:szCs w:val="16"/>
        </w:rPr>
        <w:t>А. КРАВЧЕНКО — художник:</w:t>
      </w:r>
    </w:p>
    <w:p w14:paraId="6CA1C4B4"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 связи с последними событиями — раскрытием вредительской организации и подготовкой интервенции, мы призываем всех деятелей искусства заграницей выступить вместе с нами против угрозы новой войны. Художники заграницей должны понять, что их друзья, друзья подлинной культуры, искусства — это мы. Пролетарская революция открыла искусству новые возможности, которых оно раньше не имело, главное, возможность работать не для узкого круга потребителей, а для широчайших масс.</w:t>
      </w:r>
    </w:p>
    <w:p w14:paraId="15040FED"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Я считаю целесообразным для укрепления и развития культурных связей показывать там новейшие достижения советского искусства: — киносценарии, полиграфию, архитектуру, плакат, самодеятельное искусство, графику и живопись, связанные с определенной тематикой (например «Строительство», «Пятилетка», «Красная Армия», «Новый быт» и т. д.).</w:t>
      </w:r>
    </w:p>
    <w:p w14:paraId="57E3A52D"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 связи с последними событиями советские художники усилили свою культурную работу на производствах. Я лично организую выставку своих работ на заводе «АМО» и экскурсии рабочих в мою мастерскую для ознакомления их с формами художественного производства.</w:t>
      </w:r>
    </w:p>
    <w:p w14:paraId="5344A463" w14:textId="77777777" w:rsidR="00596600" w:rsidRPr="00507A31" w:rsidRDefault="00596600" w:rsidP="00507A31">
      <w:pPr>
        <w:pStyle w:val="rtecenter"/>
        <w:spacing w:before="0" w:after="0"/>
        <w:jc w:val="both"/>
        <w:rPr>
          <w:color w:val="000000" w:themeColor="text1"/>
          <w:sz w:val="16"/>
          <w:szCs w:val="16"/>
        </w:rPr>
      </w:pPr>
      <w:r w:rsidRPr="00507A31">
        <w:rPr>
          <w:color w:val="000000" w:themeColor="text1"/>
          <w:sz w:val="16"/>
          <w:szCs w:val="16"/>
        </w:rPr>
        <w:t>НАРОДНЫЙ АРТИСТ РЕСПУБЛИКИ Ю. И. ЮРЬЕВ</w:t>
      </w:r>
    </w:p>
    <w:p w14:paraId="0B63392B" w14:textId="77777777" w:rsidR="00596600" w:rsidRPr="00507A31" w:rsidRDefault="00596600" w:rsidP="00507A31">
      <w:pPr>
        <w:pStyle w:val="rtecenter"/>
        <w:spacing w:before="0" w:after="0"/>
        <w:jc w:val="both"/>
        <w:rPr>
          <w:color w:val="000000" w:themeColor="text1"/>
          <w:sz w:val="16"/>
          <w:szCs w:val="16"/>
        </w:rPr>
      </w:pPr>
      <w:r w:rsidRPr="00507A31">
        <w:rPr>
          <w:color w:val="000000" w:themeColor="text1"/>
          <w:sz w:val="16"/>
          <w:szCs w:val="16"/>
        </w:rPr>
        <w:t>(Малый Театр)</w:t>
      </w:r>
    </w:p>
    <w:p w14:paraId="7894D9D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Задача советского искусства в борьбе с вредительством и подготовкой интервенции показать всю преступность идеи интервенции и войны против страны, которая ведет за собой к освобождению все человечество. Рабочий класс Запада это отлично осознает и сделает все возможное, чтобы не допустить интервенции. Вся передовая общественность заграницей также должна активно выступить против подготовки нападения на нашу культуру и мирную творческую работу.</w:t>
      </w:r>
    </w:p>
    <w:p w14:paraId="01772325"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Необходимо познакомить Запад с последними достижениями наших самодеятельных театров (ТРАМы), как знаменующих собою громадный культурный рост пролетариата, возможный лишь в условиях нашего государственного строя. Кроме того, на Западе необходимо показать новые работы профессионального театра, отображающего энтузиазм социалистического строительства и стремительность его темпов.</w:t>
      </w:r>
    </w:p>
    <w:p w14:paraId="528C01E8"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Также должны представлять большой интерес для заграницы формальные достижения нашего театра за весь революционный период.</w:t>
      </w:r>
    </w:p>
    <w:p w14:paraId="6031F55A"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3. С. 16-18. Датируется по времени выхода из печати вып. 3 бюллетеня (разослан до 28 декабря 1930 г. ГА РФ. Р-5283. On. 1.Д. 139. Л. 84, 97) (18958).</w:t>
      </w:r>
    </w:p>
    <w:p w14:paraId="779E5B5A" w14:textId="77777777" w:rsidR="00596600" w:rsidRPr="00507A31" w:rsidRDefault="00596600" w:rsidP="00507A31">
      <w:pPr>
        <w:jc w:val="both"/>
        <w:rPr>
          <w:color w:val="000000" w:themeColor="text1"/>
          <w:sz w:val="16"/>
          <w:szCs w:val="16"/>
        </w:rPr>
      </w:pPr>
    </w:p>
    <w:p w14:paraId="11238DD9" w14:textId="77777777" w:rsidR="00596600" w:rsidRPr="00507A31" w:rsidRDefault="00596600" w:rsidP="00507A31">
      <w:pPr>
        <w:jc w:val="both"/>
        <w:rPr>
          <w:bCs/>
          <w:color w:val="000000" w:themeColor="text1"/>
          <w:sz w:val="16"/>
          <w:szCs w:val="16"/>
        </w:rPr>
      </w:pPr>
      <w:r w:rsidRPr="00507A31">
        <w:rPr>
          <w:color w:val="000000" w:themeColor="text1"/>
          <w:sz w:val="16"/>
          <w:szCs w:val="16"/>
        </w:rPr>
        <w:t>18 декабря 1930 г.</w:t>
      </w:r>
    </w:p>
    <w:p w14:paraId="1C0584F1" w14:textId="77777777" w:rsidR="00596600" w:rsidRPr="00507A31" w:rsidRDefault="00596600" w:rsidP="00507A31">
      <w:pPr>
        <w:jc w:val="both"/>
        <w:rPr>
          <w:bCs/>
          <w:color w:val="000000" w:themeColor="text1"/>
          <w:sz w:val="16"/>
          <w:szCs w:val="16"/>
        </w:rPr>
      </w:pPr>
      <w:r w:rsidRPr="00507A31">
        <w:rPr>
          <w:color w:val="000000" w:themeColor="text1"/>
          <w:sz w:val="16"/>
          <w:szCs w:val="16"/>
        </w:rPr>
        <w:t>Депеша посла Франции в Великобритании Э. де Флерио министру иностранных дел Франции А. Бриану об «обсуждении британской политики» в отношении СССР в Палате общин. 18 декабря 1930 г.</w:t>
      </w:r>
    </w:p>
    <w:p w14:paraId="1AC9D37E"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4BC33641"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053F45"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18 декабря 1930 г.</w:t>
      </w:r>
    </w:p>
    <w:p w14:paraId="335903DF"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Посольство Франции в Англии</w:t>
      </w:r>
    </w:p>
    <w:p w14:paraId="78F658A0"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Департамент политических и торговых дел</w:t>
      </w:r>
    </w:p>
    <w:p w14:paraId="1DB2F16E"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Депеша № 567</w:t>
      </w:r>
    </w:p>
    <w:p w14:paraId="74E4D3D0"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(Европа)</w:t>
      </w:r>
    </w:p>
    <w:p w14:paraId="099EBE03"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Посол Франции в Лондоне Флерио министру иностранных дел Аристиду Бриану</w:t>
      </w:r>
    </w:p>
    <w:p w14:paraId="29EC3EDA"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Палата общин. Московский процесс и англо-советские отношения</w:t>
      </w:r>
    </w:p>
    <w:p w14:paraId="6733E8CA"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Ссылаюсь на свое письмо № 557 от 11-го декабря 1930. Пересылаю в приложении отчет о кратком обсуждении британской политики по отношению к СССР в Палате общин 15-го декабря.</w:t>
      </w:r>
    </w:p>
    <w:p w14:paraId="4D76850B"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Артур Хендерсон сообщил об уклончивом ответе московского правительства на недавний демарш посла Англии. Как Вам известно, английский посол был уполномочен выразить протест против инсинуаций и неверных и недоброжелательных утверждений против английской политики, содержащихся в обвинительной речи государственного обвинителя на московском процессе. Артур Хендерсон попросил сэра Эсмонда Овия выразить советскому правительству, что его ответ не был воспринят как удовлетворительный в Англии.</w:t>
      </w:r>
    </w:p>
    <w:p w14:paraId="56DAD3E8"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Флерио</w:t>
      </w:r>
    </w:p>
    <w:p w14:paraId="24004E1D"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209-209а. Машинописный подлинник, подпись — автограф. Штамп Департамента политических и торговых дел с датой «24 дек. 1930» и вписанным от руки номером о сдаче в архив «z 619-20 s/d5». Ниже штамп Кабинета министра с датой «19 дек. 1930» (18780).</w:t>
      </w:r>
    </w:p>
    <w:p w14:paraId="3AC1786A" w14:textId="77777777" w:rsidR="00596600" w:rsidRPr="00507A31" w:rsidRDefault="00596600" w:rsidP="00507A31">
      <w:pPr>
        <w:jc w:val="both"/>
        <w:rPr>
          <w:color w:val="000000" w:themeColor="text1"/>
          <w:sz w:val="16"/>
          <w:szCs w:val="16"/>
        </w:rPr>
      </w:pPr>
    </w:p>
    <w:p w14:paraId="2B355818" w14:textId="77777777" w:rsidR="00B85E5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881658A" w14:textId="77777777" w:rsidR="00B85E59" w:rsidRPr="00507A31" w:rsidRDefault="00B85E59" w:rsidP="00507A31">
      <w:pPr>
        <w:autoSpaceDE w:val="0"/>
        <w:autoSpaceDN w:val="0"/>
        <w:adjustRightInd w:val="0"/>
        <w:jc w:val="both"/>
        <w:rPr>
          <w:iCs/>
          <w:color w:val="000000" w:themeColor="text1"/>
          <w:sz w:val="16"/>
          <w:szCs w:val="16"/>
        </w:rPr>
      </w:pPr>
    </w:p>
    <w:p w14:paraId="57212A49" w14:textId="77777777" w:rsidR="00B85E59" w:rsidRPr="00507A31" w:rsidRDefault="00B85E59" w:rsidP="00507A31">
      <w:pPr>
        <w:jc w:val="both"/>
        <w:rPr>
          <w:color w:val="000000" w:themeColor="text1"/>
          <w:sz w:val="16"/>
          <w:szCs w:val="16"/>
        </w:rPr>
      </w:pPr>
      <w:r w:rsidRPr="00507A31">
        <w:rPr>
          <w:rStyle w:val="a7"/>
          <w:b w:val="0"/>
          <w:color w:val="000000" w:themeColor="text1"/>
          <w:sz w:val="16"/>
          <w:szCs w:val="16"/>
        </w:rPr>
        <w:t xml:space="preserve">19 декабря 1930 </w:t>
      </w:r>
      <w:r w:rsidRPr="00507A31">
        <w:rPr>
          <w:color w:val="000000" w:themeColor="text1"/>
          <w:sz w:val="16"/>
          <w:szCs w:val="16"/>
        </w:rPr>
        <w:t>Объединенный Пленум ЦК и ЦКК ВКП (б) принял резолюцию (по докладу В. В. Куйбышева) «О народнохозяйственном плане на 1931 г.» (12265).</w:t>
      </w:r>
    </w:p>
    <w:p w14:paraId="2E60137A" w14:textId="77777777" w:rsidR="00B85E59" w:rsidRPr="00507A31" w:rsidRDefault="00B85E59" w:rsidP="00507A31">
      <w:pPr>
        <w:jc w:val="both"/>
        <w:rPr>
          <w:color w:val="000000" w:themeColor="text1"/>
          <w:sz w:val="16"/>
          <w:szCs w:val="16"/>
        </w:rPr>
      </w:pPr>
      <w:r w:rsidRPr="00507A31">
        <w:rPr>
          <w:color w:val="000000" w:themeColor="text1"/>
          <w:sz w:val="16"/>
          <w:szCs w:val="16"/>
        </w:rPr>
        <w:t> </w:t>
      </w:r>
    </w:p>
    <w:p w14:paraId="36D80AC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92378B9" w14:textId="77777777" w:rsidR="00537E5F" w:rsidRPr="00507A31" w:rsidRDefault="00537E5F" w:rsidP="00507A31">
      <w:pPr>
        <w:autoSpaceDE w:val="0"/>
        <w:autoSpaceDN w:val="0"/>
        <w:adjustRightInd w:val="0"/>
        <w:jc w:val="both"/>
        <w:rPr>
          <w:iCs/>
          <w:color w:val="000000" w:themeColor="text1"/>
          <w:sz w:val="16"/>
          <w:szCs w:val="16"/>
        </w:rPr>
      </w:pPr>
    </w:p>
    <w:p w14:paraId="28060544" w14:textId="77777777" w:rsidR="006C0DAF" w:rsidRPr="00507A31" w:rsidRDefault="006C0DAF" w:rsidP="00507A31">
      <w:pPr>
        <w:jc w:val="both"/>
        <w:rPr>
          <w:color w:val="0070C0"/>
          <w:sz w:val="16"/>
          <w:szCs w:val="16"/>
        </w:rPr>
      </w:pPr>
      <w:r w:rsidRPr="00507A31">
        <w:rPr>
          <w:color w:val="0070C0"/>
          <w:sz w:val="16"/>
          <w:szCs w:val="16"/>
          <w:shd w:val="clear" w:color="auto" w:fill="FFFFFF"/>
        </w:rPr>
        <w:lastRenderedPageBreak/>
        <w:t>19 декабря 1930 года завершилась начавшаяся в июне серьезнейшая реорганизация правительства. Теперь возглавил его В.М. Молотов. В отставку отправили одного из трех заместителей председателя СНК СССР и четырех из девяти наркомов. Перемены эти были порождены грубейшими просчетами при разработке пятилетнего плана и ошибками при его осуществлении. Все вместе и привело не только к переформированию правительства, но и к радикальной смене курса страны (20467).</w:t>
      </w:r>
    </w:p>
    <w:p w14:paraId="0A04CFB5" w14:textId="77777777" w:rsidR="006C0DAF" w:rsidRPr="00507A31" w:rsidRDefault="006C0DAF" w:rsidP="00507A31">
      <w:pPr>
        <w:jc w:val="both"/>
        <w:rPr>
          <w:color w:val="0070C0"/>
          <w:sz w:val="16"/>
          <w:szCs w:val="16"/>
        </w:rPr>
      </w:pPr>
    </w:p>
    <w:p w14:paraId="00DB1C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C 19 декабря 1930 вместо А.И.Р., отправленного в отставку (был на посту со 2 февраля 1924), председателем Совнаркома стал В.М.М. (1348,119). В.М.М. сразу же предложил увеличить план на 1931 на 45% и выполнить пятилетку в 3 года (3908,334).</w:t>
      </w:r>
    </w:p>
    <w:p w14:paraId="70E755DC" w14:textId="77777777" w:rsidR="00537E5F" w:rsidRPr="00507A31" w:rsidRDefault="00537E5F" w:rsidP="00507A31">
      <w:pPr>
        <w:autoSpaceDE w:val="0"/>
        <w:autoSpaceDN w:val="0"/>
        <w:adjustRightInd w:val="0"/>
        <w:jc w:val="both"/>
        <w:rPr>
          <w:color w:val="000000" w:themeColor="text1"/>
          <w:sz w:val="16"/>
          <w:szCs w:val="16"/>
        </w:rPr>
      </w:pPr>
    </w:p>
    <w:p w14:paraId="75D5CA49" w14:textId="77777777" w:rsidR="00770450" w:rsidRPr="00507A31" w:rsidRDefault="00770450" w:rsidP="00507A31">
      <w:pPr>
        <w:shd w:val="clear" w:color="auto" w:fill="FFFFFF"/>
        <w:jc w:val="both"/>
        <w:rPr>
          <w:color w:val="000000" w:themeColor="text1"/>
          <w:sz w:val="16"/>
          <w:szCs w:val="16"/>
        </w:rPr>
      </w:pPr>
      <w:r w:rsidRPr="00507A31">
        <w:rPr>
          <w:color w:val="000000" w:themeColor="text1"/>
          <w:sz w:val="16"/>
          <w:szCs w:val="16"/>
        </w:rPr>
        <w:t>19 декабря 1930 г. СССР: полная бюрократическая победа группировки волнового героя Сталина — отставка Рыкова с постов Председателя СНК и СТО СССР, назначение Вячеслава Молотова.</w:t>
      </w:r>
    </w:p>
    <w:p w14:paraId="25BE5785" w14:textId="77777777" w:rsidR="00770450" w:rsidRPr="00507A31" w:rsidRDefault="00770450" w:rsidP="00507A31">
      <w:pPr>
        <w:shd w:val="clear" w:color="auto" w:fill="FFFFFF"/>
        <w:jc w:val="both"/>
        <w:rPr>
          <w:color w:val="000000" w:themeColor="text1"/>
          <w:sz w:val="16"/>
          <w:szCs w:val="16"/>
        </w:rPr>
      </w:pPr>
      <w:r w:rsidRPr="00507A31">
        <w:rPr>
          <w:color w:val="000000" w:themeColor="text1"/>
          <w:sz w:val="16"/>
          <w:szCs w:val="16"/>
        </w:rPr>
        <w:t>19 декабря 1930 г. на утро после своего дня рождения –Сталин начинает чистку в правительстве страны – следует отставка Рыкова и назначение Вячеслава Молотова председателем СНК СССР и СТО СССР. Это ознаменовало полную победу группировки Сталина в аппаратной борьбе. Все нити власти были в его руках – уничтожение или милование «врагов» было лишь делом времени и его личного желания (17325).</w:t>
      </w:r>
    </w:p>
    <w:p w14:paraId="12304CAE" w14:textId="77777777" w:rsidR="00770450" w:rsidRPr="00507A31" w:rsidRDefault="00770450" w:rsidP="00507A31">
      <w:pPr>
        <w:autoSpaceDE w:val="0"/>
        <w:autoSpaceDN w:val="0"/>
        <w:adjustRightInd w:val="0"/>
        <w:jc w:val="both"/>
        <w:rPr>
          <w:color w:val="000000" w:themeColor="text1"/>
          <w:sz w:val="16"/>
          <w:szCs w:val="16"/>
        </w:rPr>
      </w:pPr>
    </w:p>
    <w:p w14:paraId="61FA6E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19 и 25 декабря 1930. Протокол заседания Политбюро № 22, 1930 г.</w:t>
      </w:r>
    </w:p>
    <w:p w14:paraId="5F5AD8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Капиталистические страны пытаются сорвать бурный рост социалистического хозяйства СССР и успешное выполнение пятилетки, прибегают к исключительным мероприятиям, направленным против нашего экспорта и носящим характер экономической войны. Борьба капиталистических стран против нашего экспорта есть вместе с тем борьба против индустриализации СССР, поскольку возможность ввоза оборудования, черных и цветных металлов, тракторов и проч. находится в зависимости от размеров нашего экспорта. Считая, что одной из важнейших задач партийных и советских организаций является максимальная мобилизация экспортных ресурсов и всемерное форсирование экспорта, ЦК ВКП(б) и СНК постановляют: </w:t>
      </w:r>
    </w:p>
    <w:p w14:paraId="3B206E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Предложить всем парткомам и советским организациям: </w:t>
      </w:r>
    </w:p>
    <w:p w14:paraId="663DF7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 Принять решительные меры по немедленной мобилизации экспортных ресурсов и срочному направлению их на экспорт — не менее 80% плана на 1-й квартал 1931 г. должно быть выполнено за первую половину месяца. </w:t>
      </w:r>
    </w:p>
    <w:p w14:paraId="7252B9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 Вести упорную и настойчивую борьбу с плохим качеством экспортируемых товаров, приводящим к потере рынков и к недовыручке валюты... </w:t>
      </w:r>
    </w:p>
    <w:p w14:paraId="6A9408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Провести следующие мероприятия: </w:t>
      </w:r>
    </w:p>
    <w:p w14:paraId="4C2302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хлебу: </w:t>
      </w:r>
    </w:p>
    <w:p w14:paraId="763075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Обеспечить концентрацию в портах всего хлеба, подлежащего экспорту в 1-м квартале, до 25 января. </w:t>
      </w:r>
    </w:p>
    <w:p w14:paraId="3C094A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Особое внимание обратить на качество отгружаемого хлеба, в особенности пшеницы. </w:t>
      </w:r>
    </w:p>
    <w:p w14:paraId="4B7AF0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пушнине: </w:t>
      </w:r>
    </w:p>
    <w:p w14:paraId="46700C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Принимая во внимание крайне неудовлетворительный ход заготовок пушнины, принять все меры для усиления заготовок. В частности, применять премирование заготовок пушнины промтоварами, мукой, спиртом и проч. </w:t>
      </w:r>
    </w:p>
    <w:p w14:paraId="53908A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экспорту продовольственных продуктов: </w:t>
      </w:r>
    </w:p>
    <w:p w14:paraId="6B1DE3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Обеспечить выработку бекона для экспорта, в частности запретив убой беконных свиней для других целей, кроме бекона, организовав соответствующий откорм свиней и т. п. (11652).</w:t>
      </w:r>
    </w:p>
    <w:p w14:paraId="74B4773B" w14:textId="77777777" w:rsidR="00537E5F" w:rsidRPr="00507A31" w:rsidRDefault="00537E5F" w:rsidP="00507A31">
      <w:pPr>
        <w:autoSpaceDE w:val="0"/>
        <w:autoSpaceDN w:val="0"/>
        <w:adjustRightInd w:val="0"/>
        <w:jc w:val="both"/>
        <w:rPr>
          <w:color w:val="000000" w:themeColor="text1"/>
          <w:sz w:val="16"/>
          <w:szCs w:val="16"/>
        </w:rPr>
      </w:pPr>
    </w:p>
    <w:p w14:paraId="4A4EF75D" w14:textId="77777777" w:rsidR="00596600" w:rsidRPr="00507A31" w:rsidRDefault="00596600"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52747809" w14:textId="77777777" w:rsidR="00596600" w:rsidRPr="00507A31" w:rsidRDefault="00596600" w:rsidP="00507A31">
      <w:pPr>
        <w:autoSpaceDE w:val="0"/>
        <w:autoSpaceDN w:val="0"/>
        <w:adjustRightInd w:val="0"/>
        <w:jc w:val="both"/>
        <w:rPr>
          <w:iCs/>
          <w:color w:val="000000" w:themeColor="text1"/>
          <w:sz w:val="16"/>
          <w:szCs w:val="16"/>
        </w:rPr>
      </w:pPr>
    </w:p>
    <w:p w14:paraId="592DD586" w14:textId="77777777" w:rsidR="00596600" w:rsidRPr="00507A31" w:rsidRDefault="00596600" w:rsidP="00507A31">
      <w:pPr>
        <w:jc w:val="both"/>
        <w:rPr>
          <w:bCs/>
          <w:color w:val="000000" w:themeColor="text1"/>
          <w:sz w:val="16"/>
          <w:szCs w:val="16"/>
        </w:rPr>
      </w:pPr>
      <w:r w:rsidRPr="00507A31">
        <w:rPr>
          <w:color w:val="000000" w:themeColor="text1"/>
          <w:sz w:val="16"/>
          <w:szCs w:val="16"/>
        </w:rPr>
        <w:t>19 декабря 1930 г.</w:t>
      </w:r>
    </w:p>
    <w:p w14:paraId="4E6550DE" w14:textId="77777777" w:rsidR="00596600" w:rsidRPr="00507A31" w:rsidRDefault="00596600" w:rsidP="00507A31">
      <w:pPr>
        <w:jc w:val="both"/>
        <w:rPr>
          <w:bCs/>
          <w:color w:val="000000" w:themeColor="text1"/>
          <w:sz w:val="16"/>
          <w:szCs w:val="16"/>
        </w:rPr>
      </w:pPr>
      <w:r w:rsidRPr="00507A31">
        <w:rPr>
          <w:color w:val="000000" w:themeColor="text1"/>
          <w:sz w:val="16"/>
          <w:szCs w:val="16"/>
        </w:rPr>
        <w:t>Письмо Б. Д. Виноградова заведующему 2-м Западным отделом НКИД СССР Б. Е. Штейну о публикации советской точки зрения на процесс в германской печати. 19 декабря 1930 г.</w:t>
      </w:r>
    </w:p>
    <w:p w14:paraId="1FDC30AA"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5D439F55"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64454DA"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Архив: </w:t>
      </w:r>
    </w:p>
    <w:p w14:paraId="0677E1ED" w14:textId="77777777" w:rsidR="00596600" w:rsidRPr="00507A31" w:rsidRDefault="00596600" w:rsidP="00507A31">
      <w:pPr>
        <w:jc w:val="both"/>
        <w:rPr>
          <w:color w:val="000000" w:themeColor="text1"/>
          <w:sz w:val="16"/>
          <w:szCs w:val="16"/>
        </w:rPr>
      </w:pPr>
      <w:r w:rsidRPr="00507A31">
        <w:rPr>
          <w:color w:val="000000" w:themeColor="text1"/>
          <w:sz w:val="16"/>
          <w:szCs w:val="16"/>
        </w:rPr>
        <w:t>АВП РФ. Ф. 056. On. 15. П. 31\Д. 9. Л. 123-124</w:t>
      </w:r>
    </w:p>
    <w:p w14:paraId="4022F373"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19 декабря 1930 г.</w:t>
      </w:r>
    </w:p>
    <w:p w14:paraId="17E25F04"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6263E6EE"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2-й ЗАПАДНЫЙ ОТДЕЛ НКИД</w:t>
      </w:r>
    </w:p>
    <w:p w14:paraId="2D9F276E"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тов. Штейну</w:t>
      </w:r>
    </w:p>
    <w:p w14:paraId="4DB8812D"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Копия: Отдел Печати</w:t>
      </w:r>
    </w:p>
    <w:p w14:paraId="3A406980"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541C1849"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 своем дневнике я уже записал о желании Ионаса напечатать в «Известиях» заметку об его новых «постах». Я думаю, что эту услугу мы ему можем сделать, потому что связь с ним нам по-прежнему нужна. Я обещал ему, что такая заметка в ближайшее время появится в «Известиях». В заметке следует указать, что Ионас известен как политик, стремящийся расширять отношения с СССР, и что с этой точки зрения назначение его директором Германской Восточной Ярмарки, Кенигсбергского Экономического Института для СССР и избрание руководящим членом Правления [«]Ост Еуропы[»] нельзя не приветствовать.</w:t>
      </w:r>
    </w:p>
    <w:p w14:paraId="54DC789E"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Что касается статьи Радека, то Ионас и Гетч согласились на замену Луначарского. Гораздо сложнее обстоит дело с запаздыванием статьи. Мы в свое время телеграфировали и писали, что статья должна быть в Берлине не позже 18-го, иначе она не попадет в январский номер «Ост Еуропы». Из письма т. Аренса следует, что статья прибудет в Берлин 20-го. Я уломал Ионаса согласиться на эту оттяжку, хотя январский номер [«]Ост Еуропы[»] уже совершенно готов и задерживается только из[-]за этой статьи. 20-го декабря Гетч уезжает в Швейцарию и если до 12 часов дня статья Радека не будет ему передана, то она сможет быть напечатана лишь в февральском номере. Мне кажется, что темпы писания и пересылки статьи Радека могли бы быть ускорены.</w:t>
      </w:r>
    </w:p>
    <w:p w14:paraId="290C25E8"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Не откажите также сообщить, будет ли написана Ваша статья для Мендельсона-Бартольди и прислана в срок. Мендельсона-Бартольди нужно поставить в известность о том, сумеет ли он получить Вашу статью, не позже 5-го января.</w:t>
      </w:r>
    </w:p>
    <w:p w14:paraId="52170D52"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 тов. приветом</w:t>
      </w:r>
    </w:p>
    <w:p w14:paraId="5966ED09"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(Виноградов)</w:t>
      </w:r>
    </w:p>
    <w:p w14:paraId="5CA061D6"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Р. S. Здесь решено, что Комт пошлет телеграмму о Ионасе, а Вы позаботитесь поместить [ее] в «Известия».</w:t>
      </w:r>
    </w:p>
    <w:p w14:paraId="0FD63A58"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056. On. 15. </w:t>
      </w:r>
      <w:r w:rsidRPr="00507A31">
        <w:rPr>
          <w:rStyle w:val="af0"/>
          <w:i w:val="0"/>
          <w:color w:val="000000" w:themeColor="text1"/>
          <w:sz w:val="16"/>
          <w:szCs w:val="16"/>
        </w:rPr>
        <w:t>П</w:t>
      </w:r>
      <w:r w:rsidRPr="00507A31">
        <w:rPr>
          <w:rStyle w:val="af0"/>
          <w:i w:val="0"/>
          <w:color w:val="000000" w:themeColor="text1"/>
          <w:sz w:val="16"/>
          <w:szCs w:val="16"/>
          <w:lang w:val="en-US"/>
        </w:rPr>
        <w:t>. 31\</w:t>
      </w:r>
      <w:r w:rsidRPr="00507A31">
        <w:rPr>
          <w:rStyle w:val="af0"/>
          <w:i w:val="0"/>
          <w:color w:val="000000" w:themeColor="text1"/>
          <w:sz w:val="16"/>
          <w:szCs w:val="16"/>
        </w:rPr>
        <w:t>Д</w:t>
      </w:r>
      <w:r w:rsidRPr="00507A31">
        <w:rPr>
          <w:rStyle w:val="af0"/>
          <w:i w:val="0"/>
          <w:color w:val="000000" w:themeColor="text1"/>
          <w:sz w:val="16"/>
          <w:szCs w:val="16"/>
          <w:lang w:val="en-US"/>
        </w:rPr>
        <w:t xml:space="preserve">. 9. </w:t>
      </w:r>
      <w:r w:rsidRPr="00507A31">
        <w:rPr>
          <w:rStyle w:val="af0"/>
          <w:i w:val="0"/>
          <w:color w:val="000000" w:themeColor="text1"/>
          <w:sz w:val="16"/>
          <w:szCs w:val="16"/>
        </w:rPr>
        <w:t>Л. 123-124. Машинописная копия того времени. Гриф секретности и дата машинописью. На Л. 123 вверху написаны от руки исходящий номер (№ 1563), а также входящий номер и дата получения документа «23/ХII-30 г», помета «архив», подпись- росчерк Миронова (18882).</w:t>
      </w:r>
    </w:p>
    <w:p w14:paraId="2888EF27" w14:textId="77777777" w:rsidR="00596600" w:rsidRPr="00507A31" w:rsidRDefault="00596600" w:rsidP="00507A31">
      <w:pPr>
        <w:jc w:val="both"/>
        <w:rPr>
          <w:color w:val="000000" w:themeColor="text1"/>
          <w:sz w:val="16"/>
          <w:szCs w:val="16"/>
        </w:rPr>
      </w:pPr>
    </w:p>
    <w:p w14:paraId="284B72F3" w14:textId="77777777" w:rsidR="00596600" w:rsidRPr="00507A31" w:rsidRDefault="00596600" w:rsidP="00507A31">
      <w:pPr>
        <w:jc w:val="both"/>
        <w:rPr>
          <w:color w:val="000000" w:themeColor="text1"/>
          <w:sz w:val="16"/>
          <w:szCs w:val="16"/>
        </w:rPr>
      </w:pPr>
      <w:r w:rsidRPr="00507A31">
        <w:rPr>
          <w:color w:val="000000" w:themeColor="text1"/>
          <w:sz w:val="16"/>
          <w:szCs w:val="16"/>
        </w:rPr>
        <w:t>19 декабря 1930 г.</w:t>
      </w:r>
    </w:p>
    <w:p w14:paraId="7185AE90" w14:textId="77777777" w:rsidR="00596600" w:rsidRPr="00507A31" w:rsidRDefault="00596600" w:rsidP="00507A31">
      <w:pPr>
        <w:jc w:val="both"/>
        <w:rPr>
          <w:bCs/>
          <w:color w:val="000000" w:themeColor="text1"/>
          <w:sz w:val="16"/>
          <w:szCs w:val="16"/>
        </w:rPr>
      </w:pPr>
      <w:r w:rsidRPr="00507A31">
        <w:rPr>
          <w:color w:val="000000" w:themeColor="text1"/>
          <w:sz w:val="16"/>
          <w:szCs w:val="16"/>
        </w:rPr>
        <w:t>Письмо Б. Д. Виноградова Н. Н. Крестинскому об организации публичных мероприятий в Германии в связи с завершившимся процессом «Промпартии». 19 декабря 1930 г.</w:t>
      </w:r>
    </w:p>
    <w:p w14:paraId="3086C5CC"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Источник: </w:t>
      </w:r>
    </w:p>
    <w:p w14:paraId="3D5EE3C6" w14:textId="77777777" w:rsidR="00596600" w:rsidRPr="00507A31" w:rsidRDefault="00596600"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54F366" w14:textId="77777777" w:rsidR="00596600" w:rsidRPr="00507A31" w:rsidRDefault="00596600" w:rsidP="00507A31">
      <w:pPr>
        <w:jc w:val="both"/>
        <w:rPr>
          <w:bCs/>
          <w:color w:val="000000" w:themeColor="text1"/>
          <w:sz w:val="16"/>
          <w:szCs w:val="16"/>
        </w:rPr>
      </w:pPr>
      <w:r w:rsidRPr="00507A31">
        <w:rPr>
          <w:bCs/>
          <w:color w:val="000000" w:themeColor="text1"/>
          <w:sz w:val="16"/>
          <w:szCs w:val="16"/>
        </w:rPr>
        <w:t>Архив: </w:t>
      </w:r>
    </w:p>
    <w:p w14:paraId="620A9367" w14:textId="77777777" w:rsidR="00596600" w:rsidRPr="00507A31" w:rsidRDefault="00596600" w:rsidP="00507A31">
      <w:pPr>
        <w:jc w:val="both"/>
        <w:rPr>
          <w:color w:val="000000" w:themeColor="text1"/>
          <w:sz w:val="16"/>
          <w:szCs w:val="16"/>
        </w:rPr>
      </w:pPr>
      <w:r w:rsidRPr="00507A31">
        <w:rPr>
          <w:color w:val="000000" w:themeColor="text1"/>
          <w:sz w:val="16"/>
          <w:szCs w:val="16"/>
        </w:rPr>
        <w:t xml:space="preserve">АВП РФ. Ф. 056. </w:t>
      </w:r>
      <w:r w:rsidRPr="00507A31">
        <w:rPr>
          <w:color w:val="000000" w:themeColor="text1"/>
          <w:sz w:val="16"/>
          <w:szCs w:val="16"/>
          <w:lang w:val="en-US"/>
        </w:rPr>
        <w:t>On</w:t>
      </w:r>
      <w:r w:rsidRPr="00507A31">
        <w:rPr>
          <w:color w:val="000000" w:themeColor="text1"/>
          <w:sz w:val="16"/>
          <w:szCs w:val="16"/>
        </w:rPr>
        <w:t>. 15. П. 31. Д. 9. Л. 121-122</w:t>
      </w:r>
    </w:p>
    <w:p w14:paraId="4AC5C04B"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19 декабря 1930 г.</w:t>
      </w:r>
    </w:p>
    <w:p w14:paraId="1F6EC9FA" w14:textId="77777777" w:rsidR="00596600" w:rsidRPr="00507A31" w:rsidRDefault="00596600"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78472F4B"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НКИД тов. КРЕСТИНСКОМУ</w:t>
      </w:r>
    </w:p>
    <w:p w14:paraId="5DEE4848"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Копии: т.т. Литвинову, Штейну, Аренсу, ВОКС</w:t>
      </w:r>
    </w:p>
    <w:p w14:paraId="1957CBB3"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Многоуважаемый Николай Николаевич,</w:t>
      </w:r>
    </w:p>
    <w:p w14:paraId="582E47D3"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 xml:space="preserve">На московский процесс ОДНР откликнулось должным образом. 16-го декабря в зале филармонии было созвано большое политическое собрание, на которое пришло 650 человек. Таких многолюдных собраний Общества здесь давно уже не было. Выступали Гольдшмидт, проф. Феликс Гале, Анна Зегерс (кстати, прекрасно говорившая)[,] Голичер, Киш, Людвиг Ренн и Витфогель. Публика была всецело на стороне докладчиков и отдельные враждебные цвишенруфы никакого успеха не имели. Было очень много представителей прессы (Барон насчитал несколько десятков журналистов), что не мешает буржуазной прессе замалчивать собрание. Это собрание является сильным толчком к оживлению деятельности Общества и к приданию работе большего размаха. После этой удачи я проектирую доклады проф. </w:t>
      </w:r>
      <w:r w:rsidRPr="00507A31">
        <w:rPr>
          <w:color w:val="000000" w:themeColor="text1"/>
          <w:sz w:val="16"/>
          <w:szCs w:val="16"/>
        </w:rPr>
        <w:lastRenderedPageBreak/>
        <w:t>Самойловича и Визе, а также доклад Третьякова о пятилетке и литературе тоже пустить в больших залах. Успех собрания был обеспечен тем, что мы провели большую подготовительную работу и, в частности, не пожалели денег на аршинные плакаты, расклеенные по городу. К сожалению, созвать такие собрания в провинции мы не сможем из[-]за отсутствия средств. Тов. Хинчук телеграфировал Аренсу о необходимости устройства собраний Общества и в нескольких провинциальных городах. Ответа нет, из чего можно заключить, что наше предложение отпадает. А, между тем, даже в январе было бы не поздно созвать такие собрания. В своем письме к Льву Михайловичу Вы просите представить наши соображения о расходах на будущий год. В Вашем письме предусмотрены расходы и на устройство собраний. Такую наметку, мы, понятно, представим. Но дело в том, что нам нужны средства теперь, немедленно. Повод для созыва подобного собрания совершенно исключительный: процесс «Промпартии». Ориентировочную смету я уже послал т. Аренсу, и было бы очень желательно, чтобы эта заявка не позже конца декабря была бы удовлетворена.</w:t>
      </w:r>
    </w:p>
    <w:p w14:paraId="02865388" w14:textId="77777777" w:rsidR="00596600" w:rsidRPr="00507A31" w:rsidRDefault="00596600" w:rsidP="00507A31">
      <w:pPr>
        <w:pStyle w:val="rtejustify"/>
        <w:spacing w:before="0" w:after="0"/>
        <w:rPr>
          <w:color w:val="000000" w:themeColor="text1"/>
          <w:sz w:val="16"/>
          <w:szCs w:val="16"/>
        </w:rPr>
      </w:pPr>
      <w:r w:rsidRPr="00507A31">
        <w:rPr>
          <w:color w:val="000000" w:themeColor="text1"/>
          <w:sz w:val="16"/>
          <w:szCs w:val="16"/>
        </w:rPr>
        <w:t>Специальный номер «Дас нейе Руссланд» выходит на днях, т. к. мы его приготовили пожарным темпом, и средства на него были своевременно отпущены.</w:t>
      </w:r>
    </w:p>
    <w:p w14:paraId="763F2EC4"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С товарищеским приветом</w:t>
      </w:r>
    </w:p>
    <w:p w14:paraId="70F21568" w14:textId="77777777" w:rsidR="00596600" w:rsidRPr="00507A31" w:rsidRDefault="00596600" w:rsidP="00507A31">
      <w:pPr>
        <w:pStyle w:val="ae"/>
        <w:spacing w:before="0" w:after="0"/>
        <w:jc w:val="both"/>
        <w:rPr>
          <w:color w:val="000000" w:themeColor="text1"/>
          <w:sz w:val="16"/>
          <w:szCs w:val="16"/>
        </w:rPr>
      </w:pPr>
      <w:r w:rsidRPr="00507A31">
        <w:rPr>
          <w:color w:val="000000" w:themeColor="text1"/>
          <w:sz w:val="16"/>
          <w:szCs w:val="16"/>
        </w:rPr>
        <w:t>(Виноградов)</w:t>
      </w:r>
    </w:p>
    <w:p w14:paraId="122C1F76" w14:textId="77777777" w:rsidR="00596600" w:rsidRPr="00507A31" w:rsidRDefault="00596600"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31. Д. 9. Л. 121-122. Машинописная копия того времени. Гриф секретности и дата машинописью. На Л. 121 вверху слева написан карандашом исходящий (№ 1572), а также входящий номер и дата получения документа «23/ХII 30 г.». В списке адресатов (копии) подчеркнута карандашом фамилия Аренса. Рукописная помета «архив», подпись-росчерк Миронова (18883).</w:t>
      </w:r>
    </w:p>
    <w:p w14:paraId="41BF9BE7" w14:textId="77777777" w:rsidR="00596600" w:rsidRPr="00507A31" w:rsidRDefault="00596600" w:rsidP="00507A31">
      <w:pPr>
        <w:jc w:val="both"/>
        <w:rPr>
          <w:color w:val="000000" w:themeColor="text1"/>
          <w:sz w:val="16"/>
          <w:szCs w:val="16"/>
        </w:rPr>
      </w:pPr>
    </w:p>
    <w:p w14:paraId="6ECCC2E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405F38BF" w14:textId="77777777" w:rsidR="00537E5F" w:rsidRPr="00507A31" w:rsidRDefault="00537E5F" w:rsidP="00507A31">
      <w:pPr>
        <w:autoSpaceDE w:val="0"/>
        <w:autoSpaceDN w:val="0"/>
        <w:adjustRightInd w:val="0"/>
        <w:jc w:val="both"/>
        <w:rPr>
          <w:iCs/>
          <w:color w:val="000000" w:themeColor="text1"/>
          <w:sz w:val="16"/>
          <w:szCs w:val="16"/>
        </w:rPr>
      </w:pPr>
    </w:p>
    <w:p w14:paraId="2010BC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декабря 1930 совещание с представителями ВВС на заводе 22 приняло окончательный вариант вооружения АНТ-9 (два на турели и четыре на шкворнях, хотя военный вариант рассматривался еще в декабре 1928 (346,44).</w:t>
      </w:r>
    </w:p>
    <w:p w14:paraId="3D2992EB" w14:textId="77777777" w:rsidR="00537E5F" w:rsidRPr="00507A31" w:rsidRDefault="00537E5F" w:rsidP="00507A31">
      <w:pPr>
        <w:autoSpaceDE w:val="0"/>
        <w:autoSpaceDN w:val="0"/>
        <w:adjustRightInd w:val="0"/>
        <w:jc w:val="both"/>
        <w:rPr>
          <w:color w:val="000000" w:themeColor="text1"/>
          <w:sz w:val="16"/>
          <w:szCs w:val="16"/>
        </w:rPr>
      </w:pPr>
    </w:p>
    <w:p w14:paraId="7EF623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декабря 1930 Ф.А.Цандер перешел на работу в ЦИАМ и попав в винтомоторный отдел занимался импеллерами (1856,137).</w:t>
      </w:r>
    </w:p>
    <w:p w14:paraId="43AF6A95" w14:textId="77777777" w:rsidR="00537E5F" w:rsidRPr="00507A31" w:rsidRDefault="00537E5F" w:rsidP="00507A31">
      <w:pPr>
        <w:autoSpaceDE w:val="0"/>
        <w:autoSpaceDN w:val="0"/>
        <w:adjustRightInd w:val="0"/>
        <w:jc w:val="both"/>
        <w:rPr>
          <w:color w:val="000000" w:themeColor="text1"/>
          <w:sz w:val="16"/>
          <w:szCs w:val="16"/>
        </w:rPr>
      </w:pPr>
    </w:p>
    <w:p w14:paraId="3B98A0AF" w14:textId="77777777" w:rsidR="00FA2748" w:rsidRPr="00507A31" w:rsidRDefault="00FA2748"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9592925" w14:textId="77777777" w:rsidR="00FA2748" w:rsidRPr="00507A31" w:rsidRDefault="00FA2748" w:rsidP="00507A31">
      <w:pPr>
        <w:autoSpaceDE w:val="0"/>
        <w:autoSpaceDN w:val="0"/>
        <w:adjustRightInd w:val="0"/>
        <w:jc w:val="both"/>
        <w:rPr>
          <w:iCs/>
          <w:color w:val="000000" w:themeColor="text1"/>
          <w:sz w:val="16"/>
          <w:szCs w:val="16"/>
        </w:rPr>
      </w:pPr>
    </w:p>
    <w:p w14:paraId="1C8C6CE6" w14:textId="77777777" w:rsidR="00FA2748" w:rsidRPr="00507A31" w:rsidRDefault="00FA2748" w:rsidP="00507A31">
      <w:pPr>
        <w:jc w:val="both"/>
        <w:rPr>
          <w:bCs/>
          <w:color w:val="000000" w:themeColor="text1"/>
          <w:sz w:val="16"/>
          <w:szCs w:val="16"/>
        </w:rPr>
      </w:pPr>
      <w:r w:rsidRPr="00507A31">
        <w:rPr>
          <w:color w:val="000000" w:themeColor="text1"/>
          <w:sz w:val="16"/>
          <w:szCs w:val="16"/>
        </w:rPr>
        <w:t>20 декабря 1930 г.</w:t>
      </w:r>
    </w:p>
    <w:p w14:paraId="523A8214" w14:textId="77777777" w:rsidR="00FA2748" w:rsidRPr="00507A31" w:rsidRDefault="00FA2748" w:rsidP="00507A31">
      <w:pPr>
        <w:jc w:val="both"/>
        <w:rPr>
          <w:bCs/>
          <w:color w:val="000000" w:themeColor="text1"/>
          <w:sz w:val="16"/>
          <w:szCs w:val="16"/>
        </w:rPr>
      </w:pPr>
      <w:r w:rsidRPr="00507A31">
        <w:rPr>
          <w:color w:val="000000" w:themeColor="text1"/>
          <w:sz w:val="16"/>
          <w:szCs w:val="16"/>
        </w:rPr>
        <w:t>Информация Всеукраинского комитета Союза рабочих-металлистов в ЦК ВСРМ о протестных настроениях рабочих в связи с заменой приговора Верховного суда СССР по «делу “Промпартии”». 20 декабря 1930 г.</w:t>
      </w:r>
    </w:p>
    <w:p w14:paraId="299D20E5"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0C03ACB0"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40497F6"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Архив: </w:t>
      </w:r>
    </w:p>
    <w:p w14:paraId="3F465870" w14:textId="77777777" w:rsidR="00FA2748" w:rsidRPr="00507A31" w:rsidRDefault="00FA2748" w:rsidP="00507A31">
      <w:pPr>
        <w:jc w:val="both"/>
        <w:rPr>
          <w:color w:val="000000" w:themeColor="text1"/>
          <w:sz w:val="16"/>
          <w:szCs w:val="16"/>
        </w:rPr>
      </w:pPr>
      <w:r w:rsidRPr="00507A31">
        <w:rPr>
          <w:color w:val="000000" w:themeColor="text1"/>
          <w:sz w:val="16"/>
          <w:szCs w:val="16"/>
        </w:rPr>
        <w:t>ГА РФ. Ф. P-5451. Oп. 14. Д. 761. Л. 35-37</w:t>
      </w:r>
    </w:p>
    <w:p w14:paraId="08BB90A4"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20 декабря 1930 г.</w:t>
      </w:r>
    </w:p>
    <w:p w14:paraId="1EA88FCA"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43A0F24D"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ИНФОРМАЦИОННАЯ СПРАВКА № 168</w:t>
      </w:r>
    </w:p>
    <w:p w14:paraId="107C5D7A"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ИНФОРМ-СТАТИСТИЧЕСКОГО СЕКТОРА ВУКа ВСРМ</w:t>
      </w:r>
    </w:p>
    <w:p w14:paraId="0E1ABB35"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20.XII—1930 г.</w:t>
      </w:r>
    </w:p>
    <w:p w14:paraId="328CA856"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Процесс «Промпартии» и настроения рабочих</w:t>
      </w:r>
    </w:p>
    <w:p w14:paraId="5922BB0A"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Приговор Верховного суда СССР по делу раскрытой контрреволюционной организации «промпартии» и постановление ЦИК СССР о замене обвиняемым высшей меры наказания расстрел — десятью годами лишения свободы, вызвало широкое обсуждение на общих собраниях и митингах рабочих масс большинства заводов.</w:t>
      </w:r>
    </w:p>
    <w:p w14:paraId="246E59A2"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Решение суда и постановление ЦИК СССР о вредителях из «промпартии» рабочие единодушно одобряют.</w:t>
      </w:r>
    </w:p>
    <w:p w14:paraId="38715E04"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Рабочие металлозавода им. Калинина — Одесса заявляют: «пусть знает мировая буржуазия, социал-демократы и оппортунисты всех мастей, что на всякую вылазку классовых врагов пролетариат СССР еще теснее сплотит свои ряды вокруг ленинской ВКП(б) за генеральную линию партии».</w:t>
      </w:r>
    </w:p>
    <w:p w14:paraId="703081D6"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Рабочие зав. им. Марти — Одесса в ответ на вредительство дополнительно подписались на заем на 20.000 рублей.</w:t>
      </w:r>
    </w:p>
    <w:p w14:paraId="0FF1EC66"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Однако наряду с этим, на некоторых заводах имеют место случаи нездорового настроения рабочих. Так, на зав. [им.] Артема — Луганск, где собрания по цехам в момент процесса и после вынесения приговора проходили с большим подъемом, некоторые рабочие в своих выступлениях высказывались против постановления Центр[ального] Исполн[ительного] Комитета, заявляя, что возможно и в ЦИК есть вредительство.</w:t>
      </w:r>
    </w:p>
    <w:p w14:paraId="4F06D00F"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Вот выступления отдельных рабочих этого завода:</w:t>
      </w:r>
    </w:p>
    <w:p w14:paraId="5368A278"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МАКАРОВ. Л[и]тейн[ый] ц[ех] у[чащийс]я. ФЗУ. Если бы промпартия провела свое дело в жизнь, то она бы нас не помиловала, а мы их милуем.</w:t>
      </w:r>
    </w:p>
    <w:p w14:paraId="702DB952"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ТРИШКИН. Где денется решение и резолюция рабочих о расстреле вредителей.</w:t>
      </w:r>
    </w:p>
    <w:p w14:paraId="252B75ED"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БАБЧЕНКО. Вы расстреляли 48 человек, там возможно есть рабочие, а вы их расстреляли. Этих вы стрелять не можете, они немало попили нашей крови.</w:t>
      </w:r>
    </w:p>
    <w:p w14:paraId="0F57D7BF"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ПРИНТОВ. Считаю решение Президиума Центрального Исполнительного Комитета неверное и выхожу с членов партии.</w:t>
      </w:r>
    </w:p>
    <w:p w14:paraId="37FC7B47"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СИЛЕЛОВ. Вы собирали, говорили, что на вылазки контрреволюции вступайте в партию, а теперь, что вы будете говорить, за воскресение и здоровье (говорит с насмешкой и иронией) Рамзина. Мы как погибали и прели потом, так и будем преть, а они как получали хорошее жалованье и носили пузы, так и будут носить.</w:t>
      </w:r>
    </w:p>
    <w:p w14:paraId="6C1211CE"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ЕГОРОВ. Выхожу из партии, они вредили нам и будут вредить.</w:t>
      </w:r>
    </w:p>
    <w:p w14:paraId="0C4202D3"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ЧЕРНЯВСКИЙ и ГОЛЫШЕВ. Весь союз рабочего класса постановил расстрелять, а правительство отменяет и выносит на рабочее собрание, делает, что хочет — пусть тогда рабочих не спрашивают и делают, как хотят.</w:t>
      </w:r>
    </w:p>
    <w:p w14:paraId="5B731D36"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ВЕЛИЧКО. Они уничтожают миллионы масс и наше строительство, а мы боимся их 5 расстрелять.</w:t>
      </w:r>
    </w:p>
    <w:p w14:paraId="6A34822C"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ТИМОХИН. В газете «За Индустриализацию» есть карикатура, где изображен капиталист и вокруг него человеческие черепа. Величко берет газету и говорит «вот, что нам готовили вредители, они хотели утопить в море крови весь рабочий класс Советского Союза, а вы их расстрелять не можете. Ну как тут не обидно будет, пойду с горя напьюсь водки сегодня».</w:t>
      </w:r>
    </w:p>
    <w:p w14:paraId="7B72BEDA"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ШУВАРЬ. Рабочий Ж. Эмальц[ех]. «Кто это отменил[,] расстрел вредителям, нужно всех этих расстрелять, ибо они только дают повод вредительству. Возьмем к примеру Луганск, здесь вредителей хоть отбавляй, их работа вот в чем состоит: денег не дают, угля нет, жрать нечего, рабочие ходят раздетые, голодные, а наши организации никаких мер к этому не принимают. Вот в Сталино работают организации, так там у рабочего и уголь есть и мясо дают 5 раз в неделю и деньги вовремя дают, а у нас как видно и организации вредителями стали[»].</w:t>
      </w:r>
    </w:p>
    <w:p w14:paraId="7C10AE79"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КАЛАШНИКОВА. Работница Ж. Эмаль[цех]. Пропала советская власть, помиловали вредителей, наверное заграницы испугались.</w:t>
      </w:r>
    </w:p>
    <w:p w14:paraId="27024CC6"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РИТИНСКИЙ. Член партии (говорит среди партийцев) «какой дурак их помиловал, я бы их всех перестрелял, никогда не соглашусь с ними о помиловании».</w:t>
      </w:r>
    </w:p>
    <w:p w14:paraId="1E48024D"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ПАУР. Раб[очий] ремонтного] цеха. Я считаю неправильным решение Центрального исполн. К-та на данных вредителей, у меня есть сомнение, что может быть в ЦИК есть вредители, я считаю, что решение Верховного суда правильно.</w:t>
      </w:r>
    </w:p>
    <w:p w14:paraId="4B8D0A8E"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ВИНОКУРОВ. Раб[очий] ремонт[ного] ц[еха]. Ряд вреда наделали, а вы их милуете и отступили, когда они и морально, и физически утомили рабочий класс, когда рабочий выступит и скажет политически что-либо неверно, то вы его осуждаете, а именно: Кошелец и Филимонов, а когда вредители сделали так, вы их не осуждаете, как требует рабочий класс. Мое предложение расстрелять и если грянут европейские страны на Советский Союз, то мы пойдем защищать свой октябрь.</w:t>
      </w:r>
    </w:p>
    <w:p w14:paraId="7CDAC778"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МИТРОФАНОВ. Замазываете глаза рабочему классу.</w:t>
      </w:r>
    </w:p>
    <w:p w14:paraId="70233749"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ЕРШОВ. Создали рабочий дух на митинге, а на следующий день пришли говорить, что мы их не расстреляем, как же вам тогда верить, постановляете одно, а делаете другое.</w:t>
      </w:r>
    </w:p>
    <w:p w14:paraId="120CCC8E"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Не менее характерно выступление рабочего штамповального цеха Иванова (старший браковщик — по своей основной работе кассир), который при проработке вопроса о деятельности промпартии после собрания говорит: «сами наделали, а теперь обвиняют людей в контрреволюции». На одном из открытых партсобраний в момент выборов бригад по проверке работы партячейки, на вопрос одного из рабочих «куда это выбирают», Иванов ответил: «на бойню». Или следующий момент разговора Иванова с рабочим Датченко:</w:t>
      </w:r>
    </w:p>
    <w:p w14:paraId="10101FC2"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Иванов говорит: «Рамзин в своих показаниях говорит: я был против советской власти, потому что она не защищает рабочий класс», или другое — «подождите мы вам дадим».</w:t>
      </w:r>
    </w:p>
    <w:p w14:paraId="559F037B"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Следует отметить, что отец Иванова был крупный скотопромышленник.</w:t>
      </w:r>
    </w:p>
    <w:p w14:paraId="505573C1"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Вопрос об Иванове был поставлен на рабочем собрании, где было осуждено его выступление и вынесено решение об исключении Иванова из членов союза и снятия с работы.</w:t>
      </w:r>
    </w:p>
    <w:p w14:paraId="7946866E"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 основном же по всем цехам вынесены резолюции, одобряющие постановление правительства.</w:t>
      </w:r>
    </w:p>
    <w:p w14:paraId="21A02991"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lastRenderedPageBreak/>
        <w:t>На заводе «Красная Звезда» рабочий Короза (бывш. служащий жел. дор.), собравший возле себя группу рабочих, говорит: «чего нам бояться интервенции. Придут, нас не тронут. Будут бить только коммунистов. А мы и так голые и босые. Нам интервенция не страшна».</w:t>
      </w:r>
    </w:p>
    <w:p w14:paraId="1867600B"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Рассматривая такое выступление, как измену рабочему классу, цехсобрание постановило снять с работы гр. Короза.</w:t>
      </w:r>
    </w:p>
    <w:p w14:paraId="50DC3A98"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Зав. Информстатсектором (Не ТИМЕНКО)</w:t>
      </w:r>
    </w:p>
    <w:p w14:paraId="2BC0C6B1"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Информатор (Чемерис).</w:t>
      </w:r>
    </w:p>
    <w:p w14:paraId="1D93363D"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P-5451. Oп. 14. Д. 761. Л. 35-37. Машинописная копия того времени. На Л. 35 вверху справа напечатано «Копия», ниже «Секретно». Здесь же штамп Секретной части ЦК ВСРМ. Вверху слева написано от руки «ВЦСПС», ниже исходящий № 603с и дата «31/ХII-30 г.». Вверху по центру штамп Секретной части ВЦСПС с вписанными от руки номером и датой поступления документа «1/1-30 г.» (19046).</w:t>
      </w:r>
    </w:p>
    <w:p w14:paraId="33949602" w14:textId="77777777" w:rsidR="00FA2748" w:rsidRPr="00507A31" w:rsidRDefault="00FA2748" w:rsidP="00507A31">
      <w:pPr>
        <w:jc w:val="both"/>
        <w:rPr>
          <w:color w:val="000000" w:themeColor="text1"/>
          <w:sz w:val="16"/>
          <w:szCs w:val="16"/>
        </w:rPr>
      </w:pPr>
    </w:p>
    <w:p w14:paraId="664B8804" w14:textId="77777777" w:rsidR="00FA2748" w:rsidRPr="00507A31" w:rsidRDefault="00FA2748"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7AADF19E" w14:textId="77777777" w:rsidR="00FA2748" w:rsidRPr="00507A31" w:rsidRDefault="00FA2748" w:rsidP="00507A31">
      <w:pPr>
        <w:autoSpaceDE w:val="0"/>
        <w:autoSpaceDN w:val="0"/>
        <w:adjustRightInd w:val="0"/>
        <w:jc w:val="both"/>
        <w:rPr>
          <w:iCs/>
          <w:color w:val="000000" w:themeColor="text1"/>
          <w:sz w:val="16"/>
          <w:szCs w:val="16"/>
        </w:rPr>
      </w:pPr>
    </w:p>
    <w:p w14:paraId="7E1B3760" w14:textId="77777777" w:rsidR="00FA2748" w:rsidRPr="00507A31" w:rsidRDefault="00FA2748" w:rsidP="00507A31">
      <w:pPr>
        <w:jc w:val="both"/>
        <w:rPr>
          <w:color w:val="000000" w:themeColor="text1"/>
          <w:sz w:val="16"/>
          <w:szCs w:val="16"/>
        </w:rPr>
      </w:pPr>
      <w:r w:rsidRPr="00507A31">
        <w:rPr>
          <w:color w:val="000000" w:themeColor="text1"/>
          <w:sz w:val="16"/>
          <w:szCs w:val="16"/>
        </w:rPr>
        <w:t>20 декабря 1930 г.</w:t>
      </w:r>
    </w:p>
    <w:p w14:paraId="75285D2D" w14:textId="77777777" w:rsidR="00FA2748" w:rsidRPr="00507A31" w:rsidRDefault="00FA2748" w:rsidP="00507A31">
      <w:pPr>
        <w:jc w:val="both"/>
        <w:rPr>
          <w:color w:val="000000" w:themeColor="text1"/>
          <w:sz w:val="16"/>
          <w:szCs w:val="16"/>
        </w:rPr>
      </w:pPr>
      <w:r w:rsidRPr="00507A31">
        <w:rPr>
          <w:color w:val="000000" w:themeColor="text1"/>
          <w:sz w:val="16"/>
          <w:szCs w:val="16"/>
        </w:rPr>
        <w:t>Телеграмма украинского отдела ВОКС о предпринятых мерах в связи с кампанией по процессу «Промпартии». 20 декабря 1930 г.</w:t>
      </w:r>
    </w:p>
    <w:p w14:paraId="288B7891"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099D17D7"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A83951"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Архив: </w:t>
      </w:r>
    </w:p>
    <w:p w14:paraId="52ABCAB1" w14:textId="77777777" w:rsidR="00FA2748" w:rsidRPr="00507A31" w:rsidRDefault="00FA2748" w:rsidP="00507A31">
      <w:pPr>
        <w:jc w:val="both"/>
        <w:rPr>
          <w:color w:val="000000" w:themeColor="text1"/>
          <w:sz w:val="16"/>
          <w:szCs w:val="16"/>
        </w:rPr>
      </w:pPr>
      <w:r w:rsidRPr="00507A31">
        <w:rPr>
          <w:color w:val="000000" w:themeColor="text1"/>
          <w:sz w:val="16"/>
          <w:szCs w:val="16"/>
        </w:rPr>
        <w:t>ГА РФ - Ф. P-5283. On. 1. Д. 139. Л. 95-95 об.</w:t>
      </w:r>
    </w:p>
    <w:p w14:paraId="238BC237"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20 декабря 1930 г.</w:t>
      </w:r>
    </w:p>
    <w:p w14:paraId="43A6909F"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Срочно</w:t>
      </w:r>
    </w:p>
    <w:p w14:paraId="6806F907"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Всесоюзное Общество Культурной Связи с заграницей.</w:t>
      </w:r>
    </w:p>
    <w:p w14:paraId="6E8C7681"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Подтверждая этим получение нами Вашего информационного бюллетеня, просим Вас в дальнейшем присылать таковые в таком количестве: на русском языке — 20 экз., на немецком яз. — 15 экз., на английском и французском языках по 15 экз. О предпринятых нами мерах в связи с ударной кампанией сообщаем нижеследующее, — нами разослан текст приговора, речь общественного обвинителя тов. Крыленко и заключительные речи обвиняемых на украинском, немецком и французском языках. Кроме этого нами посылаются на указанных языках как добавление хроники из УССР с научно-общественными &lt;...&gt; Украины (часть которых мы Вам посылали). Кроме этого мы подготовляем специальный выпуск брошюры о процессе «промпартии», которая будет посвящена откликам научно-литературно-художественной общественности Украины на процесс «промпартии». Вопрос об отображении интервенции на Украине в искусстве прорабатывается нами совместно с секцией литературы и искусства нашего общества, о результатах которой сообщим дополнительно.</w:t>
      </w:r>
    </w:p>
    <w:p w14:paraId="1DAB2176"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Ответствен. Секретарь ВУТОКСЗ Зав. сектором прессы (Захарченко)</w:t>
      </w:r>
    </w:p>
    <w:p w14:paraId="492F633D"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ГА РФ- Ф. P-5283. On. 1. Д. 139. Л. 95-95 об. Машинописный подлинник на бланке телеграммы. Номер документа «1200/2012» и дата «20.XII.1930 г.» вписаны в соответствующие места телеграфного бланка от руки (18952).</w:t>
      </w:r>
    </w:p>
    <w:p w14:paraId="39FEFDEB" w14:textId="77777777" w:rsidR="00FA2748" w:rsidRPr="00507A31" w:rsidRDefault="00FA2748" w:rsidP="00507A31">
      <w:pPr>
        <w:jc w:val="both"/>
        <w:rPr>
          <w:color w:val="000000" w:themeColor="text1"/>
          <w:sz w:val="16"/>
          <w:szCs w:val="16"/>
        </w:rPr>
      </w:pPr>
    </w:p>
    <w:p w14:paraId="065FE349" w14:textId="77777777" w:rsidR="00FA2748" w:rsidRPr="00507A31" w:rsidRDefault="00FA2748" w:rsidP="00507A31">
      <w:pPr>
        <w:jc w:val="both"/>
        <w:rPr>
          <w:bCs/>
          <w:color w:val="000000" w:themeColor="text1"/>
          <w:sz w:val="16"/>
          <w:szCs w:val="16"/>
        </w:rPr>
      </w:pPr>
      <w:r w:rsidRPr="00507A31">
        <w:rPr>
          <w:color w:val="000000" w:themeColor="text1"/>
          <w:sz w:val="16"/>
          <w:szCs w:val="16"/>
        </w:rPr>
        <w:t>20 декабря 1930 г.</w:t>
      </w:r>
    </w:p>
    <w:p w14:paraId="279F22DD" w14:textId="77777777" w:rsidR="00FA2748" w:rsidRPr="00507A31" w:rsidRDefault="00FA2748" w:rsidP="00507A31">
      <w:pPr>
        <w:jc w:val="both"/>
        <w:rPr>
          <w:bCs/>
          <w:color w:val="000000" w:themeColor="text1"/>
          <w:sz w:val="16"/>
          <w:szCs w:val="16"/>
        </w:rPr>
      </w:pPr>
      <w:r w:rsidRPr="00507A31">
        <w:rPr>
          <w:color w:val="000000" w:themeColor="text1"/>
          <w:sz w:val="16"/>
          <w:szCs w:val="16"/>
        </w:rPr>
        <w:t>Депеша посла Франции в СССР Ж. Эрбета министру иностранных дел Франции А. Бриану о подготовке фильма о процессе «Промпартии». 20 декабря 1930 г.</w:t>
      </w:r>
    </w:p>
    <w:p w14:paraId="1F094CBB"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42D1709C"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D9DFDE"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20 декабря 1930 г.</w:t>
      </w:r>
    </w:p>
    <w:p w14:paraId="7C6E479F"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Посольство Французской республики в СССР</w:t>
      </w:r>
    </w:p>
    <w:p w14:paraId="2DBEA842"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Департамент политических и торговых дел</w:t>
      </w:r>
    </w:p>
    <w:p w14:paraId="0649AB72"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Депеша № 786</w:t>
      </w:r>
    </w:p>
    <w:p w14:paraId="5342E21F"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(Европа)</w:t>
      </w:r>
    </w:p>
    <w:p w14:paraId="47E99175"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Посол Франции в Москве министру иностранных дел Аристиду Бриану</w:t>
      </w:r>
    </w:p>
    <w:p w14:paraId="667E194E"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Фильм о московском процессе</w:t>
      </w:r>
    </w:p>
    <w:p w14:paraId="0E9DC372"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 информационном листке, опубликованном 4-го декабря немецким агентством Ост-Экспресс (который я получил сегодня и высылаю в приложении к данной депеше), напечатано сообщение, согласно которому советская организация Востоккино готовит фильм о московском процессе. Большую часть фильма якобы составят ретроспективные сцены об «интервенции» союзников в России во время гражданской войны. Оставшаяся часть будет содержать сцены из московского процесса. Согласно «Правде», «Рамзин, Ларичев и другие будут в нем изобличены как агенты французского генерального штаба и международного капитала».</w:t>
      </w:r>
    </w:p>
    <w:p w14:paraId="555F946D"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Эта информация ускользнула от меня при анализе советской прессы, и я не нашел ее в «Правде» от 4-го декабря.</w:t>
      </w:r>
    </w:p>
    <w:p w14:paraId="4ECDF349"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Однако в выпуске «Правды» от 2-го декабря действительно говорится о том, что подобный фильм будет подготовлен Востоккино, и в нем обвиняемые будут представлены «как оплачиваемые агенты французского генерального штаба и банкиров французского капитала».</w:t>
      </w:r>
    </w:p>
    <w:p w14:paraId="4DFB219E"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Эрбет</w:t>
      </w:r>
    </w:p>
    <w:p w14:paraId="36458C08"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213-213а. Машинописный подлинник, подпись — автограф. Штамп Департамента политических и торговых дел с датой «30 дек. 1930» и вписанным от руки номером о сдаче в архив «z 619-20 s/d5». Левее штамп Кабинета министра с датой «27 дек. 1930» (18779).</w:t>
      </w:r>
    </w:p>
    <w:p w14:paraId="2519DC62" w14:textId="77777777" w:rsidR="00FA2748" w:rsidRPr="00507A31" w:rsidRDefault="00FA2748" w:rsidP="00507A31">
      <w:pPr>
        <w:jc w:val="both"/>
        <w:rPr>
          <w:color w:val="000000" w:themeColor="text1"/>
          <w:sz w:val="16"/>
          <w:szCs w:val="16"/>
        </w:rPr>
      </w:pPr>
    </w:p>
    <w:p w14:paraId="6C286E65" w14:textId="77777777" w:rsidR="00FA2748" w:rsidRPr="00507A31" w:rsidRDefault="00FA2748" w:rsidP="00507A31">
      <w:pPr>
        <w:jc w:val="both"/>
        <w:rPr>
          <w:bCs/>
          <w:color w:val="000000" w:themeColor="text1"/>
          <w:sz w:val="16"/>
          <w:szCs w:val="16"/>
        </w:rPr>
      </w:pPr>
      <w:r w:rsidRPr="00507A31">
        <w:rPr>
          <w:color w:val="000000" w:themeColor="text1"/>
          <w:sz w:val="16"/>
          <w:szCs w:val="16"/>
        </w:rPr>
        <w:t>20 декабря 1930 г.</w:t>
      </w:r>
    </w:p>
    <w:p w14:paraId="66200DE1" w14:textId="77777777" w:rsidR="00FA2748" w:rsidRPr="00507A31" w:rsidRDefault="00FA2748" w:rsidP="00507A31">
      <w:pPr>
        <w:jc w:val="both"/>
        <w:rPr>
          <w:bCs/>
          <w:color w:val="000000" w:themeColor="text1"/>
          <w:sz w:val="16"/>
          <w:szCs w:val="16"/>
        </w:rPr>
      </w:pPr>
      <w:r w:rsidRPr="00507A31">
        <w:rPr>
          <w:color w:val="000000" w:themeColor="text1"/>
          <w:sz w:val="16"/>
          <w:szCs w:val="16"/>
        </w:rPr>
        <w:t>Письмо Д. Г. Штерна Ж. Л. Аренсу с информацией о публикационных проектах полпредства и новейших статьях в германских изданиях. 20 декабря 1930 г.</w:t>
      </w:r>
    </w:p>
    <w:p w14:paraId="76C14DDF"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70D55BBF"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42D926B"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Архив: </w:t>
      </w:r>
    </w:p>
    <w:p w14:paraId="2356D93B" w14:textId="77777777" w:rsidR="00FA2748" w:rsidRPr="00507A31" w:rsidRDefault="00FA2748" w:rsidP="00507A31">
      <w:pPr>
        <w:jc w:val="both"/>
        <w:rPr>
          <w:color w:val="000000" w:themeColor="text1"/>
          <w:sz w:val="16"/>
          <w:szCs w:val="16"/>
        </w:rPr>
      </w:pPr>
      <w:r w:rsidRPr="00507A31">
        <w:rPr>
          <w:color w:val="000000" w:themeColor="text1"/>
          <w:sz w:val="16"/>
          <w:szCs w:val="16"/>
        </w:rPr>
        <w:t>АВП РФ. Ф. 056. On. 15. П. 31. Д. 9. Л. 126-126 об</w:t>
      </w:r>
    </w:p>
    <w:p w14:paraId="55D8756A"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20 декабря 1930 г.</w:t>
      </w:r>
    </w:p>
    <w:p w14:paraId="6C1D3A33"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384E9670"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39EE0D58"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тов. Аренсу</w:t>
      </w:r>
    </w:p>
    <w:p w14:paraId="7C82CDD2"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Копии: т.т. Крестинскому, Штейну</w:t>
      </w:r>
    </w:p>
    <w:p w14:paraId="411EDDDC"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58322267"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1.   В вопросе подготовки выпуска предложенного мною романа до сих пор остается полная неясность. В предпоследнем письме Вы писали мне, что роман должен быть издан изд-вом Мюнценберга. Мне же предлагали, если я располагаю кандидатами[,] издательству [их] предложить. Так как мой вариант ничего общего не может иметь с издательством Мюнценберга, то я считал мой проект отпавшим. С последней почтой, а также телеграфно имеется предложение начать переговоры об издании романа. В результате неясно, вести ли переговоры с Мюнценбергом, либо по линии, предложенной мною.</w:t>
      </w:r>
    </w:p>
    <w:p w14:paraId="165EAF53"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2.   Ваше письмо, в котором Вы пишете о брошюре Вейнберга[,] пришло через два дня после того, как Вейнберг уехал в Дортмунд. В итоге я пока не имею возможности с ним вести переговоры на тему о брошюре, т. к. почтой пользоваться невозможно.</w:t>
      </w:r>
    </w:p>
    <w:p w14:paraId="4978B7D4"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3.   С Гаком я буду говорить в понедельник, однако в осторожной форме, т. к. советоваться с ним не считаю целесообразным. Как Вы видите из последних фельетонов Гака, он проявляет сугубую осторожность.</w:t>
      </w:r>
    </w:p>
    <w:p w14:paraId="37310E17"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4.   На всякий случай пересылаю Вам статью Басехеса, посвященную процессу, которая по моему мнению является самой лучшей статьей в этой области, появившейся в германской прессе.</w:t>
      </w:r>
    </w:p>
    <w:p w14:paraId="6FF66C88"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5.   В дневнике я указал, что Кирхер согласен попытаться провести в свой внешнеполитический обзор некоторые наши установки. Просьба возможно срочно сообщить, в каком направлении следует инспирировать Кирхера.</w:t>
      </w:r>
    </w:p>
    <w:p w14:paraId="5BAE97FD"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6.   Имеются, правда[,] неподтвержденные, слухи о том, что президиум фолькспартей решил в феврале вывести из правительства Курциуса. Утверждают, что якобы его заменит Бюлов.</w:t>
      </w:r>
    </w:p>
    <w:p w14:paraId="5409A50B"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lastRenderedPageBreak/>
        <w:t>7.   Среди американских журналистов говорят, что Дюран очень обижен тем, что не получил возможности хотя бы одновременно с Лайонсом иметь интервью с т. Сталиным, т. к. он всегда являлся наиболее нам дружественным американским журналистом. Кстати, Лайонс за интервью получил награду от издательства, выражающуюся в поездке в Америку и 100 д[олларов].</w:t>
      </w:r>
    </w:p>
    <w:p w14:paraId="110D7290"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С тов. приветом</w:t>
      </w:r>
    </w:p>
    <w:p w14:paraId="4BF0B070"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Д. Штерн</w:t>
      </w:r>
    </w:p>
    <w:p w14:paraId="6BADA661"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31. Д. 9. Л. 126-126 об. Машинописный подлинник на бланке Полпредства СССР в Германии, подпись Штерна — автограф. Гриф секретности и дата машинописью, исходящий номер «№ 1577» от руки в графе бланка. На Л. 126 вверху написаны от руки входящий номер и дата получения документа «23/ХII-30 г.», помета «архив», подпись-росчерк Миронова (18884).</w:t>
      </w:r>
    </w:p>
    <w:p w14:paraId="7FD4D471" w14:textId="77777777" w:rsidR="00FA2748" w:rsidRPr="00507A31" w:rsidRDefault="00FA2748" w:rsidP="00507A31">
      <w:pPr>
        <w:jc w:val="both"/>
        <w:rPr>
          <w:color w:val="000000" w:themeColor="text1"/>
          <w:sz w:val="16"/>
          <w:szCs w:val="16"/>
        </w:rPr>
      </w:pPr>
    </w:p>
    <w:p w14:paraId="22E6E0F9"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0E5175EB" w14:textId="77777777" w:rsidR="00537E5F" w:rsidRPr="00507A31" w:rsidRDefault="00537E5F" w:rsidP="00507A31">
      <w:pPr>
        <w:autoSpaceDE w:val="0"/>
        <w:autoSpaceDN w:val="0"/>
        <w:adjustRightInd w:val="0"/>
        <w:jc w:val="both"/>
        <w:rPr>
          <w:iCs/>
          <w:color w:val="000000" w:themeColor="text1"/>
          <w:sz w:val="16"/>
          <w:szCs w:val="16"/>
        </w:rPr>
      </w:pPr>
    </w:p>
    <w:p w14:paraId="66257A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декабря 1930 тысячи испанцев подписали революционный манифест (2100).</w:t>
      </w:r>
    </w:p>
    <w:p w14:paraId="46D7BC49" w14:textId="77777777" w:rsidR="00537E5F" w:rsidRPr="00507A31" w:rsidRDefault="00537E5F" w:rsidP="00507A31">
      <w:pPr>
        <w:autoSpaceDE w:val="0"/>
        <w:autoSpaceDN w:val="0"/>
        <w:adjustRightInd w:val="0"/>
        <w:jc w:val="both"/>
        <w:rPr>
          <w:color w:val="000000" w:themeColor="text1"/>
          <w:sz w:val="16"/>
          <w:szCs w:val="16"/>
        </w:rPr>
      </w:pPr>
    </w:p>
    <w:p w14:paraId="5D5F17E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2425F661" w14:textId="77777777" w:rsidR="00537E5F" w:rsidRPr="00507A31" w:rsidRDefault="00537E5F" w:rsidP="00507A31">
      <w:pPr>
        <w:autoSpaceDE w:val="0"/>
        <w:autoSpaceDN w:val="0"/>
        <w:adjustRightInd w:val="0"/>
        <w:jc w:val="both"/>
        <w:rPr>
          <w:iCs/>
          <w:color w:val="000000" w:themeColor="text1"/>
          <w:sz w:val="16"/>
          <w:szCs w:val="16"/>
        </w:rPr>
      </w:pPr>
    </w:p>
    <w:p w14:paraId="5F69B6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21 декабря 1930 по 5 июня 1931 года проводились серийные испытания самолета Р-1 N ОГ26 серии N 34 с мотором М-5-400 НР N 3279, степень сжатия 5,4 завода N 24 серия Ч возд. винт диаметр 2,9 м завода 31.</w:t>
      </w:r>
    </w:p>
    <w:p w14:paraId="75971F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в воздухе производил летчик-сдатчик завода N 31 Ремезюк (3215).</w:t>
      </w:r>
    </w:p>
    <w:p w14:paraId="41A63E8E" w14:textId="77777777" w:rsidR="00537E5F" w:rsidRPr="00507A31" w:rsidRDefault="00537E5F" w:rsidP="00507A31">
      <w:pPr>
        <w:autoSpaceDE w:val="0"/>
        <w:autoSpaceDN w:val="0"/>
        <w:adjustRightInd w:val="0"/>
        <w:jc w:val="both"/>
        <w:rPr>
          <w:color w:val="000000" w:themeColor="text1"/>
          <w:sz w:val="16"/>
          <w:szCs w:val="16"/>
        </w:rPr>
      </w:pPr>
    </w:p>
    <w:p w14:paraId="21BAB5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декабря 1930 С.А.Чаплыгин как директор ЦАГИ написал Наркомвоенмору письмо N 1216с (копия Баранову) о том, что "Стальмост" не дает фермы перекрытий. Переслали A.К.Орджоникидзе (1026,143).</w:t>
      </w:r>
    </w:p>
    <w:p w14:paraId="12C6BA7A" w14:textId="77777777" w:rsidR="00537E5F" w:rsidRPr="00507A31" w:rsidRDefault="00537E5F" w:rsidP="00507A31">
      <w:pPr>
        <w:autoSpaceDE w:val="0"/>
        <w:autoSpaceDN w:val="0"/>
        <w:adjustRightInd w:val="0"/>
        <w:jc w:val="both"/>
        <w:rPr>
          <w:color w:val="000000" w:themeColor="text1"/>
          <w:sz w:val="16"/>
          <w:szCs w:val="16"/>
        </w:rPr>
      </w:pPr>
    </w:p>
    <w:p w14:paraId="6CEC965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B504E0A" w14:textId="77777777" w:rsidR="00537E5F" w:rsidRPr="00507A31" w:rsidRDefault="00537E5F" w:rsidP="00507A31">
      <w:pPr>
        <w:autoSpaceDE w:val="0"/>
        <w:autoSpaceDN w:val="0"/>
        <w:adjustRightInd w:val="0"/>
        <w:jc w:val="both"/>
        <w:rPr>
          <w:iCs/>
          <w:color w:val="000000" w:themeColor="text1"/>
          <w:sz w:val="16"/>
          <w:szCs w:val="16"/>
        </w:rPr>
      </w:pPr>
    </w:p>
    <w:p w14:paraId="62CEA5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декабря 1930 г. на НИАП был отправлен опытный образец 203-мм гаубицы обр. 1929 г. № 1, изготовленный на заводе "Красный Путиловец". Испытания гаубицы начались на следующий день. Не дожидаясь окончания испытаний опытного образца АУ решило выпустить гаубицы обр. 1929 г. малой серией. В 1931 году изготовили 10 гаубиц, но ни одна не была принята заказчиком (3861).</w:t>
      </w:r>
    </w:p>
    <w:p w14:paraId="2CB317B4" w14:textId="77777777" w:rsidR="00537E5F" w:rsidRPr="00507A31" w:rsidRDefault="00537E5F" w:rsidP="00507A31">
      <w:pPr>
        <w:autoSpaceDE w:val="0"/>
        <w:autoSpaceDN w:val="0"/>
        <w:adjustRightInd w:val="0"/>
        <w:jc w:val="both"/>
        <w:rPr>
          <w:color w:val="000000" w:themeColor="text1"/>
          <w:sz w:val="16"/>
          <w:szCs w:val="16"/>
        </w:rPr>
      </w:pPr>
    </w:p>
    <w:p w14:paraId="6DA10E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 декабря 1930 г. вышел ПРИКАЗ УММ ОБ ОРГАНИЗАЦИИ МАСТЕРСКОЙ УЧЕБНЫХ ПОСОБИЙ</w:t>
      </w:r>
    </w:p>
    <w:p w14:paraId="56AED6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0C5C32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Начальнику склада № 37 организовать при складе мастерскую учебных пособий для механизированных и моторизированных частей РККА.</w:t>
      </w:r>
    </w:p>
    <w:p w14:paraId="4814C4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План организации и сметные расчеты представить мне на утверждение не позднее 10 января 1931 года.</w:t>
      </w:r>
    </w:p>
    <w:p w14:paraId="5FBE66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Начальнику учебно-строевого управления в пятидневный срок сообщить складу перечень необходимых учебных пособий и их количество.</w:t>
      </w:r>
    </w:p>
    <w:p w14:paraId="2675BF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составлении перечня исходить из необходимости обеспечения учебными пособиями всех механизированных и моторизированных частей.</w:t>
      </w:r>
    </w:p>
    <w:p w14:paraId="0E3FBA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Перечень представить мне на утверждение 26 декабря 1930 года.</w:t>
      </w:r>
    </w:p>
    <w:p w14:paraId="3DD76C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Наблюдение за выполнением начальником склада № 37 моего задания по организации мастерской учебных пособий возлагаю персонально на начальника 4 отдела 2 управления т. Магидова.</w:t>
      </w:r>
    </w:p>
    <w:p w14:paraId="0C5739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Ответственность за своевременное составление плана заказов на учебные пособия возлагаю на начальника 1 отдела 1 управления т. Матвиевского.</w:t>
      </w:r>
    </w:p>
    <w:p w14:paraId="094BAC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ВРИД начальника УММ РККА</w:t>
      </w:r>
    </w:p>
    <w:p w14:paraId="373725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Бокис I</w:t>
      </w:r>
    </w:p>
    <w:p w14:paraId="59A361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 Оп. 1. Д. 17. Л. 127. Подлинник (11210).</w:t>
      </w:r>
    </w:p>
    <w:p w14:paraId="6BE8C69A" w14:textId="77777777" w:rsidR="00537E5F" w:rsidRPr="00507A31" w:rsidRDefault="00537E5F" w:rsidP="00507A31">
      <w:pPr>
        <w:autoSpaceDE w:val="0"/>
        <w:autoSpaceDN w:val="0"/>
        <w:adjustRightInd w:val="0"/>
        <w:jc w:val="both"/>
        <w:rPr>
          <w:color w:val="000000" w:themeColor="text1"/>
          <w:sz w:val="16"/>
          <w:szCs w:val="16"/>
        </w:rPr>
      </w:pPr>
    </w:p>
    <w:p w14:paraId="5C17FE53" w14:textId="77777777" w:rsidR="00FA2748" w:rsidRPr="00507A31" w:rsidRDefault="00FA2748"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F84A413" w14:textId="77777777" w:rsidR="00FA2748" w:rsidRPr="00507A31" w:rsidRDefault="00FA2748" w:rsidP="00507A31">
      <w:pPr>
        <w:autoSpaceDE w:val="0"/>
        <w:autoSpaceDN w:val="0"/>
        <w:adjustRightInd w:val="0"/>
        <w:jc w:val="both"/>
        <w:rPr>
          <w:iCs/>
          <w:color w:val="000000" w:themeColor="text1"/>
          <w:sz w:val="16"/>
          <w:szCs w:val="16"/>
        </w:rPr>
      </w:pPr>
    </w:p>
    <w:p w14:paraId="3E973249" w14:textId="77777777" w:rsidR="00FA2748" w:rsidRPr="00507A31" w:rsidRDefault="00FA2748" w:rsidP="00507A31">
      <w:pPr>
        <w:jc w:val="both"/>
        <w:rPr>
          <w:color w:val="000000" w:themeColor="text1"/>
          <w:sz w:val="16"/>
          <w:szCs w:val="16"/>
        </w:rPr>
      </w:pPr>
      <w:r w:rsidRPr="00507A31">
        <w:rPr>
          <w:color w:val="000000" w:themeColor="text1"/>
          <w:sz w:val="16"/>
          <w:szCs w:val="16"/>
        </w:rPr>
        <w:t>21 декабря 1930 г. Проект развития и дислокации авиачастей по Пятилетнему плану развития ВВС был готов (приложение «Ф»). К началу 1931 г. в ВВС РККА имелось 17 авиационных бригад: – 6 смешанных (Ташкент – САВО, Зиновьевск – УВО, Витебск – БВО, Москва – МВО, Спасск – ОДВА, Ленинград – Балтморе), – 4 тяжелобомбардировочных (Воронеж – МВО, Кречевицы – ЛВО, Харьков – УВО, Севастополь – Черное море), – 3 легкобомбардировочных (Красногвардейск ЛВО, Смоленск – БВО, Новочеркасск – СКВО), – 2 штурмовых (Гомель – БВО, Киев –УВО), – 1 истребительная (Брянск – БВО), – 1 (Серпухов – МВО) расформирована и направлена на формирование в Иваново-Вознесенск и Свердловск209. В состав авиабригад к началу 1931 г. входили 15 гарнизонов: 1. Бобруйск – БВО. 2. Кунцево – МВО, 3. Егорьевск – МВО (…), 4. ИвановоВознесенск – МВО (1932 г. – бриг.), 5. Липецк – МВО, 6. Ростов-на-Дону – СКВО (постепенно – в Новочеркасск), 7. Тифлис – ККА (1932 г. – бриг.), 8. Новосибирск – СибВО, 9. Чита – ОДВА (1932 г. – бриг.), 10. Хабаровск – ОДВА. 11. Петергоф – Балтморе. 12. Ораниенбаум – Балтморе. 13. Евпатория – Чернморе. 14. Николаев – Чернморе. 15. Волково поле – ЛВО (19566).</w:t>
      </w:r>
    </w:p>
    <w:p w14:paraId="4970FC00" w14:textId="77777777" w:rsidR="00FA2748" w:rsidRPr="00507A31" w:rsidRDefault="00FA2748" w:rsidP="00507A31">
      <w:pPr>
        <w:jc w:val="both"/>
        <w:rPr>
          <w:color w:val="000000" w:themeColor="text1"/>
          <w:sz w:val="16"/>
          <w:szCs w:val="16"/>
        </w:rPr>
      </w:pPr>
    </w:p>
    <w:p w14:paraId="0E8071E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09E85F4" w14:textId="77777777" w:rsidR="00537E5F" w:rsidRPr="00507A31" w:rsidRDefault="00537E5F" w:rsidP="00507A31">
      <w:pPr>
        <w:autoSpaceDE w:val="0"/>
        <w:autoSpaceDN w:val="0"/>
        <w:adjustRightInd w:val="0"/>
        <w:jc w:val="both"/>
        <w:rPr>
          <w:iCs/>
          <w:color w:val="000000" w:themeColor="text1"/>
          <w:sz w:val="16"/>
          <w:szCs w:val="16"/>
        </w:rPr>
      </w:pPr>
    </w:p>
    <w:p w14:paraId="0C85D61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21 декабря 1930 из Политбюро ЦК ВКП(б) исключен бывший глава правительства Рыков (4962).</w:t>
      </w:r>
    </w:p>
    <w:p w14:paraId="0572A19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9AE2661" w14:textId="77777777" w:rsidR="00FA2748" w:rsidRPr="00507A31" w:rsidRDefault="00FA2748"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490308C4" w14:textId="77777777" w:rsidR="00FA2748" w:rsidRPr="00507A31" w:rsidRDefault="00FA2748" w:rsidP="00507A31">
      <w:pPr>
        <w:autoSpaceDE w:val="0"/>
        <w:autoSpaceDN w:val="0"/>
        <w:adjustRightInd w:val="0"/>
        <w:jc w:val="both"/>
        <w:rPr>
          <w:iCs/>
          <w:color w:val="000000" w:themeColor="text1"/>
          <w:sz w:val="16"/>
          <w:szCs w:val="16"/>
        </w:rPr>
      </w:pPr>
    </w:p>
    <w:p w14:paraId="14742385" w14:textId="77777777" w:rsidR="00FA2748" w:rsidRPr="00507A31" w:rsidRDefault="00FA2748" w:rsidP="00507A31">
      <w:pPr>
        <w:jc w:val="both"/>
        <w:rPr>
          <w:color w:val="000000" w:themeColor="text1"/>
          <w:sz w:val="16"/>
          <w:szCs w:val="16"/>
        </w:rPr>
      </w:pPr>
      <w:r w:rsidRPr="00507A31">
        <w:rPr>
          <w:color w:val="000000" w:themeColor="text1"/>
          <w:sz w:val="16"/>
          <w:szCs w:val="16"/>
        </w:rPr>
        <w:t>21 декабря 1930 г.</w:t>
      </w:r>
    </w:p>
    <w:p w14:paraId="46835066" w14:textId="77777777" w:rsidR="00FA2748" w:rsidRPr="00507A31" w:rsidRDefault="00FA2748" w:rsidP="00507A31">
      <w:pPr>
        <w:jc w:val="both"/>
        <w:rPr>
          <w:bCs/>
          <w:color w:val="000000" w:themeColor="text1"/>
          <w:sz w:val="16"/>
          <w:szCs w:val="16"/>
        </w:rPr>
      </w:pPr>
      <w:r w:rsidRPr="00507A31">
        <w:rPr>
          <w:color w:val="000000" w:themeColor="text1"/>
          <w:sz w:val="16"/>
          <w:szCs w:val="16"/>
        </w:rPr>
        <w:t>Письмо Ж. Л. Аренса Д. Г. Штерну с разъяснениями о возможности получения интервью у советских руководителей для германской прессы. 21 декабря 1930 г.</w:t>
      </w:r>
    </w:p>
    <w:p w14:paraId="36B043E7"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2329CF82"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60A78DC"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Архив: </w:t>
      </w:r>
    </w:p>
    <w:p w14:paraId="2ACB401A" w14:textId="77777777" w:rsidR="00FA2748" w:rsidRPr="00507A31" w:rsidRDefault="00FA2748" w:rsidP="00507A31">
      <w:pPr>
        <w:jc w:val="both"/>
        <w:rPr>
          <w:color w:val="000000" w:themeColor="text1"/>
          <w:sz w:val="16"/>
          <w:szCs w:val="16"/>
        </w:rPr>
      </w:pPr>
      <w:r w:rsidRPr="00507A31">
        <w:rPr>
          <w:color w:val="000000" w:themeColor="text1"/>
          <w:sz w:val="16"/>
          <w:szCs w:val="16"/>
        </w:rPr>
        <w:t>АВП РФ. Ф. 056. On. 15. П. 31. Д. 9. Л. 130</w:t>
      </w:r>
    </w:p>
    <w:p w14:paraId="5266F76B"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21 декабря 1930 г.</w:t>
      </w:r>
    </w:p>
    <w:p w14:paraId="532E92C5"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3CC173AC"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647F5ABC"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 7383</w:t>
      </w:r>
    </w:p>
    <w:p w14:paraId="04C8C28E"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21 декабря 1930 г.</w:t>
      </w:r>
    </w:p>
    <w:p w14:paraId="24DC766A"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Тов. ШТЕРНУ, БЕРЛИН</w:t>
      </w:r>
    </w:p>
    <w:p w14:paraId="38B77628"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1.  Вейнберг опередил, очевидно, получение Вами нашего письма. Просьба[,] раньше[,] чем Вы окончательно с ним договоритесь относительно его брошюры, прислать нам по возможности подробный ее план, характеристику издательства и, конечно, смету.</w:t>
      </w:r>
    </w:p>
    <w:p w14:paraId="713CB877"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2.  Если нет других возможностей, то надо пускать в германскую печать статьи о процессе за подписью советских авторов. Предпочтительно, чтобы при этом упоминалось не имя автора (кроме таких случаев, как статьи Радека, Луначарского или Б. Е. Штейна), а какое либо выражение в роде «советских кругов» и т. п.</w:t>
      </w:r>
    </w:p>
    <w:p w14:paraId="417DA890"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3.  Вопрос об интервью для Кирхера будет нами, вероятно, перенесен в высшую инстанцию. Только для того, чтобы дать Вам представление о том[,] как трудно получить подобный материал, излагаем Вам кратко историю получения материала: тов. Цихон обещал интервью, взял вопросник, затем отказал в интервью и, кроме того, затерял вопросник, который теперь в Наркомтруде срочно разыскивается (до сих пор). Мы теперь с помощью того же Наркомтруда подбираем материал, по которому можно было бы составить интервью. Надо объяснить Кирхеру, что наши деятели страшно перегружены и поэтому получение такого материала всегда идет несколько отличным от европейских темпом.</w:t>
      </w:r>
    </w:p>
    <w:p w14:paraId="0CB8758E"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4.  Мы надеемся, что Вы не забыли нашего вопроса относительно положения Штейна в редакции «Фоссише». Кто все[-]таки эту газету редактирует?</w:t>
      </w:r>
    </w:p>
    <w:p w14:paraId="1B8288E1"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Зав. Отдел. Печати: (Аренс)</w:t>
      </w:r>
    </w:p>
    <w:p w14:paraId="79C9CD5E"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Референт Миронов</w:t>
      </w:r>
    </w:p>
    <w:p w14:paraId="4DD880BD"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АВП РФ. Ф. 056. </w:t>
      </w:r>
      <w:r w:rsidRPr="00507A31">
        <w:rPr>
          <w:rStyle w:val="af0"/>
          <w:i w:val="0"/>
          <w:color w:val="000000" w:themeColor="text1"/>
          <w:sz w:val="16"/>
          <w:szCs w:val="16"/>
          <w:lang w:val="en-US"/>
        </w:rPr>
        <w:t>On</w:t>
      </w:r>
      <w:r w:rsidRPr="00507A31">
        <w:rPr>
          <w:rStyle w:val="af0"/>
          <w:i w:val="0"/>
          <w:color w:val="000000" w:themeColor="text1"/>
          <w:sz w:val="16"/>
          <w:szCs w:val="16"/>
        </w:rPr>
        <w:t xml:space="preserve">. 15. П. 31. Д. 9. Л. 130. Машинописный подлинник, подпись Миронова — автограф. Гриф секретности и дата машинописью, исходящий номер </w:t>
      </w:r>
      <w:r w:rsidRPr="00507A31">
        <w:rPr>
          <w:rStyle w:val="af0"/>
          <w:i w:val="0"/>
          <w:color w:val="000000" w:themeColor="text1"/>
          <w:sz w:val="16"/>
          <w:szCs w:val="16"/>
        </w:rPr>
        <w:lastRenderedPageBreak/>
        <w:t>от руки. Внизу слева делопроизводственная помета машинописью (столбцом) «5 экз. 1 — т. Литвинову 1 — т. Крестинскому 1 — т. Штейну 1 — адресату 1 — архив» (18885).</w:t>
      </w:r>
    </w:p>
    <w:p w14:paraId="05CFBA97" w14:textId="77777777" w:rsidR="00FA2748" w:rsidRPr="00507A31" w:rsidRDefault="00FA2748" w:rsidP="00507A31">
      <w:pPr>
        <w:jc w:val="both"/>
        <w:rPr>
          <w:color w:val="000000" w:themeColor="text1"/>
          <w:sz w:val="16"/>
          <w:szCs w:val="16"/>
        </w:rPr>
      </w:pPr>
    </w:p>
    <w:p w14:paraId="0D35E3DD" w14:textId="77777777" w:rsidR="00FA2748" w:rsidRPr="00507A31" w:rsidRDefault="00FA2748" w:rsidP="00507A31">
      <w:pPr>
        <w:jc w:val="both"/>
        <w:rPr>
          <w:bCs/>
          <w:color w:val="000000" w:themeColor="text1"/>
          <w:sz w:val="16"/>
          <w:szCs w:val="16"/>
        </w:rPr>
      </w:pPr>
      <w:r w:rsidRPr="00507A31">
        <w:rPr>
          <w:color w:val="000000" w:themeColor="text1"/>
          <w:sz w:val="16"/>
          <w:szCs w:val="16"/>
        </w:rPr>
        <w:t>21 декабря 1930 г.</w:t>
      </w:r>
    </w:p>
    <w:p w14:paraId="677340D1" w14:textId="77777777" w:rsidR="00FA2748" w:rsidRPr="00507A31" w:rsidRDefault="00FA2748" w:rsidP="00507A31">
      <w:pPr>
        <w:jc w:val="both"/>
        <w:rPr>
          <w:bCs/>
          <w:color w:val="000000" w:themeColor="text1"/>
          <w:sz w:val="16"/>
          <w:szCs w:val="16"/>
        </w:rPr>
      </w:pPr>
      <w:r w:rsidRPr="00507A31">
        <w:rPr>
          <w:color w:val="000000" w:themeColor="text1"/>
          <w:sz w:val="16"/>
          <w:szCs w:val="16"/>
        </w:rPr>
        <w:t>Письмо Ж. Л. Аренса Б. Д. Виноградову о санкционировании трат на пропагандистские мероприятия и задержке с подготовкой статьи советского автора. 21 декабря 1930 г.</w:t>
      </w:r>
    </w:p>
    <w:p w14:paraId="4B8A8038"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1B65CC92"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B65C9EB"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Архив: </w:t>
      </w:r>
    </w:p>
    <w:p w14:paraId="7AFFFDC8" w14:textId="77777777" w:rsidR="00FA2748" w:rsidRPr="00507A31" w:rsidRDefault="00FA2748" w:rsidP="00507A31">
      <w:pPr>
        <w:jc w:val="both"/>
        <w:rPr>
          <w:color w:val="000000" w:themeColor="text1"/>
          <w:sz w:val="16"/>
          <w:szCs w:val="16"/>
        </w:rPr>
      </w:pPr>
      <w:r w:rsidRPr="00507A31">
        <w:rPr>
          <w:color w:val="000000" w:themeColor="text1"/>
          <w:sz w:val="16"/>
          <w:szCs w:val="16"/>
        </w:rPr>
        <w:t>АВП РФ. Ф. 056. On. 15. П. 31. Д. 9. Л. 129</w:t>
      </w:r>
    </w:p>
    <w:p w14:paraId="49B7D173"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21 декабря 1930 г.</w:t>
      </w:r>
    </w:p>
    <w:p w14:paraId="2BEB02EB"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71DBB88D"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1543E87E"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 7384</w:t>
      </w:r>
    </w:p>
    <w:p w14:paraId="693AF992"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21 декабря 1930 г.</w:t>
      </w:r>
    </w:p>
    <w:p w14:paraId="1685410A"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тов. ВИНОГРАДОВУ, Берлин</w:t>
      </w:r>
    </w:p>
    <w:p w14:paraId="111CDECC" w14:textId="77777777" w:rsidR="00FA2748" w:rsidRPr="00507A31" w:rsidRDefault="00FA2748" w:rsidP="00507A31">
      <w:pPr>
        <w:numPr>
          <w:ilvl w:val="0"/>
          <w:numId w:val="166"/>
        </w:numPr>
        <w:ind w:left="0" w:firstLine="0"/>
        <w:jc w:val="both"/>
        <w:rPr>
          <w:color w:val="000000" w:themeColor="text1"/>
          <w:sz w:val="16"/>
          <w:szCs w:val="16"/>
        </w:rPr>
      </w:pPr>
      <w:r w:rsidRPr="00507A31">
        <w:rPr>
          <w:color w:val="000000" w:themeColor="text1"/>
          <w:sz w:val="16"/>
          <w:szCs w:val="16"/>
        </w:rPr>
        <w:t>На устройство собраний ОДНР в провинции можете истратить 1000 марок, но не больше.</w:t>
      </w:r>
    </w:p>
    <w:p w14:paraId="1B9BFA80" w14:textId="77777777" w:rsidR="00FA2748" w:rsidRPr="00507A31" w:rsidRDefault="00FA2748" w:rsidP="00507A31">
      <w:pPr>
        <w:numPr>
          <w:ilvl w:val="0"/>
          <w:numId w:val="166"/>
        </w:numPr>
        <w:ind w:left="0" w:firstLine="0"/>
        <w:jc w:val="both"/>
        <w:rPr>
          <w:color w:val="000000" w:themeColor="text1"/>
          <w:sz w:val="16"/>
          <w:szCs w:val="16"/>
        </w:rPr>
      </w:pPr>
      <w:r w:rsidRPr="00507A31">
        <w:rPr>
          <w:color w:val="000000" w:themeColor="text1"/>
          <w:sz w:val="16"/>
          <w:szCs w:val="16"/>
        </w:rPr>
        <w:t>Со статьей для «Ост-Еуропа» получилась маленькая заминка: ее должен был писать т. Радек, который затем отказался. Т. Луначарского нет в Москве. Ждем его приезда. Во всяком случае статья так или иначе будет написана и соответствующим именем подписана.</w:t>
      </w:r>
    </w:p>
    <w:p w14:paraId="49E5B16E"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Зав. Отделом Печати (Аренс)</w:t>
      </w:r>
    </w:p>
    <w:p w14:paraId="0BD493E5"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Референт Миронов</w:t>
      </w:r>
    </w:p>
    <w:p w14:paraId="753A5DE1"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056. On. 15.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31.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9. </w:t>
      </w:r>
      <w:r w:rsidRPr="00507A31">
        <w:rPr>
          <w:rStyle w:val="af0"/>
          <w:i w:val="0"/>
          <w:color w:val="000000" w:themeColor="text1"/>
          <w:sz w:val="16"/>
          <w:szCs w:val="16"/>
        </w:rPr>
        <w:t>Л. 129. Машинописный подлинник, подпись Миронова — автограф. Гриф секретности и дата машинописью, исходящий номер — от руки. Внизу листа делопроизводственная помета машинописью (столбцом) «5 экз. 1 — тов. Литвинову 1 — тов. Крестинскому 1 — тов. Штейну 1 — адресату 1 — архив» (18886).</w:t>
      </w:r>
    </w:p>
    <w:p w14:paraId="5B306896" w14:textId="77777777" w:rsidR="00FA2748" w:rsidRPr="00507A31" w:rsidRDefault="00FA2748" w:rsidP="00507A31">
      <w:pPr>
        <w:jc w:val="both"/>
        <w:rPr>
          <w:color w:val="000000" w:themeColor="text1"/>
          <w:sz w:val="16"/>
          <w:szCs w:val="16"/>
        </w:rPr>
      </w:pPr>
    </w:p>
    <w:p w14:paraId="6B293967" w14:textId="77777777" w:rsidR="00FA2748" w:rsidRPr="00507A31" w:rsidRDefault="00FA2748" w:rsidP="00507A31">
      <w:pPr>
        <w:jc w:val="both"/>
        <w:rPr>
          <w:bCs/>
          <w:color w:val="000000" w:themeColor="text1"/>
          <w:sz w:val="16"/>
          <w:szCs w:val="16"/>
        </w:rPr>
      </w:pPr>
      <w:r w:rsidRPr="00507A31">
        <w:rPr>
          <w:color w:val="000000" w:themeColor="text1"/>
          <w:sz w:val="16"/>
          <w:szCs w:val="16"/>
        </w:rPr>
        <w:t>21 декабря 1930 г.</w:t>
      </w:r>
    </w:p>
    <w:p w14:paraId="278C0860" w14:textId="77777777" w:rsidR="00FA2748" w:rsidRPr="00507A31" w:rsidRDefault="00FA2748" w:rsidP="00507A31">
      <w:pPr>
        <w:jc w:val="both"/>
        <w:rPr>
          <w:bCs/>
          <w:color w:val="000000" w:themeColor="text1"/>
          <w:sz w:val="16"/>
          <w:szCs w:val="16"/>
        </w:rPr>
      </w:pPr>
      <w:r w:rsidRPr="00507A31">
        <w:rPr>
          <w:color w:val="000000" w:themeColor="text1"/>
          <w:sz w:val="16"/>
          <w:szCs w:val="16"/>
        </w:rPr>
        <w:t>Письмо Ж. Л. Аренса Д. Г. Штерну с разъяснениями относительно возможного издания «романа-фельетона» о процессе «Промпартии». 21 декабря 1930 г.</w:t>
      </w:r>
    </w:p>
    <w:p w14:paraId="422A0A57"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61DB7FAC"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CBDE20B"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21 декабря 1930 г.</w:t>
      </w:r>
    </w:p>
    <w:p w14:paraId="5B95A3CD"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16B9C737"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701C575A"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21.XII.1930 г.</w:t>
      </w:r>
    </w:p>
    <w:p w14:paraId="0A5017C0"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 7385</w:t>
      </w:r>
    </w:p>
    <w:p w14:paraId="3DABE490"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Тов. Штерну</w:t>
      </w:r>
    </w:p>
    <w:p w14:paraId="066C2A8E"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Берлин</w:t>
      </w:r>
    </w:p>
    <w:p w14:paraId="7EA92C93"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 ответ на Ваш телеграфный запрос сообщаем Вам, что наше согласие на издание романа-фельетона, естественно, относилось к тому самому роману с националистическими тенденциями, который вы сами предлагали.</w:t>
      </w:r>
    </w:p>
    <w:p w14:paraId="3B1FFCF0"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Поскольку мы возвращаемся к этой теме, считаем нелишним, во избежание всяких недоразумений, подчеркнуть, что в этом романе, конечно, должно быть уделено самое широкое место изображению интервенционистских планов так, как они обрисовались во время процесса. Изложение фактического материала процесса не может, конечно, мешать развитию в романе-фельетоне националистических мотивов, ибо именно этот материал дает великолепную канву для изображения использования Германии, как оруженосца Франции, во время анти-советской интервенции. Сравните, например, с последней брошюрой Людендорфа.</w:t>
      </w:r>
    </w:p>
    <w:p w14:paraId="55374EA4"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Зав. Отделом Печати: (Аренс)</w:t>
      </w:r>
    </w:p>
    <w:p w14:paraId="45D0C00C"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Референт (Миронов)</w:t>
      </w:r>
    </w:p>
    <w:p w14:paraId="7464575C"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АВПРФ. Ф. 056. On. 15.П.31.Д.9. Л. 128. Машинописная копия того времени. Гриф секретности и адрес машинописью, исходящий номер от руки. Внизу листа слева делопроизводственная помета машинописью (столбцом) «4 экз. 1 — тов. Штерну 1 — тов. Литвинову 1 — тов. Крестинскому 1 — архив» (18887).</w:t>
      </w:r>
    </w:p>
    <w:p w14:paraId="48785DCE" w14:textId="77777777" w:rsidR="00FA2748" w:rsidRPr="00507A31" w:rsidRDefault="00FA2748" w:rsidP="00507A31">
      <w:pPr>
        <w:jc w:val="both"/>
        <w:rPr>
          <w:color w:val="000000" w:themeColor="text1"/>
          <w:sz w:val="16"/>
          <w:szCs w:val="16"/>
        </w:rPr>
      </w:pPr>
    </w:p>
    <w:p w14:paraId="4CB38B91" w14:textId="77777777" w:rsidR="00D520E8"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EFE0A73" w14:textId="77777777" w:rsidR="00D520E8" w:rsidRPr="00507A31" w:rsidRDefault="00D520E8" w:rsidP="00507A31">
      <w:pPr>
        <w:autoSpaceDE w:val="0"/>
        <w:autoSpaceDN w:val="0"/>
        <w:adjustRightInd w:val="0"/>
        <w:jc w:val="both"/>
        <w:rPr>
          <w:iCs/>
          <w:color w:val="000000" w:themeColor="text1"/>
          <w:sz w:val="16"/>
          <w:szCs w:val="16"/>
        </w:rPr>
      </w:pPr>
    </w:p>
    <w:p w14:paraId="12E3B047" w14:textId="77777777" w:rsidR="00D520E8" w:rsidRPr="00507A31" w:rsidRDefault="00D520E8" w:rsidP="00507A31">
      <w:pPr>
        <w:jc w:val="both"/>
        <w:rPr>
          <w:rStyle w:val="ucoz-forum-post"/>
          <w:color w:val="000000" w:themeColor="text1"/>
          <w:sz w:val="16"/>
          <w:szCs w:val="16"/>
        </w:rPr>
      </w:pPr>
      <w:r w:rsidRPr="00507A31">
        <w:rPr>
          <w:rStyle w:val="ucoz-forum-post"/>
          <w:bCs/>
          <w:color w:val="000000" w:themeColor="text1"/>
          <w:sz w:val="16"/>
          <w:szCs w:val="16"/>
        </w:rPr>
        <w:t>21 декабря 1930 года</w:t>
      </w:r>
      <w:r w:rsidRPr="00507A31">
        <w:rPr>
          <w:rStyle w:val="ucoz-forum-post"/>
          <w:color w:val="000000" w:themeColor="text1"/>
          <w:sz w:val="16"/>
          <w:szCs w:val="16"/>
        </w:rPr>
        <w:t xml:space="preserve"> Первый полёт Bleriot 137 – французский многоцелевой бомбардировщик, цельнометаллический высокоплан имевший двигатели Hispano-Suiza 12Nb мощностью 500 л.с., и разработанный на базе бомбардировщика Bleriot 127/2. Две кабины стрелков располагались у середины фюзеляжа бок о бок в задней кромке крыла сразу позади широкого выреза (14867).</w:t>
      </w:r>
    </w:p>
    <w:p w14:paraId="43EE46BF" w14:textId="77777777" w:rsidR="00D520E8" w:rsidRPr="00507A31" w:rsidRDefault="00D520E8" w:rsidP="00507A31">
      <w:pPr>
        <w:jc w:val="both"/>
        <w:rPr>
          <w:rStyle w:val="ucoz-forum-post"/>
          <w:color w:val="000000" w:themeColor="text1"/>
          <w:sz w:val="16"/>
          <w:szCs w:val="16"/>
        </w:rPr>
      </w:pPr>
    </w:p>
    <w:p w14:paraId="271CD4A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8168DD1" w14:textId="77777777" w:rsidR="00537E5F" w:rsidRPr="00507A31" w:rsidRDefault="00537E5F" w:rsidP="00507A31">
      <w:pPr>
        <w:autoSpaceDE w:val="0"/>
        <w:autoSpaceDN w:val="0"/>
        <w:adjustRightInd w:val="0"/>
        <w:jc w:val="both"/>
        <w:rPr>
          <w:iCs/>
          <w:color w:val="000000" w:themeColor="text1"/>
          <w:sz w:val="16"/>
          <w:szCs w:val="16"/>
        </w:rPr>
      </w:pPr>
    </w:p>
    <w:p w14:paraId="344B568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22 декабря 1930 г. состоялся первый полет на ЦА тяжелого бомбардировщика ТБ-3 (АНТ-6) (6395).</w:t>
      </w:r>
    </w:p>
    <w:p w14:paraId="49435D7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3864C7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декабря 1930 состоялся первый взлет АНТ-6 (ТБ-3) на лыжах с турелями, но без пулеметов и бомбардировочного вооружения (91,36). Гос. испытания шли до 20 февраля 1931 - рекомендован в серию (80,306). В то время имел моторы Кертис (346,26). Сделали 10 полетов на лыжах и колесах (1854,7).</w:t>
      </w:r>
    </w:p>
    <w:p w14:paraId="0D47CC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первый полет АНТ-6 (ТБ-3) состоялся 30 ноября 1930.</w:t>
      </w:r>
    </w:p>
    <w:p w14:paraId="168C96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третьим - 29 декабря 1931 (318,121).</w:t>
      </w:r>
    </w:p>
    <w:p w14:paraId="2A7A863C" w14:textId="77777777" w:rsidR="00537E5F" w:rsidRPr="00507A31" w:rsidRDefault="00537E5F" w:rsidP="00507A31">
      <w:pPr>
        <w:autoSpaceDE w:val="0"/>
        <w:autoSpaceDN w:val="0"/>
        <w:adjustRightInd w:val="0"/>
        <w:jc w:val="both"/>
        <w:rPr>
          <w:color w:val="000000" w:themeColor="text1"/>
          <w:sz w:val="16"/>
          <w:szCs w:val="16"/>
        </w:rPr>
      </w:pPr>
    </w:p>
    <w:p w14:paraId="397C82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декабря 1930 начались испытания ТБ-3 (АНТ-6). Первый полет, в котором машиной управлял экипаж М.М.Громова, чуть не закончился аварией - разболтались сектора газа, не имевшие надежной фиксации. В отчете потом написали: «Сектора ползают, механик поправляет» (8887).</w:t>
      </w:r>
    </w:p>
    <w:p w14:paraId="78959617" w14:textId="77777777" w:rsidR="00537E5F" w:rsidRPr="00507A31" w:rsidRDefault="00537E5F" w:rsidP="00507A31">
      <w:pPr>
        <w:autoSpaceDE w:val="0"/>
        <w:autoSpaceDN w:val="0"/>
        <w:adjustRightInd w:val="0"/>
        <w:jc w:val="both"/>
        <w:rPr>
          <w:color w:val="000000" w:themeColor="text1"/>
          <w:sz w:val="16"/>
          <w:szCs w:val="16"/>
        </w:rPr>
      </w:pPr>
    </w:p>
    <w:p w14:paraId="1DABF6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декабря 1930 шеф-пилот ЦАГИ М.М.Громов с бортмехаником Русаковым опробовали ее в воздухе. Летные испытания опытного ТБ-3 с моторами "Кертис-Конкверор" и двухлопастными металлическими винтами фирмы "Стандарт-Стиль" проводились на Центральном аэродроме им. Фрунзе до 20 февраля 1931-го. На следующий день состоялось совещание представителей ЦАГИ и НИИ ВВС, в протоколе которого отмечалось, в частности:</w:t>
      </w:r>
    </w:p>
    <w:p w14:paraId="690D26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ТБ-3-4 -"Кертис-Конкверор" является по своим летным данным вполне современным бомбардировщиком, стоящим на уровне лучших заграничных самолетов. Считать необходимым пустить само-пет в серийную постройку с заменой моторов "Кертис-Конкверор" на М-17."</w:t>
      </w:r>
    </w:p>
    <w:p w14:paraId="387C7B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совещании говорилось, что самолет устойчив на всех режимах и при отрегулированном стабилизаторе летит продолжительное время с брошенным штурвалом. Возможен также полет на трех моторах в любых комбинациях, но в этом случае были очень велики нагрузки на педали (30-40 кг). На взлете и посадке самолет не имел тенденций к развороту.</w:t>
      </w:r>
    </w:p>
    <w:p w14:paraId="1AAB3F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Вместе с тем указывалось на недостатки огневых точек, ограничивавших сферы обстрела назад, на чрезмерные нагрузки на рули и малую эффективность хвостового оперения, рулей поворота и высоты, отсутствие связи между членами экипажа.</w:t>
      </w:r>
    </w:p>
    <w:p w14:paraId="36A7CD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улучшения защиты задней полусферы на совещании предложили сделать двухкилевое оперение, а в случае невозможности - снабдить серийные самолеты огневыми точками под крылом. Вопрос этот рассматривался еще во время работы макетной комиссии и был отражен в протоколе комиссии по изменению технических условий на ТБ-3 в феврале 1930-го.</w:t>
      </w:r>
    </w:p>
    <w:p w14:paraId="5E94DB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Предлагалась также установка щелевых элеронов. Однако от этой идеи отказались из-за ее сложности и предложили испытать их на проектируемом АНТ-14. Рекомендовалось на опытной машине увеличить аэродинамический компенсатор и площадь руля высоты (5740,6).</w:t>
      </w:r>
    </w:p>
    <w:p w14:paraId="0FC2848D" w14:textId="77777777" w:rsidR="00537E5F" w:rsidRPr="00507A31" w:rsidRDefault="00537E5F" w:rsidP="00507A31">
      <w:pPr>
        <w:autoSpaceDE w:val="0"/>
        <w:autoSpaceDN w:val="0"/>
        <w:adjustRightInd w:val="0"/>
        <w:jc w:val="both"/>
        <w:rPr>
          <w:color w:val="000000" w:themeColor="text1"/>
          <w:sz w:val="16"/>
          <w:szCs w:val="16"/>
        </w:rPr>
      </w:pPr>
    </w:p>
    <w:p w14:paraId="3463C69A" w14:textId="77777777" w:rsidR="00D520E8" w:rsidRPr="00507A31" w:rsidRDefault="00D520E8" w:rsidP="00507A31">
      <w:pPr>
        <w:jc w:val="both"/>
        <w:rPr>
          <w:rStyle w:val="ucoz-forum-post"/>
          <w:color w:val="000000" w:themeColor="text1"/>
          <w:sz w:val="16"/>
          <w:szCs w:val="16"/>
        </w:rPr>
      </w:pPr>
      <w:r w:rsidRPr="00507A31">
        <w:rPr>
          <w:rStyle w:val="ucoz-forum-post"/>
          <w:bCs/>
          <w:color w:val="000000" w:themeColor="text1"/>
          <w:sz w:val="16"/>
          <w:szCs w:val="16"/>
        </w:rPr>
        <w:t>22 декабря 1930 года</w:t>
      </w:r>
      <w:r w:rsidRPr="00507A31">
        <w:rPr>
          <w:rStyle w:val="ucoz-forum-post"/>
          <w:color w:val="000000" w:themeColor="text1"/>
          <w:sz w:val="16"/>
          <w:szCs w:val="16"/>
        </w:rPr>
        <w:t xml:space="preserve"> Состоялся первый полет четырехдвигательного бомбардировщика ТБ-З (АНТ-6), летчик М. М. Громов, конструкции ОКБ А.Н.Туполева. Первый в мире 4-моторный свободнонесущий моноплан. Серийное производство самолета осуществлялось в 1932—1937 гг., всего было построено 818 экземпляров; в 1930 </w:t>
      </w:r>
      <w:r w:rsidRPr="00507A31">
        <w:rPr>
          <w:rStyle w:val="ucoz-forum-post"/>
          <w:color w:val="000000" w:themeColor="text1"/>
          <w:sz w:val="16"/>
          <w:szCs w:val="16"/>
        </w:rPr>
        <w:lastRenderedPageBreak/>
        <w:t>году Летчик М.М.Громов впервые поднял в воздух самолет-бомбардировщик АНТ-6 (ТБ-3), первый в мире 4-моторный свободнонесущий моноплан. Серийное производство самолета осуществлялось в 1932—1937 гг., всего было построено 818 экземпляров.</w:t>
      </w:r>
    </w:p>
    <w:p w14:paraId="72C6D051" w14:textId="77777777" w:rsidR="00D520E8" w:rsidRPr="00507A31" w:rsidRDefault="00D520E8" w:rsidP="00507A31">
      <w:pPr>
        <w:jc w:val="both"/>
        <w:rPr>
          <w:rStyle w:val="ucoz-forum-post"/>
          <w:color w:val="000000" w:themeColor="text1"/>
          <w:sz w:val="16"/>
          <w:szCs w:val="16"/>
        </w:rPr>
      </w:pPr>
      <w:r w:rsidRPr="00507A31">
        <w:rPr>
          <w:rStyle w:val="ucoz-forum-post"/>
          <w:color w:val="000000" w:themeColor="text1"/>
          <w:sz w:val="16"/>
          <w:szCs w:val="16"/>
        </w:rPr>
        <w:t>Двигатель- 4 М-17Ф, по 715 л.с.</w:t>
      </w:r>
    </w:p>
    <w:p w14:paraId="5032B37A" w14:textId="77777777" w:rsidR="00D520E8" w:rsidRPr="00507A31" w:rsidRDefault="00D520E8" w:rsidP="00507A31">
      <w:pPr>
        <w:jc w:val="both"/>
        <w:rPr>
          <w:rStyle w:val="ucoz-forum-post"/>
          <w:color w:val="000000" w:themeColor="text1"/>
          <w:sz w:val="16"/>
          <w:szCs w:val="16"/>
        </w:rPr>
      </w:pPr>
      <w:r w:rsidRPr="00507A31">
        <w:rPr>
          <w:rStyle w:val="ucoz-forum-post"/>
          <w:color w:val="000000" w:themeColor="text1"/>
          <w:sz w:val="16"/>
          <w:szCs w:val="16"/>
        </w:rPr>
        <w:t>Размах- 39,5 м.</w:t>
      </w:r>
    </w:p>
    <w:p w14:paraId="441C397E" w14:textId="77777777" w:rsidR="00D520E8" w:rsidRPr="00507A31" w:rsidRDefault="00D520E8" w:rsidP="00507A31">
      <w:pPr>
        <w:jc w:val="both"/>
        <w:rPr>
          <w:color w:val="000000" w:themeColor="text1"/>
          <w:sz w:val="16"/>
          <w:szCs w:val="16"/>
        </w:rPr>
      </w:pPr>
      <w:r w:rsidRPr="00507A31">
        <w:rPr>
          <w:rStyle w:val="ucoz-forum-post"/>
          <w:color w:val="000000" w:themeColor="text1"/>
          <w:sz w:val="16"/>
          <w:szCs w:val="16"/>
        </w:rPr>
        <w:t xml:space="preserve">Площадь крыла- 230,0 м2 </w:t>
      </w:r>
    </w:p>
    <w:p w14:paraId="09D67F61" w14:textId="77777777" w:rsidR="00D520E8" w:rsidRPr="00507A31" w:rsidRDefault="00D520E8" w:rsidP="00507A31">
      <w:pPr>
        <w:jc w:val="both"/>
        <w:rPr>
          <w:rStyle w:val="ucoz-forum-post"/>
          <w:color w:val="000000" w:themeColor="text1"/>
          <w:sz w:val="16"/>
          <w:szCs w:val="16"/>
        </w:rPr>
      </w:pPr>
      <w:r w:rsidRPr="00507A31">
        <w:rPr>
          <w:rStyle w:val="ucoz-forum-post"/>
          <w:color w:val="000000" w:themeColor="text1"/>
          <w:sz w:val="16"/>
          <w:szCs w:val="16"/>
        </w:rPr>
        <w:t>Длина- 24,4 м.</w:t>
      </w:r>
    </w:p>
    <w:p w14:paraId="04E14F3C" w14:textId="77777777" w:rsidR="00D520E8" w:rsidRPr="00507A31" w:rsidRDefault="00D520E8" w:rsidP="00507A31">
      <w:pPr>
        <w:jc w:val="both"/>
        <w:rPr>
          <w:rStyle w:val="ucoz-forum-post"/>
          <w:color w:val="000000" w:themeColor="text1"/>
          <w:sz w:val="16"/>
          <w:szCs w:val="16"/>
        </w:rPr>
      </w:pPr>
      <w:r w:rsidRPr="00507A31">
        <w:rPr>
          <w:rStyle w:val="ucoz-forum-post"/>
          <w:color w:val="000000" w:themeColor="text1"/>
          <w:sz w:val="16"/>
          <w:szCs w:val="16"/>
        </w:rPr>
        <w:t>Вес полетный- 17200 кг.</w:t>
      </w:r>
    </w:p>
    <w:p w14:paraId="52A95D9A" w14:textId="77777777" w:rsidR="00D520E8" w:rsidRPr="00507A31" w:rsidRDefault="00D520E8" w:rsidP="00507A31">
      <w:pPr>
        <w:jc w:val="both"/>
        <w:rPr>
          <w:rStyle w:val="ucoz-forum-post"/>
          <w:color w:val="000000" w:themeColor="text1"/>
          <w:sz w:val="16"/>
          <w:szCs w:val="16"/>
        </w:rPr>
      </w:pPr>
      <w:r w:rsidRPr="00507A31">
        <w:rPr>
          <w:rStyle w:val="ucoz-forum-post"/>
          <w:color w:val="000000" w:themeColor="text1"/>
          <w:sz w:val="16"/>
          <w:szCs w:val="16"/>
        </w:rPr>
        <w:t>Вес пустого- 10967 кг.</w:t>
      </w:r>
    </w:p>
    <w:p w14:paraId="4678CE9D" w14:textId="77777777" w:rsidR="00D520E8" w:rsidRPr="00507A31" w:rsidRDefault="00D520E8" w:rsidP="00507A31">
      <w:pPr>
        <w:jc w:val="both"/>
        <w:rPr>
          <w:rStyle w:val="ucoz-forum-post"/>
          <w:color w:val="000000" w:themeColor="text1"/>
          <w:sz w:val="16"/>
          <w:szCs w:val="16"/>
        </w:rPr>
      </w:pPr>
      <w:r w:rsidRPr="00507A31">
        <w:rPr>
          <w:rStyle w:val="ucoz-forum-post"/>
          <w:color w:val="000000" w:themeColor="text1"/>
          <w:sz w:val="16"/>
          <w:szCs w:val="16"/>
        </w:rPr>
        <w:t>Полная нагрузка- 6233 кг.</w:t>
      </w:r>
    </w:p>
    <w:p w14:paraId="239B2591" w14:textId="77777777" w:rsidR="00D520E8" w:rsidRPr="00507A31" w:rsidRDefault="00D520E8" w:rsidP="00507A31">
      <w:pPr>
        <w:jc w:val="both"/>
        <w:rPr>
          <w:rStyle w:val="ucoz-forum-post"/>
          <w:color w:val="000000" w:themeColor="text1"/>
          <w:sz w:val="16"/>
          <w:szCs w:val="16"/>
        </w:rPr>
      </w:pPr>
      <w:r w:rsidRPr="00507A31">
        <w:rPr>
          <w:rStyle w:val="ucoz-forum-post"/>
          <w:color w:val="000000" w:themeColor="text1"/>
          <w:sz w:val="16"/>
          <w:szCs w:val="16"/>
        </w:rPr>
        <w:t>Радиус действия- 1350 км.</w:t>
      </w:r>
    </w:p>
    <w:p w14:paraId="11FCFEED" w14:textId="77777777" w:rsidR="00D520E8" w:rsidRPr="00507A31" w:rsidRDefault="00D520E8" w:rsidP="00507A31">
      <w:pPr>
        <w:jc w:val="both"/>
        <w:rPr>
          <w:rStyle w:val="ucoz-forum-post"/>
          <w:color w:val="000000" w:themeColor="text1"/>
          <w:sz w:val="16"/>
          <w:szCs w:val="16"/>
        </w:rPr>
      </w:pPr>
      <w:r w:rsidRPr="00507A31">
        <w:rPr>
          <w:rStyle w:val="ucoz-forum-post"/>
          <w:color w:val="000000" w:themeColor="text1"/>
          <w:sz w:val="16"/>
          <w:szCs w:val="16"/>
        </w:rPr>
        <w:t>Полетный вес ТБ-3 выпуска 1935 года с двигателями М-34 ФРН составлял 1887 кг, максимальная скорость - 288 км/ч. Изображен серийный ТБ-3 с двигателями М-17Ф – наиболее распространеная модификация машины. ТБ этой серии состоял на вооружении с 1932 по 1939 год. В процессе замены передавали в Аэрофлот. АНТ-6, ТБ-3, Г-2 - первый в мире цельнометаллический свободнонесущий моноплан-бомбардировщик с четырьмя поршневыми двигателями, расположенными в ряд по размаху в носке крыла. Вначале на АНТ-6 устанавливались ПД "Кёртисс-Конкерор", затем БМВ-VI (на опытном самолёте), М-17Ф и М-34Р (в серии). При создании АНТ-6 реализована концепция А.Н.Туполева об эффективности свободнонесущих монопланных схем при использовании толстого профиля в корне крыла в сочетании с его разгрузкой. Четырёхлонжеронное крыло состояло из центроплана и двух консолей. Толщина профиля крыла обеспечивала при необходимости доступ в полёте к крайним силовым установкам. Носки крыла по обе стороны от каждого двигателя могли откидываться, образуя трап для осмотра силовой установки. В центроплане были установлены выдвижные башни стрелкового вооружения для защиты нижней задней полусферы. Фюзеляж трапециевидного сечения, кабина лётчиков открытая, обшивка крыла и фюзеляжа гофрированная. Стабилизатор с изменяемым в полёте углом установки. Управление элеронами облегчалось включением в систему двух полиспастов. Зимой самолёт эксплуатировался на лыжном шасси. Вооружение - шесть-восемь пулемётов ДА, бомбовая нагрузка 4 т. В 30-х гг. только в СССР было налажено крупносерийное производство таких больших машин. В процессе серийной постройки самолёт непрерывно совершенствовался: подкрыльевые башни заменила кормовая установка; на руле направления был установлен серворуль; четырёхколёсное шасси, состоящее из двух тележек, заменено двухколёсным с тормозами; использовались ПД новых моделей (в 1936 - М-34ФРН); на арктическом варианте кабина лётчиков сделана закрытой. Самолёт стал основой бомбардировочной авиации, воздушно-десантных соединений, военно-транспортной авиации. На нём отрабатывались системы "Звено" и "СПБ". На АНТ-6 установлены мировые рекорды, осуществлён ряд экспедиций и перелётов. После использования в ВВС самолёты ТБ-3 передавались в ГВФ, где под обозначением Г-2 продолжали работать с меньшими эксплуатационными нагрузками. ТБ-3 участвовали в военных конфликтах 1938-40. В Великой Отечественной войне использовались в качестве бомбардировщика, в воздушно-десантных и военно-транспортных операциях. В 1932-37 построено 819 экземпляров (14868).</w:t>
      </w:r>
    </w:p>
    <w:p w14:paraId="31CC7602" w14:textId="77777777" w:rsidR="00D520E8" w:rsidRPr="00507A31" w:rsidRDefault="00D520E8" w:rsidP="00507A31">
      <w:pPr>
        <w:jc w:val="both"/>
        <w:rPr>
          <w:rStyle w:val="ucoz-forum-post"/>
          <w:color w:val="000000" w:themeColor="text1"/>
          <w:sz w:val="16"/>
          <w:szCs w:val="16"/>
        </w:rPr>
      </w:pPr>
    </w:p>
    <w:p w14:paraId="0BD7EF24"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5FDE555" w14:textId="77777777" w:rsidR="00537E5F" w:rsidRPr="00507A31" w:rsidRDefault="00537E5F" w:rsidP="00507A31">
      <w:pPr>
        <w:autoSpaceDE w:val="0"/>
        <w:autoSpaceDN w:val="0"/>
        <w:adjustRightInd w:val="0"/>
        <w:jc w:val="both"/>
        <w:rPr>
          <w:iCs/>
          <w:color w:val="000000" w:themeColor="text1"/>
          <w:sz w:val="16"/>
          <w:szCs w:val="16"/>
        </w:rPr>
      </w:pPr>
    </w:p>
    <w:p w14:paraId="629ACF03" w14:textId="77777777" w:rsidR="00E61CC0" w:rsidRPr="00507A31" w:rsidRDefault="00E61CC0" w:rsidP="00507A31">
      <w:pPr>
        <w:jc w:val="both"/>
        <w:rPr>
          <w:color w:val="0070C0"/>
          <w:sz w:val="16"/>
          <w:szCs w:val="16"/>
        </w:rPr>
      </w:pPr>
      <w:r w:rsidRPr="00507A31">
        <w:rPr>
          <w:color w:val="0070C0"/>
          <w:sz w:val="16"/>
          <w:szCs w:val="16"/>
          <w:shd w:val="clear" w:color="auto" w:fill="FFFFFF"/>
        </w:rPr>
        <w:t>23 декабря 1930 года И.В.С. ввели в наиболее важные органы управления, в две комиссии Совнаркома СССР. В СТО и образованную в тот день Комиссию обороны. Она включала также В.М. Молотова — главу правительства, В. В. Куйбышева — только что утвержденного его заместителем, К.Е. Ворошилова — сохранившего пост наркома по военным и морским делам, Г.К. Орджоникидзе — теперь возглавлявшего ВСНХ СССР (20467).</w:t>
      </w:r>
    </w:p>
    <w:p w14:paraId="680494DF" w14:textId="77777777" w:rsidR="00E61CC0" w:rsidRPr="00507A31" w:rsidRDefault="00E61CC0" w:rsidP="00507A31">
      <w:pPr>
        <w:jc w:val="both"/>
        <w:rPr>
          <w:color w:val="0070C0"/>
          <w:sz w:val="16"/>
          <w:szCs w:val="16"/>
        </w:rPr>
      </w:pPr>
    </w:p>
    <w:p w14:paraId="2853E2FE" w14:textId="77777777" w:rsidR="00B85E59" w:rsidRPr="00507A31" w:rsidRDefault="00B85E59" w:rsidP="00507A31">
      <w:pPr>
        <w:pStyle w:val="rtejustify"/>
        <w:spacing w:before="0" w:after="0"/>
        <w:rPr>
          <w:color w:val="000000" w:themeColor="text1"/>
          <w:sz w:val="16"/>
          <w:szCs w:val="16"/>
        </w:rPr>
      </w:pPr>
      <w:r w:rsidRPr="00507A31">
        <w:rPr>
          <w:rStyle w:val="af0"/>
          <w:i w:val="0"/>
          <w:color w:val="000000" w:themeColor="text1"/>
          <w:sz w:val="16"/>
          <w:szCs w:val="16"/>
        </w:rPr>
        <w:t xml:space="preserve">23 декабря 1930 г. Протокол Реввоенсовета № 29. </w:t>
      </w:r>
      <w:r w:rsidRPr="00507A31">
        <w:rPr>
          <w:color w:val="000000" w:themeColor="text1"/>
          <w:sz w:val="16"/>
          <w:szCs w:val="16"/>
        </w:rPr>
        <w:t>4. О принятии на вооружение: а) 37</w:t>
      </w:r>
      <w:r w:rsidRPr="00507A31">
        <w:rPr>
          <w:color w:val="000000" w:themeColor="text1"/>
          <w:sz w:val="16"/>
          <w:szCs w:val="16"/>
        </w:rPr>
        <w:noBreakHyphen/>
        <w:t>мм танковой пушки; б) 45</w:t>
      </w:r>
      <w:r w:rsidRPr="00507A31">
        <w:rPr>
          <w:color w:val="000000" w:themeColor="text1"/>
          <w:sz w:val="16"/>
          <w:szCs w:val="16"/>
        </w:rPr>
        <w:noBreakHyphen/>
        <w:t>мм танковой пушки; в) 122</w:t>
      </w:r>
      <w:r w:rsidRPr="00507A31">
        <w:rPr>
          <w:color w:val="000000" w:themeColor="text1"/>
          <w:sz w:val="16"/>
          <w:szCs w:val="16"/>
        </w:rPr>
        <w:noBreakHyphen/>
        <w:t>мм снарядов сталистого чугуна; г) селитро-угольных добавок для 76</w:t>
      </w:r>
      <w:r w:rsidRPr="00507A31">
        <w:rPr>
          <w:color w:val="000000" w:themeColor="text1"/>
          <w:sz w:val="16"/>
          <w:szCs w:val="16"/>
        </w:rPr>
        <w:noBreakHyphen/>
        <w:t>мм полковой пушки и 152</w:t>
      </w:r>
      <w:r w:rsidRPr="00507A31">
        <w:rPr>
          <w:color w:val="000000" w:themeColor="text1"/>
          <w:sz w:val="16"/>
          <w:szCs w:val="16"/>
        </w:rPr>
        <w:noBreakHyphen/>
        <w:t>мм гаубицы; д) 107</w:t>
      </w:r>
      <w:r w:rsidRPr="00507A31">
        <w:rPr>
          <w:color w:val="000000" w:themeColor="text1"/>
          <w:sz w:val="16"/>
          <w:szCs w:val="16"/>
        </w:rPr>
        <w:noBreakHyphen/>
        <w:t>мм снаряда сталистого чугуна; е) 76</w:t>
      </w:r>
      <w:r w:rsidRPr="00507A31">
        <w:rPr>
          <w:color w:val="000000" w:themeColor="text1"/>
          <w:sz w:val="16"/>
          <w:szCs w:val="16"/>
        </w:rPr>
        <w:noBreakHyphen/>
        <w:t>мм модернизированных зенитных пушек образца 1915/28 г.; ж) строенных пулеметных установок; з) осветительных и сигнальных патронов 4</w:t>
      </w:r>
      <w:r w:rsidRPr="00507A31">
        <w:rPr>
          <w:color w:val="000000" w:themeColor="text1"/>
          <w:sz w:val="16"/>
          <w:szCs w:val="16"/>
        </w:rPr>
        <w:noBreakHyphen/>
        <w:t>го калибра; и) зарядного ящика, орудийного передка и лотка для полковой пушки 1927 г. (Уборевич); к) о введении на вооружение фильтропоглотителя для огневых точек укрепленных районов (Фишман); л) о введении на вооружение сошек и прицела-квадранта для стрельбы из 7,62</w:t>
      </w:r>
      <w:r w:rsidRPr="00507A31">
        <w:rPr>
          <w:color w:val="000000" w:themeColor="text1"/>
          <w:sz w:val="16"/>
          <w:szCs w:val="16"/>
        </w:rPr>
        <w:noBreakHyphen/>
        <w:t>мм винтовки ружгранатами системы Дьяконова; м) о введении на вооружение оптического прицела для 7,62</w:t>
      </w:r>
      <w:r w:rsidRPr="00507A31">
        <w:rPr>
          <w:color w:val="000000" w:themeColor="text1"/>
          <w:sz w:val="16"/>
          <w:szCs w:val="16"/>
        </w:rPr>
        <w:noBreakHyphen/>
        <w:t>мм винтовок. (РГВА. Ф. 4. Оп. 18. Д. 19. Л. 456) (12342).</w:t>
      </w:r>
    </w:p>
    <w:p w14:paraId="35380084" w14:textId="77777777" w:rsidR="00B85E59" w:rsidRPr="00507A31" w:rsidRDefault="00B85E59" w:rsidP="00507A31">
      <w:pPr>
        <w:pStyle w:val="rtejustify"/>
        <w:spacing w:before="0" w:after="0"/>
        <w:rPr>
          <w:color w:val="000000" w:themeColor="text1"/>
          <w:sz w:val="16"/>
          <w:szCs w:val="16"/>
        </w:rPr>
      </w:pPr>
    </w:p>
    <w:p w14:paraId="4078A4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декаб</w:t>
      </w:r>
      <w:r w:rsidRPr="00507A31">
        <w:rPr>
          <w:color w:val="000000" w:themeColor="text1"/>
          <w:sz w:val="16"/>
          <w:szCs w:val="16"/>
        </w:rPr>
        <w:softHyphen/>
        <w:t>ря 1930 г. по докладу комиссии Реввоенсовета СССР (в составе С. С. Каменева, Р. А. Муклевича, А. М. Постникова и Б. М. Шапош</w:t>
      </w:r>
      <w:r w:rsidRPr="00507A31">
        <w:rPr>
          <w:color w:val="000000" w:themeColor="text1"/>
          <w:sz w:val="16"/>
          <w:szCs w:val="16"/>
        </w:rPr>
        <w:softHyphen/>
        <w:t>никова) СТО переутверждил программу судостроения и она значительно отличалась от первоначальной. Факти</w:t>
      </w:r>
      <w:r w:rsidRPr="00507A31">
        <w:rPr>
          <w:color w:val="000000" w:themeColor="text1"/>
          <w:sz w:val="16"/>
          <w:szCs w:val="16"/>
        </w:rPr>
        <w:softHyphen/>
        <w:t>ческое выполнение программы тоже отличалось от запланирован</w:t>
      </w:r>
      <w:r w:rsidRPr="00507A31">
        <w:rPr>
          <w:color w:val="000000" w:themeColor="text1"/>
          <w:sz w:val="16"/>
          <w:szCs w:val="16"/>
        </w:rPr>
        <w:softHyphen/>
        <w:t>ного с большим отставанием по сложным объектам — линкорам, крейсерам и новым эсминцам, хотя наблюдались явные успехи промышленности в создании подводных лодок, сторожевых и торпедных катеров на всех четырех основных морских театрах (Балтика, Черное море, Север, Дальний Восток) и на закрытом Каспийском море. Эти задачи, наряду с "прочной защитой" важнейших пунктов побережья и "недопущением" десантов, предусматривали нарушение комму</w:t>
      </w:r>
      <w:r w:rsidRPr="00507A31">
        <w:rPr>
          <w:color w:val="000000" w:themeColor="text1"/>
          <w:sz w:val="16"/>
          <w:szCs w:val="16"/>
        </w:rPr>
        <w:softHyphen/>
        <w:t>никаций и активные действия по базам противника. Силы враже</w:t>
      </w:r>
      <w:r w:rsidRPr="00507A31">
        <w:rPr>
          <w:color w:val="000000" w:themeColor="text1"/>
          <w:sz w:val="16"/>
          <w:szCs w:val="16"/>
        </w:rPr>
        <w:softHyphen/>
        <w:t>ского флота предполагалось также не допустить в Черное море, Финский залив, в горло Белого моря и на Каспий, а на Балтике флот должен был содействовать РККА и обеспечить возможность высадки десантов в Финляндию, Эстонию и на острова Финского залива. Кроме задач морских сил предусматривались и задачи Днепровской флотилии, которая в случае войны должна была уничтожить польскую речную флотилию и содействовать сухопут</w:t>
      </w:r>
      <w:r w:rsidRPr="00507A31">
        <w:rPr>
          <w:color w:val="000000" w:themeColor="text1"/>
          <w:sz w:val="16"/>
          <w:szCs w:val="16"/>
        </w:rPr>
        <w:softHyphen/>
        <w:t>ным войскам.</w:t>
      </w:r>
    </w:p>
    <w:p w14:paraId="6F4855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отношении развития различных родов сил "соображения" предусматривали:</w:t>
      </w:r>
    </w:p>
    <w:p w14:paraId="4513EE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а) основа программы строительства ВМС — развитие флота (в первую очередь и главным образом — подводного) и тя</w:t>
      </w:r>
      <w:r w:rsidRPr="00507A31">
        <w:rPr>
          <w:color w:val="000000" w:themeColor="text1"/>
          <w:sz w:val="16"/>
          <w:szCs w:val="16"/>
        </w:rPr>
        <w:softHyphen/>
        <w:t>желой авиации, обладающих мощными маневренными свойства</w:t>
      </w:r>
      <w:r w:rsidRPr="00507A31">
        <w:rPr>
          <w:color w:val="000000" w:themeColor="text1"/>
          <w:sz w:val="16"/>
          <w:szCs w:val="16"/>
        </w:rPr>
        <w:softHyphen/>
        <w:t>ми;...</w:t>
      </w:r>
    </w:p>
    <w:p w14:paraId="28AEF3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Основой программы строительства подводного флота долж</w:t>
      </w:r>
      <w:r w:rsidRPr="00507A31">
        <w:rPr>
          <w:color w:val="000000" w:themeColor="text1"/>
          <w:sz w:val="16"/>
          <w:szCs w:val="16"/>
        </w:rPr>
        <w:softHyphen/>
        <w:t>ны остаться подводные лодки среднего тоннажа (600—750 т).</w:t>
      </w:r>
    </w:p>
    <w:p w14:paraId="5AC684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Одновременно необходимо развернуть в известных пределах постройку больших подлодок (900—1000 т) для эскадренного их использования (совместно с надводным флотом), для действий в значительном удалении от своих берегов, для операций на морских путях сообщения противника. В отношении малых подлодок (150 т), имеющих назначением непосредственную оборону наших баз, следует ограничиться принятым уже количеством (30).</w:t>
      </w:r>
    </w:p>
    <w:p w14:paraId="0CCFF7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Для обеспечения и поддержания операций подводных лодок для придания устойчивости всей системе морской обороны СССР, а также для успешной борьбы с противолодочными средствами противника необходимо определенное сочетание подводного флота с надводными кораблями — эсминцами, эсминцами-лидерами и крейсерами, что особенно важно по условиям ведения операций на Дальнем Востоке и Черном море. Наличие хотя бы ограниченного числа крейсеров в составе ВМС РККА даст нам более широкие воз</w:t>
      </w:r>
      <w:r w:rsidRPr="00507A31">
        <w:rPr>
          <w:color w:val="000000" w:themeColor="text1"/>
          <w:sz w:val="16"/>
          <w:szCs w:val="16"/>
        </w:rPr>
        <w:softHyphen/>
        <w:t>можности к использованию среди других средств борьбы на море (торпеды, мины, авиабомбы) — также и артиллерии...</w:t>
      </w:r>
    </w:p>
    <w:p w14:paraId="215D0A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Особое внимание должно быть уделено развитию вспомога</w:t>
      </w:r>
      <w:r w:rsidRPr="00507A31">
        <w:rPr>
          <w:color w:val="000000" w:themeColor="text1"/>
          <w:sz w:val="16"/>
          <w:szCs w:val="16"/>
        </w:rPr>
        <w:softHyphen/>
        <w:t>тельных сил флота (плавбазы, плавсредства, тральщики, охотники за подводными лодками и т. д.), без которых боевые операции и боевая подго1овка... будут встречать крупнейшие и недопустимые затруднения.</w:t>
      </w:r>
    </w:p>
    <w:p w14:paraId="0967BC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Развитие торгового флота должно отвечать в полной мере специальным требованиям использования торговых судов в воен</w:t>
      </w:r>
      <w:r w:rsidRPr="00507A31">
        <w:rPr>
          <w:color w:val="000000" w:themeColor="text1"/>
          <w:sz w:val="16"/>
          <w:szCs w:val="16"/>
        </w:rPr>
        <w:softHyphen/>
        <w:t>ное время...</w:t>
      </w:r>
    </w:p>
    <w:p w14:paraId="6BB238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Реализация предлагаемых на утверждение правительства основных мер по развитию ВМС... обеспечит выполнение постав</w:t>
      </w:r>
      <w:r w:rsidRPr="00507A31">
        <w:rPr>
          <w:color w:val="000000" w:themeColor="text1"/>
          <w:sz w:val="16"/>
          <w:szCs w:val="16"/>
        </w:rPr>
        <w:softHyphen/>
        <w:t>ленных задач обороны морских границ СССР на базе тесного взаи</w:t>
      </w:r>
      <w:r w:rsidRPr="00507A31">
        <w:rPr>
          <w:color w:val="000000" w:themeColor="text1"/>
          <w:sz w:val="16"/>
          <w:szCs w:val="16"/>
        </w:rPr>
        <w:softHyphen/>
        <w:t>модействия флота, авиации и береговой обороны, причем главная и решающая роль будет возложена в боевых операциях на подвод</w:t>
      </w:r>
      <w:r w:rsidRPr="00507A31">
        <w:rPr>
          <w:color w:val="000000" w:themeColor="text1"/>
          <w:sz w:val="16"/>
          <w:szCs w:val="16"/>
        </w:rPr>
        <w:softHyphen/>
        <w:t>ные лодки и тяжелую авиацию".</w:t>
      </w:r>
    </w:p>
    <w:p w14:paraId="2F1BD1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Расчеты потребных сил на каждом морском театре исходили из оперативных задач и требований тактической организации. Большие и средние подлодки предполагалось строить для всех четырех основных театров, малые — только для Морских сил Дальне</w:t>
      </w:r>
      <w:r w:rsidRPr="00507A31">
        <w:rPr>
          <w:color w:val="000000" w:themeColor="text1"/>
          <w:sz w:val="16"/>
          <w:szCs w:val="16"/>
        </w:rPr>
        <w:softHyphen/>
        <w:t>го Востока. Для Черного моря предназначалось больше всего новых крейсеров (четыре), эсминцев-лидеров (их также называли торпе</w:t>
      </w:r>
      <w:r w:rsidRPr="00507A31">
        <w:rPr>
          <w:color w:val="000000" w:themeColor="text1"/>
          <w:sz w:val="16"/>
          <w:szCs w:val="16"/>
        </w:rPr>
        <w:softHyphen/>
        <w:t>доносцы-лидеры) и эсминцев. По два новых крейсера с лидерами и эсминцами предлагалось построить для Балтики и Дальнего Вос</w:t>
      </w:r>
      <w:r w:rsidRPr="00507A31">
        <w:rPr>
          <w:color w:val="000000" w:themeColor="text1"/>
          <w:sz w:val="16"/>
          <w:szCs w:val="16"/>
        </w:rPr>
        <w:softHyphen/>
        <w:t>тока, а на Севере — ограничиться подводным флотом с переводом туда старых эсминцев по мере их капитального ремонта.</w:t>
      </w:r>
    </w:p>
    <w:p w14:paraId="593E83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"Основные соображения по развитию ВМС РККА на вторую Пятилетку (1933—1937 гг.)" исходили из оперативньсс задач ВМС. Программа военного судостроения первой пятилетки</w:t>
      </w:r>
    </w:p>
    <w:tbl>
      <w:tblPr>
        <w:tblW w:w="0" w:type="auto"/>
        <w:tblInd w:w="40" w:type="dxa"/>
        <w:tblLayout w:type="fixed"/>
        <w:tblCellMar>
          <w:left w:w="40" w:type="dxa"/>
          <w:right w:w="40" w:type="dxa"/>
        </w:tblCellMar>
        <w:tblLook w:val="0000" w:firstRow="0" w:lastRow="0" w:firstColumn="0" w:lastColumn="0" w:noHBand="0" w:noVBand="0"/>
      </w:tblPr>
      <w:tblGrid>
        <w:gridCol w:w="1600"/>
        <w:gridCol w:w="980"/>
        <w:gridCol w:w="980"/>
        <w:gridCol w:w="900"/>
        <w:gridCol w:w="980"/>
        <w:gridCol w:w="980"/>
      </w:tblGrid>
      <w:tr w:rsidR="00E371BA" w:rsidRPr="00507A31" w14:paraId="4B3798D4" w14:textId="77777777">
        <w:trPr>
          <w:trHeight w:hRule="exact" w:val="600"/>
        </w:trPr>
        <w:tc>
          <w:tcPr>
            <w:tcW w:w="1600" w:type="dxa"/>
            <w:tcBorders>
              <w:top w:val="single" w:sz="6" w:space="0" w:color="auto"/>
              <w:left w:val="single" w:sz="6" w:space="0" w:color="auto"/>
              <w:bottom w:val="nil"/>
              <w:right w:val="single" w:sz="6" w:space="0" w:color="auto"/>
            </w:tcBorders>
          </w:tcPr>
          <w:p w14:paraId="4E4354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Классы кораблей</w:t>
            </w:r>
          </w:p>
        </w:tc>
        <w:tc>
          <w:tcPr>
            <w:tcW w:w="980" w:type="dxa"/>
            <w:tcBorders>
              <w:top w:val="single" w:sz="6" w:space="0" w:color="auto"/>
              <w:left w:val="single" w:sz="6" w:space="0" w:color="auto"/>
              <w:bottom w:val="nil"/>
              <w:right w:val="single" w:sz="6" w:space="0" w:color="auto"/>
            </w:tcBorders>
          </w:tcPr>
          <w:p w14:paraId="0813E6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Утвержден</w:t>
            </w:r>
            <w:r w:rsidRPr="00507A31">
              <w:rPr>
                <w:color w:val="000000" w:themeColor="text1"/>
                <w:sz w:val="16"/>
                <w:szCs w:val="16"/>
              </w:rPr>
              <w:softHyphen/>
              <w:t>ная СТО</w:t>
            </w:r>
          </w:p>
          <w:p w14:paraId="7E81C0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(февраль 1929 г.)</w:t>
            </w:r>
          </w:p>
        </w:tc>
        <w:tc>
          <w:tcPr>
            <w:tcW w:w="980" w:type="dxa"/>
            <w:tcBorders>
              <w:top w:val="single" w:sz="6" w:space="0" w:color="auto"/>
              <w:left w:val="single" w:sz="6" w:space="0" w:color="auto"/>
              <w:bottom w:val="nil"/>
              <w:right w:val="single" w:sz="6" w:space="0" w:color="auto"/>
            </w:tcBorders>
          </w:tcPr>
          <w:p w14:paraId="52BE83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дополне</w:t>
            </w:r>
            <w:r w:rsidRPr="00507A31">
              <w:rPr>
                <w:color w:val="000000" w:themeColor="text1"/>
                <w:sz w:val="16"/>
                <w:szCs w:val="16"/>
              </w:rPr>
              <w:softHyphen/>
              <w:t>ниями Рев</w:t>
            </w:r>
            <w:r w:rsidRPr="00507A31">
              <w:rPr>
                <w:color w:val="000000" w:themeColor="text1"/>
                <w:sz w:val="16"/>
                <w:szCs w:val="16"/>
              </w:rPr>
              <w:softHyphen/>
              <w:t>военсовета (июль 1930 г.)</w:t>
            </w:r>
          </w:p>
        </w:tc>
        <w:tc>
          <w:tcPr>
            <w:tcW w:w="1880" w:type="dxa"/>
            <w:gridSpan w:val="2"/>
            <w:tcBorders>
              <w:top w:val="single" w:sz="6" w:space="0" w:color="auto"/>
              <w:left w:val="single" w:sz="6" w:space="0" w:color="auto"/>
              <w:bottom w:val="single" w:sz="6" w:space="0" w:color="auto"/>
              <w:right w:val="single" w:sz="6" w:space="0" w:color="auto"/>
            </w:tcBorders>
          </w:tcPr>
          <w:p w14:paraId="71B9A2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Переутвержденная СТО (декабрь 1930 г.)</w:t>
            </w:r>
          </w:p>
        </w:tc>
        <w:tc>
          <w:tcPr>
            <w:tcW w:w="980" w:type="dxa"/>
            <w:tcBorders>
              <w:top w:val="single" w:sz="6" w:space="0" w:color="auto"/>
              <w:left w:val="single" w:sz="6" w:space="0" w:color="auto"/>
              <w:bottom w:val="nil"/>
              <w:right w:val="single" w:sz="6" w:space="0" w:color="auto"/>
            </w:tcBorders>
          </w:tcPr>
          <w:p w14:paraId="799103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Фактиче</w:t>
            </w:r>
            <w:r w:rsidRPr="00507A31">
              <w:rPr>
                <w:color w:val="000000" w:themeColor="text1"/>
                <w:sz w:val="16"/>
                <w:szCs w:val="16"/>
              </w:rPr>
              <w:softHyphen/>
              <w:t>ски вступили в строй в 1929-1932 гг.</w:t>
            </w:r>
          </w:p>
        </w:tc>
      </w:tr>
      <w:tr w:rsidR="00E371BA" w:rsidRPr="00507A31" w14:paraId="55E2D06A" w14:textId="77777777">
        <w:trPr>
          <w:trHeight w:hRule="exact" w:val="560"/>
        </w:trPr>
        <w:tc>
          <w:tcPr>
            <w:tcW w:w="1600" w:type="dxa"/>
            <w:tcBorders>
              <w:top w:val="nil"/>
              <w:left w:val="single" w:sz="6" w:space="0" w:color="auto"/>
              <w:bottom w:val="single" w:sz="6" w:space="0" w:color="auto"/>
              <w:right w:val="single" w:sz="6" w:space="0" w:color="auto"/>
            </w:tcBorders>
          </w:tcPr>
          <w:p w14:paraId="2EEED55C" w14:textId="77777777" w:rsidR="00537E5F" w:rsidRPr="00507A31" w:rsidRDefault="00537E5F" w:rsidP="00507A31">
            <w:pPr>
              <w:autoSpaceDE w:val="0"/>
              <w:autoSpaceDN w:val="0"/>
              <w:adjustRightInd w:val="0"/>
              <w:jc w:val="both"/>
              <w:rPr>
                <w:color w:val="000000" w:themeColor="text1"/>
                <w:sz w:val="16"/>
                <w:szCs w:val="16"/>
              </w:rPr>
            </w:pPr>
          </w:p>
        </w:tc>
        <w:tc>
          <w:tcPr>
            <w:tcW w:w="980" w:type="dxa"/>
            <w:tcBorders>
              <w:top w:val="nil"/>
              <w:left w:val="single" w:sz="6" w:space="0" w:color="auto"/>
              <w:bottom w:val="single" w:sz="6" w:space="0" w:color="auto"/>
              <w:right w:val="single" w:sz="6" w:space="0" w:color="auto"/>
            </w:tcBorders>
          </w:tcPr>
          <w:p w14:paraId="1B7BE3D2" w14:textId="77777777" w:rsidR="00537E5F" w:rsidRPr="00507A31" w:rsidRDefault="00537E5F" w:rsidP="00507A31">
            <w:pPr>
              <w:autoSpaceDE w:val="0"/>
              <w:autoSpaceDN w:val="0"/>
              <w:adjustRightInd w:val="0"/>
              <w:jc w:val="both"/>
              <w:rPr>
                <w:color w:val="000000" w:themeColor="text1"/>
                <w:sz w:val="16"/>
                <w:szCs w:val="16"/>
              </w:rPr>
            </w:pPr>
          </w:p>
        </w:tc>
        <w:tc>
          <w:tcPr>
            <w:tcW w:w="980" w:type="dxa"/>
            <w:tcBorders>
              <w:top w:val="nil"/>
              <w:left w:val="single" w:sz="6" w:space="0" w:color="auto"/>
              <w:bottom w:val="single" w:sz="6" w:space="0" w:color="auto"/>
              <w:right w:val="single" w:sz="6" w:space="0" w:color="auto"/>
            </w:tcBorders>
          </w:tcPr>
          <w:p w14:paraId="7ADFA802" w14:textId="77777777" w:rsidR="00537E5F" w:rsidRPr="00507A31" w:rsidRDefault="00537E5F" w:rsidP="00507A31">
            <w:pPr>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713D41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заложить</w:t>
            </w:r>
          </w:p>
        </w:tc>
        <w:tc>
          <w:tcPr>
            <w:tcW w:w="980" w:type="dxa"/>
            <w:tcBorders>
              <w:top w:val="single" w:sz="6" w:space="0" w:color="auto"/>
              <w:left w:val="single" w:sz="6" w:space="0" w:color="auto"/>
              <w:bottom w:val="single" w:sz="6" w:space="0" w:color="auto"/>
              <w:right w:val="single" w:sz="6" w:space="0" w:color="auto"/>
            </w:tcBorders>
          </w:tcPr>
          <w:p w14:paraId="561301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ввести в строй</w:t>
            </w:r>
          </w:p>
        </w:tc>
        <w:tc>
          <w:tcPr>
            <w:tcW w:w="980" w:type="dxa"/>
            <w:tcBorders>
              <w:top w:val="nil"/>
              <w:left w:val="single" w:sz="6" w:space="0" w:color="auto"/>
              <w:bottom w:val="single" w:sz="6" w:space="0" w:color="auto"/>
              <w:right w:val="single" w:sz="6" w:space="0" w:color="auto"/>
            </w:tcBorders>
          </w:tcPr>
          <w:p w14:paraId="321E77B3"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9F69A72" w14:textId="77777777">
        <w:trPr>
          <w:trHeight w:hRule="exact" w:val="400"/>
        </w:trPr>
        <w:tc>
          <w:tcPr>
            <w:tcW w:w="5440" w:type="dxa"/>
            <w:gridSpan w:val="5"/>
            <w:tcBorders>
              <w:top w:val="single" w:sz="6" w:space="0" w:color="auto"/>
              <w:left w:val="single" w:sz="6" w:space="0" w:color="auto"/>
              <w:bottom w:val="single" w:sz="6" w:space="0" w:color="auto"/>
              <w:right w:val="nil"/>
            </w:tcBorders>
          </w:tcPr>
          <w:p w14:paraId="796249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Новое судостроение</w:t>
            </w:r>
          </w:p>
        </w:tc>
        <w:tc>
          <w:tcPr>
            <w:tcW w:w="980" w:type="dxa"/>
            <w:tcBorders>
              <w:top w:val="single" w:sz="6" w:space="0" w:color="auto"/>
              <w:left w:val="nil"/>
              <w:bottom w:val="single" w:sz="6" w:space="0" w:color="auto"/>
              <w:right w:val="single" w:sz="6" w:space="0" w:color="auto"/>
            </w:tcBorders>
          </w:tcPr>
          <w:p w14:paraId="4AB60867" w14:textId="77777777" w:rsidR="00537E5F" w:rsidRPr="00507A31" w:rsidRDefault="00537E5F" w:rsidP="00507A31">
            <w:pPr>
              <w:autoSpaceDE w:val="0"/>
              <w:autoSpaceDN w:val="0"/>
              <w:adjustRightInd w:val="0"/>
              <w:jc w:val="both"/>
              <w:rPr>
                <w:color w:val="000000" w:themeColor="text1"/>
                <w:sz w:val="16"/>
                <w:szCs w:val="16"/>
              </w:rPr>
            </w:pPr>
          </w:p>
          <w:p w14:paraId="446D2378"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3734422" w14:textId="77777777">
        <w:trPr>
          <w:trHeight w:hRule="exact" w:val="240"/>
        </w:trPr>
        <w:tc>
          <w:tcPr>
            <w:tcW w:w="1600" w:type="dxa"/>
            <w:tcBorders>
              <w:top w:val="single" w:sz="6" w:space="0" w:color="auto"/>
              <w:left w:val="single" w:sz="6" w:space="0" w:color="auto"/>
              <w:bottom w:val="single" w:sz="6" w:space="0" w:color="auto"/>
              <w:right w:val="single" w:sz="6" w:space="0" w:color="auto"/>
            </w:tcBorders>
          </w:tcPr>
          <w:p w14:paraId="748FD7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Подводные лодки</w:t>
            </w:r>
          </w:p>
        </w:tc>
        <w:tc>
          <w:tcPr>
            <w:tcW w:w="980" w:type="dxa"/>
            <w:tcBorders>
              <w:top w:val="single" w:sz="6" w:space="0" w:color="auto"/>
              <w:left w:val="single" w:sz="6" w:space="0" w:color="auto"/>
              <w:bottom w:val="single" w:sz="6" w:space="0" w:color="auto"/>
              <w:right w:val="single" w:sz="6" w:space="0" w:color="auto"/>
            </w:tcBorders>
          </w:tcPr>
          <w:p w14:paraId="4D571C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w:t>
            </w:r>
          </w:p>
        </w:tc>
        <w:tc>
          <w:tcPr>
            <w:tcW w:w="980" w:type="dxa"/>
            <w:tcBorders>
              <w:top w:val="single" w:sz="6" w:space="0" w:color="auto"/>
              <w:left w:val="single" w:sz="6" w:space="0" w:color="auto"/>
              <w:bottom w:val="single" w:sz="6" w:space="0" w:color="auto"/>
              <w:right w:val="single" w:sz="6" w:space="0" w:color="auto"/>
            </w:tcBorders>
          </w:tcPr>
          <w:p w14:paraId="21F047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w:t>
            </w:r>
          </w:p>
        </w:tc>
        <w:tc>
          <w:tcPr>
            <w:tcW w:w="900" w:type="dxa"/>
            <w:tcBorders>
              <w:top w:val="single" w:sz="6" w:space="0" w:color="auto"/>
              <w:left w:val="single" w:sz="6" w:space="0" w:color="auto"/>
              <w:bottom w:val="single" w:sz="6" w:space="0" w:color="auto"/>
              <w:right w:val="single" w:sz="6" w:space="0" w:color="auto"/>
            </w:tcBorders>
          </w:tcPr>
          <w:p w14:paraId="19FAF0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w:t>
            </w:r>
          </w:p>
        </w:tc>
        <w:tc>
          <w:tcPr>
            <w:tcW w:w="980" w:type="dxa"/>
            <w:tcBorders>
              <w:top w:val="single" w:sz="6" w:space="0" w:color="auto"/>
              <w:left w:val="single" w:sz="6" w:space="0" w:color="auto"/>
              <w:bottom w:val="single" w:sz="6" w:space="0" w:color="auto"/>
              <w:right w:val="single" w:sz="6" w:space="0" w:color="auto"/>
            </w:tcBorders>
          </w:tcPr>
          <w:p w14:paraId="4AE25B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980" w:type="dxa"/>
            <w:tcBorders>
              <w:top w:val="single" w:sz="6" w:space="0" w:color="auto"/>
              <w:left w:val="single" w:sz="6" w:space="0" w:color="auto"/>
              <w:bottom w:val="single" w:sz="6" w:space="0" w:color="auto"/>
              <w:right w:val="single" w:sz="6" w:space="0" w:color="auto"/>
            </w:tcBorders>
          </w:tcPr>
          <w:p w14:paraId="68D44B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w:t>
            </w:r>
          </w:p>
        </w:tc>
      </w:tr>
      <w:tr w:rsidR="00E371BA" w:rsidRPr="00507A31" w14:paraId="01CDA4AD"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68099A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Эсминцы</w:t>
            </w:r>
          </w:p>
        </w:tc>
        <w:tc>
          <w:tcPr>
            <w:tcW w:w="980" w:type="dxa"/>
            <w:tcBorders>
              <w:top w:val="single" w:sz="6" w:space="0" w:color="auto"/>
              <w:left w:val="single" w:sz="6" w:space="0" w:color="auto"/>
              <w:bottom w:val="single" w:sz="6" w:space="0" w:color="auto"/>
              <w:right w:val="single" w:sz="6" w:space="0" w:color="auto"/>
            </w:tcBorders>
          </w:tcPr>
          <w:p w14:paraId="53762B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777A45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w:t>
            </w:r>
          </w:p>
        </w:tc>
        <w:tc>
          <w:tcPr>
            <w:tcW w:w="900" w:type="dxa"/>
            <w:tcBorders>
              <w:top w:val="single" w:sz="6" w:space="0" w:color="auto"/>
              <w:left w:val="single" w:sz="6" w:space="0" w:color="auto"/>
              <w:bottom w:val="single" w:sz="6" w:space="0" w:color="auto"/>
              <w:right w:val="single" w:sz="6" w:space="0" w:color="auto"/>
            </w:tcBorders>
          </w:tcPr>
          <w:p w14:paraId="28C992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w:t>
            </w:r>
          </w:p>
        </w:tc>
        <w:tc>
          <w:tcPr>
            <w:tcW w:w="980" w:type="dxa"/>
            <w:tcBorders>
              <w:top w:val="single" w:sz="6" w:space="0" w:color="auto"/>
              <w:left w:val="single" w:sz="6" w:space="0" w:color="auto"/>
              <w:bottom w:val="single" w:sz="6" w:space="0" w:color="auto"/>
              <w:right w:val="single" w:sz="6" w:space="0" w:color="auto"/>
            </w:tcBorders>
          </w:tcPr>
          <w:p w14:paraId="580E9E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43F0A3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5E81953A" w14:textId="77777777">
        <w:trPr>
          <w:trHeight w:hRule="exact" w:val="400"/>
        </w:trPr>
        <w:tc>
          <w:tcPr>
            <w:tcW w:w="1600" w:type="dxa"/>
            <w:tcBorders>
              <w:top w:val="single" w:sz="6" w:space="0" w:color="auto"/>
              <w:left w:val="single" w:sz="6" w:space="0" w:color="auto"/>
              <w:bottom w:val="single" w:sz="6" w:space="0" w:color="auto"/>
              <w:right w:val="single" w:sz="6" w:space="0" w:color="auto"/>
            </w:tcBorders>
          </w:tcPr>
          <w:p w14:paraId="493331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Сторожевые ко</w:t>
            </w:r>
            <w:r w:rsidRPr="00507A31">
              <w:rPr>
                <w:color w:val="000000" w:themeColor="text1"/>
                <w:sz w:val="16"/>
                <w:szCs w:val="16"/>
              </w:rPr>
              <w:softHyphen/>
              <w:t>рабли</w:t>
            </w:r>
          </w:p>
        </w:tc>
        <w:tc>
          <w:tcPr>
            <w:tcW w:w="980" w:type="dxa"/>
            <w:tcBorders>
              <w:top w:val="single" w:sz="6" w:space="0" w:color="auto"/>
              <w:left w:val="single" w:sz="6" w:space="0" w:color="auto"/>
              <w:bottom w:val="single" w:sz="6" w:space="0" w:color="auto"/>
              <w:right w:val="single" w:sz="6" w:space="0" w:color="auto"/>
            </w:tcBorders>
          </w:tcPr>
          <w:p w14:paraId="4C068A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w:t>
            </w:r>
          </w:p>
        </w:tc>
        <w:tc>
          <w:tcPr>
            <w:tcW w:w="980" w:type="dxa"/>
            <w:tcBorders>
              <w:top w:val="single" w:sz="6" w:space="0" w:color="auto"/>
              <w:left w:val="single" w:sz="6" w:space="0" w:color="auto"/>
              <w:bottom w:val="single" w:sz="6" w:space="0" w:color="auto"/>
              <w:right w:val="single" w:sz="6" w:space="0" w:color="auto"/>
            </w:tcBorders>
          </w:tcPr>
          <w:p w14:paraId="31F685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w:t>
            </w:r>
          </w:p>
        </w:tc>
        <w:tc>
          <w:tcPr>
            <w:tcW w:w="900" w:type="dxa"/>
            <w:tcBorders>
              <w:top w:val="single" w:sz="6" w:space="0" w:color="auto"/>
              <w:left w:val="single" w:sz="6" w:space="0" w:color="auto"/>
              <w:bottom w:val="single" w:sz="6" w:space="0" w:color="auto"/>
              <w:right w:val="single" w:sz="6" w:space="0" w:color="auto"/>
            </w:tcBorders>
          </w:tcPr>
          <w:p w14:paraId="597A9A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w:t>
            </w:r>
          </w:p>
        </w:tc>
        <w:tc>
          <w:tcPr>
            <w:tcW w:w="980" w:type="dxa"/>
            <w:tcBorders>
              <w:top w:val="single" w:sz="6" w:space="0" w:color="auto"/>
              <w:left w:val="single" w:sz="6" w:space="0" w:color="auto"/>
              <w:bottom w:val="single" w:sz="6" w:space="0" w:color="auto"/>
              <w:right w:val="single" w:sz="6" w:space="0" w:color="auto"/>
            </w:tcBorders>
          </w:tcPr>
          <w:p w14:paraId="4F82F5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c>
          <w:tcPr>
            <w:tcW w:w="980" w:type="dxa"/>
            <w:tcBorders>
              <w:top w:val="single" w:sz="6" w:space="0" w:color="auto"/>
              <w:left w:val="single" w:sz="6" w:space="0" w:color="auto"/>
              <w:bottom w:val="single" w:sz="6" w:space="0" w:color="auto"/>
              <w:right w:val="single" w:sz="6" w:space="0" w:color="auto"/>
            </w:tcBorders>
          </w:tcPr>
          <w:p w14:paraId="6E2362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w:t>
            </w:r>
          </w:p>
        </w:tc>
      </w:tr>
      <w:tr w:rsidR="00E371BA" w:rsidRPr="00507A31" w14:paraId="0DE9A4C8" w14:textId="77777777">
        <w:trPr>
          <w:trHeight w:hRule="exact" w:val="380"/>
        </w:trPr>
        <w:tc>
          <w:tcPr>
            <w:tcW w:w="1600" w:type="dxa"/>
            <w:tcBorders>
              <w:top w:val="single" w:sz="6" w:space="0" w:color="auto"/>
              <w:left w:val="single" w:sz="6" w:space="0" w:color="auto"/>
              <w:bottom w:val="single" w:sz="6" w:space="0" w:color="auto"/>
              <w:right w:val="single" w:sz="6" w:space="0" w:color="auto"/>
            </w:tcBorders>
          </w:tcPr>
          <w:p w14:paraId="2C46AD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Канонерские лод</w:t>
            </w:r>
            <w:r w:rsidRPr="00507A31">
              <w:rPr>
                <w:color w:val="000000" w:themeColor="text1"/>
                <w:sz w:val="16"/>
                <w:szCs w:val="16"/>
              </w:rPr>
              <w:softHyphen/>
              <w:t>ки</w:t>
            </w:r>
          </w:p>
        </w:tc>
        <w:tc>
          <w:tcPr>
            <w:tcW w:w="980" w:type="dxa"/>
            <w:tcBorders>
              <w:top w:val="single" w:sz="6" w:space="0" w:color="auto"/>
              <w:left w:val="single" w:sz="6" w:space="0" w:color="auto"/>
              <w:bottom w:val="single" w:sz="6" w:space="0" w:color="auto"/>
              <w:right w:val="single" w:sz="6" w:space="0" w:color="auto"/>
            </w:tcBorders>
          </w:tcPr>
          <w:p w14:paraId="2E7198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5706FD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900" w:type="dxa"/>
            <w:tcBorders>
              <w:top w:val="single" w:sz="6" w:space="0" w:color="auto"/>
              <w:left w:val="single" w:sz="6" w:space="0" w:color="auto"/>
              <w:bottom w:val="single" w:sz="6" w:space="0" w:color="auto"/>
              <w:right w:val="single" w:sz="6" w:space="0" w:color="auto"/>
            </w:tcBorders>
          </w:tcPr>
          <w:p w14:paraId="424542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76208B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5996EC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4A75A4BF"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576357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Тральщики</w:t>
            </w:r>
          </w:p>
        </w:tc>
        <w:tc>
          <w:tcPr>
            <w:tcW w:w="980" w:type="dxa"/>
            <w:tcBorders>
              <w:top w:val="single" w:sz="6" w:space="0" w:color="auto"/>
              <w:left w:val="single" w:sz="6" w:space="0" w:color="auto"/>
              <w:bottom w:val="single" w:sz="6" w:space="0" w:color="auto"/>
              <w:right w:val="single" w:sz="6" w:space="0" w:color="auto"/>
            </w:tcBorders>
          </w:tcPr>
          <w:p w14:paraId="1912A2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7AE9FE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900" w:type="dxa"/>
            <w:tcBorders>
              <w:top w:val="single" w:sz="6" w:space="0" w:color="auto"/>
              <w:left w:val="single" w:sz="6" w:space="0" w:color="auto"/>
              <w:bottom w:val="single" w:sz="6" w:space="0" w:color="auto"/>
              <w:right w:val="single" w:sz="6" w:space="0" w:color="auto"/>
            </w:tcBorders>
          </w:tcPr>
          <w:p w14:paraId="7DC23A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w:t>
            </w:r>
          </w:p>
        </w:tc>
        <w:tc>
          <w:tcPr>
            <w:tcW w:w="980" w:type="dxa"/>
            <w:tcBorders>
              <w:top w:val="single" w:sz="6" w:space="0" w:color="auto"/>
              <w:left w:val="single" w:sz="6" w:space="0" w:color="auto"/>
              <w:bottom w:val="single" w:sz="6" w:space="0" w:color="auto"/>
              <w:right w:val="single" w:sz="6" w:space="0" w:color="auto"/>
            </w:tcBorders>
          </w:tcPr>
          <w:p w14:paraId="1F4B9E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331868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0DC3E77C"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1E3E07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Торпедные катера</w:t>
            </w:r>
          </w:p>
        </w:tc>
        <w:tc>
          <w:tcPr>
            <w:tcW w:w="980" w:type="dxa"/>
            <w:tcBorders>
              <w:top w:val="single" w:sz="6" w:space="0" w:color="auto"/>
              <w:left w:val="single" w:sz="6" w:space="0" w:color="auto"/>
              <w:bottom w:val="single" w:sz="6" w:space="0" w:color="auto"/>
              <w:right w:val="single" w:sz="6" w:space="0" w:color="auto"/>
            </w:tcBorders>
          </w:tcPr>
          <w:p w14:paraId="4CB985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63</w:t>
            </w:r>
          </w:p>
        </w:tc>
        <w:tc>
          <w:tcPr>
            <w:tcW w:w="980" w:type="dxa"/>
            <w:tcBorders>
              <w:top w:val="single" w:sz="6" w:space="0" w:color="auto"/>
              <w:left w:val="single" w:sz="6" w:space="0" w:color="auto"/>
              <w:bottom w:val="single" w:sz="6" w:space="0" w:color="auto"/>
              <w:right w:val="single" w:sz="6" w:space="0" w:color="auto"/>
            </w:tcBorders>
          </w:tcPr>
          <w:p w14:paraId="043C25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99</w:t>
            </w:r>
          </w:p>
        </w:tc>
        <w:tc>
          <w:tcPr>
            <w:tcW w:w="900" w:type="dxa"/>
            <w:tcBorders>
              <w:top w:val="single" w:sz="6" w:space="0" w:color="auto"/>
              <w:left w:val="single" w:sz="6" w:space="0" w:color="auto"/>
              <w:bottom w:val="single" w:sz="6" w:space="0" w:color="auto"/>
              <w:right w:val="single" w:sz="6" w:space="0" w:color="auto"/>
            </w:tcBorders>
          </w:tcPr>
          <w:p w14:paraId="12779E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60</w:t>
            </w:r>
          </w:p>
        </w:tc>
        <w:tc>
          <w:tcPr>
            <w:tcW w:w="980" w:type="dxa"/>
            <w:tcBorders>
              <w:top w:val="single" w:sz="6" w:space="0" w:color="auto"/>
              <w:left w:val="single" w:sz="6" w:space="0" w:color="auto"/>
              <w:bottom w:val="single" w:sz="6" w:space="0" w:color="auto"/>
              <w:right w:val="single" w:sz="6" w:space="0" w:color="auto"/>
            </w:tcBorders>
          </w:tcPr>
          <w:p w14:paraId="12112F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36</w:t>
            </w:r>
          </w:p>
        </w:tc>
        <w:tc>
          <w:tcPr>
            <w:tcW w:w="980" w:type="dxa"/>
            <w:tcBorders>
              <w:top w:val="single" w:sz="6" w:space="0" w:color="auto"/>
              <w:left w:val="single" w:sz="6" w:space="0" w:color="auto"/>
              <w:bottom w:val="single" w:sz="6" w:space="0" w:color="auto"/>
              <w:right w:val="single" w:sz="6" w:space="0" w:color="auto"/>
            </w:tcBorders>
          </w:tcPr>
          <w:p w14:paraId="386174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56</w:t>
            </w:r>
          </w:p>
        </w:tc>
      </w:tr>
      <w:tr w:rsidR="00E371BA" w:rsidRPr="00507A31" w14:paraId="7D902295" w14:textId="77777777">
        <w:trPr>
          <w:trHeight w:hRule="exact" w:val="400"/>
        </w:trPr>
        <w:tc>
          <w:tcPr>
            <w:tcW w:w="1600" w:type="dxa"/>
            <w:tcBorders>
              <w:top w:val="single" w:sz="6" w:space="0" w:color="auto"/>
              <w:left w:val="single" w:sz="6" w:space="0" w:color="auto"/>
              <w:bottom w:val="single" w:sz="6" w:space="0" w:color="auto"/>
              <w:right w:val="single" w:sz="6" w:space="0" w:color="auto"/>
            </w:tcBorders>
          </w:tcPr>
          <w:p w14:paraId="2F942C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Охотники за под</w:t>
            </w:r>
            <w:r w:rsidRPr="00507A31">
              <w:rPr>
                <w:color w:val="000000" w:themeColor="text1"/>
                <w:sz w:val="16"/>
                <w:szCs w:val="16"/>
              </w:rPr>
              <w:softHyphen/>
              <w:t>водными лодками</w:t>
            </w:r>
          </w:p>
        </w:tc>
        <w:tc>
          <w:tcPr>
            <w:tcW w:w="980" w:type="dxa"/>
            <w:tcBorders>
              <w:top w:val="single" w:sz="6" w:space="0" w:color="auto"/>
              <w:left w:val="single" w:sz="6" w:space="0" w:color="auto"/>
              <w:bottom w:val="single" w:sz="6" w:space="0" w:color="auto"/>
              <w:right w:val="single" w:sz="6" w:space="0" w:color="auto"/>
            </w:tcBorders>
          </w:tcPr>
          <w:p w14:paraId="628998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980" w:type="dxa"/>
            <w:tcBorders>
              <w:top w:val="single" w:sz="6" w:space="0" w:color="auto"/>
              <w:left w:val="single" w:sz="6" w:space="0" w:color="auto"/>
              <w:bottom w:val="single" w:sz="6" w:space="0" w:color="auto"/>
              <w:right w:val="single" w:sz="6" w:space="0" w:color="auto"/>
            </w:tcBorders>
          </w:tcPr>
          <w:p w14:paraId="53BA1E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w:t>
            </w:r>
          </w:p>
        </w:tc>
        <w:tc>
          <w:tcPr>
            <w:tcW w:w="900" w:type="dxa"/>
            <w:tcBorders>
              <w:top w:val="single" w:sz="6" w:space="0" w:color="auto"/>
              <w:left w:val="single" w:sz="6" w:space="0" w:color="auto"/>
              <w:bottom w:val="single" w:sz="6" w:space="0" w:color="auto"/>
              <w:right w:val="single" w:sz="6" w:space="0" w:color="auto"/>
            </w:tcBorders>
          </w:tcPr>
          <w:p w14:paraId="263D0B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0EE269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1EECCD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7AAC4A97" w14:textId="77777777">
        <w:trPr>
          <w:trHeight w:hRule="exact" w:val="380"/>
        </w:trPr>
        <w:tc>
          <w:tcPr>
            <w:tcW w:w="1600" w:type="dxa"/>
            <w:tcBorders>
              <w:top w:val="single" w:sz="6" w:space="0" w:color="auto"/>
              <w:left w:val="single" w:sz="6" w:space="0" w:color="auto"/>
              <w:bottom w:val="single" w:sz="6" w:space="0" w:color="auto"/>
              <w:right w:val="single" w:sz="6" w:space="0" w:color="auto"/>
            </w:tcBorders>
          </w:tcPr>
          <w:p w14:paraId="1D8BA3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Речные канонер</w:t>
            </w:r>
            <w:r w:rsidRPr="00507A31">
              <w:rPr>
                <w:color w:val="000000" w:themeColor="text1"/>
                <w:sz w:val="16"/>
                <w:szCs w:val="16"/>
              </w:rPr>
              <w:softHyphen/>
              <w:t>ские лодки</w:t>
            </w:r>
          </w:p>
        </w:tc>
        <w:tc>
          <w:tcPr>
            <w:tcW w:w="980" w:type="dxa"/>
            <w:tcBorders>
              <w:top w:val="single" w:sz="6" w:space="0" w:color="auto"/>
              <w:left w:val="single" w:sz="6" w:space="0" w:color="auto"/>
              <w:bottom w:val="single" w:sz="6" w:space="0" w:color="auto"/>
              <w:right w:val="single" w:sz="6" w:space="0" w:color="auto"/>
            </w:tcBorders>
          </w:tcPr>
          <w:p w14:paraId="110257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21EDD6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900" w:type="dxa"/>
            <w:tcBorders>
              <w:top w:val="single" w:sz="6" w:space="0" w:color="auto"/>
              <w:left w:val="single" w:sz="6" w:space="0" w:color="auto"/>
              <w:bottom w:val="single" w:sz="6" w:space="0" w:color="auto"/>
              <w:right w:val="single" w:sz="6" w:space="0" w:color="auto"/>
            </w:tcBorders>
          </w:tcPr>
          <w:p w14:paraId="3C5117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0DF1A2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09FAEE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79E2F2CC" w14:textId="77777777">
        <w:trPr>
          <w:trHeight w:hRule="exact" w:val="400"/>
        </w:trPr>
        <w:tc>
          <w:tcPr>
            <w:tcW w:w="6420" w:type="dxa"/>
            <w:gridSpan w:val="6"/>
            <w:tcBorders>
              <w:top w:val="single" w:sz="6" w:space="0" w:color="auto"/>
              <w:left w:val="single" w:sz="6" w:space="0" w:color="auto"/>
              <w:bottom w:val="single" w:sz="6" w:space="0" w:color="auto"/>
              <w:right w:val="single" w:sz="6" w:space="0" w:color="auto"/>
            </w:tcBorders>
          </w:tcPr>
          <w:p w14:paraId="3EB67C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Достройка и модернизация</w:t>
            </w:r>
          </w:p>
        </w:tc>
      </w:tr>
      <w:tr w:rsidR="00E371BA" w:rsidRPr="00507A31" w14:paraId="2A335440"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12897B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Линейные корабли</w:t>
            </w:r>
          </w:p>
        </w:tc>
        <w:tc>
          <w:tcPr>
            <w:tcW w:w="980" w:type="dxa"/>
            <w:tcBorders>
              <w:top w:val="single" w:sz="6" w:space="0" w:color="auto"/>
              <w:left w:val="single" w:sz="6" w:space="0" w:color="auto"/>
              <w:bottom w:val="single" w:sz="6" w:space="0" w:color="auto"/>
              <w:right w:val="single" w:sz="6" w:space="0" w:color="auto"/>
            </w:tcBorders>
          </w:tcPr>
          <w:p w14:paraId="3F533C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7737AA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900" w:type="dxa"/>
            <w:tcBorders>
              <w:top w:val="single" w:sz="6" w:space="0" w:color="auto"/>
              <w:left w:val="single" w:sz="6" w:space="0" w:color="auto"/>
              <w:bottom w:val="single" w:sz="6" w:space="0" w:color="auto"/>
              <w:right w:val="single" w:sz="6" w:space="0" w:color="auto"/>
            </w:tcBorders>
          </w:tcPr>
          <w:p w14:paraId="2DA3B6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7CADBB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2FECCA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26EF4B0D" w14:textId="77777777">
        <w:trPr>
          <w:trHeight w:hRule="exact" w:val="240"/>
        </w:trPr>
        <w:tc>
          <w:tcPr>
            <w:tcW w:w="1600" w:type="dxa"/>
            <w:tcBorders>
              <w:top w:val="single" w:sz="6" w:space="0" w:color="auto"/>
              <w:left w:val="single" w:sz="6" w:space="0" w:color="auto"/>
              <w:bottom w:val="single" w:sz="6" w:space="0" w:color="auto"/>
              <w:right w:val="single" w:sz="6" w:space="0" w:color="auto"/>
            </w:tcBorders>
          </w:tcPr>
          <w:p w14:paraId="0E33F2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Крейсера</w:t>
            </w:r>
          </w:p>
        </w:tc>
        <w:tc>
          <w:tcPr>
            <w:tcW w:w="980" w:type="dxa"/>
            <w:tcBorders>
              <w:top w:val="single" w:sz="6" w:space="0" w:color="auto"/>
              <w:left w:val="single" w:sz="6" w:space="0" w:color="auto"/>
              <w:bottom w:val="single" w:sz="6" w:space="0" w:color="auto"/>
              <w:right w:val="single" w:sz="6" w:space="0" w:color="auto"/>
            </w:tcBorders>
          </w:tcPr>
          <w:p w14:paraId="79D86A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7E7401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900" w:type="dxa"/>
            <w:tcBorders>
              <w:top w:val="single" w:sz="6" w:space="0" w:color="auto"/>
              <w:left w:val="single" w:sz="6" w:space="0" w:color="auto"/>
              <w:bottom w:val="single" w:sz="6" w:space="0" w:color="auto"/>
              <w:right w:val="single" w:sz="6" w:space="0" w:color="auto"/>
            </w:tcBorders>
          </w:tcPr>
          <w:p w14:paraId="436724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66F929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7FB6E8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704190E7"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451EFF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Эсминцы</w:t>
            </w:r>
          </w:p>
        </w:tc>
        <w:tc>
          <w:tcPr>
            <w:tcW w:w="980" w:type="dxa"/>
            <w:tcBorders>
              <w:top w:val="single" w:sz="6" w:space="0" w:color="auto"/>
              <w:left w:val="single" w:sz="6" w:space="0" w:color="auto"/>
              <w:bottom w:val="single" w:sz="6" w:space="0" w:color="auto"/>
              <w:right w:val="single" w:sz="6" w:space="0" w:color="auto"/>
            </w:tcBorders>
          </w:tcPr>
          <w:p w14:paraId="514539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67B896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900" w:type="dxa"/>
            <w:tcBorders>
              <w:top w:val="single" w:sz="6" w:space="0" w:color="auto"/>
              <w:left w:val="single" w:sz="6" w:space="0" w:color="auto"/>
              <w:bottom w:val="single" w:sz="6" w:space="0" w:color="auto"/>
              <w:right w:val="single" w:sz="6" w:space="0" w:color="auto"/>
            </w:tcBorders>
          </w:tcPr>
          <w:p w14:paraId="2F6775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2F0EC2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645A1E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r>
      <w:tr w:rsidR="00E371BA" w:rsidRPr="00507A31" w14:paraId="653F7803" w14:textId="77777777">
        <w:trPr>
          <w:trHeight w:hRule="exact" w:val="400"/>
        </w:trPr>
        <w:tc>
          <w:tcPr>
            <w:tcW w:w="1600" w:type="dxa"/>
            <w:tcBorders>
              <w:top w:val="single" w:sz="6" w:space="0" w:color="auto"/>
              <w:left w:val="single" w:sz="6" w:space="0" w:color="auto"/>
              <w:bottom w:val="single" w:sz="6" w:space="0" w:color="auto"/>
              <w:right w:val="single" w:sz="6" w:space="0" w:color="auto"/>
            </w:tcBorders>
          </w:tcPr>
          <w:p w14:paraId="1E60D6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Минный загради</w:t>
            </w:r>
            <w:r w:rsidRPr="00507A31">
              <w:rPr>
                <w:color w:val="000000" w:themeColor="text1"/>
                <w:sz w:val="16"/>
                <w:szCs w:val="16"/>
              </w:rPr>
              <w:softHyphen/>
              <w:t>тель</w:t>
            </w:r>
          </w:p>
        </w:tc>
        <w:tc>
          <w:tcPr>
            <w:tcW w:w="980" w:type="dxa"/>
            <w:tcBorders>
              <w:top w:val="single" w:sz="6" w:space="0" w:color="auto"/>
              <w:left w:val="single" w:sz="6" w:space="0" w:color="auto"/>
              <w:bottom w:val="single" w:sz="6" w:space="0" w:color="auto"/>
              <w:right w:val="single" w:sz="6" w:space="0" w:color="auto"/>
            </w:tcBorders>
          </w:tcPr>
          <w:p w14:paraId="040CB6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76B206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900" w:type="dxa"/>
            <w:tcBorders>
              <w:top w:val="single" w:sz="6" w:space="0" w:color="auto"/>
              <w:left w:val="single" w:sz="6" w:space="0" w:color="auto"/>
              <w:bottom w:val="single" w:sz="6" w:space="0" w:color="auto"/>
              <w:right w:val="single" w:sz="6" w:space="0" w:color="auto"/>
            </w:tcBorders>
          </w:tcPr>
          <w:p w14:paraId="26B49D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7A131F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4AACE0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r w:rsidR="00E371BA" w:rsidRPr="00507A31" w14:paraId="0AE32868" w14:textId="77777777">
        <w:trPr>
          <w:trHeight w:hRule="exact" w:val="440"/>
        </w:trPr>
        <w:tc>
          <w:tcPr>
            <w:tcW w:w="1600" w:type="dxa"/>
            <w:tcBorders>
              <w:top w:val="single" w:sz="6" w:space="0" w:color="auto"/>
              <w:left w:val="single" w:sz="6" w:space="0" w:color="auto"/>
              <w:bottom w:val="single" w:sz="6" w:space="0" w:color="auto"/>
              <w:right w:val="single" w:sz="6" w:space="0" w:color="auto"/>
            </w:tcBorders>
          </w:tcPr>
          <w:p w14:paraId="4EEBF6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Плавбаза подвод</w:t>
            </w:r>
            <w:r w:rsidRPr="00507A31">
              <w:rPr>
                <w:color w:val="000000" w:themeColor="text1"/>
                <w:sz w:val="16"/>
                <w:szCs w:val="16"/>
              </w:rPr>
              <w:softHyphen/>
              <w:t>ных лодок</w:t>
            </w:r>
          </w:p>
        </w:tc>
        <w:tc>
          <w:tcPr>
            <w:tcW w:w="980" w:type="dxa"/>
            <w:tcBorders>
              <w:top w:val="single" w:sz="6" w:space="0" w:color="auto"/>
              <w:left w:val="single" w:sz="6" w:space="0" w:color="auto"/>
              <w:bottom w:val="single" w:sz="6" w:space="0" w:color="auto"/>
              <w:right w:val="single" w:sz="6" w:space="0" w:color="auto"/>
            </w:tcBorders>
          </w:tcPr>
          <w:p w14:paraId="4D6951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5C5DDD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900" w:type="dxa"/>
            <w:tcBorders>
              <w:top w:val="single" w:sz="6" w:space="0" w:color="auto"/>
              <w:left w:val="single" w:sz="6" w:space="0" w:color="auto"/>
              <w:bottom w:val="single" w:sz="6" w:space="0" w:color="auto"/>
              <w:right w:val="single" w:sz="6" w:space="0" w:color="auto"/>
            </w:tcBorders>
          </w:tcPr>
          <w:p w14:paraId="180B84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0CEF08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491A23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w:t>
            </w:r>
          </w:p>
        </w:tc>
      </w:tr>
    </w:tbl>
    <w:p w14:paraId="4791D7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Включая корабли, начатые постройкой по ранее принятой шестилетней программе.</w:t>
      </w:r>
    </w:p>
    <w:p w14:paraId="410717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 С учетом восстановленной L-55.</w:t>
      </w:r>
    </w:p>
    <w:p w14:paraId="482852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 * В том числе "Шквал", фактически вступивший в строй в марте 1933 г. (3898).</w:t>
      </w:r>
    </w:p>
    <w:p w14:paraId="4DF232EC" w14:textId="77777777" w:rsidR="00537E5F" w:rsidRPr="00507A31" w:rsidRDefault="00537E5F" w:rsidP="00507A31">
      <w:pPr>
        <w:autoSpaceDE w:val="0"/>
        <w:autoSpaceDN w:val="0"/>
        <w:adjustRightInd w:val="0"/>
        <w:jc w:val="both"/>
        <w:rPr>
          <w:color w:val="000000" w:themeColor="text1"/>
          <w:sz w:val="16"/>
          <w:szCs w:val="16"/>
        </w:rPr>
      </w:pPr>
    </w:p>
    <w:p w14:paraId="5F985E93" w14:textId="77777777" w:rsidR="00FA2748" w:rsidRPr="00507A31" w:rsidRDefault="00FA2748"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3711B3F" w14:textId="77777777" w:rsidR="00FA2748" w:rsidRPr="00507A31" w:rsidRDefault="00FA2748" w:rsidP="00507A31">
      <w:pPr>
        <w:autoSpaceDE w:val="0"/>
        <w:autoSpaceDN w:val="0"/>
        <w:adjustRightInd w:val="0"/>
        <w:jc w:val="both"/>
        <w:rPr>
          <w:iCs/>
          <w:color w:val="000000" w:themeColor="text1"/>
          <w:sz w:val="16"/>
          <w:szCs w:val="16"/>
        </w:rPr>
      </w:pPr>
    </w:p>
    <w:p w14:paraId="552F24AA" w14:textId="77777777" w:rsidR="00FA2748" w:rsidRPr="00507A31" w:rsidRDefault="00FA2748" w:rsidP="00507A31">
      <w:pPr>
        <w:jc w:val="both"/>
        <w:rPr>
          <w:color w:val="000000" w:themeColor="text1"/>
          <w:sz w:val="16"/>
          <w:szCs w:val="16"/>
        </w:rPr>
      </w:pPr>
      <w:r w:rsidRPr="00507A31">
        <w:rPr>
          <w:color w:val="000000" w:themeColor="text1"/>
          <w:sz w:val="16"/>
          <w:szCs w:val="16"/>
        </w:rPr>
        <w:t>23 декабря 1930 г. вышло по</w:t>
      </w:r>
      <w:r w:rsidRPr="00507A31">
        <w:rPr>
          <w:color w:val="000000" w:themeColor="text1"/>
          <w:sz w:val="16"/>
          <w:szCs w:val="16"/>
        </w:rPr>
        <w:softHyphen/>
        <w:t>становление ПБ: “упразднить РЗ СТО, заменив его специальной комиссией при СНК и ПБ в составе тт. Молотова, Сталина, Во</w:t>
      </w:r>
      <w:r w:rsidRPr="00507A31">
        <w:rPr>
          <w:color w:val="000000" w:themeColor="text1"/>
          <w:sz w:val="16"/>
          <w:szCs w:val="16"/>
        </w:rPr>
        <w:softHyphen/>
        <w:t>рошилова, Куйбышева и Орджоникидзе”. Формальным главой созданной Комиссии обороны (КО) являлся новый Предсовнар</w:t>
      </w:r>
      <w:r w:rsidRPr="00507A31">
        <w:rPr>
          <w:color w:val="000000" w:themeColor="text1"/>
          <w:sz w:val="16"/>
          <w:szCs w:val="16"/>
        </w:rPr>
        <w:softHyphen/>
        <w:t>кома В.М. Молотов, поэтому иногда ее называли “Комиссией Молотова”. На самом деле решающая роль в работе КО принад</w:t>
      </w:r>
      <w:r w:rsidRPr="00507A31">
        <w:rPr>
          <w:color w:val="000000" w:themeColor="text1"/>
          <w:sz w:val="16"/>
          <w:szCs w:val="16"/>
        </w:rPr>
        <w:softHyphen/>
        <w:t>лежала Сталину. Все общие и частные вопросы оборонного строительства сосредотачивались в руках узкой группы лиц, при</w:t>
      </w:r>
      <w:r w:rsidRPr="00507A31">
        <w:rPr>
          <w:color w:val="000000" w:themeColor="text1"/>
          <w:sz w:val="16"/>
          <w:szCs w:val="16"/>
        </w:rPr>
        <w:softHyphen/>
        <w:t>ближенных к Сталину. Соответственно сократилось количество подобных дел, рассматриваемых на ПБ, в других органах высше</w:t>
      </w:r>
      <w:r w:rsidRPr="00507A31">
        <w:rPr>
          <w:color w:val="000000" w:themeColor="text1"/>
          <w:sz w:val="16"/>
          <w:szCs w:val="16"/>
        </w:rPr>
        <w:softHyphen/>
        <w:t>го политического и хозяйственного управления. Так ПБ сосредо</w:t>
      </w:r>
      <w:r w:rsidRPr="00507A31">
        <w:rPr>
          <w:color w:val="000000" w:themeColor="text1"/>
          <w:sz w:val="16"/>
          <w:szCs w:val="16"/>
        </w:rPr>
        <w:softHyphen/>
        <w:t>точило свое внимание на контроле за строительством важней</w:t>
      </w:r>
      <w:r w:rsidRPr="00507A31">
        <w:rPr>
          <w:color w:val="000000" w:themeColor="text1"/>
          <w:sz w:val="16"/>
          <w:szCs w:val="16"/>
        </w:rPr>
        <w:softHyphen/>
        <w:t>ших объектов, намеченных на пятилетку (18393).</w:t>
      </w:r>
    </w:p>
    <w:p w14:paraId="0C9E7370" w14:textId="77777777" w:rsidR="00FA2748" w:rsidRPr="00507A31" w:rsidRDefault="00FA2748" w:rsidP="00507A31">
      <w:pPr>
        <w:jc w:val="both"/>
        <w:rPr>
          <w:color w:val="000000" w:themeColor="text1"/>
          <w:sz w:val="16"/>
          <w:szCs w:val="16"/>
        </w:rPr>
      </w:pPr>
    </w:p>
    <w:p w14:paraId="6086933C" w14:textId="77777777" w:rsidR="00E61CC0" w:rsidRPr="00507A31" w:rsidRDefault="00E61CC0" w:rsidP="00507A31">
      <w:pPr>
        <w:jc w:val="both"/>
        <w:rPr>
          <w:color w:val="0070C0"/>
          <w:sz w:val="16"/>
          <w:szCs w:val="16"/>
        </w:rPr>
      </w:pPr>
      <w:r w:rsidRPr="00507A31">
        <w:rPr>
          <w:color w:val="0070C0"/>
          <w:sz w:val="16"/>
          <w:szCs w:val="16"/>
        </w:rPr>
        <w:t>23 декабря 1930 г. Политбюро постановило: "Упразднить РЗ СТО, заменив РЗ СТО специальной комиссией при СНК СССР и Политбюро ЦК в составе тт. Молотова, Сталина, Ворошилова, Куйбышева и Орджоникидзе". Вопрос об отчете РЗ СГО был снят, предстояла передача дел органу, который стал именоваться Комиссией обороны. Состав Комиссии обороны был ограничен тем же крутом лиц, что и ее непосредственной предшественницы -"комиссии т. Ворошилова" (за исключением Я. Э. Рудзутака, который осенью являлся фактическим руководителем РЗ), но председательство перешло к новому главе советского правительства. Одновременно Молотов возглавил Совет Труда и Обороны, сохранивший прежнюю ведомственную композицию, но усиленный вхождением в его состав Генерального секретаря ЦК ВКП(б) (Протокол № 21 заседания Политбюро ЦК ВКП(б) от 25.12.1930 // Там же. Оп. 3- Д 808. Л. 7-8,9).</w:t>
      </w:r>
    </w:p>
    <w:p w14:paraId="25CB3C77" w14:textId="77777777" w:rsidR="00E61CC0" w:rsidRPr="00507A31" w:rsidRDefault="00E61CC0" w:rsidP="00507A31">
      <w:pPr>
        <w:jc w:val="both"/>
        <w:rPr>
          <w:color w:val="0070C0"/>
          <w:sz w:val="16"/>
          <w:szCs w:val="16"/>
        </w:rPr>
      </w:pPr>
      <w:r w:rsidRPr="00507A31">
        <w:rPr>
          <w:color w:val="0070C0"/>
          <w:sz w:val="16"/>
          <w:szCs w:val="16"/>
        </w:rPr>
        <w:t>В составе КО сохранялись четыре должностные функции, представленные в РЗ СТО (председатель правительства, руководители ВСНХ, НКВМ и Госплана), в него не были включены главы четырех ведомств - путей сообщения, финансов, торговли и ОГПУ. Особенно показательным, как отмечает Д. Стоун, явилось исключение наркома финансов из состава "оборонного кабинета Советского Союза"</w:t>
      </w:r>
    </w:p>
    <w:p w14:paraId="00DB68A4" w14:textId="77777777" w:rsidR="00E61CC0" w:rsidRPr="00507A31" w:rsidRDefault="00E61CC0" w:rsidP="00507A31">
      <w:pPr>
        <w:jc w:val="both"/>
        <w:rPr>
          <w:color w:val="0070C0"/>
          <w:sz w:val="16"/>
          <w:szCs w:val="16"/>
        </w:rPr>
      </w:pPr>
      <w:r w:rsidRPr="00507A31">
        <w:rPr>
          <w:color w:val="0070C0"/>
          <w:sz w:val="16"/>
          <w:szCs w:val="16"/>
        </w:rPr>
        <w:t>В начале 1931 секретарем комиссии был назначен бывший командующий Приволжским военным округом Г. Д. Базилевич (Н. В. Куйбышев был перемещен на должность начальника ВМИ Наркомата РКИ) (22725).</w:t>
      </w:r>
    </w:p>
    <w:p w14:paraId="7C4A1306" w14:textId="77777777" w:rsidR="00E61CC0" w:rsidRPr="00507A31" w:rsidRDefault="00E61CC0" w:rsidP="00507A31">
      <w:pPr>
        <w:jc w:val="both"/>
        <w:rPr>
          <w:color w:val="0070C0"/>
          <w:sz w:val="16"/>
          <w:szCs w:val="16"/>
        </w:rPr>
      </w:pPr>
    </w:p>
    <w:p w14:paraId="35BF55D2" w14:textId="77777777" w:rsidR="00FA2748" w:rsidRPr="00507A31" w:rsidRDefault="00FA2748"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084C33BB" w14:textId="77777777" w:rsidR="00FA2748" w:rsidRPr="00507A31" w:rsidRDefault="00FA2748" w:rsidP="00507A31">
      <w:pPr>
        <w:autoSpaceDE w:val="0"/>
        <w:autoSpaceDN w:val="0"/>
        <w:adjustRightInd w:val="0"/>
        <w:jc w:val="both"/>
        <w:rPr>
          <w:iCs/>
          <w:color w:val="000000" w:themeColor="text1"/>
          <w:sz w:val="16"/>
          <w:szCs w:val="16"/>
        </w:rPr>
      </w:pPr>
    </w:p>
    <w:p w14:paraId="6E69499F" w14:textId="77777777" w:rsidR="00FA2748" w:rsidRPr="00507A31" w:rsidRDefault="00FA2748" w:rsidP="00507A31">
      <w:pPr>
        <w:jc w:val="both"/>
        <w:rPr>
          <w:bCs/>
          <w:color w:val="000000" w:themeColor="text1"/>
          <w:sz w:val="16"/>
          <w:szCs w:val="16"/>
        </w:rPr>
      </w:pPr>
      <w:r w:rsidRPr="00507A31">
        <w:rPr>
          <w:color w:val="000000" w:themeColor="text1"/>
          <w:sz w:val="16"/>
          <w:szCs w:val="16"/>
        </w:rPr>
        <w:t>23 декабря 1930 г.</w:t>
      </w:r>
    </w:p>
    <w:p w14:paraId="583A5DE8" w14:textId="77777777" w:rsidR="00FA2748" w:rsidRPr="00507A31" w:rsidRDefault="00FA2748" w:rsidP="00507A31">
      <w:pPr>
        <w:jc w:val="both"/>
        <w:rPr>
          <w:bCs/>
          <w:color w:val="000000" w:themeColor="text1"/>
          <w:sz w:val="16"/>
          <w:szCs w:val="16"/>
        </w:rPr>
      </w:pPr>
      <w:r w:rsidRPr="00507A31">
        <w:rPr>
          <w:color w:val="000000" w:themeColor="text1"/>
          <w:sz w:val="16"/>
          <w:szCs w:val="16"/>
        </w:rPr>
        <w:t>Письмо полпреда СССР во Франции В. С. Довгалевского наркому иностранных дел СССР М. М. Литвинову. 23 декабря 1930 г.</w:t>
      </w:r>
    </w:p>
    <w:p w14:paraId="523184F1"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50C5EE76"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5A07B2"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Архив: </w:t>
      </w:r>
    </w:p>
    <w:p w14:paraId="1CE627E9" w14:textId="77777777" w:rsidR="00FA2748" w:rsidRPr="00507A31" w:rsidRDefault="00FA2748" w:rsidP="00507A31">
      <w:pPr>
        <w:jc w:val="both"/>
        <w:rPr>
          <w:color w:val="000000" w:themeColor="text1"/>
          <w:sz w:val="16"/>
          <w:szCs w:val="16"/>
        </w:rPr>
      </w:pPr>
      <w:r w:rsidRPr="00507A31">
        <w:rPr>
          <w:color w:val="000000" w:themeColor="text1"/>
          <w:sz w:val="16"/>
          <w:szCs w:val="16"/>
        </w:rPr>
        <w:t>АВП РФ. Ф.010. On. 1.П.5.Д.83.Л. 117</w:t>
      </w:r>
    </w:p>
    <w:p w14:paraId="4495CCDE"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23 декабря 1930 г.</w:t>
      </w:r>
    </w:p>
    <w:p w14:paraId="41E13578"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77CD07BE"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Париж, 23-го декабря 1930 года.</w:t>
      </w:r>
    </w:p>
    <w:p w14:paraId="0FAF0B59"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 595/с</w:t>
      </w:r>
    </w:p>
    <w:p w14:paraId="49530A9B"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НАРКОМИНДЕЛ</w:t>
      </w:r>
    </w:p>
    <w:p w14:paraId="11CABBC5"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Тов. М. М. ЛИТВИНОВУ</w:t>
      </w:r>
    </w:p>
    <w:p w14:paraId="299237C7"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Москва</w:t>
      </w:r>
    </w:p>
    <w:p w14:paraId="6972A482"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6E1DF98C"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Сообщаю о получении текста обращения к Вам Верховного Суда и устного протеста, который я заявлю Бриану завтра, 24-го сего декабря. Тексты эти переведены тов. Дашкевичем на французский язык, и копии французского перевода я прилагаю при настоящем. Почта от нас уходит завтра же, и я поэтому не уверен, что я успею сделать запись по почте. Впрочем, я очень подробно изложу разговор по телеграфу.</w:t>
      </w:r>
    </w:p>
    <w:p w14:paraId="0EFB6666"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Ввиду частого уничтожения наших секретных архивов, нам стоило много труда восстановить материалы, необходимые мне для подтверждения примерами отдельных положений, выдвинутых в нашем протесте. Все же в настоящее время все материалы у меня уже налицо, и я по ним заготовил для себя памятку, которую также прилагаю при настоящем. Хотя она представляет собою очень сжатый конспект, все же я думаю, что она для архива будет иметь свою цену.</w:t>
      </w:r>
    </w:p>
    <w:p w14:paraId="5D941851"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Что касается Жуанвиля, то, к сожалению, в магазине имеется в продаже только список последнего года, в каковом Жуанвиль не значится. Списки прошлых лет можно, по особому заказу, получить не раньше чем через неделю из склада, находящегося вне Парижа. Поскольку Вы мне сообщаете, что по полученным Вами сведениям Жуанвиль в списках значится, я его имени из протеста исключать не буду.</w:t>
      </w:r>
    </w:p>
    <w:p w14:paraId="1575BD49"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С товарищеским приветом.</w:t>
      </w:r>
    </w:p>
    <w:p w14:paraId="60EB5589"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(В. Довгалевский)</w:t>
      </w:r>
    </w:p>
    <w:p w14:paraId="3F3D5591"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АВП РФ. Ф.010. On. 1.П.5.Д.83.Л. 117. Машинописная копия того времени. Вверху слева штамп Секретариата замнаркома НКИД СССР с вписанными от руки номером и датой получения документа «28.XII.1930 г», справа написано от руки «т. Крестинскому». На левом поле подпись-росчерк Крестинского «НКр». Внизу машинописью делопроизводственная помета о количестве распечатанных экземпляров (3 экз.) и адрес рассылки «1 — т. Литвинову, 1 — т. Крестинскому, 1 — в дело» (18806).</w:t>
      </w:r>
    </w:p>
    <w:p w14:paraId="2F086BA0" w14:textId="77777777" w:rsidR="00FA2748" w:rsidRPr="00507A31" w:rsidRDefault="00FA2748" w:rsidP="00507A31">
      <w:pPr>
        <w:jc w:val="both"/>
        <w:rPr>
          <w:color w:val="000000" w:themeColor="text1"/>
          <w:sz w:val="16"/>
          <w:szCs w:val="16"/>
        </w:rPr>
      </w:pPr>
    </w:p>
    <w:p w14:paraId="339DAD94" w14:textId="77777777" w:rsidR="00E61CC0" w:rsidRPr="00507A31" w:rsidRDefault="00E61CC0" w:rsidP="00507A31">
      <w:pPr>
        <w:jc w:val="both"/>
        <w:rPr>
          <w:color w:val="0070C0"/>
          <w:sz w:val="16"/>
          <w:szCs w:val="16"/>
        </w:rPr>
      </w:pPr>
      <w:r w:rsidRPr="00507A31">
        <w:rPr>
          <w:color w:val="0070C0"/>
          <w:sz w:val="16"/>
          <w:szCs w:val="16"/>
        </w:rPr>
        <w:t>23 декабря 1930 опросом членов ПБ</w:t>
      </w:r>
    </w:p>
    <w:p w14:paraId="4318E028" w14:textId="77777777" w:rsidR="00E61CC0" w:rsidRPr="00507A31" w:rsidRDefault="00E61CC0" w:rsidP="00507A31">
      <w:pPr>
        <w:jc w:val="both"/>
        <w:rPr>
          <w:color w:val="0070C0"/>
          <w:sz w:val="16"/>
          <w:szCs w:val="16"/>
        </w:rPr>
      </w:pPr>
      <w:r w:rsidRPr="00507A31">
        <w:rPr>
          <w:color w:val="0070C0"/>
          <w:sz w:val="16"/>
          <w:szCs w:val="16"/>
        </w:rPr>
        <w:t>2.- О Турции.</w:t>
      </w:r>
    </w:p>
    <w:p w14:paraId="2C5C2CC2" w14:textId="77777777" w:rsidR="00E61CC0" w:rsidRPr="00507A31" w:rsidRDefault="00E61CC0" w:rsidP="00507A31">
      <w:pPr>
        <w:jc w:val="both"/>
        <w:rPr>
          <w:color w:val="0070C0"/>
          <w:sz w:val="16"/>
          <w:szCs w:val="16"/>
        </w:rPr>
      </w:pPr>
      <w:r w:rsidRPr="00507A31">
        <w:rPr>
          <w:color w:val="0070C0"/>
          <w:sz w:val="16"/>
          <w:szCs w:val="16"/>
        </w:rPr>
        <w:t>(т. Карахан).</w:t>
      </w:r>
    </w:p>
    <w:p w14:paraId="672DDA3A" w14:textId="77777777" w:rsidR="00E61CC0" w:rsidRPr="00507A31" w:rsidRDefault="00E61CC0" w:rsidP="00507A31">
      <w:pPr>
        <w:jc w:val="both"/>
        <w:rPr>
          <w:color w:val="0070C0"/>
          <w:sz w:val="16"/>
          <w:szCs w:val="16"/>
        </w:rPr>
      </w:pPr>
      <w:r w:rsidRPr="00507A31">
        <w:rPr>
          <w:color w:val="0070C0"/>
          <w:sz w:val="16"/>
          <w:szCs w:val="16"/>
        </w:rPr>
        <w:t>Сверх уже обещанного туркам трактора с сельхозмашинами, подарить туркам военный трактор, принимавший участие в конкурсе и ухе находящийся в Ангобе.</w:t>
      </w:r>
    </w:p>
    <w:p w14:paraId="6519D569" w14:textId="77777777" w:rsidR="00E61CC0" w:rsidRPr="00507A31" w:rsidRDefault="00E61CC0" w:rsidP="00507A31">
      <w:pPr>
        <w:jc w:val="both"/>
        <w:rPr>
          <w:color w:val="0070C0"/>
          <w:sz w:val="16"/>
          <w:szCs w:val="16"/>
        </w:rPr>
      </w:pPr>
      <w:r w:rsidRPr="00507A31">
        <w:rPr>
          <w:color w:val="0070C0"/>
          <w:sz w:val="16"/>
          <w:szCs w:val="16"/>
        </w:rPr>
        <w:t>Выписки посланы: т.т. Ворошилову, Карахану</w:t>
      </w:r>
    </w:p>
    <w:p w14:paraId="2B1CFE07" w14:textId="77777777" w:rsidR="00E61CC0" w:rsidRPr="00507A31" w:rsidRDefault="00E61CC0" w:rsidP="00507A31">
      <w:pPr>
        <w:jc w:val="both"/>
        <w:rPr>
          <w:color w:val="0070C0"/>
          <w:sz w:val="16"/>
          <w:szCs w:val="16"/>
        </w:rPr>
      </w:pPr>
      <w:r w:rsidRPr="00507A31">
        <w:rPr>
          <w:color w:val="0070C0"/>
          <w:sz w:val="16"/>
          <w:szCs w:val="16"/>
        </w:rPr>
        <w:lastRenderedPageBreak/>
        <w:t>10/39.- О_турецких заказах.</w:t>
      </w:r>
    </w:p>
    <w:p w14:paraId="124A2711" w14:textId="77777777" w:rsidR="00E61CC0" w:rsidRPr="00507A31" w:rsidRDefault="00E61CC0" w:rsidP="00507A31">
      <w:pPr>
        <w:jc w:val="both"/>
        <w:rPr>
          <w:color w:val="0070C0"/>
          <w:sz w:val="16"/>
          <w:szCs w:val="16"/>
        </w:rPr>
      </w:pPr>
      <w:r w:rsidRPr="00507A31">
        <w:rPr>
          <w:color w:val="0070C0"/>
          <w:sz w:val="16"/>
          <w:szCs w:val="16"/>
        </w:rPr>
        <w:t>(т.т.Ворошилов.Карахан).</w:t>
      </w:r>
    </w:p>
    <w:p w14:paraId="41C96675" w14:textId="77777777" w:rsidR="00E61CC0" w:rsidRPr="00507A31" w:rsidRDefault="00E61CC0" w:rsidP="00507A31">
      <w:pPr>
        <w:jc w:val="both"/>
        <w:rPr>
          <w:color w:val="0070C0"/>
          <w:sz w:val="16"/>
          <w:szCs w:val="16"/>
        </w:rPr>
      </w:pPr>
      <w:r w:rsidRPr="00507A31">
        <w:rPr>
          <w:color w:val="0070C0"/>
          <w:sz w:val="16"/>
          <w:szCs w:val="16"/>
        </w:rPr>
        <w:t>Считать возможным ведение переговоров с турками по во</w:t>
      </w:r>
      <w:r w:rsidRPr="00507A31">
        <w:rPr>
          <w:color w:val="0070C0"/>
          <w:sz w:val="16"/>
          <w:szCs w:val="16"/>
        </w:rPr>
        <w:softHyphen/>
        <w:t>просу о продаже им вооружения, при условии,что:</w:t>
      </w:r>
    </w:p>
    <w:p w14:paraId="666C6194" w14:textId="77777777" w:rsidR="00E61CC0" w:rsidRPr="00507A31" w:rsidRDefault="00E61CC0" w:rsidP="00507A31">
      <w:pPr>
        <w:jc w:val="both"/>
        <w:rPr>
          <w:color w:val="0070C0"/>
          <w:sz w:val="16"/>
          <w:szCs w:val="16"/>
        </w:rPr>
      </w:pPr>
      <w:r w:rsidRPr="00507A31">
        <w:rPr>
          <w:color w:val="0070C0"/>
          <w:sz w:val="16"/>
          <w:szCs w:val="16"/>
        </w:rPr>
        <w:t>а) продаваемое должно итти вне нетто-баланса нашей тор</w:t>
      </w:r>
      <w:r w:rsidRPr="00507A31">
        <w:rPr>
          <w:color w:val="0070C0"/>
          <w:sz w:val="16"/>
          <w:szCs w:val="16"/>
        </w:rPr>
        <w:softHyphen/>
        <w:t>говли с Турцией;</w:t>
      </w:r>
    </w:p>
    <w:p w14:paraId="66E86B1E" w14:textId="77777777" w:rsidR="00E61CC0" w:rsidRPr="00507A31" w:rsidRDefault="00E61CC0" w:rsidP="00507A31">
      <w:pPr>
        <w:jc w:val="both"/>
        <w:rPr>
          <w:color w:val="0070C0"/>
          <w:sz w:val="16"/>
          <w:szCs w:val="16"/>
        </w:rPr>
      </w:pPr>
      <w:r w:rsidRPr="00507A31">
        <w:rPr>
          <w:color w:val="0070C0"/>
          <w:sz w:val="16"/>
          <w:szCs w:val="16"/>
        </w:rPr>
        <w:t>б) в случае, если продажа производится в рассрочку, воо</w:t>
      </w:r>
      <w:r w:rsidRPr="00507A31">
        <w:rPr>
          <w:color w:val="0070C0"/>
          <w:sz w:val="16"/>
          <w:szCs w:val="16"/>
        </w:rPr>
        <w:softHyphen/>
        <w:t>ружение продается по ценам не ниже цен, существующих в Ев</w:t>
      </w:r>
      <w:r w:rsidRPr="00507A31">
        <w:rPr>
          <w:color w:val="0070C0"/>
          <w:sz w:val="16"/>
          <w:szCs w:val="16"/>
        </w:rPr>
        <w:softHyphen/>
        <w:t>ропе; если же продажа производится за наличные, вооружение продается по ценам ниже европейских;</w:t>
      </w:r>
    </w:p>
    <w:p w14:paraId="7D623D81" w14:textId="77777777" w:rsidR="00E61CC0" w:rsidRPr="00507A31" w:rsidRDefault="00E61CC0" w:rsidP="00507A31">
      <w:pPr>
        <w:jc w:val="both"/>
        <w:rPr>
          <w:color w:val="0070C0"/>
          <w:sz w:val="16"/>
          <w:szCs w:val="16"/>
        </w:rPr>
      </w:pPr>
      <w:r w:rsidRPr="00507A31">
        <w:rPr>
          <w:color w:val="0070C0"/>
          <w:sz w:val="16"/>
          <w:szCs w:val="16"/>
        </w:rPr>
        <w:t>в) вооружение последних образцов не продавать.</w:t>
      </w:r>
    </w:p>
    <w:p w14:paraId="3CDE7560" w14:textId="77777777" w:rsidR="00E61CC0" w:rsidRPr="00507A31" w:rsidRDefault="00E61CC0" w:rsidP="00507A31">
      <w:pPr>
        <w:jc w:val="both"/>
        <w:rPr>
          <w:color w:val="0070C0"/>
          <w:sz w:val="16"/>
          <w:szCs w:val="16"/>
        </w:rPr>
      </w:pPr>
      <w:r w:rsidRPr="00507A31">
        <w:rPr>
          <w:color w:val="0070C0"/>
          <w:sz w:val="16"/>
          <w:szCs w:val="16"/>
        </w:rPr>
        <w:t>Выписка послана: т. Ворошилову.</w:t>
      </w:r>
    </w:p>
    <w:p w14:paraId="3D49B2ED" w14:textId="77777777" w:rsidR="00E61CC0" w:rsidRPr="00507A31" w:rsidRDefault="00E61CC0" w:rsidP="00507A31">
      <w:pPr>
        <w:jc w:val="both"/>
        <w:rPr>
          <w:color w:val="0070C0"/>
          <w:sz w:val="16"/>
          <w:szCs w:val="16"/>
        </w:rPr>
      </w:pPr>
      <w:r w:rsidRPr="00507A31">
        <w:rPr>
          <w:color w:val="0070C0"/>
          <w:sz w:val="16"/>
          <w:szCs w:val="16"/>
        </w:rPr>
        <w:t>11/40.- О подводных лодках.</w:t>
      </w:r>
    </w:p>
    <w:p w14:paraId="4F61F9C6" w14:textId="77777777" w:rsidR="00E61CC0" w:rsidRPr="00507A31" w:rsidRDefault="00E61CC0" w:rsidP="00507A31">
      <w:pPr>
        <w:jc w:val="both"/>
        <w:rPr>
          <w:color w:val="0070C0"/>
          <w:sz w:val="16"/>
          <w:szCs w:val="16"/>
        </w:rPr>
      </w:pPr>
      <w:r w:rsidRPr="00507A31">
        <w:rPr>
          <w:color w:val="0070C0"/>
          <w:sz w:val="16"/>
          <w:szCs w:val="16"/>
        </w:rPr>
        <w:t>(т. Ворошилов).</w:t>
      </w:r>
    </w:p>
    <w:p w14:paraId="7CB80C4C" w14:textId="77777777" w:rsidR="00E61CC0" w:rsidRPr="00507A31" w:rsidRDefault="00E61CC0" w:rsidP="00507A31">
      <w:pPr>
        <w:jc w:val="both"/>
        <w:rPr>
          <w:color w:val="0070C0"/>
          <w:sz w:val="16"/>
          <w:szCs w:val="16"/>
        </w:rPr>
      </w:pPr>
      <w:r w:rsidRPr="00507A31">
        <w:rPr>
          <w:color w:val="0070C0"/>
          <w:sz w:val="16"/>
          <w:szCs w:val="16"/>
        </w:rPr>
        <w:t>Разрешить Реввоенсовету заложить 3 подводных лодки, доложенной т. Ворошиловым конструкции.</w:t>
      </w:r>
    </w:p>
    <w:p w14:paraId="3BBCCAFA" w14:textId="77777777" w:rsidR="00E61CC0" w:rsidRPr="00507A31" w:rsidRDefault="00E61CC0" w:rsidP="00507A31">
      <w:pPr>
        <w:jc w:val="both"/>
        <w:rPr>
          <w:color w:val="0070C0"/>
          <w:sz w:val="16"/>
          <w:szCs w:val="16"/>
        </w:rPr>
      </w:pPr>
      <w:r w:rsidRPr="00507A31">
        <w:rPr>
          <w:color w:val="0070C0"/>
          <w:sz w:val="16"/>
          <w:szCs w:val="16"/>
        </w:rPr>
        <w:t>Выписка послана: т. Ворошилову.</w:t>
      </w:r>
    </w:p>
    <w:p w14:paraId="54C3ACF7" w14:textId="77777777" w:rsidR="00E61CC0" w:rsidRPr="00507A31" w:rsidRDefault="00E61CC0" w:rsidP="00507A31">
      <w:pPr>
        <w:jc w:val="both"/>
        <w:rPr>
          <w:color w:val="0070C0"/>
          <w:sz w:val="16"/>
          <w:szCs w:val="16"/>
        </w:rPr>
      </w:pPr>
      <w:r w:rsidRPr="00507A31">
        <w:rPr>
          <w:color w:val="0070C0"/>
          <w:sz w:val="16"/>
          <w:szCs w:val="16"/>
        </w:rPr>
        <w:t>25 декабря 1930 состоялось заседание ПБ (Протокол № 21) (23120).</w:t>
      </w:r>
    </w:p>
    <w:p w14:paraId="71CF58E4" w14:textId="77777777" w:rsidR="00E61CC0" w:rsidRPr="00507A31" w:rsidRDefault="00E61CC0" w:rsidP="00507A31">
      <w:pPr>
        <w:jc w:val="both"/>
        <w:rPr>
          <w:color w:val="0070C0"/>
          <w:sz w:val="16"/>
          <w:szCs w:val="16"/>
        </w:rPr>
      </w:pPr>
    </w:p>
    <w:p w14:paraId="7115ABB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6768ABF2" w14:textId="77777777" w:rsidR="00537E5F" w:rsidRPr="00507A31" w:rsidRDefault="00537E5F" w:rsidP="00507A31">
      <w:pPr>
        <w:autoSpaceDE w:val="0"/>
        <w:autoSpaceDN w:val="0"/>
        <w:adjustRightInd w:val="0"/>
        <w:jc w:val="both"/>
        <w:rPr>
          <w:iCs/>
          <w:color w:val="000000" w:themeColor="text1"/>
          <w:sz w:val="16"/>
          <w:szCs w:val="16"/>
        </w:rPr>
      </w:pPr>
    </w:p>
    <w:p w14:paraId="35994C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декабря 1930 Сведения о СПК и конструкции его самолета СК-4 (см. Приложение 1) (газ. "Красная звезда") (10676).</w:t>
      </w:r>
    </w:p>
    <w:p w14:paraId="55182EA0" w14:textId="77777777" w:rsidR="00537E5F" w:rsidRPr="00507A31" w:rsidRDefault="00537E5F" w:rsidP="00507A31">
      <w:pPr>
        <w:autoSpaceDE w:val="0"/>
        <w:autoSpaceDN w:val="0"/>
        <w:adjustRightInd w:val="0"/>
        <w:jc w:val="both"/>
        <w:rPr>
          <w:color w:val="000000" w:themeColor="text1"/>
          <w:sz w:val="16"/>
          <w:szCs w:val="16"/>
        </w:rPr>
      </w:pPr>
    </w:p>
    <w:p w14:paraId="1BC19A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декабря 1930 г. В газете «Советская Сибирь» отмечалось: «Постановление ЦК ВКП(б) от 10 декабря 1930 г. признает безусловно необходимым скорейшее начало постройки в Западной Сибири крупного завода горного оборудования... Форсирование постройки завода вызывается принятыми пятилеткой темпами развития каменноугольной промышленности края, осуществление которых возможно исключительно на базе наиболее современной организации угледобычи... Мощность первой очереди завода рассчитана на выпуск ежегодно около 226 тыс. тонн продукции общей стоимостью около 160 млн рублей...». Будущий завод № 153 (11631).</w:t>
      </w:r>
    </w:p>
    <w:p w14:paraId="6D4EFDF3" w14:textId="77777777" w:rsidR="00537E5F" w:rsidRPr="00507A31" w:rsidRDefault="00537E5F" w:rsidP="00507A31">
      <w:pPr>
        <w:autoSpaceDE w:val="0"/>
        <w:autoSpaceDN w:val="0"/>
        <w:adjustRightInd w:val="0"/>
        <w:jc w:val="both"/>
        <w:rPr>
          <w:color w:val="000000" w:themeColor="text1"/>
          <w:sz w:val="16"/>
          <w:szCs w:val="16"/>
        </w:rPr>
      </w:pPr>
    </w:p>
    <w:p w14:paraId="0A713AC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34E7D21C" w14:textId="77777777" w:rsidR="00537E5F" w:rsidRPr="00507A31" w:rsidRDefault="00537E5F" w:rsidP="00507A31">
      <w:pPr>
        <w:autoSpaceDE w:val="0"/>
        <w:autoSpaceDN w:val="0"/>
        <w:adjustRightInd w:val="0"/>
        <w:jc w:val="both"/>
        <w:rPr>
          <w:iCs/>
          <w:color w:val="000000" w:themeColor="text1"/>
          <w:sz w:val="16"/>
          <w:szCs w:val="16"/>
        </w:rPr>
      </w:pPr>
    </w:p>
    <w:p w14:paraId="3C744767" w14:textId="77777777" w:rsidR="00B85E59" w:rsidRPr="00507A31" w:rsidRDefault="00B85E59" w:rsidP="00507A31">
      <w:pPr>
        <w:jc w:val="both"/>
        <w:rPr>
          <w:color w:val="000000" w:themeColor="text1"/>
          <w:sz w:val="16"/>
          <w:szCs w:val="16"/>
          <w:u w:color="002060"/>
        </w:rPr>
      </w:pPr>
      <w:r w:rsidRPr="00507A31">
        <w:rPr>
          <w:color w:val="000000" w:themeColor="text1"/>
          <w:sz w:val="16"/>
          <w:szCs w:val="16"/>
          <w:u w:color="002060"/>
        </w:rPr>
        <w:t>24 декабря</w:t>
      </w:r>
      <w:r w:rsidRPr="00507A31">
        <w:rPr>
          <w:color w:val="000000" w:themeColor="text1"/>
          <w:sz w:val="16"/>
          <w:szCs w:val="16"/>
        </w:rPr>
        <w:t xml:space="preserve"> 1930 г</w:t>
      </w:r>
      <w:r w:rsidRPr="00507A31">
        <w:rPr>
          <w:color w:val="000000" w:themeColor="text1"/>
          <w:sz w:val="16"/>
          <w:szCs w:val="16"/>
          <w:u w:color="002060"/>
        </w:rPr>
        <w:t>. Постановление СНК СССР № 126 об упразднении РЗ СТО СССР и образовании специальной комиссии при СНК СССР в составе В. М. Молотова и др. (ГА РФ. Ф. Р?5446. Оп. 1в. Д. 458. Л. 218) (12415).</w:t>
      </w:r>
    </w:p>
    <w:p w14:paraId="53E3FBFB" w14:textId="77777777" w:rsidR="00B85E59" w:rsidRPr="00507A31" w:rsidRDefault="00B85E59" w:rsidP="00507A31">
      <w:pPr>
        <w:jc w:val="both"/>
        <w:rPr>
          <w:color w:val="000000" w:themeColor="text1"/>
          <w:sz w:val="16"/>
          <w:szCs w:val="16"/>
          <w:u w:color="002060"/>
        </w:rPr>
      </w:pPr>
    </w:p>
    <w:p w14:paraId="6C46A3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декабря 1930 СНК принял постановление об упразднении РЗ СТО, которое возглавлял А.И.Р. с замом Я.Рудзутаком. Вместо РЗ сформировали Комиссию обороны в составе И.В.С., В.М.М., К.Е.В., Г.К.О. и В.В.К. (1566,78).</w:t>
      </w:r>
    </w:p>
    <w:p w14:paraId="6CFD2A1E" w14:textId="77777777" w:rsidR="00537E5F" w:rsidRPr="00507A31" w:rsidRDefault="00537E5F" w:rsidP="00507A31">
      <w:pPr>
        <w:autoSpaceDE w:val="0"/>
        <w:autoSpaceDN w:val="0"/>
        <w:adjustRightInd w:val="0"/>
        <w:jc w:val="both"/>
        <w:rPr>
          <w:color w:val="000000" w:themeColor="text1"/>
          <w:sz w:val="16"/>
          <w:szCs w:val="16"/>
        </w:rPr>
      </w:pPr>
    </w:p>
    <w:p w14:paraId="4745AF45" w14:textId="77777777" w:rsidR="0077708B" w:rsidRPr="00507A31" w:rsidRDefault="0077708B" w:rsidP="00507A31">
      <w:pPr>
        <w:pStyle w:val="ae"/>
        <w:spacing w:before="0" w:after="0"/>
        <w:jc w:val="both"/>
        <w:rPr>
          <w:color w:val="000000" w:themeColor="text1"/>
          <w:sz w:val="16"/>
          <w:szCs w:val="16"/>
        </w:rPr>
      </w:pPr>
      <w:r w:rsidRPr="00507A31">
        <w:rPr>
          <w:color w:val="000000" w:themeColor="text1"/>
          <w:sz w:val="16"/>
          <w:szCs w:val="16"/>
        </w:rPr>
        <w:t>24 декабря 1930 г. в соответствии с постановлением СНК СССР вместо упразднённого Распорядительного заседания СТО при СНК СССР была создана Комиссия обороны при СНК СССР. В её состав вошли И.В. Сталин, В.М. Молотов, К.Е. Ворошилов, Г.К. Орджоникидзе и В.В. Куйбышев. Решением Политбюро ЦК ВКП(б) от 27 апреля 1937 г. Комиссия обороны была упразднена, вместо неё создан Комитет обороны при СНК СССР в составе семи членов и четырёх кандидатов в члены Комитета обороны, его председателем был назначен В.М. Молотов (12681)</w:t>
      </w:r>
    </w:p>
    <w:p w14:paraId="5761B2F8" w14:textId="77777777" w:rsidR="0077708B" w:rsidRPr="00507A31" w:rsidRDefault="0077708B" w:rsidP="00507A31">
      <w:pPr>
        <w:pStyle w:val="ae"/>
        <w:spacing w:before="0" w:after="0"/>
        <w:jc w:val="both"/>
        <w:rPr>
          <w:color w:val="000000" w:themeColor="text1"/>
          <w:sz w:val="16"/>
          <w:szCs w:val="16"/>
        </w:rPr>
      </w:pPr>
    </w:p>
    <w:p w14:paraId="5A1BCA2E" w14:textId="77777777" w:rsidR="005E0B98" w:rsidRPr="00507A31" w:rsidRDefault="005E0B98" w:rsidP="00507A31">
      <w:pPr>
        <w:pStyle w:val="ae"/>
        <w:spacing w:before="0" w:after="0"/>
        <w:jc w:val="both"/>
        <w:rPr>
          <w:color w:val="000000" w:themeColor="text1"/>
          <w:sz w:val="16"/>
          <w:szCs w:val="16"/>
        </w:rPr>
      </w:pPr>
      <w:r w:rsidRPr="00507A31">
        <w:rPr>
          <w:color w:val="000000" w:themeColor="text1"/>
          <w:sz w:val="16"/>
          <w:szCs w:val="16"/>
        </w:rPr>
        <w:t xml:space="preserve">24 декабря 1930 года постановлениями </w:t>
      </w:r>
      <w:hyperlink r:id="rId178" w:tooltip="ВСНХ СССР" w:history="1">
        <w:r w:rsidRPr="00507A31">
          <w:rPr>
            <w:rStyle w:val="a5"/>
            <w:rFonts w:eastAsiaTheme="majorEastAsia"/>
            <w:color w:val="000000" w:themeColor="text1"/>
            <w:sz w:val="16"/>
            <w:szCs w:val="16"/>
            <w:u w:val="none"/>
          </w:rPr>
          <w:t>ВСНХ СССР</w:t>
        </w:r>
      </w:hyperlink>
      <w:r w:rsidRPr="00507A31">
        <w:rPr>
          <w:color w:val="000000" w:themeColor="text1"/>
          <w:sz w:val="16"/>
          <w:szCs w:val="16"/>
        </w:rPr>
        <w:t xml:space="preserve"> и ЦК ВКП(б) от 25 января 1931 года в связи с тем, что фирма «Мак-Ки» не смогла в обозначенный в договоре срок разработать все необходимые чертежи, проектирование ММК было передано советским проектным организациям. С другой стороны, по информации на сайте ММК, проектирование нового металлургического комбината началось в мае </w:t>
      </w:r>
      <w:hyperlink r:id="rId179" w:tooltip="1925 год" w:history="1">
        <w:r w:rsidRPr="00507A31">
          <w:rPr>
            <w:rStyle w:val="a5"/>
            <w:rFonts w:eastAsiaTheme="majorEastAsia"/>
            <w:color w:val="000000" w:themeColor="text1"/>
            <w:sz w:val="16"/>
            <w:szCs w:val="16"/>
            <w:u w:val="none"/>
          </w:rPr>
          <w:t>1925 года</w:t>
        </w:r>
      </w:hyperlink>
      <w:r w:rsidRPr="00507A31">
        <w:rPr>
          <w:color w:val="000000" w:themeColor="text1"/>
          <w:sz w:val="16"/>
          <w:szCs w:val="16"/>
        </w:rPr>
        <w:t xml:space="preserve">, в декабре </w:t>
      </w:r>
      <w:hyperlink r:id="rId180" w:tooltip="1928 год" w:history="1">
        <w:r w:rsidRPr="00507A31">
          <w:rPr>
            <w:rStyle w:val="a5"/>
            <w:rFonts w:eastAsiaTheme="majorEastAsia"/>
            <w:color w:val="000000" w:themeColor="text1"/>
            <w:sz w:val="16"/>
            <w:szCs w:val="16"/>
            <w:u w:val="none"/>
          </w:rPr>
          <w:t>1928 года</w:t>
        </w:r>
      </w:hyperlink>
      <w:r w:rsidRPr="00507A31">
        <w:rPr>
          <w:color w:val="000000" w:themeColor="text1"/>
          <w:sz w:val="16"/>
          <w:szCs w:val="16"/>
        </w:rPr>
        <w:t xml:space="preserve"> проект, разработанный институтом </w:t>
      </w:r>
      <w:hyperlink r:id="rId181" w:tooltip="УралГипромез (страница отсутствует)" w:history="1">
        <w:r w:rsidRPr="00507A31">
          <w:rPr>
            <w:rStyle w:val="a5"/>
            <w:rFonts w:eastAsiaTheme="majorEastAsia"/>
            <w:color w:val="000000" w:themeColor="text1"/>
            <w:sz w:val="16"/>
            <w:szCs w:val="16"/>
            <w:u w:val="none"/>
          </w:rPr>
          <w:t>УралГипромез</w:t>
        </w:r>
      </w:hyperlink>
      <w:r w:rsidRPr="00507A31">
        <w:rPr>
          <w:color w:val="000000" w:themeColor="text1"/>
          <w:sz w:val="16"/>
          <w:szCs w:val="16"/>
        </w:rPr>
        <w:t xml:space="preserve">, был официально утвержден, и в марте </w:t>
      </w:r>
      <w:hyperlink r:id="rId182" w:tooltip="1929 год" w:history="1">
        <w:r w:rsidRPr="00507A31">
          <w:rPr>
            <w:rStyle w:val="a5"/>
            <w:rFonts w:eastAsiaTheme="majorEastAsia"/>
            <w:color w:val="000000" w:themeColor="text1"/>
            <w:sz w:val="16"/>
            <w:szCs w:val="16"/>
            <w:u w:val="none"/>
          </w:rPr>
          <w:t>1929 года</w:t>
        </w:r>
      </w:hyperlink>
      <w:r w:rsidRPr="00507A31">
        <w:rPr>
          <w:color w:val="000000" w:themeColor="text1"/>
          <w:sz w:val="16"/>
          <w:szCs w:val="16"/>
        </w:rPr>
        <w:t xml:space="preserve"> на строительную площадку прибыли первые строители (17219).</w:t>
      </w:r>
    </w:p>
    <w:p w14:paraId="77282ABD" w14:textId="77777777" w:rsidR="005E0B98" w:rsidRPr="00507A31" w:rsidRDefault="005E0B98" w:rsidP="00507A31">
      <w:pPr>
        <w:jc w:val="both"/>
        <w:rPr>
          <w:color w:val="000000" w:themeColor="text1"/>
          <w:sz w:val="16"/>
          <w:szCs w:val="16"/>
        </w:rPr>
      </w:pPr>
    </w:p>
    <w:p w14:paraId="5AFC814E" w14:textId="77777777" w:rsidR="005E0B98" w:rsidRPr="00507A31" w:rsidRDefault="005E0B98" w:rsidP="00507A31">
      <w:pPr>
        <w:pStyle w:val="ae"/>
        <w:spacing w:before="0" w:after="0"/>
        <w:jc w:val="both"/>
        <w:rPr>
          <w:color w:val="000000" w:themeColor="text1"/>
          <w:sz w:val="16"/>
          <w:szCs w:val="16"/>
        </w:rPr>
      </w:pPr>
      <w:r w:rsidRPr="00507A31">
        <w:rPr>
          <w:color w:val="000000" w:themeColor="text1"/>
          <w:sz w:val="16"/>
          <w:szCs w:val="16"/>
        </w:rPr>
        <w:t>24 декабря 1930 г. — Письмо начальника Управления по механизации и моторизации РККА И. А. Халепского председателю ВСНХ СССР С. Орджоникидзе о необходимости производства легкого гусеничного трактора</w:t>
      </w:r>
    </w:p>
    <w:p w14:paraId="23F975DD" w14:textId="77777777" w:rsidR="00B85E59" w:rsidRPr="00507A31" w:rsidRDefault="00B85E59" w:rsidP="00507A31">
      <w:pPr>
        <w:jc w:val="both"/>
        <w:rPr>
          <w:color w:val="000000" w:themeColor="text1"/>
          <w:sz w:val="16"/>
          <w:szCs w:val="16"/>
        </w:rPr>
      </w:pPr>
      <w:r w:rsidRPr="00507A31">
        <w:rPr>
          <w:rStyle w:val="af0"/>
          <w:i w:val="0"/>
          <w:color w:val="000000" w:themeColor="text1"/>
          <w:sz w:val="16"/>
          <w:szCs w:val="16"/>
        </w:rPr>
        <w:t>Секретно.</w:t>
      </w:r>
    </w:p>
    <w:p w14:paraId="342B61AC" w14:textId="77777777" w:rsidR="00B85E59" w:rsidRPr="00507A31" w:rsidRDefault="00B85E59" w:rsidP="00507A31">
      <w:pPr>
        <w:jc w:val="both"/>
        <w:rPr>
          <w:color w:val="000000" w:themeColor="text1"/>
          <w:sz w:val="16"/>
          <w:szCs w:val="16"/>
        </w:rPr>
      </w:pPr>
      <w:r w:rsidRPr="00507A31">
        <w:rPr>
          <w:rStyle w:val="af0"/>
          <w:i w:val="0"/>
          <w:color w:val="000000" w:themeColor="text1"/>
          <w:sz w:val="16"/>
          <w:szCs w:val="16"/>
        </w:rPr>
        <w:t>Лично.</w:t>
      </w:r>
    </w:p>
    <w:p w14:paraId="7F4EDAC6" w14:textId="77777777" w:rsidR="00B85E59" w:rsidRPr="00507A31" w:rsidRDefault="00B85E59" w:rsidP="00507A31">
      <w:pPr>
        <w:pStyle w:val="ae"/>
        <w:spacing w:before="0" w:after="0"/>
        <w:jc w:val="both"/>
        <w:rPr>
          <w:color w:val="000000" w:themeColor="text1"/>
          <w:sz w:val="16"/>
          <w:szCs w:val="16"/>
        </w:rPr>
      </w:pPr>
      <w:r w:rsidRPr="00507A31">
        <w:rPr>
          <w:color w:val="000000" w:themeColor="text1"/>
          <w:sz w:val="16"/>
          <w:szCs w:val="16"/>
        </w:rPr>
        <w:t>Уважаемый т. </w:t>
      </w:r>
      <w:hyperlink r:id="rId183" w:history="1">
        <w:r w:rsidRPr="00507A31">
          <w:rPr>
            <w:color w:val="000000" w:themeColor="text1"/>
            <w:sz w:val="16"/>
            <w:szCs w:val="16"/>
          </w:rPr>
          <w:t>Орджоникидзе</w:t>
        </w:r>
      </w:hyperlink>
      <w:r w:rsidRPr="00507A31">
        <w:rPr>
          <w:color w:val="000000" w:themeColor="text1"/>
          <w:sz w:val="16"/>
          <w:szCs w:val="16"/>
        </w:rPr>
        <w:t>.</w:t>
      </w:r>
    </w:p>
    <w:p w14:paraId="0F2BCF39"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На протяжении всего периода проектирования постройки Сталинградского тракторного завода я неоднократно ставил вопрос во всех органах ВСНХ и даже лично перед т. </w:t>
      </w:r>
      <w:hyperlink r:id="rId184" w:history="1">
        <w:r w:rsidRPr="00507A31">
          <w:rPr>
            <w:color w:val="000000" w:themeColor="text1"/>
            <w:sz w:val="16"/>
            <w:szCs w:val="16"/>
          </w:rPr>
          <w:t>Куйбышевым</w:t>
        </w:r>
      </w:hyperlink>
      <w:r w:rsidRPr="00507A31">
        <w:rPr>
          <w:color w:val="000000" w:themeColor="text1"/>
          <w:sz w:val="16"/>
          <w:szCs w:val="16"/>
        </w:rPr>
        <w:t xml:space="preserve"> о том, что нам нужно строить трактор легкого типа не только колесный, но и колесно-гусеничный. В результате я добился, что этот вопрос обсуждался в РЗ СТО в конце 1929 г., куда был внесен доклад Президиума ВСНХ о том, что они берут на себя обязательства к колесному трактору «Интернационал» приспособить гусеничные придатки. Однако на деле мы до сего времени не только трактор «Интернационал» не приспособили к гусеничному ходу, но и ничего в этом вопросе практического не сделали. Сталинградский тракторный завод вошел в строй производственных предприятий, но гусеничного трактора этого класса у нас нет. Нужда же в нем для армии настоятельная.</w:t>
      </w:r>
    </w:p>
    <w:p w14:paraId="1EB989C3"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Одновременно, когда приступили к проектированию Харьковского тракторного завода, мною тотчас же специальной комиссией при Президиуме ВСНХ было внесено предложение, что не нужно повторять то, что мы имели по сталинградскому тракторному строительству, и я предложил строить гусеничный трактор легкого типа, но с большей мощностью, чем трактор «Интернационал», примерно 45</w:t>
      </w:r>
      <w:r w:rsidRPr="00507A31">
        <w:rPr>
          <w:color w:val="000000" w:themeColor="text1"/>
          <w:sz w:val="16"/>
          <w:szCs w:val="16"/>
        </w:rPr>
        <w:noBreakHyphen/>
        <w:t>50 сил. Мое предложение не было принято. На этом я не успокоился и, будучи в январе месяце 1930 г. в Германии, я подыскал тип трактора «Линке-Гофман» — это тип легкого сельскохозяйственного гусеничного трактора весьма хорошей конструкции, с положительными эксплуатационными данными. Данный тип в полной мере удовлетворял нужды нашего сельского хозяйства и армии. Однако это предложение было также отклонено, насколько мне известно, по причинам форсирования постройки Харьковского тракторного завода — осваивая это строительство на опыте Сталинграда.</w:t>
      </w:r>
    </w:p>
    <w:p w14:paraId="4EE6BF54"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Не входя в обсуждение о типе, на который спроектирован Харьковский тракторный завод (тип «Интернационал»), я все-таки продолжаю считать категорически необходимым сейчас же предусмотреть в проектировании и постройке Харьковского тракторного завода все, что нужно для гусеничного придатка. В этом вопросе я исхожу из европейского и американского опыта по тракторостроению, ибо там без всяких трудностей как в процессе налаживания производства гусеничных придатков, так и их конструкций производят на одном и том же заводе трактор колесный и он же — гусеничный.</w:t>
      </w:r>
    </w:p>
    <w:p w14:paraId="0546C9EB"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Этот опыт мною произведен в полигонной кустарной мастерской в следующем порядке: 1) был приобретен гусеничный ход американской фирмы «Альватрак»; 2) взят был «Фордзон» нашего Путиловского завода, сняты колеса и одеты были вот эти гусеницы. Трактор превратился из колесного в гусеничный.</w:t>
      </w:r>
    </w:p>
    <w:p w14:paraId="07BCEC07"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В связи с тем, что армия в своем развертывании предусматривает десятки тысяч легких тракторов, и гусеничного типа почти исключительно, мы в настоящее время не имеем такого количества тракторов на гусеничном ходу из купленных типов тракторов за границей. Больше того и опаснее всего — мы не имеем в производстве легкого гусеничного трактора, тогда как в настоящее время имеем все показатели наших производственных возможностей поставить этот вопрос в практическом его разрешении. Сделать это мы можем на Сталинградском тракторном заводе или на Харьковском, который еще не построен, и где не поздно сейчас включиться и сделать на ходу проект по производству гусеничных придатков к колесному трактору «Интернационал», который будет производиться на Харьковском заводе.</w:t>
      </w:r>
    </w:p>
    <w:p w14:paraId="75B79019"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Я глубоко уверен: если бы по затронутому мною вопросу последовало твердое Ваше распоряжение, то через 1</w:t>
      </w:r>
      <w:r w:rsidRPr="00507A31">
        <w:rPr>
          <w:color w:val="000000" w:themeColor="text1"/>
          <w:sz w:val="16"/>
          <w:szCs w:val="16"/>
        </w:rPr>
        <w:noBreakHyphen/>
        <w:t>1,5 месяца можно было бы разработать проект производства гусеничных придатков на Сталинградском или Харьковском заводе, и в начале второй половины 1931 г. можно было бы приступить уже к производству необходимых гусеничных придатков.</w:t>
      </w:r>
    </w:p>
    <w:p w14:paraId="1E1FFAD5"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Убедительно прошу Вас вызвать меня и заслушать лично по этому вопросу.</w:t>
      </w:r>
    </w:p>
    <w:p w14:paraId="4BE678A6" w14:textId="77777777" w:rsidR="00B85E59" w:rsidRPr="00507A31" w:rsidRDefault="00B85E59"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С коммунистическим приветом </w:t>
      </w:r>
      <w:hyperlink r:id="rId185" w:history="1">
        <w:r w:rsidRPr="00507A31">
          <w:rPr>
            <w:rStyle w:val="af0"/>
            <w:i w:val="0"/>
            <w:color w:val="000000" w:themeColor="text1"/>
            <w:sz w:val="16"/>
            <w:szCs w:val="16"/>
          </w:rPr>
          <w:t>И. Халепский</w:t>
        </w:r>
      </w:hyperlink>
    </w:p>
    <w:p w14:paraId="63AF45C7" w14:textId="77777777" w:rsidR="00B85E59" w:rsidRPr="00507A31" w:rsidRDefault="00B85E59" w:rsidP="00507A31">
      <w:pPr>
        <w:pStyle w:val="ae"/>
        <w:spacing w:before="0" w:after="0"/>
        <w:jc w:val="both"/>
        <w:rPr>
          <w:color w:val="000000" w:themeColor="text1"/>
          <w:sz w:val="16"/>
          <w:szCs w:val="16"/>
        </w:rPr>
      </w:pPr>
      <w:r w:rsidRPr="00507A31">
        <w:rPr>
          <w:color w:val="000000" w:themeColor="text1"/>
          <w:sz w:val="16"/>
          <w:szCs w:val="16"/>
        </w:rPr>
        <w:t>РГВА. Ф. 31811. Оп. 1. Д. 245. Л. 248—248об. Заверенная копия.</w:t>
      </w:r>
    </w:p>
    <w:p w14:paraId="5614DC73" w14:textId="77777777" w:rsidR="00B85E59" w:rsidRPr="00507A31" w:rsidRDefault="00B85E59" w:rsidP="00507A31">
      <w:pPr>
        <w:jc w:val="both"/>
        <w:rPr>
          <w:color w:val="000000" w:themeColor="text1"/>
          <w:sz w:val="16"/>
          <w:szCs w:val="16"/>
        </w:rPr>
      </w:pPr>
      <w:r w:rsidRPr="00507A31">
        <w:rPr>
          <w:color w:val="000000" w:themeColor="text1"/>
          <w:sz w:val="16"/>
          <w:szCs w:val="16"/>
        </w:rPr>
        <w:t xml:space="preserve">Архив: РГВА. Ф. 31811. Оп. 1. Д. 245. Л. 248—248об. Заверенная копия. </w:t>
      </w:r>
    </w:p>
    <w:p w14:paraId="795A1CF6" w14:textId="77777777" w:rsidR="00B85E59" w:rsidRPr="00507A31" w:rsidRDefault="00B85E59"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510-511 (12519).</w:t>
      </w:r>
    </w:p>
    <w:p w14:paraId="11160CDF" w14:textId="77777777" w:rsidR="00B85E59" w:rsidRPr="00507A31" w:rsidRDefault="00B85E59" w:rsidP="00507A31">
      <w:pPr>
        <w:jc w:val="both"/>
        <w:rPr>
          <w:color w:val="000000" w:themeColor="text1"/>
          <w:sz w:val="16"/>
          <w:szCs w:val="16"/>
        </w:rPr>
      </w:pPr>
    </w:p>
    <w:p w14:paraId="78F0ED7D" w14:textId="77777777" w:rsidR="008075C0" w:rsidRPr="00507A31" w:rsidRDefault="008075C0" w:rsidP="00507A31">
      <w:pPr>
        <w:shd w:val="clear" w:color="auto" w:fill="FFFFFF"/>
        <w:jc w:val="both"/>
        <w:rPr>
          <w:color w:val="0070C0"/>
          <w:sz w:val="16"/>
          <w:szCs w:val="16"/>
        </w:rPr>
      </w:pPr>
      <w:r w:rsidRPr="00507A31">
        <w:rPr>
          <w:color w:val="0070C0"/>
          <w:sz w:val="16"/>
          <w:szCs w:val="16"/>
          <w:shd w:val="clear" w:color="auto" w:fill="FFFFFF"/>
        </w:rPr>
        <w:t xml:space="preserve">24 или 28 декабря 1930 года два образца колесно-гусеничного танка M1940 Christie Tank, которого были построены для Советского Союза, сдали заказчику и они отправились в СССР. Существует довольно устойчивый миф о том, что танки были отправлены Кристи нелегально, якобы под видом тракторов. Это не соответствует действительности: согласно имеющимся документам, Кристи получил официальное разрешение. Перед отправкой танки были опробованы неподалеку от завода, при этом на колесах максимальная скорость по шоссе на колесах составила до 88 км/ч, а на гусеницах по ровной местности - до 48 км/ч. На рыхлом грунте при подъеме 35 градусов машина забуксовала и скатилась вниз. Комиссия от "Амторга" зафиксировала массу отступлений от договора. Танки даже не были покрашены в защитный цвет. Судя по всему, на них нанесли светло-серую грунтовку. Не имелось полного комплекта чертежей, особенно это касалось групп, касающихся башни и </w:t>
      </w:r>
      <w:r w:rsidRPr="00507A31">
        <w:rPr>
          <w:color w:val="0070C0"/>
          <w:sz w:val="16"/>
          <w:szCs w:val="16"/>
          <w:shd w:val="clear" w:color="auto" w:fill="FFFFFF"/>
        </w:rPr>
        <w:lastRenderedPageBreak/>
        <w:t>оборудования боевого отделения. Имелась масса претензий к различным мелочам, которые в реальности мелочами не были. По большому счету, Кристи построил два шасси, которые могли ездить, но не более того. Чтобы он стали полноценными танками, особенно с точки зрения эксплуатации, требовался большой объём доработок. Этим, кстати говоря, объясняется тот факт, что последовавший за двумя M1940 танк, предназначенный уже для Департамента Вооружений (Convartible Medium Tank M1931) так и не был американскими военными принят. Данная машина унаследовала массу недостатков от предшественников, а построенные далее Convertible Medium Tank T3/Combat Car T1 изготовлялись по итогам замечаний. (20339).</w:t>
      </w:r>
    </w:p>
    <w:p w14:paraId="4DD3BEE2" w14:textId="77777777" w:rsidR="008075C0" w:rsidRPr="00507A31" w:rsidRDefault="008075C0" w:rsidP="00507A31">
      <w:pPr>
        <w:shd w:val="clear" w:color="auto" w:fill="FFFFFF"/>
        <w:jc w:val="both"/>
        <w:rPr>
          <w:color w:val="0070C0"/>
          <w:sz w:val="16"/>
          <w:szCs w:val="16"/>
        </w:rPr>
      </w:pPr>
    </w:p>
    <w:p w14:paraId="15F872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декабря 1930 года две машины Кристи отбыли из США в СССР. Контракт был официальным и о нем был уведомлен Госдепартамент США, который выдал разрешение на вывоз. Прибывшие образцы были подвергнуты всестороннему изучению и испытаниям (9366).</w:t>
      </w:r>
    </w:p>
    <w:p w14:paraId="773DED90" w14:textId="77777777" w:rsidR="00537E5F" w:rsidRPr="00507A31" w:rsidRDefault="00537E5F" w:rsidP="00507A31">
      <w:pPr>
        <w:autoSpaceDE w:val="0"/>
        <w:autoSpaceDN w:val="0"/>
        <w:adjustRightInd w:val="0"/>
        <w:jc w:val="both"/>
        <w:rPr>
          <w:color w:val="000000" w:themeColor="text1"/>
          <w:sz w:val="16"/>
          <w:szCs w:val="16"/>
        </w:rPr>
      </w:pPr>
    </w:p>
    <w:p w14:paraId="1DCFAE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декабря 1930 г. пара купленных Халепским танков M1931 прибыли в СССР, однако, уже тогда между Кристи и советской стороной началось охлаждение. Кристи отправил танки без башен, вооружения и части документации, ввиду чего «советские контрагенты» удержали $55000. Кристи, не отличавшийся ангельским характером, рассвирепел, и не только отказался ехать в Страну Советов налаживать производство на месте (об этом существовала устная договорённость), но и прекратил информирование советской стороны о дальнейших модернизациях танка. Впрочем, чертежи этих модернизаций вскоре были приобретены сотрудниками Ам-торга у инженеров, работавших с Кристи. M1931 подвергся в СССР всестороннему изучению и после установки на него специально разработанной башни был принят на вооружение под названием БТ-2, его производство было налажено на Харьковском паровозостроительном заводе им. Коминтерна. M1931, таким образом, стал прообразом всех танков семейства БТ. Подвеска Кристи применялась на советских танках вплоть до Т-34 включительно (5745, 37).</w:t>
      </w:r>
    </w:p>
    <w:p w14:paraId="435D3168" w14:textId="77777777" w:rsidR="00537E5F" w:rsidRPr="00507A31" w:rsidRDefault="00537E5F" w:rsidP="00507A31">
      <w:pPr>
        <w:autoSpaceDE w:val="0"/>
        <w:autoSpaceDN w:val="0"/>
        <w:adjustRightInd w:val="0"/>
        <w:jc w:val="both"/>
        <w:rPr>
          <w:color w:val="000000" w:themeColor="text1"/>
          <w:sz w:val="16"/>
          <w:szCs w:val="16"/>
        </w:rPr>
      </w:pPr>
    </w:p>
    <w:p w14:paraId="693D40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декабря 1930 шасси двух танков Кристи М.1930, приобретенных Amtorg и проданных Кристи несмотря на нарушение договоренности с Польшей, тоже купившей их, под видом тракторов покинули Нью-Йорк и отправились в Россию. 23 декабря 1930 Кристи уведомил Госдеп о наличии двух тракторов и получил разрешение об отгрузке. 27 декабря Военное министерство уже знало о сделке, но было поздно. Поляки аннулировали сделку, хотя танк все же сделали в нарушение АП. Наш БТ на Киевских маневрах 1936 потряс всех (1126,14).</w:t>
      </w:r>
    </w:p>
    <w:p w14:paraId="6DD84B18" w14:textId="77777777" w:rsidR="00537E5F" w:rsidRPr="00507A31" w:rsidRDefault="00537E5F" w:rsidP="00507A31">
      <w:pPr>
        <w:autoSpaceDE w:val="0"/>
        <w:autoSpaceDN w:val="0"/>
        <w:adjustRightInd w:val="0"/>
        <w:jc w:val="both"/>
        <w:rPr>
          <w:color w:val="000000" w:themeColor="text1"/>
          <w:sz w:val="16"/>
          <w:szCs w:val="16"/>
        </w:rPr>
      </w:pPr>
    </w:p>
    <w:p w14:paraId="1DC5CD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декабря 1930 года оба танка Кристи, проходящие по бумаге как "сельскохозяйственные трактора", были погружены в Нью-Йорке на судно и в тот же день отправились в СССР (3862).</w:t>
      </w:r>
    </w:p>
    <w:p w14:paraId="4863FCCA" w14:textId="77777777" w:rsidR="00537E5F" w:rsidRPr="00507A31" w:rsidRDefault="00537E5F" w:rsidP="00507A31">
      <w:pPr>
        <w:autoSpaceDE w:val="0"/>
        <w:autoSpaceDN w:val="0"/>
        <w:adjustRightInd w:val="0"/>
        <w:jc w:val="both"/>
        <w:rPr>
          <w:color w:val="000000" w:themeColor="text1"/>
          <w:sz w:val="16"/>
          <w:szCs w:val="16"/>
        </w:rPr>
      </w:pPr>
    </w:p>
    <w:p w14:paraId="3EE5BE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24 декабря 1930 г. по 5 января 1931 г. по приказу К. Ворошило</w:t>
      </w:r>
      <w:r w:rsidRPr="00507A31">
        <w:rPr>
          <w:color w:val="000000" w:themeColor="text1"/>
          <w:sz w:val="16"/>
          <w:szCs w:val="16"/>
        </w:rPr>
        <w:softHyphen/>
        <w:t>ва в балке у деревни Павшино и на склонах Поклонной горы проводились испытания В-26, закупленных в Англии. В испытаниях приняли участие три танка - №№ 215/1, 214/2 и 216/3. Всесторон</w:t>
      </w:r>
      <w:r w:rsidRPr="00507A31">
        <w:rPr>
          <w:color w:val="000000" w:themeColor="text1"/>
          <w:sz w:val="16"/>
          <w:szCs w:val="16"/>
        </w:rPr>
        <w:softHyphen/>
        <w:t>ним их обследованием занималась «спецкомиссия по но</w:t>
      </w:r>
      <w:r w:rsidRPr="00507A31">
        <w:rPr>
          <w:color w:val="000000" w:themeColor="text1"/>
          <w:sz w:val="16"/>
          <w:szCs w:val="16"/>
        </w:rPr>
        <w:softHyphen/>
        <w:t>вым танкам для РККА», подчиненная лично наркомвоен-мору. Руководил работой комиссии С. Гинзбург. Выводы специалистов, входивших в состав комиссии по испытани</w:t>
      </w:r>
      <w:r w:rsidRPr="00507A31">
        <w:rPr>
          <w:color w:val="000000" w:themeColor="text1"/>
          <w:sz w:val="16"/>
          <w:szCs w:val="16"/>
        </w:rPr>
        <w:softHyphen/>
        <w:t>ям, были довольно сдержанными (10733,163).</w:t>
      </w:r>
    </w:p>
    <w:p w14:paraId="0EC37A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C3B8B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24 декабря 1930 по 5 января 1931. у деревни Павшино и на склонах Поклонной горы по приказу Ворошилова проводились испытания В-26 (так называли английские «шеститонники» в СССР). В испытаниях приняли участие три машины — 215/1, 214/2, 216/3. Всесторонним их обследованием занималась «спецкомиссия по новым танкам для РККА» подчиненная лично Ворошилову. Выводы специалистов, под руководством С. Гинзбурга, были довольно сдержанными. Но после демонстрации двух танков В-26 высшее командование Красной Армии впало в такой восторг, что неизменно возникал вопрос об оснащении РККА только этими танками. В англичан верили гораздо сильнее, чем в «своих», а поскольку создателем Mk A, была ведущая танкостроительная фирма мира, этот довод перевешивал все остальные (11809).</w:t>
      </w:r>
    </w:p>
    <w:p w14:paraId="136CFF6C" w14:textId="77777777" w:rsidR="00537E5F" w:rsidRPr="00507A31" w:rsidRDefault="00537E5F" w:rsidP="00507A31">
      <w:pPr>
        <w:autoSpaceDE w:val="0"/>
        <w:autoSpaceDN w:val="0"/>
        <w:adjustRightInd w:val="0"/>
        <w:jc w:val="both"/>
        <w:rPr>
          <w:color w:val="000000" w:themeColor="text1"/>
          <w:sz w:val="16"/>
          <w:szCs w:val="16"/>
        </w:rPr>
      </w:pPr>
    </w:p>
    <w:p w14:paraId="578F8E67" w14:textId="77777777" w:rsidR="006308C4" w:rsidRPr="00507A31" w:rsidRDefault="006308C4" w:rsidP="00507A31">
      <w:pPr>
        <w:jc w:val="both"/>
        <w:rPr>
          <w:color w:val="000000" w:themeColor="text1"/>
          <w:sz w:val="16"/>
          <w:szCs w:val="16"/>
        </w:rPr>
      </w:pPr>
      <w:r w:rsidRPr="00507A31">
        <w:rPr>
          <w:color w:val="000000" w:themeColor="text1"/>
          <w:sz w:val="16"/>
          <w:szCs w:val="16"/>
        </w:rPr>
        <w:t>С 24 декабря 1930 г. по 5 января 1931 г. в балке у деревни Павшино и на склонах Поклонной горы были испытаны три танка «Виккерс», получившие в СССР индекс В-26.</w:t>
      </w:r>
    </w:p>
    <w:p w14:paraId="3956D9CA" w14:textId="77777777" w:rsidR="006308C4" w:rsidRPr="00507A31" w:rsidRDefault="006308C4" w:rsidP="00507A31">
      <w:pPr>
        <w:jc w:val="both"/>
        <w:rPr>
          <w:color w:val="000000" w:themeColor="text1"/>
          <w:sz w:val="16"/>
          <w:szCs w:val="16"/>
        </w:rPr>
      </w:pPr>
      <w:r w:rsidRPr="00507A31">
        <w:rPr>
          <w:color w:val="000000" w:themeColor="text1"/>
          <w:sz w:val="16"/>
          <w:szCs w:val="16"/>
        </w:rPr>
        <w:t>Очевидец испытаний на Поклонной горе в Москве писал: «Но вот на трассу, вздымая столбы снежной пыли, выскочил небольшой танк. Он прытко пронесся мимо смотровой площадки, затем развернулся, перемахнул через окоп; немного замешкавшись, свалил довольно толстую сосну, повалил забор из колючей проволоки и, вновь развернувшись почти на месте, рванул к финишу напрямик через кустарник, густо обсыпанный снегом.</w:t>
      </w:r>
    </w:p>
    <w:p w14:paraId="53EDE217" w14:textId="77777777" w:rsidR="006308C4" w:rsidRPr="00507A31" w:rsidRDefault="006308C4" w:rsidP="00507A31">
      <w:pPr>
        <w:jc w:val="both"/>
        <w:rPr>
          <w:color w:val="000000" w:themeColor="text1"/>
          <w:sz w:val="16"/>
          <w:szCs w:val="16"/>
        </w:rPr>
      </w:pPr>
      <w:r w:rsidRPr="00507A31">
        <w:rPr>
          <w:color w:val="000000" w:themeColor="text1"/>
          <w:sz w:val="16"/>
          <w:szCs w:val="16"/>
        </w:rPr>
        <w:t>Что тут началось! Восторгам военных, казалось, не будет конца. Этот маленький, но чрезвычайно прыткий танк покорил их сердца. Тут же отставили дальнейший показ, потребовали повторить заезд и выпустить на трассу второй танк».</w:t>
      </w:r>
    </w:p>
    <w:p w14:paraId="68075FAC" w14:textId="77777777" w:rsidR="006308C4" w:rsidRPr="00507A31" w:rsidRDefault="006308C4" w:rsidP="00507A31">
      <w:pPr>
        <w:jc w:val="both"/>
        <w:rPr>
          <w:color w:val="000000" w:themeColor="text1"/>
          <w:sz w:val="16"/>
          <w:szCs w:val="16"/>
        </w:rPr>
      </w:pPr>
      <w:r w:rsidRPr="00507A31">
        <w:rPr>
          <w:color w:val="000000" w:themeColor="text1"/>
          <w:sz w:val="16"/>
          <w:szCs w:val="16"/>
        </w:rPr>
        <w:t>Немедленно началось производство танков «Виккерс», получивших у нас индекс Т-26. Поначалу их делали по британским чертежам, позже стали вносить и свои узлы. В итоге к 19 марта 1933 г. на вооружении РККА уже имелось 1411 танков Т-26.</w:t>
      </w:r>
    </w:p>
    <w:p w14:paraId="7DEE4915" w14:textId="77777777" w:rsidR="006308C4" w:rsidRPr="00507A31" w:rsidRDefault="006308C4" w:rsidP="00507A31">
      <w:pPr>
        <w:jc w:val="both"/>
        <w:rPr>
          <w:color w:val="000000" w:themeColor="text1"/>
          <w:sz w:val="16"/>
          <w:szCs w:val="16"/>
        </w:rPr>
      </w:pPr>
      <w:r w:rsidRPr="00507A31">
        <w:rPr>
          <w:color w:val="000000" w:themeColor="text1"/>
          <w:sz w:val="16"/>
          <w:szCs w:val="16"/>
        </w:rPr>
        <w:t>В марте—апреле 1933 г. был испытан Т-26 с одной башней и 45-мм пушкой 20К (15117).</w:t>
      </w:r>
    </w:p>
    <w:p w14:paraId="3976B7A5" w14:textId="77777777" w:rsidR="006308C4" w:rsidRPr="00507A31" w:rsidRDefault="006308C4" w:rsidP="00507A31">
      <w:pPr>
        <w:jc w:val="both"/>
        <w:rPr>
          <w:color w:val="000000" w:themeColor="text1"/>
          <w:sz w:val="16"/>
          <w:szCs w:val="16"/>
        </w:rPr>
      </w:pPr>
    </w:p>
    <w:p w14:paraId="1A7009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 декабря 1930 г. вышел ПРИКАЗ УММ О ПРОВЕДЕНИИ НИР НА ФАКУЛЬТЕТЕ МЕХАНИЗАЦИИ И МОТОРИЗАЦИИ ВТА</w:t>
      </w:r>
    </w:p>
    <w:p w14:paraId="57196A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050A60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Приказание:</w:t>
      </w:r>
    </w:p>
    <w:p w14:paraId="7A19F6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 сем препровождаю дополнительный список тем научно-исследовательских работ на фа</w:t>
      </w:r>
      <w:r w:rsidRPr="00507A31">
        <w:rPr>
          <w:color w:val="000000" w:themeColor="text1"/>
          <w:sz w:val="16"/>
          <w:szCs w:val="16"/>
        </w:rPr>
        <w:softHyphen/>
        <w:t>культете механизации и моторизации ВТА.</w:t>
      </w:r>
    </w:p>
    <w:p w14:paraId="5102E7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Кроме того, список исследовательских работ по вопросу сравнительных испытаний советских и американских моторных тошшв.</w:t>
      </w:r>
    </w:p>
    <w:p w14:paraId="7788A7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 наконец, список тем научно-исследовательских работ в порядке исследовательских кружков по кафедрам факультета механизации и моторизации.</w:t>
      </w:r>
    </w:p>
    <w:p w14:paraId="5088CD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Приказываю:</w:t>
      </w:r>
    </w:p>
    <w:p w14:paraId="2B502F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На основе прилагаемого материала составить ведомость данных научных разработок на факуль</w:t>
      </w:r>
      <w:r w:rsidRPr="00507A31">
        <w:rPr>
          <w:color w:val="000000" w:themeColor="text1"/>
          <w:sz w:val="16"/>
          <w:szCs w:val="16"/>
        </w:rPr>
        <w:softHyphen/>
        <w:t>тете механизации и моторизации с особой графой о пометках выполнения той или иной работы. Члены НТК при посещении академии обязаны интересоваться этими работами и по возвращении заносить в эту ведомость результаты, достигнутые факультетом в том или ином вопросе данного перечня работ.</w:t>
      </w:r>
    </w:p>
    <w:p w14:paraId="3E42A7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Кроме того, просить начальника факультета, чтобы он доносил поквартально, как продвигаются все эти работы.</w:t>
      </w:r>
    </w:p>
    <w:p w14:paraId="1E2143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 вопросе исследования топлива на обязанности НТК лежит достать все эти виды топлива. В связи с этим от моего имени передайте т. Магидову, дабы он дал это задание складу №127, который должен приобрести и выслать данное топливо. О количестве договоритесь с факультетом.</w:t>
      </w:r>
    </w:p>
    <w:p w14:paraId="7D21A9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Поставьте для всех секций вверенного Вам Комитета, за правило, прежде чем составлять те или иные технические условия по материальной части, будет полезно пользоваться предварительно собранным материалом по тем вопросам, по которым ведутся исследования, что может облегчить бо</w:t>
      </w:r>
      <w:r w:rsidRPr="00507A31">
        <w:rPr>
          <w:color w:val="000000" w:themeColor="text1"/>
          <w:sz w:val="16"/>
          <w:szCs w:val="16"/>
        </w:rPr>
        <w:softHyphen/>
        <w:t>лее грамотное составление этих условий.</w:t>
      </w:r>
    </w:p>
    <w:p w14:paraId="0F7899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Вопросы по кафедре тактики войск - сделайте выписку для 1 управления, ибо это их касается. Исполнение настоящего приказа доложите мне.</w:t>
      </w:r>
    </w:p>
    <w:p w14:paraId="2093DA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УММ РККА Халепский</w:t>
      </w:r>
    </w:p>
    <w:p w14:paraId="63228C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Приложение</w:t>
      </w:r>
    </w:p>
    <w:p w14:paraId="3F809C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Дополнительный список тем научно-исследовательских работ</w:t>
      </w:r>
    </w:p>
    <w:tbl>
      <w:tblPr>
        <w:tblW w:w="0" w:type="auto"/>
        <w:tblInd w:w="40" w:type="dxa"/>
        <w:tblLayout w:type="fixed"/>
        <w:tblCellMar>
          <w:left w:w="40" w:type="dxa"/>
          <w:right w:w="40" w:type="dxa"/>
        </w:tblCellMar>
        <w:tblLook w:val="0000" w:firstRow="0" w:lastRow="0" w:firstColumn="0" w:lastColumn="0" w:noHBand="0" w:noVBand="0"/>
      </w:tblPr>
      <w:tblGrid>
        <w:gridCol w:w="5146"/>
        <w:gridCol w:w="1373"/>
      </w:tblGrid>
      <w:tr w:rsidR="00E371BA" w:rsidRPr="00507A31" w14:paraId="09825940" w14:textId="77777777">
        <w:trPr>
          <w:trHeight w:val="192"/>
        </w:trPr>
        <w:tc>
          <w:tcPr>
            <w:tcW w:w="5146" w:type="dxa"/>
            <w:tcBorders>
              <w:top w:val="single" w:sz="6" w:space="0" w:color="auto"/>
              <w:left w:val="single" w:sz="6" w:space="0" w:color="auto"/>
              <w:bottom w:val="single" w:sz="6" w:space="0" w:color="auto"/>
              <w:right w:val="single" w:sz="6" w:space="0" w:color="auto"/>
            </w:tcBorders>
          </w:tcPr>
          <w:p w14:paraId="440534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Наименование темы</w:t>
            </w:r>
          </w:p>
          <w:p w14:paraId="16C7DA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C0780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Руководитель</w:t>
            </w:r>
          </w:p>
          <w:p w14:paraId="16D878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4F663CC" w14:textId="77777777">
        <w:trPr>
          <w:trHeight w:val="221"/>
        </w:trPr>
        <w:tc>
          <w:tcPr>
            <w:tcW w:w="6519" w:type="dxa"/>
            <w:gridSpan w:val="2"/>
            <w:tcBorders>
              <w:top w:val="single" w:sz="6" w:space="0" w:color="auto"/>
              <w:left w:val="single" w:sz="6" w:space="0" w:color="auto"/>
              <w:bottom w:val="single" w:sz="6" w:space="0" w:color="auto"/>
              <w:right w:val="single" w:sz="6" w:space="0" w:color="auto"/>
            </w:tcBorders>
          </w:tcPr>
          <w:p w14:paraId="68A6AD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 Автобронетанковая кафедра</w:t>
            </w:r>
          </w:p>
          <w:p w14:paraId="5D5B5C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529F796" w14:textId="77777777">
        <w:trPr>
          <w:trHeight w:val="211"/>
        </w:trPr>
        <w:tc>
          <w:tcPr>
            <w:tcW w:w="5146" w:type="dxa"/>
            <w:tcBorders>
              <w:top w:val="single" w:sz="6" w:space="0" w:color="auto"/>
              <w:left w:val="single" w:sz="6" w:space="0" w:color="auto"/>
              <w:bottom w:val="single" w:sz="6" w:space="0" w:color="auto"/>
              <w:right w:val="single" w:sz="6" w:space="0" w:color="auto"/>
            </w:tcBorders>
          </w:tcPr>
          <w:p w14:paraId="4B5F4F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Разработка защиты от ОВ танков и бронемашин.</w:t>
            </w:r>
          </w:p>
          <w:p w14:paraId="227B57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0D682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 Данченко</w:t>
            </w:r>
          </w:p>
          <w:p w14:paraId="706BDD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B1678AD" w14:textId="77777777">
        <w:trPr>
          <w:trHeight w:val="221"/>
        </w:trPr>
        <w:tc>
          <w:tcPr>
            <w:tcW w:w="5146" w:type="dxa"/>
            <w:tcBorders>
              <w:top w:val="single" w:sz="6" w:space="0" w:color="auto"/>
              <w:left w:val="single" w:sz="6" w:space="0" w:color="auto"/>
              <w:bottom w:val="single" w:sz="6" w:space="0" w:color="auto"/>
              <w:right w:val="single" w:sz="6" w:space="0" w:color="auto"/>
            </w:tcBorders>
          </w:tcPr>
          <w:p w14:paraId="660C33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Автомашина-дегазатор с броней и без брони.</w:t>
            </w:r>
          </w:p>
          <w:p w14:paraId="7D1303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D85EF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 Тягунов</w:t>
            </w:r>
          </w:p>
          <w:p w14:paraId="76371B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A89A8F6" w14:textId="77777777">
        <w:trPr>
          <w:trHeight w:val="432"/>
        </w:trPr>
        <w:tc>
          <w:tcPr>
            <w:tcW w:w="5146" w:type="dxa"/>
            <w:tcBorders>
              <w:top w:val="single" w:sz="6" w:space="0" w:color="auto"/>
              <w:left w:val="single" w:sz="6" w:space="0" w:color="auto"/>
              <w:bottom w:val="single" w:sz="6" w:space="0" w:color="auto"/>
              <w:right w:val="single" w:sz="6" w:space="0" w:color="auto"/>
            </w:tcBorders>
          </w:tcPr>
          <w:p w14:paraId="682057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Тракторная прицепка дегазатор с использованием сельско</w:t>
            </w:r>
            <w:r w:rsidRPr="00507A31">
              <w:rPr>
                <w:color w:val="000000" w:themeColor="text1"/>
                <w:sz w:val="16"/>
                <w:szCs w:val="16"/>
              </w:rPr>
              <w:softHyphen/>
              <w:t>хозяйственных машин.</w:t>
            </w:r>
          </w:p>
          <w:p w14:paraId="3BC964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380F1F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 Карабицин</w:t>
            </w:r>
          </w:p>
          <w:p w14:paraId="373A81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F91ACBB" w14:textId="77777777">
        <w:trPr>
          <w:trHeight w:val="211"/>
        </w:trPr>
        <w:tc>
          <w:tcPr>
            <w:tcW w:w="5146" w:type="dxa"/>
            <w:tcBorders>
              <w:top w:val="single" w:sz="6" w:space="0" w:color="auto"/>
              <w:left w:val="single" w:sz="6" w:space="0" w:color="auto"/>
              <w:bottom w:val="single" w:sz="6" w:space="0" w:color="auto"/>
              <w:right w:val="single" w:sz="6" w:space="0" w:color="auto"/>
            </w:tcBorders>
          </w:tcPr>
          <w:p w14:paraId="6E23C6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Мотоцикл для накачки воздухом ходов А. 2.</w:t>
            </w:r>
          </w:p>
          <w:p w14:paraId="6D9338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43EF69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 Вершинин</w:t>
            </w:r>
          </w:p>
          <w:p w14:paraId="52A784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2012BCD" w14:textId="77777777">
        <w:trPr>
          <w:trHeight w:val="230"/>
        </w:trPr>
        <w:tc>
          <w:tcPr>
            <w:tcW w:w="5146" w:type="dxa"/>
            <w:tcBorders>
              <w:top w:val="single" w:sz="6" w:space="0" w:color="auto"/>
              <w:left w:val="single" w:sz="6" w:space="0" w:color="auto"/>
              <w:bottom w:val="single" w:sz="6" w:space="0" w:color="auto"/>
              <w:right w:val="single" w:sz="6" w:space="0" w:color="auto"/>
            </w:tcBorders>
          </w:tcPr>
          <w:p w14:paraId="129C8A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Химизация танков для активных целей.</w:t>
            </w:r>
          </w:p>
          <w:p w14:paraId="1A7B3B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4B8C4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F699E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11FA40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факультета механизации и моторизации</w:t>
      </w:r>
    </w:p>
    <w:p w14:paraId="488181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Тягунов</w:t>
      </w:r>
    </w:p>
    <w:p w14:paraId="2B600E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РГВА. Ф. 31811. Оп. 1. Д. 256. Л. 18-19. Подлинник (11210).</w:t>
      </w:r>
    </w:p>
    <w:p w14:paraId="1F255AB8" w14:textId="77777777" w:rsidR="00537E5F" w:rsidRPr="00507A31" w:rsidRDefault="00537E5F" w:rsidP="00507A31">
      <w:pPr>
        <w:autoSpaceDE w:val="0"/>
        <w:autoSpaceDN w:val="0"/>
        <w:adjustRightInd w:val="0"/>
        <w:jc w:val="both"/>
        <w:rPr>
          <w:color w:val="000000" w:themeColor="text1"/>
          <w:sz w:val="16"/>
          <w:szCs w:val="16"/>
        </w:rPr>
      </w:pPr>
    </w:p>
    <w:p w14:paraId="771602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декабря 1930 г. в газете «Советская Сибирь» отмечается: «Постановление ЦК ВКП(б) от 10 декабря 1930 г. признает безусловно необходимым скорейшее начало постройки в Западной Сибири крупного завода горного оборудования... Форсирование постройки завода вызывается принятыми пятилеткой темпами развития каменноугольной промышленности края, осуществление которых возможно исключительно на базе наиболее современной организации угледобычи... Мощность первой очереди завода рассчитана на выпуск ежегодно около 226 тыс. тонн продукции общей стоимостью около 160 млн рублей...» - будущего завода № 153 (10764).</w:t>
      </w:r>
    </w:p>
    <w:p w14:paraId="2276A15C" w14:textId="77777777" w:rsidR="00537E5F" w:rsidRPr="00507A31" w:rsidRDefault="00537E5F" w:rsidP="00507A31">
      <w:pPr>
        <w:autoSpaceDE w:val="0"/>
        <w:autoSpaceDN w:val="0"/>
        <w:adjustRightInd w:val="0"/>
        <w:jc w:val="both"/>
        <w:rPr>
          <w:color w:val="000000" w:themeColor="text1"/>
          <w:sz w:val="16"/>
          <w:szCs w:val="16"/>
        </w:rPr>
      </w:pPr>
    </w:p>
    <w:p w14:paraId="3C18F8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 декабря 1930 г. приказом правления Всесоюзного треста металлургической промышленности восточной части СССР "Востокосталь" ВСНХ СССР в результате преобразования Уральского отделения Всесоюзного института черных металлов был создан Уральский научно-исследовательский институт черных металлов (УралНИИЧМ) (12102).</w:t>
      </w:r>
    </w:p>
    <w:p w14:paraId="24F2C155" w14:textId="77777777" w:rsidR="00343E79" w:rsidRPr="00507A31" w:rsidRDefault="00343E79" w:rsidP="00507A31">
      <w:pPr>
        <w:autoSpaceDE w:val="0"/>
        <w:autoSpaceDN w:val="0"/>
        <w:adjustRightInd w:val="0"/>
        <w:jc w:val="both"/>
        <w:rPr>
          <w:i/>
          <w:iCs/>
          <w:color w:val="000000" w:themeColor="text1"/>
          <w:sz w:val="16"/>
          <w:szCs w:val="16"/>
        </w:rPr>
      </w:pPr>
    </w:p>
    <w:p w14:paraId="0FEFA316" w14:textId="77777777" w:rsidR="00FA2748" w:rsidRPr="00507A31" w:rsidRDefault="00FA2748"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77504839" w14:textId="77777777" w:rsidR="00FA2748" w:rsidRPr="00507A31" w:rsidRDefault="00FA2748" w:rsidP="00507A31">
      <w:pPr>
        <w:autoSpaceDE w:val="0"/>
        <w:autoSpaceDN w:val="0"/>
        <w:adjustRightInd w:val="0"/>
        <w:jc w:val="both"/>
        <w:rPr>
          <w:iCs/>
          <w:color w:val="000000" w:themeColor="text1"/>
          <w:sz w:val="16"/>
          <w:szCs w:val="16"/>
        </w:rPr>
      </w:pPr>
    </w:p>
    <w:p w14:paraId="5DEFAC9D" w14:textId="77777777" w:rsidR="00FA2748" w:rsidRPr="00507A31" w:rsidRDefault="00FA2748" w:rsidP="00507A31">
      <w:pPr>
        <w:jc w:val="both"/>
        <w:rPr>
          <w:color w:val="000000" w:themeColor="text1"/>
          <w:sz w:val="16"/>
          <w:szCs w:val="16"/>
        </w:rPr>
      </w:pPr>
      <w:r w:rsidRPr="00507A31">
        <w:rPr>
          <w:color w:val="000000" w:themeColor="text1"/>
          <w:sz w:val="16"/>
          <w:szCs w:val="16"/>
        </w:rPr>
        <w:t>24 декабря 1930 г.  СНК СССР принимает постановление о создании  Комиссии  Обороны в следующем составе: И.В.Сталин, В.В.Куйбышев В.М.Молотов, К.Е.Ворошилов, Г.К.Орджоникидзе (18389).</w:t>
      </w:r>
    </w:p>
    <w:p w14:paraId="4EBDF141" w14:textId="77777777" w:rsidR="00FA2748" w:rsidRPr="00507A31" w:rsidRDefault="00FA2748" w:rsidP="00507A31">
      <w:pPr>
        <w:jc w:val="both"/>
        <w:rPr>
          <w:color w:val="000000" w:themeColor="text1"/>
          <w:sz w:val="16"/>
          <w:szCs w:val="16"/>
        </w:rPr>
      </w:pPr>
    </w:p>
    <w:p w14:paraId="67DD2BDE" w14:textId="77777777" w:rsidR="00FA2748" w:rsidRPr="00507A31" w:rsidRDefault="00FA2748" w:rsidP="00507A31">
      <w:pPr>
        <w:jc w:val="both"/>
        <w:rPr>
          <w:color w:val="000000" w:themeColor="text1"/>
          <w:sz w:val="16"/>
          <w:szCs w:val="16"/>
        </w:rPr>
      </w:pPr>
      <w:r w:rsidRPr="00507A31">
        <w:rPr>
          <w:color w:val="000000" w:themeColor="text1"/>
          <w:sz w:val="16"/>
          <w:szCs w:val="16"/>
        </w:rPr>
        <w:t>24 декабря 1930 г. Совнарком принял Постановление об упразднении Распорядительного заседания Совета труда и обороны, которое до этого времени ведало многими вопросами военного строительства. Вместо Распорядительного заседания (возглавлявшегося Председателем Совнаркома А. И. Рыковым) создается Комиссия обороны во главе с И. В. Сталиным. Возглавляемая им группа партийных функционеров установила жесткий контроль над рычагами управления (18390).</w:t>
      </w:r>
    </w:p>
    <w:p w14:paraId="2AE8DB03" w14:textId="77777777" w:rsidR="00FA2748" w:rsidRPr="00507A31" w:rsidRDefault="00FA2748" w:rsidP="00507A31">
      <w:pPr>
        <w:jc w:val="both"/>
        <w:rPr>
          <w:color w:val="000000" w:themeColor="text1"/>
          <w:sz w:val="16"/>
          <w:szCs w:val="16"/>
        </w:rPr>
      </w:pPr>
    </w:p>
    <w:p w14:paraId="4226C321" w14:textId="77777777" w:rsidR="00FA2748" w:rsidRPr="00507A31" w:rsidRDefault="00FA2748"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641895F0" w14:textId="77777777" w:rsidR="00FA2748" w:rsidRPr="00507A31" w:rsidRDefault="00FA2748" w:rsidP="00507A31">
      <w:pPr>
        <w:autoSpaceDE w:val="0"/>
        <w:autoSpaceDN w:val="0"/>
        <w:adjustRightInd w:val="0"/>
        <w:jc w:val="both"/>
        <w:rPr>
          <w:iCs/>
          <w:color w:val="000000" w:themeColor="text1"/>
          <w:sz w:val="16"/>
          <w:szCs w:val="16"/>
        </w:rPr>
      </w:pPr>
    </w:p>
    <w:p w14:paraId="1E3D06EF" w14:textId="77777777" w:rsidR="00FA2748" w:rsidRPr="00507A31" w:rsidRDefault="00FA2748" w:rsidP="00507A31">
      <w:pPr>
        <w:jc w:val="both"/>
        <w:rPr>
          <w:bCs/>
          <w:color w:val="000000" w:themeColor="text1"/>
          <w:sz w:val="16"/>
          <w:szCs w:val="16"/>
        </w:rPr>
      </w:pPr>
      <w:r w:rsidRPr="00507A31">
        <w:rPr>
          <w:color w:val="000000" w:themeColor="text1"/>
          <w:sz w:val="16"/>
          <w:szCs w:val="16"/>
        </w:rPr>
        <w:t>24 декабря 1930 г.</w:t>
      </w:r>
    </w:p>
    <w:p w14:paraId="263FC423" w14:textId="77777777" w:rsidR="00FA2748" w:rsidRPr="00507A31" w:rsidRDefault="00FA2748" w:rsidP="00507A31">
      <w:pPr>
        <w:jc w:val="both"/>
        <w:rPr>
          <w:bCs/>
          <w:color w:val="000000" w:themeColor="text1"/>
          <w:sz w:val="16"/>
          <w:szCs w:val="16"/>
        </w:rPr>
      </w:pPr>
      <w:r w:rsidRPr="00507A31">
        <w:rPr>
          <w:color w:val="000000" w:themeColor="text1"/>
          <w:sz w:val="16"/>
          <w:szCs w:val="16"/>
        </w:rPr>
        <w:t>Письмо В. Н. Баркова Ж. Л. Аренсу о подготовке публикаций о процессе «Промпартии». 24 декабря 1930 г.</w:t>
      </w:r>
    </w:p>
    <w:p w14:paraId="775426DD"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7263D64E"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B216F6F"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Архив: </w:t>
      </w:r>
    </w:p>
    <w:p w14:paraId="4CBCF454" w14:textId="77777777" w:rsidR="00FA2748" w:rsidRPr="00507A31" w:rsidRDefault="00FA2748" w:rsidP="00507A31">
      <w:pPr>
        <w:jc w:val="both"/>
        <w:rPr>
          <w:color w:val="000000" w:themeColor="text1"/>
          <w:sz w:val="16"/>
          <w:szCs w:val="16"/>
        </w:rPr>
      </w:pPr>
      <w:r w:rsidRPr="00507A31">
        <w:rPr>
          <w:color w:val="000000" w:themeColor="text1"/>
          <w:sz w:val="16"/>
          <w:szCs w:val="16"/>
        </w:rPr>
        <w:t>АВП РФ. Ф. 056. On. 15. П. 32. Д. 12. Л. 187</w:t>
      </w:r>
    </w:p>
    <w:p w14:paraId="07F60FDD"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24 декабря 1930 г.</w:t>
      </w:r>
    </w:p>
    <w:p w14:paraId="05CB407E"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6175E5E2"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Париж, 24 декабря 1930 г.</w:t>
      </w:r>
    </w:p>
    <w:p w14:paraId="0300ED37"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 601/с</w:t>
      </w:r>
    </w:p>
    <w:p w14:paraId="55990FDA"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Н.К.И.Д.</w:t>
      </w:r>
    </w:p>
    <w:p w14:paraId="6C01F2DD"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Тов. АРЕНСУ</w:t>
      </w:r>
    </w:p>
    <w:p w14:paraId="21CF02DF"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1DADDEC9"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1.  Стараемся связать Луциани в первую очередь с [«]Репюблик[»] и с [«]Эвр[»]. Доминик предложил Луциани обратиться непосредственно в редакцию [«]Репюблик[»] с предложением своих услуг и с указанием лиц, которые его знают в Париже. Доминик подготовит почву. Транен ведет переговоры относительно Луциани с [«]Эвр[»]. Ответа еще не имеем.</w:t>
      </w:r>
    </w:p>
    <w:p w14:paraId="32487A38"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2.  Монд до сих пор статей о процессе не получил. Брис Парен пишет статью для [«]Эволюсьон[»]. Статья Арагона передана в [«]Эроп[»], на днях получим ответ. Вчера Транен сдал 3 статьи для 2 газет. Пойдут на днях. [«]Суар[»] дал о процессе небольшую статью Турли. Доминик обещал дать статью о процессе в [«]Репюблик[»], статья еще не появилась. [«]Эвр[»] упорно не хочет ничего писать о процессе, несмотря на усилия Транена.</w:t>
      </w:r>
    </w:p>
    <w:p w14:paraId="21858ED6"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3.  Организуем в Сорбонне в начале января собрание. Докладчик Роже</w:t>
      </w:r>
      <w:r w:rsidRPr="00507A31">
        <w:rPr>
          <w:color w:val="000000" w:themeColor="text1"/>
          <w:sz w:val="16"/>
          <w:szCs w:val="16"/>
          <w:vertAlign w:val="superscript"/>
        </w:rPr>
        <w:t> </w:t>
      </w:r>
      <w:r w:rsidRPr="00507A31">
        <w:rPr>
          <w:color w:val="000000" w:themeColor="text1"/>
          <w:sz w:val="16"/>
          <w:szCs w:val="16"/>
        </w:rPr>
        <w:t>Франк. Непосредственно за этим Роже Франк выступит с этим же докладом для большей аудитории вне Сорбонны. 14 января Транен делает доклад о Сибири, коснется процесса. Собрание организует м[ада]м Дюшен.</w:t>
      </w:r>
    </w:p>
    <w:p w14:paraId="1BC56F14"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4.  Рюсси Нев выпускает очередной номер своего ревю, посвященный процессу. М[ада]м Дюшен после праздника начинает компанию собирания подписей под соответствующей декларацией. М[ада]м Дюшен согласилась и[з]дать брошюрку откликов на процесс ученых, писателей и т. д.</w:t>
      </w:r>
    </w:p>
    <w:p w14:paraId="004302C0"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5.  Нажмите на Розенталя из ВСНХ. Пусть он ускорит присылку статей для журнала.</w:t>
      </w:r>
    </w:p>
    <w:p w14:paraId="25CD20DF"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В. Барков</w:t>
      </w:r>
    </w:p>
    <w:p w14:paraId="4972C96E"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32. Д. 12. Л. 187. Машинописный подлинник, подпись-автограф. Гриф секретности машинописью, цифры в исходящем номере от руки. Вверху слева написаны от руки входящий номер и дата «28/ХII-30 г.» Внизу слева машинописью делопроизводственная помета (столбцом) «2 экз. 1 т. Аренсу. 1 в дело» (18823).</w:t>
      </w:r>
    </w:p>
    <w:p w14:paraId="53A64E96" w14:textId="77777777" w:rsidR="00FA2748" w:rsidRPr="00507A31" w:rsidRDefault="00FA2748" w:rsidP="00507A31">
      <w:pPr>
        <w:jc w:val="both"/>
        <w:rPr>
          <w:color w:val="000000" w:themeColor="text1"/>
          <w:sz w:val="16"/>
          <w:szCs w:val="16"/>
        </w:rPr>
      </w:pPr>
    </w:p>
    <w:p w14:paraId="2E21B13A" w14:textId="77777777" w:rsidR="00FA2748" w:rsidRPr="00507A31" w:rsidRDefault="00FA2748" w:rsidP="00507A31">
      <w:pPr>
        <w:jc w:val="both"/>
        <w:rPr>
          <w:bCs/>
          <w:color w:val="000000" w:themeColor="text1"/>
          <w:sz w:val="16"/>
          <w:szCs w:val="16"/>
        </w:rPr>
      </w:pPr>
      <w:r w:rsidRPr="00507A31">
        <w:rPr>
          <w:color w:val="000000" w:themeColor="text1"/>
          <w:sz w:val="16"/>
          <w:szCs w:val="16"/>
        </w:rPr>
        <w:t>24 декабря 1930 г.</w:t>
      </w:r>
    </w:p>
    <w:p w14:paraId="5D98C4A7" w14:textId="77777777" w:rsidR="00FA2748" w:rsidRPr="00507A31" w:rsidRDefault="00FA2748" w:rsidP="00507A31">
      <w:pPr>
        <w:jc w:val="both"/>
        <w:rPr>
          <w:bCs/>
          <w:color w:val="000000" w:themeColor="text1"/>
          <w:sz w:val="16"/>
          <w:szCs w:val="16"/>
        </w:rPr>
      </w:pPr>
      <w:r w:rsidRPr="00507A31">
        <w:rPr>
          <w:color w:val="000000" w:themeColor="text1"/>
          <w:sz w:val="16"/>
          <w:szCs w:val="16"/>
        </w:rPr>
        <w:t>Телеграмма министра иностранных дел Франции в Москву о получении из посольства СССР перевода письма, адресованного Верховным судом в НКИД, и о требовании советского правительства отозвать Л. Кифера. 24 декабря 1930 г.</w:t>
      </w:r>
    </w:p>
    <w:p w14:paraId="48BD188E"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1963C9EB"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45F70B"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24 декабря 1930 г.</w:t>
      </w:r>
    </w:p>
    <w:p w14:paraId="2B231D17"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Исходящая телеграмма № 371-373 М.И.Д.</w:t>
      </w:r>
    </w:p>
    <w:p w14:paraId="7D1FC8C1"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Политическое управление</w:t>
      </w:r>
    </w:p>
    <w:p w14:paraId="4765864E"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Министр иностранных дел в посольство в Москве</w:t>
      </w:r>
    </w:p>
    <w:p w14:paraId="1CDE3149"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Секретно</w:t>
      </w:r>
    </w:p>
    <w:p w14:paraId="131573EC"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Ссылаюсь на Вашу телеграмму № 720.</w:t>
      </w:r>
    </w:p>
    <w:p w14:paraId="390CD344"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Посольство СССР только что вручило мне ноту и перевод письма, адресованного Верховным судом СССР в НКИД. В ней повторяются уже сформулированные на процессе обвинения и сообщается, что агенты К. и Р. обозначают г-на Кифера и г-на Жорж-Пико (именуемого «Реньо»).</w:t>
      </w:r>
    </w:p>
    <w:p w14:paraId="3C11A9D3"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Согласно этим документам, Кифер якобы познакомил обвиняемых Рамзина и Ларичева с членами Торгпрома в Париже в октябре 1928 года и обеспечивал передачу денежных сумм и инструкций от французских «интервенционистских кругов» в Москву. Также, будто бы, с его помощью отправлялась заграницу информация о военной промышленности.</w:t>
      </w:r>
    </w:p>
    <w:p w14:paraId="0CACE07E"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Роль Жорж-Пико заключалась, будто бы, в передаче из Москвы в Париж сведений о гражданской и военной авиации, о создании авиационных баз для «интервенционистов», о организации вредительства на заводах, осушении болот на Кубани и предательской работе в Красной армии.</w:t>
      </w:r>
    </w:p>
    <w:p w14:paraId="5F2CF745"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 ноте утверждается, что данная деятельность могла быть реализована только по причине недостаточного контроля с Вашей стороны. В ней выражено требование отозвать Кифера, а также подчеркивается, что Жорж-Пико больше не сможет занимать никаких должностей в СССР.</w:t>
      </w:r>
    </w:p>
    <w:p w14:paraId="5B17066E"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Я оставляю за собой право выразить самый энергичный протест против формы и содержания этих недопустимых обвинений, но я прошу Вас предварительно сообщить мне, имел ли Кифер возможность встретиться с осужденными на процессе русскими специалистами или с членами Торгпрома в Париже.</w:t>
      </w:r>
    </w:p>
    <w:p w14:paraId="1D5E872D"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Б[риан]</w:t>
      </w:r>
    </w:p>
    <w:p w14:paraId="4E747B53"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215-217. Рукописный подлинник, подписъ — росчерк. Квадратный штамп шифровального отделения с датой «24 дек. 1930» и вписанным от руки временем «22 ч 11». Ниже штамп Департамента политических и торговых дел с вписанным от руки номером о сдаче в архив «z 619-20 s/d5». Левее круглый штамп шифровального отдела с надписью «отправлено и [согласовано]» (18792).</w:t>
      </w:r>
    </w:p>
    <w:p w14:paraId="65ABFEE9" w14:textId="77777777" w:rsidR="00FA2748" w:rsidRPr="00507A31" w:rsidRDefault="00FA2748" w:rsidP="00507A31">
      <w:pPr>
        <w:jc w:val="both"/>
        <w:rPr>
          <w:color w:val="000000" w:themeColor="text1"/>
          <w:sz w:val="16"/>
          <w:szCs w:val="16"/>
        </w:rPr>
      </w:pPr>
    </w:p>
    <w:p w14:paraId="125F0FBB" w14:textId="77777777" w:rsidR="00FA2748" w:rsidRPr="00507A31" w:rsidRDefault="00FA2748" w:rsidP="00507A31">
      <w:pPr>
        <w:jc w:val="both"/>
        <w:rPr>
          <w:bCs/>
          <w:color w:val="000000" w:themeColor="text1"/>
          <w:sz w:val="16"/>
          <w:szCs w:val="16"/>
        </w:rPr>
      </w:pPr>
      <w:r w:rsidRPr="00507A31">
        <w:rPr>
          <w:color w:val="000000" w:themeColor="text1"/>
          <w:sz w:val="16"/>
          <w:szCs w:val="16"/>
        </w:rPr>
        <w:t>24 декабря 1930 г.</w:t>
      </w:r>
    </w:p>
    <w:p w14:paraId="63EB3FAA" w14:textId="77777777" w:rsidR="00FA2748" w:rsidRPr="00507A31" w:rsidRDefault="00FA2748" w:rsidP="00507A31">
      <w:pPr>
        <w:jc w:val="both"/>
        <w:rPr>
          <w:bCs/>
          <w:color w:val="000000" w:themeColor="text1"/>
          <w:sz w:val="16"/>
          <w:szCs w:val="16"/>
        </w:rPr>
      </w:pPr>
      <w:r w:rsidRPr="00507A31">
        <w:rPr>
          <w:color w:val="000000" w:themeColor="text1"/>
          <w:sz w:val="16"/>
          <w:szCs w:val="16"/>
        </w:rPr>
        <w:t>Телеграмма посла Франции в СССР Ж. Эрбета в МИД Франции об обвинениях против Л. Кифера и Ф. Жорж-Пико. 24 декабря 1930 г.</w:t>
      </w:r>
    </w:p>
    <w:p w14:paraId="52F64894"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4D4B3E37" w14:textId="77777777" w:rsidR="00FA2748" w:rsidRPr="00507A31" w:rsidRDefault="00FA2748" w:rsidP="00507A31">
      <w:pPr>
        <w:jc w:val="both"/>
        <w:rPr>
          <w:color w:val="000000" w:themeColor="text1"/>
          <w:sz w:val="16"/>
          <w:szCs w:val="16"/>
        </w:rPr>
      </w:pPr>
      <w:r w:rsidRPr="00507A31">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A9EA5C3"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24 декабря 1930 г.</w:t>
      </w:r>
    </w:p>
    <w:p w14:paraId="134A0541"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Входящая телеграмма (копия)</w:t>
      </w:r>
    </w:p>
    <w:p w14:paraId="19B8592B"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Шифровальный отдел №760-766</w:t>
      </w:r>
    </w:p>
    <w:p w14:paraId="50419632"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Москва, 25 декабря 1930, 19.20</w:t>
      </w:r>
    </w:p>
    <w:p w14:paraId="7F2BD241"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Получено: 25 декабря 1930, 18.20</w:t>
      </w:r>
    </w:p>
    <w:p w14:paraId="4F2DFC80"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Ответ на Ваши телеграммы № 371-373.</w:t>
      </w:r>
    </w:p>
    <w:p w14:paraId="323CA221"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Кифер категорически подтверждает свое заявление, которое он мне сделал сразу после опубликования обвинительного заключения: он никогда не встречался ни с одним из русских, осужденных на процессе, ни с представителями Торгпрома в Париже.</w:t>
      </w:r>
    </w:p>
    <w:p w14:paraId="5B24877B"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Как и большая часть дипломатического корпуса, он присутствовал на открытии института, возглавляемого профессором Рамзиным (см. мою телеграмму № 624 от 11-го ноября), и, как все мы, видел профессора, когда он произносил свою речь. Но он не был ему представлен и ни разу не видел его с тех пор.</w:t>
      </w:r>
    </w:p>
    <w:p w14:paraId="236E5C11"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Несмотря на неточности в датах и фактах, на которые ссылаются обвиняемые и главный прокурор, мы можем, тем не менее, отметить различные несоответствия в тех отрывках из протоколов процесса, которые касаются роли агента К.</w:t>
      </w:r>
    </w:p>
    <w:p w14:paraId="5BCEBE9B"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Согласно обвинительному заключению, первая встреча между Рамзиным и К. произошла в начале 1928 года. Но на заседании Рамзин говорил о том, что она имела место в ноябре 1927 года. Калинников утверждал, что К. должен был уехать в отпуск в июне-июле 1929 года. Во время этих двух месяцев Кифер не покидал Москвы.</w:t>
      </w:r>
    </w:p>
    <w:p w14:paraId="2573369F"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 соответствии с обвинительным заключением, именно русский эмигрант Рябушинский установил связь между Рамзиным и К., но обвиняемый Очкин утверждал, что Рамзин сообщил ему, что он связался с К. по приглашению «французских правительственных кругов».</w:t>
      </w:r>
    </w:p>
    <w:p w14:paraId="50034455"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Калинников заявил, что передал К.&lt;...&gt; в Камерном театре во время премьеры спектакля «Наталья Тарпова». Кифер никогда не был на этом спектакле.</w:t>
      </w:r>
    </w:p>
    <w:p w14:paraId="2861512A"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Такие же несоответствия есть и относительно агента Р.</w:t>
      </w:r>
    </w:p>
    <w:p w14:paraId="38737B65"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Согласно обвинительному заключению, отношения с агентом Р. были установлены с помощью Денисова «в октябре 1928 года в Париже».</w:t>
      </w:r>
    </w:p>
    <w:p w14:paraId="4151A1F1"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Однако Жорж-Пико провел октябрь 1928 года в Москве. Он окончательно уехал из Москвы 8 марта®. Обвинительное заключение после напоминания заявления Рамзина о «временном отъезде» агента Р. датирует его мартом. Но Рамзин утверждал, что его последняя встреча с К. имела место «в конце 1929 года незадолго до отъезда последнего». С другой стороны, суд в своем приговоре от 7-го декабря заявил, что отношения между Рамзиным (и другими обвиняемыми) и агентами К. и Р. продолжались до ареста обвиняемых «летом 1930 года».</w:t>
      </w:r>
    </w:p>
    <w:p w14:paraId="73BE62A1"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Что касается мнимого «отсутствия контроля» с моей стороны, я ограничусь заявлением, что всю почту получаю и отправляю собственноручно. Ни одна депеша, ни одна телеграмма, ни одна нота не отправляется из этого посольства без моей подписи или визирования, никакие денежные суммы не получаются и не выплачиваются посольством без моего ведома. В этих условиях ни одно незаконное сообщение или выплата не могли быть отправлены через это посольство. В частности, я никогда не просил Кифера заниматься какими бы то ни было собственно политическими или военными вопросами. Добавлю, что, напротив, советская полиция постоянно следит за этим посольством и даже за частными квартирами его сотрудников, что исключает для всех служащих посольства возможность поддерживать отношения с русскими так, чтобы это не стало сразу известно ГПУ. Тем более, что речь идет о людях, за которыми постоянно шпионили после Донецкого процесса (1927 г.), некоторые из них были арестованы, или даже расстреляны (как Пальчинский). А согласно обвинительному заключению, именно в это время так называемые французские агенты якобы направляли и финансировали деятельность заговорщиков.</w:t>
      </w:r>
    </w:p>
    <w:p w14:paraId="69DAB0A6"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Советское правительство не имеет никакого права выдвигать требования, которые мы не сможем принять, не создав впечатление того, что мы признаем ту невероятную клевету, которая распространяется здесь против наших политических деятелей, нашего генерального штаба и наших сотрудников. Напротив, это мы вправе требовать компенсации за те тяжкие оскорбления, которые были направлены в адрес Франции, за политическую кампанию, которая имеет целью поставить под угрозу нашу безопасность, и за экономические репрессивные меры, которые могут лишить всякого интереса, даже коммерческого, отношения, которые французское правительство имело великодушие до сих пор поддерживать с СССР.</w:t>
      </w:r>
    </w:p>
    <w:p w14:paraId="05B7BB62"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Жан Эрбет</w:t>
      </w:r>
    </w:p>
    <w:p w14:paraId="749C415E"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227-233.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«26 дек. 1930» и вписанным от руки номером о сдаче в архив «z 619-20 s/d5» (18793).</w:t>
      </w:r>
    </w:p>
    <w:p w14:paraId="298497C7" w14:textId="77777777" w:rsidR="00FA2748" w:rsidRPr="00507A31" w:rsidRDefault="00FA2748" w:rsidP="00507A31">
      <w:pPr>
        <w:jc w:val="both"/>
        <w:rPr>
          <w:color w:val="000000" w:themeColor="text1"/>
          <w:sz w:val="16"/>
          <w:szCs w:val="16"/>
        </w:rPr>
      </w:pPr>
    </w:p>
    <w:p w14:paraId="5EBF8508" w14:textId="77777777" w:rsidR="00FA2748" w:rsidRPr="00507A31" w:rsidRDefault="00FA2748" w:rsidP="00507A31">
      <w:pPr>
        <w:jc w:val="both"/>
        <w:rPr>
          <w:bCs/>
          <w:color w:val="000000" w:themeColor="text1"/>
          <w:sz w:val="16"/>
          <w:szCs w:val="16"/>
        </w:rPr>
      </w:pPr>
      <w:r w:rsidRPr="00507A31">
        <w:rPr>
          <w:color w:val="000000" w:themeColor="text1"/>
          <w:sz w:val="16"/>
          <w:szCs w:val="16"/>
        </w:rPr>
        <w:t>24 декабря 1930 г.</w:t>
      </w:r>
    </w:p>
    <w:p w14:paraId="745F78A4" w14:textId="77777777" w:rsidR="00FA2748" w:rsidRPr="00507A31" w:rsidRDefault="00FA2748" w:rsidP="00507A31">
      <w:pPr>
        <w:jc w:val="both"/>
        <w:rPr>
          <w:bCs/>
          <w:color w:val="000000" w:themeColor="text1"/>
          <w:sz w:val="16"/>
          <w:szCs w:val="16"/>
        </w:rPr>
      </w:pPr>
      <w:r w:rsidRPr="00507A31">
        <w:rPr>
          <w:color w:val="000000" w:themeColor="text1"/>
          <w:sz w:val="16"/>
          <w:szCs w:val="16"/>
        </w:rPr>
        <w:t>Телеграмма министра иностранных дел Франции в Москву о встрече В. С. Довгалевского с Ф. Вертело. 24 декабря 1930 г.</w:t>
      </w:r>
    </w:p>
    <w:p w14:paraId="0DA42BA2"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6E2AA9A9"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BBA0FE"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24 декабря 1930 г.</w:t>
      </w:r>
    </w:p>
    <w:p w14:paraId="3A1C1FFE"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Исходящие телеграммы № 374-377</w:t>
      </w:r>
    </w:p>
    <w:p w14:paraId="64042684"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М.И.Д.</w:t>
      </w:r>
    </w:p>
    <w:p w14:paraId="0E468E97"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Политическое управление</w:t>
      </w:r>
    </w:p>
    <w:p w14:paraId="43D8FB44"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Отделение Европа</w:t>
      </w:r>
    </w:p>
    <w:p w14:paraId="762C3352"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Министр иностранных дел в Москву</w:t>
      </w:r>
    </w:p>
    <w:p w14:paraId="18B9C5E8"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После изучения памятной записки и приложения, которые передал мне посол СССР 24-го декабря, мне показалось невозможным принять эти документы.</w:t>
      </w:r>
    </w:p>
    <w:p w14:paraId="29EA0529"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Вследствие этого главный секретарь отдела по моему поручению пригласил Довгалевского сегодня утром и попросил его забрать их.</w:t>
      </w:r>
    </w:p>
    <w:p w14:paraId="11D4D25C"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Посол СССР заявил, что такое решение удивило его, так как переданные им сообщения не являлись ответом на французские протесты, касающиеся условий, в которых протекал московский процесс. Эти протесты были учтены, что проявилось в переносе обсуждений Международных вопросов&gt; на заседания при закрытых дверях. Он также заявил, что для него невозможно забрать назад документы, которые ему поручили передать в МИД Франции.</w:t>
      </w:r>
    </w:p>
    <w:p w14:paraId="2C96CC72"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Столкнувшись с отказом Довгалевского, Вертело напомнил ему то, как повел себя Литвинов по отношению к Вам при передаче румынской ноты. Он заявил, что не имеет намерения следовать примеру Литвинова, и сообщил Довгалевскому, что немедленно отправит эти документы в советское посольство, сопроводив их запиской, объясняющей данное решение и использованную процедуру.</w:t>
      </w:r>
    </w:p>
    <w:p w14:paraId="302DEDA8"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Вот текст этой записки, которая была немедленно передана в русское посольство:</w:t>
      </w:r>
    </w:p>
    <w:p w14:paraId="6D03215E"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 ответ на категорический протест, который выразила Франция в Москве и в Париже против обвинений французских государственных деятелей, членов правительства и посольства на московском процессе, посол СССР 24-го декабря передал в министерство иностранных дел памятную записку и справку Верховного суда СССР.</w:t>
      </w:r>
    </w:p>
    <w:p w14:paraId="2C23FD19"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Сначала министр выразил сдержанность до более полного ознакомления с переданным ему документом.</w:t>
      </w:r>
    </w:p>
    <w:p w14:paraId="7BB17BEC"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Ознакомление показало, что эти документы, не давая желаемых объяснений и исправлений, только усугубляют ситуацию из-за возобновления не выдерживающих критики обвинений, против которых французское правительство уже выражало формальный протест. Кроме того, стало очевидным, что вручение и принятие подобных документов может повлечь за собой тяжелые и, возможно, непоправимые последствия.</w:t>
      </w:r>
    </w:p>
    <w:p w14:paraId="62EC16C0"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Правительство Республики может только возобновить протест, так как оно не считает возможным обсуждать приписываемую ему ответственность и оказывать доверие обвинениям против его официальных представителей и служащих.</w:t>
      </w:r>
    </w:p>
    <w:p w14:paraId="1631B412"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Соответственно, министерство иностранных дел считает необходимым отослать обратно в посольство СССР приложенный документ, который оно рассматривает как неподлежащий принятию как по своей форме, так и по содержанию».</w:t>
      </w:r>
    </w:p>
    <w:p w14:paraId="0BD5D4BC"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Б[риан]</w:t>
      </w:r>
    </w:p>
    <w:p w14:paraId="254EDAA2"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234-236. Машинописный подлинник, подпись — росчерк. Штамп шифровального отдела с датой «26 дек. 1930» и вписанным от руки временем «23 ч». Левее круглый штамп шифровального отдела с надписью «отправлено и [согласовано]» (18794).</w:t>
      </w:r>
    </w:p>
    <w:p w14:paraId="5D264461" w14:textId="77777777" w:rsidR="00FA2748" w:rsidRPr="00507A31" w:rsidRDefault="00FA2748" w:rsidP="00507A31">
      <w:pPr>
        <w:jc w:val="both"/>
        <w:rPr>
          <w:color w:val="000000" w:themeColor="text1"/>
          <w:sz w:val="16"/>
          <w:szCs w:val="16"/>
        </w:rPr>
      </w:pPr>
    </w:p>
    <w:p w14:paraId="201A1AAD" w14:textId="77777777" w:rsidR="00FA2748" w:rsidRPr="00507A31" w:rsidRDefault="00FA2748" w:rsidP="00507A31">
      <w:pPr>
        <w:jc w:val="both"/>
        <w:rPr>
          <w:bCs/>
          <w:color w:val="000000" w:themeColor="text1"/>
          <w:sz w:val="16"/>
          <w:szCs w:val="16"/>
        </w:rPr>
      </w:pPr>
      <w:r w:rsidRPr="00507A31">
        <w:rPr>
          <w:color w:val="000000" w:themeColor="text1"/>
          <w:sz w:val="16"/>
          <w:szCs w:val="16"/>
        </w:rPr>
        <w:t>24 декабря 1930 г.</w:t>
      </w:r>
    </w:p>
    <w:p w14:paraId="247E25BB" w14:textId="77777777" w:rsidR="00FA2748" w:rsidRPr="00507A31" w:rsidRDefault="00FA2748" w:rsidP="00507A31">
      <w:pPr>
        <w:jc w:val="both"/>
        <w:rPr>
          <w:bCs/>
          <w:color w:val="000000" w:themeColor="text1"/>
          <w:sz w:val="16"/>
          <w:szCs w:val="16"/>
        </w:rPr>
      </w:pPr>
      <w:r w:rsidRPr="00507A31">
        <w:rPr>
          <w:color w:val="000000" w:themeColor="text1"/>
          <w:sz w:val="16"/>
          <w:szCs w:val="16"/>
        </w:rPr>
        <w:t>Письмо Б. Д. Виноградова Н. Н. Крестинскому о проблемах с публикацией статей советских авторов в Германии. 24 декабря 1930 г.</w:t>
      </w:r>
    </w:p>
    <w:p w14:paraId="167A4A55"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6C8258B9"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F9293BC"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Архив: </w:t>
      </w:r>
    </w:p>
    <w:p w14:paraId="153A8E1B" w14:textId="77777777" w:rsidR="00FA2748" w:rsidRPr="00507A31" w:rsidRDefault="00FA2748" w:rsidP="00507A31">
      <w:pPr>
        <w:jc w:val="both"/>
        <w:rPr>
          <w:color w:val="000000" w:themeColor="text1"/>
          <w:sz w:val="16"/>
          <w:szCs w:val="16"/>
        </w:rPr>
      </w:pPr>
      <w:r w:rsidRPr="00507A31">
        <w:rPr>
          <w:color w:val="000000" w:themeColor="text1"/>
          <w:sz w:val="16"/>
          <w:szCs w:val="16"/>
        </w:rPr>
        <w:lastRenderedPageBreak/>
        <w:t>АВП РФ. Ф. 056. On. 15. П. 31. Д. 9. Л. 140—141</w:t>
      </w:r>
    </w:p>
    <w:p w14:paraId="026A707D"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24 декабря 1930 г.</w:t>
      </w:r>
    </w:p>
    <w:p w14:paraId="486A143F"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28978E81"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НКИДтов. КРЕСТИНСКОМУ</w:t>
      </w:r>
    </w:p>
    <w:p w14:paraId="5942BEA2"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Копии: Отдел Печати</w:t>
      </w:r>
    </w:p>
    <w:p w14:paraId="70982989"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2-й Зап[адный] Отд[ел] НКИД</w:t>
      </w:r>
    </w:p>
    <w:p w14:paraId="187E6110"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Многоуважаемый Николай Николаевич,</w:t>
      </w:r>
    </w:p>
    <w:p w14:paraId="435E52B1"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Вопрос о статьях для [«]Ост Еуропы[»] и [«]Ейропеише Гешпрехе[»] начинает внушать нам все большие и большие опасения. Мы сговорились с [«]Ост Еуропой[»] о помещении статьи т. Луначарского в январском номере и обещали доставить эту статью не позднее 18-го декабря. (Они настаивали на 17-ом). Мы своевременно телеграфировали в Москву и если бы, принимая во внимание важность и срочность дела, статья была бы написана в течение 3-4-х дней и своевременно отправлена в Берлин, мы имели бы ее уже в январской книжке [«]Ост Еуропы[»]. Согласие [«]Ост Еуропы[»] на помещение статьи т. Луначарского мы рассматривали здесь как большое достижение, потому что подавляющая часть германской прессы, как Вам известно, крайне враждебно относилась к процессу &lt;Промпартии&gt;, и по первоначальным сведениям[,] [«]Ост Еуропа[»] намеревалась откликнуться на процесс лишь репортерской заметкой в хронике. Относительно автора статьи т. Луначарского мы также договорились с [«]Ост Еуропой[»] и поэтому замена т. Луначарского т. Радеком, являющегося до некоторой степени одиозной фигурой для такого журнала, было уже первым нарушением договоренности с [«]Ост Еуропой[»]. Но это было бы с пол-беды, потому что в конце концов Гетч согласился и на статью Радека. Но здесь начались новые проволочки и статью эту мы не получили ни 18-го, ни 20-го (эту дату называл т. Аренс)[,] ни в последующие числа. Тов. Аренс пишет, что т. Радек отказался от писания этой статьи и что теперь Отдел Печати ждет возвращения т. Луначарского, который, по[-]видимому, куда-то выехал из Москвы. Между прочим, мы с самого начала предвид[е]ли, что статью будет писать не т. Радек и не т. Луначарский (последний к тому же только что вернулся из Женевы и ему действительно довольно трудно это сделать), а т. Гнедин или же другой товарищ из Иностранного Отдела «Известий», но подпись будет т. Луначарского. При таких темпах писание срочной и обещанной нами [«]Ост Еуропе[»] статьи возникает опасение, что она не будет написана и прислана в Берлин и к 5-му января, которое является последним сроком, если мы хотим, чтобы статья появилась хотя бы в февральском номере [«]Ост Еуропы[»].</w:t>
      </w:r>
    </w:p>
    <w:p w14:paraId="14972CC4"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О статье для [«]Ейропеише Гешпрехе[»], которую должен был бы написать т. Штейн, я не имею никаких известий. Зная его аккуратность, можно надеяться, что она будет прислана также не позже 5-го января.</w:t>
      </w:r>
    </w:p>
    <w:p w14:paraId="069D143A"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Если мы обманем [«]Ост Eypoпу»] и Мендельсона-Бартольди и не дадим им этих статей, хотя мы сами обращались по этому поводу, будет большой конфуз и мы лишимся трибуны, с которой могли бы изложить свою точку зрения.</w:t>
      </w:r>
    </w:p>
    <w:p w14:paraId="531DB150"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С тов. приветом</w:t>
      </w:r>
    </w:p>
    <w:p w14:paraId="35282567"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(Виноградов)</w:t>
      </w:r>
    </w:p>
    <w:p w14:paraId="602FA400"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31. Д. 9. Л. 140—141. Машинописная копия того времени. На Л. 140 вверху написаны исходящий «№ 1590» (карандашом), входящий номер и дата получения документа «28/ХII-30 г.» (чернилами). Рукописная помета «архив», подпись-росчерк Миронова. В адресе (копии) подчеркнуто карандашом «Отдел печати» (18888).</w:t>
      </w:r>
    </w:p>
    <w:p w14:paraId="1EB38E0F" w14:textId="77777777" w:rsidR="00FA2748" w:rsidRPr="00507A31" w:rsidRDefault="00FA2748" w:rsidP="00507A31">
      <w:pPr>
        <w:jc w:val="both"/>
        <w:rPr>
          <w:color w:val="000000" w:themeColor="text1"/>
          <w:sz w:val="16"/>
          <w:szCs w:val="16"/>
        </w:rPr>
      </w:pPr>
    </w:p>
    <w:p w14:paraId="695DAB2A" w14:textId="77777777" w:rsidR="00FA2748" w:rsidRPr="00507A31" w:rsidRDefault="00FA2748" w:rsidP="00507A31">
      <w:pPr>
        <w:jc w:val="both"/>
        <w:rPr>
          <w:bCs/>
          <w:color w:val="000000" w:themeColor="text1"/>
          <w:sz w:val="16"/>
          <w:szCs w:val="16"/>
        </w:rPr>
      </w:pPr>
      <w:r w:rsidRPr="00507A31">
        <w:rPr>
          <w:color w:val="000000" w:themeColor="text1"/>
          <w:sz w:val="16"/>
          <w:szCs w:val="16"/>
        </w:rPr>
        <w:t>24 декабря 1930 г.</w:t>
      </w:r>
    </w:p>
    <w:p w14:paraId="497C62AB" w14:textId="77777777" w:rsidR="00FA2748" w:rsidRPr="00507A31" w:rsidRDefault="00FA2748" w:rsidP="00507A31">
      <w:pPr>
        <w:jc w:val="both"/>
        <w:rPr>
          <w:bCs/>
          <w:color w:val="000000" w:themeColor="text1"/>
          <w:sz w:val="16"/>
          <w:szCs w:val="16"/>
        </w:rPr>
      </w:pPr>
      <w:r w:rsidRPr="00507A31">
        <w:rPr>
          <w:color w:val="000000" w:themeColor="text1"/>
          <w:sz w:val="16"/>
          <w:szCs w:val="16"/>
        </w:rPr>
        <w:t>Письмо Д. Г. Штерна Ж. Л. Аренсу об угасании интереса к процессу «Промпартии» в Германии. 24 декабря 1930 г.</w:t>
      </w:r>
    </w:p>
    <w:p w14:paraId="43E20FFD"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Источник: </w:t>
      </w:r>
    </w:p>
    <w:p w14:paraId="528C3CE4" w14:textId="77777777" w:rsidR="00FA2748" w:rsidRPr="00507A31" w:rsidRDefault="00FA2748"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908EAD1" w14:textId="77777777" w:rsidR="00FA2748" w:rsidRPr="00507A31" w:rsidRDefault="00FA2748" w:rsidP="00507A31">
      <w:pPr>
        <w:jc w:val="both"/>
        <w:rPr>
          <w:bCs/>
          <w:color w:val="000000" w:themeColor="text1"/>
          <w:sz w:val="16"/>
          <w:szCs w:val="16"/>
        </w:rPr>
      </w:pPr>
      <w:r w:rsidRPr="00507A31">
        <w:rPr>
          <w:bCs/>
          <w:color w:val="000000" w:themeColor="text1"/>
          <w:sz w:val="16"/>
          <w:szCs w:val="16"/>
        </w:rPr>
        <w:t>Архив: </w:t>
      </w:r>
    </w:p>
    <w:p w14:paraId="162534A9" w14:textId="77777777" w:rsidR="00FA2748" w:rsidRPr="00507A31" w:rsidRDefault="00FA2748" w:rsidP="00507A31">
      <w:pPr>
        <w:jc w:val="both"/>
        <w:rPr>
          <w:color w:val="000000" w:themeColor="text1"/>
          <w:sz w:val="16"/>
          <w:szCs w:val="16"/>
        </w:rPr>
      </w:pPr>
      <w:r w:rsidRPr="00507A31">
        <w:rPr>
          <w:color w:val="000000" w:themeColor="text1"/>
          <w:sz w:val="16"/>
          <w:szCs w:val="16"/>
        </w:rPr>
        <w:t>АВП РФ. Ф. 056. On. 15. П. 31. Д. 9. Л. 135-135 об.</w:t>
      </w:r>
    </w:p>
    <w:p w14:paraId="2C61FDFA"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24 декабря 1930 г.</w:t>
      </w:r>
    </w:p>
    <w:p w14:paraId="46593DB5" w14:textId="77777777" w:rsidR="00FA2748" w:rsidRPr="00507A31" w:rsidRDefault="00FA2748"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68A11315"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тов. Аренсу</w:t>
      </w:r>
    </w:p>
    <w:p w14:paraId="0665EDAA"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копии тт. Крестинскому и Штейну</w:t>
      </w:r>
    </w:p>
    <w:p w14:paraId="0F5B4EDB"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Уважаемый товарищ,</w:t>
      </w:r>
    </w:p>
    <w:p w14:paraId="3CECCE99" w14:textId="77777777" w:rsidR="00FA2748" w:rsidRPr="00507A31" w:rsidRDefault="00FA2748" w:rsidP="00507A31">
      <w:pPr>
        <w:numPr>
          <w:ilvl w:val="0"/>
          <w:numId w:val="167"/>
        </w:numPr>
        <w:ind w:left="0" w:firstLine="0"/>
        <w:jc w:val="both"/>
        <w:rPr>
          <w:color w:val="000000" w:themeColor="text1"/>
          <w:sz w:val="16"/>
          <w:szCs w:val="16"/>
        </w:rPr>
      </w:pPr>
      <w:r w:rsidRPr="00507A31">
        <w:rPr>
          <w:color w:val="000000" w:themeColor="text1"/>
          <w:sz w:val="16"/>
          <w:szCs w:val="16"/>
        </w:rPr>
        <w:t>Ко мне приходил Киш. Я с ним говорил о проекте составления им книги[,] посвященной процессу. Киш на это ответил, что в настоящее время интерес к процессу в Германии равен почти нулю. Зегерс, присутствовавшая на процессе и пользующаяся в Германии репутацией первоклассной писательницы[,] послала ряд статей в крупные газеты, но ни одна из них не была напечатана. Поэтому Киш считает, что издание им книги, которая будет готова через пару месяцев, не представляет интереса. Он вскоре приступит к составлению книги о Пятилетием плане и там посвятит несколько глав вредительству. Мне кажется, что этот проект Киша является вполне целесообразным. Далее для Вашей информации сообщаю, что в начале февраля Киш переезжает на постоянное жительство в Москву, причем, по его словам, он будет сотрудничать в ряде крупных буржуазных газет в Германии и др. странах.</w:t>
      </w:r>
    </w:p>
    <w:p w14:paraId="63BE8F68" w14:textId="77777777" w:rsidR="00FA2748" w:rsidRPr="00507A31" w:rsidRDefault="00FA2748" w:rsidP="00507A31">
      <w:pPr>
        <w:numPr>
          <w:ilvl w:val="0"/>
          <w:numId w:val="167"/>
        </w:numPr>
        <w:ind w:left="0" w:firstLine="0"/>
        <w:jc w:val="both"/>
        <w:rPr>
          <w:color w:val="000000" w:themeColor="text1"/>
          <w:sz w:val="16"/>
          <w:szCs w:val="16"/>
        </w:rPr>
      </w:pPr>
      <w:r w:rsidRPr="00507A31">
        <w:rPr>
          <w:color w:val="000000" w:themeColor="text1"/>
          <w:sz w:val="16"/>
          <w:szCs w:val="16"/>
        </w:rPr>
        <w:t>Я в настоящий момент и на ближайшее будущее имею возможность провести в [«]Берзне Цейтунг[»] (отдел Хандель мит дем Остен) ряд наших статей экономического характера, посвященных положению отдельных промышленных отраслей. В первую очередь сюда относятся статьи: о нефтяной промышленности, калийной, марганцевой, машиностроительной. Параллельно с этим возможно помещение статей, осв[е]щающих положение нашего сельского хозяйства. Условием напечатания этих статей является необходимость, чтобы их авторами были наши крупные хозяйственники, как[,] например[,] Рябовол, Ломов и др. Я прекрасно понимаю, как Вам трудно получить подобные статьи, в частности, я Вам очень благодарен, что Вы информировали меня о причинах неудачи с интервью т. Цихона. Тем не менее я считаю, что проведение подобных статей в [«]Берзен Цейтунг[»] имело бы весьма крупное положительное значение.</w:t>
      </w:r>
    </w:p>
    <w:p w14:paraId="20908218" w14:textId="77777777" w:rsidR="00FA2748" w:rsidRPr="00507A31" w:rsidRDefault="00FA2748" w:rsidP="00507A31">
      <w:pPr>
        <w:numPr>
          <w:ilvl w:val="0"/>
          <w:numId w:val="167"/>
        </w:numPr>
        <w:ind w:left="0" w:firstLine="0"/>
        <w:jc w:val="both"/>
        <w:rPr>
          <w:color w:val="000000" w:themeColor="text1"/>
          <w:sz w:val="16"/>
          <w:szCs w:val="16"/>
        </w:rPr>
      </w:pPr>
      <w:r w:rsidRPr="00507A31">
        <w:rPr>
          <w:color w:val="000000" w:themeColor="text1"/>
          <w:sz w:val="16"/>
          <w:szCs w:val="16"/>
        </w:rPr>
        <w:t>На днях в Москву выезжает Евгений Иванович Пепель. Он русский немец, долго работал в Торгпредстве, специалист по вопросам Дальнего Востока. Едет он в качестве корреспондента Мюнценберговских изданий. Он, в последнем разговоре со мною, сообщил мне, что имеет возможность, благодаря дружественной связи[,] корреспондировать в орган немецких зарубежных организаций «Аусландсварте», обычно помещающего материалы, нам далеко не дружественные. Основная трудность, это та, что Пепель боится в связи с этим испортить отношения с Мюнценбергом. Он после приезда явится к Вам и будет говорить на эту тему.</w:t>
      </w:r>
    </w:p>
    <w:p w14:paraId="62DB891D" w14:textId="77777777" w:rsidR="00FA2748" w:rsidRPr="00507A31" w:rsidRDefault="00FA2748" w:rsidP="00507A31">
      <w:pPr>
        <w:pStyle w:val="rtejustify"/>
        <w:spacing w:before="0" w:after="0"/>
        <w:rPr>
          <w:color w:val="000000" w:themeColor="text1"/>
          <w:sz w:val="16"/>
          <w:szCs w:val="16"/>
        </w:rPr>
      </w:pPr>
      <w:r w:rsidRPr="00507A31">
        <w:rPr>
          <w:color w:val="000000" w:themeColor="text1"/>
          <w:sz w:val="16"/>
          <w:szCs w:val="16"/>
        </w:rPr>
        <w:t>С тов. приветом</w:t>
      </w:r>
    </w:p>
    <w:p w14:paraId="1B2818CB" w14:textId="77777777" w:rsidR="00FA2748" w:rsidRPr="00507A31" w:rsidRDefault="00FA2748" w:rsidP="00507A31">
      <w:pPr>
        <w:pStyle w:val="ae"/>
        <w:spacing w:before="0" w:after="0"/>
        <w:jc w:val="both"/>
        <w:rPr>
          <w:color w:val="000000" w:themeColor="text1"/>
          <w:sz w:val="16"/>
          <w:szCs w:val="16"/>
        </w:rPr>
      </w:pPr>
      <w:r w:rsidRPr="00507A31">
        <w:rPr>
          <w:color w:val="000000" w:themeColor="text1"/>
          <w:sz w:val="16"/>
          <w:szCs w:val="16"/>
        </w:rPr>
        <w:t>Д. Штерн</w:t>
      </w:r>
    </w:p>
    <w:p w14:paraId="6C4BF5DD" w14:textId="77777777" w:rsidR="00FA2748" w:rsidRPr="00507A31" w:rsidRDefault="00FA2748"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056. On. 15. П. 31. Д. 9. Л. 135-135 об. Машинописный подлинник на бланке Полпредства СССР в Германии, подпись Штерна — автограф. Гриф секретности и дата машинописью, исходящий номер «№ 1591» от руки в графе бланка. Вверху Л. 135 написаны от руки входящий номер и дата получения документа «28/ХII-30 г.»; подпись-росчерк Миронова о прочтении письма (18889).</w:t>
      </w:r>
    </w:p>
    <w:p w14:paraId="3924227C" w14:textId="77777777" w:rsidR="00FA2748" w:rsidRPr="00507A31" w:rsidRDefault="00FA2748" w:rsidP="00507A31">
      <w:pPr>
        <w:jc w:val="both"/>
        <w:rPr>
          <w:color w:val="000000" w:themeColor="text1"/>
          <w:sz w:val="16"/>
          <w:szCs w:val="16"/>
        </w:rPr>
      </w:pPr>
    </w:p>
    <w:p w14:paraId="3A4BCAF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8B6FA85" w14:textId="77777777" w:rsidR="00537E5F" w:rsidRPr="00507A31" w:rsidRDefault="00537E5F" w:rsidP="00507A31">
      <w:pPr>
        <w:autoSpaceDE w:val="0"/>
        <w:autoSpaceDN w:val="0"/>
        <w:adjustRightInd w:val="0"/>
        <w:jc w:val="both"/>
        <w:rPr>
          <w:iCs/>
          <w:color w:val="000000" w:themeColor="text1"/>
          <w:sz w:val="16"/>
          <w:szCs w:val="16"/>
        </w:rPr>
      </w:pPr>
    </w:p>
    <w:p w14:paraId="6EB5730A" w14:textId="77777777" w:rsidR="00B85E59" w:rsidRPr="00507A31" w:rsidRDefault="00B85E59" w:rsidP="00507A31">
      <w:pPr>
        <w:jc w:val="both"/>
        <w:rPr>
          <w:color w:val="000000" w:themeColor="text1"/>
          <w:sz w:val="16"/>
          <w:szCs w:val="16"/>
          <w:u w:color="002060"/>
        </w:rPr>
      </w:pPr>
      <w:r w:rsidRPr="00507A31">
        <w:rPr>
          <w:color w:val="000000" w:themeColor="text1"/>
          <w:sz w:val="16"/>
          <w:szCs w:val="16"/>
          <w:u w:color="002060"/>
        </w:rPr>
        <w:t>25 декабря</w:t>
      </w:r>
      <w:r w:rsidRPr="00507A31">
        <w:rPr>
          <w:color w:val="000000" w:themeColor="text1"/>
          <w:sz w:val="16"/>
          <w:szCs w:val="16"/>
        </w:rPr>
        <w:t xml:space="preserve"> 1930 г</w:t>
      </w:r>
      <w:r w:rsidRPr="00507A31">
        <w:rPr>
          <w:color w:val="000000" w:themeColor="text1"/>
          <w:sz w:val="16"/>
          <w:szCs w:val="16"/>
          <w:u w:color="002060"/>
        </w:rPr>
        <w:t>. Протокол заседания Политбюро ЦК ВКП(б) № 21. 20. О ходе работ на Сталинградском тракторном заводе (ПБ от 10 декабря 1930 г., пр. № 20, п. 4/10). Решения ПБ от 23 декабря 1930 г. 11/40. О подводных лодках (Ворошилов). — ОП. Постановили: разрешить Реввоенсовету заложить 3 подводных лодки доложенной т. Ворошиловым конструкции. 13/42. Доклад ВСНХ о состоянии производств, обслуживающих автотракторную промышленность (ПБ от 30 октября 1930 г., пр. № 14, п. 13/15, из прил. п. 18). 20/49. О броне подростков (ПБ от 5 декабря 1929 г., пр. № 108, п. 22, из прил. разд. IV, п. 3). Опросом членов ПБ от 25 декабря 1930 г. 64/65. О заявке ВСНХ на военное снабжение (ПБ от 15 декабря 1930 г., пр. № 20, п. 12) (Молотов). — ОП. (Политбюро... Т. 2. С. 109, 110, 111, 112; РГАСПИ. Ф. 17. Оп. 162. Д. 9. Л. 104) (12416).</w:t>
      </w:r>
    </w:p>
    <w:p w14:paraId="420B45B6" w14:textId="77777777" w:rsidR="00B85E59" w:rsidRPr="00507A31" w:rsidRDefault="00B85E59" w:rsidP="00507A31">
      <w:pPr>
        <w:jc w:val="both"/>
        <w:rPr>
          <w:color w:val="000000" w:themeColor="text1"/>
          <w:sz w:val="16"/>
          <w:szCs w:val="16"/>
          <w:u w:color="002060"/>
        </w:rPr>
      </w:pPr>
    </w:p>
    <w:p w14:paraId="457E335B" w14:textId="77777777" w:rsidR="00B85E59" w:rsidRPr="00507A31" w:rsidRDefault="00B85E59" w:rsidP="00507A31">
      <w:pPr>
        <w:jc w:val="both"/>
        <w:rPr>
          <w:color w:val="000000" w:themeColor="text1"/>
          <w:sz w:val="16"/>
          <w:szCs w:val="16"/>
          <w:u w:color="002060"/>
        </w:rPr>
      </w:pPr>
      <w:r w:rsidRPr="00507A31">
        <w:rPr>
          <w:color w:val="000000" w:themeColor="text1"/>
          <w:sz w:val="16"/>
          <w:szCs w:val="16"/>
          <w:u w:color="002060"/>
        </w:rPr>
        <w:t>25 декабря</w:t>
      </w:r>
      <w:r w:rsidRPr="00507A31">
        <w:rPr>
          <w:color w:val="000000" w:themeColor="text1"/>
          <w:sz w:val="16"/>
          <w:szCs w:val="16"/>
        </w:rPr>
        <w:t xml:space="preserve"> 1930 г</w:t>
      </w:r>
      <w:r w:rsidRPr="00507A31">
        <w:rPr>
          <w:color w:val="000000" w:themeColor="text1"/>
          <w:sz w:val="16"/>
          <w:szCs w:val="16"/>
          <w:u w:color="002060"/>
        </w:rPr>
        <w:t>. Постановление СТО СССР № 135сс о позаимствовании из мобилизационного фонда каучука для ленинградских заводов (ГА РФ. Ф. Р?8418. Оп. 28. Д. 1а. Л. 1) (12415).</w:t>
      </w:r>
    </w:p>
    <w:p w14:paraId="1584F48A" w14:textId="77777777" w:rsidR="00B85E59" w:rsidRPr="00507A31" w:rsidRDefault="00B85E59" w:rsidP="00507A31">
      <w:pPr>
        <w:jc w:val="both"/>
        <w:rPr>
          <w:color w:val="000000" w:themeColor="text1"/>
          <w:sz w:val="16"/>
          <w:szCs w:val="16"/>
          <w:u w:color="002060"/>
        </w:rPr>
      </w:pPr>
    </w:p>
    <w:p w14:paraId="28A61A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 декабря 1930 года начальник УММ И. Халепский на</w:t>
      </w:r>
      <w:r w:rsidRPr="00507A31">
        <w:rPr>
          <w:color w:val="000000" w:themeColor="text1"/>
          <w:sz w:val="16"/>
          <w:szCs w:val="16"/>
        </w:rPr>
        <w:softHyphen/>
        <w:t>правил Дыренкову следующее распоряжение: «...Разработ</w:t>
      </w:r>
      <w:r w:rsidRPr="00507A31">
        <w:rPr>
          <w:color w:val="000000" w:themeColor="text1"/>
          <w:sz w:val="16"/>
          <w:szCs w:val="16"/>
        </w:rPr>
        <w:softHyphen/>
        <w:t>ка проекта бронеавтомобиля «Мореланд» по чертежу С-1741 — изготовить 2 образца одного и того же типа ука</w:t>
      </w:r>
      <w:r w:rsidRPr="00507A31">
        <w:rPr>
          <w:color w:val="000000" w:themeColor="text1"/>
          <w:sz w:val="16"/>
          <w:szCs w:val="16"/>
        </w:rPr>
        <w:softHyphen/>
        <w:t>занного чертежа, корпус сварной с установкой стробоско</w:t>
      </w:r>
      <w:r w:rsidRPr="00507A31">
        <w:rPr>
          <w:color w:val="000000" w:themeColor="text1"/>
          <w:sz w:val="16"/>
          <w:szCs w:val="16"/>
        </w:rPr>
        <w:softHyphen/>
        <w:t>па. Срок изготовления 1 февраля 1931 года.</w:t>
      </w:r>
    </w:p>
    <w:p w14:paraId="075C9E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Одновременно предлагается Вам взять «Тимкен» шасси «Форд», находящееся на Ижорском заводе и, используя все материалы, которые сделаны КБ завода с целью закончить его бронирование по тем техническим данным, которые были выданы поэтому типу машины для бронирования. Срок изготовления к 1 февраля 1931 года. Корпус сварной из котельного железа.</w:t>
      </w:r>
    </w:p>
    <w:p w14:paraId="0747C5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Одновременно предлагается Вам взять под свое наблю</w:t>
      </w:r>
      <w:r w:rsidRPr="00507A31">
        <w:rPr>
          <w:color w:val="000000" w:themeColor="text1"/>
          <w:sz w:val="16"/>
          <w:szCs w:val="16"/>
        </w:rPr>
        <w:softHyphen/>
        <w:t>дение и руководство бронирование всех опытных образцов и массовой продукции по бронированным машинам на Ижорском заводе. Военпреды т. Шаров и т. Жуков обязаны оказывать Вам всяческое содействие.</w:t>
      </w:r>
    </w:p>
    <w:p w14:paraId="677190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Предлагается Вам проработать вопрос с точки зрения выпуска первых бронеавтомобилей «Мореланд», «Форд-А» (легкий) и «Форд-АА» (шестиколесный) из расчета... выпу</w:t>
      </w:r>
      <w:r w:rsidRPr="00507A31">
        <w:rPr>
          <w:color w:val="000000" w:themeColor="text1"/>
          <w:sz w:val="16"/>
          <w:szCs w:val="16"/>
        </w:rPr>
        <w:softHyphen/>
        <w:t>стить за весь 1931 год 50 «Форд-А» 50 «Форд-АА» и 50 «Мо</w:t>
      </w:r>
      <w:r w:rsidRPr="00507A31">
        <w:rPr>
          <w:color w:val="000000" w:themeColor="text1"/>
          <w:sz w:val="16"/>
          <w:szCs w:val="16"/>
        </w:rPr>
        <w:softHyphen/>
        <w:t>реланд» (11284).</w:t>
      </w:r>
    </w:p>
    <w:p w14:paraId="0ACDE5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7DB6A0C" w14:textId="77777777" w:rsidR="00B85E59" w:rsidRPr="00507A31" w:rsidRDefault="00B85E59" w:rsidP="00507A31">
      <w:pPr>
        <w:jc w:val="both"/>
        <w:rPr>
          <w:color w:val="000000" w:themeColor="text1"/>
          <w:sz w:val="16"/>
          <w:szCs w:val="16"/>
        </w:rPr>
      </w:pPr>
      <w:r w:rsidRPr="00507A31">
        <w:rPr>
          <w:color w:val="000000" w:themeColor="text1"/>
          <w:sz w:val="16"/>
          <w:szCs w:val="16"/>
        </w:rPr>
        <w:t>25 декабря 1930 г. — Докладная записка начальника Военно-морской инспекции НК РКИ СССР Н. В. Куйбышева заместителю наркома РКИ СССР И. А. Акулову о выполнении плановых заданий заводами военной промышленности в 1929/30 г.</w:t>
      </w:r>
    </w:p>
    <w:p w14:paraId="57800009" w14:textId="77777777" w:rsidR="00B85E59" w:rsidRPr="00507A31" w:rsidRDefault="00B85E59" w:rsidP="00507A31">
      <w:pPr>
        <w:jc w:val="both"/>
        <w:rPr>
          <w:color w:val="000000" w:themeColor="text1"/>
          <w:sz w:val="16"/>
          <w:szCs w:val="16"/>
        </w:rPr>
      </w:pPr>
      <w:r w:rsidRPr="00507A31">
        <w:rPr>
          <w:rStyle w:val="af0"/>
          <w:i w:val="0"/>
          <w:color w:val="000000" w:themeColor="text1"/>
          <w:sz w:val="16"/>
          <w:szCs w:val="16"/>
        </w:rPr>
        <w:t>Совершенно секретно.</w:t>
      </w:r>
    </w:p>
    <w:p w14:paraId="648E4384"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Контрольные цифры на 1931 г. намечают объем капитальных вложений в военную промышленность (без учета узко оборонных работ по гражданской промышленности и без Авиаобъединения) порядка 320</w:t>
      </w:r>
      <w:r w:rsidRPr="00507A31">
        <w:rPr>
          <w:color w:val="000000" w:themeColor="text1"/>
          <w:sz w:val="16"/>
          <w:szCs w:val="16"/>
        </w:rPr>
        <w:noBreakHyphen/>
        <w:t>330 млн. руб. Цифры предусматривают весьма значительное увеличение мощностей заводов по военной продукции. Так, по производству гаубиц мощность растет в 3,5 раза, по взрывателям в 3 раза и, наконец, мощность пороховых заводов с 25 тыс. т порохов должна вырасти до 52 тыс. т.</w:t>
      </w:r>
    </w:p>
    <w:p w14:paraId="40C10E86"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Необходимость столь значительного роста мощностей заводов за такой короткий период, вызывающая крайнюю напряженность плана капит[альных] работ по военной промышленности на 1931 г., объясняется в первую очередь совершенно неудовлетворительным выполнением плана капитального] строительства по заводам военной промышленности в 1928/29 и 1929/30 гг., причем, по имеющимся предварительным данным, и особый квартал не создал в этом отношении сколько-нибудь заметного перелома. Необходимо со всей определенностью констатировать, что ряд важнейших партийных и правительственных решений, обязывавших ВСНХ СССР на основе утвержденных ассигнований обеспечить мощности в случае войны в 24 млн. артиллерийских выстрелов, а по подаче в первый год войны — 19 млн. артвыстрелов и по орудиям — в размере заявки НКВМора, а именно 3397 орудий (без малокалиберной и морской артиллерии), не выполнен до настоящего времени и по ряду важнейших объектов имеется налицо срыв строительства не только к установленным ранее срокам, но даже к концу 1929/30 г. и особого квартала. По отдельным объединениям положение с выполнением капитальных работ по плану 1928/29 и 1929/30 гг. характеризуется следующим.</w:t>
      </w:r>
    </w:p>
    <w:p w14:paraId="4956EFEA" w14:textId="77777777" w:rsidR="00B85E59" w:rsidRPr="00507A31" w:rsidRDefault="00B85E59" w:rsidP="00507A31">
      <w:pPr>
        <w:jc w:val="both"/>
        <w:rPr>
          <w:color w:val="000000" w:themeColor="text1"/>
          <w:sz w:val="16"/>
          <w:szCs w:val="16"/>
        </w:rPr>
      </w:pPr>
      <w:r w:rsidRPr="00507A31">
        <w:rPr>
          <w:color w:val="000000" w:themeColor="text1"/>
          <w:sz w:val="16"/>
          <w:szCs w:val="16"/>
        </w:rPr>
        <w:t>Военно-химический трест</w:t>
      </w:r>
    </w:p>
    <w:p w14:paraId="273EB78E"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Самым «узким» местом в снабжении Красной армии артилл[ерийскими] выстрелами и винтпатронами являются пороха. Еще в 1928 г. решением Президиума ВСНХ (по докладу Комиссии т. </w:t>
      </w:r>
      <w:hyperlink r:id="rId186" w:history="1">
        <w:r w:rsidRPr="00507A31">
          <w:rPr>
            <w:color w:val="000000" w:themeColor="text1"/>
            <w:sz w:val="16"/>
            <w:szCs w:val="16"/>
          </w:rPr>
          <w:t>Косиора</w:t>
        </w:r>
      </w:hyperlink>
      <w:r w:rsidRPr="00507A31">
        <w:rPr>
          <w:color w:val="000000" w:themeColor="text1"/>
          <w:sz w:val="16"/>
          <w:szCs w:val="16"/>
        </w:rPr>
        <w:t>) был утвержден план развития пороховых заводов, по которому мощность этих заводов должна была расти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77"/>
        <w:gridCol w:w="3048"/>
        <w:gridCol w:w="2849"/>
        <w:gridCol w:w="3048"/>
      </w:tblGrid>
      <w:tr w:rsidR="00E371BA" w:rsidRPr="00507A31" w14:paraId="26CD1EC3"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C148A5E" w14:textId="77777777" w:rsidR="00B85E59" w:rsidRPr="00507A31" w:rsidRDefault="00B85E59" w:rsidP="00507A31">
            <w:pPr>
              <w:jc w:val="both"/>
              <w:rPr>
                <w:color w:val="000000" w:themeColor="text1"/>
                <w:sz w:val="16"/>
                <w:szCs w:val="16"/>
              </w:rPr>
            </w:pPr>
            <w:r w:rsidRPr="00507A31">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D1270" w14:textId="77777777" w:rsidR="00B85E59" w:rsidRPr="00507A31" w:rsidRDefault="00B85E59" w:rsidP="00507A31">
            <w:pPr>
              <w:jc w:val="both"/>
              <w:rPr>
                <w:color w:val="000000" w:themeColor="text1"/>
                <w:sz w:val="16"/>
                <w:szCs w:val="16"/>
              </w:rPr>
            </w:pPr>
            <w:r w:rsidRPr="00507A31">
              <w:rPr>
                <w:color w:val="000000" w:themeColor="text1"/>
                <w:sz w:val="16"/>
                <w:szCs w:val="16"/>
              </w:rPr>
              <w:t>1 октября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927CF" w14:textId="77777777" w:rsidR="00B85E59" w:rsidRPr="00507A31" w:rsidRDefault="00B85E59" w:rsidP="00507A31">
            <w:pPr>
              <w:jc w:val="both"/>
              <w:rPr>
                <w:color w:val="000000" w:themeColor="text1"/>
                <w:sz w:val="16"/>
                <w:szCs w:val="16"/>
              </w:rPr>
            </w:pPr>
            <w:r w:rsidRPr="00507A31">
              <w:rPr>
                <w:color w:val="000000" w:themeColor="text1"/>
                <w:sz w:val="16"/>
                <w:szCs w:val="16"/>
              </w:rPr>
              <w:t>1 января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8F0DD" w14:textId="77777777" w:rsidR="00B85E59" w:rsidRPr="00507A31" w:rsidRDefault="00B85E59" w:rsidP="00507A31">
            <w:pPr>
              <w:jc w:val="both"/>
              <w:rPr>
                <w:color w:val="000000" w:themeColor="text1"/>
                <w:sz w:val="16"/>
                <w:szCs w:val="16"/>
              </w:rPr>
            </w:pPr>
            <w:r w:rsidRPr="00507A31">
              <w:rPr>
                <w:color w:val="000000" w:themeColor="text1"/>
                <w:sz w:val="16"/>
                <w:szCs w:val="16"/>
              </w:rPr>
              <w:t>1 октября 1930 г.</w:t>
            </w:r>
          </w:p>
        </w:tc>
      </w:tr>
      <w:tr w:rsidR="00E371BA" w:rsidRPr="00507A31" w14:paraId="7E95CF31"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621D577" w14:textId="77777777" w:rsidR="00B85E59" w:rsidRPr="00507A31" w:rsidRDefault="00B85E59" w:rsidP="00507A31">
            <w:pPr>
              <w:jc w:val="both"/>
              <w:rPr>
                <w:color w:val="000000" w:themeColor="text1"/>
                <w:sz w:val="16"/>
                <w:szCs w:val="16"/>
              </w:rPr>
            </w:pPr>
            <w:r w:rsidRPr="00507A31">
              <w:rPr>
                <w:color w:val="000000" w:themeColor="text1"/>
                <w:sz w:val="16"/>
                <w:szCs w:val="16"/>
              </w:rPr>
              <w:t>Казанский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6F9AA" w14:textId="77777777" w:rsidR="00B85E59" w:rsidRPr="00507A31" w:rsidRDefault="00B85E59" w:rsidP="00507A31">
            <w:pPr>
              <w:jc w:val="both"/>
              <w:rPr>
                <w:color w:val="000000" w:themeColor="text1"/>
                <w:sz w:val="16"/>
                <w:szCs w:val="16"/>
              </w:rPr>
            </w:pPr>
            <w:r w:rsidRPr="00507A31">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4DAE1" w14:textId="77777777" w:rsidR="00B85E59" w:rsidRPr="00507A31" w:rsidRDefault="00B85E59" w:rsidP="00507A31">
            <w:pPr>
              <w:jc w:val="both"/>
              <w:rPr>
                <w:color w:val="000000" w:themeColor="text1"/>
                <w:sz w:val="16"/>
                <w:szCs w:val="16"/>
              </w:rPr>
            </w:pPr>
            <w:r w:rsidRPr="00507A31">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DC7C6" w14:textId="77777777" w:rsidR="00B85E59" w:rsidRPr="00507A31" w:rsidRDefault="00B85E59" w:rsidP="00507A31">
            <w:pPr>
              <w:jc w:val="both"/>
              <w:rPr>
                <w:color w:val="000000" w:themeColor="text1"/>
                <w:sz w:val="16"/>
                <w:szCs w:val="16"/>
              </w:rPr>
            </w:pPr>
            <w:r w:rsidRPr="00507A31">
              <w:rPr>
                <w:color w:val="000000" w:themeColor="text1"/>
                <w:sz w:val="16"/>
                <w:szCs w:val="16"/>
              </w:rPr>
              <w:t>12 000</w:t>
            </w:r>
          </w:p>
        </w:tc>
      </w:tr>
      <w:tr w:rsidR="00E371BA" w:rsidRPr="00507A31" w14:paraId="112DBA8E"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543A89F4" w14:textId="77777777" w:rsidR="00B85E59" w:rsidRPr="00507A31" w:rsidRDefault="00B85E59" w:rsidP="00507A31">
            <w:pPr>
              <w:jc w:val="both"/>
              <w:rPr>
                <w:color w:val="000000" w:themeColor="text1"/>
                <w:sz w:val="16"/>
                <w:szCs w:val="16"/>
              </w:rPr>
            </w:pPr>
            <w:r w:rsidRPr="00507A31">
              <w:rPr>
                <w:color w:val="000000" w:themeColor="text1"/>
                <w:sz w:val="16"/>
                <w:szCs w:val="16"/>
              </w:rPr>
              <w:t>им. 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B38EB" w14:textId="77777777" w:rsidR="00B85E59" w:rsidRPr="00507A31" w:rsidRDefault="00B85E59" w:rsidP="00507A31">
            <w:pPr>
              <w:jc w:val="both"/>
              <w:rPr>
                <w:color w:val="000000" w:themeColor="text1"/>
                <w:sz w:val="16"/>
                <w:szCs w:val="16"/>
              </w:rPr>
            </w:pPr>
            <w:r w:rsidRPr="00507A31">
              <w:rPr>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3830F" w14:textId="77777777" w:rsidR="00B85E59" w:rsidRPr="00507A31" w:rsidRDefault="00B85E59" w:rsidP="00507A31">
            <w:pPr>
              <w:jc w:val="both"/>
              <w:rPr>
                <w:color w:val="000000" w:themeColor="text1"/>
                <w:sz w:val="16"/>
                <w:szCs w:val="16"/>
              </w:rPr>
            </w:pPr>
            <w:r w:rsidRPr="00507A31">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C1AD" w14:textId="77777777" w:rsidR="00B85E59" w:rsidRPr="00507A31" w:rsidRDefault="00B85E59" w:rsidP="00507A31">
            <w:pPr>
              <w:jc w:val="both"/>
              <w:rPr>
                <w:color w:val="000000" w:themeColor="text1"/>
                <w:sz w:val="16"/>
                <w:szCs w:val="16"/>
              </w:rPr>
            </w:pPr>
            <w:r w:rsidRPr="00507A31">
              <w:rPr>
                <w:color w:val="000000" w:themeColor="text1"/>
                <w:sz w:val="16"/>
                <w:szCs w:val="16"/>
              </w:rPr>
              <w:t>4000</w:t>
            </w:r>
          </w:p>
        </w:tc>
      </w:tr>
      <w:tr w:rsidR="00E371BA" w:rsidRPr="00507A31" w14:paraId="265F834F"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25A8F9D" w14:textId="77777777" w:rsidR="00B85E59" w:rsidRPr="00507A31" w:rsidRDefault="00B85E59" w:rsidP="00507A31">
            <w:pPr>
              <w:jc w:val="both"/>
              <w:rPr>
                <w:color w:val="000000" w:themeColor="text1"/>
                <w:sz w:val="16"/>
                <w:szCs w:val="16"/>
              </w:rPr>
            </w:pPr>
            <w:r w:rsidRPr="00507A31">
              <w:rPr>
                <w:color w:val="000000" w:themeColor="text1"/>
                <w:sz w:val="16"/>
                <w:szCs w:val="16"/>
              </w:rPr>
              <w:t>Шостенский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42C17" w14:textId="77777777" w:rsidR="00B85E59" w:rsidRPr="00507A31" w:rsidRDefault="00B85E59" w:rsidP="00507A31">
            <w:pPr>
              <w:jc w:val="both"/>
              <w:rPr>
                <w:color w:val="000000" w:themeColor="text1"/>
                <w:sz w:val="16"/>
                <w:szCs w:val="16"/>
              </w:rPr>
            </w:pPr>
            <w:r w:rsidRPr="00507A31">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C2EB8" w14:textId="77777777" w:rsidR="00B85E59" w:rsidRPr="00507A31" w:rsidRDefault="00B85E59" w:rsidP="00507A31">
            <w:pPr>
              <w:jc w:val="both"/>
              <w:rPr>
                <w:color w:val="000000" w:themeColor="text1"/>
                <w:sz w:val="16"/>
                <w:szCs w:val="16"/>
              </w:rPr>
            </w:pPr>
            <w:r w:rsidRPr="00507A31">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923CF" w14:textId="77777777" w:rsidR="00B85E59" w:rsidRPr="00507A31" w:rsidRDefault="00B85E59" w:rsidP="00507A31">
            <w:pPr>
              <w:jc w:val="both"/>
              <w:rPr>
                <w:color w:val="000000" w:themeColor="text1"/>
                <w:sz w:val="16"/>
                <w:szCs w:val="16"/>
              </w:rPr>
            </w:pPr>
            <w:r w:rsidRPr="00507A31">
              <w:rPr>
                <w:color w:val="000000" w:themeColor="text1"/>
                <w:sz w:val="16"/>
                <w:szCs w:val="16"/>
              </w:rPr>
              <w:t>12 000</w:t>
            </w:r>
          </w:p>
        </w:tc>
      </w:tr>
      <w:tr w:rsidR="00E371BA" w:rsidRPr="00507A31" w14:paraId="66FD9D64"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393D2FA3" w14:textId="77777777" w:rsidR="00B85E59" w:rsidRPr="00507A31" w:rsidRDefault="00B85E59" w:rsidP="00507A31">
            <w:pPr>
              <w:jc w:val="both"/>
              <w:rPr>
                <w:color w:val="000000" w:themeColor="text1"/>
                <w:sz w:val="16"/>
                <w:szCs w:val="16"/>
              </w:rPr>
            </w:pPr>
            <w:r w:rsidRPr="00507A31">
              <w:rPr>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9540E" w14:textId="77777777" w:rsidR="00B85E59" w:rsidRPr="00507A31" w:rsidRDefault="00B85E59" w:rsidP="00507A31">
            <w:pPr>
              <w:jc w:val="both"/>
              <w:rPr>
                <w:color w:val="000000" w:themeColor="text1"/>
                <w:sz w:val="16"/>
                <w:szCs w:val="16"/>
              </w:rPr>
            </w:pPr>
            <w:r w:rsidRPr="00507A31">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AA71B" w14:textId="77777777" w:rsidR="00B85E59" w:rsidRPr="00507A31" w:rsidRDefault="00B85E59" w:rsidP="00507A31">
            <w:pPr>
              <w:jc w:val="both"/>
              <w:rPr>
                <w:color w:val="000000" w:themeColor="text1"/>
                <w:sz w:val="16"/>
                <w:szCs w:val="16"/>
              </w:rPr>
            </w:pPr>
            <w:r w:rsidRPr="00507A31">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980C4" w14:textId="77777777" w:rsidR="00B85E59" w:rsidRPr="00507A31" w:rsidRDefault="00B85E59" w:rsidP="00507A31">
            <w:pPr>
              <w:jc w:val="both"/>
              <w:rPr>
                <w:color w:val="000000" w:themeColor="text1"/>
                <w:sz w:val="16"/>
                <w:szCs w:val="16"/>
              </w:rPr>
            </w:pPr>
            <w:r w:rsidRPr="00507A31">
              <w:rPr>
                <w:color w:val="000000" w:themeColor="text1"/>
                <w:sz w:val="16"/>
                <w:szCs w:val="16"/>
              </w:rPr>
              <w:t>10 000</w:t>
            </w:r>
          </w:p>
        </w:tc>
      </w:tr>
      <w:tr w:rsidR="00E371BA" w:rsidRPr="00507A31" w14:paraId="3F37E7B6"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A8BFC64" w14:textId="77777777" w:rsidR="00B85E59" w:rsidRPr="00507A31" w:rsidRDefault="00B85E59" w:rsidP="00507A31">
            <w:pPr>
              <w:jc w:val="both"/>
              <w:rPr>
                <w:color w:val="000000" w:themeColor="text1"/>
                <w:sz w:val="16"/>
                <w:szCs w:val="16"/>
              </w:rPr>
            </w:pPr>
            <w:r w:rsidRPr="00507A31">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E53DB" w14:textId="77777777" w:rsidR="00B85E59" w:rsidRPr="00507A31" w:rsidRDefault="00B85E59" w:rsidP="00507A31">
            <w:pPr>
              <w:jc w:val="both"/>
              <w:rPr>
                <w:color w:val="000000" w:themeColor="text1"/>
                <w:sz w:val="16"/>
                <w:szCs w:val="16"/>
              </w:rPr>
            </w:pPr>
            <w:r w:rsidRPr="00507A31">
              <w:rPr>
                <w:color w:val="000000" w:themeColor="text1"/>
                <w:sz w:val="16"/>
                <w:szCs w:val="16"/>
              </w:rPr>
              <w:t>16 165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3D5FE" w14:textId="77777777" w:rsidR="00B85E59" w:rsidRPr="00507A31" w:rsidRDefault="00B85E59" w:rsidP="00507A31">
            <w:pPr>
              <w:jc w:val="both"/>
              <w:rPr>
                <w:color w:val="000000" w:themeColor="text1"/>
                <w:sz w:val="16"/>
                <w:szCs w:val="16"/>
              </w:rPr>
            </w:pPr>
            <w:r w:rsidRPr="00507A31">
              <w:rPr>
                <w:color w:val="000000" w:themeColor="text1"/>
                <w:sz w:val="16"/>
                <w:szCs w:val="16"/>
              </w:rPr>
              <w:t>27 000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55E84" w14:textId="77777777" w:rsidR="00B85E59" w:rsidRPr="00507A31" w:rsidRDefault="00B85E59" w:rsidP="00507A31">
            <w:pPr>
              <w:jc w:val="both"/>
              <w:rPr>
                <w:color w:val="000000" w:themeColor="text1"/>
                <w:sz w:val="16"/>
                <w:szCs w:val="16"/>
              </w:rPr>
            </w:pPr>
            <w:r w:rsidRPr="00507A31">
              <w:rPr>
                <w:color w:val="000000" w:themeColor="text1"/>
                <w:sz w:val="16"/>
                <w:szCs w:val="16"/>
              </w:rPr>
              <w:t>38 000</w:t>
            </w:r>
          </w:p>
        </w:tc>
      </w:tr>
    </w:tbl>
    <w:p w14:paraId="5EC11166"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Если бы этот план развития пороховых заводов был выполнен, то к настоящему моменту промышленность вполне могла бы обеспечить порохами подачу 19 млн. артилл[ерийских] выстрелов и 3,5 млрд. винтовых патронов.</w:t>
      </w:r>
    </w:p>
    <w:p w14:paraId="2FC55F8E"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На пороховые заводы в течение этих двух лет Вохимтресту было ассигновано 108 млн. руб. Жаловаться на недостаток средств как будто нельзя. Что же мы имеем на самом деле? Фактически наращение мощностей происходило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19"/>
        <w:gridCol w:w="2900"/>
        <w:gridCol w:w="2900"/>
        <w:gridCol w:w="3103"/>
      </w:tblGrid>
      <w:tr w:rsidR="00E371BA" w:rsidRPr="00507A31" w14:paraId="0BD5B775"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41EF9AD6" w14:textId="77777777" w:rsidR="00B85E59" w:rsidRPr="00507A31" w:rsidRDefault="00B85E59" w:rsidP="00507A31">
            <w:pPr>
              <w:jc w:val="both"/>
              <w:rPr>
                <w:color w:val="000000" w:themeColor="text1"/>
                <w:sz w:val="16"/>
                <w:szCs w:val="16"/>
              </w:rPr>
            </w:pPr>
            <w:r w:rsidRPr="00507A31">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3CBD3" w14:textId="77777777" w:rsidR="00B85E59" w:rsidRPr="00507A31" w:rsidRDefault="00B85E59" w:rsidP="00507A31">
            <w:pPr>
              <w:jc w:val="both"/>
              <w:rPr>
                <w:color w:val="000000" w:themeColor="text1"/>
                <w:sz w:val="16"/>
                <w:szCs w:val="16"/>
              </w:rPr>
            </w:pPr>
            <w:r w:rsidRPr="00507A31">
              <w:rPr>
                <w:color w:val="000000" w:themeColor="text1"/>
                <w:sz w:val="16"/>
                <w:szCs w:val="16"/>
              </w:rPr>
              <w:t>1 января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F2D74" w14:textId="77777777" w:rsidR="00B85E59" w:rsidRPr="00507A31" w:rsidRDefault="00B85E59" w:rsidP="00507A31">
            <w:pPr>
              <w:jc w:val="both"/>
              <w:rPr>
                <w:color w:val="000000" w:themeColor="text1"/>
                <w:sz w:val="16"/>
                <w:szCs w:val="16"/>
              </w:rPr>
            </w:pPr>
            <w:r w:rsidRPr="00507A31">
              <w:rPr>
                <w:color w:val="000000" w:themeColor="text1"/>
                <w:sz w:val="16"/>
                <w:szCs w:val="16"/>
              </w:rPr>
              <w:t>1 января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F7FC6" w14:textId="77777777" w:rsidR="00B85E59" w:rsidRPr="00507A31" w:rsidRDefault="00B85E59" w:rsidP="00507A31">
            <w:pPr>
              <w:jc w:val="both"/>
              <w:rPr>
                <w:color w:val="000000" w:themeColor="text1"/>
                <w:sz w:val="16"/>
                <w:szCs w:val="16"/>
              </w:rPr>
            </w:pPr>
            <w:r w:rsidRPr="00507A31">
              <w:rPr>
                <w:color w:val="000000" w:themeColor="text1"/>
                <w:sz w:val="16"/>
                <w:szCs w:val="16"/>
              </w:rPr>
              <w:t>1 октября 1930 г.</w:t>
            </w:r>
          </w:p>
        </w:tc>
      </w:tr>
      <w:tr w:rsidR="00E371BA" w:rsidRPr="00507A31" w14:paraId="634B190B"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0EBC5E5" w14:textId="77777777" w:rsidR="00B85E59" w:rsidRPr="00507A31" w:rsidRDefault="00B85E59" w:rsidP="00507A31">
            <w:pPr>
              <w:jc w:val="both"/>
              <w:rPr>
                <w:color w:val="000000" w:themeColor="text1"/>
                <w:sz w:val="16"/>
                <w:szCs w:val="16"/>
              </w:rPr>
            </w:pPr>
            <w:r w:rsidRPr="00507A31">
              <w:rPr>
                <w:color w:val="000000" w:themeColor="text1"/>
                <w:sz w:val="16"/>
                <w:szCs w:val="16"/>
              </w:rPr>
              <w:t>Казанский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3931F" w14:textId="77777777" w:rsidR="00B85E59" w:rsidRPr="00507A31" w:rsidRDefault="00B85E59" w:rsidP="00507A31">
            <w:pPr>
              <w:jc w:val="both"/>
              <w:rPr>
                <w:color w:val="000000" w:themeColor="text1"/>
                <w:sz w:val="16"/>
                <w:szCs w:val="16"/>
              </w:rPr>
            </w:pPr>
            <w:r w:rsidRPr="00507A31">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FD730" w14:textId="77777777" w:rsidR="00B85E59" w:rsidRPr="00507A31" w:rsidRDefault="00B85E59" w:rsidP="00507A31">
            <w:pPr>
              <w:jc w:val="both"/>
              <w:rPr>
                <w:color w:val="000000" w:themeColor="text1"/>
                <w:sz w:val="16"/>
                <w:szCs w:val="16"/>
              </w:rPr>
            </w:pPr>
            <w:r w:rsidRPr="00507A31">
              <w:rPr>
                <w:color w:val="000000" w:themeColor="text1"/>
                <w:sz w:val="16"/>
                <w:szCs w:val="16"/>
              </w:rPr>
              <w:t>6250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F3EDA" w14:textId="77777777" w:rsidR="00B85E59" w:rsidRPr="00507A31" w:rsidRDefault="00B85E59" w:rsidP="00507A31">
            <w:pPr>
              <w:jc w:val="both"/>
              <w:rPr>
                <w:color w:val="000000" w:themeColor="text1"/>
                <w:sz w:val="16"/>
                <w:szCs w:val="16"/>
              </w:rPr>
            </w:pPr>
            <w:r w:rsidRPr="00507A31">
              <w:rPr>
                <w:color w:val="000000" w:themeColor="text1"/>
                <w:sz w:val="16"/>
                <w:szCs w:val="16"/>
              </w:rPr>
              <w:t>6250</w:t>
            </w:r>
          </w:p>
        </w:tc>
      </w:tr>
      <w:tr w:rsidR="00E371BA" w:rsidRPr="00507A31" w14:paraId="11C0A7D8"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530CB1C2" w14:textId="77777777" w:rsidR="00B85E59" w:rsidRPr="00507A31" w:rsidRDefault="00B85E59" w:rsidP="00507A31">
            <w:pPr>
              <w:jc w:val="both"/>
              <w:rPr>
                <w:color w:val="000000" w:themeColor="text1"/>
                <w:sz w:val="16"/>
                <w:szCs w:val="16"/>
              </w:rPr>
            </w:pPr>
            <w:r w:rsidRPr="00507A31">
              <w:rPr>
                <w:color w:val="000000" w:themeColor="text1"/>
                <w:sz w:val="16"/>
                <w:szCs w:val="16"/>
              </w:rPr>
              <w:t>им. 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C357F" w14:textId="77777777" w:rsidR="00B85E59" w:rsidRPr="00507A31" w:rsidRDefault="00B85E59" w:rsidP="00507A31">
            <w:pPr>
              <w:jc w:val="both"/>
              <w:rPr>
                <w:color w:val="000000" w:themeColor="text1"/>
                <w:sz w:val="16"/>
                <w:szCs w:val="16"/>
              </w:rPr>
            </w:pPr>
            <w:r w:rsidRPr="00507A31">
              <w:rPr>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D10B1" w14:textId="77777777" w:rsidR="00B85E59" w:rsidRPr="00507A31" w:rsidRDefault="00B85E59" w:rsidP="00507A31">
            <w:pPr>
              <w:jc w:val="both"/>
              <w:rPr>
                <w:color w:val="000000" w:themeColor="text1"/>
                <w:sz w:val="16"/>
                <w:szCs w:val="16"/>
              </w:rPr>
            </w:pPr>
            <w:r w:rsidRPr="00507A31">
              <w:rPr>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6420B" w14:textId="77777777" w:rsidR="00B85E59" w:rsidRPr="00507A31" w:rsidRDefault="00B85E59" w:rsidP="00507A31">
            <w:pPr>
              <w:jc w:val="both"/>
              <w:rPr>
                <w:color w:val="000000" w:themeColor="text1"/>
                <w:sz w:val="16"/>
                <w:szCs w:val="16"/>
              </w:rPr>
            </w:pPr>
            <w:r w:rsidRPr="00507A31">
              <w:rPr>
                <w:color w:val="000000" w:themeColor="text1"/>
                <w:sz w:val="16"/>
                <w:szCs w:val="16"/>
              </w:rPr>
              <w:t>4000</w:t>
            </w:r>
          </w:p>
        </w:tc>
      </w:tr>
      <w:tr w:rsidR="00E371BA" w:rsidRPr="00507A31" w14:paraId="776217EA"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6F3C916" w14:textId="77777777" w:rsidR="00B85E59" w:rsidRPr="00507A31" w:rsidRDefault="00B85E59" w:rsidP="00507A31">
            <w:pPr>
              <w:jc w:val="both"/>
              <w:rPr>
                <w:color w:val="000000" w:themeColor="text1"/>
                <w:sz w:val="16"/>
                <w:szCs w:val="16"/>
              </w:rPr>
            </w:pPr>
            <w:r w:rsidRPr="00507A31">
              <w:rPr>
                <w:color w:val="000000" w:themeColor="text1"/>
                <w:sz w:val="16"/>
                <w:szCs w:val="16"/>
              </w:rPr>
              <w:t>Шостенский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60CA2" w14:textId="77777777" w:rsidR="00B85E59" w:rsidRPr="00507A31" w:rsidRDefault="00B85E59" w:rsidP="00507A31">
            <w:pPr>
              <w:jc w:val="both"/>
              <w:rPr>
                <w:color w:val="000000" w:themeColor="text1"/>
                <w:sz w:val="16"/>
                <w:szCs w:val="16"/>
              </w:rPr>
            </w:pPr>
            <w:r w:rsidRPr="00507A31">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F932B" w14:textId="77777777" w:rsidR="00B85E59" w:rsidRPr="00507A31" w:rsidRDefault="00B85E59" w:rsidP="00507A31">
            <w:pPr>
              <w:jc w:val="both"/>
              <w:rPr>
                <w:color w:val="000000" w:themeColor="text1"/>
                <w:sz w:val="16"/>
                <w:szCs w:val="16"/>
              </w:rPr>
            </w:pPr>
            <w:r w:rsidRPr="00507A31">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DBD40" w14:textId="77777777" w:rsidR="00B85E59" w:rsidRPr="00507A31" w:rsidRDefault="00B85E59" w:rsidP="00507A31">
            <w:pPr>
              <w:jc w:val="both"/>
              <w:rPr>
                <w:color w:val="000000" w:themeColor="text1"/>
                <w:sz w:val="16"/>
                <w:szCs w:val="16"/>
              </w:rPr>
            </w:pPr>
            <w:r w:rsidRPr="00507A31">
              <w:rPr>
                <w:color w:val="000000" w:themeColor="text1"/>
                <w:sz w:val="16"/>
                <w:szCs w:val="16"/>
              </w:rPr>
              <w:t>7500</w:t>
            </w:r>
          </w:p>
        </w:tc>
      </w:tr>
      <w:tr w:rsidR="00E371BA" w:rsidRPr="00507A31" w14:paraId="50AFBC37"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093C59C8" w14:textId="77777777" w:rsidR="00B85E59" w:rsidRPr="00507A31" w:rsidRDefault="00B85E59" w:rsidP="00507A31">
            <w:pPr>
              <w:jc w:val="both"/>
              <w:rPr>
                <w:color w:val="000000" w:themeColor="text1"/>
                <w:sz w:val="16"/>
                <w:szCs w:val="16"/>
              </w:rPr>
            </w:pPr>
            <w:r w:rsidRPr="00507A31">
              <w:rPr>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D052D" w14:textId="77777777" w:rsidR="00B85E59" w:rsidRPr="00507A31" w:rsidRDefault="00B85E59" w:rsidP="00507A31">
            <w:pPr>
              <w:jc w:val="both"/>
              <w:rPr>
                <w:color w:val="000000" w:themeColor="text1"/>
                <w:sz w:val="16"/>
                <w:szCs w:val="16"/>
              </w:rPr>
            </w:pPr>
            <w:r w:rsidRPr="00507A31">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C800B" w14:textId="77777777" w:rsidR="00B85E59" w:rsidRPr="00507A31" w:rsidRDefault="00B85E59" w:rsidP="00507A31">
            <w:pPr>
              <w:jc w:val="both"/>
              <w:rPr>
                <w:color w:val="000000" w:themeColor="text1"/>
                <w:sz w:val="16"/>
                <w:szCs w:val="16"/>
              </w:rPr>
            </w:pPr>
            <w:r w:rsidRPr="00507A31">
              <w:rPr>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8E0AA" w14:textId="77777777" w:rsidR="00B85E59" w:rsidRPr="00507A31" w:rsidRDefault="00B85E59" w:rsidP="00507A31">
            <w:pPr>
              <w:jc w:val="both"/>
              <w:rPr>
                <w:color w:val="000000" w:themeColor="text1"/>
                <w:sz w:val="16"/>
                <w:szCs w:val="16"/>
              </w:rPr>
            </w:pPr>
            <w:r w:rsidRPr="00507A31">
              <w:rPr>
                <w:color w:val="000000" w:themeColor="text1"/>
                <w:sz w:val="16"/>
                <w:szCs w:val="16"/>
              </w:rPr>
              <w:t>7500</w:t>
            </w:r>
          </w:p>
        </w:tc>
      </w:tr>
      <w:tr w:rsidR="00E371BA" w:rsidRPr="00507A31" w14:paraId="0A952FD9"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00D45763" w14:textId="77777777" w:rsidR="00B85E59" w:rsidRPr="00507A31" w:rsidRDefault="00B85E59" w:rsidP="00507A31">
            <w:pPr>
              <w:jc w:val="both"/>
              <w:rPr>
                <w:color w:val="000000" w:themeColor="text1"/>
                <w:sz w:val="16"/>
                <w:szCs w:val="16"/>
              </w:rPr>
            </w:pPr>
            <w:r w:rsidRPr="00507A31">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9166D" w14:textId="77777777" w:rsidR="00B85E59" w:rsidRPr="00507A31" w:rsidRDefault="00B85E59" w:rsidP="00507A31">
            <w:pPr>
              <w:jc w:val="both"/>
              <w:rPr>
                <w:color w:val="000000" w:themeColor="text1"/>
                <w:sz w:val="16"/>
                <w:szCs w:val="16"/>
              </w:rPr>
            </w:pPr>
            <w:r w:rsidRPr="00507A31">
              <w:rPr>
                <w:color w:val="000000" w:themeColor="text1"/>
                <w:sz w:val="16"/>
                <w:szCs w:val="16"/>
              </w:rPr>
              <w:t>16 165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E4CE8" w14:textId="77777777" w:rsidR="00B85E59" w:rsidRPr="00507A31" w:rsidRDefault="00B85E59" w:rsidP="00507A31">
            <w:pPr>
              <w:jc w:val="both"/>
              <w:rPr>
                <w:color w:val="000000" w:themeColor="text1"/>
                <w:sz w:val="16"/>
                <w:szCs w:val="16"/>
              </w:rPr>
            </w:pPr>
            <w:r w:rsidRPr="00507A31">
              <w:rPr>
                <w:color w:val="000000" w:themeColor="text1"/>
                <w:sz w:val="16"/>
                <w:szCs w:val="16"/>
              </w:rPr>
              <w:t>21 415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948A8" w14:textId="77777777" w:rsidR="00B85E59" w:rsidRPr="00507A31" w:rsidRDefault="00B85E59" w:rsidP="00507A31">
            <w:pPr>
              <w:jc w:val="both"/>
              <w:rPr>
                <w:color w:val="000000" w:themeColor="text1"/>
                <w:sz w:val="16"/>
                <w:szCs w:val="16"/>
              </w:rPr>
            </w:pPr>
            <w:r w:rsidRPr="00507A31">
              <w:rPr>
                <w:color w:val="000000" w:themeColor="text1"/>
                <w:sz w:val="16"/>
                <w:szCs w:val="16"/>
              </w:rPr>
              <w:t>25 250¹*</w:t>
            </w:r>
          </w:p>
        </w:tc>
      </w:tr>
    </w:tbl>
    <w:p w14:paraId="18595101"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Темпы строительства характеризуются еще и тем, что из ассигнованных за 2 года по пороховым заводам 108 млн. руб. трест истратил только 60 млн. руб. Таким образом, план строительства пороховых заводов за истекшие 2 года надо считать сорванным, и при ассигновании более чем 100 млн. руб. наращение мощностей совершенно ничтожно по сравнению с заданием и потребностью армии. В чем же причины срыва строительства?</w:t>
      </w:r>
    </w:p>
    <w:p w14:paraId="35855D8B"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Первое. Совершенно неудовлетворительная работа Военно-химического треста и Вохимукса, вследствие чего безобразно долго составлялись проекты, размещались заказы на оборудование, создавалась диспропорция между строительством и монтажом оборудования. Об этом РКИ уже докладывала неоднократно правительству (см. доклад РКИ о ходе подготовки к строительству от 1929 г. и доклад о строительстве завода «Красный боевик» от 1930 г.).</w:t>
      </w:r>
    </w:p>
    <w:p w14:paraId="58627097"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Второе. Совершенно неудовлетворительное планирование капитального строительства со стороны МПУ ВСНХ, вследствие чего обеспечение выполнения постановлений правительства по достижению заданных мощностей тормозилось не только неудовлетворительным ходом строительства, но и изменениями в планах со стороны МПУ.</w:t>
      </w:r>
    </w:p>
    <w:p w14:paraId="53863B8D"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Итог. За эти 2 года Вохимтрест должен был нарастить добавочные мощности по порохам в 22 тыс. т, фактически прибавка — только 9 тыс. т.</w:t>
      </w:r>
    </w:p>
    <w:p w14:paraId="5FA7833C"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В 1931 г. Военно-химический трест по заданию ВСНХ собирается нарастить добавочно мощностей по порохам на 27 тыс. т, достигая это опять-таки увеличением мощностей существующих заводов, на что с затратами потребуется примерно 60 млн. руб.</w:t>
      </w:r>
    </w:p>
    <w:p w14:paraId="38628E08"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Печальный опыт истекших двух лет вызывает чрезвычайно большие опасения того, что новыми запроектированными в будущем мощностями опять будет подменено достижение реальных заданных правительством еще в 1928 г. мощностей. Поэтому, составляя план дальнейшего расширения заводов, ВСНХ должен к весне 1931 г. обязательно закончить безобразно затянувшееся строительство и обеспечить полностью мощности пороховых заводов, обуславливающие подачу в случае войны 19 млн. артвыстрелов и 3,5 млрд. винтовочных патронов. Никакие оттяжки сроков в связи с предполагаемым новым расширением не должны иметь место. Новое расширение должно идти за счет рационализации технологического процесса, добавления оборудования и постройки новых производств на уже готовых полностью к действию, а не на бесконечно строящихся заводах.</w:t>
      </w:r>
    </w:p>
    <w:p w14:paraId="37EF9EB3"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Немногим лучше обстоит дело и на заводах взрывчатой и снаряжательной группы. Правда, например, запроектированная мощность заводов Вохимтреста по тротилу в 20 тыс. т считается достигнутой к 1 октября 1930 г., однако запоздание с расширением и реконструкцией теплосилового хозяйства, играющего решающую роль в производстве взрывчатых веществ, фактически снижает эти якобы достигнутые мощности до уровня 13</w:t>
      </w:r>
      <w:r w:rsidRPr="00507A31">
        <w:rPr>
          <w:color w:val="000000" w:themeColor="text1"/>
          <w:sz w:val="16"/>
          <w:szCs w:val="16"/>
        </w:rPr>
        <w:noBreakHyphen/>
        <w:t>14 тыс. т.</w:t>
      </w:r>
    </w:p>
    <w:p w14:paraId="7EA8120A"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Совершенно неблагополучно обстоит дело с постройкою установок активированного угля и разливочной станции на Нижегородском заводе. Эти установки строятся с 1928 г., но до сих пор окончательно не вышли даже из стадии проектирования (см. доклад РКИ по обследованию Военно-химического управления).</w:t>
      </w:r>
    </w:p>
    <w:p w14:paraId="10C901BF"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Исключительно безобразно ведется постройка Павлоградского снаряжательного завода. Производство снаряжения снарядов и взрывателей является крайне простым, не требующим сколь-нибудь сложного оборудования. Это производство требует только зданий сарайного типа, крайне примитивных станков для снаряжения взрывателей и незначительной теплосиловой установки.</w:t>
      </w:r>
    </w:p>
    <w:p w14:paraId="0A54B676"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Так, вот эту группу сараев Военно-химический трест строит уже два года, причем израсходовано на нее 1 млн. руб. из общей стоимости постройки 3,7 млн. руб. и срок готовности этого завода никому не известен. А неготовность этого завода практически обозначает то, что в случае войны все снарядные корпуса и корпуса взрывателей, изготовляемые Южными заводами (снарядов — 6 млн. и взрывателей — 1,7 млн. шт.), придется для снаряжения тащить в Москву или Нижний Новгород.</w:t>
      </w:r>
    </w:p>
    <w:p w14:paraId="6EE87793" w14:textId="77777777" w:rsidR="00B85E59" w:rsidRPr="00507A31" w:rsidRDefault="00B85E59" w:rsidP="00507A31">
      <w:pPr>
        <w:jc w:val="both"/>
        <w:rPr>
          <w:color w:val="000000" w:themeColor="text1"/>
          <w:sz w:val="16"/>
          <w:szCs w:val="16"/>
        </w:rPr>
      </w:pPr>
      <w:r w:rsidRPr="00507A31">
        <w:rPr>
          <w:color w:val="000000" w:themeColor="text1"/>
          <w:sz w:val="16"/>
          <w:szCs w:val="16"/>
        </w:rPr>
        <w:t>Патронно-трубочное объединение</w:t>
      </w:r>
    </w:p>
    <w:p w14:paraId="674030C5"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Согласно постановлению Президиума ВСНХ по докладу Комиссии т. Косиора в 1928 г. был установлен следующий план развития мощностей по заводам бывшего Патрубтреста.</w:t>
      </w:r>
    </w:p>
    <w:p w14:paraId="249BE4D6"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По винтпатронам: на 1 октября 1928 г. — 1955 тыс.; на 1 января 1930 г. — 3625 тыс.; на 1 октября 1930 г. — 4075 тыс. Фактически наращение мощностей по винтпатронам происходило следующим образом, на 1 октября 1928 г. — 1955 тыс.; на 1 января 1930 г. — 2610 тыс.; на 1 октября 1930 г. — 4268 тыс.</w:t>
      </w:r>
    </w:p>
    <w:p w14:paraId="0BA6B578"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По взрывателям: па 1 октября 1928 г. — 4340 тыс.; на 1 января 1930 г. — 12 140 тыс.; на 1 октября 1930 г., мощности не были установлены. Фактически наращение мощностей шло: на 1 октября 1928 г, — 4340 тыс.; на 1 января 1930 г. — 8825 тыс.; на 1 октября 1930 г. — 10 530 тыс.</w:t>
      </w:r>
    </w:p>
    <w:p w14:paraId="158C7A43"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Таким образом, на 1 октября 1930 г. мощности по взрывателям даже не дошли до мощности, запроектированной на 1 января 1930 г. Это происходит потому, что Самарский трубочный завод до сих пор не закончил оборудования производства упрощенных взрывателей.</w:t>
      </w:r>
    </w:p>
    <w:p w14:paraId="493B229F" w14:textId="77777777" w:rsidR="00B85E59" w:rsidRPr="00507A31" w:rsidRDefault="00B85E59" w:rsidP="00507A31">
      <w:pPr>
        <w:pStyle w:val="rtejustify"/>
        <w:spacing w:before="0" w:after="0"/>
        <w:rPr>
          <w:color w:val="000000" w:themeColor="text1"/>
          <w:sz w:val="16"/>
          <w:szCs w:val="16"/>
        </w:rPr>
      </w:pPr>
      <w:r w:rsidRPr="00507A31">
        <w:rPr>
          <w:rStyle w:val="af0"/>
          <w:i w:val="0"/>
          <w:color w:val="000000" w:themeColor="text1"/>
          <w:sz w:val="16"/>
          <w:szCs w:val="16"/>
        </w:rPr>
        <w:t>По 22</w:t>
      </w:r>
      <w:r w:rsidRPr="00507A31">
        <w:rPr>
          <w:rStyle w:val="af0"/>
          <w:i w:val="0"/>
          <w:color w:val="000000" w:themeColor="text1"/>
          <w:sz w:val="16"/>
          <w:szCs w:val="16"/>
        </w:rPr>
        <w:noBreakHyphen/>
        <w:t>секундным дистанционным трубкам.</w:t>
      </w:r>
      <w:r w:rsidRPr="00507A31">
        <w:rPr>
          <w:color w:val="000000" w:themeColor="text1"/>
          <w:sz w:val="16"/>
          <w:szCs w:val="16"/>
        </w:rPr>
        <w:t xml:space="preserve"> Задано было: на 1 октября 1928 г. — 5475 тыс.; на 1 января 1930 г. — 7775 тыс.; на 1 октября 1930 г. мощности не были установлены. Фактически было: на 1 октября 1928 г. — 5475 тыс.; на 1 января 1930 г. — 5500 тыс.; на 1 октября 1930 г. — 6736 тыс.</w:t>
      </w:r>
    </w:p>
    <w:p w14:paraId="7CAC1622"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Эти данные взяты из мобпланов МПУ ВСНХ СССР по мощностям на первый год ведения войны, однако непосредственные данные Патрубвзрывобъединения дают совершенно другие цифры. По этим данным мощность заводов объединения по дистанционным трубкам выражается: на 1 января 1930 г. — 3975 тыс.; на 1 октября 1930 г. — 5150 тыс. Таким образом, Патрубвзрыв до сих пор считает мощность заводов по дистанционным трубкам меньше той мощности, которая была установлена Президиумом ВСНХ в 1928 г.</w:t>
      </w:r>
    </w:p>
    <w:p w14:paraId="70DA1786" w14:textId="77777777" w:rsidR="00B85E59" w:rsidRPr="00507A31" w:rsidRDefault="00B85E59" w:rsidP="00507A31">
      <w:pPr>
        <w:pStyle w:val="rtejustify"/>
        <w:spacing w:before="0" w:after="0"/>
        <w:rPr>
          <w:color w:val="000000" w:themeColor="text1"/>
          <w:sz w:val="16"/>
          <w:szCs w:val="16"/>
        </w:rPr>
      </w:pPr>
      <w:r w:rsidRPr="00507A31">
        <w:rPr>
          <w:rStyle w:val="af0"/>
          <w:i w:val="0"/>
          <w:color w:val="000000" w:themeColor="text1"/>
          <w:sz w:val="16"/>
          <w:szCs w:val="16"/>
        </w:rPr>
        <w:t>Вывод.</w:t>
      </w:r>
      <w:r w:rsidRPr="00507A31">
        <w:rPr>
          <w:color w:val="000000" w:themeColor="text1"/>
          <w:sz w:val="16"/>
          <w:szCs w:val="16"/>
        </w:rPr>
        <w:t xml:space="preserve"> Мощности заводов Патрубвзрывобъединения по трубкам и взрывателям дают крайне ничтожный рост по сравнению с заданием, а по дистанционным трубкам нужно констатировать полную неразбериху и противоречия между цифрами МПУ и объединения.</w:t>
      </w:r>
    </w:p>
    <w:p w14:paraId="79C57593"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lastRenderedPageBreak/>
        <w:t>За эти два года заводы Патрубвзрыва получили ассигнования на капитальное строительство в размере 68 млн. и израсходовали 50 млн. руб., из них по трубочным заводам было ассигновано 25,7 млн. руб. и израсходовано 20 млн. руб. При столь крупных затратах эффект совершенно ничтожный.</w:t>
      </w:r>
    </w:p>
    <w:p w14:paraId="273C7905" w14:textId="77777777" w:rsidR="00B85E59" w:rsidRPr="00507A31" w:rsidRDefault="00B85E59" w:rsidP="00507A31">
      <w:pPr>
        <w:jc w:val="both"/>
        <w:rPr>
          <w:color w:val="000000" w:themeColor="text1"/>
          <w:sz w:val="16"/>
          <w:szCs w:val="16"/>
        </w:rPr>
      </w:pPr>
      <w:r w:rsidRPr="00507A31">
        <w:rPr>
          <w:color w:val="000000" w:themeColor="text1"/>
          <w:sz w:val="16"/>
          <w:szCs w:val="16"/>
        </w:rPr>
        <w:t>Орудийно-арсенальное объединение</w:t>
      </w:r>
    </w:p>
    <w:p w14:paraId="55FB8EF4"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В апреле 1929 г. РКИ в своем докладе правительству по вопросу о производстве артиллерийских орудий писала следующее: «Исходным положением должно быть решение вопроса, какие системы орудий и на каком заводе должны изготовляться. В этом коренном элементарном вопросе до настоящего времени существует полная неопределенность...²* В результате мы имеем донельзя запутанным основной вопрос снабжения РККА артиллерией». К настоящему времени по прошествии полутора лет ВМИ ничего не может добавить к этой характеристике.</w:t>
      </w:r>
    </w:p>
    <w:p w14:paraId="2EA81430"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По-прежнему вопрос о производстве орудий является донельзя запутанным, и, несмотря на крупнейшие капитальные вложения в орудийное производство, ассигнования за два года 156 млн. руб. и фактически расход 63 млн. руб., мы к настоящему времени имеем ничтожный процент удовлетворения заявки Наркомвоенмора даже по ныне действующему варианту — 1878 орудий против заявки 3397 орудий, не говоря уже о планах развития и перевооружения РККА артиллерией.</w:t>
      </w:r>
    </w:p>
    <w:p w14:paraId="011B3E59"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Причины такого положения опять-таки заключаются в неоднократных изменениях со стороны МПУ заданий заводам и в том, что действительное лицо и мощность орудийных заводов до сих пор окончательно не выявлены.</w:t>
      </w:r>
    </w:p>
    <w:p w14:paraId="0D3385B2" w14:textId="77777777" w:rsidR="00B85E59" w:rsidRPr="00507A31" w:rsidRDefault="00B85E59" w:rsidP="00507A31">
      <w:pPr>
        <w:pStyle w:val="rtejustify"/>
        <w:spacing w:before="0" w:after="0"/>
        <w:rPr>
          <w:color w:val="000000" w:themeColor="text1"/>
          <w:sz w:val="16"/>
          <w:szCs w:val="16"/>
        </w:rPr>
      </w:pPr>
      <w:r w:rsidRPr="00507A31">
        <w:rPr>
          <w:rStyle w:val="af0"/>
          <w:i w:val="0"/>
          <w:color w:val="000000" w:themeColor="text1"/>
          <w:sz w:val="16"/>
          <w:szCs w:val="16"/>
        </w:rPr>
        <w:t>Выводы.</w:t>
      </w:r>
      <w:r w:rsidRPr="00507A31">
        <w:rPr>
          <w:color w:val="000000" w:themeColor="text1"/>
          <w:sz w:val="16"/>
          <w:szCs w:val="16"/>
        </w:rPr>
        <w:t xml:space="preserve"> За 1928/29 и 1929/30 гг. на военную промышленность правительством было ассигновано 426 млн. и израсходовано 275,2 млн. руб. Результат этих вложений по громадному большинству предприятий в виде реального наращения заданных мощностей отсутствует. Крупнейшие военные заводы («Баррикады», Самарский трубочный. Казанский и Тамбовский пороховые) находились в течение двух лет в состоянии непрерывного строительства, фактически оставаясь, вопреки установленным правительством срокам, и на сегодняшний день или на почти нулевых мощностях, или на мощностях 1928 г.</w:t>
      </w:r>
    </w:p>
    <w:p w14:paraId="0C9CBB56"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Причины того, что затраченные громадные средства в основном до сих пор сидят в незавершенном и не дающем даже к настоящему моменту требуемого эффекта строительстве, заключаются в основном в следующем:</w:t>
      </w:r>
    </w:p>
    <w:p w14:paraId="73CB7DA9"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1. В отсутствии постоянной работы органов ВСНХ по уточнению выявленных в процессе раскрытия вредительской организации в военной промышленности действительных мощностей заводов, определения настоящего лица завода и разрешения вопроса об их специализации как на мирное, так и на военное время.</w:t>
      </w:r>
    </w:p>
    <w:p w14:paraId="60A0B36B"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2. Как следствие этого — в отсутствии у ВСНХ и военных объединений до настоящего времени полного представления о действительных мощностях заводов и их возможностях для подачи продукции в военное время.</w:t>
      </w:r>
    </w:p>
    <w:p w14:paraId="100FEB36"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3. В невыполнении ряда указаний партии и правительства об изучении и рационализации технологического процесса производства на военных заводах.</w:t>
      </w:r>
    </w:p>
    <w:p w14:paraId="4DBF3A34"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4. В крайне путанном плановом руководстве органами ВСНХ капитального строительства на заводах военной промышленности, следствием чего являлось неоднократное изменение плановых заданий заводам.</w:t>
      </w:r>
    </w:p>
    <w:p w14:paraId="3C28B096"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5. В крайней неповоротливости военных объединений в деле проектировки вновь строящихся цехов, подготовки к строительству и размещению заказов на оборудование.</w:t>
      </w:r>
    </w:p>
    <w:p w14:paraId="000B4037"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6. В безусловно недостаточном внимании планирующих и снабжающих органов ВСНХ, а также органов теперешнего Наркомвнешторга к делу строительства заводов военной промышленности.</w:t>
      </w:r>
    </w:p>
    <w:p w14:paraId="4AAB29AA"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ВМИ считает совершенно необходимым не позднее весны 1931 г. закончить все то строительство, которое по решению правительства от 1928 г. должно было быть закончено в сроки между 1 января и 1 декабря 1930 г. и которое сорвано благодаря вышеуказанным причинам. ВМИ считает, что ничем не оправдываемое столь длительное омертвление капитала на ответственейшем участке индустриализации — строительстве военной промышленности — должно быть изжито немедленно. Форсируя в 1931 г. дальнейшее расширение заводов, ВСНХ обязано это расширение вести на базе реально достигнутых в кратчайший, не более квартала, срок мощностей, заданный правительством в 1928 г., имея к весне 1931 г. вполне готовые заводы, обеспечивающие в случае войны подачу в первый год 19 млн. артиллерийских выстрелов при мощностях в 24 млн. и артиллерийских орудий — в размере заявки Наркомвоенмора.</w:t>
      </w:r>
    </w:p>
    <w:p w14:paraId="236A34A1" w14:textId="77777777" w:rsidR="00B85E59" w:rsidRPr="00507A31" w:rsidRDefault="00B85E59"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Начальник Военно-морской инспекции НК РКИ СССР </w:t>
      </w:r>
      <w:hyperlink r:id="rId187" w:history="1">
        <w:r w:rsidRPr="00507A31">
          <w:rPr>
            <w:rStyle w:val="af0"/>
            <w:i w:val="0"/>
            <w:color w:val="000000" w:themeColor="text1"/>
            <w:sz w:val="16"/>
            <w:szCs w:val="16"/>
          </w:rPr>
          <w:t>Куйбышев</w:t>
        </w:r>
      </w:hyperlink>
    </w:p>
    <w:p w14:paraId="3C71CBBF"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rPr>
        <w:t>Резолюция: «Тов. Болотникову. Обождем результатов обследования Вохимтреста бригадами т. Миткевича и в зависимости от них будет видно, как ставить вопрос о мощностях. 15 января 1931 г.».</w:t>
      </w:r>
    </w:p>
    <w:p w14:paraId="74A22E42" w14:textId="77777777" w:rsidR="00B85E59" w:rsidRPr="00507A31" w:rsidRDefault="00B85E59" w:rsidP="00507A31">
      <w:pPr>
        <w:pStyle w:val="ae"/>
        <w:spacing w:before="0" w:after="0"/>
        <w:jc w:val="both"/>
        <w:rPr>
          <w:color w:val="000000" w:themeColor="text1"/>
          <w:sz w:val="16"/>
          <w:szCs w:val="16"/>
        </w:rPr>
      </w:pPr>
      <w:r w:rsidRPr="00507A31">
        <w:rPr>
          <w:rStyle w:val="af0"/>
          <w:i w:val="0"/>
          <w:color w:val="000000" w:themeColor="text1"/>
          <w:sz w:val="16"/>
          <w:szCs w:val="16"/>
        </w:rPr>
        <w:t>Примечания:</w:t>
      </w:r>
    </w:p>
    <w:p w14:paraId="0CD58BF2"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vertAlign w:val="superscript"/>
        </w:rPr>
        <w:t>1</w:t>
      </w:r>
      <w:r w:rsidRPr="00507A31">
        <w:rPr>
          <w:color w:val="000000" w:themeColor="text1"/>
          <w:sz w:val="16"/>
          <w:szCs w:val="16"/>
        </w:rPr>
        <w:t>* Из этого количества 7,5 тыс. т без пироксилина, только переделочные из запасов пороха, таким образом, нового пороха только 17 750 т (</w:t>
      </w:r>
      <w:r w:rsidRPr="00507A31">
        <w:rPr>
          <w:rStyle w:val="af0"/>
          <w:i w:val="0"/>
          <w:color w:val="000000" w:themeColor="text1"/>
          <w:sz w:val="16"/>
          <w:szCs w:val="16"/>
        </w:rPr>
        <w:t>Прим. док</w:t>
      </w:r>
      <w:r w:rsidRPr="00507A31">
        <w:rPr>
          <w:color w:val="000000" w:themeColor="text1"/>
          <w:sz w:val="16"/>
          <w:szCs w:val="16"/>
        </w:rPr>
        <w:t>.).</w:t>
      </w:r>
    </w:p>
    <w:p w14:paraId="77668107" w14:textId="77777777" w:rsidR="00B85E59" w:rsidRPr="00507A31" w:rsidRDefault="00B85E59" w:rsidP="00507A31">
      <w:pPr>
        <w:pStyle w:val="rtejustify"/>
        <w:spacing w:before="0" w:after="0"/>
        <w:rPr>
          <w:color w:val="000000" w:themeColor="text1"/>
          <w:sz w:val="16"/>
          <w:szCs w:val="16"/>
        </w:rPr>
      </w:pPr>
      <w:r w:rsidRPr="00507A31">
        <w:rPr>
          <w:color w:val="000000" w:themeColor="text1"/>
          <w:sz w:val="16"/>
          <w:szCs w:val="16"/>
          <w:vertAlign w:val="superscript"/>
        </w:rPr>
        <w:t>2</w:t>
      </w:r>
      <w:r w:rsidRPr="00507A31">
        <w:rPr>
          <w:color w:val="000000" w:themeColor="text1"/>
          <w:sz w:val="16"/>
          <w:szCs w:val="16"/>
        </w:rPr>
        <w:t>* Отточие документа.</w:t>
      </w:r>
    </w:p>
    <w:p w14:paraId="3270D9A3" w14:textId="77777777" w:rsidR="00B85E59" w:rsidRPr="00507A31" w:rsidRDefault="00B85E59" w:rsidP="00507A31">
      <w:pPr>
        <w:pStyle w:val="ae"/>
        <w:spacing w:before="0" w:after="0"/>
        <w:jc w:val="both"/>
        <w:rPr>
          <w:color w:val="000000" w:themeColor="text1"/>
          <w:sz w:val="16"/>
          <w:szCs w:val="16"/>
        </w:rPr>
      </w:pPr>
      <w:r w:rsidRPr="00507A31">
        <w:rPr>
          <w:color w:val="000000" w:themeColor="text1"/>
          <w:sz w:val="16"/>
          <w:szCs w:val="16"/>
        </w:rPr>
        <w:t>РГАСПИ. Ф. 17. Оп. 120. Д. 36. Л. 52—60. Подлинник.</w:t>
      </w:r>
    </w:p>
    <w:p w14:paraId="2E5A11DD" w14:textId="77777777" w:rsidR="00B85E59" w:rsidRPr="00507A31" w:rsidRDefault="00B85E59" w:rsidP="00507A31">
      <w:pPr>
        <w:jc w:val="both"/>
        <w:rPr>
          <w:color w:val="000000" w:themeColor="text1"/>
          <w:sz w:val="16"/>
          <w:szCs w:val="16"/>
        </w:rPr>
      </w:pPr>
      <w:r w:rsidRPr="00507A31">
        <w:rPr>
          <w:color w:val="000000" w:themeColor="text1"/>
          <w:sz w:val="16"/>
          <w:szCs w:val="16"/>
        </w:rPr>
        <w:t xml:space="preserve">Архив: РГАСПИ. Ф. 17. Оп. 120. Д. 36. Л. 52—60. Подлинник. </w:t>
      </w:r>
    </w:p>
    <w:p w14:paraId="506C2858" w14:textId="77777777" w:rsidR="00B85E59" w:rsidRPr="00507A31" w:rsidRDefault="00B85E59" w:rsidP="00507A31">
      <w:pPr>
        <w:jc w:val="both"/>
        <w:rPr>
          <w:color w:val="000000" w:themeColor="text1"/>
          <w:sz w:val="16"/>
          <w:szCs w:val="16"/>
        </w:rPr>
      </w:pPr>
      <w:r w:rsidRPr="00507A31">
        <w:rPr>
          <w:color w:val="000000" w:themeColor="text1"/>
          <w:sz w:val="16"/>
          <w:szCs w:val="16"/>
        </w:rPr>
        <w:t>Источник: Становление оборонно-промышленного комплекса СССР (1927-1932). М. 2008, стр. 512-516 (12520).</w:t>
      </w:r>
    </w:p>
    <w:p w14:paraId="6054A8BC" w14:textId="77777777" w:rsidR="00B85E59" w:rsidRPr="00507A31" w:rsidRDefault="00B85E59" w:rsidP="00507A31">
      <w:pPr>
        <w:jc w:val="both"/>
        <w:rPr>
          <w:color w:val="000000" w:themeColor="text1"/>
          <w:sz w:val="16"/>
          <w:szCs w:val="16"/>
        </w:rPr>
      </w:pPr>
    </w:p>
    <w:p w14:paraId="2ADA1C4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0C7C6DF3" w14:textId="77777777" w:rsidR="00537E5F" w:rsidRPr="00507A31" w:rsidRDefault="00537E5F" w:rsidP="00507A31">
      <w:pPr>
        <w:autoSpaceDE w:val="0"/>
        <w:autoSpaceDN w:val="0"/>
        <w:adjustRightInd w:val="0"/>
        <w:jc w:val="both"/>
        <w:rPr>
          <w:iCs/>
          <w:color w:val="000000" w:themeColor="text1"/>
          <w:sz w:val="16"/>
          <w:szCs w:val="16"/>
        </w:rPr>
      </w:pPr>
    </w:p>
    <w:p w14:paraId="1C92AAB1" w14:textId="77777777" w:rsidR="00D914FE" w:rsidRPr="00507A31" w:rsidRDefault="00D914FE" w:rsidP="00507A31">
      <w:pPr>
        <w:jc w:val="both"/>
        <w:rPr>
          <w:color w:val="000000" w:themeColor="text1"/>
          <w:sz w:val="16"/>
          <w:szCs w:val="16"/>
        </w:rPr>
      </w:pPr>
      <w:r w:rsidRPr="00507A31">
        <w:rPr>
          <w:color w:val="000000" w:themeColor="text1"/>
          <w:sz w:val="16"/>
          <w:szCs w:val="16"/>
        </w:rPr>
        <w:t>25 декабря 1930 г.</w:t>
      </w:r>
    </w:p>
    <w:p w14:paraId="41AB109B" w14:textId="77777777" w:rsidR="00D914FE" w:rsidRPr="00507A31" w:rsidRDefault="00D914FE" w:rsidP="00507A31">
      <w:pPr>
        <w:jc w:val="both"/>
        <w:rPr>
          <w:bCs/>
          <w:color w:val="000000" w:themeColor="text1"/>
          <w:sz w:val="16"/>
          <w:szCs w:val="16"/>
        </w:rPr>
      </w:pPr>
      <w:r w:rsidRPr="00507A31">
        <w:rPr>
          <w:color w:val="000000" w:themeColor="text1"/>
          <w:sz w:val="16"/>
          <w:szCs w:val="16"/>
        </w:rPr>
        <w:t>Протокол показаний инженера Б. Э. Стюнкеля, технического директора треста «Донбассток». 25 декабря 1930 г.</w:t>
      </w:r>
    </w:p>
    <w:p w14:paraId="5AA8EF03" w14:textId="77777777" w:rsidR="00D914FE" w:rsidRPr="00507A31" w:rsidRDefault="00D914FE" w:rsidP="00507A31">
      <w:pPr>
        <w:jc w:val="both"/>
        <w:rPr>
          <w:bCs/>
          <w:color w:val="000000" w:themeColor="text1"/>
          <w:sz w:val="16"/>
          <w:szCs w:val="16"/>
        </w:rPr>
      </w:pPr>
      <w:r w:rsidRPr="00507A31">
        <w:rPr>
          <w:bCs/>
          <w:color w:val="000000" w:themeColor="text1"/>
          <w:sz w:val="16"/>
          <w:szCs w:val="16"/>
        </w:rPr>
        <w:t>Источник: </w:t>
      </w:r>
    </w:p>
    <w:p w14:paraId="1DE624BA" w14:textId="77777777" w:rsidR="00D914FE" w:rsidRPr="00507A31" w:rsidRDefault="00D914FE"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1BB6DC" w14:textId="77777777" w:rsidR="00D914FE" w:rsidRPr="00507A31" w:rsidRDefault="00D914FE" w:rsidP="00507A31">
      <w:pPr>
        <w:jc w:val="both"/>
        <w:rPr>
          <w:bCs/>
          <w:color w:val="000000" w:themeColor="text1"/>
          <w:sz w:val="16"/>
          <w:szCs w:val="16"/>
        </w:rPr>
      </w:pPr>
      <w:r w:rsidRPr="00507A31">
        <w:rPr>
          <w:bCs/>
          <w:color w:val="000000" w:themeColor="text1"/>
          <w:sz w:val="16"/>
          <w:szCs w:val="16"/>
        </w:rPr>
        <w:t>Архив: </w:t>
      </w:r>
    </w:p>
    <w:p w14:paraId="3F42CDBE" w14:textId="77777777" w:rsidR="00D914FE" w:rsidRPr="00507A31" w:rsidRDefault="00D914FE" w:rsidP="00507A31">
      <w:pPr>
        <w:jc w:val="both"/>
        <w:rPr>
          <w:color w:val="000000" w:themeColor="text1"/>
          <w:sz w:val="16"/>
          <w:szCs w:val="16"/>
        </w:rPr>
      </w:pPr>
      <w:r w:rsidRPr="00507A31">
        <w:rPr>
          <w:color w:val="000000" w:themeColor="text1"/>
          <w:sz w:val="16"/>
          <w:szCs w:val="16"/>
        </w:rPr>
        <w:t>Архив СБУ Украины. Ф. 13. Д. 1067. Л. 83-87</w:t>
      </w:r>
    </w:p>
    <w:p w14:paraId="00DBD83B" w14:textId="77777777" w:rsidR="00D914FE" w:rsidRPr="00507A31" w:rsidRDefault="00D914FE" w:rsidP="00507A31">
      <w:pPr>
        <w:pStyle w:val="rteright"/>
        <w:spacing w:before="0" w:after="0"/>
        <w:jc w:val="both"/>
        <w:rPr>
          <w:color w:val="000000" w:themeColor="text1"/>
          <w:sz w:val="16"/>
          <w:szCs w:val="16"/>
        </w:rPr>
      </w:pPr>
      <w:r w:rsidRPr="00507A31">
        <w:rPr>
          <w:color w:val="000000" w:themeColor="text1"/>
          <w:sz w:val="16"/>
          <w:szCs w:val="16"/>
        </w:rPr>
        <w:t>25 декабря 1930 г.</w:t>
      </w:r>
    </w:p>
    <w:p w14:paraId="0D02F99F" w14:textId="77777777" w:rsidR="00D914FE" w:rsidRPr="00507A31" w:rsidRDefault="00D914FE" w:rsidP="00507A31">
      <w:pPr>
        <w:pStyle w:val="ae"/>
        <w:spacing w:before="0" w:after="0"/>
        <w:jc w:val="both"/>
        <w:rPr>
          <w:color w:val="000000" w:themeColor="text1"/>
          <w:sz w:val="16"/>
          <w:szCs w:val="16"/>
        </w:rPr>
      </w:pPr>
      <w:r w:rsidRPr="00507A31">
        <w:rPr>
          <w:color w:val="000000" w:themeColor="text1"/>
          <w:sz w:val="16"/>
          <w:szCs w:val="16"/>
        </w:rPr>
        <w:t>ПОКАЗАНИЯ Б. Э. СТЮНКЕЛЬ</w:t>
      </w:r>
    </w:p>
    <w:p w14:paraId="462F065B"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В середине 1928 года после целого ряда отдельных разговоров на общеполитические вопросы текущего дня с инженером Госплана, проходивших при отдельных и случайных встречах, мне инж. ВАШКОВ Н. Н. предложил свои настроения оформить в конкретную форму путем формального своего присоединения к организации, которая, по его словам, в этот момент оформлена.</w:t>
      </w:r>
    </w:p>
    <w:p w14:paraId="15139BE1"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Н. Н. ВАШКОВ мне сообщил, что во всех отдельных отраслях хозяйства, во всех учреждениях и даже на отдельных предприятиях, должны быть намечены ячейки этой организации, которые должны проводить определенную практическую работу по указанию Центра этой организации.</w:t>
      </w:r>
    </w:p>
    <w:p w14:paraId="2C4FB532"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Я согласился, и мне Н. Н. БАШКОВЫМ было предложено, вступив в число активных членов этой организации, использовать свой переход на службу из Москвы в Харьков, взять на себя вхождение в число членов Харьковской организации и принять на себя руководство проведением определенных мероприятий в области энергетики, причем было указано, что мне в Харькове надо связаться с членами организации В. А. КАПЕЛЛЕРОМ и А. Л. МАТВЕЕВЫМ, а по всем вопросам, с которыми пришлось бы обращаться в Москву, связываться при своих деловых командировках с инж. М. Л. КАМЕНЕЦКИМ (Главэлектро).</w:t>
      </w:r>
    </w:p>
    <w:p w14:paraId="08E70A52"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Н. Н. ВАШКОВ указал, что Московский Центр, придавая большое значение Донбассу, считает, чтобы я возможно теснее связался, по указанию КАПЕЛЛЕРА, с отдельными Харьковскими работниками, работавшими в области энергохозяйства Донбасса. Все эти указания мною были учтены, при чем ВАШКОВ отметил, что одной из задач входит создавать определенную диспропорцию между отдельными отраслями хозяйства, и с этой стороны по Донбассу [-] всяческая задержка в электростроительстве и энерговооружении.</w:t>
      </w:r>
    </w:p>
    <w:p w14:paraId="2283A663"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По приезде в Харьков я связался немедленно с КАПЕЛЛЕРОМ, который мне назвал участников работы по организации и сообщил, что таковыми являются СЕМИХАТОВ, БЕРЛИН, КУЗНЕЦОВ, БУРАКОВ и что я могу в своей деятельности целиком на них полагаться. При этом КАПЕЛЛЕР сообщил, что он имеет задания от Москвы по всему Донбассу.</w:t>
      </w:r>
    </w:p>
    <w:p w14:paraId="2F92D917"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На общее ознакомление со своей работой в Донугле, ориентацию в новой Харьковской обстановке, полное изучение огромного хозяйства Донбасса и его энергохозяйства, установление персональных связей ушло у меня около 5 месяцев. При этом мне пришлось в этот период проделать огромную положительную организационную работу в условиях отсталого энергохозяйства Донбасса, так как я хорошо понимал, что независимо от политической обстановки народное хозяйство должно по возможности скорее получить определенную техническую базу и среди нее правильно поставленное электрохозяйство является основным.</w:t>
      </w:r>
    </w:p>
    <w:p w14:paraId="2F9F18E1"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КАПЕЛЛЕР посвятил меня в те ведомственные (междутрестовские) взаимоотношения в области электрохозяйства, которые к периоду 1928 года и начала 1929 года наметились в Донбассе, при чем указал, что созданный Комитет по электроснабжению Донбасса позволит проводить всю практическую политику Московского Центра в области энергохозяйства Донбасса. Я по линии Донугля вошел в этот Комитет и был избран заместителем КАПЕЛЛЕРА, руководящего этим Комитетом, будучи назначен туда по соглашению с Московскими руководителями к.-р. организации и утвержден, пользуясь тем, что в Главэлектро состоял на службе член организации М. Л. КАМЕНЕЦКИЙ начальником Главэлектро.</w:t>
      </w:r>
    </w:p>
    <w:p w14:paraId="058A3B32"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В начале 1929 года Комитет этот был расширен и в него были, кроме Югостали — ЛОМОВ М. М. и Донугля — СТЮНКЕЛЬ, включены представители Химугля — КУРЧЕНИНОВ, Электроотдела ВСНХ УССР — ГАДЯЕВ. Немного позже я узнал, что оба эти представителя состоят также членами нашей организации.</w:t>
      </w:r>
    </w:p>
    <w:p w14:paraId="230D9D45"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lastRenderedPageBreak/>
        <w:t>КАПЕЛЛЕР посоветовал мне создать в Донугле ячейку, которая бы стала основой организации и к середине 1929 года она была сколочена в составе СЕМИХАТОВА, БЕРЛИНА, РЫЛОВА.</w:t>
      </w:r>
    </w:p>
    <w:p w14:paraId="5C572B11"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В процессе работы комитета по электроснабжению Донбасса была сначала создана организационная группа по организации треста Донбассток, а затем, к январю 1930 года, самый трест, куда я попал техническим директором и членом правления. В тресте «Донбассток» ячейка также была создана, и в нее вошли БЕРЛИН, СЕМИХАТОВ, ВИНОГРАДОВ и РЫЛОВ, причем общее руководство ячейкой было возложено на меня.</w:t>
      </w:r>
    </w:p>
    <w:p w14:paraId="171C2490"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Комитет в своей работе поскольку большинство его членов было членами организации, проводил вредительскую линию в области энергохозяйства Донбасса. Правда, надо отметить, что основная вредительская работа в энергохозяйстве Донбасса была уже совершена до 1928 года и, главным образом, за счет кредитной политики Госплана СССР, урезавшей на общее электростроительство необходимые ассигнования, и отчасти осужденных шахтинцев, проводивших свои узкие капиталистические интересы отдельных предприятий. Общая обстановка хозяйственной работы в Донбассе требовала уже к началу 1929 года резкого изменения, и здесь по этой обстановке пришлось к.-р. организации сильно отступить под влиянием бурного роста Донбасса перед необходимостью начать крупное строительство. Это привело к целому ряду выступлений в печати ЛОМОВА, которые пришлось поддерживать по предложению ЛОМОВА и мне своими статьями в газете «За Индустриализацию». Моими статьями я вызывал иногда недовольство со стороны членов организации (КАМЕНЕЦКИЙ и отчасти КАПЕЛЛЕР). Следовательно, общая здоровая производственная обстановка в Донбассе в 1929/30 году мешала проведению широких вредительских планов и толкала, по сути дела, в сторону политики мелкого уклона.</w:t>
      </w:r>
    </w:p>
    <w:p w14:paraId="2DB365AE"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Из отдельных вредительских актов по Донбассу в части его электрохозяйства могу отметить целый ряд таковых по Штеровке (задержка в исполнении работ по котельной установке, пожар склада, задержка в командировке за границу инж. ГУТМАНА, приведшая к общей задержке пуска станции в лице ее второй очереди в ход).</w:t>
      </w:r>
    </w:p>
    <w:p w14:paraId="565094FC"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Одной из мер вредительства по указанию Москвы, с чем мы в Харькове боролись официально через Комитет, так как считали безумием в 1929/30 году проводить задержку в такой грубой неприкрытой форме, были организационные мероприятия Главэлектро, проводившиеся в виде его приказов, а именно: выделение Эльдонбасстроя из Штеровки (май 1929 года) и накануне образования Донбасстока передача строительства Энергострою. Первое мероприятие было проведено против нашей воли КАМЕНЕЦКИМ, а второе — КАПЕЛЛЕРОМ, ушедшем к тому времени в Энергострой, и КАМЕНЕЦКИМ.</w:t>
      </w:r>
    </w:p>
    <w:p w14:paraId="6C705A0A"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По линии Донугля и Донбасстока в части теплотехнических мероприятий вредительской работы работал СЕМИХАТОВ. Я не могу здесь указать на его работу, так как он был предоставлен в этой узкой области самому себе.</w:t>
      </w:r>
    </w:p>
    <w:p w14:paraId="2D3B3150"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Из вредительских актов по Донбассу считаю нужным отметить целый ряд мелких актов по Донсоде и Константиновке, проводившихся еще до вхождения Химугля в состав Комитета, работниками Химугля, входившими в состав организации. К моменту образования Донбасстока последний уже принужден был считаться с результатом этих вредительств, на которые в целях их ликвидации пришлось потратить много времени и средств.</w:t>
      </w:r>
    </w:p>
    <w:p w14:paraId="52DF9152"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Моя личная роль во всей вредительской работе в области энергохозяйства Донбасса свелась к следующим отдельным этапам. Я задерживал формирование постройки первой очереди Кадиевской электростанции; я содействовал постройке Щербиновской станции; поскольку по ходу дела ее строить не надо было, а надо было преодолеть междутрестовские трения между Донуглем и Югосталью и форсировать расширение электростанции «Юный Коммунар». К числу моих вредительских действий я отношу также задержку в разрешении о канатной дороге для Штеровки, то же для Донсоды 2-ой очереди и задержку в разрешении ряда топливных вопросов, связанных с постройкой Зуевской станции.</w:t>
      </w:r>
    </w:p>
    <w:p w14:paraId="65D6C6A9"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В число работ вредительских ячеек нашей организации входила диверсионная работа. Я о ней знал, но сам не принимал в ней никакого участия. Подозреваю, что она была в руках СЕМИХАТОВА или ВИНОГРАДОВА, которые уже от себя самостоятельно сносились с Москвой, с одной стороны, и с низовыми диверсионными ячейками — с другой.</w:t>
      </w:r>
    </w:p>
    <w:p w14:paraId="7B90335B"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Думаю, что систематические аварии на Горловской станции, приведшие к целому ряду прорывов в угледобычи в этом районе, могли быть отчасти делом этих ячеек.</w:t>
      </w:r>
    </w:p>
    <w:p w14:paraId="660F34D3"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СТЮНКЕЛЬ</w:t>
      </w:r>
    </w:p>
    <w:p w14:paraId="706A6BC6"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Допросил:</w:t>
      </w:r>
    </w:p>
    <w:p w14:paraId="3DB58510" w14:textId="77777777" w:rsidR="00D914FE" w:rsidRPr="00507A31" w:rsidRDefault="00D914FE" w:rsidP="00507A31">
      <w:pPr>
        <w:pStyle w:val="rtejustify"/>
        <w:spacing w:before="0" w:after="0"/>
        <w:rPr>
          <w:color w:val="000000" w:themeColor="text1"/>
          <w:sz w:val="16"/>
          <w:szCs w:val="16"/>
        </w:rPr>
      </w:pPr>
      <w:r w:rsidRPr="00507A31">
        <w:rPr>
          <w:color w:val="000000" w:themeColor="text1"/>
          <w:sz w:val="16"/>
          <w:szCs w:val="16"/>
        </w:rPr>
        <w:t>СТ. УПОЛНОМОЧЕННЫЙ ЭКУ ГПУ (БЕРМАН)</w:t>
      </w:r>
    </w:p>
    <w:p w14:paraId="77BE93A5" w14:textId="77777777" w:rsidR="00D914FE" w:rsidRPr="00507A31" w:rsidRDefault="00D914FE" w:rsidP="00507A31">
      <w:pPr>
        <w:pStyle w:val="rtejustify"/>
        <w:spacing w:before="0" w:after="0"/>
        <w:rPr>
          <w:color w:val="000000" w:themeColor="text1"/>
          <w:sz w:val="16"/>
          <w:szCs w:val="16"/>
        </w:rPr>
      </w:pPr>
      <w:r w:rsidRPr="00507A31">
        <w:rPr>
          <w:rStyle w:val="af0"/>
          <w:i w:val="0"/>
          <w:color w:val="000000" w:themeColor="text1"/>
          <w:sz w:val="16"/>
          <w:szCs w:val="16"/>
        </w:rPr>
        <w:t>Архив СБУ Украины. Ф. 13. Д. 1067. Л. 83-87. Машинописный экземпляр того времени (18741).</w:t>
      </w:r>
    </w:p>
    <w:p w14:paraId="6533232A" w14:textId="77777777" w:rsidR="00D914FE" w:rsidRPr="00507A31" w:rsidRDefault="00D914FE" w:rsidP="00507A31">
      <w:pPr>
        <w:jc w:val="both"/>
        <w:rPr>
          <w:color w:val="000000" w:themeColor="text1"/>
          <w:sz w:val="16"/>
          <w:szCs w:val="16"/>
        </w:rPr>
      </w:pPr>
    </w:p>
    <w:p w14:paraId="75D8F6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декабря 1930 по постановлению Западно-Сибирского крайкома ВКП(б) "О мерах усиления борьбы с активностью кулачества против коллективизации" районам предлагалось провести выселение наиболее злостных кулаков, активно вредящих делу коллективизации с конфискацией их имущества. В ходе реализации этого постановления из 21 района края было выселено 717 кулацких семей (3072 человека) (10687).</w:t>
      </w:r>
    </w:p>
    <w:p w14:paraId="1F7FCEB7" w14:textId="2CF55C21" w:rsidR="00537E5F" w:rsidRPr="00507A31" w:rsidRDefault="00537E5F" w:rsidP="00507A31">
      <w:pPr>
        <w:autoSpaceDE w:val="0"/>
        <w:autoSpaceDN w:val="0"/>
        <w:adjustRightInd w:val="0"/>
        <w:jc w:val="both"/>
        <w:rPr>
          <w:color w:val="000000" w:themeColor="text1"/>
          <w:sz w:val="16"/>
          <w:szCs w:val="16"/>
        </w:rPr>
      </w:pPr>
    </w:p>
    <w:p w14:paraId="5BDC1E93" w14:textId="5D1145CF" w:rsidR="00355602" w:rsidRPr="00507A31" w:rsidRDefault="00355602" w:rsidP="00507A31">
      <w:pPr>
        <w:autoSpaceDE w:val="0"/>
        <w:autoSpaceDN w:val="0"/>
        <w:adjustRightInd w:val="0"/>
        <w:jc w:val="both"/>
        <w:rPr>
          <w:i/>
          <w:iCs/>
          <w:color w:val="000000" w:themeColor="text1"/>
          <w:sz w:val="16"/>
          <w:szCs w:val="16"/>
        </w:rPr>
      </w:pPr>
      <w:r w:rsidRPr="00507A31">
        <w:rPr>
          <w:i/>
          <w:iCs/>
          <w:color w:val="000000" w:themeColor="text1"/>
          <w:sz w:val="16"/>
          <w:szCs w:val="16"/>
        </w:rPr>
        <w:t>Внешняя политика:</w:t>
      </w:r>
    </w:p>
    <w:p w14:paraId="2B6E812D" w14:textId="77777777" w:rsidR="00355602" w:rsidRPr="00507A31" w:rsidRDefault="00355602" w:rsidP="00507A31">
      <w:pPr>
        <w:autoSpaceDE w:val="0"/>
        <w:autoSpaceDN w:val="0"/>
        <w:adjustRightInd w:val="0"/>
        <w:jc w:val="both"/>
        <w:rPr>
          <w:i/>
          <w:iCs/>
          <w:color w:val="000000" w:themeColor="text1"/>
          <w:sz w:val="16"/>
          <w:szCs w:val="16"/>
        </w:rPr>
      </w:pPr>
    </w:p>
    <w:p w14:paraId="06819D50" w14:textId="77777777" w:rsidR="00355602" w:rsidRPr="00507A31" w:rsidRDefault="00355602" w:rsidP="00507A31">
      <w:pPr>
        <w:jc w:val="both"/>
        <w:rPr>
          <w:color w:val="0070C0"/>
          <w:sz w:val="16"/>
          <w:szCs w:val="16"/>
        </w:rPr>
      </w:pPr>
      <w:r w:rsidRPr="00507A31">
        <w:rPr>
          <w:color w:val="0070C0"/>
          <w:sz w:val="16"/>
          <w:szCs w:val="16"/>
        </w:rPr>
        <w:t>25 декабря 1930 состоялось заседание ПБ (Протокол № 21)</w:t>
      </w:r>
    </w:p>
    <w:p w14:paraId="357CC00F" w14:textId="77777777" w:rsidR="00355602" w:rsidRPr="00507A31" w:rsidRDefault="00355602" w:rsidP="00507A31">
      <w:pPr>
        <w:jc w:val="both"/>
        <w:rPr>
          <w:color w:val="0070C0"/>
          <w:sz w:val="16"/>
          <w:szCs w:val="16"/>
        </w:rPr>
      </w:pPr>
      <w:r w:rsidRPr="00507A31">
        <w:rPr>
          <w:color w:val="0070C0"/>
          <w:sz w:val="16"/>
          <w:szCs w:val="16"/>
        </w:rPr>
        <w:t>23 декабря 1930 опросом членов ПБ</w:t>
      </w:r>
    </w:p>
    <w:p w14:paraId="0DE0C98F" w14:textId="77777777" w:rsidR="00355602" w:rsidRPr="00507A31" w:rsidRDefault="00355602" w:rsidP="00507A31">
      <w:pPr>
        <w:jc w:val="both"/>
        <w:rPr>
          <w:color w:val="0070C0"/>
          <w:sz w:val="16"/>
          <w:szCs w:val="16"/>
        </w:rPr>
      </w:pPr>
      <w:r w:rsidRPr="00507A31">
        <w:rPr>
          <w:color w:val="0070C0"/>
          <w:sz w:val="16"/>
          <w:szCs w:val="16"/>
        </w:rPr>
        <w:t>2.- О Турции.</w:t>
      </w:r>
    </w:p>
    <w:p w14:paraId="03A118B8" w14:textId="77777777" w:rsidR="00355602" w:rsidRPr="00507A31" w:rsidRDefault="00355602" w:rsidP="00507A31">
      <w:pPr>
        <w:jc w:val="both"/>
        <w:rPr>
          <w:color w:val="0070C0"/>
          <w:sz w:val="16"/>
          <w:szCs w:val="16"/>
        </w:rPr>
      </w:pPr>
      <w:r w:rsidRPr="00507A31">
        <w:rPr>
          <w:color w:val="0070C0"/>
          <w:sz w:val="16"/>
          <w:szCs w:val="16"/>
        </w:rPr>
        <w:t>(т. Карахан).</w:t>
      </w:r>
    </w:p>
    <w:p w14:paraId="563DECEF" w14:textId="77777777" w:rsidR="00355602" w:rsidRPr="00507A31" w:rsidRDefault="00355602" w:rsidP="00507A31">
      <w:pPr>
        <w:jc w:val="both"/>
        <w:rPr>
          <w:color w:val="0070C0"/>
          <w:sz w:val="16"/>
          <w:szCs w:val="16"/>
        </w:rPr>
      </w:pPr>
      <w:r w:rsidRPr="00507A31">
        <w:rPr>
          <w:color w:val="0070C0"/>
          <w:sz w:val="16"/>
          <w:szCs w:val="16"/>
        </w:rPr>
        <w:t>Сверх уже обещанного туркам трактора с сельхозмашинами, подарить туркам военный трактор, принимавший участие в конкурсе и ухе находящийся в Ангобе.</w:t>
      </w:r>
    </w:p>
    <w:p w14:paraId="20B77F77" w14:textId="77777777" w:rsidR="00355602" w:rsidRPr="00507A31" w:rsidRDefault="00355602" w:rsidP="00507A31">
      <w:pPr>
        <w:jc w:val="both"/>
        <w:rPr>
          <w:color w:val="0070C0"/>
          <w:sz w:val="16"/>
          <w:szCs w:val="16"/>
        </w:rPr>
      </w:pPr>
      <w:r w:rsidRPr="00507A31">
        <w:rPr>
          <w:color w:val="0070C0"/>
          <w:sz w:val="16"/>
          <w:szCs w:val="16"/>
        </w:rPr>
        <w:t>Выписки посланы: т.т. Ворошилову, Карахану</w:t>
      </w:r>
    </w:p>
    <w:p w14:paraId="3AA1CEA0" w14:textId="77777777" w:rsidR="00355602" w:rsidRPr="00507A31" w:rsidRDefault="00355602" w:rsidP="00507A31">
      <w:pPr>
        <w:jc w:val="both"/>
        <w:rPr>
          <w:color w:val="0070C0"/>
          <w:sz w:val="16"/>
          <w:szCs w:val="16"/>
        </w:rPr>
      </w:pPr>
      <w:r w:rsidRPr="00507A31">
        <w:rPr>
          <w:color w:val="0070C0"/>
          <w:sz w:val="16"/>
          <w:szCs w:val="16"/>
        </w:rPr>
        <w:t>10/39.- О_турецких заказах.</w:t>
      </w:r>
    </w:p>
    <w:p w14:paraId="6C809428" w14:textId="77777777" w:rsidR="00355602" w:rsidRPr="00507A31" w:rsidRDefault="00355602" w:rsidP="00507A31">
      <w:pPr>
        <w:jc w:val="both"/>
        <w:rPr>
          <w:color w:val="0070C0"/>
          <w:sz w:val="16"/>
          <w:szCs w:val="16"/>
        </w:rPr>
      </w:pPr>
      <w:r w:rsidRPr="00507A31">
        <w:rPr>
          <w:color w:val="0070C0"/>
          <w:sz w:val="16"/>
          <w:szCs w:val="16"/>
        </w:rPr>
        <w:t>(т.т.Ворошилов.Карахан).</w:t>
      </w:r>
    </w:p>
    <w:p w14:paraId="1BC0C00A" w14:textId="77777777" w:rsidR="00355602" w:rsidRPr="00507A31" w:rsidRDefault="00355602" w:rsidP="00507A31">
      <w:pPr>
        <w:jc w:val="both"/>
        <w:rPr>
          <w:color w:val="0070C0"/>
          <w:sz w:val="16"/>
          <w:szCs w:val="16"/>
        </w:rPr>
      </w:pPr>
      <w:r w:rsidRPr="00507A31">
        <w:rPr>
          <w:color w:val="0070C0"/>
          <w:sz w:val="16"/>
          <w:szCs w:val="16"/>
        </w:rPr>
        <w:t>Считать возможным ведение переговоров с турками по во</w:t>
      </w:r>
      <w:r w:rsidRPr="00507A31">
        <w:rPr>
          <w:color w:val="0070C0"/>
          <w:sz w:val="16"/>
          <w:szCs w:val="16"/>
        </w:rPr>
        <w:softHyphen/>
        <w:t>просу о продаже им вооружения, при условии,что:</w:t>
      </w:r>
    </w:p>
    <w:p w14:paraId="4C93FCB3" w14:textId="77777777" w:rsidR="00355602" w:rsidRPr="00507A31" w:rsidRDefault="00355602" w:rsidP="00507A31">
      <w:pPr>
        <w:jc w:val="both"/>
        <w:rPr>
          <w:color w:val="0070C0"/>
          <w:sz w:val="16"/>
          <w:szCs w:val="16"/>
        </w:rPr>
      </w:pPr>
      <w:r w:rsidRPr="00507A31">
        <w:rPr>
          <w:color w:val="0070C0"/>
          <w:sz w:val="16"/>
          <w:szCs w:val="16"/>
        </w:rPr>
        <w:t>а) продаваемое должно итти вне нетто-баланса нашей тор</w:t>
      </w:r>
      <w:r w:rsidRPr="00507A31">
        <w:rPr>
          <w:color w:val="0070C0"/>
          <w:sz w:val="16"/>
          <w:szCs w:val="16"/>
        </w:rPr>
        <w:softHyphen/>
        <w:t>говли с Турцией;</w:t>
      </w:r>
    </w:p>
    <w:p w14:paraId="64523A4A" w14:textId="77777777" w:rsidR="00355602" w:rsidRPr="00507A31" w:rsidRDefault="00355602" w:rsidP="00507A31">
      <w:pPr>
        <w:jc w:val="both"/>
        <w:rPr>
          <w:color w:val="0070C0"/>
          <w:sz w:val="16"/>
          <w:szCs w:val="16"/>
        </w:rPr>
      </w:pPr>
      <w:r w:rsidRPr="00507A31">
        <w:rPr>
          <w:color w:val="0070C0"/>
          <w:sz w:val="16"/>
          <w:szCs w:val="16"/>
        </w:rPr>
        <w:t>б) в случае, если продажа производится в рассрочку, воо</w:t>
      </w:r>
      <w:r w:rsidRPr="00507A31">
        <w:rPr>
          <w:color w:val="0070C0"/>
          <w:sz w:val="16"/>
          <w:szCs w:val="16"/>
        </w:rPr>
        <w:softHyphen/>
        <w:t>ружение продается по ценам не ниже цен, существующих в Ев</w:t>
      </w:r>
      <w:r w:rsidRPr="00507A31">
        <w:rPr>
          <w:color w:val="0070C0"/>
          <w:sz w:val="16"/>
          <w:szCs w:val="16"/>
        </w:rPr>
        <w:softHyphen/>
        <w:t>ропе; если же продажа производится за наличные, вооружение продается по ценам ниже европейских;</w:t>
      </w:r>
    </w:p>
    <w:p w14:paraId="41930BDD" w14:textId="77777777" w:rsidR="00355602" w:rsidRPr="00507A31" w:rsidRDefault="00355602" w:rsidP="00507A31">
      <w:pPr>
        <w:jc w:val="both"/>
        <w:rPr>
          <w:color w:val="0070C0"/>
          <w:sz w:val="16"/>
          <w:szCs w:val="16"/>
        </w:rPr>
      </w:pPr>
      <w:r w:rsidRPr="00507A31">
        <w:rPr>
          <w:color w:val="0070C0"/>
          <w:sz w:val="16"/>
          <w:szCs w:val="16"/>
        </w:rPr>
        <w:t>в) вооружение последних образцов не продавать.</w:t>
      </w:r>
    </w:p>
    <w:p w14:paraId="413AF51A" w14:textId="77777777" w:rsidR="00355602" w:rsidRPr="00507A31" w:rsidRDefault="00355602" w:rsidP="00507A31">
      <w:pPr>
        <w:jc w:val="both"/>
        <w:rPr>
          <w:color w:val="0070C0"/>
          <w:sz w:val="16"/>
          <w:szCs w:val="16"/>
        </w:rPr>
      </w:pPr>
      <w:r w:rsidRPr="00507A31">
        <w:rPr>
          <w:color w:val="0070C0"/>
          <w:sz w:val="16"/>
          <w:szCs w:val="16"/>
        </w:rPr>
        <w:t>Выписка послана: т. Ворошилову.</w:t>
      </w:r>
    </w:p>
    <w:p w14:paraId="0DD9BBCB" w14:textId="77777777" w:rsidR="00355602" w:rsidRPr="00507A31" w:rsidRDefault="00355602" w:rsidP="00507A31">
      <w:pPr>
        <w:jc w:val="both"/>
        <w:rPr>
          <w:color w:val="0070C0"/>
          <w:sz w:val="16"/>
          <w:szCs w:val="16"/>
        </w:rPr>
      </w:pPr>
      <w:r w:rsidRPr="00507A31">
        <w:rPr>
          <w:color w:val="0070C0"/>
          <w:sz w:val="16"/>
          <w:szCs w:val="16"/>
        </w:rPr>
        <w:t>11/40.- О подводных лодках.</w:t>
      </w:r>
    </w:p>
    <w:p w14:paraId="750609F3" w14:textId="77777777" w:rsidR="00355602" w:rsidRPr="00507A31" w:rsidRDefault="00355602" w:rsidP="00507A31">
      <w:pPr>
        <w:jc w:val="both"/>
        <w:rPr>
          <w:color w:val="0070C0"/>
          <w:sz w:val="16"/>
          <w:szCs w:val="16"/>
        </w:rPr>
      </w:pPr>
      <w:r w:rsidRPr="00507A31">
        <w:rPr>
          <w:color w:val="0070C0"/>
          <w:sz w:val="16"/>
          <w:szCs w:val="16"/>
        </w:rPr>
        <w:t>(т. Ворошилов).</w:t>
      </w:r>
    </w:p>
    <w:p w14:paraId="03B899C1" w14:textId="77777777" w:rsidR="00355602" w:rsidRPr="00507A31" w:rsidRDefault="00355602" w:rsidP="00507A31">
      <w:pPr>
        <w:jc w:val="both"/>
        <w:rPr>
          <w:color w:val="0070C0"/>
          <w:sz w:val="16"/>
          <w:szCs w:val="16"/>
        </w:rPr>
      </w:pPr>
      <w:r w:rsidRPr="00507A31">
        <w:rPr>
          <w:color w:val="0070C0"/>
          <w:sz w:val="16"/>
          <w:szCs w:val="16"/>
        </w:rPr>
        <w:t>Разрешить Реввоенсовету заложить 3 подводных лодки доложенной т. Ворошиловым конструкции.</w:t>
      </w:r>
    </w:p>
    <w:p w14:paraId="5BEF38EF" w14:textId="77777777" w:rsidR="00355602" w:rsidRPr="00507A31" w:rsidRDefault="00355602" w:rsidP="00507A31">
      <w:pPr>
        <w:jc w:val="both"/>
        <w:rPr>
          <w:color w:val="0070C0"/>
          <w:sz w:val="16"/>
          <w:szCs w:val="16"/>
        </w:rPr>
      </w:pPr>
      <w:r w:rsidRPr="00507A31">
        <w:rPr>
          <w:color w:val="0070C0"/>
          <w:sz w:val="16"/>
          <w:szCs w:val="16"/>
        </w:rPr>
        <w:t>Выписка послана: т. Ворошилову.</w:t>
      </w:r>
    </w:p>
    <w:p w14:paraId="03680F08" w14:textId="77777777" w:rsidR="00355602" w:rsidRPr="00507A31" w:rsidRDefault="00355602" w:rsidP="00507A31">
      <w:pPr>
        <w:jc w:val="both"/>
        <w:rPr>
          <w:color w:val="0070C0"/>
          <w:sz w:val="16"/>
          <w:szCs w:val="16"/>
        </w:rPr>
      </w:pPr>
      <w:r w:rsidRPr="00507A31">
        <w:rPr>
          <w:color w:val="0070C0"/>
          <w:sz w:val="16"/>
          <w:szCs w:val="16"/>
        </w:rPr>
        <w:t>25 декабря 1930 опросом членов ПБ</w:t>
      </w:r>
    </w:p>
    <w:p w14:paraId="4A155017" w14:textId="77777777" w:rsidR="00355602" w:rsidRPr="00507A31" w:rsidRDefault="00355602" w:rsidP="00507A31">
      <w:pPr>
        <w:jc w:val="both"/>
        <w:rPr>
          <w:color w:val="0070C0"/>
          <w:sz w:val="16"/>
          <w:szCs w:val="16"/>
        </w:rPr>
      </w:pPr>
      <w:r w:rsidRPr="00507A31">
        <w:rPr>
          <w:color w:val="0070C0"/>
          <w:sz w:val="16"/>
          <w:szCs w:val="16"/>
        </w:rPr>
        <w:t>64/65.-О заявке ВСНХ на военное снабжение</w:t>
      </w:r>
    </w:p>
    <w:p w14:paraId="2EAE6650" w14:textId="77777777" w:rsidR="00355602" w:rsidRPr="00507A31" w:rsidRDefault="00355602" w:rsidP="00507A31">
      <w:pPr>
        <w:jc w:val="both"/>
        <w:rPr>
          <w:color w:val="0070C0"/>
          <w:sz w:val="16"/>
          <w:szCs w:val="16"/>
        </w:rPr>
      </w:pPr>
      <w:r w:rsidRPr="00507A31">
        <w:rPr>
          <w:color w:val="0070C0"/>
          <w:sz w:val="16"/>
          <w:szCs w:val="16"/>
        </w:rPr>
        <w:t>Утвердить следующее решение комиссии Политбюро:</w:t>
      </w:r>
    </w:p>
    <w:p w14:paraId="7397CA60" w14:textId="77777777" w:rsidR="00355602" w:rsidRPr="00507A31" w:rsidRDefault="00355602" w:rsidP="00507A31">
      <w:pPr>
        <w:jc w:val="both"/>
        <w:rPr>
          <w:color w:val="0070C0"/>
          <w:sz w:val="16"/>
          <w:szCs w:val="16"/>
        </w:rPr>
      </w:pPr>
      <w:r w:rsidRPr="00507A31">
        <w:rPr>
          <w:color w:val="0070C0"/>
          <w:sz w:val="16"/>
          <w:szCs w:val="16"/>
        </w:rPr>
        <w:t>а) Установить импортный контингент по цветным металлам и техническому снабжению в размере 15 млн. руб.</w:t>
      </w:r>
    </w:p>
    <w:p w14:paraId="213BB160" w14:textId="77777777" w:rsidR="00355602" w:rsidRPr="00507A31" w:rsidRDefault="00355602" w:rsidP="00507A31">
      <w:pPr>
        <w:jc w:val="both"/>
        <w:rPr>
          <w:color w:val="0070C0"/>
          <w:sz w:val="16"/>
          <w:szCs w:val="16"/>
        </w:rPr>
      </w:pPr>
      <w:r w:rsidRPr="00507A31">
        <w:rPr>
          <w:color w:val="0070C0"/>
          <w:sz w:val="16"/>
          <w:szCs w:val="16"/>
        </w:rPr>
        <w:t>б) Поручить т.т. Рудзутаку, Розенгольцу и Павлуновскому рассмотреть в связи с этим решением весь импортный контин</w:t>
      </w:r>
      <w:r w:rsidRPr="00507A31">
        <w:rPr>
          <w:color w:val="0070C0"/>
          <w:sz w:val="16"/>
          <w:szCs w:val="16"/>
        </w:rPr>
        <w:softHyphen/>
        <w:t>гент с тем, чтобы общий лимит контингентов и валютных платежей по годовому плану 1931 г. не увеличился. Не менее 1 1/2 млн. руб.сокращения отнести по контингенту и валюте ВСНХ.</w:t>
      </w:r>
    </w:p>
    <w:p w14:paraId="0A1063F4" w14:textId="77777777" w:rsidR="00355602" w:rsidRPr="00507A31" w:rsidRDefault="00355602" w:rsidP="00507A31">
      <w:pPr>
        <w:jc w:val="both"/>
        <w:rPr>
          <w:color w:val="0070C0"/>
          <w:sz w:val="16"/>
          <w:szCs w:val="16"/>
        </w:rPr>
      </w:pPr>
      <w:r w:rsidRPr="00507A31">
        <w:rPr>
          <w:color w:val="0070C0"/>
          <w:sz w:val="16"/>
          <w:szCs w:val="16"/>
        </w:rPr>
        <w:t>Выписки посланы: т.т. Рудзутаку, Розенгольцу, Павлуновскому, Орджоникидзе, Ворошилову (23120).</w:t>
      </w:r>
    </w:p>
    <w:p w14:paraId="31D74455" w14:textId="77777777" w:rsidR="00355602" w:rsidRPr="00507A31" w:rsidRDefault="00355602" w:rsidP="00507A31">
      <w:pPr>
        <w:jc w:val="both"/>
        <w:rPr>
          <w:color w:val="0070C0"/>
          <w:sz w:val="16"/>
          <w:szCs w:val="16"/>
        </w:rPr>
      </w:pPr>
    </w:p>
    <w:p w14:paraId="052A12B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A1D5804" w14:textId="77777777" w:rsidR="00537E5F" w:rsidRPr="00507A31" w:rsidRDefault="00537E5F" w:rsidP="00507A31">
      <w:pPr>
        <w:autoSpaceDE w:val="0"/>
        <w:autoSpaceDN w:val="0"/>
        <w:adjustRightInd w:val="0"/>
        <w:jc w:val="both"/>
        <w:rPr>
          <w:iCs/>
          <w:color w:val="000000" w:themeColor="text1"/>
          <w:sz w:val="16"/>
          <w:szCs w:val="16"/>
        </w:rPr>
      </w:pPr>
    </w:p>
    <w:p w14:paraId="12C6614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декабря 1930 закончились испытания самолета ТШ2 постройки ЦКБ мотор БМВ VI, которые проходили с 2 ноября 1930</w:t>
      </w:r>
    </w:p>
    <w:p w14:paraId="5F8DBF3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Цель работы</w:t>
      </w:r>
    </w:p>
    <w:p w14:paraId="5BEEBC6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Получение основных характеристик самолета данного типа и накопление опыта для постройки следующих.</w:t>
      </w:r>
    </w:p>
    <w:p w14:paraId="70BEF0E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Краткий вывод</w:t>
      </w:r>
    </w:p>
    <w:p w14:paraId="682C587B"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в настоящем виде не может быть принят на вооружение частей ВВС.</w:t>
      </w:r>
    </w:p>
    <w:p w14:paraId="084B580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Распоряжением зам. начальника УВВС испытание самолета производилось совместно с ЦКБ.</w:t>
      </w:r>
    </w:p>
    <w:p w14:paraId="4D7DBDB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начато 2 ноября 930 года</w:t>
      </w:r>
    </w:p>
    <w:p w14:paraId="6BE505C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закончено 26 декабря 1930 года</w:t>
      </w:r>
    </w:p>
    <w:p w14:paraId="4C1A8DE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Пребывание самолета в НИИ – 28 дней</w:t>
      </w:r>
    </w:p>
    <w:p w14:paraId="31C2101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Пребывание самолета в ЦКБ – 27 дней</w:t>
      </w:r>
    </w:p>
    <w:p w14:paraId="7CF0E96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Летных дней – 10 (6797).</w:t>
      </w:r>
    </w:p>
    <w:p w14:paraId="4137B99D"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1D88CB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декабря 1930 в НИИ ВВС закончились испытания самолета ТШ2 БМВ, которые проходили с 2 ноября 1930.</w:t>
      </w:r>
    </w:p>
    <w:p w14:paraId="3B9BD3D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ТШ2 постройки ЦКБ мотор БМВ VI 7,3</w:t>
      </w:r>
    </w:p>
    <w:p w14:paraId="641A231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Цель работы: Получение основных характеристик самолета данного типа и накопление опыта для постройки следующих.</w:t>
      </w:r>
    </w:p>
    <w:p w14:paraId="59C0F03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Краткий вывод</w:t>
      </w:r>
    </w:p>
    <w:p w14:paraId="59CD278E"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в настоящем виде не может быть принят на вооружение частей ВВС.</w:t>
      </w:r>
    </w:p>
    <w:p w14:paraId="2E7352CC" w14:textId="77777777" w:rsidR="00537E5F" w:rsidRPr="00507A31" w:rsidRDefault="00537E5F" w:rsidP="00507A31">
      <w:pPr>
        <w:tabs>
          <w:tab w:val="left" w:pos="360"/>
          <w:tab w:val="left" w:pos="11199"/>
        </w:tabs>
        <w:autoSpaceDE w:val="0"/>
        <w:autoSpaceDN w:val="0"/>
        <w:adjustRightInd w:val="0"/>
        <w:jc w:val="both"/>
        <w:rPr>
          <w:color w:val="000000" w:themeColor="text1"/>
          <w:sz w:val="16"/>
          <w:szCs w:val="16"/>
        </w:rPr>
      </w:pPr>
      <w:r w:rsidRPr="00507A31">
        <w:rPr>
          <w:color w:val="000000" w:themeColor="text1"/>
          <w:sz w:val="16"/>
          <w:szCs w:val="16"/>
        </w:rPr>
        <w:t>Возвратить самолет в ЦКБ для доделки вооружения и прочих спецслужб.</w:t>
      </w:r>
    </w:p>
    <w:p w14:paraId="193C184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Распоряжением зам. начальника УВВС испытание самолета производилось совместно с ЦКБ.</w:t>
      </w:r>
    </w:p>
    <w:p w14:paraId="317C302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начато 2 ноября 1930 года</w:t>
      </w:r>
    </w:p>
    <w:p w14:paraId="045082F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закончено 26 декабря 1930 года</w:t>
      </w:r>
    </w:p>
    <w:p w14:paraId="1FBD110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Пребывание самолета в НИИ – 28 дней</w:t>
      </w:r>
    </w:p>
    <w:p w14:paraId="3343F8F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Пребывание самолета в ЦКБ – 27 дней</w:t>
      </w:r>
    </w:p>
    <w:p w14:paraId="51B2DC0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Летных дней – 10</w:t>
      </w:r>
    </w:p>
    <w:p w14:paraId="55AF7FC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Назначение самолета – двухместный бронированный штурмовик.</w:t>
      </w:r>
    </w:p>
    <w:p w14:paraId="48C719C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По схеме самолет – биплан с выносом верхнего крыла. Мотор и передняя часть фюзеляжа включая сидение наблюдателя бронированы. Броня служит остовом фюзеляжа. Покрытие самолета полотняное.</w:t>
      </w:r>
    </w:p>
    <w:p w14:paraId="1935425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 самолета</w:t>
      </w:r>
    </w:p>
    <w:p w14:paraId="2B3DA81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Два пулемета для стрельбы через винт.</w:t>
      </w:r>
    </w:p>
    <w:p w14:paraId="7765661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Задняя турель с пулеметом ПВ-1.</w:t>
      </w:r>
    </w:p>
    <w:p w14:paraId="0809AED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Пулеметные батареи на нижних плоскостях по 4 пулемета на крыло: всего 8 штук.</w:t>
      </w:r>
    </w:p>
    <w:p w14:paraId="7685099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Предусмотрена установка кассетного бомбодержателя под сидением летчика (6962).</w:t>
      </w:r>
    </w:p>
    <w:p w14:paraId="68CE4C2F"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D4D8F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декабря 1930 закончились испытания ТШ-2 постройки ЦКБ мотор БМВ VI - 7,3 N 17010 - 500/730 НР. Винт Д=3,35 м Н-2,45 м., которые проходили со 2 ноября 1930.</w:t>
      </w:r>
    </w:p>
    <w:p w14:paraId="3373CA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Цель работы:</w:t>
      </w:r>
    </w:p>
    <w:p w14:paraId="7C274A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Получение основных характеристик самолета, данного типа и накопление опыты для постройки следующих.</w:t>
      </w:r>
    </w:p>
    <w:p w14:paraId="0A5076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Основные данные и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211"/>
        <w:gridCol w:w="5387"/>
      </w:tblGrid>
      <w:tr w:rsidR="00E371BA" w:rsidRPr="00507A31" w14:paraId="05F1DC24" w14:textId="77777777">
        <w:tc>
          <w:tcPr>
            <w:tcW w:w="5211" w:type="dxa"/>
          </w:tcPr>
          <w:p w14:paraId="4BD6DD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Полетный вес</w:t>
            </w:r>
          </w:p>
        </w:tc>
        <w:tc>
          <w:tcPr>
            <w:tcW w:w="5387" w:type="dxa"/>
          </w:tcPr>
          <w:p w14:paraId="0CED48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3225 кг</w:t>
            </w:r>
          </w:p>
        </w:tc>
      </w:tr>
      <w:tr w:rsidR="00E371BA" w:rsidRPr="00507A31" w14:paraId="1A796050" w14:textId="77777777">
        <w:tc>
          <w:tcPr>
            <w:tcW w:w="5211" w:type="dxa"/>
          </w:tcPr>
          <w:p w14:paraId="2A96F4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Нагрузка (включая броню)</w:t>
            </w:r>
          </w:p>
        </w:tc>
        <w:tc>
          <w:tcPr>
            <w:tcW w:w="5387" w:type="dxa"/>
          </w:tcPr>
          <w:p w14:paraId="7C2109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1545 кг</w:t>
            </w:r>
          </w:p>
        </w:tc>
      </w:tr>
      <w:tr w:rsidR="00E371BA" w:rsidRPr="00507A31" w14:paraId="46190BBD" w14:textId="77777777">
        <w:tc>
          <w:tcPr>
            <w:tcW w:w="5211" w:type="dxa"/>
          </w:tcPr>
          <w:p w14:paraId="3D70A6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Несущая поверхность</w:t>
            </w:r>
          </w:p>
        </w:tc>
        <w:tc>
          <w:tcPr>
            <w:tcW w:w="5387" w:type="dxa"/>
          </w:tcPr>
          <w:p w14:paraId="25A1AA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48,53 м кв.</w:t>
            </w:r>
          </w:p>
        </w:tc>
      </w:tr>
      <w:tr w:rsidR="00E371BA" w:rsidRPr="00507A31" w14:paraId="238E61D2" w14:textId="77777777">
        <w:tc>
          <w:tcPr>
            <w:tcW w:w="5211" w:type="dxa"/>
          </w:tcPr>
          <w:p w14:paraId="49E418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Нагрузка на м кв.</w:t>
            </w:r>
          </w:p>
        </w:tc>
        <w:tc>
          <w:tcPr>
            <w:tcW w:w="5387" w:type="dxa"/>
          </w:tcPr>
          <w:p w14:paraId="4E941F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66,5 кг/м кв.</w:t>
            </w:r>
          </w:p>
        </w:tc>
      </w:tr>
      <w:tr w:rsidR="00E371BA" w:rsidRPr="00507A31" w14:paraId="6A46A0FC" w14:textId="77777777">
        <w:tc>
          <w:tcPr>
            <w:tcW w:w="5211" w:type="dxa"/>
          </w:tcPr>
          <w:p w14:paraId="284B72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Нагрузка на НР</w:t>
            </w:r>
          </w:p>
        </w:tc>
        <w:tc>
          <w:tcPr>
            <w:tcW w:w="5387" w:type="dxa"/>
          </w:tcPr>
          <w:p w14:paraId="716928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6,46/4,43 кг/НР</w:t>
            </w:r>
          </w:p>
        </w:tc>
      </w:tr>
      <w:tr w:rsidR="00E371BA" w:rsidRPr="00507A31" w14:paraId="15EF3A90" w14:textId="77777777">
        <w:tc>
          <w:tcPr>
            <w:tcW w:w="5211" w:type="dxa"/>
          </w:tcPr>
          <w:p w14:paraId="329AE1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Максимальная скорость (с высотным</w:t>
            </w:r>
          </w:p>
        </w:tc>
        <w:tc>
          <w:tcPr>
            <w:tcW w:w="5387" w:type="dxa"/>
          </w:tcPr>
          <w:p w14:paraId="7AB89313"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266CF03" w14:textId="77777777">
        <w:tc>
          <w:tcPr>
            <w:tcW w:w="5211" w:type="dxa"/>
          </w:tcPr>
          <w:p w14:paraId="15A667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газом)</w:t>
            </w:r>
          </w:p>
        </w:tc>
        <w:tc>
          <w:tcPr>
            <w:tcW w:w="5387" w:type="dxa"/>
          </w:tcPr>
          <w:p w14:paraId="2BCF1509"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3AB3F26F" w14:textId="77777777">
        <w:tc>
          <w:tcPr>
            <w:tcW w:w="5211" w:type="dxa"/>
          </w:tcPr>
          <w:p w14:paraId="7D2090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 земли</w:t>
            </w:r>
          </w:p>
        </w:tc>
        <w:tc>
          <w:tcPr>
            <w:tcW w:w="5387" w:type="dxa"/>
          </w:tcPr>
          <w:p w14:paraId="6559A2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213,5-1600 об/мин.</w:t>
            </w:r>
          </w:p>
        </w:tc>
      </w:tr>
      <w:tr w:rsidR="00E371BA" w:rsidRPr="00507A31" w14:paraId="0889C4AF" w14:textId="77777777">
        <w:tc>
          <w:tcPr>
            <w:tcW w:w="5211" w:type="dxa"/>
          </w:tcPr>
          <w:p w14:paraId="246868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1000 м</w:t>
            </w:r>
          </w:p>
        </w:tc>
        <w:tc>
          <w:tcPr>
            <w:tcW w:w="5387" w:type="dxa"/>
          </w:tcPr>
          <w:p w14:paraId="547787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209,0-1560 -"-</w:t>
            </w:r>
          </w:p>
        </w:tc>
      </w:tr>
      <w:tr w:rsidR="00E371BA" w:rsidRPr="00507A31" w14:paraId="0B2AF62E" w14:textId="77777777">
        <w:tc>
          <w:tcPr>
            <w:tcW w:w="5211" w:type="dxa"/>
          </w:tcPr>
          <w:p w14:paraId="284B20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3000 м</w:t>
            </w:r>
          </w:p>
        </w:tc>
        <w:tc>
          <w:tcPr>
            <w:tcW w:w="5387" w:type="dxa"/>
          </w:tcPr>
          <w:p w14:paraId="652302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192,0-1540 -"-</w:t>
            </w:r>
          </w:p>
        </w:tc>
      </w:tr>
      <w:tr w:rsidR="00E371BA" w:rsidRPr="00507A31" w14:paraId="47067CFA" w14:textId="77777777">
        <w:tc>
          <w:tcPr>
            <w:tcW w:w="5211" w:type="dxa"/>
          </w:tcPr>
          <w:p w14:paraId="0A32E6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подъема на 3000 м (норм.</w:t>
            </w:r>
          </w:p>
        </w:tc>
        <w:tc>
          <w:tcPr>
            <w:tcW w:w="5387" w:type="dxa"/>
          </w:tcPr>
          <w:p w14:paraId="5DCE1B9F"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6118B9F" w14:textId="77777777">
        <w:tc>
          <w:tcPr>
            <w:tcW w:w="5211" w:type="dxa"/>
          </w:tcPr>
          <w:p w14:paraId="5EF550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обороты)</w:t>
            </w:r>
          </w:p>
        </w:tc>
        <w:tc>
          <w:tcPr>
            <w:tcW w:w="5387" w:type="dxa"/>
          </w:tcPr>
          <w:p w14:paraId="043025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24,0 мин.</w:t>
            </w:r>
          </w:p>
        </w:tc>
      </w:tr>
      <w:tr w:rsidR="00E371BA" w:rsidRPr="00507A31" w14:paraId="3C1C140F" w14:textId="77777777">
        <w:tc>
          <w:tcPr>
            <w:tcW w:w="5211" w:type="dxa"/>
          </w:tcPr>
          <w:p w14:paraId="2A2633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виража</w:t>
            </w:r>
          </w:p>
        </w:tc>
        <w:tc>
          <w:tcPr>
            <w:tcW w:w="5387" w:type="dxa"/>
          </w:tcPr>
          <w:p w14:paraId="1689B6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17,0-17,5 сек.</w:t>
            </w:r>
          </w:p>
        </w:tc>
      </w:tr>
      <w:tr w:rsidR="00E371BA" w:rsidRPr="00507A31" w14:paraId="01AD9A41" w14:textId="77777777">
        <w:tc>
          <w:tcPr>
            <w:tcW w:w="5211" w:type="dxa"/>
          </w:tcPr>
          <w:p w14:paraId="1C3A4C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Время восьмерки</w:t>
            </w:r>
          </w:p>
        </w:tc>
        <w:tc>
          <w:tcPr>
            <w:tcW w:w="5387" w:type="dxa"/>
          </w:tcPr>
          <w:p w14:paraId="039B8E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 сек.</w:t>
            </w:r>
          </w:p>
        </w:tc>
      </w:tr>
      <w:tr w:rsidR="00E371BA" w:rsidRPr="00507A31" w14:paraId="4584BC49" w14:textId="77777777">
        <w:tc>
          <w:tcPr>
            <w:tcW w:w="5211" w:type="dxa"/>
          </w:tcPr>
          <w:p w14:paraId="7C0351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Разбег</w:t>
            </w:r>
          </w:p>
        </w:tc>
        <w:tc>
          <w:tcPr>
            <w:tcW w:w="5387" w:type="dxa"/>
          </w:tcPr>
          <w:p w14:paraId="26487A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12-13 сек. - 160-180 м</w:t>
            </w:r>
          </w:p>
        </w:tc>
      </w:tr>
      <w:tr w:rsidR="00E371BA" w:rsidRPr="00507A31" w14:paraId="2624C719" w14:textId="77777777">
        <w:tc>
          <w:tcPr>
            <w:tcW w:w="5211" w:type="dxa"/>
          </w:tcPr>
          <w:p w14:paraId="10381A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Пробег</w:t>
            </w:r>
          </w:p>
        </w:tc>
        <w:tc>
          <w:tcPr>
            <w:tcW w:w="5387" w:type="dxa"/>
          </w:tcPr>
          <w:p w14:paraId="535CB1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сек. - 120-130 м</w:t>
            </w:r>
          </w:p>
        </w:tc>
      </w:tr>
    </w:tbl>
    <w:p w14:paraId="6BF6C6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Краткий вывод</w:t>
      </w:r>
    </w:p>
    <w:p w14:paraId="752BD9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Самолет в настоящем виде не может быть принят на вооружение частей ВВС.</w:t>
      </w:r>
    </w:p>
    <w:p w14:paraId="2E3498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Возвратить самолет в ЦКБ для доделки вооружения и прочих спецслужб.</w:t>
      </w:r>
    </w:p>
    <w:p w14:paraId="32BEFF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Пребывание самолета в НИИ - 28 дней</w:t>
      </w:r>
    </w:p>
    <w:p w14:paraId="645E416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Пребывание самолета в ЦКБ - 27 дней</w:t>
      </w:r>
    </w:p>
    <w:p w14:paraId="0EFEDD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Летных дней 10 (3234).</w:t>
      </w:r>
    </w:p>
    <w:p w14:paraId="6282CCAF" w14:textId="77777777" w:rsidR="00537E5F" w:rsidRPr="00507A31" w:rsidRDefault="00537E5F" w:rsidP="00507A31">
      <w:pPr>
        <w:autoSpaceDE w:val="0"/>
        <w:autoSpaceDN w:val="0"/>
        <w:adjustRightInd w:val="0"/>
        <w:jc w:val="both"/>
        <w:rPr>
          <w:color w:val="000000" w:themeColor="text1"/>
          <w:sz w:val="16"/>
          <w:szCs w:val="16"/>
        </w:rPr>
      </w:pPr>
    </w:p>
    <w:p w14:paraId="0AB3C38F" w14:textId="77777777" w:rsidR="007517AA" w:rsidRPr="00507A31" w:rsidRDefault="007517AA" w:rsidP="00507A31">
      <w:pPr>
        <w:jc w:val="both"/>
        <w:rPr>
          <w:color w:val="0070C0"/>
          <w:sz w:val="16"/>
          <w:szCs w:val="16"/>
          <w:lang w:bidi="ru-RU"/>
        </w:rPr>
      </w:pPr>
      <w:r w:rsidRPr="00507A31">
        <w:rPr>
          <w:color w:val="0070C0"/>
          <w:sz w:val="16"/>
          <w:szCs w:val="16"/>
          <w:lang w:bidi="ru-RU"/>
        </w:rPr>
        <w:t>26 декабря 1930 для ускорения испытаний ТШ-2 с М-27 «на совещании у заме</w:t>
      </w:r>
      <w:r w:rsidRPr="00507A31">
        <w:rPr>
          <w:color w:val="0070C0"/>
          <w:sz w:val="16"/>
          <w:szCs w:val="16"/>
          <w:lang w:bidi="ru-RU"/>
        </w:rPr>
        <w:softHyphen/>
        <w:t>стителя начальника ВАО т. Харламова по вопросу выпуска самолетов и моторов» завод №24 получил распоряжение не позднее 10 января 1931 г. передать на за</w:t>
      </w:r>
      <w:r w:rsidRPr="00507A31">
        <w:rPr>
          <w:color w:val="0070C0"/>
          <w:sz w:val="16"/>
          <w:szCs w:val="16"/>
          <w:lang w:bidi="ru-RU"/>
        </w:rPr>
        <w:softHyphen/>
        <w:t>вод № 39 (в ЦКБ) первый экземпляр мо</w:t>
      </w:r>
      <w:r w:rsidRPr="00507A31">
        <w:rPr>
          <w:color w:val="0070C0"/>
          <w:sz w:val="16"/>
          <w:szCs w:val="16"/>
          <w:lang w:bidi="ru-RU"/>
        </w:rPr>
        <w:softHyphen/>
        <w:t>тора М-27, прошедший к этому времени 50-часовые заводские испытания. Мотор следовало укомплектовать «всем необхо</w:t>
      </w:r>
      <w:r w:rsidRPr="00507A31">
        <w:rPr>
          <w:color w:val="0070C0"/>
          <w:sz w:val="16"/>
          <w:szCs w:val="16"/>
          <w:lang w:bidi="ru-RU"/>
        </w:rPr>
        <w:softHyphen/>
        <w:t>димым оборудованием (синхронизаторы, самопуски и т.д.)» (21062).</w:t>
      </w:r>
    </w:p>
    <w:p w14:paraId="2D620324" w14:textId="77777777" w:rsidR="007517AA" w:rsidRPr="00507A31" w:rsidRDefault="007517AA" w:rsidP="00507A31">
      <w:pPr>
        <w:jc w:val="both"/>
        <w:rPr>
          <w:color w:val="0070C0"/>
          <w:sz w:val="16"/>
          <w:szCs w:val="16"/>
        </w:rPr>
      </w:pPr>
    </w:p>
    <w:p w14:paraId="4EF3471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5FB1E50" w14:textId="77777777" w:rsidR="00537E5F" w:rsidRPr="00507A31" w:rsidRDefault="00537E5F" w:rsidP="00507A31">
      <w:pPr>
        <w:autoSpaceDE w:val="0"/>
        <w:autoSpaceDN w:val="0"/>
        <w:adjustRightInd w:val="0"/>
        <w:jc w:val="both"/>
        <w:rPr>
          <w:iCs/>
          <w:color w:val="000000" w:themeColor="text1"/>
          <w:sz w:val="16"/>
          <w:szCs w:val="16"/>
        </w:rPr>
      </w:pPr>
    </w:p>
    <w:p w14:paraId="6DC6BE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декабря 1930 года заводу "Большевик" был выдан заказ Управления ВМС на разработку проекта, рабочих чертежей и опытного образца 102-мм зенитной пушки длиной в 45 калибров с углом возвышения +75. Срок изготовления опытного образца по заказу 1 апреля 1932 года, но почти сразу завод "Большевик" "выторговал" 5 месяцев, то есть к 1 сентября 1932 года (3861).</w:t>
      </w:r>
    </w:p>
    <w:p w14:paraId="7C88F8BE" w14:textId="77777777" w:rsidR="00537E5F" w:rsidRPr="00507A31" w:rsidRDefault="00537E5F" w:rsidP="00507A31">
      <w:pPr>
        <w:autoSpaceDE w:val="0"/>
        <w:autoSpaceDN w:val="0"/>
        <w:adjustRightInd w:val="0"/>
        <w:jc w:val="both"/>
        <w:rPr>
          <w:color w:val="000000" w:themeColor="text1"/>
          <w:sz w:val="16"/>
          <w:szCs w:val="16"/>
        </w:rPr>
      </w:pPr>
    </w:p>
    <w:p w14:paraId="2DBB82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0D9748A7" w14:textId="77777777" w:rsidR="00537E5F" w:rsidRPr="00507A31" w:rsidRDefault="00537E5F" w:rsidP="00507A31">
      <w:pPr>
        <w:autoSpaceDE w:val="0"/>
        <w:autoSpaceDN w:val="0"/>
        <w:adjustRightInd w:val="0"/>
        <w:jc w:val="both"/>
        <w:rPr>
          <w:color w:val="000000" w:themeColor="text1"/>
          <w:sz w:val="16"/>
          <w:szCs w:val="16"/>
        </w:rPr>
      </w:pPr>
    </w:p>
    <w:p w14:paraId="7FCADA46" w14:textId="77777777" w:rsidR="00CB0D3A" w:rsidRPr="00507A31" w:rsidRDefault="00CB0D3A" w:rsidP="00507A31">
      <w:pPr>
        <w:jc w:val="both"/>
        <w:rPr>
          <w:color w:val="000000" w:themeColor="text1"/>
          <w:sz w:val="16"/>
          <w:szCs w:val="16"/>
        </w:rPr>
      </w:pPr>
      <w:r w:rsidRPr="00507A31">
        <w:rPr>
          <w:color w:val="000000" w:themeColor="text1"/>
          <w:sz w:val="16"/>
          <w:szCs w:val="16"/>
        </w:rPr>
        <w:t>26 декабря 1930</w:t>
      </w:r>
    </w:p>
    <w:p w14:paraId="2424A4B2" w14:textId="77777777" w:rsidR="00CB0D3A" w:rsidRPr="00507A31" w:rsidRDefault="00CB0D3A" w:rsidP="00507A31">
      <w:pPr>
        <w:jc w:val="both"/>
        <w:rPr>
          <w:color w:val="000000" w:themeColor="text1"/>
          <w:sz w:val="16"/>
          <w:szCs w:val="16"/>
        </w:rPr>
      </w:pPr>
      <w:r w:rsidRPr="00507A31">
        <w:rPr>
          <w:color w:val="000000" w:themeColor="text1"/>
          <w:sz w:val="16"/>
          <w:szCs w:val="16"/>
        </w:rPr>
        <w:t>Протокол № 21 заседания Политбюро ЦК ВКП(б) от 25 декабря 1930 г.</w:t>
      </w:r>
    </w:p>
    <w:p w14:paraId="2CCEFE7B" w14:textId="77777777" w:rsidR="00CB0D3A" w:rsidRPr="00507A31" w:rsidRDefault="00CB0D3A" w:rsidP="00507A31">
      <w:pPr>
        <w:jc w:val="both"/>
        <w:rPr>
          <w:color w:val="000000" w:themeColor="text1"/>
          <w:sz w:val="16"/>
          <w:szCs w:val="16"/>
        </w:rPr>
      </w:pPr>
      <w:r w:rsidRPr="00507A31">
        <w:rPr>
          <w:color w:val="000000" w:themeColor="text1"/>
          <w:sz w:val="16"/>
          <w:szCs w:val="16"/>
        </w:rPr>
        <w:t>Заседание Политбюро ЦК ВКП(б) от 25-го декабря 1930 года.</w:t>
      </w:r>
    </w:p>
    <w:p w14:paraId="1C0588E8" w14:textId="77777777" w:rsidR="00CB0D3A" w:rsidRPr="00507A31" w:rsidRDefault="00CB0D3A" w:rsidP="00507A31">
      <w:pPr>
        <w:jc w:val="both"/>
        <w:rPr>
          <w:color w:val="000000" w:themeColor="text1"/>
          <w:sz w:val="16"/>
          <w:szCs w:val="16"/>
        </w:rPr>
      </w:pPr>
      <w:r w:rsidRPr="00507A31">
        <w:rPr>
          <w:color w:val="000000" w:themeColor="text1"/>
          <w:sz w:val="16"/>
          <w:szCs w:val="16"/>
        </w:rPr>
        <w:t>п. 11/40: О подводных лодках</w:t>
      </w:r>
    </w:p>
    <w:p w14:paraId="1B61E60E" w14:textId="77777777" w:rsidR="00CB0D3A" w:rsidRPr="00507A31" w:rsidRDefault="00CB0D3A" w:rsidP="00507A31">
      <w:pPr>
        <w:jc w:val="both"/>
        <w:rPr>
          <w:color w:val="000000" w:themeColor="text1"/>
          <w:sz w:val="16"/>
          <w:szCs w:val="16"/>
        </w:rPr>
      </w:pPr>
      <w:r w:rsidRPr="00507A31">
        <w:rPr>
          <w:color w:val="000000" w:themeColor="text1"/>
          <w:sz w:val="16"/>
          <w:szCs w:val="16"/>
        </w:rPr>
        <w:t>(Ворошилов).</w:t>
      </w:r>
    </w:p>
    <w:p w14:paraId="15C35C4A" w14:textId="77777777" w:rsidR="00CB0D3A" w:rsidRPr="00507A31" w:rsidRDefault="00CB0D3A" w:rsidP="00507A31">
      <w:pPr>
        <w:jc w:val="both"/>
        <w:rPr>
          <w:color w:val="000000" w:themeColor="text1"/>
          <w:sz w:val="16"/>
          <w:szCs w:val="16"/>
        </w:rPr>
      </w:pPr>
      <w:r w:rsidRPr="00507A31">
        <w:rPr>
          <w:color w:val="000000" w:themeColor="text1"/>
          <w:sz w:val="16"/>
          <w:szCs w:val="16"/>
        </w:rPr>
        <w:t>Решение — особая папка.</w:t>
      </w:r>
    </w:p>
    <w:p w14:paraId="02B83504" w14:textId="77777777" w:rsidR="00CB0D3A" w:rsidRPr="00507A31" w:rsidRDefault="00CB0D3A" w:rsidP="00507A31">
      <w:pPr>
        <w:jc w:val="both"/>
        <w:rPr>
          <w:color w:val="000000" w:themeColor="text1"/>
          <w:sz w:val="16"/>
          <w:szCs w:val="16"/>
        </w:rPr>
      </w:pPr>
      <w:r w:rsidRPr="00507A31">
        <w:rPr>
          <w:color w:val="000000" w:themeColor="text1"/>
          <w:sz w:val="16"/>
          <w:szCs w:val="16"/>
        </w:rPr>
        <w:t>Разрешить Реввоенсовету заложить 3 подводных лодки доложенной т. Ворошиловым конструкции.</w:t>
      </w:r>
    </w:p>
    <w:p w14:paraId="6FD67B6B" w14:textId="77777777" w:rsidR="00CB0D3A" w:rsidRPr="00507A31" w:rsidRDefault="00CB0D3A" w:rsidP="00507A31">
      <w:pPr>
        <w:jc w:val="both"/>
        <w:rPr>
          <w:color w:val="000000" w:themeColor="text1"/>
          <w:sz w:val="16"/>
          <w:szCs w:val="16"/>
        </w:rPr>
      </w:pPr>
      <w:r w:rsidRPr="00507A31">
        <w:rPr>
          <w:color w:val="000000" w:themeColor="text1"/>
          <w:sz w:val="16"/>
          <w:szCs w:val="16"/>
        </w:rPr>
        <w:t>Выписка послана:</w:t>
      </w:r>
    </w:p>
    <w:p w14:paraId="1249B515" w14:textId="77777777" w:rsidR="00CB0D3A" w:rsidRPr="00507A31" w:rsidRDefault="00CB0D3A" w:rsidP="00507A31">
      <w:pPr>
        <w:jc w:val="both"/>
        <w:rPr>
          <w:color w:val="000000" w:themeColor="text1"/>
          <w:sz w:val="16"/>
          <w:szCs w:val="16"/>
        </w:rPr>
      </w:pPr>
      <w:r w:rsidRPr="00507A31">
        <w:rPr>
          <w:color w:val="000000" w:themeColor="text1"/>
          <w:sz w:val="16"/>
          <w:szCs w:val="16"/>
        </w:rPr>
        <w:t>Ворошилову (18321).</w:t>
      </w:r>
    </w:p>
    <w:p w14:paraId="30B49EC0" w14:textId="77777777" w:rsidR="00CB0D3A" w:rsidRPr="00507A31" w:rsidRDefault="00CB0D3A" w:rsidP="00507A31">
      <w:pPr>
        <w:jc w:val="both"/>
        <w:rPr>
          <w:color w:val="000000" w:themeColor="text1"/>
          <w:sz w:val="16"/>
          <w:szCs w:val="16"/>
        </w:rPr>
      </w:pPr>
    </w:p>
    <w:p w14:paraId="1C3B077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1F9A204C" w14:textId="77777777" w:rsidR="00537E5F" w:rsidRPr="00507A31" w:rsidRDefault="00537E5F" w:rsidP="00507A31">
      <w:pPr>
        <w:autoSpaceDE w:val="0"/>
        <w:autoSpaceDN w:val="0"/>
        <w:adjustRightInd w:val="0"/>
        <w:jc w:val="both"/>
        <w:rPr>
          <w:iCs/>
          <w:color w:val="000000" w:themeColor="text1"/>
          <w:sz w:val="16"/>
          <w:szCs w:val="16"/>
        </w:rPr>
      </w:pPr>
    </w:p>
    <w:p w14:paraId="76D5C2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26 декабря 1930 и 1 января 1931. Протокол заседания Политбюро № 20, 1930 г.</w:t>
      </w:r>
    </w:p>
    <w:p w14:paraId="019B24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Констатировать, что промысловая кооперация далеко не удовлетворяет возросших потребностей рынка и не использует в достаточной степени всех имеющихся у ней возможностей. Считать необходимым... основные силы промкооперации бросить на развитие промыслов, работающих на недефицитном сырье, и особенно на выработку предметов широкого потребления, для чего: </w:t>
      </w:r>
    </w:p>
    <w:p w14:paraId="37D8A8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а) направить внимание промкооперации в первую очередь на выработку предметов, удовлетворяющих потребности деревни, путем развития производства деревообделочного, керамически-гончарного, пеньковеревочного, сапоговаляльного и войлочного, кузнечно-скобяного, минеральных удобрений... производство стройматериалов и т. д.; </w:t>
      </w:r>
    </w:p>
    <w:p w14:paraId="0DBC6E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 для усиления снабжения городского рынка развернуть производство мебели, кухонной утвари, кожгалантереи, меховое, спортинвентаря, музыкальных инструментов, пищевкусовое, починно-ремонтное дело и в особенности починку обуви и платья; </w:t>
      </w:r>
    </w:p>
    <w:p w14:paraId="10E17D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для обслуживания потребностей госорганов и сельского хозяйства усилить производство с.-х. машин, обозостроения, частей и деталей к тракторам, тары, сетей, якорей, гвоздей, лабораторно-химического инструментария, наглядных пособий, лесохимии и т. п.; </w:t>
      </w:r>
    </w:p>
    <w:p w14:paraId="358D3B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 в целях большего участия промкооперации в обслуживании изменяющихся бытовых условий и потребностей города и села особое внимание обратить на развертывание трудовых артелей — в частности, прачечных, парикмахерских, столовых, чайных, художественных артелей и т. п. </w:t>
      </w:r>
    </w:p>
    <w:p w14:paraId="062841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 В целях стимулирования выработки товаров, особенно нужных в данный период (сетевязание, ложкарное, рогожекулеткацкое, чуней, веревочных лаптей и экспорт: ковер, кружево, строчка), организовать премирование. </w:t>
      </w:r>
    </w:p>
    <w:p w14:paraId="5177E1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Отмечая задержку в выдаче зарплаты кустарям в течение 1-2 месяцев, что вызывает массовый уход из промкооперации рабочей силы, поручить Госбанку в декадный срок обеспечить промкооперации ликвидацию ее задолженности по основным ее производствам...(11652).</w:t>
      </w:r>
    </w:p>
    <w:p w14:paraId="7F081388" w14:textId="77777777" w:rsidR="00537E5F" w:rsidRPr="00507A31" w:rsidRDefault="00537E5F" w:rsidP="00507A31">
      <w:pPr>
        <w:autoSpaceDE w:val="0"/>
        <w:autoSpaceDN w:val="0"/>
        <w:adjustRightInd w:val="0"/>
        <w:jc w:val="both"/>
        <w:rPr>
          <w:color w:val="000000" w:themeColor="text1"/>
          <w:sz w:val="16"/>
          <w:szCs w:val="16"/>
        </w:rPr>
      </w:pPr>
    </w:p>
    <w:p w14:paraId="73E241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Между 26 декабря 1931 и 1 января 1932. Протокол заседания Политбюро № 22, 1931 г.</w:t>
      </w:r>
    </w:p>
    <w:p w14:paraId="49FFE6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 принудительном труде на лесозаготовках </w:t>
      </w:r>
    </w:p>
    <w:p w14:paraId="79338D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Разрешить Севкрайкому печатание в краевой газете материалов, опровергающих легенды буржуазной печати о принудительном труде на лесозаготовках (11652).</w:t>
      </w:r>
    </w:p>
    <w:p w14:paraId="49C2FDC1" w14:textId="77777777" w:rsidR="00537E5F" w:rsidRPr="00507A31" w:rsidRDefault="00537E5F" w:rsidP="00507A31">
      <w:pPr>
        <w:autoSpaceDE w:val="0"/>
        <w:autoSpaceDN w:val="0"/>
        <w:adjustRightInd w:val="0"/>
        <w:jc w:val="both"/>
        <w:rPr>
          <w:color w:val="000000" w:themeColor="text1"/>
          <w:sz w:val="16"/>
          <w:szCs w:val="16"/>
        </w:rPr>
      </w:pPr>
    </w:p>
    <w:p w14:paraId="588DAE5A" w14:textId="77777777" w:rsidR="00CB0D3A" w:rsidRPr="00507A31" w:rsidRDefault="00CB0D3A" w:rsidP="00507A31">
      <w:pPr>
        <w:jc w:val="both"/>
        <w:rPr>
          <w:bCs/>
          <w:color w:val="000000" w:themeColor="text1"/>
          <w:sz w:val="16"/>
          <w:szCs w:val="16"/>
        </w:rPr>
      </w:pPr>
      <w:r w:rsidRPr="00507A31">
        <w:rPr>
          <w:color w:val="000000" w:themeColor="text1"/>
          <w:sz w:val="16"/>
          <w:szCs w:val="16"/>
        </w:rPr>
        <w:t>26 декабря 1930 г.</w:t>
      </w:r>
    </w:p>
    <w:p w14:paraId="4E669959" w14:textId="77777777" w:rsidR="00CB0D3A" w:rsidRPr="00507A31" w:rsidRDefault="00CB0D3A" w:rsidP="00507A31">
      <w:pPr>
        <w:jc w:val="both"/>
        <w:rPr>
          <w:bCs/>
          <w:color w:val="000000" w:themeColor="text1"/>
          <w:sz w:val="16"/>
          <w:szCs w:val="16"/>
        </w:rPr>
      </w:pPr>
      <w:r w:rsidRPr="00507A31">
        <w:rPr>
          <w:color w:val="000000" w:themeColor="text1"/>
          <w:sz w:val="16"/>
          <w:szCs w:val="16"/>
        </w:rPr>
        <w:t>Протокол допроса профессора С. Н. Семихатова, консультанта треста «Донбассток». 26 декабря 1930 г.</w:t>
      </w:r>
    </w:p>
    <w:p w14:paraId="5115BF53"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Источник: </w:t>
      </w:r>
    </w:p>
    <w:p w14:paraId="4A59C4BE" w14:textId="77777777" w:rsidR="00CB0D3A" w:rsidRPr="00507A31" w:rsidRDefault="00CB0D3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0DD94F2"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Архив: </w:t>
      </w:r>
    </w:p>
    <w:p w14:paraId="7FA805A4" w14:textId="77777777" w:rsidR="00CB0D3A" w:rsidRPr="00507A31" w:rsidRDefault="00CB0D3A" w:rsidP="00507A31">
      <w:pPr>
        <w:jc w:val="both"/>
        <w:rPr>
          <w:color w:val="000000" w:themeColor="text1"/>
          <w:sz w:val="16"/>
          <w:szCs w:val="16"/>
        </w:rPr>
      </w:pPr>
      <w:r w:rsidRPr="00507A31">
        <w:rPr>
          <w:color w:val="000000" w:themeColor="text1"/>
          <w:sz w:val="16"/>
          <w:szCs w:val="16"/>
        </w:rPr>
        <w:t>Архив СБУ Украины. Ф. 13. Д. 1067. Л. 118-127</w:t>
      </w:r>
    </w:p>
    <w:p w14:paraId="6BED5CFC" w14:textId="77777777" w:rsidR="00CB0D3A" w:rsidRPr="00507A31" w:rsidRDefault="00CB0D3A" w:rsidP="00507A31">
      <w:pPr>
        <w:pStyle w:val="rteright"/>
        <w:spacing w:before="0" w:after="0"/>
        <w:jc w:val="both"/>
        <w:rPr>
          <w:color w:val="000000" w:themeColor="text1"/>
          <w:sz w:val="16"/>
          <w:szCs w:val="16"/>
        </w:rPr>
      </w:pPr>
      <w:r w:rsidRPr="00507A31">
        <w:rPr>
          <w:color w:val="000000" w:themeColor="text1"/>
          <w:sz w:val="16"/>
          <w:szCs w:val="16"/>
        </w:rPr>
        <w:t>26 декабря 1930 г.</w:t>
      </w:r>
    </w:p>
    <w:p w14:paraId="0C152BDB"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ПОКАЗАНИЯ СЕМИХАТОВА СЕРГЕЯ НИКОЛАЕВИЧА</w:t>
      </w:r>
    </w:p>
    <w:p w14:paraId="23403139"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от 26.ХII.30 г.</w:t>
      </w:r>
    </w:p>
    <w:p w14:paraId="70AD282D"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Желая настоящим показанием еще раз полностью доказать свою готовность всемерно разоблачить перед следствием свою деятельность и деятельность других, известных мне, членов контр-революционной организации, носившей название «Промпартия» и полнотой своих показаний подчеркнуть свое стремление помочь следствию до конца решительно порвать со всем прошлым и доказать свою готовность заново по-честному работать в направлении укрепления советского хозяйства и социалистического строя вместе со всем рабочим классом, я прежде всего признаю свою тяжкую вину и даю следующие показания.</w:t>
      </w:r>
    </w:p>
    <w:p w14:paraId="3DEB49B3"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Еще летом 1928 года на заседании пленума Теплотехнического сектора Союзного Энергокомитета в Москве, в помещении на Юшковом пер. № 6, из разговора с РАМЗИНЫМ, ОЧКИНЫМ и другими работниками Теплотехнического Института (ДАВЫДОВ, БЕРЛИНГ, ФЕДОРОВ) я узнал, что всякое единодушное выступление работников Теплотехнического Института было обеспечено взаимной поддержкой, благодаря тесной внутренней сплоченности на основе, как я узнал впоследствии, общей политической контр-революционной платформы. Этот разговор указанных лиц со мной носил характер определенного прощупывания меня в смысле моего отношения к идее сплочения инженерных сил на основе борьбы с Советской властью. Я тогда же ответил моим собеседникам, указанным выше, что аналогичное сплочение инженерных сил в области энергетик[и] и теплотехников намечается и в Харькове вокруг Украинского Энергокомитета и что собирателями этих сил являются БУРАКОВ Гр[игорий] Фед., МАТВЕЕВ А. Л., ПРОСКУРА Георгий Федорович, ГАДЯЕВ В. Т. и др. Должен отметить, что это мое сообщение РАМЗИНУ не являлось для него новостью, ибо вопреки всей тактике Московских деятелей по отношению к украинским теплотехническим кругам в предшествующие годы, когда они всячески стремились поддерживать рознь и дискредитировать украинских деятелей в области энергетики, к этому времени, т. е. к середине 1928 года, московские деятели и, главным образом, РАМЗИН всячески содействовали прекращению внутренней розни и объединению украинских теплотехников, которое в дальнейшем мыслилось использовать в известных целях, т. е. как базу контр-революционной организации на Украине, как филиал той организации («Промпартии»), которая возглавлялась РАМЗИНЫМ.</w:t>
      </w:r>
    </w:p>
    <w:p w14:paraId="06771B8B"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Я считаю, что началом организационного оформления «Промпартии» было предварительное собрание под председательством БУРАКОВА, происходившее у него в кабинете Лаборатории Харьковского Теплотехнического Института глубокой осенью 1928 года, причем поводом для этого собрания было распределение работ по заданию прошедшего Теплотехнического Съезда по отдельным секциям Украинского Энергокомитета.</w:t>
      </w:r>
    </w:p>
    <w:p w14:paraId="226849DD"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После официальной стороны, т. е. разрешения указанных выше вопросов, БУРАКОВ, имея беседу с каждым отдельным руководителем Секции, в которой давал установку, как организоваться, прощупывая политическое содержание участников собрания и степень их предварительной подготовки для привлечения в организацию. Эти разговоры велись БУРАКОВЫМ с проф. МОЖАРОВЫМ, с проф. МАКАРЕНКО, с проф. ТЕРЕЩЕНКО (который к тому времени по своему содержанию был вполне подготовлен к вовлечению в организацию), с КРЫЛОВЫМ В. А., с ЦВЕТКОВЫМ, с РАБИНОВИЧЕМ Давидом, СЕЛИХОВЫМ и, кажется, с проф. МАРТЫНОВЫМ С. А. и с академиком ПРОСКУРОЙ.</w:t>
      </w:r>
    </w:p>
    <w:p w14:paraId="15E656C4"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Должен сказать, что с частью указанных здесь лиц (ПРОСКУРА, ЦВЕТКОВ, я, МОРОЗОВ С. Г.) БУРАКОВ провел уже раньше ряд бесед, обрабатывая нас на предмет необходимости сплотиться для оказания противодействия существующему строю в целях, как он говорил, самосохранения. Беседы эти со мной он проводил обычно в лаборатории, где мы изредка встречались, причем встречи эти подготовлял обычно Давид РАБИНОВИЧ. В этих беседах я солидаризировался с БУРАКОВЫМ, но в этот период я не проводил особо активной работы по линии к.-р. организации и ограничился лишь тем, что на основе заводившихся мною антисоветских разговоров выяснял отношение к идее создания контр-революционной инженерной организации в различных прослойках инженерства, с которыми я соприкасался.</w:t>
      </w:r>
    </w:p>
    <w:p w14:paraId="409B4883"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В частности, в ГЭТе я выяснил, что АДРИАНОВ, НАБОКОВ, ГЕЙЛЕР Л. Б. уже были кем-то (думаю, что МАТВЕЕВЫМ, к которому они были близки) обработаны. Тут же следует упомянуть, что одновременно с проходившим совещанием, о котором я говорил выше, имели место совещания по электротехническому разделу, которые проводились МАТВЕЕВЫМ по аналогии с Теплотехническим сектором. Знаю из личных бесед, что в совещаниях электриков по объединению, аналогичному с теплотехниками, имевшему целью конрт-революционное объединение электротехников, принимали участие ГЕЙЛЕР Л. Б., ПЕРЕВОЗСКИЙ Н. Ф., БУХШТАБ, ЛЬВОВ Г. Д., ГАДЯЕВ В. Т., ХРУЩОВ (впрочем, о моменте приобщения В. М. ХРУЩОВА сказать точно не могу), ХИНКУЛОВ и др.</w:t>
      </w:r>
    </w:p>
    <w:p w14:paraId="2039A2FB"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Из указанных лиц я лично говорил с ГЕЙЛЕРОМ, ЛЬВОВЫМ и один раз с ПЕРЕВОЗСКИМ. О других знаю со слов МАТВЕЕВА, ГЕЙЛЕРА. Означенное я передал БУРАКОВУ, который, однако, был уже обо всем осведомлен, но от кого, мне не сказал.</w:t>
      </w:r>
    </w:p>
    <w:p w14:paraId="5E2E4568"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Проф. БУРАКОВ тогда же мне сказал, что по Гидросиловому сектору самоопределились НЕНЬКО и ГРАЦИАНСКИЙ. Проф. МАРТЫНОВ, в свою очередь, развивал деятельность в среде своих основных сотрудников и привлек в организацию прежде всего ЭНГЛУНДА и ФЕДОРОВА, а затем РАБИНОВИЧА, ОСКАРА и БЛАНКА Ю. Об ЭНГЛУНДЕ я, между прочим, слышал от ФАЙНА, ближайшего сотрудник[а] инж. ЭКГОЛЬМА по проектированию Крамстроя, также члена «Промпартии». О последнем я узнал непосредственно от него, когда при встрече (у дверей ГЭТа) мы установили общность точек зрения.</w:t>
      </w:r>
    </w:p>
    <w:p w14:paraId="302998E6"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Из числа сотрудников ГЭТа, которых я обрабатывал, назову КОРОЛЕНКО и АРКУС, которые проектировали ГЦербиновку, но они обрабатывались и непосредственно БУХШТАБОМ и МАТВЕЕВЫМ. Сам же я полностью обработал тогда инженера КУЗЬМЕНКО и ГЕНГРОСА, которых приняли в ГЭТ к БУХШТАБУ в отдел по моей рекомендации. Определенных данных о ФАЙНЕ я не имею, но, судя по его близости к ЭКГОЛЬМУ и по тому, что он дал характеристику ЭНГЛУНДА, я заключаю о принадлежности ФАЙНА к организации.</w:t>
      </w:r>
    </w:p>
    <w:p w14:paraId="46DB7B88"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Одновременно в ВУКАИ шла работа в том же направлении, которая проводилась ГЕРКЕСОМ, КРУШЕЛЕМ, ЗЕМЕЛЬСОМ, ТИЦ, ПАЗОЛ. Об этом мне приходилось слышать от ЗЕМЕЛЬСА, когда в иные дни мы по пути шли на службу вместе. По ВСНХ вели работу ГАДЯЕВ и СЕЛИХОВ, организуя инженеров по тем же контр-революционным направлениям.</w:t>
      </w:r>
    </w:p>
    <w:p w14:paraId="6D1EF149"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По Харьковской электростанции начал работу Б. А. КРЫЛОВ, имея целью создание контр-революционного звена общей цепи «Промпартии». Со слов Б. Э. СТЮНКЕЛЯ, я знал, что так называемый комитет по электрификации Донбасса был тем пунктом, откуда шли организационные мероприятия по созданию ячеек на производствах Донбасса. Других участков по созданию ячеек и их организаторов я назвать не могу.</w:t>
      </w:r>
    </w:p>
    <w:p w14:paraId="571B7867"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Таким образом, период осени-зимы 1928 г. должно охарактеризовать как начало и проникновение организаций «Промпартии» в учреждения в направлении создания ячеек и установления путей влияния «Промпартии» на производство. Шло усиленное прощупывание участников контрреволюционной организации и выявление актива и вербовка будущих членов — работников по заданию «Промпартии».</w:t>
      </w:r>
    </w:p>
    <w:p w14:paraId="53E6DD0F"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 xml:space="preserve">В следующем году одновременно с углублением организационной работы уже начали намечаться практические участки деятельности «Промпартии» и оформляться методы работы, по которым потом можно сразу было бы сказать, есть ли здесь влияние «Промпартии» или нет. Я даю такую характеристику работы «Промпартии» на этот период: создание видимой интенсивной работы при ничтожнейшем коэффициенте действия; затушевывание ответственности, согласовывания, где не надо и </w:t>
      </w:r>
      <w:r w:rsidRPr="00507A31">
        <w:rPr>
          <w:color w:val="000000" w:themeColor="text1"/>
          <w:sz w:val="16"/>
          <w:szCs w:val="16"/>
        </w:rPr>
        <w:lastRenderedPageBreak/>
        <w:t>т. д. Однако, этот маневр был быстро разгадан, когда было введено единоначалие. Этому мероприятию было оказано бешеное сопротивление на всех участках инженерной и технической работы, что затормозило на очень долгое время проведение в жизнь упомянутой директивы.</w:t>
      </w:r>
    </w:p>
    <w:p w14:paraId="5ABB79E4"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Общая установка, которая проводилась, это — торможение в реализации хозяйственно-производственных мероприятий, политическая цель — принудить Советскую власть к уступкам в направлении демократизации управления, сокращения и ослабления темпов строительства, способы и методы действия — дача неопределенных указаний, что не давало возможности проводить работы до конца, принятие невыполнимых решений, извращение кредитных директив, нарушение без ответственности сметных дисциплин, поздний разворот работ, неиспользование рабсилы, переманивание кадров с других предприятий. Содействие текучести персонала и кадров, нервирование и раздражение рабочей среды в вопросах строительства и жилой площади и т. д.; создание трений между рабочими и инженерами для того, чтобы оправдать свое бездействие и невозможность работать из-за спецеедства.</w:t>
      </w:r>
    </w:p>
    <w:p w14:paraId="653FF9D1"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Вопросы индивидуального непосредственного вредительства были отброшены из тактики деятельности агентов «Промпартии» на производстве, вредительство приняло очень тонкую форму, прячась за внешнюю правильность и содержательность мероприятий. В основе лежало опять-таки торможение дела, и вся энергия тратилась на создание объяснения объективности, а не на преодоление, часто заведомо созданных, трудностей.</w:t>
      </w:r>
    </w:p>
    <w:p w14:paraId="625FA688"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Однако, такая кустарная работа внутри предприятий в пределах агрегата или цеха не давала эффективности. Необходимы были новые методы вредительства, с которыми бы производство своими силами справиться не могло. Так как организационное оформление «Промпартии» продолжалось и углублялось, то оказались возможными пути глубочайшего вредительства в плановом порядке при сохранении старых методов, в &lt;...&gt; к ликвидации создаваемых прорывов и диспропорций. Так как на Украине (в известной мне части) в первую половину 1929 года работа «Промпартии» не вышла из периода внутренней деятельности учреждения или предприятия, то руководство «Промпартии» направляло энергию к тому, чтобы установить координацию между Москвой и Харьковом путем непосредственной связи и оформления Харьковского Центра.</w:t>
      </w:r>
    </w:p>
    <w:p w14:paraId="0A84A6EC"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Центр представляет из себя орган, директирующий и направляющий работу по отраслям и звеньям, где у нас проводится оперативная работа. Увязывает работу (распределяет) между несколькими ячейками через их руководство.</w:t>
      </w:r>
    </w:p>
    <w:p w14:paraId="1E045459"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Связь с Москвой осуществлялась персональными связями президиума Центра и, главным образом, непосредственно вертикальной связью Московского одноименного ему подведомственного Харьковского учреждения. Например, Энергоцентр — Донбассток или Госплан СССР — Госплан УССР, Госплан УССР — Уголь и т. д. Конкретно связь осуществлялась наиболее часто СТЮНКЕЛЕМ, МАРТЫНОВЫМ, МАТЮШЕНКО, ВОЛЬКЕНАУ, СЕЛИХОВ[ЫМ], ФЮНЕР. В августе 1930 года я имел связь (устроенную СТЮНКЕЛЕМ) с Энергоцентром — через ЯНОВИЦКОГО.</w:t>
      </w:r>
    </w:p>
    <w:p w14:paraId="27249F0B"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Характер этой связи — отчеты и получение директив и средств. Приезжали и из Москвы. Кто ездил от промышленности — я не знаю.</w:t>
      </w:r>
    </w:p>
    <w:p w14:paraId="42F63220"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Таким образом, резюмируя сказанное выше, отмечаю:</w:t>
      </w:r>
    </w:p>
    <w:p w14:paraId="79EDDA40"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инициаторами создания организации в Харькове были БУРАКОВ, МАРТЫНОВ, МАТВЕЕВ, ГАДЯЕВ, ПРОСКУРА и СТЮНКЕЛЬ (в энергетическом разрезе). По другим линиям были некоторые члены президиума ВУКАИ — КРУШЕЛЬ, ЧЕРКЕС, ЗЕМЕЛЬС. По Госплану, со слов РАМЗИНА, был КУЗНЕЦОВ, чего лично я не знаю. Организационная схема не была четкой. Это было пока не создание даже ячеек, а пока групп в пределах учреждений, каковые далее, будучи возглавляемы руководителями из ответственных работников, дали оперативные ячейки «Промпартии», и далее, по мере создания и укрепления главных ячеек, представляли собой руководство, возглавляемое Президиумом Центра.</w:t>
      </w:r>
    </w:p>
    <w:p w14:paraId="34DAC748"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Состав Центра в период 1929 года был следующий: БУРАКОВ Г. Ф., СТЮНКЕЛЬ Б. Э., проф. МАРТЫНОВ — всех этих лиц я лично видел на совещаниях Центра, на которых я присутствовал как очень близко стоявший к Центру.</w:t>
      </w:r>
    </w:p>
    <w:p w14:paraId="481BDCB6"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Кроме того, из состава Центра мне известны КРУШЕЛЬ и КУЗНЕЦОВ А. М. (из Госплана), о чем я знал со слов РАМЗИНА и БУРАКОВА. Других членов Украинского Центра я не знаю, на заседаниях Пленума Центра мне не пришлось присутствовать, хотя я и знал со слов БУРАКОВА, что такие заседания пленума Центра имели место. Впоследствии, в 1930 году состав Центра пополнился за счет включения в его состав ГАДЯЕВА (из ВСНХ), ДИМАНШТЕЙНА Я. Б., ВОЛЬКЕНАУ, ЦВЕТКОВА В. Т., КРАМАРЕНКО или ТЕРЕЩЕНКО по силикатной промышленности (точно кто из них, не помню).</w:t>
      </w:r>
    </w:p>
    <w:p w14:paraId="6FEF1DDD"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Кроме того, не помню, из какого источника, но мне было известно, что в 1929 году в состав Центра входил ЛОМОВ М. И. по металлургии. Кажется, в состав Центра входил также МАТЮШЕНКО из Донугля, имевший связь с ЛАРИЧЕВЫМ в Москве, но стопроцентной уверенности об участии его в Центре у меня нет. Больше членов Центра я не знаю. Этот Центр, охватывавший вредительскую работу по всем отраслям, насколько мне известно, не собирался на пленарные совещания; мне известно только о совещании отраслевых звеньев — планового с участием представителей от ВСНХ, Госплана и соответствующих заинтересованных отраслей, промышленного [-] с участием представителей взаимно кооперированных производств и энергетического с участием представителей Донбасстока, Теплотехнического Института (бывш. Институт Промэнергетики), ВЭО.</w:t>
      </w:r>
    </w:p>
    <w:p w14:paraId="435988C4"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Все оперативные задания и мероприятия Центра «Промпартии» на Украине проходили в плановом порядке через соответствующие звенья и ячейки. На заседаниях планового и промышленного звена «Промпартии» мне быть не приходилось, но я знал, что в заседаниях планового звена, происходивших в ВСНХ у ГАДЯЕВА, бывал СТЮНКЕЛЬ.</w:t>
      </w:r>
    </w:p>
    <w:p w14:paraId="5CE0AD2E"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Я лично присутствовал на совещаниях звена энергетического в Донбасстоке. В них принимали участие я, СТЮНКЕЛЬ, МАРТЫНОВ, БЕРЛИН С. Н., ГУРЕВИЧ В. Н. Кроме того, я знаю, что весной 1929 года, после заседаний в НТС энергетической промышленности в ВСНХ, было совещание членов организации с участием, насколько помню, МАТВЕЕВА, ГАДЯЕВА, моим, СТЮНКЕЛЯ, БЕРЛИНА, ПРОСКУРЫ (других сейчас не помню).</w:t>
      </w:r>
    </w:p>
    <w:p w14:paraId="32609FB8"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Совещаний звена энергетического, как мне известно, за период апрель — июль 1929 года было два в помещении НТС энергетической промышленности ВСНХ, еще раньше имели место заседания этого звена в комитете по электрификации Донбасса. За период июль — август, а затем сентябрь 1929 года, апрель 1930 г., т. е. когда я находился в отъезде из Харькова в Донбассе и затем в заграничной командировке, я не был осведомлен о проходивших совещаниях энергетического звена и вообще Центра. В 1930 году с апреля по август я находился в Горловке и также не присутствовал на совещаниях энергетического звена, за исключением одного раза во время моего приезда по служебным делам из Горловки в Харьков, когда мне пришлось присутствовать на совещании звена с участием МАРТЫНОВА, когда рассматривались вопросы Щербиновки и Донсоды или Константиновки (точно не помню). В 1930 году больше совещаний звена не знаю.</w:t>
      </w:r>
    </w:p>
    <w:p w14:paraId="3FDC1FCC"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Помимо совещаний звена, имели место совещания ячейки Донбасстока. Помню еще одно совещание звена в 1930 году, примерно в июнеиюле, в Донбасстоке, в котором принял участие представитель ячейки организации в ВЭО — БУХШТАБ. Я, не дождавшись конца этого совещания, уехал.</w:t>
      </w:r>
    </w:p>
    <w:p w14:paraId="7ABCB9A9"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На совещаниях ячейки Донбасстока мне лично приходилось присутствовать два или три раза. В них принимали участие: ВИНОГРАДОВ, ГУРЕВИЧ, БЕРЛИН, СТЮНКЕЛЬ, я, РАДИОНОВСКИЙ. Это состав верхушки ячейки, исключая РАДИОНОВСКОГО. Следует упомянуть также о том, что после заседаний Теплотехнического Совета Донбасстока имели место иногда заседания ячейки организации в Донбасстоке, на которых, кроме указанной выше верхушки присутствовали ТЫРМОС, входивший фактически в ячейку Комхоза и являвшийся членом НТС Донбасстока, проф. ХРУГЦОВ (обычно дающий во всем уклончивый совет и отмалчивавшийся) и рядовики из ячейки Донбасстока. На совещаниях энергетического звена, проводившийся обычно БУРАКОВЫМ или СТЮНКЕЛЕМ, главным образом, БУРАКОВЫМ, на заседаниях ячейки Донбасстока руководили СТЮНКЕЛЬ или БЕРЛИН (пред. и зам. пред. Технического] С[овета]).</w:t>
      </w:r>
    </w:p>
    <w:p w14:paraId="352B7F75"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Вопросы, которые рассматривались на совещаниях, носили для Центра характер информации; в звене же в Донбасстоке и ячейке ДБТ —  определенно конкретный характер. Одно было посвящено реконструкции </w:t>
      </w:r>
      <w:r w:rsidRPr="00507A31">
        <w:rPr>
          <w:color w:val="000000" w:themeColor="text1"/>
          <w:sz w:val="16"/>
          <w:szCs w:val="16"/>
          <w:vertAlign w:val="superscript"/>
        </w:rPr>
        <w:t>д</w:t>
      </w:r>
      <w:r w:rsidRPr="00507A31">
        <w:rPr>
          <w:color w:val="000000" w:themeColor="text1"/>
          <w:sz w:val="16"/>
          <w:szCs w:val="16"/>
        </w:rPr>
        <w:t>[«]Бунге[»] и «София», по моему докладу, одно по капитальному строительству — говорил ВИНОГРАДОВ и одно диверсионное и одно по Щербиновке. После заседания Техсовета по линиям передач и другим часто электротехническим вопросам — говорил НЕЙМАН.</w:t>
      </w:r>
    </w:p>
    <w:p w14:paraId="60C5771B"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Президиум Центра, пополненный к 1930 году вновь созданными и окрепшими ячейками, составлялся из МАРТЫНОВА, СТЮНКЕЛЯ, МАТВЕЕВА, БУРАКОВА (отходил) и КРУШЕЛЯ (КУЗНЕЦОВА). Этот состав указал СТЮНКЕЛЬ. Председатель МАРТЫНОВ. Энергетики дали ведущую установку, равно и Госплан в его разделах, т. е. представлена энергетика и плановая промышленность, определяющая производство в целом.</w:t>
      </w:r>
    </w:p>
    <w:p w14:paraId="12772B37"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СЕМИХАТОВ.</w:t>
      </w:r>
    </w:p>
    <w:p w14:paraId="00C19FBF"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Допросил; СТ. УПОЛНОМОЧЕННЫЙ ЭКУ ГПУ УССР РЫКЛИН</w:t>
      </w:r>
    </w:p>
    <w:p w14:paraId="1F1A0FCC" w14:textId="77777777" w:rsidR="00CB0D3A" w:rsidRPr="00507A31" w:rsidRDefault="00CB0D3A" w:rsidP="00507A31">
      <w:pPr>
        <w:pStyle w:val="ae"/>
        <w:spacing w:before="0" w:after="0"/>
        <w:jc w:val="both"/>
        <w:rPr>
          <w:color w:val="000000" w:themeColor="text1"/>
          <w:sz w:val="16"/>
          <w:szCs w:val="16"/>
        </w:rPr>
      </w:pPr>
      <w:r w:rsidRPr="00507A31">
        <w:rPr>
          <w:rStyle w:val="af0"/>
          <w:i w:val="0"/>
          <w:color w:val="000000" w:themeColor="text1"/>
          <w:sz w:val="16"/>
          <w:szCs w:val="16"/>
        </w:rPr>
        <w:t>Архив СБУ Украины. Ф. 13. Д. 1067. Л. 118-127. Машинописный экземпляр того времени (18742).</w:t>
      </w:r>
    </w:p>
    <w:p w14:paraId="45DCBB6F" w14:textId="77777777" w:rsidR="00CB0D3A" w:rsidRPr="00507A31" w:rsidRDefault="00CB0D3A" w:rsidP="00507A31">
      <w:pPr>
        <w:jc w:val="both"/>
        <w:rPr>
          <w:color w:val="000000" w:themeColor="text1"/>
          <w:sz w:val="16"/>
          <w:szCs w:val="16"/>
        </w:rPr>
      </w:pPr>
    </w:p>
    <w:p w14:paraId="400F6AC0" w14:textId="77777777" w:rsidR="00CB0D3A" w:rsidRPr="00507A31" w:rsidRDefault="00CB0D3A"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A7F2C9B" w14:textId="77777777" w:rsidR="00CB0D3A" w:rsidRPr="00507A31" w:rsidRDefault="00CB0D3A" w:rsidP="00507A31">
      <w:pPr>
        <w:autoSpaceDE w:val="0"/>
        <w:autoSpaceDN w:val="0"/>
        <w:adjustRightInd w:val="0"/>
        <w:jc w:val="both"/>
        <w:rPr>
          <w:iCs/>
          <w:color w:val="000000" w:themeColor="text1"/>
          <w:sz w:val="16"/>
          <w:szCs w:val="16"/>
        </w:rPr>
      </w:pPr>
    </w:p>
    <w:p w14:paraId="6BDEFC84" w14:textId="77777777" w:rsidR="00CB0D3A" w:rsidRPr="00507A31" w:rsidRDefault="00CB0D3A" w:rsidP="00507A31">
      <w:pPr>
        <w:jc w:val="both"/>
        <w:rPr>
          <w:bCs/>
          <w:color w:val="000000" w:themeColor="text1"/>
          <w:sz w:val="16"/>
          <w:szCs w:val="16"/>
        </w:rPr>
      </w:pPr>
      <w:r w:rsidRPr="00507A31">
        <w:rPr>
          <w:color w:val="000000" w:themeColor="text1"/>
          <w:sz w:val="16"/>
          <w:szCs w:val="16"/>
        </w:rPr>
        <w:t>26 декабря 1930 г.</w:t>
      </w:r>
    </w:p>
    <w:p w14:paraId="648A355C" w14:textId="77777777" w:rsidR="00CB0D3A" w:rsidRPr="00507A31" w:rsidRDefault="00CB0D3A" w:rsidP="00507A31">
      <w:pPr>
        <w:jc w:val="both"/>
        <w:rPr>
          <w:bCs/>
          <w:color w:val="000000" w:themeColor="text1"/>
          <w:sz w:val="16"/>
          <w:szCs w:val="16"/>
        </w:rPr>
      </w:pPr>
      <w:r w:rsidRPr="00507A31">
        <w:rPr>
          <w:color w:val="000000" w:themeColor="text1"/>
          <w:sz w:val="16"/>
          <w:szCs w:val="16"/>
        </w:rPr>
        <w:t>Письмо Ж. Л. Аренса В. Н. Баркову о «материалах по пятилетке» и публикациях о процессе «Промпартии» на английском и французском языках. 26 декабря 1930 г.</w:t>
      </w:r>
    </w:p>
    <w:p w14:paraId="252DE95C"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Источник: </w:t>
      </w:r>
    </w:p>
    <w:p w14:paraId="6D5E2737" w14:textId="77777777" w:rsidR="00CB0D3A" w:rsidRPr="00507A31" w:rsidRDefault="00CB0D3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0135D0B" w14:textId="77777777" w:rsidR="00CB0D3A" w:rsidRPr="00507A31" w:rsidRDefault="00CB0D3A" w:rsidP="00507A31">
      <w:pPr>
        <w:pStyle w:val="rteright"/>
        <w:spacing w:before="0" w:after="0"/>
        <w:jc w:val="both"/>
        <w:rPr>
          <w:color w:val="000000" w:themeColor="text1"/>
          <w:sz w:val="16"/>
          <w:szCs w:val="16"/>
        </w:rPr>
      </w:pPr>
      <w:r w:rsidRPr="00507A31">
        <w:rPr>
          <w:color w:val="000000" w:themeColor="text1"/>
          <w:sz w:val="16"/>
          <w:szCs w:val="16"/>
        </w:rPr>
        <w:t>26 декабря 1930 г.</w:t>
      </w:r>
    </w:p>
    <w:p w14:paraId="11E556C6" w14:textId="77777777" w:rsidR="00CB0D3A" w:rsidRPr="00507A31" w:rsidRDefault="00CB0D3A"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263EB35C"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[Отдел] печати</w:t>
      </w:r>
    </w:p>
    <w:p w14:paraId="4E73AA8F"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ТОВ. БАРКОВУ</w:t>
      </w:r>
    </w:p>
    <w:p w14:paraId="46631D7F"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Ваше письмо № ... от 13/XII</w:t>
      </w:r>
    </w:p>
    <w:p w14:paraId="636F5A0A"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Пересылаем затребованные Вами материалы:</w:t>
      </w:r>
    </w:p>
    <w:p w14:paraId="41DE27B8"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lastRenderedPageBreak/>
        <w:t>1.  Статья для «Эроп Нувель». Отмечаем, что статья недостаточно полно освещает последние итоги и перспективы пятилетки. Мы думаем, что имея наш внутренний бюллетень, Вы сумеете пополнить статью необходимыми данными. Кстати, отмечаем, что материалы нашего внутреннего бюллетеня удачно и умело использовываются Вами и продвигаются в прессу. Доказательством этого служит и появившаяся в «Эропеен» хорошая статья Балэ. Просим Вас в будущем нам пересылать все представляющее интерес из материалов, помещаемых об СССР в прессе.</w:t>
      </w:r>
    </w:p>
    <w:p w14:paraId="02A6A1E1"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Первоначальное издание материалов по пятилетке высылать за границу не стоит, поэтому, посылаю Вам альбом диаграмм, составленный по первоначальным цифрам и ряд брошюр и журналов, освещающих происшедшие за истекшие годы изменения в плане, а также строительство ближайших лет. Обращаю Ваше внимание на брошюру «Важнейшие задача промышленности» и на журнал «Плановое Хозяйство», в которых</w:t>
      </w:r>
    </w:p>
    <w:p w14:paraId="4D9CD4A8" w14:textId="77777777" w:rsidR="00CB0D3A" w:rsidRPr="00507A31" w:rsidRDefault="00CB0D3A" w:rsidP="00507A31">
      <w:pPr>
        <w:jc w:val="both"/>
        <w:rPr>
          <w:color w:val="000000" w:themeColor="text1"/>
          <w:sz w:val="16"/>
          <w:szCs w:val="16"/>
        </w:rPr>
      </w:pPr>
    </w:p>
    <w:p w14:paraId="14971969" w14:textId="77777777" w:rsidR="00CB0D3A" w:rsidRPr="00507A31" w:rsidRDefault="00CB0D3A" w:rsidP="00507A31">
      <w:pPr>
        <w:jc w:val="both"/>
        <w:rPr>
          <w:bCs/>
          <w:color w:val="000000" w:themeColor="text1"/>
          <w:sz w:val="16"/>
          <w:szCs w:val="16"/>
        </w:rPr>
      </w:pPr>
      <w:r w:rsidRPr="00507A31">
        <w:rPr>
          <w:color w:val="000000" w:themeColor="text1"/>
          <w:sz w:val="16"/>
          <w:szCs w:val="16"/>
        </w:rPr>
        <w:t>26 декабря 1930 г.</w:t>
      </w:r>
    </w:p>
    <w:p w14:paraId="03B69C9A" w14:textId="77777777" w:rsidR="00CB0D3A" w:rsidRPr="00507A31" w:rsidRDefault="00CB0D3A" w:rsidP="00507A31">
      <w:pPr>
        <w:jc w:val="both"/>
        <w:rPr>
          <w:bCs/>
          <w:color w:val="000000" w:themeColor="text1"/>
          <w:sz w:val="16"/>
          <w:szCs w:val="16"/>
        </w:rPr>
      </w:pPr>
      <w:r w:rsidRPr="00507A31">
        <w:rPr>
          <w:color w:val="000000" w:themeColor="text1"/>
          <w:sz w:val="16"/>
          <w:szCs w:val="16"/>
        </w:rPr>
        <w:t>Письмо заместителя наркома иностранных дел СССР Н. Н. Крестинского полпреду СССР во Франции В. С. Довгалевскому. 26 декабря 1930 г.</w:t>
      </w:r>
    </w:p>
    <w:p w14:paraId="0FA2700D"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Источник: </w:t>
      </w:r>
    </w:p>
    <w:p w14:paraId="65B16DB9" w14:textId="77777777" w:rsidR="00CB0D3A" w:rsidRPr="00507A31" w:rsidRDefault="00CB0D3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CB4B97"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26 декабря 1930 г.</w:t>
      </w:r>
    </w:p>
    <w:p w14:paraId="2C1FC396"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Секретно</w:t>
      </w:r>
    </w:p>
    <w:p w14:paraId="599F2243"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Тов. ДОВГАЛЕВСКОМУ</w:t>
      </w:r>
    </w:p>
    <w:p w14:paraId="48F25D33"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Многоуважаемый Валериан Савельевич,</w:t>
      </w:r>
    </w:p>
    <w:p w14:paraId="14EE46D8"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1.  Посколько в наших отношениях с Францией все сводится сейчас к одному вопросу, а этот вопрос разрешается сейчас в Париже, то писать Вам отсюда мне нечего.</w:t>
      </w:r>
    </w:p>
    <w:p w14:paraId="142093BB"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Могу лишь дать следующую маленькую информацию. У Гельфанда только что был Конти. Исчерпав свои деловые вопросы, он сообщил Г. (конечно, не без согласия на это Эрбетта), что вчера из Парижа получена телеграмма о Вашем демарше и что Эрбетт ответил на нее, что если требование об отзыве Киэфера не будет снято, то лучше отзывать все посольство. Действительно ли Эрбетт дал такое заключение, или этим путем он пытается воздействовать на нас, решать не берусь.</w:t>
      </w:r>
    </w:p>
    <w:p w14:paraId="40D01672"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2.   Через Наркомторг Максим Максимович получил телеграмму о предотвращенной попытке описать имущество торгпредства и о предстоящем с 27 декабря упрощенном судебном разбирательстве по этому вопросу. Ответ по существу тактики торгпредства дает т. Розенгольц. Я спрашивал мнение М. М. лишь по вопросу об ответе декларацией т. Бреслава на опись, если таковая будет произведена. Максим Максимович является автором предложения о такой декларации. Он считает, однако, что теперь, когда нами сделано французскому правительству более серьезное представление, что выступление Бреслава с такой декларацией было бы вряд ли целесообразным.</w:t>
      </w:r>
    </w:p>
    <w:p w14:paraId="09F9DF05"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3.   Сегодня посылаем Вам первый, после долгого перерыва, Политбюллетень. Он достаточно объемист и не лишен ошибок и недосмотров. Это неизбежно в первом опыте такой большой работы, сделанной в течение одного дня. Надеюсь, что следующие выпуски будут свободны от таких недостатков.</w:t>
      </w:r>
    </w:p>
    <w:p w14:paraId="51ED80DB"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4.   Сметные кредиты и в этом месяце переводятся с очень большим запозданием. Это не вина аппарата НКИД, который сделал свои распоряжения вовремя, Наркомфин тоже не задерживает. Выполнение перевода задерживается Госбанком. Надеюсь, все[-]таки, что декабрьские кредиты Вы получите до конца этого месяца.</w:t>
      </w:r>
    </w:p>
    <w:p w14:paraId="1F753AAF"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С тов. приветом</w:t>
      </w:r>
    </w:p>
    <w:p w14:paraId="6F591F57"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Н. Крестинский</w:t>
      </w:r>
    </w:p>
    <w:p w14:paraId="49144FA8" w14:textId="77777777" w:rsidR="00CB0D3A" w:rsidRPr="00507A31" w:rsidRDefault="00CB0D3A"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010. On. 1. П. 5. Д. 82. Л. 40-41. Машинописный подлинник (экземпляр закладки), подпись-росчерк Н. Н. Крестинского. Дата написана от руки на Л. 40 (вверху справа), ниже также от руки номер «К/29310». Гриф секретности машинописью. На Л. 41 внизу слева столбцом машинописью делопроизводственная помета о количестве отпечатанных экземпляров (4) и адрес рассылки «1 -адр[есат], 2 — Литв[инов] 3 — Зап[адный отдел] 3,4 — в дело».</w:t>
      </w:r>
    </w:p>
    <w:p w14:paraId="2B40AE08" w14:textId="77777777" w:rsidR="00CB0D3A" w:rsidRPr="00507A31" w:rsidRDefault="00CB0D3A" w:rsidP="00507A31">
      <w:pPr>
        <w:pStyle w:val="ae"/>
        <w:spacing w:before="0" w:after="0"/>
        <w:jc w:val="both"/>
        <w:rPr>
          <w:color w:val="000000" w:themeColor="text1"/>
          <w:sz w:val="16"/>
          <w:szCs w:val="16"/>
        </w:rPr>
      </w:pPr>
      <w:r w:rsidRPr="00507A31">
        <w:rPr>
          <w:rStyle w:val="af0"/>
          <w:i w:val="0"/>
          <w:color w:val="000000" w:themeColor="text1"/>
          <w:sz w:val="16"/>
          <w:szCs w:val="16"/>
        </w:rPr>
        <w:t>Там же. Ф. 0136. On. 14. П. 140. Д. 593. Л. 155. «Выписка из письма ЗАМНАРКОМА тов. КРЕСТИНСКОГО на имя Полпреда во Франции тов. ДОВГАЛЕВСКОГО от 26 декабря 1930 года № К/29310» (номер от руки). Скопирован текст пункта 1: «1. Поскольку в наших отношениях с Францией все сводится сейчас к одному вопросу, а этот вопрос разрешается сейчас в Париже, то писать Вам отсюда мне нечего. [...] Действительно ли Эрбетт дал такое заключение, или этим путем он пытается воздействовать на нас, решать не берусь». Заверенная машинописная копия того времени. Гриф секретности машинописью. Вверху листа слева от руки «Вх. 2472». Внизу формула «Верно» (машинописью) и заверяющая подпись-автограф Трофимова (18807).</w:t>
      </w:r>
    </w:p>
    <w:p w14:paraId="6B61461D" w14:textId="77777777" w:rsidR="00CB0D3A" w:rsidRPr="00507A31" w:rsidRDefault="00CB0D3A" w:rsidP="00507A31">
      <w:pPr>
        <w:jc w:val="both"/>
        <w:rPr>
          <w:color w:val="000000" w:themeColor="text1"/>
          <w:sz w:val="16"/>
          <w:szCs w:val="16"/>
        </w:rPr>
      </w:pPr>
    </w:p>
    <w:p w14:paraId="0DCBC53E" w14:textId="77777777" w:rsidR="00CB0D3A" w:rsidRPr="00507A31" w:rsidRDefault="00CB0D3A" w:rsidP="00507A31">
      <w:pPr>
        <w:jc w:val="both"/>
        <w:rPr>
          <w:bCs/>
          <w:color w:val="000000" w:themeColor="text1"/>
          <w:sz w:val="16"/>
          <w:szCs w:val="16"/>
        </w:rPr>
      </w:pPr>
      <w:r w:rsidRPr="00507A31">
        <w:rPr>
          <w:color w:val="000000" w:themeColor="text1"/>
          <w:sz w:val="16"/>
          <w:szCs w:val="16"/>
        </w:rPr>
        <w:t>26 декабря 1930 г.</w:t>
      </w:r>
    </w:p>
    <w:p w14:paraId="5D5A94FE" w14:textId="77777777" w:rsidR="00CB0D3A" w:rsidRPr="00507A31" w:rsidRDefault="00CB0D3A" w:rsidP="00507A31">
      <w:pPr>
        <w:jc w:val="both"/>
        <w:rPr>
          <w:bCs/>
          <w:color w:val="000000" w:themeColor="text1"/>
          <w:sz w:val="16"/>
          <w:szCs w:val="16"/>
        </w:rPr>
      </w:pPr>
      <w:r w:rsidRPr="00507A31">
        <w:rPr>
          <w:color w:val="000000" w:themeColor="text1"/>
          <w:sz w:val="16"/>
          <w:szCs w:val="16"/>
        </w:rPr>
        <w:t>Ответ Ж. Л. Аренса В. С. Довгалевскому в связи с показаниями П. С. Осадчего о его контактах с «Торгпромом». 26 декабря 1930 г.</w:t>
      </w:r>
    </w:p>
    <w:p w14:paraId="7712BA53"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Источник: </w:t>
      </w:r>
    </w:p>
    <w:p w14:paraId="2482EB21" w14:textId="77777777" w:rsidR="00CB0D3A" w:rsidRPr="00507A31" w:rsidRDefault="00CB0D3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D8316E5"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Архив: </w:t>
      </w:r>
    </w:p>
    <w:p w14:paraId="39123B17" w14:textId="77777777" w:rsidR="00CB0D3A" w:rsidRPr="00507A31" w:rsidRDefault="00CB0D3A" w:rsidP="00507A31">
      <w:pPr>
        <w:jc w:val="both"/>
        <w:rPr>
          <w:color w:val="000000" w:themeColor="text1"/>
          <w:sz w:val="16"/>
          <w:szCs w:val="16"/>
        </w:rPr>
      </w:pPr>
      <w:r w:rsidRPr="00507A31">
        <w:rPr>
          <w:color w:val="000000" w:themeColor="text1"/>
          <w:sz w:val="16"/>
          <w:szCs w:val="16"/>
        </w:rPr>
        <w:t>АВП РФ. Ф. 010. On. 1. П. 5. Д. 82. Л. 44</w:t>
      </w:r>
    </w:p>
    <w:p w14:paraId="0B71AA6A" w14:textId="77777777" w:rsidR="00CB0D3A" w:rsidRPr="00507A31" w:rsidRDefault="00CB0D3A" w:rsidP="00507A31">
      <w:pPr>
        <w:pStyle w:val="rteright"/>
        <w:spacing w:before="0" w:after="0"/>
        <w:jc w:val="both"/>
        <w:rPr>
          <w:color w:val="000000" w:themeColor="text1"/>
          <w:sz w:val="16"/>
          <w:szCs w:val="16"/>
        </w:rPr>
      </w:pPr>
      <w:r w:rsidRPr="00507A31">
        <w:rPr>
          <w:color w:val="000000" w:themeColor="text1"/>
          <w:sz w:val="16"/>
          <w:szCs w:val="16"/>
        </w:rPr>
        <w:t>26 декабря 1930 г.</w:t>
      </w:r>
    </w:p>
    <w:p w14:paraId="22A35BCF" w14:textId="77777777" w:rsidR="00CB0D3A" w:rsidRPr="00507A31" w:rsidRDefault="00CB0D3A"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7005C99F"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Тов. В. С. Довгалевскому</w:t>
      </w:r>
    </w:p>
    <w:p w14:paraId="2914C629"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Париж</w:t>
      </w:r>
    </w:p>
    <w:p w14:paraId="1D02CDDE"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На Ваш запрос по поводу Оса[д]чего могу Вам сообщить следующее: Оса[д]чий в своем показании, как Вы можете проверить это по нашим газетам, заявил дословно, что «он встретился [в] Берлине с человеком, назвавшим себя Денисовым». Сказал он это потому, что не будучи раньше знаком с Денисовым, он не может утверждать, что его собеседник был действительно Денисов. Вполне возможно, что торгпромовцы, которые, даже по характеристике Лушера, являются обманщиками, подвели Оса[д]чего и лицо, с которым он имел свидание в Берлине, был[о] каким-нибудь другим членом или уполномоченным Торгпрома, которое выступало под фамилией Денисова.</w:t>
      </w:r>
    </w:p>
    <w:p w14:paraId="0FA06F41"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(Аренс)</w:t>
      </w:r>
    </w:p>
    <w:p w14:paraId="18D8CD88" w14:textId="77777777" w:rsidR="00CB0D3A" w:rsidRPr="00507A31" w:rsidRDefault="00CB0D3A" w:rsidP="00507A31">
      <w:pPr>
        <w:pStyle w:val="ae"/>
        <w:spacing w:before="0" w:after="0"/>
        <w:jc w:val="both"/>
        <w:rPr>
          <w:color w:val="000000" w:themeColor="text1"/>
          <w:sz w:val="16"/>
          <w:szCs w:val="16"/>
        </w:rPr>
      </w:pPr>
      <w:r w:rsidRPr="00507A31">
        <w:rPr>
          <w:rStyle w:val="af0"/>
          <w:i w:val="0"/>
          <w:color w:val="000000" w:themeColor="text1"/>
          <w:sz w:val="16"/>
          <w:szCs w:val="16"/>
        </w:rPr>
        <w:t>АВП РФ. Ф. 010. On. 1. П. 5. Д. 82. Л. 44. Машинописная копия того времени. В верхнем углу слева напечатано «Отдел Печати НКИД», ниже дата «26.ХП.30 г.» и номер «№ 7391» (цифры от руки). Вверху штамп Секретариата замнаркома НКИД СССР с вписанньши от руки номером (№ 1388) и датой получения (26.XII. 1930 г.) документа. Гриф секретности машинописью. Внизу слева столбцом машинописью делопроизводственная помета о количестве распечатанных экземпляров (4) и адрес рассылки «1 — т. Довгалевскому, 1 — т. Литвинову, 1 — т. Крестинскому, 1 — архив» (18808).</w:t>
      </w:r>
    </w:p>
    <w:p w14:paraId="5051A7BB" w14:textId="77777777" w:rsidR="00CB0D3A" w:rsidRPr="00507A31" w:rsidRDefault="00CB0D3A" w:rsidP="00507A31">
      <w:pPr>
        <w:jc w:val="both"/>
        <w:rPr>
          <w:color w:val="000000" w:themeColor="text1"/>
          <w:sz w:val="16"/>
          <w:szCs w:val="16"/>
        </w:rPr>
      </w:pPr>
    </w:p>
    <w:p w14:paraId="679C9C27" w14:textId="77777777" w:rsidR="00CB0D3A" w:rsidRPr="00507A31" w:rsidRDefault="00CB0D3A" w:rsidP="00507A31">
      <w:pPr>
        <w:jc w:val="both"/>
        <w:rPr>
          <w:bCs/>
          <w:color w:val="000000" w:themeColor="text1"/>
          <w:sz w:val="16"/>
          <w:szCs w:val="16"/>
        </w:rPr>
      </w:pPr>
      <w:r w:rsidRPr="00507A31">
        <w:rPr>
          <w:color w:val="000000" w:themeColor="text1"/>
          <w:sz w:val="16"/>
          <w:szCs w:val="16"/>
        </w:rPr>
        <w:t>26 декабря 1930 г.</w:t>
      </w:r>
    </w:p>
    <w:p w14:paraId="7E1F8198" w14:textId="77777777" w:rsidR="00CB0D3A" w:rsidRPr="00507A31" w:rsidRDefault="00CB0D3A" w:rsidP="00507A31">
      <w:pPr>
        <w:jc w:val="both"/>
        <w:rPr>
          <w:bCs/>
          <w:color w:val="000000" w:themeColor="text1"/>
          <w:sz w:val="16"/>
          <w:szCs w:val="16"/>
        </w:rPr>
      </w:pPr>
      <w:r w:rsidRPr="00507A31">
        <w:rPr>
          <w:color w:val="000000" w:themeColor="text1"/>
          <w:sz w:val="16"/>
          <w:szCs w:val="16"/>
        </w:rPr>
        <w:t>Письмо наркома иностранных дел СССР М. М. Литвинова полпреду СССР во Франции В. С. Довгалевскому. 26 декабря 1930 г.</w:t>
      </w:r>
    </w:p>
    <w:p w14:paraId="19BBA6F9"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Источник: </w:t>
      </w:r>
    </w:p>
    <w:p w14:paraId="4F015095" w14:textId="77777777" w:rsidR="00CB0D3A" w:rsidRPr="00507A31" w:rsidRDefault="00CB0D3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7D51D4"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Архив: </w:t>
      </w:r>
    </w:p>
    <w:p w14:paraId="62B8E27E" w14:textId="77777777" w:rsidR="00CB0D3A" w:rsidRPr="00507A31" w:rsidRDefault="00CB0D3A" w:rsidP="00507A31">
      <w:pPr>
        <w:jc w:val="both"/>
        <w:rPr>
          <w:color w:val="000000" w:themeColor="text1"/>
          <w:sz w:val="16"/>
          <w:szCs w:val="16"/>
        </w:rPr>
      </w:pPr>
      <w:r w:rsidRPr="00507A31">
        <w:rPr>
          <w:color w:val="000000" w:themeColor="text1"/>
          <w:sz w:val="16"/>
          <w:szCs w:val="16"/>
        </w:rPr>
        <w:t>АВП РФ. Ф. 010. On. 1. П. 5.Д. 82. Л. 47-48</w:t>
      </w:r>
    </w:p>
    <w:p w14:paraId="69D5E99E" w14:textId="77777777" w:rsidR="00CB0D3A" w:rsidRPr="00507A31" w:rsidRDefault="00CB0D3A" w:rsidP="00507A31">
      <w:pPr>
        <w:pStyle w:val="rteright"/>
        <w:spacing w:before="0" w:after="0"/>
        <w:jc w:val="both"/>
        <w:rPr>
          <w:color w:val="000000" w:themeColor="text1"/>
          <w:sz w:val="16"/>
          <w:szCs w:val="16"/>
        </w:rPr>
      </w:pPr>
      <w:r w:rsidRPr="00507A31">
        <w:rPr>
          <w:color w:val="000000" w:themeColor="text1"/>
          <w:sz w:val="16"/>
          <w:szCs w:val="16"/>
        </w:rPr>
        <w:t>26 декабря 1930 г.</w:t>
      </w:r>
    </w:p>
    <w:p w14:paraId="4E7042A4" w14:textId="77777777" w:rsidR="00CB0D3A" w:rsidRPr="00507A31" w:rsidRDefault="00CB0D3A"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43B96B2A"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Полномочному Представителю СССР во Франции тов. В. С. Довгалевскому</w:t>
      </w:r>
    </w:p>
    <w:p w14:paraId="3B50FF14"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Высказанные Вам Брианом замечания вызывают у нас следующие возражения. Бриан совершенно не назван ни в обвинительном акте, ни в письме Верх. Суда, ни даже, если не ошибаюсь, в обвинительной речи прокурора. Правда[,] он назван в показаниях осужденных, но тем более Бриан должен был оценить нашу деликатность, выразившуюся в том, что эти показания не нашли отражения в официальных документах и речах. Не знаем, привлечен ли СССР к подписанию пакта Келлога по инициативе Франции или Америки, но это привлечение вряд ли может рассматриваться как одолжение нам или как проявление дружелюбия. Мы скорее можем считать недружелюбным актом со стороны Франции, что она не предлагала и не настаивала на приглашении СССР для подписания пакта в Париже, наравне с другими крупными государствами. Бриан больше верит белоэмигрантам, чем советскому суду. Это его дело, но он не может того же требовать от нас. Мы, конечно, не можем не считать заявление брата Рамзина чепухой, ибо знаем, что мнимое сопровождение советских спецов заграницей агентами ОГПУ является белогвардейской выдумкой. На суде было совершенно определенно установлено, каким образом предполагается интервенировать в СССР, а именно путем натравливания Польши, Румынии и других наших лимитрофов. Близость Французского генерального] Штаба к Польше и Румынии Бриан не может отрицать.</w:t>
      </w:r>
    </w:p>
    <w:p w14:paraId="2D566D6C"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 xml:space="preserve">Нам ничего неизвестно о предложении свободной выдачи лицензий, но мы, наоборот, знаем, и об этом меня предупредил лично сегодня т. Любимов, что французские покупатели нашего хлеба после декрета расторгали договора со ссылками на невозможность получения лицензий. Пусть эти ссылки носили шантажистский характер </w:t>
      </w:r>
      <w:r w:rsidRPr="00507A31">
        <w:rPr>
          <w:color w:val="000000" w:themeColor="text1"/>
          <w:sz w:val="16"/>
          <w:szCs w:val="16"/>
        </w:rPr>
        <w:lastRenderedPageBreak/>
        <w:t>и были неосновательны, но нанесенный нам этими ссылками, а следовательно, декретом, ущерб — очевиден. Наше предложение пакта не было принято Францией, следовательно надо считать его отклоненным. Пакт Келлога отнюдь не покрывает целиком политического значения двухсторонних пактов.</w:t>
      </w:r>
    </w:p>
    <w:p w14:paraId="67B082D4"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Возможно, что все эти возражения Вами были сделаны, т. к. я знаю о Вашем разговоре лишь по шифровке и не имею еще подробной записи. Отмечаю, однако, эти возражения на тот случай, если Вам придется вести дальнейшие разговоры в этой области. Надо, главным образом, подчеркивать, что все антисоветские пакости</w:t>
      </w:r>
      <w:r w:rsidRPr="00507A31">
        <w:rPr>
          <w:color w:val="000000" w:themeColor="text1"/>
          <w:sz w:val="16"/>
          <w:szCs w:val="16"/>
          <w:vertAlign w:val="superscript"/>
        </w:rPr>
        <w:t>3</w:t>
      </w:r>
      <w:r w:rsidRPr="00507A31">
        <w:rPr>
          <w:color w:val="000000" w:themeColor="text1"/>
          <w:sz w:val="16"/>
          <w:szCs w:val="16"/>
        </w:rPr>
        <w:t> совершаются со ссылкой либо на требования, либо на поддержку Франции. Когда какое-нибудь государство отказывается установить нормальные отношения с нами, то оно ссылается на давление Франции. Когда банки в какой-либо стране отказывают в кредитах, они ссылаются на требование французских банков и французской дипломатии. Когда государства уклоняются от сближения с нами, они объясняют это нежеланием дразнить Францию. Как судом установлено, контрреволюционеры, втягивающие в свои козни наших спецов, неизменно ссылаются на обещанную помощь со стороны Франции. Не могла же Франция не давать поводов для всех этих ссылок на нее.</w:t>
      </w:r>
    </w:p>
    <w:p w14:paraId="7997DA80"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Приходится пока воздерживаться от каких бы то ни было шагов до получения окончательно ответа Францпра на Ваш демарш. Мы воздержимся пока и от вручения ответного меморандума.</w:t>
      </w:r>
    </w:p>
    <w:p w14:paraId="51A65862"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Появление пристава в торгпредстве, несомненно, носит полушантажистский характер, и Вертело, вероятно, этим пытается добиться положительного решения в вопросе об экспедиции Ситроена. Я полагаю, что как приход пристава, так и уход его без описи имущества — были заранее согласованы с Вертело. Полагаю, что сейчас делать ту декларацию, которая предлагалась нами много месяцев тому назад, не следует, ибо за это время произошли такие крупные события[,] как издание декрета от 3 октября, наш ответный декрет, процесс Промпартии, Ваш демарш и т. д. Если бы мы решили теперь выступить с декларацией, то ее содержание должно было быть иное, чем несколько месяцев тому назад.</w:t>
      </w:r>
    </w:p>
    <w:p w14:paraId="7599996A"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ЛИТВИНОВ</w:t>
      </w:r>
    </w:p>
    <w:p w14:paraId="209F7457" w14:textId="77777777" w:rsidR="00CB0D3A" w:rsidRPr="00507A31" w:rsidRDefault="00CB0D3A" w:rsidP="00507A31">
      <w:pPr>
        <w:pStyle w:val="ae"/>
        <w:spacing w:before="0" w:after="0"/>
        <w:jc w:val="both"/>
        <w:rPr>
          <w:color w:val="000000" w:themeColor="text1"/>
          <w:sz w:val="16"/>
          <w:szCs w:val="16"/>
        </w:rPr>
      </w:pPr>
      <w:r w:rsidRPr="00507A31">
        <w:rPr>
          <w:rStyle w:val="af0"/>
          <w:i w:val="0"/>
          <w:color w:val="000000" w:themeColor="text1"/>
          <w:sz w:val="16"/>
          <w:szCs w:val="16"/>
        </w:rPr>
        <w:t xml:space="preserve">АВП РФ. Ф. 010. </w:t>
      </w:r>
      <w:r w:rsidRPr="00507A31">
        <w:rPr>
          <w:rStyle w:val="af0"/>
          <w:i w:val="0"/>
          <w:color w:val="000000" w:themeColor="text1"/>
          <w:sz w:val="16"/>
          <w:szCs w:val="16"/>
          <w:lang w:val="en-US"/>
        </w:rPr>
        <w:t>On</w:t>
      </w:r>
      <w:r w:rsidRPr="00507A31">
        <w:rPr>
          <w:rStyle w:val="af0"/>
          <w:i w:val="0"/>
          <w:color w:val="000000" w:themeColor="text1"/>
          <w:sz w:val="16"/>
          <w:szCs w:val="16"/>
        </w:rPr>
        <w:t>. 1. П. 5.Д. 82. Л. 47-48. Машинописная копия того времени. На Л. 47 вверху напечатано «Экз. 2» (цифра вписана от руки). В правом верхнем углу дата и гриф секретности (машинописью). Ниже — штамп Секретариата замнаркома НКИД СССР с вписанными от руки номером и датой получения документа «28.XII.1930 г.». Вверху справа подпись-росчерк Н. Н. Крестинского. На Л. 48 внизу слева столбцом машинописью делопроизводственная помета о количестве распечатанных (4) и разосланных экземпляров «1 — Адресат, 2 — Кр[естинский], 3 — К[арахан], 4 — С[томоняков], 5 — 3[ападный отдел] III, 6 — дело».</w:t>
      </w:r>
    </w:p>
    <w:p w14:paraId="203EF8C3" w14:textId="77777777" w:rsidR="00CB0D3A" w:rsidRPr="00507A31" w:rsidRDefault="00CB0D3A" w:rsidP="00507A31">
      <w:pPr>
        <w:pStyle w:val="ae"/>
        <w:spacing w:before="0" w:after="0"/>
        <w:jc w:val="both"/>
        <w:rPr>
          <w:color w:val="000000" w:themeColor="text1"/>
          <w:sz w:val="16"/>
          <w:szCs w:val="16"/>
        </w:rPr>
      </w:pPr>
      <w:r w:rsidRPr="00507A31">
        <w:rPr>
          <w:rStyle w:val="af0"/>
          <w:i w:val="0"/>
          <w:color w:val="000000" w:themeColor="text1"/>
          <w:sz w:val="16"/>
          <w:szCs w:val="16"/>
        </w:rPr>
        <w:t>Там же. Ф. 0136. On. 14. П. 140. Д. 593. Л. 142. «Выписка из письма т. Литвинова на имя Полпреда СССР во Франции тов. Довгалевского от 26.XII.30 г. № д/3777». Заверенная машинописная копия того времени. Текст первых трех абзацев — «Высказанные Вам Брианом замечания вызывают у нас следующие возражения. Бриан совершенно не назван [...] Как судом установлено, контрреволюционеры, втягивающие в свои козни наших спецов, неизменно ссылаются на обещанную помощь со стороны Франции. Не могла же Франция не давать поводов для всех этих ссылок на нее» — воспроизведен машинописью, далее написано от руки: «Приходится пока воздерживаться от каких бы то ни было шагов до получения окончательно ответа Францпра на Ваш демарш. Мы воздержимся пока и от вручения ответного меморандума». Гриф секретности машинописью. Внизу машинописная помета о распечатке выписки (2 экз.), подпись заверяющего лица от руки: «Верно: Трофимов» (18809).</w:t>
      </w:r>
    </w:p>
    <w:p w14:paraId="2ADA0B6F" w14:textId="77777777" w:rsidR="00CB0D3A" w:rsidRPr="00507A31" w:rsidRDefault="00CB0D3A" w:rsidP="00507A31">
      <w:pPr>
        <w:jc w:val="both"/>
        <w:rPr>
          <w:color w:val="000000" w:themeColor="text1"/>
          <w:sz w:val="16"/>
          <w:szCs w:val="16"/>
        </w:rPr>
      </w:pPr>
    </w:p>
    <w:p w14:paraId="09F57CD1" w14:textId="77777777" w:rsidR="00CB0D3A" w:rsidRPr="00507A31" w:rsidRDefault="00CB0D3A" w:rsidP="00507A31">
      <w:pPr>
        <w:jc w:val="both"/>
        <w:rPr>
          <w:bCs/>
          <w:color w:val="000000" w:themeColor="text1"/>
          <w:sz w:val="16"/>
          <w:szCs w:val="16"/>
        </w:rPr>
      </w:pPr>
      <w:r w:rsidRPr="00507A31">
        <w:rPr>
          <w:color w:val="000000" w:themeColor="text1"/>
          <w:sz w:val="16"/>
          <w:szCs w:val="16"/>
        </w:rPr>
        <w:t>26 декабря 1930 г.</w:t>
      </w:r>
    </w:p>
    <w:p w14:paraId="29C20916" w14:textId="77777777" w:rsidR="00CB0D3A" w:rsidRPr="00507A31" w:rsidRDefault="00CB0D3A" w:rsidP="00507A31">
      <w:pPr>
        <w:jc w:val="both"/>
        <w:rPr>
          <w:bCs/>
          <w:color w:val="000000" w:themeColor="text1"/>
          <w:sz w:val="16"/>
          <w:szCs w:val="16"/>
        </w:rPr>
      </w:pPr>
      <w:r w:rsidRPr="00507A31">
        <w:rPr>
          <w:color w:val="000000" w:themeColor="text1"/>
          <w:sz w:val="16"/>
          <w:szCs w:val="16"/>
        </w:rPr>
        <w:t>Письмо Ж. Л. Аренса Д. Г. Штерну с информацией о подготовке статей о процессе «Промпартии» для размещения в германской прессе. 26 декабря 1930 г.</w:t>
      </w:r>
    </w:p>
    <w:p w14:paraId="13E35C73"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Источник: </w:t>
      </w:r>
    </w:p>
    <w:p w14:paraId="145E57E2" w14:textId="77777777" w:rsidR="00CB0D3A" w:rsidRPr="00507A31" w:rsidRDefault="00CB0D3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5E441C"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Архив: </w:t>
      </w:r>
    </w:p>
    <w:p w14:paraId="756792D4" w14:textId="77777777" w:rsidR="00CB0D3A" w:rsidRPr="00507A31" w:rsidRDefault="00CB0D3A" w:rsidP="00507A31">
      <w:pPr>
        <w:jc w:val="both"/>
        <w:rPr>
          <w:color w:val="000000" w:themeColor="text1"/>
          <w:sz w:val="16"/>
          <w:szCs w:val="16"/>
        </w:rPr>
      </w:pPr>
      <w:r w:rsidRPr="00507A31">
        <w:rPr>
          <w:color w:val="000000" w:themeColor="text1"/>
          <w:sz w:val="16"/>
          <w:szCs w:val="16"/>
        </w:rPr>
        <w:t>АВП РФ. Ф. 056. On. 15. П. 31. Д. 9. Л. 142-144</w:t>
      </w:r>
    </w:p>
    <w:p w14:paraId="2178B2C0" w14:textId="77777777" w:rsidR="00CB0D3A" w:rsidRPr="00507A31" w:rsidRDefault="00CB0D3A" w:rsidP="00507A31">
      <w:pPr>
        <w:pStyle w:val="rteright"/>
        <w:spacing w:before="0" w:after="0"/>
        <w:jc w:val="both"/>
        <w:rPr>
          <w:color w:val="000000" w:themeColor="text1"/>
          <w:sz w:val="16"/>
          <w:szCs w:val="16"/>
        </w:rPr>
      </w:pPr>
      <w:r w:rsidRPr="00507A31">
        <w:rPr>
          <w:color w:val="000000" w:themeColor="text1"/>
          <w:sz w:val="16"/>
          <w:szCs w:val="16"/>
        </w:rPr>
        <w:t>26 декабря 1930 г.</w:t>
      </w:r>
    </w:p>
    <w:p w14:paraId="2E6E312A" w14:textId="77777777" w:rsidR="00CB0D3A" w:rsidRPr="00507A31" w:rsidRDefault="00CB0D3A" w:rsidP="00507A31">
      <w:pPr>
        <w:pStyle w:val="rteright"/>
        <w:spacing w:before="0" w:after="0"/>
        <w:jc w:val="both"/>
        <w:rPr>
          <w:color w:val="000000" w:themeColor="text1"/>
          <w:sz w:val="16"/>
          <w:szCs w:val="16"/>
        </w:rPr>
      </w:pPr>
      <w:r w:rsidRPr="00507A31">
        <w:rPr>
          <w:color w:val="000000" w:themeColor="text1"/>
          <w:sz w:val="16"/>
          <w:szCs w:val="16"/>
        </w:rPr>
        <w:t>Секретно</w:t>
      </w:r>
    </w:p>
    <w:p w14:paraId="5460E1B0"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Отдел Печати Н.К.И.Д.</w:t>
      </w:r>
    </w:p>
    <w:p w14:paraId="23BEF714"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26.XII.30 г.</w:t>
      </w:r>
    </w:p>
    <w:p w14:paraId="70198172"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 7389</w:t>
      </w:r>
    </w:p>
    <w:p w14:paraId="1D87E1AF"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Тов. Штерну</w:t>
      </w:r>
    </w:p>
    <w:p w14:paraId="00E9C661"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Берлин</w:t>
      </w:r>
    </w:p>
    <w:p w14:paraId="236C1583" w14:textId="77777777" w:rsidR="00CB0D3A" w:rsidRPr="00507A31" w:rsidRDefault="00CB0D3A" w:rsidP="00507A31">
      <w:pPr>
        <w:numPr>
          <w:ilvl w:val="0"/>
          <w:numId w:val="168"/>
        </w:numPr>
        <w:ind w:left="0" w:firstLine="0"/>
        <w:jc w:val="both"/>
        <w:rPr>
          <w:color w:val="000000" w:themeColor="text1"/>
          <w:sz w:val="16"/>
          <w:szCs w:val="16"/>
        </w:rPr>
      </w:pPr>
      <w:r w:rsidRPr="00507A31">
        <w:rPr>
          <w:color w:val="000000" w:themeColor="text1"/>
          <w:sz w:val="16"/>
          <w:szCs w:val="16"/>
        </w:rPr>
        <w:t>При сем прилагается статья о процессе, написанная тов. Луначарским. Эта статья предназначается для опубликования в газете, т. е. это не та статья, которую Луначарский пишет для «Ост Эуроп». Откровенно говоря, нас здесь данная статья совершенно не удовлетворила. К тому же мы ее получили в момент отправки почты и не имели поэтому возможности проредактировать ее, хотя бы в стилистическом отношении. Мы ее отправляем Вам, так сказать, на всякий случай. Прочтите ее, если нужно проредактируйте ее по собственному усмотрению, а прежде и раньше всего решите, принесет ли ее опубликование в настоящий момент какую либо пользу. Думаем, что Вам это на месте виднее. Мы здесь столько за последнее время писали и читали о процессе, что не исключено, что мы относимся к статье Луначарского слишком сурово и она представляет для германского читателя известный интерес. Но во всяком случае, она нуждается в тщательном редактировании.</w:t>
      </w:r>
    </w:p>
    <w:p w14:paraId="048204C2" w14:textId="77777777" w:rsidR="00CB0D3A" w:rsidRPr="00507A31" w:rsidRDefault="00CB0D3A" w:rsidP="00507A31">
      <w:pPr>
        <w:numPr>
          <w:ilvl w:val="0"/>
          <w:numId w:val="169"/>
        </w:numPr>
        <w:ind w:left="0" w:firstLine="0"/>
        <w:jc w:val="both"/>
        <w:rPr>
          <w:color w:val="000000" w:themeColor="text1"/>
          <w:sz w:val="16"/>
          <w:szCs w:val="16"/>
        </w:rPr>
      </w:pPr>
      <w:r w:rsidRPr="00507A31">
        <w:rPr>
          <w:color w:val="000000" w:themeColor="text1"/>
          <w:sz w:val="16"/>
          <w:szCs w:val="16"/>
        </w:rPr>
        <w:t>Первый опыт Луначарского заставил нас насторожиться по части его второй большой статьи для «Ост Эуропа». Луначарский сам признает, что ему очень трудно писать о процессе. Наилучшим автором для «Ост Эуропа» был бы, конечно, Радек, но несчастье заключается в том, что Радек бесконечно много писал о процессе и согласился для нас написать только одну статью. Эта статья предназначается для английского журнала[,] так как в свое время была установлена такая разверстка между Радеком и Луначарским, т. е. именно за Луначарским оставалась статья для «Ост Эуропа». Теперь придется, очевидно, снова пытаться получить статью для «Ост Эуропа» у Радека. Пишем В[ам] об этом так подробно, чтобы объяснить Вам, почему статья для Енаса не могла поспеть к 20-му декабря, но чтобы в то же время заверить Вас, что, во всяком случае, статья для «Ост Эуропа» к ее февральскому номеру будет готова.</w:t>
      </w:r>
    </w:p>
    <w:p w14:paraId="0AFD2E01" w14:textId="77777777" w:rsidR="00CB0D3A" w:rsidRPr="00507A31" w:rsidRDefault="00CB0D3A" w:rsidP="00507A31">
      <w:pPr>
        <w:numPr>
          <w:ilvl w:val="0"/>
          <w:numId w:val="170"/>
        </w:numPr>
        <w:ind w:left="0" w:firstLine="0"/>
        <w:jc w:val="both"/>
        <w:rPr>
          <w:color w:val="000000" w:themeColor="text1"/>
          <w:sz w:val="16"/>
          <w:szCs w:val="16"/>
        </w:rPr>
      </w:pPr>
      <w:r w:rsidRPr="00507A31">
        <w:rPr>
          <w:color w:val="000000" w:themeColor="text1"/>
          <w:sz w:val="16"/>
          <w:szCs w:val="16"/>
        </w:rPr>
        <w:t>При сем прилагается справка «Положение труда в СССР». Это все, что нам удалось получить в ответ на присланный Вами вопросник, который также при сем возвращается. Нам кажется, что Кирхер мог бы из прилагаемой справки сделать заметку на интересующую его тему. Он может при этом ссылаться на разговор с видным работником Наркомтруда, но ни в коем случае, конечно, заметка не должна быть переработана в интервью тов. Цихона.</w:t>
      </w:r>
    </w:p>
    <w:p w14:paraId="2DDA9BF1" w14:textId="77777777" w:rsidR="00CB0D3A" w:rsidRPr="00507A31" w:rsidRDefault="00CB0D3A" w:rsidP="00507A31">
      <w:pPr>
        <w:numPr>
          <w:ilvl w:val="0"/>
          <w:numId w:val="171"/>
        </w:numPr>
        <w:ind w:left="0" w:firstLine="0"/>
        <w:jc w:val="both"/>
        <w:rPr>
          <w:color w:val="000000" w:themeColor="text1"/>
          <w:sz w:val="16"/>
          <w:szCs w:val="16"/>
        </w:rPr>
      </w:pPr>
      <w:r w:rsidRPr="00507A31">
        <w:rPr>
          <w:color w:val="000000" w:themeColor="text1"/>
          <w:sz w:val="16"/>
          <w:szCs w:val="16"/>
        </w:rPr>
        <w:t>Тов. Штейн не может написать статьи о процессе для Мендельсона-Бартольди. Ему не разрешили писать за своей подписью, а писать анонимную статью он не хочет и, кроме того, Мендельсон вряд ли бы пошел на помещение статьи анонимной или подписанной псевдонимом. На всякий случай выясните у Мендельсона, согласен ли он поместить анонимную статью о процессе, тогда, конечно, ее можно будет здесь заказать.</w:t>
      </w:r>
    </w:p>
    <w:p w14:paraId="369D37E4" w14:textId="77777777" w:rsidR="00CB0D3A" w:rsidRPr="00507A31" w:rsidRDefault="00CB0D3A" w:rsidP="00507A31">
      <w:pPr>
        <w:numPr>
          <w:ilvl w:val="0"/>
          <w:numId w:val="172"/>
        </w:numPr>
        <w:ind w:left="0" w:firstLine="0"/>
        <w:jc w:val="both"/>
        <w:rPr>
          <w:color w:val="000000" w:themeColor="text1"/>
          <w:sz w:val="16"/>
          <w:szCs w:val="16"/>
        </w:rPr>
      </w:pPr>
      <w:r w:rsidRPr="00507A31">
        <w:rPr>
          <w:color w:val="000000" w:themeColor="text1"/>
          <w:sz w:val="16"/>
          <w:szCs w:val="16"/>
        </w:rPr>
        <w:t>Вы спрашиваете[,] в каком направлении следует инспирировать Кирхера для его внешне-политического обзора. Нам кажется, что помимо указания на то, что мы ведем политику мира и что именно за последнее время мы это доказали самым выпуклым образом. Мы всецело заняты грандиозным экономическим и культурным строительством и поэтому мы считаем опасность войны и интервенции самым актуальным внешне-политическим моментом.</w:t>
      </w:r>
    </w:p>
    <w:p w14:paraId="48760506" w14:textId="77777777" w:rsidR="00CB0D3A" w:rsidRPr="00507A31" w:rsidRDefault="00CB0D3A" w:rsidP="00507A31">
      <w:pPr>
        <w:numPr>
          <w:ilvl w:val="0"/>
          <w:numId w:val="173"/>
        </w:numPr>
        <w:ind w:left="0" w:firstLine="0"/>
        <w:jc w:val="both"/>
        <w:rPr>
          <w:color w:val="000000" w:themeColor="text1"/>
          <w:sz w:val="16"/>
          <w:szCs w:val="16"/>
        </w:rPr>
      </w:pPr>
      <w:r w:rsidRPr="00507A31">
        <w:rPr>
          <w:color w:val="000000" w:themeColor="text1"/>
          <w:sz w:val="16"/>
          <w:szCs w:val="16"/>
        </w:rPr>
        <w:t>Рассуждения о том, кто скрывается за подписью Ц.[,] очевидно, придется прекратить впредь до получения более точной информации. Что касается Твардовского, то надо сказать, что на практической работе, как в Отделе Печати, так и в Политотделе он отнюдь не проявляет тех настроений, формулировку которых можно найти в статье Ц. Поэтому не исключено, что Ц. это все-таки Хильгер-Шлезингер. Во всяком случае, статьи носят явный след работы двух лиц.</w:t>
      </w:r>
    </w:p>
    <w:p w14:paraId="72AB9B95" w14:textId="77777777" w:rsidR="00CB0D3A" w:rsidRPr="00507A31" w:rsidRDefault="00CB0D3A" w:rsidP="00507A31">
      <w:pPr>
        <w:numPr>
          <w:ilvl w:val="0"/>
          <w:numId w:val="174"/>
        </w:numPr>
        <w:ind w:left="0" w:firstLine="0"/>
        <w:jc w:val="both"/>
        <w:rPr>
          <w:color w:val="000000" w:themeColor="text1"/>
          <w:sz w:val="16"/>
          <w:szCs w:val="16"/>
        </w:rPr>
      </w:pPr>
      <w:r w:rsidRPr="00507A31">
        <w:rPr>
          <w:color w:val="000000" w:themeColor="text1"/>
          <w:sz w:val="16"/>
          <w:szCs w:val="16"/>
        </w:rPr>
        <w:t>Слухи о недовольстве Дюранти сильно преувеличены. Конечно, Дюранти был недоволен тем, что Лайонс первый получил интервью у т. Сталина. Но ему было обещано свидание с т. Сталиным еще до того, как он узнал об интервью Лайонса, причем ему сразу же было сообщено об удаче Лайонса. Таким образом, его огорчение было смягчено. С другой стороны, Дюранти пробыл у т. Сталина почти час и имел с ним серьезную политическую беседу, на основании которой он послал своей редакции две интересные телеграммы в общем в 600 газетных строк. Поэтому Дюранти был очень доволен и у него не осталось ни тени какого[-]либо огорчения по поводу интервью Лайонса.</w:t>
      </w:r>
    </w:p>
    <w:p w14:paraId="3C7C8C41" w14:textId="77777777" w:rsidR="00CB0D3A" w:rsidRPr="00507A31" w:rsidRDefault="00CB0D3A" w:rsidP="00507A31">
      <w:pPr>
        <w:numPr>
          <w:ilvl w:val="0"/>
          <w:numId w:val="175"/>
        </w:numPr>
        <w:ind w:left="0" w:firstLine="0"/>
        <w:jc w:val="both"/>
        <w:rPr>
          <w:color w:val="000000" w:themeColor="text1"/>
          <w:sz w:val="16"/>
          <w:szCs w:val="16"/>
        </w:rPr>
      </w:pPr>
      <w:r w:rsidRPr="00507A31">
        <w:rPr>
          <w:color w:val="000000" w:themeColor="text1"/>
          <w:sz w:val="16"/>
          <w:szCs w:val="16"/>
        </w:rPr>
        <w:t>В Германии находятся теперь в отпуску из московских инкоров Лайонс, Вууд и Реллингоф.</w:t>
      </w:r>
    </w:p>
    <w:p w14:paraId="111D6D76"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Зав. Отделом Печати:(Аренс)</w:t>
      </w:r>
    </w:p>
    <w:p w14:paraId="30FD0529"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Референт: (Миронов)</w:t>
      </w:r>
    </w:p>
    <w:p w14:paraId="75BBBFB2" w14:textId="77777777" w:rsidR="00CB0D3A" w:rsidRPr="00507A31" w:rsidRDefault="00CB0D3A" w:rsidP="00507A31">
      <w:pPr>
        <w:pStyle w:val="ae"/>
        <w:spacing w:before="0" w:after="0"/>
        <w:jc w:val="both"/>
        <w:rPr>
          <w:color w:val="000000" w:themeColor="text1"/>
          <w:sz w:val="16"/>
          <w:szCs w:val="16"/>
        </w:rPr>
      </w:pPr>
      <w:r w:rsidRPr="00507A31">
        <w:rPr>
          <w:rStyle w:val="af0"/>
          <w:i w:val="0"/>
          <w:color w:val="000000" w:themeColor="text1"/>
          <w:sz w:val="16"/>
          <w:szCs w:val="16"/>
        </w:rPr>
        <w:t>АВП</w:t>
      </w:r>
      <w:r w:rsidRPr="00507A31">
        <w:rPr>
          <w:rStyle w:val="af0"/>
          <w:i w:val="0"/>
          <w:color w:val="000000" w:themeColor="text1"/>
          <w:sz w:val="16"/>
          <w:szCs w:val="16"/>
          <w:lang w:val="en-US"/>
        </w:rPr>
        <w:t xml:space="preserve"> </w:t>
      </w:r>
      <w:r w:rsidRPr="00507A31">
        <w:rPr>
          <w:rStyle w:val="af0"/>
          <w:i w:val="0"/>
          <w:color w:val="000000" w:themeColor="text1"/>
          <w:sz w:val="16"/>
          <w:szCs w:val="16"/>
        </w:rPr>
        <w:t>РФ</w:t>
      </w:r>
      <w:r w:rsidRPr="00507A31">
        <w:rPr>
          <w:rStyle w:val="af0"/>
          <w:i w:val="0"/>
          <w:color w:val="000000" w:themeColor="text1"/>
          <w:sz w:val="16"/>
          <w:szCs w:val="16"/>
          <w:lang w:val="en-US"/>
        </w:rPr>
        <w:t xml:space="preserve">. </w:t>
      </w:r>
      <w:r w:rsidRPr="00507A31">
        <w:rPr>
          <w:rStyle w:val="af0"/>
          <w:i w:val="0"/>
          <w:color w:val="000000" w:themeColor="text1"/>
          <w:sz w:val="16"/>
          <w:szCs w:val="16"/>
        </w:rPr>
        <w:t>Ф</w:t>
      </w:r>
      <w:r w:rsidRPr="00507A31">
        <w:rPr>
          <w:rStyle w:val="af0"/>
          <w:i w:val="0"/>
          <w:color w:val="000000" w:themeColor="text1"/>
          <w:sz w:val="16"/>
          <w:szCs w:val="16"/>
          <w:lang w:val="en-US"/>
        </w:rPr>
        <w:t xml:space="preserve">. 056. On. 15. </w:t>
      </w:r>
      <w:r w:rsidRPr="00507A31">
        <w:rPr>
          <w:rStyle w:val="af0"/>
          <w:i w:val="0"/>
          <w:color w:val="000000" w:themeColor="text1"/>
          <w:sz w:val="16"/>
          <w:szCs w:val="16"/>
        </w:rPr>
        <w:t>П</w:t>
      </w:r>
      <w:r w:rsidRPr="00507A31">
        <w:rPr>
          <w:rStyle w:val="af0"/>
          <w:i w:val="0"/>
          <w:color w:val="000000" w:themeColor="text1"/>
          <w:sz w:val="16"/>
          <w:szCs w:val="16"/>
          <w:lang w:val="en-US"/>
        </w:rPr>
        <w:t xml:space="preserve">. 31. </w:t>
      </w:r>
      <w:r w:rsidRPr="00507A31">
        <w:rPr>
          <w:rStyle w:val="af0"/>
          <w:i w:val="0"/>
          <w:color w:val="000000" w:themeColor="text1"/>
          <w:sz w:val="16"/>
          <w:szCs w:val="16"/>
        </w:rPr>
        <w:t>Д</w:t>
      </w:r>
      <w:r w:rsidRPr="00507A31">
        <w:rPr>
          <w:rStyle w:val="af0"/>
          <w:i w:val="0"/>
          <w:color w:val="000000" w:themeColor="text1"/>
          <w:sz w:val="16"/>
          <w:szCs w:val="16"/>
          <w:lang w:val="en-US"/>
        </w:rPr>
        <w:t xml:space="preserve">. 9. </w:t>
      </w:r>
      <w:r w:rsidRPr="00507A31">
        <w:rPr>
          <w:rStyle w:val="af0"/>
          <w:i w:val="0"/>
          <w:color w:val="000000" w:themeColor="text1"/>
          <w:sz w:val="16"/>
          <w:szCs w:val="16"/>
        </w:rPr>
        <w:t>Л. 142-144. Машинописная копия того времени. Гриф секретности и дата машинописью, исходящий номер написан карандашом. На Л. 144 внизу слева делопроизводственная помета машинописью (столбцом) «4 экз. 1 — тов. Штерну 1 — тов. Литвинову 1 — тов. Крестинскому 1 — архив» (18890).</w:t>
      </w:r>
    </w:p>
    <w:p w14:paraId="3EB60CA5" w14:textId="77777777" w:rsidR="00CB0D3A" w:rsidRPr="00507A31" w:rsidRDefault="00CB0D3A" w:rsidP="00507A31">
      <w:pPr>
        <w:jc w:val="both"/>
        <w:rPr>
          <w:color w:val="000000" w:themeColor="text1"/>
          <w:sz w:val="16"/>
          <w:szCs w:val="16"/>
        </w:rPr>
      </w:pPr>
    </w:p>
    <w:p w14:paraId="690FEEE1" w14:textId="77777777" w:rsidR="00CB0D3A" w:rsidRPr="00507A31" w:rsidRDefault="00CB0D3A" w:rsidP="00507A31">
      <w:pPr>
        <w:jc w:val="both"/>
        <w:rPr>
          <w:bCs/>
          <w:color w:val="000000" w:themeColor="text1"/>
          <w:sz w:val="16"/>
          <w:szCs w:val="16"/>
        </w:rPr>
      </w:pPr>
      <w:r w:rsidRPr="00507A31">
        <w:rPr>
          <w:color w:val="000000" w:themeColor="text1"/>
          <w:sz w:val="16"/>
          <w:szCs w:val="16"/>
        </w:rPr>
        <w:t>26 декабря 1930 г.</w:t>
      </w:r>
    </w:p>
    <w:p w14:paraId="234C1EE2" w14:textId="77777777" w:rsidR="00CB0D3A" w:rsidRPr="00507A31" w:rsidRDefault="00CB0D3A" w:rsidP="00507A31">
      <w:pPr>
        <w:jc w:val="both"/>
        <w:rPr>
          <w:bCs/>
          <w:color w:val="000000" w:themeColor="text1"/>
          <w:sz w:val="16"/>
          <w:szCs w:val="16"/>
        </w:rPr>
      </w:pPr>
      <w:r w:rsidRPr="00507A31">
        <w:rPr>
          <w:color w:val="000000" w:themeColor="text1"/>
          <w:sz w:val="16"/>
          <w:szCs w:val="16"/>
        </w:rPr>
        <w:t>Ответы украинских ученых и деятелей искусств на «Анкету ВОКС». Из «Информационного бюллетеня ВОКС» № 4 за 1930 г. 26 декабря 1930 г.</w:t>
      </w:r>
    </w:p>
    <w:p w14:paraId="3A498238"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Источник: </w:t>
      </w:r>
    </w:p>
    <w:p w14:paraId="31156813" w14:textId="77777777" w:rsidR="00CB0D3A" w:rsidRPr="00507A31" w:rsidRDefault="00CB0D3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46708E" w14:textId="77777777" w:rsidR="00CB0D3A" w:rsidRPr="00507A31" w:rsidRDefault="00CB0D3A" w:rsidP="00507A31">
      <w:pPr>
        <w:pStyle w:val="rteright"/>
        <w:spacing w:before="0" w:after="0"/>
        <w:jc w:val="both"/>
        <w:rPr>
          <w:color w:val="000000" w:themeColor="text1"/>
          <w:sz w:val="16"/>
          <w:szCs w:val="16"/>
        </w:rPr>
      </w:pPr>
      <w:r w:rsidRPr="00507A31">
        <w:rPr>
          <w:color w:val="000000" w:themeColor="text1"/>
          <w:sz w:val="16"/>
          <w:szCs w:val="16"/>
        </w:rPr>
        <w:t>До 26 декабря 1930 г.</w:t>
      </w:r>
    </w:p>
    <w:p w14:paraId="3258AE49"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lastRenderedPageBreak/>
        <w:t>СОВЕТСКАЯ УКРАИНА — ЗАПАДУ</w:t>
      </w:r>
    </w:p>
    <w:p w14:paraId="0F22F0ED"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(Информация Всеукраинского Общества</w:t>
      </w:r>
    </w:p>
    <w:p w14:paraId="4A8175BC"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Культурной Связи с заграницей)</w:t>
      </w:r>
    </w:p>
    <w:p w14:paraId="638E8BA1"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Ученые и художники Советской Украины</w:t>
      </w:r>
    </w:p>
    <w:p w14:paraId="6E8F93A0"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о подготовке войны против народов СССР</w:t>
      </w:r>
    </w:p>
    <w:p w14:paraId="151F4FCC"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С. Н. БЕРНШТЕЙН, академик.</w:t>
      </w:r>
    </w:p>
    <w:p w14:paraId="6D450386"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Действительный член Всесоюзной и Всеукраинской Академии Наук. Член-корреспондент Парижской Академии наук и многих других научных учреждений и обществ. Председатель Украинского Института математических наук. — Периодически выезжает в Париж для чтения лекций в Парижском Университете.</w:t>
      </w:r>
    </w:p>
    <w:p w14:paraId="0BA51149"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«Факты вредительства, шпионажа и предательства, в которых признались на суде члены “Промпартии”: Рамзин, Осадчий и др., занимавшие ответственное положение в планирующих органах Советского Союза, вызывают естественное возмущение и тревогу. Всякий, кто считает единственным путем благополучного развития нашей страны строительство социализма в мирной обстановке, на основе достижений науки и техники, понимает: интервенция против СССР была бы величайшим бедствием и всякое, прямое или косвенное содействие ей является тягчайшим преступлением».</w:t>
      </w:r>
    </w:p>
    <w:p w14:paraId="5694DCAF"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С. Ю. СЕМКОВСКИЙ, академик.</w:t>
      </w:r>
    </w:p>
    <w:p w14:paraId="27E30423"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Руководитель кафедры философии Всеукраинского Института Марксизма.</w:t>
      </w:r>
    </w:p>
    <w:p w14:paraId="4B226F08"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«Наука есть признание фактов и логики фактов. И ученые СССР вправе требовать от лучшей части ученых Запада, чтобы они прислушались к ясному и точному языку фактов, установленных процессом “Промпартии” с неоспоримостью научного доказательства, и чтобы они в полной мере осознавали кровавую логику этих фактов.</w:t>
      </w:r>
    </w:p>
    <w:p w14:paraId="030A6837"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После открыто и гласно проведенного процесса “Промпартии” ни один разумный человек не может отрицать, что:</w:t>
      </w:r>
    </w:p>
    <w:p w14:paraId="414CC572"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1)   В СССР были посажены на скамью подсудимых действительные преступники и вредители, ведшие подрывную работу против великого творческого дела строительства социализма, над которым, вот уже 13 лет, с величайшим напряжением сил работают миллионные трудящиеся массы СССР.</w:t>
      </w:r>
    </w:p>
    <w:p w14:paraId="393F7A7D"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2)   Эту свою работу пойманные и ныне осужденные отщепенцы, прикрываясь высоким званием ученых, вели по прямым заданиям франко- польско-румынских империалистических кругов, расчищая путь для военной интервенции и кровавого подавления нашей революции, для разгрома и колониального порабощения нашей страны во имя корыстных интересов чужеземного и “отечественного” капитала.</w:t>
      </w:r>
    </w:p>
    <w:p w14:paraId="534AD03F"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3)   Военная интервенция подготовлялась вполне реально и конкретно, вдохновляемая Пуанкаре и английским нефтяным капиталом; план ее разрабатывался французским генеральным штабом и его милитаристическими вассалами. И, наконец, логика интервенции увязывает воедино все пресловутые кампании и акции последнего времени против СССР — от “священного крестового похода” папы до лживой “анти-демпинговой” кампании и попыток возрождения бойкота, сыгравшего определенную роль в прежней интервенции.</w:t>
      </w:r>
    </w:p>
    <w:p w14:paraId="7823DB9F"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Было бы величайшей наивностью думать, будто разоблачением на процессе вопрос об интервенции автоматически снят с порядка дня. Факты и логика фактов раз уже имевшей место и теперь вновь подготовляемой интервенции, говорят о том, что враги СССР и впредь готовы на любой дьявольский заговор, на любую провокацию против первой в мире страны побеждающего социализма.</w:t>
      </w:r>
    </w:p>
    <w:p w14:paraId="12AD61B1"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Это должны уяснить себе и друзья СССР из среды ученых Запада, которые искренне считают себя противниками войны против СССР, а также те, кто, выступая в защиту вредителей, тем самым объективно оказывают поддержку анти-советской и, в конечном счете, интервенционистской кампании. Опыт процесса не должен и в этом отношении пройти для них даром. Пусть все они поймут: преодолевая огромные трудности, мы строим новый мир, воплощающий самые высокие идеалы человечества, и мы совершили бы величайшее преступление перед историей, если бы не подавляли беспощадно подрывную работу — вредителей и контр-революционных, диверсийных шпионских заговоров.</w:t>
      </w:r>
    </w:p>
    <w:p w14:paraId="208991C1"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Пусть знают наши друзья и враги, что у подлинных работников науки СССР все подобные покушения встречают один ответ:</w:t>
      </w:r>
    </w:p>
    <w:p w14:paraId="58A95368"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ВСЕ СИЛЫ НАУКИ И ТЕХНИКИ НА ОСУЩЕСТВЛЕНИЕ СОЦИАЛИСТИЧЕСКОЙ ПЯТИЛЕТКИ В ЧЕТЫРЕ ГОДА, НА УКРЕПЛЕНИЕ ОБОРОНЫ. ОБЕСПЕЧИМ ПОЛНОЕ ТОРЖЕСТВО СОЦИАЛИЗМА, КОТОРЫЙ ОДЕРЖАЛ УЖЕ В СССР ПЕРВЫЕ РЕШАЮЩИЕ ПОБЕДЫ И КОТОРЫЙ РАСКРЕПОСТИЛ НАУКУ, ОТКРЫВ ПЕРЕД НЕЙ НЕБЫВАЛЫЕ ЕЩЕ В ИСТОРИИ ЧЕЛОВЕЧЕСТВА ВОЗМОЖНОСТИ СВОБОДНОГО РАЗВИТИЯ.</w:t>
      </w:r>
    </w:p>
    <w:p w14:paraId="72F1A2C2"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Мы вправе требовать от наших друзей из среды ученого мира Запада, чтобы они, в связи с процессом “Промпартии” подняли голос протеста против интервенционистских планов и происков, грозящих ввергнуть человечество в новую мировую войну».</w:t>
      </w:r>
    </w:p>
    <w:p w14:paraId="3AFDCE7C"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А. И. ГЕЙМАНОВИЧ, профессор.</w:t>
      </w:r>
    </w:p>
    <w:p w14:paraId="35E73501"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Ученый, автор около 125 работ по психоневрологии. Основатель и директор Украинского Государственного Психоневрологического Института при НКЗ УССР, возникшего в советское время и давшего большую научную продукцию, — до 700 научных работ, значительная часть которых печатается в заграничных журналах. Член организационного Комитета Международного Неврологического Конгресса (1930-31 г.). Редактор ряда научных журналов. Участник многих общественных организаций, в том числе Член Правления Украинского Общества Культурной Связи с заграницей и Член Президиума Украинского Общества Работников Науки и Техники для содействия социалистическому строительству.</w:t>
      </w:r>
    </w:p>
    <w:p w14:paraId="01E9258F"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«То великое, что было мечтою поколений, что заставляло идти на смерть борцов за лучшее будущее человечества — стало реальностью. На необъятной территории СССР осуществляется социализм. Ученые также участвуют в великом социалистическом строительстве. Это их прямой долг, ибо смысл прогресса, смысл научных достижений — в благе человеческого общества. Но благо человеческого общества не в убаюкивающих сказках о золотом веке, не в красивых химерах, которые ни к чему не обязывают. Оно, это благо — в освобождении труда, в освобождении человека от эксплоатации. Нет другой реальной формулы социального равенства, кроме той, железной по своей логике, формулы построения светлого будущего, которая осуществляется в СССР.</w:t>
      </w:r>
    </w:p>
    <w:p w14:paraId="68528948"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Наука, могучий рычаг создания новых форм общежития. Не отстающими, а новыми, новейшими, опережающими свое время, должны быть эти формулы.</w:t>
      </w:r>
    </w:p>
    <w:p w14:paraId="4169810D"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Страна Советов с готовностью принимает творческую помощь и руководство от тех, в чьих руках опыт и знание — от своих ученых. Советская страна дает своей науке, ученым огромную часть бюджета. Никакое другое государство не уделяет в своем бюджете такого места науке...</w:t>
      </w:r>
    </w:p>
    <w:p w14:paraId="07889DCD"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Что же нужно было заговорщикам из “Промпартии”? Пятилетка, обеспечивающая независимое развитие социалистической страны осуществляется. Они хотели остановить ход пятилетки. Социализм становится действительностью. Они хотели остановить строительство социализма. Но разве то, к чему стремится советская страна, противоречит в чем-либо смыслу, духу науки? И разве наше государство не бросает на фронт науки все свои силы?</w:t>
      </w:r>
    </w:p>
    <w:p w14:paraId="1F1A7F4A"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Что же руководило учеными-заговорщиками? Не интересы науки, не интересы культуры и не интересы человечества. Звериная злоба против идеи социального равенства и, увы, звон золота — вот что сделало их вредителями и шпионами.</w:t>
      </w:r>
    </w:p>
    <w:p w14:paraId="56920E1A"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Ученые Советского Союза отмежевываются от этих последышей старого строя и старого быта. Не с этими поджигателями войны сотни тысяч честных научных работников, верящих в то, что наука должна служить благу человеческого общества, равенству людей, социализму.</w:t>
      </w:r>
    </w:p>
    <w:p w14:paraId="3C33DB94"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Конечным выводом и конечной целью своего предательства “Промпартия” считала интервенцию. Пока об интервенции говорят белые эмигранты, которым нечего терять, мы не считаем нужным с ними объясняться. Но когда вариации на эту тему начинают повторять определенные западно-европейские круги, хочется сказать:</w:t>
      </w:r>
    </w:p>
    <w:p w14:paraId="2C7B9854"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 Вы думали разрушить руками вредителей тыл в советском государстве, чтобы подготовить интервенцию. Но если интервенты бежали в 1919 году, когда наша страна была обескровлена, то что ожидает их теперь в могущественном советском государстве, владеющим современной военной техникой, в государстве, где эта техника находится не в руках наемников, а в руках пролетариев, для которых защита Советов — дело жизни и смерти? Подумали ли об этом вдохновители интервенции?</w:t>
      </w:r>
    </w:p>
    <w:p w14:paraId="1C8FA702"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У нас есть спокойная уверенность в своих силах. Мы вполне готовы, в случае надобности отдать все силы и знания на оборону нашей советской страны, с которой мы связываем всю свою работу, свои помыслы и свои надежды.</w:t>
      </w:r>
    </w:p>
    <w:p w14:paraId="4E06BF0F"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На Востоке Европы осуществляется величайшая мечта тысячелетий. Весь культурный мир, люди науки и труда, вместе с нами осудят попытку заговорщиков повернуть нашу страну назад, — от ярких сигналов счастливого будущего в темное и мрачное безнадежности прошлого.</w:t>
      </w:r>
    </w:p>
    <w:p w14:paraId="73DC794A"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Мы, ученые Союза, будем работать в советской стране, по ее планам и в ее интересах. И тщетными окажутся все попытки помешать нашему общему делу[»].</w:t>
      </w:r>
    </w:p>
    <w:p w14:paraId="6C25F9BA"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ЛЕСЬ КУРБАС.</w:t>
      </w:r>
    </w:p>
    <w:p w14:paraId="07EA3981"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Народный Артист Украинской ССР. Главный режиссер и художественный руководитель Государственного Украинского Драматического Театра «Березиль», награжденного золотой медалью на парижской выставке декоративных искусств в 1923 г.</w:t>
      </w:r>
    </w:p>
    <w:p w14:paraId="3FACB0C0"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«Преступники перед лицом культуры и истории те, кто хочет: сорвать ликвидацию неграмотности, ликвидацию безработицы и нищеты, перестройку шестой части мира в передовую индустриальную страну, сорвать расцвет национальных культур, возродить в нашей стране режим нагайки, темноты и эксплоатации.</w:t>
      </w:r>
    </w:p>
    <w:p w14:paraId="5F059A01"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Преступник тот, кто хочет повернуть назад колесо истории.</w:t>
      </w:r>
    </w:p>
    <w:p w14:paraId="74F1F38C"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Вся интервенция заранее обречена на неудачу[»].</w:t>
      </w:r>
    </w:p>
    <w:p w14:paraId="0119443D"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С. В. ПИЛИПЕНКО.</w:t>
      </w:r>
    </w:p>
    <w:p w14:paraId="415B8DBC"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Писатель, руководитель Института Литературы им. Тараса Шевченко, редактор Литературного Архива, ответственный секретарь Всеукраинской Федерации Революционных Советских Писателей. Председатель Укр. Госуд. Издательства «Литература и искусство».</w:t>
      </w:r>
    </w:p>
    <w:p w14:paraId="70593A44"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lastRenderedPageBreak/>
        <w:t>«О процессе “Промпартии” должен знать каждый сознательный человек. Обязанность всех друзей трудящихся пересказать на всех языках человечества об этом преступлении и выявить его действительную сущность. Показать, что это лишь часть общего плана, разрабатываемого международным капиталом. Цель его снова залить кровью мир, снова задержать на десятки лет прогресс, снова убивать организованно, нещадно, хладнокровно сотни миллионов людей[»].</w:t>
      </w:r>
    </w:p>
    <w:p w14:paraId="2A1D2742" w14:textId="77777777" w:rsidR="00CB0D3A" w:rsidRPr="00507A31" w:rsidRDefault="00CB0D3A" w:rsidP="00507A31">
      <w:pPr>
        <w:pStyle w:val="ae"/>
        <w:spacing w:before="0" w:after="0"/>
        <w:jc w:val="both"/>
        <w:rPr>
          <w:color w:val="000000" w:themeColor="text1"/>
          <w:sz w:val="16"/>
          <w:szCs w:val="16"/>
        </w:rPr>
      </w:pPr>
      <w:r w:rsidRPr="00507A31">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4. С. 1-4. Датируется по времени выхода из печати вып. № 4 бюллетеня (ГА РФ. P-5283. On. 1.Д. 139. Л. 92-93, 97) (18960).</w:t>
      </w:r>
    </w:p>
    <w:p w14:paraId="3B77DFD3" w14:textId="77777777" w:rsidR="00CB0D3A" w:rsidRPr="00507A31" w:rsidRDefault="00CB0D3A" w:rsidP="00507A31">
      <w:pPr>
        <w:jc w:val="both"/>
        <w:rPr>
          <w:color w:val="000000" w:themeColor="text1"/>
          <w:sz w:val="16"/>
          <w:szCs w:val="16"/>
        </w:rPr>
      </w:pPr>
    </w:p>
    <w:p w14:paraId="00D27B1F" w14:textId="77777777" w:rsidR="00CB0D3A" w:rsidRPr="00507A31" w:rsidRDefault="00CB0D3A" w:rsidP="00507A31">
      <w:pPr>
        <w:jc w:val="both"/>
        <w:rPr>
          <w:bCs/>
          <w:color w:val="000000" w:themeColor="text1"/>
          <w:sz w:val="16"/>
          <w:szCs w:val="16"/>
        </w:rPr>
      </w:pPr>
      <w:r w:rsidRPr="00507A31">
        <w:rPr>
          <w:color w:val="000000" w:themeColor="text1"/>
          <w:sz w:val="16"/>
          <w:szCs w:val="16"/>
        </w:rPr>
        <w:t>26 декабря 1930 г.</w:t>
      </w:r>
    </w:p>
    <w:p w14:paraId="25CA0318" w14:textId="77777777" w:rsidR="00CB0D3A" w:rsidRPr="00507A31" w:rsidRDefault="00CB0D3A" w:rsidP="00507A31">
      <w:pPr>
        <w:jc w:val="both"/>
        <w:rPr>
          <w:bCs/>
          <w:color w:val="000000" w:themeColor="text1"/>
          <w:sz w:val="16"/>
          <w:szCs w:val="16"/>
        </w:rPr>
      </w:pPr>
      <w:r w:rsidRPr="00507A31">
        <w:rPr>
          <w:color w:val="000000" w:themeColor="text1"/>
          <w:sz w:val="16"/>
          <w:szCs w:val="16"/>
        </w:rPr>
        <w:t>Статья С. Шацкого «Советская культура в опасности». Из «Информационного бюллетеня ВОКС» № 4 за 1930 г. 26 декабря 1930 г.</w:t>
      </w:r>
    </w:p>
    <w:p w14:paraId="51E5775A" w14:textId="77777777" w:rsidR="00CB0D3A" w:rsidRPr="00507A31" w:rsidRDefault="00CB0D3A" w:rsidP="00507A31">
      <w:pPr>
        <w:jc w:val="both"/>
        <w:rPr>
          <w:bCs/>
          <w:color w:val="000000" w:themeColor="text1"/>
          <w:sz w:val="16"/>
          <w:szCs w:val="16"/>
        </w:rPr>
      </w:pPr>
      <w:r w:rsidRPr="00507A31">
        <w:rPr>
          <w:bCs/>
          <w:color w:val="000000" w:themeColor="text1"/>
          <w:sz w:val="16"/>
          <w:szCs w:val="16"/>
        </w:rPr>
        <w:t>Источник: </w:t>
      </w:r>
    </w:p>
    <w:p w14:paraId="6B208F8C" w14:textId="77777777" w:rsidR="00CB0D3A" w:rsidRPr="00507A31" w:rsidRDefault="00CB0D3A"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2FD9E8" w14:textId="77777777" w:rsidR="00CB0D3A" w:rsidRPr="00507A31" w:rsidRDefault="00CB0D3A" w:rsidP="00507A31">
      <w:pPr>
        <w:pStyle w:val="rteright"/>
        <w:spacing w:before="0" w:after="0"/>
        <w:jc w:val="both"/>
        <w:rPr>
          <w:color w:val="000000" w:themeColor="text1"/>
          <w:sz w:val="16"/>
          <w:szCs w:val="16"/>
        </w:rPr>
      </w:pPr>
      <w:r w:rsidRPr="00507A31">
        <w:rPr>
          <w:color w:val="000000" w:themeColor="text1"/>
          <w:sz w:val="16"/>
          <w:szCs w:val="16"/>
        </w:rPr>
        <w:t>До 26 декабря 1930 г.</w:t>
      </w:r>
    </w:p>
    <w:p w14:paraId="55C7706C"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Процесс интервенционистской организации инженеров-вредителей совершенно ясно говорит о том, что буржуазные государства весьма определенно готовились к интервенции, имели хорошо разработанные планы, вошли в соглашение между собою, наметили необходимые для нее силы и средства и даже наиболее удобные сроки. Дело было только за фактическим объявлением войны. Но этот же процесс показал, что война фактически началась уже с 1925 года, что военные действия были открыты не только со стороны внешних границ нашего Союза, но внутри них, и были направлены на самые основные центры нашего руководящего государственного аппарата с одной стороны, и на основные отрасли нашего хозяйства — с другой. Это было больше, чем разведка, &lt;...&gt;: многое, что нужно было знать врагу для построения самых реальных планов нападения — стало известно благодаря тому, что руководители этих передовых отрядов интервенции в то же время принимали участие и в техническом руководстве строительством социалистического хозяйства. Таким образом, в процессе классовой борьбы выработался новый тип военного специалиста — инженера-вредителя.</w:t>
      </w:r>
    </w:p>
    <w:p w14:paraId="5F30C296"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По единодушным показаниям обвиняемых, в их среде с января 1930 г. начались колебания, сомнения в успехе тех военных операций, которыми они руководили: вредительство вызывавшее многочисленные прорывы на хозяйственном фронте стало испытывать контр-удары со стороны встречного промфинплана, широчайшего движения социалистического соревнования и ударничества, подъема энергии и энтузиазма рабочих и крестьян. Увеличившиеся трудности стали вызывать усиленный приток сил. Это означает, что в планах интервентов имелся весьма существенный недосмотр, обнаружился недоучет сил противника. Капитализм упустил из виду то важное обстоятельство, что социалистическое государство, что социалистическое хозяйство строят действительно широчайшие массы трудящихся — рабочих и крестьян и что с каждым годом в общий поток строителей новых невиданных и неслыханных в истории человечества форм общественной жизни, вливаются все новые и новые энергичные, подготовленные, сознательные и культурные силы. Недаром проблема кадров социалистических строителей поставлена пролетариатом, как гигантски важная проблема. Но капиталистический мир просчитался еще в одном важном деле: он не учел самой глубины массового социалистического строительства в СССР. Ибо рядом с перестройкой нашего хозяйства пролетариатом выдвинута проблема культурной революции. Мы не даром вместе с словом культура употребляем и слово — революция. Это значит, что то культурное наследство, которое мы имеем в нашей стране и та культура, которой обладает капиталистический мир — нас удовлетворить не могут. Эта культура выросла на почве буржуазной, собственнической организации общества, мы ее называем старой культурой, из материала которой мы должны построить новую, отвечающую потребностям широчайших масс, строящих социализм. Поэтому совершенно ясно: чем больше трудящиеся овладевают процессом социалистической реконструкции народного хозяйства, чем глубже идет коренная перестройка социально-экономических отношений, тем ближе мы подходим и к разрешению проблемы перестройки быта, школы, подготовки новых кадров строителей и организации массового социалистического воспитания и перевоспитания. Самое значительное в этом деле — это то, что действительно новые формы во всех областях культурного строительства создаются собственной инициативой и поддерживаются энергией трудящихся, с которыми идет огромное большинство работников науки, техники, искусства.</w:t>
      </w:r>
    </w:p>
    <w:p w14:paraId="6CA5EF26"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Рабочие организуют новые учреждения — завод-втуз, где каждый рабочий может &lt;...&gt;, свое производство, не отрываясь от своего станка, получить высшее образование.</w:t>
      </w:r>
    </w:p>
    <w:p w14:paraId="34D46BE8"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Рабочие проводят в жизни политехнизацию школ, общеобразовательных и специальных, т. е. органическую связь школы и производства.</w:t>
      </w:r>
    </w:p>
    <w:p w14:paraId="543C7AB9"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Рабочие образуют специальные бригады для изучения работы органов народного образования и помощи им. Эта мера уже дает интереснейшие результаты и обеспечивает превращение этих учреждений в штабы культурной революции.</w:t>
      </w:r>
    </w:p>
    <w:p w14:paraId="2F3CE413"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Рабочие появляются в наших школах, как преподаватели по своей специальности, образуют на фабриках и заводах группы учеников наших школ, работой которых они руководят.</w:t>
      </w:r>
    </w:p>
    <w:p w14:paraId="4E0670B6"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Таким образом, рабочий класс берет на себя основную работу по проведению политехнизации наших школ всех ступеней.</w:t>
      </w:r>
    </w:p>
    <w:p w14:paraId="681EDEB7"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Гигантское значение имеет в смысле коренного изменения методов преподавания — связь школы с производством. Заключаются, как правило, договоры между школами, с одной стороны, фабриками, заводами, колхозами, совхозами и машинно-тракторными станциями — с другой для установления этой деловой, практической и политической связи. Таким образом, наша молодежь получает широкую возможность воспитываться и подготовляться к участию в социалистическом хозяйстве не в старой словесной школе, а в новой — политехнической.</w:t>
      </w:r>
    </w:p>
    <w:p w14:paraId="03530234"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Нельзя не отметить, что массовое культурное движение захватило и деревню. Величайшие достижения имеются в области ликвидации неграмотности: в 1928-29 г. обучено 8 миллионов неграмотных, и в 1930-31 будет обучено еще 14 миллионов. Введено всеобщее начальное обязательное обучение, которое должно охватить 14 миллионов школьников. В деревне широко развивается дошкольное образование и растет сеть ясель. Такой гигантский размах культурной работы возможен только благодаря участию в ней миллионов строителей социализма в городе и в деревне. Одной из форм этого массового культурного движения являются культпоходы: в культпоходах участвуют соединенные отряды рабочих, просвещенцев, комсомола, проводящие по заранее намеченным заданиям культработу в той или иной области: обследование школ, организация пунктов ликвидации безграмотности, проведение в жизнь политехнизации школы, прикрепление школ к заводам и т. д. Организация колхозных университетов, подготовка новых деревенских кадров, культурная работа, развертывающаяся вокруг машинно-тракторных станций — все это свидетельствует о том, что строительство новой культуры охватило уже не только город, но и деревню. Понятно какое огромное значение имеет эта культурная революция для ускорения темпов социалистического строительства.</w:t>
      </w:r>
    </w:p>
    <w:p w14:paraId="228831B3"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Вот беглый очерк работы Советского Союза в одной только области культуры.</w:t>
      </w:r>
    </w:p>
    <w:p w14:paraId="5DE76B55" w14:textId="77777777" w:rsidR="00CB0D3A" w:rsidRPr="00507A31" w:rsidRDefault="00CB0D3A" w:rsidP="00507A31">
      <w:pPr>
        <w:pStyle w:val="rtejustify"/>
        <w:spacing w:before="0" w:after="0"/>
        <w:rPr>
          <w:color w:val="000000" w:themeColor="text1"/>
          <w:sz w:val="16"/>
          <w:szCs w:val="16"/>
        </w:rPr>
      </w:pPr>
      <w:r w:rsidRPr="00507A31">
        <w:rPr>
          <w:color w:val="000000" w:themeColor="text1"/>
          <w:sz w:val="16"/>
          <w:szCs w:val="16"/>
        </w:rPr>
        <w:t>Совершенно понятно, почему вся страна, одушевленная гигантской работой нашла в себе достаточно сил, чтобы опрокинуть преступные планы интервентов и вместо понижения темпов строительства, ответить реальным планом выполнения пятилетки в четыре года. Это можно объяснить только изумительным подъемом, воодушевлением, которое испытывают в процессе социалистической стройки десятки миллионов трудящихся. Интервенты пытаются уничтожить нарождающуюся культуру и навязать массам вместо той свободной работы, которую они ведут, тяжелую работу на обогащение капиталистов. Всякий разумный человек в СССР, каждый ребенок в советской школе это понимает. Строители социализма готовы защищать дело, которое является делом не только граждан Советского Союза, но и всех, кому дорого строительство новой жизни и культуры.</w:t>
      </w:r>
    </w:p>
    <w:p w14:paraId="120D7B6A" w14:textId="77777777" w:rsidR="00CB0D3A" w:rsidRPr="00507A31" w:rsidRDefault="00CB0D3A" w:rsidP="00507A31">
      <w:pPr>
        <w:pStyle w:val="ae"/>
        <w:spacing w:before="0" w:after="0"/>
        <w:jc w:val="both"/>
        <w:rPr>
          <w:color w:val="000000" w:themeColor="text1"/>
          <w:sz w:val="16"/>
          <w:szCs w:val="16"/>
        </w:rPr>
      </w:pPr>
      <w:r w:rsidRPr="00507A31">
        <w:rPr>
          <w:color w:val="000000" w:themeColor="text1"/>
          <w:sz w:val="16"/>
          <w:szCs w:val="16"/>
        </w:rPr>
        <w:t>С. ШАЦКИЙ.</w:t>
      </w:r>
    </w:p>
    <w:p w14:paraId="2A445BB0" w14:textId="77777777" w:rsidR="00CB0D3A" w:rsidRPr="00507A31" w:rsidRDefault="00CB0D3A" w:rsidP="00507A31">
      <w:pPr>
        <w:pStyle w:val="ae"/>
        <w:spacing w:before="0" w:after="0"/>
        <w:jc w:val="both"/>
        <w:rPr>
          <w:color w:val="000000" w:themeColor="text1"/>
          <w:sz w:val="16"/>
          <w:szCs w:val="16"/>
        </w:rPr>
      </w:pPr>
      <w:r w:rsidRPr="00507A31">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4. С. 10-12. Датируется по времени выхода из печати вып. 4 бюллетеня (ГА РФ. P-5283. On. 1.Д. 139. Л. 92-93,97) (18961).</w:t>
      </w:r>
    </w:p>
    <w:p w14:paraId="1B7E4209" w14:textId="77777777" w:rsidR="00CB0D3A" w:rsidRPr="00507A31" w:rsidRDefault="00CB0D3A" w:rsidP="00507A31">
      <w:pPr>
        <w:jc w:val="both"/>
        <w:rPr>
          <w:color w:val="000000" w:themeColor="text1"/>
          <w:sz w:val="16"/>
          <w:szCs w:val="16"/>
        </w:rPr>
      </w:pPr>
    </w:p>
    <w:p w14:paraId="55B8179A"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26E61F7" w14:textId="77777777" w:rsidR="00537E5F" w:rsidRPr="00507A31" w:rsidRDefault="00537E5F" w:rsidP="00507A31">
      <w:pPr>
        <w:autoSpaceDE w:val="0"/>
        <w:autoSpaceDN w:val="0"/>
        <w:adjustRightInd w:val="0"/>
        <w:jc w:val="both"/>
        <w:rPr>
          <w:iCs/>
          <w:color w:val="000000" w:themeColor="text1"/>
          <w:sz w:val="16"/>
          <w:szCs w:val="16"/>
        </w:rPr>
      </w:pPr>
    </w:p>
    <w:p w14:paraId="2FB0ED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декабря 1930 года Врид. начальника Научно-испытательного института ВВС С.В.И. писал письмо N 29/1876с/мор. начальнику 1-го управления УВВС.</w:t>
      </w:r>
    </w:p>
    <w:p w14:paraId="318A12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январе 1931 года в Севастополь поступят на государственные испытания нижеследующие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94"/>
        <w:gridCol w:w="894"/>
        <w:gridCol w:w="894"/>
        <w:gridCol w:w="1570"/>
        <w:gridCol w:w="1559"/>
        <w:gridCol w:w="2550"/>
      </w:tblGrid>
      <w:tr w:rsidR="00E371BA" w:rsidRPr="00507A31" w14:paraId="77FF128B" w14:textId="77777777">
        <w:tc>
          <w:tcPr>
            <w:tcW w:w="2235" w:type="dxa"/>
          </w:tcPr>
          <w:p w14:paraId="1905F3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 самолетов</w:t>
            </w:r>
          </w:p>
        </w:tc>
        <w:tc>
          <w:tcPr>
            <w:tcW w:w="894" w:type="dxa"/>
          </w:tcPr>
          <w:p w14:paraId="146145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габариты в метрах</w:t>
            </w:r>
          </w:p>
        </w:tc>
        <w:tc>
          <w:tcPr>
            <w:tcW w:w="894" w:type="dxa"/>
          </w:tcPr>
          <w:p w14:paraId="72BEC3A6" w14:textId="77777777" w:rsidR="00537E5F" w:rsidRPr="00507A31" w:rsidRDefault="00537E5F" w:rsidP="00507A31">
            <w:pPr>
              <w:autoSpaceDE w:val="0"/>
              <w:autoSpaceDN w:val="0"/>
              <w:adjustRightInd w:val="0"/>
              <w:jc w:val="both"/>
              <w:rPr>
                <w:color w:val="000000" w:themeColor="text1"/>
                <w:sz w:val="16"/>
                <w:szCs w:val="16"/>
              </w:rPr>
            </w:pPr>
          </w:p>
        </w:tc>
        <w:tc>
          <w:tcPr>
            <w:tcW w:w="894" w:type="dxa"/>
          </w:tcPr>
          <w:p w14:paraId="1B64A7C6" w14:textId="77777777" w:rsidR="00537E5F" w:rsidRPr="00507A31" w:rsidRDefault="00537E5F" w:rsidP="00507A31">
            <w:pPr>
              <w:autoSpaceDE w:val="0"/>
              <w:autoSpaceDN w:val="0"/>
              <w:adjustRightInd w:val="0"/>
              <w:jc w:val="both"/>
              <w:rPr>
                <w:color w:val="000000" w:themeColor="text1"/>
                <w:sz w:val="16"/>
                <w:szCs w:val="16"/>
              </w:rPr>
            </w:pPr>
          </w:p>
        </w:tc>
        <w:tc>
          <w:tcPr>
            <w:tcW w:w="1570" w:type="dxa"/>
          </w:tcPr>
          <w:p w14:paraId="7F8523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Прибытие в Севастополь</w:t>
            </w:r>
          </w:p>
        </w:tc>
        <w:tc>
          <w:tcPr>
            <w:tcW w:w="1559" w:type="dxa"/>
          </w:tcPr>
          <w:p w14:paraId="31A19E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Приблизительн. срок окончан.</w:t>
            </w:r>
          </w:p>
        </w:tc>
        <w:tc>
          <w:tcPr>
            <w:tcW w:w="2550" w:type="dxa"/>
          </w:tcPr>
          <w:p w14:paraId="205500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Кол-во полетн. часов на испытан.</w:t>
            </w:r>
          </w:p>
        </w:tc>
      </w:tr>
      <w:tr w:rsidR="00E371BA" w:rsidRPr="00507A31" w14:paraId="59D6B63D" w14:textId="77777777">
        <w:tc>
          <w:tcPr>
            <w:tcW w:w="2235" w:type="dxa"/>
          </w:tcPr>
          <w:p w14:paraId="0F774560" w14:textId="77777777" w:rsidR="00537E5F" w:rsidRPr="00507A31" w:rsidRDefault="00537E5F" w:rsidP="00507A31">
            <w:pPr>
              <w:autoSpaceDE w:val="0"/>
              <w:autoSpaceDN w:val="0"/>
              <w:adjustRightInd w:val="0"/>
              <w:jc w:val="both"/>
              <w:rPr>
                <w:color w:val="000000" w:themeColor="text1"/>
                <w:sz w:val="16"/>
                <w:szCs w:val="16"/>
              </w:rPr>
            </w:pPr>
          </w:p>
        </w:tc>
        <w:tc>
          <w:tcPr>
            <w:tcW w:w="894" w:type="dxa"/>
          </w:tcPr>
          <w:p w14:paraId="6DAD36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размах</w:t>
            </w:r>
          </w:p>
        </w:tc>
        <w:tc>
          <w:tcPr>
            <w:tcW w:w="894" w:type="dxa"/>
          </w:tcPr>
          <w:p w14:paraId="29101F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длина</w:t>
            </w:r>
          </w:p>
        </w:tc>
        <w:tc>
          <w:tcPr>
            <w:tcW w:w="894" w:type="dxa"/>
          </w:tcPr>
          <w:p w14:paraId="6A8B72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высота</w:t>
            </w:r>
          </w:p>
        </w:tc>
        <w:tc>
          <w:tcPr>
            <w:tcW w:w="1570" w:type="dxa"/>
          </w:tcPr>
          <w:p w14:paraId="02B29952" w14:textId="77777777" w:rsidR="00537E5F" w:rsidRPr="00507A31" w:rsidRDefault="00537E5F" w:rsidP="00507A31">
            <w:pPr>
              <w:autoSpaceDE w:val="0"/>
              <w:autoSpaceDN w:val="0"/>
              <w:adjustRightInd w:val="0"/>
              <w:jc w:val="both"/>
              <w:rPr>
                <w:color w:val="000000" w:themeColor="text1"/>
                <w:sz w:val="16"/>
                <w:szCs w:val="16"/>
              </w:rPr>
            </w:pPr>
          </w:p>
        </w:tc>
        <w:tc>
          <w:tcPr>
            <w:tcW w:w="1559" w:type="dxa"/>
          </w:tcPr>
          <w:p w14:paraId="18B095B7" w14:textId="77777777" w:rsidR="00537E5F" w:rsidRPr="00507A31" w:rsidRDefault="00537E5F" w:rsidP="00507A31">
            <w:pPr>
              <w:autoSpaceDE w:val="0"/>
              <w:autoSpaceDN w:val="0"/>
              <w:adjustRightInd w:val="0"/>
              <w:jc w:val="both"/>
              <w:rPr>
                <w:color w:val="000000" w:themeColor="text1"/>
                <w:sz w:val="16"/>
                <w:szCs w:val="16"/>
              </w:rPr>
            </w:pPr>
          </w:p>
        </w:tc>
        <w:tc>
          <w:tcPr>
            <w:tcW w:w="2550" w:type="dxa"/>
          </w:tcPr>
          <w:p w14:paraId="496C466E"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EE766F2" w14:textId="77777777">
        <w:tc>
          <w:tcPr>
            <w:tcW w:w="2235" w:type="dxa"/>
          </w:tcPr>
          <w:p w14:paraId="1D1A18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МДР-2 с 2 БМВ-6</w:t>
            </w:r>
          </w:p>
        </w:tc>
        <w:tc>
          <w:tcPr>
            <w:tcW w:w="894" w:type="dxa"/>
          </w:tcPr>
          <w:p w14:paraId="0D2CC3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27,7</w:t>
            </w:r>
          </w:p>
        </w:tc>
        <w:tc>
          <w:tcPr>
            <w:tcW w:w="894" w:type="dxa"/>
          </w:tcPr>
          <w:p w14:paraId="095981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w:t>
            </w:r>
          </w:p>
        </w:tc>
        <w:tc>
          <w:tcPr>
            <w:tcW w:w="894" w:type="dxa"/>
          </w:tcPr>
          <w:p w14:paraId="49D95E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5.5</w:t>
            </w:r>
          </w:p>
        </w:tc>
        <w:tc>
          <w:tcPr>
            <w:tcW w:w="1570" w:type="dxa"/>
          </w:tcPr>
          <w:p w14:paraId="330277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января 31 г.</w:t>
            </w:r>
          </w:p>
        </w:tc>
        <w:tc>
          <w:tcPr>
            <w:tcW w:w="1559" w:type="dxa"/>
          </w:tcPr>
          <w:p w14:paraId="00B7DB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марта</w:t>
            </w:r>
          </w:p>
        </w:tc>
        <w:tc>
          <w:tcPr>
            <w:tcW w:w="2550" w:type="dxa"/>
          </w:tcPr>
          <w:p w14:paraId="28653D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50-60</w:t>
            </w:r>
          </w:p>
        </w:tc>
      </w:tr>
      <w:tr w:rsidR="00E371BA" w:rsidRPr="00507A31" w14:paraId="25AD4B9F" w14:textId="77777777">
        <w:tc>
          <w:tcPr>
            <w:tcW w:w="2235" w:type="dxa"/>
          </w:tcPr>
          <w:p w14:paraId="1E6521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 с 2 БМВ-6</w:t>
            </w:r>
          </w:p>
        </w:tc>
        <w:tc>
          <w:tcPr>
            <w:tcW w:w="894" w:type="dxa"/>
          </w:tcPr>
          <w:p w14:paraId="28B87E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32,4</w:t>
            </w:r>
          </w:p>
        </w:tc>
        <w:tc>
          <w:tcPr>
            <w:tcW w:w="894" w:type="dxa"/>
          </w:tcPr>
          <w:p w14:paraId="48ECB6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w:t>
            </w:r>
          </w:p>
        </w:tc>
        <w:tc>
          <w:tcPr>
            <w:tcW w:w="894" w:type="dxa"/>
          </w:tcPr>
          <w:p w14:paraId="3C2A0E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6,4</w:t>
            </w:r>
          </w:p>
        </w:tc>
        <w:tc>
          <w:tcPr>
            <w:tcW w:w="1570" w:type="dxa"/>
          </w:tcPr>
          <w:p w14:paraId="3487A3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января 31 г.</w:t>
            </w:r>
          </w:p>
        </w:tc>
        <w:tc>
          <w:tcPr>
            <w:tcW w:w="1559" w:type="dxa"/>
          </w:tcPr>
          <w:p w14:paraId="5285E6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25 марта</w:t>
            </w:r>
          </w:p>
        </w:tc>
        <w:tc>
          <w:tcPr>
            <w:tcW w:w="2550" w:type="dxa"/>
          </w:tcPr>
          <w:p w14:paraId="75D5C9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45-50</w:t>
            </w:r>
          </w:p>
        </w:tc>
      </w:tr>
      <w:tr w:rsidR="00E371BA" w:rsidRPr="00507A31" w14:paraId="709EC856" w14:textId="77777777">
        <w:tc>
          <w:tcPr>
            <w:tcW w:w="2235" w:type="dxa"/>
          </w:tcPr>
          <w:p w14:paraId="043AD8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МТБ-1 на поплавках</w:t>
            </w:r>
          </w:p>
        </w:tc>
        <w:tc>
          <w:tcPr>
            <w:tcW w:w="894" w:type="dxa"/>
          </w:tcPr>
          <w:p w14:paraId="609CC3C2" w14:textId="77777777" w:rsidR="00537E5F" w:rsidRPr="00507A31" w:rsidRDefault="00537E5F" w:rsidP="00507A31">
            <w:pPr>
              <w:autoSpaceDE w:val="0"/>
              <w:autoSpaceDN w:val="0"/>
              <w:adjustRightInd w:val="0"/>
              <w:jc w:val="both"/>
              <w:rPr>
                <w:color w:val="000000" w:themeColor="text1"/>
                <w:sz w:val="16"/>
                <w:szCs w:val="16"/>
              </w:rPr>
            </w:pPr>
          </w:p>
        </w:tc>
        <w:tc>
          <w:tcPr>
            <w:tcW w:w="894" w:type="dxa"/>
          </w:tcPr>
          <w:p w14:paraId="790ED0A6" w14:textId="77777777" w:rsidR="00537E5F" w:rsidRPr="00507A31" w:rsidRDefault="00537E5F" w:rsidP="00507A31">
            <w:pPr>
              <w:autoSpaceDE w:val="0"/>
              <w:autoSpaceDN w:val="0"/>
              <w:adjustRightInd w:val="0"/>
              <w:jc w:val="both"/>
              <w:rPr>
                <w:color w:val="000000" w:themeColor="text1"/>
                <w:sz w:val="16"/>
                <w:szCs w:val="16"/>
              </w:rPr>
            </w:pPr>
          </w:p>
        </w:tc>
        <w:tc>
          <w:tcPr>
            <w:tcW w:w="894" w:type="dxa"/>
          </w:tcPr>
          <w:p w14:paraId="48677514" w14:textId="77777777" w:rsidR="00537E5F" w:rsidRPr="00507A31" w:rsidRDefault="00537E5F" w:rsidP="00507A31">
            <w:pPr>
              <w:autoSpaceDE w:val="0"/>
              <w:autoSpaceDN w:val="0"/>
              <w:adjustRightInd w:val="0"/>
              <w:jc w:val="both"/>
              <w:rPr>
                <w:color w:val="000000" w:themeColor="text1"/>
                <w:sz w:val="16"/>
                <w:szCs w:val="16"/>
              </w:rPr>
            </w:pPr>
          </w:p>
        </w:tc>
        <w:tc>
          <w:tcPr>
            <w:tcW w:w="1570" w:type="dxa"/>
          </w:tcPr>
          <w:p w14:paraId="44035502" w14:textId="77777777" w:rsidR="00537E5F" w:rsidRPr="00507A31" w:rsidRDefault="00537E5F" w:rsidP="00507A31">
            <w:pPr>
              <w:autoSpaceDE w:val="0"/>
              <w:autoSpaceDN w:val="0"/>
              <w:adjustRightInd w:val="0"/>
              <w:jc w:val="both"/>
              <w:rPr>
                <w:color w:val="000000" w:themeColor="text1"/>
                <w:sz w:val="16"/>
                <w:szCs w:val="16"/>
              </w:rPr>
            </w:pPr>
          </w:p>
        </w:tc>
        <w:tc>
          <w:tcPr>
            <w:tcW w:w="1559" w:type="dxa"/>
          </w:tcPr>
          <w:p w14:paraId="4EE11846" w14:textId="77777777" w:rsidR="00537E5F" w:rsidRPr="00507A31" w:rsidRDefault="00537E5F" w:rsidP="00507A31">
            <w:pPr>
              <w:autoSpaceDE w:val="0"/>
              <w:autoSpaceDN w:val="0"/>
              <w:adjustRightInd w:val="0"/>
              <w:jc w:val="both"/>
              <w:rPr>
                <w:color w:val="000000" w:themeColor="text1"/>
                <w:sz w:val="16"/>
                <w:szCs w:val="16"/>
              </w:rPr>
            </w:pPr>
          </w:p>
        </w:tc>
        <w:tc>
          <w:tcPr>
            <w:tcW w:w="2550" w:type="dxa"/>
          </w:tcPr>
          <w:p w14:paraId="2C6D1A8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70550D6" w14:textId="77777777">
        <w:tc>
          <w:tcPr>
            <w:tcW w:w="2235" w:type="dxa"/>
          </w:tcPr>
          <w:p w14:paraId="167886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 БМВ-6</w:t>
            </w:r>
          </w:p>
        </w:tc>
        <w:tc>
          <w:tcPr>
            <w:tcW w:w="894" w:type="dxa"/>
          </w:tcPr>
          <w:p w14:paraId="28D26E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28,7</w:t>
            </w:r>
          </w:p>
        </w:tc>
        <w:tc>
          <w:tcPr>
            <w:tcW w:w="894" w:type="dxa"/>
          </w:tcPr>
          <w:p w14:paraId="2BE39A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w:t>
            </w:r>
          </w:p>
        </w:tc>
        <w:tc>
          <w:tcPr>
            <w:tcW w:w="894" w:type="dxa"/>
          </w:tcPr>
          <w:p w14:paraId="55A161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6,8</w:t>
            </w:r>
          </w:p>
        </w:tc>
        <w:tc>
          <w:tcPr>
            <w:tcW w:w="1570" w:type="dxa"/>
          </w:tcPr>
          <w:p w14:paraId="2B2F7D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февраля 31 г.</w:t>
            </w:r>
          </w:p>
        </w:tc>
        <w:tc>
          <w:tcPr>
            <w:tcW w:w="1559" w:type="dxa"/>
          </w:tcPr>
          <w:p w14:paraId="57E8E2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апреля</w:t>
            </w:r>
          </w:p>
        </w:tc>
        <w:tc>
          <w:tcPr>
            <w:tcW w:w="2550" w:type="dxa"/>
          </w:tcPr>
          <w:p w14:paraId="1C557F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35-40</w:t>
            </w:r>
          </w:p>
        </w:tc>
      </w:tr>
      <w:tr w:rsidR="00E371BA" w:rsidRPr="00507A31" w14:paraId="47EFDFCC" w14:textId="77777777">
        <w:tc>
          <w:tcPr>
            <w:tcW w:w="2235" w:type="dxa"/>
          </w:tcPr>
          <w:p w14:paraId="41FAE0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Итого:</w:t>
            </w:r>
          </w:p>
        </w:tc>
        <w:tc>
          <w:tcPr>
            <w:tcW w:w="894" w:type="dxa"/>
          </w:tcPr>
          <w:p w14:paraId="5095E2B6" w14:textId="77777777" w:rsidR="00537E5F" w:rsidRPr="00507A31" w:rsidRDefault="00537E5F" w:rsidP="00507A31">
            <w:pPr>
              <w:autoSpaceDE w:val="0"/>
              <w:autoSpaceDN w:val="0"/>
              <w:adjustRightInd w:val="0"/>
              <w:jc w:val="both"/>
              <w:rPr>
                <w:color w:val="000000" w:themeColor="text1"/>
                <w:sz w:val="16"/>
                <w:szCs w:val="16"/>
              </w:rPr>
            </w:pPr>
          </w:p>
        </w:tc>
        <w:tc>
          <w:tcPr>
            <w:tcW w:w="894" w:type="dxa"/>
          </w:tcPr>
          <w:p w14:paraId="21273EAE" w14:textId="77777777" w:rsidR="00537E5F" w:rsidRPr="00507A31" w:rsidRDefault="00537E5F" w:rsidP="00507A31">
            <w:pPr>
              <w:autoSpaceDE w:val="0"/>
              <w:autoSpaceDN w:val="0"/>
              <w:adjustRightInd w:val="0"/>
              <w:jc w:val="both"/>
              <w:rPr>
                <w:color w:val="000000" w:themeColor="text1"/>
                <w:sz w:val="16"/>
                <w:szCs w:val="16"/>
              </w:rPr>
            </w:pPr>
          </w:p>
        </w:tc>
        <w:tc>
          <w:tcPr>
            <w:tcW w:w="894" w:type="dxa"/>
          </w:tcPr>
          <w:p w14:paraId="799C5586" w14:textId="77777777" w:rsidR="00537E5F" w:rsidRPr="00507A31" w:rsidRDefault="00537E5F" w:rsidP="00507A31">
            <w:pPr>
              <w:autoSpaceDE w:val="0"/>
              <w:autoSpaceDN w:val="0"/>
              <w:adjustRightInd w:val="0"/>
              <w:jc w:val="both"/>
              <w:rPr>
                <w:color w:val="000000" w:themeColor="text1"/>
                <w:sz w:val="16"/>
                <w:szCs w:val="16"/>
              </w:rPr>
            </w:pPr>
          </w:p>
        </w:tc>
        <w:tc>
          <w:tcPr>
            <w:tcW w:w="1570" w:type="dxa"/>
          </w:tcPr>
          <w:p w14:paraId="7D89FE58" w14:textId="77777777" w:rsidR="00537E5F" w:rsidRPr="00507A31" w:rsidRDefault="00537E5F" w:rsidP="00507A31">
            <w:pPr>
              <w:autoSpaceDE w:val="0"/>
              <w:autoSpaceDN w:val="0"/>
              <w:adjustRightInd w:val="0"/>
              <w:jc w:val="both"/>
              <w:rPr>
                <w:color w:val="000000" w:themeColor="text1"/>
                <w:sz w:val="16"/>
                <w:szCs w:val="16"/>
              </w:rPr>
            </w:pPr>
          </w:p>
        </w:tc>
        <w:tc>
          <w:tcPr>
            <w:tcW w:w="1559" w:type="dxa"/>
          </w:tcPr>
          <w:p w14:paraId="31EF8229" w14:textId="77777777" w:rsidR="00537E5F" w:rsidRPr="00507A31" w:rsidRDefault="00537E5F" w:rsidP="00507A31">
            <w:pPr>
              <w:autoSpaceDE w:val="0"/>
              <w:autoSpaceDN w:val="0"/>
              <w:adjustRightInd w:val="0"/>
              <w:jc w:val="both"/>
              <w:rPr>
                <w:color w:val="000000" w:themeColor="text1"/>
                <w:sz w:val="16"/>
                <w:szCs w:val="16"/>
              </w:rPr>
            </w:pPr>
          </w:p>
        </w:tc>
        <w:tc>
          <w:tcPr>
            <w:tcW w:w="2550" w:type="dxa"/>
          </w:tcPr>
          <w:p w14:paraId="4C6133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130-150</w:t>
            </w:r>
          </w:p>
        </w:tc>
      </w:tr>
    </w:tbl>
    <w:p w14:paraId="586974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будет проводить 2-й отдел НИИ. (2979,4).</w:t>
      </w:r>
    </w:p>
    <w:p w14:paraId="60B267DC" w14:textId="77777777" w:rsidR="00537E5F" w:rsidRPr="00507A31" w:rsidRDefault="00537E5F" w:rsidP="00507A31">
      <w:pPr>
        <w:autoSpaceDE w:val="0"/>
        <w:autoSpaceDN w:val="0"/>
        <w:adjustRightInd w:val="0"/>
        <w:jc w:val="both"/>
        <w:rPr>
          <w:color w:val="000000" w:themeColor="text1"/>
          <w:sz w:val="16"/>
          <w:szCs w:val="16"/>
        </w:rPr>
      </w:pPr>
    </w:p>
    <w:p w14:paraId="374754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декабря 1930 Нач. Адм.-Фин. части завода ГРОС Э.Б.Шабшаевич и Нач. отдела кадров писали письмо N 177с Зам. Нач. ВАО Харламову о том, что в связи с выделением опытного самолетостроения ГРОС в самостоятельную производственную единицу, Гросс необходимо 200 раб. (2375,43).</w:t>
      </w:r>
    </w:p>
    <w:p w14:paraId="4673AE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 связи с выделением Опытного самолетостроения ГРОС в самостоятельную производственную единицу, заводу ГРОС необходимо, кроме выделенных рабочих с ХАЗ еще 200 человек рабочих разных специальностей.</w:t>
      </w:r>
    </w:p>
    <w:p w14:paraId="5EED46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Харьковским Авиозаводом дан наряд МПУ Наркомвоенмора через управлензе кадров на 650 рабочих военных производственников, имелось в виду и на пополнение ребсилы для выполнения программы Опытного Самолетостроения ГРОС.</w:t>
      </w:r>
    </w:p>
    <w:p w14:paraId="4FC482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основании раз"яснения Нач.П-го отдела штаба ВВС о том, что из этого количества 530 рабочих, данных для наппавления в ХАЗ, не может быть направлено в завод ГРОС на один рабочий, военный производственник, без особого ка это разрешения МПУ НАРКОМВОЕНМОРА, ХАЗ и ГРОС просит В/срочных распоряжений П-у отделу штаба УВС о выделении 200 человек рабочих, военных производственников из наряда на 650 человек, данных ХАЗу.</w:t>
      </w:r>
    </w:p>
    <w:p w14:paraId="40D5DA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 Вашем решении по данному вопросу, просим нас срочно известить (2375,43).</w:t>
      </w:r>
    </w:p>
    <w:p w14:paraId="6719F457" w14:textId="77777777" w:rsidR="00537E5F" w:rsidRPr="00507A31" w:rsidRDefault="00537E5F" w:rsidP="00507A31">
      <w:pPr>
        <w:autoSpaceDE w:val="0"/>
        <w:autoSpaceDN w:val="0"/>
        <w:adjustRightInd w:val="0"/>
        <w:jc w:val="both"/>
        <w:rPr>
          <w:color w:val="000000" w:themeColor="text1"/>
          <w:sz w:val="16"/>
          <w:szCs w:val="16"/>
        </w:rPr>
      </w:pPr>
    </w:p>
    <w:p w14:paraId="69BF97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декабря 1930 году опубликовано решение правительства о строительстве в Новосибирске завода горного оборудования во втором квартале 1931 года. Пуск первой очереди предусматривался в 1933 году. В начале 1931 года завод называют ударным объектом. Местные газеты запестрели крупными объявлениями о наборе рабочих на стройку. Из окрестных деревень съезжались в город парни и девушки, сюда ехали и демобилизованные воины. На страницах газет развернулось народное обсуждение перспектив развития будущего завода, который по проекту должен выпускать ежегодно 1500 врубовых машин, 1350 лебедок, подъемные машины, конвейеры, вагонетки, оборудование для обогащения и сортировки угля. Будущий завод № 153 (10764).</w:t>
      </w:r>
    </w:p>
    <w:p w14:paraId="76231668" w14:textId="77777777" w:rsidR="00537E5F" w:rsidRPr="00507A31" w:rsidRDefault="00537E5F" w:rsidP="00507A31">
      <w:pPr>
        <w:autoSpaceDE w:val="0"/>
        <w:autoSpaceDN w:val="0"/>
        <w:adjustRightInd w:val="0"/>
        <w:jc w:val="both"/>
        <w:rPr>
          <w:color w:val="000000" w:themeColor="text1"/>
          <w:sz w:val="16"/>
          <w:szCs w:val="16"/>
        </w:rPr>
      </w:pPr>
    </w:p>
    <w:p w14:paraId="3B1F93FC" w14:textId="77777777" w:rsidR="00B85E59"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457CFC4B" w14:textId="77777777" w:rsidR="00B85E59" w:rsidRPr="00507A31" w:rsidRDefault="00B85E59" w:rsidP="00507A31">
      <w:pPr>
        <w:autoSpaceDE w:val="0"/>
        <w:autoSpaceDN w:val="0"/>
        <w:adjustRightInd w:val="0"/>
        <w:jc w:val="both"/>
        <w:rPr>
          <w:iCs/>
          <w:color w:val="000000" w:themeColor="text1"/>
          <w:sz w:val="16"/>
          <w:szCs w:val="16"/>
        </w:rPr>
      </w:pPr>
    </w:p>
    <w:p w14:paraId="66E7A99A" w14:textId="77777777" w:rsidR="00B85E59" w:rsidRPr="00507A31" w:rsidRDefault="00B85E59" w:rsidP="00507A31">
      <w:pPr>
        <w:jc w:val="both"/>
        <w:rPr>
          <w:color w:val="000000" w:themeColor="text1"/>
          <w:sz w:val="16"/>
          <w:szCs w:val="16"/>
          <w:u w:color="002060"/>
        </w:rPr>
      </w:pPr>
      <w:r w:rsidRPr="00507A31">
        <w:rPr>
          <w:color w:val="000000" w:themeColor="text1"/>
          <w:sz w:val="16"/>
          <w:szCs w:val="16"/>
          <w:u w:color="002060"/>
        </w:rPr>
        <w:t>27 декабря</w:t>
      </w:r>
      <w:r w:rsidRPr="00507A31">
        <w:rPr>
          <w:color w:val="000000" w:themeColor="text1"/>
          <w:sz w:val="16"/>
          <w:szCs w:val="16"/>
        </w:rPr>
        <w:t xml:space="preserve"> 1930 г</w:t>
      </w:r>
      <w:r w:rsidRPr="00507A31">
        <w:rPr>
          <w:color w:val="000000" w:themeColor="text1"/>
          <w:sz w:val="16"/>
          <w:szCs w:val="16"/>
          <w:u w:color="002060"/>
        </w:rPr>
        <w:t>. Постановление СТО СССР № 137с о внедрении активированного угля в потреблении мирного времени (ГА РФ. Ф. Р?8418. Оп. 28. Д. 1а. Л. 2?3) (12415).</w:t>
      </w:r>
    </w:p>
    <w:p w14:paraId="60626969" w14:textId="77777777" w:rsidR="00B85E59" w:rsidRPr="00507A31" w:rsidRDefault="00B85E59" w:rsidP="00507A31">
      <w:pPr>
        <w:jc w:val="both"/>
        <w:rPr>
          <w:color w:val="000000" w:themeColor="text1"/>
          <w:sz w:val="16"/>
          <w:szCs w:val="16"/>
          <w:u w:color="002060"/>
        </w:rPr>
      </w:pPr>
      <w:r w:rsidRPr="00507A31">
        <w:rPr>
          <w:color w:val="000000" w:themeColor="text1"/>
          <w:sz w:val="16"/>
          <w:szCs w:val="16"/>
          <w:u w:color="002060"/>
        </w:rPr>
        <w:t>Постановление СТО СССР № 138с о дополнительном ассигновании в особом квартале 1930 г. «Вохимтресту» 3,1 млн. руб. и Оружобъединению 4 млн. руб. (ГА РФ. Ф. Р?8418. Оп. 28. Д. 1а. Л. 4) (12415).</w:t>
      </w:r>
    </w:p>
    <w:p w14:paraId="3A72D3A3" w14:textId="77777777" w:rsidR="00B85E59" w:rsidRPr="00507A31" w:rsidRDefault="00B85E59" w:rsidP="00507A31">
      <w:pPr>
        <w:jc w:val="both"/>
        <w:rPr>
          <w:color w:val="000000" w:themeColor="text1"/>
          <w:sz w:val="16"/>
          <w:szCs w:val="16"/>
          <w:u w:color="002060"/>
        </w:rPr>
      </w:pPr>
    </w:p>
    <w:p w14:paraId="622DDCAB" w14:textId="77777777" w:rsidR="00B85E59" w:rsidRPr="00507A31" w:rsidRDefault="00B85E59" w:rsidP="00507A31">
      <w:pPr>
        <w:jc w:val="both"/>
        <w:rPr>
          <w:color w:val="000000" w:themeColor="text1"/>
          <w:sz w:val="16"/>
          <w:szCs w:val="16"/>
        </w:rPr>
      </w:pPr>
      <w:r w:rsidRPr="00507A31">
        <w:rPr>
          <w:rStyle w:val="a7"/>
          <w:b w:val="0"/>
          <w:color w:val="000000" w:themeColor="text1"/>
          <w:sz w:val="16"/>
          <w:szCs w:val="16"/>
        </w:rPr>
        <w:t xml:space="preserve">27 декабря 1930 </w:t>
      </w:r>
      <w:r w:rsidRPr="00507A31">
        <w:rPr>
          <w:color w:val="000000" w:themeColor="text1"/>
          <w:sz w:val="16"/>
          <w:szCs w:val="16"/>
        </w:rPr>
        <w:t>Политбюро ЦК ВКП (б) предложило ВСНХ срочно разместить заказы на производство цистерн и запасных частей для паровозов (12265).</w:t>
      </w:r>
    </w:p>
    <w:p w14:paraId="14777EC4" w14:textId="77777777" w:rsidR="00B85E59" w:rsidRPr="00507A31" w:rsidRDefault="00B85E59" w:rsidP="00507A31">
      <w:pPr>
        <w:jc w:val="both"/>
        <w:rPr>
          <w:color w:val="000000" w:themeColor="text1"/>
          <w:sz w:val="16"/>
          <w:szCs w:val="16"/>
        </w:rPr>
      </w:pPr>
      <w:r w:rsidRPr="00507A31">
        <w:rPr>
          <w:color w:val="000000" w:themeColor="text1"/>
          <w:sz w:val="16"/>
          <w:szCs w:val="16"/>
        </w:rPr>
        <w:t>СНК принял постановление «Об организации концессионного дела» (12265).</w:t>
      </w:r>
    </w:p>
    <w:p w14:paraId="4746D53B" w14:textId="77777777" w:rsidR="00B85E59" w:rsidRPr="00507A31" w:rsidRDefault="00B85E59" w:rsidP="00507A31">
      <w:pPr>
        <w:jc w:val="both"/>
        <w:rPr>
          <w:color w:val="000000" w:themeColor="text1"/>
          <w:sz w:val="16"/>
          <w:szCs w:val="16"/>
        </w:rPr>
      </w:pPr>
      <w:r w:rsidRPr="00507A31">
        <w:rPr>
          <w:color w:val="000000" w:themeColor="text1"/>
          <w:sz w:val="16"/>
          <w:szCs w:val="16"/>
        </w:rPr>
        <w:t> </w:t>
      </w:r>
    </w:p>
    <w:p w14:paraId="036F22D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9981C85" w14:textId="77777777" w:rsidR="00537E5F" w:rsidRPr="00507A31" w:rsidRDefault="00537E5F" w:rsidP="00507A31">
      <w:pPr>
        <w:autoSpaceDE w:val="0"/>
        <w:autoSpaceDN w:val="0"/>
        <w:adjustRightInd w:val="0"/>
        <w:jc w:val="both"/>
        <w:rPr>
          <w:iCs/>
          <w:color w:val="000000" w:themeColor="text1"/>
          <w:sz w:val="16"/>
          <w:szCs w:val="16"/>
        </w:rPr>
      </w:pPr>
    </w:p>
    <w:p w14:paraId="3B8AFDAC"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29 декабря 1930 </w:t>
      </w:r>
    </w:p>
    <w:p w14:paraId="5E3283C7" w14:textId="77777777" w:rsidR="00D962DB" w:rsidRPr="00507A31" w:rsidRDefault="00D962DB" w:rsidP="00507A31">
      <w:pPr>
        <w:jc w:val="both"/>
        <w:rPr>
          <w:color w:val="000000" w:themeColor="text1"/>
          <w:sz w:val="16"/>
          <w:szCs w:val="16"/>
        </w:rPr>
      </w:pPr>
      <w:r w:rsidRPr="00507A31">
        <w:rPr>
          <w:bCs/>
          <w:iCs/>
          <w:color w:val="000000" w:themeColor="text1"/>
          <w:sz w:val="16"/>
          <w:szCs w:val="16"/>
        </w:rPr>
        <w:t>РГВА Фонд 31811 Опись 2 Дело 82 лист 29</w:t>
      </w:r>
      <w:r w:rsidRPr="00507A31">
        <w:rPr>
          <w:color w:val="000000" w:themeColor="text1"/>
          <w:sz w:val="16"/>
          <w:szCs w:val="16"/>
        </w:rPr>
        <w:t xml:space="preserve"> </w:t>
      </w:r>
    </w:p>
    <w:p w14:paraId="52F65065"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Секретно. </w:t>
      </w:r>
    </w:p>
    <w:p w14:paraId="4E770A22"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Экз. № 1 </w:t>
      </w:r>
    </w:p>
    <w:p w14:paraId="47CC9337"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29 декабря 1930 г. </w:t>
      </w:r>
    </w:p>
    <w:p w14:paraId="0E388F28"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 208/2544/с </w:t>
      </w:r>
    </w:p>
    <w:p w14:paraId="2AD8B3C5" w14:textId="77777777" w:rsidR="00D962DB" w:rsidRPr="00507A31" w:rsidRDefault="00D962DB" w:rsidP="00507A31">
      <w:pPr>
        <w:jc w:val="both"/>
        <w:rPr>
          <w:color w:val="000000" w:themeColor="text1"/>
          <w:sz w:val="16"/>
          <w:szCs w:val="16"/>
        </w:rPr>
      </w:pPr>
      <w:r w:rsidRPr="00507A31">
        <w:rPr>
          <w:color w:val="000000" w:themeColor="text1"/>
          <w:sz w:val="16"/>
          <w:szCs w:val="16"/>
        </w:rPr>
        <w:t>НАЧАЛЬНИКУ УПРАВЛЕНИЯ МЕХАНИЗАЦИИ И МОТОРИЗАЦИИ</w:t>
      </w:r>
    </w:p>
    <w:p w14:paraId="567555EC"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Амторг сообщает, что две машины Кристи и чертежи Техпомощи 28 декабря отгружаются на пароход. В основном номенклатура и спецификация выполнена и большего получить сейчас от Кристи нельзя. Получена скидка с суммы заказа в 25.000 дол. </w:t>
      </w:r>
    </w:p>
    <w:p w14:paraId="6E6E11E7"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Подробный доклад привезет Тоскин, выезжающий в Москву в январе после объезда тракторных заводов. </w:t>
      </w:r>
    </w:p>
    <w:p w14:paraId="0FB1BC96" w14:textId="77777777" w:rsidR="00D962DB" w:rsidRPr="00507A31" w:rsidRDefault="00D962DB" w:rsidP="00507A31">
      <w:pPr>
        <w:jc w:val="both"/>
        <w:rPr>
          <w:color w:val="000000" w:themeColor="text1"/>
          <w:sz w:val="16"/>
          <w:szCs w:val="16"/>
        </w:rPr>
      </w:pPr>
      <w:r w:rsidRPr="00507A31">
        <w:rPr>
          <w:color w:val="000000" w:themeColor="text1"/>
          <w:sz w:val="16"/>
          <w:szCs w:val="16"/>
        </w:rPr>
        <w:t>УПОЛНОМОЧЕННЫЙ НКВМ при НКТорге СССР подпись (Гиттис)</w:t>
      </w:r>
    </w:p>
    <w:p w14:paraId="309C8F19" w14:textId="77777777" w:rsidR="00D962DB" w:rsidRPr="00507A31" w:rsidRDefault="00D962DB" w:rsidP="00507A31">
      <w:pPr>
        <w:jc w:val="both"/>
        <w:rPr>
          <w:color w:val="000000" w:themeColor="text1"/>
          <w:sz w:val="16"/>
          <w:szCs w:val="16"/>
        </w:rPr>
      </w:pPr>
      <w:r w:rsidRPr="00507A31">
        <w:rPr>
          <w:color w:val="000000" w:themeColor="text1"/>
          <w:sz w:val="16"/>
          <w:szCs w:val="16"/>
        </w:rPr>
        <w:t>КОНСУЛЬТАНТ подпись (Нелидов)</w:t>
      </w:r>
    </w:p>
    <w:p w14:paraId="012A8C4D"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Отпеч. 2 экз. </w:t>
      </w:r>
    </w:p>
    <w:p w14:paraId="58550DC2"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 1 – Нач. УММ </w:t>
      </w:r>
    </w:p>
    <w:p w14:paraId="51FDB6A0" w14:textId="77777777" w:rsidR="00D962DB" w:rsidRPr="00507A31" w:rsidRDefault="00D962DB" w:rsidP="00507A31">
      <w:pPr>
        <w:jc w:val="both"/>
        <w:rPr>
          <w:color w:val="000000" w:themeColor="text1"/>
          <w:sz w:val="16"/>
          <w:szCs w:val="16"/>
        </w:rPr>
      </w:pPr>
      <w:r w:rsidRPr="00507A31">
        <w:rPr>
          <w:color w:val="000000" w:themeColor="text1"/>
          <w:sz w:val="16"/>
          <w:szCs w:val="16"/>
        </w:rPr>
        <w:t>№ 2 – в дело (19763).</w:t>
      </w:r>
    </w:p>
    <w:p w14:paraId="0D53F3B1" w14:textId="77777777" w:rsidR="00D962DB" w:rsidRPr="00507A31" w:rsidRDefault="00D962DB" w:rsidP="00507A31">
      <w:pPr>
        <w:jc w:val="both"/>
        <w:rPr>
          <w:color w:val="000000" w:themeColor="text1"/>
          <w:sz w:val="16"/>
          <w:szCs w:val="16"/>
        </w:rPr>
      </w:pPr>
    </w:p>
    <w:p w14:paraId="68B87F6D" w14:textId="77777777" w:rsidR="00D962DB" w:rsidRPr="00507A31" w:rsidRDefault="00D962DB" w:rsidP="00507A31">
      <w:pPr>
        <w:jc w:val="both"/>
        <w:rPr>
          <w:color w:val="000000" w:themeColor="text1"/>
          <w:sz w:val="16"/>
          <w:szCs w:val="16"/>
        </w:rPr>
      </w:pPr>
      <w:r w:rsidRPr="00507A31">
        <w:rPr>
          <w:color w:val="000000" w:themeColor="text1"/>
          <w:sz w:val="16"/>
          <w:szCs w:val="16"/>
        </w:rPr>
        <w:t>29 декабря 1930 г. советские специалисты, которые выехали в Италию 15 сентября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08FD664C" w14:textId="77777777" w:rsidR="00D962DB" w:rsidRPr="00507A31" w:rsidRDefault="00D962DB" w:rsidP="00507A31">
      <w:pPr>
        <w:jc w:val="both"/>
        <w:rPr>
          <w:color w:val="000000" w:themeColor="text1"/>
          <w:sz w:val="16"/>
          <w:szCs w:val="16"/>
        </w:rPr>
      </w:pPr>
      <w:r w:rsidRPr="00507A31">
        <w:rPr>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 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(18258).</w:t>
      </w:r>
    </w:p>
    <w:p w14:paraId="7C4A2216" w14:textId="77777777" w:rsidR="00D962DB" w:rsidRPr="00507A31" w:rsidRDefault="00D962DB" w:rsidP="00507A31">
      <w:pPr>
        <w:jc w:val="both"/>
        <w:rPr>
          <w:color w:val="000000" w:themeColor="text1"/>
          <w:sz w:val="16"/>
          <w:szCs w:val="16"/>
        </w:rPr>
      </w:pPr>
    </w:p>
    <w:p w14:paraId="430A93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декабря 1930 г. приказом правления Всесоюзного объединения морских за</w:t>
      </w:r>
      <w:r w:rsidRPr="00507A31">
        <w:rPr>
          <w:color w:val="000000" w:themeColor="text1"/>
          <w:sz w:val="16"/>
          <w:szCs w:val="16"/>
        </w:rPr>
        <w:softHyphen/>
        <w:t>водов и верфей № 429 на базе отдела по про</w:t>
      </w:r>
      <w:r w:rsidRPr="00507A31">
        <w:rPr>
          <w:color w:val="000000" w:themeColor="text1"/>
          <w:sz w:val="16"/>
          <w:szCs w:val="16"/>
        </w:rPr>
        <w:softHyphen/>
        <w:t>ектированию судостроительных заводов и верфей Судопроверфи была создана самостоятельная проектная организация — Проектверфь. Главным инженером Проектверфи тем же приказом был на</w:t>
      </w:r>
      <w:r w:rsidRPr="00507A31">
        <w:rPr>
          <w:color w:val="000000" w:themeColor="text1"/>
          <w:sz w:val="16"/>
          <w:szCs w:val="16"/>
        </w:rPr>
        <w:softHyphen/>
        <w:t>значен известный судостроитель А. И. Балкашин до этого возглав</w:t>
      </w:r>
      <w:r w:rsidRPr="00507A31">
        <w:rPr>
          <w:color w:val="000000" w:themeColor="text1"/>
          <w:sz w:val="16"/>
          <w:szCs w:val="16"/>
        </w:rPr>
        <w:softHyphen/>
        <w:t>лявший проектный отдел Гипромеза-Гипромаша. Практически одновременно в Москве была создана аналогич</w:t>
      </w:r>
      <w:r w:rsidRPr="00507A31">
        <w:rPr>
          <w:color w:val="000000" w:themeColor="text1"/>
          <w:sz w:val="16"/>
          <w:szCs w:val="16"/>
        </w:rPr>
        <w:softHyphen/>
        <w:t>ная организация по проектированию заводов и верфей речного су</w:t>
      </w:r>
      <w:r w:rsidRPr="00507A31">
        <w:rPr>
          <w:color w:val="000000" w:themeColor="text1"/>
          <w:sz w:val="16"/>
          <w:szCs w:val="16"/>
        </w:rPr>
        <w:softHyphen/>
        <w:t>достроения — Гипроверфь, которая вошла в систему Речсоюзвер-фи В 1933 г. приказом Речсоюзверфи от 3 мая № 87 Гипроверфь была передана в состав Союзверфи на правах Московского отделе</w:t>
      </w:r>
      <w:r w:rsidRPr="00507A31">
        <w:rPr>
          <w:color w:val="000000" w:themeColor="text1"/>
          <w:sz w:val="16"/>
          <w:szCs w:val="16"/>
        </w:rPr>
        <w:softHyphen/>
        <w:t>ния Проектверфи (3898).</w:t>
      </w:r>
    </w:p>
    <w:p w14:paraId="07D65DAD" w14:textId="77777777" w:rsidR="00537E5F" w:rsidRPr="00507A31" w:rsidRDefault="00537E5F" w:rsidP="00507A31">
      <w:pPr>
        <w:autoSpaceDE w:val="0"/>
        <w:autoSpaceDN w:val="0"/>
        <w:adjustRightInd w:val="0"/>
        <w:jc w:val="both"/>
        <w:rPr>
          <w:color w:val="000000" w:themeColor="text1"/>
          <w:sz w:val="16"/>
          <w:szCs w:val="16"/>
        </w:rPr>
      </w:pPr>
    </w:p>
    <w:p w14:paraId="45D45C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 декабря 1930 г. вышел приказ «Союзверфи» № 429, в соответствии с которым 1 января 1931 г. на базе отдела по проектированию судостроительных заводов и верфей «Судопроверфи» был создан ВО «Проектверфь» для проектирования реконструкции верфей. Затем - проектирование судостроительных заводов и верфей. Приказом НКТП № 746 от 31.05.1934г. утвержден Устав предприятия. По пр. НКОП № 011с от 28.01.1937г. «Проектверфь» переименована во 2-й ГПИ (2-й Государственный проектный институт (ГПИ-2) НКОП, НКСП, МСП, Всесоюзное объединение «Проектверфь» НКТП, ГСПИ «Союзпроектверфь», Проектная фирма (ПФ) «Союзпроектверфь» /г. Ленинград; г. Омск; г. Ленинград/), пр. № 271 от 3.08.1937г. утвержден новый Устав института. В 02.1939г. ГСПИ-2 2ГУ НКОП передан в ведение 1ГУ НКСП.</w:t>
      </w:r>
    </w:p>
    <w:p w14:paraId="7EF39C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«Речсоюзверфи» № 87 от 3.05.1933г. Гипроверфь преобразована в Московское отделение Проектверфи в ведении «Союзверфи».</w:t>
      </w:r>
    </w:p>
    <w:p w14:paraId="62CE9E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1931 г. велось проектирование Амурского судостроительного завода, его генплан</w:t>
      </w:r>
      <w:r w:rsidRPr="00507A31">
        <w:rPr>
          <w:color w:val="000000" w:themeColor="text1"/>
          <w:sz w:val="16"/>
          <w:szCs w:val="16"/>
          <w:vertAlign w:val="superscript"/>
        </w:rPr>
        <w:t>4</w:t>
      </w:r>
      <w:r w:rsidRPr="00507A31">
        <w:rPr>
          <w:color w:val="000000" w:themeColor="text1"/>
          <w:sz w:val="16"/>
          <w:szCs w:val="16"/>
        </w:rPr>
        <w:t xml:space="preserve"> необходимо было разработать к 13.04.1931 г. Генплан завода был разработан В.П. Костенко, он же разработал проект стапеля «0» для завода № 198, построенный к 1938г. С 1935г. институт приступил к проектированию новых опытовых бассейнов. В 04.1937г. разработан «Организационный план морской судостроительной промышленности на 1937- 43г.». По пр. НКОП № 0209 от 20.09.1937г. институту поручено рабочее проектирование завода № 402 НКОП, на площадке строительства завода организован филиал института. В 1940 г. разработаны комплексные проектные задания: на строительство трех судоремонтных баз ВМФ; судостроительно-судоремонтного завода ГУСМП в районе пролива Югорский Шар с наливной док-камерой, спроектированной впервые в мире. В, связи с начавшейся войной проекты не были осуществлены.</w:t>
      </w:r>
    </w:p>
    <w:p w14:paraId="2BA42F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376с от 27.09.1938г. институту требовалось к 3.10.1938г. перепроектировать подводную часть нового стапеля завода № 189.</w:t>
      </w:r>
    </w:p>
    <w:p w14:paraId="54D083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99сс от 11.07.1941 г. ГПИ-2 НКСП был эвакуирован в Омск в помещения Автодорожного института. В 1941 г. разработан проект крупносерийного производства деревянных боевых катеров для завода № 640. В 1944г. институт реэвакуирован в Ленинград. В 06.1944г. в Николаеве создана группа проектировщиков для восстановления местных заводов, в 1945г. на ее базе создан Николаевский филиал ГСПИ-2.</w:t>
      </w:r>
    </w:p>
    <w:p w14:paraId="5E423F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1955г. назывался ГСПИ-2, в 1959г. - ГСПИ «Союзпроектверфь». В 2001 г. - ПФ «Союзпроектверфь», в 2006г. входил в состав ЦНИИТС.</w:t>
      </w:r>
    </w:p>
    <w:p w14:paraId="2E90E7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После войны разработаны проекты восстановления николаевских ССЗ: № 444 и № 445, проект нового завода № 872. В 1955-61 г. спроектирован ССЗ в Хулудао, в 1959г. - Бохайский ССЗ (Китай); в 1962-64г. - завод промыслового судостроения в Бургасе (Болгария). С 1965г. проектировался (совместно с ЦНИИ-138) ССЗ в Висакхапатнаме (Индия). Проекты: реконструкции: стендового комплекса НИИ «Мортеплотехника», гальванического производства ФГУП «Электроприбор», производства ФГУП ОКБМ для выпуска парогенераторов КТП-6; строительства: цеха окраски СРЗ «Нерпа», блока цехов Царскосельского завода «София»; пункт долговременного хранения реакторных отсеков (РО) в губе Сайда, площадки временного хранения РО; ПО «Севмаш»: специализированные производства комплектующих для АПЛ, устройство средней стапельной линии Южного дока цеха № 50, магнитоизмерительный стенд. В 1988г. утвержден проект строительства </w:t>
      </w:r>
      <w:r w:rsidRPr="00507A31">
        <w:rPr>
          <w:color w:val="000000" w:themeColor="text1"/>
          <w:sz w:val="16"/>
          <w:szCs w:val="16"/>
        </w:rPr>
        <w:lastRenderedPageBreak/>
        <w:t>завода «Прибой» (г. Советская Гавань). В 06.2006г. разработан проект реконструкции Северной верфи, включающий перевод на ее площадку мощностей Балтийского завода.</w:t>
      </w:r>
    </w:p>
    <w:p w14:paraId="080446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Управляющий (-1931 г.)- Н.Г. Оксман, (1936г.)- Т.В. Сафронов. Начальник (-7.09.1937г.)- Т.В. Сафронов, (7.09.1937-09.1938г.-)- А.С. Южаков, (1940-е)- В.П. Костенко. Директор (10.2001 г.)- С.П. Наседкин.</w:t>
      </w:r>
    </w:p>
    <w:p w14:paraId="270655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(18.06.1941 г.-)- В.П. Костенко.</w:t>
      </w:r>
    </w:p>
    <w:p w14:paraId="39160D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(29.12.1930-31 г.)- А.И. Балкашин, (1.09.1931-25.02.1941; 1950-56г.)- В.П. Костенко (арестован),</w:t>
      </w:r>
      <w:r w:rsidRPr="00507A31">
        <w:rPr>
          <w:color w:val="000000" w:themeColor="text1"/>
          <w:sz w:val="16"/>
          <w:szCs w:val="16"/>
          <w:vertAlign w:val="superscript"/>
        </w:rPr>
        <w:t xml:space="preserve">61 </w:t>
      </w:r>
      <w:r w:rsidRPr="00507A31">
        <w:rPr>
          <w:color w:val="000000" w:themeColor="text1"/>
          <w:sz w:val="16"/>
          <w:szCs w:val="16"/>
        </w:rPr>
        <w:t>А. А. Борисов, (-2006-07г.-)-Р. Нихенбаум.</w:t>
      </w:r>
    </w:p>
    <w:p w14:paraId="1E1E84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технолог по судостроению (1.10.1953-56г.)- В.П. Костенко.</w:t>
      </w:r>
    </w:p>
    <w:p w14:paraId="13DB16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инженеры проекта: (1936г.)- А.А. Борисов (завод № 402).</w:t>
      </w:r>
    </w:p>
    <w:p w14:paraId="5703C9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секторов: механического (1938г.)- Критский.</w:t>
      </w:r>
      <w:r w:rsidRPr="00507A31">
        <w:rPr>
          <w:color w:val="000000" w:themeColor="text1"/>
          <w:sz w:val="16"/>
          <w:szCs w:val="16"/>
          <w:vertAlign w:val="superscript"/>
        </w:rPr>
        <w:t>139</w:t>
      </w:r>
      <w:r w:rsidRPr="00507A31">
        <w:rPr>
          <w:color w:val="000000" w:themeColor="text1"/>
          <w:sz w:val="16"/>
          <w:szCs w:val="16"/>
        </w:rPr>
        <w:t xml:space="preserve"> (11982).</w:t>
      </w:r>
    </w:p>
    <w:p w14:paraId="475A8964" w14:textId="77777777" w:rsidR="00537E5F" w:rsidRPr="00507A31" w:rsidRDefault="00537E5F" w:rsidP="00507A31">
      <w:pPr>
        <w:autoSpaceDE w:val="0"/>
        <w:autoSpaceDN w:val="0"/>
        <w:adjustRightInd w:val="0"/>
        <w:jc w:val="both"/>
        <w:rPr>
          <w:color w:val="000000" w:themeColor="text1"/>
          <w:sz w:val="16"/>
          <w:szCs w:val="16"/>
        </w:rPr>
      </w:pPr>
    </w:p>
    <w:p w14:paraId="775596BE" w14:textId="77777777" w:rsidR="00D962DB" w:rsidRPr="00507A31" w:rsidRDefault="00D962DB"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2984F9ED" w14:textId="77777777" w:rsidR="00D962DB" w:rsidRPr="00507A31" w:rsidRDefault="00D962DB" w:rsidP="00507A31">
      <w:pPr>
        <w:autoSpaceDE w:val="0"/>
        <w:autoSpaceDN w:val="0"/>
        <w:adjustRightInd w:val="0"/>
        <w:jc w:val="both"/>
        <w:rPr>
          <w:iCs/>
          <w:color w:val="000000" w:themeColor="text1"/>
          <w:sz w:val="16"/>
          <w:szCs w:val="16"/>
        </w:rPr>
      </w:pPr>
    </w:p>
    <w:p w14:paraId="6D74B929" w14:textId="77777777" w:rsidR="00D962DB" w:rsidRPr="00507A31" w:rsidRDefault="00D962DB" w:rsidP="00507A31">
      <w:pPr>
        <w:jc w:val="both"/>
        <w:rPr>
          <w:bCs/>
          <w:color w:val="000000" w:themeColor="text1"/>
          <w:sz w:val="16"/>
          <w:szCs w:val="16"/>
        </w:rPr>
      </w:pPr>
      <w:r w:rsidRPr="00507A31">
        <w:rPr>
          <w:color w:val="000000" w:themeColor="text1"/>
          <w:sz w:val="16"/>
          <w:szCs w:val="16"/>
        </w:rPr>
        <w:t>29 декабря 1930 г.</w:t>
      </w:r>
    </w:p>
    <w:p w14:paraId="31F03F59" w14:textId="77777777" w:rsidR="00D962DB" w:rsidRPr="00507A31" w:rsidRDefault="00D962DB" w:rsidP="00507A31">
      <w:pPr>
        <w:jc w:val="both"/>
        <w:rPr>
          <w:bCs/>
          <w:color w:val="000000" w:themeColor="text1"/>
          <w:sz w:val="16"/>
          <w:szCs w:val="16"/>
        </w:rPr>
      </w:pPr>
      <w:r w:rsidRPr="00507A31">
        <w:rPr>
          <w:color w:val="000000" w:themeColor="text1"/>
          <w:sz w:val="16"/>
          <w:szCs w:val="16"/>
        </w:rPr>
        <w:t>Письмо посла СССР во Франции В. С. Довгалевского главному секретарю МИД Франции Ф. Вертело о встрече с А. Брианом и об отзыве Л. Кифера. 29 декабря 1930 г.</w:t>
      </w:r>
    </w:p>
    <w:p w14:paraId="68BB1112" w14:textId="77777777" w:rsidR="00D962DB" w:rsidRPr="00507A31" w:rsidRDefault="00D962DB" w:rsidP="00507A31">
      <w:pPr>
        <w:jc w:val="both"/>
        <w:rPr>
          <w:bCs/>
          <w:color w:val="000000" w:themeColor="text1"/>
          <w:sz w:val="16"/>
          <w:szCs w:val="16"/>
        </w:rPr>
      </w:pPr>
      <w:r w:rsidRPr="00507A31">
        <w:rPr>
          <w:bCs/>
          <w:color w:val="000000" w:themeColor="text1"/>
          <w:sz w:val="16"/>
          <w:szCs w:val="16"/>
        </w:rPr>
        <w:t>Источник: </w:t>
      </w:r>
    </w:p>
    <w:p w14:paraId="6B8AD446" w14:textId="77777777" w:rsidR="00D962DB" w:rsidRPr="00507A31" w:rsidRDefault="00D962DB"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FE817B" w14:textId="77777777" w:rsidR="00D962DB" w:rsidRPr="00507A31" w:rsidRDefault="00D962DB" w:rsidP="00507A31">
      <w:pPr>
        <w:pStyle w:val="rteright"/>
        <w:spacing w:before="0" w:after="0"/>
        <w:jc w:val="both"/>
        <w:rPr>
          <w:color w:val="000000" w:themeColor="text1"/>
          <w:sz w:val="16"/>
          <w:szCs w:val="16"/>
        </w:rPr>
      </w:pPr>
      <w:r w:rsidRPr="00507A31">
        <w:rPr>
          <w:color w:val="000000" w:themeColor="text1"/>
          <w:sz w:val="16"/>
          <w:szCs w:val="16"/>
        </w:rPr>
        <w:t>29 декабря 1930 г.</w:t>
      </w:r>
    </w:p>
    <w:p w14:paraId="09BA35DC" w14:textId="77777777" w:rsidR="00D962DB" w:rsidRPr="00507A31" w:rsidRDefault="00D962DB" w:rsidP="00507A31">
      <w:pPr>
        <w:pStyle w:val="ae"/>
        <w:spacing w:before="0" w:after="0"/>
        <w:jc w:val="both"/>
        <w:rPr>
          <w:color w:val="000000" w:themeColor="text1"/>
          <w:sz w:val="16"/>
          <w:szCs w:val="16"/>
        </w:rPr>
      </w:pPr>
      <w:r w:rsidRPr="00507A31">
        <w:rPr>
          <w:color w:val="000000" w:themeColor="text1"/>
          <w:sz w:val="16"/>
          <w:szCs w:val="16"/>
        </w:rPr>
        <w:t>Посольство СССР во Франции</w:t>
      </w:r>
    </w:p>
    <w:p w14:paraId="47B0FB29" w14:textId="77777777" w:rsidR="00D962DB" w:rsidRPr="00507A31" w:rsidRDefault="00D962DB" w:rsidP="00507A31">
      <w:pPr>
        <w:pStyle w:val="ae"/>
        <w:spacing w:before="0" w:after="0"/>
        <w:jc w:val="both"/>
        <w:rPr>
          <w:color w:val="000000" w:themeColor="text1"/>
          <w:sz w:val="16"/>
          <w:szCs w:val="16"/>
        </w:rPr>
      </w:pPr>
      <w:r w:rsidRPr="00507A31">
        <w:rPr>
          <w:color w:val="000000" w:themeColor="text1"/>
          <w:sz w:val="16"/>
          <w:szCs w:val="16"/>
        </w:rPr>
        <w:t>№ MD-01</w:t>
      </w:r>
    </w:p>
    <w:p w14:paraId="6BA01D3F" w14:textId="77777777" w:rsidR="00D962DB" w:rsidRPr="00507A31" w:rsidRDefault="00D962DB" w:rsidP="00507A31">
      <w:pPr>
        <w:pStyle w:val="ae"/>
        <w:spacing w:before="0" w:after="0"/>
        <w:jc w:val="both"/>
        <w:rPr>
          <w:color w:val="000000" w:themeColor="text1"/>
          <w:sz w:val="16"/>
          <w:szCs w:val="16"/>
        </w:rPr>
      </w:pPr>
      <w:r w:rsidRPr="00507A31">
        <w:rPr>
          <w:color w:val="000000" w:themeColor="text1"/>
          <w:sz w:val="16"/>
          <w:szCs w:val="16"/>
        </w:rPr>
        <w:t>Помета карандашом: процесс «Промпартии» и дело Кифера</w:t>
      </w:r>
    </w:p>
    <w:p w14:paraId="788EF36B" w14:textId="77777777" w:rsidR="00D962DB" w:rsidRPr="00507A31" w:rsidRDefault="00D962DB" w:rsidP="00507A31">
      <w:pPr>
        <w:pStyle w:val="ae"/>
        <w:spacing w:before="0" w:after="0"/>
        <w:jc w:val="both"/>
        <w:rPr>
          <w:color w:val="000000" w:themeColor="text1"/>
          <w:sz w:val="16"/>
          <w:szCs w:val="16"/>
        </w:rPr>
      </w:pPr>
      <w:r w:rsidRPr="00507A31">
        <w:rPr>
          <w:color w:val="000000" w:themeColor="text1"/>
          <w:sz w:val="16"/>
          <w:szCs w:val="16"/>
        </w:rPr>
        <w:t>Г-н посол,</w:t>
      </w:r>
    </w:p>
    <w:p w14:paraId="1F1D41B1"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24-го декабря, действуя по инструкции моего правительства, я передал г-ну Аристиду Бриану копию письма, адресованного Верховным Судом СССР в народный комиссариат по иностранным делам. В этом письме речь шла о результатах судебного заседания при закрытых дверях на процессе «Промпартии». Чтобы выразить протест от имени моего правительства, я сделал официальное заявление г-ну Аристиду Бриану, одновременно вручив ему письменный текст этого заявления. В нем я обращал внимание г-на министра иностранных дел на факты, установленные Верховным судом и имеющие непосредственное отношение к деятельности некоторых французских служащих в области разработки и реализации планов интервенции в СССР. В том же заявлении я передал просьбу моего правительства отозвать г-на Кифера, заместителя торгового атташе в Москве, замешанного в деле «Промпартии». Я также указал, что присутствие Жорж-Пико, тоже участвовавшего в заговоре, среди сотрудников посольства Франции в Москве не будет допущено моим правительством.</w:t>
      </w:r>
    </w:p>
    <w:p w14:paraId="406DD37B"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Два дня спустя, 26-го декабря, Вы вернули мне упомянутое письмо Верховного суда и запись моего заявления г-ну Аристиду Бриану, сопроводив эти документы письмом, которое по недосмотру оказалось неподписанным. В этом письме Вы меня информируете, что после внимательного изучения обоих документов г-н Бриан пришел к выводу, что «принятие подобных документов может повлечь за собой тяжелые и, возможно, непоправимые последствия». В то же время это письмо содержит критику и стремится приуменьшить ценность постановления Верховного суда.</w:t>
      </w:r>
    </w:p>
    <w:p w14:paraId="5056E7A8"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Факты, о которых идет речь в упомянутых документах, широко известны из постановления Верховного суда по делу «Промпартии». Это постановление было опубликовано и предано широкой огласке. Эти факты установлены, и я не намеревался и не намереваюсь обсуждать постановление Верховного суда. Никакой обмен корреспонденцией не сможет заставить исчезнуть ни эти факты, ни постановление Верховного суда. Мое правительство твердо убеждено, что честный обмен мнениями между двумя правительствами по вопросам, непосредственно касающимся их отношений, может и должен, при доброй воле французского правительства, привести к улучшению этих отношений, а не к тяжелым и непоправимым последствиям.</w:t>
      </w:r>
    </w:p>
    <w:p w14:paraId="3101E6EF"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Со своей стороны, мое правительство стремится только к улучшению отношений с Францией и к устранению препятствий на этом пути. Несмотря на тяжкость преступлений некоторых французских служащих, несмотря на их вмешательство во внутренние дела СССР, несмотря на установленную на суде роль контрреволюционных организаций, находящих помощь и защиту во Франции и стремящихся к интервенции и нарушению всеобщего мира, мое правительство ограничилось минимальными требованиями, движимое стремлением к улучшению отношений и миролюбивым настроем своей политики в целом. Оно надеется, что французское правительство поймет сдержанность его требований и признает, что они справедливы и должны быть удовлетворены.</w:t>
      </w:r>
    </w:p>
    <w:p w14:paraId="31051C91"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Учитывая, что, согласно Вашему заявлению, г-н Бриан ознакомился с документами, которые Вы возвратили в посольство, я полагаю, что французское правительство было проинформировано об изложенных в этих документах фактах и об отношении к ним моего правительства. Мне остается только выразить уверенность в том, что в течение короткого времени требование об отзыве Кифера из Москвы будет удовлетворено.</w:t>
      </w:r>
    </w:p>
    <w:p w14:paraId="2C25B3EE" w14:textId="77777777" w:rsidR="00D962DB" w:rsidRPr="00507A31" w:rsidRDefault="00D962DB" w:rsidP="00507A31">
      <w:pPr>
        <w:pStyle w:val="ae"/>
        <w:spacing w:before="0" w:after="0"/>
        <w:jc w:val="both"/>
        <w:rPr>
          <w:color w:val="000000" w:themeColor="text1"/>
          <w:sz w:val="16"/>
          <w:szCs w:val="16"/>
        </w:rPr>
      </w:pPr>
      <w:r w:rsidRPr="00507A31">
        <w:rPr>
          <w:color w:val="000000" w:themeColor="text1"/>
          <w:sz w:val="16"/>
          <w:szCs w:val="16"/>
        </w:rPr>
        <w:t>Довгалевский</w:t>
      </w:r>
    </w:p>
    <w:p w14:paraId="3D746F5A" w14:textId="77777777" w:rsidR="00D962DB" w:rsidRPr="00507A31" w:rsidRDefault="00D962DB" w:rsidP="00507A31">
      <w:pPr>
        <w:pStyle w:val="ae"/>
        <w:spacing w:before="0" w:after="0"/>
        <w:jc w:val="both"/>
        <w:rPr>
          <w:color w:val="000000" w:themeColor="text1"/>
          <w:sz w:val="16"/>
          <w:szCs w:val="16"/>
        </w:rPr>
      </w:pPr>
      <w:r w:rsidRPr="00507A31">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247-247а. Машинописный подлинник, подпись — автограф. Штамп Департамента политических и торговых дел с вписанным от руки номером о сдаче в архив «z 619-20 s/d5» (18795).</w:t>
      </w:r>
    </w:p>
    <w:p w14:paraId="36E0AAE2" w14:textId="77777777" w:rsidR="00D962DB" w:rsidRPr="00507A31" w:rsidRDefault="00D962DB" w:rsidP="00507A31">
      <w:pPr>
        <w:jc w:val="both"/>
        <w:rPr>
          <w:color w:val="000000" w:themeColor="text1"/>
          <w:sz w:val="16"/>
          <w:szCs w:val="16"/>
        </w:rPr>
      </w:pPr>
    </w:p>
    <w:p w14:paraId="64087C1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48E4079" w14:textId="77777777" w:rsidR="00537E5F" w:rsidRPr="00507A31" w:rsidRDefault="00537E5F" w:rsidP="00507A31">
      <w:pPr>
        <w:autoSpaceDE w:val="0"/>
        <w:autoSpaceDN w:val="0"/>
        <w:adjustRightInd w:val="0"/>
        <w:jc w:val="both"/>
        <w:rPr>
          <w:iCs/>
          <w:color w:val="000000" w:themeColor="text1"/>
          <w:sz w:val="16"/>
          <w:szCs w:val="16"/>
        </w:rPr>
      </w:pPr>
    </w:p>
    <w:p w14:paraId="504C36E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29 декабря 1930 американец Фред Ньютон проплыл вниз по течению Миссисипи 2940 км, в общей сложности находясь в воде 742 часа (мировой рекорд) (4962).</w:t>
      </w:r>
    </w:p>
    <w:p w14:paraId="16E3FB3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4328392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9256967" w14:textId="77777777" w:rsidR="00537E5F" w:rsidRPr="00507A31" w:rsidRDefault="00537E5F" w:rsidP="00507A31">
      <w:pPr>
        <w:autoSpaceDE w:val="0"/>
        <w:autoSpaceDN w:val="0"/>
        <w:adjustRightInd w:val="0"/>
        <w:jc w:val="both"/>
        <w:rPr>
          <w:iCs/>
          <w:color w:val="000000" w:themeColor="text1"/>
          <w:sz w:val="16"/>
          <w:szCs w:val="16"/>
        </w:rPr>
      </w:pPr>
    </w:p>
    <w:p w14:paraId="2B4985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декабря 1930 отношение N 1267 дано описание самолета ТБ-4 (1077,180).</w:t>
      </w:r>
    </w:p>
    <w:p w14:paraId="3E8A2418" w14:textId="77777777" w:rsidR="00537E5F" w:rsidRPr="00507A31" w:rsidRDefault="00537E5F" w:rsidP="00507A31">
      <w:pPr>
        <w:autoSpaceDE w:val="0"/>
        <w:autoSpaceDN w:val="0"/>
        <w:adjustRightInd w:val="0"/>
        <w:jc w:val="both"/>
        <w:rPr>
          <w:color w:val="000000" w:themeColor="text1"/>
          <w:sz w:val="16"/>
          <w:szCs w:val="16"/>
        </w:rPr>
      </w:pPr>
    </w:p>
    <w:p w14:paraId="1FBC961B" w14:textId="77777777" w:rsidR="00733B14" w:rsidRPr="00507A31" w:rsidRDefault="00733B14" w:rsidP="00507A31">
      <w:pPr>
        <w:jc w:val="both"/>
        <w:rPr>
          <w:color w:val="0070C0"/>
          <w:sz w:val="16"/>
          <w:szCs w:val="16"/>
        </w:rPr>
      </w:pPr>
      <w:r w:rsidRPr="00507A31">
        <w:rPr>
          <w:color w:val="0070C0"/>
          <w:sz w:val="16"/>
          <w:szCs w:val="16"/>
        </w:rPr>
        <w:t>30 декабря 1930 в письме Сталину Тухачевский констатировал, "вопрос о гражданской авиации Вы разрешили в масштабе большем, чем я на то даже рассчитывал"(Записка Тухачевского Сталину (копия Ворошилову), Ленинград. 30.12.1930 // Там же. Л. 66).</w:t>
      </w:r>
    </w:p>
    <w:p w14:paraId="20D75D22" w14:textId="77777777" w:rsidR="00733B14" w:rsidRPr="00507A31" w:rsidRDefault="00733B14" w:rsidP="00507A31">
      <w:pPr>
        <w:jc w:val="both"/>
        <w:rPr>
          <w:color w:val="0070C0"/>
          <w:sz w:val="16"/>
          <w:szCs w:val="16"/>
        </w:rPr>
      </w:pPr>
      <w:r w:rsidRPr="00507A31">
        <w:rPr>
          <w:color w:val="0070C0"/>
          <w:sz w:val="16"/>
          <w:szCs w:val="16"/>
        </w:rPr>
        <w:t>5 сентября 1930 г. в результате работы комиссии Рудзутака (фактически - тесного взаимодействия Тухачевского со Сталиным) Политбюро приняло постановление "О развитии гражданской авиации п формах ее связи с военной" (Постановление Политбюро ЦК ВКП(б) "О развитии гражданской авиации и формах ее связи с военной", 5.09.1930 (приложение к п. 20, протокол № 6 от 5.09.1930) // РГА СПИ. Ф. 17. Оп. 3. Д 794. Л. 19-20.). Постановление предписывало ускорить темпы производства, доведя его до 5 тыс. самолетов в 1932/33 г.</w:t>
      </w:r>
    </w:p>
    <w:p w14:paraId="011C943B" w14:textId="77777777" w:rsidR="00733B14" w:rsidRPr="00507A31" w:rsidRDefault="00733B14" w:rsidP="00507A31">
      <w:pPr>
        <w:jc w:val="both"/>
        <w:rPr>
          <w:color w:val="0070C0"/>
          <w:sz w:val="16"/>
          <w:szCs w:val="16"/>
        </w:rPr>
      </w:pPr>
      <w:r w:rsidRPr="00507A31">
        <w:rPr>
          <w:color w:val="0070C0"/>
          <w:sz w:val="16"/>
          <w:szCs w:val="16"/>
        </w:rPr>
        <w:t>Эти решения стали важным шагом к смене парадигмы оборонных установок в контексте общей экономической политики. Столь же характерно, что, как показывает обращение Сталина и Ворошилова, при создании воздушного флота равнение было взято не на производственные и боевые возможности ближайших вероятных противников - соседних с СССР государств, а на "крупнейшие империалистические страны" (22725).</w:t>
      </w:r>
    </w:p>
    <w:p w14:paraId="406F5BB9" w14:textId="77777777" w:rsidR="00733B14" w:rsidRPr="00507A31" w:rsidRDefault="00733B14" w:rsidP="00507A31">
      <w:pPr>
        <w:jc w:val="both"/>
        <w:rPr>
          <w:color w:val="0070C0"/>
          <w:sz w:val="16"/>
          <w:szCs w:val="16"/>
        </w:rPr>
      </w:pPr>
    </w:p>
    <w:p w14:paraId="549794D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636F4EB" w14:textId="77777777" w:rsidR="00537E5F" w:rsidRPr="00507A31" w:rsidRDefault="00537E5F" w:rsidP="00507A31">
      <w:pPr>
        <w:autoSpaceDE w:val="0"/>
        <w:autoSpaceDN w:val="0"/>
        <w:adjustRightInd w:val="0"/>
        <w:jc w:val="both"/>
        <w:rPr>
          <w:iCs/>
          <w:color w:val="000000" w:themeColor="text1"/>
          <w:sz w:val="16"/>
          <w:szCs w:val="16"/>
        </w:rPr>
      </w:pPr>
    </w:p>
    <w:p w14:paraId="155EC745" w14:textId="77777777" w:rsidR="00D962DB" w:rsidRPr="00507A31" w:rsidRDefault="00D962DB" w:rsidP="00507A31">
      <w:pPr>
        <w:jc w:val="both"/>
        <w:rPr>
          <w:bCs/>
          <w:iCs/>
          <w:color w:val="000000" w:themeColor="text1"/>
          <w:sz w:val="16"/>
          <w:szCs w:val="16"/>
        </w:rPr>
      </w:pPr>
      <w:r w:rsidRPr="00507A31">
        <w:rPr>
          <w:bCs/>
          <w:iCs/>
          <w:color w:val="000000" w:themeColor="text1"/>
          <w:sz w:val="16"/>
          <w:szCs w:val="16"/>
        </w:rPr>
        <w:t>30 декабря 1930</w:t>
      </w:r>
    </w:p>
    <w:p w14:paraId="700F6B1E" w14:textId="77777777" w:rsidR="00D962DB" w:rsidRPr="00507A31" w:rsidRDefault="00D962DB" w:rsidP="00507A31">
      <w:pPr>
        <w:jc w:val="both"/>
        <w:rPr>
          <w:color w:val="000000" w:themeColor="text1"/>
          <w:sz w:val="16"/>
          <w:szCs w:val="16"/>
        </w:rPr>
      </w:pPr>
      <w:r w:rsidRPr="00507A31">
        <w:rPr>
          <w:bCs/>
          <w:iCs/>
          <w:color w:val="000000" w:themeColor="text1"/>
          <w:sz w:val="16"/>
          <w:szCs w:val="16"/>
        </w:rPr>
        <w:t>РГВА Фонд 31811 Опись 2 Дело 82 лист 35 – 36</w:t>
      </w:r>
    </w:p>
    <w:p w14:paraId="1A8D61ED" w14:textId="77777777" w:rsidR="00D962DB" w:rsidRPr="00507A31" w:rsidRDefault="00D962DB" w:rsidP="00507A31">
      <w:pPr>
        <w:jc w:val="both"/>
        <w:rPr>
          <w:iCs/>
          <w:color w:val="000000" w:themeColor="text1"/>
          <w:sz w:val="16"/>
          <w:szCs w:val="16"/>
        </w:rPr>
      </w:pPr>
      <w:r w:rsidRPr="00507A31">
        <w:rPr>
          <w:iCs/>
          <w:color w:val="000000" w:themeColor="text1"/>
          <w:sz w:val="16"/>
          <w:szCs w:val="16"/>
        </w:rPr>
        <w:t>[Рукописный документ]</w:t>
      </w:r>
    </w:p>
    <w:p w14:paraId="3CF276AC" w14:textId="77777777" w:rsidR="00D962DB" w:rsidRPr="00507A31" w:rsidRDefault="00D962DB" w:rsidP="00507A31">
      <w:pPr>
        <w:jc w:val="both"/>
        <w:rPr>
          <w:color w:val="000000" w:themeColor="text1"/>
          <w:sz w:val="16"/>
          <w:szCs w:val="16"/>
        </w:rPr>
      </w:pPr>
      <w:r w:rsidRPr="00507A31">
        <w:rPr>
          <w:iCs/>
          <w:color w:val="000000" w:themeColor="text1"/>
          <w:sz w:val="16"/>
          <w:szCs w:val="16"/>
        </w:rPr>
        <w:t xml:space="preserve">На документе штамп Управления по Механизации и Моторизации РККА: </w:t>
      </w:r>
      <w:r w:rsidRPr="00507A31">
        <w:rPr>
          <w:color w:val="000000" w:themeColor="text1"/>
          <w:sz w:val="16"/>
          <w:szCs w:val="16"/>
        </w:rPr>
        <w:t xml:space="preserve">«Вх. № 390 от 20/I-1931 г.» </w:t>
      </w:r>
    </w:p>
    <w:p w14:paraId="3CBF7974" w14:textId="77777777" w:rsidR="00D962DB" w:rsidRPr="00507A31" w:rsidRDefault="00D962DB" w:rsidP="00507A31">
      <w:pPr>
        <w:jc w:val="both"/>
        <w:rPr>
          <w:color w:val="000000" w:themeColor="text1"/>
          <w:sz w:val="16"/>
          <w:szCs w:val="16"/>
        </w:rPr>
      </w:pPr>
      <w:r w:rsidRPr="00507A31">
        <w:rPr>
          <w:color w:val="000000" w:themeColor="text1"/>
          <w:sz w:val="16"/>
          <w:szCs w:val="16"/>
        </w:rPr>
        <w:t>Нью-Иорк 30/XII-30</w:t>
      </w:r>
    </w:p>
    <w:p w14:paraId="18A3303C" w14:textId="77777777" w:rsidR="00D962DB" w:rsidRPr="00507A31" w:rsidRDefault="00D962DB" w:rsidP="00507A31">
      <w:pPr>
        <w:jc w:val="both"/>
        <w:rPr>
          <w:color w:val="000000" w:themeColor="text1"/>
          <w:sz w:val="16"/>
          <w:szCs w:val="16"/>
        </w:rPr>
      </w:pPr>
      <w:r w:rsidRPr="00507A31">
        <w:rPr>
          <w:color w:val="000000" w:themeColor="text1"/>
          <w:sz w:val="16"/>
          <w:szCs w:val="16"/>
        </w:rPr>
        <w:t>Уважаемый Иннокентий Андреевич!</w:t>
      </w:r>
    </w:p>
    <w:p w14:paraId="477E2026"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Вчера послал на имя т. Гиттиса небольшой отчет по делу Кристи. Подробные технические данные повезет с собой Тоскин. </w:t>
      </w:r>
    </w:p>
    <w:p w14:paraId="4CA42E0A"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Было очень много канители. Обстановка не позволила дать Вам предварительную более подробную информацию с тем, чтобы получить директивы, и мы на свою ответственность провели окончательную операцию приемки и отправки машин в Союз. </w:t>
      </w:r>
    </w:p>
    <w:p w14:paraId="51872679"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Кристи вел себя все время вполне порядочно и только его совершенно безвыходное финансовое положение виною и задержки готовности машин и некоторой их незаконченности. Положение было такое, что ему пришлось увезти машины с завода, ибо их хотели описать за долги. Когда мы ему 24-XII заплатили 60.000 долларов, то он не мог сообщить об этом на завод своим рабочим, т.к. в этот день у него выключили телефон за невзнос платы. Теперь он тоже не разбогател: вчера приезжала его секретарша и просила ускорить платеж в 950 долларов за упаковку машин, т.к. денег уже нет. </w:t>
      </w:r>
    </w:p>
    <w:p w14:paraId="48DBDEED" w14:textId="77777777" w:rsidR="00D962DB" w:rsidRPr="00507A31" w:rsidRDefault="00D962DB" w:rsidP="00507A31">
      <w:pPr>
        <w:jc w:val="both"/>
        <w:rPr>
          <w:color w:val="000000" w:themeColor="text1"/>
          <w:sz w:val="16"/>
          <w:szCs w:val="16"/>
        </w:rPr>
      </w:pPr>
      <w:r w:rsidRPr="00507A31">
        <w:rPr>
          <w:color w:val="000000" w:themeColor="text1"/>
          <w:sz w:val="16"/>
          <w:szCs w:val="16"/>
        </w:rPr>
        <w:lastRenderedPageBreak/>
        <w:t xml:space="preserve">Он сам окончательно изнервничался и ошалел еще больше. С нами (Амторгом) отношения остались хорошими, и хоть мы у него забрали 25.000 долларов – Вы увидите из документов как это я формулировал – он к нам благоволит. Особенно он уважает Вас и меня, и в мое отсутствие – Вам об этом расскажет Тоскин – требовал, чтобы ему дали возможность с кем-либо из нас снестись. </w:t>
      </w:r>
    </w:p>
    <w:p w14:paraId="36040450"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Он все время выражает желание ехать сам в С.С.С.Р. По-моему, у него дела скоро будут такие, что уезжать для него будет лучшим выходом. Вам бы он вероятно мог бы быть полезным, и я думаю, что если бы ему послать любезное приглашение и дать возможность приехать, если он захочет с женой, сначала полечить месяц на курорте (сейчас он не работник) – то он все что сумеет даст. Для меня очевидно, что конструкцию его еще надо технически "доработать" и полагаю, что целесообразно его привлечь. Если это входит в Ваши планы – дайте скорее директивы – пока я не уехал в Лондон будет легче с ним договориться. </w:t>
      </w:r>
    </w:p>
    <w:p w14:paraId="53263F36"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Сейчас Кристи предлагает отправить в Союз Андерсена – механика водителя – по-моему это тоже надо сделать. Тоскин считает, что ни к чему. Значит тоже ждем директив. </w:t>
      </w:r>
    </w:p>
    <w:p w14:paraId="7D53E5C3"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С отправкой машин все вышло прекрасно и в конце концов мы себя вполне обеспечили от возможных в будущем неприятностей. Лично я считаю, что много помогло тактичное поведение т. Тоскина, который работал в очень трудной обстановке (тут и поляки, и американские офицеры) и сумел себя очень хорошо поставить. Ему удалось также получить и кое-какие материалы – которые Вам вероятно пригодятся. </w:t>
      </w:r>
    </w:p>
    <w:p w14:paraId="16A2604E"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В общем как и Вы и Амторг предполагал – всего по договору на 100 % получить не пришлось – просто потому что у Кристи "всего" нет – но мое личное мнение – что все что можно было в данной обстановке мы получили. Кое какую тех информацию постараемся получить дополнительно. </w:t>
      </w:r>
    </w:p>
    <w:p w14:paraId="6E554A8D"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Ну всего хорошего Инок. Андр. </w:t>
      </w:r>
    </w:p>
    <w:p w14:paraId="591A0898"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Вероятно, очень скоро уезжаю в Лондон – уже есть телеграмма выехать (немного задержусь, т.к. последние недели только и дела было что Кристи, все другое пострадало – и придется распутывать). </w:t>
      </w:r>
    </w:p>
    <w:p w14:paraId="56C89558"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Буду рад в будущем быть полезным – чем смогу. </w:t>
      </w:r>
    </w:p>
    <w:p w14:paraId="681640E9" w14:textId="77777777" w:rsidR="00D962DB" w:rsidRPr="00507A31" w:rsidRDefault="00D962DB" w:rsidP="00507A31">
      <w:pPr>
        <w:jc w:val="both"/>
        <w:rPr>
          <w:color w:val="000000" w:themeColor="text1"/>
          <w:sz w:val="16"/>
          <w:szCs w:val="16"/>
        </w:rPr>
      </w:pPr>
      <w:r w:rsidRPr="00507A31">
        <w:rPr>
          <w:color w:val="000000" w:themeColor="text1"/>
          <w:sz w:val="16"/>
          <w:szCs w:val="16"/>
        </w:rPr>
        <w:t xml:space="preserve">С приветом. Ваш Гобар (19764). </w:t>
      </w:r>
    </w:p>
    <w:p w14:paraId="38C512B8" w14:textId="77777777" w:rsidR="00D962DB" w:rsidRPr="00507A31" w:rsidRDefault="00D962DB" w:rsidP="00507A31">
      <w:pPr>
        <w:jc w:val="both"/>
        <w:rPr>
          <w:color w:val="000000" w:themeColor="text1"/>
          <w:sz w:val="16"/>
          <w:szCs w:val="16"/>
        </w:rPr>
      </w:pPr>
    </w:p>
    <w:p w14:paraId="7B6C02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декабря 1930 г. вышел ОТЧЕТ О РАБОТЕ УПРАВЛЕНИЯ ПО МЕХАНИЗАЦИИ И МОТОРИЗАЦИИ ЗА 1929/30 ГОД</w:t>
      </w:r>
    </w:p>
    <w:p w14:paraId="799B35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p w14:paraId="525EB8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моменту формирования Управления механизации и моторизации имелось: 1 танковый полк, 6 автоброневых дивизионов, 4 автомотобатальона, 9 бронепоездных частей, всего — 20 частей.</w:t>
      </w:r>
    </w:p>
    <w:p w14:paraId="16DD93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мы имеем 35 частей и 3 Вуза, а всего 38 частей и Вузов. Кроме того, Управлением охвачено специальной подготовкой — броне-танковое дело — 32 нормальные школы РККА и по высшей допризывной подготовке — 13 гражданских Вузов.</w:t>
      </w:r>
    </w:p>
    <w:p w14:paraId="4D831D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области подчинения этих частей, до сформирования УММ, [дело] обстояло совершенно неудовлетворительно. Части не имели единого руководства в округах и в Центре, так, например: бронепоезда подчинялись Инспекции артиллерии РККА, автомобильные части — Инспекции инженеров и 3 управлению Штаба РККА, автобронетанковые части в округах — 5 отделам Штаба округа, начальникам инженеров, начальникам ВТО и т.д. Следствие этого: в руководстве боевой подготовкой частей не было единой системы и плана.</w:t>
      </w:r>
    </w:p>
    <w:p w14:paraId="3A1A8F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Достаточно сказать, что многие части не имели от Центра руководств, программ по боевой подготовке личного состава и таковые составлялись на местах, по произвольному объему и содержанию. Отсутствовали нормы денежных отпусков на специальное обучение и оборудование, норм эксплуатации боевых машин и автомототранспорта, что не давало возможности командирам час иметь твердые планы по боевой подготовке личного состава и регулировать использование боевых» транспортных машин.</w:t>
      </w:r>
    </w:p>
    <w:p w14:paraId="280B4E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числу особых тормозов в боевой подготовке, необходимо отметить отсутствие ряда уставов! наставлений по технической и стрелковой подготовке.</w:t>
      </w:r>
    </w:p>
    <w:p w14:paraId="54D0DE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Необходимо также отметить весьма неудовлетворительную подготовку курсантов общевойск вых нормальных школ в области внедрения знаний по автобронетанковому делу. Самостоятельной кафедры (ВА) и факультета (ВТА) по моторизации и механизации не было.</w:t>
      </w:r>
    </w:p>
    <w:p w14:paraId="6BEBEA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числу особых тормозов в области создания материальной части для механизированных и 1 торизированных частей необходимо отнести отсутствие опытных образцов и достаточной научно) исследовательской и производственной базы у промышленности.</w:t>
      </w:r>
    </w:p>
    <w:p w14:paraId="549451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таким положением перед Управлением механизации и моторизации стоял ряд важна ших задач как по вопросам боевой подготовки, так и по созданию материальной базы.</w:t>
      </w:r>
    </w:p>
    <w:p w14:paraId="59185A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Как Управление справилось с этими задачами, будет освещено по линии основных подразде. ний УММ: По учебно-строевому управлению, по техническому управлению и по научно-техни скому комитету.</w:t>
      </w:r>
    </w:p>
    <w:p w14:paraId="164EF3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 учебно-строевому управлению 1. Программы и указания по боевой подготовке</w:t>
      </w:r>
    </w:p>
    <w:p w14:paraId="6DD9C6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Впервые в РККА составлены, изданы в печатном виде: программы и указания по боевой под товке для специалистов автоброневых, танковых и бронепоездных частей, для курсантов всех но; мальных общевойсковых школ РККА по автобронетанковому делу, что способствовало изжи разнобоя в подготовке этих частей и Вузов.</w:t>
      </w:r>
    </w:p>
    <w:p w14:paraId="568F56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Разработаны основные директивы, учебный план для: Броневых командных курсов, Орлове танковой школы, переработаны учебные планы факультета механизации и моторизации ВТА и; тотракторного института.</w:t>
      </w:r>
    </w:p>
    <w:p w14:paraId="53F1C5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Даны указания по боевой подготовке механизированной бригады и моторизированных отрядо)</w:t>
      </w:r>
    </w:p>
    <w:p w14:paraId="7D210F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Составлена часть программ по подготовке автоспециалистов в военное время.</w:t>
      </w:r>
    </w:p>
    <w:p w14:paraId="786A55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Разработаны: новый курс стрельб и инструкция о порядке проведения смотровых учений и стрельб в бронепоездных частях РККА.</w:t>
      </w:r>
    </w:p>
    <w:p w14:paraId="224F62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Военизированы 13 гражданских Вузов с автобронетанковым уклоном. Разработаны программы и указания для них.</w:t>
      </w:r>
    </w:p>
    <w:p w14:paraId="5A7E8D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 же за отчетный период составлено 16 учебных планов, программ и указаний.</w:t>
      </w:r>
    </w:p>
    <w:p w14:paraId="43F781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 выполнено — 5 программ и указаний: по подготовке автомоточастей, одногодичников и ком</w:t>
      </w:r>
      <w:r w:rsidRPr="00507A31">
        <w:rPr>
          <w:color w:val="000000" w:themeColor="text1"/>
          <w:sz w:val="16"/>
          <w:szCs w:val="16"/>
        </w:rPr>
        <w:softHyphen/>
        <w:t>состава запаса всех частей, не разработаны программы соревнований.</w:t>
      </w:r>
    </w:p>
    <w:p w14:paraId="092B07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Учебные нормы, табеля и сметы</w:t>
      </w:r>
    </w:p>
    <w:p w14:paraId="52C8F2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Отсутствие твердых норм часов обучения на боевых и транспортных машинах, норм отпуска ог</w:t>
      </w:r>
      <w:r w:rsidRPr="00507A31">
        <w:rPr>
          <w:color w:val="000000" w:themeColor="text1"/>
          <w:sz w:val="16"/>
          <w:szCs w:val="16"/>
        </w:rPr>
        <w:softHyphen/>
        <w:t>неприпасов для разного рода специалистов и норм классного оборудования не давало возможность:</w:t>
      </w:r>
    </w:p>
    <w:p w14:paraId="0213EB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составить программу по боевой подготовке;</w:t>
      </w:r>
    </w:p>
    <w:p w14:paraId="513442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составить денежные расчеты для составления смет;</w:t>
      </w:r>
    </w:p>
    <w:p w14:paraId="5CEFA8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установить в каждой части количество потребных учебных машин для обучения и, наконец,</w:t>
      </w:r>
    </w:p>
    <w:p w14:paraId="710F79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командиры частей не могли иметь твердый план обучения, так как зависели от случайных по</w:t>
      </w:r>
      <w:r w:rsidRPr="00507A31">
        <w:rPr>
          <w:color w:val="000000" w:themeColor="text1"/>
          <w:sz w:val="16"/>
          <w:szCs w:val="16"/>
        </w:rPr>
        <w:softHyphen/>
        <w:t>ступлений денежных средств, матчасти и разнородных указаний.</w:t>
      </w:r>
    </w:p>
    <w:p w14:paraId="79AB8D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настоящему моменту этот пробел, в основном, можно считать изжитым: нормы установлены, хо</w:t>
      </w:r>
      <w:r w:rsidRPr="00507A31">
        <w:rPr>
          <w:color w:val="000000" w:themeColor="text1"/>
          <w:sz w:val="16"/>
          <w:szCs w:val="16"/>
        </w:rPr>
        <w:softHyphen/>
        <w:t>тя и требуют дальнейшей опытной проверки, сметы и заявки на денежные средства и огнеприпасы со</w:t>
      </w:r>
      <w:r w:rsidRPr="00507A31">
        <w:rPr>
          <w:color w:val="000000" w:themeColor="text1"/>
          <w:sz w:val="16"/>
          <w:szCs w:val="16"/>
        </w:rPr>
        <w:softHyphen/>
        <w:t>ставлены, даны ориентировочные табеля и заявки по оборудованию классов танковых частей и Вузов.</w:t>
      </w:r>
    </w:p>
    <w:p w14:paraId="4568ED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Сметой 1930/31 г. предусмотрены значительные, по сравнению с прошлым годом, денежные от</w:t>
      </w:r>
      <w:r w:rsidRPr="00507A31">
        <w:rPr>
          <w:color w:val="000000" w:themeColor="text1"/>
          <w:sz w:val="16"/>
          <w:szCs w:val="16"/>
        </w:rPr>
        <w:softHyphen/>
        <w:t>пуска, так, например, будут впервые отпущены частям на специальное оборудование классов — 160000 рублей.</w:t>
      </w:r>
    </w:p>
    <w:p w14:paraId="657080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Составлен пятилетний план и сметы лагерного строительства механизированных и моторизиро-ванных частей.</w:t>
      </w:r>
    </w:p>
    <w:p w14:paraId="27F1CD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Из-за недостатка времени не уточнены учебные табеля классного оборудования для автомо</w:t>
      </w:r>
      <w:r w:rsidRPr="00507A31">
        <w:rPr>
          <w:color w:val="000000" w:themeColor="text1"/>
          <w:sz w:val="16"/>
          <w:szCs w:val="16"/>
        </w:rPr>
        <w:softHyphen/>
        <w:t>бильных, автоброневых частей и совершенно не разработаны для бронепоездных частей РККА. В настоящий момент эта работа выполняется.</w:t>
      </w:r>
    </w:p>
    <w:p w14:paraId="02595C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Уставы, наставления и руководства</w:t>
      </w:r>
    </w:p>
    <w:p w14:paraId="3940EE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Работа заключалась, главным образом, в редактировании и даче отзывов, отыскании авторов и издании трудов.</w:t>
      </w:r>
    </w:p>
    <w:p w14:paraId="0AF799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Кроме того, Управлением изданы ряд уставов и наставлений, переработанных или составленных вновь (Курс стрельб автобронетанковых частей, Боевые уставы автоброневых и бронепоездных частей).</w:t>
      </w:r>
    </w:p>
    <w:p w14:paraId="57CB54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настоящем году части получили ряд боевых и технических руководств:</w:t>
      </w:r>
    </w:p>
    <w:p w14:paraId="2E7674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применение механизированных и моторизированных частей по опыту полка малой механизации,</w:t>
      </w:r>
    </w:p>
    <w:p w14:paraId="115C06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руководство по БА-27, танку МС-1, мотоциклу Харлей и т.д.,</w:t>
      </w:r>
    </w:p>
    <w:p w14:paraId="127BFF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изданы инструкции по эксплуатации автотранспорта и руководства по боевой подготовке ав</w:t>
      </w:r>
      <w:r w:rsidRPr="00507A31">
        <w:rPr>
          <w:color w:val="000000" w:themeColor="text1"/>
          <w:sz w:val="16"/>
          <w:szCs w:val="16"/>
        </w:rPr>
        <w:softHyphen/>
        <w:t>тобронетанковых частей,</w:t>
      </w:r>
    </w:p>
    <w:p w14:paraId="3A0835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наставления по материальной части и стрельбе из 37 мм танковых пушек и т.д.</w:t>
      </w:r>
    </w:p>
    <w:p w14:paraId="67F058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настоящий момент находится в печати 8 уставов и наставлений.</w:t>
      </w:r>
    </w:p>
    <w:p w14:paraId="0A802E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Особенно остро стоит вопрос с изданием руководств для механизированных и моторизирован</w:t>
      </w:r>
      <w:r w:rsidRPr="00507A31">
        <w:rPr>
          <w:color w:val="000000" w:themeColor="text1"/>
          <w:sz w:val="16"/>
          <w:szCs w:val="16"/>
        </w:rPr>
        <w:softHyphen/>
        <w:t>ных частей, к составлению которых можно приступить после окончательной проработки материала летней подготовки и опыта маневров БВО и МВО. Разработан план издания уставов, наставлений и руководств на 1931 учебный год.</w:t>
      </w:r>
    </w:p>
    <w:p w14:paraId="72900B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Участие на тактических занятиях и маневрах</w:t>
      </w:r>
    </w:p>
    <w:p w14:paraId="1B0680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течение года руководящие работники УММ принимали непосредственное участие в полевых выходах, тактических учениях и маневрах механизированных и моторизованных частей.</w:t>
      </w:r>
    </w:p>
    <w:p w14:paraId="637873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 истекший период времени участие выражалось в следующем:</w:t>
      </w:r>
    </w:p>
    <w:p w14:paraId="1EE40F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Декабрь 1929г.</w:t>
      </w:r>
    </w:p>
    <w:p w14:paraId="2E2E9D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Показное учение МПСД с ротой танков для КУВНАСа. Присутствовали зам. начальника УММ т. Калиновский, начальник Учебно-строевого управления т. Окулич и начальник 1 отдела т. Матвиевский.</w:t>
      </w:r>
    </w:p>
    <w:p w14:paraId="4D5A70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Март 1930 г.</w:t>
      </w:r>
    </w:p>
    <w:p w14:paraId="21A2B1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Показное учение 3 танкового полка. Присутствовали: начальник 1 отдела т. Матвиевский.</w:t>
      </w:r>
    </w:p>
    <w:p w14:paraId="797630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Май 1930 г.</w:t>
      </w:r>
    </w:p>
    <w:p w14:paraId="46371E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Смотровое учение Курсов «Выстрел» при участии школы ВЦИК, танковой роты МО МСПД.1 Присутствовали: начальник УСУ т. Окулич и начальник 1 отдела т. Матвиевский.</w:t>
      </w:r>
    </w:p>
    <w:p w14:paraId="4B8940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Июнь 1930 г.</w:t>
      </w:r>
    </w:p>
    <w:p w14:paraId="6B759B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Два полевых выхода начсостава механизированной бригады. Присутствовали: начальник 1 от-} дела т. Матвиевский.</w:t>
      </w:r>
    </w:p>
    <w:p w14:paraId="19D3A9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Военная игра начсостава механизированной бригады. Присутствовали: начальник 1 отдела] т. Матвиевский.</w:t>
      </w:r>
    </w:p>
    <w:p w14:paraId="6809F8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Июль 1930 г.</w:t>
      </w:r>
    </w:p>
    <w:p w14:paraId="61809C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Строевое учение механизированной бригады. Присутствовали: начальник УММ т. Халепский| и начальник УСУ т. Окулич.</w:t>
      </w:r>
    </w:p>
    <w:p w14:paraId="1DF7E9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Сборы начсостава Московского округа и тактическое учение механизированной бригады.| Присутствовали: начальник УММ т. Халепский, начальник ТУ т. Бокис, начальник УСУ т. Окулич.</w:t>
      </w:r>
    </w:p>
    <w:p w14:paraId="4AB9EC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Август 1930 г.</w:t>
      </w:r>
    </w:p>
    <w:p w14:paraId="59BC1D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Посещение МО 11 стр. дивизии, Броневых командных курсов и 2-го танкового полка. Присут-| ствовали: начальник 1 отдела т. Матвиевский.</w:t>
      </w:r>
    </w:p>
    <w:p w14:paraId="20B52D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Август — сентябрь 1930 г.</w:t>
      </w:r>
    </w:p>
    <w:p w14:paraId="619AF8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Участие на сборах высшего начсостава и предманевренных занятий БВО. Присутствовали:! чальник УСУ т. Окулич, начальник Моботдела УММ т. Давыдов и Начальник 10 отдела ТУ УММ| т. Моргунов.</w:t>
      </w:r>
    </w:p>
    <w:p w14:paraId="1140B4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августа 1930 г.</w:t>
      </w:r>
    </w:p>
    <w:p w14:paraId="7A5734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Смотровое учение МО МПСД, организованное по приказанию Заместителя председат т. Уборевич. Присутствовали: начальник УММ т. Халепский в качестве руководителя, т. Калинов ский - помощник руководителя, т. Матвиевский - начальник Штаба руководителя, т. Давыдов и т| Моргунов зап. посредники, т. Гарфункель посредник при стрелковой роте, т. Лебедь посредник I батарее, т. Бараусов посредник при автобронедивизии, т. Зун, т. Шириков, т. Васильев в распоряя нии руководителя.</w:t>
      </w:r>
    </w:p>
    <w:p w14:paraId="7E7BAB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Сентябрь 1930 г.</w:t>
      </w:r>
    </w:p>
    <w:p w14:paraId="697BA9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Маневры ЛВО — присутствовал Начальник УММ т. Халепский.</w:t>
      </w:r>
    </w:p>
    <w:p w14:paraId="4815F0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Сентябрь 1930 г.</w:t>
      </w:r>
    </w:p>
    <w:p w14:paraId="0CA502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Маневры БВО, с участием механизированной бригады. Присутствовали: начальник т. Халепский, зам. начальника УММ т. Калиновский, начальник УСУ т. Окулич — в качестве стари го посредника механизированной бригады, начальник 1 отдела т. Матвиевский.</w:t>
      </w:r>
    </w:p>
    <w:p w14:paraId="316BFA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27 сентября 1930 г.</w:t>
      </w:r>
    </w:p>
    <w:p w14:paraId="168189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Маневры МВО, с участием механизированной бригады. Присутствовали: начальник т. Халепский, зам. начальника УММ т. Калиновский в качестве старшего посредника механизированна бригады, начальник 1 отдела т. Матвиевский, в качестве посредника 1 полка механизированной бри ды, пом. начальника 1 отдела т. Тимофеев, в качестве посредника 2 полка механизированной бригады, |</w:t>
      </w:r>
    </w:p>
    <w:p w14:paraId="029241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Сентябрь 1930 г.</w:t>
      </w:r>
    </w:p>
    <w:p w14:paraId="3FF89A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Маневры УВО — присутствовал пом. начальника 1 отдела УММ т. Илларионов, в качестве: средника при МО 45-й Стрелковой дивизии.</w:t>
      </w:r>
    </w:p>
    <w:p w14:paraId="3F5BA6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Организационная работа Планом работ на 1930 г. (до 1 октября) по организационной линии было намечено:</w:t>
      </w:r>
    </w:p>
    <w:p w14:paraId="3A18F6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разработка вопросов обеспечения кадрами бронетанковых частей, на текущую пятилетку, 1 ходя из потребности в них;</w:t>
      </w:r>
    </w:p>
    <w:p w14:paraId="6AC3FB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разработка организационных и штатных вопросов, в связи с новыми формированиями' щего года;</w:t>
      </w:r>
    </w:p>
    <w:p w14:paraId="7B93DD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обеспечение кадрами комсостава, специалистами существующих частей и частей формируем На основе первоначальных указаний Штаба РККА по организационным мероприятиям на тек</w:t>
      </w:r>
    </w:p>
    <w:p w14:paraId="72B3B0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пятилетку, в начале года была исчислена потребность в кадрах для бронетанковых частей. Дан-:этой потребности выявили необходимость и неотложность следующих мероприятий:</w:t>
      </w:r>
    </w:p>
    <w:p w14:paraId="728E59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создание танковой школы, расширение Бронекомандных курсов, а вместе с тем, изменение (организационной структуры и штатов,</w:t>
      </w:r>
    </w:p>
    <w:p w14:paraId="5A1536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развертывание автомобильной школы для подготовки кадров командного состава этой специ-ности и автотехников,</w:t>
      </w:r>
    </w:p>
    <w:p w14:paraId="7ACFDF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расширение ВТА в части подготовки кадров с высшим техническим образованием для меха-ированных и моторизированных войск,</w:t>
      </w:r>
    </w:p>
    <w:p w14:paraId="13AE50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формирование новых частей.</w:t>
      </w:r>
    </w:p>
    <w:p w14:paraId="2140A1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осуществления этих мероприятий были разработаны схемы организации указанных Вузов, ложения и штаты, а также вопросы обеспечения их кадрами постоянного состава и переменным</w:t>
      </w:r>
    </w:p>
    <w:p w14:paraId="4782F1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ннгентом.</w:t>
      </w:r>
    </w:p>
    <w:p w14:paraId="057E1D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утвержденной Штабом РККА программой по пятилетнему плану строительства броне-</w:t>
      </w:r>
    </w:p>
    <w:p w14:paraId="5241F5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ковых частей, вновь проработаны вопросы о кадрах для бронетанковых частей и даны практиче-ие выводы по разрешению проблемы обеспечения ежегодных формирований бронетанковых ча-ей младшим комсоставом и замены командиров малых танков, бронемашин и танкеток лицами цего комсостава.</w:t>
      </w:r>
    </w:p>
    <w:p w14:paraId="47868D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Указанная проблема в части кадров, а также вопрос квартирного строительства для бронетанковых</w:t>
      </w:r>
    </w:p>
    <w:p w14:paraId="0FDC2B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ей, являются основными в осуществлении пятилетнего плана строительства бронетанковых частей.</w:t>
      </w:r>
    </w:p>
    <w:p w14:paraId="0C8308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Выводы</w:t>
      </w:r>
    </w:p>
    <w:p w14:paraId="19FBFC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целом, Управлением проделана большая работа, которая усложнялась:</w:t>
      </w:r>
    </w:p>
    <w:p w14:paraId="731244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Новизной боевой подготовки мотомеханизированных частей;</w:t>
      </w:r>
    </w:p>
    <w:p w14:paraId="1EEAA8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Разнородностью организационных структур и назначения механизированных и моторизиро-нных частей (18 разнородных частей из 28, не считая частей, не подчиненных УММ).</w:t>
      </w:r>
    </w:p>
    <w:p w14:paraId="2B49CC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Составлением и разработкой, впервые в РККА, программ, указаний, руководств, норм и табелей;</w:t>
      </w:r>
    </w:p>
    <w:p w14:paraId="492CC2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Срочностью формирования частей и Вузов;</w:t>
      </w:r>
    </w:p>
    <w:p w14:paraId="551F7B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Несоответствием штата объему работы и некоторой невтянотостью в работу сотрудников Уп-ления.</w:t>
      </w:r>
    </w:p>
    <w:p w14:paraId="33CCC5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результате 9-месячной работы, некоторого опыта по руководству боевой подготовкой и орга-цией механизированных и моторизированных частей, а также выводов о тактических учениях, неврах последних, перед Управлением на 1931 г. стоят следующие основные задачи:</w:t>
      </w:r>
    </w:p>
    <w:p w14:paraId="51B33F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Пересмотр существующей организации моторизированных и механизированных частей, со-ственно требованиям современного боя на основе летнего опыта.</w:t>
      </w:r>
    </w:p>
    <w:p w14:paraId="64A1B4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Переработка планов и наставлений по боевой подготовке.</w:t>
      </w:r>
    </w:p>
    <w:p w14:paraId="2AA475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Разработка целого ряда руководств и наставлений к маю 1931 г., т.е. к моменту выхода войск в лагерь.</w:t>
      </w:r>
    </w:p>
    <w:p w14:paraId="02461D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Разработка системы и организации подготовки кадров комсостава и специалистов для новых Июрмирований 1931-1933 гг. и обеспечения развертывания Армии военного времени, расширение |сети Вузов, подготовка специалистов в войсковых частях, вневойсковым порядком, издание про-ррамм военного времени и т.д.</w:t>
      </w:r>
    </w:p>
    <w:p w14:paraId="56D5F8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Создание, в основном, учебного центра моторизированных и механизированных частей в Црайоне Наро-Фоминска.</w:t>
      </w:r>
    </w:p>
    <w:p w14:paraId="69AF2D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Изучение опыта действий механизированных и моторизированных частей на маневрах и так-| тических учениях.</w:t>
      </w:r>
    </w:p>
    <w:p w14:paraId="007434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 техническому управлению</w:t>
      </w:r>
    </w:p>
    <w:p w14:paraId="04FC98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 мобилизационным вопросам</w:t>
      </w:r>
    </w:p>
    <w:p w14:paraId="6983B8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линии мобилизационной работы перед Управлением в истекшем году стояли следующие ос-|новные вопросы:</w:t>
      </w:r>
    </w:p>
    <w:p w14:paraId="7D4ED9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Выявление мобилизационной потребности и обеспеченности РККА в танкотракторном, авто-|броневом и бронепоездном имуществе по мобрасписанию № 8 и 10.</w:t>
      </w:r>
    </w:p>
    <w:p w14:paraId="54FA07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Полный пересмотр заявок на год ведения войны по мобрасписаниям № 10 и 12 в связи с пере-</w:t>
      </w:r>
      <w:r w:rsidRPr="00507A31">
        <w:rPr>
          <w:color w:val="000000" w:themeColor="text1"/>
          <w:sz w:val="16"/>
          <w:szCs w:val="16"/>
          <w:lang w:val="en-US"/>
        </w:rPr>
        <w:t>I</w:t>
      </w:r>
      <w:r w:rsidRPr="00507A31">
        <w:rPr>
          <w:color w:val="000000" w:themeColor="text1"/>
          <w:sz w:val="16"/>
          <w:szCs w:val="16"/>
        </w:rPr>
        <w:t>смотром РВС СССР оргмероприятий по строительству вооруженных сил.</w:t>
      </w:r>
    </w:p>
    <w:p w14:paraId="170CB4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Составлению перспективного плана заказов на три года пятилетки.</w:t>
      </w:r>
    </w:p>
    <w:p w14:paraId="5D83DE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Пересмотр плана мобилизации гражданского автотранспорта и проработка плана мобилиза</w:t>
      </w:r>
      <w:r w:rsidRPr="00507A31">
        <w:rPr>
          <w:color w:val="000000" w:themeColor="text1"/>
          <w:sz w:val="16"/>
          <w:szCs w:val="16"/>
        </w:rPr>
        <w:softHyphen/>
        <w:t>ции тракторов и прицепных повозок.</w:t>
      </w:r>
    </w:p>
    <w:p w14:paraId="26F8C8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Пересоставление действующих планов перевозок по имуществу Управления механизации и 1 моторизации.</w:t>
      </w:r>
    </w:p>
    <w:p w14:paraId="312CD1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Составление планов межокружных перевозок по мобрасписанию №10.</w:t>
      </w:r>
    </w:p>
    <w:p w14:paraId="1F7BD8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Создание мобфондов резины на складах промышленности.</w:t>
      </w:r>
    </w:p>
    <w:p w14:paraId="6D3A63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Пересмотр мобфондов нефтепродуктов на складах Союзнефти для обеспечения мобразвер-1 тывания по варианту № 10.</w:t>
      </w:r>
    </w:p>
    <w:p w14:paraId="74083C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Разработка норм и комплектов расхода имущества УММ на военное и мирное время.</w:t>
      </w:r>
    </w:p>
    <w:p w14:paraId="7B1654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10. Разработка системы ремонта имущества УММ в мирное и военное время и обеспечение его| ремонтными средствами.</w:t>
      </w:r>
    </w:p>
    <w:p w14:paraId="22A325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Составление плана питания войны.</w:t>
      </w:r>
    </w:p>
    <w:p w14:paraId="67D900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Создание производственных баз по имуществу УММ.</w:t>
      </w:r>
    </w:p>
    <w:p w14:paraId="0B00E9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перечисленные вопросы пришлось Управлению прорабатывать заново, так как получении материалы от Артиллерийского управления и Военно-технического управления в большинстве ев ем не соответствовали новой организации вооруженных сил.</w:t>
      </w:r>
    </w:p>
    <w:p w14:paraId="3CF7A3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1 октября 1930 г. все вышеперечисленные вопросы в основном проработаны, но некоторы не получили окончательного оформления и вследствие этого не проведены в жизнь.</w:t>
      </w:r>
    </w:p>
    <w:p w14:paraId="033911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Состояние работ характеризуется нижеследующим:</w:t>
      </w:r>
    </w:p>
    <w:p w14:paraId="3F5511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Мобилизационная потребность и мобобеспеченность РККА имуществом по УММ по мобрас-[ писаниям № 8 и 10 окончательно выявлена и препровождена Штабу РККА..Этот документ является! сейчас основным, на основании которого Управление механизации и моторизации проводит планы| накопления имущества для развертывания вооруженных сил в случае войны.</w:t>
      </w:r>
    </w:p>
    <w:p w14:paraId="3D974F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Составлены и предъявлены промышленности мобзаявки на год войны по вар. № 10 и 12. Вна-| стоящее время происходит согласование с объединением промышленности возможности подачи в военное время требуемого по мобзаявкам имущества.</w:t>
      </w:r>
    </w:p>
    <w:p w14:paraId="70E2A2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Уточнены действующие планы перевозок на военное время и переданы через 3 Управлен Штаба РККА - НКПС</w:t>
      </w:r>
      <w:r w:rsidRPr="00507A31">
        <w:rPr>
          <w:color w:val="000000" w:themeColor="text1"/>
          <w:sz w:val="16"/>
          <w:szCs w:val="16"/>
          <w:vertAlign w:val="superscript"/>
        </w:rPr>
        <w:t>1</w:t>
      </w:r>
      <w:r w:rsidRPr="00507A31">
        <w:rPr>
          <w:color w:val="000000" w:themeColor="text1"/>
          <w:sz w:val="16"/>
          <w:szCs w:val="16"/>
        </w:rPr>
        <w:t>.</w:t>
      </w:r>
    </w:p>
    <w:p w14:paraId="418D3D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Уточнена спецификация мобфондов резины и предъявлены Резинообъединению для нако ления мобфондов. К настоящему времени мобфонд накоплен в размере 60%. По распоряжению Пр зидиума ВСНК 100% накопление будет достигнуто к 1 января 1931 г.</w:t>
      </w:r>
    </w:p>
    <w:p w14:paraId="626C62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Уточнена потребность в мобфондах нефтепродуктов для развертывания по мобрасписа № 10 и препровождена Нефтесиндекату для реализации. В настоящее время реализация не произв! дена полностью из-за отсутствия требуемых для НКВМ нефтехранилищ, так как Союзнефтькм Президиумом ВСНХ не было обеспечено строительство этих хранилищ стройматериалами и раб лой. Вопрос внесен с РЗ СТО на разрешение.</w:t>
      </w:r>
    </w:p>
    <w:p w14:paraId="730BEA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Разработаны, систематизированы в сборник и утверждены нормы и комплекты имуще УММ и переданы Управлению делами НКВМ для издания.</w:t>
      </w:r>
    </w:p>
    <w:p w14:paraId="2B4117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Составлен перспективный план заказов на трехлетие в соответствии с программой оргме приятии по моторизации и механизации РККА. На основании этого плана Управление состав ежегодные планы заказов.</w:t>
      </w:r>
    </w:p>
    <w:p w14:paraId="7B410E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Произведено уточнение плана мобилизации гражданского автотранспорта по мобрасписа и переданы соответствующие указания местам.</w:t>
      </w:r>
    </w:p>
    <w:p w14:paraId="09CED3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Разработаны штаты, табеля четырех окружных мастерских для ремонта имущества УММ, также штаты и табели опытной подвижной железнодорожной мастерской для среднего ремонта} военное время. Разработана система ремонта в военное время, получившая одобрение Штаба РКК</w:t>
      </w:r>
    </w:p>
    <w:p w14:paraId="5E9A77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основании разработанной системы ремонта составлена мобзаявка на ремонт имущества военное время и препровождена для согласования в Мобилизационно-плановое управление. Все рассмотрение заявки будет закончено к 1 декабря, после чего [заявка] будет представлена РВС |СССР и Правительству на утверждение.</w:t>
      </w:r>
    </w:p>
    <w:p w14:paraId="66E073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согласовывается с Авторемснабом план строительства ремонтных мастер-Цскихв 1931 г. в ЛВО, МВО, БВО и УВО.</w:t>
      </w:r>
    </w:p>
    <w:p w14:paraId="4BC893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1931 г. по линии УММ будут построены ремонтные мастерские в Москве, Брянске и Харькове.</w:t>
      </w:r>
    </w:p>
    <w:p w14:paraId="68D1C5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По линии подготовки производственной базы для имущества УММ за истекший год при большом нажиме и содействии со стороны УММ проведены следующие работы:</w:t>
      </w:r>
    </w:p>
    <w:p w14:paraId="528C86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Организовано производство на новых местах на заводе «Большевик».</w:t>
      </w:r>
    </w:p>
    <w:p w14:paraId="74026C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Строится танковый цех на заводе ХПЗ для производства средних танков на 1300 шт. в мирное время и на 1600 шт. в военное время.</w:t>
      </w:r>
    </w:p>
    <w:p w14:paraId="1C0BC2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Строится тракторный цех на ХПЗ для производства модернизированного трактора «Коммунар» в количестве 5500 шт. в год по мирному времени и 7500 в год по военному времени. Последним решением правительства строительство прекращено, в связи с чем поставлено под угрозу обеспече-I ние Армии в военное время средними тракторами.</w:t>
      </w:r>
    </w:p>
    <w:p w14:paraId="0A3481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Расширяется танковый цех на ММЗ до производства 500 малых танков в год.</w:t>
      </w:r>
    </w:p>
    <w:p w14:paraId="1B62A8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 Проработан вопрос об ассимиляции танкового производства на тракторном заводе. Специальной Комиссией под председательством Начальника МПУ т. Смилга принято решение об организа-;ЦИитанкового производства на Сталинградском тракторном заводе, с одновременной организацией броневой базы в Сталинграде.</w:t>
      </w:r>
    </w:p>
    <w:p w14:paraId="32EF92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 Для обеспечения танковой программы броней по плану заказов 1931 г. приступили к построй</w:t>
      </w:r>
      <w:r w:rsidRPr="00507A31">
        <w:rPr>
          <w:color w:val="000000" w:themeColor="text1"/>
          <w:sz w:val="16"/>
          <w:szCs w:val="16"/>
        </w:rPr>
        <w:softHyphen/>
        <w:t>ке броневого цеха на Ижорском заводе.</w:t>
      </w:r>
    </w:p>
    <w:p w14:paraId="2BCE7C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ж) По линии автостроения поставлены перед ВАТО вопросы об организации специальных мас-\ терских для производства задних мостов с повышенной проходимостью.</w:t>
      </w:r>
    </w:p>
    <w:p w14:paraId="2B7929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 По линии тракторного производства поставлены перед ВАТО вопросы о модернизации и при-: способлении сельскохозяйственных тракторов для нужд обороны (гусеничные придатки к трактору Интернационал, модернизация трактора Катерпиллер 60) и в связи с этим использование мощной тракторной промышленности для нужд обороны в военное время.</w:t>
      </w:r>
    </w:p>
    <w:p w14:paraId="624C4B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 Приспосабливается 2-й Автозавод для производства танкеток.</w:t>
      </w:r>
    </w:p>
    <w:p w14:paraId="23F220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необходимо со всей категоричностью констатировать, что за истек</w:t>
      </w:r>
      <w:r w:rsidRPr="00507A31">
        <w:rPr>
          <w:color w:val="000000" w:themeColor="text1"/>
          <w:sz w:val="16"/>
          <w:szCs w:val="16"/>
        </w:rPr>
        <w:softHyphen/>
        <w:t>ший 1929/30 г. не проведены в жизнь мероприятия о создании мощной танковой производст</w:t>
      </w:r>
      <w:r w:rsidRPr="00507A31">
        <w:rPr>
          <w:color w:val="000000" w:themeColor="text1"/>
          <w:sz w:val="16"/>
          <w:szCs w:val="16"/>
        </w:rPr>
        <w:softHyphen/>
        <w:t>венной базы.</w:t>
      </w:r>
    </w:p>
    <w:p w14:paraId="1ADCFD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Если вопрос о производственной базе и в частности: о приспособлении Сталинградского трак</w:t>
      </w:r>
      <w:r w:rsidRPr="00507A31">
        <w:rPr>
          <w:color w:val="000000" w:themeColor="text1"/>
          <w:sz w:val="16"/>
          <w:szCs w:val="16"/>
        </w:rPr>
        <w:softHyphen/>
        <w:t>торного завода для танкового производства, о постройке броневой базы в Сталинграде, о постройке завода для мелкого стального фасонного литья, о постройке моторного завода не будут окончатель</w:t>
      </w:r>
      <w:r w:rsidRPr="00507A31">
        <w:rPr>
          <w:color w:val="000000" w:themeColor="text1"/>
          <w:sz w:val="16"/>
          <w:szCs w:val="16"/>
        </w:rPr>
        <w:softHyphen/>
        <w:t>но решены в течение особого квартала 1930 г. и вышеперечисленные заводы не будут построены к весне 1932 г., то можно со всей уверенностью сказать, что Красная Армия, в случае войны, не будет обеспечена танками.</w:t>
      </w:r>
    </w:p>
    <w:p w14:paraId="2B07DA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случае непостройки броневой базы в Сталинграде стоит под угрозой срыва выполнение тан</w:t>
      </w:r>
      <w:r w:rsidRPr="00507A31">
        <w:rPr>
          <w:color w:val="000000" w:themeColor="text1"/>
          <w:sz w:val="16"/>
          <w:szCs w:val="16"/>
        </w:rPr>
        <w:softHyphen/>
        <w:t>ковой программы мирного времени 1932 г.</w:t>
      </w:r>
    </w:p>
    <w:p w14:paraId="67563E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 такой же угрозой срыва стоит выполнение танковой программы 1931 г., если не будут при</w:t>
      </w:r>
      <w:r w:rsidRPr="00507A31">
        <w:rPr>
          <w:color w:val="000000" w:themeColor="text1"/>
          <w:sz w:val="16"/>
          <w:szCs w:val="16"/>
        </w:rPr>
        <w:softHyphen/>
        <w:t>няты экстраординарные меры по постройке и пуску в эксплуатацию весной 1931 г. броневой мастер</w:t>
      </w:r>
      <w:r w:rsidRPr="00507A31">
        <w:rPr>
          <w:color w:val="000000" w:themeColor="text1"/>
          <w:sz w:val="16"/>
          <w:szCs w:val="16"/>
        </w:rPr>
        <w:softHyphen/>
        <w:t>ской К-6 на Ижорском заводе.</w:t>
      </w:r>
    </w:p>
    <w:p w14:paraId="72A146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Необходимо отметить, что со стороны УММ были приняты все меры по созданию производст</w:t>
      </w:r>
      <w:r w:rsidRPr="00507A31">
        <w:rPr>
          <w:color w:val="000000" w:themeColor="text1"/>
          <w:sz w:val="16"/>
          <w:szCs w:val="16"/>
        </w:rPr>
        <w:softHyphen/>
        <w:t>венной базы по танкам вплоть до областных комитетов партии и Центрального комитета коммуни</w:t>
      </w:r>
      <w:r w:rsidRPr="00507A31">
        <w:rPr>
          <w:color w:val="000000" w:themeColor="text1"/>
          <w:sz w:val="16"/>
          <w:szCs w:val="16"/>
        </w:rPr>
        <w:softHyphen/>
        <w:t>стической партии Украины, РВС СССР и Правительства.</w:t>
      </w:r>
    </w:p>
    <w:p w14:paraId="301782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Большую часть своих сил и энергии работники Управления использовали по линии создания производственной базы.</w:t>
      </w:r>
    </w:p>
    <w:p w14:paraId="10F1F2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 вопросам исполнения плана заказов на 1929/30 г.</w:t>
      </w:r>
    </w:p>
    <w:p w14:paraId="2CE547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танкам</w:t>
      </w:r>
    </w:p>
    <w:p w14:paraId="72E2895E" w14:textId="77777777" w:rsidR="00537E5F" w:rsidRPr="00507A31" w:rsidRDefault="00537E5F" w:rsidP="00507A31">
      <w:pPr>
        <w:autoSpaceDE w:val="0"/>
        <w:autoSpaceDN w:val="0"/>
        <w:adjustRightInd w:val="0"/>
        <w:jc w:val="both"/>
        <w:rPr>
          <w:iCs/>
          <w:color w:val="000000" w:themeColor="text1"/>
          <w:sz w:val="16"/>
          <w:szCs w:val="16"/>
        </w:rPr>
      </w:pPr>
      <w:r w:rsidRPr="00507A31">
        <w:rPr>
          <w:color w:val="000000" w:themeColor="text1"/>
          <w:sz w:val="16"/>
          <w:szCs w:val="16"/>
        </w:rPr>
        <w:t>На основании войскового опыта и испытаний специальной комиссии под председательством пом. комвойск МВО т. Каширина в 3 серию танков Т-18 введен целый ряд конструктивных изменений, из которых основными являются: повышение мощности мотора до 40 НР', ведущее колесо с внешним зацеплением, гусеница — «орлиный коготь», катки защищены от грязи и др.</w:t>
      </w:r>
    </w:p>
    <w:p w14:paraId="77BCD3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Изготовлены опытные образцы, испытаны и намечены к внедрению в производство по планам особого квартала в 1931 г.: средний танк Т-24 , трактор Коммунар К-90 со скоростью до 16 км/час, тракторная повозка 3-тонная, цистерна на тракторной повозке. Готовятся опытные образцы и наме</w:t>
      </w:r>
      <w:r w:rsidRPr="00507A31">
        <w:rPr>
          <w:color w:val="000000" w:themeColor="text1"/>
          <w:sz w:val="16"/>
          <w:szCs w:val="16"/>
        </w:rPr>
        <w:softHyphen/>
        <w:t>чены к внедрению в производство по плану 1931 г. малые танки Т-20 и Т-19, танкетка Т-27. Кроме то- \ то, закуплены за границей опытные образцы малого танка Т-26 и танка Кристи, которые после соот- ] ветствующих испытаний предназначаются для производства на заводах СССР.</w:t>
      </w:r>
    </w:p>
    <w:p w14:paraId="22044B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РВС СССР по танковой программе на 1929/30 г. был утвержден следующий план заказов по ос</w:t>
      </w:r>
      <w:r w:rsidRPr="00507A31">
        <w:rPr>
          <w:color w:val="000000" w:themeColor="text1"/>
          <w:sz w:val="16"/>
          <w:szCs w:val="16"/>
        </w:rPr>
        <w:softHyphen/>
        <w:t>новным предметам:</w:t>
      </w:r>
    </w:p>
    <w:p w14:paraId="19C5F6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танкеток 10 шт.</w:t>
      </w:r>
    </w:p>
    <w:p w14:paraId="5A872E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танков средних 30 шт.</w:t>
      </w:r>
    </w:p>
    <w:p w14:paraId="0F10FE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танков малых 300 шт.</w:t>
      </w:r>
    </w:p>
    <w:p w14:paraId="1A0378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тракторов Большевик 100 шт.</w:t>
      </w:r>
    </w:p>
    <w:p w14:paraId="12341A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тракторов Коммунар 400 шт. Из этой программы на 1 октября 1930 г. выполнено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2256"/>
        <w:gridCol w:w="595"/>
        <w:gridCol w:w="4877"/>
      </w:tblGrid>
      <w:tr w:rsidR="00E371BA" w:rsidRPr="00507A31" w14:paraId="620B8C6E" w14:textId="77777777">
        <w:trPr>
          <w:trHeight w:val="278"/>
        </w:trPr>
        <w:tc>
          <w:tcPr>
            <w:tcW w:w="2256" w:type="dxa"/>
            <w:tcBorders>
              <w:top w:val="single" w:sz="6" w:space="0" w:color="auto"/>
              <w:left w:val="single" w:sz="6" w:space="0" w:color="auto"/>
              <w:bottom w:val="single" w:sz="6" w:space="0" w:color="auto"/>
              <w:right w:val="single" w:sz="6" w:space="0" w:color="auto"/>
            </w:tcBorders>
          </w:tcPr>
          <w:p w14:paraId="73F7ED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танкеток</w:t>
            </w:r>
          </w:p>
          <w:p w14:paraId="096F5B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02215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0</w:t>
            </w:r>
          </w:p>
          <w:p w14:paraId="06A942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26730E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Из-за отсутствия опытного образца</w:t>
            </w:r>
          </w:p>
          <w:p w14:paraId="270ABD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2780A52" w14:textId="77777777">
        <w:trPr>
          <w:trHeight w:val="874"/>
        </w:trPr>
        <w:tc>
          <w:tcPr>
            <w:tcW w:w="2256" w:type="dxa"/>
            <w:tcBorders>
              <w:top w:val="single" w:sz="6" w:space="0" w:color="auto"/>
              <w:left w:val="single" w:sz="6" w:space="0" w:color="auto"/>
              <w:bottom w:val="single" w:sz="6" w:space="0" w:color="auto"/>
              <w:right w:val="single" w:sz="6" w:space="0" w:color="auto"/>
            </w:tcBorders>
          </w:tcPr>
          <w:p w14:paraId="701730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танков средних</w:t>
            </w:r>
          </w:p>
          <w:p w14:paraId="44B339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AA1CB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0</w:t>
            </w:r>
          </w:p>
          <w:p w14:paraId="1C0A89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5B473D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Из-за позднего изготовления опытного образца. Испытания опытного образца были закончены 13 августа с.г. РВС СССР намечен окончательный срок выполнения опытной серии 15 танков - 1 января 1931 г.</w:t>
            </w:r>
          </w:p>
          <w:p w14:paraId="570C00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A4EE4FF"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5230A7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танков малых</w:t>
            </w:r>
          </w:p>
          <w:p w14:paraId="2F8E57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2C126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w:t>
            </w:r>
          </w:p>
          <w:p w14:paraId="46F175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845B2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4CF93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42EEFB4"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0FB3B9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тракторов Большевик</w:t>
            </w:r>
          </w:p>
          <w:p w14:paraId="7CDEF8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0E595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0</w:t>
            </w:r>
          </w:p>
          <w:p w14:paraId="52A22D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2BEE6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09877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C4B9621" w14:textId="77777777">
        <w:trPr>
          <w:trHeight w:val="278"/>
        </w:trPr>
        <w:tc>
          <w:tcPr>
            <w:tcW w:w="2256" w:type="dxa"/>
            <w:tcBorders>
              <w:top w:val="single" w:sz="6" w:space="0" w:color="auto"/>
              <w:left w:val="single" w:sz="6" w:space="0" w:color="auto"/>
              <w:bottom w:val="single" w:sz="6" w:space="0" w:color="auto"/>
              <w:right w:val="single" w:sz="6" w:space="0" w:color="auto"/>
            </w:tcBorders>
          </w:tcPr>
          <w:p w14:paraId="27AEAE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тракторов Коммунар</w:t>
            </w:r>
          </w:p>
          <w:p w14:paraId="737968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39B9B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w:t>
            </w:r>
          </w:p>
          <w:p w14:paraId="53A9EA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89038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FD5E8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1ACB37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Невыполнение программы по малым танкам объясняется, главным образом, неорганизов ностью производства на заводе «Большевик». Только благодаря принятым мерам со сторон УММ, РВС СССР и Правительства программа будет закончена к 13 декабря с.г. Характерн примером неорганизованности производства является следующее: на 1 апреля заводом «Боль вик» было изготовлено только 59 танков по недоделу прошлого года, в апреле месяце 25 танков,! июне месяце 40 танков, в июле ни одного, в августе 65 танков, в сентябре 70 танков. Но, несма ря на это, все-таки общий результат производства, особенно за последние месяцы говорит за 1 что основные болезни заводом изжиты и в дальнейшем можно рассчитывать на нормальное I полнение производственной программы. Если сравнивать выполнение программы 1928/29 г программой 1929/30 г., то получим следующие основные цифры: за весь прошлый год завод был выполнен заказ из 80 танков в размере 21 танка, а 59 танков было в недоделе, в этом же] завод выполнил, считая недодел 59 танков, 259 танков, что составляет увеличение против прон того да на 1230%.</w:t>
      </w:r>
    </w:p>
    <w:p w14:paraId="01247A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Что же касается недодела на 100 тракторов, то на этот недодел УММ вынуждено было идти с нательно, так как внедрение в танковый цех производства тракторов срывало производство та Оружобъединение недодел по тракторам обязуется выполнить в течение 1 квартала 1931 г.</w:t>
      </w:r>
    </w:p>
    <w:p w14:paraId="6F8EEE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 ММЗ свой план заказа по недоделу в размере 20 танков выполнил только в количестве! шт. Это объясняется тем, что танковому производству со стороны Заводоуправления не было уд но достаточного внимания для налаживания танкового производства на заводе и подготовке I выполнению программы будущего года. По предложению УММ на ММЗ выезжал председат Оружобъединения т. Кудыян, которым намечен на заводе целый ряд конкретных мероприя обеспечивающих своевременное выполнение заводом танковой программы 1931 г.</w:t>
      </w:r>
    </w:p>
    <w:p w14:paraId="596B7B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Харьковский Паровозостроительный завод не выполнил программу в размере 200 тракторов нар, благодаря тому, что завод не уделял достаточного внимания военной программе. Недодел ^дет выполнен в течение особого квартала.</w:t>
      </w:r>
    </w:p>
    <w:p w14:paraId="0B7455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автомобилям</w:t>
      </w:r>
    </w:p>
    <w:p w14:paraId="08EE6B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РВС СССР был утвержден следующий план заказов: автомобилей легковых 340, автомобилей овых 2500.</w:t>
      </w:r>
    </w:p>
    <w:p w14:paraId="3D8B8B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Ввиду неправильного распределения автотранспорта, ввозимого из-за границы Наркомторгом основных потребителей, УММ в течение 1 квартала ни одного импортного автомобиля отпу-еноне было. Считая такое положение ненормальным и нетерпимым, УММ в январе месяце вошло ИРЗ СТО об определении контингента автотранспорта для УММ. Решением РЗ СТО была образована специальная комиссия для распределения автотранспорта. Согласно решений этой комиссии для аркомвоенмора был определен автоконтингент в размере 360 легковых автомобилей и 1884 грузо-</w:t>
      </w:r>
    </w:p>
    <w:p w14:paraId="2D7C6F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автомобилей. Это распределение было утверждено Советом Труда и Обороны.</w:t>
      </w:r>
    </w:p>
    <w:p w14:paraId="19D366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 и по этому плану Наркомвоенмор автомобилей не получил, так как Наркомторг решений</w:t>
      </w:r>
    </w:p>
    <w:p w14:paraId="5E1035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авительства не выполнил. И только 21 июля комиссия т. Рудзутак окончательно определила количество автомобилей для НКВМ: 256 легковых и 1091 грузовых автомобилей.</w:t>
      </w:r>
    </w:p>
    <w:p w14:paraId="2EEA43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1 октября утвержденный т. Рудзутак план сдачи автомобилей Наркомвоенмору выполнен Полностью.</w:t>
      </w:r>
    </w:p>
    <w:p w14:paraId="6C1CA2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Выполнение плана заказов по бронированию автомашин явно неудовлетворительно, так как из рйказанных 72 бронемашин Ижорским заводом на 1 октября сдано только 26 машин. Такое положение объясняется неорганизованностью производства, слабым руководством со стороны заводоуправления и наличием вредительства. При докладе начальником Технического управления т. Бокис вопроса о невыполнении Ижорским заводом военной программы на Областном комитете партии, последнее, т.е. невыполнение программы, было охарактеризовано как «проявление правого оппортунизма в вопросах обороны на практике». Недодел в размере 46 машин завод выполнит в течение особого квартала текущего года.</w:t>
      </w:r>
    </w:p>
    <w:p w14:paraId="218DE8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целях обеспечения РККА автомашинами повышенной проходимости УММ за истекший год ; были произведены испытания закупленных за границей автомашин. Лучшими из них признаны Морис и Ворникрофт. Для обеспечения наикратчайших сроков внедрения, в серийное производство трехосных автомашин с повышенной проходимостью Форд и АМО-2, фирме Тимкен в Америке за</w:t>
      </w:r>
      <w:r w:rsidRPr="00507A31">
        <w:rPr>
          <w:color w:val="000000" w:themeColor="text1"/>
          <w:sz w:val="16"/>
          <w:szCs w:val="16"/>
        </w:rPr>
        <w:softHyphen/>
        <w:t>казаны задние мосты для трехосных автомашин Форд. По прибытии в Советский Союз и испытании они будут поставлены на производство с тем, чтобы еще в 1931 г. получить первые партии трехосных машин отечественного производства.</w:t>
      </w:r>
    </w:p>
    <w:p w14:paraId="5C140C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создания современной тяжелой броневой машины закуплены за границей 100 шасси Морелянд для бронирования. Один экземпляр шасси отправлен на Ижорский завод для изготовления опытного образца тяжелой бронемашины. Таким образом, можно считать, что за истекший год Уп</w:t>
      </w:r>
      <w:r w:rsidRPr="00507A31">
        <w:rPr>
          <w:color w:val="000000" w:themeColor="text1"/>
          <w:sz w:val="16"/>
          <w:szCs w:val="16"/>
        </w:rPr>
        <w:softHyphen/>
        <w:t>равлением механизации и моторизации проработаны вопросы внедрения в серийное производство Трехосных автомашин с повышенной проходимостью. Как уже было указано выше, УММ принима</w:t>
      </w:r>
      <w:r w:rsidRPr="00507A31">
        <w:rPr>
          <w:color w:val="000000" w:themeColor="text1"/>
          <w:sz w:val="16"/>
          <w:szCs w:val="16"/>
        </w:rPr>
        <w:softHyphen/>
        <w:t>ются меры по линии ВАТО о постройке специальных мастерских для внедрения в серийное произ</w:t>
      </w:r>
      <w:r w:rsidRPr="00507A31">
        <w:rPr>
          <w:color w:val="000000" w:themeColor="text1"/>
          <w:sz w:val="16"/>
          <w:szCs w:val="16"/>
        </w:rPr>
        <w:softHyphen/>
        <w:t>водство трехосных машин.</w:t>
      </w:r>
    </w:p>
    <w:p w14:paraId="082CE9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бронепоездам</w:t>
      </w:r>
    </w:p>
    <w:p w14:paraId="3DFBD1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 период руководства бывшим 5 отделом Артиллерийского управления бронепоезда приведе</w:t>
      </w:r>
      <w:r w:rsidRPr="00507A31">
        <w:rPr>
          <w:color w:val="000000" w:themeColor="text1"/>
          <w:sz w:val="16"/>
          <w:szCs w:val="16"/>
        </w:rPr>
        <w:softHyphen/>
        <w:t>ны в такое состояние, что в случае войны летом текущего года Красная Армия ни одного вполне ис</w:t>
      </w:r>
      <w:r w:rsidRPr="00507A31">
        <w:rPr>
          <w:color w:val="000000" w:themeColor="text1"/>
          <w:sz w:val="16"/>
          <w:szCs w:val="16"/>
        </w:rPr>
        <w:softHyphen/>
        <w:t>правного бронепоезда на вооружении не имела бы. В этом вопросе было налицо явное вредительст</w:t>
      </w:r>
      <w:r w:rsidRPr="00507A31">
        <w:rPr>
          <w:color w:val="000000" w:themeColor="text1"/>
          <w:sz w:val="16"/>
          <w:szCs w:val="16"/>
        </w:rPr>
        <w:softHyphen/>
        <w:t>во со стороны арестованного Ростовского.</w:t>
      </w:r>
    </w:p>
    <w:p w14:paraId="009B32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 истекшее лето в основном приведена в порядок материальная часть существующих бронепоездных частей.</w:t>
      </w:r>
    </w:p>
    <w:p w14:paraId="5CEE2D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Построен модернизированный бронепоезд. Разработаны положения о ремонте паровозов, та</w:t>
      </w:r>
      <w:r w:rsidRPr="00507A31">
        <w:rPr>
          <w:color w:val="000000" w:themeColor="text1"/>
          <w:sz w:val="16"/>
          <w:szCs w:val="16"/>
        </w:rPr>
        <w:softHyphen/>
        <w:t>бель подвижного состава, уточнены нормы и табель железнодорожного и специального имущества бронепоездов, разработано описание материальной части бронепоездов. Разработан и сдан в 5 упра</w:t>
      </w:r>
      <w:r w:rsidRPr="00507A31">
        <w:rPr>
          <w:color w:val="000000" w:themeColor="text1"/>
          <w:sz w:val="16"/>
          <w:szCs w:val="16"/>
        </w:rPr>
        <w:softHyphen/>
        <w:t>вление Штаба РККА боевой устав Бронесил РККА (часть 1, книга 3, Бронепоезда).</w:t>
      </w:r>
    </w:p>
    <w:p w14:paraId="385FD3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План заказов складом №60 по бронировке 5 паровозов, 14 бронеплощадок выполнен полностью. В течение 1931 г. будет полностью отремонтирована вся существующая материальная часть броне</w:t>
      </w:r>
      <w:r w:rsidRPr="00507A31">
        <w:rPr>
          <w:color w:val="000000" w:themeColor="text1"/>
          <w:sz w:val="16"/>
          <w:szCs w:val="16"/>
        </w:rPr>
        <w:softHyphen/>
        <w:t>поездов для обеспечения вар. №10. В течение того же года будут перебронированы бронепоезда, на которых в результате обстрела броня оказалась непригодной.</w:t>
      </w:r>
    </w:p>
    <w:p w14:paraId="4F3882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Качество продукции</w:t>
      </w:r>
    </w:p>
    <w:p w14:paraId="45FB63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качеству продукции истекший год характеризовался как положительными, так и отрицательными показателями. К числу положительных показателей относятся конструктивные улучшения танка Т-18, улучшения качества обработки деталей, улучшения качества материалов.</w:t>
      </w:r>
    </w:p>
    <w:p w14:paraId="58380C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бронемашинам были обнаружены случаи поломок ступиц, передних колес БА-27. Для выявления всех недостатков по изготовлению бронемашин была командирована в войсковые части специаль-1 ная комиссия с участием председателя завода АМО. Завод АМО принял на себя обязательство заменить все негодные части и в дальнейшем не допустить на специальные машины малопригодные части.</w:t>
      </w:r>
    </w:p>
    <w:p w14:paraId="793E7C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Отрицательными показателями по танку Т-18 за истекший год были: неаккуратная сборка и не</w:t>
      </w:r>
      <w:r w:rsidRPr="00507A31">
        <w:rPr>
          <w:color w:val="000000" w:themeColor="text1"/>
          <w:sz w:val="16"/>
          <w:szCs w:val="16"/>
        </w:rPr>
        <w:softHyphen/>
        <w:t>доброкачественность материалов.</w:t>
      </w:r>
    </w:p>
    <w:p w14:paraId="6D3E60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улучшения качества сборки были приняты меры по улучшению сборки, в частности введе</w:t>
      </w:r>
      <w:r w:rsidRPr="00507A31">
        <w:rPr>
          <w:color w:val="000000" w:themeColor="text1"/>
          <w:sz w:val="16"/>
          <w:szCs w:val="16"/>
        </w:rPr>
        <w:softHyphen/>
        <w:t>ны формуляры по сборке каждого танка с указанием в формуляре бригадира и рабочих по сборке данной машины. В результате этого за последнее время сборка машин значительно улучшилась.</w:t>
      </w:r>
    </w:p>
    <w:p w14:paraId="0D0B0E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выявления ряда мелких конструктивных недостатков и недостатков по качеству материалов по настоянию УММ была командирована в Мехбригаду специальная комиссия завода «Большевик» в составе одного инженера, одного техника и нескольких высококвалифицированных рабочих. За период нахождения этой комиссии в Мехбригаде последней был дан целый ряд указаний заводу по! улучшению как обработки отдельных деталей, так и по качеству материалов для этих деталей.</w:t>
      </w:r>
    </w:p>
    <w:p w14:paraId="7C30EE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Цены</w:t>
      </w:r>
    </w:p>
    <w:p w14:paraId="7C2B29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вопросах снижения цен за истекший год достигнуты незначительные результаты. При пост новке этой работы на должную высоту мы бы имели гораздо больше результатов, чем те 12%, ко рые мы имеем по снижению цен за 1929/30 г. Имеются налицо случаи переплаты промышленное по заключенным еще Артиллерийским управлением договором, в частности по трактору Коммунай в сумме около 360000 руб.</w:t>
      </w:r>
    </w:p>
    <w:p w14:paraId="1EE4B7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Такое положение объясняется тем, что до августа месяца отсутствовала в составе Управлен калькуляционная комиссия с одной стороны, а с другой стороны — наличием распоряжения Нарк ма РКИ о недопущении на заводы представителей Управления для проверки калькуляции. В связи чем даже переплата по тракторам Коммунар была выявлена в незаконном, с точки зрения РКИ, порядке, путем командирования на ХПЗ Начальника финансовой части.</w:t>
      </w:r>
    </w:p>
    <w:p w14:paraId="476617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момента назначения калькулятора проделана большая работа по ценам, в результате чего будущий хозяйственный год намечается снижение цен по танкам и тракторам на 43%, по автотра порту на 25%. Но, несмотря на это необходимо, во что бы то ни стало, добиться разрешения кот дирования непосредственно на заводы членов Калькуляционной комиссии для проверки калькул! ций непосредственно на заводах. Это даст возможность определить с наибольшей точностью це на изготовляемую промышленностью продукцию.</w:t>
      </w:r>
    </w:p>
    <w:p w14:paraId="3293D1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Обеспечение имуществом УММ войсковых частей</w:t>
      </w:r>
    </w:p>
    <w:p w14:paraId="6BE623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Несмотря на полное невыполнение промышленностью плана заказов и на нетерпимое поло» ние по определению количества автомашин для УММ, все-таки за истекший год удалось обеспеч основные формирования 1930 г.: Механизированную бригаду, три мотоотряда стрелковых дивиз: Отдельный кавэскадрон СКВО, Территориальный автобатальон СКВО, часть УВВС по мирномув ремени, 3 танковый полк, 2 танковый полк, Броневые командные курсы. Подготовить минимальное к личество материальной части для формирований с 1 октября 1930 г.: двух танковых рот, Орловск танковой школы, Автотехнической школы, Факультета механизации и моторизации ВТА. Эти вн формируемые части будут обеспечены полностью имуществом к 15 ноября с.г.</w:t>
      </w:r>
    </w:p>
    <w:p w14:paraId="76F2DC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результате реализации плана заказов 1929/30 г. наиболее узким местом в снабжении оста ся целый ряд частей РККА, у которых по штатным соображениям были изъяты лошади, но до сих и Управлению механизации и моторизации не удалось заменить их автотранспортом.</w:t>
      </w:r>
    </w:p>
    <w:p w14:paraId="5DF711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Наиболее узким местом по снабжению автотранспортом на мобилизационное развертывание ся ВВС, имеющие краткий срок развертывания, так как они почти ничего из автотранспорта !имеют в своем неприкосновенном запасе. УММ поставило своей задачей в течение особого квартала и 1 квартала 1931 г. во что бы то ни стало </w:t>
      </w:r>
      <w:r w:rsidRPr="00507A31">
        <w:rPr>
          <w:color w:val="000000" w:themeColor="text1"/>
          <w:sz w:val="16"/>
          <w:szCs w:val="16"/>
        </w:rPr>
        <w:lastRenderedPageBreak/>
        <w:t>обеспечить неприкосновенными запасами части с ко</w:t>
      </w:r>
      <w:r w:rsidRPr="00507A31">
        <w:rPr>
          <w:color w:val="000000" w:themeColor="text1"/>
          <w:sz w:val="16"/>
          <w:szCs w:val="16"/>
        </w:rPr>
        <w:softHyphen/>
        <w:t>ими сроками развертывания. Это удастся в том случае, если Правительством будет утверждено ииваемое УММ количество автотранспорта.</w:t>
      </w:r>
    </w:p>
    <w:p w14:paraId="6A5FC9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Вторым узким мостом является необеспеченность войсковых частей запасными частями, так за истекший год количество запасных частей было заказано в недостаточных размерах и кроме промышленность их поставляла несвоевременно. На будущий год запасные части заказывают-1В размерах, полностью обеспечивающих ремонт машин войсковых частях. 6. Эксплуатация имущества в войсковых частях.</w:t>
      </w:r>
    </w:p>
    <w:p w14:paraId="77CBEA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сегодняшний день Управление еще не имеет от Округов исчерпывающих данных по эксплуатации машин в войсковых частях. Но уже на основании имеющихся данных можно констатировать, что все-таки за истекший год количество аварий машин уменьшилось против прошлого года.</w:t>
      </w:r>
    </w:p>
    <w:p w14:paraId="65012D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сь необходимо отметить, что со стороны строевого командования не всегда уделяется достаточно внимание к вопросам эксплуатации как автотранспорта, так и боевых машин. Наиболее небрежное отношение к эксплуатации автотранспорта имеется в частях ВВС, особенно это необходимо от-сти к Белорусскому военному округу.</w:t>
      </w:r>
    </w:p>
    <w:p w14:paraId="792BA9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Управлением в настоящее время прорабатывается доклад об авариях за истекший год, где будут более подробно изложены все ненормальности по эксплуатации военных машин, а также намечен целый ряд конкретных мероприятий по улучшению дела эксплуатации.</w:t>
      </w:r>
    </w:p>
    <w:p w14:paraId="1B1F78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УММ разработана специальная инструкция по эксплуатации машин и разрабатывается такая же инструкция по эксплуатации танков и тракторов.</w:t>
      </w:r>
    </w:p>
    <w:p w14:paraId="216AD0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Ненормальное положение в эксплуатации машин явилось результатом отсутствия ремонтных органов для автомашин, тракторов и танков, благодаря чему машины не получали своевременный [ремонт. Постройкой в течение 1931 г. ремонтных мастерских этот основной недостаток также будет устранен.</w:t>
      </w:r>
    </w:p>
    <w:p w14:paraId="19C7F2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Исполнение сметы 1929/30 г.</w:t>
      </w:r>
    </w:p>
    <w:p w14:paraId="26A173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РВС СССР был утвержден план заказов УММ на сумму 46 951 000 руб. По этому плану заказов не был заказан целый ряд предметов (из-за отсутствия опытных образцов: танки Т-12, танкетки, легкие трактора и др.) на сумму 5 067 000 руб.. Недодано полное количество автомашин, в связи с чем осво-: водился кредит на сумму 973 000. В результате на 1 октября 1930 г. выявился недодел выполнения плана заказов в сумме 6 671 000 руб. Таким образом, освободилась по плану заказов сумма в 12 811 600 } руб. и стоимость данной продукции вместе с расходами Центра составляет 34 139 400 руб. Кроме то</w:t>
      </w:r>
      <w:r w:rsidRPr="00507A31">
        <w:rPr>
          <w:color w:val="000000" w:themeColor="text1"/>
          <w:sz w:val="16"/>
          <w:szCs w:val="16"/>
        </w:rPr>
        <w:softHyphen/>
        <w:t>го, за промышленностью остались авансы за несданную на 1 октября продукцию в размере 3912 600 руб. С учетом этой суммы общий расход денежных средств по заказам составляет 38 052 000 руб.</w:t>
      </w:r>
    </w:p>
    <w:p w14:paraId="1AD4D0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Назначено же РВС СССР финансирование плана заказов в размере 34 907 000 руб. и за счет дру</w:t>
      </w:r>
      <w:r w:rsidRPr="00507A31">
        <w:rPr>
          <w:color w:val="000000" w:themeColor="text1"/>
          <w:sz w:val="16"/>
          <w:szCs w:val="16"/>
        </w:rPr>
        <w:softHyphen/>
        <w:t>гих заказчиков (ОГПУ, ВТУ и др.) 2 350 000 руб. итого 37 257 000 руб. Таким образом, на 1 октября вы</w:t>
      </w:r>
      <w:r w:rsidRPr="00507A31">
        <w:rPr>
          <w:color w:val="000000" w:themeColor="text1"/>
          <w:sz w:val="16"/>
          <w:szCs w:val="16"/>
        </w:rPr>
        <w:softHyphen/>
        <w:t>явился перерасход по финансированию плана заказов на сумму 795 000 руб. (38 052 000 руб. — 37 257 000руб. = 795000руб.).</w:t>
      </w:r>
    </w:p>
    <w:p w14:paraId="714F53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Необходимо отметить, что новая кредитная реформа застала как промышленность, так и воен</w:t>
      </w:r>
      <w:r w:rsidRPr="00507A31">
        <w:rPr>
          <w:color w:val="000000" w:themeColor="text1"/>
          <w:sz w:val="16"/>
          <w:szCs w:val="16"/>
        </w:rPr>
        <w:softHyphen/>
        <w:t>но-финансовый орган (ЦВФУ) неподготовленными к проведению ее в жизнь. Директивы ЦВФУ о порядке рекламации и оформления расчетов очень часто менялись, что повлекло за собою отстава</w:t>
      </w:r>
      <w:r w:rsidRPr="00507A31">
        <w:rPr>
          <w:color w:val="000000" w:themeColor="text1"/>
          <w:sz w:val="16"/>
          <w:szCs w:val="16"/>
        </w:rPr>
        <w:softHyphen/>
        <w:t>ние в рекламации авансов и неустоек по поставкам.</w:t>
      </w:r>
    </w:p>
    <w:p w14:paraId="0B4B09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Промышленность очень часто неправильно использует предоставленные ей права и даже зло</w:t>
      </w:r>
      <w:r w:rsidRPr="00507A31">
        <w:rPr>
          <w:color w:val="000000" w:themeColor="text1"/>
          <w:sz w:val="16"/>
          <w:szCs w:val="16"/>
        </w:rPr>
        <w:softHyphen/>
        <w:t>употребляет ими особенно в вопросах погашения выданных ей НКВМ авансов, а иногда ухитряется получить два раза полную стоимость за одни и те же поставки (Ижорский завод).</w:t>
      </w:r>
    </w:p>
    <w:p w14:paraId="58C180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устранения в дальнейшем как параллелизма в работе, так и неправильности выписывания расчетных поручений промышленностью, необходимо провести в жизнь следующие мероприятия:</w:t>
      </w:r>
    </w:p>
    <w:p w14:paraId="126AF3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передать все расчетные функции с поставщиками ЦВФУ, где уже сосредоточен учет кредитов.</w:t>
      </w:r>
    </w:p>
    <w:p w14:paraId="2C04E4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разработать специальную инструкцию для органов ВСНХ и Госбанка по оплате военных зака</w:t>
      </w:r>
      <w:r w:rsidRPr="00507A31">
        <w:rPr>
          <w:color w:val="000000" w:themeColor="text1"/>
          <w:sz w:val="16"/>
          <w:szCs w:val="16"/>
        </w:rPr>
        <w:softHyphen/>
        <w:t>зов. Одним из моментов инструкции должно быть: запрещение органом Госбанка оплачивать рас</w:t>
      </w:r>
      <w:r w:rsidRPr="00507A31">
        <w:rPr>
          <w:color w:val="000000" w:themeColor="text1"/>
          <w:sz w:val="16"/>
          <w:szCs w:val="16"/>
        </w:rPr>
        <w:softHyphen/>
        <w:t>четные поручения без соответствующей визы военного представителя.</w:t>
      </w:r>
    </w:p>
    <w:p w14:paraId="52BF1B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7а. Решения Правительства, РВС СССР, ВСНХ по автобронетанкотракторным вопросам</w:t>
      </w:r>
    </w:p>
    <w:p w14:paraId="0894BA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Решения Правительства</w:t>
      </w:r>
    </w:p>
    <w:p w14:paraId="4CB04D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От 6 января 1930 г. по подготовке автотранспорта к обороне.</w:t>
      </w:r>
    </w:p>
    <w:p w14:paraId="22A53C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выявлена потребность в автотранспорте, по вар. №10 и представлена в Штаб РККА I Работа не закончена, так как Центральное мобилизационное управление НКПС лишь к 1 декабря с.г. предоставит данные о наличии автотранспорта. Только после получения этих данных, возможно, бу-1 дет провести работу по освобождению автотранспорта от повинности, о приписке, о составлении! плана перевозок. По плану работ Штаба РККА вся работа по автоповинности должна быть закончена к 15 апреля 1931 г.</w:t>
      </w:r>
    </w:p>
    <w:p w14:paraId="381415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Постановлением РЗ СТО от 10 мая 1930 г. поручается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w:t>
      </w:r>
    </w:p>
    <w:p w14:paraId="758AAD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Решением РЗ СТО от 2 июня 1930 г. принято к сведению заявление тт. Урываева и Будняка о том, что принятыми со стороны ВСНХ мерами выполнение программы танкостроения текущего года обеспечивается полностью к 1 октября 1930 г.</w:t>
      </w:r>
    </w:p>
    <w:p w14:paraId="642E7F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Постановление РЗ СТО от 10 мая 1930 г. выполнено. Благодаря принятым тт. Калининым и Буняком мерам был достигнут резкий перелом выполнения танковой программы заводом «Большевик». Но, несмотря на данное тт. Урываевым и Будняком обещание Правительству о выполнении! танковой программы к 1 октября 1930 г. оно выполнено не было. Как уже указывалось выше танковая программа 1929/30 г. будет выполнена только к 18 ноября с.г.</w:t>
      </w:r>
    </w:p>
    <w:p w14:paraId="66D4E1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Решением инстанции была образована специальная комиссия по рассмотрению образцов и определению производственных баз по танкотракторному строению. Работы этой ко-| миссии не закончены и никаких окончательных решений не принято. В связи с чем, в жизн реальных мероприятий по ассимиляции танкового производства на тракторных заводах не проводится.</w:t>
      </w:r>
    </w:p>
    <w:p w14:paraId="0FE402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Решения РВС СССР</w:t>
      </w:r>
    </w:p>
    <w:p w14:paraId="392F54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1.17 декабря 1929 г. РВС СССР утвержден план заказов по моторизации и механизации РК на 1929/30 г.</w:t>
      </w:r>
    </w:p>
    <w:p w14:paraId="67CFAA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Выполнение этого плана заказов было указано выше.</w:t>
      </w:r>
    </w:p>
    <w:p w14:paraId="24BE08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Этим же решением УММ было обязано закупить за границей 100 шт. трехосных шасси, что выполнено специальной комиссией под председательством т. Халепского.</w:t>
      </w:r>
    </w:p>
    <w:p w14:paraId="2962B5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Решением РВС СССР от 23 января 1930 г. УММ обязывалось осуществить целый ряд изменений в конструкции малого танка МС-1.</w:t>
      </w:r>
    </w:p>
    <w:p w14:paraId="4AD4CE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Эти изменения в основном осуществлены, за исключением 4-х скоростной коробки скоро испытание которой с благоприятными результатами закончено только на днях.</w:t>
      </w:r>
    </w:p>
    <w:p w14:paraId="610338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принятыми изменениями была допущена, со стороны Заводоуправления «Большевик» ошибка, выражающаяся в запуске в производство нового ведущего колеса без предварительных испытаний.</w:t>
      </w:r>
    </w:p>
    <w:p w14:paraId="53A045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21 марта с.г. РВС СССР по докладу УММ констатировал катастрофическое положение в) полнении танковой программы по недоделу за 1928/29 г. и по программе 1929/30 г.</w:t>
      </w:r>
    </w:p>
    <w:p w14:paraId="4694C8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13 августа с.г. РВС СССР констатировал провал в выполнении танковой программы, так какз июль месяц не было сдано ни одного танка.</w:t>
      </w:r>
    </w:p>
    <w:p w14:paraId="54DA0F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От 13 сентября с.г. РВС СССР принял к сведению заявление т. Будняка, что заказ на 3001 танков МС-1 будет выполнен полностью к 15 ноября с.г.</w:t>
      </w:r>
    </w:p>
    <w:p w14:paraId="4C9694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Как видно из выше изложенного РВС СССР несколько раз заслушивал доклад о танкостроен за 1929/30 г. В результате принятых решений было достигнуто такое положение, что программа будет выполнена к 15 декабря с.г.</w:t>
      </w:r>
    </w:p>
    <w:p w14:paraId="47C69D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Что же касается выполнения программы по среднему танку, то РВС СССР в своих постановлениях от 21 марта, 1-5 июля (комиссия т. Уборевич), 13 сентября обращал внимание ВСНХ на недопустимо медленный темп в осуществлении строительства среднего танка. Только благодаря энергично-|му вмешательству РВС и его органа УММ в настоящее время осуществляется строительство специального цеха на ХПЗ.</w:t>
      </w:r>
    </w:p>
    <w:p w14:paraId="29A0E8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 несмотря на это, все-таки стоит под угрозой срыва как выполнение 15 средних танков к 1 января, так и 350 танков к 31 декабря 1931 г., так как строительство нового цеха и налаживание произ</w:t>
      </w:r>
      <w:r w:rsidRPr="00507A31">
        <w:rPr>
          <w:color w:val="000000" w:themeColor="text1"/>
          <w:sz w:val="16"/>
          <w:szCs w:val="16"/>
        </w:rPr>
        <w:softHyphen/>
        <w:t>водства идет не вполне удовлетворительно. Особо узким местом является недостаточность производства брони и танковых корпусов на Ижорском заводе. Это дело еще поправимо, если действительно ВСНХ примет все меры по постройке нового броневого корпуса на Ижорском заводе. УММ по данному вопросу представлен специальный доклад в РЗ СТО.</w:t>
      </w:r>
    </w:p>
    <w:p w14:paraId="1D1237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Решением комиссии т. Уборевич от 1-5 июля с.г., РВС СССР от 13 августа с.г. совещанием замов от 6 сентября с.г. и РВС СССР от 2 октября с.г.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w:t>
      </w:r>
    </w:p>
    <w:p w14:paraId="5EF6AB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Решения ВСНХ</w:t>
      </w:r>
    </w:p>
    <w:p w14:paraId="381F06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Управление механизации и моторизации за истекший год несколько раз ставило перед органами Президиума ВСНХ вопросы по осуществлению танкового, тракторного и автомобильного строи-I тельства. Здесь я только остановлюсь на наиболее важных решениях.</w:t>
      </w:r>
    </w:p>
    <w:p w14:paraId="193705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Решение совещания под председательством нач. МПУ т. Постникова от 11 мая 1930 г. по организании броневой базы в Сталинграде.</w:t>
      </w:r>
    </w:p>
    <w:p w14:paraId="6EEAFE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Этим решением «Сталь» обязывалось доложить в декадный срок вопрос о подготовке броневой базы. Последнее выполнено не было, так как ни «Сталь», ни само МПУ никаких конкретных прора</w:t>
      </w:r>
      <w:r w:rsidRPr="00507A31">
        <w:rPr>
          <w:color w:val="000000" w:themeColor="text1"/>
          <w:sz w:val="16"/>
          <w:szCs w:val="16"/>
        </w:rPr>
        <w:softHyphen/>
        <w:t>боток по данному вопросу не имело.</w:t>
      </w:r>
    </w:p>
    <w:p w14:paraId="482812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На совещании от 7 августа 1930 г. у Зампреда ВСНХ т. Уншлихта были приняты следующие ре</w:t>
      </w:r>
      <w:r w:rsidRPr="00507A31">
        <w:rPr>
          <w:color w:val="000000" w:themeColor="text1"/>
          <w:sz w:val="16"/>
          <w:szCs w:val="16"/>
        </w:rPr>
        <w:softHyphen/>
        <w:t>шения:</w:t>
      </w:r>
    </w:p>
    <w:p w14:paraId="446ABA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 производстве танкеток с доведением до 4000 шт. в год при мобилизации в 1932/33 г. Для это</w:t>
      </w:r>
      <w:r w:rsidRPr="00507A31">
        <w:rPr>
          <w:color w:val="000000" w:themeColor="text1"/>
          <w:sz w:val="16"/>
          <w:szCs w:val="16"/>
        </w:rPr>
        <w:softHyphen/>
        <w:t>го производства приспособить автозавод №2.</w:t>
      </w:r>
    </w:p>
    <w:p w14:paraId="4D7D02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настоящее время приступлено к работам по осуществлению данного мероприятия.</w:t>
      </w:r>
    </w:p>
    <w:p w14:paraId="4FD55A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по среднему танку.</w:t>
      </w:r>
    </w:p>
    <w:p w14:paraId="4708C8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 по моторному заводу.</w:t>
      </w:r>
    </w:p>
    <w:p w14:paraId="36EDB9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по броне.</w:t>
      </w:r>
    </w:p>
    <w:p w14:paraId="58EA07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эти три вопроса не разрешены, так как комиссией инстанции, а также Правительством не приняты решения по докладу комиссии т. Смилги о создании танковой и броневой производствен</w:t>
      </w:r>
      <w:r w:rsidRPr="00507A31">
        <w:rPr>
          <w:color w:val="000000" w:themeColor="text1"/>
          <w:sz w:val="16"/>
          <w:szCs w:val="16"/>
        </w:rPr>
        <w:softHyphen/>
        <w:t>ной базы в Сталинграде.</w:t>
      </w:r>
    </w:p>
    <w:p w14:paraId="251E50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 немедленного решения этого вопроса зависит обеспечение мобпотребности РККА и выпол</w:t>
      </w:r>
      <w:r w:rsidRPr="00507A31">
        <w:rPr>
          <w:color w:val="000000" w:themeColor="text1"/>
          <w:sz w:val="16"/>
          <w:szCs w:val="16"/>
        </w:rPr>
        <w:softHyphen/>
        <w:t>нение производственной программы по танкостроению 1932/33 г.</w:t>
      </w:r>
    </w:p>
    <w:p w14:paraId="170D92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На совещании от 28 августа Зампреда ВСНХ т. Уншлихта УММ поставило следующие вопросы:</w:t>
      </w:r>
    </w:p>
    <w:p w14:paraId="7EC75D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об окончании всех работ по гусеничному придатку к трактору Интернационал.</w:t>
      </w:r>
    </w:p>
    <w:p w14:paraId="415273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о разработке проекта модернизации трактора Катерпиллер 60.</w:t>
      </w:r>
    </w:p>
    <w:p w14:paraId="1331D8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об обеспечении прицепными повозками как тракторов, так и арттягачей.</w:t>
      </w:r>
    </w:p>
    <w:p w14:paraId="7A52C7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о выполнении военной программы по автобронетанкотракторному вооружению.</w:t>
      </w:r>
    </w:p>
    <w:p w14:paraId="54CAEAD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всем перечисленным вопросам были приняты решения, осуществление которых находится в следующем положении: закончены чертежи по гусеничным придаткам к трактору Интернационал, приступлено к модернизации трактора Катерпиллер-60, дано задание Союзсельмашу по изготовле</w:t>
      </w:r>
      <w:r w:rsidRPr="00507A31">
        <w:rPr>
          <w:color w:val="000000" w:themeColor="text1"/>
          <w:sz w:val="16"/>
          <w:szCs w:val="16"/>
        </w:rPr>
        <w:softHyphen/>
        <w:t>нию прицепных повозок для тракторов и арттягачей, согласовывается выполнение мобзаявки по ав</w:t>
      </w:r>
      <w:r w:rsidRPr="00507A31">
        <w:rPr>
          <w:color w:val="000000" w:themeColor="text1"/>
          <w:sz w:val="16"/>
          <w:szCs w:val="16"/>
        </w:rPr>
        <w:softHyphen/>
        <w:t>тобронетанкотракторному имуществу с объединением ВСНХ и будет закончено к 1 ноября 1930 г.</w:t>
      </w:r>
    </w:p>
    <w:p w14:paraId="079F12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том же совещании был заслушан доклад т. Смилги о результатах поездки в Сталинград. На основании доклада т. Смилги были приняты решения о постройке малых танков Т-26 и средних тан</w:t>
      </w:r>
      <w:r w:rsidRPr="00507A31">
        <w:rPr>
          <w:color w:val="000000" w:themeColor="text1"/>
          <w:sz w:val="16"/>
          <w:szCs w:val="16"/>
        </w:rPr>
        <w:softHyphen/>
        <w:t>ков Т-24 на Сталинградском заводе, о постройке специального броневого завода и специального завода по фасонному стальному литью и о расширении работ по строительству-Стальгресса и о Мотор</w:t>
      </w:r>
      <w:r w:rsidRPr="00507A31">
        <w:rPr>
          <w:color w:val="000000" w:themeColor="text1"/>
          <w:sz w:val="16"/>
          <w:szCs w:val="16"/>
        </w:rPr>
        <w:softHyphen/>
        <w:t>ном заводе.</w:t>
      </w:r>
    </w:p>
    <w:p w14:paraId="7CA678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Как уже указывалось выше, эти решения пока что не реализованы, так как не утверждены ни Правительством, ни специальной комиссией инстанции.</w:t>
      </w:r>
    </w:p>
    <w:p w14:paraId="195D1A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этом же совещании также был заслушан доклад комиссии т. Кононенко об обеспечении бро</w:t>
      </w:r>
      <w:r w:rsidRPr="00507A31">
        <w:rPr>
          <w:color w:val="000000" w:themeColor="text1"/>
          <w:sz w:val="16"/>
          <w:szCs w:val="16"/>
        </w:rPr>
        <w:softHyphen/>
        <w:t>ней заказа 1931 г. По этому вопросу было вынесено решение провести в жизнь мероприятие по Ижорскому заводу, для чего ассигновать 3 200 000 руб., из коих немедленно 700 000 руб. и 2 500 000 руб., по смете 1930/31 г. При принятии данного решения было констатировано, что производствен</w:t>
      </w:r>
      <w:r w:rsidRPr="00507A31">
        <w:rPr>
          <w:color w:val="000000" w:themeColor="text1"/>
          <w:sz w:val="16"/>
          <w:szCs w:val="16"/>
        </w:rPr>
        <w:softHyphen/>
        <w:t>ная программа может быть обеспечена только в случае развертывания максимальных темпов строи</w:t>
      </w:r>
      <w:r w:rsidRPr="00507A31">
        <w:rPr>
          <w:color w:val="000000" w:themeColor="text1"/>
          <w:sz w:val="16"/>
          <w:szCs w:val="16"/>
        </w:rPr>
        <w:softHyphen/>
        <w:t>тельства. При проверке всего этого дела в первых числах октября с.г. оказалось, что на Ижорском за</w:t>
      </w:r>
      <w:r w:rsidRPr="00507A31">
        <w:rPr>
          <w:color w:val="000000" w:themeColor="text1"/>
          <w:sz w:val="16"/>
          <w:szCs w:val="16"/>
        </w:rPr>
        <w:softHyphen/>
        <w:t>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Начинает раскачиваться также Мобилизационно-плановое управление ВСНХ.</w:t>
      </w:r>
    </w:p>
    <w:p w14:paraId="23DE17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заключение считаю необходимым отметить, что Президиумом ВСНХ и его объединениями не уделяется достаточное внимание к вопросам обороны. В результате чего ряд ответственных решений остаются на бумаге и не проводятся в жизнь. В связи с чем, Управлению механизации и мотори</w:t>
      </w:r>
      <w:r w:rsidRPr="00507A31">
        <w:rPr>
          <w:color w:val="000000" w:themeColor="text1"/>
          <w:sz w:val="16"/>
          <w:szCs w:val="16"/>
        </w:rPr>
        <w:softHyphen/>
        <w:t>зации приходится много сил и энергии употреблять для продвижения в органах ВСНХ важнейших для обороны вопросов. Несомненно, что необходимо принять целый ряд организационных меропри</w:t>
      </w:r>
      <w:r w:rsidRPr="00507A31">
        <w:rPr>
          <w:color w:val="000000" w:themeColor="text1"/>
          <w:sz w:val="16"/>
          <w:szCs w:val="16"/>
        </w:rPr>
        <w:softHyphen/>
        <w:t>ятий по усилению оборонных органов ВСНХ и кардинальнейшим образом пересмотреть всю систему прохождения мобилизационных вопросов в Президиуме ВСНХ.</w:t>
      </w:r>
    </w:p>
    <w:p w14:paraId="1A4839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настоящем отчете не приведен еще целый ряд постановлений РВС СССР, так как по выполнению их Управлением механизации и моторизации был представлен специальный и подробный доклад.</w:t>
      </w:r>
    </w:p>
    <w:p w14:paraId="5FD21C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Выводы и предложения.</w:t>
      </w:r>
    </w:p>
    <w:p w14:paraId="1AA959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основании 9-месячного опыта работ Технического управления и результатов этой работы обходимо на особый квартал и на 1931 г. поставить следующие основные задачи:</w:t>
      </w:r>
    </w:p>
    <w:p w14:paraId="6DD36F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Обеспечение мобилизационного развертывания Армии по вар. №10 к весне 1931 г.</w:t>
      </w:r>
    </w:p>
    <w:p w14:paraId="6364D3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Составление плана снабжения войны по вар. №10 в случае войны весной 1931 г.</w:t>
      </w:r>
    </w:p>
    <w:p w14:paraId="2E24DB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Разработка положения о снабжении Армии имуществом УММ как на военное, так и на мионое время.</w:t>
      </w:r>
    </w:p>
    <w:p w14:paraId="570510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Проведение в жизнь в течение 1931 г. в смысле реального осуществления строительства монтных баз как по линии промышленности, так и по линии РККА для ремонта имущества УММ1 в военное, так и в мирное время.</w:t>
      </w:r>
    </w:p>
    <w:p w14:paraId="785E3E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Основной задачей считать создание производственной базы по танкостроению, в частное во что бы то ни стало в течение 1931 г. закончить все строительные работы по Сталинграду, с тем, чтобы весной 1932 г. было достигнуто эксплуатационное состояние всех производственных приятии Сталинграда по танкостроению.</w:t>
      </w:r>
    </w:p>
    <w:p w14:paraId="52974D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Внедрить, во что бы то ни стало, в серийное производство танкетку Т-27, танки Т-20, Т-19^ Т-24 и трехосные автомашины с повышенной проходимостью.</w:t>
      </w:r>
    </w:p>
    <w:p w14:paraId="118B2B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Разработать к весне 1931 г. все основные наставления, инструкции и описания по матери ной части, заготовляемой УММ, и по уходу за ней.</w:t>
      </w:r>
    </w:p>
    <w:p w14:paraId="232113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Привести в полный порядок склад №127 в течение особого квартала.</w:t>
      </w:r>
    </w:p>
    <w:p w14:paraId="46FB4D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Закончить разработку новых форм и методов учета имущества УММ, с тем чтобы с 1 января 1931 г. завести как качественный, так и количественный учет по этим новым формам и методам.</w:t>
      </w:r>
    </w:p>
    <w:p w14:paraId="31DFAA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Закончить тарифно-формировочную работу на складах с тем, чтобы на основании этого достигнуть значительного снижения стоимости ремонта имущества складами УММ.</w:t>
      </w:r>
    </w:p>
    <w:p w14:paraId="6C9099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С 1 января 1931 г. перевести Управление полностью на систему ответственных исполнителей.</w:t>
      </w:r>
    </w:p>
    <w:p w14:paraId="026647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научно-техническому комитету</w:t>
      </w:r>
    </w:p>
    <w:p w14:paraId="28CF8F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1 секции Работы по системе вооружения.</w:t>
      </w:r>
    </w:p>
    <w:p w14:paraId="3DD3EA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Танкетка-гусеничная Т-23. 1. Разработаны тактико-технические требования и даны задания Оружобъединию.</w:t>
      </w:r>
    </w:p>
    <w:p w14:paraId="05CD93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Под наблюдение НТК, с учетом опыта предыдущих конструкций ГКБ разработан проект.</w:t>
      </w:r>
    </w:p>
    <w:p w14:paraId="3AA36C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Проект рассмотрен в НТК, дополнен и утвержден для исполнения опытного образца.</w:t>
      </w:r>
    </w:p>
    <w:p w14:paraId="2A9205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Под наблюдением НТК начата постройка опытного экземпляра на заводе «Большевик» со срок окончания 1 марта 1931 г. 5. Окончание испытаний намечается к 1 апреля 1931 г.</w:t>
      </w:r>
    </w:p>
    <w:p w14:paraId="3ED9E6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Танкетка гусеничноколесная</w:t>
      </w:r>
    </w:p>
    <w:p w14:paraId="4860F7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тактико-технические требования и дано задание Оружобъединению.</w:t>
      </w:r>
    </w:p>
    <w:p w14:paraId="4B0DC7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Пересоставлены тактико-технические требования в сторону использования стандартных де-ей отечественного автостроения, так как проекты и условные сроки не выполнены вследствие рудности их исполнения.</w:t>
      </w:r>
    </w:p>
    <w:p w14:paraId="6AA6E8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Под наблюдением НТК начато проектирование в НАМИ и ГКИ Оружобъединения.</w:t>
      </w:r>
    </w:p>
    <w:p w14:paraId="203BC1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Проект должен быть закончен к 1 января 1931 г.</w:t>
      </w:r>
    </w:p>
    <w:p w14:paraId="2F81DE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Малый гусеничный танк Т-19</w:t>
      </w:r>
    </w:p>
    <w:p w14:paraId="245390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технико-технические требования и дано задание на проектирование.</w:t>
      </w:r>
    </w:p>
    <w:p w14:paraId="34E532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Под руководством НТК проект разработан главным конструкторским бюро завода «Больше-к» и утвержден под маркой Т-19.</w:t>
      </w:r>
    </w:p>
    <w:p w14:paraId="57E071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Под наблюдением НТК начата постройка опытного образца со сроком окончания в январе 1931 г.</w:t>
      </w:r>
    </w:p>
    <w:p w14:paraId="586601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Окончание испытаний намечается к 1 апреля 1931 г.</w:t>
      </w:r>
    </w:p>
    <w:p w14:paraId="5C4687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Малый гусеничный танк Т-20</w:t>
      </w:r>
    </w:p>
    <w:p w14:paraId="18D5FA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Под наблюдением НТК ГКБ Оружобъединения разработан проект модернизации танка МС-1 сновым мотором 60 НР.</w:t>
      </w:r>
    </w:p>
    <w:p w14:paraId="63FF9C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Под наблюдением НТК изготавливается опытный экземпляр танка со сроком окончания 15 ноября 1930 г.</w:t>
      </w:r>
    </w:p>
    <w:p w14:paraId="602AE8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Испытание танка намечается на 15 декабря 1930 г. со сроком окончания в январе 1931 г.</w:t>
      </w:r>
    </w:p>
    <w:p w14:paraId="6933AF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Малый гусенично-колесный танк</w:t>
      </w:r>
    </w:p>
    <w:p w14:paraId="7EE6D6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НТК участвовал в рассмотрении рабочих чертежей танка по проекту Фольмор, но осущестление этой конструкции задержано, до испытания имеющегося аналогичного образца.</w:t>
      </w:r>
    </w:p>
    <w:p w14:paraId="78C508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Средний танк Т-12 - Т-24</w:t>
      </w:r>
    </w:p>
    <w:p w14:paraId="39EF75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НТК проведено испытание танка Т-12, в результате которого последний пущен в серийное производство.</w:t>
      </w:r>
    </w:p>
    <w:p w14:paraId="327669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Большой танк</w:t>
      </w:r>
    </w:p>
    <w:p w14:paraId="03B438C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тактико-технические требования и выдано задание на проектирование ГКБ Ору</w:t>
      </w:r>
      <w:r w:rsidRPr="00507A31">
        <w:rPr>
          <w:color w:val="000000" w:themeColor="text1"/>
          <w:sz w:val="16"/>
          <w:szCs w:val="16"/>
        </w:rPr>
        <w:softHyphen/>
        <w:t>жобъединения со сроком окончания проекта 1 марта 1931 г.</w:t>
      </w:r>
    </w:p>
    <w:p w14:paraId="33F2DB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Параллельно дано задание фирме Виккерс на проектирование этой конструкции. Ответные замечания фирмы Виккерс рассмотрены в НТК и выработано видоизмененное техническое задание для этой фирмы.</w:t>
      </w:r>
    </w:p>
    <w:p w14:paraId="06E223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Средний танк плавучий</w:t>
      </w:r>
    </w:p>
    <w:p w14:paraId="2C8688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тактико-технические требования, но в силу новизны конструкции, отсутствия опыта, проектирование еще не начато.</w:t>
      </w:r>
    </w:p>
    <w:p w14:paraId="4033B2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Основными препятствиями к своевременному выполнению работ системе вооружения являются:</w:t>
      </w:r>
    </w:p>
    <w:p w14:paraId="1A5E11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Недостаток конструкторских сил в промышленности.</w:t>
      </w:r>
    </w:p>
    <w:p w14:paraId="25C69F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Отсутствие мощных опытных мастерских при заводах, выполняющих эти работы. Вследствие этого НТК были приняты все меры для ускорения проектирования и постройки опытных образцов путем участия в:</w:t>
      </w:r>
    </w:p>
    <w:p w14:paraId="4FCEBC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 Организации опытной мастерской на заводе «Большевик» Оружобъединения.</w:t>
      </w:r>
    </w:p>
    <w:p w14:paraId="49153F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Снабжении кадрами за счет военного ведомства.</w:t>
      </w:r>
    </w:p>
    <w:p w14:paraId="4F3A52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Разгрузке опытной мастерской от дублирующих экземпляров опытных образцов.</w:t>
      </w:r>
    </w:p>
    <w:p w14:paraId="0B8E38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Непосредственном наблюдении за проектированием и производством.</w:t>
      </w:r>
    </w:p>
    <w:p w14:paraId="6A1C83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Работы вне системы вооружения</w:t>
      </w:r>
    </w:p>
    <w:p w14:paraId="62EC4A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Танкетка типа Карден-Лойд. 1. Составлено техническое задание, под наблюдением НТК выполнен общий проект 2-м заводом ВАТО, с использованием моторной установки Форд-АА.</w:t>
      </w:r>
    </w:p>
    <w:p w14:paraId="1E03C9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Приступлено к выполнению опытного образца под непосредственным руководством НТК, со сроком окончания 1 января 1931 г.</w:t>
      </w:r>
    </w:p>
    <w:p w14:paraId="1261BD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Для предварительной проверки производится изготовление танкетки с двигателем и корпусом Кар</w:t>
      </w:r>
      <w:r w:rsidRPr="00507A31">
        <w:rPr>
          <w:color w:val="000000" w:themeColor="text1"/>
          <w:sz w:val="16"/>
          <w:szCs w:val="16"/>
        </w:rPr>
        <w:softHyphen/>
        <w:t>ден (английский тип), но с мотором и трансмиссией Форд-АА. Срок окончания работ 7 ноября 1930 г.</w:t>
      </w:r>
    </w:p>
    <w:p w14:paraId="4ABF07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Окончание испытаний этого образца к 1 декабря 1930 г.</w:t>
      </w:r>
    </w:p>
    <w:p w14:paraId="1D8170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Испытания Под руководством НТК произведены следующие испытания:</w:t>
      </w:r>
    </w:p>
    <w:p w14:paraId="09C108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Параллельные испытания МС-1 с 3-х скоростной и 4-х скоростной коробками передач.</w:t>
      </w:r>
    </w:p>
    <w:p w14:paraId="4D734A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Большое испытание танка Т-12.</w:t>
      </w:r>
    </w:p>
    <w:p w14:paraId="5AEC62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Большое испытание танкеток Карден-Лойд марки «VI».</w:t>
      </w:r>
    </w:p>
    <w:p w14:paraId="399A5E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Малое испытание танка Т-12 и танкетки Карден-Лойд в присутствии Зам. наркома т. Уборевича,</w:t>
      </w:r>
    </w:p>
    <w:p w14:paraId="722C26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Участие в маневрах</w:t>
      </w:r>
    </w:p>
    <w:p w14:paraId="22C8B7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Организовано участие в маневрах танкеток Карден-Лойд в целях накопления материалов для отечественного производства.</w:t>
      </w:r>
    </w:p>
    <w:p w14:paraId="09390F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Организовано участие в маневрах танка МС-1 из последней серии для учета дефектов и устранения их.</w:t>
      </w:r>
    </w:p>
    <w:p w14:paraId="6D1D18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2-секции</w:t>
      </w:r>
    </w:p>
    <w:p w14:paraId="1043CC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Работа по системе вооружения Автомобили повышенной проходимости Форд мод. «К»</w:t>
      </w:r>
    </w:p>
    <w:p w14:paraId="13F953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w:t>
      </w:r>
    </w:p>
    <w:p w14:paraId="5EFFFB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Утвержден общий проект, выполненный НАМИ.</w:t>
      </w:r>
    </w:p>
    <w:p w14:paraId="1D6B48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Приступлено к выполнению рабочих чертежей. Форд-АА.</w:t>
      </w:r>
    </w:p>
    <w:p w14:paraId="37CA3C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w:t>
      </w:r>
    </w:p>
    <w:p w14:paraId="64749C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Под наблюдением НТК выполнен общий проект и рабочие чертежи. Разработка производилась в НАМИ.</w:t>
      </w:r>
    </w:p>
    <w:p w14:paraId="68B57B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Опытный образец выполнен на 50%.</w:t>
      </w:r>
    </w:p>
    <w:p w14:paraId="15482A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Произведено испытание образцов фирмы Тимкен НАМИ, выполненных согласно заказам т. Халепского. АМО-2.</w:t>
      </w:r>
    </w:p>
    <w:p w14:paraId="0C875E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проектирование.</w:t>
      </w:r>
    </w:p>
    <w:p w14:paraId="404FF0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Испытан образец 6-ти колески Тимкен-Автокар (не удовлетворяет требованиям НКВМ).</w:t>
      </w:r>
    </w:p>
    <w:p w14:paraId="55B9D8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Приступлено к изготовлению опытного образца с использованием ходовой части машины Мо релянд (работа производится на складе №127 по указаниям НТК). Я-5.</w:t>
      </w:r>
    </w:p>
    <w:p w14:paraId="55C3D5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и для выбора типа конструкции были произведены ис тания заграничных образцов Морелянд и Даймент.</w:t>
      </w:r>
    </w:p>
    <w:p w14:paraId="54E7AA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Броневые автомобили Автомобиль Форд-А, вооруженный пулеметом</w:t>
      </w:r>
    </w:p>
    <w:p w14:paraId="56800E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Выполнен и утвержден общий проект и рабочие чертежи.</w:t>
      </w:r>
    </w:p>
    <w:p w14:paraId="09C2A8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Изготовлено 3 опытных образца, переданные для испытания на маневры в Мехбригаду. Броневой автомобиль на 6-ти колесном шасси Форд-АА</w:t>
      </w:r>
    </w:p>
    <w:p w14:paraId="0BC62A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 заданиям НТК выполнен общий проект и на 85% окончены рабочие чертежи. Броневой автомобиль на 6-ти колесном шасси АМО-2</w:t>
      </w:r>
    </w:p>
    <w:p w14:paraId="4C4C38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и для ускорения получения 6-ти колесной бронемаши типа АМО-2, разрабатывается проект бронирования шасси Морелянд.</w:t>
      </w:r>
    </w:p>
    <w:p w14:paraId="2322EC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Опытный образец ожидается к 1 февраля 1931 г.</w:t>
      </w:r>
    </w:p>
    <w:p w14:paraId="0DC716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Основными препятствиями к своевременному выполнению работ по системе вооружения 5 имеются:</w:t>
      </w:r>
    </w:p>
    <w:p w14:paraId="29B339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Недостаток конструкторских сил в НАМИ, который является основным исполнителем данной категории работ.</w:t>
      </w:r>
    </w:p>
    <w:p w14:paraId="5BA518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Недостаточное внимание ВАТО к работам оборонного порядка.</w:t>
      </w:r>
    </w:p>
    <w:p w14:paraId="67BB76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Отсутствие опытного завода у ВАТО.</w:t>
      </w:r>
    </w:p>
    <w:p w14:paraId="1DB449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Недостаток конструкторских сил на Ижорском заводе и отсутствие на таковом опытной мас</w:t>
      </w:r>
      <w:r w:rsidRPr="00507A31">
        <w:rPr>
          <w:color w:val="000000" w:themeColor="text1"/>
          <w:sz w:val="16"/>
          <w:szCs w:val="16"/>
        </w:rPr>
        <w:softHyphen/>
        <w:t>терской.</w:t>
      </w:r>
    </w:p>
    <w:p w14:paraId="287EE0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Работы вне системы вооружения</w:t>
      </w:r>
    </w:p>
    <w:p w14:paraId="266C42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Броневые автомобили Форд-А</w:t>
      </w:r>
    </w:p>
    <w:p w14:paraId="224780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проектирование полубронированного корпуса.</w:t>
      </w:r>
    </w:p>
    <w:p w14:paraId="2C1F66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Разработаны и утверждены общий проект и рабочие чертежи.</w:t>
      </w:r>
    </w:p>
    <w:p w14:paraId="4BA382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Приступлено к выполнению опытного образца.</w:t>
      </w:r>
    </w:p>
    <w:p w14:paraId="5AE326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Разработаны технические задания на проектирование бронированного корпуса (глухая бро</w:t>
      </w:r>
      <w:r w:rsidRPr="00507A31">
        <w:rPr>
          <w:color w:val="000000" w:themeColor="text1"/>
          <w:sz w:val="16"/>
          <w:szCs w:val="16"/>
        </w:rPr>
        <w:softHyphen/>
        <w:t>нировка с башней).</w:t>
      </w:r>
    </w:p>
    <w:p w14:paraId="5749CDC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Утвержден общий проект этой бронировки.</w:t>
      </w:r>
    </w:p>
    <w:p w14:paraId="45672E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Зимний транспорт</w:t>
      </w:r>
    </w:p>
    <w:p w14:paraId="2265E5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конструкцию автосаней с использованием агрегатов Форда и утверждена общая схема проекта. (Проект разрабатывает НАМИ).</w:t>
      </w:r>
    </w:p>
    <w:p w14:paraId="3A14E0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Производится изготовление опытного образца приспособления, для движения по снегу, к мо</w:t>
      </w:r>
      <w:r w:rsidRPr="00507A31">
        <w:rPr>
          <w:color w:val="000000" w:themeColor="text1"/>
          <w:sz w:val="16"/>
          <w:szCs w:val="16"/>
        </w:rPr>
        <w:softHyphen/>
        <w:t>тоциклу, со сроком окончания работ в декабре 1930 г. (Работы производит УКРМЕТО).</w:t>
      </w:r>
    </w:p>
    <w:p w14:paraId="4E0239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Дано техническое задание и заказ на изготовление 3 образцов приборов инж. Грюнберга, со сроком окончания работ в январе 1931 г.</w:t>
      </w:r>
    </w:p>
    <w:p w14:paraId="465744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Перевозка различного войскового имущества</w:t>
      </w:r>
    </w:p>
    <w:p w14:paraId="1CF024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Произведена опытная перевозка 13 объектов различного войскового имущества.</w:t>
      </w:r>
    </w:p>
    <w:p w14:paraId="43BF0B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Разработаны схемы и чертежи укладки.</w:t>
      </w:r>
    </w:p>
    <w:p w14:paraId="132E01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Разработаны технические требования оборудованных кузовов для механизированных частей.</w:t>
      </w:r>
    </w:p>
    <w:p w14:paraId="66FF0E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Вооруженный мотоцикл с пулеметом</w:t>
      </w:r>
    </w:p>
    <w:p w14:paraId="61EDD3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Изготовлены опытные образцы и переданы в Мехбригаду для испытания на маневрах.</w:t>
      </w:r>
    </w:p>
    <w:p w14:paraId="7BE330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Испытания Под руководством 2 секции были произведены следующие испытания:</w:t>
      </w:r>
    </w:p>
    <w:p w14:paraId="55CA32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Испытано 4 образца нормальных автомобилей, как транспортных машин РККА.</w:t>
      </w:r>
    </w:p>
    <w:p w14:paraId="490E37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Испытано 3 образца тягачей.</w:t>
      </w:r>
    </w:p>
    <w:p w14:paraId="417612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Испытано 13 образцов машин повышенной проходимости.</w:t>
      </w:r>
    </w:p>
    <w:p w14:paraId="69A944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Испытано 3 образца малолитражных автомобилей.</w:t>
      </w:r>
    </w:p>
    <w:p w14:paraId="1DBE80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Испытано 2 образца мотоциклов.</w:t>
      </w:r>
    </w:p>
    <w:p w14:paraId="3049A6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Маневры 1930 г.</w:t>
      </w:r>
    </w:p>
    <w:p w14:paraId="147FCB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Организовано участие в маневрах 6-ти колесных автомобилей в количестве 6 штук в целях на</w:t>
      </w:r>
      <w:r w:rsidRPr="00507A31">
        <w:rPr>
          <w:color w:val="000000" w:themeColor="text1"/>
          <w:sz w:val="16"/>
          <w:szCs w:val="16"/>
        </w:rPr>
        <w:softHyphen/>
        <w:t>копления материалов их эксплуатации в условиях войсковой службы.</w:t>
      </w:r>
    </w:p>
    <w:p w14:paraId="05BD09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Организованы специальные испытания опытных машин повышенной проходимости в при</w:t>
      </w:r>
      <w:r w:rsidRPr="00507A31">
        <w:rPr>
          <w:color w:val="000000" w:themeColor="text1"/>
          <w:sz w:val="16"/>
          <w:szCs w:val="16"/>
        </w:rPr>
        <w:softHyphen/>
        <w:t>сутствии Зам. наркома т. Уборевич:</w:t>
      </w:r>
    </w:p>
    <w:p w14:paraId="40240A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в июле месяце испытывались 15 автомобилей и 2 тягача,</w:t>
      </w:r>
    </w:p>
    <w:p w14:paraId="41A1F4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в августе месяце - 8 автомобилей и 1 тягач.</w:t>
      </w:r>
    </w:p>
    <w:p w14:paraId="7D366E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Тактико-технические требования, задания и программы</w:t>
      </w:r>
    </w:p>
    <w:p w14:paraId="2C3119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Разработано 26 тактико-технических требований.</w:t>
      </w:r>
    </w:p>
    <w:p w14:paraId="72B47A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Разработано 3 задания на проектирование.</w:t>
      </w:r>
    </w:p>
    <w:p w14:paraId="10D774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Разработано 8 программ испытаний.</w:t>
      </w:r>
    </w:p>
    <w:p w14:paraId="348F84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3 секции</w:t>
      </w:r>
    </w:p>
    <w:p w14:paraId="00DA69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Под руководством Секции закончен модернизацией опытный легкий бронепоезд в составе од</w:t>
      </w:r>
      <w:r w:rsidRPr="00507A31">
        <w:rPr>
          <w:color w:val="000000" w:themeColor="text1"/>
          <w:sz w:val="16"/>
          <w:szCs w:val="16"/>
        </w:rPr>
        <w:softHyphen/>
        <w:t>ного бронепаровоза и двух бронеплощадок с 76 мм пушками образца 1902 г., бронепоезду произве</w:t>
      </w:r>
      <w:r w:rsidRPr="00507A31">
        <w:rPr>
          <w:color w:val="000000" w:themeColor="text1"/>
          <w:sz w:val="16"/>
          <w:szCs w:val="16"/>
        </w:rPr>
        <w:softHyphen/>
        <w:t>дено испытание с 25 июня по 7 июля с.г. и дано заключение по акту комиссии 22 сентября с.г.</w:t>
      </w:r>
    </w:p>
    <w:p w14:paraId="55FF05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Опытный бронепоезд отправлен в Нижний Новгород в Центральную индустриальную лабораторию для установки приемо-передающеи радиостанции, упрощения схемы связи и освещения.</w:t>
      </w:r>
    </w:p>
    <w:p w14:paraId="337F1D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Выполнен и утвержден проект бронирования паровоза типовой полусъемной броней и на складе №60 по этому проекту забронировано два черных паровоза ОВ. Бронировка осмотрена 22 сентября с.г. и даны указания об устранении неполадок и изменении укладки паровозного имущест</w:t>
      </w:r>
      <w:r w:rsidRPr="00507A31">
        <w:rPr>
          <w:color w:val="000000" w:themeColor="text1"/>
          <w:sz w:val="16"/>
          <w:szCs w:val="16"/>
        </w:rPr>
        <w:softHyphen/>
        <w:t>ва. Испытания предположено выполнить в декабре 1930 г.</w:t>
      </w:r>
    </w:p>
    <w:p w14:paraId="2E898E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 Дано техническое задание заводу — «Профинтерн» на выполнение проекта о переводе бро</w:t>
      </w:r>
      <w:r w:rsidRPr="00507A31">
        <w:rPr>
          <w:color w:val="000000" w:themeColor="text1"/>
          <w:sz w:val="16"/>
          <w:szCs w:val="16"/>
        </w:rPr>
        <w:softHyphen/>
        <w:t>нированного паровоза ОВ с тендером и одной четырехосной площадки на 1435 мм колею. Проект за</w:t>
      </w:r>
      <w:r w:rsidRPr="00507A31">
        <w:rPr>
          <w:color w:val="000000" w:themeColor="text1"/>
          <w:sz w:val="16"/>
          <w:szCs w:val="16"/>
        </w:rPr>
        <w:softHyphen/>
        <w:t>кончен 25 сентября с.г.</w:t>
      </w:r>
    </w:p>
    <w:p w14:paraId="6E25FE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Опытный образец ожидается в августе 1931 г.</w:t>
      </w:r>
    </w:p>
    <w:p w14:paraId="42AF2F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Произведено испытание участковой дрезины типа «ПУ» с мотором Форд-А и съемной дрези</w:t>
      </w:r>
      <w:r w:rsidRPr="00507A31">
        <w:rPr>
          <w:color w:val="000000" w:themeColor="text1"/>
          <w:sz w:val="16"/>
          <w:szCs w:val="16"/>
        </w:rPr>
        <w:softHyphen/>
        <w:t>ны типа «С» с мотором Д.</w:t>
      </w:r>
    </w:p>
    <w:p w14:paraId="55C45C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Осуществлено руководящее участие в работах по проектированию тепловоза 1-4-1. (Проект заказан НКПС).</w:t>
      </w:r>
    </w:p>
    <w:p w14:paraId="6919DE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Разработан общий проект. Рабочие чертежи ожидаются к маю 1931 г., а опытный образец с бро</w:t>
      </w:r>
      <w:r w:rsidRPr="00507A31">
        <w:rPr>
          <w:color w:val="000000" w:themeColor="text1"/>
          <w:sz w:val="16"/>
          <w:szCs w:val="16"/>
        </w:rPr>
        <w:softHyphen/>
        <w:t>нированием в декабре 1931 г.</w:t>
      </w:r>
    </w:p>
    <w:p w14:paraId="2086CE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Разработано 5 тактико-технических требований.</w:t>
      </w:r>
    </w:p>
    <w:p w14:paraId="6EBB29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Внеплановые работы</w:t>
      </w:r>
    </w:p>
    <w:p w14:paraId="1D2136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 приказанию Зам. пред. РВС СССР т. Уборевича, под непосредственным руководством сек</w:t>
      </w:r>
      <w:r w:rsidRPr="00507A31">
        <w:rPr>
          <w:color w:val="000000" w:themeColor="text1"/>
          <w:sz w:val="16"/>
          <w:szCs w:val="16"/>
        </w:rPr>
        <w:softHyphen/>
        <w:t>ции выполнен эскизный проект и проведено бронирование вооружением бронеплощадки Ижорско-го завода с 76 мм зенитными пушками.</w:t>
      </w:r>
    </w:p>
    <w:p w14:paraId="1E31C1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Опытный образец выполнен к 14 октября с.г. и поступил на испытание.</w:t>
      </w:r>
    </w:p>
    <w:p w14:paraId="75D728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4 секции</w:t>
      </w:r>
    </w:p>
    <w:p w14:paraId="5A285B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Работы по системе вооружения Легкий трактор</w:t>
      </w:r>
    </w:p>
    <w:p w14:paraId="59439E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проектирование.</w:t>
      </w:r>
    </w:p>
    <w:p w14:paraId="12215B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Заказ на проектирование передан ГКБ ГВООПО.</w:t>
      </w:r>
    </w:p>
    <w:p w14:paraId="24D1FE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Срок изготовления проекта — апрель 1931 г.</w:t>
      </w:r>
    </w:p>
    <w:p w14:paraId="271F4F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Опытный образец ожидается в январе 1932 г.</w:t>
      </w:r>
    </w:p>
    <w:p w14:paraId="77405B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Средний трактор</w:t>
      </w:r>
    </w:p>
    <w:p w14:paraId="7AFA1B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проектирование.</w:t>
      </w:r>
    </w:p>
    <w:p w14:paraId="67EF18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Заказ на проектирование передан в ГХПЗ.</w:t>
      </w:r>
    </w:p>
    <w:p w14:paraId="5A89E9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Опытный образец ожидается в марте 1931 г.</w:t>
      </w:r>
    </w:p>
    <w:p w14:paraId="77DAC7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Выдан заказ на проектирование среднего трактора на шасси Т-19 (второй вариант).</w:t>
      </w:r>
    </w:p>
    <w:p w14:paraId="1F222A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Тяжелый трактор</w:t>
      </w:r>
    </w:p>
    <w:p w14:paraId="7CD17B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проектирование.</w:t>
      </w:r>
    </w:p>
    <w:p w14:paraId="0B8EF1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Заказ на проектирование выдан:</w:t>
      </w:r>
    </w:p>
    <w:p w14:paraId="05CC06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по первому варианту — НАМИ (проект уже готов).</w:t>
      </w:r>
    </w:p>
    <w:p w14:paraId="7F3506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по второму варианту — ГХПЗ (проект будет закончен в декабре 1930 г.) 3. Предположено выполнить опытные образцы по обоим вариантам 1931 г.</w:t>
      </w:r>
    </w:p>
    <w:p w14:paraId="30589F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Транспортер пехоты на шасси Т-19 1. Разработаны технические задания, но проект задерживается, так как опытный экземпляр Т-19 будет готов только в январе 1931 г.</w:t>
      </w:r>
    </w:p>
    <w:p w14:paraId="52F82B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Самоходные установки на шасси Т-19</w:t>
      </w:r>
    </w:p>
    <w:p w14:paraId="15B37D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Даны технические задания на полковую пушку обр. 1927 г., счетверенный зенитный пулемет,</w:t>
      </w:r>
    </w:p>
    <w:p w14:paraId="21E66B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Проектирование образцов задерживается, ввиду отсутствия как шасси Т-19, так и, главным образом, вооружения.</w:t>
      </w:r>
    </w:p>
    <w:p w14:paraId="1FC10A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Работы вне системы вооружения. Под руководством секции были выполнены следующие опытные работы:</w:t>
      </w:r>
    </w:p>
    <w:p w14:paraId="4BBBE7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По заданию штаба РККА произведена модернизация трактора Коммунар типа 90-3 (увеличена скорость до 15 км/ч).</w:t>
      </w:r>
    </w:p>
    <w:p w14:paraId="029CAE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Выполнен опытный образец повозки разведки и связи на шасси типа П-15.</w:t>
      </w:r>
    </w:p>
    <w:p w14:paraId="4FD797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Выполнены опытные образцы прицепной повозки типа П-20.</w:t>
      </w:r>
    </w:p>
    <w:p w14:paraId="1CCD16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Выполнены опытные образцы цистерны на повозке типа П-15.</w:t>
      </w:r>
    </w:p>
    <w:p w14:paraId="02F414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Заканчиваются производством опытные образцы повозки типа П-18 (срок готовности — ноябрь 1930 г.)</w:t>
      </w:r>
    </w:p>
    <w:p w14:paraId="68B4ED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Заканчивается производством опытного образца легкого трактора на шасси Т-18 (окончание работ ожидается только в ноябре 1930 г.).</w:t>
      </w:r>
    </w:p>
    <w:p w14:paraId="000E44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Помимо этого выполнены проекты и подлежат заказам:</w:t>
      </w:r>
    </w:p>
    <w:p w14:paraId="3E6CF7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Гусеничная повозка на 2 тонны — опытный образец ожидается 1 мая 1931 г.</w:t>
      </w:r>
    </w:p>
    <w:p w14:paraId="7553C6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Цистерна на повозке типа П-18 - опытный образец ожидается 1 мая 1931 г.</w:t>
      </w:r>
    </w:p>
    <w:p w14:paraId="29F5F0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Модернизация трактора Катерпиллер 60 - опытный образец ожидается март - апрель 1931 г.</w:t>
      </w:r>
    </w:p>
    <w:p w14:paraId="5B1B75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Модернизация трактора Интернационал (гусеничный ход).</w:t>
      </w:r>
    </w:p>
    <w:p w14:paraId="477D1B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Внедрение в валовое производство предполагается после испытаний образцов.</w:t>
      </w:r>
    </w:p>
    <w:p w14:paraId="25A422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5 секции Из основных вопросов, намеченных планом Секции, были проведены следующие:</w:t>
      </w:r>
    </w:p>
    <w:p w14:paraId="24BAD1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Разработано руководство по стрелковой подготовке.</w:t>
      </w:r>
    </w:p>
    <w:p w14:paraId="2E04A6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Составлен курс стрельб танковых частей.</w:t>
      </w:r>
    </w:p>
    <w:p w14:paraId="037EAA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Выработаны требования к стрельбищам, учебным полям и лагерям.</w:t>
      </w:r>
    </w:p>
    <w:p w14:paraId="2D4DE6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Производится и намечен ряд опытов, в целях установления действительности огня при стрель</w:t>
      </w:r>
      <w:r w:rsidRPr="00507A31">
        <w:rPr>
          <w:color w:val="000000" w:themeColor="text1"/>
          <w:sz w:val="16"/>
          <w:szCs w:val="16"/>
        </w:rPr>
        <w:softHyphen/>
        <w:t>бе из танка МС-1 (пушки Гочкиса и пулемета Дегтярева), испытание оптического прицела, установ-щие нарезки шкалы прицела.</w:t>
      </w:r>
    </w:p>
    <w:p w14:paraId="2087DE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Опыты по установке и применению компаса для вождения танка. Основные опыты проведе</w:t>
      </w:r>
      <w:r w:rsidRPr="00507A31">
        <w:rPr>
          <w:color w:val="000000" w:themeColor="text1"/>
          <w:sz w:val="16"/>
          <w:szCs w:val="16"/>
        </w:rPr>
        <w:softHyphen/>
        <w:t>ны. Дано задание на оформление конструкции опытного образца.</w:t>
      </w:r>
    </w:p>
    <w:p w14:paraId="176DC5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Разработаны таблицы стрельб из 37 мм пушки Гочкиса.</w:t>
      </w:r>
    </w:p>
    <w:p w14:paraId="693EDC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Разработаны, совместно с ВОХИМУ технические условия противохимической защиты танка.</w:t>
      </w:r>
    </w:p>
    <w:p w14:paraId="2BB11B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Организованы опыты по борьбе ВВС с бронесилами. Стрельбы по бронемашинам производи</w:t>
      </w:r>
      <w:r w:rsidRPr="00507A31">
        <w:rPr>
          <w:color w:val="000000" w:themeColor="text1"/>
          <w:sz w:val="16"/>
          <w:szCs w:val="16"/>
        </w:rPr>
        <w:softHyphen/>
        <w:t>лись в Воронеже. Закончить опыты предполагается в 1931 г.</w:t>
      </w:r>
    </w:p>
    <w:p w14:paraId="4478B0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 Исследование живучести танков МС-1 и Т-24 под огнем противотанковых пушек, выводы о наивыгоднейшем способе маневрирования и бронирования. Производится подбор материалов и теоретическое исследование вопроса.</w:t>
      </w:r>
    </w:p>
    <w:p w14:paraId="651619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Разработано соотношение видов снарядов боекомплекта танков.</w:t>
      </w:r>
    </w:p>
    <w:p w14:paraId="1BD92D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 Разрабатываются вопросы радиосвязи механизированных частей. Даны очередность и зада</w:t>
      </w:r>
      <w:r w:rsidRPr="00507A31">
        <w:rPr>
          <w:color w:val="000000" w:themeColor="text1"/>
          <w:sz w:val="16"/>
          <w:szCs w:val="16"/>
        </w:rPr>
        <w:softHyphen/>
        <w:t>ние ВТУ по всем типам, следить за выполнением.</w:t>
      </w:r>
    </w:p>
    <w:p w14:paraId="75C3CF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Изучены способы стрельбы из танка и по танку иностранных армий. Необходимо поставить поверочные опыты.</w:t>
      </w:r>
    </w:p>
    <w:p w14:paraId="73EB7D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Составлены требования к оборудованию Научно-испытательного полигона.</w:t>
      </w:r>
    </w:p>
    <w:p w14:paraId="2C2F90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 Выбор места стрельбища учебных полей и танкодрома Танковой школы и наметки основных мероприятий в этой части. Задание на проектирование специальных построек.</w:t>
      </w:r>
    </w:p>
    <w:p w14:paraId="37B82F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На НИАПе ведутся опыты по управлению танком на расстоянии. В этом году необходимо за</w:t>
      </w:r>
      <w:r w:rsidRPr="00507A31">
        <w:rPr>
          <w:color w:val="000000" w:themeColor="text1"/>
          <w:sz w:val="16"/>
          <w:szCs w:val="16"/>
        </w:rPr>
        <w:softHyphen/>
        <w:t>кончить все опытные работы по управлению танком на расстоянии. Мост 1 — готов.</w:t>
      </w:r>
    </w:p>
    <w:p w14:paraId="3008FD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 Дано задание ВТУ на оборудование танка радиосветовой сигнализацией. Опыты предполо</w:t>
      </w:r>
      <w:r w:rsidRPr="00507A31">
        <w:rPr>
          <w:color w:val="000000" w:themeColor="text1"/>
          <w:sz w:val="16"/>
          <w:szCs w:val="16"/>
        </w:rPr>
        <w:softHyphen/>
        <w:t>жено закончить в этом году.</w:t>
      </w:r>
    </w:p>
    <w:p w14:paraId="63EB22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 Переработан устав бронесил (автобронечастей) часть 1.</w:t>
      </w:r>
    </w:p>
    <w:p w14:paraId="4EA8E7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 Отредактировано руководство по 37 мм пушке Гочкиса.</w:t>
      </w:r>
    </w:p>
    <w:p w14:paraId="40CA97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 Отредактировано руководство по танку «М».</w:t>
      </w:r>
    </w:p>
    <w:p w14:paraId="372A9F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 Отредактировано руководство по 57 мм пушке Гочкиса.</w:t>
      </w:r>
    </w:p>
    <w:p w14:paraId="792919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 Проведены работы по поверке рассеивания из вкладного ствола.</w:t>
      </w:r>
    </w:p>
    <w:p w14:paraId="38B4C4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22. Установлены нормы убыли бронеединиц во время войны.</w:t>
      </w:r>
    </w:p>
    <w:p w14:paraId="09D6C2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Произведены стрелково-тактические испытания танкеток, Виккерса, танка Т-12 и командир</w:t>
      </w:r>
      <w:r w:rsidRPr="00507A31">
        <w:rPr>
          <w:color w:val="000000" w:themeColor="text1"/>
          <w:sz w:val="16"/>
          <w:szCs w:val="16"/>
        </w:rPr>
        <w:softHyphen/>
        <w:t>ских машин.</w:t>
      </w:r>
    </w:p>
    <w:p w14:paraId="0EDD30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Испытания по (4 секции). Были проведены следующие испытания. Трактора:</w:t>
      </w:r>
    </w:p>
    <w:p w14:paraId="56A20D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Линке-Гофман — сельскохозяйственный</w:t>
      </w:r>
    </w:p>
    <w:p w14:paraId="21EA1C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Линке-Гофман — специальный В. В.</w:t>
      </w:r>
    </w:p>
    <w:p w14:paraId="2D65E7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Коммунар 90-3</w:t>
      </w:r>
    </w:p>
    <w:p w14:paraId="3976B2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Катерпиллер 60</w:t>
      </w:r>
    </w:p>
    <w:p w14:paraId="199DE3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Повозки:</w:t>
      </w:r>
    </w:p>
    <w:p w14:paraId="593DDF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3-х тонной П-20</w:t>
      </w:r>
    </w:p>
    <w:p w14:paraId="35BF9A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Зенитная обр. 1926 г. для ПУ.</w:t>
      </w:r>
    </w:p>
    <w:p w14:paraId="1287E7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Понтонно-лодочные для ВТУ.</w:t>
      </w:r>
    </w:p>
    <w:p w14:paraId="02C751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Двигатели:</w:t>
      </w:r>
    </w:p>
    <w:p w14:paraId="3395B3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Линке-Гофман.</w:t>
      </w:r>
    </w:p>
    <w:p w14:paraId="11063C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Интернационал.</w:t>
      </w:r>
    </w:p>
    <w:p w14:paraId="3750C1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 Геркулес (не закончены).</w:t>
      </w:r>
    </w:p>
    <w:p w14:paraId="300C1F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Секцией было организовано испытание тракторов Коммунар 90-3, Коммунар 9 ГУ, Катерпиллер 60, Линке-Гофман с металлической гусеницей, Линке-Гофман с подрезиненной лентой и трактора Фордзон Путиловский, с целью выявления их сравнительных качеств. Испытание было произведе</w:t>
      </w:r>
      <w:r w:rsidRPr="00507A31">
        <w:rPr>
          <w:color w:val="000000" w:themeColor="text1"/>
          <w:sz w:val="16"/>
          <w:szCs w:val="16"/>
        </w:rPr>
        <w:softHyphen/>
        <w:t>но в присутствии Зампреда РВС т. Уборевича.</w:t>
      </w:r>
    </w:p>
    <w:p w14:paraId="5C1754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Кроме того, Секцией разработаны 15 тактико-технических требований, 5 программ испытаний тракторов и прицепов, 3 программы испытаний двигателей.</w:t>
      </w:r>
    </w:p>
    <w:p w14:paraId="0610CD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Ведутся работы по стандартизации и внедрению единого типа прицепных повозок в народное ; хозяйство СССР.</w:t>
      </w:r>
    </w:p>
    <w:p w14:paraId="4D9721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Общие выводы</w:t>
      </w:r>
    </w:p>
    <w:p w14:paraId="39EAF5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основании результатов и недостатков 9-месячной работы Управления механизации и мото</w:t>
      </w:r>
      <w:r w:rsidRPr="00507A31">
        <w:rPr>
          <w:color w:val="000000" w:themeColor="text1"/>
          <w:sz w:val="16"/>
          <w:szCs w:val="16"/>
        </w:rPr>
        <w:softHyphen/>
        <w:t>ризации необходимо поставить на 1931 г. перед Управлением следующие основные задачи:</w:t>
      </w:r>
    </w:p>
    <w:p w14:paraId="05D21B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Уточнить организацию механизированных и моторизированных частей РККА, на основе опыта работы за прошлый год.</w:t>
      </w:r>
    </w:p>
    <w:p w14:paraId="687B15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Разработать и переработать существующие учебные планы, программы, наставления по боевой подготовке моторизированных и механизированных частей.</w:t>
      </w:r>
    </w:p>
    <w:p w14:paraId="54FB89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Разработать мероприятия по обеспечению механизированных и моторизированных частей кадрами и специалистами по оргмероприятиям на 1931-1933 гг. и на военное время по плану органи</w:t>
      </w:r>
      <w:r w:rsidRPr="00507A31">
        <w:rPr>
          <w:color w:val="000000" w:themeColor="text1"/>
          <w:sz w:val="16"/>
          <w:szCs w:val="16"/>
        </w:rPr>
        <w:softHyphen/>
        <w:t>зации вооруженных сил на конец пятилетия.</w:t>
      </w:r>
    </w:p>
    <w:p w14:paraId="50D322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В течение 1931 г. по линии промышленности обеспечить производственными базами и науч</w:t>
      </w:r>
      <w:r w:rsidRPr="00507A31">
        <w:rPr>
          <w:color w:val="000000" w:themeColor="text1"/>
          <w:sz w:val="16"/>
          <w:szCs w:val="16"/>
        </w:rPr>
        <w:softHyphen/>
        <w:t>но-исследовательскими организациями программу строительства материальной части и опытных образцов соответственно планам заказов и мобзаявки Управления механизации и моторизации на | конец пятилетия.</w:t>
      </w:r>
    </w:p>
    <w:p w14:paraId="4EDC08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 По линии Научно-технического комитета добиться постройки, и испытания и внедрения в серийное производство танкетки Т-27, малого танка Т-26 и Т-19, среднего танка Т-24, вездеходнш| трехосных машин, как бронированных, так и транспортных, модернизированных тракторов Комму-1 нар, Интернационал.</w:t>
      </w:r>
    </w:p>
    <w:p w14:paraId="6A4CBD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 Пересмотреть структуру Управления в связи с теми задачами, которые стоят перед Управлением на 1931 г.</w:t>
      </w:r>
    </w:p>
    <w:p w14:paraId="1D0659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Создать, в основном, центр обучения моторизированных и механизированных войск в районе Наро-Фоминск.</w:t>
      </w:r>
    </w:p>
    <w:p w14:paraId="17A1CE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 Поставить перед РВС СССР вопрос о создании в составе окружного аппарата Управления по Механизации и Моторизации войск, хотя бы в 4 основных округах (МВО, ЛВО, БВО, УВО).</w:t>
      </w:r>
    </w:p>
    <w:p w14:paraId="3588ED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Управления по механизации и моторизации Халепс</w:t>
      </w:r>
    </w:p>
    <w:p w14:paraId="611CF6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РГВА, Ф. 31811. Оп. 2. Д. 3. Л. 1 - 10. Копия (11210).</w:t>
      </w:r>
    </w:p>
    <w:p w14:paraId="2F1F6B23" w14:textId="77777777" w:rsidR="00537E5F" w:rsidRPr="00507A31" w:rsidRDefault="00537E5F" w:rsidP="00507A31">
      <w:pPr>
        <w:autoSpaceDE w:val="0"/>
        <w:autoSpaceDN w:val="0"/>
        <w:adjustRightInd w:val="0"/>
        <w:jc w:val="both"/>
        <w:rPr>
          <w:color w:val="000000" w:themeColor="text1"/>
          <w:sz w:val="16"/>
          <w:szCs w:val="16"/>
        </w:rPr>
      </w:pPr>
    </w:p>
    <w:p w14:paraId="635DE38C" w14:textId="77777777" w:rsidR="00B85E59" w:rsidRPr="00507A31" w:rsidRDefault="00B85E59" w:rsidP="00507A31">
      <w:pPr>
        <w:jc w:val="both"/>
        <w:rPr>
          <w:color w:val="000000" w:themeColor="text1"/>
          <w:sz w:val="16"/>
          <w:szCs w:val="16"/>
        </w:rPr>
      </w:pPr>
      <w:r w:rsidRPr="00507A31">
        <w:rPr>
          <w:rStyle w:val="a7"/>
          <w:b w:val="0"/>
          <w:color w:val="000000" w:themeColor="text1"/>
          <w:sz w:val="16"/>
          <w:szCs w:val="16"/>
        </w:rPr>
        <w:t xml:space="preserve">30 декабря 1930 </w:t>
      </w:r>
      <w:r w:rsidRPr="00507A31">
        <w:rPr>
          <w:color w:val="000000" w:themeColor="text1"/>
          <w:sz w:val="16"/>
          <w:szCs w:val="16"/>
        </w:rPr>
        <w:t>Политбюро ЦК ВКП (б) утвердило предложения комиссии о производстве уборочных машин (12265).</w:t>
      </w:r>
    </w:p>
    <w:p w14:paraId="23EF56CA" w14:textId="77777777" w:rsidR="00B85E59" w:rsidRPr="00507A31" w:rsidRDefault="00B85E59" w:rsidP="00507A31">
      <w:pPr>
        <w:jc w:val="both"/>
        <w:rPr>
          <w:color w:val="000000" w:themeColor="text1"/>
          <w:sz w:val="16"/>
          <w:szCs w:val="16"/>
        </w:rPr>
      </w:pPr>
      <w:r w:rsidRPr="00507A31">
        <w:rPr>
          <w:color w:val="000000" w:themeColor="text1"/>
          <w:sz w:val="16"/>
          <w:szCs w:val="16"/>
        </w:rPr>
        <w:t> </w:t>
      </w:r>
    </w:p>
    <w:p w14:paraId="2FE150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декабря 1930 г. после восстановительного ре</w:t>
      </w:r>
      <w:r w:rsidRPr="00507A31">
        <w:rPr>
          <w:color w:val="000000" w:themeColor="text1"/>
          <w:sz w:val="16"/>
          <w:szCs w:val="16"/>
        </w:rPr>
        <w:softHyphen/>
        <w:t>монта на Севморзаводе лодка АГ-21, поднятая ЭПРОНом вблизи Севасто</w:t>
      </w:r>
      <w:r w:rsidRPr="00507A31">
        <w:rPr>
          <w:color w:val="000000" w:themeColor="text1"/>
          <w:sz w:val="16"/>
          <w:szCs w:val="16"/>
        </w:rPr>
        <w:softHyphen/>
        <w:t>поля с помощью понтонов в 1928 г., и вступила в строй Морских сил Черного моря под названием "Металлист" (бортовой № 16). Лодка принадлежала к известному типу лодок Холланда, приобретенным во время первой мировой войны в США и собран</w:t>
      </w:r>
      <w:r w:rsidRPr="00507A31">
        <w:rPr>
          <w:color w:val="000000" w:themeColor="text1"/>
          <w:sz w:val="16"/>
          <w:szCs w:val="16"/>
        </w:rPr>
        <w:softHyphen/>
        <w:t>ным в России. После восстановления "Металлист" на испытаниях достиг надводной скорости около 13 уз (3898).</w:t>
      </w:r>
    </w:p>
    <w:p w14:paraId="71DC5B3B" w14:textId="77777777" w:rsidR="00537E5F" w:rsidRPr="00507A31" w:rsidRDefault="00537E5F" w:rsidP="00507A31">
      <w:pPr>
        <w:autoSpaceDE w:val="0"/>
        <w:autoSpaceDN w:val="0"/>
        <w:adjustRightInd w:val="0"/>
        <w:jc w:val="both"/>
        <w:rPr>
          <w:color w:val="000000" w:themeColor="text1"/>
          <w:sz w:val="16"/>
          <w:szCs w:val="16"/>
        </w:rPr>
      </w:pPr>
    </w:p>
    <w:p w14:paraId="2DA4EC1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2B02A373" w14:textId="77777777" w:rsidR="00537E5F" w:rsidRPr="00507A31" w:rsidRDefault="00537E5F" w:rsidP="00507A31">
      <w:pPr>
        <w:autoSpaceDE w:val="0"/>
        <w:autoSpaceDN w:val="0"/>
        <w:adjustRightInd w:val="0"/>
        <w:jc w:val="both"/>
        <w:rPr>
          <w:iCs/>
          <w:color w:val="000000" w:themeColor="text1"/>
          <w:sz w:val="16"/>
          <w:szCs w:val="16"/>
        </w:rPr>
      </w:pPr>
    </w:p>
    <w:p w14:paraId="1F452B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декабря 1930 Тухачевский вновь писал И.В.С. и напомнил о разговоре во время съезда и объяснился по поводу январского письма (9089,136)</w:t>
      </w:r>
    </w:p>
    <w:p w14:paraId="3BB0F396" w14:textId="77777777" w:rsidR="00537E5F" w:rsidRPr="00507A31" w:rsidRDefault="00537E5F" w:rsidP="00507A31">
      <w:pPr>
        <w:autoSpaceDE w:val="0"/>
        <w:autoSpaceDN w:val="0"/>
        <w:adjustRightInd w:val="0"/>
        <w:jc w:val="both"/>
        <w:rPr>
          <w:iCs/>
          <w:color w:val="000000" w:themeColor="text1"/>
          <w:sz w:val="16"/>
          <w:szCs w:val="16"/>
        </w:rPr>
      </w:pPr>
    </w:p>
    <w:p w14:paraId="0E7D98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 декабря 1930 года Тухачевский снова направил письмо Сталину, а копию — наркому по военным и морским делам», председателю Реввоен</w:t>
      </w:r>
      <w:r w:rsidRPr="00507A31">
        <w:rPr>
          <w:color w:val="000000" w:themeColor="text1"/>
          <w:sz w:val="16"/>
          <w:szCs w:val="16"/>
        </w:rPr>
        <w:softHyphen/>
        <w:t>совета СССР Ворошилову.</w:t>
      </w:r>
    </w:p>
    <w:p w14:paraId="035842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Письмо написано на 11 листах машинописного текста и снабжено 4-мя фотоснимками.</w:t>
      </w:r>
    </w:p>
    <w:p w14:paraId="6BEBC9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«Уважаемый товарищ Сталин.</w:t>
      </w:r>
    </w:p>
    <w:p w14:paraId="4F9BB5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В разговоре со мной во время ХУ1-го партсъезда по поводу доклада Штаба РККА, беспринципно исказившего и подставившего ложные цифры в мою за</w:t>
      </w:r>
      <w:r w:rsidRPr="00507A31">
        <w:rPr>
          <w:iCs/>
          <w:color w:val="000000" w:themeColor="text1"/>
          <w:sz w:val="16"/>
          <w:szCs w:val="16"/>
        </w:rPr>
        <w:softHyphen/>
        <w:t>писку о реконструкции РККА, Вы обещали пересмотреть материалы, пред</w:t>
      </w:r>
      <w:r w:rsidRPr="00507A31">
        <w:rPr>
          <w:iCs/>
          <w:color w:val="000000" w:themeColor="text1"/>
          <w:sz w:val="16"/>
          <w:szCs w:val="16"/>
        </w:rPr>
        <w:softHyphen/>
        <w:t>ставленные мною Вам при письме и дать ответ. Учитывая Вашу занятость, я думаю, что Вы физически не будете в состоянии ни просмотреть мои матери</w:t>
      </w:r>
      <w:r w:rsidRPr="00507A31">
        <w:rPr>
          <w:iCs/>
          <w:color w:val="000000" w:themeColor="text1"/>
          <w:sz w:val="16"/>
          <w:szCs w:val="16"/>
        </w:rPr>
        <w:softHyphen/>
        <w:t>алы, ни сличить их с докладом Штаба РККА. В связи с этим, у меня к Вам очень большая просьба: поручить просмотреть материалы и разобраться в них ЦКК или товарищам по Вашему усмотрению.</w:t>
      </w:r>
    </w:p>
    <w:p w14:paraId="2381E0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Я не стал бы обращаться к Вам с такой просьбой после того, как вопрос о гражданской авиации Вы разрешили в масштабе большем, чем я на то даже рассчитывал, а также после того как Вы пересмотрели число дивизий военного времени в сторону значительного его увеличения. Но я все же решил обратиться, т. к. формулировки Вашего письма, оглашенного тов. Вороши</w:t>
      </w:r>
      <w:r w:rsidRPr="00507A31">
        <w:rPr>
          <w:iCs/>
          <w:color w:val="000000" w:themeColor="text1"/>
          <w:sz w:val="16"/>
          <w:szCs w:val="16"/>
        </w:rPr>
        <w:softHyphen/>
        <w:t>ловым на расширенном заседании РВС СССР и основанного, как Вы мне сказали на Докладе Штаба РККА, совершенно исключает для меня возможность вынесения на широкое обсуждение ряда вопросов, касающихся проблем раз</w:t>
      </w:r>
      <w:r w:rsidRPr="00507A31">
        <w:rPr>
          <w:iCs/>
          <w:color w:val="000000" w:themeColor="text1"/>
          <w:sz w:val="16"/>
          <w:szCs w:val="16"/>
        </w:rPr>
        <w:softHyphen/>
        <w:t>вития нашей обороноспособности.</w:t>
      </w:r>
    </w:p>
    <w:p w14:paraId="4884E8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Например, я исключен как руководитель по стратегии из Военной Акаде</w:t>
      </w:r>
      <w:r w:rsidRPr="00507A31">
        <w:rPr>
          <w:iCs/>
          <w:color w:val="000000" w:themeColor="text1"/>
          <w:sz w:val="16"/>
          <w:szCs w:val="16"/>
        </w:rPr>
        <w:softHyphen/>
        <w:t>мии РККА, где я вел этот предмет в течение шести лет. И вообще, положе</w:t>
      </w:r>
      <w:r w:rsidRPr="00507A31">
        <w:rPr>
          <w:iCs/>
          <w:color w:val="000000" w:themeColor="text1"/>
          <w:sz w:val="16"/>
          <w:szCs w:val="16"/>
        </w:rPr>
        <w:softHyphen/>
        <w:t>ние мое в этих вопросах стало крайне ложным. Между тем, я столь же решительно, как и раньше утверждаю, что Штаб РККА беспринципно ис</w:t>
      </w:r>
      <w:r w:rsidRPr="00507A31">
        <w:rPr>
          <w:iCs/>
          <w:color w:val="000000" w:themeColor="text1"/>
          <w:sz w:val="16"/>
          <w:szCs w:val="16"/>
        </w:rPr>
        <w:softHyphen/>
        <w:t>казил предложения моей записки и подменил целый ряд цифр, чем представил их в фантастической абсурдной форме. Материалы, посланные мною Вам, безусловно это подтверждают, это и практическое разрешение вопроса о гражданской авиации.</w:t>
      </w:r>
    </w:p>
    <w:p w14:paraId="2DE568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В дополнение к ранее посланным материалам, я хочу еще доложить о пос</w:t>
      </w:r>
      <w:r w:rsidRPr="00507A31">
        <w:rPr>
          <w:iCs/>
          <w:color w:val="000000" w:themeColor="text1"/>
          <w:sz w:val="16"/>
          <w:szCs w:val="16"/>
        </w:rPr>
        <w:softHyphen/>
        <w:t>ледних данных, которые мне удалось подработать по вопросу о массовом тан</w:t>
      </w:r>
      <w:r w:rsidRPr="00507A31">
        <w:rPr>
          <w:iCs/>
          <w:color w:val="000000" w:themeColor="text1"/>
          <w:sz w:val="16"/>
          <w:szCs w:val="16"/>
        </w:rPr>
        <w:softHyphen/>
        <w:t>костроении».</w:t>
      </w:r>
    </w:p>
    <w:p w14:paraId="54D4D2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Далее в письме Тухачевский пишет: «В моем первом письме к Вам я писал о том, что при наличии массы танков встает вопрос о </w:t>
      </w:r>
      <w:r w:rsidRPr="00507A31">
        <w:rPr>
          <w:color w:val="000000" w:themeColor="text1"/>
          <w:sz w:val="16"/>
          <w:szCs w:val="16"/>
          <w:u w:val="single"/>
        </w:rPr>
        <w:t>разделении</w:t>
      </w:r>
      <w:r w:rsidRPr="00507A31">
        <w:rPr>
          <w:color w:val="000000" w:themeColor="text1"/>
          <w:sz w:val="16"/>
          <w:szCs w:val="16"/>
        </w:rPr>
        <w:t xml:space="preserve"> их по типам между различными эшелонами во время атаки. В то время как в первом эшелоне требуются первоклассные танки, способные подавить противотанковые пушки, в последующих эшелонах допустимы </w:t>
      </w:r>
      <w:r w:rsidRPr="00507A31">
        <w:rPr>
          <w:color w:val="000000" w:themeColor="text1"/>
          <w:sz w:val="16"/>
          <w:szCs w:val="16"/>
          <w:u w:val="single"/>
        </w:rPr>
        <w:t>танки вто</w:t>
      </w:r>
      <w:r w:rsidRPr="00507A31">
        <w:rPr>
          <w:color w:val="000000" w:themeColor="text1"/>
          <w:sz w:val="16"/>
          <w:szCs w:val="16"/>
          <w:u w:val="single"/>
        </w:rPr>
        <w:softHyphen/>
        <w:t>ростепенные</w:t>
      </w:r>
      <w:r w:rsidRPr="00507A31">
        <w:rPr>
          <w:color w:val="000000" w:themeColor="text1"/>
          <w:sz w:val="16"/>
          <w:szCs w:val="16"/>
        </w:rPr>
        <w:t xml:space="preserve"> но способные подавлять пехоту и пулеметы противника».</w:t>
      </w:r>
    </w:p>
    <w:p w14:paraId="039399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iCs/>
          <w:color w:val="000000" w:themeColor="text1"/>
          <w:sz w:val="16"/>
          <w:szCs w:val="16"/>
        </w:rPr>
        <w:t>«Устоявшаяся на опыте империалистической войны консервативная мысль представляет себе развитие танков в тех сравнительно небольших массах, в каких их видели в 1918 году. Такое представление явно неправильно. Уже в 1919 году Антанта готовила 10 000 танков и это почти на пороге рождения танка. Представление будущей роли танков в масштабе 1918-го года порождает стрем</w:t>
      </w:r>
      <w:r w:rsidRPr="00507A31">
        <w:rPr>
          <w:iCs/>
          <w:color w:val="000000" w:themeColor="text1"/>
          <w:sz w:val="16"/>
          <w:szCs w:val="16"/>
        </w:rPr>
        <w:softHyphen/>
        <w:t>ление соединить в одном танке все какие только можно вообразить качества. Тем самым танк становился сложным, дорогим и неприменимым в хозяйстве страны, и, наоборот, ни трактор, ни автомобиль не могут быть непосредствен</w:t>
      </w:r>
      <w:r w:rsidRPr="00507A31">
        <w:rPr>
          <w:iCs/>
          <w:color w:val="000000" w:themeColor="text1"/>
          <w:sz w:val="16"/>
          <w:szCs w:val="16"/>
        </w:rPr>
        <w:softHyphen/>
        <w:t>но использованы как основа такого танка».</w:t>
      </w:r>
    </w:p>
    <w:p w14:paraId="506DF3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Далее Тухачевский предлагает для осуществления идеи создания массы «второсортных» танков, строить их «на основе трактора или автомобиля, производящихся в массовом количестве промышленностью. В этом случае численность танков становится очень большой, а их состав, например, тан</w:t>
      </w:r>
      <w:r w:rsidRPr="00507A31">
        <w:rPr>
          <w:color w:val="000000" w:themeColor="text1"/>
          <w:sz w:val="16"/>
          <w:szCs w:val="16"/>
        </w:rPr>
        <w:softHyphen/>
        <w:t>ков прорыва дифференцируется между эшелонами и задачей: устройство проходов в проволочных заграждениях, борьба с противотанковой артил</w:t>
      </w:r>
      <w:r w:rsidRPr="00507A31">
        <w:rPr>
          <w:color w:val="000000" w:themeColor="text1"/>
          <w:sz w:val="16"/>
          <w:szCs w:val="16"/>
        </w:rPr>
        <w:softHyphen/>
        <w:t>лерией, устройство переходов через окопы, подавление пулеметов и пр.об-служиваются не одним, а системой танков из разных эшелонов».</w:t>
      </w:r>
    </w:p>
    <w:p w14:paraId="252144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Несомненно, такой подход к танковому делу имел место в капиталис</w:t>
      </w:r>
      <w:r w:rsidRPr="00507A31">
        <w:rPr>
          <w:color w:val="000000" w:themeColor="text1"/>
          <w:sz w:val="16"/>
          <w:szCs w:val="16"/>
        </w:rPr>
        <w:softHyphen/>
        <w:t>тических странах с развитым автотракторным производством, несмотря на засекречивание и дезинформацию. Особенно велики были успехи Анг</w:t>
      </w:r>
      <w:r w:rsidRPr="00507A31">
        <w:rPr>
          <w:color w:val="000000" w:themeColor="text1"/>
          <w:sz w:val="16"/>
          <w:szCs w:val="16"/>
        </w:rPr>
        <w:softHyphen/>
        <w:t>лии в применении автомобиля для танка почти без переделки (Мартель).</w:t>
      </w:r>
    </w:p>
    <w:p w14:paraId="085314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Таким образом, Тухачевский видел «массы танков», «колоссальной численности», построенных на основе трактора или автомобиля «почти без переделки» по системе Мартеля.</w:t>
      </w:r>
    </w:p>
    <w:p w14:paraId="76448D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«Действительной массовости в производстве танков можно достичь при выполнении двух основных условий:</w:t>
      </w:r>
    </w:p>
    <w:p w14:paraId="3F0539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использования всей механической системы автомобиля или тракто</w:t>
      </w:r>
      <w:r w:rsidRPr="00507A31">
        <w:rPr>
          <w:color w:val="000000" w:themeColor="text1"/>
          <w:sz w:val="16"/>
          <w:szCs w:val="16"/>
        </w:rPr>
        <w:softHyphen/>
        <w:t>ра</w:t>
      </w:r>
    </w:p>
    <w:p w14:paraId="468747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штампования стальных корпусов танков.</w:t>
      </w:r>
    </w:p>
    <w:p w14:paraId="4ED319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Первое условие уже достигнуто. Мы имеем танки «Карден-Лойд», по</w:t>
      </w:r>
      <w:r w:rsidRPr="00507A31">
        <w:rPr>
          <w:color w:val="000000" w:themeColor="text1"/>
          <w:sz w:val="16"/>
          <w:szCs w:val="16"/>
        </w:rPr>
        <w:softHyphen/>
        <w:t>строенные по системе Мартеля; УММ РККА построило на основе Форда свою танкетку.</w:t>
      </w:r>
    </w:p>
    <w:p w14:paraId="137B42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этой танкетке использованы от Форда:</w:t>
      </w:r>
    </w:p>
    <w:p w14:paraId="7AA960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Мотор Форд-А;</w:t>
      </w:r>
    </w:p>
    <w:p w14:paraId="4EFA14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Коробка скоростей — Форд-А;</w:t>
      </w:r>
    </w:p>
    <w:p w14:paraId="6AF0C5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Зажигание —• Форд-А;</w:t>
      </w:r>
    </w:p>
    <w:p w14:paraId="31DFDF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Дифференциал (задний мост) Форд «АА», т.е. Форд использован почти целиком. Радиатор повышенной ёмкости. Помимо частей Форда в этом танке в основном новыми являются система гусеницы, броня и пулеметы».</w:t>
      </w:r>
    </w:p>
    <w:p w14:paraId="748FD4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Далее Тухачевский приводит техническую характеристику этой тан</w:t>
      </w:r>
      <w:r w:rsidRPr="00507A31">
        <w:rPr>
          <w:color w:val="000000" w:themeColor="text1"/>
          <w:sz w:val="16"/>
          <w:szCs w:val="16"/>
        </w:rPr>
        <w:softHyphen/>
        <w:t>кетки.</w:t>
      </w:r>
    </w:p>
    <w:p w14:paraId="4CDFC4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то время у инженеров из УММ РККА и конструкторского бюро не хватило опыта для создания приемлемой для армии танкетки, а Тухачев</w:t>
      </w:r>
      <w:r w:rsidRPr="00507A31">
        <w:rPr>
          <w:color w:val="000000" w:themeColor="text1"/>
          <w:sz w:val="16"/>
          <w:szCs w:val="16"/>
        </w:rPr>
        <w:softHyphen/>
        <w:t>ский предлагал превратить трактор в танкетку и в письме утверждал: «Из трактора танк получается со значительно меньшими скоростями, но все же удовлетворительными. ЛВО при содействии Военно-технической Ака</w:t>
      </w:r>
      <w:r w:rsidRPr="00507A31">
        <w:rPr>
          <w:color w:val="000000" w:themeColor="text1"/>
          <w:sz w:val="16"/>
          <w:szCs w:val="16"/>
        </w:rPr>
        <w:softHyphen/>
        <w:t>демии, провел опыт превращения в танкетку самого слабого трактора Фордзона-путиловского. Трактор совершенно не переделан. Танкетка дает около 11 км/час и вооружена одним пулеметом. Броня 7 мм — против бронепули. Привожу фотоснимки с этой танкетки.</w:t>
      </w:r>
    </w:p>
    <w:p w14:paraId="3F9083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Красный Путиловец с марта 1931-го года будет выпускать новый тип %рактора в полтора раза более сильный. Нынешняя модель слишком сла</w:t>
      </w:r>
      <w:r w:rsidRPr="00507A31">
        <w:rPr>
          <w:color w:val="000000" w:themeColor="text1"/>
          <w:sz w:val="16"/>
          <w:szCs w:val="16"/>
        </w:rPr>
        <w:softHyphen/>
        <w:t>ба. В танкетке мотор работает на пределе. Новый трактор даст отличный легкий танк. Модель Сталинградского завода и «Катерпиллер» также при</w:t>
      </w:r>
      <w:r w:rsidRPr="00507A31">
        <w:rPr>
          <w:color w:val="000000" w:themeColor="text1"/>
          <w:sz w:val="16"/>
          <w:szCs w:val="16"/>
        </w:rPr>
        <w:softHyphen/>
        <w:t>спосабливаются под танк».</w:t>
      </w:r>
    </w:p>
    <w:p w14:paraId="262281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Против двух фотографий, иллюстрирующих танкетку, переделанного из трактора «Фордзон-путиловец», чьей-то рукой сделаны пометки (на экземпляре письма Ворошилова):</w:t>
      </w:r>
    </w:p>
    <w:p w14:paraId="14D799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Только ли колесные? А можно перевести на гусеницу?</w:t>
      </w:r>
    </w:p>
    <w:p w14:paraId="2E3645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Если только колесный, то боевая скорость ничтожная.</w:t>
      </w:r>
    </w:p>
    <w:p w14:paraId="732331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Перед лицом артиллерии такой танк — игрушка.</w:t>
      </w:r>
    </w:p>
    <w:p w14:paraId="28269C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Без гусеницы танк теряет основные преимущества танка».</w:t>
      </w:r>
    </w:p>
    <w:p w14:paraId="6C610C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Тухачевский далее в письме категорично начертал: «В общем, вопрос применения трактора и автомобиля для тан</w:t>
      </w:r>
      <w:r w:rsidRPr="00507A31">
        <w:rPr>
          <w:color w:val="000000" w:themeColor="text1"/>
          <w:sz w:val="16"/>
          <w:szCs w:val="16"/>
        </w:rPr>
        <w:softHyphen/>
        <w:t>ка надо считать решенным и в наших условиях».</w:t>
      </w:r>
    </w:p>
    <w:p w14:paraId="622B15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«Второе условие массового производства танков — штамповка броне</w:t>
      </w:r>
      <w:r w:rsidRPr="00507A31">
        <w:rPr>
          <w:color w:val="000000" w:themeColor="text1"/>
          <w:sz w:val="16"/>
          <w:szCs w:val="16"/>
        </w:rPr>
        <w:softHyphen/>
        <w:t>вых корпусов — точно также уже разрешена, — утверждал Тухачевский далее. Очень характерно, что все известные нам образцы штампованных корпусов совпадают с фабричными марками автомобилей и тракторов, при этом наиболее интересующих нас образцов мы несомненно еще не знаем. Стоит сравнить два итальянских танка: марки 3000 и «Павези». Марка 3000 представляет собой танк первого эшелона, специального «танкового «произ</w:t>
      </w:r>
      <w:r w:rsidRPr="00507A31">
        <w:rPr>
          <w:color w:val="000000" w:themeColor="text1"/>
          <w:sz w:val="16"/>
          <w:szCs w:val="16"/>
        </w:rPr>
        <w:softHyphen/>
        <w:t>водства. Он сложен, клепан, т.е. это тип не для массового производства.</w:t>
      </w:r>
    </w:p>
    <w:p w14:paraId="29EA63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Совершенно иную картину представляет танк «Павези», который яв</w:t>
      </w:r>
      <w:r w:rsidRPr="00507A31">
        <w:rPr>
          <w:color w:val="000000" w:themeColor="text1"/>
          <w:sz w:val="16"/>
          <w:szCs w:val="16"/>
        </w:rPr>
        <w:softHyphen/>
        <w:t>ляется по существу, бронированным трактором. У «Павези» все четыре колеса — ведущие. Как видно из прилагаемой фотографии его корпус штампованный, т. е. предназначен для массового производства. Те же черты массовости производства (штамп и сварка) носит на себе чехосло</w:t>
      </w:r>
      <w:r w:rsidRPr="00507A31">
        <w:rPr>
          <w:color w:val="000000" w:themeColor="text1"/>
          <w:sz w:val="16"/>
          <w:szCs w:val="16"/>
        </w:rPr>
        <w:softHyphen/>
        <w:t>вацкий бронеавтомобиль».</w:t>
      </w:r>
    </w:p>
    <w:p w14:paraId="1FF95D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«Чтобы выяснить условия штамповки и сварки танковой брони, я по</w:t>
      </w:r>
      <w:r w:rsidRPr="00507A31">
        <w:rPr>
          <w:color w:val="000000" w:themeColor="text1"/>
          <w:sz w:val="16"/>
          <w:szCs w:val="16"/>
        </w:rPr>
        <w:softHyphen/>
        <w:t>знакомился со штамповкой больших котлов(!?) в Ленинграде на заводе им. Ленина и на заводе Вашего имени. Выяснилась полная возможность, штамповки брони для танков. Между прочим, завод им. Ленина отштам</w:t>
      </w:r>
      <w:r w:rsidRPr="00507A31">
        <w:rPr>
          <w:color w:val="000000" w:themeColor="text1"/>
          <w:sz w:val="16"/>
          <w:szCs w:val="16"/>
        </w:rPr>
        <w:softHyphen/>
        <w:t>повал башню для танка Гроте и просит дать заказы на штамповку брони для танка Т-18. Инженеры говорят, что следовало бы дать котельному заводу в Таганроге задание на подготовку массового штампования танко</w:t>
      </w:r>
      <w:r w:rsidRPr="00507A31">
        <w:rPr>
          <w:color w:val="000000" w:themeColor="text1"/>
          <w:sz w:val="16"/>
          <w:szCs w:val="16"/>
        </w:rPr>
        <w:softHyphen/>
        <w:t>вых бронекорпусов. В связи с этими данными Военно-техническая Ака</w:t>
      </w:r>
      <w:r w:rsidRPr="00507A31">
        <w:rPr>
          <w:color w:val="000000" w:themeColor="text1"/>
          <w:sz w:val="16"/>
          <w:szCs w:val="16"/>
        </w:rPr>
        <w:softHyphen/>
        <w:t>демия, инициативой адъюнктов усиленно лепит макет для штампа брони Т-18. В специальных печах термическая обработка может произво</w:t>
      </w:r>
      <w:r w:rsidRPr="00507A31">
        <w:rPr>
          <w:color w:val="000000" w:themeColor="text1"/>
          <w:sz w:val="16"/>
          <w:szCs w:val="16"/>
        </w:rPr>
        <w:softHyphen/>
        <w:t>диться уже готовой сваренной брони.</w:t>
      </w:r>
    </w:p>
    <w:p w14:paraId="3C89C1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Итак, мы обладаем всеми условиями необходимыми для массового производства танков, причем в моей записке о реконструкции РККА я не Преувеличил, а преуменьшил возможности производства у нас танков».</w:t>
      </w:r>
    </w:p>
    <w:p w14:paraId="0BD802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«Я считал, — пишет далее он, — что каждый танк можно построить за счет двух тракторов, на самом же деле из каждого трактора и каждого авто</w:t>
      </w:r>
      <w:r w:rsidRPr="00507A31">
        <w:rPr>
          <w:color w:val="000000" w:themeColor="text1"/>
          <w:sz w:val="16"/>
          <w:szCs w:val="16"/>
        </w:rPr>
        <w:softHyphen/>
        <w:t>мобиля можно построить один танк. Я вдвое преуменьшил возможности и это доказано уже нашими собственными достижениями.</w:t>
      </w:r>
    </w:p>
    <w:p w14:paraId="78D2D4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Какие же автотракторные ресурсы будем мы иметь к концу пятилетки.</w:t>
      </w:r>
    </w:p>
    <w:p w14:paraId="4B24C7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Всесоюзное автотракторное объединение (ВАТО ) 23.Х. 1930 г. дало сле</w:t>
      </w:r>
      <w:r w:rsidRPr="00507A31">
        <w:rPr>
          <w:color w:val="000000" w:themeColor="text1"/>
          <w:sz w:val="16"/>
          <w:szCs w:val="16"/>
        </w:rPr>
        <w:softHyphen/>
        <w:t>дующие данные (в тысячах штук):</w:t>
      </w:r>
    </w:p>
    <w:tbl>
      <w:tblPr>
        <w:tblW w:w="0" w:type="auto"/>
        <w:tblInd w:w="40" w:type="dxa"/>
        <w:tblLayout w:type="fixed"/>
        <w:tblCellMar>
          <w:left w:w="40" w:type="dxa"/>
          <w:right w:w="40" w:type="dxa"/>
        </w:tblCellMar>
        <w:tblLook w:val="0000" w:firstRow="0" w:lastRow="0" w:firstColumn="0" w:lastColumn="0" w:noHBand="0" w:noVBand="0"/>
      </w:tblPr>
      <w:tblGrid>
        <w:gridCol w:w="886"/>
        <w:gridCol w:w="965"/>
        <w:gridCol w:w="1166"/>
        <w:gridCol w:w="1116"/>
        <w:gridCol w:w="1159"/>
      </w:tblGrid>
      <w:tr w:rsidR="00E371BA" w:rsidRPr="00507A31" w14:paraId="6BD26CC4" w14:textId="77777777">
        <w:trPr>
          <w:trHeight w:val="497"/>
        </w:trPr>
        <w:tc>
          <w:tcPr>
            <w:tcW w:w="886" w:type="dxa"/>
            <w:tcBorders>
              <w:top w:val="single" w:sz="6" w:space="0" w:color="auto"/>
              <w:left w:val="single" w:sz="6" w:space="0" w:color="auto"/>
              <w:bottom w:val="single" w:sz="6" w:space="0" w:color="auto"/>
              <w:right w:val="single" w:sz="6" w:space="0" w:color="auto"/>
            </w:tcBorders>
          </w:tcPr>
          <w:p w14:paraId="5D1110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год</w:t>
            </w:r>
          </w:p>
          <w:p w14:paraId="72AB79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3763AB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1930 г.</w:t>
            </w:r>
          </w:p>
          <w:p w14:paraId="05C3E3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66" w:type="dxa"/>
            <w:tcBorders>
              <w:top w:val="single" w:sz="6" w:space="0" w:color="auto"/>
              <w:left w:val="single" w:sz="6" w:space="0" w:color="auto"/>
              <w:bottom w:val="single" w:sz="6" w:space="0" w:color="auto"/>
              <w:right w:val="single" w:sz="6" w:space="0" w:color="auto"/>
            </w:tcBorders>
          </w:tcPr>
          <w:p w14:paraId="46FA4B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1931 г.</w:t>
            </w:r>
          </w:p>
          <w:p w14:paraId="0B27F1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16794E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1932 г.</w:t>
            </w:r>
          </w:p>
          <w:p w14:paraId="46CBBE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9" w:type="dxa"/>
            <w:tcBorders>
              <w:top w:val="single" w:sz="6" w:space="0" w:color="auto"/>
              <w:left w:val="single" w:sz="6" w:space="0" w:color="auto"/>
              <w:bottom w:val="single" w:sz="6" w:space="0" w:color="auto"/>
              <w:right w:val="single" w:sz="6" w:space="0" w:color="auto"/>
            </w:tcBorders>
          </w:tcPr>
          <w:p w14:paraId="1160BF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1933 г.</w:t>
            </w:r>
          </w:p>
          <w:p w14:paraId="47AA50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3FCFC78" w14:textId="77777777">
        <w:trPr>
          <w:trHeight w:val="562"/>
        </w:trPr>
        <w:tc>
          <w:tcPr>
            <w:tcW w:w="886" w:type="dxa"/>
            <w:tcBorders>
              <w:top w:val="single" w:sz="6" w:space="0" w:color="auto"/>
              <w:left w:val="single" w:sz="6" w:space="0" w:color="auto"/>
              <w:bottom w:val="single" w:sz="6" w:space="0" w:color="auto"/>
              <w:right w:val="single" w:sz="6" w:space="0" w:color="auto"/>
            </w:tcBorders>
          </w:tcPr>
          <w:p w14:paraId="02A391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тыс. шт.</w:t>
            </w:r>
          </w:p>
          <w:p w14:paraId="581807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2CDE73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98,4</w:t>
            </w:r>
          </w:p>
          <w:p w14:paraId="6D064B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66" w:type="dxa"/>
            <w:tcBorders>
              <w:top w:val="single" w:sz="6" w:space="0" w:color="auto"/>
              <w:left w:val="single" w:sz="6" w:space="0" w:color="auto"/>
              <w:bottom w:val="single" w:sz="6" w:space="0" w:color="auto"/>
              <w:right w:val="single" w:sz="6" w:space="0" w:color="auto"/>
            </w:tcBorders>
          </w:tcPr>
          <w:p w14:paraId="257E71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205,5</w:t>
            </w:r>
          </w:p>
          <w:p w14:paraId="7EC70E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357D72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415,7</w:t>
            </w:r>
          </w:p>
          <w:p w14:paraId="2898A5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159" w:type="dxa"/>
            <w:tcBorders>
              <w:top w:val="single" w:sz="6" w:space="0" w:color="auto"/>
              <w:left w:val="single" w:sz="6" w:space="0" w:color="auto"/>
              <w:bottom w:val="single" w:sz="6" w:space="0" w:color="auto"/>
              <w:right w:val="single" w:sz="6" w:space="0" w:color="auto"/>
            </w:tcBorders>
          </w:tcPr>
          <w:p w14:paraId="0308C8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699,4</w:t>
            </w:r>
          </w:p>
          <w:p w14:paraId="03014D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7B6E7A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Составленная мною таблица наличия у нас по годам танкового «сы</w:t>
      </w:r>
      <w:r w:rsidRPr="00507A31">
        <w:rPr>
          <w:color w:val="000000" w:themeColor="text1"/>
          <w:sz w:val="16"/>
          <w:szCs w:val="16"/>
        </w:rPr>
        <w:softHyphen/>
        <w:t>рья» говорит о том, что ресурсы наши уже с конца 1931 года становятся довольно внушительными. Если автомобили и тракторы для производ</w:t>
      </w:r>
      <w:r w:rsidRPr="00507A31">
        <w:rPr>
          <w:color w:val="000000" w:themeColor="text1"/>
          <w:sz w:val="16"/>
          <w:szCs w:val="16"/>
        </w:rPr>
        <w:softHyphen/>
        <w:t>ства танков брать из поступления за год войны, а частью по мобилизации из наличных ресурсов, то можно было бы, по-видимому, без особого пе</w:t>
      </w:r>
      <w:r w:rsidRPr="00507A31">
        <w:rPr>
          <w:color w:val="000000" w:themeColor="text1"/>
          <w:sz w:val="16"/>
          <w:szCs w:val="16"/>
        </w:rPr>
        <w:softHyphen/>
        <w:t>ренапряжения страны иметь для танков автотракторов:</w:t>
      </w:r>
    </w:p>
    <w:p w14:paraId="5853F8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в 1932-м году 40000 по мобилизации и 100000 из годового производства</w:t>
      </w:r>
    </w:p>
    <w:p w14:paraId="2864F9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в 1933-м году эти цифры могли бы возрасти раза в полтора.</w:t>
      </w:r>
    </w:p>
    <w:p w14:paraId="44BD74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Я не мог получить в Госплане данных занятости авто и тракторов в совхозах, колхозах, в промышленности и транспорте по годам и поэтому в полной мере обосновать примерные наметки изъятия автотракторов для производства танков не могу. Цифры беру предположительно.</w:t>
      </w:r>
    </w:p>
    <w:p w14:paraId="333A07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Если бы в 1932-м году РККА имела по мобилизации 10000 специально военных танков, то, при условии организации мобзапаса брони можно было бы уже в предмобпериод начать подготовку к оборудованию танков из 40000 автотракторов, мобилизованных из народного хозяйства, Этим путем в максимально короткий срок удается выставить 50000 танков. Если взять 200% убыли танков в год войны (в своей записке я брал 100%, штаб РККА берет 300% — цифру явно преувеличенную), то эти 50000 танков имеют достаточный резерв автотракторов для бронирования.</w:t>
      </w:r>
    </w:p>
    <w:p w14:paraId="544BF2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1933-м году можно было бы выставить таким же путем 75000 танков.</w:t>
      </w:r>
    </w:p>
    <w:p w14:paraId="00A08E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Вооружение основной массы танков — пулемет. Орудия только для танков первого эшелона».</w:t>
      </w:r>
    </w:p>
    <w:p w14:paraId="2A7566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Той же, пока неизвестной рукой, на полях этого письма начертано:</w:t>
      </w:r>
    </w:p>
    <w:p w14:paraId="74DBD3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«Откуда в 1932 г. можем иметь 10000 танков?! (пометка против цифры 10000, а от подчеркнутой фразы «при условии организации мобзапаса брони», выведена стрелка и сделана запись:</w:t>
      </w:r>
    </w:p>
    <w:p w14:paraId="3054C1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Из этого видно, что, разумеется, танк колесный, а не гусеничный, что снижает значение такого танка до минимума очень (непонятно).</w:t>
      </w:r>
    </w:p>
    <w:p w14:paraId="3E9B69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Мыслимо ли при нашей нужде в металле организовать мобзапас брони для 40000 танков!?».</w:t>
      </w:r>
    </w:p>
    <w:p w14:paraId="6B2A5A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Но не только эти вопросы возникали при чтении этого письма. На</w:t>
      </w:r>
      <w:r w:rsidRPr="00507A31">
        <w:rPr>
          <w:color w:val="000000" w:themeColor="text1"/>
          <w:sz w:val="16"/>
          <w:szCs w:val="16"/>
        </w:rPr>
        <w:softHyphen/>
        <w:t>пример, кто и где будет готовить экипажи для такого количества танков? Вроде бы, Тухачевский и этот вопрос продумал. Он пишет:</w:t>
      </w:r>
    </w:p>
    <w:p w14:paraId="52D5C0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«Машинно-тракторные станции (МТС) и Госавтотранс, при соответ</w:t>
      </w:r>
      <w:r w:rsidRPr="00507A31">
        <w:rPr>
          <w:color w:val="000000" w:themeColor="text1"/>
          <w:sz w:val="16"/>
          <w:szCs w:val="16"/>
        </w:rPr>
        <w:softHyphen/>
        <w:t>ствующей военной подготовке, дадут основную массу танкистов». Далее делает предположение: «Вряд ли какая-либо капиталистическая страна или даже коалиция в Европе, на данной стадии подготовки антисоветс</w:t>
      </w:r>
      <w:r w:rsidRPr="00507A31">
        <w:rPr>
          <w:color w:val="000000" w:themeColor="text1"/>
          <w:sz w:val="16"/>
          <w:szCs w:val="16"/>
        </w:rPr>
        <w:softHyphen/>
        <w:t>кой интервенции, смогла бы противопоставить что-либо равноценное этой новой, массовой, подвижной силе».</w:t>
      </w:r>
    </w:p>
    <w:p w14:paraId="6D4A2B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Рядом с этим абзацем на письме Тухачевского написано:</w:t>
      </w:r>
    </w:p>
    <w:p w14:paraId="516A6A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же автор упускает специфичность такого очень маломощного и малоподвижного танка и говорит о танке каким он должен быть».</w:t>
      </w:r>
    </w:p>
    <w:p w14:paraId="7A96D7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«Подготовка крупных котлостроительных заводов (например Таган</w:t>
      </w:r>
      <w:r w:rsidRPr="00507A31">
        <w:rPr>
          <w:color w:val="000000" w:themeColor="text1"/>
          <w:sz w:val="16"/>
          <w:szCs w:val="16"/>
        </w:rPr>
        <w:softHyphen/>
        <w:t>рогского) к массовому, в короткий срок, изготовлению корпусов танков, а также организованное размещение обученных'танкистов в МТС и Госав-тотрансе создают предпосылки такой внезапности появления на фронте громадных масс танков, которые вряд ли удастся вскрыть агентурой. Если штабу РККА трудно поверить в такую систему разворачивания масс танков, в то время как он располагает всеми необходимыми для этого данны</w:t>
      </w:r>
      <w:r w:rsidRPr="00507A31">
        <w:rPr>
          <w:color w:val="000000" w:themeColor="text1"/>
          <w:sz w:val="16"/>
          <w:szCs w:val="16"/>
        </w:rPr>
        <w:softHyphen/>
        <w:t>ми, то нашим противникам в полной мере разгадать наши организацион</w:t>
      </w:r>
      <w:r w:rsidRPr="00507A31">
        <w:rPr>
          <w:color w:val="000000" w:themeColor="text1"/>
          <w:sz w:val="16"/>
          <w:szCs w:val="16"/>
        </w:rPr>
        <w:softHyphen/>
        <w:t>ные приготовления будет еще труднее.</w:t>
      </w:r>
    </w:p>
    <w:p w14:paraId="07C8E7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Английский писатель капитан Лиддель-Гарт по поводу танка Марте-ЛЯ делает следующее замечание: «Если военное ведомство дает только броню и пулеметы, заручившись гусеницами от любого частного трактор</w:t>
      </w:r>
      <w:r w:rsidRPr="00507A31">
        <w:rPr>
          <w:color w:val="000000" w:themeColor="text1"/>
          <w:sz w:val="16"/>
          <w:szCs w:val="16"/>
        </w:rPr>
        <w:softHyphen/>
        <w:t>ного предприятия, то любая гражданская автомобильная фирма может перейти к массовому производству тысяч таких машин дешевле, чем по 400 фунтов стерлингов штука»*. Это высказывание интересно тем, что, во-первых, показывает пути и масштабы подготовки танковых масс на</w:t>
      </w:r>
      <w:r w:rsidRPr="00507A31">
        <w:rPr>
          <w:color w:val="000000" w:themeColor="text1"/>
          <w:sz w:val="16"/>
          <w:szCs w:val="16"/>
        </w:rPr>
        <w:softHyphen/>
        <w:t>шими противниками и, во-вторых, тем, что говорит о значительной де</w:t>
      </w:r>
      <w:r w:rsidRPr="00507A31">
        <w:rPr>
          <w:color w:val="000000" w:themeColor="text1"/>
          <w:sz w:val="16"/>
          <w:szCs w:val="16"/>
        </w:rPr>
        <w:softHyphen/>
        <w:t>шевизне танка, построенного на базе автомобиля или трактора».</w:t>
      </w:r>
    </w:p>
    <w:p w14:paraId="415E8A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полях рядом с этим абзацем стоит пометка: «Это верно. Но здесь имеется в виду все же производство танков, а не перевод автомобиля в танк». И дальше:</w:t>
      </w:r>
    </w:p>
    <w:p w14:paraId="62E6EC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сравнения я приведу средние нормы расходования 76 мм снаря</w:t>
      </w:r>
      <w:r w:rsidRPr="00507A31">
        <w:rPr>
          <w:color w:val="000000" w:themeColor="text1"/>
          <w:sz w:val="16"/>
          <w:szCs w:val="16"/>
        </w:rPr>
        <w:softHyphen/>
        <w:t>дов по основным целям в бою и их стоимость:</w:t>
      </w:r>
    </w:p>
    <w:tbl>
      <w:tblPr>
        <w:tblW w:w="0" w:type="auto"/>
        <w:tblInd w:w="40" w:type="dxa"/>
        <w:tblLayout w:type="fixed"/>
        <w:tblCellMar>
          <w:left w:w="40" w:type="dxa"/>
          <w:right w:w="40" w:type="dxa"/>
        </w:tblCellMar>
        <w:tblLook w:val="0000" w:firstRow="0" w:lastRow="0" w:firstColumn="0" w:lastColumn="0" w:noHBand="0" w:noVBand="0"/>
      </w:tblPr>
      <w:tblGrid>
        <w:gridCol w:w="3089"/>
        <w:gridCol w:w="1073"/>
        <w:gridCol w:w="2074"/>
      </w:tblGrid>
      <w:tr w:rsidR="00E371BA" w:rsidRPr="00507A31" w14:paraId="285434E4" w14:textId="77777777">
        <w:trPr>
          <w:trHeight w:val="288"/>
        </w:trPr>
        <w:tc>
          <w:tcPr>
            <w:tcW w:w="3089" w:type="dxa"/>
            <w:tcBorders>
              <w:top w:val="single" w:sz="6" w:space="0" w:color="auto"/>
              <w:left w:val="single" w:sz="6" w:space="0" w:color="auto"/>
              <w:bottom w:val="nil"/>
              <w:right w:val="single" w:sz="6" w:space="0" w:color="auto"/>
            </w:tcBorders>
          </w:tcPr>
          <w:p w14:paraId="5017979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Цели</w:t>
            </w:r>
          </w:p>
          <w:p w14:paraId="341F66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147" w:type="dxa"/>
            <w:gridSpan w:val="2"/>
            <w:tcBorders>
              <w:top w:val="single" w:sz="6" w:space="0" w:color="auto"/>
              <w:left w:val="single" w:sz="6" w:space="0" w:color="auto"/>
              <w:bottom w:val="single" w:sz="6" w:space="0" w:color="auto"/>
              <w:right w:val="single" w:sz="6" w:space="0" w:color="auto"/>
            </w:tcBorders>
          </w:tcPr>
          <w:p w14:paraId="33A2A2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76 мм гранаты</w:t>
            </w:r>
          </w:p>
          <w:p w14:paraId="014AA9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F7AC719" w14:textId="77777777">
        <w:trPr>
          <w:trHeight w:val="245"/>
        </w:trPr>
        <w:tc>
          <w:tcPr>
            <w:tcW w:w="3089" w:type="dxa"/>
            <w:tcBorders>
              <w:top w:val="nil"/>
              <w:left w:val="single" w:sz="6" w:space="0" w:color="auto"/>
              <w:bottom w:val="single" w:sz="6" w:space="0" w:color="auto"/>
              <w:right w:val="single" w:sz="6" w:space="0" w:color="auto"/>
            </w:tcBorders>
          </w:tcPr>
          <w:p w14:paraId="417DCF91" w14:textId="77777777" w:rsidR="00537E5F" w:rsidRPr="00507A31" w:rsidRDefault="00537E5F" w:rsidP="00507A31">
            <w:pPr>
              <w:autoSpaceDE w:val="0"/>
              <w:autoSpaceDN w:val="0"/>
              <w:adjustRightInd w:val="0"/>
              <w:jc w:val="both"/>
              <w:rPr>
                <w:color w:val="000000" w:themeColor="text1"/>
                <w:sz w:val="16"/>
                <w:szCs w:val="16"/>
              </w:rPr>
            </w:pPr>
          </w:p>
          <w:p w14:paraId="1290D09F" w14:textId="77777777" w:rsidR="00537E5F" w:rsidRPr="00507A31" w:rsidRDefault="00537E5F" w:rsidP="00507A31">
            <w:pPr>
              <w:autoSpaceDE w:val="0"/>
              <w:autoSpaceDN w:val="0"/>
              <w:adjustRightInd w:val="0"/>
              <w:jc w:val="both"/>
              <w:rPr>
                <w:color w:val="000000" w:themeColor="text1"/>
                <w:sz w:val="16"/>
                <w:szCs w:val="16"/>
              </w:rPr>
            </w:pPr>
          </w:p>
        </w:tc>
        <w:tc>
          <w:tcPr>
            <w:tcW w:w="1073" w:type="dxa"/>
            <w:tcBorders>
              <w:top w:val="single" w:sz="6" w:space="0" w:color="auto"/>
              <w:left w:val="single" w:sz="6" w:space="0" w:color="auto"/>
              <w:bottom w:val="single" w:sz="6" w:space="0" w:color="auto"/>
              <w:right w:val="single" w:sz="6" w:space="0" w:color="auto"/>
            </w:tcBorders>
          </w:tcPr>
          <w:p w14:paraId="58A024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Число</w:t>
            </w:r>
          </w:p>
          <w:p w14:paraId="12B659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788786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Стоимость в рублях</w:t>
            </w:r>
          </w:p>
          <w:p w14:paraId="0249AC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8AF00A2" w14:textId="77777777">
        <w:trPr>
          <w:trHeight w:val="439"/>
        </w:trPr>
        <w:tc>
          <w:tcPr>
            <w:tcW w:w="3089" w:type="dxa"/>
            <w:tcBorders>
              <w:top w:val="single" w:sz="6" w:space="0" w:color="auto"/>
              <w:left w:val="single" w:sz="6" w:space="0" w:color="auto"/>
              <w:bottom w:val="single" w:sz="6" w:space="0" w:color="auto"/>
              <w:right w:val="single" w:sz="6" w:space="0" w:color="auto"/>
            </w:tcBorders>
          </w:tcPr>
          <w:p w14:paraId="0434F8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Поражение одного пулеметного гнезда</w:t>
            </w:r>
          </w:p>
          <w:p w14:paraId="7F23BA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3" w:type="dxa"/>
            <w:tcBorders>
              <w:top w:val="single" w:sz="6" w:space="0" w:color="auto"/>
              <w:left w:val="single" w:sz="6" w:space="0" w:color="auto"/>
              <w:bottom w:val="single" w:sz="6" w:space="0" w:color="auto"/>
              <w:right w:val="single" w:sz="6" w:space="0" w:color="auto"/>
            </w:tcBorders>
          </w:tcPr>
          <w:p w14:paraId="18B14D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w:t>
            </w:r>
          </w:p>
          <w:p w14:paraId="6503F2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38161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3.750</w:t>
            </w:r>
          </w:p>
          <w:p w14:paraId="7585CA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262D81C" w14:textId="77777777">
        <w:trPr>
          <w:trHeight w:val="540"/>
        </w:trPr>
        <w:tc>
          <w:tcPr>
            <w:tcW w:w="3089" w:type="dxa"/>
            <w:tcBorders>
              <w:top w:val="single" w:sz="6" w:space="0" w:color="auto"/>
              <w:left w:val="single" w:sz="6" w:space="0" w:color="auto"/>
              <w:bottom w:val="single" w:sz="6" w:space="0" w:color="auto"/>
              <w:right w:val="single" w:sz="6" w:space="0" w:color="auto"/>
            </w:tcBorders>
          </w:tcPr>
          <w:p w14:paraId="5CB808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Пробитие одного прохода в проволочных заграждениях</w:t>
            </w:r>
          </w:p>
          <w:p w14:paraId="1B3321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073" w:type="dxa"/>
            <w:tcBorders>
              <w:top w:val="single" w:sz="6" w:space="0" w:color="auto"/>
              <w:left w:val="single" w:sz="6" w:space="0" w:color="auto"/>
              <w:bottom w:val="single" w:sz="6" w:space="0" w:color="auto"/>
              <w:right w:val="single" w:sz="6" w:space="0" w:color="auto"/>
            </w:tcBorders>
          </w:tcPr>
          <w:p w14:paraId="139387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w:t>
            </w:r>
          </w:p>
          <w:p w14:paraId="1DCEE6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56100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7.500</w:t>
            </w:r>
          </w:p>
          <w:p w14:paraId="154E92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250953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Итак, если танк сделает только один проход, то и тогда он почти в два раза перекроет затраченные на него средства. Наше узкое место по поро-хам с особенной настойчивостью требует массового появления танков на поле боя.</w:t>
      </w:r>
    </w:p>
    <w:p w14:paraId="71D66C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Вот те данные, о которых я хотел Вам доложить по вопросу о выставле</w:t>
      </w:r>
      <w:r w:rsidRPr="00507A31">
        <w:rPr>
          <w:color w:val="000000" w:themeColor="text1"/>
          <w:sz w:val="16"/>
          <w:szCs w:val="16"/>
        </w:rPr>
        <w:softHyphen/>
        <w:t>нии танковых масс.</w:t>
      </w:r>
    </w:p>
    <w:p w14:paraId="4A0AE1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Докладная записка штаба РККА не только потому возмутительна, что рядом подложных цифр ввела Вас в заблуждение, но больше всего вредна тем, что является выражением законности закостенелого консерватизма, враждебного прогрессивному разрешению новых военных задач, вытека</w:t>
      </w:r>
      <w:r w:rsidRPr="00507A31">
        <w:rPr>
          <w:color w:val="000000" w:themeColor="text1"/>
          <w:sz w:val="16"/>
          <w:szCs w:val="16"/>
        </w:rPr>
        <w:softHyphen/>
        <w:t>ющих из успехов индустриализации страны и социалистического строи</w:t>
      </w:r>
      <w:r w:rsidRPr="00507A31">
        <w:rPr>
          <w:color w:val="000000" w:themeColor="text1"/>
          <w:sz w:val="16"/>
          <w:szCs w:val="16"/>
        </w:rPr>
        <w:softHyphen/>
        <w:t>тельства. Во всей своей организационной деятельности штаб РККА в луч</w:t>
      </w:r>
      <w:r w:rsidRPr="00507A31">
        <w:rPr>
          <w:color w:val="000000" w:themeColor="text1"/>
          <w:sz w:val="16"/>
          <w:szCs w:val="16"/>
        </w:rPr>
        <w:softHyphen/>
        <w:t>шем случае поднимается до давно устаревшего уровня 1918-го года, и ре</w:t>
      </w:r>
      <w:r w:rsidRPr="00507A31">
        <w:rPr>
          <w:color w:val="000000" w:themeColor="text1"/>
          <w:sz w:val="16"/>
          <w:szCs w:val="16"/>
        </w:rPr>
        <w:softHyphen/>
        <w:t>шительно отстает от общих темпов нашего развития. Это целиком про</w:t>
      </w:r>
      <w:r w:rsidRPr="00507A31">
        <w:rPr>
          <w:color w:val="000000" w:themeColor="text1"/>
          <w:sz w:val="16"/>
          <w:szCs w:val="16"/>
        </w:rPr>
        <w:softHyphen/>
        <w:t>явилось в его отношении к развитию гражданской авиации (даже теперь, после решений Политбюро, он не знает как использовать гражданскую авиацию во время войны), к числу развертываемых дивизий, к разреше</w:t>
      </w:r>
      <w:r w:rsidRPr="00507A31">
        <w:rPr>
          <w:color w:val="000000" w:themeColor="text1"/>
          <w:sz w:val="16"/>
          <w:szCs w:val="16"/>
        </w:rPr>
        <w:softHyphen/>
        <w:t xml:space="preserve">нию артиллерийского вопроса, </w:t>
      </w:r>
      <w:r w:rsidRPr="00507A31">
        <w:rPr>
          <w:color w:val="000000" w:themeColor="text1"/>
          <w:sz w:val="16"/>
          <w:szCs w:val="16"/>
        </w:rPr>
        <w:lastRenderedPageBreak/>
        <w:t>где штаб РККА, отбрасывая опыт даже империалистической войны (1916 г.) тянет нас назад к многоорудийной батарее, что вызывает громадный и напрасный перерасход снарядов и, наконец, к разрешению танкового вопроса.</w:t>
      </w:r>
    </w:p>
    <w:p w14:paraId="1E8BEC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 вышеизложенное заставило меня еще раз обратиться к Вас (так в тексте) с письмом.</w:t>
      </w:r>
    </w:p>
    <w:p w14:paraId="7909D6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коммунистическим приветом (М.Тухачевский)».</w:t>
      </w:r>
    </w:p>
    <w:p w14:paraId="097EDF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 экземпляре Ворошилова в левом верхнем углу первой страницы сделана пометка: «Противотанк, винтовка 400 метров». Автор ее имел, по-видимому, в виду, что 6-мм броню на расстоянии 400 пробивает бро</w:t>
      </w:r>
      <w:r w:rsidRPr="00507A31">
        <w:rPr>
          <w:color w:val="000000" w:themeColor="text1"/>
          <w:sz w:val="16"/>
          <w:szCs w:val="16"/>
        </w:rPr>
        <w:softHyphen/>
        <w:t>небойная пуля обычной винтовки.</w:t>
      </w:r>
    </w:p>
    <w:p w14:paraId="634F4F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Сталин на письме Тухачевского начертал: </w:t>
      </w:r>
      <w:r w:rsidRPr="00507A31">
        <w:rPr>
          <w:iCs/>
          <w:color w:val="000000" w:themeColor="text1"/>
          <w:sz w:val="16"/>
          <w:szCs w:val="16"/>
        </w:rPr>
        <w:t xml:space="preserve">«Авантюра». </w:t>
      </w:r>
      <w:r w:rsidRPr="00507A31">
        <w:rPr>
          <w:color w:val="000000" w:themeColor="text1"/>
          <w:sz w:val="16"/>
          <w:szCs w:val="16"/>
        </w:rPr>
        <w:t xml:space="preserve">Наркомвоенмор Ворошилов, добавил: </w:t>
      </w:r>
      <w:r w:rsidRPr="00507A31">
        <w:rPr>
          <w:iCs/>
          <w:color w:val="000000" w:themeColor="text1"/>
          <w:sz w:val="16"/>
          <w:szCs w:val="16"/>
        </w:rPr>
        <w:t>«Согласен».</w:t>
      </w:r>
    </w:p>
    <w:p w14:paraId="749CD8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Таким образом, Тухачевский считая, что массового производства бро</w:t>
      </w:r>
      <w:r w:rsidRPr="00507A31">
        <w:rPr>
          <w:color w:val="000000" w:themeColor="text1"/>
          <w:sz w:val="16"/>
          <w:szCs w:val="16"/>
        </w:rPr>
        <w:softHyphen/>
        <w:t>нетанковой техники можно было достичь путем:</w:t>
      </w:r>
    </w:p>
    <w:p w14:paraId="403AA7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использования всей механической системы автомобиля или трактора</w:t>
      </w:r>
    </w:p>
    <w:p w14:paraId="25323A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штамповкой стальных корпусов бронетанковой техники. Последние могли бы делать заводы, производящие котлы, например, завод в Ленинграде и другой в Таганроге.</w:t>
      </w:r>
    </w:p>
    <w:p w14:paraId="12F64E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Иными словами, Тухачевский допускал возможность из каждого трак</w:t>
      </w:r>
      <w:r w:rsidRPr="00507A31">
        <w:rPr>
          <w:color w:val="000000" w:themeColor="text1"/>
          <w:sz w:val="16"/>
          <w:szCs w:val="16"/>
        </w:rPr>
        <w:softHyphen/>
        <w:t>тора и автомобиля построить танк или бронеавтомобиль.</w:t>
      </w:r>
    </w:p>
    <w:p w14:paraId="0E2275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этим он делал вывод, что уже в 1932 году без особого перенап</w:t>
      </w:r>
      <w:r w:rsidRPr="00507A31">
        <w:rPr>
          <w:color w:val="000000" w:themeColor="text1"/>
          <w:sz w:val="16"/>
          <w:szCs w:val="16"/>
        </w:rPr>
        <w:softHyphen/>
        <w:t>ряжения для страны можно было бы иметь: по мобилизации — 40000 автомобилей и тракторов и 100000 — из годового производства, из кото</w:t>
      </w:r>
      <w:r w:rsidRPr="00507A31">
        <w:rPr>
          <w:color w:val="000000" w:themeColor="text1"/>
          <w:sz w:val="16"/>
          <w:szCs w:val="16"/>
        </w:rPr>
        <w:softHyphen/>
        <w:t>рых в максимально короткий срок можно сделать 50000 единиц броне</w:t>
      </w:r>
      <w:r w:rsidRPr="00507A31">
        <w:rPr>
          <w:color w:val="000000" w:themeColor="text1"/>
          <w:sz w:val="16"/>
          <w:szCs w:val="16"/>
        </w:rPr>
        <w:softHyphen/>
        <w:t>танковой техники, а в 1933 году — 75000 танков и бронеавтомобилей (11504).</w:t>
      </w:r>
    </w:p>
    <w:p w14:paraId="5AF190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03A8B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декабря 1930 Начальник Управления по механизации и моторизации РККА Халепский подготовил:</w:t>
      </w:r>
    </w:p>
    <w:p w14:paraId="61104F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Отчет о работе управления по механизации и моторизации РККА за 1929/30 гг.</w:t>
      </w:r>
    </w:p>
    <w:p w14:paraId="49C764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моменту формирования Управления механизации и моторизации имелось: 1 танковый полк, 6 автоброневых дивизионов, 4 автомотобатальона, 9 бронепоездных частей, всего - 20 частей.</w:t>
      </w:r>
    </w:p>
    <w:p w14:paraId="015735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настоящее время, мы имеем 35 частей и 3 Вуза, а всего 38 частей и Вузов. Кроме того, Управлением охвачено специальной подготовкой - броне-танковое дело - 32 нормальные школы РККА и по высшей допризывной подготовке - 13 гражданских Вузов.</w:t>
      </w:r>
    </w:p>
    <w:p w14:paraId="09A948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области подчинения этих частей, до сформирования УММ, [дело] обстояло совершенно неудовлетворительно. Части не имели единого руководства в округах и в Центре, так, например: бронепоезда подчинялись Инспекции артиллерии РККА, автомобильные части - Инспекции инженеров и 3 управлению Штаба РККА, автобронетанковые части в округах - 5 отделам Штаба округа, начальникам инженеров, начальникам ВТО и т.д. Следствие этого: в руководстве боевой подготовкой частей не было единой системы и плана.</w:t>
      </w:r>
    </w:p>
    <w:p w14:paraId="3E40CF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Достаточно сказать, что многие части не имели от Центра руководств, программ по боевой подготовке личного состава и таковые составлялись на местах, по произвольному объему и содержанию. Отсутствовали нормы денежных отпусков на специальное обучение и оборудование, нормы эксплуатации боевых машин и автомототранспорта, что не давало возможности командирам частей иметь твердые планы по боевой подготовке личного состава и регулировать использование боевых и транспортных машин.</w:t>
      </w:r>
    </w:p>
    <w:p w14:paraId="577607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числу особых тормозов в боевой подготовке, необходимо отметить отсутствие ряда уставов и наставлений по технической и стрелковой подготовке.</w:t>
      </w:r>
    </w:p>
    <w:p w14:paraId="65FC9C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Необходимо также отметить весьма неудовлетворительную подготовку курсантов общевойсковых нормальных школив области внедрения знаний по автобронетанковому делу. Самостоятельной кафедры (ВА) и факультета (ВТА) по моторизации и механизации не было.</w:t>
      </w:r>
    </w:p>
    <w:p w14:paraId="271B7B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числу особых тормозов в области создания материальной части для механизированных и моторизированных частей необходимо отнести отсутствие опытных образцов и достаточной научно-исследовательской и производственной базы у промышленности.</w:t>
      </w:r>
    </w:p>
    <w:p w14:paraId="6467FD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связи с таким положением перед Управлением механизации и моторизации стоял ряд важнейших задач как по вопросам боевой подготовки, так и по созданию материальной базы.</w:t>
      </w:r>
    </w:p>
    <w:p w14:paraId="04657B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Как Управление справилось с этими задачами, будет освещено по линии основных подразделений УММ: По учебно-строевому управлению, по техническому управлению и по научно-техническому комитету.</w:t>
      </w:r>
    </w:p>
    <w:p w14:paraId="443917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По учебно-строевому управлению </w:t>
      </w:r>
    </w:p>
    <w:p w14:paraId="5D5264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Программы и указания по боевой подготовке</w:t>
      </w:r>
    </w:p>
    <w:p w14:paraId="3CF193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Впервые в РККА составлены, изданы в печатном виде: программы и указания по боевой подготовке для специалистов автоброневых, танковых и бронепоездных частей, для курсантов всех нормальных общевойсковых школ РККА по автобронетанковому делу, что способствовало изжитию разнобоя в подготовке этих частей и Вузов.</w:t>
      </w:r>
    </w:p>
    <w:p w14:paraId="1AAF4B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Разработаны основные директивы, учебный план для: Броневых командных курсов, Орловской танковой школы, переработаны учебные планы факультета механизации и моторизации ВТА и Автотракторного института.</w:t>
      </w:r>
    </w:p>
    <w:p w14:paraId="51FF8C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Даны указания по боевой подготовке механизированной бригады и моторизированных отрядов.</w:t>
      </w:r>
    </w:p>
    <w:p w14:paraId="53C66A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Составлена часть программ по подготовке автоспециалистов в военное время.</w:t>
      </w:r>
    </w:p>
    <w:p w14:paraId="7DF838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Разработаны: новый курс стрельб и инструкция о порядке проведения смотровых учений и стрельб в бронепоездных частях РККА.</w:t>
      </w:r>
    </w:p>
    <w:p w14:paraId="369D9B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Военизированы 13 гражданских Вузов с автобронетанковым уклоном. Разработаны программы и указания для них.</w:t>
      </w:r>
    </w:p>
    <w:p w14:paraId="57689B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же за отчетный период составлено 16 учебных планов, программ и указаний.</w:t>
      </w:r>
    </w:p>
    <w:p w14:paraId="6314DF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 выполнено - 5 программ и указаний: по подготовке автомоточастей, одногодичников и комсостава запаса всех частей, не разработаны программы соревнований.</w:t>
      </w:r>
    </w:p>
    <w:p w14:paraId="32E0D4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Учебные нормы, табеля и сметы</w:t>
      </w:r>
    </w:p>
    <w:p w14:paraId="764267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Отсутствие твердых норм часов обучения на боевых и транспортных машинах, норм отпуска огнеприпасов для разного рода специалистов и норм классного оборудования не давало возможность:</w:t>
      </w:r>
    </w:p>
    <w:p w14:paraId="6C8FA7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составить программу по боевой подготовке;</w:t>
      </w:r>
    </w:p>
    <w:p w14:paraId="5E0EED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составить денежные расчеты для составления смет;</w:t>
      </w:r>
    </w:p>
    <w:p w14:paraId="7DC0FA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установить в каждой части количество потребных учебных машин для обучения и, наконец,</w:t>
      </w:r>
    </w:p>
    <w:p w14:paraId="6F4607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командиры частей не могли иметь твердый план обучения, так как зависели от случайных поступлений денежных средств, матчасти и разнородных указаний.</w:t>
      </w:r>
    </w:p>
    <w:p w14:paraId="6C8AB7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настоящему моменту этот пробел, в основном, можно считать изжитым: нормы установлены, хотя и требуют дальнейшей опытной проверки, сметы и заявки на денежные средства и огнеприпасы составлены, даны ориентировочные табеля и заявки по оборудованию классов танковых частей и Вузов.</w:t>
      </w:r>
    </w:p>
    <w:p w14:paraId="20B721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Сметой 1930/31 г. предусмотрены значительные, по сравнению с прошлым годом, денежные отпуска, так, например, будут впервые отпущены частям на специальное оборудование классов - 160000 рублей.</w:t>
      </w:r>
    </w:p>
    <w:p w14:paraId="2C8293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Составлен пятилетний план и сметы лагерного строительства механизированных и моторизированных частей.</w:t>
      </w:r>
    </w:p>
    <w:p w14:paraId="284E34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Из-за недостатка времени не уточнены учебные табеля классного оборудования для автомобильных, автоброневых частей и совершенно не разработаны для бронепоездных частей РККА. В настоящий момент эта работа выполняется.</w:t>
      </w:r>
    </w:p>
    <w:p w14:paraId="5B347F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Уставы, наставления и руководства</w:t>
      </w:r>
    </w:p>
    <w:p w14:paraId="081149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Работа заключалась, главным образом, в редактировании и даче отзывов, отыскании авторов и издании трудов.</w:t>
      </w:r>
    </w:p>
    <w:p w14:paraId="1A3085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того, Управлением изданы ряд уставов и наставлений, переработанных или составленных вновь (Курс стрельб автобронетанковых частей, Боевые уставы автоброневых и бронепоездных частей).</w:t>
      </w:r>
    </w:p>
    <w:p w14:paraId="527F91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настоящем году части получили ряд боевых и технических руководств:</w:t>
      </w:r>
    </w:p>
    <w:p w14:paraId="030BB4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применение механизированных и моторизированных частей по опыту полка малой механизации,</w:t>
      </w:r>
    </w:p>
    <w:p w14:paraId="732633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руководство по БА-27, танку МС-1, мотоциклу Харлей и т.д.,</w:t>
      </w:r>
    </w:p>
    <w:p w14:paraId="1B84B0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изданы инструкции по эксплуатации автотранспорта и руководства по боевой подготовке автобронетанковых частей,</w:t>
      </w:r>
    </w:p>
    <w:p w14:paraId="4C6256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наставления по материальной части и стрельбе из 37 мм танковых пушек и т.д.</w:t>
      </w:r>
    </w:p>
    <w:p w14:paraId="73A921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настоящий момент находится в печати 8 уставов и наставлений.</w:t>
      </w:r>
    </w:p>
    <w:p w14:paraId="3A7B32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Особенно остро стоит вопрос с изданием руководств для механизированных и моторизированных частей, к составлению которых можно приступить после окончательной проработки материала летней подготовки и опыта маневров БВО и МВО. Разработан план издания уставов, наставлений и руководств на 1931 учебный год.</w:t>
      </w:r>
    </w:p>
    <w:p w14:paraId="2349F7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Участие на тактических занятиях и маневрах</w:t>
      </w:r>
    </w:p>
    <w:p w14:paraId="679A99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течение года руководящие работники УММ принимали непосредственное участие в полевых выходах, тактических учениях и маневрах механизированных и моторизованных частей.</w:t>
      </w:r>
    </w:p>
    <w:p w14:paraId="30EDC5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истекший период времени участие выражалось в следующем:</w:t>
      </w:r>
    </w:p>
    <w:p w14:paraId="2CB570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Декабрь 1929г.</w:t>
      </w:r>
    </w:p>
    <w:p w14:paraId="47B39F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 Показное учение МПСД с ротой танков для КУВНАСа. Присутствовали зам. начальника УММ т. Калиновский, начальник Учебно-строевого управления т. Окулич и начальник 1 отдела т. Матвиевский.</w:t>
      </w:r>
    </w:p>
    <w:p w14:paraId="50E81C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Март 1930 г.</w:t>
      </w:r>
    </w:p>
    <w:p w14:paraId="7397F9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Показное учение 3 танкового полка. Присутствовали: начальник 1 отдела т. Матвиевский.</w:t>
      </w:r>
    </w:p>
    <w:p w14:paraId="284CD8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Май 1930 г.</w:t>
      </w:r>
    </w:p>
    <w:p w14:paraId="2719CD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Смотровое учение Курсов «Выстрел» при участии школы ВЦИК, танковой роты МО МСПД.</w:t>
      </w:r>
    </w:p>
    <w:p w14:paraId="23DE90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Присутствовали: начальник УСУ т. Окулич и начальник 1 отдела т. Матвиевский.</w:t>
      </w:r>
    </w:p>
    <w:p w14:paraId="2C5F21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Июнь 1930 г.</w:t>
      </w:r>
    </w:p>
    <w:p w14:paraId="589D50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Два полевых выхода начсостава механизированной бригады. Присутствовали: начальник 1 отдела т. Матвиевский.</w:t>
      </w:r>
    </w:p>
    <w:p w14:paraId="261DBC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Военная игра начсостава механизированной бригады. Присутствовали: начальник 1 отдела т. Матвиевский.</w:t>
      </w:r>
    </w:p>
    <w:p w14:paraId="5DC581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Июль 1930 г.</w:t>
      </w:r>
    </w:p>
    <w:p w14:paraId="7CFFCF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Строевое учение механизированной бригады. Присутствовали: начальник УММ т. Халепский и начальник УСУ т. Окулич.</w:t>
      </w:r>
    </w:p>
    <w:p w14:paraId="7CBFCD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Сборы начсостава Московского округа и тактическое учение механизированной бригады.</w:t>
      </w:r>
    </w:p>
    <w:p w14:paraId="653AB6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Присутствовали: начальник УММ т. Халепский, начальник ТУ т. Бокис, начальник УСУ т. Окулич.</w:t>
      </w:r>
    </w:p>
    <w:p w14:paraId="188116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Август 1930 г.</w:t>
      </w:r>
    </w:p>
    <w:p w14:paraId="2B37BC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Посещение МО 11 стр. дивизии, Броневых командных курсов и 2-го танкового полка. Присутствовали: начальник 1 отдела т. Матвиевский.</w:t>
      </w:r>
    </w:p>
    <w:p w14:paraId="144EFF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Август - сентябрь 1930 г.</w:t>
      </w:r>
    </w:p>
    <w:p w14:paraId="35BC62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Участие на сборах высшего начсостава и предманевренных занятий БВО. Присутствовали: начальник УСУ т. Окулич, начальник Моботдела УММ т. Давыдов и Начальник 10 отдела ТУ УММ т. Моргунов.</w:t>
      </w:r>
    </w:p>
    <w:p w14:paraId="170EBA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августа 1930 г.</w:t>
      </w:r>
    </w:p>
    <w:p w14:paraId="2B24FA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Смотровое учение МО МПСД, организованное по приказанию Заместителя председателя т. Уборевич. Присутствовали: начальник УММ т. Халепский в качестве руководителя, т. Калиновский - помощник руководителя, т. Матвиевский - начальник Штаба руководителя, т. Давыдов и т.Моргунов зап. посредники, т. Гарфункель посредник при стрелковой роте, т. Лебедь посредник при батарее, т. Бараусов посредник при автобронедивизии, т. Зун, т. Шириков, т. Васильев в распоряжении руководителя.</w:t>
      </w:r>
    </w:p>
    <w:p w14:paraId="44BDE2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Сентябрь 1930 г.</w:t>
      </w:r>
    </w:p>
    <w:p w14:paraId="43ABF3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Маневры ЛВО - присутствовал Начальник УММ т. Халепский.</w:t>
      </w:r>
    </w:p>
    <w:p w14:paraId="36B244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Сентябрь 1930 г.</w:t>
      </w:r>
    </w:p>
    <w:p w14:paraId="6FF898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Маневры БВО, с участием механизированной бригады. Присутствовали: начальник УММ т. Халепский, зам. начальника УММ т. Калиновский, начальник УСУ т. Окулич - в качестве старшего посредника механизированной бригады, начальник 1 отдела т. Матвиевский.</w:t>
      </w:r>
    </w:p>
    <w:p w14:paraId="2EFAF9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27 сентября 1930 г.</w:t>
      </w:r>
    </w:p>
    <w:p w14:paraId="6D30BD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Маневры МВО, с участием механизированной бригады. Присутствовали: начальник УММ т. Халепский, зам. начальника УММ т. Калиновский в качестве старшего посредника механизированной бригады, начальник 1 отдела т. Матвиевский, в качестве посредника 1 полка механизированной бригады, пом. начальника 1 отдела т. Тимофеев, в качестве посредника 2 полка механизированной бригады.</w:t>
      </w:r>
    </w:p>
    <w:p w14:paraId="01EFA6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Сентябрь 1930 г.</w:t>
      </w:r>
    </w:p>
    <w:p w14:paraId="61CD2B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Маневры УВО - присутствовал пом. начальника 1 отдела УММ т. Илларионов, в качестве посредника при МО 45-й Стрелковой дивизии.</w:t>
      </w:r>
    </w:p>
    <w:p w14:paraId="16FD3E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Организационная работа </w:t>
      </w:r>
    </w:p>
    <w:p w14:paraId="0C64E1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Планом работ на 1930 г. (до 1 октября) по организационной линии было намечено:</w:t>
      </w:r>
    </w:p>
    <w:p w14:paraId="152E6A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разработка вопросов обеспечения кадрами бронетанковых частей, на текущую пятилетку, исходя из потребности в них;</w:t>
      </w:r>
    </w:p>
    <w:p w14:paraId="30A8DC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разработка организационных и штатных вопросов, в связи с новыми формированиями текущего года;</w:t>
      </w:r>
    </w:p>
    <w:p w14:paraId="5914AD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обеспечение кадрами комсостава, специалистами существующих частей и частей формируемых,</w:t>
      </w:r>
    </w:p>
    <w:p w14:paraId="0956B5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основе первоначальных указаний Штаба РККА по организационным мероприятиям на текущую пятилетку, в начале года была исчислена потребность в кадрах для бронетанковых частей. Данные этой потребности выявили необходимость и неотложность следующих мероприятий:</w:t>
      </w:r>
    </w:p>
    <w:p w14:paraId="5E84E8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создание танковой школы, расширение Бронекомандных курсов, а вместе с тем, изменение их организационной структуры и штатов,</w:t>
      </w:r>
    </w:p>
    <w:p w14:paraId="2BD815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развертывание автомобильной школы для подготовки кадров командного состава этой специальности и автотехников,</w:t>
      </w:r>
    </w:p>
    <w:p w14:paraId="1BBE70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расширение ВТА в части подготовки кадров с высшим техническим образованием для механизированных и моторизированных войск,</w:t>
      </w:r>
    </w:p>
    <w:p w14:paraId="73FA28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формирование новых частей.</w:t>
      </w:r>
    </w:p>
    <w:p w14:paraId="5EDDD6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осуществления этих мероприятий были разработаны схемы организации указанных Вузов, положения и штаты, а также вопросы обеспечения их кадрами постоянного состава и переменным контингентом.</w:t>
      </w:r>
    </w:p>
    <w:p w14:paraId="7F6C7E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связи с утвержденной Штабом РККА программой по пятилетнему плану строительства бронетанковых частей, вновь проработаны вопросы о кадрах для бронетанковых частей и даны практические выводы по разрешению проблемы обеспечения ежегодных формирований бронетанковых частей младшим комсоставом и замены командиров малых танков, бронемашин и танкеток лицами младшего комсостава.</w:t>
      </w:r>
    </w:p>
    <w:p w14:paraId="002FEF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Указанная проблема в части кадров, а также вопрос квартирного строительства для бронетанковых частей, являются основными в осуществлении пятилетнего плана строительства бронетанковых частей.</w:t>
      </w:r>
    </w:p>
    <w:p w14:paraId="4A11C1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Выводы</w:t>
      </w:r>
    </w:p>
    <w:p w14:paraId="263A6C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целом, Управлением проделана большая работа, которая усложнялась:</w:t>
      </w:r>
    </w:p>
    <w:p w14:paraId="2A6EC5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Новизной боевой подготовки мотомеханизированных частей;</w:t>
      </w:r>
    </w:p>
    <w:p w14:paraId="769700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Разнородностью организационных структур и назначения механизированных и моторизированных частей (18 разнородных частей из 28, не считая частей, не подчиненных УММ).</w:t>
      </w:r>
    </w:p>
    <w:p w14:paraId="19F8BF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Составлением и разработкой, впервые в РККА, программ, указаний, руководств, норм и табелей;</w:t>
      </w:r>
    </w:p>
    <w:p w14:paraId="76DB34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Срочностью формирования частей и Вузов;</w:t>
      </w:r>
    </w:p>
    <w:p w14:paraId="527E31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Несоответствием штата объему работы и некоторой невтянотостью в работу сотрудников Управления.</w:t>
      </w:r>
    </w:p>
    <w:p w14:paraId="4E36D8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результате 9-месячной работы, некоторого опыта по руководству боевой подготовкой и организацией механизированных и моторизированных частей, а также выводов о тактических учениях, маневрах последних, перед Управлением на 1931 г. стоят следующие основные задачи:</w:t>
      </w:r>
    </w:p>
    <w:p w14:paraId="292DCB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Пересмотр существующей организации моторизированных и механизированных частей, соответственно требованиям современного боя на основе летнего опыта.</w:t>
      </w:r>
    </w:p>
    <w:p w14:paraId="5CD2A2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Переработка планов и наставлений по боевой подготовке.</w:t>
      </w:r>
    </w:p>
    <w:p w14:paraId="17BDB6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Разработка целого ряда руководств и наставлений к маю 1931 г., т.е. к моменту выхода войск в лагерь.</w:t>
      </w:r>
    </w:p>
    <w:p w14:paraId="6415B0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Разработка системы и организации подготовки кадров комсостава и специалистов для новых формирований 1931-1933 гг. и обеспечения развертывания Армии военного времени, расширение сети Вузов, подготовка специалистов в войсковых частях, вневойсковым порядком, издание программ военного времени и т.д.</w:t>
      </w:r>
    </w:p>
    <w:p w14:paraId="2F225F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Создание, в основном, учебного центра моторизированных и механизированных частей в районе Наро-Фоминска.</w:t>
      </w:r>
    </w:p>
    <w:p w14:paraId="54BB27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Изучение опыта действий механизированных и моторизированных частей на маневрах и тактических учениях.</w:t>
      </w:r>
    </w:p>
    <w:p w14:paraId="2ADA25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 техническому управлению</w:t>
      </w:r>
    </w:p>
    <w:p w14:paraId="0DED49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По мобилизационным вопросам</w:t>
      </w:r>
    </w:p>
    <w:p w14:paraId="632C05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линии мобилизационной работы перед Управлением в истекшем году стояли следующие основные вопросы:</w:t>
      </w:r>
    </w:p>
    <w:p w14:paraId="2ACAF1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Выявление мобилизационной потребности и обеспеченности РККА в танкотракторном, автоброневом и бронепоездном имуществе по мобрасписанию № 8 и 10.</w:t>
      </w:r>
    </w:p>
    <w:p w14:paraId="46B01D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Полный пересмотр заявок на год ведения войны по мобрасписаниям № 10 и 12 в связи с пересмотром РВС СССР оргмероприятий по строительству вооруженных сил.</w:t>
      </w:r>
    </w:p>
    <w:p w14:paraId="6D6353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Составлению перспективного плана заказов на три года пятилетки.</w:t>
      </w:r>
    </w:p>
    <w:p w14:paraId="169393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Пересмотр плана мобилизации гражданского автотранспорта и проработка плана мобилизации тракторов и прицепных повозок.</w:t>
      </w:r>
    </w:p>
    <w:p w14:paraId="36972A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Пересоставление действующих планов перевозок по имуществу Управления механизации и моторизации.</w:t>
      </w:r>
    </w:p>
    <w:p w14:paraId="60559B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Составление планов межокружных перевозок по мобрасписанию №10.</w:t>
      </w:r>
    </w:p>
    <w:p w14:paraId="4F436D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Создание мобфондов резины на складах промышленности.</w:t>
      </w:r>
    </w:p>
    <w:p w14:paraId="68B9C2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Пересмотр мобфондов нефтепродуктов на складах Союзнефти для обеспечения мобразвертывания по варианту № 10.</w:t>
      </w:r>
    </w:p>
    <w:p w14:paraId="3955CB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Разработка норм и комплектов расхода имущества УММ на военное и мирное время.</w:t>
      </w:r>
    </w:p>
    <w:p w14:paraId="2B5CA9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Разработка системы ремонта имущества УММ в мирное и военное время и обеспечение его ремонтными средствами.</w:t>
      </w:r>
    </w:p>
    <w:p w14:paraId="1CD098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Составление плана питания войны.</w:t>
      </w:r>
    </w:p>
    <w:p w14:paraId="0968CE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12. Создание производственных баз по имуществу УММ.</w:t>
      </w:r>
    </w:p>
    <w:p w14:paraId="14BD6A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перечисленные вопросы пришлось Управлению прорабатывать заново, так как полученные материалы от Артиллерийского управления и Военно-технического управления в большинстве своем не соответствовали новой организации вооруженных сил.</w:t>
      </w:r>
    </w:p>
    <w:p w14:paraId="419E52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 октября 1930 г. все вышеперечисленные вопросы в основном проработаны, но некоторые не получили окончательного оформления и вследствие этого не проведены в жизнь.</w:t>
      </w:r>
    </w:p>
    <w:p w14:paraId="71CFED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Состояние работ характеризуется нижеследующим:</w:t>
      </w:r>
    </w:p>
    <w:p w14:paraId="50E135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Мобилизационная потребность и мобобеспеченность РККА имуществом по УММ по мобрасписаниям № 8 и 10 окончательно выявлена и препровождена Штабу РККА. Этот документ является сейчас основным, на основании которого Управление механизации и моторизации проводит планы накопления имущества для развертывания вооруженных сил в случае войны.</w:t>
      </w:r>
    </w:p>
    <w:p w14:paraId="6ADF52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Составлены и предъявлены промышленности мобзаявки на год войны по вар. № 10 и 12. В настоящее время происходит согласование собъединением промышленности возможности подачи в военное время требуемого по мобзаявкам имущества.</w:t>
      </w:r>
    </w:p>
    <w:p w14:paraId="145FF9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Уточнены действующие планы перевозок на военное время и переданы через 3 Управление Штаба РККА - НКПС.</w:t>
      </w:r>
    </w:p>
    <w:p w14:paraId="40F3F1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Уточнена спецификация мобфондов резины и предъявлены Резинообъединению для накопления мобфондов. К настоящему времени мобфонд накоплен в размере 60%. По распоряжению Президиума ВСНК 100% накопление будет достигнуто к 1 января 1931 г.</w:t>
      </w:r>
    </w:p>
    <w:p w14:paraId="6994FB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Уточнена потребность в мобфондах нефтепродуктов для развертывания по мобрасписанию № 10 и препровождена Нефтесиндекату для реализации. В настоящее время реализация не произведена полностью из-за отсутствия требуемых для НКВМ нефтехранилищ, так как Союзнефтью и Президиумом ВСНХ не было обеспечено строительство этих хранилищ стройматериалами и рабсилой. Вопрос внесен с РЗ СТО на разрешение.</w:t>
      </w:r>
    </w:p>
    <w:p w14:paraId="136FCF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Разработаны, систематизированы в сборник и утверждены нормы и комплекты имущества УММ и переданы Управлению делами НКВМ для издания.</w:t>
      </w:r>
    </w:p>
    <w:p w14:paraId="436721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Составлен перспективный план заказов на трехлетие в соответствии с программой оргмероприятий по моторизации и механизации РККА. На основании этого плана Управление составляет ежегодные планы заказов.</w:t>
      </w:r>
    </w:p>
    <w:p w14:paraId="6688AD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Произведено уточнение плана мобилизации гражданского автотранспорта по мобрасписанию и переданы соответствующие указания местам.</w:t>
      </w:r>
    </w:p>
    <w:p w14:paraId="24838C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Разработаны штаты, табеля четырех окружных мастерских для ремонта имущества УММ, а также штаты и табели опытной подвижной железнодорожной мастерской для среднего ремонта в военное время. Разработана система ремонта в военное время, получившая одобрение Штаба РККА.</w:t>
      </w:r>
    </w:p>
    <w:p w14:paraId="65C3E6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основании разработанной системы ремонта составлена мобзаявка на ремонт имущества в военное время и препровождена для согласования в Мобилизационно-плановое управление ВСНХ.</w:t>
      </w:r>
    </w:p>
    <w:p w14:paraId="275E5A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Рассмотрение заявки будет закончено к 1 декабря, после чего [заявка] будет представлена РВС СССР и Правительству на утверждение.</w:t>
      </w:r>
    </w:p>
    <w:p w14:paraId="69D1BD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настоящее время согласовывается с Авторемснабом план строительства ремонтных мастерских в 1931 г. в ЛВО, МВО, БВО и УВО.</w:t>
      </w:r>
    </w:p>
    <w:p w14:paraId="2E6203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1931 г. по линии УММ будут построены ремонтные мастерские в Москве, Брянске и Харькове.</w:t>
      </w:r>
    </w:p>
    <w:p w14:paraId="013C46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По линии подготовки производственной базы для имущества УММ за истекший год при большом нажиме и содействии со стороны УММ проведены следующие работы:</w:t>
      </w:r>
    </w:p>
    <w:p w14:paraId="005937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Организовано производство на новых местах на заводе «Большевик».</w:t>
      </w:r>
    </w:p>
    <w:p w14:paraId="79B6A3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Строится танковый цех на заводе ХПЗ для производства средних танков на 1300 шт. в мирное время и на 1600 шт. в военное время.</w:t>
      </w:r>
    </w:p>
    <w:p w14:paraId="6EA1BC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Строится тракторный цех на ХПЗ для производства модернизированного трактора «Коммунар» в количестве 5500 шт. в год по мирному времени и 7500 в год по военному времени. Последним решением правительства строительство прекращено, в связи с чем поставлено под угрозу обеспечение Армии в военное время средними тракторами.</w:t>
      </w:r>
    </w:p>
    <w:p w14:paraId="4DBE05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Расширяется танковый цех на ММЗ до производства 500 малых танков в год.</w:t>
      </w:r>
    </w:p>
    <w:p w14:paraId="0DDCA4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 Проработан вопрос об ассимиляции танкового производства на тракторном заводе. Специальной Комиссией под председательством Начальника МПУ т. Смилга принято решение об организации танкового производства на Сталинградском тракторном заводе, с одновременной организацией броневой базы в Сталинграде.</w:t>
      </w:r>
    </w:p>
    <w:p w14:paraId="6495D4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 Для обеспечения танковой программы броней по плану заказов 1931 г. приступили к постройке броневого цеха на Ижорском заводе.</w:t>
      </w:r>
    </w:p>
    <w:p w14:paraId="630A48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ж) По линии автостроения поставлены перед ВАТО вопросы об организации специальных мастерских для производства задних мостов с повышенной проходимостью.</w:t>
      </w:r>
    </w:p>
    <w:p w14:paraId="1C93E7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 По линии тракторного производства поставлены перед ВАТО вопросы о модернизации и приспособлении сельскохозяйственных тракторов для нужд обороны (гусеничные придатки к трактору Интернационал, модернизация трактора Катерпиллер 60) и в связи с этим использование мощной тракторной промышленности для нужд обороны в военное время.</w:t>
      </w:r>
    </w:p>
    <w:p w14:paraId="712B99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 Приспосабливается 2-й Автозавод для производства танкеток.</w:t>
      </w:r>
    </w:p>
    <w:p w14:paraId="30BA67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настоящее время необходимо со всей категоричностью констатировать, что за истекший 1929/30 г. не проведены в жизнь мероприятия о создании мощной танковой производственной базы.</w:t>
      </w:r>
    </w:p>
    <w:p w14:paraId="7A2A76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Если вопрос о производственной базе и в частности: о приспособлении Сталинградского тракторного завода для танкового производства, о постройке броневой базы в Сталинграде, о постройке завода для мелкого стального фасонного литья, о постройке моторного завода не будут окончательно решены в течение особого квартала 1930 г. и вышеперечисленные заводы не будут построены к весне 1932 г., то можно со всей уверенностью сказать, что Красная Армия, в случае войны, не будет обеспечена танками.</w:t>
      </w:r>
    </w:p>
    <w:p w14:paraId="4A1D93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случае непостройки броневой базы в Сталинграде стоит под угрозой срыва выполнение танковой программы мирного времени 1932 г.</w:t>
      </w:r>
    </w:p>
    <w:p w14:paraId="6BB2A8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 такой же угрозой срыва стоит выполнение танковой программы 1931 г., если не будут приняты экстраординарные меры по постройке и пуску в эксплуатацию весной!931 г. броневой мастерской К-6 на Ижорском заводе.</w:t>
      </w:r>
    </w:p>
    <w:p w14:paraId="3FEB58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Необходимо отметить, что со стороны УММ были приняты все меры по созданию производственной базы по танкам вплоть до областных комитетов партии и Центрального комитета коммунистической партии Украины, РВС СССР и Правительства.</w:t>
      </w:r>
    </w:p>
    <w:p w14:paraId="42AC85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Большую часть своих сил и энергии работники Управления использовали по линии создания производственной базы.</w:t>
      </w:r>
    </w:p>
    <w:p w14:paraId="6F80A3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 вопросам исполнения плана заказов на 1929/30 г.</w:t>
      </w:r>
    </w:p>
    <w:p w14:paraId="350B12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танкам</w:t>
      </w:r>
    </w:p>
    <w:p w14:paraId="04E1BE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основании войскового опыта и испытаний специальной комиссии под председательством пом. комвойск МВО т. Каширина в 3 серию танков Т-18 введен целый ряд конструктивных изменений, из которых основными являются: повышение мощности мотора до 40 НР1, ведущее колесо с внешним зацеплением, гусеница - «орлиный коготь», катки защищены от грязи и др.</w:t>
      </w:r>
    </w:p>
    <w:p w14:paraId="635EBA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Изготовлены опытные образцы, испытаны и намечены к внедрению в производство по планам особого квартала в 1931 г.: средний танк Т-24 , трактор Коммунар К-90 со скоростью до 16 км/час, тракторная повозка 3-тонная, цистерна на тракторной повозке. Готовятся опытные образцы и намечены к внедрению в производство по плану 1931 г. малые танки Т-20 и Т-19, танкетка Т-27. Кроме того, закуплены за границей опытные образцы малого танка Т-26 и танка Кристи, которые после соответствующих испытаний предназначаются для производства на заводах СССР.</w:t>
      </w:r>
    </w:p>
    <w:p w14:paraId="443858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РВС СССР по танковой программе на 1929/30 г. был утвержден следующий план заказов по основным предметам:</w:t>
      </w:r>
    </w:p>
    <w:p w14:paraId="40A5F3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танкеток 10 шт.</w:t>
      </w:r>
    </w:p>
    <w:p w14:paraId="398584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танков средних 30 шт.</w:t>
      </w:r>
    </w:p>
    <w:p w14:paraId="52402F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танков малых 300 шт.</w:t>
      </w:r>
    </w:p>
    <w:p w14:paraId="0370D9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тракторов Большевик 100шт.</w:t>
      </w:r>
    </w:p>
    <w:p w14:paraId="1B5DC0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тракторов Коммунар 400 шт.</w:t>
      </w:r>
    </w:p>
    <w:p w14:paraId="76AA6D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этой программы на 1 октября 1930 г. выполнено 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E371BA" w:rsidRPr="00507A31" w14:paraId="4D57CB3D" w14:textId="77777777">
        <w:tc>
          <w:tcPr>
            <w:tcW w:w="3192" w:type="dxa"/>
            <w:tcBorders>
              <w:top w:val="single" w:sz="12" w:space="0" w:color="auto"/>
            </w:tcBorders>
          </w:tcPr>
          <w:p w14:paraId="0339C7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танкеток</w:t>
            </w:r>
          </w:p>
        </w:tc>
        <w:tc>
          <w:tcPr>
            <w:tcW w:w="3192" w:type="dxa"/>
            <w:tcBorders>
              <w:top w:val="single" w:sz="12" w:space="0" w:color="auto"/>
            </w:tcBorders>
          </w:tcPr>
          <w:p w14:paraId="5AA302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p w14:paraId="3AB2F48B" w14:textId="77777777" w:rsidR="00537E5F" w:rsidRPr="00507A31" w:rsidRDefault="00537E5F" w:rsidP="00507A31">
            <w:pPr>
              <w:autoSpaceDE w:val="0"/>
              <w:autoSpaceDN w:val="0"/>
              <w:adjustRightInd w:val="0"/>
              <w:jc w:val="both"/>
              <w:rPr>
                <w:color w:val="000000" w:themeColor="text1"/>
                <w:sz w:val="16"/>
                <w:szCs w:val="16"/>
              </w:rPr>
            </w:pPr>
          </w:p>
        </w:tc>
        <w:tc>
          <w:tcPr>
            <w:tcW w:w="3192" w:type="dxa"/>
            <w:tcBorders>
              <w:top w:val="single" w:sz="12" w:space="0" w:color="auto"/>
            </w:tcBorders>
          </w:tcPr>
          <w:p w14:paraId="7E5C51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И-за отсутствия опытного образца</w:t>
            </w:r>
          </w:p>
          <w:p w14:paraId="36BB5FD2"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6067407" w14:textId="77777777">
        <w:tc>
          <w:tcPr>
            <w:tcW w:w="3192" w:type="dxa"/>
          </w:tcPr>
          <w:p w14:paraId="3C1CB5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танков средних</w:t>
            </w:r>
          </w:p>
        </w:tc>
        <w:tc>
          <w:tcPr>
            <w:tcW w:w="3192" w:type="dxa"/>
          </w:tcPr>
          <w:p w14:paraId="3474A7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p w14:paraId="7A3FD27A" w14:textId="77777777" w:rsidR="00537E5F" w:rsidRPr="00507A31" w:rsidRDefault="00537E5F" w:rsidP="00507A31">
            <w:pPr>
              <w:autoSpaceDE w:val="0"/>
              <w:autoSpaceDN w:val="0"/>
              <w:adjustRightInd w:val="0"/>
              <w:jc w:val="both"/>
              <w:rPr>
                <w:color w:val="000000" w:themeColor="text1"/>
                <w:sz w:val="16"/>
                <w:szCs w:val="16"/>
              </w:rPr>
            </w:pPr>
          </w:p>
        </w:tc>
        <w:tc>
          <w:tcPr>
            <w:tcW w:w="3192" w:type="dxa"/>
          </w:tcPr>
          <w:p w14:paraId="7D7A88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Из-за позднего изготовления опытного образца. Испытания опытного образца были закончены 13 августа с.г. РВС СССР намечен окончательный срок выполнения опытной серии 15 танков - 1 января 1931 г.</w:t>
            </w:r>
          </w:p>
          <w:p w14:paraId="60E400FA"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060C6187" w14:textId="77777777">
        <w:tc>
          <w:tcPr>
            <w:tcW w:w="3192" w:type="dxa"/>
          </w:tcPr>
          <w:p w14:paraId="609DF8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танков малых</w:t>
            </w:r>
          </w:p>
        </w:tc>
        <w:tc>
          <w:tcPr>
            <w:tcW w:w="3192" w:type="dxa"/>
          </w:tcPr>
          <w:p w14:paraId="2740E2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w:t>
            </w:r>
          </w:p>
          <w:p w14:paraId="7F4FB69A" w14:textId="77777777" w:rsidR="00537E5F" w:rsidRPr="00507A31" w:rsidRDefault="00537E5F" w:rsidP="00507A31">
            <w:pPr>
              <w:autoSpaceDE w:val="0"/>
              <w:autoSpaceDN w:val="0"/>
              <w:adjustRightInd w:val="0"/>
              <w:jc w:val="both"/>
              <w:rPr>
                <w:color w:val="000000" w:themeColor="text1"/>
                <w:sz w:val="16"/>
                <w:szCs w:val="16"/>
              </w:rPr>
            </w:pPr>
          </w:p>
        </w:tc>
        <w:tc>
          <w:tcPr>
            <w:tcW w:w="3192" w:type="dxa"/>
          </w:tcPr>
          <w:p w14:paraId="301D3DD6" w14:textId="77777777" w:rsidR="00537E5F" w:rsidRPr="00507A31" w:rsidRDefault="00537E5F" w:rsidP="00507A31">
            <w:pPr>
              <w:autoSpaceDE w:val="0"/>
              <w:autoSpaceDN w:val="0"/>
              <w:adjustRightInd w:val="0"/>
              <w:jc w:val="both"/>
              <w:rPr>
                <w:color w:val="000000" w:themeColor="text1"/>
                <w:sz w:val="16"/>
                <w:szCs w:val="16"/>
              </w:rPr>
            </w:pPr>
          </w:p>
          <w:p w14:paraId="6CDA1960"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10659986" w14:textId="77777777">
        <w:tc>
          <w:tcPr>
            <w:tcW w:w="3192" w:type="dxa"/>
          </w:tcPr>
          <w:p w14:paraId="240630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тракторов Большевик</w:t>
            </w:r>
          </w:p>
        </w:tc>
        <w:tc>
          <w:tcPr>
            <w:tcW w:w="3192" w:type="dxa"/>
          </w:tcPr>
          <w:p w14:paraId="1C6CD7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0</w:t>
            </w:r>
          </w:p>
          <w:p w14:paraId="1689BABE" w14:textId="77777777" w:rsidR="00537E5F" w:rsidRPr="00507A31" w:rsidRDefault="00537E5F" w:rsidP="00507A31">
            <w:pPr>
              <w:autoSpaceDE w:val="0"/>
              <w:autoSpaceDN w:val="0"/>
              <w:adjustRightInd w:val="0"/>
              <w:jc w:val="both"/>
              <w:rPr>
                <w:color w:val="000000" w:themeColor="text1"/>
                <w:sz w:val="16"/>
                <w:szCs w:val="16"/>
              </w:rPr>
            </w:pPr>
          </w:p>
        </w:tc>
        <w:tc>
          <w:tcPr>
            <w:tcW w:w="3192" w:type="dxa"/>
          </w:tcPr>
          <w:p w14:paraId="3CCDC95D" w14:textId="77777777" w:rsidR="00537E5F" w:rsidRPr="00507A31" w:rsidRDefault="00537E5F" w:rsidP="00507A31">
            <w:pPr>
              <w:autoSpaceDE w:val="0"/>
              <w:autoSpaceDN w:val="0"/>
              <w:adjustRightInd w:val="0"/>
              <w:jc w:val="both"/>
              <w:rPr>
                <w:color w:val="000000" w:themeColor="text1"/>
                <w:sz w:val="16"/>
                <w:szCs w:val="16"/>
              </w:rPr>
            </w:pPr>
          </w:p>
          <w:p w14:paraId="3DB2D36C"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4B49BBAF" w14:textId="77777777">
        <w:tc>
          <w:tcPr>
            <w:tcW w:w="3192" w:type="dxa"/>
            <w:tcBorders>
              <w:bottom w:val="single" w:sz="12" w:space="0" w:color="auto"/>
            </w:tcBorders>
          </w:tcPr>
          <w:p w14:paraId="24BF61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тракторов Коммунар</w:t>
            </w:r>
          </w:p>
        </w:tc>
        <w:tc>
          <w:tcPr>
            <w:tcW w:w="3192" w:type="dxa"/>
            <w:tcBorders>
              <w:bottom w:val="single" w:sz="12" w:space="0" w:color="auto"/>
            </w:tcBorders>
          </w:tcPr>
          <w:p w14:paraId="5D0C51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w:t>
            </w:r>
          </w:p>
          <w:p w14:paraId="3CA736F0" w14:textId="77777777" w:rsidR="00537E5F" w:rsidRPr="00507A31" w:rsidRDefault="00537E5F" w:rsidP="00507A31">
            <w:pPr>
              <w:autoSpaceDE w:val="0"/>
              <w:autoSpaceDN w:val="0"/>
              <w:adjustRightInd w:val="0"/>
              <w:jc w:val="both"/>
              <w:rPr>
                <w:color w:val="000000" w:themeColor="text1"/>
                <w:sz w:val="16"/>
                <w:szCs w:val="16"/>
              </w:rPr>
            </w:pPr>
          </w:p>
        </w:tc>
        <w:tc>
          <w:tcPr>
            <w:tcW w:w="3192" w:type="dxa"/>
            <w:tcBorders>
              <w:bottom w:val="single" w:sz="12" w:space="0" w:color="auto"/>
            </w:tcBorders>
          </w:tcPr>
          <w:p w14:paraId="75F37924" w14:textId="77777777" w:rsidR="00537E5F" w:rsidRPr="00507A31" w:rsidRDefault="00537E5F" w:rsidP="00507A31">
            <w:pPr>
              <w:autoSpaceDE w:val="0"/>
              <w:autoSpaceDN w:val="0"/>
              <w:adjustRightInd w:val="0"/>
              <w:jc w:val="both"/>
              <w:rPr>
                <w:color w:val="000000" w:themeColor="text1"/>
                <w:sz w:val="16"/>
                <w:szCs w:val="16"/>
              </w:rPr>
            </w:pPr>
          </w:p>
          <w:p w14:paraId="187B3FC2" w14:textId="77777777" w:rsidR="00537E5F" w:rsidRPr="00507A31" w:rsidRDefault="00537E5F" w:rsidP="00507A31">
            <w:pPr>
              <w:autoSpaceDE w:val="0"/>
              <w:autoSpaceDN w:val="0"/>
              <w:adjustRightInd w:val="0"/>
              <w:jc w:val="both"/>
              <w:rPr>
                <w:color w:val="000000" w:themeColor="text1"/>
                <w:sz w:val="16"/>
                <w:szCs w:val="16"/>
              </w:rPr>
            </w:pPr>
          </w:p>
        </w:tc>
      </w:tr>
    </w:tbl>
    <w:p w14:paraId="66B209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Невыполнение программы по малым танкам объясняется, главным образом, неорганизованностью производства на заводе «Большевик». Только благодаря принятым мерам со стороны УММ, РВС СССР и Правительства программа будет закончена к 13 декабря с.г. Характерным примером неорганизованности производства является следующее: на 1 апреля заводом «Большевик» было изготовлено только 59 танков по недоделу прошлого года, в апреле месяце 25 танков, в июне месяце 40 танков, в июле ни одного, в августе 65 танков, в сентябре 70 танков. Но, несмотря на это, все-таки общий результат производства, особенно за последние месяцы говорит за то, что основные болезни заводом изжиты и в дальнейшем можно рассчитывать на нормальное выполнение производственной программы. Если сравнивать выполнение программы 1928/29 г. с программой 1929/30 г., то получим следующие основные цифры: за весь прошлый год заводом был выполнен заказ из 80 танков в размере 21 танка, а 59 танков было в недоделе, в этом же году завод выполнил, считая недодел 59 танков, 259 танков, что составляет увеличение против прошлого года на 1230%.</w:t>
      </w:r>
    </w:p>
    <w:p w14:paraId="5735C1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Что же касается недодела на 100 тракторов, то на этот недодел УММ вынуждено было идти сознательно, так как внедрение в танковый цех производства тракторов срывало производство танков. Оружобъединение недодел по тракторам обязуется выполнить в течение 1 квартала 1931 г.</w:t>
      </w:r>
    </w:p>
    <w:p w14:paraId="443E7B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ММЗ свой план заказа по недоделу в размере 20 танков выполнил только в количестве 12 шт. Это объясняется тем, что танковому производству со стороны Заводоуправления не было уделено достаточного внимания для налаживания танкового производства на заводе и подготовке его к выполнению программы будущего года. По предложению УММ на ММЗ выезжал председатель Оружобъединения т. Кудыян, которым намечен на заводе целый ряд конкретных мероприятий, обеспечивающих своевременное выполнение заводом танковой программы 1931 г.</w:t>
      </w:r>
    </w:p>
    <w:p w14:paraId="2C03BC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Харьковский Паровозостроительный завод не выполнил программу в размере 200 тракторов Коммунар, благодаря тому, что завод не уделял достаточного внимания военной программе. Недодел будет выполнен в течение особого квартала.</w:t>
      </w:r>
    </w:p>
    <w:p w14:paraId="2655E5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автомобилям</w:t>
      </w:r>
    </w:p>
    <w:p w14:paraId="48526E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РВС СССР был утвержден следующий план заказов: автомобилей легковых 340, автомобилей грузовых 2500.</w:t>
      </w:r>
    </w:p>
    <w:p w14:paraId="1D6D34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Ввиду неправильного распределения автотранспорта, ввозимого из-за границы Наркомторгом среди основных потребителей, УММ в течение 1 квартала ни одного импортного автомобиля отпущено не было. Считая такое положение ненормальным и нетерпимым, УММ в январе месяце вошло в РЗ СТО об определении контингента автотранспорта для УММ. Решением РЗ СТО была образована специальная комиссия для распределения автотранспорта. Согласно решений этой комиссии для Наркомвоенмора был определен автоконтингент в размере 360 легковых автомобилей и 1884 грузовых автомобилей. Это распределение было утверждено Советом Труда и Обороны.</w:t>
      </w:r>
    </w:p>
    <w:p w14:paraId="01784F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и по этому плану Наркомвоенмор автомобилей не получил, так как Наркомторг решений Правительства не выполнил. И только 21 июля комиссия т. Рудзутак окончательно определила количество автомобилей для НКВМ: 256 легковых и 1091 грузовых автомобилей.</w:t>
      </w:r>
    </w:p>
    <w:p w14:paraId="7F8862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 октября утвержденный т. Рудзутак план сдачи автомобилей Наркомвоенмору выполнен полностью.</w:t>
      </w:r>
    </w:p>
    <w:p w14:paraId="2E3E1E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Выполнение плана заказов по бронированию автомашин явно неудовлетворительно, так как из заказанных 72 бронемашин Ижорским заводом на 1 октября сдано только 26 машин. Такое положение объясняется неорганизованностью производства, слабым руководством со стороны заводоуправления и наличием вредительства. При докладе начальником Технического управления т. Бокис вопроса о невыполнении Ижорским заводом военной программы на Областном комитете партии, последнее, т.е. невыполнение программы, было охарактеризовано как «проявление правого оппортунизма в вопросах обороны на практике». Недодел в размере 46 машин завод выполнит в течение особого квартала текущего года.</w:t>
      </w:r>
    </w:p>
    <w:p w14:paraId="20230F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целях обеспечения РККА автомашинами повышенной проходимости УММ за истекший год были произведены испытания закупленных за границей автомашин. Лучшими из них признаны Морис и Ворникрофт. Для обеспечения наикратчайших сроков внедрение, в серийное производство трехосных автомашин с повышенной проходимостью Форд и АМО-2, фирме Тимкен в Америке заказаны задние мосты для трехосных автомашин Форд. По прибытии в Советский Союз и испытании они будут поставлены на производство с тем, чтобы еще в 1931 г. получить первые партии трехосных машин отечественного производства.</w:t>
      </w:r>
    </w:p>
    <w:p w14:paraId="7C184B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создания современной тяжелой броневой машины закуплены за границей 100 шасси Морелянд для бронирования. Один экземпляр шасси отправлен на Ижорский завод для изготовления опытного образца тяжелой бронемашины. Таким образом, можно считать, что за истекший год Управлением механизации и моторизации проработаны вопросы внедрения в серийное производство трехосных автомашин с повышенной проходимостью. Как уже было указано выше, УММ принимаются меры по линии ВАТО о постройке специальных мастерских для внедрения в серийное производство трехосных машин.</w:t>
      </w:r>
    </w:p>
    <w:p w14:paraId="4B1BC8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бронепоездам</w:t>
      </w:r>
    </w:p>
    <w:p w14:paraId="03F4EB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период руководства бывшим 5 отделом Артиллерийского управления бронепоезда приведены в такое состояние, что в случае войны летом текущего года Красная Армия ни одного вполне исправного бронепоезда на вооружении не имела бы. В этом вопросе было налицо явное вредительство со стороны арестованного Ростовского.</w:t>
      </w:r>
    </w:p>
    <w:p w14:paraId="6602F4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истекшее лето в основном приведена в порядок материальная часть существующих бронепо-ездных частей.</w:t>
      </w:r>
    </w:p>
    <w:p w14:paraId="1A72DD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Построен модернизированный бронепоезд. Разработаны положения о ремонте паровозов, табель подвижного состава, уточнены нормы и табель железнодорожного и специального имущества бронепоездов, разработано описание материальной части бронепоездов. Разработан и сдан в 5 управление Штаба РККА боевой устав Бронесил РККА (часть 1, книга 3, Бронепоезда).</w:t>
      </w:r>
    </w:p>
    <w:p w14:paraId="439FF3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заказов складом №60 по бронировке 5 паровозов, 14 бронеплощадок выполнен полностью. В течение 1931 г. будет полностью отремонтирована вся существующая материальная часть бронепоездов для обеспечения вар. №10. В течение того же года будут перебронированы бронепоезда, на которых в результате обстрела броня оказалась непригодной.</w:t>
      </w:r>
    </w:p>
    <w:p w14:paraId="6A5F18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Качество продукции</w:t>
      </w:r>
    </w:p>
    <w:p w14:paraId="5D335B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качеству продукции истекший год характеризовался как положительными, так и отрицательными показателями. К числу положительных показателей относятся конструктивные улучшения танка Т-18, улучшения качества обработки деталей, улучшения качества материалов.</w:t>
      </w:r>
    </w:p>
    <w:p w14:paraId="165A37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бронемашинам были обнаружены случаи поломок ступиц, передних колес БА-27. Для выявления всех недостатков по изготовлению бронемашин была командирована в войсковые части специальная комиссия с участием председателя завода АМО. Завод АМО принял на себя обязательство заменить все негодные части и в дальнейшем не допустить на специальные машины малопригодные части.</w:t>
      </w:r>
    </w:p>
    <w:p w14:paraId="1E0DA1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Отрицательными показателями по танку Т-18 за истекший год были: неаккуратная сборка и недоброкачественность материалов.</w:t>
      </w:r>
    </w:p>
    <w:p w14:paraId="0BEDEF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улучшения качества сборки были приняты меры по улучшению сборки, в частности введены формуляры по сборке каждого танка с указанием в формуляре бригадира и рабочих по сборке данной машины. В результате этого за последнее время сборка машин значительно улучшилась.</w:t>
      </w:r>
    </w:p>
    <w:p w14:paraId="42052B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выявления ряда мелких конструктивных недостатков и недостатков по качеству материалов по настоянию УММ была командирована в Мехбригаду специальная комиссия завода «Большевик» в составе одного инженера, одного техника и нескольких высококвалифицированных рабочих. За период нахождения этой комиссии в Мехбригаде последней был дан целый ряд указаний заводу по улучшению как обработки отдельных деталей, так и по качеству материалов для этих деталей.</w:t>
      </w:r>
    </w:p>
    <w:p w14:paraId="5B6321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Цены</w:t>
      </w:r>
    </w:p>
    <w:p w14:paraId="04FC73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вопросах снижения цен за истекший год достигнуты незначительные результаты. При постановке этой работы на должную высоту мы бы имели гораздо больше результатов, чем те 12%, которые мы имеем по снижению цен за 1929/30 г. Имеются налицо случаи переплаты промышленности по заключенным еще Артиллерийским управлением договором, в частности по трактору Коммунар в сумме около 360000 руб.</w:t>
      </w:r>
    </w:p>
    <w:p w14:paraId="63FABD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Такое положение объясняется тем, что до августа месяца отсутствовала в составе Управления калькуляционная комиссия с одной стороны, а с другой стороны - наличием распоряжения Наркома РКИ о недопущении на заводы представителей Управления для проверки калькуляции. В связи с чем даже переплата по тракторам Коммунар была выявлена в незаконном, с точки зрения РКИ, порядке, путем командирования на ХПЗ Начальника финансовой части.</w:t>
      </w:r>
    </w:p>
    <w:p w14:paraId="2540E2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момента назначения калькулятора проделана большая работа по ценам, в результате чего на будущий хозяйственный год намечается снижение цен по танкам и тракторам на 43%, по автотранспорту на 25%. Но, несмотря на это необходимо, во что бы то ни стало, добиться разрешения командирования непосредственно на заводы членов Калькуляционной комиссии для проверки калькуляций непосредственно на заводах. Это даст возможность определить с наибольшей точностью цены на изготовляемую промышленностью продукцию.</w:t>
      </w:r>
    </w:p>
    <w:p w14:paraId="452ADB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Обеспечение имуществом УММ войсковых частей</w:t>
      </w:r>
    </w:p>
    <w:p w14:paraId="183BBA6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Несмотря на полное невыполнение промышленностью плана заказов и на нетерпимое положение по определению количества автомашин для УММ, все-таки за истекший год удалось обеспечить основные формирования 1930 г.: Механизированную бригаду, три мотоотряда стрелковых дивизий, Отдельный кавэскадрон СКВО, Территориальный автобатальон СКВО, часть УВВС по мирному времени, 3 танковый полк, 2 танковый полк, Броневые командные курсы. Подготовить минимальное количество материальной части для формирований с 1 октября 1930 г.: двух танковых рот, Орловской танковой школы, Автотехнической школы, Факультета механизации и моторизации ВТА. Эти вновь формируемые части будут обеспечены полностью имуществом к 15 ноября с.г.</w:t>
      </w:r>
    </w:p>
    <w:p w14:paraId="466B8A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результате реализации плана заказов 1929/30 г. наиболее узким местом в снабжении остаются целый ряд частей РККА, у которых по штатным соображениям были изъяты лошади, но до сих пор Управлению механизации и моторизации не удалось заменить их автотранспортом.</w:t>
      </w:r>
    </w:p>
    <w:p w14:paraId="26BC15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Наиболее узким местом по снабжению автотранспортом на мобилизационное развертывание остаются ВВС, имеющие краткий срок развертывания, так как они почти ничего из автотранспорта не имеют в своем неприкосновенном запасе. УММ поставило своей задачей в течение особого квартала и 1 квартала 1931 г. во что бы то ни </w:t>
      </w:r>
      <w:r w:rsidRPr="00507A31">
        <w:rPr>
          <w:color w:val="000000" w:themeColor="text1"/>
          <w:sz w:val="16"/>
          <w:szCs w:val="16"/>
        </w:rPr>
        <w:lastRenderedPageBreak/>
        <w:t>стало обеспечить неприкосновенными запасами части с короткими сроками развертывания. Это удастся в том случае, если Правительством будет утверждено испрашиваемое УММ количество автотранспорта.</w:t>
      </w:r>
    </w:p>
    <w:p w14:paraId="1891FD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Вторым узким мостом является необеспеченность войсковых частей запасными частями, так как за истекший год количество запасных частей было заказано в недостаточных размерах и кроме того промышленность их поставляла несвоевременно. На будущий год запасные части заказываются в размерах, полностью обеспечивающих ремонт машин войсковых частях.</w:t>
      </w:r>
    </w:p>
    <w:p w14:paraId="33B36F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Эксплуатация имущества в войсковых частях.</w:t>
      </w:r>
    </w:p>
    <w:p w14:paraId="05BCD6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сегодняшний день Управление еще не имеет от Округов исчерпывающих данных по эксплуатации машин в войсковых частях. Но уже на основании имеющихся данных можно констатировать, что все-таки за истекший год количество аварий машин уменьшилось против прошлого года. Здесь необходимо отметить, что со стороны строевого командования не всегда уделяется достаточное внимание к вопросам эксплуатации как автотранспорта, так и боевых машин. Наиболее небрежное отношение к эксплуатации автотранспорта имеется в частях ВВС, особенно это необходимо отнести к Белорусскому военному округу.</w:t>
      </w:r>
    </w:p>
    <w:p w14:paraId="387E05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Управлением в настоящее время прорабатывается доклад об авариях за истекший год, где будут более подробно изложены все ненормальности по эксплуатации военных машин, а также намечен целый ряд конкретных мероприятий по улучшению дела эксплуатации.</w:t>
      </w:r>
    </w:p>
    <w:p w14:paraId="55B17B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УММ разработана специальная инструкция по эксплуатации машин и разрабатывается такая же инструкция по эксплуатации танков и тракторов.</w:t>
      </w:r>
    </w:p>
    <w:p w14:paraId="14E4DB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Ненормальное положение в эксплуатации машин явилось результатом отсутствия ремонтных органов для автомашин, тракторов и танков, благодаря чему машины не получали своевременный ремонт. Постройкой в течение 1931 г. ремонтных мастерских этот основной недостаток также будет устранен.</w:t>
      </w:r>
    </w:p>
    <w:p w14:paraId="2AC86F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Исполнение сметы 1929/30 г.</w:t>
      </w:r>
    </w:p>
    <w:p w14:paraId="6658CE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РВС СССР был утвержден план заказов УММ на сумму 46 951 000 руб. По этому плану заказов не был заказан целый ряд предметов (из-за отсутствия опытных образцов: танки Т-12, танкетки, легкие трактора и др.) на сумму 5 067 000 руб.. Недодано полное количество автомашин, в связи с чем освободился кредит на сумму 973 000. В результате на 1 октября 1930 г. выявился недодел выполнения плана заказов в сумме 6 671 000 руб. Таким образом, освободилась по плану заказов сумма в 12811 600 руб. и стоимость данной продукции вместе с расходами Центра составляет 34 139 400 руб. Кроме того, за промышленностью остались авансы за несданную на 1 октября продукцию в размере 3912 600 руб. С учетом этой суммы общий расход денежных средств по заказам составляет 38 052 000 руб.</w:t>
      </w:r>
    </w:p>
    <w:p w14:paraId="77EDD5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Назначено же РВС СССР финансирование плана заказов в размере 34 907 000 руб. и за счет других заказчиков (ОГПУ, В ТУ и др.) 2 350 000 руб. итого 37 257 000 руб. Таким образом, на 1 октября выявился перерасход по финансированию плана заказов на сумму 795 000 руб. (38 052 000 руб. - 37 257 000руб. = 795000руб.).</w:t>
      </w:r>
    </w:p>
    <w:p w14:paraId="7A1CD9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Необходимо отметить, что новая кредитная реформа застала как промышленность, так и военно-финансовый орган (ЦВФУ) неподготовленными к проведению ее в жизнь. Директивы ЦВФУ о порядке рекламации и оформления расчетов очень часто менялись, что повлекло за собою отставание в рекламации авансов и неустоек по поставкам.</w:t>
      </w:r>
    </w:p>
    <w:p w14:paraId="3FD36D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Промышленность очень часто неправильно использует предоставленные ей права и даже злоупотребляет ими особенно в вопросах погашения выданных ей НКВМ авансов, а иногда ухитряется получить два раза полную стоимость за одни и те же поставки (Ижорский завод).</w:t>
      </w:r>
    </w:p>
    <w:p w14:paraId="2D1937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устранения в дальнейшем как параллелизма в работе, так и неправильности выписывания расчетных поручений промышленностью, необходимо провести в жизнь следующие мероприятия:</w:t>
      </w:r>
    </w:p>
    <w:p w14:paraId="3B853B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передать все расчетные функции с поставщиками ЦВФУ, где уже сосредоточен учет кредитов.</w:t>
      </w:r>
    </w:p>
    <w:p w14:paraId="01501F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разработать специальную инструкцию для органов ВСНХ и Госбанка по оплате военных заказов. Одним из моментов инструкции должно быть: запрещение органом Госбанка оплачивать расчетные поручения без соответствующей визы военного представителя.</w:t>
      </w:r>
    </w:p>
    <w:p w14:paraId="79D99E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7а. Решения Правительства, РВС СССР, ВСНХ по автобронетанкотракторным вопросам</w:t>
      </w:r>
    </w:p>
    <w:p w14:paraId="2CB002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Решения Правительства</w:t>
      </w:r>
    </w:p>
    <w:p w14:paraId="7764EC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От 6 января 1930 г. по подготовке автотранспорта к обороне.</w:t>
      </w:r>
    </w:p>
    <w:p w14:paraId="75D8FD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настоящее выявлена потребность в автотранспорте, по вар. №10 и представлена в Штаб РККА. Работа не закончена, так как Центральное мобилизационное управление НКПС лишь к 1 декабря с.г. предоставит данные о наличии автотранспорта. Только после получения этих данных, возможно, будет провести работу по освобождению автотранспорта от повинности, о приписке, о составлении плана перевозок. По плану работ Штаба РККА вся работа по автоповинности должна быть закончена к 15 апреля 1931 г.</w:t>
      </w:r>
    </w:p>
    <w:p w14:paraId="207BF7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Постановлением РЗ СТО от 10 мая 1930 г. поручается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w:t>
      </w:r>
    </w:p>
    <w:p w14:paraId="4EE238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Решением РЗ СТО от 2 июня 1930 г. принято к сведению заявление тт. Урываева и Будняка о том, что принятыми со стороны ВСНХ мерами выполнение программы танкостроения текущего года обеспечивается полностью к 1 октября 1930 г.</w:t>
      </w:r>
    </w:p>
    <w:p w14:paraId="579104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 РЗ СТО от 10 мая 1930 г. выполнено. Благодаря принятым тт. Калининым и Буд-няком мерам был достигнут резкий перелом выполнения танковой программы заводом «Большевик». Но, несмотря на данное тт. Урываевым и Будняком обещание Правительству о выполнении танковой программы к 1 октября 1930 г. оно выполнено не было. Как уже указывалось выше танковая программа 1929/30 г. будет выполнена только к 18 ноября с.г.</w:t>
      </w:r>
    </w:p>
    <w:p w14:paraId="717369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Решением инстанции была образована специальная комиссия по рассмотрению образцов и определению производственных баз по танкотракторному строению. Работы этой комиссии не закончены и никаких окончательных решений не принято. В связи с чем, в жизнь реальных мероприятий по ассимиляции танкового производства на тракторных заводах не проводится.</w:t>
      </w:r>
    </w:p>
    <w:p w14:paraId="739C57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Решения РВС СССР</w:t>
      </w:r>
    </w:p>
    <w:p w14:paraId="4FE85F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17 декабря 1929 г. РВС СССР утвержден план заказов по моторизации и механизации РККА на 1929/30 г.</w:t>
      </w:r>
    </w:p>
    <w:p w14:paraId="20AA3B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Выполнение этого плана заказов было указано выше.</w:t>
      </w:r>
    </w:p>
    <w:p w14:paraId="3DCA88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Этим же решением УММ было обязано закупить за границей 100 шт. трехосных шасси, что выполнено специальной комиссией под председательством т. Халепского.</w:t>
      </w:r>
    </w:p>
    <w:p w14:paraId="1DD741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Решением РВС СССР от 23 января 1930 г. УММ обязывалось осуществить целый ряд изменений в конструкции малого танка МС-1.</w:t>
      </w:r>
    </w:p>
    <w:p w14:paraId="65FF52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Эти изменения в основном осуществлены, за исключением 4-х скоростной коробки скоростей, испытание которой с благоприятными результатами закончено только на днях.</w:t>
      </w:r>
    </w:p>
    <w:p w14:paraId="0EFCA7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связи с принятыми изменениями была допущена, со стороны Заводоуправления «Большевик», ошибка, выражающаяся в запуске в производство нового ведущего колеса без предварительных испытаний.</w:t>
      </w:r>
    </w:p>
    <w:p w14:paraId="0D9F8D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21 марта с.г. РВС СССР по докладу УММ констатировал катастрофическое положение в выполнении танковой программы по недоделу за 1928/29 г. и по программе 1929/30 г.</w:t>
      </w:r>
    </w:p>
    <w:p w14:paraId="3D0E0E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13 августа с.г. РВС СССР констатировал провал в выполнении танковой программы, так как за июль месяц не было сдано ни одного танка.</w:t>
      </w:r>
    </w:p>
    <w:p w14:paraId="5F4ACD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От 13 сентября с.г. РВС СССР принял к сведению заявление т. Будняка, что заказ на 300 шт. танков МС-1 будет выполнен полностью к 15 ноября с.г.</w:t>
      </w:r>
    </w:p>
    <w:p w14:paraId="53C113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Как видно из выше изложенного РВС СССР несколько раз заслушивал доклад о танкостроении за 1929/30 г. В результате принятых решений было достигнуто такое положение, что программа будет выполнена к 15 декабря с.г.</w:t>
      </w:r>
    </w:p>
    <w:p w14:paraId="312660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Что же касается выполнения программы по среднему танку, то РВС СССР в своих постановлениях от 21 марта, 1-5 июля (комиссия т. Уборевич), 13 сентября обращал внимание ВСНХ на недопустимо медленный темп в осуществлении строительства среднего танка. Только благодаря энергичному вмешательству РВС и его органа УММ в настоящее время осуществляется строительство специального цеха на ХПЗ.</w:t>
      </w:r>
    </w:p>
    <w:p w14:paraId="2842ED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несмотря на это, все-таки стоит под угрозой срыва как выполнение 15 средних танков к 1 января, так и 350 танков к 31 декабря 1931 г., так как строительство нового цеха и налаживание производства идет не вполне удовлетворительно. Особо узким местом является недостаточность производства брони и танковых корпусов на Ижорском заводе. Это дело еще поправимо, если действительно ВСНХ примет все меры по постройке нового броневого корпуса на Ижорском заводе. УММ по данному вопросу представлен специальный доклад в РЗ СТО.</w:t>
      </w:r>
    </w:p>
    <w:p w14:paraId="2AAE03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Решением комиссии т. Уборевич от 1-5 июля с.г., РВС СССР от 13 августа с.г. совещанием замов от 6 сентября с.г. и РВС СССР от 2 октября с.г.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w:t>
      </w:r>
    </w:p>
    <w:p w14:paraId="70CDCD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Решения ВСНХ</w:t>
      </w:r>
    </w:p>
    <w:p w14:paraId="226089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Управление механизации и моторизации за истекший год несколько раз ставило перед органами Президиума ВСНХ вопросы по осуществлению танкового, тракторного и автомобильного строительства. Здесь я только остановлюсь на наиболее важных решениях.</w:t>
      </w:r>
    </w:p>
    <w:p w14:paraId="6C8AE6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Решение совещания под председательством нач. МПУ т. Постникова от 11 мая 1930 г. по организации броневой базы в Сталинграде.</w:t>
      </w:r>
    </w:p>
    <w:p w14:paraId="27B4FB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Этим решением «Сталь» обязывалось доложить в декадный срок вопрос о подготовке броневой базы. Последнее выполнено не было, так как ни «Сталь», ни само МПУ никаких конкретных проработок по данному вопросу не имело.</w:t>
      </w:r>
    </w:p>
    <w:p w14:paraId="6520EC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На совещании от 7 августа 1930 г. у Зампреда ВСНХ т. Уншлихта были приняты следующие решения:</w:t>
      </w:r>
    </w:p>
    <w:p w14:paraId="3B0ED8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о производстве танкеток с доведением до 4000 шт. в год при мобилизации в 1932/33 г. Для этого производства приспособить автозавод №2.</w:t>
      </w:r>
    </w:p>
    <w:p w14:paraId="4385F0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настоящее время приступлено к работам по осуществлению данного мероприятия.</w:t>
      </w:r>
    </w:p>
    <w:p w14:paraId="0479BC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б) по среднему танку.</w:t>
      </w:r>
    </w:p>
    <w:p w14:paraId="4D49D7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 моторному заводу.</w:t>
      </w:r>
    </w:p>
    <w:p w14:paraId="24D3AE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по броне.</w:t>
      </w:r>
    </w:p>
    <w:p w14:paraId="67D984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 эти три вопроса не разрешены, так как комиссией инстанции, а также Правительством не приняты решения по докладу комиссии т. Смилги о создании танковой и броневой производственной базы в Сталинграде.</w:t>
      </w:r>
    </w:p>
    <w:p w14:paraId="1EC361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От немедленного решения этого вопроса зависит обеспечение мобпотребности РККА и выполнение производственной программы по танкостроению 1932/33 г.</w:t>
      </w:r>
    </w:p>
    <w:p w14:paraId="4889BD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На совещании от 28 августа Зампреда ВСНХ т. Уншлихта УММ поставило следующие вопросы:</w:t>
      </w:r>
    </w:p>
    <w:p w14:paraId="672914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об окончании всех работ по гусеничному придатку к трактору Интернационал.</w:t>
      </w:r>
    </w:p>
    <w:p w14:paraId="2E1180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о разработке проекта модернизации трактора Катерпиллер 60.</w:t>
      </w:r>
    </w:p>
    <w:p w14:paraId="7075ED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об обеспечении прицепными повозками как тракторов, так и арттягачей.</w:t>
      </w:r>
    </w:p>
    <w:p w14:paraId="7720CF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 о выполнении военной программы по автобронетанкотракторному вооружению.</w:t>
      </w:r>
    </w:p>
    <w:p w14:paraId="40D84C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всем перечисленным вопросам были приняты решения, осуществление которых находится в следующем положении: закончены чертежи по гусеничным придаткам к трактору Интернационал, приступлено к модернизации трактора Катерпиллер-60, дано задание Союзсельмашу по изготовлению прицепных повозок для тракторов и арттягачей, согласовывается выполнение мобзаявки по автобронетанкотракторному имуществу с объединением ВСНХ и будет закончено к 1 ноября 1930 г.</w:t>
      </w:r>
    </w:p>
    <w:p w14:paraId="44EEE2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том же совещании был заслушан доклад т. Смилги о результатах поездки в Сталинград. На основании доклада т. Смилги были приняты решения о постройке малых танков Т-26 и средних танков Т-24 на Сталинградском заводе, о постройке специального броневого завода и специального завода по фасонному стальному литью и о расширении работ по строительству-Стальгресса и о Моторном заводе.</w:t>
      </w:r>
    </w:p>
    <w:p w14:paraId="1B6374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Как уже указывалось выше, эти решения пока что не реализованы, так как не утверждены ни Правительством, ни специальной комиссией инстанции.</w:t>
      </w:r>
    </w:p>
    <w:p w14:paraId="51869E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этом же совещании также был заслушан доклад комиссии т. Кононенко об обеспечении броней заказа 1931 г. По этому вопросу было вынесено решение провести в жизнь мероприятие по Ижорскому заводу, для чего ассигновать 3 200 000 руб., из коих немедленно 700 000 руб. и 2 500 000 руб., по смете 1930/31 г. При принятии данного решения было констатировано, что производственная программа может быть обеспечена только в случае развертывания максимальных темпов строительства. При проверке всего этого дела в первых числах октября с.г. оказалось, что на Ижорском заводе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Начинает раскачиваться также Мобилизационно-плановое управление ВСНХ.</w:t>
      </w:r>
    </w:p>
    <w:p w14:paraId="347762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заключение считаю необходимым отметить, что Президиумом ВСНХ и его объединениями не уделяется достаточное внимание к вопросам обороны. В результате чего ряд ответственных решений остаются на бумаге и не проводятся в жизнь. В связи с чем, Управлению механизации и моторизации приходится много сил и энергии употреблять для продвижения в органах ВСНХ важнейших для обороны вопросов. Несомненно, что необходимо принять целый ряд организационных мероприятий по усилению оборонных органов ВСНХ и кардинальнейшим образом пересмотреть всю систему прохождения мобилизационных вопросов в Президиуме ВСНХ.</w:t>
      </w:r>
    </w:p>
    <w:p w14:paraId="63032D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настоящем отчете не приведен еще целый ряд постановлений РВС СССР, так как по выполнению их Управлением механизации и моторизации был представлен специальный и подробный доклад.</w:t>
      </w:r>
    </w:p>
    <w:p w14:paraId="0BF413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Выводы и предложения.</w:t>
      </w:r>
    </w:p>
    <w:p w14:paraId="2DAF77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основании 9-месячного опыта работ Технического управления и результатов этой работы необходимо на особый квартал и на 1931 г. поставить следующие основные задачи:</w:t>
      </w:r>
    </w:p>
    <w:p w14:paraId="3F8DF1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Обеспечение мобилизационного развертывания Армии по вар. №10 к весне 1931 г.</w:t>
      </w:r>
    </w:p>
    <w:p w14:paraId="437B44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Составление плана снабжения войны по вар. №10 в случае войны весной 1931 г.</w:t>
      </w:r>
    </w:p>
    <w:p w14:paraId="6AF3E7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Разработка положения о снабжении Армии имуществом УММ как на военное, так и на мирное время.</w:t>
      </w:r>
    </w:p>
    <w:p w14:paraId="29F433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Проведение в жизнь в течение 1931 г. в смысле реального осуществления строительства ремонтных баз как по линии промышленности, так и по линии РККА для ремонта имущества УММ как в военное, так и в мирное время.</w:t>
      </w:r>
    </w:p>
    <w:p w14:paraId="1873CA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Основной задачей считать создание производственной базы по танкостроению, в частности во что бы то ни стало в течение 1931 г. закончить все строительные работы по Сталинграду, с тем, чтобы весной 1932 г. было достигнуто эксплуатационное состояние всех производственных предприятий Сталинграда по танкостроению.</w:t>
      </w:r>
    </w:p>
    <w:p w14:paraId="2D31AB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Внедрить, во что бы то ни стало, в серийное производство танкетку Т-27, танки Т-20, Т-19 и Т-24 и трехосные автомашины с повышенной проходимостью.</w:t>
      </w:r>
    </w:p>
    <w:p w14:paraId="658E2B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Разработать к весне 1931 г. все основные наставления, инструкции и описания по материальной части, заготовляемой УММ, и по уходу за ней.</w:t>
      </w:r>
    </w:p>
    <w:p w14:paraId="1A2745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Привести в полный порядок склад №127 в течение особого квартала.</w:t>
      </w:r>
    </w:p>
    <w:p w14:paraId="6F98CF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Закончить разработку новых форм и методов учета имущества УММ, с тем чтобы с 1 января 1931 г. завести как качественный, так и количественный учет по этим новым формам и методам.</w:t>
      </w:r>
    </w:p>
    <w:p w14:paraId="545FB8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Закончить тарифно-формировочную работу на складах с тем, чтобы на основании этого достигнуть значительного снижения стоимости ремонта имущества складами УММ.</w:t>
      </w:r>
    </w:p>
    <w:p w14:paraId="772E5E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С 1 января 1931 г. перевести Управление полностью на систему ответственных исполнителей.</w:t>
      </w:r>
    </w:p>
    <w:p w14:paraId="48FAAF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научно-техническому комитету</w:t>
      </w:r>
    </w:p>
    <w:p w14:paraId="5433A8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1 секции </w:t>
      </w:r>
    </w:p>
    <w:p w14:paraId="5CC745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по системе вооружения.</w:t>
      </w:r>
    </w:p>
    <w:p w14:paraId="63BA5F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Танкетка-гусеничная Т-23. </w:t>
      </w:r>
    </w:p>
    <w:p w14:paraId="000105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тактико-технические требования и даны задания Оружобъединию.</w:t>
      </w:r>
    </w:p>
    <w:p w14:paraId="4230D6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Под наблюдение НТК, с учетом опыта предыдущих конструкций ГКБ разработан проект.</w:t>
      </w:r>
    </w:p>
    <w:p w14:paraId="66A4EB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Проект рассмотрен в НТК, дополнен и утвержден для исполнения опытного образца.</w:t>
      </w:r>
    </w:p>
    <w:p w14:paraId="5FE389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Под наблюдением НТК начата постройка опытного экземпляра на заводе «Большевик» со сроком окончания 1 марта 1931 г.</w:t>
      </w:r>
    </w:p>
    <w:p w14:paraId="3729F9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Окончание испытаний намечается к 1 апреля 1931 г.</w:t>
      </w:r>
    </w:p>
    <w:p w14:paraId="605B4B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Танкетка гусеничноколесная</w:t>
      </w:r>
    </w:p>
    <w:p w14:paraId="29681F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тактико-технические требования и дано задание Оружобъединению.</w:t>
      </w:r>
    </w:p>
    <w:p w14:paraId="1A87D2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Пересоставлены тактико-технические требования в сторону использования стандартных деталей отечественного автостроения, так как проекты и условные сроки не выполнены вследствие трудности их исполнения.</w:t>
      </w:r>
    </w:p>
    <w:p w14:paraId="67AB2B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Под наблюдением НТК начато проектирование в НАМИ и ГКИ Оружобъединения.</w:t>
      </w:r>
    </w:p>
    <w:p w14:paraId="2CBAD9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Проект должен быть закончен к 1 января 1931 г.</w:t>
      </w:r>
    </w:p>
    <w:p w14:paraId="17244D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Малый гусеничный танк Т-19</w:t>
      </w:r>
    </w:p>
    <w:p w14:paraId="66D0AD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технике-технические требования и дано задание на проектирование.</w:t>
      </w:r>
    </w:p>
    <w:p w14:paraId="6E8D1E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Под руководством НТК проект разработан главным конструкторским бюро завода «Большевик» и утвержден под маркой Т-19.</w:t>
      </w:r>
    </w:p>
    <w:p w14:paraId="36D60C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Под наблюдением НТК начата постройка опытного образца со сроком окончания в январе 1931 г.</w:t>
      </w:r>
    </w:p>
    <w:p w14:paraId="4CA970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Окончание испытаний намечается к 1 апреля 1931 г.</w:t>
      </w:r>
    </w:p>
    <w:p w14:paraId="1B5FD3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Малый гусеничный танк Т-20</w:t>
      </w:r>
    </w:p>
    <w:p w14:paraId="463B13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Под наблюдением НТК ГКБ Оружобъединения разработан проект модернизации танка МС-1 с новым мотором 60 НР.</w:t>
      </w:r>
    </w:p>
    <w:p w14:paraId="636096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Под наблюдением НТК изготавливается опытный экземпляр танка со сроком окончания 15 ноября 1930 г.</w:t>
      </w:r>
    </w:p>
    <w:p w14:paraId="0B82BC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Испытание танка намечается на 15 декабря 1930 г. со сроком окончания в январе 1931 г.</w:t>
      </w:r>
    </w:p>
    <w:p w14:paraId="317BDD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Малый гусенично-колесный танк</w:t>
      </w:r>
    </w:p>
    <w:p w14:paraId="77EA8F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НТК участвовал в рассмотрении рабочих чертежей танка по проекту Фольмор, но осуществление этой конструкции задержано, до испытания имеющегося аналогичного образца.</w:t>
      </w:r>
    </w:p>
    <w:p w14:paraId="7C7F4B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Средний танк Т-12 - Т-24</w:t>
      </w:r>
    </w:p>
    <w:p w14:paraId="3A78B7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НТК проведено испытание танка Т-12, в результате которого последний пущен в серийное производство.</w:t>
      </w:r>
    </w:p>
    <w:p w14:paraId="442FB3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Большой танк</w:t>
      </w:r>
    </w:p>
    <w:p w14:paraId="74F6A3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тактико-технические требования и выдано задание на проектирование ГКБ Оружобъединения со сроком окончания проекта 1 марта 1931 г.</w:t>
      </w:r>
    </w:p>
    <w:p w14:paraId="34E90C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Параллельно дано задание фирме Виккерс на проектирование этой конструкции. Ответные замечания фирмы Виккерс рассмотрены в НТК и выработано видоизмененное техническое задание для этой фирмы.</w:t>
      </w:r>
    </w:p>
    <w:p w14:paraId="6B8ACA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Средний танк плавучий</w:t>
      </w:r>
    </w:p>
    <w:p w14:paraId="467854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тактико-технические требования, но в силу новизны конструкции, отсутствия опыта, проектирование еще не начато.</w:t>
      </w:r>
    </w:p>
    <w:p w14:paraId="1152C6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Основными препятствиями к своевременному выполнению работ системе вооружения являются:</w:t>
      </w:r>
    </w:p>
    <w:p w14:paraId="2F99EB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Недостаток конструкторских сил в промышленности.</w:t>
      </w:r>
    </w:p>
    <w:p w14:paraId="3EE484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Отсутствие мощных опытных мастерских при заводах, выполняющих эти работы.</w:t>
      </w:r>
    </w:p>
    <w:p w14:paraId="5FCC22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Вследствие этого НТК были приняты все меры для ускорения проектирования и постройки опытных образцов путем участия в:</w:t>
      </w:r>
    </w:p>
    <w:p w14:paraId="354368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Организации опытной мастерской на заводе «Большевик» Оружобъединения.</w:t>
      </w:r>
    </w:p>
    <w:p w14:paraId="760CC2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Снабжении кадрами за счет военного ведомства.</w:t>
      </w:r>
    </w:p>
    <w:p w14:paraId="628223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Разгрузке опытной мастерской от дублирующих экземпляров опытных образцов.</w:t>
      </w:r>
    </w:p>
    <w:p w14:paraId="35A12E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Непосредственном наблюдении за проектированием и производством.</w:t>
      </w:r>
    </w:p>
    <w:p w14:paraId="0391EE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вне системы вооружения</w:t>
      </w:r>
    </w:p>
    <w:p w14:paraId="1084CF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Танкетка типа Карден-Лойд. </w:t>
      </w:r>
    </w:p>
    <w:p w14:paraId="5227A4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Составлено техническое задание, под наблюдением НТК выполнен общий проект 2-м заводом ВАТО, с использованием моторной установки Форд-АА.</w:t>
      </w:r>
    </w:p>
    <w:p w14:paraId="55DC0A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Приступлено к выполнению опытного образца под непосредственным руководством НТК, со сроком окончания 1 января 1931 г.</w:t>
      </w:r>
    </w:p>
    <w:p w14:paraId="759BB5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Для предварительной проверки производится изготовление танкетки с двигателем и корпусом Карден (английский тип), но с мотором и трансмиссией Форд-АА. Срок окончания работ 7 ноября 1930 г.</w:t>
      </w:r>
    </w:p>
    <w:p w14:paraId="71A14B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Окончание испытаний этого образца к 1 декабря 1930 г.</w:t>
      </w:r>
    </w:p>
    <w:p w14:paraId="53DA6E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Испытания </w:t>
      </w:r>
    </w:p>
    <w:p w14:paraId="7DC663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 руководством НТК произведены следующие испытания:</w:t>
      </w:r>
    </w:p>
    <w:p w14:paraId="3ED4C2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Параллельные испытания МС-1 с 3-х скоростной и 4-х скоростной коробками передач.</w:t>
      </w:r>
    </w:p>
    <w:p w14:paraId="032AEB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Большое испытание танка Т-12.</w:t>
      </w:r>
    </w:p>
    <w:p w14:paraId="20A415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Большое испытание танкеток Карден-Лойд марки «VI».</w:t>
      </w:r>
    </w:p>
    <w:p w14:paraId="51DB77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Малое испытание танка Т-12 и танкетки Карден-Лойд в присутствии Зам. наркома т. Уборевича.</w:t>
      </w:r>
    </w:p>
    <w:p w14:paraId="6B72FA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Участие в маневрах</w:t>
      </w:r>
    </w:p>
    <w:p w14:paraId="34FC07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Организовано участие в маневрах танкеток Карден-Лойд в целях накопления материалов для отечественного производства.</w:t>
      </w:r>
    </w:p>
    <w:p w14:paraId="43C200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Организовано участие в маневрах танка МС-1 из последней серии для учета дефектов и устранения их.</w:t>
      </w:r>
    </w:p>
    <w:p w14:paraId="04937D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2-секции</w:t>
      </w:r>
    </w:p>
    <w:p w14:paraId="29412E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Работа по системе вооружения </w:t>
      </w:r>
    </w:p>
    <w:p w14:paraId="449256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Автомобили повышенной проходимости </w:t>
      </w:r>
    </w:p>
    <w:p w14:paraId="3D0158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Форд мод. «К»</w:t>
      </w:r>
    </w:p>
    <w:p w14:paraId="77BADF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w:t>
      </w:r>
    </w:p>
    <w:p w14:paraId="571F89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Утвержден общий проект, выполненный НАМИ.</w:t>
      </w:r>
    </w:p>
    <w:p w14:paraId="6FF94C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Приступлено к выполнению рабочих чертежей.</w:t>
      </w:r>
    </w:p>
    <w:p w14:paraId="49EE8F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Форд-АА.</w:t>
      </w:r>
    </w:p>
    <w:p w14:paraId="5FFBB6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w:t>
      </w:r>
    </w:p>
    <w:p w14:paraId="568850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Под наблюдением НТК выполнен общий проект и рабочие чертежи. Разработка производилась в НАМИ.</w:t>
      </w:r>
    </w:p>
    <w:p w14:paraId="468570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Опытный образец выполнен на 50%.</w:t>
      </w:r>
    </w:p>
    <w:p w14:paraId="083DBA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Произведено испытание образцов фирмы Тимкен НАМИ, выполненных согласно заказа т. Халепского.</w:t>
      </w:r>
    </w:p>
    <w:p w14:paraId="433927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АМО-2.</w:t>
      </w:r>
    </w:p>
    <w:p w14:paraId="02A8BC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проектирование.</w:t>
      </w:r>
    </w:p>
    <w:p w14:paraId="1E4737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Испытан образец 6-ти колески Тимкен-Автокар (не удовлетворяет требованиям НКВМ).</w:t>
      </w:r>
    </w:p>
    <w:p w14:paraId="2D2541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Приступлено к изготовлению опытного образца с использованием ходовой части машины Морелянд (работа производится на складе №127 по указаниям НТК).</w:t>
      </w:r>
    </w:p>
    <w:p w14:paraId="094865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Я-5.</w:t>
      </w:r>
    </w:p>
    <w:p w14:paraId="397235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и для выбора типа конструкции были произведены испытания заграничных образцов Морелянд и Даймент.</w:t>
      </w:r>
    </w:p>
    <w:p w14:paraId="6D71E5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Броневые автомобили </w:t>
      </w:r>
    </w:p>
    <w:p w14:paraId="457AF5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Автомобиль Форд-А, вооруженный пулеметом</w:t>
      </w:r>
    </w:p>
    <w:p w14:paraId="1926B3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Выполнен и утвержден общий проект и рабочие чертежи.</w:t>
      </w:r>
    </w:p>
    <w:p w14:paraId="7CB228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Изготовлено 3 опытных образца, переданные для испытания на маневры в Мехбригаду.</w:t>
      </w:r>
    </w:p>
    <w:p w14:paraId="59D4A6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Броневой автомобиль на 6-ти колесном шасси Форд-АА</w:t>
      </w:r>
    </w:p>
    <w:p w14:paraId="4DF60F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 По заданиям НТК выполнен общий проект и на 85% окончены рабочие чертежи. </w:t>
      </w:r>
    </w:p>
    <w:p w14:paraId="73BCFD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Броневой автомобиль на 6-ти колесном шасси АМО-2</w:t>
      </w:r>
    </w:p>
    <w:p w14:paraId="345743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и для ускорения получения 6-ти колесной бронемашины типа АМО-2, разрабатывается проект бронирования шасси Морелянд.</w:t>
      </w:r>
    </w:p>
    <w:p w14:paraId="12C220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Опытный образец ожидается к 1 февраля 1931 г.</w:t>
      </w:r>
    </w:p>
    <w:p w14:paraId="3C7277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Основными препятствиями к своевременному выполнению работ по системе вооружения являются:</w:t>
      </w:r>
    </w:p>
    <w:p w14:paraId="0E67E7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Недостаток конструкторских сил в НАМИ, который является основным исполнителем данной категории работ.</w:t>
      </w:r>
    </w:p>
    <w:p w14:paraId="431888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Недостаточное внимание ВАТО к работам оборонного порядка.</w:t>
      </w:r>
    </w:p>
    <w:p w14:paraId="1F4657C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Отсутствие опытного завода у ВАТО.</w:t>
      </w:r>
    </w:p>
    <w:p w14:paraId="68A2458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Недостаток конструкторских сил на Ижорском заводе и отсутствие на таковом опытной мастерской.</w:t>
      </w:r>
    </w:p>
    <w:p w14:paraId="345357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вне системы вооружения</w:t>
      </w:r>
    </w:p>
    <w:p w14:paraId="7C59D0D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Броневые автомобили Форд-А</w:t>
      </w:r>
    </w:p>
    <w:p w14:paraId="1CAE9B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проектирование полубронированного корпуса.</w:t>
      </w:r>
    </w:p>
    <w:p w14:paraId="717D64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Разработаны и утверждены общий проект и рабочие чертежи.</w:t>
      </w:r>
    </w:p>
    <w:p w14:paraId="72902A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Приступлено к выполнению опытного образца.</w:t>
      </w:r>
    </w:p>
    <w:p w14:paraId="1FB441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Разработаны технические задания на проектирование бронированного корпуса (глухая бронировка с башней).</w:t>
      </w:r>
    </w:p>
    <w:p w14:paraId="613C61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Утвержден общий проект этой бронировки.</w:t>
      </w:r>
    </w:p>
    <w:p w14:paraId="6481E2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Зимний транспорт</w:t>
      </w:r>
    </w:p>
    <w:p w14:paraId="65CAC7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конструкцию автосаней с использованием агрегатов Форда и утверждена общая схема проекта. (Проект разрабатывает НАМИ).</w:t>
      </w:r>
    </w:p>
    <w:p w14:paraId="2F542F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Производится изготовление опытного образца приспособления, для движения по снегу, к мотоциклу, со сроком окончания работ в декабре 1930 г. (Работы производит УКРМЕТО).</w:t>
      </w:r>
    </w:p>
    <w:p w14:paraId="4BB89F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Дано техническое задание и заказ на изготовление 3 образцов приборов инж. Грюнберга, со сроком окончания работ в январе 1931 г.</w:t>
      </w:r>
    </w:p>
    <w:p w14:paraId="04D3BD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Перевозка различного войскового имущества</w:t>
      </w:r>
    </w:p>
    <w:p w14:paraId="4A0B03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Произведена опытная перевозка 13 объектов различного войскового имущества.</w:t>
      </w:r>
    </w:p>
    <w:p w14:paraId="23A4BD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Разработаны схемы и чертежи укладки.</w:t>
      </w:r>
    </w:p>
    <w:p w14:paraId="0204DB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Разработаны технические требования оборудованных кузовов для механизированных частей.</w:t>
      </w:r>
    </w:p>
    <w:p w14:paraId="0F7852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Вооруженный мотоцикл с пулеметом</w:t>
      </w:r>
    </w:p>
    <w:p w14:paraId="15FD02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Изготовлены опытные образцы и переданы в Мехбригаду для испытания на маневрах.</w:t>
      </w:r>
    </w:p>
    <w:p w14:paraId="26454B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Испытания </w:t>
      </w:r>
    </w:p>
    <w:p w14:paraId="4B61C0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 руководством 2 секции были произведены следующие испытания:</w:t>
      </w:r>
    </w:p>
    <w:p w14:paraId="0027E5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Испытано 4 образца нормальных автомобилей, как транспортных машин РККА.</w:t>
      </w:r>
    </w:p>
    <w:p w14:paraId="158A70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Испытано 3 образца тягачей.</w:t>
      </w:r>
    </w:p>
    <w:p w14:paraId="7B09A2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Испытано 13 образцов машин повышенной проходимости.</w:t>
      </w:r>
    </w:p>
    <w:p w14:paraId="3BAC21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Испытано 3 образца малолитражных автомобилей.</w:t>
      </w:r>
    </w:p>
    <w:p w14:paraId="5581F0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Испытано 2 образца мотоциклов.</w:t>
      </w:r>
    </w:p>
    <w:p w14:paraId="750385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Маневры 1930 г.</w:t>
      </w:r>
    </w:p>
    <w:p w14:paraId="233169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Организовано участие в маневрах 6-ти колесных автомобилей в количестве 6 штук в целях накопления материалов их эксплуатации в условиях войсковой службы.</w:t>
      </w:r>
    </w:p>
    <w:p w14:paraId="39B21D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Организованы специальные испытания опытных машин повышенной проходимости в присутствии Зам. наркома т. Уборевич:</w:t>
      </w:r>
    </w:p>
    <w:p w14:paraId="012E06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в июле месяце испытывались 15 автомобилей и 2 тягача,</w:t>
      </w:r>
    </w:p>
    <w:p w14:paraId="5DB8A1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б) в августе месяце - 8 автомобилей и 1 тягач.</w:t>
      </w:r>
    </w:p>
    <w:p w14:paraId="0F24A7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Тактико-технические требования, задания и программы</w:t>
      </w:r>
    </w:p>
    <w:p w14:paraId="0C2EE7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Разработано 26 тактико-технических требований.</w:t>
      </w:r>
    </w:p>
    <w:p w14:paraId="7E62DF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Разработано 3 задания на проектирование.</w:t>
      </w:r>
    </w:p>
    <w:p w14:paraId="321C5C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Разработано 8 программ испытаний.</w:t>
      </w:r>
    </w:p>
    <w:p w14:paraId="051336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3 секции</w:t>
      </w:r>
    </w:p>
    <w:p w14:paraId="4D315C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Под руководством Секции закончен модернизацией опытный легкий бронепоезд в составе одного бронепаровоза и двух бронеплощадок с 76 мм пушками образца 1902 г., бронепоезду произведено испытание с 25 июня по 7 июля с.г. и дано заключение по акту комиссии 22 сентября с.г.</w:t>
      </w:r>
    </w:p>
    <w:p w14:paraId="79C4FC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Опытный бронепоезд отправлен в Нижний Новгород в Центральную индустриальную лабораторию для установки приемопередающей радиостанции, упрощения схемы связи и освещения.</w:t>
      </w:r>
    </w:p>
    <w:p w14:paraId="152429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Выполнен и утвержден проект бронирования паровоза типовой полусъемной броней и на складе №60 по этому проекту забронировано два черных паровоза ОВ. Бронировка осмотрена 22 сентября с.г. и даны указания об устранении неполадок и изменении укладки паровозного имущества. Испытания предположено выполнить в декабре 1930 г.</w:t>
      </w:r>
    </w:p>
    <w:p w14:paraId="2761C7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Дано техническое задание заводу - «Профинтерн» на выполнение проекта о переводе бронированного паровоза ОВ с тендером и одной четырехосной площадки на 1435 мм колею. Проект закончен 25 сентября с.г.</w:t>
      </w:r>
    </w:p>
    <w:p w14:paraId="6D22AD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Опытный образец ожидается в августе 1931 г.</w:t>
      </w:r>
    </w:p>
    <w:p w14:paraId="666576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Произведено испытание участковой дрезины типа «ПУ» с мотором Форд-А и съемной дрезины типа «С» с мотором Д.</w:t>
      </w:r>
    </w:p>
    <w:p w14:paraId="5D8CCA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Осуществлено руководящее участие в работах по проектированию тепловоза 1-4-1. (Проект заказан НКПС).</w:t>
      </w:r>
    </w:p>
    <w:p w14:paraId="7D2F6A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Разработан общий проект. Рабочие чертежи ожидаются к маю 1931 г., а опытный образец с бронированием в декабре 1931 г.</w:t>
      </w:r>
    </w:p>
    <w:p w14:paraId="1F034F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Разработано 5 тактико-технических требований.</w:t>
      </w:r>
    </w:p>
    <w:p w14:paraId="5D0274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Внеплановые работы</w:t>
      </w:r>
    </w:p>
    <w:p w14:paraId="4247C0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По приказанию Зам. пред. РВС СССР т. Уборевича, под непосредственным руководством секции выполнен эскизный проект и проведено бронирование вооружением бронеплощадки Ижорско-го завода с 76 мм зенитными пушками.</w:t>
      </w:r>
    </w:p>
    <w:p w14:paraId="55ADFB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Опытный образец выполнен к 14 октября с.г. и поступил на испытание.</w:t>
      </w:r>
    </w:p>
    <w:p w14:paraId="0E8D98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4 секции</w:t>
      </w:r>
    </w:p>
    <w:p w14:paraId="693096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Работы по системе вооружения </w:t>
      </w:r>
    </w:p>
    <w:p w14:paraId="080BE8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Легкий трактор</w:t>
      </w:r>
    </w:p>
    <w:p w14:paraId="4BEFC5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проектирование.</w:t>
      </w:r>
    </w:p>
    <w:p w14:paraId="48762A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Заказ на проектирование передан ГКБ ГВООПО.</w:t>
      </w:r>
    </w:p>
    <w:p w14:paraId="785902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Срок изготовления проекта - апрель 1931 г.</w:t>
      </w:r>
    </w:p>
    <w:p w14:paraId="09C51B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Опытный образец ожидается в январе 1932 г.</w:t>
      </w:r>
    </w:p>
    <w:p w14:paraId="69BAAE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Средний трактор</w:t>
      </w:r>
    </w:p>
    <w:p w14:paraId="39B4B1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проектирование.</w:t>
      </w:r>
    </w:p>
    <w:p w14:paraId="63FF92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Заказ на проектирование передан в ГХПЗ.</w:t>
      </w:r>
    </w:p>
    <w:p w14:paraId="5EA50F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Опытный образец ожидается в марте 1931 г.</w:t>
      </w:r>
    </w:p>
    <w:p w14:paraId="7D4011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Выдан заказ на проектирование среднего трактора на шасси Т-19 (второй вариант).</w:t>
      </w:r>
    </w:p>
    <w:p w14:paraId="1DDB5F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Тяжелый трактор</w:t>
      </w:r>
    </w:p>
    <w:p w14:paraId="03E74B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на проектирование.</w:t>
      </w:r>
    </w:p>
    <w:p w14:paraId="5B43B0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Заказ на проектирование выдан:</w:t>
      </w:r>
    </w:p>
    <w:p w14:paraId="4EC732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 по первому варианту - НАМИ (проект уже готов).</w:t>
      </w:r>
    </w:p>
    <w:p w14:paraId="4AF2EC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 по второму варианту - ГХПЗ (проект будет закончен в декабре 1930 г.)</w:t>
      </w:r>
    </w:p>
    <w:p w14:paraId="64599B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Предположено выполнить опытные образцы по обоим вариантам 1931 г.</w:t>
      </w:r>
    </w:p>
    <w:p w14:paraId="5CBEFF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Транспортер пехоты на шасси Т-19</w:t>
      </w:r>
    </w:p>
    <w:p w14:paraId="264A91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Разработаны технические задания, но проект задерживается, так как опытный экземпляр Т-19 будет готов только в январе 1931 г.</w:t>
      </w:r>
    </w:p>
    <w:p w14:paraId="15AA79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Самоходные установки на шасси Т-19</w:t>
      </w:r>
    </w:p>
    <w:p w14:paraId="47F3F5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Даны технические задания на полковую пушку обр. 1927 г., счетверенный зенитный пулемет.</w:t>
      </w:r>
    </w:p>
    <w:p w14:paraId="75246F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Проектирование образцов задерживается, ввиду отсутствия как шасси Т-19, так и, главным образом, вооружения.</w:t>
      </w:r>
    </w:p>
    <w:p w14:paraId="11CAB5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Работы вне системы вооружения. </w:t>
      </w:r>
    </w:p>
    <w:p w14:paraId="289BC5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 руководством секции были выполнены следующие опытные работы:</w:t>
      </w:r>
    </w:p>
    <w:p w14:paraId="7AEB82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По заданию штаба РККА произведена модернизация трактора Коммунар типа 90-3 (увеличена скорость до 15 км/ч).</w:t>
      </w:r>
    </w:p>
    <w:p w14:paraId="37F800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Выполнен опытный образец повозки разведки и связи на шасси типа П-15.</w:t>
      </w:r>
    </w:p>
    <w:p w14:paraId="4037BA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Выполнены опытные образцы прицепной повозки типа П-20.</w:t>
      </w:r>
    </w:p>
    <w:p w14:paraId="3502C9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Выполнены опытные образцы цистерны на повозке типа П-15.</w:t>
      </w:r>
    </w:p>
    <w:p w14:paraId="46EFCD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Заканчиваются производством опытные образцы повозки типа П-18 (срок готовности - ноябрь 1930 г.)</w:t>
      </w:r>
    </w:p>
    <w:p w14:paraId="78A9CB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Заканчивается производством опытного образца легкого трактора на шасси Т-18 (окончание работ ожидается только в ноябре 1930 г.).</w:t>
      </w:r>
    </w:p>
    <w:p w14:paraId="24E68C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Помимо этого выполнены проекты и подлежат заказам:</w:t>
      </w:r>
    </w:p>
    <w:p w14:paraId="3BA6CE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Гусеничная-повозка на 2 тонны - опытный образец ожидается 1 мая 1931 г.</w:t>
      </w:r>
    </w:p>
    <w:p w14:paraId="094EC8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Цистерна на повозке типа П-18 - опытный образец ожидается 1 мая 1931 г.</w:t>
      </w:r>
    </w:p>
    <w:p w14:paraId="2E7253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Модернизация трактора Катерпиллер 60 - опытный образец ожидается март - апрель 1931 г.</w:t>
      </w:r>
    </w:p>
    <w:p w14:paraId="72EAC4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Модернизация трактора Интернационал (гусеничный ход).</w:t>
      </w:r>
    </w:p>
    <w:p w14:paraId="338C6A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Внедрение в валовое производство предполагается после испытаний образцов.</w:t>
      </w:r>
    </w:p>
    <w:p w14:paraId="2CCB5C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5 секции </w:t>
      </w:r>
    </w:p>
    <w:p w14:paraId="109A98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 основных вопросов, намеченных планом Секции, были проведены следующие:</w:t>
      </w:r>
    </w:p>
    <w:p w14:paraId="15D00B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Разработано руководство по стрелковой подготовке.</w:t>
      </w:r>
    </w:p>
    <w:p w14:paraId="694C3F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Составлен курс стрельб танковых частей.</w:t>
      </w:r>
    </w:p>
    <w:p w14:paraId="2D3127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Выработаны требования к стрельбищам, учебным полям и лагерям.</w:t>
      </w:r>
    </w:p>
    <w:p w14:paraId="51CCEA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Производится и намечен ряд опытов, в целях установления действительности огня при стрельбе из танка МС-1 (пушки Гочкиса и пулемета Дегтярева), испытание оптического прицела, установление нарезки шкалы прицела.</w:t>
      </w:r>
    </w:p>
    <w:p w14:paraId="3D53B0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Опыты по установке и применению компаса для вождения танка. Основные опыты проведены. Дано задание на оформление конструкции опытного образца.</w:t>
      </w:r>
    </w:p>
    <w:p w14:paraId="4EB4C2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Разработаны таблицы стрельб из 37 мм пушки Гочкиса.</w:t>
      </w:r>
    </w:p>
    <w:p w14:paraId="079F85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Разработаны, совместно с ВОХИМУ1 технические условия противохимической защиты танка.</w:t>
      </w:r>
    </w:p>
    <w:p w14:paraId="0DDE06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Организованы опыты по борьбе ВВС с бронесилами. Стрельбы по бронемашинам производились в Воронеже. Закончить опыты предполагается в 1931 г.</w:t>
      </w:r>
    </w:p>
    <w:p w14:paraId="19AE6F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 Исследование живучести танков МС-1 и Т-24 под огнем противотанковых пушек, выводы о наивыгоднейшем способе маневрирования и бронирования. Производится подбор материалов и теоретическое исследование вопроса.</w:t>
      </w:r>
    </w:p>
    <w:p w14:paraId="53E6E3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 Разработано соотношение видов снарядов боекомплекта танков.</w:t>
      </w:r>
    </w:p>
    <w:p w14:paraId="5BB9F0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 Разрабатываются вопросы радиосвязи механизированных частей. Даны очередность и задание ВТУ по всем типам, следить за выполнением.</w:t>
      </w:r>
    </w:p>
    <w:p w14:paraId="074526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 Изучены способы стрельбы из танка и по танку иностранных армий. Необходимо поставить поверочные опыты.</w:t>
      </w:r>
    </w:p>
    <w:p w14:paraId="02DB07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13. Составлены требования к оборудованию Научно-испытательного полигона.</w:t>
      </w:r>
    </w:p>
    <w:p w14:paraId="27B7D3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 Выбор места стрельбища учебных полей и танкодрома Танковой школы и наметки основных мероприятий в этой части. Задание на проектирование специальных построек.</w:t>
      </w:r>
    </w:p>
    <w:p w14:paraId="52371B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 На НИАПе ведутся опыты по управлению танком на расстоянии. В этом году необходимо закончить все опытные работы по управлению танком на расстоянии. Мост 1 - готов.</w:t>
      </w:r>
    </w:p>
    <w:p w14:paraId="271678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16. Дано задание ВТУ на оборудование танка радиосветовой сигнализацией. Опыты предположено закончить в этом году.</w:t>
      </w:r>
    </w:p>
    <w:p w14:paraId="2428F6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 Переработан устав бронесил (автобронечастей) часть 1.</w:t>
      </w:r>
    </w:p>
    <w:p w14:paraId="5296E1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 Отредактировано руководство по 37 мм пушке Гочкиса.</w:t>
      </w:r>
    </w:p>
    <w:p w14:paraId="01673C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19. Отредактировано руководство по танку «М».</w:t>
      </w:r>
    </w:p>
    <w:p w14:paraId="708467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 Отредактировано руководство по 57 мм пушке Гочкиса.</w:t>
      </w:r>
    </w:p>
    <w:p w14:paraId="227AC2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21. Проведены работы по поверке рассеивания из вкладного ствола.</w:t>
      </w:r>
    </w:p>
    <w:p w14:paraId="5A958D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Установлены нормы убыли бронеединиц во время войны.</w:t>
      </w:r>
    </w:p>
    <w:p w14:paraId="36536B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 Произведены стрелково-тактические испытания танкеток, Виккерса, танка Т-12 и командир</w:t>
      </w:r>
    </w:p>
    <w:p w14:paraId="394273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ских машин.</w:t>
      </w:r>
    </w:p>
    <w:p w14:paraId="45667D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Испытания по (4 секции). </w:t>
      </w:r>
    </w:p>
    <w:p w14:paraId="07EC63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Были проведены следующие испытания. Трактора:</w:t>
      </w:r>
    </w:p>
    <w:p w14:paraId="12C011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ЛинкеТофман - сельскохозяйственный</w:t>
      </w:r>
    </w:p>
    <w:p w14:paraId="6D7E14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Линке-Гофман - специальный В. В.</w:t>
      </w:r>
    </w:p>
    <w:p w14:paraId="18D844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Коммунар 90-3</w:t>
      </w:r>
    </w:p>
    <w:p w14:paraId="3BBB95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Катерпиллер 60</w:t>
      </w:r>
    </w:p>
    <w:p w14:paraId="26695A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Повозки:</w:t>
      </w:r>
    </w:p>
    <w:p w14:paraId="32B430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3-х тонной П-20</w:t>
      </w:r>
    </w:p>
    <w:p w14:paraId="45C50A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Зенитная обр. 1926 г. для ПУ.</w:t>
      </w:r>
    </w:p>
    <w:p w14:paraId="333473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Понтонно-лодочные для ВТУ.</w:t>
      </w:r>
    </w:p>
    <w:p w14:paraId="7E2D15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Двигатели:</w:t>
      </w:r>
    </w:p>
    <w:p w14:paraId="229900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ЛинкеТофман.</w:t>
      </w:r>
    </w:p>
    <w:p w14:paraId="62BBC4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Интернационал.</w:t>
      </w:r>
    </w:p>
    <w:p w14:paraId="587762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Геркулес (не закончены).</w:t>
      </w:r>
    </w:p>
    <w:p w14:paraId="771CBB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Секцией было организовано испытание тракторов Коммунар 90-3, Коммунар 9 ГУ, Катерпиллер 60, Линке-Гофман с металлической гусеницей, Линке-Гофман с подрезиненной лентой и трактора Фордзон Путиловский, с целью выявления их сравнительных качеств. Испытание было произведено в присутствии Зампреда РВС т. Уборевича.</w:t>
      </w:r>
    </w:p>
    <w:p w14:paraId="246177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Кроме того, Секцией разработаны 15 тактико-технических требований, 5 программ испытаний тракторов и прицепов, 3 программы испытаний двигателей.</w:t>
      </w:r>
    </w:p>
    <w:p w14:paraId="4A3C74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Ведутся работы по стандартизации и внедрению единого типа прицепных повозок в народное хозяйство СССР.</w:t>
      </w:r>
    </w:p>
    <w:p w14:paraId="0C5F1A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Общие выводы</w:t>
      </w:r>
    </w:p>
    <w:p w14:paraId="3779BF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основании результатов и недостатков 9-месячной работы Управления механизации и моторизации необходимо поставить на 1931 г. перед Управлением следующие основные задачи:</w:t>
      </w:r>
    </w:p>
    <w:p w14:paraId="54A8DA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Уточнить организацию механизированных и моторизированных частей РККА, на основе опыта работы за прошлый год.</w:t>
      </w:r>
    </w:p>
    <w:p w14:paraId="6CC991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Разработать и переработать существующие учебные планы, программы, наставления по боевой подготовке моторизированных и механизированных частей.</w:t>
      </w:r>
    </w:p>
    <w:p w14:paraId="0BD09A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Разработать мероприятия по обеспечению механизированных и моторизированных частей кадрами и специалистами по оргмероприятиям на 1931-1933 гг. и на военное время по плану организации вооруженных сил на конец пятилетия.</w:t>
      </w:r>
    </w:p>
    <w:p w14:paraId="5CB34F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В течение 1931 г. по линии промышленности обеспечить производственными базами и научно-исследовательскими организациями программу строительства материальной части и опытных образцов соответственно планам заказов и мобзаявки Управления механизации и моторизации на конец пятилетия.</w:t>
      </w:r>
    </w:p>
    <w:p w14:paraId="65F6F2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5. По линии Научно-технического комитета добиться постройки, и испытания и внедрения в серийное производство танкетки Т-27, малого танка Т-26 и Т-19, среднего танка Т-24, вездеходных трехосных машин, как бронированных, так и транспортных, модернизированных тракторов Коммунар, Интернационал.</w:t>
      </w:r>
    </w:p>
    <w:p w14:paraId="4DB3A0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 Пересмотреть структуру Управления в связи с теми задачами, которые стоят перед Управлением на 1931 г.</w:t>
      </w:r>
    </w:p>
    <w:p w14:paraId="7F28BC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7. Создать, в основном, центр обучения моторизированных и механизированных войск в районе Наро-Фоминск.</w:t>
      </w:r>
    </w:p>
    <w:p w14:paraId="58C72F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Поставить перед РВС СССР вопрос о создании в составе окружного аппарата Управления по Механизации и Моторизации войск, хотя бы в 4 основных округах (МВО, ЛВО, БВО, УВО) (10977).</w:t>
      </w:r>
    </w:p>
    <w:p w14:paraId="6C690FA2" w14:textId="77777777" w:rsidR="00537E5F" w:rsidRPr="00507A31" w:rsidRDefault="00537E5F" w:rsidP="00507A31">
      <w:pPr>
        <w:autoSpaceDE w:val="0"/>
        <w:autoSpaceDN w:val="0"/>
        <w:adjustRightInd w:val="0"/>
        <w:jc w:val="both"/>
        <w:rPr>
          <w:color w:val="000000" w:themeColor="text1"/>
          <w:sz w:val="16"/>
          <w:szCs w:val="16"/>
        </w:rPr>
      </w:pPr>
    </w:p>
    <w:p w14:paraId="1589AE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декабря 1930 года, по указа нию начальника Специального управления ВЭО, директор ЦРЛЗ В.П. Виноградов представил на утвержде ние руководства ВЭО план расширения ОСА для работ в области инфракрасной техники. Предусматривалось увеличение численности персонала отдела до шестнадцати сотрудников, образование в нем конструкторского бюро, испытательной подстанции на Комендантском аэродроме. Вне рамок выполняемых нарядов требовалось развертывание на учно-теоретических работ по исследованию свойств ИК-лучей и других видов специальных излучений, а также разработка специальных приборов. Кроме то го, крайне необходимым было направление отечественных специалистов для ознакомления с иностранным опытом, в первую очередь, в Германии, закупки там доступного оборудования и необходимых материалов (ЦГА СПб., ф. 945, оп. 4, д. 5, л. 264.). Об объеме и спектре выполняемых в начале 30-х гг. на ЦРЛЗ заказов для РККА говорит серия договоров, заключенных между предприятием и ВТУ в мае 1931 г. В соответствии с ними были изготовлены: одна фронтовая радио станция 1ВФ; по тринадцать комплектов специальных передатчиков типа 44ПА, 45ПА, 46ПД, 47ПД; 206 артиллерийских радиостанций 31ДП (ЦГА СПб., ф. 945, оп. 3, д. 146, л. 53, 39, 32.); упоми навшиеся станции на ИК-лучах (БЛОК1, ИКА1, ИКА2) (ЦГА СПб., ф. 945, оп. 3, д. 146, л. 20-23.); два опытных образца полевых радиомаяков для ВВС типа 13А (ЦГА СПб., ф. 945, оп. 3, д. 146, л. 11.) (11870).</w:t>
      </w:r>
    </w:p>
    <w:p w14:paraId="5DFBB0B1" w14:textId="77777777" w:rsidR="00537E5F" w:rsidRPr="00507A31" w:rsidRDefault="00537E5F" w:rsidP="00507A31">
      <w:pPr>
        <w:autoSpaceDE w:val="0"/>
        <w:autoSpaceDN w:val="0"/>
        <w:adjustRightInd w:val="0"/>
        <w:jc w:val="both"/>
        <w:rPr>
          <w:color w:val="000000" w:themeColor="text1"/>
          <w:sz w:val="16"/>
          <w:szCs w:val="16"/>
        </w:rPr>
      </w:pPr>
    </w:p>
    <w:p w14:paraId="1BB66E5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0B3B2A2" w14:textId="77777777" w:rsidR="00537E5F" w:rsidRPr="00507A31" w:rsidRDefault="00537E5F" w:rsidP="00507A31">
      <w:pPr>
        <w:autoSpaceDE w:val="0"/>
        <w:autoSpaceDN w:val="0"/>
        <w:adjustRightInd w:val="0"/>
        <w:jc w:val="both"/>
        <w:rPr>
          <w:iCs/>
          <w:color w:val="000000" w:themeColor="text1"/>
          <w:sz w:val="16"/>
          <w:szCs w:val="16"/>
        </w:rPr>
      </w:pPr>
    </w:p>
    <w:p w14:paraId="48D8BF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декабря 1930 закончился судебный процесс по делу Промпартии (3481).</w:t>
      </w:r>
    </w:p>
    <w:p w14:paraId="3E272E05" w14:textId="77777777" w:rsidR="00537E5F" w:rsidRPr="00507A31" w:rsidRDefault="00537E5F" w:rsidP="00507A31">
      <w:pPr>
        <w:autoSpaceDE w:val="0"/>
        <w:autoSpaceDN w:val="0"/>
        <w:adjustRightInd w:val="0"/>
        <w:jc w:val="both"/>
        <w:rPr>
          <w:color w:val="000000" w:themeColor="text1"/>
          <w:sz w:val="16"/>
          <w:szCs w:val="16"/>
        </w:rPr>
      </w:pPr>
    </w:p>
    <w:p w14:paraId="001D41C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30 декабря 1930 в СССР принято постановление о присвоении льгот ветеранам революции 1905 года (4962).</w:t>
      </w:r>
    </w:p>
    <w:p w14:paraId="7D71E9A0"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161C9A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декабря 1930-го Приказом ОГПУ № 475/224 в составе ОГПУ была создана (на правах управления) Главная инспекция по милиции и уголовного розыска (ГИМ и УГРО). Начальником ГИМ и УГРО назначался И.А.Воронцов (по совместительству с занимаемыми им должностями начальника АОУ и начальника ГУПО и войск ОГПУ), а заместителем - Д.В.Усов (с освобождением от должности помощника начальника ТО). На ГИМ и УГРО были возложены оперативное руководство деятельностью и инспектирование работы милиции и уголовного розыска, назначение и смещение их руководящего состава. В декабре 1930-го Ягода в своей телеграмме отмечал невозможность полностью "чекизировать" (дословно) милицию, поскольку она является "проводником советских законов и мероприятий", так что милиционеры "должны представлять собой нечто среднее между чекистом и гражданским населением" (7557).</w:t>
      </w:r>
    </w:p>
    <w:p w14:paraId="624D22C1" w14:textId="77777777" w:rsidR="00537E5F" w:rsidRPr="00507A31" w:rsidRDefault="00537E5F" w:rsidP="00507A31">
      <w:pPr>
        <w:autoSpaceDE w:val="0"/>
        <w:autoSpaceDN w:val="0"/>
        <w:adjustRightInd w:val="0"/>
        <w:jc w:val="both"/>
        <w:rPr>
          <w:color w:val="000000" w:themeColor="text1"/>
          <w:sz w:val="16"/>
          <w:szCs w:val="16"/>
        </w:rPr>
      </w:pPr>
    </w:p>
    <w:p w14:paraId="443B32C2"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E1724DA" w14:textId="77777777" w:rsidR="00537E5F" w:rsidRPr="00507A31" w:rsidRDefault="00537E5F" w:rsidP="00507A31">
      <w:pPr>
        <w:autoSpaceDE w:val="0"/>
        <w:autoSpaceDN w:val="0"/>
        <w:adjustRightInd w:val="0"/>
        <w:jc w:val="both"/>
        <w:rPr>
          <w:iCs/>
          <w:color w:val="000000" w:themeColor="text1"/>
          <w:sz w:val="16"/>
          <w:szCs w:val="16"/>
        </w:rPr>
      </w:pPr>
    </w:p>
    <w:p w14:paraId="48ED9A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декабря 1930 г. француженка Бастье вошла в число авиаторов, в одиночку преодолевших Южную Атлантику - ее результат составил 12 часов 5 минут. Летом 1931 г. Бастье вылетела из Парижа в направлении на восток на моноплане "Клемм" с двигателем мощностью 40 л.с. 29 июня, преодолев за 30 часов без посадки 2976 км, она приземлилась на полевой площадке у села Урино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Кодрон "Симун" Мариза Бастье вдвоем с Сюзанной Телье предприняла скоростной дальний перелет с промежуточными посадками по маршруту Париж-Москва-Казань-Омск-Иркутск (11947).</w:t>
      </w:r>
    </w:p>
    <w:p w14:paraId="5E3A1E42" w14:textId="77777777" w:rsidR="00537E5F" w:rsidRPr="00507A31" w:rsidRDefault="00537E5F" w:rsidP="00507A31">
      <w:pPr>
        <w:autoSpaceDE w:val="0"/>
        <w:autoSpaceDN w:val="0"/>
        <w:adjustRightInd w:val="0"/>
        <w:jc w:val="both"/>
        <w:rPr>
          <w:color w:val="000000" w:themeColor="text1"/>
          <w:sz w:val="16"/>
          <w:szCs w:val="16"/>
        </w:rPr>
      </w:pPr>
    </w:p>
    <w:p w14:paraId="76A7BA84" w14:textId="77777777" w:rsidR="00537E5F" w:rsidRPr="00507A31" w:rsidRDefault="00537E5F" w:rsidP="00507A31">
      <w:pPr>
        <w:autoSpaceDE w:val="0"/>
        <w:autoSpaceDN w:val="0"/>
        <w:adjustRightInd w:val="0"/>
        <w:jc w:val="both"/>
        <w:rPr>
          <w:color w:val="000000" w:themeColor="text1"/>
          <w:sz w:val="16"/>
          <w:szCs w:val="16"/>
          <w:lang w:val="en-US"/>
        </w:rPr>
      </w:pPr>
      <w:r w:rsidRPr="00507A31">
        <w:rPr>
          <w:color w:val="000000" w:themeColor="text1"/>
          <w:sz w:val="16"/>
          <w:szCs w:val="16"/>
          <w:lang w:val="en-US"/>
        </w:rPr>
        <w:t>December 30 1930 Robert H. Goddard fired 11-foot liquid fuel rocket to a height of 2,000 feet and a speed near 500 mph near Roswell, N. Mex (1038).</w:t>
      </w:r>
    </w:p>
    <w:p w14:paraId="1BAB536A" w14:textId="77777777" w:rsidR="00537E5F" w:rsidRPr="00507A31" w:rsidRDefault="00537E5F" w:rsidP="00507A31">
      <w:pPr>
        <w:autoSpaceDE w:val="0"/>
        <w:autoSpaceDN w:val="0"/>
        <w:adjustRightInd w:val="0"/>
        <w:jc w:val="both"/>
        <w:rPr>
          <w:color w:val="000000" w:themeColor="text1"/>
          <w:sz w:val="16"/>
          <w:szCs w:val="16"/>
          <w:lang w:val="en-US"/>
        </w:rPr>
      </w:pPr>
    </w:p>
    <w:p w14:paraId="16ABCD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 декабря 1930 Р.Годдард запустил 11 футовую жидкостную ракету на высоту 2000 футов при скорости до 500 узлов (1038).</w:t>
      </w:r>
    </w:p>
    <w:p w14:paraId="580783FD" w14:textId="77777777" w:rsidR="00537E5F" w:rsidRPr="00507A31" w:rsidRDefault="00537E5F" w:rsidP="00507A31">
      <w:pPr>
        <w:autoSpaceDE w:val="0"/>
        <w:autoSpaceDN w:val="0"/>
        <w:adjustRightInd w:val="0"/>
        <w:jc w:val="both"/>
        <w:rPr>
          <w:color w:val="000000" w:themeColor="text1"/>
          <w:sz w:val="16"/>
          <w:szCs w:val="16"/>
        </w:rPr>
      </w:pPr>
    </w:p>
    <w:p w14:paraId="335F760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703F9A58" w14:textId="77777777" w:rsidR="00537E5F" w:rsidRPr="00507A31" w:rsidRDefault="00537E5F" w:rsidP="00507A31">
      <w:pPr>
        <w:autoSpaceDE w:val="0"/>
        <w:autoSpaceDN w:val="0"/>
        <w:adjustRightInd w:val="0"/>
        <w:jc w:val="both"/>
        <w:rPr>
          <w:iCs/>
          <w:color w:val="000000" w:themeColor="text1"/>
          <w:sz w:val="16"/>
          <w:szCs w:val="16"/>
        </w:rPr>
      </w:pPr>
    </w:p>
    <w:p w14:paraId="53111D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декабря 1930 от ЦАГИ потребовали разработать для ТБ-3 (АНТ-6) подвеску четырех пристрелочных и четырех светящихся бомб, изменить установку подфюзеляжных бомбодержателей так, чтобы их не надо было снимать при использовании Дер-9 (это сделали много позже), спроектировать новые подкрыльные башни (вращающиеся, с круговым обстрелом - их не сделали вообще). Полный комплект вооружения планировали установить на опытный АНТ-6 к августу 1931 г. Но сделать в срок этого не удалось. Не хватало то одного, то другого - многие предметы оборудования и вооружения изготовлялись в нашей стране впервые и этот процесс шел не быстро и не легко (8887).</w:t>
      </w:r>
    </w:p>
    <w:p w14:paraId="52B20B3B" w14:textId="77777777" w:rsidR="00537E5F" w:rsidRPr="00507A31" w:rsidRDefault="00537E5F" w:rsidP="00507A31">
      <w:pPr>
        <w:autoSpaceDE w:val="0"/>
        <w:autoSpaceDN w:val="0"/>
        <w:adjustRightInd w:val="0"/>
        <w:jc w:val="both"/>
        <w:rPr>
          <w:color w:val="000000" w:themeColor="text1"/>
          <w:sz w:val="16"/>
          <w:szCs w:val="16"/>
        </w:rPr>
      </w:pPr>
    </w:p>
    <w:p w14:paraId="1365BF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декабря 1930 был подписан договор с итальянской SIAI на поставку 50 лл S.62 (2446,40).</w:t>
      </w:r>
    </w:p>
    <w:p w14:paraId="417584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1931 г. при покупке в Италии партии летающих лодок S.62bis (у нас обозначались С-62Б) довольно долго решался вопрос об их окраске. В исходных технических условиях на поставку указывалось, что верх должен быть "защитным", а низ - светло-голубым. Но итальянцы довольно быстро смогли доказать, что для морской авиации это неудобно. Предлагались три варианта цвета: светло-голубой (как на самолетах для ВВС Италии), практичный серебристый и светло-серый (по образцу экспортной серии для Румынии). Первые 12 лодок были покрашены итальянцами в комбинацию "морского" ("шарового") и светло- голубого цветов, затем по требованию советских приемщиков перекрашены в серебристый. Днище было черным - использовалась специальная краска "морская черная против обрастания". Позже, в эксплуатации выявилось, что эта краска со временем вздувается волдырями, а на жаре плавится и течет. Машины перекрашивали отечественным "Кузбасс- лаком". Советские летающие лодки и амфибии МБР-4, МБР-2 и LLI-2 (АШ-2) выпускались покрашенными в светло-серый цвет с черным низом (11987).</w:t>
      </w:r>
    </w:p>
    <w:p w14:paraId="546C6D6B" w14:textId="77777777" w:rsidR="00537E5F" w:rsidRPr="00507A31" w:rsidRDefault="00537E5F" w:rsidP="00507A31">
      <w:pPr>
        <w:autoSpaceDE w:val="0"/>
        <w:autoSpaceDN w:val="0"/>
        <w:adjustRightInd w:val="0"/>
        <w:jc w:val="both"/>
        <w:rPr>
          <w:color w:val="000000" w:themeColor="text1"/>
          <w:sz w:val="16"/>
          <w:szCs w:val="16"/>
        </w:rPr>
      </w:pPr>
    </w:p>
    <w:p w14:paraId="62A3BEBC" w14:textId="77777777" w:rsidR="00733B14" w:rsidRPr="00507A31" w:rsidRDefault="00733B14" w:rsidP="00507A31">
      <w:pPr>
        <w:jc w:val="both"/>
        <w:rPr>
          <w:color w:val="0070C0"/>
          <w:sz w:val="16"/>
          <w:szCs w:val="16"/>
        </w:rPr>
      </w:pPr>
      <w:r w:rsidRPr="00507A31">
        <w:rPr>
          <w:color w:val="0070C0"/>
          <w:sz w:val="16"/>
          <w:szCs w:val="16"/>
        </w:rPr>
        <w:t>31 декабря 1930 г. с SIAI подписали договор о поставке 50 летающих лодок S.62bis, 125 моторов Ассо 750 и технической помощи на производство данных самолетов в СССР по лицензии (РГАСПИ. Ф. 558. Оп. 11. Д. 430. О реализации технической помощи Италии по военным вопросам. Л. 41-44; РГВА. Ф. 29. Оп. 76. Д. 2511. Переписка с итальянскими торговыми фирмами о закупке самолетов СИАИ и моторов АССО. Л. 114; РГВА. Ф. 33987. Оп. 3. Д. 331. Справка состоящего в распоряжении председателя РВС СССР о связи СССР с Италией по линии военных закупок и технической помощи. Л. 30.). Стоимость договора с процентами по кредиту оценивалась в 4.800.00 руб. (РГАСПИ. Ф. 558. Оп. 11. Д. 430. О реализации технической помощи Италии по военным вопросам. Л. 41-44.). Предварительные переговоры с директором фирмы Капе заняли много времени, т.к. в условиях общего финансового кризиса итальянские банки неохотно шли на кредит (РГВА. Ф. 29. Оп. 76. Д. 2511. Переписка с итальянскими торговыми фирмами о закупке самолетов СИАИ и моторов АССО. 7.1.31-31.12.31. Л. 114.) (21410).</w:t>
      </w:r>
    </w:p>
    <w:p w14:paraId="3ED91EDF" w14:textId="77777777" w:rsidR="00733B14" w:rsidRPr="00507A31" w:rsidRDefault="00733B14" w:rsidP="00507A31">
      <w:pPr>
        <w:jc w:val="both"/>
        <w:rPr>
          <w:color w:val="0070C0"/>
          <w:sz w:val="16"/>
          <w:szCs w:val="16"/>
        </w:rPr>
      </w:pPr>
    </w:p>
    <w:p w14:paraId="5EAE968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6AD1D87D" w14:textId="77777777" w:rsidR="00537E5F" w:rsidRPr="00507A31" w:rsidRDefault="00537E5F" w:rsidP="00507A31">
      <w:pPr>
        <w:autoSpaceDE w:val="0"/>
        <w:autoSpaceDN w:val="0"/>
        <w:adjustRightInd w:val="0"/>
        <w:jc w:val="both"/>
        <w:rPr>
          <w:iCs/>
          <w:color w:val="000000" w:themeColor="text1"/>
          <w:sz w:val="16"/>
          <w:szCs w:val="16"/>
        </w:rPr>
      </w:pPr>
    </w:p>
    <w:p w14:paraId="0F6B21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31 декабря 1930 г. была подготовлена СПРАВКА О ПОЛУЧЕНИИ АВТОМОБИЛЕЙ НКВМ ПО ПЛАНУ 1929/30 г.</w:t>
      </w:r>
    </w:p>
    <w:p w14:paraId="1BF5FE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 Москва</w:t>
      </w:r>
    </w:p>
    <w:tbl>
      <w:tblPr>
        <w:tblW w:w="0" w:type="auto"/>
        <w:tblInd w:w="40" w:type="dxa"/>
        <w:tblLayout w:type="fixed"/>
        <w:tblCellMar>
          <w:left w:w="40" w:type="dxa"/>
          <w:right w:w="40" w:type="dxa"/>
        </w:tblCellMar>
        <w:tblLook w:val="0000" w:firstRow="0" w:lastRow="0" w:firstColumn="0" w:lastColumn="0" w:noHBand="0" w:noVBand="0"/>
      </w:tblPr>
      <w:tblGrid>
        <w:gridCol w:w="3581"/>
        <w:gridCol w:w="480"/>
        <w:gridCol w:w="470"/>
        <w:gridCol w:w="490"/>
        <w:gridCol w:w="480"/>
        <w:gridCol w:w="480"/>
        <w:gridCol w:w="480"/>
        <w:gridCol w:w="480"/>
        <w:gridCol w:w="480"/>
        <w:gridCol w:w="480"/>
        <w:gridCol w:w="499"/>
      </w:tblGrid>
      <w:tr w:rsidR="00E371BA" w:rsidRPr="00507A31" w14:paraId="5D16004E" w14:textId="77777777">
        <w:trPr>
          <w:trHeight w:val="374"/>
        </w:trPr>
        <w:tc>
          <w:tcPr>
            <w:tcW w:w="3581" w:type="dxa"/>
            <w:tcBorders>
              <w:top w:val="single" w:sz="6" w:space="0" w:color="auto"/>
              <w:left w:val="single" w:sz="6" w:space="0" w:color="auto"/>
              <w:bottom w:val="nil"/>
              <w:right w:val="single" w:sz="6" w:space="0" w:color="auto"/>
            </w:tcBorders>
          </w:tcPr>
          <w:p w14:paraId="473D96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Требовалось получить и получено</w:t>
            </w:r>
          </w:p>
          <w:p w14:paraId="20BA1E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F4004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Форд-А</w:t>
            </w:r>
          </w:p>
          <w:p w14:paraId="75FA27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8BDC0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Форд-АА</w:t>
            </w:r>
          </w:p>
          <w:p w14:paraId="428B7F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C95AF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АМОФ-15</w:t>
            </w:r>
          </w:p>
          <w:p w14:paraId="1574C7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C2278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АМО-2 (Автокар)</w:t>
            </w:r>
          </w:p>
          <w:p w14:paraId="117DCB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1F541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Я-5</w:t>
            </w:r>
          </w:p>
          <w:p w14:paraId="58EED2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E7B27E8" w14:textId="77777777">
        <w:trPr>
          <w:trHeight w:val="1085"/>
        </w:trPr>
        <w:tc>
          <w:tcPr>
            <w:tcW w:w="3581" w:type="dxa"/>
            <w:tcBorders>
              <w:top w:val="nil"/>
              <w:left w:val="single" w:sz="6" w:space="0" w:color="auto"/>
              <w:bottom w:val="single" w:sz="6" w:space="0" w:color="auto"/>
              <w:right w:val="single" w:sz="6" w:space="0" w:color="auto"/>
            </w:tcBorders>
          </w:tcPr>
          <w:p w14:paraId="3016A407" w14:textId="77777777" w:rsidR="00537E5F" w:rsidRPr="00507A31" w:rsidRDefault="00537E5F" w:rsidP="00507A31">
            <w:pPr>
              <w:autoSpaceDE w:val="0"/>
              <w:autoSpaceDN w:val="0"/>
              <w:adjustRightInd w:val="0"/>
              <w:jc w:val="both"/>
              <w:rPr>
                <w:color w:val="000000" w:themeColor="text1"/>
                <w:sz w:val="16"/>
                <w:szCs w:val="16"/>
              </w:rPr>
            </w:pPr>
          </w:p>
          <w:p w14:paraId="6F9F6566" w14:textId="77777777" w:rsidR="00537E5F" w:rsidRPr="00507A31" w:rsidRDefault="00537E5F" w:rsidP="00507A31">
            <w:pPr>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101F7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легковой</w:t>
            </w:r>
          </w:p>
          <w:p w14:paraId="53802C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73B36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шасси</w:t>
            </w:r>
          </w:p>
          <w:p w14:paraId="35A5EB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93BAC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w:t>
            </w:r>
          </w:p>
          <w:p w14:paraId="4151FF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01B742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w:t>
            </w:r>
          </w:p>
          <w:p w14:paraId="6E85E5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1B5D2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&amp;</w:t>
            </w:r>
          </w:p>
          <w:p w14:paraId="575E4E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8028A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w:t>
            </w:r>
          </w:p>
          <w:p w14:paraId="74781F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F5E0D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&amp;</w:t>
            </w:r>
          </w:p>
          <w:p w14:paraId="163DAA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6D37D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шасси</w:t>
            </w:r>
          </w:p>
          <w:p w14:paraId="0A890A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65445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грузовой</w:t>
            </w:r>
          </w:p>
          <w:p w14:paraId="29FC48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4E8764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I</w:t>
            </w:r>
          </w:p>
          <w:p w14:paraId="3B1DBA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087950A" w14:textId="77777777">
        <w:trPr>
          <w:trHeight w:val="192"/>
        </w:trPr>
        <w:tc>
          <w:tcPr>
            <w:tcW w:w="3581" w:type="dxa"/>
            <w:tcBorders>
              <w:top w:val="single" w:sz="6" w:space="0" w:color="auto"/>
              <w:left w:val="single" w:sz="6" w:space="0" w:color="auto"/>
              <w:bottom w:val="nil"/>
              <w:right w:val="single" w:sz="6" w:space="0" w:color="auto"/>
            </w:tcBorders>
          </w:tcPr>
          <w:p w14:paraId="55B6E2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Требовалось УММ РККА по плану 1929/30 г.</w:t>
            </w:r>
          </w:p>
          <w:p w14:paraId="642B4F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C9683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530</w:t>
            </w:r>
          </w:p>
          <w:p w14:paraId="653E90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C47B1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556689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59BFBE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2497</w:t>
            </w:r>
          </w:p>
          <w:p w14:paraId="2BF0AB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AFDB7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103</w:t>
            </w:r>
          </w:p>
          <w:p w14:paraId="027BDD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4DC5C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344</w:t>
            </w:r>
          </w:p>
          <w:p w14:paraId="74CD8CE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0CA35A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308</w:t>
            </w:r>
          </w:p>
          <w:p w14:paraId="71DC5F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E3A02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w:t>
            </w:r>
          </w:p>
          <w:p w14:paraId="026C91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1A12BB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w:t>
            </w:r>
          </w:p>
          <w:p w14:paraId="5BA219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74C05B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121</w:t>
            </w:r>
          </w:p>
          <w:p w14:paraId="1294E33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74DD1F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w:t>
            </w:r>
          </w:p>
          <w:p w14:paraId="61FC20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289E238" w14:textId="77777777">
        <w:trPr>
          <w:trHeight w:val="173"/>
        </w:trPr>
        <w:tc>
          <w:tcPr>
            <w:tcW w:w="3581" w:type="dxa"/>
            <w:tcBorders>
              <w:top w:val="nil"/>
              <w:left w:val="single" w:sz="6" w:space="0" w:color="auto"/>
              <w:bottom w:val="single" w:sz="6" w:space="0" w:color="auto"/>
              <w:right w:val="single" w:sz="6" w:space="0" w:color="auto"/>
            </w:tcBorders>
          </w:tcPr>
          <w:p w14:paraId="0C6D66EB" w14:textId="77777777" w:rsidR="00537E5F" w:rsidRPr="00507A31" w:rsidRDefault="00537E5F" w:rsidP="00507A31">
            <w:pPr>
              <w:autoSpaceDE w:val="0"/>
              <w:autoSpaceDN w:val="0"/>
              <w:adjustRightInd w:val="0"/>
              <w:jc w:val="both"/>
              <w:rPr>
                <w:color w:val="000000" w:themeColor="text1"/>
                <w:sz w:val="16"/>
                <w:szCs w:val="16"/>
              </w:rPr>
            </w:pPr>
          </w:p>
          <w:p w14:paraId="5C120762" w14:textId="77777777" w:rsidR="00537E5F" w:rsidRPr="00507A31" w:rsidRDefault="00537E5F" w:rsidP="00507A31">
            <w:pPr>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3AB215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532</w:t>
            </w:r>
          </w:p>
          <w:p w14:paraId="5CEC63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3A067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2600</w:t>
            </w:r>
          </w:p>
          <w:p w14:paraId="6BA2FC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6BB65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652</w:t>
            </w:r>
          </w:p>
          <w:p w14:paraId="3E3E23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0DEE3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w:t>
            </w:r>
          </w:p>
          <w:p w14:paraId="31B93B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A36CA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139</w:t>
            </w:r>
          </w:p>
          <w:p w14:paraId="1303C4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6F213EF" w14:textId="77777777">
        <w:trPr>
          <w:trHeight w:val="192"/>
        </w:trPr>
        <w:tc>
          <w:tcPr>
            <w:tcW w:w="3581" w:type="dxa"/>
            <w:tcBorders>
              <w:top w:val="single" w:sz="6" w:space="0" w:color="auto"/>
              <w:left w:val="single" w:sz="6" w:space="0" w:color="auto"/>
              <w:bottom w:val="single" w:sz="6" w:space="0" w:color="auto"/>
              <w:right w:val="single" w:sz="6" w:space="0" w:color="auto"/>
            </w:tcBorders>
          </w:tcPr>
          <w:p w14:paraId="4EB839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C72EA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19" w:type="dxa"/>
            <w:gridSpan w:val="10"/>
            <w:tcBorders>
              <w:top w:val="single" w:sz="6" w:space="0" w:color="auto"/>
              <w:left w:val="single" w:sz="6" w:space="0" w:color="auto"/>
              <w:bottom w:val="single" w:sz="6" w:space="0" w:color="auto"/>
              <w:right w:val="single" w:sz="6" w:space="0" w:color="auto"/>
            </w:tcBorders>
          </w:tcPr>
          <w:p w14:paraId="2F97D4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3451 грузовых</w:t>
            </w:r>
          </w:p>
          <w:p w14:paraId="6EB2A8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225C972D" w14:textId="77777777">
        <w:trPr>
          <w:trHeight w:val="182"/>
        </w:trPr>
        <w:tc>
          <w:tcPr>
            <w:tcW w:w="8400" w:type="dxa"/>
            <w:gridSpan w:val="11"/>
            <w:tcBorders>
              <w:top w:val="single" w:sz="6" w:space="0" w:color="auto"/>
              <w:left w:val="single" w:sz="6" w:space="0" w:color="auto"/>
              <w:bottom w:val="single" w:sz="6" w:space="0" w:color="auto"/>
              <w:right w:val="single" w:sz="6" w:space="0" w:color="auto"/>
            </w:tcBorders>
          </w:tcPr>
          <w:p w14:paraId="1FF3A6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 требовалось - 3983 автомобиля</w:t>
            </w:r>
          </w:p>
          <w:p w14:paraId="614154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4FF957E" w14:textId="77777777">
        <w:trPr>
          <w:trHeight w:val="883"/>
        </w:trPr>
        <w:tc>
          <w:tcPr>
            <w:tcW w:w="3581" w:type="dxa"/>
            <w:tcBorders>
              <w:top w:val="single" w:sz="6" w:space="0" w:color="auto"/>
              <w:left w:val="single" w:sz="6" w:space="0" w:color="auto"/>
              <w:bottom w:val="single" w:sz="6" w:space="0" w:color="auto"/>
              <w:right w:val="single" w:sz="6" w:space="0" w:color="auto"/>
            </w:tcBorders>
          </w:tcPr>
          <w:p w14:paraId="55205B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Назначено к отпуску НКВМ в СССР согласно постановлению комиссии заместителя председателя СТО т. Рудзутака от 21 июля 1930 г. включая ранее полученные НКВМ автомобили и получено</w:t>
            </w:r>
          </w:p>
          <w:p w14:paraId="5571D2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0A9EC9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256</w:t>
            </w:r>
          </w:p>
          <w:p w14:paraId="08A78C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1EC505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76290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B4FD7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394</w:t>
            </w:r>
          </w:p>
          <w:p w14:paraId="711A5D4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1B788A9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A688B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17B142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298</w:t>
            </w:r>
          </w:p>
          <w:p w14:paraId="064C39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54ED6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306</w:t>
            </w:r>
          </w:p>
          <w:p w14:paraId="2C9A29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12ACD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521241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17574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p w14:paraId="320A16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80628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73</w:t>
            </w:r>
          </w:p>
          <w:p w14:paraId="2F467D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3E46A7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378359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EAE4B74" w14:textId="77777777">
        <w:trPr>
          <w:trHeight w:val="202"/>
        </w:trPr>
        <w:tc>
          <w:tcPr>
            <w:tcW w:w="8400" w:type="dxa"/>
            <w:gridSpan w:val="11"/>
            <w:tcBorders>
              <w:top w:val="single" w:sz="6" w:space="0" w:color="auto"/>
              <w:left w:val="single" w:sz="6" w:space="0" w:color="auto"/>
              <w:bottom w:val="single" w:sz="6" w:space="0" w:color="auto"/>
              <w:right w:val="single" w:sz="6" w:space="0" w:color="auto"/>
            </w:tcBorders>
          </w:tcPr>
          <w:p w14:paraId="1C16CD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 получено - 1347 автомобилей (33 процента от заявки)</w:t>
            </w:r>
          </w:p>
          <w:p w14:paraId="31CFDF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4F9149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Помощник начальника 2 отдела ТУ УММ РККА</w:t>
      </w:r>
    </w:p>
    <w:p w14:paraId="13B5F6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РГВА. Ф. 31811. Оп. 1. Д. 108. Л. 20. Подлинник (11210).</w:t>
      </w:r>
    </w:p>
    <w:p w14:paraId="46C22D7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2560412" w14:textId="77777777" w:rsidR="00D962DB" w:rsidRPr="00507A31" w:rsidRDefault="00D962DB"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58E6ECF8" w14:textId="77777777" w:rsidR="00D962DB" w:rsidRPr="00507A31" w:rsidRDefault="00D962DB" w:rsidP="00507A31">
      <w:pPr>
        <w:autoSpaceDE w:val="0"/>
        <w:autoSpaceDN w:val="0"/>
        <w:adjustRightInd w:val="0"/>
        <w:jc w:val="both"/>
        <w:rPr>
          <w:iCs/>
          <w:color w:val="000000" w:themeColor="text1"/>
          <w:sz w:val="16"/>
          <w:szCs w:val="16"/>
        </w:rPr>
      </w:pPr>
    </w:p>
    <w:p w14:paraId="2E1DDC68" w14:textId="77777777" w:rsidR="00D962DB" w:rsidRPr="00507A31" w:rsidRDefault="00D962DB" w:rsidP="00507A31">
      <w:pPr>
        <w:jc w:val="both"/>
        <w:rPr>
          <w:bCs/>
          <w:color w:val="000000" w:themeColor="text1"/>
          <w:sz w:val="16"/>
          <w:szCs w:val="16"/>
        </w:rPr>
      </w:pPr>
      <w:r w:rsidRPr="00507A31">
        <w:rPr>
          <w:color w:val="000000" w:themeColor="text1"/>
          <w:sz w:val="16"/>
          <w:szCs w:val="16"/>
        </w:rPr>
        <w:t>31 декабря 1930 г.</w:t>
      </w:r>
    </w:p>
    <w:p w14:paraId="4A9D545A" w14:textId="77777777" w:rsidR="00D962DB" w:rsidRPr="00507A31" w:rsidRDefault="00D962DB" w:rsidP="00507A31">
      <w:pPr>
        <w:jc w:val="both"/>
        <w:rPr>
          <w:bCs/>
          <w:color w:val="000000" w:themeColor="text1"/>
          <w:sz w:val="16"/>
          <w:szCs w:val="16"/>
        </w:rPr>
      </w:pPr>
      <w:r w:rsidRPr="00507A31">
        <w:rPr>
          <w:color w:val="000000" w:themeColor="text1"/>
          <w:sz w:val="16"/>
          <w:szCs w:val="16"/>
        </w:rPr>
        <w:t>Протокол показаний инженера Б. Э. Стюнкеля, технического директора треста «Донбассток». 31 декабря 1930 г.</w:t>
      </w:r>
    </w:p>
    <w:p w14:paraId="10B9E0FB" w14:textId="77777777" w:rsidR="00D962DB" w:rsidRPr="00507A31" w:rsidRDefault="00D962DB" w:rsidP="00507A31">
      <w:pPr>
        <w:jc w:val="both"/>
        <w:rPr>
          <w:bCs/>
          <w:color w:val="000000" w:themeColor="text1"/>
          <w:sz w:val="16"/>
          <w:szCs w:val="16"/>
        </w:rPr>
      </w:pPr>
      <w:r w:rsidRPr="00507A31">
        <w:rPr>
          <w:bCs/>
          <w:color w:val="000000" w:themeColor="text1"/>
          <w:sz w:val="16"/>
          <w:szCs w:val="16"/>
        </w:rPr>
        <w:t>Источник: </w:t>
      </w:r>
    </w:p>
    <w:p w14:paraId="45F8C052" w14:textId="77777777" w:rsidR="00D962DB" w:rsidRPr="00507A31" w:rsidRDefault="00D962DB" w:rsidP="00507A31">
      <w:pPr>
        <w:jc w:val="both"/>
        <w:rPr>
          <w:color w:val="000000" w:themeColor="text1"/>
          <w:sz w:val="16"/>
          <w:szCs w:val="16"/>
        </w:rPr>
      </w:pPr>
      <w:r w:rsidRPr="00507A31">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2F6DA09" w14:textId="77777777" w:rsidR="00D962DB" w:rsidRPr="00507A31" w:rsidRDefault="00D962DB" w:rsidP="00507A31">
      <w:pPr>
        <w:jc w:val="both"/>
        <w:rPr>
          <w:bCs/>
          <w:color w:val="000000" w:themeColor="text1"/>
          <w:sz w:val="16"/>
          <w:szCs w:val="16"/>
        </w:rPr>
      </w:pPr>
      <w:r w:rsidRPr="00507A31">
        <w:rPr>
          <w:bCs/>
          <w:color w:val="000000" w:themeColor="text1"/>
          <w:sz w:val="16"/>
          <w:szCs w:val="16"/>
        </w:rPr>
        <w:t>Архив: </w:t>
      </w:r>
    </w:p>
    <w:p w14:paraId="031779B8" w14:textId="77777777" w:rsidR="00D962DB" w:rsidRPr="00507A31" w:rsidRDefault="00D962DB" w:rsidP="00507A31">
      <w:pPr>
        <w:jc w:val="both"/>
        <w:rPr>
          <w:color w:val="000000" w:themeColor="text1"/>
          <w:sz w:val="16"/>
          <w:szCs w:val="16"/>
        </w:rPr>
      </w:pPr>
      <w:r w:rsidRPr="00507A31">
        <w:rPr>
          <w:color w:val="000000" w:themeColor="text1"/>
          <w:sz w:val="16"/>
          <w:szCs w:val="16"/>
        </w:rPr>
        <w:t>Архив СБУ Украины. Ф. 13. Д. 1067. Л. 88-101</w:t>
      </w:r>
    </w:p>
    <w:p w14:paraId="36A5316E" w14:textId="77777777" w:rsidR="00D962DB" w:rsidRPr="00507A31" w:rsidRDefault="00D962DB" w:rsidP="00507A31">
      <w:pPr>
        <w:pStyle w:val="rteright"/>
        <w:spacing w:before="0" w:after="0"/>
        <w:jc w:val="both"/>
        <w:rPr>
          <w:color w:val="000000" w:themeColor="text1"/>
          <w:sz w:val="16"/>
          <w:szCs w:val="16"/>
        </w:rPr>
      </w:pPr>
      <w:r w:rsidRPr="00507A31">
        <w:rPr>
          <w:color w:val="000000" w:themeColor="text1"/>
          <w:sz w:val="16"/>
          <w:szCs w:val="16"/>
        </w:rPr>
        <w:t>31 декабря 1930 г.</w:t>
      </w:r>
    </w:p>
    <w:p w14:paraId="7A661B88" w14:textId="77777777" w:rsidR="00D962DB" w:rsidRPr="00507A31" w:rsidRDefault="00D962DB" w:rsidP="00507A31">
      <w:pPr>
        <w:pStyle w:val="ae"/>
        <w:spacing w:before="0" w:after="0"/>
        <w:jc w:val="both"/>
        <w:rPr>
          <w:color w:val="000000" w:themeColor="text1"/>
          <w:sz w:val="16"/>
          <w:szCs w:val="16"/>
        </w:rPr>
      </w:pPr>
      <w:r w:rsidRPr="00507A31">
        <w:rPr>
          <w:color w:val="000000" w:themeColor="text1"/>
          <w:sz w:val="16"/>
          <w:szCs w:val="16"/>
        </w:rPr>
        <w:t>ПОКАЗАНИЯ СТЮНКЕЛЯ Б. Э.</w:t>
      </w:r>
    </w:p>
    <w:p w14:paraId="3A3B27B1" w14:textId="77777777" w:rsidR="00D962DB" w:rsidRPr="00507A31" w:rsidRDefault="00D962DB" w:rsidP="00507A31">
      <w:pPr>
        <w:pStyle w:val="ae"/>
        <w:spacing w:before="0" w:after="0"/>
        <w:jc w:val="both"/>
        <w:rPr>
          <w:color w:val="000000" w:themeColor="text1"/>
          <w:sz w:val="16"/>
          <w:szCs w:val="16"/>
        </w:rPr>
      </w:pPr>
      <w:r w:rsidRPr="00507A31">
        <w:rPr>
          <w:color w:val="000000" w:themeColor="text1"/>
          <w:sz w:val="16"/>
          <w:szCs w:val="16"/>
        </w:rPr>
        <w:t>от 31.XII.30 г.</w:t>
      </w:r>
    </w:p>
    <w:p w14:paraId="0A6E91BD"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Уточняю показания в части посещаемости заседаний Центра.</w:t>
      </w:r>
    </w:p>
    <w:p w14:paraId="4ED9AA5E"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ВОЛЬКЕНАУ, насколько мне помнится, участвовал на трех заседаниях Украинского] Центра к.-р. вредительской организации. Во всяком случае, я твердо могу заявить о его присутствии на двух заседаниях из тех четырех, на которых я был.</w:t>
      </w:r>
    </w:p>
    <w:p w14:paraId="0F69C685"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На всех четырех заседаниях Укрцентра к.-р. организации присутствовали: КРУШЕЛЬ, ЦВЕТКОВ, ФЮНЕР, МАРТЫНОВ, МАТВЕЕВ, БУРАКОВ, ЦЕЛИБЕЕВ и я — СТЮНКЕЛЬ.</w:t>
      </w:r>
    </w:p>
    <w:p w14:paraId="67F1A525"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На меньшем количестве заседаний Центра участвовали: КУРЧЕНИНОВ, ЛОМОВ, ГЕОРГИЕВСКИЙ, КАПЕЛЛЕР и СЕМИХАТОВ. Повторяю, что заседаний Украинского Центра, насколько мне известно, было гораздо больше, нежели четыре, но так как я на других заседаниях не был, то их состав мне неизвестен.</w:t>
      </w:r>
    </w:p>
    <w:p w14:paraId="3C596B90"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Перехожу к освещению деятельности энергетического вредительского ядра.</w:t>
      </w:r>
    </w:p>
    <w:p w14:paraId="4D803519"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Как я уже отметил в своем прежнем показании, руководство энергетическим вредительским ядром до февраля-марта 1929 года было сосредоточено у КАПЕЛЛЕРА, а ко мне это руководство перешло в связи с его отъездом за границу, куда он был командирован от Главэлектро как по делам Штеровской станции (строительство), так и по заданию изучить за границей состояние современной пылевидной техники.</w:t>
      </w:r>
    </w:p>
    <w:p w14:paraId="4A81EC5A"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В курс дел по Донбассу меня вводили КАПЕЛЛЕР и СЕМИХАТОВ, причем оба при первых разговорах со мной отметили, что с моей стороны в первый период моей деятельности в целях маскировки должна быть проведена определенная положительная работа.</w:t>
      </w:r>
    </w:p>
    <w:p w14:paraId="75552497"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Таким образом, мне пришлось первое время при изучении Донбасса, проведении ряда конкретных реформ, во всей сложной производственной обстановке суметь наметить пути своей вредительской деятельности в области энергетики. КАПЕЛЛЕР ввел меня в общий курс дел по Донбассу. Он сообщил мне, что все руководство вредительской работой по предприятиям Главэлектро он берет на себя.</w:t>
      </w:r>
    </w:p>
    <w:p w14:paraId="5E69A446"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КАПЕЛЛЕР также сообщил мне, что М. А. ЛОМОВ — член к.-р. организации и что его можно считать ответственным по энергетической вредительской работе в Югостали. Впоследствии я уже сталкивался с М. А. ЛОМОВЫМ, как с членом к.-р. организации.</w:t>
      </w:r>
    </w:p>
    <w:p w14:paraId="15CFEF2B"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То же КАПЕЛЛЕР сообщил о КУРЧЕНИНОВЕ, которого он знал, как члена организации и которого также считал ответственным за вредительскую работу в энергохозяйстве Укрхимтреста.</w:t>
      </w:r>
    </w:p>
    <w:p w14:paraId="65170103"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КАПЕЛЛЕР меня периодически посвящал во вредительскую деятельность, проводимую им. Эта деятельность его, главным образом, касалась: Штеровской электростанции, линии передач Донбасса и общеплановой части энергохозяйства Донбасса.</w:t>
      </w:r>
    </w:p>
    <w:p w14:paraId="3E8EB95D"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lastRenderedPageBreak/>
        <w:t>Со слов КАПЕЛЛЕРА, вредительство по Штеровке проводилось им в полном согласовании с Москвой (Главэлектро). Это вредительство облегчалось организационными неувязками в аппарате Главэлектро, взаимоотношениями Главэлектро с Электроимпортом, приводившими к чрезвычайной бюрократической волоките, помогавшей производить отдельные вредительские акты. К числу последних относятся:</w:t>
      </w:r>
    </w:p>
    <w:p w14:paraId="046A067F"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По Штеровской Электростанции:</w:t>
      </w:r>
    </w:p>
    <w:p w14:paraId="7287E437"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По Штеровке удалось провести разрыв в сроках готовности по всем трем очередям строительства между машинным зданием и котельной. Так, в первой очереди при турбинах в 20.000 квт. до осени 1929 года нельзя было иметь больше 14.000 квт. мощности. При оборудовании второй очереди, когда в январе 1930 года по турбинам уже было 64.000 квт. мощности, благодаря запозданию в доставке из-за границы паровых котлов, эта мощность могла быть обеспечена котлами до августа 1930 года не больше 17-18.000 квт. и только к январю 1931 года можно было рассчитывать на обеспеченность по котлам до 30-35.000 квт.</w:t>
      </w:r>
    </w:p>
    <w:p w14:paraId="624B0704"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Такая же картина получается и с третьей очередью, по которой, кроме задержки в установке и пуске в ход котлов (импортный «Бабкокс и Вилькокс») имела место еще задержка в исполнении заказов котлов на Таганрогском заводе ЮМТа, где, как сообщил мне КАПЕЛЛЕР, уже оказывается вредительство ячейки по котлостроению, под руководством ФЮНЕРА и проф. БУРАКОВА.</w:t>
      </w:r>
    </w:p>
    <w:p w14:paraId="73591A2A"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Проведение этого планомерного вредительства составило главную задачу по Штеровке. Там, как говорил мне КАПЕЛЛЕР, был еще ряд небольших вредительских актов, производившихся местной ячейкой под руководством КАПЕЛЛЕРА.</w:t>
      </w:r>
    </w:p>
    <w:p w14:paraId="3C4DA4CF"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Линии электропередачи в Донбассе.</w:t>
      </w:r>
    </w:p>
    <w:p w14:paraId="09B8743E"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По линиям электропередачи в 115.000 вольт вредительство, по словам КАПЕЛЛЕРА, сводилось к систематической задержке практического выполнения этих работ, что в значительной степени содействовало намеченным центром к.-р. организации задачам — задержке развития энергохозяйства Донбасса.</w:t>
      </w:r>
    </w:p>
    <w:p w14:paraId="0450163D"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Здесь я еще раз отмечаю вредительство, проведенной Москвой, это — выделение строительства линии электропередач в специальную организацию — Эльдонбасстрой, содействовавшую внесению большой организационной путаницы в дело постройки линии электропередач Донбасса.</w:t>
      </w:r>
    </w:p>
    <w:p w14:paraId="0F71DFFB"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Из определенного вредительского акта, проведенного КАПЕЛЛЕРОМ, надо еще отметить выделение Штерстроя до образования Донбасстока в две организации — Штергрэс (Штеровская районная электрическая станция, зависимая от Донбасстока) и Энергострой — Штеровка, зависимая от правления Энергостроя в Москве.</w:t>
      </w:r>
    </w:p>
    <w:p w14:paraId="1EAA4E0B"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Это разделение внесло много организационной путаницы.</w:t>
      </w:r>
    </w:p>
    <w:p w14:paraId="0680B5C5"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КАПЕЛЛЕР в разговорах со мной отмечал, что очень удобной формой для проведения вредительских актов по энергохозяйству Донбасса является Комитет по электроснабжению Донбасса, тем более, что почти все члены этого Комитета являются членами к.-р. организации.</w:t>
      </w:r>
    </w:p>
    <w:p w14:paraId="12C9FBC5"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С КАПЕЛЛЕРОМ мне приходилось встречаться за время моей работы по энергетике Донбасса весьма часто. Сначала в Харькове, а потом в Москве, куда он был переведен на службу в качестве члена правления Энергостроя и, наконец, несколько раз в Харькове и в Донбассе при его командировках из Москвы.</w:t>
      </w:r>
    </w:p>
    <w:p w14:paraId="69CC66B1"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Летом 1930 года я два раза с КАПЕЛЛЕРОМ объезжал все основные работы, которые Энергострой проводил для Донбасстока (Штеровка, Зуевка, Донсода, Константиновка).</w:t>
      </w:r>
    </w:p>
    <w:p w14:paraId="618C81FE"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В чем выразилась вредительская деятельность проф. СЕМИХАТОВА?</w:t>
      </w:r>
    </w:p>
    <w:p w14:paraId="6663EA7A"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Он недостаточно энергично ставил через меня перед Правлением Донбасстока вопрос об усилении теплотехнического надзора на местах (рудоуправления и электрокольца), он не проводил необходимых рационализаторских мероприятий на предприятиях Донугля (в котельных шахтоуправлений и электростанций), обеспечивающих максимально технически возможный расход низкосортного топлива под котлами. Он не оказывал на рудоуправления через соответствующих теплотехников на местах необходимого давления на улучшение котельного хозяйства (водоочищение, топочная техника).</w:t>
      </w:r>
    </w:p>
    <w:p w14:paraId="2227382B"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Наконец, я вместе с СЕМИХАТОВЫМ не ставили во весь рост продвижение в Донбассе новых технических проблем, осуществление которых требуется все же ходом развития современной техники.</w:t>
      </w:r>
    </w:p>
    <w:p w14:paraId="55A28809"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Когда Госплан СССР, в лице его топливной секции потребовал от Донугля доклад о применении низкосортного топлива на предприятиях Донугля, в Москву на этот доклад поехали я и СЕМИХАТОВ (это было летом 1929 года). Там же был от Торготдела Донугля МАТЮШЕНКО, СЕМИХАТОВ сделал доклад как бы от производственной части Донугля. МАТЮШЕНКО должен был осветить работу Донугля в деле рационализации топливоиспользования донецкого топлива под котлами потребителей. Заседание происходило в Москве в топливной секции Госплана под председательством ЛАРИЧЕВА.</w:t>
      </w:r>
    </w:p>
    <w:p w14:paraId="5749A6DF"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Доклад СЕМИХАТОВА дал картину использования низкосортного топлива лучшую, чем она имела место на самом деле и этим официально была замазана вредительская работа нашей организации в ячейке Донугля.</w:t>
      </w:r>
    </w:p>
    <w:p w14:paraId="3F939E8A"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После заседания в кабинете ЛАРИЧЕВА, мы установили перед ЛАРИЧЕВЫМ наше вхождение (т. е. мое и СЕМИХАТОВА) в Харьковский Инженерный Центр. Об участии МАТЮШЕНКО в организации я не знал.</w:t>
      </w:r>
    </w:p>
    <w:p w14:paraId="1D35F2B2"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После приезда СЕМИХАТОВА из-за границы он был зачислен консультантом в Донбассток, причем мы с ним договорились, что так же, как и в Донугле, он, СЕМИХАТОВ, состоя официально консультантом, будет фактически руководить всей теплотехнической работой в тресте и состоять членом Техсовета Донбасстока. Но в силу обстановки в центральном электрокольце, где, начиная с февраля 1929 года происходили частые аварии, СЕМИХАТОВ был правлением Донбасстока перекинут на работу в Горловку, получив твердое задание изучить все причины аварий и принять меры к их устранению.</w:t>
      </w:r>
    </w:p>
    <w:p w14:paraId="39AC52FB"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Безвыездное пребывание СЕМИХАТОВА в Горловке (с апреля по август) лишило меня возможности с ним видеться и делиться всеми впечатлениями, как это должны были бы делать все члены одной и той же к.-р. организации. Когда же я в августе 1930 г. был в Горловке, я не имел возможности с СЕМИХАТОВЫМ уединиться.</w:t>
      </w:r>
    </w:p>
    <w:p w14:paraId="22F8497E"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Теперь перехожу к даче показаний о самом себе, о своей вредительской работе, которую проводил по своей инициативе, используя аппараты Донугля, Донбасстока и Комитета по электроснабжению Донбасса.</w:t>
      </w:r>
    </w:p>
    <w:p w14:paraId="2A28263D"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В Комитете по электроэнергии Донбасса я проводил систематически все решения, приводившие к основной установке нашей к.-р. организации — всяческой задержке в форсировке работ, к созданию и укреплению разрывов между потребностью энергии.</w:t>
      </w:r>
    </w:p>
    <w:p w14:paraId="614FC63A"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В дополнение к моим прежним показаниям я постараюсь несколько подробнее остановиться на тех вредительских актах, которые были проведены персонально мной путем формальных придирок. Я задержал на 5-6 месяцев окончание работ по постройке новой Кадиевской электростанции.</w:t>
      </w:r>
    </w:p>
    <w:p w14:paraId="4C7497A1"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Я воспользовался решением центрального электротехнического совета при утверждении им проекта всей станции и, вместо того, чтобы взять на себя полноту ответственности и в данном случае не считаться с этим решением ЦЭСа (решением бюрократическим и затягивающим осуществление строительства), я на него оперся и предложил строительству все требования станции выполнить, представить чертежи на новое рассмотрение ЦЭСа и только после решения ЦЭСа приступить к работам. Дело касается распределительного устройства этой станции.</w:t>
      </w:r>
    </w:p>
    <w:p w14:paraId="2FE9DF4B"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Строительство все это сделало, как я этого требовал, но это привело к задержке в пуске станций в ход на 5-6 месяцев позже того срока, которы[й] бы выходил, если бы в данном случае я не использовал этих формальностей.</w:t>
      </w:r>
    </w:p>
    <w:p w14:paraId="3A2817FD"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Выполняя основные директивы вредительского центра везде осуществлять диспропорцию в энергохозяйстве, я это провел в ряде районов Донбасса, в части обеспечения этих районов своевременной доставкой с заводов ВЭ[О] (ГЭТ) трансформаторов. Я не поднял необходимого протеста против задержек в оформлении заказов на трансформаторы и против предложенных заводом сроков перед правлением Донугля и предоставил решение этого вопроса естественному ходу вещей. В результате — запоздание заказов на трансформаторы поставило Шахтинское рудоуправление в очень тяжелое положение по электроэнергии в связи с запозданием в присоединении к сети Артемовской станции.</w:t>
      </w:r>
    </w:p>
    <w:p w14:paraId="2F2D1349"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Задержка в доставке трансформаторов привела к неготовности районов: Кадиевского, Криндачевского, Чистяковского, Сталино-Макеевского и Горловского к присоединению ряда шахт к общей сети Донбасстока, с одной стороны, и к задержке в ликвидации электростанций Штеровской, Карловской, Артановской (в Кадиевском районе) и Брянской. Возвращаясь к вопросу о трансформаторах, об оставлении мной без протеста положения с оформлением заказа на них, должен сказать, что опротестование мной ненормального положения обязательно внесло бы быстрое оздоровление. Это подтверждается дальнейшим ходом моей работы в Донбасстоке в 1930 году. Стоило лишь нажать в Правлении ВЭО, опротестовать постановку дела, медлительность исполнения и т. п„ как начиналось активное реагирование как по советской, так и по общественной линиям. В частности, это сказалось и на трансформаторах, которые после протеста все же были получены.</w:t>
      </w:r>
    </w:p>
    <w:p w14:paraId="6F49B135"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Особое место в серии вредительских актов занимает Щербиновская электростанция.</w:t>
      </w:r>
    </w:p>
    <w:p w14:paraId="79202859"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Вопрос о постройке электростанции выплыл в связи с задачей обеспечения энергией Центрально-Горловского района. По всей ситуации дело складывалось так, что район должен питаться от Штеровской электростанции через Горловскую понизительную высоковольтную подстанцию, но так как в ноябре 1928 года совершенно еще не было ясности, когда эта подстанция будет готова к передаче и распределению электрической энергии, то в целях обеспечения энергией уже к 1929 году правлением Донугля был поставлен вопрос о постройке Щербиновской электростанции на импортном оборудовании.</w:t>
      </w:r>
    </w:p>
    <w:p w14:paraId="61B8E653"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Вместо того, чтобы перед правлением Донугля резко поставить вопрос о требовании перед Главэлектро форсировать постройку электропередачи через Рыково от Штеровки в Горловку и Горловской подстанции, вместо того, чтобы заострить вопрос об электростанции «Юный коммунар» в смысле его присоединения к общей сети на центральное электрокольцо, я дал поручение как аппарату Донугля, так и электрокольца в Горловке подработать ряд вариантов в смысле использования этого оборудования на первой Горловской станции и на Щербиновской старой.</w:t>
      </w:r>
    </w:p>
    <w:p w14:paraId="0D68F212"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Допустив задержку в разработке этих вариантов, я затянул еще решение вопроса, поручив С. Н. БЕРЛИНУ и С. М. СЕМИХАТОВУ изучить эти варианты и дать отзыв. Все эти поручения рассчитаны были мною и так и понимались членами организации БЕРЛИНЫМ и СЕМИХАТОВЫМ, как продиктованные решением как можно больше оттягивать и затягивать время начала постройки.</w:t>
      </w:r>
    </w:p>
    <w:p w14:paraId="0E1B4FF1"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lastRenderedPageBreak/>
        <w:t>В результате, когда этот вопрос был утвержден о постройке Щербиновской станции, я не принимал мер к ускорению прохождения проекта по всем инстанциям. Это привело к задержке начала работ, к удорожанию их, и в конце концов, Горловская подстанция и электропередача от Штеровки оказались ранее готовыми к эксплоатации, нежели новая Щербиновская электростанция, которая уже в условиях единого хозяйства, объединенного сейчас в Донбасстоке, становится ненужной.</w:t>
      </w:r>
    </w:p>
    <w:p w14:paraId="48D69B41"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Акт вредительства здесь проявлен двояко — в задержке всего строительства и в факте строительства.</w:t>
      </w:r>
    </w:p>
    <w:p w14:paraId="6C0EEA1F"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Вопрос о Щербиновской новой станции подымался несколько раз в Донбассе и на заседаниях Техсовета и правления Донбасстока.</w:t>
      </w:r>
    </w:p>
    <w:p w14:paraId="13389B7B"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Я проводил свою вредительскую линию на всех заседаниях и требовал доведения начатой постройки до конца. СЕМИХАТОВ меня в этом поддержал, а БЕРЛИН, в целях маскировки (это было между нами заранее обусловлено) проводил линию, противоположную нашей. В конце концов, вредительская установка была доведена до конца и станция будет готова, хотя потребности в ней нет.</w:t>
      </w:r>
    </w:p>
    <w:p w14:paraId="7DB166AA"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Из моих вредительских действий я должен указать еще на задержки в рассмотрении очень срочных важных вопросов, связанных с решением проектных задач по канатной дороге для топливоснабжения для второй очереди электростанции Донсоды и Зуевской станции.</w:t>
      </w:r>
    </w:p>
    <w:p w14:paraId="19BC95AD"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Эта задержка также содействовала основной установке вредительской организации всячески поддерживать и развивать диспропорцию между спросом и предложением на электроэнергию в основных районах Донбасса и как раз в двух очень серьезных центрах — Северном, задачей которого являлось, скорее, обеспечить химическую и силикатную промышленность электроэнергией и в Центральном Донбассе по Зуевской станции, которая должна по общему плану обеспечить энергией весь центральный Донбасс.</w:t>
      </w:r>
    </w:p>
    <w:p w14:paraId="72C6C285"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Сейчас трудно вспомнить отдельные вопросы из области вредительской практики, которые были проведены через Комитет, — это можно будет сделать позже при отдельных уточнениях.</w:t>
      </w:r>
    </w:p>
    <w:p w14:paraId="4E215CC1"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По линии Комитета по электроснабжению Донбасса фактически происходила как бы увязка вредительской деятельности в энергетике Донбасса. Поскольку почти все члены этого Комитета состояли членами нашей организации, я и КАПЕЛЛЕР считали совершенно ненужным устраивать какие-либо специальные заседания энергетического ядра организации. Достаточно было КАПЕЛЛЕРУ или мне заранее с кем-нибудь договориться о проведении той или иной линии и она почти всегда проводилась в Комитете.</w:t>
      </w:r>
    </w:p>
    <w:p w14:paraId="70F03C71"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Общая установка, проводимая в Комитете, сводилась опять [к] основной линии — диспропорции. По вредительским актам я отдельно говорил с СЕМИХАТОВЫМ, БЕРЛИНЫМ, КАПЕЛЛЕРОМ., встречаясь с ними как по служебной линии, так и частным образом.</w:t>
      </w:r>
    </w:p>
    <w:p w14:paraId="4B4B9D35"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С СЕМИХАТОВЫМ обычно я говорил, используя наше совместное пребывание в командировках в Донбассе или в Москве. С БЕРЛИНОМ я обычно имел возможность беседовать о вредительской деятельности у него на квартире, куда он меня иногда приглашал. С КАПЕЛЛЕРОМ же я говорил, когда он был на Штеровке, а после его перехода в Москву при наших совместных поездках по Донбассу или у него в кабинете.</w:t>
      </w:r>
    </w:p>
    <w:p w14:paraId="2EDAD24C"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Что касается других членов энергетического ядра организации — КУРЧЕНИНОВА и М. А. ЛОМОВА, то об их участии в к.-р. организации я впервые узнал от КАПЕЛЛЕРА. КУРЧЕНИНОВ только один раз имел возможность переговорить со мной на тему о проводимой нами вредительской работе.</w:t>
      </w:r>
    </w:p>
    <w:p w14:paraId="1BC2717F"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С ЛОМОВЫМ М. А. в начале 1929 года у него в кабинете Югостали я беседовал как с членом к.-р. организации, сказав ему, что о его участии я знаю от КАПЕЛЛЕРА и что мы рассматриваем его, ЛОМОВА, как ответственного за проведение вредительства по энергетике Югостали. ЛОМОВ ответил, что он имеет это в виду.</w:t>
      </w:r>
    </w:p>
    <w:p w14:paraId="0D88DE58"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КАПЕЛЛЕР в сентябре 1928 года на Штеровке, когда давал мне общую картину положения дела с энергохозяйством, осветил особо роль электрохозяйства Югостали. Мы в этом разговоре освещали две стороны: положительную и вредительскую.</w:t>
      </w:r>
    </w:p>
    <w:p w14:paraId="56C69B34"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В интересах положительной работы надо было по возможности скорее изъять из ведения Югостали те ее электростанции, которые не носили характера узкозаводского и слить их с общей сетью линии электропередач Донбасса, находившихся в ведении Донугля и Главэлектро. Это должна была быть официальная установка Комитета. Вредительская же точка зрения говорила о другом — задержке и передаче этих станций, так как это содействовало общей линии вредительства — созданию диспропорций в энергетике Донбасса.</w:t>
      </w:r>
    </w:p>
    <w:p w14:paraId="1C3CED70"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Югосталь в лице своих представителей как в Комитете, так и на периферии, чрезвычайно настойчиво проводила эту вторую точку зрения и это привело, в конце концов, к тому, что все станции Югостали (вне заводов), как-то «Юнком», Матвеевка, Рыковская и Ново-Смоляновская отошли к будущему Донбасстоку с большой борьбой и болезненным процессом.</w:t>
      </w:r>
    </w:p>
    <w:p w14:paraId="686DA977" w14:textId="77777777" w:rsidR="00D962DB" w:rsidRPr="00507A31" w:rsidRDefault="00D962DB" w:rsidP="00507A31">
      <w:pPr>
        <w:pStyle w:val="rtejustify"/>
        <w:spacing w:before="0" w:after="0"/>
        <w:rPr>
          <w:color w:val="000000" w:themeColor="text1"/>
          <w:sz w:val="16"/>
          <w:szCs w:val="16"/>
        </w:rPr>
      </w:pPr>
      <w:r w:rsidRPr="00507A31">
        <w:rPr>
          <w:color w:val="000000" w:themeColor="text1"/>
          <w:sz w:val="16"/>
          <w:szCs w:val="16"/>
        </w:rPr>
        <w:t>Какова же роль М. А. ЛОМОВА в этом деле? — Он, безусловно, как член «Промпартии» и как член Энергокомитета, проводил точку зрения вредительской организации, и к моменту отъезда КАПЕЛЛЕРА за границу и переходу руководства вредительством в энергетике ко мне, сумел Достаточно подготовить в Югостали и на заводах эту непримиримую точку зрения.</w:t>
      </w:r>
    </w:p>
    <w:p w14:paraId="520B3AE2"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Тоже довольно планомерно и последовательно М. А. ЛОМОВ проводил в Комитете свою линию по вопросу о постройке Зуевской станции, добившись того, что окончательное решение по постройке этой станции было из-за протестов Югостали оттянуто.</w:t>
      </w:r>
    </w:p>
    <w:p w14:paraId="13DEC539"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О диверсионной деятельности «Промпартии».</w:t>
      </w:r>
    </w:p>
    <w:p w14:paraId="6440DC5E"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Я уже показывал, что диверсионная работа была поручена (со слов КАПЕЛЛЕРА и БЕРЛИНА) инж. ВИНОГРАДОВУ и проф. СЕМИХАТОВУ, причем в беседе с КАПЕЛЛЕРОМ на эту тему мы даже произносили этот термин «диверсионная работа», отдавая себе полный отчет в значении этого термина (т. е. подрывная работа, организация повреждений, аварий, пожаров, взрывов и т. д.). В беседе с БЕРЛИНОМ, имея в виду те же разрушительные действия, мы назвали их «военной работой».</w:t>
      </w:r>
    </w:p>
    <w:p w14:paraId="2752F8FD"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Деталировку этих разговоров я ни с КАПЕЛЛЕРОМ, ни с проф. БЕРЛИНОМ не вел, так как считал, что если «Промпартия» сильна, то на этом деле должны стоять специальные люди, о которых в целях конспирации, должны знать по возможности меньше людей, даже из числа ответственных и руководящих членов организации, каковым в частности был я.</w:t>
      </w:r>
    </w:p>
    <w:p w14:paraId="3526B889"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О вступлении членов к.-р. организации в коммунистическую партию.</w:t>
      </w:r>
    </w:p>
    <w:p w14:paraId="29822335"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В начале 1930 года, сейчас точно не помню даты, я говорил с БЕРЛИНЫМ об известии, вычитанном из газет, о вступлении в члены ВКП(б) председателя ЦБ ИТС Всер[росийского] Союза Металлистов — А. И. СТРОЕВА.</w:t>
      </w:r>
    </w:p>
    <w:p w14:paraId="008D6E04"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БЕРЛИН мне сказал, что, зная СТРОЕВА по его идеологии, он считает, что СТРОЕВ не должен был этого делать. По этому вопросу мы разговорились, и БЕРЛИН заметил, что, возможно, СТРОЕВ состоит членом Инженерного Центра в Москве, и в таком случае он сделал этот шаг для замаскирования своей принадлежности к к.-р. организации.</w:t>
      </w:r>
    </w:p>
    <w:p w14:paraId="4CC2470D"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БЕРЛИН мне тут же сообщил, что на одном из заседаний Украинского Инженерного Центра обсуждался вопрос о вступлении членов «Промпартии» в ряды членов коммунистической партии в целях замаскирования своей принадлежности к к.-р. организации.</w:t>
      </w:r>
    </w:p>
    <w:p w14:paraId="542C8F05"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Кроме того, проф. БЕРЛИН мне указал, что, как ему известно, на том же заседании обсуждался этот вопрос еще с другой стороны, с точки зрения занятия командных высот в промышленности, и при этом организация считает, что это является, в конце концов, делом совести каждого отдельного члена организации.</w:t>
      </w:r>
    </w:p>
    <w:p w14:paraId="4C779B31"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С моих слов правильно, читал:</w:t>
      </w:r>
    </w:p>
    <w:p w14:paraId="2389819E"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Б. Э. СТЮНКЕЛЬ.</w:t>
      </w:r>
    </w:p>
    <w:p w14:paraId="6D3E4391"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Допросил:</w:t>
      </w:r>
    </w:p>
    <w:p w14:paraId="08B30239" w14:textId="77777777" w:rsidR="00D962DB" w:rsidRPr="00507A31" w:rsidRDefault="00D962DB" w:rsidP="00507A31">
      <w:pPr>
        <w:pStyle w:val="204"/>
        <w:spacing w:before="0" w:beforeAutospacing="0" w:after="0" w:afterAutospacing="0"/>
        <w:jc w:val="both"/>
        <w:rPr>
          <w:color w:val="000000" w:themeColor="text1"/>
          <w:sz w:val="16"/>
          <w:szCs w:val="16"/>
        </w:rPr>
      </w:pPr>
      <w:r w:rsidRPr="00507A31">
        <w:rPr>
          <w:color w:val="000000" w:themeColor="text1"/>
          <w:sz w:val="16"/>
          <w:szCs w:val="16"/>
        </w:rPr>
        <w:t>СТ. УПОЛНОМОЧЕННЫЙ ЭКУ ГПУ УССР (БЕРМАН)</w:t>
      </w:r>
    </w:p>
    <w:p w14:paraId="5668F197" w14:textId="77777777" w:rsidR="00D962DB" w:rsidRPr="00507A31" w:rsidRDefault="00D962DB" w:rsidP="00507A31">
      <w:pPr>
        <w:jc w:val="both"/>
        <w:rPr>
          <w:color w:val="000000" w:themeColor="text1"/>
          <w:sz w:val="16"/>
          <w:szCs w:val="16"/>
        </w:rPr>
      </w:pPr>
      <w:r w:rsidRPr="00507A31">
        <w:rPr>
          <w:rStyle w:val="af0"/>
          <w:i w:val="0"/>
          <w:color w:val="000000" w:themeColor="text1"/>
          <w:sz w:val="16"/>
          <w:szCs w:val="16"/>
        </w:rPr>
        <w:t>Архив СБУ Украины. Ф. 13. Д. 1067. Л. 88-101. Машинописный экземпляр того времени (18743).</w:t>
      </w:r>
    </w:p>
    <w:p w14:paraId="13090021" w14:textId="77777777" w:rsidR="00D962DB" w:rsidRPr="00507A31" w:rsidRDefault="00D962DB" w:rsidP="00507A31">
      <w:pPr>
        <w:jc w:val="both"/>
        <w:rPr>
          <w:color w:val="000000" w:themeColor="text1"/>
          <w:sz w:val="16"/>
          <w:szCs w:val="16"/>
        </w:rPr>
      </w:pPr>
    </w:p>
    <w:p w14:paraId="5B56B665"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28A03AAD" w14:textId="77777777" w:rsidR="00537E5F" w:rsidRPr="00507A31" w:rsidRDefault="00537E5F" w:rsidP="00507A31">
      <w:pPr>
        <w:autoSpaceDE w:val="0"/>
        <w:autoSpaceDN w:val="0"/>
        <w:adjustRightInd w:val="0"/>
        <w:jc w:val="both"/>
        <w:rPr>
          <w:iCs/>
          <w:color w:val="000000" w:themeColor="text1"/>
          <w:sz w:val="16"/>
          <w:szCs w:val="16"/>
        </w:rPr>
      </w:pPr>
    </w:p>
    <w:p w14:paraId="25F7CD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31 декабря 1930 был похищен наследник пивного короля США Adolphus Busch (2100).</w:t>
      </w:r>
    </w:p>
    <w:p w14:paraId="2E973CC0" w14:textId="77777777" w:rsidR="00537E5F" w:rsidRPr="00507A31" w:rsidRDefault="00537E5F" w:rsidP="00507A31">
      <w:pPr>
        <w:autoSpaceDE w:val="0"/>
        <w:autoSpaceDN w:val="0"/>
        <w:adjustRightInd w:val="0"/>
        <w:jc w:val="both"/>
        <w:rPr>
          <w:color w:val="000000" w:themeColor="text1"/>
          <w:sz w:val="16"/>
          <w:szCs w:val="16"/>
        </w:rPr>
      </w:pPr>
    </w:p>
    <w:p w14:paraId="7B02673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63F9908" w14:textId="77777777" w:rsidR="00537E5F" w:rsidRPr="00507A31" w:rsidRDefault="00537E5F" w:rsidP="00507A31">
      <w:pPr>
        <w:autoSpaceDE w:val="0"/>
        <w:autoSpaceDN w:val="0"/>
        <w:adjustRightInd w:val="0"/>
        <w:jc w:val="both"/>
        <w:rPr>
          <w:iCs/>
          <w:color w:val="000000" w:themeColor="text1"/>
          <w:sz w:val="16"/>
          <w:szCs w:val="16"/>
        </w:rPr>
      </w:pPr>
    </w:p>
    <w:p w14:paraId="70DE83C5" w14:textId="77777777" w:rsidR="00B42415" w:rsidRPr="00507A31" w:rsidRDefault="00B42415" w:rsidP="00507A31">
      <w:pPr>
        <w:jc w:val="both"/>
        <w:rPr>
          <w:color w:val="000000" w:themeColor="text1"/>
          <w:sz w:val="16"/>
          <w:szCs w:val="16"/>
        </w:rPr>
      </w:pPr>
      <w:r w:rsidRPr="00507A31">
        <w:rPr>
          <w:color w:val="000000" w:themeColor="text1"/>
          <w:sz w:val="16"/>
          <w:szCs w:val="16"/>
        </w:rPr>
        <w:t>В конце декабря 1930 г. ВМИ РКИ снова сигнализи</w:t>
      </w:r>
      <w:r w:rsidRPr="00507A31">
        <w:rPr>
          <w:color w:val="000000" w:themeColor="text1"/>
          <w:sz w:val="16"/>
          <w:szCs w:val="16"/>
        </w:rPr>
        <w:softHyphen/>
        <w:t>рует о том, что планы капитального строительства в военной промышленности не выполняются, что особый квартал не создал перелома. Причина этого по-прежнему виделась в том, что “вре</w:t>
      </w:r>
      <w:r w:rsidRPr="00507A31">
        <w:rPr>
          <w:color w:val="000000" w:themeColor="text1"/>
          <w:sz w:val="16"/>
          <w:szCs w:val="16"/>
        </w:rPr>
        <w:softHyphen/>
        <w:t>дители занизили мощности”, а также в путаном плановом руко</w:t>
      </w:r>
      <w:r w:rsidRPr="00507A31">
        <w:rPr>
          <w:color w:val="000000" w:themeColor="text1"/>
          <w:sz w:val="16"/>
          <w:szCs w:val="16"/>
        </w:rPr>
        <w:softHyphen/>
        <w:t>водстве военной промышленностью, неповоротливости руково</w:t>
      </w:r>
      <w:r w:rsidRPr="00507A31">
        <w:rPr>
          <w:color w:val="000000" w:themeColor="text1"/>
          <w:sz w:val="16"/>
          <w:szCs w:val="16"/>
        </w:rPr>
        <w:softHyphen/>
        <w:t>дящих работников</w:t>
      </w:r>
      <w:bookmarkStart w:id="108" w:name="_ednref55"/>
      <w:r w:rsidRPr="00507A31">
        <w:rPr>
          <w:color w:val="000000" w:themeColor="text1"/>
          <w:sz w:val="16"/>
          <w:szCs w:val="16"/>
        </w:rPr>
        <w:t xml:space="preserve"> (18393)</w:t>
      </w:r>
      <w:bookmarkEnd w:id="108"/>
      <w:r w:rsidRPr="00507A31">
        <w:rPr>
          <w:color w:val="000000" w:themeColor="text1"/>
          <w:sz w:val="16"/>
          <w:szCs w:val="16"/>
        </w:rPr>
        <w:t>.</w:t>
      </w:r>
    </w:p>
    <w:p w14:paraId="237221CA" w14:textId="77777777" w:rsidR="00B42415" w:rsidRPr="00507A31" w:rsidRDefault="00B42415" w:rsidP="00507A31">
      <w:pPr>
        <w:jc w:val="both"/>
        <w:rPr>
          <w:color w:val="000000" w:themeColor="text1"/>
          <w:sz w:val="16"/>
          <w:szCs w:val="16"/>
        </w:rPr>
      </w:pPr>
    </w:p>
    <w:p w14:paraId="6C871A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последние дни декабря 1930 собранные и испытанные два танка Кристи были отправлены из Нью Йорка в СССР, хотя по договору срок был к сентябрю (3879,4).</w:t>
      </w:r>
    </w:p>
    <w:p w14:paraId="16190AF8" w14:textId="77777777" w:rsidR="00537E5F" w:rsidRPr="00507A31" w:rsidRDefault="00537E5F" w:rsidP="00507A31">
      <w:pPr>
        <w:autoSpaceDE w:val="0"/>
        <w:autoSpaceDN w:val="0"/>
        <w:adjustRightInd w:val="0"/>
        <w:jc w:val="both"/>
        <w:rPr>
          <w:color w:val="000000" w:themeColor="text1"/>
          <w:sz w:val="16"/>
          <w:szCs w:val="16"/>
        </w:rPr>
      </w:pPr>
    </w:p>
    <w:p w14:paraId="0B5C93AE" w14:textId="77777777" w:rsidR="0089222C" w:rsidRPr="00507A31" w:rsidRDefault="0089222C" w:rsidP="00507A31">
      <w:pPr>
        <w:shd w:val="clear" w:color="auto" w:fill="FFFFFF"/>
        <w:jc w:val="both"/>
        <w:rPr>
          <w:color w:val="0070C0"/>
          <w:sz w:val="16"/>
          <w:szCs w:val="16"/>
        </w:rPr>
      </w:pPr>
      <w:r w:rsidRPr="00507A31">
        <w:rPr>
          <w:color w:val="0070C0"/>
          <w:sz w:val="16"/>
          <w:szCs w:val="16"/>
          <w:shd w:val="clear" w:color="auto" w:fill="FFFFFF"/>
        </w:rPr>
        <w:t>В конце декабря 1930 вместо конца сентября танки были, причем без вооружения, башен и рядом отступлений от исходного проекта. К этому времени Кристи, загнав себя в тяжелое финансовое положение (постройка M1940/M1928 обошлась в 382 тысячи долларов США, сумма на то время гигантская). К тому же вся U.S. Wheel Track Layer Corporation состояла из Кристи, его жены Бесси, его сына Эдварда, 8 человек из команды механиков, включая водителя-испытателя Лео Андерсона, а также Раймонда Тиффани, который был менеджером Кристи, т.е. решения принимать было не просто. Советской стороне удалось удержать 25 тысяч долларов, но Кристи так и не поехал в СССР налаживать выпуск своих танков. Оставшуюся документацию в 1931 году удалось достать В.Д. Свиридову, который смог ее получить от работников Кристи (20339).</w:t>
      </w:r>
    </w:p>
    <w:p w14:paraId="799A3A6C" w14:textId="77777777" w:rsidR="0089222C" w:rsidRPr="00507A31" w:rsidRDefault="0089222C" w:rsidP="00507A31">
      <w:pPr>
        <w:shd w:val="clear" w:color="auto" w:fill="FFFFFF"/>
        <w:jc w:val="both"/>
        <w:rPr>
          <w:color w:val="0070C0"/>
          <w:sz w:val="16"/>
          <w:szCs w:val="16"/>
        </w:rPr>
      </w:pPr>
    </w:p>
    <w:p w14:paraId="59C684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 последней декаде декабря 1930 оба танка Кристи отправились в долгое плавание в СССР, хотя по условиям договора Кристи обязался сдать два танка представителю АМТОРГа в сентябре 1930 г., но не успел с их изготовлением. Они прибыли уже после триумфального показа «шеститонника», и 4 марта танк с номером 2051 был отгружен складу № 127 АБТУ (10733,193).</w:t>
      </w:r>
    </w:p>
    <w:p w14:paraId="2FE7CC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A9948A2" w14:textId="77777777" w:rsidR="00C67F5F" w:rsidRPr="00507A31" w:rsidRDefault="00C67F5F" w:rsidP="00507A31">
      <w:pPr>
        <w:jc w:val="both"/>
        <w:rPr>
          <w:color w:val="000000" w:themeColor="text1"/>
          <w:sz w:val="16"/>
          <w:szCs w:val="16"/>
        </w:rPr>
      </w:pPr>
      <w:r w:rsidRPr="00507A31">
        <w:rPr>
          <w:color w:val="000000" w:themeColor="text1"/>
          <w:sz w:val="16"/>
          <w:szCs w:val="16"/>
        </w:rPr>
        <w:t>В конце декабря 1930 г. два опытных танка были отправлены из Нью-Йорка и прибыли в СССР в следующем месяце. Вплоть до середины весны 1931 года их устройство и конструкция изучалась как военными специалистами, так представителями АБТУ и промышленности. К примеру, 4 марта танк с номером 2051 был отправлен на склад №127 АБТУ, а 14 марта его передали в испытательный отдел, глее в течении двух дней проводилась его демонстрация под руководством начальника отдела Громова и инженера танковой станции Лаврентьева. Вплоть до 16 апреля с М1931 знакомились различные делегации руководящего состава, на которых машина Кристи произвела хорошее впечатление (17214).</w:t>
      </w:r>
    </w:p>
    <w:p w14:paraId="1584580E" w14:textId="77777777" w:rsidR="00C67F5F" w:rsidRPr="00507A31" w:rsidRDefault="00C67F5F" w:rsidP="00507A31">
      <w:pPr>
        <w:jc w:val="both"/>
        <w:rPr>
          <w:color w:val="000000" w:themeColor="text1"/>
          <w:sz w:val="16"/>
          <w:szCs w:val="16"/>
        </w:rPr>
      </w:pPr>
    </w:p>
    <w:p w14:paraId="1132C577" w14:textId="77777777" w:rsidR="006B5C92" w:rsidRPr="00507A31" w:rsidRDefault="006B5C92" w:rsidP="00507A31">
      <w:pPr>
        <w:pStyle w:val="a3"/>
        <w:rPr>
          <w:color w:val="000000" w:themeColor="text1"/>
          <w:lang w:val="ru-RU"/>
        </w:rPr>
      </w:pPr>
      <w:r w:rsidRPr="00507A31">
        <w:rPr>
          <w:color w:val="000000" w:themeColor="text1"/>
          <w:lang w:val="ru-RU"/>
        </w:rPr>
        <w:t>В конце декабря 1930 фирма Виккерс сначала обещала предъявить третий 12-тонный танк (№231) с вооружением, а затем в начале января 1931 г. В итоге танк №3 был отправлен в Мурманск на пароходе «Искра» только 19 февраля 1931 г. (15745).</w:t>
      </w:r>
    </w:p>
    <w:p w14:paraId="63CE186E" w14:textId="77777777" w:rsidR="006B5C92" w:rsidRPr="00507A31" w:rsidRDefault="006B5C92" w:rsidP="00507A31">
      <w:pPr>
        <w:pStyle w:val="a3"/>
        <w:rPr>
          <w:color w:val="000000" w:themeColor="text1"/>
          <w:lang w:val="ru-RU"/>
        </w:rPr>
      </w:pPr>
    </w:p>
    <w:p w14:paraId="748C289F"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3FFF54D9" w14:textId="77777777" w:rsidR="00537E5F" w:rsidRPr="00507A31" w:rsidRDefault="00537E5F" w:rsidP="00507A31">
      <w:pPr>
        <w:autoSpaceDE w:val="0"/>
        <w:autoSpaceDN w:val="0"/>
        <w:adjustRightInd w:val="0"/>
        <w:jc w:val="both"/>
        <w:rPr>
          <w:iCs/>
          <w:color w:val="000000" w:themeColor="text1"/>
          <w:sz w:val="16"/>
          <w:szCs w:val="16"/>
        </w:rPr>
      </w:pPr>
    </w:p>
    <w:p w14:paraId="4166D0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на совещании на заводе № 22 представители УВВС конкретизировали ТЗ на военный вариант АНТ-9. 5х50 кг бомб или 5х82 кг и 2х250 кг. Взлетный вес вырос на 10%ю Шесть шкворневых ДА (10542,29).</w:t>
      </w:r>
    </w:p>
    <w:p w14:paraId="2060D132" w14:textId="77777777" w:rsidR="00537E5F" w:rsidRPr="00507A31" w:rsidRDefault="00537E5F" w:rsidP="00507A31">
      <w:pPr>
        <w:autoSpaceDE w:val="0"/>
        <w:autoSpaceDN w:val="0"/>
        <w:adjustRightInd w:val="0"/>
        <w:jc w:val="both"/>
        <w:rPr>
          <w:color w:val="000000" w:themeColor="text1"/>
          <w:sz w:val="16"/>
          <w:szCs w:val="16"/>
        </w:rPr>
      </w:pPr>
    </w:p>
    <w:p w14:paraId="3D463C29" w14:textId="77777777" w:rsidR="006B5C92" w:rsidRPr="00507A31" w:rsidRDefault="006B5C92" w:rsidP="00507A31">
      <w:pPr>
        <w:pStyle w:val="5b"/>
        <w:shd w:val="clear" w:color="auto" w:fill="auto"/>
        <w:tabs>
          <w:tab w:val="left" w:pos="312"/>
        </w:tabs>
        <w:spacing w:before="0" w:line="240" w:lineRule="auto"/>
        <w:rPr>
          <w:color w:val="000000" w:themeColor="text1"/>
          <w:sz w:val="16"/>
          <w:szCs w:val="16"/>
        </w:rPr>
      </w:pPr>
      <w:r w:rsidRPr="00507A31">
        <w:rPr>
          <w:color w:val="000000" w:themeColor="text1"/>
          <w:sz w:val="16"/>
          <w:szCs w:val="16"/>
        </w:rPr>
        <w:t>В декабре 1930 г. завод N9 39 впервые поставил на бомбардировщик ДРП: ставилась задача просто изучить влияние стрельбы из такого орудия на прочность и управляемость машины. 76-мм пушку весом 88 кг вертикально уста</w:t>
      </w:r>
      <w:r w:rsidRPr="00507A31">
        <w:rPr>
          <w:color w:val="000000" w:themeColor="text1"/>
          <w:sz w:val="16"/>
          <w:szCs w:val="16"/>
        </w:rPr>
        <w:softHyphen/>
        <w:t>новили в бомбоотсеке на специальной ферме — «пауке», её ствол выступал на 700 мм вниз, а выход</w:t>
      </w:r>
      <w:r w:rsidRPr="00507A31">
        <w:rPr>
          <w:color w:val="000000" w:themeColor="text1"/>
          <w:sz w:val="16"/>
          <w:szCs w:val="16"/>
        </w:rPr>
        <w:softHyphen/>
        <w:t>ное сопло на 400 мм торчало вверх над обшивкой. Крепление допускало ограниченное перемещение вперед-назад по полёту, вбок же ствол не двигался. Прицельные приспособления отсутствовали.</w:t>
      </w:r>
    </w:p>
    <w:p w14:paraId="4A7ED84C" w14:textId="77777777" w:rsidR="006B5C92" w:rsidRPr="00507A31" w:rsidRDefault="006B5C92" w:rsidP="00507A31">
      <w:pPr>
        <w:pStyle w:val="5b"/>
        <w:shd w:val="clear" w:color="auto" w:fill="auto"/>
        <w:spacing w:before="0" w:line="240" w:lineRule="auto"/>
        <w:rPr>
          <w:color w:val="000000" w:themeColor="text1"/>
          <w:sz w:val="16"/>
          <w:szCs w:val="16"/>
        </w:rPr>
      </w:pPr>
      <w:r w:rsidRPr="00507A31">
        <w:rPr>
          <w:color w:val="000000" w:themeColor="text1"/>
          <w:sz w:val="16"/>
          <w:szCs w:val="16"/>
        </w:rPr>
        <w:t>Испытания провели на Кунцевском полигоне в марте 1931 г., за три дня сделали 18 выстрелов шрапнелью по земле без прицеливания. На пилотирование стрельба не повлияла, но при осмотре выявились деформации обшивки и подкрепляющих профилей, вылетели некоторые заклепки. Ни лётчик, ни заряжающий не видели, куда стреляют, но этот первый эксперимент показал, что бомбар</w:t>
      </w:r>
      <w:r w:rsidRPr="00507A31">
        <w:rPr>
          <w:color w:val="000000" w:themeColor="text1"/>
          <w:sz w:val="16"/>
          <w:szCs w:val="16"/>
        </w:rPr>
        <w:softHyphen/>
        <w:t>дировщик можно вооружить пушкой.</w:t>
      </w:r>
    </w:p>
    <w:p w14:paraId="7F3CA88F" w14:textId="77777777" w:rsidR="006B5C92" w:rsidRPr="00507A31" w:rsidRDefault="006B5C92" w:rsidP="00507A31">
      <w:pPr>
        <w:pStyle w:val="5b"/>
        <w:shd w:val="clear" w:color="auto" w:fill="auto"/>
        <w:spacing w:before="0" w:line="240" w:lineRule="auto"/>
        <w:rPr>
          <w:color w:val="000000" w:themeColor="text1"/>
          <w:sz w:val="16"/>
          <w:szCs w:val="16"/>
        </w:rPr>
      </w:pPr>
      <w:r w:rsidRPr="00507A31">
        <w:rPr>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w:t>
      </w:r>
      <w:r w:rsidRPr="00507A31">
        <w:rPr>
          <w:color w:val="000000" w:themeColor="text1"/>
          <w:sz w:val="16"/>
          <w:szCs w:val="16"/>
        </w:rPr>
        <w:softHyphen/>
        <w:t>ли, но на самолёте не испытывали. В плане Осконбюро ВВС на 1932 г. значилась некая ротативная ба</w:t>
      </w:r>
      <w:r w:rsidRPr="00507A31">
        <w:rPr>
          <w:color w:val="000000" w:themeColor="text1"/>
          <w:sz w:val="16"/>
          <w:szCs w:val="16"/>
        </w:rPr>
        <w:softHyphen/>
        <w:t>тарея из четырёх стволов калибра 76 мм. Как она выглядела, остается загадкой... (Дополнительные подр. см.: Саукке М.Б. АНТ-4 — самолёт-эпоха. Люди и судьбы. М., 2009. С. 148-149) (15823).</w:t>
      </w:r>
    </w:p>
    <w:p w14:paraId="551B64B1" w14:textId="77777777" w:rsidR="006B5C92" w:rsidRPr="00507A31" w:rsidRDefault="006B5C92" w:rsidP="00507A31">
      <w:pPr>
        <w:pStyle w:val="5b"/>
        <w:shd w:val="clear" w:color="auto" w:fill="auto"/>
        <w:spacing w:before="0" w:line="240" w:lineRule="auto"/>
        <w:rPr>
          <w:color w:val="000000" w:themeColor="text1"/>
          <w:sz w:val="16"/>
          <w:szCs w:val="16"/>
        </w:rPr>
      </w:pPr>
    </w:p>
    <w:p w14:paraId="16F2C6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 руководство ВВС по поводу И-5 констатировало: «...Производство самолетов находится в зачаточном состоянии и все прежние сроки давно про</w:t>
      </w:r>
      <w:r w:rsidRPr="00507A31">
        <w:rPr>
          <w:color w:val="000000" w:themeColor="text1"/>
          <w:sz w:val="16"/>
          <w:szCs w:val="16"/>
        </w:rPr>
        <w:softHyphen/>
        <w:t>шли». Только спустя год истребители начали выхо</w:t>
      </w:r>
      <w:r w:rsidRPr="00507A31">
        <w:rPr>
          <w:color w:val="000000" w:themeColor="text1"/>
          <w:sz w:val="16"/>
          <w:szCs w:val="16"/>
        </w:rPr>
        <w:softHyphen/>
        <w:t>дить из сборочного цеха ГАЗ № 1. Предпринималась попытка серийной постройки И-5 с мотором М-15 на Харьковском авиационном заводе и с М-22 на заводе № 22 в Филях, но после тщательного анализа различных вариантов организации массового производства было решено строить И-5 на новом заводе № 21 в г. Горьком. Бюро внедрения провело тщательную подготовку про</w:t>
      </w:r>
      <w:r w:rsidRPr="00507A31">
        <w:rPr>
          <w:color w:val="000000" w:themeColor="text1"/>
          <w:sz w:val="16"/>
          <w:szCs w:val="16"/>
        </w:rPr>
        <w:softHyphen/>
        <w:t>изводства, разработало полный комплект рабочих чер</w:t>
      </w:r>
      <w:r w:rsidRPr="00507A31">
        <w:rPr>
          <w:color w:val="000000" w:themeColor="text1"/>
          <w:sz w:val="16"/>
          <w:szCs w:val="16"/>
        </w:rPr>
        <w:softHyphen/>
        <w:t>тежей (10667).</w:t>
      </w:r>
    </w:p>
    <w:p w14:paraId="7AA77B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Выпуск истребителей И-5 по годам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45"/>
        <w:gridCol w:w="662"/>
        <w:gridCol w:w="701"/>
        <w:gridCol w:w="614"/>
        <w:gridCol w:w="653"/>
        <w:gridCol w:w="768"/>
        <w:gridCol w:w="768"/>
      </w:tblGrid>
      <w:tr w:rsidR="00E371BA" w:rsidRPr="00507A31" w14:paraId="73461C81" w14:textId="77777777">
        <w:trPr>
          <w:trHeight w:val="269"/>
        </w:trPr>
        <w:tc>
          <w:tcPr>
            <w:tcW w:w="845" w:type="dxa"/>
            <w:tcBorders>
              <w:top w:val="single" w:sz="12" w:space="0" w:color="auto"/>
            </w:tcBorders>
          </w:tcPr>
          <w:p w14:paraId="0641D6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Завод</w:t>
            </w:r>
          </w:p>
        </w:tc>
        <w:tc>
          <w:tcPr>
            <w:tcW w:w="662" w:type="dxa"/>
            <w:tcBorders>
              <w:top w:val="single" w:sz="12" w:space="0" w:color="auto"/>
            </w:tcBorders>
          </w:tcPr>
          <w:p w14:paraId="26DE11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1930</w:t>
            </w:r>
          </w:p>
        </w:tc>
        <w:tc>
          <w:tcPr>
            <w:tcW w:w="701" w:type="dxa"/>
            <w:tcBorders>
              <w:top w:val="single" w:sz="12" w:space="0" w:color="auto"/>
            </w:tcBorders>
          </w:tcPr>
          <w:p w14:paraId="3040A4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1931</w:t>
            </w:r>
          </w:p>
        </w:tc>
        <w:tc>
          <w:tcPr>
            <w:tcW w:w="614" w:type="dxa"/>
            <w:tcBorders>
              <w:top w:val="single" w:sz="12" w:space="0" w:color="auto"/>
            </w:tcBorders>
          </w:tcPr>
          <w:p w14:paraId="3AF44D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1932</w:t>
            </w:r>
          </w:p>
        </w:tc>
        <w:tc>
          <w:tcPr>
            <w:tcW w:w="653" w:type="dxa"/>
            <w:tcBorders>
              <w:top w:val="single" w:sz="12" w:space="0" w:color="auto"/>
            </w:tcBorders>
          </w:tcPr>
          <w:p w14:paraId="495855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1933</w:t>
            </w:r>
          </w:p>
        </w:tc>
        <w:tc>
          <w:tcPr>
            <w:tcW w:w="768" w:type="dxa"/>
            <w:tcBorders>
              <w:top w:val="single" w:sz="12" w:space="0" w:color="auto"/>
            </w:tcBorders>
          </w:tcPr>
          <w:p w14:paraId="5CC305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1934</w:t>
            </w:r>
          </w:p>
        </w:tc>
        <w:tc>
          <w:tcPr>
            <w:tcW w:w="768" w:type="dxa"/>
            <w:tcBorders>
              <w:top w:val="single" w:sz="12" w:space="0" w:color="auto"/>
            </w:tcBorders>
          </w:tcPr>
          <w:p w14:paraId="40AE21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tc>
      </w:tr>
      <w:tr w:rsidR="00E371BA" w:rsidRPr="00507A31" w14:paraId="2DCFC791" w14:textId="77777777">
        <w:trPr>
          <w:trHeight w:val="278"/>
        </w:trPr>
        <w:tc>
          <w:tcPr>
            <w:tcW w:w="845" w:type="dxa"/>
          </w:tcPr>
          <w:p w14:paraId="63C077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№39</w:t>
            </w:r>
          </w:p>
        </w:tc>
        <w:tc>
          <w:tcPr>
            <w:tcW w:w="662" w:type="dxa"/>
          </w:tcPr>
          <w:p w14:paraId="69C86A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w:t>
            </w:r>
          </w:p>
        </w:tc>
        <w:tc>
          <w:tcPr>
            <w:tcW w:w="701" w:type="dxa"/>
          </w:tcPr>
          <w:p w14:paraId="48B023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w:t>
            </w:r>
          </w:p>
        </w:tc>
        <w:tc>
          <w:tcPr>
            <w:tcW w:w="614" w:type="dxa"/>
          </w:tcPr>
          <w:p w14:paraId="2842F4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53" w:type="dxa"/>
          </w:tcPr>
          <w:p w14:paraId="2B9E59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768" w:type="dxa"/>
          </w:tcPr>
          <w:p w14:paraId="74D5FC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768" w:type="dxa"/>
          </w:tcPr>
          <w:p w14:paraId="505026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w:t>
            </w:r>
          </w:p>
        </w:tc>
      </w:tr>
      <w:tr w:rsidR="00E371BA" w:rsidRPr="00507A31" w14:paraId="6ED5B24C" w14:textId="77777777">
        <w:trPr>
          <w:trHeight w:val="240"/>
        </w:trPr>
        <w:tc>
          <w:tcPr>
            <w:tcW w:w="845" w:type="dxa"/>
          </w:tcPr>
          <w:p w14:paraId="1727C4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1</w:t>
            </w:r>
          </w:p>
        </w:tc>
        <w:tc>
          <w:tcPr>
            <w:tcW w:w="662" w:type="dxa"/>
          </w:tcPr>
          <w:p w14:paraId="6B9D6B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701" w:type="dxa"/>
          </w:tcPr>
          <w:p w14:paraId="113E85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66</w:t>
            </w:r>
          </w:p>
        </w:tc>
        <w:tc>
          <w:tcPr>
            <w:tcW w:w="614" w:type="dxa"/>
          </w:tcPr>
          <w:p w14:paraId="26915F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76</w:t>
            </w:r>
          </w:p>
        </w:tc>
        <w:tc>
          <w:tcPr>
            <w:tcW w:w="653" w:type="dxa"/>
          </w:tcPr>
          <w:p w14:paraId="31FCD3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768" w:type="dxa"/>
          </w:tcPr>
          <w:p w14:paraId="4B556D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768" w:type="dxa"/>
          </w:tcPr>
          <w:p w14:paraId="275123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142</w:t>
            </w:r>
          </w:p>
        </w:tc>
      </w:tr>
      <w:tr w:rsidR="00E371BA" w:rsidRPr="00507A31" w14:paraId="7918DA3D" w14:textId="77777777">
        <w:trPr>
          <w:trHeight w:val="250"/>
        </w:trPr>
        <w:tc>
          <w:tcPr>
            <w:tcW w:w="845" w:type="dxa"/>
          </w:tcPr>
          <w:p w14:paraId="172612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w:t>
            </w:r>
          </w:p>
        </w:tc>
        <w:tc>
          <w:tcPr>
            <w:tcW w:w="662" w:type="dxa"/>
          </w:tcPr>
          <w:p w14:paraId="2A964E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701" w:type="dxa"/>
          </w:tcPr>
          <w:p w14:paraId="63581C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tc>
        <w:tc>
          <w:tcPr>
            <w:tcW w:w="614" w:type="dxa"/>
          </w:tcPr>
          <w:p w14:paraId="464950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tc>
        <w:tc>
          <w:tcPr>
            <w:tcW w:w="653" w:type="dxa"/>
          </w:tcPr>
          <w:p w14:paraId="059E88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321</w:t>
            </w:r>
          </w:p>
        </w:tc>
        <w:tc>
          <w:tcPr>
            <w:tcW w:w="768" w:type="dxa"/>
          </w:tcPr>
          <w:p w14:paraId="2DEE98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330</w:t>
            </w:r>
          </w:p>
        </w:tc>
        <w:tc>
          <w:tcPr>
            <w:tcW w:w="768" w:type="dxa"/>
          </w:tcPr>
          <w:p w14:paraId="356830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661</w:t>
            </w:r>
          </w:p>
        </w:tc>
      </w:tr>
      <w:tr w:rsidR="00E371BA" w:rsidRPr="00507A31" w14:paraId="2629D1B9" w14:textId="77777777">
        <w:trPr>
          <w:trHeight w:val="278"/>
        </w:trPr>
        <w:tc>
          <w:tcPr>
            <w:tcW w:w="845" w:type="dxa"/>
            <w:tcBorders>
              <w:bottom w:val="single" w:sz="12" w:space="0" w:color="auto"/>
            </w:tcBorders>
          </w:tcPr>
          <w:p w14:paraId="4979442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w:t>
            </w:r>
          </w:p>
        </w:tc>
        <w:tc>
          <w:tcPr>
            <w:tcW w:w="662" w:type="dxa"/>
            <w:tcBorders>
              <w:bottom w:val="single" w:sz="12" w:space="0" w:color="auto"/>
            </w:tcBorders>
          </w:tcPr>
          <w:p w14:paraId="4C387E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01" w:type="dxa"/>
            <w:tcBorders>
              <w:bottom w:val="single" w:sz="12" w:space="0" w:color="auto"/>
            </w:tcBorders>
          </w:tcPr>
          <w:p w14:paraId="2E6881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70</w:t>
            </w:r>
          </w:p>
        </w:tc>
        <w:tc>
          <w:tcPr>
            <w:tcW w:w="614" w:type="dxa"/>
            <w:tcBorders>
              <w:bottom w:val="single" w:sz="12" w:space="0" w:color="auto"/>
            </w:tcBorders>
          </w:tcPr>
          <w:p w14:paraId="7A3B72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86</w:t>
            </w:r>
          </w:p>
        </w:tc>
        <w:tc>
          <w:tcPr>
            <w:tcW w:w="653" w:type="dxa"/>
            <w:tcBorders>
              <w:bottom w:val="single" w:sz="12" w:space="0" w:color="auto"/>
            </w:tcBorders>
          </w:tcPr>
          <w:p w14:paraId="5596CC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321</w:t>
            </w:r>
          </w:p>
        </w:tc>
        <w:tc>
          <w:tcPr>
            <w:tcW w:w="768" w:type="dxa"/>
            <w:tcBorders>
              <w:bottom w:val="single" w:sz="12" w:space="0" w:color="auto"/>
            </w:tcBorders>
          </w:tcPr>
          <w:p w14:paraId="1541B2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330</w:t>
            </w:r>
          </w:p>
        </w:tc>
        <w:tc>
          <w:tcPr>
            <w:tcW w:w="768" w:type="dxa"/>
            <w:tcBorders>
              <w:bottom w:val="single" w:sz="12" w:space="0" w:color="auto"/>
            </w:tcBorders>
          </w:tcPr>
          <w:p w14:paraId="1476A1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815</w:t>
            </w:r>
          </w:p>
        </w:tc>
      </w:tr>
    </w:tbl>
    <w:p w14:paraId="2D5F6C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(10667).</w:t>
      </w:r>
    </w:p>
    <w:p w14:paraId="40C0A090" w14:textId="77777777" w:rsidR="00537E5F" w:rsidRPr="00507A31" w:rsidRDefault="00537E5F" w:rsidP="00507A31">
      <w:pPr>
        <w:autoSpaceDE w:val="0"/>
        <w:autoSpaceDN w:val="0"/>
        <w:adjustRightInd w:val="0"/>
        <w:jc w:val="both"/>
        <w:rPr>
          <w:color w:val="000000" w:themeColor="text1"/>
          <w:sz w:val="16"/>
          <w:szCs w:val="16"/>
        </w:rPr>
      </w:pPr>
    </w:p>
    <w:p w14:paraId="38DC817D" w14:textId="77777777" w:rsidR="00B85E59" w:rsidRPr="00507A31" w:rsidRDefault="00B85E59" w:rsidP="00507A31">
      <w:pPr>
        <w:jc w:val="both"/>
        <w:rPr>
          <w:color w:val="000000" w:themeColor="text1"/>
          <w:sz w:val="16"/>
          <w:szCs w:val="16"/>
        </w:rPr>
      </w:pPr>
      <w:r w:rsidRPr="00507A31">
        <w:rPr>
          <w:color w:val="000000" w:themeColor="text1"/>
          <w:sz w:val="16"/>
          <w:szCs w:val="16"/>
        </w:rPr>
        <w:t>В декабре 1930 г. руководству ВВС пришлось признать, что «...Производство самолетов (И-5) находится в за</w:t>
      </w:r>
      <w:r w:rsidRPr="00507A31">
        <w:rPr>
          <w:color w:val="000000" w:themeColor="text1"/>
          <w:sz w:val="16"/>
          <w:szCs w:val="16"/>
        </w:rPr>
        <w:softHyphen/>
        <w:t>чаточном состоянии» (12295).</w:t>
      </w:r>
    </w:p>
    <w:p w14:paraId="7E6075B1" w14:textId="77777777" w:rsidR="00B85E59" w:rsidRPr="00507A31" w:rsidRDefault="00B85E59" w:rsidP="00507A31">
      <w:pPr>
        <w:jc w:val="both"/>
        <w:rPr>
          <w:color w:val="000000" w:themeColor="text1"/>
          <w:sz w:val="16"/>
          <w:szCs w:val="16"/>
        </w:rPr>
      </w:pPr>
    </w:p>
    <w:p w14:paraId="55900CF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декабре 1930 была подготовлена Сводка о состоянии опытного самолетостроения в ЦАГИ на 5 декабря 1930 года</w:t>
      </w:r>
    </w:p>
    <w:p w14:paraId="124E881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Р6</w:t>
      </w:r>
    </w:p>
    <w:p w14:paraId="69C7E02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 29 октября 1930 года передан в ЦАГИ.</w:t>
      </w:r>
    </w:p>
    <w:p w14:paraId="33F007E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Р7</w:t>
      </w:r>
    </w:p>
    <w:p w14:paraId="1A6CBFF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Испытание в НИИ закончено. Стрелковое и бомбардировочное оборудование еще не испытывалось. Согласно указания начальника ВВС самолет в серии строиться не будет.</w:t>
      </w:r>
    </w:p>
    <w:p w14:paraId="590CB79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ТБ1</w:t>
      </w:r>
    </w:p>
    <w:p w14:paraId="57EC5F1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ноября 1930 года ЦАГИ получен самолет для производства испытаний по уменьшению давления на штурвал от элеронов и устранения вибраций хвостовой части. 4 декабря 1930 года произведены два ознакомительных полета.</w:t>
      </w:r>
    </w:p>
    <w:p w14:paraId="2209E96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ТБ3</w:t>
      </w:r>
    </w:p>
    <w:p w14:paraId="714ADBC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октября 1930 года.</w:t>
      </w:r>
    </w:p>
    <w:p w14:paraId="5FDEE55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17 октября 1930 года закончена перевозка на аэродром. 26 ноября 1930 года самолет выведен из ангара. 1 ноября 1930 года состоялся первый полет. С 11 по 22 ноября 1930 года самолет был опять заведен в ангар для переделок. 26 ноября 1930 года состоялся полет. 28 ноября 1930 года состоялись два полета. 2 декабря 1930 года состоялся последний пробный полет.</w:t>
      </w:r>
    </w:p>
    <w:p w14:paraId="0512334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ТБ4</w:t>
      </w:r>
    </w:p>
    <w:p w14:paraId="2645BC0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октября 1930 года.</w:t>
      </w:r>
    </w:p>
    <w:p w14:paraId="5C4B29D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Производится проектирование и расчет крыла. Проектируются фюзеляж и шасси. Макет изготовлен.</w:t>
      </w:r>
    </w:p>
    <w:p w14:paraId="4A90FA0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И-8</w:t>
      </w:r>
    </w:p>
    <w:p w14:paraId="36D44E4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окончания 15 сентября 1930 года.</w:t>
      </w:r>
    </w:p>
    <w:p w14:paraId="09CC106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октября 1930 года перевезен на аэродром в собранном виде. 28 октября 1930 года состоялся первый вылет.</w:t>
      </w:r>
    </w:p>
    <w:p w14:paraId="749DF6A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И-12</w:t>
      </w:r>
    </w:p>
    <w:p w14:paraId="6B0BC66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Срок предъявления на гос. испытания 1 июня 1931 года</w:t>
      </w:r>
    </w:p>
    <w:p w14:paraId="3DC7023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26 ноября 1930 года ЦАГИ представил в НИИ предварительный эскизный проект одноместного самолета двухвостки с моторами Ю-VI тандем.</w:t>
      </w:r>
    </w:p>
    <w:p w14:paraId="16AC8C4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МИ-3</w:t>
      </w:r>
    </w:p>
    <w:p w14:paraId="748EAEF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Представителю 1 Управления поручено к 10 декабря 1930 года дать летно-технические требования к самолету.</w:t>
      </w:r>
    </w:p>
    <w:p w14:paraId="20DB7A3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ТШ1</w:t>
      </w:r>
    </w:p>
    <w:p w14:paraId="1EECA89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 июля 1930 года ЦАГИ представил НТК эскизный проект и 10 вариантов аэродинамических расчетов.</w:t>
      </w:r>
    </w:p>
    <w:p w14:paraId="780D429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И-4 (моноплан).</w:t>
      </w:r>
    </w:p>
    <w:p w14:paraId="2FC04D2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Работы начаты 29 декабря 1929 года.</w:t>
      </w:r>
    </w:p>
    <w:p w14:paraId="7F5BE6B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МДР-2</w:t>
      </w:r>
    </w:p>
    <w:p w14:paraId="03AE103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декабря 1930 года самолет постройкой закончен.</w:t>
      </w:r>
    </w:p>
    <w:p w14:paraId="47B1920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ВГ1</w:t>
      </w:r>
    </w:p>
    <w:p w14:paraId="023D0F2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25 ноября 1930 года состоялись испытания на привязи (6925, 130-137).</w:t>
      </w:r>
    </w:p>
    <w:p w14:paraId="7B7A6257"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211B9F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3BBE8C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1823EE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356F1101" w14:textId="77777777" w:rsidR="00537E5F" w:rsidRPr="00507A31" w:rsidRDefault="00537E5F" w:rsidP="00507A31">
      <w:pPr>
        <w:autoSpaceDE w:val="0"/>
        <w:autoSpaceDN w:val="0"/>
        <w:adjustRightInd w:val="0"/>
        <w:jc w:val="both"/>
        <w:rPr>
          <w:color w:val="000000" w:themeColor="text1"/>
          <w:sz w:val="16"/>
          <w:szCs w:val="16"/>
        </w:rPr>
      </w:pPr>
    </w:p>
    <w:p w14:paraId="00EC2F61" w14:textId="77777777" w:rsidR="00B85E59" w:rsidRPr="00507A31" w:rsidRDefault="00B85E59" w:rsidP="00507A31">
      <w:pPr>
        <w:jc w:val="both"/>
        <w:rPr>
          <w:color w:val="000000" w:themeColor="text1"/>
          <w:sz w:val="16"/>
          <w:szCs w:val="16"/>
        </w:rPr>
      </w:pPr>
      <w:r w:rsidRPr="00507A31">
        <w:rPr>
          <w:color w:val="000000" w:themeColor="text1"/>
          <w:sz w:val="16"/>
          <w:szCs w:val="16"/>
        </w:rPr>
        <w:t>В декабре 1930 г. московский завод №39 поставил 76-мм ДРП на двухмоторный бомбардировщик ТБ-1. Пушка весом 88 кг стояла вертикально в бомбоотсеке на специальной ферме - «пауке». Ее ствол выступал на 770 мм вниз, а конус выходного сопла на 400 мм торчал вверх над обшивкой. Крепление допускало ограниченное пере</w:t>
      </w:r>
      <w:r w:rsidRPr="00507A31">
        <w:rPr>
          <w:color w:val="000000" w:themeColor="text1"/>
          <w:sz w:val="16"/>
          <w:szCs w:val="16"/>
        </w:rPr>
        <w:softHyphen/>
        <w:t>мещение вперед-назад по полету, вбок же ствол не двигался. Какие-либо прицельные приспособления отсутствовали.</w:t>
      </w:r>
    </w:p>
    <w:p w14:paraId="7FE251CF" w14:textId="77777777" w:rsidR="00B85E59" w:rsidRPr="00507A31" w:rsidRDefault="00B85E59" w:rsidP="00507A31">
      <w:pPr>
        <w:jc w:val="both"/>
        <w:rPr>
          <w:color w:val="000000" w:themeColor="text1"/>
          <w:sz w:val="16"/>
          <w:szCs w:val="16"/>
        </w:rPr>
      </w:pPr>
      <w:r w:rsidRPr="00507A31">
        <w:rPr>
          <w:color w:val="000000" w:themeColor="text1"/>
          <w:sz w:val="16"/>
          <w:szCs w:val="16"/>
        </w:rPr>
        <w:t>Стрелять собирались по наземным целям с горизонтального полета. Огонь вел пилот, дергавший за шнур. Возле пушки располагался заряжающий, при стрельбе стоявший на маленькой квадратной пло</w:t>
      </w:r>
      <w:r w:rsidRPr="00507A31">
        <w:rPr>
          <w:color w:val="000000" w:themeColor="text1"/>
          <w:sz w:val="16"/>
          <w:szCs w:val="16"/>
        </w:rPr>
        <w:softHyphen/>
        <w:t>щадке. Снаряды хранились в ящиках у мест воздушных стрелков.</w:t>
      </w:r>
    </w:p>
    <w:p w14:paraId="28696D89" w14:textId="77777777" w:rsidR="00B85E59" w:rsidRPr="00507A31" w:rsidRDefault="00B85E59" w:rsidP="00507A31">
      <w:pPr>
        <w:jc w:val="both"/>
        <w:rPr>
          <w:color w:val="000000" w:themeColor="text1"/>
          <w:sz w:val="16"/>
          <w:szCs w:val="16"/>
        </w:rPr>
      </w:pPr>
      <w:r w:rsidRPr="00507A31">
        <w:rPr>
          <w:color w:val="000000" w:themeColor="text1"/>
          <w:sz w:val="16"/>
          <w:szCs w:val="16"/>
        </w:rPr>
        <w:t>Испытания велись на Кунцевском полигоне в марте 1931 г. 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w:t>
      </w:r>
    </w:p>
    <w:p w14:paraId="6F9BDF08" w14:textId="77777777" w:rsidR="00B85E59" w:rsidRPr="00507A31" w:rsidRDefault="00B85E59" w:rsidP="00507A31">
      <w:pPr>
        <w:jc w:val="both"/>
        <w:rPr>
          <w:color w:val="000000" w:themeColor="text1"/>
          <w:sz w:val="16"/>
          <w:szCs w:val="16"/>
        </w:rPr>
      </w:pPr>
      <w:r w:rsidRPr="00507A31">
        <w:rPr>
          <w:color w:val="000000" w:themeColor="text1"/>
          <w:sz w:val="16"/>
          <w:szCs w:val="16"/>
        </w:rPr>
        <w:t>Ни летчик, ни заряжающий не видели, куда стреляют. Отсутствие связи между ними вызвало немало нестыковок. Заря</w:t>
      </w:r>
      <w:r w:rsidRPr="00507A31">
        <w:rPr>
          <w:color w:val="000000" w:themeColor="text1"/>
          <w:sz w:val="16"/>
          <w:szCs w:val="16"/>
        </w:rPr>
        <w:softHyphen/>
        <w:t>жающему приходилось лазать по тесному проходу на четвереньках, таская снаряды. Но этот эксперимент доказал, что воору</w:t>
      </w:r>
      <w:r w:rsidRPr="00507A31">
        <w:rPr>
          <w:color w:val="000000" w:themeColor="text1"/>
          <w:sz w:val="16"/>
          <w:szCs w:val="16"/>
        </w:rPr>
        <w:softHyphen/>
        <w:t>жить бомбардировщик ДРП можно, хотя эффективность этого оружия оставалась спорной.</w:t>
      </w:r>
    </w:p>
    <w:p w14:paraId="49C833EF" w14:textId="77777777" w:rsidR="00B85E59" w:rsidRPr="00507A31" w:rsidRDefault="00B85E59" w:rsidP="00507A31">
      <w:pPr>
        <w:jc w:val="both"/>
        <w:rPr>
          <w:color w:val="000000" w:themeColor="text1"/>
          <w:sz w:val="16"/>
          <w:szCs w:val="16"/>
        </w:rPr>
      </w:pPr>
      <w:r w:rsidRPr="00507A31">
        <w:rPr>
          <w:color w:val="000000" w:themeColor="text1"/>
          <w:sz w:val="16"/>
          <w:szCs w:val="16"/>
        </w:rPr>
        <w:t>В 1931 г. специально для ТБ-1 спро</w:t>
      </w:r>
      <w:r w:rsidRPr="00507A31">
        <w:rPr>
          <w:color w:val="000000" w:themeColor="text1"/>
          <w:sz w:val="16"/>
          <w:szCs w:val="16"/>
        </w:rPr>
        <w:softHyphen/>
        <w:t>ектировали 76-мм нарезную «безоткатку» ДРП-76. Два таких орудия собирались установить по бортам снаружи у средней турели, за крылом. Саму пушку изготовили, но на самолете не испытывали. В плане Осо</w:t>
      </w:r>
      <w:r w:rsidRPr="00507A31">
        <w:rPr>
          <w:color w:val="000000" w:themeColor="text1"/>
          <w:sz w:val="16"/>
          <w:szCs w:val="16"/>
        </w:rPr>
        <w:softHyphen/>
        <w:t>бого конструкторского бюро (Осконбюро) ВВС на 1932 г. значилась некая «ротативная батарея» из четырех стволов калибра 76 мм. Как она должна была выглядеть - остается загадкой.</w:t>
      </w:r>
    </w:p>
    <w:p w14:paraId="207D45BF" w14:textId="77777777" w:rsidR="00B85E59" w:rsidRPr="00507A31" w:rsidRDefault="00B85E59" w:rsidP="00507A31">
      <w:pPr>
        <w:jc w:val="both"/>
        <w:rPr>
          <w:color w:val="000000" w:themeColor="text1"/>
          <w:sz w:val="16"/>
          <w:szCs w:val="16"/>
        </w:rPr>
      </w:pPr>
    </w:p>
    <w:p w14:paraId="00E975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года РВС предложил ЦАГИ создать отдел по проектированию и постройке экспериментальных машин (бесхвостые, автожиры (впоследствии были переведены в ЭАО ЦАГИ), высотные самолеты с разрезными крыльями, ракетопланы). ЦАГИ во исполнение этого решения в январе 1931 года организовало Бюро особых конструкций (БОК). БОК охватывая общую тенденцию развития авиации, изучая и применяя новые принципы летания, должен был разрабатывать, конструировать, строить и испытываьб экспериментальные машины. ЦАГИ, выделив формально начальником Бюро Чижевского В.А., реальной помощи в течении всего 1931 года не оказывало (7508, 54-58).</w:t>
      </w:r>
    </w:p>
    <w:p w14:paraId="1757E80D" w14:textId="77777777" w:rsidR="00537E5F" w:rsidRPr="00507A31" w:rsidRDefault="00537E5F" w:rsidP="00507A31">
      <w:pPr>
        <w:autoSpaceDE w:val="0"/>
        <w:autoSpaceDN w:val="0"/>
        <w:adjustRightInd w:val="0"/>
        <w:jc w:val="both"/>
        <w:rPr>
          <w:color w:val="000000" w:themeColor="text1"/>
          <w:sz w:val="16"/>
          <w:szCs w:val="16"/>
        </w:rPr>
      </w:pPr>
    </w:p>
    <w:p w14:paraId="226DFA4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декабре 1930 Гл. инженер по сухопутным самолетам Горощенко, гл. инженер по моторам Рогов подготовили:</w:t>
      </w:r>
    </w:p>
    <w:p w14:paraId="7026C2E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Список опытных самолетов, выход которых на гос. испытания по плану, утвержденному РВС, ожидался не позднее 1 января 1931 года и их состояние (6274)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568"/>
      </w:tblGrid>
      <w:tr w:rsidR="00E371BA" w:rsidRPr="00507A31" w14:paraId="043544CF" w14:textId="77777777">
        <w:tc>
          <w:tcPr>
            <w:tcW w:w="3888" w:type="dxa"/>
          </w:tcPr>
          <w:p w14:paraId="1A0F0E7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xml:space="preserve">Название </w:t>
            </w:r>
          </w:p>
        </w:tc>
        <w:tc>
          <w:tcPr>
            <w:tcW w:w="6568" w:type="dxa"/>
          </w:tcPr>
          <w:p w14:paraId="4EAAA97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ТШ2-М17</w:t>
            </w:r>
          </w:p>
        </w:tc>
      </w:tr>
      <w:tr w:rsidR="00E371BA" w:rsidRPr="00507A31" w14:paraId="6313D89A" w14:textId="77777777">
        <w:tc>
          <w:tcPr>
            <w:tcW w:w="3888" w:type="dxa"/>
          </w:tcPr>
          <w:p w14:paraId="0A9D5A3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Установленный срок выхода на гос. испытания по плану</w:t>
            </w:r>
          </w:p>
        </w:tc>
        <w:tc>
          <w:tcPr>
            <w:tcW w:w="6568" w:type="dxa"/>
          </w:tcPr>
          <w:p w14:paraId="519BDA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декабря 1930 года</w:t>
            </w:r>
          </w:p>
        </w:tc>
      </w:tr>
      <w:tr w:rsidR="00E371BA" w:rsidRPr="00507A31" w14:paraId="053A522F" w14:textId="77777777">
        <w:tc>
          <w:tcPr>
            <w:tcW w:w="3888" w:type="dxa"/>
          </w:tcPr>
          <w:p w14:paraId="0B69711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Опоздание на 1 декабря 1930 года</w:t>
            </w:r>
          </w:p>
        </w:tc>
        <w:tc>
          <w:tcPr>
            <w:tcW w:w="6568" w:type="dxa"/>
          </w:tcPr>
          <w:p w14:paraId="6724AE2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Не было</w:t>
            </w:r>
          </w:p>
        </w:tc>
      </w:tr>
      <w:tr w:rsidR="00E371BA" w:rsidRPr="00507A31" w14:paraId="409E42F6" w14:textId="77777777">
        <w:tc>
          <w:tcPr>
            <w:tcW w:w="3888" w:type="dxa"/>
          </w:tcPr>
          <w:p w14:paraId="296F8F2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Фактическое состояние на 15 января 1931 года</w:t>
            </w:r>
          </w:p>
        </w:tc>
        <w:tc>
          <w:tcPr>
            <w:tcW w:w="6568" w:type="dxa"/>
          </w:tcPr>
          <w:p w14:paraId="37D34F8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Закончено испытание. Самолет ввиду недостаточной мощности мотора и дефектов гликолевого охлаждения в представленном виде на снабжение принят быть не может. Готовится экземпляр этого самолета с М27, который выйдет к 20 февраля 1931 года</w:t>
            </w:r>
          </w:p>
        </w:tc>
      </w:tr>
      <w:tr w:rsidR="00E371BA" w:rsidRPr="00507A31" w14:paraId="21E1EB4F" w14:textId="77777777">
        <w:tc>
          <w:tcPr>
            <w:tcW w:w="3888" w:type="dxa"/>
          </w:tcPr>
          <w:p w14:paraId="127BA03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xml:space="preserve">Название </w:t>
            </w:r>
          </w:p>
        </w:tc>
        <w:tc>
          <w:tcPr>
            <w:tcW w:w="6568" w:type="dxa"/>
          </w:tcPr>
          <w:p w14:paraId="2BBD8D4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МДР2-М17</w:t>
            </w:r>
          </w:p>
        </w:tc>
      </w:tr>
      <w:tr w:rsidR="00E371BA" w:rsidRPr="00507A31" w14:paraId="045A9B50" w14:textId="77777777">
        <w:tc>
          <w:tcPr>
            <w:tcW w:w="3888" w:type="dxa"/>
          </w:tcPr>
          <w:p w14:paraId="730CFB9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Установленный срок выхода на гос. испытания по плану</w:t>
            </w:r>
          </w:p>
        </w:tc>
        <w:tc>
          <w:tcPr>
            <w:tcW w:w="6568" w:type="dxa"/>
          </w:tcPr>
          <w:p w14:paraId="541D553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декабря 1930 года</w:t>
            </w:r>
          </w:p>
        </w:tc>
      </w:tr>
      <w:tr w:rsidR="00E371BA" w:rsidRPr="00507A31" w14:paraId="57672AA6" w14:textId="77777777">
        <w:tc>
          <w:tcPr>
            <w:tcW w:w="3888" w:type="dxa"/>
          </w:tcPr>
          <w:p w14:paraId="2305035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Опоздание на 1 декабря 1930 года</w:t>
            </w:r>
          </w:p>
        </w:tc>
        <w:tc>
          <w:tcPr>
            <w:tcW w:w="6568" w:type="dxa"/>
          </w:tcPr>
          <w:p w14:paraId="125EBC3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только построен.</w:t>
            </w:r>
          </w:p>
        </w:tc>
      </w:tr>
      <w:tr w:rsidR="00E371BA" w:rsidRPr="00507A31" w14:paraId="1AD133FE" w14:textId="77777777">
        <w:tc>
          <w:tcPr>
            <w:tcW w:w="3888" w:type="dxa"/>
          </w:tcPr>
          <w:p w14:paraId="2BDC03A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Фактическое состояние на 15 января 1931 года</w:t>
            </w:r>
          </w:p>
        </w:tc>
        <w:tc>
          <w:tcPr>
            <w:tcW w:w="6568" w:type="dxa"/>
          </w:tcPr>
          <w:p w14:paraId="32845C2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окончен постройкой в срок, т.е. 1 декабря 1930 года. Отправлен ж/д в Севастополь. Самолет собран и подготовлен к испытаниям, которые начнутся 25 января 1931 года. Опоздание на 1 месяц 25 дней.</w:t>
            </w:r>
          </w:p>
        </w:tc>
      </w:tr>
      <w:tr w:rsidR="00E371BA" w:rsidRPr="00507A31" w14:paraId="1347B1E8" w14:textId="77777777">
        <w:tc>
          <w:tcPr>
            <w:tcW w:w="3888" w:type="dxa"/>
          </w:tcPr>
          <w:p w14:paraId="66C4649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xml:space="preserve">Название </w:t>
            </w:r>
          </w:p>
        </w:tc>
        <w:tc>
          <w:tcPr>
            <w:tcW w:w="6568" w:type="dxa"/>
          </w:tcPr>
          <w:p w14:paraId="17542CC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Р5-М19</w:t>
            </w:r>
          </w:p>
        </w:tc>
      </w:tr>
      <w:tr w:rsidR="00E371BA" w:rsidRPr="00507A31" w14:paraId="484A537A" w14:textId="77777777">
        <w:tc>
          <w:tcPr>
            <w:tcW w:w="3888" w:type="dxa"/>
          </w:tcPr>
          <w:p w14:paraId="4080C74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Установленный срок выхода на гос. испытания по плану</w:t>
            </w:r>
          </w:p>
        </w:tc>
        <w:tc>
          <w:tcPr>
            <w:tcW w:w="6568" w:type="dxa"/>
          </w:tcPr>
          <w:p w14:paraId="276AD3C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декабря 1930 года</w:t>
            </w:r>
          </w:p>
        </w:tc>
      </w:tr>
      <w:tr w:rsidR="00E371BA" w:rsidRPr="00507A31" w14:paraId="4081776D" w14:textId="77777777">
        <w:tc>
          <w:tcPr>
            <w:tcW w:w="3888" w:type="dxa"/>
          </w:tcPr>
          <w:p w14:paraId="66714A4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Опоздание на 1 декабря 1930 года</w:t>
            </w:r>
          </w:p>
        </w:tc>
        <w:tc>
          <w:tcPr>
            <w:tcW w:w="6568" w:type="dxa"/>
          </w:tcPr>
          <w:p w14:paraId="233B99A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46D2B78F" w14:textId="77777777">
        <w:tc>
          <w:tcPr>
            <w:tcW w:w="3888" w:type="dxa"/>
          </w:tcPr>
          <w:p w14:paraId="41CF647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Фактическое состояние на 15 января 1931 года</w:t>
            </w:r>
          </w:p>
        </w:tc>
        <w:tc>
          <w:tcPr>
            <w:tcW w:w="6568" w:type="dxa"/>
          </w:tcPr>
          <w:p w14:paraId="4C4D26B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Самолет с М19 ожидается 1 февраля 1931 года. Задержка объясняется непредставлением заводу № 39 в срок мотора М19, последний получен на завод в начале января 1931 года.</w:t>
            </w:r>
          </w:p>
        </w:tc>
      </w:tr>
      <w:tr w:rsidR="00E371BA" w:rsidRPr="00507A31" w14:paraId="44B6D62D" w14:textId="77777777">
        <w:tc>
          <w:tcPr>
            <w:tcW w:w="3888" w:type="dxa"/>
          </w:tcPr>
          <w:p w14:paraId="1CD8BF9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xml:space="preserve">Название </w:t>
            </w:r>
          </w:p>
        </w:tc>
        <w:tc>
          <w:tcPr>
            <w:tcW w:w="6568" w:type="dxa"/>
          </w:tcPr>
          <w:p w14:paraId="4239F69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И5-М15 постановление РВС 13 сентября 1930 года № 20</w:t>
            </w:r>
          </w:p>
        </w:tc>
      </w:tr>
      <w:tr w:rsidR="00E371BA" w:rsidRPr="00507A31" w14:paraId="47336509" w14:textId="77777777">
        <w:tc>
          <w:tcPr>
            <w:tcW w:w="3888" w:type="dxa"/>
          </w:tcPr>
          <w:p w14:paraId="354360D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Установленный срок выхода на гос. испытания по плану</w:t>
            </w:r>
          </w:p>
        </w:tc>
        <w:tc>
          <w:tcPr>
            <w:tcW w:w="6568" w:type="dxa"/>
          </w:tcPr>
          <w:p w14:paraId="74E66EB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октября 1930 года</w:t>
            </w:r>
          </w:p>
        </w:tc>
      </w:tr>
      <w:tr w:rsidR="00E371BA" w:rsidRPr="00507A31" w14:paraId="7B9D860B" w14:textId="77777777">
        <w:tc>
          <w:tcPr>
            <w:tcW w:w="3888" w:type="dxa"/>
          </w:tcPr>
          <w:p w14:paraId="19B7E76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Опоздание на 1 декабря 1930 года</w:t>
            </w:r>
          </w:p>
        </w:tc>
        <w:tc>
          <w:tcPr>
            <w:tcW w:w="6568" w:type="dxa"/>
          </w:tcPr>
          <w:p w14:paraId="3F35522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месяца</w:t>
            </w:r>
          </w:p>
        </w:tc>
      </w:tr>
      <w:tr w:rsidR="00E371BA" w:rsidRPr="00507A31" w14:paraId="50BA32CF" w14:textId="77777777">
        <w:tc>
          <w:tcPr>
            <w:tcW w:w="3888" w:type="dxa"/>
          </w:tcPr>
          <w:p w14:paraId="652C591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Фактическое состояние на 15 января 1931 года</w:t>
            </w:r>
          </w:p>
        </w:tc>
        <w:tc>
          <w:tcPr>
            <w:tcW w:w="6568" w:type="dxa"/>
          </w:tcPr>
          <w:p w14:paraId="7161D1C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Передан на испытание к первой декаде декабря 1930 года. До настоящего времени сделано только 4 полета ввиду неполадок в моторе.</w:t>
            </w:r>
          </w:p>
        </w:tc>
      </w:tr>
      <w:tr w:rsidR="00E371BA" w:rsidRPr="00507A31" w14:paraId="01692CEC" w14:textId="77777777">
        <w:tc>
          <w:tcPr>
            <w:tcW w:w="3888" w:type="dxa"/>
          </w:tcPr>
          <w:p w14:paraId="123C15E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xml:space="preserve">Название </w:t>
            </w:r>
          </w:p>
        </w:tc>
        <w:tc>
          <w:tcPr>
            <w:tcW w:w="6568" w:type="dxa"/>
          </w:tcPr>
          <w:p w14:paraId="2622001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М-27</w:t>
            </w:r>
          </w:p>
        </w:tc>
      </w:tr>
      <w:tr w:rsidR="00E371BA" w:rsidRPr="00507A31" w14:paraId="2914AAA3" w14:textId="77777777">
        <w:tc>
          <w:tcPr>
            <w:tcW w:w="3888" w:type="dxa"/>
          </w:tcPr>
          <w:p w14:paraId="3AED1BA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Установленный срок выхода на гос. испытания по плану</w:t>
            </w:r>
          </w:p>
        </w:tc>
        <w:tc>
          <w:tcPr>
            <w:tcW w:w="6568" w:type="dxa"/>
          </w:tcPr>
          <w:p w14:paraId="354B69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января 1931 года</w:t>
            </w:r>
          </w:p>
        </w:tc>
      </w:tr>
      <w:tr w:rsidR="00E371BA" w:rsidRPr="00507A31" w14:paraId="3EED37F7" w14:textId="77777777">
        <w:tc>
          <w:tcPr>
            <w:tcW w:w="3888" w:type="dxa"/>
          </w:tcPr>
          <w:p w14:paraId="18E2F10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Опоздание на 1 декабря 1930 года</w:t>
            </w:r>
          </w:p>
        </w:tc>
        <w:tc>
          <w:tcPr>
            <w:tcW w:w="6568" w:type="dxa"/>
          </w:tcPr>
          <w:p w14:paraId="5544794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Нет</w:t>
            </w:r>
          </w:p>
        </w:tc>
      </w:tr>
      <w:tr w:rsidR="00E371BA" w:rsidRPr="00507A31" w14:paraId="0F7BBA00" w14:textId="77777777">
        <w:tc>
          <w:tcPr>
            <w:tcW w:w="3888" w:type="dxa"/>
          </w:tcPr>
          <w:p w14:paraId="2D88C7C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Фактическое состояние на 15 января 1931 года</w:t>
            </w:r>
          </w:p>
        </w:tc>
        <w:tc>
          <w:tcPr>
            <w:tcW w:w="6568" w:type="dxa"/>
          </w:tcPr>
          <w:p w14:paraId="736547A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Мотор прошел 100-часовые гос. испытания</w:t>
            </w:r>
          </w:p>
        </w:tc>
      </w:tr>
      <w:tr w:rsidR="00E371BA" w:rsidRPr="00507A31" w14:paraId="5E1F8B04" w14:textId="77777777">
        <w:tc>
          <w:tcPr>
            <w:tcW w:w="3888" w:type="dxa"/>
          </w:tcPr>
          <w:p w14:paraId="189B591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xml:space="preserve">Название </w:t>
            </w:r>
          </w:p>
        </w:tc>
        <w:tc>
          <w:tcPr>
            <w:tcW w:w="6568" w:type="dxa"/>
          </w:tcPr>
          <w:p w14:paraId="1AB6491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ФЭД</w:t>
            </w:r>
          </w:p>
        </w:tc>
      </w:tr>
      <w:tr w:rsidR="00E371BA" w:rsidRPr="00507A31" w14:paraId="77B55882" w14:textId="77777777">
        <w:tc>
          <w:tcPr>
            <w:tcW w:w="3888" w:type="dxa"/>
          </w:tcPr>
          <w:p w14:paraId="7B24FC1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Установленный срок выхода на гос. испытания по плану</w:t>
            </w:r>
          </w:p>
        </w:tc>
        <w:tc>
          <w:tcPr>
            <w:tcW w:w="6568" w:type="dxa"/>
          </w:tcPr>
          <w:p w14:paraId="54E887F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января 1931 года</w:t>
            </w:r>
          </w:p>
        </w:tc>
      </w:tr>
      <w:tr w:rsidR="00E371BA" w:rsidRPr="00507A31" w14:paraId="4A19E563" w14:textId="77777777">
        <w:tc>
          <w:tcPr>
            <w:tcW w:w="3888" w:type="dxa"/>
          </w:tcPr>
          <w:p w14:paraId="0311798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Опоздание на 1 декабря 1930 года</w:t>
            </w:r>
          </w:p>
        </w:tc>
        <w:tc>
          <w:tcPr>
            <w:tcW w:w="6568" w:type="dxa"/>
          </w:tcPr>
          <w:p w14:paraId="506EEA28"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0ED8C1B3" w14:textId="77777777">
        <w:tc>
          <w:tcPr>
            <w:tcW w:w="3888" w:type="dxa"/>
          </w:tcPr>
          <w:p w14:paraId="5E81E42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Фактическое состояние на 15 января 1931 года</w:t>
            </w:r>
          </w:p>
        </w:tc>
        <w:tc>
          <w:tcPr>
            <w:tcW w:w="6568" w:type="dxa"/>
          </w:tcPr>
          <w:p w14:paraId="381B6AB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Мотор задержался в производстве. Мотор собирается для постановки на заводские испытания. Ориентировочный срок предъявления на гос. испытания – февраль 1931 года.</w:t>
            </w:r>
          </w:p>
        </w:tc>
      </w:tr>
      <w:tr w:rsidR="00E371BA" w:rsidRPr="00507A31" w14:paraId="10AE1E82" w14:textId="77777777">
        <w:tc>
          <w:tcPr>
            <w:tcW w:w="3888" w:type="dxa"/>
          </w:tcPr>
          <w:p w14:paraId="2C8BA8C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xml:space="preserve">Название </w:t>
            </w:r>
          </w:p>
        </w:tc>
        <w:tc>
          <w:tcPr>
            <w:tcW w:w="6568" w:type="dxa"/>
          </w:tcPr>
          <w:p w14:paraId="04D5947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М-26</w:t>
            </w:r>
          </w:p>
        </w:tc>
      </w:tr>
      <w:tr w:rsidR="00E371BA" w:rsidRPr="00507A31" w14:paraId="55595AE2" w14:textId="77777777">
        <w:tc>
          <w:tcPr>
            <w:tcW w:w="3888" w:type="dxa"/>
          </w:tcPr>
          <w:p w14:paraId="02D5235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Установленный срок выхода на гос. испытания по плану</w:t>
            </w:r>
          </w:p>
        </w:tc>
        <w:tc>
          <w:tcPr>
            <w:tcW w:w="6568" w:type="dxa"/>
          </w:tcPr>
          <w:p w14:paraId="45B895D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октября 1930 года</w:t>
            </w:r>
          </w:p>
        </w:tc>
      </w:tr>
      <w:tr w:rsidR="00E371BA" w:rsidRPr="00507A31" w14:paraId="228242D6" w14:textId="77777777">
        <w:tc>
          <w:tcPr>
            <w:tcW w:w="3888" w:type="dxa"/>
          </w:tcPr>
          <w:p w14:paraId="600071A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Опоздание на 1 декабря 1930 года</w:t>
            </w:r>
          </w:p>
        </w:tc>
        <w:tc>
          <w:tcPr>
            <w:tcW w:w="6568" w:type="dxa"/>
          </w:tcPr>
          <w:p w14:paraId="0C1526E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 2 месяца</w:t>
            </w:r>
          </w:p>
        </w:tc>
      </w:tr>
      <w:tr w:rsidR="00E371BA" w:rsidRPr="00507A31" w14:paraId="5F7DF0A1" w14:textId="77777777">
        <w:tc>
          <w:tcPr>
            <w:tcW w:w="3888" w:type="dxa"/>
          </w:tcPr>
          <w:p w14:paraId="7A4ADA3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Фактическое состояние на 15 января 1931 года</w:t>
            </w:r>
          </w:p>
        </w:tc>
        <w:tc>
          <w:tcPr>
            <w:tcW w:w="6568" w:type="dxa"/>
          </w:tcPr>
          <w:p w14:paraId="24A16A7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Мотор задержался в производстве. Мотор собирается для постановки на заводские испытания. Ориентировочный срок для предъявления на гос. испытания – февраль 1931 года.</w:t>
            </w:r>
          </w:p>
        </w:tc>
      </w:tr>
      <w:tr w:rsidR="00E371BA" w:rsidRPr="00507A31" w14:paraId="7F72D2A5" w14:textId="77777777">
        <w:tc>
          <w:tcPr>
            <w:tcW w:w="3888" w:type="dxa"/>
          </w:tcPr>
          <w:p w14:paraId="7D85406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xml:space="preserve">Название </w:t>
            </w:r>
          </w:p>
        </w:tc>
        <w:tc>
          <w:tcPr>
            <w:tcW w:w="6568" w:type="dxa"/>
          </w:tcPr>
          <w:p w14:paraId="7C05A40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М-19</w:t>
            </w:r>
          </w:p>
        </w:tc>
      </w:tr>
      <w:tr w:rsidR="00E371BA" w:rsidRPr="00507A31" w14:paraId="553E8835" w14:textId="77777777">
        <w:tc>
          <w:tcPr>
            <w:tcW w:w="3888" w:type="dxa"/>
          </w:tcPr>
          <w:p w14:paraId="7307FB0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Установленный срок выхода на гос. испытания по плану</w:t>
            </w:r>
          </w:p>
        </w:tc>
        <w:tc>
          <w:tcPr>
            <w:tcW w:w="6568" w:type="dxa"/>
          </w:tcPr>
          <w:p w14:paraId="143520F8"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7E2A3C3E" w14:textId="77777777">
        <w:tc>
          <w:tcPr>
            <w:tcW w:w="3888" w:type="dxa"/>
          </w:tcPr>
          <w:p w14:paraId="5AFC495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Опоздание на 1 декабря 1930 года</w:t>
            </w:r>
          </w:p>
        </w:tc>
        <w:tc>
          <w:tcPr>
            <w:tcW w:w="6568" w:type="dxa"/>
          </w:tcPr>
          <w:p w14:paraId="1B96AAF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1F53614F" w14:textId="77777777">
        <w:tc>
          <w:tcPr>
            <w:tcW w:w="3888" w:type="dxa"/>
          </w:tcPr>
          <w:p w14:paraId="3556074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Фактическое состояние на 15 января 1931 года</w:t>
            </w:r>
          </w:p>
        </w:tc>
        <w:tc>
          <w:tcPr>
            <w:tcW w:w="6568" w:type="dxa"/>
          </w:tcPr>
          <w:p w14:paraId="406289F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Мотор прошел 100-часовые гос. испытания и устанавливается на самолет Р5 для проведения летных испытаний Р5.</w:t>
            </w:r>
          </w:p>
        </w:tc>
      </w:tr>
    </w:tbl>
    <w:p w14:paraId="5CC8DD5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(6274, 81-82).</w:t>
      </w:r>
    </w:p>
    <w:p w14:paraId="20E0B4B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678297D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декабре 1930 была подготовлена</w:t>
      </w:r>
    </w:p>
    <w:p w14:paraId="1808038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Сводная таблица ориентировочных военно-тактических данных самолетов по плану опытного строительства ЦКБ на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568"/>
      </w:tblGrid>
      <w:tr w:rsidR="00E371BA" w:rsidRPr="00507A31" w14:paraId="03A2395D" w14:textId="77777777">
        <w:tc>
          <w:tcPr>
            <w:tcW w:w="3888" w:type="dxa"/>
          </w:tcPr>
          <w:p w14:paraId="067B0AA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Название самолета</w:t>
            </w:r>
          </w:p>
        </w:tc>
        <w:tc>
          <w:tcPr>
            <w:tcW w:w="6568" w:type="dxa"/>
          </w:tcPr>
          <w:p w14:paraId="3954C1F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МБР-2</w:t>
            </w:r>
          </w:p>
        </w:tc>
      </w:tr>
      <w:tr w:rsidR="00E371BA" w:rsidRPr="00507A31" w14:paraId="1E3DBA60" w14:textId="77777777">
        <w:tc>
          <w:tcPr>
            <w:tcW w:w="3888" w:type="dxa"/>
          </w:tcPr>
          <w:p w14:paraId="017F585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Ориентировочный вес самолета с нормальной загрузкой</w:t>
            </w:r>
          </w:p>
        </w:tc>
        <w:tc>
          <w:tcPr>
            <w:tcW w:w="6568" w:type="dxa"/>
          </w:tcPr>
          <w:p w14:paraId="0D6CB3E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3600</w:t>
            </w:r>
          </w:p>
        </w:tc>
      </w:tr>
      <w:tr w:rsidR="00E371BA" w:rsidRPr="00507A31" w14:paraId="2D3AA01F" w14:textId="77777777">
        <w:tc>
          <w:tcPr>
            <w:tcW w:w="3888" w:type="dxa"/>
          </w:tcPr>
          <w:p w14:paraId="4123A89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Тактическое назначение самолета</w:t>
            </w:r>
          </w:p>
        </w:tc>
        <w:tc>
          <w:tcPr>
            <w:tcW w:w="6568" w:type="dxa"/>
          </w:tcPr>
          <w:p w14:paraId="100865E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Морской базовый разведчик. Разведка моря вблизи баз и разведка побережья. Ближняя сторожевая служба 30% полетов на бомбардирование подводных и земных объектов и борьба с подводными лодками.</w:t>
            </w:r>
          </w:p>
        </w:tc>
      </w:tr>
      <w:tr w:rsidR="00E371BA" w:rsidRPr="00507A31" w14:paraId="5DECAA65" w14:textId="77777777">
        <w:tc>
          <w:tcPr>
            <w:tcW w:w="3888" w:type="dxa"/>
          </w:tcPr>
          <w:p w14:paraId="3D1D7E2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 или время полета</w:t>
            </w:r>
          </w:p>
        </w:tc>
        <w:tc>
          <w:tcPr>
            <w:tcW w:w="6568" w:type="dxa"/>
          </w:tcPr>
          <w:p w14:paraId="2F7CB30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Дальность 700 км</w:t>
            </w:r>
          </w:p>
        </w:tc>
      </w:tr>
      <w:tr w:rsidR="00E371BA" w:rsidRPr="00507A31" w14:paraId="0088593F" w14:textId="77777777">
        <w:tc>
          <w:tcPr>
            <w:tcW w:w="3888" w:type="dxa"/>
          </w:tcPr>
          <w:p w14:paraId="5B51CDE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6568" w:type="dxa"/>
          </w:tcPr>
          <w:p w14:paraId="6C547E9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Норм. – 3 чел., за счет перегрузки – 4 чел.</w:t>
            </w:r>
          </w:p>
        </w:tc>
      </w:tr>
      <w:tr w:rsidR="00E371BA" w:rsidRPr="00507A31" w14:paraId="4ED5AC03" w14:textId="77777777">
        <w:tc>
          <w:tcPr>
            <w:tcW w:w="3888" w:type="dxa"/>
          </w:tcPr>
          <w:p w14:paraId="09D46DF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Сбрасываемый или спецгруз</w:t>
            </w:r>
          </w:p>
        </w:tc>
        <w:tc>
          <w:tcPr>
            <w:tcW w:w="6568" w:type="dxa"/>
          </w:tcPr>
          <w:p w14:paraId="358BCA1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 счет перегрузки 500 кг</w:t>
            </w:r>
          </w:p>
        </w:tc>
      </w:tr>
      <w:tr w:rsidR="00E371BA" w:rsidRPr="00507A31" w14:paraId="0F142E79" w14:textId="77777777">
        <w:tc>
          <w:tcPr>
            <w:tcW w:w="3888" w:type="dxa"/>
          </w:tcPr>
          <w:p w14:paraId="7634DFC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6568" w:type="dxa"/>
          </w:tcPr>
          <w:p w14:paraId="6579DCB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Два пулеметных гнезда с двумя пулеметами ДА и 16 магазинами каждое. Держатели: 82-100 кг бомб, 8-10 кг бомб, 250 кг бомб</w:t>
            </w:r>
          </w:p>
        </w:tc>
      </w:tr>
      <w:tr w:rsidR="00E371BA" w:rsidRPr="00507A31" w14:paraId="54AEC802" w14:textId="77777777">
        <w:tc>
          <w:tcPr>
            <w:tcW w:w="3888" w:type="dxa"/>
          </w:tcPr>
          <w:p w14:paraId="144785F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Примечание</w:t>
            </w:r>
          </w:p>
        </w:tc>
        <w:tc>
          <w:tcPr>
            <w:tcW w:w="6568" w:type="dxa"/>
          </w:tcPr>
          <w:p w14:paraId="16EB1C71"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7D467A98" w14:textId="77777777">
        <w:tc>
          <w:tcPr>
            <w:tcW w:w="3888" w:type="dxa"/>
          </w:tcPr>
          <w:p w14:paraId="503BCDF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Название самолета</w:t>
            </w:r>
          </w:p>
        </w:tc>
        <w:tc>
          <w:tcPr>
            <w:tcW w:w="6568" w:type="dxa"/>
          </w:tcPr>
          <w:p w14:paraId="2159636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ПГР</w:t>
            </w:r>
          </w:p>
        </w:tc>
      </w:tr>
      <w:tr w:rsidR="00E371BA" w:rsidRPr="00507A31" w14:paraId="04C895FF" w14:textId="77777777">
        <w:tc>
          <w:tcPr>
            <w:tcW w:w="3888" w:type="dxa"/>
          </w:tcPr>
          <w:p w14:paraId="13DA0AD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Ориентировочный вес самолета с нормальной загрузкой</w:t>
            </w:r>
          </w:p>
        </w:tc>
        <w:tc>
          <w:tcPr>
            <w:tcW w:w="6568" w:type="dxa"/>
          </w:tcPr>
          <w:p w14:paraId="2EDD8F2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4500</w:t>
            </w:r>
          </w:p>
        </w:tc>
      </w:tr>
      <w:tr w:rsidR="00E371BA" w:rsidRPr="00507A31" w14:paraId="7673D73B" w14:textId="77777777">
        <w:tc>
          <w:tcPr>
            <w:tcW w:w="3888" w:type="dxa"/>
          </w:tcPr>
          <w:p w14:paraId="1E2F032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Тактическое назначение самолета</w:t>
            </w:r>
          </w:p>
        </w:tc>
        <w:tc>
          <w:tcPr>
            <w:tcW w:w="6568" w:type="dxa"/>
          </w:tcPr>
          <w:p w14:paraId="0C9976E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Приспособленный для военных целей пассажирский самолет. Назначение: ночная бомбардировка и выливание ОВ. Доставка бензина на передовые аэродромы.</w:t>
            </w:r>
          </w:p>
        </w:tc>
      </w:tr>
      <w:tr w:rsidR="00E371BA" w:rsidRPr="00507A31" w14:paraId="4B769683" w14:textId="77777777">
        <w:tc>
          <w:tcPr>
            <w:tcW w:w="3888" w:type="dxa"/>
          </w:tcPr>
          <w:p w14:paraId="5514E5A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 или время полета</w:t>
            </w:r>
          </w:p>
        </w:tc>
        <w:tc>
          <w:tcPr>
            <w:tcW w:w="6568" w:type="dxa"/>
          </w:tcPr>
          <w:p w14:paraId="1DBBDF6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Дальность 600 км</w:t>
            </w:r>
          </w:p>
        </w:tc>
      </w:tr>
      <w:tr w:rsidR="00E371BA" w:rsidRPr="00507A31" w14:paraId="71E0C1D4" w14:textId="77777777">
        <w:tc>
          <w:tcPr>
            <w:tcW w:w="3888" w:type="dxa"/>
          </w:tcPr>
          <w:p w14:paraId="1F78F17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6568" w:type="dxa"/>
          </w:tcPr>
          <w:p w14:paraId="7DD5105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 чел.</w:t>
            </w:r>
          </w:p>
        </w:tc>
      </w:tr>
      <w:tr w:rsidR="00E371BA" w:rsidRPr="00507A31" w14:paraId="423D3D85" w14:textId="77777777">
        <w:tc>
          <w:tcPr>
            <w:tcW w:w="3888" w:type="dxa"/>
          </w:tcPr>
          <w:p w14:paraId="5678D55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Сбрасываемый или спецгруз</w:t>
            </w:r>
          </w:p>
        </w:tc>
        <w:tc>
          <w:tcPr>
            <w:tcW w:w="6568" w:type="dxa"/>
          </w:tcPr>
          <w:p w14:paraId="749CE65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Нормальная – 600-700 кг, с перегрузкой – 1000 кг</w:t>
            </w:r>
          </w:p>
        </w:tc>
      </w:tr>
      <w:tr w:rsidR="00E371BA" w:rsidRPr="00507A31" w14:paraId="69EF3A17" w14:textId="77777777">
        <w:tc>
          <w:tcPr>
            <w:tcW w:w="3888" w:type="dxa"/>
          </w:tcPr>
          <w:p w14:paraId="426DEDD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6568" w:type="dxa"/>
          </w:tcPr>
          <w:p w14:paraId="0E4AE2E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пулеметное гнездо с двумя пулеметами ДА и 16 магазинами. Держатели: для 50-100 кг бомб и для 250 кг бомб, зажигательных бомб, приборов ВАП</w:t>
            </w:r>
          </w:p>
        </w:tc>
      </w:tr>
      <w:tr w:rsidR="00E371BA" w:rsidRPr="00507A31" w14:paraId="39DA1727" w14:textId="77777777">
        <w:tc>
          <w:tcPr>
            <w:tcW w:w="3888" w:type="dxa"/>
          </w:tcPr>
          <w:p w14:paraId="1994687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Примечание</w:t>
            </w:r>
          </w:p>
        </w:tc>
        <w:tc>
          <w:tcPr>
            <w:tcW w:w="6568" w:type="dxa"/>
          </w:tcPr>
          <w:p w14:paraId="6D78441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54268368" w14:textId="77777777">
        <w:tc>
          <w:tcPr>
            <w:tcW w:w="3888" w:type="dxa"/>
          </w:tcPr>
          <w:p w14:paraId="7EB70E8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Название самолета</w:t>
            </w:r>
          </w:p>
        </w:tc>
        <w:tc>
          <w:tcPr>
            <w:tcW w:w="6568" w:type="dxa"/>
          </w:tcPr>
          <w:p w14:paraId="4FB454D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ДИ5</w:t>
            </w:r>
          </w:p>
        </w:tc>
      </w:tr>
      <w:tr w:rsidR="00E371BA" w:rsidRPr="00507A31" w14:paraId="22525265" w14:textId="77777777">
        <w:tc>
          <w:tcPr>
            <w:tcW w:w="3888" w:type="dxa"/>
          </w:tcPr>
          <w:p w14:paraId="648C106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Ориентировочный вес самолета с нормальной загрузкой</w:t>
            </w:r>
          </w:p>
        </w:tc>
        <w:tc>
          <w:tcPr>
            <w:tcW w:w="6568" w:type="dxa"/>
          </w:tcPr>
          <w:p w14:paraId="6C5F627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3000-3200</w:t>
            </w:r>
          </w:p>
        </w:tc>
      </w:tr>
      <w:tr w:rsidR="00E371BA" w:rsidRPr="00507A31" w14:paraId="334116F3" w14:textId="77777777">
        <w:tc>
          <w:tcPr>
            <w:tcW w:w="3888" w:type="dxa"/>
          </w:tcPr>
          <w:p w14:paraId="4B2F9F4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Тактическое назначение самолета</w:t>
            </w:r>
          </w:p>
        </w:tc>
        <w:tc>
          <w:tcPr>
            <w:tcW w:w="6568" w:type="dxa"/>
          </w:tcPr>
          <w:p w14:paraId="7CFDE4D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Основное назначение: наступательный воздушный бой, совместно с одноместными истребителями, против соединений неприятельской авиации. Основанный гл. образом на максимальной интенсивности огня из пулеметной установки наблюдателя. Маневр в бою второстепенный элемент.</w:t>
            </w:r>
          </w:p>
        </w:tc>
      </w:tr>
      <w:tr w:rsidR="00E371BA" w:rsidRPr="00507A31" w14:paraId="43C817D4" w14:textId="77777777">
        <w:tc>
          <w:tcPr>
            <w:tcW w:w="3888" w:type="dxa"/>
          </w:tcPr>
          <w:p w14:paraId="631A321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 или время полета</w:t>
            </w:r>
          </w:p>
        </w:tc>
        <w:tc>
          <w:tcPr>
            <w:tcW w:w="6568" w:type="dxa"/>
          </w:tcPr>
          <w:p w14:paraId="7F00263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 часа на крейсерской скорости</w:t>
            </w:r>
          </w:p>
        </w:tc>
      </w:tr>
      <w:tr w:rsidR="00E371BA" w:rsidRPr="00507A31" w14:paraId="5C67AED7" w14:textId="77777777">
        <w:tc>
          <w:tcPr>
            <w:tcW w:w="3888" w:type="dxa"/>
          </w:tcPr>
          <w:p w14:paraId="6E46EAD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6568" w:type="dxa"/>
          </w:tcPr>
          <w:p w14:paraId="31AD321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человека</w:t>
            </w:r>
          </w:p>
        </w:tc>
      </w:tr>
      <w:tr w:rsidR="00E371BA" w:rsidRPr="00507A31" w14:paraId="791C73DD" w14:textId="77777777">
        <w:tc>
          <w:tcPr>
            <w:tcW w:w="3888" w:type="dxa"/>
          </w:tcPr>
          <w:p w14:paraId="10AB4C1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Сбрасываемый или спецгруз</w:t>
            </w:r>
          </w:p>
        </w:tc>
        <w:tc>
          <w:tcPr>
            <w:tcW w:w="6568" w:type="dxa"/>
          </w:tcPr>
          <w:p w14:paraId="1691F97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За счет перегрузки 100 кг</w:t>
            </w:r>
          </w:p>
        </w:tc>
      </w:tr>
      <w:tr w:rsidR="00E371BA" w:rsidRPr="00507A31" w14:paraId="7B3A87C4" w14:textId="77777777">
        <w:tc>
          <w:tcPr>
            <w:tcW w:w="3888" w:type="dxa"/>
          </w:tcPr>
          <w:p w14:paraId="5395EE7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6568" w:type="dxa"/>
          </w:tcPr>
          <w:p w14:paraId="39EAAEA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Два пулемета для стрельбы через винт и по 750 патронов на каждый пулемет. Два пулемета ПВ-1 на тур. и по 1000 патронов на каждый. Один пулемет для стрельбы п/хвост (ДА и 5 магазинов). Держатели для 10-25 кг осколочных или дистанционных бомб.</w:t>
            </w:r>
          </w:p>
        </w:tc>
      </w:tr>
      <w:tr w:rsidR="00E371BA" w:rsidRPr="00507A31" w14:paraId="023249BE" w14:textId="77777777">
        <w:tc>
          <w:tcPr>
            <w:tcW w:w="3888" w:type="dxa"/>
          </w:tcPr>
          <w:p w14:paraId="0F77614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Примечание</w:t>
            </w:r>
          </w:p>
        </w:tc>
        <w:tc>
          <w:tcPr>
            <w:tcW w:w="6568" w:type="dxa"/>
          </w:tcPr>
          <w:p w14:paraId="71DB394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Желательно еще более увеличить огневую мощь установки наблюдателя за счет установки вместо 2-х-4-х пулеметов ПВ1 и 1000 патронов.</w:t>
            </w:r>
          </w:p>
        </w:tc>
      </w:tr>
      <w:tr w:rsidR="00E371BA" w:rsidRPr="00507A31" w14:paraId="21A2E313" w14:textId="77777777">
        <w:tc>
          <w:tcPr>
            <w:tcW w:w="3888" w:type="dxa"/>
          </w:tcPr>
          <w:p w14:paraId="5E43C0C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Название самолета</w:t>
            </w:r>
          </w:p>
        </w:tc>
        <w:tc>
          <w:tcPr>
            <w:tcW w:w="6568" w:type="dxa"/>
          </w:tcPr>
          <w:p w14:paraId="6847B2C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ФС</w:t>
            </w:r>
          </w:p>
        </w:tc>
      </w:tr>
      <w:tr w:rsidR="00E371BA" w:rsidRPr="00507A31" w14:paraId="2362C7AC" w14:textId="77777777">
        <w:tc>
          <w:tcPr>
            <w:tcW w:w="3888" w:type="dxa"/>
          </w:tcPr>
          <w:p w14:paraId="00EE14C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Ориентировочный вес самолета с нормальной загрузкой</w:t>
            </w:r>
          </w:p>
        </w:tc>
        <w:tc>
          <w:tcPr>
            <w:tcW w:w="6568" w:type="dxa"/>
          </w:tcPr>
          <w:p w14:paraId="489F53E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2800</w:t>
            </w:r>
          </w:p>
        </w:tc>
      </w:tr>
      <w:tr w:rsidR="00E371BA" w:rsidRPr="00507A31" w14:paraId="75E03D5E" w14:textId="77777777">
        <w:tc>
          <w:tcPr>
            <w:tcW w:w="3888" w:type="dxa"/>
          </w:tcPr>
          <w:p w14:paraId="1F92CF0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Тактическое назначение самолета</w:t>
            </w:r>
          </w:p>
        </w:tc>
        <w:tc>
          <w:tcPr>
            <w:tcW w:w="6568" w:type="dxa"/>
          </w:tcPr>
          <w:p w14:paraId="5E1C11B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Корпусная разведка и фотосъемка укрепленной и прифронтовой полосы. Ночная фотосъемка. Корректирование артогня.</w:t>
            </w:r>
          </w:p>
        </w:tc>
      </w:tr>
      <w:tr w:rsidR="00E371BA" w:rsidRPr="00507A31" w14:paraId="1BA1B9F4" w14:textId="77777777">
        <w:tc>
          <w:tcPr>
            <w:tcW w:w="3888" w:type="dxa"/>
          </w:tcPr>
          <w:p w14:paraId="369F3F9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 или время полета</w:t>
            </w:r>
          </w:p>
        </w:tc>
        <w:tc>
          <w:tcPr>
            <w:tcW w:w="6568" w:type="dxa"/>
          </w:tcPr>
          <w:p w14:paraId="1656D12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Дальность действия 500 км</w:t>
            </w:r>
          </w:p>
        </w:tc>
      </w:tr>
      <w:tr w:rsidR="00E371BA" w:rsidRPr="00507A31" w14:paraId="30F02AC9" w14:textId="77777777">
        <w:tc>
          <w:tcPr>
            <w:tcW w:w="3888" w:type="dxa"/>
          </w:tcPr>
          <w:p w14:paraId="26678CC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6568" w:type="dxa"/>
          </w:tcPr>
          <w:p w14:paraId="6D8F63A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 чел.</w:t>
            </w:r>
          </w:p>
        </w:tc>
      </w:tr>
      <w:tr w:rsidR="00E371BA" w:rsidRPr="00507A31" w14:paraId="5F6C0128" w14:textId="77777777">
        <w:tc>
          <w:tcPr>
            <w:tcW w:w="3888" w:type="dxa"/>
          </w:tcPr>
          <w:p w14:paraId="08A61E6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Сбрасываемый или спецгруз</w:t>
            </w:r>
          </w:p>
        </w:tc>
        <w:tc>
          <w:tcPr>
            <w:tcW w:w="6568" w:type="dxa"/>
          </w:tcPr>
          <w:p w14:paraId="67E88CB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Для ночных полетов. Светящиеся фотобомбы 10 шт. по 10 кг.</w:t>
            </w:r>
          </w:p>
        </w:tc>
      </w:tr>
      <w:tr w:rsidR="00E371BA" w:rsidRPr="00507A31" w14:paraId="5836B23A" w14:textId="77777777">
        <w:tc>
          <w:tcPr>
            <w:tcW w:w="3888" w:type="dxa"/>
          </w:tcPr>
          <w:p w14:paraId="4D7534D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6568" w:type="dxa"/>
          </w:tcPr>
          <w:p w14:paraId="2479301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Два пулеметных гнезда с двумя пулеметами ДА и 24 магазинами каждое. Держатели для 10 шт. светящихся аэробомб.</w:t>
            </w:r>
          </w:p>
        </w:tc>
      </w:tr>
      <w:tr w:rsidR="00E371BA" w:rsidRPr="00507A31" w14:paraId="10D64D9D" w14:textId="77777777">
        <w:tc>
          <w:tcPr>
            <w:tcW w:w="3888" w:type="dxa"/>
          </w:tcPr>
          <w:p w14:paraId="45604D0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Примечание</w:t>
            </w:r>
          </w:p>
        </w:tc>
        <w:tc>
          <w:tcPr>
            <w:tcW w:w="6568" w:type="dxa"/>
          </w:tcPr>
          <w:p w14:paraId="1A7836A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Желателен с двумя моторами воздушного охлаждения.</w:t>
            </w:r>
          </w:p>
        </w:tc>
      </w:tr>
      <w:tr w:rsidR="00E371BA" w:rsidRPr="00507A31" w14:paraId="6E463495" w14:textId="77777777">
        <w:tc>
          <w:tcPr>
            <w:tcW w:w="3888" w:type="dxa"/>
          </w:tcPr>
          <w:p w14:paraId="086C2D7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Название самолета</w:t>
            </w:r>
          </w:p>
        </w:tc>
        <w:tc>
          <w:tcPr>
            <w:tcW w:w="6568" w:type="dxa"/>
          </w:tcPr>
          <w:p w14:paraId="391824B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ФСМ амфибия</w:t>
            </w:r>
          </w:p>
        </w:tc>
      </w:tr>
      <w:tr w:rsidR="00E371BA" w:rsidRPr="00507A31" w14:paraId="7D0D8DBA" w14:textId="77777777">
        <w:tc>
          <w:tcPr>
            <w:tcW w:w="3888" w:type="dxa"/>
          </w:tcPr>
          <w:p w14:paraId="165C34B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Ориентировочный вес самолета с нормальной загрузкой</w:t>
            </w:r>
          </w:p>
        </w:tc>
        <w:tc>
          <w:tcPr>
            <w:tcW w:w="6568" w:type="dxa"/>
          </w:tcPr>
          <w:p w14:paraId="6A5FECD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3200-3600</w:t>
            </w:r>
          </w:p>
        </w:tc>
      </w:tr>
      <w:tr w:rsidR="00E371BA" w:rsidRPr="00507A31" w14:paraId="1C57B36E" w14:textId="77777777">
        <w:tc>
          <w:tcPr>
            <w:tcW w:w="3888" w:type="dxa"/>
          </w:tcPr>
          <w:p w14:paraId="0C031D6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Тактическое назначение самолета</w:t>
            </w:r>
          </w:p>
        </w:tc>
        <w:tc>
          <w:tcPr>
            <w:tcW w:w="6568" w:type="dxa"/>
          </w:tcPr>
          <w:p w14:paraId="6E8C6DA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Корпусная разведка в озерных и речных районах и фотосъемка. Ночная фотосъемка, корректировка артогня.</w:t>
            </w:r>
          </w:p>
        </w:tc>
      </w:tr>
      <w:tr w:rsidR="00E371BA" w:rsidRPr="00507A31" w14:paraId="6E645806" w14:textId="77777777">
        <w:tc>
          <w:tcPr>
            <w:tcW w:w="3888" w:type="dxa"/>
          </w:tcPr>
          <w:p w14:paraId="6B8B3DE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 или время полета</w:t>
            </w:r>
          </w:p>
        </w:tc>
        <w:tc>
          <w:tcPr>
            <w:tcW w:w="6568" w:type="dxa"/>
          </w:tcPr>
          <w:p w14:paraId="57D3AB6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Дальность 750 км</w:t>
            </w:r>
          </w:p>
        </w:tc>
      </w:tr>
      <w:tr w:rsidR="00E371BA" w:rsidRPr="00507A31" w14:paraId="67E81D7B" w14:textId="77777777">
        <w:tc>
          <w:tcPr>
            <w:tcW w:w="3888" w:type="dxa"/>
          </w:tcPr>
          <w:p w14:paraId="1A91DFC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6568" w:type="dxa"/>
          </w:tcPr>
          <w:p w14:paraId="6943C4F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 чел.</w:t>
            </w:r>
          </w:p>
        </w:tc>
      </w:tr>
      <w:tr w:rsidR="00E371BA" w:rsidRPr="00507A31" w14:paraId="0B2B73B2" w14:textId="77777777">
        <w:tc>
          <w:tcPr>
            <w:tcW w:w="3888" w:type="dxa"/>
          </w:tcPr>
          <w:p w14:paraId="4EBFEB2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Сбрасываемый или спецгруз</w:t>
            </w:r>
          </w:p>
        </w:tc>
        <w:tc>
          <w:tcPr>
            <w:tcW w:w="6568" w:type="dxa"/>
          </w:tcPr>
          <w:p w14:paraId="33ACE72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Для ночных полетов светящиеся фотобомбы</w:t>
            </w:r>
          </w:p>
        </w:tc>
      </w:tr>
      <w:tr w:rsidR="00E371BA" w:rsidRPr="00507A31" w14:paraId="4A80B810" w14:textId="77777777">
        <w:tc>
          <w:tcPr>
            <w:tcW w:w="3888" w:type="dxa"/>
          </w:tcPr>
          <w:p w14:paraId="1D02289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6568" w:type="dxa"/>
          </w:tcPr>
          <w:p w14:paraId="76DAFF4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Два пулеметных гнезда с двумя пулеметами ДА и 24 магазинами каждое. Держатели для 10 шт. светящихся аэробомб.</w:t>
            </w:r>
          </w:p>
        </w:tc>
      </w:tr>
      <w:tr w:rsidR="00E371BA" w:rsidRPr="00507A31" w14:paraId="6B27988E" w14:textId="77777777">
        <w:tc>
          <w:tcPr>
            <w:tcW w:w="3888" w:type="dxa"/>
          </w:tcPr>
          <w:p w14:paraId="4722132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Примечание</w:t>
            </w:r>
          </w:p>
        </w:tc>
        <w:tc>
          <w:tcPr>
            <w:tcW w:w="6568" w:type="dxa"/>
          </w:tcPr>
          <w:p w14:paraId="0145BB1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Желателен с двумя моторами воздушного охлаждения.</w:t>
            </w:r>
          </w:p>
        </w:tc>
      </w:tr>
      <w:tr w:rsidR="00E371BA" w:rsidRPr="00507A31" w14:paraId="458F7C4F" w14:textId="77777777">
        <w:tc>
          <w:tcPr>
            <w:tcW w:w="3888" w:type="dxa"/>
          </w:tcPr>
          <w:p w14:paraId="69145DB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Название самолета</w:t>
            </w:r>
          </w:p>
        </w:tc>
        <w:tc>
          <w:tcPr>
            <w:tcW w:w="6568" w:type="dxa"/>
          </w:tcPr>
          <w:p w14:paraId="4D5B607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МП1</w:t>
            </w:r>
          </w:p>
        </w:tc>
      </w:tr>
      <w:tr w:rsidR="00E371BA" w:rsidRPr="00507A31" w14:paraId="277B3F69" w14:textId="77777777">
        <w:tc>
          <w:tcPr>
            <w:tcW w:w="3888" w:type="dxa"/>
          </w:tcPr>
          <w:p w14:paraId="2CA0B17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Ориентировочный вес самолета с нормальной загрузкой</w:t>
            </w:r>
          </w:p>
        </w:tc>
        <w:tc>
          <w:tcPr>
            <w:tcW w:w="6568" w:type="dxa"/>
          </w:tcPr>
          <w:p w14:paraId="2BC45EF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7000-7500</w:t>
            </w:r>
          </w:p>
        </w:tc>
      </w:tr>
      <w:tr w:rsidR="00E371BA" w:rsidRPr="00507A31" w14:paraId="0D4D2A9D" w14:textId="77777777">
        <w:tc>
          <w:tcPr>
            <w:tcW w:w="3888" w:type="dxa"/>
          </w:tcPr>
          <w:p w14:paraId="3E3C5C4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Тактическое назначение самолета</w:t>
            </w:r>
          </w:p>
        </w:tc>
        <w:tc>
          <w:tcPr>
            <w:tcW w:w="6568" w:type="dxa"/>
          </w:tcPr>
          <w:p w14:paraId="2CAD3EC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Приспособленный для военных целей пассажирский самолет. Назначение: бомбардир. воспомогат. судов, борьба с подлодками. Постановка вблизи берегов дымовых завес.</w:t>
            </w:r>
          </w:p>
        </w:tc>
      </w:tr>
      <w:tr w:rsidR="00E371BA" w:rsidRPr="00507A31" w14:paraId="4A7AED22" w14:textId="77777777">
        <w:tc>
          <w:tcPr>
            <w:tcW w:w="3888" w:type="dxa"/>
          </w:tcPr>
          <w:p w14:paraId="64687AD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 или время полета</w:t>
            </w:r>
          </w:p>
        </w:tc>
        <w:tc>
          <w:tcPr>
            <w:tcW w:w="6568" w:type="dxa"/>
          </w:tcPr>
          <w:p w14:paraId="173E421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5,5-6 час.</w:t>
            </w:r>
          </w:p>
        </w:tc>
      </w:tr>
      <w:tr w:rsidR="00E371BA" w:rsidRPr="00507A31" w14:paraId="38C7AE57" w14:textId="77777777">
        <w:tc>
          <w:tcPr>
            <w:tcW w:w="3888" w:type="dxa"/>
          </w:tcPr>
          <w:p w14:paraId="68E81DB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6568" w:type="dxa"/>
          </w:tcPr>
          <w:p w14:paraId="2BC8288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4-5 чел.</w:t>
            </w:r>
          </w:p>
        </w:tc>
      </w:tr>
      <w:tr w:rsidR="00E371BA" w:rsidRPr="00507A31" w14:paraId="4B5EDB42" w14:textId="77777777">
        <w:tc>
          <w:tcPr>
            <w:tcW w:w="3888" w:type="dxa"/>
          </w:tcPr>
          <w:p w14:paraId="5F781DA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Сбрасываемый или спецгруз</w:t>
            </w:r>
          </w:p>
        </w:tc>
        <w:tc>
          <w:tcPr>
            <w:tcW w:w="6568" w:type="dxa"/>
          </w:tcPr>
          <w:p w14:paraId="1E15F4D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Норм. 1000 кг, с перегрузкой – 1500 кг</w:t>
            </w:r>
          </w:p>
        </w:tc>
      </w:tr>
      <w:tr w:rsidR="00E371BA" w:rsidRPr="00507A31" w14:paraId="0615DE4F" w14:textId="77777777">
        <w:tc>
          <w:tcPr>
            <w:tcW w:w="3888" w:type="dxa"/>
          </w:tcPr>
          <w:p w14:paraId="110E562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6568" w:type="dxa"/>
          </w:tcPr>
          <w:p w14:paraId="6E0D0F6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пулеметных гнезда с 2 пулеметами ДА и 24 магазинами каждое. Держатели для бомб 82-100-250 кг. Средства борьбы с подлодками. Прибор для постановки дымовых завес.</w:t>
            </w:r>
          </w:p>
        </w:tc>
      </w:tr>
      <w:tr w:rsidR="00E371BA" w:rsidRPr="00507A31" w14:paraId="258C0D95" w14:textId="77777777">
        <w:tc>
          <w:tcPr>
            <w:tcW w:w="3888" w:type="dxa"/>
          </w:tcPr>
          <w:p w14:paraId="0FFE2D2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Примечание</w:t>
            </w:r>
          </w:p>
        </w:tc>
        <w:tc>
          <w:tcPr>
            <w:tcW w:w="6568" w:type="dxa"/>
          </w:tcPr>
          <w:p w14:paraId="25180532"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32AB2669" w14:textId="77777777">
        <w:tc>
          <w:tcPr>
            <w:tcW w:w="3888" w:type="dxa"/>
          </w:tcPr>
          <w:p w14:paraId="08F1CC5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Название самолета</w:t>
            </w:r>
          </w:p>
        </w:tc>
        <w:tc>
          <w:tcPr>
            <w:tcW w:w="6568" w:type="dxa"/>
          </w:tcPr>
          <w:p w14:paraId="3F3A17A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МТБ3</w:t>
            </w:r>
          </w:p>
        </w:tc>
      </w:tr>
      <w:tr w:rsidR="00E371BA" w:rsidRPr="00507A31" w14:paraId="59AE20D0" w14:textId="77777777">
        <w:tc>
          <w:tcPr>
            <w:tcW w:w="3888" w:type="dxa"/>
          </w:tcPr>
          <w:p w14:paraId="6AED467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Ориентировочный вес самолета с нормальной загрузкой</w:t>
            </w:r>
          </w:p>
        </w:tc>
        <w:tc>
          <w:tcPr>
            <w:tcW w:w="6568" w:type="dxa"/>
          </w:tcPr>
          <w:p w14:paraId="2BB4FF2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35000-40000</w:t>
            </w:r>
          </w:p>
        </w:tc>
      </w:tr>
      <w:tr w:rsidR="00E371BA" w:rsidRPr="00507A31" w14:paraId="34739C2A" w14:textId="77777777">
        <w:tc>
          <w:tcPr>
            <w:tcW w:w="3888" w:type="dxa"/>
          </w:tcPr>
          <w:p w14:paraId="082D9FA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Тактическое назначение самолета</w:t>
            </w:r>
          </w:p>
        </w:tc>
        <w:tc>
          <w:tcPr>
            <w:tcW w:w="6568" w:type="dxa"/>
          </w:tcPr>
          <w:p w14:paraId="5951DC0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Бомбардирование судов боевого флота в открытом море и на стоянке, береговых сооружений, артскладов, баз флота и пр. Высокое торпедометание. Установка минного заграждения.</w:t>
            </w:r>
          </w:p>
        </w:tc>
      </w:tr>
      <w:tr w:rsidR="00E371BA" w:rsidRPr="00507A31" w14:paraId="41559990" w14:textId="77777777">
        <w:tc>
          <w:tcPr>
            <w:tcW w:w="3888" w:type="dxa"/>
          </w:tcPr>
          <w:p w14:paraId="523ACF0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 или время полета</w:t>
            </w:r>
          </w:p>
        </w:tc>
        <w:tc>
          <w:tcPr>
            <w:tcW w:w="6568" w:type="dxa"/>
          </w:tcPr>
          <w:p w14:paraId="35240160"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Дальность 2500 км</w:t>
            </w:r>
          </w:p>
        </w:tc>
      </w:tr>
      <w:tr w:rsidR="00E371BA" w:rsidRPr="00507A31" w14:paraId="3C2C93C5" w14:textId="77777777">
        <w:tc>
          <w:tcPr>
            <w:tcW w:w="3888" w:type="dxa"/>
          </w:tcPr>
          <w:p w14:paraId="0BF1136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6568" w:type="dxa"/>
          </w:tcPr>
          <w:p w14:paraId="3A8284C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8-10 чел.</w:t>
            </w:r>
          </w:p>
        </w:tc>
      </w:tr>
      <w:tr w:rsidR="00E371BA" w:rsidRPr="00507A31" w14:paraId="53FD3ACF" w14:textId="77777777">
        <w:tc>
          <w:tcPr>
            <w:tcW w:w="3888" w:type="dxa"/>
          </w:tcPr>
          <w:p w14:paraId="152DBF5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Сбрасываемый или спецгруз</w:t>
            </w:r>
          </w:p>
        </w:tc>
        <w:tc>
          <w:tcPr>
            <w:tcW w:w="6568" w:type="dxa"/>
          </w:tcPr>
          <w:p w14:paraId="1713219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Норм. 3000 кг, максим. за счет перегрузки и горючего 6000 кг</w:t>
            </w:r>
          </w:p>
        </w:tc>
      </w:tr>
      <w:tr w:rsidR="00E371BA" w:rsidRPr="00507A31" w14:paraId="43947215" w14:textId="77777777">
        <w:tc>
          <w:tcPr>
            <w:tcW w:w="3888" w:type="dxa"/>
          </w:tcPr>
          <w:p w14:paraId="34C5E89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lastRenderedPageBreak/>
              <w:t>Вооружение</w:t>
            </w:r>
          </w:p>
        </w:tc>
        <w:tc>
          <w:tcPr>
            <w:tcW w:w="6568" w:type="dxa"/>
          </w:tcPr>
          <w:p w14:paraId="27780CEC"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 пулеметных гнезд: 3 из них 2 пулемета ПВ1 и 2000 патрон на гнездо, 3 остальных – гнезда с пулеметами АД и 24 магазина на каждый. Держателя для бомб: 250-500-1000-2000 кг. Торпеды ВВС – 18” и 24” 1 подвижн. ДРП</w:t>
            </w:r>
          </w:p>
        </w:tc>
      </w:tr>
      <w:tr w:rsidR="00E371BA" w:rsidRPr="00507A31" w14:paraId="7F47EAD5" w14:textId="77777777">
        <w:tc>
          <w:tcPr>
            <w:tcW w:w="3888" w:type="dxa"/>
          </w:tcPr>
          <w:p w14:paraId="30E959E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Примечание</w:t>
            </w:r>
          </w:p>
        </w:tc>
        <w:tc>
          <w:tcPr>
            <w:tcW w:w="6568" w:type="dxa"/>
          </w:tcPr>
          <w:p w14:paraId="032A0D2B"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66D5B4B9" w14:textId="77777777">
        <w:tc>
          <w:tcPr>
            <w:tcW w:w="3888" w:type="dxa"/>
          </w:tcPr>
          <w:p w14:paraId="0508E0C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Название самолета</w:t>
            </w:r>
          </w:p>
        </w:tc>
        <w:tc>
          <w:tcPr>
            <w:tcW w:w="6568" w:type="dxa"/>
          </w:tcPr>
          <w:p w14:paraId="40A3CBF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МКБР</w:t>
            </w:r>
          </w:p>
        </w:tc>
      </w:tr>
      <w:tr w:rsidR="00E371BA" w:rsidRPr="00507A31" w14:paraId="0293C099" w14:textId="77777777">
        <w:tc>
          <w:tcPr>
            <w:tcW w:w="3888" w:type="dxa"/>
          </w:tcPr>
          <w:p w14:paraId="2F831B2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Ориентировочный вес самолета с нормальной загрузкой</w:t>
            </w:r>
          </w:p>
        </w:tc>
        <w:tc>
          <w:tcPr>
            <w:tcW w:w="6568" w:type="dxa"/>
          </w:tcPr>
          <w:p w14:paraId="53B5DAB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2800-3100</w:t>
            </w:r>
          </w:p>
        </w:tc>
      </w:tr>
      <w:tr w:rsidR="00E371BA" w:rsidRPr="00507A31" w14:paraId="4DB98B05" w14:textId="77777777">
        <w:tc>
          <w:tcPr>
            <w:tcW w:w="3888" w:type="dxa"/>
          </w:tcPr>
          <w:p w14:paraId="7950709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Тактическое назначение самолета</w:t>
            </w:r>
          </w:p>
        </w:tc>
        <w:tc>
          <w:tcPr>
            <w:tcW w:w="6568" w:type="dxa"/>
          </w:tcPr>
          <w:p w14:paraId="1DFB535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 xml:space="preserve">Корабельный катапультный самолет. Разведчик моря и корректировщик артогня судового флота. Посадка в открытом море и подъем на корабль. Должен быть обеспечен возможно наилучший обзор. </w:t>
            </w:r>
          </w:p>
        </w:tc>
      </w:tr>
      <w:tr w:rsidR="00E371BA" w:rsidRPr="00507A31" w14:paraId="7A731BC5" w14:textId="77777777">
        <w:tc>
          <w:tcPr>
            <w:tcW w:w="3888" w:type="dxa"/>
          </w:tcPr>
          <w:p w14:paraId="62172B2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 или время полета</w:t>
            </w:r>
          </w:p>
        </w:tc>
        <w:tc>
          <w:tcPr>
            <w:tcW w:w="6568" w:type="dxa"/>
          </w:tcPr>
          <w:p w14:paraId="2DDFB6C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3,5-4 часа на крейсерской скорости</w:t>
            </w:r>
          </w:p>
        </w:tc>
      </w:tr>
      <w:tr w:rsidR="00E371BA" w:rsidRPr="00507A31" w14:paraId="67B6964C" w14:textId="77777777">
        <w:tc>
          <w:tcPr>
            <w:tcW w:w="3888" w:type="dxa"/>
          </w:tcPr>
          <w:p w14:paraId="2CFD58F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6568" w:type="dxa"/>
          </w:tcPr>
          <w:p w14:paraId="0E4AD41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2 чел.</w:t>
            </w:r>
          </w:p>
        </w:tc>
      </w:tr>
      <w:tr w:rsidR="00E371BA" w:rsidRPr="00507A31" w14:paraId="0E099584" w14:textId="77777777">
        <w:tc>
          <w:tcPr>
            <w:tcW w:w="3888" w:type="dxa"/>
          </w:tcPr>
          <w:p w14:paraId="62B0C0B1"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Сбрасываемый или спецгруз</w:t>
            </w:r>
          </w:p>
        </w:tc>
        <w:tc>
          <w:tcPr>
            <w:tcW w:w="6568" w:type="dxa"/>
          </w:tcPr>
          <w:p w14:paraId="31DD3366"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Бомб не имеет, вместо бомб сильное пиротехническое сигнальное имущество.</w:t>
            </w:r>
          </w:p>
        </w:tc>
      </w:tr>
      <w:tr w:rsidR="00E371BA" w:rsidRPr="00507A31" w14:paraId="6BC23DEB" w14:textId="77777777">
        <w:tc>
          <w:tcPr>
            <w:tcW w:w="3888" w:type="dxa"/>
          </w:tcPr>
          <w:p w14:paraId="20B9AB0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6568" w:type="dxa"/>
          </w:tcPr>
          <w:p w14:paraId="0DE3806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 пулемет для стрельбы через винт и 500 патрон. Одно пулеметное гнездо наблюдателя с 1 пулеметом ДА и 12 магазинами. Установка для сигнального пиротехнического имущества.</w:t>
            </w:r>
          </w:p>
        </w:tc>
      </w:tr>
      <w:tr w:rsidR="00E371BA" w:rsidRPr="00507A31" w14:paraId="5EBE6577" w14:textId="77777777">
        <w:tc>
          <w:tcPr>
            <w:tcW w:w="3888" w:type="dxa"/>
          </w:tcPr>
          <w:p w14:paraId="15CE514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Примечание</w:t>
            </w:r>
          </w:p>
        </w:tc>
        <w:tc>
          <w:tcPr>
            <w:tcW w:w="6568" w:type="dxa"/>
          </w:tcPr>
          <w:p w14:paraId="27115389"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r w:rsidR="00E371BA" w:rsidRPr="00507A31" w14:paraId="6864D78C" w14:textId="77777777">
        <w:tc>
          <w:tcPr>
            <w:tcW w:w="3888" w:type="dxa"/>
          </w:tcPr>
          <w:p w14:paraId="494776F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Название самолета</w:t>
            </w:r>
          </w:p>
        </w:tc>
        <w:tc>
          <w:tcPr>
            <w:tcW w:w="6568" w:type="dxa"/>
          </w:tcPr>
          <w:p w14:paraId="55ACFCA3"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МЛ</w:t>
            </w:r>
          </w:p>
        </w:tc>
      </w:tr>
      <w:tr w:rsidR="00E371BA" w:rsidRPr="00507A31" w14:paraId="0775171E" w14:textId="77777777">
        <w:tc>
          <w:tcPr>
            <w:tcW w:w="3888" w:type="dxa"/>
          </w:tcPr>
          <w:p w14:paraId="7FAE09F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Ориентировочный вес самолета с нормальной загрузкой</w:t>
            </w:r>
          </w:p>
        </w:tc>
        <w:tc>
          <w:tcPr>
            <w:tcW w:w="6568" w:type="dxa"/>
          </w:tcPr>
          <w:p w14:paraId="52C26A4E"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16000-18000</w:t>
            </w:r>
          </w:p>
        </w:tc>
      </w:tr>
      <w:tr w:rsidR="00E371BA" w:rsidRPr="00507A31" w14:paraId="73965E15" w14:textId="77777777">
        <w:tc>
          <w:tcPr>
            <w:tcW w:w="3888" w:type="dxa"/>
          </w:tcPr>
          <w:p w14:paraId="3204992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Тактическое назначение самолета</w:t>
            </w:r>
          </w:p>
        </w:tc>
        <w:tc>
          <w:tcPr>
            <w:tcW w:w="6568" w:type="dxa"/>
          </w:tcPr>
          <w:p w14:paraId="7573B93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Линейный самолет сопровождения флота. Разведка ближайшего к флоту участка моря. Охрана флота от нападения неприятельских бомбардировщиков. Уничтожение поджидающих флот подлодок, уничтожение сторожевых судов неприятеля.</w:t>
            </w:r>
          </w:p>
        </w:tc>
      </w:tr>
      <w:tr w:rsidR="00E371BA" w:rsidRPr="00507A31" w14:paraId="3DEC12D8" w14:textId="77777777">
        <w:tc>
          <w:tcPr>
            <w:tcW w:w="3888" w:type="dxa"/>
          </w:tcPr>
          <w:p w14:paraId="6AA42E75"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Радиус действия или время полета</w:t>
            </w:r>
          </w:p>
        </w:tc>
        <w:tc>
          <w:tcPr>
            <w:tcW w:w="6568" w:type="dxa"/>
          </w:tcPr>
          <w:p w14:paraId="37972ED2"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14 часов на крейсерской скорости</w:t>
            </w:r>
          </w:p>
        </w:tc>
      </w:tr>
      <w:tr w:rsidR="00E371BA" w:rsidRPr="00507A31" w14:paraId="08F6F93E" w14:textId="77777777">
        <w:tc>
          <w:tcPr>
            <w:tcW w:w="3888" w:type="dxa"/>
          </w:tcPr>
          <w:p w14:paraId="249BB92B"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Экипаж</w:t>
            </w:r>
          </w:p>
        </w:tc>
        <w:tc>
          <w:tcPr>
            <w:tcW w:w="6568" w:type="dxa"/>
          </w:tcPr>
          <w:p w14:paraId="051B7227"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8-10 человек</w:t>
            </w:r>
          </w:p>
        </w:tc>
      </w:tr>
      <w:tr w:rsidR="00E371BA" w:rsidRPr="00507A31" w14:paraId="4436F98E" w14:textId="77777777">
        <w:tc>
          <w:tcPr>
            <w:tcW w:w="3888" w:type="dxa"/>
          </w:tcPr>
          <w:p w14:paraId="05C48669"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Сбрасываемый или спецгруз</w:t>
            </w:r>
          </w:p>
        </w:tc>
        <w:tc>
          <w:tcPr>
            <w:tcW w:w="6568" w:type="dxa"/>
          </w:tcPr>
          <w:p w14:paraId="5F65172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1000 кг – нормальная нагрузка, 2000 – с перегрузкой</w:t>
            </w:r>
          </w:p>
        </w:tc>
      </w:tr>
      <w:tr w:rsidR="00E371BA" w:rsidRPr="00507A31" w14:paraId="62241CC5" w14:textId="77777777">
        <w:tc>
          <w:tcPr>
            <w:tcW w:w="3888" w:type="dxa"/>
          </w:tcPr>
          <w:p w14:paraId="0C109F1F"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Вооружение</w:t>
            </w:r>
          </w:p>
        </w:tc>
        <w:tc>
          <w:tcPr>
            <w:tcW w:w="6568" w:type="dxa"/>
          </w:tcPr>
          <w:p w14:paraId="74B5164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6 пулеметных гнезд: 3 из них с 2 пулеметами ПВ1 и 200 патрон на гнездо, 3 остальные гнезда с пулеметами ДА и 24 магазинами на каждое. Держатели для 100-250 кг бомб 2 подвижн. ДРП.</w:t>
            </w:r>
          </w:p>
        </w:tc>
      </w:tr>
      <w:tr w:rsidR="00E371BA" w:rsidRPr="00507A31" w14:paraId="5EE1FEF3" w14:textId="77777777">
        <w:tc>
          <w:tcPr>
            <w:tcW w:w="3888" w:type="dxa"/>
          </w:tcPr>
          <w:p w14:paraId="1E70AB54"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Примечание</w:t>
            </w:r>
          </w:p>
        </w:tc>
        <w:tc>
          <w:tcPr>
            <w:tcW w:w="6568" w:type="dxa"/>
          </w:tcPr>
          <w:p w14:paraId="63696F5C"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tc>
      </w:tr>
    </w:tbl>
    <w:p w14:paraId="1EFEAB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(6274, 57).</w:t>
      </w:r>
    </w:p>
    <w:p w14:paraId="2AF359CC" w14:textId="77777777" w:rsidR="00537E5F" w:rsidRPr="00507A31" w:rsidRDefault="00537E5F" w:rsidP="00507A31">
      <w:pPr>
        <w:autoSpaceDE w:val="0"/>
        <w:autoSpaceDN w:val="0"/>
        <w:adjustRightInd w:val="0"/>
        <w:jc w:val="both"/>
        <w:rPr>
          <w:color w:val="000000" w:themeColor="text1"/>
          <w:sz w:val="16"/>
          <w:szCs w:val="16"/>
        </w:rPr>
      </w:pPr>
    </w:p>
    <w:p w14:paraId="54C8BA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 Ришар вернулся на Родину, а группу иностранцев возглавлял Лявиль. Основной состав конструкторов перевели в ЦКБ.</w:t>
      </w:r>
    </w:p>
    <w:p w14:paraId="33A4E7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августе 1928 г. ОКБ группы «Р», созданное в марте 1928, когда в СССР приглашена группа французов во главе с П.Э. Ришаром, было преобразовано в МОС ВАО (Морское опытное самолетостроение Всесоюзного авиаобъединения) (ОПО-4 ЦКБ Авиатреста на заводе № 22, группа «Р», МОС ВАО). Производственная база- завод № 28. В конце 1920-х  г. здесь работали  Г.М. Бериев, С.П. Королев, В.Б. Шавров (Ш-1), Н.И. Камов (КАСКР-1), Н.К. Скржинский (КАСКР-1), М.И. Гуревич, С.М. Лавочкин (1929-ЗО г.), Четвериков. Проектировали ТОМ (МТБ-1). Созданы: самолет-амфибия Ш-1, первый полет 21.06.1929 г.; первый отечественный автожир КАСКР-1 «Красный инженер», первый полет 25.09.1929 г.</w:t>
      </w:r>
    </w:p>
    <w:p w14:paraId="584676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1929 г. МОС ВАО переведено на завод № 22 и преобразовано в ОПО-4. В этом же году ОПО-4 объединён с ОПО-3 (11982).</w:t>
      </w:r>
    </w:p>
    <w:p w14:paraId="223096B5" w14:textId="77777777" w:rsidR="00537E5F" w:rsidRPr="00507A31" w:rsidRDefault="00537E5F" w:rsidP="00507A31">
      <w:pPr>
        <w:autoSpaceDE w:val="0"/>
        <w:autoSpaceDN w:val="0"/>
        <w:adjustRightInd w:val="0"/>
        <w:jc w:val="both"/>
        <w:rPr>
          <w:color w:val="000000" w:themeColor="text1"/>
          <w:sz w:val="16"/>
          <w:szCs w:val="16"/>
        </w:rPr>
      </w:pPr>
    </w:p>
    <w:p w14:paraId="3D1268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декабре 1930 г., с опозданием на три месяца против плана, завод № 29 вы</w:t>
      </w:r>
      <w:r w:rsidRPr="00507A31">
        <w:rPr>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507A31">
        <w:rPr>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507A31">
        <w:rPr>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507A31">
        <w:rPr>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507A31">
        <w:rPr>
          <w:color w:val="000000" w:themeColor="text1"/>
          <w:sz w:val="16"/>
          <w:szCs w:val="16"/>
        </w:rPr>
        <w:softHyphen/>
        <w:t>ловине 30-х годов (11852).</w:t>
      </w:r>
    </w:p>
    <w:p w14:paraId="06524D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Широко распространенный в 30-х годах мотор. Копия французского мо</w:t>
      </w:r>
      <w:r w:rsidRPr="00507A31">
        <w:rPr>
          <w:color w:val="000000" w:themeColor="text1"/>
          <w:sz w:val="16"/>
          <w:szCs w:val="16"/>
        </w:rPr>
        <w:softHyphen/>
        <w:t>тора Гном-Рон 9А, который, в свою очередь, являлся лицензионным вос</w:t>
      </w:r>
      <w:r w:rsidRPr="00507A31">
        <w:rPr>
          <w:color w:val="000000" w:themeColor="text1"/>
          <w:sz w:val="16"/>
          <w:szCs w:val="16"/>
        </w:rPr>
        <w:softHyphen/>
        <w:t>произведением английского мотора Бристоль «Юпитер» VI. Договор с фир</w:t>
      </w:r>
      <w:r w:rsidRPr="00507A31">
        <w:rPr>
          <w:color w:val="000000" w:themeColor="text1"/>
          <w:sz w:val="16"/>
          <w:szCs w:val="16"/>
        </w:rPr>
        <w:softHyphen/>
        <w:t>мой о правах на производство и технической помощи заключен в августе 1928 г. Выпуск моторов осваивал завод № 29 (Запорожье). Первая серия была сдана в декабре 1930 г. Предполагалось после освоения производства М-15 вытеснить М-22 из военной авиации, однако М-22 продемонстрировал более высокую надежность. Выпуск продолжался до конца 1935 г., всего собрали 2717 экз. Производство М-22 готовили также на заводе № 19 в Перми, но в мае 1933 г. его переориен</w:t>
      </w:r>
      <w:r w:rsidRPr="00507A31">
        <w:rPr>
          <w:color w:val="000000" w:themeColor="text1"/>
          <w:sz w:val="16"/>
          <w:szCs w:val="16"/>
        </w:rPr>
        <w:softHyphen/>
        <w:t>тировали на американские «Циклоны». Уже изготовленные детали и узлы вы</w:t>
      </w:r>
      <w:r w:rsidRPr="00507A31">
        <w:rPr>
          <w:color w:val="000000" w:themeColor="text1"/>
          <w:sz w:val="16"/>
          <w:szCs w:val="16"/>
        </w:rPr>
        <w:softHyphen/>
        <w:t>везли в Запорожье.</w:t>
      </w:r>
    </w:p>
    <w:p w14:paraId="1E6502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241F3A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9-цилиндровый, звездообразный, че</w:t>
      </w:r>
      <w:r w:rsidRPr="00507A31">
        <w:rPr>
          <w:color w:val="000000" w:themeColor="text1"/>
          <w:sz w:val="16"/>
          <w:szCs w:val="16"/>
        </w:rPr>
        <w:softHyphen/>
        <w:t>тырехтактный, воздушного охлаж</w:t>
      </w:r>
      <w:r w:rsidRPr="00507A31">
        <w:rPr>
          <w:color w:val="000000" w:themeColor="text1"/>
          <w:sz w:val="16"/>
          <w:szCs w:val="16"/>
        </w:rPr>
        <w:softHyphen/>
        <w:t>дения;</w:t>
      </w:r>
    </w:p>
    <w:p w14:paraId="5D020C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480/570 л.с.;</w:t>
      </w:r>
    </w:p>
    <w:p w14:paraId="32B355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 / ход поршня 146/190 мм;</w:t>
      </w:r>
    </w:p>
    <w:p w14:paraId="24F5D7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28,64 л;</w:t>
      </w:r>
    </w:p>
    <w:p w14:paraId="066B2C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6,5;</w:t>
      </w:r>
    </w:p>
    <w:p w14:paraId="58A530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безредукторный; вес 378 кг;</w:t>
      </w:r>
    </w:p>
    <w:p w14:paraId="544039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имел возмож'ность</w:t>
      </w:r>
    </w:p>
    <w:p w14:paraId="3EDED3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установки синхронизатора</w:t>
      </w:r>
    </w:p>
    <w:p w14:paraId="057733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Известны модификации:</w:t>
      </w:r>
    </w:p>
    <w:p w14:paraId="48FDB8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М-22, основной серийный вариант. В начале 1931 г. введены сталь</w:t>
      </w:r>
      <w:r w:rsidRPr="00507A31">
        <w:rPr>
          <w:color w:val="000000" w:themeColor="text1"/>
          <w:sz w:val="16"/>
          <w:szCs w:val="16"/>
        </w:rPr>
        <w:softHyphen/>
        <w:t>ные заглушки коленвала.</w:t>
      </w:r>
    </w:p>
    <w:p w14:paraId="48A9DA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М-22Р, редукторный вариант. Отличался планетарным редуктором с коническими сателлитами (типа «Фарман») по образцу мотора Гном-Рон 9Акх. Планировалось изготовление пяти опытных образцов к 1 октября 1931 г. и государственные испытания с 1 ноября. Фактиче</w:t>
      </w:r>
      <w:r w:rsidRPr="00507A31">
        <w:rPr>
          <w:color w:val="000000" w:themeColor="text1"/>
          <w:sz w:val="16"/>
          <w:szCs w:val="16"/>
        </w:rPr>
        <w:softHyphen/>
        <w:t>ски рабочие чертежи М-22Р подготовили к 19 августа 1931 г. Данных об изготовлении опытных образцов нет. Мощность 480/585 л.с., вес 408 кг (проектный).</w:t>
      </w:r>
    </w:p>
    <w:p w14:paraId="37291B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М-22Н, вариант с ПЦН и пониженной степенью сжатия. По плану предполагалось изготовить один экземпляр к 1 июня 1931 г. и на</w:t>
      </w:r>
      <w:r w:rsidRPr="00507A31">
        <w:rPr>
          <w:color w:val="000000" w:themeColor="text1"/>
          <w:sz w:val="16"/>
          <w:szCs w:val="16"/>
        </w:rPr>
        <w:softHyphen/>
        <w:t>чать государственные испытания с 1 октября того же года. Мощность 585/585 л.с., вес 385 кг (по заданию). Данных о постройке опытного образца нет.</w:t>
      </w:r>
    </w:p>
    <w:p w14:paraId="3F18D7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М-22 «Арктический», вариант для использования в северных райо</w:t>
      </w:r>
      <w:r w:rsidRPr="00507A31">
        <w:rPr>
          <w:color w:val="000000" w:themeColor="text1"/>
          <w:sz w:val="16"/>
          <w:szCs w:val="16"/>
        </w:rPr>
        <w:softHyphen/>
        <w:t>нах СССР, Техническое задание выдано Главным управлением ГВФ в 1931 г. Фактически проект не выполнялся.</w:t>
      </w:r>
    </w:p>
    <w:p w14:paraId="3701E7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М-22Б, опытный образец 1933 г. с усиленным коленвалом, на-вертными головками цилиндров, новым приводом газораспреде</w:t>
      </w:r>
      <w:r w:rsidRPr="00507A31">
        <w:rPr>
          <w:color w:val="000000" w:themeColor="text1"/>
          <w:sz w:val="16"/>
          <w:szCs w:val="16"/>
        </w:rPr>
        <w:softHyphen/>
        <w:t>ления. Часть его отличий вне</w:t>
      </w:r>
      <w:r w:rsidRPr="00507A31">
        <w:rPr>
          <w:color w:val="000000" w:themeColor="text1"/>
          <w:sz w:val="16"/>
          <w:szCs w:val="16"/>
        </w:rPr>
        <w:softHyphen/>
        <w:t>дрена на поздних сериях М-22. М-22 применялся на многочис</w:t>
      </w:r>
      <w:r w:rsidRPr="00507A31">
        <w:rPr>
          <w:color w:val="000000" w:themeColor="text1"/>
          <w:sz w:val="16"/>
          <w:szCs w:val="16"/>
        </w:rPr>
        <w:softHyphen/>
        <w:t>ленных серийных самолетах — И-5, И-15, И-16 (ранние типы), К-5, «Сталь-3», ХАИ-1, И-Зет, опытных — ТБ-5, Ш-5, АИР-7, К-12, АСК, БИЧ-17 (не летал), в проекте «Сталь-4», на автожирах — серийном А-7-За и опытных А-7, А-7бис. Его так</w:t>
      </w:r>
      <w:r w:rsidRPr="00507A31">
        <w:rPr>
          <w:color w:val="000000" w:themeColor="text1"/>
          <w:sz w:val="16"/>
          <w:szCs w:val="16"/>
        </w:rPr>
        <w:softHyphen/>
        <w:t>же монтировали вместо импортных «Юпитеров» на И-4 и КР-1 (11852).</w:t>
      </w:r>
    </w:p>
    <w:p w14:paraId="5F2683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37CAD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 завод № 39 впервые поставил на ТБ-1 динамореактивную (безоткатную) пушку. Похоже, что ставилась задача просто изучить влияние стрельбы из такого орудия на прочность машины и ее управляемость. 76-мм пушка весом 88 кг стояла вертикально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перемещение вперед-назад по полету, вбок же ствол не двигался. Какие-либо прицельные приспособления отсутствовали.</w:t>
      </w:r>
    </w:p>
    <w:p w14:paraId="412870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Огонь вел пилот, дергавший за шнур. Возле пушки располагался заряжающий, при стрельбе стоявший на маленькой квадратной площадке. Снаряды хранились в ящиках у мест стрелков.</w:t>
      </w:r>
    </w:p>
    <w:p w14:paraId="476BFD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велись на Кунцевском полигоне в марте 1931 г. 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 Ни летчик, ни заряжающий не видели, куда стреляют. Отсутствие связи между ними вызвало немало нестыковок. Заряжающему приходилось лазать по тесному проходу на четвереньках, таская снаряды и стреляные гильзы. Но этот первый эксперимент показал, что бомбардировщик можно вооружить пушкой.</w:t>
      </w:r>
    </w:p>
    <w:p w14:paraId="14EBBD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В плане Особого конструкторского бюро (Осконбюро) ВВС на 1932 г. значится некая ротативная батарея из четырех стволов калибра 76 мм. Как она выглядела, остается загадкой (12001).</w:t>
      </w:r>
    </w:p>
    <w:p w14:paraId="32C094F5" w14:textId="77777777" w:rsidR="00537E5F" w:rsidRPr="00507A31" w:rsidRDefault="00537E5F" w:rsidP="00507A31">
      <w:pPr>
        <w:autoSpaceDE w:val="0"/>
        <w:autoSpaceDN w:val="0"/>
        <w:adjustRightInd w:val="0"/>
        <w:jc w:val="both"/>
        <w:rPr>
          <w:color w:val="000000" w:themeColor="text1"/>
          <w:sz w:val="16"/>
          <w:szCs w:val="16"/>
        </w:rPr>
      </w:pPr>
    </w:p>
    <w:p w14:paraId="211F50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 впервые попробовали оснастить тяжелый бомбардировщик артиллерийским орудием крупного калибра для обстрела целей на земле На двухмоторном ТБ-1 поставили 76-мм не автоматическую динамореактивную пушку. Однако, похоже, что таким образом старались просто изучить влияние стрельбы из такого орудия на прочность машины и ее управляемость. Пушка весом 88 кг стояла вертикально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перемещение ствола вперед-назад по полету, вбок же он не двигался. Какие-либо прицельные приспособления отсутствовали.</w:t>
      </w:r>
    </w:p>
    <w:p w14:paraId="496B7B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Огонь вел пилот, дергавший за шнур, как у обычного полевого орудия. Возле пушки располагался заряжающий, при стрельбе стоявший на маленькой квадратной площадке. Снаряды хранились в ящиках у мест стрелков.</w:t>
      </w:r>
    </w:p>
    <w:p w14:paraId="3B5F4C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Испытания велись на Кунцевском полигоне в марте 1931 г. В связи с невозможностью как-либо прицелиться, стреляли шрапнелью, чтобы увеличить вероятность поражения мишеней. Всего за три дня сделали 18 выстрелов. На пилотирование самолета стрельба не повлияла, но при осмотре выявились деформации обшивки и подкрепляющих ее профилей. Вылетели некоторые заклепки. Ни летчик, ни заряжающий не видели, куда стреляют и попали ли хоть во что-нибудь. Отсутствие связи между ними вызвало немало нестыковок. Заряжающему приходилось лазать по тесному проходу на четвереньках, таская к орудию снаряды, а обратно - стреляные гильзы. Но этот первый эксперимент показал, что бомбардировщик можно вооружить пушкой.</w:t>
      </w:r>
    </w:p>
    <w:p w14:paraId="5201B8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Для ТБ-1 предназначалась и загадочная ротатив- ная батарея из четырех стволов калибра 76 мм, значившаяся в плане Осконбюро ВВС на 1932 г. Скорее всего, это был блок из четырех динамореактивных пушек, который монтировался в бомбоотсеке так, что один ствол выступал наружу. После выстрела батарею проворачивали, устанавливая в это положение заряженный ствол.</w:t>
      </w:r>
    </w:p>
    <w:p w14:paraId="271E0D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апреле 1932 г. Надашкевичу и Курчевскому дали задание разработать схему размещения динамореактивных пушек на консолях крыла и в хвостовой части ТБ-3. Из сохранившихся документов не ясно, имелась в виду неподвижная или подвижная установка. А вот в отчете НИИ ВВС за первое полугодие 1934 г. довольно подробно описана "полуподвижная" (с ограниченными углами перемещения) установка с батареей из шести автоматических динамореактивных пушек АП К-4. Интересно, что в проекте предусматривалось автоматическое управление поворотом всех стволов от центральной системы управления огнем, как на корабле. Альтернативно предлагался комплект из девяти 20-мм обычных автоматических пушек с той же системой управления огнем "Гром". Но в том же году работу приостановили из-за проблем с финансированием.</w:t>
      </w:r>
    </w:p>
    <w:p w14:paraId="46EA04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Позже упор сделали не на динамореактивные, а на классические нарезные пушки. При том же калибре они имели в полтора раза более тяжелый снаряд, выигрывали в начальной скорости, а стало быть, в дальности и точности стрельбы. Минусом являлась отдача, сотрясавшая конструкцию самолета. Поэтому носителем их выбрали большой и тяжелый ТБ-3. Под руководством П.И. Гроховского бомбардировщик Туполева оснастили пушками весьма приличного калибра (12036).</w:t>
      </w:r>
    </w:p>
    <w:p w14:paraId="1AA94900" w14:textId="77777777" w:rsidR="00537E5F" w:rsidRPr="00507A31" w:rsidRDefault="00537E5F" w:rsidP="00507A31">
      <w:pPr>
        <w:autoSpaceDE w:val="0"/>
        <w:autoSpaceDN w:val="0"/>
        <w:adjustRightInd w:val="0"/>
        <w:jc w:val="both"/>
        <w:rPr>
          <w:color w:val="000000" w:themeColor="text1"/>
          <w:sz w:val="16"/>
          <w:szCs w:val="16"/>
        </w:rPr>
      </w:pPr>
    </w:p>
    <w:p w14:paraId="6B625146" w14:textId="77777777" w:rsidR="006B5C92" w:rsidRPr="00507A31" w:rsidRDefault="006B5C92" w:rsidP="00507A31">
      <w:pPr>
        <w:jc w:val="both"/>
        <w:rPr>
          <w:color w:val="000000" w:themeColor="text1"/>
          <w:sz w:val="16"/>
          <w:szCs w:val="16"/>
        </w:rPr>
      </w:pPr>
      <w:r w:rsidRPr="00507A31">
        <w:rPr>
          <w:color w:val="000000" w:themeColor="text1"/>
          <w:sz w:val="16"/>
          <w:szCs w:val="16"/>
        </w:rPr>
        <w:t>В декабре 1930 года начальник У ВВС П. И. Баранов признал «юнкерс» неудовлетворительным как торпедоносец (15479).</w:t>
      </w:r>
    </w:p>
    <w:p w14:paraId="35D4E730" w14:textId="77777777" w:rsidR="006B5C92" w:rsidRPr="00507A31" w:rsidRDefault="006B5C92" w:rsidP="00507A31">
      <w:pPr>
        <w:jc w:val="both"/>
        <w:rPr>
          <w:color w:val="000000" w:themeColor="text1"/>
          <w:sz w:val="16"/>
          <w:szCs w:val="16"/>
        </w:rPr>
      </w:pPr>
    </w:p>
    <w:p w14:paraId="43B5E0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Декабрь 1930. Информация о выполнении "мертвой петли" на планере СПК "Красная звезда" как о мировом достижении (журн. "Авиация и химия". 1930. № 12) (10676).</w:t>
      </w:r>
    </w:p>
    <w:p w14:paraId="337438F8" w14:textId="77777777" w:rsidR="00537E5F" w:rsidRPr="00507A31" w:rsidRDefault="00537E5F" w:rsidP="00507A31">
      <w:pPr>
        <w:autoSpaceDE w:val="0"/>
        <w:autoSpaceDN w:val="0"/>
        <w:adjustRightInd w:val="0"/>
        <w:jc w:val="both"/>
        <w:rPr>
          <w:color w:val="000000" w:themeColor="text1"/>
          <w:sz w:val="16"/>
          <w:szCs w:val="16"/>
        </w:rPr>
      </w:pPr>
    </w:p>
    <w:p w14:paraId="0CBA61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ы НИИ ВВС был списан опытный Р-4 (№ 3191), построенный еще в конце 1926 (6594, 9).</w:t>
      </w:r>
    </w:p>
    <w:p w14:paraId="6534A82F" w14:textId="77777777" w:rsidR="00537E5F" w:rsidRPr="00507A31" w:rsidRDefault="00537E5F" w:rsidP="00507A31">
      <w:pPr>
        <w:autoSpaceDE w:val="0"/>
        <w:autoSpaceDN w:val="0"/>
        <w:adjustRightInd w:val="0"/>
        <w:jc w:val="both"/>
        <w:rPr>
          <w:color w:val="000000" w:themeColor="text1"/>
          <w:sz w:val="16"/>
          <w:szCs w:val="16"/>
        </w:rPr>
      </w:pPr>
    </w:p>
    <w:p w14:paraId="3024F6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были изготовлены чертежи ГМ-34 для глиссеров (2281,66).</w:t>
      </w:r>
    </w:p>
    <w:p w14:paraId="15174DDF" w14:textId="77777777" w:rsidR="00537E5F" w:rsidRPr="00507A31" w:rsidRDefault="00537E5F" w:rsidP="00507A31">
      <w:pPr>
        <w:autoSpaceDE w:val="0"/>
        <w:autoSpaceDN w:val="0"/>
        <w:adjustRightInd w:val="0"/>
        <w:jc w:val="both"/>
        <w:rPr>
          <w:color w:val="000000" w:themeColor="text1"/>
          <w:sz w:val="16"/>
          <w:szCs w:val="16"/>
        </w:rPr>
      </w:pPr>
    </w:p>
    <w:p w14:paraId="3A13186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КО П.И.Гроховский посетил П.И.Б. и тот поставил задачу начать производство десантной техники на 200 чел. Дал Бицкого и В.П.Ч. летать на ТБ-1, хотя просили А.Ф.Анисимова - но тот был главным в НИИ по истребителям. Н.Н.П. был недоволен переделкой Р-5 а 10 местный - объект Г-61 (1101,66).</w:t>
      </w:r>
    </w:p>
    <w:p w14:paraId="099B6689" w14:textId="77777777" w:rsidR="00537E5F" w:rsidRPr="00507A31" w:rsidRDefault="00537E5F" w:rsidP="00507A31">
      <w:pPr>
        <w:autoSpaceDE w:val="0"/>
        <w:autoSpaceDN w:val="0"/>
        <w:adjustRightInd w:val="0"/>
        <w:jc w:val="both"/>
        <w:rPr>
          <w:color w:val="000000" w:themeColor="text1"/>
          <w:sz w:val="16"/>
          <w:szCs w:val="16"/>
        </w:rPr>
      </w:pPr>
    </w:p>
    <w:p w14:paraId="29B93D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П.И.Б. писал "Самолет обладает скоростью в три раза больше, чем торпедный катер, лучше маневрирует, менее заметен, дает лучшую прицельность, дешевле стоит..." (561,5). В это время истек срок контракта П.Ришара и руководство МОС ВАО решило его не продлевать (99,178).</w:t>
      </w:r>
    </w:p>
    <w:p w14:paraId="42811B7A" w14:textId="77777777" w:rsidR="00537E5F" w:rsidRPr="00507A31" w:rsidRDefault="00537E5F" w:rsidP="00507A31">
      <w:pPr>
        <w:autoSpaceDE w:val="0"/>
        <w:autoSpaceDN w:val="0"/>
        <w:adjustRightInd w:val="0"/>
        <w:jc w:val="both"/>
        <w:rPr>
          <w:color w:val="000000" w:themeColor="text1"/>
          <w:sz w:val="16"/>
          <w:szCs w:val="16"/>
        </w:rPr>
      </w:pPr>
    </w:p>
    <w:p w14:paraId="6E07DF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года была завершена постройка самолета ТОМ-1 (451). До августа 1931 испытывался в Севастополе (561,5).</w:t>
      </w:r>
    </w:p>
    <w:p w14:paraId="3F09A29B" w14:textId="77777777" w:rsidR="00537E5F" w:rsidRPr="00507A31" w:rsidRDefault="00537E5F" w:rsidP="00507A31">
      <w:pPr>
        <w:autoSpaceDE w:val="0"/>
        <w:autoSpaceDN w:val="0"/>
        <w:adjustRightInd w:val="0"/>
        <w:jc w:val="both"/>
        <w:rPr>
          <w:color w:val="000000" w:themeColor="text1"/>
          <w:sz w:val="16"/>
          <w:szCs w:val="16"/>
        </w:rPr>
      </w:pPr>
    </w:p>
    <w:p w14:paraId="6FAFE5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 начальник УВВС П. И. Баранов признал "Юнкерс" Юг-1 неудовлетворительным как торпедоносец. Количество ЮГ-1 в военной авиации начало стремительно сокращаться. Если на 1 сентября 1929 г. в ВВС имелось 15 ЮГ-1 на колесах и 7 на поплавках, то ровно через год их осталось 7 и 7. А к январю 1933 г. - всего 4, из которых 3 использовались как учебные (один в Военно-воздушной академии и два - в школе морских летчиков в Ейске), а четвертый, приписанный к 70-му отряду особого назначения, обслуживал Реввоенсовет ОКДВА. В январе 1934 г. летал уже всего один самолет в Ейске (3224,15).</w:t>
      </w:r>
    </w:p>
    <w:p w14:paraId="4A02887A" w14:textId="77777777" w:rsidR="00537E5F" w:rsidRPr="00507A31" w:rsidRDefault="00537E5F" w:rsidP="00507A31">
      <w:pPr>
        <w:autoSpaceDE w:val="0"/>
        <w:autoSpaceDN w:val="0"/>
        <w:adjustRightInd w:val="0"/>
        <w:jc w:val="both"/>
        <w:rPr>
          <w:color w:val="000000" w:themeColor="text1"/>
          <w:sz w:val="16"/>
          <w:szCs w:val="16"/>
        </w:rPr>
      </w:pPr>
    </w:p>
    <w:p w14:paraId="5E3A9B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при Всесоюзном объединении ГВФ организовали Базу опытного строительства и эксплуатации дирижаблей (БОСЭД) и она в 1931 была реорганизована в НИИ комбинат - Дирижаблестрой (438,618).</w:t>
      </w:r>
    </w:p>
    <w:p w14:paraId="096DFA91" w14:textId="77777777" w:rsidR="00537E5F" w:rsidRPr="00507A31" w:rsidRDefault="00537E5F" w:rsidP="00507A31">
      <w:pPr>
        <w:autoSpaceDE w:val="0"/>
        <w:autoSpaceDN w:val="0"/>
        <w:adjustRightInd w:val="0"/>
        <w:jc w:val="both"/>
        <w:rPr>
          <w:color w:val="000000" w:themeColor="text1"/>
          <w:sz w:val="16"/>
          <w:szCs w:val="16"/>
        </w:rPr>
      </w:pPr>
    </w:p>
    <w:p w14:paraId="5B3242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РВС принял постановление "О противовоздушной обороне тыла", где в числе практических мер предусматривал формирование отрядов аэростатов заграждения (1230,22).</w:t>
      </w:r>
    </w:p>
    <w:p w14:paraId="3235A572" w14:textId="77777777" w:rsidR="00537E5F" w:rsidRPr="00507A31" w:rsidRDefault="00537E5F" w:rsidP="00507A31">
      <w:pPr>
        <w:autoSpaceDE w:val="0"/>
        <w:autoSpaceDN w:val="0"/>
        <w:adjustRightInd w:val="0"/>
        <w:jc w:val="both"/>
        <w:rPr>
          <w:color w:val="000000" w:themeColor="text1"/>
          <w:sz w:val="16"/>
          <w:szCs w:val="16"/>
        </w:rPr>
      </w:pPr>
    </w:p>
    <w:p w14:paraId="4F18C6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постановлением РВС ЦАГИ было предложено создать отдел по проектированию и постройке экспериментальных ЛА (95, 22).</w:t>
      </w:r>
    </w:p>
    <w:p w14:paraId="048E9B43" w14:textId="77777777" w:rsidR="00537E5F" w:rsidRPr="00507A31" w:rsidRDefault="00537E5F" w:rsidP="00507A31">
      <w:pPr>
        <w:autoSpaceDE w:val="0"/>
        <w:autoSpaceDN w:val="0"/>
        <w:adjustRightInd w:val="0"/>
        <w:jc w:val="both"/>
        <w:rPr>
          <w:color w:val="000000" w:themeColor="text1"/>
          <w:sz w:val="16"/>
          <w:szCs w:val="16"/>
        </w:rPr>
      </w:pPr>
    </w:p>
    <w:p w14:paraId="6DE6FA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П.И.Б. отметил, что морская авиация по вооружению и боевой подготовки стоит ниже сухопутной и только эскадрильи дальней разведки имеют современные самолеты Дорнье-Валь (1085,104).</w:t>
      </w:r>
    </w:p>
    <w:p w14:paraId="5114DFEE" w14:textId="77777777" w:rsidR="00537E5F" w:rsidRPr="00507A31" w:rsidRDefault="00537E5F" w:rsidP="00507A31">
      <w:pPr>
        <w:autoSpaceDE w:val="0"/>
        <w:autoSpaceDN w:val="0"/>
        <w:adjustRightInd w:val="0"/>
        <w:jc w:val="both"/>
        <w:rPr>
          <w:color w:val="000000" w:themeColor="text1"/>
          <w:sz w:val="16"/>
          <w:szCs w:val="16"/>
        </w:rPr>
      </w:pPr>
    </w:p>
    <w:p w14:paraId="28DF81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объединенный пленум ЦК и ЦКК ВКП(б) утвердил контрольные цифры плана на 1931 и увеличили вложения в ГВФ до 135 млн. руб. (318,155).</w:t>
      </w:r>
    </w:p>
    <w:p w14:paraId="217070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Пленум вывел А.И.Р. из ПБ как одного из лидеров правой оппозиции и вместо него на пост Пред. Совнаркома назначил В.М.М. (226,416).</w:t>
      </w:r>
    </w:p>
    <w:p w14:paraId="71AB8A13" w14:textId="77777777" w:rsidR="00537E5F" w:rsidRPr="00507A31" w:rsidRDefault="00537E5F" w:rsidP="00507A31">
      <w:pPr>
        <w:autoSpaceDE w:val="0"/>
        <w:autoSpaceDN w:val="0"/>
        <w:adjustRightInd w:val="0"/>
        <w:jc w:val="both"/>
        <w:rPr>
          <w:color w:val="000000" w:themeColor="text1"/>
          <w:sz w:val="16"/>
          <w:szCs w:val="16"/>
        </w:rPr>
      </w:pPr>
    </w:p>
    <w:p w14:paraId="5CDCF7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года представитель Аэрофлота совместно с НИИ ВВС испытывал самолет К-5 с точки зрения пригодности его для ГВФ и предложил ряд улучшений без проведения которых самолет не мог быть рекомендован для внедрения (7738, 12-10).</w:t>
      </w:r>
    </w:p>
    <w:p w14:paraId="241E720B" w14:textId="77777777" w:rsidR="00537E5F" w:rsidRPr="00507A31" w:rsidRDefault="00537E5F" w:rsidP="00507A31">
      <w:pPr>
        <w:autoSpaceDE w:val="0"/>
        <w:autoSpaceDN w:val="0"/>
        <w:adjustRightInd w:val="0"/>
        <w:jc w:val="both"/>
        <w:rPr>
          <w:color w:val="000000" w:themeColor="text1"/>
          <w:sz w:val="16"/>
          <w:szCs w:val="16"/>
        </w:rPr>
      </w:pPr>
    </w:p>
    <w:p w14:paraId="3F09DAC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81AC268" w14:textId="77777777" w:rsidR="00537E5F" w:rsidRPr="00507A31" w:rsidRDefault="00537E5F" w:rsidP="00507A31">
      <w:pPr>
        <w:autoSpaceDE w:val="0"/>
        <w:autoSpaceDN w:val="0"/>
        <w:adjustRightInd w:val="0"/>
        <w:jc w:val="both"/>
        <w:rPr>
          <w:iCs/>
          <w:color w:val="000000" w:themeColor="text1"/>
          <w:sz w:val="16"/>
          <w:szCs w:val="16"/>
        </w:rPr>
      </w:pPr>
    </w:p>
    <w:p w14:paraId="35A0FFE0" w14:textId="77777777" w:rsidR="006B5C92" w:rsidRPr="00507A31" w:rsidRDefault="006B5C92" w:rsidP="00507A31">
      <w:pPr>
        <w:jc w:val="both"/>
        <w:rPr>
          <w:color w:val="000000" w:themeColor="text1"/>
          <w:sz w:val="16"/>
          <w:szCs w:val="16"/>
        </w:rPr>
      </w:pPr>
      <w:r w:rsidRPr="00507A31">
        <w:rPr>
          <w:color w:val="000000" w:themeColor="text1"/>
          <w:sz w:val="16"/>
          <w:szCs w:val="16"/>
        </w:rPr>
        <w:t xml:space="preserve">В декабре 1930 г. заводу «Большевик» был выдан заказ УВМС на разработку проекта, чертежей и изготовление опытного образца 130/45-мм пушки Б-13. Заводские испытания опытных образцов Б-13 проводились в 1934-1935 гг. Система имела много замечаний, но к этому времени полным ходом шло строительство лидеров миноносцев и для их вооружения завод «Большевик» в 1935 г. приступил к валовому производству АУ Б-13. Установками первой серии был вооружён лидер «Ленинград» (пр.1). Корабельные испытания прошли на этом корабле в 1936 г. По результатам испытаний была проведена корректировка КД и с 1939 г. завод выпускал АУ Б - 13-Нс (вторая серия). Были модернизированы: досылатель, тормоза отката, механизмы вертикального наведения и др. Коробчатый щит заменили во втором полугодии 1939 г. на щит обтекаемой формы. Первоначально пушка проектировалась и изготавливалась со скреплённым стволом. Позднее перешли на изготовление лейнированных стволов. Нарезка лейнера мелкая — 1,0 мм. С 1936 г. перешли на глубокую нарезку — 2,7 мм. Затвор АУ поршневой, двухтактный, </w:t>
      </w:r>
      <w:r w:rsidRPr="00507A31">
        <w:rPr>
          <w:color w:val="000000" w:themeColor="text1"/>
          <w:sz w:val="16"/>
          <w:szCs w:val="16"/>
        </w:rPr>
        <w:lastRenderedPageBreak/>
        <w:t>открывался вручную в правую сторону. Тормоз отката гидравлический, накатник гидропневматический. Вес установки 11,5 т. Скорострельность 10-12 выстрелов в минуту. К началу ВОВ ВМФ располагал 580 АУ Б-13 обеих серий (включая береговые) (15132).</w:t>
      </w:r>
    </w:p>
    <w:p w14:paraId="7C850405" w14:textId="77777777" w:rsidR="006B5C92" w:rsidRPr="00507A31" w:rsidRDefault="006B5C92" w:rsidP="00507A31">
      <w:pPr>
        <w:jc w:val="both"/>
        <w:rPr>
          <w:color w:val="000000" w:themeColor="text1"/>
          <w:sz w:val="16"/>
          <w:szCs w:val="16"/>
        </w:rPr>
      </w:pPr>
    </w:p>
    <w:p w14:paraId="22075D8B" w14:textId="77777777" w:rsidR="003C0F37" w:rsidRPr="00507A31" w:rsidRDefault="003C0F37" w:rsidP="00507A31">
      <w:pPr>
        <w:autoSpaceDE w:val="0"/>
        <w:autoSpaceDN w:val="0"/>
        <w:adjustRightInd w:val="0"/>
        <w:jc w:val="both"/>
        <w:rPr>
          <w:color w:val="0070C0"/>
          <w:sz w:val="16"/>
          <w:szCs w:val="16"/>
        </w:rPr>
      </w:pPr>
      <w:r w:rsidRPr="00507A31">
        <w:rPr>
          <w:color w:val="0070C0"/>
          <w:sz w:val="16"/>
          <w:szCs w:val="16"/>
        </w:rPr>
        <w:t>В декабре 1930 г. по указанию II секции НТК АУ инженерами группы «Д» АНИИ были проведены расчеты по определению запаса прочности для ствола газоминомета в случае замены марки стали (относительно ранее использовавшейся), после чего было принято решение об изготовлении опытной партии газоминомета «В» в количестве 10 шт. и проведении испытаний на НИАПе на прочность большим числом выстрелов.</w:t>
      </w:r>
    </w:p>
    <w:p w14:paraId="0F9C5A91" w14:textId="77777777" w:rsidR="003C0F37" w:rsidRPr="00507A31" w:rsidRDefault="003C0F37" w:rsidP="00507A31">
      <w:pPr>
        <w:jc w:val="both"/>
        <w:rPr>
          <w:rFonts w:eastAsia="TimesNewRomanPSMT"/>
          <w:color w:val="0070C0"/>
          <w:sz w:val="16"/>
          <w:szCs w:val="16"/>
        </w:rPr>
      </w:pPr>
      <w:r w:rsidRPr="00507A31">
        <w:rPr>
          <w:color w:val="0070C0"/>
          <w:sz w:val="16"/>
          <w:szCs w:val="16"/>
        </w:rPr>
        <w:t>Эти расчеты были проведены согласно решения совещания при IX отделе МПУ ВСНХ СССР по вопросу кустования производства газоминометов, на котором присутствовали представители МПУ, НТК АУ, НТК ВОХИМУ, региональных производственных объединений и предприятий кооперации (заводы «Красный Октябрь», «Красное Сормово», Верхне-Туринский, Коломенский и завод К. Либкнехта), которое состоялось 1 ноября 1930 г. Рассмотрев вопрос о необходимости снижения ТУ на металл для труб и камер газоминометов, для которых требовалось расходование высокосортной стали, получаемой с использованием импортных ферросплавов (ванадия и молибдена), совещание приняло решение о замене марки стали для стволов и камор. При этом, учитывая неизбежно возникающие увеличение веса и необходимость изменения конструкции, было решено ходатайствовать перед Начальником Вооружений о необходимости изменения конструкции каморы с целью допущения изготовления ее из малохромистой стали.365 (20074).</w:t>
      </w:r>
    </w:p>
    <w:p w14:paraId="7C4B2192" w14:textId="77777777" w:rsidR="003C0F37" w:rsidRPr="00507A31" w:rsidRDefault="003C0F37" w:rsidP="00507A31">
      <w:pPr>
        <w:autoSpaceDE w:val="0"/>
        <w:autoSpaceDN w:val="0"/>
        <w:adjustRightInd w:val="0"/>
        <w:jc w:val="both"/>
        <w:rPr>
          <w:color w:val="0070C0"/>
          <w:sz w:val="16"/>
          <w:szCs w:val="16"/>
        </w:rPr>
      </w:pPr>
    </w:p>
    <w:p w14:paraId="02E71C76" w14:textId="77777777" w:rsidR="009D1D04" w:rsidRPr="00507A31" w:rsidRDefault="009D1D04" w:rsidP="00507A31">
      <w:pPr>
        <w:jc w:val="both"/>
        <w:rPr>
          <w:color w:val="0070C0"/>
          <w:sz w:val="16"/>
          <w:szCs w:val="16"/>
        </w:rPr>
      </w:pPr>
      <w:r w:rsidRPr="00507A31">
        <w:rPr>
          <w:color w:val="0070C0"/>
          <w:sz w:val="16"/>
          <w:szCs w:val="16"/>
        </w:rPr>
        <w:t xml:space="preserve">Проект 76-мм бомбомета разработки Л. В. Курчевского был утвержден НТК АУ в декабре 1930 г., в январе 1931 г. ГВООПО был выдан заказ на изготовление одного опытного образца.181 Также Л. В. Курчевским в 1930 г. был представлен проект 155-мм миномета типа Стокса с отдельной каморой сгорания. Заключение по этому проекту было дано начальником группы «Д» Н. А. Доровлевым, который отметил, что «Подкупающая простота идеи устройства, при беглых подсчетах обнаруживает безусловную неосуществимость ее практически…».182 </w:t>
      </w:r>
    </w:p>
    <w:p w14:paraId="773B7D2E" w14:textId="77777777" w:rsidR="009D1D04" w:rsidRPr="00507A31" w:rsidRDefault="009D1D04" w:rsidP="00507A31">
      <w:pPr>
        <w:jc w:val="both"/>
        <w:rPr>
          <w:color w:val="0070C0"/>
          <w:sz w:val="16"/>
          <w:szCs w:val="16"/>
        </w:rPr>
      </w:pPr>
      <w:r w:rsidRPr="00507A31">
        <w:rPr>
          <w:color w:val="0070C0"/>
          <w:sz w:val="16"/>
          <w:szCs w:val="16"/>
        </w:rPr>
        <w:t>В соответствии с утвержденными ТТТ на проектирование легкого, среднего и тяжелого минометов, на начальном этапе Н. А. Доровлевым была проведена работа по изучению конструкции 81-мм и 152-мм минометов Стокса, имевшихся в распоряжении НИАПа. 183 Для каждой системы на полигоне проводились опытные стрельбы с целью изучения их характеристик и выявления возможностей усовершенствования. (20074).</w:t>
      </w:r>
    </w:p>
    <w:p w14:paraId="403E5542" w14:textId="77777777" w:rsidR="009D1D04" w:rsidRPr="00507A31" w:rsidRDefault="009D1D04" w:rsidP="00507A31">
      <w:pPr>
        <w:jc w:val="both"/>
        <w:rPr>
          <w:color w:val="0070C0"/>
          <w:sz w:val="16"/>
          <w:szCs w:val="16"/>
        </w:rPr>
      </w:pPr>
    </w:p>
    <w:p w14:paraId="7E3F9ACA" w14:textId="77777777" w:rsidR="004D54B5" w:rsidRPr="00507A31" w:rsidRDefault="004D54B5" w:rsidP="00507A31">
      <w:pPr>
        <w:shd w:val="clear" w:color="auto" w:fill="FFFFFF"/>
        <w:jc w:val="both"/>
        <w:rPr>
          <w:color w:val="0070C0"/>
          <w:sz w:val="16"/>
          <w:szCs w:val="16"/>
        </w:rPr>
      </w:pPr>
      <w:r w:rsidRPr="00507A31">
        <w:rPr>
          <w:color w:val="0070C0"/>
          <w:sz w:val="16"/>
          <w:szCs w:val="16"/>
        </w:rPr>
        <w:t>В декабре 1930 г. во исполнение и развитие указаний, полученных от наркома и Политбюро, Штаб РККА спроектировал армию военного времени в следующем составе (см. табл. б) (Доклад Начальника Штаба Шапошникова и Начальника II Управления Штаба РККА Венцова Наркому по Военным и Морским Делам Ворошилову (проект), декабрь 1930 (беловая копия) // Там же. On. 1. Д. 153. Л. 67 об.-72. Число стрелковых дивизий указано как сумма дивизий 1, 2 и 3-й очереди. Гориных стрелковых дивизий планировалось иметь 11, причем в 1933 г. они готовились как второочередные, в 1934 г. переводились в первоочередные. Число корпусных управлений дано к исходу первых двух месяцев войны.</w:t>
      </w:r>
    </w:p>
    <w:p w14:paraId="6922424C" w14:textId="77777777" w:rsidR="004D54B5" w:rsidRPr="00507A31" w:rsidRDefault="004D54B5" w:rsidP="00507A31">
      <w:pPr>
        <w:shd w:val="clear" w:color="auto" w:fill="FFFFFF"/>
        <w:jc w:val="both"/>
        <w:rPr>
          <w:color w:val="0070C0"/>
          <w:sz w:val="16"/>
          <w:szCs w:val="16"/>
        </w:rPr>
      </w:pPr>
      <w:r w:rsidRPr="00507A31">
        <w:rPr>
          <w:color w:val="0070C0"/>
          <w:sz w:val="16"/>
          <w:szCs w:val="16"/>
        </w:rPr>
        <w:t>В 1931-1932 гг. стрелковые дивизии планировалось иметь по штатам моб-плана № 10 (численность личного состава - 11 644 человек), в 1933-1934 гг.- по штатам мобплана № 12 (12 130 человек). В 1931-1932 гг. все дивизии планировались с ослабленным артиллерийским оснащением но сравнению с нормами мобрасписания № 10. В дивизиях, подготавливаемых к развертыванию в 1933 г., пулеметное вооружение было уменьшено по сравнению с требованиями мобплана № 12. Таким образом, лишь в 1934 т. состав стрелковых соединений должен был в полной мере соответствовать штатам мобрасписания № 12.</w:t>
      </w:r>
    </w:p>
    <w:p w14:paraId="625654D2" w14:textId="77777777" w:rsidR="004D54B5" w:rsidRPr="00507A31" w:rsidRDefault="004D54B5" w:rsidP="00507A31">
      <w:pPr>
        <w:shd w:val="clear" w:color="auto" w:fill="FFFFFF"/>
        <w:jc w:val="both"/>
        <w:rPr>
          <w:color w:val="0070C0"/>
          <w:sz w:val="16"/>
          <w:szCs w:val="16"/>
        </w:rPr>
      </w:pPr>
      <w:r w:rsidRPr="00507A31">
        <w:rPr>
          <w:color w:val="0070C0"/>
          <w:sz w:val="16"/>
          <w:szCs w:val="16"/>
        </w:rPr>
        <w:t>Кавалерийские дивизии с 1931 г. включают дивизии по новой организации (с уменьшенным составом вооружений по сравнению со штатами по моб-плану № 10) и горные кавалерийские дивизии. С 1932 г. но штатам расписания № 10 иметь их не предполагалось вовсе. С 1932 г. кавалерийские дивизии сводились в 5 кавкорпусов.</w:t>
      </w:r>
    </w:p>
    <w:p w14:paraId="2500D5C1" w14:textId="77777777" w:rsidR="004D54B5" w:rsidRPr="00507A31" w:rsidRDefault="004D54B5" w:rsidP="00507A31">
      <w:pPr>
        <w:shd w:val="clear" w:color="auto" w:fill="FFFFFF"/>
        <w:jc w:val="both"/>
        <w:rPr>
          <w:color w:val="0070C0"/>
          <w:sz w:val="16"/>
          <w:szCs w:val="16"/>
        </w:rPr>
      </w:pPr>
      <w:r w:rsidRPr="00507A31">
        <w:rPr>
          <w:color w:val="0070C0"/>
          <w:sz w:val="16"/>
          <w:szCs w:val="16"/>
        </w:rPr>
        <w:t>В количестве танков танкетки не учитываются. В 1931-1932 гг. предусматривалось иметь 400 танкеток, в 1933 г. - 1895, в 1934 г. - 3426. Сведения по тапкам и танкеткам включают запасные части и вузы.</w:t>
      </w:r>
    </w:p>
    <w:p w14:paraId="2C15224F" w14:textId="77777777" w:rsidR="004D54B5" w:rsidRPr="00507A31" w:rsidRDefault="004D54B5" w:rsidP="00507A31">
      <w:pPr>
        <w:shd w:val="clear" w:color="auto" w:fill="FFFFFF"/>
        <w:jc w:val="both"/>
        <w:rPr>
          <w:color w:val="0070C0"/>
          <w:sz w:val="16"/>
          <w:szCs w:val="16"/>
        </w:rPr>
      </w:pPr>
      <w:r w:rsidRPr="00507A31">
        <w:rPr>
          <w:color w:val="0070C0"/>
          <w:sz w:val="16"/>
          <w:szCs w:val="16"/>
        </w:rPr>
        <w:t>Боевых самолетов - в строю и резерве. Начиная с 1932 г. мобразвертыва ние предполагалось осуществлять с привлечением самолетов гражданской авиации, их число учтено в общих данных):</w:t>
      </w:r>
    </w:p>
    <w:p w14:paraId="41D1F855" w14:textId="77777777" w:rsidR="004D54B5" w:rsidRPr="00507A31" w:rsidRDefault="004D54B5" w:rsidP="00507A31">
      <w:pPr>
        <w:shd w:val="clear" w:color="auto" w:fill="FFFFFF"/>
        <w:jc w:val="both"/>
        <w:rPr>
          <w:color w:val="0070C0"/>
          <w:sz w:val="16"/>
          <w:szCs w:val="16"/>
        </w:rPr>
      </w:pPr>
      <w:r w:rsidRPr="00507A31">
        <w:rPr>
          <w:color w:val="0070C0"/>
          <w:sz w:val="16"/>
          <w:szCs w:val="16"/>
        </w:rPr>
        <w:t>ТАБЛИЦА 6</w:t>
      </w:r>
    </w:p>
    <w:p w14:paraId="2F30A13B" w14:textId="77777777" w:rsidR="004D54B5" w:rsidRPr="00507A31" w:rsidRDefault="004D54B5" w:rsidP="00507A31">
      <w:pPr>
        <w:shd w:val="clear" w:color="auto" w:fill="FFFFFF"/>
        <w:jc w:val="both"/>
        <w:rPr>
          <w:color w:val="0070C0"/>
          <w:sz w:val="16"/>
          <w:szCs w:val="16"/>
        </w:rPr>
      </w:pPr>
      <w:r w:rsidRPr="00507A31">
        <w:rPr>
          <w:color w:val="0070C0"/>
          <w:sz w:val="16"/>
          <w:szCs w:val="16"/>
        </w:rPr>
        <w:t>Состав армии военного времени на 1931-1934 гг.</w:t>
      </w:r>
    </w:p>
    <w:p w14:paraId="77A631CB" w14:textId="77777777" w:rsidR="004D54B5" w:rsidRPr="00507A31" w:rsidRDefault="004D54B5" w:rsidP="00507A31">
      <w:pPr>
        <w:shd w:val="clear" w:color="auto" w:fill="FFFFFF"/>
        <w:jc w:val="both"/>
        <w:rPr>
          <w:color w:val="0070C0"/>
          <w:sz w:val="16"/>
          <w:szCs w:val="16"/>
        </w:rPr>
      </w:pPr>
      <w:r w:rsidRPr="00507A31">
        <w:rPr>
          <w:color w:val="0070C0"/>
          <w:sz w:val="16"/>
          <w:szCs w:val="16"/>
        </w:rPr>
        <w:t>Год</w:t>
      </w:r>
      <w:r w:rsidRPr="00507A31">
        <w:rPr>
          <w:color w:val="0070C0"/>
          <w:sz w:val="16"/>
          <w:szCs w:val="16"/>
        </w:rPr>
        <w:tab/>
        <w:t>Стрелковые дивизии (1, 2 и 3-й очереди)</w:t>
      </w:r>
      <w:r w:rsidRPr="00507A31">
        <w:rPr>
          <w:color w:val="0070C0"/>
          <w:sz w:val="16"/>
          <w:szCs w:val="16"/>
        </w:rPr>
        <w:tab/>
        <w:t>Кавалерийские дивизии</w:t>
      </w:r>
      <w:r w:rsidRPr="00507A31">
        <w:rPr>
          <w:color w:val="0070C0"/>
          <w:sz w:val="16"/>
          <w:szCs w:val="16"/>
        </w:rPr>
        <w:tab/>
        <w:t>Корпусные управления</w:t>
      </w:r>
      <w:r w:rsidRPr="00507A31">
        <w:rPr>
          <w:color w:val="0070C0"/>
          <w:sz w:val="16"/>
          <w:szCs w:val="16"/>
        </w:rPr>
        <w:tab/>
        <w:t>Танки встрою</w:t>
      </w:r>
      <w:r w:rsidRPr="00507A31">
        <w:rPr>
          <w:color w:val="0070C0"/>
          <w:sz w:val="16"/>
          <w:szCs w:val="16"/>
        </w:rPr>
        <w:tab/>
        <w:t>Боевые самолеты</w:t>
      </w:r>
      <w:r w:rsidRPr="00507A31">
        <w:rPr>
          <w:color w:val="0070C0"/>
          <w:sz w:val="16"/>
          <w:szCs w:val="16"/>
        </w:rPr>
        <w:tab/>
        <w:t>Численность личного состава</w:t>
      </w:r>
    </w:p>
    <w:p w14:paraId="3DD11F06" w14:textId="77777777" w:rsidR="004D54B5" w:rsidRPr="00507A31" w:rsidRDefault="004D54B5" w:rsidP="00507A31">
      <w:pPr>
        <w:shd w:val="clear" w:color="auto" w:fill="FFFFFF"/>
        <w:jc w:val="both"/>
        <w:rPr>
          <w:color w:val="0070C0"/>
          <w:sz w:val="16"/>
          <w:szCs w:val="16"/>
        </w:rPr>
      </w:pPr>
      <w:r w:rsidRPr="00507A31">
        <w:rPr>
          <w:color w:val="0070C0"/>
          <w:sz w:val="16"/>
          <w:szCs w:val="16"/>
        </w:rPr>
        <w:t>1931</w:t>
      </w:r>
      <w:r w:rsidRPr="00507A31">
        <w:rPr>
          <w:color w:val="0070C0"/>
          <w:sz w:val="16"/>
          <w:szCs w:val="16"/>
        </w:rPr>
        <w:tab/>
        <w:t>75+27+20</w:t>
      </w:r>
      <w:r w:rsidRPr="00507A31">
        <w:rPr>
          <w:color w:val="0070C0"/>
          <w:sz w:val="16"/>
          <w:szCs w:val="16"/>
        </w:rPr>
        <w:tab/>
        <w:t>12+7 бригад</w:t>
      </w:r>
      <w:r w:rsidRPr="00507A31">
        <w:rPr>
          <w:color w:val="0070C0"/>
          <w:sz w:val="16"/>
          <w:szCs w:val="16"/>
        </w:rPr>
        <w:tab/>
        <w:t>32</w:t>
      </w:r>
      <w:r w:rsidRPr="00507A31">
        <w:rPr>
          <w:color w:val="0070C0"/>
          <w:sz w:val="16"/>
          <w:szCs w:val="16"/>
        </w:rPr>
        <w:tab/>
        <w:t>830</w:t>
      </w:r>
      <w:r w:rsidRPr="00507A31">
        <w:rPr>
          <w:color w:val="0070C0"/>
          <w:sz w:val="16"/>
          <w:szCs w:val="16"/>
        </w:rPr>
        <w:tab/>
        <w:t>1537</w:t>
      </w:r>
      <w:r w:rsidRPr="00507A31">
        <w:rPr>
          <w:color w:val="0070C0"/>
          <w:sz w:val="16"/>
          <w:szCs w:val="16"/>
        </w:rPr>
        <w:tab/>
        <w:t>3 070 000</w:t>
      </w:r>
    </w:p>
    <w:p w14:paraId="1AA000C6" w14:textId="77777777" w:rsidR="004D54B5" w:rsidRPr="00507A31" w:rsidRDefault="004D54B5" w:rsidP="00507A31">
      <w:pPr>
        <w:shd w:val="clear" w:color="auto" w:fill="FFFFFF"/>
        <w:jc w:val="both"/>
        <w:rPr>
          <w:color w:val="0070C0"/>
          <w:sz w:val="16"/>
          <w:szCs w:val="16"/>
        </w:rPr>
      </w:pPr>
      <w:r w:rsidRPr="00507A31">
        <w:rPr>
          <w:color w:val="0070C0"/>
          <w:sz w:val="16"/>
          <w:szCs w:val="16"/>
        </w:rPr>
        <w:t>1932</w:t>
      </w:r>
      <w:r w:rsidRPr="00507A31">
        <w:rPr>
          <w:color w:val="0070C0"/>
          <w:sz w:val="16"/>
          <w:szCs w:val="16"/>
        </w:rPr>
        <w:tab/>
        <w:t>90+30+20</w:t>
      </w:r>
      <w:r w:rsidRPr="00507A31">
        <w:rPr>
          <w:color w:val="0070C0"/>
          <w:sz w:val="16"/>
          <w:szCs w:val="16"/>
        </w:rPr>
        <w:tab/>
        <w:t>19</w:t>
      </w:r>
      <w:r w:rsidRPr="00507A31">
        <w:rPr>
          <w:color w:val="0070C0"/>
          <w:sz w:val="16"/>
          <w:szCs w:val="16"/>
        </w:rPr>
        <w:tab/>
        <w:t>34</w:t>
      </w:r>
      <w:r w:rsidRPr="00507A31">
        <w:rPr>
          <w:color w:val="0070C0"/>
          <w:sz w:val="16"/>
          <w:szCs w:val="16"/>
        </w:rPr>
        <w:tab/>
        <w:t>1682</w:t>
      </w:r>
      <w:r w:rsidRPr="00507A31">
        <w:rPr>
          <w:color w:val="0070C0"/>
          <w:sz w:val="16"/>
          <w:szCs w:val="16"/>
        </w:rPr>
        <w:tab/>
        <w:t>2524</w:t>
      </w:r>
      <w:r w:rsidRPr="00507A31">
        <w:rPr>
          <w:color w:val="0070C0"/>
          <w:sz w:val="16"/>
          <w:szCs w:val="16"/>
        </w:rPr>
        <w:tab/>
        <w:t>3 520 000</w:t>
      </w:r>
    </w:p>
    <w:p w14:paraId="074A6C5F" w14:textId="77777777" w:rsidR="004D54B5" w:rsidRPr="00507A31" w:rsidRDefault="004D54B5" w:rsidP="00507A31">
      <w:pPr>
        <w:shd w:val="clear" w:color="auto" w:fill="FFFFFF"/>
        <w:jc w:val="both"/>
        <w:rPr>
          <w:color w:val="0070C0"/>
          <w:sz w:val="16"/>
          <w:szCs w:val="16"/>
        </w:rPr>
      </w:pPr>
      <w:r w:rsidRPr="00507A31">
        <w:rPr>
          <w:color w:val="0070C0"/>
          <w:sz w:val="16"/>
          <w:szCs w:val="16"/>
        </w:rPr>
        <w:t>1933</w:t>
      </w:r>
      <w:r w:rsidRPr="00507A31">
        <w:rPr>
          <w:color w:val="0070C0"/>
          <w:sz w:val="16"/>
          <w:szCs w:val="16"/>
        </w:rPr>
        <w:tab/>
        <w:t>100+30+20</w:t>
      </w:r>
      <w:r w:rsidRPr="00507A31">
        <w:rPr>
          <w:color w:val="0070C0"/>
          <w:sz w:val="16"/>
          <w:szCs w:val="16"/>
        </w:rPr>
        <w:tab/>
        <w:t>19</w:t>
      </w:r>
      <w:r w:rsidRPr="00507A31">
        <w:rPr>
          <w:color w:val="0070C0"/>
          <w:sz w:val="16"/>
          <w:szCs w:val="16"/>
        </w:rPr>
        <w:tab/>
        <w:t>37</w:t>
      </w:r>
      <w:r w:rsidRPr="00507A31">
        <w:rPr>
          <w:color w:val="0070C0"/>
          <w:sz w:val="16"/>
          <w:szCs w:val="16"/>
        </w:rPr>
        <w:tab/>
        <w:t>4584</w:t>
      </w:r>
      <w:r w:rsidRPr="00507A31">
        <w:rPr>
          <w:color w:val="0070C0"/>
          <w:sz w:val="16"/>
          <w:szCs w:val="16"/>
        </w:rPr>
        <w:tab/>
        <w:t>4000</w:t>
      </w:r>
      <w:r w:rsidRPr="00507A31">
        <w:rPr>
          <w:color w:val="0070C0"/>
          <w:sz w:val="16"/>
          <w:szCs w:val="16"/>
        </w:rPr>
        <w:tab/>
        <w:t>4 400 000</w:t>
      </w:r>
    </w:p>
    <w:p w14:paraId="4D2C3414" w14:textId="77777777" w:rsidR="004D54B5" w:rsidRPr="00507A31" w:rsidRDefault="004D54B5" w:rsidP="00507A31">
      <w:pPr>
        <w:shd w:val="clear" w:color="auto" w:fill="FFFFFF"/>
        <w:jc w:val="both"/>
        <w:rPr>
          <w:color w:val="0070C0"/>
          <w:sz w:val="16"/>
          <w:szCs w:val="16"/>
        </w:rPr>
      </w:pPr>
      <w:r w:rsidRPr="00507A31">
        <w:rPr>
          <w:color w:val="0070C0"/>
          <w:sz w:val="16"/>
          <w:szCs w:val="16"/>
        </w:rPr>
        <w:t>1934</w:t>
      </w:r>
      <w:r w:rsidRPr="00507A31">
        <w:rPr>
          <w:color w:val="0070C0"/>
          <w:sz w:val="16"/>
          <w:szCs w:val="16"/>
        </w:rPr>
        <w:tab/>
        <w:t>111+39+20</w:t>
      </w:r>
      <w:r w:rsidRPr="00507A31">
        <w:rPr>
          <w:color w:val="0070C0"/>
          <w:sz w:val="16"/>
          <w:szCs w:val="16"/>
        </w:rPr>
        <w:tab/>
        <w:t>19</w:t>
      </w:r>
      <w:r w:rsidRPr="00507A31">
        <w:rPr>
          <w:color w:val="0070C0"/>
          <w:sz w:val="16"/>
          <w:szCs w:val="16"/>
        </w:rPr>
        <w:tab/>
        <w:t>37</w:t>
      </w:r>
      <w:r w:rsidRPr="00507A31">
        <w:rPr>
          <w:color w:val="0070C0"/>
          <w:sz w:val="16"/>
          <w:szCs w:val="16"/>
        </w:rPr>
        <w:tab/>
        <w:t>4817</w:t>
      </w:r>
      <w:r w:rsidRPr="00507A31">
        <w:rPr>
          <w:color w:val="0070C0"/>
          <w:sz w:val="16"/>
          <w:szCs w:val="16"/>
        </w:rPr>
        <w:tab/>
        <w:t>5000</w:t>
      </w:r>
      <w:r w:rsidRPr="00507A31">
        <w:rPr>
          <w:color w:val="0070C0"/>
          <w:sz w:val="16"/>
          <w:szCs w:val="16"/>
        </w:rPr>
        <w:tab/>
        <w:t>4 400 000</w:t>
      </w:r>
    </w:p>
    <w:p w14:paraId="33D6CC9E" w14:textId="77777777" w:rsidR="004D54B5" w:rsidRPr="00507A31" w:rsidRDefault="004D54B5" w:rsidP="00507A31">
      <w:pPr>
        <w:shd w:val="clear" w:color="auto" w:fill="FFFFFF"/>
        <w:jc w:val="both"/>
        <w:rPr>
          <w:color w:val="0070C0"/>
          <w:sz w:val="16"/>
          <w:szCs w:val="16"/>
        </w:rPr>
      </w:pPr>
      <w:r w:rsidRPr="00507A31">
        <w:rPr>
          <w:color w:val="0070C0"/>
          <w:sz w:val="16"/>
          <w:szCs w:val="16"/>
        </w:rPr>
        <w:t>В окончательном виде эти данные, дополненные детальными сведениями по личному составу, материальной части РККА военного времени, заказам и финансовому плану НКВМ, были представлены в докладе Штаба. 9 января 1931 г. он был передан наркому, а на следующий день изложен в выступлении Шапошникова на заседании РВСС, посвященном "уточненному календарному плану строительства РККА на 1931,1932, 1933 гг." (Доклад Начальника Штаба Шапошникова и Начальника II Управления Штаба РККА Венцова Наркомвоенмору и Председателю РВС СССР Ворошилову, 901 -1931 // РГВА. Ф. 40442. Оп. 2. Д 10. Л. 1 -8 об. Доклад Шапошникова па заседании РВСС 10 января 1931 г. не стенографировался. Остальные выступления на этом заседании излагаются по неправленой стенограмме, озаглавленной "Журнал заседания Революционного Военного Совета Союза ССР 101 31" (Там же. Л. 47-101)) (22725).</w:t>
      </w:r>
    </w:p>
    <w:p w14:paraId="52748BB6" w14:textId="77777777" w:rsidR="004D54B5" w:rsidRPr="00507A31" w:rsidRDefault="004D54B5" w:rsidP="00507A31">
      <w:pPr>
        <w:autoSpaceDE w:val="0"/>
        <w:autoSpaceDN w:val="0"/>
        <w:adjustRightInd w:val="0"/>
        <w:jc w:val="both"/>
        <w:rPr>
          <w:color w:val="0070C0"/>
          <w:sz w:val="16"/>
          <w:szCs w:val="16"/>
        </w:rPr>
      </w:pPr>
    </w:p>
    <w:p w14:paraId="18BB1906" w14:textId="77777777" w:rsidR="009D1D04" w:rsidRPr="00507A31" w:rsidRDefault="009D1D04" w:rsidP="00507A31">
      <w:pPr>
        <w:shd w:val="clear" w:color="auto" w:fill="FFFFFF"/>
        <w:jc w:val="both"/>
        <w:rPr>
          <w:color w:val="0070C0"/>
          <w:sz w:val="16"/>
          <w:szCs w:val="16"/>
        </w:rPr>
      </w:pPr>
      <w:r w:rsidRPr="00507A31">
        <w:rPr>
          <w:color w:val="0070C0"/>
          <w:sz w:val="16"/>
          <w:szCs w:val="16"/>
        </w:rPr>
        <w:t>В декабре 1930 года Реввоенсовет СССР принял постановление «О противовоздушной обороне тыла». В числе практических мер предусматривалось увеличение отрядов аэростатов заграждения. До этого времени АЗ на вооружении РККА не было. В 1932 году Управление ПВО РККА считало, что аэростаты применяются в основном для морального воздействия на летчиков. В «Справочнике ВВС» 1933 года говорилось обратное: их невыгода в дороговизне и поверженности метеорологической изменчивости (21404).</w:t>
      </w:r>
    </w:p>
    <w:p w14:paraId="5CBBC55B" w14:textId="77777777" w:rsidR="009D1D04" w:rsidRPr="00507A31" w:rsidRDefault="009D1D04" w:rsidP="00507A31">
      <w:pPr>
        <w:shd w:val="clear" w:color="auto" w:fill="FFFFFF"/>
        <w:jc w:val="both"/>
        <w:rPr>
          <w:color w:val="0070C0"/>
          <w:sz w:val="16"/>
          <w:szCs w:val="16"/>
        </w:rPr>
      </w:pPr>
    </w:p>
    <w:p w14:paraId="15F837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года в СССР начались работы по созданию тяжелых танков и Управление моторизации и механизации (УММ) РККА заключило с Главным конструкторским бюро Орудийно-оружейно-пулеметного объединения договор на разработку проекта тяжелого танка прорыва, получившего обозначение Т-30. Предполагалось, что это будет 50 тонная машина, вооруженная двумя 76-мм орудиями и пятью пулеметами. Но отсутствие отечественного опыта танкостроения не позволило создать даже проекта полноценной боевой машины такого класса (3862).</w:t>
      </w:r>
    </w:p>
    <w:p w14:paraId="6E6C1013" w14:textId="77777777" w:rsidR="00537E5F" w:rsidRPr="00507A31" w:rsidRDefault="00537E5F" w:rsidP="00507A31">
      <w:pPr>
        <w:autoSpaceDE w:val="0"/>
        <w:autoSpaceDN w:val="0"/>
        <w:adjustRightInd w:val="0"/>
        <w:jc w:val="both"/>
        <w:rPr>
          <w:color w:val="000000" w:themeColor="text1"/>
          <w:sz w:val="16"/>
          <w:szCs w:val="16"/>
        </w:rPr>
      </w:pPr>
    </w:p>
    <w:p w14:paraId="42B19E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один Т-18 передали в распоряжение Военно-Химуправления и там он при помощи специалистов Института Химобороны Пригородского и Калинина был оснащен для химвойны и постановки завес - баллона емкостью 60 л, в котором под давлением 16 атм. находилось жидкое или газообразное ОВ или дымосмесь, а также из распылителя с 2,3 или 5 форсунками. Время работы - 8 - 8.5 мин.. Для Т-19 создали двухбаллонный комплекс. Работали до 1934 (4243,24).</w:t>
      </w:r>
    </w:p>
    <w:p w14:paraId="33277459" w14:textId="77777777" w:rsidR="00537E5F" w:rsidRPr="00507A31" w:rsidRDefault="00537E5F" w:rsidP="00507A31">
      <w:pPr>
        <w:autoSpaceDE w:val="0"/>
        <w:autoSpaceDN w:val="0"/>
        <w:adjustRightInd w:val="0"/>
        <w:jc w:val="both"/>
        <w:rPr>
          <w:color w:val="000000" w:themeColor="text1"/>
          <w:sz w:val="16"/>
          <w:szCs w:val="16"/>
        </w:rPr>
      </w:pPr>
    </w:p>
    <w:p w14:paraId="0BA756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Нач. вооружений РККА М.Н.Т. в свете развития танкового вооружения выдвинул идею необходимости создания танков второго эшелона на базе шасси тракторов и автомобилей, но в 1931 от идеи отказались (9527,13).</w:t>
      </w:r>
    </w:p>
    <w:p w14:paraId="2DB98922" w14:textId="77777777" w:rsidR="00537E5F" w:rsidRPr="00507A31" w:rsidRDefault="00537E5F" w:rsidP="00507A31">
      <w:pPr>
        <w:autoSpaceDE w:val="0"/>
        <w:autoSpaceDN w:val="0"/>
        <w:adjustRightInd w:val="0"/>
        <w:jc w:val="both"/>
        <w:rPr>
          <w:color w:val="000000" w:themeColor="text1"/>
          <w:sz w:val="16"/>
          <w:szCs w:val="16"/>
        </w:rPr>
      </w:pPr>
    </w:p>
    <w:p w14:paraId="41CE9998" w14:textId="77777777" w:rsidR="00343E79" w:rsidRPr="00507A31" w:rsidRDefault="00343E79" w:rsidP="00507A31">
      <w:pPr>
        <w:jc w:val="both"/>
        <w:rPr>
          <w:color w:val="000000" w:themeColor="text1"/>
          <w:sz w:val="16"/>
          <w:szCs w:val="16"/>
        </w:rPr>
      </w:pPr>
      <w:r w:rsidRPr="00507A31">
        <w:rPr>
          <w:color w:val="000000" w:themeColor="text1"/>
          <w:sz w:val="16"/>
          <w:szCs w:val="16"/>
        </w:rPr>
        <w:t>В декабре 1930 состоялось слияние 4-го Государственного автозавода (быв. «Спартак») и 5-го Государственного автозавода (Фабрика автопринадлежностей) с АМО на правах его цехов под названиями 1-й и 2-й отделы АМО (17494).</w:t>
      </w:r>
    </w:p>
    <w:p w14:paraId="2DE7378F" w14:textId="77777777" w:rsidR="00343E79" w:rsidRPr="00507A31" w:rsidRDefault="00343E79" w:rsidP="00507A31">
      <w:pPr>
        <w:jc w:val="both"/>
        <w:rPr>
          <w:color w:val="000000" w:themeColor="text1"/>
          <w:sz w:val="16"/>
          <w:szCs w:val="16"/>
        </w:rPr>
      </w:pPr>
    </w:p>
    <w:p w14:paraId="1A4B2C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НКХП.</w:t>
      </w:r>
    </w:p>
    <w:p w14:paraId="50F857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1941 г. после начала войны завод «Красный треугольник» эвакуирован в Уфу (где создан завод № 688 НКРП) и в Свердловск (где создан завод № 734 НКРП).</w:t>
      </w:r>
    </w:p>
    <w:p w14:paraId="624045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Далее восстановлен в Ленинграде (или часть завода продолжала там действовать). Пост. ЛенСНХ от 2.10.1962 г. на базе завода создано Объединение предприятий резиновых изделий «Красный треугольник» (11982).</w:t>
      </w:r>
    </w:p>
    <w:p w14:paraId="56C84D53" w14:textId="77777777" w:rsidR="00537E5F" w:rsidRPr="00507A31" w:rsidRDefault="00537E5F" w:rsidP="00507A31">
      <w:pPr>
        <w:autoSpaceDE w:val="0"/>
        <w:autoSpaceDN w:val="0"/>
        <w:adjustRightInd w:val="0"/>
        <w:jc w:val="both"/>
        <w:rPr>
          <w:color w:val="000000" w:themeColor="text1"/>
          <w:sz w:val="16"/>
          <w:szCs w:val="16"/>
        </w:rPr>
      </w:pPr>
    </w:p>
    <w:p w14:paraId="5D4B3F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декабре 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По приказу НКХП от 9.08.1939 г. завод выделен в самостоятельный Ленинградский механический завод «Металлист». В 1941 г. передан в ведение Наркомрезинпрома.</w:t>
      </w:r>
    </w:p>
    <w:p w14:paraId="2ABD82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 1946 г. - в ведении Министерства резиновой промышленности, с 1948 г. - МХП, с 07.1957 г.- Управления химической промышленности ЛенСНХ. В 1957 г. переименован в Ленинградский машиностроительный завод «Металлист». Пост. ЛенСНХ от 2.10.1962 г. завод вошел в состав Объединения предприятий резиновых изделий «Красный треугольник». В 11.1965 г. Ленинградский государственный машиностроительный завод «Металлист» выведен из состава объединения, передан в </w:t>
      </w:r>
      <w:r w:rsidRPr="00507A31">
        <w:rPr>
          <w:color w:val="000000" w:themeColor="text1"/>
          <w:sz w:val="16"/>
          <w:szCs w:val="16"/>
        </w:rPr>
        <w:lastRenderedPageBreak/>
        <w:t>ведение ГУ нефтеперерабатывающего и резинотехнического машиностроения Министерства химического и нефтяного машиностроения и преобразован в опытный завод.</w:t>
      </w:r>
    </w:p>
    <w:p w14:paraId="434FC0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1993 г. завод преобразован в АООТ, затем - ОАО «Металлист».</w:t>
      </w:r>
      <w:r w:rsidRPr="00507A31">
        <w:rPr>
          <w:color w:val="000000" w:themeColor="text1"/>
          <w:sz w:val="16"/>
          <w:szCs w:val="16"/>
          <w:vertAlign w:val="superscript"/>
        </w:rPr>
        <w:t>131</w:t>
      </w:r>
    </w:p>
    <w:p w14:paraId="65895F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Объединения предприятий резиновых изделий «Красный треугольник», Ленинградское ПО (ЛПО) «Красный треугольник»</w:t>
      </w:r>
    </w:p>
    <w:p w14:paraId="622D9B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Объединение создано пост. ЛенСНХ от 2.10.1962 г. на базе завода «Красный треугольник». В его состав вошел также Ленинградский машиностроительный завод «Металлист» (вышел из объединения в 11.1965 г.), Завод асбестотехнических изделий. В 10.1964 г. объединение переименовано в ПО «Красный треугольник» (11982).</w:t>
      </w:r>
    </w:p>
    <w:p w14:paraId="0AB3A81E" w14:textId="77777777" w:rsidR="00537E5F" w:rsidRPr="00507A31" w:rsidRDefault="00537E5F" w:rsidP="00507A31">
      <w:pPr>
        <w:autoSpaceDE w:val="0"/>
        <w:autoSpaceDN w:val="0"/>
        <w:adjustRightInd w:val="0"/>
        <w:jc w:val="both"/>
        <w:rPr>
          <w:color w:val="000000" w:themeColor="text1"/>
          <w:sz w:val="16"/>
          <w:szCs w:val="16"/>
        </w:rPr>
      </w:pPr>
    </w:p>
    <w:p w14:paraId="29452ADE" w14:textId="77777777" w:rsidR="00B42415" w:rsidRPr="00507A31" w:rsidRDefault="00B42415" w:rsidP="00507A31">
      <w:pPr>
        <w:jc w:val="both"/>
        <w:rPr>
          <w:color w:val="000000" w:themeColor="text1"/>
          <w:sz w:val="16"/>
          <w:szCs w:val="16"/>
        </w:rPr>
      </w:pPr>
      <w:r w:rsidRPr="00507A31">
        <w:rPr>
          <w:color w:val="000000" w:themeColor="text1"/>
          <w:sz w:val="16"/>
          <w:szCs w:val="16"/>
        </w:rPr>
        <w:t>В декабре 1930 г. из каучука, полученного в лабораторных условиях на заводе «Красный Треугольник» работниками опытного завода были изготовлены первые автомобильные покрышки с протектором и боковинами из 100 % каучука СКБ. Пять покрышек размером 5,50-19 были поставлены на легковую машину С.В. Лебедева. В 1931 г. покрышки пробежали в эксплуатации 18 тыс. км и доказали хорошую стойкость к истиранию, не обнаружив серьезных дефектов. Кусок одной из первых шин хранится в кабинете-музее С.В. Лебедева во ВНИИСК, а остальная часть – в музее Революции в Москве.</w:t>
      </w:r>
    </w:p>
    <w:p w14:paraId="5D8A4151" w14:textId="77777777" w:rsidR="00B42415" w:rsidRPr="00507A31" w:rsidRDefault="00B42415" w:rsidP="00507A31">
      <w:pPr>
        <w:jc w:val="both"/>
        <w:rPr>
          <w:color w:val="000000" w:themeColor="text1"/>
          <w:sz w:val="16"/>
          <w:szCs w:val="16"/>
        </w:rPr>
      </w:pPr>
      <w:r w:rsidRPr="00507A31">
        <w:rPr>
          <w:color w:val="000000" w:themeColor="text1"/>
          <w:sz w:val="16"/>
          <w:szCs w:val="16"/>
        </w:rPr>
        <w:t>В 1933 г. советский синтетический каучук прошел первую серьезную проверку. По решению Правительства был организован автопробег Москва – Кара-Кум – Москва, протяженностью 9,5 тыс. км. Этот пробег был использован для проверки эксплуатационных качеств автомобильных шин из СК.</w:t>
      </w:r>
    </w:p>
    <w:p w14:paraId="1BF8A2E2" w14:textId="77777777" w:rsidR="00B42415" w:rsidRPr="00507A31" w:rsidRDefault="00B42415" w:rsidP="00507A31">
      <w:pPr>
        <w:jc w:val="both"/>
        <w:rPr>
          <w:color w:val="000000" w:themeColor="text1"/>
          <w:sz w:val="16"/>
          <w:szCs w:val="16"/>
        </w:rPr>
      </w:pPr>
      <w:r w:rsidRPr="00507A31">
        <w:rPr>
          <w:color w:val="000000" w:themeColor="text1"/>
          <w:sz w:val="16"/>
          <w:szCs w:val="16"/>
        </w:rPr>
        <w:t>Испытывались 147 шин, из которых 94 были изготовлены частично или полностью из синтетического каучука. Условия пробега были очень трудными. Около 1200 км машины прошли по полному бездорожью, 4,5 тыс. км по непрофилированным колейным дорогам. Температура воздуха днем достигала 35-40 °C. Представитель опытного завода В.Ф. Евстратов был участником этого пробега и проводил наблюдения за состоянием шин.</w:t>
      </w:r>
    </w:p>
    <w:p w14:paraId="2C8D8581" w14:textId="77777777" w:rsidR="00B42415" w:rsidRPr="00507A31" w:rsidRDefault="00B42415" w:rsidP="00507A31">
      <w:pPr>
        <w:jc w:val="both"/>
        <w:rPr>
          <w:color w:val="000000" w:themeColor="text1"/>
          <w:sz w:val="16"/>
          <w:szCs w:val="16"/>
        </w:rPr>
      </w:pPr>
      <w:r w:rsidRPr="00507A31">
        <w:rPr>
          <w:color w:val="000000" w:themeColor="text1"/>
          <w:sz w:val="16"/>
          <w:szCs w:val="16"/>
        </w:rPr>
        <w:t>Результаты Каракумского автопробега показали высокое качество шин с протектором из СК, изготовленных по рецептуре Опытного завода СК «Литер Б». Протекторы, изготовленные из 100 % СК, показали лучшее сопротивление износу и меньшую истираемость, чем протекторы, сделанные только из натурального каучука. Удовлетворительное качество показали шины с 50 % СК в каркасе (18298).</w:t>
      </w:r>
    </w:p>
    <w:p w14:paraId="4C4771B1" w14:textId="77777777" w:rsidR="00B42415" w:rsidRPr="00507A31" w:rsidRDefault="00B42415" w:rsidP="00507A31">
      <w:pPr>
        <w:jc w:val="both"/>
        <w:rPr>
          <w:color w:val="000000" w:themeColor="text1"/>
          <w:sz w:val="16"/>
          <w:szCs w:val="16"/>
        </w:rPr>
      </w:pPr>
    </w:p>
    <w:p w14:paraId="6BE1663E" w14:textId="77777777" w:rsidR="006B5C92" w:rsidRPr="00507A31" w:rsidRDefault="006B5C92" w:rsidP="00507A31">
      <w:pPr>
        <w:pStyle w:val="rtejustify"/>
        <w:spacing w:before="0" w:after="0"/>
        <w:rPr>
          <w:color w:val="000000" w:themeColor="text1"/>
          <w:sz w:val="16"/>
          <w:szCs w:val="16"/>
        </w:rPr>
      </w:pPr>
      <w:r w:rsidRPr="00507A31">
        <w:rPr>
          <w:color w:val="000000" w:themeColor="text1"/>
          <w:sz w:val="16"/>
          <w:szCs w:val="16"/>
        </w:rPr>
        <w:t xml:space="preserve">В декабре 1930 г. головная лодка «Щука», давшая наименование всей серии, которая была отнесена к средним подводным лодкам, была спущена на воду и вступила в строй в октябре 1933 г. Разработка </w:t>
      </w:r>
      <w:r w:rsidRPr="00507A31">
        <w:rPr>
          <w:rStyle w:val="af0"/>
          <w:bCs/>
          <w:i w:val="0"/>
          <w:color w:val="000000" w:themeColor="text1"/>
          <w:sz w:val="16"/>
          <w:szCs w:val="16"/>
        </w:rPr>
        <w:t>подводных лодок типа «Щука»</w:t>
      </w:r>
      <w:r w:rsidRPr="00507A31">
        <w:rPr>
          <w:color w:val="000000" w:themeColor="text1"/>
          <w:sz w:val="16"/>
          <w:szCs w:val="16"/>
        </w:rPr>
        <w:t>, была начата в 1928 г. в Научно-техническом бюро под руководством А. Н. Гарсоева и Б. М. Малинина. Последний вариант проекта был утвержден Реввоенсоветом в 1930 г. Разработка средних подводных лодок была продолжена в проекте «Щука</w:t>
      </w:r>
      <w:r w:rsidRPr="00507A31">
        <w:rPr>
          <w:color w:val="000000" w:themeColor="text1"/>
          <w:sz w:val="16"/>
          <w:szCs w:val="16"/>
        </w:rPr>
        <w:noBreakHyphen/>
        <w:t>Б», отнесенного к VII, а потом к V</w:t>
      </w:r>
      <w:r w:rsidRPr="00507A31">
        <w:rPr>
          <w:color w:val="000000" w:themeColor="text1"/>
          <w:sz w:val="16"/>
          <w:szCs w:val="16"/>
        </w:rPr>
        <w:noBreakHyphen/>
        <w:t>бис сериям с устранением в ней недостатков. По нему построили 14 подводных лодок. Головная — «Стерлядь» — была заложена на Ленинградском заводе им. Марти 10 октября 1932 г., собрана на Дальзаводе и вступила в строй морских сил Дальнего Востока в январе 1935 г. Строительство шло также на Балтийском заводе и Дальзаводе. Всего до марта 1935 г. в состав морских сил Дальнего Востока поступили восемь подводных лодок V</w:t>
      </w:r>
      <w:r w:rsidRPr="00507A31">
        <w:rPr>
          <w:color w:val="000000" w:themeColor="text1"/>
          <w:sz w:val="16"/>
          <w:szCs w:val="16"/>
        </w:rPr>
        <w:noBreakHyphen/>
        <w:t>бис серии. Четыре лодки V</w:t>
      </w:r>
      <w:r w:rsidRPr="00507A31">
        <w:rPr>
          <w:color w:val="000000" w:themeColor="text1"/>
          <w:sz w:val="16"/>
          <w:szCs w:val="16"/>
        </w:rPr>
        <w:noBreakHyphen/>
        <w:t>бис серии были построены для морских сил Черного моря на заводе им. Марти в Ленинграде со сборкой на заводе им. «61 коммунара» (г. Николаев). Последняя лодка этой серии вступила в строй в декабре 1935 г. Одновременно с разработкой общего проекта V</w:t>
      </w:r>
      <w:r w:rsidRPr="00507A31">
        <w:rPr>
          <w:color w:val="000000" w:themeColor="text1"/>
          <w:sz w:val="16"/>
          <w:szCs w:val="16"/>
        </w:rPr>
        <w:noBreakHyphen/>
        <w:t>бис серии ЦКБС</w:t>
      </w:r>
      <w:r w:rsidRPr="00507A31">
        <w:rPr>
          <w:color w:val="000000" w:themeColor="text1"/>
          <w:sz w:val="16"/>
          <w:szCs w:val="16"/>
        </w:rPr>
        <w:noBreakHyphen/>
        <w:t>2 разработало улучшенный проект средней лодки VIII серии (позже V</w:t>
      </w:r>
      <w:r w:rsidRPr="00507A31">
        <w:rPr>
          <w:color w:val="000000" w:themeColor="text1"/>
          <w:sz w:val="16"/>
          <w:szCs w:val="16"/>
        </w:rPr>
        <w:noBreakHyphen/>
        <w:t>бис II серии) по заданию на «Щуку</w:t>
      </w:r>
      <w:r w:rsidRPr="00507A31">
        <w:rPr>
          <w:color w:val="000000" w:themeColor="text1"/>
          <w:sz w:val="16"/>
          <w:szCs w:val="16"/>
        </w:rPr>
        <w:noBreakHyphen/>
        <w:t>Б». Головная лодка этой серии «Треска» была заложена на Балтийском заводе 6 ноября 1933 г., спущена на воду 1 августа 1934 г. Строительство велось также на заводе «Красное Сормово». Последняя лодка, предназначенная для тихоокеанского флота, вступила в строй в ноябре 1935 г., а последняя черноморская — в декабре 1936 г. В ходе эксплуатации подводные лодки типа «Щука» всех серий (43 лодки) показали себя достаточно надежными кораблями (15280).</w:t>
      </w:r>
    </w:p>
    <w:p w14:paraId="411C5BA6" w14:textId="77777777" w:rsidR="006B5C92" w:rsidRPr="00507A31" w:rsidRDefault="006B5C92" w:rsidP="00507A31">
      <w:pPr>
        <w:pStyle w:val="rtejustify"/>
        <w:spacing w:before="0" w:after="0"/>
        <w:rPr>
          <w:color w:val="000000" w:themeColor="text1"/>
          <w:sz w:val="16"/>
          <w:szCs w:val="16"/>
        </w:rPr>
      </w:pPr>
    </w:p>
    <w:p w14:paraId="77F4C458"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41D6A65" w14:textId="77777777" w:rsidR="00537E5F" w:rsidRPr="00507A31" w:rsidRDefault="00537E5F" w:rsidP="00507A31">
      <w:pPr>
        <w:autoSpaceDE w:val="0"/>
        <w:autoSpaceDN w:val="0"/>
        <w:adjustRightInd w:val="0"/>
        <w:jc w:val="both"/>
        <w:rPr>
          <w:iCs/>
          <w:color w:val="000000" w:themeColor="text1"/>
          <w:sz w:val="16"/>
          <w:szCs w:val="16"/>
        </w:rPr>
      </w:pPr>
    </w:p>
    <w:p w14:paraId="778753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конца 1930 дебатировался вопрос об установке на Р-6 пушки и первоначально думали от 37-мм пушке Гочкиса, а затем о танковой полуавтоматической этого же калибра. Из-за боязни отдачи обратились к 20-мм автоматическим Эрликонам типов L и F. В это же время Осконбюро П.Гроховского разработало для Р-6 ряд новых типов оружия. Например, кассетный химический боеприпас Г-54, который содержал 10 небольших 3 кг бомб с ОВ или водно-бактериологический фугас ВБФ (Г-58) для заражения воздухозаборов. были также кассеты Г-59 для 300 термитных бомбочек. На вооружение так и не поступили (2766,33).</w:t>
      </w:r>
    </w:p>
    <w:p w14:paraId="1D8AC417" w14:textId="77777777" w:rsidR="00537E5F" w:rsidRPr="00507A31" w:rsidRDefault="00537E5F" w:rsidP="00507A31">
      <w:pPr>
        <w:autoSpaceDE w:val="0"/>
        <w:autoSpaceDN w:val="0"/>
        <w:adjustRightInd w:val="0"/>
        <w:jc w:val="both"/>
        <w:rPr>
          <w:color w:val="000000" w:themeColor="text1"/>
          <w:sz w:val="16"/>
          <w:szCs w:val="16"/>
        </w:rPr>
      </w:pPr>
    </w:p>
    <w:p w14:paraId="3D46676D" w14:textId="77777777" w:rsidR="004D3F14" w:rsidRPr="00507A31" w:rsidRDefault="004D3F14" w:rsidP="00507A31">
      <w:pPr>
        <w:jc w:val="both"/>
        <w:rPr>
          <w:color w:val="000000" w:themeColor="text1"/>
          <w:sz w:val="16"/>
          <w:szCs w:val="16"/>
        </w:rPr>
      </w:pPr>
      <w:r w:rsidRPr="00507A31">
        <w:rPr>
          <w:color w:val="000000" w:themeColor="text1"/>
          <w:sz w:val="16"/>
          <w:szCs w:val="16"/>
        </w:rPr>
        <w:t>С конца 1930 г. дебатировался вопрос об установке на «крейсере» КР-6 пушки. Первоначально разговор шёл о французской 37-мм пушке «Гочкис», затем о танковой полуавтоматической того же калибра в носовой огневой точке. Однако, по расчётам, их отдача могла существенно расшатать самолёт, а низкая скорострельность делала малоэффективными в воздушном бою. Тогда обратились к 20-мм автоматической пушке, очевидно, имея в виду «Эрликон» типов 1_ или Р, которые собирались закупать в Швейцарии. Но никаких материалов о реализации этого проекта пока не обнаружено (12264).</w:t>
      </w:r>
    </w:p>
    <w:p w14:paraId="50FA878E" w14:textId="77777777" w:rsidR="004D3F14" w:rsidRPr="00507A31" w:rsidRDefault="004D3F14" w:rsidP="00507A31">
      <w:pPr>
        <w:jc w:val="both"/>
        <w:rPr>
          <w:color w:val="000000" w:themeColor="text1"/>
          <w:sz w:val="16"/>
          <w:szCs w:val="16"/>
        </w:rPr>
      </w:pPr>
    </w:p>
    <w:p w14:paraId="75236744" w14:textId="77777777" w:rsidR="004D3F14" w:rsidRPr="00507A31" w:rsidRDefault="004D3F14" w:rsidP="00507A31">
      <w:pPr>
        <w:jc w:val="both"/>
        <w:rPr>
          <w:color w:val="0070C0"/>
          <w:sz w:val="16"/>
          <w:szCs w:val="16"/>
          <w:lang w:bidi="ru-RU"/>
        </w:rPr>
      </w:pPr>
      <w:r w:rsidRPr="00507A31">
        <w:rPr>
          <w:color w:val="0070C0"/>
          <w:sz w:val="16"/>
          <w:szCs w:val="16"/>
          <w:lang w:bidi="ru-RU"/>
        </w:rPr>
        <w:t>С конца 1930 г. в ЦАГИ проводились работы по установке в пе</w:t>
      </w:r>
      <w:r w:rsidRPr="00507A31">
        <w:rPr>
          <w:color w:val="0070C0"/>
          <w:sz w:val="16"/>
          <w:szCs w:val="16"/>
          <w:lang w:bidi="ru-RU"/>
        </w:rPr>
        <w:softHyphen/>
        <w:t>редней кабине Р-6 пушки калибра 37 мм. Сначала пытались «примерить» пушку си</w:t>
      </w:r>
      <w:r w:rsidRPr="00507A31">
        <w:rPr>
          <w:color w:val="0070C0"/>
          <w:sz w:val="16"/>
          <w:szCs w:val="16"/>
          <w:lang w:bidi="ru-RU"/>
        </w:rPr>
        <w:softHyphen/>
        <w:t>стемы Гочкиса. Затем отечественную полу</w:t>
      </w:r>
      <w:r w:rsidRPr="00507A31">
        <w:rPr>
          <w:color w:val="0070C0"/>
          <w:sz w:val="16"/>
          <w:szCs w:val="16"/>
          <w:lang w:bidi="ru-RU"/>
        </w:rPr>
        <w:softHyphen/>
        <w:t>автоматическую танковую пушку образца 1930 г. Позже остановились на 20-мм ав</w:t>
      </w:r>
      <w:r w:rsidRPr="00507A31">
        <w:rPr>
          <w:color w:val="0070C0"/>
          <w:sz w:val="16"/>
          <w:szCs w:val="16"/>
          <w:lang w:bidi="ru-RU"/>
        </w:rPr>
        <w:softHyphen/>
        <w:t>томатической пушке Рейнметалл. В ОКБ-2 под эту пушку разрабатывалась подвиж</w:t>
      </w:r>
      <w:r w:rsidRPr="00507A31">
        <w:rPr>
          <w:color w:val="0070C0"/>
          <w:sz w:val="16"/>
          <w:szCs w:val="16"/>
          <w:lang w:bidi="ru-RU"/>
        </w:rPr>
        <w:softHyphen/>
        <w:t>ная установка полубашенного типа. Со</w:t>
      </w:r>
      <w:r w:rsidRPr="00507A31">
        <w:rPr>
          <w:color w:val="0070C0"/>
          <w:sz w:val="16"/>
          <w:szCs w:val="16"/>
          <w:lang w:bidi="ru-RU"/>
        </w:rPr>
        <w:softHyphen/>
        <w:t>гласно планам, установку должны были передать на испытания в НИИ ВВС в июне 1931 г., но не случилось. К концу года тему закрыли. По состоянию на 1 октября 1931 г. объем выполненных работ оцени</w:t>
      </w:r>
      <w:r w:rsidRPr="00507A31">
        <w:rPr>
          <w:color w:val="0070C0"/>
          <w:sz w:val="16"/>
          <w:szCs w:val="16"/>
          <w:lang w:bidi="ru-RU"/>
        </w:rPr>
        <w:softHyphen/>
        <w:t>вался в 80-85% (21062).</w:t>
      </w:r>
    </w:p>
    <w:p w14:paraId="6A3D9981" w14:textId="77777777" w:rsidR="004D3F14" w:rsidRPr="00507A31" w:rsidRDefault="004D3F14" w:rsidP="00507A31">
      <w:pPr>
        <w:jc w:val="both"/>
        <w:rPr>
          <w:color w:val="0070C0"/>
          <w:sz w:val="16"/>
          <w:szCs w:val="16"/>
          <w:lang w:bidi="ru-RU"/>
        </w:rPr>
      </w:pPr>
    </w:p>
    <w:p w14:paraId="6F9165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Д.П.Г. построил ДИ-3 с разнесенным оперением (318,148).</w:t>
      </w:r>
    </w:p>
    <w:p w14:paraId="37E4FE65" w14:textId="77777777" w:rsidR="00537E5F" w:rsidRPr="00507A31" w:rsidRDefault="00537E5F" w:rsidP="00507A31">
      <w:pPr>
        <w:autoSpaceDE w:val="0"/>
        <w:autoSpaceDN w:val="0"/>
        <w:adjustRightInd w:val="0"/>
        <w:jc w:val="both"/>
        <w:rPr>
          <w:color w:val="000000" w:themeColor="text1"/>
          <w:sz w:val="16"/>
          <w:szCs w:val="16"/>
        </w:rPr>
      </w:pPr>
    </w:p>
    <w:p w14:paraId="670035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г. под управлением летчика Д.А. Кошица при участии С.П. Королева начались испытания СК-4. В одном из полетов в 1931 г., когда на борту был только Кошиц, мотор отказал, и при вынужденной посадке самолет разрушился. Восстановить его не удалось.</w:t>
      </w:r>
    </w:p>
    <w:p w14:paraId="0E16C3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Конструктивные данные самолета СК-4: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50"/>
        <w:gridCol w:w="720"/>
        <w:gridCol w:w="2160"/>
        <w:gridCol w:w="720"/>
      </w:tblGrid>
      <w:tr w:rsidR="00E371BA" w:rsidRPr="00507A31" w14:paraId="0014FFE9" w14:textId="77777777">
        <w:tc>
          <w:tcPr>
            <w:tcW w:w="2250" w:type="dxa"/>
            <w:tcBorders>
              <w:top w:val="single" w:sz="12" w:space="0" w:color="auto"/>
              <w:bottom w:val="single" w:sz="12" w:space="0" w:color="auto"/>
            </w:tcBorders>
          </w:tcPr>
          <w:p w14:paraId="1A500C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Размах, м</w:t>
            </w:r>
          </w:p>
          <w:p w14:paraId="0BFAE562" w14:textId="77777777" w:rsidR="00537E5F" w:rsidRPr="00507A31" w:rsidRDefault="00537E5F" w:rsidP="00507A31">
            <w:pPr>
              <w:autoSpaceDE w:val="0"/>
              <w:autoSpaceDN w:val="0"/>
              <w:adjustRightInd w:val="0"/>
              <w:jc w:val="both"/>
              <w:rPr>
                <w:color w:val="000000" w:themeColor="text1"/>
                <w:sz w:val="16"/>
                <w:szCs w:val="16"/>
                <w:vertAlign w:val="superscript"/>
              </w:rPr>
            </w:pPr>
            <w:r w:rsidRPr="00507A31">
              <w:rPr>
                <w:color w:val="000000" w:themeColor="text1"/>
                <w:sz w:val="16"/>
                <w:szCs w:val="16"/>
              </w:rPr>
              <w:t>Несущая поверхность, м</w:t>
            </w:r>
            <w:r w:rsidRPr="00507A31">
              <w:rPr>
                <w:color w:val="000000" w:themeColor="text1"/>
                <w:sz w:val="16"/>
                <w:szCs w:val="16"/>
                <w:vertAlign w:val="superscript"/>
              </w:rPr>
              <w:t>2</w:t>
            </w:r>
          </w:p>
          <w:p w14:paraId="333EA4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Удлинение </w:t>
            </w:r>
          </w:p>
          <w:p w14:paraId="053079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Длина, м</w:t>
            </w:r>
          </w:p>
          <w:p w14:paraId="2F9EEC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Высота, м</w:t>
            </w:r>
          </w:p>
          <w:p w14:paraId="7EF56B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Вес, кг </w:t>
            </w:r>
          </w:p>
          <w:p w14:paraId="2834F6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конструкции </w:t>
            </w:r>
          </w:p>
          <w:p w14:paraId="12EA2F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мотора и винта</w:t>
            </w:r>
          </w:p>
        </w:tc>
        <w:tc>
          <w:tcPr>
            <w:tcW w:w="720" w:type="dxa"/>
            <w:tcBorders>
              <w:top w:val="single" w:sz="12" w:space="0" w:color="auto"/>
              <w:bottom w:val="single" w:sz="12" w:space="0" w:color="auto"/>
            </w:tcBorders>
          </w:tcPr>
          <w:p w14:paraId="3D28BF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12,2 </w:t>
            </w:r>
          </w:p>
          <w:p w14:paraId="5F44D0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15,36</w:t>
            </w:r>
          </w:p>
          <w:p w14:paraId="6DF8F9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8,17 </w:t>
            </w:r>
          </w:p>
          <w:p w14:paraId="0389E0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7,15 </w:t>
            </w:r>
          </w:p>
          <w:p w14:paraId="5B765F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1,88</w:t>
            </w:r>
          </w:p>
          <w:p w14:paraId="6734B2CB" w14:textId="77777777" w:rsidR="00537E5F" w:rsidRPr="00507A31" w:rsidRDefault="00537E5F" w:rsidP="00507A31">
            <w:pPr>
              <w:autoSpaceDE w:val="0"/>
              <w:autoSpaceDN w:val="0"/>
              <w:adjustRightInd w:val="0"/>
              <w:jc w:val="both"/>
              <w:rPr>
                <w:color w:val="000000" w:themeColor="text1"/>
                <w:sz w:val="16"/>
                <w:szCs w:val="16"/>
              </w:rPr>
            </w:pPr>
          </w:p>
          <w:p w14:paraId="6BBC11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335 </w:t>
            </w:r>
          </w:p>
          <w:p w14:paraId="28F0A4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110</w:t>
            </w:r>
          </w:p>
        </w:tc>
        <w:tc>
          <w:tcPr>
            <w:tcW w:w="2160" w:type="dxa"/>
            <w:tcBorders>
              <w:top w:val="single" w:sz="12" w:space="0" w:color="auto"/>
              <w:bottom w:val="single" w:sz="12" w:space="0" w:color="auto"/>
            </w:tcBorders>
          </w:tcPr>
          <w:p w14:paraId="32F58A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баков (всех) </w:t>
            </w:r>
          </w:p>
          <w:p w14:paraId="10CD14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горючего и масла </w:t>
            </w:r>
          </w:p>
          <w:p w14:paraId="26A2D6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экипажа </w:t>
            </w:r>
          </w:p>
          <w:p w14:paraId="500086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полете (на 2 ч)</w:t>
            </w:r>
          </w:p>
          <w:p w14:paraId="3F3F13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Скорость, км/ч </w:t>
            </w:r>
          </w:p>
          <w:p w14:paraId="71D816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максимальная </w:t>
            </w:r>
          </w:p>
          <w:p w14:paraId="09D4F2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посадочная</w:t>
            </w:r>
            <w:r w:rsidRPr="00507A31">
              <w:rPr>
                <w:color w:val="000000" w:themeColor="text1"/>
                <w:sz w:val="16"/>
                <w:szCs w:val="16"/>
              </w:rPr>
              <w:br/>
              <w:t>Потолок, м</w:t>
            </w:r>
          </w:p>
        </w:tc>
        <w:tc>
          <w:tcPr>
            <w:tcW w:w="720" w:type="dxa"/>
            <w:tcBorders>
              <w:top w:val="single" w:sz="12" w:space="0" w:color="auto"/>
              <w:bottom w:val="single" w:sz="12" w:space="0" w:color="auto"/>
            </w:tcBorders>
          </w:tcPr>
          <w:p w14:paraId="4972CE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55 </w:t>
            </w:r>
          </w:p>
          <w:p w14:paraId="547945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30 </w:t>
            </w:r>
          </w:p>
          <w:p w14:paraId="4B7F10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160 </w:t>
            </w:r>
          </w:p>
          <w:p w14:paraId="64B033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690</w:t>
            </w:r>
          </w:p>
          <w:p w14:paraId="56C640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160 </w:t>
            </w:r>
          </w:p>
          <w:p w14:paraId="0E9805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68 </w:t>
            </w:r>
          </w:p>
          <w:p w14:paraId="791A46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4000</w:t>
            </w:r>
          </w:p>
        </w:tc>
      </w:tr>
    </w:tbl>
    <w:p w14:paraId="40AA4A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(10676).</w:t>
      </w:r>
    </w:p>
    <w:p w14:paraId="60010361" w14:textId="77777777" w:rsidR="00537E5F" w:rsidRPr="00507A31" w:rsidRDefault="00537E5F" w:rsidP="00507A31">
      <w:pPr>
        <w:autoSpaceDE w:val="0"/>
        <w:autoSpaceDN w:val="0"/>
        <w:adjustRightInd w:val="0"/>
        <w:jc w:val="both"/>
        <w:rPr>
          <w:color w:val="000000" w:themeColor="text1"/>
          <w:sz w:val="16"/>
          <w:szCs w:val="16"/>
        </w:rPr>
      </w:pPr>
    </w:p>
    <w:p w14:paraId="21EB90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г. возникла идея постройки пассажир</w:t>
      </w:r>
      <w:r w:rsidRPr="00507A31">
        <w:rPr>
          <w:color w:val="000000" w:themeColor="text1"/>
          <w:sz w:val="16"/>
          <w:szCs w:val="16"/>
        </w:rPr>
        <w:softHyphen/>
        <w:t>ского самолета на базе АП. Первоначально он проекти</w:t>
      </w:r>
      <w:r w:rsidRPr="00507A31">
        <w:rPr>
          <w:color w:val="000000" w:themeColor="text1"/>
          <w:sz w:val="16"/>
          <w:szCs w:val="16"/>
        </w:rPr>
        <w:softHyphen/>
        <w:t>ровался как личный самолет первого секретаря Ленинградского обкома С.М.Кирова. Отсюда и обозна</w:t>
      </w:r>
      <w:r w:rsidRPr="00507A31">
        <w:rPr>
          <w:color w:val="000000" w:themeColor="text1"/>
          <w:sz w:val="16"/>
          <w:szCs w:val="16"/>
        </w:rPr>
        <w:softHyphen/>
        <w:t>чение СП - «спецприменение». На месте бака для хими</w:t>
      </w:r>
      <w:r w:rsidRPr="00507A31">
        <w:rPr>
          <w:color w:val="000000" w:themeColor="text1"/>
          <w:sz w:val="16"/>
          <w:szCs w:val="16"/>
        </w:rPr>
        <w:softHyphen/>
        <w:t>катов оборудовали комфортабельную кабину для одного человека с откидным столиком. Ее закрывал объемный обтекатель-заголовник эллиптической фор-мы с окнами. Поэтому иногда самолет называли «лиму</w:t>
      </w:r>
      <w:r w:rsidRPr="00507A31">
        <w:rPr>
          <w:color w:val="000000" w:themeColor="text1"/>
          <w:sz w:val="16"/>
          <w:szCs w:val="16"/>
        </w:rPr>
        <w:softHyphen/>
        <w:t>зином 23-го завода». Кабина пилота имела расширен</w:t>
      </w:r>
      <w:r w:rsidRPr="00507A31">
        <w:rPr>
          <w:color w:val="000000" w:themeColor="text1"/>
          <w:sz w:val="16"/>
          <w:szCs w:val="16"/>
        </w:rPr>
        <w:softHyphen/>
        <w:t>ный козырек. Летные качества исходного У-2 практи</w:t>
      </w:r>
      <w:r w:rsidRPr="00507A31">
        <w:rPr>
          <w:color w:val="000000" w:themeColor="text1"/>
          <w:sz w:val="16"/>
          <w:szCs w:val="16"/>
        </w:rPr>
        <w:softHyphen/>
        <w:t>чески сохранились (10667).</w:t>
      </w:r>
    </w:p>
    <w:p w14:paraId="6520FB9F" w14:textId="77777777" w:rsidR="00537E5F" w:rsidRPr="00507A31" w:rsidRDefault="00537E5F" w:rsidP="00507A31">
      <w:pPr>
        <w:autoSpaceDE w:val="0"/>
        <w:autoSpaceDN w:val="0"/>
        <w:adjustRightInd w:val="0"/>
        <w:jc w:val="both"/>
        <w:rPr>
          <w:color w:val="000000" w:themeColor="text1"/>
          <w:sz w:val="16"/>
          <w:szCs w:val="16"/>
        </w:rPr>
      </w:pPr>
    </w:p>
    <w:p w14:paraId="3C6A8DCE" w14:textId="77777777" w:rsidR="002F21BC" w:rsidRPr="00507A31" w:rsidRDefault="002F21BC" w:rsidP="00507A31">
      <w:pPr>
        <w:jc w:val="both"/>
        <w:rPr>
          <w:color w:val="0070C0"/>
          <w:sz w:val="16"/>
          <w:szCs w:val="16"/>
          <w:lang w:bidi="ru-RU"/>
        </w:rPr>
      </w:pPr>
      <w:r w:rsidRPr="00507A31">
        <w:rPr>
          <w:color w:val="0070C0"/>
          <w:sz w:val="16"/>
          <w:szCs w:val="16"/>
          <w:lang w:bidi="ru-RU"/>
        </w:rPr>
        <w:t>В конце 1930 года полностью развернулось проектирование и изготовление небольшого стального пассажирского самолета на четырех пассажиров. Поначалу вся деятель</w:t>
      </w:r>
      <w:r w:rsidRPr="00507A31">
        <w:rPr>
          <w:color w:val="0070C0"/>
          <w:sz w:val="16"/>
          <w:szCs w:val="16"/>
          <w:lang w:bidi="ru-RU"/>
        </w:rPr>
        <w:softHyphen/>
        <w:t>ность оценивалась довольно оптимистично, поэтому выпуск аппарата именовавшегося как Сталь-2 планировался уже 1 мая 1931 г. На практике выявилось множество про</w:t>
      </w:r>
      <w:r w:rsidRPr="00507A31">
        <w:rPr>
          <w:color w:val="0070C0"/>
          <w:sz w:val="16"/>
          <w:szCs w:val="16"/>
          <w:lang w:bidi="ru-RU"/>
        </w:rPr>
        <w:softHyphen/>
        <w:t>блем, не только со сваркой, но даже с поставкой стальных листов, поэтому работа растянулась на год с небольшим. Тем более, что макетные комиссии по Сталь-2 состоялись лишь в конце марта, начале апреля 1931 г. (20365).</w:t>
      </w:r>
    </w:p>
    <w:p w14:paraId="5ECEDCB2" w14:textId="77777777" w:rsidR="002F21BC" w:rsidRPr="00507A31" w:rsidRDefault="002F21BC" w:rsidP="00507A31">
      <w:pPr>
        <w:jc w:val="both"/>
        <w:rPr>
          <w:color w:val="0070C0"/>
          <w:sz w:val="16"/>
          <w:szCs w:val="16"/>
          <w:lang w:bidi="ru-RU"/>
        </w:rPr>
      </w:pPr>
    </w:p>
    <w:p w14:paraId="3D61E9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концу 1930 г. изготовили 19 Р-5, из которых сдали 16, хотя в 1930-31 финансовом году (с июля по июль) Авиатрест пообещал сдать 45 машин. Задания на освоение новой машины дали также заводам № 31 (Таганрог), № 35 (Смоленск) и № 43 (Харьков). Фактически только первый реально приступил к производству. В августе 1930 г. там начали изготовление пяти фюзеляжей. Их почти закончили и начали делать другие узлы, когда ВАО, сменившее Авиатрест, направило в Таганрог многочисленные изменения к документации, внесенные по результатам испытаний. В качестве эталона в Таганрог привезли самолет № 4143. Что смогли - переделали, но многое пришлось оставить по-старому, поскольку это требовало изготовления новой оснастки или получения дополнительного оборудования. В результате первая таганрогская пятерка Р-5 была готова только в августе 1931 г. На всех машинах приемка обнаружила несоответствия чертежам, некомплект оборудования, а вооружения вообще не было. Однако УВВС все-таки согласилось их принять.</w:t>
      </w:r>
    </w:p>
    <w:p w14:paraId="70417B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Руководство ВАО поняло бесперспективность распыления сил и сняло с завода N° 31 план по Р-5. Весь обьем производства лег на завод № 1. Массовый выпуск начали двумя сериями, в которых было 50 и 80 машин. Часть запланированных для них нововведений опробовали на специально построенном самолете N° 4316. На нем установили изготовленный в Рыбинске мотор М-17 (советскую копию BMW VI) и усиленное шасси.</w:t>
      </w:r>
    </w:p>
    <w:p w14:paraId="1B30C5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3-я серия начиналась с самолета № 4534. На нем увеличили окно в полу, поставили пилоту зеркало для обзора назад. Затем внедрили увеличенные радиаторы, стойки и подкосы шасси из труб большего диаметра, более прочное сиденье летнаба. С 16-го Р-5 этой серии появились подфюзеляжные бомбодержатели Дер-13. Некоторые самолеты с конца 1930 г.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390A1D27" w14:textId="77777777" w:rsidR="00537E5F" w:rsidRPr="00507A31" w:rsidRDefault="00537E5F" w:rsidP="00507A31">
      <w:pPr>
        <w:autoSpaceDE w:val="0"/>
        <w:autoSpaceDN w:val="0"/>
        <w:adjustRightInd w:val="0"/>
        <w:jc w:val="both"/>
        <w:rPr>
          <w:color w:val="000000" w:themeColor="text1"/>
          <w:sz w:val="16"/>
          <w:szCs w:val="16"/>
        </w:rPr>
      </w:pPr>
    </w:p>
    <w:p w14:paraId="540D4306" w14:textId="77777777" w:rsidR="00273569" w:rsidRPr="00507A31" w:rsidRDefault="00273569" w:rsidP="00507A31">
      <w:pPr>
        <w:autoSpaceDE w:val="0"/>
        <w:autoSpaceDN w:val="0"/>
        <w:adjustRightInd w:val="0"/>
        <w:jc w:val="both"/>
        <w:rPr>
          <w:color w:val="000000" w:themeColor="text1"/>
          <w:sz w:val="16"/>
          <w:szCs w:val="16"/>
        </w:rPr>
      </w:pPr>
      <w:r w:rsidRPr="00507A31">
        <w:rPr>
          <w:color w:val="000000" w:themeColor="text1"/>
          <w:sz w:val="16"/>
          <w:szCs w:val="16"/>
        </w:rPr>
        <w:t>В конце 1930 на 45 заводе усовершенствовали вооружение одного из Дорнье Валь и вместо итальянских турелей поставили ТУР-5 (переднюю) и ТУР-6 (заднюю) под спарку ДА вместо Льюисов. С февраля 1931 по 1932 на 45 заводе пытались доработать один из Дорнье Валей. Эта работа была заказана после испытания в филиале НИИ ВВС машины, этой доработанной еще в конце 1930 машины (2543,13).</w:t>
      </w:r>
    </w:p>
    <w:p w14:paraId="1BD11F90" w14:textId="77777777" w:rsidR="00273569" w:rsidRPr="00507A31" w:rsidRDefault="00273569" w:rsidP="00507A31">
      <w:pPr>
        <w:autoSpaceDE w:val="0"/>
        <w:autoSpaceDN w:val="0"/>
        <w:adjustRightInd w:val="0"/>
        <w:jc w:val="both"/>
        <w:rPr>
          <w:color w:val="000000" w:themeColor="text1"/>
          <w:sz w:val="16"/>
          <w:szCs w:val="16"/>
        </w:rPr>
      </w:pPr>
    </w:p>
    <w:p w14:paraId="40B49D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конца 1930 г. Р-5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6C147855" w14:textId="77777777" w:rsidR="00537E5F" w:rsidRPr="00507A31" w:rsidRDefault="00537E5F" w:rsidP="00507A31">
      <w:pPr>
        <w:autoSpaceDE w:val="0"/>
        <w:autoSpaceDN w:val="0"/>
        <w:adjustRightInd w:val="0"/>
        <w:jc w:val="both"/>
        <w:rPr>
          <w:color w:val="000000" w:themeColor="text1"/>
          <w:sz w:val="16"/>
          <w:szCs w:val="16"/>
        </w:rPr>
      </w:pPr>
    </w:p>
    <w:p w14:paraId="68594D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года были начаты испытания первого построенного экспериментального геликоптера, спроектированного Отделом особых конструкций ЦАГИ. Это аппарат, над испытаниями и доводками которого работали в течении ряда лет, в 1932 году дал следующие летные результаты:</w:t>
      </w:r>
    </w:p>
    <w:p w14:paraId="450B04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Максимальная высота – 605 метров,</w:t>
      </w:r>
    </w:p>
    <w:p w14:paraId="52CB7B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Наибольшая продолжительность полета – 13-14 минут,</w:t>
      </w:r>
    </w:p>
    <w:p w14:paraId="6355BD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Наибольшая дальность полета по замкнутой кривой порядка 3-4 км.</w:t>
      </w:r>
    </w:p>
    <w:p w14:paraId="6B453D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Эти результаты далеко не являлись предельными и за большими показателями не гнались, экономя ресурсы мотора и трансмиссий. За весь этот период мы провели на этом аппарате 257 испытаний, из них свободных полетов в воздухе – 39. Результаты испытания первого экспериментального геликоптера 1-ЭА обозначали по существу разрешение проблемы геликоптера. Вместе с тем мы на этой машине столкнулись с рядом технических затруднений, основным из которых являлось отсутствие автоматической устойчивости (3849,13).</w:t>
      </w:r>
    </w:p>
    <w:p w14:paraId="5A537A42" w14:textId="77777777" w:rsidR="00537E5F" w:rsidRPr="00507A31" w:rsidRDefault="00537E5F" w:rsidP="00507A31">
      <w:pPr>
        <w:autoSpaceDE w:val="0"/>
        <w:autoSpaceDN w:val="0"/>
        <w:adjustRightInd w:val="0"/>
        <w:jc w:val="both"/>
        <w:rPr>
          <w:color w:val="000000" w:themeColor="text1"/>
          <w:sz w:val="16"/>
          <w:szCs w:val="16"/>
        </w:rPr>
      </w:pPr>
    </w:p>
    <w:p w14:paraId="4F861E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было организовано ЦКБ на заводе 39, в который влили Р.Л.Б. из ОКБ при НОА, распущенного в апреле 1930. Туда же в это время попало и МОС ВАО после окончания контракта П.Ришара (2555,10).</w:t>
      </w:r>
    </w:p>
    <w:p w14:paraId="67417DC4" w14:textId="77777777" w:rsidR="00537E5F" w:rsidRPr="00507A31" w:rsidRDefault="00537E5F" w:rsidP="00507A31">
      <w:pPr>
        <w:autoSpaceDE w:val="0"/>
        <w:autoSpaceDN w:val="0"/>
        <w:adjustRightInd w:val="0"/>
        <w:jc w:val="both"/>
        <w:rPr>
          <w:color w:val="000000" w:themeColor="text1"/>
          <w:sz w:val="16"/>
          <w:szCs w:val="16"/>
        </w:rPr>
      </w:pPr>
    </w:p>
    <w:p w14:paraId="5682AFFA" w14:textId="77777777" w:rsidR="00B42415" w:rsidRPr="00507A31" w:rsidRDefault="00B42415" w:rsidP="00507A31">
      <w:pPr>
        <w:jc w:val="both"/>
        <w:rPr>
          <w:color w:val="000000" w:themeColor="text1"/>
          <w:sz w:val="16"/>
          <w:szCs w:val="16"/>
        </w:rPr>
      </w:pPr>
      <w:r w:rsidRPr="00507A31">
        <w:rPr>
          <w:color w:val="000000" w:themeColor="text1"/>
          <w:sz w:val="16"/>
          <w:szCs w:val="16"/>
        </w:rPr>
        <w:t>К концу 1930 года штат ЦКБ-39 составлял 300 человек, а к середине 1931 года – около 500 человек. Надо сказать, что командование ВВС и руководство ОГПУ в этом вопросе оказывало всяческое содействие. На разных заводах специально отбирались высококвалифицированные рабочие и немедленно переводились на завод № 39. Оперативно осуществлялась поставка необходимых материалов, оборудования, инструмента (18293).</w:t>
      </w:r>
    </w:p>
    <w:p w14:paraId="6EA5F99C" w14:textId="77777777" w:rsidR="00B42415" w:rsidRPr="00507A31" w:rsidRDefault="00B42415" w:rsidP="00507A31">
      <w:pPr>
        <w:jc w:val="both"/>
        <w:rPr>
          <w:color w:val="000000" w:themeColor="text1"/>
          <w:sz w:val="16"/>
          <w:szCs w:val="16"/>
        </w:rPr>
      </w:pPr>
    </w:p>
    <w:p w14:paraId="7065D62C" w14:textId="77777777" w:rsidR="006B5C92" w:rsidRPr="00507A31" w:rsidRDefault="006B5C92" w:rsidP="00507A31">
      <w:pPr>
        <w:shd w:val="clear" w:color="auto" w:fill="FFFFFF"/>
        <w:jc w:val="both"/>
        <w:rPr>
          <w:color w:val="000000" w:themeColor="text1"/>
          <w:sz w:val="16"/>
          <w:szCs w:val="16"/>
        </w:rPr>
      </w:pPr>
      <w:r w:rsidRPr="00507A31">
        <w:rPr>
          <w:color w:val="000000" w:themeColor="text1"/>
          <w:sz w:val="16"/>
          <w:szCs w:val="16"/>
        </w:rPr>
        <w:t>К концу 1930 года штат ЦКБ-39 составлял 300 человек, а к середине 1931 года – около 500 человек. Надо сказать, что командование ВВС и руководство ОГПУ оказывало всяческое содействие. На разных заводах специально отбирались высококвалифицированные рабочие и немедленно переводились на завод № 39. Оперативно осуществлялась поставка необходимых материалов, оборудования, инструмента (15223).</w:t>
      </w:r>
    </w:p>
    <w:p w14:paraId="0DD6439C" w14:textId="77777777" w:rsidR="006B5C92" w:rsidRPr="00507A31" w:rsidRDefault="006B5C92" w:rsidP="00507A31">
      <w:pPr>
        <w:shd w:val="clear" w:color="auto" w:fill="FFFFFF"/>
        <w:jc w:val="both"/>
        <w:rPr>
          <w:color w:val="000000" w:themeColor="text1"/>
          <w:sz w:val="16"/>
          <w:szCs w:val="16"/>
        </w:rPr>
      </w:pPr>
    </w:p>
    <w:p w14:paraId="6FEC61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Г.Бериева (Бериев - Берияшвили (62,107)) как секретаря парторганизации КБ Ришара (то есть оно было что ли несмотря на то, что якобы уже летом вошло в ЦКБ) вызвал зам. начальника ВАО Н.М.Харламов. Там были Лавиль и С.А.Лавочкин, которые решили смотаться от Ришара. Перед этим Г.М.Бериев доносил в ВАО о бардаке и Ришара. Приезжали представители, Ришар обвинил русских в неумении работать дружно и организовано (79,200).</w:t>
      </w:r>
    </w:p>
    <w:p w14:paraId="5A5BF3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Вот тут-то и решили, что раз срок контракта Ришара истек - продлевать не надо и перевели КБ МОС в ЦКБ - начальником его был уже Н.Е.Пауфлер - не авиаспециалист (когда же он сменил прежнего). Г.М.Бериеву предложили место в морском отделе у И.В.Четверикова - 10 человек - не отказался - делали МДР-3, а В.Б.Шавров - Ш-5 + наследство - МР-3 и 0. Решил делать свой - деревянный по подсказке К.Н.Ганулича - представителя НИИ ВВС - морского летчика, понимавшего, что металла на всех не достанется (79,200).</w:t>
      </w:r>
    </w:p>
    <w:p w14:paraId="149B22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Через несколько недель Г.М.Бериев представил в техсовет ЦКБ свой проект - одобрили, поддержал Д.П.Г., Н.Н.П. и Ганулович - последняя машина в плане - 25</w:t>
      </w:r>
    </w:p>
    <w:p w14:paraId="1E7F68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Типичный партийный хер - не жалел народец + жесткая требовательность</w:t>
      </w:r>
    </w:p>
    <w:p w14:paraId="18D1D9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конца 1930 года (ноябрь) было приступлено к организации НИИ ГВФ на базе маленькой ячейки – группы инженера Путилова по стальному самолетостроению.</w:t>
      </w:r>
    </w:p>
    <w:p w14:paraId="459D2F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мысли командования НИИ ГВФ должен был составлять комплексный институт опытного, экспериментального строительства самолетов, исключительно из нержавеющей стали и одновременно иметь ряд отделов (самолетный, моторный, радио, электро и др.) по эксплуатации.</w:t>
      </w:r>
    </w:p>
    <w:p w14:paraId="3A44F9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Уже к концу 1931 года такой институт был сформирован, причем в этом же году был выпущен первый цельно-стальной самолет электросварной конструкции Сталь-2 ………………………..(7738, 144-139). (8983).</w:t>
      </w:r>
    </w:p>
    <w:p w14:paraId="031D0D7E" w14:textId="77777777" w:rsidR="00537E5F" w:rsidRPr="00507A31" w:rsidRDefault="00537E5F" w:rsidP="00507A31">
      <w:pPr>
        <w:autoSpaceDE w:val="0"/>
        <w:autoSpaceDN w:val="0"/>
        <w:adjustRightInd w:val="0"/>
        <w:jc w:val="both"/>
        <w:rPr>
          <w:color w:val="000000" w:themeColor="text1"/>
          <w:sz w:val="16"/>
          <w:szCs w:val="16"/>
        </w:rPr>
      </w:pPr>
    </w:p>
    <w:p w14:paraId="0C9B3A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на основе слияния винтомоторного отдела ЦАГИ, авиаотдела НАМИ и опытного отдела авиазавода был сделан ЦИАМ (80,417).</w:t>
      </w:r>
    </w:p>
    <w:p w14:paraId="3A192153" w14:textId="77777777" w:rsidR="00537E5F" w:rsidRPr="00507A31" w:rsidRDefault="00537E5F" w:rsidP="00507A31">
      <w:pPr>
        <w:autoSpaceDE w:val="0"/>
        <w:autoSpaceDN w:val="0"/>
        <w:adjustRightInd w:val="0"/>
        <w:jc w:val="both"/>
        <w:rPr>
          <w:color w:val="000000" w:themeColor="text1"/>
          <w:sz w:val="16"/>
          <w:szCs w:val="16"/>
        </w:rPr>
      </w:pPr>
    </w:p>
    <w:p w14:paraId="71204D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конце 1930 г. сделали новый шаг в концентрации конструкторских сил — сформировали Институт авиационного моторостроения (ИАМ). В него перевели специалистов из ВМО ЦАГИ, НАМИ и ОМО ЦКБ. Первоначально ИАМ в значительной мере являлся большим конструк</w:t>
      </w:r>
      <w:r w:rsidRPr="00507A31">
        <w:rPr>
          <w:color w:val="000000" w:themeColor="text1"/>
          <w:sz w:val="16"/>
          <w:szCs w:val="16"/>
        </w:rPr>
        <w:softHyphen/>
        <w:t>торским бюро. Самым многочисленным в институте был Конструктор</w:t>
      </w:r>
      <w:r w:rsidRPr="00507A31">
        <w:rPr>
          <w:color w:val="000000" w:themeColor="text1"/>
          <w:sz w:val="16"/>
          <w:szCs w:val="16"/>
        </w:rPr>
        <w:softHyphen/>
        <w:t>ский отдел. Туда передали работы по ряду незавершенных двигателей и некоторые нереализованные еще задания. При этом уменьшили нагруз</w:t>
      </w:r>
      <w:r w:rsidRPr="00507A31">
        <w:rPr>
          <w:color w:val="000000" w:themeColor="text1"/>
          <w:sz w:val="16"/>
          <w:szCs w:val="16"/>
        </w:rPr>
        <w:softHyphen/>
        <w:t>ку на конструкторов, оставшихся на заводе № 24. Институт получил и все разработки бюро ОГПУ. ИАМ быстро развивался. В июне 1933 г. там работали уже 3600 человек, в т.ч. 1000 инженерно-технических ра</w:t>
      </w:r>
      <w:r w:rsidRPr="00507A31">
        <w:rPr>
          <w:color w:val="000000" w:themeColor="text1"/>
          <w:sz w:val="16"/>
          <w:szCs w:val="16"/>
        </w:rPr>
        <w:softHyphen/>
        <w:t>ботников. В состав института вошли собственные мастерские, а затем опытный завод. При этом небольшие конструкторские отделы на заводах сохранили. Но затея с концентрацией сил не дала результатов. Чрезмерное коли</w:t>
      </w:r>
      <w:r w:rsidRPr="00507A31">
        <w:rPr>
          <w:color w:val="000000" w:themeColor="text1"/>
          <w:sz w:val="16"/>
          <w:szCs w:val="16"/>
        </w:rPr>
        <w:softHyphen/>
        <w:t>чество проектируемых типов и отсутствие персональной ответственности привели к тому, что очень немногие моторы были доведены до состояния, пригодного к серийному производству. Из 10 моторов плана 1931 г. реаль</w:t>
      </w:r>
      <w:r w:rsidRPr="00507A31">
        <w:rPr>
          <w:color w:val="000000" w:themeColor="text1"/>
          <w:sz w:val="16"/>
          <w:szCs w:val="16"/>
        </w:rPr>
        <w:softHyphen/>
        <w:t>но построили четыре, а на вооружение приняли всего один. Из 14 двига</w:t>
      </w:r>
      <w:r w:rsidRPr="00507A31">
        <w:rPr>
          <w:color w:val="000000" w:themeColor="text1"/>
          <w:sz w:val="16"/>
          <w:szCs w:val="16"/>
        </w:rPr>
        <w:softHyphen/>
        <w:t>телей плана 1932 г. до стадии опытных образцов дошли пять (11852).</w:t>
      </w:r>
    </w:p>
    <w:p w14:paraId="7F3E89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D2244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конце 1930 года состоялись государствен</w:t>
      </w:r>
      <w:r w:rsidRPr="00507A31">
        <w:rPr>
          <w:color w:val="000000" w:themeColor="text1"/>
          <w:sz w:val="16"/>
          <w:szCs w:val="16"/>
        </w:rPr>
        <w:softHyphen/>
        <w:t>ные испытания, которые М-23, наконец, прошел. Его установили на само</w:t>
      </w:r>
      <w:r w:rsidRPr="00507A31">
        <w:rPr>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469BFD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695CDA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3-цшиндровый, звездообразный, четырехтактный, воздушного охлаж</w:t>
      </w:r>
      <w:r w:rsidRPr="00507A31">
        <w:rPr>
          <w:color w:val="000000" w:themeColor="text1"/>
          <w:sz w:val="16"/>
          <w:szCs w:val="16"/>
        </w:rPr>
        <w:softHyphen/>
        <w:t>дения;</w:t>
      </w:r>
    </w:p>
    <w:p w14:paraId="2A3588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65/74 л.с.;</w:t>
      </w:r>
    </w:p>
    <w:p w14:paraId="62BCDA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125/140 мм;</w:t>
      </w:r>
    </w:p>
    <w:p w14:paraId="0210CF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объем 5,16 л;</w:t>
      </w:r>
    </w:p>
    <w:p w14:paraId="59F3C0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5,1;</w:t>
      </w:r>
    </w:p>
    <w:p w14:paraId="773B37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35CD30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вес 109,9 кг (с цилиндрами от М-12).</w:t>
      </w:r>
    </w:p>
    <w:p w14:paraId="1BC864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71C449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23A48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концу 1930 г. в Рыбинске сделали 165 двигателей, а к апрелю следующего года — 334. В М-17 остро нуждались самолетостроительные заводы: их ставили на массовые самолеты Р-5, Р-6, ТБ-1, ТБ-3. Управление ВВС распорядилось отправлять моторы с пассажирскими поездами независимо от загрузки ва</w:t>
      </w:r>
      <w:r w:rsidRPr="00507A31">
        <w:rPr>
          <w:color w:val="000000" w:themeColor="text1"/>
          <w:sz w:val="16"/>
          <w:szCs w:val="16"/>
        </w:rPr>
        <w:softHyphen/>
        <w:t>гона — в нем мог лежать всего один двигатель. Чтобы частично возместить отставание по количеству выпускаемых М-17, Совет труда и обороны своим постановлением в январе 1930 г. поручил освоить новый мотор также заводу № 24 в Москве. Из Рыбин</w:t>
      </w:r>
      <w:r w:rsidRPr="00507A31">
        <w:rPr>
          <w:color w:val="000000" w:themeColor="text1"/>
          <w:sz w:val="16"/>
          <w:szCs w:val="16"/>
        </w:rPr>
        <w:softHyphen/>
        <w:t>ска туда передали комплект чертежей. Производство начали с апреля,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507A31">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507A31">
        <w:rPr>
          <w:color w:val="000000" w:themeColor="text1"/>
          <w:sz w:val="16"/>
          <w:szCs w:val="16"/>
        </w:rPr>
        <w:softHyphen/>
        <w:t xml:space="preserve">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w:t>
      </w:r>
      <w:r w:rsidRPr="00507A31">
        <w:rPr>
          <w:color w:val="000000" w:themeColor="text1"/>
          <w:sz w:val="16"/>
          <w:szCs w:val="16"/>
        </w:rPr>
        <w:lastRenderedPageBreak/>
        <w:t>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507A31">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507A31">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507A31">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507A31">
        <w:rPr>
          <w:color w:val="000000" w:themeColor="text1"/>
          <w:sz w:val="16"/>
          <w:szCs w:val="16"/>
        </w:rPr>
        <w:softHyphen/>
        <w:t>лись целые серии высотных двигателей. Например, все моторы, входив</w:t>
      </w:r>
      <w:r w:rsidRPr="00507A31">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507A31">
        <w:rPr>
          <w:color w:val="000000" w:themeColor="text1"/>
          <w:sz w:val="16"/>
          <w:szCs w:val="16"/>
        </w:rPr>
        <w:softHyphen/>
        <w:t>лись планы его последующей модернизации. При этом не только следова</w:t>
      </w:r>
      <w:r w:rsidRPr="00507A31">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507A31">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507A31">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507A31">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507A31">
        <w:rPr>
          <w:color w:val="000000" w:themeColor="text1"/>
          <w:sz w:val="16"/>
          <w:szCs w:val="16"/>
        </w:rPr>
        <w:softHyphen/>
        <w:t>ны всего производства авиадвигателей в стране. Далее же начался спад (11852).</w:t>
      </w:r>
    </w:p>
    <w:p w14:paraId="60F2CE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DDAFD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г., еще до сдачи в эксплуатацию заводу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был установлен новый профиль - моторные и самолетные нормали, моторные насосы, для чего завод был перепроектирован. С 1930 г. - в ведении ВАО ВСНХ, с 1932 г. - в моторном тресте ГУАП НКТП. В 02.1937 г. - в ведении 1 ГУ НКОП, по пр. № ЗЗсс от 1/3.02.1938 г. передан в ведение созданного ГУ авиационного моторостроения, в 12.1938 г. - в ведении 18ГУ.</w:t>
      </w:r>
    </w:p>
    <w:p w14:paraId="353A95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1931 г. пущена первая очередь завода, с 09.1931 г. - производство нормалей и водяных насосов для М- 17, бензонасосов «Хорнет».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507A31">
        <w:rPr>
          <w:color w:val="000000" w:themeColor="text1"/>
          <w:sz w:val="16"/>
          <w:szCs w:val="16"/>
          <w:lang w:val="en-US"/>
        </w:rPr>
        <w:t>Wright</w:t>
      </w:r>
      <w:r w:rsidRPr="00507A31">
        <w:rPr>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238700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0D2F2C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КО от 2.10.1939 г. в 1940 г. должна была быть завершена реконструкция завода.</w:t>
      </w:r>
    </w:p>
    <w:p w14:paraId="65D39D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023D18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Постановлению ГКО № 741с от 8.10.1941 г. и приказам № 660сс от 9.07.1941 г. и № 1053сс от 9.10.1941 г. завод эвакуирован в  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7CEF12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7AB2FC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3F9754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03.1946 г. начато освоение производства насосов непосредственного впрыска НВ-21.</w:t>
      </w:r>
    </w:p>
    <w:p w14:paraId="2B918AF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098DF9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507A31">
        <w:rPr>
          <w:color w:val="000000" w:themeColor="text1"/>
          <w:sz w:val="16"/>
          <w:szCs w:val="16"/>
          <w:lang w:val="en-US"/>
        </w:rPr>
        <w:t>JIA</w:t>
      </w:r>
      <w:r w:rsidRPr="00507A31">
        <w:rPr>
          <w:color w:val="000000" w:themeColor="text1"/>
          <w:sz w:val="16"/>
          <w:szCs w:val="16"/>
        </w:rPr>
        <w:t>.</w:t>
      </w:r>
    </w:p>
    <w:p w14:paraId="26AD86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A004D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28AFBE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(1964 г.)- 7025 чел., (1.01.2001 г.)- 5500 чел.</w:t>
      </w:r>
    </w:p>
    <w:p w14:paraId="791C11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507A31">
        <w:rPr>
          <w:color w:val="000000" w:themeColor="text1"/>
          <w:sz w:val="16"/>
          <w:szCs w:val="16"/>
          <w:lang w:val="en-US"/>
        </w:rPr>
        <w:t>A</w:t>
      </w:r>
      <w:r w:rsidRPr="00507A31">
        <w:rPr>
          <w:color w:val="000000" w:themeColor="text1"/>
          <w:sz w:val="16"/>
          <w:szCs w:val="16"/>
        </w:rPr>
        <w:t>.</w:t>
      </w:r>
      <w:r w:rsidRPr="00507A31">
        <w:rPr>
          <w:color w:val="000000" w:themeColor="text1"/>
          <w:sz w:val="16"/>
          <w:szCs w:val="16"/>
          <w:lang w:val="en-US"/>
        </w:rPr>
        <w:t>M</w:t>
      </w:r>
      <w:r w:rsidRPr="00507A31">
        <w:rPr>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44CDE9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2A9561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(10.1940-46 г.-)- П.Н. Тарасов, (1988-90 г.)- А.А. Кульков.</w:t>
      </w:r>
    </w:p>
    <w:p w14:paraId="3FB726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70528C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(12.1937 г.)- Боцковский, (1941 г.)- Ф.С. Деменюк.</w:t>
      </w:r>
    </w:p>
    <w:p w14:paraId="29E47D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3DB3C0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производства (1941 г.)- Н.Н. Кругленин. Исполнительный директор (2002 г.)- С. А. Морев.</w:t>
      </w:r>
      <w:r w:rsidRPr="00507A31">
        <w:rPr>
          <w:color w:val="000000" w:themeColor="text1"/>
          <w:sz w:val="16"/>
          <w:szCs w:val="16"/>
          <w:vertAlign w:val="superscript"/>
        </w:rPr>
        <w:t>69</w:t>
      </w:r>
    </w:p>
    <w:p w14:paraId="33EFF8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отделов: инструментального (-07.1938 г.)- М.И. Горячев; перспективного развития (10.2004 г.)- Н.А. Раат.</w:t>
      </w:r>
    </w:p>
    <w:p w14:paraId="180D23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Производство: детали для </w:t>
      </w:r>
      <w:r w:rsidRPr="00507A31">
        <w:rPr>
          <w:color w:val="000000" w:themeColor="text1"/>
          <w:sz w:val="16"/>
          <w:szCs w:val="16"/>
          <w:lang w:val="en-US"/>
        </w:rPr>
        <w:t>PC</w:t>
      </w:r>
      <w:r w:rsidRPr="00507A31">
        <w:rPr>
          <w:color w:val="000000" w:themeColor="text1"/>
          <w:sz w:val="16"/>
          <w:szCs w:val="16"/>
        </w:rPr>
        <w:t xml:space="preserve"> М-13 (1942) (11982).</w:t>
      </w:r>
    </w:p>
    <w:p w14:paraId="4B1053D5" w14:textId="77777777" w:rsidR="00537E5F" w:rsidRPr="00507A31" w:rsidRDefault="00537E5F" w:rsidP="00507A31">
      <w:pPr>
        <w:autoSpaceDE w:val="0"/>
        <w:autoSpaceDN w:val="0"/>
        <w:adjustRightInd w:val="0"/>
        <w:jc w:val="both"/>
        <w:rPr>
          <w:color w:val="000000" w:themeColor="text1"/>
          <w:sz w:val="16"/>
          <w:szCs w:val="16"/>
        </w:rPr>
      </w:pPr>
    </w:p>
    <w:p w14:paraId="4C6CEC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года из завода № 1 после реконструкции Прокатного цеха выделился завод 34. Завод № 34 в 1931 году первым в Союзе освоил производство плакированного дюралюминия для самолетостроения (9368).</w:t>
      </w:r>
    </w:p>
    <w:p w14:paraId="09C5F0FC" w14:textId="77777777" w:rsidR="00537E5F" w:rsidRPr="00507A31" w:rsidRDefault="00537E5F" w:rsidP="00507A31">
      <w:pPr>
        <w:autoSpaceDE w:val="0"/>
        <w:autoSpaceDN w:val="0"/>
        <w:adjustRightInd w:val="0"/>
        <w:jc w:val="both"/>
        <w:rPr>
          <w:color w:val="000000" w:themeColor="text1"/>
          <w:sz w:val="16"/>
          <w:szCs w:val="16"/>
        </w:rPr>
      </w:pPr>
    </w:p>
    <w:p w14:paraId="09BAAB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года при пересмотре плана снабжения с участием ВМИ ЦКК РКИ оказалось, что новый завод № 45, даже со всеми работающими старыми заводами, при максимальном расширении их производства, не в состоянии обеспечить сильно возросшей потребности заводов в легких сплавах. Это обстоятельство заставило ГУАП пересмотреть свое решение и принять все меры по расширению производства прокатного цеха завода № 1 с последующим выделением его в самостоятельный завод (9368).</w:t>
      </w:r>
    </w:p>
    <w:p w14:paraId="59641A51" w14:textId="77777777" w:rsidR="00537E5F" w:rsidRPr="00507A31" w:rsidRDefault="00537E5F" w:rsidP="00507A31">
      <w:pPr>
        <w:autoSpaceDE w:val="0"/>
        <w:autoSpaceDN w:val="0"/>
        <w:adjustRightInd w:val="0"/>
        <w:jc w:val="both"/>
        <w:rPr>
          <w:color w:val="000000" w:themeColor="text1"/>
          <w:sz w:val="16"/>
          <w:szCs w:val="16"/>
        </w:rPr>
      </w:pPr>
    </w:p>
    <w:p w14:paraId="4D5F063A" w14:textId="77777777" w:rsidR="00D90699" w:rsidRPr="00507A31" w:rsidRDefault="00D90699" w:rsidP="00507A31">
      <w:pPr>
        <w:pStyle w:val="ae"/>
        <w:spacing w:before="0" w:after="0"/>
        <w:jc w:val="both"/>
        <w:textAlignment w:val="baseline"/>
        <w:rPr>
          <w:color w:val="0070C0"/>
          <w:sz w:val="16"/>
          <w:szCs w:val="16"/>
          <w:bdr w:val="none" w:sz="0" w:space="0" w:color="auto" w:frame="1"/>
        </w:rPr>
      </w:pPr>
      <w:r w:rsidRPr="00507A31">
        <w:rPr>
          <w:color w:val="0070C0"/>
          <w:sz w:val="16"/>
          <w:szCs w:val="16"/>
          <w:bdr w:val="none" w:sz="0" w:space="0" w:color="auto" w:frame="1"/>
        </w:rPr>
        <w:t>В конце 1930 г. в Америке купили один звездообразный дизель Паккард мощностью 225 л. с. Его доставили в НАМ и разобрали для изучения. В 1931 г. ВАО приобрело еще четыре штуки. Советские представители запросили фирму «Паккард» на предмет получения лицензии и технической помощи в освоении производства, но получили отказ. Тогда решили идти другим путем. Задание добыть необходимые материалы получила советская разведка (20442).</w:t>
      </w:r>
    </w:p>
    <w:p w14:paraId="517EAD5F" w14:textId="77777777" w:rsidR="00D90699" w:rsidRPr="00507A31" w:rsidRDefault="00D90699" w:rsidP="00507A31">
      <w:pPr>
        <w:pStyle w:val="ae"/>
        <w:spacing w:before="0" w:after="0"/>
        <w:jc w:val="both"/>
        <w:textAlignment w:val="baseline"/>
        <w:rPr>
          <w:color w:val="0070C0"/>
          <w:sz w:val="16"/>
          <w:szCs w:val="16"/>
          <w:bdr w:val="none" w:sz="0" w:space="0" w:color="auto" w:frame="1"/>
        </w:rPr>
      </w:pPr>
    </w:p>
    <w:p w14:paraId="70526B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г. был изготовлен первый образец скорострельного авиационного пулемета, со</w:t>
      </w:r>
      <w:r w:rsidRPr="00507A31">
        <w:rPr>
          <w:color w:val="000000" w:themeColor="text1"/>
          <w:sz w:val="16"/>
          <w:szCs w:val="16"/>
        </w:rPr>
        <w:softHyphen/>
        <w:t>зданный Шпитальным при участии Комарицкого (10695).</w:t>
      </w:r>
    </w:p>
    <w:p w14:paraId="24EDDC1A" w14:textId="77777777" w:rsidR="00537E5F" w:rsidRPr="00507A31" w:rsidRDefault="00537E5F" w:rsidP="00507A31">
      <w:pPr>
        <w:autoSpaceDE w:val="0"/>
        <w:autoSpaceDN w:val="0"/>
        <w:adjustRightInd w:val="0"/>
        <w:jc w:val="both"/>
        <w:rPr>
          <w:color w:val="000000" w:themeColor="text1"/>
          <w:sz w:val="16"/>
          <w:szCs w:val="16"/>
        </w:rPr>
      </w:pPr>
    </w:p>
    <w:p w14:paraId="54219B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г. был изготовлен первый образец скорострельного авиационного пулемета, созданный Шпитальным при участии Комарицкого Это была первая в мире чисто авиационная система, которая сразу выдвинула нашу страну на первое место в этой области вооружения. В начале 1932 г. была завершена окончательная отладка конструкции, и 13 февраля 1932 г. Артиллерийское управление дало заказ на изготовление 7 пулеметов (11316).</w:t>
      </w:r>
    </w:p>
    <w:p w14:paraId="2847FD21" w14:textId="77777777" w:rsidR="00537E5F" w:rsidRPr="00507A31" w:rsidRDefault="00537E5F" w:rsidP="00507A31">
      <w:pPr>
        <w:autoSpaceDE w:val="0"/>
        <w:autoSpaceDN w:val="0"/>
        <w:adjustRightInd w:val="0"/>
        <w:jc w:val="both"/>
        <w:rPr>
          <w:color w:val="000000" w:themeColor="text1"/>
          <w:sz w:val="16"/>
          <w:szCs w:val="16"/>
        </w:rPr>
      </w:pPr>
    </w:p>
    <w:p w14:paraId="6CC695CE" w14:textId="77777777" w:rsidR="004D535A" w:rsidRPr="00507A31" w:rsidRDefault="004D535A" w:rsidP="00507A31">
      <w:pPr>
        <w:pStyle w:val="122"/>
        <w:shd w:val="clear" w:color="auto" w:fill="auto"/>
        <w:spacing w:after="0" w:line="240" w:lineRule="auto"/>
        <w:jc w:val="both"/>
        <w:rPr>
          <w:color w:val="000000" w:themeColor="text1"/>
          <w:sz w:val="16"/>
          <w:szCs w:val="16"/>
        </w:rPr>
      </w:pPr>
      <w:r w:rsidRPr="00507A31">
        <w:rPr>
          <w:color w:val="000000" w:themeColor="text1"/>
          <w:sz w:val="16"/>
          <w:szCs w:val="16"/>
        </w:rPr>
        <w:t>В конце 1930 г. Б. Г. Шпитальным совместно с И. А. Комарицким (старейшим и опытнейшим работником оружейной промышленности) авиационного пулемета ШКАС с темпом стрельбы 1800 выстр./мин, более чем вдвое превосходящим лучшие мировые образцы. К тому же пулемет оказался достаточно легким и компактным.</w:t>
      </w:r>
    </w:p>
    <w:p w14:paraId="196DF03B" w14:textId="77777777" w:rsidR="004D535A" w:rsidRPr="00507A31" w:rsidRDefault="004D535A" w:rsidP="00507A31">
      <w:pPr>
        <w:pStyle w:val="122"/>
        <w:shd w:val="clear" w:color="auto" w:fill="auto"/>
        <w:spacing w:after="0" w:line="240" w:lineRule="auto"/>
        <w:jc w:val="both"/>
        <w:rPr>
          <w:color w:val="000000" w:themeColor="text1"/>
          <w:sz w:val="16"/>
          <w:szCs w:val="16"/>
        </w:rPr>
      </w:pPr>
      <w:r w:rsidRPr="00507A31">
        <w:rPr>
          <w:color w:val="000000" w:themeColor="text1"/>
          <w:sz w:val="16"/>
          <w:szCs w:val="16"/>
        </w:rPr>
        <w:t>Выдающийся темп стрельбы пулемета ШКАС был получен за счет высоких скоростей движения подвижных частей и оригинальной системы пода</w:t>
      </w:r>
      <w:r w:rsidRPr="00507A31">
        <w:rPr>
          <w:color w:val="000000" w:themeColor="text1"/>
          <w:sz w:val="16"/>
          <w:szCs w:val="16"/>
        </w:rPr>
        <w:softHyphen/>
        <w:t>чи, обеспечивающей плавное извлечение патрона из металлической звеньевой ленты и перемещение его на линию канала ствола к моменту досылания. Подача патрона производилась при помощи зуб</w:t>
      </w:r>
      <w:r w:rsidRPr="00507A31">
        <w:rPr>
          <w:color w:val="000000" w:themeColor="text1"/>
          <w:sz w:val="16"/>
          <w:szCs w:val="16"/>
        </w:rPr>
        <w:softHyphen/>
        <w:t>чатки на 10 гнезд, вращавшейся внутри неподвиж</w:t>
      </w:r>
      <w:r w:rsidRPr="00507A31">
        <w:rPr>
          <w:color w:val="000000" w:themeColor="text1"/>
          <w:sz w:val="16"/>
          <w:szCs w:val="16"/>
        </w:rPr>
        <w:softHyphen/>
        <w:t>ного кожуха. На оси зубчатки и внутренней поверх</w:t>
      </w:r>
      <w:r w:rsidRPr="00507A31">
        <w:rPr>
          <w:color w:val="000000" w:themeColor="text1"/>
          <w:sz w:val="16"/>
          <w:szCs w:val="16"/>
        </w:rPr>
        <w:softHyphen/>
        <w:t>ности кожуха имелся винтовой паз. При повороте зубчатки патрон закраинной гильзы скользил по винтовому пазу таким образом, что его извлечение из ленты и подача происходили за 10 тактов (вы</w:t>
      </w:r>
      <w:r w:rsidRPr="00507A31">
        <w:rPr>
          <w:color w:val="000000" w:themeColor="text1"/>
          <w:sz w:val="16"/>
          <w:szCs w:val="16"/>
        </w:rPr>
        <w:softHyphen/>
        <w:t>стрелов). Это исключало выпадение пули и сме</w:t>
      </w:r>
      <w:r w:rsidRPr="00507A31">
        <w:rPr>
          <w:color w:val="000000" w:themeColor="text1"/>
          <w:sz w:val="16"/>
          <w:szCs w:val="16"/>
        </w:rPr>
        <w:softHyphen/>
        <w:t>щение капсюля из гильзы. Весьма интересно был реализован выбрасывающий механизм, удалявший гильзу за пределы оружия в два такта. Постановле</w:t>
      </w:r>
      <w:r w:rsidRPr="00507A31">
        <w:rPr>
          <w:color w:val="000000" w:themeColor="text1"/>
          <w:sz w:val="16"/>
          <w:szCs w:val="16"/>
        </w:rPr>
        <w:softHyphen/>
        <w:t>нием Реввоенсовета от 11 октября 1932 г. пулемет ШКАС был принят на вооружение ВВС КА и в следу</w:t>
      </w:r>
      <w:r w:rsidRPr="00507A31">
        <w:rPr>
          <w:color w:val="000000" w:themeColor="text1"/>
          <w:sz w:val="16"/>
          <w:szCs w:val="16"/>
        </w:rPr>
        <w:softHyphen/>
        <w:t>ющем году поставлен в валовое производство. При этом для обеспечения нормальной эксплуатации пулемета пришлось разработать к нему специаль</w:t>
      </w:r>
      <w:r w:rsidRPr="00507A31">
        <w:rPr>
          <w:color w:val="000000" w:themeColor="text1"/>
          <w:sz w:val="16"/>
          <w:szCs w:val="16"/>
        </w:rPr>
        <w:softHyphen/>
        <w:t>ные авиационные патроны повышенной надежно</w:t>
      </w:r>
      <w:r w:rsidRPr="00507A31">
        <w:rPr>
          <w:color w:val="000000" w:themeColor="text1"/>
          <w:sz w:val="16"/>
          <w:szCs w:val="16"/>
        </w:rPr>
        <w:softHyphen/>
        <w:t>сти (увеличена прочность стенок гильзы, усиле</w:t>
      </w:r>
      <w:r w:rsidRPr="00507A31">
        <w:rPr>
          <w:color w:val="000000" w:themeColor="text1"/>
          <w:sz w:val="16"/>
          <w:szCs w:val="16"/>
        </w:rPr>
        <w:softHyphen/>
        <w:t>но крепление пули в дульце и капсюля в гнезде гильзы).</w:t>
      </w:r>
    </w:p>
    <w:p w14:paraId="29A5CC98" w14:textId="77777777" w:rsidR="004D535A" w:rsidRPr="00507A31" w:rsidRDefault="004D535A" w:rsidP="00507A31">
      <w:pPr>
        <w:pStyle w:val="122"/>
        <w:shd w:val="clear" w:color="auto" w:fill="auto"/>
        <w:spacing w:after="0" w:line="240" w:lineRule="auto"/>
        <w:jc w:val="both"/>
        <w:rPr>
          <w:color w:val="000000" w:themeColor="text1"/>
          <w:sz w:val="16"/>
          <w:szCs w:val="16"/>
        </w:rPr>
      </w:pPr>
      <w:r w:rsidRPr="00507A31">
        <w:rPr>
          <w:color w:val="000000" w:themeColor="text1"/>
          <w:sz w:val="16"/>
          <w:szCs w:val="16"/>
        </w:rPr>
        <w:t>Создание пулемета ШКАС сразу же вывело Со</w:t>
      </w:r>
      <w:r w:rsidRPr="00507A31">
        <w:rPr>
          <w:color w:val="000000" w:themeColor="text1"/>
          <w:sz w:val="16"/>
          <w:szCs w:val="16"/>
        </w:rPr>
        <w:softHyphen/>
        <w:t>ветский Союз на первое место по стрелковому авиавооружению в ряду ведущих держав. Это оце</w:t>
      </w:r>
      <w:r w:rsidRPr="00507A31">
        <w:rPr>
          <w:color w:val="000000" w:themeColor="text1"/>
          <w:sz w:val="16"/>
          <w:szCs w:val="16"/>
        </w:rPr>
        <w:softHyphen/>
        <w:t>нил Сталин.</w:t>
      </w:r>
    </w:p>
    <w:p w14:paraId="58A6AFCB" w14:textId="77777777" w:rsidR="004D535A" w:rsidRPr="00507A31" w:rsidRDefault="004D535A" w:rsidP="00507A31">
      <w:pPr>
        <w:pStyle w:val="122"/>
        <w:shd w:val="clear" w:color="auto" w:fill="auto"/>
        <w:spacing w:after="0" w:line="240" w:lineRule="auto"/>
        <w:jc w:val="both"/>
        <w:rPr>
          <w:color w:val="000000" w:themeColor="text1"/>
          <w:sz w:val="16"/>
          <w:szCs w:val="16"/>
        </w:rPr>
      </w:pPr>
      <w:r w:rsidRPr="00507A31">
        <w:rPr>
          <w:color w:val="000000" w:themeColor="text1"/>
          <w:sz w:val="16"/>
          <w:szCs w:val="16"/>
        </w:rPr>
        <w:t>Важно, что высокий темп стрельбы пулеме</w:t>
      </w:r>
      <w:r w:rsidRPr="00507A31">
        <w:rPr>
          <w:color w:val="000000" w:themeColor="text1"/>
          <w:sz w:val="16"/>
          <w:szCs w:val="16"/>
        </w:rPr>
        <w:softHyphen/>
        <w:t>та ШКАС позволял обеспечить необходимый вес секундного залпа без значительного увеличения числа стволов на истребителях и не переходить к многопулеметным крыльевым установкам, обла</w:t>
      </w:r>
      <w:r w:rsidRPr="00507A31">
        <w:rPr>
          <w:color w:val="000000" w:themeColor="text1"/>
          <w:sz w:val="16"/>
          <w:szCs w:val="16"/>
        </w:rPr>
        <w:softHyphen/>
        <w:t>давшим большим рассеиванием при стрельбе в воз</w:t>
      </w:r>
      <w:r w:rsidRPr="00507A31">
        <w:rPr>
          <w:color w:val="000000" w:themeColor="text1"/>
          <w:sz w:val="16"/>
          <w:szCs w:val="16"/>
        </w:rPr>
        <w:softHyphen/>
        <w:t>духе (17500).</w:t>
      </w:r>
    </w:p>
    <w:p w14:paraId="0DB2F104" w14:textId="77777777" w:rsidR="004D535A" w:rsidRPr="00507A31" w:rsidRDefault="004D535A" w:rsidP="00507A31">
      <w:pPr>
        <w:jc w:val="both"/>
        <w:rPr>
          <w:color w:val="000000" w:themeColor="text1"/>
          <w:sz w:val="16"/>
          <w:szCs w:val="16"/>
        </w:rPr>
      </w:pPr>
    </w:p>
    <w:p w14:paraId="24D4DA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был изготовлен первый образец ШКАС в Туле (86,230).</w:t>
      </w:r>
    </w:p>
    <w:p w14:paraId="14BC3102" w14:textId="77777777" w:rsidR="00537E5F" w:rsidRPr="00507A31" w:rsidRDefault="00537E5F" w:rsidP="00507A31">
      <w:pPr>
        <w:autoSpaceDE w:val="0"/>
        <w:autoSpaceDN w:val="0"/>
        <w:adjustRightInd w:val="0"/>
        <w:jc w:val="both"/>
        <w:rPr>
          <w:color w:val="000000" w:themeColor="text1"/>
          <w:sz w:val="16"/>
          <w:szCs w:val="16"/>
        </w:rPr>
      </w:pPr>
    </w:p>
    <w:p w14:paraId="6129D3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концу 1930 г. постепен</w:t>
      </w:r>
      <w:r w:rsidRPr="00507A31">
        <w:rPr>
          <w:color w:val="000000" w:themeColor="text1"/>
          <w:sz w:val="16"/>
          <w:szCs w:val="16"/>
        </w:rPr>
        <w:softHyphen/>
        <w:t>но начали производство парашютов для летчиков - боевых и учебных. В стране появилась первая парашют</w:t>
      </w:r>
      <w:r w:rsidRPr="00507A31">
        <w:rPr>
          <w:color w:val="000000" w:themeColor="text1"/>
          <w:sz w:val="16"/>
          <w:szCs w:val="16"/>
        </w:rPr>
        <w:softHyphen/>
        <w:t>ная фабрика (10690).</w:t>
      </w:r>
    </w:p>
    <w:p w14:paraId="1C9EC140" w14:textId="77777777" w:rsidR="00537E5F" w:rsidRPr="00507A31" w:rsidRDefault="00537E5F" w:rsidP="00507A31">
      <w:pPr>
        <w:autoSpaceDE w:val="0"/>
        <w:autoSpaceDN w:val="0"/>
        <w:adjustRightInd w:val="0"/>
        <w:jc w:val="both"/>
        <w:rPr>
          <w:color w:val="000000" w:themeColor="text1"/>
          <w:sz w:val="16"/>
          <w:szCs w:val="16"/>
        </w:rPr>
      </w:pPr>
    </w:p>
    <w:p w14:paraId="116870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конце 1930 г. после смерти Тихомирова ГДЛ возглавил Б.С.Петропа</w:t>
      </w:r>
      <w:r w:rsidRPr="00507A31">
        <w:rPr>
          <w:color w:val="000000" w:themeColor="text1"/>
          <w:sz w:val="16"/>
          <w:szCs w:val="16"/>
        </w:rPr>
        <w:softHyphen/>
        <w:t>вловский. Но в 1933 г. скоропостижно скончался и он. «Хозяйство ракетчи</w:t>
      </w:r>
      <w:r w:rsidRPr="00507A31">
        <w:rPr>
          <w:color w:val="000000" w:themeColor="text1"/>
          <w:sz w:val="16"/>
          <w:szCs w:val="16"/>
        </w:rPr>
        <w:softHyphen/>
        <w:t>ков» перешло в достойные руки - к дивизионному инженеру Н.Я.Ильину и его заместителю Г.Э.Лангемаку — молодому выпускнику 1928 г. Ленин</w:t>
      </w:r>
      <w:r w:rsidRPr="00507A31">
        <w:rPr>
          <w:color w:val="000000" w:themeColor="text1"/>
          <w:sz w:val="16"/>
          <w:szCs w:val="16"/>
        </w:rPr>
        <w:softHyphen/>
        <w:t>градской Военно-технической академии, прекрасному математику, иссле</w:t>
      </w:r>
      <w:r w:rsidRPr="00507A31">
        <w:rPr>
          <w:color w:val="000000" w:themeColor="text1"/>
          <w:sz w:val="16"/>
          <w:szCs w:val="16"/>
        </w:rPr>
        <w:softHyphen/>
        <w:t>дователю и аналитику в области прикладных наук ракетостроения. Кроме того, он был нетипичным руководителем советского учреждения. То есть, личные качества не мешали ему гармонично сочетать административную работу с теоретическими изысканиями и участием в испытаниях (11402).</w:t>
      </w:r>
    </w:p>
    <w:p w14:paraId="6EB62C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8A08B8C" w14:textId="77777777" w:rsidR="004D3F14" w:rsidRPr="00507A31" w:rsidRDefault="004D3F14" w:rsidP="00507A31">
      <w:pPr>
        <w:jc w:val="both"/>
        <w:rPr>
          <w:color w:val="0070C0"/>
          <w:sz w:val="16"/>
          <w:szCs w:val="16"/>
        </w:rPr>
      </w:pPr>
      <w:r w:rsidRPr="00507A31">
        <w:rPr>
          <w:color w:val="0070C0"/>
          <w:sz w:val="16"/>
          <w:szCs w:val="16"/>
        </w:rPr>
        <w:t>В конце 1930 г. представленный в СТО в докладной записке за подписями начальника ВО ГВФ Гольцмана и на</w:t>
      </w:r>
      <w:r w:rsidRPr="00507A31">
        <w:rPr>
          <w:color w:val="0070C0"/>
          <w:sz w:val="16"/>
          <w:szCs w:val="16"/>
        </w:rPr>
        <w:softHyphen/>
        <w:t>чальника БОСЭД Немченко план развития управляемого воздухоплавания в СССР и сейчас поражает своим размахом. В 1931</w:t>
      </w:r>
      <w:r w:rsidRPr="00507A31">
        <w:rPr>
          <w:color w:val="0070C0"/>
          <w:sz w:val="16"/>
          <w:szCs w:val="16"/>
        </w:rPr>
        <w:softHyphen/>
        <w:t>1932 годах планировалось построить БОСЭД на юго-западном берегу Плещеева озера у г. Переславль-Залесский. Базу серийного производства дирижаблей намечалось создать в Пугачёвском районе Средне-Волжской области, где имелись источники природных газов, содержащих гелий. Газы могли служить также энергетической ба</w:t>
      </w:r>
      <w:r w:rsidRPr="00507A31">
        <w:rPr>
          <w:color w:val="0070C0"/>
          <w:sz w:val="16"/>
          <w:szCs w:val="16"/>
        </w:rPr>
        <w:softHyphen/>
        <w:t>зой производства. В 1931 г. намечалось провести изыскательские работы, в середине 1932 г. — кон</w:t>
      </w:r>
      <w:r w:rsidRPr="00507A31">
        <w:rPr>
          <w:color w:val="0070C0"/>
          <w:sz w:val="16"/>
          <w:szCs w:val="16"/>
        </w:rPr>
        <w:softHyphen/>
        <w:t>це 1933 г. — выполнить основные строительные и монтажные работы с тем, чтобы пустить базу на полную мощность с января 1934 г.</w:t>
      </w:r>
    </w:p>
    <w:p w14:paraId="12162146" w14:textId="77777777" w:rsidR="004D3F14" w:rsidRPr="00507A31" w:rsidRDefault="004D3F14" w:rsidP="00507A31">
      <w:pPr>
        <w:jc w:val="both"/>
        <w:rPr>
          <w:color w:val="0070C0"/>
          <w:sz w:val="16"/>
          <w:szCs w:val="16"/>
        </w:rPr>
      </w:pPr>
      <w:r w:rsidRPr="00507A31">
        <w:rPr>
          <w:color w:val="0070C0"/>
          <w:sz w:val="16"/>
          <w:szCs w:val="16"/>
        </w:rPr>
        <w:t>Эксплуатационная сеть включала базу, ко</w:t>
      </w:r>
      <w:r w:rsidRPr="00507A31">
        <w:rPr>
          <w:color w:val="0070C0"/>
          <w:sz w:val="16"/>
          <w:szCs w:val="16"/>
        </w:rPr>
        <w:softHyphen/>
        <w:t>торую из стратегических соображений решили построить под Красноярском (Сибирская база), и 11 швартовых точек. Её запланировали создать в 1931 г. как швартовую точку, а в 1932-1933 г. — как постоянную базу. В 1932 г. намечалось ввести в строй швартовые точки в Якутске и Турухан- ске, в 1933 г. — в Булуне, Нижне-Колымске, на Чукотке, Сахалине, в Симферополе и Тифлисе (две последние — по требованию Главного шта</w:t>
      </w:r>
      <w:r w:rsidRPr="00507A31">
        <w:rPr>
          <w:color w:val="0070C0"/>
          <w:sz w:val="16"/>
          <w:szCs w:val="16"/>
        </w:rPr>
        <w:softHyphen/>
        <w:t>ба РККА) и Москве, в 1934 г. — в Ленинграде и в Астрахани. К концу 1933 г. дирижабли долж</w:t>
      </w:r>
      <w:r w:rsidRPr="00507A31">
        <w:rPr>
          <w:color w:val="0070C0"/>
          <w:sz w:val="16"/>
          <w:szCs w:val="16"/>
        </w:rPr>
        <w:softHyphen/>
        <w:t>ны были работать на линиях: Москва — Сибир</w:t>
      </w:r>
      <w:r w:rsidRPr="00507A31">
        <w:rPr>
          <w:color w:val="0070C0"/>
          <w:sz w:val="16"/>
          <w:szCs w:val="16"/>
        </w:rPr>
        <w:softHyphen/>
        <w:t>ская база — Сахалин — Чукотский полуостров, Сибирская база — Якутск — Булун — Нижне-Ко- лымск, Красноярск-Турухан, Ленинград — Мо</w:t>
      </w:r>
      <w:r w:rsidRPr="00507A31">
        <w:rPr>
          <w:color w:val="0070C0"/>
          <w:sz w:val="16"/>
          <w:szCs w:val="16"/>
        </w:rPr>
        <w:softHyphen/>
        <w:t>сква — Крым — Кавказ, Ленинград — Москва — Астрахань. Общая протяжённость намеченных к открытию до конца 1933 г. линий составляла 185 000 км.</w:t>
      </w:r>
    </w:p>
    <w:p w14:paraId="760742BC" w14:textId="77777777" w:rsidR="004D3F14" w:rsidRPr="00507A31" w:rsidRDefault="004D3F14" w:rsidP="00507A31">
      <w:pPr>
        <w:jc w:val="both"/>
        <w:rPr>
          <w:color w:val="0070C0"/>
          <w:sz w:val="16"/>
          <w:szCs w:val="16"/>
        </w:rPr>
      </w:pPr>
      <w:r w:rsidRPr="00507A31">
        <w:rPr>
          <w:color w:val="0070C0"/>
          <w:sz w:val="16"/>
          <w:szCs w:val="16"/>
        </w:rPr>
        <w:t>Пятилетний план предусматривал постройку трёх дирижаблей полужёсткого типа (по 7000 м3), которые должны были обеспечить обучение лёт</w:t>
      </w:r>
      <w:r w:rsidRPr="00507A31">
        <w:rPr>
          <w:color w:val="0070C0"/>
          <w:sz w:val="16"/>
          <w:szCs w:val="16"/>
        </w:rPr>
        <w:softHyphen/>
        <w:t>ного состава, а также пяти воздушных кораблей жёсткого типа (четырёх — по 100 000 м3 и одно</w:t>
      </w:r>
      <w:r w:rsidRPr="00507A31">
        <w:rPr>
          <w:color w:val="0070C0"/>
          <w:sz w:val="16"/>
          <w:szCs w:val="16"/>
        </w:rPr>
        <w:softHyphen/>
        <w:t>го — в 150 000 м3). Быстрое разрешение этой за</w:t>
      </w:r>
      <w:r w:rsidRPr="00507A31">
        <w:rPr>
          <w:color w:val="0070C0"/>
          <w:sz w:val="16"/>
          <w:szCs w:val="16"/>
        </w:rPr>
        <w:softHyphen/>
        <w:t>дачи было возможно лишь при условии получе</w:t>
      </w:r>
      <w:r w:rsidRPr="00507A31">
        <w:rPr>
          <w:color w:val="0070C0"/>
          <w:sz w:val="16"/>
          <w:szCs w:val="16"/>
        </w:rPr>
        <w:softHyphen/>
        <w:t>ния иностранной (германской) техпомощи. Об</w:t>
      </w:r>
      <w:r w:rsidRPr="00507A31">
        <w:rPr>
          <w:color w:val="0070C0"/>
          <w:sz w:val="16"/>
          <w:szCs w:val="16"/>
        </w:rPr>
        <w:softHyphen/>
        <w:t>щая сумма затрат на это оценивалась в 16,3 млн рублей, из них 5,5 млн в инвалюте.</w:t>
      </w:r>
    </w:p>
    <w:p w14:paraId="0F980B01" w14:textId="77777777" w:rsidR="004D3F14" w:rsidRPr="00507A31" w:rsidRDefault="004D3F14" w:rsidP="00507A31">
      <w:pPr>
        <w:jc w:val="both"/>
        <w:rPr>
          <w:color w:val="0070C0"/>
          <w:sz w:val="16"/>
          <w:szCs w:val="16"/>
        </w:rPr>
      </w:pPr>
      <w:r w:rsidRPr="00507A31">
        <w:rPr>
          <w:color w:val="0070C0"/>
          <w:sz w:val="16"/>
          <w:szCs w:val="16"/>
        </w:rPr>
        <w:t>В заключении авторы записки отметили:</w:t>
      </w:r>
    </w:p>
    <w:p w14:paraId="56EADDA2" w14:textId="77777777" w:rsidR="004D3F14" w:rsidRPr="00507A31" w:rsidRDefault="004D3F14" w:rsidP="00507A31">
      <w:pPr>
        <w:jc w:val="both"/>
        <w:rPr>
          <w:color w:val="0070C0"/>
          <w:sz w:val="16"/>
          <w:szCs w:val="16"/>
        </w:rPr>
      </w:pPr>
      <w:r w:rsidRPr="00507A31">
        <w:rPr>
          <w:color w:val="0070C0"/>
          <w:sz w:val="16"/>
          <w:szCs w:val="16"/>
        </w:rPr>
        <w:t>...Осуществление этой программы, представля</w:t>
      </w:r>
      <w:r w:rsidRPr="00507A31">
        <w:rPr>
          <w:color w:val="0070C0"/>
          <w:sz w:val="16"/>
          <w:szCs w:val="16"/>
        </w:rPr>
        <w:softHyphen/>
        <w:t>ющее само по себе большие трудности, чрезвычайно осложнено нашей отсталостью в области дирижабле</w:t>
      </w:r>
      <w:r w:rsidRPr="00507A31">
        <w:rPr>
          <w:color w:val="0070C0"/>
          <w:sz w:val="16"/>
          <w:szCs w:val="16"/>
        </w:rPr>
        <w:softHyphen/>
        <w:t>строения. &lt;...&gt; Кроме того, отсутствие специальной Правительственной директивы, относящей дирижа</w:t>
      </w:r>
      <w:r w:rsidRPr="00507A31">
        <w:rPr>
          <w:color w:val="0070C0"/>
          <w:sz w:val="16"/>
          <w:szCs w:val="16"/>
        </w:rPr>
        <w:softHyphen/>
        <w:t>блестроение к числу ударных производств, влечёт с са</w:t>
      </w:r>
      <w:r w:rsidRPr="00507A31">
        <w:rPr>
          <w:color w:val="0070C0"/>
          <w:sz w:val="16"/>
          <w:szCs w:val="16"/>
        </w:rPr>
        <w:softHyphen/>
        <w:t>мого начала отказ в снабжении дефицитными мате</w:t>
      </w:r>
      <w:r w:rsidRPr="00507A31">
        <w:rPr>
          <w:color w:val="0070C0"/>
          <w:sz w:val="16"/>
          <w:szCs w:val="16"/>
        </w:rPr>
        <w:softHyphen/>
        <w:t>риалами, продовольствием и т. под. С другой стороны, потребность в материальных и людских ресурсах для осуществления программы по дирижаблестроению настолько невелика по сравнению с аналогичными по</w:t>
      </w:r>
      <w:r w:rsidRPr="00507A31">
        <w:rPr>
          <w:color w:val="0070C0"/>
          <w:sz w:val="16"/>
          <w:szCs w:val="16"/>
        </w:rPr>
        <w:softHyphen/>
        <w:t>требностями других важных объектов ударного стро</w:t>
      </w:r>
      <w:r w:rsidRPr="00507A31">
        <w:rPr>
          <w:color w:val="0070C0"/>
          <w:sz w:val="16"/>
          <w:szCs w:val="16"/>
        </w:rPr>
        <w:softHyphen/>
        <w:t>ительства, что отнесение дирижаблестроения к числу ударных практически легко осуществимо (20120).</w:t>
      </w:r>
    </w:p>
    <w:p w14:paraId="0B457981" w14:textId="77777777" w:rsidR="004D3F14" w:rsidRPr="00507A31" w:rsidRDefault="004D3F14" w:rsidP="00507A31">
      <w:pPr>
        <w:jc w:val="both"/>
        <w:rPr>
          <w:color w:val="0070C0"/>
          <w:sz w:val="16"/>
          <w:szCs w:val="16"/>
        </w:rPr>
      </w:pPr>
    </w:p>
    <w:p w14:paraId="4D886726" w14:textId="1C9C151F" w:rsidR="005A3792" w:rsidRPr="00507A31" w:rsidRDefault="005A3792" w:rsidP="00507A31">
      <w:pPr>
        <w:pStyle w:val="5b"/>
        <w:spacing w:before="0" w:line="240" w:lineRule="auto"/>
        <w:rPr>
          <w:color w:val="0070C0"/>
          <w:sz w:val="16"/>
          <w:szCs w:val="16"/>
        </w:rPr>
      </w:pPr>
      <w:r w:rsidRPr="00507A31">
        <w:rPr>
          <w:color w:val="0070C0"/>
          <w:sz w:val="16"/>
          <w:szCs w:val="16"/>
          <w:lang w:bidi="ru-RU"/>
        </w:rPr>
        <w:t>К концу 1930 года Эккенер прислал письмо, в котором сообщил: на его взгляд, линия до Якутска, Хабаровска, Николаевскана-Амуре вполне реальна и его фирма за 5 млн марок готова построить для неё дирижабль с параметрами «Графа Цеппелина», обучить в ходе работы одного-двух инженеров из СССР, а затем и подготовить советский экипаж корабля.</w:t>
      </w:r>
    </w:p>
    <w:p w14:paraId="04EA0329" w14:textId="77777777" w:rsidR="005A3792" w:rsidRPr="00507A31" w:rsidRDefault="005A3792" w:rsidP="00507A31">
      <w:pPr>
        <w:pStyle w:val="5b"/>
        <w:spacing w:before="0" w:line="240" w:lineRule="auto"/>
        <w:rPr>
          <w:color w:val="0070C0"/>
          <w:sz w:val="16"/>
          <w:szCs w:val="16"/>
        </w:rPr>
      </w:pPr>
      <w:r w:rsidRPr="00507A31">
        <w:rPr>
          <w:color w:val="0070C0"/>
          <w:sz w:val="16"/>
          <w:szCs w:val="16"/>
          <w:lang w:bidi="ru-RU"/>
        </w:rPr>
        <w:t>«Люфтшиффбау Цеппелин» также бралась оказать содействие в организации дирижаблестроительного дела в форме консультаций и передачи технологий:</w:t>
      </w:r>
    </w:p>
    <w:p w14:paraId="2087F405" w14:textId="77777777" w:rsidR="005A3792" w:rsidRPr="00507A31" w:rsidRDefault="005A3792" w:rsidP="00507A31">
      <w:pPr>
        <w:pStyle w:val="5b"/>
        <w:spacing w:before="0" w:line="240" w:lineRule="auto"/>
        <w:rPr>
          <w:color w:val="0070C0"/>
          <w:sz w:val="16"/>
          <w:szCs w:val="16"/>
        </w:rPr>
      </w:pPr>
      <w:r w:rsidRPr="00507A31">
        <w:rPr>
          <w:color w:val="0070C0"/>
          <w:sz w:val="16"/>
          <w:szCs w:val="16"/>
          <w:lang w:bidi="ru-RU"/>
        </w:rPr>
        <w:t>Мы готовы помочь Вам советом при сооружении верфи, предназначенной для строительства дирижаблей, как относительно выбора места, так и относительно сооружения и оборудования ангара, согласно Вашим желаниям и по мере наших возможностей. То же самое относится и к сооружению аэропортов для дирижаблей, сооружению мачт, газовых заводов и т. д.</w:t>
      </w:r>
    </w:p>
    <w:p w14:paraId="1AA9192B" w14:textId="77777777" w:rsidR="005A3792" w:rsidRPr="00507A31" w:rsidRDefault="005A3792" w:rsidP="00507A31">
      <w:pPr>
        <w:pStyle w:val="5b"/>
        <w:spacing w:before="0" w:line="240" w:lineRule="auto"/>
        <w:rPr>
          <w:color w:val="0070C0"/>
          <w:sz w:val="16"/>
          <w:szCs w:val="16"/>
        </w:rPr>
      </w:pPr>
      <w:r w:rsidRPr="00507A31">
        <w:rPr>
          <w:color w:val="0070C0"/>
          <w:sz w:val="16"/>
          <w:szCs w:val="16"/>
          <w:lang w:bidi="ru-RU"/>
        </w:rPr>
        <w:t>Мы готовы для предполагаемого Вами строительства дирижаблей предоставить Вам при условии заключения лицензионного договора все наши патенты и весь наш опыт как в настоящем, так и в будущем, а также предоставить Вам, поскольку Вы это пожелаете и поскольку это окажется для нас возможным, работников верфи под руководством одного главного инженера на срок примерно в 6 м-цев (23192).</w:t>
      </w:r>
    </w:p>
    <w:p w14:paraId="0FC058D5" w14:textId="77777777" w:rsidR="005A3792" w:rsidRPr="00507A31" w:rsidRDefault="005A3792" w:rsidP="00507A31">
      <w:pPr>
        <w:autoSpaceDE w:val="0"/>
        <w:autoSpaceDN w:val="0"/>
        <w:adjustRightInd w:val="0"/>
        <w:jc w:val="both"/>
        <w:rPr>
          <w:i/>
          <w:iCs/>
          <w:color w:val="000000" w:themeColor="text1"/>
          <w:sz w:val="16"/>
          <w:szCs w:val="16"/>
        </w:rPr>
      </w:pPr>
    </w:p>
    <w:p w14:paraId="5DE388E6" w14:textId="217139BA"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7D07DA5C" w14:textId="77777777" w:rsidR="00537E5F" w:rsidRPr="00507A31" w:rsidRDefault="00537E5F" w:rsidP="00507A31">
      <w:pPr>
        <w:autoSpaceDE w:val="0"/>
        <w:autoSpaceDN w:val="0"/>
        <w:adjustRightInd w:val="0"/>
        <w:jc w:val="both"/>
        <w:rPr>
          <w:iCs/>
          <w:color w:val="000000" w:themeColor="text1"/>
          <w:sz w:val="16"/>
          <w:szCs w:val="16"/>
        </w:rPr>
      </w:pPr>
    </w:p>
    <w:p w14:paraId="3150F0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рассматривался вариант установки пушек Гочкиса на Р-6, а затем 37 мм полуавтоматической танковой пушки. В январе 1931 остановились на 20 мм (346,36).</w:t>
      </w:r>
    </w:p>
    <w:p w14:paraId="0925AE38" w14:textId="77777777" w:rsidR="00537E5F" w:rsidRPr="00507A31" w:rsidRDefault="00537E5F" w:rsidP="00507A31">
      <w:pPr>
        <w:autoSpaceDE w:val="0"/>
        <w:autoSpaceDN w:val="0"/>
        <w:adjustRightInd w:val="0"/>
        <w:jc w:val="both"/>
        <w:rPr>
          <w:color w:val="000000" w:themeColor="text1"/>
          <w:sz w:val="16"/>
          <w:szCs w:val="16"/>
        </w:rPr>
      </w:pPr>
    </w:p>
    <w:p w14:paraId="449E4B9C" w14:textId="77777777" w:rsidR="00383E39" w:rsidRPr="00507A31" w:rsidRDefault="00383E39" w:rsidP="00507A31">
      <w:pPr>
        <w:shd w:val="clear" w:color="auto" w:fill="FFFFFF"/>
        <w:jc w:val="both"/>
        <w:rPr>
          <w:color w:val="0070C0"/>
          <w:sz w:val="16"/>
          <w:szCs w:val="16"/>
        </w:rPr>
      </w:pPr>
      <w:r w:rsidRPr="00507A31">
        <w:rPr>
          <w:color w:val="0070C0"/>
          <w:sz w:val="16"/>
          <w:szCs w:val="16"/>
          <w:shd w:val="clear" w:color="auto" w:fill="FFFFFF"/>
        </w:rPr>
        <w:t>В конце 1930 года прошли сравнительные испытания Т-26 и Т-18, дело не обошлось без саботажа. Т-26 не могли запустить 2 дня. Позже об этом прямо написал Халепский (докладная записка от 16 февраля 1934 года). Да и с Т-24, в который превратился Т-12, всё было не гладко. 5 ноября 1930 года на заседании Политбюро ЦК ВКП(б) было принято окончательное решение о выпуске Т-24 на ХПЗ, но решить - это не выпустить. Ни одного танка за 1930 год не сдали, а хоть что-то похожее на сдачу началось летом 1931 года. Итого - ГКБ ОАТ завалило всё, что можно (20375).</w:t>
      </w:r>
    </w:p>
    <w:p w14:paraId="07C77E76" w14:textId="77777777" w:rsidR="00383E39" w:rsidRPr="00507A31" w:rsidRDefault="00383E39" w:rsidP="00507A31">
      <w:pPr>
        <w:shd w:val="clear" w:color="auto" w:fill="FFFFFF"/>
        <w:jc w:val="both"/>
        <w:rPr>
          <w:color w:val="0070C0"/>
          <w:sz w:val="16"/>
          <w:szCs w:val="16"/>
        </w:rPr>
      </w:pPr>
    </w:p>
    <w:p w14:paraId="0B4B1FBB" w14:textId="77777777" w:rsidR="00383E39" w:rsidRPr="00507A31" w:rsidRDefault="00383E39" w:rsidP="00507A31">
      <w:pPr>
        <w:shd w:val="clear" w:color="auto" w:fill="FFFFFF"/>
        <w:jc w:val="both"/>
        <w:rPr>
          <w:color w:val="0070C0"/>
          <w:sz w:val="16"/>
          <w:szCs w:val="16"/>
        </w:rPr>
      </w:pPr>
      <w:r w:rsidRPr="00507A31">
        <w:rPr>
          <w:color w:val="0070C0"/>
          <w:sz w:val="16"/>
          <w:szCs w:val="16"/>
          <w:shd w:val="clear" w:color="auto" w:fill="FFFFFF"/>
        </w:rPr>
        <w:t>В конце 1930 при УММ была создана научно-техническая комиссия (НТК УММ КА), которая фактически являлась надзорным органом, принимающим окончательное решение по бронетанковой технике. В НТК работали, в частности, В.М. Бегунов (ВРИД начальника 1-й секции НТК), который сопровождал Халепского в зарубежной поездке, и начальник технического отдела Н.М. Тоскин, сыгравший большую роль в появлении танка БТ. А еще в самом начале 1930 года НТК УММ КА пополнился за счет нового сотрудника - С.А. Гинзбурга (20375). </w:t>
      </w:r>
    </w:p>
    <w:p w14:paraId="5C0CF883" w14:textId="77777777" w:rsidR="00383E39" w:rsidRPr="00507A31" w:rsidRDefault="00383E39" w:rsidP="00507A31">
      <w:pPr>
        <w:shd w:val="clear" w:color="auto" w:fill="FFFFFF"/>
        <w:jc w:val="both"/>
        <w:rPr>
          <w:color w:val="0070C0"/>
          <w:sz w:val="16"/>
          <w:szCs w:val="16"/>
        </w:rPr>
      </w:pPr>
    </w:p>
    <w:p w14:paraId="05995B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ОКИБ УММ РККА Н.И.Дыренкова был разработан химический танк Д-15 и построен на Можерезе летом 1931. В августе 1931 прошел полигонные испытания. На вооружение не принимался в серии не был (9527,188).</w:t>
      </w:r>
    </w:p>
    <w:p w14:paraId="67594B4B" w14:textId="77777777" w:rsidR="00537E5F" w:rsidRPr="00507A31" w:rsidRDefault="00537E5F" w:rsidP="00507A31">
      <w:pPr>
        <w:autoSpaceDE w:val="0"/>
        <w:autoSpaceDN w:val="0"/>
        <w:adjustRightInd w:val="0"/>
        <w:jc w:val="both"/>
        <w:rPr>
          <w:color w:val="000000" w:themeColor="text1"/>
          <w:sz w:val="16"/>
          <w:szCs w:val="16"/>
        </w:rPr>
      </w:pPr>
    </w:p>
    <w:p w14:paraId="67AA62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концу 1930 ОКМО завода Большевик разработало проект тяжелого танка Т-30 (9527,151).</w:t>
      </w:r>
    </w:p>
    <w:p w14:paraId="0E9B25D0" w14:textId="77777777" w:rsidR="00537E5F" w:rsidRPr="00507A31" w:rsidRDefault="00537E5F" w:rsidP="00507A31">
      <w:pPr>
        <w:autoSpaceDE w:val="0"/>
        <w:autoSpaceDN w:val="0"/>
        <w:adjustRightInd w:val="0"/>
        <w:jc w:val="both"/>
        <w:rPr>
          <w:color w:val="000000" w:themeColor="text1"/>
          <w:sz w:val="16"/>
          <w:szCs w:val="16"/>
        </w:rPr>
      </w:pPr>
    </w:p>
    <w:p w14:paraId="710649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по проекту Н.И.Дыренкова начались работы по бронировке 4 тракторов различных марок на заводе Можерез (4306).</w:t>
      </w:r>
    </w:p>
    <w:p w14:paraId="19450C4D" w14:textId="77777777" w:rsidR="00537E5F" w:rsidRPr="00507A31" w:rsidRDefault="00537E5F" w:rsidP="00507A31">
      <w:pPr>
        <w:autoSpaceDE w:val="0"/>
        <w:autoSpaceDN w:val="0"/>
        <w:adjustRightInd w:val="0"/>
        <w:jc w:val="both"/>
        <w:rPr>
          <w:color w:val="000000" w:themeColor="text1"/>
          <w:sz w:val="16"/>
          <w:szCs w:val="16"/>
        </w:rPr>
      </w:pPr>
    </w:p>
    <w:p w14:paraId="6CC5C5E3" w14:textId="77777777" w:rsidR="00DD18DE" w:rsidRPr="00507A31" w:rsidRDefault="00DD18DE" w:rsidP="00507A31">
      <w:pPr>
        <w:jc w:val="both"/>
        <w:rPr>
          <w:color w:val="0070C0"/>
          <w:sz w:val="16"/>
          <w:szCs w:val="16"/>
        </w:rPr>
      </w:pPr>
      <w:bookmarkStart w:id="109" w:name="_Hlk56763901"/>
      <w:r w:rsidRPr="00507A31">
        <w:rPr>
          <w:color w:val="0070C0"/>
          <w:sz w:val="16"/>
          <w:szCs w:val="16"/>
        </w:rPr>
        <w:t xml:space="preserve">К концу 1930 года был готов проект типовой тяжелой бронеплощадки военного склада № 60 (базы хранения и ремонта бронепоездов под Брянском) и имел много общих черт с разработанной здесь же чуть раньше легкой бронеплощадкой. Тяжелая бронеплощадка получила одну орудийную башню (на легкой бронеплощадке их было две), сдвинутую к торцу. Башня имела цилиндрическую форму и вооружалась 107-мм орудием и одним пулеметом «максим». По своей конструкции она весьма напоминала башню легкой бронеплощадки склада № 60, но чтобы вмещать орудие более крупного калибра, ее размеры были больше. Изготавливалась башня из стальных листов толщиной 20 мм. В задней части был предусмотрен специальный люк для демонтажа орудия. Интересной особенностью конструкции башни было то, что в ее бортах сделали целых шесть двустворчатых окон, которые, по задумке конструкторов, должны были облегчить наблюдение и обеспечить вентиляцию </w:t>
      </w:r>
      <w:r w:rsidRPr="00507A31">
        <w:rPr>
          <w:color w:val="0070C0"/>
          <w:sz w:val="16"/>
          <w:szCs w:val="16"/>
        </w:rPr>
        <w:lastRenderedPageBreak/>
        <w:t>башни (как это все сочеталось с надежной бронезащитой, не совсем понятно). Вдоль крыши бронеплощадки шел короб еще с восемью вентиляционными лючками. На нем же установили шестигранную командирскую башенку в каждой грани, которой прорезали по смотровой щели. Так как первые типовые тяжелые бронеплощадки предполагалось переделывать из выведенных в резерв и отстаивавшихся на путях военного склада № 60 броневагонов времен гражданской войны, которые в большинстве своем были «одеты» не в настоящую броню, а прикрывались обычной «котельной сталью», то для увеличения бронестойкости в их конструкции были предусмотрены двойные стенки — два стальных листа устанавливались на расстоянии друг от друга, а зазор между ними заполнялся досками. В бортах бронеплощадки были прорезаны четыре амбразуры для пулеметов «максим» и две двери для посадки и высадки экипажа. Двери были смещены друг относительно друга, чтобы внутренность площадки не простреливалась насквозь при открытых дверях. Для аварийного выхода был предусмотрен дополнительный люк в полу, через него можно было выбраться на железнодорожное полотно, прикрываясь колесными тележками. Экипаж тяжелой бронеплощадки насчитывал 15 человек (22744).</w:t>
      </w:r>
    </w:p>
    <w:p w14:paraId="7A459118" w14:textId="77777777" w:rsidR="00DD18DE" w:rsidRPr="00507A31" w:rsidRDefault="00DD18DE" w:rsidP="00507A31">
      <w:pPr>
        <w:jc w:val="both"/>
        <w:rPr>
          <w:color w:val="0070C0"/>
          <w:sz w:val="16"/>
          <w:szCs w:val="16"/>
        </w:rPr>
      </w:pPr>
    </w:p>
    <w:p w14:paraId="59DC3AD5" w14:textId="77777777" w:rsidR="00DD18DE" w:rsidRPr="00507A31" w:rsidRDefault="00DD18DE" w:rsidP="00507A31">
      <w:pPr>
        <w:jc w:val="both"/>
        <w:rPr>
          <w:color w:val="0070C0"/>
          <w:sz w:val="16"/>
          <w:szCs w:val="16"/>
        </w:rPr>
      </w:pPr>
      <w:r w:rsidRPr="00507A31">
        <w:rPr>
          <w:color w:val="0070C0"/>
          <w:sz w:val="16"/>
          <w:szCs w:val="16"/>
        </w:rPr>
        <w:t>В конце 1930 года после рассмотрения в техническом отделе УММ РККА разработанный складом № 60 проект тяжелой бронеплощадки был утвержден, и с начала следующего года мастерские склада приступили к изготовлению. До 1934 года здесь было изготовлено 16 тяжелых бронеплощадок. Две из них, построенные в начале 1933 года, строились уже по улучшенному проекту. Эти бронеплощадки получили внутреннюю телефонную связь, паровое отопление и электроосвещение, была также оптимизирована укладка боеприпасов. Внешне площадка улучшенного проекта отличалась новой формой башни. Вместо круглой она стала 20-гранной. Такое решение было вызвано стремлением повысить технологичность производства, отказавшись от трудоемкого процесса гибки бортовых листов башни. Теперь ее борта набирались из плоских листов (22724).</w:t>
      </w:r>
    </w:p>
    <w:p w14:paraId="70C9D39E" w14:textId="77777777" w:rsidR="00DD18DE" w:rsidRPr="00507A31" w:rsidRDefault="00DD18DE" w:rsidP="00507A31">
      <w:pPr>
        <w:jc w:val="both"/>
        <w:rPr>
          <w:color w:val="0070C0"/>
          <w:sz w:val="16"/>
          <w:szCs w:val="16"/>
        </w:rPr>
      </w:pPr>
    </w:p>
    <w:bookmarkEnd w:id="109"/>
    <w:p w14:paraId="08F59E19" w14:textId="77777777" w:rsidR="006B5C92" w:rsidRPr="00507A31" w:rsidRDefault="006B5C92" w:rsidP="00507A31">
      <w:pPr>
        <w:widowControl w:val="0"/>
        <w:jc w:val="both"/>
        <w:rPr>
          <w:color w:val="000000" w:themeColor="text1"/>
          <w:sz w:val="16"/>
          <w:szCs w:val="16"/>
        </w:rPr>
      </w:pPr>
      <w:r w:rsidRPr="00507A31">
        <w:rPr>
          <w:color w:val="000000" w:themeColor="text1"/>
          <w:sz w:val="16"/>
          <w:szCs w:val="16"/>
        </w:rPr>
        <w:t xml:space="preserve">В конце </w:t>
      </w:r>
      <w:smartTag w:uri="urn:schemas-microsoft-com:office:smarttags" w:element="metricconverter">
        <w:smartTagPr>
          <w:attr w:name="ProductID" w:val="1945 г"/>
        </w:smartTagPr>
        <w:r w:rsidRPr="00507A31">
          <w:rPr>
            <w:color w:val="000000" w:themeColor="text1"/>
            <w:sz w:val="16"/>
            <w:szCs w:val="16"/>
          </w:rPr>
          <w:t>1930 г</w:t>
        </w:r>
      </w:smartTag>
      <w:r w:rsidRPr="00507A31">
        <w:rPr>
          <w:color w:val="000000" w:themeColor="text1"/>
          <w:sz w:val="16"/>
          <w:szCs w:val="16"/>
        </w:rPr>
        <w:t>. представители ЦК ВКП(б), обследовав строительство автозавода, констатировали, что партийная организация и коллектив Автостроя добились перелома в сооружении зданий цехов и домов соцгорода; планы строительства выполняются весьма успешно (15218).</w:t>
      </w:r>
    </w:p>
    <w:p w14:paraId="51BEDA6E" w14:textId="77777777" w:rsidR="006B5C92" w:rsidRPr="00507A31" w:rsidRDefault="006B5C92" w:rsidP="00507A31">
      <w:pPr>
        <w:widowControl w:val="0"/>
        <w:jc w:val="both"/>
        <w:rPr>
          <w:color w:val="000000" w:themeColor="text1"/>
          <w:sz w:val="16"/>
          <w:szCs w:val="16"/>
        </w:rPr>
      </w:pPr>
    </w:p>
    <w:p w14:paraId="21CE94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конце 1930 года с американской фирмой «Тимкен» заключили договор на изготовление 1000 трехос</w:t>
      </w:r>
      <w:r w:rsidRPr="00507A31">
        <w:rPr>
          <w:color w:val="000000" w:themeColor="text1"/>
          <w:sz w:val="16"/>
          <w:szCs w:val="16"/>
        </w:rPr>
        <w:softHyphen/>
        <w:t>ных (6 х 4) грузовиков. При этом «Тимкен» брала обычный двухосный «Форд-АА» и устанавливала на него третью ось. Эти грузовики, известные как «Форд-Тимкен», доставлялись в Советский Союз двумя партиями — в июне и октяб</w:t>
      </w:r>
      <w:r w:rsidRPr="00507A31">
        <w:rPr>
          <w:color w:val="000000" w:themeColor="text1"/>
          <w:sz w:val="16"/>
          <w:szCs w:val="16"/>
        </w:rPr>
        <w:softHyphen/>
        <w:t>ре 1931 года — и собирались на заводе «Гудок Октября» (11284).</w:t>
      </w:r>
    </w:p>
    <w:p w14:paraId="0D1F7F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C680377" w14:textId="77777777" w:rsidR="006B5C92" w:rsidRPr="00507A31" w:rsidRDefault="006B5C92" w:rsidP="00507A31">
      <w:pPr>
        <w:widowControl w:val="0"/>
        <w:jc w:val="both"/>
        <w:rPr>
          <w:color w:val="000000" w:themeColor="text1"/>
          <w:sz w:val="16"/>
          <w:szCs w:val="16"/>
        </w:rPr>
      </w:pPr>
      <w:r w:rsidRPr="00507A31">
        <w:rPr>
          <w:color w:val="000000" w:themeColor="text1"/>
          <w:sz w:val="16"/>
          <w:szCs w:val="16"/>
        </w:rPr>
        <w:t>В конце 1930 года с американской фирмой «Тимкен» заключили договор на изготовление 1000 трехосных (6х4) грузовиков. При этом «Тимкен» брала обычный двухосный «Форд-АА» и устанавливала на него третью ось. Эти грузовики, известные как «Форд-Тимкен», поставлялись в Советский Союз двумя партиями – в июне и октябре 1931 года – и собирались на заводе «Гудок Октября» (Коломиец М.В. Броня на колесах. История советского бронеавтомобиля 1925-1945 гг. – М.: Яуза, Эксмо, Стратегия КМ, Эксмо, 2007. – С. 25-27.) (15218).</w:t>
      </w:r>
    </w:p>
    <w:p w14:paraId="0D59ACAC" w14:textId="77777777" w:rsidR="006B5C92" w:rsidRPr="00507A31" w:rsidRDefault="006B5C92" w:rsidP="00507A31">
      <w:pPr>
        <w:widowControl w:val="0"/>
        <w:jc w:val="both"/>
        <w:rPr>
          <w:color w:val="000000" w:themeColor="text1"/>
          <w:sz w:val="16"/>
          <w:szCs w:val="16"/>
        </w:rPr>
      </w:pPr>
    </w:p>
    <w:p w14:paraId="7CD9EDD9" w14:textId="77777777" w:rsidR="00383E39" w:rsidRPr="00507A31" w:rsidRDefault="00383E39" w:rsidP="00507A31">
      <w:pPr>
        <w:jc w:val="both"/>
        <w:rPr>
          <w:color w:val="0070C0"/>
          <w:sz w:val="16"/>
          <w:szCs w:val="16"/>
        </w:rPr>
      </w:pPr>
      <w:r w:rsidRPr="00507A31">
        <w:rPr>
          <w:color w:val="0070C0"/>
          <w:sz w:val="16"/>
          <w:szCs w:val="16"/>
        </w:rPr>
        <w:t>В конце 1930 г. руководство страны обратило пристальное внимание на внедрение дизельных двигателей в народное хозяйство. Вышло постановление ЦК ВКП (б) о внедрении дизель-моторов в автотракторный парк СССР, в котором остро ставился вопрос о необходимости рационального использования нефтепродуктов, ускорения перевода транспортных и других машин на использование тяжелого топлива. Другими словами, требовалось срочно найти массового потребителя керосина и газойля, производившихся промышленностью в процессе крекинга нефти одновременно с бензином, но не находивших широкого сбыта (21328).</w:t>
      </w:r>
    </w:p>
    <w:p w14:paraId="4F8699C3" w14:textId="77777777" w:rsidR="00383E39" w:rsidRPr="00507A31" w:rsidRDefault="00383E39" w:rsidP="00507A31">
      <w:pPr>
        <w:jc w:val="both"/>
        <w:rPr>
          <w:color w:val="0070C0"/>
          <w:sz w:val="16"/>
          <w:szCs w:val="16"/>
        </w:rPr>
      </w:pPr>
    </w:p>
    <w:p w14:paraId="75C168BE" w14:textId="77777777" w:rsidR="00DD18DE" w:rsidRPr="00507A31" w:rsidRDefault="00DD18DE" w:rsidP="00507A31">
      <w:pPr>
        <w:jc w:val="both"/>
        <w:rPr>
          <w:color w:val="0070C0"/>
          <w:sz w:val="16"/>
          <w:szCs w:val="16"/>
        </w:rPr>
      </w:pPr>
      <w:r w:rsidRPr="00507A31">
        <w:rPr>
          <w:color w:val="0070C0"/>
          <w:sz w:val="16"/>
          <w:szCs w:val="16"/>
          <w:shd w:val="clear" w:color="auto" w:fill="FBFCFC"/>
        </w:rPr>
        <w:t>В конце 1930 г. в Америке купили один звездообразный дизель «Паккард» мощностью 225 л. с. Его доставили в НАМ и разобрали для изучения. В 1931 г. ВАО приобрело еще четыре штуки. Советские представители запросили фирму «Паккард» на предмет получения лицензии и технической помощи в освоении производства, но получили отказ. Тогда решили идти другим путем. Задание добыть необходимые материалы получила советская разведка. В конце июня 1931 г. ОГПУ передало ВАО полный комплект документации по последней модификации дизеля «Паккард» мощностью 230 л. с., датированный ноябрем 1930 г. В Москву доставили около 1500 чертежей, спецификации, технологические документы. Но позже от развертывания выпуска дизеля отказались, сочтя его неудачным по конструкции (21511).</w:t>
      </w:r>
    </w:p>
    <w:p w14:paraId="17DC340B" w14:textId="77777777" w:rsidR="00DD18DE" w:rsidRPr="00507A31" w:rsidRDefault="00DD18DE" w:rsidP="00507A31">
      <w:pPr>
        <w:jc w:val="both"/>
        <w:rPr>
          <w:color w:val="0070C0"/>
          <w:sz w:val="16"/>
          <w:szCs w:val="16"/>
        </w:rPr>
      </w:pPr>
    </w:p>
    <w:p w14:paraId="1BB1F998" w14:textId="77777777" w:rsidR="00DD18DE" w:rsidRPr="00507A31" w:rsidRDefault="00DD18DE" w:rsidP="00507A31">
      <w:pPr>
        <w:jc w:val="both"/>
        <w:rPr>
          <w:color w:val="0070C0"/>
          <w:sz w:val="16"/>
          <w:szCs w:val="16"/>
        </w:rPr>
      </w:pPr>
      <w:r w:rsidRPr="00507A31">
        <w:rPr>
          <w:color w:val="0070C0"/>
          <w:sz w:val="16"/>
          <w:szCs w:val="16"/>
        </w:rPr>
        <w:t>В конце 1930 года в НАМИ под руководством Запорожца организуется отдел моторов тяжелого топлива, который занялся изучением быстроходных дизелей (22518).</w:t>
      </w:r>
    </w:p>
    <w:p w14:paraId="15C0F039" w14:textId="77777777" w:rsidR="00DD18DE" w:rsidRPr="00507A31" w:rsidRDefault="00DD18DE" w:rsidP="00507A31">
      <w:pPr>
        <w:jc w:val="both"/>
        <w:rPr>
          <w:color w:val="0070C0"/>
          <w:sz w:val="16"/>
          <w:szCs w:val="16"/>
        </w:rPr>
      </w:pPr>
    </w:p>
    <w:p w14:paraId="25CC706F" w14:textId="77777777" w:rsidR="00DD18DE" w:rsidRPr="00507A31" w:rsidRDefault="00DD18DE" w:rsidP="00507A31">
      <w:pPr>
        <w:jc w:val="both"/>
        <w:rPr>
          <w:color w:val="0070C0"/>
          <w:sz w:val="16"/>
          <w:szCs w:val="16"/>
        </w:rPr>
      </w:pPr>
      <w:r w:rsidRPr="00507A31">
        <w:rPr>
          <w:color w:val="0070C0"/>
          <w:sz w:val="16"/>
          <w:szCs w:val="16"/>
        </w:rPr>
        <w:t>К концу 1930 года был утвержден выполненный НАМИ общий проект автомобиля повышенной про</w:t>
      </w:r>
      <w:r w:rsidRPr="00507A31">
        <w:rPr>
          <w:color w:val="0070C0"/>
          <w:sz w:val="16"/>
          <w:szCs w:val="16"/>
        </w:rPr>
        <w:softHyphen/>
        <w:t>ходимости на базе «Форд-А» - модели «К». Затем приступили к выполнению рабочих чертежей (22518).</w:t>
      </w:r>
    </w:p>
    <w:p w14:paraId="2F020EDE" w14:textId="77777777" w:rsidR="00DD18DE" w:rsidRPr="00507A31" w:rsidRDefault="00DD18DE" w:rsidP="00507A31">
      <w:pPr>
        <w:jc w:val="both"/>
        <w:rPr>
          <w:color w:val="0070C0"/>
          <w:sz w:val="16"/>
          <w:szCs w:val="16"/>
        </w:rPr>
      </w:pPr>
    </w:p>
    <w:p w14:paraId="4441FE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конце 1930 года руководство ТРЕМАСС распорядилось о пере</w:t>
      </w:r>
      <w:r w:rsidRPr="00507A31">
        <w:rPr>
          <w:color w:val="000000" w:themeColor="text1"/>
          <w:sz w:val="16"/>
          <w:szCs w:val="16"/>
        </w:rPr>
        <w:softHyphen/>
        <w:t>воде всех видов работ по мотоциклам с завода ПРОМЕТ на «Красный Октябрь». При этом мотоцикл «ТРЕМАСС-300» пере</w:t>
      </w:r>
      <w:r w:rsidRPr="00507A31">
        <w:rPr>
          <w:color w:val="000000" w:themeColor="text1"/>
          <w:sz w:val="16"/>
          <w:szCs w:val="16"/>
        </w:rPr>
        <w:softHyphen/>
        <w:t>именовали в Л-300, что означало - Ленинградский, с рабочим объёмом двигателя 300 см</w:t>
      </w:r>
      <w:r w:rsidRPr="00507A31">
        <w:rPr>
          <w:color w:val="000000" w:themeColor="text1"/>
          <w:sz w:val="16"/>
          <w:szCs w:val="16"/>
          <w:vertAlign w:val="superscript"/>
        </w:rPr>
        <w:t>3</w:t>
      </w:r>
      <w:r w:rsidRPr="00507A31">
        <w:rPr>
          <w:color w:val="000000" w:themeColor="text1"/>
          <w:sz w:val="16"/>
          <w:szCs w:val="16"/>
        </w:rPr>
        <w:t xml:space="preserve"> [4.32] (11429).</w:t>
      </w:r>
    </w:p>
    <w:p w14:paraId="32BC22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673F536"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В конце 1930 года мотоцикла Промета, в конструкцию которого внесли улучшения, переименовали в Л-300 (ленинградский, с рабочим объемом двигателя внутреннего сгорания 300 см3), а специалисты ВСНХ предложили довести их выпуск до 2 тыс. уже в 1931 году. С этой целью в Ленинграде организовали кооперацию заводов. Собирали же и испытывали машины на заводе «Красный Октябрь» (11396).</w:t>
      </w:r>
    </w:p>
    <w:p w14:paraId="59930F4D" w14:textId="77777777" w:rsidR="00537E5F" w:rsidRPr="00507A31" w:rsidRDefault="00537E5F" w:rsidP="00507A31">
      <w:pPr>
        <w:widowControl w:val="0"/>
        <w:autoSpaceDE w:val="0"/>
        <w:autoSpaceDN w:val="0"/>
        <w:adjustRightInd w:val="0"/>
        <w:jc w:val="both"/>
        <w:rPr>
          <w:color w:val="000000" w:themeColor="text1"/>
          <w:sz w:val="16"/>
          <w:szCs w:val="16"/>
        </w:rPr>
      </w:pPr>
    </w:p>
    <w:p w14:paraId="79BEF262"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В конце 1930 года на Ивановке усиленными темпами за 45 дней переоборудовали бывший сахароваренный завод в ав-тосборочный. Строительные работы вела 3-я стройконтора. На заводе работает уже 300 человек. Пущен чугунолитейный цех., снабжающий Авторемснаб и Союзтранс чугунным и алюми-ниевым литьем, которое раньше получали из-за границы. Чтобы поправить финансовое положение, организовали производство несгораемых касс. Эта продукция давала большую прибыль, так как помимо высокого спроса на внутреннем рын-ке хорошо шла на экспорт. По-явились средства на ведение ис-следовательских и строительных работ. Реконструкция продолжается, а на заводе уже ремонтиру-ют автомобили и мотоциклы, изготавливается пробная партия автомобилей собственной заводской конструкции (11602).</w:t>
      </w:r>
    </w:p>
    <w:p w14:paraId="2D658BA5" w14:textId="77777777" w:rsidR="00537E5F" w:rsidRPr="00507A31" w:rsidRDefault="00537E5F" w:rsidP="00507A31">
      <w:pPr>
        <w:widowControl w:val="0"/>
        <w:autoSpaceDE w:val="0"/>
        <w:autoSpaceDN w:val="0"/>
        <w:adjustRightInd w:val="0"/>
        <w:jc w:val="both"/>
        <w:rPr>
          <w:color w:val="000000" w:themeColor="text1"/>
          <w:sz w:val="16"/>
          <w:szCs w:val="16"/>
        </w:rPr>
      </w:pPr>
    </w:p>
    <w:p w14:paraId="2BAAFE1A" w14:textId="77777777" w:rsidR="00B42415" w:rsidRPr="00507A31" w:rsidRDefault="00B42415" w:rsidP="00507A31">
      <w:pPr>
        <w:jc w:val="both"/>
        <w:rPr>
          <w:color w:val="000000" w:themeColor="text1"/>
          <w:sz w:val="16"/>
          <w:szCs w:val="16"/>
        </w:rPr>
      </w:pPr>
      <w:r w:rsidRPr="00507A31">
        <w:rPr>
          <w:color w:val="000000" w:themeColor="text1"/>
          <w:sz w:val="16"/>
          <w:szCs w:val="16"/>
        </w:rPr>
        <w:t>К концу 1930 г. становится очевидным, что целей образования ЦРЛЗ добиться не удается. На заводе им. Коминтерна идет напряженная работа по выполнению чрезвычайно важного заказа «Блокада», что не дает возможности создать условия для реализации задач опытного завода-лаборатории. На предприятии элементарно не хватает площадей даже для выполнения полученных военных заказов3. В таких условиях исследовательские работы были принесены в жертву текущему производству, и для этих целей начинают активно использоваться мастерские лаборатории. Впрочем, в тот период это было общей тенденцией в политике руководства ВЭО. В результате этого в 1931 г. выпуск готовых изделий в мастерских центральных лабораторий вырос по сравнению с 1930 г. в 9 раз (18297).</w:t>
      </w:r>
    </w:p>
    <w:p w14:paraId="59E2F805" w14:textId="77777777" w:rsidR="00B42415" w:rsidRPr="00507A31" w:rsidRDefault="00B42415" w:rsidP="00507A31">
      <w:pPr>
        <w:jc w:val="both"/>
        <w:rPr>
          <w:color w:val="000000" w:themeColor="text1"/>
          <w:sz w:val="16"/>
          <w:szCs w:val="16"/>
        </w:rPr>
      </w:pPr>
    </w:p>
    <w:p w14:paraId="7351CA14" w14:textId="77777777" w:rsidR="009A2E8A" w:rsidRPr="00507A31" w:rsidRDefault="009A2E8A" w:rsidP="00507A31">
      <w:pPr>
        <w:jc w:val="both"/>
        <w:rPr>
          <w:color w:val="000000" w:themeColor="text1"/>
          <w:sz w:val="16"/>
          <w:szCs w:val="16"/>
        </w:rPr>
      </w:pPr>
      <w:r w:rsidRPr="00507A31">
        <w:rPr>
          <w:color w:val="000000" w:themeColor="text1"/>
          <w:sz w:val="16"/>
          <w:szCs w:val="16"/>
        </w:rPr>
        <w:t>В конце 1930 г. в приказе по ВЭО директору и ряду сотрудников ЦРЛЗ «за неоднократное оттягивание сроков по важным военным заказам, отсутствие плановости в работе и плохое качество работы» были объявлены серьезные дисциплинарные взыскания. В письме на имя заместителя председателя правления ВЭО директор Виноградов решительно протестует «… против попыток переложить на завод всю ответственность за неразбериху, царящую в Спецуправлении ВЭО». Он отмечает, что многочисленные комиссии из Москвы не только не принесли предприятию реальной помощи, но и внесли в его работу дополнительную нервозность.</w:t>
      </w:r>
    </w:p>
    <w:p w14:paraId="23C2618B" w14:textId="77777777" w:rsidR="009A2E8A" w:rsidRPr="00507A31" w:rsidRDefault="009A2E8A" w:rsidP="00507A31">
      <w:pPr>
        <w:jc w:val="both"/>
        <w:rPr>
          <w:color w:val="000000" w:themeColor="text1"/>
          <w:sz w:val="16"/>
          <w:szCs w:val="16"/>
        </w:rPr>
      </w:pPr>
      <w:r w:rsidRPr="00507A31">
        <w:rPr>
          <w:color w:val="000000" w:themeColor="text1"/>
          <w:sz w:val="16"/>
          <w:szCs w:val="16"/>
        </w:rPr>
        <w:t>В феврале 1931 г. дело дошло до того, что начальник СУ ВЭО обратился с жалобой на руководство ЦРЛЗ в Ленинградский городской комитет РКИ по поводу неисполнения предприятием обязательств по подготовке технической документации для решения вопроса об использовании разработанных для УВМС радиостанций на судах гражданского флота (18297).</w:t>
      </w:r>
    </w:p>
    <w:p w14:paraId="7324EA22" w14:textId="77777777" w:rsidR="009A2E8A" w:rsidRPr="00507A31" w:rsidRDefault="009A2E8A" w:rsidP="00507A31">
      <w:pPr>
        <w:jc w:val="both"/>
        <w:rPr>
          <w:color w:val="000000" w:themeColor="text1"/>
          <w:sz w:val="16"/>
          <w:szCs w:val="16"/>
        </w:rPr>
      </w:pPr>
    </w:p>
    <w:p w14:paraId="6A3715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конце 1930 г. По</w:t>
      </w:r>
      <w:r w:rsidRPr="00507A31">
        <w:rPr>
          <w:color w:val="000000" w:themeColor="text1"/>
          <w:sz w:val="16"/>
          <w:szCs w:val="16"/>
        </w:rPr>
        <w:softHyphen/>
        <w:t>литбюро обязало Всесоюзное электротехническое объединение Наркомтяжпрома изготовить несколько экземпляров зашифровы</w:t>
      </w:r>
      <w:r w:rsidRPr="00507A31">
        <w:rPr>
          <w:color w:val="000000" w:themeColor="text1"/>
          <w:sz w:val="16"/>
          <w:szCs w:val="16"/>
        </w:rPr>
        <w:softHyphen/>
        <w:t>вающей аппаратуры. В ответ на это распоряжение объединение послало в ЦК ВКП(б) следующий запрос: «Доводим до Вашего сведения, что никакого заказа выполнить не можем; мы даже не можем приступить к выполнению, так как не знаем, что именно нужно. Просьба обязать соответствующие организации дать нам немедленно образцы приборов, которые мы можем считать для себя эталонами» (РГАЭ ф. 8418, оп. 17, д. 2, л. 265) (1566,109).</w:t>
      </w:r>
    </w:p>
    <w:p w14:paraId="5E5333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09D90F8" w14:textId="77777777" w:rsidR="00383E39" w:rsidRPr="00507A31" w:rsidRDefault="00383E39" w:rsidP="00507A31">
      <w:pPr>
        <w:pStyle w:val="ae"/>
        <w:shd w:val="clear" w:color="auto" w:fill="FFFFFF"/>
        <w:spacing w:before="0" w:after="0"/>
        <w:jc w:val="both"/>
        <w:rPr>
          <w:color w:val="0070C0"/>
          <w:sz w:val="16"/>
          <w:szCs w:val="16"/>
        </w:rPr>
      </w:pPr>
      <w:r w:rsidRPr="00507A31">
        <w:rPr>
          <w:color w:val="0070C0"/>
          <w:sz w:val="16"/>
          <w:szCs w:val="16"/>
        </w:rPr>
        <w:t>К концу 1930 года кампания по борьбе с вредительством на военных заводах Ленинграда начала постепенно затухать. Уже осенью 1930 года власти начинают предпринимать довольно действенные меры по ее постепенному сворачиванию (20981).</w:t>
      </w:r>
    </w:p>
    <w:p w14:paraId="07CF46AD" w14:textId="77777777" w:rsidR="00383E39" w:rsidRPr="00507A31" w:rsidRDefault="00383E39" w:rsidP="00507A31">
      <w:pPr>
        <w:pStyle w:val="ae"/>
        <w:shd w:val="clear" w:color="auto" w:fill="FFFFFF"/>
        <w:spacing w:before="0" w:after="0"/>
        <w:jc w:val="both"/>
        <w:rPr>
          <w:color w:val="0070C0"/>
          <w:sz w:val="16"/>
          <w:szCs w:val="16"/>
        </w:rPr>
      </w:pPr>
    </w:p>
    <w:p w14:paraId="38E3C0C7" w14:textId="77777777" w:rsidR="009A2E8A" w:rsidRPr="00507A31" w:rsidRDefault="009A2E8A"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46767CA" w14:textId="77777777" w:rsidR="009A2E8A" w:rsidRPr="00507A31" w:rsidRDefault="009A2E8A" w:rsidP="00507A31">
      <w:pPr>
        <w:autoSpaceDE w:val="0"/>
        <w:autoSpaceDN w:val="0"/>
        <w:adjustRightInd w:val="0"/>
        <w:jc w:val="both"/>
        <w:rPr>
          <w:iCs/>
          <w:color w:val="000000" w:themeColor="text1"/>
          <w:sz w:val="16"/>
          <w:szCs w:val="16"/>
        </w:rPr>
      </w:pPr>
    </w:p>
    <w:p w14:paraId="5E056D86" w14:textId="77777777" w:rsidR="009A2E8A" w:rsidRPr="00507A31" w:rsidRDefault="009A2E8A" w:rsidP="00507A31">
      <w:pPr>
        <w:jc w:val="both"/>
        <w:rPr>
          <w:color w:val="000000" w:themeColor="text1"/>
          <w:sz w:val="16"/>
          <w:szCs w:val="16"/>
        </w:rPr>
      </w:pPr>
      <w:r w:rsidRPr="00507A31">
        <w:rPr>
          <w:color w:val="000000" w:themeColor="text1"/>
          <w:sz w:val="16"/>
          <w:szCs w:val="16"/>
        </w:rPr>
        <w:t xml:space="preserve">В конце 1930 г. РВС, с учетом завершения процесса планирования развития ВВС РККА на вторую половину первой пятилетки, издал Постановление «Об итогах по боевой подготовке РККА за 1929/30 год и об учебных целях на 1931 год». В нем говорилось о том, что полеты осуществлялись во все времена года; отработаны: </w:t>
      </w:r>
      <w:r w:rsidRPr="00507A31">
        <w:rPr>
          <w:color w:val="000000" w:themeColor="text1"/>
          <w:sz w:val="16"/>
          <w:szCs w:val="16"/>
        </w:rPr>
        <w:lastRenderedPageBreak/>
        <w:t>слетанность до бригады включительно, длительные, высотные и ночные полеты, мобильность, сброс десанта; улучшилась результативность стрельб и бомбометания. При постановке задач на 1930/31 учебный год отмечалось, что «Красная армия на основе индустриализации страны вступила в новый период своего развития, период реконструкции. По мере насыщения войсковых соединений новой техникой неизбежны соответствующие изменения организационных форм армии и тактических приемов боевой работы войск. Овладение этой техникой и усвоение новых форм организации и тактики есть вторая, не менее важная цель боевой подготовки Красной армии [курсивы наши. – С.Е.]. РВС считает, что переход в боевой подготовке на следующую высшую ступень возможен только на основе роста железной революционной дисциплины в войсках. (…) В войсках обозначился еще особый перелом в сторону бережного отношения к оружию и к матчасти (…). В 1931 г. (…) установить правильное сбережение и хранение б[оевого] оружия. Невыполнение этого постановления поведет за собой самые крутые взыскания против виновных.</w:t>
      </w:r>
    </w:p>
    <w:p w14:paraId="11478FEA" w14:textId="77777777" w:rsidR="009A2E8A" w:rsidRPr="00507A31" w:rsidRDefault="009A2E8A" w:rsidP="00507A31">
      <w:pPr>
        <w:jc w:val="both"/>
        <w:rPr>
          <w:color w:val="000000" w:themeColor="text1"/>
          <w:sz w:val="16"/>
          <w:szCs w:val="16"/>
        </w:rPr>
      </w:pPr>
      <w:r w:rsidRPr="00507A31">
        <w:rPr>
          <w:color w:val="000000" w:themeColor="text1"/>
          <w:sz w:val="16"/>
          <w:szCs w:val="16"/>
        </w:rPr>
        <w:t>Председатель РВС Союза ССР [подпись] Ворошилов» (19566).</w:t>
      </w:r>
    </w:p>
    <w:p w14:paraId="0168BC82" w14:textId="77777777" w:rsidR="009A2E8A" w:rsidRPr="00507A31" w:rsidRDefault="009A2E8A" w:rsidP="00507A31">
      <w:pPr>
        <w:jc w:val="both"/>
        <w:rPr>
          <w:color w:val="000000" w:themeColor="text1"/>
          <w:sz w:val="16"/>
          <w:szCs w:val="16"/>
        </w:rPr>
      </w:pPr>
    </w:p>
    <w:p w14:paraId="2A14790E" w14:textId="77777777" w:rsidR="009A2E8A" w:rsidRPr="00507A31" w:rsidRDefault="009A2E8A" w:rsidP="00507A31">
      <w:pPr>
        <w:jc w:val="both"/>
        <w:rPr>
          <w:color w:val="000000" w:themeColor="text1"/>
          <w:sz w:val="16"/>
          <w:szCs w:val="16"/>
        </w:rPr>
      </w:pPr>
      <w:r w:rsidRPr="00507A31">
        <w:rPr>
          <w:color w:val="000000" w:themeColor="text1"/>
          <w:sz w:val="16"/>
          <w:szCs w:val="16"/>
        </w:rPr>
        <w:t>В конце 1930 г. был выработан проект подготовки авиакадров, в котором говорилось: «По утвержденной РВС СССР схеме развития ВВС РККА на 1932/33 г. предположено иметь военные школы: 1) намечено формирование 3-й Военнотехнической школы, 2) 3-ю Военную школу летчиков формировать в 31-32 г., 3) 1-ю Военную школу (Кача) перевести на ускоренный курс летчиков-пилотов, 4) 3-ю Оренбургскую школу переформировать в 1931/32 г. в школу летчиков-наблюдателей (закрыв летное отделение), 5) [Вольскую] Объединенную школу летчиков и авиатехников в 1930/31 г. переформировать во 2-ю Военно-техническую школу. 6) Школу морских летчиков перевести из Севастополя в Таганрог или Ейск. 7) 384 Тренировочные отряды МВО, УВО и БВО продолжают выпуск летчиков-пилотов». В 1930 г. была открыта 3-я Военно-техническая школа в г. Перми, которая стала готовить технических специалистов морской авиации. Для организации строительства этой Школы многое сделали местные партийные, советские и профсоюзные органы. Так, Х Уральская партконференция в июне 1930 г. приняла решение передать для строительства 3-й ВТШ 5 млн. шт. кирпича и другие строительные материалы, что и было осуществлено201. Увеличение числа авиационных специальностей в войсках повлекло за собой изменения и в структуре Управления ВВС РККА. В нем появились новые службы: штурманская, инженерная, аэрофоторазведывательная, авиаметеорологическая, электрорадиотехническая и авиационной медицины. Трудности подготовки авиационных кадров заключались в том, что нужно было за год-полтора подготовить высококвалифицированных летчиков или техников из молодых рабочих и крестьян, имевших нередко образование четырепять классов. Учебники и наглядные пособия отсутствовали, обучение велось методом рассказа. Дисциплины делились на ряд мелких разделов, которые вели разные преподаватели: один – теорию двигателя, другой – его конструкцию, третий – карбюрацию, четвертый – охлаждение и смазку, пятый – практические работы и т.д. Все это требовало вмешательства руководства ВВС. Заместитель Начальника ВВС РККА Я.И. Алкснис решил, что без коренной перестройки учебного процесса нельзя готовить квалифицированных специалистов. По его указанию классное отделение стали закреплять за определенным преподавателем, которому поручалось вести предметы цикла. Этим устранялась обезличка. Специальные предметы теперь изучались с практическим уклоном в классах, оснащенных моторами, агрегатами и деталями самолетов. При обучении в мастерских, а также на специальных циклах использовали проверенный на практике  метод ЦИТа, который обеспечивал, в том числе, и самостоятельную работу курсантов на практических занятиях. Устаревшие самолеты заменялись новейшими. В авиашколах рацпредложения и изготовленные новаторами наглядные пособия использовались для создания учебных баз авиашкол и авиачастей. Чтобы решать оперативно-стратегические задачи, авиации нужны были высококвалифицированные командные, штурманские и технические кадры (19566).</w:t>
      </w:r>
    </w:p>
    <w:p w14:paraId="6E74DFE8" w14:textId="77777777" w:rsidR="009A2E8A" w:rsidRPr="00507A31" w:rsidRDefault="009A2E8A" w:rsidP="00507A31">
      <w:pPr>
        <w:jc w:val="both"/>
        <w:rPr>
          <w:color w:val="000000" w:themeColor="text1"/>
          <w:sz w:val="16"/>
          <w:szCs w:val="16"/>
        </w:rPr>
      </w:pPr>
    </w:p>
    <w:p w14:paraId="14BEBA1D" w14:textId="77777777" w:rsidR="004D535A" w:rsidRPr="00507A31" w:rsidRDefault="004D535A"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73F698EA" w14:textId="77777777" w:rsidR="004D535A" w:rsidRPr="00507A31" w:rsidRDefault="004D535A" w:rsidP="00507A31">
      <w:pPr>
        <w:autoSpaceDE w:val="0"/>
        <w:autoSpaceDN w:val="0"/>
        <w:adjustRightInd w:val="0"/>
        <w:jc w:val="both"/>
        <w:rPr>
          <w:iCs/>
          <w:color w:val="000000" w:themeColor="text1"/>
          <w:sz w:val="16"/>
          <w:szCs w:val="16"/>
        </w:rPr>
      </w:pPr>
    </w:p>
    <w:p w14:paraId="5655338E" w14:textId="77777777" w:rsidR="004D535A" w:rsidRPr="00507A31" w:rsidRDefault="004D535A" w:rsidP="00507A31">
      <w:pPr>
        <w:pStyle w:val="ae"/>
        <w:spacing w:before="0" w:after="0"/>
        <w:jc w:val="both"/>
        <w:textAlignment w:val="baseline"/>
        <w:rPr>
          <w:color w:val="000000" w:themeColor="text1"/>
          <w:sz w:val="16"/>
          <w:szCs w:val="16"/>
        </w:rPr>
      </w:pPr>
      <w:r w:rsidRPr="00507A31">
        <w:rPr>
          <w:color w:val="000000" w:themeColor="text1"/>
          <w:sz w:val="16"/>
          <w:szCs w:val="16"/>
        </w:rPr>
        <w:t>К концу 1930 года ситуацию в Казани удалось немного улучшить. За весь 1930 год танк №41 преодолел 25 километров, а танк №42 не ездил вообще. Поездки проходили на территории полигона, быстрее 8,1 км/ч танк не разгонялся.</w:t>
      </w:r>
    </w:p>
    <w:p w14:paraId="1DA7B3D1" w14:textId="77777777" w:rsidR="004D535A" w:rsidRPr="00507A31" w:rsidRDefault="004D535A" w:rsidP="00507A31">
      <w:pPr>
        <w:pStyle w:val="ae"/>
        <w:spacing w:before="0" w:after="0"/>
        <w:jc w:val="both"/>
        <w:textAlignment w:val="baseline"/>
        <w:rPr>
          <w:color w:val="000000" w:themeColor="text1"/>
          <w:sz w:val="16"/>
          <w:szCs w:val="16"/>
        </w:rPr>
      </w:pPr>
      <w:r w:rsidRPr="00507A31">
        <w:rPr>
          <w:color w:val="000000" w:themeColor="text1"/>
          <w:sz w:val="16"/>
          <w:szCs w:val="16"/>
        </w:rPr>
        <w:t xml:space="preserve">Правда, и у танка Krupp дела не заладились. Танк №43 не ездил вообще, а танк №44 проехал всего 10 километров, и тоже только по территории полигона. При этом, правда, была развита скорость 22,5 км/ч. Испытания показали, что немецкие гусеничные ленты имеют ряд недостатков, у всех без исключения танков отмечалась склонность к их сбрасыванию. В итоге это привело к появлению идеи переднего расположения трансмиссии, скопированного с британского транспортёра Carden-Loyd и впервые применённого немцами на </w:t>
      </w:r>
      <w:hyperlink r:id="rId188" w:history="1">
        <w:r w:rsidRPr="00507A31">
          <w:rPr>
            <w:rStyle w:val="a5"/>
            <w:bCs/>
            <w:iCs/>
            <w:color w:val="000000" w:themeColor="text1"/>
            <w:sz w:val="16"/>
            <w:szCs w:val="16"/>
            <w:bdr w:val="none" w:sz="0" w:space="0" w:color="auto" w:frame="1"/>
          </w:rPr>
          <w:t>La.S</w:t>
        </w:r>
      </w:hyperlink>
      <w:r w:rsidRPr="00507A31">
        <w:rPr>
          <w:color w:val="000000" w:themeColor="text1"/>
          <w:sz w:val="16"/>
          <w:szCs w:val="16"/>
        </w:rPr>
        <w:t>. Вот только дело было далеко не в одном приводе. Достаточно посмотреть на конструкцию ведущих колёс всех Großtraktor, чтобы понять, что проблема заключалась в неудачной системе зацепления. Кроме того, траки на всех танках быстро изнашивались. Лучше всего дела обстояли на средних танках Rheinmetall: танк №45 (который утонул) весь 1930 год не ездил, зато танк №46 преодолел 215 километров. Это был единственный из Großtraktor, который покидал территорию полигона. Его максимальная скорость достигала 22 км/ч.</w:t>
      </w:r>
    </w:p>
    <w:p w14:paraId="45AA1B9D" w14:textId="77777777" w:rsidR="004D535A" w:rsidRPr="00507A31" w:rsidRDefault="004D535A" w:rsidP="00507A31">
      <w:pPr>
        <w:pStyle w:val="ae"/>
        <w:spacing w:before="0" w:after="0"/>
        <w:jc w:val="both"/>
        <w:textAlignment w:val="baseline"/>
        <w:rPr>
          <w:color w:val="000000" w:themeColor="text1"/>
          <w:sz w:val="16"/>
          <w:szCs w:val="16"/>
        </w:rPr>
      </w:pPr>
      <w:r w:rsidRPr="00507A31">
        <w:rPr>
          <w:color w:val="000000" w:themeColor="text1"/>
          <w:sz w:val="16"/>
          <w:szCs w:val="16"/>
        </w:rPr>
        <w:t>Ходовую часть танка в связи с имевшимися к ней претензиями модернизировали. Количество опорных катков сократилось до 16 на борт.</w:t>
      </w:r>
    </w:p>
    <w:p w14:paraId="29F222D7" w14:textId="77777777" w:rsidR="004D535A" w:rsidRPr="00507A31" w:rsidRDefault="004D535A" w:rsidP="00507A31">
      <w:pPr>
        <w:pStyle w:val="ae"/>
        <w:spacing w:before="0" w:after="0"/>
        <w:jc w:val="both"/>
        <w:textAlignment w:val="baseline"/>
        <w:rPr>
          <w:color w:val="000000" w:themeColor="text1"/>
          <w:sz w:val="16"/>
          <w:szCs w:val="16"/>
        </w:rPr>
      </w:pPr>
      <w:r w:rsidRPr="00507A31">
        <w:rPr>
          <w:color w:val="000000" w:themeColor="text1"/>
          <w:sz w:val="16"/>
          <w:szCs w:val="16"/>
        </w:rPr>
        <w:t>Много претензий было и к работе коробки передач. Для того, чтобы переключиться на другую передачу, приходилось останавливать танк. Явно назрела серьёзная переделка трансмиссии (17713).</w:t>
      </w:r>
    </w:p>
    <w:p w14:paraId="492F4C8D" w14:textId="77777777" w:rsidR="004D535A" w:rsidRPr="00507A31" w:rsidRDefault="004D535A" w:rsidP="00507A31">
      <w:pPr>
        <w:jc w:val="both"/>
        <w:rPr>
          <w:color w:val="000000" w:themeColor="text1"/>
          <w:sz w:val="16"/>
          <w:szCs w:val="16"/>
        </w:rPr>
      </w:pPr>
    </w:p>
    <w:p w14:paraId="36988AC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510A7B2" w14:textId="77777777" w:rsidR="00537E5F" w:rsidRPr="00507A31" w:rsidRDefault="00537E5F" w:rsidP="00507A31">
      <w:pPr>
        <w:autoSpaceDE w:val="0"/>
        <w:autoSpaceDN w:val="0"/>
        <w:adjustRightInd w:val="0"/>
        <w:jc w:val="both"/>
        <w:rPr>
          <w:iCs/>
          <w:color w:val="000000" w:themeColor="text1"/>
          <w:sz w:val="16"/>
          <w:szCs w:val="16"/>
        </w:rPr>
      </w:pPr>
    </w:p>
    <w:p w14:paraId="51A84B4C" w14:textId="77777777" w:rsidR="00DD18DE" w:rsidRPr="00507A31" w:rsidRDefault="00DD18DE" w:rsidP="00507A31">
      <w:pPr>
        <w:jc w:val="both"/>
        <w:rPr>
          <w:color w:val="000000" w:themeColor="text1"/>
          <w:sz w:val="16"/>
          <w:szCs w:val="16"/>
        </w:rPr>
      </w:pPr>
      <w:r w:rsidRPr="00507A31">
        <w:rPr>
          <w:color w:val="000000" w:themeColor="text1"/>
          <w:sz w:val="16"/>
          <w:szCs w:val="16"/>
        </w:rPr>
        <w:t>В конце 1930 г. начались испытания Сениор Спортстер», двухместной спортивной машины фирмы «G.B.», принадлежавшей братьям Грэнвилл (Джи Би — первые буквы от Грэнвилл Бразерс).  Скорость — 323 км/ч (15547).</w:t>
      </w:r>
    </w:p>
    <w:p w14:paraId="405D7B53" w14:textId="77777777" w:rsidR="00DD18DE" w:rsidRPr="00507A31" w:rsidRDefault="00DD18DE" w:rsidP="00507A31">
      <w:pPr>
        <w:jc w:val="both"/>
        <w:rPr>
          <w:color w:val="000000" w:themeColor="text1"/>
          <w:sz w:val="16"/>
          <w:szCs w:val="16"/>
        </w:rPr>
      </w:pPr>
    </w:p>
    <w:p w14:paraId="3AFE22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конце 1930 г. на английской фирме «Виккерс» был разработан проект малого плавающего танка. Его прото</w:t>
      </w:r>
      <w:r w:rsidRPr="00507A31">
        <w:rPr>
          <w:color w:val="000000" w:themeColor="text1"/>
          <w:sz w:val="16"/>
          <w:szCs w:val="16"/>
        </w:rPr>
        <w:softHyphen/>
        <w:t>тип, изготовленный в начале апреля 1931 г., прошел успеш</w:t>
      </w:r>
      <w:r w:rsidRPr="00507A31">
        <w:rPr>
          <w:color w:val="000000" w:themeColor="text1"/>
          <w:sz w:val="16"/>
          <w:szCs w:val="16"/>
        </w:rPr>
        <w:softHyphen/>
        <w:t>ные испытания на реке Темза близ Челси и с большой пом</w:t>
      </w:r>
      <w:r w:rsidRPr="00507A31">
        <w:rPr>
          <w:color w:val="000000" w:themeColor="text1"/>
          <w:sz w:val="16"/>
          <w:szCs w:val="16"/>
        </w:rPr>
        <w:softHyphen/>
        <w:t>пой был показан представителям прессы. Танк имел герметичный корытообразный водоизмеша-ющий корпус с бальсовыми поплавками по бортам и малую башню, вооруженную пулеметом, заимствованную у 6-тон</w:t>
      </w:r>
      <w:r w:rsidRPr="00507A31">
        <w:rPr>
          <w:color w:val="000000" w:themeColor="text1"/>
          <w:sz w:val="16"/>
          <w:szCs w:val="16"/>
        </w:rPr>
        <w:softHyphen/>
        <w:t>ного танка Мк А фирмы «Виккерс». Подвеска танка, блокированная, была заимствована у легкого 3-тонного трактора той же фирмы, разработанного в 1929 г. В качестве упругих элементов использовались чет-вертьэллиптические листовые рессоры. Ведущие колеса располагались впереди танка, направляющие колеса лежа</w:t>
      </w:r>
      <w:r w:rsidRPr="00507A31">
        <w:rPr>
          <w:color w:val="000000" w:themeColor="text1"/>
          <w:sz w:val="16"/>
          <w:szCs w:val="16"/>
        </w:rPr>
        <w:softHyphen/>
        <w:t>ли на земле сзади. На танке был установлен легкий катерный мотор «Ме</w:t>
      </w:r>
      <w:r w:rsidRPr="00507A31">
        <w:rPr>
          <w:color w:val="000000" w:themeColor="text1"/>
          <w:sz w:val="16"/>
          <w:szCs w:val="16"/>
        </w:rPr>
        <w:softHyphen/>
        <w:t>дуза» (Maedows EST) довольно большой мощности (около 90 л.с.), что позволяло танку массой 2,75 т развивать ско</w:t>
      </w:r>
      <w:r w:rsidRPr="00507A31">
        <w:rPr>
          <w:color w:val="000000" w:themeColor="text1"/>
          <w:sz w:val="16"/>
          <w:szCs w:val="16"/>
        </w:rPr>
        <w:softHyphen/>
        <w:t>рость по дороге до 50 км/ч, а на плаву в отсутствии тече</w:t>
      </w:r>
      <w:r w:rsidRPr="00507A31">
        <w:rPr>
          <w:color w:val="000000" w:themeColor="text1"/>
          <w:sz w:val="16"/>
          <w:szCs w:val="16"/>
        </w:rPr>
        <w:softHyphen/>
        <w:t>ния, волн и ветра — до 9 км/ч. В ходе усовершенствования танка в его конструкцию был внесен ряд изменений, и в сентябре 1931 г. фирма «Виккерс» изготовила два образца танков, различавшихся конструкцией винтов и рулей (10733,150).</w:t>
      </w:r>
    </w:p>
    <w:p w14:paraId="42794D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80F54A9" w14:textId="77777777" w:rsidR="00DD18DE" w:rsidRPr="00507A31" w:rsidRDefault="00DD18DE" w:rsidP="00507A31">
      <w:pPr>
        <w:jc w:val="both"/>
        <w:rPr>
          <w:color w:val="0070C0"/>
          <w:sz w:val="16"/>
          <w:szCs w:val="16"/>
        </w:rPr>
      </w:pPr>
      <w:r w:rsidRPr="00507A31">
        <w:rPr>
          <w:color w:val="0070C0"/>
          <w:sz w:val="16"/>
          <w:szCs w:val="16"/>
        </w:rPr>
        <w:t>В конце 1930 г. в США был готов прототип Medium Tank T2. Машина боевой массой 14,2 т получила бронирование, достигавшее в лобовой части толщины 22 мм, что надежно защищало танк от огня стрелкового вооружения.</w:t>
      </w:r>
    </w:p>
    <w:p w14:paraId="1F2F85C7" w14:textId="77777777" w:rsidR="00DD18DE" w:rsidRPr="00507A31" w:rsidRDefault="00DD18DE" w:rsidP="00507A31">
      <w:pPr>
        <w:jc w:val="both"/>
        <w:rPr>
          <w:color w:val="0070C0"/>
          <w:sz w:val="16"/>
          <w:szCs w:val="16"/>
        </w:rPr>
      </w:pPr>
      <w:r w:rsidRPr="00507A31">
        <w:rPr>
          <w:color w:val="0070C0"/>
          <w:sz w:val="16"/>
          <w:szCs w:val="16"/>
        </w:rPr>
        <w:t>По сравнению с Light Tank T1E1 количество опорных катков увеличили до 12, а поддерживающих роликов — до 4, также уширили траки — до 381 мм. Авиационный двигатель Liberty L-12 мощностью 318 л. с. обеспечивал машине удельную мощность — 22,4 л. с./т. и скорость по ровной дороге до 40 км/ч. Во вращающейся башне была установлена 47-мм пушка Browning (разработанная на основе автоматического зенитного орудия) с боепитанием от обойм пять снарядов. С пушкой был спарен крупнокалиберный пулемет Browning M2HB. В дополнение к такому вооружению, довольно мощному на то время, в лобовом листе (справа) поставили еще одну полуавтоматическую пушку Browning калибра 37 мм, спаренную с пулеметом Browning M1919. Таким образом, средний танк имел две пушки, крупнокалиберный и обычный пулеметы.</w:t>
      </w:r>
    </w:p>
    <w:p w14:paraId="7D2BE779" w14:textId="77777777" w:rsidR="00DD18DE" w:rsidRPr="00507A31" w:rsidRDefault="00DD18DE" w:rsidP="00507A31">
      <w:pPr>
        <w:jc w:val="both"/>
        <w:rPr>
          <w:color w:val="0070C0"/>
          <w:sz w:val="16"/>
          <w:szCs w:val="16"/>
        </w:rPr>
      </w:pPr>
      <w:r w:rsidRPr="00507A31">
        <w:rPr>
          <w:color w:val="0070C0"/>
          <w:sz w:val="16"/>
          <w:szCs w:val="16"/>
        </w:rPr>
        <w:t>В общем, и легкий Light Tank T1E1, и средний Medium Tank T2, разработанные Танковым бюро в Форт-Миде, получились вполне удачными и вполне могли быть запущены в серийное производство. Но этому помешало неожиданное появление в октябре 1928 г. новой машины, разработанной неугомонным Джоном Кристи — Christie M.1928 (22884).</w:t>
      </w:r>
    </w:p>
    <w:p w14:paraId="185C1867" w14:textId="77777777" w:rsidR="00DD18DE" w:rsidRPr="00507A31" w:rsidRDefault="00DD18DE" w:rsidP="00507A31">
      <w:pPr>
        <w:jc w:val="both"/>
        <w:rPr>
          <w:color w:val="0070C0"/>
          <w:sz w:val="16"/>
          <w:szCs w:val="16"/>
        </w:rPr>
      </w:pPr>
    </w:p>
    <w:p w14:paraId="5D7BAF7A" w14:textId="77777777" w:rsidR="00537E5F" w:rsidRPr="00507A31" w:rsidRDefault="00AC7355" w:rsidP="00507A31">
      <w:pPr>
        <w:shd w:val="clear" w:color="auto" w:fill="FFFFFF"/>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6D07BA54" w14:textId="77777777" w:rsidR="00537E5F" w:rsidRPr="00507A31" w:rsidRDefault="00537E5F" w:rsidP="00507A31">
      <w:pPr>
        <w:shd w:val="clear" w:color="auto" w:fill="FFFFFF"/>
        <w:autoSpaceDE w:val="0"/>
        <w:autoSpaceDN w:val="0"/>
        <w:adjustRightInd w:val="0"/>
        <w:jc w:val="both"/>
        <w:rPr>
          <w:iCs/>
          <w:color w:val="000000" w:themeColor="text1"/>
          <w:sz w:val="16"/>
          <w:szCs w:val="16"/>
        </w:rPr>
      </w:pPr>
    </w:p>
    <w:p w14:paraId="5C840E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1930 - начале 1931 года решениями ЦК ВКП(б) установили два, а затем четыре списка городов, подлежащих централизованному снабжению. В марте 1931-го в Казани, а в мае - в других городах Татарской Республики был проведен учет городского населения в связи с выдачей новых заборных книжек. В 1931 году все трудящееся население городов было разделено на группы по "классово-производственному" признаку. В первую группу наряду с рабочими входили военнослужащие, работники ОГПУ, милиции, оперработники угро, учащиеся и преподаватели ФЗУ. Ко второй были отнесены служащие, а также члены семей рабочих и служащих и "лица свободных профессий", к третьей группе - дети до 14 лет. Группы делились также и по "литерам".</w:t>
      </w:r>
    </w:p>
    <w:p w14:paraId="513299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Например, в Казани владельцев продовольственной карточки первой группы литеры "А", получавших 800 г хлеба в день, называли "литер-А-торы". Кроме них были еще "литер-Б-торы" (600 г) и "кое-какеры" (300 г). К "кое-какерам" относились, в частности, студенты дневных отделении: прожить на этот паек можно было только кое-как. На незанятое "общественно-полезным трудом" население карточное снабжение по-прежнему не распространялось. Они должны были выживать, как умели. В начале 1932 года карточек были лишены все домохозяйки моложе 56 лет: чтобы получить карточки, они должны были устроиться на работу.</w:t>
      </w:r>
    </w:p>
    <w:p w14:paraId="1D3B4B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Особенно тяжелым на всем протяжении карточного снабжения было положение с мясом, жирами, молочными продуктами. С весны 1929 года в Казани также стали ощущаться перебои с мясом и жирами. В июле 1930-го в стране были введены карточки на мясо, но получили их только 14 миллионов жителей России. К тому же </w:t>
      </w:r>
      <w:r w:rsidRPr="00507A31">
        <w:rPr>
          <w:color w:val="000000" w:themeColor="text1"/>
          <w:sz w:val="16"/>
          <w:szCs w:val="16"/>
        </w:rPr>
        <w:lastRenderedPageBreak/>
        <w:t>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w:t>
      </w:r>
    </w:p>
    <w:p w14:paraId="06C32A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084320B6" w14:textId="77777777" w:rsidR="00537E5F" w:rsidRPr="00507A31" w:rsidRDefault="00537E5F" w:rsidP="00507A31">
      <w:pPr>
        <w:autoSpaceDE w:val="0"/>
        <w:autoSpaceDN w:val="0"/>
        <w:adjustRightInd w:val="0"/>
        <w:jc w:val="both"/>
        <w:rPr>
          <w:color w:val="000000" w:themeColor="text1"/>
          <w:sz w:val="16"/>
          <w:szCs w:val="16"/>
        </w:rPr>
      </w:pPr>
    </w:p>
    <w:p w14:paraId="124AAB47"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55998F5E" w14:textId="77777777" w:rsidR="00537E5F" w:rsidRPr="00507A31" w:rsidRDefault="00537E5F" w:rsidP="00507A31">
      <w:pPr>
        <w:autoSpaceDE w:val="0"/>
        <w:autoSpaceDN w:val="0"/>
        <w:adjustRightInd w:val="0"/>
        <w:jc w:val="both"/>
        <w:rPr>
          <w:iCs/>
          <w:color w:val="000000" w:themeColor="text1"/>
          <w:sz w:val="16"/>
          <w:szCs w:val="16"/>
        </w:rPr>
      </w:pPr>
    </w:p>
    <w:p w14:paraId="7F1DFB69" w14:textId="77777777" w:rsidR="00B85E59" w:rsidRPr="00507A31" w:rsidRDefault="00B85E59" w:rsidP="00507A31">
      <w:pPr>
        <w:jc w:val="both"/>
        <w:rPr>
          <w:color w:val="000000" w:themeColor="text1"/>
          <w:sz w:val="16"/>
          <w:szCs w:val="16"/>
        </w:rPr>
      </w:pPr>
      <w:r w:rsidRPr="00507A31">
        <w:rPr>
          <w:color w:val="000000" w:themeColor="text1"/>
          <w:sz w:val="16"/>
          <w:szCs w:val="16"/>
        </w:rPr>
        <w:t>Во второй половине 1930 г. Был построен первый опытный экземпляр ТШ-2, который имел следующие отличия:</w:t>
      </w:r>
    </w:p>
    <w:p w14:paraId="3C42EB6C" w14:textId="77777777" w:rsidR="00B85E59" w:rsidRPr="00507A31" w:rsidRDefault="00B85E59" w:rsidP="00507A31">
      <w:pPr>
        <w:jc w:val="both"/>
        <w:rPr>
          <w:color w:val="000000" w:themeColor="text1"/>
          <w:sz w:val="16"/>
          <w:szCs w:val="16"/>
        </w:rPr>
      </w:pPr>
      <w:r w:rsidRPr="00507A31">
        <w:rPr>
          <w:color w:val="000000" w:themeColor="text1"/>
          <w:sz w:val="16"/>
          <w:szCs w:val="16"/>
        </w:rPr>
        <w:t>Двигатель БМВ-6 и передняя часть фю</w:t>
      </w:r>
      <w:r w:rsidRPr="00507A31">
        <w:rPr>
          <w:color w:val="000000" w:themeColor="text1"/>
          <w:sz w:val="16"/>
          <w:szCs w:val="16"/>
        </w:rPr>
        <w:softHyphen/>
        <w:t>зеляжа бронированы включительно по ка</w:t>
      </w:r>
      <w:r w:rsidRPr="00507A31">
        <w:rPr>
          <w:color w:val="000000" w:themeColor="text1"/>
          <w:sz w:val="16"/>
          <w:szCs w:val="16"/>
        </w:rPr>
        <w:softHyphen/>
        <w:t>бину стрелка-наблюдателя. Бронекоробка являлась конструктивным элементом)!), вес брони составлял 532 кг. Хвостовая часть фюзеляжа ферменной конструкции с полотняной обшивкой. Крылья деревянные с полотняной обшивкой.</w:t>
      </w:r>
    </w:p>
    <w:p w14:paraId="6E4E66DF" w14:textId="77777777" w:rsidR="00B85E59" w:rsidRPr="00507A31" w:rsidRDefault="00B85E59" w:rsidP="00507A31">
      <w:pPr>
        <w:jc w:val="both"/>
        <w:rPr>
          <w:color w:val="000000" w:themeColor="text1"/>
          <w:sz w:val="16"/>
          <w:szCs w:val="16"/>
        </w:rPr>
      </w:pPr>
      <w:r w:rsidRPr="00507A31">
        <w:rPr>
          <w:color w:val="000000" w:themeColor="text1"/>
          <w:sz w:val="16"/>
          <w:szCs w:val="16"/>
        </w:rPr>
        <w:t>Топливных бака три: один внутри бронекоробки под ногами летчика и два сбрасываемых - в корневой части нижних крыльев. Радиатор, установленный в отдельном бронированном обтекателе, состоял из двух разделенных секций и прикрывался регулируемыми броневыми створками. Охлаждение двигателя этиленгликолевое.</w:t>
      </w:r>
    </w:p>
    <w:p w14:paraId="50CD74A5" w14:textId="77777777" w:rsidR="00B85E59" w:rsidRPr="00507A31" w:rsidRDefault="00B85E59" w:rsidP="00507A31">
      <w:pPr>
        <w:jc w:val="both"/>
        <w:rPr>
          <w:color w:val="000000" w:themeColor="text1"/>
          <w:sz w:val="16"/>
          <w:szCs w:val="16"/>
        </w:rPr>
      </w:pPr>
      <w:r w:rsidRPr="00507A31">
        <w:rPr>
          <w:color w:val="000000" w:themeColor="text1"/>
          <w:sz w:val="16"/>
          <w:szCs w:val="16"/>
        </w:rPr>
        <w:t>Вооружение: два синхронных пулемета ПВ-1 калибра 7,62 мм в фюзеляже и батарея из восьми пулеметов ПВ-1 в обтекателях под нижним крылом. У стрелка - турель ТУР-7 с пулеметом ПВ-Ф.</w:t>
      </w:r>
    </w:p>
    <w:p w14:paraId="7500ACB0" w14:textId="77777777" w:rsidR="00B85E59" w:rsidRPr="00507A31" w:rsidRDefault="00B85E59" w:rsidP="00507A31">
      <w:pPr>
        <w:jc w:val="both"/>
        <w:rPr>
          <w:color w:val="000000" w:themeColor="text1"/>
          <w:sz w:val="16"/>
          <w:szCs w:val="16"/>
        </w:rPr>
      </w:pPr>
      <w:r w:rsidRPr="00507A31">
        <w:rPr>
          <w:color w:val="000000" w:themeColor="text1"/>
          <w:sz w:val="16"/>
          <w:szCs w:val="16"/>
        </w:rPr>
        <w:t>Бомбовое вооружение состояло из шести подфюзеляжных и шести под- крыльевых кассет (каждая кассета после снаряжения включала 32 гранаты образца 1914г.).</w:t>
      </w:r>
    </w:p>
    <w:p w14:paraId="35EDD878" w14:textId="77777777" w:rsidR="00B85E59" w:rsidRPr="00507A31" w:rsidRDefault="00B85E59" w:rsidP="00507A31">
      <w:pPr>
        <w:jc w:val="both"/>
        <w:rPr>
          <w:color w:val="000000" w:themeColor="text1"/>
          <w:sz w:val="16"/>
          <w:szCs w:val="16"/>
        </w:rPr>
      </w:pPr>
      <w:r w:rsidRPr="00507A31">
        <w:rPr>
          <w:color w:val="000000" w:themeColor="text1"/>
          <w:sz w:val="16"/>
          <w:szCs w:val="16"/>
        </w:rPr>
        <w:t>ТШ-2 проходил испытания в НИИ ВВС в период 2.11-26.12.1930 г. Целью испытаний называлось определение основных характеристик самолета и на</w:t>
      </w:r>
      <w:r w:rsidRPr="00507A31">
        <w:rPr>
          <w:color w:val="000000" w:themeColor="text1"/>
          <w:sz w:val="16"/>
          <w:szCs w:val="16"/>
        </w:rPr>
        <w:softHyphen/>
        <w:t>копление опыта для постройки следующих экземпляров штурмовиков.</w:t>
      </w:r>
    </w:p>
    <w:p w14:paraId="0096493E" w14:textId="77777777" w:rsidR="00B85E59" w:rsidRPr="00507A31" w:rsidRDefault="00B85E59" w:rsidP="00507A31">
      <w:pPr>
        <w:jc w:val="both"/>
        <w:rPr>
          <w:color w:val="000000" w:themeColor="text1"/>
          <w:sz w:val="16"/>
          <w:szCs w:val="16"/>
        </w:rPr>
      </w:pPr>
      <w:r w:rsidRPr="00507A31">
        <w:rPr>
          <w:color w:val="000000" w:themeColor="text1"/>
          <w:sz w:val="16"/>
          <w:szCs w:val="16"/>
        </w:rPr>
        <w:t>Признавалось, что летные характери</w:t>
      </w:r>
      <w:r w:rsidRPr="00507A31">
        <w:rPr>
          <w:color w:val="000000" w:themeColor="text1"/>
          <w:sz w:val="16"/>
          <w:szCs w:val="16"/>
        </w:rPr>
        <w:softHyphen/>
        <w:t>стики удовлетворительные, однако «ТШ-2 требует доводки и в настоящем виде не может быть принят на вооружение частей ВВС». К недостаткам отнесли недоведенное вооружение, сложность покидания самолета с парашютом, плохой обзор из кабины (с высоты 100 м летчик наблюдал цель не ближе 1000 м). Всего построили10 экземпляров ТШ-2.</w:t>
      </w:r>
    </w:p>
    <w:p w14:paraId="2084743E" w14:textId="77777777" w:rsidR="00B85E59" w:rsidRPr="00507A31" w:rsidRDefault="00B85E59" w:rsidP="00507A31">
      <w:pPr>
        <w:jc w:val="both"/>
        <w:rPr>
          <w:color w:val="000000" w:themeColor="text1"/>
          <w:sz w:val="16"/>
          <w:szCs w:val="16"/>
        </w:rPr>
      </w:pPr>
      <w:r w:rsidRPr="00507A31">
        <w:rPr>
          <w:color w:val="000000" w:themeColor="text1"/>
          <w:sz w:val="16"/>
          <w:szCs w:val="16"/>
        </w:rPr>
        <w:t>Тяжелый штурмовик ТШ-2 (ЦКБ №21) разрабатывался в 1930 г. сразу за ТШ-1. Конструктивная отработка чертежей и до</w:t>
      </w:r>
      <w:r w:rsidRPr="00507A31">
        <w:rPr>
          <w:color w:val="000000" w:themeColor="text1"/>
          <w:sz w:val="16"/>
          <w:szCs w:val="16"/>
        </w:rPr>
        <w:softHyphen/>
        <w:t>кументации велась в бригаде №5, которую после отстранения Поликарпова возглавил С.А. Кочеригин. В уточненных технических требованиях самолет назывался «тяжелый штурмовик ТШ-2 М-17». Он предназначался для поражения наземных целей с высоты полета 10-12 м. Броня весом 515-525 кг (расчетное значение) служила для защиты двигателя, топливных баков, экипажа и управления. Толщина брони выбиралась из расчета попадания пуль под углом 15-20 гр. (12612).</w:t>
      </w:r>
    </w:p>
    <w:p w14:paraId="146C2227" w14:textId="77777777" w:rsidR="00B85E59" w:rsidRPr="00507A31" w:rsidRDefault="00B85E59" w:rsidP="00507A31">
      <w:pPr>
        <w:jc w:val="both"/>
        <w:rPr>
          <w:color w:val="000000" w:themeColor="text1"/>
          <w:sz w:val="16"/>
          <w:szCs w:val="16"/>
        </w:rPr>
      </w:pPr>
    </w:p>
    <w:p w14:paraId="64455DF9" w14:textId="77777777" w:rsidR="00DD18DE" w:rsidRPr="00507A31" w:rsidRDefault="00DD18DE" w:rsidP="00507A31">
      <w:pPr>
        <w:jc w:val="both"/>
        <w:rPr>
          <w:color w:val="0070C0"/>
          <w:sz w:val="16"/>
          <w:szCs w:val="16"/>
        </w:rPr>
      </w:pPr>
      <w:r w:rsidRPr="00507A31">
        <w:rPr>
          <w:color w:val="0070C0"/>
          <w:sz w:val="16"/>
          <w:szCs w:val="16"/>
        </w:rPr>
        <w:t>Во вто</w:t>
      </w:r>
      <w:r w:rsidRPr="00507A31">
        <w:rPr>
          <w:color w:val="0070C0"/>
          <w:sz w:val="16"/>
          <w:szCs w:val="16"/>
        </w:rPr>
        <w:softHyphen/>
        <w:t>рой половине 1930 г. был построен первый опытный экземпляр ТШ-2, который имел следующие отличия.</w:t>
      </w:r>
    </w:p>
    <w:p w14:paraId="54330607" w14:textId="77777777" w:rsidR="00DD18DE" w:rsidRPr="00507A31" w:rsidRDefault="00DD18DE" w:rsidP="00507A31">
      <w:pPr>
        <w:jc w:val="both"/>
        <w:rPr>
          <w:color w:val="0070C0"/>
          <w:sz w:val="16"/>
          <w:szCs w:val="16"/>
        </w:rPr>
      </w:pPr>
      <w:r w:rsidRPr="00507A31">
        <w:rPr>
          <w:color w:val="0070C0"/>
          <w:sz w:val="16"/>
          <w:szCs w:val="16"/>
        </w:rPr>
        <w:t>Двигатель BMW-VI (М-17) и передняя часть фюзеляжа были бронированы включительно по кабину стрелка-наблю</w:t>
      </w:r>
      <w:r w:rsidRPr="00507A31">
        <w:rPr>
          <w:color w:val="0070C0"/>
          <w:sz w:val="16"/>
          <w:szCs w:val="16"/>
        </w:rPr>
        <w:softHyphen/>
        <w:t>дателя. Бронекоробка являлась конструктивным элементом(!), вес брони составлял 532,0 кг. Хвостовая часть фю</w:t>
      </w:r>
      <w:r w:rsidRPr="00507A31">
        <w:rPr>
          <w:color w:val="0070C0"/>
          <w:sz w:val="16"/>
          <w:szCs w:val="16"/>
        </w:rPr>
        <w:softHyphen/>
        <w:t>зеляжа ферменной конструкции с полотняной обшивкой. Крылья деревянные с полотняной обшивкой.</w:t>
      </w:r>
    </w:p>
    <w:p w14:paraId="447B1BF3" w14:textId="77777777" w:rsidR="00DD18DE" w:rsidRPr="00507A31" w:rsidRDefault="00DD18DE" w:rsidP="00507A31">
      <w:pPr>
        <w:jc w:val="both"/>
        <w:rPr>
          <w:color w:val="0070C0"/>
          <w:sz w:val="16"/>
          <w:szCs w:val="16"/>
        </w:rPr>
      </w:pPr>
      <w:r w:rsidRPr="00507A31">
        <w:rPr>
          <w:color w:val="0070C0"/>
          <w:sz w:val="16"/>
          <w:szCs w:val="16"/>
        </w:rPr>
        <w:t>Топливных бака три: один внутри бронекоробки под но</w:t>
      </w:r>
      <w:r w:rsidRPr="00507A31">
        <w:rPr>
          <w:color w:val="0070C0"/>
          <w:sz w:val="16"/>
          <w:szCs w:val="16"/>
        </w:rPr>
        <w:softHyphen/>
        <w:t>гами летчика и два сбрасываемых - в корневой части нижних крыльев. Радиатор в отдельном бронированном об</w:t>
      </w:r>
      <w:r w:rsidRPr="00507A31">
        <w:rPr>
          <w:color w:val="0070C0"/>
          <w:sz w:val="16"/>
          <w:szCs w:val="16"/>
        </w:rPr>
        <w:softHyphen/>
        <w:t>текателе состоял из двух разделенных секций, прикрывал</w:t>
      </w:r>
      <w:r w:rsidRPr="00507A31">
        <w:rPr>
          <w:color w:val="0070C0"/>
          <w:sz w:val="16"/>
          <w:szCs w:val="16"/>
        </w:rPr>
        <w:softHyphen/>
        <w:t>ся регулируемыми броневыми створками. Охлаждение двигателя этиленгликолевое.</w:t>
      </w:r>
    </w:p>
    <w:p w14:paraId="41EC1836" w14:textId="77777777" w:rsidR="00DD18DE" w:rsidRPr="00507A31" w:rsidRDefault="00DD18DE" w:rsidP="00507A31">
      <w:pPr>
        <w:jc w:val="both"/>
        <w:rPr>
          <w:color w:val="0070C0"/>
          <w:sz w:val="16"/>
          <w:szCs w:val="16"/>
        </w:rPr>
      </w:pPr>
      <w:r w:rsidRPr="00507A31">
        <w:rPr>
          <w:color w:val="0070C0"/>
          <w:sz w:val="16"/>
          <w:szCs w:val="16"/>
        </w:rPr>
        <w:t>Вооружение: два синхронных пулемета ПВ-1 калибра 7,62 мм в фюзеляже и батарея ПВ-1 в количестве 8 пуле</w:t>
      </w:r>
      <w:r w:rsidRPr="00507A31">
        <w:rPr>
          <w:color w:val="0070C0"/>
          <w:sz w:val="16"/>
          <w:szCs w:val="16"/>
        </w:rPr>
        <w:softHyphen/>
        <w:t>метов в обтекателях под нижним крылом. У стрелка обо</w:t>
      </w:r>
      <w:r w:rsidRPr="00507A31">
        <w:rPr>
          <w:color w:val="0070C0"/>
          <w:sz w:val="16"/>
          <w:szCs w:val="16"/>
        </w:rPr>
        <w:softHyphen/>
        <w:t>ронительная турель ТУР-7 с пулеметом ПВ-Ф.</w:t>
      </w:r>
    </w:p>
    <w:p w14:paraId="1969AEC7" w14:textId="77777777" w:rsidR="00DD18DE" w:rsidRPr="00507A31" w:rsidRDefault="00DD18DE" w:rsidP="00507A31">
      <w:pPr>
        <w:jc w:val="both"/>
        <w:rPr>
          <w:color w:val="0070C0"/>
          <w:sz w:val="16"/>
          <w:szCs w:val="16"/>
        </w:rPr>
      </w:pPr>
      <w:r w:rsidRPr="00507A31">
        <w:rPr>
          <w:color w:val="0070C0"/>
          <w:sz w:val="16"/>
          <w:szCs w:val="16"/>
        </w:rPr>
        <w:t>Бомбовое вооружение состояло из 6 подфюзеляжных кассет и 6 подкрыльевых кассет (каждая кассета после сна</w:t>
      </w:r>
      <w:r w:rsidRPr="00507A31">
        <w:rPr>
          <w:color w:val="0070C0"/>
          <w:sz w:val="16"/>
          <w:szCs w:val="16"/>
        </w:rPr>
        <w:softHyphen/>
        <w:t>ряжения включала 32 гранаты образца 1914 г.).</w:t>
      </w:r>
    </w:p>
    <w:p w14:paraId="0662D5FF" w14:textId="77777777" w:rsidR="00DD18DE" w:rsidRPr="00507A31" w:rsidRDefault="00DD18DE" w:rsidP="00507A31">
      <w:pPr>
        <w:jc w:val="both"/>
        <w:rPr>
          <w:color w:val="0070C0"/>
          <w:sz w:val="16"/>
          <w:szCs w:val="16"/>
        </w:rPr>
      </w:pPr>
      <w:r w:rsidRPr="00507A31">
        <w:rPr>
          <w:color w:val="0070C0"/>
          <w:sz w:val="16"/>
          <w:szCs w:val="16"/>
        </w:rPr>
        <w:t>ТШ-2 имел следующие размеры:</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80"/>
        <w:gridCol w:w="1603"/>
      </w:tblGrid>
      <w:tr w:rsidR="00DD18DE" w:rsidRPr="00507A31" w14:paraId="1A81756B" w14:textId="77777777" w:rsidTr="00027DFA">
        <w:trPr>
          <w:trHeight w:hRule="exact" w:val="326"/>
          <w:jc w:val="center"/>
        </w:trPr>
        <w:tc>
          <w:tcPr>
            <w:tcW w:w="3480" w:type="dxa"/>
            <w:tcBorders>
              <w:top w:val="single" w:sz="4" w:space="0" w:color="auto"/>
              <w:left w:val="single" w:sz="4" w:space="0" w:color="auto"/>
              <w:bottom w:val="nil"/>
              <w:right w:val="nil"/>
            </w:tcBorders>
            <w:vAlign w:val="bottom"/>
            <w:hideMark/>
          </w:tcPr>
          <w:p w14:paraId="18B858FA" w14:textId="77777777" w:rsidR="00DD18DE" w:rsidRPr="00507A31" w:rsidRDefault="00DD18DE" w:rsidP="00507A31">
            <w:pPr>
              <w:jc w:val="both"/>
              <w:rPr>
                <w:color w:val="0070C0"/>
                <w:sz w:val="16"/>
                <w:szCs w:val="16"/>
              </w:rPr>
            </w:pPr>
            <w:r w:rsidRPr="00507A31">
              <w:rPr>
                <w:color w:val="0070C0"/>
                <w:sz w:val="16"/>
                <w:szCs w:val="16"/>
              </w:rPr>
              <w:t>Длина в линии полета (м)</w:t>
            </w:r>
          </w:p>
        </w:tc>
        <w:tc>
          <w:tcPr>
            <w:tcW w:w="1603" w:type="dxa"/>
            <w:tcBorders>
              <w:top w:val="single" w:sz="4" w:space="0" w:color="auto"/>
              <w:left w:val="nil"/>
              <w:bottom w:val="nil"/>
              <w:right w:val="single" w:sz="4" w:space="0" w:color="auto"/>
            </w:tcBorders>
            <w:vAlign w:val="bottom"/>
            <w:hideMark/>
          </w:tcPr>
          <w:p w14:paraId="733A3147" w14:textId="77777777" w:rsidR="00DD18DE" w:rsidRPr="00507A31" w:rsidRDefault="00DD18DE" w:rsidP="00507A31">
            <w:pPr>
              <w:jc w:val="both"/>
              <w:rPr>
                <w:color w:val="0070C0"/>
                <w:sz w:val="16"/>
                <w:szCs w:val="16"/>
              </w:rPr>
            </w:pPr>
            <w:r w:rsidRPr="00507A31">
              <w:rPr>
                <w:color w:val="0070C0"/>
                <w:sz w:val="16"/>
                <w:szCs w:val="16"/>
              </w:rPr>
              <w:t>9,53</w:t>
            </w:r>
          </w:p>
        </w:tc>
      </w:tr>
      <w:tr w:rsidR="00DD18DE" w:rsidRPr="00507A31" w14:paraId="304BF87A" w14:textId="77777777" w:rsidTr="00027DFA">
        <w:trPr>
          <w:trHeight w:hRule="exact" w:val="197"/>
          <w:jc w:val="center"/>
        </w:trPr>
        <w:tc>
          <w:tcPr>
            <w:tcW w:w="3480" w:type="dxa"/>
            <w:tcBorders>
              <w:top w:val="nil"/>
              <w:left w:val="single" w:sz="4" w:space="0" w:color="auto"/>
              <w:bottom w:val="nil"/>
              <w:right w:val="nil"/>
            </w:tcBorders>
            <w:vAlign w:val="bottom"/>
            <w:hideMark/>
          </w:tcPr>
          <w:p w14:paraId="738250D3" w14:textId="77777777" w:rsidR="00DD18DE" w:rsidRPr="00507A31" w:rsidRDefault="00DD18DE" w:rsidP="00507A31">
            <w:pPr>
              <w:jc w:val="both"/>
              <w:rPr>
                <w:color w:val="0070C0"/>
                <w:sz w:val="16"/>
                <w:szCs w:val="16"/>
              </w:rPr>
            </w:pPr>
            <w:r w:rsidRPr="00507A31">
              <w:rPr>
                <w:color w:val="0070C0"/>
                <w:sz w:val="16"/>
                <w:szCs w:val="16"/>
              </w:rPr>
              <w:t>Высота в линии полета (м)</w:t>
            </w:r>
          </w:p>
        </w:tc>
        <w:tc>
          <w:tcPr>
            <w:tcW w:w="1603" w:type="dxa"/>
            <w:tcBorders>
              <w:top w:val="nil"/>
              <w:left w:val="nil"/>
              <w:bottom w:val="nil"/>
              <w:right w:val="single" w:sz="4" w:space="0" w:color="auto"/>
            </w:tcBorders>
            <w:vAlign w:val="bottom"/>
            <w:hideMark/>
          </w:tcPr>
          <w:p w14:paraId="6963AF61" w14:textId="77777777" w:rsidR="00DD18DE" w:rsidRPr="00507A31" w:rsidRDefault="00DD18DE" w:rsidP="00507A31">
            <w:pPr>
              <w:jc w:val="both"/>
              <w:rPr>
                <w:color w:val="0070C0"/>
                <w:sz w:val="16"/>
                <w:szCs w:val="16"/>
              </w:rPr>
            </w:pPr>
            <w:r w:rsidRPr="00507A31">
              <w:rPr>
                <w:color w:val="0070C0"/>
                <w:sz w:val="16"/>
                <w:szCs w:val="16"/>
              </w:rPr>
              <w:t>4,10</w:t>
            </w:r>
          </w:p>
        </w:tc>
      </w:tr>
      <w:tr w:rsidR="00DD18DE" w:rsidRPr="00507A31" w14:paraId="4BEEB08E" w14:textId="77777777" w:rsidTr="00027DFA">
        <w:trPr>
          <w:trHeight w:hRule="exact" w:val="211"/>
          <w:jc w:val="center"/>
        </w:trPr>
        <w:tc>
          <w:tcPr>
            <w:tcW w:w="3480" w:type="dxa"/>
            <w:tcBorders>
              <w:top w:val="nil"/>
              <w:left w:val="single" w:sz="4" w:space="0" w:color="auto"/>
              <w:bottom w:val="nil"/>
              <w:right w:val="nil"/>
            </w:tcBorders>
            <w:vAlign w:val="bottom"/>
            <w:hideMark/>
          </w:tcPr>
          <w:p w14:paraId="6D882ACC" w14:textId="77777777" w:rsidR="00DD18DE" w:rsidRPr="00507A31" w:rsidRDefault="00DD18DE" w:rsidP="00507A31">
            <w:pPr>
              <w:jc w:val="both"/>
              <w:rPr>
                <w:color w:val="0070C0"/>
                <w:sz w:val="16"/>
                <w:szCs w:val="16"/>
              </w:rPr>
            </w:pPr>
            <w:r w:rsidRPr="00507A31">
              <w:rPr>
                <w:color w:val="0070C0"/>
                <w:sz w:val="16"/>
                <w:szCs w:val="16"/>
              </w:rPr>
              <w:t>Размах верхнего крыла (м)</w:t>
            </w:r>
          </w:p>
        </w:tc>
        <w:tc>
          <w:tcPr>
            <w:tcW w:w="1603" w:type="dxa"/>
            <w:tcBorders>
              <w:top w:val="nil"/>
              <w:left w:val="nil"/>
              <w:bottom w:val="nil"/>
              <w:right w:val="single" w:sz="4" w:space="0" w:color="auto"/>
            </w:tcBorders>
            <w:vAlign w:val="bottom"/>
            <w:hideMark/>
          </w:tcPr>
          <w:p w14:paraId="1BDEC315" w14:textId="77777777" w:rsidR="00DD18DE" w:rsidRPr="00507A31" w:rsidRDefault="00DD18DE" w:rsidP="00507A31">
            <w:pPr>
              <w:jc w:val="both"/>
              <w:rPr>
                <w:color w:val="0070C0"/>
                <w:sz w:val="16"/>
                <w:szCs w:val="16"/>
              </w:rPr>
            </w:pPr>
            <w:r w:rsidRPr="00507A31">
              <w:rPr>
                <w:color w:val="0070C0"/>
                <w:sz w:val="16"/>
                <w:szCs w:val="16"/>
              </w:rPr>
              <w:t>14,2</w:t>
            </w:r>
          </w:p>
        </w:tc>
      </w:tr>
      <w:tr w:rsidR="00DD18DE" w:rsidRPr="00507A31" w14:paraId="4976A558" w14:textId="77777777" w:rsidTr="00027DFA">
        <w:trPr>
          <w:trHeight w:hRule="exact" w:val="192"/>
          <w:jc w:val="center"/>
        </w:trPr>
        <w:tc>
          <w:tcPr>
            <w:tcW w:w="3480" w:type="dxa"/>
            <w:tcBorders>
              <w:top w:val="nil"/>
              <w:left w:val="single" w:sz="4" w:space="0" w:color="auto"/>
              <w:bottom w:val="nil"/>
              <w:right w:val="nil"/>
            </w:tcBorders>
            <w:vAlign w:val="bottom"/>
            <w:hideMark/>
          </w:tcPr>
          <w:p w14:paraId="1EF80CB5" w14:textId="77777777" w:rsidR="00DD18DE" w:rsidRPr="00507A31" w:rsidRDefault="00DD18DE" w:rsidP="00507A31">
            <w:pPr>
              <w:jc w:val="both"/>
              <w:rPr>
                <w:color w:val="0070C0"/>
                <w:sz w:val="16"/>
                <w:szCs w:val="16"/>
              </w:rPr>
            </w:pPr>
            <w:r w:rsidRPr="00507A31">
              <w:rPr>
                <w:color w:val="0070C0"/>
                <w:sz w:val="16"/>
                <w:szCs w:val="16"/>
              </w:rPr>
              <w:t>Размах нижнего крыла (м)</w:t>
            </w:r>
          </w:p>
        </w:tc>
        <w:tc>
          <w:tcPr>
            <w:tcW w:w="1603" w:type="dxa"/>
            <w:tcBorders>
              <w:top w:val="nil"/>
              <w:left w:val="nil"/>
              <w:bottom w:val="nil"/>
              <w:right w:val="single" w:sz="4" w:space="0" w:color="auto"/>
            </w:tcBorders>
            <w:vAlign w:val="bottom"/>
            <w:hideMark/>
          </w:tcPr>
          <w:p w14:paraId="2D0C3C6B" w14:textId="77777777" w:rsidR="00DD18DE" w:rsidRPr="00507A31" w:rsidRDefault="00DD18DE" w:rsidP="00507A31">
            <w:pPr>
              <w:jc w:val="both"/>
              <w:rPr>
                <w:color w:val="0070C0"/>
                <w:sz w:val="16"/>
                <w:szCs w:val="16"/>
              </w:rPr>
            </w:pPr>
            <w:r w:rsidRPr="00507A31">
              <w:rPr>
                <w:color w:val="0070C0"/>
                <w:sz w:val="16"/>
                <w:szCs w:val="16"/>
              </w:rPr>
              <w:t>13,0</w:t>
            </w:r>
          </w:p>
        </w:tc>
      </w:tr>
      <w:tr w:rsidR="00DD18DE" w:rsidRPr="00507A31" w14:paraId="69BBABCF" w14:textId="77777777" w:rsidTr="00027DFA">
        <w:trPr>
          <w:trHeight w:hRule="exact" w:val="278"/>
          <w:jc w:val="center"/>
        </w:trPr>
        <w:tc>
          <w:tcPr>
            <w:tcW w:w="3480" w:type="dxa"/>
            <w:tcBorders>
              <w:top w:val="nil"/>
              <w:left w:val="single" w:sz="4" w:space="0" w:color="auto"/>
              <w:bottom w:val="single" w:sz="4" w:space="0" w:color="auto"/>
              <w:right w:val="nil"/>
            </w:tcBorders>
            <w:hideMark/>
          </w:tcPr>
          <w:p w14:paraId="67B1FDF4" w14:textId="77777777" w:rsidR="00DD18DE" w:rsidRPr="00507A31" w:rsidRDefault="00DD18DE" w:rsidP="00507A31">
            <w:pPr>
              <w:jc w:val="both"/>
              <w:rPr>
                <w:color w:val="0070C0"/>
                <w:sz w:val="16"/>
                <w:szCs w:val="16"/>
              </w:rPr>
            </w:pPr>
            <w:r w:rsidRPr="00507A31">
              <w:rPr>
                <w:color w:val="0070C0"/>
                <w:sz w:val="16"/>
                <w:szCs w:val="16"/>
              </w:rPr>
              <w:t>Площадь крыльев (кв.м)</w:t>
            </w:r>
          </w:p>
        </w:tc>
        <w:tc>
          <w:tcPr>
            <w:tcW w:w="1603" w:type="dxa"/>
            <w:tcBorders>
              <w:top w:val="nil"/>
              <w:left w:val="nil"/>
              <w:bottom w:val="single" w:sz="4" w:space="0" w:color="auto"/>
              <w:right w:val="single" w:sz="4" w:space="0" w:color="auto"/>
            </w:tcBorders>
            <w:hideMark/>
          </w:tcPr>
          <w:p w14:paraId="32686371" w14:textId="77777777" w:rsidR="00DD18DE" w:rsidRPr="00507A31" w:rsidRDefault="00DD18DE" w:rsidP="00507A31">
            <w:pPr>
              <w:jc w:val="both"/>
              <w:rPr>
                <w:color w:val="0070C0"/>
                <w:sz w:val="16"/>
                <w:szCs w:val="16"/>
              </w:rPr>
            </w:pPr>
            <w:r w:rsidRPr="00507A31">
              <w:rPr>
                <w:color w:val="0070C0"/>
                <w:sz w:val="16"/>
                <w:szCs w:val="16"/>
              </w:rPr>
              <w:t>48,53</w:t>
            </w:r>
          </w:p>
        </w:tc>
      </w:tr>
    </w:tbl>
    <w:p w14:paraId="5FBB0228" w14:textId="77777777" w:rsidR="00DD18DE" w:rsidRPr="00507A31" w:rsidRDefault="00DD18DE" w:rsidP="00507A31">
      <w:pPr>
        <w:shd w:val="clear" w:color="auto" w:fill="FFFFFF"/>
        <w:jc w:val="both"/>
        <w:rPr>
          <w:color w:val="0070C0"/>
          <w:sz w:val="16"/>
          <w:szCs w:val="16"/>
        </w:rPr>
      </w:pPr>
      <w:r w:rsidRPr="00507A31">
        <w:rPr>
          <w:color w:val="0070C0"/>
          <w:sz w:val="16"/>
          <w:szCs w:val="16"/>
        </w:rPr>
        <w:t>(20362).</w:t>
      </w:r>
    </w:p>
    <w:p w14:paraId="244EB032" w14:textId="77777777" w:rsidR="00DD18DE" w:rsidRPr="00507A31" w:rsidRDefault="00DD18DE" w:rsidP="00507A31">
      <w:pPr>
        <w:shd w:val="clear" w:color="auto" w:fill="FFFFFF"/>
        <w:jc w:val="both"/>
        <w:rPr>
          <w:color w:val="0070C0"/>
          <w:sz w:val="16"/>
          <w:szCs w:val="16"/>
        </w:rPr>
      </w:pPr>
    </w:p>
    <w:p w14:paraId="1366F6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 второй половине 1930 г. Управление ВВС выдало ЦКБ-39 задание на самолет ДИ-3. Задание предусмат</w:t>
      </w:r>
      <w:r w:rsidRPr="00507A31">
        <w:rPr>
          <w:color w:val="000000" w:themeColor="text1"/>
          <w:sz w:val="16"/>
          <w:szCs w:val="16"/>
        </w:rPr>
        <w:softHyphen/>
        <w:t>ривало создание опытного экземпляра са</w:t>
      </w:r>
      <w:r w:rsidRPr="00507A31">
        <w:rPr>
          <w:color w:val="000000" w:themeColor="text1"/>
          <w:sz w:val="16"/>
          <w:szCs w:val="16"/>
        </w:rPr>
        <w:softHyphen/>
        <w:t>молета с улучшенными по сравнению с Д-2 характеристиками. Предполагалось, что на самолет будет установлен все тот же не</w:t>
      </w:r>
      <w:r w:rsidRPr="00507A31">
        <w:rPr>
          <w:color w:val="000000" w:themeColor="text1"/>
          <w:sz w:val="16"/>
          <w:szCs w:val="16"/>
        </w:rPr>
        <w:softHyphen/>
        <w:t>мецкий двигатель БМВ-6, уже освоенный советской промышленностью и производя</w:t>
      </w:r>
      <w:r w:rsidRPr="00507A31">
        <w:rPr>
          <w:color w:val="000000" w:themeColor="text1"/>
          <w:sz w:val="16"/>
          <w:szCs w:val="16"/>
        </w:rPr>
        <w:softHyphen/>
        <w:t>щийся на авиазаводе № 26 в Рыбинске под обозначением М-17.</w:t>
      </w:r>
    </w:p>
    <w:p w14:paraId="701B4E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истории создания этого самолета оста</w:t>
      </w:r>
      <w:r w:rsidRPr="00507A31">
        <w:rPr>
          <w:color w:val="000000" w:themeColor="text1"/>
          <w:sz w:val="16"/>
          <w:szCs w:val="16"/>
        </w:rPr>
        <w:softHyphen/>
        <w:t>ется много непонятного. Самолет проекти</w:t>
      </w:r>
      <w:r w:rsidRPr="00507A31">
        <w:rPr>
          <w:color w:val="000000" w:themeColor="text1"/>
          <w:sz w:val="16"/>
          <w:szCs w:val="16"/>
        </w:rPr>
        <w:softHyphen/>
        <w:t>ровался в ЦКБ авиазавода № 39 при уча</w:t>
      </w:r>
      <w:r w:rsidRPr="00507A31">
        <w:rPr>
          <w:color w:val="000000" w:themeColor="text1"/>
          <w:sz w:val="16"/>
          <w:szCs w:val="16"/>
        </w:rPr>
        <w:softHyphen/>
        <w:t>стии конструкторов Поликарпова и Григо</w:t>
      </w:r>
      <w:r w:rsidRPr="00507A31">
        <w:rPr>
          <w:color w:val="000000" w:themeColor="text1"/>
          <w:sz w:val="16"/>
          <w:szCs w:val="16"/>
        </w:rPr>
        <w:softHyphen/>
        <w:t>ровича, однако никто конкретно не назван в качестве автора проекта. Коробка крыльев ДИ-3 могла складываться с поворотом на</w:t>
      </w:r>
      <w:r w:rsidRPr="00507A31">
        <w:rPr>
          <w:color w:val="000000" w:themeColor="text1"/>
          <w:sz w:val="16"/>
          <w:szCs w:val="16"/>
        </w:rPr>
        <w:softHyphen/>
        <w:t>зад: это позволяет предположить, что созда</w:t>
      </w:r>
      <w:r w:rsidRPr="00507A31">
        <w:rPr>
          <w:color w:val="000000" w:themeColor="text1"/>
          <w:sz w:val="16"/>
          <w:szCs w:val="16"/>
        </w:rPr>
        <w:softHyphen/>
        <w:t>вался он с учетом возможности его исполь</w:t>
      </w:r>
      <w:r w:rsidRPr="00507A31">
        <w:rPr>
          <w:color w:val="000000" w:themeColor="text1"/>
          <w:sz w:val="16"/>
          <w:szCs w:val="16"/>
        </w:rPr>
        <w:softHyphen/>
        <w:t>зования в качестве палубного истребителя. Во всяком случае, современник ДИ-3 - штурмовик ШОН (ЦКБ № 23) - имел складные крылья именно по этой причине.</w:t>
      </w:r>
    </w:p>
    <w:p w14:paraId="62AB04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Фюзеляж самолета выполнен в виде сварной фермы из стальных труб. Обшивка носовой части дюралевая, хвостовая часть фюзеляжа </w:t>
      </w:r>
      <w:r w:rsidRPr="00507A31">
        <w:rPr>
          <w:iCs/>
          <w:color w:val="000000" w:themeColor="text1"/>
          <w:sz w:val="16"/>
          <w:szCs w:val="16"/>
        </w:rPr>
        <w:t xml:space="preserve">обшита, </w:t>
      </w:r>
      <w:r w:rsidRPr="00507A31">
        <w:rPr>
          <w:color w:val="000000" w:themeColor="text1"/>
          <w:sz w:val="16"/>
          <w:szCs w:val="16"/>
        </w:rPr>
        <w:t>полотном. На опытном экземпляре установлен двигатель БМВ-У1Е со степенью сжатия 7,3, который вра</w:t>
      </w:r>
      <w:r w:rsidRPr="00507A31">
        <w:rPr>
          <w:color w:val="000000" w:themeColor="text1"/>
          <w:sz w:val="16"/>
          <w:szCs w:val="16"/>
        </w:rPr>
        <w:softHyphen/>
        <w:t>щал деревянный воздушный винт диамет</w:t>
      </w:r>
      <w:r w:rsidRPr="00507A31">
        <w:rPr>
          <w:color w:val="000000" w:themeColor="text1"/>
          <w:sz w:val="16"/>
          <w:szCs w:val="16"/>
        </w:rPr>
        <w:softHyphen/>
        <w:t>ром 3,1 м. Радиатор водяного охлаждения расположен под двигателем, имеет лобо</w:t>
      </w:r>
      <w:r w:rsidRPr="00507A31">
        <w:rPr>
          <w:color w:val="000000" w:themeColor="text1"/>
          <w:sz w:val="16"/>
          <w:szCs w:val="16"/>
        </w:rPr>
        <w:softHyphen/>
        <w:t>вые подвижные створки. Крылья деревян</w:t>
      </w:r>
      <w:r w:rsidRPr="00507A31">
        <w:rPr>
          <w:color w:val="000000" w:themeColor="text1"/>
          <w:sz w:val="16"/>
          <w:szCs w:val="16"/>
        </w:rPr>
        <w:softHyphen/>
        <w:t>ные, двухлонжеронные, складные, с пово</w:t>
      </w:r>
      <w:r w:rsidRPr="00507A31">
        <w:rPr>
          <w:color w:val="000000" w:themeColor="text1"/>
          <w:sz w:val="16"/>
          <w:szCs w:val="16"/>
        </w:rPr>
        <w:softHyphen/>
        <w:t>ротом назад. Обшивка полотняная. Элеро</w:t>
      </w:r>
      <w:r w:rsidRPr="00507A31">
        <w:rPr>
          <w:color w:val="000000" w:themeColor="text1"/>
          <w:sz w:val="16"/>
          <w:szCs w:val="16"/>
        </w:rPr>
        <w:softHyphen/>
        <w:t>ны, горизонтальное хвостовое оперение и «шайбы» вертикального оперения выпол</w:t>
      </w:r>
      <w:r w:rsidRPr="00507A31">
        <w:rPr>
          <w:color w:val="000000" w:themeColor="text1"/>
          <w:sz w:val="16"/>
          <w:szCs w:val="16"/>
        </w:rPr>
        <w:softHyphen/>
        <w:t>нены из дюралюминия. Два топливных ба</w:t>
      </w:r>
      <w:r w:rsidRPr="00507A31">
        <w:rPr>
          <w:color w:val="000000" w:themeColor="text1"/>
          <w:sz w:val="16"/>
          <w:szCs w:val="16"/>
        </w:rPr>
        <w:softHyphen/>
        <w:t>ка общей емкостью 240 литров (151 л + 89 л) размещены в фюзеляже.</w:t>
      </w:r>
    </w:p>
    <w:p w14:paraId="55CDD6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Вооружение состояло из двух синхрон</w:t>
      </w:r>
      <w:r w:rsidRPr="00507A31">
        <w:rPr>
          <w:color w:val="000000" w:themeColor="text1"/>
          <w:sz w:val="16"/>
          <w:szCs w:val="16"/>
        </w:rPr>
        <w:softHyphen/>
        <w:t>ных пулеметов ПВ-1 и двух пулеметов ДА на специальной турели ЦКБ. Особенно</w:t>
      </w:r>
      <w:r w:rsidRPr="00507A31">
        <w:rPr>
          <w:color w:val="000000" w:themeColor="text1"/>
          <w:sz w:val="16"/>
          <w:szCs w:val="16"/>
        </w:rPr>
        <w:softHyphen/>
        <w:t>стью самолета являлись размещенные сна</w:t>
      </w:r>
      <w:r w:rsidRPr="00507A31">
        <w:rPr>
          <w:color w:val="000000" w:themeColor="text1"/>
          <w:sz w:val="16"/>
          <w:szCs w:val="16"/>
        </w:rPr>
        <w:softHyphen/>
        <w:t>ружи вдоль бортов фюзеляжа длинные ко</w:t>
      </w:r>
      <w:r w:rsidRPr="00507A31">
        <w:rPr>
          <w:color w:val="000000" w:themeColor="text1"/>
          <w:sz w:val="16"/>
          <w:szCs w:val="16"/>
        </w:rPr>
        <w:softHyphen/>
        <w:t>робчатые кожухи, которые предназнача</w:t>
      </w:r>
      <w:r w:rsidRPr="00507A31">
        <w:rPr>
          <w:color w:val="000000" w:themeColor="text1"/>
          <w:sz w:val="16"/>
          <w:szCs w:val="16"/>
        </w:rPr>
        <w:softHyphen/>
        <w:t>лись для магазинов с патронами задней пу</w:t>
      </w:r>
      <w:r w:rsidRPr="00507A31">
        <w:rPr>
          <w:color w:val="000000" w:themeColor="text1"/>
          <w:sz w:val="16"/>
          <w:szCs w:val="16"/>
        </w:rPr>
        <w:softHyphen/>
        <w:t>леметной установки. Причиной такого ре</w:t>
      </w:r>
      <w:r w:rsidRPr="00507A31">
        <w:rPr>
          <w:color w:val="000000" w:themeColor="text1"/>
          <w:sz w:val="16"/>
          <w:szCs w:val="16"/>
        </w:rPr>
        <w:softHyphen/>
        <w:t>шения стала не только необходимость уве</w:t>
      </w:r>
      <w:r w:rsidRPr="00507A31">
        <w:rPr>
          <w:color w:val="000000" w:themeColor="text1"/>
          <w:sz w:val="16"/>
          <w:szCs w:val="16"/>
        </w:rPr>
        <w:softHyphen/>
        <w:t>личения боезапаса, но и стремление обес</w:t>
      </w:r>
      <w:r w:rsidRPr="00507A31">
        <w:rPr>
          <w:color w:val="000000" w:themeColor="text1"/>
          <w:sz w:val="16"/>
          <w:szCs w:val="16"/>
        </w:rPr>
        <w:softHyphen/>
        <w:t>печить более переднюю центровку полно</w:t>
      </w:r>
      <w:r w:rsidRPr="00507A31">
        <w:rPr>
          <w:color w:val="000000" w:themeColor="text1"/>
          <w:sz w:val="16"/>
          <w:szCs w:val="16"/>
        </w:rPr>
        <w:softHyphen/>
        <w:t>стью снаряженного самолета (центровка ДИ-3 составляла 34% САХ) (11134).</w:t>
      </w:r>
    </w:p>
    <w:p w14:paraId="54AE87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6A02DA3" w14:textId="77777777" w:rsidR="00B85E59" w:rsidRPr="00507A31" w:rsidRDefault="00B85E59" w:rsidP="00507A31">
      <w:pPr>
        <w:jc w:val="both"/>
        <w:rPr>
          <w:color w:val="000000" w:themeColor="text1"/>
          <w:sz w:val="16"/>
          <w:szCs w:val="16"/>
        </w:rPr>
      </w:pPr>
      <w:r w:rsidRPr="00507A31">
        <w:rPr>
          <w:color w:val="000000" w:themeColor="text1"/>
          <w:sz w:val="16"/>
          <w:szCs w:val="16"/>
        </w:rPr>
        <w:t>Во второй половине 1930 г. Управление ВВС вы</w:t>
      </w:r>
      <w:r w:rsidRPr="00507A31">
        <w:rPr>
          <w:color w:val="000000" w:themeColor="text1"/>
          <w:sz w:val="16"/>
          <w:szCs w:val="16"/>
        </w:rPr>
        <w:softHyphen/>
        <w:t>дало ЦКБ-39 выдало задание на этот самолет ДИ-3. Воз</w:t>
      </w:r>
      <w:r w:rsidRPr="00507A31">
        <w:rPr>
          <w:color w:val="000000" w:themeColor="text1"/>
          <w:sz w:val="16"/>
          <w:szCs w:val="16"/>
        </w:rPr>
        <w:softHyphen/>
        <w:t>можно, военных впечатляли успехи созданно</w:t>
      </w:r>
      <w:r w:rsidRPr="00507A31">
        <w:rPr>
          <w:color w:val="000000" w:themeColor="text1"/>
          <w:sz w:val="16"/>
          <w:szCs w:val="16"/>
        </w:rPr>
        <w:softHyphen/>
        <w:t>го здесь чуть ранее истребителя ВТ-11 (И-5) и они считали, что новая организация наилуч</w:t>
      </w:r>
      <w:r w:rsidRPr="00507A31">
        <w:rPr>
          <w:color w:val="000000" w:themeColor="text1"/>
          <w:sz w:val="16"/>
          <w:szCs w:val="16"/>
        </w:rPr>
        <w:softHyphen/>
        <w:t>шим образом справится с созданием двухмест</w:t>
      </w:r>
      <w:r w:rsidRPr="00507A31">
        <w:rPr>
          <w:color w:val="000000" w:themeColor="text1"/>
          <w:sz w:val="16"/>
          <w:szCs w:val="16"/>
        </w:rPr>
        <w:softHyphen/>
        <w:t>ного истребителя. Так или иначе, при выдаче задания на ДИ-3 основной целью называлось получение от промышленности опытного эк</w:t>
      </w:r>
      <w:r w:rsidRPr="00507A31">
        <w:rPr>
          <w:color w:val="000000" w:themeColor="text1"/>
          <w:sz w:val="16"/>
          <w:szCs w:val="16"/>
        </w:rPr>
        <w:softHyphen/>
        <w:t>земпляра двухместного истребителя с улуч</w:t>
      </w:r>
      <w:r w:rsidRPr="00507A31">
        <w:rPr>
          <w:color w:val="000000" w:themeColor="text1"/>
          <w:sz w:val="16"/>
          <w:szCs w:val="16"/>
        </w:rPr>
        <w:softHyphen/>
        <w:t>шенными характеристиками по сравнению с Д-2. Двигатель оставался тот же — немецкий БМВ-6 — освоенный советской промышлен</w:t>
      </w:r>
      <w:r w:rsidRPr="00507A31">
        <w:rPr>
          <w:color w:val="000000" w:themeColor="text1"/>
          <w:sz w:val="16"/>
          <w:szCs w:val="16"/>
        </w:rPr>
        <w:softHyphen/>
        <w:t>ностью и строящийся на авиазаводе №26 в Ры</w:t>
      </w:r>
      <w:r w:rsidRPr="00507A31">
        <w:rPr>
          <w:color w:val="000000" w:themeColor="text1"/>
          <w:sz w:val="16"/>
          <w:szCs w:val="16"/>
        </w:rPr>
        <w:softHyphen/>
        <w:t>бинске под обозначением М-17.</w:t>
      </w:r>
    </w:p>
    <w:p w14:paraId="0A03B111" w14:textId="77777777" w:rsidR="00B85E59" w:rsidRPr="00507A31" w:rsidRDefault="00B85E59" w:rsidP="00507A31">
      <w:pPr>
        <w:jc w:val="both"/>
        <w:rPr>
          <w:color w:val="000000" w:themeColor="text1"/>
          <w:sz w:val="16"/>
          <w:szCs w:val="16"/>
        </w:rPr>
      </w:pPr>
      <w:r w:rsidRPr="00507A31">
        <w:rPr>
          <w:color w:val="000000" w:themeColor="text1"/>
          <w:sz w:val="16"/>
          <w:szCs w:val="16"/>
        </w:rPr>
        <w:t>В истории создания этого самолета мно</w:t>
      </w:r>
      <w:r w:rsidRPr="00507A31">
        <w:rPr>
          <w:color w:val="000000" w:themeColor="text1"/>
          <w:sz w:val="16"/>
          <w:szCs w:val="16"/>
        </w:rPr>
        <w:softHyphen/>
        <w:t>гое неизвестно. Самолет проектировался в ЦКБ авиазавода №39 при участии конструк</w:t>
      </w:r>
      <w:r w:rsidRPr="00507A31">
        <w:rPr>
          <w:color w:val="000000" w:themeColor="text1"/>
          <w:sz w:val="16"/>
          <w:szCs w:val="16"/>
        </w:rPr>
        <w:softHyphen/>
        <w:t>торов Поликарпова и Григоровича, однако подлинное авторство на этот тип конкрет</w:t>
      </w:r>
      <w:r w:rsidRPr="00507A31">
        <w:rPr>
          <w:color w:val="000000" w:themeColor="text1"/>
          <w:sz w:val="16"/>
          <w:szCs w:val="16"/>
        </w:rPr>
        <w:softHyphen/>
        <w:t>но не определялось. Коробка крыльев ново</w:t>
      </w:r>
      <w:r w:rsidRPr="00507A31">
        <w:rPr>
          <w:color w:val="000000" w:themeColor="text1"/>
          <w:sz w:val="16"/>
          <w:szCs w:val="16"/>
        </w:rPr>
        <w:softHyphen/>
        <w:t>го истребителя могла складываться с поворо</w:t>
      </w:r>
      <w:r w:rsidRPr="00507A31">
        <w:rPr>
          <w:color w:val="000000" w:themeColor="text1"/>
          <w:sz w:val="16"/>
          <w:szCs w:val="16"/>
        </w:rPr>
        <w:softHyphen/>
        <w:t>том назад, что позволяет предположить, что ДИ-3 создавался с учетом его вероятного ис</w:t>
      </w:r>
      <w:r w:rsidRPr="00507A31">
        <w:rPr>
          <w:color w:val="000000" w:themeColor="text1"/>
          <w:sz w:val="16"/>
          <w:szCs w:val="16"/>
        </w:rPr>
        <w:softHyphen/>
        <w:t>пользования в качестве палубного истреби</w:t>
      </w:r>
      <w:r w:rsidRPr="00507A31">
        <w:rPr>
          <w:color w:val="000000" w:themeColor="text1"/>
          <w:sz w:val="16"/>
          <w:szCs w:val="16"/>
        </w:rPr>
        <w:softHyphen/>
        <w:t>теля для задуманного авианосца. По край</w:t>
      </w:r>
      <w:r w:rsidRPr="00507A31">
        <w:rPr>
          <w:color w:val="000000" w:themeColor="text1"/>
          <w:sz w:val="16"/>
          <w:szCs w:val="16"/>
        </w:rPr>
        <w:softHyphen/>
        <w:t>ней мере, современник ДИ-3, штурмовик ШОН (ЦКБ №23) имел складываемые кры</w:t>
      </w:r>
      <w:r w:rsidRPr="00507A31">
        <w:rPr>
          <w:color w:val="000000" w:themeColor="text1"/>
          <w:sz w:val="16"/>
          <w:szCs w:val="16"/>
        </w:rPr>
        <w:softHyphen/>
        <w:t>лья именно по этой причине.</w:t>
      </w:r>
    </w:p>
    <w:p w14:paraId="4AAC8D67" w14:textId="77777777" w:rsidR="00B85E59" w:rsidRPr="00507A31" w:rsidRDefault="00B85E59" w:rsidP="00507A31">
      <w:pPr>
        <w:jc w:val="both"/>
        <w:rPr>
          <w:color w:val="000000" w:themeColor="text1"/>
          <w:sz w:val="16"/>
          <w:szCs w:val="16"/>
        </w:rPr>
      </w:pPr>
      <w:r w:rsidRPr="00507A31">
        <w:rPr>
          <w:color w:val="000000" w:themeColor="text1"/>
          <w:sz w:val="16"/>
          <w:szCs w:val="16"/>
        </w:rPr>
        <w:t>Фюзеляж самолета выполнен в виде свар</w:t>
      </w:r>
      <w:r w:rsidRPr="00507A31">
        <w:rPr>
          <w:color w:val="000000" w:themeColor="text1"/>
          <w:sz w:val="16"/>
          <w:szCs w:val="16"/>
        </w:rPr>
        <w:softHyphen/>
        <w:t>ной фермы из стальных труб. Обшивка но</w:t>
      </w:r>
      <w:r w:rsidRPr="00507A31">
        <w:rPr>
          <w:color w:val="000000" w:themeColor="text1"/>
          <w:sz w:val="16"/>
          <w:szCs w:val="16"/>
        </w:rPr>
        <w:softHyphen/>
        <w:t>совой части дюралевая, хвостовая часть фю</w:t>
      </w:r>
      <w:r w:rsidRPr="00507A31">
        <w:rPr>
          <w:color w:val="000000" w:themeColor="text1"/>
          <w:sz w:val="16"/>
          <w:szCs w:val="16"/>
        </w:rPr>
        <w:softHyphen/>
        <w:t>зеляжа обшита полотном. На опытном эк</w:t>
      </w:r>
      <w:r w:rsidRPr="00507A31">
        <w:rPr>
          <w:color w:val="000000" w:themeColor="text1"/>
          <w:sz w:val="16"/>
          <w:szCs w:val="16"/>
        </w:rPr>
        <w:softHyphen/>
        <w:t>земпляре установлен двигатель БМВ-У1 Е со степенью сжатия 7,3, который вращал дере</w:t>
      </w:r>
      <w:r w:rsidRPr="00507A31">
        <w:rPr>
          <w:color w:val="000000" w:themeColor="text1"/>
          <w:sz w:val="16"/>
          <w:szCs w:val="16"/>
        </w:rPr>
        <w:softHyphen/>
        <w:t>вянный воздушный винт диаметром 3,1 м. Радиатор водяного охлаждения расположен под двигателем, оснащен лобовыми подвиж</w:t>
      </w:r>
      <w:r w:rsidRPr="00507A31">
        <w:rPr>
          <w:color w:val="000000" w:themeColor="text1"/>
          <w:sz w:val="16"/>
          <w:szCs w:val="16"/>
        </w:rPr>
        <w:softHyphen/>
        <w:t>ными створками. Крылья деревянные, двух- лонжеронные, складные, с поворотом назад. Обшивка полотняная. Элероны, горизон</w:t>
      </w:r>
      <w:r w:rsidRPr="00507A31">
        <w:rPr>
          <w:color w:val="000000" w:themeColor="text1"/>
          <w:sz w:val="16"/>
          <w:szCs w:val="16"/>
        </w:rPr>
        <w:softHyphen/>
        <w:t>тальное хвостовое оперение и «шайбы» вер</w:t>
      </w:r>
      <w:r w:rsidRPr="00507A31">
        <w:rPr>
          <w:color w:val="000000" w:themeColor="text1"/>
          <w:sz w:val="16"/>
          <w:szCs w:val="16"/>
        </w:rPr>
        <w:softHyphen/>
        <w:t>тикального оперения выполнены из дюра</w:t>
      </w:r>
      <w:r w:rsidRPr="00507A31">
        <w:rPr>
          <w:color w:val="000000" w:themeColor="text1"/>
          <w:sz w:val="16"/>
          <w:szCs w:val="16"/>
        </w:rPr>
        <w:softHyphen/>
        <w:t>люминия. Два топливных бака общей емко</w:t>
      </w:r>
      <w:r w:rsidRPr="00507A31">
        <w:rPr>
          <w:color w:val="000000" w:themeColor="text1"/>
          <w:sz w:val="16"/>
          <w:szCs w:val="16"/>
        </w:rPr>
        <w:softHyphen/>
        <w:t>стью 240 литров (151 л + 89 л) размещены в фюзеляже.</w:t>
      </w:r>
    </w:p>
    <w:p w14:paraId="58B9730C" w14:textId="77777777" w:rsidR="00B85E59" w:rsidRPr="00507A31" w:rsidRDefault="00B85E59" w:rsidP="00507A31">
      <w:pPr>
        <w:jc w:val="both"/>
        <w:rPr>
          <w:color w:val="000000" w:themeColor="text1"/>
          <w:sz w:val="16"/>
          <w:szCs w:val="16"/>
        </w:rPr>
      </w:pPr>
      <w:r w:rsidRPr="00507A31">
        <w:rPr>
          <w:color w:val="000000" w:themeColor="text1"/>
          <w:sz w:val="16"/>
          <w:szCs w:val="16"/>
        </w:rPr>
        <w:t>Вооружение состояло из двух синхронных пулеметов П В-1 и двух пулеметов ДА на спе</w:t>
      </w:r>
      <w:r w:rsidRPr="00507A31">
        <w:rPr>
          <w:color w:val="000000" w:themeColor="text1"/>
          <w:sz w:val="16"/>
          <w:szCs w:val="16"/>
        </w:rPr>
        <w:softHyphen/>
        <w:t>циальной турели ЦКБ. Особенностью само</w:t>
      </w:r>
      <w:r w:rsidRPr="00507A31">
        <w:rPr>
          <w:color w:val="000000" w:themeColor="text1"/>
          <w:sz w:val="16"/>
          <w:szCs w:val="16"/>
        </w:rPr>
        <w:softHyphen/>
        <w:t>лета являлись размещенные снаружи вдоль бортов фюзеляжа длинные коробчатые ко</w:t>
      </w:r>
      <w:r w:rsidRPr="00507A31">
        <w:rPr>
          <w:color w:val="000000" w:themeColor="text1"/>
          <w:sz w:val="16"/>
          <w:szCs w:val="16"/>
        </w:rPr>
        <w:softHyphen/>
        <w:t>жухи. Они были предназначены для магази</w:t>
      </w:r>
      <w:r w:rsidRPr="00507A31">
        <w:rPr>
          <w:color w:val="000000" w:themeColor="text1"/>
          <w:sz w:val="16"/>
          <w:szCs w:val="16"/>
        </w:rPr>
        <w:softHyphen/>
        <w:t>нов с патронами задней пулеметной установ</w:t>
      </w:r>
      <w:r w:rsidRPr="00507A31">
        <w:rPr>
          <w:color w:val="000000" w:themeColor="text1"/>
          <w:sz w:val="16"/>
          <w:szCs w:val="16"/>
        </w:rPr>
        <w:softHyphen/>
        <w:t>ки. Причиной такого решения стала не толь</w:t>
      </w:r>
      <w:r w:rsidRPr="00507A31">
        <w:rPr>
          <w:color w:val="000000" w:themeColor="text1"/>
          <w:sz w:val="16"/>
          <w:szCs w:val="16"/>
        </w:rPr>
        <w:softHyphen/>
        <w:t>ко необходимость размещения значительно</w:t>
      </w:r>
      <w:r w:rsidRPr="00507A31">
        <w:rPr>
          <w:color w:val="000000" w:themeColor="text1"/>
          <w:sz w:val="16"/>
          <w:szCs w:val="16"/>
        </w:rPr>
        <w:softHyphen/>
        <w:t>го боезапаса, но и стремление обеспечить бо-лее переднюю полетную центровку полно</w:t>
      </w:r>
      <w:r w:rsidRPr="00507A31">
        <w:rPr>
          <w:color w:val="000000" w:themeColor="text1"/>
          <w:sz w:val="16"/>
          <w:szCs w:val="16"/>
        </w:rPr>
        <w:softHyphen/>
        <w:t>стью боеготового самолета. Зафиксирован</w:t>
      </w:r>
      <w:r w:rsidRPr="00507A31">
        <w:rPr>
          <w:color w:val="000000" w:themeColor="text1"/>
          <w:sz w:val="16"/>
          <w:szCs w:val="16"/>
        </w:rPr>
        <w:softHyphen/>
        <w:t>ная полетная центровка ДИ-3, тем не менее, оказалась слишком «задней» — она составля</w:t>
      </w:r>
      <w:r w:rsidRPr="00507A31">
        <w:rPr>
          <w:color w:val="000000" w:themeColor="text1"/>
          <w:sz w:val="16"/>
          <w:szCs w:val="16"/>
        </w:rPr>
        <w:softHyphen/>
        <w:t>ла 34% САХ.</w:t>
      </w:r>
    </w:p>
    <w:p w14:paraId="5D7F69E6" w14:textId="77777777" w:rsidR="00B85E59" w:rsidRPr="00507A31" w:rsidRDefault="00B85E59" w:rsidP="00507A31">
      <w:pPr>
        <w:jc w:val="both"/>
        <w:rPr>
          <w:color w:val="000000" w:themeColor="text1"/>
          <w:sz w:val="16"/>
          <w:szCs w:val="16"/>
        </w:rPr>
      </w:pPr>
      <w:r w:rsidRPr="00507A31">
        <w:rPr>
          <w:color w:val="000000" w:themeColor="text1"/>
          <w:sz w:val="16"/>
          <w:szCs w:val="16"/>
        </w:rPr>
        <w:t>Сроки проектирования и постройки ДИ-3 оказались действительно ускоренными. Уже весной 1931 г. самолет впервые поднялся в воз</w:t>
      </w:r>
      <w:r w:rsidRPr="00507A31">
        <w:rPr>
          <w:color w:val="000000" w:themeColor="text1"/>
          <w:sz w:val="16"/>
          <w:szCs w:val="16"/>
        </w:rPr>
        <w:softHyphen/>
        <w:t>дух. Государственные испытания в НИИ ВВС велись в период с 10 апреля по 12 июля 1931 г.</w:t>
      </w:r>
    </w:p>
    <w:p w14:paraId="7C0E94E3" w14:textId="77777777" w:rsidR="00B85E59" w:rsidRPr="00507A31" w:rsidRDefault="00B85E59" w:rsidP="00507A31">
      <w:pPr>
        <w:jc w:val="both"/>
        <w:rPr>
          <w:color w:val="000000" w:themeColor="text1"/>
          <w:sz w:val="16"/>
          <w:szCs w:val="16"/>
        </w:rPr>
      </w:pPr>
      <w:r w:rsidRPr="00507A31">
        <w:rPr>
          <w:color w:val="000000" w:themeColor="text1"/>
          <w:sz w:val="16"/>
          <w:szCs w:val="16"/>
        </w:rPr>
        <w:lastRenderedPageBreak/>
        <w:t>Признавалось, что самолет не удовлетво</w:t>
      </w:r>
      <w:r w:rsidRPr="00507A31">
        <w:rPr>
          <w:color w:val="000000" w:themeColor="text1"/>
          <w:sz w:val="16"/>
          <w:szCs w:val="16"/>
        </w:rPr>
        <w:softHyphen/>
        <w:t>ряет тактико-техническим требованиям: как по максимальным скоростям на всех высо</w:t>
      </w:r>
      <w:r w:rsidRPr="00507A31">
        <w:rPr>
          <w:color w:val="000000" w:themeColor="text1"/>
          <w:sz w:val="16"/>
          <w:szCs w:val="16"/>
        </w:rPr>
        <w:softHyphen/>
        <w:t>тах, так и по скороподъемности. Практиче</w:t>
      </w:r>
      <w:r w:rsidRPr="00507A31">
        <w:rPr>
          <w:color w:val="000000" w:themeColor="text1"/>
          <w:sz w:val="16"/>
          <w:szCs w:val="16"/>
        </w:rPr>
        <w:softHyphen/>
        <w:t>ски по всем летным характеристикам уступа-</w:t>
      </w:r>
      <w:r w:rsidRPr="00507A31">
        <w:rPr>
          <w:rStyle w:val="MicrosoftSansSerif"/>
          <w:rFonts w:ascii="Times New Roman" w:hAnsi="Times New Roman"/>
          <w:i w:val="0"/>
          <w:color w:val="000000" w:themeColor="text1"/>
          <w:spacing w:val="0"/>
          <w:sz w:val="16"/>
          <w:szCs w:val="16"/>
        </w:rPr>
        <w:t xml:space="preserve"> Опытный двухмест- </w:t>
      </w:r>
      <w:r w:rsidRPr="00507A31">
        <w:rPr>
          <w:color w:val="000000" w:themeColor="text1"/>
          <w:sz w:val="16"/>
          <w:szCs w:val="16"/>
        </w:rPr>
        <w:t>ет самолету Д-2. В управлении ДИ-3 оказался</w:t>
      </w:r>
      <w:r w:rsidRPr="00507A31">
        <w:rPr>
          <w:rStyle w:val="MicrosoftSansSerif"/>
          <w:rFonts w:ascii="Times New Roman" w:hAnsi="Times New Roman"/>
          <w:i w:val="0"/>
          <w:color w:val="000000" w:themeColor="text1"/>
          <w:spacing w:val="0"/>
          <w:sz w:val="16"/>
          <w:szCs w:val="16"/>
        </w:rPr>
        <w:t xml:space="preserve"> ный истребитель </w:t>
      </w:r>
      <w:r w:rsidRPr="00507A31">
        <w:rPr>
          <w:color w:val="000000" w:themeColor="text1"/>
          <w:sz w:val="16"/>
          <w:szCs w:val="16"/>
        </w:rPr>
        <w:t>строгой машиной, самолет не позволял вы-</w:t>
      </w:r>
      <w:r w:rsidRPr="00507A31">
        <w:rPr>
          <w:rStyle w:val="MicrosoftSansSerif"/>
          <w:rFonts w:ascii="Times New Roman" w:hAnsi="Times New Roman"/>
          <w:i w:val="0"/>
          <w:color w:val="000000" w:themeColor="text1"/>
          <w:spacing w:val="0"/>
          <w:sz w:val="16"/>
          <w:szCs w:val="16"/>
        </w:rPr>
        <w:t xml:space="preserve"> ДИ-3 на испытаниях </w:t>
      </w:r>
      <w:r w:rsidRPr="00507A31">
        <w:rPr>
          <w:color w:val="000000" w:themeColor="text1"/>
          <w:sz w:val="16"/>
          <w:szCs w:val="16"/>
        </w:rPr>
        <w:t>полнять полет с «брошенной ручкой». Обо-</w:t>
      </w:r>
      <w:r w:rsidRPr="00507A31">
        <w:rPr>
          <w:rStyle w:val="MicrosoftSansSerif"/>
          <w:rFonts w:ascii="Times New Roman" w:hAnsi="Times New Roman"/>
          <w:i w:val="0"/>
          <w:color w:val="000000" w:themeColor="text1"/>
          <w:spacing w:val="0"/>
          <w:sz w:val="16"/>
          <w:szCs w:val="16"/>
        </w:rPr>
        <w:t xml:space="preserve"> летом 1931 г. </w:t>
      </w:r>
      <w:r w:rsidRPr="00507A31">
        <w:rPr>
          <w:color w:val="000000" w:themeColor="text1"/>
          <w:sz w:val="16"/>
          <w:szCs w:val="16"/>
        </w:rPr>
        <w:t>ронительная турель ЦКБ признавалась неу</w:t>
      </w:r>
      <w:r w:rsidRPr="00507A31">
        <w:rPr>
          <w:color w:val="000000" w:themeColor="text1"/>
          <w:sz w:val="16"/>
          <w:szCs w:val="16"/>
        </w:rPr>
        <w:softHyphen/>
        <w:t>дачной.</w:t>
      </w:r>
    </w:p>
    <w:p w14:paraId="5672BDBA" w14:textId="77777777" w:rsidR="00B85E59" w:rsidRPr="00507A31" w:rsidRDefault="00B85E59" w:rsidP="00507A31">
      <w:pPr>
        <w:jc w:val="both"/>
        <w:rPr>
          <w:color w:val="000000" w:themeColor="text1"/>
          <w:sz w:val="16"/>
          <w:szCs w:val="16"/>
        </w:rPr>
      </w:pPr>
      <w:r w:rsidRPr="00507A31">
        <w:rPr>
          <w:color w:val="000000" w:themeColor="text1"/>
          <w:sz w:val="16"/>
          <w:szCs w:val="16"/>
        </w:rPr>
        <w:t>В результате, ДИ-3 не рекомендовали к массовому производству, однако считалось возможным построить небольшую серию для тренировки и обучения. Впрочем, серийное производство налажено не было. Известно, что впоследствии опытный ДИ-3 был обо</w:t>
      </w:r>
      <w:r w:rsidRPr="00507A31">
        <w:rPr>
          <w:color w:val="000000" w:themeColor="text1"/>
          <w:sz w:val="16"/>
          <w:szCs w:val="16"/>
        </w:rPr>
        <w:softHyphen/>
        <w:t>рудован прозрачным фонарем кабины лет</w:t>
      </w:r>
      <w:r w:rsidRPr="00507A31">
        <w:rPr>
          <w:color w:val="000000" w:themeColor="text1"/>
          <w:sz w:val="16"/>
          <w:szCs w:val="16"/>
        </w:rPr>
        <w:softHyphen/>
        <w:t>чиков и использовался как связной самолет (12295).</w:t>
      </w:r>
    </w:p>
    <w:p w14:paraId="0AE56CC1" w14:textId="77777777" w:rsidR="00B85E59" w:rsidRPr="00507A31" w:rsidRDefault="00B85E59" w:rsidP="00507A31">
      <w:pPr>
        <w:jc w:val="both"/>
        <w:rPr>
          <w:color w:val="000000" w:themeColor="text1"/>
          <w:sz w:val="16"/>
          <w:szCs w:val="16"/>
        </w:rPr>
      </w:pPr>
    </w:p>
    <w:p w14:paraId="1E89D5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28E26B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11386B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3C85FE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 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7B7B3D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41EB89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0412DE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62EE00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Адрес: Омск, Б. Хмельницкого – 281, п/я 64</w:t>
      </w:r>
    </w:p>
    <w:p w14:paraId="5F935D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33749DF4" w14:textId="77777777" w:rsidR="00537E5F" w:rsidRPr="00507A31" w:rsidRDefault="00537E5F" w:rsidP="00507A31">
      <w:pPr>
        <w:autoSpaceDE w:val="0"/>
        <w:autoSpaceDN w:val="0"/>
        <w:adjustRightInd w:val="0"/>
        <w:jc w:val="both"/>
        <w:rPr>
          <w:color w:val="000000" w:themeColor="text1"/>
          <w:sz w:val="16"/>
          <w:szCs w:val="16"/>
        </w:rPr>
      </w:pPr>
    </w:p>
    <w:p w14:paraId="1BDC74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 второй половине 1930 г. начал летать третий опытный образец истребителя И-5, из</w:t>
      </w:r>
      <w:r w:rsidRPr="00507A31">
        <w:rPr>
          <w:color w:val="000000" w:themeColor="text1"/>
          <w:sz w:val="16"/>
          <w:szCs w:val="16"/>
        </w:rPr>
        <w:softHyphen/>
        <w:t>вестный как И-5 №3 «Подарок XVI съезду ВКП (б.)». Этот самолет с двигателем М-15 конструкции Бессонова, отличался наличием цилиндриче</w:t>
      </w:r>
      <w:r w:rsidRPr="00507A31">
        <w:rPr>
          <w:color w:val="000000" w:themeColor="text1"/>
          <w:sz w:val="16"/>
          <w:szCs w:val="16"/>
        </w:rPr>
        <w:softHyphen/>
        <w:t xml:space="preserve">ского капота типа </w:t>
      </w:r>
      <w:r w:rsidRPr="00507A31">
        <w:rPr>
          <w:color w:val="000000" w:themeColor="text1"/>
          <w:sz w:val="16"/>
          <w:szCs w:val="16"/>
          <w:lang w:val="en-US"/>
        </w:rPr>
        <w:t>NACA</w:t>
      </w:r>
      <w:r w:rsidRPr="00507A31">
        <w:rPr>
          <w:color w:val="000000" w:themeColor="text1"/>
          <w:sz w:val="16"/>
          <w:szCs w:val="16"/>
        </w:rPr>
        <w:t>. Особыми его внешни</w:t>
      </w:r>
      <w:r w:rsidRPr="00507A31">
        <w:rPr>
          <w:color w:val="000000" w:themeColor="text1"/>
          <w:sz w:val="16"/>
          <w:szCs w:val="16"/>
        </w:rPr>
        <w:softHyphen/>
        <w:t>ми отличиями были: надпись на борту фюзе</w:t>
      </w:r>
      <w:r w:rsidRPr="00507A31">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пользования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507A31">
        <w:rPr>
          <w:color w:val="000000" w:themeColor="text1"/>
          <w:sz w:val="16"/>
          <w:szCs w:val="16"/>
        </w:rPr>
        <w:softHyphen/>
        <w:t>рота (11974).</w:t>
      </w:r>
    </w:p>
    <w:p w14:paraId="73750549" w14:textId="77777777" w:rsidR="00537E5F" w:rsidRPr="00507A31" w:rsidRDefault="00537E5F" w:rsidP="00507A31">
      <w:pPr>
        <w:autoSpaceDE w:val="0"/>
        <w:autoSpaceDN w:val="0"/>
        <w:adjustRightInd w:val="0"/>
        <w:jc w:val="both"/>
        <w:rPr>
          <w:color w:val="000000" w:themeColor="text1"/>
          <w:sz w:val="16"/>
          <w:szCs w:val="16"/>
        </w:rPr>
      </w:pPr>
    </w:p>
    <w:p w14:paraId="6B58A5B2" w14:textId="77777777" w:rsidR="00A3481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2D99852" w14:textId="77777777" w:rsidR="00A3481F" w:rsidRPr="00507A31" w:rsidRDefault="00A3481F" w:rsidP="00507A31">
      <w:pPr>
        <w:autoSpaceDE w:val="0"/>
        <w:autoSpaceDN w:val="0"/>
        <w:adjustRightInd w:val="0"/>
        <w:jc w:val="both"/>
        <w:rPr>
          <w:iCs/>
          <w:color w:val="000000" w:themeColor="text1"/>
          <w:sz w:val="16"/>
          <w:szCs w:val="16"/>
        </w:rPr>
      </w:pPr>
    </w:p>
    <w:p w14:paraId="30B568F7" w14:textId="77777777" w:rsidR="00A3481F" w:rsidRPr="00507A31" w:rsidRDefault="00A3481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Во второй половине </w:t>
      </w:r>
      <w:r w:rsidRPr="00507A31">
        <w:rPr>
          <w:rStyle w:val="highlight"/>
          <w:color w:val="000000" w:themeColor="text1"/>
          <w:sz w:val="16"/>
          <w:szCs w:val="16"/>
        </w:rPr>
        <w:t> 1930 </w:t>
      </w:r>
      <w:r w:rsidRPr="00507A31">
        <w:rPr>
          <w:color w:val="000000" w:themeColor="text1"/>
          <w:sz w:val="16"/>
          <w:szCs w:val="16"/>
          <w:lang w:val="en-US"/>
        </w:rPr>
        <w:t> </w:t>
      </w:r>
      <w:r w:rsidRPr="00507A31">
        <w:rPr>
          <w:color w:val="000000" w:themeColor="text1"/>
          <w:sz w:val="16"/>
          <w:szCs w:val="16"/>
        </w:rPr>
        <w:t>г. понижение покупательной способности червонца способствовало разменному кризису. Он был связан с исчезновением из обращения советских серебряных монет, которые использовались населением, прежде всего крестьянами, для страховки в случае обесценения червонца. В</w:t>
      </w:r>
      <w:r w:rsidRPr="00507A31">
        <w:rPr>
          <w:color w:val="000000" w:themeColor="text1"/>
          <w:sz w:val="16"/>
          <w:szCs w:val="16"/>
          <w:lang w:val="en-US"/>
        </w:rPr>
        <w:t> </w:t>
      </w:r>
      <w:r w:rsidRPr="00507A31">
        <w:rPr>
          <w:color w:val="000000" w:themeColor="text1"/>
          <w:sz w:val="16"/>
          <w:szCs w:val="16"/>
        </w:rPr>
        <w:t>торговле между городом и деревней появился лаг на серебро. В</w:t>
      </w:r>
      <w:r w:rsidRPr="00507A31">
        <w:rPr>
          <w:color w:val="000000" w:themeColor="text1"/>
          <w:sz w:val="16"/>
          <w:szCs w:val="16"/>
          <w:lang w:val="en-US"/>
        </w:rPr>
        <w:t> </w:t>
      </w:r>
      <w:r w:rsidRPr="00507A31">
        <w:rPr>
          <w:color w:val="000000" w:themeColor="text1"/>
          <w:sz w:val="16"/>
          <w:szCs w:val="16"/>
        </w:rPr>
        <w:t xml:space="preserve">Брянске в середине </w:t>
      </w:r>
      <w:r w:rsidRPr="00507A31">
        <w:rPr>
          <w:rStyle w:val="highlight"/>
          <w:color w:val="000000" w:themeColor="text1"/>
          <w:sz w:val="16"/>
          <w:szCs w:val="16"/>
        </w:rPr>
        <w:t> 1930 </w:t>
      </w:r>
      <w:r w:rsidRPr="00507A31">
        <w:rPr>
          <w:color w:val="000000" w:themeColor="text1"/>
          <w:sz w:val="16"/>
          <w:szCs w:val="16"/>
          <w:lang w:val="en-US"/>
        </w:rPr>
        <w:t> </w:t>
      </w:r>
      <w:r w:rsidRPr="00507A31">
        <w:rPr>
          <w:color w:val="000000" w:themeColor="text1"/>
          <w:sz w:val="16"/>
          <w:szCs w:val="16"/>
        </w:rPr>
        <w:t xml:space="preserve">г. </w:t>
      </w:r>
      <w:r w:rsidRPr="00507A31">
        <w:rPr>
          <w:rStyle w:val="highlight"/>
          <w:color w:val="000000" w:themeColor="text1"/>
          <w:sz w:val="16"/>
          <w:szCs w:val="16"/>
        </w:rPr>
        <w:t> цена </w:t>
      </w:r>
      <w:r w:rsidRPr="00507A31">
        <w:rPr>
          <w:color w:val="000000" w:themeColor="text1"/>
          <w:sz w:val="16"/>
          <w:szCs w:val="16"/>
        </w:rPr>
        <w:t xml:space="preserve"> 1</w:t>
      </w:r>
      <w:r w:rsidRPr="00507A31">
        <w:rPr>
          <w:color w:val="000000" w:themeColor="text1"/>
          <w:sz w:val="16"/>
          <w:szCs w:val="16"/>
          <w:lang w:val="en-US"/>
        </w:rPr>
        <w:t> </w:t>
      </w:r>
      <w:r w:rsidRPr="00507A31">
        <w:rPr>
          <w:color w:val="000000" w:themeColor="text1"/>
          <w:sz w:val="16"/>
          <w:szCs w:val="16"/>
        </w:rPr>
        <w:t>пуда ржаной муки в бумажных денежных знаках составляла 13</w:t>
      </w:r>
      <w:r w:rsidRPr="00507A31">
        <w:rPr>
          <w:color w:val="000000" w:themeColor="text1"/>
          <w:sz w:val="16"/>
          <w:szCs w:val="16"/>
          <w:lang w:val="en-US"/>
        </w:rPr>
        <w:t> </w:t>
      </w:r>
      <w:r w:rsidRPr="00507A31">
        <w:rPr>
          <w:color w:val="000000" w:themeColor="text1"/>
          <w:sz w:val="16"/>
          <w:szCs w:val="16"/>
        </w:rPr>
        <w:t>руб., а серебром</w:t>
      </w:r>
      <w:r w:rsidRPr="00507A31">
        <w:rPr>
          <w:color w:val="000000" w:themeColor="text1"/>
          <w:sz w:val="16"/>
          <w:szCs w:val="16"/>
          <w:lang w:val="en-US"/>
        </w:rPr>
        <w:t> </w:t>
      </w:r>
      <w:r w:rsidRPr="00507A31">
        <w:rPr>
          <w:color w:val="000000" w:themeColor="text1"/>
          <w:sz w:val="16"/>
          <w:szCs w:val="16"/>
        </w:rPr>
        <w:t>? 8</w:t>
      </w:r>
      <w:r w:rsidRPr="00507A31">
        <w:rPr>
          <w:color w:val="000000" w:themeColor="text1"/>
          <w:sz w:val="16"/>
          <w:szCs w:val="16"/>
          <w:lang w:val="en-US"/>
        </w:rPr>
        <w:t> </w:t>
      </w:r>
      <w:r w:rsidRPr="00507A31">
        <w:rPr>
          <w:color w:val="000000" w:themeColor="text1"/>
          <w:sz w:val="16"/>
          <w:szCs w:val="16"/>
        </w:rPr>
        <w:t>рублей. Разменному кризису сопутствовали общий недостаток денежных знаков и резкое сокращение кассовой наличности в филиалах Госбанка СССР. Это приводило к перебоям в выдаче зарплаты, так как предприятия не могли получить вовремя наличные деньги со своих счетов (17238).</w:t>
      </w:r>
    </w:p>
    <w:p w14:paraId="3A88AA24" w14:textId="77777777" w:rsidR="00A3481F" w:rsidRPr="00507A31" w:rsidRDefault="00A3481F" w:rsidP="00507A31">
      <w:pPr>
        <w:autoSpaceDE w:val="0"/>
        <w:autoSpaceDN w:val="0"/>
        <w:adjustRightInd w:val="0"/>
        <w:jc w:val="both"/>
        <w:rPr>
          <w:color w:val="000000" w:themeColor="text1"/>
          <w:sz w:val="16"/>
          <w:szCs w:val="16"/>
        </w:rPr>
      </w:pPr>
    </w:p>
    <w:p w14:paraId="27F3FBD3" w14:textId="77777777" w:rsidR="00BB5FAD" w:rsidRPr="00507A31" w:rsidRDefault="00BB5FAD"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61091D6" w14:textId="77777777" w:rsidR="00BB5FAD" w:rsidRPr="00507A31" w:rsidRDefault="00BB5FAD" w:rsidP="00507A31">
      <w:pPr>
        <w:autoSpaceDE w:val="0"/>
        <w:autoSpaceDN w:val="0"/>
        <w:adjustRightInd w:val="0"/>
        <w:jc w:val="both"/>
        <w:rPr>
          <w:iCs/>
          <w:color w:val="000000" w:themeColor="text1"/>
          <w:sz w:val="16"/>
          <w:szCs w:val="16"/>
        </w:rPr>
      </w:pPr>
    </w:p>
    <w:p w14:paraId="54B7A3D2" w14:textId="77777777" w:rsidR="00BB5FAD" w:rsidRPr="00507A31" w:rsidRDefault="00BB5FAD" w:rsidP="00507A31">
      <w:pPr>
        <w:jc w:val="both"/>
        <w:rPr>
          <w:color w:val="000000" w:themeColor="text1"/>
          <w:sz w:val="16"/>
          <w:szCs w:val="16"/>
        </w:rPr>
      </w:pPr>
      <w:r w:rsidRPr="00507A31">
        <w:rPr>
          <w:color w:val="000000" w:themeColor="text1"/>
          <w:sz w:val="16"/>
          <w:szCs w:val="16"/>
        </w:rPr>
        <w:t>В IV квартале 1930 г. бюро СК решило вопрос о выборе места для строительства новых заводов СК. Для первого завода была рекомендована площадка рядом со строящимся Резинокомбинатом в г. Ярославле, второй и третий заводы было рекомендовано строить в г. Воронеже и Ефремове Тульской области (18298).</w:t>
      </w:r>
    </w:p>
    <w:p w14:paraId="24148A67" w14:textId="77777777" w:rsidR="00BB5FAD" w:rsidRPr="00507A31" w:rsidRDefault="00BB5FAD" w:rsidP="00507A31">
      <w:pPr>
        <w:jc w:val="both"/>
        <w:rPr>
          <w:color w:val="000000" w:themeColor="text1"/>
          <w:sz w:val="16"/>
          <w:szCs w:val="16"/>
        </w:rPr>
      </w:pPr>
    </w:p>
    <w:p w14:paraId="430E667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1A7D9CEE" w14:textId="77777777" w:rsidR="00537E5F" w:rsidRPr="00507A31" w:rsidRDefault="00537E5F" w:rsidP="00507A31">
      <w:pPr>
        <w:autoSpaceDE w:val="0"/>
        <w:autoSpaceDN w:val="0"/>
        <w:adjustRightInd w:val="0"/>
        <w:jc w:val="both"/>
        <w:rPr>
          <w:iCs/>
          <w:color w:val="000000" w:themeColor="text1"/>
          <w:sz w:val="16"/>
          <w:szCs w:val="16"/>
        </w:rPr>
      </w:pPr>
    </w:p>
    <w:p w14:paraId="5FFA04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Калинин представил руководству предварительный проект огромной машины, имевшей одновременно военное и гражданское назначение.</w:t>
      </w:r>
    </w:p>
    <w:p w14:paraId="1592D6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Это был такой же медлительный громоздкий моноплан с крылом толстого профиля, как и ТБ-4, но выглядевший просто фантастически. Калинин внес в конструкцию машины множество необычных решений. Крыло с размахом 53 м делилось на три части: прямоугольный в плане центроплан и две эллиптические консоли. Внутренний объем центроплана, имевшего максимальную высоту более двух метров, можно было использовать для размещения людей и грузов (в том числе и бомб). В консолях же хотели установить топливные баки. Из крыла вперед выступала рубка экипажа. Назад от крыла шли две балки трехгранного сечения, соединявшиеся сзади стабилизатором. Ближе к оси самолета над стабилизатором поднимались два эллиптической формы киля. Четыре мотора находились на передней кромке центроплана, по два слева и справа от рубки экипажа.</w:t>
      </w:r>
    </w:p>
    <w:p w14:paraId="3D4B95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самым необычным выглядело шасси. Под крылом размещались две широко расставленные огромные тележки, в каждой находилось по три колеса: переднее поворачивающееся диаметром 1,6 м и два двухметровых основных, снабженных тормозами. На все надевались пневматики низкого давления. Амортизаторы были воздушно-масляного типа. Тележки снаружи были зашиты алюминиевым листом. С крылом они соединялись стойками и подкосами. В передней части их прикрывали обтекатели, создававшие идущий наверх колодец. В обшивке левой тележки предусматривалась дверь; войдя в нее, члены экипажа поднимались в крыло по винтовой лестнице. А в крыле между лонжеронами шел коридор, по которому можно было идти в полный рост. В стояночном положении фюзеляж К-7 располагался горизонтально, как у современных самолетов с носовым колесом. На случай касания хвостовыми балками земли при посадке под их концами предусмотрели небольшие колеса.</w:t>
      </w:r>
    </w:p>
    <w:p w14:paraId="17C4FF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Если первый проект К-7 предусматривал деревянную конструкцию, то позже Калинин сделал ставку на сварной каркас из хромоникелевых стальных труб. Легированная сталь тогда была в стране дефицитом, ее приходилось импортировать, в основном, из Швеции. На огромную машину пришлось бы затратить на закупки около 100 ООО рублей золотом. В нашей стране производство только осваивалось, и качество отечественной продукции было ниже. Интересно, что огромное крыло Калинин намеревался почти целиком обтягивать полотном, как у маленьких самолетов.</w:t>
      </w:r>
    </w:p>
    <w:p w14:paraId="7B7B17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Расчеты довольно быстро показали, что вес гиганта окажется слишком велик для первоначально запланированных четырех двигателей. В варианте проекта К-7, датированным 1931 г., моторов стало сначала шесть, а потом семь. Их расположение выглядело весьма оригинально. Четыре двигателя rio-прежнему стояли на передней кромке крыла, но к ним добавились два в передних частях обеих колесных тележек и один в носу перед рубкой экипажа. Колесные тележки были так высоки, что даже при большом диаметре (3,2 м) пропеллеры не касались земли.</w:t>
      </w:r>
    </w:p>
    <w:p w14:paraId="3C4D1C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Вначале Калинин ориентировался на моторы М-17, позже сделал ставку на более мощные М-34. Это, как казалось, позволяло избавиться от седьмого двигателя, тем более что хотелось освободить нос рубки экипажа - это было важно в первую очередь для военного варианта самолета, поскольку улучшало обзор и упрощало прицеливание при бомбометании. Именно в таком виде выполнили полноразмерный деревянный макет самолета, у которого хорошо видна кабина штурмана с обширным остеклением. В план опытного самолетостроения К-7 в сентябре 1931 г. внесли с шестью моторами М-34Р или ФЭД. В очередном варианте проекта все они стояли в ряд на передней кромке крыла: три слева и три справа. Но потом к седьмому двигателю все-таки пришлось вернуться, только теперь он находился на задней кромке крыла между хвостовыми балками, а его винт был толкающим.</w:t>
      </w:r>
    </w:p>
    <w:p w14:paraId="755475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Проект постепенно становился все более детальным и тщательно проработанным. В исходном проекте закладывались электромеханические усилители (бустеры) в системе управления. Но на том уровне развития отечественной промышленности получить их оказалось нереально. Пришлось перейти к серворулям (фактически триммерам), смонтированным на длинных балках за элеронами, рулями высоты и направления. Их предварительно опробовали на доработанном пассажирском самолете К-5, использованном в качестве летающей лаборатории.</w:t>
      </w:r>
    </w:p>
    <w:p w14:paraId="443AC5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Крыло сначала спроектировали с пятью лонжеронами и даже сделали на пробу отсек, но потом перешли на три лонжерона. Фермы крепления колесных тележек то хотели полностью закрыть обтекателями, то оставить открытыми, то закрыть частично. Вертикальное оперение увеличили по площади и сделали трапециевидным с округлой верхней частью. Одновременно отказались от соединения килей вверху балкой и боковых подкосов. Хвостовые балки немного удлинили, разместив огневые точки для военного варианта. В итоге размах крыла должен был составлять 58 м, длина самолета - 28 м при высоте 10,8 м. Интересно, как Калинин представлял себе техническое обслуживание машины?</w:t>
      </w:r>
    </w:p>
    <w:p w14:paraId="1DB6AE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пассажирском исполнении К-7 должен был доставлять 128 пассажиров. Кресла для них расставлялись рядами по центроплану. Имелась и другая, более комфортабельная, компоновка: 16 четырехместных кают, разделенных коридором; половина из них находилась в консолях. Итого - 64 пассажира, но со спальными местами. В каютах предусматривалось электрическое освещение, а также окна, но не на потолке, а в полу. В обоих случаях предусматривались кают- компания, буфет и кухня. В передней кромке крыла шел высокий коридор, гуляя по которому, люди могли любоваться проплывающей внизу местностью через большие окна. Экипаж пассажирской машины состоял из восьми человек: два пилота, штурман, радист, главный механик сидели в рубке, два моториста - в крыле, восьмой член экипажа обслуживал кухню. Дальность полета оценивалась в 1000 - 5000 км.</w:t>
      </w:r>
    </w:p>
    <w:p w14:paraId="045785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Военным К-7 представлялся как тяжелый дневной и ночной бомбардировщик и транспортный самолет. Максимальная бомбовая нагрузка по расчетам составляла 16 600 кг, при нормальной - 9300 кг. С 6000 кг бомб К-7 при подвеске дополнительных бензобаков должен был иметь дальность 2400 км. Позже эти цифры уточнили: при максимальном перегрузочном взлетном весе 43 т максимальный бомбовый груз оценивался в 14 000 кг. Бомбоотсеки располагались в крыле. Балки бомбодержателей, рассчитанных на подвеску бомб калибром до 250 кг, включались в силовую схему крыла, что являлось в то время весьма передовым решением. По заданию предусматривалась и наружная подвеска бомб калибром до 1000 кг.</w:t>
      </w:r>
    </w:p>
    <w:p w14:paraId="2CA2AB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Оборонительное вооружение военного варианта состояло из четырех 20-мм пушек "Эрликон" и восьми пулеметов ДА, обеспечивавших сферический обстрел. Две пушки монтировались на турелях в оконечностях хвостовых балок и две - в гондоле под рубкой экипажа. Пулеметы должны были стоять перед козырьком рубки (спаренная установка с ДА-2), в корневой части хвостовых балок и по два (спереди и сзади) в тележках шасси. При этом с любого направления противника встречал огонь как минимум трех стрелковых точек. К установкам на концах хвостовых балок стрелки должны были добираться на электрифицированных тележках, движущихся с помощью тросов по рельсам. На них при необходимости собирались также подвозить боеприпасы.</w:t>
      </w:r>
    </w:p>
    <w:p w14:paraId="779EF7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Экипаж бомбардировщика должен был состоять из 19 человек. Воздушным кораблем, так же как морским, должен был командовать освобожденный от других функций командир. Кроме него, в список входили два штурмана, два пилота, радист, инженер, два техника, девять стрелков и даже боцман (он же запасной стрелок и фельдшер).</w:t>
      </w:r>
    </w:p>
    <w:p w14:paraId="287F98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Транспортный вариант ориентировался, прежде всего, на нужды воздушно-десантных операций. К-7 мог поднять в воздух 112 парашютистов с полным снаряжением или эквивалентный груз. Груз мог размешаться внутри центроплана или на наружной подвеске между тележками шасси. В последнем случае машина могла перевозить тяжелую и громоздкую военную технику: пушки, автомобили, броневики и легкие танки весом до 8400 кг. Альтернативно там же крепилась подвесная десантная кабина по типу применявшейся на ТБ-3 (12036).</w:t>
      </w:r>
    </w:p>
    <w:p w14:paraId="41F83FA6" w14:textId="77777777" w:rsidR="00537E5F" w:rsidRPr="00507A31" w:rsidRDefault="00537E5F" w:rsidP="00507A31">
      <w:pPr>
        <w:autoSpaceDE w:val="0"/>
        <w:autoSpaceDN w:val="0"/>
        <w:adjustRightInd w:val="0"/>
        <w:jc w:val="both"/>
        <w:rPr>
          <w:color w:val="000000" w:themeColor="text1"/>
          <w:sz w:val="16"/>
          <w:szCs w:val="16"/>
        </w:rPr>
      </w:pPr>
    </w:p>
    <w:p w14:paraId="6BAEADDA" w14:textId="77777777" w:rsidR="00467CF2" w:rsidRPr="00507A31" w:rsidRDefault="00467CF2" w:rsidP="00507A31">
      <w:pPr>
        <w:autoSpaceDE w:val="0"/>
        <w:autoSpaceDN w:val="0"/>
        <w:adjustRightInd w:val="0"/>
        <w:jc w:val="both"/>
        <w:rPr>
          <w:color w:val="000000" w:themeColor="text1"/>
          <w:sz w:val="16"/>
          <w:szCs w:val="16"/>
        </w:rPr>
      </w:pPr>
      <w:r w:rsidRPr="00507A31">
        <w:rPr>
          <w:color w:val="000000" w:themeColor="text1"/>
          <w:sz w:val="16"/>
          <w:szCs w:val="16"/>
        </w:rPr>
        <w:t>В 1930 К.А.К. послал в инстанции проект самолета на 100 пассажиров или ТБ на 10 т, 4 пушки и 8 пулеметов (70,204). Эскизный проект был одобрен Реввоенсоветом под руководством К.Е.Ворошилова при участии НКТП - Серго. НТК УВВС утвердил конструкцию. Большое внимание со стороны начальника вооружений РККА М.Н.Тухачевского (70,204). Эскизный проект делал Б.А.Соколов (70,204).</w:t>
      </w:r>
    </w:p>
    <w:p w14:paraId="27506947" w14:textId="77777777" w:rsidR="00467CF2" w:rsidRPr="00507A31" w:rsidRDefault="00467CF2" w:rsidP="00507A31">
      <w:pPr>
        <w:autoSpaceDE w:val="0"/>
        <w:autoSpaceDN w:val="0"/>
        <w:adjustRightInd w:val="0"/>
        <w:jc w:val="both"/>
        <w:rPr>
          <w:color w:val="000000" w:themeColor="text1"/>
          <w:sz w:val="16"/>
          <w:szCs w:val="16"/>
        </w:rPr>
      </w:pPr>
    </w:p>
    <w:p w14:paraId="52E37D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в числе первых серийных машин, которых выпустили всего тридцать, построили пять Р-5 в варианте бензозаправщика с дополнительным баком на 1270 л для дозаправки в воздухе ТБ-3 (3551,17).</w:t>
      </w:r>
    </w:p>
    <w:p w14:paraId="7C56F268" w14:textId="77777777" w:rsidR="00537E5F" w:rsidRPr="00507A31" w:rsidRDefault="00537E5F" w:rsidP="00507A31">
      <w:pPr>
        <w:autoSpaceDE w:val="0"/>
        <w:autoSpaceDN w:val="0"/>
        <w:adjustRightInd w:val="0"/>
        <w:jc w:val="both"/>
        <w:rPr>
          <w:color w:val="000000" w:themeColor="text1"/>
          <w:sz w:val="16"/>
          <w:szCs w:val="16"/>
        </w:rPr>
      </w:pPr>
    </w:p>
    <w:p w14:paraId="2E9E82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предлагалось на Р-5 установить крыло с механизацией, предкрылками и закрылками. Представлялось, что в таком виде самолет можно будет использовать с большей надежностью в качестве ночного бомбардировщика. Разработка поначалу была поручена ЦКБ-39, затем перешла в новый ЦКБ. Проработка вопроса велась под руководством Л.И.Сутугина, конструктивная разработка - в бригаде С.А.Кочеригина. Изменениям подверглось верхнее крыло: оно получило прямые законцовки, автоматические предкрылки и закрылки по задней кромке.</w:t>
      </w:r>
    </w:p>
    <w:p w14:paraId="11F134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1933 г. построили два самолета: Р-5 №4681 - разрезное крыло-1 и Р-5 №5563 - разрезное крыло-2. В процессе испытаний было получено снижение посадочной скорости до 70 км/час, полетные углы без срыва составили 20". Возрос потолок, полетная скорость несколько снизилась. В серию однако новое крыло не пошло, т.к. считалось, что Р-5 в неизмененном виде обладает удовлетворительными посадочными характеристиками, а также устойчивостью и управляемостью.</w:t>
      </w:r>
    </w:p>
    <w:p w14:paraId="6D7E8A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1933 г. на Р-5 №4681 испытывались выливные авиационные приборы (ВАП) конструкции инженера Вахмистрова (5016).</w:t>
      </w:r>
    </w:p>
    <w:p w14:paraId="2A95CB17" w14:textId="77777777" w:rsidR="00537E5F" w:rsidRPr="00507A31" w:rsidRDefault="00537E5F" w:rsidP="00507A31">
      <w:pPr>
        <w:autoSpaceDE w:val="0"/>
        <w:autoSpaceDN w:val="0"/>
        <w:adjustRightInd w:val="0"/>
        <w:jc w:val="both"/>
        <w:rPr>
          <w:color w:val="000000" w:themeColor="text1"/>
          <w:sz w:val="16"/>
          <w:szCs w:val="16"/>
        </w:rPr>
      </w:pPr>
    </w:p>
    <w:p w14:paraId="4F9D0E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в АГОС разрабатывались эскизные проекты тяжелых штурмовиков АНТ-17 (ТШ-Б, ТШ-1) и АНТ-18 на базе Р-6 с двумя М-34 по 750 л.с. (92,417).</w:t>
      </w:r>
    </w:p>
    <w:p w14:paraId="573089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Интересно, кто давал ТТТ - пожалуй С.В.И.</w:t>
      </w:r>
    </w:p>
    <w:p w14:paraId="7C27F8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Военные требовали и тип штурмовика - признали (92,417). Задание в 1930 было дано и только что организованному ЦКБ. Схема - по Р-5. Двигатель - БМВ-4 с заменой на М-17.(92,417).</w:t>
      </w:r>
    </w:p>
    <w:p w14:paraId="24876B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ЦКБ строили одновременно 4 типа:</w:t>
      </w:r>
    </w:p>
    <w:p w14:paraId="7A2B88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ЛШ (номер 5 по плану);</w:t>
      </w:r>
    </w:p>
    <w:p w14:paraId="7327B8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ТШ-1 (6);</w:t>
      </w:r>
    </w:p>
    <w:p w14:paraId="55DD19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ТШ-2 (21);</w:t>
      </w:r>
    </w:p>
    <w:p w14:paraId="1E3891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ШОН (23) (92,417).</w:t>
      </w:r>
    </w:p>
    <w:p w14:paraId="7B3E7D93" w14:textId="77777777" w:rsidR="00537E5F" w:rsidRPr="00507A31" w:rsidRDefault="00537E5F" w:rsidP="00507A31">
      <w:pPr>
        <w:autoSpaceDE w:val="0"/>
        <w:autoSpaceDN w:val="0"/>
        <w:adjustRightInd w:val="0"/>
        <w:jc w:val="both"/>
        <w:rPr>
          <w:color w:val="000000" w:themeColor="text1"/>
          <w:sz w:val="16"/>
          <w:szCs w:val="16"/>
        </w:rPr>
      </w:pPr>
    </w:p>
    <w:p w14:paraId="276466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 года по 8 мая 1932 года из двух пушек, установленных на истребителе "Z", было произведено 192 выстрела (95 и 97). В начале испытания в левой пушке произошло раздутие канала ствола. При перезаряжании происходило ряд задержек как-то: не досылка снарядов вследствие недостаточных усилий амортизатора, не досылка снаряда вследствие застревания в канале ствола стержня от предшествовавшего патрона, выпадение снаряда из лотка пушки, выдвижение от сотрясения очередного снаряда на лоток и защемление его прибойником и просто не перезпряжение после выстрелов (7470, 244).</w:t>
      </w:r>
    </w:p>
    <w:p w14:paraId="51B40DE7" w14:textId="77777777" w:rsidR="00537E5F" w:rsidRPr="00507A31" w:rsidRDefault="00537E5F" w:rsidP="00507A31">
      <w:pPr>
        <w:autoSpaceDE w:val="0"/>
        <w:autoSpaceDN w:val="0"/>
        <w:adjustRightInd w:val="0"/>
        <w:jc w:val="both"/>
        <w:rPr>
          <w:color w:val="000000" w:themeColor="text1"/>
          <w:sz w:val="16"/>
          <w:szCs w:val="16"/>
        </w:rPr>
      </w:pPr>
    </w:p>
    <w:p w14:paraId="038630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 ВВС предложили 61 экземпляр Р-1 Осоавиахиму, однако об их применении там ничего неизвестно (10667).</w:t>
      </w:r>
    </w:p>
    <w:p w14:paraId="4E00B4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C1AD1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предлагалось переделать Р-1 в санитарный самолет. Но далее общих соображений на этот счет не ушли (11923).</w:t>
      </w:r>
    </w:p>
    <w:p w14:paraId="7BE4CEC7" w14:textId="77777777" w:rsidR="00537E5F" w:rsidRPr="00507A31" w:rsidRDefault="00537E5F" w:rsidP="00507A31">
      <w:pPr>
        <w:autoSpaceDE w:val="0"/>
        <w:autoSpaceDN w:val="0"/>
        <w:adjustRightInd w:val="0"/>
        <w:jc w:val="both"/>
        <w:rPr>
          <w:color w:val="000000" w:themeColor="text1"/>
          <w:sz w:val="16"/>
          <w:szCs w:val="16"/>
        </w:rPr>
      </w:pPr>
    </w:p>
    <w:p w14:paraId="13DDA4FA" w14:textId="77777777" w:rsidR="00E02CFE" w:rsidRPr="00507A31" w:rsidRDefault="00E02CFE" w:rsidP="00507A31">
      <w:pPr>
        <w:pStyle w:val="52"/>
        <w:shd w:val="clear" w:color="auto" w:fill="auto"/>
        <w:spacing w:after="0" w:line="240" w:lineRule="auto"/>
        <w:jc w:val="both"/>
        <w:rPr>
          <w:rFonts w:ascii="Times New Roman" w:hAnsi="Times New Roman" w:cs="Times New Roman"/>
          <w:b w:val="0"/>
          <w:color w:val="000000" w:themeColor="text1"/>
          <w:sz w:val="16"/>
          <w:szCs w:val="16"/>
        </w:rPr>
      </w:pPr>
      <w:r w:rsidRPr="00507A31">
        <w:rPr>
          <w:rStyle w:val="aff"/>
          <w:rFonts w:ascii="Times New Roman" w:eastAsia="SimSun" w:hAnsi="Times New Roman" w:cs="Times New Roman"/>
          <w:b w:val="0"/>
          <w:color w:val="000000" w:themeColor="text1"/>
          <w:spacing w:val="0"/>
          <w:sz w:val="16"/>
          <w:szCs w:val="16"/>
        </w:rPr>
        <w:t>В 1930 году И-3 становится основ</w:t>
      </w:r>
      <w:r w:rsidRPr="00507A31">
        <w:rPr>
          <w:rStyle w:val="aff"/>
          <w:rFonts w:ascii="Times New Roman" w:eastAsia="SimSun" w:hAnsi="Times New Roman" w:cs="Times New Roman"/>
          <w:b w:val="0"/>
          <w:color w:val="000000" w:themeColor="text1"/>
          <w:spacing w:val="0"/>
          <w:sz w:val="16"/>
          <w:szCs w:val="16"/>
        </w:rPr>
        <w:softHyphen/>
        <w:t>ным советским самолетом-истребителем, производство его в тот года достигает мак</w:t>
      </w:r>
      <w:r w:rsidRPr="00507A31">
        <w:rPr>
          <w:rStyle w:val="aff"/>
          <w:rFonts w:ascii="Times New Roman" w:eastAsia="SimSun" w:hAnsi="Times New Roman" w:cs="Times New Roman"/>
          <w:b w:val="0"/>
          <w:color w:val="000000" w:themeColor="text1"/>
          <w:spacing w:val="0"/>
          <w:sz w:val="16"/>
          <w:szCs w:val="16"/>
        </w:rPr>
        <w:softHyphen/>
        <w:t>симальных значений. Согласно официаль</w:t>
      </w:r>
      <w:r w:rsidRPr="00507A31">
        <w:rPr>
          <w:rStyle w:val="aff"/>
          <w:rFonts w:ascii="Times New Roman" w:eastAsia="SimSun" w:hAnsi="Times New Roman" w:cs="Times New Roman"/>
          <w:b w:val="0"/>
          <w:color w:val="000000" w:themeColor="text1"/>
          <w:spacing w:val="0"/>
          <w:sz w:val="16"/>
          <w:szCs w:val="16"/>
        </w:rPr>
        <w:softHyphen/>
        <w:t>ным данным в 1930-м построили 250 экзем</w:t>
      </w:r>
      <w:r w:rsidRPr="00507A31">
        <w:rPr>
          <w:rStyle w:val="aff"/>
          <w:rFonts w:ascii="Times New Roman" w:eastAsia="SimSun" w:hAnsi="Times New Roman" w:cs="Times New Roman"/>
          <w:b w:val="0"/>
          <w:color w:val="000000" w:themeColor="text1"/>
          <w:spacing w:val="0"/>
          <w:sz w:val="16"/>
          <w:szCs w:val="16"/>
        </w:rPr>
        <w:softHyphen/>
        <w:t>пляров И-3. До сворачивания производства в 1931 году всего изготовили 352 И-3. В те</w:t>
      </w:r>
      <w:r w:rsidRPr="00507A31">
        <w:rPr>
          <w:rStyle w:val="aff"/>
          <w:rFonts w:ascii="Times New Roman" w:eastAsia="SimSun" w:hAnsi="Times New Roman" w:cs="Times New Roman"/>
          <w:b w:val="0"/>
          <w:color w:val="000000" w:themeColor="text1"/>
          <w:spacing w:val="0"/>
          <w:sz w:val="16"/>
          <w:szCs w:val="16"/>
        </w:rPr>
        <w:softHyphen/>
        <w:t>чение двух последующих лет самолеты это</w:t>
      </w:r>
      <w:r w:rsidRPr="00507A31">
        <w:rPr>
          <w:rStyle w:val="aff"/>
          <w:rFonts w:ascii="Times New Roman" w:eastAsia="SimSun" w:hAnsi="Times New Roman" w:cs="Times New Roman"/>
          <w:b w:val="0"/>
          <w:color w:val="000000" w:themeColor="text1"/>
          <w:spacing w:val="0"/>
          <w:sz w:val="16"/>
          <w:szCs w:val="16"/>
        </w:rPr>
        <w:softHyphen/>
        <w:t>го типа были основными в ВВС РККА. В на</w:t>
      </w:r>
      <w:r w:rsidRPr="00507A31">
        <w:rPr>
          <w:rStyle w:val="aff"/>
          <w:rFonts w:ascii="Times New Roman" w:eastAsia="SimSun" w:hAnsi="Times New Roman" w:cs="Times New Roman"/>
          <w:b w:val="0"/>
          <w:color w:val="000000" w:themeColor="text1"/>
          <w:spacing w:val="0"/>
          <w:sz w:val="16"/>
          <w:szCs w:val="16"/>
        </w:rPr>
        <w:softHyphen/>
        <w:t>чале 1933 года 34 И-3 базировались под Мо</w:t>
      </w:r>
      <w:r w:rsidRPr="00507A31">
        <w:rPr>
          <w:rStyle w:val="aff"/>
          <w:rFonts w:ascii="Times New Roman" w:eastAsia="SimSun" w:hAnsi="Times New Roman" w:cs="Times New Roman"/>
          <w:b w:val="0"/>
          <w:color w:val="000000" w:themeColor="text1"/>
          <w:spacing w:val="0"/>
          <w:sz w:val="16"/>
          <w:szCs w:val="16"/>
        </w:rPr>
        <w:softHyphen/>
        <w:t>сквой, 37 - на Украине и 117 - в Белоруссии (12295).</w:t>
      </w:r>
    </w:p>
    <w:p w14:paraId="390EC7E3" w14:textId="77777777" w:rsidR="00E02CFE" w:rsidRPr="00507A31" w:rsidRDefault="00E02CFE" w:rsidP="00507A31">
      <w:pPr>
        <w:jc w:val="both"/>
        <w:rPr>
          <w:color w:val="000000" w:themeColor="text1"/>
          <w:sz w:val="16"/>
          <w:szCs w:val="16"/>
        </w:rPr>
      </w:pPr>
    </w:p>
    <w:p w14:paraId="07172ABB" w14:textId="77777777" w:rsidR="00467CF2" w:rsidRPr="00507A31" w:rsidRDefault="00467CF2" w:rsidP="00507A31">
      <w:pPr>
        <w:pStyle w:val="a8"/>
        <w:jc w:val="both"/>
        <w:rPr>
          <w:rFonts w:ascii="Times New Roman" w:hAnsi="Times New Roman" w:cs="Times New Roman"/>
          <w:color w:val="000000" w:themeColor="text1"/>
        </w:rPr>
      </w:pPr>
      <w:r w:rsidRPr="00507A31">
        <w:rPr>
          <w:rFonts w:ascii="Times New Roman" w:hAnsi="Times New Roman" w:cs="Times New Roman"/>
          <w:color w:val="000000" w:themeColor="text1"/>
        </w:rPr>
        <w:t>Всего за 1930 г. выпустили 163 И-4 - план опять не выполнили. Причин этому насчитывалось много. Во-первых, производство постоянно лихорадила нехватка комплектующих: недоставало то винтов, то синхронизаторов ПУЛ-9, то прицелов. Во-вторых, УВВС постепенно теряло интерес к И-4, значительно уступавшему истребителям следующего поколения - И-5 и И-7, а кое в чем - и более старым И-3 (19100).</w:t>
      </w:r>
    </w:p>
    <w:p w14:paraId="1ECF048E" w14:textId="77777777" w:rsidR="00467CF2" w:rsidRPr="00507A31" w:rsidRDefault="00467CF2" w:rsidP="00507A31">
      <w:pPr>
        <w:pStyle w:val="a8"/>
        <w:jc w:val="both"/>
        <w:rPr>
          <w:rFonts w:ascii="Times New Roman" w:hAnsi="Times New Roman" w:cs="Times New Roman"/>
          <w:color w:val="000000" w:themeColor="text1"/>
        </w:rPr>
      </w:pPr>
    </w:p>
    <w:p w14:paraId="36656DDD" w14:textId="77777777" w:rsidR="00EE6B46" w:rsidRPr="00507A31" w:rsidRDefault="00EE6B46" w:rsidP="00507A31">
      <w:pPr>
        <w:jc w:val="both"/>
        <w:textAlignment w:val="baseline"/>
        <w:rPr>
          <w:color w:val="0070C0"/>
          <w:sz w:val="16"/>
          <w:szCs w:val="16"/>
        </w:rPr>
      </w:pPr>
      <w:r w:rsidRPr="00507A31">
        <w:rPr>
          <w:color w:val="0070C0"/>
          <w:sz w:val="16"/>
          <w:szCs w:val="16"/>
          <w:bdr w:val="none" w:sz="0" w:space="0" w:color="auto" w:frame="1"/>
        </w:rPr>
        <w:t>В 1930 г. для самолетов АНТ-9 закупали американские двигатели Райт </w:t>
      </w:r>
      <w:r w:rsidRPr="00507A31">
        <w:rPr>
          <w:color w:val="0070C0"/>
          <w:sz w:val="16"/>
          <w:szCs w:val="16"/>
          <w:bdr w:val="none" w:sz="0" w:space="0" w:color="auto" w:frame="1"/>
          <w:lang w:val="en-US"/>
        </w:rPr>
        <w:t>J</w:t>
      </w:r>
      <w:r w:rsidRPr="00507A31">
        <w:rPr>
          <w:color w:val="0070C0"/>
          <w:sz w:val="16"/>
          <w:szCs w:val="16"/>
          <w:bdr w:val="none" w:sz="0" w:space="0" w:color="auto" w:frame="1"/>
        </w:rPr>
        <w:t>6</w:t>
      </w:r>
      <w:r w:rsidRPr="00507A31">
        <w:rPr>
          <w:color w:val="0070C0"/>
          <w:sz w:val="16"/>
          <w:szCs w:val="16"/>
          <w:bdr w:val="none" w:sz="0" w:space="0" w:color="auto" w:frame="1"/>
          <w:lang w:val="en-US"/>
        </w:rPr>
        <w:t> </w:t>
      </w:r>
      <w:r w:rsidRPr="00507A31">
        <w:rPr>
          <w:color w:val="0070C0"/>
          <w:sz w:val="16"/>
          <w:szCs w:val="16"/>
          <w:bdr w:val="none" w:sz="0" w:space="0" w:color="auto" w:frame="1"/>
        </w:rPr>
        <w:t>«Уирлуинд» (21511).</w:t>
      </w:r>
    </w:p>
    <w:p w14:paraId="6C3483DC" w14:textId="77777777" w:rsidR="00EE6B46" w:rsidRPr="00507A31" w:rsidRDefault="00EE6B46" w:rsidP="00507A31">
      <w:pPr>
        <w:jc w:val="both"/>
        <w:rPr>
          <w:color w:val="0070C0"/>
          <w:sz w:val="16"/>
          <w:szCs w:val="16"/>
        </w:rPr>
      </w:pPr>
    </w:p>
    <w:p w14:paraId="06EE6D0B" w14:textId="77777777" w:rsidR="00083A1F" w:rsidRPr="00507A31" w:rsidRDefault="00083A1F" w:rsidP="00507A31">
      <w:pPr>
        <w:jc w:val="both"/>
        <w:rPr>
          <w:color w:val="000000" w:themeColor="text1"/>
          <w:sz w:val="16"/>
          <w:szCs w:val="16"/>
        </w:rPr>
      </w:pPr>
      <w:r w:rsidRPr="00507A31">
        <w:rPr>
          <w:color w:val="000000" w:themeColor="text1"/>
          <w:sz w:val="16"/>
          <w:szCs w:val="16"/>
        </w:rPr>
        <w:t>В 1930 г. Роберт Людвигович Бартини, вскоре после устройства на работу в Центральное конструкторское бюро при заводе № 39 в Москве, предложил проект самолета. Машине дали обозначение ЭИ (экспериментальный истребитель). С разрабатывавшимся в то время мотором водяного охлаждения М-32 мощ</w:t>
      </w:r>
      <w:r w:rsidRPr="00507A31">
        <w:rPr>
          <w:color w:val="000000" w:themeColor="text1"/>
          <w:sz w:val="16"/>
          <w:szCs w:val="16"/>
        </w:rPr>
        <w:softHyphen/>
        <w:t>ностью 750 л.с. он должен был развивать скорость 450 км/ч и набирать высоту 5000 м всего за 3,5 минуты.</w:t>
      </w:r>
    </w:p>
    <w:p w14:paraId="03D9EDFB" w14:textId="77777777" w:rsidR="00083A1F" w:rsidRPr="00507A31" w:rsidRDefault="00083A1F" w:rsidP="00507A31">
      <w:pPr>
        <w:jc w:val="both"/>
        <w:rPr>
          <w:color w:val="000000" w:themeColor="text1"/>
          <w:sz w:val="16"/>
          <w:szCs w:val="16"/>
        </w:rPr>
      </w:pPr>
      <w:r w:rsidRPr="00507A31">
        <w:rPr>
          <w:color w:val="000000" w:themeColor="text1"/>
          <w:sz w:val="16"/>
          <w:szCs w:val="16"/>
        </w:rPr>
        <w:t>Для отработки механизма уборки шасси и проверки общей концепции самолёта Бар</w:t>
      </w:r>
      <w:r w:rsidRPr="00507A31">
        <w:rPr>
          <w:color w:val="000000" w:themeColor="text1"/>
          <w:sz w:val="16"/>
          <w:szCs w:val="16"/>
        </w:rPr>
        <w:softHyphen/>
        <w:t>тини предложил использовать один из экземпляров ИЛ-400 - так назывался не пошедший в серию истребитель-моноплан Н.Н. Поликарпова. Но после смены руководства ЦКБ за</w:t>
      </w:r>
      <w:r w:rsidRPr="00507A31">
        <w:rPr>
          <w:color w:val="000000" w:themeColor="text1"/>
          <w:sz w:val="16"/>
          <w:szCs w:val="16"/>
        </w:rPr>
        <w:softHyphen/>
        <w:t>меститель начальника бюро И.И. Артамонов начал тормозить работу над ЭИ.</w:t>
      </w:r>
      <w:r w:rsidRPr="00507A31">
        <w:rPr>
          <w:rStyle w:val="aff4"/>
          <w:rFonts w:ascii="Times New Roman" w:eastAsia="Arial Unicode MS" w:hAnsi="Times New Roman" w:cs="Times New Roman"/>
          <w:i w:val="0"/>
          <w:color w:val="000000" w:themeColor="text1"/>
        </w:rPr>
        <w:t xml:space="preserve"> «Прежде </w:t>
      </w:r>
      <w:r w:rsidRPr="00507A31">
        <w:rPr>
          <w:color w:val="000000" w:themeColor="text1"/>
          <w:sz w:val="16"/>
          <w:szCs w:val="16"/>
        </w:rPr>
        <w:t>всего, он - именно он - задер</w:t>
      </w:r>
      <w:r w:rsidRPr="00507A31">
        <w:rPr>
          <w:color w:val="000000" w:themeColor="text1"/>
          <w:sz w:val="16"/>
          <w:szCs w:val="16"/>
        </w:rPr>
        <w:softHyphen/>
        <w:t>живал под разными предлогами перевозку самолёта ИЛ с заво</w:t>
      </w:r>
      <w:r w:rsidRPr="00507A31">
        <w:rPr>
          <w:color w:val="000000" w:themeColor="text1"/>
          <w:sz w:val="16"/>
          <w:szCs w:val="16"/>
        </w:rPr>
        <w:softHyphen/>
        <w:t>да № 1 на завод № 39. Только после нескольких напоминаний т. Банникова ИЛ был наконец перевезён и мы собрались уже заняться им вплотную, когда на известном заседании 18/</w:t>
      </w:r>
      <w:r w:rsidRPr="00507A31">
        <w:rPr>
          <w:color w:val="000000" w:themeColor="text1"/>
          <w:sz w:val="16"/>
          <w:szCs w:val="16"/>
          <w:lang w:val="en-US"/>
        </w:rPr>
        <w:t>VII</w:t>
      </w:r>
      <w:r w:rsidRPr="00507A31">
        <w:rPr>
          <w:color w:val="000000" w:themeColor="text1"/>
          <w:sz w:val="16"/>
          <w:szCs w:val="16"/>
        </w:rPr>
        <w:t xml:space="preserve"> ЭИ был вообще изъят из всяко</w:t>
      </w:r>
      <w:r w:rsidRPr="00507A31">
        <w:rPr>
          <w:color w:val="000000" w:themeColor="text1"/>
          <w:sz w:val="16"/>
          <w:szCs w:val="16"/>
        </w:rPr>
        <w:softHyphen/>
        <w:t xml:space="preserve">го плана и попросту перестал упоминаться даже где-либо», </w:t>
      </w:r>
      <w:r w:rsidRPr="00507A31">
        <w:rPr>
          <w:rStyle w:val="4c"/>
          <w:rFonts w:ascii="Times New Roman" w:hAnsi="Times New Roman" w:cs="Times New Roman"/>
          <w:i w:val="0"/>
          <w:color w:val="000000" w:themeColor="text1"/>
          <w:sz w:val="16"/>
          <w:szCs w:val="16"/>
        </w:rPr>
        <w:t>— писал в 1930 г. в Комиссию по чистке авиаконструктор В.Б. Шавров (15844).</w:t>
      </w:r>
    </w:p>
    <w:p w14:paraId="5A8B6563" w14:textId="77777777" w:rsidR="00083A1F" w:rsidRPr="00507A31" w:rsidRDefault="00083A1F" w:rsidP="00507A31">
      <w:pPr>
        <w:jc w:val="both"/>
        <w:rPr>
          <w:color w:val="000000" w:themeColor="text1"/>
          <w:sz w:val="16"/>
          <w:szCs w:val="16"/>
        </w:rPr>
      </w:pPr>
    </w:p>
    <w:p w14:paraId="30BD717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на приобретение за границей военных самолетов Управлению ВВС было выделено 1 670 000 рублей, то в 1932-м — 370 тыс. рублей (РГВА. Ф. 4. Оп. 14. Д. 385. Л. 26.) (11174).</w:t>
      </w:r>
    </w:p>
    <w:p w14:paraId="6EB5B3CB" w14:textId="77777777" w:rsidR="00537E5F" w:rsidRPr="00507A31" w:rsidRDefault="00537E5F" w:rsidP="00507A31">
      <w:pPr>
        <w:autoSpaceDE w:val="0"/>
        <w:autoSpaceDN w:val="0"/>
        <w:adjustRightInd w:val="0"/>
        <w:jc w:val="both"/>
        <w:rPr>
          <w:color w:val="000000" w:themeColor="text1"/>
          <w:sz w:val="16"/>
          <w:szCs w:val="16"/>
        </w:rPr>
      </w:pPr>
    </w:p>
    <w:p w14:paraId="4BBF78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купили партию бипланов Савойя С-62бис - цельнодеревянных гидросамолетов и лицензию, так как неудачи постигли советские морские ближние разведчики. Стала МБР-4, производилась в 1932-33 и была на вооружении до 1936 (80,252).</w:t>
      </w:r>
    </w:p>
    <w:p w14:paraId="0B789C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другим данным производили до 1937.</w:t>
      </w:r>
    </w:p>
    <w:p w14:paraId="2D20DCAB" w14:textId="77777777" w:rsidR="00537E5F" w:rsidRPr="00507A31" w:rsidRDefault="00537E5F" w:rsidP="00507A31">
      <w:pPr>
        <w:autoSpaceDE w:val="0"/>
        <w:autoSpaceDN w:val="0"/>
        <w:adjustRightInd w:val="0"/>
        <w:jc w:val="both"/>
        <w:rPr>
          <w:color w:val="000000" w:themeColor="text1"/>
          <w:sz w:val="16"/>
          <w:szCs w:val="16"/>
        </w:rPr>
      </w:pPr>
    </w:p>
    <w:p w14:paraId="60BE4A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Бартини в 1930 г., возглавив ОКБ, предложил 40 т МТБ-2 катамаранной схемы (76,37). Группа - влилась в ЦКБ (76,38).</w:t>
      </w:r>
    </w:p>
    <w:p w14:paraId="7F49CE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Была ссора Р.Л.Бартини с Пауфлером по поводу записки, направленной Р.Л.Бартини в ЦК. Р.Л.Бартини назначили начальником ОКБ НИИ ГВФ по инициативе М.Н.Тухачевского (76,39). Отдел опытного самолетостроения возглавлял А.И.Путилов - Сталь-2 и Сталь-3 (76,43).</w:t>
      </w:r>
    </w:p>
    <w:p w14:paraId="4D917C9A" w14:textId="77777777" w:rsidR="00537E5F" w:rsidRPr="00507A31" w:rsidRDefault="00537E5F" w:rsidP="00507A31">
      <w:pPr>
        <w:autoSpaceDE w:val="0"/>
        <w:autoSpaceDN w:val="0"/>
        <w:adjustRightInd w:val="0"/>
        <w:jc w:val="both"/>
        <w:rPr>
          <w:color w:val="000000" w:themeColor="text1"/>
          <w:sz w:val="16"/>
          <w:szCs w:val="16"/>
        </w:rPr>
      </w:pPr>
    </w:p>
    <w:p w14:paraId="616600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 в Центральном конструкторском бюро на заводе № 39 имени В.Р.Менжинского инженер Р.Л.Бартини спроектировал одноместный экспериментальный истребитель-моноплан ЭИ с убираемым одноколесным шасси, который мог развивать максимальную скорость 450 км/ч и набирать высоту 5000 м за 3,5 минуты. Для отработки механизма уборки шасси и проверки общей идеи самолета Бартини предложил использовать один из построенных экземпляров И-1. После смены руководства ЦКБ заместитель началь</w:t>
      </w:r>
      <w:r w:rsidRPr="00507A31">
        <w:rPr>
          <w:color w:val="000000" w:themeColor="text1"/>
          <w:sz w:val="16"/>
          <w:szCs w:val="16"/>
        </w:rPr>
        <w:softHyphen/>
        <w:t>ника бюро И.И.Артамонов начал (преимущественно по субъективным причинам) тормозить работу над ЭИ. «Прежде всего, он - именно он - задерживал под разны</w:t>
      </w:r>
      <w:r w:rsidRPr="00507A31">
        <w:rPr>
          <w:color w:val="000000" w:themeColor="text1"/>
          <w:sz w:val="16"/>
          <w:szCs w:val="16"/>
        </w:rPr>
        <w:softHyphen/>
        <w:t>ми предлогами перевозку самолета ИЛ с завода № 1 на завод № 39. Только после нескольких напоминаний т. Банникова ИЛ был наконец перевезен и мы собра</w:t>
      </w:r>
      <w:r w:rsidRPr="00507A31">
        <w:rPr>
          <w:color w:val="000000" w:themeColor="text1"/>
          <w:sz w:val="16"/>
          <w:szCs w:val="16"/>
        </w:rPr>
        <w:softHyphen/>
        <w:t>лись уже заняться им вплотную, когда на известном за</w:t>
      </w:r>
      <w:r w:rsidRPr="00507A31">
        <w:rPr>
          <w:color w:val="000000" w:themeColor="text1"/>
          <w:sz w:val="16"/>
          <w:szCs w:val="16"/>
        </w:rPr>
        <w:softHyphen/>
        <w:t>седании 18/УП ЭИ был вообще изъят из всякого плана и попросту перестал упоминаться даже где-либо...», -писал в 1930 г. в Комиссию по чистке конструктор В.Б.Шавров. Переданный заводу № 39 И-1 около года простоял на его территории, а затем был уничтожен (10667).</w:t>
      </w:r>
    </w:p>
    <w:p w14:paraId="211DDA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160CF82" w14:textId="77777777" w:rsidR="00273569" w:rsidRPr="00507A31" w:rsidRDefault="00273569" w:rsidP="00507A31">
      <w:pPr>
        <w:jc w:val="both"/>
        <w:rPr>
          <w:color w:val="000000" w:themeColor="text1"/>
          <w:sz w:val="16"/>
          <w:szCs w:val="16"/>
        </w:rPr>
      </w:pPr>
      <w:r w:rsidRPr="00507A31">
        <w:rPr>
          <w:color w:val="000000" w:themeColor="text1"/>
          <w:sz w:val="16"/>
          <w:szCs w:val="16"/>
        </w:rPr>
        <w:t>В 1930 г. в Гер</w:t>
      </w:r>
      <w:r w:rsidRPr="00507A31">
        <w:rPr>
          <w:color w:val="000000" w:themeColor="text1"/>
          <w:sz w:val="16"/>
          <w:szCs w:val="16"/>
        </w:rPr>
        <w:softHyphen/>
        <w:t>мании закупили два самолета «Юнкере» К-47. Приемо-сдаточные испытания велись в Мо</w:t>
      </w:r>
      <w:r w:rsidRPr="00507A31">
        <w:rPr>
          <w:color w:val="000000" w:themeColor="text1"/>
          <w:sz w:val="16"/>
          <w:szCs w:val="16"/>
        </w:rPr>
        <w:softHyphen/>
        <w:t>скве в период с 30 января по 13 февраля 1930 г. От фирмы-изготовителя присутствовал меха</w:t>
      </w:r>
      <w:r w:rsidRPr="00507A31">
        <w:rPr>
          <w:color w:val="000000" w:themeColor="text1"/>
          <w:sz w:val="16"/>
          <w:szCs w:val="16"/>
        </w:rPr>
        <w:softHyphen/>
        <w:t>ник, называемый русскими Техин (немецкая подпись наразборчива — похоже на ТесИеп). Техническое руководство с советской сторо</w:t>
      </w:r>
      <w:r w:rsidRPr="00507A31">
        <w:rPr>
          <w:color w:val="000000" w:themeColor="text1"/>
          <w:sz w:val="16"/>
          <w:szCs w:val="16"/>
        </w:rPr>
        <w:softHyphen/>
        <w:t>ны осуществлял старший инженер 2-го отде</w:t>
      </w:r>
      <w:r w:rsidRPr="00507A31">
        <w:rPr>
          <w:color w:val="000000" w:themeColor="text1"/>
          <w:sz w:val="16"/>
          <w:szCs w:val="16"/>
        </w:rPr>
        <w:softHyphen/>
        <w:t>ла НИИ ВВС Квитко. Летал начальник это</w:t>
      </w:r>
      <w:r w:rsidRPr="00507A31">
        <w:rPr>
          <w:color w:val="000000" w:themeColor="text1"/>
          <w:sz w:val="16"/>
          <w:szCs w:val="16"/>
        </w:rPr>
        <w:softHyphen/>
        <w:t>го 2-го отдела, старший летчик Волковойнов.</w:t>
      </w:r>
    </w:p>
    <w:p w14:paraId="4A05758F" w14:textId="77777777" w:rsidR="00273569" w:rsidRPr="00507A31" w:rsidRDefault="00273569" w:rsidP="00507A31">
      <w:pPr>
        <w:jc w:val="both"/>
        <w:rPr>
          <w:color w:val="000000" w:themeColor="text1"/>
          <w:sz w:val="16"/>
          <w:szCs w:val="16"/>
        </w:rPr>
      </w:pPr>
      <w:r w:rsidRPr="00507A31">
        <w:rPr>
          <w:color w:val="000000" w:themeColor="text1"/>
          <w:sz w:val="16"/>
          <w:szCs w:val="16"/>
        </w:rPr>
        <w:t>Сложность испытательных полетов заклю</w:t>
      </w:r>
      <w:r w:rsidRPr="00507A31">
        <w:rPr>
          <w:color w:val="000000" w:themeColor="text1"/>
          <w:sz w:val="16"/>
          <w:szCs w:val="16"/>
        </w:rPr>
        <w:softHyphen/>
        <w:t>чалась в сильных морозах и неполадках дви</w:t>
      </w:r>
      <w:r w:rsidRPr="00507A31">
        <w:rPr>
          <w:color w:val="000000" w:themeColor="text1"/>
          <w:sz w:val="16"/>
          <w:szCs w:val="16"/>
        </w:rPr>
        <w:softHyphen/>
        <w:t>гателей Юпитер VII тип 9А. Вооружение по</w:t>
      </w:r>
      <w:r w:rsidRPr="00507A31">
        <w:rPr>
          <w:color w:val="000000" w:themeColor="text1"/>
          <w:sz w:val="16"/>
          <w:szCs w:val="16"/>
        </w:rPr>
        <w:softHyphen/>
        <w:t>началу было установлено макетное, далее предполагалось установить два синхронных ПВ-1 вперед и один пулемет ДА для стрель</w:t>
      </w:r>
      <w:r w:rsidRPr="00507A31">
        <w:rPr>
          <w:color w:val="000000" w:themeColor="text1"/>
          <w:sz w:val="16"/>
          <w:szCs w:val="16"/>
        </w:rPr>
        <w:softHyphen/>
        <w:t>бы назад.</w:t>
      </w:r>
    </w:p>
    <w:p w14:paraId="4E7BC5CA" w14:textId="77777777" w:rsidR="00273569" w:rsidRPr="00507A31" w:rsidRDefault="00273569" w:rsidP="00507A31">
      <w:pPr>
        <w:jc w:val="both"/>
        <w:rPr>
          <w:color w:val="000000" w:themeColor="text1"/>
          <w:sz w:val="16"/>
          <w:szCs w:val="16"/>
        </w:rPr>
      </w:pPr>
      <w:r w:rsidRPr="00507A31">
        <w:rPr>
          <w:color w:val="000000" w:themeColor="text1"/>
          <w:sz w:val="16"/>
          <w:szCs w:val="16"/>
        </w:rPr>
        <w:t>По результатам испытаний в НИИ ВВС К-47 показал следующие данные:</w:t>
      </w:r>
    </w:p>
    <w:tbl>
      <w:tblPr>
        <w:tblW w:w="0" w:type="auto"/>
        <w:tblLayout w:type="fixed"/>
        <w:tblCellMar>
          <w:left w:w="10" w:type="dxa"/>
          <w:right w:w="10" w:type="dxa"/>
        </w:tblCellMar>
        <w:tblLook w:val="0000" w:firstRow="0" w:lastRow="0" w:firstColumn="0" w:lastColumn="0" w:noHBand="0" w:noVBand="0"/>
      </w:tblPr>
      <w:tblGrid>
        <w:gridCol w:w="2977"/>
        <w:gridCol w:w="662"/>
      </w:tblGrid>
      <w:tr w:rsidR="00E371BA" w:rsidRPr="00507A31" w14:paraId="06076F83" w14:textId="77777777" w:rsidTr="001C0A69">
        <w:trPr>
          <w:trHeight w:val="266"/>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D5FC439"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Макс, скорость у земли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5DF7C9D9"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240</w:t>
            </w:r>
          </w:p>
        </w:tc>
      </w:tr>
      <w:tr w:rsidR="00E371BA" w:rsidRPr="00507A31" w14:paraId="7A0E0DFE"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664DBAB9"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Макс, скорость на высоте 3000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4F0125A5"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272,5</w:t>
            </w:r>
          </w:p>
        </w:tc>
      </w:tr>
      <w:tr w:rsidR="00E371BA" w:rsidRPr="00507A31" w14:paraId="12B4FC52"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083BCE6D"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Макс, скорость на высоте 5000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96AD687"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261</w:t>
            </w:r>
          </w:p>
        </w:tc>
      </w:tr>
      <w:tr w:rsidR="00E371BA" w:rsidRPr="00507A31" w14:paraId="00952A26"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44409242"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Время набора высоты 5000 м (мин.)</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C37B7DA"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11,5</w:t>
            </w:r>
          </w:p>
        </w:tc>
      </w:tr>
      <w:tr w:rsidR="00E371BA" w:rsidRPr="00507A31" w14:paraId="6056CB29"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57EA255"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Практический потолок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16268F5E"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8100</w:t>
            </w:r>
          </w:p>
        </w:tc>
      </w:tr>
      <w:tr w:rsidR="00E371BA" w:rsidRPr="00507A31" w14:paraId="72F0B222" w14:textId="77777777" w:rsidTr="001C0A69">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CBCBEB4"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Вираж на 1000 м (сек.)</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6FED0549"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12</w:t>
            </w:r>
          </w:p>
        </w:tc>
      </w:tr>
      <w:tr w:rsidR="00E371BA" w:rsidRPr="00507A31" w14:paraId="43FCABCD"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16EEC2DB"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Разбег(м)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60B612D0"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140</w:t>
            </w:r>
          </w:p>
        </w:tc>
      </w:tr>
      <w:tr w:rsidR="00E371BA" w:rsidRPr="00507A31" w14:paraId="62043D75" w14:textId="77777777" w:rsidTr="001C0A69">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4F57A313"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Пробег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017F44E" w14:textId="77777777" w:rsidR="00273569" w:rsidRPr="00507A31" w:rsidRDefault="00273569" w:rsidP="00507A31">
            <w:pPr>
              <w:pStyle w:val="113"/>
              <w:shd w:val="clear" w:color="auto" w:fill="auto"/>
              <w:spacing w:line="240" w:lineRule="auto"/>
              <w:jc w:val="both"/>
              <w:rPr>
                <w:rFonts w:ascii="Times New Roman" w:hAnsi="Times New Roman" w:cs="Times New Roman"/>
                <w:b w:val="0"/>
                <w:color w:val="000000" w:themeColor="text1"/>
                <w:sz w:val="16"/>
                <w:szCs w:val="16"/>
              </w:rPr>
            </w:pPr>
            <w:r w:rsidRPr="00507A31">
              <w:rPr>
                <w:rFonts w:ascii="Times New Roman" w:hAnsi="Times New Roman" w:cs="Times New Roman"/>
                <w:b w:val="0"/>
                <w:color w:val="000000" w:themeColor="text1"/>
                <w:sz w:val="16"/>
                <w:szCs w:val="16"/>
              </w:rPr>
              <w:t>330</w:t>
            </w:r>
          </w:p>
        </w:tc>
      </w:tr>
    </w:tbl>
    <w:p w14:paraId="57B6ABB6" w14:textId="77777777" w:rsidR="00273569" w:rsidRPr="00507A31" w:rsidRDefault="00273569" w:rsidP="00507A31">
      <w:pPr>
        <w:jc w:val="both"/>
        <w:rPr>
          <w:color w:val="000000" w:themeColor="text1"/>
          <w:sz w:val="16"/>
          <w:szCs w:val="16"/>
        </w:rPr>
      </w:pPr>
      <w:r w:rsidRPr="00507A31">
        <w:rPr>
          <w:color w:val="000000" w:themeColor="text1"/>
          <w:sz w:val="16"/>
          <w:szCs w:val="16"/>
        </w:rPr>
        <w:t>В общем, полетные данные К-47 были не</w:t>
      </w:r>
      <w:r w:rsidRPr="00507A31">
        <w:rPr>
          <w:color w:val="000000" w:themeColor="text1"/>
          <w:sz w:val="16"/>
          <w:szCs w:val="16"/>
        </w:rPr>
        <w:softHyphen/>
        <w:t>плохие. Однако, судя по письму, подготов</w:t>
      </w:r>
      <w:r w:rsidRPr="00507A31">
        <w:rPr>
          <w:color w:val="000000" w:themeColor="text1"/>
          <w:sz w:val="16"/>
          <w:szCs w:val="16"/>
        </w:rPr>
        <w:softHyphen/>
        <w:t>ленному 30 сентября 1930 г. в канцелярии за</w:t>
      </w:r>
      <w:r w:rsidRPr="00507A31">
        <w:rPr>
          <w:color w:val="000000" w:themeColor="text1"/>
          <w:sz w:val="16"/>
          <w:szCs w:val="16"/>
        </w:rPr>
        <w:softHyphen/>
        <w:t>местителя начальника ВВС Алксниса на имя Заместителя Председателя РВС СССР Убо- ревича, скептическое отношение к двухмест</w:t>
      </w:r>
      <w:r w:rsidRPr="00507A31">
        <w:rPr>
          <w:color w:val="000000" w:themeColor="text1"/>
          <w:sz w:val="16"/>
          <w:szCs w:val="16"/>
        </w:rPr>
        <w:softHyphen/>
        <w:t>ным истребителям оставалось - «В тактиче</w:t>
      </w:r>
      <w:r w:rsidRPr="00507A31">
        <w:rPr>
          <w:color w:val="000000" w:themeColor="text1"/>
          <w:sz w:val="16"/>
          <w:szCs w:val="16"/>
        </w:rPr>
        <w:softHyphen/>
        <w:t>ском отношении К-47 как двухместный ис</w:t>
      </w:r>
      <w:r w:rsidRPr="00507A31">
        <w:rPr>
          <w:color w:val="000000" w:themeColor="text1"/>
          <w:sz w:val="16"/>
          <w:szCs w:val="16"/>
        </w:rPr>
        <w:softHyphen/>
        <w:t>требитель является сильным противником, способным вести активный 6011 с одномест</w:t>
      </w:r>
      <w:r w:rsidRPr="00507A31">
        <w:rPr>
          <w:color w:val="000000" w:themeColor="text1"/>
          <w:sz w:val="16"/>
          <w:szCs w:val="16"/>
        </w:rPr>
        <w:softHyphen/>
        <w:t>ными истребителями. В силу наличия стрел</w:t>
      </w:r>
      <w:r w:rsidRPr="00507A31">
        <w:rPr>
          <w:color w:val="000000" w:themeColor="text1"/>
          <w:sz w:val="16"/>
          <w:szCs w:val="16"/>
        </w:rPr>
        <w:softHyphen/>
        <w:t>ка, обороняющего задний верхний конус от горизонтали до зенита, К-47 вынуждает ис</w:t>
      </w:r>
      <w:r w:rsidRPr="00507A31">
        <w:rPr>
          <w:color w:val="000000" w:themeColor="text1"/>
          <w:sz w:val="16"/>
          <w:szCs w:val="16"/>
        </w:rPr>
        <w:softHyphen/>
        <w:t>требителей не применять атаку сверху и сза</w:t>
      </w:r>
      <w:r w:rsidRPr="00507A31">
        <w:rPr>
          <w:color w:val="000000" w:themeColor="text1"/>
          <w:sz w:val="16"/>
          <w:szCs w:val="16"/>
        </w:rPr>
        <w:softHyphen/>
        <w:t>ди, т.е. лишает их возможности использовать преимущество в скороподъемности.</w:t>
      </w:r>
    </w:p>
    <w:p w14:paraId="15E648C6" w14:textId="77777777" w:rsidR="00273569" w:rsidRPr="00507A31" w:rsidRDefault="00273569" w:rsidP="00507A31">
      <w:pPr>
        <w:jc w:val="both"/>
        <w:rPr>
          <w:color w:val="000000" w:themeColor="text1"/>
          <w:sz w:val="16"/>
          <w:szCs w:val="16"/>
        </w:rPr>
      </w:pPr>
      <w:r w:rsidRPr="00507A31">
        <w:rPr>
          <w:color w:val="000000" w:themeColor="text1"/>
          <w:sz w:val="16"/>
          <w:szCs w:val="16"/>
        </w:rPr>
        <w:t>В бою с одноместным истребителем, с бо</w:t>
      </w:r>
      <w:r w:rsidRPr="00507A31">
        <w:rPr>
          <w:color w:val="000000" w:themeColor="text1"/>
          <w:sz w:val="16"/>
          <w:szCs w:val="16"/>
        </w:rPr>
        <w:softHyphen/>
        <w:t>лее лучшими данными, К-47 приходится в значительной степени рассчитывать на зад</w:t>
      </w:r>
      <w:r w:rsidRPr="00507A31">
        <w:rPr>
          <w:color w:val="000000" w:themeColor="text1"/>
          <w:sz w:val="16"/>
          <w:szCs w:val="16"/>
        </w:rPr>
        <w:softHyphen/>
        <w:t>ний пулемет, т.к. пользоваться передними пулеметами, ввиду большого радиуса вира</w:t>
      </w:r>
      <w:r w:rsidRPr="00507A31">
        <w:rPr>
          <w:color w:val="000000" w:themeColor="text1"/>
          <w:sz w:val="16"/>
          <w:szCs w:val="16"/>
        </w:rPr>
        <w:softHyphen/>
        <w:t>жа, он не может; иными словами К-47 в бою с истребителями имеет меньшую огневую мощь, что является его минусом».</w:t>
      </w:r>
    </w:p>
    <w:p w14:paraId="3E829DBC" w14:textId="77777777" w:rsidR="00273569" w:rsidRPr="00507A31" w:rsidRDefault="00273569" w:rsidP="00507A31">
      <w:pPr>
        <w:jc w:val="both"/>
        <w:rPr>
          <w:color w:val="000000" w:themeColor="text1"/>
          <w:sz w:val="16"/>
          <w:szCs w:val="16"/>
        </w:rPr>
      </w:pPr>
      <w:r w:rsidRPr="00507A31">
        <w:rPr>
          <w:color w:val="000000" w:themeColor="text1"/>
          <w:sz w:val="16"/>
          <w:szCs w:val="16"/>
        </w:rPr>
        <w:t>В дальнейшем оба экземпляра немецких К-47 передали для службы в войсковые по</w:t>
      </w:r>
      <w:r w:rsidRPr="00507A31">
        <w:rPr>
          <w:color w:val="000000" w:themeColor="text1"/>
          <w:sz w:val="16"/>
          <w:szCs w:val="16"/>
        </w:rPr>
        <w:softHyphen/>
        <w:t>дразделения. Один экземпляр числился в на</w:t>
      </w:r>
      <w:r w:rsidRPr="00507A31">
        <w:rPr>
          <w:color w:val="000000" w:themeColor="text1"/>
          <w:sz w:val="16"/>
          <w:szCs w:val="16"/>
        </w:rPr>
        <w:softHyphen/>
        <w:t>чале 1933 г. в Белорусском военном округе, в управлении 402-й авиабригады в Брянске, второй в этот период эксплуатировался Ака</w:t>
      </w:r>
      <w:r w:rsidRPr="00507A31">
        <w:rPr>
          <w:color w:val="000000" w:themeColor="text1"/>
          <w:sz w:val="16"/>
          <w:szCs w:val="16"/>
        </w:rPr>
        <w:softHyphen/>
        <w:t>демией ВВС (12295).</w:t>
      </w:r>
    </w:p>
    <w:p w14:paraId="33EA0BEA" w14:textId="77777777" w:rsidR="00273569" w:rsidRPr="00507A31" w:rsidRDefault="00273569" w:rsidP="00507A31">
      <w:pPr>
        <w:jc w:val="both"/>
        <w:rPr>
          <w:color w:val="000000" w:themeColor="text1"/>
          <w:sz w:val="16"/>
          <w:szCs w:val="16"/>
        </w:rPr>
      </w:pPr>
    </w:p>
    <w:p w14:paraId="34D7E8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 для подвески под АНТ-4 были созданы переворачивающиеся ка</w:t>
      </w:r>
      <w:r w:rsidRPr="00507A31">
        <w:rPr>
          <w:color w:val="000000" w:themeColor="text1"/>
          <w:sz w:val="16"/>
          <w:szCs w:val="16"/>
        </w:rPr>
        <w:softHyphen/>
        <w:t>бинки (люльки), которые острословы ок</w:t>
      </w:r>
      <w:r w:rsidRPr="00507A31">
        <w:rPr>
          <w:color w:val="000000" w:themeColor="text1"/>
          <w:sz w:val="16"/>
          <w:szCs w:val="16"/>
        </w:rPr>
        <w:softHyphen/>
        <w:t>рестили гробиками. В каждой из них раз</w:t>
      </w:r>
      <w:r w:rsidRPr="00507A31">
        <w:rPr>
          <w:color w:val="000000" w:themeColor="text1"/>
          <w:sz w:val="16"/>
          <w:szCs w:val="16"/>
        </w:rPr>
        <w:softHyphen/>
        <w:t>мещался один парашютист. Под крылом, центропланом и фюзеляжем ТБ-1 можно было подвесить 12 таких люлек. По коман</w:t>
      </w:r>
      <w:r w:rsidRPr="00507A31">
        <w:rPr>
          <w:color w:val="000000" w:themeColor="text1"/>
          <w:sz w:val="16"/>
          <w:szCs w:val="16"/>
        </w:rPr>
        <w:softHyphen/>
        <w:t>де они переворачивались, происходило де</w:t>
      </w:r>
      <w:r w:rsidRPr="00507A31">
        <w:rPr>
          <w:color w:val="000000" w:themeColor="text1"/>
          <w:sz w:val="16"/>
          <w:szCs w:val="16"/>
        </w:rPr>
        <w:softHyphen/>
        <w:t>сантирование, и при помощи вытяжной стропы автоматически открывались пара</w:t>
      </w:r>
      <w:r w:rsidRPr="00507A31">
        <w:rPr>
          <w:color w:val="000000" w:themeColor="text1"/>
          <w:sz w:val="16"/>
          <w:szCs w:val="16"/>
        </w:rPr>
        <w:softHyphen/>
        <w:t>шюты. Первыми испытателями этого, как казалось, сумасшедшего изобретения ста</w:t>
      </w:r>
      <w:r w:rsidRPr="00507A31">
        <w:rPr>
          <w:color w:val="000000" w:themeColor="text1"/>
          <w:sz w:val="16"/>
          <w:szCs w:val="16"/>
        </w:rPr>
        <w:softHyphen/>
        <w:t>ли сами его создатели: П.И. Гроховский, его жена Л.А. Гроховская, чертежница Куле</w:t>
      </w:r>
      <w:r w:rsidRPr="00507A31">
        <w:rPr>
          <w:color w:val="000000" w:themeColor="text1"/>
          <w:sz w:val="16"/>
          <w:szCs w:val="16"/>
        </w:rPr>
        <w:softHyphen/>
        <w:t>шова, заместитель начальника И.В. Титов, конструктор И.А. Рыбников, техники М.А. Стуров и Ф.И. Саломатин. Хотя испы</w:t>
      </w:r>
      <w:r w:rsidRPr="00507A31">
        <w:rPr>
          <w:color w:val="000000" w:themeColor="text1"/>
          <w:sz w:val="16"/>
          <w:szCs w:val="16"/>
        </w:rPr>
        <w:softHyphen/>
        <w:t>тания прошли вполне успешно, в дальней</w:t>
      </w:r>
      <w:r w:rsidRPr="00507A31">
        <w:rPr>
          <w:color w:val="000000" w:themeColor="text1"/>
          <w:sz w:val="16"/>
          <w:szCs w:val="16"/>
        </w:rPr>
        <w:softHyphen/>
        <w:t>шем от использования люлек отказались, т.к. они создавали большое аэродинами</w:t>
      </w:r>
      <w:r w:rsidRPr="00507A31">
        <w:rPr>
          <w:color w:val="000000" w:themeColor="text1"/>
          <w:sz w:val="16"/>
          <w:szCs w:val="16"/>
        </w:rPr>
        <w:softHyphen/>
        <w:t>ческое сопротивление, что плохо сказыва</w:t>
      </w:r>
      <w:r w:rsidRPr="00507A31">
        <w:rPr>
          <w:color w:val="000000" w:themeColor="text1"/>
          <w:sz w:val="16"/>
          <w:szCs w:val="16"/>
        </w:rPr>
        <w:softHyphen/>
        <w:t>лось на устойчивости и управляемости ТБ-1. Следующим шагом стала спроектиро</w:t>
      </w:r>
      <w:r w:rsidRPr="00507A31">
        <w:rPr>
          <w:color w:val="000000" w:themeColor="text1"/>
          <w:sz w:val="16"/>
          <w:szCs w:val="16"/>
        </w:rPr>
        <w:softHyphen/>
        <w:t>ванная в 1931 г. десантная кабина КП-1, ко</w:t>
      </w:r>
      <w:r w:rsidRPr="00507A31">
        <w:rPr>
          <w:color w:val="000000" w:themeColor="text1"/>
          <w:sz w:val="16"/>
          <w:szCs w:val="16"/>
        </w:rPr>
        <w:softHyphen/>
        <w:t>торая подвешивалась под фюзеляж ТБ-1. Для посадки в кабину служил люк в полу ее носовой части. Через него же проводилось воздушное десантирование, а в доработан</w:t>
      </w:r>
      <w:r w:rsidRPr="00507A31">
        <w:rPr>
          <w:color w:val="000000" w:themeColor="text1"/>
          <w:sz w:val="16"/>
          <w:szCs w:val="16"/>
        </w:rPr>
        <w:softHyphen/>
        <w:t>ном варианте — и через хвостовой люк. Ка</w:t>
      </w:r>
      <w:r w:rsidRPr="00507A31">
        <w:rPr>
          <w:color w:val="000000" w:themeColor="text1"/>
          <w:sz w:val="16"/>
          <w:szCs w:val="16"/>
        </w:rPr>
        <w:softHyphen/>
        <w:t>бина поначалу была рассчитана на 16 чело</w:t>
      </w:r>
      <w:r w:rsidRPr="00507A31">
        <w:rPr>
          <w:color w:val="000000" w:themeColor="text1"/>
          <w:sz w:val="16"/>
          <w:szCs w:val="16"/>
        </w:rPr>
        <w:softHyphen/>
        <w:t>век, и в таком виде ее приняли на снабже</w:t>
      </w:r>
      <w:r w:rsidRPr="00507A31">
        <w:rPr>
          <w:color w:val="000000" w:themeColor="text1"/>
          <w:sz w:val="16"/>
          <w:szCs w:val="16"/>
        </w:rPr>
        <w:softHyphen/>
        <w:t>ние ВВС в сентябре 1932 г. Позднее количество десантников уменьшили до 12-14 человек. В 1932-33 гг. построили 50 КП-1. Кабины вполне подходили для выпол</w:t>
      </w:r>
      <w:r w:rsidRPr="00507A31">
        <w:rPr>
          <w:color w:val="000000" w:themeColor="text1"/>
          <w:sz w:val="16"/>
          <w:szCs w:val="16"/>
        </w:rPr>
        <w:softHyphen/>
        <w:t>нения возложенных задач и неоднократно использовались в ходе учений. Важным направлением деятельности коллектива Гроховского стала отработка так называемого метода срыва, позволив</w:t>
      </w:r>
      <w:r w:rsidRPr="00507A31">
        <w:rPr>
          <w:color w:val="000000" w:themeColor="text1"/>
          <w:sz w:val="16"/>
          <w:szCs w:val="16"/>
        </w:rPr>
        <w:softHyphen/>
        <w:t>шего во многом решить проблему десанти</w:t>
      </w:r>
      <w:r w:rsidRPr="00507A31">
        <w:rPr>
          <w:color w:val="000000" w:themeColor="text1"/>
          <w:sz w:val="16"/>
          <w:szCs w:val="16"/>
        </w:rPr>
        <w:softHyphen/>
        <w:t>рования крупногабаритных грузов на пара</w:t>
      </w:r>
      <w:r w:rsidRPr="00507A31">
        <w:rPr>
          <w:color w:val="000000" w:themeColor="text1"/>
          <w:sz w:val="16"/>
          <w:szCs w:val="16"/>
        </w:rPr>
        <w:softHyphen/>
        <w:t>шютах большого диаметра (20 и 40 м). По</w:t>
      </w:r>
      <w:r w:rsidRPr="00507A31">
        <w:rPr>
          <w:color w:val="000000" w:themeColor="text1"/>
          <w:sz w:val="16"/>
          <w:szCs w:val="16"/>
        </w:rPr>
        <w:softHyphen/>
        <w:t>сле нескольких опытов экспериментаторы пришли к выводу, что сначала следует рас</w:t>
      </w:r>
      <w:r w:rsidRPr="00507A31">
        <w:rPr>
          <w:color w:val="000000" w:themeColor="text1"/>
          <w:sz w:val="16"/>
          <w:szCs w:val="16"/>
        </w:rPr>
        <w:softHyphen/>
        <w:t>крывать парашют, а затем, когда он напол</w:t>
      </w:r>
      <w:r w:rsidRPr="00507A31">
        <w:rPr>
          <w:color w:val="000000" w:themeColor="text1"/>
          <w:sz w:val="16"/>
          <w:szCs w:val="16"/>
        </w:rPr>
        <w:softHyphen/>
        <w:t>нится, отцеплять замки груза. На практике раскрывшийся парашют сдергивал груз, т.е. решал вопрос расцепления с узлами подвески. В 1932-33 гг. в бюро Гроховского разработали и испытали ряд приспособле</w:t>
      </w:r>
      <w:r w:rsidRPr="00507A31">
        <w:rPr>
          <w:color w:val="000000" w:themeColor="text1"/>
          <w:sz w:val="16"/>
          <w:szCs w:val="16"/>
        </w:rPr>
        <w:softHyphen/>
        <w:t>ний для десантирования боевой техники та</w:t>
      </w:r>
      <w:r w:rsidRPr="00507A31">
        <w:rPr>
          <w:color w:val="000000" w:themeColor="text1"/>
          <w:sz w:val="16"/>
          <w:szCs w:val="16"/>
        </w:rPr>
        <w:softHyphen/>
        <w:t>ким методом. В том числе, «Грузовую клеть» (КГ) — коробчатый контейнер, рассчитан</w:t>
      </w:r>
      <w:r w:rsidRPr="00507A31">
        <w:rPr>
          <w:color w:val="000000" w:themeColor="text1"/>
          <w:sz w:val="16"/>
          <w:szCs w:val="16"/>
        </w:rPr>
        <w:softHyphen/>
        <w:t>ный на 700 кг груза. Позади КГ на держате</w:t>
      </w:r>
      <w:r w:rsidRPr="00507A31">
        <w:rPr>
          <w:color w:val="000000" w:themeColor="text1"/>
          <w:sz w:val="16"/>
          <w:szCs w:val="16"/>
        </w:rPr>
        <w:softHyphen/>
        <w:t>ле Дер-13 подвешивался цилиндр с грузо</w:t>
      </w:r>
      <w:r w:rsidRPr="00507A31">
        <w:rPr>
          <w:color w:val="000000" w:themeColor="text1"/>
          <w:sz w:val="16"/>
          <w:szCs w:val="16"/>
        </w:rPr>
        <w:softHyphen/>
        <w:t>вым парашютом диаметром 25 м. Точно та</w:t>
      </w:r>
      <w:r w:rsidRPr="00507A31">
        <w:rPr>
          <w:color w:val="000000" w:themeColor="text1"/>
          <w:sz w:val="16"/>
          <w:szCs w:val="16"/>
        </w:rPr>
        <w:softHyphen/>
        <w:t>кой же парашют использовался при сбрасывании контейнера ПД-М2, в котором размещались 2 мотоцикла «Харлей Дэвид</w:t>
      </w:r>
      <w:r w:rsidRPr="00507A31">
        <w:rPr>
          <w:color w:val="000000" w:themeColor="text1"/>
          <w:sz w:val="16"/>
          <w:szCs w:val="16"/>
        </w:rPr>
        <w:softHyphen/>
        <w:t>сон» с колясками. Прошли также испытания: установка ПД-О, предназначенная для подвески под фюзеляжем ТБ-1 одной 76-мм пушки образ</w:t>
      </w:r>
      <w:r w:rsidRPr="00507A31">
        <w:rPr>
          <w:color w:val="000000" w:themeColor="text1"/>
          <w:sz w:val="16"/>
          <w:szCs w:val="16"/>
        </w:rPr>
        <w:softHyphen/>
        <w:t>ца 1913 г., установка ПД-Т для аналогичной подвески танкетки «Карден-Ллойд» с пара</w:t>
      </w:r>
      <w:r w:rsidRPr="00507A31">
        <w:rPr>
          <w:color w:val="000000" w:themeColor="text1"/>
          <w:sz w:val="16"/>
          <w:szCs w:val="16"/>
        </w:rPr>
        <w:softHyphen/>
        <w:t>шютом диаметром 30 м, установка ПД-А для подвески полугрузового специально дора</w:t>
      </w:r>
      <w:r w:rsidRPr="00507A31">
        <w:rPr>
          <w:color w:val="000000" w:themeColor="text1"/>
          <w:sz w:val="16"/>
          <w:szCs w:val="16"/>
        </w:rPr>
        <w:softHyphen/>
        <w:t>ботанного автомобиля «Форд-А». Еще одна, казалось бы, совершенно су</w:t>
      </w:r>
      <w:r w:rsidRPr="00507A31">
        <w:rPr>
          <w:color w:val="000000" w:themeColor="text1"/>
          <w:sz w:val="16"/>
          <w:szCs w:val="16"/>
        </w:rPr>
        <w:softHyphen/>
        <w:t>масбродная идея, предусматривала беспа</w:t>
      </w:r>
      <w:r w:rsidRPr="00507A31">
        <w:rPr>
          <w:color w:val="000000" w:themeColor="text1"/>
          <w:sz w:val="16"/>
          <w:szCs w:val="16"/>
        </w:rPr>
        <w:softHyphen/>
        <w:t>рашютное десантирование с бреющего полета так называемого «авиабуса». Вариант этого агрегата, предназначенный для сбро</w:t>
      </w:r>
      <w:r w:rsidRPr="00507A31">
        <w:rPr>
          <w:color w:val="000000" w:themeColor="text1"/>
          <w:sz w:val="16"/>
          <w:szCs w:val="16"/>
        </w:rPr>
        <w:softHyphen/>
        <w:t>са на земную твердь, представлял собой специальную гондолу, оснащенную перед</w:t>
      </w:r>
      <w:r w:rsidRPr="00507A31">
        <w:rPr>
          <w:color w:val="000000" w:themeColor="text1"/>
          <w:sz w:val="16"/>
          <w:szCs w:val="16"/>
        </w:rPr>
        <w:softHyphen/>
        <w:t>ними колесами и задними тормозящими костылями. Для сброса на водную поверх</w:t>
      </w:r>
      <w:r w:rsidRPr="00507A31">
        <w:rPr>
          <w:color w:val="000000" w:themeColor="text1"/>
          <w:sz w:val="16"/>
          <w:szCs w:val="16"/>
        </w:rPr>
        <w:softHyphen/>
        <w:t>ность предполагалось использовать мотор</w:t>
      </w:r>
      <w:r w:rsidRPr="00507A31">
        <w:rPr>
          <w:color w:val="000000" w:themeColor="text1"/>
          <w:sz w:val="16"/>
          <w:szCs w:val="16"/>
        </w:rPr>
        <w:softHyphen/>
        <w:t>ную лодку, рассчитанную на 14 человек Первые опыты с небольшими «авиабусами» провели при помощи Р-5, а в 1932 г. летчик Анисимов сбросил более крупный объект с ГБ-1. В «авиабусе» лежали 2 наиболее отча</w:t>
      </w:r>
      <w:r w:rsidRPr="00507A31">
        <w:rPr>
          <w:color w:val="000000" w:themeColor="text1"/>
          <w:sz w:val="16"/>
          <w:szCs w:val="16"/>
        </w:rPr>
        <w:softHyphen/>
        <w:t>янных товарища: сам Гроховский и его по</w:t>
      </w:r>
      <w:r w:rsidRPr="00507A31">
        <w:rPr>
          <w:color w:val="000000" w:themeColor="text1"/>
          <w:sz w:val="16"/>
          <w:szCs w:val="16"/>
        </w:rPr>
        <w:softHyphen/>
        <w:t>мощник Титов. Пробежав в туче пыли не</w:t>
      </w:r>
      <w:r w:rsidRPr="00507A31">
        <w:rPr>
          <w:color w:val="000000" w:themeColor="text1"/>
          <w:sz w:val="16"/>
          <w:szCs w:val="16"/>
        </w:rPr>
        <w:softHyphen/>
        <w:t>сколько сот метров, эта адская колесница остановилась. Ее пассажиры отделались счастливо! В остальных опытах такие те</w:t>
      </w:r>
      <w:r w:rsidRPr="00507A31">
        <w:rPr>
          <w:color w:val="000000" w:themeColor="text1"/>
          <w:sz w:val="16"/>
          <w:szCs w:val="16"/>
        </w:rPr>
        <w:softHyphen/>
        <w:t>лежки, снаряженные только грузами, раз</w:t>
      </w:r>
      <w:r w:rsidRPr="00507A31">
        <w:rPr>
          <w:color w:val="000000" w:themeColor="text1"/>
          <w:sz w:val="16"/>
          <w:szCs w:val="16"/>
        </w:rPr>
        <w:softHyphen/>
        <w:t>летались в щепки. Остается только гадать почему Гроховский не применил в этих экс</w:t>
      </w:r>
      <w:r w:rsidRPr="00507A31">
        <w:rPr>
          <w:color w:val="000000" w:themeColor="text1"/>
          <w:sz w:val="16"/>
          <w:szCs w:val="16"/>
        </w:rPr>
        <w:softHyphen/>
        <w:t xml:space="preserve">периментах свой пресловутый метод срыва при помощи парашюта. Наверняка могло получиться. Имелись у </w:t>
      </w:r>
      <w:r w:rsidRPr="00507A31">
        <w:rPr>
          <w:color w:val="000000" w:themeColor="text1"/>
          <w:sz w:val="16"/>
          <w:szCs w:val="16"/>
        </w:rPr>
        <w:lastRenderedPageBreak/>
        <w:t>Гроховского и другие проек</w:t>
      </w:r>
      <w:r w:rsidRPr="00507A31">
        <w:rPr>
          <w:color w:val="000000" w:themeColor="text1"/>
          <w:sz w:val="16"/>
          <w:szCs w:val="16"/>
        </w:rPr>
        <w:softHyphen/>
        <w:t>ты использования ТБ-1. Например, букси</w:t>
      </w:r>
      <w:r w:rsidRPr="00507A31">
        <w:rPr>
          <w:color w:val="000000" w:themeColor="text1"/>
          <w:sz w:val="16"/>
          <w:szCs w:val="16"/>
        </w:rPr>
        <w:softHyphen/>
        <w:t>ровка планера Г-64 с полусотней десантни</w:t>
      </w:r>
      <w:r w:rsidRPr="00507A31">
        <w:rPr>
          <w:color w:val="000000" w:themeColor="text1"/>
          <w:sz w:val="16"/>
          <w:szCs w:val="16"/>
        </w:rPr>
        <w:softHyphen/>
        <w:t>ков на борту и автосцепка Г-35, предназна</w:t>
      </w:r>
      <w:r w:rsidRPr="00507A31">
        <w:rPr>
          <w:color w:val="000000" w:themeColor="text1"/>
          <w:sz w:val="16"/>
          <w:szCs w:val="16"/>
        </w:rPr>
        <w:softHyphen/>
        <w:t>ченная для буксировки одномоторного самолета. Последнее изобретение пред</w:t>
      </w:r>
      <w:r w:rsidRPr="00507A31">
        <w:rPr>
          <w:color w:val="000000" w:themeColor="text1"/>
          <w:sz w:val="16"/>
          <w:szCs w:val="16"/>
        </w:rPr>
        <w:softHyphen/>
        <w:t>назначалось для увеличения дальности по</w:t>
      </w:r>
      <w:r w:rsidRPr="00507A31">
        <w:rPr>
          <w:color w:val="000000" w:themeColor="text1"/>
          <w:sz w:val="16"/>
          <w:szCs w:val="16"/>
        </w:rPr>
        <w:softHyphen/>
        <w:t>лета, прежде всего, истребителей, способ</w:t>
      </w:r>
      <w:r w:rsidRPr="00507A31">
        <w:rPr>
          <w:color w:val="000000" w:themeColor="text1"/>
          <w:sz w:val="16"/>
          <w:szCs w:val="16"/>
        </w:rPr>
        <w:softHyphen/>
        <w:t>ных после отцепки осуществлять воздуш</w:t>
      </w:r>
      <w:r w:rsidRPr="00507A31">
        <w:rPr>
          <w:color w:val="000000" w:themeColor="text1"/>
          <w:sz w:val="16"/>
          <w:szCs w:val="16"/>
        </w:rPr>
        <w:softHyphen/>
        <w:t>ное прикрытие бомбардировщиков во время действий во вражеском тылу. Экспе</w:t>
      </w:r>
      <w:r w:rsidRPr="00507A31">
        <w:rPr>
          <w:color w:val="000000" w:themeColor="text1"/>
          <w:sz w:val="16"/>
          <w:szCs w:val="16"/>
        </w:rPr>
        <w:softHyphen/>
        <w:t>риментировать предполагалось с истреби</w:t>
      </w:r>
      <w:r w:rsidRPr="00507A31">
        <w:rPr>
          <w:color w:val="000000" w:themeColor="text1"/>
          <w:sz w:val="16"/>
          <w:szCs w:val="16"/>
        </w:rPr>
        <w:softHyphen/>
        <w:t>телем И-5, оборудованным специальным «кабаном» для подхвата в воздухе. По пути следования к цели ТБ-1 выпускал трос за который подцеплялся переоборудованный И-5. Далее истребитель выключал двига</w:t>
      </w:r>
      <w:r w:rsidRPr="00507A31">
        <w:rPr>
          <w:color w:val="000000" w:themeColor="text1"/>
          <w:sz w:val="16"/>
          <w:szCs w:val="16"/>
        </w:rPr>
        <w:softHyphen/>
        <w:t>тель и следовал на привязи до момента своего возможного использования (11286).</w:t>
      </w:r>
    </w:p>
    <w:p w14:paraId="5A107D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59A66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среди заводов, входящих в состав Авиатреста, были (9120):</w:t>
      </w:r>
    </w:p>
    <w:p w14:paraId="4F5D92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Самолетная группа</w:t>
      </w:r>
    </w:p>
    <w:p w14:paraId="53C66F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w:t>
      </w:r>
    </w:p>
    <w:p w14:paraId="7EADAC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Москва</w:t>
      </w:r>
    </w:p>
    <w:p w14:paraId="67AD2C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 им. Авиахима – Москва, 3-я ул. Ямского поля, 2</w:t>
      </w:r>
    </w:p>
    <w:p w14:paraId="799438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позже директор – Есятников В.М. (8826)</w:t>
      </w:r>
    </w:p>
    <w:p w14:paraId="463D08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22</w:t>
      </w:r>
    </w:p>
    <w:p w14:paraId="2E702F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Фили</w:t>
      </w:r>
    </w:p>
    <w:p w14:paraId="20E753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позже директор – Алахов Ф.С. (8826)</w:t>
      </w:r>
    </w:p>
    <w:p w14:paraId="658D32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23</w:t>
      </w:r>
    </w:p>
    <w:p w14:paraId="74CE97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Ленинград</w:t>
      </w:r>
    </w:p>
    <w:p w14:paraId="34A33E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Новая деревня, Строгановская набережная, 1</w:t>
      </w:r>
    </w:p>
    <w:p w14:paraId="75AD7E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позже директор - Авельев А.С. (8826)</w:t>
      </w:r>
    </w:p>
    <w:p w14:paraId="1BCFD6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25 (опытное самолетостроение)</w:t>
      </w:r>
    </w:p>
    <w:p w14:paraId="0F723F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Москва</w:t>
      </w:r>
    </w:p>
    <w:p w14:paraId="2CED08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Ленинградское шоссе, Авиационный пер., 5</w:t>
      </w:r>
    </w:p>
    <w:p w14:paraId="1C7251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позже директор – Горшков Я. А. (8826)</w:t>
      </w:r>
    </w:p>
    <w:p w14:paraId="68B248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31</w:t>
      </w:r>
    </w:p>
    <w:p w14:paraId="1A89E8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Таганрог</w:t>
      </w:r>
    </w:p>
    <w:p w14:paraId="37B709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позже директор Чекалов Д.И. (8826)</w:t>
      </w:r>
    </w:p>
    <w:p w14:paraId="03E8DC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Харьковский завод</w:t>
      </w:r>
    </w:p>
    <w:p w14:paraId="175054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Харьков, Сокольники (8826)</w:t>
      </w:r>
    </w:p>
    <w:p w14:paraId="7FB8D7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Моторная группа</w:t>
      </w:r>
    </w:p>
    <w:p w14:paraId="7133DF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24 им. Фрунзе</w:t>
      </w:r>
    </w:p>
    <w:p w14:paraId="6E0C40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Москва</w:t>
      </w:r>
    </w:p>
    <w:p w14:paraId="670DD9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Семеновская застава, Мейеровский проезд, 14</w:t>
      </w:r>
    </w:p>
    <w:p w14:paraId="196FE3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позже директор – Королев Г.Н. (8826)</w:t>
      </w:r>
    </w:p>
    <w:p w14:paraId="746908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26</w:t>
      </w:r>
    </w:p>
    <w:p w14:paraId="7C8794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Рыбинск</w:t>
      </w:r>
    </w:p>
    <w:p w14:paraId="785ECB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26 им. Павлова</w:t>
      </w:r>
    </w:p>
    <w:p w14:paraId="67C1DC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позже директор - Михайлов И.С. (8826)</w:t>
      </w:r>
    </w:p>
    <w:p w14:paraId="134623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29 – Запорожье, пл. Тараса Шевченко</w:t>
      </w:r>
    </w:p>
    <w:p w14:paraId="04C816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позже директор Мартыненко С.П. (8826)</w:t>
      </w:r>
    </w:p>
    <w:p w14:paraId="0B1629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Подсобные заводы</w:t>
      </w:r>
    </w:p>
    <w:p w14:paraId="6C3059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28 (винто-лыжный)</w:t>
      </w:r>
    </w:p>
    <w:p w14:paraId="15EEA4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Москва</w:t>
      </w:r>
    </w:p>
    <w:p w14:paraId="7F281A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ул. Грузинская, Столярный пер. 5</w:t>
      </w:r>
    </w:p>
    <w:p w14:paraId="409760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позже, директор – Васильев И.В. (8826)</w:t>
      </w:r>
    </w:p>
    <w:p w14:paraId="0A68F6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36 (аэролаков)</w:t>
      </w:r>
    </w:p>
    <w:p w14:paraId="77D20D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Москва</w:t>
      </w:r>
    </w:p>
    <w:p w14:paraId="506AB1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Дорогомиловская заст., Можайское шоссе, д. 114</w:t>
      </w:r>
    </w:p>
    <w:p w14:paraId="2836A9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позже директор – Кроль А.Е. (8826)</w:t>
      </w:r>
    </w:p>
    <w:p w14:paraId="540141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41 (лесопильный)</w:t>
      </w:r>
    </w:p>
    <w:p w14:paraId="4F453D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Москва</w:t>
      </w:r>
    </w:p>
    <w:p w14:paraId="2E4783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Марьина Роща, ул. Полковая, 41 (8826)</w:t>
      </w:r>
    </w:p>
    <w:p w14:paraId="0894E4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Ремонтные заводы</w:t>
      </w:r>
    </w:p>
    <w:p w14:paraId="52FE18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33</w:t>
      </w:r>
    </w:p>
    <w:p w14:paraId="790B16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Москва</w:t>
      </w:r>
    </w:p>
    <w:p w14:paraId="3967D0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Нижняя Масловка, 33 (8826)</w:t>
      </w:r>
    </w:p>
    <w:p w14:paraId="5EB4B4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35</w:t>
      </w:r>
    </w:p>
    <w:p w14:paraId="556A57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Смоленск</w:t>
      </w:r>
    </w:p>
    <w:p w14:paraId="6BA1A6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Покровская гора, аэродром (8826)</w:t>
      </w:r>
    </w:p>
    <w:p w14:paraId="338E0E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39</w:t>
      </w:r>
    </w:p>
    <w:p w14:paraId="6BD39D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Октябрьское поле</w:t>
      </w:r>
    </w:p>
    <w:p w14:paraId="304F7E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43</w:t>
      </w:r>
    </w:p>
    <w:p w14:paraId="74ADB2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Киев</w:t>
      </w:r>
    </w:p>
    <w:p w14:paraId="46A4F6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хутор Грушки (8826)</w:t>
      </w:r>
    </w:p>
    <w:p w14:paraId="418B69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45</w:t>
      </w:r>
    </w:p>
    <w:p w14:paraId="1C6ABE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Севастополь</w:t>
      </w:r>
    </w:p>
    <w:p w14:paraId="4611765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47</w:t>
      </w:r>
    </w:p>
    <w:p w14:paraId="26F5C0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Ленинград (9120)</w:t>
      </w:r>
    </w:p>
    <w:p w14:paraId="3CDFE6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Московская застава (8826)</w:t>
      </w:r>
    </w:p>
    <w:p w14:paraId="7488650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 года Территория «А» (бывш. завод № 482) завода № 240 занималась Центральными мастерскими «Добролет», перебазированными с Красноармейской улицы, д. 17.</w:t>
      </w:r>
    </w:p>
    <w:p w14:paraId="2F985F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Ремонтные мастерские в 1931 году были переименованы в Центральную авиационную ремонтную базу ГВФ (ЦАРБ). В 1932 году ремонтная база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 1. В октябре 1941 года филиал завода № 1 эвакуировался в Куйбышев. 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039F7C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1870B7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3748B3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7B2C68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71A2FD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Адрес: Москва, Д-167, Ленинградский проспект, д. 45 г, п/я 2418</w:t>
      </w:r>
    </w:p>
    <w:p w14:paraId="14E4C1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26D4419B" w14:textId="77777777" w:rsidR="00537E5F" w:rsidRPr="00507A31" w:rsidRDefault="00537E5F" w:rsidP="00507A31">
      <w:pPr>
        <w:autoSpaceDE w:val="0"/>
        <w:autoSpaceDN w:val="0"/>
        <w:adjustRightInd w:val="0"/>
        <w:jc w:val="both"/>
        <w:rPr>
          <w:color w:val="000000" w:themeColor="text1"/>
          <w:sz w:val="16"/>
          <w:szCs w:val="16"/>
        </w:rPr>
      </w:pPr>
    </w:p>
    <w:p w14:paraId="37E591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построен корпус самолетостроительного цеха ГАЗ-1 на новой территории - у Ходынского поля со стороны Боткинской больницы. Здесь же организованы заготовительные цеха. В 1930-33г. завод располагался на двух площадках. В 10.1931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Авиахима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 (11892).</w:t>
      </w:r>
    </w:p>
    <w:p w14:paraId="7D1566A9" w14:textId="77777777" w:rsidR="00537E5F" w:rsidRPr="00507A31" w:rsidRDefault="00537E5F" w:rsidP="00507A31">
      <w:pPr>
        <w:autoSpaceDE w:val="0"/>
        <w:autoSpaceDN w:val="0"/>
        <w:adjustRightInd w:val="0"/>
        <w:jc w:val="both"/>
        <w:rPr>
          <w:color w:val="000000" w:themeColor="text1"/>
          <w:sz w:val="16"/>
          <w:szCs w:val="16"/>
        </w:rPr>
      </w:pPr>
    </w:p>
    <w:p w14:paraId="391061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в системе ГВФ создан ООС под руководством А.И. Путилова для разработки и постройки самолета из нержавеющей стали «Сталь-2». Далее, по 1937 г., отдел работал как КБ при заводе № 62, затем- № 81. По приказу 1ГУ НКОП № 05 от 17.01.1937 г. А.И. Путилов назначен гл. инженером завода № 207. На самолете «Сталь-11» впервые в СССР были применены взлетно-посадочные щитки («щитки ЦАГИ»). Гл. конструктор (1930-37 г.)- А.И. Путилов.</w:t>
      </w:r>
    </w:p>
    <w:p w14:paraId="447A1C88"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Создано:</w:t>
      </w:r>
      <w:r w:rsidRPr="00507A31">
        <w:rPr>
          <w:color w:val="000000" w:themeColor="text1"/>
          <w:sz w:val="16"/>
          <w:szCs w:val="16"/>
        </w:rPr>
        <w:t xml:space="preserve"> самолеты: пассажирский «Сталь-2» (11.10.1931 г.), «Сталь-3» (1933), «Сталь-11» (1937) (11982).</w:t>
      </w:r>
    </w:p>
    <w:p w14:paraId="1BA578DB" w14:textId="77777777" w:rsidR="00537E5F" w:rsidRPr="00507A31" w:rsidRDefault="00537E5F" w:rsidP="00507A31">
      <w:pPr>
        <w:autoSpaceDE w:val="0"/>
        <w:autoSpaceDN w:val="0"/>
        <w:adjustRightInd w:val="0"/>
        <w:jc w:val="both"/>
        <w:rPr>
          <w:color w:val="000000" w:themeColor="text1"/>
          <w:sz w:val="16"/>
          <w:szCs w:val="16"/>
        </w:rPr>
      </w:pPr>
    </w:p>
    <w:p w14:paraId="361A2F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завершилась частично реконструкция завода 1 (80,425).</w:t>
      </w:r>
    </w:p>
    <w:p w14:paraId="259054A5" w14:textId="77777777" w:rsidR="00537E5F" w:rsidRPr="00507A31" w:rsidRDefault="00537E5F" w:rsidP="00507A31">
      <w:pPr>
        <w:autoSpaceDE w:val="0"/>
        <w:autoSpaceDN w:val="0"/>
        <w:adjustRightInd w:val="0"/>
        <w:jc w:val="both"/>
        <w:rPr>
          <w:color w:val="000000" w:themeColor="text1"/>
          <w:sz w:val="16"/>
          <w:szCs w:val="16"/>
        </w:rPr>
      </w:pPr>
    </w:p>
    <w:p w14:paraId="2D0C17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БОК был образовано при ЦАГИ. По приказу ГУАП от 13.01.1933 г. БОК было передано в ЦКБ, действовало в качестве бригады № 3 ЦКБ, в 1934-38 г. - на заводе № 35 в Смоленске. С 1938 г. БОК- в составе КБ- 29. С 9.02.1938 г. по 30.01.1939 г. Чижевский возглавлял КБ-29, затем арестован, по 1941 г. работал в СТО у Туполева, затем- в его ОКБ.</w:t>
      </w:r>
    </w:p>
    <w:p w14:paraId="43EDA5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1940 г. в БОК влилась конструкторская группа А .Я. Щербакова. В 1940 г. работники БОК вошли в состав ОКБ П.О. Сухого на заводе № 289.</w:t>
      </w:r>
    </w:p>
    <w:p w14:paraId="0F0039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разное время в БОК работали: Н.И. Камов (при ЦАГИ), С.М. Лавочкин, Б.И. Черановский {13.07.1896- 17.12.1960} (работал и в 1946 г.), АЛ. Щербаков.</w:t>
      </w:r>
    </w:p>
    <w:p w14:paraId="16A4B1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(1931-39 г.)- В.А. Чижевский (репрессирован), (1939 г.-)- Н.Н. Каштанов.</w:t>
      </w:r>
    </w:p>
    <w:p w14:paraId="4741D3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(1933 г.)- Н.Н. Каштанов.</w:t>
      </w:r>
    </w:p>
    <w:p w14:paraId="435BCD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Создано: экспериментальные и рекордные самолеты: первый советский стратосферный БОК-1 (13.12.1935 г.), БОК-2, БОК-5, БОК-7, БОК-8, БОК-11 (1940), стратосферный БОК-15 (12.03.1940 г.), БОК-17 (1939), изд. «32», «34», стратосферный планер СП-1;</w:t>
      </w:r>
    </w:p>
    <w:p w14:paraId="33E8DA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герметичная гондола БОК-9 для стратостата «СССР-1», стратостаты «СССР-2», «СССР-3» (1934-35) (11982).</w:t>
      </w:r>
    </w:p>
    <w:p w14:paraId="07062520" w14:textId="77777777" w:rsidR="00537E5F" w:rsidRPr="00507A31" w:rsidRDefault="00537E5F" w:rsidP="00507A31">
      <w:pPr>
        <w:autoSpaceDE w:val="0"/>
        <w:autoSpaceDN w:val="0"/>
        <w:adjustRightInd w:val="0"/>
        <w:jc w:val="both"/>
        <w:rPr>
          <w:color w:val="000000" w:themeColor="text1"/>
          <w:sz w:val="16"/>
          <w:szCs w:val="16"/>
        </w:rPr>
      </w:pPr>
    </w:p>
    <w:p w14:paraId="11CAE2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ввиду отсутствия мощного отечественного мотора воздушного охлаждения для истребительной авиации, заводу № 29 поручили освоить производство двигателя Бристоль "Юпитер-VІ" по лицензии французской фирмы "Гном-Рон". В ходе этой работы мотор получил обозначение М-22. Возглавляемое А.С. Назаровым КБ завода обеспечило освоение серийного производства этого двигателя и создание его модификаций для установки на 25 типов самолетов военной и гражданской авиации, среди которых такие известные, как И-15, И-16 и др. Необходимо отметить, что большой вклад в освоение производства и доводку двигателей М-11 и М-22 внес работавший в тесном контакте с А.С. Назаровым начальник испытательной станции, а затем технический директор завода В.Я. Климов, которого судьба снова свела с запорожским моторным заводом (11478).</w:t>
      </w:r>
    </w:p>
    <w:p w14:paraId="2F4D7F6F" w14:textId="77777777" w:rsidR="00537E5F" w:rsidRPr="00507A31" w:rsidRDefault="00537E5F" w:rsidP="00507A31">
      <w:pPr>
        <w:autoSpaceDE w:val="0"/>
        <w:autoSpaceDN w:val="0"/>
        <w:adjustRightInd w:val="0"/>
        <w:jc w:val="both"/>
        <w:rPr>
          <w:color w:val="000000" w:themeColor="text1"/>
          <w:sz w:val="16"/>
          <w:szCs w:val="16"/>
        </w:rPr>
      </w:pPr>
    </w:p>
    <w:p w14:paraId="4B1E7F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был закуплен Испано-Сюиза и на его основе В.Я.Климов сделал серию (71,138).</w:t>
      </w:r>
    </w:p>
    <w:p w14:paraId="6C1B55FC" w14:textId="77777777" w:rsidR="00537E5F" w:rsidRPr="00507A31" w:rsidRDefault="00537E5F" w:rsidP="00507A31">
      <w:pPr>
        <w:autoSpaceDE w:val="0"/>
        <w:autoSpaceDN w:val="0"/>
        <w:adjustRightInd w:val="0"/>
        <w:jc w:val="both"/>
        <w:rPr>
          <w:color w:val="000000" w:themeColor="text1"/>
          <w:sz w:val="16"/>
          <w:szCs w:val="16"/>
        </w:rPr>
      </w:pPr>
    </w:p>
    <w:p w14:paraId="6FBEA0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1930 г. работы по М-34 перенесли сначала в Винтомоторный отдел ЦАГИ, а затем в только что создан</w:t>
      </w:r>
      <w:r w:rsidRPr="00507A31">
        <w:rPr>
          <w:color w:val="000000" w:themeColor="text1"/>
          <w:sz w:val="16"/>
          <w:szCs w:val="16"/>
        </w:rPr>
        <w:softHyphen/>
        <w:t>ный Институт авиационного моторостроения (НАМ, по</w:t>
      </w:r>
      <w:r w:rsidRPr="00507A31">
        <w:rPr>
          <w:color w:val="000000" w:themeColor="text1"/>
          <w:sz w:val="16"/>
          <w:szCs w:val="16"/>
        </w:rPr>
        <w:softHyphen/>
        <w:t>зднее ЦИАМ). Туда перешел и Микулин (11848).</w:t>
      </w:r>
    </w:p>
    <w:p w14:paraId="7F2232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E015D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параллельно с М-34 в НАМИ, а затем в ИАМ разрабатывался унифи</w:t>
      </w:r>
      <w:r w:rsidRPr="00507A31">
        <w:rPr>
          <w:color w:val="000000" w:themeColor="text1"/>
          <w:sz w:val="16"/>
          <w:szCs w:val="16"/>
        </w:rPr>
        <w:softHyphen/>
        <w:t>цированный с ним однорядный двигатель М-33. Возможно, потом этот проект частично использовали в моторе М-52.</w:t>
      </w:r>
    </w:p>
    <w:p w14:paraId="757431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05A88C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б-цилиндровый рядный, четырехтактный, водяного охлаждения;</w:t>
      </w:r>
    </w:p>
    <w:p w14:paraId="2E2C69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160/190 мм;</w:t>
      </w:r>
    </w:p>
    <w:p w14:paraId="78DC40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400 л.с. (11852).</w:t>
      </w:r>
    </w:p>
    <w:p w14:paraId="34A5CB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7836C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 г. под руководством А.А. Микулина для тяже</w:t>
      </w:r>
      <w:r w:rsidRPr="00507A31">
        <w:rPr>
          <w:color w:val="000000" w:themeColor="text1"/>
          <w:sz w:val="16"/>
          <w:szCs w:val="16"/>
        </w:rPr>
        <w:softHyphen/>
        <w:t>лых самолетов в качестве альтернативы М-44 разрабатывался М-35. Последовательно прораба</w:t>
      </w:r>
      <w:r w:rsidRPr="00507A31">
        <w:rPr>
          <w:color w:val="000000" w:themeColor="text1"/>
          <w:sz w:val="16"/>
          <w:szCs w:val="16"/>
        </w:rPr>
        <w:softHyphen/>
        <w:t xml:space="preserve">тывались несколько вариантов компоновки такого мотора: 18-цилиндровый </w:t>
      </w:r>
      <w:r w:rsidRPr="00507A31">
        <w:rPr>
          <w:color w:val="000000" w:themeColor="text1"/>
          <w:sz w:val="16"/>
          <w:szCs w:val="16"/>
          <w:lang w:val="en-US"/>
        </w:rPr>
        <w:t>W</w:t>
      </w:r>
      <w:r w:rsidRPr="00507A31">
        <w:rPr>
          <w:color w:val="000000" w:themeColor="text1"/>
          <w:sz w:val="16"/>
          <w:szCs w:val="16"/>
        </w:rPr>
        <w:t>-образный (три блока от М-34, 1250/1350 л.с.), 24-пилиндровый Х-образный (четыре блока от М-34) и 12-цилиндровый У-образный с ци</w:t>
      </w:r>
      <w:r w:rsidRPr="00507A31">
        <w:rPr>
          <w:color w:val="000000" w:themeColor="text1"/>
          <w:sz w:val="16"/>
          <w:szCs w:val="16"/>
        </w:rPr>
        <w:softHyphen/>
        <w:t>линдрами большой размерности. Ни один из них не мог удовлетворить требованиям задания. По плану заводские испытания должны были на</w:t>
      </w:r>
      <w:r w:rsidRPr="00507A31">
        <w:rPr>
          <w:color w:val="000000" w:themeColor="text1"/>
          <w:sz w:val="16"/>
          <w:szCs w:val="16"/>
        </w:rPr>
        <w:softHyphen/>
        <w:t>чаться с 1 апреля 1933 г. Проект был признан неудачным в 1932 г., работы прекращены. Опытные образцы не строились.</w:t>
      </w:r>
    </w:p>
    <w:p w14:paraId="67F7ED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Планировалось использовать эти двигатели на самолетах ТБ-4 и АНТ-20. Под обозначением М-35 известен также двигатель-дизель 1947 г. (11852)</w:t>
      </w:r>
    </w:p>
    <w:p w14:paraId="2D56F4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BE0F5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ввиду отсутствия мощного отечественного мотора воздушного охлаждения для истребительной авиации, заводу № 29 поручили освоить производство двигателя Бристоль "Юпитер-VІ" по лицензии французской фирмы "Гном-Рон". В ходе этой работы мотор получил обозначение М-22. Возглавляемое А.С. Назаровым КБ завода обеспечило освоение серийного производства этого двигателя и создание его модификаций для установки на 25 типов самолетов военной и гражданской авиации, среди которых такие известные, как И-15, И-16 и др.</w:t>
      </w:r>
    </w:p>
    <w:p w14:paraId="0028A3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Необходимо отметить, что большой вклад в освоение производства и доводку двигателей М-11 и М-22 внес работавший в тесном контакте с А.С. Назаровым начальник испытательной станции, а затем технический директор завода В.Я. Климов, которого судьба снова свела с запорожским моторным заводом.</w:t>
      </w:r>
    </w:p>
    <w:p w14:paraId="3219B9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связи с необходимостью разработки новых двигателей для учебной, спортивной и гражданской авиации на базе спроектированной конструкторами КБ завода цилиндропоршневой группы мотора М-11 в период с 1930 по 1933 гг. создается целое семейство опытных звездообразных двигателей: трехцилиндровый 3М-11 (65 л.с.), пятицилиндровый М-51 (150 л.с.), семицилиндровый М-48 (220 л.с.) и девятицилиндровый М-49 (280 л.с.).</w:t>
      </w:r>
    </w:p>
    <w:p w14:paraId="1FFD43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Важной особенностью двух последних моторов являлось оснащение их приводными центробежными нагнетателями (ПЦН), что было сделано впервые в Советском Союзе на маломощных авиамоторах (11559).</w:t>
      </w:r>
    </w:p>
    <w:p w14:paraId="520D047F" w14:textId="77777777" w:rsidR="00537E5F" w:rsidRPr="00507A31" w:rsidRDefault="00537E5F" w:rsidP="00507A31">
      <w:pPr>
        <w:autoSpaceDE w:val="0"/>
        <w:autoSpaceDN w:val="0"/>
        <w:adjustRightInd w:val="0"/>
        <w:jc w:val="both"/>
        <w:rPr>
          <w:color w:val="000000" w:themeColor="text1"/>
          <w:sz w:val="16"/>
          <w:szCs w:val="16"/>
        </w:rPr>
      </w:pPr>
    </w:p>
    <w:p w14:paraId="587256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был пущен завод 26 в Рыбинске. Стали строить моторные заводы 19 в Перми и 16 в Воронеже под воздушного охлаждения (80,428).</w:t>
      </w:r>
    </w:p>
    <w:p w14:paraId="3561C91B" w14:textId="77777777" w:rsidR="00537E5F" w:rsidRPr="00507A31" w:rsidRDefault="00537E5F" w:rsidP="00507A31">
      <w:pPr>
        <w:autoSpaceDE w:val="0"/>
        <w:autoSpaceDN w:val="0"/>
        <w:adjustRightInd w:val="0"/>
        <w:jc w:val="both"/>
        <w:rPr>
          <w:color w:val="000000" w:themeColor="text1"/>
          <w:sz w:val="16"/>
          <w:szCs w:val="16"/>
        </w:rPr>
      </w:pPr>
    </w:p>
    <w:p w14:paraId="036CDD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 на заводе № 24 работало КБ по освоению серии мотора М-17, а затем, с конца 1931 г., М-34. Гл. конструктором по серии М-34 с 12.1934 г. был В.А. Добрынин, под его руководством в КБ создана модификация М-34ФРН. Далее с 1936 г. работы по М-34 были переданы из ЦИАМ на завод № 24 и создатель двигателя, А.А. Микулин, возглавил ОКБ завода (в 1937 г. называлось ОКУ завода). В 1936 г. моторам, разработанным в КБ, присвоено имя А.А. Микулина (после перелета В.П. Чкалова на АНТ-25 по маршруту Москва - остров Удд).</w:t>
      </w:r>
    </w:p>
    <w:p w14:paraId="02872A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43сс от 7.02.1938 г. было организовано ОКБ завода в составе трех конструкторских групп (группа А.А. Микулина по АМ-34ФРН; группа К.С. Гегечкори по мотору ГМ-34; группа В.А. Добрынина по М-62) и ППО.</w:t>
      </w:r>
    </w:p>
    <w:p w14:paraId="16669BE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Разработаны в предвоенные годы и в начале ВОВ опытные авиамоторы АМ-35НВ, АМ-36, АМ-37 (1940 г.), АМ-38ТК, АМ-38Ф, АМ-39, АМ-42.</w:t>
      </w:r>
    </w:p>
    <w:p w14:paraId="7977EE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422 от 7.08.1941 г. двигатель АМ-37 пнв.</w:t>
      </w:r>
    </w:p>
    <w:p w14:paraId="08F8E5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1941 г. ОКБ эвакуировано вместе с заводом в  г. Куйбышев на площадку завода № 337 НКАП.</w:t>
      </w:r>
    </w:p>
    <w:p w14:paraId="4F7AE0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Летом 1942 г. под руководством В.И. Поликовского разработан и внедрен в серию воздушный фильтр для двигателя АМ-38.</w:t>
      </w:r>
    </w:p>
    <w:p w14:paraId="37F254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НКАП № 925с от 31.12.1942 г. при заводе № 45 НКАП образован филиал ОКБ завода № 24 из числа бывших работников завода № 24 (25 чел.) для проведения испытаний и доводки мотора АМ-42.</w:t>
      </w:r>
    </w:p>
    <w:p w14:paraId="669ABD4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НКАП № 118сс от 25.02.1943 г. для обеспечения опытно-конструкторских работ гл. конструктора А .А. Ми кули на образован новый опытный завод № 300 НКАП, куда перешел основной конструкторский коллектив и оборудование ОКБ-24. На заводе № 24 оставлен филиал завода № 300 дня помощи серийному производству.</w:t>
      </w:r>
    </w:p>
    <w:p w14:paraId="595D7D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(07.1937 г.)- А.А. Микулин; и.о. (28.01.1938 г.-)- К.В. Новиков.</w:t>
      </w:r>
    </w:p>
    <w:p w14:paraId="72B2F6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(12.1934-36 г.)- В.А. Добрынин, (1936-38; -1943 г.)- А.А. Микулин.</w:t>
      </w:r>
    </w:p>
    <w:p w14:paraId="569759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конструкторы: (01.1938 г.)- А.А. Микулин (АМ-34ФРН).</w:t>
      </w:r>
    </w:p>
    <w:p w14:paraId="0745BD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Начальники групп: (1941-43 г.)- П.Ф. Зубец (11982).</w:t>
      </w:r>
    </w:p>
    <w:p w14:paraId="198EB412" w14:textId="77777777" w:rsidR="00537E5F" w:rsidRPr="00507A31" w:rsidRDefault="00537E5F" w:rsidP="00507A31">
      <w:pPr>
        <w:autoSpaceDE w:val="0"/>
        <w:autoSpaceDN w:val="0"/>
        <w:adjustRightInd w:val="0"/>
        <w:jc w:val="both"/>
        <w:rPr>
          <w:color w:val="000000" w:themeColor="text1"/>
          <w:sz w:val="16"/>
          <w:szCs w:val="16"/>
        </w:rPr>
      </w:pPr>
    </w:p>
    <w:p w14:paraId="129EC7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 г. М.Р. Флиский работал на заводе № 24, с 1941 г. он являлся зам. гл. конструктора завода № 24, до 1953 г. был гл. конструктором завода.</w:t>
      </w:r>
    </w:p>
    <w:p w14:paraId="704B92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войны в ОКБ-24 велись работы по опытным поршневым моторам АМ-42ФНВ, М-43, М-45, М-45Ф.</w:t>
      </w:r>
    </w:p>
    <w:p w14:paraId="1E2E66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(1944-53 г.)- М.Р. Флисский (11982).</w:t>
      </w:r>
    </w:p>
    <w:p w14:paraId="7512660C" w14:textId="77777777" w:rsidR="00537E5F" w:rsidRPr="00507A31" w:rsidRDefault="00537E5F" w:rsidP="00507A31">
      <w:pPr>
        <w:autoSpaceDE w:val="0"/>
        <w:autoSpaceDN w:val="0"/>
        <w:adjustRightInd w:val="0"/>
        <w:jc w:val="both"/>
        <w:rPr>
          <w:color w:val="000000" w:themeColor="text1"/>
          <w:sz w:val="16"/>
          <w:szCs w:val="16"/>
        </w:rPr>
      </w:pPr>
    </w:p>
    <w:p w14:paraId="5DE1BF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Ф.А.Цандер построил реактивный двигатель ОР-1 (271,123).</w:t>
      </w:r>
    </w:p>
    <w:p w14:paraId="3888664E" w14:textId="77777777" w:rsidR="00537E5F" w:rsidRPr="00507A31" w:rsidRDefault="00537E5F" w:rsidP="00507A31">
      <w:pPr>
        <w:autoSpaceDE w:val="0"/>
        <w:autoSpaceDN w:val="0"/>
        <w:adjustRightInd w:val="0"/>
        <w:jc w:val="both"/>
        <w:rPr>
          <w:color w:val="000000" w:themeColor="text1"/>
          <w:sz w:val="16"/>
          <w:szCs w:val="16"/>
        </w:rPr>
      </w:pPr>
    </w:p>
    <w:p w14:paraId="63C98CB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на Комендантском аэродроме под Ленинградом испытывали пороховые ускорители сначала на У-1, а затем на ТБ-1. Ускорители были запатентованы В.И.Дудаковым и В.А.Константиновым в 1928 и идея была реализована в ГДЛ. На ТБ-1 ставили шесть ускорителей в 1933-1934 по три с двух сторон от фюзеляжа в месте стыка центроплана с консолями (346,17). ТБ-1 были N 614 и 726 (2782,24).</w:t>
      </w:r>
    </w:p>
    <w:p w14:paraId="4627FBCE" w14:textId="77777777" w:rsidR="00537E5F" w:rsidRPr="00507A31" w:rsidRDefault="00537E5F" w:rsidP="00507A31">
      <w:pPr>
        <w:autoSpaceDE w:val="0"/>
        <w:autoSpaceDN w:val="0"/>
        <w:adjustRightInd w:val="0"/>
        <w:jc w:val="both"/>
        <w:rPr>
          <w:color w:val="000000" w:themeColor="text1"/>
          <w:sz w:val="16"/>
          <w:szCs w:val="16"/>
        </w:rPr>
      </w:pPr>
    </w:p>
    <w:p w14:paraId="06F3F7F0" w14:textId="77777777" w:rsidR="004D535A" w:rsidRPr="00507A31" w:rsidRDefault="004D535A" w:rsidP="00507A31">
      <w:pPr>
        <w:jc w:val="both"/>
        <w:rPr>
          <w:color w:val="000000" w:themeColor="text1"/>
          <w:sz w:val="16"/>
          <w:szCs w:val="16"/>
        </w:rPr>
      </w:pPr>
      <w:r w:rsidRPr="00507A31">
        <w:rPr>
          <w:color w:val="000000" w:themeColor="text1"/>
          <w:sz w:val="16"/>
          <w:szCs w:val="16"/>
        </w:rPr>
        <w:t>В 1930 г. Дудакова для реализации его замыслов направили на работу в Газодинамическую лабораторию (ГДЛ) в Ленинграде, где занимались созданием и испытаниями ракет. По указанию командующего Ленинградским военным округом М.Н. Тухачевского в ГДЛ передали учебный биплан У-1 и выделили для опытов лётчика-инструктора С.И. Мухина и авиатехника А.А. Грицкевича.</w:t>
      </w:r>
    </w:p>
    <w:p w14:paraId="587B6D74" w14:textId="77777777" w:rsidR="004D535A" w:rsidRPr="00507A31" w:rsidRDefault="004D535A" w:rsidP="00507A31">
      <w:pPr>
        <w:jc w:val="both"/>
        <w:rPr>
          <w:color w:val="000000" w:themeColor="text1"/>
          <w:sz w:val="16"/>
          <w:szCs w:val="16"/>
        </w:rPr>
      </w:pPr>
      <w:r w:rsidRPr="00507A31">
        <w:rPr>
          <w:color w:val="000000" w:themeColor="text1"/>
          <w:sz w:val="16"/>
          <w:szCs w:val="16"/>
        </w:rPr>
        <w:t>В.И. Дудаков вспоминал: «Самолёт У-1 — биплан, деревянный, с полотняной обшивкой крыльев и фюзеляжа. Возникла проблема — какой РД (ракетный двигатель. — Д.С.) поставить в качестве ускорителя взлёта? Применение ЖРД исключалось, так как в 1930 году не было надёжно действующих ЖРД. Кроме того, оборудование ЖРД очень сложно и трудно в эксплуатации. Поэтому в качестве ускорителя был принят РД на твёрдом топливе. Применение пороха на твёрдом растворителе, предложенного Н.И. Тихомировым, позволило получить надёжно действующий РД, обладающий высокими показателями в работе. Конструкция РД была разработана Е.С. Петровым под руководством Б.С. Петропавловского.</w:t>
      </w:r>
    </w:p>
    <w:p w14:paraId="1222EEFC" w14:textId="77777777" w:rsidR="004D535A" w:rsidRPr="00507A31" w:rsidRDefault="004D535A" w:rsidP="00507A31">
      <w:pPr>
        <w:jc w:val="both"/>
        <w:rPr>
          <w:color w:val="000000" w:themeColor="text1"/>
          <w:sz w:val="16"/>
          <w:szCs w:val="16"/>
        </w:rPr>
      </w:pPr>
      <w:r w:rsidRPr="00507A31">
        <w:rPr>
          <w:color w:val="000000" w:themeColor="text1"/>
          <w:sz w:val="16"/>
          <w:szCs w:val="16"/>
        </w:rPr>
        <w:t xml:space="preserve">Поставить РД в хвост фюзеляжа на самолёте У-1 было нельзя, так как фюзеляж этого самолёта не был рассчитан на большую осевую силу. Поэтому была принята установка РД на крыле самолёта. Анализ процесса взлёта показал, что реактивная сила РД должна проходить ниже центра тяжести самолёта, в противном случае было возможно капотирование при разбеге. Поэтому была принята установка двух РД на нижнем крыле самолёта. Действующая сила была значительной — до 1,5 веса самолёта. Пришлось подкрепить крыло на действие горизонтальной силы» </w:t>
      </w:r>
      <w:hyperlink r:id="rId189" w:history="1">
        <w:r w:rsidRPr="00507A31">
          <w:rPr>
            <w:color w:val="000000" w:themeColor="text1"/>
            <w:sz w:val="16"/>
            <w:szCs w:val="16"/>
          </w:rPr>
          <w:t>[64]</w:t>
        </w:r>
      </w:hyperlink>
      <w:r w:rsidRPr="00507A31">
        <w:rPr>
          <w:color w:val="000000" w:themeColor="text1"/>
          <w:sz w:val="16"/>
          <w:szCs w:val="16"/>
        </w:rPr>
        <w:t>.</w:t>
      </w:r>
    </w:p>
    <w:p w14:paraId="6136E5FA" w14:textId="77777777" w:rsidR="004D535A" w:rsidRPr="00507A31" w:rsidRDefault="004D535A" w:rsidP="00507A31">
      <w:pPr>
        <w:jc w:val="both"/>
        <w:rPr>
          <w:color w:val="000000" w:themeColor="text1"/>
          <w:sz w:val="16"/>
          <w:szCs w:val="16"/>
        </w:rPr>
      </w:pPr>
      <w:r w:rsidRPr="00507A31">
        <w:rPr>
          <w:color w:val="000000" w:themeColor="text1"/>
          <w:sz w:val="16"/>
          <w:szCs w:val="16"/>
        </w:rPr>
        <w:t>Воспламенение заряда осуществлялось спиралью, накалявшейся под действием электротока. Чтобы оба двигателя начинали работать синхронно, применили так называемую систему огневой связи — камеры сгорания соединили стальными трубками, по которым пламя из одного ускорителя попадало в другой.</w:t>
      </w:r>
    </w:p>
    <w:p w14:paraId="12219D03" w14:textId="77777777" w:rsidR="004D535A" w:rsidRPr="00507A31" w:rsidRDefault="004D535A" w:rsidP="00507A31">
      <w:pPr>
        <w:jc w:val="both"/>
        <w:rPr>
          <w:color w:val="000000" w:themeColor="text1"/>
          <w:sz w:val="16"/>
          <w:szCs w:val="16"/>
        </w:rPr>
      </w:pPr>
      <w:r w:rsidRPr="00507A31">
        <w:rPr>
          <w:color w:val="000000" w:themeColor="text1"/>
          <w:sz w:val="16"/>
          <w:szCs w:val="16"/>
        </w:rPr>
        <w:t>Испытания У-1 с ускорителями проходили в 1931 г. на Комендантском аэродроме. Было сделано около 100 взлётов. Подняться в воздух удавалось очень быстро, почти без разбега. Самолёт пилотировал С.И. Мухин, на втором сидении находился В.И. Дудаков. Это были первые в мире старты самолёта на колёсном шасси с использованием реактивных ускорителей (17489).</w:t>
      </w:r>
    </w:p>
    <w:p w14:paraId="2E9132DD" w14:textId="77777777" w:rsidR="004D535A" w:rsidRPr="00507A31" w:rsidRDefault="004D535A" w:rsidP="00507A31">
      <w:pPr>
        <w:jc w:val="both"/>
        <w:rPr>
          <w:color w:val="000000" w:themeColor="text1"/>
          <w:sz w:val="16"/>
          <w:szCs w:val="16"/>
        </w:rPr>
      </w:pPr>
    </w:p>
    <w:p w14:paraId="135919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Куйбышевское АПО берет начало от завода 18, эвакуированного из Воронежа, где он был создан в 1930, на территорию завода 295. Сделал 18200 Ил-2 и 5172 Ил-10 за войну (62,300).</w:t>
      </w:r>
    </w:p>
    <w:p w14:paraId="5C3A25E9" w14:textId="77777777" w:rsidR="00537E5F" w:rsidRPr="00507A31" w:rsidRDefault="00537E5F" w:rsidP="00507A31">
      <w:pPr>
        <w:autoSpaceDE w:val="0"/>
        <w:autoSpaceDN w:val="0"/>
        <w:adjustRightInd w:val="0"/>
        <w:jc w:val="both"/>
        <w:rPr>
          <w:color w:val="000000" w:themeColor="text1"/>
          <w:sz w:val="16"/>
          <w:szCs w:val="16"/>
        </w:rPr>
      </w:pPr>
    </w:p>
    <w:p w14:paraId="3DCD3A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на ЦА испытали два немецких ПБ К-47 и есть сведления, что еще три испытывали в Липецке в т.ч. с пикирования (4961, 32).</w:t>
      </w:r>
    </w:p>
    <w:p w14:paraId="05447F51" w14:textId="77777777" w:rsidR="00537E5F" w:rsidRPr="00507A31" w:rsidRDefault="00537E5F" w:rsidP="00507A31">
      <w:pPr>
        <w:autoSpaceDE w:val="0"/>
        <w:autoSpaceDN w:val="0"/>
        <w:adjustRightInd w:val="0"/>
        <w:jc w:val="both"/>
        <w:rPr>
          <w:color w:val="000000" w:themeColor="text1"/>
          <w:sz w:val="16"/>
          <w:szCs w:val="16"/>
        </w:rPr>
      </w:pPr>
    </w:p>
    <w:p w14:paraId="2FD4FA21" w14:textId="77777777" w:rsidR="004D535A" w:rsidRPr="00507A31" w:rsidRDefault="004D535A" w:rsidP="00507A31">
      <w:pPr>
        <w:jc w:val="both"/>
        <w:rPr>
          <w:color w:val="000000" w:themeColor="text1"/>
          <w:sz w:val="16"/>
          <w:szCs w:val="16"/>
        </w:rPr>
      </w:pPr>
      <w:r w:rsidRPr="00507A31">
        <w:rPr>
          <w:color w:val="000000" w:themeColor="text1"/>
          <w:sz w:val="16"/>
          <w:szCs w:val="16"/>
        </w:rPr>
        <w:t>В 1930 году в НИИ ВВС был объявлен конкурс на летающую мишень. Вахмистров такую мишень сделал и смонтировав на Р-1. Небольшя модель размахом примерно около метра после отцепления представляла собой мишень, по которой можно было вести огонь… Модель отцеплялась через тягу с места лётчика-наблюдателя. Вахмистров сам отцеплял её в воздухе. Модель, отделившись от самолёта, подобно бумажному голубю делала в воздухе разные пируэты, что повышало её ценность как мишени.</w:t>
      </w:r>
    </w:p>
    <w:p w14:paraId="188C8434" w14:textId="77777777" w:rsidR="004D535A" w:rsidRPr="00507A31" w:rsidRDefault="004D535A" w:rsidP="00507A31">
      <w:pPr>
        <w:jc w:val="both"/>
        <w:rPr>
          <w:color w:val="000000" w:themeColor="text1"/>
          <w:sz w:val="16"/>
          <w:szCs w:val="16"/>
        </w:rPr>
      </w:pPr>
      <w:r w:rsidRPr="00507A31">
        <w:rPr>
          <w:color w:val="000000" w:themeColor="text1"/>
          <w:sz w:val="16"/>
          <w:szCs w:val="16"/>
        </w:rPr>
        <w:t xml:space="preserve">Вахмистров был в то время начальником отдела испытаний тяжелых самолётов. В это время испытывал ТБ-1. Одновременно проводились испытания самолёта-истребителя И-4, построенного Путиловым под руководством А.Н. Туполева. После успешных испытаний летающей мишени у меня возникла мысль поставить И-4 на ТБ-1. Были сделаны необходимые аэродинамические расчёты и составлен проект. 1-го июня 1931 года проект был представлен командующему ВВС Алкснису и начальнику штаба ВВС Меженинову. Проект понравился и получил благословление на реализацию» </w:t>
      </w:r>
      <w:hyperlink r:id="rId190" w:history="1">
        <w:r w:rsidRPr="00507A31">
          <w:rPr>
            <w:color w:val="000000" w:themeColor="text1"/>
            <w:sz w:val="16"/>
            <w:szCs w:val="16"/>
          </w:rPr>
          <w:t>[73]</w:t>
        </w:r>
      </w:hyperlink>
      <w:r w:rsidRPr="00507A31">
        <w:rPr>
          <w:color w:val="000000" w:themeColor="text1"/>
          <w:sz w:val="16"/>
          <w:szCs w:val="16"/>
        </w:rPr>
        <w:t xml:space="preserve"> .</w:t>
      </w:r>
    </w:p>
    <w:p w14:paraId="61B88BEA" w14:textId="77777777" w:rsidR="004D535A" w:rsidRPr="00507A31" w:rsidRDefault="004D535A" w:rsidP="00507A31">
      <w:pPr>
        <w:jc w:val="both"/>
        <w:rPr>
          <w:color w:val="000000" w:themeColor="text1"/>
          <w:sz w:val="16"/>
          <w:szCs w:val="16"/>
        </w:rPr>
      </w:pPr>
    </w:p>
    <w:p w14:paraId="7FDC85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на базе винтомоторного отдела ЦАГИ, авиационного отдела автомобильного и автомоторного НИИ и КБ авиационного завода имени М.В. Фрунзе был создан ЦИАМ (Центральный институт моторостроения) как Институт авиационных моторов, с 1932 года – ЦИАМ, с 1933 года – ЦИАМ им. П.И. Баранова. В 1935 году работы по опытному двигателестроению были переданы серийным моторостроительным заводам, при которых создавались опытно-конструкторские бюро (ОКБ). Для руководства этими ОКБ из ЦИАМ были направлены ведущие специалисты – главные конструкторы В.А.Добрынин, К.И. Жданов, В.Я. Климов, С.К. Туманский, Е.В. Урмин, А.Д.Чаромский и др. Такая реорганизация носила принципиальный характер. В 1940 ЦИАМ, так же как и ЦАГИ, должен был главное внимание сосредотачивать на развитии научных и стендовых исследований и на поисках перспективных решений (Самолетостроение в СССР. 1917 – 1945. Кн. I. С. 46.) (11672).</w:t>
      </w:r>
    </w:p>
    <w:p w14:paraId="4A02CB65" w14:textId="77777777" w:rsidR="00537E5F" w:rsidRPr="00507A31" w:rsidRDefault="00537E5F" w:rsidP="00507A31">
      <w:pPr>
        <w:autoSpaceDE w:val="0"/>
        <w:autoSpaceDN w:val="0"/>
        <w:adjustRightInd w:val="0"/>
        <w:jc w:val="both"/>
        <w:rPr>
          <w:color w:val="000000" w:themeColor="text1"/>
          <w:sz w:val="16"/>
          <w:szCs w:val="16"/>
        </w:rPr>
      </w:pPr>
    </w:p>
    <w:p w14:paraId="6841BC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на месте будущего завода № 82, позже завода № 500 находились ремонтные мастерские 4-го Московского авиатехникума ГВФ, где производился мелкий ремонт агрегатов и аппаратуры моторов М-11. В январе 1932 года постановлением Правительства указанным мастерским был присвоен № 63 ГВФ, директором которого был назначен Емельянов. В конце 1933 года по решению Правительства заводу № 63 был присвоен № 82. Первое задание завод получил по изготовлению унифицированной семьи бензиновых звездообразных моторов воздушного охлаждения: МГ-11, МГ-21, МГ-31 и изготовление запасных частей к М-11. В 1936 году на завод был назначен новый директор Войтов. Завод как опытный был подчинен НИИ ГВФ. В 1937 году директором был назначен Черников и завод снова выделили в самостоятельную единицу, как малосерийный завод. В 1937 году на заводе были сконструированы и изготовлены образцы учебного пятицилиндрового с воздушным охлаждением авиадвигателя Д-11 конструкции Мелькумова. В 1938 году согласно постановлению Правительства от 31 июля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3CF220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Основные кадры и имущество завода 3 82 были переданы заводу № 27.</w:t>
      </w:r>
    </w:p>
    <w:p w14:paraId="2FC2D0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5FD528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0F7F96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2CC2A0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4190DB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6D2E56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w:t>
      </w:r>
      <w:r w:rsidRPr="00507A31">
        <w:rPr>
          <w:color w:val="000000" w:themeColor="text1"/>
          <w:sz w:val="16"/>
          <w:szCs w:val="16"/>
        </w:rPr>
        <w:lastRenderedPageBreak/>
        <w:t>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25B2D1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Адрес: Тушино. Производственный профиль – авиамоторный (9861).</w:t>
      </w:r>
    </w:p>
    <w:p w14:paraId="58246DC3" w14:textId="77777777" w:rsidR="00537E5F" w:rsidRPr="00507A31" w:rsidRDefault="00537E5F" w:rsidP="00507A31">
      <w:pPr>
        <w:autoSpaceDE w:val="0"/>
        <w:autoSpaceDN w:val="0"/>
        <w:adjustRightInd w:val="0"/>
        <w:jc w:val="both"/>
        <w:rPr>
          <w:color w:val="000000" w:themeColor="text1"/>
          <w:sz w:val="16"/>
          <w:szCs w:val="16"/>
        </w:rPr>
      </w:pPr>
    </w:p>
    <w:p w14:paraId="0893BD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на К-4 была установлена первая в России авиарация (70,157).</w:t>
      </w:r>
    </w:p>
    <w:p w14:paraId="26DD04FA" w14:textId="77777777" w:rsidR="00537E5F" w:rsidRPr="00507A31" w:rsidRDefault="00537E5F" w:rsidP="00507A31">
      <w:pPr>
        <w:autoSpaceDE w:val="0"/>
        <w:autoSpaceDN w:val="0"/>
        <w:adjustRightInd w:val="0"/>
        <w:jc w:val="both"/>
        <w:rPr>
          <w:color w:val="000000" w:themeColor="text1"/>
          <w:sz w:val="16"/>
          <w:szCs w:val="16"/>
        </w:rPr>
      </w:pPr>
    </w:p>
    <w:p w14:paraId="0814AA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руководитель немецкой фирмы «Юнкере» направил послу СССР в Германии Н. Н. Крестинскому заявление, где в частности говорилось:</w:t>
      </w:r>
    </w:p>
    <w:p w14:paraId="1BD866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 тщательном осмотре советско-русских и иностранных журналов и на основании совершенных круговых перелетов советских самолетов за границу нами установлено, что в советской самолетостроительной промышленности, особенно при изготовлении металлических самолетов, сохранены принципы фирмы „Юнкере“. После ликвидации нашего концессионного предприятия мы наблюдаем, что в советско-русских предприятиях развивается все большее и большее строительство самолетов типа „Юнкере“; строится большое количество самолетов нашего типа (с применением волнистого листового железа), а также одноместных, многоместных и больших грузовых машин для военных целей» (11765).</w:t>
      </w:r>
    </w:p>
    <w:p w14:paraId="57DF8AF1" w14:textId="77777777" w:rsidR="00537E5F" w:rsidRPr="00507A31" w:rsidRDefault="00537E5F" w:rsidP="00507A31">
      <w:pPr>
        <w:autoSpaceDE w:val="0"/>
        <w:autoSpaceDN w:val="0"/>
        <w:adjustRightInd w:val="0"/>
        <w:jc w:val="both"/>
        <w:rPr>
          <w:color w:val="000000" w:themeColor="text1"/>
          <w:sz w:val="16"/>
          <w:szCs w:val="16"/>
        </w:rPr>
      </w:pPr>
    </w:p>
    <w:p w14:paraId="35E223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был основан АРЗ (Авиаремонтный завод (АРЗ) № 420 ГА, ГП «Завод по техническому обслуживанию и ремонту авиатехники» (ТОРА) ХГАПП /Украина 61031  г. Харьков ул. Ромашкина, 5 тел. 52-01-62/). 16.08.1993 г. Харьковский завод ГА «ТОРА» вошел в состав ХГАПП и стал его филиалом. В 08.1999 г. на базе предприятия создано Авиаремонтное предприятие «Титан-Харьков», дочернее предприятие Концерна «Титан».</w:t>
      </w:r>
    </w:p>
    <w:p w14:paraId="3F81912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Капремонт самолетов и комплектующих, техобслуживание, переоборудование самолетов </w:t>
      </w:r>
      <w:r w:rsidRPr="00507A31">
        <w:rPr>
          <w:color w:val="000000" w:themeColor="text1"/>
          <w:sz w:val="16"/>
          <w:szCs w:val="16"/>
          <w:lang w:val="en-US"/>
        </w:rPr>
        <w:t>JI</w:t>
      </w:r>
      <w:r w:rsidRPr="00507A31">
        <w:rPr>
          <w:color w:val="000000" w:themeColor="text1"/>
          <w:sz w:val="16"/>
          <w:szCs w:val="16"/>
        </w:rPr>
        <w:t>-410; производство шлангов, тросов управления, самоходных трапов ОПТ-114, СПТ-154; покраска (2003 г.).</w:t>
      </w:r>
    </w:p>
    <w:p w14:paraId="68AA65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(1990-е)- В.В. Чеботарев, (2003 г.)- С.Н. Задорожный.</w:t>
      </w:r>
    </w:p>
    <w:p w14:paraId="6BFD16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Ремонт: самолеты: По-2, «Супер-Аэро», Ан-2, Як-18Т, Л-410УВП (1984-); двигатели: М-11, </w:t>
      </w:r>
      <w:r w:rsidRPr="00507A31">
        <w:rPr>
          <w:color w:val="000000" w:themeColor="text1"/>
          <w:sz w:val="16"/>
          <w:szCs w:val="16"/>
          <w:lang w:val="en-US"/>
        </w:rPr>
        <w:t>Walter</w:t>
      </w:r>
      <w:r w:rsidRPr="00507A31">
        <w:rPr>
          <w:color w:val="000000" w:themeColor="text1"/>
          <w:sz w:val="16"/>
          <w:szCs w:val="16"/>
        </w:rPr>
        <w:t>-</w:t>
      </w:r>
      <w:r w:rsidRPr="00507A31">
        <w:rPr>
          <w:color w:val="000000" w:themeColor="text1"/>
          <w:sz w:val="16"/>
          <w:szCs w:val="16"/>
          <w:lang w:val="en-US"/>
        </w:rPr>
        <w:t>Minor</w:t>
      </w:r>
      <w:r w:rsidRPr="00507A31">
        <w:rPr>
          <w:color w:val="000000" w:themeColor="text1"/>
          <w:sz w:val="16"/>
          <w:szCs w:val="16"/>
        </w:rPr>
        <w:t>, АШ-62ИР, М-601 (1984-); в/винт АВ-2 (11982).</w:t>
      </w:r>
    </w:p>
    <w:p w14:paraId="67565E42" w14:textId="77777777" w:rsidR="00537E5F" w:rsidRPr="00507A31" w:rsidRDefault="00537E5F" w:rsidP="00507A31">
      <w:pPr>
        <w:autoSpaceDE w:val="0"/>
        <w:autoSpaceDN w:val="0"/>
        <w:adjustRightInd w:val="0"/>
        <w:jc w:val="both"/>
        <w:rPr>
          <w:color w:val="000000" w:themeColor="text1"/>
          <w:sz w:val="16"/>
          <w:szCs w:val="16"/>
        </w:rPr>
      </w:pPr>
    </w:p>
    <w:p w14:paraId="776AF7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М-38 начали проектировать на заводе № 24 Там им занимался Н.А. Островский. Так же как в отношении М-32, в феврале 1931 г. документацию по двигателю при</w:t>
      </w:r>
      <w:r w:rsidRPr="00507A31">
        <w:rPr>
          <w:color w:val="000000" w:themeColor="text1"/>
          <w:sz w:val="16"/>
          <w:szCs w:val="16"/>
        </w:rPr>
        <w:softHyphen/>
        <w:t>нял ИАМ. В мае проект в целом завершили. В январе следующего года уже изготовили около трети деталей. В октябре 1932 г. опытный образец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507A31">
        <w:rPr>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5DAF38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507A31">
        <w:rPr>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260BBF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мощности двигателя заданию и превышения веса (по заданию не более 400 кг).</w:t>
      </w:r>
    </w:p>
    <w:p w14:paraId="2BCD4C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Характеристики:</w:t>
      </w:r>
    </w:p>
    <w:p w14:paraId="7E012B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9-цилиндровый, звездообразный, четырехтактный, воздушного охлаж</w:t>
      </w:r>
      <w:r w:rsidRPr="00507A31">
        <w:rPr>
          <w:color w:val="000000" w:themeColor="text1"/>
          <w:sz w:val="16"/>
          <w:szCs w:val="16"/>
        </w:rPr>
        <w:softHyphen/>
        <w:t>дения;</w:t>
      </w:r>
    </w:p>
    <w:p w14:paraId="0DEDDE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безредукторный;</w:t>
      </w:r>
    </w:p>
    <w:p w14:paraId="7981C0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мощность по проекту 570/600 л.с. (фактически получено 575 л.с.);</w:t>
      </w:r>
    </w:p>
    <w:p w14:paraId="01CC0A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вес 460 кг (по заданию 450 кг);</w:t>
      </w:r>
    </w:p>
    <w:p w14:paraId="0BAC29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диаметр цилиндра/ход поршня 135/160 мм;</w:t>
      </w:r>
    </w:p>
    <w:p w14:paraId="66B6DF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полный рабочий объем 30,7 л;</w:t>
      </w:r>
    </w:p>
    <w:p w14:paraId="10B984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степень сжатия 6,0. Проектировались несколько модификаций:</w:t>
      </w:r>
    </w:p>
    <w:p w14:paraId="382EEE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М-38 без редуктора и нагнетателя.</w:t>
      </w:r>
    </w:p>
    <w:p w14:paraId="7B85ED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М-38Н с односкоростным ПЦН.</w:t>
      </w:r>
    </w:p>
    <w:p w14:paraId="5BF660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М-38Г (М-38Гр) для гражданских самолетов на базе М-38Н.</w:t>
      </w:r>
    </w:p>
    <w:p w14:paraId="15D0F2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М-38РН с редуктором и ПЦН, 600 л.с., вес 430 кг (по расчету). Предлагался для истребителей И-5, И-9, И-14, И-15, корабельного раз</w:t>
      </w:r>
      <w:r w:rsidRPr="00507A31">
        <w:rPr>
          <w:color w:val="000000" w:themeColor="text1"/>
          <w:sz w:val="16"/>
          <w:szCs w:val="16"/>
        </w:rPr>
        <w:softHyphen/>
        <w:t>ведчика КР-2 (11852).</w:t>
      </w:r>
    </w:p>
    <w:p w14:paraId="0BE86F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1B02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 с использованием деталей от мотора «Анзани» выпуска 1910 г. А.Г. Бедунковичем был создан АБ-55. Мощность 55 л.с. (11852).</w:t>
      </w:r>
    </w:p>
    <w:p w14:paraId="7A45AB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DD65A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 США купили образцы авиадизеля фирмы «Пак</w:t>
      </w:r>
      <w:r w:rsidRPr="00507A31">
        <w:rPr>
          <w:color w:val="000000" w:themeColor="text1"/>
          <w:sz w:val="16"/>
          <w:szCs w:val="16"/>
        </w:rPr>
        <w:softHyphen/>
        <w:t>кард». Это был звездообразный двигатель воздушного охлаждения. Хотели с 1932 г. начать его серийное производство в СССР. Однако позднее от этой идеи отказались. При формировании плана работ Винтомоторного отдела ЦАГИ осенью 1930 г. в него включили экспериментальный двигатель ЭН-1 мощностью 200 л.с. и предназначенный для боевых самолетов М-42 в 550 л.с. Правда, последний вскоре из плана исключили (11852).</w:t>
      </w:r>
    </w:p>
    <w:p w14:paraId="034A0D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AF5B5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был организован Завод № 19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в ведении ВАО ВСНХ, заложен в 1931 г. на южной окраине Перми вблизи Сибирского тракта (рядом со ст. Бахоревка). В 1932 г. построен главный корпус и ОГМ, вступил в строй завод 1.06.1934 г., выпустил первую продукцию в 1935 г., в том же году получил имя И.В. Сталина. С 1932 г. - в ведении моторного треста ГУАП НКТП. В 12.1936 г. (или начале 1937 г.) завод за освоение производства М-25 награжден орденом Ленина. В 02.1937 г. - в ведении 1ГУ НКОП, по пр. № ЗЗсс от 1/3.02.1938 г. передан в ведение созданного ГУ авиационного моторостроения, в 12.1938 г. - в ведении 18ГУ. Перед войной находился в ведении ЗГУ НКАП.</w:t>
      </w:r>
    </w:p>
    <w:p w14:paraId="4F3673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Окончательно завод введен в строй в 1936 г., а уже в 1937 г. начата реконструкция завода. Приказом № 0032 от 8.02.1937 г. заводу предписано к 1.01.1938 г. расширить главный корпус и литейный цех, доведя мощность до 8500 моторов в год. По пр. № 140сс от 5/21.04.1938 г. требовалось в 1938 г. ввести в эксплуатацию: 6 пролетов гл. корпуса - к 1.05.1938 г., цех № 30 - к 15.05.1938 г., инструментальный цех - к 1.07.1938 г., испытательная станция - к 1.08.1938 г., 6 пролетов гл. корпуса - к 15.08.1938 г., сборочный-переборочный цех - к 1.09.1938 г., 9 пролетов литейного цеха и 6 пролетов гл. корпуса - к 15.12.1938 г.</w:t>
      </w:r>
    </w:p>
    <w:p w14:paraId="76F30E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Первоначально завод был ориентирован на выпуск моторов М-15, М-26 и НАМИ-65, но их не удалось довести до серийного производства. В 1932 г. завод переориентирован на выпуск М-22, а в 1933 г. - на М-25. Производственная программа завода на 1937 г.: 3500 моторов М-25, пр. № 00267 от 15.12.1937 г. она была изменена: М-25А и М-25В - 4600 шт., М-62 - 500 шт.</w:t>
      </w:r>
    </w:p>
    <w:p w14:paraId="657836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Приказом № 00116 от 28.05.1937 г. заводу поручено к 1.10.1937 г. закончить освоение производства мотора ДЖИ-2 для самолета Вулти. Приказом № 0127 от 7.06.1937 г. предписано в 1937 г. закончить работы по мотору М- 62 1100 л.с. и М-25 1500 л.с.; развернуть подготовку к серийному выпуску М-62 во 2 квартале 1938 г.; закончить и сдать в эксплуатацию опытный отдел завода к 1.10.1937 г. По пр. № 00267 было необходимо построить установки для испытания моторов по типу «Райт-Фипт» (Америка) и «Испано-Сюиза» (Франция); в 1-м полугодии 1938 г. организовать ЛИС для летных испытаний моторов, к 1.03.1938 г. откомандировать на ЛИС Шереметьева (ЦИАМ), Августиновича, Коротнева; к 1.01.1938 г. закончить оборудование ремонтного цеха; к 1.01.1938 г. укомплектовать ОКО завода необходимыми кадрами. По пр. № 00276 от 20.12.1937 г. требовалось передать к 5.01.1938 г. на завод № 24 чертежи и технологии по М-62. Приказом № 111с от 23/26.03.1938 г. предписано установить в 1938 г. на заводе испытательные установки типа «Хинан-Фруд» и «Райт-Филд». По пр. № 140сс было необходимо обеспечить в 1938 г. выпуск опытных моторов в счет программы М-62: М-63 - 25 шт., М-70 - 7 шт. Приказом № 207с от 10/13.06.1938 г. было предписано форсировать строительство литейного цеха со сдачей под монтаж к 1.11.1938 г.</w:t>
      </w:r>
    </w:p>
    <w:p w14:paraId="4FD386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205с от 10/13.06.1938 г. на заводе организовано серийное КБ «для наблюдения за соблюдением технологии производства».</w:t>
      </w:r>
    </w:p>
    <w:p w14:paraId="00D779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179/к от 22.05.1938 г. на завод сроком на 1 год командирована группа специалистов в количестве 20 чел. с заводов № 20, 22, 24, 25, 32, 34, ГПИ-1 и ЦИАМ. Приказом № 211с от 16.06.1938 г. на завод направлена бригада из 50 чел. во главе с начальником 18ГУ Королевым «с целью добиться выпуска качественных моторов», Королеву были предоставлены полные права по управлению заводом; Оргоборонпромом была направлена бригада из 9 чел. во главе с Куликовым для проверки соблюдения технологии производства. В соответствии с пост, правительства № 223сс от 10.09.1938 г. и пр. № 381сс от 29.09.1938 г. требовалось: выпустить и предъявить на госиспытания: мотор М-63 в 09.1938 г., изготовить в 1938 г. 25 шт.; М-70 в 04.1939 г., изготовить 7 шт.; провести работы по дальнейшему форсажу моторов М-64, М-71, М-80. По пр. № 415 от 5.11.1938 г. на завод командировано 6 специалистов из ВИАМ под руководством проф. Акимова и Канторовича.</w:t>
      </w:r>
    </w:p>
    <w:p w14:paraId="6549EA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1.01.1938 г. проектная мощность завода составляла 6 тыс. моторов в год, в 1939 г. - 12 тыс. М-63. Годовой план на 1939 г. - 4618 моторов, на 1941 г. - 1600 М-25 и 800 М-62ИР.</w:t>
      </w:r>
    </w:p>
    <w:p w14:paraId="5FB86F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07.1941 г. в состав завода влит в качестве цеха поршневых колец эвакуированный из Днепропетровска завод № 462 НКАП. Затем на площадку завода эвакуирован завод № 295 НКАГ1 и также вошел в состав объединенного завода № 19 НКАП. В 11.1941 г. на площадку строящегося завода № 19 НКАП эвакуированы заводы № 135 и № 450 НКАП.</w:t>
      </w:r>
    </w:p>
    <w:p w14:paraId="41AAC5B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9.02.1942 г. вышло постановление ГКО № 1263 о развитии производства М-62ИР на заводе. 20.10.1944 г. - постановление ГКО № 6752 об увеличении выпуска на заводе мотора АШ-82ФН. Распоряжением ГКО № 6827 от 29.10.1944 г. на заводы № 29 и 19 направлено 3000 освобожденных заключенных.</w:t>
      </w:r>
    </w:p>
    <w:p w14:paraId="4F6EF5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годы войны построен 31.861 мотор.</w:t>
      </w:r>
    </w:p>
    <w:p w14:paraId="6EBB3D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СМ СССР № 713-342 от 26.06.1957 г. передан в ведение СНХ РСФСР. В 1962 г. присвоено имя Я.М. Свердлова. Имел наименование- «п/я А-3985».</w:t>
      </w:r>
    </w:p>
    <w:p w14:paraId="2020F8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1979 г.- ПО «Моторостроитель» им. Свердлова, с 1992 г.- ОАО «Пермские моторы» (приказ № 1406 от 3.11.1992 г.). В ОАО входили: дочернее ОАО «Пермский моторный завод» (ПМЗ) (основано 1.01.1998 г.); ЗАО «Протон-ПМ», ОАО «Редуктор-ПМ», «Каскад-ПМ», «Авиагаз-ПМ», «Металлист-ПМ», «Инструментальный завод-ПМ», «Энергетик-ПМ», «Рэмос-ПМ», «Австром-ПМ», «Спардж-ПМ», «Моторсервис-ПМ», «Профилакторий-ПМ», ООО «ПМ-Автотранс» и др. Осенью 2003 г. образовано ЗАО «Управляющая компания «Пермский моторостроительный комплекс» (УК ПМК).</w:t>
      </w:r>
    </w:p>
    <w:p w14:paraId="2BE85B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6.10.1951 г. на заводе налажено производство редукторов для вертолетов, в 1995 г. выделившееся в отдельное предприятие- «Редуктор-ПМ».</w:t>
      </w:r>
    </w:p>
    <w:p w14:paraId="0C1B48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заводе 18.07.1959 г. создан Камский филиал № 4 ОКБ-456 (НПО «Энергомаш») для сопровождения серии РД-214 (руководитель- (1959 г.-)- Ю.Д. Плаксин). Действовал в 1990-е  г.</w:t>
      </w:r>
    </w:p>
    <w:p w14:paraId="0DABA4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решению правительства № 22-р от 9.01.2004 г. ОАО ПМЗ вошло в перечень стратегических предприятий.</w:t>
      </w:r>
    </w:p>
    <w:p w14:paraId="0CCD2D0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Имелись цеха: № 2, научно-исследовательский № 65.</w:t>
      </w:r>
    </w:p>
    <w:p w14:paraId="364408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Всего к 2005 г. выпущено более 112 тыс. двигателей.</w:t>
      </w:r>
    </w:p>
    <w:p w14:paraId="6B0FBC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(1.07.1936 г.)- 8452 чел., (1.01.2003 г.) - 7689 чел.</w:t>
      </w:r>
    </w:p>
    <w:p w14:paraId="55BDBC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(1930-е)- П.И. Чубуков, (1935; -08.1937-5.03.1938 г.)- И.И. Побережский (репрессирован), (-12.1936- 07.1937 г.-)- В.Е. Орлов (репрессирован), (5.03.1938-02.1940 г.)- В.Н(М). Дубов, (02.1940-05.41  г.-)-  Г.В. Кожевников, (1942-43 г.-)- А. Г. Солдатов, (1956-73 г.)- М.И. Субботин, (1973 г.-)- Б. Г. Изгагин. Гендиректор (1979- 86 г.)- Б. Г. Изгагин, В. Киндеркнехт, (1998 г.)- В.Н. Кобелев, (1999-11.2003 г.)- Ю.Е. Решетников</w:t>
      </w:r>
      <w:r w:rsidRPr="00507A31">
        <w:rPr>
          <w:color w:val="000000" w:themeColor="text1"/>
          <w:sz w:val="16"/>
          <w:szCs w:val="16"/>
          <w:vertAlign w:val="superscript"/>
        </w:rPr>
        <w:t>49</w:t>
      </w:r>
      <w:r w:rsidRPr="00507A31">
        <w:rPr>
          <w:color w:val="000000" w:themeColor="text1"/>
          <w:sz w:val="16"/>
          <w:szCs w:val="16"/>
        </w:rPr>
        <w:t>, (11.2003-09 г.-)- М.Д. Дическул.</w:t>
      </w:r>
    </w:p>
    <w:p w14:paraId="6AE71F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1-й зам гендиректора (2002 г.)- Э.И. Черкашин. Зам. директора (8.01.1937 г.-)- Э.М. Ринберг, (06.1937 г.)- И.М. Макеев, (-08.1937-5.03.1938 г.)- В.Е. Орлов (снят), (-1949 г.)- М.И. Субботин; по 2-му производству (1970-е)- ПЛ. Маджуло; по реконструкции (5.11.1938 г.-)- Горлин; по кадрам- В.Т. Коршенинников. Заместитель гендиректора: по маркетингу, продажам и сервису (2002 г.)- М.Д. Дическул, (2003 г.)- О. Г. Королев; В.И. Петенко. Помощник директора по найму и увольнению (-12.1937-1.09.1938 г.)- К.А. Морзо, (1.09.1938 г.-)- А.А. Лабутин.</w:t>
      </w:r>
    </w:p>
    <w:p w14:paraId="3FC063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строительства (1931 г.-)- П.И. Чубуков, (8.01-23.07.1937 г.)- Э.М. Ринберг, (8.10.1937 г.-)- В.Е. Орлов, (04.1938 г.)- Криворучко. Директор: технический (13.06.1938 г.-)- А.Д. Швецов, (2005 г.)- И. Башкатов; по инженерному обеспечению- В.И. Петенко; управляющий (-10.2004-06 г.-)- С.Ю. Смолин; производственно- коммерческой программы (2003 г.)- В.И. Горяинов; программы промышленных газовых турбин (2003 г.)- А.В. Елецкий; программы поставок ГТУ для газовой промышленности (2003 г.)- М.А. Игнатьев; коммерческий (10.2004 г.)- А.А. Белышев; по информационным технологиям (2007 г.)- С.В. Бормалев.</w:t>
      </w:r>
    </w:p>
    <w:p w14:paraId="52BE72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1-й зам. управляющего директора (2003 г.)- Э.И. Черкашин. Зам. начальника строительства (12.1936 г.)- В.Е. Орлов.</w:t>
      </w:r>
    </w:p>
    <w:p w14:paraId="6F41E8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(-12.1936-17.10.1937 г.)- И.М. Макеев, (17.10.1937-05.1938 г.-)- Е.И. Брискин (репрессирован), (1938 г.)- Гурвич, (1964-81 г.)- Д.А. Дическул.</w:t>
      </w:r>
    </w:p>
    <w:p w14:paraId="4E7CBE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по капстроительству (11.03.1937 г.-)- И.О. Гурвич. Зам. гл. инженера- В.И. Петенко.</w:t>
      </w:r>
    </w:p>
    <w:p w14:paraId="22A18E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(1931-34 г.)- А.А. Микулин, (1934-53 г.)- А.Д. Швецов.</w:t>
      </w:r>
    </w:p>
    <w:p w14:paraId="2AEA3B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Зам. гл. конструктора (-04.1940-09.1942 г.-)-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C</w:t>
      </w:r>
      <w:r w:rsidRPr="00507A31">
        <w:rPr>
          <w:color w:val="000000" w:themeColor="text1"/>
          <w:sz w:val="16"/>
          <w:szCs w:val="16"/>
        </w:rPr>
        <w:t>. Нитченко.</w:t>
      </w:r>
    </w:p>
    <w:p w14:paraId="76EF71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технолог (-05-5.11.1938 г.)- М.И. Брискин (снят за необеспечение выпуска моторов), (5.11-2.12.1938 г.)- М.Н. Степин. Гл. металлург (-12.1936-1937 г.)- В.И. Шушин (репрессирован). Гл. диспетчер (-12.1936-5.11.1938 г.)- А.С. Бассин (репрессирован). Гл. инспектор качества (-13.06.1938 г.)- Концевич (снят и осужден).</w:t>
      </w:r>
    </w:p>
    <w:p w14:paraId="5AD663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гл. металлурга (-13.06.1938 г.)- В.В. Чугунов (снят и осужден). Зам. гл. механика (12.1936 г.)- Ф.Д. Киселев.</w:t>
      </w:r>
    </w:p>
    <w:p w14:paraId="6DB14B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Московского представительства (2003 г.)- В.Н. Артамонов,</w:t>
      </w:r>
      <w:r w:rsidRPr="00507A31">
        <w:rPr>
          <w:color w:val="000000" w:themeColor="text1"/>
          <w:sz w:val="16"/>
          <w:szCs w:val="16"/>
          <w:vertAlign w:val="superscript"/>
          <w:lang w:val="en-US"/>
        </w:rPr>
        <w:t>wwwav</w:t>
      </w:r>
      <w:r w:rsidRPr="00507A31">
        <w:rPr>
          <w:color w:val="000000" w:themeColor="text1"/>
          <w:sz w:val="16"/>
          <w:szCs w:val="16"/>
          <w:vertAlign w:val="superscript"/>
        </w:rPr>
        <w:t>,</w:t>
      </w:r>
      <w:r w:rsidRPr="00507A31">
        <w:rPr>
          <w:color w:val="000000" w:themeColor="text1"/>
          <w:sz w:val="16"/>
          <w:szCs w:val="16"/>
          <w:vertAlign w:val="superscript"/>
          <w:lang w:val="en-US"/>
        </w:rPr>
        <w:t>dm</w:t>
      </w:r>
      <w:r w:rsidRPr="00507A31">
        <w:rPr>
          <w:color w:val="000000" w:themeColor="text1"/>
          <w:sz w:val="16"/>
          <w:szCs w:val="16"/>
        </w:rPr>
        <w:t xml:space="preserve"> Начальник управления ВЭД (2003 г.)- А.И. Вшивков.</w:t>
      </w:r>
    </w:p>
    <w:p w14:paraId="45B9A7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Начальники цехов: № 2- В.В. Андреев; сборки (1930-е)- </w:t>
      </w:r>
      <w:r w:rsidRPr="00507A31">
        <w:rPr>
          <w:color w:val="000000" w:themeColor="text1"/>
          <w:sz w:val="16"/>
          <w:szCs w:val="16"/>
          <w:lang w:val="en-US"/>
        </w:rPr>
        <w:t>JI</w:t>
      </w:r>
      <w:r w:rsidRPr="00507A31">
        <w:rPr>
          <w:color w:val="000000" w:themeColor="text1"/>
          <w:sz w:val="16"/>
          <w:szCs w:val="16"/>
        </w:rPr>
        <w:t>.</w:t>
      </w:r>
      <w:r w:rsidRPr="00507A31">
        <w:rPr>
          <w:color w:val="000000" w:themeColor="text1"/>
          <w:sz w:val="16"/>
          <w:szCs w:val="16"/>
          <w:lang w:val="en-US"/>
        </w:rPr>
        <w:t>C</w:t>
      </w:r>
      <w:r w:rsidRPr="00507A31">
        <w:rPr>
          <w:color w:val="000000" w:themeColor="text1"/>
          <w:sz w:val="16"/>
          <w:szCs w:val="16"/>
        </w:rPr>
        <w:t xml:space="preserve">. Татко; механического (12.1936 г.)- И.В. Теткин; литейного (12.1936 г.)- Н.П. Базилев; штамповочно-медницкого (12.1936 г.)- Т.И. Шейко; термического (-12.1936- 13.06.1938 г.)- В.В. Чугунов, (5.11.1938 г.-)- Халявко; инструментального (1930-е)- С.П. Мартыненко, (12.1936 г.)- Е.И. Брискин; испытаний (12.1936 г.)- </w:t>
      </w:r>
      <w:r w:rsidRPr="00507A31">
        <w:rPr>
          <w:color w:val="000000" w:themeColor="text1"/>
          <w:sz w:val="16"/>
          <w:szCs w:val="16"/>
          <w:lang w:val="en-US"/>
        </w:rPr>
        <w:t>J</w:t>
      </w:r>
      <w:r w:rsidRPr="00507A31">
        <w:rPr>
          <w:color w:val="000000" w:themeColor="text1"/>
          <w:sz w:val="16"/>
          <w:szCs w:val="16"/>
        </w:rPr>
        <w:t>1.</w:t>
      </w:r>
      <w:r w:rsidRPr="00507A31">
        <w:rPr>
          <w:color w:val="000000" w:themeColor="text1"/>
          <w:sz w:val="16"/>
          <w:szCs w:val="16"/>
          <w:lang w:val="en-US"/>
        </w:rPr>
        <w:t>C</w:t>
      </w:r>
      <w:r w:rsidRPr="00507A31">
        <w:rPr>
          <w:color w:val="000000" w:themeColor="text1"/>
          <w:sz w:val="16"/>
          <w:szCs w:val="16"/>
        </w:rPr>
        <w:t>. Татко.</w:t>
      </w:r>
    </w:p>
    <w:p w14:paraId="7E633C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цеха: инструментального (05.1938 г.-)- Н.И. Самуилов; механического (05.1938 г.-)- С.А. Жучков, (05.1938 г.-&gt; И.С. Скобелев; (05.1938 г.-)- С.С. Гусев, (05.1938 г.-)-  Г.Л. Левин, (05.1938 г.-)- А.П. Плетников. Гл. инженеры цехов: механического (12.1936 г.)- М.И. Брискин.</w:t>
      </w:r>
    </w:p>
    <w:p w14:paraId="400CE0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Начальники отделов: опытного (1930-е)- Л.С. Татко, (12.1936 г.)- С.К. Луковников; ППО (12.1936 г.)-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C</w:t>
      </w:r>
      <w:r w:rsidRPr="00507A31">
        <w:rPr>
          <w:color w:val="000000" w:themeColor="text1"/>
          <w:sz w:val="16"/>
          <w:szCs w:val="16"/>
        </w:rPr>
        <w:t>. Краскин; СШО и.о. (04.1938 г.)- Сергеев.</w:t>
      </w:r>
    </w:p>
    <w:p w14:paraId="491D38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технологического отдела цеха (05.1938 г.-)-  Г.А. Ильин. Зам. начальника опытной станции (05.1938 г.-)- Е.И. Калошин. Зам. начальника сборки опытного отдела (05.1938 г.-)- Н.Н. Потрехалкин.</w:t>
      </w:r>
    </w:p>
    <w:p w14:paraId="010FD8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бюро: КБ (12.1936 г.)- Ф.В. Концевич. Начальники лабораторий: ЦЗЛ (-5.11.1938 г.)- Шушин (снят), (5.11.1938 г.-)- Дмитриев.</w:t>
      </w:r>
    </w:p>
    <w:p w14:paraId="57E098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участков: крупного литья механического цеха (12.1936 г.)- Л.И. Некипелов; ОКС (05.1938 г.-)- Н.И. Морозов. Начальник группы ОГМ (05.1938 г.-)- М.В. Воронцов.</w:t>
      </w:r>
    </w:p>
    <w:p w14:paraId="5E57C8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авиационные двигатели: поршневые: М-25 (1935-41), М-25А (1936-), М-25В (1937-), М-62 (1937-41), АШ-62ИР (1939-47), М-63 (1939-41), АШ-82 (1941-42), АШ-82Ф (1942-44), М-71 (ВОВ), АШ-82ФН (1943-50), АШ-83, АШ-73ТК (1947-53), АШ-82В (1952-55), АШ-82Т (1953-55); ГТД: АМ-3 (1955-57), ВК-1 (1953- 54), РД-ЗМ, АИ-20 (1957-65), Д-20П (1959-77)- более 700, Д-25В (1959-81)- более 3000, Д-30 (1966-87)- 2500, Д- 30-3 (-2002-04-), Д-30Ф6 (1976-2004-)- более 2000, ПС-90 (1989-2004-)- 209 (на 11.1997 г.), ПС-90А-76 (2004-), ТВ2-117 (1965-97)- более 22.000, ТВЗ-117; наземные ГТУ (2004); ЖРД: РД-214 (1960-е), РД-253 для РН «Протон»; гл. редукторы Р-5 (1952-77), ВР-1 (1952-), Р-7 (1958-), ВР-8 (1964-); ВР-26 (1982-), НВ для Ми-26; ВР- 14 (1986-); ВР-34, ХР-34 (1994-) для Ми-34 (11982).</w:t>
      </w:r>
    </w:p>
    <w:p w14:paraId="68AE7E49" w14:textId="77777777" w:rsidR="00537E5F" w:rsidRPr="00507A31" w:rsidRDefault="00537E5F" w:rsidP="00507A31">
      <w:pPr>
        <w:autoSpaceDE w:val="0"/>
        <w:autoSpaceDN w:val="0"/>
        <w:adjustRightInd w:val="0"/>
        <w:jc w:val="both"/>
        <w:rPr>
          <w:color w:val="000000" w:themeColor="text1"/>
          <w:sz w:val="16"/>
          <w:szCs w:val="16"/>
        </w:rPr>
      </w:pPr>
    </w:p>
    <w:p w14:paraId="092FA2F2" w14:textId="77777777" w:rsidR="00537E5F" w:rsidRPr="00507A31" w:rsidRDefault="00537E5F" w:rsidP="00507A31">
      <w:pPr>
        <w:jc w:val="both"/>
        <w:rPr>
          <w:color w:val="000000" w:themeColor="text1"/>
          <w:sz w:val="16"/>
          <w:szCs w:val="16"/>
        </w:rPr>
      </w:pPr>
      <w:r w:rsidRPr="00507A31">
        <w:rPr>
          <w:color w:val="000000" w:themeColor="text1"/>
          <w:sz w:val="16"/>
          <w:szCs w:val="16"/>
        </w:rPr>
        <w:t>В 1930 г. в ведении BOA ВСНХ был образован Ремонтный завод № 16. Официальным днем рождения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считается 10.08.1931 г.143 С 1932 г. - в ведении самолетного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038ACB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1930-34 г. производил ремонт двигателей М-17 и М-22, ремонт самолетов ТБ-1, ТБ-3, Р-6, И-4. В 1934 г. строился ТШ-2 С.А. Кочёригина.</w:t>
      </w:r>
    </w:p>
    <w:p w14:paraId="7E9B65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1934 г. перепрофилирован на производство авиадвигателей. Приказом № 0032 от 8.02.1937 г. заводу предписано к 1.04.1937 г. сдать в эксплуатацию* главный корпус и термический цех. Приказом № 0127 от 7.06.1937 г. предписано в 3 квартале 1937 г. внедрить в серию форсированные М-11Д и М-11Е; к 1.10.1937 г. перевести ОКО завода в помещение бывших авиамастерских. Производственная программа завода на 1937 г.: 3500 М-11, головная серия 100 шт. «Рено» (вместе с заводом № 24). «В связи с невыполнением заводом правительственного задания по освоению выпуска лицензионных моторов» пр. № 73с от 4/8.03.1938 г. требовалось обеспечить к 15.04.1938 г. сборку первых 5 моторов МВ-6, во 2-м квартале - выпуск 15, в 3-м - 30, в 4-м - 55 моторов; начать работы по подготовке производства МВ-4 и МВ-12 с выпуском до конца года 45 шт. МВ-4 и 10 МВ-12. В соответствии с пост, правительства № 223сс от 10.09.1938 г. и пр. № 381сс от 29.09.1938 г. требовалось освоить и выпустить в 1938 г. лицензионные моторы: МВ-6 100 шт., МВ-4 250 шт., МВ-12 10 шт.</w:t>
      </w:r>
    </w:p>
    <w:p w14:paraId="2AA49F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1939 г. проектная мощность завода составляла: МВ-4, -6,-12-11 тыс. в год, М-11 - 5 тыс. шт. В 01.1940 г. завод переведен на выпуск М-105, на 1941 г. утвержден план по выпуску 2000 М-105, 1100 М-62 и 300 МВ-6.</w:t>
      </w:r>
      <w:r w:rsidRPr="00507A31">
        <w:rPr>
          <w:color w:val="000000" w:themeColor="text1"/>
          <w:sz w:val="16"/>
          <w:szCs w:val="16"/>
          <w:vertAlign w:val="superscript"/>
        </w:rPr>
        <w:t>144</w:t>
      </w:r>
    </w:p>
    <w:p w14:paraId="088ED1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имел филиал в Воронеже - Завод им. Сталина. Руководитель - Д.А. Морозов (затем- директор завода № 154). Зам. гл. конструктора филиала по маломощным моторам (09.1940 г.-)- М.А. Коссов. Сюда в 09.1940 г. передано с завода № 16 производство маломощных моторов (М-11 и МВ-6). В соответствии с пост. СНК от 26.07.1940 г. и приказом НКАП № 193сс от 3.03.1941 г. Завод им. Сталина получил самостоятельность и наименование ГС завод № 154 им. Сталина ЗГУ НКАП.</w:t>
      </w:r>
    </w:p>
    <w:p w14:paraId="6A00FA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741с от 8.10.1941 г. и приказом № 1053сс от 9.10.1941 г. завод эвакуирован в  г. Казань на площадку завода № 27 НКАП. Приказом № 1145сс от 20.11.1941 г. образован единый завод № 16 НКАП объединением завода № 16 НКАП и завода № 27 НКАП. Позже влит еще завод № 489 НКАП. В 1941 г. на завод № 16 в Казань эвакуировалась ГДЛ из Ленинграда.</w:t>
      </w:r>
    </w:p>
    <w:p w14:paraId="42A907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площадке эвакуированного завода по приказу № 1090с от 28.12.1941 г. организованы мастерские по ремонту двигателей М-11, М-88, М-89, М-105, М-35, М-38. Действовал цех по производству 82-мм батальонных минометов. Начальник мастерских- А.И. Седов. В соответствии с пост. СНК № 913-472сс от 11.06.1942 г. и приказом № 287с от 16.04.1942 г. мастерские должны были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6992ED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44BCCC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  г. Басдорф (Германия).</w:t>
      </w:r>
    </w:p>
    <w:p w14:paraId="19F087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1946 г. на старую площадку завода в Воронеже реэвакуирован завод № 154 из Андижана.</w:t>
      </w:r>
    </w:p>
    <w:p w14:paraId="3B8B0E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60A88B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1950 г. создан турбовинтовой двигатель для кораблей ТРДВ-1 (5200 л. е.).</w:t>
      </w:r>
    </w:p>
    <w:p w14:paraId="3CF602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ПСМ № 3193-1214 от 10.07.1952 г. на заводе начата подготовка к производству двигателя АМ-3 для Ту-16.</w:t>
      </w:r>
    </w:p>
    <w:p w14:paraId="44D7A6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200C35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1976 г. - Казанское МПО, с 1993 г. - ОАО «КМПО». В 03.1997 г. вошло в ФПГ «Двигатели НК».</w:t>
      </w:r>
      <w:r w:rsidRPr="00507A31">
        <w:rPr>
          <w:color w:val="000000" w:themeColor="text1"/>
          <w:sz w:val="16"/>
          <w:szCs w:val="16"/>
          <w:vertAlign w:val="superscript"/>
        </w:rPr>
        <w:t>50</w:t>
      </w:r>
      <w:r w:rsidRPr="00507A31">
        <w:rPr>
          <w:color w:val="000000" w:themeColor="text1"/>
          <w:sz w:val="16"/>
          <w:szCs w:val="16"/>
        </w:rPr>
        <w:t xml:space="preserve"> По решению правительства № 22-р от 9.01.2004 г. вошло в перечень стратегических предприятий.</w:t>
      </w:r>
    </w:p>
    <w:p w14:paraId="0F7C75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2002 г. велись работы по организации участка сборки и испытаний ТВлД </w:t>
      </w:r>
      <w:r w:rsidRPr="00507A31">
        <w:rPr>
          <w:color w:val="000000" w:themeColor="text1"/>
          <w:sz w:val="16"/>
          <w:szCs w:val="16"/>
          <w:lang w:val="en-US"/>
        </w:rPr>
        <w:t>PW</w:t>
      </w:r>
      <w:r w:rsidRPr="00507A31">
        <w:rPr>
          <w:color w:val="000000" w:themeColor="text1"/>
          <w:sz w:val="16"/>
          <w:szCs w:val="16"/>
        </w:rPr>
        <w:t>207 для вертолета «Ансат».</w:t>
      </w:r>
    </w:p>
    <w:p w14:paraId="34A510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(2003 г.)- около 12. 000 чел.</w:t>
      </w:r>
    </w:p>
    <w:p w14:paraId="3B8753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(-06-29.08.1937 г.)-  Г.С. Девдариани (снят), (29.08.1937 г.-)- М.М. Лукин, (-09.1941 г.-)- В.И. Сухорукое, (-08.1942-04.1945 г.-)- М.М. Лукин, (03.1946 г.)- Тарасов, (1960-е  г.)- Р.Е. Загребельный. Гендиректор (1968-82 г.)- П.А. Витер, (1982-2003 г.-)- А.Ф. Павлов,</w:t>
      </w:r>
      <w:r w:rsidRPr="00507A31">
        <w:rPr>
          <w:color w:val="000000" w:themeColor="text1"/>
          <w:sz w:val="16"/>
          <w:szCs w:val="16"/>
          <w:vertAlign w:val="superscript"/>
        </w:rPr>
        <w:t>49</w:t>
      </w:r>
      <w:r w:rsidRPr="00507A31">
        <w:rPr>
          <w:color w:val="000000" w:themeColor="text1"/>
          <w:sz w:val="16"/>
          <w:szCs w:val="16"/>
        </w:rPr>
        <w:t xml:space="preserve"> (-10.2004-05 г.-&gt; Д.З. Каримуллин.</w:t>
      </w:r>
    </w:p>
    <w:p w14:paraId="51AB80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 (06.1937 г.)- М.П. Макарук;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3B6584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Коммерческий директор (10.2004 г.)- А.В. Березкин.</w:t>
      </w:r>
    </w:p>
    <w:p w14:paraId="40A778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73B6E7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(06.1937 г.)- М.П. Макарук, (2002 г.)- М. Г. Хабибуллин.</w:t>
      </w:r>
      <w:r w:rsidRPr="00507A31">
        <w:rPr>
          <w:color w:val="000000" w:themeColor="text1"/>
          <w:sz w:val="16"/>
          <w:szCs w:val="16"/>
          <w:vertAlign w:val="superscript"/>
        </w:rPr>
        <w:t>69</w:t>
      </w:r>
    </w:p>
    <w:p w14:paraId="4AE43D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Серийного КБ (01.1942-04.1944 г.)- С.Д. Колосов.</w:t>
      </w:r>
    </w:p>
    <w:p w14:paraId="312213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034259FB" w14:textId="77777777" w:rsidR="00083A1F" w:rsidRPr="00507A31" w:rsidRDefault="00083A1F" w:rsidP="00507A31">
      <w:pPr>
        <w:autoSpaceDE w:val="0"/>
        <w:autoSpaceDN w:val="0"/>
        <w:adjustRightInd w:val="0"/>
        <w:jc w:val="both"/>
        <w:rPr>
          <w:color w:val="000000" w:themeColor="text1"/>
          <w:sz w:val="16"/>
          <w:szCs w:val="16"/>
        </w:rPr>
      </w:pPr>
    </w:p>
    <w:p w14:paraId="2382AD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Завод «Сельмаш», основанный братьями Грибченковыми в 1896 г., был переименован в завод «Металлист», в 1934 г.- в Калужский весовой завод.</w:t>
      </w:r>
    </w:p>
    <w:p w14:paraId="675088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 728с/316с от 12.12.1940 г. Весовой завод им. Тельмана НКОМ передан в НКАП. По приказу № 71 с от 27.01.1941  г. он получил наименование ГС завод № 478 им. Тельмана в ведении 6ГУ НКАП (ГС Завод № 478 ИМ. Тельмана НКАП, Завод «Сельмаш», Завод «Металлист», Калужский весовой завод, Весовой завод им. Тельмана НКОМ /г. Калуга/).</w:t>
      </w:r>
    </w:p>
    <w:p w14:paraId="178226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 войной осуществлялось производство масло- и бензобаков, капотов, бензомаслопроводов для самолетов.</w:t>
      </w:r>
    </w:p>
    <w:p w14:paraId="7715CE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 1076сс от 24.10.1941 г. завод № 478 6ГУ НКАП эвакуирован в Чкалов на площадку завода № 47 НКАП и по приказу № 1104 от 9.11.1941 г. со всем оборудованием и личным составом влит в его состав. Выбыл из числа действующих, (есть информация, что завод № 478 (возможно, другая его часть) эвакуирован в Ташкент и влит в состав завода № 84 НКАП).</w:t>
      </w:r>
    </w:p>
    <w:p w14:paraId="1A9064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распоряжению СНК № 2264р от 11.02.1942 г. площадка в Калуге передана в НКПС для организации производства запчастей и механизмов для восстановления ж/д транспорта, где образован Литейно-механический завод.</w:t>
      </w:r>
    </w:p>
    <w:p w14:paraId="307DD6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(-11.1941 г.)- Антонов.</w:t>
      </w:r>
    </w:p>
    <w:p w14:paraId="66A49C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Литейно-механический завод НКПС, Калужский завод транспортного машиностроения («Калугатрансмаш»), АООТ, ОАО «Калугатрансмаш» /248634  г. Калуга ул. Московская, 250/</w:t>
      </w:r>
    </w:p>
    <w:p w14:paraId="5412EF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распоряжению СНК № 2264р от 11.02.1942 г. площадка эвакуированного завода № 478 НКАП передана в НКПС и на ней организован Литейно-механический завод для производства запчастей и механизмов для восстановления ж/д транспорта. В 1957 г. Литейно-механический завод переименован в Калужский завод транспортного машиностроения. В 1993 г. завод акционирован и преобразован в АООТ, а с 1996 г.- ОАО «Калугатрансмаш».</w:t>
      </w:r>
    </w:p>
    <w:p w14:paraId="75688D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Гендиректор (1995-2004 г.)- В.Д. Ермаков, (2004 г.-)- В.П. Злобин (11982).</w:t>
      </w:r>
    </w:p>
    <w:p w14:paraId="4710E1AC" w14:textId="77777777" w:rsidR="00083A1F" w:rsidRPr="00507A31" w:rsidRDefault="00083A1F" w:rsidP="00507A31">
      <w:pPr>
        <w:autoSpaceDE w:val="0"/>
        <w:autoSpaceDN w:val="0"/>
        <w:adjustRightInd w:val="0"/>
        <w:jc w:val="both"/>
        <w:rPr>
          <w:color w:val="000000" w:themeColor="text1"/>
          <w:sz w:val="16"/>
          <w:szCs w:val="16"/>
        </w:rPr>
      </w:pPr>
    </w:p>
    <w:p w14:paraId="6DAE4E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новая территория по Ленинградскому шоссе была застроена несколькими производственными зданиями, и сюда перевели Центральные мастерские «Добролета» по ремонту самолетов с территории по ул. Красноармейской, 17. Вскоре мастерские переименованы в Центральную авиационно-ремонтную базу (ЦАРБ) ГВФ. В 1932 г. ЦАРБ переведена на завод № 89 (Ремонтный завод № 89 ГВФ им. А.И. Гольцмана (ЗиГ), ГС Завод № 89 им. Водопьянова НКАП /г. Москва Ленинградское ш., 55/).</w:t>
      </w:r>
    </w:p>
    <w:p w14:paraId="530BA4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середине 1930-х  г. завод № 89 был производственной базой ЦКБ ГВФ А. Лявиля. До 1938 г. носил имя А.И. Гольцмана, в 1938 г. присвоено имя Водопьянова.</w:t>
      </w:r>
    </w:p>
    <w:p w14:paraId="00A607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 342с/ 28 от 19.04.1941 г. завод передан в систему НКАП (акт передачи утвержден в 08.1941 г.) и влит в состав Завода № 1 НКАП в качестве филиала.</w:t>
      </w:r>
    </w:p>
    <w:p w14:paraId="7C7F3E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 705с от 17.07.1941 г. филиал (завод № 89) эвакуирован в Куйбышев со всем оборудованием и личным составом и влит сначала в состав завода № 122 НКАП, а к 10.1941 г.- в состав завода № 1 НКАП (приказ № 1084сс от 28.10.1941 г.).</w:t>
      </w:r>
    </w:p>
    <w:p w14:paraId="3882D3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площадке эвакуированного завода с 12.1941 по 05.1942 г. размещались фронтовые авиамастерские № 84, которые занимались ремонтом самолетов «Харрикейн» и Ил-2. По приказу № 239с от 30.03.1942 г. на базе реммастерских с 05.1942 г. был организован самолетный Ремонтный завод при Главремуправлении НКАП. Ремонт Ил-2, «Харрикейн», «Томагавк», ПС-84. Работы по оборудованию ПС-84 бомбардировочными установками (05.1942 г.). Завод комплектовался случайным оборудованием.</w:t>
      </w:r>
    </w:p>
    <w:p w14:paraId="0E08C1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связи с переименованием Главремуправления в 6ГУ НКАП, в соответствии с пост. СНК № 913-472сс от 11.06.1942 г. и приказом № 287с от 16.04.1942 г. завод получил прежний литерный номер и наименование ГС завод № 89 6ГУ НКАП.</w:t>
      </w:r>
    </w:p>
    <w:p w14:paraId="00E8B1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соответствии с пост. ГКО № 3028сс от 12.03.1943 г. и приказом № 174с от 27.03.1943 г. на заводе организовано переоборудование и перевооружение иностранных самолетов, для чего весь задел работ по иностранным самолетам (модернизация и перевооружение «Харрикейна» и «Бостон-3») вместе с КБ А.П. Голубкова, а также около 150 работников завода № 81 были переведены с завода № 81 </w:t>
      </w:r>
      <w:r w:rsidRPr="00507A31">
        <w:rPr>
          <w:color w:val="000000" w:themeColor="text1"/>
          <w:sz w:val="16"/>
          <w:szCs w:val="16"/>
          <w:lang w:val="en-US"/>
        </w:rPr>
        <w:t>HKAJQ</w:t>
      </w:r>
      <w:r w:rsidRPr="00507A31">
        <w:rPr>
          <w:color w:val="000000" w:themeColor="text1"/>
          <w:sz w:val="16"/>
          <w:szCs w:val="16"/>
        </w:rPr>
        <w:t xml:space="preserve"> на завод </w:t>
      </w:r>
      <w:r w:rsidRPr="00507A31">
        <w:rPr>
          <w:color w:val="000000" w:themeColor="text1"/>
          <w:sz w:val="16"/>
          <w:szCs w:val="16"/>
          <w:lang w:val="en-US"/>
        </w:rPr>
        <w:t>N</w:t>
      </w:r>
      <w:r w:rsidRPr="00507A31">
        <w:rPr>
          <w:color w:val="000000" w:themeColor="text1"/>
          <w:sz w:val="16"/>
          <w:szCs w:val="16"/>
        </w:rPr>
        <w:t>»</w:t>
      </w:r>
      <w:r w:rsidRPr="00507A31">
        <w:rPr>
          <w:color w:val="000000" w:themeColor="text1"/>
          <w:sz w:val="16"/>
          <w:szCs w:val="16"/>
          <w:vertAlign w:val="subscript"/>
        </w:rPr>
        <w:t>:</w:t>
      </w:r>
      <w:r w:rsidRPr="00507A31">
        <w:rPr>
          <w:color w:val="000000" w:themeColor="text1"/>
          <w:sz w:val="16"/>
          <w:szCs w:val="16"/>
        </w:rPr>
        <w:t xml:space="preserve"> 89 НКАП. В годы ВОВ Голубков был начальником отдела иностранных самолетов 6ГУ НКАП, затем руководил ОКБ завода № 456.</w:t>
      </w:r>
    </w:p>
    <w:p w14:paraId="79F8B0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07.1943 г. заводу поручен ремонт Ли-2. Выполнено переоборудование 10 машин в вариант ночного бомбардировщика ПС-84НБ. С 05.1944 г. заданы работы по производству полевых приборов снаряжения средств химвооружения. До 1944 г. проводились работы по планирующим авиабомбам.</w:t>
      </w:r>
    </w:p>
    <w:p w14:paraId="548A9CF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НКАП № 655с от 11.11.1943 г. на площадку завода № 89 с 1.11.1943 г. перебазирован опытный Завод № 482 НКАП. По приказу НКАП № 424с от 5.07.1944 г. завод № 89 передан из 6ГУ в 7ГУ со статусом опытного завода и с 1.07.1944 г. объединен с заводом № 482 НКАП под общим названием Завод № 482 НКАП. Мясищеву передана часть оборудования и личного состава завода № 89. Тем же приказом около 50% рабочих завода № 89 переведены на завод № 240 НКАП, а большая часть оборудования, корпус «Г» и часть личного состава переданы заводу № 134 НКАЛ. За заводом № 240 был закреплен также ангар завода № 89.</w:t>
      </w:r>
    </w:p>
    <w:p w14:paraId="64B56C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Д.Е. Кофман, (1941 г.)- С.П. Судов, (05.1942 г.)- Н.Н. Леонтьев, (05.1943 г.)- М.С. Лавренов, (07.1943- 05.1944 г.-)- С.С. Ржыщев.</w:t>
      </w:r>
    </w:p>
    <w:p w14:paraId="1F142F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(1941-43 г.-)- А.П. Голубков.</w:t>
      </w:r>
    </w:p>
    <w:p w14:paraId="647CAB37"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 самолеты</w:t>
      </w:r>
      <w:r w:rsidRPr="00507A31">
        <w:rPr>
          <w:color w:val="000000" w:themeColor="text1"/>
          <w:sz w:val="16"/>
          <w:szCs w:val="16"/>
        </w:rPr>
        <w:t>. ПС-9 (1934), ПС-89- 7 шт. (11982).</w:t>
      </w:r>
    </w:p>
    <w:p w14:paraId="1DC141D6" w14:textId="77777777" w:rsidR="00537E5F" w:rsidRPr="00507A31" w:rsidRDefault="00537E5F" w:rsidP="00507A31">
      <w:pPr>
        <w:autoSpaceDE w:val="0"/>
        <w:autoSpaceDN w:val="0"/>
        <w:adjustRightInd w:val="0"/>
        <w:jc w:val="both"/>
        <w:rPr>
          <w:color w:val="000000" w:themeColor="text1"/>
          <w:sz w:val="16"/>
          <w:szCs w:val="16"/>
        </w:rPr>
      </w:pPr>
    </w:p>
    <w:p w14:paraId="1A0774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в ведении ВАО организован завод № 18, с 1932 г. - в самолетном тресте ГУАП НКТП. Начал строиться 17.05.1932 г. (фундамент заложен в 04.1931 г.), введен в строй в 1934 г. В 02.1937 г. ГС ордена Ленина завод № 18 - в ведении 1ГУ НКОП (и на 12.1938 г.). По приказу № 262сс от 22.03.1941 г. завод передан в ЮГУ НКАП.</w:t>
      </w:r>
    </w:p>
    <w:p w14:paraId="2B1E6F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Строящийся завод был ориентирован на выпуск тяжелых бомбардировщиков ТБ-3 (а в перспективе - ТБ-4 и ТБ-5)</w:t>
      </w:r>
    </w:p>
    <w:p w14:paraId="49AF6B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1932 г. на заводе работал авиаконструктор А.С. Москалев, затем организовал собственное ОКБ-31, располагавшееся в Воронежском авиатехникуме. В 1936-41 г. завод № 18 являлся его производственной базой.</w:t>
      </w:r>
    </w:p>
    <w:p w14:paraId="69BC39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07.1934-07.1936 г. на заводе работало КБ К.А. Калинина.</w:t>
      </w:r>
    </w:p>
    <w:p w14:paraId="74F258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1936 г. на заводе шло освоение производства ДБ-3. Производственная программа завода на 1937 г.: 500 ДБ-3. В 1936-37 г. шло также освоение производства ДБ-2. Решением СТО от 02.1938 г. выпуск ДБ-2 прекращен в пользу производства ДБ-3.</w:t>
      </w:r>
    </w:p>
    <w:p w14:paraId="104059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1937 г. была начата реконструкция завода. Приказом № 0032 от 8.02.1937 г. заводу предписано к 1.04.1937 г. сдать в эксплуатацию 3 пролета главного корпуса, в 3-м квартале - еще три, из них термический цех - к 1.06.1937 г.; в 4-м квартале сдать конвейерный коридор. По пр. № 6с от 8/11.101.1937 г. был создан Центральный технологический отдел в составе секторов: штамповки, механической технологии, сварочного, термического. По пр. № 299с от 7.08.1938 г. требовалось сдать в эксплуатацию цехи: термический - к 1.08.1938 г., покрытий и сварочный-к 15.08.1938 г.</w:t>
      </w:r>
    </w:p>
    <w:p w14:paraId="0FB4C6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составе завода цехи (1938 г.): № 1 механический, № 2 мелких сварных узлов, № 5 крупных сварных узлов, № 6 крыла, механо-сборочный, бако-медницкий, № 11 штамповочный (6500 м</w:t>
      </w:r>
      <w:r w:rsidRPr="00507A31">
        <w:rPr>
          <w:color w:val="000000" w:themeColor="text1"/>
          <w:sz w:val="16"/>
          <w:szCs w:val="16"/>
          <w:vertAlign w:val="superscript"/>
        </w:rPr>
        <w:t>2</w:t>
      </w:r>
      <w:r w:rsidRPr="00507A31">
        <w:rPr>
          <w:color w:val="000000" w:themeColor="text1"/>
          <w:sz w:val="16"/>
          <w:szCs w:val="16"/>
        </w:rPr>
        <w:t>), нормалей, шасси, инструментальный. По пр. № 115 от 21.03.1938 г. организовано представительство завода в Москве. В 1939 г. действовал цех № 7- сборочный по ДБ-3.</w:t>
      </w:r>
    </w:p>
    <w:p w14:paraId="252962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218 от 1.06.1938 г. при аэродинамической лаборатории завода организован 1-й филиал ЦАГИ.</w:t>
      </w:r>
    </w:p>
    <w:p w14:paraId="3FBF33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Для осуществления проекта нового </w:t>
      </w:r>
      <w:r w:rsidRPr="00507A31">
        <w:rPr>
          <w:color w:val="000000" w:themeColor="text1"/>
          <w:sz w:val="16"/>
          <w:szCs w:val="16"/>
          <w:lang w:val="en-US"/>
        </w:rPr>
        <w:t>JIA</w:t>
      </w:r>
      <w:r w:rsidRPr="00507A31">
        <w:rPr>
          <w:color w:val="000000" w:themeColor="text1"/>
          <w:sz w:val="16"/>
          <w:szCs w:val="16"/>
        </w:rPr>
        <w:t xml:space="preserve"> «Ротоплан» с 6-лопастным ротором на горизонтальной оси (типа коловратного колеса) М.Ф. Кортикова пр. № 460с от 14/19.12.1938 г. заводу поручено изготовить продувочную модель «Ротоплана» и провести продувки к 1.05.1939 г. По результатам продувок Б.Н. Юрьевым был сделан вывод о бесперспективности подобных конструкций.</w:t>
      </w:r>
    </w:p>
    <w:p w14:paraId="251838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1939 г. проектная мощность завода составляла 2500 ДБ-3 в год, годовой план составлял 550 самолетов. В соответствии с пост. КО № 532 от 31.05.1939 г. необходимо было с </w:t>
      </w:r>
      <w:r w:rsidRPr="00507A31">
        <w:rPr>
          <w:color w:val="000000" w:themeColor="text1"/>
          <w:sz w:val="16"/>
          <w:szCs w:val="16"/>
          <w:lang w:val="en-US"/>
        </w:rPr>
        <w:t>IV</w:t>
      </w:r>
      <w:r w:rsidRPr="00507A31">
        <w:rPr>
          <w:color w:val="000000" w:themeColor="text1"/>
          <w:sz w:val="16"/>
          <w:szCs w:val="16"/>
        </w:rPr>
        <w:t>-</w:t>
      </w:r>
      <w:r w:rsidRPr="00507A31">
        <w:rPr>
          <w:color w:val="000000" w:themeColor="text1"/>
          <w:sz w:val="16"/>
          <w:szCs w:val="16"/>
          <w:lang w:val="en-US"/>
        </w:rPr>
        <w:t>ro</w:t>
      </w:r>
      <w:r w:rsidRPr="00507A31">
        <w:rPr>
          <w:color w:val="000000" w:themeColor="text1"/>
          <w:sz w:val="16"/>
          <w:szCs w:val="16"/>
        </w:rPr>
        <w:t xml:space="preserve"> квартала 1939 г. начать выпуск ДБ-ЗФ.</w:t>
      </w:r>
    </w:p>
    <w:p w14:paraId="2D4AA7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Комитета обороны № 236 от 29.05.1940 г. началось освоение производства Ер-2 (предписывалось в этом году выпустить 70 машин). 23.08.1941 г. вышло постановление ГКО № 568 о прекращении производства Ер-2 с М-40Ф. 5.12.1940 г. вышло постановление правительства о прекращении производства ДБ-240 с М-105. А пост. СНК от 10.12.1940 г. поручалось в 1941 г. построить 90 машин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w:t>
      </w:r>
    </w:p>
    <w:p w14:paraId="240296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НКАП № 739 от 14.12.1940 г. был запущен в серию одноместный Ил-2 с АМ-35А и организовано представительство ОКБ Ильюшина на заводе. Производство было необходимо начать с 15.02.1941 г., а всего в 1941 г. построить 1200 машин. Приказами НКАП от 7.01.1941 г. и от 14.02.1941 г. запущен в серию Ил-2 с АМ-38. Завод № 18 определен головным по производству штурмовика (остальные заводы должны были строить Ил-2 по его чертежам). 27.08.1941 г. вышло постановление ГКО № 591 об увеличении выпуска Ил-2. 7.02.1942 г. вышло постановление ГКО № 1254сс о начале выпуска на заводе Ил-2 с двойным управлением с 15.02.1942 г. по 20 самолетов в месяц. Пост. ГКО № 1376сс от 3.03.1942 г. заводу утвержден суточный план на 03.1942 г. по выпуску Ил-2: с 1 по 5 марта - 35 машин, в остальные дни - по 45 машин. В соответствии с пост. ГКО № 2374 от 5.10.1942 г. запущен в серию двухместный Ил-2 с АМ-38. К концу октября завод должен был выпустить 70 машин.</w:t>
      </w:r>
    </w:p>
    <w:p w14:paraId="125E8E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производства на 1941 г.: 1200 Ил-2,400 ДБ-ЗФ и 100 Ер-2.</w:t>
      </w:r>
      <w:r w:rsidRPr="00507A31">
        <w:rPr>
          <w:color w:val="000000" w:themeColor="text1"/>
          <w:sz w:val="16"/>
          <w:szCs w:val="16"/>
          <w:vertAlign w:val="superscript"/>
        </w:rPr>
        <w:t>144</w:t>
      </w:r>
    </w:p>
    <w:p w14:paraId="509678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НКАП № 533 от 17.06.1941 г. начата подготовка к производству «103» (Ту-2) с планом на 1942 г. 1000 машин, но начало войны помешало осуществлению плана.</w:t>
      </w:r>
    </w:p>
    <w:p w14:paraId="378FD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751 от 9.10.1941 г. и приказом НКАП № 1056сс от 10.10.1941 г. в течение октября-ноября 1941 г. завод эвакуирован в  г. Куйбышев, ст. Безьмянка на площадку строящегося завода № 295 НКАП. В результате слияния образован единый завод № 18 НКАП.</w:t>
      </w:r>
    </w:p>
    <w:p w14:paraId="24B7D9B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эвакуации здесь с 10.1941 по 04.1942 г. ОКБ-39 С.В. Ильюшина. После перебазирования ОКБ в Москву его представителем на заводе остался В.А. Борог, затем- А .Я. Левин.</w:t>
      </w:r>
    </w:p>
    <w:p w14:paraId="3C288F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12.1941 г. на площадке эвакуированного завода организованы самолетные Ремонтные мастерские. Начальник мастерских-  Г.Л. Волощенко. Осуществлялся ремонт самолетов Юго-Западного фронта.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04.1942 г. филиал реорганизован в ГСЗ№ 450 НКАП.</w:t>
      </w:r>
    </w:p>
    <w:p w14:paraId="7B08E2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w:t>
      </w:r>
    </w:p>
    <w:p w14:paraId="1EE705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03.1943 г. на завод № 18 передана часть оборудования завода № 381 НКАП, реэвакуированного из Нижнего Тагила.</w:t>
      </w:r>
    </w:p>
    <w:p w14:paraId="1FC02D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23.07.1944 г. вышло постановление ГКО № 6246 о производстве Ил-10 на заводе.</w:t>
      </w:r>
    </w:p>
    <w:p w14:paraId="2AA81A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0E1FEF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1956 г. на заводе образован филиал ОКБ-156, начальник- А.И. Путилов. Впоследствии филиал преобразован в ОКБ.</w:t>
      </w:r>
    </w:p>
    <w:p w14:paraId="7A2712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СМ СССР № 713-342 от 26.06.1957 г. передан в ведение СНХ РСФСР.</w:t>
      </w:r>
    </w:p>
    <w:p w14:paraId="47F3DB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1970-е  г. построен малярный ангар с пролетом 100 м.</w:t>
      </w:r>
    </w:p>
    <w:p w14:paraId="713D29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1983 г. с Таганрогского авиазавода передано производство Ту-95МС. Мощности по его производству свернуты в 1995 г. В 1980-е  г. велась подготовка к выпуску Ту-204, но производство передали в УАПК. В 1997 г. началось освоение производства Ан-140 (1-я машина построена 25.12.2003 г.).</w:t>
      </w:r>
    </w:p>
    <w:p w14:paraId="526AD2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1989 г. на базе Куйбышевского авиационного завода создано Куйбышевское авиационное ПО. В 2000 г.- ЗАО, в 2002 г.- ОАО «Авиакор-Авиационный завод». С 04.1999 г. завод контролировался компанией «Сибирский алюминий» (затем- «Базовый элемент», и в 2009 г.). В 09.2005 г. вошел в ОАО «Русские машины». В состав ЗАО «Авиакор-Авиационный завод» входили (2000 г.) дочерние предприятия: «Авиакор-мебель», «Микрон», «Авиакор-сервис», «Авиакор-ремонт».</w:t>
      </w:r>
    </w:p>
    <w:p w14:paraId="6722EF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решению правительства № 22-р от 9.01.2004 г. вошло в перечень стратегических предприятий. В 2009 г. планировалось вхождение предприятия в </w:t>
      </w:r>
      <w:r w:rsidRPr="00507A31">
        <w:rPr>
          <w:color w:val="000000" w:themeColor="text1"/>
          <w:sz w:val="16"/>
          <w:szCs w:val="16"/>
          <w:lang w:val="en-US"/>
        </w:rPr>
        <w:t>OAK</w:t>
      </w:r>
      <w:r w:rsidRPr="00507A31">
        <w:rPr>
          <w:color w:val="000000" w:themeColor="text1"/>
          <w:sz w:val="16"/>
          <w:szCs w:val="16"/>
        </w:rPr>
        <w:t>, в связи с этим для оптимизации издержек планировалось сокращение 1500 чел. из 2600 работающих.</w:t>
      </w:r>
    </w:p>
    <w:p w14:paraId="425B46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Планировалось освоение капремонта и модернизации Ту-95МС (2002 г.). На 2004 г. в производстве находились два Ан-140. Велась подготовка к производству Ту-334, Ан-70. Освоение производства штампов и пресс-форм всех видов сложности для автомобилестроения. С 1997 по 2004 г. завод не выпустил ни одного самолета;</w:t>
      </w:r>
      <w:r w:rsidRPr="00507A31">
        <w:rPr>
          <w:color w:val="000000" w:themeColor="text1"/>
          <w:sz w:val="16"/>
          <w:szCs w:val="16"/>
          <w:vertAlign w:val="superscript"/>
        </w:rPr>
        <w:t>1</w:t>
      </w:r>
      <w:r w:rsidRPr="00507A31">
        <w:rPr>
          <w:color w:val="000000" w:themeColor="text1"/>
          <w:sz w:val="16"/>
          <w:szCs w:val="16"/>
        </w:rPr>
        <w:t>"</w:t>
      </w:r>
      <w:r w:rsidRPr="00507A31">
        <w:rPr>
          <w:color w:val="000000" w:themeColor="text1"/>
          <w:sz w:val="16"/>
          <w:szCs w:val="16"/>
          <w:vertAlign w:val="superscript"/>
        </w:rPr>
        <w:t>22 09 04</w:t>
      </w:r>
      <w:r w:rsidRPr="00507A31">
        <w:rPr>
          <w:color w:val="000000" w:themeColor="text1"/>
          <w:sz w:val="16"/>
          <w:szCs w:val="16"/>
        </w:rPr>
        <w:t xml:space="preserve"> в 2006 г. - 3 (2 Ту-154М, 1 Ан-140) и 6 отремонтировано, в 2007 г. - 1 Ан-140. На 2008 г. в заделе оставалось 4 планера Ту-154М, в 2008 г. планировалась достройка последнего, третьего Ан-140.</w:t>
      </w:r>
    </w:p>
    <w:p w14:paraId="42AA33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Количество оборудования: (11.1940 г.)- 1247 металлорежущих станков.</w:t>
      </w:r>
    </w:p>
    <w:p w14:paraId="168FDF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(12.1936 г.)- 1400 рабочих, (1940 г.)- 24.510 чел., (1980-е)~ 30.000 чел., (1.01.2003 г.)- 5072 чел., (2009 г.)- 2600 чел.</w:t>
      </w:r>
    </w:p>
    <w:p w14:paraId="288E9A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Директор (-06-28.10.1937 г.)- С.М. Шабашвшш (снят), (22.10.1937-22.02.1938 г.)- Н.И. Горьковенко, (22.02.1938-42 г.)- М.Б. Шенкман (погиб); и.о. (03.1941 г.)- А.А. Белянский; (06.1942-05.1946 г.-)- А.А. Белянский, Белеловский. Гендиректор (1980-е)- В. Земец, (2000 г.)- А. Карклин, (-2002-04 г.)- В.П. Белогуб, (04.2004 г.)-  Г.Н. Плотников, (-09.2005-0 / г.-)- С.К. Лихарев, (2010 г.)- А. Гусев. Арбитражный управляющий (1994 г.-)- </w:t>
      </w:r>
      <w:r w:rsidRPr="00507A31">
        <w:rPr>
          <w:color w:val="000000" w:themeColor="text1"/>
          <w:sz w:val="16"/>
          <w:szCs w:val="16"/>
          <w:lang w:val="en-US"/>
        </w:rPr>
        <w:t>JI</w:t>
      </w:r>
      <w:r w:rsidRPr="00507A31">
        <w:rPr>
          <w:color w:val="000000" w:themeColor="text1"/>
          <w:sz w:val="16"/>
          <w:szCs w:val="16"/>
        </w:rPr>
        <w:t>.</w:t>
      </w:r>
      <w:r w:rsidRPr="00507A31">
        <w:rPr>
          <w:color w:val="000000" w:themeColor="text1"/>
          <w:sz w:val="16"/>
          <w:szCs w:val="16"/>
          <w:lang w:val="en-US"/>
        </w:rPr>
        <w:t>A</w:t>
      </w:r>
      <w:r w:rsidRPr="00507A31">
        <w:rPr>
          <w:color w:val="000000" w:themeColor="text1"/>
          <w:sz w:val="16"/>
          <w:szCs w:val="16"/>
        </w:rPr>
        <w:t>. Хасис.</w:t>
      </w:r>
    </w:p>
    <w:p w14:paraId="01C945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1-й зам. гендиректора (-2006-07 г.-)- Е.В. Цыбанов. Зам. директора (22.10.1937 г.-)- М.Н. Корнеев, (15.12.1937 г.- )- И.Н. Мартынов; по ПВО и охране (29.11.1938 г.-)- Н.Д. Гусев. Помощник директора по найму и увольнению (14.05.1938 г.-)- И.Т. Измалков. Зам. гендиректора: начальник авиационного производства (2000 г.)- А. Кириллов; (2000 г.)- В. Петрищев.</w:t>
      </w:r>
    </w:p>
    <w:p w14:paraId="217D85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Исполнительный директор (2005 г.)- С.К. Лихарев.</w:t>
      </w:r>
    </w:p>
    <w:p w14:paraId="67713C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(22.10.1937-01.1938 г.-)- М.Н. Корнеев, (03.1941 г.)- Н.Д. Востров.</w:t>
      </w:r>
    </w:p>
    <w:p w14:paraId="7E1835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(07.1934-07.1936 г.)- К.А. Калинин, (08.1936-08.1938 г.)- А.А. Сеньков.</w:t>
      </w:r>
    </w:p>
    <w:p w14:paraId="01B723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технолог (2000 г.)- В. Антонюк.</w:t>
      </w:r>
    </w:p>
    <w:p w14:paraId="69DEF2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Серийного КБ (05.1941 г.)- В.К. Золотухин, (04.1942 г.-)- В.Н. Бугайский. Гл. конструктор СКВ (1938 г.)- М.Н. Корнеев. Начальник ЛИС (1938 г.)- А.А. Сеньков,</w:t>
      </w:r>
      <w:r w:rsidRPr="00507A31">
        <w:rPr>
          <w:color w:val="000000" w:themeColor="text1"/>
          <w:sz w:val="16"/>
          <w:szCs w:val="16"/>
          <w:vertAlign w:val="superscript"/>
        </w:rPr>
        <w:t>84</w:t>
      </w:r>
      <w:r w:rsidRPr="00507A31">
        <w:rPr>
          <w:color w:val="000000" w:themeColor="text1"/>
          <w:sz w:val="16"/>
          <w:szCs w:val="16"/>
        </w:rPr>
        <w:t xml:space="preserve"> (1941 г.)- м К.К. Рыков. Руководитель проекта Ан-140 (2004 г.)- С. Кузнецов.</w:t>
      </w:r>
    </w:p>
    <w:p w14:paraId="291604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Летчики-испытатели: (1942 г.)- Е.Н. Ломакин, (1941 г.)- К.К. Рыков.</w:t>
      </w:r>
    </w:p>
    <w:p w14:paraId="4CAA67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самолеты: САМ-5, АНТ-25, К-12, К-13, ТБ-3 (1934; 1937)- 6, ДБ-1 (1936-37)- 13, ДБ-3 (1937- 39), ДБ-ЗФ (1939-41)- всего 1907, Ер-2 (1940-41)- 71, Ил-2 (03.1941-45)- 15.099, Ил-10 (1944-45)- 1435, Ил-10УТ (1945-47), Ту-4 (1947-52)- 847 (всего на 3 заводах), Ил-28 (1953)- 50, Ту-16, Ту-95 (1955-58)- 31, Ту-95К (1958-65), Ту-95МС (1983-92)- 88 (вместе с заводом № 86),</w:t>
      </w:r>
      <w:r w:rsidRPr="00507A31">
        <w:rPr>
          <w:color w:val="000000" w:themeColor="text1"/>
          <w:sz w:val="16"/>
          <w:szCs w:val="16"/>
          <w:vertAlign w:val="superscript"/>
        </w:rPr>
        <w:t>30</w:t>
      </w:r>
      <w:r w:rsidRPr="00507A31">
        <w:rPr>
          <w:color w:val="000000" w:themeColor="text1"/>
          <w:sz w:val="16"/>
          <w:szCs w:val="16"/>
        </w:rPr>
        <w:t xml:space="preserve"> Ту-114 (1958-), Ту-116 (1957)- 2, Ту-126 (1962-), Ту-142 (1972), Ту-154, Ту-154М (-2004-07-), Ту-160, Ан-140 (2003-08-)- 2, «Аист-2» (2004), «Аист-4» (2004), «Молния-012» (2004); капремонт Ту-154, -М (-2003-10-); МКР «Буря» (1957 г.)- 19 (вместе с заводом № 301), ЗУР «Даль (1961)- 5; агрегаты РКТ, наземных станций космической связи, ВКС «Буран»;</w:t>
      </w:r>
      <w:r w:rsidRPr="00507A31">
        <w:rPr>
          <w:color w:val="000000" w:themeColor="text1"/>
          <w:sz w:val="16"/>
          <w:szCs w:val="16"/>
          <w:vertAlign w:val="superscript"/>
        </w:rPr>
        <w:t>69</w:t>
      </w:r>
      <w:r w:rsidRPr="00507A31">
        <w:rPr>
          <w:color w:val="000000" w:themeColor="text1"/>
          <w:sz w:val="16"/>
          <w:szCs w:val="16"/>
        </w:rPr>
        <w:t xml:space="preserve"> кузовые детали автомобилей и с/х оборудование.</w:t>
      </w:r>
    </w:p>
    <w:p w14:paraId="40489B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Заводские номера: Ер-2 № 1851906 - (18 -№ завода, 5 - тип машины, 19 -№ самолета в серии, Об - № серии). ДБ-3 № 3018002; Ил-2 1872932 (11982).</w:t>
      </w:r>
    </w:p>
    <w:p w14:paraId="3C8C2536" w14:textId="77777777" w:rsidR="00537E5F" w:rsidRPr="00507A31" w:rsidRDefault="00537E5F" w:rsidP="00507A31">
      <w:pPr>
        <w:autoSpaceDE w:val="0"/>
        <w:autoSpaceDN w:val="0"/>
        <w:adjustRightInd w:val="0"/>
        <w:jc w:val="both"/>
        <w:rPr>
          <w:color w:val="000000" w:themeColor="text1"/>
          <w:sz w:val="16"/>
          <w:szCs w:val="16"/>
        </w:rPr>
      </w:pPr>
    </w:p>
    <w:p w14:paraId="677C6A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был создан институт «Ленгинцветмет» (Институт «Ленгинцветмет», НИИ легких металлов «НИИ Алюминий» НКТП, Государственный Всесоюзный институт по легким сплавам, НИИ Алюминиевой промышленности (НИИСалюминий) /г. Ленинград/). В 1931 г. по инициативе А.Н. Кузнецова он преобразован в НИИ легких металлов «НИИАлюминий» (назывался так по 1935г.). В 1963г. он объединен с Гипроалюминием в ВАМИ.</w:t>
      </w:r>
    </w:p>
    <w:p w14:paraId="2B04E6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1931-31 г. в подчинении института - Опытные алюминиевый и магниевый заводы.</w:t>
      </w:r>
    </w:p>
    <w:p w14:paraId="761440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 по научной части (1931-34г.)- А.Н. Кузнецов (11982).</w:t>
      </w:r>
    </w:p>
    <w:p w14:paraId="01F624FA" w14:textId="77777777" w:rsidR="00537E5F" w:rsidRPr="00507A31" w:rsidRDefault="00537E5F" w:rsidP="00507A31">
      <w:pPr>
        <w:autoSpaceDE w:val="0"/>
        <w:autoSpaceDN w:val="0"/>
        <w:adjustRightInd w:val="0"/>
        <w:jc w:val="both"/>
        <w:rPr>
          <w:color w:val="000000" w:themeColor="text1"/>
          <w:sz w:val="16"/>
          <w:szCs w:val="16"/>
        </w:rPr>
      </w:pPr>
    </w:p>
    <w:p w14:paraId="5AF541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Центральные мастерские «Добролета» по ремонту самолетов переведены на новую площадку на Ленинградском ш., 55 (далее - завод № 89), а в небольших помещениях по ул. Красноармейской была образована база опытного самолетостроения (ЗОК, завод опытных конструкций) при НИИ ГВФ. В 1936-39 г. предприятие действовало как завод № 240 ГВФ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вновь в качестве ремонтного. Завод имел две площадки: территорию «А» - по ул. Красноармейской, 17 и территорию «Б» - по Ленинградскому ш., 55А (ранее здесь был Гос. Библиотечный институт им. Молотова).</w:t>
      </w:r>
    </w:p>
    <w:p w14:paraId="0DE235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С 1930 г. ЗОК являлся производственной базой КБ Бартини при НИИ ГВФ. После ареста Бартини в 02.1938 г. </w:t>
      </w:r>
      <w:r w:rsidRPr="00507A31">
        <w:rPr>
          <w:iCs/>
          <w:color w:val="000000" w:themeColor="text1"/>
          <w:sz w:val="16"/>
          <w:szCs w:val="16"/>
        </w:rPr>
        <w:t>КБ возглавил 3.Б. Ценципер, а затем- В. Г. Ермолаев. Весной 1939 г. оно реорганизовано В ОКБ-240 НКАП.</w:t>
      </w:r>
    </w:p>
    <w:p w14:paraId="3A2EDC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решению Комитета Обороны при СНК№ 95сс от 3.03.1940 г. и приказу № 125/26сс от 14-15.03.1940 г. завод с обеими территориями передан с 1.03.1940 г. из ГУ ГВФ в НКАП. Определен как опытная база ОКБ В. Г. Ермолаева.</w:t>
      </w:r>
    </w:p>
    <w:p w14:paraId="32D714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войны завод был перенацелен на производство бомбовых кассет КМБ-2.</w:t>
      </w:r>
    </w:p>
    <w:p w14:paraId="0032BF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 1050сс от 8.10.1941 г. часть завода № 240 7ГУ НКАП эвакуирована (с 9.10.1941 г.) в Казань на площадку завода № 124 НКАП и влита в его состав для работ по ремонту Ер-2 и помощи серийному производству завода. После эвакуации часть сотрудников проводила госиспытания Ер-2 с АМ-37 в Свердловске.</w:t>
      </w:r>
      <w:r w:rsidRPr="00507A31">
        <w:rPr>
          <w:color w:val="000000" w:themeColor="text1"/>
          <w:sz w:val="16"/>
          <w:szCs w:val="16"/>
          <w:vertAlign w:val="superscript"/>
        </w:rPr>
        <w:t>34</w:t>
      </w:r>
      <w:r w:rsidRPr="00507A31">
        <w:rPr>
          <w:color w:val="000000" w:themeColor="text1"/>
          <w:sz w:val="16"/>
          <w:szCs w:val="16"/>
        </w:rPr>
        <w:t xml:space="preserve"> Из-за невозможности размещения завода полностью в Казани работы по доводке Ер-2 с АМ-37 организовывались там же, в Свердловске. В 12.1941 г. часть мощностей завода передана в состав вновь образованного завода № 30.</w:t>
      </w:r>
    </w:p>
    <w:p w14:paraId="35E61F7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 6с от 4.01.1942 г. завод под прежним номером начал восстанавливаться на старой площадке, возвращались кадры. В 04.1942 г. все оборудование возвращено обратно. Осуществлялся ремонт Ер-2.</w:t>
      </w:r>
    </w:p>
    <w:p w14:paraId="58532A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НКАП № 304 от 21.04.1942 г. на завод № 240 7ГУ в Москву было переведено ОКБ С.В. Ильюшина, и завод стал его опытной базой. Приказом по заводу от 13.07.1942 г. были распределены обязанности руководства: гл. конструктору подчинены КБ, отделы: плановый, ОТК, секретный; техбиблиотека. В ведении начальника производства: цеха, отделы: технический, техники безопасности, инструментальный. Зам. директора подчинены отделы: ОРС, кадров, МТС, гл. механика, капстроительства, АХО; бухгалтерия, охрана.</w:t>
      </w:r>
    </w:p>
    <w:p w14:paraId="099BC0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04-07.1942 г. по приказу № 517с от 12.07.1942 г. территория «Б» завода № 240 преобразована в самостоятельный опытный завод № 134 НКАП.</w:t>
      </w:r>
    </w:p>
    <w:p w14:paraId="3744E7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Для обеспечения аэродромных работ за заводом № 240 был закреплен ангар завода № 89. Завод в 1942 г. состоял из сборочного цеха (позже № 5), механического (№ 2) и группы статиспытаний.</w:t>
      </w:r>
    </w:p>
    <w:p w14:paraId="6981CF1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НКАП № 424с от 5.07.1944 г. около 50% рабочих ликвидированного завода № 89 переведены на завод № 240 НКАП для укрепления производственной базы ОКБ Ильюшина.</w:t>
      </w:r>
    </w:p>
    <w:p w14:paraId="33F303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НКАП № 61с от 20.02.1946 г. после ликвидации ОКБ-482 В. М. Мясищева заводу № 240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0CCC6F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19CEBE9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2B727C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2000-е  г.</w:t>
      </w:r>
    </w:p>
    <w:p w14:paraId="6224C5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2000-е  г.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37B2AC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1960-е  г.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5C91E4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63E990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2000-е  г.</w:t>
      </w:r>
    </w:p>
    <w:p w14:paraId="1249B4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1950-е  г. создана сварочная лаборатория, преобразованная затем в службу гл. сварщика- экспериментальный отдел сварки (ЭОС).</w:t>
      </w:r>
    </w:p>
    <w:p w14:paraId="30ABB1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1960-е  г.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45BD30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05ED6B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ОГЭ цеха: № 11, № 12, № 13, энергообеспечения № 14 (создан в 1944 г.).</w:t>
      </w:r>
    </w:p>
    <w:p w14:paraId="0039B9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1980-х  г. в состав ОКС влился строительный цех.</w:t>
      </w:r>
    </w:p>
    <w:p w14:paraId="419E43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6F90DB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2352B59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507A31">
        <w:rPr>
          <w:color w:val="000000" w:themeColor="text1"/>
          <w:sz w:val="16"/>
          <w:szCs w:val="16"/>
          <w:lang w:val="en-US"/>
        </w:rPr>
        <w:t>OAK</w:t>
      </w:r>
      <w:r w:rsidRPr="00507A31">
        <w:rPr>
          <w:color w:val="000000" w:themeColor="text1"/>
          <w:sz w:val="16"/>
          <w:szCs w:val="16"/>
        </w:rPr>
        <w:t>. , Численность персонала (1.01.1940 г.)-784 чел.</w:t>
      </w:r>
    </w:p>
    <w:p w14:paraId="370D6A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18BF5C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0047C5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(11.07.1942 г.-)- Я.С. Хаевский, (5.04.1947 г.-)- В.Н. Бугайский, (14.02.1948 г.-)- Ю.К. Лавровский, (9.02.1956 г.-)- В.А. Юдин, (10.11.1986 г.-)- В.А. Тимофеев.</w:t>
      </w:r>
    </w:p>
    <w:p w14:paraId="5C6495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Р.Л. Бартини, (03.1940-42 г.)- В. Г. Ермолаев, (07.1942-1970 г.)- С.В. Ильюшин. Ген. Конструктор (07.1970-2005 г.-)-  Г.В. Новожилов.</w:t>
      </w:r>
    </w:p>
    <w:p w14:paraId="19B54E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  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w:t>
      </w:r>
      <w:r w:rsidRPr="00507A31">
        <w:rPr>
          <w:color w:val="000000" w:themeColor="text1"/>
          <w:sz w:val="16"/>
          <w:szCs w:val="16"/>
        </w:rPr>
        <w:lastRenderedPageBreak/>
        <w:t>С.Ф. Буяков, (22.01.1990 г.-)- М.Ф. Макокин, (17.08.1992 г.-)- Л.А. Шмугляков (по серийному производству на ТАПОиЧ), (29.09.1993 г.-)- А.Л. Доброскоков, (28.03.1994 г.-)- М.С. Неймарк.</w:t>
      </w:r>
    </w:p>
    <w:p w14:paraId="5B7E9A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22FE447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0F9645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производства (07.1942 г.)- В.К. Григорьев, (-1956 г.)- В.А. Юдин, (1956 г.-)- М.О. Дыдзинский, В. Г. Шкурин, (1991-2003 г.-&gt; М.Е. Шалимов.</w:t>
      </w:r>
    </w:p>
    <w:p w14:paraId="130393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0B47B3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Князев, (1946-60 г.)-  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  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  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58AC90B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начальника цеха: № 2 (1946 г.)- В.В. Гуськов, (1949 г.)- М.И. Демидов, (1988 г.)- А.П. Воронов, (1997 г.-)-B.Н.Горбачев;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6F390057" w14:textId="77777777" w:rsidR="00537E5F" w:rsidRPr="00507A31" w:rsidRDefault="00537E5F" w:rsidP="00507A31">
      <w:pPr>
        <w:tabs>
          <w:tab w:val="left" w:pos="452"/>
        </w:tabs>
        <w:autoSpaceDE w:val="0"/>
        <w:autoSpaceDN w:val="0"/>
        <w:adjustRightInd w:val="0"/>
        <w:jc w:val="both"/>
        <w:rPr>
          <w:color w:val="000000" w:themeColor="text1"/>
          <w:sz w:val="16"/>
          <w:szCs w:val="16"/>
        </w:rPr>
      </w:pPr>
      <w:r w:rsidRPr="00507A31">
        <w:rPr>
          <w:color w:val="000000" w:themeColor="text1"/>
          <w:sz w:val="16"/>
          <w:szCs w:val="16"/>
        </w:rPr>
        <w:t>C.С.Окуньков; № 18- В. Г. Шкурин, А.В. Александров, Б.Д. Иванов, В.П. Куракин, № 20 (1950-е)- А.Л. Славин, (1980-е)- А.И. Табунов, (1980-е)- М.Е. Шалимов.</w:t>
      </w:r>
    </w:p>
    <w:p w14:paraId="78CF02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507A31">
        <w:rPr>
          <w:color w:val="000000" w:themeColor="text1"/>
          <w:sz w:val="16"/>
          <w:szCs w:val="16"/>
          <w:lang w:val="en-US"/>
        </w:rPr>
        <w:t>A</w:t>
      </w:r>
      <w:r w:rsidRPr="00507A31">
        <w:rPr>
          <w:color w:val="000000" w:themeColor="text1"/>
          <w:sz w:val="16"/>
          <w:szCs w:val="16"/>
        </w:rPr>
        <w:t>.</w:t>
      </w:r>
      <w:r w:rsidRPr="00507A31">
        <w:rPr>
          <w:color w:val="000000" w:themeColor="text1"/>
          <w:sz w:val="16"/>
          <w:szCs w:val="16"/>
          <w:lang w:val="en-US"/>
        </w:rPr>
        <w:t>M</w:t>
      </w:r>
      <w:r w:rsidRPr="00507A31">
        <w:rPr>
          <w:color w:val="000000" w:themeColor="text1"/>
          <w:sz w:val="16"/>
          <w:szCs w:val="16"/>
        </w:rPr>
        <w:t>. Козлов, Ю.К. Киреев; ОМТС- С.П.Цветков, Гальцев,  Г.С. Шустер, Р.А. Храпко, В.А. Желонкин, И.А. Карсов, А.А. Щуплов; ОСПК-  Г.А. Цесарский,  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389E68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30206A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Начальники лабораторий: ЦЗЛ- Л.Б. Усенко; рентгеновской (1948 г.)- В.В. Алексеев; химической (1948 г.)- </w:t>
      </w:r>
      <w:r w:rsidRPr="00507A31">
        <w:rPr>
          <w:color w:val="000000" w:themeColor="text1"/>
          <w:sz w:val="16"/>
          <w:szCs w:val="16"/>
          <w:lang w:val="en-US"/>
        </w:rPr>
        <w:t>JI</w:t>
      </w:r>
      <w:r w:rsidRPr="00507A31">
        <w:rPr>
          <w:color w:val="000000" w:themeColor="text1"/>
          <w:sz w:val="16"/>
          <w:szCs w:val="16"/>
        </w:rPr>
        <w:t>.</w:t>
      </w:r>
      <w:r w:rsidRPr="00507A31">
        <w:rPr>
          <w:color w:val="000000" w:themeColor="text1"/>
          <w:sz w:val="16"/>
          <w:szCs w:val="16"/>
          <w:lang w:val="en-US"/>
        </w:rPr>
        <w:t>B</w:t>
      </w:r>
      <w:r w:rsidRPr="00507A31">
        <w:rPr>
          <w:color w:val="000000" w:themeColor="text1"/>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507A31">
        <w:rPr>
          <w:iCs/>
          <w:color w:val="000000" w:themeColor="text1"/>
          <w:sz w:val="16"/>
          <w:szCs w:val="16"/>
        </w:rPr>
        <w:t xml:space="preserve"> Е.Я.</w:t>
      </w:r>
      <w:r w:rsidRPr="00507A31">
        <w:rPr>
          <w:color w:val="000000" w:themeColor="text1"/>
          <w:sz w:val="16"/>
          <w:szCs w:val="16"/>
        </w:rPr>
        <w:t xml:space="preserve"> Белкин, Ф.Р. Куликов; фотоконтактной - Ю.И. Жиганов; Н.Т. Рошаль,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C</w:t>
      </w:r>
      <w:r w:rsidRPr="00507A31">
        <w:rPr>
          <w:color w:val="000000" w:themeColor="text1"/>
          <w:sz w:val="16"/>
          <w:szCs w:val="16"/>
        </w:rPr>
        <w:t>. Мухортов.</w:t>
      </w:r>
      <w:r w:rsidRPr="00507A31">
        <w:rPr>
          <w:color w:val="000000" w:themeColor="text1"/>
          <w:sz w:val="16"/>
          <w:szCs w:val="16"/>
          <w:vertAlign w:val="superscript"/>
        </w:rPr>
        <w:t>100</w:t>
      </w:r>
    </w:p>
    <w:p w14:paraId="6691BA88"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 самолеты:</w:t>
      </w:r>
      <w:r w:rsidRPr="00507A31">
        <w:rPr>
          <w:color w:val="000000" w:themeColor="text1"/>
          <w:sz w:val="16"/>
          <w:szCs w:val="16"/>
        </w:rPr>
        <w:t xml:space="preserve"> Ил-22 (1947)- 1, Ил-28 (1948)- 1, Ил-30 (1949)- 1, Ил-46 (1951)- 1, Ил-54 (1954)- 2 (11982).</w:t>
      </w:r>
    </w:p>
    <w:p w14:paraId="7FADE19F" w14:textId="77777777" w:rsidR="00537E5F" w:rsidRPr="00507A31" w:rsidRDefault="00537E5F" w:rsidP="00507A31">
      <w:pPr>
        <w:autoSpaceDE w:val="0"/>
        <w:autoSpaceDN w:val="0"/>
        <w:adjustRightInd w:val="0"/>
        <w:jc w:val="both"/>
        <w:rPr>
          <w:color w:val="000000" w:themeColor="text1"/>
          <w:sz w:val="16"/>
          <w:szCs w:val="16"/>
        </w:rPr>
      </w:pPr>
    </w:p>
    <w:p w14:paraId="4CB598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было создано единое КБ по авиавооружению во главе с А.В.Надашкевичем (85,434).</w:t>
      </w:r>
    </w:p>
    <w:p w14:paraId="6DA3B8BF" w14:textId="77777777" w:rsidR="00537E5F" w:rsidRPr="00507A31" w:rsidRDefault="00537E5F" w:rsidP="00507A31">
      <w:pPr>
        <w:autoSpaceDE w:val="0"/>
        <w:autoSpaceDN w:val="0"/>
        <w:adjustRightInd w:val="0"/>
        <w:jc w:val="both"/>
        <w:rPr>
          <w:color w:val="000000" w:themeColor="text1"/>
          <w:sz w:val="16"/>
          <w:szCs w:val="16"/>
        </w:rPr>
      </w:pPr>
    </w:p>
    <w:p w14:paraId="3CF36CBA"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В 1930 были разработаны десантные аэросани (изобретение Бродского и Соколенка).</w:t>
      </w:r>
    </w:p>
    <w:p w14:paraId="619EE06D"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Конструкция саней позволяла произвести их подвеску к самолету и быть переброшенными на любое расстояние. Могут быть сброшены с самолета на бреющем полете. …………………</w:t>
      </w:r>
    </w:p>
    <w:p w14:paraId="2714B308" w14:textId="77777777" w:rsidR="00537E5F" w:rsidRPr="00507A31" w:rsidRDefault="00537E5F" w:rsidP="00507A31">
      <w:pPr>
        <w:tabs>
          <w:tab w:val="left" w:pos="11199"/>
        </w:tabs>
        <w:autoSpaceDE w:val="0"/>
        <w:autoSpaceDN w:val="0"/>
        <w:adjustRightInd w:val="0"/>
        <w:jc w:val="both"/>
        <w:rPr>
          <w:color w:val="000000" w:themeColor="text1"/>
          <w:sz w:val="16"/>
          <w:szCs w:val="16"/>
        </w:rPr>
      </w:pPr>
      <w:r w:rsidRPr="00507A31">
        <w:rPr>
          <w:color w:val="000000" w:themeColor="text1"/>
          <w:sz w:val="16"/>
          <w:szCs w:val="16"/>
        </w:rPr>
        <w:t>Сани состоят из бронированного корпуса, в котором имеются две кабины: для водителя и пулеметчика. В задней части помещен мотор с воздушным охлаждением, который также может быть бронирован (6944).</w:t>
      </w:r>
    </w:p>
    <w:p w14:paraId="6024EFEE" w14:textId="77777777" w:rsidR="00537E5F" w:rsidRPr="00507A31" w:rsidRDefault="00537E5F" w:rsidP="00507A31">
      <w:pPr>
        <w:tabs>
          <w:tab w:val="left" w:pos="11199"/>
        </w:tabs>
        <w:autoSpaceDE w:val="0"/>
        <w:autoSpaceDN w:val="0"/>
        <w:adjustRightInd w:val="0"/>
        <w:jc w:val="both"/>
        <w:rPr>
          <w:color w:val="000000" w:themeColor="text1"/>
          <w:sz w:val="16"/>
          <w:szCs w:val="16"/>
        </w:rPr>
      </w:pPr>
    </w:p>
    <w:p w14:paraId="041555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была определена номенклатура авиабомб и под руководством Н.Т.Кулакова было создано спецКБ для разработки и испытания бомб (85,465).</w:t>
      </w:r>
    </w:p>
    <w:p w14:paraId="418C591A" w14:textId="77777777" w:rsidR="00537E5F" w:rsidRPr="00507A31" w:rsidRDefault="00537E5F" w:rsidP="00507A31">
      <w:pPr>
        <w:autoSpaceDE w:val="0"/>
        <w:autoSpaceDN w:val="0"/>
        <w:adjustRightInd w:val="0"/>
        <w:jc w:val="both"/>
        <w:rPr>
          <w:color w:val="000000" w:themeColor="text1"/>
          <w:sz w:val="16"/>
          <w:szCs w:val="16"/>
        </w:rPr>
      </w:pPr>
    </w:p>
    <w:p w14:paraId="404315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в спец. КБ были разработаны взрыватели. Для осколочных и специальных - группа АМ, для фугасных - АПУВ, АВ-1 под руководством Д.Н.Вишневского - широко применялись во время войны. Дистанционные для осветительных и фотобомб - АГДТ пиротехнические и ТМ-24 - механические (85,467).</w:t>
      </w:r>
    </w:p>
    <w:p w14:paraId="68992440" w14:textId="77777777" w:rsidR="00537E5F" w:rsidRPr="00507A31" w:rsidRDefault="00537E5F" w:rsidP="00507A31">
      <w:pPr>
        <w:autoSpaceDE w:val="0"/>
        <w:autoSpaceDN w:val="0"/>
        <w:adjustRightInd w:val="0"/>
        <w:jc w:val="both"/>
        <w:rPr>
          <w:color w:val="000000" w:themeColor="text1"/>
          <w:sz w:val="16"/>
          <w:szCs w:val="16"/>
        </w:rPr>
      </w:pPr>
    </w:p>
    <w:p w14:paraId="561093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на вооружение поступил спаренный ДА-2, но приказа также не было Появился после того, как НТК УВВС обратился в Оружейно-пулеметный трест с просьбой дать задание на проектирование. Был сделан станок, внесены изменения (86,27).</w:t>
      </w:r>
    </w:p>
    <w:p w14:paraId="54F95C11" w14:textId="77777777" w:rsidR="00537E5F" w:rsidRPr="00507A31" w:rsidRDefault="00537E5F" w:rsidP="00507A31">
      <w:pPr>
        <w:autoSpaceDE w:val="0"/>
        <w:autoSpaceDN w:val="0"/>
        <w:adjustRightInd w:val="0"/>
        <w:jc w:val="both"/>
        <w:rPr>
          <w:color w:val="000000" w:themeColor="text1"/>
          <w:sz w:val="16"/>
          <w:szCs w:val="16"/>
        </w:rPr>
      </w:pPr>
    </w:p>
    <w:p w14:paraId="7D4DDBD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7 человек (пять от ВВС не ниже майора и по одному от А.Н.Т. и К.А.К. - Д.И.Григоров) были направлены в командировку в немецкую воинскую авиационную часть под Липецк. Туда немцы летали на переподготовку через Польшу в звездах. Секретная база. Советские экипажи тренировались с немцами (70,158).</w:t>
      </w:r>
    </w:p>
    <w:p w14:paraId="2EF7442F" w14:textId="77777777" w:rsidR="00537E5F" w:rsidRPr="00507A31" w:rsidRDefault="00537E5F" w:rsidP="00507A31">
      <w:pPr>
        <w:autoSpaceDE w:val="0"/>
        <w:autoSpaceDN w:val="0"/>
        <w:adjustRightInd w:val="0"/>
        <w:jc w:val="both"/>
        <w:rPr>
          <w:color w:val="000000" w:themeColor="text1"/>
          <w:sz w:val="16"/>
          <w:szCs w:val="16"/>
        </w:rPr>
      </w:pPr>
    </w:p>
    <w:p w14:paraId="5EFF95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производство часов завода «Авиаприбор» выделено в самостоятельное предприятие. В годы ВОВ эвакуирован в г. Чистополь (Татария), где на его базе основан Чистопольский часовой завод. ОАО «Слава» было в 2004 г. Производство будильников, наручных часов «Слава» (2005 г.). В 2005 г. планируется все производственные мощности с Ленинградского пр. перевести на Научный пр., производство часов прекратить. Гендиректор (2002 г.)- В.М. Королев. 2-й Московский часовой завод, Второй часовой завод (ВЧЗ), завод «Слава», Московское ОАО «Слава». г. Москва Ленинградский пр., 8 тел. 251-29-37. производство № 1: г. Москва Научный пр., 20 тел. 332-83-11 (2002 г.) (10776).</w:t>
      </w:r>
    </w:p>
    <w:p w14:paraId="0E21601D" w14:textId="77777777" w:rsidR="00537E5F" w:rsidRPr="00507A31" w:rsidRDefault="00537E5F" w:rsidP="00507A31">
      <w:pPr>
        <w:autoSpaceDE w:val="0"/>
        <w:autoSpaceDN w:val="0"/>
        <w:adjustRightInd w:val="0"/>
        <w:jc w:val="both"/>
        <w:rPr>
          <w:color w:val="000000" w:themeColor="text1"/>
          <w:sz w:val="16"/>
          <w:szCs w:val="16"/>
        </w:rPr>
      </w:pPr>
    </w:p>
    <w:p w14:paraId="3170FF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началось проектирование завода опытного морского самолетостроения. Первоначально пл. выбрана в г.Таганроге. В 1931г пл. перенесена в г.Ейск, в 1932г - на Переяславское озеро, в 1933г - в г.Казань, в 1934г - в Раменский р-н М.О. Окончательно строительство утверждено около Иваньково (Московское море) в 1935 г. и началось в 1937 г. Завод разместили на площадях мастерских гидроузла на левом берегу Волги у д. Подберезье. Официально завод вступил в строй уже 10.7.39 г. С .7.40 г. завод передан в систему 1ГУ НКАП. Первым дир. завода был И.Г.Загайнов, далее Я.К.Руденко (с .7.40 г.).</w:t>
      </w:r>
    </w:p>
    <w:p w14:paraId="56FADF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 заводе в довоенные годы действовало несколько ОКБ. Среди них ОКБ гл.к. А.П.Голубкова, ОКБ гл.к. П.Д.Самсонова, ОКБ гл.к. И.В.Четверикова. На заводе шло пр-во морских с. МДР-5, КОР-2 (Бе-4), МДР-6 (Че-2), МДР-7. </w:t>
      </w:r>
    </w:p>
    <w:p w14:paraId="7162F6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соотв. с прик. №1110сс от 11.11.41 г. завод №30 (10ГУ) был эвак. в г.Омск на пл. складов УГМР, переданных заводу №29 НКАП (планир. эвак. в г.Чкаловск Горьковской обл. на Судорем. завод им. Ульянова-Ленина НКреч.флота). Часть оборуд. и личн. состава переданы заводу №25 НКАП (в к.41 г.). Коллектив и мощности постоянно были на колесах, завод не мог вступить в строй. В ноябре 1941 г. эшелоны направлены в Москву. Мощности и личн. состав завода переданы (по прик. №1170сс от 18.12.41 г.) для формирования новых завода №23 НКАП и завода №30 НКАП. </w:t>
      </w:r>
    </w:p>
    <w:p w14:paraId="7C8D63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 освободивш. площадях в Иваньково в соотв. с прик. НКАП №372с от 11.5.42 г. образован оп. завод морского самолетостроения №458 в сист. 7ГУ. Тем же приказом определен перевод (возвращение) на новый завод ОКБ гл.к. И.В.Четверикова (назначен гл.к. и дир. завода). Одновременно с восстановлением разрушенных цехов, завод производил сборку серийных гидросамолетов-бомбардировщиков (достройка 5-ти экз. с. Че-2), собирались самолеты Як-6 из задела завода №292, шла доработка истребителей Як-3 и "Спитфайер" под катапультный взлет. ОКБ И.В.Четверикова разрабатывало новые типы гидросамолетов Б-3, Б-4, Б-5, Т-2. В 1944-45 г. на заводе под руководством И.В.Четверикова разрабатывались и изготовлялись оп. образцы катапульты (копия немецкой) для снаряда типа "10Х" ( по заданию завода №51 НКАП). В к. войны на завод было возложено тех. руководство и подготовка тех. док. по восстановлению двух нем. самолетов "Арадо-234" с 4хБМВ-003 для ЛИ. Кроме того шел восстановительный ремонт самолета "Арадо-234" с 2хБМВ-004. С 3.46 г. гл.к. И.В.Четверикову задано разработать и построить бомбардировщик с 4хБМВ-003 и пассажирский самолет-амфибию с мотором АШ-21. В середине 1946 г. испытывались последние модификации самолета МДР-6Б. </w:t>
      </w:r>
    </w:p>
    <w:p w14:paraId="573190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Для продолжения опытных работ по приказу №657 от 13.11.44 г. на территорию завода №458 переведено ОКБ-31 гл.к. В.П.Горбунова и В.П.Горбунов назначен нач. ОКБ-31 при заводе №458. В 1946 г. ОКБ-31 при заводе №458 ликвидировано. Коллектив влился в ОКБ И.В.Четверикова при заводе №458 и ОКБ-301 НКАП. </w:t>
      </w:r>
    </w:p>
    <w:p w14:paraId="23858FE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Завод действовал под данным номером до середины 1946г, когда на его базе организован по пост. СМ №874-361 от 17.4.46 г. опытный завод №1 МАП (ОПЗ-1) специально для организации работ по реактивным самолетам немецких проектов. По прик. №432 от 5.7.46 г.) в гл.к. ОКБ И.В.Четверикова с личн. составом (ок. 100 чел.) и оборуд. переведено в г.Ленинград на пл. №2 завода №272 МАП. </w:t>
      </w:r>
    </w:p>
    <w:p w14:paraId="55EE8B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Являлся базой немецких ОКБ-1 и ОКБ-2 в системе Особого отдела МАП. </w:t>
      </w:r>
    </w:p>
    <w:p w14:paraId="3B7BCC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ОКБ-1 работали немецкие спец. в основном из бывш. фирмы "Юнкерс". Нач. КБ - Н.М.Олехнович, гл.к. - Бронольф В.Бааде, зам. гл.к. - П.Н.Обрубов. Бюро включало самолетный и двигательный отделы. Проводились работы по завершению строительства реактивного бомб. "Юнкерс-131" (ЕФ-131) с 6хЮМО-004, завершению разработки дальнего реактивного бомб. "Юнкерс-132" с 6хЮМО-013, а также работы по постройке реактивного штурмовика "Юнкерс-126" с ПуВРД ЮМО-226 "Аругус". Шли работы по штурмовику ЕФ-126, бомбардировщику ЕФ-140 на базе ЕФ-131, разведчику "140-Р", разведчику/бомб. "140 Б/Р" и бомбардировщику РБ-2. Последней работой ОКБ-1 был бомбардировщик "150". </w:t>
      </w:r>
    </w:p>
    <w:p w14:paraId="176ED6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ОКБ-2 создано из специалистов самолетостроительной фирмы "Зибель". Начальник КБ Н.Н.Власов. Гл.к. - Гайнц Рессинг, зам. гл.к. А.Я.Березняк. Основной задачей ОКБ-2 было проведение работы по завершению проектирования экспериментального реактивного самолета "Зибель-346" (или просто "346") с ЖРД "Вальтер" 109-509. Двигательный отдел КБ кроме ЖРД для "Зибель-346" разрабатывал двигатели Вальтер 109-510, БМВ-3395, БМВ-33902. Кроме того в 1949 г. на основе полученного опыта разработан проект скоростного истребителя "486" с ЖРД. </w:t>
      </w:r>
    </w:p>
    <w:p w14:paraId="1231AB3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Дир. завода с 4.46 г. по 9.47 г. был В.И.Абрамов, далее с 9.47 г. дир. назначен С.Л.Ребенко. </w:t>
      </w:r>
    </w:p>
    <w:p w14:paraId="168235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Деятельность немецких ОКБ не принесла весомых результатов. С 1950 г. по 1953 г. в несколько этапов большинство немецких специалистов было отправлено в Восточную Германию. Лишь небольшая часть из немецких специалистов (в т.ч. Б.Бааде) переведена в 1953 г. в пос. Савелово на завод №491 МАП. Сюда же попали специалисты из других немецких ОКБ. </w:t>
      </w:r>
    </w:p>
    <w:p w14:paraId="1C4D0A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Завод передан под опытное ракетостроение и в 1953 году получил название завод №256 МАП. Являлся опытной базой ОКБ-2-155 гл.к. А.Я.Березняка (см. МКБ "Радуга") и с 1955 г. - ОКБ-256 гл.к. П.В.Цыбина. В ОКБ-256 проводилась разработка беспилотного бомбардировщика "РС" (с 55 г.), самолета-разведчика "РСР" (с 56 г.), модели НМ-1 (аналог "РСР"), снаряда "РСС". В 1959 г. выпущен эскизный проект воздушно-космического аппарата "ПКА". В этом ОКБ под руководством В.Б.Шаврова выполнен проект разведывательного самолета "РГСР". В 1960 г. основной состав ОКБ-256 объединили с ОКБ-23 МАП. Площади на заводе №256 переданы гл.к. А.Я.Березняку. </w:t>
      </w:r>
    </w:p>
    <w:p w14:paraId="528B99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разное время на заводе №256 шло серийное пр-во различных КР, в т.ч. "КС", С-2 ("КСС"), ФКР-1, П-15, К-10, Х-20, П-7, Х-22 и др. В 60-е годы на заводе освоено изготовление планера истребителя-перехватчика МиГ-25.</w:t>
      </w:r>
    </w:p>
    <w:p w14:paraId="50910A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1970-79 гг. на заводе работал Филиал ММЗ "Зенит". Велись работы по постройке аналогов космического аппарата "ЭПОС". Рук. филиала назначен П.А.Шустер. Завершалась сборка аналога 105-11, с 1971 г. началось изготовление аналога 105-12, а также экспериментальной партии изделий. К 1979 г. работы по теме "Спираль" и изд.105 завершены ввиду проведения разработок по принципиально новому типу воздушно-космического самолета - "Буран" (в НПО "Молния"). </w:t>
      </w:r>
    </w:p>
    <w:p w14:paraId="674340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 30.04.1966 г. завод получил наименование Дубнинский машиностроительный завод (ДМЗ), с 19.06.1972г по 07.09.1978 г. именовался Дубненское производственно-конструкторское объединение "Радуга" (объединен с МКБ "Радуга"), с 07.09.1978 г. по 12.05.1982 г. - Дубненское производственное объединение "Радуга", с 12.05.1982 г. Дубненский машиностроительный завод. В 1994 г. произошло выделение МКБ "Радуга" в самостоятельное предприятие и завод получил название АООТ "ДМЗ" (Акционерное общество открытого типа "Дубненский машиностроительный завод"). </w:t>
      </w:r>
    </w:p>
    <w:p w14:paraId="1A1C7C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настоящее время к авиационным работам завода относятся: двухместный пилотажно-акробатический самолет Су-29, многоцелевой самолет "Дубна", самолет-амфибия Р-50 и другие образцы легкой авиации. </w:t>
      </w:r>
    </w:p>
    <w:p w14:paraId="51CE40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Предприятие с 2000 г. возглавляет В.А.Щецов (10777).</w:t>
      </w:r>
    </w:p>
    <w:p w14:paraId="707EFE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Дубненский машиностроительный завод (АООТ "ДМЗ") </w:t>
      </w:r>
    </w:p>
    <w:p w14:paraId="53072B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ранее: Опытный Завод №30, Завод №458, Опытный Завод №1 (ОПЗ-1), Завод №256, ДМЗ</w:t>
      </w:r>
    </w:p>
    <w:p w14:paraId="552D35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141980 МО г.Дубна ул.Жуковского, 2, т. (809621) 25567, 51414</w:t>
      </w:r>
    </w:p>
    <w:p w14:paraId="4261F39B" w14:textId="77777777" w:rsidR="00537E5F" w:rsidRPr="00507A31" w:rsidRDefault="00537E5F" w:rsidP="00507A31">
      <w:pPr>
        <w:autoSpaceDE w:val="0"/>
        <w:autoSpaceDN w:val="0"/>
        <w:adjustRightInd w:val="0"/>
        <w:jc w:val="both"/>
        <w:rPr>
          <w:color w:val="000000" w:themeColor="text1"/>
          <w:sz w:val="16"/>
          <w:szCs w:val="16"/>
        </w:rPr>
      </w:pPr>
    </w:p>
    <w:p w14:paraId="42CB63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на базе учебно-производственных мастерских ЦИТ  г. Москвы создан Савеловский станкостроительный завод. В 12.1936 г. строительство завода передано из ГУАП НКТП в ведение 1ГУ НКОП, в 12.1938 г. находился в его ведении</w:t>
      </w:r>
      <w:r w:rsidRPr="00507A31">
        <w:rPr>
          <w:color w:val="000000" w:themeColor="text1"/>
          <w:sz w:val="16"/>
          <w:szCs w:val="16"/>
          <w:vertAlign w:val="superscript"/>
        </w:rPr>
        <w:t>139</w:t>
      </w:r>
      <w:r w:rsidRPr="00507A31">
        <w:rPr>
          <w:color w:val="000000" w:themeColor="text1"/>
          <w:sz w:val="16"/>
          <w:szCs w:val="16"/>
        </w:rPr>
        <w:t xml:space="preserve"> (есть информация, что в 1937 г. завод передавался в ведение НКО).</w:t>
      </w:r>
    </w:p>
    <w:p w14:paraId="0FA544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результате многократного изменения проекта завода его главный корпус (в котором размещались все производства, кроме кузницы) был построен ниже уровня «Московского моря», на берегу которого располагался завод, а железнодорожная станция оказалась на другом берегу. Пост. КО от 25.09.1938 г. и пр. № 399с от 15.10.1938 г. требовалось форсировать строительство завода с тем, чтобы в 4-м квартале 1938 г. сдать в эксплуатацию 13900 м</w:t>
      </w:r>
      <w:r w:rsidRPr="00507A31">
        <w:rPr>
          <w:color w:val="000000" w:themeColor="text1"/>
          <w:sz w:val="16"/>
          <w:szCs w:val="16"/>
          <w:vertAlign w:val="superscript"/>
        </w:rPr>
        <w:t>2</w:t>
      </w:r>
      <w:r w:rsidRPr="00507A31">
        <w:rPr>
          <w:color w:val="000000" w:themeColor="text1"/>
          <w:sz w:val="16"/>
          <w:szCs w:val="16"/>
        </w:rPr>
        <w:t xml:space="preserve"> производственных площадей, в 1-м квартале 1939 г. - 10900 м</w:t>
      </w:r>
      <w:r w:rsidRPr="00507A31">
        <w:rPr>
          <w:color w:val="000000" w:themeColor="text1"/>
          <w:sz w:val="16"/>
          <w:szCs w:val="16"/>
          <w:vertAlign w:val="superscript"/>
        </w:rPr>
        <w:t>2</w:t>
      </w:r>
      <w:r w:rsidRPr="00507A31">
        <w:rPr>
          <w:color w:val="000000" w:themeColor="text1"/>
          <w:sz w:val="16"/>
          <w:szCs w:val="16"/>
        </w:rPr>
        <w:t xml:space="preserve"> и в 3-м квартале 1939 г. - 3200 м</w:t>
      </w:r>
      <w:r w:rsidRPr="00507A31">
        <w:rPr>
          <w:color w:val="000000" w:themeColor="text1"/>
          <w:sz w:val="16"/>
          <w:szCs w:val="16"/>
          <w:vertAlign w:val="superscript"/>
        </w:rPr>
        <w:t>2</w:t>
      </w:r>
      <w:r w:rsidRPr="00507A31">
        <w:rPr>
          <w:color w:val="000000" w:themeColor="text1"/>
          <w:sz w:val="16"/>
          <w:szCs w:val="16"/>
        </w:rPr>
        <w:t>; производственную площадь главного корпуса ограничить 28 тыс. м</w:t>
      </w:r>
      <w:r w:rsidRPr="00507A31">
        <w:rPr>
          <w:color w:val="000000" w:themeColor="text1"/>
          <w:sz w:val="16"/>
          <w:szCs w:val="16"/>
          <w:vertAlign w:val="superscript"/>
        </w:rPr>
        <w:t>2</w:t>
      </w:r>
      <w:r w:rsidRPr="00507A31">
        <w:rPr>
          <w:color w:val="000000" w:themeColor="text1"/>
          <w:sz w:val="16"/>
          <w:szCs w:val="16"/>
        </w:rPr>
        <w:t xml:space="preserve"> (вместо ранее запроектированной 55 тыс. м</w:t>
      </w:r>
      <w:r w:rsidRPr="00507A31">
        <w:rPr>
          <w:color w:val="000000" w:themeColor="text1"/>
          <w:sz w:val="16"/>
          <w:szCs w:val="16"/>
          <w:vertAlign w:val="superscript"/>
        </w:rPr>
        <w:t>2</w:t>
      </w:r>
      <w:r w:rsidRPr="00507A31">
        <w:rPr>
          <w:color w:val="000000" w:themeColor="text1"/>
          <w:sz w:val="16"/>
          <w:szCs w:val="16"/>
        </w:rPr>
        <w:t>), в т.ч. под сборочный цех 3000 м</w:t>
      </w:r>
      <w:r w:rsidRPr="00507A31">
        <w:rPr>
          <w:color w:val="000000" w:themeColor="text1"/>
          <w:sz w:val="16"/>
          <w:szCs w:val="16"/>
          <w:vertAlign w:val="superscript"/>
        </w:rPr>
        <w:t>2</w:t>
      </w:r>
      <w:r w:rsidRPr="00507A31">
        <w:rPr>
          <w:color w:val="000000" w:themeColor="text1"/>
          <w:sz w:val="16"/>
          <w:szCs w:val="16"/>
        </w:rPr>
        <w:t>.</w:t>
      </w:r>
    </w:p>
    <w:p w14:paraId="524C04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СТО от 26.12.1936 г. на заводе начата подготовка к лицензионному производству летающей лодки «Глен-Мартин-156» в варианте дальнего бомбардировщика. Установка вооружения на самолете (лицензии продавались только на гражданские машины) была поручена Д.П. Григоровичу.</w:t>
      </w:r>
    </w:p>
    <w:p w14:paraId="4946E8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 № 180с от 26/27.05.1938 г. заводу поручено к 1.11.1938 г. изготовить для завода № 124 агрегаты: 5 комплектов ВО и ГО самолета АНТ-42.</w:t>
      </w:r>
    </w:p>
    <w:p w14:paraId="405F2FD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Приказом № 399с проектная мощность завода на 1939 г. была установлена 250 двухмоторных или 125 4- моторных самолетов в год. В период освоения производства требовалось организовать выпуск комплектных агрегатов самолетов ЦКБ-30 и СБ (крыло, оперение, баки и т.д.) - 400 комплектов в год.</w:t>
      </w:r>
    </w:p>
    <w:p w14:paraId="1EBAF3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 106с от 5.03.1940 г. производственная база завода № 30 закреплена за коллективом КБ П.Д. Самсонова. Работы по МДР-7.</w:t>
      </w:r>
    </w:p>
    <w:p w14:paraId="05135F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имел заготовительный филиал в пос. Иваньково в 17 км от Савелово. По приказу № 111с от 10/13.03.1940 г. завод № 30 был переименован в завод № 288 НКАП, а филиал в Иваньково получил обозначение завод № 30.</w:t>
      </w:r>
      <w:r w:rsidRPr="00507A31">
        <w:rPr>
          <w:color w:val="000000" w:themeColor="text1"/>
          <w:sz w:val="16"/>
          <w:szCs w:val="16"/>
          <w:vertAlign w:val="superscript"/>
        </w:rPr>
        <w:t>2</w:t>
      </w:r>
    </w:p>
    <w:p w14:paraId="533CFB5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Количество оборудования: (11.1940 г.)- 123 металлорежущих станка.</w:t>
      </w:r>
    </w:p>
    <w:p w14:paraId="65844DE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(17.05.1937-10.1938 г.-)- И. Г. Загайнов.</w:t>
      </w:r>
    </w:p>
    <w:p w14:paraId="1FAD10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строительства (06.1937 г.)- В.И. Мухин.</w:t>
      </w:r>
    </w:p>
    <w:p w14:paraId="4D639A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Помощник начальника строительства (-01.1937 г.)- П.И. Агамджанов.</w:t>
      </w:r>
    </w:p>
    <w:p w14:paraId="011A9D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строительства (-16.05.1937 г.)- Б.М. Полуэктов.</w:t>
      </w:r>
      <w:r w:rsidRPr="00507A31">
        <w:rPr>
          <w:color w:val="000000" w:themeColor="text1"/>
          <w:sz w:val="16"/>
          <w:szCs w:val="16"/>
          <w:vertAlign w:val="superscript"/>
        </w:rPr>
        <w:t>139</w:t>
      </w:r>
    </w:p>
    <w:p w14:paraId="75180B3D" w14:textId="77777777" w:rsidR="00537E5F" w:rsidRPr="00507A31" w:rsidRDefault="00537E5F" w:rsidP="00507A31">
      <w:pPr>
        <w:autoSpaceDE w:val="0"/>
        <w:autoSpaceDN w:val="0"/>
        <w:adjustRightInd w:val="0"/>
        <w:jc w:val="both"/>
        <w:rPr>
          <w:color w:val="000000" w:themeColor="text1"/>
          <w:sz w:val="16"/>
          <w:szCs w:val="16"/>
        </w:rPr>
      </w:pPr>
    </w:p>
    <w:p w14:paraId="36740C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на базе производственных мастерских Центрального института труда в  г. Москве, в подчинении Управления оборудования был образован Завод № 2 ОАП НКАП. Занимался изготовлением специальных токарных станков для предприятий авиапрома (возможно, это Машзавод № 2, действовавший в 02.1937 г. - в ведении 1ГУ НКОП).</w:t>
      </w:r>
    </w:p>
    <w:p w14:paraId="1D168B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1941 г. завод № 2 ОАП НКАП эвакуирован на ст. Башнинь Челябинской обл., затем реэвакуирован (возможно, с 06.1943 г.) в  г. Кимры на место бывшего завода № 288 НКАП. По приказу НКАП № 377с от 1.06.1944 г. переименован в завод № 491 в ведении Управления оборудования НКАП (ГС завод № 491 НКАП, МАП, Завод № 2 ОАП НКАП, Савеловский машиностроительный завод (СМЗ) «Прогресс», Савеловское ПО (СПО) «Прогресс», Савеловское машиностроительное АО (АООТ, ОАО «САВМА»), ОАО «СМЗ» /г. Москва; ст. Башнинь Челябинской обл.; пос. Савелово,  г. Кимры Калининской обл./ /171510  г. Кимры-4 Тверской обл. ул. 50 лет ВЖСМ тел. 41-121/).</w:t>
      </w:r>
    </w:p>
    <w:p w14:paraId="04E651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1943-46 г.- изготовление и ремонт специальных станков и производство оборонной продукции. В 12.1944 г. на завод возложено содействие заводу № 458 в проведении работ по ПУ к ракетам «10Х».</w:t>
      </w:r>
    </w:p>
    <w:p w14:paraId="12C25A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Сюда в конце 1945 г. планировалось перевести завод № 477 и ОКБ-477 из Красноярска, но не было осуществлено.</w:t>
      </w:r>
    </w:p>
    <w:p w14:paraId="4508EF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 декабря 1945 г. по приказу № 481с часть задела по «10Х» (оснастка, техдокументация), 110 чел. ИТР и рабочих, а также спецоборудование и станки переданы с завода № 125 НКАП на завод № 491 НКАП.</w:t>
      </w:r>
    </w:p>
    <w:p w14:paraId="02C75C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1946 г. приказом МАП определен профиль завода как станкостроительного по выпуску прецизионных токарных станков.</w:t>
      </w:r>
    </w:p>
    <w:p w14:paraId="352BDD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1953 г. завод № 491 передан в качестве производственной базы для немецких ОКБ (после смерти Сталина), которые до этого базировались на заводе № 1 МАП, № 2 МАП и № 500 (А. Шайбе, К. Престель, Б. Бааде, М. Герлах). Проводилась разработка самолета «152» для ГДР. В 07.1954 г. группа специалистов отправлена в ГДР со всей документацией, где на </w:t>
      </w:r>
      <w:r w:rsidRPr="00507A31">
        <w:rPr>
          <w:color w:val="000000" w:themeColor="text1"/>
          <w:sz w:val="16"/>
          <w:szCs w:val="16"/>
          <w:lang w:val="en-US"/>
        </w:rPr>
        <w:t>VEBFlugzeugbau</w:t>
      </w:r>
      <w:r w:rsidRPr="00507A31">
        <w:rPr>
          <w:color w:val="000000" w:themeColor="text1"/>
          <w:sz w:val="16"/>
          <w:szCs w:val="16"/>
        </w:rPr>
        <w:t xml:space="preserve"> ( г. Дрезден) под руководством Бааде продолжены работы по «152».</w:t>
      </w:r>
    </w:p>
    <w:p w14:paraId="6ECEB3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Далее- производство спецстанков для авиапрома, станков с ЧПУ (один из первых в стране); нестандартного оборудования для отрасли разработки НИАТ. В 1980-е  г. выпускал до 2,5 тыс. станков в год. Всего заводом выпущено более 30 тыс. станков с ЧПУ.</w:t>
      </w:r>
    </w:p>
    <w:p w14:paraId="0ABA9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1966 г. завод № 491 переименован в СМЗ. В 1979 г. на базе завода создано СПО «Прогресс». В 03.1993 г. предприятие преобразовано в АООТ «Савма». 30.10.1996 г. создано ОАО «СМЗ» (свидетельство № 393).</w:t>
      </w:r>
    </w:p>
    <w:p w14:paraId="33BF824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 СПО «Прогресс» входили (1997 г.): Савеловский машиностроительный завод, ОКБ, учебный центр, Згуридский машиностроительный завод, Рижский завод промышленных роботов.</w:t>
      </w:r>
    </w:p>
    <w:p w14:paraId="54F597A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(1990-е  г.): станки: токарные, фрезерные, многооперационные; оборудование для объемного деформирования (растяжно-обтяжные, листогибочные прессы, трубогибочные. профилегибочные, раскатные станки); уникальное оборудование для автоматической клепки длинномерных панелей; балансировочное оборудование; оборудование для обработки лопаток ГТД; универсальные установки для испытаний бензинов, дизтоплива; деревообрабатывающее оборудование; термопластавтоматы; реактопластавтоматы; оборудование для изготовления композитов, стройматериалов; универсальный гидравлический инструмент для ремонтных, строительно-монтажных и аварийно-спасательных работ.</w:t>
      </w:r>
    </w:p>
    <w:p w14:paraId="6CC72A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05.2004 г. завод вошел в группу компаний «Бородино».</w:t>
      </w:r>
    </w:p>
    <w:p w14:paraId="2FBFB5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Директор (-08.1943-12.1945 г.-)- Поленов, (08.1946 г.)- И.А. Панков. Гендиректор (1995 г.)- М.П. Виноградов, (- 1996-2002 г.-)- А.В. Щеглов.</w:t>
      </w:r>
      <w:r w:rsidRPr="00507A31">
        <w:rPr>
          <w:color w:val="000000" w:themeColor="text1"/>
          <w:sz w:val="16"/>
          <w:szCs w:val="16"/>
          <w:vertAlign w:val="superscript"/>
        </w:rPr>
        <w:t>69</w:t>
      </w:r>
    </w:p>
    <w:p w14:paraId="68AC9B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Машиностроительный завод № 2 НКОП</w:t>
      </w:r>
    </w:p>
    <w:p w14:paraId="40CFED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02.1937 г. завод-в ведении 1ГУ НКОП, в 08.1937-12.1938 г. - в ведении треста «Установка» НКОП.</w:t>
      </w:r>
      <w:r w:rsidRPr="00507A31">
        <w:rPr>
          <w:color w:val="000000" w:themeColor="text1"/>
          <w:sz w:val="16"/>
          <w:szCs w:val="16"/>
          <w:vertAlign w:val="superscript"/>
        </w:rPr>
        <w:t xml:space="preserve">139 </w:t>
      </w:r>
      <w:r w:rsidRPr="00507A31">
        <w:rPr>
          <w:color w:val="000000" w:themeColor="text1"/>
          <w:sz w:val="16"/>
          <w:szCs w:val="16"/>
        </w:rPr>
        <w:t>ЦКБ механизации аэродромной службы при заводе № 2 ОАП НКАП</w:t>
      </w:r>
    </w:p>
    <w:p w14:paraId="03C928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Организовано на заводе № 2 для разработки конструкций аэродромного оборудования (приказ № 472сс от 6.08.1943 г.). Комплектовалось работниками заводов № 120, 132,462, 118, 476 и 124 НКАП.</w:t>
      </w:r>
    </w:p>
    <w:p w14:paraId="572BB5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Работы по системе газового запуска авиамоторов ВК-105, АМ-38Ф, АШ-82, АШ-72.</w:t>
      </w:r>
    </w:p>
    <w:p w14:paraId="42DF7C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(06.1944 г.)- Бромбер г.</w:t>
      </w:r>
    </w:p>
    <w:p w14:paraId="12AF2B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ОКБ-491 МАП /г. Кимры Калининской обл./</w:t>
      </w:r>
    </w:p>
    <w:p w14:paraId="6522A0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Разработка оборудования, балансировочных машин и спецстанков.</w:t>
      </w:r>
    </w:p>
    <w:p w14:paraId="7C6446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(08.1946 г.)-  Г.А. Казанцев (11982).</w:t>
      </w:r>
    </w:p>
    <w:p w14:paraId="2DF1ACE3" w14:textId="77777777" w:rsidR="00083A1F" w:rsidRPr="00507A31" w:rsidRDefault="00083A1F" w:rsidP="00507A31">
      <w:pPr>
        <w:autoSpaceDE w:val="0"/>
        <w:autoSpaceDN w:val="0"/>
        <w:adjustRightInd w:val="0"/>
        <w:jc w:val="both"/>
        <w:rPr>
          <w:color w:val="000000" w:themeColor="text1"/>
          <w:sz w:val="16"/>
          <w:szCs w:val="16"/>
        </w:rPr>
      </w:pPr>
    </w:p>
    <w:p w14:paraId="2B825B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было начато проектирование завода опытного морского самолетостроения. Первоначально площадка была выбрана в Таганроге, в 1931 г. перенесена в  г. Ейск, в 1932 г. - на Переяславское озеро, в 1933 г. - в  г. Казань, в 1934 г. - в район Раменского Московской обл. Окончательно строительство в Кимрском районе Калининской обл. утверждено Пост. СТО в 1935 г., в том же году Гипроавиапромом разработан проект завода и утвержден в 07.1936 г. В 1936 г. завод вошел в состав самолетостроительного треста ГУАП НКТП.</w:t>
      </w:r>
    </w:p>
    <w:p w14:paraId="42F1B27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Строительство начато летом 1937 г. на площадке мастерских гидроузла на левом берегу Волги у дер. Подберезье в двух километрах севернее Иваньковской плотины канала им. Москвы (Московское море). Одновременно с заводом (Опытный Завод № 30 НКАП, Филиал завода № 30 НКАП /пос. Иваньково,  г. Кимры Калининской обл./) строился рабочий пос. Иваньково, в который вошла дер. Подберезье (но был рабочий поселок Подберезье). В конце 1937 г. был пущен в действие транспортный цех (гараж).</w:t>
      </w:r>
    </w:p>
    <w:p w14:paraId="4D5800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Первоначально завод проектировался как заготовительный филиал завода № 30 (пос. Савелово). Официально завод вступил в строй 10.07.1939 г. (1-я очередь). В конце 1939 г. сдано 12.000 м</w:t>
      </w:r>
      <w:r w:rsidRPr="00507A31">
        <w:rPr>
          <w:color w:val="000000" w:themeColor="text1"/>
          <w:sz w:val="16"/>
          <w:szCs w:val="16"/>
          <w:vertAlign w:val="superscript"/>
        </w:rPr>
        <w:t>2</w:t>
      </w:r>
      <w:r w:rsidRPr="00507A31">
        <w:rPr>
          <w:color w:val="000000" w:themeColor="text1"/>
          <w:sz w:val="16"/>
          <w:szCs w:val="16"/>
        </w:rPr>
        <w:t xml:space="preserve"> производственных площадей. К этому времени построены цеха: механический, покрытий, слесарно-сварочный, штамповочный, подготовительного производства, литейная мастерская, кузница. Оборудование для завода было закуплено в США («Калифорнийский проект завода по производству гидросамолетов»).</w:t>
      </w:r>
    </w:p>
    <w:p w14:paraId="4423B1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НКАП от 15.04.1939 г. заводу поручено изготовление МТБ-2 конструкции А.Н. Туполева. Конструкторский коллектив завода возглавил А.П. Голубков.</w:t>
      </w:r>
    </w:p>
    <w:p w14:paraId="285F82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 111с от 10/13.03.1940 г. завод № 30 (пос. Савелово) был переименован в завод № 288 НКАП, а филиал в Иваньково с 26.05.1940 г. получил наименование завод № 30. По приказу № 262сс от 22.03.1941 г. завод передан в ЮГУ НКАП. На конец 1940 г. еще не был достроен. С 07.1940 г. завод передан в 1ГУ НКАП. В 1940 г. введены в строй: компрессорная, цеха агрегатной и окончательной сборки № 3, 5, 16, испытательная гидробаза. В 1941 г. сдана в эксплуатацию центральная котельная.</w:t>
      </w:r>
    </w:p>
    <w:p w14:paraId="7329FA1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Перед войной на заводе начали работать гл. конструкторы П.Д. Самсонов и И.В. Четвериков по опытному морскому самолетостроению.</w:t>
      </w:r>
    </w:p>
    <w:p w14:paraId="2C6C3B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План производства на 1941 г.: 100 МДР-2. Также в 1941 г. завод получил задание на освоение выпуска МДР-6. Сюда было передано 7 комплектов оснастки, но из-за недостатка площадей смонтировано было четыре.</w:t>
      </w:r>
    </w:p>
    <w:p w14:paraId="4F3BC2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15.10.1941 г. завод № 30 ЮГУ НКАП был эвакуирован и по реке направлен в Куйбышев. Оставшееся оборудование законсервировано и сдано под охрану. На р. Чкаловка завод был перегружен в железнодорожный эшелон и по приказу № 11 Юсс от 11.11.1941  г. направлен  г. Омск на площадку складов УГМР, переданных заводу № 29 НКАП (планировалась эвакуация в  г. Чкаловск Горьковской обл. на Судоремонтный завод им. Ульянова- Ленина НКречфлота). Часть оборудования и личного состава в конце 1941 г. переданы заводу № 25 НКАП. В 11.1941 г. эшелоны направлены в Москву. В результате коллектив и мощности завода постоянно были на колесах, и завод так и не вступил в строй. По приказу № 1170сс от 18.12.1941 г. мощности и личный состав завода переданы для формирования нового завода № 23 НКАП и № 30 НКАП, По приказу № 277с от 14.04.1942 г. часть несмонтированного оборудования завода № 30 передана филиалу завода № 145 в Болшево.</w:t>
      </w:r>
    </w:p>
    <w:p w14:paraId="42B304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старой площадке в Иваньково по приказу НКАП № 372с от 11.05.1942 г. образован новый опытный завод морского самолетостроения № 458 в системе 7ГУ НКАП.</w:t>
      </w:r>
    </w:p>
    <w:p w14:paraId="68D0BC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(1938 г.)- А.П. Свердлов, (1939-08.1940 г.)- И. Г. Загайнов, (08.1940-10.1941 г.)- Я.К. Руденко, (10.1941 г.-)- И.Н. Смирнов.</w:t>
      </w:r>
    </w:p>
    <w:p w14:paraId="2AD6DB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строительства (8.10.1937-46 г.)- Е.Т. Ястребилов.</w:t>
      </w:r>
    </w:p>
    <w:p w14:paraId="0FA071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(1939-40 г.)- А.П. Голубков, (01-10.1941 г.)- И.В. Четвериков.</w:t>
      </w:r>
    </w:p>
    <w:p w14:paraId="193A9A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технолог (1939-42 г.)- Б.Д. Иванов. Начальник производства (-12.1940 г.)- С.П. Литвиненко (затем- директор завода № 465).</w:t>
      </w:r>
    </w:p>
    <w:p w14:paraId="7854F9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гидросамолеты: МТБ-2 (1939)- 1, Че-2, МДР-5, Бе-4, МДР-7 (11982).</w:t>
      </w:r>
    </w:p>
    <w:p w14:paraId="6EEF4B22" w14:textId="77777777" w:rsidR="00537E5F" w:rsidRPr="00507A31" w:rsidRDefault="00537E5F" w:rsidP="00507A31">
      <w:pPr>
        <w:autoSpaceDE w:val="0"/>
        <w:autoSpaceDN w:val="0"/>
        <w:adjustRightInd w:val="0"/>
        <w:jc w:val="both"/>
        <w:rPr>
          <w:color w:val="000000" w:themeColor="text1"/>
          <w:sz w:val="16"/>
          <w:szCs w:val="16"/>
        </w:rPr>
      </w:pPr>
    </w:p>
    <w:p w14:paraId="6D225C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1915 г. завод «Мотор» пе</w:t>
      </w:r>
      <w:r w:rsidRPr="00507A31">
        <w:rPr>
          <w:color w:val="000000" w:themeColor="text1"/>
          <w:sz w:val="16"/>
          <w:szCs w:val="16"/>
        </w:rPr>
        <w:softHyphen/>
        <w:t>ревели в Москву, где были постро</w:t>
      </w:r>
      <w:r w:rsidRPr="00507A31">
        <w:rPr>
          <w:color w:val="000000" w:themeColor="text1"/>
          <w:sz w:val="16"/>
          <w:szCs w:val="16"/>
        </w:rPr>
        <w:softHyphen/>
        <w:t>ены механический и сборочный цеха. В 1916-1917 гг. производство двигателей составляло около 20 в месяц, что никак не удовлетворяло потребности авиации (11872).</w:t>
      </w:r>
    </w:p>
    <w:p w14:paraId="5A3DAC0E" w14:textId="77777777" w:rsidR="00537E5F" w:rsidRPr="00507A31" w:rsidRDefault="00537E5F" w:rsidP="00507A31">
      <w:pPr>
        <w:autoSpaceDE w:val="0"/>
        <w:autoSpaceDN w:val="0"/>
        <w:adjustRightInd w:val="0"/>
        <w:jc w:val="both"/>
        <w:rPr>
          <w:color w:val="000000" w:themeColor="text1"/>
          <w:sz w:val="16"/>
          <w:szCs w:val="16"/>
        </w:rPr>
      </w:pPr>
    </w:p>
    <w:p w14:paraId="0AFE7A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1930 г. Туполев, во время командировки в США, был потрясён не только техническим уровнем американских заводов, но и отношением американских рабочих к своему рабочему времени: «…Удивительное впечатление от их (американских – М.М.) заводов – идёшь из цеха в цех, и нигде ни одного не занятого человека. Я даже подтолкнул как-то Петра Ионовича (Баранова – М.М.): небось, как и я, ждёте, ну уж за этой то дверью наверняка рабочие стоят и покуривают. Так нет – так и не удалось нам увидеть курящих и беседующих!». Видимо, в СССР Туполев привык к совершенно другому уровню трудовой дисциплины на авиастроительных предприятиях. </w:t>
      </w:r>
    </w:p>
    <w:p w14:paraId="5FA7381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Действительно, общий уровень культуры труда даже на ведущих авиазаводах был не слишком высок. В отчёте по заводу № 1 им. Авиахима отмечалось: «Труддисциплина низка. Рабочие пьют и иногда очень здорово, являясь на работу, особенно, после получки, в нетрезвом виде…. На заводе ощущается крайняя нужда в высшем и среднем техническом персонале и квалифицированной рабсиле»[ЦАОПИМ) Ф.3. Оп.11. Д.726. Л.Л.47–50]. Одним из наиболее «узких» мест была малая плотность рабочего времени. Рабочий приходил на рабочее место и действительно проводил там рабочий день, однако далеко не всё «рабочее время» было посвящено непосредственно производительной деятельности. Так, в своей лекции «Современные самолёты за рубежом», Н.Н. Поликарпов сетовал: «Читая наши газеты, мы видим, что в ряде производств имеем явление так называемой штурмовщины, когда к концу месяца за последнюю неделю выполняется, скажем, 50-60% программы, а за первую неделю – 2-3%… За границей меня всегда поражала та плановость и дисциплина, которая там существует. Приходишь на завод, смотришь – никто не спешит, все работают с прохладцею. Если увидят тебя, то даже обернуться, и это не мешает работе. Думаешь: как они могут давать при такой работе отличный результат? Но оказывается, что из тех 8–9 часов, которые они ежедневно находятся на работе, они действительно работают 8–9 часов, в то время как мы спешим, что-то делаем, но на самом деле работаем 2–3 часа в день, а остальное время проходит у нас непонятно на что, неуплотнённо». Даже если предположить, что в полемическом задоре Поликарпов несколько сгустил краски (2–3 часа рабочего времени за всю смену – это всё же исключительная степень неорганизованности рабочего процесса, ведущая к перманентным простоям), обращает на себя внимание проблема, очевидная даже не имеющему прямого отношения к серийному авиапроизводству конструктору (11524).</w:t>
      </w:r>
    </w:p>
    <w:p w14:paraId="2D207D57" w14:textId="77777777" w:rsidR="00537E5F" w:rsidRPr="00507A31" w:rsidRDefault="00537E5F" w:rsidP="00507A31">
      <w:pPr>
        <w:autoSpaceDE w:val="0"/>
        <w:autoSpaceDN w:val="0"/>
        <w:adjustRightInd w:val="0"/>
        <w:jc w:val="both"/>
        <w:rPr>
          <w:color w:val="000000" w:themeColor="text1"/>
          <w:sz w:val="16"/>
          <w:szCs w:val="16"/>
        </w:rPr>
      </w:pPr>
    </w:p>
    <w:p w14:paraId="52752D0C" w14:textId="77777777" w:rsidR="006B5C92" w:rsidRPr="00507A31" w:rsidRDefault="006B5C92" w:rsidP="00507A31">
      <w:pPr>
        <w:jc w:val="both"/>
        <w:rPr>
          <w:color w:val="000000" w:themeColor="text1"/>
          <w:sz w:val="16"/>
          <w:szCs w:val="16"/>
        </w:rPr>
      </w:pPr>
      <w:r w:rsidRPr="00507A31">
        <w:rPr>
          <w:color w:val="000000" w:themeColor="text1"/>
          <w:sz w:val="16"/>
          <w:szCs w:val="16"/>
        </w:rPr>
        <w:t>В 1930–1932 годах была предпринята первая попытка создания фотоосветительной бомбы (ФОТАБ), но завершилась неудачей. В 1933 – 1934 годы группой конструкторов под руководством В. М. Виноградова и А. И. Зверева эта попытка была повторена.</w:t>
      </w:r>
    </w:p>
    <w:p w14:paraId="744E1945" w14:textId="77777777" w:rsidR="006B5C92" w:rsidRPr="00507A31" w:rsidRDefault="006B5C92" w:rsidP="00507A31">
      <w:pPr>
        <w:jc w:val="both"/>
        <w:rPr>
          <w:color w:val="000000" w:themeColor="text1"/>
          <w:sz w:val="16"/>
          <w:szCs w:val="16"/>
        </w:rPr>
      </w:pPr>
      <w:r w:rsidRPr="00507A31">
        <w:rPr>
          <w:color w:val="000000" w:themeColor="text1"/>
          <w:sz w:val="16"/>
          <w:szCs w:val="16"/>
        </w:rPr>
        <w:t>Необходимость этой работы вызывалась тем, что при соответствующей маски- ровке визуальная разведка территории и позиций противника могла быть нерезуль- тативной. Аэрофотографирование как надежное средство визуальной разведки уже существовало, были созданы первые отечественные аэрофотоаппараты, которые устанавливались в бомбоотсеке самолета.</w:t>
      </w:r>
    </w:p>
    <w:p w14:paraId="732C6C31" w14:textId="77777777" w:rsidR="006B5C92" w:rsidRPr="00507A31" w:rsidRDefault="006B5C92" w:rsidP="00507A31">
      <w:pPr>
        <w:jc w:val="both"/>
        <w:rPr>
          <w:color w:val="000000" w:themeColor="text1"/>
          <w:sz w:val="16"/>
          <w:szCs w:val="16"/>
        </w:rPr>
      </w:pPr>
      <w:r w:rsidRPr="00507A31">
        <w:rPr>
          <w:color w:val="000000" w:themeColor="text1"/>
          <w:sz w:val="16"/>
          <w:szCs w:val="16"/>
        </w:rPr>
        <w:t>Для проведения полного воздушного фотографирования требовался светильник, в тысячи раз превышающей по силе света САБы. При этом вспышка могла быть кратковременной – в доли секунды, – если момент съемки будет согласован со временем вспышки. Этой работой усиленно занимался Г. В. Капианидзе, подбирая состав, обладавший нужными свойствами.</w:t>
      </w:r>
    </w:p>
    <w:p w14:paraId="0A3F8505" w14:textId="77777777" w:rsidR="006B5C92" w:rsidRPr="00507A31" w:rsidRDefault="006B5C92" w:rsidP="00507A31">
      <w:pPr>
        <w:jc w:val="both"/>
        <w:rPr>
          <w:color w:val="000000" w:themeColor="text1"/>
          <w:sz w:val="16"/>
          <w:szCs w:val="16"/>
        </w:rPr>
      </w:pPr>
      <w:r w:rsidRPr="00507A31">
        <w:rPr>
          <w:color w:val="000000" w:themeColor="text1"/>
          <w:sz w:val="16"/>
          <w:szCs w:val="16"/>
        </w:rPr>
        <w:t>Отработка фотобомбы была достаточно длительной. При относительно неболь- ших высотах и скоростях полета самолета взрыв бомбы происходил в поле зрения аэрофотоаппарата и вспышка засвечивала снимок.</w:t>
      </w:r>
    </w:p>
    <w:p w14:paraId="41DED5FA" w14:textId="77777777" w:rsidR="006B5C92" w:rsidRPr="00507A31" w:rsidRDefault="006B5C92" w:rsidP="00507A31">
      <w:pPr>
        <w:jc w:val="both"/>
        <w:rPr>
          <w:color w:val="000000" w:themeColor="text1"/>
          <w:sz w:val="16"/>
          <w:szCs w:val="16"/>
        </w:rPr>
      </w:pPr>
      <w:r w:rsidRPr="00507A31">
        <w:rPr>
          <w:color w:val="000000" w:themeColor="text1"/>
          <w:sz w:val="16"/>
          <w:szCs w:val="16"/>
        </w:rPr>
        <w:t>Выход из положения был найден тем, что к стабилизатору бомбы прикрепили ленту. Она, действуя как слабый парашют, обеспечивала необходимое отставание бомбы от самолета.</w:t>
      </w:r>
    </w:p>
    <w:p w14:paraId="1CC3A466" w14:textId="77777777" w:rsidR="006B5C92" w:rsidRPr="00507A31" w:rsidRDefault="006B5C92" w:rsidP="00507A31">
      <w:pPr>
        <w:jc w:val="both"/>
        <w:rPr>
          <w:color w:val="000000" w:themeColor="text1"/>
          <w:sz w:val="16"/>
          <w:szCs w:val="16"/>
        </w:rPr>
      </w:pPr>
      <w:r w:rsidRPr="00507A31">
        <w:rPr>
          <w:color w:val="000000" w:themeColor="text1"/>
          <w:sz w:val="16"/>
          <w:szCs w:val="16"/>
        </w:rPr>
        <w:t>Завершена отработка ФОТАБ была уже в 1938 –1939 годах в связи с задержкой в отработке аэрофотоаппарата. В это же время Г. В. Капианидзе усовершенствовал аэронавигационную бомбу АНАБ-1.</w:t>
      </w:r>
    </w:p>
    <w:p w14:paraId="1886A8F6" w14:textId="77777777" w:rsidR="006B5C92" w:rsidRPr="00507A31" w:rsidRDefault="006B5C92" w:rsidP="00507A31">
      <w:pPr>
        <w:jc w:val="both"/>
        <w:rPr>
          <w:color w:val="000000" w:themeColor="text1"/>
          <w:sz w:val="16"/>
          <w:szCs w:val="16"/>
        </w:rPr>
      </w:pPr>
      <w:r w:rsidRPr="00507A31">
        <w:rPr>
          <w:color w:val="000000" w:themeColor="text1"/>
          <w:sz w:val="16"/>
          <w:szCs w:val="16"/>
        </w:rPr>
        <w:t>При ударе о воду головная часть бомбы разрушалась и на поверхности воды появлялось ярко-зеленое или ярко-красное пятно диаметром 7-10 метров.</w:t>
      </w:r>
    </w:p>
    <w:p w14:paraId="010C98EC" w14:textId="77777777" w:rsidR="006B5C92" w:rsidRPr="00507A31" w:rsidRDefault="006B5C92" w:rsidP="00507A31">
      <w:pPr>
        <w:jc w:val="both"/>
        <w:rPr>
          <w:color w:val="000000" w:themeColor="text1"/>
          <w:sz w:val="16"/>
          <w:szCs w:val="16"/>
        </w:rPr>
      </w:pPr>
      <w:r w:rsidRPr="00507A31">
        <w:rPr>
          <w:color w:val="000000" w:themeColor="text1"/>
          <w:sz w:val="16"/>
          <w:szCs w:val="16"/>
        </w:rPr>
        <w:t>Существовал и ночной вариант АНАБ. Он создавал плавающие точки белого огня. Применялась аэронавигационная бомба для того, чтобы помочь летчикам ориентироваться при полетах над морем (15794).</w:t>
      </w:r>
    </w:p>
    <w:p w14:paraId="5B534803" w14:textId="77777777" w:rsidR="006B5C92" w:rsidRPr="00507A31" w:rsidRDefault="006B5C92" w:rsidP="00507A31">
      <w:pPr>
        <w:jc w:val="both"/>
        <w:rPr>
          <w:color w:val="000000" w:themeColor="text1"/>
          <w:sz w:val="16"/>
          <w:szCs w:val="16"/>
        </w:rPr>
      </w:pPr>
    </w:p>
    <w:p w14:paraId="24FE70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1930 году Алкснис, Меженинов и начальник штаба Ленинградского военного округа Б.М.Фельдман находились в Германии по приглашению начальника орготдела управления сухопутных войск рейхсвера генерала Риттера фон Миттельбергера для участия в военно-воздушной игре, которая проходила в Байроте (РГВА. Ф. 4. Оп. 1. Д. 1481. Л. 37—40.). Красных командиров сопровождали начальник штаба германской авиации майор Г. Фельми (впоследствии генерал люфтваффе, командующий 2-м воздушным флотом), начальник противовоздушной обороны майор Богач, начальник связи майор Лакнер, военный летчик майор Мюллер, офицер по вопросам технического обеспечения капитан Швабедиссен. Об итогах поездки в Германию Алкснис подробно доложил наркому обороны Ворошилову, особо выделив взаимодействие германской авиации и частей противовоздушной обороны (11173).</w:t>
      </w:r>
    </w:p>
    <w:p w14:paraId="5029537C" w14:textId="77777777" w:rsidR="00537E5F" w:rsidRPr="00507A31" w:rsidRDefault="00537E5F" w:rsidP="00507A31">
      <w:pPr>
        <w:autoSpaceDE w:val="0"/>
        <w:autoSpaceDN w:val="0"/>
        <w:adjustRightInd w:val="0"/>
        <w:jc w:val="both"/>
        <w:rPr>
          <w:color w:val="000000" w:themeColor="text1"/>
          <w:sz w:val="16"/>
          <w:szCs w:val="16"/>
        </w:rPr>
      </w:pPr>
    </w:p>
    <w:p w14:paraId="5C74A2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ДВ "Комсеверпуть-1" вернулся в Карское море и, базируясь на Диксоне, продолжал вести ледовую разведку по проводке судов. Командир самолета Б.Г.Чухновский пытался в одном из полетов достичь Северной Земли, однако у залива Миддендорфа лодку остановила нелетная погода (11970).</w:t>
      </w:r>
    </w:p>
    <w:p w14:paraId="018FA128" w14:textId="77777777" w:rsidR="00537E5F" w:rsidRPr="00507A31" w:rsidRDefault="00537E5F" w:rsidP="00507A31">
      <w:pPr>
        <w:autoSpaceDE w:val="0"/>
        <w:autoSpaceDN w:val="0"/>
        <w:adjustRightInd w:val="0"/>
        <w:jc w:val="both"/>
        <w:rPr>
          <w:color w:val="000000" w:themeColor="text1"/>
          <w:sz w:val="16"/>
          <w:szCs w:val="16"/>
        </w:rPr>
      </w:pPr>
    </w:p>
    <w:p w14:paraId="7E2624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ДВ "Комсеверпуть-1" с геологом Куликом на борту облетел район падения Тунгусского метеорита. Ранее никакими другими средствами невозможно было установить, где именно в поваленной на десятки километров тайге находится эпицентр загадочного взрыва. Кроме этого, с борта Дорнье "Валь" приступили к воздушному исследованию лесных массивов. Результаты полетов превзошли все ожидания. После небольшой тренировки лесники с воздуха определяли не только породу, количество и возраст деревьев, но и ряд качественных признаков самой древесины по характерным особенностям верхушек деревьев.</w:t>
      </w:r>
    </w:p>
    <w:p w14:paraId="1853C3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Полеты 1930 г. показали исключительную эффективность использования самолетов, поэтому возникло предложение о создании специальной авиации, действующей на севере. В марте 1931 г. создали Авиаслужбу Комсевер- пути, в штате которой поначалу числилось всего 7 человек. В 1931 г. в составе авиации Ком- северпути по прежнему числились три Дорнье "Валь", значившиеся как "СССР-HI", "СССР-Н2" и "СССР-НЗ". Проведение планомерных разведок этими машинами позволило отказаться от наличия резервного ледокола (11970).</w:t>
      </w:r>
    </w:p>
    <w:p w14:paraId="6080124A" w14:textId="77777777" w:rsidR="00537E5F" w:rsidRPr="00507A31" w:rsidRDefault="00537E5F" w:rsidP="00507A31">
      <w:pPr>
        <w:autoSpaceDE w:val="0"/>
        <w:autoSpaceDN w:val="0"/>
        <w:adjustRightInd w:val="0"/>
        <w:jc w:val="both"/>
        <w:rPr>
          <w:color w:val="000000" w:themeColor="text1"/>
          <w:sz w:val="16"/>
          <w:szCs w:val="16"/>
        </w:rPr>
      </w:pPr>
    </w:p>
    <w:p w14:paraId="2C4A86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на этом гидроплане Дорнье "Валь" СССР-НЗ, заводской № 143, двигатели - 2 BMW-6, дата присвоения опознавательного знака с литерой "Н" - 08.04.31 г., получившем название "Комсеверпуть-3", велась ледовая разведка по проводке судов через Карское море. Командир экипажа - летнаб А.Д.Алексеев, пилот - А.В.Кржижевский. Этот сезон оказался для Алексеева особенно плодотворным: кроме исполнения своих прямых обязанностей, Кржижевский обучал его пилотированию. Самолет базировался на острове Вайгач. До окончания навигации успели совершить четыре полета, пробыв в воздухе 24 часа. Самолет заказали, как и СССР-Н2, в феврале 1930 г. в Алтенрейне. Затем его принял механик Шелагин в Марина Ди Пиза и совместно с итальянцами перегнал в СССР в августе 1930 г. Все изменения и улучшения данной летающей лодки - как в СССР-Н2 (11970).</w:t>
      </w:r>
    </w:p>
    <w:p w14:paraId="421068D5" w14:textId="77777777" w:rsidR="00537E5F" w:rsidRPr="00507A31" w:rsidRDefault="00537E5F" w:rsidP="00507A31">
      <w:pPr>
        <w:autoSpaceDE w:val="0"/>
        <w:autoSpaceDN w:val="0"/>
        <w:adjustRightInd w:val="0"/>
        <w:jc w:val="both"/>
        <w:rPr>
          <w:color w:val="000000" w:themeColor="text1"/>
          <w:sz w:val="16"/>
          <w:szCs w:val="16"/>
        </w:rPr>
      </w:pPr>
    </w:p>
    <w:p w14:paraId="0A929A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Гроховский в 1930 сбросил с самолета 11 собственных сотрудников (включая одну женщину) на х/б парашютах (в десять раз дешевле, чем шелковые) с ТБ-1 поворотом рукоятки штурмана (83,159).</w:t>
      </w:r>
    </w:p>
    <w:p w14:paraId="3531B8A5" w14:textId="77777777" w:rsidR="00537E5F" w:rsidRPr="00507A31" w:rsidRDefault="00537E5F" w:rsidP="00507A31">
      <w:pPr>
        <w:autoSpaceDE w:val="0"/>
        <w:autoSpaceDN w:val="0"/>
        <w:adjustRightInd w:val="0"/>
        <w:jc w:val="both"/>
        <w:rPr>
          <w:color w:val="000000" w:themeColor="text1"/>
          <w:sz w:val="16"/>
          <w:szCs w:val="16"/>
        </w:rPr>
      </w:pPr>
    </w:p>
    <w:p w14:paraId="4F8554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 из 5-го отдела НИИ ВВС выделяется конструкторская группа (отдел) под руководством летчика и изобретателя П.И. Гроховского в со</w:t>
      </w:r>
      <w:r w:rsidRPr="00507A31">
        <w:rPr>
          <w:color w:val="000000" w:themeColor="text1"/>
          <w:sz w:val="16"/>
          <w:szCs w:val="16"/>
        </w:rPr>
        <w:softHyphen/>
        <w:t>ставе Титова, Малынича, Зуева, Модина, Огнева, Преображенского, Саха</w:t>
      </w:r>
      <w:r w:rsidRPr="00507A31">
        <w:rPr>
          <w:color w:val="000000" w:themeColor="text1"/>
          <w:sz w:val="16"/>
          <w:szCs w:val="16"/>
        </w:rPr>
        <w:softHyphen/>
        <w:t>рова, Соснина. Группе была поручена разработка темы «Воздушная пехо</w:t>
      </w:r>
      <w:r w:rsidRPr="00507A31">
        <w:rPr>
          <w:color w:val="000000" w:themeColor="text1"/>
          <w:sz w:val="16"/>
          <w:szCs w:val="16"/>
        </w:rPr>
        <w:softHyphen/>
        <w:t>та». За работами непосредственно на</w:t>
      </w:r>
      <w:r w:rsidRPr="00507A31">
        <w:rPr>
          <w:color w:val="000000" w:themeColor="text1"/>
          <w:sz w:val="16"/>
          <w:szCs w:val="16"/>
        </w:rPr>
        <w:softHyphen/>
        <w:t>блюдал начальник ВВС П.И. Баранов. Позже деятельностью Гроховского постоянно интересовались и новый начальник ВВС Я.И. Алкснис, и на</w:t>
      </w:r>
      <w:r w:rsidRPr="00507A31">
        <w:rPr>
          <w:color w:val="000000" w:themeColor="text1"/>
          <w:sz w:val="16"/>
          <w:szCs w:val="16"/>
        </w:rPr>
        <w:softHyphen/>
        <w:t>чальник вооружений РККА М.Н. Ту</w:t>
      </w:r>
      <w:r w:rsidRPr="00507A31">
        <w:rPr>
          <w:color w:val="000000" w:themeColor="text1"/>
          <w:sz w:val="16"/>
          <w:szCs w:val="16"/>
        </w:rPr>
        <w:softHyphen/>
        <w:t>хачевский. Для начала группой была подтвер</w:t>
      </w:r>
      <w:r w:rsidRPr="00507A31">
        <w:rPr>
          <w:color w:val="000000" w:themeColor="text1"/>
          <w:sz w:val="16"/>
          <w:szCs w:val="16"/>
        </w:rPr>
        <w:softHyphen/>
        <w:t>ждена возможность замены шелка при изготовлении парашютов более дешевыми хлопчатобумажными тка</w:t>
      </w:r>
      <w:r w:rsidRPr="00507A31">
        <w:rPr>
          <w:color w:val="000000" w:themeColor="text1"/>
          <w:sz w:val="16"/>
          <w:szCs w:val="16"/>
        </w:rPr>
        <w:softHyphen/>
        <w:t>нями - перкалью и нансуком (11752).</w:t>
      </w:r>
    </w:p>
    <w:p w14:paraId="4917F0C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67CAC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1930 г. у группы инженеров-общественников Ленинградского Осоавиахима (Чертовской, Федосеенко) возникла идея постройки стратостата. Вследствие отсутствия поддержки и средств работа не развертывалась и только вновь была начата в конце 1932 г. Идея этого и инициатива ленинградцев была одобрена Ц. С. Осоавиахима заседанием своего президиума от 21.1.33 г., на котором было решено построить стратостат и совершить полет в стратосферу в 1933 г. </w:t>
      </w:r>
    </w:p>
    <w:p w14:paraId="67E908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71FE2D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3F21E6B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3. 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129C1F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0A7A97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1C04EE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4. Примерно в июне 1933 г., после выезда в Ленинград комиссии т. Ильина (обнаружившей обезличку в ходе постройки стратостата), решением президиума Леноблсовета наблюдение было возложено на Зам. пред. Лен. Осоавиахима т. Барандохина;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м2*, потом 22.000, а впоследствии 24.940 м2*. </w:t>
      </w:r>
    </w:p>
    <w:p w14:paraId="044868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 в тексте; правильно: м</w:t>
      </w:r>
      <w:r w:rsidRPr="00507A31">
        <w:rPr>
          <w:color w:val="000000" w:themeColor="text1"/>
          <w:sz w:val="16"/>
          <w:szCs w:val="16"/>
          <w:vertAlign w:val="superscript"/>
        </w:rPr>
        <w:t>3</w:t>
      </w:r>
    </w:p>
    <w:p w14:paraId="68DF24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Опыт конструкции стратостата СССР Ленинградской группой не использовался, а всякое указание явно игнорировалось. </w:t>
      </w:r>
    </w:p>
    <w:p w14:paraId="5382E0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этой части надлежащего конкретного организационного руководства со стороны руководящих лиц Осоавиахима (Ильин, Барандохин) не было, и их утверждение, что все проводится без проверки, по существу только прикрывало самотек и самостийность действий конструкторов (11611).</w:t>
      </w:r>
    </w:p>
    <w:p w14:paraId="5EE770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C0FD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1930 г.. пусковая установка для авиационных турбореактивных снарядов представляла собой тонкостенную металлическую трубу многоразового использования, открытую в казенной части, внешне напоминаю</w:t>
      </w:r>
      <w:r w:rsidRPr="00507A31">
        <w:rPr>
          <w:color w:val="000000" w:themeColor="text1"/>
          <w:sz w:val="16"/>
          <w:szCs w:val="16"/>
        </w:rPr>
        <w:softHyphen/>
        <w:t>ще ствол миномета, и установленную на верхней плоскости биплана. При необходимости повысить плотность огня, количество труб на самолете можно было увеличить. «Эволюция» ТРС и оснащение их многолопастным оперением повлияла и на конструкцию пусковых устройств, диаметр трубы пришлось увеличить - теперь (с 1931 г.) его определял размах оперения, слегка выступающего за калибр снаряда. Внутри такой трубчатой направляющей снаряды при выстреле скользили, как упоми</w:t>
      </w:r>
      <w:r w:rsidRPr="00507A31">
        <w:rPr>
          <w:color w:val="000000" w:themeColor="text1"/>
          <w:sz w:val="16"/>
          <w:szCs w:val="16"/>
        </w:rPr>
        <w:softHyphen/>
        <w:t>налось ранее, благодаря выступам на корпусе - своеобразным подшип</w:t>
      </w:r>
      <w:r w:rsidRPr="00507A31">
        <w:rPr>
          <w:color w:val="000000" w:themeColor="text1"/>
          <w:sz w:val="16"/>
          <w:szCs w:val="16"/>
        </w:rPr>
        <w:softHyphen/>
        <w:t>никам скольжения.</w:t>
      </w:r>
    </w:p>
    <w:p w14:paraId="59C8273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Позже роль подшипников у боеприпасов стати выполнять гладкие переднее и заднее центрирующие утолщения на корпусе снаряда. Это позволило облегчить ракетные орудия с направляющими трубчатого ти</w:t>
      </w:r>
      <w:r w:rsidRPr="00507A31">
        <w:rPr>
          <w:color w:val="000000" w:themeColor="text1"/>
          <w:sz w:val="16"/>
          <w:szCs w:val="16"/>
        </w:rPr>
        <w:softHyphen/>
        <w:t>па обладавшие избыточными прочностными характеристиками, а также массой. Небольшую партию их изготовили с более тонкими стенками. На следующем этапе эволюции таких направляющих (в 1932 г.) внутри трубы закрепили прямые продольные полозковые направляющие для ведения снаряда, исключающие его проворот вокруг своей продольной оси.</w:t>
      </w:r>
    </w:p>
    <w:p w14:paraId="6E95BF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авиации первыми ракетными орудиями для стрельбы ТРС-82 обо</w:t>
      </w:r>
      <w:r w:rsidRPr="00507A31">
        <w:rPr>
          <w:color w:val="000000" w:themeColor="text1"/>
          <w:sz w:val="16"/>
          <w:szCs w:val="16"/>
        </w:rPr>
        <w:softHyphen/>
        <w:t>рудовали в 1930 г. учебный самолет У-1 и истребитель И-4, базировавши</w:t>
      </w:r>
      <w:r w:rsidRPr="00507A31">
        <w:rPr>
          <w:color w:val="000000" w:themeColor="text1"/>
          <w:sz w:val="16"/>
          <w:szCs w:val="16"/>
        </w:rPr>
        <w:softHyphen/>
        <w:t>еся на Комендантском аэродроме под Ленинградом. Для стрельбы сна</w:t>
      </w:r>
      <w:r w:rsidRPr="00507A31">
        <w:rPr>
          <w:color w:val="000000" w:themeColor="text1"/>
          <w:sz w:val="16"/>
          <w:szCs w:val="16"/>
        </w:rPr>
        <w:softHyphen/>
        <w:t>рядами ТРС-132 использовали самолет Р-5. После облета аэроплана-ра</w:t>
      </w:r>
      <w:r w:rsidRPr="00507A31">
        <w:rPr>
          <w:color w:val="000000" w:themeColor="text1"/>
          <w:sz w:val="16"/>
          <w:szCs w:val="16"/>
        </w:rPr>
        <w:softHyphen/>
        <w:t>кетоносца пилот С.И.Мухин отметил, что размещение пусковых на внешних поверхностях верхних плоскостей самолетов отрицательно воздействуют на пилотажные характеристики носителя, поэтому было ре</w:t>
      </w:r>
      <w:r w:rsidRPr="00507A31">
        <w:rPr>
          <w:color w:val="000000" w:themeColor="text1"/>
          <w:sz w:val="16"/>
          <w:szCs w:val="16"/>
        </w:rPr>
        <w:softHyphen/>
        <w:t>шено перенести орудия на нижнюю плоскость, под крыло. Это способ</w:t>
      </w:r>
      <w:r w:rsidRPr="00507A31">
        <w:rPr>
          <w:color w:val="000000" w:themeColor="text1"/>
          <w:sz w:val="16"/>
          <w:szCs w:val="16"/>
        </w:rPr>
        <w:softHyphen/>
        <w:t>ствовало также более быстрому заряжанию, монтажу дополнительных «стволов» и техническому обслуживанию узлов орудийных систем.</w:t>
      </w:r>
    </w:p>
    <w:p w14:paraId="01CF2D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Авиационные варианты первых пусковых устройств потребовала за</w:t>
      </w:r>
      <w:r w:rsidRPr="00507A31">
        <w:rPr>
          <w:color w:val="000000" w:themeColor="text1"/>
          <w:sz w:val="16"/>
          <w:szCs w:val="16"/>
        </w:rPr>
        <w:softHyphen/>
        <w:t>менить систему пиростарта, приемлемую для наземных испытательных стендов, электрической. Тогда вместо огнепроводною шнура в донные пороховые воспламенители снарядов начали вшивать электрические пи</w:t>
      </w:r>
      <w:r w:rsidRPr="00507A31">
        <w:rPr>
          <w:color w:val="000000" w:themeColor="text1"/>
          <w:sz w:val="16"/>
          <w:szCs w:val="16"/>
        </w:rPr>
        <w:softHyphen/>
        <w:t>ропатроны ПП-1, а концы проводов выводить через основное или до</w:t>
      </w:r>
      <w:r w:rsidRPr="00507A31">
        <w:rPr>
          <w:color w:val="000000" w:themeColor="text1"/>
          <w:sz w:val="16"/>
          <w:szCs w:val="16"/>
        </w:rPr>
        <w:softHyphen/>
        <w:t>полнительные сопла на панель, установленную в задней части орудия. Источником тока служил отдельный аккумулятор, а замыкание индиви</w:t>
      </w:r>
      <w:r w:rsidRPr="00507A31">
        <w:rPr>
          <w:color w:val="000000" w:themeColor="text1"/>
          <w:sz w:val="16"/>
          <w:szCs w:val="16"/>
        </w:rPr>
        <w:softHyphen/>
        <w:t>дуальной для каждого РС электроцепи происходило посредством тумблера в кабине пилота. Как упоминалось в предыдущих главах, в серий</w:t>
      </w:r>
      <w:r w:rsidRPr="00507A31">
        <w:rPr>
          <w:color w:val="000000" w:themeColor="text1"/>
          <w:sz w:val="16"/>
          <w:szCs w:val="16"/>
        </w:rPr>
        <w:softHyphen/>
        <w:t>ном производстве для запуска РС использовали морские гальванические трубки, устанавливая их в отверстия деревянных пробок, которыми при транспортировке глушили сопловые раструбы.</w:t>
      </w:r>
    </w:p>
    <w:p w14:paraId="0412DC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Между тем к теме пусковых трубчатого типа конструкторы периоди</w:t>
      </w:r>
      <w:r w:rsidRPr="00507A31">
        <w:rPr>
          <w:color w:val="000000" w:themeColor="text1"/>
          <w:sz w:val="16"/>
          <w:szCs w:val="16"/>
        </w:rPr>
        <w:softHyphen/>
        <w:t>чески возвращались. Считаюсь, что проблему автоматизации переза</w:t>
      </w:r>
      <w:r w:rsidRPr="00507A31">
        <w:rPr>
          <w:color w:val="000000" w:themeColor="text1"/>
          <w:sz w:val="16"/>
          <w:szCs w:val="16"/>
        </w:rPr>
        <w:softHyphen/>
        <w:t>рядки и стрельбы РС с самолета можно решить только с помощью бое</w:t>
      </w:r>
      <w:r w:rsidRPr="00507A31">
        <w:rPr>
          <w:color w:val="000000" w:themeColor="text1"/>
          <w:sz w:val="16"/>
          <w:szCs w:val="16"/>
        </w:rPr>
        <w:softHyphen/>
        <w:t>припасов с цилиндрическим оперением и направляющей в виде стола (11402).</w:t>
      </w:r>
    </w:p>
    <w:p w14:paraId="62A109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7054A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1930 г. на ТРС и РС всех калибров в качестве взрывателей исполь</w:t>
      </w:r>
      <w:r w:rsidRPr="00507A31">
        <w:rPr>
          <w:color w:val="000000" w:themeColor="text1"/>
          <w:sz w:val="16"/>
          <w:szCs w:val="16"/>
        </w:rPr>
        <w:softHyphen/>
        <w:t>зовали исключительно головные артиллерийские 22-секундные трубки образца 1900 г. конструкции инженера Комарова. В этом отношении их можно считать универсальными и для оперенных боеприпасов, и для врашающихся. Они обладали ударно-дистанционным действием и пред</w:t>
      </w:r>
      <w:r w:rsidRPr="00507A31">
        <w:rPr>
          <w:color w:val="000000" w:themeColor="text1"/>
          <w:sz w:val="16"/>
          <w:szCs w:val="16"/>
        </w:rPr>
        <w:softHyphen/>
        <w:t>назначались для подрыва снаряда в воздухе (в расчетной точке траекто</w:t>
      </w:r>
      <w:r w:rsidRPr="00507A31">
        <w:rPr>
          <w:color w:val="000000" w:themeColor="text1"/>
          <w:sz w:val="16"/>
          <w:szCs w:val="16"/>
        </w:rPr>
        <w:softHyphen/>
        <w:t>рии). При несрабатывании пиротехнического замедлителя, либо умень</w:t>
      </w:r>
      <w:r w:rsidRPr="00507A31">
        <w:rPr>
          <w:color w:val="000000" w:themeColor="text1"/>
          <w:sz w:val="16"/>
          <w:szCs w:val="16"/>
        </w:rPr>
        <w:softHyphen/>
        <w:t xml:space="preserve">шении дистанции полета боеприпаса они инициировали подрыв при ударе в преграду. В АНИИ, где проводили ранние экспериментальные, наземные и стендовые испытания </w:t>
      </w:r>
      <w:r w:rsidRPr="00507A31">
        <w:rPr>
          <w:color w:val="000000" w:themeColor="text1"/>
          <w:sz w:val="16"/>
          <w:szCs w:val="16"/>
        </w:rPr>
        <w:lastRenderedPageBreak/>
        <w:t>РС, этих взрывателей было в избытке, а авиационные отсутствовали вовсе. Таким образом, «артиллерийское наследие» отразилось в развитии реактивного вооружения и на этом эле</w:t>
      </w:r>
      <w:r w:rsidRPr="00507A31">
        <w:rPr>
          <w:color w:val="000000" w:themeColor="text1"/>
          <w:sz w:val="16"/>
          <w:szCs w:val="16"/>
        </w:rPr>
        <w:softHyphen/>
        <w:t>менте.</w:t>
      </w:r>
    </w:p>
    <w:p w14:paraId="011878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Между тем. для практического использования в авиации, когда уста</w:t>
      </w:r>
      <w:r w:rsidRPr="00507A31">
        <w:rPr>
          <w:color w:val="000000" w:themeColor="text1"/>
          <w:sz w:val="16"/>
          <w:szCs w:val="16"/>
        </w:rPr>
        <w:softHyphen/>
        <w:t>новки для стрельбы РС уверенно заняли свое место под нижней плоско</w:t>
      </w:r>
      <w:r w:rsidRPr="00507A31">
        <w:rPr>
          <w:color w:val="000000" w:themeColor="text1"/>
          <w:sz w:val="16"/>
          <w:szCs w:val="16"/>
        </w:rPr>
        <w:softHyphen/>
        <w:t>стью бипланов, взрыватели непредохранитсльного типа не годились. Правда, некоторое послабление было сделано в 1930 г. для ТРС, когда боеприпасы для стрельбы с самолетов И-4 и Р-5 размешали в длинных пусковых трубчатого типа. Когда в 1934 г. появились бугельные направ</w:t>
      </w:r>
      <w:r w:rsidRPr="00507A31">
        <w:rPr>
          <w:color w:val="000000" w:themeColor="text1"/>
          <w:sz w:val="16"/>
          <w:szCs w:val="16"/>
        </w:rPr>
        <w:softHyphen/>
        <w:t>ляющие, использовать трубки Комарова стало небезопасно. Однако про</w:t>
      </w:r>
      <w:r w:rsidRPr="00507A31">
        <w:rPr>
          <w:color w:val="000000" w:themeColor="text1"/>
          <w:sz w:val="16"/>
          <w:szCs w:val="16"/>
        </w:rPr>
        <w:softHyphen/>
        <w:t>екты авиационных автоматических установок для стрельбы РС. даже не</w:t>
      </w:r>
      <w:r w:rsidRPr="00507A31">
        <w:rPr>
          <w:color w:val="000000" w:themeColor="text1"/>
          <w:sz w:val="16"/>
          <w:szCs w:val="16"/>
        </w:rPr>
        <w:softHyphen/>
        <w:t>смотря на то, что проектировали их специалисты ствольной артиллерии, все равно предусматривалось применять с 22-секундными трубками Ко</w:t>
      </w:r>
      <w:r w:rsidRPr="00507A31">
        <w:rPr>
          <w:color w:val="000000" w:themeColor="text1"/>
          <w:sz w:val="16"/>
          <w:szCs w:val="16"/>
        </w:rPr>
        <w:softHyphen/>
        <w:t>марова.</w:t>
      </w:r>
    </w:p>
    <w:p w14:paraId="22D6CA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1932 г. конструкцию трубок Комарова в авиации усовершенствова</w:t>
      </w:r>
      <w:r w:rsidRPr="00507A31">
        <w:rPr>
          <w:color w:val="000000" w:themeColor="text1"/>
          <w:sz w:val="16"/>
          <w:szCs w:val="16"/>
        </w:rPr>
        <w:softHyphen/>
        <w:t>ли для оснащения ими авиабомб. В итоге АГДТ - авиационная головная дистанционная трубка - приобрела три ступени предохранения - поход</w:t>
      </w:r>
      <w:r w:rsidRPr="00507A31">
        <w:rPr>
          <w:color w:val="000000" w:themeColor="text1"/>
          <w:sz w:val="16"/>
          <w:szCs w:val="16"/>
        </w:rPr>
        <w:softHyphen/>
        <w:t>ную, боевую и узел дальнего взведения. При этом пришлось пожертво</w:t>
      </w:r>
      <w:r w:rsidRPr="00507A31">
        <w:rPr>
          <w:color w:val="000000" w:themeColor="text1"/>
          <w:sz w:val="16"/>
          <w:szCs w:val="16"/>
        </w:rPr>
        <w:softHyphen/>
        <w:t>вать ударной (контактной) частью взрывателя. Регулируемый замедли</w:t>
      </w:r>
      <w:r w:rsidRPr="00507A31">
        <w:rPr>
          <w:color w:val="000000" w:themeColor="text1"/>
          <w:sz w:val="16"/>
          <w:szCs w:val="16"/>
        </w:rPr>
        <w:softHyphen/>
        <w:t>тель пиротехнического типа от 5 до 22 с в АГДТ состоял из трех дистан</w:t>
      </w:r>
      <w:r w:rsidRPr="00507A31">
        <w:rPr>
          <w:color w:val="000000" w:themeColor="text1"/>
          <w:sz w:val="16"/>
          <w:szCs w:val="16"/>
        </w:rPr>
        <w:softHyphen/>
        <w:t>ционных колец с запрессованным в них пороховым составом (порох тру</w:t>
      </w:r>
      <w:r w:rsidRPr="00507A31">
        <w:rPr>
          <w:color w:val="000000" w:themeColor="text1"/>
          <w:sz w:val="16"/>
          <w:szCs w:val="16"/>
        </w:rPr>
        <w:softHyphen/>
        <w:t>бочный обыкновенный) и воспламенительного приспособлении.</w:t>
      </w:r>
    </w:p>
    <w:p w14:paraId="2513A5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Габариты трубок Комарова и АГДТ (диаметр наиболее широкой части - 64 мм, высота без учета крыльчатки и хвостовика - 64 мм) требова</w:t>
      </w:r>
      <w:r w:rsidRPr="00507A31">
        <w:rPr>
          <w:color w:val="000000" w:themeColor="text1"/>
          <w:sz w:val="16"/>
          <w:szCs w:val="16"/>
        </w:rPr>
        <w:softHyphen/>
        <w:t>ли изготавливать их корпуса из алюминиевых сплавов. Как говорилось в описании авиационной модификации взрывателя в 1935 г., «корпус ди</w:t>
      </w:r>
      <w:r w:rsidRPr="00507A31">
        <w:rPr>
          <w:color w:val="000000" w:themeColor="text1"/>
          <w:sz w:val="16"/>
          <w:szCs w:val="16"/>
        </w:rPr>
        <w:softHyphen/>
        <w:t>станционной трубки - алюминиевый, обточен тремя цилиндрическими Уступами. В колпачке имеются смотровые отверстия для контроля двух шариков. На заданное время трубка устанавливается от руки или специ</w:t>
      </w:r>
      <w:r w:rsidRPr="00507A31">
        <w:rPr>
          <w:color w:val="000000" w:themeColor="text1"/>
          <w:sz w:val="16"/>
          <w:szCs w:val="16"/>
        </w:rPr>
        <w:softHyphen/>
        <w:t>альным дистанционным ключом до установки и головное очко. Вынима</w:t>
      </w:r>
      <w:r w:rsidRPr="00507A31">
        <w:rPr>
          <w:color w:val="000000" w:themeColor="text1"/>
          <w:sz w:val="16"/>
          <w:szCs w:val="16"/>
        </w:rPr>
        <w:softHyphen/>
        <w:t>нием вилки испытывается ход ветрянки до установки АГДТ на авиабомбы и после подвески авиабомбы с взрывателем до запуска двигателей самолета. После установившегося хода моторов вынимают чеку (вилка остается).</w:t>
      </w:r>
    </w:p>
    <w:p w14:paraId="7DC6E0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Между тем АГДТ долгое время оставалась авиабомбовым неконтактным взрывателем, не лучшим образом приспособленным для применения в составе РС. Создание специализированного взрывателя для реактивного вооружения шло параллельно с совершенствованием АГДТ. Вернее с его адаптацией к специфике авиационных (и не только авиационных! ракетных систем. Во-первых, доработкам подверглась система предохра</w:t>
      </w:r>
      <w:r w:rsidRPr="00507A31">
        <w:rPr>
          <w:color w:val="000000" w:themeColor="text1"/>
          <w:sz w:val="16"/>
          <w:szCs w:val="16"/>
        </w:rPr>
        <w:softHyphen/>
        <w:t>нителей АГДТ, а во-вторых, - дистанционная часть взрывателей.</w:t>
      </w:r>
    </w:p>
    <w:p w14:paraId="518F50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отношении первого, на силовой балке каждого ракетного орудия бугельного типа были предусмотрены по два небольших замка-карабина Один служил для выдергивания боевой чеки АГДТ при старте РС, по</w:t>
      </w:r>
      <w:r w:rsidRPr="00507A31">
        <w:rPr>
          <w:color w:val="000000" w:themeColor="text1"/>
          <w:sz w:val="16"/>
          <w:szCs w:val="16"/>
        </w:rPr>
        <w:softHyphen/>
        <w:t>средством другого фиксировали крыльчатку взрывателя вязальной про</w:t>
      </w:r>
      <w:r w:rsidRPr="00507A31">
        <w:rPr>
          <w:color w:val="000000" w:themeColor="text1"/>
          <w:sz w:val="16"/>
          <w:szCs w:val="16"/>
        </w:rPr>
        <w:softHyphen/>
        <w:t>волокой (либо подвешивали контровочную вилку для фиксации крыль</w:t>
      </w:r>
      <w:r w:rsidRPr="00507A31">
        <w:rPr>
          <w:color w:val="000000" w:themeColor="text1"/>
          <w:sz w:val="16"/>
          <w:szCs w:val="16"/>
        </w:rPr>
        <w:softHyphen/>
        <w:t>чатки). Первые же наземные отстрелы больших партий РС в 1934 г., поз</w:t>
      </w:r>
      <w:r w:rsidRPr="00507A31">
        <w:rPr>
          <w:color w:val="000000" w:themeColor="text1"/>
          <w:sz w:val="16"/>
          <w:szCs w:val="16"/>
        </w:rPr>
        <w:softHyphen/>
        <w:t>волившие набрать статистические данные по взрывателям, показали, что «авиабомбовые» АГДТ-А модели 4-061, установленные на одно и го же замедление, срабатывают «с большим рассеиванием времени». Кроме того, необходимо дополнительно подвязывать крыльчатку тонким тро</w:t>
      </w:r>
      <w:r w:rsidRPr="00507A31">
        <w:rPr>
          <w:color w:val="000000" w:themeColor="text1"/>
          <w:sz w:val="16"/>
          <w:szCs w:val="16"/>
        </w:rPr>
        <w:softHyphen/>
        <w:t>сом (проволокой), поскольку стопорной вилки порой недостаточно. Но и это сказывалось не лучшим образом - толщину проволоки никто не уточнял и не лимитировал, и когда она оказывалась излишне проч</w:t>
      </w:r>
      <w:r w:rsidRPr="00507A31">
        <w:rPr>
          <w:color w:val="000000" w:themeColor="text1"/>
          <w:sz w:val="16"/>
          <w:szCs w:val="16"/>
        </w:rPr>
        <w:softHyphen/>
        <w:t>ной, при выстреле проволоку не всегда обрывало. Тогда лопасть крыль</w:t>
      </w:r>
      <w:r w:rsidRPr="00507A31">
        <w:rPr>
          <w:color w:val="000000" w:themeColor="text1"/>
          <w:sz w:val="16"/>
          <w:szCs w:val="16"/>
        </w:rPr>
        <w:softHyphen/>
        <w:t>чатки или изгибалась, или отламывалась. Изредка обламывало и всю крыльчатку.</w:t>
      </w:r>
    </w:p>
    <w:p w14:paraId="021979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Со второй половины 1934 г. для использования АГДТ на РС в мастер</w:t>
      </w:r>
      <w:r w:rsidRPr="00507A31">
        <w:rPr>
          <w:color w:val="000000" w:themeColor="text1"/>
          <w:sz w:val="16"/>
          <w:szCs w:val="16"/>
        </w:rPr>
        <w:softHyphen/>
        <w:t>ских НИИ-3 НКТП изготовили партию проволочных боевых чек, чтобы заменить тонкие тросы с карабином для выдергивания штатной боевой чеки «бомбового образца» при стрельбе. Перед установкой АГДТ на РС требовалось заменить короткую «бомбовую» боевую чеку длинной «ра</w:t>
      </w:r>
      <w:r w:rsidRPr="00507A31">
        <w:rPr>
          <w:color w:val="000000" w:themeColor="text1"/>
          <w:sz w:val="16"/>
          <w:szCs w:val="16"/>
        </w:rPr>
        <w:softHyphen/>
        <w:t>кетной», достававшей до замка-карабина на РО. А рациональность ис</w:t>
      </w:r>
      <w:r w:rsidRPr="00507A31">
        <w:rPr>
          <w:color w:val="000000" w:themeColor="text1"/>
          <w:sz w:val="16"/>
          <w:szCs w:val="16"/>
        </w:rPr>
        <w:softHyphen/>
        <w:t>пользования вилки, фиксирующей крыльчатку взрывателя снаряда, во</w:t>
      </w:r>
      <w:r w:rsidRPr="00507A31">
        <w:rPr>
          <w:color w:val="000000" w:themeColor="text1"/>
          <w:sz w:val="16"/>
          <w:szCs w:val="16"/>
        </w:rPr>
        <w:softHyphen/>
        <w:t>енные подвергли сомнению уже в ходе первых же заводских испытаний в 1935 г., так как при выстреле она гнулась, пружинила и повреждала пу</w:t>
      </w:r>
      <w:r w:rsidRPr="00507A31">
        <w:rPr>
          <w:color w:val="000000" w:themeColor="text1"/>
          <w:sz w:val="16"/>
          <w:szCs w:val="16"/>
        </w:rPr>
        <w:softHyphen/>
        <w:t>сковое устройство и обшивку самолета.</w:t>
      </w:r>
    </w:p>
    <w:p w14:paraId="266222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 дистанционных трубок АГДТ-А завода №42 имени Масленникова 1935 г. пусковую чеку (шплинт с колечком) заменили самодельной пу</w:t>
      </w:r>
      <w:r w:rsidRPr="00507A31">
        <w:rPr>
          <w:color w:val="000000" w:themeColor="text1"/>
          <w:sz w:val="16"/>
          <w:szCs w:val="16"/>
        </w:rPr>
        <w:softHyphen/>
        <w:t>сковой чекой из стальной рояльной проволоки, которую цепляли на од</w:t>
      </w:r>
      <w:r w:rsidRPr="00507A31">
        <w:rPr>
          <w:color w:val="000000" w:themeColor="text1"/>
          <w:sz w:val="16"/>
          <w:szCs w:val="16"/>
        </w:rPr>
        <w:softHyphen/>
        <w:t>ном из бугелей пускового станка, так что при движении снаряда в счал</w:t>
      </w:r>
      <w:r w:rsidRPr="00507A31">
        <w:rPr>
          <w:color w:val="000000" w:themeColor="text1"/>
          <w:sz w:val="16"/>
          <w:szCs w:val="16"/>
        </w:rPr>
        <w:softHyphen/>
        <w:t>ке она выдергивалась из трубки. Такая чека обычно выдерживала большое количество выстрелов. Крыльчатки трубок усиков не имели. Перед выстрелом крыльчатку про</w:t>
      </w:r>
      <w:r w:rsidRPr="00507A31">
        <w:rPr>
          <w:color w:val="000000" w:themeColor="text1"/>
          <w:sz w:val="16"/>
          <w:szCs w:val="16"/>
        </w:rPr>
        <w:softHyphen/>
        <w:t>ворачивали от руки на один - полтора оборота, убеждаясь в легкости ее скручивания. Трубки АГДТ имели насечку «на дистанцию» только т 5 с и более. Поэтому при отстреле на 2 и 3 с насечку на эти установки вре</w:t>
      </w:r>
      <w:r w:rsidRPr="00507A31">
        <w:rPr>
          <w:color w:val="000000" w:themeColor="text1"/>
          <w:sz w:val="16"/>
          <w:szCs w:val="16"/>
        </w:rPr>
        <w:softHyphen/>
        <w:t>мени выполнили на кольце вручную циркулем-измерителем.</w:t>
      </w:r>
    </w:p>
    <w:p w14:paraId="1DCDE7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После этого было обнаружено, что насечка шкалы на заводе № 42 вы</w:t>
      </w:r>
      <w:r w:rsidRPr="00507A31">
        <w:rPr>
          <w:color w:val="000000" w:themeColor="text1"/>
          <w:sz w:val="16"/>
          <w:szCs w:val="16"/>
        </w:rPr>
        <w:softHyphen/>
        <w:t>полнена крайне небрежно. Величина деления в 1 с — пять маленьких делений на одной и той же трубке колеблется произвольно от одного значения к другому, достигая иногда разницы в 0,2 с.</w:t>
      </w:r>
    </w:p>
    <w:p w14:paraId="7F47C6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Наиболее надежным фиксатором крыльчатки АГДТ от преждевременного скручивания до старта РС на долгие годы оказался стальной проволочный ус, установленный поперек. Его концы заправляли в пазы направляюших планок пусковых агрегатов и станков бугельного типа. Доработанные крыльчатки поступали сначала из опытных мастерских ШИ-3 НКТП, а затем с завода отдельно, и при установке АГДТ на РС, помимо замены боевой чеки, требовалось с большой осторожностью заменить и крыльчатку. На первых же испытаниях спецкрыльчатка для РС проволочным (толщиной 1 мм) усом продемонстрировала положительные результаты. 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В.П.Птушко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7FA8D7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507A31">
        <w:rPr>
          <w:color w:val="000000" w:themeColor="text1"/>
          <w:sz w:val="16"/>
          <w:szCs w:val="16"/>
        </w:rPr>
        <w:softHyphen/>
        <w:t>нять многое, в том числе и причину гибели В.П.Чкалова. Детальный ин</w:t>
      </w:r>
      <w:r w:rsidRPr="00507A31">
        <w:rPr>
          <w:color w:val="000000" w:themeColor="text1"/>
          <w:sz w:val="16"/>
          <w:szCs w:val="16"/>
        </w:rPr>
        <w:softHyphen/>
        <w:t>женерный анализ чаше объясняет трагические случаи элементарной не</w:t>
      </w:r>
      <w:r w:rsidRPr="00507A31">
        <w:rPr>
          <w:color w:val="000000" w:themeColor="text1"/>
          <w:sz w:val="16"/>
          <w:szCs w:val="16"/>
        </w:rPr>
        <w:softHyphen/>
        <w:t>дисциплинированностью обслуживающего персонала, ошибками конст</w:t>
      </w:r>
      <w:r w:rsidRPr="00507A31">
        <w:rPr>
          <w:color w:val="000000" w:themeColor="text1"/>
          <w:sz w:val="16"/>
          <w:szCs w:val="16"/>
        </w:rPr>
        <w:softHyphen/>
        <w:t>рукторов и изготовителей (11402).</w:t>
      </w:r>
    </w:p>
    <w:p w14:paraId="0B59BD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CC41D6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5AA95528" w14:textId="77777777" w:rsidR="00537E5F" w:rsidRPr="00507A31" w:rsidRDefault="00537E5F" w:rsidP="00507A31">
      <w:pPr>
        <w:autoSpaceDE w:val="0"/>
        <w:autoSpaceDN w:val="0"/>
        <w:adjustRightInd w:val="0"/>
        <w:jc w:val="both"/>
        <w:rPr>
          <w:iCs/>
          <w:color w:val="000000" w:themeColor="text1"/>
          <w:sz w:val="16"/>
          <w:szCs w:val="16"/>
        </w:rPr>
      </w:pPr>
    </w:p>
    <w:p w14:paraId="2D34BDB8" w14:textId="77777777" w:rsidR="00BB5FAD" w:rsidRPr="00507A31" w:rsidRDefault="00BB5FAD" w:rsidP="00507A31">
      <w:pPr>
        <w:jc w:val="both"/>
        <w:rPr>
          <w:color w:val="000000" w:themeColor="text1"/>
          <w:sz w:val="16"/>
          <w:szCs w:val="16"/>
        </w:rPr>
      </w:pPr>
      <w:r w:rsidRPr="00507A31">
        <w:rPr>
          <w:color w:val="000000" w:themeColor="text1"/>
          <w:sz w:val="16"/>
          <w:szCs w:val="16"/>
        </w:rPr>
        <w:t>В 1930 г. прошла реформа системы военной приемки и появился институт военпредов в том виде, в котором он существовал на протяжение большей части советской истории. Положение 1930 г. определило права и обязанности промышленности и военного ведомства в вопросах качества продукции49. Последующие положения 1933/1934 и 1939 гг. изменили их незначительно50. Согласно положению 1939 г., представительство Наркомата обороны (НКО) в промышленности имело целью «наблюдение за процессом изготовления военной продукции... техприемку готовых изделий, проверку мобготовности предприятий»51. В задачу военпредов также входил контроль за соблюдением технологического процесса и проверка выполнения предприятиями планов. Для осуществления этих целей военпреды получили право свободного прохода по всей территории контролируемых предприятий в любое время суток, а также право доступа к технической, производственной и мобилизационной документации. Дирекция должна была обеспечить военпредов необходимым помещением и оборудованием. В случае поставки некачественной продукции военпреды могли остановить приемку, а следовательно, фактически работу всего предприятия. Однако военпредам запрещалось прекращать приемку как меру воздействия на завод. Дирекция не имела права вмешиваться в работу военпредов, но могла обращаться с жалобами на их действия в вышестоящие органы. Для достижения независимости военпредов от заводских администраций они финансировались исключительно НКО, а любые премии, пособия и пр. со стороны промышленности запрещались. Обо всех недочетах в выполнении промышленностью военных заказов: плохом качестве используемых исходных материалов, недостаточной обеспеченности предприятий сырьем и полуфабрикатами, отступлениях от технологических процессов и чертежей, плохой работе заводских ОТК, срыве сроков военных заказов и т.д. — военпреды должны были «сообщать через начальников соответствующих техуправлений начальнику вооружения РККА»52. Техинспекции промышленных оборонных министерств обладали несколько меньшим набором прав и только в области контроля качества (исключая сферы мобпланирования и проверки выполнения планов) (18627).</w:t>
      </w:r>
    </w:p>
    <w:p w14:paraId="5B5EFBAE" w14:textId="77777777" w:rsidR="00BB5FAD" w:rsidRPr="00507A31" w:rsidRDefault="00BB5FAD" w:rsidP="00507A31">
      <w:pPr>
        <w:jc w:val="both"/>
        <w:rPr>
          <w:color w:val="000000" w:themeColor="text1"/>
          <w:sz w:val="16"/>
          <w:szCs w:val="16"/>
        </w:rPr>
      </w:pPr>
    </w:p>
    <w:p w14:paraId="65EA39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1930 была выбрана площадка для строительства среднеуральского порохового завода (98 им. Кирова, Пермь) была выбрана еще в 1930 г. при участии А.С.Бакаева. Затем было начато проектирование и строительство завода. Однако у началу Великой Отечественной войны к выпуску порохов, в том числе и ракетных, завод не был готов — предстояло выполнить еще большой объем строительно-монтажных работ. </w:t>
      </w:r>
    </w:p>
    <w:p w14:paraId="659E3E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 вот в начале июля 1941 г. Государственный комитет обороны поставил перед руководством завода боевую задачу: в течение июля-октября закончить первую очередь строительства завода, разместить на его площадках эвакуированное оборудование, необходимое для выпуска нитроглицериновых баллиститных порохов и зарядов из них и начать их производство. Эта труднейшая задача была выполнена. </w:t>
      </w:r>
    </w:p>
    <w:p w14:paraId="02C5A9A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октябре 1941 г. строительство первой очереди завода было завершено и в этом же месяце была выдана первая партия ракетных зарядов. Перерыв в изготовлении и поставке ракетных зарядов был ликвидирован. </w:t>
      </w:r>
    </w:p>
    <w:p w14:paraId="740A7E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Более года среднеуральский завод оставался единственным в стране крупным заводом, выпускавшим ракетные нитроглицериновые баллиститные пороха. Огромную роль в деятельности завода играл командный состав. Директором был Д.Г.Бидинский, главным инженером — Д.Е.Горбачев, главным технологом — А.Г.Каллистов. Начальниками цехов работали А.И.Соколов, И.В.Крыжановский, B.C.Бондарь, Д.Я. Орлов и др. </w:t>
      </w:r>
    </w:p>
    <w:p w14:paraId="51A4DB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Самым трудным было лето 1942 г., когда завод обязали увеличить выпуск зарядов для реактивной и крупнокалиберной артиллерии за три месяца в несколько раз против первоначально намеченного. Был разработан план-график круглосуточного ведения работ по строительству второй очереди завода. Намеченные темпы работ в довоенное время сочли бы фантастикой. </w:t>
      </w:r>
    </w:p>
    <w:p w14:paraId="3C84F7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Строители еще только заканчивали кладку стен, а монтажники уже устанавливали оборудование. Были выделены дополнительно продовольствие, обувь, одежда, большой премиальный фонд. </w:t>
      </w:r>
    </w:p>
    <w:p w14:paraId="542109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Задание Государственного комитета обороны было выполнено за два с половиной месяца. Страна высоко оценила этот подвиг. Более 1000 человек были награждены орденами и медалями.</w:t>
      </w:r>
    </w:p>
    <w:p w14:paraId="127F90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Огромное значение для страны имели завершенные на средне-уральском заводе во время войны работы по созданию новой более производительной технологии изготовления ниртоглицериновых порохов на основе применения системы аппаратов непрерывного действия. Эти работы были начаты в предвоенный период. Еще в ноябре 1940 г. результаты предварительных испытаний лабораторных установок непрерывного действия рассматривались НКБ СССР и получили положительную оценку /20/. После этого были изготовлены укрупненные полузаводские аппараты, позволившие провести широкие технологические исследования, которые показали, что новая технология, кроме несравненно более высокой производительности, имеет ряд существенных преимуществ перед гидропрессовой технологией. Она обеспечивала: улучшение качества пороха; менее опасные условия работы для обслуживающего персонала; возможность использования женского труда, что в условиях войны имело исключительно важное значение; резкое, в 15-20 раз, снижение количества возвратного брака; уменьшение примерно в три раза расхода пара и электроэнергии на тонну пороха. </w:t>
      </w:r>
    </w:p>
    <w:p w14:paraId="42C6D8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Полученные результаты были в начале 1942 г. рассмотрены и одобрены Коллегией НКБ СССР. По ее представлению Государственный комитет обороны принял Постановление от 18 мая 1942 г. о строительстве на среднеуральском заводе производственной линии на большую мощность. </w:t>
      </w:r>
    </w:p>
    <w:p w14:paraId="6168EDC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5 апреля 1943 г. строительство производственной линии по новой технологии коллективом среднеуральского завода было завершено. Таким образом, огромный объем работы в тяжелых условиях военного был выполнен менее чем за один год. </w:t>
      </w:r>
    </w:p>
    <w:p w14:paraId="117645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апреле 1943 г. по новой технологии были изготовлены три становочно-валовые партии зарядов для M-13 по 3 тыс. штук в партии. Особым техническим бюро завода параллельно велись всесторонние исследования пороха, изготовляемого по новой технологии, прежде всего его баллистических характеристик. Было установлено, что скорость его горения примерно на 9% выше, чем у пороха, изготовленного по гидропрессовой технологии, а потому для обеспечения требований по максимальному давлению газа в двигателе, калорийность пороха, изготовляемого по новой технологии, была снижена на 4%. </w:t>
      </w:r>
    </w:p>
    <w:p w14:paraId="0161B6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Изготовленные заряды были подвергнуты стендовым и стрельбовым испытаниям во всем интервале эксплуатационных температур. </w:t>
      </w:r>
    </w:p>
    <w:p w14:paraId="1CACA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Результаты испытаний открыли широкую дорогу новой технологии изготовления зарядов. Все работы по ее созданию проводились под научным руководством А.С. Бакаева, техническим руководителем разработки аппаратуры и внедрения ее в производство был инженер А.Э. Спориус. Ведущими инженерами основных узлов — Ф.М. Хритинин, Б.А. Парфенов и др. /21;22;23/. </w:t>
      </w:r>
    </w:p>
    <w:p w14:paraId="270F5CC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Кроме трудностей, типичных для работы всей промышленности в тяжелейших условиях войны, не раз возникали в ходе изготовления порохов и зарядов серьезные технические проблемы, специфичные для порохового производства. Многие из этих проблем требовали для правильного и быстрого решения глубокого научного подхода и широких научно-технических исследований. Огромную помощь заводу в преодолении этих трудностей оказало Особое бюро, переведенное в начале войны из Московского порохового института на среднеуральский завод. </w:t>
      </w:r>
    </w:p>
    <w:p w14:paraId="1366A1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На Особое бюро, научно-техническая деятельность которого возглавлялась главным инженером А.С.Бакаевым, было возложено не только научно-техническое обеспечение текущего производства, но и проведение работ по совершенствованию порохов и зарядов, а также по повышению производительности основных фаз технологического процесса. </w:t>
      </w:r>
    </w:p>
    <w:p w14:paraId="633C9F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Приведу несколько примеров, характеризующих научно-техническую деятельность Особого бюро в период Великой Отечественной Войны. </w:t>
      </w:r>
    </w:p>
    <w:p w14:paraId="27C3205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Вопросы обеспечения сырьем для изготовления нигроглицериновых порохов в условиях военного времени приобрели особую остроту. Отсутствие любого из компонентов пороха ставило под угрозу возможность производства ракетных зарядов. Поэтому исключительную важность имели работы по изысканию заменителей, прежде всего централита. Централит, вводимый в состав пороха в качестве стабилизатора химической стойкости, и до войны был самым дорогим и дефицитным компонентом нитроглицериновых порохов, что объяснялось сложностью изготовления как его самого, так и основного сырья для него. </w:t>
      </w:r>
    </w:p>
    <w:p w14:paraId="03BD49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После эвакуации из Москвы Дорогомиловского химзавода, единственного в тот период производителя централита, выпуск его в стране был прекращен. В середине 1942 г. запасы централита на среднеуральском заводе иссякали. Производство зарядов для PC вот-вот должно было остановиться. Однако выход был найден. В связи с отсутствием централита возникла идея вводить в качестве стабилизатора химической стойкости пороха окись магния, являющуюся слабым основанием. На этом порохе, получившем наименование НМ-2, были изготовлены опытные партии зарядов к М-8 и M-13. </w:t>
      </w:r>
    </w:p>
    <w:p w14:paraId="0FCA07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Широкие стендовые проверки, а также контрольные стрельбовые испытания, проведенные на полигоне, прошли с положительными результатами. При этих испытаниях было установлено, что если заряды, изготовленные из пороха Н, не всегда нормально работали при температурах минус 30°С и ниже, то заряды из пороха, содержавшего окись магния, устойчиво работали во всем диапазоне возможных температур боевого применения РС, давая одновременно более низкий уровень давлений при максимальной положительной температуре заряда. </w:t>
      </w:r>
    </w:p>
    <w:p w14:paraId="548EA3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Оказалось, что окись магния, введенная только как стабилизатор химической стойкости пороха, заметно улучшила и баллистические качества его. Работы Особого бюро в этом направлении положили начало исследованиям каталитических процессов при горении порохов, поискам наиболее эффективных катализаторов горения и т.д. </w:t>
      </w:r>
    </w:p>
    <w:p w14:paraId="7F2CC5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7 сентября 1942 г., в связи с полным израсходованием запасов централита, порох с окисью магния был введен в производство. Всего три дня потребовалось заводу, чтобы наладить его внедрение и перейти к массовому изготовлению зарядов. За четыре месяца (по 1 января 1943 г.) среднеуральским заводом было изготовлено более 3000 т пороха НМ-2 для M-13 и М-8. Невозможно переоценить важность этих работ для обеспечения непрерывных поставок зарядов для нужд фронта. </w:t>
      </w:r>
    </w:p>
    <w:p w14:paraId="73B30D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Еще один пример. В феврале 1942 г. пороховому заводу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w:t>
      </w:r>
    </w:p>
    <w:p w14:paraId="370FB0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Особым бюро были выполнены и другие, направленные на ликвидацию помех производству зарядов, работы, из которых упомянем следующие. Еще 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 </w:t>
      </w:r>
    </w:p>
    <w:p w14:paraId="6FFAD7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 </w:t>
      </w:r>
    </w:p>
    <w:p w14:paraId="052E5C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 </w:t>
      </w:r>
    </w:p>
    <w:p w14:paraId="5EAFE7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Существенная помощь со стороны Особого бюро была оказана заводу по выяснению причин брака, получавшегося при прессовании пороховых шашек на прессах Круппа. Так, например, в феврале 1942 г. брак на фазе прессования зарядов М-8 и M-13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w:t>
      </w:r>
    </w:p>
    <w:p w14:paraId="1D551AA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 концу 1944 г. объем продукции завода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64EC1703" w14:textId="77777777" w:rsidR="00537E5F" w:rsidRPr="00507A31" w:rsidRDefault="00537E5F" w:rsidP="00507A31">
      <w:pPr>
        <w:autoSpaceDE w:val="0"/>
        <w:autoSpaceDN w:val="0"/>
        <w:adjustRightInd w:val="0"/>
        <w:jc w:val="both"/>
        <w:rPr>
          <w:color w:val="000000" w:themeColor="text1"/>
          <w:sz w:val="16"/>
          <w:szCs w:val="16"/>
        </w:rPr>
      </w:pPr>
    </w:p>
    <w:p w14:paraId="503BBD95" w14:textId="77777777" w:rsidR="00DE6527" w:rsidRPr="00507A31" w:rsidRDefault="00DE6527" w:rsidP="00507A31">
      <w:pPr>
        <w:jc w:val="both"/>
        <w:rPr>
          <w:color w:val="000000" w:themeColor="text1"/>
          <w:sz w:val="16"/>
          <w:szCs w:val="16"/>
        </w:rPr>
      </w:pPr>
      <w:r w:rsidRPr="00507A31">
        <w:rPr>
          <w:color w:val="000000" w:themeColor="text1"/>
          <w:sz w:val="16"/>
          <w:szCs w:val="16"/>
        </w:rPr>
        <w:t>В 1930 г. академик В.Н. Ипатьев, бывший генерал-лейтенант русской императорской армии, стоявший у истоков создания советской химической промышленности и Остехбюро, не вернулся в СССР после лечения в Германии и переехал жить в США. Как покажут события 1937 года В.Н. Ипатьев этим бегством спас себе жизнь. В.Н. Ипатьева лишили званий, степеней и гражданства. В 1990-ые Академия наук РФ вернула В.Н. Ипатьева в стан академиков (18667).</w:t>
      </w:r>
    </w:p>
    <w:p w14:paraId="1EE4E1C3" w14:textId="77777777" w:rsidR="00DE6527" w:rsidRPr="00507A31" w:rsidRDefault="00DE6527" w:rsidP="00507A31">
      <w:pPr>
        <w:jc w:val="both"/>
        <w:rPr>
          <w:color w:val="000000" w:themeColor="text1"/>
          <w:sz w:val="16"/>
          <w:szCs w:val="16"/>
        </w:rPr>
      </w:pPr>
    </w:p>
    <w:p w14:paraId="4DB5A7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было принято решение о строительстве завода (Завод № 78 им. Орджоникидзе НКОП, НКБ, «Челябстанкострой» нктп, п/я 500, ОАО «Федеральный научно-производственный центр (ФНПЦ) «Станкомаш» Росбоеприпаса, Акционерное общество «Станкомаш» / г. Челябинск п/я 500 «Удар» (1943 г.)/ /454010  г. Челябинск ул. Енисейская, 8 тел. 52-84-92/). «Станкомаш» основан 16.05.1935 г. как завод крупного станкостроения в ведении Снарядного треста ВСНХ. По пр. НКОП № Обсс от 30.12.1936 г. «Челябстанкострой» переименован в завод № 78. В 02.1937 г. завод № 78 - в ведении 4ГУ НКОП, по пр. № 0180 от 15.08.1937 г. передан в новое 13ГУ, в том же году заводу присвоено имя Орджоникидзе. В 02.1939 г. завод № 78 13ГУ НКОП передан в ведение 13ГУ НКБ.</w:t>
      </w:r>
    </w:p>
    <w:p w14:paraId="4CD9FD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Приказом НКОП № 0025 от 4.02.1937 г. заводу предписано к 1.01.1938 г. создать мощности по выпуску корпусов снарядов: 180-мм - 12 тыс. шт. в год; 203-мм - 250 тыс. шт.; 305-мм - 2 тыс. шт. «В связи с неудовлетворительными темпами работ» 13/20.01.1938 г. вышел приказ № Юс провести обследование строительства завода.</w:t>
      </w:r>
    </w:p>
    <w:p w14:paraId="61EC4B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1937 г. освоен выпуск токарно-винторезных станков. Приказом № 0222 от 28.09.1937 г. заводу была установлена программа по выпуску в 1938 г. станков: токарных: ТДА-П - 1,1-Д-64 - 60, 1-С-62 - 20, для крупных изделий- 1; револьверного - 1; спецмашин: шлифовально-полировочных ПШ - 10, шнек-аппаратов АБ-250 - 20.</w:t>
      </w:r>
    </w:p>
    <w:p w14:paraId="411EBC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на площадку завода эвакуирован из Ленинграда НИИ-24 (вероятно, его Ленинградский филиал). В соответствии с пост. ГКО № 99сс от 11.07.1941 г. на площадку завода эвакуировано снарядное производство завода № 232 НКВ и часть завода № 7 НКВ из Ленинграда. Также на площадку завода эвакуированы заводы НКБ: из Москвы часть завода № 70 (производство М-13, 76-мм дистанционных гранат и станкостроение, всего 400 ед. оборудования, 1000 чел.), все оборудование прибыло, основная его часть смонтирована и введена в строй (для всех эвакуированных заводов дано состояние на 30.12.1941 г.), к 30.01.1942 г. восстановлена мощность по М-13 - 100 тыс. шт. в год; производство ПЛАБ с завода № 67 (7 станков затем передано другим заводам); из Сталино часть завода № 73 (производство 76-мм снарядов, ФАБ-100, инструментальный и ремонтный цеха, 736 ед. оборудования, 1350 чел.), прибыла половина оборудования, часть его смонтирована и введена в строй, к 30.01.1942 г. восстановлено производство ФАБ-100 мощностью 200 тыс. шт. в год; часть завода № 258 из Осипенко (52 ед. вспомогательного и прессового оборудования, 30 чел.), все оборудование было уже смонтировано, основная его часть пущена в эксплуатацию; завод № 513 из Ростова-на-Дону (производство эмалированой посуды), прибыло 44 ед. оборудования, но оно подлежало переброске на другой завод; 93 чел. с завода № 561 (затем возвращены обратно). Кроме того, сюда эвакуировано производство 305-мм и 356-мм корпусов снарядов завода «Красный Профинтерн» ( г. Орджоникидзеград, 240 ед. оборудования), прибыло 48 ед.; оборудование по сборке М-13 с московских заводов: «Инжектор», прибыло и смонтировано 7 ед.; Опытного, прибыло 59 ед.; Электродного, прибыло 19 ед.; им. Войтовича, прибыло 35 ед.; Метростроя, прибыла 71 ед.; ситцевой фабрики, прибыло 12 ед.; № 220, прибыло 7 ед.; Карачаровского, прибыло 15 ед.; «Красный путь», прибыло 16 ед.; ГПЗ-1, прибыло 3 ед.; № 592 НКВ ( г. Мытищи), прибыло 47 ед.; Кольчугинского, прибыло 16 ед.</w:t>
      </w:r>
    </w:p>
    <w:p w14:paraId="532ABB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12.1942-09.1944 г. - в ведении 4ГУ НКБ. Имел обозначение «п/я 500» (1943 г.).</w:t>
      </w:r>
    </w:p>
    <w:p w14:paraId="29599C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892сс от 13.11.1941 г. из состава завода № 78 несколько цехов выделены в самостоятельный металлургический броневой завод № 200, который был включен в состав Уральского комбината по производству тяжелых танков КВ. 8.03.1944 г. вышло постановление ГКО № 5335 о восстановлении производства снарядов крупных калибров на заводе.</w:t>
      </w:r>
    </w:p>
    <w:p w14:paraId="6DDD9C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завода основные цехи (1943 г.): механический, кузнечно-прессовый, термический, литейный. Количество оборудования- 865 ед.</w:t>
      </w:r>
    </w:p>
    <w:p w14:paraId="69D079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Распоряжением правительства № 1545-р от 2.10.1999 г. предприятию присвоен статус ФНПЦ. По решению правительства № 22-р от 9.01.2004 г. АО вошло в перечень стратегических предприятий.</w:t>
      </w:r>
    </w:p>
    <w:p w14:paraId="7DC990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2004 г. - многоцелевое предприятие с замкнутым циклом производства от выплавки стали (чугуна) до изготовления конечного продукта. Головной разработчик и единственный в России производитель средств преодоления минных полей. В 2008 г. предприятие являлось банкротом.</w:t>
      </w:r>
    </w:p>
    <w:p w14:paraId="38B1CF5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предприятии имелись производства: электросталеплавильное, сталелитейное, чугунолитейное, цветное литье в кокиль ( латунь, бронза), литье под давлением (алюминий); различные виды термической обработки; изготовление деталей методом прямого прессования из резины и термореактивных пресспорошков, а также пластмассы методом литья под давлением; холодная штамповка; механообрабатывающее; сварочное; гальваническое.</w:t>
      </w:r>
    </w:p>
    <w:p w14:paraId="186AF4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Площадь (1943 г.): производственная- 92046 м</w:t>
      </w:r>
      <w:r w:rsidRPr="00507A31">
        <w:rPr>
          <w:color w:val="000000" w:themeColor="text1"/>
          <w:sz w:val="16"/>
          <w:szCs w:val="16"/>
          <w:vertAlign w:val="superscript"/>
        </w:rPr>
        <w:t>2</w:t>
      </w:r>
      <w:r w:rsidRPr="00507A31">
        <w:rPr>
          <w:color w:val="000000" w:themeColor="text1"/>
          <w:sz w:val="16"/>
          <w:szCs w:val="16"/>
        </w:rPr>
        <w:t>; вспомогательная- 45199 м</w:t>
      </w:r>
      <w:r w:rsidRPr="00507A31">
        <w:rPr>
          <w:color w:val="000000" w:themeColor="text1"/>
          <w:sz w:val="16"/>
          <w:szCs w:val="16"/>
          <w:vertAlign w:val="superscript"/>
        </w:rPr>
        <w:t>2</w:t>
      </w:r>
      <w:r w:rsidRPr="00507A31">
        <w:rPr>
          <w:color w:val="000000" w:themeColor="text1"/>
          <w:sz w:val="16"/>
          <w:szCs w:val="16"/>
        </w:rPr>
        <w:t>.</w:t>
      </w:r>
    </w:p>
    <w:p w14:paraId="5A42D8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(12.1942 г.)- 11033 чел.</w:t>
      </w:r>
      <w:r w:rsidRPr="00507A31">
        <w:rPr>
          <w:color w:val="000000" w:themeColor="text1"/>
          <w:sz w:val="16"/>
          <w:szCs w:val="16"/>
          <w:vertAlign w:val="superscript"/>
        </w:rPr>
        <w:t>132</w:t>
      </w:r>
    </w:p>
    <w:p w14:paraId="51840CD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И.О. директора (-03-25.04.1937 г.)- Д.Л. Головчинер. Директор (25.04.1937 г.-)- К.М. Отс , (1.07.1937- 11.04.1938 г.)- С.А. Кушпель (снят), (14.08.1938 г.-)- А.А. Сухих, (11.1941 г.-)- М. Попов, (04.1943 г.)- Уваров, (11.1943 г.)- Рогожин. Гендиректор (2007 г.)- А. Тарасов.</w:t>
      </w:r>
    </w:p>
    <w:p w14:paraId="51EE2C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директора: (06.1937 г.)- М.А. Балкин; по строительству (25.04.1937 г.-)- Д.Л. Головчинер. Помощник директора по найму и увольнению (14.08.1938 г.-)- А.К. Москвичев.</w:t>
      </w:r>
    </w:p>
    <w:p w14:paraId="3927C5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Технический директор (2007 г.)- В. Дружинин.</w:t>
      </w:r>
    </w:p>
    <w:p w14:paraId="45E296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(06.1937 г.)- М.А. Балакин, (04.1943 г.)- Забалуев.</w:t>
      </w:r>
    </w:p>
    <w:p w14:paraId="20A384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отделов: НПО (04.1943 г.)- Савельев.</w:t>
      </w:r>
    </w:p>
    <w:p w14:paraId="3C2123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Производство: детали для </w:t>
      </w:r>
      <w:r w:rsidRPr="00507A31">
        <w:rPr>
          <w:color w:val="000000" w:themeColor="text1"/>
          <w:sz w:val="16"/>
          <w:szCs w:val="16"/>
          <w:lang w:val="en-US"/>
        </w:rPr>
        <w:t>PC</w:t>
      </w:r>
      <w:r w:rsidRPr="00507A31">
        <w:rPr>
          <w:color w:val="000000" w:themeColor="text1"/>
          <w:sz w:val="16"/>
          <w:szCs w:val="16"/>
        </w:rPr>
        <w:t xml:space="preserve"> М-13 (-1942-43-); снаряды 180-мм, 152-мм, 76-мм; авиацилиндры моторов М- 82, М-85, М-100 (1937), С-50; мины 120-мм (1943); тралы: колейный катково-ножевой КМТ-7, ножевой КМТ-8, ножевой КМТ-10, КМТ-РЗ (2000-е); электромагнитная приставка ЭМТ для траления мин с неконтактными магнитными взрывателями; токарно-винторезные станки 1К625Д, нефтегазопромысловое и шахтное оборудование, лебедки для горнодобывающей промышленности (2004) (11982).</w:t>
      </w:r>
    </w:p>
    <w:p w14:paraId="5E6A8F4F" w14:textId="77777777" w:rsidR="00537E5F" w:rsidRPr="00507A31" w:rsidRDefault="00537E5F" w:rsidP="00507A31">
      <w:pPr>
        <w:autoSpaceDE w:val="0"/>
        <w:autoSpaceDN w:val="0"/>
        <w:adjustRightInd w:val="0"/>
        <w:jc w:val="both"/>
        <w:rPr>
          <w:color w:val="000000" w:themeColor="text1"/>
          <w:sz w:val="16"/>
          <w:szCs w:val="16"/>
        </w:rPr>
      </w:pPr>
    </w:p>
    <w:p w14:paraId="3908AD5B" w14:textId="77777777" w:rsidR="00083A1F" w:rsidRPr="00507A31" w:rsidRDefault="00083A1F" w:rsidP="00507A31">
      <w:pPr>
        <w:jc w:val="both"/>
        <w:rPr>
          <w:color w:val="000000" w:themeColor="text1"/>
          <w:sz w:val="16"/>
          <w:szCs w:val="16"/>
        </w:rPr>
      </w:pPr>
      <w:r w:rsidRPr="00507A31">
        <w:rPr>
          <w:color w:val="000000" w:themeColor="text1"/>
          <w:sz w:val="16"/>
          <w:szCs w:val="16"/>
        </w:rPr>
        <w:t>В 1930 году была принята на вооружение 37-мм противо</w:t>
      </w:r>
      <w:hyperlink r:id="rId191" w:tgtFrame="_blank" w:history="1">
        <w:r w:rsidRPr="00507A31">
          <w:rPr>
            <w:color w:val="000000" w:themeColor="text1"/>
            <w:sz w:val="16"/>
            <w:szCs w:val="16"/>
          </w:rPr>
          <w:t>танк</w:t>
        </w:r>
      </w:hyperlink>
      <w:r w:rsidRPr="00507A31">
        <w:rPr>
          <w:color w:val="000000" w:themeColor="text1"/>
          <w:sz w:val="16"/>
          <w:szCs w:val="16"/>
        </w:rPr>
        <w:t>овая пушка, купленной у фирмы «Рейнметалл» (15600).</w:t>
      </w:r>
    </w:p>
    <w:p w14:paraId="1CEF45DE" w14:textId="77777777" w:rsidR="00083A1F" w:rsidRPr="00507A31" w:rsidRDefault="00083A1F" w:rsidP="00507A31">
      <w:pPr>
        <w:jc w:val="both"/>
        <w:rPr>
          <w:color w:val="000000" w:themeColor="text1"/>
          <w:sz w:val="16"/>
          <w:szCs w:val="16"/>
        </w:rPr>
      </w:pPr>
    </w:p>
    <w:p w14:paraId="225805E8" w14:textId="77777777" w:rsidR="00083A1F" w:rsidRPr="00507A31" w:rsidRDefault="00083A1F" w:rsidP="00507A31">
      <w:pPr>
        <w:jc w:val="both"/>
        <w:rPr>
          <w:color w:val="000000" w:themeColor="text1"/>
          <w:sz w:val="16"/>
          <w:szCs w:val="16"/>
        </w:rPr>
      </w:pPr>
      <w:r w:rsidRPr="00507A31">
        <w:rPr>
          <w:color w:val="000000" w:themeColor="text1"/>
          <w:sz w:val="16"/>
          <w:szCs w:val="16"/>
        </w:rPr>
        <w:t>В 1930 г. Курчевский начал работу над 305-мм ДРП. Естественно, никакой пушки он не проектировал, а решил использовать стволы от старых 12-дм (305-мм) пушек русских броненосцев.</w:t>
      </w:r>
    </w:p>
    <w:p w14:paraId="25E747DC" w14:textId="77777777" w:rsidR="00083A1F" w:rsidRPr="00507A31" w:rsidRDefault="00083A1F" w:rsidP="00507A31">
      <w:pPr>
        <w:jc w:val="both"/>
        <w:rPr>
          <w:color w:val="000000" w:themeColor="text1"/>
          <w:sz w:val="16"/>
          <w:szCs w:val="16"/>
        </w:rPr>
      </w:pPr>
      <w:r w:rsidRPr="00507A31">
        <w:rPr>
          <w:color w:val="000000" w:themeColor="text1"/>
          <w:sz w:val="16"/>
          <w:szCs w:val="16"/>
        </w:rPr>
        <w:t>В том же 1930 году заводу «Большевик» для проведения испытаний были заказаны одна 305-мм ДРП-305 Курчевского и 50 снарядов для нее. 13 октября 1930 г. 12-дм ствол был доставлен в НИАП на «Большевик». Эта ДРП представляла собой ствол старой 12-дм (305/40-мм) пушки № 74, переделанной на заводе «Большевик», длиной 12 192 мм.</w:t>
      </w:r>
    </w:p>
    <w:p w14:paraId="34BC8DB4" w14:textId="77777777" w:rsidR="00083A1F" w:rsidRPr="00507A31" w:rsidRDefault="00083A1F" w:rsidP="00507A31">
      <w:pPr>
        <w:jc w:val="both"/>
        <w:rPr>
          <w:color w:val="000000" w:themeColor="text1"/>
          <w:sz w:val="16"/>
          <w:szCs w:val="16"/>
        </w:rPr>
      </w:pPr>
      <w:r w:rsidRPr="00507A31">
        <w:rPr>
          <w:color w:val="000000" w:themeColor="text1"/>
          <w:sz w:val="16"/>
          <w:szCs w:val="16"/>
        </w:rPr>
        <w:t>3 апреля 1931 г. Курчевский явился на завод, ознакомился с ходом выполнения работ и дал указания о необходимости изготовления сопла. Изготовление ствола 305-мм ДРП без сопла и затвора завершилось на заводе «Большевик» в мае 1931 г. Но с изготовлением сопла возникли проблемы. Оно изготавливалось по эскизу Курчевского. Завод предложил изготовить составное сопло, Курчевский согласился. Передняя часть сопла была откопана в августе 1931 г. При обработке сопла в декабре 1931 г. были обнаружены трещины в металле. 13 декабря на завод прибыл представитель Курчевского тов. Давид и разрешил увеличить диаметр сопла с целью выведения этих трещин.</w:t>
      </w:r>
    </w:p>
    <w:p w14:paraId="4094F082" w14:textId="77777777" w:rsidR="00083A1F" w:rsidRPr="00507A31" w:rsidRDefault="00083A1F" w:rsidP="00507A31">
      <w:pPr>
        <w:jc w:val="both"/>
        <w:rPr>
          <w:color w:val="000000" w:themeColor="text1"/>
          <w:sz w:val="16"/>
          <w:szCs w:val="16"/>
        </w:rPr>
      </w:pPr>
      <w:r w:rsidRPr="00507A31">
        <w:rPr>
          <w:color w:val="000000" w:themeColor="text1"/>
          <w:sz w:val="16"/>
          <w:szCs w:val="16"/>
        </w:rPr>
        <w:t>Для ДРП-305 на заводе «Большевик» двадцать 12-дм чугунных ядер сталистого чугуна обр. 1911 г., изготовленных на Луганском заводе, были приведены к весу 350 кг, и на них разместили новые пояски. 17 апреля 1931 г. ядра отправили на НИАП. Завод обновил еще семь 305-мм стрелянных снарядов, которые также в апреле отправили на полигон.</w:t>
      </w:r>
    </w:p>
    <w:p w14:paraId="2CDB74F5" w14:textId="77777777" w:rsidR="00083A1F" w:rsidRPr="00507A31" w:rsidRDefault="00083A1F" w:rsidP="00507A31">
      <w:pPr>
        <w:jc w:val="both"/>
        <w:rPr>
          <w:color w:val="000000" w:themeColor="text1"/>
          <w:sz w:val="16"/>
          <w:szCs w:val="16"/>
        </w:rPr>
      </w:pPr>
      <w:r w:rsidRPr="00507A31">
        <w:rPr>
          <w:color w:val="000000" w:themeColor="text1"/>
          <w:sz w:val="16"/>
          <w:szCs w:val="16"/>
        </w:rPr>
        <w:t>В январе 1932 г. на «Большевик» вновь прибыл Курчевский и дал указание укоротить ствол орудия на 10 калибров. Ствол № 74 был укорочен с дульной части на 3429 мм (по другим данным — на 3472 мм), и его длина стала 8720 мм, то есть 28,6 клб. Изготовление сопла завершилось 10 февраля 1932 г. Сопло длиной (от казенного среза орудия до заднего среза сопла) 3326 мм было вставлено вместо затвора. Таким образом, общая длина ствола с соплом стала 12 046 мм.</w:t>
      </w:r>
    </w:p>
    <w:p w14:paraId="7A22AAA6" w14:textId="77777777" w:rsidR="00083A1F" w:rsidRPr="00507A31" w:rsidRDefault="00083A1F" w:rsidP="00507A31">
      <w:pPr>
        <w:jc w:val="both"/>
        <w:rPr>
          <w:color w:val="000000" w:themeColor="text1"/>
          <w:sz w:val="16"/>
          <w:szCs w:val="16"/>
        </w:rPr>
      </w:pPr>
      <w:r w:rsidRPr="00507A31">
        <w:rPr>
          <w:color w:val="000000" w:themeColor="text1"/>
          <w:sz w:val="16"/>
          <w:szCs w:val="16"/>
        </w:rPr>
        <w:t>Внутренний диаметр сопла у каморы был 230 мм, а внутренний диаметр сопла у заднего среза — 810 мм. С левой стороны у орудия имелись отверстия для помещения в них крешеров, с правой стороны на расстоянии 525 мм от казенного среза имелось запальное отверстие.</w:t>
      </w:r>
    </w:p>
    <w:p w14:paraId="1EF9A5BB" w14:textId="77777777" w:rsidR="00083A1F" w:rsidRPr="00507A31" w:rsidRDefault="00083A1F" w:rsidP="00507A31">
      <w:pPr>
        <w:jc w:val="both"/>
        <w:rPr>
          <w:color w:val="000000" w:themeColor="text1"/>
          <w:sz w:val="16"/>
          <w:szCs w:val="16"/>
        </w:rPr>
      </w:pPr>
      <w:r w:rsidRPr="00507A31">
        <w:rPr>
          <w:color w:val="000000" w:themeColor="text1"/>
          <w:sz w:val="16"/>
          <w:szCs w:val="16"/>
        </w:rPr>
        <w:t>В январе 1932 г. Курчевский посчитал необходимым привести вес снаряда к 250 кг и снять пояски, так как заряжание орудия могло производиться только с дула. Со снарядов были срезаны головные части с центрирующими утолщениями. Кроме того, с этих снарядов были сточены ведущие пояски на столько, чтобы ими возможно было производить заряжание с дульной части орудия. Длина снарядов стала 478—479 мм и вес — около 250 кг. Заряды вкладывались также с дульной части орудия.</w:t>
      </w:r>
    </w:p>
    <w:p w14:paraId="6A57C17C" w14:textId="77777777" w:rsidR="00083A1F" w:rsidRPr="00507A31" w:rsidRDefault="00083A1F" w:rsidP="00507A31">
      <w:pPr>
        <w:jc w:val="both"/>
        <w:rPr>
          <w:color w:val="000000" w:themeColor="text1"/>
          <w:sz w:val="16"/>
          <w:szCs w:val="16"/>
        </w:rPr>
      </w:pPr>
      <w:r w:rsidRPr="00507A31">
        <w:rPr>
          <w:color w:val="000000" w:themeColor="text1"/>
          <w:sz w:val="16"/>
          <w:szCs w:val="16"/>
        </w:rPr>
        <w:t>15 марта 1932 г. на НИАПе в присутствии комиссии было проведено испытание стрельбой 305-мм ДРП. Для стрельб ДРП уложили на клетке из деревянных брусьев, соединенных скобами. Клетка имела размерения: 6,53 х 6,53 х 2,14 м. Ось орудия размещалась на высоте 2,13 м от поверхности грунта. Орудие имело угол возвышения 6°.</w:t>
      </w:r>
    </w:p>
    <w:p w14:paraId="43A6A7FC" w14:textId="77777777" w:rsidR="00083A1F" w:rsidRPr="00507A31" w:rsidRDefault="00083A1F" w:rsidP="00507A31">
      <w:pPr>
        <w:jc w:val="both"/>
        <w:rPr>
          <w:color w:val="000000" w:themeColor="text1"/>
          <w:sz w:val="16"/>
          <w:szCs w:val="16"/>
        </w:rPr>
      </w:pPr>
      <w:r w:rsidRPr="00507A31">
        <w:rPr>
          <w:color w:val="000000" w:themeColor="text1"/>
          <w:sz w:val="16"/>
          <w:szCs w:val="16"/>
        </w:rPr>
        <w:t>Заряжание 305-мм ДРП производилось следующим образом: сначала в орудие вставлялся 75-мм толщины круглый деревянный диск — заглушка диаметром около 305 мм. При помощи длинного прибойника этот диск прижимался к переднему срезу горловины сопла. Затем через запальное отверстие вставлялась перовая трубка, которая приходилась как раз около центра диска с передней стороны. Вставлялся пороховой заряд. Наконец, к дулу подавался 12-дм снаряд и вкладывался в канал. При помощи прибойника снаряд досылался на 5770 мм внутрь так, чтобы донный срез цилиндра снаряда совпадал с местом расположения дна нормального снаряда в этой пушке. Воспламенение заряда производилось гальванически.</w:t>
      </w:r>
    </w:p>
    <w:p w14:paraId="6B8744A3" w14:textId="77777777" w:rsidR="00083A1F" w:rsidRPr="00507A31" w:rsidRDefault="00083A1F" w:rsidP="00507A31">
      <w:pPr>
        <w:jc w:val="both"/>
        <w:rPr>
          <w:color w:val="000000" w:themeColor="text1"/>
          <w:sz w:val="16"/>
          <w:szCs w:val="16"/>
        </w:rPr>
      </w:pPr>
      <w:r w:rsidRPr="00507A31">
        <w:rPr>
          <w:color w:val="000000" w:themeColor="text1"/>
          <w:sz w:val="16"/>
          <w:szCs w:val="16"/>
        </w:rPr>
        <w:t>Для стрельбы использовались чугунные снаряды (морские ядра) длиной 485 мм со сточенным медным пояском. При весе снаряда 250 кг его начальная скорость составляла 380 м/с, а давление в канале ствола достигало 2200 атм.</w:t>
      </w:r>
    </w:p>
    <w:p w14:paraId="3F61161A" w14:textId="77777777" w:rsidR="00083A1F" w:rsidRPr="00507A31" w:rsidRDefault="00083A1F" w:rsidP="00507A31">
      <w:pPr>
        <w:jc w:val="both"/>
        <w:rPr>
          <w:color w:val="000000" w:themeColor="text1"/>
          <w:sz w:val="16"/>
          <w:szCs w:val="16"/>
        </w:rPr>
      </w:pPr>
      <w:r w:rsidRPr="00507A31">
        <w:rPr>
          <w:color w:val="000000" w:themeColor="text1"/>
          <w:sz w:val="16"/>
          <w:szCs w:val="16"/>
        </w:rPr>
        <w:t>За время проведения стрельб отмечалось сбрасывание рамы с картеном, поставленной на расстоянии 50 м, и выбрасывание большого количества пороховых остатков на расстояние до 80 м. Почти полное сгорание пороха получилось при весе заряда в 60 кг.</w:t>
      </w:r>
    </w:p>
    <w:p w14:paraId="0A99CB13" w14:textId="77777777" w:rsidR="00083A1F" w:rsidRPr="00507A31" w:rsidRDefault="00083A1F" w:rsidP="00507A31">
      <w:pPr>
        <w:jc w:val="both"/>
        <w:rPr>
          <w:color w:val="000000" w:themeColor="text1"/>
          <w:sz w:val="16"/>
          <w:szCs w:val="16"/>
        </w:rPr>
      </w:pPr>
      <w:r w:rsidRPr="00507A31">
        <w:rPr>
          <w:color w:val="000000" w:themeColor="text1"/>
          <w:sz w:val="16"/>
          <w:szCs w:val="16"/>
        </w:rPr>
        <w:t>Для проведения испытаний Курчевский дал следующие данные по системе. Тело орудия имело длину нарезной части в 10 клб и весило около 3,5 т. Вес всей артсистемы составлял около 5 т, что позволяло установить ее на пятитонный грузовик.</w:t>
      </w:r>
    </w:p>
    <w:p w14:paraId="49105365" w14:textId="77777777" w:rsidR="00083A1F" w:rsidRPr="00507A31" w:rsidRDefault="00083A1F" w:rsidP="00507A31">
      <w:pPr>
        <w:jc w:val="both"/>
        <w:rPr>
          <w:color w:val="000000" w:themeColor="text1"/>
          <w:sz w:val="16"/>
          <w:szCs w:val="16"/>
        </w:rPr>
      </w:pPr>
      <w:r w:rsidRPr="00507A31">
        <w:rPr>
          <w:color w:val="000000" w:themeColor="text1"/>
          <w:sz w:val="16"/>
          <w:szCs w:val="16"/>
        </w:rPr>
        <w:t>При проведении испытаний на НИАПе было произведено 7 выстрелов из 305-мм ДРП.</w:t>
      </w:r>
    </w:p>
    <w:p w14:paraId="125C2C13" w14:textId="77777777" w:rsidR="00083A1F" w:rsidRPr="00507A31" w:rsidRDefault="00083A1F" w:rsidP="00507A31">
      <w:pPr>
        <w:jc w:val="both"/>
        <w:rPr>
          <w:bCs/>
          <w:color w:val="000000" w:themeColor="text1"/>
          <w:sz w:val="16"/>
          <w:szCs w:val="16"/>
        </w:rPr>
      </w:pPr>
      <w:bookmarkStart w:id="110" w:name="label82"/>
      <w:bookmarkStart w:id="111" w:name="label83"/>
      <w:bookmarkEnd w:id="110"/>
      <w:bookmarkEnd w:id="111"/>
      <w:r w:rsidRPr="00507A31">
        <w:rPr>
          <w:bCs/>
          <w:color w:val="000000" w:themeColor="text1"/>
          <w:sz w:val="16"/>
          <w:szCs w:val="16"/>
        </w:rPr>
        <w:t>Результаты испытаний из 305-мм пушки № 74 по подбору зарядов</w:t>
      </w:r>
    </w:p>
    <w:p w14:paraId="75139B55" w14:textId="77777777" w:rsidR="00083A1F" w:rsidRPr="00507A31" w:rsidRDefault="00083A1F" w:rsidP="00507A31">
      <w:pPr>
        <w:jc w:val="both"/>
        <w:rPr>
          <w:color w:val="000000" w:themeColor="text1"/>
          <w:sz w:val="16"/>
          <w:szCs w:val="16"/>
        </w:rPr>
      </w:pPr>
      <w:r w:rsidRPr="00507A31">
        <w:rPr>
          <w:color w:val="000000" w:themeColor="text1"/>
          <w:sz w:val="16"/>
          <w:szCs w:val="16"/>
        </w:rPr>
        <w:t>При обоих выстрелах снарядом весом 239 кг полет снарядов был направлен (по звуку). На снарядах были заметны следы нарезов на поясках.</w:t>
      </w:r>
    </w:p>
    <w:p w14:paraId="0C3B0232" w14:textId="77777777" w:rsidR="00083A1F" w:rsidRPr="00507A31" w:rsidRDefault="00083A1F" w:rsidP="00507A31">
      <w:pPr>
        <w:jc w:val="both"/>
        <w:rPr>
          <w:color w:val="000000" w:themeColor="text1"/>
          <w:sz w:val="16"/>
          <w:szCs w:val="16"/>
        </w:rPr>
      </w:pPr>
      <w:r w:rsidRPr="00507A31">
        <w:rPr>
          <w:color w:val="000000" w:themeColor="text1"/>
          <w:sz w:val="16"/>
          <w:szCs w:val="16"/>
        </w:rPr>
        <w:t>Для стрельбы применен порох Б11с 4/ОЗ вместо намеченного 120/50, которого не оказалось на полигоне.</w:t>
      </w:r>
    </w:p>
    <w:p w14:paraId="4ECFE472" w14:textId="77777777" w:rsidR="00083A1F" w:rsidRPr="00507A31" w:rsidRDefault="00083A1F" w:rsidP="00507A31">
      <w:pPr>
        <w:jc w:val="both"/>
        <w:rPr>
          <w:color w:val="000000" w:themeColor="text1"/>
          <w:sz w:val="16"/>
          <w:szCs w:val="16"/>
        </w:rPr>
      </w:pPr>
      <w:r w:rsidRPr="00507A31">
        <w:rPr>
          <w:color w:val="000000" w:themeColor="text1"/>
          <w:sz w:val="16"/>
          <w:szCs w:val="16"/>
        </w:rPr>
        <w:lastRenderedPageBreak/>
        <w:t>На дно канала положен сосновый диск диаметром 305 мм и толщиной 75 мм. Воспламенение производилось с помощью вытяжной трубки. Трубка воспламенялась электрическим током от индуктора.</w:t>
      </w:r>
    </w:p>
    <w:p w14:paraId="187BD0AB" w14:textId="77777777" w:rsidR="00083A1F" w:rsidRPr="00507A31" w:rsidRDefault="00083A1F" w:rsidP="00507A31">
      <w:pPr>
        <w:jc w:val="both"/>
        <w:rPr>
          <w:color w:val="000000" w:themeColor="text1"/>
          <w:sz w:val="16"/>
          <w:szCs w:val="16"/>
        </w:rPr>
      </w:pPr>
      <w:bookmarkStart w:id="112" w:name="label84"/>
      <w:bookmarkStart w:id="113" w:name="label85"/>
      <w:bookmarkEnd w:id="112"/>
      <w:bookmarkEnd w:id="113"/>
      <w:r w:rsidRPr="00507A31">
        <w:rPr>
          <w:color w:val="000000" w:themeColor="text1"/>
          <w:sz w:val="16"/>
          <w:szCs w:val="16"/>
        </w:rPr>
        <w:t>Отчет по стрельбе 305-мм ДРП 4 сентября, 5 сентября и 9 октября 1933 г.:</w:t>
      </w:r>
    </w:p>
    <w:p w14:paraId="6100EF22" w14:textId="77777777" w:rsidR="00083A1F" w:rsidRPr="00507A31" w:rsidRDefault="00083A1F" w:rsidP="00507A31">
      <w:pPr>
        <w:jc w:val="both"/>
        <w:rPr>
          <w:bCs/>
          <w:color w:val="000000" w:themeColor="text1"/>
          <w:sz w:val="16"/>
          <w:szCs w:val="16"/>
        </w:rPr>
      </w:pPr>
      <w:r w:rsidRPr="00507A31">
        <w:rPr>
          <w:bCs/>
          <w:color w:val="000000" w:themeColor="text1"/>
          <w:sz w:val="16"/>
          <w:szCs w:val="16"/>
          <w:vertAlign w:val="superscript"/>
        </w:rPr>
        <w:t>Вес снаряда, кг …… Заряд … Начальная скорость, м/с</w:t>
      </w:r>
    </w:p>
    <w:p w14:paraId="7BE2E256" w14:textId="77777777" w:rsidR="00083A1F" w:rsidRPr="00507A31" w:rsidRDefault="00083A1F" w:rsidP="00507A31">
      <w:pPr>
        <w:jc w:val="both"/>
        <w:rPr>
          <w:color w:val="000000" w:themeColor="text1"/>
          <w:sz w:val="16"/>
          <w:szCs w:val="16"/>
        </w:rPr>
      </w:pPr>
      <w:r w:rsidRPr="00507A31">
        <w:rPr>
          <w:color w:val="000000" w:themeColor="text1"/>
          <w:sz w:val="16"/>
          <w:szCs w:val="16"/>
        </w:rPr>
        <w:t>236,4 …… 110 кг пороха Б11с 4/ОЗ … 626,9</w:t>
      </w:r>
    </w:p>
    <w:p w14:paraId="4A11E82A" w14:textId="77777777" w:rsidR="00083A1F" w:rsidRPr="00507A31" w:rsidRDefault="00083A1F" w:rsidP="00507A31">
      <w:pPr>
        <w:jc w:val="both"/>
        <w:rPr>
          <w:color w:val="000000" w:themeColor="text1"/>
          <w:sz w:val="16"/>
          <w:szCs w:val="16"/>
        </w:rPr>
      </w:pPr>
      <w:r w:rsidRPr="00507A31">
        <w:rPr>
          <w:color w:val="000000" w:themeColor="text1"/>
          <w:sz w:val="16"/>
          <w:szCs w:val="16"/>
        </w:rPr>
        <w:t>251,3 …… 110 кг пороха Б11с 4/ОЗ … 590,7</w:t>
      </w:r>
    </w:p>
    <w:p w14:paraId="2C0474E4" w14:textId="77777777" w:rsidR="00083A1F" w:rsidRPr="00507A31" w:rsidRDefault="00083A1F" w:rsidP="00507A31">
      <w:pPr>
        <w:jc w:val="both"/>
        <w:rPr>
          <w:color w:val="000000" w:themeColor="text1"/>
          <w:sz w:val="16"/>
          <w:szCs w:val="16"/>
        </w:rPr>
      </w:pPr>
      <w:r w:rsidRPr="00507A31">
        <w:rPr>
          <w:color w:val="000000" w:themeColor="text1"/>
          <w:sz w:val="16"/>
          <w:szCs w:val="16"/>
        </w:rPr>
        <w:t>Стрельбы из 305/28-мм ДРП 29 и 30 декабря 1933 г.: Стреляли по-прежнему с клетки из бревен. Заряд состоял из двух полузарядов пороха Б</w:t>
      </w:r>
      <w:r w:rsidRPr="00507A31">
        <w:rPr>
          <w:color w:val="000000" w:themeColor="text1"/>
          <w:sz w:val="16"/>
          <w:szCs w:val="16"/>
          <w:vertAlign w:val="subscript"/>
        </w:rPr>
        <w:t>11с</w:t>
      </w:r>
      <w:r w:rsidRPr="00507A31">
        <w:rPr>
          <w:color w:val="000000" w:themeColor="text1"/>
          <w:sz w:val="16"/>
          <w:szCs w:val="16"/>
        </w:rPr>
        <w:t xml:space="preserve"> общим весом 100 кг. Стреляли снарядом весом 250 кг со сточенными поясками.</w:t>
      </w:r>
    </w:p>
    <w:p w14:paraId="42051C4E" w14:textId="77777777" w:rsidR="00083A1F" w:rsidRPr="00507A31" w:rsidRDefault="00083A1F" w:rsidP="00507A31">
      <w:pPr>
        <w:jc w:val="both"/>
        <w:rPr>
          <w:color w:val="000000" w:themeColor="text1"/>
          <w:sz w:val="16"/>
          <w:szCs w:val="16"/>
        </w:rPr>
      </w:pPr>
      <w:r w:rsidRPr="00507A31">
        <w:rPr>
          <w:color w:val="000000" w:themeColor="text1"/>
          <w:sz w:val="16"/>
          <w:szCs w:val="16"/>
        </w:rPr>
        <w:t>В августе 1934 г. на заводе «Большевик» была закончена новая 305-мм ДРП «305-К». 21—23 сентября 1934 г. она испытывалась на эсминце «Энгельс».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591BAF21" w14:textId="77777777" w:rsidR="00083A1F" w:rsidRPr="00507A31" w:rsidRDefault="00083A1F" w:rsidP="00507A31">
      <w:pPr>
        <w:jc w:val="both"/>
        <w:rPr>
          <w:bCs/>
          <w:color w:val="000000" w:themeColor="text1"/>
          <w:sz w:val="16"/>
          <w:szCs w:val="16"/>
        </w:rPr>
      </w:pPr>
      <w:bookmarkStart w:id="114" w:name="label86"/>
      <w:bookmarkEnd w:id="114"/>
      <w:r w:rsidRPr="00507A31">
        <w:rPr>
          <w:bCs/>
          <w:color w:val="000000" w:themeColor="text1"/>
          <w:sz w:val="16"/>
          <w:szCs w:val="16"/>
        </w:rPr>
        <w:t>Данные испытывавшейся ДРП (305-К)</w:t>
      </w:r>
    </w:p>
    <w:p w14:paraId="161A7A2E" w14:textId="77777777" w:rsidR="00083A1F" w:rsidRPr="00507A31" w:rsidRDefault="00083A1F" w:rsidP="00507A31">
      <w:pPr>
        <w:jc w:val="both"/>
        <w:rPr>
          <w:color w:val="000000" w:themeColor="text1"/>
          <w:sz w:val="16"/>
          <w:szCs w:val="16"/>
        </w:rPr>
      </w:pPr>
      <w:r w:rsidRPr="00507A31">
        <w:rPr>
          <w:color w:val="000000" w:themeColor="text1"/>
          <w:sz w:val="16"/>
          <w:szCs w:val="16"/>
        </w:rPr>
        <w:t>Калибр, мм …… 305</w:t>
      </w:r>
    </w:p>
    <w:p w14:paraId="10CDED7D" w14:textId="77777777" w:rsidR="00083A1F" w:rsidRPr="00507A31" w:rsidRDefault="00083A1F" w:rsidP="00507A31">
      <w:pPr>
        <w:jc w:val="both"/>
        <w:rPr>
          <w:color w:val="000000" w:themeColor="text1"/>
          <w:sz w:val="16"/>
          <w:szCs w:val="16"/>
        </w:rPr>
      </w:pPr>
      <w:r w:rsidRPr="00507A31">
        <w:rPr>
          <w:color w:val="000000" w:themeColor="text1"/>
          <w:sz w:val="16"/>
          <w:szCs w:val="16"/>
        </w:rPr>
        <w:t>Длина ствола с соплом, мм/клб …… 12035/39,4</w:t>
      </w:r>
    </w:p>
    <w:p w14:paraId="471C7F6B" w14:textId="77777777" w:rsidR="00083A1F" w:rsidRPr="00507A31" w:rsidRDefault="00083A1F" w:rsidP="00507A31">
      <w:pPr>
        <w:jc w:val="both"/>
        <w:rPr>
          <w:color w:val="000000" w:themeColor="text1"/>
          <w:sz w:val="16"/>
          <w:szCs w:val="16"/>
        </w:rPr>
      </w:pPr>
      <w:r w:rsidRPr="00507A31">
        <w:rPr>
          <w:color w:val="000000" w:themeColor="text1"/>
          <w:sz w:val="16"/>
          <w:szCs w:val="16"/>
        </w:rPr>
        <w:t>Длина ствола без сопла, клб …… 25</w:t>
      </w:r>
    </w:p>
    <w:p w14:paraId="2B510FC1" w14:textId="77777777" w:rsidR="00083A1F" w:rsidRPr="00507A31" w:rsidRDefault="00083A1F" w:rsidP="00507A31">
      <w:pPr>
        <w:jc w:val="both"/>
        <w:rPr>
          <w:color w:val="000000" w:themeColor="text1"/>
          <w:sz w:val="16"/>
          <w:szCs w:val="16"/>
        </w:rPr>
      </w:pPr>
      <w:r w:rsidRPr="00507A31">
        <w:rPr>
          <w:color w:val="000000" w:themeColor="text1"/>
          <w:sz w:val="16"/>
          <w:szCs w:val="16"/>
        </w:rPr>
        <w:t>Длина нарезной части, мм …… 9515</w:t>
      </w:r>
    </w:p>
    <w:p w14:paraId="5FD61775" w14:textId="77777777" w:rsidR="00083A1F" w:rsidRPr="00507A31" w:rsidRDefault="00083A1F" w:rsidP="00507A31">
      <w:pPr>
        <w:jc w:val="both"/>
        <w:rPr>
          <w:color w:val="000000" w:themeColor="text1"/>
          <w:sz w:val="16"/>
          <w:szCs w:val="16"/>
        </w:rPr>
      </w:pPr>
      <w:r w:rsidRPr="00507A31">
        <w:rPr>
          <w:color w:val="000000" w:themeColor="text1"/>
          <w:sz w:val="16"/>
          <w:szCs w:val="16"/>
        </w:rPr>
        <w:t>Угол BH, град …… +35°</w:t>
      </w:r>
    </w:p>
    <w:p w14:paraId="334ED41F" w14:textId="77777777" w:rsidR="00083A1F" w:rsidRPr="00507A31" w:rsidRDefault="00083A1F" w:rsidP="00507A31">
      <w:pPr>
        <w:jc w:val="both"/>
        <w:rPr>
          <w:color w:val="000000" w:themeColor="text1"/>
          <w:sz w:val="16"/>
          <w:szCs w:val="16"/>
        </w:rPr>
      </w:pPr>
      <w:r w:rsidRPr="00507A31">
        <w:rPr>
          <w:color w:val="000000" w:themeColor="text1"/>
          <w:sz w:val="16"/>
          <w:szCs w:val="16"/>
        </w:rPr>
        <w:t>Вес ствола, т …… 10</w:t>
      </w:r>
    </w:p>
    <w:p w14:paraId="722C8353" w14:textId="77777777" w:rsidR="00083A1F" w:rsidRPr="00507A31" w:rsidRDefault="00083A1F" w:rsidP="00507A31">
      <w:pPr>
        <w:jc w:val="both"/>
        <w:rPr>
          <w:color w:val="000000" w:themeColor="text1"/>
          <w:sz w:val="16"/>
          <w:szCs w:val="16"/>
        </w:rPr>
      </w:pPr>
      <w:r w:rsidRPr="00507A31">
        <w:rPr>
          <w:color w:val="000000" w:themeColor="text1"/>
          <w:sz w:val="16"/>
          <w:szCs w:val="16"/>
        </w:rPr>
        <w:t>Вес системы, т …… 17,5</w:t>
      </w:r>
    </w:p>
    <w:p w14:paraId="30B6EDBB" w14:textId="77777777" w:rsidR="00083A1F" w:rsidRPr="00507A31" w:rsidRDefault="00083A1F" w:rsidP="00507A31">
      <w:pPr>
        <w:jc w:val="both"/>
        <w:rPr>
          <w:color w:val="000000" w:themeColor="text1"/>
          <w:sz w:val="16"/>
          <w:szCs w:val="16"/>
        </w:rPr>
      </w:pPr>
      <w:r w:rsidRPr="00507A31">
        <w:rPr>
          <w:color w:val="000000" w:themeColor="text1"/>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74CAEC08" w14:textId="77777777" w:rsidR="00083A1F" w:rsidRPr="00507A31" w:rsidRDefault="00083A1F" w:rsidP="00507A31">
      <w:pPr>
        <w:jc w:val="both"/>
        <w:rPr>
          <w:color w:val="000000" w:themeColor="text1"/>
          <w:sz w:val="16"/>
          <w:szCs w:val="16"/>
        </w:rPr>
      </w:pPr>
      <w:r w:rsidRPr="00507A31">
        <w:rPr>
          <w:color w:val="000000" w:themeColor="text1"/>
          <w:sz w:val="16"/>
          <w:szCs w:val="16"/>
        </w:rPr>
        <w:t>С четырех точек на эсминце «Энгельс» было произведено 11 выстрелов.</w:t>
      </w:r>
    </w:p>
    <w:p w14:paraId="27CDEB97" w14:textId="77777777" w:rsidR="00083A1F" w:rsidRPr="00507A31" w:rsidRDefault="00083A1F" w:rsidP="00507A31">
      <w:pPr>
        <w:jc w:val="both"/>
        <w:rPr>
          <w:color w:val="000000" w:themeColor="text1"/>
          <w:sz w:val="16"/>
          <w:szCs w:val="16"/>
        </w:rPr>
      </w:pPr>
      <w:r w:rsidRPr="00507A31">
        <w:rPr>
          <w:color w:val="000000" w:themeColor="text1"/>
          <w:sz w:val="16"/>
          <w:szCs w:val="16"/>
        </w:rPr>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21D3BCED" w14:textId="77777777" w:rsidR="00083A1F" w:rsidRPr="00507A31" w:rsidRDefault="00083A1F" w:rsidP="00507A31">
      <w:pPr>
        <w:jc w:val="both"/>
        <w:rPr>
          <w:color w:val="000000" w:themeColor="text1"/>
          <w:sz w:val="16"/>
          <w:szCs w:val="16"/>
        </w:rPr>
      </w:pPr>
      <w:r w:rsidRPr="00507A31">
        <w:rPr>
          <w:color w:val="000000" w:themeColor="text1"/>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530384FF" w14:textId="77777777" w:rsidR="00083A1F" w:rsidRPr="00507A31" w:rsidRDefault="00083A1F" w:rsidP="00507A31">
      <w:pPr>
        <w:jc w:val="both"/>
        <w:rPr>
          <w:color w:val="000000" w:themeColor="text1"/>
          <w:sz w:val="16"/>
          <w:szCs w:val="16"/>
        </w:rPr>
      </w:pPr>
      <w:r w:rsidRPr="00507A31">
        <w:rPr>
          <w:color w:val="000000" w:themeColor="text1"/>
          <w:sz w:val="16"/>
          <w:szCs w:val="16"/>
        </w:rPr>
        <w:t>По мнению комиссии, проведенные испытания показали полную возможность установки 305-мм ДРП на эсминцах.</w:t>
      </w:r>
    </w:p>
    <w:p w14:paraId="49120D9E" w14:textId="77777777" w:rsidR="00083A1F" w:rsidRPr="00507A31" w:rsidRDefault="00083A1F" w:rsidP="00507A31">
      <w:pPr>
        <w:jc w:val="both"/>
        <w:rPr>
          <w:color w:val="000000" w:themeColor="text1"/>
          <w:sz w:val="16"/>
          <w:szCs w:val="16"/>
        </w:rPr>
      </w:pPr>
      <w:r w:rsidRPr="00507A31">
        <w:rPr>
          <w:color w:val="000000" w:themeColor="text1"/>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двадцать 305-мм снарядов на ствол. На эсминце сохранялись два 102/60-мм орудия на палубах и два трехтрубных торпедных аппарата.</w:t>
      </w:r>
    </w:p>
    <w:p w14:paraId="54A13E37" w14:textId="77777777" w:rsidR="00083A1F" w:rsidRPr="00507A31" w:rsidRDefault="00083A1F" w:rsidP="00507A31">
      <w:pPr>
        <w:jc w:val="both"/>
        <w:rPr>
          <w:color w:val="000000" w:themeColor="text1"/>
          <w:sz w:val="16"/>
          <w:szCs w:val="16"/>
        </w:rPr>
      </w:pPr>
      <w:r w:rsidRPr="00507A31">
        <w:rPr>
          <w:color w:val="000000" w:themeColor="text1"/>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48DC9953" w14:textId="77777777" w:rsidR="00083A1F" w:rsidRPr="00507A31" w:rsidRDefault="00083A1F" w:rsidP="00507A31">
      <w:pPr>
        <w:jc w:val="both"/>
        <w:rPr>
          <w:color w:val="000000" w:themeColor="text1"/>
          <w:sz w:val="16"/>
          <w:szCs w:val="16"/>
        </w:rPr>
      </w:pPr>
      <w:r w:rsidRPr="00507A31">
        <w:rPr>
          <w:color w:val="000000" w:themeColor="text1"/>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51F2DAB8" w14:textId="77777777" w:rsidR="00083A1F" w:rsidRPr="00507A31" w:rsidRDefault="00083A1F" w:rsidP="00507A31">
      <w:pPr>
        <w:jc w:val="both"/>
        <w:rPr>
          <w:color w:val="000000" w:themeColor="text1"/>
          <w:sz w:val="16"/>
          <w:szCs w:val="16"/>
        </w:rPr>
      </w:pPr>
      <w:r w:rsidRPr="00507A31">
        <w:rPr>
          <w:color w:val="000000" w:themeColor="text1"/>
          <w:sz w:val="16"/>
          <w:szCs w:val="16"/>
        </w:rPr>
        <w:t>Изготовление второго ствола 305-К затянулось. На 1 декабря 1934 г. на «Большевике» в работе находились труба, кожух и детали сопла. Заказ перешел на I квартал 1935 г. Второй ствол предполагалось изготовить с более глубокой нарезкой, чем первый.</w:t>
      </w:r>
    </w:p>
    <w:p w14:paraId="6CBDAF50" w14:textId="77777777" w:rsidR="00083A1F" w:rsidRPr="00507A31" w:rsidRDefault="00083A1F" w:rsidP="00507A31">
      <w:pPr>
        <w:jc w:val="both"/>
        <w:rPr>
          <w:color w:val="000000" w:themeColor="text1"/>
          <w:sz w:val="16"/>
          <w:szCs w:val="16"/>
        </w:rPr>
      </w:pPr>
      <w:r w:rsidRPr="00507A31">
        <w:rPr>
          <w:color w:val="000000" w:themeColor="text1"/>
          <w:sz w:val="16"/>
          <w:szCs w:val="16"/>
        </w:rPr>
        <w:t>26 февраля 1934 г. на заседании заместителя наркома по военным и морским делам Курчевский доложил об испытаниях 305-мм ДРП, и Тухачевский немедленно предложил наркомату судостроения спроектировать боевой корабль принципиально нового типа с недостижимой по тем временам скоростью для крейсеров и эсминцев — 42 узла, а вооружить корабль Тухачевский потребовал шестью 305-мм ДРП Курчевского. От флота присутствовал военмор Лудри, но он сидел тихо, как мышь (15117).</w:t>
      </w:r>
    </w:p>
    <w:p w14:paraId="43FB9489" w14:textId="77777777" w:rsidR="00083A1F" w:rsidRPr="00507A31" w:rsidRDefault="00083A1F" w:rsidP="00507A31">
      <w:pPr>
        <w:jc w:val="both"/>
        <w:rPr>
          <w:color w:val="000000" w:themeColor="text1"/>
          <w:sz w:val="16"/>
          <w:szCs w:val="16"/>
        </w:rPr>
      </w:pPr>
    </w:p>
    <w:p w14:paraId="257E2B01" w14:textId="77777777" w:rsidR="00083A1F" w:rsidRPr="00507A31" w:rsidRDefault="00083A1F" w:rsidP="00507A31">
      <w:pPr>
        <w:jc w:val="both"/>
        <w:rPr>
          <w:color w:val="000000" w:themeColor="text1"/>
          <w:sz w:val="16"/>
          <w:szCs w:val="16"/>
        </w:rPr>
      </w:pPr>
      <w:r w:rsidRPr="00507A31">
        <w:rPr>
          <w:color w:val="000000" w:themeColor="text1"/>
          <w:sz w:val="16"/>
          <w:szCs w:val="16"/>
        </w:rPr>
        <w:t xml:space="preserve">В 1930 г. КБ завода «Красный путиловец» разработало проект 152-мм дивизионной мортиры. Но шансов выжить у нее не было., Согласно заключенному </w:t>
      </w:r>
    </w:p>
    <w:p w14:paraId="74449A08" w14:textId="77777777" w:rsidR="00083A1F" w:rsidRPr="00507A31" w:rsidRDefault="00083A1F" w:rsidP="00507A31">
      <w:pPr>
        <w:jc w:val="both"/>
        <w:rPr>
          <w:color w:val="000000" w:themeColor="text1"/>
          <w:sz w:val="16"/>
          <w:szCs w:val="16"/>
        </w:rPr>
      </w:pPr>
    </w:p>
    <w:p w14:paraId="06D6087D" w14:textId="77777777" w:rsidR="00544276" w:rsidRPr="00507A31" w:rsidRDefault="00544276" w:rsidP="00507A31">
      <w:pPr>
        <w:pStyle w:val="a3"/>
        <w:rPr>
          <w:color w:val="000000" w:themeColor="text1"/>
          <w:lang w:val="ru-RU"/>
        </w:rPr>
      </w:pPr>
      <w:r w:rsidRPr="00507A31">
        <w:rPr>
          <w:color w:val="000000" w:themeColor="text1"/>
          <w:lang w:val="ru-RU"/>
        </w:rPr>
        <w:t>В 1930 г. во время визита в Англию комиссии под ру</w:t>
      </w:r>
      <w:r w:rsidRPr="00507A31">
        <w:rPr>
          <w:color w:val="000000" w:themeColor="text1"/>
          <w:lang w:val="ru-RU"/>
        </w:rPr>
        <w:softHyphen/>
        <w:t>ководством начальника УММ И. Халепского и начальника инженерно- конструкторского бюро по танкам С. Гинзбурга с фирмой «Виккерс-Армстронг» были достигнуты договоренности о закупках малых 6-тонных танков Мк А и 12-тонных средних танков «Медиум» («Виккерс Медиум»). Правда, принимая во внимание коммерческие интересы фирмы, речь шла не о единичных экземплярах, а о партиях по 15 машин каждого типа. При этом предусматривалась и передача комплектов чертежно-техниче- ской документации.</w:t>
      </w:r>
    </w:p>
    <w:p w14:paraId="5C106652" w14:textId="77777777" w:rsidR="00544276" w:rsidRPr="00507A31" w:rsidRDefault="00544276" w:rsidP="00507A31">
      <w:pPr>
        <w:pStyle w:val="a3"/>
        <w:rPr>
          <w:color w:val="000000" w:themeColor="text1"/>
          <w:lang w:val="ru-RU"/>
        </w:rPr>
      </w:pPr>
      <w:r w:rsidRPr="00507A31">
        <w:rPr>
          <w:color w:val="000000" w:themeColor="text1"/>
          <w:lang w:val="ru-RU"/>
        </w:rPr>
        <w:t>Выбор именно 12-тонной машины был вполне закономерен, учи</w:t>
      </w:r>
      <w:r w:rsidRPr="00507A31">
        <w:rPr>
          <w:color w:val="000000" w:themeColor="text1"/>
          <w:lang w:val="ru-RU"/>
        </w:rPr>
        <w:softHyphen/>
        <w:t>тывая предпринимаемые во многих странах усилия по реализации на практике идеи так называемого «маневренного» танка. В СССР в рамках (второй) модификации машины, «Виккерс-Армстронг» брала на себя обязательства провести ходовые и сдаточные испытания заказанных образцов в присутствии представителей советской стороны и поставить все машины в течение 1930-1931 гг.</w:t>
      </w:r>
    </w:p>
    <w:p w14:paraId="7C32397E" w14:textId="77777777" w:rsidR="00544276" w:rsidRPr="00507A31" w:rsidRDefault="00544276" w:rsidP="00507A31">
      <w:pPr>
        <w:pStyle w:val="a3"/>
        <w:rPr>
          <w:color w:val="000000" w:themeColor="text1"/>
          <w:lang w:val="ru-RU"/>
        </w:rPr>
      </w:pPr>
      <w:r w:rsidRPr="00507A31">
        <w:rPr>
          <w:color w:val="000000" w:themeColor="text1"/>
          <w:lang w:val="ru-RU"/>
        </w:rPr>
        <w:t>Исходя из организационных возможностей фирмы, окончательная сборка машин осуществлялась в г. Ньюкасле, где, кроме того, обраба</w:t>
      </w:r>
      <w:r w:rsidRPr="00507A31">
        <w:rPr>
          <w:color w:val="000000" w:themeColor="text1"/>
          <w:lang w:val="ru-RU"/>
        </w:rPr>
        <w:softHyphen/>
        <w:t>тывались элементы ходовой части и трансмиссии выпускаемых танкеток и танков. Броневые листы и двигатели изготавливались по кооперации с другими производителями в Шеффилде и Ковентри (15745).</w:t>
      </w:r>
    </w:p>
    <w:p w14:paraId="2DD49195" w14:textId="77777777" w:rsidR="00544276" w:rsidRPr="00507A31" w:rsidRDefault="00544276" w:rsidP="00507A31">
      <w:pPr>
        <w:pStyle w:val="a3"/>
        <w:rPr>
          <w:color w:val="000000" w:themeColor="text1"/>
          <w:lang w:val="ru-RU"/>
        </w:rPr>
      </w:pPr>
    </w:p>
    <w:p w14:paraId="4EE1CFE1" w14:textId="77777777" w:rsidR="00E02CFE" w:rsidRPr="00507A31" w:rsidRDefault="00E02CFE" w:rsidP="00507A31">
      <w:pPr>
        <w:jc w:val="both"/>
        <w:rPr>
          <w:color w:val="000000" w:themeColor="text1"/>
          <w:sz w:val="16"/>
          <w:szCs w:val="16"/>
        </w:rPr>
      </w:pPr>
      <w:r w:rsidRPr="00507A31">
        <w:rPr>
          <w:color w:val="000000" w:themeColor="text1"/>
          <w:sz w:val="16"/>
          <w:szCs w:val="16"/>
        </w:rPr>
        <w:t>В 1930 г., в порядке реализации личной инициативы, заведующий одним из военных складов Георгий Константинович Кратиров выполнил проект химизированной танкетки Т-27, оснащенной парой ранцевых огнеметов. Первоначальный проект был рассмотрен весной 1931 г.</w:t>
      </w:r>
    </w:p>
    <w:p w14:paraId="47F0C0E8" w14:textId="77777777" w:rsidR="00E02CFE" w:rsidRPr="00507A31" w:rsidRDefault="00E02CFE" w:rsidP="00507A31">
      <w:pPr>
        <w:jc w:val="both"/>
        <w:rPr>
          <w:color w:val="000000" w:themeColor="text1"/>
          <w:sz w:val="16"/>
          <w:szCs w:val="16"/>
        </w:rPr>
      </w:pPr>
      <w:r w:rsidRPr="00507A31">
        <w:rPr>
          <w:color w:val="000000" w:themeColor="text1"/>
          <w:sz w:val="16"/>
          <w:szCs w:val="16"/>
        </w:rPr>
        <w:t>«... От Вохиму выделить</w:t>
      </w:r>
    </w:p>
    <w:p w14:paraId="7A2559C5" w14:textId="77777777" w:rsidR="00E02CFE" w:rsidRPr="00507A31" w:rsidRDefault="00E02CFE" w:rsidP="00507A31">
      <w:pPr>
        <w:jc w:val="both"/>
        <w:rPr>
          <w:color w:val="000000" w:themeColor="text1"/>
          <w:sz w:val="16"/>
          <w:szCs w:val="16"/>
        </w:rPr>
      </w:pPr>
      <w:r w:rsidRPr="00507A31">
        <w:rPr>
          <w:color w:val="000000" w:themeColor="text1"/>
          <w:sz w:val="16"/>
          <w:szCs w:val="16"/>
        </w:rPr>
        <w:t>1.</w:t>
      </w:r>
      <w:r w:rsidRPr="00507A31">
        <w:rPr>
          <w:color w:val="000000" w:themeColor="text1"/>
          <w:sz w:val="16"/>
          <w:szCs w:val="16"/>
        </w:rPr>
        <w:tab/>
        <w:t>Химические автомашины — 4.</w:t>
      </w:r>
    </w:p>
    <w:p w14:paraId="05F1E470" w14:textId="77777777" w:rsidR="00E02CFE" w:rsidRPr="00507A31" w:rsidRDefault="00E02CFE" w:rsidP="00507A31">
      <w:pPr>
        <w:jc w:val="both"/>
        <w:rPr>
          <w:color w:val="000000" w:themeColor="text1"/>
          <w:sz w:val="16"/>
          <w:szCs w:val="16"/>
        </w:rPr>
      </w:pPr>
      <w:r w:rsidRPr="00507A31">
        <w:rPr>
          <w:color w:val="000000" w:themeColor="text1"/>
          <w:sz w:val="16"/>
          <w:szCs w:val="16"/>
        </w:rPr>
        <w:t>2.</w:t>
      </w:r>
      <w:r w:rsidRPr="00507A31">
        <w:rPr>
          <w:color w:val="000000" w:themeColor="text1"/>
          <w:sz w:val="16"/>
          <w:szCs w:val="16"/>
        </w:rPr>
        <w:tab/>
        <w:t>Танковые дымприборы - 30.</w:t>
      </w:r>
    </w:p>
    <w:p w14:paraId="2BD5588F" w14:textId="77777777" w:rsidR="00E02CFE" w:rsidRPr="00507A31" w:rsidRDefault="00E02CFE" w:rsidP="00507A31">
      <w:pPr>
        <w:jc w:val="both"/>
        <w:rPr>
          <w:color w:val="000000" w:themeColor="text1"/>
          <w:sz w:val="16"/>
          <w:szCs w:val="16"/>
        </w:rPr>
      </w:pPr>
      <w:r w:rsidRPr="00507A31">
        <w:rPr>
          <w:color w:val="000000" w:themeColor="text1"/>
          <w:sz w:val="16"/>
          <w:szCs w:val="16"/>
        </w:rPr>
        <w:t>3.</w:t>
      </w:r>
      <w:r w:rsidRPr="00507A31">
        <w:rPr>
          <w:color w:val="000000" w:themeColor="text1"/>
          <w:sz w:val="16"/>
          <w:szCs w:val="16"/>
        </w:rPr>
        <w:tab/>
        <w:t>Огнеметы ранцевые - по потребности.</w:t>
      </w:r>
    </w:p>
    <w:p w14:paraId="32B31E72" w14:textId="77777777" w:rsidR="00E02CFE" w:rsidRPr="00507A31" w:rsidRDefault="00E02CFE" w:rsidP="00507A31">
      <w:pPr>
        <w:jc w:val="both"/>
        <w:rPr>
          <w:color w:val="000000" w:themeColor="text1"/>
          <w:sz w:val="16"/>
          <w:szCs w:val="16"/>
        </w:rPr>
      </w:pPr>
      <w:r w:rsidRPr="00507A31">
        <w:rPr>
          <w:color w:val="000000" w:themeColor="text1"/>
          <w:sz w:val="16"/>
          <w:szCs w:val="16"/>
        </w:rPr>
        <w:t>4.</w:t>
      </w:r>
      <w:r w:rsidRPr="00507A31">
        <w:rPr>
          <w:color w:val="000000" w:themeColor="text1"/>
          <w:sz w:val="16"/>
          <w:szCs w:val="16"/>
        </w:rPr>
        <w:tab/>
        <w:t>Накидки защитные против поливания ОВ с воздуха, индивидуальные - 30.</w:t>
      </w:r>
    </w:p>
    <w:p w14:paraId="1CA3D39B" w14:textId="77777777" w:rsidR="00E02CFE" w:rsidRPr="00507A31" w:rsidRDefault="00E02CFE" w:rsidP="00507A31">
      <w:pPr>
        <w:jc w:val="both"/>
        <w:rPr>
          <w:color w:val="000000" w:themeColor="text1"/>
          <w:sz w:val="16"/>
          <w:szCs w:val="16"/>
        </w:rPr>
      </w:pPr>
      <w:r w:rsidRPr="00507A31">
        <w:rPr>
          <w:color w:val="000000" w:themeColor="text1"/>
          <w:sz w:val="16"/>
          <w:szCs w:val="16"/>
        </w:rPr>
        <w:t>Накидки защитные против поливания ОВ с воздуха, групповые - 30.</w:t>
      </w:r>
    </w:p>
    <w:p w14:paraId="53F9B321" w14:textId="77777777" w:rsidR="00E02CFE" w:rsidRPr="00507A31" w:rsidRDefault="00E02CFE" w:rsidP="00507A31">
      <w:pPr>
        <w:jc w:val="both"/>
        <w:rPr>
          <w:color w:val="000000" w:themeColor="text1"/>
          <w:sz w:val="16"/>
          <w:szCs w:val="16"/>
        </w:rPr>
      </w:pPr>
      <w:r w:rsidRPr="00507A31">
        <w:rPr>
          <w:color w:val="000000" w:themeColor="text1"/>
          <w:sz w:val="16"/>
          <w:szCs w:val="16"/>
        </w:rPr>
        <w:t>Для приспособлений огнеметов к танкеткам выделить от УММ из Майской продукции 1 танкетку на Московский Химический полигон".</w:t>
      </w:r>
    </w:p>
    <w:p w14:paraId="2D59E051" w14:textId="77777777" w:rsidR="00E02CFE" w:rsidRPr="00507A31" w:rsidRDefault="00E02CFE" w:rsidP="00507A31">
      <w:pPr>
        <w:jc w:val="both"/>
        <w:rPr>
          <w:color w:val="000000" w:themeColor="text1"/>
          <w:sz w:val="16"/>
          <w:szCs w:val="16"/>
        </w:rPr>
      </w:pPr>
      <w:r w:rsidRPr="00507A31">
        <w:rPr>
          <w:color w:val="000000" w:themeColor="text1"/>
          <w:sz w:val="16"/>
          <w:szCs w:val="16"/>
        </w:rPr>
        <w:t>Оборудование танкетки Т-27 огнеметами поручалось конструкторскому бюро склада N"136. При этом председатели НТК ВОХИМУ и 4-й секции подчеркивали, что «...необходимо это дело поручить т. Кратирову, которому срочно представить свои соображения и эскизы, а также ориентировочные требования для такого вида вооружения танкеток. Консультацию по этим вопросам тов. Кратиров должен получить в 4 секции НТК Вохиму и в НТК УММ».</w:t>
      </w:r>
    </w:p>
    <w:p w14:paraId="6BFF4968" w14:textId="77777777" w:rsidR="00E02CFE" w:rsidRPr="00507A31" w:rsidRDefault="00E02CFE" w:rsidP="00507A31">
      <w:pPr>
        <w:jc w:val="both"/>
        <w:rPr>
          <w:color w:val="000000" w:themeColor="text1"/>
          <w:sz w:val="16"/>
          <w:szCs w:val="16"/>
        </w:rPr>
      </w:pPr>
      <w:r w:rsidRPr="00507A31">
        <w:rPr>
          <w:color w:val="000000" w:themeColor="text1"/>
          <w:sz w:val="16"/>
          <w:szCs w:val="16"/>
        </w:rPr>
        <w:t>Т-27 для переоборудования в так называемую «химизированную» следовало подать на склад №136 20-25 июня 1931 г. В отличие от первоначального предложения автора проекта, машина должна была не только осуществлять огнеметание, но и обеспечивать постановку дымовых завес, а также решать другие задачи химической обороны (12253).</w:t>
      </w:r>
    </w:p>
    <w:p w14:paraId="3BB00DA6" w14:textId="77777777" w:rsidR="00E02CFE" w:rsidRPr="00507A31" w:rsidRDefault="00E02CFE" w:rsidP="00507A31">
      <w:pPr>
        <w:jc w:val="both"/>
        <w:rPr>
          <w:color w:val="000000" w:themeColor="text1"/>
          <w:sz w:val="16"/>
          <w:szCs w:val="16"/>
        </w:rPr>
      </w:pPr>
    </w:p>
    <w:p w14:paraId="6C085E50" w14:textId="77777777" w:rsidR="009B74A9" w:rsidRPr="00507A31" w:rsidRDefault="009B74A9" w:rsidP="00507A31">
      <w:pPr>
        <w:jc w:val="both"/>
        <w:rPr>
          <w:color w:val="000000" w:themeColor="text1"/>
          <w:sz w:val="16"/>
          <w:szCs w:val="16"/>
        </w:rPr>
      </w:pPr>
      <w:r w:rsidRPr="00507A31">
        <w:rPr>
          <w:color w:val="000000" w:themeColor="text1"/>
          <w:sz w:val="16"/>
          <w:szCs w:val="16"/>
        </w:rPr>
        <w:t>В 1930 г. завод изготовил опытный образец Т-19. Танк был тяжелее Т-18, весил 9,0 т. Мощность двигателя увеличена до 60 л. с. Численность экипажа — 3 человека. Механизмы усложнились. Танк Т-19 должен был стать ударным средством мобильных подразделений армии. От него требовалось на максимальной скорости преодолеть окопы, разрушить проволочные заграждения противника, Огнём подавить боевые машины сходной массы. Броня должна защитить членов экипажа от винтовочных и пулемётных пуль на всех дистанциях и от 37 мм снарядов на дальности 1000 м. Однако ни какими преимуществами при боевом использовании перед Т-18 он не обладал. После доработки ему присвоили индекс Т-20, но в серию он не пошёл (15132).</w:t>
      </w:r>
    </w:p>
    <w:p w14:paraId="18170812" w14:textId="77777777" w:rsidR="009B74A9" w:rsidRPr="00507A31" w:rsidRDefault="009B74A9" w:rsidP="00507A31">
      <w:pPr>
        <w:jc w:val="both"/>
        <w:rPr>
          <w:color w:val="000000" w:themeColor="text1"/>
          <w:sz w:val="16"/>
          <w:szCs w:val="16"/>
        </w:rPr>
      </w:pPr>
    </w:p>
    <w:p w14:paraId="469D4852" w14:textId="77777777" w:rsidR="009B74A9" w:rsidRPr="00507A31" w:rsidRDefault="009B74A9" w:rsidP="00507A31">
      <w:pPr>
        <w:jc w:val="both"/>
        <w:rPr>
          <w:color w:val="000000" w:themeColor="text1"/>
          <w:sz w:val="16"/>
          <w:szCs w:val="16"/>
        </w:rPr>
      </w:pPr>
      <w:r w:rsidRPr="00507A31">
        <w:rPr>
          <w:color w:val="000000" w:themeColor="text1"/>
          <w:sz w:val="16"/>
          <w:szCs w:val="16"/>
        </w:rPr>
        <w:t>В 1930 г. КБ завода «Большевик» был выполнен проект колёсно-гусеничной танкетки. Проектировал её инженер-конструктор В. Симский, общее руководство осуществлял С. Гинзбург. Она предназначалась для разведки и сопровождения пехоты в наступлении. Экипаж машины — два человека, вооружение — 7,62-мм пулемёт ДТ. Первый опытный образец танкетки был изготовлен на «Большевике» в 1930 г. По результатам испытаний проведились доработки, после чего было принято решение о серийном изготовлении машины под индексом Т-27. Опытный образец Т-27 изготовили в январе 1931 г., а 13 февраля 1931 г. танкетку ещё до завершения государственных испытании приняли на вооружение. Корпус машины собирался из катаных броневых листов толщиной 6-10 мм. Двигатель четырёхтактный четырёхцилиндровый «Форд-АА» («ГАЗ-АА») (15132).</w:t>
      </w:r>
    </w:p>
    <w:p w14:paraId="1AEC4AF5" w14:textId="77777777" w:rsidR="009B74A9" w:rsidRPr="00507A31" w:rsidRDefault="009B74A9" w:rsidP="00507A31">
      <w:pPr>
        <w:jc w:val="both"/>
        <w:rPr>
          <w:color w:val="000000" w:themeColor="text1"/>
          <w:sz w:val="16"/>
          <w:szCs w:val="16"/>
        </w:rPr>
      </w:pPr>
    </w:p>
    <w:p w14:paraId="760452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на месте небольшого маслозавода был основан Завод № 614 НКВ, МОП, и/я 214, Саратовский агрегатный завод МОП, ГУП, ФГУП «Саратовский агрегатный завод» /410078  г. Саратов ул. Астраханская, 45 тел. 25-39-75/.</w:t>
      </w:r>
    </w:p>
    <w:p w14:paraId="1ED712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ГКО № 453 от 10.08.1941 г. и приказа НКСМ/НКВ № 422/353сс от 12.08.1941 г. завод передан из НКСМ в НКВ и получил № 614. Завод был перестроен на выпуск противотанкового ружья Симонова (ПТРС). В соответствии с пост. ГКО № 879 от 9.11.1941 г. заводу установлен план выпуска ПТРС в 11.1941 г.- 750 шт., в 12.1941 г.- 3500 шт.</w:t>
      </w:r>
    </w:p>
    <w:p w14:paraId="3BE4AB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К 1.01.1942 г. в состав завода вошел саратовский завод «Универсаль» для производства инструментов и приспособлений.</w:t>
      </w:r>
    </w:p>
    <w:p w14:paraId="4EA441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Создана (начало 1950-х) опытная корабельная артустановка МИК-1 и МИК-2 (гл. конструктор- С. Гуренко).</w:t>
      </w:r>
    </w:p>
    <w:p w14:paraId="0E7DDA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Участвовал в создании ЗРК «Стрела-10СВ» (1969-76 г.).</w:t>
      </w:r>
      <w:r w:rsidRPr="00507A31">
        <w:rPr>
          <w:color w:val="000000" w:themeColor="text1"/>
          <w:sz w:val="16"/>
          <w:szCs w:val="16"/>
          <w:vertAlign w:val="superscript"/>
        </w:rPr>
        <w:t>57 58</w:t>
      </w:r>
    </w:p>
    <w:p w14:paraId="0D43799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имел наименование «п/я 214». Имел филиал в Саратове.</w:t>
      </w:r>
    </w:p>
    <w:p w14:paraId="709BFC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(2000-е): детали механизмов заряжания и стрельбы для тяжелого вооружения; пусковое оборудование для ракет наземного базирования; прицепы легкие автомобильные; прицепные устройства, буксирные крюки для легковых автомобилей; воздухонагреватели, калориферы; машины и оборудование: для контактной сварки металла; для кислородно-ацетиленовой резки металла, горелки ацетиленовые; лампы настольные, утюги бытовые, зажигалки для газовых плит, приборы для разжигания каминов.</w:t>
      </w:r>
    </w:p>
    <w:p w14:paraId="2B2B18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Указу Президента РФ № 1009 от 4.08.2004 г. вошел в число стратегических оборонных предприятий.</w:t>
      </w:r>
    </w:p>
    <w:p w14:paraId="2F57AA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(1941 г.)- Саретов, (2002 г.)- Б.И. Коркин.</w:t>
      </w:r>
    </w:p>
    <w:p w14:paraId="5127C1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14,5 мм ПТРС (1941-); зенитные артустановки: 37-мм спаренная В-11 и В-11М (1952-80-е), 45- мм спаренная СМ-16 (опытная, 1950)- 5 (вместе с заводом № 7), СМ-21 (1947-); агрегаты и системы для боевых машин: 9А31 для ЗРК «Стрела-1», ЗРК 9К35 «Стрела-10», «Штурм-С», «Хризантема-С», «Малютка»; аппаратура навигации и топопривязки для ЗРК; антенны: «Ива», АТН-5.1 (11982).</w:t>
      </w:r>
    </w:p>
    <w:p w14:paraId="7D395C8B" w14:textId="77777777" w:rsidR="00544276" w:rsidRPr="00507A31" w:rsidRDefault="00544276" w:rsidP="00507A31">
      <w:pPr>
        <w:autoSpaceDE w:val="0"/>
        <w:autoSpaceDN w:val="0"/>
        <w:adjustRightInd w:val="0"/>
        <w:jc w:val="both"/>
        <w:rPr>
          <w:color w:val="000000" w:themeColor="text1"/>
          <w:sz w:val="16"/>
          <w:szCs w:val="16"/>
        </w:rPr>
      </w:pPr>
    </w:p>
    <w:p w14:paraId="1CA039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германская фирма «Рейнметалл» продала Советскому Союзу техническую документацию на 37-мм зенитную автоматическую пушку 3,7 cm Flak 18. Производство орудия началось на артиллерийском заводе № 8 в Подлипках, под Москвой, под индексом 4-К. Однако дело с самого начала пошло наперекосяк. В следующем году три пушки были предъявлены на государственные испытания, закончившиеся полным провалом. На 1932 г. заводу был установлен план в 25 пушек, фактически же с большим трудом удалось изготовить три, но и их военная приемка не приняла. В итоге система была снята с производства, так и не попав в Красную Армию. Одновременно с этим было полностью провалено и производство 20-мм зенитной пушки, также закупленной в Германии. Серийное «производство» орудия, получившего обозначение 2-К, тоже началось на заводе № 8 в Подлипках, при этом стволы изготовлял Горьковский завод № 92, а передки – Брянский завод № 13. К концу 1932 г. удалось предъявить военпредам 44 зенитки, но те со скрипом приняли только три. В следующем году с большим трудом собрали еще 61 пушку, но качество их было поистине ужасным, и в итоге производство пришлось прекратить. Не удалось наладить выпуск и других советско-германских артиллерийских систем (11774).</w:t>
      </w:r>
    </w:p>
    <w:p w14:paraId="49C25181" w14:textId="77777777" w:rsidR="00537E5F" w:rsidRPr="00507A31" w:rsidRDefault="00537E5F" w:rsidP="00507A31">
      <w:pPr>
        <w:autoSpaceDE w:val="0"/>
        <w:autoSpaceDN w:val="0"/>
        <w:adjustRightInd w:val="0"/>
        <w:jc w:val="both"/>
        <w:rPr>
          <w:color w:val="000000" w:themeColor="text1"/>
          <w:sz w:val="16"/>
          <w:szCs w:val="16"/>
        </w:rPr>
      </w:pPr>
    </w:p>
    <w:p w14:paraId="3EBD8D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 года по конец 1941 года монополистом в изготовлении 45-мм ПТП всех типов был завод № 8 (3861).</w:t>
      </w:r>
    </w:p>
    <w:p w14:paraId="08E05307" w14:textId="77777777" w:rsidR="00537E5F" w:rsidRPr="00507A31" w:rsidRDefault="00537E5F" w:rsidP="00507A31">
      <w:pPr>
        <w:autoSpaceDE w:val="0"/>
        <w:autoSpaceDN w:val="0"/>
        <w:adjustRightInd w:val="0"/>
        <w:jc w:val="both"/>
        <w:rPr>
          <w:color w:val="000000" w:themeColor="text1"/>
          <w:sz w:val="16"/>
          <w:szCs w:val="16"/>
        </w:rPr>
      </w:pPr>
    </w:p>
    <w:p w14:paraId="20DDDC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модернизированная 152-мм пушка обр. 1910 г. была принята на вооружение и получила наименование "152-мм пушка обр. 1910/1930 г.". Серийная 152-мм пушка обр. 1910/1930 г. отличалась от 152-мм пушки обр. 1910 г. следующем:</w:t>
      </w:r>
    </w:p>
    <w:p w14:paraId="7A596E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 на ствол бы навинчен дульный тормоз;</w:t>
      </w:r>
    </w:p>
    <w:p w14:paraId="54037A6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 удлинена камора;</w:t>
      </w:r>
    </w:p>
    <w:p w14:paraId="247CD9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3. короткий откат уменьшен с 1000 мм до 950 мм;</w:t>
      </w:r>
    </w:p>
    <w:p w14:paraId="64BE5E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4. удлинена стрела к передку лафета до 2660 мм, чтобы допускать возку поездом лафетной и орудийной повозок при наличии на стволе дульного тормоза.</w:t>
      </w:r>
    </w:p>
    <w:p w14:paraId="7645F4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Первые 152-мм пушки обр. 1910/1930 г. были изготовлены на заводе "Красный Путиловец". Кроме того, с 1932 года этот завод занялся переделкой 152-мм пушки обр. 1910 г. в обр. 1910/1930 г. Кроме того, к изготовлению 152-мм пушки обр. 1910/1930 г. в 19321935 годах были привлечены заводы "Баррикады" и "Большевик" (3861).</w:t>
      </w:r>
    </w:p>
    <w:p w14:paraId="74CCF20D" w14:textId="77777777" w:rsidR="00537E5F" w:rsidRPr="00507A31" w:rsidRDefault="00537E5F" w:rsidP="00507A31">
      <w:pPr>
        <w:autoSpaceDE w:val="0"/>
        <w:autoSpaceDN w:val="0"/>
        <w:adjustRightInd w:val="0"/>
        <w:jc w:val="both"/>
        <w:rPr>
          <w:color w:val="000000" w:themeColor="text1"/>
          <w:sz w:val="16"/>
          <w:szCs w:val="16"/>
        </w:rPr>
      </w:pPr>
    </w:p>
    <w:p w14:paraId="756EC2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производились опыты с установкой дульного тормоза к 152-мм гаубице обр. 1909 г. на заводе "Большевик". Но приняты они не были (3861).</w:t>
      </w:r>
    </w:p>
    <w:p w14:paraId="352A6F5E" w14:textId="77777777" w:rsidR="00537E5F" w:rsidRPr="00507A31" w:rsidRDefault="00537E5F" w:rsidP="00507A31">
      <w:pPr>
        <w:autoSpaceDE w:val="0"/>
        <w:autoSpaceDN w:val="0"/>
        <w:adjustRightInd w:val="0"/>
        <w:jc w:val="both"/>
        <w:rPr>
          <w:color w:val="000000" w:themeColor="text1"/>
          <w:sz w:val="16"/>
          <w:szCs w:val="16"/>
        </w:rPr>
      </w:pPr>
    </w:p>
    <w:p w14:paraId="37FF42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вблизи Владивостока на острове Русском у бухты Воевода возводится батарея № 911 12/20-дюймовых гаубиц обр. 1915 г. В 1931 году в ее составе было две 12/20-дюймовые гаубицы обр. 1915 г., а затем стало четыре гаубицы (3861).</w:t>
      </w:r>
    </w:p>
    <w:p w14:paraId="56A2B69E" w14:textId="77777777" w:rsidR="00537E5F" w:rsidRPr="00507A31" w:rsidRDefault="00537E5F" w:rsidP="00507A31">
      <w:pPr>
        <w:autoSpaceDE w:val="0"/>
        <w:autoSpaceDN w:val="0"/>
        <w:adjustRightInd w:val="0"/>
        <w:jc w:val="both"/>
        <w:rPr>
          <w:color w:val="000000" w:themeColor="text1"/>
          <w:sz w:val="16"/>
          <w:szCs w:val="16"/>
        </w:rPr>
      </w:pPr>
    </w:p>
    <w:p w14:paraId="3B449F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А.Г.Дукельский был арестован и назначен начальником Особого конструкторскотехнологического бюро Металлического завода им. Сталина (ЦКБС-3 - в последствии ЦКБ-19), где руководил работами по созданию железнодорожного транспор-тера ТМ-1-14 с орудием калибра 14 дюймов (356 мм). После завершения проекта А.Г. освобождается в 1932 году без предъ-явления обвинения. Как он пишет в автобиографии «Освобожден в связи с окончанием работ по транспортерам». Почти одновременно создавались железнодорожные транспортеры ТМ-2-12 с использованием орудий калибром 12" (305 мм) с кораблей, проданных на слом. С 1932 по 1937 годы А.Г. Дукельский возглавляет создан-ное им ЦКБС-3 (ЦКБ-19), с 1937 по 1942 годы - работает Главным инженером, а с 1942 по 1945 годы - штатный консультант по вопросам вооружения и председатель секции НТС Наркомсудпрома. Годы идут. Создаются новые проекты, ведется подготовка к строительству «Большого флота». В годы войны А.Г. руководит фили-алом ЦКБ-19 в г. Казани (11867).</w:t>
      </w:r>
    </w:p>
    <w:p w14:paraId="52A3B0EB" w14:textId="77777777" w:rsidR="00537E5F" w:rsidRPr="00507A31" w:rsidRDefault="00537E5F" w:rsidP="00507A31">
      <w:pPr>
        <w:autoSpaceDE w:val="0"/>
        <w:autoSpaceDN w:val="0"/>
        <w:adjustRightInd w:val="0"/>
        <w:jc w:val="both"/>
        <w:rPr>
          <w:color w:val="000000" w:themeColor="text1"/>
          <w:sz w:val="16"/>
          <w:szCs w:val="16"/>
        </w:rPr>
      </w:pPr>
    </w:p>
    <w:p w14:paraId="6CC70F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Сидоренко разработал проект новой модернизации трехдюймовки. Проект имел два варианта с подрессориванием и без него. Наиболее совершенным был проект подрессоренной модернизации 76-мм пушки обр. 1902/30 г. длиной в 40 клб. Пушка имела подрессоривание в виде одной поперечной пластинчатой рессоры. Люлька укорочена, введен дульный тормоз. Вес системы в боевом положении немного увеличился до 1306 кг (3861).</w:t>
      </w:r>
    </w:p>
    <w:p w14:paraId="2BA2ADFA" w14:textId="77777777" w:rsidR="00537E5F" w:rsidRPr="00507A31" w:rsidRDefault="00537E5F" w:rsidP="00507A31">
      <w:pPr>
        <w:autoSpaceDE w:val="0"/>
        <w:autoSpaceDN w:val="0"/>
        <w:adjustRightInd w:val="0"/>
        <w:jc w:val="both"/>
        <w:rPr>
          <w:color w:val="000000" w:themeColor="text1"/>
          <w:sz w:val="16"/>
          <w:szCs w:val="16"/>
        </w:rPr>
      </w:pPr>
    </w:p>
    <w:p w14:paraId="1AF921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группа Д ГДЛ разработала проект 107-мм химического МС-107 (миномет Стокса калибр 107 мм). Миномет имел схему мнимого треугольника. Ствол гадкий. Казенник цилиндрический чашкообразной форм, навинчивался на ствол снаружи. Миномет имел двуногу по типу 81-мм миномета Стокса-Брандта, на которой были смонтированы подъемный и поворотный механизмы. Оба механизма были винтового типа. Изменение дальности стрельбы происходило как за счет изменения угла возвышения, так и за счет изменения заряда. Опорная плита миномета четырехугольная. Колесного хода миномет не имел, а на поле боя переносился расчетом, для чего разбирался на три части ствол, двуногу и опорную плиту. Стрельба производилась минами с четырьмя стабилизаторами (перьями). Основной заряд 3,5 гр. черного пороха помещался в обрезанной до 25 мм бумажной гильзе охотничьего патрона 12-го калибра. Дополнительные заряды весили по 15 гр. пороха "Глухарь" и в мешочках из шелковой ткани помещались между стабилизаторами (3861).</w:t>
      </w:r>
    </w:p>
    <w:p w14:paraId="62951784" w14:textId="77777777" w:rsidR="00537E5F" w:rsidRPr="00507A31" w:rsidRDefault="00537E5F" w:rsidP="00507A31">
      <w:pPr>
        <w:autoSpaceDE w:val="0"/>
        <w:autoSpaceDN w:val="0"/>
        <w:adjustRightInd w:val="0"/>
        <w:jc w:val="both"/>
        <w:rPr>
          <w:color w:val="000000" w:themeColor="text1"/>
          <w:sz w:val="16"/>
          <w:szCs w:val="16"/>
        </w:rPr>
      </w:pPr>
    </w:p>
    <w:p w14:paraId="0CB402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впервые в СССР группа Д ГДЛ начала разработку собственных 60-мм, 82-мм, 107-мм и 120-мм минометов с конструктивной схемой мнимого треугольника и системой воспламенения типа Стокса-Брандта (3861).</w:t>
      </w:r>
    </w:p>
    <w:p w14:paraId="70E17ED0" w14:textId="77777777" w:rsidR="00537E5F" w:rsidRPr="00507A31" w:rsidRDefault="00537E5F" w:rsidP="00507A31">
      <w:pPr>
        <w:autoSpaceDE w:val="0"/>
        <w:autoSpaceDN w:val="0"/>
        <w:adjustRightInd w:val="0"/>
        <w:jc w:val="both"/>
        <w:rPr>
          <w:color w:val="000000" w:themeColor="text1"/>
          <w:sz w:val="16"/>
          <w:szCs w:val="16"/>
        </w:rPr>
      </w:pPr>
    </w:p>
    <w:p w14:paraId="15CAD2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в Ленинграде, на Металлическом заводе, организуется «Отдельное конструкторское технологическое бюро», главным инженером которого назначается Дукельский. Задачей ОКТБ стало проектирование и изготовление железнодорожного артиллерийского транспортера с использованием 356-мм. Орудий, предназначавшихся для недостроенных линейных крейсеров типа «Измаил» (9059).</w:t>
      </w:r>
    </w:p>
    <w:p w14:paraId="20F27445" w14:textId="77777777" w:rsidR="00537E5F" w:rsidRPr="00507A31" w:rsidRDefault="00537E5F" w:rsidP="00507A31">
      <w:pPr>
        <w:autoSpaceDE w:val="0"/>
        <w:autoSpaceDN w:val="0"/>
        <w:adjustRightInd w:val="0"/>
        <w:jc w:val="both"/>
        <w:rPr>
          <w:color w:val="000000" w:themeColor="text1"/>
          <w:sz w:val="16"/>
          <w:szCs w:val="16"/>
        </w:rPr>
      </w:pPr>
    </w:p>
    <w:p w14:paraId="1063398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в СССР было создано КБ-2, где работали германские специалисты (в основном из фирмы "Рейнметалл") (3861).</w:t>
      </w:r>
    </w:p>
    <w:p w14:paraId="49A3E928" w14:textId="77777777" w:rsidR="00537E5F" w:rsidRPr="00507A31" w:rsidRDefault="00537E5F" w:rsidP="00507A31">
      <w:pPr>
        <w:autoSpaceDE w:val="0"/>
        <w:autoSpaceDN w:val="0"/>
        <w:adjustRightInd w:val="0"/>
        <w:jc w:val="both"/>
        <w:rPr>
          <w:color w:val="000000" w:themeColor="text1"/>
          <w:sz w:val="16"/>
          <w:szCs w:val="16"/>
        </w:rPr>
      </w:pPr>
    </w:p>
    <w:p w14:paraId="303484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для решения целого круга задач таких, как транспортировка тяжелой артиллерии (орудий массой до 11 тонн), расчета и боеприпасов началось проектирование тяжелого трактора (3862).</w:t>
      </w:r>
    </w:p>
    <w:p w14:paraId="69DCCA1F" w14:textId="77777777" w:rsidR="00537E5F" w:rsidRPr="00507A31" w:rsidRDefault="00537E5F" w:rsidP="00507A31">
      <w:pPr>
        <w:autoSpaceDE w:val="0"/>
        <w:autoSpaceDN w:val="0"/>
        <w:adjustRightInd w:val="0"/>
        <w:jc w:val="both"/>
        <w:rPr>
          <w:color w:val="000000" w:themeColor="text1"/>
          <w:sz w:val="16"/>
          <w:szCs w:val="16"/>
        </w:rPr>
      </w:pPr>
    </w:p>
    <w:p w14:paraId="5642E66B" w14:textId="77777777" w:rsidR="00544276" w:rsidRPr="00507A31" w:rsidRDefault="00544276" w:rsidP="00507A31">
      <w:pPr>
        <w:pStyle w:val="ae"/>
        <w:spacing w:before="0" w:after="0"/>
        <w:jc w:val="both"/>
        <w:rPr>
          <w:color w:val="000000" w:themeColor="text1"/>
          <w:sz w:val="16"/>
          <w:szCs w:val="16"/>
        </w:rPr>
      </w:pPr>
      <w:r w:rsidRPr="00507A31">
        <w:rPr>
          <w:color w:val="000000" w:themeColor="text1"/>
          <w:sz w:val="16"/>
          <w:szCs w:val="16"/>
        </w:rPr>
        <w:t>В 1930 году в Артиллерийской академии им. Дзержинского (бывш. Михайловской) под руководством К.В. Крузе начались, а в 1932 г. завершились работы по созданию механического прибора управления артиллерийским зенитным огнем – ПУАЗО-1.</w:t>
      </w:r>
    </w:p>
    <w:p w14:paraId="5F8E8AEF" w14:textId="77777777" w:rsidR="00544276" w:rsidRPr="00507A31" w:rsidRDefault="00544276" w:rsidP="00507A31">
      <w:pPr>
        <w:pStyle w:val="ae"/>
        <w:spacing w:before="0" w:after="0"/>
        <w:jc w:val="both"/>
        <w:rPr>
          <w:color w:val="000000" w:themeColor="text1"/>
          <w:sz w:val="16"/>
          <w:szCs w:val="16"/>
        </w:rPr>
      </w:pPr>
      <w:r w:rsidRPr="00507A31">
        <w:rPr>
          <w:color w:val="000000" w:themeColor="text1"/>
          <w:sz w:val="16"/>
          <w:szCs w:val="16"/>
        </w:rPr>
        <w:t>С помощью этого прибора можно было стрелять только по визуально наблюдаемым целям, без учета метеоусловий, проводя сложные и неудобные вычисления по графикам с большими ошибками совмещения изохрон полета цели и снаряда. Но лучше пока ничего не было, и после некоторой механизации и введения электрической синхронной передачи выработанных данных с прибора на пушки, модернизированный прибор в только в 1934 году под названием ПУАЗО-2 был принят на вооружение. Серийным предприятием для его производства был определен завод «Госшвеймашина», который уже в 1932 году обязывался выпустить 400 шт (15736).</w:t>
      </w:r>
    </w:p>
    <w:p w14:paraId="7A74DA86" w14:textId="77777777" w:rsidR="00544276" w:rsidRPr="00507A31" w:rsidRDefault="00544276" w:rsidP="00507A31">
      <w:pPr>
        <w:pStyle w:val="ae"/>
        <w:spacing w:before="0" w:after="0"/>
        <w:jc w:val="both"/>
        <w:rPr>
          <w:color w:val="000000" w:themeColor="text1"/>
          <w:sz w:val="16"/>
          <w:szCs w:val="16"/>
        </w:rPr>
      </w:pPr>
    </w:p>
    <w:p w14:paraId="6FF02F80" w14:textId="77777777" w:rsidR="009B74A9" w:rsidRPr="00507A31" w:rsidRDefault="009B74A9" w:rsidP="00507A31">
      <w:pPr>
        <w:pStyle w:val="a3"/>
        <w:rPr>
          <w:color w:val="000000" w:themeColor="text1"/>
          <w:lang w:val="ru-RU"/>
        </w:rPr>
      </w:pPr>
      <w:r w:rsidRPr="00507A31">
        <w:rPr>
          <w:color w:val="000000" w:themeColor="text1"/>
          <w:lang w:val="ru-RU"/>
        </w:rPr>
        <w:t>В 1930 г. усилиями двух ленинградских (Промет», который изготавливал штам</w:t>
      </w:r>
      <w:r w:rsidRPr="00507A31">
        <w:rPr>
          <w:color w:val="000000" w:themeColor="text1"/>
          <w:lang w:val="ru-RU"/>
        </w:rPr>
        <w:softHyphen/>
        <w:t>пованные рамы и параллелограммные вилки и «Красный Октябрь» - двигатель и коробку передач - это были отдельные узлы) заводов собрали 25 мотоциклов «ТРЕМАСС-300» (он же «Промет-300»), которые стали первыми серийными машинами в СССР. Двухтактный мотор объемом 300 см</w:t>
      </w:r>
      <w:r w:rsidRPr="00507A31">
        <w:rPr>
          <w:color w:val="000000" w:themeColor="text1"/>
          <w:vertAlign w:val="superscript"/>
          <w:lang w:val="ru-RU"/>
        </w:rPr>
        <w:t>3</w:t>
      </w:r>
      <w:r w:rsidRPr="00507A31">
        <w:rPr>
          <w:color w:val="000000" w:themeColor="text1"/>
          <w:lang w:val="ru-RU"/>
        </w:rPr>
        <w:t xml:space="preserve"> развивал 6 л.с. и разгонял весивший 125 кг ап</w:t>
      </w:r>
      <w:r w:rsidRPr="00507A31">
        <w:rPr>
          <w:color w:val="000000" w:themeColor="text1"/>
          <w:lang w:val="ru-RU"/>
        </w:rPr>
        <w:softHyphen/>
        <w:t>парат до 80 км/ч. до 1934 г. изготовили малы</w:t>
      </w:r>
      <w:r w:rsidRPr="00507A31">
        <w:rPr>
          <w:color w:val="000000" w:themeColor="text1"/>
          <w:lang w:val="ru-RU"/>
        </w:rPr>
        <w:softHyphen/>
        <w:t xml:space="preserve">ми партиями лишь 663 мотоцикла, постоянно внося в их конструкцию изменения. Затем «Красный Октябрь» полностью перевел производство Л-300 к себе, внедрив несколько десятков </w:t>
      </w:r>
      <w:r w:rsidRPr="00507A31">
        <w:rPr>
          <w:color w:val="000000" w:themeColor="text1"/>
          <w:lang w:val="ru-RU"/>
        </w:rPr>
        <w:lastRenderedPageBreak/>
        <w:t>улучшений, предложенных Можаровым. Связаны они были с российскими реалиями. Так, герме</w:t>
      </w:r>
      <w:r w:rsidRPr="00507A31">
        <w:rPr>
          <w:color w:val="000000" w:themeColor="text1"/>
          <w:lang w:val="ru-RU"/>
        </w:rPr>
        <w:softHyphen/>
        <w:t>тизировали магнето, увеличили зазоры в крыльях, усилили крепления большинства узлов. Хотя «Красный Октябрь» постоянно вкладывался в мотопроизводство, запускал новые цеха и закупал оборудование, вы</w:t>
      </w:r>
      <w:r w:rsidRPr="00507A31">
        <w:rPr>
          <w:color w:val="000000" w:themeColor="text1"/>
          <w:lang w:val="ru-RU"/>
        </w:rPr>
        <w:softHyphen/>
        <w:t>пуск возрастал медленно. В1934 г. рассчитывали изготовить 10000 мо</w:t>
      </w:r>
      <w:r w:rsidRPr="00507A31">
        <w:rPr>
          <w:color w:val="000000" w:themeColor="text1"/>
          <w:lang w:val="ru-RU"/>
        </w:rPr>
        <w:softHyphen/>
        <w:t>тоциклов, но выпустили только тысячу. Всего же до снятия с производ</w:t>
      </w:r>
      <w:r w:rsidRPr="00507A31">
        <w:rPr>
          <w:color w:val="000000" w:themeColor="text1"/>
          <w:lang w:val="ru-RU"/>
        </w:rPr>
        <w:softHyphen/>
        <w:t>ства в 1939 г. собрали 18985 мотоциклов Л-300, считавшихся до войны массовой моделью и продававшихся в магазинах. Но большая часть этих машин шла в войска (15741).</w:t>
      </w:r>
    </w:p>
    <w:p w14:paraId="6C5B4632" w14:textId="77777777" w:rsidR="009B74A9" w:rsidRPr="00507A31" w:rsidRDefault="009B74A9" w:rsidP="00507A31">
      <w:pPr>
        <w:pStyle w:val="a3"/>
        <w:rPr>
          <w:color w:val="000000" w:themeColor="text1"/>
          <w:lang w:val="ru-RU"/>
        </w:rPr>
      </w:pPr>
    </w:p>
    <w:p w14:paraId="04A0E0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на Центральном военно-химическом складе № 136 в Очаково (Москва) произошло массовое поражение ипритом группы работников, связанное с переснаряжением большой партии "потекших" артхимснарядов (снаряды те уже были не трофейные, а советские). Всего пострадало, по официальным данным, 27 человек. Многие из них были вынуждены воспользоваться "бесплатной" медицинской помощью коммунистического военного госпиталя в Лефортово (палатой № 13). Из отчета первого коммунистического военного госпиталя (Лефортово) за 1930 год:</w:t>
      </w:r>
    </w:p>
    <w:p w14:paraId="2ACCB8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"Необходимо отметить больного Шевякова, 18 лет, который поступил 2/VI и выписанного 15/VII, имевшего ипритное поражение кожи в области правой верхней конечности. Процесс протекал крайне вяло... Больной находился под воздействием паров иприта (ибо он работал около месяца, на обязанности было дегазирование зараженных ипритом пробок, опуская их в кипящую воду) в течение одного месяца, в силу чего все туловище больного постепенно принимало окраску темно-коричневого цвета и в момент поступления представлял из себя в полном смысле негра". С началом Второй Мировой войны склад был перебазирован в Камбарку (Удмуртия). (9065).</w:t>
      </w:r>
    </w:p>
    <w:p w14:paraId="0AD23A0C" w14:textId="77777777" w:rsidR="00537E5F" w:rsidRPr="00507A31" w:rsidRDefault="00537E5F" w:rsidP="00507A31">
      <w:pPr>
        <w:autoSpaceDE w:val="0"/>
        <w:autoSpaceDN w:val="0"/>
        <w:adjustRightInd w:val="0"/>
        <w:jc w:val="both"/>
        <w:rPr>
          <w:color w:val="000000" w:themeColor="text1"/>
          <w:sz w:val="16"/>
          <w:szCs w:val="16"/>
        </w:rPr>
      </w:pPr>
    </w:p>
    <w:p w14:paraId="3E0992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было и Особое конструкторское бюро ОГПУ по химии (102,21).</w:t>
      </w:r>
    </w:p>
    <w:p w14:paraId="1054CE9B" w14:textId="77777777" w:rsidR="00537E5F" w:rsidRPr="00507A31" w:rsidRDefault="00537E5F" w:rsidP="00507A31">
      <w:pPr>
        <w:autoSpaceDE w:val="0"/>
        <w:autoSpaceDN w:val="0"/>
        <w:adjustRightInd w:val="0"/>
        <w:jc w:val="both"/>
        <w:rPr>
          <w:color w:val="000000" w:themeColor="text1"/>
          <w:sz w:val="16"/>
          <w:szCs w:val="16"/>
        </w:rPr>
      </w:pPr>
    </w:p>
    <w:p w14:paraId="2086D65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1930г. 1-й Государственный часовой завод им. С.М. Кирова начал сборку карманных часов из привезенного незавершенного производства, с 1931г. - выпуск часов из собственных деталей. Одновременно начато освоение выпуска авиационных и танковых часов. В 1934г. выпущены первые АЧХ, с 1935г. - АВР. В 1936-37г. освоен выпуск секундомеров. В 1939г. выпущена небольшая серия часов с секундомером ЧСМ, одновременно начато освоение морских хронометров и палубных часов, которые выпускались с конца 1940г. В 1941г. начата разработка двухстрелочного секундомера, которая была прервана началом войны.</w:t>
      </w:r>
    </w:p>
    <w:p w14:paraId="6FDAA7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10.1941г. 1-й Государственный часовой завод им. С.М. Кирова эвакуирован в Златоуст, где вначале действовал как «1-й часовой завод в Златоусте», затем на его базе создан завод № 834 НКМВ (Завод № 845 ИМ. С.М. Кирова НКМВ, 1-й Государственный часовой завод им. С.М. Кирова, 1-й часовой завод НКМВ, 1-й Московский часовой завод им. С.М. Кирова ММиП, ОАО «1-й часовой завод» /г. Москва, 4 ул. Воронцовская, 35А «Минута» (1948г.)/ /109147 г. Москва ул. Марксистская, 34 тел. 276-47-07/).</w:t>
      </w:r>
    </w:p>
    <w:p w14:paraId="325D3F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Часть завода продолжила действовать в Москве, как «1-й часовой завод в Москве». Выпускал детали для ППШ, взрыватели «МП» (1942г.). В 1942г. в Москве организовано производство спецдеталей и начата подготовка к выпуску часов. По приказу НКМВ № 203сс от 7.06.1942г. с Златоустовского часового завода в Москву на 1-й и 2-й часовые заводы возвращено 30 станков. В 1943г. возобновлен выпуск АЧХ, АВРМ. В 1945г. начата подготовка к производству часов «Победа». С 1947г. выпускались также часы с секундомером из трофейного незавершенного производства и морские хронометры.</w:t>
      </w:r>
    </w:p>
    <w:p w14:paraId="3E5CC8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06.1942г. завод - в ведении Главприбора НКМВ. В соответствии с пост. СНК № 837-430сс от 3.06.1942г. и приказом НКМВ № 250с от 7.07.1942г. 1-й часовой завод в Москве НКМВ переименован в завод № 845 в ведении 5ГУ.</w:t>
      </w:r>
      <w:r w:rsidRPr="00507A31">
        <w:rPr>
          <w:color w:val="000000" w:themeColor="text1"/>
          <w:sz w:val="16"/>
          <w:szCs w:val="16"/>
          <w:vertAlign w:val="superscript"/>
        </w:rPr>
        <w:t>129</w:t>
      </w:r>
    </w:p>
    <w:p w14:paraId="089388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1947-48г. 1-й московский часовой завод им. Кирова - в ведении Главчаспрома ММиП.</w:t>
      </w:r>
    </w:p>
    <w:p w14:paraId="1EDC0C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предприятия цехи (1947г.): основные: 1-й и 2-й сборочный, 1-й и 2-й механический, мелких серий, автоматный, гальванический, прессовый, платино-корпусной, ходовой, станкостроения, ширпотреба; вспомогательные: строительный, заготовительный, инструментальный, ремонтный.</w:t>
      </w:r>
    </w:p>
    <w:p w14:paraId="7AE2ED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ОАО было в 2005г. К 2010г. завод прекратил существование.</w:t>
      </w:r>
    </w:p>
    <w:p w14:paraId="6EB9A0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(2002г.): хронометры и запчасти к ним.</w:t>
      </w:r>
    </w:p>
    <w:p w14:paraId="62435E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Количество оборудования: (1939г.)- 1416 ед., (1946г.)- 1270 ед., (1947г.)- 1640 ед.</w:t>
      </w:r>
    </w:p>
    <w:p w14:paraId="4D93FB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Площадь: территории (1947г.)- 17,5 га; застройки (1947г.)- 5905 м</w:t>
      </w:r>
      <w:r w:rsidRPr="00507A31">
        <w:rPr>
          <w:color w:val="000000" w:themeColor="text1"/>
          <w:sz w:val="16"/>
          <w:szCs w:val="16"/>
          <w:vertAlign w:val="superscript"/>
        </w:rPr>
        <w:t>2</w:t>
      </w:r>
      <w:r w:rsidRPr="00507A31">
        <w:rPr>
          <w:color w:val="000000" w:themeColor="text1"/>
          <w:sz w:val="16"/>
          <w:szCs w:val="16"/>
        </w:rPr>
        <w:t>; производственная (1939-47г.)- 14072 м</w:t>
      </w:r>
      <w:r w:rsidRPr="00507A31">
        <w:rPr>
          <w:color w:val="000000" w:themeColor="text1"/>
          <w:sz w:val="16"/>
          <w:szCs w:val="16"/>
          <w:vertAlign w:val="superscript"/>
        </w:rPr>
        <w:t>2</w:t>
      </w:r>
      <w:r w:rsidRPr="00507A31">
        <w:rPr>
          <w:color w:val="000000" w:themeColor="text1"/>
          <w:sz w:val="16"/>
          <w:szCs w:val="16"/>
        </w:rPr>
        <w:t>.</w:t>
      </w:r>
    </w:p>
    <w:p w14:paraId="413093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(1939г.)- 3515 чел., (1946г.)- 1906 чел., (1947г.)- 2199 чел., (2002г.)- 1800 чел.</w:t>
      </w:r>
    </w:p>
    <w:p w14:paraId="7F96E0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(06.1942г.)- Кочнев, (1948г.)- Матвеев. Гендиректор (-2000-05г.-)- С.Б. Ксенофонтов.</w:t>
      </w:r>
    </w:p>
    <w:p w14:paraId="5A41A3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(1948г.)- Калганов, (2002г.)- М.В. Бакланов.</w:t>
      </w:r>
      <w:r w:rsidRPr="00507A31">
        <w:rPr>
          <w:color w:val="000000" w:themeColor="text1"/>
          <w:sz w:val="16"/>
          <w:szCs w:val="16"/>
          <w:vertAlign w:val="superscript"/>
        </w:rPr>
        <w:t>69</w:t>
      </w:r>
    </w:p>
    <w:p w14:paraId="233D4B13"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 часы:</w:t>
      </w:r>
      <w:r w:rsidRPr="00507A31">
        <w:rPr>
          <w:color w:val="000000" w:themeColor="text1"/>
          <w:sz w:val="16"/>
          <w:szCs w:val="16"/>
        </w:rPr>
        <w:t xml:space="preserve"> авиационные: АЧХ (1934-41; 1943-), АВР (-1935-42-), АЧ, АЧО, АЧХО (-1936-47-), АЧБ (1936), АВРМ (1943-47-), АЧХОП (1947); ЧСМ (1939), ручные АНЧС, «Победа» (1947-), карманные, каминные, автомобильные 1ЧТ, Ч2Т, морской хронометр </w:t>
      </w:r>
      <w:r w:rsidRPr="00507A31">
        <w:rPr>
          <w:color w:val="000000" w:themeColor="text1"/>
          <w:sz w:val="16"/>
          <w:szCs w:val="16"/>
          <w:lang w:val="en-US"/>
        </w:rPr>
        <w:t>MX</w:t>
      </w:r>
      <w:r w:rsidRPr="00507A31">
        <w:rPr>
          <w:color w:val="000000" w:themeColor="text1"/>
          <w:sz w:val="16"/>
          <w:szCs w:val="16"/>
        </w:rPr>
        <w:t xml:space="preserve"> (1947); секундомеры (1942); тахометр «Хаслер» (1938); взрыватели «МП», детали для </w:t>
      </w:r>
      <w:r w:rsidRPr="00507A31">
        <w:rPr>
          <w:color w:val="000000" w:themeColor="text1"/>
          <w:sz w:val="16"/>
          <w:szCs w:val="16"/>
          <w:lang w:val="en-US"/>
        </w:rPr>
        <w:t>PC</w:t>
      </w:r>
      <w:r w:rsidRPr="00507A31">
        <w:rPr>
          <w:color w:val="000000" w:themeColor="text1"/>
          <w:sz w:val="16"/>
          <w:szCs w:val="16"/>
        </w:rPr>
        <w:t xml:space="preserve"> М-13 (1942); газовый счетчик (1947) (11982).</w:t>
      </w:r>
      <w:r w:rsidRPr="00507A31">
        <w:rPr>
          <w:color w:val="000000" w:themeColor="text1"/>
          <w:sz w:val="16"/>
          <w:szCs w:val="16"/>
          <w:vertAlign w:val="superscript"/>
        </w:rPr>
        <w:t>129</w:t>
      </w:r>
    </w:p>
    <w:p w14:paraId="0175DECA" w14:textId="77777777" w:rsidR="00537E5F" w:rsidRPr="00507A31" w:rsidRDefault="00537E5F" w:rsidP="00507A31">
      <w:pPr>
        <w:autoSpaceDE w:val="0"/>
        <w:autoSpaceDN w:val="0"/>
        <w:adjustRightInd w:val="0"/>
        <w:jc w:val="both"/>
        <w:rPr>
          <w:color w:val="000000" w:themeColor="text1"/>
          <w:sz w:val="16"/>
          <w:szCs w:val="16"/>
        </w:rPr>
      </w:pPr>
    </w:p>
    <w:p w14:paraId="21F098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Основное Техническое бюро Главного управления ВП ВСНХ совместно с головным КБ ОАТ в соответствии с положениями системы танкового и тракторного вооружения РККА начали разработку целого ряда проектов, частью которых было создание целой серии тракторов для нужд РККА: "малый трактор РККА", "средний трактор РККА" и "большой трактор РККА". Предполагалось, что базой для тракторов будут служить шасси танков и танкеток, состоявших на вооружение Красной Армии (3862).</w:t>
      </w:r>
    </w:p>
    <w:p w14:paraId="2613FAB8" w14:textId="77777777" w:rsidR="00537E5F" w:rsidRPr="00507A31" w:rsidRDefault="00537E5F" w:rsidP="00507A31">
      <w:pPr>
        <w:autoSpaceDE w:val="0"/>
        <w:autoSpaceDN w:val="0"/>
        <w:adjustRightInd w:val="0"/>
        <w:jc w:val="both"/>
        <w:rPr>
          <w:color w:val="000000" w:themeColor="text1"/>
          <w:sz w:val="16"/>
          <w:szCs w:val="16"/>
        </w:rPr>
      </w:pPr>
    </w:p>
    <w:p w14:paraId="67862C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для освоения производства танкеток на заводе № 37 (Завод № 37 им.  Г.К. Орджоникидзе НКТП, НКОП, НКСМ, НКТП, Авторемонтный завод, 4-й Государственный авторемонтный завод ВСНХ, 2-й автобронетанковый ремонтный завод, 2-й автосборочный завод ВАТО, НКТП, Опытный завод № 37, Опытный завод НИРТИ, НИИДАР / г. Черкизов Московской обл.;  г. Свердловск;  г. Москва Преображенская застава/ /107258  г. Москва 1-я ул. Бухвостова, 12/11/) организована конструкторская группа, затем преобразованная в КБ-Т. В 01.1932 г. КБ поручена разработка легкого плавающего танка Т-41, в том же году построен опытный экземпляр.</w:t>
      </w:r>
    </w:p>
    <w:p w14:paraId="216680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1932 г. на заводе начато освоение производства Т-37А разработки ОКМО завода им. Ворошилова. Козырев назначен гл. конструктором танка. В 1934 г. П. Шитиковым создан проект плавающей танкетки Т-37Б, опытный экземпляр построен весной 1935 г. В 06.1935 г. на ее базе создана Т-37В, не строилась.</w:t>
      </w:r>
    </w:p>
    <w:p w14:paraId="7460A8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12.1933 г. на конкурсной основе начата разработка легкого плавающего танка Т-43-2 (Астров). Весной 1935 г. построен опытный экземпляр, к концу года работы прекращены.</w:t>
      </w:r>
    </w:p>
    <w:p w14:paraId="3B36C3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1935 г. на базе Т-37А разработан новый проект легкого плавающего танка «09А», опытный экземпляр построен в 06.1935 г. Пост. СТО от 29.02.1936 г. танк под обозначением Т-38 пнв. Осенью 1937 г. КБ поручена модернизация танка, весной 1938 г. построены два опытных Т-38М, в 01.1939 г. танк пнв.</w:t>
      </w:r>
    </w:p>
    <w:p w14:paraId="3F06AC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02.1937 г. КБ выдано задание на проектирование плавающего Т-39. Разрабатывались варианты: сухопутный «101» и амфибия «102». Весной 1938 г. выдано новое задание на плавающий танк, весной 1939 г. построены два опытных Т-40 («010»). Пост. КО № 443сс от 19.12.1939 г. Т-40 пнв и запущен в производство на заводе № 37.</w:t>
      </w:r>
    </w:p>
    <w:p w14:paraId="7E1CD7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1938 г. велись работы по освоению серийного выпуска тягача «Комсомолец».</w:t>
      </w:r>
    </w:p>
    <w:p w14:paraId="339650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1938 г. Астров был арестован, несколько месяцев был под следствием, затем оправдан и восстановлен на работе.</w:t>
      </w:r>
    </w:p>
    <w:p w14:paraId="288B33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07.1941 г. разработан проект танка «030» - неплавающий вариант Т-40, тогда же он был принят на вооружение как Т-60 и запущен в серию. В 10.1941 г. разработан вариант «060» (Т-60Ш) с пушкой ШВАК.</w:t>
      </w:r>
    </w:p>
    <w:p w14:paraId="7F4C81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17.07.1941 г. КБ выдано задание разработать в 4-м квартале 1941 г. проект и изготовить опытный экземпляр неплавающего варианта танка Т-40 - Т-45, в 07.1941 г. работы по нему остановлены, а осенью продолжены. На его базе в 03.1942 г. построен опытный Т-61 с двигателем ЗиС-16, а затем - Т-62 с двигателем ЗиС-5 и пушкой ЗиС-19БМ.</w:t>
      </w:r>
    </w:p>
    <w:p w14:paraId="35177D2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1942 г. разработаны зенитные танки Т-70(3) (построен опытный экземпляр) и Т-60-3. В 1942 г. на базе Т-70 разработан улучшенный вариант танка «080», в 12.1942 г. под маркой Т-80 он пнв.</w:t>
      </w:r>
    </w:p>
    <w:p w14:paraId="6129EB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(1930-32 г.-)- Н. Козырев (репрессирован); и.о. (1937 г.)- Н.А. Астров.</w:t>
      </w:r>
    </w:p>
    <w:p w14:paraId="202F46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(1938 г.)- Н.А. Астров, (1941 г.)-  Г. Суренян (Т-40), Н. Попов.</w:t>
      </w:r>
      <w:r w:rsidRPr="00507A31">
        <w:rPr>
          <w:color w:val="000000" w:themeColor="text1"/>
          <w:sz w:val="16"/>
          <w:szCs w:val="16"/>
          <w:vertAlign w:val="superscript"/>
        </w:rPr>
        <w:t>128</w:t>
      </w:r>
    </w:p>
    <w:p w14:paraId="50A24F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конструкторы: (1932 г.-)- Н. Козырев.</w:t>
      </w:r>
    </w:p>
    <w:p w14:paraId="7DD8A5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Руководитель конструкторской группы: (07.1941 г.)- Н.А. Астров (Т-60) (11982).</w:t>
      </w:r>
    </w:p>
    <w:p w14:paraId="7B624066" w14:textId="77777777" w:rsidR="00056969" w:rsidRPr="00507A31" w:rsidRDefault="00056969" w:rsidP="00507A31">
      <w:pPr>
        <w:autoSpaceDE w:val="0"/>
        <w:autoSpaceDN w:val="0"/>
        <w:adjustRightInd w:val="0"/>
        <w:jc w:val="both"/>
        <w:rPr>
          <w:color w:val="000000" w:themeColor="text1"/>
          <w:sz w:val="16"/>
          <w:szCs w:val="16"/>
        </w:rPr>
      </w:pPr>
    </w:p>
    <w:p w14:paraId="034D78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1930 г. на базе группы немецких специалистов под руководством Э. Гроте, прибывших в СССР для проектирования «мощного танка» на Обуховском заводе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507A31">
        <w:rPr>
          <w:color w:val="000000" w:themeColor="text1"/>
          <w:sz w:val="16"/>
          <w:szCs w:val="16"/>
          <w:lang w:val="en-US"/>
        </w:rPr>
        <w:t>MOM</w:t>
      </w:r>
      <w:r w:rsidRPr="00507A31">
        <w:rPr>
          <w:color w:val="000000" w:themeColor="text1"/>
          <w:sz w:val="16"/>
          <w:szCs w:val="16"/>
        </w:rPr>
        <w:t xml:space="preserve">,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было создано КБ АВО-5 завода «Большевик». В него вошли также советские специалисты Барыков, Воробьев, Троянов. </w:t>
      </w:r>
      <w:r w:rsidRPr="00507A31">
        <w:rPr>
          <w:color w:val="000000" w:themeColor="text1"/>
          <w:sz w:val="16"/>
          <w:szCs w:val="16"/>
        </w:rPr>
        <w:lastRenderedPageBreak/>
        <w:t>Опытный танк ТГ («танк Гроте») построен в 07.1931 г. В 08.1931 г. от услуг Гроте было решено отказаться. Дальнейшие работы по танку продолжены в КБ под руководством Барыкова.</w:t>
      </w:r>
    </w:p>
    <w:p w14:paraId="4E0258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1931 г. велись работы по проекту тяжелого танка Т-32, летом 1931 г. работы по нему остановлены. Проект был использован при создании тяжелого танка Т-35, работы по которому начаты в 11.1931 г. (Заказчиком требовалось закончить проект к 1.08.1932 г.).</w:t>
      </w:r>
    </w:p>
    <w:p w14:paraId="4B08C8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1932 г. КБ влито в состав ОКМО завода № 174.</w:t>
      </w:r>
    </w:p>
    <w:p w14:paraId="2B08EC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Руководитель (1930-31 г.)- Э. Гроте, (08.1931 г.-)- Н. Барыков.</w:t>
      </w:r>
    </w:p>
    <w:p w14:paraId="105835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руководителя (-08.1931 г.)- Н. Барыков (11982).</w:t>
      </w:r>
    </w:p>
    <w:p w14:paraId="22FE366E" w14:textId="77777777" w:rsidR="00537E5F" w:rsidRPr="00507A31" w:rsidRDefault="00537E5F" w:rsidP="00507A31">
      <w:pPr>
        <w:autoSpaceDE w:val="0"/>
        <w:autoSpaceDN w:val="0"/>
        <w:adjustRightInd w:val="0"/>
        <w:jc w:val="both"/>
        <w:rPr>
          <w:color w:val="000000" w:themeColor="text1"/>
          <w:sz w:val="16"/>
          <w:szCs w:val="16"/>
        </w:rPr>
      </w:pPr>
    </w:p>
    <w:p w14:paraId="0D7ADD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ХПЗ им. Коминтерна как завод, уже накопивший некоторый опыт по конструированию и изготовлению танков, получил особо ответственное задание - начать работы по созданию и организации производства специального быстроходного танка, необходимого для укомплектования механизированных соединений Красной Армии. Для помощи и усиления руководства работами по созданию первого быстроходного танка к бюро был прикомандирован из Управления механизации и моторизации Красной Армии опытный военный инженер Н. М. Тоскин. Работа над быстроходным танком (БТ) переросла предполагаемые рамки и превратилась в творческий процесс создания не только новых узлов, но и совершенно новой компоновки машины. Его главной конструктивной особенностью являлось наличие колесно-гусеничного движителя, позволявшего в хороших дорожных условиях двигаться на колесах, а по бездорожью - на гусеницах. Руководителем всех работ, связанных с танком БТ, был Н.М. Тоскин. В ноябре 1931 поскольку вопрос создания быстроходного танка был решен, Н.М. Тоскин (как кадровый военный инженер) был отозван в Управление механизации и моторизации КА для продолжения своей основной службы (9154).</w:t>
      </w:r>
    </w:p>
    <w:p w14:paraId="3D8977F1" w14:textId="77777777" w:rsidR="00537E5F" w:rsidRPr="00507A31" w:rsidRDefault="00537E5F" w:rsidP="00507A31">
      <w:pPr>
        <w:autoSpaceDE w:val="0"/>
        <w:autoSpaceDN w:val="0"/>
        <w:adjustRightInd w:val="0"/>
        <w:jc w:val="both"/>
        <w:rPr>
          <w:color w:val="000000" w:themeColor="text1"/>
          <w:sz w:val="16"/>
          <w:szCs w:val="16"/>
        </w:rPr>
      </w:pPr>
    </w:p>
    <w:p w14:paraId="5DCB3A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1930 году по заданию Главного артиллерийского управления ХПЗ начал разработку быстроходного среднего гусеничного тягача для буксировки орудий массой до 10 т, а также для выполнения в войсках тяжелых транспортных работ под руководством Б.Н.Воронкова (ведущие конструкторы Д.М.Иванов, Д.Ф.Бобров). К 7 ноября 1931 года на заводе построили три опытных образца. </w:t>
      </w:r>
    </w:p>
    <w:p w14:paraId="589529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Тягач, названный «Коминтерн», развивал скорость до 18 км/ч, имел новую подвеску и ходовую часть, однако при небольшой массе (7 т) и мощности (65 л.с.) показал недостаточную силу тяги. К тому же у него, как и у «Коммунара», отсутствовали грузовая платформа, лебедка и закрытая кабина. После полигонных испытаний, проведенных в 1932 году, доводкой тягача занималась в тракторно-коннструкторском бюро (ТРК) бригада во главе с Н.Г.Зубаревым (Б.Н.воронков перешел на ХТЗ), куда также вошли инженеры А.Г.Гулита и В.П.Каплин. На «Коминтерн» установили оригинальный, специально разработанный двигатель увеличенной мощности, ходовую часть и подвеску использовали от танка Т-24, ранее выпускавшегося заводом, повысили скорость и силовой диапазон в трансмиссии, установили кабину автомобильного типа для экипажа и платформу для перевозки орудийного расчета, боекомплекта и снаряжения. Впервые в отечественной практике на тягаче была применена лебедка с тяговым усилием, сопоставимым с массой прицепа, и он стал соответствовать всем предъявленным тогда артиллеристами требованиям к быстроходной гусеничной машине для выполнения тяжелых транспортных работ в условиях бездорожья и вскоре был принят на снабжение Красной Армии (11639).</w:t>
      </w:r>
    </w:p>
    <w:p w14:paraId="6D70715C" w14:textId="77777777" w:rsidR="00537E5F" w:rsidRPr="00507A31" w:rsidRDefault="00537E5F" w:rsidP="00507A31">
      <w:pPr>
        <w:autoSpaceDE w:val="0"/>
        <w:autoSpaceDN w:val="0"/>
        <w:adjustRightInd w:val="0"/>
        <w:jc w:val="both"/>
        <w:rPr>
          <w:color w:val="000000" w:themeColor="text1"/>
          <w:sz w:val="16"/>
          <w:szCs w:val="16"/>
        </w:rPr>
      </w:pPr>
    </w:p>
    <w:p w14:paraId="0DB9CD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году в Харькове в Украинском научно-исследовательском ин</w:t>
      </w:r>
      <w:r w:rsidRPr="00507A31">
        <w:rPr>
          <w:color w:val="000000" w:themeColor="text1"/>
          <w:sz w:val="16"/>
          <w:szCs w:val="16"/>
        </w:rPr>
        <w:softHyphen/>
        <w:t>ституте промэнергетики, директором которого был профессор Л.С.Шмугляков, была создана лаборатория ДВС, которая территориально была рас</w:t>
      </w:r>
      <w:r w:rsidRPr="00507A31">
        <w:rPr>
          <w:color w:val="000000" w:themeColor="text1"/>
          <w:sz w:val="16"/>
          <w:szCs w:val="16"/>
        </w:rPr>
        <w:softHyphen/>
        <w:t>положена в Харьковском механике-машиностроительном институте. В начале в этой лаборатории работало немного людей: заведующим лабора</w:t>
      </w:r>
      <w:r w:rsidRPr="00507A31">
        <w:rPr>
          <w:color w:val="000000" w:themeColor="text1"/>
          <w:sz w:val="16"/>
          <w:szCs w:val="16"/>
        </w:rPr>
        <w:softHyphen/>
        <w:t>торией был назначен бывший коминтерновец Я.М.Майер, в аспирантуре учился и работал в лаборатории Ю.Б.Моргулис, расчетами рабочего процесса занимался Н.М.Глаголев, дизельной аппаратурой занимался</w:t>
      </w:r>
    </w:p>
    <w:p w14:paraId="2C1B39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И.В.Астахов.</w:t>
      </w:r>
    </w:p>
    <w:p w14:paraId="2B698B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1931 году эта лаборатория вышла из состава института промэнерге</w:t>
      </w:r>
      <w:r w:rsidRPr="00507A31">
        <w:rPr>
          <w:color w:val="000000" w:themeColor="text1"/>
          <w:sz w:val="16"/>
          <w:szCs w:val="16"/>
        </w:rPr>
        <w:softHyphen/>
        <w:t>тики и была преобразована в Украинский научно-исследовательский ин</w:t>
      </w:r>
      <w:r w:rsidRPr="00507A31">
        <w:rPr>
          <w:color w:val="000000" w:themeColor="text1"/>
          <w:sz w:val="16"/>
          <w:szCs w:val="16"/>
        </w:rPr>
        <w:softHyphen/>
        <w:t>ститут двигателей внутреннего сгорания (У НИ ИД ВС). В нем начали так</w:t>
      </w:r>
      <w:r w:rsidRPr="00507A31">
        <w:rPr>
          <w:color w:val="000000" w:themeColor="text1"/>
          <w:sz w:val="16"/>
          <w:szCs w:val="16"/>
        </w:rPr>
        <w:softHyphen/>
        <w:t>же работать: С.А.Бельгов, Г.В.Бражнюченко, П.А.Саблев, Н.М.Гиршберг. В этот период в развитых капиталистических странах был проявлен интерес к дизелям для использования их в качестве авиационных двига</w:t>
      </w:r>
      <w:r w:rsidRPr="00507A31">
        <w:rPr>
          <w:color w:val="000000" w:themeColor="text1"/>
          <w:sz w:val="16"/>
          <w:szCs w:val="16"/>
        </w:rPr>
        <w:softHyphen/>
        <w:t>телей. В Германии, например, был создан 2-х тактный авиационный ди</w:t>
      </w:r>
      <w:r w:rsidRPr="00507A31">
        <w:rPr>
          <w:color w:val="000000" w:themeColor="text1"/>
          <w:sz w:val="16"/>
          <w:szCs w:val="16"/>
        </w:rPr>
        <w:softHyphen/>
        <w:t>зель с противоположно-движущимися поршнями фирмы Юнкере.</w:t>
      </w:r>
    </w:p>
    <w:p w14:paraId="0B0798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дизелям для авиации был проявлен интерес и в СССР. Над созданием авиационных дизелей начали работать: Центральный Научно-исследователь</w:t>
      </w:r>
      <w:r w:rsidRPr="00507A31">
        <w:rPr>
          <w:color w:val="000000" w:themeColor="text1"/>
          <w:sz w:val="16"/>
          <w:szCs w:val="16"/>
        </w:rPr>
        <w:softHyphen/>
        <w:t>ский дорожный институт в Ленинграде (ЦНИДИ). В этом институте про</w:t>
      </w:r>
      <w:r w:rsidRPr="00507A31">
        <w:rPr>
          <w:color w:val="000000" w:themeColor="text1"/>
          <w:sz w:val="16"/>
          <w:szCs w:val="16"/>
        </w:rPr>
        <w:softHyphen/>
        <w:t>фессор Маргенс работал над 4-х тактным дизелем, каждый цилиндр которо</w:t>
      </w:r>
      <w:r w:rsidRPr="00507A31">
        <w:rPr>
          <w:color w:val="000000" w:themeColor="text1"/>
          <w:sz w:val="16"/>
          <w:szCs w:val="16"/>
        </w:rPr>
        <w:softHyphen/>
        <w:t>го имел один клапан, который работал и как впускной и как выпускной. Коленчатые валы для опытных образцов этого дизеля были закуплены за границей. При испытаниях дизель работал с большой дымностью выхлопа. В Москве в Автодорожном институте (МАДИ), профессор Брилинг работал над 2-х тактным дизелем. При испытаниях этот дизель в значи</w:t>
      </w:r>
      <w:r w:rsidRPr="00507A31">
        <w:rPr>
          <w:color w:val="000000" w:themeColor="text1"/>
          <w:sz w:val="16"/>
          <w:szCs w:val="16"/>
        </w:rPr>
        <w:softHyphen/>
        <w:t>тельной степени работал на смазочном масле — при отключении подачи топлива была затруднена его остановка.</w:t>
      </w:r>
    </w:p>
    <w:p w14:paraId="3D7D19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Москве же в ЦИАМе, профессор Чаромский работал над 4-х такт</w:t>
      </w:r>
      <w:r w:rsidRPr="00507A31">
        <w:rPr>
          <w:color w:val="000000" w:themeColor="text1"/>
          <w:sz w:val="16"/>
          <w:szCs w:val="16"/>
        </w:rPr>
        <w:softHyphen/>
        <w:t>ным дизелем со впрыском дополнительного топлива во всасывающий</w:t>
      </w:r>
    </w:p>
    <w:p w14:paraId="034A41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трубопровод.</w:t>
      </w:r>
    </w:p>
    <w:p w14:paraId="52CBB1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Харькове в УНИИДВС под руководством профессора Майера разра</w:t>
      </w:r>
      <w:r w:rsidRPr="00507A31">
        <w:rPr>
          <w:color w:val="000000" w:themeColor="text1"/>
          <w:sz w:val="16"/>
          <w:szCs w:val="16"/>
        </w:rPr>
        <w:softHyphen/>
        <w:t>батывался 4-х тактный дизель с частотой вращения коленчатого вала 1500 об/мин. При такой частоте вращения рабочий процесс дизеля со струй</w:t>
      </w:r>
      <w:r w:rsidRPr="00507A31">
        <w:rPr>
          <w:color w:val="000000" w:themeColor="text1"/>
          <w:sz w:val="16"/>
          <w:szCs w:val="16"/>
        </w:rPr>
        <w:softHyphen/>
        <w:t>ным смесеобразованием вообще не отрабатывался. Было спроектировано и изготовлено 6 вариантов одноцилиндровых отсеков.</w:t>
      </w:r>
    </w:p>
    <w:p w14:paraId="6B69A0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1931 году в нашей стране были организованы наркоматы и главные управления при Совнаркоме СССР. Было создано Главное управление гражданского воздушного флота, а в его системе — НИИ ГВФ в г.Москве, Харьковский УНИИДВС стал филиалом НИИ ГВФ (21.03.32), а затем самостоятельным институтом под названием УНИАДИ — Украинский цаучно-исследовательский авиадизельный институт (также в 1932 г.) (11504).</w:t>
      </w:r>
    </w:p>
    <w:p w14:paraId="4E4C29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AE2F1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 с целью произвести закупки образцов броне</w:t>
      </w:r>
      <w:r w:rsidRPr="00507A31">
        <w:rPr>
          <w:color w:val="000000" w:themeColor="text1"/>
          <w:sz w:val="16"/>
          <w:szCs w:val="16"/>
        </w:rPr>
        <w:softHyphen/>
        <w:t>танковой техники из СССР отбыла закупочная комиссия под руководством нач. УММ И. Халепского и нач. инже</w:t>
      </w:r>
      <w:r w:rsidRPr="00507A31">
        <w:rPr>
          <w:color w:val="000000" w:themeColor="text1"/>
          <w:sz w:val="16"/>
          <w:szCs w:val="16"/>
        </w:rPr>
        <w:softHyphen/>
        <w:t>нерно-конструкторского бюро по танкам С. Гинзбурга. Первой страной, куда прибыла комиссия, стала Велико</w:t>
      </w:r>
      <w:r w:rsidRPr="00507A31">
        <w:rPr>
          <w:color w:val="000000" w:themeColor="text1"/>
          <w:sz w:val="16"/>
          <w:szCs w:val="16"/>
        </w:rPr>
        <w:softHyphen/>
        <w:t>британия — мировой лидер по производству бронетанковой техники тех лет. Наибольший интерес для УММ здесь пред</w:t>
      </w:r>
      <w:r w:rsidRPr="00507A31">
        <w:rPr>
          <w:color w:val="000000" w:themeColor="text1"/>
          <w:sz w:val="16"/>
          <w:szCs w:val="16"/>
        </w:rPr>
        <w:softHyphen/>
        <w:t>ставляла фирма «Виккерс-Армстронг», где согласно утверж</w:t>
      </w:r>
      <w:r w:rsidRPr="00507A31">
        <w:rPr>
          <w:color w:val="000000" w:themeColor="text1"/>
          <w:sz w:val="16"/>
          <w:szCs w:val="16"/>
        </w:rPr>
        <w:softHyphen/>
        <w:t>денной в Москве программы надлежало купить образцы танкетки, малого танка, танка «Мидиум» («Виккерс» — 12-тонный) и большого танка («Индепендент»). Однако в еди</w:t>
      </w:r>
      <w:r w:rsidRPr="00507A31">
        <w:rPr>
          <w:color w:val="000000" w:themeColor="text1"/>
          <w:sz w:val="16"/>
          <w:szCs w:val="16"/>
        </w:rPr>
        <w:softHyphen/>
        <w:t>ничном экземпляре, тем более — с документацией, фирма продавать что-то категорически отказалась. Поэтому в ре</w:t>
      </w:r>
      <w:r w:rsidRPr="00507A31">
        <w:rPr>
          <w:color w:val="000000" w:themeColor="text1"/>
          <w:sz w:val="16"/>
          <w:szCs w:val="16"/>
        </w:rPr>
        <w:softHyphen/>
        <w:t>зультате переговоров, проведенных начальником УММ и представителем компании «Аркос» с руководством «Вик-керса», было приобретено танкеток (в наших документах — «танкетки ВКЛ») 20 экземпляров со сроками поставки: 5 -в мае, 4 — в июне, 4 — в июле, 4 - в августе и 3 — в сентябре. Малых шеститонных танков М1с А (в наших документах «В-26») было куплено 15 шт. со сроками поставки: 1 — в сен</w:t>
      </w:r>
      <w:r w:rsidRPr="00507A31">
        <w:rPr>
          <w:color w:val="000000" w:themeColor="text1"/>
          <w:sz w:val="16"/>
          <w:szCs w:val="16"/>
        </w:rPr>
        <w:softHyphen/>
        <w:t>тябре, 4 — в октябре, 4 — в ноябре, 4 - в декабре, и 2 — в ян</w:t>
      </w:r>
      <w:r w:rsidRPr="00507A31">
        <w:rPr>
          <w:color w:val="000000" w:themeColor="text1"/>
          <w:sz w:val="16"/>
          <w:szCs w:val="16"/>
        </w:rPr>
        <w:softHyphen/>
        <w:t>варе. Средних танков «Виккерс-12 т» - также 15. Сроки по</w:t>
      </w:r>
      <w:r w:rsidRPr="00507A31">
        <w:rPr>
          <w:color w:val="000000" w:themeColor="text1"/>
          <w:sz w:val="16"/>
          <w:szCs w:val="16"/>
        </w:rPr>
        <w:softHyphen/>
        <w:t>ставки: в октябре — 1, в ноябре — 2, в декабре — 2, в январе -2, в феврале — 2, в марте — 2, в апреле — 2, в мае — 2. Главное внимание уделялось малому 6-тонному танку Мк А, так как он в основном отвечал принятой системе во</w:t>
      </w:r>
      <w:r w:rsidRPr="00507A31">
        <w:rPr>
          <w:color w:val="000000" w:themeColor="text1"/>
          <w:sz w:val="16"/>
          <w:szCs w:val="16"/>
        </w:rPr>
        <w:softHyphen/>
        <w:t>оружений РККА. 12-тонные танки рассматривались специа</w:t>
      </w:r>
      <w:r w:rsidRPr="00507A31">
        <w:rPr>
          <w:color w:val="000000" w:themeColor="text1"/>
          <w:sz w:val="16"/>
          <w:szCs w:val="16"/>
        </w:rPr>
        <w:softHyphen/>
        <w:t>листами комиссии как альтернатива Т-12/Т-24 (если с их производством вдруг возникнут какие-то проблемы). Ведь параметры подвижности 12-тонников как нельзя лучше от</w:t>
      </w:r>
      <w:r w:rsidRPr="00507A31">
        <w:rPr>
          <w:color w:val="000000" w:themeColor="text1"/>
          <w:sz w:val="16"/>
          <w:szCs w:val="16"/>
        </w:rPr>
        <w:softHyphen/>
        <w:t>вечали соответствующим требованиям к маневренному тан</w:t>
      </w:r>
      <w:r w:rsidRPr="00507A31">
        <w:rPr>
          <w:color w:val="000000" w:themeColor="text1"/>
          <w:sz w:val="16"/>
          <w:szCs w:val="16"/>
        </w:rPr>
        <w:softHyphen/>
        <w:t>ку. Однако броня указанных английских танков была тонь</w:t>
      </w:r>
      <w:r w:rsidRPr="00507A31">
        <w:rPr>
          <w:color w:val="000000" w:themeColor="text1"/>
          <w:sz w:val="16"/>
          <w:szCs w:val="16"/>
        </w:rPr>
        <w:softHyphen/>
        <w:t>ше, чем было предусмотрено «Системой...» Но весьма важ</w:t>
      </w:r>
      <w:r w:rsidRPr="00507A31">
        <w:rPr>
          <w:color w:val="000000" w:themeColor="text1"/>
          <w:sz w:val="16"/>
          <w:szCs w:val="16"/>
        </w:rPr>
        <w:softHyphen/>
        <w:t>ным фактором приобретения именно этих образцов было то. что английская сторона готова была продать их в комплекте с чертежами: а) эскизными, б) сборочными, в) монтажными, г) инспекционно-производственными и в срок 3 года — ин</w:t>
      </w:r>
      <w:r w:rsidRPr="00507A31">
        <w:rPr>
          <w:color w:val="000000" w:themeColor="text1"/>
          <w:sz w:val="16"/>
          <w:szCs w:val="16"/>
        </w:rPr>
        <w:softHyphen/>
        <w:t>формировать советскую сторону обо всех улучшениях, про</w:t>
      </w:r>
      <w:r w:rsidRPr="00507A31">
        <w:rPr>
          <w:color w:val="000000" w:themeColor="text1"/>
          <w:sz w:val="16"/>
          <w:szCs w:val="16"/>
        </w:rPr>
        <w:softHyphen/>
        <w:t>изводимых в конструкции указанных танков. Кроме того, фирма обязалась предоставить все танки сначала в виде опытной партии по 3 шт. каждого типа, с ко</w:t>
      </w:r>
      <w:r w:rsidRPr="00507A31">
        <w:rPr>
          <w:color w:val="000000" w:themeColor="text1"/>
          <w:sz w:val="16"/>
          <w:szCs w:val="16"/>
        </w:rPr>
        <w:softHyphen/>
        <w:t>торыми советская сторона могла провести испытания, после чего внести изменения в конструкцию по своему усмотре</w:t>
      </w:r>
      <w:r w:rsidRPr="00507A31">
        <w:rPr>
          <w:color w:val="000000" w:themeColor="text1"/>
          <w:sz w:val="16"/>
          <w:szCs w:val="16"/>
        </w:rPr>
        <w:softHyphen/>
        <w:t>нию, которые должны были быть учтены во всех остальных поставляемых машинах, но уже за счет покупателя. На приобретении танкетки особо настаивал М. Туха</w:t>
      </w:r>
      <w:r w:rsidRPr="00507A31">
        <w:rPr>
          <w:color w:val="000000" w:themeColor="text1"/>
          <w:sz w:val="16"/>
          <w:szCs w:val="16"/>
        </w:rPr>
        <w:softHyphen/>
        <w:t>чевский, так как вся зарубежная военная литература того времени склонялась к мысли, что именно танкеткам предстоит вскоре заменить кавалерию, а танкетка «Виккерс» была признана лучшей в своем классе. В отношении же большого танка «Индепендент» фир</w:t>
      </w:r>
      <w:r w:rsidRPr="00507A31">
        <w:rPr>
          <w:color w:val="000000" w:themeColor="text1"/>
          <w:sz w:val="16"/>
          <w:szCs w:val="16"/>
        </w:rPr>
        <w:softHyphen/>
        <w:t>ма вести переговоры о продаже отказалась. Танк был лишь показан нашим специалистам в покое и в движении. Пред</w:t>
      </w:r>
      <w:r w:rsidRPr="00507A31">
        <w:rPr>
          <w:color w:val="000000" w:themeColor="text1"/>
          <w:sz w:val="16"/>
          <w:szCs w:val="16"/>
        </w:rPr>
        <w:softHyphen/>
        <w:t>ставитель фирмы озвучил готовность разработать конст</w:t>
      </w:r>
      <w:r w:rsidRPr="00507A31">
        <w:rPr>
          <w:color w:val="000000" w:themeColor="text1"/>
          <w:sz w:val="16"/>
          <w:szCs w:val="16"/>
        </w:rPr>
        <w:softHyphen/>
        <w:t>рукцию большого танка специально по тактико-техничес</w:t>
      </w:r>
      <w:r w:rsidRPr="00507A31">
        <w:rPr>
          <w:color w:val="000000" w:themeColor="text1"/>
          <w:sz w:val="16"/>
          <w:szCs w:val="16"/>
        </w:rPr>
        <w:softHyphen/>
        <w:t>ким требованиям СССР, но стоимость такой услуги была признана слишком большой, тем более что в нагрузку к проекту фирма предлагала купить еще танкеток и малых танков от 15 до 20 шт. каждого наименования. И под занавес, когда основные договора были уже под</w:t>
      </w:r>
      <w:r w:rsidRPr="00507A31">
        <w:rPr>
          <w:color w:val="000000" w:themeColor="text1"/>
          <w:sz w:val="16"/>
          <w:szCs w:val="16"/>
        </w:rPr>
        <w:softHyphen/>
        <w:t>писаны, члены комиссии заметили одну необычную трех-башенную машину, ходко двигавшуюся по полигону. Ее вид впечатлял. Две малые пулеметные башенки, располо</w:t>
      </w:r>
      <w:r w:rsidRPr="00507A31">
        <w:rPr>
          <w:color w:val="000000" w:themeColor="text1"/>
          <w:sz w:val="16"/>
          <w:szCs w:val="16"/>
        </w:rPr>
        <w:softHyphen/>
        <w:t>женные ниже большой орудийной, чем-то напоминали пятибашенный «Индепендент», но при этом указанный танк был заметно меньше, маневреннее при сходном с по</w:t>
      </w:r>
      <w:r w:rsidRPr="00507A31">
        <w:rPr>
          <w:color w:val="000000" w:themeColor="text1"/>
          <w:sz w:val="16"/>
          <w:szCs w:val="16"/>
        </w:rPr>
        <w:softHyphen/>
        <w:t>следним вооружении. Во время второй поездки 1930 г. в Великобританию нач. инженерно-конструкторского бюро по танкам С. Гинзбург специально интересовался оным танком, но кроме того, что это опытный образец «16-тонного» танка, представители фирмы отказались сообщить что-либо серьезное. Категори</w:t>
      </w:r>
      <w:r w:rsidRPr="00507A31">
        <w:rPr>
          <w:color w:val="000000" w:themeColor="text1"/>
          <w:sz w:val="16"/>
          <w:szCs w:val="16"/>
        </w:rPr>
        <w:softHyphen/>
        <w:t>чески отказались они и от показа этого танка, мотивируя это тем, что танк покупают английские военные и потому он является секретным образцом. Чтобы добыть сведения о нем, конструктору пришлось применить смекалку. В беседах с конструкторами и испытателями полигона он сообщил, что «16-тонный» танк уже куплен, а пока идет оформление бумаг, ему надо узнать некоторые особеннос</w:t>
      </w:r>
      <w:r w:rsidRPr="00507A31">
        <w:rPr>
          <w:color w:val="000000" w:themeColor="text1"/>
          <w:sz w:val="16"/>
          <w:szCs w:val="16"/>
        </w:rPr>
        <w:softHyphen/>
        <w:t>ти его конструкции. Таким образом к 3 декабря 1930 г. все основные характеристики нового танка были известны со</w:t>
      </w:r>
      <w:r w:rsidRPr="00507A31">
        <w:rPr>
          <w:color w:val="000000" w:themeColor="text1"/>
          <w:sz w:val="16"/>
          <w:szCs w:val="16"/>
        </w:rPr>
        <w:softHyphen/>
        <w:t>ветской стороне. Кроме Великобритании советская закупочная комиссия посещала также Чехословакию, Францию и Италию, причем в последней был подписан протокол о намерениях разработ</w:t>
      </w:r>
      <w:r w:rsidRPr="00507A31">
        <w:rPr>
          <w:color w:val="000000" w:themeColor="text1"/>
          <w:sz w:val="16"/>
          <w:szCs w:val="16"/>
        </w:rPr>
        <w:softHyphen/>
        <w:t>ки тяжелого позиционного танка, но дальнейшего развития эти планы не получили. Во Франции же и Чехословакии бы</w:t>
      </w:r>
      <w:r w:rsidRPr="00507A31">
        <w:rPr>
          <w:color w:val="000000" w:themeColor="text1"/>
          <w:sz w:val="16"/>
          <w:szCs w:val="16"/>
        </w:rPr>
        <w:softHyphen/>
        <w:t>ли произведены закупки автомобилей и мотоциклов. Танков же, отвечавших требованиям Танко-тракгорно-автоброневооружения, в указанных странах обнаружено не было (10733,132).</w:t>
      </w:r>
    </w:p>
    <w:p w14:paraId="4F49F9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40898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В 1930 Сквирский из «АРКОС-лимитед», которая представляля интересы СССР в Великобритании сообщил, что фирма Виккерс готова говорить о разработке для СССР танка, аналогичного английскому 16-тонному по спецификации СССР только при соблюдении некоторых условий, которые в докладе М. Тухачевского К. Ворошилову звучали так:</w:t>
      </w:r>
    </w:p>
    <w:p w14:paraId="38CF8A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 Мы обязаны уплатить фирме Виккерс 20.000 фун.ов стерлингов (ок. 200.000 руб. зол.) за конструкцию танка.</w:t>
      </w:r>
    </w:p>
    <w:p w14:paraId="0CF37B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Мы обязаны выдать фирме Виккерс заказ на 10 танков ориентировочной стоимости каждого 16.000 фун. Стерлингов (160.000 руб. зол.) - всего на сумму 1.600.000рублей.</w:t>
      </w:r>
    </w:p>
    <w:p w14:paraId="73E4BA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Однако фирма допускает, взамен приобретения десяти ти 16-тон. танков, выдачу заказов с нашей стороны на ту же сумму на типовую ее продукцию, например — на танкетки Карден-Лойд, или на 6-ти тон. танки Виккерс...</w:t>
      </w:r>
    </w:p>
    <w:p w14:paraId="28D30D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Эти условия были сочтены неприемлемыми и потому на 1931 г. было запланировано выполнение проекта 16-тон</w:t>
      </w:r>
      <w:r w:rsidRPr="00507A31">
        <w:rPr>
          <w:color w:val="000000" w:themeColor="text1"/>
          <w:sz w:val="16"/>
          <w:szCs w:val="16"/>
        </w:rPr>
        <w:softHyphen/>
        <w:t>ного танка с большим радиусом действия для механизиро</w:t>
      </w:r>
      <w:r w:rsidRPr="00507A31">
        <w:rPr>
          <w:color w:val="000000" w:themeColor="text1"/>
          <w:sz w:val="16"/>
          <w:szCs w:val="16"/>
        </w:rPr>
        <w:softHyphen/>
        <w:t>ванных соединений. В основу конструкции нового танка предписывалось положить полученные сведения о 16-тон</w:t>
      </w:r>
      <w:r w:rsidRPr="00507A31">
        <w:rPr>
          <w:color w:val="000000" w:themeColor="text1"/>
          <w:sz w:val="16"/>
          <w:szCs w:val="16"/>
        </w:rPr>
        <w:softHyphen/>
        <w:t>ном танке «Виккерс», а также опыт танкостроения, полу</w:t>
      </w:r>
      <w:r w:rsidRPr="00507A31">
        <w:rPr>
          <w:color w:val="000000" w:themeColor="text1"/>
          <w:sz w:val="16"/>
          <w:szCs w:val="16"/>
        </w:rPr>
        <w:softHyphen/>
        <w:t>ченный в ТЕКО, и опыт проектирования танка Т-24. Выполнить проект 16-тонного маневренного танка было поручено факультету моторизации и механизации Военно-технической академии им. Ф. Дзержинского и Танко-тракторно-конструкторскому бюро Всесоюзного орудийно-арсенального объединения под руководством С. Гинзбурга (10733,224).</w:t>
      </w:r>
    </w:p>
    <w:p w14:paraId="43A781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C16B8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году одновременно с созданием на ХТЗ КБ Т2-К был создан и опытный цех, руководство которым было возложено на знающего и опытного инженера (бывшего конструктора тракторного конструкторс</w:t>
      </w:r>
      <w:r w:rsidRPr="00507A31">
        <w:rPr>
          <w:color w:val="000000" w:themeColor="text1"/>
          <w:sz w:val="16"/>
          <w:szCs w:val="16"/>
        </w:rPr>
        <w:softHyphen/>
        <w:t>кого бюро ТрК) К.А. Куликова. В течение 1930 года цех неплохо оснастился станками, приспособле</w:t>
      </w:r>
      <w:r w:rsidRPr="00507A31">
        <w:rPr>
          <w:color w:val="000000" w:themeColor="text1"/>
          <w:sz w:val="16"/>
          <w:szCs w:val="16"/>
        </w:rPr>
        <w:softHyphen/>
        <w:t>ниями, измерительной и исследовательской аппаратурой и с 1931 года начал исследовательские работы по отдельным узлам танка. Осенью 1931 года, как только были выпущены первые танки БТ-2, Куликов немедлен</w:t>
      </w:r>
      <w:r w:rsidRPr="00507A31">
        <w:rPr>
          <w:color w:val="000000" w:themeColor="text1"/>
          <w:sz w:val="16"/>
          <w:szCs w:val="16"/>
        </w:rPr>
        <w:softHyphen/>
        <w:t>но развернул работы по их всесторонним испытаниям и вскоре цех был загружен не только исследованием выявленных дефектов, но и проработ</w:t>
      </w:r>
      <w:r w:rsidRPr="00507A31">
        <w:rPr>
          <w:color w:val="000000" w:themeColor="text1"/>
          <w:sz w:val="16"/>
          <w:szCs w:val="16"/>
        </w:rPr>
        <w:softHyphen/>
        <w:t>кой мероприятий по их устранению. Основная тяжесть всей работы в цехе легла на исследователей, коллектив которых полностью сформировался и сплотился только за последующие 2-3 года. Но молодые специалисты, пришедшие в цех, оказались исследователями по призванию, и сразу включились в работу, показав с самого начала неплохие результаты. В их числе были В.В. Амиратов, проработавший в опытном цехе долгие годы. С 1940 года он стал начальником исследовательского бюро опытного цеха, И.И. Гололобов, ставший вскоре одним из ведущих исследователей цеха, испытателем танка Т-34, О.А. Федотов и И.С. Томашпольский, посвя</w:t>
      </w:r>
      <w:r w:rsidRPr="00507A31">
        <w:rPr>
          <w:color w:val="000000" w:themeColor="text1"/>
          <w:sz w:val="16"/>
          <w:szCs w:val="16"/>
        </w:rPr>
        <w:softHyphen/>
        <w:t>тивший работе в опытном цехе всю свою жизнь, поднимаясь по служеб</w:t>
      </w:r>
      <w:r w:rsidRPr="00507A31">
        <w:rPr>
          <w:color w:val="000000" w:themeColor="text1"/>
          <w:sz w:val="16"/>
          <w:szCs w:val="16"/>
        </w:rPr>
        <w:softHyphen/>
        <w:t>ной лестнице, оба они в дальнейшем стали начальниками этого цеха. Эн</w:t>
      </w:r>
      <w:r w:rsidRPr="00507A31">
        <w:rPr>
          <w:color w:val="000000" w:themeColor="text1"/>
          <w:sz w:val="16"/>
          <w:szCs w:val="16"/>
        </w:rPr>
        <w:softHyphen/>
        <w:t>тузиастами—исследователями в цехе были Е.А. Борковский, М.Г. Ки-зин, И. Руденко, а также работники лабораторий Ю.В. Ломтев, И.Я. Бо</w:t>
      </w:r>
      <w:r w:rsidRPr="00507A31">
        <w:rPr>
          <w:color w:val="000000" w:themeColor="text1"/>
          <w:sz w:val="16"/>
          <w:szCs w:val="16"/>
        </w:rPr>
        <w:softHyphen/>
        <w:t>гомолов, М.Калугин и другие.</w:t>
      </w:r>
    </w:p>
    <w:p w14:paraId="5EA7C2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К.А. Куликов обратил особое внимание подготовке водительских кад</w:t>
      </w:r>
      <w:r w:rsidRPr="00507A31">
        <w:rPr>
          <w:color w:val="000000" w:themeColor="text1"/>
          <w:sz w:val="16"/>
          <w:szCs w:val="16"/>
        </w:rPr>
        <w:softHyphen/>
        <w:t>ров для опытного цеха. К началу пробеговых испытаний первых танков в опытном цехе было уже около 15 подготовленных водителей, среди кото</w:t>
      </w:r>
      <w:r w:rsidRPr="00507A31">
        <w:rPr>
          <w:color w:val="000000" w:themeColor="text1"/>
          <w:sz w:val="16"/>
          <w:szCs w:val="16"/>
        </w:rPr>
        <w:softHyphen/>
        <w:t>рых вскоре выделились мастера вождения, первые ассы опытного цеха — И.Г.Битенский, С.М.Пономарев, а вскоре и Н.Ф.Носик.</w:t>
      </w:r>
    </w:p>
    <w:p w14:paraId="64E7F7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Опытный цех со временем стал одним из важнейших подразделений танкового производства и первым помощником конструкторов КБ. В от</w:t>
      </w:r>
      <w:r w:rsidRPr="00507A31">
        <w:rPr>
          <w:color w:val="000000" w:themeColor="text1"/>
          <w:sz w:val="16"/>
          <w:szCs w:val="16"/>
        </w:rPr>
        <w:softHyphen/>
        <w:t>работке конструкции и эксплуатационных качеств не только семейства БТ, но и последующих моделей, опытный цех внес существенный вклад.</w:t>
      </w:r>
    </w:p>
    <w:p w14:paraId="31FBA9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Его работники активно участвовали во всех проводимых сборочным Цехом и военными представителями всевозможных проверках и специ</w:t>
      </w:r>
      <w:r w:rsidRPr="00507A31">
        <w:rPr>
          <w:color w:val="000000" w:themeColor="text1"/>
          <w:sz w:val="16"/>
          <w:szCs w:val="16"/>
        </w:rPr>
        <w:softHyphen/>
        <w:t>альных испытаниях. А их было немало (11504).</w:t>
      </w:r>
    </w:p>
    <w:p w14:paraId="1E9D6A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8057A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Челпан возглавил дизельный отдел завода, а группа мо-лодых специалистов (А.К. Башкин, Я.Е. Вихман, С.Ф. Горбатюк, И.С. Бер и др.) занялась быстроходным дизелем. Для определения оптимальной конструкции двигателя пришлось выполнить более десяти различных кон-структорских проработок. Технологам и производственникам пришлось осваивать операции, которыми им ранее не доводилось заниматься - штам-повкой из высоколегированных сталей, литьем под давлением из легких сплавов высоконагруженных деталей, изготовлением вкладышей подшипни-ков коленчатых валов с заливкой свинцовистой бронзой. В результате выполнения большого объема работа к началу 1932 г. были определены основные параметры двигателя и материалы для его из-готовления. Требовалось спроектировать двенадцатицилиндровый дизель мощностью 400 л.с. при 1700 об./мин. с удельным расходом топлива 180 - 190 г/л.с. час, в танковом и самолетном вариантах. Двигатель должен был строиться из отечественных материалов и комплектующих, кроме топ-ливных насосов и форсунок фирмы "Бош". В его конструкции использова-лись прогрессивные решения - непосредственный впрыск топлива, штампо-ванные легкосплавные поршни, четыре клапана на цилиндр, несущие сило-вые шпильки, литая алюминиевая головка. Проектирование быстроходного дизеля (БД - 2) было стремительным. Началось оно в октябре 1932 г., а закончилось в феврале 1933 г. 28 апреля собрали первый полноразмерный БД - 2, а в мае 1933 г. начались внутризаводские стендовые испытания. Для сборки первых БД-2 в дизель-ном отделе создали экспериментальную мастерскую под руководством Н.П. Богданова, молодого энергичного человека, в недавнем прошлом токаря-универсала. Впоследствии он руководил цехом приспособлений - и до войны, и в эвакуации, а в послевоенный период стал начальником про-изводства ЧТЗ. К работе активно подключился вернувшийся в 1933 г. из США И.Я. Трашутин, который защитил магистерскую диссертацию в Масса-чусетском технологическом институте на тему "Оптимальное проектирова-ние основных деталей дизеля" (в 1927 г. он закончил ХТИ). Работа его оказалась успешной и уже в 1936 г. он возглавил конструкторскую сек-цию (11224).</w:t>
      </w:r>
    </w:p>
    <w:p w14:paraId="2541F35C" w14:textId="77777777" w:rsidR="00537E5F" w:rsidRPr="00507A31" w:rsidRDefault="00537E5F" w:rsidP="00507A31">
      <w:pPr>
        <w:autoSpaceDE w:val="0"/>
        <w:autoSpaceDN w:val="0"/>
        <w:adjustRightInd w:val="0"/>
        <w:jc w:val="both"/>
        <w:rPr>
          <w:color w:val="000000" w:themeColor="text1"/>
          <w:sz w:val="16"/>
          <w:szCs w:val="16"/>
        </w:rPr>
      </w:pPr>
    </w:p>
    <w:p w14:paraId="6E21D6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были подготовлены СООБРАЖЕНИЯ УММ В РККА ОБ ОРГАНИЗАЦИИ РЕМОНТА АВТОТАНКОТРАКТОРНОГО ИМУЩЕСТВА</w:t>
      </w:r>
    </w:p>
    <w:p w14:paraId="232840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связи с проведением большой программы механизации РККА УММ полагает, что основные установки по организации ремонта имущества РККА, данные постановлением РВС СССР от 12 ию</w:t>
      </w:r>
      <w:r w:rsidRPr="00507A31">
        <w:rPr>
          <w:color w:val="000000" w:themeColor="text1"/>
          <w:sz w:val="16"/>
          <w:szCs w:val="16"/>
        </w:rPr>
        <w:softHyphen/>
        <w:t>ня 1929 г., соответственно должны быть пересмотрены и изменены.</w:t>
      </w:r>
    </w:p>
    <w:p w14:paraId="5A3BEB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Сущность необходимых изменений сводится к тому, чтобы ремонт автобронетанкотракторного имущества, как в мирное, так и в военное время, объединить в ведении УММ РККА.</w:t>
      </w:r>
    </w:p>
    <w:p w14:paraId="47C8D0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Прорабатывая упомянутое постановление РВС СССР в отношении ремонта автоимущества, УММ уже встало на этот путь и в настоящее время, заканчивает разработку штатов, табелей и смет) на четыре окружных мастерских для ремонта в мирное время автобронетанкотракторного имуще-; ства по одной на округ (в ЛВО, БВО, УВО и МВО) с тем, чтобы в военное время названные мастерские были обращены во фронтовые для среднего ремонта. Весь же капитальный ремонт, как в мир-1 ное, так и в военное время перечисленных объектов имущества должен быть полностью возложен на промышленность, применительно к автотранспорту согласно постановления РЗ СТО от 6 января 1930 г. Для чего МПУ ВСНХ немедленно должны быть разработаны проекты организации этих мас</w:t>
      </w:r>
      <w:r w:rsidRPr="00507A31">
        <w:rPr>
          <w:color w:val="000000" w:themeColor="text1"/>
          <w:sz w:val="16"/>
          <w:szCs w:val="16"/>
        </w:rPr>
        <w:softHyphen/>
        <w:t>терских с тем, чтобы, начиная с середины 1930-31 хозяйственного года, они могли принять в капи</w:t>
      </w:r>
      <w:r w:rsidRPr="00507A31">
        <w:rPr>
          <w:color w:val="000000" w:themeColor="text1"/>
          <w:sz w:val="16"/>
          <w:szCs w:val="16"/>
        </w:rPr>
        <w:softHyphen/>
        <w:t>тальный ремонт автомобили, тракторы и танки.</w:t>
      </w:r>
    </w:p>
    <w:p w14:paraId="7E05BC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практического разрешения проблемы ремонта необходимо со стороны Наркома:</w:t>
      </w:r>
    </w:p>
    <w:p w14:paraId="3D1383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Одобрение мероприятия УМ РККА в отношении объединения ремонта автобронетанкотра-кторного имущества и организации четырех окружных мастерских.</w:t>
      </w:r>
    </w:p>
    <w:p w14:paraId="30B8AF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Разрешение на постройку названных мастерских в пунктах: Рыбинск, склад №60 Брянск, в районе Харькова и склад №37 Москва.</w:t>
      </w:r>
    </w:p>
    <w:p w14:paraId="383964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Склад №37 подчинить УММ РККА, кроме артиллерийского отдела, остающегося в ведении АУ РККА, согласно решения совещания под председательством помощника начальника вооружений т. Гарф (выписка прилагается).</w:t>
      </w:r>
    </w:p>
    <w:p w14:paraId="0CCBDA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Размещение в вышеуказанных пунктах мастерских автобронетанкотракторного имущества вы</w:t>
      </w:r>
      <w:r w:rsidRPr="00507A31">
        <w:rPr>
          <w:color w:val="000000" w:themeColor="text1"/>
          <w:sz w:val="16"/>
          <w:szCs w:val="16"/>
        </w:rPr>
        <w:softHyphen/>
        <w:t>зывается необходимостью нахождения в этих пунктах артмастерских, так как одновременно с ре</w:t>
      </w:r>
      <w:r w:rsidRPr="00507A31">
        <w:rPr>
          <w:color w:val="000000" w:themeColor="text1"/>
          <w:sz w:val="16"/>
          <w:szCs w:val="16"/>
        </w:rPr>
        <w:softHyphen/>
        <w:t>монтом, как самих танков, целесообразен ремонт их вооружения.</w:t>
      </w:r>
    </w:p>
    <w:p w14:paraId="038408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Мастерские должны быть построены с таким расчетом, чтобы они полностью обслуживали по</w:t>
      </w:r>
      <w:r w:rsidRPr="00507A31">
        <w:rPr>
          <w:color w:val="000000" w:themeColor="text1"/>
          <w:sz w:val="16"/>
          <w:szCs w:val="16"/>
        </w:rPr>
        <w:softHyphen/>
        <w:t>требность в ремонте ЛВО, БВО и УВО мирного времени. Мастерские же МВО кроме своего округа и потребность других округов.</w:t>
      </w:r>
    </w:p>
    <w:p w14:paraId="7B577D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военное время выше указанные мастерские являются кадрами для развертывания фронтовых ремонтных мастерских, путем кооперирования с соответствующими заводами местной промышлен</w:t>
      </w:r>
      <w:r w:rsidRPr="00507A31">
        <w:rPr>
          <w:color w:val="000000" w:themeColor="text1"/>
          <w:sz w:val="16"/>
          <w:szCs w:val="16"/>
        </w:rPr>
        <w:softHyphen/>
        <w:t>ности, не имеющими от ВСНХ мобзаданий.</w:t>
      </w:r>
    </w:p>
    <w:p w14:paraId="667D79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Разрешение организовать подвижные мастерские отдельно для ремонта: автомобилей, танков и тракторов из расчета по одной на конармию.</w:t>
      </w:r>
    </w:p>
    <w:p w14:paraId="76B065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Просить РЗ СТО:</w:t>
      </w:r>
    </w:p>
    <w:p w14:paraId="6823EF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О дополнении п.22 постановления РЗ СТО от 6.01.1930 г. о возложении на ВСНХ СССР, кроме капитального ремонта автотранспорта, также и танков, тракторов и бронемашин и полного обеспе</w:t>
      </w:r>
      <w:r w:rsidRPr="00507A31">
        <w:rPr>
          <w:color w:val="000000" w:themeColor="text1"/>
          <w:sz w:val="16"/>
          <w:szCs w:val="16"/>
        </w:rPr>
        <w:softHyphen/>
        <w:t>чения запчастями всех перечисленных видов имущества, ремонтируемого в военное время силами РККА, причем обеспечение капитальным ремонтом танков и тракторов возложить на заводы, их производящие, путем организации ремонтных цехов или приспособления специальных заводов для этой цели.</w:t>
      </w:r>
    </w:p>
    <w:p w14:paraId="45B6B6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Обязать все ведомства построить в крупных центрах (Москва, Смоленск, Харьков, Киев и т.д.) объединенные автогаражи и мастерские, с тем, чтобы в военное время они могли быть использова</w:t>
      </w:r>
      <w:r w:rsidRPr="00507A31">
        <w:rPr>
          <w:color w:val="000000" w:themeColor="text1"/>
          <w:sz w:val="16"/>
          <w:szCs w:val="16"/>
        </w:rPr>
        <w:softHyphen/>
        <w:t>ны для нужд РККА.</w:t>
      </w:r>
    </w:p>
    <w:p w14:paraId="0D74C6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При постройке ремонтных мастерских межрайонных тракторных станций в прифронтовой полосе обязать Наркомзем СССР:</w:t>
      </w:r>
    </w:p>
    <w:p w14:paraId="53F8D2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 обязательно согласовывать дислокации этих мастерских с НКВМ;</w:t>
      </w:r>
    </w:p>
    <w:p w14:paraId="0BA1AF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 учитывать при постройке их запас оборудования и площадей на случай развертывания в во</w:t>
      </w:r>
      <w:r w:rsidRPr="00507A31">
        <w:rPr>
          <w:color w:val="000000" w:themeColor="text1"/>
          <w:sz w:val="16"/>
          <w:szCs w:val="16"/>
        </w:rPr>
        <w:softHyphen/>
        <w:t>енное время.</w:t>
      </w:r>
    </w:p>
    <w:p w14:paraId="54C748F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утверждении Наркомом выше означенных принципов организации ремонта — УММ РККА приступит к осуществлению этих мероприятий.</w:t>
      </w:r>
    </w:p>
    <w:p w14:paraId="7C481C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Технического управления УММ РККА Бокис</w:t>
      </w:r>
    </w:p>
    <w:p w14:paraId="756FC2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Начальник мобилизационного отдела Давыдов</w:t>
      </w:r>
    </w:p>
    <w:p w14:paraId="5B8F05F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РГВА. Ф. 31811. Оп. 1. Д. 175. Л. 35. Копия (11210).</w:t>
      </w:r>
    </w:p>
    <w:p w14:paraId="18E4697D" w14:textId="77777777" w:rsidR="00537E5F" w:rsidRPr="00507A31" w:rsidRDefault="00537E5F" w:rsidP="00507A31">
      <w:pPr>
        <w:autoSpaceDE w:val="0"/>
        <w:autoSpaceDN w:val="0"/>
        <w:adjustRightInd w:val="0"/>
        <w:jc w:val="both"/>
        <w:rPr>
          <w:color w:val="000000" w:themeColor="text1"/>
          <w:sz w:val="16"/>
          <w:szCs w:val="16"/>
        </w:rPr>
      </w:pPr>
    </w:p>
    <w:p w14:paraId="0DAF9FF4"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В 1930 году Можарова командировали в Германию для изучения опыта на предприятиях фирмы БМВ. Надо сказать, что если в вопросах организации производства ему было чему поучиться, то в конструировании Мо-жаров оказался ничуть не слабее немецких инженеров. Больше того, там даже воспользовались его советами, касающимися нового мотоцикла БМВ-Р-16, и в знак признательности подарили ему одну из моделей и контейнер запасных частей к ней.</w:t>
      </w:r>
    </w:p>
    <w:p w14:paraId="25980851"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Тогда же Научному автомоторному институту (НАМИ), входившему в те годы в состав Научного автотракторного института (НАТИ), Главмашпром ВСНХ СССР поручил спроектировать первый советский тяжелый мотоцикл, взяв за образец «Харлей-Давидсон». Будущую машину предполагалось оснастить V-образным, четырехтактным двухцилиндровым двигателем рабочим объемом 750 см3.</w:t>
      </w:r>
    </w:p>
    <w:p w14:paraId="5483D980"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Для этого в Москву вызвали только что вернувшегося из зарубежной командировки Можарова, который возглавил небольшую группу молодых инженеров. Один из них, ныне доктор технических наук Б. М. Фиттерман, вспоминает:</w:t>
      </w:r>
    </w:p>
    <w:p w14:paraId="613BE7AD"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«Делали много вариантов компоновки, из которых Можаров выбирал лучшие. А сам Петр Владимирович работал очень своеобразно. Примерно два с половиной месяца он, что называется, просидел у пустой доски, время от времени делая какие-то пометки в блокноте. А на ватмане — ничего, у нас даже зародились сомнения в том, что он способен профессионально работать карандашом. Но в одну из суббот Петр Владимирович не пошел со всеми домой, остался в бюро, а придя на работу в понедельник, мы с удивлением увидели полностью завершенную компоновку двигателя со всеми деталями. Только тут мы поняли, что эти два месяца Можаров прорабатывал все варианты мысленно, чтобы сразу показать результат на бумаге...»</w:t>
      </w:r>
    </w:p>
    <w:p w14:paraId="5233D26E"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Кроме того, Можаров в совершенстве владел системным подходом к делу. Так, занимаясь тяжелым двухцилиндровым мотоциклом НАТИ-А-750, он одновременно, по заданию Главмашпрома, разработал проект унифицированного с ним НАТИ-Б-375 (цифры обозначают рабочий объем двигателя). Тип А предназначался для езды с коляской по дорогам с твердым покрытием и хорошему проселку, а без коляски — по любым дорогам; Б — машина среднего класса для любых дорог, но без коляски. У того и другого были одинаковыми цилиндры, поршни, шатуны, коробки передач, сухое многодисковое сцепление, защищенная от пыли и грязи приводная цепь на заднее колесо, прессованная рама и передняя вилка с рессорой, взаимозаменяемые колеса. Разными были двигатели, диски колес, рули и багажники, а также другие узлы и детали.</w:t>
      </w:r>
    </w:p>
    <w:p w14:paraId="291CA618"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Предполагалось, что в недалеком будущем мотоцикл Б заменит в серийном производстве Л-300. Можаров тем временем подумывал о следующем этапе: как бы у машин А и Б увеличить объем двигателей соответственно до 850 и 425 см3, заменить цепную передачу, на заднее колесо карданом, применить автомобильную систему смазки двигателя, увеличить клиренс до 140 мм, а базу до 1450 мм,— тогда появились бы оригинальные, мощные мотоциклы нового поколения... Увы, обстоятельства сложились так, что эти идеи применили в конструкциях советских мотоциклов гораздо позже.</w:t>
      </w:r>
    </w:p>
    <w:p w14:paraId="4B1CC248"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...В то время, как в Москве шло проектирование тяжелого мотоцикла, комиссия ВСНХ СССР, которую возглавлял В. В. Куйбышев, приняла наконец- решение построить в Ижевске мотоциклетный завод-гигант, рассчитанный на выпуск не менее 120 тыс. машин в год.</w:t>
      </w:r>
    </w:p>
    <w:p w14:paraId="29561CA6"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Исполком Удмуртской автономной области взял шефство над строительством Опытного мотоциклетного завода (на базе старой оружейной фабрики Берзина), присвоил ему название «имени Автодора», выделил 200 тыс. рублей и объявил стройку внеочередной и ударной. Вскоре Иж-стальзавод передал новому предприятию 40 станков, а дирекция ОМЗ заключила с другими заводами договоры на поставки сырья и инструментов, а также на использование их лабораторий для исследований и испытаний мотоциклетной техники (11396).</w:t>
      </w:r>
    </w:p>
    <w:p w14:paraId="6795D3A2" w14:textId="77777777" w:rsidR="00537E5F" w:rsidRPr="00507A31" w:rsidRDefault="00537E5F" w:rsidP="00507A31">
      <w:pPr>
        <w:widowControl w:val="0"/>
        <w:autoSpaceDE w:val="0"/>
        <w:autoSpaceDN w:val="0"/>
        <w:adjustRightInd w:val="0"/>
        <w:jc w:val="both"/>
        <w:rPr>
          <w:color w:val="000000" w:themeColor="text1"/>
          <w:sz w:val="16"/>
          <w:szCs w:val="16"/>
        </w:rPr>
      </w:pPr>
    </w:p>
    <w:p w14:paraId="79E4EB0E"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В 1930 году на Украине зародилось мотоциклостроение, когда инженер П. Лабура, приняв за образец иностранную машину, создал собственную конструкцию. Раму, бензобак и заднюю вилку он выполнил неразъемными, из стального листа; поставил двухтактный одноцилиндровый двигатель мощностью 2,5 л. с. с двухступенчатой коробкой передач. Любопытно, что ось руля Лабура пропустил через бензобак, на ее нижнюю часть прикрепив рычажную подвеску и рессору. Машина получилась довольно удачной, и в том же году ее с успехом представили на выставке советского мотоциклостроения в Москве. После этого украинский Автодор поручил Харьковскому автосборочному заводу (ХАЗ) построить 10 таких мотоциклов, испытать их на разных дорогах и, доработав, пустить в серийное производство (11396).</w:t>
      </w:r>
    </w:p>
    <w:p w14:paraId="5E1A65EE" w14:textId="77777777" w:rsidR="00537E5F" w:rsidRPr="00507A31" w:rsidRDefault="00537E5F" w:rsidP="00507A31">
      <w:pPr>
        <w:widowControl w:val="0"/>
        <w:autoSpaceDE w:val="0"/>
        <w:autoSpaceDN w:val="0"/>
        <w:adjustRightInd w:val="0"/>
        <w:jc w:val="both"/>
        <w:rPr>
          <w:color w:val="000000" w:themeColor="text1"/>
          <w:sz w:val="16"/>
          <w:szCs w:val="16"/>
        </w:rPr>
      </w:pPr>
    </w:p>
    <w:p w14:paraId="35C540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году под руководством специалиста Харьковского автосборочного за</w:t>
      </w:r>
      <w:r w:rsidRPr="00507A31">
        <w:rPr>
          <w:color w:val="000000" w:themeColor="text1"/>
          <w:sz w:val="16"/>
          <w:szCs w:val="16"/>
        </w:rPr>
        <w:softHyphen/>
        <w:t>вода ХАЗа, Солдатенко, уже сделавшего тяжёлый мотоцикл собственной конст</w:t>
      </w:r>
      <w:r w:rsidRPr="00507A31">
        <w:rPr>
          <w:color w:val="000000" w:themeColor="text1"/>
          <w:sz w:val="16"/>
          <w:szCs w:val="16"/>
        </w:rPr>
        <w:softHyphen/>
        <w:t>рукции (закрытая штампованная сварная рама, У-образный дви</w:t>
      </w:r>
      <w:r w:rsidRPr="00507A31">
        <w:rPr>
          <w:color w:val="000000" w:themeColor="text1"/>
          <w:sz w:val="16"/>
          <w:szCs w:val="16"/>
        </w:rPr>
        <w:softHyphen/>
        <w:t>гатель, с рабочим объёмом 1200 см</w:t>
      </w:r>
      <w:r w:rsidRPr="00507A31">
        <w:rPr>
          <w:color w:val="000000" w:themeColor="text1"/>
          <w:sz w:val="16"/>
          <w:szCs w:val="16"/>
          <w:vertAlign w:val="superscript"/>
        </w:rPr>
        <w:t>3</w:t>
      </w:r>
      <w:r w:rsidRPr="00507A31">
        <w:rPr>
          <w:color w:val="000000" w:themeColor="text1"/>
          <w:sz w:val="16"/>
          <w:szCs w:val="16"/>
        </w:rPr>
        <w:t>, установленным коленвалом поперёк по «харлейному», коляска приваренная к раме мотоцик</w:t>
      </w:r>
      <w:r w:rsidRPr="00507A31">
        <w:rPr>
          <w:color w:val="000000" w:themeColor="text1"/>
          <w:sz w:val="16"/>
          <w:szCs w:val="16"/>
        </w:rPr>
        <w:softHyphen/>
        <w:t>ла, дисковые колеса, бензобак скрытый внутри рамы); спроекти</w:t>
      </w:r>
      <w:r w:rsidRPr="00507A31">
        <w:rPr>
          <w:color w:val="000000" w:themeColor="text1"/>
          <w:sz w:val="16"/>
          <w:szCs w:val="16"/>
        </w:rPr>
        <w:softHyphen/>
        <w:t>ровали и начали строить, сразу шесть однотипных лёгких мото</w:t>
      </w:r>
      <w:r w:rsidRPr="00507A31">
        <w:rPr>
          <w:color w:val="000000" w:themeColor="text1"/>
          <w:sz w:val="16"/>
          <w:szCs w:val="16"/>
        </w:rPr>
        <w:softHyphen/>
        <w:t>циклов разных модификаций с одноцилиндровыми двигателями рабочим объёмом 350 см</w:t>
      </w:r>
      <w:r w:rsidRPr="00507A31">
        <w:rPr>
          <w:color w:val="000000" w:themeColor="text1"/>
          <w:sz w:val="16"/>
          <w:szCs w:val="16"/>
          <w:vertAlign w:val="superscript"/>
        </w:rPr>
        <w:t>3</w:t>
      </w:r>
      <w:r w:rsidRPr="00507A31">
        <w:rPr>
          <w:color w:val="000000" w:themeColor="text1"/>
          <w:sz w:val="16"/>
          <w:szCs w:val="16"/>
        </w:rPr>
        <w:t xml:space="preserve"> и приводом на заднее колесо кардан</w:t>
      </w:r>
      <w:r w:rsidRPr="00507A31">
        <w:rPr>
          <w:color w:val="000000" w:themeColor="text1"/>
          <w:sz w:val="16"/>
          <w:szCs w:val="16"/>
        </w:rPr>
        <w:softHyphen/>
        <w:t>ным валом (11429).</w:t>
      </w:r>
    </w:p>
    <w:p w14:paraId="6B4409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C2D77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году покупательная способность нашего народа была невысока, и большинству людей приобрести даже легкий мото</w:t>
      </w:r>
      <w:r w:rsidRPr="00507A31">
        <w:rPr>
          <w:color w:val="000000" w:themeColor="text1"/>
          <w:sz w:val="16"/>
          <w:szCs w:val="16"/>
        </w:rPr>
        <w:softHyphen/>
        <w:t>цикл было трудно, поэтому требовалось освоить массовый вы</w:t>
      </w:r>
      <w:r w:rsidRPr="00507A31">
        <w:rPr>
          <w:color w:val="000000" w:themeColor="text1"/>
          <w:sz w:val="16"/>
          <w:szCs w:val="16"/>
        </w:rPr>
        <w:softHyphen/>
        <w:t>пуск мотовелосипедов. Пример заводам подали самодеятельные конструкторы. В первичной организации АВТОДОРа при Центральном на</w:t>
      </w:r>
      <w:r w:rsidRPr="00507A31">
        <w:rPr>
          <w:color w:val="000000" w:themeColor="text1"/>
          <w:sz w:val="16"/>
          <w:szCs w:val="16"/>
        </w:rPr>
        <w:softHyphen/>
        <w:t>учно-исследовательском институте механизации и энергетики лесной промышленности (ЦНИИМЭ) приспособили маленький импортный ДВС к стандартному отечественному велосипеду. Сконструировали боковой прицеп с велосипедным колесом. Од</w:t>
      </w:r>
      <w:r w:rsidRPr="00507A31">
        <w:rPr>
          <w:color w:val="000000" w:themeColor="text1"/>
          <w:sz w:val="16"/>
          <w:szCs w:val="16"/>
        </w:rPr>
        <w:softHyphen/>
        <w:t>ноцилиндровый двухтактный мотор «Ринко» мощностью 3.5 л.с. расположили горизонтально на лёгкой раме бокового прицепа из труб диаметром 20 мм, головкой цилиндра вперед. Привод - це</w:t>
      </w:r>
      <w:r w:rsidRPr="00507A31">
        <w:rPr>
          <w:color w:val="000000" w:themeColor="text1"/>
          <w:sz w:val="16"/>
          <w:szCs w:val="16"/>
        </w:rPr>
        <w:softHyphen/>
        <w:t>пью на колесо бокового прицепа, передаточное отношение 0,375. Управление сцеплением и карбюратором - тросами в оплетке от манеток, установленных на руле. При максимальной частоте вра</w:t>
      </w:r>
      <w:r w:rsidRPr="00507A31">
        <w:rPr>
          <w:color w:val="000000" w:themeColor="text1"/>
          <w:sz w:val="16"/>
          <w:szCs w:val="16"/>
        </w:rPr>
        <w:softHyphen/>
        <w:t>щения коленвала 2900 1/мин аппарат на ровной дороге развивал скорость 40 км/ч. Обычно же ездили со скоростью 20-25 км/ч. Испытания новинки прошли успешно. Однако внедрить ее в про</w:t>
      </w:r>
      <w:r w:rsidRPr="00507A31">
        <w:rPr>
          <w:color w:val="000000" w:themeColor="text1"/>
          <w:sz w:val="16"/>
          <w:szCs w:val="16"/>
        </w:rPr>
        <w:softHyphen/>
        <w:t>мышленное производство не удалось [4.150]. В то время за рубежом были распространены мотовелосипе</w:t>
      </w:r>
      <w:r w:rsidRPr="00507A31">
        <w:rPr>
          <w:color w:val="000000" w:themeColor="text1"/>
          <w:sz w:val="16"/>
          <w:szCs w:val="16"/>
        </w:rPr>
        <w:softHyphen/>
        <w:t>ды с малогабаритными движками над задним или передним ко</w:t>
      </w:r>
      <w:r w:rsidRPr="00507A31">
        <w:rPr>
          <w:color w:val="000000" w:themeColor="text1"/>
          <w:sz w:val="16"/>
          <w:szCs w:val="16"/>
        </w:rPr>
        <w:softHyphen/>
        <w:t>лесом, а также внутри рамы, под ней и даже на одноколесном прицепе, толкавшем велосипед [4.151]. В Европе чаще движок подвешивали ниже задней оси велосипеда [4.152], а в США - над передним колесом [4.153] )(11429).</w:t>
      </w:r>
    </w:p>
    <w:p w14:paraId="6740CC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BE630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на заводе имени С.М. Кирова в Ленинграде родилась идея моторного броневагона, который бы не уступал по огневой мощи, а по маневренности и защищенности превосходил бронепоезда, имевшиеся в то время на вооружении Красной Армии.</w:t>
      </w:r>
    </w:p>
    <w:p w14:paraId="08CDF1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конструкции мотоброневагона использовались узлы среднего танка Т-28. В трех башнях, расположенных в два яруса, были установлены 76,2-мм пушки ПС-3. Справа от пушки во всех башнях и в кормовых нишах второй и третьей башен в шаровых опорах были установлены пулеметы ДТ, еще один располагался в шаровой опоре в корме мотоброневагона. Кроме того, в бортах корпуса имелись четыре пулемета "максим", по два на борт. Боекомплект мотоброневагона вполне обеспечивал его автономную боевую деятельность и составлял 365 артиллерийских выстрелов, а к пулеметам - почти 33 тыс. патронов. Артиллерийский выстрел - комплект элементов артиллерийского боеприпаса для одного выстрела: снаряд (мина) с взрывателем, пороховой заряд в гильзе или картузе (мешке), средства воспламенения заряда и вспомогательные элементы (флегматизаторы, размеднители, пыжи и др.).</w:t>
      </w:r>
    </w:p>
    <w:p w14:paraId="5FB033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Корпус мотоброневагона изготавливался из катаных броневых листов, соединенных сваркой. Толщина борта корпуса составляла 16…20 мм, рубки - 20 мм, крыши - 10 мм, башен - 20 мм. Бортовые листы корпуса располагались под углом 10 градусов к вертикали. Управление броневагоном и его вооружением, а также их обслуживание осуществлялось экипажем в составе 40 человек. Перед Великой Отечественной войной моторный броневой вагон приняли на вооружение. Было изготовлено несколько единиц, они входили в состав дивизионов бронепоездов, структурно подчиненных командованию бронетанковых и механизированных войск Красной Армии. На некоторых мотоброневагонах устанавливались башни танка Т-34 и дизели В-2 (11406).</w:t>
      </w:r>
    </w:p>
    <w:p w14:paraId="05C11FB7" w14:textId="77777777" w:rsidR="00537E5F" w:rsidRPr="00507A31" w:rsidRDefault="00537E5F" w:rsidP="00507A31">
      <w:pPr>
        <w:autoSpaceDE w:val="0"/>
        <w:autoSpaceDN w:val="0"/>
        <w:adjustRightInd w:val="0"/>
        <w:jc w:val="both"/>
        <w:rPr>
          <w:color w:val="000000" w:themeColor="text1"/>
          <w:sz w:val="16"/>
          <w:szCs w:val="16"/>
        </w:rPr>
      </w:pPr>
    </w:p>
    <w:p w14:paraId="5CEA5E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 1930 года до начала Великой Оте</w:t>
      </w:r>
      <w:r w:rsidRPr="00507A31">
        <w:rPr>
          <w:color w:val="000000" w:themeColor="text1"/>
          <w:sz w:val="16"/>
          <w:szCs w:val="16"/>
        </w:rPr>
        <w:softHyphen/>
        <w:t>чественной войны 1941 г. удалось изготовить 59 870 отечествен</w:t>
      </w:r>
      <w:r w:rsidRPr="00507A31">
        <w:rPr>
          <w:color w:val="000000" w:themeColor="text1"/>
          <w:sz w:val="16"/>
          <w:szCs w:val="16"/>
        </w:rPr>
        <w:softHyphen/>
        <w:t>ный мотоцикл, что отражено в табл. 10, при составлении кото</w:t>
      </w:r>
      <w:r w:rsidRPr="00507A31">
        <w:rPr>
          <w:color w:val="000000" w:themeColor="text1"/>
          <w:sz w:val="16"/>
          <w:szCs w:val="16"/>
        </w:rPr>
        <w:softHyphen/>
        <w:t>рой были учтены сведения о выпуске мотоциклов, выявленные в работе [4.93] и уточнённые в 1940 - первом полугодии 1941 г. по статистическим данным НКСМ, представленным в ЦГАЭ [4.217,4.191].</w:t>
      </w:r>
    </w:p>
    <w:p w14:paraId="264509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К началу Великой Отечественной войны не удалось наладить выпуск мотоциклов М-72. Правительство страны, генштаб, руко</w:t>
      </w:r>
      <w:r w:rsidRPr="00507A31">
        <w:rPr>
          <w:color w:val="000000" w:themeColor="text1"/>
          <w:sz w:val="16"/>
          <w:szCs w:val="16"/>
        </w:rPr>
        <w:softHyphen/>
        <w:t>водство НКСМ и Главмотовелопрома понимали, что в условиях войны мотоциклов потребуется гораздо больше. В связи с этим в предвоенные годы предпринимали меры по увеличению выпуска этой техники, что сказалось на планировании мотоциклетного производства (11429).</w:t>
      </w:r>
    </w:p>
    <w:p w14:paraId="419560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Таблица 10</w:t>
      </w:r>
    </w:p>
    <w:p w14:paraId="1A9A57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Серийный выпуск мотоциклов в СССР, 1930 г. - первое полугодие 1941 г., экз.</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94"/>
        <w:gridCol w:w="720"/>
        <w:gridCol w:w="720"/>
        <w:gridCol w:w="720"/>
        <w:gridCol w:w="720"/>
        <w:gridCol w:w="720"/>
        <w:gridCol w:w="720"/>
        <w:gridCol w:w="720"/>
        <w:gridCol w:w="710"/>
        <w:gridCol w:w="720"/>
        <w:gridCol w:w="720"/>
        <w:gridCol w:w="720"/>
        <w:gridCol w:w="720"/>
        <w:gridCol w:w="739"/>
      </w:tblGrid>
      <w:tr w:rsidR="00E371BA" w:rsidRPr="00507A31" w14:paraId="73BCF177" w14:textId="77777777">
        <w:trPr>
          <w:trHeight w:val="374"/>
        </w:trPr>
        <w:tc>
          <w:tcPr>
            <w:tcW w:w="1094" w:type="dxa"/>
            <w:tcBorders>
              <w:top w:val="single" w:sz="12" w:space="0" w:color="auto"/>
            </w:tcBorders>
          </w:tcPr>
          <w:p w14:paraId="2E1166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Модель</w:t>
            </w:r>
          </w:p>
          <w:p w14:paraId="6C931D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630" w:type="dxa"/>
            <w:gridSpan w:val="12"/>
            <w:tcBorders>
              <w:top w:val="single" w:sz="12" w:space="0" w:color="auto"/>
            </w:tcBorders>
          </w:tcPr>
          <w:p w14:paraId="62F179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Год</w:t>
            </w:r>
          </w:p>
          <w:p w14:paraId="64D5BF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Borders>
              <w:top w:val="single" w:sz="12" w:space="0" w:color="auto"/>
            </w:tcBorders>
          </w:tcPr>
          <w:p w14:paraId="772F19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w:t>
            </w:r>
          </w:p>
          <w:p w14:paraId="64ED03F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BEBE1A7" w14:textId="77777777">
        <w:trPr>
          <w:trHeight w:val="355"/>
        </w:trPr>
        <w:tc>
          <w:tcPr>
            <w:tcW w:w="1094" w:type="dxa"/>
          </w:tcPr>
          <w:p w14:paraId="328855EC" w14:textId="77777777" w:rsidR="00537E5F" w:rsidRPr="00507A31" w:rsidRDefault="00537E5F" w:rsidP="00507A31">
            <w:pPr>
              <w:autoSpaceDE w:val="0"/>
              <w:autoSpaceDN w:val="0"/>
              <w:adjustRightInd w:val="0"/>
              <w:jc w:val="both"/>
              <w:rPr>
                <w:color w:val="000000" w:themeColor="text1"/>
                <w:sz w:val="16"/>
                <w:szCs w:val="16"/>
              </w:rPr>
            </w:pPr>
          </w:p>
          <w:p w14:paraId="33550398" w14:textId="77777777" w:rsidR="00537E5F" w:rsidRPr="00507A31" w:rsidRDefault="00537E5F" w:rsidP="00507A31">
            <w:pPr>
              <w:autoSpaceDE w:val="0"/>
              <w:autoSpaceDN w:val="0"/>
              <w:adjustRightInd w:val="0"/>
              <w:jc w:val="both"/>
              <w:rPr>
                <w:color w:val="000000" w:themeColor="text1"/>
                <w:sz w:val="16"/>
                <w:szCs w:val="16"/>
              </w:rPr>
            </w:pPr>
          </w:p>
        </w:tc>
        <w:tc>
          <w:tcPr>
            <w:tcW w:w="1440" w:type="dxa"/>
            <w:gridSpan w:val="2"/>
          </w:tcPr>
          <w:p w14:paraId="5F77B5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1930 1931</w:t>
            </w:r>
          </w:p>
          <w:p w14:paraId="0E728D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BBAD5B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1932 </w:t>
            </w:r>
          </w:p>
          <w:p w14:paraId="29A4F4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8407B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1933</w:t>
            </w:r>
          </w:p>
          <w:p w14:paraId="1CC6B3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DDB6C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1934</w:t>
            </w:r>
          </w:p>
          <w:p w14:paraId="35CAE9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446BF7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1935</w:t>
            </w:r>
          </w:p>
        </w:tc>
        <w:tc>
          <w:tcPr>
            <w:tcW w:w="720" w:type="dxa"/>
          </w:tcPr>
          <w:p w14:paraId="7CFC8E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1936</w:t>
            </w:r>
          </w:p>
          <w:p w14:paraId="7FF028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B5899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Pr>
          <w:p w14:paraId="511058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1937</w:t>
            </w:r>
          </w:p>
          <w:p w14:paraId="7B205E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3DCD8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1938</w:t>
            </w:r>
          </w:p>
          <w:p w14:paraId="6A68D0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21784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1939</w:t>
            </w:r>
          </w:p>
          <w:p w14:paraId="6B412E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E9584F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1940</w:t>
            </w:r>
          </w:p>
          <w:p w14:paraId="091A9A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CAE7E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1941</w:t>
            </w:r>
          </w:p>
          <w:p w14:paraId="2D331A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Pr>
          <w:p w14:paraId="1C8E0F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0E352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5C8BCA2" w14:textId="77777777">
        <w:trPr>
          <w:trHeight w:val="384"/>
        </w:trPr>
        <w:tc>
          <w:tcPr>
            <w:tcW w:w="1094" w:type="dxa"/>
          </w:tcPr>
          <w:p w14:paraId="233CAE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Л-300</w:t>
            </w:r>
          </w:p>
          <w:p w14:paraId="69FCF8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8DF8D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233516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46BAA5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w:t>
            </w:r>
          </w:p>
          <w:p w14:paraId="016926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9F9EF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88</w:t>
            </w:r>
          </w:p>
          <w:p w14:paraId="446F9F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95419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w:t>
            </w:r>
          </w:p>
          <w:p w14:paraId="7A71A2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7477F4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w:t>
            </w:r>
          </w:p>
          <w:p w14:paraId="38E3AE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11BB61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w:t>
            </w:r>
          </w:p>
          <w:p w14:paraId="5C9F8C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6FE6BC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w:t>
            </w:r>
          </w:p>
          <w:p w14:paraId="01C9EC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Pr>
          <w:p w14:paraId="3A72D1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3597</w:t>
            </w:r>
          </w:p>
          <w:p w14:paraId="61CA97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4108D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4800</w:t>
            </w:r>
          </w:p>
          <w:p w14:paraId="7A1557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1FCFEA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4500</w:t>
            </w:r>
          </w:p>
          <w:p w14:paraId="065F16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8F109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_</w:t>
            </w:r>
          </w:p>
          <w:p w14:paraId="220530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C1580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FEF35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Pr>
          <w:p w14:paraId="36DD52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19060</w:t>
            </w:r>
          </w:p>
          <w:p w14:paraId="63B585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46A6106" w14:textId="77777777">
        <w:trPr>
          <w:trHeight w:val="518"/>
        </w:trPr>
        <w:tc>
          <w:tcPr>
            <w:tcW w:w="1094" w:type="dxa"/>
          </w:tcPr>
          <w:p w14:paraId="40F979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Л-8 ИЖ-7</w:t>
            </w:r>
          </w:p>
          <w:p w14:paraId="3DC57D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C615D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E50C6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1BE553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7B390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4EB790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33799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70474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40E912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4884F3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111</w:t>
            </w:r>
          </w:p>
          <w:p w14:paraId="2F79ED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739F5E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451</w:t>
            </w:r>
          </w:p>
          <w:p w14:paraId="43F0F3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DCBC4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2007</w:t>
            </w:r>
          </w:p>
          <w:p w14:paraId="5D4FEB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Pr>
          <w:p w14:paraId="5E1341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ЗОЮ</w:t>
            </w:r>
          </w:p>
          <w:p w14:paraId="23B23F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8436D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DBB8B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EE575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3D651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0018E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448</w:t>
            </w:r>
          </w:p>
          <w:p w14:paraId="66B9B1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7CD53C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862</w:t>
            </w:r>
          </w:p>
          <w:p w14:paraId="1B8D81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Pr>
          <w:p w14:paraId="1EB26A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1310 5589</w:t>
            </w:r>
          </w:p>
          <w:p w14:paraId="3DA23F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D6441F3" w14:textId="77777777">
        <w:trPr>
          <w:trHeight w:val="269"/>
        </w:trPr>
        <w:tc>
          <w:tcPr>
            <w:tcW w:w="1094" w:type="dxa"/>
          </w:tcPr>
          <w:p w14:paraId="5018E9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ИЖ-8</w:t>
            </w:r>
          </w:p>
          <w:p w14:paraId="66AFFD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88A75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2DD6E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43E743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A0C16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CCC64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8381F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C1770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A4595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A78FC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E71E4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25857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21F92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05522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D1112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Pr>
          <w:p w14:paraId="72F50E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E35F9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7C2E7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4020</w:t>
            </w:r>
          </w:p>
          <w:p w14:paraId="4B3AB5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64D7F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4317</w:t>
            </w:r>
          </w:p>
          <w:p w14:paraId="062686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F121A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1556</w:t>
            </w:r>
          </w:p>
          <w:p w14:paraId="44A167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7F16DB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B006B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Pr>
          <w:p w14:paraId="4A1D0A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9893</w:t>
            </w:r>
          </w:p>
          <w:p w14:paraId="5739BF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FA7DE0B" w14:textId="77777777">
        <w:trPr>
          <w:trHeight w:val="259"/>
        </w:trPr>
        <w:tc>
          <w:tcPr>
            <w:tcW w:w="1094" w:type="dxa"/>
          </w:tcPr>
          <w:p w14:paraId="6A42DF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ИЖ-9</w:t>
            </w:r>
          </w:p>
          <w:p w14:paraId="2280F0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4798EF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139DC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3CDD0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9CC62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0FC20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37C5D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6526C2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B0785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A8CBB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3FE57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F6158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487DD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B4EF8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F9D66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Pr>
          <w:p w14:paraId="54762F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50B66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16734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F647E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D52B1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863F1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D281F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833</w:t>
            </w:r>
          </w:p>
          <w:p w14:paraId="574A1E1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17055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5392</w:t>
            </w:r>
          </w:p>
          <w:p w14:paraId="5D9F55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Pr>
          <w:p w14:paraId="44B033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6225</w:t>
            </w:r>
          </w:p>
          <w:p w14:paraId="36B382A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8E10E31" w14:textId="77777777">
        <w:trPr>
          <w:trHeight w:val="259"/>
        </w:trPr>
        <w:tc>
          <w:tcPr>
            <w:tcW w:w="1094" w:type="dxa"/>
          </w:tcPr>
          <w:p w14:paraId="05FE07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ИЖ-12</w:t>
            </w:r>
          </w:p>
          <w:p w14:paraId="7D6989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4C07C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77556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6B75EDB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62DEC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4ACAAB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C1E70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16D18F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0730C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8B59B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A175C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7D4600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181F4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717C5C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AFA78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Pr>
          <w:p w14:paraId="05E942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0AB44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5720F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3C0A4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070EC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71C6B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184BE0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31F25A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990C7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47</w:t>
            </w:r>
          </w:p>
          <w:p w14:paraId="022F34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Pr>
          <w:p w14:paraId="680C42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49</w:t>
            </w:r>
          </w:p>
          <w:p w14:paraId="3950B94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62A8B5C" w14:textId="77777777">
        <w:trPr>
          <w:trHeight w:val="528"/>
        </w:trPr>
        <w:tc>
          <w:tcPr>
            <w:tcW w:w="1094" w:type="dxa"/>
          </w:tcPr>
          <w:p w14:paraId="1CEA64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«Стрела»</w:t>
            </w:r>
          </w:p>
          <w:p w14:paraId="671DDE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МЛ-3</w:t>
            </w:r>
          </w:p>
          <w:p w14:paraId="7FEC20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0A95F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CCFAC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662236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998AC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12309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82EA2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700D75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F6900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A351E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2D9BA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65E725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F850C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E3CC3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110</w:t>
            </w:r>
          </w:p>
          <w:p w14:paraId="5C2C44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Pr>
          <w:p w14:paraId="29519A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246</w:t>
            </w:r>
          </w:p>
          <w:p w14:paraId="3A9FE0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272D3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2A343D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1287C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93CC6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B9A65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w:t>
            </w:r>
          </w:p>
          <w:p w14:paraId="5D3565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648A66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48</w:t>
            </w:r>
          </w:p>
          <w:p w14:paraId="2C97A9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Pr>
          <w:p w14:paraId="515664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356 168</w:t>
            </w:r>
          </w:p>
          <w:p w14:paraId="7A6094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CF5F8A7" w14:textId="77777777">
        <w:trPr>
          <w:trHeight w:val="259"/>
        </w:trPr>
        <w:tc>
          <w:tcPr>
            <w:tcW w:w="1094" w:type="dxa"/>
          </w:tcPr>
          <w:p w14:paraId="093135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МПЗ-А-750</w:t>
            </w:r>
          </w:p>
          <w:p w14:paraId="3FD095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400126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73F32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1E6E3D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635BD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6B1F7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0478E2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C970D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39F21F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18A38ED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5AC9B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9E8FB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w:t>
            </w:r>
          </w:p>
          <w:p w14:paraId="5A0049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81AF7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1005</w:t>
            </w:r>
          </w:p>
          <w:p w14:paraId="1D9EDA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Pr>
          <w:p w14:paraId="722162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1259</w:t>
            </w:r>
          </w:p>
          <w:p w14:paraId="05C5C5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F47AC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2180</w:t>
            </w:r>
          </w:p>
          <w:p w14:paraId="4BC2F6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440" w:type="dxa"/>
            <w:gridSpan w:val="2"/>
          </w:tcPr>
          <w:p w14:paraId="118652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182</w:t>
            </w:r>
          </w:p>
          <w:p w14:paraId="6905E8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2B570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5A633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Pr>
          <w:p w14:paraId="7422E5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4636</w:t>
            </w:r>
          </w:p>
          <w:p w14:paraId="79C6DC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612FA05" w14:textId="77777777">
        <w:trPr>
          <w:trHeight w:val="259"/>
        </w:trPr>
        <w:tc>
          <w:tcPr>
            <w:tcW w:w="1814" w:type="dxa"/>
            <w:gridSpan w:val="2"/>
          </w:tcPr>
          <w:p w14:paraId="635115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АМ-600</w:t>
            </w:r>
          </w:p>
          <w:p w14:paraId="38B5B2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D9622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3B734C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671EA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6B2AE5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67A508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414D2E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48F517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D9A6F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8BE67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521</w:t>
            </w:r>
          </w:p>
          <w:p w14:paraId="2BA2F2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52FD7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w:t>
            </w:r>
          </w:p>
          <w:p w14:paraId="37643D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Pr>
          <w:p w14:paraId="1BA6B9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1545</w:t>
            </w:r>
          </w:p>
          <w:p w14:paraId="662573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45C81A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1530</w:t>
            </w:r>
          </w:p>
          <w:p w14:paraId="28B5CD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61978E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w:t>
            </w:r>
          </w:p>
          <w:p w14:paraId="0E5574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7F603E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2826</w:t>
            </w:r>
          </w:p>
          <w:p w14:paraId="2A4605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B5584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2970</w:t>
            </w:r>
          </w:p>
          <w:p w14:paraId="7ACD33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Pr>
          <w:p w14:paraId="2D4480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12392</w:t>
            </w:r>
          </w:p>
          <w:p w14:paraId="37FC534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1D972FF" w14:textId="77777777">
        <w:trPr>
          <w:trHeight w:val="278"/>
        </w:trPr>
        <w:tc>
          <w:tcPr>
            <w:tcW w:w="1094" w:type="dxa"/>
          </w:tcPr>
          <w:p w14:paraId="010E73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Л-600</w:t>
            </w:r>
          </w:p>
          <w:p w14:paraId="225E91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0EEA51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E3F55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5EB679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9531A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43401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A32CE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A2DC7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195367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FA591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7DC7E5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78CC6F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w:t>
            </w:r>
          </w:p>
          <w:p w14:paraId="55EB74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44E24E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8F4620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Pr>
          <w:p w14:paraId="1260D8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85A63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2E9D54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117</w:t>
            </w:r>
          </w:p>
          <w:p w14:paraId="64D0E6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3D3763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w:t>
            </w:r>
          </w:p>
          <w:p w14:paraId="10EDD3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0ED757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64585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Pr>
          <w:p w14:paraId="642CAB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0B572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Pr>
          <w:p w14:paraId="6BFF59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192</w:t>
            </w:r>
          </w:p>
          <w:p w14:paraId="3E0B48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E99F5CC" w14:textId="77777777">
        <w:trPr>
          <w:trHeight w:val="432"/>
        </w:trPr>
        <w:tc>
          <w:tcPr>
            <w:tcW w:w="1094" w:type="dxa"/>
            <w:tcBorders>
              <w:bottom w:val="single" w:sz="12" w:space="0" w:color="auto"/>
            </w:tcBorders>
          </w:tcPr>
          <w:p w14:paraId="1E1D75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Всего</w:t>
            </w:r>
          </w:p>
          <w:p w14:paraId="6B4113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440" w:type="dxa"/>
            <w:gridSpan w:val="2"/>
            <w:tcBorders>
              <w:bottom w:val="single" w:sz="12" w:space="0" w:color="auto"/>
            </w:tcBorders>
          </w:tcPr>
          <w:p w14:paraId="3AA48D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15 60</w:t>
            </w:r>
          </w:p>
          <w:p w14:paraId="55CED3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7A9910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88</w:t>
            </w:r>
          </w:p>
          <w:p w14:paraId="5D25FE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15A754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510</w:t>
            </w:r>
          </w:p>
          <w:p w14:paraId="4F6D8A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1440" w:type="dxa"/>
            <w:gridSpan w:val="2"/>
            <w:tcBorders>
              <w:bottom w:val="single" w:sz="12" w:space="0" w:color="auto"/>
            </w:tcBorders>
          </w:tcPr>
          <w:p w14:paraId="387963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1112 1 2981</w:t>
            </w:r>
          </w:p>
          <w:p w14:paraId="23E629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4FD0F6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7122</w:t>
            </w:r>
          </w:p>
          <w:p w14:paraId="1E9B97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10" w:type="dxa"/>
            <w:tcBorders>
              <w:bottom w:val="single" w:sz="12" w:space="0" w:color="auto"/>
            </w:tcBorders>
          </w:tcPr>
          <w:p w14:paraId="52114A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9657</w:t>
            </w:r>
          </w:p>
          <w:p w14:paraId="7C5FE6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061C6B3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12647</w:t>
            </w:r>
          </w:p>
          <w:p w14:paraId="0B4AF0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54E739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10574</w:t>
            </w:r>
          </w:p>
          <w:p w14:paraId="45A222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780320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5785</w:t>
            </w:r>
          </w:p>
          <w:p w14:paraId="2AF36B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576CF05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9319</w:t>
            </w:r>
          </w:p>
          <w:p w14:paraId="094C24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9" w:type="dxa"/>
            <w:tcBorders>
              <w:bottom w:val="single" w:sz="12" w:space="0" w:color="auto"/>
            </w:tcBorders>
          </w:tcPr>
          <w:p w14:paraId="491B4A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59870</w:t>
            </w:r>
          </w:p>
          <w:p w14:paraId="371012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737782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(11429).</w:t>
      </w:r>
    </w:p>
    <w:p w14:paraId="4ACEB317" w14:textId="77777777" w:rsidR="00537E5F" w:rsidRPr="00507A31" w:rsidRDefault="00537E5F" w:rsidP="00507A31">
      <w:pPr>
        <w:autoSpaceDE w:val="0"/>
        <w:autoSpaceDN w:val="0"/>
        <w:adjustRightInd w:val="0"/>
        <w:jc w:val="both"/>
        <w:rPr>
          <w:color w:val="000000" w:themeColor="text1"/>
          <w:sz w:val="16"/>
          <w:szCs w:val="16"/>
        </w:rPr>
      </w:pPr>
    </w:p>
    <w:p w14:paraId="76B961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в составе Ярославского резино-асбестового комбината (ЯРАК) начато строительство подошвенного завода (Ярославский подошвенный завод ЯРАК, Ярославский завод резиновых технических изделий (ЯЗРТИ), АООТ, ОАО «ЯЗРТИ» /150003  г. Ярославль ул. Советская, 81А тел. (4852) 58-43-02/), 16.09.1932 г. завод вступил в строй (первый из группы резинообрабатывающих заводов комбината), 19.09.1932 г. изготовлены первые подошвы. Являлся крупнейшим подошвенным заводом, был оснащен импортным оборудованием. Проектная мощность завода - 75 млн. пар подошв в год. Перед войной изготавливал подошвы, резиновые кольца для железнодорожных тормозов, пожарных рукавов, муфты, кольца асбоцементных труб, всего 97 наименований продукции.</w:t>
      </w:r>
    </w:p>
    <w:p w14:paraId="40E15E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начала войны перешел на выпуск резиновых изделий и средств противохимической защиты. Затем, вероятно, был эвакуирован. 24.02.1942 г. вышло постановление ГКО № 1348 о частичном восстановлении производства на Ярославском подошвенном заводе.</w:t>
      </w:r>
    </w:p>
    <w:p w14:paraId="20E034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войны возобновлен выпуск продукции для автотракторной промышленности, железнодорожного транспорта, сельского хозяйства.</w:t>
      </w:r>
    </w:p>
    <w:p w14:paraId="5442D2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29.11.1945 г. переименован в ЯЗРТИ. В конце 1948 г. в состав ЯЗРТИ включен в качестве цеха регенераторный завод. В 1950-е  г. построен новый корпус - цех № 3, через несколько лет - участок обработки РТИ. После войны было освоено 3200 наименований формовых изделий. Завод первым в стране освоил производство синтетического каучука. Специалисты завода принимали участие в строительстве заводов в Балаково и Саранске. В 1961 г. в состав завода вошел на правах цеха завод резиновых изделий № 3, который был реконструирован и оснащен новым оборудованием. Введен в строй цех № 2. В 1970-74 г. проведена очередная реконструкция завода, закуплено 78 единиц оборудования, в т.ч. прессы ВП-09109. Ежегодно на заводе разрабатывалось и внедрялось в производство около 700 видов изделий. Была разработана рецептура резины и освоен выпуск манжет для железнодорожных тормозов. Выпускались специальные резины, применявшиеся при строительстве Братской ГЭС, Останкинской телебашни, Дворца съездов. Впервые в стране разработан и освоен выпуск резиновых оконцевателей для разделки электрических кабелей.</w:t>
      </w:r>
    </w:p>
    <w:p w14:paraId="2288B32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1975 г. было принято решение о переносе мощностей ЯЗРТИ на завод «Ярославрезинотехника», но это не было выполнено. В 1990-е  г. часть производств была сокращена, закрыты цехи № 1, 3, 5, химзащиты. Перестали поступать заказы от МО. В 2000 г. начата оптимизация производства, в 2003 г. приобретено новое оборудование, установлено несколько десятков прессов для изготовления деталей для ГАЗа и ЗМЗ.</w:t>
      </w:r>
    </w:p>
    <w:p w14:paraId="714D80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14.04.1993 г. завод преобразован в АООТ «ЯЗРТИ», 27.06.1996 г. - в ОАО.</w:t>
      </w:r>
    </w:p>
    <w:p w14:paraId="455094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1.02.2007 г. образован филиал предприятия - «Обособленное подразделение-склад».</w:t>
      </w:r>
    </w:p>
    <w:p w14:paraId="3F5EA5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(1932 г.)- 892 чел., (1970-е)- 4324 чел., (2008 г.)-1510 чел.</w:t>
      </w:r>
    </w:p>
    <w:p w14:paraId="2D0500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Гендиректор (2004-07 г.)- С.В. Даленко, (1.08.2007-08 г.)-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C</w:t>
      </w:r>
      <w:r w:rsidRPr="00507A31">
        <w:rPr>
          <w:color w:val="000000" w:themeColor="text1"/>
          <w:sz w:val="16"/>
          <w:szCs w:val="16"/>
        </w:rPr>
        <w:t>. Воскобойник; и.о. (08.2008 г.)- М.А. Шабанов.</w:t>
      </w:r>
    </w:p>
    <w:p w14:paraId="33E6C3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1-й зам. гендиректора (2004 г.)-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C</w:t>
      </w:r>
      <w:r w:rsidRPr="00507A31">
        <w:rPr>
          <w:color w:val="000000" w:themeColor="text1"/>
          <w:sz w:val="16"/>
          <w:szCs w:val="16"/>
        </w:rPr>
        <w:t>. Воскобойник.</w:t>
      </w:r>
    </w:p>
    <w:p w14:paraId="36D7BD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Директор: коммерческий (2004-07 г.)- </w:t>
      </w:r>
      <w:r w:rsidRPr="00507A31">
        <w:rPr>
          <w:color w:val="000000" w:themeColor="text1"/>
          <w:sz w:val="16"/>
          <w:szCs w:val="16"/>
          <w:lang w:val="en-US"/>
        </w:rPr>
        <w:t>B</w:t>
      </w:r>
      <w:r w:rsidRPr="00507A31">
        <w:rPr>
          <w:color w:val="000000" w:themeColor="text1"/>
          <w:sz w:val="16"/>
          <w:szCs w:val="16"/>
        </w:rPr>
        <w:t>.</w:t>
      </w:r>
      <w:r w:rsidRPr="00507A31">
        <w:rPr>
          <w:color w:val="000000" w:themeColor="text1"/>
          <w:sz w:val="16"/>
          <w:szCs w:val="16"/>
          <w:lang w:val="en-US"/>
        </w:rPr>
        <w:t>C</w:t>
      </w:r>
      <w:r w:rsidRPr="00507A31">
        <w:rPr>
          <w:color w:val="000000" w:themeColor="text1"/>
          <w:sz w:val="16"/>
          <w:szCs w:val="16"/>
        </w:rPr>
        <w:t>. Воскобойник, (2008 г.)- М.А. Шабанов; технический (2003-04 г.)- А.Н. Королев; по общим вопросам (2001-05 г.)- В.М. Поповский; по оперативным вопросам</w:t>
      </w:r>
    </w:p>
    <w:p w14:paraId="0D86DC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(2005-08 г.-)- В.М. Поповский.</w:t>
      </w:r>
    </w:p>
    <w:p w14:paraId="09D1F2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(2008 г.)- В.А. Суслов.</w:t>
      </w:r>
    </w:p>
    <w:p w14:paraId="56466C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технолог (2008 г.)- Е.М. Петина.</w:t>
      </w:r>
    </w:p>
    <w:p w14:paraId="66C3AE8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отделов: ПАО (2007-08 г.-&gt; К.В. Посеряев; МТС (2008 г.)- Л.Н. Пазич; сбыта (2008 г.)- А.И. Воинов; ОТК (2008 г.)- П.Е. Барашков (11982).</w:t>
      </w:r>
    </w:p>
    <w:p w14:paraId="7C0BDCD7" w14:textId="77777777" w:rsidR="00537E5F" w:rsidRPr="00507A31" w:rsidRDefault="00537E5F" w:rsidP="00507A31">
      <w:pPr>
        <w:autoSpaceDE w:val="0"/>
        <w:autoSpaceDN w:val="0"/>
        <w:adjustRightInd w:val="0"/>
        <w:jc w:val="both"/>
        <w:rPr>
          <w:color w:val="000000" w:themeColor="text1"/>
          <w:sz w:val="16"/>
          <w:szCs w:val="16"/>
        </w:rPr>
      </w:pPr>
    </w:p>
    <w:p w14:paraId="6E2415D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в Военно-химический трест (Вохимтрест) входили (9120):</w:t>
      </w:r>
    </w:p>
    <w:p w14:paraId="7966F5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Пороховая группа</w:t>
      </w:r>
    </w:p>
    <w:p w14:paraId="7DE44C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40 им. Ленина (9121б 9122)</w:t>
      </w:r>
    </w:p>
    <w:p w14:paraId="3A63E5B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Казань, п/я 101 (8819)</w:t>
      </w:r>
    </w:p>
    <w:p w14:paraId="257148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Косякова (9123)</w:t>
      </w:r>
    </w:p>
    <w:p w14:paraId="05EC6D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Рошаль Московской губернии</w:t>
      </w:r>
    </w:p>
    <w:p w14:paraId="5A40FD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«Красный боевик» № 25 (9124)</w:t>
      </w:r>
    </w:p>
    <w:p w14:paraId="0A4715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Тамбов</w:t>
      </w:r>
    </w:p>
    <w:p w14:paraId="641137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9, п/я 9 (9125, 9126)</w:t>
      </w:r>
    </w:p>
    <w:p w14:paraId="03874B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Шостка, Украина</w:t>
      </w:r>
    </w:p>
    <w:p w14:paraId="7857FD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Шостинский завод № 53 НКТП (1933 год) (8820)</w:t>
      </w:r>
    </w:p>
    <w:p w14:paraId="62B382B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Шостинский завод № 53 НКТП</w:t>
      </w:r>
    </w:p>
    <w:p w14:paraId="1BABA35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УССР, Черниговская область, Шостка, ул. Раковского (1935 год – Шостка, пос. Куйбышева) (9136)</w:t>
      </w:r>
    </w:p>
    <w:p w14:paraId="22A625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Ввод в эксплуатацию: 1906 год (8829)</w:t>
      </w:r>
    </w:p>
    <w:p w14:paraId="5AEC66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Ульяновский завод</w:t>
      </w:r>
    </w:p>
    <w:p w14:paraId="3A28A0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Ленинград (ст. Саблино)</w:t>
      </w:r>
    </w:p>
    <w:p w14:paraId="43AB9C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Ульяновский завод № 52 НКТП</w:t>
      </w:r>
    </w:p>
    <w:p w14:paraId="29AC11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Ульяновка, Ленинград (9127)</w:t>
      </w:r>
    </w:p>
    <w:p w14:paraId="4929882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Ульяновский завод № 52 НКТП</w:t>
      </w:r>
    </w:p>
    <w:p w14:paraId="595993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Ульяновка, Ленинградская область, п/я 2 (8828)</w:t>
      </w:r>
    </w:p>
    <w:p w14:paraId="5C7B1E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Морозова № 6 (9128)</w:t>
      </w:r>
    </w:p>
    <w:p w14:paraId="7A57F3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Шлиссельбург</w:t>
      </w:r>
    </w:p>
    <w:p w14:paraId="1B1A265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Пермский комбинат (проектируется)</w:t>
      </w:r>
    </w:p>
    <w:p w14:paraId="553D11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Взрывчатая группа</w:t>
      </w:r>
    </w:p>
    <w:p w14:paraId="22D708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15</w:t>
      </w:r>
    </w:p>
    <w:p w14:paraId="2E5D56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Чапаевск</w:t>
      </w:r>
    </w:p>
    <w:p w14:paraId="4DD432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Самарский завод № 15 (Место: Чапаевск, п/я 15) – 1933 год (2129, 2130, 8821)</w:t>
      </w:r>
    </w:p>
    <w:p w14:paraId="6093BD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80 им. Свердлова, п/я 5 (д. 329, 356)</w:t>
      </w:r>
    </w:p>
    <w:p w14:paraId="1ED3393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Дзержинск Нижегородской губернии (8822)</w:t>
      </w:r>
    </w:p>
    <w:p w14:paraId="284632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11</w:t>
      </w:r>
    </w:p>
    <w:p w14:paraId="28166F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Сергиево Московской губернии (1930 год), Загорск Московской области (1933 год), п/я 3 (8822)</w:t>
      </w:r>
    </w:p>
    <w:p w14:paraId="7FCDF8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Завод № 5 «Краснознаменец» (9131)</w:t>
      </w:r>
    </w:p>
    <w:p w14:paraId="1BC52AD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Ленинград, 43, п/я 1 (8823)</w:t>
      </w:r>
    </w:p>
    <w:p w14:paraId="760855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12</w:t>
      </w:r>
    </w:p>
    <w:p w14:paraId="38C473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Богородск Московской губернии (1930 год), Ногинский завод № 12 – ст. Электросталь (1933 год) (9132)</w:t>
      </w:r>
    </w:p>
    <w:p w14:paraId="639A6B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 (строится)</w:t>
      </w:r>
    </w:p>
    <w:p w14:paraId="3614BE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Павлоград</w:t>
      </w:r>
    </w:p>
    <w:p w14:paraId="54DC07F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55, п/я 28 (9133, 8824, 9120).</w:t>
      </w:r>
    </w:p>
    <w:p w14:paraId="182976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ЦНИЛ ВОХИМТРЕСТА</w:t>
      </w:r>
    </w:p>
    <w:p w14:paraId="09A77D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Ленинград, Ржевка, п/я 3 (9134)</w:t>
      </w:r>
    </w:p>
    <w:p w14:paraId="797655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Петровского (1930 гд)</w:t>
      </w:r>
    </w:p>
    <w:p w14:paraId="4BAFD68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59 им. Петровского (1933 год) (9135)</w:t>
      </w:r>
    </w:p>
    <w:p w14:paraId="33C4DD4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среди заводов Орудтреста были (9120)</w:t>
      </w:r>
    </w:p>
    <w:p w14:paraId="226961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Орудийная группа</w:t>
      </w:r>
    </w:p>
    <w:p w14:paraId="3FD614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«Большевик»</w:t>
      </w:r>
    </w:p>
    <w:p w14:paraId="12E5F1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Ленинград</w:t>
      </w:r>
    </w:p>
    <w:p w14:paraId="1A68ABA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8 им. Калинина</w:t>
      </w:r>
    </w:p>
    <w:p w14:paraId="3C8D70E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Мытищи Московской губернии</w:t>
      </w:r>
    </w:p>
    <w:p w14:paraId="1931C6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Мотовилихинский машиностроительный завод</w:t>
      </w:r>
    </w:p>
    <w:p w14:paraId="2585FE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Мотовилиха Пермского округа</w:t>
      </w:r>
    </w:p>
    <w:p w14:paraId="206E97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«Баррикады»</w:t>
      </w:r>
    </w:p>
    <w:p w14:paraId="4DAE3EA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Сталинград</w:t>
      </w:r>
    </w:p>
    <w:p w14:paraId="30A59D6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Арсенальная группа</w:t>
      </w:r>
    </w:p>
    <w:p w14:paraId="5C9436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13</w:t>
      </w:r>
    </w:p>
    <w:p w14:paraId="3CE8D0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Брянск</w:t>
      </w:r>
    </w:p>
    <w:p w14:paraId="4A8FEB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Киевский Краснознаменный завод</w:t>
      </w:r>
    </w:p>
    <w:p w14:paraId="0E5A4A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7</w:t>
      </w:r>
    </w:p>
    <w:p w14:paraId="38E6DA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Ленинград</w:t>
      </w:r>
    </w:p>
    <w:p w14:paraId="0B580C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«Мастяжарт»</w:t>
      </w:r>
    </w:p>
    <w:p w14:paraId="4BDFB6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аэробомб, противогазов и пр.</w:t>
      </w:r>
    </w:p>
    <w:p w14:paraId="6067A2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Москва (9120)</w:t>
      </w:r>
    </w:p>
    <w:p w14:paraId="02DDC6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среди заводов треста РУЖ были (9120)</w:t>
      </w:r>
    </w:p>
    <w:p w14:paraId="11078F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Тульский оружейный завод № 1</w:t>
      </w:r>
    </w:p>
    <w:p w14:paraId="6A1F9A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Ижевский оружейный завод</w:t>
      </w:r>
    </w:p>
    <w:p w14:paraId="597A934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Ижевский сталелитейный завод</w:t>
      </w:r>
    </w:p>
    <w:p w14:paraId="4E7117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Сестрорецкий завод им. Воскова</w:t>
      </w:r>
    </w:p>
    <w:p w14:paraId="63A854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Инструментальный завод № 2 (пулеметный)</w:t>
      </w:r>
    </w:p>
    <w:p w14:paraId="4BB7C3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Ковров</w:t>
      </w:r>
    </w:p>
    <w:p w14:paraId="63D3ED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«Красногвардеец»</w:t>
      </w:r>
    </w:p>
    <w:p w14:paraId="5439E6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Хирургический инструмент</w:t>
      </w:r>
    </w:p>
    <w:p w14:paraId="4C50D5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Ленинград (9120).</w:t>
      </w:r>
    </w:p>
    <w:p w14:paraId="540EE568" w14:textId="77777777" w:rsidR="00537E5F" w:rsidRPr="00507A31" w:rsidRDefault="00537E5F" w:rsidP="00507A31">
      <w:pPr>
        <w:autoSpaceDE w:val="0"/>
        <w:autoSpaceDN w:val="0"/>
        <w:adjustRightInd w:val="0"/>
        <w:jc w:val="both"/>
        <w:rPr>
          <w:color w:val="000000" w:themeColor="text1"/>
          <w:sz w:val="16"/>
          <w:szCs w:val="16"/>
        </w:rPr>
      </w:pPr>
    </w:p>
    <w:p w14:paraId="5A839A4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среди заводов Патрубтреста были (9120):</w:t>
      </w:r>
    </w:p>
    <w:p w14:paraId="05C170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Патронная группа</w:t>
      </w:r>
    </w:p>
    <w:p w14:paraId="6902E4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10</w:t>
      </w:r>
    </w:p>
    <w:p w14:paraId="2EF1F5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Тула</w:t>
      </w:r>
    </w:p>
    <w:p w14:paraId="1362E7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 им. Володарского</w:t>
      </w:r>
    </w:p>
    <w:p w14:paraId="544A35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Ульяновск</w:t>
      </w:r>
    </w:p>
    <w:p w14:paraId="3DE61AA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17</w:t>
      </w:r>
    </w:p>
    <w:p w14:paraId="3F9900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Подольск</w:t>
      </w:r>
    </w:p>
    <w:p w14:paraId="6BC7A3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60</w:t>
      </w:r>
    </w:p>
    <w:p w14:paraId="64DC45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Луганск</w:t>
      </w:r>
    </w:p>
    <w:p w14:paraId="71728B9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Московский дроболитейный завод</w:t>
      </w:r>
    </w:p>
    <w:p w14:paraId="526287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Трубочная группа</w:t>
      </w:r>
    </w:p>
    <w:p w14:paraId="28EADF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w:t>
      </w:r>
    </w:p>
    <w:p w14:paraId="557B5F1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Ленинград</w:t>
      </w:r>
    </w:p>
    <w:p w14:paraId="78FBFB1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42 им. Масленникова</w:t>
      </w:r>
    </w:p>
    <w:p w14:paraId="75DCF7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Самара</w:t>
      </w:r>
    </w:p>
    <w:p w14:paraId="38FE891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Велозавод (№ 50)</w:t>
      </w:r>
    </w:p>
    <w:p w14:paraId="17DCEE7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Место: Пенза</w:t>
      </w:r>
    </w:p>
    <w:p w14:paraId="11B572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на базе акционерного общества «Текстильмашина» был организован трест под наименованием «Текстильмаштрест» объединения «Союзсредмашина», который в последующем был реорганизован в самостоятельное объединение «Союзтекстильмашина». В 1935 году на базе объединения «Союзтекстильмашина» было создано гл. управление по производству оборудования для легкой промышленности под наименованием «Главлегмаш», а в 1939 году оно было разделено на 2 самостоятельных гл. управления – «Главтекстильлегмаш» по производству оборудования для текстильной промышленности и «Главлегмаш» по производству оборудования для легкой промышленности. Причем эти гл. управления входили в состав одного НК общего машиностроения.</w:t>
      </w:r>
    </w:p>
    <w:p w14:paraId="78FB0F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1942 году на базе указанных управлений было организовано 1-е гл. управление НКМВ. В 1946 году на базе 1-го гл. управления НКМВ организовано гл. управление по производству оборудования для текстильной и легкой промышленности «Главтекстильлегмаш» с вхождением его в систему Министерства машиностроения и приборостроения. В марте 1953 года - «Главлегмаш» Министерства машиностроения. С апреля 1954 года – Главлегмаш Министерства машиностроения и приборостроения.. С января 1956 года – Главлегмаш Министерства машиностроения (9147).</w:t>
      </w:r>
    </w:p>
    <w:p w14:paraId="52890ED8" w14:textId="77777777" w:rsidR="00537E5F" w:rsidRPr="00507A31" w:rsidRDefault="00537E5F" w:rsidP="00507A31">
      <w:pPr>
        <w:autoSpaceDE w:val="0"/>
        <w:autoSpaceDN w:val="0"/>
        <w:adjustRightInd w:val="0"/>
        <w:jc w:val="both"/>
        <w:rPr>
          <w:color w:val="000000" w:themeColor="text1"/>
          <w:sz w:val="16"/>
          <w:szCs w:val="16"/>
        </w:rPr>
      </w:pPr>
    </w:p>
    <w:p w14:paraId="6F0B46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были подготовлены:</w:t>
      </w:r>
    </w:p>
    <w:p w14:paraId="1EA88B4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Списки военных заводов, входящих в объединение трестов ГВПУ (А2052)</w:t>
      </w:r>
    </w:p>
    <w:p w14:paraId="42F4FE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Главное военно-промышленное управление (ГВПУ) ВСНХ СССР</w:t>
      </w:r>
    </w:p>
    <w:p w14:paraId="4BE6E6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1929-1930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E371BA" w:rsidRPr="00507A31" w14:paraId="0A934882" w14:textId="77777777">
        <w:tc>
          <w:tcPr>
            <w:tcW w:w="2518" w:type="dxa"/>
          </w:tcPr>
          <w:p w14:paraId="7429B9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Наименование завода</w:t>
            </w:r>
          </w:p>
        </w:tc>
        <w:tc>
          <w:tcPr>
            <w:tcW w:w="2552" w:type="dxa"/>
          </w:tcPr>
          <w:p w14:paraId="7FADF5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военной продукции</w:t>
            </w:r>
          </w:p>
        </w:tc>
        <w:tc>
          <w:tcPr>
            <w:tcW w:w="2551" w:type="dxa"/>
          </w:tcPr>
          <w:p w14:paraId="4FBF7D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мирной продукции</w:t>
            </w:r>
          </w:p>
        </w:tc>
        <w:tc>
          <w:tcPr>
            <w:tcW w:w="2835" w:type="dxa"/>
          </w:tcPr>
          <w:p w14:paraId="0034F47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Адрес</w:t>
            </w:r>
          </w:p>
        </w:tc>
      </w:tr>
      <w:tr w:rsidR="00E371BA" w:rsidRPr="00507A31" w14:paraId="00254FEF" w14:textId="77777777">
        <w:tc>
          <w:tcPr>
            <w:tcW w:w="2518" w:type="dxa"/>
          </w:tcPr>
          <w:p w14:paraId="4F515D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Химический завод № 1</w:t>
            </w:r>
          </w:p>
        </w:tc>
        <w:tc>
          <w:tcPr>
            <w:tcW w:w="2552" w:type="dxa"/>
          </w:tcPr>
          <w:p w14:paraId="7F7ACBCC" w14:textId="77777777" w:rsidR="00537E5F" w:rsidRPr="00507A31" w:rsidRDefault="00537E5F" w:rsidP="00507A31">
            <w:pPr>
              <w:autoSpaceDE w:val="0"/>
              <w:autoSpaceDN w:val="0"/>
              <w:adjustRightInd w:val="0"/>
              <w:jc w:val="both"/>
              <w:rPr>
                <w:color w:val="000000" w:themeColor="text1"/>
                <w:sz w:val="16"/>
                <w:szCs w:val="16"/>
              </w:rPr>
            </w:pPr>
          </w:p>
        </w:tc>
        <w:tc>
          <w:tcPr>
            <w:tcW w:w="2551" w:type="dxa"/>
          </w:tcPr>
          <w:p w14:paraId="24E94985"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24B649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п/я 702</w:t>
            </w:r>
          </w:p>
        </w:tc>
      </w:tr>
      <w:tr w:rsidR="00E371BA" w:rsidRPr="00507A31" w14:paraId="0AB17422" w14:textId="77777777">
        <w:tc>
          <w:tcPr>
            <w:tcW w:w="2518" w:type="dxa"/>
          </w:tcPr>
          <w:p w14:paraId="327826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Химический завод № 2</w:t>
            </w:r>
          </w:p>
        </w:tc>
        <w:tc>
          <w:tcPr>
            <w:tcW w:w="2552" w:type="dxa"/>
          </w:tcPr>
          <w:p w14:paraId="467BB2D7" w14:textId="77777777" w:rsidR="00537E5F" w:rsidRPr="00507A31" w:rsidRDefault="00537E5F" w:rsidP="00507A31">
            <w:pPr>
              <w:autoSpaceDE w:val="0"/>
              <w:autoSpaceDN w:val="0"/>
              <w:adjustRightInd w:val="0"/>
              <w:jc w:val="both"/>
              <w:rPr>
                <w:color w:val="000000" w:themeColor="text1"/>
                <w:sz w:val="16"/>
                <w:szCs w:val="16"/>
              </w:rPr>
            </w:pPr>
          </w:p>
        </w:tc>
        <w:tc>
          <w:tcPr>
            <w:tcW w:w="2551" w:type="dxa"/>
          </w:tcPr>
          <w:p w14:paraId="1288B38E"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215D131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Троицк Самарской губернии, п\я 2</w:t>
            </w:r>
          </w:p>
        </w:tc>
      </w:tr>
    </w:tbl>
    <w:p w14:paraId="54C0E0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Патрубтрест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E371BA" w:rsidRPr="00507A31" w14:paraId="137CBE7D" w14:textId="77777777">
        <w:tc>
          <w:tcPr>
            <w:tcW w:w="2518" w:type="dxa"/>
          </w:tcPr>
          <w:p w14:paraId="0675E3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Тульский патронный завод</w:t>
            </w:r>
          </w:p>
          <w:p w14:paraId="73B666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Ильин Ф.В.</w:t>
            </w:r>
          </w:p>
        </w:tc>
        <w:tc>
          <w:tcPr>
            <w:tcW w:w="2552" w:type="dxa"/>
          </w:tcPr>
          <w:p w14:paraId="3787F19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Винтовки, ревпатроны, пушечные гильзы, патронная латунь, мельхиор</w:t>
            </w:r>
          </w:p>
        </w:tc>
        <w:tc>
          <w:tcPr>
            <w:tcW w:w="2551" w:type="dxa"/>
          </w:tcPr>
          <w:p w14:paraId="754B9EF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Малокалиберные патроны, примуса, самовары и пр.</w:t>
            </w:r>
          </w:p>
        </w:tc>
        <w:tc>
          <w:tcPr>
            <w:tcW w:w="2835" w:type="dxa"/>
          </w:tcPr>
          <w:p w14:paraId="711D7E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Тула, п/я 37</w:t>
            </w:r>
          </w:p>
        </w:tc>
      </w:tr>
      <w:tr w:rsidR="00E371BA" w:rsidRPr="00507A31" w14:paraId="515324E9" w14:textId="77777777">
        <w:tc>
          <w:tcPr>
            <w:tcW w:w="2518" w:type="dxa"/>
          </w:tcPr>
          <w:p w14:paraId="33A476A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3 им. Володарского</w:t>
            </w:r>
          </w:p>
          <w:p w14:paraId="4769F7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Меняйло М.Л,</w:t>
            </w:r>
          </w:p>
        </w:tc>
        <w:tc>
          <w:tcPr>
            <w:tcW w:w="2552" w:type="dxa"/>
          </w:tcPr>
          <w:p w14:paraId="4736D7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Винтпатроны и ревпатроны</w:t>
            </w:r>
          </w:p>
        </w:tc>
        <w:tc>
          <w:tcPr>
            <w:tcW w:w="2551" w:type="dxa"/>
          </w:tcPr>
          <w:p w14:paraId="1DF560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Нет</w:t>
            </w:r>
          </w:p>
        </w:tc>
        <w:tc>
          <w:tcPr>
            <w:tcW w:w="2835" w:type="dxa"/>
          </w:tcPr>
          <w:p w14:paraId="699341E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Ульяновск, п/я 19</w:t>
            </w:r>
          </w:p>
        </w:tc>
      </w:tr>
      <w:tr w:rsidR="00E371BA" w:rsidRPr="00507A31" w14:paraId="503A00C6" w14:textId="77777777">
        <w:tc>
          <w:tcPr>
            <w:tcW w:w="2518" w:type="dxa"/>
          </w:tcPr>
          <w:p w14:paraId="7DBBE6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17</w:t>
            </w:r>
          </w:p>
          <w:p w14:paraId="2C7807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Дорофеев А.Н.</w:t>
            </w:r>
          </w:p>
        </w:tc>
        <w:tc>
          <w:tcPr>
            <w:tcW w:w="2552" w:type="dxa"/>
          </w:tcPr>
          <w:p w14:paraId="13B85A5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Винтпатроны и ревпатроны</w:t>
            </w:r>
          </w:p>
        </w:tc>
        <w:tc>
          <w:tcPr>
            <w:tcW w:w="2551" w:type="dxa"/>
          </w:tcPr>
          <w:p w14:paraId="226E5A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Малокалиберные патроны</w:t>
            </w:r>
          </w:p>
        </w:tc>
        <w:tc>
          <w:tcPr>
            <w:tcW w:w="2835" w:type="dxa"/>
          </w:tcPr>
          <w:p w14:paraId="7EA30D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Подольск, п/я 17</w:t>
            </w:r>
          </w:p>
        </w:tc>
      </w:tr>
      <w:tr w:rsidR="00E371BA" w:rsidRPr="00507A31" w14:paraId="52E7E104" w14:textId="77777777">
        <w:tc>
          <w:tcPr>
            <w:tcW w:w="2518" w:type="dxa"/>
          </w:tcPr>
          <w:p w14:paraId="5C3C887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Завод № 60</w:t>
            </w:r>
          </w:p>
          <w:p w14:paraId="194C239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Мальцев П.И.</w:t>
            </w:r>
          </w:p>
        </w:tc>
        <w:tc>
          <w:tcPr>
            <w:tcW w:w="2552" w:type="dxa"/>
          </w:tcPr>
          <w:p w14:paraId="18FDE99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Винтпатроны</w:t>
            </w:r>
          </w:p>
        </w:tc>
        <w:tc>
          <w:tcPr>
            <w:tcW w:w="2551" w:type="dxa"/>
          </w:tcPr>
          <w:p w14:paraId="5FF807B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Станки для патронного производства</w:t>
            </w:r>
          </w:p>
        </w:tc>
        <w:tc>
          <w:tcPr>
            <w:tcW w:w="2835" w:type="dxa"/>
          </w:tcPr>
          <w:p w14:paraId="494E10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Луганск, п/я 27</w:t>
            </w:r>
          </w:p>
        </w:tc>
      </w:tr>
      <w:tr w:rsidR="00E371BA" w:rsidRPr="00507A31" w14:paraId="19EDE73F" w14:textId="77777777">
        <w:tc>
          <w:tcPr>
            <w:tcW w:w="2518" w:type="dxa"/>
          </w:tcPr>
          <w:p w14:paraId="24B02E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Московский дрободитейный завод</w:t>
            </w:r>
          </w:p>
          <w:p w14:paraId="15E342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Перфильев Н.А.</w:t>
            </w:r>
          </w:p>
        </w:tc>
        <w:tc>
          <w:tcPr>
            <w:tcW w:w="2552" w:type="dxa"/>
          </w:tcPr>
          <w:p w14:paraId="4A866E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Осветительные патроны</w:t>
            </w:r>
          </w:p>
        </w:tc>
        <w:tc>
          <w:tcPr>
            <w:tcW w:w="2551" w:type="dxa"/>
          </w:tcPr>
          <w:p w14:paraId="22385E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Охотничьи патроны, дробь, картечь, пыжи, кожевенные изделия</w:t>
            </w:r>
          </w:p>
        </w:tc>
        <w:tc>
          <w:tcPr>
            <w:tcW w:w="2835" w:type="dxa"/>
          </w:tcPr>
          <w:p w14:paraId="67A0ABDB"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71B1A7BF" w14:textId="77777777">
        <w:tc>
          <w:tcPr>
            <w:tcW w:w="2518" w:type="dxa"/>
          </w:tcPr>
          <w:p w14:paraId="56CD2A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 им. Всероссийского старосты т. Калинина</w:t>
            </w:r>
          </w:p>
          <w:p w14:paraId="17F504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Холодилин Ф.И.</w:t>
            </w:r>
          </w:p>
        </w:tc>
        <w:tc>
          <w:tcPr>
            <w:tcW w:w="2552" w:type="dxa"/>
          </w:tcPr>
          <w:p w14:paraId="2DC87DA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Взрыватели, руж. гранаты Дьяконова и пр.</w:t>
            </w:r>
          </w:p>
        </w:tc>
        <w:tc>
          <w:tcPr>
            <w:tcW w:w="2551" w:type="dxa"/>
          </w:tcPr>
          <w:p w14:paraId="7F897B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Автоавиатракторные свечи, мясорубки, детали текстильных машин, станкостроение</w:t>
            </w:r>
          </w:p>
        </w:tc>
        <w:tc>
          <w:tcPr>
            <w:tcW w:w="2835" w:type="dxa"/>
          </w:tcPr>
          <w:p w14:paraId="5841DC6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п/я 18</w:t>
            </w:r>
          </w:p>
        </w:tc>
      </w:tr>
      <w:tr w:rsidR="00E371BA" w:rsidRPr="00507A31" w14:paraId="35CD7671" w14:textId="77777777">
        <w:tc>
          <w:tcPr>
            <w:tcW w:w="2518" w:type="dxa"/>
          </w:tcPr>
          <w:p w14:paraId="477D31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42 им. Масленникова</w:t>
            </w:r>
          </w:p>
          <w:p w14:paraId="28CF20C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Шмырев И.И.</w:t>
            </w:r>
          </w:p>
        </w:tc>
        <w:tc>
          <w:tcPr>
            <w:tcW w:w="2552" w:type="dxa"/>
          </w:tcPr>
          <w:p w14:paraId="2D294B7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22” и «Д» трубы, капсюльная втулка, запалы Ковешникова и пр.</w:t>
            </w:r>
          </w:p>
        </w:tc>
        <w:tc>
          <w:tcPr>
            <w:tcW w:w="2551" w:type="dxa"/>
          </w:tcPr>
          <w:p w14:paraId="2440A7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Электроарматура, пароарматура</w:t>
            </w:r>
          </w:p>
        </w:tc>
        <w:tc>
          <w:tcPr>
            <w:tcW w:w="2835" w:type="dxa"/>
          </w:tcPr>
          <w:p w14:paraId="5F5AB48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Самара, п\я 59</w:t>
            </w:r>
          </w:p>
        </w:tc>
      </w:tr>
      <w:tr w:rsidR="00E371BA" w:rsidRPr="00507A31" w14:paraId="6EBB60DE" w14:textId="77777777">
        <w:tc>
          <w:tcPr>
            <w:tcW w:w="2518" w:type="dxa"/>
          </w:tcPr>
          <w:p w14:paraId="264592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50 (Пензенский велосипедный завод)</w:t>
            </w:r>
          </w:p>
          <w:p w14:paraId="56040E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Дмитриев М.Е.</w:t>
            </w:r>
          </w:p>
        </w:tc>
        <w:tc>
          <w:tcPr>
            <w:tcW w:w="2552" w:type="dxa"/>
          </w:tcPr>
          <w:p w14:paraId="74A6562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Взрыватели и пр.</w:t>
            </w:r>
          </w:p>
        </w:tc>
        <w:tc>
          <w:tcPr>
            <w:tcW w:w="2551" w:type="dxa"/>
          </w:tcPr>
          <w:p w14:paraId="2C44D5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Велосипеды</w:t>
            </w:r>
          </w:p>
        </w:tc>
        <w:tc>
          <w:tcPr>
            <w:tcW w:w="2835" w:type="dxa"/>
          </w:tcPr>
          <w:p w14:paraId="67CE41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Пенза, п/я 25</w:t>
            </w:r>
          </w:p>
        </w:tc>
      </w:tr>
    </w:tbl>
    <w:p w14:paraId="258013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Оружейно-пулеметный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E371BA" w:rsidRPr="00507A31" w14:paraId="044B60EB" w14:textId="77777777">
        <w:tc>
          <w:tcPr>
            <w:tcW w:w="2518" w:type="dxa"/>
          </w:tcPr>
          <w:p w14:paraId="3D7D6E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Первые оружейные заводы в Туле</w:t>
            </w:r>
          </w:p>
          <w:p w14:paraId="100C2B0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Ситников В.Н.</w:t>
            </w:r>
          </w:p>
        </w:tc>
        <w:tc>
          <w:tcPr>
            <w:tcW w:w="2552" w:type="dxa"/>
          </w:tcPr>
          <w:p w14:paraId="3DDC9F1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Винтовки, пулеметы и револьверы «Наган»</w:t>
            </w:r>
          </w:p>
        </w:tc>
        <w:tc>
          <w:tcPr>
            <w:tcW w:w="2551" w:type="dxa"/>
          </w:tcPr>
          <w:p w14:paraId="53D0EC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Охотничье и малокалиберное оружие, инструмент, текстильное машиностроение, станкостроение</w:t>
            </w:r>
          </w:p>
        </w:tc>
        <w:tc>
          <w:tcPr>
            <w:tcW w:w="2835" w:type="dxa"/>
          </w:tcPr>
          <w:p w14:paraId="10FAE5B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Тула, п/я №№ 86 и 87</w:t>
            </w:r>
          </w:p>
        </w:tc>
      </w:tr>
      <w:tr w:rsidR="00E371BA" w:rsidRPr="00507A31" w14:paraId="7C81E111" w14:textId="77777777">
        <w:tc>
          <w:tcPr>
            <w:tcW w:w="2518" w:type="dxa"/>
          </w:tcPr>
          <w:p w14:paraId="5AD1DD2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Ижевские оружейный и сталелитейный заводы</w:t>
            </w:r>
          </w:p>
          <w:p w14:paraId="401D18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Ершов М.И.</w:t>
            </w:r>
          </w:p>
        </w:tc>
        <w:tc>
          <w:tcPr>
            <w:tcW w:w="2552" w:type="dxa"/>
          </w:tcPr>
          <w:p w14:paraId="3752F39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Винтовки и авиапоковки</w:t>
            </w:r>
          </w:p>
        </w:tc>
        <w:tc>
          <w:tcPr>
            <w:tcW w:w="2551" w:type="dxa"/>
          </w:tcPr>
          <w:p w14:paraId="04572B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Сталь, инструмент (включая напильники), охотружья, станкостроение</w:t>
            </w:r>
          </w:p>
        </w:tc>
        <w:tc>
          <w:tcPr>
            <w:tcW w:w="2835" w:type="dxa"/>
          </w:tcPr>
          <w:p w14:paraId="1F257E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Ижевск, п/я 11</w:t>
            </w:r>
          </w:p>
        </w:tc>
      </w:tr>
      <w:tr w:rsidR="00E371BA" w:rsidRPr="00507A31" w14:paraId="1FDF0880" w14:textId="77777777">
        <w:tc>
          <w:tcPr>
            <w:tcW w:w="2518" w:type="dxa"/>
          </w:tcPr>
          <w:p w14:paraId="1DA44D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Сестрорецкий завод им. Воскова</w:t>
            </w:r>
          </w:p>
          <w:p w14:paraId="432F99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Жбаков П.И.</w:t>
            </w:r>
          </w:p>
        </w:tc>
        <w:tc>
          <w:tcPr>
            <w:tcW w:w="2552" w:type="dxa"/>
          </w:tcPr>
          <w:p w14:paraId="1421557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Принадлежность к винтовке</w:t>
            </w:r>
          </w:p>
        </w:tc>
        <w:tc>
          <w:tcPr>
            <w:tcW w:w="2551" w:type="dxa"/>
          </w:tcPr>
          <w:p w14:paraId="5DD7868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Мерительный инструмент</w:t>
            </w:r>
          </w:p>
        </w:tc>
        <w:tc>
          <w:tcPr>
            <w:tcW w:w="2835" w:type="dxa"/>
          </w:tcPr>
          <w:p w14:paraId="30509E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Сестрорецк, пл. Свободы</w:t>
            </w:r>
          </w:p>
        </w:tc>
      </w:tr>
      <w:tr w:rsidR="00E371BA" w:rsidRPr="00507A31" w14:paraId="2B042C1D" w14:textId="77777777">
        <w:tc>
          <w:tcPr>
            <w:tcW w:w="2518" w:type="dxa"/>
          </w:tcPr>
          <w:p w14:paraId="4A55CD5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Инструментальный завод № 2</w:t>
            </w:r>
          </w:p>
          <w:p w14:paraId="58B3A7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Бурухин А.М.</w:t>
            </w:r>
          </w:p>
        </w:tc>
        <w:tc>
          <w:tcPr>
            <w:tcW w:w="2552" w:type="dxa"/>
          </w:tcPr>
          <w:p w14:paraId="7F34513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Пулеметы ручные, авиационные и танковые</w:t>
            </w:r>
          </w:p>
        </w:tc>
        <w:tc>
          <w:tcPr>
            <w:tcW w:w="2551" w:type="dxa"/>
          </w:tcPr>
          <w:p w14:paraId="151D96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Нет</w:t>
            </w:r>
          </w:p>
        </w:tc>
        <w:tc>
          <w:tcPr>
            <w:tcW w:w="2835" w:type="dxa"/>
          </w:tcPr>
          <w:p w14:paraId="2B27A5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Ковров Владимирской области, п/я 9</w:t>
            </w:r>
          </w:p>
        </w:tc>
      </w:tr>
      <w:tr w:rsidR="00E371BA" w:rsidRPr="00507A31" w14:paraId="69152AAE" w14:textId="77777777">
        <w:tc>
          <w:tcPr>
            <w:tcW w:w="2518" w:type="dxa"/>
          </w:tcPr>
          <w:p w14:paraId="5A1D12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«Красногвардеец»</w:t>
            </w:r>
          </w:p>
          <w:p w14:paraId="285B9A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Шахов А.И.</w:t>
            </w:r>
          </w:p>
        </w:tc>
        <w:tc>
          <w:tcPr>
            <w:tcW w:w="2552" w:type="dxa"/>
          </w:tcPr>
          <w:p w14:paraId="5D48F6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Нет</w:t>
            </w:r>
          </w:p>
        </w:tc>
        <w:tc>
          <w:tcPr>
            <w:tcW w:w="2551" w:type="dxa"/>
          </w:tcPr>
          <w:p w14:paraId="5335980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хирургического инструмента, примусы</w:t>
            </w:r>
          </w:p>
        </w:tc>
        <w:tc>
          <w:tcPr>
            <w:tcW w:w="2835" w:type="dxa"/>
          </w:tcPr>
          <w:p w14:paraId="4A16D5C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п/я 1, Аптекарский остров</w:t>
            </w:r>
          </w:p>
        </w:tc>
      </w:tr>
    </w:tbl>
    <w:p w14:paraId="6C1356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Военно-химический трест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E371BA" w:rsidRPr="00507A31" w14:paraId="15FE0125" w14:textId="77777777">
        <w:tc>
          <w:tcPr>
            <w:tcW w:w="2518" w:type="dxa"/>
          </w:tcPr>
          <w:p w14:paraId="3CDD53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40 им. Ленина</w:t>
            </w:r>
          </w:p>
          <w:p w14:paraId="11E8020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Чупшев Г.И.</w:t>
            </w:r>
          </w:p>
        </w:tc>
        <w:tc>
          <w:tcPr>
            <w:tcW w:w="2552" w:type="dxa"/>
          </w:tcPr>
          <w:p w14:paraId="0CA1D8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Бездымный порох</w:t>
            </w:r>
          </w:p>
        </w:tc>
        <w:tc>
          <w:tcPr>
            <w:tcW w:w="2551" w:type="dxa"/>
          </w:tcPr>
          <w:p w14:paraId="380319E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Ставится производство искусственного шелка</w:t>
            </w:r>
          </w:p>
        </w:tc>
        <w:tc>
          <w:tcPr>
            <w:tcW w:w="2835" w:type="dxa"/>
          </w:tcPr>
          <w:p w14:paraId="6A067D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Казань, п\я 101</w:t>
            </w:r>
          </w:p>
        </w:tc>
      </w:tr>
      <w:tr w:rsidR="00E371BA" w:rsidRPr="00507A31" w14:paraId="1D533590" w14:textId="77777777">
        <w:tc>
          <w:tcPr>
            <w:tcW w:w="2518" w:type="dxa"/>
          </w:tcPr>
          <w:p w14:paraId="4C7EA6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Свердлова № 80</w:t>
            </w:r>
          </w:p>
          <w:p w14:paraId="31BFE6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Кетура Н.Г.</w:t>
            </w:r>
          </w:p>
        </w:tc>
        <w:tc>
          <w:tcPr>
            <w:tcW w:w="2552" w:type="dxa"/>
          </w:tcPr>
          <w:p w14:paraId="29E9F6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Тротил и снаряжение снарядов</w:t>
            </w:r>
          </w:p>
        </w:tc>
        <w:tc>
          <w:tcPr>
            <w:tcW w:w="2551" w:type="dxa"/>
          </w:tcPr>
          <w:p w14:paraId="0F966B6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Медный купорос, ставится производство аммоналов и полупродуктов красочной промышленности</w:t>
            </w:r>
          </w:p>
        </w:tc>
        <w:tc>
          <w:tcPr>
            <w:tcW w:w="2835" w:type="dxa"/>
          </w:tcPr>
          <w:p w14:paraId="18A216D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Растяпино, п/я 5</w:t>
            </w:r>
          </w:p>
        </w:tc>
      </w:tr>
      <w:tr w:rsidR="00E371BA" w:rsidRPr="00507A31" w14:paraId="014F046C" w14:textId="77777777">
        <w:tc>
          <w:tcPr>
            <w:tcW w:w="2518" w:type="dxa"/>
          </w:tcPr>
          <w:p w14:paraId="1C3A87A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Сергеевский завод № 11</w:t>
            </w:r>
          </w:p>
          <w:p w14:paraId="0C7360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Жиляев Н.Д,</w:t>
            </w:r>
          </w:p>
        </w:tc>
        <w:tc>
          <w:tcPr>
            <w:tcW w:w="2552" w:type="dxa"/>
          </w:tcPr>
          <w:p w14:paraId="415CE1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Снаряжение ручных гранат</w:t>
            </w:r>
          </w:p>
        </w:tc>
        <w:tc>
          <w:tcPr>
            <w:tcW w:w="2551" w:type="dxa"/>
          </w:tcPr>
          <w:p w14:paraId="233504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Ж\д петарды и пр.</w:t>
            </w:r>
          </w:p>
        </w:tc>
        <w:tc>
          <w:tcPr>
            <w:tcW w:w="2835" w:type="dxa"/>
          </w:tcPr>
          <w:p w14:paraId="43FAA3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Сергеево, Московской губернии, п/я 3</w:t>
            </w:r>
          </w:p>
        </w:tc>
      </w:tr>
      <w:tr w:rsidR="00E371BA" w:rsidRPr="00507A31" w14:paraId="639F61CF" w14:textId="77777777">
        <w:tc>
          <w:tcPr>
            <w:tcW w:w="2518" w:type="dxa"/>
          </w:tcPr>
          <w:p w14:paraId="4F6941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Шостенский завод № 9</w:t>
            </w:r>
          </w:p>
          <w:p w14:paraId="14089A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Урицкий С.Б.</w:t>
            </w:r>
          </w:p>
        </w:tc>
        <w:tc>
          <w:tcPr>
            <w:tcW w:w="2552" w:type="dxa"/>
          </w:tcPr>
          <w:p w14:paraId="290DCFF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Капсюльное производство и может делать бездымный и дымный порох</w:t>
            </w:r>
          </w:p>
        </w:tc>
        <w:tc>
          <w:tcPr>
            <w:tcW w:w="2551" w:type="dxa"/>
          </w:tcPr>
          <w:p w14:paraId="11EFE0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Медный купорос, детонаторы, картонное производство и пр. Устанавливается производство фото-кинопленки</w:t>
            </w:r>
          </w:p>
        </w:tc>
        <w:tc>
          <w:tcPr>
            <w:tcW w:w="2835" w:type="dxa"/>
          </w:tcPr>
          <w:p w14:paraId="3A8035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Шостка</w:t>
            </w:r>
          </w:p>
        </w:tc>
      </w:tr>
      <w:tr w:rsidR="00E371BA" w:rsidRPr="00507A31" w14:paraId="036D303F" w14:textId="77777777">
        <w:tc>
          <w:tcPr>
            <w:tcW w:w="2518" w:type="dxa"/>
          </w:tcPr>
          <w:p w14:paraId="74782C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им. Косякова</w:t>
            </w:r>
          </w:p>
          <w:p w14:paraId="413FA1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Алексеев К.А.</w:t>
            </w:r>
          </w:p>
        </w:tc>
        <w:tc>
          <w:tcPr>
            <w:tcW w:w="2552" w:type="dxa"/>
          </w:tcPr>
          <w:p w14:paraId="412877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Бездымный порох</w:t>
            </w:r>
          </w:p>
        </w:tc>
        <w:tc>
          <w:tcPr>
            <w:tcW w:w="2551" w:type="dxa"/>
          </w:tcPr>
          <w:p w14:paraId="4876A33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Серный эфир</w:t>
            </w:r>
          </w:p>
        </w:tc>
        <w:tc>
          <w:tcPr>
            <w:tcW w:w="2835" w:type="dxa"/>
          </w:tcPr>
          <w:p w14:paraId="0A5F41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Рошаль, Московской губернии, п/я 3</w:t>
            </w:r>
          </w:p>
        </w:tc>
      </w:tr>
      <w:tr w:rsidR="00E371BA" w:rsidRPr="00507A31" w14:paraId="595678B1" w14:textId="77777777">
        <w:tc>
          <w:tcPr>
            <w:tcW w:w="2518" w:type="dxa"/>
          </w:tcPr>
          <w:p w14:paraId="0EE0864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Богородский завод № 12</w:t>
            </w:r>
          </w:p>
          <w:p w14:paraId="568C1D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Титов А.Е.</w:t>
            </w:r>
          </w:p>
        </w:tc>
        <w:tc>
          <w:tcPr>
            <w:tcW w:w="2552" w:type="dxa"/>
          </w:tcPr>
          <w:p w14:paraId="585EEF7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Снаряжение снарядов, аэробомб, противогазов, производство активированного угля</w:t>
            </w:r>
          </w:p>
        </w:tc>
        <w:tc>
          <w:tcPr>
            <w:tcW w:w="2551" w:type="dxa"/>
          </w:tcPr>
          <w:p w14:paraId="4D14E3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Нет</w:t>
            </w:r>
          </w:p>
        </w:tc>
        <w:tc>
          <w:tcPr>
            <w:tcW w:w="2835" w:type="dxa"/>
          </w:tcPr>
          <w:p w14:paraId="3560B0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Богородск Московской губернии, п/я 1</w:t>
            </w:r>
          </w:p>
        </w:tc>
      </w:tr>
      <w:tr w:rsidR="00E371BA" w:rsidRPr="00507A31" w14:paraId="4BA0A425" w14:textId="77777777">
        <w:tc>
          <w:tcPr>
            <w:tcW w:w="2518" w:type="dxa"/>
          </w:tcPr>
          <w:p w14:paraId="6560F8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Ленинградский Ульяновский завод</w:t>
            </w:r>
          </w:p>
          <w:p w14:paraId="54220E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Ходулев Ф.Т.</w:t>
            </w:r>
          </w:p>
        </w:tc>
        <w:tc>
          <w:tcPr>
            <w:tcW w:w="2552" w:type="dxa"/>
          </w:tcPr>
          <w:p w14:paraId="3992C8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Дымный порох для трубок</w:t>
            </w:r>
          </w:p>
        </w:tc>
        <w:tc>
          <w:tcPr>
            <w:tcW w:w="2551" w:type="dxa"/>
          </w:tcPr>
          <w:p w14:paraId="4F32D4B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Бикфордов шнур, охотничий порох</w:t>
            </w:r>
          </w:p>
        </w:tc>
        <w:tc>
          <w:tcPr>
            <w:tcW w:w="2835" w:type="dxa"/>
          </w:tcPr>
          <w:p w14:paraId="6C170E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 Саблино Ленинградской области</w:t>
            </w:r>
          </w:p>
        </w:tc>
      </w:tr>
      <w:tr w:rsidR="00E371BA" w:rsidRPr="00507A31" w14:paraId="6AC2DF97" w14:textId="77777777">
        <w:tc>
          <w:tcPr>
            <w:tcW w:w="2518" w:type="dxa"/>
          </w:tcPr>
          <w:p w14:paraId="6CC604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«Красный боевик» № 25</w:t>
            </w:r>
          </w:p>
          <w:p w14:paraId="0396FE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Мосеев Ф.Л.</w:t>
            </w:r>
          </w:p>
        </w:tc>
        <w:tc>
          <w:tcPr>
            <w:tcW w:w="2552" w:type="dxa"/>
          </w:tcPr>
          <w:p w14:paraId="52A2FE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Подготовляется к производству бездымного пороха</w:t>
            </w:r>
          </w:p>
        </w:tc>
        <w:tc>
          <w:tcPr>
            <w:tcW w:w="2551" w:type="dxa"/>
          </w:tcPr>
          <w:p w14:paraId="521636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Будет ставиться производство целлулойда</w:t>
            </w:r>
          </w:p>
        </w:tc>
        <w:tc>
          <w:tcPr>
            <w:tcW w:w="2835" w:type="dxa"/>
          </w:tcPr>
          <w:p w14:paraId="3946C36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Тамбов</w:t>
            </w:r>
          </w:p>
        </w:tc>
      </w:tr>
      <w:tr w:rsidR="00E371BA" w:rsidRPr="00507A31" w14:paraId="126D0966" w14:textId="77777777">
        <w:tc>
          <w:tcPr>
            <w:tcW w:w="2518" w:type="dxa"/>
          </w:tcPr>
          <w:p w14:paraId="5108A54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«Краснознаменец»</w:t>
            </w:r>
          </w:p>
          <w:p w14:paraId="53B8A30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Абрамов Г.А.</w:t>
            </w:r>
          </w:p>
        </w:tc>
        <w:tc>
          <w:tcPr>
            <w:tcW w:w="2552" w:type="dxa"/>
          </w:tcPr>
          <w:p w14:paraId="6D540DE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Револьверные и трубочные капсюли, зажигательные снаряды</w:t>
            </w:r>
          </w:p>
        </w:tc>
        <w:tc>
          <w:tcPr>
            <w:tcW w:w="2551" w:type="dxa"/>
          </w:tcPr>
          <w:p w14:paraId="4CA62B2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Капсюлирован. детонаторы для для горнях работ и охотничьи капсюли</w:t>
            </w:r>
          </w:p>
        </w:tc>
        <w:tc>
          <w:tcPr>
            <w:tcW w:w="2835" w:type="dxa"/>
          </w:tcPr>
          <w:p w14:paraId="1DD1BD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п/я 1</w:t>
            </w:r>
          </w:p>
        </w:tc>
      </w:tr>
      <w:tr w:rsidR="00E371BA" w:rsidRPr="00507A31" w14:paraId="29EDCB99" w14:textId="77777777">
        <w:tc>
          <w:tcPr>
            <w:tcW w:w="2518" w:type="dxa"/>
          </w:tcPr>
          <w:p w14:paraId="7C0E40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Шлиссельбургский завод им. Морозова</w:t>
            </w:r>
          </w:p>
          <w:p w14:paraId="49C112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Волостнов П.И.</w:t>
            </w:r>
          </w:p>
        </w:tc>
        <w:tc>
          <w:tcPr>
            <w:tcW w:w="2552" w:type="dxa"/>
          </w:tcPr>
          <w:p w14:paraId="0EEBF6A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Револьверный порох, минный порох</w:t>
            </w:r>
          </w:p>
        </w:tc>
        <w:tc>
          <w:tcPr>
            <w:tcW w:w="2551" w:type="dxa"/>
          </w:tcPr>
          <w:p w14:paraId="0D611F9C"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62066216"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514AAC5F" w14:textId="77777777">
        <w:tc>
          <w:tcPr>
            <w:tcW w:w="2518" w:type="dxa"/>
          </w:tcPr>
          <w:p w14:paraId="22A86B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Самарский завод № 15</w:t>
            </w:r>
          </w:p>
          <w:p w14:paraId="323A5CF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Козловский П.А.</w:t>
            </w:r>
          </w:p>
        </w:tc>
        <w:tc>
          <w:tcPr>
            <w:tcW w:w="2552" w:type="dxa"/>
          </w:tcPr>
          <w:p w14:paraId="040C9299" w14:textId="77777777" w:rsidR="00537E5F" w:rsidRPr="00507A31" w:rsidRDefault="00537E5F" w:rsidP="00507A31">
            <w:pPr>
              <w:autoSpaceDE w:val="0"/>
              <w:autoSpaceDN w:val="0"/>
              <w:adjustRightInd w:val="0"/>
              <w:jc w:val="both"/>
              <w:rPr>
                <w:color w:val="000000" w:themeColor="text1"/>
                <w:sz w:val="16"/>
                <w:szCs w:val="16"/>
              </w:rPr>
            </w:pPr>
          </w:p>
        </w:tc>
        <w:tc>
          <w:tcPr>
            <w:tcW w:w="2551" w:type="dxa"/>
          </w:tcPr>
          <w:p w14:paraId="7160B386"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25D401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Троицк Самарской области, п\я 15</w:t>
            </w:r>
          </w:p>
        </w:tc>
      </w:tr>
      <w:tr w:rsidR="00E371BA" w:rsidRPr="00507A31" w14:paraId="51783051" w14:textId="77777777">
        <w:tc>
          <w:tcPr>
            <w:tcW w:w="2518" w:type="dxa"/>
          </w:tcPr>
          <w:p w14:paraId="38C391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ЦНИЛ № 84</w:t>
            </w:r>
          </w:p>
          <w:p w14:paraId="41B8798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Никитин М.А.</w:t>
            </w:r>
          </w:p>
        </w:tc>
        <w:tc>
          <w:tcPr>
            <w:tcW w:w="2552" w:type="dxa"/>
          </w:tcPr>
          <w:p w14:paraId="5D1B2E85" w14:textId="77777777" w:rsidR="00537E5F" w:rsidRPr="00507A31" w:rsidRDefault="00537E5F" w:rsidP="00507A31">
            <w:pPr>
              <w:autoSpaceDE w:val="0"/>
              <w:autoSpaceDN w:val="0"/>
              <w:adjustRightInd w:val="0"/>
              <w:jc w:val="both"/>
              <w:rPr>
                <w:color w:val="000000" w:themeColor="text1"/>
                <w:sz w:val="16"/>
                <w:szCs w:val="16"/>
              </w:rPr>
            </w:pPr>
          </w:p>
        </w:tc>
        <w:tc>
          <w:tcPr>
            <w:tcW w:w="2551" w:type="dxa"/>
          </w:tcPr>
          <w:p w14:paraId="76D49588"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54796D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w:t>
            </w:r>
          </w:p>
        </w:tc>
      </w:tr>
    </w:tbl>
    <w:p w14:paraId="0AE271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Орудийно-арсенальный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E371BA" w:rsidRPr="00507A31" w14:paraId="1A803C62" w14:textId="77777777">
        <w:tc>
          <w:tcPr>
            <w:tcW w:w="2518" w:type="dxa"/>
          </w:tcPr>
          <w:p w14:paraId="2C24B44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«Большевик»</w:t>
            </w:r>
          </w:p>
          <w:p w14:paraId="17244B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Григорьев Н.С.</w:t>
            </w:r>
          </w:p>
        </w:tc>
        <w:tc>
          <w:tcPr>
            <w:tcW w:w="2552" w:type="dxa"/>
          </w:tcPr>
          <w:p w14:paraId="6667B91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Орудийное производство (новое, ремонт и запчасти), оптика, танки, тракторы, авиамоторы</w:t>
            </w:r>
          </w:p>
        </w:tc>
        <w:tc>
          <w:tcPr>
            <w:tcW w:w="2551" w:type="dxa"/>
          </w:tcPr>
          <w:p w14:paraId="3434248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Металлургия, литье, поковки, прокат, оптика и точная механика</w:t>
            </w:r>
          </w:p>
        </w:tc>
        <w:tc>
          <w:tcPr>
            <w:tcW w:w="2835" w:type="dxa"/>
          </w:tcPr>
          <w:p w14:paraId="4F696CD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w:t>
            </w:r>
          </w:p>
        </w:tc>
      </w:tr>
      <w:tr w:rsidR="00E371BA" w:rsidRPr="00507A31" w14:paraId="4F91D0F4" w14:textId="77777777">
        <w:tc>
          <w:tcPr>
            <w:tcW w:w="2518" w:type="dxa"/>
          </w:tcPr>
          <w:p w14:paraId="449946C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«Мастяжарт»</w:t>
            </w:r>
          </w:p>
          <w:p w14:paraId="473C3B1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Кузьмичев Г.Т.</w:t>
            </w:r>
          </w:p>
        </w:tc>
        <w:tc>
          <w:tcPr>
            <w:tcW w:w="2552" w:type="dxa"/>
          </w:tcPr>
          <w:p w14:paraId="6CB2FD0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Аэробомбы, противогазы, корпуса ручных гранат</w:t>
            </w:r>
          </w:p>
        </w:tc>
        <w:tc>
          <w:tcPr>
            <w:tcW w:w="2551" w:type="dxa"/>
          </w:tcPr>
          <w:p w14:paraId="29A1C7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Разные изделия из жести, котельные работы и пр.</w:t>
            </w:r>
          </w:p>
        </w:tc>
        <w:tc>
          <w:tcPr>
            <w:tcW w:w="2835" w:type="dxa"/>
          </w:tcPr>
          <w:p w14:paraId="3E5EA2A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Москва, 58, п/я 1, Семеновская застава, ул. Вельяминовская, 32</w:t>
            </w:r>
          </w:p>
        </w:tc>
      </w:tr>
      <w:tr w:rsidR="00E371BA" w:rsidRPr="00507A31" w14:paraId="0A933D80" w14:textId="77777777">
        <w:tc>
          <w:tcPr>
            <w:tcW w:w="2518" w:type="dxa"/>
          </w:tcPr>
          <w:p w14:paraId="280A12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точной механики № 19</w:t>
            </w:r>
          </w:p>
          <w:p w14:paraId="2561A9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Титов И.Т.</w:t>
            </w:r>
          </w:p>
        </w:tc>
        <w:tc>
          <w:tcPr>
            <w:tcW w:w="2552" w:type="dxa"/>
          </w:tcPr>
          <w:p w14:paraId="2EB9E8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Оптическое производство: стереотрубы, бинокли, панорамы и ремонт оптики</w:t>
            </w:r>
          </w:p>
        </w:tc>
        <w:tc>
          <w:tcPr>
            <w:tcW w:w="2551" w:type="dxa"/>
          </w:tcPr>
          <w:p w14:paraId="2D0A97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Линзы и оправы очковые, объективы и лупы разные</w:t>
            </w:r>
          </w:p>
        </w:tc>
        <w:tc>
          <w:tcPr>
            <w:tcW w:w="2835" w:type="dxa"/>
          </w:tcPr>
          <w:p w14:paraId="0A6973F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Павшино, п/я 2</w:t>
            </w:r>
          </w:p>
        </w:tc>
      </w:tr>
      <w:tr w:rsidR="00E371BA" w:rsidRPr="00507A31" w14:paraId="7A25B5BF" w14:textId="77777777">
        <w:tc>
          <w:tcPr>
            <w:tcW w:w="2518" w:type="dxa"/>
          </w:tcPr>
          <w:p w14:paraId="4DAB1E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завод № 13</w:t>
            </w:r>
          </w:p>
          <w:p w14:paraId="38C7C8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Иванов К.В.</w:t>
            </w:r>
          </w:p>
        </w:tc>
        <w:tc>
          <w:tcPr>
            <w:tcW w:w="2552" w:type="dxa"/>
          </w:tcPr>
          <w:p w14:paraId="635DF0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Арсенальное производство: аммуниция, снарядные прицепки, перестволение, повозки конной тяги, механические тяги</w:t>
            </w:r>
          </w:p>
        </w:tc>
        <w:tc>
          <w:tcPr>
            <w:tcW w:w="2551" w:type="dxa"/>
          </w:tcPr>
          <w:p w14:paraId="25D878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Текстильное машиностроение</w:t>
            </w:r>
          </w:p>
        </w:tc>
        <w:tc>
          <w:tcPr>
            <w:tcW w:w="2835" w:type="dxa"/>
          </w:tcPr>
          <w:p w14:paraId="7C80F4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Брянск, п/я 6</w:t>
            </w:r>
          </w:p>
        </w:tc>
      </w:tr>
      <w:tr w:rsidR="00E371BA" w:rsidRPr="00507A31" w14:paraId="30A0645B" w14:textId="77777777">
        <w:tc>
          <w:tcPr>
            <w:tcW w:w="2518" w:type="dxa"/>
          </w:tcPr>
          <w:p w14:paraId="13BA63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Заод № 8 им. Калинина</w:t>
            </w:r>
          </w:p>
          <w:p w14:paraId="708B4D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Гузаков П.В.</w:t>
            </w:r>
          </w:p>
        </w:tc>
        <w:tc>
          <w:tcPr>
            <w:tcW w:w="2552" w:type="dxa"/>
          </w:tcPr>
          <w:p w14:paraId="2B2649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Орудийное производство (новое, ремонт и запчасти) и точная механика</w:t>
            </w:r>
          </w:p>
        </w:tc>
        <w:tc>
          <w:tcPr>
            <w:tcW w:w="2551" w:type="dxa"/>
          </w:tcPr>
          <w:p w14:paraId="76EF08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Пресс Гагарина</w:t>
            </w:r>
          </w:p>
        </w:tc>
        <w:tc>
          <w:tcPr>
            <w:tcW w:w="2835" w:type="dxa"/>
          </w:tcPr>
          <w:p w14:paraId="4B2DA1A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Мытищи Московской губернии, п/я 1</w:t>
            </w:r>
          </w:p>
        </w:tc>
      </w:tr>
      <w:tr w:rsidR="00E371BA" w:rsidRPr="00507A31" w14:paraId="2C3FE7C7" w14:textId="77777777">
        <w:tc>
          <w:tcPr>
            <w:tcW w:w="2518" w:type="dxa"/>
          </w:tcPr>
          <w:p w14:paraId="1436D03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Мотовилихинский машиностроительный завод</w:t>
            </w:r>
          </w:p>
          <w:p w14:paraId="15DEFA6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Кустов А.Я.</w:t>
            </w:r>
          </w:p>
        </w:tc>
        <w:tc>
          <w:tcPr>
            <w:tcW w:w="2552" w:type="dxa"/>
          </w:tcPr>
          <w:p w14:paraId="2638A6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Орудийное производство (новое, ремонт и запчасти), снаряды, поковки, авиапоковки: валы, втулки и цилиндры, танки, перестволение</w:t>
            </w:r>
          </w:p>
        </w:tc>
        <w:tc>
          <w:tcPr>
            <w:tcW w:w="2551" w:type="dxa"/>
          </w:tcPr>
          <w:p w14:paraId="66562E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Поковки, литье, двигатели Болиндра, инструмент, драги, прокат и обжатая заготовка</w:t>
            </w:r>
          </w:p>
        </w:tc>
        <w:tc>
          <w:tcPr>
            <w:tcW w:w="2835" w:type="dxa"/>
          </w:tcPr>
          <w:p w14:paraId="1339D227" w14:textId="77777777" w:rsidR="00537E5F" w:rsidRPr="00507A31" w:rsidRDefault="00537E5F" w:rsidP="00507A31">
            <w:pPr>
              <w:autoSpaceDE w:val="0"/>
              <w:autoSpaceDN w:val="0"/>
              <w:adjustRightInd w:val="0"/>
              <w:jc w:val="both"/>
              <w:rPr>
                <w:color w:val="000000" w:themeColor="text1"/>
                <w:sz w:val="16"/>
                <w:szCs w:val="16"/>
              </w:rPr>
            </w:pPr>
          </w:p>
        </w:tc>
      </w:tr>
      <w:tr w:rsidR="00E371BA" w:rsidRPr="00507A31" w14:paraId="2FFB9ABD" w14:textId="77777777">
        <w:tc>
          <w:tcPr>
            <w:tcW w:w="2518" w:type="dxa"/>
          </w:tcPr>
          <w:p w14:paraId="2AAB8D5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Киевский краснознаменный завод</w:t>
            </w:r>
          </w:p>
          <w:p w14:paraId="125935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Директор – Чернышев Ф.М.</w:t>
            </w:r>
          </w:p>
        </w:tc>
        <w:tc>
          <w:tcPr>
            <w:tcW w:w="2552" w:type="dxa"/>
          </w:tcPr>
          <w:p w14:paraId="037820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xml:space="preserve">Арсенальное производство: передки, лафеты, колеса боевые, </w:t>
            </w:r>
            <w:r w:rsidRPr="00507A31">
              <w:rPr>
                <w:color w:val="000000" w:themeColor="text1"/>
                <w:sz w:val="16"/>
                <w:szCs w:val="16"/>
              </w:rPr>
              <w:lastRenderedPageBreak/>
              <w:t>ремонт, запчасти, пулемет тачанки, аэробомбы, двуколки патронные, повозки парные, колеса обозные</w:t>
            </w:r>
          </w:p>
        </w:tc>
        <w:tc>
          <w:tcPr>
            <w:tcW w:w="2551" w:type="dxa"/>
          </w:tcPr>
          <w:p w14:paraId="3292B4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Текстильное машиностроение, станки и валки мелничные, веялки</w:t>
            </w:r>
          </w:p>
        </w:tc>
        <w:tc>
          <w:tcPr>
            <w:tcW w:w="2835" w:type="dxa"/>
          </w:tcPr>
          <w:p w14:paraId="412B2A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Киев 2, п/я 1</w:t>
            </w:r>
          </w:p>
        </w:tc>
      </w:tr>
      <w:tr w:rsidR="00E371BA" w:rsidRPr="00507A31" w14:paraId="494FB4DA" w14:textId="77777777">
        <w:tc>
          <w:tcPr>
            <w:tcW w:w="2518" w:type="dxa"/>
          </w:tcPr>
          <w:p w14:paraId="626C16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Механический завод № 7</w:t>
            </w:r>
          </w:p>
          <w:p w14:paraId="67A1944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Руда И.П.</w:t>
            </w:r>
          </w:p>
        </w:tc>
        <w:tc>
          <w:tcPr>
            <w:tcW w:w="2552" w:type="dxa"/>
          </w:tcPr>
          <w:p w14:paraId="3CC1E94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Арсенальное производство: ремонт и запчасти артиллерии, колеса, седла, снарядные прицепки, прицепные повозки, зарядные ящики и аэробомбы, авиахимбомбы, хлебопекарни</w:t>
            </w:r>
          </w:p>
        </w:tc>
        <w:tc>
          <w:tcPr>
            <w:tcW w:w="2551" w:type="dxa"/>
          </w:tcPr>
          <w:p w14:paraId="761FAD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Банкоброши, ленточные машины, ткацкие автоматы и запчасти к текстильным машинам</w:t>
            </w:r>
          </w:p>
        </w:tc>
        <w:tc>
          <w:tcPr>
            <w:tcW w:w="2835" w:type="dxa"/>
          </w:tcPr>
          <w:p w14:paraId="386301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9, п/я 1</w:t>
            </w:r>
          </w:p>
        </w:tc>
      </w:tr>
      <w:tr w:rsidR="00E371BA" w:rsidRPr="00507A31" w14:paraId="1E495C94" w14:textId="77777777">
        <w:tc>
          <w:tcPr>
            <w:tcW w:w="2518" w:type="dxa"/>
          </w:tcPr>
          <w:p w14:paraId="11D9F1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«ЛЕНЗОС»</w:t>
            </w:r>
          </w:p>
          <w:p w14:paraId="7118611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Иванов В.И.</w:t>
            </w:r>
          </w:p>
        </w:tc>
        <w:tc>
          <w:tcPr>
            <w:tcW w:w="2552" w:type="dxa"/>
          </w:tcPr>
          <w:p w14:paraId="4F50BB5E" w14:textId="77777777" w:rsidR="00537E5F" w:rsidRPr="00507A31" w:rsidRDefault="00537E5F" w:rsidP="00507A31">
            <w:pPr>
              <w:autoSpaceDE w:val="0"/>
              <w:autoSpaceDN w:val="0"/>
              <w:adjustRightInd w:val="0"/>
              <w:jc w:val="both"/>
              <w:rPr>
                <w:color w:val="000000" w:themeColor="text1"/>
                <w:sz w:val="16"/>
                <w:szCs w:val="16"/>
              </w:rPr>
            </w:pPr>
          </w:p>
        </w:tc>
        <w:tc>
          <w:tcPr>
            <w:tcW w:w="2551" w:type="dxa"/>
          </w:tcPr>
          <w:p w14:paraId="6730D818" w14:textId="77777777" w:rsidR="00537E5F" w:rsidRPr="00507A31" w:rsidRDefault="00537E5F" w:rsidP="00507A31">
            <w:pPr>
              <w:autoSpaceDE w:val="0"/>
              <w:autoSpaceDN w:val="0"/>
              <w:adjustRightInd w:val="0"/>
              <w:jc w:val="both"/>
              <w:rPr>
                <w:color w:val="000000" w:themeColor="text1"/>
                <w:sz w:val="16"/>
                <w:szCs w:val="16"/>
              </w:rPr>
            </w:pPr>
          </w:p>
        </w:tc>
        <w:tc>
          <w:tcPr>
            <w:tcW w:w="2835" w:type="dxa"/>
          </w:tcPr>
          <w:p w14:paraId="57DEED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Ленинград 12, п/я 1</w:t>
            </w:r>
          </w:p>
        </w:tc>
      </w:tr>
      <w:tr w:rsidR="00E371BA" w:rsidRPr="00507A31" w14:paraId="7ACB3456" w14:textId="77777777">
        <w:tc>
          <w:tcPr>
            <w:tcW w:w="2518" w:type="dxa"/>
          </w:tcPr>
          <w:p w14:paraId="7F716BE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«Баррикады»</w:t>
            </w:r>
          </w:p>
          <w:p w14:paraId="3D44C04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Зотов Г.Т.</w:t>
            </w:r>
          </w:p>
        </w:tc>
        <w:tc>
          <w:tcPr>
            <w:tcW w:w="2552" w:type="dxa"/>
          </w:tcPr>
          <w:p w14:paraId="119225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Нет</w:t>
            </w:r>
          </w:p>
        </w:tc>
        <w:tc>
          <w:tcPr>
            <w:tcW w:w="2551" w:type="dxa"/>
          </w:tcPr>
          <w:p w14:paraId="2EC530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оборудования для нефтяной, писчебумажной и силикатной промышленности, поковки, оитье</w:t>
            </w:r>
          </w:p>
        </w:tc>
        <w:tc>
          <w:tcPr>
            <w:tcW w:w="2835" w:type="dxa"/>
          </w:tcPr>
          <w:p w14:paraId="5DE6D02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Сталинград, п/я 113</w:t>
            </w:r>
          </w:p>
        </w:tc>
      </w:tr>
      <w:tr w:rsidR="00E371BA" w:rsidRPr="00507A31" w14:paraId="3D5CD41E" w14:textId="77777777">
        <w:tc>
          <w:tcPr>
            <w:tcW w:w="2518" w:type="dxa"/>
          </w:tcPr>
          <w:p w14:paraId="60A3C9D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Изюмский завод оптического стекла им. Дзержинского</w:t>
            </w:r>
          </w:p>
          <w:p w14:paraId="06832E0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Виксне Я.П.</w:t>
            </w:r>
          </w:p>
          <w:p w14:paraId="71896BC0" w14:textId="77777777" w:rsidR="00537E5F" w:rsidRPr="00507A31" w:rsidRDefault="00537E5F" w:rsidP="00507A31">
            <w:pPr>
              <w:autoSpaceDE w:val="0"/>
              <w:autoSpaceDN w:val="0"/>
              <w:adjustRightInd w:val="0"/>
              <w:jc w:val="both"/>
              <w:rPr>
                <w:color w:val="000000" w:themeColor="text1"/>
                <w:sz w:val="16"/>
                <w:szCs w:val="16"/>
              </w:rPr>
            </w:pPr>
          </w:p>
        </w:tc>
        <w:tc>
          <w:tcPr>
            <w:tcW w:w="2552" w:type="dxa"/>
          </w:tcPr>
          <w:p w14:paraId="3FF7A1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Оптическое стекло</w:t>
            </w:r>
          </w:p>
        </w:tc>
        <w:tc>
          <w:tcPr>
            <w:tcW w:w="2551" w:type="dxa"/>
          </w:tcPr>
          <w:p w14:paraId="19F03C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Очковые стекла и огнеупорные изделия</w:t>
            </w:r>
          </w:p>
        </w:tc>
        <w:tc>
          <w:tcPr>
            <w:tcW w:w="2835" w:type="dxa"/>
          </w:tcPr>
          <w:p w14:paraId="305B65C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Изюм, п/я 24</w:t>
            </w:r>
          </w:p>
        </w:tc>
      </w:tr>
    </w:tbl>
    <w:p w14:paraId="2D4265A8" w14:textId="77777777" w:rsidR="00537E5F" w:rsidRPr="00507A31" w:rsidRDefault="00537E5F" w:rsidP="00507A31">
      <w:pPr>
        <w:autoSpaceDE w:val="0"/>
        <w:autoSpaceDN w:val="0"/>
        <w:adjustRightInd w:val="0"/>
        <w:jc w:val="both"/>
        <w:rPr>
          <w:color w:val="000000" w:themeColor="text1"/>
          <w:sz w:val="16"/>
          <w:szCs w:val="16"/>
        </w:rPr>
      </w:pPr>
    </w:p>
    <w:p w14:paraId="6742A0F1" w14:textId="77777777" w:rsidR="00A754C6" w:rsidRPr="00507A31" w:rsidRDefault="00A754C6" w:rsidP="00507A31">
      <w:pPr>
        <w:pStyle w:val="a3"/>
        <w:rPr>
          <w:color w:val="000000" w:themeColor="text1"/>
        </w:rPr>
      </w:pPr>
      <w:r w:rsidRPr="00507A31">
        <w:rPr>
          <w:rStyle w:val="a7"/>
          <w:b w:val="0"/>
          <w:color w:val="000000" w:themeColor="text1"/>
          <w:sz w:val="16"/>
          <w:szCs w:val="16"/>
        </w:rPr>
        <w:t>В 1930 г. были следующие заводы</w:t>
      </w:r>
    </w:p>
    <w:p w14:paraId="02251F43"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Химический завод № 1</w:t>
      </w:r>
      <w:r w:rsidRPr="00507A31">
        <w:rPr>
          <w:color w:val="000000" w:themeColor="text1"/>
          <w:lang w:val="ru-RU"/>
        </w:rPr>
        <w:t xml:space="preserve"> Москва, п/я 702</w:t>
      </w:r>
    </w:p>
    <w:p w14:paraId="652CFB6B"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Химический завод № 2</w:t>
      </w:r>
      <w:r w:rsidRPr="00507A31">
        <w:rPr>
          <w:color w:val="000000" w:themeColor="text1"/>
          <w:lang w:val="ru-RU"/>
        </w:rPr>
        <w:t xml:space="preserve"> Троицк Самарской губернии, п\я 2</w:t>
      </w:r>
    </w:p>
    <w:p w14:paraId="09B62CEA"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«Патрубтрест»</w:t>
      </w:r>
    </w:p>
    <w:p w14:paraId="2CE5CCD9" w14:textId="77777777" w:rsidR="00A754C6" w:rsidRPr="00507A31" w:rsidRDefault="00A754C6" w:rsidP="00507A31">
      <w:pPr>
        <w:pStyle w:val="a3"/>
        <w:rPr>
          <w:color w:val="000000" w:themeColor="text1"/>
          <w:lang w:val="ru-RU"/>
        </w:rPr>
      </w:pPr>
      <w:r w:rsidRPr="00507A31">
        <w:rPr>
          <w:color w:val="000000" w:themeColor="text1"/>
          <w:lang w:val="ru-RU"/>
        </w:rPr>
        <w:t xml:space="preserve">- </w:t>
      </w:r>
      <w:r w:rsidRPr="00507A31">
        <w:rPr>
          <w:rStyle w:val="a7"/>
          <w:b w:val="0"/>
          <w:color w:val="000000" w:themeColor="text1"/>
          <w:sz w:val="16"/>
          <w:szCs w:val="16"/>
          <w:lang w:val="ru-RU"/>
        </w:rPr>
        <w:t>Тульский патронный завод</w:t>
      </w:r>
    </w:p>
    <w:p w14:paraId="06F07162" w14:textId="77777777" w:rsidR="00A754C6" w:rsidRPr="00507A31" w:rsidRDefault="00A754C6" w:rsidP="00507A31">
      <w:pPr>
        <w:pStyle w:val="a3"/>
        <w:rPr>
          <w:color w:val="000000" w:themeColor="text1"/>
          <w:lang w:val="ru-RU"/>
        </w:rPr>
      </w:pPr>
      <w:r w:rsidRPr="00507A31">
        <w:rPr>
          <w:color w:val="000000" w:themeColor="text1"/>
          <w:lang w:val="ru-RU"/>
        </w:rPr>
        <w:t>Директор – Ильин Ф.В.</w:t>
      </w:r>
    </w:p>
    <w:p w14:paraId="513A7A31" w14:textId="77777777" w:rsidR="00A754C6" w:rsidRPr="00507A31" w:rsidRDefault="00A754C6" w:rsidP="00507A31">
      <w:pPr>
        <w:pStyle w:val="a3"/>
        <w:rPr>
          <w:color w:val="000000" w:themeColor="text1"/>
          <w:lang w:val="ru-RU"/>
        </w:rPr>
      </w:pPr>
      <w:r w:rsidRPr="00507A31">
        <w:rPr>
          <w:color w:val="000000" w:themeColor="text1"/>
          <w:lang w:val="ru-RU"/>
        </w:rPr>
        <w:t>Винтовки, ревпатроны, пушечные гильзы, патронная латунь, мельхиор</w:t>
      </w:r>
    </w:p>
    <w:p w14:paraId="4B6E8F7A" w14:textId="77777777" w:rsidR="00A754C6" w:rsidRPr="00507A31" w:rsidRDefault="00A754C6" w:rsidP="00507A31">
      <w:pPr>
        <w:pStyle w:val="a3"/>
        <w:rPr>
          <w:color w:val="000000" w:themeColor="text1"/>
          <w:lang w:val="ru-RU"/>
        </w:rPr>
      </w:pPr>
      <w:r w:rsidRPr="00507A31">
        <w:rPr>
          <w:color w:val="000000" w:themeColor="text1"/>
          <w:lang w:val="ru-RU"/>
        </w:rPr>
        <w:t>Малокалиберные патроны, примуса, самовары и пр.</w:t>
      </w:r>
    </w:p>
    <w:p w14:paraId="6B8327D0" w14:textId="77777777" w:rsidR="00A754C6" w:rsidRPr="00507A31" w:rsidRDefault="00A754C6" w:rsidP="00507A31">
      <w:pPr>
        <w:pStyle w:val="a3"/>
        <w:rPr>
          <w:color w:val="000000" w:themeColor="text1"/>
          <w:lang w:val="ru-RU"/>
        </w:rPr>
      </w:pPr>
      <w:r w:rsidRPr="00507A31">
        <w:rPr>
          <w:color w:val="000000" w:themeColor="text1"/>
          <w:lang w:val="ru-RU"/>
        </w:rPr>
        <w:t>г. Тула, п/я 37</w:t>
      </w:r>
    </w:p>
    <w:p w14:paraId="219B575E" w14:textId="77777777" w:rsidR="00A754C6" w:rsidRPr="00507A31" w:rsidRDefault="00A754C6" w:rsidP="00507A31">
      <w:pPr>
        <w:pStyle w:val="a3"/>
        <w:rPr>
          <w:color w:val="000000" w:themeColor="text1"/>
          <w:lang w:val="ru-RU"/>
        </w:rPr>
      </w:pPr>
      <w:r w:rsidRPr="00507A31">
        <w:rPr>
          <w:color w:val="000000" w:themeColor="text1"/>
          <w:lang w:val="ru-RU"/>
        </w:rPr>
        <w:t>(с 1932 года присвоен номер - №10, на незначительный период)</w:t>
      </w:r>
    </w:p>
    <w:p w14:paraId="5F736DEA" w14:textId="77777777" w:rsidR="00A754C6" w:rsidRPr="00507A31" w:rsidRDefault="00A754C6" w:rsidP="00507A31">
      <w:pPr>
        <w:pStyle w:val="a3"/>
        <w:rPr>
          <w:color w:val="000000" w:themeColor="text1"/>
          <w:lang w:val="ru-RU"/>
        </w:rPr>
      </w:pPr>
      <w:r w:rsidRPr="00507A31">
        <w:rPr>
          <w:color w:val="000000" w:themeColor="text1"/>
          <w:lang w:val="ru-RU"/>
        </w:rPr>
        <w:t xml:space="preserve">- </w:t>
      </w:r>
      <w:r w:rsidRPr="00507A31">
        <w:rPr>
          <w:rStyle w:val="a7"/>
          <w:b w:val="0"/>
          <w:color w:val="000000" w:themeColor="text1"/>
          <w:sz w:val="16"/>
          <w:szCs w:val="16"/>
          <w:lang w:val="ru-RU"/>
        </w:rPr>
        <w:t>Завод № 3 им. Володарского</w:t>
      </w:r>
    </w:p>
    <w:p w14:paraId="6A4C8FC2" w14:textId="77777777" w:rsidR="00A754C6" w:rsidRPr="00507A31" w:rsidRDefault="00A754C6" w:rsidP="00507A31">
      <w:pPr>
        <w:pStyle w:val="a3"/>
        <w:rPr>
          <w:color w:val="000000" w:themeColor="text1"/>
          <w:lang w:val="ru-RU"/>
        </w:rPr>
      </w:pPr>
      <w:r w:rsidRPr="00507A31">
        <w:rPr>
          <w:color w:val="000000" w:themeColor="text1"/>
          <w:lang w:val="ru-RU"/>
        </w:rPr>
        <w:t>Директор – Меняйло М.Л,</w:t>
      </w:r>
    </w:p>
    <w:p w14:paraId="1633F8F2" w14:textId="77777777" w:rsidR="00A754C6" w:rsidRPr="00507A31" w:rsidRDefault="00A754C6" w:rsidP="00507A31">
      <w:pPr>
        <w:pStyle w:val="a3"/>
        <w:rPr>
          <w:color w:val="000000" w:themeColor="text1"/>
          <w:lang w:val="ru-RU"/>
        </w:rPr>
      </w:pPr>
      <w:r w:rsidRPr="00507A31">
        <w:rPr>
          <w:color w:val="000000" w:themeColor="text1"/>
          <w:lang w:val="ru-RU"/>
        </w:rPr>
        <w:t>Винтпатроны и ревпатроны</w:t>
      </w:r>
    </w:p>
    <w:p w14:paraId="62E20BDE" w14:textId="77777777" w:rsidR="00A754C6" w:rsidRPr="00507A31" w:rsidRDefault="00A754C6" w:rsidP="00507A31">
      <w:pPr>
        <w:pStyle w:val="a3"/>
        <w:rPr>
          <w:color w:val="000000" w:themeColor="text1"/>
          <w:lang w:val="ru-RU"/>
        </w:rPr>
      </w:pPr>
      <w:r w:rsidRPr="00507A31">
        <w:rPr>
          <w:color w:val="000000" w:themeColor="text1"/>
          <w:lang w:val="ru-RU"/>
        </w:rPr>
        <w:t>г. Ульяновск, п/я 19</w:t>
      </w:r>
    </w:p>
    <w:p w14:paraId="14EE2715" w14:textId="77777777" w:rsidR="00A754C6" w:rsidRPr="00507A31" w:rsidRDefault="00A754C6" w:rsidP="00507A31">
      <w:pPr>
        <w:pStyle w:val="a3"/>
        <w:rPr>
          <w:color w:val="000000" w:themeColor="text1"/>
          <w:lang w:val="ru-RU"/>
        </w:rPr>
      </w:pPr>
      <w:r w:rsidRPr="00507A31">
        <w:rPr>
          <w:color w:val="000000" w:themeColor="text1"/>
          <w:lang w:val="ru-RU"/>
        </w:rPr>
        <w:t xml:space="preserve">- </w:t>
      </w:r>
      <w:r w:rsidRPr="00507A31">
        <w:rPr>
          <w:rStyle w:val="a7"/>
          <w:b w:val="0"/>
          <w:color w:val="000000" w:themeColor="text1"/>
          <w:sz w:val="16"/>
          <w:szCs w:val="16"/>
          <w:lang w:val="ru-RU"/>
        </w:rPr>
        <w:t>Завод № 17</w:t>
      </w:r>
    </w:p>
    <w:p w14:paraId="0F5E0588" w14:textId="77777777" w:rsidR="00A754C6" w:rsidRPr="00507A31" w:rsidRDefault="00A754C6" w:rsidP="00507A31">
      <w:pPr>
        <w:pStyle w:val="a3"/>
        <w:rPr>
          <w:color w:val="000000" w:themeColor="text1"/>
          <w:lang w:val="ru-RU"/>
        </w:rPr>
      </w:pPr>
      <w:r w:rsidRPr="00507A31">
        <w:rPr>
          <w:color w:val="000000" w:themeColor="text1"/>
          <w:lang w:val="ru-RU"/>
        </w:rPr>
        <w:t>Директор – Дорофеев А.Н.</w:t>
      </w:r>
    </w:p>
    <w:p w14:paraId="2506EF06" w14:textId="77777777" w:rsidR="00A754C6" w:rsidRPr="00507A31" w:rsidRDefault="00A754C6" w:rsidP="00507A31">
      <w:pPr>
        <w:pStyle w:val="a3"/>
        <w:rPr>
          <w:color w:val="000000" w:themeColor="text1"/>
          <w:lang w:val="ru-RU"/>
        </w:rPr>
      </w:pPr>
      <w:r w:rsidRPr="00507A31">
        <w:rPr>
          <w:color w:val="000000" w:themeColor="text1"/>
          <w:lang w:val="ru-RU"/>
        </w:rPr>
        <w:t>Винтпатроны и ревпатроны</w:t>
      </w:r>
    </w:p>
    <w:p w14:paraId="160C9100" w14:textId="77777777" w:rsidR="00A754C6" w:rsidRPr="00507A31" w:rsidRDefault="00A754C6" w:rsidP="00507A31">
      <w:pPr>
        <w:pStyle w:val="a3"/>
        <w:rPr>
          <w:color w:val="000000" w:themeColor="text1"/>
          <w:lang w:val="ru-RU"/>
        </w:rPr>
      </w:pPr>
      <w:r w:rsidRPr="00507A31">
        <w:rPr>
          <w:color w:val="000000" w:themeColor="text1"/>
          <w:lang w:val="ru-RU"/>
        </w:rPr>
        <w:t>Малокалиберные патроны</w:t>
      </w:r>
    </w:p>
    <w:p w14:paraId="7B235BFA" w14:textId="77777777" w:rsidR="00A754C6" w:rsidRPr="00507A31" w:rsidRDefault="00A754C6" w:rsidP="00507A31">
      <w:pPr>
        <w:pStyle w:val="a3"/>
        <w:rPr>
          <w:color w:val="000000" w:themeColor="text1"/>
          <w:lang w:val="ru-RU"/>
        </w:rPr>
      </w:pPr>
      <w:r w:rsidRPr="00507A31">
        <w:rPr>
          <w:color w:val="000000" w:themeColor="text1"/>
          <w:lang w:val="ru-RU"/>
        </w:rPr>
        <w:t>г. Подольск, п/я 17</w:t>
      </w:r>
    </w:p>
    <w:p w14:paraId="168C81C1" w14:textId="77777777" w:rsidR="00A754C6" w:rsidRPr="00507A31" w:rsidRDefault="00A754C6" w:rsidP="00507A31">
      <w:pPr>
        <w:pStyle w:val="a3"/>
        <w:rPr>
          <w:color w:val="000000" w:themeColor="text1"/>
          <w:lang w:val="ru-RU"/>
        </w:rPr>
      </w:pPr>
      <w:r w:rsidRPr="00507A31">
        <w:rPr>
          <w:color w:val="000000" w:themeColor="text1"/>
          <w:lang w:val="ru-RU"/>
        </w:rPr>
        <w:t xml:space="preserve">- </w:t>
      </w:r>
      <w:r w:rsidRPr="00507A31">
        <w:rPr>
          <w:rStyle w:val="a7"/>
          <w:b w:val="0"/>
          <w:color w:val="000000" w:themeColor="text1"/>
          <w:sz w:val="16"/>
          <w:szCs w:val="16"/>
          <w:lang w:val="ru-RU"/>
        </w:rPr>
        <w:t>Завод № 60</w:t>
      </w:r>
    </w:p>
    <w:p w14:paraId="275A8D60" w14:textId="77777777" w:rsidR="00A754C6" w:rsidRPr="00507A31" w:rsidRDefault="00A754C6" w:rsidP="00507A31">
      <w:pPr>
        <w:pStyle w:val="a3"/>
        <w:rPr>
          <w:color w:val="000000" w:themeColor="text1"/>
          <w:lang w:val="ru-RU"/>
        </w:rPr>
      </w:pPr>
      <w:r w:rsidRPr="00507A31">
        <w:rPr>
          <w:color w:val="000000" w:themeColor="text1"/>
          <w:lang w:val="ru-RU"/>
        </w:rPr>
        <w:t>Директор – Мальцев П.И.</w:t>
      </w:r>
    </w:p>
    <w:p w14:paraId="57EE618F" w14:textId="77777777" w:rsidR="00A754C6" w:rsidRPr="00507A31" w:rsidRDefault="00A754C6" w:rsidP="00507A31">
      <w:pPr>
        <w:pStyle w:val="a3"/>
        <w:rPr>
          <w:color w:val="000000" w:themeColor="text1"/>
          <w:lang w:val="ru-RU"/>
        </w:rPr>
      </w:pPr>
      <w:r w:rsidRPr="00507A31">
        <w:rPr>
          <w:color w:val="000000" w:themeColor="text1"/>
          <w:lang w:val="ru-RU"/>
        </w:rPr>
        <w:t>Винтпатроны</w:t>
      </w:r>
    </w:p>
    <w:p w14:paraId="6F2181F0" w14:textId="77777777" w:rsidR="00A754C6" w:rsidRPr="00507A31" w:rsidRDefault="00A754C6" w:rsidP="00507A31">
      <w:pPr>
        <w:pStyle w:val="a3"/>
        <w:rPr>
          <w:color w:val="000000" w:themeColor="text1"/>
          <w:lang w:val="ru-RU"/>
        </w:rPr>
      </w:pPr>
      <w:r w:rsidRPr="00507A31">
        <w:rPr>
          <w:color w:val="000000" w:themeColor="text1"/>
          <w:lang w:val="ru-RU"/>
        </w:rPr>
        <w:t>Станки для патронного производства</w:t>
      </w:r>
    </w:p>
    <w:p w14:paraId="7382CFF7" w14:textId="77777777" w:rsidR="00A754C6" w:rsidRPr="00507A31" w:rsidRDefault="00A754C6" w:rsidP="00507A31">
      <w:pPr>
        <w:pStyle w:val="a3"/>
        <w:rPr>
          <w:color w:val="000000" w:themeColor="text1"/>
          <w:lang w:val="ru-RU"/>
        </w:rPr>
      </w:pPr>
      <w:r w:rsidRPr="00507A31">
        <w:rPr>
          <w:color w:val="000000" w:themeColor="text1"/>
          <w:lang w:val="ru-RU"/>
        </w:rPr>
        <w:t>Луганск, п/я 27</w:t>
      </w:r>
    </w:p>
    <w:p w14:paraId="7C7139A0" w14:textId="77777777" w:rsidR="00A754C6" w:rsidRPr="00507A31" w:rsidRDefault="00A754C6" w:rsidP="00507A31">
      <w:pPr>
        <w:pStyle w:val="a3"/>
        <w:rPr>
          <w:color w:val="000000" w:themeColor="text1"/>
          <w:lang w:val="ru-RU"/>
        </w:rPr>
      </w:pPr>
      <w:r w:rsidRPr="00507A31">
        <w:rPr>
          <w:color w:val="000000" w:themeColor="text1"/>
          <w:lang w:val="ru-RU"/>
        </w:rPr>
        <w:t xml:space="preserve">- </w:t>
      </w:r>
      <w:r w:rsidRPr="00507A31">
        <w:rPr>
          <w:rStyle w:val="a7"/>
          <w:b w:val="0"/>
          <w:color w:val="000000" w:themeColor="text1"/>
          <w:sz w:val="16"/>
          <w:szCs w:val="16"/>
          <w:lang w:val="ru-RU"/>
        </w:rPr>
        <w:t>Московский дроболитейный завод</w:t>
      </w:r>
    </w:p>
    <w:p w14:paraId="1EBCBBEB" w14:textId="77777777" w:rsidR="00A754C6" w:rsidRPr="00507A31" w:rsidRDefault="00A754C6" w:rsidP="00507A31">
      <w:pPr>
        <w:pStyle w:val="a3"/>
        <w:rPr>
          <w:color w:val="000000" w:themeColor="text1"/>
          <w:lang w:val="ru-RU"/>
        </w:rPr>
      </w:pPr>
      <w:r w:rsidRPr="00507A31">
        <w:rPr>
          <w:color w:val="000000" w:themeColor="text1"/>
          <w:lang w:val="ru-RU"/>
        </w:rPr>
        <w:t>Директор – Перфильев Н.А.</w:t>
      </w:r>
    </w:p>
    <w:p w14:paraId="4981E589" w14:textId="77777777" w:rsidR="00A754C6" w:rsidRPr="00507A31" w:rsidRDefault="00A754C6" w:rsidP="00507A31">
      <w:pPr>
        <w:pStyle w:val="a3"/>
        <w:rPr>
          <w:color w:val="000000" w:themeColor="text1"/>
          <w:lang w:val="ru-RU"/>
        </w:rPr>
      </w:pPr>
      <w:r w:rsidRPr="00507A31">
        <w:rPr>
          <w:color w:val="000000" w:themeColor="text1"/>
          <w:lang w:val="ru-RU"/>
        </w:rPr>
        <w:t>Осветительные патроны</w:t>
      </w:r>
    </w:p>
    <w:p w14:paraId="174F9755" w14:textId="77777777" w:rsidR="00A754C6" w:rsidRPr="00507A31" w:rsidRDefault="00A754C6" w:rsidP="00507A31">
      <w:pPr>
        <w:pStyle w:val="a3"/>
        <w:rPr>
          <w:color w:val="000000" w:themeColor="text1"/>
          <w:lang w:val="ru-RU"/>
        </w:rPr>
      </w:pPr>
      <w:r w:rsidRPr="00507A31">
        <w:rPr>
          <w:color w:val="000000" w:themeColor="text1"/>
          <w:lang w:val="ru-RU"/>
        </w:rPr>
        <w:t>Охотничьи патроны, дробь, картечь, пыжи, кожевенные изделия</w:t>
      </w:r>
    </w:p>
    <w:p w14:paraId="636D5432" w14:textId="77777777" w:rsidR="00A754C6" w:rsidRPr="00507A31" w:rsidRDefault="00A754C6" w:rsidP="00507A31">
      <w:pPr>
        <w:pStyle w:val="a3"/>
        <w:rPr>
          <w:color w:val="000000" w:themeColor="text1"/>
          <w:lang w:val="ru-RU"/>
        </w:rPr>
      </w:pPr>
      <w:r w:rsidRPr="00507A31">
        <w:rPr>
          <w:color w:val="000000" w:themeColor="text1"/>
          <w:lang w:val="ru-RU"/>
        </w:rPr>
        <w:t>г. Москва, Дроболитейный пер.</w:t>
      </w:r>
    </w:p>
    <w:p w14:paraId="7443E478" w14:textId="77777777" w:rsidR="00A754C6" w:rsidRPr="00507A31" w:rsidRDefault="00A754C6" w:rsidP="00507A31">
      <w:pPr>
        <w:pStyle w:val="a3"/>
        <w:rPr>
          <w:color w:val="000000" w:themeColor="text1"/>
          <w:lang w:val="ru-RU"/>
        </w:rPr>
      </w:pPr>
      <w:r w:rsidRPr="00507A31">
        <w:rPr>
          <w:color w:val="000000" w:themeColor="text1"/>
          <w:lang w:val="ru-RU"/>
        </w:rPr>
        <w:t>(Позже Завод №58 им. Ворошилова).</w:t>
      </w:r>
    </w:p>
    <w:p w14:paraId="6BA0B56B" w14:textId="77777777" w:rsidR="00A754C6" w:rsidRPr="00507A31" w:rsidRDefault="00A754C6" w:rsidP="00507A31">
      <w:pPr>
        <w:pStyle w:val="a3"/>
        <w:rPr>
          <w:color w:val="000000" w:themeColor="text1"/>
          <w:lang w:val="ru-RU"/>
        </w:rPr>
      </w:pPr>
      <w:r w:rsidRPr="00507A31">
        <w:rPr>
          <w:color w:val="000000" w:themeColor="text1"/>
          <w:lang w:val="ru-RU"/>
        </w:rPr>
        <w:t xml:space="preserve">- </w:t>
      </w:r>
      <w:r w:rsidRPr="00507A31">
        <w:rPr>
          <w:rStyle w:val="a7"/>
          <w:b w:val="0"/>
          <w:color w:val="000000" w:themeColor="text1"/>
          <w:sz w:val="16"/>
          <w:szCs w:val="16"/>
          <w:lang w:val="ru-RU"/>
        </w:rPr>
        <w:t>Завод № 4 им. Всероссийского старосты т. Калинина</w:t>
      </w:r>
    </w:p>
    <w:p w14:paraId="0F5CC462" w14:textId="77777777" w:rsidR="00A754C6" w:rsidRPr="00507A31" w:rsidRDefault="00A754C6" w:rsidP="00507A31">
      <w:pPr>
        <w:pStyle w:val="a3"/>
        <w:rPr>
          <w:color w:val="000000" w:themeColor="text1"/>
          <w:lang w:val="ru-RU"/>
        </w:rPr>
      </w:pPr>
      <w:r w:rsidRPr="00507A31">
        <w:rPr>
          <w:color w:val="000000" w:themeColor="text1"/>
          <w:lang w:val="ru-RU"/>
        </w:rPr>
        <w:t>Директор – Холодилин Ф.И.</w:t>
      </w:r>
    </w:p>
    <w:p w14:paraId="74E6967A" w14:textId="77777777" w:rsidR="00A754C6" w:rsidRPr="00507A31" w:rsidRDefault="00A754C6" w:rsidP="00507A31">
      <w:pPr>
        <w:pStyle w:val="a3"/>
        <w:rPr>
          <w:color w:val="000000" w:themeColor="text1"/>
          <w:lang w:val="ru-RU"/>
        </w:rPr>
      </w:pPr>
      <w:r w:rsidRPr="00507A31">
        <w:rPr>
          <w:color w:val="000000" w:themeColor="text1"/>
          <w:lang w:val="ru-RU"/>
        </w:rPr>
        <w:t>Взрыватели, руж. гранаты Дьяконова и пр.</w:t>
      </w:r>
    </w:p>
    <w:p w14:paraId="4D27ACF9" w14:textId="77777777" w:rsidR="00A754C6" w:rsidRPr="00507A31" w:rsidRDefault="00A754C6" w:rsidP="00507A31">
      <w:pPr>
        <w:pStyle w:val="a3"/>
        <w:rPr>
          <w:color w:val="000000" w:themeColor="text1"/>
          <w:lang w:val="ru-RU"/>
        </w:rPr>
      </w:pPr>
      <w:r w:rsidRPr="00507A31">
        <w:rPr>
          <w:color w:val="000000" w:themeColor="text1"/>
          <w:lang w:val="ru-RU"/>
        </w:rPr>
        <w:t>Автоавиатракторные свечи, мясорубки, детали текстильных машин, станкостроение</w:t>
      </w:r>
    </w:p>
    <w:p w14:paraId="0623A09B" w14:textId="77777777" w:rsidR="00A754C6" w:rsidRPr="00507A31" w:rsidRDefault="00A754C6" w:rsidP="00507A31">
      <w:pPr>
        <w:pStyle w:val="a3"/>
        <w:rPr>
          <w:color w:val="000000" w:themeColor="text1"/>
          <w:lang w:val="ru-RU"/>
        </w:rPr>
      </w:pPr>
      <w:r w:rsidRPr="00507A31">
        <w:rPr>
          <w:color w:val="000000" w:themeColor="text1"/>
          <w:lang w:val="ru-RU"/>
        </w:rPr>
        <w:t>г. Ленинград, п/я 18</w:t>
      </w:r>
    </w:p>
    <w:p w14:paraId="1FD50D1D" w14:textId="77777777" w:rsidR="00A754C6" w:rsidRPr="00507A31" w:rsidRDefault="00A754C6" w:rsidP="00507A31">
      <w:pPr>
        <w:pStyle w:val="a3"/>
        <w:rPr>
          <w:color w:val="000000" w:themeColor="text1"/>
          <w:lang w:val="ru-RU"/>
        </w:rPr>
      </w:pPr>
      <w:r w:rsidRPr="00507A31">
        <w:rPr>
          <w:color w:val="000000" w:themeColor="text1"/>
          <w:lang w:val="ru-RU"/>
        </w:rPr>
        <w:t xml:space="preserve">- </w:t>
      </w:r>
      <w:r w:rsidRPr="00507A31">
        <w:rPr>
          <w:rStyle w:val="a7"/>
          <w:b w:val="0"/>
          <w:color w:val="000000" w:themeColor="text1"/>
          <w:sz w:val="16"/>
          <w:szCs w:val="16"/>
          <w:lang w:val="ru-RU"/>
        </w:rPr>
        <w:t>Завод № 42 им. Масленникова</w:t>
      </w:r>
    </w:p>
    <w:p w14:paraId="4B64CADB" w14:textId="77777777" w:rsidR="00A754C6" w:rsidRPr="00507A31" w:rsidRDefault="00A754C6" w:rsidP="00507A31">
      <w:pPr>
        <w:pStyle w:val="a3"/>
        <w:rPr>
          <w:color w:val="000000" w:themeColor="text1"/>
          <w:lang w:val="ru-RU"/>
        </w:rPr>
      </w:pPr>
      <w:r w:rsidRPr="00507A31">
        <w:rPr>
          <w:color w:val="000000" w:themeColor="text1"/>
          <w:lang w:val="ru-RU"/>
        </w:rPr>
        <w:t>Директор – Шмырев И.И.</w:t>
      </w:r>
    </w:p>
    <w:p w14:paraId="74C70BAC" w14:textId="77777777" w:rsidR="00A754C6" w:rsidRPr="00507A31" w:rsidRDefault="00A754C6" w:rsidP="00507A31">
      <w:pPr>
        <w:pStyle w:val="a3"/>
        <w:rPr>
          <w:color w:val="000000" w:themeColor="text1"/>
          <w:lang w:val="ru-RU"/>
        </w:rPr>
      </w:pPr>
      <w:r w:rsidRPr="00507A31">
        <w:rPr>
          <w:color w:val="000000" w:themeColor="text1"/>
          <w:lang w:val="ru-RU"/>
        </w:rPr>
        <w:t>22” и «Д» трубы, капсюльная втулка, запалы Ковешникова и пр.</w:t>
      </w:r>
    </w:p>
    <w:p w14:paraId="1317B6B4" w14:textId="77777777" w:rsidR="00A754C6" w:rsidRPr="00507A31" w:rsidRDefault="00A754C6" w:rsidP="00507A31">
      <w:pPr>
        <w:pStyle w:val="a3"/>
        <w:rPr>
          <w:color w:val="000000" w:themeColor="text1"/>
          <w:lang w:val="ru-RU"/>
        </w:rPr>
      </w:pPr>
      <w:r w:rsidRPr="00507A31">
        <w:rPr>
          <w:color w:val="000000" w:themeColor="text1"/>
          <w:lang w:val="ru-RU"/>
        </w:rPr>
        <w:t>Электроарматура, пароарматура</w:t>
      </w:r>
    </w:p>
    <w:p w14:paraId="0FC8DC8D" w14:textId="77777777" w:rsidR="00A754C6" w:rsidRPr="00507A31" w:rsidRDefault="00A754C6" w:rsidP="00507A31">
      <w:pPr>
        <w:pStyle w:val="a3"/>
        <w:rPr>
          <w:color w:val="000000" w:themeColor="text1"/>
          <w:lang w:val="ru-RU"/>
        </w:rPr>
      </w:pPr>
      <w:r w:rsidRPr="00507A31">
        <w:rPr>
          <w:color w:val="000000" w:themeColor="text1"/>
          <w:lang w:val="ru-RU"/>
        </w:rPr>
        <w:t>г. Самара, п\я 59</w:t>
      </w:r>
    </w:p>
    <w:p w14:paraId="27C1D9CD" w14:textId="77777777" w:rsidR="00A754C6" w:rsidRPr="00507A31" w:rsidRDefault="00A754C6" w:rsidP="00507A31">
      <w:pPr>
        <w:pStyle w:val="a3"/>
        <w:rPr>
          <w:color w:val="000000" w:themeColor="text1"/>
          <w:lang w:val="ru-RU"/>
        </w:rPr>
      </w:pPr>
      <w:r w:rsidRPr="00507A31">
        <w:rPr>
          <w:color w:val="000000" w:themeColor="text1"/>
          <w:lang w:val="ru-RU"/>
        </w:rPr>
        <w:t xml:space="preserve">- </w:t>
      </w:r>
      <w:r w:rsidRPr="00507A31">
        <w:rPr>
          <w:rStyle w:val="a7"/>
          <w:b w:val="0"/>
          <w:color w:val="000000" w:themeColor="text1"/>
          <w:sz w:val="16"/>
          <w:szCs w:val="16"/>
          <w:lang w:val="ru-RU"/>
        </w:rPr>
        <w:t>Завод № 50</w:t>
      </w:r>
      <w:r w:rsidRPr="00507A31">
        <w:rPr>
          <w:color w:val="000000" w:themeColor="text1"/>
          <w:lang w:val="ru-RU"/>
        </w:rPr>
        <w:t xml:space="preserve"> (Пензенский велосипедный завод) им. Фрунзе</w:t>
      </w:r>
    </w:p>
    <w:p w14:paraId="52CD5960" w14:textId="77777777" w:rsidR="00A754C6" w:rsidRPr="00507A31" w:rsidRDefault="00A754C6" w:rsidP="00507A31">
      <w:pPr>
        <w:pStyle w:val="a3"/>
        <w:rPr>
          <w:color w:val="000000" w:themeColor="text1"/>
          <w:lang w:val="ru-RU"/>
        </w:rPr>
      </w:pPr>
      <w:r w:rsidRPr="00507A31">
        <w:rPr>
          <w:color w:val="000000" w:themeColor="text1"/>
          <w:lang w:val="ru-RU"/>
        </w:rPr>
        <w:t>Директор – Дмитриев М.Е.</w:t>
      </w:r>
    </w:p>
    <w:p w14:paraId="2AEA91CA" w14:textId="77777777" w:rsidR="00A754C6" w:rsidRPr="00507A31" w:rsidRDefault="00A754C6" w:rsidP="00507A31">
      <w:pPr>
        <w:pStyle w:val="a3"/>
        <w:rPr>
          <w:color w:val="000000" w:themeColor="text1"/>
          <w:lang w:val="ru-RU"/>
        </w:rPr>
      </w:pPr>
      <w:r w:rsidRPr="00507A31">
        <w:rPr>
          <w:color w:val="000000" w:themeColor="text1"/>
          <w:lang w:val="ru-RU"/>
        </w:rPr>
        <w:t>Взрыватели и пр.</w:t>
      </w:r>
    </w:p>
    <w:p w14:paraId="03E7CB07" w14:textId="77777777" w:rsidR="00A754C6" w:rsidRPr="00507A31" w:rsidRDefault="00A754C6" w:rsidP="00507A31">
      <w:pPr>
        <w:pStyle w:val="a3"/>
        <w:rPr>
          <w:color w:val="000000" w:themeColor="text1"/>
          <w:lang w:val="ru-RU"/>
        </w:rPr>
      </w:pPr>
      <w:r w:rsidRPr="00507A31">
        <w:rPr>
          <w:color w:val="000000" w:themeColor="text1"/>
          <w:lang w:val="ru-RU"/>
        </w:rPr>
        <w:t>Велосипеды</w:t>
      </w:r>
    </w:p>
    <w:p w14:paraId="6E647A72" w14:textId="77777777" w:rsidR="00A754C6" w:rsidRPr="00507A31" w:rsidRDefault="00A754C6" w:rsidP="00507A31">
      <w:pPr>
        <w:pStyle w:val="a3"/>
        <w:rPr>
          <w:color w:val="000000" w:themeColor="text1"/>
          <w:lang w:val="ru-RU"/>
        </w:rPr>
      </w:pPr>
      <w:r w:rsidRPr="00507A31">
        <w:rPr>
          <w:color w:val="000000" w:themeColor="text1"/>
          <w:lang w:val="ru-RU"/>
        </w:rPr>
        <w:t>г. Пенза, п/я 25</w:t>
      </w:r>
    </w:p>
    <w:p w14:paraId="1FBA5C61"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Оружейно-пулеметный</w:t>
      </w:r>
    </w:p>
    <w:p w14:paraId="4B76BD8B"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Первые оружейные заводы в Туле</w:t>
      </w:r>
    </w:p>
    <w:p w14:paraId="25526234" w14:textId="77777777" w:rsidR="00A754C6" w:rsidRPr="00507A31" w:rsidRDefault="00A754C6" w:rsidP="00507A31">
      <w:pPr>
        <w:pStyle w:val="a3"/>
        <w:rPr>
          <w:color w:val="000000" w:themeColor="text1"/>
          <w:lang w:val="ru-RU"/>
        </w:rPr>
      </w:pPr>
      <w:r w:rsidRPr="00507A31">
        <w:rPr>
          <w:color w:val="000000" w:themeColor="text1"/>
          <w:lang w:val="ru-RU"/>
        </w:rPr>
        <w:t>Директор – Ситников В.Н.</w:t>
      </w:r>
    </w:p>
    <w:p w14:paraId="648E1D29" w14:textId="77777777" w:rsidR="00A754C6" w:rsidRPr="00507A31" w:rsidRDefault="00A754C6" w:rsidP="00507A31">
      <w:pPr>
        <w:pStyle w:val="a3"/>
        <w:rPr>
          <w:color w:val="000000" w:themeColor="text1"/>
          <w:lang w:val="ru-RU"/>
        </w:rPr>
      </w:pPr>
      <w:r w:rsidRPr="00507A31">
        <w:rPr>
          <w:color w:val="000000" w:themeColor="text1"/>
          <w:lang w:val="ru-RU"/>
        </w:rPr>
        <w:t>Винтовки, пулеметы и револьверы «Наган»</w:t>
      </w:r>
    </w:p>
    <w:p w14:paraId="3B01978B" w14:textId="77777777" w:rsidR="00A754C6" w:rsidRPr="00507A31" w:rsidRDefault="00A754C6" w:rsidP="00507A31">
      <w:pPr>
        <w:pStyle w:val="a3"/>
        <w:rPr>
          <w:color w:val="000000" w:themeColor="text1"/>
          <w:lang w:val="ru-RU"/>
        </w:rPr>
      </w:pPr>
      <w:r w:rsidRPr="00507A31">
        <w:rPr>
          <w:color w:val="000000" w:themeColor="text1"/>
          <w:lang w:val="ru-RU"/>
        </w:rPr>
        <w:t>Охотничье и малокалиберное оружие, инструмент, текстильное машиностроение, станкостроение</w:t>
      </w:r>
    </w:p>
    <w:p w14:paraId="471F8DAE" w14:textId="77777777" w:rsidR="00A754C6" w:rsidRPr="00507A31" w:rsidRDefault="00A754C6" w:rsidP="00507A31">
      <w:pPr>
        <w:pStyle w:val="a3"/>
        <w:rPr>
          <w:color w:val="000000" w:themeColor="text1"/>
          <w:lang w:val="ru-RU"/>
        </w:rPr>
      </w:pPr>
      <w:r w:rsidRPr="00507A31">
        <w:rPr>
          <w:color w:val="000000" w:themeColor="text1"/>
          <w:lang w:val="ru-RU"/>
        </w:rPr>
        <w:t>Тула, п/я №№ 86 и 87</w:t>
      </w:r>
    </w:p>
    <w:p w14:paraId="208B326A"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Ижевские оружейный и сталелитейный заводы</w:t>
      </w:r>
    </w:p>
    <w:p w14:paraId="1719DD0F" w14:textId="77777777" w:rsidR="00A754C6" w:rsidRPr="00507A31" w:rsidRDefault="00A754C6" w:rsidP="00507A31">
      <w:pPr>
        <w:pStyle w:val="a3"/>
        <w:rPr>
          <w:color w:val="000000" w:themeColor="text1"/>
          <w:lang w:val="ru-RU"/>
        </w:rPr>
      </w:pPr>
      <w:r w:rsidRPr="00507A31">
        <w:rPr>
          <w:color w:val="000000" w:themeColor="text1"/>
          <w:lang w:val="ru-RU"/>
        </w:rPr>
        <w:t>Директор – Ершов М.И.</w:t>
      </w:r>
    </w:p>
    <w:p w14:paraId="5642460A" w14:textId="77777777" w:rsidR="00A754C6" w:rsidRPr="00507A31" w:rsidRDefault="00A754C6" w:rsidP="00507A31">
      <w:pPr>
        <w:pStyle w:val="a3"/>
        <w:rPr>
          <w:color w:val="000000" w:themeColor="text1"/>
          <w:lang w:val="ru-RU"/>
        </w:rPr>
      </w:pPr>
      <w:r w:rsidRPr="00507A31">
        <w:rPr>
          <w:color w:val="000000" w:themeColor="text1"/>
          <w:lang w:val="ru-RU"/>
        </w:rPr>
        <w:t>Винтовки и авиапоковки</w:t>
      </w:r>
    </w:p>
    <w:p w14:paraId="4785D34F" w14:textId="77777777" w:rsidR="00A754C6" w:rsidRPr="00507A31" w:rsidRDefault="00A754C6" w:rsidP="00507A31">
      <w:pPr>
        <w:pStyle w:val="a3"/>
        <w:rPr>
          <w:color w:val="000000" w:themeColor="text1"/>
          <w:lang w:val="ru-RU"/>
        </w:rPr>
      </w:pPr>
      <w:r w:rsidRPr="00507A31">
        <w:rPr>
          <w:color w:val="000000" w:themeColor="text1"/>
          <w:lang w:val="ru-RU"/>
        </w:rPr>
        <w:t>Сталь, инструмент (включая напильники), охотружья, станкостроение</w:t>
      </w:r>
    </w:p>
    <w:p w14:paraId="74086A31" w14:textId="77777777" w:rsidR="00A754C6" w:rsidRPr="00507A31" w:rsidRDefault="00A754C6" w:rsidP="00507A31">
      <w:pPr>
        <w:pStyle w:val="a3"/>
        <w:rPr>
          <w:color w:val="000000" w:themeColor="text1"/>
          <w:lang w:val="ru-RU"/>
        </w:rPr>
      </w:pPr>
      <w:r w:rsidRPr="00507A31">
        <w:rPr>
          <w:color w:val="000000" w:themeColor="text1"/>
          <w:lang w:val="ru-RU"/>
        </w:rPr>
        <w:t>Ижевск, п/я 11</w:t>
      </w:r>
    </w:p>
    <w:p w14:paraId="01DEDA9B"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Сестрорецкий завод им. Воскова</w:t>
      </w:r>
    </w:p>
    <w:p w14:paraId="5D752913" w14:textId="77777777" w:rsidR="00A754C6" w:rsidRPr="00507A31" w:rsidRDefault="00A754C6" w:rsidP="00507A31">
      <w:pPr>
        <w:pStyle w:val="a3"/>
        <w:rPr>
          <w:color w:val="000000" w:themeColor="text1"/>
          <w:lang w:val="ru-RU"/>
        </w:rPr>
      </w:pPr>
      <w:r w:rsidRPr="00507A31">
        <w:rPr>
          <w:color w:val="000000" w:themeColor="text1"/>
          <w:lang w:val="ru-RU"/>
        </w:rPr>
        <w:t>Директор – Жбаков П.И.</w:t>
      </w:r>
    </w:p>
    <w:p w14:paraId="72B5A3A8" w14:textId="77777777" w:rsidR="00A754C6" w:rsidRPr="00507A31" w:rsidRDefault="00A754C6" w:rsidP="00507A31">
      <w:pPr>
        <w:pStyle w:val="a3"/>
        <w:rPr>
          <w:color w:val="000000" w:themeColor="text1"/>
          <w:lang w:val="ru-RU"/>
        </w:rPr>
      </w:pPr>
      <w:r w:rsidRPr="00507A31">
        <w:rPr>
          <w:color w:val="000000" w:themeColor="text1"/>
          <w:lang w:val="ru-RU"/>
        </w:rPr>
        <w:t>Принадлежность к винтовке</w:t>
      </w:r>
    </w:p>
    <w:p w14:paraId="3D544823" w14:textId="77777777" w:rsidR="00A754C6" w:rsidRPr="00507A31" w:rsidRDefault="00A754C6" w:rsidP="00507A31">
      <w:pPr>
        <w:pStyle w:val="a3"/>
        <w:rPr>
          <w:color w:val="000000" w:themeColor="text1"/>
          <w:lang w:val="ru-RU"/>
        </w:rPr>
      </w:pPr>
      <w:r w:rsidRPr="00507A31">
        <w:rPr>
          <w:color w:val="000000" w:themeColor="text1"/>
          <w:lang w:val="ru-RU"/>
        </w:rPr>
        <w:t>Мерительный инструмент</w:t>
      </w:r>
    </w:p>
    <w:p w14:paraId="656033F7" w14:textId="77777777" w:rsidR="00A754C6" w:rsidRPr="00507A31" w:rsidRDefault="00A754C6" w:rsidP="00507A31">
      <w:pPr>
        <w:pStyle w:val="a3"/>
        <w:rPr>
          <w:color w:val="000000" w:themeColor="text1"/>
          <w:lang w:val="ru-RU"/>
        </w:rPr>
      </w:pPr>
      <w:r w:rsidRPr="00507A31">
        <w:rPr>
          <w:color w:val="000000" w:themeColor="text1"/>
          <w:lang w:val="ru-RU"/>
        </w:rPr>
        <w:t>Сестрорецк, пл. Свободы</w:t>
      </w:r>
    </w:p>
    <w:p w14:paraId="36B66EFC"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Инструментальный завод № 2</w:t>
      </w:r>
    </w:p>
    <w:p w14:paraId="0FCC94BD" w14:textId="77777777" w:rsidR="00A754C6" w:rsidRPr="00507A31" w:rsidRDefault="00A754C6" w:rsidP="00507A31">
      <w:pPr>
        <w:pStyle w:val="a3"/>
        <w:rPr>
          <w:color w:val="000000" w:themeColor="text1"/>
          <w:lang w:val="ru-RU"/>
        </w:rPr>
      </w:pPr>
      <w:r w:rsidRPr="00507A31">
        <w:rPr>
          <w:color w:val="000000" w:themeColor="text1"/>
          <w:lang w:val="ru-RU"/>
        </w:rPr>
        <w:t>Директор – Бурухин А.М.</w:t>
      </w:r>
    </w:p>
    <w:p w14:paraId="3672CC4F" w14:textId="77777777" w:rsidR="00A754C6" w:rsidRPr="00507A31" w:rsidRDefault="00A754C6" w:rsidP="00507A31">
      <w:pPr>
        <w:pStyle w:val="a3"/>
        <w:rPr>
          <w:color w:val="000000" w:themeColor="text1"/>
          <w:lang w:val="ru-RU"/>
        </w:rPr>
      </w:pPr>
      <w:r w:rsidRPr="00507A31">
        <w:rPr>
          <w:color w:val="000000" w:themeColor="text1"/>
          <w:lang w:val="ru-RU"/>
        </w:rPr>
        <w:lastRenderedPageBreak/>
        <w:t>Пулеметы ручные, авиационные и танковые</w:t>
      </w:r>
    </w:p>
    <w:p w14:paraId="6D14CEA2" w14:textId="77777777" w:rsidR="00A754C6" w:rsidRPr="00507A31" w:rsidRDefault="00A754C6" w:rsidP="00507A31">
      <w:pPr>
        <w:pStyle w:val="a3"/>
        <w:rPr>
          <w:color w:val="000000" w:themeColor="text1"/>
          <w:lang w:val="ru-RU"/>
        </w:rPr>
      </w:pPr>
      <w:r w:rsidRPr="00507A31">
        <w:rPr>
          <w:color w:val="000000" w:themeColor="text1"/>
          <w:lang w:val="ru-RU"/>
        </w:rPr>
        <w:t>Ковров Владимирской области, п/я 9</w:t>
      </w:r>
    </w:p>
    <w:p w14:paraId="5248182F"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«Красногвардеец»</w:t>
      </w:r>
    </w:p>
    <w:p w14:paraId="32D49C51" w14:textId="77777777" w:rsidR="00A754C6" w:rsidRPr="00507A31" w:rsidRDefault="00A754C6" w:rsidP="00507A31">
      <w:pPr>
        <w:pStyle w:val="a3"/>
        <w:rPr>
          <w:color w:val="000000" w:themeColor="text1"/>
          <w:lang w:val="ru-RU"/>
        </w:rPr>
      </w:pPr>
      <w:r w:rsidRPr="00507A31">
        <w:rPr>
          <w:color w:val="000000" w:themeColor="text1"/>
          <w:lang w:val="ru-RU"/>
        </w:rPr>
        <w:t>Директор – Шахов А.И.</w:t>
      </w:r>
    </w:p>
    <w:p w14:paraId="217D8FB7" w14:textId="77777777" w:rsidR="00A754C6" w:rsidRPr="00507A31" w:rsidRDefault="00A754C6" w:rsidP="00507A31">
      <w:pPr>
        <w:pStyle w:val="a3"/>
        <w:rPr>
          <w:color w:val="000000" w:themeColor="text1"/>
          <w:lang w:val="ru-RU"/>
        </w:rPr>
      </w:pPr>
      <w:r w:rsidRPr="00507A31">
        <w:rPr>
          <w:color w:val="000000" w:themeColor="text1"/>
          <w:lang w:val="ru-RU"/>
        </w:rPr>
        <w:t>Производство хирургического инструмента, примусы</w:t>
      </w:r>
    </w:p>
    <w:p w14:paraId="68FF3379" w14:textId="77777777" w:rsidR="00A754C6" w:rsidRPr="00507A31" w:rsidRDefault="00A754C6" w:rsidP="00507A31">
      <w:pPr>
        <w:pStyle w:val="a3"/>
        <w:rPr>
          <w:color w:val="000000" w:themeColor="text1"/>
          <w:lang w:val="ru-RU"/>
        </w:rPr>
      </w:pPr>
      <w:r w:rsidRPr="00507A31">
        <w:rPr>
          <w:color w:val="000000" w:themeColor="text1"/>
          <w:lang w:val="ru-RU"/>
        </w:rPr>
        <w:t>Ленинград, п/я 1, Аптекарский остров</w:t>
      </w:r>
    </w:p>
    <w:p w14:paraId="21669A8D"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Военно-химический трест</w:t>
      </w:r>
    </w:p>
    <w:p w14:paraId="7843D4C8"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 40 им. Ленина</w:t>
      </w:r>
    </w:p>
    <w:p w14:paraId="5D46FA62" w14:textId="77777777" w:rsidR="00A754C6" w:rsidRPr="00507A31" w:rsidRDefault="00A754C6" w:rsidP="00507A31">
      <w:pPr>
        <w:pStyle w:val="a3"/>
        <w:rPr>
          <w:color w:val="000000" w:themeColor="text1"/>
          <w:lang w:val="ru-RU"/>
        </w:rPr>
      </w:pPr>
      <w:r w:rsidRPr="00507A31">
        <w:rPr>
          <w:color w:val="000000" w:themeColor="text1"/>
          <w:lang w:val="ru-RU"/>
        </w:rPr>
        <w:t>Директор – Чупшев Г.И.</w:t>
      </w:r>
    </w:p>
    <w:p w14:paraId="07007A04" w14:textId="77777777" w:rsidR="00A754C6" w:rsidRPr="00507A31" w:rsidRDefault="00A754C6" w:rsidP="00507A31">
      <w:pPr>
        <w:pStyle w:val="a3"/>
        <w:rPr>
          <w:color w:val="000000" w:themeColor="text1"/>
          <w:lang w:val="ru-RU"/>
        </w:rPr>
      </w:pPr>
      <w:r w:rsidRPr="00507A31">
        <w:rPr>
          <w:color w:val="000000" w:themeColor="text1"/>
          <w:lang w:val="ru-RU"/>
        </w:rPr>
        <w:t>Бездымный порох</w:t>
      </w:r>
    </w:p>
    <w:p w14:paraId="38559AF5" w14:textId="77777777" w:rsidR="00A754C6" w:rsidRPr="00507A31" w:rsidRDefault="00A754C6" w:rsidP="00507A31">
      <w:pPr>
        <w:pStyle w:val="a3"/>
        <w:rPr>
          <w:color w:val="000000" w:themeColor="text1"/>
          <w:lang w:val="ru-RU"/>
        </w:rPr>
      </w:pPr>
      <w:r w:rsidRPr="00507A31">
        <w:rPr>
          <w:color w:val="000000" w:themeColor="text1"/>
          <w:lang w:val="ru-RU"/>
        </w:rPr>
        <w:t>Ставится производство искусственного шелка</w:t>
      </w:r>
    </w:p>
    <w:p w14:paraId="472688FD" w14:textId="77777777" w:rsidR="00A754C6" w:rsidRPr="00507A31" w:rsidRDefault="00A754C6" w:rsidP="00507A31">
      <w:pPr>
        <w:pStyle w:val="a3"/>
        <w:rPr>
          <w:color w:val="000000" w:themeColor="text1"/>
          <w:lang w:val="ru-RU"/>
        </w:rPr>
      </w:pPr>
      <w:r w:rsidRPr="00507A31">
        <w:rPr>
          <w:color w:val="000000" w:themeColor="text1"/>
          <w:lang w:val="ru-RU"/>
        </w:rPr>
        <w:t>Казань, п\я 101</w:t>
      </w:r>
    </w:p>
    <w:p w14:paraId="2C621F8A"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им. Свердлова № 80</w:t>
      </w:r>
    </w:p>
    <w:p w14:paraId="4B60AB80" w14:textId="77777777" w:rsidR="00A754C6" w:rsidRPr="00507A31" w:rsidRDefault="00A754C6" w:rsidP="00507A31">
      <w:pPr>
        <w:pStyle w:val="a3"/>
        <w:rPr>
          <w:color w:val="000000" w:themeColor="text1"/>
          <w:lang w:val="ru-RU"/>
        </w:rPr>
      </w:pPr>
      <w:r w:rsidRPr="00507A31">
        <w:rPr>
          <w:color w:val="000000" w:themeColor="text1"/>
          <w:lang w:val="ru-RU"/>
        </w:rPr>
        <w:t>Директор – Кетура Н.Г.</w:t>
      </w:r>
    </w:p>
    <w:p w14:paraId="56A03A72" w14:textId="77777777" w:rsidR="00A754C6" w:rsidRPr="00507A31" w:rsidRDefault="00A754C6" w:rsidP="00507A31">
      <w:pPr>
        <w:pStyle w:val="a3"/>
        <w:rPr>
          <w:color w:val="000000" w:themeColor="text1"/>
          <w:lang w:val="ru-RU"/>
        </w:rPr>
      </w:pPr>
      <w:r w:rsidRPr="00507A31">
        <w:rPr>
          <w:color w:val="000000" w:themeColor="text1"/>
          <w:lang w:val="ru-RU"/>
        </w:rPr>
        <w:t>Тротил и снаряжение снарядов</w:t>
      </w:r>
    </w:p>
    <w:p w14:paraId="5BEF054C" w14:textId="77777777" w:rsidR="00A754C6" w:rsidRPr="00507A31" w:rsidRDefault="00A754C6" w:rsidP="00507A31">
      <w:pPr>
        <w:pStyle w:val="a3"/>
        <w:rPr>
          <w:color w:val="000000" w:themeColor="text1"/>
          <w:lang w:val="ru-RU"/>
        </w:rPr>
      </w:pPr>
      <w:r w:rsidRPr="00507A31">
        <w:rPr>
          <w:color w:val="000000" w:themeColor="text1"/>
          <w:lang w:val="ru-RU"/>
        </w:rPr>
        <w:t>Медный купорос, ставится производство аммоналов и полупродуктов красочной промышленности</w:t>
      </w:r>
    </w:p>
    <w:p w14:paraId="7BAB254C" w14:textId="77777777" w:rsidR="00A754C6" w:rsidRPr="00507A31" w:rsidRDefault="00A754C6" w:rsidP="00507A31">
      <w:pPr>
        <w:pStyle w:val="a3"/>
        <w:rPr>
          <w:color w:val="000000" w:themeColor="text1"/>
          <w:lang w:val="ru-RU"/>
        </w:rPr>
      </w:pPr>
      <w:r w:rsidRPr="00507A31">
        <w:rPr>
          <w:color w:val="000000" w:themeColor="text1"/>
          <w:lang w:val="ru-RU"/>
        </w:rPr>
        <w:t>Растяпино, п/я 5</w:t>
      </w:r>
    </w:p>
    <w:p w14:paraId="6FC2DC01"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Сергиевский завод № 11</w:t>
      </w:r>
      <w:r w:rsidRPr="00507A31">
        <w:rPr>
          <w:color w:val="000000" w:themeColor="text1"/>
          <w:lang w:val="ru-RU"/>
        </w:rPr>
        <w:t xml:space="preserve"> (Сергиевский Посад, Сергиев (1919г))</w:t>
      </w:r>
    </w:p>
    <w:p w14:paraId="217EF4E5" w14:textId="77777777" w:rsidR="00A754C6" w:rsidRPr="00507A31" w:rsidRDefault="00A754C6" w:rsidP="00507A31">
      <w:pPr>
        <w:pStyle w:val="a3"/>
        <w:rPr>
          <w:color w:val="000000" w:themeColor="text1"/>
          <w:lang w:val="ru-RU"/>
        </w:rPr>
      </w:pPr>
      <w:r w:rsidRPr="00507A31">
        <w:rPr>
          <w:color w:val="000000" w:themeColor="text1"/>
          <w:lang w:val="ru-RU"/>
        </w:rPr>
        <w:t>Директор – Жиляев Н.Д,</w:t>
      </w:r>
    </w:p>
    <w:p w14:paraId="1E85C9A3" w14:textId="77777777" w:rsidR="00A754C6" w:rsidRPr="00507A31" w:rsidRDefault="00A754C6" w:rsidP="00507A31">
      <w:pPr>
        <w:pStyle w:val="a3"/>
        <w:rPr>
          <w:color w:val="000000" w:themeColor="text1"/>
          <w:lang w:val="ru-RU"/>
        </w:rPr>
      </w:pPr>
      <w:r w:rsidRPr="00507A31">
        <w:rPr>
          <w:color w:val="000000" w:themeColor="text1"/>
          <w:lang w:val="ru-RU"/>
        </w:rPr>
        <w:t>Снаряжение ручных гранат, капсюля, сигнальные гранаты, снаряжение ВВ, инструмент.</w:t>
      </w:r>
    </w:p>
    <w:p w14:paraId="0D9540E5" w14:textId="77777777" w:rsidR="00A754C6" w:rsidRPr="00507A31" w:rsidRDefault="00A754C6" w:rsidP="00507A31">
      <w:pPr>
        <w:pStyle w:val="a3"/>
        <w:rPr>
          <w:color w:val="000000" w:themeColor="text1"/>
          <w:lang w:val="ru-RU"/>
        </w:rPr>
      </w:pPr>
      <w:r w:rsidRPr="00507A31">
        <w:rPr>
          <w:color w:val="000000" w:themeColor="text1"/>
          <w:lang w:val="ru-RU"/>
        </w:rPr>
        <w:t>Ж\д петарды и пр.</w:t>
      </w:r>
    </w:p>
    <w:p w14:paraId="31E73A07" w14:textId="77777777" w:rsidR="00A754C6" w:rsidRPr="00507A31" w:rsidRDefault="00A754C6" w:rsidP="00507A31">
      <w:pPr>
        <w:pStyle w:val="a3"/>
        <w:rPr>
          <w:color w:val="000000" w:themeColor="text1"/>
          <w:lang w:val="ru-RU"/>
        </w:rPr>
      </w:pPr>
      <w:r w:rsidRPr="00507A31">
        <w:rPr>
          <w:color w:val="000000" w:themeColor="text1"/>
          <w:lang w:val="ru-RU"/>
        </w:rPr>
        <w:t>Сергиев, Московской губернии, п/я 3</w:t>
      </w:r>
    </w:p>
    <w:p w14:paraId="0EA9F829"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Шостенский завод № 9</w:t>
      </w:r>
    </w:p>
    <w:p w14:paraId="29A1F9AA" w14:textId="77777777" w:rsidR="00A754C6" w:rsidRPr="00507A31" w:rsidRDefault="00A754C6" w:rsidP="00507A31">
      <w:pPr>
        <w:pStyle w:val="a3"/>
        <w:rPr>
          <w:color w:val="000000" w:themeColor="text1"/>
          <w:lang w:val="ru-RU"/>
        </w:rPr>
      </w:pPr>
      <w:r w:rsidRPr="00507A31">
        <w:rPr>
          <w:color w:val="000000" w:themeColor="text1"/>
          <w:lang w:val="ru-RU"/>
        </w:rPr>
        <w:t>Директор – Урицкий С.Б.</w:t>
      </w:r>
    </w:p>
    <w:p w14:paraId="45F3AE26" w14:textId="77777777" w:rsidR="00A754C6" w:rsidRPr="00507A31" w:rsidRDefault="00A754C6" w:rsidP="00507A31">
      <w:pPr>
        <w:pStyle w:val="a3"/>
        <w:rPr>
          <w:color w:val="000000" w:themeColor="text1"/>
          <w:lang w:val="ru-RU"/>
        </w:rPr>
      </w:pPr>
      <w:r w:rsidRPr="00507A31">
        <w:rPr>
          <w:color w:val="000000" w:themeColor="text1"/>
          <w:lang w:val="ru-RU"/>
        </w:rPr>
        <w:t>Капсюльное производство и может делать бездымный и дымный порох</w:t>
      </w:r>
    </w:p>
    <w:p w14:paraId="306CB4E8" w14:textId="77777777" w:rsidR="00A754C6" w:rsidRPr="00507A31" w:rsidRDefault="00A754C6" w:rsidP="00507A31">
      <w:pPr>
        <w:pStyle w:val="a3"/>
        <w:rPr>
          <w:color w:val="000000" w:themeColor="text1"/>
          <w:lang w:val="ru-RU"/>
        </w:rPr>
      </w:pPr>
      <w:r w:rsidRPr="00507A31">
        <w:rPr>
          <w:color w:val="000000" w:themeColor="text1"/>
          <w:lang w:val="ru-RU"/>
        </w:rPr>
        <w:t xml:space="preserve">Медный купорос, детонаторы, картонное производство и пр. </w:t>
      </w:r>
    </w:p>
    <w:p w14:paraId="5564FE99" w14:textId="77777777" w:rsidR="00A754C6" w:rsidRPr="00507A31" w:rsidRDefault="00A754C6" w:rsidP="00507A31">
      <w:pPr>
        <w:pStyle w:val="a3"/>
        <w:rPr>
          <w:color w:val="000000" w:themeColor="text1"/>
          <w:lang w:val="ru-RU"/>
        </w:rPr>
      </w:pPr>
      <w:r w:rsidRPr="00507A31">
        <w:rPr>
          <w:color w:val="000000" w:themeColor="text1"/>
          <w:lang w:val="ru-RU"/>
        </w:rPr>
        <w:t>Устанавливается производство фото-кинопленки</w:t>
      </w:r>
    </w:p>
    <w:p w14:paraId="1E881704" w14:textId="77777777" w:rsidR="00A754C6" w:rsidRPr="00507A31" w:rsidRDefault="00A754C6" w:rsidP="00507A31">
      <w:pPr>
        <w:pStyle w:val="a3"/>
        <w:rPr>
          <w:color w:val="000000" w:themeColor="text1"/>
          <w:lang w:val="ru-RU"/>
        </w:rPr>
      </w:pPr>
      <w:r w:rsidRPr="00507A31">
        <w:rPr>
          <w:color w:val="000000" w:themeColor="text1"/>
          <w:lang w:val="ru-RU"/>
        </w:rPr>
        <w:t xml:space="preserve">г. Шостка, Сумская обл. Украина. </w:t>
      </w:r>
    </w:p>
    <w:p w14:paraId="65E7A95A"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им. Косякова</w:t>
      </w:r>
    </w:p>
    <w:p w14:paraId="0358C4AE" w14:textId="77777777" w:rsidR="00A754C6" w:rsidRPr="00507A31" w:rsidRDefault="00A754C6" w:rsidP="00507A31">
      <w:pPr>
        <w:pStyle w:val="a3"/>
        <w:rPr>
          <w:color w:val="000000" w:themeColor="text1"/>
          <w:lang w:val="ru-RU"/>
        </w:rPr>
      </w:pPr>
      <w:r w:rsidRPr="00507A31">
        <w:rPr>
          <w:color w:val="000000" w:themeColor="text1"/>
          <w:lang w:val="ru-RU"/>
        </w:rPr>
        <w:t>Директор – Алексеев К.А.</w:t>
      </w:r>
    </w:p>
    <w:p w14:paraId="7F7DF8A9" w14:textId="77777777" w:rsidR="00A754C6" w:rsidRPr="00507A31" w:rsidRDefault="00A754C6" w:rsidP="00507A31">
      <w:pPr>
        <w:pStyle w:val="a3"/>
        <w:rPr>
          <w:color w:val="000000" w:themeColor="text1"/>
          <w:lang w:val="ru-RU"/>
        </w:rPr>
      </w:pPr>
      <w:r w:rsidRPr="00507A31">
        <w:rPr>
          <w:color w:val="000000" w:themeColor="text1"/>
          <w:lang w:val="ru-RU"/>
        </w:rPr>
        <w:t>Бездымный порох</w:t>
      </w:r>
    </w:p>
    <w:p w14:paraId="1EB9671A" w14:textId="77777777" w:rsidR="00A754C6" w:rsidRPr="00507A31" w:rsidRDefault="00A754C6" w:rsidP="00507A31">
      <w:pPr>
        <w:pStyle w:val="a3"/>
        <w:rPr>
          <w:color w:val="000000" w:themeColor="text1"/>
          <w:lang w:val="ru-RU"/>
        </w:rPr>
      </w:pPr>
      <w:r w:rsidRPr="00507A31">
        <w:rPr>
          <w:color w:val="000000" w:themeColor="text1"/>
          <w:lang w:val="ru-RU"/>
        </w:rPr>
        <w:t>Серный эфир</w:t>
      </w:r>
    </w:p>
    <w:p w14:paraId="49B52617" w14:textId="77777777" w:rsidR="00A754C6" w:rsidRPr="00507A31" w:rsidRDefault="00A754C6" w:rsidP="00507A31">
      <w:pPr>
        <w:pStyle w:val="a3"/>
        <w:rPr>
          <w:color w:val="000000" w:themeColor="text1"/>
          <w:lang w:val="ru-RU"/>
        </w:rPr>
      </w:pPr>
      <w:r w:rsidRPr="00507A31">
        <w:rPr>
          <w:color w:val="000000" w:themeColor="text1"/>
          <w:lang w:val="ru-RU"/>
        </w:rPr>
        <w:t>г. Рошаль, Московской губернии, п/я 4</w:t>
      </w:r>
    </w:p>
    <w:p w14:paraId="45830B6F"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Богородский завод № 12</w:t>
      </w:r>
    </w:p>
    <w:p w14:paraId="4F5A7B50" w14:textId="77777777" w:rsidR="00A754C6" w:rsidRPr="00507A31" w:rsidRDefault="00A754C6" w:rsidP="00507A31">
      <w:pPr>
        <w:pStyle w:val="a3"/>
        <w:rPr>
          <w:color w:val="000000" w:themeColor="text1"/>
          <w:lang w:val="ru-RU"/>
        </w:rPr>
      </w:pPr>
      <w:r w:rsidRPr="00507A31">
        <w:rPr>
          <w:color w:val="000000" w:themeColor="text1"/>
          <w:lang w:val="ru-RU"/>
        </w:rPr>
        <w:t>Директор – Титов А.Е.</w:t>
      </w:r>
    </w:p>
    <w:p w14:paraId="5D398BAB" w14:textId="77777777" w:rsidR="00A754C6" w:rsidRPr="00507A31" w:rsidRDefault="00A754C6" w:rsidP="00507A31">
      <w:pPr>
        <w:pStyle w:val="a3"/>
        <w:rPr>
          <w:color w:val="000000" w:themeColor="text1"/>
          <w:lang w:val="ru-RU"/>
        </w:rPr>
      </w:pPr>
      <w:r w:rsidRPr="00507A31">
        <w:rPr>
          <w:color w:val="000000" w:themeColor="text1"/>
          <w:lang w:val="ru-RU"/>
        </w:rPr>
        <w:t>Снаряжение снарядов, аэробомб, противогазов, производство активированного угля</w:t>
      </w:r>
    </w:p>
    <w:p w14:paraId="03B016A3" w14:textId="77777777" w:rsidR="00A754C6" w:rsidRPr="00507A31" w:rsidRDefault="00A754C6" w:rsidP="00507A31">
      <w:pPr>
        <w:pStyle w:val="a3"/>
        <w:rPr>
          <w:color w:val="000000" w:themeColor="text1"/>
          <w:lang w:val="ru-RU"/>
        </w:rPr>
      </w:pPr>
      <w:r w:rsidRPr="00507A31">
        <w:rPr>
          <w:color w:val="000000" w:themeColor="text1"/>
          <w:lang w:val="ru-RU"/>
        </w:rPr>
        <w:t>Богородск Московской губернии, п/я 1</w:t>
      </w:r>
    </w:p>
    <w:p w14:paraId="156113D4"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Ленинградский Ульяновский завод</w:t>
      </w:r>
    </w:p>
    <w:p w14:paraId="484270BA" w14:textId="77777777" w:rsidR="00A754C6" w:rsidRPr="00507A31" w:rsidRDefault="00A754C6" w:rsidP="00507A31">
      <w:pPr>
        <w:pStyle w:val="a3"/>
        <w:rPr>
          <w:color w:val="000000" w:themeColor="text1"/>
          <w:lang w:val="ru-RU"/>
        </w:rPr>
      </w:pPr>
      <w:r w:rsidRPr="00507A31">
        <w:rPr>
          <w:color w:val="000000" w:themeColor="text1"/>
          <w:lang w:val="ru-RU"/>
        </w:rPr>
        <w:t>Директор – Ходулев Ф.Т.</w:t>
      </w:r>
    </w:p>
    <w:p w14:paraId="37EB58B3" w14:textId="77777777" w:rsidR="00A754C6" w:rsidRPr="00507A31" w:rsidRDefault="00A754C6" w:rsidP="00507A31">
      <w:pPr>
        <w:pStyle w:val="a3"/>
        <w:rPr>
          <w:color w:val="000000" w:themeColor="text1"/>
          <w:lang w:val="ru-RU"/>
        </w:rPr>
      </w:pPr>
      <w:r w:rsidRPr="00507A31">
        <w:rPr>
          <w:color w:val="000000" w:themeColor="text1"/>
          <w:lang w:val="ru-RU"/>
        </w:rPr>
        <w:t>Дымный порох для трубок</w:t>
      </w:r>
    </w:p>
    <w:p w14:paraId="5AB6AFA8" w14:textId="77777777" w:rsidR="00A754C6" w:rsidRPr="00507A31" w:rsidRDefault="00A754C6" w:rsidP="00507A31">
      <w:pPr>
        <w:pStyle w:val="a3"/>
        <w:rPr>
          <w:color w:val="000000" w:themeColor="text1"/>
          <w:lang w:val="ru-RU"/>
        </w:rPr>
      </w:pPr>
      <w:r w:rsidRPr="00507A31">
        <w:rPr>
          <w:color w:val="000000" w:themeColor="text1"/>
          <w:lang w:val="ru-RU"/>
        </w:rPr>
        <w:t>Бикфордов шнур, охотничий порох</w:t>
      </w:r>
    </w:p>
    <w:p w14:paraId="2D7D97B3" w14:textId="77777777" w:rsidR="00A754C6" w:rsidRPr="00507A31" w:rsidRDefault="00A754C6" w:rsidP="00507A31">
      <w:pPr>
        <w:pStyle w:val="a3"/>
        <w:rPr>
          <w:color w:val="000000" w:themeColor="text1"/>
          <w:lang w:val="ru-RU"/>
        </w:rPr>
      </w:pPr>
      <w:r w:rsidRPr="00507A31">
        <w:rPr>
          <w:color w:val="000000" w:themeColor="text1"/>
          <w:lang w:val="ru-RU"/>
        </w:rPr>
        <w:t>Ст. Саблино Ленинградской области</w:t>
      </w:r>
    </w:p>
    <w:p w14:paraId="4631756F"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«Красный боевик» № 25</w:t>
      </w:r>
    </w:p>
    <w:p w14:paraId="72730122" w14:textId="77777777" w:rsidR="00A754C6" w:rsidRPr="00507A31" w:rsidRDefault="00A754C6" w:rsidP="00507A31">
      <w:pPr>
        <w:pStyle w:val="a3"/>
        <w:rPr>
          <w:color w:val="000000" w:themeColor="text1"/>
          <w:lang w:val="ru-RU"/>
        </w:rPr>
      </w:pPr>
      <w:r w:rsidRPr="00507A31">
        <w:rPr>
          <w:color w:val="000000" w:themeColor="text1"/>
          <w:lang w:val="ru-RU"/>
        </w:rPr>
        <w:t>Директор – Мосеев Ф.Л.</w:t>
      </w:r>
    </w:p>
    <w:p w14:paraId="40FF5F13" w14:textId="77777777" w:rsidR="00A754C6" w:rsidRPr="00507A31" w:rsidRDefault="00A754C6" w:rsidP="00507A31">
      <w:pPr>
        <w:pStyle w:val="a3"/>
        <w:rPr>
          <w:color w:val="000000" w:themeColor="text1"/>
          <w:lang w:val="ru-RU"/>
        </w:rPr>
      </w:pPr>
      <w:r w:rsidRPr="00507A31">
        <w:rPr>
          <w:color w:val="000000" w:themeColor="text1"/>
          <w:lang w:val="ru-RU"/>
        </w:rPr>
        <w:t>Подготовляется к производству бездымного пороха</w:t>
      </w:r>
    </w:p>
    <w:p w14:paraId="1FEF4122" w14:textId="77777777" w:rsidR="00A754C6" w:rsidRPr="00507A31" w:rsidRDefault="00A754C6" w:rsidP="00507A31">
      <w:pPr>
        <w:pStyle w:val="a3"/>
        <w:rPr>
          <w:color w:val="000000" w:themeColor="text1"/>
          <w:lang w:val="ru-RU"/>
        </w:rPr>
      </w:pPr>
      <w:r w:rsidRPr="00507A31">
        <w:rPr>
          <w:color w:val="000000" w:themeColor="text1"/>
          <w:lang w:val="ru-RU"/>
        </w:rPr>
        <w:t>Будет ставиться производство целлулойда</w:t>
      </w:r>
    </w:p>
    <w:p w14:paraId="38A2780A" w14:textId="77777777" w:rsidR="00A754C6" w:rsidRPr="00507A31" w:rsidRDefault="00A754C6" w:rsidP="00507A31">
      <w:pPr>
        <w:pStyle w:val="a3"/>
        <w:rPr>
          <w:color w:val="000000" w:themeColor="text1"/>
          <w:lang w:val="ru-RU"/>
        </w:rPr>
      </w:pPr>
      <w:r w:rsidRPr="00507A31">
        <w:rPr>
          <w:color w:val="000000" w:themeColor="text1"/>
          <w:lang w:val="ru-RU"/>
        </w:rPr>
        <w:t>Тамбов</w:t>
      </w:r>
    </w:p>
    <w:p w14:paraId="4BE3E46F"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«Краснознаменец»</w:t>
      </w:r>
    </w:p>
    <w:p w14:paraId="00BF5723" w14:textId="77777777" w:rsidR="00A754C6" w:rsidRPr="00507A31" w:rsidRDefault="00A754C6" w:rsidP="00507A31">
      <w:pPr>
        <w:pStyle w:val="a3"/>
        <w:rPr>
          <w:color w:val="000000" w:themeColor="text1"/>
          <w:lang w:val="ru-RU"/>
        </w:rPr>
      </w:pPr>
      <w:r w:rsidRPr="00507A31">
        <w:rPr>
          <w:color w:val="000000" w:themeColor="text1"/>
          <w:lang w:val="ru-RU"/>
        </w:rPr>
        <w:t>Директор – Абрамов Г.А.</w:t>
      </w:r>
    </w:p>
    <w:p w14:paraId="477E80E7" w14:textId="77777777" w:rsidR="00A754C6" w:rsidRPr="00507A31" w:rsidRDefault="00A754C6" w:rsidP="00507A31">
      <w:pPr>
        <w:pStyle w:val="a3"/>
        <w:rPr>
          <w:color w:val="000000" w:themeColor="text1"/>
          <w:lang w:val="ru-RU"/>
        </w:rPr>
      </w:pPr>
      <w:r w:rsidRPr="00507A31">
        <w:rPr>
          <w:color w:val="000000" w:themeColor="text1"/>
          <w:lang w:val="ru-RU"/>
        </w:rPr>
        <w:t>Револьверные и трубочные капсюли, зажигательные снаряды</w:t>
      </w:r>
    </w:p>
    <w:p w14:paraId="5B23F7AF" w14:textId="77777777" w:rsidR="00A754C6" w:rsidRPr="00507A31" w:rsidRDefault="00A754C6" w:rsidP="00507A31">
      <w:pPr>
        <w:pStyle w:val="a3"/>
        <w:rPr>
          <w:color w:val="000000" w:themeColor="text1"/>
          <w:lang w:val="ru-RU"/>
        </w:rPr>
      </w:pPr>
      <w:r w:rsidRPr="00507A31">
        <w:rPr>
          <w:color w:val="000000" w:themeColor="text1"/>
          <w:lang w:val="ru-RU"/>
        </w:rPr>
        <w:t>Капсюлированные детонаторы для горных работ и охотничьи капсюли</w:t>
      </w:r>
    </w:p>
    <w:p w14:paraId="0DE1CABF" w14:textId="77777777" w:rsidR="00A754C6" w:rsidRPr="00507A31" w:rsidRDefault="00A754C6" w:rsidP="00507A31">
      <w:pPr>
        <w:pStyle w:val="a3"/>
        <w:rPr>
          <w:color w:val="000000" w:themeColor="text1"/>
          <w:lang w:val="ru-RU"/>
        </w:rPr>
      </w:pPr>
      <w:r w:rsidRPr="00507A31">
        <w:rPr>
          <w:color w:val="000000" w:themeColor="text1"/>
          <w:lang w:val="ru-RU"/>
        </w:rPr>
        <w:t>Ленинград, п/я 1</w:t>
      </w:r>
    </w:p>
    <w:p w14:paraId="2A2BB085"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Шлиссельбургский завод им. Морозова</w:t>
      </w:r>
    </w:p>
    <w:p w14:paraId="691F9B75" w14:textId="77777777" w:rsidR="00A754C6" w:rsidRPr="00507A31" w:rsidRDefault="00A754C6" w:rsidP="00507A31">
      <w:pPr>
        <w:pStyle w:val="a3"/>
        <w:rPr>
          <w:color w:val="000000" w:themeColor="text1"/>
          <w:lang w:val="ru-RU"/>
        </w:rPr>
      </w:pPr>
      <w:r w:rsidRPr="00507A31">
        <w:rPr>
          <w:color w:val="000000" w:themeColor="text1"/>
          <w:lang w:val="ru-RU"/>
        </w:rPr>
        <w:t>Директор – Волостнов П.И.</w:t>
      </w:r>
    </w:p>
    <w:p w14:paraId="7C9BB9BB" w14:textId="77777777" w:rsidR="00A754C6" w:rsidRPr="00507A31" w:rsidRDefault="00A754C6" w:rsidP="00507A31">
      <w:pPr>
        <w:pStyle w:val="a3"/>
        <w:rPr>
          <w:color w:val="000000" w:themeColor="text1"/>
          <w:lang w:val="ru-RU"/>
        </w:rPr>
      </w:pPr>
      <w:r w:rsidRPr="00507A31">
        <w:rPr>
          <w:color w:val="000000" w:themeColor="text1"/>
          <w:lang w:val="ru-RU"/>
        </w:rPr>
        <w:t>Револьверный порох, минный порох</w:t>
      </w:r>
    </w:p>
    <w:p w14:paraId="7D314027"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Самарский завод № 15</w:t>
      </w:r>
    </w:p>
    <w:p w14:paraId="657716DF" w14:textId="77777777" w:rsidR="00A754C6" w:rsidRPr="00507A31" w:rsidRDefault="00A754C6" w:rsidP="00507A31">
      <w:pPr>
        <w:pStyle w:val="a3"/>
        <w:rPr>
          <w:color w:val="000000" w:themeColor="text1"/>
          <w:lang w:val="ru-RU"/>
        </w:rPr>
      </w:pPr>
      <w:r w:rsidRPr="00507A31">
        <w:rPr>
          <w:color w:val="000000" w:themeColor="text1"/>
          <w:lang w:val="ru-RU"/>
        </w:rPr>
        <w:t>Директор – Козловский П.А.</w:t>
      </w:r>
    </w:p>
    <w:p w14:paraId="24B548D9" w14:textId="77777777" w:rsidR="00A754C6" w:rsidRPr="00507A31" w:rsidRDefault="00A754C6" w:rsidP="00507A31">
      <w:pPr>
        <w:pStyle w:val="a3"/>
        <w:rPr>
          <w:color w:val="000000" w:themeColor="text1"/>
          <w:lang w:val="ru-RU"/>
        </w:rPr>
      </w:pPr>
      <w:r w:rsidRPr="00507A31">
        <w:rPr>
          <w:color w:val="000000" w:themeColor="text1"/>
          <w:lang w:val="ru-RU"/>
        </w:rPr>
        <w:t>Троицк Самарской области, п\я 15</w:t>
      </w:r>
    </w:p>
    <w:p w14:paraId="59B86C85"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ЦНИЛ № 84</w:t>
      </w:r>
    </w:p>
    <w:p w14:paraId="1328134B" w14:textId="77777777" w:rsidR="00A754C6" w:rsidRPr="00507A31" w:rsidRDefault="00A754C6" w:rsidP="00507A31">
      <w:pPr>
        <w:pStyle w:val="a3"/>
        <w:rPr>
          <w:color w:val="000000" w:themeColor="text1"/>
          <w:lang w:val="ru-RU"/>
        </w:rPr>
      </w:pPr>
      <w:r w:rsidRPr="00507A31">
        <w:rPr>
          <w:color w:val="000000" w:themeColor="text1"/>
          <w:lang w:val="ru-RU"/>
        </w:rPr>
        <w:t>Директор – Никитин М.А.</w:t>
      </w:r>
    </w:p>
    <w:p w14:paraId="0378EA15" w14:textId="77777777" w:rsidR="00A754C6" w:rsidRPr="00507A31" w:rsidRDefault="00A754C6" w:rsidP="00507A31">
      <w:pPr>
        <w:pStyle w:val="a3"/>
        <w:rPr>
          <w:color w:val="000000" w:themeColor="text1"/>
          <w:lang w:val="ru-RU"/>
        </w:rPr>
      </w:pPr>
      <w:r w:rsidRPr="00507A31">
        <w:rPr>
          <w:color w:val="000000" w:themeColor="text1"/>
          <w:lang w:val="ru-RU"/>
        </w:rPr>
        <w:t>Ленинград</w:t>
      </w:r>
    </w:p>
    <w:p w14:paraId="50B8E631"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Орудийно-арсенальный</w:t>
      </w:r>
    </w:p>
    <w:p w14:paraId="6063D957"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«Большевик»</w:t>
      </w:r>
    </w:p>
    <w:p w14:paraId="7195BBE3" w14:textId="77777777" w:rsidR="00A754C6" w:rsidRPr="00507A31" w:rsidRDefault="00A754C6" w:rsidP="00507A31">
      <w:pPr>
        <w:pStyle w:val="a3"/>
        <w:rPr>
          <w:color w:val="000000" w:themeColor="text1"/>
          <w:lang w:val="ru-RU"/>
        </w:rPr>
      </w:pPr>
      <w:r w:rsidRPr="00507A31">
        <w:rPr>
          <w:color w:val="000000" w:themeColor="text1"/>
          <w:lang w:val="ru-RU"/>
        </w:rPr>
        <w:t>Директор – Григорьев Н.С.</w:t>
      </w:r>
    </w:p>
    <w:p w14:paraId="1855F924" w14:textId="77777777" w:rsidR="00A754C6" w:rsidRPr="00507A31" w:rsidRDefault="00A754C6" w:rsidP="00507A31">
      <w:pPr>
        <w:pStyle w:val="a3"/>
        <w:rPr>
          <w:color w:val="000000" w:themeColor="text1"/>
          <w:lang w:val="ru-RU"/>
        </w:rPr>
      </w:pPr>
      <w:r w:rsidRPr="00507A31">
        <w:rPr>
          <w:color w:val="000000" w:themeColor="text1"/>
          <w:lang w:val="ru-RU"/>
        </w:rPr>
        <w:t>Орудийное производство (новое, ремонт и запчасти), оптика, танки, тракторы, авиамоторы</w:t>
      </w:r>
    </w:p>
    <w:p w14:paraId="35438F5A" w14:textId="77777777" w:rsidR="00A754C6" w:rsidRPr="00507A31" w:rsidRDefault="00A754C6" w:rsidP="00507A31">
      <w:pPr>
        <w:pStyle w:val="a3"/>
        <w:rPr>
          <w:color w:val="000000" w:themeColor="text1"/>
          <w:lang w:val="ru-RU"/>
        </w:rPr>
      </w:pPr>
      <w:r w:rsidRPr="00507A31">
        <w:rPr>
          <w:color w:val="000000" w:themeColor="text1"/>
          <w:lang w:val="ru-RU"/>
        </w:rPr>
        <w:t>Металлургия, литье, поковки, прокат, оптика и точная механика</w:t>
      </w:r>
    </w:p>
    <w:p w14:paraId="7BDF4F27" w14:textId="77777777" w:rsidR="00A754C6" w:rsidRPr="00507A31" w:rsidRDefault="00A754C6" w:rsidP="00507A31">
      <w:pPr>
        <w:pStyle w:val="a3"/>
        <w:rPr>
          <w:color w:val="000000" w:themeColor="text1"/>
          <w:lang w:val="ru-RU"/>
        </w:rPr>
      </w:pPr>
      <w:r w:rsidRPr="00507A31">
        <w:rPr>
          <w:color w:val="000000" w:themeColor="text1"/>
          <w:lang w:val="ru-RU"/>
        </w:rPr>
        <w:t>Ленинград</w:t>
      </w:r>
    </w:p>
    <w:p w14:paraId="40EC74BE"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«Мастяжарт»</w:t>
      </w:r>
    </w:p>
    <w:p w14:paraId="4A477451" w14:textId="77777777" w:rsidR="00A754C6" w:rsidRPr="00507A31" w:rsidRDefault="00A754C6" w:rsidP="00507A31">
      <w:pPr>
        <w:pStyle w:val="a3"/>
        <w:rPr>
          <w:color w:val="000000" w:themeColor="text1"/>
          <w:lang w:val="ru-RU"/>
        </w:rPr>
      </w:pPr>
      <w:r w:rsidRPr="00507A31">
        <w:rPr>
          <w:color w:val="000000" w:themeColor="text1"/>
          <w:lang w:val="ru-RU"/>
        </w:rPr>
        <w:t>Директор – Кузьмичев Г.Т.</w:t>
      </w:r>
    </w:p>
    <w:p w14:paraId="3246125B" w14:textId="77777777" w:rsidR="00A754C6" w:rsidRPr="00507A31" w:rsidRDefault="00A754C6" w:rsidP="00507A31">
      <w:pPr>
        <w:pStyle w:val="a3"/>
        <w:rPr>
          <w:color w:val="000000" w:themeColor="text1"/>
          <w:lang w:val="ru-RU"/>
        </w:rPr>
      </w:pPr>
      <w:r w:rsidRPr="00507A31">
        <w:rPr>
          <w:color w:val="000000" w:themeColor="text1"/>
          <w:lang w:val="ru-RU"/>
        </w:rPr>
        <w:t>Аэробомбы, противогазы, корпуса ручных гранат</w:t>
      </w:r>
    </w:p>
    <w:p w14:paraId="453AF91C" w14:textId="77777777" w:rsidR="00A754C6" w:rsidRPr="00507A31" w:rsidRDefault="00A754C6" w:rsidP="00507A31">
      <w:pPr>
        <w:pStyle w:val="a3"/>
        <w:rPr>
          <w:color w:val="000000" w:themeColor="text1"/>
          <w:lang w:val="ru-RU"/>
        </w:rPr>
      </w:pPr>
      <w:r w:rsidRPr="00507A31">
        <w:rPr>
          <w:color w:val="000000" w:themeColor="text1"/>
          <w:lang w:val="ru-RU"/>
        </w:rPr>
        <w:t>Разные изделия из жести, котельные работы и пр.</w:t>
      </w:r>
    </w:p>
    <w:p w14:paraId="02738F07" w14:textId="77777777" w:rsidR="00A754C6" w:rsidRPr="00507A31" w:rsidRDefault="00A754C6" w:rsidP="00507A31">
      <w:pPr>
        <w:pStyle w:val="a3"/>
        <w:rPr>
          <w:color w:val="000000" w:themeColor="text1"/>
          <w:lang w:val="ru-RU"/>
        </w:rPr>
      </w:pPr>
      <w:r w:rsidRPr="00507A31">
        <w:rPr>
          <w:color w:val="000000" w:themeColor="text1"/>
          <w:lang w:val="ru-RU"/>
        </w:rPr>
        <w:t>Москва, 58, п/я 1, Семеновская застава, ул. Вельяминовская, 32</w:t>
      </w:r>
    </w:p>
    <w:p w14:paraId="2642A994"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точной механики № 19</w:t>
      </w:r>
    </w:p>
    <w:p w14:paraId="667068C9" w14:textId="77777777" w:rsidR="00A754C6" w:rsidRPr="00507A31" w:rsidRDefault="00A754C6" w:rsidP="00507A31">
      <w:pPr>
        <w:pStyle w:val="a3"/>
        <w:rPr>
          <w:color w:val="000000" w:themeColor="text1"/>
          <w:lang w:val="ru-RU"/>
        </w:rPr>
      </w:pPr>
      <w:r w:rsidRPr="00507A31">
        <w:rPr>
          <w:color w:val="000000" w:themeColor="text1"/>
          <w:lang w:val="ru-RU"/>
        </w:rPr>
        <w:t>Директор – Титов И.Т.</w:t>
      </w:r>
    </w:p>
    <w:p w14:paraId="0170C595" w14:textId="77777777" w:rsidR="00A754C6" w:rsidRPr="00507A31" w:rsidRDefault="00A754C6" w:rsidP="00507A31">
      <w:pPr>
        <w:pStyle w:val="a3"/>
        <w:rPr>
          <w:color w:val="000000" w:themeColor="text1"/>
          <w:lang w:val="ru-RU"/>
        </w:rPr>
      </w:pPr>
      <w:r w:rsidRPr="00507A31">
        <w:rPr>
          <w:color w:val="000000" w:themeColor="text1"/>
          <w:lang w:val="ru-RU"/>
        </w:rPr>
        <w:t>Оптическое производство: стереотрубы, бинокли, панорамы и ремонт оптики</w:t>
      </w:r>
    </w:p>
    <w:p w14:paraId="5E58A172" w14:textId="77777777" w:rsidR="00A754C6" w:rsidRPr="00507A31" w:rsidRDefault="00A754C6" w:rsidP="00507A31">
      <w:pPr>
        <w:pStyle w:val="a3"/>
        <w:rPr>
          <w:color w:val="000000" w:themeColor="text1"/>
          <w:lang w:val="ru-RU"/>
        </w:rPr>
      </w:pPr>
      <w:r w:rsidRPr="00507A31">
        <w:rPr>
          <w:color w:val="000000" w:themeColor="text1"/>
          <w:lang w:val="ru-RU"/>
        </w:rPr>
        <w:t>Линзы и оправы очковые, объективы и лупы разные</w:t>
      </w:r>
    </w:p>
    <w:p w14:paraId="093674BA" w14:textId="77777777" w:rsidR="00A754C6" w:rsidRPr="00507A31" w:rsidRDefault="00A754C6" w:rsidP="00507A31">
      <w:pPr>
        <w:pStyle w:val="a3"/>
        <w:rPr>
          <w:color w:val="000000" w:themeColor="text1"/>
          <w:lang w:val="ru-RU"/>
        </w:rPr>
      </w:pPr>
      <w:r w:rsidRPr="00507A31">
        <w:rPr>
          <w:color w:val="000000" w:themeColor="text1"/>
          <w:lang w:val="ru-RU"/>
        </w:rPr>
        <w:t>Павшино, п/я 2</w:t>
      </w:r>
    </w:p>
    <w:p w14:paraId="0928A824"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Механический завод № 13</w:t>
      </w:r>
    </w:p>
    <w:p w14:paraId="77C712C4" w14:textId="77777777" w:rsidR="00A754C6" w:rsidRPr="00507A31" w:rsidRDefault="00A754C6" w:rsidP="00507A31">
      <w:pPr>
        <w:pStyle w:val="a3"/>
        <w:rPr>
          <w:color w:val="000000" w:themeColor="text1"/>
          <w:lang w:val="ru-RU"/>
        </w:rPr>
      </w:pPr>
      <w:r w:rsidRPr="00507A31">
        <w:rPr>
          <w:color w:val="000000" w:themeColor="text1"/>
          <w:lang w:val="ru-RU"/>
        </w:rPr>
        <w:t>Директор – Иванов К.В.</w:t>
      </w:r>
    </w:p>
    <w:p w14:paraId="2B27D10E" w14:textId="77777777" w:rsidR="00A754C6" w:rsidRPr="00507A31" w:rsidRDefault="00A754C6" w:rsidP="00507A31">
      <w:pPr>
        <w:pStyle w:val="a3"/>
        <w:rPr>
          <w:color w:val="000000" w:themeColor="text1"/>
          <w:lang w:val="ru-RU"/>
        </w:rPr>
      </w:pPr>
      <w:r w:rsidRPr="00507A31">
        <w:rPr>
          <w:color w:val="000000" w:themeColor="text1"/>
          <w:lang w:val="ru-RU"/>
        </w:rPr>
        <w:t>Арсенальное производство: аммуниция, снарядные прицепки, перестволение, повозки конной тяги, механические тяги</w:t>
      </w:r>
    </w:p>
    <w:p w14:paraId="318BD6A3" w14:textId="77777777" w:rsidR="00A754C6" w:rsidRPr="00507A31" w:rsidRDefault="00A754C6" w:rsidP="00507A31">
      <w:pPr>
        <w:pStyle w:val="a3"/>
        <w:rPr>
          <w:color w:val="000000" w:themeColor="text1"/>
          <w:lang w:val="ru-RU"/>
        </w:rPr>
      </w:pPr>
      <w:r w:rsidRPr="00507A31">
        <w:rPr>
          <w:color w:val="000000" w:themeColor="text1"/>
          <w:lang w:val="ru-RU"/>
        </w:rPr>
        <w:t>Текстильное машиностроение</w:t>
      </w:r>
    </w:p>
    <w:p w14:paraId="5CB5E8CE" w14:textId="77777777" w:rsidR="00A754C6" w:rsidRPr="00507A31" w:rsidRDefault="00A754C6" w:rsidP="00507A31">
      <w:pPr>
        <w:pStyle w:val="a3"/>
        <w:rPr>
          <w:color w:val="000000" w:themeColor="text1"/>
          <w:lang w:val="ru-RU"/>
        </w:rPr>
      </w:pPr>
      <w:r w:rsidRPr="00507A31">
        <w:rPr>
          <w:color w:val="000000" w:themeColor="text1"/>
          <w:lang w:val="ru-RU"/>
        </w:rPr>
        <w:t>Брянск, п/я 6</w:t>
      </w:r>
    </w:p>
    <w:p w14:paraId="49B10C83"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 8 им. Калинина</w:t>
      </w:r>
    </w:p>
    <w:p w14:paraId="2839EA16" w14:textId="77777777" w:rsidR="00A754C6" w:rsidRPr="00507A31" w:rsidRDefault="00A754C6" w:rsidP="00507A31">
      <w:pPr>
        <w:pStyle w:val="a3"/>
        <w:rPr>
          <w:color w:val="000000" w:themeColor="text1"/>
          <w:lang w:val="ru-RU"/>
        </w:rPr>
      </w:pPr>
      <w:r w:rsidRPr="00507A31">
        <w:rPr>
          <w:color w:val="000000" w:themeColor="text1"/>
          <w:lang w:val="ru-RU"/>
        </w:rPr>
        <w:t>Директор – Гузаков П.В.</w:t>
      </w:r>
    </w:p>
    <w:p w14:paraId="50D6286E" w14:textId="77777777" w:rsidR="00A754C6" w:rsidRPr="00507A31" w:rsidRDefault="00A754C6" w:rsidP="00507A31">
      <w:pPr>
        <w:pStyle w:val="a3"/>
        <w:rPr>
          <w:color w:val="000000" w:themeColor="text1"/>
          <w:lang w:val="ru-RU"/>
        </w:rPr>
      </w:pPr>
      <w:r w:rsidRPr="00507A31">
        <w:rPr>
          <w:color w:val="000000" w:themeColor="text1"/>
          <w:lang w:val="ru-RU"/>
        </w:rPr>
        <w:t>Орудийное производство (новое, ремонт и запчасти) и точная механика</w:t>
      </w:r>
    </w:p>
    <w:p w14:paraId="42D9E704" w14:textId="77777777" w:rsidR="00A754C6" w:rsidRPr="00507A31" w:rsidRDefault="00A754C6" w:rsidP="00507A31">
      <w:pPr>
        <w:pStyle w:val="a3"/>
        <w:rPr>
          <w:color w:val="000000" w:themeColor="text1"/>
          <w:lang w:val="ru-RU"/>
        </w:rPr>
      </w:pPr>
      <w:r w:rsidRPr="00507A31">
        <w:rPr>
          <w:color w:val="000000" w:themeColor="text1"/>
          <w:lang w:val="ru-RU"/>
        </w:rPr>
        <w:lastRenderedPageBreak/>
        <w:t>Пресс Гагарина</w:t>
      </w:r>
    </w:p>
    <w:p w14:paraId="3C80633D" w14:textId="77777777" w:rsidR="00A754C6" w:rsidRPr="00507A31" w:rsidRDefault="00A754C6" w:rsidP="00507A31">
      <w:pPr>
        <w:pStyle w:val="a3"/>
        <w:rPr>
          <w:color w:val="000000" w:themeColor="text1"/>
          <w:lang w:val="ru-RU"/>
        </w:rPr>
      </w:pPr>
      <w:r w:rsidRPr="00507A31">
        <w:rPr>
          <w:color w:val="000000" w:themeColor="text1"/>
          <w:lang w:val="ru-RU"/>
        </w:rPr>
        <w:t>Мытищи Московской губернии, п/я 1</w:t>
      </w:r>
    </w:p>
    <w:p w14:paraId="246BEC62"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Мотовилихинский машиностроительный завод</w:t>
      </w:r>
    </w:p>
    <w:p w14:paraId="5B58418B" w14:textId="77777777" w:rsidR="00A754C6" w:rsidRPr="00507A31" w:rsidRDefault="00A754C6" w:rsidP="00507A31">
      <w:pPr>
        <w:pStyle w:val="a3"/>
        <w:rPr>
          <w:color w:val="000000" w:themeColor="text1"/>
          <w:lang w:val="ru-RU"/>
        </w:rPr>
      </w:pPr>
      <w:r w:rsidRPr="00507A31">
        <w:rPr>
          <w:color w:val="000000" w:themeColor="text1"/>
          <w:lang w:val="ru-RU"/>
        </w:rPr>
        <w:t>Директор – Кустов А.Я.</w:t>
      </w:r>
    </w:p>
    <w:p w14:paraId="63D75872" w14:textId="77777777" w:rsidR="00A754C6" w:rsidRPr="00507A31" w:rsidRDefault="00A754C6" w:rsidP="00507A31">
      <w:pPr>
        <w:pStyle w:val="a3"/>
        <w:rPr>
          <w:color w:val="000000" w:themeColor="text1"/>
          <w:lang w:val="ru-RU"/>
        </w:rPr>
      </w:pPr>
      <w:r w:rsidRPr="00507A31">
        <w:rPr>
          <w:color w:val="000000" w:themeColor="text1"/>
          <w:lang w:val="ru-RU"/>
        </w:rPr>
        <w:t>Орудийное производство (новое, ремонт и запчасти), снаряды, поковки, авиапоковки: валы, втулки и цилиндры, танки, перестволение</w:t>
      </w:r>
    </w:p>
    <w:p w14:paraId="5768FD48" w14:textId="77777777" w:rsidR="00A754C6" w:rsidRPr="00507A31" w:rsidRDefault="00A754C6" w:rsidP="00507A31">
      <w:pPr>
        <w:pStyle w:val="a3"/>
        <w:rPr>
          <w:color w:val="000000" w:themeColor="text1"/>
          <w:lang w:val="ru-RU"/>
        </w:rPr>
      </w:pPr>
      <w:r w:rsidRPr="00507A31">
        <w:rPr>
          <w:color w:val="000000" w:themeColor="text1"/>
          <w:lang w:val="ru-RU"/>
        </w:rPr>
        <w:t>Поковки, литье, двигатели Болиндра, инструмент, драги, прокат и обжатая заготовка</w:t>
      </w:r>
    </w:p>
    <w:p w14:paraId="71C99443"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Киевский краснознаменный завод</w:t>
      </w:r>
    </w:p>
    <w:p w14:paraId="5D49B7C3" w14:textId="77777777" w:rsidR="00A754C6" w:rsidRPr="00507A31" w:rsidRDefault="00A754C6" w:rsidP="00507A31">
      <w:pPr>
        <w:pStyle w:val="a3"/>
        <w:rPr>
          <w:color w:val="000000" w:themeColor="text1"/>
          <w:lang w:val="ru-RU"/>
        </w:rPr>
      </w:pPr>
      <w:r w:rsidRPr="00507A31">
        <w:rPr>
          <w:color w:val="000000" w:themeColor="text1"/>
          <w:lang w:val="ru-RU"/>
        </w:rPr>
        <w:t>Директор – Чернышев Ф.М.</w:t>
      </w:r>
    </w:p>
    <w:p w14:paraId="701BA38E" w14:textId="77777777" w:rsidR="00A754C6" w:rsidRPr="00507A31" w:rsidRDefault="00A754C6" w:rsidP="00507A31">
      <w:pPr>
        <w:pStyle w:val="a3"/>
        <w:rPr>
          <w:color w:val="000000" w:themeColor="text1"/>
          <w:lang w:val="ru-RU"/>
        </w:rPr>
      </w:pPr>
      <w:r w:rsidRPr="00507A31">
        <w:rPr>
          <w:color w:val="000000" w:themeColor="text1"/>
          <w:lang w:val="ru-RU"/>
        </w:rPr>
        <w:t>Арсенальное производство: передки, лафеты, колеса боевые, ремонт, запчасти, пулемет тачанки, аэробомбы, двуколки патронные, повозки парные, колеса обозные</w:t>
      </w:r>
    </w:p>
    <w:p w14:paraId="6F5E781E" w14:textId="77777777" w:rsidR="00A754C6" w:rsidRPr="00507A31" w:rsidRDefault="00A754C6" w:rsidP="00507A31">
      <w:pPr>
        <w:pStyle w:val="a3"/>
        <w:rPr>
          <w:color w:val="000000" w:themeColor="text1"/>
          <w:lang w:val="ru-RU"/>
        </w:rPr>
      </w:pPr>
      <w:r w:rsidRPr="00507A31">
        <w:rPr>
          <w:color w:val="000000" w:themeColor="text1"/>
          <w:lang w:val="ru-RU"/>
        </w:rPr>
        <w:t>Текстильное машиностроение, станки и валки мелничные, веялки</w:t>
      </w:r>
    </w:p>
    <w:p w14:paraId="163308B8" w14:textId="77777777" w:rsidR="00A754C6" w:rsidRPr="00507A31" w:rsidRDefault="00A754C6" w:rsidP="00507A31">
      <w:pPr>
        <w:pStyle w:val="a3"/>
        <w:rPr>
          <w:color w:val="000000" w:themeColor="text1"/>
          <w:lang w:val="ru-RU"/>
        </w:rPr>
      </w:pPr>
      <w:r w:rsidRPr="00507A31">
        <w:rPr>
          <w:color w:val="000000" w:themeColor="text1"/>
          <w:lang w:val="ru-RU"/>
        </w:rPr>
        <w:t>Киев 2, п/я 1</w:t>
      </w:r>
    </w:p>
    <w:p w14:paraId="3EE22B06"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Механический завод № 7</w:t>
      </w:r>
    </w:p>
    <w:p w14:paraId="05995728" w14:textId="77777777" w:rsidR="00A754C6" w:rsidRPr="00507A31" w:rsidRDefault="00A754C6" w:rsidP="00507A31">
      <w:pPr>
        <w:pStyle w:val="a3"/>
        <w:rPr>
          <w:color w:val="000000" w:themeColor="text1"/>
          <w:lang w:val="ru-RU"/>
        </w:rPr>
      </w:pPr>
      <w:r w:rsidRPr="00507A31">
        <w:rPr>
          <w:color w:val="000000" w:themeColor="text1"/>
          <w:lang w:val="ru-RU"/>
        </w:rPr>
        <w:t>Директор – Руда И.П.</w:t>
      </w:r>
    </w:p>
    <w:p w14:paraId="66B14211" w14:textId="77777777" w:rsidR="00A754C6" w:rsidRPr="00507A31" w:rsidRDefault="00A754C6" w:rsidP="00507A31">
      <w:pPr>
        <w:pStyle w:val="a3"/>
        <w:rPr>
          <w:color w:val="000000" w:themeColor="text1"/>
          <w:lang w:val="ru-RU"/>
        </w:rPr>
      </w:pPr>
      <w:r w:rsidRPr="00507A31">
        <w:rPr>
          <w:color w:val="000000" w:themeColor="text1"/>
          <w:lang w:val="ru-RU"/>
        </w:rPr>
        <w:t>Арсенальное производство: ремонт и запчасти артиллерии, колеса, седла, снарядные прицепки, прицепные повозки, зарядные ящики и аэробомбы, авиахимбомбы, хлебопекарни</w:t>
      </w:r>
    </w:p>
    <w:p w14:paraId="39406A48" w14:textId="77777777" w:rsidR="00A754C6" w:rsidRPr="00507A31" w:rsidRDefault="00A754C6" w:rsidP="00507A31">
      <w:pPr>
        <w:pStyle w:val="a3"/>
        <w:rPr>
          <w:color w:val="000000" w:themeColor="text1"/>
          <w:lang w:val="ru-RU"/>
        </w:rPr>
      </w:pPr>
      <w:r w:rsidRPr="00507A31">
        <w:rPr>
          <w:color w:val="000000" w:themeColor="text1"/>
          <w:lang w:val="ru-RU"/>
        </w:rPr>
        <w:t>Банкоброши, ленточные машины, ткацкие автоматы и запчасти к текстильным машинам</w:t>
      </w:r>
    </w:p>
    <w:p w14:paraId="773A1967" w14:textId="77777777" w:rsidR="00A754C6" w:rsidRPr="00507A31" w:rsidRDefault="00A754C6" w:rsidP="00507A31">
      <w:pPr>
        <w:pStyle w:val="a3"/>
        <w:rPr>
          <w:color w:val="000000" w:themeColor="text1"/>
          <w:lang w:val="ru-RU"/>
        </w:rPr>
      </w:pPr>
      <w:r w:rsidRPr="00507A31">
        <w:rPr>
          <w:color w:val="000000" w:themeColor="text1"/>
          <w:lang w:val="ru-RU"/>
        </w:rPr>
        <w:t>Ленинград 9, п/я 1</w:t>
      </w:r>
    </w:p>
    <w:p w14:paraId="0AED8F0A"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«ЛЕНЗОС»</w:t>
      </w:r>
    </w:p>
    <w:p w14:paraId="5695279B" w14:textId="77777777" w:rsidR="00A754C6" w:rsidRPr="00507A31" w:rsidRDefault="00A754C6" w:rsidP="00507A31">
      <w:pPr>
        <w:pStyle w:val="a3"/>
        <w:rPr>
          <w:color w:val="000000" w:themeColor="text1"/>
          <w:lang w:val="ru-RU"/>
        </w:rPr>
      </w:pPr>
      <w:r w:rsidRPr="00507A31">
        <w:rPr>
          <w:color w:val="000000" w:themeColor="text1"/>
          <w:lang w:val="ru-RU"/>
        </w:rPr>
        <w:t>Директор – Иванов В.И.</w:t>
      </w:r>
    </w:p>
    <w:p w14:paraId="331D4F42" w14:textId="77777777" w:rsidR="00A754C6" w:rsidRPr="00507A31" w:rsidRDefault="00A754C6" w:rsidP="00507A31">
      <w:pPr>
        <w:pStyle w:val="a3"/>
        <w:rPr>
          <w:color w:val="000000" w:themeColor="text1"/>
          <w:lang w:val="ru-RU"/>
        </w:rPr>
      </w:pPr>
      <w:r w:rsidRPr="00507A31">
        <w:rPr>
          <w:color w:val="000000" w:themeColor="text1"/>
          <w:lang w:val="ru-RU"/>
        </w:rPr>
        <w:t>Ленинград 12, п/я 1</w:t>
      </w:r>
    </w:p>
    <w:p w14:paraId="06766AAD"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Завод «Баррикады»</w:t>
      </w:r>
    </w:p>
    <w:p w14:paraId="07E71E35" w14:textId="77777777" w:rsidR="00A754C6" w:rsidRPr="00507A31" w:rsidRDefault="00A754C6" w:rsidP="00507A31">
      <w:pPr>
        <w:pStyle w:val="a3"/>
        <w:rPr>
          <w:color w:val="000000" w:themeColor="text1"/>
          <w:lang w:val="ru-RU"/>
        </w:rPr>
      </w:pPr>
      <w:r w:rsidRPr="00507A31">
        <w:rPr>
          <w:color w:val="000000" w:themeColor="text1"/>
          <w:lang w:val="ru-RU"/>
        </w:rPr>
        <w:t>Директор – Зотов Г.Т.</w:t>
      </w:r>
    </w:p>
    <w:p w14:paraId="487E82F0" w14:textId="77777777" w:rsidR="00A754C6" w:rsidRPr="00507A31" w:rsidRDefault="00A754C6" w:rsidP="00507A31">
      <w:pPr>
        <w:pStyle w:val="a3"/>
        <w:rPr>
          <w:color w:val="000000" w:themeColor="text1"/>
          <w:lang w:val="ru-RU"/>
        </w:rPr>
      </w:pPr>
      <w:r w:rsidRPr="00507A31">
        <w:rPr>
          <w:color w:val="000000" w:themeColor="text1"/>
          <w:lang w:val="ru-RU"/>
        </w:rPr>
        <w:t>Производство оборудования для нефтяной, писчебумажной и силикатной промышленности, поковки, литье</w:t>
      </w:r>
    </w:p>
    <w:p w14:paraId="3872070E" w14:textId="77777777" w:rsidR="00A754C6" w:rsidRPr="00507A31" w:rsidRDefault="00A754C6" w:rsidP="00507A31">
      <w:pPr>
        <w:pStyle w:val="a3"/>
        <w:rPr>
          <w:color w:val="000000" w:themeColor="text1"/>
          <w:lang w:val="ru-RU"/>
        </w:rPr>
      </w:pPr>
      <w:r w:rsidRPr="00507A31">
        <w:rPr>
          <w:color w:val="000000" w:themeColor="text1"/>
          <w:lang w:val="ru-RU"/>
        </w:rPr>
        <w:t>Сталинград, п/я 113</w:t>
      </w:r>
    </w:p>
    <w:p w14:paraId="09858413" w14:textId="77777777" w:rsidR="00A754C6" w:rsidRPr="00507A31" w:rsidRDefault="00A754C6" w:rsidP="00507A31">
      <w:pPr>
        <w:pStyle w:val="a3"/>
        <w:rPr>
          <w:color w:val="000000" w:themeColor="text1"/>
          <w:lang w:val="ru-RU"/>
        </w:rPr>
      </w:pPr>
      <w:r w:rsidRPr="00507A31">
        <w:rPr>
          <w:rStyle w:val="a7"/>
          <w:b w:val="0"/>
          <w:color w:val="000000" w:themeColor="text1"/>
          <w:sz w:val="16"/>
          <w:szCs w:val="16"/>
          <w:lang w:val="ru-RU"/>
        </w:rPr>
        <w:t>- Изюмский завод оптического стекла им. Дзержинского</w:t>
      </w:r>
    </w:p>
    <w:p w14:paraId="6228742A" w14:textId="77777777" w:rsidR="00A754C6" w:rsidRPr="00507A31" w:rsidRDefault="00A754C6" w:rsidP="00507A31">
      <w:pPr>
        <w:pStyle w:val="a3"/>
        <w:rPr>
          <w:color w:val="000000" w:themeColor="text1"/>
          <w:lang w:val="ru-RU"/>
        </w:rPr>
      </w:pPr>
      <w:r w:rsidRPr="00507A31">
        <w:rPr>
          <w:color w:val="000000" w:themeColor="text1"/>
          <w:lang w:val="ru-RU"/>
        </w:rPr>
        <w:t>Директор – Виксне Я.П.</w:t>
      </w:r>
    </w:p>
    <w:p w14:paraId="44FD4FFE" w14:textId="77777777" w:rsidR="00A754C6" w:rsidRPr="00507A31" w:rsidRDefault="00A754C6" w:rsidP="00507A31">
      <w:pPr>
        <w:pStyle w:val="a3"/>
        <w:rPr>
          <w:color w:val="000000" w:themeColor="text1"/>
          <w:lang w:val="ru-RU"/>
        </w:rPr>
      </w:pPr>
      <w:r w:rsidRPr="00507A31">
        <w:rPr>
          <w:color w:val="000000" w:themeColor="text1"/>
          <w:lang w:val="ru-RU"/>
        </w:rPr>
        <w:t>Оптическое стекло</w:t>
      </w:r>
    </w:p>
    <w:p w14:paraId="44F289DB" w14:textId="77777777" w:rsidR="00A754C6" w:rsidRPr="00507A31" w:rsidRDefault="00A754C6" w:rsidP="00507A31">
      <w:pPr>
        <w:pStyle w:val="a3"/>
        <w:rPr>
          <w:color w:val="000000" w:themeColor="text1"/>
          <w:lang w:val="ru-RU"/>
        </w:rPr>
      </w:pPr>
      <w:r w:rsidRPr="00507A31">
        <w:rPr>
          <w:color w:val="000000" w:themeColor="text1"/>
          <w:lang w:val="ru-RU"/>
        </w:rPr>
        <w:t>Очковые стекла и огнеупорные изделия</w:t>
      </w:r>
    </w:p>
    <w:p w14:paraId="279F7472" w14:textId="77777777" w:rsidR="00A754C6" w:rsidRPr="00507A31" w:rsidRDefault="00A754C6" w:rsidP="00507A31">
      <w:pPr>
        <w:pStyle w:val="a3"/>
        <w:rPr>
          <w:color w:val="000000" w:themeColor="text1"/>
          <w:lang w:val="ru-RU"/>
        </w:rPr>
      </w:pPr>
      <w:r w:rsidRPr="00507A31">
        <w:rPr>
          <w:color w:val="000000" w:themeColor="text1"/>
          <w:lang w:val="ru-RU"/>
        </w:rPr>
        <w:t>Изюм, п/я 24 (17138).</w:t>
      </w:r>
    </w:p>
    <w:p w14:paraId="2B4303BF" w14:textId="77777777" w:rsidR="00A754C6" w:rsidRPr="00507A31" w:rsidRDefault="00A754C6" w:rsidP="00507A31">
      <w:pPr>
        <w:pStyle w:val="a3"/>
        <w:rPr>
          <w:color w:val="000000" w:themeColor="text1"/>
          <w:lang w:val="ru-RU"/>
        </w:rPr>
      </w:pPr>
    </w:p>
    <w:p w14:paraId="44F3710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мастерские реорганизованы в Ленинградский государственный завод подъемно-транспортных сооружений (Ленинградский государственный завод подъемно-транспортных сооружений им. С.М. Кирова ВСНХ, НКТП, НКТМ, Ленинградский государственный завод подъемно- транспортного оборудования (ПТО) им. С.М. Кирова, ПО «Ленподъемтрансмаш» им. С.М. Кирова, АООТ, ОАО Подъемно-транспортного машиностроения («Подъемтрансмаш») /г. Ленинград/), в 1931 г. заводу присвоено имя С.М. Кирова, он передан в ведение ВО трестов подъемно-транспортных сооружений ВСНХ, с 1923 г. - в ведении НКТП, с 1937 г. - НКТМ.</w:t>
      </w:r>
    </w:p>
    <w:p w14:paraId="4A4508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1931 г. на завод передано производство подъемников, тельферов и электролебедок с завода «Красный Октябрь». В 05.1939 г. построена первая отечественная паровая катапульта ЗК-1 для старта самолета с борта корабля- крейсера пр. 26бис.</w:t>
      </w:r>
      <w:r w:rsidRPr="00507A31">
        <w:rPr>
          <w:color w:val="000000" w:themeColor="text1"/>
          <w:sz w:val="16"/>
          <w:szCs w:val="16"/>
          <w:vertAlign w:val="superscript"/>
        </w:rPr>
        <w:t>39</w:t>
      </w:r>
      <w:r w:rsidRPr="00507A31">
        <w:rPr>
          <w:color w:val="000000" w:themeColor="text1"/>
          <w:sz w:val="16"/>
          <w:szCs w:val="16"/>
        </w:rPr>
        <w:t xml:space="preserve"> Приказом НКТМ № 253сс заводу поручено изготовление 80 комплектов узлов и деталей танка КВ-1 в месяц для Кировского завода.</w:t>
      </w:r>
    </w:p>
    <w:p w14:paraId="556589E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 СНК № 1369-385с от 26.07.1940 г. и приказом № 418сс от 12.08.1940 г. один из корпусов завода был передан вновь образованному заводу № 381 НКАП. В соответствии с пост. ГКО № 99сс от 11.07.1941 г. Завод им. Кирова НКТМ подлежал эвакуации в Барнаул на стройплощадку завода кранов. В 08.1941 г. завод действовал в Ленинграде.</w:t>
      </w:r>
      <w:r w:rsidRPr="00507A31">
        <w:rPr>
          <w:color w:val="000000" w:themeColor="text1"/>
          <w:sz w:val="16"/>
          <w:szCs w:val="16"/>
          <w:vertAlign w:val="superscript"/>
        </w:rPr>
        <w:t>65</w:t>
      </w:r>
    </w:p>
    <w:p w14:paraId="3368086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24.06.1943 г. вышло постановление ГКО № 3644 о ремонтно-восстановительных работах на заводе.</w:t>
      </w:r>
    </w:p>
    <w:p w14:paraId="39166A8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1946 г. завод переименован в Ленинградский государственный завод ПТО им. С.М. Кирова. В 1957-65 г. находился в ведении Управления тяжелого машиностроения ЛенСНХ, с 1966 г. - Министерства тяжелого, энергетического и транспортного машиностроения.</w:t>
      </w:r>
    </w:p>
    <w:p w14:paraId="2C0259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конце 1950-х-начале 1960-х  г. была спроектирована и изготовлена надстройка плавучего крана ПК-1 на 50 т.</w:t>
      </w:r>
    </w:p>
    <w:p w14:paraId="7134FD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1960-е  г. изготовлен транспортно-установочный агрегат для РН «Циклон-2А».</w:t>
      </w:r>
      <w:r w:rsidRPr="00507A31">
        <w:rPr>
          <w:color w:val="000000" w:themeColor="text1"/>
          <w:sz w:val="16"/>
          <w:szCs w:val="16"/>
          <w:vertAlign w:val="superscript"/>
        </w:rPr>
        <w:t>104</w:t>
      </w:r>
    </w:p>
    <w:p w14:paraId="18F3E82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от 14.04.1982 г. на базе завода создано ПО «Ленподъемтрансмаш» им. С.М. Кирова. По приказу от 24.11.1982 г. в состав ПО вошел машиностроительный завод им. И.Е. Котлякова (вышел в 1986 г.).</w:t>
      </w:r>
    </w:p>
    <w:p w14:paraId="601DFD0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12.10.1993 г. завод преобразован в АООТ, затем - ОАО «Подъемтрансмаш».</w:t>
      </w:r>
    </w:p>
    <w:p w14:paraId="797FEB3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(08.1941 г.)- Мойкин (11982).</w:t>
      </w:r>
    </w:p>
    <w:p w14:paraId="3B6FDE12" w14:textId="77777777" w:rsidR="00537E5F" w:rsidRPr="00507A31" w:rsidRDefault="00537E5F" w:rsidP="00507A31">
      <w:pPr>
        <w:autoSpaceDE w:val="0"/>
        <w:autoSpaceDN w:val="0"/>
        <w:adjustRightInd w:val="0"/>
        <w:jc w:val="both"/>
        <w:rPr>
          <w:color w:val="000000" w:themeColor="text1"/>
          <w:sz w:val="16"/>
          <w:szCs w:val="16"/>
        </w:rPr>
      </w:pPr>
    </w:p>
    <w:p w14:paraId="4DA735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на базе небольшого маслозавода был основан будущий завод № 614 МОП.</w:t>
      </w:r>
    </w:p>
    <w:p w14:paraId="22C8BEF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момента основания и до 10 августа 1941 года завод выпускал тракторные детали, входил в систему треста «Автотрактородеталь» НК среднего машиностроения.</w:t>
      </w:r>
    </w:p>
    <w:p w14:paraId="0A52BF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основании Постановления ГКО от 10 августа 1941 года и приказа НК среднего машиностроения и НКВ № 422/353сс от 12 августа 1941 года, завод был передан из системы НК среднего машиностроения в НКВ.</w:t>
      </w:r>
    </w:p>
    <w:p w14:paraId="237668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был перестроен на выпуск противотанкового ружья системы конструктора Симонова ПТРС калибра 14,5 мм.</w:t>
      </w:r>
    </w:p>
    <w:p w14:paraId="10A029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состоянию на 1 января 1942 года заводу был передан Саратовский завод «Универсаль» для производства инструментария и приспособлений.</w:t>
      </w:r>
    </w:p>
    <w:p w14:paraId="6B72DA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Адрес: Саратов, 25, п/я 214</w:t>
      </w:r>
    </w:p>
    <w:p w14:paraId="30354AD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Таким образом, завод расположен на двух территориях: основной, находящейся на Астраханской улице, д. 45 и филиала, находящейся на Университетской ул., д. 37 (9569).</w:t>
      </w:r>
    </w:p>
    <w:p w14:paraId="078450E8" w14:textId="77777777" w:rsidR="00537E5F" w:rsidRPr="00507A31" w:rsidRDefault="00537E5F" w:rsidP="00507A31">
      <w:pPr>
        <w:autoSpaceDE w:val="0"/>
        <w:autoSpaceDN w:val="0"/>
        <w:adjustRightInd w:val="0"/>
        <w:jc w:val="both"/>
        <w:rPr>
          <w:color w:val="000000" w:themeColor="text1"/>
          <w:sz w:val="16"/>
          <w:szCs w:val="16"/>
        </w:rPr>
      </w:pPr>
    </w:p>
    <w:p w14:paraId="7A2075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 года будущий завод № 46 перешел на изготовление торфяных прессов и др. изделий. В 1932 году завод переведен в систему энергопромышленности и переключился на выпуск топочного оборудования для сжигания угля и торфа. В июне 1941 года завод был объединен с заводом № 2, переименованным в завод им. В.А. Дегтярева и до 1947 года работал по выпуску товарных, фрезерных, распиловочных, сверлильных и др. агрегатных и операционных станков.</w:t>
      </w:r>
    </w:p>
    <w:p w14:paraId="4A5BADC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соответствии с постановлением СМ от 24 августа 1946 года и приказом Министерства вооружения за № 255с, завод № 46 выделен в отдельное самостоятельное предприятие.</w:t>
      </w:r>
    </w:p>
    <w:p w14:paraId="3A2756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Адрес: Ковров Владимирской области, п/я 7</w:t>
      </w:r>
    </w:p>
    <w:p w14:paraId="1222123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настоящее время завод № 46 выпускает гидроприводы для сухопутных и морских систем, стабилизаторы СТП-1 для танков Т-54 и др. (9585).</w:t>
      </w:r>
    </w:p>
    <w:p w14:paraId="40213985" w14:textId="77777777" w:rsidR="00537E5F" w:rsidRPr="00507A31" w:rsidRDefault="00537E5F" w:rsidP="00507A31">
      <w:pPr>
        <w:autoSpaceDE w:val="0"/>
        <w:autoSpaceDN w:val="0"/>
        <w:adjustRightInd w:val="0"/>
        <w:jc w:val="both"/>
        <w:rPr>
          <w:color w:val="000000" w:themeColor="text1"/>
          <w:sz w:val="16"/>
          <w:szCs w:val="16"/>
        </w:rPr>
      </w:pPr>
    </w:p>
    <w:p w14:paraId="55A87A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в Москве на базе производственных мастерских ЦИТа под № 1 НКТП возник будущий завод НКАП № 491 и получил направление станкостроительного производства. В 1939 году по решению Правительства указанный завод был передан «Оргоборонпрому» НКАП и стал именоваться завод № 2 Оргоборонпрома, а впоследствии «Оргавиапрома» НКАП. В октябре 1941 года по решению Правительства завод из Москвы был эвакуирован и размещен на территории поселка «опытной селекционной с/х станции» Челябинской области Чебаркульского района, а затем в июне 1943 года перебазирован и размещен на площадке бывш. завода № 288 НКАП в поселке Савелово (горд Кимры Калининской области). До июня 1944 года завод являлся ведомственным и именовался 2-й инструментальный завод Оргавиапрома НКАП. По решению Правительства, приказом по НКАП от 1 июня 1944 года за № 377 завод передан в управление оборудования НКАП и стал именоваться завод № 491.</w:t>
      </w:r>
    </w:p>
    <w:p w14:paraId="3B82DC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26635A7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Директора: С июня 1943 года по 30 мая 1946 года – Поленов П.С. С 30 мая 1946 года – Панков И.А.</w:t>
      </w:r>
    </w:p>
    <w:p w14:paraId="4C91D78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Панков</w:t>
      </w:r>
    </w:p>
    <w:p w14:paraId="12052EA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Адрес: Кимры Калининской области, п/я 4 (9858).</w:t>
      </w:r>
    </w:p>
    <w:p w14:paraId="6BDB9EBF" w14:textId="77777777" w:rsidR="00537E5F" w:rsidRPr="00507A31" w:rsidRDefault="00537E5F" w:rsidP="00507A31">
      <w:pPr>
        <w:autoSpaceDE w:val="0"/>
        <w:autoSpaceDN w:val="0"/>
        <w:adjustRightInd w:val="0"/>
        <w:jc w:val="both"/>
        <w:rPr>
          <w:color w:val="000000" w:themeColor="text1"/>
          <w:sz w:val="16"/>
          <w:szCs w:val="16"/>
        </w:rPr>
      </w:pPr>
    </w:p>
    <w:p w14:paraId="6365FCAC" w14:textId="77777777" w:rsidR="00F64334" w:rsidRPr="00507A31" w:rsidRDefault="00F64334" w:rsidP="00507A31">
      <w:pPr>
        <w:jc w:val="both"/>
        <w:rPr>
          <w:color w:val="000000" w:themeColor="text1"/>
          <w:sz w:val="16"/>
          <w:szCs w:val="16"/>
          <w:shd w:val="clear" w:color="auto" w:fill="FFFFFF"/>
        </w:rPr>
      </w:pPr>
      <w:r w:rsidRPr="00507A31">
        <w:rPr>
          <w:color w:val="000000" w:themeColor="text1"/>
          <w:sz w:val="16"/>
          <w:szCs w:val="16"/>
          <w:shd w:val="clear" w:color="auto" w:fill="FFFFFF"/>
        </w:rPr>
        <w:t xml:space="preserve">В 1930 г. по заданию штаба РККА и с учетом опыта работ над Т-17 появляются проекты двухместных танкеток Т-22 и Т-23, классифицировавшихся как "большая танкетка сопровождения" [47, с. 438]. Их отличия состояли в двигательной установке (Т-22 проектировалась под оригинальный четырехцилиндровый двигатель, а Т-23 под двигатель танка Т-20), а также в размещении членов экипажа (на Т-22 они размещались "в затылок", а на Т-23 - в ряд). Каждый проект обладал своими достоинствами и недостатками, но для изготовления приняли Т-23, как наиболее дешевый и реальный в постройке (Приложение 7). Первый образец Т-23 имел корпус </w:t>
      </w:r>
      <w:r w:rsidRPr="00507A31">
        <w:rPr>
          <w:color w:val="000000" w:themeColor="text1"/>
          <w:sz w:val="16"/>
          <w:szCs w:val="16"/>
          <w:shd w:val="clear" w:color="auto" w:fill="FFFFFF"/>
        </w:rPr>
        <w:lastRenderedPageBreak/>
        <w:t>из простого железа и двигатель от Т-18 (40 л.с.), но для второго специально передали двигатель от недостроенного Т-20 и заказали еще четыре. Изготовлялись все танкетки на втором автозаводе ВАТО (директор - С.Ф. Иванов), причем работы по Т-23 были проведены там в удивительно сжатые сроки и с хорошим качеством. Однако при изготовлении танкетка подверглась многочисленным доработкам, что изменило ее почти неузнаваемо. Длина корпуса была увеличена почти на 300 мм. Вместо опорных и поддерживающих катков Т-18 применили таковые от Т-19. Ввели новую облегченную гусеницу с новым ведущим колесом, поскольку старые не обеспечивали достижение скорости движения 40 км/ч. Однако даже такой улучшенный вариант танкетки оказался неудовлетворительным, поскольку по цене был сравним с танком Т-18, а версия, оснащенная башней, даже превысила ее (более 59 000 руб. без вооружения), что не позволило развернуть в должной мере их серийное производство. И если по танкам сопровождения трехлетняя программа была даже перевыполнена, то по танкеткам не была выполнена вообще, и закупка в Великобритании лицензии на производство танкетки "ВКЛ" (именовалась по аббревиатуре фирмы-изготовителя "Виккерс-Карден-Ллойд") стала реальным выходом из сложившейся тупиковой ситуации (19553).</w:t>
      </w:r>
    </w:p>
    <w:p w14:paraId="5A9B32EA" w14:textId="77777777" w:rsidR="00F64334" w:rsidRPr="00507A31" w:rsidRDefault="00F64334" w:rsidP="00507A31">
      <w:pPr>
        <w:jc w:val="both"/>
        <w:rPr>
          <w:color w:val="000000" w:themeColor="text1"/>
          <w:sz w:val="16"/>
          <w:szCs w:val="16"/>
          <w:shd w:val="clear" w:color="auto" w:fill="FFFFFF"/>
        </w:rPr>
      </w:pPr>
    </w:p>
    <w:p w14:paraId="0EFD32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году для выполнения поставленных перед БМР задач по пред</w:t>
      </w:r>
      <w:r w:rsidRPr="00507A31">
        <w:rPr>
          <w:color w:val="000000" w:themeColor="text1"/>
          <w:sz w:val="16"/>
          <w:szCs w:val="16"/>
        </w:rPr>
        <w:softHyphen/>
        <w:t>ложению АЛ.Минца ГЭТЗСТ провёл ряд организа</w:t>
      </w:r>
      <w:r w:rsidRPr="00507A31">
        <w:rPr>
          <w:color w:val="000000" w:themeColor="text1"/>
          <w:sz w:val="16"/>
          <w:szCs w:val="16"/>
        </w:rPr>
        <w:softHyphen/>
        <w:t>ционных мероприятий. Для ЦРЛ это выразилось в обьединенип её с заводом имени Коминтерна и создании комплексной орга</w:t>
      </w:r>
      <w:r w:rsidRPr="00507A31">
        <w:rPr>
          <w:color w:val="000000" w:themeColor="text1"/>
          <w:sz w:val="16"/>
          <w:szCs w:val="16"/>
        </w:rPr>
        <w:softHyphen/>
        <w:t>низации - "Центральная радиолаборатория - завод" (ЦРЛ-3). Директором ЦРЛ-3 был назначен В.П. Виноградов, помощником по технической части - Е.С. Грессель.</w:t>
      </w:r>
    </w:p>
    <w:p w14:paraId="228507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Объединение ЦРЛ с Радиозаводом им. Коминтерна рас</w:t>
      </w:r>
      <w:r w:rsidRPr="00507A31">
        <w:rPr>
          <w:color w:val="000000" w:themeColor="text1"/>
          <w:sz w:val="16"/>
          <w:szCs w:val="16"/>
        </w:rPr>
        <w:softHyphen/>
        <w:t>сматривалось как централизация сил на технических направле</w:t>
      </w:r>
      <w:r w:rsidRPr="00507A31">
        <w:rPr>
          <w:color w:val="000000" w:themeColor="text1"/>
          <w:sz w:val="16"/>
          <w:szCs w:val="16"/>
        </w:rPr>
        <w:softHyphen/>
        <w:t>ниях, актуальных для народного хозяйства, и как сближение на</w:t>
      </w:r>
      <w:r w:rsidRPr="00507A31">
        <w:rPr>
          <w:color w:val="000000" w:themeColor="text1"/>
          <w:sz w:val="16"/>
          <w:szCs w:val="16"/>
        </w:rPr>
        <w:softHyphen/>
        <w:t>уки с производством. При создании ЦРЛ-3 лаборатории ЦРЛ и завода, занимавшиеся разработкой передатчиков, были объеди</w:t>
      </w:r>
      <w:r w:rsidRPr="00507A31">
        <w:rPr>
          <w:color w:val="000000" w:themeColor="text1"/>
          <w:sz w:val="16"/>
          <w:szCs w:val="16"/>
        </w:rPr>
        <w:softHyphen/>
        <w:t>нены в Отраслевую лабораторию передающих устройств (ОРПУ). В неё также вошли сотрудники Бюро мощного радиостроения во главе с А.Л. Минцем. Но создание объединения не принесло же</w:t>
      </w:r>
      <w:r w:rsidRPr="00507A31">
        <w:rPr>
          <w:color w:val="000000" w:themeColor="text1"/>
          <w:sz w:val="16"/>
          <w:szCs w:val="16"/>
        </w:rPr>
        <w:softHyphen/>
        <w:t>лаемых результатов. ЦРЛ-3 просуществовало менее полутора лет, и в сентябре 1931 года была произведена обратная реоргани</w:t>
      </w:r>
      <w:r w:rsidRPr="00507A31">
        <w:rPr>
          <w:color w:val="000000" w:themeColor="text1"/>
          <w:sz w:val="16"/>
          <w:szCs w:val="16"/>
        </w:rPr>
        <w:softHyphen/>
        <w:t>зация: ЦРЛ отделилась от завода им. Коминтерна и продолжала самостоятельную деятельность (11481).</w:t>
      </w:r>
    </w:p>
    <w:p w14:paraId="647A83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B02EBE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был создан Завод противовоздушной обороны (ПВО) № 1 Осоавиахима /г. Ленинград/, в 1934г. переименован в Ленинградский государственный завод ПВО № 2 Управления производственными предприятиями ЦС Осоавиахима.</w:t>
      </w:r>
      <w:r w:rsidRPr="00507A31">
        <w:rPr>
          <w:color w:val="000000" w:themeColor="text1"/>
          <w:sz w:val="16"/>
          <w:szCs w:val="16"/>
          <w:vertAlign w:val="superscript"/>
        </w:rPr>
        <w:t>131</w:t>
      </w:r>
      <w:r w:rsidRPr="00507A31">
        <w:rPr>
          <w:color w:val="000000" w:themeColor="text1"/>
          <w:sz w:val="16"/>
          <w:szCs w:val="16"/>
        </w:rPr>
        <w:t xml:space="preserve"> В 1937г. - в ведении Ленснабосоавиахима.</w:t>
      </w:r>
    </w:p>
    <w:p w14:paraId="4A21F19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Производство инструментов для Санитарного управления РККА (1937г.).</w:t>
      </w:r>
      <w:r w:rsidRPr="00507A31">
        <w:rPr>
          <w:color w:val="000000" w:themeColor="text1"/>
          <w:sz w:val="16"/>
          <w:szCs w:val="16"/>
          <w:vertAlign w:val="superscript"/>
        </w:rPr>
        <w:t xml:space="preserve">139 </w:t>
      </w:r>
      <w:r w:rsidRPr="00507A31">
        <w:rPr>
          <w:color w:val="000000" w:themeColor="text1"/>
          <w:sz w:val="16"/>
          <w:szCs w:val="16"/>
        </w:rPr>
        <w:t>(11082).</w:t>
      </w:r>
    </w:p>
    <w:p w14:paraId="133ED9F2" w14:textId="77777777" w:rsidR="00537E5F" w:rsidRPr="00507A31" w:rsidRDefault="00537E5F" w:rsidP="00507A31">
      <w:pPr>
        <w:autoSpaceDE w:val="0"/>
        <w:autoSpaceDN w:val="0"/>
        <w:adjustRightInd w:val="0"/>
        <w:jc w:val="both"/>
        <w:rPr>
          <w:color w:val="000000" w:themeColor="text1"/>
          <w:sz w:val="16"/>
          <w:szCs w:val="16"/>
        </w:rPr>
      </w:pPr>
    </w:p>
    <w:p w14:paraId="6D3BDE7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был заключен ряд контрактов с фирмами, специализировавшимися на производстве вооружения и технических средств для ВМС: с фирмой «Атлас» — о поставке в СССР установок по электроакустике; с фирмой «Аугсбург-Нюрнберг» — о поставке дизельмоторов; с фирмой «Сименс-Шуккерт» — о поставке электрического рулевого аппарата; с фирмой «Аншютц» — о поставке компасов; с фирмой «Браун-Бовери» — о поставке аппаратов для переключения и т. д. Вполне закономерным было заключение в 1933 г. лицензионного договора с фирмой «Дешимаг» о разработке проекта средней подводной лодки (Дмитриев В. И. Советское подводное кораблестроение. М., 1990, с. 134-135.) (11784).</w:t>
      </w:r>
    </w:p>
    <w:p w14:paraId="2CD1AAD5" w14:textId="77777777" w:rsidR="00537E5F" w:rsidRPr="00507A31" w:rsidRDefault="00537E5F" w:rsidP="00507A31">
      <w:pPr>
        <w:autoSpaceDE w:val="0"/>
        <w:autoSpaceDN w:val="0"/>
        <w:adjustRightInd w:val="0"/>
        <w:jc w:val="both"/>
        <w:rPr>
          <w:color w:val="000000" w:themeColor="text1"/>
          <w:sz w:val="16"/>
          <w:szCs w:val="16"/>
        </w:rPr>
      </w:pPr>
    </w:p>
    <w:p w14:paraId="02938B1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из пяти московских предприятий, входивших в трест Точмех ВСНХ, который размещался на Кузнецком мосту, только два действовали до 1917 года, одним из которых был завод "Геофизика" на Стромынке. Он был создан на базе фирмы поставщика двора его императорского величества Швабе, среди продукции которого были барометры и другая аппаратура. Сегодня это одно из ведущих предприятий оборонного комплекса ЦКБ "Геофизика". Не менее заслуженным предприятием треста, созданным уже в двадцатые годы, стал завод "Авиаприбор" в Электрическом переулке недалеко от Белорусского вокзала. За свою долгую историю он превратился в ведущее предприятие страны по бортовым самолетным радиолокационным комплексам НПО "Фазотрон" (9921).</w:t>
      </w:r>
    </w:p>
    <w:p w14:paraId="714CBA4A" w14:textId="77777777" w:rsidR="00537E5F" w:rsidRPr="00507A31" w:rsidRDefault="00537E5F" w:rsidP="00507A31">
      <w:pPr>
        <w:autoSpaceDE w:val="0"/>
        <w:autoSpaceDN w:val="0"/>
        <w:adjustRightInd w:val="0"/>
        <w:jc w:val="both"/>
        <w:rPr>
          <w:color w:val="000000" w:themeColor="text1"/>
          <w:sz w:val="16"/>
          <w:szCs w:val="16"/>
        </w:rPr>
      </w:pPr>
    </w:p>
    <w:p w14:paraId="279392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 г. по заданию Правительства в химической лаборатории завода № 24 работала группа (3 чел.) по получению металлического бериллия: Б.М. Порватов- руководитель, К.С. Лукьянова, О.Э. Гаспарян. Группа находилась в подчинении Техотдела Экономического управления ОГПУ. Работы по электролизу проводились на медеплавильном заводе в Нижних Котлах. В 05.1931 г. был получен первый бериллий. А в 1931 г. для его получения был основан завод «Б» на ул. Мочальской /г. Москва ул. Мочальская, ул. Ибрагимова/. Он разместился в здании церкви Дмитрия Солунского на Благуше, построенном в 1911 г. Завод действовал самостоятельно до 1936г., затем был передан Гиредмету в качестве опытной базы и работал до начала войны (11982).</w:t>
      </w:r>
    </w:p>
    <w:p w14:paraId="635B013D" w14:textId="77777777" w:rsidR="00537E5F" w:rsidRPr="00507A31" w:rsidRDefault="00537E5F" w:rsidP="00507A31">
      <w:pPr>
        <w:autoSpaceDE w:val="0"/>
        <w:autoSpaceDN w:val="0"/>
        <w:adjustRightInd w:val="0"/>
        <w:jc w:val="both"/>
        <w:rPr>
          <w:color w:val="000000" w:themeColor="text1"/>
          <w:sz w:val="16"/>
          <w:szCs w:val="16"/>
        </w:rPr>
      </w:pPr>
    </w:p>
    <w:p w14:paraId="354B72E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был создан завод «Отопитель» (ГС Завод № 14 СНК, МНП, МПиСА, МосгорСНХ, п/я 114, Завод «Отопитель», Завод «Теплоэлектрик», Московский механический завод № 3, Московский машиностроительный завод «Лифт», Московский завод нефтяных приборов «Нефтеприбор» /г. Москва/). В 1931 г. он переименован в завод «Теплоэлектрик», в 1934г.- в Московский механический завод № 3 коммунального оборудования Мосгортреста по производству коммунального оборудования и строительных механизмов «Москоммашина» Мосгоруправления местной промышленности (МГУМП). С начала 1939г. переименован в ММЗ «Лифт» треста «Москоммашина» МГУМП, с 1941 г.- в подчинении треста «Мосгорместпром» НКМП РСФСР. В 1943г. ММЗ «Лифт» «Главгазтоппрома» (был в 11.1943г.) преобразован в ГС завод № 14 в ведении ГУ искусственного жидкого топлива и газа «Главгазтоппром» при СНК, с 1946г.- при СМ СССР. В 1949г. завод № 14 подчинен тресту геофизического и нефтяного приборостроения «Союзнефтеприбор» МНП. В 1955г. завод № 14 переименован в Московский завод нефтяных приборов «Нефтеприбор» в ведении треста «Союзгеонефтеприбор» МНП. С 1957г. - в ведении Управления радиотехнической промышленности и приборостроения МосгорСНХ, с 1961 г. - в ведении Управления приборостроения МосгорСНХ. С 1965г. - в подчинении МПиСА.</w:t>
      </w:r>
    </w:p>
    <w:p w14:paraId="2A83D76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8.10.1943г. вышло распоряжение ГКО № 4287 о сохранении производства лифтов на заводе «Лифт» Главгазтоппрома.</w:t>
      </w:r>
    </w:p>
    <w:p w14:paraId="1EEBF2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1971 г. на базе завода создано Московское СКВ геофизического приборостроения.</w:t>
      </w:r>
    </w:p>
    <w:p w14:paraId="5CD5F348"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Производство:</w:t>
      </w:r>
      <w:r w:rsidRPr="00507A31">
        <w:rPr>
          <w:color w:val="000000" w:themeColor="text1"/>
          <w:sz w:val="16"/>
          <w:szCs w:val="16"/>
        </w:rPr>
        <w:t xml:space="preserve"> аппаратура регистрации сейсмических сигналов «Тайга» (11982).</w:t>
      </w:r>
    </w:p>
    <w:p w14:paraId="16E2F869" w14:textId="77777777" w:rsidR="00537E5F" w:rsidRPr="00507A31" w:rsidRDefault="00537E5F" w:rsidP="00507A31">
      <w:pPr>
        <w:autoSpaceDE w:val="0"/>
        <w:autoSpaceDN w:val="0"/>
        <w:adjustRightInd w:val="0"/>
        <w:jc w:val="both"/>
        <w:rPr>
          <w:color w:val="000000" w:themeColor="text1"/>
          <w:sz w:val="16"/>
          <w:szCs w:val="16"/>
        </w:rPr>
      </w:pPr>
    </w:p>
    <w:p w14:paraId="1C60932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в ведении «Союзверфи» в результате разделения НИИ НКПС, образованного в 1929 г. был создан Научный институт судостроения и судовых стандартов (НИСС) ВСНХ, НКТП /г. Ленинград/. Перед войной вошел в состав НИИ-45 НКСП.</w:t>
      </w:r>
    </w:p>
    <w:p w14:paraId="3FFA5C8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1932 г. в институте создано проектное бюро из специалистов НИСС и НИВК для разработки проекта сооружений и средств проведения научных исследований.</w:t>
      </w:r>
    </w:p>
    <w:p w14:paraId="02BC1EE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 приказу НКТП от 13.11.1933 г. при институте создано специальное управление строительством опытовых бассейнов «Судбасстрой» (далее - НИИС, НИИ-4 НКОП).</w:t>
      </w:r>
    </w:p>
    <w:p w14:paraId="05F958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1934 г. разработан проект деревянного торпедного катера ДТК (построено 4 шт.).</w:t>
      </w:r>
    </w:p>
    <w:p w14:paraId="49D58F5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(1930 г.-)- В.Л. Поздюнин.</w:t>
      </w:r>
    </w:p>
    <w:p w14:paraId="20E89DC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Начальники: отделов: гидромеханического (1930 г.-)- Ю.В. Кривцов; проектного бюро (1932 г.-)- Ю.В. Кривцов (11982).</w:t>
      </w:r>
    </w:p>
    <w:p w14:paraId="16FA2AD9" w14:textId="77777777" w:rsidR="00537E5F" w:rsidRPr="00507A31" w:rsidRDefault="00537E5F" w:rsidP="00507A31">
      <w:pPr>
        <w:autoSpaceDE w:val="0"/>
        <w:autoSpaceDN w:val="0"/>
        <w:adjustRightInd w:val="0"/>
        <w:jc w:val="both"/>
        <w:rPr>
          <w:color w:val="000000" w:themeColor="text1"/>
          <w:sz w:val="16"/>
          <w:szCs w:val="16"/>
        </w:rPr>
      </w:pPr>
    </w:p>
    <w:p w14:paraId="164A7FDB" w14:textId="77777777" w:rsidR="00DE6527" w:rsidRPr="00507A31" w:rsidRDefault="00DE6527" w:rsidP="00507A31">
      <w:pPr>
        <w:jc w:val="both"/>
        <w:rPr>
          <w:color w:val="000000" w:themeColor="text1"/>
          <w:sz w:val="16"/>
          <w:szCs w:val="16"/>
        </w:rPr>
      </w:pPr>
      <w:r w:rsidRPr="00507A31">
        <w:rPr>
          <w:color w:val="000000" w:themeColor="text1"/>
          <w:sz w:val="16"/>
          <w:szCs w:val="16"/>
        </w:rPr>
        <w:t>В 1930 г. был заключен ряд контрактов с фирмами, специализировавшимися на производстве вооружения и технических средств для ВМС: с фирмой «Атлас» — о поставке в СССР установок по электроакустике; с фирмой «Аугсбург-Нюрнберг» — о поставке дизельмоторов; с фирмой «Сименс-Шуккерт» — о поставке электрического рулевого аппарата; с фирмой «Аншютц» — о поставке компасов; с фирмой «Браун-Бовери» — о поставке аппаратов для переключения и т. д. Вполне закономерным было заключение в 1933 г. лицензионного договора с фирмой «Дешимаг» о разработке проекта средней подводной лодки (18265).</w:t>
      </w:r>
    </w:p>
    <w:p w14:paraId="4317B0CD" w14:textId="77777777" w:rsidR="00DE6527" w:rsidRPr="00507A31" w:rsidRDefault="00DE6527" w:rsidP="00507A31">
      <w:pPr>
        <w:jc w:val="both"/>
        <w:rPr>
          <w:color w:val="000000" w:themeColor="text1"/>
          <w:sz w:val="16"/>
          <w:szCs w:val="16"/>
        </w:rPr>
      </w:pPr>
    </w:p>
    <w:p w14:paraId="7EE683C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в состав ЭПРОН входит - Центральная водолазная база (ЦВБ) и входившая в ее подчинение водолазная школа, в Балаклаве. Отдельные партии ЭПРОН работают в Кронштадте, Мурманске, Архангельске. Южная база ЭПРОН и партии в Севастополе, Керчи, Новороссийске, Туапсе, Батуми, Баку энергично занимаются подводной акваторией Черного и Каспийского морей. Штат ЭПРОН достигает в это время 750 человек, и он явно перерастает в самостоятельную, мощную, авторитетную военизированную структуру.</w:t>
      </w:r>
    </w:p>
    <w:p w14:paraId="6C5B86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Такое развитие событий отвечало интересам Наркоматов по военным и морским делам, путей сообщения, руководства ОГПУ и в целом СНК. Которые остро нуждались в организации способной решать вновь возникающие задачи на море - аварийно-спасательное обеспечение действий надводных и подводных Морских сил, Морского транспорта, строительства портов, подводных исследованиях и создания техники для подводных исследований и работ, а не только судоподъема. Л. Мейер имел свою точку зрения на определение путей развития ЭПРОН, отличную от руководства и не хотел поступиться самостоятельностью и независимостью организации им созданной. Поэтому, когда в феврале 1930 г. он обратился с просьбой освободить его от чекистской работы и оставить только в экспедиции, рапорт имел прямо противоположное действие. </w:t>
      </w:r>
    </w:p>
    <w:p w14:paraId="0E3633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28 июня 1930 г. приказом по ОГПУ Льва Мейера освободили от должности руководителя ЭПРОН, а саму организацию в январе 1931 г. передали из ОГПУ в ведение Наркомата путей сообщения. </w:t>
      </w:r>
    </w:p>
    <w:p w14:paraId="50684B0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 переходом в ведомство Наркомата путей сообщения прежний устав был отменен и утвержден новый. </w:t>
      </w:r>
    </w:p>
    <w:p w14:paraId="4C13690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Несколько позже в связи с реорганизацией НКПС ЭПРОН передается в ведение вновь созданного Народного комиссариата водного транспорта (11630).</w:t>
      </w:r>
    </w:p>
    <w:p w14:paraId="1FB19D7F" w14:textId="77777777" w:rsidR="00537E5F" w:rsidRPr="00507A31" w:rsidRDefault="00537E5F" w:rsidP="00507A31">
      <w:pPr>
        <w:autoSpaceDE w:val="0"/>
        <w:autoSpaceDN w:val="0"/>
        <w:adjustRightInd w:val="0"/>
        <w:jc w:val="both"/>
        <w:rPr>
          <w:color w:val="000000" w:themeColor="text1"/>
          <w:sz w:val="16"/>
          <w:szCs w:val="16"/>
        </w:rPr>
      </w:pPr>
    </w:p>
    <w:p w14:paraId="7BF3C4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отделение «Судопроекта» в Нижнем Новгороде преобразовано в самостоятельный «Речсудопроект» (ЦКБ-51 НКСП, Государственная контора по проектированию речных судов «Речсудопроект», Горьковское ЦКБ МРФ /г. Нижний Новгород,  г. Горький/).</w:t>
      </w:r>
    </w:p>
    <w:p w14:paraId="51B66D9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1939 г. Горьковский «Речсудопроект» был преобразован в ЦКБ-51 НКСП.</w:t>
      </w:r>
    </w:p>
    <w:p w14:paraId="5E97EFF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Работы по вспомогательным судам и катерам. В 1939 г. продолжены работы по большому охотнику пр. 115, после установки ГАС «Тамир» переименован в пр. 122. В 1944 г. начата разработка улучшенного пр. 122бис, в 1951 г. работы по нему переданы ЦКБ-340. В 1949 г. начата разработка проекта нового большого охотника пр. 159, в 1950-х  г. работы переданы в ЦКБ-340. В 1947 г. начата разработка малого охотника пр. 201, в 1951 г. работы переданы в ЦКБ-340.</w:t>
      </w:r>
    </w:p>
    <w:p w14:paraId="05DE691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конца 1943 г. разрабатывался проект тральщика пр. 254, работы переданы в ЦКБ-17.</w:t>
      </w:r>
    </w:p>
    <w:p w14:paraId="4073842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1950-е  г. проектировался танкер для ракетного топлива пр. 1541, работы переданы в ЦКБ-32.</w:t>
      </w:r>
    </w:p>
    <w:p w14:paraId="2AA2C23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Возможно, далее это - КБ «Вымпел».</w:t>
      </w:r>
    </w:p>
    <w:p w14:paraId="410161D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Начальник (-1941-45 г.-)- П.А. Сергеев.</w:t>
      </w:r>
    </w:p>
    <w:p w14:paraId="6D1449B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(1936 г.)- Н.Ф. Мокеев, (1945 г.)- Д.Д. Жуковский.</w:t>
      </w:r>
    </w:p>
    <w:p w14:paraId="3E5D5A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 (-1942-43 г.-)- Н. Г. Лощинский (пр. 122, 253), (1945 г.)- В.М. Керичев, Н.Х. Желясков, А.В. Кунахович.</w:t>
      </w:r>
    </w:p>
    <w:p w14:paraId="1E6EA30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конструкторы: (-1950-60 г.-)- В.Е. Губанов (пр. 727, «50 лет КПСС», «Кер-Оглы»), (-1957-60-е)- А.С. Рачков (пр. 721, 749, «50 лет КПСС»), (1950-е-60-е)- В.П. Митюгов (пр. 431, 1821), (-1947-58 г.-)- В.А. Евстифеев (пр. 428, 507, 566, 570, 758), (1958 г.)- Б.В. Богданов (пр. 749Б, 758А, «Первый»), (1960 г.)-  Г.В. Школьников (пр. 829,939), (1960-е)- А.А. Оскольский (пр. 946), Б.В. Букин (пр. Р-19).</w:t>
      </w:r>
    </w:p>
    <w:p w14:paraId="15704CDC" w14:textId="77777777" w:rsidR="00537E5F" w:rsidRPr="00507A31" w:rsidRDefault="00537E5F" w:rsidP="00507A31">
      <w:pPr>
        <w:autoSpaceDE w:val="0"/>
        <w:autoSpaceDN w:val="0"/>
        <w:adjustRightInd w:val="0"/>
        <w:jc w:val="both"/>
        <w:rPr>
          <w:color w:val="000000" w:themeColor="text1"/>
          <w:sz w:val="16"/>
          <w:szCs w:val="16"/>
        </w:rPr>
      </w:pPr>
      <w:r w:rsidRPr="00507A31">
        <w:rPr>
          <w:iCs/>
          <w:color w:val="000000" w:themeColor="text1"/>
          <w:sz w:val="16"/>
          <w:szCs w:val="16"/>
        </w:rPr>
        <w:t>Создано: буксиры:</w:t>
      </w:r>
      <w:r w:rsidRPr="00507A31">
        <w:rPr>
          <w:color w:val="000000" w:themeColor="text1"/>
          <w:sz w:val="16"/>
          <w:szCs w:val="16"/>
        </w:rPr>
        <w:t xml:space="preserve"> речной сварной типа «Чубарь» («Циолковский») (1934), портовый 200 л.с. пр. 129 (1930-е), 300 л.с. типа «Алексей Стаханов» (1936), колесный 240 л.с. типа «Газоход» (1938); морской спасательный 800 л.с. типа «СП» пр. 135 (1930-е), 1200 л.с. III серии (1930-е); толкачи: 1200 л.с. пр. 749 типа «Зеленодольск» (1957), 1340 л.с. пр. 749Б типа «Плевна» (1958), 800 л.с. пр. 758 типа «ОТ» (озерный толкач) (1958), пр. 758А типа «ОТА» (озерный толкач автоматизированный) (1960); землесосы: несамоходный речной пр. 1001 (1935), пр. 81390, пр. 81410; речная землечерпалка пр. 1028 (1936), солеземлесос (1936), самоходный плавучий зерноперегружатель пр. 1049 (1937);</w:t>
      </w:r>
      <w:r w:rsidRPr="00507A31">
        <w:rPr>
          <w:iCs/>
          <w:color w:val="000000" w:themeColor="text1"/>
          <w:sz w:val="16"/>
          <w:szCs w:val="16"/>
        </w:rPr>
        <w:t xml:space="preserve"> пассажирские теплоходы:</w:t>
      </w:r>
      <w:r w:rsidRPr="00507A31">
        <w:rPr>
          <w:color w:val="000000" w:themeColor="text1"/>
          <w:sz w:val="16"/>
          <w:szCs w:val="16"/>
        </w:rPr>
        <w:t xml:space="preserve"> «Страна Советов» (1937, не реализован), катамаран пр. 939 типа «Отдых» (1960), глиссирующий пр. 946 типа «Заря» (1960-е); шаланды: грунтоотвозные несамоходные пр. 1040, пр. 1178, самоходная пр. 1258 (1930-е);</w:t>
      </w:r>
      <w:r w:rsidRPr="00507A31">
        <w:rPr>
          <w:iCs/>
          <w:color w:val="000000" w:themeColor="text1"/>
          <w:sz w:val="16"/>
          <w:szCs w:val="16"/>
        </w:rPr>
        <w:t xml:space="preserve"> большие охотники за ПЛ:</w:t>
      </w:r>
      <w:r w:rsidRPr="00507A31">
        <w:rPr>
          <w:color w:val="000000" w:themeColor="text1"/>
          <w:sz w:val="16"/>
          <w:szCs w:val="16"/>
        </w:rPr>
        <w:t xml:space="preserve"> пр. 122(1939), пр. 122а (1943), пр. 1226 (1946), пр. 152 (1943, не реализован), пр. 159 (1949-50-е); малый охотник пр. 174 МО-4 (ВОВ); десантный бот пр. 165 (1942); морской катерный тральщик пр. 253 (1943);</w:t>
      </w:r>
      <w:r w:rsidRPr="00507A31">
        <w:rPr>
          <w:iCs/>
          <w:color w:val="000000" w:themeColor="text1"/>
          <w:sz w:val="16"/>
          <w:szCs w:val="16"/>
        </w:rPr>
        <w:t xml:space="preserve"> мониторы:</w:t>
      </w:r>
      <w:r w:rsidRPr="00507A31">
        <w:rPr>
          <w:color w:val="000000" w:themeColor="text1"/>
          <w:sz w:val="16"/>
          <w:szCs w:val="16"/>
        </w:rPr>
        <w:t xml:space="preserve"> малый речной пр. 303 (1944-45, не реализован), средний речной пр. 304 (1944-45, не реализован), пр. 311 (1946); десантный катер пр. 1785;</w:t>
      </w:r>
      <w:r w:rsidRPr="00507A31">
        <w:rPr>
          <w:iCs/>
          <w:color w:val="000000" w:themeColor="text1"/>
          <w:sz w:val="16"/>
          <w:szCs w:val="16"/>
        </w:rPr>
        <w:t xml:space="preserve"> паромы:</w:t>
      </w:r>
      <w:r w:rsidRPr="00507A31">
        <w:rPr>
          <w:color w:val="000000" w:themeColor="text1"/>
          <w:sz w:val="16"/>
          <w:szCs w:val="16"/>
        </w:rPr>
        <w:t xml:space="preserve"> ж/д пр. 723 типа «Волга» (1945), пр. 721 типа «Советский Азербайджан» (1961); автомобильные пр. 722, пр. 727 (1953);</w:t>
      </w:r>
      <w:r w:rsidRPr="00507A31">
        <w:rPr>
          <w:iCs/>
          <w:color w:val="000000" w:themeColor="text1"/>
          <w:sz w:val="16"/>
          <w:szCs w:val="16"/>
        </w:rPr>
        <w:t xml:space="preserve"> баржи:</w:t>
      </w:r>
      <w:r w:rsidRPr="00507A31">
        <w:rPr>
          <w:color w:val="000000" w:themeColor="text1"/>
          <w:sz w:val="16"/>
          <w:szCs w:val="16"/>
        </w:rPr>
        <w:t xml:space="preserve"> палубная пр. 425 (1947), наливная пр. 428 (1951); самоходные сухогрузные пр. 431, 431А, 431Т, 431М, 431ПУ (1950-е); несамоходные артиллерийские щиты-мишени пр. 436 (1949), пр. 1784 (1960); станция безобмоточного размагничивания пр. 523 (1950-е); несамоходная плавбаза ПЛ пр. 1821 на базе плавучей казармы пр. 314 (1963); плавучая гидроакустическая контрольная станция пр. 513 (1956);</w:t>
      </w:r>
      <w:r w:rsidRPr="00507A31">
        <w:rPr>
          <w:iCs/>
          <w:color w:val="000000" w:themeColor="text1"/>
          <w:sz w:val="16"/>
          <w:szCs w:val="16"/>
        </w:rPr>
        <w:t xml:space="preserve"> плавучие краны:</w:t>
      </w:r>
      <w:r w:rsidRPr="00507A31">
        <w:rPr>
          <w:color w:val="000000" w:themeColor="text1"/>
          <w:sz w:val="16"/>
          <w:szCs w:val="16"/>
        </w:rPr>
        <w:t xml:space="preserve"> первый отечественный (несамоходный) «50 лет КПСС» (1950); тяжелый морской самоходный на 50 т типа ПК-1 (1951); на 150 т пр. 302А, на 180 т пр. 302Б (1970-е); катамаран «Кер-Оглы» на 250 т (1960); мелкосидящий танкер пр. 566 (1953);</w:t>
      </w:r>
      <w:r w:rsidRPr="00507A31">
        <w:rPr>
          <w:iCs/>
          <w:color w:val="000000" w:themeColor="text1"/>
          <w:sz w:val="16"/>
          <w:szCs w:val="16"/>
        </w:rPr>
        <w:t xml:space="preserve"> сухогрузы:</w:t>
      </w:r>
      <w:r w:rsidRPr="00507A31">
        <w:rPr>
          <w:color w:val="000000" w:themeColor="text1"/>
          <w:sz w:val="16"/>
          <w:szCs w:val="16"/>
        </w:rPr>
        <w:t xml:space="preserve"> речной пр. 507 типа «Волго-Дон» (1956-), пр. 507А (1962); катамараны пр. 829 (1960), пр. Р-19 типа «Братья Игнатовы»; универсальный пр. 570 (1955-56); полусекционный маршрутный состав «Первый» (1961) (11982).</w:t>
      </w:r>
    </w:p>
    <w:p w14:paraId="10415231" w14:textId="77777777" w:rsidR="00056969" w:rsidRPr="00507A31" w:rsidRDefault="00056969" w:rsidP="00507A31">
      <w:pPr>
        <w:autoSpaceDE w:val="0"/>
        <w:autoSpaceDN w:val="0"/>
        <w:adjustRightInd w:val="0"/>
        <w:jc w:val="both"/>
        <w:rPr>
          <w:iCs/>
          <w:color w:val="000000" w:themeColor="text1"/>
          <w:sz w:val="16"/>
          <w:szCs w:val="16"/>
        </w:rPr>
      </w:pPr>
    </w:p>
    <w:p w14:paraId="34FAD31B"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Армия:</w:t>
      </w:r>
    </w:p>
    <w:p w14:paraId="15817A38" w14:textId="77777777" w:rsidR="00537E5F" w:rsidRPr="00507A31" w:rsidRDefault="00537E5F" w:rsidP="00507A31">
      <w:pPr>
        <w:autoSpaceDE w:val="0"/>
        <w:autoSpaceDN w:val="0"/>
        <w:adjustRightInd w:val="0"/>
        <w:jc w:val="both"/>
        <w:rPr>
          <w:iCs/>
          <w:color w:val="000000" w:themeColor="text1"/>
          <w:sz w:val="16"/>
          <w:szCs w:val="16"/>
        </w:rPr>
      </w:pPr>
    </w:p>
    <w:p w14:paraId="233A6D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 все трофейные танки времен Гражданской войны должны были быть переданы на длительное хране</w:t>
      </w:r>
      <w:r w:rsidRPr="00507A31">
        <w:rPr>
          <w:color w:val="000000" w:themeColor="text1"/>
          <w:sz w:val="16"/>
          <w:szCs w:val="16"/>
        </w:rPr>
        <w:softHyphen/>
        <w:t>ние и в учебные заведения (10733,58).</w:t>
      </w:r>
    </w:p>
    <w:p w14:paraId="1392C8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11398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1930 году проектом организационных мероприятий по мотомехчастям предусматривалось вклю</w:t>
      </w:r>
      <w:r w:rsidRPr="00507A31">
        <w:rPr>
          <w:color w:val="000000" w:themeColor="text1"/>
          <w:sz w:val="16"/>
          <w:szCs w:val="16"/>
        </w:rPr>
        <w:softHyphen/>
        <w:t>чить в состав кавалерийских дивизий бронетехнику, в част</w:t>
      </w:r>
      <w:r w:rsidRPr="00507A31">
        <w:rPr>
          <w:color w:val="000000" w:themeColor="text1"/>
          <w:sz w:val="16"/>
          <w:szCs w:val="16"/>
        </w:rPr>
        <w:softHyphen/>
        <w:t>ности бронеавтомобили, по следующему графику.</w:t>
      </w:r>
    </w:p>
    <w:p w14:paraId="67DFF7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1931 год:</w:t>
      </w:r>
    </w:p>
    <w:p w14:paraId="1624C7B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Белорусский военный округ (БВО): переформирование отдельной учебной танковой роты и 13-го автобронедиви-зиона в 7-й механизированный полк 7-й кавалерийской ди</w:t>
      </w:r>
      <w:r w:rsidRPr="00507A31">
        <w:rPr>
          <w:color w:val="000000" w:themeColor="text1"/>
          <w:sz w:val="16"/>
          <w:szCs w:val="16"/>
        </w:rPr>
        <w:softHyphen/>
        <w:t>визии (Минск);</w:t>
      </w:r>
    </w:p>
    <w:p w14:paraId="1C0E09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Украинский военный округ (УВО):</w:t>
      </w:r>
    </w:p>
    <w:p w14:paraId="619F92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переформирование 11-го автобронедивизиона в 1-й механизированный дивизион 1-й кавалерийской дивизии (Проскуров);</w:t>
      </w:r>
    </w:p>
    <w:p w14:paraId="41B6BF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переформирование 12-го автобронедивизиона в 3-й механизированный дивизион 3-й кавалерийской дивизии (Бердичев);</w:t>
      </w:r>
    </w:p>
    <w:p w14:paraId="1AEA03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Среднеазиатский военный округ (САВО): формирова</w:t>
      </w:r>
      <w:r w:rsidRPr="00507A31">
        <w:rPr>
          <w:color w:val="000000" w:themeColor="text1"/>
          <w:sz w:val="16"/>
          <w:szCs w:val="16"/>
        </w:rPr>
        <w:softHyphen/>
        <w:t>ние 8-го отдельного автоброневого эскадрона для 8-й от</w:t>
      </w:r>
      <w:r w:rsidRPr="00507A31">
        <w:rPr>
          <w:color w:val="000000" w:themeColor="text1"/>
          <w:sz w:val="16"/>
          <w:szCs w:val="16"/>
        </w:rPr>
        <w:softHyphen/>
        <w:t>дельной кавалерийской бригады (Ашхабад);</w:t>
      </w:r>
    </w:p>
    <w:p w14:paraId="1EA0BC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Кавказская Краснознаменная </w:t>
      </w:r>
      <w:r w:rsidR="00AC7355" w:rsidRPr="00507A31">
        <w:rPr>
          <w:i/>
          <w:color w:val="000000" w:themeColor="text1"/>
          <w:sz w:val="16"/>
          <w:szCs w:val="16"/>
        </w:rPr>
        <w:t>Армия:</w:t>
      </w:r>
      <w:r w:rsidRPr="00507A31">
        <w:rPr>
          <w:color w:val="000000" w:themeColor="text1"/>
          <w:sz w:val="16"/>
          <w:szCs w:val="16"/>
        </w:rPr>
        <w:t xml:space="preserve"> переформирование 1-го автобронедивизиона во 2-й отдельный автоброневой эс</w:t>
      </w:r>
      <w:r w:rsidRPr="00507A31">
        <w:rPr>
          <w:color w:val="000000" w:themeColor="text1"/>
          <w:sz w:val="16"/>
          <w:szCs w:val="16"/>
        </w:rPr>
        <w:softHyphen/>
        <w:t>кадрон 2-й отдельной кавалерийской бригады (Тифлис).</w:t>
      </w:r>
    </w:p>
    <w:p w14:paraId="177A71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1932 год:</w:t>
      </w:r>
    </w:p>
    <w:p w14:paraId="4F7382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Московский военный округ (МВО): переформирова</w:t>
      </w:r>
      <w:r w:rsidRPr="00507A31">
        <w:rPr>
          <w:color w:val="000000" w:themeColor="text1"/>
          <w:sz w:val="16"/>
          <w:szCs w:val="16"/>
        </w:rPr>
        <w:softHyphen/>
        <w:t>ние 3-го автобронедивизиона в 13-й механизированный полк 13-й кавалерийской дивизии (Тамбов);</w:t>
      </w:r>
    </w:p>
    <w:p w14:paraId="1D54CF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Северо-Кавказский военный округ (СКВО): формиро</w:t>
      </w:r>
      <w:r w:rsidRPr="00507A31">
        <w:rPr>
          <w:color w:val="000000" w:themeColor="text1"/>
          <w:sz w:val="16"/>
          <w:szCs w:val="16"/>
        </w:rPr>
        <w:softHyphen/>
        <w:t>вание 10-го механизированного полка 10-й кавалерийской дивизии из отдельного автоброневого эскадрона (Ставро</w:t>
      </w:r>
      <w:r w:rsidRPr="00507A31">
        <w:rPr>
          <w:color w:val="000000" w:themeColor="text1"/>
          <w:sz w:val="16"/>
          <w:szCs w:val="16"/>
        </w:rPr>
        <w:softHyphen/>
        <w:t>поль);</w:t>
      </w:r>
    </w:p>
    <w:p w14:paraId="59994C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САВО: формирование 7-го отдельного автоброневого эскадрона для 7-й отдельной кавалерийской бригады (Ду</w:t>
      </w:r>
      <w:r w:rsidRPr="00507A31">
        <w:rPr>
          <w:color w:val="000000" w:themeColor="text1"/>
          <w:sz w:val="16"/>
          <w:szCs w:val="16"/>
        </w:rPr>
        <w:softHyphen/>
        <w:t>шанбе) и 6-го отдельного автоброневого эскадрона для 6-й отдельной кавалерийской бригады (Самарканд);</w:t>
      </w:r>
    </w:p>
    <w:p w14:paraId="6911AA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Особая Краснознаменная Дальневосточная </w:t>
      </w:r>
      <w:r w:rsidR="00AC7355" w:rsidRPr="00507A31">
        <w:rPr>
          <w:i/>
          <w:color w:val="000000" w:themeColor="text1"/>
          <w:sz w:val="16"/>
          <w:szCs w:val="16"/>
        </w:rPr>
        <w:t>Армия:</w:t>
      </w:r>
      <w:r w:rsidRPr="00507A31">
        <w:rPr>
          <w:color w:val="000000" w:themeColor="text1"/>
          <w:sz w:val="16"/>
          <w:szCs w:val="16"/>
        </w:rPr>
        <w:t xml:space="preserve"> формирование 5-го отдельного автоброневого эскадрона для 5-й отдельной кавалерийской бригады (Даурия), 9-го отдельного автоброневого эскадрона для 9-й отдельной ка</w:t>
      </w:r>
      <w:r w:rsidRPr="00507A31">
        <w:rPr>
          <w:color w:val="000000" w:themeColor="text1"/>
          <w:sz w:val="16"/>
          <w:szCs w:val="16"/>
        </w:rPr>
        <w:softHyphen/>
        <w:t>валерийской бригады из отдельного учебного автобронево</w:t>
      </w:r>
      <w:r w:rsidRPr="00507A31">
        <w:rPr>
          <w:color w:val="000000" w:themeColor="text1"/>
          <w:sz w:val="16"/>
          <w:szCs w:val="16"/>
        </w:rPr>
        <w:softHyphen/>
        <w:t>го взвода (Никольск-Уссурийский).</w:t>
      </w:r>
    </w:p>
    <w:p w14:paraId="65CC79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Проект данного плана был выполнен практически пол</w:t>
      </w:r>
      <w:r w:rsidRPr="00507A31">
        <w:rPr>
          <w:color w:val="000000" w:themeColor="text1"/>
          <w:sz w:val="16"/>
          <w:szCs w:val="16"/>
        </w:rPr>
        <w:softHyphen/>
        <w:t>ностью, только 3-й бронедивизион поступил на формиро</w:t>
      </w:r>
      <w:r w:rsidRPr="00507A31">
        <w:rPr>
          <w:color w:val="000000" w:themeColor="text1"/>
          <w:sz w:val="16"/>
          <w:szCs w:val="16"/>
        </w:rPr>
        <w:softHyphen/>
        <w:t>вание Опытной механизированной бригады, а 13-я кавале</w:t>
      </w:r>
      <w:r w:rsidRPr="00507A31">
        <w:rPr>
          <w:color w:val="000000" w:themeColor="text1"/>
          <w:sz w:val="16"/>
          <w:szCs w:val="16"/>
        </w:rPr>
        <w:softHyphen/>
        <w:t>рийская дивизия так и не была сформирована.</w:t>
      </w:r>
    </w:p>
    <w:p w14:paraId="70590D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 состоянию на 1 января 1935 года предусматривалось иметь в составе механизированных полков кавалерийских дивизий, помимо средних броневиков, взвод из трех ФАИ.</w:t>
      </w:r>
    </w:p>
    <w:p w14:paraId="237708F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Впоследствии бронеавтомобили из состава кавалерий</w:t>
      </w:r>
      <w:r w:rsidRPr="00507A31">
        <w:rPr>
          <w:color w:val="000000" w:themeColor="text1"/>
          <w:sz w:val="16"/>
          <w:szCs w:val="16"/>
        </w:rPr>
        <w:softHyphen/>
        <w:t>ских дивизий были исключены, затем снова введены (11284).</w:t>
      </w:r>
    </w:p>
    <w:p w14:paraId="289FF8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C196B41"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 xml:space="preserve">На 1930 г. тракторы «Большевик» числились в </w:t>
      </w:r>
      <w:r w:rsidRPr="00507A31">
        <w:rPr>
          <w:color w:val="000000" w:themeColor="text1"/>
          <w:sz w:val="16"/>
          <w:szCs w:val="16"/>
          <w:lang w:val="en-US"/>
        </w:rPr>
        <w:t>XI</w:t>
      </w:r>
      <w:r w:rsidRPr="00507A31">
        <w:rPr>
          <w:color w:val="000000" w:themeColor="text1"/>
          <w:sz w:val="16"/>
          <w:szCs w:val="16"/>
        </w:rPr>
        <w:t>-м, 110-м, 120-м и др. артиллерийских пол</w:t>
      </w:r>
      <w:r w:rsidRPr="00507A31">
        <w:rPr>
          <w:color w:val="000000" w:themeColor="text1"/>
          <w:sz w:val="16"/>
          <w:szCs w:val="16"/>
        </w:rPr>
        <w:softHyphen/>
        <w:t>ках, а также в 127-м стрелковом и в 3-м тан</w:t>
      </w:r>
      <w:r w:rsidRPr="00507A31">
        <w:rPr>
          <w:color w:val="000000" w:themeColor="text1"/>
          <w:sz w:val="16"/>
          <w:szCs w:val="16"/>
        </w:rPr>
        <w:softHyphen/>
        <w:t>ковом полках. Кроме того, они использова</w:t>
      </w:r>
      <w:r w:rsidRPr="00507A31">
        <w:rPr>
          <w:color w:val="000000" w:themeColor="text1"/>
          <w:sz w:val="16"/>
          <w:szCs w:val="16"/>
        </w:rPr>
        <w:softHyphen/>
        <w:t>лись в инженерных частях, где хорошо пока</w:t>
      </w:r>
      <w:r w:rsidRPr="00507A31">
        <w:rPr>
          <w:color w:val="000000" w:themeColor="text1"/>
          <w:sz w:val="16"/>
          <w:szCs w:val="16"/>
        </w:rPr>
        <w:softHyphen/>
        <w:t>зали себя при работе с инженерным воору</w:t>
      </w:r>
      <w:r w:rsidRPr="00507A31">
        <w:rPr>
          <w:color w:val="000000" w:themeColor="text1"/>
          <w:sz w:val="16"/>
          <w:szCs w:val="16"/>
        </w:rPr>
        <w:softHyphen/>
        <w:t>жением. Постройка тракторов «Большевик» осу</w:t>
      </w:r>
      <w:r w:rsidRPr="00507A31">
        <w:rPr>
          <w:color w:val="000000" w:themeColor="text1"/>
          <w:sz w:val="16"/>
          <w:szCs w:val="16"/>
        </w:rPr>
        <w:softHyphen/>
        <w:t>ществлялось сериями, имевшими конст</w:t>
      </w:r>
      <w:r w:rsidRPr="00507A31">
        <w:rPr>
          <w:color w:val="000000" w:themeColor="text1"/>
          <w:sz w:val="16"/>
          <w:szCs w:val="16"/>
        </w:rPr>
        <w:softHyphen/>
        <w:t>руктивные и производственные отличия по отдельным узлам и агрегатам. Например, был введен глушитель, на некоторых трак</w:t>
      </w:r>
      <w:r w:rsidRPr="00507A31">
        <w:rPr>
          <w:color w:val="000000" w:themeColor="text1"/>
          <w:sz w:val="16"/>
          <w:szCs w:val="16"/>
        </w:rPr>
        <w:softHyphen/>
        <w:t>торах имелся шкив привода машин. До пре</w:t>
      </w:r>
      <w:r w:rsidRPr="00507A31">
        <w:rPr>
          <w:color w:val="000000" w:themeColor="text1"/>
          <w:sz w:val="16"/>
          <w:szCs w:val="16"/>
        </w:rPr>
        <w:softHyphen/>
        <w:t>кращения производства в 1930 г. завод ежегодно выпускал небольшие серии трак</w:t>
      </w:r>
      <w:r w:rsidRPr="00507A31">
        <w:rPr>
          <w:color w:val="000000" w:themeColor="text1"/>
          <w:sz w:val="16"/>
          <w:szCs w:val="16"/>
        </w:rPr>
        <w:softHyphen/>
        <w:t>торов, примерно по 10-20 единиц в каж</w:t>
      </w:r>
      <w:r w:rsidRPr="00507A31">
        <w:rPr>
          <w:color w:val="000000" w:themeColor="text1"/>
          <w:sz w:val="16"/>
          <w:szCs w:val="16"/>
        </w:rPr>
        <w:softHyphen/>
        <w:t>дой. Так, к 3 августа 1925 г. было изготов</w:t>
      </w:r>
      <w:r w:rsidRPr="00507A31">
        <w:rPr>
          <w:color w:val="000000" w:themeColor="text1"/>
          <w:sz w:val="16"/>
          <w:szCs w:val="16"/>
        </w:rPr>
        <w:softHyphen/>
        <w:t>лено четыре серии: 18 тракторов 1-й се</w:t>
      </w:r>
      <w:r w:rsidRPr="00507A31">
        <w:rPr>
          <w:color w:val="000000" w:themeColor="text1"/>
          <w:sz w:val="16"/>
          <w:szCs w:val="16"/>
        </w:rPr>
        <w:softHyphen/>
        <w:t>рии, 12 тракторов П-й серии, 15 - Ш-й се</w:t>
      </w:r>
      <w:r w:rsidRPr="00507A31">
        <w:rPr>
          <w:color w:val="000000" w:themeColor="text1"/>
          <w:sz w:val="16"/>
          <w:szCs w:val="16"/>
        </w:rPr>
        <w:softHyphen/>
        <w:t xml:space="preserve">рии, 6 - </w:t>
      </w:r>
      <w:r w:rsidRPr="00507A31">
        <w:rPr>
          <w:color w:val="000000" w:themeColor="text1"/>
          <w:sz w:val="16"/>
          <w:szCs w:val="16"/>
          <w:lang w:val="en-US"/>
        </w:rPr>
        <w:t>IV</w:t>
      </w:r>
      <w:r w:rsidRPr="00507A31">
        <w:rPr>
          <w:color w:val="000000" w:themeColor="text1"/>
          <w:sz w:val="16"/>
          <w:szCs w:val="16"/>
        </w:rPr>
        <w:t>-й серии. В связи с прекращением производства «Большевики» постепенно стали вытеснять</w:t>
      </w:r>
      <w:r w:rsidRPr="00507A31">
        <w:rPr>
          <w:color w:val="000000" w:themeColor="text1"/>
          <w:sz w:val="16"/>
          <w:szCs w:val="16"/>
        </w:rPr>
        <w:softHyphen/>
        <w:t>ся тракторами «Коммунар» и уже к середине 1930-х гг. служили в основном в качестве аэродромных машин: с их помощью осуще</w:t>
      </w:r>
      <w:r w:rsidRPr="00507A31">
        <w:rPr>
          <w:color w:val="000000" w:themeColor="text1"/>
          <w:sz w:val="16"/>
          <w:szCs w:val="16"/>
        </w:rPr>
        <w:softHyphen/>
        <w:t>ствлялась буксировка самолетов и некото</w:t>
      </w:r>
      <w:r w:rsidRPr="00507A31">
        <w:rPr>
          <w:color w:val="000000" w:themeColor="text1"/>
          <w:sz w:val="16"/>
          <w:szCs w:val="16"/>
        </w:rPr>
        <w:softHyphen/>
        <w:t>рых грузов, подвеска бомб. К началу Вели</w:t>
      </w:r>
      <w:r w:rsidRPr="00507A31">
        <w:rPr>
          <w:color w:val="000000" w:themeColor="text1"/>
          <w:sz w:val="16"/>
          <w:szCs w:val="16"/>
        </w:rPr>
        <w:softHyphen/>
        <w:t>кой Отечественной войны «Большевики» уже не могли всерьез рассматриваться как сред</w:t>
      </w:r>
      <w:r w:rsidRPr="00507A31">
        <w:rPr>
          <w:color w:val="000000" w:themeColor="text1"/>
          <w:sz w:val="16"/>
          <w:szCs w:val="16"/>
        </w:rPr>
        <w:softHyphen/>
        <w:t>ство механической тяги. Малосерийное (фактически индивиду</w:t>
      </w:r>
      <w:r w:rsidRPr="00507A31">
        <w:rPr>
          <w:color w:val="000000" w:themeColor="text1"/>
          <w:sz w:val="16"/>
          <w:szCs w:val="16"/>
        </w:rPr>
        <w:softHyphen/>
        <w:t>альное) производство удорожало продук</w:t>
      </w:r>
      <w:r w:rsidRPr="00507A31">
        <w:rPr>
          <w:color w:val="000000" w:themeColor="text1"/>
          <w:sz w:val="16"/>
          <w:szCs w:val="16"/>
        </w:rPr>
        <w:softHyphen/>
        <w:t>цию и затрудняло снабжение запасными частями. Кроме того, завод «Большевик» с 1928 г. выполнял программу танкострое</w:t>
      </w:r>
      <w:r w:rsidRPr="00507A31">
        <w:rPr>
          <w:color w:val="000000" w:themeColor="text1"/>
          <w:sz w:val="16"/>
          <w:szCs w:val="16"/>
        </w:rPr>
        <w:softHyphen/>
        <w:t>ния. Поэтому актуальной являлась органи</w:t>
      </w:r>
      <w:r w:rsidRPr="00507A31">
        <w:rPr>
          <w:color w:val="000000" w:themeColor="text1"/>
          <w:sz w:val="16"/>
          <w:szCs w:val="16"/>
        </w:rPr>
        <w:softHyphen/>
        <w:t>зация массового производства мощных гу</w:t>
      </w:r>
      <w:r w:rsidRPr="00507A31">
        <w:rPr>
          <w:color w:val="000000" w:themeColor="text1"/>
          <w:sz w:val="16"/>
          <w:szCs w:val="16"/>
        </w:rPr>
        <w:softHyphen/>
        <w:t>сеничных тракторов на специализирован</w:t>
      </w:r>
      <w:r w:rsidRPr="00507A31">
        <w:rPr>
          <w:color w:val="000000" w:themeColor="text1"/>
          <w:sz w:val="16"/>
          <w:szCs w:val="16"/>
        </w:rPr>
        <w:softHyphen/>
        <w:t>ном предприятии. Такой трактор был изго</w:t>
      </w:r>
      <w:r w:rsidRPr="00507A31">
        <w:rPr>
          <w:color w:val="000000" w:themeColor="text1"/>
          <w:sz w:val="16"/>
          <w:szCs w:val="16"/>
        </w:rPr>
        <w:softHyphen/>
        <w:t>товлен уже 15 февраля 1931 г., но это со</w:t>
      </w:r>
      <w:r w:rsidRPr="00507A31">
        <w:rPr>
          <w:color w:val="000000" w:themeColor="text1"/>
          <w:sz w:val="16"/>
          <w:szCs w:val="16"/>
        </w:rPr>
        <w:softHyphen/>
        <w:t>всем другая история.</w:t>
      </w:r>
    </w:p>
    <w:p w14:paraId="163463B9" w14:textId="77777777" w:rsidR="00537E5F" w:rsidRPr="00507A31" w:rsidRDefault="00537E5F" w:rsidP="00507A31">
      <w:pPr>
        <w:autoSpaceDE w:val="0"/>
        <w:autoSpaceDN w:val="0"/>
        <w:adjustRightInd w:val="0"/>
        <w:jc w:val="both"/>
        <w:rPr>
          <w:noProof/>
          <w:color w:val="000000" w:themeColor="text1"/>
          <w:sz w:val="16"/>
          <w:szCs w:val="16"/>
        </w:rPr>
      </w:pPr>
      <w:r w:rsidRPr="00507A31">
        <w:rPr>
          <w:noProof/>
          <w:color w:val="000000" w:themeColor="text1"/>
          <w:sz w:val="16"/>
          <w:szCs w:val="16"/>
        </w:rPr>
        <w:t>Краткое описание конструкции</w:t>
      </w:r>
    </w:p>
    <w:p w14:paraId="72E27224" w14:textId="77777777" w:rsidR="00537E5F" w:rsidRPr="00507A31" w:rsidRDefault="00537E5F" w:rsidP="00507A31">
      <w:pPr>
        <w:autoSpaceDE w:val="0"/>
        <w:autoSpaceDN w:val="0"/>
        <w:adjustRightInd w:val="0"/>
        <w:jc w:val="both"/>
        <w:rPr>
          <w:noProof/>
          <w:color w:val="000000" w:themeColor="text1"/>
          <w:sz w:val="16"/>
          <w:szCs w:val="16"/>
        </w:rPr>
      </w:pPr>
      <w:r w:rsidRPr="00507A31">
        <w:rPr>
          <w:noProof/>
          <w:color w:val="000000" w:themeColor="text1"/>
          <w:sz w:val="16"/>
          <w:szCs w:val="16"/>
        </w:rPr>
        <w:t>5-т трактора «Большевик»</w:t>
      </w:r>
    </w:p>
    <w:p w14:paraId="7441C949"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Гусеничный трактор «Большевик» пред</w:t>
      </w:r>
      <w:r w:rsidRPr="00507A31">
        <w:rPr>
          <w:color w:val="000000" w:themeColor="text1"/>
          <w:sz w:val="16"/>
          <w:szCs w:val="16"/>
        </w:rPr>
        <w:softHyphen/>
        <w:t>ставлял собою двухгусеничную рамную ма</w:t>
      </w:r>
      <w:r w:rsidRPr="00507A31">
        <w:rPr>
          <w:color w:val="000000" w:themeColor="text1"/>
          <w:sz w:val="16"/>
          <w:szCs w:val="16"/>
        </w:rPr>
        <w:softHyphen/>
        <w:t>шину с колеей 1,25 м.</w:t>
      </w:r>
    </w:p>
    <w:p w14:paraId="1AD3D940"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Двигатель трактора - четырехцилиндро</w:t>
      </w:r>
      <w:r w:rsidRPr="00507A31">
        <w:rPr>
          <w:color w:val="000000" w:themeColor="text1"/>
          <w:sz w:val="16"/>
          <w:szCs w:val="16"/>
        </w:rPr>
        <w:softHyphen/>
        <w:t>вый, четырехтактный, с вертикальным рас</w:t>
      </w:r>
      <w:r w:rsidRPr="00507A31">
        <w:rPr>
          <w:color w:val="000000" w:themeColor="text1"/>
          <w:sz w:val="16"/>
          <w:szCs w:val="16"/>
        </w:rPr>
        <w:softHyphen/>
        <w:t>положением цилиндров вдоль оси трактора. Цилиндры двигателя были отлиты попарно. Отлитый из алюминия картер двигателя со</w:t>
      </w:r>
      <w:r w:rsidRPr="00507A31">
        <w:rPr>
          <w:color w:val="000000" w:themeColor="text1"/>
          <w:sz w:val="16"/>
          <w:szCs w:val="16"/>
        </w:rPr>
        <w:softHyphen/>
        <w:t>стоял из двух частей, причем нижняя часть служила резервуаром для смазки. Двигатель крепился к раме в трех точках.</w:t>
      </w:r>
    </w:p>
    <w:p w14:paraId="4C423D19"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Рабочим топливом являлся бензин вто</w:t>
      </w:r>
      <w:r w:rsidRPr="00507A31">
        <w:rPr>
          <w:color w:val="000000" w:themeColor="text1"/>
          <w:sz w:val="16"/>
          <w:szCs w:val="16"/>
        </w:rPr>
        <w:softHyphen/>
        <w:t>рого сорта. Цилиндры двигателя имели съемные головки с клапанами подвесного типа. Система зажигания рабочей смеси - током высокого напряжения от магнето Бош.</w:t>
      </w:r>
    </w:p>
    <w:p w14:paraId="242EC18C"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Система охлаждения - водяная, при по</w:t>
      </w:r>
      <w:r w:rsidRPr="00507A31">
        <w:rPr>
          <w:color w:val="000000" w:themeColor="text1"/>
          <w:sz w:val="16"/>
          <w:szCs w:val="16"/>
        </w:rPr>
        <w:softHyphen/>
        <w:t>мощи секционного радиатора (из восьми секций), центробежного насоса и вентиля</w:t>
      </w:r>
      <w:r w:rsidRPr="00507A31">
        <w:rPr>
          <w:color w:val="000000" w:themeColor="text1"/>
          <w:sz w:val="16"/>
          <w:szCs w:val="16"/>
        </w:rPr>
        <w:softHyphen/>
        <w:t>тора. Количество воды в системе охлажде</w:t>
      </w:r>
      <w:r w:rsidRPr="00507A31">
        <w:rPr>
          <w:color w:val="000000" w:themeColor="text1"/>
          <w:sz w:val="16"/>
          <w:szCs w:val="16"/>
        </w:rPr>
        <w:softHyphen/>
        <w:t>ния - около 35 кг.</w:t>
      </w:r>
    </w:p>
    <w:p w14:paraId="30C3ED0E"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Смазка двигателя производилась прину</w:t>
      </w:r>
      <w:r w:rsidRPr="00507A31">
        <w:rPr>
          <w:color w:val="000000" w:themeColor="text1"/>
          <w:sz w:val="16"/>
          <w:szCs w:val="16"/>
        </w:rPr>
        <w:softHyphen/>
        <w:t>дительно при помощи шестеренчатого на</w:t>
      </w:r>
      <w:r w:rsidRPr="00507A31">
        <w:rPr>
          <w:color w:val="000000" w:themeColor="text1"/>
          <w:sz w:val="16"/>
          <w:szCs w:val="16"/>
        </w:rPr>
        <w:softHyphen/>
        <w:t>соса, расположенного в масляном резерву</w:t>
      </w:r>
      <w:r w:rsidRPr="00507A31">
        <w:rPr>
          <w:color w:val="000000" w:themeColor="text1"/>
          <w:sz w:val="16"/>
          <w:szCs w:val="16"/>
        </w:rPr>
        <w:softHyphen/>
        <w:t>аре картера двигателя.</w:t>
      </w:r>
    </w:p>
    <w:p w14:paraId="6769F9B7"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Подача топлива к карбюратору из бака (позади сиденья тракториста) шло самоте</w:t>
      </w:r>
      <w:r w:rsidRPr="00507A31">
        <w:rPr>
          <w:color w:val="000000" w:themeColor="text1"/>
          <w:sz w:val="16"/>
          <w:szCs w:val="16"/>
        </w:rPr>
        <w:softHyphen/>
        <w:t>ком или при помощи ручного насоса. Подо</w:t>
      </w:r>
      <w:r w:rsidRPr="00507A31">
        <w:rPr>
          <w:color w:val="000000" w:themeColor="text1"/>
          <w:sz w:val="16"/>
          <w:szCs w:val="16"/>
        </w:rPr>
        <w:softHyphen/>
        <w:t>грев рабочей смеси осуществлялся отрабо</w:t>
      </w:r>
      <w:r w:rsidRPr="00507A31">
        <w:rPr>
          <w:color w:val="000000" w:themeColor="text1"/>
          <w:sz w:val="16"/>
          <w:szCs w:val="16"/>
        </w:rPr>
        <w:softHyphen/>
        <w:t>танными газами. Очистка воздуха происхо</w:t>
      </w:r>
      <w:r w:rsidRPr="00507A31">
        <w:rPr>
          <w:color w:val="000000" w:themeColor="text1"/>
          <w:sz w:val="16"/>
          <w:szCs w:val="16"/>
        </w:rPr>
        <w:softHyphen/>
        <w:t>дила в центробежном сухом очистителе.</w:t>
      </w:r>
    </w:p>
    <w:p w14:paraId="679DD432"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Регулировка двигателя - центробежным регулятором. Муфта сцепления трехдиско- вая: ведущий диск - стальной с обкладкой из ферродо и два ведомых чугунных.</w:t>
      </w:r>
    </w:p>
    <w:p w14:paraId="2CE25F87"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Трактор имел три скорости вперед: 1 -я скорость - 2,3; 2-я - 4,5 и 3-я - 10,5 км/ч.</w:t>
      </w:r>
    </w:p>
    <w:p w14:paraId="03777DF6"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Для работы с машинами на некоторых тракторах имелся приводной шкив диамет</w:t>
      </w:r>
      <w:r w:rsidRPr="00507A31">
        <w:rPr>
          <w:color w:val="000000" w:themeColor="text1"/>
          <w:sz w:val="16"/>
          <w:szCs w:val="16"/>
        </w:rPr>
        <w:softHyphen/>
        <w:t>ром 300 мм и шириной 215 мм, помещен</w:t>
      </w:r>
      <w:r w:rsidRPr="00507A31">
        <w:rPr>
          <w:color w:val="000000" w:themeColor="text1"/>
          <w:sz w:val="16"/>
          <w:szCs w:val="16"/>
        </w:rPr>
        <w:softHyphen/>
        <w:t>ный сзади. Привод от шкива осуществлялся ременной передачей. Число оборотов шки</w:t>
      </w:r>
      <w:r w:rsidRPr="00507A31">
        <w:rPr>
          <w:color w:val="000000" w:themeColor="text1"/>
          <w:sz w:val="16"/>
          <w:szCs w:val="16"/>
        </w:rPr>
        <w:softHyphen/>
        <w:t>ва — 1180 в минуту при числе оборотов дви</w:t>
      </w:r>
      <w:r w:rsidRPr="00507A31">
        <w:rPr>
          <w:color w:val="000000" w:themeColor="text1"/>
          <w:sz w:val="16"/>
          <w:szCs w:val="16"/>
        </w:rPr>
        <w:softHyphen/>
        <w:t>гателя 1050 в минуту.</w:t>
      </w:r>
    </w:p>
    <w:p w14:paraId="1A27F786"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У ряда тракторов шкив от</w:t>
      </w:r>
      <w:r w:rsidRPr="00507A31">
        <w:rPr>
          <w:color w:val="000000" w:themeColor="text1"/>
          <w:sz w:val="16"/>
          <w:szCs w:val="16"/>
        </w:rPr>
        <w:softHyphen/>
        <w:t xml:space="preserve">сутствовал, а в задней части располагался специальный сцепной прибор. Прицепное приспособление трактора в форме крюка снабжалось </w:t>
      </w:r>
      <w:r w:rsidRPr="00507A31">
        <w:rPr>
          <w:color w:val="000000" w:themeColor="text1"/>
          <w:sz w:val="16"/>
          <w:szCs w:val="16"/>
        </w:rPr>
        <w:lastRenderedPageBreak/>
        <w:t>амортизаторной (буферной) пружиной.</w:t>
      </w:r>
    </w:p>
    <w:p w14:paraId="0A4F8927"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Остовом трактора служи</w:t>
      </w:r>
      <w:r w:rsidRPr="00507A31">
        <w:rPr>
          <w:color w:val="000000" w:themeColor="text1"/>
          <w:sz w:val="16"/>
          <w:szCs w:val="16"/>
        </w:rPr>
        <w:softHyphen/>
        <w:t>ла стальная литая рама, к ко</w:t>
      </w:r>
      <w:r w:rsidRPr="00507A31">
        <w:rPr>
          <w:color w:val="000000" w:themeColor="text1"/>
          <w:sz w:val="16"/>
          <w:szCs w:val="16"/>
        </w:rPr>
        <w:softHyphen/>
        <w:t>торой крепились две передних и две задних тележки гусенич</w:t>
      </w:r>
      <w:r w:rsidRPr="00507A31">
        <w:rPr>
          <w:color w:val="000000" w:themeColor="text1"/>
          <w:sz w:val="16"/>
          <w:szCs w:val="16"/>
        </w:rPr>
        <w:softHyphen/>
        <w:t>ного хода.</w:t>
      </w:r>
    </w:p>
    <w:p w14:paraId="284D5CDC"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Вес трактора через раму передавался на опорные ро</w:t>
      </w:r>
      <w:r w:rsidRPr="00507A31">
        <w:rPr>
          <w:color w:val="000000" w:themeColor="text1"/>
          <w:sz w:val="16"/>
          <w:szCs w:val="16"/>
        </w:rPr>
        <w:softHyphen/>
        <w:t>лики тележек; каждая из че</w:t>
      </w:r>
      <w:r w:rsidRPr="00507A31">
        <w:rPr>
          <w:color w:val="000000" w:themeColor="text1"/>
          <w:sz w:val="16"/>
          <w:szCs w:val="16"/>
        </w:rPr>
        <w:softHyphen/>
        <w:t>тырех тележек имела по три ролика, из которых крайние были снабжены наружными, а средние - внутренней ребор</w:t>
      </w:r>
      <w:r w:rsidRPr="00507A31">
        <w:rPr>
          <w:color w:val="000000" w:themeColor="text1"/>
          <w:sz w:val="16"/>
          <w:szCs w:val="16"/>
        </w:rPr>
        <w:softHyphen/>
        <w:t>дой. Рельсы гусеницы были отлиты за одно целое с баш</w:t>
      </w:r>
      <w:r w:rsidRPr="00507A31">
        <w:rPr>
          <w:color w:val="000000" w:themeColor="text1"/>
          <w:sz w:val="16"/>
          <w:szCs w:val="16"/>
        </w:rPr>
        <w:softHyphen/>
        <w:t>маками. Шаг зацепления гу</w:t>
      </w:r>
      <w:r w:rsidRPr="00507A31">
        <w:rPr>
          <w:color w:val="000000" w:themeColor="text1"/>
          <w:sz w:val="16"/>
          <w:szCs w:val="16"/>
        </w:rPr>
        <w:softHyphen/>
        <w:t>сеничных лент составлял 152 мм, а ширина гусеницы — 278 мм. Для лучшего сцепления гусениц с фунтом на гусенич</w:t>
      </w:r>
      <w:r w:rsidRPr="00507A31">
        <w:rPr>
          <w:color w:val="000000" w:themeColor="text1"/>
          <w:sz w:val="16"/>
          <w:szCs w:val="16"/>
        </w:rPr>
        <w:softHyphen/>
        <w:t>ные башмаки могли одевать</w:t>
      </w:r>
      <w:r w:rsidRPr="00507A31">
        <w:rPr>
          <w:color w:val="000000" w:themeColor="text1"/>
          <w:sz w:val="16"/>
          <w:szCs w:val="16"/>
        </w:rPr>
        <w:softHyphen/>
        <w:t>ся шпоры из углового железа.</w:t>
      </w:r>
    </w:p>
    <w:p w14:paraId="3AF02689"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Спереди на передних гусеничных тележ</w:t>
      </w:r>
      <w:r w:rsidRPr="00507A31">
        <w:rPr>
          <w:color w:val="000000" w:themeColor="text1"/>
          <w:sz w:val="16"/>
          <w:szCs w:val="16"/>
        </w:rPr>
        <w:softHyphen/>
        <w:t>ках было установлено по одному натяжному ленивцу. Вверху гусеничная лента поддер</w:t>
      </w:r>
      <w:r w:rsidRPr="00507A31">
        <w:rPr>
          <w:color w:val="000000" w:themeColor="text1"/>
          <w:sz w:val="16"/>
          <w:szCs w:val="16"/>
        </w:rPr>
        <w:softHyphen/>
        <w:t>живалась четырьмя роликами, оси которых помещались в специальных стойках, укреп</w:t>
      </w:r>
      <w:r w:rsidRPr="00507A31">
        <w:rPr>
          <w:color w:val="000000" w:themeColor="text1"/>
          <w:sz w:val="16"/>
          <w:szCs w:val="16"/>
        </w:rPr>
        <w:softHyphen/>
        <w:t>ленных по две на каждой тележке.</w:t>
      </w:r>
    </w:p>
    <w:p w14:paraId="2A031B9B"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Передача движения гусеницам произво</w:t>
      </w:r>
      <w:r w:rsidRPr="00507A31">
        <w:rPr>
          <w:color w:val="000000" w:themeColor="text1"/>
          <w:sz w:val="16"/>
          <w:szCs w:val="16"/>
        </w:rPr>
        <w:softHyphen/>
        <w:t>дилась с помощью зубчатых колес, приво</w:t>
      </w:r>
      <w:r w:rsidRPr="00507A31">
        <w:rPr>
          <w:color w:val="000000" w:themeColor="text1"/>
          <w:sz w:val="16"/>
          <w:szCs w:val="16"/>
        </w:rPr>
        <w:softHyphen/>
        <w:t>димых в движение двигателем через короб</w:t>
      </w:r>
      <w:r w:rsidRPr="00507A31">
        <w:rPr>
          <w:color w:val="000000" w:themeColor="text1"/>
          <w:sz w:val="16"/>
          <w:szCs w:val="16"/>
        </w:rPr>
        <w:softHyphen/>
        <w:t>ку скоростей.</w:t>
      </w:r>
    </w:p>
    <w:p w14:paraId="5446C7DF"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Управление трактором производилось посредством выключения гусениц с помо</w:t>
      </w:r>
      <w:r w:rsidRPr="00507A31">
        <w:rPr>
          <w:color w:val="000000" w:themeColor="text1"/>
          <w:sz w:val="16"/>
          <w:szCs w:val="16"/>
        </w:rPr>
        <w:softHyphen/>
        <w:t>щью двух дисковых муфт, состоящих каж</w:t>
      </w:r>
      <w:r w:rsidRPr="00507A31">
        <w:rPr>
          <w:color w:val="000000" w:themeColor="text1"/>
          <w:sz w:val="16"/>
          <w:szCs w:val="16"/>
        </w:rPr>
        <w:softHyphen/>
        <w:t>дая из одиннадцати дисков, находившихся под давлением восьми спиральных пружин.</w:t>
      </w:r>
    </w:p>
    <w:p w14:paraId="3A6EA98D" w14:textId="77777777" w:rsidR="00537E5F" w:rsidRPr="00507A31" w:rsidRDefault="00537E5F" w:rsidP="00507A31">
      <w:pPr>
        <w:widowControl w:val="0"/>
        <w:autoSpaceDE w:val="0"/>
        <w:autoSpaceDN w:val="0"/>
        <w:adjustRightInd w:val="0"/>
        <w:jc w:val="both"/>
        <w:rPr>
          <w:color w:val="000000" w:themeColor="text1"/>
          <w:sz w:val="16"/>
          <w:szCs w:val="16"/>
        </w:rPr>
      </w:pPr>
      <w:r w:rsidRPr="00507A31">
        <w:rPr>
          <w:color w:val="000000" w:themeColor="text1"/>
          <w:sz w:val="16"/>
          <w:szCs w:val="16"/>
        </w:rPr>
        <w:t>Поворот трактора достигался посред</w:t>
      </w:r>
      <w:r w:rsidRPr="00507A31">
        <w:rPr>
          <w:color w:val="000000" w:themeColor="text1"/>
          <w:sz w:val="16"/>
          <w:szCs w:val="16"/>
        </w:rPr>
        <w:softHyphen/>
        <w:t>ством выключения одной из гусениц путем отжима пружин (11905).</w:t>
      </w:r>
    </w:p>
    <w:p w14:paraId="426B6382" w14:textId="77777777" w:rsidR="00537E5F" w:rsidRPr="00507A31" w:rsidRDefault="00537E5F" w:rsidP="00507A31">
      <w:pPr>
        <w:widowControl w:val="0"/>
        <w:autoSpaceDE w:val="0"/>
        <w:autoSpaceDN w:val="0"/>
        <w:adjustRightInd w:val="0"/>
        <w:jc w:val="both"/>
        <w:rPr>
          <w:color w:val="000000" w:themeColor="text1"/>
          <w:sz w:val="16"/>
          <w:szCs w:val="16"/>
        </w:rPr>
      </w:pPr>
    </w:p>
    <w:p w14:paraId="2CD5518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Иркутская золотосплавочная лаборатория преобразована в отделение института «Гинцветмет», затем, в том же году- в самостоятельный институт «Сибгинцветмет». На институт возложены задачи изучения добычи и обогащения руд и песков, исследования готовой продукции, анализы и испытания сырья, изучение зарубежного опыта и подготовка кадров. В 1932 г. «Сибгинцветмет» преобразован в «ГИНЗОЛОТО» в ведении НКТП. Институт становится головным по всем НИР по изучению и использованию золотоносных руд и песков в СССР.</w:t>
      </w:r>
    </w:p>
    <w:p w14:paraId="0EA5D06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1942 г. институт «ГИНЗОЛОТО» преобразован в Завод № 172 НКЦМ по выпуску редких и цветных металлов для военной промышленности. Разработаны технологии обогащения оловянных, вольфрамовых, молибденовых руд и руд цветных металлов.</w:t>
      </w:r>
    </w:p>
    <w:p w14:paraId="0A3905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1946 г. завод № 172 вновь преобразован в институт «Иргиредмет». В направления деятельности института вошли урановые, ториевые и тантало-ниобиевые руды. В 1955 г. после открытия якутских алмазов в институте создана лаборатория обогащения алмазосодержащего сырья, начаты исследования якутских месторождений. В 1966 г. институт определен головным для алмазной и золотодобывающей промышленности СССР.</w:t>
      </w:r>
    </w:p>
    <w:p w14:paraId="488ADEB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1993 г. институт преобразован в АООТ, затем- в ОАО.</w:t>
      </w:r>
    </w:p>
    <w:p w14:paraId="128FA9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составе института (2007 г.): 10 специализированных технологических лабораторий; отделы: проектный, НТИ, патентный, рекламно-маркетинговый; аналитический и коммерческий центры; опытно-обогатительная фабрика; производство по сбору и переработке вторичных драгметаллов.</w:t>
      </w:r>
    </w:p>
    <w:p w14:paraId="2C66F0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Численность персонала (1871 г.)- 11 чел.</w:t>
      </w:r>
    </w:p>
    <w:p w14:paraId="0435112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Гендиректор (2007 г.)- В.Е. Дементьев.</w:t>
      </w:r>
    </w:p>
    <w:p w14:paraId="02E0F9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Зам. гендиректора: (2007 г.)- О.В. Замятин; по научной работе и инновациям (2007 г.)-  Г.И. Войлошников; по общим вопросам (2007 г.)- С.М. Анохин.</w:t>
      </w:r>
    </w:p>
    <w:p w14:paraId="0BC47A5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Гл. инженер (2007 г.)- О.В. Замятин.</w:t>
      </w:r>
    </w:p>
    <w:p w14:paraId="0B96DF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Руководители центров: бизнес-центра (2007 г.)- С.В. Валиков; коммерческого (2007 г.)- П.Д. Горбунов; аналитического (2007 г.)- Т.Д. Горностаева.</w:t>
      </w:r>
    </w:p>
    <w:p w14:paraId="3610194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Ученый секретарь (2007 г.)- А.А. Пунишко.</w:t>
      </w:r>
    </w:p>
    <w:p w14:paraId="22A5914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Заведующие лабораториями: обогащения руд (2007 г.)- Д.И. Коган; обогащения россыпей (2007 г.)- В.М. Маньков; металлургической переработки концентратов и геотехнологии (2007 г.)- С.С. Гудков; обогащения алмазосодержащих руд и песков (2007 г.)- А.В. Прокопенко; разработки рудных месторождений (2007 г.)- В.П. Неганов; гидрометаллугрии благородных металлов (2007 г.)- О.Д. Хмельницкая; разработки россыпей и проектирования горных работ (2007 г.)- В. Г. Пятаков; охраны окружающей среды (2007 г.)- В.Ф. Петров; прикладной математики и ВТ (2007 г.)- В.В. Фандеев.</w:t>
      </w:r>
    </w:p>
    <w:p w14:paraId="44C352B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Заведующие отделами: проектно-конструкторским (2007 г.)- В.Я. Бывальцев; опытно-промышленного производства вторичных драгметаллов (2007 г.)- Ю.Б. Ярош; промышленной безопасности (2007 г.)- А.А. Давиденко; рекламно-маркетинговым (2007 г.)- Б.К. Кавчик; патентно-лицензионным (2007 г.)-  Г.В. Хадарина (11982).</w:t>
      </w:r>
    </w:p>
    <w:p w14:paraId="14493556" w14:textId="77777777" w:rsidR="00537E5F" w:rsidRPr="00507A31" w:rsidRDefault="00537E5F" w:rsidP="00507A31">
      <w:pPr>
        <w:autoSpaceDE w:val="0"/>
        <w:autoSpaceDN w:val="0"/>
        <w:adjustRightInd w:val="0"/>
        <w:jc w:val="both"/>
        <w:rPr>
          <w:color w:val="000000" w:themeColor="text1"/>
          <w:sz w:val="16"/>
          <w:szCs w:val="16"/>
        </w:rPr>
      </w:pPr>
    </w:p>
    <w:p w14:paraId="578FEB9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Жизнь и внутренняя политика:</w:t>
      </w:r>
    </w:p>
    <w:p w14:paraId="474D3D3E" w14:textId="77777777" w:rsidR="00537E5F" w:rsidRPr="00507A31" w:rsidRDefault="00537E5F" w:rsidP="00507A31">
      <w:pPr>
        <w:autoSpaceDE w:val="0"/>
        <w:autoSpaceDN w:val="0"/>
        <w:adjustRightInd w:val="0"/>
        <w:jc w:val="both"/>
        <w:rPr>
          <w:iCs/>
          <w:color w:val="000000" w:themeColor="text1"/>
          <w:sz w:val="16"/>
          <w:szCs w:val="16"/>
        </w:rPr>
      </w:pPr>
    </w:p>
    <w:p w14:paraId="7933615D" w14:textId="77777777" w:rsidR="00DE6527" w:rsidRPr="00507A31" w:rsidRDefault="00DE6527" w:rsidP="00507A31">
      <w:pPr>
        <w:jc w:val="both"/>
        <w:rPr>
          <w:color w:val="000000" w:themeColor="text1"/>
          <w:sz w:val="16"/>
          <w:szCs w:val="16"/>
        </w:rPr>
      </w:pPr>
      <w:r w:rsidRPr="00507A31">
        <w:rPr>
          <w:color w:val="000000" w:themeColor="text1"/>
          <w:sz w:val="16"/>
          <w:szCs w:val="16"/>
        </w:rPr>
        <w:t>В 1930 г., после того как в 1929 г. крестьянские (колхозные) рынки были запрещены, крестьянам вновь позволили торговать в Москве. В 1931 г. в Москве действовало 2 таких рынка,в конце 1932 г. — 43, большей частью на окраинах города. На этот источник в 1932 г. пришлось 15% снабжения москвичей картофелем и 60% — молоком и яйцами. Кроме того, в Москве на всем протяжении 1930-х гг. функционировал черный рынок продуктов питания, похищенных из колхозов{984} (18299).</w:t>
      </w:r>
    </w:p>
    <w:p w14:paraId="432B37ED" w14:textId="77777777" w:rsidR="00DE6527" w:rsidRPr="00507A31" w:rsidRDefault="00DE6527" w:rsidP="00507A31">
      <w:pPr>
        <w:jc w:val="both"/>
        <w:rPr>
          <w:color w:val="000000" w:themeColor="text1"/>
          <w:sz w:val="16"/>
          <w:szCs w:val="16"/>
        </w:rPr>
      </w:pPr>
    </w:p>
    <w:p w14:paraId="6C0D64C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1930 в Москве были следующие места заключения:</w:t>
      </w:r>
    </w:p>
    <w:p w14:paraId="58DFEC6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ведении Главумзака:</w:t>
      </w:r>
    </w:p>
    <w:p w14:paraId="217DEC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Таганский дом предварительного заключения - М. Каменщики, дом 16 (на 1915 - Московская губернская тюрьма);</w:t>
      </w:r>
    </w:p>
    <w:p w14:paraId="76D4F85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Сокольнический исправдом - Матросская Тишина, дом 12 (на 1915 - Московская исправительная тюрьма);</w:t>
      </w:r>
    </w:p>
    <w:p w14:paraId="634766E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Мясницкий исправтруддом - М. Вузовский пер., дом 2/8;</w:t>
      </w:r>
    </w:p>
    <w:p w14:paraId="4544D67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Пересыльный домзак - 3-й Колобовский пер., дом 8;</w:t>
      </w:r>
    </w:p>
    <w:p w14:paraId="7CE52FF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Лефортовский изолятор специального назначения - Краснокурсантская пл., дом 2 (на 1915 - Московская военная тюрьма); при нем Автотьино-Тихвинское отделение (ст. Барыбино); ср. на 1934 - в ведении АХУ НКВД СССР «изолятор Особого назначения» («Лубянка, 1917-1960. Справочник. М., 1997, стр. 13);</w:t>
      </w:r>
    </w:p>
    <w:p w14:paraId="7F6DACD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1-й московский женский исправдом - М. Новинский пер., дом 1/16 (на 1915 - Московская женская тюрьма);</w:t>
      </w:r>
    </w:p>
    <w:p w14:paraId="2D8C57B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1-й московский переходный исправтруддом - «б. Новоспасский монастырь»;</w:t>
      </w:r>
    </w:p>
    <w:p w14:paraId="7C0D2C4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1-я московская фабрично-трудовая колония для несовершеннолетних правонарушителей - Шаболовка, дом 46; отделение - Шаболовка, Сиротский пер., дом 11 (с 1968 номера домов по Шаболовке уменьшены на 12, т.е. сейчас Шаболовка 34 и ул. Шухова 11);</w:t>
      </w:r>
    </w:p>
    <w:p w14:paraId="206910E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Объединение сельскохозяйственных колоний - станция Гривно;</w:t>
      </w:r>
    </w:p>
    <w:p w14:paraId="79BAA89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Экспериментально-пенитенциарное отделение Института по изучению преступности и преступника НКВД (ЭКСПОТИПП) - «б. Ивановский монастырь» (9064).</w:t>
      </w:r>
    </w:p>
    <w:p w14:paraId="08E18810" w14:textId="77777777" w:rsidR="00537E5F" w:rsidRPr="00507A31" w:rsidRDefault="00537E5F" w:rsidP="00507A31">
      <w:pPr>
        <w:autoSpaceDE w:val="0"/>
        <w:autoSpaceDN w:val="0"/>
        <w:adjustRightInd w:val="0"/>
        <w:jc w:val="both"/>
        <w:rPr>
          <w:color w:val="000000" w:themeColor="text1"/>
          <w:sz w:val="16"/>
          <w:szCs w:val="16"/>
        </w:rPr>
      </w:pPr>
    </w:p>
    <w:p w14:paraId="4F2D891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ведении Административного отдела Московского горисполкома (АОМГИК):</w:t>
      </w:r>
    </w:p>
    <w:p w14:paraId="20F0B8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Сретенский арестный дом - 3-й Колобовский пер., дом 8 (на 1915 - здание Сретенской полицейской части в 3-м Знаменском пер.); ср. на 1934 - в ведении АХУ НКВД СССР «Сретенский изолятор» («Лубянка, 1917-1960. Справочник. М., 1997, стр. 13). Приказ МВД № 453 от 30 мая 1955 «О передаче помещения быв. Сретенской тюрьмы под размещение учебных заведений ГУГК МВД СССР». Передать по балансу на 1 мая 1955 года освободившиеся помещения быв. Тюрьмы № 2 УМВД Московской области (Сретенской) по 3-му Колобовскому пер., дом № 16 Главному управлению геодезии и картографии МВД СССР... под учебные занятия Московского топографического техникума и аэрофотосъемочного училища.;</w:t>
      </w:r>
    </w:p>
    <w:p w14:paraId="4DD3B69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Без указания принадлежности:</w:t>
      </w:r>
    </w:p>
    <w:p w14:paraId="4E11272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Крюковская фабрично-трудовая колония;</w:t>
      </w:r>
    </w:p>
    <w:p w14:paraId="0317207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Лианозовская фабрично-трудовая колония.</w:t>
      </w:r>
    </w:p>
    <w:p w14:paraId="29462CC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На 1915 также:</w:t>
      </w:r>
    </w:p>
    <w:p w14:paraId="0430D8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Уездный арестный дом Проточный пер., дом 9;</w:t>
      </w:r>
    </w:p>
    <w:p w14:paraId="60EFF57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Городской арестный дом по приговорам мировых судей - Варваринский пер., дом 11</w:t>
      </w:r>
    </w:p>
    <w:p w14:paraId="70A957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Центральная пересыльная тюрьма - Бутырка.</w:t>
      </w:r>
    </w:p>
    <w:p w14:paraId="2B8473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Внутренняя тюрьма ПП ОГПУ по Москве?? «тюрьма в Кисельном переулке» (Янсен М. Суд без суда. 1922 год. Показательный процесс социалистов-революционеров. М.,1993. С. 83; Социалистический вестник. 1922. № 15. С. 7) (9064).</w:t>
      </w:r>
    </w:p>
    <w:p w14:paraId="1356E727" w14:textId="77777777" w:rsidR="00537E5F" w:rsidRPr="00507A31" w:rsidRDefault="00537E5F" w:rsidP="00507A31">
      <w:pPr>
        <w:autoSpaceDE w:val="0"/>
        <w:autoSpaceDN w:val="0"/>
        <w:adjustRightInd w:val="0"/>
        <w:jc w:val="both"/>
        <w:rPr>
          <w:color w:val="000000" w:themeColor="text1"/>
          <w:sz w:val="16"/>
          <w:szCs w:val="16"/>
        </w:rPr>
      </w:pPr>
    </w:p>
    <w:p w14:paraId="07EE903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в Ленинграде были следующие тюрьмы и СИЗО</w:t>
      </w:r>
    </w:p>
    <w:p w14:paraId="661E9D8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Дом предварительного заключения («Шпалерка») - Шпалерная (ул. Воинова), дом 25. В 1930-х - 1950-х - следственная тюрьма УНКВД - УМВД. Действующая, СИЗО УФСБ.</w:t>
      </w:r>
    </w:p>
    <w:p w14:paraId="3F8D922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Центральная одиночная тюрьма («Кресты») - Арсенальная наб., дом 5. В 1920-х - 1950-х - пересыльная тюрьма. В 1950-х в одном из крыльев - тюремная психбольница (содержались Сумбатов, Саркисов, Судоплатов) Действующая, СИЗО ГУВД.</w:t>
      </w:r>
    </w:p>
    <w:p w14:paraId="352C49F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Городская пересыльная тюрьма - Константиноградская ул., дом 6 (ныне - Центральный Котлотурбинный институт им. Ползунова, адрес с начала 1970-х - ул. Атаманская, дом 3/6)</w:t>
      </w:r>
    </w:p>
    <w:p w14:paraId="7F1E6F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Военно-морская исправительная тюрьма - Новая Голландия, западная стрелка (ныне - «учреждение ВМФ»).</w:t>
      </w:r>
    </w:p>
    <w:p w14:paraId="4D9E16D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Военная тюрьма - ул. академика Лебедева (Нижегородская), дом 39 (ныне - психиатрическая больница закрытого типа ?? - нет в справочнике).</w:t>
      </w:r>
    </w:p>
    <w:p w14:paraId="44DFA31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Городской арестный дом - ул. Хохрякова (Переяславская), дом 1 (ныне - действующая тюремная больница (Межобластная??), наб. реки Монастырки, дом 9)</w:t>
      </w:r>
    </w:p>
    <w:p w14:paraId="52810A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Женская тюрьма («Арсенальная») - Арсенальная ул., дом 9. Действующая.</w:t>
      </w:r>
    </w:p>
    <w:p w14:paraId="3B801D2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 Исправительное арестантское отделение («Литовский замок») - ул. Декабристов (Офицерская), дом 29 (сожжена в Февральскую революцию, остатки разобраны в 1930 г.) (9064).</w:t>
      </w:r>
    </w:p>
    <w:p w14:paraId="3CEAE98F" w14:textId="77777777" w:rsidR="00537E5F" w:rsidRPr="00507A31" w:rsidRDefault="00537E5F" w:rsidP="00507A31">
      <w:pPr>
        <w:autoSpaceDE w:val="0"/>
        <w:autoSpaceDN w:val="0"/>
        <w:adjustRightInd w:val="0"/>
        <w:jc w:val="both"/>
        <w:rPr>
          <w:color w:val="000000" w:themeColor="text1"/>
          <w:sz w:val="16"/>
          <w:szCs w:val="16"/>
        </w:rPr>
      </w:pPr>
    </w:p>
    <w:p w14:paraId="1B0EF9F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1930 года профиль завода № 67 изменился на бомбостроение и средства химзащиты без их снаряжения с продолжением котлостроения и металлококнструкций до 1936 года. В 1941 году жестяно-штамповальное производство было эвакуировано в Дзержинск, а механическое оборудование – в Миасы. В период 1941-1945 гг. опытный завод полностью был загружен выпуском боеприпасов всех направлений, как по линии ВВС, а также по ВМС, ГАУ и ВИУ. В 1947 году бывш. цех холодной штамповки с прилегающими службами, складами, оборудованием, рабочей силой по распоряжению МСХМ был передан бывш. КБ-2, ныне ГСНИИ-642. До 1953 года опытный завод, ранее именовавшийся “Завод № 67 им. С.К. Тимошенко” слился с институтом, как опытная база при институте.</w:t>
      </w:r>
    </w:p>
    <w:p w14:paraId="2898BC4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Адрес: Москва, Е-58, Сталинский район, Вельяминовская ул., д. 32, п/я 2350</w:t>
      </w:r>
    </w:p>
    <w:p w14:paraId="067C663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опытного завода – Титов</w:t>
      </w:r>
    </w:p>
    <w:p w14:paraId="6D6ACF3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Завод граничит с северной стороны с Ткацкой улицей, с южной с ГСКБ-47 МОП и Зверинецкая улица, с восточной – территория филиала завода № 45 МАП и с западной –Вельяминовская улица (10040).</w:t>
      </w:r>
    </w:p>
    <w:p w14:paraId="359CF68E" w14:textId="77777777" w:rsidR="00537E5F" w:rsidRPr="00507A31" w:rsidRDefault="00537E5F" w:rsidP="00507A31">
      <w:pPr>
        <w:autoSpaceDE w:val="0"/>
        <w:autoSpaceDN w:val="0"/>
        <w:adjustRightInd w:val="0"/>
        <w:jc w:val="both"/>
        <w:rPr>
          <w:color w:val="000000" w:themeColor="text1"/>
          <w:sz w:val="16"/>
          <w:szCs w:val="16"/>
        </w:rPr>
      </w:pPr>
    </w:p>
    <w:p w14:paraId="61AB839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началась перестройка завода № 520, которая окончилась в 1932 году.</w:t>
      </w:r>
    </w:p>
    <w:p w14:paraId="0BE5430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Адрес: п. Бисерть Свердловской области, п/я 20</w:t>
      </w:r>
    </w:p>
    <w:p w14:paraId="75493C5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Директор – Косарев.</w:t>
      </w:r>
    </w:p>
    <w:p w14:paraId="159C6C16"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1741 году Демидов Н.Д. построил на реке Бисерть мукомольную мельницу. В 1759 году его сые Демидов Г.А. мельницу сломал и на месте ее начал постройку вододействующего завода для ковки железа, который был пущен в действие в 1763 году. В 1815 году ниже по течению реки Бисерть, на расстоянии 2-х км от ныне существующего завода был построен и пущен в действие т.н. Нижний завод. На Нижнем заводе была плющильная – железопрокатная фабрика и т.п. В 1866 году железопрокатное производство было перенесено на Верхний завод, а Нижний завод был уничтожен. В 1810 году завод был продан Зеленцову, который владел им до 1833 года, после опять перешел в руки наследника Демидова – А.П. Демидова, который владел им до 1866 года. С 1866 по 1897 гг. завод переходил несколько раз разным владельцам. В 1897 году завод перешел в собственность действительному тайному советнику Ратькову-Рожневу, который владел им до 1913 года. С 1913 года по 1918 года – владелец Солодовников.</w:t>
      </w:r>
    </w:p>
    <w:p w14:paraId="2CEB4E5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период Первой пятилетки решением Правительства было указано возобновить работу Бисертского завода с уклоном машиностроение.</w:t>
      </w:r>
    </w:p>
    <w:p w14:paraId="5A299BA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период ВОВ завод коренным образом изменил свой профиль производства и организовал выпуск оборонной продукции.</w:t>
      </w:r>
    </w:p>
    <w:p w14:paraId="094612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После ВОВ завод перешел на выпуск с/х машин (10037).</w:t>
      </w:r>
    </w:p>
    <w:p w14:paraId="6042180A" w14:textId="77777777" w:rsidR="00537E5F" w:rsidRPr="00507A31" w:rsidRDefault="00537E5F" w:rsidP="00507A31">
      <w:pPr>
        <w:autoSpaceDE w:val="0"/>
        <w:autoSpaceDN w:val="0"/>
        <w:adjustRightInd w:val="0"/>
        <w:jc w:val="both"/>
        <w:rPr>
          <w:color w:val="000000" w:themeColor="text1"/>
          <w:sz w:val="16"/>
          <w:szCs w:val="16"/>
        </w:rPr>
      </w:pPr>
    </w:p>
    <w:p w14:paraId="62A124A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1930. На заводе «Светлана» был создан первый тетрод типа СО-44 с оксидным катодом., а затем разработаны тетроды с торированным катодом СТ-80 и катодом косвенного накала СО-95 с внутренней экранировкой от внешних электростатических полей. Инженер Кубецкий Л.А. создал первый фотоумножитель с фокусировкой электронов с помощью магнитного поля. Физик Константинов А.П. разработал электронно-лучевую трубку для передачи изображения, в которой использовался принцип накопления зарядов (11223).</w:t>
      </w:r>
    </w:p>
    <w:p w14:paraId="5B07FF85" w14:textId="77777777" w:rsidR="00537E5F" w:rsidRPr="00507A31" w:rsidRDefault="00537E5F" w:rsidP="00507A31">
      <w:pPr>
        <w:autoSpaceDE w:val="0"/>
        <w:autoSpaceDN w:val="0"/>
        <w:adjustRightInd w:val="0"/>
        <w:jc w:val="both"/>
        <w:rPr>
          <w:color w:val="000000" w:themeColor="text1"/>
          <w:sz w:val="16"/>
          <w:szCs w:val="16"/>
        </w:rPr>
      </w:pPr>
    </w:p>
    <w:p w14:paraId="5CE27DE3"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Внешняя политика:</w:t>
      </w:r>
    </w:p>
    <w:p w14:paraId="78044EDE" w14:textId="77777777" w:rsidR="00537E5F" w:rsidRPr="00507A31" w:rsidRDefault="00537E5F" w:rsidP="00507A31">
      <w:pPr>
        <w:autoSpaceDE w:val="0"/>
        <w:autoSpaceDN w:val="0"/>
        <w:adjustRightInd w:val="0"/>
        <w:jc w:val="both"/>
        <w:rPr>
          <w:iCs/>
          <w:color w:val="000000" w:themeColor="text1"/>
          <w:sz w:val="16"/>
          <w:szCs w:val="16"/>
        </w:rPr>
      </w:pPr>
    </w:p>
    <w:p w14:paraId="58529F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коммунист и инженер-химик Т. Пеш, работавший в финансируемой британцами компании «Нойтекс» в Ахене, передал в СССР секретные документы и образцы пуленепробиваемого стекла. Он был арестован и осужден на два месяца (11765).</w:t>
      </w:r>
    </w:p>
    <w:p w14:paraId="74CEE625" w14:textId="77777777" w:rsidR="00537E5F" w:rsidRPr="00507A31" w:rsidRDefault="00537E5F" w:rsidP="00507A31">
      <w:pPr>
        <w:autoSpaceDE w:val="0"/>
        <w:autoSpaceDN w:val="0"/>
        <w:adjustRightInd w:val="0"/>
        <w:jc w:val="both"/>
        <w:rPr>
          <w:color w:val="000000" w:themeColor="text1"/>
          <w:sz w:val="16"/>
          <w:szCs w:val="16"/>
        </w:rPr>
      </w:pPr>
    </w:p>
    <w:p w14:paraId="4060147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резидентуру военной разведки в Германии возглавил О. А. Стигга. Под его руководством работало только в Берлине до 250 сотрудников (Журавлев С. В. «Маленькие люди» и «большая история»: Иностранцы Московского электрозавода в советском обществе 1920-1930 гг. — М., 2000, с. 84.). В своей работе он ориентировался в первую очередь на добычу научно-технической информации. При этом он активно использовал возможности ББ-Аппарата. Этим подразделением руководили Ф. Грибовский (1929-1930), Ф. Бурде (1930-1931) и В. Баник (1932—1935). Сотрудники этой подпольной структуры проникли не только на оборонные предприятия. Они были везде, где имелась значимая для СССР информация экономического и технического характера.</w:t>
      </w:r>
    </w:p>
    <w:p w14:paraId="40FE49B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Среди достижений можно отметить регулярные кражи в фирме «Крупп-Эссен» документов и чертежей по производству амуниции и оружия, аналогичных документов по изготовлению прицелов в Дрездене (11765).</w:t>
      </w:r>
    </w:p>
    <w:p w14:paraId="765DB5B5" w14:textId="77777777" w:rsidR="00537E5F" w:rsidRPr="00507A31" w:rsidRDefault="00537E5F" w:rsidP="00507A31">
      <w:pPr>
        <w:autoSpaceDE w:val="0"/>
        <w:autoSpaceDN w:val="0"/>
        <w:adjustRightInd w:val="0"/>
        <w:jc w:val="both"/>
        <w:rPr>
          <w:color w:val="000000" w:themeColor="text1"/>
          <w:sz w:val="16"/>
          <w:szCs w:val="16"/>
        </w:rPr>
      </w:pPr>
    </w:p>
    <w:p w14:paraId="0410D99E"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1579356D" w14:textId="77777777" w:rsidR="00537E5F" w:rsidRPr="00507A31" w:rsidRDefault="00537E5F" w:rsidP="00507A31">
      <w:pPr>
        <w:autoSpaceDE w:val="0"/>
        <w:autoSpaceDN w:val="0"/>
        <w:adjustRightInd w:val="0"/>
        <w:jc w:val="both"/>
        <w:rPr>
          <w:iCs/>
          <w:color w:val="000000" w:themeColor="text1"/>
          <w:sz w:val="16"/>
          <w:szCs w:val="16"/>
        </w:rPr>
      </w:pPr>
    </w:p>
    <w:p w14:paraId="660364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при военном министерстве был создан ракетный отдел во главе с полковником Карлом Беккером. Еще до Первой мировой войны Беккер занимался артиллерийской техникой, а на фронте командовал батареей тяжелой артиллерии, позднее служил референтом Берлинской артиллерийской испытательной комиссии. В конце 1920-х годов Беккер, получивший степень доктора философии, считался крупным авторитетом по внешней баллистике и был назначен главой отдела баллистики и боеприпасов управления вооружений сухопутных войск.</w:t>
      </w:r>
    </w:p>
    <w:p w14:paraId="2B3FBE68"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Позорный Версальский договор разрешал Германии иметь всего 204 полевых орудия и 84 гаубицы. Враги с мелочной мстительностью даже рассчитали и записали в договор положенное к ним количество снарядов. Однако о ракетах там ничего не было сказано. Этим и воспользовались генералы рейхсвера, в тайне осуществлявшие перевооружение своей «спрятанной армии».</w:t>
      </w:r>
    </w:p>
    <w:p w14:paraId="477867C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Офицеры этого отдела много думали о ракетах. Ракеты с жидкостными двигателями давали, по крайней мере теоретически, возможность стрелять дальше, чем это делала артиллерия. К тому же теория утверждала, что ракеты в отличие от самолета будут практически неуязвимы в полете. Этими обстоятельствами и было продиктовано решение, принятое в 1929 году, о возложении на отдел баллистики ответственности за разработку ракет.</w:t>
      </w:r>
    </w:p>
    <w:p w14:paraId="71315E5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Задача, поставленная отделу, была почти невыполнима. Ведь не имелось ничего, чем можно было бы руководствоваться военным инженерам при конструировании ракет. Ни один технический институт в Германии не вел работу в области ракет, не занималась этим и промышленность. Сотрудник отдела баллистики капитан Горштиг, ведавший организационными вопросами, долго не мог найти такого изобретателя, который при значительной финансовой помощи мог бы дать какой-то законченный проект.</w:t>
      </w:r>
    </w:p>
    <w:p w14:paraId="0DFDC3F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в помощь Горштигу был назначен новый человек – профессиональный офицер, служивший в тяжелой артиллерии во время Первой мировой войны. Этим человеком был капитан Вальтер Дорнбергер.</w:t>
      </w:r>
    </w:p>
    <w:p w14:paraId="5B52CA3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году он окончил Высшую техническую школу в Берлине и был направлен ассистентом в отдел полковника. Беккера. Разумеется, он старался быть в курсе того, что делается по его специальности и бывал на испытаниях в «Ракетенфлюгплатц».</w:t>
      </w:r>
    </w:p>
    <w:p w14:paraId="1223AB3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Однажды он повстречал там доктора Хейланда, которому принадлежал завод по производству промышленных газов и на которого некогда работал Макс Валье. Дорнбергер уговорил Хейланда сконструировать небольшой жидкостный ракетный двигатель, чтобы применять его для испытания различных топливных смесей. Когда работы начались, Дорнбергер понял, что управлению вооружений так или иначе придется взять на себя выполнение этой задачи. Идея получила одобрение, и вскоре на артиллерийском полигоне в Куммерсдорфе, в 27 километрах южнее Берлина, была создана новая испытательная станция. Она называлась экспериментальной станцией «Куммерсдорф – Запад». Начальником ее был назначен Вальтер Дорнбергер. Первым гражданским служащим станции стал Вернер фон Браун (11688).</w:t>
      </w:r>
    </w:p>
    <w:p w14:paraId="7D6D4382" w14:textId="77777777" w:rsidR="00537E5F" w:rsidRPr="00507A31" w:rsidRDefault="00537E5F" w:rsidP="00507A31">
      <w:pPr>
        <w:autoSpaceDE w:val="0"/>
        <w:autoSpaceDN w:val="0"/>
        <w:adjustRightInd w:val="0"/>
        <w:jc w:val="both"/>
        <w:rPr>
          <w:color w:val="000000" w:themeColor="text1"/>
          <w:sz w:val="16"/>
          <w:szCs w:val="16"/>
        </w:rPr>
      </w:pPr>
    </w:p>
    <w:p w14:paraId="63C3D83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проблемой ПуВРД стал заниматься Пауль Шмидт. Для своих изысканий он получал финансовую помощь от военного испытательного центра, которым руководил Вальтер Р. Дорнбергер.</w:t>
      </w:r>
    </w:p>
    <w:p w14:paraId="6B49EDA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1939 г. Шмидту удалось создать ПуВРД диаметром 2,51 м, длиной 3,6 м и мощностью 4,4 кН. Двигатель получил обозначение SR500. Время его работы составляло всего 13 с. В том же 1930 г. проблемой создания ПуВРД на фирме «Argus-Motoren GmbH» (Берлин–Рейникендорф) занимался Г. Дидрих, который также в 1939 г. создал пригодную конструкцию пульсирующего двигателя (11686).</w:t>
      </w:r>
    </w:p>
    <w:p w14:paraId="0E2FD4D3" w14:textId="77777777" w:rsidR="00537E5F" w:rsidRPr="00507A31" w:rsidRDefault="00537E5F" w:rsidP="00507A31">
      <w:pPr>
        <w:autoSpaceDE w:val="0"/>
        <w:autoSpaceDN w:val="0"/>
        <w:adjustRightInd w:val="0"/>
        <w:jc w:val="both"/>
        <w:rPr>
          <w:color w:val="000000" w:themeColor="text1"/>
          <w:sz w:val="16"/>
          <w:szCs w:val="16"/>
        </w:rPr>
      </w:pPr>
    </w:p>
    <w:p w14:paraId="5C046783" w14:textId="77777777" w:rsidR="00283520" w:rsidRPr="00507A31" w:rsidRDefault="00283520" w:rsidP="00507A31">
      <w:pPr>
        <w:pStyle w:val="a3"/>
        <w:autoSpaceDE/>
        <w:autoSpaceDN/>
        <w:adjustRightInd/>
        <w:rPr>
          <w:color w:val="000000" w:themeColor="text1"/>
          <w:lang w:val="ru-RU"/>
        </w:rPr>
      </w:pPr>
      <w:r w:rsidRPr="00507A31">
        <w:rPr>
          <w:color w:val="000000" w:themeColor="text1"/>
          <w:lang w:val="ru-RU"/>
        </w:rPr>
        <w:t>В 1930 г. в США совершал полеты лишь единственный, доставшийся ей от поверженной Германии в счет репараций, 12-126 (объем 70000 м</w:t>
      </w:r>
      <w:r w:rsidRPr="00507A31">
        <w:rPr>
          <w:color w:val="000000" w:themeColor="text1"/>
          <w:vertAlign w:val="superscript"/>
          <w:lang w:val="ru-RU"/>
        </w:rPr>
        <w:t>3</w:t>
      </w:r>
      <w:r w:rsidRPr="00507A31">
        <w:rPr>
          <w:color w:val="000000" w:themeColor="text1"/>
          <w:lang w:val="ru-RU"/>
        </w:rPr>
        <w:t>). Одновременно, в окрестностях города Акрон немецкая фирма «Соос1усаг-2ерре1т» возводила базу для сборки еще двух более мощных дирижаблей. Гиганты 2ВЗ-4 АСРОЫ и 2В5-5 МАСОЫ (объем 184000 м</w:t>
      </w:r>
      <w:r w:rsidRPr="00507A31">
        <w:rPr>
          <w:color w:val="000000" w:themeColor="text1"/>
          <w:vertAlign w:val="superscript"/>
          <w:lang w:val="ru-RU"/>
        </w:rPr>
        <w:t>3</w:t>
      </w:r>
      <w:r w:rsidRPr="00507A31">
        <w:rPr>
          <w:color w:val="000000" w:themeColor="text1"/>
          <w:lang w:val="ru-RU"/>
        </w:rPr>
        <w:t>, длина 239 м, мощность восьми моторов 4480 л.с.) будут построены и вскоре сгинут в полетах над океаном в апреле 1933 г. и феврале 1935 г. (75 погибших) (12732).</w:t>
      </w:r>
    </w:p>
    <w:p w14:paraId="3003E3A8" w14:textId="77777777" w:rsidR="00283520" w:rsidRPr="00507A31" w:rsidRDefault="00283520" w:rsidP="00507A31">
      <w:pPr>
        <w:pStyle w:val="a3"/>
        <w:autoSpaceDE/>
        <w:autoSpaceDN/>
        <w:adjustRightInd/>
        <w:rPr>
          <w:color w:val="000000" w:themeColor="text1"/>
          <w:lang w:val="ru-RU"/>
        </w:rPr>
      </w:pPr>
    </w:p>
    <w:p w14:paraId="2041806C"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Авиапромышленность:</w:t>
      </w:r>
    </w:p>
    <w:p w14:paraId="0BE8614A" w14:textId="77777777" w:rsidR="00537E5F" w:rsidRPr="00507A31" w:rsidRDefault="00537E5F" w:rsidP="00507A31">
      <w:pPr>
        <w:autoSpaceDE w:val="0"/>
        <w:autoSpaceDN w:val="0"/>
        <w:adjustRightInd w:val="0"/>
        <w:jc w:val="both"/>
        <w:rPr>
          <w:iCs/>
          <w:color w:val="000000" w:themeColor="text1"/>
          <w:sz w:val="16"/>
          <w:szCs w:val="16"/>
        </w:rPr>
      </w:pPr>
    </w:p>
    <w:p w14:paraId="6CE9143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lastRenderedPageBreak/>
        <w:t>В период с 1930 по 1933 гг. в связи с необходимостью разработки новых двигателей для учебной, спортивной и гражданской авиации на базе спроектированной конструкторами КБ завода № 29 цилиндропоршневой группы мотора М-11 создается целое семейство опытных звездообразных двигателей: трехцилиндровый 3М-11 (65 л.с.), пятицилиндровый М-51 (150 л.с.), семицилиндровый М-48 (220 л.с.) и девятицилиндровый М-49 (280 л.с.).</w:t>
      </w:r>
    </w:p>
    <w:p w14:paraId="44BA8FD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Важной особенностью двух последних моторов являлось оснащение их приводными центробежными нагнетателями (ПЦН), что было сделано впервые в Советском Союзе на маломощных авиамоторах (11478).</w:t>
      </w:r>
    </w:p>
    <w:p w14:paraId="442D6574" w14:textId="77777777" w:rsidR="00537E5F" w:rsidRPr="00507A31" w:rsidRDefault="00537E5F" w:rsidP="00507A31">
      <w:pPr>
        <w:autoSpaceDE w:val="0"/>
        <w:autoSpaceDN w:val="0"/>
        <w:adjustRightInd w:val="0"/>
        <w:jc w:val="both"/>
        <w:rPr>
          <w:color w:val="000000" w:themeColor="text1"/>
          <w:sz w:val="16"/>
          <w:szCs w:val="16"/>
        </w:rPr>
      </w:pPr>
    </w:p>
    <w:p w14:paraId="1C99E30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В 1930-1933 гг. импорт алюминия Советским Союзом достигал значительных величин - в среднем - около 10 тыс. т. в год (пик пришелся на 1931 г., когда было ввезено свыше 20 тыс. т.). В 1935-1936 гг. произошел спад импорта, но с 1937 г. в связи с быстро развивавшимся производством самолетов начался его новый рост. Новый пик импорта был достигнут в 1938 г., когда завезли свыше 7,5 тыс. т., причем основной объем - 58% - пришелся на долю двух стран - Норвегии и Франции. В следующем, 1939 г., последняя резко сократила свои поставки и ее место заняли США. Но внешнеполитическая ситуация уже в конце того же года вывела и эту страну из числа поставщиков алюминия. Следом за США и Норвегия, оккупированная Германией, свернула свои поставки. В результате импорт алюминия в 1940 г. упал до минимальной отметки почти достигнув уровня спада середины 1930-х годов (Славский Е.П. Когда страна стояла на плечах ядерных титанов // Военно-исторический журнал. 1993. №9. С. 14-15.). </w:t>
      </w:r>
    </w:p>
    <w:p w14:paraId="56A6DC0E" w14:textId="77777777" w:rsidR="00537E5F" w:rsidRPr="00507A31" w:rsidRDefault="00537E5F" w:rsidP="00507A31">
      <w:pPr>
        <w:autoSpaceDE w:val="0"/>
        <w:autoSpaceDN w:val="0"/>
        <w:adjustRightInd w:val="0"/>
        <w:jc w:val="both"/>
        <w:rPr>
          <w:color w:val="000000" w:themeColor="text1"/>
          <w:sz w:val="16"/>
          <w:szCs w:val="16"/>
        </w:rPr>
      </w:pPr>
    </w:p>
    <w:p w14:paraId="5A54E97D"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068E498A" w14:textId="77777777" w:rsidR="00537E5F" w:rsidRPr="00507A31" w:rsidRDefault="00537E5F" w:rsidP="00507A31">
      <w:pPr>
        <w:autoSpaceDE w:val="0"/>
        <w:autoSpaceDN w:val="0"/>
        <w:adjustRightInd w:val="0"/>
        <w:jc w:val="both"/>
        <w:rPr>
          <w:iCs/>
          <w:color w:val="000000" w:themeColor="text1"/>
          <w:sz w:val="16"/>
          <w:szCs w:val="16"/>
        </w:rPr>
      </w:pPr>
    </w:p>
    <w:p w14:paraId="1BA7E08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 период с 1930 по 1941 годы для советского ВМФ был создан новый боезапас. На НИМАП были испытаны и отработаны снаряды новой конструкции для всех калибров, обладающие большой прочностью и более высокой кучностью, чем снаряды более ранних сроков проектирования. При испытании новых боеприпасов особое внимание было обращено на бронепробивные качества бронебойных и полубронебойных сна рядов при стрельбе по бронеплитам. </w:t>
      </w:r>
    </w:p>
    <w:p w14:paraId="125DEAD2"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Новые требования были предъявлены и по качеству порохов по части рассеивания начальных скоростей. Были испытаны и отработаны ширококональные пороха для пониженно боевых и умеренных зарядов, отдельные образцы беспламенных порохов. Велись опыты по изучению баллистических качеств нитроглицериновых порохов, исследовались их пожаро- и взрывобезопасность с целью установления возможное применения их на кораблях. По результатам этих опытов была разработана принципиально новая система противопожарной защиты корабельных артиллерийских погребов.</w:t>
      </w:r>
    </w:p>
    <w:p w14:paraId="3806483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эти же годы на НИМАП были испытаны и отработаны гильзы ко всем новым артиллерийским боеприпасам патронного снаряжения, обеспечивающие надежную прочность, экстракцию и многострельность.</w:t>
      </w:r>
    </w:p>
    <w:p w14:paraId="640D3C39" w14:textId="77777777" w:rsidR="00537E5F" w:rsidRPr="00507A31" w:rsidRDefault="00537E5F" w:rsidP="00507A31">
      <w:pPr>
        <w:autoSpaceDE w:val="0"/>
        <w:autoSpaceDN w:val="0"/>
        <w:adjustRightInd w:val="0"/>
        <w:jc w:val="both"/>
        <w:rPr>
          <w:bCs/>
          <w:color w:val="000000" w:themeColor="text1"/>
          <w:sz w:val="16"/>
          <w:szCs w:val="16"/>
        </w:rPr>
      </w:pPr>
      <w:r w:rsidRPr="00507A31">
        <w:rPr>
          <w:color w:val="000000" w:themeColor="text1"/>
          <w:sz w:val="16"/>
          <w:szCs w:val="16"/>
        </w:rPr>
        <w:t>В предвоенный период с полигоном тесно сотрудничали такие известные в области морской артиллерии конструкторы как М. Я. Крупчатников</w:t>
      </w:r>
      <w:r w:rsidRPr="00507A31">
        <w:rPr>
          <w:bCs/>
          <w:color w:val="000000" w:themeColor="text1"/>
          <w:sz w:val="16"/>
          <w:szCs w:val="16"/>
        </w:rPr>
        <w:t xml:space="preserve">, </w:t>
      </w:r>
      <w:r w:rsidRPr="00507A31">
        <w:rPr>
          <w:color w:val="000000" w:themeColor="text1"/>
          <w:sz w:val="16"/>
          <w:szCs w:val="16"/>
        </w:rPr>
        <w:t>И. И. Иванов</w:t>
      </w:r>
      <w:r w:rsidRPr="00507A31">
        <w:rPr>
          <w:bCs/>
          <w:color w:val="000000" w:themeColor="text1"/>
          <w:sz w:val="16"/>
          <w:szCs w:val="16"/>
        </w:rPr>
        <w:t xml:space="preserve">, </w:t>
      </w:r>
      <w:r w:rsidRPr="00507A31">
        <w:rPr>
          <w:color w:val="000000" w:themeColor="text1"/>
          <w:sz w:val="16"/>
          <w:szCs w:val="16"/>
        </w:rPr>
        <w:t>Д. Бриль</w:t>
      </w:r>
      <w:r w:rsidRPr="00507A31">
        <w:rPr>
          <w:bCs/>
          <w:color w:val="000000" w:themeColor="text1"/>
          <w:sz w:val="16"/>
          <w:szCs w:val="16"/>
        </w:rPr>
        <w:t xml:space="preserve">, </w:t>
      </w:r>
      <w:r w:rsidRPr="00507A31">
        <w:rPr>
          <w:color w:val="000000" w:themeColor="text1"/>
          <w:sz w:val="16"/>
          <w:szCs w:val="16"/>
        </w:rPr>
        <w:t>Б. С. Коробов</w:t>
      </w:r>
      <w:r w:rsidRPr="00507A31">
        <w:rPr>
          <w:bCs/>
          <w:color w:val="000000" w:themeColor="text1"/>
          <w:sz w:val="16"/>
          <w:szCs w:val="16"/>
        </w:rPr>
        <w:t xml:space="preserve">, </w:t>
      </w:r>
      <w:r w:rsidRPr="00507A31">
        <w:rPr>
          <w:color w:val="000000" w:themeColor="text1"/>
          <w:sz w:val="16"/>
          <w:szCs w:val="16"/>
        </w:rPr>
        <w:t>Г. В. Волосатов</w:t>
      </w:r>
      <w:r w:rsidRPr="00507A31">
        <w:rPr>
          <w:bCs/>
          <w:color w:val="000000" w:themeColor="text1"/>
          <w:sz w:val="16"/>
          <w:szCs w:val="16"/>
        </w:rPr>
        <w:t xml:space="preserve">, </w:t>
      </w:r>
      <w:r w:rsidRPr="00507A31">
        <w:rPr>
          <w:color w:val="000000" w:themeColor="text1"/>
          <w:sz w:val="16"/>
          <w:szCs w:val="16"/>
        </w:rPr>
        <w:t>Е. Г. Рудяк</w:t>
      </w:r>
      <w:r w:rsidRPr="00507A31">
        <w:rPr>
          <w:bCs/>
          <w:color w:val="000000" w:themeColor="text1"/>
          <w:sz w:val="16"/>
          <w:szCs w:val="16"/>
        </w:rPr>
        <w:t xml:space="preserve">, </w:t>
      </w:r>
      <w:r w:rsidRPr="00507A31">
        <w:rPr>
          <w:color w:val="000000" w:themeColor="text1"/>
          <w:sz w:val="16"/>
          <w:szCs w:val="16"/>
        </w:rPr>
        <w:t>А. А. ФлоренскийиБ. Г. Лисичкин</w:t>
      </w:r>
      <w:r w:rsidRPr="00507A31">
        <w:rPr>
          <w:bCs/>
          <w:color w:val="000000" w:themeColor="text1"/>
          <w:sz w:val="16"/>
          <w:szCs w:val="16"/>
        </w:rPr>
        <w:t>.</w:t>
      </w:r>
    </w:p>
    <w:p w14:paraId="6ACC332B"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С 1918 по 1941 год Морским полигоном командовали: военный инженер-технолог Е. А. Беркалов, военинженеры 1 ранга П. П. Шешаев</w:t>
      </w:r>
      <w:r w:rsidRPr="00507A31">
        <w:rPr>
          <w:bCs/>
          <w:color w:val="000000" w:themeColor="text1"/>
          <w:sz w:val="16"/>
          <w:szCs w:val="16"/>
        </w:rPr>
        <w:t xml:space="preserve">, </w:t>
      </w:r>
      <w:r w:rsidRPr="00507A31">
        <w:rPr>
          <w:color w:val="000000" w:themeColor="text1"/>
          <w:sz w:val="16"/>
          <w:szCs w:val="16"/>
        </w:rPr>
        <w:t>Н. И. Селицкий</w:t>
      </w:r>
      <w:r w:rsidRPr="00507A31">
        <w:rPr>
          <w:bCs/>
          <w:color w:val="000000" w:themeColor="text1"/>
          <w:sz w:val="16"/>
          <w:szCs w:val="16"/>
        </w:rPr>
        <w:t xml:space="preserve">, </w:t>
      </w:r>
      <w:r w:rsidRPr="00507A31">
        <w:rPr>
          <w:color w:val="000000" w:themeColor="text1"/>
          <w:sz w:val="16"/>
          <w:szCs w:val="16"/>
        </w:rPr>
        <w:t>М.Е.Байков</w:t>
      </w:r>
      <w:r w:rsidRPr="00507A31">
        <w:rPr>
          <w:bCs/>
          <w:color w:val="000000" w:themeColor="text1"/>
          <w:sz w:val="16"/>
          <w:szCs w:val="16"/>
        </w:rPr>
        <w:t>,</w:t>
      </w:r>
      <w:r w:rsidRPr="00507A31">
        <w:rPr>
          <w:color w:val="000000" w:themeColor="text1"/>
          <w:sz w:val="16"/>
          <w:szCs w:val="16"/>
        </w:rPr>
        <w:t xml:space="preserve"> капитан 2 ранга И. С. Осмоловский, генерал-майор береговой службы И. К. Гусев и генерал-майор береговой службы И. Н. Дмитриев (12031).</w:t>
      </w:r>
    </w:p>
    <w:p w14:paraId="36D3D801" w14:textId="77777777" w:rsidR="00537E5F" w:rsidRPr="00507A31" w:rsidRDefault="00537E5F" w:rsidP="00507A31">
      <w:pPr>
        <w:autoSpaceDE w:val="0"/>
        <w:autoSpaceDN w:val="0"/>
        <w:adjustRightInd w:val="0"/>
        <w:jc w:val="both"/>
        <w:rPr>
          <w:color w:val="000000" w:themeColor="text1"/>
          <w:sz w:val="16"/>
          <w:szCs w:val="16"/>
        </w:rPr>
      </w:pPr>
    </w:p>
    <w:p w14:paraId="7812810A"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1925-1930 годах было разработано несколько отечественных проектов 37 и 45-мм танковых пушек, некоторые из которых дошли до стадии полигонных испытаний опытных образцов. А 45-мм танковая пушка системы ОАТ обр. 1930 г. выпускалась малой серией на заводе № 8, где ей присвоили индекс 6К (3861).</w:t>
      </w:r>
    </w:p>
    <w:p w14:paraId="78ED654D" w14:textId="77777777" w:rsidR="00537E5F" w:rsidRPr="00507A31" w:rsidRDefault="00537E5F" w:rsidP="00507A31">
      <w:pPr>
        <w:autoSpaceDE w:val="0"/>
        <w:autoSpaceDN w:val="0"/>
        <w:adjustRightInd w:val="0"/>
        <w:jc w:val="both"/>
        <w:rPr>
          <w:color w:val="000000" w:themeColor="text1"/>
          <w:sz w:val="16"/>
          <w:szCs w:val="16"/>
        </w:rPr>
      </w:pPr>
    </w:p>
    <w:p w14:paraId="465420CD"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1927-1930 годах было изготовлено и испытано выше двух десятков опытных образцов модернизированных 76-мм пушек, представленных Мотовилихинским заводом (Пермским), заводом № 7 ("Арсенал") и заводом № 13 (Брянск) (3861).</w:t>
      </w:r>
    </w:p>
    <w:p w14:paraId="247B2C9E" w14:textId="77777777" w:rsidR="00537E5F" w:rsidRPr="00507A31" w:rsidRDefault="00537E5F" w:rsidP="00507A31">
      <w:pPr>
        <w:autoSpaceDE w:val="0"/>
        <w:autoSpaceDN w:val="0"/>
        <w:adjustRightInd w:val="0"/>
        <w:jc w:val="both"/>
        <w:rPr>
          <w:color w:val="000000" w:themeColor="text1"/>
          <w:sz w:val="16"/>
          <w:szCs w:val="16"/>
        </w:rPr>
      </w:pPr>
    </w:p>
    <w:p w14:paraId="246B8291"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1930-1931 годах на Пермском заводе была проведена модернизация 152-мм гаубицы обр. 1909 г. Первоначально модернизация заключалась в удлинении зарядной каморы до 340 мм за счет уменьшения нарезной части канала до 1660 мм. Вес ствола и затвора не изменился. Модернизированная гаубица имела на кожухе и на казенном срезе надпись "удлиненная камора". Лафет отличительных знаков не имел. Ствол модернизированной гаубицы мог быть поставлен на любой лафет 152-мм гаубицы обр. 1909 г (3861).</w:t>
      </w:r>
    </w:p>
    <w:p w14:paraId="4B7CADFF" w14:textId="77777777" w:rsidR="00537E5F" w:rsidRPr="00507A31" w:rsidRDefault="00537E5F" w:rsidP="00507A31">
      <w:pPr>
        <w:autoSpaceDE w:val="0"/>
        <w:autoSpaceDN w:val="0"/>
        <w:adjustRightInd w:val="0"/>
        <w:jc w:val="both"/>
        <w:rPr>
          <w:color w:val="000000" w:themeColor="text1"/>
          <w:sz w:val="16"/>
          <w:szCs w:val="16"/>
        </w:rPr>
      </w:pPr>
    </w:p>
    <w:p w14:paraId="092BE7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 течение 1930—1933 гг. были спроектированы и ре</w:t>
      </w:r>
      <w:r w:rsidRPr="00507A31">
        <w:rPr>
          <w:color w:val="000000" w:themeColor="text1"/>
          <w:sz w:val="16"/>
          <w:szCs w:val="16"/>
        </w:rPr>
        <w:softHyphen/>
        <w:t>комендованы к постройке следующие образцы самоходных пушек Курчевского:</w:t>
      </w:r>
    </w:p>
    <w:p w14:paraId="7466A1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76,2-мм батальонная пушка Курчевского (ВПК) на шасси легкового автомобиля типа «Форд-Т»;</w:t>
      </w:r>
    </w:p>
    <w:p w14:paraId="20606C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 76,2-мм динамо-реактивная пушка (ДРП) на шасси пу</w:t>
      </w:r>
      <w:r w:rsidRPr="00507A31">
        <w:rPr>
          <w:color w:val="000000" w:themeColor="text1"/>
          <w:sz w:val="16"/>
          <w:szCs w:val="16"/>
        </w:rPr>
        <w:softHyphen/>
        <w:t>леметной танкетки/малого танка;</w:t>
      </w:r>
    </w:p>
    <w:p w14:paraId="2E22E6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 152-мм автомобильная пушка Курчевского в кузове грузового автомобиля типа АМО-ЗИС;</w:t>
      </w:r>
    </w:p>
    <w:p w14:paraId="0BF0678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 152-мм пушка Курчевского в среднем (маневренном) или тяжелом (позиционном) танке.</w:t>
      </w:r>
    </w:p>
    <w:p w14:paraId="20C183E3"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Но до конца первой пятилетки, ввиду незавершенных работ по освоению артиллерийской части, ни одна из ука</w:t>
      </w:r>
      <w:r w:rsidRPr="00507A31">
        <w:rPr>
          <w:color w:val="000000" w:themeColor="text1"/>
          <w:sz w:val="16"/>
          <w:szCs w:val="16"/>
        </w:rPr>
        <w:softHyphen/>
        <w:t>занных машин изготовлена не была и не подвергалась ис</w:t>
      </w:r>
      <w:r w:rsidRPr="00507A31">
        <w:rPr>
          <w:color w:val="000000" w:themeColor="text1"/>
          <w:sz w:val="16"/>
          <w:szCs w:val="16"/>
        </w:rPr>
        <w:softHyphen/>
        <w:t>пытаниям (11417).</w:t>
      </w:r>
    </w:p>
    <w:p w14:paraId="3AED5203" w14:textId="77777777" w:rsidR="00537E5F" w:rsidRPr="00507A31" w:rsidRDefault="00537E5F" w:rsidP="00507A31">
      <w:pPr>
        <w:autoSpaceDE w:val="0"/>
        <w:autoSpaceDN w:val="0"/>
        <w:adjustRightInd w:val="0"/>
        <w:jc w:val="both"/>
        <w:rPr>
          <w:color w:val="000000" w:themeColor="text1"/>
          <w:sz w:val="16"/>
          <w:szCs w:val="16"/>
        </w:rPr>
      </w:pPr>
    </w:p>
    <w:p w14:paraId="3D701FEC"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За период 1930 - апрель 1945 г. в нашей стране произведено 114 734 мотоцикла, в числе которых отечественные и трофей</w:t>
      </w:r>
      <w:r w:rsidRPr="00507A31">
        <w:rPr>
          <w:color w:val="000000" w:themeColor="text1"/>
          <w:sz w:val="16"/>
          <w:szCs w:val="16"/>
        </w:rPr>
        <w:softHyphen/>
        <w:t>ные мотоциклы (табл. 29). Из которых 75 837 (66,1%) были но</w:t>
      </w:r>
      <w:r w:rsidRPr="00507A31">
        <w:rPr>
          <w:color w:val="000000" w:themeColor="text1"/>
          <w:sz w:val="16"/>
          <w:szCs w:val="16"/>
        </w:rPr>
        <w:softHyphen/>
        <w:t>выми отечественными мотоциклами, ориентировочно 10 000 (8,7%) - восстановленными из подобранных отечественных на полях сражений, 6372 (5,6%) - восстановленными трофейными, 22 525 (19,6%) - собранными из комплектов, полученным по Ленд-лизу (11429).</w:t>
      </w:r>
    </w:p>
    <w:p w14:paraId="11856A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Серийный выпуск мотоциклов в СССР за период 1930 г. - апрель 1945 г.</w:t>
      </w:r>
    </w:p>
    <w:tbl>
      <w:tblPr>
        <w:tblW w:w="0" w:type="auto"/>
        <w:tblInd w:w="40" w:type="dxa"/>
        <w:tblLayout w:type="fixed"/>
        <w:tblCellMar>
          <w:left w:w="40" w:type="dxa"/>
          <w:right w:w="40" w:type="dxa"/>
        </w:tblCellMar>
        <w:tblLook w:val="0000" w:firstRow="0" w:lastRow="0" w:firstColumn="0" w:lastColumn="0" w:noHBand="0" w:noVBand="0"/>
      </w:tblPr>
      <w:tblGrid>
        <w:gridCol w:w="1402"/>
        <w:gridCol w:w="480"/>
        <w:gridCol w:w="480"/>
        <w:gridCol w:w="480"/>
        <w:gridCol w:w="480"/>
        <w:gridCol w:w="470"/>
        <w:gridCol w:w="480"/>
        <w:gridCol w:w="490"/>
        <w:gridCol w:w="480"/>
        <w:gridCol w:w="595"/>
        <w:gridCol w:w="595"/>
        <w:gridCol w:w="480"/>
        <w:gridCol w:w="605"/>
        <w:gridCol w:w="470"/>
        <w:gridCol w:w="605"/>
        <w:gridCol w:w="595"/>
        <w:gridCol w:w="480"/>
        <w:gridCol w:w="730"/>
      </w:tblGrid>
      <w:tr w:rsidR="00E371BA" w:rsidRPr="00507A31" w14:paraId="5B2BCED7" w14:textId="77777777">
        <w:trPr>
          <w:trHeight w:val="374"/>
        </w:trPr>
        <w:tc>
          <w:tcPr>
            <w:tcW w:w="1402" w:type="dxa"/>
            <w:tcBorders>
              <w:top w:val="single" w:sz="6" w:space="0" w:color="auto"/>
              <w:left w:val="single" w:sz="6" w:space="0" w:color="auto"/>
              <w:bottom w:val="nil"/>
              <w:right w:val="single" w:sz="6" w:space="0" w:color="auto"/>
            </w:tcBorders>
          </w:tcPr>
          <w:p w14:paraId="4657E6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Модель</w:t>
            </w:r>
          </w:p>
          <w:p w14:paraId="3537369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8265" w:type="dxa"/>
            <w:gridSpan w:val="16"/>
            <w:tcBorders>
              <w:top w:val="single" w:sz="6" w:space="0" w:color="auto"/>
              <w:left w:val="single" w:sz="6" w:space="0" w:color="auto"/>
              <w:bottom w:val="single" w:sz="6" w:space="0" w:color="auto"/>
              <w:right w:val="single" w:sz="6" w:space="0" w:color="auto"/>
            </w:tcBorders>
          </w:tcPr>
          <w:p w14:paraId="2235BD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Выпуск мотоциклов по годам</w:t>
            </w:r>
          </w:p>
          <w:p w14:paraId="02AB54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01C6B8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Итого</w:t>
            </w:r>
          </w:p>
          <w:p w14:paraId="3F8E8F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E1722D0" w14:textId="77777777">
        <w:trPr>
          <w:trHeight w:val="365"/>
        </w:trPr>
        <w:tc>
          <w:tcPr>
            <w:tcW w:w="1402" w:type="dxa"/>
            <w:tcBorders>
              <w:top w:val="nil"/>
              <w:left w:val="single" w:sz="6" w:space="0" w:color="auto"/>
              <w:bottom w:val="single" w:sz="6" w:space="0" w:color="auto"/>
              <w:right w:val="single" w:sz="6" w:space="0" w:color="auto"/>
            </w:tcBorders>
          </w:tcPr>
          <w:p w14:paraId="3AAAFA3A" w14:textId="77777777" w:rsidR="00537E5F" w:rsidRPr="00507A31" w:rsidRDefault="00537E5F" w:rsidP="00507A31">
            <w:pPr>
              <w:autoSpaceDE w:val="0"/>
              <w:autoSpaceDN w:val="0"/>
              <w:adjustRightInd w:val="0"/>
              <w:jc w:val="both"/>
              <w:rPr>
                <w:color w:val="000000" w:themeColor="text1"/>
                <w:sz w:val="16"/>
                <w:szCs w:val="16"/>
              </w:rPr>
            </w:pPr>
          </w:p>
          <w:p w14:paraId="4C4E6108" w14:textId="77777777" w:rsidR="00537E5F" w:rsidRPr="00507A31" w:rsidRDefault="00537E5F" w:rsidP="00507A31">
            <w:pPr>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75ED41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1930</w:t>
            </w:r>
          </w:p>
          <w:p w14:paraId="29EB44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1BB4F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1931</w:t>
            </w:r>
          </w:p>
          <w:p w14:paraId="49DE2D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B7974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1932</w:t>
            </w:r>
          </w:p>
          <w:p w14:paraId="2D79B3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0E7DA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1933</w:t>
            </w:r>
          </w:p>
          <w:p w14:paraId="49AE29D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3987F8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1934</w:t>
            </w:r>
          </w:p>
          <w:p w14:paraId="3058B0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58134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1935</w:t>
            </w:r>
          </w:p>
          <w:p w14:paraId="58C702C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5C2CA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1936</w:t>
            </w:r>
          </w:p>
          <w:p w14:paraId="7CDB0A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7A4149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1937</w:t>
            </w:r>
          </w:p>
          <w:p w14:paraId="35A4F9A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509E2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1938</w:t>
            </w:r>
          </w:p>
          <w:p w14:paraId="373475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27BAA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1939</w:t>
            </w:r>
          </w:p>
          <w:p w14:paraId="0D41FE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7DBD7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1940</w:t>
            </w:r>
          </w:p>
          <w:p w14:paraId="07EA1A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B0514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1941</w:t>
            </w:r>
          </w:p>
          <w:p w14:paraId="4CE0117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4B0BDA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1942</w:t>
            </w:r>
          </w:p>
          <w:p w14:paraId="20CB39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F5755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1943</w:t>
            </w:r>
          </w:p>
          <w:p w14:paraId="447F88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BA6388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1944</w:t>
            </w:r>
          </w:p>
          <w:p w14:paraId="62D277F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F5032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1945</w:t>
            </w:r>
          </w:p>
          <w:p w14:paraId="02B577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06B598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FB998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6C9FB2A" w14:textId="77777777">
        <w:trPr>
          <w:trHeight w:val="355"/>
        </w:trPr>
        <w:tc>
          <w:tcPr>
            <w:tcW w:w="1402" w:type="dxa"/>
            <w:tcBorders>
              <w:top w:val="single" w:sz="6" w:space="0" w:color="auto"/>
              <w:left w:val="single" w:sz="6" w:space="0" w:color="auto"/>
              <w:bottom w:val="nil"/>
              <w:right w:val="single" w:sz="6" w:space="0" w:color="auto"/>
            </w:tcBorders>
          </w:tcPr>
          <w:p w14:paraId="289F33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Л-300</w:t>
            </w:r>
          </w:p>
          <w:p w14:paraId="7E8D0F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049CEF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 С</w:t>
            </w:r>
          </w:p>
          <w:p w14:paraId="13A09A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134B33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46F6B3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w:t>
            </w:r>
          </w:p>
          <w:p w14:paraId="015FFF4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AD226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88</w:t>
            </w:r>
          </w:p>
          <w:p w14:paraId="4B0DB5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7EC67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500</w:t>
            </w:r>
          </w:p>
          <w:p w14:paraId="735C9E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433E800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w:t>
            </w:r>
          </w:p>
          <w:p w14:paraId="4FC231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7F6EA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2000</w:t>
            </w:r>
          </w:p>
          <w:p w14:paraId="068816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2DDF3C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2500</w:t>
            </w:r>
          </w:p>
          <w:p w14:paraId="682B0E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6E8B7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3597</w:t>
            </w:r>
          </w:p>
          <w:p w14:paraId="38D83B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5A5F47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4800</w:t>
            </w:r>
          </w:p>
          <w:p w14:paraId="1449E6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721833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4500</w:t>
            </w:r>
          </w:p>
          <w:p w14:paraId="25898A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289B26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316958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74732B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16002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5B4774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F46FD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416BAF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B2FB0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4F95CE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118EE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74787A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D0C89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751344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19 060</w:t>
            </w:r>
          </w:p>
          <w:p w14:paraId="7F4AE1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7D95BFC" w14:textId="77777777">
        <w:trPr>
          <w:trHeight w:val="221"/>
        </w:trPr>
        <w:tc>
          <w:tcPr>
            <w:tcW w:w="1402" w:type="dxa"/>
            <w:tcBorders>
              <w:top w:val="nil"/>
              <w:left w:val="single" w:sz="6" w:space="0" w:color="auto"/>
              <w:bottom w:val="nil"/>
              <w:right w:val="single" w:sz="6" w:space="0" w:color="auto"/>
            </w:tcBorders>
          </w:tcPr>
          <w:p w14:paraId="3DB571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Л-8</w:t>
            </w:r>
          </w:p>
          <w:p w14:paraId="74DA61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8DFB6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958E26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1F33C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B5B36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53819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42607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1EB42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95732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12C18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3C7E1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614777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A371C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6F5488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90CD8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CE222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A45AE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E5681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7A41C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DEB70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C4DB5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C47FC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448</w:t>
            </w:r>
          </w:p>
          <w:p w14:paraId="70A964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2D7FD34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1169</w:t>
            </w:r>
          </w:p>
          <w:p w14:paraId="1BD8AD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29039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1FFE37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0C6A1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F221D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ADB55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B66C71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0F0DC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34DD3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BA85D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1617</w:t>
            </w:r>
          </w:p>
          <w:p w14:paraId="75187F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8E31075" w14:textId="77777777">
        <w:trPr>
          <w:trHeight w:val="221"/>
        </w:trPr>
        <w:tc>
          <w:tcPr>
            <w:tcW w:w="1402" w:type="dxa"/>
            <w:tcBorders>
              <w:top w:val="nil"/>
              <w:left w:val="single" w:sz="6" w:space="0" w:color="auto"/>
              <w:bottom w:val="nil"/>
              <w:right w:val="single" w:sz="6" w:space="0" w:color="auto"/>
            </w:tcBorders>
          </w:tcPr>
          <w:p w14:paraId="78AA9B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ИЖ-7</w:t>
            </w:r>
          </w:p>
          <w:p w14:paraId="4414C1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B41AEA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1D743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A33E4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3CB0A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F50AD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51202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EEE3B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w:t>
            </w:r>
          </w:p>
          <w:p w14:paraId="647A0C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935FE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111</w:t>
            </w:r>
          </w:p>
          <w:p w14:paraId="67826D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1A104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451</w:t>
            </w:r>
          </w:p>
          <w:p w14:paraId="693B10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9FE1F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2007</w:t>
            </w:r>
          </w:p>
          <w:p w14:paraId="45138F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A70B5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ЗОЮ</w:t>
            </w:r>
          </w:p>
          <w:p w14:paraId="710269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4925A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DAB8D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96459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9BF47A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A2CC6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2B8DD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492907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6035D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A1849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0D4FC2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5D9DE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24428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BDCFB6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7A5D01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F2C36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E237A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3221528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5589</w:t>
            </w:r>
          </w:p>
          <w:p w14:paraId="436807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34653C6" w14:textId="77777777">
        <w:trPr>
          <w:trHeight w:val="221"/>
        </w:trPr>
        <w:tc>
          <w:tcPr>
            <w:tcW w:w="1402" w:type="dxa"/>
            <w:tcBorders>
              <w:top w:val="nil"/>
              <w:left w:val="single" w:sz="6" w:space="0" w:color="auto"/>
              <w:bottom w:val="nil"/>
              <w:right w:val="single" w:sz="6" w:space="0" w:color="auto"/>
            </w:tcBorders>
          </w:tcPr>
          <w:p w14:paraId="09FB1B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ИЖ-8</w:t>
            </w:r>
          </w:p>
          <w:p w14:paraId="016312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0D120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1EB5A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CEBCA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CC70E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B9524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3A4DF2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7124AB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3C91D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56A96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52F49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22DC6B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12DEE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A29DD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32FE1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EE479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E154A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1D1996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4020</w:t>
            </w:r>
          </w:p>
          <w:p w14:paraId="00F644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2A085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4317</w:t>
            </w:r>
          </w:p>
          <w:p w14:paraId="6334EF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0D8BD4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1556</w:t>
            </w:r>
          </w:p>
          <w:p w14:paraId="15E2EF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E140B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206BA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71EA9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E4CF7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9BF760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11F37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5AD27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EE01C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6C2E5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DDCD0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6B366F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9893</w:t>
            </w:r>
          </w:p>
          <w:p w14:paraId="2256B4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679E06A3" w14:textId="77777777">
        <w:trPr>
          <w:trHeight w:val="221"/>
        </w:trPr>
        <w:tc>
          <w:tcPr>
            <w:tcW w:w="1402" w:type="dxa"/>
            <w:tcBorders>
              <w:top w:val="nil"/>
              <w:left w:val="single" w:sz="6" w:space="0" w:color="auto"/>
              <w:bottom w:val="nil"/>
              <w:right w:val="single" w:sz="6" w:space="0" w:color="auto"/>
            </w:tcBorders>
          </w:tcPr>
          <w:p w14:paraId="6C08D9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ИЖ-9</w:t>
            </w:r>
          </w:p>
          <w:p w14:paraId="2A8166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147EDC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F7A2B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CE5EA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B57DF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19CA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97360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A5402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3FBD31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EDD7BF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1EA44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35651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17478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6C4CE6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D2D52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EBD15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6E6CC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F4D31D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F7DE7D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C34CC5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0903B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84BC23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833</w:t>
            </w:r>
          </w:p>
          <w:p w14:paraId="4D676D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3E3E71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5392</w:t>
            </w:r>
          </w:p>
          <w:p w14:paraId="292612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49850B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25C45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8E070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54767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F58F8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34ACF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8113DB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87A43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57FE0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6225</w:t>
            </w:r>
          </w:p>
          <w:p w14:paraId="55C452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E14EBF5" w14:textId="77777777">
        <w:trPr>
          <w:trHeight w:val="221"/>
        </w:trPr>
        <w:tc>
          <w:tcPr>
            <w:tcW w:w="1402" w:type="dxa"/>
            <w:tcBorders>
              <w:top w:val="nil"/>
              <w:left w:val="single" w:sz="6" w:space="0" w:color="auto"/>
              <w:bottom w:val="nil"/>
              <w:right w:val="single" w:sz="6" w:space="0" w:color="auto"/>
            </w:tcBorders>
          </w:tcPr>
          <w:p w14:paraId="34718B0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ИЖ-12</w:t>
            </w:r>
          </w:p>
          <w:p w14:paraId="02EEA5D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85DFC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8B940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E417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A5CA6D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F79C0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CD332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D3C7B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452101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B3FE5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D5F99C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79C2D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D85CF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216CFB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D05E09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585BB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686457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824AB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1D6CDB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89FB3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1B0B93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3BF84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w:t>
            </w:r>
          </w:p>
          <w:p w14:paraId="453D6C9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07C8F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47</w:t>
            </w:r>
          </w:p>
          <w:p w14:paraId="259886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7610E5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16F37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2B7EA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4ACE8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851FE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C9F226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FF829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E5845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1B61DD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49</w:t>
            </w:r>
          </w:p>
          <w:p w14:paraId="148DC6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0242A2AF" w14:textId="77777777">
        <w:trPr>
          <w:trHeight w:val="442"/>
        </w:trPr>
        <w:tc>
          <w:tcPr>
            <w:tcW w:w="1402" w:type="dxa"/>
            <w:tcBorders>
              <w:top w:val="nil"/>
              <w:left w:val="single" w:sz="6" w:space="0" w:color="auto"/>
              <w:bottom w:val="nil"/>
              <w:right w:val="single" w:sz="6" w:space="0" w:color="auto"/>
            </w:tcBorders>
          </w:tcPr>
          <w:p w14:paraId="23ACCD8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«Стрела» МЛ-3</w:t>
            </w:r>
          </w:p>
          <w:p w14:paraId="37557E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5DDE3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C6F2D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042B7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A74ECD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2AE2D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F1823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C10BB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903DF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49E759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E130A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B7D7A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7CB38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A4F82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ПО</w:t>
            </w:r>
          </w:p>
          <w:p w14:paraId="27454A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8466F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246</w:t>
            </w:r>
          </w:p>
          <w:p w14:paraId="3141AA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F31EA5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8F7A7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FDB23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4E5F61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1EEE9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120</w:t>
            </w:r>
          </w:p>
          <w:p w14:paraId="2EB47BC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CFCBE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48</w:t>
            </w:r>
          </w:p>
          <w:p w14:paraId="671DA7B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7B7776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46CDAE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F1594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9E4282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0E5F55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1016D1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EC2A9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CDE288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71C6BA5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356 168</w:t>
            </w:r>
          </w:p>
          <w:p w14:paraId="6FE6BF3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728FCAE" w14:textId="77777777">
        <w:trPr>
          <w:trHeight w:val="211"/>
        </w:trPr>
        <w:tc>
          <w:tcPr>
            <w:tcW w:w="1402" w:type="dxa"/>
            <w:tcBorders>
              <w:top w:val="nil"/>
              <w:left w:val="single" w:sz="6" w:space="0" w:color="auto"/>
              <w:bottom w:val="nil"/>
              <w:right w:val="single" w:sz="6" w:space="0" w:color="auto"/>
            </w:tcBorders>
          </w:tcPr>
          <w:p w14:paraId="5167D7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МПЗ-750</w:t>
            </w:r>
          </w:p>
          <w:p w14:paraId="17B8F37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D60DE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8436A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D6ABF7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33F6A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2DB2FE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DC97B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A3DFC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ACBE9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BD6F18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w:t>
            </w:r>
          </w:p>
          <w:p w14:paraId="1FFD0E7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A2051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w:t>
            </w:r>
          </w:p>
          <w:p w14:paraId="54DEDCE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4CCEAD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1005</w:t>
            </w:r>
          </w:p>
          <w:p w14:paraId="44596B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58C7E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1259</w:t>
            </w:r>
          </w:p>
          <w:p w14:paraId="69E417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E57F8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2180</w:t>
            </w:r>
          </w:p>
          <w:p w14:paraId="3FE5F49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3E5ECE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182</w:t>
            </w:r>
          </w:p>
          <w:p w14:paraId="56BE00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22363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2BBD2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A94074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BE7F6B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CF0FF6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48412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9BB16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95377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226745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84A1B2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E0070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1DE185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5059A9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4636</w:t>
            </w:r>
          </w:p>
          <w:p w14:paraId="1AD923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5507700D" w14:textId="77777777">
        <w:trPr>
          <w:trHeight w:val="230"/>
        </w:trPr>
        <w:tc>
          <w:tcPr>
            <w:tcW w:w="1402" w:type="dxa"/>
            <w:tcBorders>
              <w:top w:val="nil"/>
              <w:left w:val="single" w:sz="6" w:space="0" w:color="auto"/>
              <w:bottom w:val="nil"/>
              <w:right w:val="single" w:sz="6" w:space="0" w:color="auto"/>
            </w:tcBorders>
          </w:tcPr>
          <w:p w14:paraId="1A7250D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ТИЗ-АМ-600</w:t>
            </w:r>
            <w:r w:rsidRPr="00507A31">
              <w:rPr>
                <w:color w:val="000000" w:themeColor="text1"/>
                <w:sz w:val="16"/>
                <w:szCs w:val="16"/>
                <w:vertAlign w:val="superscript"/>
              </w:rPr>
              <w:t>1</w:t>
            </w:r>
          </w:p>
          <w:p w14:paraId="2E931ED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D1311C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F9E83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F3998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F8F394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49557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04D62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3D2D4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A223C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E80A24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7DD8D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97811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521</w:t>
            </w:r>
          </w:p>
          <w:p w14:paraId="1E397C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E725D7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w:t>
            </w:r>
          </w:p>
          <w:p w14:paraId="247932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8875AF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1545</w:t>
            </w:r>
          </w:p>
          <w:p w14:paraId="5BB995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9A5DB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1530</w:t>
            </w:r>
          </w:p>
          <w:p w14:paraId="6AE753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78D89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1500</w:t>
            </w:r>
          </w:p>
          <w:p w14:paraId="1BDAC1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242C3A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2826</w:t>
            </w:r>
          </w:p>
          <w:p w14:paraId="4657F3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72AD9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2970</w:t>
            </w:r>
          </w:p>
          <w:p w14:paraId="01F85D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0316F1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187</w:t>
            </w:r>
          </w:p>
          <w:p w14:paraId="73804F4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C6E39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427</w:t>
            </w:r>
          </w:p>
          <w:p w14:paraId="4BB0F8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F3C806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F1601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A4FD2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35B32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3CB6BE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13 006</w:t>
            </w:r>
          </w:p>
          <w:p w14:paraId="49AB8B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413E8AD" w14:textId="77777777">
        <w:trPr>
          <w:trHeight w:val="230"/>
        </w:trPr>
        <w:tc>
          <w:tcPr>
            <w:tcW w:w="1402" w:type="dxa"/>
            <w:tcBorders>
              <w:top w:val="nil"/>
              <w:left w:val="single" w:sz="6" w:space="0" w:color="auto"/>
              <w:bottom w:val="nil"/>
              <w:right w:val="single" w:sz="6" w:space="0" w:color="auto"/>
            </w:tcBorders>
          </w:tcPr>
          <w:p w14:paraId="196284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Л-600</w:t>
            </w:r>
          </w:p>
          <w:p w14:paraId="738AC3E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D89C0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89850A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65B633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AFA56E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0E4A38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E63249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C7EF8C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E1A371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EC1516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95D2F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6EE02B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3EBAF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3C70C7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6357D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D0C584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DA3B1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BD1D2B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117</w:t>
            </w:r>
          </w:p>
          <w:p w14:paraId="7B8D5A3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8CB08D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75</w:t>
            </w:r>
          </w:p>
          <w:p w14:paraId="201EC2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70CEAE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59B97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D0080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74920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B81770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0BFE0F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C256D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2E662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B6B04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38A7C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2D2113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FEA65F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E573E9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192</w:t>
            </w:r>
          </w:p>
          <w:p w14:paraId="640878E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7B507637" w14:textId="77777777">
        <w:trPr>
          <w:trHeight w:val="211"/>
        </w:trPr>
        <w:tc>
          <w:tcPr>
            <w:tcW w:w="1402" w:type="dxa"/>
            <w:tcBorders>
              <w:top w:val="nil"/>
              <w:left w:val="single" w:sz="6" w:space="0" w:color="auto"/>
              <w:bottom w:val="nil"/>
              <w:right w:val="nil"/>
            </w:tcBorders>
          </w:tcPr>
          <w:p w14:paraId="7AD200B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М-72</w:t>
            </w:r>
          </w:p>
          <w:p w14:paraId="65739F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nil"/>
              <w:bottom w:val="nil"/>
              <w:right w:val="single" w:sz="6" w:space="0" w:color="auto"/>
            </w:tcBorders>
          </w:tcPr>
          <w:p w14:paraId="1FC1156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D5EBF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6DEA1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5F0315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AA1DAB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E500E2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03B8AB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745703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2DEDB5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3676D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1EB3A7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82FCD6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CE732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C79BF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5B36F5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FC3CD3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5A400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C2B26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B42B3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8F84A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842EC4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A70302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CF3E4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1751</w:t>
            </w:r>
          </w:p>
          <w:p w14:paraId="5380435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AA4A6D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2875</w:t>
            </w:r>
          </w:p>
          <w:p w14:paraId="19A25DF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04FB224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3424</w:t>
            </w:r>
          </w:p>
          <w:p w14:paraId="315DA51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093A4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5401</w:t>
            </w:r>
          </w:p>
          <w:p w14:paraId="6B1E46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37E54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1595</w:t>
            </w:r>
          </w:p>
          <w:p w14:paraId="2078953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D010F6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15 046</w:t>
            </w:r>
          </w:p>
          <w:p w14:paraId="3CB8097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85F5BEC" w14:textId="77777777">
        <w:trPr>
          <w:trHeight w:val="221"/>
        </w:trPr>
        <w:tc>
          <w:tcPr>
            <w:tcW w:w="1402" w:type="dxa"/>
            <w:tcBorders>
              <w:top w:val="nil"/>
              <w:left w:val="single" w:sz="6" w:space="0" w:color="auto"/>
              <w:bottom w:val="nil"/>
              <w:right w:val="single" w:sz="6" w:space="0" w:color="auto"/>
            </w:tcBorders>
          </w:tcPr>
          <w:p w14:paraId="58D4279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БТРЗ № 20</w:t>
            </w:r>
            <w:r w:rsidRPr="00507A31">
              <w:rPr>
                <w:color w:val="000000" w:themeColor="text1"/>
                <w:sz w:val="16"/>
                <w:szCs w:val="16"/>
                <w:vertAlign w:val="superscript"/>
              </w:rPr>
              <w:t>2</w:t>
            </w:r>
          </w:p>
          <w:p w14:paraId="5DFEF5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91020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AA9893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5026A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78B721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49353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2EF4AA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1108D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32207C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B91442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EF10E8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0C6E98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9FA62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5A361A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7E6713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E91A5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0484B9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2D951A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61D6B0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19EACD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F59F67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9513A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C31BAD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AD8E8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E5B50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201F05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w:t>
            </w:r>
          </w:p>
          <w:p w14:paraId="6120A4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C40A0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w:t>
            </w:r>
          </w:p>
          <w:p w14:paraId="16488C2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834A86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3000</w:t>
            </w:r>
          </w:p>
          <w:p w14:paraId="172E40A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47325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w:t>
            </w:r>
          </w:p>
          <w:p w14:paraId="3076641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8EB2D8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10000</w:t>
            </w:r>
          </w:p>
          <w:p w14:paraId="013DBBE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12DD7272" w14:textId="77777777">
        <w:trPr>
          <w:trHeight w:val="490"/>
        </w:trPr>
        <w:tc>
          <w:tcPr>
            <w:tcW w:w="1402" w:type="dxa"/>
            <w:tcBorders>
              <w:top w:val="nil"/>
              <w:left w:val="single" w:sz="6" w:space="0" w:color="auto"/>
              <w:bottom w:val="nil"/>
              <w:right w:val="single" w:sz="6" w:space="0" w:color="auto"/>
            </w:tcBorders>
          </w:tcPr>
          <w:p w14:paraId="3D564AF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Трофейные</w:t>
            </w:r>
          </w:p>
          <w:p w14:paraId="3287EAE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Ленд-лиз</w:t>
            </w:r>
          </w:p>
          <w:p w14:paraId="234BB1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9D439B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4DB6A38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2AB62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3DCA26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24F06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CBE5E0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E2AF37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0CACE6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F5E469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3EC83AD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2865E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17EB673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3CE2BA2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10C9E4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C21969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F99DAB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C67A3F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2F0A620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C60311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5147105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E4A0E0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p w14:paraId="6A080B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1B34CC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1763</w:t>
            </w:r>
          </w:p>
          <w:p w14:paraId="66960D1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25821E07"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1423 457</w:t>
            </w:r>
          </w:p>
          <w:p w14:paraId="0BC6BC2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22BD9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1449 8900</w:t>
            </w:r>
          </w:p>
          <w:p w14:paraId="473D9D8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1D1CD84"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1437 10781</w:t>
            </w:r>
          </w:p>
          <w:p w14:paraId="08C609A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06C6D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300</w:t>
            </w:r>
          </w:p>
          <w:p w14:paraId="4A9FBC4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2387</w:t>
            </w:r>
          </w:p>
          <w:p w14:paraId="6D079B2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57D733E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6372 22 525</w:t>
            </w:r>
          </w:p>
          <w:p w14:paraId="75EFFD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312DBD0D" w14:textId="77777777">
        <w:trPr>
          <w:trHeight w:val="288"/>
        </w:trPr>
        <w:tc>
          <w:tcPr>
            <w:tcW w:w="1402" w:type="dxa"/>
            <w:tcBorders>
              <w:top w:val="nil"/>
              <w:left w:val="single" w:sz="6" w:space="0" w:color="auto"/>
              <w:bottom w:val="nil"/>
              <w:right w:val="single" w:sz="6" w:space="0" w:color="auto"/>
            </w:tcBorders>
          </w:tcPr>
          <w:p w14:paraId="547C299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lastRenderedPageBreak/>
              <w:t>Итого по годам</w:t>
            </w:r>
          </w:p>
          <w:p w14:paraId="3A54B6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EEB8B7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15</w:t>
            </w:r>
          </w:p>
          <w:p w14:paraId="0D5180E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ACB451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60</w:t>
            </w:r>
          </w:p>
          <w:p w14:paraId="332619A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7B42D5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88</w:t>
            </w:r>
          </w:p>
          <w:p w14:paraId="363CF3A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B5BD6E2"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510</w:t>
            </w:r>
          </w:p>
          <w:p w14:paraId="6D4F830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E63799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1112</w:t>
            </w:r>
          </w:p>
          <w:p w14:paraId="693C770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FAF84A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2981</w:t>
            </w:r>
          </w:p>
          <w:p w14:paraId="1B8132E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468B2DF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7122</w:t>
            </w:r>
          </w:p>
          <w:p w14:paraId="646E8F2E"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077B1A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9657</w:t>
            </w:r>
          </w:p>
          <w:p w14:paraId="0AE61FC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95D777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12 647</w:t>
            </w:r>
          </w:p>
          <w:p w14:paraId="51BD370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2F6115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10 574</w:t>
            </w:r>
          </w:p>
          <w:p w14:paraId="1505119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E80FB3C"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5785</w:t>
            </w:r>
          </w:p>
          <w:p w14:paraId="3533392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0923D5C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13 140</w:t>
            </w:r>
          </w:p>
          <w:p w14:paraId="3ECDC408"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6E64756"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7942</w:t>
            </w:r>
          </w:p>
          <w:p w14:paraId="7B4BA5A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201FCC5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17 200</w:t>
            </w:r>
          </w:p>
          <w:p w14:paraId="7EF008F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995BFC1"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20619</w:t>
            </w:r>
          </w:p>
          <w:p w14:paraId="60EA340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3DB572D"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5282</w:t>
            </w:r>
          </w:p>
          <w:p w14:paraId="60AC104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3F90660"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114734</w:t>
            </w:r>
          </w:p>
          <w:p w14:paraId="43766C83"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r w:rsidR="00E371BA" w:rsidRPr="00507A31" w14:paraId="481D3ED4" w14:textId="77777777">
        <w:trPr>
          <w:trHeight w:val="595"/>
        </w:trPr>
        <w:tc>
          <w:tcPr>
            <w:tcW w:w="6912" w:type="dxa"/>
            <w:gridSpan w:val="12"/>
            <w:tcBorders>
              <w:top w:val="nil"/>
              <w:left w:val="single" w:sz="6" w:space="0" w:color="auto"/>
              <w:bottom w:val="single" w:sz="6" w:space="0" w:color="auto"/>
              <w:right w:val="nil"/>
            </w:tcBorders>
          </w:tcPr>
          <w:p w14:paraId="42BA5EE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Примечания: Мотоциклы, изготовленные на ТМЗ в 1942 и 1943 г. в количестве 187 и 427 БТРЗ № 20 по годам автором не выявлен, поэтому приведена ориентировочная оценка.</w:t>
            </w:r>
          </w:p>
          <w:p w14:paraId="02D8CE0B"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c>
          <w:tcPr>
            <w:tcW w:w="3485" w:type="dxa"/>
            <w:gridSpan w:val="6"/>
            <w:tcBorders>
              <w:top w:val="nil"/>
              <w:left w:val="nil"/>
              <w:bottom w:val="single" w:sz="6" w:space="0" w:color="auto"/>
              <w:right w:val="single" w:sz="6" w:space="0" w:color="auto"/>
            </w:tcBorders>
          </w:tcPr>
          <w:p w14:paraId="52653FF5"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 xml:space="preserve">шт. назывались АМ-600. </w:t>
            </w:r>
            <w:r w:rsidRPr="00507A31">
              <w:rPr>
                <w:color w:val="000000" w:themeColor="text1"/>
                <w:sz w:val="16"/>
                <w:szCs w:val="16"/>
                <w:vertAlign w:val="superscript"/>
              </w:rPr>
              <w:t>2</w:t>
            </w:r>
            <w:r w:rsidRPr="00507A31">
              <w:rPr>
                <w:color w:val="000000" w:themeColor="text1"/>
                <w:sz w:val="16"/>
                <w:szCs w:val="16"/>
              </w:rPr>
              <w:t xml:space="preserve"> Выпуск мотоциклов</w:t>
            </w:r>
          </w:p>
          <w:p w14:paraId="11536A2F"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tc>
      </w:tr>
    </w:tbl>
    <w:p w14:paraId="250015D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(11429).</w:t>
      </w:r>
    </w:p>
    <w:p w14:paraId="0F53D119" w14:textId="77777777" w:rsidR="00537E5F" w:rsidRPr="00507A31" w:rsidRDefault="00537E5F" w:rsidP="00507A31">
      <w:pPr>
        <w:autoSpaceDE w:val="0"/>
        <w:autoSpaceDN w:val="0"/>
        <w:adjustRightInd w:val="0"/>
        <w:jc w:val="both"/>
        <w:rPr>
          <w:color w:val="000000" w:themeColor="text1"/>
          <w:sz w:val="16"/>
          <w:szCs w:val="16"/>
        </w:rPr>
      </w:pPr>
    </w:p>
    <w:p w14:paraId="1D8971B1"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За рубежом:</w:t>
      </w:r>
    </w:p>
    <w:p w14:paraId="3CDB6353" w14:textId="77777777" w:rsidR="00537E5F" w:rsidRPr="00507A31" w:rsidRDefault="00537E5F" w:rsidP="00507A31">
      <w:pPr>
        <w:autoSpaceDE w:val="0"/>
        <w:autoSpaceDN w:val="0"/>
        <w:adjustRightInd w:val="0"/>
        <w:jc w:val="both"/>
        <w:rPr>
          <w:iCs/>
          <w:color w:val="000000" w:themeColor="text1"/>
          <w:sz w:val="16"/>
          <w:szCs w:val="16"/>
        </w:rPr>
      </w:pPr>
    </w:p>
    <w:p w14:paraId="477E40B1" w14:textId="77777777" w:rsidR="00E02CFE" w:rsidRPr="00507A31" w:rsidRDefault="00E02CFE" w:rsidP="00507A31">
      <w:pPr>
        <w:jc w:val="both"/>
        <w:rPr>
          <w:color w:val="000000" w:themeColor="text1"/>
          <w:sz w:val="16"/>
          <w:szCs w:val="16"/>
        </w:rPr>
      </w:pPr>
      <w:r w:rsidRPr="00507A31">
        <w:rPr>
          <w:color w:val="000000" w:themeColor="text1"/>
          <w:sz w:val="16"/>
          <w:szCs w:val="16"/>
        </w:rPr>
        <w:t>В 1930—1931 гг. в Англии построили истребители-перехватчики Глостер и 55-19 с вы</w:t>
      </w:r>
      <w:r w:rsidRPr="00507A31">
        <w:rPr>
          <w:color w:val="000000" w:themeColor="text1"/>
          <w:sz w:val="16"/>
          <w:szCs w:val="16"/>
        </w:rPr>
        <w:softHyphen/>
        <w:t>сотными моторами воздушного охлаждения и шестью пулеметами. При общем весе 1600 кг эти самолеты обладали скоростями на вы</w:t>
      </w:r>
      <w:r w:rsidRPr="00507A31">
        <w:rPr>
          <w:color w:val="000000" w:themeColor="text1"/>
          <w:sz w:val="16"/>
          <w:szCs w:val="16"/>
        </w:rPr>
        <w:softHyphen/>
        <w:t>сотах 320-350 км/ч, что значительно превы</w:t>
      </w:r>
      <w:r w:rsidRPr="00507A31">
        <w:rPr>
          <w:color w:val="000000" w:themeColor="text1"/>
          <w:sz w:val="16"/>
          <w:szCs w:val="16"/>
        </w:rPr>
        <w:softHyphen/>
        <w:t>шает прежние французские» жокеи»».</w:t>
      </w:r>
    </w:p>
    <w:p w14:paraId="5184A276" w14:textId="77777777" w:rsidR="00E02CFE" w:rsidRPr="00507A31" w:rsidRDefault="00E02CFE" w:rsidP="00507A31">
      <w:pPr>
        <w:jc w:val="both"/>
        <w:rPr>
          <w:color w:val="000000" w:themeColor="text1"/>
          <w:sz w:val="16"/>
          <w:szCs w:val="16"/>
        </w:rPr>
      </w:pPr>
      <w:r w:rsidRPr="00507A31">
        <w:rPr>
          <w:color w:val="000000" w:themeColor="text1"/>
          <w:sz w:val="16"/>
          <w:szCs w:val="16"/>
        </w:rPr>
        <w:t>Процитировав уважаемого инженера Крейсона, который в начале 1930-х годов являлся начальником 6-й весовой бригады ЦКБ, нельзя отказаться от небольшого до</w:t>
      </w:r>
      <w:r w:rsidRPr="00507A31">
        <w:rPr>
          <w:color w:val="000000" w:themeColor="text1"/>
          <w:sz w:val="16"/>
          <w:szCs w:val="16"/>
        </w:rPr>
        <w:softHyphen/>
        <w:t>полнения. Судя по всему, в конце 1920-х го</w:t>
      </w:r>
      <w:r w:rsidRPr="00507A31">
        <w:rPr>
          <w:color w:val="000000" w:themeColor="text1"/>
          <w:sz w:val="16"/>
          <w:szCs w:val="16"/>
        </w:rPr>
        <w:softHyphen/>
        <w:t>дов руководство ВВС Красной Армии осно</w:t>
      </w:r>
      <w:r w:rsidRPr="00507A31">
        <w:rPr>
          <w:color w:val="000000" w:themeColor="text1"/>
          <w:sz w:val="16"/>
          <w:szCs w:val="16"/>
        </w:rPr>
        <w:softHyphen/>
        <w:t>вательно увлеклось темой облегченных ис</w:t>
      </w:r>
      <w:r w:rsidRPr="00507A31">
        <w:rPr>
          <w:color w:val="000000" w:themeColor="text1"/>
          <w:sz w:val="16"/>
          <w:szCs w:val="16"/>
        </w:rPr>
        <w:softHyphen/>
        <w:t>требителей-перехватчиков. По крайней ме</w:t>
      </w:r>
      <w:r w:rsidRPr="00507A31">
        <w:rPr>
          <w:color w:val="000000" w:themeColor="text1"/>
          <w:sz w:val="16"/>
          <w:szCs w:val="16"/>
        </w:rPr>
        <w:softHyphen/>
        <w:t>ре, понятной становится одна из причин не</w:t>
      </w:r>
      <w:r w:rsidRPr="00507A31">
        <w:rPr>
          <w:color w:val="000000" w:themeColor="text1"/>
          <w:sz w:val="16"/>
          <w:szCs w:val="16"/>
        </w:rPr>
        <w:softHyphen/>
        <w:t>довольства поликарповским истребителем И-3 - его полетный вес превышал 1860 кг. (12295).</w:t>
      </w:r>
    </w:p>
    <w:p w14:paraId="685972BD" w14:textId="77777777" w:rsidR="00E02CFE" w:rsidRPr="00507A31" w:rsidRDefault="00E02CFE" w:rsidP="00507A31">
      <w:pPr>
        <w:jc w:val="both"/>
        <w:rPr>
          <w:color w:val="000000" w:themeColor="text1"/>
          <w:sz w:val="16"/>
          <w:szCs w:val="16"/>
        </w:rPr>
      </w:pPr>
    </w:p>
    <w:p w14:paraId="4A93AFC0"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С 1930 по 1935 год фирма «Зодиак» построила 3 следующих корабля серии «Эскортер» — Е-8 (1931 год), Е-9 (1932 год) и Е-10 (1935 год). В отличие от ранних типов это были дирижабли полужесткой конструкции, с развитым треугольным килем под оболочкой объемом 10 000 куб. м, в которой размещались баки с топливом, балласт и небольшой двигатель для приведения в движение вентилятора. Оболочка имела 4 баллонета, сверхдавление поддерживалось ветроулавливателем или вентилятором, если дирижабль не находился в движении. В кабине, прикрепленной к килю, размещался экипаж, состоящий из семи человек. Два двигателя «Испано-Сюиза» 8Ff мощностью по 350 л. с. были установлены по обе стороны гондолы. Скорость дирижаблей достигала 112 км/ч, а дальность полета 1800 км. Е-8 использовался до 1939 года, Е-9 потерпел аварию в феврале 1935 года, а Е-10 так и не был достроен. </w:t>
      </w:r>
    </w:p>
    <w:p w14:paraId="1ECA329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Для обучения экипажей предназначался небольшой учебный дирижабль «Эколе», объемом всего 1200 куб. м. Под оболочкой была подвешена гондола, похожая на фюзеляж самолета, с закрытой кабиной для двух пилотов, сидящих рядом. В передней части гондолы находился мотор «Анзани» мощностью 70 л. с. Это была, безусловно, интересная конструкция, но, к сожалению, она осталась не реализована. [341] </w:t>
      </w:r>
    </w:p>
    <w:p w14:paraId="4E039C87"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Армия совершенно не интересовалась дирижаблями. В 1933 году, однако, сделала одну небольшую уступку в своей позиции по этому вопросу. Обнаружилось, что из-за очень насыщенной сети наземных электрических и телефонных проводов во время армейских маневров перемещение наблюдательных привязных аэростатов в наполненном состоянии весьма затруднено. Из этой ситуации и возник заказ на строительство наблюдательных самодвижущихся аэростатов. «Зодиаку» было поручено разработать проект моторизованного аэростата в течение семи недель, чтобы во время ближайших армейских маневров 1934 года его уже можно было использовать. </w:t>
      </w:r>
    </w:p>
    <w:p w14:paraId="7B98C06E"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 xml:space="preserve">За основу взяли оболочку стандартного наблюдательного аэростата MB компании «Зодиак». Единственным различием выступало то, что при транспортировании оставались ненаполненными только три хвостовых отсека. Под оболочкой была установлена деревянная монококовая гондола. В ее передней части располагался мотор «Сальмсон» 9 Adr мощностью 60 л. с., сразу за ним рули высоты и в самом конце — киль. Под винтом размещалась мощная лыжа для предохранения от столкновения с землей. Кабина перевозилась по земле на специальном шасси. Этот моторизованный баллон, обозначенный MBZ-2, развивал скорость 60 км/ч. При скорости перелета 50 км/ч он держался 2 часа, потолок от 600 до 1200 м в зависимости от количества водорода. Монтаж и демонтаж моторной гондолы занимал от 6 до 9 минут. Аэростаты MBZ-2 были выпущены большой серией. Каждое подразделение наблюдательных аэростатов получило по одному MBZ-2, а их экипажи обучались на воздухоплавательной базе ВМФ в Рошфоре. Фирма «Зодиак» в 1937 году разработала усовершенствованную версию MBZ-3, воздушные рули которого были меньшей площади, и их не надо было складывать при наземном транспортировании (11324). </w:t>
      </w:r>
    </w:p>
    <w:p w14:paraId="2E1B308D" w14:textId="77777777" w:rsidR="00537E5F" w:rsidRPr="00507A31" w:rsidRDefault="00537E5F" w:rsidP="00507A31">
      <w:pPr>
        <w:autoSpaceDE w:val="0"/>
        <w:autoSpaceDN w:val="0"/>
        <w:adjustRightInd w:val="0"/>
        <w:jc w:val="both"/>
        <w:rPr>
          <w:color w:val="000000" w:themeColor="text1"/>
          <w:sz w:val="16"/>
          <w:szCs w:val="16"/>
        </w:rPr>
      </w:pPr>
    </w:p>
    <w:p w14:paraId="64225CF9"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Д.Дуэ уже умер (518,9).</w:t>
      </w:r>
    </w:p>
    <w:p w14:paraId="1555AECD" w14:textId="77777777" w:rsidR="00537E5F" w:rsidRPr="00507A31" w:rsidRDefault="00537E5F" w:rsidP="00507A31">
      <w:pPr>
        <w:autoSpaceDE w:val="0"/>
        <w:autoSpaceDN w:val="0"/>
        <w:adjustRightInd w:val="0"/>
        <w:jc w:val="both"/>
        <w:rPr>
          <w:color w:val="000000" w:themeColor="text1"/>
          <w:sz w:val="16"/>
          <w:szCs w:val="16"/>
        </w:rPr>
      </w:pPr>
    </w:p>
    <w:p w14:paraId="131FA8FF"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в США была основана фирма Grumman (237,160).</w:t>
      </w:r>
    </w:p>
    <w:p w14:paraId="40A2ECCB" w14:textId="77777777" w:rsidR="00537E5F" w:rsidRPr="00507A31" w:rsidRDefault="00537E5F" w:rsidP="00507A31">
      <w:pPr>
        <w:autoSpaceDE w:val="0"/>
        <w:autoSpaceDN w:val="0"/>
        <w:adjustRightInd w:val="0"/>
        <w:jc w:val="both"/>
        <w:rPr>
          <w:color w:val="000000" w:themeColor="text1"/>
          <w:sz w:val="16"/>
          <w:szCs w:val="16"/>
        </w:rPr>
      </w:pPr>
    </w:p>
    <w:p w14:paraId="4562FD6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1930 г. на Лондонской конференции по ограничению и сокращению морских вооружений режим ограничений военно-морских сил великих держав ужесточился и был распространен на те классы судов, которые не были охвачены предыдущим договором и активно строились - крейсеры, эсминцы и подводные лодки. Япония соглашалась, чтобы ее военно-морской флот по отношению к американскому составлял по общему тоннажу: тяжелых крейсеров - 60%, легких крейсеров и эсминцев - 70%, подводных лодок - 100%. Устанавливался потолок общего тоннажа этих судов, предельное водоизмещение подлодок, максимальное число тяжелых крейсеров. В отношении линкоров были произведены дальнейшие количественные и качественные сокращения. США, Великобритания и Япония обязались не спускать в течение 1931-1936 гг. на воду новые линкоры, сдать на слом и переоборудовать несколько линейных кораблей для уменьшения общего их числа. Хотя Япония претендовала на большее, она согласилась на компромисс, опасаясь разорительной гонки вооружений, которую угрожали навязать ей Соединенные Штаты. Статус-кво на Тихом океане был сохранен еще на несколько лет (3871).</w:t>
      </w:r>
    </w:p>
    <w:p w14:paraId="019FB069" w14:textId="77777777" w:rsidR="00537E5F" w:rsidRPr="00507A31" w:rsidRDefault="00537E5F" w:rsidP="00507A31">
      <w:pPr>
        <w:autoSpaceDE w:val="0"/>
        <w:autoSpaceDN w:val="0"/>
        <w:adjustRightInd w:val="0"/>
        <w:jc w:val="both"/>
        <w:rPr>
          <w:color w:val="000000" w:themeColor="text1"/>
          <w:sz w:val="16"/>
          <w:szCs w:val="16"/>
        </w:rPr>
      </w:pPr>
    </w:p>
    <w:p w14:paraId="663F5FC5"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1929-1930 гг. китайская сторона добилась отмены режима капитуляций от целого ряда иностранных государств. Но Франция, Великобритания, США и Япония сохранили свои привилегии.</w:t>
      </w:r>
    </w:p>
    <w:p w14:paraId="2849E82E" w14:textId="77777777" w:rsidR="00537E5F" w:rsidRPr="00507A31" w:rsidRDefault="00537E5F" w:rsidP="00507A31">
      <w:pPr>
        <w:autoSpaceDE w:val="0"/>
        <w:autoSpaceDN w:val="0"/>
        <w:adjustRightInd w:val="0"/>
        <w:jc w:val="both"/>
        <w:rPr>
          <w:iCs/>
          <w:color w:val="000000" w:themeColor="text1"/>
          <w:sz w:val="16"/>
          <w:szCs w:val="16"/>
        </w:rPr>
      </w:pPr>
    </w:p>
    <w:p w14:paraId="365CE2F6" w14:textId="77777777" w:rsidR="00537E5F" w:rsidRPr="00507A31" w:rsidRDefault="00AC7355" w:rsidP="00507A31">
      <w:pPr>
        <w:autoSpaceDE w:val="0"/>
        <w:autoSpaceDN w:val="0"/>
        <w:adjustRightInd w:val="0"/>
        <w:jc w:val="both"/>
        <w:rPr>
          <w:iCs/>
          <w:color w:val="000000" w:themeColor="text1"/>
          <w:sz w:val="16"/>
          <w:szCs w:val="16"/>
        </w:rPr>
      </w:pPr>
      <w:r w:rsidRPr="00507A31">
        <w:rPr>
          <w:i/>
          <w:iCs/>
          <w:color w:val="000000" w:themeColor="text1"/>
          <w:sz w:val="16"/>
          <w:szCs w:val="16"/>
        </w:rPr>
        <w:t>Другие оборонные отрасли:</w:t>
      </w:r>
    </w:p>
    <w:p w14:paraId="247BBE54" w14:textId="77777777" w:rsidR="00537E5F" w:rsidRPr="00507A31" w:rsidRDefault="00537E5F" w:rsidP="00507A31">
      <w:pPr>
        <w:autoSpaceDE w:val="0"/>
        <w:autoSpaceDN w:val="0"/>
        <w:adjustRightInd w:val="0"/>
        <w:jc w:val="both"/>
        <w:rPr>
          <w:iCs/>
          <w:color w:val="000000" w:themeColor="text1"/>
          <w:sz w:val="16"/>
          <w:szCs w:val="16"/>
        </w:rPr>
      </w:pPr>
    </w:p>
    <w:p w14:paraId="3A415084" w14:textId="77777777" w:rsidR="00537E5F" w:rsidRPr="00507A31" w:rsidRDefault="00537E5F" w:rsidP="00507A31">
      <w:pPr>
        <w:autoSpaceDE w:val="0"/>
        <w:autoSpaceDN w:val="0"/>
        <w:adjustRightInd w:val="0"/>
        <w:jc w:val="both"/>
        <w:rPr>
          <w:color w:val="000000" w:themeColor="text1"/>
          <w:sz w:val="16"/>
          <w:szCs w:val="16"/>
        </w:rPr>
      </w:pPr>
      <w:r w:rsidRPr="00507A31">
        <w:rPr>
          <w:color w:val="000000" w:themeColor="text1"/>
          <w:sz w:val="16"/>
          <w:szCs w:val="16"/>
        </w:rPr>
        <w:t>В начале 30-х годов, согласно планов М.Н.Тухачевского, планировалось иметь 260 СД и КД, 50 Д АРГК, 225 батальонов ПРГК, 40 тыс. самолетов и 50 тыс. танков (4172) - страна бы не выдержала и И.В.С. назвал эту программу “красным милитаризмом” (4024,2).</w:t>
      </w:r>
    </w:p>
    <w:p w14:paraId="76BAB409" w14:textId="77777777" w:rsidR="00537E5F" w:rsidRPr="00507A31" w:rsidRDefault="00537E5F" w:rsidP="00507A31">
      <w:pPr>
        <w:autoSpaceDE w:val="0"/>
        <w:autoSpaceDN w:val="0"/>
        <w:adjustRightInd w:val="0"/>
        <w:jc w:val="both"/>
        <w:rPr>
          <w:color w:val="000000" w:themeColor="text1"/>
          <w:sz w:val="16"/>
          <w:szCs w:val="16"/>
        </w:rPr>
      </w:pPr>
    </w:p>
    <w:p w14:paraId="7399C689" w14:textId="77777777" w:rsidR="00537E5F" w:rsidRPr="00507A31" w:rsidRDefault="00537E5F" w:rsidP="00507A31">
      <w:pPr>
        <w:shd w:val="clear" w:color="auto" w:fill="FFFFFF"/>
        <w:autoSpaceDE w:val="0"/>
        <w:autoSpaceDN w:val="0"/>
        <w:adjustRightInd w:val="0"/>
        <w:jc w:val="both"/>
        <w:rPr>
          <w:color w:val="000000" w:themeColor="text1"/>
          <w:sz w:val="16"/>
          <w:szCs w:val="16"/>
        </w:rPr>
      </w:pPr>
      <w:r w:rsidRPr="00507A31">
        <w:rPr>
          <w:color w:val="000000" w:themeColor="text1"/>
          <w:sz w:val="16"/>
          <w:szCs w:val="16"/>
        </w:rPr>
        <w:t>Для преодоления кризиса первый положительный опыт ОГПУ на 39 заводе (когда не разрабатывали, а фактически реализовывали заделы) попытались тиражировать создав противовес традициям ЦАГИ. Одновременно попытались усилить авиационную науку и технику, развивать специальные институты и КБ по моторам, оборудованию, вооружению.</w:t>
      </w:r>
    </w:p>
    <w:p w14:paraId="6D626CFA" w14:textId="77777777" w:rsidR="00537E5F" w:rsidRPr="00507A31" w:rsidRDefault="00537E5F" w:rsidP="00507A31">
      <w:pPr>
        <w:shd w:val="clear" w:color="auto" w:fill="FFFFFF"/>
        <w:autoSpaceDE w:val="0"/>
        <w:autoSpaceDN w:val="0"/>
        <w:adjustRightInd w:val="0"/>
        <w:jc w:val="both"/>
        <w:rPr>
          <w:color w:val="000000" w:themeColor="text1"/>
          <w:sz w:val="16"/>
          <w:szCs w:val="16"/>
        </w:rPr>
      </w:pPr>
    </w:p>
    <w:sectPr w:rsidR="00537E5F" w:rsidRPr="00507A31" w:rsidSect="002149C2">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31CFB6" w14:textId="77777777" w:rsidR="002D4D90" w:rsidRDefault="002D4D90" w:rsidP="00537E5F">
      <w:r>
        <w:separator/>
      </w:r>
    </w:p>
  </w:endnote>
  <w:endnote w:type="continuationSeparator" w:id="0">
    <w:p w14:paraId="4422349E" w14:textId="77777777" w:rsidR="002D4D90" w:rsidRDefault="002D4D90" w:rsidP="00537E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96BE88" w14:textId="77777777" w:rsidR="002D4D90" w:rsidRDefault="002D4D90" w:rsidP="00537E5F">
      <w:r>
        <w:separator/>
      </w:r>
    </w:p>
  </w:footnote>
  <w:footnote w:type="continuationSeparator" w:id="0">
    <w:p w14:paraId="22DF3BCF" w14:textId="77777777" w:rsidR="002D4D90" w:rsidRDefault="002D4D90" w:rsidP="00537E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A76C9"/>
    <w:multiLevelType w:val="multilevel"/>
    <w:tmpl w:val="A5CADD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7408C7"/>
    <w:multiLevelType w:val="multilevel"/>
    <w:tmpl w:val="E0B4F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777AE1"/>
    <w:multiLevelType w:val="multilevel"/>
    <w:tmpl w:val="AE0EEC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3D269F"/>
    <w:multiLevelType w:val="multilevel"/>
    <w:tmpl w:val="D4042D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640618"/>
    <w:multiLevelType w:val="multilevel"/>
    <w:tmpl w:val="F59AC5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66B7395"/>
    <w:multiLevelType w:val="multilevel"/>
    <w:tmpl w:val="BCE40E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86A6F1C"/>
    <w:multiLevelType w:val="multilevel"/>
    <w:tmpl w:val="C56C5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A8D06B1"/>
    <w:multiLevelType w:val="multilevel"/>
    <w:tmpl w:val="AC5E22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BD924C5"/>
    <w:multiLevelType w:val="multilevel"/>
    <w:tmpl w:val="8B06E0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C037473"/>
    <w:multiLevelType w:val="multilevel"/>
    <w:tmpl w:val="5D12F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C2C37AB"/>
    <w:multiLevelType w:val="multilevel"/>
    <w:tmpl w:val="A2FE7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26560D7"/>
    <w:multiLevelType w:val="multilevel"/>
    <w:tmpl w:val="D9565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3015372"/>
    <w:multiLevelType w:val="multilevel"/>
    <w:tmpl w:val="2D9648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3C22FEA"/>
    <w:multiLevelType w:val="multilevel"/>
    <w:tmpl w:val="B2B8B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4843FF1"/>
    <w:multiLevelType w:val="multilevel"/>
    <w:tmpl w:val="9CECB8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58F4115"/>
    <w:multiLevelType w:val="multilevel"/>
    <w:tmpl w:val="ED9C32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67379F6"/>
    <w:multiLevelType w:val="multilevel"/>
    <w:tmpl w:val="2CC6F7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6BC6648"/>
    <w:multiLevelType w:val="multilevel"/>
    <w:tmpl w:val="55D2C8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7820197"/>
    <w:multiLevelType w:val="multilevel"/>
    <w:tmpl w:val="6CA208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AF1452B"/>
    <w:multiLevelType w:val="multilevel"/>
    <w:tmpl w:val="98707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B455885"/>
    <w:multiLevelType w:val="multilevel"/>
    <w:tmpl w:val="7BC4B3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C5F2A48"/>
    <w:multiLevelType w:val="multilevel"/>
    <w:tmpl w:val="7C6CB5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D2D7300"/>
    <w:multiLevelType w:val="multilevel"/>
    <w:tmpl w:val="537291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E1E1EDF"/>
    <w:multiLevelType w:val="multilevel"/>
    <w:tmpl w:val="010C6F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E4C0A1C"/>
    <w:multiLevelType w:val="multilevel"/>
    <w:tmpl w:val="EFCC0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EE72C61"/>
    <w:multiLevelType w:val="multilevel"/>
    <w:tmpl w:val="A3601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10040B2"/>
    <w:multiLevelType w:val="multilevel"/>
    <w:tmpl w:val="4B56B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1C8204B"/>
    <w:multiLevelType w:val="multilevel"/>
    <w:tmpl w:val="41141B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2FC5BCD"/>
    <w:multiLevelType w:val="multilevel"/>
    <w:tmpl w:val="23363A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38A2642"/>
    <w:multiLevelType w:val="multilevel"/>
    <w:tmpl w:val="B7607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4C303F1"/>
    <w:multiLevelType w:val="multilevel"/>
    <w:tmpl w:val="C010A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85924E0"/>
    <w:multiLevelType w:val="multilevel"/>
    <w:tmpl w:val="D5E64F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8D6463F"/>
    <w:multiLevelType w:val="multilevel"/>
    <w:tmpl w:val="39E0AF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C504614"/>
    <w:multiLevelType w:val="multilevel"/>
    <w:tmpl w:val="86CE2C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D6660B2"/>
    <w:multiLevelType w:val="multilevel"/>
    <w:tmpl w:val="BB52EC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D6C45D0"/>
    <w:multiLevelType w:val="multilevel"/>
    <w:tmpl w:val="F58EE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F4F1691"/>
    <w:multiLevelType w:val="multilevel"/>
    <w:tmpl w:val="B97C78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FC14391"/>
    <w:multiLevelType w:val="multilevel"/>
    <w:tmpl w:val="B030A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0810222"/>
    <w:multiLevelType w:val="multilevel"/>
    <w:tmpl w:val="ECAAB7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32F4690D"/>
    <w:multiLevelType w:val="multilevel"/>
    <w:tmpl w:val="B81444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38C3DF2"/>
    <w:multiLevelType w:val="multilevel"/>
    <w:tmpl w:val="370E8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4427B7C"/>
    <w:multiLevelType w:val="multilevel"/>
    <w:tmpl w:val="310E5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4456E65"/>
    <w:multiLevelType w:val="multilevel"/>
    <w:tmpl w:val="F1087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4B82D7D"/>
    <w:multiLevelType w:val="multilevel"/>
    <w:tmpl w:val="B5DC60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5013050"/>
    <w:multiLevelType w:val="multilevel"/>
    <w:tmpl w:val="2E76D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5105779"/>
    <w:multiLevelType w:val="multilevel"/>
    <w:tmpl w:val="005AE0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51C341E"/>
    <w:multiLevelType w:val="multilevel"/>
    <w:tmpl w:val="5B88D3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6BF75BF"/>
    <w:multiLevelType w:val="multilevel"/>
    <w:tmpl w:val="C276C0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7351E39"/>
    <w:multiLevelType w:val="multilevel"/>
    <w:tmpl w:val="75BAC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374168A9"/>
    <w:multiLevelType w:val="multilevel"/>
    <w:tmpl w:val="B69AC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7B42F99"/>
    <w:multiLevelType w:val="multilevel"/>
    <w:tmpl w:val="840E7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38637B10"/>
    <w:multiLevelType w:val="multilevel"/>
    <w:tmpl w:val="CC9069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3866536E"/>
    <w:multiLevelType w:val="multilevel"/>
    <w:tmpl w:val="F3025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388D2E69"/>
    <w:multiLevelType w:val="multilevel"/>
    <w:tmpl w:val="5B5EA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3895638C"/>
    <w:multiLevelType w:val="multilevel"/>
    <w:tmpl w:val="75CC82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3D0519BF"/>
    <w:multiLevelType w:val="multilevel"/>
    <w:tmpl w:val="CFFC6C9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3E4F189B"/>
    <w:multiLevelType w:val="multilevel"/>
    <w:tmpl w:val="62164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3EC42948"/>
    <w:multiLevelType w:val="multilevel"/>
    <w:tmpl w:val="EE0286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3F170842"/>
    <w:multiLevelType w:val="multilevel"/>
    <w:tmpl w:val="FB1C2A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40DD0E2A"/>
    <w:multiLevelType w:val="multilevel"/>
    <w:tmpl w:val="30AEDD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439610D1"/>
    <w:multiLevelType w:val="multilevel"/>
    <w:tmpl w:val="BB90F6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457F6D4F"/>
    <w:multiLevelType w:val="multilevel"/>
    <w:tmpl w:val="5BEA93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47C216A9"/>
    <w:multiLevelType w:val="multilevel"/>
    <w:tmpl w:val="FB7A1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47DD31BF"/>
    <w:multiLevelType w:val="multilevel"/>
    <w:tmpl w:val="496E65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48FD4A78"/>
    <w:multiLevelType w:val="multilevel"/>
    <w:tmpl w:val="3BBE59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4A085E71"/>
    <w:multiLevelType w:val="multilevel"/>
    <w:tmpl w:val="DC9E2D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4A880D81"/>
    <w:multiLevelType w:val="multilevel"/>
    <w:tmpl w:val="A1AE0D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4BB52F8A"/>
    <w:multiLevelType w:val="multilevel"/>
    <w:tmpl w:val="F5E4F6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4BB76092"/>
    <w:multiLevelType w:val="multilevel"/>
    <w:tmpl w:val="1F1CF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4C3D7C19"/>
    <w:multiLevelType w:val="multilevel"/>
    <w:tmpl w:val="1C60D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4C690FDC"/>
    <w:multiLevelType w:val="multilevel"/>
    <w:tmpl w:val="5DEA4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4CDF4F88"/>
    <w:multiLevelType w:val="multilevel"/>
    <w:tmpl w:val="C598D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4DED36FC"/>
    <w:multiLevelType w:val="multilevel"/>
    <w:tmpl w:val="1D220B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4E926A1E"/>
    <w:multiLevelType w:val="multilevel"/>
    <w:tmpl w:val="B4F84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4EB079A8"/>
    <w:multiLevelType w:val="multilevel"/>
    <w:tmpl w:val="DA4887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4F121E12"/>
    <w:multiLevelType w:val="multilevel"/>
    <w:tmpl w:val="98B00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4FC03E63"/>
    <w:multiLevelType w:val="multilevel"/>
    <w:tmpl w:val="4920CA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50016D41"/>
    <w:multiLevelType w:val="multilevel"/>
    <w:tmpl w:val="26EC6F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50367A1A"/>
    <w:multiLevelType w:val="multilevel"/>
    <w:tmpl w:val="12B283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50B1608D"/>
    <w:multiLevelType w:val="multilevel"/>
    <w:tmpl w:val="91DE63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52DF0A8C"/>
    <w:multiLevelType w:val="multilevel"/>
    <w:tmpl w:val="8AEC17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54754E04"/>
    <w:multiLevelType w:val="multilevel"/>
    <w:tmpl w:val="48787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54FA3767"/>
    <w:multiLevelType w:val="multilevel"/>
    <w:tmpl w:val="49D62D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56AD7D53"/>
    <w:multiLevelType w:val="multilevel"/>
    <w:tmpl w:val="50ECE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56CE6F0F"/>
    <w:multiLevelType w:val="multilevel"/>
    <w:tmpl w:val="9E2688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56D85729"/>
    <w:multiLevelType w:val="multilevel"/>
    <w:tmpl w:val="2FB0E7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575C3C36"/>
    <w:multiLevelType w:val="multilevel"/>
    <w:tmpl w:val="62D4FB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57B5743C"/>
    <w:multiLevelType w:val="multilevel"/>
    <w:tmpl w:val="D2C20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57DC5609"/>
    <w:multiLevelType w:val="multilevel"/>
    <w:tmpl w:val="9C4A66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57E547BE"/>
    <w:multiLevelType w:val="multilevel"/>
    <w:tmpl w:val="F41214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58795B8C"/>
    <w:multiLevelType w:val="multilevel"/>
    <w:tmpl w:val="9E9AFF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58C665EC"/>
    <w:multiLevelType w:val="multilevel"/>
    <w:tmpl w:val="C6228F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5A01349B"/>
    <w:multiLevelType w:val="multilevel"/>
    <w:tmpl w:val="9D2AE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5AA071C7"/>
    <w:multiLevelType w:val="multilevel"/>
    <w:tmpl w:val="454E58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5C225D83"/>
    <w:multiLevelType w:val="multilevel"/>
    <w:tmpl w:val="5AB07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5CA1577F"/>
    <w:multiLevelType w:val="multilevel"/>
    <w:tmpl w:val="E76CB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5D0E2EBE"/>
    <w:multiLevelType w:val="multilevel"/>
    <w:tmpl w:val="BE2297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5E117604"/>
    <w:multiLevelType w:val="multilevel"/>
    <w:tmpl w:val="8B22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5E8F573B"/>
    <w:multiLevelType w:val="multilevel"/>
    <w:tmpl w:val="9A38CD9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5EE96A90"/>
    <w:multiLevelType w:val="multilevel"/>
    <w:tmpl w:val="D2EE71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61357022"/>
    <w:multiLevelType w:val="multilevel"/>
    <w:tmpl w:val="13005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62B462C6"/>
    <w:multiLevelType w:val="multilevel"/>
    <w:tmpl w:val="0FA20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636B5AB3"/>
    <w:multiLevelType w:val="multilevel"/>
    <w:tmpl w:val="A1445E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63B3134D"/>
    <w:multiLevelType w:val="multilevel"/>
    <w:tmpl w:val="52948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63E75486"/>
    <w:multiLevelType w:val="multilevel"/>
    <w:tmpl w:val="9D0C6E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65716C1E"/>
    <w:multiLevelType w:val="multilevel"/>
    <w:tmpl w:val="2B9EB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662974A7"/>
    <w:multiLevelType w:val="multilevel"/>
    <w:tmpl w:val="EA1A8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66383CA0"/>
    <w:multiLevelType w:val="multilevel"/>
    <w:tmpl w:val="FB440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6C5C608F"/>
    <w:multiLevelType w:val="multilevel"/>
    <w:tmpl w:val="3A4ABC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6C8612AC"/>
    <w:multiLevelType w:val="multilevel"/>
    <w:tmpl w:val="28E43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6CC5038C"/>
    <w:multiLevelType w:val="multilevel"/>
    <w:tmpl w:val="8472B3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6DD3102F"/>
    <w:multiLevelType w:val="multilevel"/>
    <w:tmpl w:val="25209A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6E4F16CB"/>
    <w:multiLevelType w:val="multilevel"/>
    <w:tmpl w:val="4B623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725C7FD8"/>
    <w:multiLevelType w:val="multilevel"/>
    <w:tmpl w:val="B2CA7D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729C2575"/>
    <w:multiLevelType w:val="multilevel"/>
    <w:tmpl w:val="78D031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7341497C"/>
    <w:multiLevelType w:val="multilevel"/>
    <w:tmpl w:val="DD548A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73E56B36"/>
    <w:multiLevelType w:val="multilevel"/>
    <w:tmpl w:val="7826B1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74A70B01"/>
    <w:multiLevelType w:val="multilevel"/>
    <w:tmpl w:val="D20227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75824A21"/>
    <w:multiLevelType w:val="multilevel"/>
    <w:tmpl w:val="405A2D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79B90DF1"/>
    <w:multiLevelType w:val="multilevel"/>
    <w:tmpl w:val="22742C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7AB53303"/>
    <w:multiLevelType w:val="multilevel"/>
    <w:tmpl w:val="621E93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7B3D371F"/>
    <w:multiLevelType w:val="multilevel"/>
    <w:tmpl w:val="D4F09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7BDE3E81"/>
    <w:multiLevelType w:val="multilevel"/>
    <w:tmpl w:val="35FEA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7D2A1921"/>
    <w:multiLevelType w:val="multilevel"/>
    <w:tmpl w:val="8B1650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7DE81116"/>
    <w:multiLevelType w:val="multilevel"/>
    <w:tmpl w:val="5AA280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7F343FE2"/>
    <w:multiLevelType w:val="multilevel"/>
    <w:tmpl w:val="F85C7B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7FA10F17"/>
    <w:multiLevelType w:val="multilevel"/>
    <w:tmpl w:val="31C474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3"/>
    <w:lvlOverride w:ilvl="0">
      <w:startOverride w:val="3"/>
    </w:lvlOverride>
  </w:num>
  <w:num w:numId="2">
    <w:abstractNumId w:val="34"/>
  </w:num>
  <w:num w:numId="3">
    <w:abstractNumId w:val="23"/>
    <w:lvlOverride w:ilvl="0">
      <w:startOverride w:val="9"/>
    </w:lvlOverride>
  </w:num>
  <w:num w:numId="4">
    <w:abstractNumId w:val="56"/>
    <w:lvlOverride w:ilvl="0">
      <w:startOverride w:val="4"/>
    </w:lvlOverride>
  </w:num>
  <w:num w:numId="5">
    <w:abstractNumId w:val="95"/>
    <w:lvlOverride w:ilvl="0">
      <w:startOverride w:val="5"/>
    </w:lvlOverride>
  </w:num>
  <w:num w:numId="6">
    <w:abstractNumId w:val="111"/>
    <w:lvlOverride w:ilvl="0">
      <w:startOverride w:val="6"/>
    </w:lvlOverride>
  </w:num>
  <w:num w:numId="7">
    <w:abstractNumId w:val="49"/>
    <w:lvlOverride w:ilvl="0">
      <w:startOverride w:val="7"/>
    </w:lvlOverride>
  </w:num>
  <w:num w:numId="8">
    <w:abstractNumId w:val="52"/>
    <w:lvlOverride w:ilvl="0">
      <w:startOverride w:val="8"/>
    </w:lvlOverride>
  </w:num>
  <w:num w:numId="9">
    <w:abstractNumId w:val="107"/>
    <w:lvlOverride w:ilvl="0">
      <w:startOverride w:val="9"/>
    </w:lvlOverride>
  </w:num>
  <w:num w:numId="10">
    <w:abstractNumId w:val="29"/>
    <w:lvlOverride w:ilvl="0">
      <w:startOverride w:val="10"/>
    </w:lvlOverride>
  </w:num>
  <w:num w:numId="11">
    <w:abstractNumId w:val="97"/>
    <w:lvlOverride w:ilvl="0">
      <w:startOverride w:val="16"/>
    </w:lvlOverride>
  </w:num>
  <w:num w:numId="12">
    <w:abstractNumId w:val="25"/>
    <w:lvlOverride w:ilvl="0">
      <w:startOverride w:val="17"/>
    </w:lvlOverride>
  </w:num>
  <w:num w:numId="13">
    <w:abstractNumId w:val="31"/>
    <w:lvlOverride w:ilvl="0">
      <w:startOverride w:val="18"/>
    </w:lvlOverride>
  </w:num>
  <w:num w:numId="14">
    <w:abstractNumId w:val="3"/>
  </w:num>
  <w:num w:numId="15">
    <w:abstractNumId w:val="76"/>
    <w:lvlOverride w:ilvl="0">
      <w:startOverride w:val="2"/>
    </w:lvlOverride>
  </w:num>
  <w:num w:numId="16">
    <w:abstractNumId w:val="76"/>
    <w:lvlOverride w:ilvl="0">
      <w:startOverride w:val="3"/>
    </w:lvlOverride>
  </w:num>
  <w:num w:numId="17">
    <w:abstractNumId w:val="76"/>
    <w:lvlOverride w:ilvl="0">
      <w:startOverride w:val="4"/>
    </w:lvlOverride>
  </w:num>
  <w:num w:numId="18">
    <w:abstractNumId w:val="76"/>
    <w:lvlOverride w:ilvl="0">
      <w:startOverride w:val="5"/>
    </w:lvlOverride>
  </w:num>
  <w:num w:numId="19">
    <w:abstractNumId w:val="76"/>
    <w:lvlOverride w:ilvl="0">
      <w:startOverride w:val="6"/>
    </w:lvlOverride>
  </w:num>
  <w:num w:numId="20">
    <w:abstractNumId w:val="76"/>
    <w:lvlOverride w:ilvl="0">
      <w:startOverride w:val="7"/>
    </w:lvlOverride>
  </w:num>
  <w:num w:numId="21">
    <w:abstractNumId w:val="48"/>
    <w:lvlOverride w:ilvl="0">
      <w:startOverride w:val="19"/>
    </w:lvlOverride>
  </w:num>
  <w:num w:numId="22">
    <w:abstractNumId w:val="59"/>
    <w:lvlOverride w:ilvl="0">
      <w:startOverride w:val="20"/>
    </w:lvlOverride>
  </w:num>
  <w:num w:numId="23">
    <w:abstractNumId w:val="102"/>
  </w:num>
  <w:num w:numId="24">
    <w:abstractNumId w:val="89"/>
    <w:lvlOverride w:ilvl="0">
      <w:startOverride w:val="21"/>
    </w:lvlOverride>
  </w:num>
  <w:num w:numId="25">
    <w:abstractNumId w:val="88"/>
    <w:lvlOverride w:ilvl="0">
      <w:startOverride w:val="22"/>
    </w:lvlOverride>
  </w:num>
  <w:num w:numId="26">
    <w:abstractNumId w:val="117"/>
    <w:lvlOverride w:ilvl="0">
      <w:startOverride w:val="23"/>
    </w:lvlOverride>
  </w:num>
  <w:num w:numId="27">
    <w:abstractNumId w:val="2"/>
  </w:num>
  <w:num w:numId="28">
    <w:abstractNumId w:val="20"/>
    <w:lvlOverride w:ilvl="0">
      <w:startOverride w:val="2"/>
    </w:lvlOverride>
  </w:num>
  <w:num w:numId="29">
    <w:abstractNumId w:val="20"/>
    <w:lvlOverride w:ilvl="0">
      <w:startOverride w:val="3"/>
    </w:lvlOverride>
  </w:num>
  <w:num w:numId="30">
    <w:abstractNumId w:val="44"/>
    <w:lvlOverride w:ilvl="0">
      <w:startOverride w:val="4"/>
    </w:lvlOverride>
  </w:num>
  <w:num w:numId="31">
    <w:abstractNumId w:val="44"/>
    <w:lvlOverride w:ilvl="0">
      <w:startOverride w:val="5"/>
    </w:lvlOverride>
  </w:num>
  <w:num w:numId="32">
    <w:abstractNumId w:val="78"/>
    <w:lvlOverride w:ilvl="0">
      <w:startOverride w:val="6"/>
    </w:lvlOverride>
  </w:num>
  <w:num w:numId="33">
    <w:abstractNumId w:val="71"/>
    <w:lvlOverride w:ilvl="0">
      <w:startOverride w:val="7"/>
    </w:lvlOverride>
  </w:num>
  <w:num w:numId="34">
    <w:abstractNumId w:val="71"/>
    <w:lvlOverride w:ilvl="0">
      <w:startOverride w:val="8"/>
    </w:lvlOverride>
  </w:num>
  <w:num w:numId="35">
    <w:abstractNumId w:val="85"/>
    <w:lvlOverride w:ilvl="0">
      <w:startOverride w:val="9"/>
    </w:lvlOverride>
  </w:num>
  <w:num w:numId="36">
    <w:abstractNumId w:val="99"/>
  </w:num>
  <w:num w:numId="37">
    <w:abstractNumId w:val="22"/>
    <w:lvlOverride w:ilvl="0">
      <w:startOverride w:val="2"/>
    </w:lvlOverride>
  </w:num>
  <w:num w:numId="38">
    <w:abstractNumId w:val="106"/>
    <w:lvlOverride w:ilvl="0">
      <w:startOverride w:val="3"/>
    </w:lvlOverride>
  </w:num>
  <w:num w:numId="39">
    <w:abstractNumId w:val="36"/>
    <w:lvlOverride w:ilvl="0">
      <w:startOverride w:val="4"/>
    </w:lvlOverride>
  </w:num>
  <w:num w:numId="40">
    <w:abstractNumId w:val="41"/>
  </w:num>
  <w:num w:numId="41">
    <w:abstractNumId w:val="1"/>
  </w:num>
  <w:num w:numId="42">
    <w:abstractNumId w:val="37"/>
  </w:num>
  <w:num w:numId="43">
    <w:abstractNumId w:val="0"/>
  </w:num>
  <w:num w:numId="44">
    <w:abstractNumId w:val="53"/>
    <w:lvlOverride w:ilvl="0">
      <w:startOverride w:val="2"/>
    </w:lvlOverride>
  </w:num>
  <w:num w:numId="45">
    <w:abstractNumId w:val="53"/>
    <w:lvlOverride w:ilvl="0">
      <w:startOverride w:val="3"/>
    </w:lvlOverride>
  </w:num>
  <w:num w:numId="46">
    <w:abstractNumId w:val="63"/>
    <w:lvlOverride w:ilvl="0">
      <w:startOverride w:val="4"/>
    </w:lvlOverride>
  </w:num>
  <w:num w:numId="47">
    <w:abstractNumId w:val="30"/>
  </w:num>
  <w:num w:numId="48">
    <w:abstractNumId w:val="26"/>
  </w:num>
  <w:num w:numId="49">
    <w:abstractNumId w:val="17"/>
    <w:lvlOverride w:ilvl="0">
      <w:startOverride w:val="2"/>
    </w:lvlOverride>
  </w:num>
  <w:num w:numId="50">
    <w:abstractNumId w:val="90"/>
    <w:lvlOverride w:ilvl="0">
      <w:startOverride w:val="3"/>
    </w:lvlOverride>
  </w:num>
  <w:num w:numId="51">
    <w:abstractNumId w:val="73"/>
    <w:lvlOverride w:ilvl="0">
      <w:startOverride w:val="4"/>
    </w:lvlOverride>
  </w:num>
  <w:num w:numId="52">
    <w:abstractNumId w:val="73"/>
    <w:lvlOverride w:ilvl="0">
      <w:startOverride w:val="5"/>
    </w:lvlOverride>
  </w:num>
  <w:num w:numId="53">
    <w:abstractNumId w:val="46"/>
    <w:lvlOverride w:ilvl="0">
      <w:startOverride w:val="6"/>
    </w:lvlOverride>
  </w:num>
  <w:num w:numId="54">
    <w:abstractNumId w:val="120"/>
    <w:lvlOverride w:ilvl="0">
      <w:startOverride w:val="7"/>
    </w:lvlOverride>
  </w:num>
  <w:num w:numId="55">
    <w:abstractNumId w:val="70"/>
    <w:lvlOverride w:ilvl="0">
      <w:startOverride w:val="8"/>
    </w:lvlOverride>
  </w:num>
  <w:num w:numId="56">
    <w:abstractNumId w:val="16"/>
  </w:num>
  <w:num w:numId="57">
    <w:abstractNumId w:val="81"/>
  </w:num>
  <w:num w:numId="58">
    <w:abstractNumId w:val="8"/>
  </w:num>
  <w:num w:numId="59">
    <w:abstractNumId w:val="38"/>
  </w:num>
  <w:num w:numId="60">
    <w:abstractNumId w:val="54"/>
  </w:num>
  <w:num w:numId="61">
    <w:abstractNumId w:val="11"/>
    <w:lvlOverride w:ilvl="0">
      <w:startOverride w:val="2"/>
    </w:lvlOverride>
  </w:num>
  <w:num w:numId="62">
    <w:abstractNumId w:val="68"/>
    <w:lvlOverride w:ilvl="0">
      <w:startOverride w:val="3"/>
    </w:lvlOverride>
  </w:num>
  <w:num w:numId="63">
    <w:abstractNumId w:val="68"/>
    <w:lvlOverride w:ilvl="0">
      <w:startOverride w:val="4"/>
    </w:lvlOverride>
  </w:num>
  <w:num w:numId="64">
    <w:abstractNumId w:val="68"/>
    <w:lvlOverride w:ilvl="0">
      <w:startOverride w:val="5"/>
    </w:lvlOverride>
  </w:num>
  <w:num w:numId="65">
    <w:abstractNumId w:val="7"/>
  </w:num>
  <w:num w:numId="66">
    <w:abstractNumId w:val="124"/>
    <w:lvlOverride w:ilvl="0">
      <w:startOverride w:val="2"/>
    </w:lvlOverride>
  </w:num>
  <w:num w:numId="67">
    <w:abstractNumId w:val="124"/>
    <w:lvlOverride w:ilvl="0">
      <w:startOverride w:val="3"/>
    </w:lvlOverride>
  </w:num>
  <w:num w:numId="68">
    <w:abstractNumId w:val="113"/>
  </w:num>
  <w:num w:numId="69">
    <w:abstractNumId w:val="60"/>
  </w:num>
  <w:num w:numId="70">
    <w:abstractNumId w:val="47"/>
  </w:num>
  <w:num w:numId="71">
    <w:abstractNumId w:val="19"/>
  </w:num>
  <w:num w:numId="72">
    <w:abstractNumId w:val="77"/>
  </w:num>
  <w:num w:numId="73">
    <w:abstractNumId w:val="105"/>
    <w:lvlOverride w:ilvl="0">
      <w:startOverride w:val="6"/>
    </w:lvlOverride>
  </w:num>
  <w:num w:numId="74">
    <w:abstractNumId w:val="105"/>
    <w:lvlOverride w:ilvl="0">
      <w:startOverride w:val="7"/>
    </w:lvlOverride>
  </w:num>
  <w:num w:numId="75">
    <w:abstractNumId w:val="105"/>
    <w:lvlOverride w:ilvl="0">
      <w:startOverride w:val="8"/>
    </w:lvlOverride>
  </w:num>
  <w:num w:numId="76">
    <w:abstractNumId w:val="42"/>
  </w:num>
  <w:num w:numId="77">
    <w:abstractNumId w:val="122"/>
  </w:num>
  <w:num w:numId="78">
    <w:abstractNumId w:val="79"/>
  </w:num>
  <w:num w:numId="79">
    <w:abstractNumId w:val="40"/>
  </w:num>
  <w:num w:numId="80">
    <w:abstractNumId w:val="5"/>
  </w:num>
  <w:num w:numId="81">
    <w:abstractNumId w:val="83"/>
  </w:num>
  <w:num w:numId="82">
    <w:abstractNumId w:val="115"/>
  </w:num>
  <w:num w:numId="83">
    <w:abstractNumId w:val="115"/>
    <w:lvlOverride w:ilvl="0">
      <w:startOverride w:val="2"/>
    </w:lvlOverride>
  </w:num>
  <w:num w:numId="84">
    <w:abstractNumId w:val="9"/>
  </w:num>
  <w:num w:numId="85">
    <w:abstractNumId w:val="64"/>
  </w:num>
  <w:num w:numId="86">
    <w:abstractNumId w:val="109"/>
  </w:num>
  <w:num w:numId="87">
    <w:abstractNumId w:val="96"/>
  </w:num>
  <w:num w:numId="88">
    <w:abstractNumId w:val="98"/>
  </w:num>
  <w:num w:numId="89">
    <w:abstractNumId w:val="55"/>
  </w:num>
  <w:num w:numId="90">
    <w:abstractNumId w:val="94"/>
    <w:lvlOverride w:ilvl="0">
      <w:startOverride w:val="5"/>
    </w:lvlOverride>
  </w:num>
  <w:num w:numId="91">
    <w:abstractNumId w:val="94"/>
    <w:lvlOverride w:ilvl="0">
      <w:startOverride w:val="6"/>
    </w:lvlOverride>
  </w:num>
  <w:num w:numId="92">
    <w:abstractNumId w:val="94"/>
    <w:lvlOverride w:ilvl="0">
      <w:startOverride w:val="7"/>
    </w:lvlOverride>
  </w:num>
  <w:num w:numId="93">
    <w:abstractNumId w:val="66"/>
  </w:num>
  <w:num w:numId="94">
    <w:abstractNumId w:val="18"/>
    <w:lvlOverride w:ilvl="0">
      <w:startOverride w:val="2"/>
    </w:lvlOverride>
  </w:num>
  <w:num w:numId="95">
    <w:abstractNumId w:val="57"/>
    <w:lvlOverride w:ilvl="0">
      <w:startOverride w:val="3"/>
    </w:lvlOverride>
  </w:num>
  <w:num w:numId="96">
    <w:abstractNumId w:val="108"/>
    <w:lvlOverride w:ilvl="0">
      <w:startOverride w:val="4"/>
    </w:lvlOverride>
  </w:num>
  <w:num w:numId="97">
    <w:abstractNumId w:val="108"/>
    <w:lvlOverride w:ilvl="0">
      <w:startOverride w:val="5"/>
    </w:lvlOverride>
  </w:num>
  <w:num w:numId="98">
    <w:abstractNumId w:val="108"/>
    <w:lvlOverride w:ilvl="0">
      <w:startOverride w:val="6"/>
    </w:lvlOverride>
  </w:num>
  <w:num w:numId="99">
    <w:abstractNumId w:val="6"/>
  </w:num>
  <w:num w:numId="100">
    <w:abstractNumId w:val="82"/>
  </w:num>
  <w:num w:numId="101">
    <w:abstractNumId w:val="86"/>
  </w:num>
  <w:num w:numId="102">
    <w:abstractNumId w:val="116"/>
  </w:num>
  <w:num w:numId="103">
    <w:abstractNumId w:val="65"/>
  </w:num>
  <w:num w:numId="104">
    <w:abstractNumId w:val="84"/>
  </w:num>
  <w:num w:numId="105">
    <w:abstractNumId w:val="74"/>
    <w:lvlOverride w:ilvl="0">
      <w:startOverride w:val="5"/>
    </w:lvlOverride>
  </w:num>
  <w:num w:numId="106">
    <w:abstractNumId w:val="74"/>
    <w:lvlOverride w:ilvl="0">
      <w:startOverride w:val="6"/>
    </w:lvlOverride>
  </w:num>
  <w:num w:numId="107">
    <w:abstractNumId w:val="12"/>
  </w:num>
  <w:num w:numId="108">
    <w:abstractNumId w:val="15"/>
  </w:num>
  <w:num w:numId="109">
    <w:abstractNumId w:val="121"/>
  </w:num>
  <w:num w:numId="110">
    <w:abstractNumId w:val="4"/>
  </w:num>
  <w:num w:numId="111">
    <w:abstractNumId w:val="69"/>
    <w:lvlOverride w:ilvl="0">
      <w:startOverride w:val="23"/>
    </w:lvlOverride>
  </w:num>
  <w:num w:numId="112">
    <w:abstractNumId w:val="69"/>
    <w:lvlOverride w:ilvl="0">
      <w:startOverride w:val="24"/>
    </w:lvlOverride>
  </w:num>
  <w:num w:numId="113">
    <w:abstractNumId w:val="61"/>
    <w:lvlOverride w:ilvl="0">
      <w:startOverride w:val="24"/>
    </w:lvlOverride>
  </w:num>
  <w:num w:numId="114">
    <w:abstractNumId w:val="61"/>
    <w:lvlOverride w:ilvl="0">
      <w:startOverride w:val="25"/>
    </w:lvlOverride>
  </w:num>
  <w:num w:numId="115">
    <w:abstractNumId w:val="61"/>
    <w:lvlOverride w:ilvl="0">
      <w:startOverride w:val="26"/>
    </w:lvlOverride>
  </w:num>
  <w:num w:numId="116">
    <w:abstractNumId w:val="61"/>
    <w:lvlOverride w:ilvl="0">
      <w:startOverride w:val="27"/>
    </w:lvlOverride>
  </w:num>
  <w:num w:numId="117">
    <w:abstractNumId w:val="24"/>
  </w:num>
  <w:num w:numId="118">
    <w:abstractNumId w:val="93"/>
    <w:lvlOverride w:ilvl="0">
      <w:startOverride w:val="5"/>
    </w:lvlOverride>
  </w:num>
  <w:num w:numId="119">
    <w:abstractNumId w:val="93"/>
    <w:lvlOverride w:ilvl="0">
      <w:startOverride w:val="6"/>
    </w:lvlOverride>
  </w:num>
  <w:num w:numId="120">
    <w:abstractNumId w:val="93"/>
    <w:lvlOverride w:ilvl="0">
      <w:startOverride w:val="7"/>
    </w:lvlOverride>
  </w:num>
  <w:num w:numId="121">
    <w:abstractNumId w:val="93"/>
    <w:lvlOverride w:ilvl="0">
      <w:startOverride w:val="8"/>
    </w:lvlOverride>
  </w:num>
  <w:num w:numId="122">
    <w:abstractNumId w:val="39"/>
  </w:num>
  <w:num w:numId="123">
    <w:abstractNumId w:val="35"/>
  </w:num>
  <w:num w:numId="124">
    <w:abstractNumId w:val="114"/>
    <w:lvlOverride w:ilvl="0">
      <w:startOverride w:val="2"/>
    </w:lvlOverride>
  </w:num>
  <w:num w:numId="125">
    <w:abstractNumId w:val="50"/>
  </w:num>
  <w:num w:numId="126">
    <w:abstractNumId w:val="92"/>
  </w:num>
  <w:num w:numId="127">
    <w:abstractNumId w:val="45"/>
  </w:num>
  <w:num w:numId="128">
    <w:abstractNumId w:val="10"/>
  </w:num>
  <w:num w:numId="129">
    <w:abstractNumId w:val="51"/>
    <w:lvlOverride w:ilvl="0">
      <w:startOverride w:val="2"/>
    </w:lvlOverride>
  </w:num>
  <w:num w:numId="130">
    <w:abstractNumId w:val="100"/>
  </w:num>
  <w:num w:numId="131">
    <w:abstractNumId w:val="104"/>
    <w:lvlOverride w:ilvl="0">
      <w:startOverride w:val="3"/>
    </w:lvlOverride>
  </w:num>
  <w:num w:numId="132">
    <w:abstractNumId w:val="125"/>
  </w:num>
  <w:num w:numId="133">
    <w:abstractNumId w:val="126"/>
    <w:lvlOverride w:ilvl="0">
      <w:startOverride w:val="4"/>
    </w:lvlOverride>
  </w:num>
  <w:num w:numId="134">
    <w:abstractNumId w:val="126"/>
    <w:lvlOverride w:ilvl="0">
      <w:startOverride w:val="5"/>
    </w:lvlOverride>
  </w:num>
  <w:num w:numId="135">
    <w:abstractNumId w:val="13"/>
  </w:num>
  <w:num w:numId="136">
    <w:abstractNumId w:val="80"/>
  </w:num>
  <w:num w:numId="137">
    <w:abstractNumId w:val="32"/>
  </w:num>
  <w:num w:numId="138">
    <w:abstractNumId w:val="123"/>
  </w:num>
  <w:num w:numId="139">
    <w:abstractNumId w:val="14"/>
  </w:num>
  <w:num w:numId="140">
    <w:abstractNumId w:val="119"/>
  </w:num>
  <w:num w:numId="141">
    <w:abstractNumId w:val="58"/>
    <w:lvlOverride w:ilvl="0">
      <w:startOverride w:val="2"/>
    </w:lvlOverride>
  </w:num>
  <w:num w:numId="142">
    <w:abstractNumId w:val="110"/>
  </w:num>
  <w:num w:numId="143">
    <w:abstractNumId w:val="75"/>
    <w:lvlOverride w:ilvl="0">
      <w:startOverride w:val="2"/>
    </w:lvlOverride>
  </w:num>
  <w:num w:numId="144">
    <w:abstractNumId w:val="27"/>
    <w:lvlOverride w:ilvl="0">
      <w:startOverride w:val="3"/>
    </w:lvlOverride>
  </w:num>
  <w:num w:numId="145">
    <w:abstractNumId w:val="21"/>
  </w:num>
  <w:num w:numId="146">
    <w:abstractNumId w:val="72"/>
    <w:lvlOverride w:ilvl="0">
      <w:startOverride w:val="11"/>
    </w:lvlOverride>
  </w:num>
  <w:num w:numId="147">
    <w:abstractNumId w:val="72"/>
    <w:lvlOverride w:ilvl="0">
      <w:startOverride w:val="12"/>
    </w:lvlOverride>
  </w:num>
  <w:num w:numId="148">
    <w:abstractNumId w:val="72"/>
    <w:lvlOverride w:ilvl="0">
      <w:startOverride w:val="13"/>
    </w:lvlOverride>
  </w:num>
  <w:num w:numId="149">
    <w:abstractNumId w:val="72"/>
    <w:lvlOverride w:ilvl="0">
      <w:startOverride w:val="14"/>
    </w:lvlOverride>
  </w:num>
  <w:num w:numId="150">
    <w:abstractNumId w:val="72"/>
    <w:lvlOverride w:ilvl="0">
      <w:startOverride w:val="15"/>
    </w:lvlOverride>
  </w:num>
  <w:num w:numId="151">
    <w:abstractNumId w:val="72"/>
    <w:lvlOverride w:ilvl="0">
      <w:startOverride w:val="16"/>
    </w:lvlOverride>
  </w:num>
  <w:num w:numId="152">
    <w:abstractNumId w:val="72"/>
    <w:lvlOverride w:ilvl="0">
      <w:startOverride w:val="17"/>
    </w:lvlOverride>
  </w:num>
  <w:num w:numId="153">
    <w:abstractNumId w:val="72"/>
    <w:lvlOverride w:ilvl="0">
      <w:startOverride w:val="18"/>
    </w:lvlOverride>
  </w:num>
  <w:num w:numId="154">
    <w:abstractNumId w:val="72"/>
    <w:lvlOverride w:ilvl="0">
      <w:startOverride w:val="19"/>
    </w:lvlOverride>
  </w:num>
  <w:num w:numId="155">
    <w:abstractNumId w:val="72"/>
    <w:lvlOverride w:ilvl="0">
      <w:startOverride w:val="20"/>
    </w:lvlOverride>
  </w:num>
  <w:num w:numId="156">
    <w:abstractNumId w:val="91"/>
  </w:num>
  <w:num w:numId="157">
    <w:abstractNumId w:val="33"/>
  </w:num>
  <w:num w:numId="158">
    <w:abstractNumId w:val="87"/>
  </w:num>
  <w:num w:numId="159">
    <w:abstractNumId w:val="118"/>
  </w:num>
  <w:num w:numId="160">
    <w:abstractNumId w:val="28"/>
    <w:lvlOverride w:ilvl="0">
      <w:startOverride w:val="2"/>
    </w:lvlOverride>
  </w:num>
  <w:num w:numId="161">
    <w:abstractNumId w:val="28"/>
    <w:lvlOverride w:ilvl="0">
      <w:startOverride w:val="3"/>
    </w:lvlOverride>
  </w:num>
  <w:num w:numId="162">
    <w:abstractNumId w:val="28"/>
    <w:lvlOverride w:ilvl="0">
      <w:startOverride w:val="4"/>
    </w:lvlOverride>
  </w:num>
  <w:num w:numId="163">
    <w:abstractNumId w:val="112"/>
  </w:num>
  <w:num w:numId="164">
    <w:abstractNumId w:val="62"/>
    <w:lvlOverride w:ilvl="0">
      <w:startOverride w:val="2"/>
    </w:lvlOverride>
  </w:num>
  <w:num w:numId="165">
    <w:abstractNumId w:val="62"/>
    <w:lvlOverride w:ilvl="0">
      <w:startOverride w:val="3"/>
    </w:lvlOverride>
  </w:num>
  <w:num w:numId="166">
    <w:abstractNumId w:val="67"/>
  </w:num>
  <w:num w:numId="167">
    <w:abstractNumId w:val="101"/>
  </w:num>
  <w:num w:numId="168">
    <w:abstractNumId w:val="43"/>
  </w:num>
  <w:num w:numId="169">
    <w:abstractNumId w:val="43"/>
    <w:lvlOverride w:ilvl="0">
      <w:startOverride w:val="2"/>
    </w:lvlOverride>
  </w:num>
  <w:num w:numId="170">
    <w:abstractNumId w:val="43"/>
    <w:lvlOverride w:ilvl="0">
      <w:startOverride w:val="3"/>
    </w:lvlOverride>
  </w:num>
  <w:num w:numId="171">
    <w:abstractNumId w:val="43"/>
    <w:lvlOverride w:ilvl="0">
      <w:startOverride w:val="4"/>
    </w:lvlOverride>
  </w:num>
  <w:num w:numId="172">
    <w:abstractNumId w:val="43"/>
    <w:lvlOverride w:ilvl="0">
      <w:startOverride w:val="5"/>
    </w:lvlOverride>
  </w:num>
  <w:num w:numId="173">
    <w:abstractNumId w:val="43"/>
    <w:lvlOverride w:ilvl="0">
      <w:startOverride w:val="6"/>
    </w:lvlOverride>
  </w:num>
  <w:num w:numId="174">
    <w:abstractNumId w:val="43"/>
    <w:lvlOverride w:ilvl="0">
      <w:startOverride w:val="7"/>
    </w:lvlOverride>
  </w:num>
  <w:num w:numId="175">
    <w:abstractNumId w:val="43"/>
    <w:lvlOverride w:ilvl="0">
      <w:startOverride w:val="8"/>
    </w:lvlOverride>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0E5"/>
    <w:rsid w:val="00003ADA"/>
    <w:rsid w:val="000071F8"/>
    <w:rsid w:val="00015826"/>
    <w:rsid w:val="000225DD"/>
    <w:rsid w:val="0002419A"/>
    <w:rsid w:val="0002641F"/>
    <w:rsid w:val="00032649"/>
    <w:rsid w:val="00033868"/>
    <w:rsid w:val="00033F05"/>
    <w:rsid w:val="00040950"/>
    <w:rsid w:val="0004301F"/>
    <w:rsid w:val="00043112"/>
    <w:rsid w:val="00053C2F"/>
    <w:rsid w:val="00056969"/>
    <w:rsid w:val="00056C3E"/>
    <w:rsid w:val="00061186"/>
    <w:rsid w:val="000649FD"/>
    <w:rsid w:val="00065021"/>
    <w:rsid w:val="00065987"/>
    <w:rsid w:val="000701C9"/>
    <w:rsid w:val="00077B6E"/>
    <w:rsid w:val="00080F0E"/>
    <w:rsid w:val="000839A9"/>
    <w:rsid w:val="00083A1F"/>
    <w:rsid w:val="00084750"/>
    <w:rsid w:val="0009051B"/>
    <w:rsid w:val="0009147B"/>
    <w:rsid w:val="00091569"/>
    <w:rsid w:val="00092D87"/>
    <w:rsid w:val="00094AE4"/>
    <w:rsid w:val="000B7DE2"/>
    <w:rsid w:val="000B7E96"/>
    <w:rsid w:val="000C378A"/>
    <w:rsid w:val="000C45DF"/>
    <w:rsid w:val="000C704C"/>
    <w:rsid w:val="000D5684"/>
    <w:rsid w:val="000E49E0"/>
    <w:rsid w:val="000E5871"/>
    <w:rsid w:val="000F1CB9"/>
    <w:rsid w:val="000F2B27"/>
    <w:rsid w:val="000F30A8"/>
    <w:rsid w:val="000F56D8"/>
    <w:rsid w:val="000F5ACE"/>
    <w:rsid w:val="000F6E03"/>
    <w:rsid w:val="000F77CE"/>
    <w:rsid w:val="001058FB"/>
    <w:rsid w:val="00110DD1"/>
    <w:rsid w:val="00111E3C"/>
    <w:rsid w:val="001124DC"/>
    <w:rsid w:val="001124F8"/>
    <w:rsid w:val="0011253F"/>
    <w:rsid w:val="00113BB4"/>
    <w:rsid w:val="00113D98"/>
    <w:rsid w:val="00113DE9"/>
    <w:rsid w:val="00121858"/>
    <w:rsid w:val="00124637"/>
    <w:rsid w:val="001248B3"/>
    <w:rsid w:val="0013030E"/>
    <w:rsid w:val="00142716"/>
    <w:rsid w:val="00145AFC"/>
    <w:rsid w:val="0014771E"/>
    <w:rsid w:val="00147B5B"/>
    <w:rsid w:val="00147EFD"/>
    <w:rsid w:val="00150B7E"/>
    <w:rsid w:val="00151B93"/>
    <w:rsid w:val="00153423"/>
    <w:rsid w:val="001603A2"/>
    <w:rsid w:val="0016043C"/>
    <w:rsid w:val="001605A6"/>
    <w:rsid w:val="00161BA2"/>
    <w:rsid w:val="001621D7"/>
    <w:rsid w:val="00165992"/>
    <w:rsid w:val="00166A21"/>
    <w:rsid w:val="00175890"/>
    <w:rsid w:val="00182AD3"/>
    <w:rsid w:val="001847D2"/>
    <w:rsid w:val="00185E26"/>
    <w:rsid w:val="001927A3"/>
    <w:rsid w:val="00192AD6"/>
    <w:rsid w:val="00195FAD"/>
    <w:rsid w:val="001A51A5"/>
    <w:rsid w:val="001A6846"/>
    <w:rsid w:val="001B0421"/>
    <w:rsid w:val="001B383A"/>
    <w:rsid w:val="001B7A10"/>
    <w:rsid w:val="001C008B"/>
    <w:rsid w:val="001C0A69"/>
    <w:rsid w:val="001C102F"/>
    <w:rsid w:val="001C2E19"/>
    <w:rsid w:val="001C5517"/>
    <w:rsid w:val="001D2773"/>
    <w:rsid w:val="001E1353"/>
    <w:rsid w:val="001E1E5D"/>
    <w:rsid w:val="001F73C9"/>
    <w:rsid w:val="001F7908"/>
    <w:rsid w:val="002047B3"/>
    <w:rsid w:val="00213252"/>
    <w:rsid w:val="002147A5"/>
    <w:rsid w:val="002149C2"/>
    <w:rsid w:val="00220C99"/>
    <w:rsid w:val="00220D98"/>
    <w:rsid w:val="00221B9E"/>
    <w:rsid w:val="00224BD3"/>
    <w:rsid w:val="00227552"/>
    <w:rsid w:val="0023349A"/>
    <w:rsid w:val="00233523"/>
    <w:rsid w:val="00235AA5"/>
    <w:rsid w:val="00235B14"/>
    <w:rsid w:val="00237152"/>
    <w:rsid w:val="002411C7"/>
    <w:rsid w:val="002502B8"/>
    <w:rsid w:val="002527AE"/>
    <w:rsid w:val="002670C7"/>
    <w:rsid w:val="00273569"/>
    <w:rsid w:val="00273CEF"/>
    <w:rsid w:val="0027418B"/>
    <w:rsid w:val="002757BD"/>
    <w:rsid w:val="00275C3B"/>
    <w:rsid w:val="00275D63"/>
    <w:rsid w:val="00282AFC"/>
    <w:rsid w:val="00283520"/>
    <w:rsid w:val="00287AFF"/>
    <w:rsid w:val="00290E22"/>
    <w:rsid w:val="002921CC"/>
    <w:rsid w:val="00294C59"/>
    <w:rsid w:val="00296600"/>
    <w:rsid w:val="002A11A5"/>
    <w:rsid w:val="002A436D"/>
    <w:rsid w:val="002A7C03"/>
    <w:rsid w:val="002B17E4"/>
    <w:rsid w:val="002B279E"/>
    <w:rsid w:val="002B3C2B"/>
    <w:rsid w:val="002B5819"/>
    <w:rsid w:val="002D4D90"/>
    <w:rsid w:val="002E0B91"/>
    <w:rsid w:val="002E24E6"/>
    <w:rsid w:val="002E5987"/>
    <w:rsid w:val="002F21BC"/>
    <w:rsid w:val="002F45C9"/>
    <w:rsid w:val="002F77FA"/>
    <w:rsid w:val="0030321D"/>
    <w:rsid w:val="003046AF"/>
    <w:rsid w:val="003053D5"/>
    <w:rsid w:val="00311DF7"/>
    <w:rsid w:val="00312320"/>
    <w:rsid w:val="00317D71"/>
    <w:rsid w:val="003235E7"/>
    <w:rsid w:val="00330082"/>
    <w:rsid w:val="00333C29"/>
    <w:rsid w:val="00336999"/>
    <w:rsid w:val="00341EEF"/>
    <w:rsid w:val="00343BB2"/>
    <w:rsid w:val="00343E79"/>
    <w:rsid w:val="00347E37"/>
    <w:rsid w:val="003525DA"/>
    <w:rsid w:val="003547CE"/>
    <w:rsid w:val="00355602"/>
    <w:rsid w:val="003558E3"/>
    <w:rsid w:val="00356CDC"/>
    <w:rsid w:val="00356E4B"/>
    <w:rsid w:val="00357D00"/>
    <w:rsid w:val="003647D8"/>
    <w:rsid w:val="003670F5"/>
    <w:rsid w:val="00371896"/>
    <w:rsid w:val="00373CA1"/>
    <w:rsid w:val="00382475"/>
    <w:rsid w:val="00383E39"/>
    <w:rsid w:val="003872C8"/>
    <w:rsid w:val="00392001"/>
    <w:rsid w:val="003A461E"/>
    <w:rsid w:val="003A4861"/>
    <w:rsid w:val="003A6101"/>
    <w:rsid w:val="003A73DA"/>
    <w:rsid w:val="003B0889"/>
    <w:rsid w:val="003B321E"/>
    <w:rsid w:val="003B3DB0"/>
    <w:rsid w:val="003B4100"/>
    <w:rsid w:val="003C0F37"/>
    <w:rsid w:val="003C0FA7"/>
    <w:rsid w:val="003C1398"/>
    <w:rsid w:val="003C3C52"/>
    <w:rsid w:val="003C504C"/>
    <w:rsid w:val="003D51C1"/>
    <w:rsid w:val="003E0642"/>
    <w:rsid w:val="003E442B"/>
    <w:rsid w:val="003E580A"/>
    <w:rsid w:val="003E589C"/>
    <w:rsid w:val="003E5DD5"/>
    <w:rsid w:val="003F54B4"/>
    <w:rsid w:val="003F6384"/>
    <w:rsid w:val="003F6BE0"/>
    <w:rsid w:val="00410791"/>
    <w:rsid w:val="0041096C"/>
    <w:rsid w:val="004138EA"/>
    <w:rsid w:val="00413CD7"/>
    <w:rsid w:val="0041759A"/>
    <w:rsid w:val="00420834"/>
    <w:rsid w:val="00424CC4"/>
    <w:rsid w:val="00430B0A"/>
    <w:rsid w:val="00431306"/>
    <w:rsid w:val="004337A6"/>
    <w:rsid w:val="0043766C"/>
    <w:rsid w:val="00442680"/>
    <w:rsid w:val="00443B67"/>
    <w:rsid w:val="00446A93"/>
    <w:rsid w:val="00450D00"/>
    <w:rsid w:val="004541E6"/>
    <w:rsid w:val="0045543F"/>
    <w:rsid w:val="004562AE"/>
    <w:rsid w:val="00460879"/>
    <w:rsid w:val="00462FCF"/>
    <w:rsid w:val="00466309"/>
    <w:rsid w:val="00466FC0"/>
    <w:rsid w:val="00467CF2"/>
    <w:rsid w:val="004724BF"/>
    <w:rsid w:val="0047630E"/>
    <w:rsid w:val="00484702"/>
    <w:rsid w:val="004868FE"/>
    <w:rsid w:val="0049125D"/>
    <w:rsid w:val="004964E9"/>
    <w:rsid w:val="00497056"/>
    <w:rsid w:val="004A1B2E"/>
    <w:rsid w:val="004A3420"/>
    <w:rsid w:val="004B0814"/>
    <w:rsid w:val="004C15D3"/>
    <w:rsid w:val="004C18C9"/>
    <w:rsid w:val="004C2D22"/>
    <w:rsid w:val="004C4AE4"/>
    <w:rsid w:val="004C57EB"/>
    <w:rsid w:val="004D3B5E"/>
    <w:rsid w:val="004D3F14"/>
    <w:rsid w:val="004D535A"/>
    <w:rsid w:val="004D54B5"/>
    <w:rsid w:val="004D6FB2"/>
    <w:rsid w:val="004F0D89"/>
    <w:rsid w:val="004F0F8F"/>
    <w:rsid w:val="004F27E5"/>
    <w:rsid w:val="004F2A23"/>
    <w:rsid w:val="004F6CFB"/>
    <w:rsid w:val="00500BF5"/>
    <w:rsid w:val="005044CB"/>
    <w:rsid w:val="00507A31"/>
    <w:rsid w:val="005119C8"/>
    <w:rsid w:val="00512DF3"/>
    <w:rsid w:val="00516F49"/>
    <w:rsid w:val="005242C5"/>
    <w:rsid w:val="0052661D"/>
    <w:rsid w:val="00527F91"/>
    <w:rsid w:val="00530EF1"/>
    <w:rsid w:val="00532516"/>
    <w:rsid w:val="00533EE8"/>
    <w:rsid w:val="00534909"/>
    <w:rsid w:val="00534AC1"/>
    <w:rsid w:val="00537E5F"/>
    <w:rsid w:val="00540F8E"/>
    <w:rsid w:val="00542B05"/>
    <w:rsid w:val="00544276"/>
    <w:rsid w:val="00550121"/>
    <w:rsid w:val="00562554"/>
    <w:rsid w:val="00570E22"/>
    <w:rsid w:val="00573A73"/>
    <w:rsid w:val="00580BBE"/>
    <w:rsid w:val="005877F5"/>
    <w:rsid w:val="00592BB3"/>
    <w:rsid w:val="00595C14"/>
    <w:rsid w:val="00596600"/>
    <w:rsid w:val="005A3377"/>
    <w:rsid w:val="005A3792"/>
    <w:rsid w:val="005B0366"/>
    <w:rsid w:val="005B252C"/>
    <w:rsid w:val="005B3A9A"/>
    <w:rsid w:val="005B485D"/>
    <w:rsid w:val="005C3848"/>
    <w:rsid w:val="005D3727"/>
    <w:rsid w:val="005D3D2E"/>
    <w:rsid w:val="005D47EF"/>
    <w:rsid w:val="005D51E8"/>
    <w:rsid w:val="005E0B98"/>
    <w:rsid w:val="005E17EC"/>
    <w:rsid w:val="005E2011"/>
    <w:rsid w:val="005E2635"/>
    <w:rsid w:val="005E2FF8"/>
    <w:rsid w:val="005E320E"/>
    <w:rsid w:val="005F05C5"/>
    <w:rsid w:val="005F121A"/>
    <w:rsid w:val="005F36E2"/>
    <w:rsid w:val="005F3A58"/>
    <w:rsid w:val="005F3B06"/>
    <w:rsid w:val="005F7DF4"/>
    <w:rsid w:val="00600A4A"/>
    <w:rsid w:val="0060292F"/>
    <w:rsid w:val="00606F47"/>
    <w:rsid w:val="0061497A"/>
    <w:rsid w:val="0062000C"/>
    <w:rsid w:val="006214BF"/>
    <w:rsid w:val="0062721E"/>
    <w:rsid w:val="006308C4"/>
    <w:rsid w:val="0063470F"/>
    <w:rsid w:val="00635E38"/>
    <w:rsid w:val="00637184"/>
    <w:rsid w:val="006469F6"/>
    <w:rsid w:val="00653254"/>
    <w:rsid w:val="00655B74"/>
    <w:rsid w:val="0066127E"/>
    <w:rsid w:val="006615CD"/>
    <w:rsid w:val="00661719"/>
    <w:rsid w:val="006657D1"/>
    <w:rsid w:val="00670B45"/>
    <w:rsid w:val="006739F8"/>
    <w:rsid w:val="00675290"/>
    <w:rsid w:val="0067670C"/>
    <w:rsid w:val="006807D6"/>
    <w:rsid w:val="0068213E"/>
    <w:rsid w:val="00682230"/>
    <w:rsid w:val="006826FA"/>
    <w:rsid w:val="00682FE6"/>
    <w:rsid w:val="0068376D"/>
    <w:rsid w:val="00683B89"/>
    <w:rsid w:val="00685DD5"/>
    <w:rsid w:val="006908A4"/>
    <w:rsid w:val="00691119"/>
    <w:rsid w:val="00695503"/>
    <w:rsid w:val="006A33B7"/>
    <w:rsid w:val="006A4CCD"/>
    <w:rsid w:val="006B0B5F"/>
    <w:rsid w:val="006B155B"/>
    <w:rsid w:val="006B34A9"/>
    <w:rsid w:val="006B5C92"/>
    <w:rsid w:val="006B64E2"/>
    <w:rsid w:val="006C0DAF"/>
    <w:rsid w:val="006C205C"/>
    <w:rsid w:val="006C30C4"/>
    <w:rsid w:val="006C5D63"/>
    <w:rsid w:val="006C6E2D"/>
    <w:rsid w:val="006E6C8D"/>
    <w:rsid w:val="006E734F"/>
    <w:rsid w:val="006F7990"/>
    <w:rsid w:val="007003E0"/>
    <w:rsid w:val="00706618"/>
    <w:rsid w:val="007117D6"/>
    <w:rsid w:val="00711B0E"/>
    <w:rsid w:val="007171D9"/>
    <w:rsid w:val="007202FB"/>
    <w:rsid w:val="00722106"/>
    <w:rsid w:val="007253E7"/>
    <w:rsid w:val="00726740"/>
    <w:rsid w:val="00727692"/>
    <w:rsid w:val="00727C92"/>
    <w:rsid w:val="00730B86"/>
    <w:rsid w:val="007328FE"/>
    <w:rsid w:val="00733B14"/>
    <w:rsid w:val="007464FC"/>
    <w:rsid w:val="00746A80"/>
    <w:rsid w:val="007507C4"/>
    <w:rsid w:val="007517AA"/>
    <w:rsid w:val="007532E0"/>
    <w:rsid w:val="00753E0E"/>
    <w:rsid w:val="00753F1F"/>
    <w:rsid w:val="00754084"/>
    <w:rsid w:val="007625C5"/>
    <w:rsid w:val="00767814"/>
    <w:rsid w:val="00770450"/>
    <w:rsid w:val="0077708B"/>
    <w:rsid w:val="0077711A"/>
    <w:rsid w:val="007812FA"/>
    <w:rsid w:val="007816B8"/>
    <w:rsid w:val="0078231D"/>
    <w:rsid w:val="007833A1"/>
    <w:rsid w:val="00792E63"/>
    <w:rsid w:val="00795B1A"/>
    <w:rsid w:val="007A5C2D"/>
    <w:rsid w:val="007B38B8"/>
    <w:rsid w:val="007B4F60"/>
    <w:rsid w:val="007B789F"/>
    <w:rsid w:val="007C0F50"/>
    <w:rsid w:val="007C27B8"/>
    <w:rsid w:val="007C50AE"/>
    <w:rsid w:val="007C5323"/>
    <w:rsid w:val="007C7C1A"/>
    <w:rsid w:val="007D3B68"/>
    <w:rsid w:val="007D5311"/>
    <w:rsid w:val="007D6C11"/>
    <w:rsid w:val="007E1C12"/>
    <w:rsid w:val="007E308E"/>
    <w:rsid w:val="007E448A"/>
    <w:rsid w:val="007E6BEA"/>
    <w:rsid w:val="007F2DE5"/>
    <w:rsid w:val="007F65A4"/>
    <w:rsid w:val="008019CE"/>
    <w:rsid w:val="008075C0"/>
    <w:rsid w:val="0080789B"/>
    <w:rsid w:val="008166B1"/>
    <w:rsid w:val="00820F94"/>
    <w:rsid w:val="00823523"/>
    <w:rsid w:val="0083258D"/>
    <w:rsid w:val="00832C79"/>
    <w:rsid w:val="00833EAB"/>
    <w:rsid w:val="00835135"/>
    <w:rsid w:val="0083553A"/>
    <w:rsid w:val="00840115"/>
    <w:rsid w:val="00844303"/>
    <w:rsid w:val="0084704E"/>
    <w:rsid w:val="00847535"/>
    <w:rsid w:val="00847DA8"/>
    <w:rsid w:val="008615E9"/>
    <w:rsid w:val="00863B4F"/>
    <w:rsid w:val="00866C07"/>
    <w:rsid w:val="0086787E"/>
    <w:rsid w:val="00885781"/>
    <w:rsid w:val="00885AF8"/>
    <w:rsid w:val="00886B18"/>
    <w:rsid w:val="008901EE"/>
    <w:rsid w:val="0089222C"/>
    <w:rsid w:val="00896619"/>
    <w:rsid w:val="00897F09"/>
    <w:rsid w:val="008A180E"/>
    <w:rsid w:val="008B07EF"/>
    <w:rsid w:val="008B17DC"/>
    <w:rsid w:val="008B5271"/>
    <w:rsid w:val="008B6C1D"/>
    <w:rsid w:val="008B74DD"/>
    <w:rsid w:val="008C4356"/>
    <w:rsid w:val="008C653D"/>
    <w:rsid w:val="008D0DCF"/>
    <w:rsid w:val="008D1F3C"/>
    <w:rsid w:val="008D249A"/>
    <w:rsid w:val="008D2A90"/>
    <w:rsid w:val="008D49AC"/>
    <w:rsid w:val="008D753A"/>
    <w:rsid w:val="008E0FBF"/>
    <w:rsid w:val="008E5A72"/>
    <w:rsid w:val="008E64BB"/>
    <w:rsid w:val="008F0891"/>
    <w:rsid w:val="008F19E9"/>
    <w:rsid w:val="008F1AAE"/>
    <w:rsid w:val="008F2905"/>
    <w:rsid w:val="009176C7"/>
    <w:rsid w:val="00931048"/>
    <w:rsid w:val="00933ADB"/>
    <w:rsid w:val="00945426"/>
    <w:rsid w:val="00947D0E"/>
    <w:rsid w:val="00950184"/>
    <w:rsid w:val="00950703"/>
    <w:rsid w:val="00954CDF"/>
    <w:rsid w:val="0096514A"/>
    <w:rsid w:val="009651EE"/>
    <w:rsid w:val="00965F83"/>
    <w:rsid w:val="00971D9A"/>
    <w:rsid w:val="00972622"/>
    <w:rsid w:val="00972CF7"/>
    <w:rsid w:val="00974066"/>
    <w:rsid w:val="00975F75"/>
    <w:rsid w:val="00977874"/>
    <w:rsid w:val="00984AA6"/>
    <w:rsid w:val="00984C86"/>
    <w:rsid w:val="00985388"/>
    <w:rsid w:val="009863A9"/>
    <w:rsid w:val="00986F6E"/>
    <w:rsid w:val="00990F31"/>
    <w:rsid w:val="009A2E8A"/>
    <w:rsid w:val="009A6BED"/>
    <w:rsid w:val="009A77C3"/>
    <w:rsid w:val="009B07CC"/>
    <w:rsid w:val="009B5211"/>
    <w:rsid w:val="009B673E"/>
    <w:rsid w:val="009B74A9"/>
    <w:rsid w:val="009B7821"/>
    <w:rsid w:val="009C0FC4"/>
    <w:rsid w:val="009C37DA"/>
    <w:rsid w:val="009C6786"/>
    <w:rsid w:val="009D0510"/>
    <w:rsid w:val="009D1D04"/>
    <w:rsid w:val="009D44EF"/>
    <w:rsid w:val="009D659E"/>
    <w:rsid w:val="009D7E4B"/>
    <w:rsid w:val="009E6005"/>
    <w:rsid w:val="00A01ACD"/>
    <w:rsid w:val="00A10143"/>
    <w:rsid w:val="00A15B32"/>
    <w:rsid w:val="00A21048"/>
    <w:rsid w:val="00A27028"/>
    <w:rsid w:val="00A27478"/>
    <w:rsid w:val="00A27724"/>
    <w:rsid w:val="00A3481F"/>
    <w:rsid w:val="00A350A3"/>
    <w:rsid w:val="00A3695E"/>
    <w:rsid w:val="00A463B3"/>
    <w:rsid w:val="00A51B66"/>
    <w:rsid w:val="00A54027"/>
    <w:rsid w:val="00A540EC"/>
    <w:rsid w:val="00A552AA"/>
    <w:rsid w:val="00A56388"/>
    <w:rsid w:val="00A61694"/>
    <w:rsid w:val="00A64B86"/>
    <w:rsid w:val="00A67851"/>
    <w:rsid w:val="00A724A5"/>
    <w:rsid w:val="00A73AE6"/>
    <w:rsid w:val="00A740F5"/>
    <w:rsid w:val="00A754C6"/>
    <w:rsid w:val="00A83307"/>
    <w:rsid w:val="00A8367C"/>
    <w:rsid w:val="00A90D26"/>
    <w:rsid w:val="00A952AA"/>
    <w:rsid w:val="00A954CF"/>
    <w:rsid w:val="00A95902"/>
    <w:rsid w:val="00A96C2D"/>
    <w:rsid w:val="00AA1040"/>
    <w:rsid w:val="00AA2406"/>
    <w:rsid w:val="00AA2FE0"/>
    <w:rsid w:val="00AA33CA"/>
    <w:rsid w:val="00AA3EB5"/>
    <w:rsid w:val="00AA4F53"/>
    <w:rsid w:val="00AA5059"/>
    <w:rsid w:val="00AA5A04"/>
    <w:rsid w:val="00AA6296"/>
    <w:rsid w:val="00AA783B"/>
    <w:rsid w:val="00AB3E9D"/>
    <w:rsid w:val="00AB612B"/>
    <w:rsid w:val="00AB6AA0"/>
    <w:rsid w:val="00AB7529"/>
    <w:rsid w:val="00AC12ED"/>
    <w:rsid w:val="00AC5973"/>
    <w:rsid w:val="00AC6457"/>
    <w:rsid w:val="00AC7355"/>
    <w:rsid w:val="00AD150A"/>
    <w:rsid w:val="00AD2EC4"/>
    <w:rsid w:val="00AD329D"/>
    <w:rsid w:val="00AE1F68"/>
    <w:rsid w:val="00AE569B"/>
    <w:rsid w:val="00AF05F0"/>
    <w:rsid w:val="00AF1634"/>
    <w:rsid w:val="00AF25DF"/>
    <w:rsid w:val="00AF4131"/>
    <w:rsid w:val="00AF5A44"/>
    <w:rsid w:val="00B07F68"/>
    <w:rsid w:val="00B115CD"/>
    <w:rsid w:val="00B12D57"/>
    <w:rsid w:val="00B12F17"/>
    <w:rsid w:val="00B147D2"/>
    <w:rsid w:val="00B16E4A"/>
    <w:rsid w:val="00B278C0"/>
    <w:rsid w:val="00B30019"/>
    <w:rsid w:val="00B34788"/>
    <w:rsid w:val="00B36B61"/>
    <w:rsid w:val="00B42415"/>
    <w:rsid w:val="00B5095B"/>
    <w:rsid w:val="00B517D4"/>
    <w:rsid w:val="00B570C6"/>
    <w:rsid w:val="00B60C8B"/>
    <w:rsid w:val="00B67054"/>
    <w:rsid w:val="00B678C9"/>
    <w:rsid w:val="00B71C22"/>
    <w:rsid w:val="00B73459"/>
    <w:rsid w:val="00B774B1"/>
    <w:rsid w:val="00B82EA2"/>
    <w:rsid w:val="00B837BE"/>
    <w:rsid w:val="00B83B62"/>
    <w:rsid w:val="00B84C42"/>
    <w:rsid w:val="00B85E59"/>
    <w:rsid w:val="00B91A78"/>
    <w:rsid w:val="00B947C7"/>
    <w:rsid w:val="00BA0A84"/>
    <w:rsid w:val="00BA117A"/>
    <w:rsid w:val="00BA182B"/>
    <w:rsid w:val="00BA5FB9"/>
    <w:rsid w:val="00BB0350"/>
    <w:rsid w:val="00BB137F"/>
    <w:rsid w:val="00BB5927"/>
    <w:rsid w:val="00BB5FAD"/>
    <w:rsid w:val="00BB647E"/>
    <w:rsid w:val="00BC215D"/>
    <w:rsid w:val="00BC4658"/>
    <w:rsid w:val="00BC4912"/>
    <w:rsid w:val="00BD009E"/>
    <w:rsid w:val="00BD034B"/>
    <w:rsid w:val="00BD1782"/>
    <w:rsid w:val="00BD1D4A"/>
    <w:rsid w:val="00BE0911"/>
    <w:rsid w:val="00BE3CFC"/>
    <w:rsid w:val="00BF03FD"/>
    <w:rsid w:val="00BF0E8A"/>
    <w:rsid w:val="00BF1F3E"/>
    <w:rsid w:val="00BF32E0"/>
    <w:rsid w:val="00BF5D4A"/>
    <w:rsid w:val="00C04FDD"/>
    <w:rsid w:val="00C07118"/>
    <w:rsid w:val="00C07247"/>
    <w:rsid w:val="00C16319"/>
    <w:rsid w:val="00C16E64"/>
    <w:rsid w:val="00C22E52"/>
    <w:rsid w:val="00C24FB1"/>
    <w:rsid w:val="00C31E35"/>
    <w:rsid w:val="00C3234B"/>
    <w:rsid w:val="00C3579C"/>
    <w:rsid w:val="00C408BD"/>
    <w:rsid w:val="00C428B4"/>
    <w:rsid w:val="00C47340"/>
    <w:rsid w:val="00C50B8F"/>
    <w:rsid w:val="00C51A9F"/>
    <w:rsid w:val="00C53BCE"/>
    <w:rsid w:val="00C55CAB"/>
    <w:rsid w:val="00C63995"/>
    <w:rsid w:val="00C63DE9"/>
    <w:rsid w:val="00C641F9"/>
    <w:rsid w:val="00C64AA2"/>
    <w:rsid w:val="00C64CE9"/>
    <w:rsid w:val="00C65549"/>
    <w:rsid w:val="00C65FEA"/>
    <w:rsid w:val="00C67F5F"/>
    <w:rsid w:val="00C82135"/>
    <w:rsid w:val="00C82885"/>
    <w:rsid w:val="00C82FB4"/>
    <w:rsid w:val="00C839F9"/>
    <w:rsid w:val="00C87725"/>
    <w:rsid w:val="00C904D0"/>
    <w:rsid w:val="00C91E54"/>
    <w:rsid w:val="00C91EB6"/>
    <w:rsid w:val="00C97C49"/>
    <w:rsid w:val="00CA1DC9"/>
    <w:rsid w:val="00CA375C"/>
    <w:rsid w:val="00CA377B"/>
    <w:rsid w:val="00CA6D87"/>
    <w:rsid w:val="00CB0D3A"/>
    <w:rsid w:val="00CC1505"/>
    <w:rsid w:val="00CD04F0"/>
    <w:rsid w:val="00CD4949"/>
    <w:rsid w:val="00CD51E7"/>
    <w:rsid w:val="00CD7AC7"/>
    <w:rsid w:val="00CE0489"/>
    <w:rsid w:val="00CE1199"/>
    <w:rsid w:val="00CE1CA2"/>
    <w:rsid w:val="00CE1F8E"/>
    <w:rsid w:val="00CE3C07"/>
    <w:rsid w:val="00CE3F91"/>
    <w:rsid w:val="00CE5133"/>
    <w:rsid w:val="00CF347F"/>
    <w:rsid w:val="00CF4CCE"/>
    <w:rsid w:val="00CF653C"/>
    <w:rsid w:val="00CF6BF3"/>
    <w:rsid w:val="00D04CC5"/>
    <w:rsid w:val="00D0530D"/>
    <w:rsid w:val="00D0630A"/>
    <w:rsid w:val="00D11EB7"/>
    <w:rsid w:val="00D14034"/>
    <w:rsid w:val="00D1487B"/>
    <w:rsid w:val="00D16EE0"/>
    <w:rsid w:val="00D225C5"/>
    <w:rsid w:val="00D23D16"/>
    <w:rsid w:val="00D24779"/>
    <w:rsid w:val="00D3487A"/>
    <w:rsid w:val="00D37A1E"/>
    <w:rsid w:val="00D4235A"/>
    <w:rsid w:val="00D51101"/>
    <w:rsid w:val="00D520E8"/>
    <w:rsid w:val="00D529FC"/>
    <w:rsid w:val="00D551B1"/>
    <w:rsid w:val="00D5781C"/>
    <w:rsid w:val="00D5789F"/>
    <w:rsid w:val="00D60CF6"/>
    <w:rsid w:val="00D6127F"/>
    <w:rsid w:val="00D61C7A"/>
    <w:rsid w:val="00D62D1E"/>
    <w:rsid w:val="00D63602"/>
    <w:rsid w:val="00D64149"/>
    <w:rsid w:val="00D74D51"/>
    <w:rsid w:val="00D751A1"/>
    <w:rsid w:val="00D7693C"/>
    <w:rsid w:val="00D80E5B"/>
    <w:rsid w:val="00D90699"/>
    <w:rsid w:val="00D914FE"/>
    <w:rsid w:val="00D93EF8"/>
    <w:rsid w:val="00D942D8"/>
    <w:rsid w:val="00D962DB"/>
    <w:rsid w:val="00D97B58"/>
    <w:rsid w:val="00DA017B"/>
    <w:rsid w:val="00DA1172"/>
    <w:rsid w:val="00DA1AA9"/>
    <w:rsid w:val="00DA4C3B"/>
    <w:rsid w:val="00DB12FB"/>
    <w:rsid w:val="00DB30D0"/>
    <w:rsid w:val="00DB5AEA"/>
    <w:rsid w:val="00DC18E0"/>
    <w:rsid w:val="00DC212A"/>
    <w:rsid w:val="00DC49B4"/>
    <w:rsid w:val="00DC625D"/>
    <w:rsid w:val="00DC6BE7"/>
    <w:rsid w:val="00DD10A2"/>
    <w:rsid w:val="00DD167E"/>
    <w:rsid w:val="00DD18DE"/>
    <w:rsid w:val="00DD1E25"/>
    <w:rsid w:val="00DD22BD"/>
    <w:rsid w:val="00DD383B"/>
    <w:rsid w:val="00DD42F1"/>
    <w:rsid w:val="00DD5954"/>
    <w:rsid w:val="00DD671F"/>
    <w:rsid w:val="00DD7307"/>
    <w:rsid w:val="00DE3C5D"/>
    <w:rsid w:val="00DE4010"/>
    <w:rsid w:val="00DE6527"/>
    <w:rsid w:val="00DF037A"/>
    <w:rsid w:val="00E02CFE"/>
    <w:rsid w:val="00E04143"/>
    <w:rsid w:val="00E0447F"/>
    <w:rsid w:val="00E07EF9"/>
    <w:rsid w:val="00E139CA"/>
    <w:rsid w:val="00E16E55"/>
    <w:rsid w:val="00E17C25"/>
    <w:rsid w:val="00E20822"/>
    <w:rsid w:val="00E2082D"/>
    <w:rsid w:val="00E20F08"/>
    <w:rsid w:val="00E2212E"/>
    <w:rsid w:val="00E224B9"/>
    <w:rsid w:val="00E23C77"/>
    <w:rsid w:val="00E354F9"/>
    <w:rsid w:val="00E364DB"/>
    <w:rsid w:val="00E371BA"/>
    <w:rsid w:val="00E53753"/>
    <w:rsid w:val="00E5590A"/>
    <w:rsid w:val="00E61CC0"/>
    <w:rsid w:val="00E6261B"/>
    <w:rsid w:val="00E63096"/>
    <w:rsid w:val="00E656A7"/>
    <w:rsid w:val="00E707DF"/>
    <w:rsid w:val="00E74517"/>
    <w:rsid w:val="00E76DA3"/>
    <w:rsid w:val="00E8749C"/>
    <w:rsid w:val="00E87BC6"/>
    <w:rsid w:val="00E920AC"/>
    <w:rsid w:val="00E9229D"/>
    <w:rsid w:val="00E937AB"/>
    <w:rsid w:val="00EA082C"/>
    <w:rsid w:val="00EA1E07"/>
    <w:rsid w:val="00EA2540"/>
    <w:rsid w:val="00EA2934"/>
    <w:rsid w:val="00EA78E2"/>
    <w:rsid w:val="00EB0B58"/>
    <w:rsid w:val="00EB4029"/>
    <w:rsid w:val="00EC0870"/>
    <w:rsid w:val="00EC121C"/>
    <w:rsid w:val="00EC3482"/>
    <w:rsid w:val="00EC4078"/>
    <w:rsid w:val="00EC6A53"/>
    <w:rsid w:val="00ED4BB9"/>
    <w:rsid w:val="00ED50AE"/>
    <w:rsid w:val="00ED7041"/>
    <w:rsid w:val="00EE363E"/>
    <w:rsid w:val="00EE6B46"/>
    <w:rsid w:val="00EF58A7"/>
    <w:rsid w:val="00F02E42"/>
    <w:rsid w:val="00F0340B"/>
    <w:rsid w:val="00F05787"/>
    <w:rsid w:val="00F10C6B"/>
    <w:rsid w:val="00F118FC"/>
    <w:rsid w:val="00F11C13"/>
    <w:rsid w:val="00F15277"/>
    <w:rsid w:val="00F16031"/>
    <w:rsid w:val="00F203E9"/>
    <w:rsid w:val="00F2208D"/>
    <w:rsid w:val="00F24F67"/>
    <w:rsid w:val="00F25222"/>
    <w:rsid w:val="00F313C4"/>
    <w:rsid w:val="00F35708"/>
    <w:rsid w:val="00F41A4D"/>
    <w:rsid w:val="00F42E0E"/>
    <w:rsid w:val="00F51852"/>
    <w:rsid w:val="00F62210"/>
    <w:rsid w:val="00F633FF"/>
    <w:rsid w:val="00F64334"/>
    <w:rsid w:val="00F659C8"/>
    <w:rsid w:val="00F661E1"/>
    <w:rsid w:val="00F71B1A"/>
    <w:rsid w:val="00F77CE6"/>
    <w:rsid w:val="00F815C5"/>
    <w:rsid w:val="00F959F1"/>
    <w:rsid w:val="00F96DF5"/>
    <w:rsid w:val="00F96E5F"/>
    <w:rsid w:val="00F97B63"/>
    <w:rsid w:val="00FA2748"/>
    <w:rsid w:val="00FA2FAE"/>
    <w:rsid w:val="00FA3D9E"/>
    <w:rsid w:val="00FA5B89"/>
    <w:rsid w:val="00FA5F0C"/>
    <w:rsid w:val="00FA6533"/>
    <w:rsid w:val="00FA65DB"/>
    <w:rsid w:val="00FA7A8D"/>
    <w:rsid w:val="00FB2A3E"/>
    <w:rsid w:val="00FB796B"/>
    <w:rsid w:val="00FD262B"/>
    <w:rsid w:val="00FD573E"/>
    <w:rsid w:val="00FE0416"/>
    <w:rsid w:val="00FE70BE"/>
    <w:rsid w:val="00FF1095"/>
    <w:rsid w:val="00FF5E7D"/>
    <w:rsid w:val="00FF60B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72FFB74"/>
  <w15:docId w15:val="{2022DCE2-03CC-4270-A47F-CDA0FCBA6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E1199"/>
    <w:rPr>
      <w:rFonts w:ascii="Times New Roman" w:eastAsia="Times New Roman" w:hAnsi="Times New Roman"/>
      <w:sz w:val="24"/>
      <w:szCs w:val="24"/>
    </w:rPr>
  </w:style>
  <w:style w:type="paragraph" w:styleId="1">
    <w:name w:val="heading 1"/>
    <w:basedOn w:val="a"/>
    <w:next w:val="a"/>
    <w:link w:val="10"/>
    <w:uiPriority w:val="9"/>
    <w:qFormat/>
    <w:rsid w:val="007B38B8"/>
    <w:pPr>
      <w:keepNext/>
      <w:keepLines/>
      <w:autoSpaceDE w:val="0"/>
      <w:autoSpaceDN w:val="0"/>
      <w:adjustRightInd w:val="0"/>
      <w:spacing w:before="480"/>
      <w:outlineLvl w:val="0"/>
    </w:pPr>
    <w:rPr>
      <w:rFonts w:ascii="Cambria" w:hAnsi="Cambria"/>
      <w:b/>
      <w:bCs/>
      <w:color w:val="365F91"/>
      <w:sz w:val="28"/>
      <w:szCs w:val="28"/>
      <w:lang w:eastAsia="en-US"/>
    </w:rPr>
  </w:style>
  <w:style w:type="paragraph" w:styleId="2">
    <w:name w:val="heading 2"/>
    <w:basedOn w:val="a"/>
    <w:next w:val="a"/>
    <w:link w:val="20"/>
    <w:uiPriority w:val="9"/>
    <w:unhideWhenUsed/>
    <w:qFormat/>
    <w:rsid w:val="007B38B8"/>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unhideWhenUsed/>
    <w:qFormat/>
    <w:rsid w:val="007B38B8"/>
    <w:pPr>
      <w:keepNext/>
      <w:keepLines/>
      <w:overflowPunct w:val="0"/>
      <w:autoSpaceDE w:val="0"/>
      <w:autoSpaceDN w:val="0"/>
      <w:adjustRightInd w:val="0"/>
      <w:spacing w:before="40"/>
      <w:textAlignment w:val="baseline"/>
      <w:outlineLvl w:val="2"/>
    </w:pPr>
    <w:rPr>
      <w:rFonts w:ascii="Cambria" w:hAnsi="Cambria"/>
      <w:color w:val="243F60"/>
    </w:rPr>
  </w:style>
  <w:style w:type="paragraph" w:styleId="4">
    <w:name w:val="heading 4"/>
    <w:basedOn w:val="a"/>
    <w:next w:val="a"/>
    <w:link w:val="40"/>
    <w:uiPriority w:val="9"/>
    <w:unhideWhenUsed/>
    <w:qFormat/>
    <w:rsid w:val="004337A6"/>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
    <w:next w:val="a"/>
    <w:link w:val="50"/>
    <w:uiPriority w:val="9"/>
    <w:semiHidden/>
    <w:unhideWhenUsed/>
    <w:qFormat/>
    <w:rsid w:val="004337A6"/>
    <w:pPr>
      <w:keepNext/>
      <w:keepLines/>
      <w:spacing w:before="40" w:line="276" w:lineRule="auto"/>
      <w:outlineLvl w:val="4"/>
    </w:pPr>
    <w:rPr>
      <w:rFonts w:ascii="Cambria" w:hAnsi="Cambria"/>
      <w:color w:val="365F91"/>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eastAsia="Calibri" w:hAnsi="Arial" w:cs="Arial"/>
      <w:b/>
      <w:bCs/>
      <w:i/>
      <w:iCs/>
      <w:color w:val="0000FF"/>
      <w:lang w:eastAsia="en-US"/>
    </w:rPr>
  </w:style>
  <w:style w:type="paragraph" w:customStyle="1" w:styleId="21">
    <w:name w:val="заголовок 2"/>
    <w:basedOn w:val="a"/>
    <w:uiPriority w:val="99"/>
    <w:rsid w:val="008E0FBF"/>
    <w:pPr>
      <w:autoSpaceDE w:val="0"/>
      <w:autoSpaceDN w:val="0"/>
      <w:adjustRightInd w:val="0"/>
      <w:spacing w:before="100" w:after="100"/>
    </w:pPr>
    <w:rPr>
      <w:rFonts w:eastAsia="Calibri"/>
      <w:b/>
      <w:bCs/>
      <w:color w:val="0000FF"/>
      <w:sz w:val="36"/>
      <w:szCs w:val="36"/>
      <w:lang w:eastAsia="en-US"/>
    </w:rPr>
  </w:style>
  <w:style w:type="paragraph" w:customStyle="1" w:styleId="110">
    <w:name w:val="заголовок 11"/>
    <w:basedOn w:val="a"/>
    <w:next w:val="a"/>
    <w:uiPriority w:val="99"/>
    <w:rsid w:val="008E0FBF"/>
    <w:pPr>
      <w:keepNext/>
      <w:autoSpaceDE w:val="0"/>
      <w:autoSpaceDN w:val="0"/>
      <w:adjustRightInd w:val="0"/>
      <w:jc w:val="both"/>
    </w:pPr>
    <w:rPr>
      <w:rFonts w:eastAsia="Calibri"/>
      <w:b/>
      <w:bCs/>
      <w:color w:val="0000FF"/>
      <w:sz w:val="16"/>
      <w:szCs w:val="16"/>
      <w:lang w:eastAsia="en-US"/>
    </w:rPr>
  </w:style>
  <w:style w:type="paragraph" w:styleId="a3">
    <w:name w:val="Body Text"/>
    <w:basedOn w:val="a"/>
    <w:link w:val="a4"/>
    <w:uiPriority w:val="99"/>
    <w:rsid w:val="008E0FBF"/>
    <w:pPr>
      <w:widowControl w:val="0"/>
      <w:autoSpaceDE w:val="0"/>
      <w:autoSpaceDN w:val="0"/>
      <w:adjustRightInd w:val="0"/>
      <w:jc w:val="both"/>
    </w:pPr>
    <w:rPr>
      <w:rFonts w:eastAsia="Calibri"/>
      <w:color w:val="0000FF"/>
      <w:sz w:val="16"/>
      <w:szCs w:val="16"/>
      <w:lang w:val="en-US" w:eastAsia="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rFonts w:eastAsia="Calibri"/>
      <w:color w:val="0000FF"/>
      <w:sz w:val="16"/>
      <w:szCs w:val="16"/>
      <w:lang w:val="en-US" w:eastAsia="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rFonts w:eastAsia="Calibri"/>
      <w:color w:val="0000FF"/>
      <w:sz w:val="16"/>
      <w:szCs w:val="16"/>
      <w:lang w:eastAsia="en-US"/>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rFonts w:eastAsia="Calibri"/>
      <w:color w:val="0000FF"/>
      <w:sz w:val="16"/>
      <w:szCs w:val="16"/>
      <w:lang w:eastAsia="en-US"/>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rFonts w:eastAsia="Calibri"/>
      <w:color w:val="0000FF"/>
      <w:lang w:eastAsia="en-US"/>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ind w:left="360" w:right="360"/>
    </w:pPr>
    <w:rPr>
      <w:rFonts w:eastAsia="Calibri"/>
      <w:color w:val="0000FF"/>
      <w:lang w:val="en-AU" w:eastAsia="en-US"/>
    </w:rPr>
  </w:style>
  <w:style w:type="paragraph" w:customStyle="1" w:styleId="111">
    <w:name w:val="Заголовок 11"/>
    <w:basedOn w:val="a"/>
    <w:next w:val="a"/>
    <w:uiPriority w:val="99"/>
    <w:rsid w:val="008E0FBF"/>
    <w:pPr>
      <w:keepNext/>
      <w:widowControl w:val="0"/>
      <w:autoSpaceDE w:val="0"/>
      <w:autoSpaceDN w:val="0"/>
      <w:adjustRightInd w:val="0"/>
      <w:jc w:val="both"/>
    </w:pPr>
    <w:rPr>
      <w:rFonts w:eastAsia="Calibri"/>
      <w:i/>
      <w:iCs/>
      <w:color w:val="0000FF"/>
      <w:sz w:val="16"/>
      <w:szCs w:val="16"/>
      <w:lang w:val="en-US" w:eastAsia="en-US"/>
    </w:rPr>
  </w:style>
  <w:style w:type="paragraph" w:customStyle="1" w:styleId="H3">
    <w:name w:val="H3"/>
    <w:basedOn w:val="a"/>
    <w:next w:val="a"/>
    <w:uiPriority w:val="99"/>
    <w:rsid w:val="008E0FBF"/>
    <w:pPr>
      <w:keepNext/>
      <w:widowControl w:val="0"/>
      <w:autoSpaceDE w:val="0"/>
      <w:autoSpaceDN w:val="0"/>
      <w:adjustRightInd w:val="0"/>
      <w:spacing w:before="100" w:after="100"/>
    </w:pPr>
    <w:rPr>
      <w:rFonts w:eastAsia="Calibri"/>
      <w:b/>
      <w:bCs/>
      <w:color w:val="0000FF"/>
      <w:sz w:val="28"/>
      <w:szCs w:val="28"/>
      <w:lang w:val="en-AU" w:eastAsia="en-US"/>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eastAsia="Calibri" w:hAnsi="Courier New" w:cs="Courier New"/>
      <w:color w:val="0000FF"/>
      <w:sz w:val="16"/>
      <w:szCs w:val="16"/>
      <w:lang w:eastAsia="en-US"/>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eastAsia="Calibri" w:hAnsi="PragmaticaCTT" w:cs="PragmaticaCTT"/>
      <w:color w:val="0000FF"/>
      <w:sz w:val="16"/>
      <w:szCs w:val="16"/>
      <w:lang w:val="en-US" w:eastAsia="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Calibri" w:hAnsi="Courier New" w:cs="Courier New"/>
      <w:color w:val="0000FF"/>
      <w:sz w:val="16"/>
      <w:szCs w:val="16"/>
      <w:lang w:val="en-AU" w:eastAsia="en-US"/>
    </w:rPr>
  </w:style>
  <w:style w:type="paragraph" w:customStyle="1" w:styleId="H4">
    <w:name w:val="H4"/>
    <w:basedOn w:val="a"/>
    <w:next w:val="a"/>
    <w:uiPriority w:val="99"/>
    <w:rsid w:val="008E0FBF"/>
    <w:pPr>
      <w:keepNext/>
      <w:autoSpaceDE w:val="0"/>
      <w:autoSpaceDN w:val="0"/>
      <w:adjustRightInd w:val="0"/>
      <w:spacing w:before="100" w:after="100"/>
    </w:pPr>
    <w:rPr>
      <w:rFonts w:eastAsia="Calibri"/>
      <w:b/>
      <w:bCs/>
      <w:color w:val="0000FF"/>
      <w:lang w:eastAsia="en-US"/>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rFonts w:eastAsia="Calibri"/>
      <w:b/>
      <w:bCs/>
      <w:color w:val="0000FF"/>
      <w:kern w:val="36"/>
      <w:sz w:val="48"/>
      <w:szCs w:val="48"/>
      <w:lang w:eastAsia="en-US"/>
    </w:rPr>
  </w:style>
  <w:style w:type="paragraph" w:customStyle="1" w:styleId="ad">
    <w:name w:val="С"/>
    <w:basedOn w:val="a"/>
    <w:next w:val="a"/>
    <w:uiPriority w:val="99"/>
    <w:rsid w:val="008E0FBF"/>
    <w:pPr>
      <w:autoSpaceDE w:val="0"/>
      <w:autoSpaceDN w:val="0"/>
      <w:adjustRightInd w:val="0"/>
      <w:ind w:left="360"/>
    </w:pPr>
    <w:rPr>
      <w:rFonts w:eastAsia="Calibri"/>
      <w:color w:val="0000FF"/>
      <w:lang w:eastAsia="en-US"/>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rFonts w:eastAsia="Calibri"/>
      <w:color w:val="808080"/>
      <w:lang w:eastAsia="en-US"/>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rFonts w:eastAsia="Calibri"/>
      <w:color w:val="0000FF"/>
      <w:lang w:eastAsia="en-US"/>
    </w:rPr>
  </w:style>
  <w:style w:type="paragraph" w:customStyle="1" w:styleId="DefinitionList">
    <w:name w:val="Definition List"/>
    <w:basedOn w:val="a"/>
    <w:next w:val="DefinitionTerm"/>
    <w:uiPriority w:val="99"/>
    <w:rsid w:val="008E0FBF"/>
    <w:pPr>
      <w:autoSpaceDE w:val="0"/>
      <w:autoSpaceDN w:val="0"/>
      <w:adjustRightInd w:val="0"/>
      <w:ind w:left="360"/>
    </w:pPr>
    <w:rPr>
      <w:rFonts w:eastAsia="Calibri"/>
      <w:color w:val="0000FF"/>
      <w:lang w:eastAsia="en-US"/>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rFonts w:eastAsia="Calibri"/>
      <w:b/>
      <w:bCs/>
      <w:color w:val="0000FF"/>
      <w:sz w:val="36"/>
      <w:szCs w:val="36"/>
      <w:lang w:eastAsia="en-US"/>
    </w:rPr>
  </w:style>
  <w:style w:type="paragraph" w:customStyle="1" w:styleId="H6">
    <w:name w:val="H6"/>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Address">
    <w:name w:val="Address"/>
    <w:basedOn w:val="a"/>
    <w:next w:val="a"/>
    <w:uiPriority w:val="99"/>
    <w:rsid w:val="008E0FBF"/>
    <w:pPr>
      <w:autoSpaceDE w:val="0"/>
      <w:autoSpaceDN w:val="0"/>
      <w:adjustRightInd w:val="0"/>
    </w:pPr>
    <w:rPr>
      <w:rFonts w:eastAsia="Calibri"/>
      <w:i/>
      <w:iCs/>
      <w:color w:val="0000FF"/>
      <w:lang w:eastAsia="en-US"/>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eastAsia="Calibri" w:hAnsi="Arial" w:cs="Arial"/>
      <w:b/>
      <w:bCs/>
      <w:caps/>
      <w:color w:val="0000FF"/>
      <w:sz w:val="26"/>
      <w:szCs w:val="26"/>
      <w:lang w:eastAsia="en-US"/>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eastAsia="Calibri" w:hAnsi="Arial" w:cs="Arial"/>
      <w:color w:val="0000FF"/>
      <w:sz w:val="26"/>
      <w:szCs w:val="26"/>
      <w:lang w:eastAsia="en-US"/>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eastAsia="Calibri" w:hAnsi="Arial" w:cs="Arial"/>
      <w:caps/>
      <w:color w:val="0000FF"/>
      <w:sz w:val="26"/>
      <w:szCs w:val="26"/>
      <w:lang w:eastAsia="en-US"/>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rFonts w:eastAsia="Calibri"/>
      <w:i/>
      <w:iCs/>
      <w:color w:val="0000FF"/>
      <w:lang w:eastAsia="en-US"/>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eastAsia="Calibri" w:hAnsi="Arial" w:cs="Arial"/>
      <w:color w:val="0000FF"/>
      <w:lang w:eastAsia="en-US"/>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uiPriority w:val="99"/>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line="240" w:lineRule="atLeast"/>
    </w:pPr>
    <w:rPr>
      <w:rFonts w:eastAsia="Calibri"/>
      <w:b/>
      <w:bCs/>
      <w:i/>
      <w:iCs/>
      <w:noProof/>
      <w:sz w:val="17"/>
      <w:szCs w:val="17"/>
      <w:lang w:val="en-US" w:eastAsia="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rFonts w:eastAsia="Calibri"/>
      <w:b/>
      <w:bCs/>
      <w:i/>
      <w:iCs/>
      <w:noProof/>
      <w:sz w:val="17"/>
      <w:szCs w:val="17"/>
      <w:lang w:val="en-US" w:eastAsia="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rFonts w:eastAsia="Calibri"/>
      <w:b/>
      <w:bCs/>
      <w:i/>
      <w:iCs/>
      <w:noProof/>
      <w:sz w:val="15"/>
      <w:szCs w:val="15"/>
      <w:lang w:val="en-US" w:eastAsia="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eastAsia="Calibri" w:hAnsi="Lucida Sans Unicode" w:cs="Lucida Sans Unicode"/>
      <w:b/>
      <w:bCs/>
      <w:i/>
      <w:iCs/>
      <w:noProof/>
      <w:sz w:val="16"/>
      <w:szCs w:val="16"/>
      <w:lang w:val="en-US" w:eastAsia="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eastAsia="Calibri" w:hAnsi="Arial" w:cs="Arial"/>
      <w:i/>
      <w:iCs/>
      <w:noProof/>
      <w:spacing w:val="-10"/>
      <w:sz w:val="16"/>
      <w:szCs w:val="16"/>
      <w:lang w:val="en-US" w:eastAsia="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eastAsia="Calibri" w:hAnsi="Franklin Gothic Demi" w:cs="Franklin Gothic Demi"/>
      <w:noProof/>
      <w:sz w:val="26"/>
      <w:szCs w:val="26"/>
      <w:lang w:val="en-US" w:eastAsia="en-US"/>
    </w:rPr>
  </w:style>
  <w:style w:type="paragraph" w:customStyle="1" w:styleId="aff0">
    <w:name w:val="Подпись к таблице"/>
    <w:basedOn w:val="a"/>
    <w:link w:val="aff1"/>
    <w:uiPriority w:val="99"/>
    <w:rsid w:val="008E0FBF"/>
    <w:pPr>
      <w:shd w:val="clear" w:color="auto" w:fill="FFFFFF"/>
      <w:autoSpaceDE w:val="0"/>
      <w:autoSpaceDN w:val="0"/>
      <w:adjustRightInd w:val="0"/>
      <w:spacing w:line="233" w:lineRule="exact"/>
      <w:jc w:val="both"/>
    </w:pPr>
    <w:rPr>
      <w:rFonts w:ascii="Arial Narrow" w:eastAsia="Calibr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i/>
      <w:iCs/>
      <w:noProof/>
      <w:sz w:val="13"/>
      <w:szCs w:val="13"/>
      <w:lang w:val="en-US" w:eastAsia="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eastAsia="Calibri" w:hAnsi="Arial" w:cs="Arial"/>
      <w:noProof/>
      <w:sz w:val="14"/>
      <w:szCs w:val="14"/>
      <w:lang w:val="en-US" w:eastAsia="en-US"/>
    </w:rPr>
  </w:style>
  <w:style w:type="paragraph" w:customStyle="1" w:styleId="42">
    <w:name w:val="Основной текст (42)"/>
    <w:basedOn w:val="a"/>
    <w:rsid w:val="008E0FBF"/>
    <w:pPr>
      <w:shd w:val="clear" w:color="auto" w:fill="FFFFFF"/>
      <w:autoSpaceDE w:val="0"/>
      <w:autoSpaceDN w:val="0"/>
      <w:adjustRightInd w:val="0"/>
      <w:spacing w:line="240" w:lineRule="atLeast"/>
      <w:jc w:val="center"/>
    </w:pPr>
    <w:rPr>
      <w:rFonts w:ascii="Microsoft Sans Serif" w:eastAsia="Calibri" w:hAnsi="Microsoft Sans Serif" w:cs="Microsoft Sans Serif"/>
      <w:noProof/>
      <w:sz w:val="8"/>
      <w:szCs w:val="8"/>
      <w:lang w:val="en-US" w:eastAsia="en-US"/>
    </w:rPr>
  </w:style>
  <w:style w:type="paragraph" w:customStyle="1" w:styleId="43">
    <w:name w:val="Основной текст (43)"/>
    <w:basedOn w:val="a"/>
    <w:rsid w:val="008E0FBF"/>
    <w:pPr>
      <w:shd w:val="clear" w:color="auto" w:fill="FFFFFF"/>
      <w:autoSpaceDE w:val="0"/>
      <w:autoSpaceDN w:val="0"/>
      <w:adjustRightInd w:val="0"/>
      <w:spacing w:line="240" w:lineRule="atLeast"/>
      <w:jc w:val="center"/>
    </w:pPr>
    <w:rPr>
      <w:rFonts w:ascii="Lucida Sans Unicode" w:eastAsia="Calibri" w:hAnsi="Lucida Sans Unicode" w:cs="Lucida Sans Unicode"/>
      <w:noProof/>
      <w:sz w:val="8"/>
      <w:szCs w:val="8"/>
      <w:lang w:val="en-US" w:eastAsia="en-US"/>
    </w:rPr>
  </w:style>
  <w:style w:type="paragraph" w:customStyle="1" w:styleId="44">
    <w:name w:val="Основной текст (44)"/>
    <w:basedOn w:val="a"/>
    <w:uiPriority w:val="99"/>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2">
    <w:name w:val="Сноска"/>
    <w:basedOn w:val="a"/>
    <w:uiPriority w:val="99"/>
    <w:rsid w:val="008E0FBF"/>
    <w:pPr>
      <w:shd w:val="clear" w:color="auto" w:fill="FFFFFF"/>
      <w:autoSpaceDE w:val="0"/>
      <w:autoSpaceDN w:val="0"/>
      <w:adjustRightInd w:val="0"/>
      <w:spacing w:line="182" w:lineRule="exact"/>
      <w:jc w:val="both"/>
    </w:pPr>
    <w:rPr>
      <w:rFonts w:ascii="Lucida Sans Unicode" w:eastAsia="Calibri" w:hAnsi="Lucida Sans Unicode" w:cs="Lucida Sans Unicode"/>
      <w:i/>
      <w:iCs/>
      <w:noProof/>
      <w:sz w:val="13"/>
      <w:szCs w:val="13"/>
      <w:lang w:val="en-US" w:eastAsia="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eastAsia="Calibri" w:hAnsi="Tahoma" w:cs="Tahoma"/>
      <w:sz w:val="30"/>
      <w:szCs w:val="30"/>
      <w:lang w:eastAsia="en-US"/>
    </w:rPr>
  </w:style>
  <w:style w:type="character" w:customStyle="1" w:styleId="aff3">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eastAsia="Calibri" w:hAnsi="Tahoma" w:cs="Tahoma"/>
      <w:sz w:val="30"/>
      <w:szCs w:val="30"/>
      <w:lang w:eastAsia="en-US"/>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line="211" w:lineRule="exact"/>
    </w:pPr>
    <w:rPr>
      <w:rFonts w:ascii="Arial Narrow" w:eastAsia="Calibri" w:hAnsi="Arial Narrow" w:cs="Arial Narrow"/>
      <w:b/>
      <w:bCs/>
      <w:sz w:val="17"/>
      <w:szCs w:val="17"/>
      <w:lang w:eastAsia="en-US"/>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4">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sz w:val="16"/>
      <w:szCs w:val="16"/>
      <w:lang w:eastAsia="en-US"/>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7">
    <w:name w:val="Основной текст1"/>
    <w:uiPriority w:val="99"/>
    <w:rsid w:val="008E0FBF"/>
    <w:rPr>
      <w:rFonts w:ascii="Gungsuh" w:eastAsia="Gungsuh" w:cs="Gungsuh"/>
      <w:spacing w:val="-10"/>
      <w:sz w:val="16"/>
      <w:szCs w:val="16"/>
      <w:u w:val="single"/>
    </w:rPr>
  </w:style>
  <w:style w:type="paragraph" w:customStyle="1" w:styleId="35">
    <w:name w:val="Основной текст (3)"/>
    <w:basedOn w:val="a"/>
    <w:rsid w:val="008E0FBF"/>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
    <w:uiPriority w:val="99"/>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
    <w:uiPriority w:val="99"/>
    <w:rsid w:val="008E0FBF"/>
    <w:pPr>
      <w:shd w:val="clear" w:color="auto" w:fill="FFFFFF"/>
      <w:autoSpaceDE w:val="0"/>
      <w:autoSpaceDN w:val="0"/>
      <w:adjustRightInd w:val="0"/>
      <w:spacing w:before="120" w:line="240" w:lineRule="atLeast"/>
    </w:pPr>
    <w:rPr>
      <w:rFonts w:ascii="Segoe UI" w:eastAsia="Calibri" w:hAnsi="Segoe UI" w:cs="Segoe UI"/>
      <w:sz w:val="13"/>
      <w:szCs w:val="13"/>
      <w:lang w:eastAsia="en-US"/>
    </w:rPr>
  </w:style>
  <w:style w:type="paragraph" w:customStyle="1" w:styleId="18">
    <w:name w:val="Заголовок №1"/>
    <w:basedOn w:val="a"/>
    <w:uiPriority w:val="99"/>
    <w:rsid w:val="008E0FBF"/>
    <w:pPr>
      <w:shd w:val="clear" w:color="auto" w:fill="FFFFFF"/>
      <w:autoSpaceDE w:val="0"/>
      <w:autoSpaceDN w:val="0"/>
      <w:adjustRightInd w:val="0"/>
      <w:spacing w:line="240" w:lineRule="atLeast"/>
    </w:pPr>
    <w:rPr>
      <w:rFonts w:ascii="Segoe UI" w:eastAsia="Calibri" w:hAnsi="Segoe UI" w:cs="Segoe UI"/>
      <w:sz w:val="20"/>
      <w:szCs w:val="20"/>
      <w:lang w:eastAsia="en-US"/>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5">
    <w:name w:val="Колонтитул"/>
    <w:basedOn w:val="a"/>
    <w:uiPriority w:val="99"/>
    <w:rsid w:val="008E0FBF"/>
    <w:pPr>
      <w:shd w:val="clear" w:color="auto" w:fill="FFFFFF"/>
      <w:autoSpaceDE w:val="0"/>
      <w:autoSpaceDN w:val="0"/>
      <w:adjustRightInd w:val="0"/>
    </w:pPr>
    <w:rPr>
      <w:rFonts w:eastAsia="Calibri"/>
      <w:sz w:val="20"/>
      <w:szCs w:val="20"/>
      <w:lang w:eastAsia="en-US"/>
    </w:rPr>
  </w:style>
  <w:style w:type="character" w:customStyle="1" w:styleId="Arial">
    <w:name w:val="Основной текст + Arial"/>
    <w:uiPriority w:val="99"/>
    <w:rsid w:val="008E0FBF"/>
    <w:rPr>
      <w:rFonts w:ascii="Arial" w:hAnsi="Arial" w:cs="Arial"/>
      <w:sz w:val="21"/>
      <w:szCs w:val="21"/>
    </w:rPr>
  </w:style>
  <w:style w:type="paragraph" w:customStyle="1" w:styleId="2a">
    <w:name w:val="Заголовок №2"/>
    <w:basedOn w:val="a"/>
    <w:link w:val="2b"/>
    <w:rsid w:val="008E0FBF"/>
    <w:pPr>
      <w:shd w:val="clear" w:color="auto" w:fill="FFFFFF"/>
      <w:autoSpaceDE w:val="0"/>
      <w:autoSpaceDN w:val="0"/>
      <w:adjustRightInd w:val="0"/>
      <w:spacing w:line="240" w:lineRule="atLeast"/>
      <w:jc w:val="both"/>
    </w:pPr>
    <w:rPr>
      <w:rFonts w:ascii="Century Schoolbook" w:eastAsia="Calibri" w:hAnsi="Century Schoolbook" w:cs="Century Schoolbook"/>
      <w:sz w:val="17"/>
      <w:szCs w:val="17"/>
      <w:lang w:eastAsia="en-US"/>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line="362" w:lineRule="exact"/>
      <w:ind w:hanging="1180"/>
    </w:pPr>
    <w:rPr>
      <w:rFonts w:ascii="Franklin Gothic Medium" w:eastAsia="Calibri" w:hAnsi="Franklin Gothic Medium" w:cs="Franklin Gothic Medium"/>
      <w:sz w:val="20"/>
      <w:szCs w:val="20"/>
      <w:lang w:eastAsia="en-US"/>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6">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eastAsia="Calibri" w:hAnsi="MS Reference Sans Serif" w:cs="MS Reference Sans Serif"/>
      <w:i/>
      <w:iCs/>
      <w:sz w:val="14"/>
      <w:szCs w:val="14"/>
      <w:lang w:eastAsia="en-US"/>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eastAsia="Calibri" w:hAnsi="Arial Narrow" w:cs="Arial Narrow"/>
      <w:sz w:val="16"/>
      <w:szCs w:val="16"/>
      <w:lang w:eastAsia="en-US"/>
    </w:rPr>
  </w:style>
  <w:style w:type="paragraph" w:customStyle="1" w:styleId="aff7">
    <w:name w:val="Подпись к картинке"/>
    <w:basedOn w:val="a"/>
    <w:link w:val="aff8"/>
    <w:rsid w:val="008E0FBF"/>
    <w:pPr>
      <w:shd w:val="clear" w:color="auto" w:fill="FFFFFF"/>
      <w:autoSpaceDE w:val="0"/>
      <w:autoSpaceDN w:val="0"/>
      <w:adjustRightInd w:val="0"/>
      <w:spacing w:line="168" w:lineRule="exact"/>
    </w:pPr>
    <w:rPr>
      <w:rFonts w:ascii="MS Reference Sans Serif" w:eastAsia="Calibri" w:hAnsi="MS Reference Sans Serif" w:cs="MS Reference Sans Serif"/>
      <w:b/>
      <w:bCs/>
      <w:sz w:val="13"/>
      <w:szCs w:val="13"/>
      <w:lang w:eastAsia="en-US"/>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eastAsia="Calibri" w:hAnsi="MS Reference Sans Serif" w:cs="MS Reference Sans Serif"/>
      <w:b/>
      <w:bCs/>
      <w:sz w:val="13"/>
      <w:szCs w:val="13"/>
      <w:lang w:eastAsia="en-US"/>
    </w:rPr>
  </w:style>
  <w:style w:type="paragraph" w:customStyle="1" w:styleId="37">
    <w:name w:val="Подпись к картинке (3)"/>
    <w:basedOn w:val="a"/>
    <w:uiPriority w:val="99"/>
    <w:rsid w:val="008E0FBF"/>
    <w:pPr>
      <w:shd w:val="clear" w:color="auto" w:fill="FFFFFF"/>
      <w:autoSpaceDE w:val="0"/>
      <w:autoSpaceDN w:val="0"/>
      <w:adjustRightInd w:val="0"/>
      <w:spacing w:line="149" w:lineRule="exact"/>
    </w:pPr>
    <w:rPr>
      <w:rFonts w:ascii="Arial Narrow" w:eastAsia="Calibri" w:hAnsi="Arial Narrow" w:cs="Arial Narrow"/>
      <w:sz w:val="16"/>
      <w:szCs w:val="16"/>
      <w:lang w:eastAsia="en-US"/>
    </w:rPr>
  </w:style>
  <w:style w:type="paragraph" w:customStyle="1" w:styleId="340">
    <w:name w:val="Основной текст (34)"/>
    <w:basedOn w:val="a"/>
    <w:uiPriority w:val="99"/>
    <w:rsid w:val="008E0FBF"/>
    <w:pPr>
      <w:shd w:val="clear" w:color="auto" w:fill="FFFFFF"/>
      <w:autoSpaceDE w:val="0"/>
      <w:autoSpaceDN w:val="0"/>
      <w:adjustRightInd w:val="0"/>
      <w:spacing w:before="120" w:line="187" w:lineRule="exact"/>
    </w:pPr>
    <w:rPr>
      <w:rFonts w:ascii="Arial Narrow" w:eastAsia="Calibri" w:hAnsi="Arial Narrow" w:cs="Arial Narrow"/>
      <w:b/>
      <w:bCs/>
      <w:sz w:val="17"/>
      <w:szCs w:val="17"/>
      <w:lang w:eastAsia="en-US"/>
    </w:rPr>
  </w:style>
  <w:style w:type="paragraph" w:customStyle="1" w:styleId="510">
    <w:name w:val="Подпись к картинке (5)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17"/>
      <w:szCs w:val="17"/>
      <w:lang w:eastAsia="en-US"/>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eastAsia="Calibri" w:hAnsi="Arial Narrow" w:cs="Arial Narrow"/>
      <w:b/>
      <w:bCs/>
      <w:sz w:val="46"/>
      <w:szCs w:val="46"/>
      <w:lang w:eastAsia="en-US"/>
    </w:rPr>
  </w:style>
  <w:style w:type="paragraph" w:customStyle="1" w:styleId="530">
    <w:name w:val="Основной текст (53)"/>
    <w:basedOn w:val="a"/>
    <w:uiPriority w:val="99"/>
    <w:rsid w:val="008E0FBF"/>
    <w:pPr>
      <w:shd w:val="clear" w:color="auto" w:fill="FFFFFF"/>
      <w:autoSpaceDE w:val="0"/>
      <w:autoSpaceDN w:val="0"/>
      <w:adjustRightInd w:val="0"/>
      <w:spacing w:line="240" w:lineRule="exact"/>
    </w:pPr>
    <w:rPr>
      <w:rFonts w:ascii="Arial Narrow" w:eastAsia="Calibri" w:hAnsi="Arial Narrow" w:cs="Arial Narrow"/>
      <w:i/>
      <w:iCs/>
      <w:sz w:val="18"/>
      <w:szCs w:val="18"/>
      <w:lang w:eastAsia="en-US"/>
    </w:rPr>
  </w:style>
  <w:style w:type="paragraph" w:customStyle="1" w:styleId="19">
    <w:name w:val="Подпись к картинке (19)"/>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5"/>
      <w:szCs w:val="15"/>
      <w:lang w:eastAsia="en-US"/>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6"/>
      <w:szCs w:val="16"/>
      <w:lang w:eastAsia="en-US"/>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22"/>
      <w:szCs w:val="22"/>
      <w:lang w:eastAsia="en-US"/>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eastAsia="Calibri" w:hAnsi="MS Reference Sans Serif" w:cs="MS Reference Sans Serif"/>
      <w:sz w:val="13"/>
      <w:szCs w:val="13"/>
      <w:lang w:eastAsia="en-US"/>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noProof/>
      <w:sz w:val="8"/>
      <w:szCs w:val="8"/>
      <w:lang w:val="en-US" w:eastAsia="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eastAsia="Calibri" w:hAnsi="Consolas" w:cs="Consolas"/>
      <w:noProof/>
      <w:sz w:val="8"/>
      <w:szCs w:val="8"/>
      <w:lang w:val="en-US" w:eastAsia="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eastAsia="Calibri" w:hAnsi="MS Reference Sans Serif" w:cs="MS Reference Sans Serif"/>
      <w:i/>
      <w:iCs/>
      <w:sz w:val="20"/>
      <w:szCs w:val="20"/>
      <w:lang w:eastAsia="en-US"/>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eastAsia="Calibri" w:hAnsi="Arial Narrow" w:cs="Arial Narrow"/>
      <w:b/>
      <w:bCs/>
      <w:sz w:val="46"/>
      <w:szCs w:val="46"/>
      <w:lang w:eastAsia="en-US"/>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eastAsia="Calibri" w:hAnsi="Arial Narrow" w:cs="Arial Narrow"/>
      <w:b/>
      <w:bCs/>
      <w:sz w:val="15"/>
      <w:szCs w:val="15"/>
      <w:lang w:eastAsia="en-US"/>
    </w:rPr>
  </w:style>
  <w:style w:type="paragraph" w:customStyle="1" w:styleId="2c">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eastAsia="Calibri" w:hAnsi="MS Reference Sans Serif" w:cs="MS Reference Sans Serif"/>
      <w:i/>
      <w:iCs/>
      <w:sz w:val="13"/>
      <w:szCs w:val="13"/>
      <w:lang w:eastAsia="en-US"/>
    </w:rPr>
  </w:style>
  <w:style w:type="paragraph" w:customStyle="1" w:styleId="48">
    <w:name w:val="Подпись к картинке (4)"/>
    <w:basedOn w:val="a"/>
    <w:uiPriority w:val="99"/>
    <w:rsid w:val="008E0FBF"/>
    <w:pPr>
      <w:shd w:val="clear" w:color="auto" w:fill="FFFFFF"/>
      <w:autoSpaceDE w:val="0"/>
      <w:autoSpaceDN w:val="0"/>
      <w:adjustRightInd w:val="0"/>
      <w:spacing w:line="192" w:lineRule="exact"/>
      <w:jc w:val="right"/>
    </w:pPr>
    <w:rPr>
      <w:rFonts w:ascii="Arial Narrow" w:eastAsia="Calibri" w:hAnsi="Arial Narrow" w:cs="Arial Narrow"/>
      <w:i/>
      <w:iCs/>
      <w:sz w:val="17"/>
      <w:szCs w:val="17"/>
      <w:lang w:eastAsia="en-US"/>
    </w:rPr>
  </w:style>
  <w:style w:type="paragraph" w:customStyle="1" w:styleId="410">
    <w:name w:val="Основной текст (41)"/>
    <w:basedOn w:val="a"/>
    <w:rsid w:val="008E0FBF"/>
    <w:pPr>
      <w:shd w:val="clear" w:color="auto" w:fill="FFFFFF"/>
      <w:autoSpaceDE w:val="0"/>
      <w:autoSpaceDN w:val="0"/>
      <w:adjustRightInd w:val="0"/>
      <w:spacing w:before="60" w:after="60" w:line="240" w:lineRule="atLeast"/>
    </w:pPr>
    <w:rPr>
      <w:rFonts w:ascii="Bookman Old Style" w:eastAsia="Calibri" w:hAnsi="Bookman Old Style" w:cs="Bookman Old Style"/>
      <w:i/>
      <w:iCs/>
      <w:sz w:val="15"/>
      <w:szCs w:val="15"/>
      <w:lang w:eastAsia="en-US"/>
    </w:rPr>
  </w:style>
  <w:style w:type="paragraph" w:customStyle="1" w:styleId="511">
    <w:name w:val="Основной текст (51)"/>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20"/>
      <w:szCs w:val="20"/>
      <w:lang w:eastAsia="en-US"/>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sz w:val="8"/>
      <w:szCs w:val="8"/>
      <w:lang w:eastAsia="en-US"/>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eastAsia="Calibri" w:hAnsi="Franklin Gothic Book" w:cs="Franklin Gothic Book"/>
      <w:sz w:val="8"/>
      <w:szCs w:val="8"/>
      <w:lang w:eastAsia="en-US"/>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eastAsia="Calibri" w:hAnsi="Franklin Gothic Book" w:cs="Franklin Gothic Book"/>
      <w:sz w:val="13"/>
      <w:szCs w:val="13"/>
      <w:lang w:eastAsia="en-US"/>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eastAsia="Calibri" w:hAnsi="Arial Narrow" w:cs="Arial Narrow"/>
      <w:b/>
      <w:bCs/>
      <w:i/>
      <w:iCs/>
      <w:sz w:val="17"/>
      <w:szCs w:val="17"/>
      <w:lang w:eastAsia="en-US"/>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eastAsia="Calibri" w:hAnsi="MS Reference Sans Serif" w:cs="MS Reference Sans Serif"/>
      <w:sz w:val="13"/>
      <w:szCs w:val="13"/>
      <w:lang w:eastAsia="en-US"/>
    </w:rPr>
  </w:style>
  <w:style w:type="paragraph" w:customStyle="1" w:styleId="520">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eastAsia="Calibri" w:hAnsi="MS Reference Sans Serif" w:cs="MS Reference Sans Serif"/>
      <w:sz w:val="13"/>
      <w:szCs w:val="13"/>
      <w:lang w:eastAsia="en-US"/>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eastAsia="Calibri" w:hAnsi="Arial Narrow" w:cs="Arial Narrow"/>
      <w:i/>
      <w:iCs/>
      <w:sz w:val="17"/>
      <w:szCs w:val="17"/>
      <w:lang w:eastAsia="en-US"/>
    </w:rPr>
  </w:style>
  <w:style w:type="paragraph" w:customStyle="1" w:styleId="390">
    <w:name w:val="Основной текст (39)"/>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12"/>
      <w:szCs w:val="12"/>
      <w:lang w:eastAsia="en-US"/>
    </w:rPr>
  </w:style>
  <w:style w:type="paragraph" w:customStyle="1" w:styleId="60">
    <w:name w:val="Подпись к картинке (6)"/>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9"/>
      <w:szCs w:val="9"/>
      <w:lang w:eastAsia="en-US"/>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b/>
      <w:bCs/>
      <w:i/>
      <w:iCs/>
      <w:spacing w:val="-10"/>
      <w:sz w:val="17"/>
      <w:szCs w:val="17"/>
      <w:lang w:eastAsia="en-US"/>
    </w:rPr>
  </w:style>
  <w:style w:type="paragraph" w:customStyle="1" w:styleId="72">
    <w:name w:val="Подпись к картинке (7)"/>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4"/>
      <w:szCs w:val="14"/>
      <w:lang w:eastAsia="en-US"/>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line="192" w:lineRule="exact"/>
    </w:pPr>
    <w:rPr>
      <w:rFonts w:ascii="Arial Narrow" w:eastAsia="Calibri" w:hAnsi="Arial Narrow" w:cs="Arial Narrow"/>
      <w:i/>
      <w:iCs/>
      <w:sz w:val="14"/>
      <w:szCs w:val="14"/>
      <w:lang w:eastAsia="en-US"/>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eastAsia="Calibri" w:hAnsi="MS Reference Sans Serif" w:cs="MS Reference Sans Serif"/>
      <w:b/>
      <w:bCs/>
      <w:i/>
      <w:iCs/>
      <w:sz w:val="14"/>
      <w:szCs w:val="14"/>
      <w:lang w:eastAsia="en-US"/>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i/>
      <w:iCs/>
      <w:spacing w:val="-20"/>
      <w:sz w:val="17"/>
      <w:szCs w:val="17"/>
      <w:lang w:eastAsia="en-US"/>
    </w:rPr>
  </w:style>
  <w:style w:type="paragraph" w:customStyle="1" w:styleId="350">
    <w:name w:val="Основной текст (35)"/>
    <w:basedOn w:val="a"/>
    <w:uiPriority w:val="99"/>
    <w:rsid w:val="008E0FBF"/>
    <w:pPr>
      <w:shd w:val="clear" w:color="auto" w:fill="FFFFFF"/>
      <w:autoSpaceDE w:val="0"/>
      <w:autoSpaceDN w:val="0"/>
      <w:adjustRightInd w:val="0"/>
      <w:spacing w:line="187" w:lineRule="exact"/>
    </w:pPr>
    <w:rPr>
      <w:rFonts w:ascii="MS Reference Sans Serif" w:eastAsia="Calibri" w:hAnsi="MS Reference Sans Serif" w:cs="MS Reference Sans Serif"/>
      <w:spacing w:val="-10"/>
      <w:sz w:val="14"/>
      <w:szCs w:val="14"/>
      <w:lang w:eastAsia="en-US"/>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eastAsia="Calibri" w:hAnsi="Arial Narrow" w:cs="Arial Narrow"/>
      <w:noProof/>
      <w:sz w:val="8"/>
      <w:szCs w:val="8"/>
      <w:lang w:val="en-US" w:eastAsia="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line="178" w:lineRule="exact"/>
    </w:pPr>
    <w:rPr>
      <w:rFonts w:ascii="MS Reference Sans Serif" w:eastAsia="Calibri" w:hAnsi="MS Reference Sans Serif" w:cs="MS Reference Sans Serif"/>
      <w:i/>
      <w:iCs/>
      <w:sz w:val="12"/>
      <w:szCs w:val="12"/>
      <w:lang w:eastAsia="en-US"/>
    </w:rPr>
  </w:style>
  <w:style w:type="paragraph" w:customStyle="1" w:styleId="90">
    <w:name w:val="Основной текст (9)"/>
    <w:basedOn w:val="a"/>
    <w:uiPriority w:val="99"/>
    <w:rsid w:val="008E0FBF"/>
    <w:pPr>
      <w:shd w:val="clear" w:color="auto" w:fill="FFFFFF"/>
      <w:autoSpaceDE w:val="0"/>
      <w:autoSpaceDN w:val="0"/>
      <w:adjustRightInd w:val="0"/>
      <w:spacing w:line="144" w:lineRule="exact"/>
      <w:jc w:val="right"/>
    </w:pPr>
    <w:rPr>
      <w:rFonts w:ascii="Lucida Sans Unicode" w:eastAsia="Calibri" w:hAnsi="Lucida Sans Unicode" w:cs="Lucida Sans Unicode"/>
      <w:sz w:val="14"/>
      <w:szCs w:val="14"/>
      <w:lang w:eastAsia="en-US"/>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eastAsia="Calibri" w:hAnsi="Lucida Sans Unicode" w:cs="Lucida Sans Unicode"/>
      <w:spacing w:val="10"/>
      <w:lang w:eastAsia="en-US"/>
    </w:rPr>
  </w:style>
  <w:style w:type="paragraph" w:customStyle="1" w:styleId="3a">
    <w:name w:val="Заголовок №3"/>
    <w:basedOn w:val="a"/>
    <w:link w:val="3b"/>
    <w:rsid w:val="008E0FBF"/>
    <w:pPr>
      <w:shd w:val="clear" w:color="auto" w:fill="FFFFFF"/>
      <w:autoSpaceDE w:val="0"/>
      <w:autoSpaceDN w:val="0"/>
      <w:adjustRightInd w:val="0"/>
      <w:spacing w:before="120" w:after="120" w:line="240" w:lineRule="atLeast"/>
    </w:pPr>
    <w:rPr>
      <w:rFonts w:eastAsia="Calibri"/>
      <w:spacing w:val="40"/>
      <w:sz w:val="52"/>
      <w:szCs w:val="52"/>
      <w:lang w:eastAsia="en-US"/>
    </w:rPr>
  </w:style>
  <w:style w:type="paragraph" w:customStyle="1" w:styleId="182">
    <w:name w:val="Основной текст (18)"/>
    <w:basedOn w:val="a"/>
    <w:uiPriority w:val="99"/>
    <w:rsid w:val="008E0FBF"/>
    <w:pPr>
      <w:shd w:val="clear" w:color="auto" w:fill="FFFFFF"/>
      <w:autoSpaceDE w:val="0"/>
      <w:autoSpaceDN w:val="0"/>
      <w:adjustRightInd w:val="0"/>
      <w:spacing w:line="240" w:lineRule="atLeast"/>
    </w:pPr>
    <w:rPr>
      <w:rFonts w:ascii="Arial" w:eastAsia="Calibri" w:hAnsi="Arial" w:cs="Arial"/>
      <w:lang w:eastAsia="en-US"/>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sz w:val="25"/>
      <w:szCs w:val="25"/>
      <w:lang w:eastAsia="en-US"/>
    </w:rPr>
  </w:style>
  <w:style w:type="character" w:customStyle="1" w:styleId="575">
    <w:name w:val="Основной текст (5)75"/>
    <w:uiPriority w:val="99"/>
    <w:rsid w:val="00537E5F"/>
    <w:rPr>
      <w:i/>
      <w:iCs/>
      <w:spacing w:val="0"/>
      <w:sz w:val="16"/>
      <w:szCs w:val="16"/>
    </w:rPr>
  </w:style>
  <w:style w:type="character" w:customStyle="1" w:styleId="574">
    <w:name w:val="Основной текст (5)74"/>
    <w:uiPriority w:val="99"/>
    <w:rsid w:val="00537E5F"/>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537E5F"/>
    <w:rPr>
      <w:i/>
      <w:iCs/>
      <w:spacing w:val="-10"/>
      <w:sz w:val="17"/>
      <w:szCs w:val="17"/>
    </w:rPr>
  </w:style>
  <w:style w:type="character" w:customStyle="1" w:styleId="58445pt60510pt90">
    <w:name w:val="Основной текст (5) + 844.5 pt60.Не курсив51.Интервал 0 pt90"/>
    <w:uiPriority w:val="99"/>
    <w:rsid w:val="00537E5F"/>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537E5F"/>
    <w:rPr>
      <w:i/>
      <w:iCs/>
      <w:spacing w:val="-10"/>
      <w:sz w:val="17"/>
      <w:szCs w:val="17"/>
    </w:rPr>
  </w:style>
  <w:style w:type="character" w:customStyle="1" w:styleId="573">
    <w:name w:val="Основной текст (5)73"/>
    <w:uiPriority w:val="99"/>
    <w:rsid w:val="00537E5F"/>
    <w:rPr>
      <w:i/>
      <w:iCs/>
      <w:spacing w:val="0"/>
      <w:sz w:val="16"/>
      <w:szCs w:val="16"/>
    </w:rPr>
  </w:style>
  <w:style w:type="character" w:customStyle="1" w:styleId="572">
    <w:name w:val="Основной текст (5)72"/>
    <w:uiPriority w:val="99"/>
    <w:rsid w:val="00537E5F"/>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537E5F"/>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537E5F"/>
    <w:rPr>
      <w:b/>
      <w:bCs/>
      <w:i/>
      <w:iCs/>
      <w:spacing w:val="0"/>
      <w:sz w:val="17"/>
      <w:szCs w:val="17"/>
    </w:rPr>
  </w:style>
  <w:style w:type="character" w:customStyle="1" w:styleId="571">
    <w:name w:val="Основной текст (5)71"/>
    <w:uiPriority w:val="99"/>
    <w:rsid w:val="00537E5F"/>
    <w:rPr>
      <w:i/>
      <w:iCs/>
      <w:spacing w:val="0"/>
      <w:sz w:val="16"/>
      <w:szCs w:val="16"/>
    </w:rPr>
  </w:style>
  <w:style w:type="character" w:customStyle="1" w:styleId="203">
    <w:name w:val="Основной текст (20)"/>
    <w:uiPriority w:val="99"/>
    <w:rsid w:val="00537E5F"/>
    <w:rPr>
      <w:b/>
      <w:bCs/>
      <w:i/>
      <w:iCs/>
      <w:sz w:val="15"/>
      <w:szCs w:val="15"/>
    </w:rPr>
  </w:style>
  <w:style w:type="character" w:customStyle="1" w:styleId="2030">
    <w:name w:val="Основной текст (20)3"/>
    <w:uiPriority w:val="99"/>
    <w:rsid w:val="00537E5F"/>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537E5F"/>
    <w:rPr>
      <w:rFonts w:ascii="Arial Unicode MS" w:eastAsia="Arial Unicode MS" w:cs="Arial Unicode MS"/>
      <w:b/>
      <w:bCs/>
      <w:i/>
      <w:iCs/>
      <w:noProof/>
      <w:sz w:val="16"/>
      <w:szCs w:val="16"/>
    </w:rPr>
  </w:style>
  <w:style w:type="character" w:customStyle="1" w:styleId="2020">
    <w:name w:val="Основной текст (20)2"/>
    <w:uiPriority w:val="99"/>
    <w:rsid w:val="00537E5F"/>
    <w:rPr>
      <w:b/>
      <w:bCs/>
      <w:i/>
      <w:iCs/>
      <w:sz w:val="15"/>
      <w:szCs w:val="15"/>
    </w:rPr>
  </w:style>
  <w:style w:type="character" w:customStyle="1" w:styleId="363">
    <w:name w:val="Основной текст (36) + Не курсив3"/>
    <w:uiPriority w:val="99"/>
    <w:rsid w:val="00537E5F"/>
    <w:rPr>
      <w:rFonts w:ascii="Arial" w:hAnsi="Arial" w:cs="Arial"/>
      <w:spacing w:val="0"/>
      <w:sz w:val="8"/>
      <w:szCs w:val="8"/>
    </w:rPr>
  </w:style>
  <w:style w:type="character" w:customStyle="1" w:styleId="49">
    <w:name w:val="Основной текст + Курсив4"/>
    <w:uiPriority w:val="99"/>
    <w:rsid w:val="00537E5F"/>
    <w:rPr>
      <w:rFonts w:ascii="Century Gothic" w:hAnsi="Century Gothic" w:cs="Century Gothic"/>
      <w:i/>
      <w:iCs/>
      <w:spacing w:val="-10"/>
      <w:sz w:val="17"/>
      <w:szCs w:val="17"/>
    </w:rPr>
  </w:style>
  <w:style w:type="character" w:customStyle="1" w:styleId="362">
    <w:name w:val="Основной текст (36) + Не курсив2"/>
    <w:uiPriority w:val="99"/>
    <w:rsid w:val="00537E5F"/>
    <w:rPr>
      <w:rFonts w:ascii="Arial" w:hAnsi="Arial" w:cs="Arial"/>
      <w:spacing w:val="0"/>
      <w:sz w:val="8"/>
      <w:szCs w:val="8"/>
    </w:rPr>
  </w:style>
  <w:style w:type="character" w:customStyle="1" w:styleId="400">
    <w:name w:val="Основной текст (40) + Не курсив"/>
    <w:uiPriority w:val="99"/>
    <w:rsid w:val="00537E5F"/>
    <w:rPr>
      <w:rFonts w:ascii="Arial" w:hAnsi="Arial" w:cs="Arial"/>
      <w:noProof/>
      <w:spacing w:val="0"/>
      <w:sz w:val="8"/>
      <w:szCs w:val="8"/>
    </w:rPr>
  </w:style>
  <w:style w:type="paragraph" w:customStyle="1" w:styleId="380">
    <w:name w:val="Основной текст (38)"/>
    <w:basedOn w:val="a"/>
    <w:uiPriority w:val="99"/>
    <w:rsid w:val="00537E5F"/>
    <w:pPr>
      <w:shd w:val="clear" w:color="auto" w:fill="FFFFFF"/>
      <w:autoSpaceDE w:val="0"/>
      <w:autoSpaceDN w:val="0"/>
      <w:adjustRightInd w:val="0"/>
      <w:spacing w:line="86" w:lineRule="exact"/>
      <w:jc w:val="center"/>
    </w:pPr>
    <w:rPr>
      <w:rFonts w:ascii="Arial" w:eastAsia="Calibri" w:hAnsi="Arial" w:cs="Arial"/>
      <w:sz w:val="8"/>
      <w:szCs w:val="8"/>
      <w:lang w:eastAsia="en-US"/>
    </w:rPr>
  </w:style>
  <w:style w:type="paragraph" w:customStyle="1" w:styleId="401">
    <w:name w:val="Основной текст (40)"/>
    <w:basedOn w:val="a"/>
    <w:uiPriority w:val="99"/>
    <w:rsid w:val="00537E5F"/>
    <w:pPr>
      <w:shd w:val="clear" w:color="auto" w:fill="FFFFFF"/>
      <w:autoSpaceDE w:val="0"/>
      <w:autoSpaceDN w:val="0"/>
      <w:adjustRightInd w:val="0"/>
      <w:spacing w:line="86" w:lineRule="exact"/>
      <w:jc w:val="both"/>
    </w:pPr>
    <w:rPr>
      <w:rFonts w:ascii="Arial" w:eastAsia="Calibri" w:hAnsi="Arial" w:cs="Arial"/>
      <w:i/>
      <w:iCs/>
      <w:sz w:val="8"/>
      <w:szCs w:val="8"/>
      <w:lang w:eastAsia="en-US"/>
    </w:rPr>
  </w:style>
  <w:style w:type="paragraph" w:customStyle="1" w:styleId="rtejustify">
    <w:name w:val="rtejustify"/>
    <w:basedOn w:val="a"/>
    <w:rsid w:val="00B115CD"/>
    <w:pPr>
      <w:overflowPunct w:val="0"/>
      <w:autoSpaceDE w:val="0"/>
      <w:autoSpaceDN w:val="0"/>
      <w:adjustRightInd w:val="0"/>
      <w:spacing w:before="120" w:after="216"/>
      <w:jc w:val="both"/>
      <w:textAlignment w:val="baseline"/>
    </w:pPr>
    <w:rPr>
      <w:szCs w:val="20"/>
    </w:rPr>
  </w:style>
  <w:style w:type="paragraph" w:customStyle="1" w:styleId="130">
    <w:name w:val="Основной текст (13)"/>
    <w:basedOn w:val="a"/>
    <w:rsid w:val="007B38B8"/>
    <w:pPr>
      <w:shd w:val="clear" w:color="auto" w:fill="FFFFFF"/>
      <w:overflowPunct w:val="0"/>
      <w:autoSpaceDE w:val="0"/>
      <w:autoSpaceDN w:val="0"/>
      <w:adjustRightInd w:val="0"/>
      <w:spacing w:line="240" w:lineRule="atLeast"/>
      <w:textAlignment w:val="baseline"/>
    </w:pPr>
    <w:rPr>
      <w:rFonts w:ascii="Arial" w:hAnsi="Arial"/>
      <w:sz w:val="36"/>
      <w:szCs w:val="20"/>
    </w:rPr>
  </w:style>
  <w:style w:type="paragraph" w:customStyle="1" w:styleId="59">
    <w:name w:val="Подпись к таблице (5)"/>
    <w:basedOn w:val="a"/>
    <w:rsid w:val="007B38B8"/>
    <w:pPr>
      <w:shd w:val="clear" w:color="auto" w:fill="FFFFFF"/>
      <w:overflowPunct w:val="0"/>
      <w:autoSpaceDE w:val="0"/>
      <w:autoSpaceDN w:val="0"/>
      <w:adjustRightInd w:val="0"/>
      <w:spacing w:line="191" w:lineRule="exact"/>
      <w:textAlignment w:val="baseline"/>
    </w:pPr>
    <w:rPr>
      <w:sz w:val="16"/>
      <w:szCs w:val="20"/>
    </w:rPr>
  </w:style>
  <w:style w:type="character" w:customStyle="1" w:styleId="10">
    <w:name w:val="Заголовок 1 Знак"/>
    <w:link w:val="1"/>
    <w:uiPriority w:val="9"/>
    <w:rsid w:val="007B38B8"/>
    <w:rPr>
      <w:rFonts w:ascii="Cambria" w:eastAsia="Times New Roman" w:hAnsi="Cambria" w:cs="Times New Roman"/>
      <w:b/>
      <w:bCs/>
      <w:color w:val="365F91"/>
      <w:sz w:val="28"/>
      <w:szCs w:val="28"/>
    </w:rPr>
  </w:style>
  <w:style w:type="character" w:customStyle="1" w:styleId="20">
    <w:name w:val="Заголовок 2 Знак"/>
    <w:link w:val="2"/>
    <w:uiPriority w:val="9"/>
    <w:rsid w:val="007B38B8"/>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7B38B8"/>
    <w:rPr>
      <w:rFonts w:ascii="Cambria" w:eastAsia="Times New Roman" w:hAnsi="Cambria" w:cs="Times New Roman"/>
      <w:color w:val="243F60"/>
      <w:sz w:val="24"/>
      <w:szCs w:val="24"/>
      <w:lang w:eastAsia="ru-RU"/>
    </w:rPr>
  </w:style>
  <w:style w:type="character" w:customStyle="1" w:styleId="aff8">
    <w:name w:val="Подпись к картинке_"/>
    <w:link w:val="aff7"/>
    <w:rsid w:val="0084704E"/>
    <w:rPr>
      <w:rFonts w:ascii="MS Reference Sans Serif" w:hAnsi="MS Reference Sans Serif" w:cs="MS Reference Sans Serif"/>
      <w:b/>
      <w:bCs/>
      <w:sz w:val="13"/>
      <w:szCs w:val="13"/>
      <w:shd w:val="clear" w:color="auto" w:fill="FFFFFF"/>
    </w:rPr>
  </w:style>
  <w:style w:type="character" w:customStyle="1" w:styleId="50pt">
    <w:name w:val="Подпись к таблице (5) + Интервал 0 pt"/>
    <w:rsid w:val="0084704E"/>
    <w:rPr>
      <w:rFonts w:ascii="Times New Roman" w:hAnsi="Times New Roman"/>
      <w:spacing w:val="10"/>
      <w:sz w:val="16"/>
    </w:rPr>
  </w:style>
  <w:style w:type="character" w:customStyle="1" w:styleId="46">
    <w:name w:val="Основной текст (4)_"/>
    <w:link w:val="45"/>
    <w:uiPriority w:val="99"/>
    <w:rsid w:val="001C5517"/>
    <w:rPr>
      <w:rFonts w:ascii="Gungsuh" w:eastAsia="Gungsuh" w:hAnsi="Times New Roman" w:cs="Gungsuh"/>
      <w:sz w:val="13"/>
      <w:szCs w:val="13"/>
      <w:shd w:val="clear" w:color="auto" w:fill="FFFFFF"/>
    </w:rPr>
  </w:style>
  <w:style w:type="paragraph" w:customStyle="1" w:styleId="4a">
    <w:name w:val="Заголовок №4"/>
    <w:basedOn w:val="a"/>
    <w:rsid w:val="00065987"/>
    <w:pPr>
      <w:shd w:val="clear" w:color="auto" w:fill="FFFFFF"/>
      <w:overflowPunct w:val="0"/>
      <w:autoSpaceDE w:val="0"/>
      <w:autoSpaceDN w:val="0"/>
      <w:adjustRightInd w:val="0"/>
      <w:spacing w:before="300" w:line="240" w:lineRule="atLeast"/>
      <w:textAlignment w:val="baseline"/>
    </w:pPr>
    <w:rPr>
      <w:rFonts w:ascii="Arial" w:hAnsi="Arial"/>
      <w:spacing w:val="-20"/>
      <w:sz w:val="85"/>
      <w:szCs w:val="20"/>
    </w:rPr>
  </w:style>
  <w:style w:type="character" w:customStyle="1" w:styleId="50">
    <w:name w:val="Заголовок 5 Знак"/>
    <w:link w:val="5"/>
    <w:uiPriority w:val="9"/>
    <w:semiHidden/>
    <w:rsid w:val="004337A6"/>
    <w:rPr>
      <w:rFonts w:ascii="Cambria" w:eastAsia="Times New Roman" w:hAnsi="Cambria" w:cs="Times New Roman"/>
      <w:color w:val="365F91"/>
    </w:rPr>
  </w:style>
  <w:style w:type="character" w:customStyle="1" w:styleId="40">
    <w:name w:val="Заголовок 4 Знак"/>
    <w:link w:val="4"/>
    <w:uiPriority w:val="9"/>
    <w:rsid w:val="004337A6"/>
    <w:rPr>
      <w:rFonts w:ascii="Cambria" w:eastAsia="Times New Roman" w:hAnsi="Cambria" w:cs="Times New Roman"/>
      <w:i/>
      <w:iCs/>
      <w:color w:val="365F91"/>
      <w:sz w:val="20"/>
      <w:szCs w:val="20"/>
      <w:lang w:eastAsia="ru-RU"/>
    </w:rPr>
  </w:style>
  <w:style w:type="paragraph" w:customStyle="1" w:styleId="83">
    <w:name w:val="Основной текст8"/>
    <w:basedOn w:val="a"/>
    <w:rsid w:val="00933ADB"/>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65">
    <w:name w:val="Основной текст (6)"/>
    <w:basedOn w:val="a"/>
    <w:link w:val="66"/>
    <w:uiPriority w:val="99"/>
    <w:rsid w:val="0086787E"/>
    <w:pPr>
      <w:shd w:val="clear" w:color="auto" w:fill="FFFFFF"/>
      <w:overflowPunct w:val="0"/>
      <w:autoSpaceDE w:val="0"/>
      <w:autoSpaceDN w:val="0"/>
      <w:adjustRightInd w:val="0"/>
      <w:spacing w:before="4980" w:line="252" w:lineRule="exact"/>
      <w:jc w:val="both"/>
      <w:textAlignment w:val="baseline"/>
    </w:pPr>
    <w:rPr>
      <w:rFonts w:ascii="Calibri" w:hAnsi="Calibri"/>
      <w:szCs w:val="20"/>
    </w:rPr>
  </w:style>
  <w:style w:type="character" w:customStyle="1" w:styleId="66">
    <w:name w:val="Основной текст (6)_"/>
    <w:link w:val="65"/>
    <w:uiPriority w:val="99"/>
    <w:rsid w:val="0086787E"/>
    <w:rPr>
      <w:rFonts w:ascii="Calibri" w:eastAsia="Times New Roman" w:hAnsi="Calibri" w:cs="Times New Roman"/>
      <w:sz w:val="24"/>
      <w:szCs w:val="20"/>
      <w:shd w:val="clear" w:color="auto" w:fill="FFFFFF"/>
      <w:lang w:eastAsia="ru-RU"/>
    </w:rPr>
  </w:style>
  <w:style w:type="character" w:customStyle="1" w:styleId="61pt">
    <w:name w:val="Основной текст (6) + Интервал 1 pt"/>
    <w:uiPriority w:val="99"/>
    <w:rsid w:val="0086787E"/>
    <w:rPr>
      <w:rFonts w:ascii="Arial Narrow" w:eastAsia="Microsoft Sans Serif" w:hAnsi="Arial Narrow" w:cs="Arial Narrow"/>
      <w:i/>
      <w:iCs/>
      <w:spacing w:val="30"/>
      <w:sz w:val="17"/>
      <w:szCs w:val="17"/>
      <w:shd w:val="clear" w:color="auto" w:fill="FFFFFF"/>
      <w:lang w:eastAsia="ru-RU"/>
    </w:rPr>
  </w:style>
  <w:style w:type="character" w:customStyle="1" w:styleId="aff1">
    <w:name w:val="Подпись к таблице_"/>
    <w:link w:val="aff0"/>
    <w:uiPriority w:val="99"/>
    <w:rsid w:val="005044CB"/>
    <w:rPr>
      <w:rFonts w:ascii="Arial Narrow" w:hAnsi="Arial Narrow" w:cs="Arial Narrow"/>
      <w:i/>
      <w:iCs/>
      <w:noProof/>
      <w:sz w:val="20"/>
      <w:szCs w:val="20"/>
      <w:shd w:val="clear" w:color="auto" w:fill="FFFFFF"/>
      <w:lang w:val="en-US"/>
    </w:rPr>
  </w:style>
  <w:style w:type="paragraph" w:customStyle="1" w:styleId="470">
    <w:name w:val="Основной текст (47)"/>
    <w:basedOn w:val="a"/>
    <w:rsid w:val="005044CB"/>
    <w:pPr>
      <w:shd w:val="clear" w:color="auto" w:fill="FFFFFF"/>
      <w:overflowPunct w:val="0"/>
      <w:autoSpaceDE w:val="0"/>
      <w:autoSpaceDN w:val="0"/>
      <w:adjustRightInd w:val="0"/>
      <w:spacing w:before="120" w:after="120" w:line="162" w:lineRule="exact"/>
      <w:jc w:val="center"/>
      <w:textAlignment w:val="baseline"/>
    </w:pPr>
    <w:rPr>
      <w:rFonts w:ascii="Arial" w:hAnsi="Arial"/>
      <w:sz w:val="14"/>
      <w:szCs w:val="20"/>
    </w:rPr>
  </w:style>
  <w:style w:type="paragraph" w:customStyle="1" w:styleId="480">
    <w:name w:val="Основной текст (48)"/>
    <w:basedOn w:val="a"/>
    <w:rsid w:val="005044CB"/>
    <w:pPr>
      <w:shd w:val="clear" w:color="auto" w:fill="FFFFFF"/>
      <w:overflowPunct w:val="0"/>
      <w:autoSpaceDE w:val="0"/>
      <w:autoSpaceDN w:val="0"/>
      <w:adjustRightInd w:val="0"/>
      <w:spacing w:after="120" w:line="140" w:lineRule="exact"/>
      <w:jc w:val="center"/>
      <w:textAlignment w:val="baseline"/>
    </w:pPr>
    <w:rPr>
      <w:rFonts w:ascii="Calibri" w:hAnsi="Calibri"/>
      <w:sz w:val="12"/>
      <w:szCs w:val="20"/>
    </w:rPr>
  </w:style>
  <w:style w:type="paragraph" w:customStyle="1" w:styleId="rtecenter">
    <w:name w:val="rtecenter"/>
    <w:basedOn w:val="a"/>
    <w:rsid w:val="00EA2934"/>
    <w:pPr>
      <w:spacing w:before="120" w:after="216"/>
      <w:jc w:val="center"/>
    </w:pPr>
  </w:style>
  <w:style w:type="paragraph" w:customStyle="1" w:styleId="rteright">
    <w:name w:val="rteright"/>
    <w:basedOn w:val="a"/>
    <w:rsid w:val="00A95902"/>
    <w:pPr>
      <w:overflowPunct w:val="0"/>
      <w:autoSpaceDE w:val="0"/>
      <w:autoSpaceDN w:val="0"/>
      <w:adjustRightInd w:val="0"/>
      <w:spacing w:before="120" w:after="216"/>
      <w:jc w:val="right"/>
      <w:textAlignment w:val="baseline"/>
    </w:pPr>
    <w:rPr>
      <w:szCs w:val="20"/>
    </w:rPr>
  </w:style>
  <w:style w:type="paragraph" w:styleId="2f">
    <w:name w:val="toc 2"/>
    <w:basedOn w:val="a"/>
    <w:next w:val="a"/>
    <w:semiHidden/>
    <w:rsid w:val="00032649"/>
    <w:pPr>
      <w:overflowPunct w:val="0"/>
      <w:autoSpaceDE w:val="0"/>
      <w:autoSpaceDN w:val="0"/>
      <w:adjustRightInd w:val="0"/>
      <w:ind w:left="240"/>
      <w:textAlignment w:val="baseline"/>
    </w:pPr>
    <w:rPr>
      <w:rFonts w:ascii="Calibri" w:hAnsi="Calibri"/>
      <w:szCs w:val="20"/>
      <w:lang w:val="en-US"/>
    </w:rPr>
  </w:style>
  <w:style w:type="character" w:customStyle="1" w:styleId="1b">
    <w:name w:val="Выделение1"/>
    <w:rsid w:val="00032649"/>
    <w:rPr>
      <w:rFonts w:ascii="Calibri" w:hAnsi="Calibri"/>
      <w:b/>
      <w:i/>
    </w:rPr>
  </w:style>
  <w:style w:type="character" w:customStyle="1" w:styleId="11SimSun">
    <w:name w:val="Основной текст (11) + SimSun"/>
    <w:rsid w:val="00032649"/>
    <w:rPr>
      <w:rFonts w:ascii="SimSun" w:eastAsia="SimSun" w:hAnsi="Arial"/>
      <w:spacing w:val="-10"/>
      <w:sz w:val="16"/>
    </w:rPr>
  </w:style>
  <w:style w:type="character" w:customStyle="1" w:styleId="272">
    <w:name w:val="Основной текст (27)_"/>
    <w:rsid w:val="00032649"/>
    <w:rPr>
      <w:rFonts w:ascii="Arial" w:hAnsi="Arial"/>
      <w:sz w:val="14"/>
      <w:shd w:val="clear" w:color="auto" w:fill="FFFFFF"/>
    </w:rPr>
  </w:style>
  <w:style w:type="paragraph" w:customStyle="1" w:styleId="260">
    <w:name w:val="Основной текст (26)"/>
    <w:basedOn w:val="a"/>
    <w:link w:val="261"/>
    <w:rsid w:val="00032649"/>
    <w:pPr>
      <w:shd w:val="clear" w:color="auto" w:fill="FFFFFF"/>
      <w:overflowPunct w:val="0"/>
      <w:autoSpaceDE w:val="0"/>
      <w:autoSpaceDN w:val="0"/>
      <w:adjustRightInd w:val="0"/>
      <w:spacing w:line="240" w:lineRule="atLeast"/>
      <w:jc w:val="center"/>
      <w:textAlignment w:val="baseline"/>
    </w:pPr>
    <w:rPr>
      <w:rFonts w:ascii="Arial" w:hAnsi="Arial"/>
      <w:sz w:val="14"/>
      <w:szCs w:val="20"/>
    </w:rPr>
  </w:style>
  <w:style w:type="character" w:customStyle="1" w:styleId="261">
    <w:name w:val="Основной текст (26)_"/>
    <w:link w:val="260"/>
    <w:rsid w:val="00032649"/>
    <w:rPr>
      <w:rFonts w:ascii="Arial" w:eastAsia="Times New Roman" w:hAnsi="Arial" w:cs="Times New Roman"/>
      <w:sz w:val="14"/>
      <w:szCs w:val="20"/>
      <w:shd w:val="clear" w:color="auto" w:fill="FFFFFF"/>
      <w:lang w:eastAsia="ru-RU"/>
    </w:rPr>
  </w:style>
  <w:style w:type="paragraph" w:customStyle="1" w:styleId="241">
    <w:name w:val="Основной текст (24)"/>
    <w:basedOn w:val="a"/>
    <w:link w:val="242"/>
    <w:rsid w:val="00032649"/>
    <w:pPr>
      <w:shd w:val="clear" w:color="auto" w:fill="FFFFFF"/>
      <w:overflowPunct w:val="0"/>
      <w:autoSpaceDE w:val="0"/>
      <w:autoSpaceDN w:val="0"/>
      <w:adjustRightInd w:val="0"/>
      <w:spacing w:line="240" w:lineRule="atLeast"/>
      <w:textAlignment w:val="baseline"/>
    </w:pPr>
    <w:rPr>
      <w:rFonts w:ascii="Arial" w:hAnsi="Arial"/>
      <w:sz w:val="21"/>
      <w:szCs w:val="20"/>
    </w:rPr>
  </w:style>
  <w:style w:type="character" w:customStyle="1" w:styleId="242">
    <w:name w:val="Основной текст (24)_"/>
    <w:link w:val="241"/>
    <w:rsid w:val="00032649"/>
    <w:rPr>
      <w:rFonts w:ascii="Arial" w:eastAsia="Times New Roman" w:hAnsi="Arial" w:cs="Times New Roman"/>
      <w:sz w:val="21"/>
      <w:szCs w:val="20"/>
      <w:shd w:val="clear" w:color="auto" w:fill="FFFFFF"/>
      <w:lang w:eastAsia="ru-RU"/>
    </w:rPr>
  </w:style>
  <w:style w:type="character" w:customStyle="1" w:styleId="282">
    <w:name w:val="Основной текст (28)_"/>
    <w:link w:val="281"/>
    <w:rsid w:val="00032649"/>
    <w:rPr>
      <w:rFonts w:ascii="Lucida Sans Unicode" w:hAnsi="Lucida Sans Unicode" w:cs="Lucida Sans Unicode"/>
      <w:spacing w:val="10"/>
      <w:sz w:val="24"/>
      <w:szCs w:val="24"/>
      <w:shd w:val="clear" w:color="auto" w:fill="FFFFFF"/>
    </w:rPr>
  </w:style>
  <w:style w:type="paragraph" w:customStyle="1" w:styleId="4b">
    <w:name w:val="Подпись к таблице (4)"/>
    <w:basedOn w:val="a"/>
    <w:rsid w:val="00032649"/>
    <w:pPr>
      <w:shd w:val="clear" w:color="auto" w:fill="FFFFFF"/>
      <w:overflowPunct w:val="0"/>
      <w:autoSpaceDE w:val="0"/>
      <w:autoSpaceDN w:val="0"/>
      <w:adjustRightInd w:val="0"/>
      <w:spacing w:after="120" w:line="240" w:lineRule="atLeast"/>
      <w:textAlignment w:val="baseline"/>
    </w:pPr>
    <w:rPr>
      <w:rFonts w:ascii="MS Reference Sans Serif" w:hAnsi="MS Reference Sans Serif"/>
      <w:sz w:val="23"/>
      <w:szCs w:val="20"/>
      <w:lang w:val="en-US"/>
    </w:rPr>
  </w:style>
  <w:style w:type="character" w:customStyle="1" w:styleId="MicrosoftSansSerif">
    <w:name w:val="Основной текст + Microsoft Sans Serif"/>
    <w:rsid w:val="00B85E59"/>
    <w:rPr>
      <w:rFonts w:ascii="Microsoft Sans Serif" w:hAnsi="Microsoft Sans Serif"/>
      <w:i/>
      <w:spacing w:val="10"/>
      <w:sz w:val="15"/>
    </w:rPr>
  </w:style>
  <w:style w:type="character" w:customStyle="1" w:styleId="53">
    <w:name w:val="Заголовок №5_"/>
    <w:link w:val="52"/>
    <w:rsid w:val="00E02CFE"/>
    <w:rPr>
      <w:rFonts w:ascii="Arial Narrow" w:hAnsi="Arial Narrow" w:cs="Arial Narrow"/>
      <w:b/>
      <w:bCs/>
      <w:sz w:val="46"/>
      <w:szCs w:val="46"/>
      <w:shd w:val="clear" w:color="auto" w:fill="FFFFFF"/>
    </w:rPr>
  </w:style>
  <w:style w:type="character" w:customStyle="1" w:styleId="highlight">
    <w:name w:val="highlight"/>
    <w:basedOn w:val="a0"/>
    <w:rsid w:val="00570E22"/>
  </w:style>
  <w:style w:type="character" w:customStyle="1" w:styleId="ucoz-forum-post">
    <w:name w:val="ucoz-forum-post"/>
    <w:basedOn w:val="a0"/>
    <w:rsid w:val="00EA78E2"/>
  </w:style>
  <w:style w:type="paragraph" w:customStyle="1" w:styleId="rteindent11">
    <w:name w:val="rteindent11"/>
    <w:basedOn w:val="a"/>
    <w:rsid w:val="007507C4"/>
    <w:pPr>
      <w:spacing w:before="100" w:beforeAutospacing="1" w:after="150"/>
      <w:ind w:left="600" w:firstLine="300"/>
      <w:jc w:val="both"/>
    </w:pPr>
  </w:style>
  <w:style w:type="character" w:customStyle="1" w:styleId="0pt0">
    <w:name w:val="Основной текст + Полужирный;Интервал 0 pt"/>
    <w:basedOn w:val="aff"/>
    <w:rsid w:val="00975F75"/>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3b">
    <w:name w:val="Заголовок №3_"/>
    <w:basedOn w:val="a0"/>
    <w:link w:val="3a"/>
    <w:locked/>
    <w:rsid w:val="00695503"/>
    <w:rPr>
      <w:rFonts w:ascii="Times New Roman" w:hAnsi="Times New Roman"/>
      <w:spacing w:val="40"/>
      <w:sz w:val="52"/>
      <w:szCs w:val="52"/>
      <w:shd w:val="clear" w:color="auto" w:fill="FFFFFF"/>
      <w:lang w:eastAsia="en-US"/>
    </w:rPr>
  </w:style>
  <w:style w:type="character" w:customStyle="1" w:styleId="31pt">
    <w:name w:val="Заголовок №3 + Интервал 1 pt"/>
    <w:basedOn w:val="3b"/>
    <w:rsid w:val="00695503"/>
    <w:rPr>
      <w:rFonts w:ascii="Times New Roman" w:hAnsi="Times New Roman"/>
      <w:spacing w:val="20"/>
      <w:sz w:val="52"/>
      <w:szCs w:val="52"/>
      <w:shd w:val="clear" w:color="auto" w:fill="FFFFFF"/>
      <w:lang w:eastAsia="en-US"/>
    </w:rPr>
  </w:style>
  <w:style w:type="character" w:customStyle="1" w:styleId="4c">
    <w:name w:val="Основной текст (4) + Не курсив"/>
    <w:basedOn w:val="46"/>
    <w:rsid w:val="00F313C4"/>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65pt1pt">
    <w:name w:val="Основной текст + 6;5 pt;Курсив;Интервал 1 pt"/>
    <w:basedOn w:val="aff"/>
    <w:rsid w:val="00CD4949"/>
    <w:rPr>
      <w:rFonts w:ascii="Arial" w:eastAsia="Arial" w:hAnsi="Arial" w:cs="Arial"/>
      <w:b w:val="0"/>
      <w:bCs w:val="0"/>
      <w:i/>
      <w:iCs/>
      <w:smallCaps w:val="0"/>
      <w:strike w:val="0"/>
      <w:spacing w:val="20"/>
      <w:sz w:val="13"/>
      <w:szCs w:val="13"/>
      <w:shd w:val="clear" w:color="auto" w:fill="FFFFFF"/>
    </w:rPr>
  </w:style>
  <w:style w:type="character" w:customStyle="1" w:styleId="2b">
    <w:name w:val="Заголовок №2_"/>
    <w:basedOn w:val="a0"/>
    <w:link w:val="2a"/>
    <w:locked/>
    <w:rsid w:val="00A56388"/>
    <w:rPr>
      <w:rFonts w:ascii="Century Schoolbook" w:hAnsi="Century Schoolbook" w:cs="Century Schoolbook"/>
      <w:sz w:val="17"/>
      <w:szCs w:val="17"/>
      <w:shd w:val="clear" w:color="auto" w:fill="FFFFFF"/>
      <w:lang w:eastAsia="en-US"/>
    </w:rPr>
  </w:style>
  <w:style w:type="character" w:customStyle="1" w:styleId="34">
    <w:name w:val="Основной текст (3)_"/>
    <w:basedOn w:val="a0"/>
    <w:link w:val="310"/>
    <w:locked/>
    <w:rsid w:val="00A56388"/>
    <w:rPr>
      <w:rFonts w:ascii="Times New Roman" w:hAnsi="Times New Roman"/>
      <w:b/>
      <w:bCs/>
      <w:i/>
      <w:iCs/>
      <w:noProof/>
      <w:sz w:val="17"/>
      <w:szCs w:val="17"/>
      <w:shd w:val="clear" w:color="auto" w:fill="FFFFFF"/>
      <w:lang w:val="en-US" w:eastAsia="en-US"/>
    </w:rPr>
  </w:style>
  <w:style w:type="paragraph" w:styleId="HTML">
    <w:name w:val="HTML Preformatted"/>
    <w:basedOn w:val="a"/>
    <w:link w:val="HTML0"/>
    <w:uiPriority w:val="99"/>
    <w:semiHidden/>
    <w:unhideWhenUsed/>
    <w:rsid w:val="00273C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uiPriority w:val="99"/>
    <w:semiHidden/>
    <w:rsid w:val="00273CEF"/>
    <w:rPr>
      <w:rFonts w:ascii="Courier New" w:eastAsia="Times New Roman" w:hAnsi="Courier New" w:cs="Courier New"/>
      <w:sz w:val="24"/>
      <w:szCs w:val="24"/>
    </w:rPr>
  </w:style>
  <w:style w:type="character" w:customStyle="1" w:styleId="4d">
    <w:name w:val="Основной текст (4) + Полужирный"/>
    <w:basedOn w:val="46"/>
    <w:rsid w:val="006C6E2D"/>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5a">
    <w:name w:val="Основной текст (5)_"/>
    <w:basedOn w:val="a0"/>
    <w:link w:val="5b"/>
    <w:rsid w:val="006B5C92"/>
    <w:rPr>
      <w:rFonts w:ascii="Times New Roman" w:eastAsia="Times New Roman" w:hAnsi="Times New Roman"/>
      <w:sz w:val="17"/>
      <w:szCs w:val="17"/>
      <w:shd w:val="clear" w:color="auto" w:fill="FFFFFF"/>
    </w:rPr>
  </w:style>
  <w:style w:type="paragraph" w:customStyle="1" w:styleId="5b">
    <w:name w:val="Основной текст (5)"/>
    <w:basedOn w:val="a"/>
    <w:link w:val="5a"/>
    <w:rsid w:val="006B5C92"/>
    <w:pPr>
      <w:shd w:val="clear" w:color="auto" w:fill="FFFFFF"/>
      <w:spacing w:before="120" w:line="202" w:lineRule="exact"/>
      <w:jc w:val="both"/>
    </w:pPr>
    <w:rPr>
      <w:sz w:val="17"/>
      <w:szCs w:val="17"/>
    </w:rPr>
  </w:style>
  <w:style w:type="character" w:customStyle="1" w:styleId="Bodytext">
    <w:name w:val="Body text_"/>
    <w:basedOn w:val="a0"/>
    <w:link w:val="122"/>
    <w:uiPriority w:val="99"/>
    <w:rsid w:val="004D535A"/>
    <w:rPr>
      <w:rFonts w:ascii="Times New Roman" w:eastAsia="Times New Roman" w:hAnsi="Times New Roman"/>
      <w:sz w:val="23"/>
      <w:szCs w:val="23"/>
      <w:shd w:val="clear" w:color="auto" w:fill="FFFFFF"/>
    </w:rPr>
  </w:style>
  <w:style w:type="paragraph" w:customStyle="1" w:styleId="122">
    <w:name w:val="Основной текст12"/>
    <w:basedOn w:val="a"/>
    <w:link w:val="Bodytext"/>
    <w:uiPriority w:val="99"/>
    <w:rsid w:val="004D535A"/>
    <w:pPr>
      <w:shd w:val="clear" w:color="auto" w:fill="FFFFFF"/>
      <w:spacing w:after="60" w:line="240" w:lineRule="exact"/>
      <w:jc w:val="center"/>
    </w:pPr>
    <w:rPr>
      <w:sz w:val="23"/>
      <w:szCs w:val="23"/>
    </w:rPr>
  </w:style>
  <w:style w:type="character" w:customStyle="1" w:styleId="3c">
    <w:name w:val="Основной текст (3) + Не курсив"/>
    <w:basedOn w:val="34"/>
    <w:rsid w:val="00F203E9"/>
    <w:rPr>
      <w:rFonts w:ascii="Arial" w:eastAsia="Arial" w:hAnsi="Arial" w:cs="Arial"/>
      <w:b/>
      <w:bCs/>
      <w:i/>
      <w:iCs/>
      <w:noProof/>
      <w:sz w:val="15"/>
      <w:szCs w:val="15"/>
      <w:shd w:val="clear" w:color="auto" w:fill="FFFFFF"/>
      <w:lang w:val="en-US" w:eastAsia="en-US"/>
    </w:rPr>
  </w:style>
  <w:style w:type="paragraph" w:customStyle="1" w:styleId="213">
    <w:name w:val="Основной текст21"/>
    <w:basedOn w:val="a"/>
    <w:rsid w:val="00F203E9"/>
    <w:pPr>
      <w:shd w:val="clear" w:color="auto" w:fill="FFFFFF"/>
      <w:spacing w:before="120" w:after="120" w:line="227" w:lineRule="exact"/>
      <w:ind w:hanging="280"/>
      <w:jc w:val="right"/>
    </w:pPr>
    <w:rPr>
      <w:color w:val="000000"/>
      <w:sz w:val="21"/>
      <w:szCs w:val="21"/>
    </w:rPr>
  </w:style>
  <w:style w:type="paragraph" w:customStyle="1" w:styleId="b-articletext">
    <w:name w:val="b-article__text"/>
    <w:basedOn w:val="a"/>
    <w:rsid w:val="00F633FF"/>
    <w:pPr>
      <w:spacing w:before="100" w:beforeAutospacing="1" w:after="100" w:afterAutospacing="1"/>
    </w:pPr>
  </w:style>
  <w:style w:type="paragraph" w:customStyle="1" w:styleId="rteindent1">
    <w:name w:val="rteindent1"/>
    <w:basedOn w:val="a"/>
    <w:rsid w:val="00AA33CA"/>
    <w:pPr>
      <w:spacing w:before="100" w:beforeAutospacing="1" w:after="100" w:afterAutospacing="1"/>
    </w:pPr>
  </w:style>
  <w:style w:type="table" w:styleId="aff9">
    <w:name w:val="Table Grid"/>
    <w:basedOn w:val="a1"/>
    <w:uiPriority w:val="59"/>
    <w:rsid w:val="00C641F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204">
    <w:name w:val="20"/>
    <w:basedOn w:val="a"/>
    <w:rsid w:val="00D962DB"/>
    <w:pPr>
      <w:spacing w:before="100" w:beforeAutospacing="1" w:after="100" w:afterAutospacing="1"/>
    </w:pPr>
  </w:style>
  <w:style w:type="paragraph" w:styleId="affa">
    <w:name w:val="No Spacing"/>
    <w:basedOn w:val="a"/>
    <w:uiPriority w:val="1"/>
    <w:qFormat/>
    <w:rsid w:val="00333C29"/>
    <w:pPr>
      <w:spacing w:before="100" w:beforeAutospacing="1" w:after="100" w:afterAutospacing="1"/>
    </w:pPr>
  </w:style>
  <w:style w:type="paragraph" w:customStyle="1" w:styleId="style3">
    <w:name w:val="style3"/>
    <w:basedOn w:val="a"/>
    <w:rsid w:val="00972CF7"/>
    <w:pPr>
      <w:spacing w:before="100" w:beforeAutospacing="1" w:after="100" w:afterAutospacing="1"/>
    </w:pPr>
  </w:style>
  <w:style w:type="character" w:customStyle="1" w:styleId="800">
    <w:name w:val="Основной текст80"/>
    <w:basedOn w:val="aff"/>
    <w:rsid w:val="00D24779"/>
    <w:rPr>
      <w:rFonts w:ascii="Segoe UI" w:eastAsia="Segoe UI" w:hAnsi="Segoe UI" w:cs="Segoe UI"/>
      <w:b w:val="0"/>
      <w:bCs w:val="0"/>
      <w:i w:val="0"/>
      <w:iCs w:val="0"/>
      <w:smallCaps w:val="0"/>
      <w:strike w:val="0"/>
      <w:spacing w:val="0"/>
      <w:sz w:val="14"/>
      <w:szCs w:val="14"/>
      <w:shd w:val="clear" w:color="auto" w:fill="FFFFFF"/>
    </w:rPr>
  </w:style>
  <w:style w:type="paragraph" w:customStyle="1" w:styleId="116">
    <w:name w:val="Основной текст116"/>
    <w:basedOn w:val="a"/>
    <w:rsid w:val="00D24779"/>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paragraph" w:customStyle="1" w:styleId="article-renderblock">
    <w:name w:val="article-render__block"/>
    <w:basedOn w:val="a"/>
    <w:rsid w:val="00950703"/>
    <w:pPr>
      <w:spacing w:before="100" w:beforeAutospacing="1" w:after="100" w:afterAutospacing="1"/>
    </w:pPr>
  </w:style>
  <w:style w:type="character" w:customStyle="1" w:styleId="affb">
    <w:name w:val="Другое_"/>
    <w:basedOn w:val="a0"/>
    <w:link w:val="affc"/>
    <w:rsid w:val="000F2B27"/>
    <w:rPr>
      <w:rFonts w:ascii="Arial" w:eastAsia="Arial" w:hAnsi="Arial" w:cs="Arial"/>
      <w:sz w:val="17"/>
      <w:szCs w:val="17"/>
    </w:rPr>
  </w:style>
  <w:style w:type="paragraph" w:customStyle="1" w:styleId="affc">
    <w:name w:val="Другое"/>
    <w:basedOn w:val="a"/>
    <w:link w:val="affb"/>
    <w:rsid w:val="000F2B27"/>
    <w:pPr>
      <w:widowControl w:val="0"/>
      <w:ind w:firstLine="180"/>
    </w:pPr>
    <w:rPr>
      <w:rFonts w:ascii="Arial" w:eastAsia="Arial" w:hAnsi="Arial" w:cs="Arial"/>
      <w:sz w:val="17"/>
      <w:szCs w:val="17"/>
    </w:rPr>
  </w:style>
  <w:style w:type="character" w:customStyle="1" w:styleId="811">
    <w:name w:val="Основной текст81"/>
    <w:basedOn w:val="aff"/>
    <w:rsid w:val="00091569"/>
    <w:rPr>
      <w:rFonts w:ascii="Segoe UI" w:eastAsia="Segoe UI" w:hAnsi="Segoe UI" w:cs="Segoe UI"/>
      <w:b w:val="0"/>
      <w:bCs w:val="0"/>
      <w:i w:val="0"/>
      <w:iCs w:val="0"/>
      <w:smallCaps w:val="0"/>
      <w:strike w:val="0"/>
      <w:spacing w:val="0"/>
      <w:sz w:val="14"/>
      <w:szCs w:val="14"/>
      <w:shd w:val="clear" w:color="auto" w:fill="FFFFFF"/>
    </w:rPr>
  </w:style>
  <w:style w:type="character" w:customStyle="1" w:styleId="820">
    <w:name w:val="Основной текст82"/>
    <w:basedOn w:val="aff"/>
    <w:rsid w:val="00091569"/>
    <w:rPr>
      <w:rFonts w:ascii="Segoe UI" w:eastAsia="Segoe UI" w:hAnsi="Segoe UI" w:cs="Segoe UI"/>
      <w:b w:val="0"/>
      <w:bCs w:val="0"/>
      <w:i w:val="0"/>
      <w:iCs w:val="0"/>
      <w:smallCaps w:val="0"/>
      <w:strike w:val="0"/>
      <w:spacing w:val="0"/>
      <w:sz w:val="14"/>
      <w:szCs w:val="14"/>
      <w:shd w:val="clear" w:color="auto" w:fill="FFFFFF"/>
    </w:rPr>
  </w:style>
  <w:style w:type="character" w:customStyle="1" w:styleId="640">
    <w:name w:val="Основной текст64"/>
    <w:basedOn w:val="aff"/>
    <w:rsid w:val="00091569"/>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61">
    <w:name w:val="Основной текст16"/>
    <w:basedOn w:val="a"/>
    <w:rsid w:val="003B0889"/>
    <w:pPr>
      <w:shd w:val="clear" w:color="auto" w:fill="FFFFFF"/>
      <w:spacing w:before="2580" w:line="0" w:lineRule="atLeast"/>
    </w:pPr>
    <w:rPr>
      <w:rFonts w:ascii="Arial Unicode MS" w:eastAsia="Arial Unicode MS" w:hAnsi="Arial Unicode MS" w:cs="Arial Unicode MS"/>
      <w:color w:val="000000"/>
      <w:sz w:val="14"/>
      <w:szCs w:val="14"/>
      <w:lang w:val="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864366">
      <w:bodyDiv w:val="1"/>
      <w:marLeft w:val="0"/>
      <w:marRight w:val="0"/>
      <w:marTop w:val="0"/>
      <w:marBottom w:val="0"/>
      <w:divBdr>
        <w:top w:val="none" w:sz="0" w:space="0" w:color="auto"/>
        <w:left w:val="none" w:sz="0" w:space="0" w:color="auto"/>
        <w:bottom w:val="none" w:sz="0" w:space="0" w:color="auto"/>
        <w:right w:val="none" w:sz="0" w:space="0" w:color="auto"/>
      </w:divBdr>
      <w:divsChild>
        <w:div w:id="1814181409">
          <w:marLeft w:val="0"/>
          <w:marRight w:val="0"/>
          <w:marTop w:val="0"/>
          <w:marBottom w:val="0"/>
          <w:divBdr>
            <w:top w:val="none" w:sz="0" w:space="0" w:color="auto"/>
            <w:left w:val="none" w:sz="0" w:space="0" w:color="auto"/>
            <w:bottom w:val="none" w:sz="0" w:space="0" w:color="auto"/>
            <w:right w:val="none" w:sz="0" w:space="0" w:color="auto"/>
          </w:divBdr>
          <w:divsChild>
            <w:div w:id="1385638749">
              <w:marLeft w:val="0"/>
              <w:marRight w:val="0"/>
              <w:marTop w:val="0"/>
              <w:marBottom w:val="0"/>
              <w:divBdr>
                <w:top w:val="none" w:sz="0" w:space="0" w:color="auto"/>
                <w:left w:val="none" w:sz="0" w:space="0" w:color="auto"/>
                <w:bottom w:val="none" w:sz="0" w:space="0" w:color="auto"/>
                <w:right w:val="none" w:sz="0" w:space="0" w:color="auto"/>
              </w:divBdr>
              <w:divsChild>
                <w:div w:id="50079658">
                  <w:marLeft w:val="0"/>
                  <w:marRight w:val="0"/>
                  <w:marTop w:val="0"/>
                  <w:marBottom w:val="0"/>
                  <w:divBdr>
                    <w:top w:val="none" w:sz="0" w:space="0" w:color="auto"/>
                    <w:left w:val="none" w:sz="0" w:space="0" w:color="auto"/>
                    <w:bottom w:val="none" w:sz="0" w:space="0" w:color="auto"/>
                    <w:right w:val="none" w:sz="0" w:space="0" w:color="auto"/>
                  </w:divBdr>
                </w:div>
                <w:div w:id="1061446265">
                  <w:marLeft w:val="0"/>
                  <w:marRight w:val="0"/>
                  <w:marTop w:val="0"/>
                  <w:marBottom w:val="0"/>
                  <w:divBdr>
                    <w:top w:val="none" w:sz="0" w:space="0" w:color="auto"/>
                    <w:left w:val="none" w:sz="0" w:space="0" w:color="auto"/>
                    <w:bottom w:val="none" w:sz="0" w:space="0" w:color="auto"/>
                    <w:right w:val="none" w:sz="0" w:space="0" w:color="auto"/>
                  </w:divBdr>
                </w:div>
                <w:div w:id="1645814176">
                  <w:marLeft w:val="0"/>
                  <w:marRight w:val="0"/>
                  <w:marTop w:val="0"/>
                  <w:marBottom w:val="0"/>
                  <w:divBdr>
                    <w:top w:val="none" w:sz="0" w:space="0" w:color="auto"/>
                    <w:left w:val="none" w:sz="0" w:space="0" w:color="auto"/>
                    <w:bottom w:val="none" w:sz="0" w:space="0" w:color="auto"/>
                    <w:right w:val="none" w:sz="0" w:space="0" w:color="auto"/>
                  </w:divBdr>
                </w:div>
                <w:div w:id="2027905916">
                  <w:marLeft w:val="0"/>
                  <w:marRight w:val="0"/>
                  <w:marTop w:val="0"/>
                  <w:marBottom w:val="0"/>
                  <w:divBdr>
                    <w:top w:val="none" w:sz="0" w:space="0" w:color="auto"/>
                    <w:left w:val="none" w:sz="0" w:space="0" w:color="auto"/>
                    <w:bottom w:val="none" w:sz="0" w:space="0" w:color="auto"/>
                    <w:right w:val="none" w:sz="0" w:space="0" w:color="auto"/>
                  </w:divBdr>
                </w:div>
                <w:div w:id="728113423">
                  <w:marLeft w:val="0"/>
                  <w:marRight w:val="0"/>
                  <w:marTop w:val="0"/>
                  <w:marBottom w:val="0"/>
                  <w:divBdr>
                    <w:top w:val="none" w:sz="0" w:space="0" w:color="auto"/>
                    <w:left w:val="none" w:sz="0" w:space="0" w:color="auto"/>
                    <w:bottom w:val="none" w:sz="0" w:space="0" w:color="auto"/>
                    <w:right w:val="none" w:sz="0" w:space="0" w:color="auto"/>
                  </w:divBdr>
                </w:div>
                <w:div w:id="1593049218">
                  <w:marLeft w:val="0"/>
                  <w:marRight w:val="0"/>
                  <w:marTop w:val="0"/>
                  <w:marBottom w:val="0"/>
                  <w:divBdr>
                    <w:top w:val="none" w:sz="0" w:space="0" w:color="auto"/>
                    <w:left w:val="none" w:sz="0" w:space="0" w:color="auto"/>
                    <w:bottom w:val="none" w:sz="0" w:space="0" w:color="auto"/>
                    <w:right w:val="none" w:sz="0" w:space="0" w:color="auto"/>
                  </w:divBdr>
                </w:div>
                <w:div w:id="2075542802">
                  <w:marLeft w:val="0"/>
                  <w:marRight w:val="0"/>
                  <w:marTop w:val="0"/>
                  <w:marBottom w:val="0"/>
                  <w:divBdr>
                    <w:top w:val="none" w:sz="0" w:space="0" w:color="auto"/>
                    <w:left w:val="none" w:sz="0" w:space="0" w:color="auto"/>
                    <w:bottom w:val="none" w:sz="0" w:space="0" w:color="auto"/>
                    <w:right w:val="none" w:sz="0" w:space="0" w:color="auto"/>
                  </w:divBdr>
                </w:div>
                <w:div w:id="1893804871">
                  <w:marLeft w:val="0"/>
                  <w:marRight w:val="0"/>
                  <w:marTop w:val="0"/>
                  <w:marBottom w:val="0"/>
                  <w:divBdr>
                    <w:top w:val="none" w:sz="0" w:space="0" w:color="auto"/>
                    <w:left w:val="none" w:sz="0" w:space="0" w:color="auto"/>
                    <w:bottom w:val="none" w:sz="0" w:space="0" w:color="auto"/>
                    <w:right w:val="none" w:sz="0" w:space="0" w:color="auto"/>
                  </w:divBdr>
                </w:div>
                <w:div w:id="1530072694">
                  <w:marLeft w:val="0"/>
                  <w:marRight w:val="0"/>
                  <w:marTop w:val="0"/>
                  <w:marBottom w:val="0"/>
                  <w:divBdr>
                    <w:top w:val="none" w:sz="0" w:space="0" w:color="auto"/>
                    <w:left w:val="none" w:sz="0" w:space="0" w:color="auto"/>
                    <w:bottom w:val="none" w:sz="0" w:space="0" w:color="auto"/>
                    <w:right w:val="none" w:sz="0" w:space="0" w:color="auto"/>
                  </w:divBdr>
                </w:div>
                <w:div w:id="1118598030">
                  <w:marLeft w:val="0"/>
                  <w:marRight w:val="0"/>
                  <w:marTop w:val="0"/>
                  <w:marBottom w:val="0"/>
                  <w:divBdr>
                    <w:top w:val="none" w:sz="0" w:space="0" w:color="auto"/>
                    <w:left w:val="none" w:sz="0" w:space="0" w:color="auto"/>
                    <w:bottom w:val="none" w:sz="0" w:space="0" w:color="auto"/>
                    <w:right w:val="none" w:sz="0" w:space="0" w:color="auto"/>
                  </w:divBdr>
                </w:div>
                <w:div w:id="1219173033">
                  <w:marLeft w:val="0"/>
                  <w:marRight w:val="0"/>
                  <w:marTop w:val="0"/>
                  <w:marBottom w:val="0"/>
                  <w:divBdr>
                    <w:top w:val="none" w:sz="0" w:space="0" w:color="auto"/>
                    <w:left w:val="none" w:sz="0" w:space="0" w:color="auto"/>
                    <w:bottom w:val="none" w:sz="0" w:space="0" w:color="auto"/>
                    <w:right w:val="none" w:sz="0" w:space="0" w:color="auto"/>
                  </w:divBdr>
                </w:div>
                <w:div w:id="1173955691">
                  <w:marLeft w:val="0"/>
                  <w:marRight w:val="0"/>
                  <w:marTop w:val="0"/>
                  <w:marBottom w:val="0"/>
                  <w:divBdr>
                    <w:top w:val="none" w:sz="0" w:space="0" w:color="auto"/>
                    <w:left w:val="none" w:sz="0" w:space="0" w:color="auto"/>
                    <w:bottom w:val="none" w:sz="0" w:space="0" w:color="auto"/>
                    <w:right w:val="none" w:sz="0" w:space="0" w:color="auto"/>
                  </w:divBdr>
                </w:div>
                <w:div w:id="624505342">
                  <w:marLeft w:val="0"/>
                  <w:marRight w:val="0"/>
                  <w:marTop w:val="0"/>
                  <w:marBottom w:val="0"/>
                  <w:divBdr>
                    <w:top w:val="none" w:sz="0" w:space="0" w:color="auto"/>
                    <w:left w:val="none" w:sz="0" w:space="0" w:color="auto"/>
                    <w:bottom w:val="none" w:sz="0" w:space="0" w:color="auto"/>
                    <w:right w:val="none" w:sz="0" w:space="0" w:color="auto"/>
                  </w:divBdr>
                </w:div>
                <w:div w:id="2084404474">
                  <w:marLeft w:val="0"/>
                  <w:marRight w:val="0"/>
                  <w:marTop w:val="0"/>
                  <w:marBottom w:val="0"/>
                  <w:divBdr>
                    <w:top w:val="none" w:sz="0" w:space="0" w:color="auto"/>
                    <w:left w:val="none" w:sz="0" w:space="0" w:color="auto"/>
                    <w:bottom w:val="none" w:sz="0" w:space="0" w:color="auto"/>
                    <w:right w:val="none" w:sz="0" w:space="0" w:color="auto"/>
                  </w:divBdr>
                </w:div>
                <w:div w:id="534346154">
                  <w:marLeft w:val="0"/>
                  <w:marRight w:val="0"/>
                  <w:marTop w:val="0"/>
                  <w:marBottom w:val="0"/>
                  <w:divBdr>
                    <w:top w:val="none" w:sz="0" w:space="0" w:color="auto"/>
                    <w:left w:val="none" w:sz="0" w:space="0" w:color="auto"/>
                    <w:bottom w:val="none" w:sz="0" w:space="0" w:color="auto"/>
                    <w:right w:val="none" w:sz="0" w:space="0" w:color="auto"/>
                  </w:divBdr>
                </w:div>
                <w:div w:id="154615801">
                  <w:marLeft w:val="0"/>
                  <w:marRight w:val="0"/>
                  <w:marTop w:val="0"/>
                  <w:marBottom w:val="0"/>
                  <w:divBdr>
                    <w:top w:val="none" w:sz="0" w:space="0" w:color="auto"/>
                    <w:left w:val="none" w:sz="0" w:space="0" w:color="auto"/>
                    <w:bottom w:val="none" w:sz="0" w:space="0" w:color="auto"/>
                    <w:right w:val="none" w:sz="0" w:space="0" w:color="auto"/>
                  </w:divBdr>
                </w:div>
                <w:div w:id="1517959151">
                  <w:marLeft w:val="0"/>
                  <w:marRight w:val="0"/>
                  <w:marTop w:val="0"/>
                  <w:marBottom w:val="0"/>
                  <w:divBdr>
                    <w:top w:val="none" w:sz="0" w:space="0" w:color="auto"/>
                    <w:left w:val="none" w:sz="0" w:space="0" w:color="auto"/>
                    <w:bottom w:val="none" w:sz="0" w:space="0" w:color="auto"/>
                    <w:right w:val="none" w:sz="0" w:space="0" w:color="auto"/>
                  </w:divBdr>
                </w:div>
                <w:div w:id="1875997673">
                  <w:marLeft w:val="0"/>
                  <w:marRight w:val="0"/>
                  <w:marTop w:val="0"/>
                  <w:marBottom w:val="0"/>
                  <w:divBdr>
                    <w:top w:val="none" w:sz="0" w:space="0" w:color="auto"/>
                    <w:left w:val="none" w:sz="0" w:space="0" w:color="auto"/>
                    <w:bottom w:val="none" w:sz="0" w:space="0" w:color="auto"/>
                    <w:right w:val="none" w:sz="0" w:space="0" w:color="auto"/>
                  </w:divBdr>
                </w:div>
                <w:div w:id="1832407948">
                  <w:marLeft w:val="0"/>
                  <w:marRight w:val="0"/>
                  <w:marTop w:val="0"/>
                  <w:marBottom w:val="0"/>
                  <w:divBdr>
                    <w:top w:val="none" w:sz="0" w:space="0" w:color="auto"/>
                    <w:left w:val="none" w:sz="0" w:space="0" w:color="auto"/>
                    <w:bottom w:val="none" w:sz="0" w:space="0" w:color="auto"/>
                    <w:right w:val="none" w:sz="0" w:space="0" w:color="auto"/>
                  </w:divBdr>
                </w:div>
                <w:div w:id="1224484393">
                  <w:marLeft w:val="0"/>
                  <w:marRight w:val="0"/>
                  <w:marTop w:val="0"/>
                  <w:marBottom w:val="0"/>
                  <w:divBdr>
                    <w:top w:val="none" w:sz="0" w:space="0" w:color="auto"/>
                    <w:left w:val="none" w:sz="0" w:space="0" w:color="auto"/>
                    <w:bottom w:val="none" w:sz="0" w:space="0" w:color="auto"/>
                    <w:right w:val="none" w:sz="0" w:space="0" w:color="auto"/>
                  </w:divBdr>
                </w:div>
                <w:div w:id="324867674">
                  <w:marLeft w:val="0"/>
                  <w:marRight w:val="0"/>
                  <w:marTop w:val="0"/>
                  <w:marBottom w:val="0"/>
                  <w:divBdr>
                    <w:top w:val="none" w:sz="0" w:space="0" w:color="auto"/>
                    <w:left w:val="none" w:sz="0" w:space="0" w:color="auto"/>
                    <w:bottom w:val="none" w:sz="0" w:space="0" w:color="auto"/>
                    <w:right w:val="none" w:sz="0" w:space="0" w:color="auto"/>
                  </w:divBdr>
                </w:div>
                <w:div w:id="213277562">
                  <w:marLeft w:val="0"/>
                  <w:marRight w:val="0"/>
                  <w:marTop w:val="0"/>
                  <w:marBottom w:val="0"/>
                  <w:divBdr>
                    <w:top w:val="none" w:sz="0" w:space="0" w:color="auto"/>
                    <w:left w:val="none" w:sz="0" w:space="0" w:color="auto"/>
                    <w:bottom w:val="none" w:sz="0" w:space="0" w:color="auto"/>
                    <w:right w:val="none" w:sz="0" w:space="0" w:color="auto"/>
                  </w:divBdr>
                </w:div>
                <w:div w:id="1903565629">
                  <w:marLeft w:val="0"/>
                  <w:marRight w:val="0"/>
                  <w:marTop w:val="0"/>
                  <w:marBottom w:val="0"/>
                  <w:divBdr>
                    <w:top w:val="none" w:sz="0" w:space="0" w:color="auto"/>
                    <w:left w:val="none" w:sz="0" w:space="0" w:color="auto"/>
                    <w:bottom w:val="none" w:sz="0" w:space="0" w:color="auto"/>
                    <w:right w:val="none" w:sz="0" w:space="0" w:color="auto"/>
                  </w:divBdr>
                </w:div>
                <w:div w:id="203643180">
                  <w:marLeft w:val="0"/>
                  <w:marRight w:val="0"/>
                  <w:marTop w:val="0"/>
                  <w:marBottom w:val="0"/>
                  <w:divBdr>
                    <w:top w:val="none" w:sz="0" w:space="0" w:color="auto"/>
                    <w:left w:val="none" w:sz="0" w:space="0" w:color="auto"/>
                    <w:bottom w:val="none" w:sz="0" w:space="0" w:color="auto"/>
                    <w:right w:val="none" w:sz="0" w:space="0" w:color="auto"/>
                  </w:divBdr>
                </w:div>
                <w:div w:id="471604288">
                  <w:marLeft w:val="0"/>
                  <w:marRight w:val="0"/>
                  <w:marTop w:val="0"/>
                  <w:marBottom w:val="0"/>
                  <w:divBdr>
                    <w:top w:val="none" w:sz="0" w:space="0" w:color="auto"/>
                    <w:left w:val="none" w:sz="0" w:space="0" w:color="auto"/>
                    <w:bottom w:val="none" w:sz="0" w:space="0" w:color="auto"/>
                    <w:right w:val="none" w:sz="0" w:space="0" w:color="auto"/>
                  </w:divBdr>
                </w:div>
                <w:div w:id="1515802649">
                  <w:marLeft w:val="0"/>
                  <w:marRight w:val="0"/>
                  <w:marTop w:val="0"/>
                  <w:marBottom w:val="0"/>
                  <w:divBdr>
                    <w:top w:val="none" w:sz="0" w:space="0" w:color="auto"/>
                    <w:left w:val="none" w:sz="0" w:space="0" w:color="auto"/>
                    <w:bottom w:val="none" w:sz="0" w:space="0" w:color="auto"/>
                    <w:right w:val="none" w:sz="0" w:space="0" w:color="auto"/>
                  </w:divBdr>
                </w:div>
                <w:div w:id="1080324653">
                  <w:marLeft w:val="0"/>
                  <w:marRight w:val="0"/>
                  <w:marTop w:val="0"/>
                  <w:marBottom w:val="0"/>
                  <w:divBdr>
                    <w:top w:val="none" w:sz="0" w:space="0" w:color="auto"/>
                    <w:left w:val="none" w:sz="0" w:space="0" w:color="auto"/>
                    <w:bottom w:val="none" w:sz="0" w:space="0" w:color="auto"/>
                    <w:right w:val="none" w:sz="0" w:space="0" w:color="auto"/>
                  </w:divBdr>
                  <w:divsChild>
                    <w:div w:id="1048577902">
                      <w:marLeft w:val="0"/>
                      <w:marRight w:val="0"/>
                      <w:marTop w:val="0"/>
                      <w:marBottom w:val="0"/>
                      <w:divBdr>
                        <w:top w:val="none" w:sz="0" w:space="0" w:color="auto"/>
                        <w:left w:val="none" w:sz="0" w:space="0" w:color="auto"/>
                        <w:bottom w:val="none" w:sz="0" w:space="0" w:color="auto"/>
                        <w:right w:val="none" w:sz="0" w:space="0" w:color="auto"/>
                      </w:divBdr>
                      <w:divsChild>
                        <w:div w:id="1657226427">
                          <w:marLeft w:val="0"/>
                          <w:marRight w:val="0"/>
                          <w:marTop w:val="0"/>
                          <w:marBottom w:val="0"/>
                          <w:divBdr>
                            <w:top w:val="none" w:sz="0" w:space="0" w:color="auto"/>
                            <w:left w:val="none" w:sz="0" w:space="0" w:color="auto"/>
                            <w:bottom w:val="none" w:sz="0" w:space="0" w:color="auto"/>
                            <w:right w:val="none" w:sz="0" w:space="0" w:color="auto"/>
                          </w:divBdr>
                        </w:div>
                        <w:div w:id="1522431124">
                          <w:marLeft w:val="0"/>
                          <w:marRight w:val="0"/>
                          <w:marTop w:val="0"/>
                          <w:marBottom w:val="0"/>
                          <w:divBdr>
                            <w:top w:val="none" w:sz="0" w:space="0" w:color="auto"/>
                            <w:left w:val="none" w:sz="0" w:space="0" w:color="auto"/>
                            <w:bottom w:val="none" w:sz="0" w:space="0" w:color="auto"/>
                            <w:right w:val="none" w:sz="0" w:space="0" w:color="auto"/>
                          </w:divBdr>
                        </w:div>
                        <w:div w:id="2085255695">
                          <w:marLeft w:val="0"/>
                          <w:marRight w:val="0"/>
                          <w:marTop w:val="0"/>
                          <w:marBottom w:val="0"/>
                          <w:divBdr>
                            <w:top w:val="none" w:sz="0" w:space="0" w:color="auto"/>
                            <w:left w:val="none" w:sz="0" w:space="0" w:color="auto"/>
                            <w:bottom w:val="none" w:sz="0" w:space="0" w:color="auto"/>
                            <w:right w:val="none" w:sz="0" w:space="0" w:color="auto"/>
                          </w:divBdr>
                        </w:div>
                        <w:div w:id="740559339">
                          <w:marLeft w:val="0"/>
                          <w:marRight w:val="0"/>
                          <w:marTop w:val="0"/>
                          <w:marBottom w:val="0"/>
                          <w:divBdr>
                            <w:top w:val="none" w:sz="0" w:space="0" w:color="auto"/>
                            <w:left w:val="none" w:sz="0" w:space="0" w:color="auto"/>
                            <w:bottom w:val="none" w:sz="0" w:space="0" w:color="auto"/>
                            <w:right w:val="none" w:sz="0" w:space="0" w:color="auto"/>
                          </w:divBdr>
                        </w:div>
                        <w:div w:id="93289635">
                          <w:marLeft w:val="0"/>
                          <w:marRight w:val="0"/>
                          <w:marTop w:val="0"/>
                          <w:marBottom w:val="0"/>
                          <w:divBdr>
                            <w:top w:val="none" w:sz="0" w:space="0" w:color="auto"/>
                            <w:left w:val="none" w:sz="0" w:space="0" w:color="auto"/>
                            <w:bottom w:val="none" w:sz="0" w:space="0" w:color="auto"/>
                            <w:right w:val="none" w:sz="0" w:space="0" w:color="auto"/>
                          </w:divBdr>
                        </w:div>
                        <w:div w:id="923102913">
                          <w:marLeft w:val="0"/>
                          <w:marRight w:val="0"/>
                          <w:marTop w:val="0"/>
                          <w:marBottom w:val="0"/>
                          <w:divBdr>
                            <w:top w:val="none" w:sz="0" w:space="0" w:color="auto"/>
                            <w:left w:val="none" w:sz="0" w:space="0" w:color="auto"/>
                            <w:bottom w:val="none" w:sz="0" w:space="0" w:color="auto"/>
                            <w:right w:val="none" w:sz="0" w:space="0" w:color="auto"/>
                          </w:divBdr>
                        </w:div>
                        <w:div w:id="2060208169">
                          <w:marLeft w:val="0"/>
                          <w:marRight w:val="0"/>
                          <w:marTop w:val="0"/>
                          <w:marBottom w:val="0"/>
                          <w:divBdr>
                            <w:top w:val="none" w:sz="0" w:space="0" w:color="auto"/>
                            <w:left w:val="none" w:sz="0" w:space="0" w:color="auto"/>
                            <w:bottom w:val="none" w:sz="0" w:space="0" w:color="auto"/>
                            <w:right w:val="none" w:sz="0" w:space="0" w:color="auto"/>
                          </w:divBdr>
                        </w:div>
                        <w:div w:id="2005935177">
                          <w:marLeft w:val="0"/>
                          <w:marRight w:val="0"/>
                          <w:marTop w:val="0"/>
                          <w:marBottom w:val="0"/>
                          <w:divBdr>
                            <w:top w:val="none" w:sz="0" w:space="0" w:color="auto"/>
                            <w:left w:val="none" w:sz="0" w:space="0" w:color="auto"/>
                            <w:bottom w:val="none" w:sz="0" w:space="0" w:color="auto"/>
                            <w:right w:val="none" w:sz="0" w:space="0" w:color="auto"/>
                          </w:divBdr>
                        </w:div>
                        <w:div w:id="515269307">
                          <w:marLeft w:val="0"/>
                          <w:marRight w:val="0"/>
                          <w:marTop w:val="0"/>
                          <w:marBottom w:val="0"/>
                          <w:divBdr>
                            <w:top w:val="none" w:sz="0" w:space="0" w:color="auto"/>
                            <w:left w:val="none" w:sz="0" w:space="0" w:color="auto"/>
                            <w:bottom w:val="none" w:sz="0" w:space="0" w:color="auto"/>
                            <w:right w:val="none" w:sz="0" w:space="0" w:color="auto"/>
                          </w:divBdr>
                        </w:div>
                      </w:divsChild>
                    </w:div>
                    <w:div w:id="1482039049">
                      <w:marLeft w:val="0"/>
                      <w:marRight w:val="0"/>
                      <w:marTop w:val="0"/>
                      <w:marBottom w:val="0"/>
                      <w:divBdr>
                        <w:top w:val="none" w:sz="0" w:space="0" w:color="auto"/>
                        <w:left w:val="none" w:sz="0" w:space="0" w:color="auto"/>
                        <w:bottom w:val="none" w:sz="0" w:space="0" w:color="auto"/>
                        <w:right w:val="none" w:sz="0" w:space="0" w:color="auto"/>
                      </w:divBdr>
                      <w:divsChild>
                        <w:div w:id="21863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391527">
      <w:bodyDiv w:val="1"/>
      <w:marLeft w:val="0"/>
      <w:marRight w:val="0"/>
      <w:marTop w:val="0"/>
      <w:marBottom w:val="0"/>
      <w:divBdr>
        <w:top w:val="none" w:sz="0" w:space="0" w:color="auto"/>
        <w:left w:val="none" w:sz="0" w:space="0" w:color="auto"/>
        <w:bottom w:val="none" w:sz="0" w:space="0" w:color="auto"/>
        <w:right w:val="none" w:sz="0" w:space="0" w:color="auto"/>
      </w:divBdr>
      <w:divsChild>
        <w:div w:id="176122888">
          <w:marLeft w:val="0"/>
          <w:marRight w:val="0"/>
          <w:marTop w:val="0"/>
          <w:marBottom w:val="0"/>
          <w:divBdr>
            <w:top w:val="none" w:sz="0" w:space="0" w:color="auto"/>
            <w:left w:val="none" w:sz="0" w:space="0" w:color="auto"/>
            <w:bottom w:val="none" w:sz="0" w:space="0" w:color="auto"/>
            <w:right w:val="none" w:sz="0" w:space="0" w:color="auto"/>
          </w:divBdr>
          <w:divsChild>
            <w:div w:id="772359730">
              <w:marLeft w:val="0"/>
              <w:marRight w:val="0"/>
              <w:marTop w:val="0"/>
              <w:marBottom w:val="0"/>
              <w:divBdr>
                <w:top w:val="none" w:sz="0" w:space="0" w:color="auto"/>
                <w:left w:val="none" w:sz="0" w:space="0" w:color="auto"/>
                <w:bottom w:val="none" w:sz="0" w:space="0" w:color="auto"/>
                <w:right w:val="none" w:sz="0" w:space="0" w:color="auto"/>
              </w:divBdr>
              <w:divsChild>
                <w:div w:id="855773009">
                  <w:marLeft w:val="0"/>
                  <w:marRight w:val="0"/>
                  <w:marTop w:val="0"/>
                  <w:marBottom w:val="0"/>
                  <w:divBdr>
                    <w:top w:val="none" w:sz="0" w:space="0" w:color="auto"/>
                    <w:left w:val="none" w:sz="0" w:space="0" w:color="auto"/>
                    <w:bottom w:val="none" w:sz="0" w:space="0" w:color="auto"/>
                    <w:right w:val="none" w:sz="0" w:space="0" w:color="auto"/>
                  </w:divBdr>
                  <w:divsChild>
                    <w:div w:id="435096741">
                      <w:marLeft w:val="0"/>
                      <w:marRight w:val="0"/>
                      <w:marTop w:val="0"/>
                      <w:marBottom w:val="0"/>
                      <w:divBdr>
                        <w:top w:val="none" w:sz="0" w:space="0" w:color="auto"/>
                        <w:left w:val="none" w:sz="0" w:space="0" w:color="auto"/>
                        <w:bottom w:val="none" w:sz="0" w:space="0" w:color="auto"/>
                        <w:right w:val="none" w:sz="0" w:space="0" w:color="auto"/>
                      </w:divBdr>
                      <w:divsChild>
                        <w:div w:id="105496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528627">
      <w:bodyDiv w:val="1"/>
      <w:marLeft w:val="0"/>
      <w:marRight w:val="0"/>
      <w:marTop w:val="0"/>
      <w:marBottom w:val="0"/>
      <w:divBdr>
        <w:top w:val="none" w:sz="0" w:space="0" w:color="auto"/>
        <w:left w:val="none" w:sz="0" w:space="0" w:color="auto"/>
        <w:bottom w:val="none" w:sz="0" w:space="0" w:color="auto"/>
        <w:right w:val="none" w:sz="0" w:space="0" w:color="auto"/>
      </w:divBdr>
      <w:divsChild>
        <w:div w:id="41634348">
          <w:marLeft w:val="0"/>
          <w:marRight w:val="0"/>
          <w:marTop w:val="0"/>
          <w:marBottom w:val="0"/>
          <w:divBdr>
            <w:top w:val="none" w:sz="0" w:space="0" w:color="auto"/>
            <w:left w:val="none" w:sz="0" w:space="0" w:color="auto"/>
            <w:bottom w:val="none" w:sz="0" w:space="0" w:color="auto"/>
            <w:right w:val="none" w:sz="0" w:space="0" w:color="auto"/>
          </w:divBdr>
          <w:divsChild>
            <w:div w:id="1977173394">
              <w:marLeft w:val="0"/>
              <w:marRight w:val="0"/>
              <w:marTop w:val="0"/>
              <w:marBottom w:val="0"/>
              <w:divBdr>
                <w:top w:val="none" w:sz="0" w:space="0" w:color="auto"/>
                <w:left w:val="none" w:sz="0" w:space="0" w:color="auto"/>
                <w:bottom w:val="none" w:sz="0" w:space="0" w:color="auto"/>
                <w:right w:val="none" w:sz="0" w:space="0" w:color="auto"/>
              </w:divBdr>
              <w:divsChild>
                <w:div w:id="454253274">
                  <w:marLeft w:val="0"/>
                  <w:marRight w:val="0"/>
                  <w:marTop w:val="0"/>
                  <w:marBottom w:val="0"/>
                  <w:divBdr>
                    <w:top w:val="none" w:sz="0" w:space="0" w:color="auto"/>
                    <w:left w:val="none" w:sz="0" w:space="0" w:color="auto"/>
                    <w:bottom w:val="none" w:sz="0" w:space="0" w:color="auto"/>
                    <w:right w:val="none" w:sz="0" w:space="0" w:color="auto"/>
                  </w:divBdr>
                  <w:divsChild>
                    <w:div w:id="239292409">
                      <w:marLeft w:val="0"/>
                      <w:marRight w:val="0"/>
                      <w:marTop w:val="0"/>
                      <w:marBottom w:val="0"/>
                      <w:divBdr>
                        <w:top w:val="none" w:sz="0" w:space="0" w:color="auto"/>
                        <w:left w:val="none" w:sz="0" w:space="0" w:color="auto"/>
                        <w:bottom w:val="none" w:sz="0" w:space="0" w:color="auto"/>
                        <w:right w:val="none" w:sz="0" w:space="0" w:color="auto"/>
                      </w:divBdr>
                      <w:divsChild>
                        <w:div w:id="2063481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391329">
      <w:bodyDiv w:val="1"/>
      <w:marLeft w:val="0"/>
      <w:marRight w:val="0"/>
      <w:marTop w:val="0"/>
      <w:marBottom w:val="0"/>
      <w:divBdr>
        <w:top w:val="none" w:sz="0" w:space="0" w:color="auto"/>
        <w:left w:val="none" w:sz="0" w:space="0" w:color="auto"/>
        <w:bottom w:val="none" w:sz="0" w:space="0" w:color="auto"/>
        <w:right w:val="none" w:sz="0" w:space="0" w:color="auto"/>
      </w:divBdr>
      <w:divsChild>
        <w:div w:id="2063552811">
          <w:marLeft w:val="0"/>
          <w:marRight w:val="0"/>
          <w:marTop w:val="0"/>
          <w:marBottom w:val="0"/>
          <w:divBdr>
            <w:top w:val="none" w:sz="0" w:space="0" w:color="auto"/>
            <w:left w:val="none" w:sz="0" w:space="0" w:color="auto"/>
            <w:bottom w:val="none" w:sz="0" w:space="0" w:color="auto"/>
            <w:right w:val="none" w:sz="0" w:space="0" w:color="auto"/>
          </w:divBdr>
          <w:divsChild>
            <w:div w:id="1885211595">
              <w:marLeft w:val="0"/>
              <w:marRight w:val="0"/>
              <w:marTop w:val="0"/>
              <w:marBottom w:val="0"/>
              <w:divBdr>
                <w:top w:val="none" w:sz="0" w:space="0" w:color="auto"/>
                <w:left w:val="none" w:sz="0" w:space="0" w:color="auto"/>
                <w:bottom w:val="none" w:sz="0" w:space="0" w:color="auto"/>
                <w:right w:val="none" w:sz="0" w:space="0" w:color="auto"/>
              </w:divBdr>
              <w:divsChild>
                <w:div w:id="1719665203">
                  <w:marLeft w:val="0"/>
                  <w:marRight w:val="0"/>
                  <w:marTop w:val="0"/>
                  <w:marBottom w:val="0"/>
                  <w:divBdr>
                    <w:top w:val="none" w:sz="0" w:space="0" w:color="auto"/>
                    <w:left w:val="none" w:sz="0" w:space="0" w:color="auto"/>
                    <w:bottom w:val="none" w:sz="0" w:space="0" w:color="auto"/>
                    <w:right w:val="none" w:sz="0" w:space="0" w:color="auto"/>
                  </w:divBdr>
                  <w:divsChild>
                    <w:div w:id="1814981959">
                      <w:marLeft w:val="0"/>
                      <w:marRight w:val="0"/>
                      <w:marTop w:val="0"/>
                      <w:marBottom w:val="0"/>
                      <w:divBdr>
                        <w:top w:val="none" w:sz="0" w:space="0" w:color="auto"/>
                        <w:left w:val="none" w:sz="0" w:space="0" w:color="auto"/>
                        <w:bottom w:val="none" w:sz="0" w:space="0" w:color="auto"/>
                        <w:right w:val="none" w:sz="0" w:space="0" w:color="auto"/>
                      </w:divBdr>
                      <w:divsChild>
                        <w:div w:id="27671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659109">
      <w:bodyDiv w:val="1"/>
      <w:marLeft w:val="0"/>
      <w:marRight w:val="0"/>
      <w:marTop w:val="0"/>
      <w:marBottom w:val="0"/>
      <w:divBdr>
        <w:top w:val="none" w:sz="0" w:space="0" w:color="auto"/>
        <w:left w:val="none" w:sz="0" w:space="0" w:color="auto"/>
        <w:bottom w:val="none" w:sz="0" w:space="0" w:color="auto"/>
        <w:right w:val="none" w:sz="0" w:space="0" w:color="auto"/>
      </w:divBdr>
      <w:divsChild>
        <w:div w:id="423501326">
          <w:marLeft w:val="0"/>
          <w:marRight w:val="0"/>
          <w:marTop w:val="0"/>
          <w:marBottom w:val="0"/>
          <w:divBdr>
            <w:top w:val="none" w:sz="0" w:space="0" w:color="auto"/>
            <w:left w:val="none" w:sz="0" w:space="0" w:color="auto"/>
            <w:bottom w:val="none" w:sz="0" w:space="0" w:color="auto"/>
            <w:right w:val="none" w:sz="0" w:space="0" w:color="auto"/>
          </w:divBdr>
          <w:divsChild>
            <w:div w:id="468089859">
              <w:marLeft w:val="0"/>
              <w:marRight w:val="0"/>
              <w:marTop w:val="0"/>
              <w:marBottom w:val="0"/>
              <w:divBdr>
                <w:top w:val="none" w:sz="0" w:space="0" w:color="auto"/>
                <w:left w:val="none" w:sz="0" w:space="0" w:color="auto"/>
                <w:bottom w:val="none" w:sz="0" w:space="0" w:color="auto"/>
                <w:right w:val="none" w:sz="0" w:space="0" w:color="auto"/>
              </w:divBdr>
              <w:divsChild>
                <w:div w:id="1828550775">
                  <w:marLeft w:val="0"/>
                  <w:marRight w:val="0"/>
                  <w:marTop w:val="0"/>
                  <w:marBottom w:val="0"/>
                  <w:divBdr>
                    <w:top w:val="single" w:sz="6" w:space="8" w:color="E0DFD5"/>
                    <w:left w:val="single" w:sz="6" w:space="8" w:color="E0DFD5"/>
                    <w:bottom w:val="single" w:sz="6" w:space="0" w:color="E0DFD5"/>
                    <w:right w:val="single" w:sz="6" w:space="8" w:color="E0DFD5"/>
                  </w:divBdr>
                  <w:divsChild>
                    <w:div w:id="613295019">
                      <w:marLeft w:val="0"/>
                      <w:marRight w:val="0"/>
                      <w:marTop w:val="0"/>
                      <w:marBottom w:val="165"/>
                      <w:divBdr>
                        <w:top w:val="none" w:sz="0" w:space="0" w:color="auto"/>
                        <w:left w:val="none" w:sz="0" w:space="0" w:color="auto"/>
                        <w:bottom w:val="none" w:sz="0" w:space="0" w:color="auto"/>
                        <w:right w:val="none" w:sz="0" w:space="0" w:color="auto"/>
                      </w:divBdr>
                      <w:divsChild>
                        <w:div w:id="705641330">
                          <w:marLeft w:val="0"/>
                          <w:marRight w:val="0"/>
                          <w:marTop w:val="0"/>
                          <w:marBottom w:val="0"/>
                          <w:divBdr>
                            <w:top w:val="none" w:sz="0" w:space="0" w:color="auto"/>
                            <w:left w:val="none" w:sz="0" w:space="0" w:color="auto"/>
                            <w:bottom w:val="none" w:sz="0" w:space="0" w:color="auto"/>
                            <w:right w:val="none" w:sz="0" w:space="0" w:color="auto"/>
                          </w:divBdr>
                          <w:divsChild>
                            <w:div w:id="1177501791">
                              <w:marLeft w:val="0"/>
                              <w:marRight w:val="0"/>
                              <w:marTop w:val="0"/>
                              <w:marBottom w:val="0"/>
                              <w:divBdr>
                                <w:top w:val="none" w:sz="0" w:space="0" w:color="auto"/>
                                <w:left w:val="none" w:sz="0" w:space="0" w:color="auto"/>
                                <w:bottom w:val="none" w:sz="0" w:space="0" w:color="auto"/>
                                <w:right w:val="none" w:sz="0" w:space="0" w:color="auto"/>
                              </w:divBdr>
                              <w:divsChild>
                                <w:div w:id="2075543332">
                                  <w:marLeft w:val="0"/>
                                  <w:marRight w:val="0"/>
                                  <w:marTop w:val="0"/>
                                  <w:marBottom w:val="0"/>
                                  <w:divBdr>
                                    <w:top w:val="none" w:sz="0" w:space="0" w:color="auto"/>
                                    <w:left w:val="none" w:sz="0" w:space="0" w:color="auto"/>
                                    <w:bottom w:val="none" w:sz="0" w:space="0" w:color="auto"/>
                                    <w:right w:val="none" w:sz="0" w:space="0" w:color="auto"/>
                                  </w:divBdr>
                                  <w:divsChild>
                                    <w:div w:id="1150563401">
                                      <w:marLeft w:val="0"/>
                                      <w:marRight w:val="0"/>
                                      <w:marTop w:val="0"/>
                                      <w:marBottom w:val="0"/>
                                      <w:divBdr>
                                        <w:top w:val="none" w:sz="0" w:space="0" w:color="auto"/>
                                        <w:left w:val="none" w:sz="0" w:space="0" w:color="auto"/>
                                        <w:bottom w:val="none" w:sz="0" w:space="0" w:color="auto"/>
                                        <w:right w:val="none" w:sz="0" w:space="0" w:color="auto"/>
                                      </w:divBdr>
                                      <w:divsChild>
                                        <w:div w:id="764570637">
                                          <w:marLeft w:val="0"/>
                                          <w:marRight w:val="0"/>
                                          <w:marTop w:val="0"/>
                                          <w:marBottom w:val="0"/>
                                          <w:divBdr>
                                            <w:top w:val="none" w:sz="0" w:space="0" w:color="auto"/>
                                            <w:left w:val="none" w:sz="0" w:space="0" w:color="auto"/>
                                            <w:bottom w:val="none" w:sz="0" w:space="0" w:color="auto"/>
                                            <w:right w:val="none" w:sz="0" w:space="0" w:color="auto"/>
                                          </w:divBdr>
                                          <w:divsChild>
                                            <w:div w:id="240025243">
                                              <w:marLeft w:val="0"/>
                                              <w:marRight w:val="0"/>
                                              <w:marTop w:val="0"/>
                                              <w:marBottom w:val="0"/>
                                              <w:divBdr>
                                                <w:top w:val="none" w:sz="0" w:space="0" w:color="auto"/>
                                                <w:left w:val="none" w:sz="0" w:space="0" w:color="auto"/>
                                                <w:bottom w:val="none" w:sz="0" w:space="0" w:color="auto"/>
                                                <w:right w:val="none" w:sz="0" w:space="0" w:color="auto"/>
                                              </w:divBdr>
                                              <w:divsChild>
                                                <w:div w:id="808519257">
                                                  <w:marLeft w:val="0"/>
                                                  <w:marRight w:val="0"/>
                                                  <w:marTop w:val="0"/>
                                                  <w:marBottom w:val="0"/>
                                                  <w:divBdr>
                                                    <w:top w:val="none" w:sz="0" w:space="0" w:color="auto"/>
                                                    <w:left w:val="none" w:sz="0" w:space="0" w:color="auto"/>
                                                    <w:bottom w:val="none" w:sz="0" w:space="0" w:color="auto"/>
                                                    <w:right w:val="none" w:sz="0" w:space="0" w:color="auto"/>
                                                  </w:divBdr>
                                                  <w:divsChild>
                                                    <w:div w:id="2074572453">
                                                      <w:marLeft w:val="0"/>
                                                      <w:marRight w:val="0"/>
                                                      <w:marTop w:val="0"/>
                                                      <w:marBottom w:val="0"/>
                                                      <w:divBdr>
                                                        <w:top w:val="single" w:sz="6" w:space="8" w:color="E5E5E5"/>
                                                        <w:left w:val="single" w:sz="6" w:space="8" w:color="E5E5E5"/>
                                                        <w:bottom w:val="single" w:sz="6" w:space="8" w:color="E5E5E5"/>
                                                        <w:right w:val="single" w:sz="6" w:space="8" w:color="E5E5E5"/>
                                                      </w:divBdr>
                                                      <w:divsChild>
                                                        <w:div w:id="1515150309">
                                                          <w:marLeft w:val="0"/>
                                                          <w:marRight w:val="0"/>
                                                          <w:marTop w:val="0"/>
                                                          <w:marBottom w:val="0"/>
                                                          <w:divBdr>
                                                            <w:top w:val="none" w:sz="0" w:space="0" w:color="auto"/>
                                                            <w:left w:val="none" w:sz="0" w:space="0" w:color="auto"/>
                                                            <w:bottom w:val="none" w:sz="0" w:space="0" w:color="auto"/>
                                                            <w:right w:val="none" w:sz="0" w:space="0" w:color="auto"/>
                                                          </w:divBdr>
                                                          <w:divsChild>
                                                            <w:div w:id="1473595393">
                                                              <w:marLeft w:val="0"/>
                                                              <w:marRight w:val="0"/>
                                                              <w:marTop w:val="0"/>
                                                              <w:marBottom w:val="0"/>
                                                              <w:divBdr>
                                                                <w:top w:val="none" w:sz="0" w:space="0" w:color="auto"/>
                                                                <w:left w:val="none" w:sz="0" w:space="0" w:color="auto"/>
                                                                <w:bottom w:val="none" w:sz="0" w:space="0" w:color="auto"/>
                                                                <w:right w:val="none" w:sz="0" w:space="0" w:color="auto"/>
                                                              </w:divBdr>
                                                              <w:divsChild>
                                                                <w:div w:id="1408110849">
                                                                  <w:marLeft w:val="-375"/>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5827352">
      <w:bodyDiv w:val="1"/>
      <w:marLeft w:val="0"/>
      <w:marRight w:val="0"/>
      <w:marTop w:val="0"/>
      <w:marBottom w:val="0"/>
      <w:divBdr>
        <w:top w:val="none" w:sz="0" w:space="0" w:color="auto"/>
        <w:left w:val="none" w:sz="0" w:space="0" w:color="auto"/>
        <w:bottom w:val="none" w:sz="0" w:space="0" w:color="auto"/>
        <w:right w:val="none" w:sz="0" w:space="0" w:color="auto"/>
      </w:divBdr>
      <w:divsChild>
        <w:div w:id="1275402502">
          <w:marLeft w:val="0"/>
          <w:marRight w:val="0"/>
          <w:marTop w:val="0"/>
          <w:marBottom w:val="0"/>
          <w:divBdr>
            <w:top w:val="none" w:sz="0" w:space="0" w:color="auto"/>
            <w:left w:val="none" w:sz="0" w:space="0" w:color="auto"/>
            <w:bottom w:val="none" w:sz="0" w:space="0" w:color="auto"/>
            <w:right w:val="none" w:sz="0" w:space="0" w:color="auto"/>
          </w:divBdr>
          <w:divsChild>
            <w:div w:id="2091536428">
              <w:marLeft w:val="0"/>
              <w:marRight w:val="0"/>
              <w:marTop w:val="0"/>
              <w:marBottom w:val="0"/>
              <w:divBdr>
                <w:top w:val="none" w:sz="0" w:space="0" w:color="auto"/>
                <w:left w:val="none" w:sz="0" w:space="0" w:color="auto"/>
                <w:bottom w:val="none" w:sz="0" w:space="0" w:color="auto"/>
                <w:right w:val="none" w:sz="0" w:space="0" w:color="auto"/>
              </w:divBdr>
              <w:divsChild>
                <w:div w:id="384960512">
                  <w:marLeft w:val="0"/>
                  <w:marRight w:val="0"/>
                  <w:marTop w:val="0"/>
                  <w:marBottom w:val="0"/>
                  <w:divBdr>
                    <w:top w:val="none" w:sz="0" w:space="0" w:color="auto"/>
                    <w:left w:val="none" w:sz="0" w:space="0" w:color="auto"/>
                    <w:bottom w:val="none" w:sz="0" w:space="0" w:color="auto"/>
                    <w:right w:val="none" w:sz="0" w:space="0" w:color="auto"/>
                  </w:divBdr>
                  <w:divsChild>
                    <w:div w:id="460920080">
                      <w:marLeft w:val="0"/>
                      <w:marRight w:val="0"/>
                      <w:marTop w:val="0"/>
                      <w:marBottom w:val="0"/>
                      <w:divBdr>
                        <w:top w:val="none" w:sz="0" w:space="0" w:color="auto"/>
                        <w:left w:val="none" w:sz="0" w:space="0" w:color="auto"/>
                        <w:bottom w:val="none" w:sz="0" w:space="0" w:color="auto"/>
                        <w:right w:val="none" w:sz="0" w:space="0" w:color="auto"/>
                      </w:divBdr>
                      <w:divsChild>
                        <w:div w:id="637540167">
                          <w:marLeft w:val="0"/>
                          <w:marRight w:val="0"/>
                          <w:marTop w:val="0"/>
                          <w:marBottom w:val="0"/>
                          <w:divBdr>
                            <w:top w:val="none" w:sz="0" w:space="0" w:color="auto"/>
                            <w:left w:val="none" w:sz="0" w:space="0" w:color="auto"/>
                            <w:bottom w:val="none" w:sz="0" w:space="0" w:color="auto"/>
                            <w:right w:val="none" w:sz="0" w:space="0" w:color="auto"/>
                          </w:divBdr>
                          <w:divsChild>
                            <w:div w:id="1826361483">
                              <w:marLeft w:val="0"/>
                              <w:marRight w:val="0"/>
                              <w:marTop w:val="0"/>
                              <w:marBottom w:val="0"/>
                              <w:divBdr>
                                <w:top w:val="none" w:sz="0" w:space="0" w:color="auto"/>
                                <w:left w:val="none" w:sz="0" w:space="0" w:color="auto"/>
                                <w:bottom w:val="none" w:sz="0" w:space="0" w:color="auto"/>
                                <w:right w:val="none" w:sz="0" w:space="0" w:color="auto"/>
                              </w:divBdr>
                              <w:divsChild>
                                <w:div w:id="1638877248">
                                  <w:marLeft w:val="0"/>
                                  <w:marRight w:val="0"/>
                                  <w:marTop w:val="0"/>
                                  <w:marBottom w:val="0"/>
                                  <w:divBdr>
                                    <w:top w:val="none" w:sz="0" w:space="0" w:color="auto"/>
                                    <w:left w:val="none" w:sz="0" w:space="0" w:color="auto"/>
                                    <w:bottom w:val="none" w:sz="0" w:space="0" w:color="auto"/>
                                    <w:right w:val="none" w:sz="0" w:space="0" w:color="auto"/>
                                  </w:divBdr>
                                  <w:divsChild>
                                    <w:div w:id="1217207747">
                                      <w:marLeft w:val="0"/>
                                      <w:marRight w:val="0"/>
                                      <w:marTop w:val="0"/>
                                      <w:marBottom w:val="0"/>
                                      <w:divBdr>
                                        <w:top w:val="none" w:sz="0" w:space="0" w:color="auto"/>
                                        <w:left w:val="none" w:sz="0" w:space="0" w:color="auto"/>
                                        <w:bottom w:val="none" w:sz="0" w:space="0" w:color="auto"/>
                                        <w:right w:val="none" w:sz="0" w:space="0" w:color="auto"/>
                                      </w:divBdr>
                                      <w:divsChild>
                                        <w:div w:id="1848210772">
                                          <w:marLeft w:val="0"/>
                                          <w:marRight w:val="0"/>
                                          <w:marTop w:val="0"/>
                                          <w:marBottom w:val="0"/>
                                          <w:divBdr>
                                            <w:top w:val="none" w:sz="0" w:space="0" w:color="auto"/>
                                            <w:left w:val="none" w:sz="0" w:space="0" w:color="auto"/>
                                            <w:bottom w:val="none" w:sz="0" w:space="0" w:color="auto"/>
                                            <w:right w:val="none" w:sz="0" w:space="0" w:color="auto"/>
                                          </w:divBdr>
                                          <w:divsChild>
                                            <w:div w:id="1540820015">
                                              <w:marLeft w:val="0"/>
                                              <w:marRight w:val="0"/>
                                              <w:marTop w:val="0"/>
                                              <w:marBottom w:val="0"/>
                                              <w:divBdr>
                                                <w:top w:val="none" w:sz="0" w:space="0" w:color="auto"/>
                                                <w:left w:val="none" w:sz="0" w:space="0" w:color="auto"/>
                                                <w:bottom w:val="none" w:sz="0" w:space="0" w:color="auto"/>
                                                <w:right w:val="none" w:sz="0" w:space="0" w:color="auto"/>
                                              </w:divBdr>
                                              <w:divsChild>
                                                <w:div w:id="215434110">
                                                  <w:marLeft w:val="0"/>
                                                  <w:marRight w:val="0"/>
                                                  <w:marTop w:val="0"/>
                                                  <w:marBottom w:val="0"/>
                                                  <w:divBdr>
                                                    <w:top w:val="none" w:sz="0" w:space="0" w:color="auto"/>
                                                    <w:left w:val="none" w:sz="0" w:space="0" w:color="auto"/>
                                                    <w:bottom w:val="none" w:sz="0" w:space="0" w:color="auto"/>
                                                    <w:right w:val="none" w:sz="0" w:space="0" w:color="auto"/>
                                                  </w:divBdr>
                                                  <w:divsChild>
                                                    <w:div w:id="1182553094">
                                                      <w:marLeft w:val="0"/>
                                                      <w:marRight w:val="0"/>
                                                      <w:marTop w:val="0"/>
                                                      <w:marBottom w:val="0"/>
                                                      <w:divBdr>
                                                        <w:top w:val="none" w:sz="0" w:space="0" w:color="auto"/>
                                                        <w:left w:val="none" w:sz="0" w:space="0" w:color="auto"/>
                                                        <w:bottom w:val="none" w:sz="0" w:space="0" w:color="auto"/>
                                                        <w:right w:val="none" w:sz="0" w:space="0" w:color="auto"/>
                                                      </w:divBdr>
                                                      <w:divsChild>
                                                        <w:div w:id="60118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13727448">
      <w:bodyDiv w:val="1"/>
      <w:marLeft w:val="0"/>
      <w:marRight w:val="0"/>
      <w:marTop w:val="0"/>
      <w:marBottom w:val="0"/>
      <w:divBdr>
        <w:top w:val="none" w:sz="0" w:space="0" w:color="auto"/>
        <w:left w:val="none" w:sz="0" w:space="0" w:color="auto"/>
        <w:bottom w:val="none" w:sz="0" w:space="0" w:color="auto"/>
        <w:right w:val="none" w:sz="0" w:space="0" w:color="auto"/>
      </w:divBdr>
      <w:divsChild>
        <w:div w:id="520512459">
          <w:marLeft w:val="0"/>
          <w:marRight w:val="0"/>
          <w:marTop w:val="0"/>
          <w:marBottom w:val="0"/>
          <w:divBdr>
            <w:top w:val="none" w:sz="0" w:space="0" w:color="auto"/>
            <w:left w:val="none" w:sz="0" w:space="0" w:color="auto"/>
            <w:bottom w:val="none" w:sz="0" w:space="0" w:color="auto"/>
            <w:right w:val="none" w:sz="0" w:space="0" w:color="auto"/>
          </w:divBdr>
          <w:divsChild>
            <w:div w:id="1398749195">
              <w:marLeft w:val="0"/>
              <w:marRight w:val="0"/>
              <w:marTop w:val="0"/>
              <w:marBottom w:val="0"/>
              <w:divBdr>
                <w:top w:val="none" w:sz="0" w:space="0" w:color="auto"/>
                <w:left w:val="none" w:sz="0" w:space="0" w:color="auto"/>
                <w:bottom w:val="none" w:sz="0" w:space="0" w:color="auto"/>
                <w:right w:val="none" w:sz="0" w:space="0" w:color="auto"/>
              </w:divBdr>
              <w:divsChild>
                <w:div w:id="1131484981">
                  <w:marLeft w:val="0"/>
                  <w:marRight w:val="0"/>
                  <w:marTop w:val="0"/>
                  <w:marBottom w:val="0"/>
                  <w:divBdr>
                    <w:top w:val="none" w:sz="0" w:space="0" w:color="auto"/>
                    <w:left w:val="none" w:sz="0" w:space="0" w:color="auto"/>
                    <w:bottom w:val="none" w:sz="0" w:space="0" w:color="auto"/>
                    <w:right w:val="none" w:sz="0" w:space="0" w:color="auto"/>
                  </w:divBdr>
                  <w:divsChild>
                    <w:div w:id="993681910">
                      <w:marLeft w:val="0"/>
                      <w:marRight w:val="0"/>
                      <w:marTop w:val="0"/>
                      <w:marBottom w:val="0"/>
                      <w:divBdr>
                        <w:top w:val="none" w:sz="0" w:space="0" w:color="auto"/>
                        <w:left w:val="none" w:sz="0" w:space="0" w:color="auto"/>
                        <w:bottom w:val="none" w:sz="0" w:space="0" w:color="auto"/>
                        <w:right w:val="none" w:sz="0" w:space="0" w:color="auto"/>
                      </w:divBdr>
                      <w:divsChild>
                        <w:div w:id="1323506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1896809">
      <w:bodyDiv w:val="1"/>
      <w:marLeft w:val="0"/>
      <w:marRight w:val="0"/>
      <w:marTop w:val="0"/>
      <w:marBottom w:val="0"/>
      <w:divBdr>
        <w:top w:val="none" w:sz="0" w:space="0" w:color="auto"/>
        <w:left w:val="none" w:sz="0" w:space="0" w:color="auto"/>
        <w:bottom w:val="none" w:sz="0" w:space="0" w:color="auto"/>
        <w:right w:val="none" w:sz="0" w:space="0" w:color="auto"/>
      </w:divBdr>
      <w:divsChild>
        <w:div w:id="164563115">
          <w:marLeft w:val="0"/>
          <w:marRight w:val="0"/>
          <w:marTop w:val="0"/>
          <w:marBottom w:val="375"/>
          <w:divBdr>
            <w:top w:val="none" w:sz="0" w:space="0" w:color="auto"/>
            <w:left w:val="none" w:sz="0" w:space="0" w:color="auto"/>
            <w:bottom w:val="none" w:sz="0" w:space="0" w:color="auto"/>
            <w:right w:val="none" w:sz="0" w:space="0" w:color="auto"/>
          </w:divBdr>
        </w:div>
      </w:divsChild>
    </w:div>
    <w:div w:id="696658102">
      <w:bodyDiv w:val="1"/>
      <w:marLeft w:val="0"/>
      <w:marRight w:val="0"/>
      <w:marTop w:val="0"/>
      <w:marBottom w:val="0"/>
      <w:divBdr>
        <w:top w:val="none" w:sz="0" w:space="0" w:color="auto"/>
        <w:left w:val="none" w:sz="0" w:space="0" w:color="auto"/>
        <w:bottom w:val="none" w:sz="0" w:space="0" w:color="auto"/>
        <w:right w:val="none" w:sz="0" w:space="0" w:color="auto"/>
      </w:divBdr>
      <w:divsChild>
        <w:div w:id="343744812">
          <w:marLeft w:val="0"/>
          <w:marRight w:val="0"/>
          <w:marTop w:val="0"/>
          <w:marBottom w:val="0"/>
          <w:divBdr>
            <w:top w:val="none" w:sz="0" w:space="0" w:color="auto"/>
            <w:left w:val="none" w:sz="0" w:space="0" w:color="auto"/>
            <w:bottom w:val="none" w:sz="0" w:space="0" w:color="auto"/>
            <w:right w:val="none" w:sz="0" w:space="0" w:color="auto"/>
          </w:divBdr>
          <w:divsChild>
            <w:div w:id="577982987">
              <w:marLeft w:val="0"/>
              <w:marRight w:val="0"/>
              <w:marTop w:val="0"/>
              <w:marBottom w:val="0"/>
              <w:divBdr>
                <w:top w:val="none" w:sz="0" w:space="0" w:color="auto"/>
                <w:left w:val="none" w:sz="0" w:space="0" w:color="auto"/>
                <w:bottom w:val="none" w:sz="0" w:space="0" w:color="auto"/>
                <w:right w:val="none" w:sz="0" w:space="0" w:color="auto"/>
              </w:divBdr>
              <w:divsChild>
                <w:div w:id="1941058194">
                  <w:marLeft w:val="0"/>
                  <w:marRight w:val="0"/>
                  <w:marTop w:val="0"/>
                  <w:marBottom w:val="0"/>
                  <w:divBdr>
                    <w:top w:val="none" w:sz="0" w:space="0" w:color="auto"/>
                    <w:left w:val="none" w:sz="0" w:space="0" w:color="auto"/>
                    <w:bottom w:val="none" w:sz="0" w:space="0" w:color="auto"/>
                    <w:right w:val="none" w:sz="0" w:space="0" w:color="auto"/>
                  </w:divBdr>
                  <w:divsChild>
                    <w:div w:id="337775203">
                      <w:marLeft w:val="0"/>
                      <w:marRight w:val="0"/>
                      <w:marTop w:val="0"/>
                      <w:marBottom w:val="0"/>
                      <w:divBdr>
                        <w:top w:val="none" w:sz="0" w:space="0" w:color="auto"/>
                        <w:left w:val="none" w:sz="0" w:space="0" w:color="auto"/>
                        <w:bottom w:val="none" w:sz="0" w:space="0" w:color="auto"/>
                        <w:right w:val="none" w:sz="0" w:space="0" w:color="auto"/>
                      </w:divBdr>
                      <w:divsChild>
                        <w:div w:id="129790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3312436">
      <w:bodyDiv w:val="1"/>
      <w:marLeft w:val="0"/>
      <w:marRight w:val="0"/>
      <w:marTop w:val="0"/>
      <w:marBottom w:val="0"/>
      <w:divBdr>
        <w:top w:val="none" w:sz="0" w:space="0" w:color="auto"/>
        <w:left w:val="none" w:sz="0" w:space="0" w:color="auto"/>
        <w:bottom w:val="none" w:sz="0" w:space="0" w:color="auto"/>
        <w:right w:val="none" w:sz="0" w:space="0" w:color="auto"/>
      </w:divBdr>
      <w:divsChild>
        <w:div w:id="1036393185">
          <w:marLeft w:val="0"/>
          <w:marRight w:val="0"/>
          <w:marTop w:val="0"/>
          <w:marBottom w:val="0"/>
          <w:divBdr>
            <w:top w:val="none" w:sz="0" w:space="0" w:color="auto"/>
            <w:left w:val="none" w:sz="0" w:space="0" w:color="auto"/>
            <w:bottom w:val="none" w:sz="0" w:space="0" w:color="auto"/>
            <w:right w:val="none" w:sz="0" w:space="0" w:color="auto"/>
          </w:divBdr>
          <w:divsChild>
            <w:div w:id="1407604303">
              <w:marLeft w:val="0"/>
              <w:marRight w:val="0"/>
              <w:marTop w:val="0"/>
              <w:marBottom w:val="0"/>
              <w:divBdr>
                <w:top w:val="none" w:sz="0" w:space="0" w:color="auto"/>
                <w:left w:val="none" w:sz="0" w:space="0" w:color="auto"/>
                <w:bottom w:val="none" w:sz="0" w:space="0" w:color="auto"/>
                <w:right w:val="none" w:sz="0" w:space="0" w:color="auto"/>
              </w:divBdr>
              <w:divsChild>
                <w:div w:id="802427053">
                  <w:marLeft w:val="0"/>
                  <w:marRight w:val="0"/>
                  <w:marTop w:val="0"/>
                  <w:marBottom w:val="0"/>
                  <w:divBdr>
                    <w:top w:val="none" w:sz="0" w:space="0" w:color="auto"/>
                    <w:left w:val="none" w:sz="0" w:space="0" w:color="auto"/>
                    <w:bottom w:val="none" w:sz="0" w:space="0" w:color="auto"/>
                    <w:right w:val="none" w:sz="0" w:space="0" w:color="auto"/>
                  </w:divBdr>
                  <w:divsChild>
                    <w:div w:id="650211177">
                      <w:marLeft w:val="0"/>
                      <w:marRight w:val="0"/>
                      <w:marTop w:val="0"/>
                      <w:marBottom w:val="0"/>
                      <w:divBdr>
                        <w:top w:val="none" w:sz="0" w:space="0" w:color="auto"/>
                        <w:left w:val="none" w:sz="0" w:space="0" w:color="auto"/>
                        <w:bottom w:val="none" w:sz="0" w:space="0" w:color="auto"/>
                        <w:right w:val="none" w:sz="0" w:space="0" w:color="auto"/>
                      </w:divBdr>
                      <w:divsChild>
                        <w:div w:id="163120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2484480">
      <w:bodyDiv w:val="1"/>
      <w:marLeft w:val="0"/>
      <w:marRight w:val="0"/>
      <w:marTop w:val="0"/>
      <w:marBottom w:val="0"/>
      <w:divBdr>
        <w:top w:val="none" w:sz="0" w:space="0" w:color="auto"/>
        <w:left w:val="none" w:sz="0" w:space="0" w:color="auto"/>
        <w:bottom w:val="none" w:sz="0" w:space="0" w:color="auto"/>
        <w:right w:val="none" w:sz="0" w:space="0" w:color="auto"/>
      </w:divBdr>
      <w:divsChild>
        <w:div w:id="1343896068">
          <w:marLeft w:val="0"/>
          <w:marRight w:val="0"/>
          <w:marTop w:val="0"/>
          <w:marBottom w:val="0"/>
          <w:divBdr>
            <w:top w:val="none" w:sz="0" w:space="0" w:color="auto"/>
            <w:left w:val="none" w:sz="0" w:space="0" w:color="auto"/>
            <w:bottom w:val="none" w:sz="0" w:space="0" w:color="auto"/>
            <w:right w:val="none" w:sz="0" w:space="0" w:color="auto"/>
          </w:divBdr>
          <w:divsChild>
            <w:div w:id="1406222262">
              <w:marLeft w:val="0"/>
              <w:marRight w:val="0"/>
              <w:marTop w:val="0"/>
              <w:marBottom w:val="0"/>
              <w:divBdr>
                <w:top w:val="none" w:sz="0" w:space="0" w:color="auto"/>
                <w:left w:val="none" w:sz="0" w:space="0" w:color="auto"/>
                <w:bottom w:val="none" w:sz="0" w:space="0" w:color="auto"/>
                <w:right w:val="none" w:sz="0" w:space="0" w:color="auto"/>
              </w:divBdr>
              <w:divsChild>
                <w:div w:id="966205728">
                  <w:marLeft w:val="0"/>
                  <w:marRight w:val="0"/>
                  <w:marTop w:val="0"/>
                  <w:marBottom w:val="0"/>
                  <w:divBdr>
                    <w:top w:val="none" w:sz="0" w:space="0" w:color="auto"/>
                    <w:left w:val="none" w:sz="0" w:space="0" w:color="auto"/>
                    <w:bottom w:val="none" w:sz="0" w:space="0" w:color="auto"/>
                    <w:right w:val="none" w:sz="0" w:space="0" w:color="auto"/>
                  </w:divBdr>
                  <w:divsChild>
                    <w:div w:id="1180513205">
                      <w:marLeft w:val="0"/>
                      <w:marRight w:val="0"/>
                      <w:marTop w:val="0"/>
                      <w:marBottom w:val="0"/>
                      <w:divBdr>
                        <w:top w:val="none" w:sz="0" w:space="0" w:color="auto"/>
                        <w:left w:val="none" w:sz="0" w:space="0" w:color="auto"/>
                        <w:bottom w:val="none" w:sz="0" w:space="0" w:color="auto"/>
                        <w:right w:val="none" w:sz="0" w:space="0" w:color="auto"/>
                      </w:divBdr>
                      <w:divsChild>
                        <w:div w:id="222958705">
                          <w:marLeft w:val="0"/>
                          <w:marRight w:val="0"/>
                          <w:marTop w:val="0"/>
                          <w:marBottom w:val="0"/>
                          <w:divBdr>
                            <w:top w:val="none" w:sz="0" w:space="0" w:color="auto"/>
                            <w:left w:val="none" w:sz="0" w:space="0" w:color="auto"/>
                            <w:bottom w:val="none" w:sz="0" w:space="0" w:color="auto"/>
                            <w:right w:val="none" w:sz="0" w:space="0" w:color="auto"/>
                          </w:divBdr>
                          <w:divsChild>
                            <w:div w:id="716901407">
                              <w:marLeft w:val="0"/>
                              <w:marRight w:val="0"/>
                              <w:marTop w:val="0"/>
                              <w:marBottom w:val="0"/>
                              <w:divBdr>
                                <w:top w:val="none" w:sz="0" w:space="0" w:color="auto"/>
                                <w:left w:val="none" w:sz="0" w:space="0" w:color="auto"/>
                                <w:bottom w:val="none" w:sz="0" w:space="0" w:color="auto"/>
                                <w:right w:val="none" w:sz="0" w:space="0" w:color="auto"/>
                              </w:divBdr>
                              <w:divsChild>
                                <w:div w:id="1210262948">
                                  <w:marLeft w:val="0"/>
                                  <w:marRight w:val="0"/>
                                  <w:marTop w:val="0"/>
                                  <w:marBottom w:val="0"/>
                                  <w:divBdr>
                                    <w:top w:val="none" w:sz="0" w:space="0" w:color="auto"/>
                                    <w:left w:val="none" w:sz="0" w:space="0" w:color="auto"/>
                                    <w:bottom w:val="none" w:sz="0" w:space="0" w:color="auto"/>
                                    <w:right w:val="none" w:sz="0" w:space="0" w:color="auto"/>
                                  </w:divBdr>
                                  <w:divsChild>
                                    <w:div w:id="177044240">
                                      <w:marLeft w:val="0"/>
                                      <w:marRight w:val="0"/>
                                      <w:marTop w:val="0"/>
                                      <w:marBottom w:val="0"/>
                                      <w:divBdr>
                                        <w:top w:val="none" w:sz="0" w:space="0" w:color="auto"/>
                                        <w:left w:val="none" w:sz="0" w:space="0" w:color="auto"/>
                                        <w:bottom w:val="none" w:sz="0" w:space="0" w:color="auto"/>
                                        <w:right w:val="none" w:sz="0" w:space="0" w:color="auto"/>
                                      </w:divBdr>
                                      <w:divsChild>
                                        <w:div w:id="1506018191">
                                          <w:marLeft w:val="0"/>
                                          <w:marRight w:val="0"/>
                                          <w:marTop w:val="0"/>
                                          <w:marBottom w:val="0"/>
                                          <w:divBdr>
                                            <w:top w:val="none" w:sz="0" w:space="0" w:color="auto"/>
                                            <w:left w:val="none" w:sz="0" w:space="0" w:color="auto"/>
                                            <w:bottom w:val="none" w:sz="0" w:space="0" w:color="auto"/>
                                            <w:right w:val="none" w:sz="0" w:space="0" w:color="auto"/>
                                          </w:divBdr>
                                          <w:divsChild>
                                            <w:div w:id="564074303">
                                              <w:marLeft w:val="0"/>
                                              <w:marRight w:val="0"/>
                                              <w:marTop w:val="0"/>
                                              <w:marBottom w:val="0"/>
                                              <w:divBdr>
                                                <w:top w:val="none" w:sz="0" w:space="0" w:color="auto"/>
                                                <w:left w:val="none" w:sz="0" w:space="0" w:color="auto"/>
                                                <w:bottom w:val="none" w:sz="0" w:space="0" w:color="auto"/>
                                                <w:right w:val="none" w:sz="0" w:space="0" w:color="auto"/>
                                              </w:divBdr>
                                              <w:divsChild>
                                                <w:div w:id="828324912">
                                                  <w:marLeft w:val="0"/>
                                                  <w:marRight w:val="0"/>
                                                  <w:marTop w:val="0"/>
                                                  <w:marBottom w:val="0"/>
                                                  <w:divBdr>
                                                    <w:top w:val="none" w:sz="0" w:space="0" w:color="auto"/>
                                                    <w:left w:val="none" w:sz="0" w:space="0" w:color="auto"/>
                                                    <w:bottom w:val="none" w:sz="0" w:space="0" w:color="auto"/>
                                                    <w:right w:val="none" w:sz="0" w:space="0" w:color="auto"/>
                                                  </w:divBdr>
                                                  <w:divsChild>
                                                    <w:div w:id="1122260846">
                                                      <w:marLeft w:val="0"/>
                                                      <w:marRight w:val="0"/>
                                                      <w:marTop w:val="0"/>
                                                      <w:marBottom w:val="0"/>
                                                      <w:divBdr>
                                                        <w:top w:val="none" w:sz="0" w:space="0" w:color="auto"/>
                                                        <w:left w:val="none" w:sz="0" w:space="0" w:color="auto"/>
                                                        <w:bottom w:val="none" w:sz="0" w:space="0" w:color="auto"/>
                                                        <w:right w:val="none" w:sz="0" w:space="0" w:color="auto"/>
                                                      </w:divBdr>
                                                      <w:divsChild>
                                                        <w:div w:id="120914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49146808">
      <w:bodyDiv w:val="1"/>
      <w:marLeft w:val="0"/>
      <w:marRight w:val="0"/>
      <w:marTop w:val="0"/>
      <w:marBottom w:val="0"/>
      <w:divBdr>
        <w:top w:val="none" w:sz="0" w:space="0" w:color="auto"/>
        <w:left w:val="none" w:sz="0" w:space="0" w:color="auto"/>
        <w:bottom w:val="none" w:sz="0" w:space="0" w:color="auto"/>
        <w:right w:val="none" w:sz="0" w:space="0" w:color="auto"/>
      </w:divBdr>
      <w:divsChild>
        <w:div w:id="1295334730">
          <w:marLeft w:val="0"/>
          <w:marRight w:val="0"/>
          <w:marTop w:val="0"/>
          <w:marBottom w:val="0"/>
          <w:divBdr>
            <w:top w:val="none" w:sz="0" w:space="0" w:color="auto"/>
            <w:left w:val="none" w:sz="0" w:space="0" w:color="auto"/>
            <w:bottom w:val="none" w:sz="0" w:space="0" w:color="auto"/>
            <w:right w:val="none" w:sz="0" w:space="0" w:color="auto"/>
          </w:divBdr>
          <w:divsChild>
            <w:div w:id="56319201">
              <w:marLeft w:val="0"/>
              <w:marRight w:val="0"/>
              <w:marTop w:val="0"/>
              <w:marBottom w:val="0"/>
              <w:divBdr>
                <w:top w:val="none" w:sz="0" w:space="0" w:color="auto"/>
                <w:left w:val="none" w:sz="0" w:space="0" w:color="auto"/>
                <w:bottom w:val="none" w:sz="0" w:space="0" w:color="auto"/>
                <w:right w:val="none" w:sz="0" w:space="0" w:color="auto"/>
              </w:divBdr>
              <w:divsChild>
                <w:div w:id="1263954261">
                  <w:marLeft w:val="0"/>
                  <w:marRight w:val="0"/>
                  <w:marTop w:val="0"/>
                  <w:marBottom w:val="0"/>
                  <w:divBdr>
                    <w:top w:val="none" w:sz="0" w:space="0" w:color="auto"/>
                    <w:left w:val="none" w:sz="0" w:space="0" w:color="auto"/>
                    <w:bottom w:val="none" w:sz="0" w:space="0" w:color="auto"/>
                    <w:right w:val="none" w:sz="0" w:space="0" w:color="auto"/>
                  </w:divBdr>
                  <w:divsChild>
                    <w:div w:id="1180585097">
                      <w:marLeft w:val="0"/>
                      <w:marRight w:val="0"/>
                      <w:marTop w:val="0"/>
                      <w:marBottom w:val="0"/>
                      <w:divBdr>
                        <w:top w:val="none" w:sz="0" w:space="0" w:color="auto"/>
                        <w:left w:val="none" w:sz="0" w:space="0" w:color="auto"/>
                        <w:bottom w:val="none" w:sz="0" w:space="0" w:color="auto"/>
                        <w:right w:val="none" w:sz="0" w:space="0" w:color="auto"/>
                      </w:divBdr>
                      <w:divsChild>
                        <w:div w:id="114242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521848">
      <w:bodyDiv w:val="1"/>
      <w:marLeft w:val="0"/>
      <w:marRight w:val="0"/>
      <w:marTop w:val="0"/>
      <w:marBottom w:val="0"/>
      <w:divBdr>
        <w:top w:val="none" w:sz="0" w:space="0" w:color="auto"/>
        <w:left w:val="none" w:sz="0" w:space="0" w:color="auto"/>
        <w:bottom w:val="none" w:sz="0" w:space="0" w:color="auto"/>
        <w:right w:val="none" w:sz="0" w:space="0" w:color="auto"/>
      </w:divBdr>
      <w:divsChild>
        <w:div w:id="1795446045">
          <w:marLeft w:val="0"/>
          <w:marRight w:val="0"/>
          <w:marTop w:val="0"/>
          <w:marBottom w:val="0"/>
          <w:divBdr>
            <w:top w:val="none" w:sz="0" w:space="0" w:color="auto"/>
            <w:left w:val="none" w:sz="0" w:space="0" w:color="auto"/>
            <w:bottom w:val="none" w:sz="0" w:space="0" w:color="auto"/>
            <w:right w:val="none" w:sz="0" w:space="0" w:color="auto"/>
          </w:divBdr>
          <w:divsChild>
            <w:div w:id="1810855947">
              <w:marLeft w:val="0"/>
              <w:marRight w:val="0"/>
              <w:marTop w:val="0"/>
              <w:marBottom w:val="0"/>
              <w:divBdr>
                <w:top w:val="none" w:sz="0" w:space="0" w:color="auto"/>
                <w:left w:val="none" w:sz="0" w:space="0" w:color="auto"/>
                <w:bottom w:val="none" w:sz="0" w:space="0" w:color="auto"/>
                <w:right w:val="none" w:sz="0" w:space="0" w:color="auto"/>
              </w:divBdr>
              <w:divsChild>
                <w:div w:id="588972639">
                  <w:marLeft w:val="0"/>
                  <w:marRight w:val="0"/>
                  <w:marTop w:val="0"/>
                  <w:marBottom w:val="0"/>
                  <w:divBdr>
                    <w:top w:val="none" w:sz="0" w:space="0" w:color="auto"/>
                    <w:left w:val="none" w:sz="0" w:space="0" w:color="auto"/>
                    <w:bottom w:val="none" w:sz="0" w:space="0" w:color="auto"/>
                    <w:right w:val="none" w:sz="0" w:space="0" w:color="auto"/>
                  </w:divBdr>
                  <w:divsChild>
                    <w:div w:id="4213659">
                      <w:marLeft w:val="0"/>
                      <w:marRight w:val="0"/>
                      <w:marTop w:val="0"/>
                      <w:marBottom w:val="0"/>
                      <w:divBdr>
                        <w:top w:val="none" w:sz="0" w:space="0" w:color="auto"/>
                        <w:left w:val="none" w:sz="0" w:space="0" w:color="auto"/>
                        <w:bottom w:val="none" w:sz="0" w:space="0" w:color="auto"/>
                        <w:right w:val="none" w:sz="0" w:space="0" w:color="auto"/>
                      </w:divBdr>
                      <w:divsChild>
                        <w:div w:id="1355229794">
                          <w:marLeft w:val="0"/>
                          <w:marRight w:val="0"/>
                          <w:marTop w:val="0"/>
                          <w:marBottom w:val="0"/>
                          <w:divBdr>
                            <w:top w:val="none" w:sz="0" w:space="0" w:color="auto"/>
                            <w:left w:val="none" w:sz="0" w:space="0" w:color="auto"/>
                            <w:bottom w:val="none" w:sz="0" w:space="0" w:color="auto"/>
                            <w:right w:val="none" w:sz="0" w:space="0" w:color="auto"/>
                          </w:divBdr>
                          <w:divsChild>
                            <w:div w:id="685441823">
                              <w:marLeft w:val="0"/>
                              <w:marRight w:val="0"/>
                              <w:marTop w:val="0"/>
                              <w:marBottom w:val="0"/>
                              <w:divBdr>
                                <w:top w:val="none" w:sz="0" w:space="0" w:color="auto"/>
                                <w:left w:val="none" w:sz="0" w:space="0" w:color="auto"/>
                                <w:bottom w:val="none" w:sz="0" w:space="0" w:color="auto"/>
                                <w:right w:val="none" w:sz="0" w:space="0" w:color="auto"/>
                              </w:divBdr>
                              <w:divsChild>
                                <w:div w:id="1288045185">
                                  <w:marLeft w:val="0"/>
                                  <w:marRight w:val="0"/>
                                  <w:marTop w:val="0"/>
                                  <w:marBottom w:val="0"/>
                                  <w:divBdr>
                                    <w:top w:val="none" w:sz="0" w:space="0" w:color="auto"/>
                                    <w:left w:val="none" w:sz="0" w:space="0" w:color="auto"/>
                                    <w:bottom w:val="none" w:sz="0" w:space="0" w:color="auto"/>
                                    <w:right w:val="none" w:sz="0" w:space="0" w:color="auto"/>
                                  </w:divBdr>
                                  <w:divsChild>
                                    <w:div w:id="196506027">
                                      <w:marLeft w:val="0"/>
                                      <w:marRight w:val="0"/>
                                      <w:marTop w:val="0"/>
                                      <w:marBottom w:val="0"/>
                                      <w:divBdr>
                                        <w:top w:val="none" w:sz="0" w:space="0" w:color="auto"/>
                                        <w:left w:val="none" w:sz="0" w:space="0" w:color="auto"/>
                                        <w:bottom w:val="none" w:sz="0" w:space="0" w:color="auto"/>
                                        <w:right w:val="none" w:sz="0" w:space="0" w:color="auto"/>
                                      </w:divBdr>
                                      <w:divsChild>
                                        <w:div w:id="205146554">
                                          <w:marLeft w:val="0"/>
                                          <w:marRight w:val="0"/>
                                          <w:marTop w:val="0"/>
                                          <w:marBottom w:val="0"/>
                                          <w:divBdr>
                                            <w:top w:val="none" w:sz="0" w:space="0" w:color="auto"/>
                                            <w:left w:val="none" w:sz="0" w:space="0" w:color="auto"/>
                                            <w:bottom w:val="none" w:sz="0" w:space="0" w:color="auto"/>
                                            <w:right w:val="none" w:sz="0" w:space="0" w:color="auto"/>
                                          </w:divBdr>
                                          <w:divsChild>
                                            <w:div w:id="629284539">
                                              <w:marLeft w:val="0"/>
                                              <w:marRight w:val="0"/>
                                              <w:marTop w:val="0"/>
                                              <w:marBottom w:val="0"/>
                                              <w:divBdr>
                                                <w:top w:val="none" w:sz="0" w:space="0" w:color="auto"/>
                                                <w:left w:val="none" w:sz="0" w:space="0" w:color="auto"/>
                                                <w:bottom w:val="none" w:sz="0" w:space="0" w:color="auto"/>
                                                <w:right w:val="none" w:sz="0" w:space="0" w:color="auto"/>
                                              </w:divBdr>
                                              <w:divsChild>
                                                <w:div w:id="1835493151">
                                                  <w:marLeft w:val="0"/>
                                                  <w:marRight w:val="0"/>
                                                  <w:marTop w:val="0"/>
                                                  <w:marBottom w:val="0"/>
                                                  <w:divBdr>
                                                    <w:top w:val="none" w:sz="0" w:space="0" w:color="auto"/>
                                                    <w:left w:val="none" w:sz="0" w:space="0" w:color="auto"/>
                                                    <w:bottom w:val="none" w:sz="0" w:space="0" w:color="auto"/>
                                                    <w:right w:val="none" w:sz="0" w:space="0" w:color="auto"/>
                                                  </w:divBdr>
                                                  <w:divsChild>
                                                    <w:div w:id="1195120981">
                                                      <w:marLeft w:val="0"/>
                                                      <w:marRight w:val="0"/>
                                                      <w:marTop w:val="0"/>
                                                      <w:marBottom w:val="0"/>
                                                      <w:divBdr>
                                                        <w:top w:val="none" w:sz="0" w:space="0" w:color="auto"/>
                                                        <w:left w:val="none" w:sz="0" w:space="0" w:color="auto"/>
                                                        <w:bottom w:val="none" w:sz="0" w:space="0" w:color="auto"/>
                                                        <w:right w:val="none" w:sz="0" w:space="0" w:color="auto"/>
                                                      </w:divBdr>
                                                      <w:divsChild>
                                                        <w:div w:id="91740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36306228">
      <w:bodyDiv w:val="1"/>
      <w:marLeft w:val="0"/>
      <w:marRight w:val="0"/>
      <w:marTop w:val="0"/>
      <w:marBottom w:val="0"/>
      <w:divBdr>
        <w:top w:val="none" w:sz="0" w:space="0" w:color="auto"/>
        <w:left w:val="none" w:sz="0" w:space="0" w:color="auto"/>
        <w:bottom w:val="none" w:sz="0" w:space="0" w:color="auto"/>
        <w:right w:val="none" w:sz="0" w:space="0" w:color="auto"/>
      </w:divBdr>
      <w:divsChild>
        <w:div w:id="1680307057">
          <w:marLeft w:val="0"/>
          <w:marRight w:val="0"/>
          <w:marTop w:val="0"/>
          <w:marBottom w:val="0"/>
          <w:divBdr>
            <w:top w:val="none" w:sz="0" w:space="0" w:color="auto"/>
            <w:left w:val="none" w:sz="0" w:space="0" w:color="auto"/>
            <w:bottom w:val="none" w:sz="0" w:space="0" w:color="auto"/>
            <w:right w:val="none" w:sz="0" w:space="0" w:color="auto"/>
          </w:divBdr>
          <w:divsChild>
            <w:div w:id="846675955">
              <w:marLeft w:val="0"/>
              <w:marRight w:val="0"/>
              <w:marTop w:val="0"/>
              <w:marBottom w:val="0"/>
              <w:divBdr>
                <w:top w:val="none" w:sz="0" w:space="0" w:color="auto"/>
                <w:left w:val="none" w:sz="0" w:space="0" w:color="auto"/>
                <w:bottom w:val="none" w:sz="0" w:space="0" w:color="auto"/>
                <w:right w:val="none" w:sz="0" w:space="0" w:color="auto"/>
              </w:divBdr>
              <w:divsChild>
                <w:div w:id="417941343">
                  <w:marLeft w:val="0"/>
                  <w:marRight w:val="0"/>
                  <w:marTop w:val="0"/>
                  <w:marBottom w:val="0"/>
                  <w:divBdr>
                    <w:top w:val="none" w:sz="0" w:space="0" w:color="auto"/>
                    <w:left w:val="none" w:sz="0" w:space="0" w:color="auto"/>
                    <w:bottom w:val="none" w:sz="0" w:space="0" w:color="auto"/>
                    <w:right w:val="none" w:sz="0" w:space="0" w:color="auto"/>
                  </w:divBdr>
                  <w:divsChild>
                    <w:div w:id="642127647">
                      <w:marLeft w:val="0"/>
                      <w:marRight w:val="0"/>
                      <w:marTop w:val="0"/>
                      <w:marBottom w:val="0"/>
                      <w:divBdr>
                        <w:top w:val="none" w:sz="0" w:space="0" w:color="auto"/>
                        <w:left w:val="none" w:sz="0" w:space="0" w:color="auto"/>
                        <w:bottom w:val="none" w:sz="0" w:space="0" w:color="auto"/>
                        <w:right w:val="none" w:sz="0" w:space="0" w:color="auto"/>
                      </w:divBdr>
                      <w:divsChild>
                        <w:div w:id="190626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7422371">
      <w:bodyDiv w:val="1"/>
      <w:marLeft w:val="0"/>
      <w:marRight w:val="0"/>
      <w:marTop w:val="0"/>
      <w:marBottom w:val="0"/>
      <w:divBdr>
        <w:top w:val="none" w:sz="0" w:space="0" w:color="auto"/>
        <w:left w:val="none" w:sz="0" w:space="0" w:color="auto"/>
        <w:bottom w:val="none" w:sz="0" w:space="0" w:color="auto"/>
        <w:right w:val="none" w:sz="0" w:space="0" w:color="auto"/>
      </w:divBdr>
      <w:divsChild>
        <w:div w:id="443303823">
          <w:marLeft w:val="0"/>
          <w:marRight w:val="0"/>
          <w:marTop w:val="0"/>
          <w:marBottom w:val="0"/>
          <w:divBdr>
            <w:top w:val="none" w:sz="0" w:space="0" w:color="auto"/>
            <w:left w:val="none" w:sz="0" w:space="0" w:color="auto"/>
            <w:bottom w:val="none" w:sz="0" w:space="0" w:color="auto"/>
            <w:right w:val="none" w:sz="0" w:space="0" w:color="auto"/>
          </w:divBdr>
          <w:divsChild>
            <w:div w:id="1195582047">
              <w:marLeft w:val="0"/>
              <w:marRight w:val="0"/>
              <w:marTop w:val="0"/>
              <w:marBottom w:val="0"/>
              <w:divBdr>
                <w:top w:val="none" w:sz="0" w:space="0" w:color="auto"/>
                <w:left w:val="none" w:sz="0" w:space="0" w:color="auto"/>
                <w:bottom w:val="none" w:sz="0" w:space="0" w:color="auto"/>
                <w:right w:val="none" w:sz="0" w:space="0" w:color="auto"/>
              </w:divBdr>
              <w:divsChild>
                <w:div w:id="1346135172">
                  <w:marLeft w:val="0"/>
                  <w:marRight w:val="0"/>
                  <w:marTop w:val="0"/>
                  <w:marBottom w:val="0"/>
                  <w:divBdr>
                    <w:top w:val="none" w:sz="0" w:space="0" w:color="auto"/>
                    <w:left w:val="none" w:sz="0" w:space="0" w:color="auto"/>
                    <w:bottom w:val="none" w:sz="0" w:space="0" w:color="auto"/>
                    <w:right w:val="none" w:sz="0" w:space="0" w:color="auto"/>
                  </w:divBdr>
                  <w:divsChild>
                    <w:div w:id="1911190241">
                      <w:marLeft w:val="0"/>
                      <w:marRight w:val="0"/>
                      <w:marTop w:val="0"/>
                      <w:marBottom w:val="0"/>
                      <w:divBdr>
                        <w:top w:val="none" w:sz="0" w:space="0" w:color="auto"/>
                        <w:left w:val="none" w:sz="0" w:space="0" w:color="auto"/>
                        <w:bottom w:val="none" w:sz="0" w:space="0" w:color="auto"/>
                        <w:right w:val="none" w:sz="0" w:space="0" w:color="auto"/>
                      </w:divBdr>
                      <w:divsChild>
                        <w:div w:id="136289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6176865">
      <w:bodyDiv w:val="1"/>
      <w:marLeft w:val="0"/>
      <w:marRight w:val="0"/>
      <w:marTop w:val="0"/>
      <w:marBottom w:val="0"/>
      <w:divBdr>
        <w:top w:val="none" w:sz="0" w:space="0" w:color="auto"/>
        <w:left w:val="none" w:sz="0" w:space="0" w:color="auto"/>
        <w:bottom w:val="none" w:sz="0" w:space="0" w:color="auto"/>
        <w:right w:val="none" w:sz="0" w:space="0" w:color="auto"/>
      </w:divBdr>
      <w:divsChild>
        <w:div w:id="601381313">
          <w:marLeft w:val="0"/>
          <w:marRight w:val="0"/>
          <w:marTop w:val="0"/>
          <w:marBottom w:val="0"/>
          <w:divBdr>
            <w:top w:val="none" w:sz="0" w:space="0" w:color="auto"/>
            <w:left w:val="none" w:sz="0" w:space="0" w:color="auto"/>
            <w:bottom w:val="none" w:sz="0" w:space="0" w:color="auto"/>
            <w:right w:val="none" w:sz="0" w:space="0" w:color="auto"/>
          </w:divBdr>
          <w:divsChild>
            <w:div w:id="511577300">
              <w:marLeft w:val="0"/>
              <w:marRight w:val="0"/>
              <w:marTop w:val="0"/>
              <w:marBottom w:val="0"/>
              <w:divBdr>
                <w:top w:val="none" w:sz="0" w:space="0" w:color="auto"/>
                <w:left w:val="none" w:sz="0" w:space="0" w:color="auto"/>
                <w:bottom w:val="none" w:sz="0" w:space="0" w:color="auto"/>
                <w:right w:val="none" w:sz="0" w:space="0" w:color="auto"/>
              </w:divBdr>
              <w:divsChild>
                <w:div w:id="1650937512">
                  <w:marLeft w:val="0"/>
                  <w:marRight w:val="0"/>
                  <w:marTop w:val="0"/>
                  <w:marBottom w:val="0"/>
                  <w:divBdr>
                    <w:top w:val="none" w:sz="0" w:space="0" w:color="auto"/>
                    <w:left w:val="none" w:sz="0" w:space="0" w:color="auto"/>
                    <w:bottom w:val="none" w:sz="0" w:space="0" w:color="auto"/>
                    <w:right w:val="none" w:sz="0" w:space="0" w:color="auto"/>
                  </w:divBdr>
                  <w:divsChild>
                    <w:div w:id="447045461">
                      <w:marLeft w:val="0"/>
                      <w:marRight w:val="0"/>
                      <w:marTop w:val="0"/>
                      <w:marBottom w:val="0"/>
                      <w:divBdr>
                        <w:top w:val="none" w:sz="0" w:space="0" w:color="auto"/>
                        <w:left w:val="none" w:sz="0" w:space="0" w:color="auto"/>
                        <w:bottom w:val="none" w:sz="0" w:space="0" w:color="auto"/>
                        <w:right w:val="none" w:sz="0" w:space="0" w:color="auto"/>
                      </w:divBdr>
                      <w:divsChild>
                        <w:div w:id="1212618124">
                          <w:marLeft w:val="0"/>
                          <w:marRight w:val="0"/>
                          <w:marTop w:val="0"/>
                          <w:marBottom w:val="0"/>
                          <w:divBdr>
                            <w:top w:val="none" w:sz="0" w:space="0" w:color="auto"/>
                            <w:left w:val="none" w:sz="0" w:space="0" w:color="auto"/>
                            <w:bottom w:val="none" w:sz="0" w:space="0" w:color="auto"/>
                            <w:right w:val="none" w:sz="0" w:space="0" w:color="auto"/>
                          </w:divBdr>
                          <w:divsChild>
                            <w:div w:id="573247461">
                              <w:marLeft w:val="0"/>
                              <w:marRight w:val="0"/>
                              <w:marTop w:val="0"/>
                              <w:marBottom w:val="0"/>
                              <w:divBdr>
                                <w:top w:val="none" w:sz="0" w:space="0" w:color="auto"/>
                                <w:left w:val="none" w:sz="0" w:space="0" w:color="auto"/>
                                <w:bottom w:val="none" w:sz="0" w:space="0" w:color="auto"/>
                                <w:right w:val="none" w:sz="0" w:space="0" w:color="auto"/>
                              </w:divBdr>
                              <w:divsChild>
                                <w:div w:id="1857385808">
                                  <w:marLeft w:val="0"/>
                                  <w:marRight w:val="0"/>
                                  <w:marTop w:val="0"/>
                                  <w:marBottom w:val="0"/>
                                  <w:divBdr>
                                    <w:top w:val="none" w:sz="0" w:space="0" w:color="auto"/>
                                    <w:left w:val="none" w:sz="0" w:space="0" w:color="auto"/>
                                    <w:bottom w:val="none" w:sz="0" w:space="0" w:color="auto"/>
                                    <w:right w:val="none" w:sz="0" w:space="0" w:color="auto"/>
                                  </w:divBdr>
                                  <w:divsChild>
                                    <w:div w:id="1885873711">
                                      <w:marLeft w:val="0"/>
                                      <w:marRight w:val="0"/>
                                      <w:marTop w:val="0"/>
                                      <w:marBottom w:val="0"/>
                                      <w:divBdr>
                                        <w:top w:val="none" w:sz="0" w:space="0" w:color="auto"/>
                                        <w:left w:val="none" w:sz="0" w:space="0" w:color="auto"/>
                                        <w:bottom w:val="none" w:sz="0" w:space="0" w:color="auto"/>
                                        <w:right w:val="none" w:sz="0" w:space="0" w:color="auto"/>
                                      </w:divBdr>
                                      <w:divsChild>
                                        <w:div w:id="1374228347">
                                          <w:marLeft w:val="0"/>
                                          <w:marRight w:val="0"/>
                                          <w:marTop w:val="0"/>
                                          <w:marBottom w:val="0"/>
                                          <w:divBdr>
                                            <w:top w:val="none" w:sz="0" w:space="0" w:color="auto"/>
                                            <w:left w:val="none" w:sz="0" w:space="0" w:color="auto"/>
                                            <w:bottom w:val="none" w:sz="0" w:space="0" w:color="auto"/>
                                            <w:right w:val="none" w:sz="0" w:space="0" w:color="auto"/>
                                          </w:divBdr>
                                          <w:divsChild>
                                            <w:div w:id="1612396763">
                                              <w:marLeft w:val="0"/>
                                              <w:marRight w:val="0"/>
                                              <w:marTop w:val="0"/>
                                              <w:marBottom w:val="0"/>
                                              <w:divBdr>
                                                <w:top w:val="none" w:sz="0" w:space="0" w:color="auto"/>
                                                <w:left w:val="none" w:sz="0" w:space="0" w:color="auto"/>
                                                <w:bottom w:val="none" w:sz="0" w:space="0" w:color="auto"/>
                                                <w:right w:val="none" w:sz="0" w:space="0" w:color="auto"/>
                                              </w:divBdr>
                                              <w:divsChild>
                                                <w:div w:id="1594238457">
                                                  <w:marLeft w:val="0"/>
                                                  <w:marRight w:val="0"/>
                                                  <w:marTop w:val="0"/>
                                                  <w:marBottom w:val="0"/>
                                                  <w:divBdr>
                                                    <w:top w:val="none" w:sz="0" w:space="0" w:color="auto"/>
                                                    <w:left w:val="none" w:sz="0" w:space="0" w:color="auto"/>
                                                    <w:bottom w:val="none" w:sz="0" w:space="0" w:color="auto"/>
                                                    <w:right w:val="none" w:sz="0" w:space="0" w:color="auto"/>
                                                  </w:divBdr>
                                                  <w:divsChild>
                                                    <w:div w:id="1958247221">
                                                      <w:marLeft w:val="0"/>
                                                      <w:marRight w:val="0"/>
                                                      <w:marTop w:val="0"/>
                                                      <w:marBottom w:val="0"/>
                                                      <w:divBdr>
                                                        <w:top w:val="none" w:sz="0" w:space="0" w:color="auto"/>
                                                        <w:left w:val="none" w:sz="0" w:space="0" w:color="auto"/>
                                                        <w:bottom w:val="none" w:sz="0" w:space="0" w:color="auto"/>
                                                        <w:right w:val="none" w:sz="0" w:space="0" w:color="auto"/>
                                                      </w:divBdr>
                                                      <w:divsChild>
                                                        <w:div w:id="2014212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56894831">
      <w:bodyDiv w:val="1"/>
      <w:marLeft w:val="0"/>
      <w:marRight w:val="0"/>
      <w:marTop w:val="0"/>
      <w:marBottom w:val="0"/>
      <w:divBdr>
        <w:top w:val="none" w:sz="0" w:space="0" w:color="auto"/>
        <w:left w:val="none" w:sz="0" w:space="0" w:color="auto"/>
        <w:bottom w:val="none" w:sz="0" w:space="0" w:color="auto"/>
        <w:right w:val="none" w:sz="0" w:space="0" w:color="auto"/>
      </w:divBdr>
      <w:divsChild>
        <w:div w:id="345180340">
          <w:marLeft w:val="0"/>
          <w:marRight w:val="0"/>
          <w:marTop w:val="0"/>
          <w:marBottom w:val="0"/>
          <w:divBdr>
            <w:top w:val="none" w:sz="0" w:space="0" w:color="auto"/>
            <w:left w:val="none" w:sz="0" w:space="0" w:color="auto"/>
            <w:bottom w:val="none" w:sz="0" w:space="0" w:color="auto"/>
            <w:right w:val="none" w:sz="0" w:space="0" w:color="auto"/>
          </w:divBdr>
          <w:divsChild>
            <w:div w:id="2080589209">
              <w:marLeft w:val="0"/>
              <w:marRight w:val="0"/>
              <w:marTop w:val="0"/>
              <w:marBottom w:val="0"/>
              <w:divBdr>
                <w:top w:val="none" w:sz="0" w:space="0" w:color="auto"/>
                <w:left w:val="none" w:sz="0" w:space="0" w:color="auto"/>
                <w:bottom w:val="none" w:sz="0" w:space="0" w:color="auto"/>
                <w:right w:val="none" w:sz="0" w:space="0" w:color="auto"/>
              </w:divBdr>
              <w:divsChild>
                <w:div w:id="1734547648">
                  <w:marLeft w:val="0"/>
                  <w:marRight w:val="0"/>
                  <w:marTop w:val="0"/>
                  <w:marBottom w:val="0"/>
                  <w:divBdr>
                    <w:top w:val="none" w:sz="0" w:space="0" w:color="auto"/>
                    <w:left w:val="none" w:sz="0" w:space="0" w:color="auto"/>
                    <w:bottom w:val="none" w:sz="0" w:space="0" w:color="auto"/>
                    <w:right w:val="none" w:sz="0" w:space="0" w:color="auto"/>
                  </w:divBdr>
                  <w:divsChild>
                    <w:div w:id="675114408">
                      <w:marLeft w:val="0"/>
                      <w:marRight w:val="0"/>
                      <w:marTop w:val="0"/>
                      <w:marBottom w:val="0"/>
                      <w:divBdr>
                        <w:top w:val="none" w:sz="0" w:space="0" w:color="auto"/>
                        <w:left w:val="none" w:sz="0" w:space="0" w:color="auto"/>
                        <w:bottom w:val="none" w:sz="0" w:space="0" w:color="auto"/>
                        <w:right w:val="none" w:sz="0" w:space="0" w:color="auto"/>
                      </w:divBdr>
                      <w:divsChild>
                        <w:div w:id="504713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3742059">
      <w:bodyDiv w:val="1"/>
      <w:marLeft w:val="0"/>
      <w:marRight w:val="0"/>
      <w:marTop w:val="0"/>
      <w:marBottom w:val="0"/>
      <w:divBdr>
        <w:top w:val="none" w:sz="0" w:space="0" w:color="auto"/>
        <w:left w:val="none" w:sz="0" w:space="0" w:color="auto"/>
        <w:bottom w:val="none" w:sz="0" w:space="0" w:color="auto"/>
        <w:right w:val="none" w:sz="0" w:space="0" w:color="auto"/>
      </w:divBdr>
      <w:divsChild>
        <w:div w:id="1536235885">
          <w:marLeft w:val="0"/>
          <w:marRight w:val="0"/>
          <w:marTop w:val="0"/>
          <w:marBottom w:val="0"/>
          <w:divBdr>
            <w:top w:val="none" w:sz="0" w:space="0" w:color="auto"/>
            <w:left w:val="none" w:sz="0" w:space="0" w:color="auto"/>
            <w:bottom w:val="none" w:sz="0" w:space="0" w:color="auto"/>
            <w:right w:val="none" w:sz="0" w:space="0" w:color="auto"/>
          </w:divBdr>
          <w:divsChild>
            <w:div w:id="666787268">
              <w:marLeft w:val="0"/>
              <w:marRight w:val="0"/>
              <w:marTop w:val="0"/>
              <w:marBottom w:val="0"/>
              <w:divBdr>
                <w:top w:val="none" w:sz="0" w:space="0" w:color="auto"/>
                <w:left w:val="none" w:sz="0" w:space="0" w:color="auto"/>
                <w:bottom w:val="none" w:sz="0" w:space="0" w:color="auto"/>
                <w:right w:val="none" w:sz="0" w:space="0" w:color="auto"/>
              </w:divBdr>
              <w:divsChild>
                <w:div w:id="1512916878">
                  <w:marLeft w:val="0"/>
                  <w:marRight w:val="0"/>
                  <w:marTop w:val="0"/>
                  <w:marBottom w:val="0"/>
                  <w:divBdr>
                    <w:top w:val="single" w:sz="6" w:space="8" w:color="E0DFD5"/>
                    <w:left w:val="single" w:sz="6" w:space="8" w:color="E0DFD5"/>
                    <w:bottom w:val="single" w:sz="6" w:space="0" w:color="E0DFD5"/>
                    <w:right w:val="single" w:sz="6" w:space="8" w:color="E0DFD5"/>
                  </w:divBdr>
                  <w:divsChild>
                    <w:div w:id="484712002">
                      <w:marLeft w:val="0"/>
                      <w:marRight w:val="0"/>
                      <w:marTop w:val="0"/>
                      <w:marBottom w:val="165"/>
                      <w:divBdr>
                        <w:top w:val="none" w:sz="0" w:space="0" w:color="auto"/>
                        <w:left w:val="none" w:sz="0" w:space="0" w:color="auto"/>
                        <w:bottom w:val="none" w:sz="0" w:space="0" w:color="auto"/>
                        <w:right w:val="none" w:sz="0" w:space="0" w:color="auto"/>
                      </w:divBdr>
                      <w:divsChild>
                        <w:div w:id="1540701112">
                          <w:marLeft w:val="0"/>
                          <w:marRight w:val="0"/>
                          <w:marTop w:val="0"/>
                          <w:marBottom w:val="0"/>
                          <w:divBdr>
                            <w:top w:val="none" w:sz="0" w:space="0" w:color="auto"/>
                            <w:left w:val="none" w:sz="0" w:space="0" w:color="auto"/>
                            <w:bottom w:val="none" w:sz="0" w:space="0" w:color="auto"/>
                            <w:right w:val="none" w:sz="0" w:space="0" w:color="auto"/>
                          </w:divBdr>
                          <w:divsChild>
                            <w:div w:id="474954378">
                              <w:marLeft w:val="0"/>
                              <w:marRight w:val="0"/>
                              <w:marTop w:val="0"/>
                              <w:marBottom w:val="0"/>
                              <w:divBdr>
                                <w:top w:val="none" w:sz="0" w:space="0" w:color="auto"/>
                                <w:left w:val="none" w:sz="0" w:space="0" w:color="auto"/>
                                <w:bottom w:val="none" w:sz="0" w:space="0" w:color="auto"/>
                                <w:right w:val="none" w:sz="0" w:space="0" w:color="auto"/>
                              </w:divBdr>
                              <w:divsChild>
                                <w:div w:id="608467844">
                                  <w:marLeft w:val="0"/>
                                  <w:marRight w:val="0"/>
                                  <w:marTop w:val="0"/>
                                  <w:marBottom w:val="0"/>
                                  <w:divBdr>
                                    <w:top w:val="none" w:sz="0" w:space="0" w:color="auto"/>
                                    <w:left w:val="none" w:sz="0" w:space="0" w:color="auto"/>
                                    <w:bottom w:val="none" w:sz="0" w:space="0" w:color="auto"/>
                                    <w:right w:val="none" w:sz="0" w:space="0" w:color="auto"/>
                                  </w:divBdr>
                                  <w:divsChild>
                                    <w:div w:id="697850490">
                                      <w:marLeft w:val="0"/>
                                      <w:marRight w:val="0"/>
                                      <w:marTop w:val="0"/>
                                      <w:marBottom w:val="0"/>
                                      <w:divBdr>
                                        <w:top w:val="none" w:sz="0" w:space="0" w:color="auto"/>
                                        <w:left w:val="none" w:sz="0" w:space="0" w:color="auto"/>
                                        <w:bottom w:val="none" w:sz="0" w:space="0" w:color="auto"/>
                                        <w:right w:val="none" w:sz="0" w:space="0" w:color="auto"/>
                                      </w:divBdr>
                                      <w:divsChild>
                                        <w:div w:id="930049837">
                                          <w:marLeft w:val="0"/>
                                          <w:marRight w:val="0"/>
                                          <w:marTop w:val="0"/>
                                          <w:marBottom w:val="0"/>
                                          <w:divBdr>
                                            <w:top w:val="none" w:sz="0" w:space="0" w:color="auto"/>
                                            <w:left w:val="none" w:sz="0" w:space="0" w:color="auto"/>
                                            <w:bottom w:val="none" w:sz="0" w:space="0" w:color="auto"/>
                                            <w:right w:val="none" w:sz="0" w:space="0" w:color="auto"/>
                                          </w:divBdr>
                                          <w:divsChild>
                                            <w:div w:id="1492912003">
                                              <w:marLeft w:val="0"/>
                                              <w:marRight w:val="0"/>
                                              <w:marTop w:val="0"/>
                                              <w:marBottom w:val="0"/>
                                              <w:divBdr>
                                                <w:top w:val="none" w:sz="0" w:space="0" w:color="auto"/>
                                                <w:left w:val="none" w:sz="0" w:space="0" w:color="auto"/>
                                                <w:bottom w:val="none" w:sz="0" w:space="0" w:color="auto"/>
                                                <w:right w:val="none" w:sz="0" w:space="0" w:color="auto"/>
                                              </w:divBdr>
                                              <w:divsChild>
                                                <w:div w:id="515314408">
                                                  <w:marLeft w:val="0"/>
                                                  <w:marRight w:val="0"/>
                                                  <w:marTop w:val="0"/>
                                                  <w:marBottom w:val="0"/>
                                                  <w:divBdr>
                                                    <w:top w:val="none" w:sz="0" w:space="0" w:color="auto"/>
                                                    <w:left w:val="none" w:sz="0" w:space="0" w:color="auto"/>
                                                    <w:bottom w:val="none" w:sz="0" w:space="0" w:color="auto"/>
                                                    <w:right w:val="none" w:sz="0" w:space="0" w:color="auto"/>
                                                  </w:divBdr>
                                                  <w:divsChild>
                                                    <w:div w:id="24867929">
                                                      <w:marLeft w:val="0"/>
                                                      <w:marRight w:val="0"/>
                                                      <w:marTop w:val="0"/>
                                                      <w:marBottom w:val="0"/>
                                                      <w:divBdr>
                                                        <w:top w:val="single" w:sz="6" w:space="8" w:color="E5E5E5"/>
                                                        <w:left w:val="single" w:sz="6" w:space="8" w:color="E5E5E5"/>
                                                        <w:bottom w:val="single" w:sz="6" w:space="8" w:color="E5E5E5"/>
                                                        <w:right w:val="single" w:sz="6" w:space="8" w:color="E5E5E5"/>
                                                      </w:divBdr>
                                                      <w:divsChild>
                                                        <w:div w:id="723260804">
                                                          <w:marLeft w:val="0"/>
                                                          <w:marRight w:val="0"/>
                                                          <w:marTop w:val="0"/>
                                                          <w:marBottom w:val="0"/>
                                                          <w:divBdr>
                                                            <w:top w:val="none" w:sz="0" w:space="0" w:color="auto"/>
                                                            <w:left w:val="none" w:sz="0" w:space="0" w:color="auto"/>
                                                            <w:bottom w:val="none" w:sz="0" w:space="0" w:color="auto"/>
                                                            <w:right w:val="none" w:sz="0" w:space="0" w:color="auto"/>
                                                          </w:divBdr>
                                                          <w:divsChild>
                                                            <w:div w:id="1146363607">
                                                              <w:marLeft w:val="0"/>
                                                              <w:marRight w:val="0"/>
                                                              <w:marTop w:val="0"/>
                                                              <w:marBottom w:val="0"/>
                                                              <w:divBdr>
                                                                <w:top w:val="none" w:sz="0" w:space="0" w:color="auto"/>
                                                                <w:left w:val="none" w:sz="0" w:space="0" w:color="auto"/>
                                                                <w:bottom w:val="none" w:sz="0" w:space="0" w:color="auto"/>
                                                                <w:right w:val="none" w:sz="0" w:space="0" w:color="auto"/>
                                                              </w:divBdr>
                                                              <w:divsChild>
                                                                <w:div w:id="1408917185">
                                                                  <w:marLeft w:val="-375"/>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57159236">
      <w:bodyDiv w:val="1"/>
      <w:marLeft w:val="0"/>
      <w:marRight w:val="0"/>
      <w:marTop w:val="0"/>
      <w:marBottom w:val="0"/>
      <w:divBdr>
        <w:top w:val="none" w:sz="0" w:space="0" w:color="auto"/>
        <w:left w:val="none" w:sz="0" w:space="0" w:color="auto"/>
        <w:bottom w:val="none" w:sz="0" w:space="0" w:color="auto"/>
        <w:right w:val="none" w:sz="0" w:space="0" w:color="auto"/>
      </w:divBdr>
      <w:divsChild>
        <w:div w:id="337538676">
          <w:marLeft w:val="0"/>
          <w:marRight w:val="0"/>
          <w:marTop w:val="0"/>
          <w:marBottom w:val="0"/>
          <w:divBdr>
            <w:top w:val="none" w:sz="0" w:space="0" w:color="auto"/>
            <w:left w:val="none" w:sz="0" w:space="0" w:color="auto"/>
            <w:bottom w:val="none" w:sz="0" w:space="0" w:color="auto"/>
            <w:right w:val="none" w:sz="0" w:space="0" w:color="auto"/>
          </w:divBdr>
          <w:divsChild>
            <w:div w:id="799762223">
              <w:marLeft w:val="0"/>
              <w:marRight w:val="0"/>
              <w:marTop w:val="0"/>
              <w:marBottom w:val="0"/>
              <w:divBdr>
                <w:top w:val="none" w:sz="0" w:space="0" w:color="auto"/>
                <w:left w:val="none" w:sz="0" w:space="0" w:color="auto"/>
                <w:bottom w:val="none" w:sz="0" w:space="0" w:color="auto"/>
                <w:right w:val="none" w:sz="0" w:space="0" w:color="auto"/>
              </w:divBdr>
              <w:divsChild>
                <w:div w:id="312679927">
                  <w:marLeft w:val="0"/>
                  <w:marRight w:val="0"/>
                  <w:marTop w:val="0"/>
                  <w:marBottom w:val="0"/>
                  <w:divBdr>
                    <w:top w:val="single" w:sz="6" w:space="8" w:color="E0DFD5"/>
                    <w:left w:val="single" w:sz="6" w:space="8" w:color="E0DFD5"/>
                    <w:bottom w:val="single" w:sz="6" w:space="0" w:color="E0DFD5"/>
                    <w:right w:val="single" w:sz="6" w:space="8" w:color="E0DFD5"/>
                  </w:divBdr>
                  <w:divsChild>
                    <w:div w:id="875194606">
                      <w:marLeft w:val="0"/>
                      <w:marRight w:val="0"/>
                      <w:marTop w:val="0"/>
                      <w:marBottom w:val="165"/>
                      <w:divBdr>
                        <w:top w:val="none" w:sz="0" w:space="0" w:color="auto"/>
                        <w:left w:val="none" w:sz="0" w:space="0" w:color="auto"/>
                        <w:bottom w:val="none" w:sz="0" w:space="0" w:color="auto"/>
                        <w:right w:val="none" w:sz="0" w:space="0" w:color="auto"/>
                      </w:divBdr>
                      <w:divsChild>
                        <w:div w:id="85080930">
                          <w:marLeft w:val="0"/>
                          <w:marRight w:val="0"/>
                          <w:marTop w:val="0"/>
                          <w:marBottom w:val="0"/>
                          <w:divBdr>
                            <w:top w:val="none" w:sz="0" w:space="0" w:color="auto"/>
                            <w:left w:val="none" w:sz="0" w:space="0" w:color="auto"/>
                            <w:bottom w:val="none" w:sz="0" w:space="0" w:color="auto"/>
                            <w:right w:val="none" w:sz="0" w:space="0" w:color="auto"/>
                          </w:divBdr>
                          <w:divsChild>
                            <w:div w:id="1484934486">
                              <w:marLeft w:val="0"/>
                              <w:marRight w:val="0"/>
                              <w:marTop w:val="0"/>
                              <w:marBottom w:val="0"/>
                              <w:divBdr>
                                <w:top w:val="none" w:sz="0" w:space="0" w:color="auto"/>
                                <w:left w:val="none" w:sz="0" w:space="0" w:color="auto"/>
                                <w:bottom w:val="none" w:sz="0" w:space="0" w:color="auto"/>
                                <w:right w:val="none" w:sz="0" w:space="0" w:color="auto"/>
                              </w:divBdr>
                              <w:divsChild>
                                <w:div w:id="1385715270">
                                  <w:marLeft w:val="0"/>
                                  <w:marRight w:val="0"/>
                                  <w:marTop w:val="0"/>
                                  <w:marBottom w:val="0"/>
                                  <w:divBdr>
                                    <w:top w:val="none" w:sz="0" w:space="0" w:color="auto"/>
                                    <w:left w:val="none" w:sz="0" w:space="0" w:color="auto"/>
                                    <w:bottom w:val="none" w:sz="0" w:space="0" w:color="auto"/>
                                    <w:right w:val="none" w:sz="0" w:space="0" w:color="auto"/>
                                  </w:divBdr>
                                  <w:divsChild>
                                    <w:div w:id="937640596">
                                      <w:marLeft w:val="0"/>
                                      <w:marRight w:val="0"/>
                                      <w:marTop w:val="0"/>
                                      <w:marBottom w:val="0"/>
                                      <w:divBdr>
                                        <w:top w:val="none" w:sz="0" w:space="0" w:color="auto"/>
                                        <w:left w:val="none" w:sz="0" w:space="0" w:color="auto"/>
                                        <w:bottom w:val="none" w:sz="0" w:space="0" w:color="auto"/>
                                        <w:right w:val="none" w:sz="0" w:space="0" w:color="auto"/>
                                      </w:divBdr>
                                      <w:divsChild>
                                        <w:div w:id="2142336453">
                                          <w:marLeft w:val="0"/>
                                          <w:marRight w:val="0"/>
                                          <w:marTop w:val="0"/>
                                          <w:marBottom w:val="0"/>
                                          <w:divBdr>
                                            <w:top w:val="none" w:sz="0" w:space="0" w:color="auto"/>
                                            <w:left w:val="none" w:sz="0" w:space="0" w:color="auto"/>
                                            <w:bottom w:val="none" w:sz="0" w:space="0" w:color="auto"/>
                                            <w:right w:val="none" w:sz="0" w:space="0" w:color="auto"/>
                                          </w:divBdr>
                                          <w:divsChild>
                                            <w:div w:id="1025325140">
                                              <w:marLeft w:val="0"/>
                                              <w:marRight w:val="0"/>
                                              <w:marTop w:val="0"/>
                                              <w:marBottom w:val="0"/>
                                              <w:divBdr>
                                                <w:top w:val="none" w:sz="0" w:space="0" w:color="auto"/>
                                                <w:left w:val="none" w:sz="0" w:space="0" w:color="auto"/>
                                                <w:bottom w:val="none" w:sz="0" w:space="0" w:color="auto"/>
                                                <w:right w:val="none" w:sz="0" w:space="0" w:color="auto"/>
                                              </w:divBdr>
                                              <w:divsChild>
                                                <w:div w:id="767852244">
                                                  <w:marLeft w:val="0"/>
                                                  <w:marRight w:val="0"/>
                                                  <w:marTop w:val="0"/>
                                                  <w:marBottom w:val="0"/>
                                                  <w:divBdr>
                                                    <w:top w:val="none" w:sz="0" w:space="0" w:color="auto"/>
                                                    <w:left w:val="none" w:sz="0" w:space="0" w:color="auto"/>
                                                    <w:bottom w:val="none" w:sz="0" w:space="0" w:color="auto"/>
                                                    <w:right w:val="none" w:sz="0" w:space="0" w:color="auto"/>
                                                  </w:divBdr>
                                                  <w:divsChild>
                                                    <w:div w:id="807280907">
                                                      <w:marLeft w:val="0"/>
                                                      <w:marRight w:val="0"/>
                                                      <w:marTop w:val="0"/>
                                                      <w:marBottom w:val="0"/>
                                                      <w:divBdr>
                                                        <w:top w:val="single" w:sz="6" w:space="8" w:color="E5E5E5"/>
                                                        <w:left w:val="single" w:sz="6" w:space="8" w:color="E5E5E5"/>
                                                        <w:bottom w:val="single" w:sz="6" w:space="8" w:color="E5E5E5"/>
                                                        <w:right w:val="single" w:sz="6" w:space="8" w:color="E5E5E5"/>
                                                      </w:divBdr>
                                                      <w:divsChild>
                                                        <w:div w:id="540171095">
                                                          <w:marLeft w:val="0"/>
                                                          <w:marRight w:val="0"/>
                                                          <w:marTop w:val="0"/>
                                                          <w:marBottom w:val="0"/>
                                                          <w:divBdr>
                                                            <w:top w:val="none" w:sz="0" w:space="0" w:color="auto"/>
                                                            <w:left w:val="none" w:sz="0" w:space="0" w:color="auto"/>
                                                            <w:bottom w:val="none" w:sz="0" w:space="0" w:color="auto"/>
                                                            <w:right w:val="none" w:sz="0" w:space="0" w:color="auto"/>
                                                          </w:divBdr>
                                                          <w:divsChild>
                                                            <w:div w:id="492570078">
                                                              <w:marLeft w:val="0"/>
                                                              <w:marRight w:val="0"/>
                                                              <w:marTop w:val="0"/>
                                                              <w:marBottom w:val="0"/>
                                                              <w:divBdr>
                                                                <w:top w:val="none" w:sz="0" w:space="0" w:color="auto"/>
                                                                <w:left w:val="none" w:sz="0" w:space="0" w:color="auto"/>
                                                                <w:bottom w:val="none" w:sz="0" w:space="0" w:color="auto"/>
                                                                <w:right w:val="none" w:sz="0" w:space="0" w:color="auto"/>
                                                              </w:divBdr>
                                                              <w:divsChild>
                                                                <w:div w:id="1196231511">
                                                                  <w:marLeft w:val="-375"/>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105026873">
      <w:bodyDiv w:val="1"/>
      <w:marLeft w:val="0"/>
      <w:marRight w:val="0"/>
      <w:marTop w:val="0"/>
      <w:marBottom w:val="0"/>
      <w:divBdr>
        <w:top w:val="none" w:sz="0" w:space="0" w:color="auto"/>
        <w:left w:val="none" w:sz="0" w:space="0" w:color="auto"/>
        <w:bottom w:val="none" w:sz="0" w:space="0" w:color="auto"/>
        <w:right w:val="none" w:sz="0" w:space="0" w:color="auto"/>
      </w:divBdr>
      <w:divsChild>
        <w:div w:id="764109384">
          <w:marLeft w:val="0"/>
          <w:marRight w:val="0"/>
          <w:marTop w:val="0"/>
          <w:marBottom w:val="0"/>
          <w:divBdr>
            <w:top w:val="none" w:sz="0" w:space="0" w:color="auto"/>
            <w:left w:val="none" w:sz="0" w:space="0" w:color="auto"/>
            <w:bottom w:val="none" w:sz="0" w:space="0" w:color="auto"/>
            <w:right w:val="none" w:sz="0" w:space="0" w:color="auto"/>
          </w:divBdr>
          <w:divsChild>
            <w:div w:id="729117962">
              <w:marLeft w:val="0"/>
              <w:marRight w:val="0"/>
              <w:marTop w:val="0"/>
              <w:marBottom w:val="0"/>
              <w:divBdr>
                <w:top w:val="none" w:sz="0" w:space="0" w:color="auto"/>
                <w:left w:val="none" w:sz="0" w:space="0" w:color="auto"/>
                <w:bottom w:val="none" w:sz="0" w:space="0" w:color="auto"/>
                <w:right w:val="none" w:sz="0" w:space="0" w:color="auto"/>
              </w:divBdr>
              <w:divsChild>
                <w:div w:id="708260718">
                  <w:marLeft w:val="0"/>
                  <w:marRight w:val="0"/>
                  <w:marTop w:val="0"/>
                  <w:marBottom w:val="0"/>
                  <w:divBdr>
                    <w:top w:val="none" w:sz="0" w:space="0" w:color="auto"/>
                    <w:left w:val="none" w:sz="0" w:space="0" w:color="auto"/>
                    <w:bottom w:val="none" w:sz="0" w:space="0" w:color="auto"/>
                    <w:right w:val="none" w:sz="0" w:space="0" w:color="auto"/>
                  </w:divBdr>
                  <w:divsChild>
                    <w:div w:id="1555896496">
                      <w:marLeft w:val="0"/>
                      <w:marRight w:val="0"/>
                      <w:marTop w:val="0"/>
                      <w:marBottom w:val="0"/>
                      <w:divBdr>
                        <w:top w:val="none" w:sz="0" w:space="0" w:color="auto"/>
                        <w:left w:val="none" w:sz="0" w:space="0" w:color="auto"/>
                        <w:bottom w:val="none" w:sz="0" w:space="0" w:color="auto"/>
                        <w:right w:val="none" w:sz="0" w:space="0" w:color="auto"/>
                      </w:divBdr>
                      <w:divsChild>
                        <w:div w:id="194715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airwar.ru/enc/fww1/spad91.html" TargetMode="External"/><Relationship Id="rId21" Type="http://schemas.openxmlformats.org/officeDocument/2006/relationships/hyperlink" Target="http://www.hrono.ru/biograf/bio_g/gorbunov_np.php" TargetMode="External"/><Relationship Id="rId42" Type="http://schemas.openxmlformats.org/officeDocument/2006/relationships/hyperlink" Target="http://istmat.info/node/58657" TargetMode="External"/><Relationship Id="rId47" Type="http://schemas.openxmlformats.org/officeDocument/2006/relationships/hyperlink" Target="http://hrono.ru/biograf/bio_r/rykov_ai.php" TargetMode="External"/><Relationship Id="rId63" Type="http://schemas.openxmlformats.org/officeDocument/2006/relationships/hyperlink" Target="https://ru.wikipedia.org/wiki/%D0%90%D0%BD%D0%B3%D0%BB%D0%B8%D0%B9%D1%81%D0%BA%D0%B8%D0%B9_%D1%8F%D0%B7%D1%8B%D0%BA" TargetMode="External"/><Relationship Id="rId68" Type="http://schemas.openxmlformats.org/officeDocument/2006/relationships/hyperlink" Target="https://ru.wikipedia.org/wiki/%D0%9C%D0%B0%D0%B3%D0%BD%D0%B8%D1%82%D0%BE%D0%B3%D0%BE%D1%80%D1%81%D0%BA%D0%B8%D0%B9_%D0%BC%D0%B5%D1%82%D0%B0%D0%BB%D0%BB%D1%83%D1%80%D0%B3%D0%B8%D1%87%D0%B5%D1%81%D0%BA%D0%B8%D0%B9_%D0%BA%D0%BE%D0%BC%D0%B1%D0%B8%D0%BD%D0%B0%D1%82" TargetMode="External"/><Relationship Id="rId84" Type="http://schemas.openxmlformats.org/officeDocument/2006/relationships/hyperlink" Target="http://hrono.ru/biograf/bio_g/gorbunov_np.php" TargetMode="External"/><Relationship Id="rId89" Type="http://schemas.openxmlformats.org/officeDocument/2006/relationships/hyperlink" Target="http://www.airwar.ru/enc/law1/cla7.html" TargetMode="External"/><Relationship Id="rId112" Type="http://schemas.openxmlformats.org/officeDocument/2006/relationships/hyperlink" Target="http://www.rpg-club.com/x1000" TargetMode="External"/><Relationship Id="rId133" Type="http://schemas.openxmlformats.org/officeDocument/2006/relationships/hyperlink" Target="http://www.airwar.ru/enc/cw1/potez42.html" TargetMode="External"/><Relationship Id="rId138" Type="http://schemas.openxmlformats.org/officeDocument/2006/relationships/hyperlink" Target="http://ru.wikipedia.org/wiki/%D0%9F%D0%BE%D1%81%D0%B0%D0%B6%D0%B5%D0%BD%D0%BD%D0%B8%D0%BA%D0%BE%D0%B2,_%D0%90%D0%BB%D0%B5%D0%BA%D1%81%D0%B5%D0%B9_%D0%94%D0%B5%D0%BC%D1%8C%D1%8F%D0%BD%D0%BE%D0%B2%D0%B8%D1%87" TargetMode="External"/><Relationship Id="rId154" Type="http://schemas.openxmlformats.org/officeDocument/2006/relationships/hyperlink" Target="https://ru.wikipedia.org/wiki/1930_%D0%B3%D0%BE%D0%B4" TargetMode="External"/><Relationship Id="rId159" Type="http://schemas.openxmlformats.org/officeDocument/2006/relationships/hyperlink" Target="http://www.rpg-club.com/x1000" TargetMode="External"/><Relationship Id="rId175" Type="http://schemas.openxmlformats.org/officeDocument/2006/relationships/hyperlink" Target="http://www.rpg-club.com/x1000" TargetMode="External"/><Relationship Id="rId170" Type="http://schemas.openxmlformats.org/officeDocument/2006/relationships/hyperlink" Target="http://www.hrono.ru/biograf/bio_r/rozengolc_ap.php" TargetMode="External"/><Relationship Id="rId191" Type="http://schemas.openxmlformats.org/officeDocument/2006/relationships/hyperlink" Target="http://www.rpg-club.com/x1000" TargetMode="External"/><Relationship Id="rId16" Type="http://schemas.openxmlformats.org/officeDocument/2006/relationships/hyperlink" Target="http://istmat.info/node/58657" TargetMode="External"/><Relationship Id="rId107" Type="http://schemas.openxmlformats.org/officeDocument/2006/relationships/hyperlink" Target="http://www.airwar.ru/enc/other1/avro621.html" TargetMode="External"/><Relationship Id="rId11" Type="http://schemas.openxmlformats.org/officeDocument/2006/relationships/hyperlink" Target="http://www.hrono.ru/biograf/bio_r/rykov_ai.php" TargetMode="External"/><Relationship Id="rId32" Type="http://schemas.openxmlformats.org/officeDocument/2006/relationships/hyperlink" Target="http://istmat.info/node/58685" TargetMode="External"/><Relationship Id="rId37" Type="http://schemas.openxmlformats.org/officeDocument/2006/relationships/hyperlink" Target="http://hrono.ru/biograf/bio_m/mikoyan_ai.php" TargetMode="External"/><Relationship Id="rId53" Type="http://schemas.openxmlformats.org/officeDocument/2006/relationships/hyperlink" Target="http://1937god.info/node/312" TargetMode="External"/><Relationship Id="rId58" Type="http://schemas.openxmlformats.org/officeDocument/2006/relationships/hyperlink" Target="http://www.airwar.ru/enc/fww1/i7.html" TargetMode="External"/><Relationship Id="rId74" Type="http://schemas.openxmlformats.org/officeDocument/2006/relationships/hyperlink" Target="https://ru.wikipedia.org/wiki/1929_%D0%B3%D0%BE%D0%B4" TargetMode="External"/><Relationship Id="rId79" Type="http://schemas.openxmlformats.org/officeDocument/2006/relationships/hyperlink" Target="http://www.airwar.ru/enc/other1/aries.html" TargetMode="External"/><Relationship Id="rId102" Type="http://schemas.openxmlformats.org/officeDocument/2006/relationships/hyperlink" Target="http://www.airwar.ru/enc/bww2/heyford.html" TargetMode="External"/><Relationship Id="rId123" Type="http://schemas.openxmlformats.org/officeDocument/2006/relationships/hyperlink" Target="http://www.airwar.ru/enc/other1/u12.html" TargetMode="External"/><Relationship Id="rId128" Type="http://schemas.openxmlformats.org/officeDocument/2006/relationships/hyperlink" Target="http://foto-history.livejournal.com/1880832.html" TargetMode="External"/><Relationship Id="rId144" Type="http://schemas.openxmlformats.org/officeDocument/2006/relationships/hyperlink" Target="http://www.hrono.ru/biograf/bio_o/osinski_obolen.php" TargetMode="External"/><Relationship Id="rId149" Type="http://schemas.openxmlformats.org/officeDocument/2006/relationships/hyperlink" Target="http://www.e-reading.club/chapter.php/1005087/40/Gorlov_Sergey_-_Sovershenno_sekretno__Alyans_Moskva_-_Berlin_1920-1933_gg..html" TargetMode="External"/><Relationship Id="rId5" Type="http://schemas.openxmlformats.org/officeDocument/2006/relationships/footnotes" Target="footnotes.xml"/><Relationship Id="rId90" Type="http://schemas.openxmlformats.org/officeDocument/2006/relationships/hyperlink" Target="http://airspot.ru/catalogue/item/ford-4-at-tri-motor" TargetMode="External"/><Relationship Id="rId95" Type="http://schemas.openxmlformats.org/officeDocument/2006/relationships/hyperlink" Target="https://ru.wikipedia.org/wiki/%D0%92%D0%A1%D0%9D%D0%A5_%D0%A1%D0%A1%D0%A1%D0%A0" TargetMode="External"/><Relationship Id="rId160" Type="http://schemas.openxmlformats.org/officeDocument/2006/relationships/hyperlink" Target="http://www.rpg-club.com/x1000" TargetMode="External"/><Relationship Id="rId165" Type="http://schemas.openxmlformats.org/officeDocument/2006/relationships/hyperlink" Target="http://istmat.info/node/49229" TargetMode="External"/><Relationship Id="rId181" Type="http://schemas.openxmlformats.org/officeDocument/2006/relationships/hyperlink" Target="https://ru.wikipedia.org/w/index.php?title=%D0%A3%D1%80%D0%B0%D0%BB%D0%93%D0%B8%D0%BF%D1%80%D0%BE%D0%BC%D0%B5%D0%B7&amp;action=edit&amp;redlink=1" TargetMode="External"/><Relationship Id="rId186" Type="http://schemas.openxmlformats.org/officeDocument/2006/relationships/hyperlink" Target="http://www.hrono.ru/biograf/bio_k/kosior_i.php" TargetMode="External"/><Relationship Id="rId22" Type="http://schemas.openxmlformats.org/officeDocument/2006/relationships/hyperlink" Target="http://1937god.info/node/312" TargetMode="External"/><Relationship Id="rId27" Type="http://schemas.openxmlformats.org/officeDocument/2006/relationships/hyperlink" Target="http://www.rpg-club.com/x1000" TargetMode="External"/><Relationship Id="rId43" Type="http://schemas.openxmlformats.org/officeDocument/2006/relationships/hyperlink" Target="http://www.hrono.ru/biograf/bio_u/uborevich_ip.php" TargetMode="External"/><Relationship Id="rId48" Type="http://schemas.openxmlformats.org/officeDocument/2006/relationships/hyperlink" Target="http://hrono.ru/biograf/bio_g/gorbunov_np.php" TargetMode="External"/><Relationship Id="rId64" Type="http://schemas.openxmlformats.org/officeDocument/2006/relationships/hyperlink" Target="https://ru.wikipedia.org/wiki/%D0%9A%D0%BB%D0%B8%D0%B2%D0%BB%D0%B5%D0%BD%D0%B4" TargetMode="External"/><Relationship Id="rId69" Type="http://schemas.openxmlformats.org/officeDocument/2006/relationships/hyperlink" Target="https://ru.wikipedia.org/wiki/%D0%9C%D0%B0%D0%B3%D0%BD%D0%B8%D1%82%D0%BE%D0%B3%D0%BE%D1%80%D1%81%D0%BA%D0%B8%D0%B9_%D0%BC%D0%B5%D1%82%D0%B0%D0%BB%D0%BB%D1%83%D1%80%D0%B3%D0%B8%D1%87%D0%B5%D1%81%D0%BA%D0%B8%D0%B9_%D0%BA%D0%BE%D0%BC%D0%B1%D0%B8%D0%BD%D0%B0%D1%82" TargetMode="External"/><Relationship Id="rId113" Type="http://schemas.openxmlformats.org/officeDocument/2006/relationships/hyperlink" Target="http://www.rpg-club.com/x1000" TargetMode="External"/><Relationship Id="rId118" Type="http://schemas.openxmlformats.org/officeDocument/2006/relationships/hyperlink" Target="http://irkipedia.ru/content/kolchak_aleksandr_vasilevich" TargetMode="External"/><Relationship Id="rId134" Type="http://schemas.openxmlformats.org/officeDocument/2006/relationships/hyperlink" Target="http://www.airforce.ru/history/chronology/1930.htm" TargetMode="External"/><Relationship Id="rId139" Type="http://schemas.openxmlformats.org/officeDocument/2006/relationships/hyperlink" Target="http://www.airwar.ru/enc/bww1/letovs33.html" TargetMode="External"/><Relationship Id="rId80" Type="http://schemas.openxmlformats.org/officeDocument/2006/relationships/hyperlink" Target="http://www.airwar.ru/enc/law1/lh41.html" TargetMode="External"/><Relationship Id="rId85" Type="http://schemas.openxmlformats.org/officeDocument/2006/relationships/hyperlink" Target="http://1937god.info/node/312" TargetMode="External"/><Relationship Id="rId150" Type="http://schemas.openxmlformats.org/officeDocument/2006/relationships/hyperlink" Target="http://istmat.info/node/49130" TargetMode="External"/><Relationship Id="rId155" Type="http://schemas.openxmlformats.org/officeDocument/2006/relationships/hyperlink" Target="https://ru.wikipedia.org/wiki/%D0%94%D0%B5%D0%BB%D0%BE_%D0%9F%D1%80%D0%BE%D0%BC%D0%BF%D0%B0%D1%80%D1%82%D0%B8%D0%B8" TargetMode="External"/><Relationship Id="rId171" Type="http://schemas.openxmlformats.org/officeDocument/2006/relationships/hyperlink" Target="http://www.hrono.ru/biograf/bio_p/pavlunovski_ip.php" TargetMode="External"/><Relationship Id="rId176" Type="http://schemas.openxmlformats.org/officeDocument/2006/relationships/hyperlink" Target="http://www.rpg-club.com/x1000" TargetMode="External"/><Relationship Id="rId192" Type="http://schemas.openxmlformats.org/officeDocument/2006/relationships/fontTable" Target="fontTable.xml"/><Relationship Id="rId12" Type="http://schemas.openxmlformats.org/officeDocument/2006/relationships/hyperlink" Target="http://www.hrono.ru/biograf/bio_g/gorbunov_np.php" TargetMode="External"/><Relationship Id="rId17" Type="http://schemas.openxmlformats.org/officeDocument/2006/relationships/hyperlink" Target="http://www.hrono.ru/biograf/bio_s/stalin_iv.php" TargetMode="External"/><Relationship Id="rId33" Type="http://schemas.openxmlformats.org/officeDocument/2006/relationships/hyperlink" Target="http://crimso.msk.ru/Site/Crafts/Craft26435.htm" TargetMode="External"/><Relationship Id="rId38" Type="http://schemas.openxmlformats.org/officeDocument/2006/relationships/hyperlink" Target="http://www.e-reading.club/chapter.php/1005087/29/Gorlov_Sergey_-_Sovershenno_sekretno__Alyans_Moskva_-_Berlin_1920-1933_gg..html" TargetMode="External"/><Relationship Id="rId59" Type="http://schemas.openxmlformats.org/officeDocument/2006/relationships/hyperlink" Target="http://www.airwar.ru/enc/flyboat/dos.html" TargetMode="External"/><Relationship Id="rId103" Type="http://schemas.openxmlformats.org/officeDocument/2006/relationships/hyperlink" Target="http://www.hrono.ru/biograf/bio_h/halepski_ia.php" TargetMode="External"/><Relationship Id="rId108" Type="http://schemas.openxmlformats.org/officeDocument/2006/relationships/hyperlink" Target="http://www.airwar.ru/enc/law1/bernard72.html" TargetMode="External"/><Relationship Id="rId124" Type="http://schemas.openxmlformats.org/officeDocument/2006/relationships/hyperlink" Target="http://www.airwar.ru/enc/other1/u12.html" TargetMode="External"/><Relationship Id="rId129" Type="http://schemas.openxmlformats.org/officeDocument/2006/relationships/hyperlink" Target="http://detectivebooks.ru/book/47013018/?page=12" TargetMode="External"/><Relationship Id="rId54" Type="http://schemas.openxmlformats.org/officeDocument/2006/relationships/hyperlink" Target="http://hrono.ru/biograf/bio_r/ruhimovich_ml.php." TargetMode="External"/><Relationship Id="rId70" Type="http://schemas.openxmlformats.org/officeDocument/2006/relationships/hyperlink" Target="https://ru.wikipedia.org/wiki/%D0%9C%D0%B0%D0%B3%D0%BD%D0%B8%D1%82%D0%BE%D0%B3%D0%BE%D1%80%D1%81%D0%BA%D0%B8%D0%B9_%D0%BC%D0%B5%D1%82%D0%B0%D0%BB%D0%BB%D1%83%D1%80%D0%B3%D0%B8%D1%87%D0%B5%D1%81%D0%BA%D0%B8%D0%B9_%D0%BA%D0%BE%D0%BC%D0%B1%D0%B8%D0%BD%D0%B0%D1%82" TargetMode="External"/><Relationship Id="rId75" Type="http://schemas.openxmlformats.org/officeDocument/2006/relationships/hyperlink" Target="http://detectivebooks.ru/book/47013018/?page=12" TargetMode="External"/><Relationship Id="rId91" Type="http://schemas.openxmlformats.org/officeDocument/2006/relationships/hyperlink" Target="http://www.airwar.ru/enc/cw1/b1.html" TargetMode="External"/><Relationship Id="rId96" Type="http://schemas.openxmlformats.org/officeDocument/2006/relationships/hyperlink" Target="https://ru.wikipedia.org/wiki/1925_%D0%B3%D0%BE%D0%B4" TargetMode="External"/><Relationship Id="rId140" Type="http://schemas.openxmlformats.org/officeDocument/2006/relationships/hyperlink" Target="http://airspot.ru/catalogue/item/boeing-221-monomail" TargetMode="External"/><Relationship Id="rId145" Type="http://schemas.openxmlformats.org/officeDocument/2006/relationships/hyperlink" Target="http://www.hrono.ru/biograf/bio_s/stalin_iv.php" TargetMode="External"/><Relationship Id="rId161" Type="http://schemas.openxmlformats.org/officeDocument/2006/relationships/hyperlink" Target="http://www.rpg-club.com/x1000" TargetMode="External"/><Relationship Id="rId166" Type="http://schemas.openxmlformats.org/officeDocument/2006/relationships/hyperlink" Target="http://www.hrono.ru/biograf/bio_o/orzonikidze.php" TargetMode="External"/><Relationship Id="rId182" Type="http://schemas.openxmlformats.org/officeDocument/2006/relationships/hyperlink" Target="https://ru.wikipedia.org/wiki/1929_%D0%B3%D0%BE%D0%B4" TargetMode="External"/><Relationship Id="rId187" Type="http://schemas.openxmlformats.org/officeDocument/2006/relationships/hyperlink" Target="http://www.hrono.ru/biograf/bio_k/kuybyshev_nv.php"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detectivebooks.ru/book/47013018/?page=10" TargetMode="External"/><Relationship Id="rId28" Type="http://schemas.openxmlformats.org/officeDocument/2006/relationships/hyperlink" Target="http://airspot.ru/catalogue/item/lublin-r-xi" TargetMode="External"/><Relationship Id="rId49" Type="http://schemas.openxmlformats.org/officeDocument/2006/relationships/hyperlink" Target="http://1937god.info/node/312" TargetMode="External"/><Relationship Id="rId114" Type="http://schemas.openxmlformats.org/officeDocument/2006/relationships/hyperlink" Target="http://www.rpg-club.com/x1000" TargetMode="External"/><Relationship Id="rId119" Type="http://schemas.openxmlformats.org/officeDocument/2006/relationships/hyperlink" Target="http://www.airwar.ru/enc/fww1/di2.html" TargetMode="External"/><Relationship Id="rId44" Type="http://schemas.openxmlformats.org/officeDocument/2006/relationships/hyperlink" Target="http://hrono.ru/biograf/bio_we/voroshilov.php" TargetMode="External"/><Relationship Id="rId60" Type="http://schemas.openxmlformats.org/officeDocument/2006/relationships/hyperlink" Target="http://www.hrono.ru/biograf/bio_k/kuybyshev_vv.php" TargetMode="External"/><Relationship Id="rId65" Type="http://schemas.openxmlformats.org/officeDocument/2006/relationships/hyperlink" Target="https://en.wikipedia.org/wiki/U.S._Steel" TargetMode="External"/><Relationship Id="rId81" Type="http://schemas.openxmlformats.org/officeDocument/2006/relationships/hyperlink" Target="http://www.airwar.ru/enc/bww1/m22.html" TargetMode="External"/><Relationship Id="rId86" Type="http://schemas.openxmlformats.org/officeDocument/2006/relationships/hyperlink" Target="http://www.airwar.ru/enc/cw1/late28.html" TargetMode="External"/><Relationship Id="rId130" Type="http://schemas.openxmlformats.org/officeDocument/2006/relationships/hyperlink" Target="http://www.hrono.ru/biograf/bio_m/muklevich.php" TargetMode="External"/><Relationship Id="rId135" Type="http://schemas.openxmlformats.org/officeDocument/2006/relationships/hyperlink" Target="http://www.airwar.ru/enc/cw1/k6.html" TargetMode="External"/><Relationship Id="rId151" Type="http://schemas.openxmlformats.org/officeDocument/2006/relationships/hyperlink" Target="http://www.rpg-club.com/x1000" TargetMode="External"/><Relationship Id="rId156" Type="http://schemas.openxmlformats.org/officeDocument/2006/relationships/hyperlink" Target="https://ru.wikipedia.org/wiki/%D0%A7%D0%B0%D0%BF%D0%BB%D1%8B%D0%B3%D0%B8%D0%BD,_%D0%A1%D0%B5%D1%80%D0%B3%D0%B5%D0%B9_%D0%90%D0%BB%D0%B5%D0%BA%D1%81%D0%B5%D0%B5%D0%B2%D0%B8%D1%87" TargetMode="External"/><Relationship Id="rId177" Type="http://schemas.openxmlformats.org/officeDocument/2006/relationships/hyperlink" Target="http://www.rpg-club.com/x1000" TargetMode="External"/><Relationship Id="rId172" Type="http://schemas.openxmlformats.org/officeDocument/2006/relationships/hyperlink" Target="http://www.hrono.ru/biograf/bio_we/voroshilov.php" TargetMode="External"/><Relationship Id="rId193" Type="http://schemas.openxmlformats.org/officeDocument/2006/relationships/theme" Target="theme/theme1.xml"/><Relationship Id="rId13" Type="http://schemas.openxmlformats.org/officeDocument/2006/relationships/hyperlink" Target="http://1937god.info/node/312" TargetMode="External"/><Relationship Id="rId18" Type="http://schemas.openxmlformats.org/officeDocument/2006/relationships/hyperlink" Target="http://my.mail.ru/community/history0/21114FD61EF11333.html" TargetMode="External"/><Relationship Id="rId39" Type="http://schemas.openxmlformats.org/officeDocument/2006/relationships/hyperlink" Target="http://warspot.ru/6578-pervenets-pantservaffe" TargetMode="External"/><Relationship Id="rId109" Type="http://schemas.openxmlformats.org/officeDocument/2006/relationships/hyperlink" Target="http://www.rpg-club.com/x1000" TargetMode="External"/><Relationship Id="rId34" Type="http://schemas.openxmlformats.org/officeDocument/2006/relationships/hyperlink" Target="http://www.airwar.ru/enc/bww2/tb3.html" TargetMode="External"/><Relationship Id="rId50" Type="http://schemas.openxmlformats.org/officeDocument/2006/relationships/hyperlink" Target="http://hrono.ru/biograf/bio_k/kamenev_ss.php" TargetMode="External"/><Relationship Id="rId55" Type="http://schemas.openxmlformats.org/officeDocument/2006/relationships/hyperlink" Target="http://www.knowbysight.info/UUU/05515.asp" TargetMode="External"/><Relationship Id="rId76" Type="http://schemas.openxmlformats.org/officeDocument/2006/relationships/hyperlink" Target="http://www.airwar.ru/enc/other1/bm6.html" TargetMode="External"/><Relationship Id="rId97" Type="http://schemas.openxmlformats.org/officeDocument/2006/relationships/hyperlink" Target="https://ru.wikipedia.org/wiki/1928_%D0%B3%D0%BE%D0%B4" TargetMode="External"/><Relationship Id="rId104" Type="http://schemas.openxmlformats.org/officeDocument/2006/relationships/hyperlink" Target="http://detectivebooks.ru/book/47013018/?page=8" TargetMode="External"/><Relationship Id="rId120" Type="http://schemas.openxmlformats.org/officeDocument/2006/relationships/hyperlink" Target="http://detectivebooks.ru/book/47013018/?page=22" TargetMode="External"/><Relationship Id="rId125" Type="http://schemas.openxmlformats.org/officeDocument/2006/relationships/hyperlink" Target="http://www.airwar.ru/enc/other1/letovs16.html" TargetMode="External"/><Relationship Id="rId141" Type="http://schemas.openxmlformats.org/officeDocument/2006/relationships/hyperlink" Target="http://airspot.ru/catalogue/item/drzewieski-jd-2" TargetMode="External"/><Relationship Id="rId146" Type="http://schemas.openxmlformats.org/officeDocument/2006/relationships/hyperlink" Target="http://www.hrono.ru/biograf/bio_we/voroshilov.php" TargetMode="External"/><Relationship Id="rId167" Type="http://schemas.openxmlformats.org/officeDocument/2006/relationships/hyperlink" Target="http://www.hrono.ru/biograf/bio_o/osinski_obolen.php" TargetMode="External"/><Relationship Id="rId188" Type="http://schemas.openxmlformats.org/officeDocument/2006/relationships/hyperlink" Target="http://warspot.ru/6578-pervenets-pantservaffe" TargetMode="External"/><Relationship Id="rId7" Type="http://schemas.openxmlformats.org/officeDocument/2006/relationships/hyperlink" Target="http://ru.hayazg.info/%D0%9C%D0%B0%D0%B3%D0%B4%D0%B5%D1%81%D0%B8%D0%B5%D0%B2_%D0%9D%D0%B8%D0%BA%D0%BE%D0%BB%D0%B0%D0%B9_%D0%9D%D0%B8%D0%BA%D0%B8%D1%82%D0%B8%D1%87" TargetMode="External"/><Relationship Id="rId71" Type="http://schemas.openxmlformats.org/officeDocument/2006/relationships/hyperlink" Target="https://ru.wikipedia.org/wiki/1925_%D0%B3%D0%BE%D0%B4" TargetMode="External"/><Relationship Id="rId92" Type="http://schemas.openxmlformats.org/officeDocument/2006/relationships/hyperlink" Target="http://www.airwar.ru/enc/cw1/k5.html" TargetMode="External"/><Relationship Id="rId162" Type="http://schemas.openxmlformats.org/officeDocument/2006/relationships/hyperlink" Target="http://detectivebooks.ru/book/47013018/?page=8" TargetMode="External"/><Relationship Id="rId183" Type="http://schemas.openxmlformats.org/officeDocument/2006/relationships/hyperlink" Target="http://www.hrono.ru/biograf/bio_o/orzonikidze.php" TargetMode="External"/><Relationship Id="rId2" Type="http://schemas.openxmlformats.org/officeDocument/2006/relationships/styles" Target="styles.xml"/><Relationship Id="rId29" Type="http://schemas.openxmlformats.org/officeDocument/2006/relationships/hyperlink" Target="http://www.airwar.ru/enc/cw1/couzinet27.html" TargetMode="External"/><Relationship Id="rId24" Type="http://schemas.openxmlformats.org/officeDocument/2006/relationships/hyperlink" Target="http://detectivebooks.ru/book/47013018/?page=10" TargetMode="External"/><Relationship Id="rId40" Type="http://schemas.openxmlformats.org/officeDocument/2006/relationships/hyperlink" Target="http://hrono.ru/biograf/bio_r/rykov_ai.php" TargetMode="External"/><Relationship Id="rId45" Type="http://schemas.openxmlformats.org/officeDocument/2006/relationships/hyperlink" Target="http://www.airwar.ru/enc/law1/jd2.html" TargetMode="External"/><Relationship Id="rId66" Type="http://schemas.openxmlformats.org/officeDocument/2006/relationships/hyperlink" Target="https://ru.wikipedia.org/wiki/%D0%93%D1%8D%D1%80%D0%B8_(%D0%98%D0%BD%D0%B4%D0%B8%D0%B0%D0%BD%D0%B0)" TargetMode="External"/><Relationship Id="rId87" Type="http://schemas.openxmlformats.org/officeDocument/2006/relationships/hyperlink" Target="http://aviastory.narod.ru/rb1.htm" TargetMode="External"/><Relationship Id="rId110" Type="http://schemas.openxmlformats.org/officeDocument/2006/relationships/hyperlink" Target="http://www.rpg-club.com/x1000" TargetMode="External"/><Relationship Id="rId115" Type="http://schemas.openxmlformats.org/officeDocument/2006/relationships/hyperlink" Target="http://www.rpg-club.com/x1000" TargetMode="External"/><Relationship Id="rId131" Type="http://schemas.openxmlformats.org/officeDocument/2006/relationships/hyperlink" Target="http://vrn-histpage.ru/page.php?Page=32" TargetMode="External"/><Relationship Id="rId136" Type="http://schemas.openxmlformats.org/officeDocument/2006/relationships/hyperlink" Target="http://ru.wikipedia.org/wiki/%D0%90%D0%BB%D1%8F%D0%BA%D1%80%D0%B8%D1%86%D0%BA%D0%B8%D0%B9,_%D0%91%D0%BE%D1%80%D0%B8%D1%81_%D0%95%D0%B2%D0%B3%D0%B5%D0%BD%D1%8C%D0%B5%D0%B2%D0%B8%D1%87" TargetMode="External"/><Relationship Id="rId157" Type="http://schemas.openxmlformats.org/officeDocument/2006/relationships/hyperlink" Target="http://www.hrono.ru/biograf/bio_k/krzhizha.php" TargetMode="External"/><Relationship Id="rId178" Type="http://schemas.openxmlformats.org/officeDocument/2006/relationships/hyperlink" Target="https://ru.wikipedia.org/wiki/%D0%92%D0%A1%D0%9D%D0%A5_%D0%A1%D0%A1%D0%A1%D0%A0" TargetMode="External"/><Relationship Id="rId61" Type="http://schemas.openxmlformats.org/officeDocument/2006/relationships/hyperlink" Target="http://1937god.info/node/312" TargetMode="External"/><Relationship Id="rId82" Type="http://schemas.openxmlformats.org/officeDocument/2006/relationships/hyperlink" Target="http://www.airwar.ru/enc/cw1/fleetster.html" TargetMode="External"/><Relationship Id="rId152" Type="http://schemas.openxmlformats.org/officeDocument/2006/relationships/hyperlink" Target="http://www.hrono.ru/biograf/bio_m/muklevich.php" TargetMode="External"/><Relationship Id="rId173" Type="http://schemas.openxmlformats.org/officeDocument/2006/relationships/hyperlink" Target="http://www.rpg-club.com/x1000" TargetMode="External"/><Relationship Id="rId19" Type="http://schemas.openxmlformats.org/officeDocument/2006/relationships/hyperlink" Target="http://www.airwar.ru/enc/other1/r7.html" TargetMode="External"/><Relationship Id="rId14" Type="http://schemas.openxmlformats.org/officeDocument/2006/relationships/hyperlink" Target="http://www.hrono.ru/biograf/bio_t/tomski_mp.php" TargetMode="External"/><Relationship Id="rId30" Type="http://schemas.openxmlformats.org/officeDocument/2006/relationships/hyperlink" Target="http://airliner.narod.ru/airliners1927-30/concomodd.htm" TargetMode="External"/><Relationship Id="rId35" Type="http://schemas.openxmlformats.org/officeDocument/2006/relationships/hyperlink" Target="http://hrono.ru/biograf/bio_t/tuhachevski.php" TargetMode="External"/><Relationship Id="rId56" Type="http://schemas.openxmlformats.org/officeDocument/2006/relationships/hyperlink" Target="http://hrono.ru/biograf/bio_r/ruhimovich_ml.php." TargetMode="External"/><Relationship Id="rId77" Type="http://schemas.openxmlformats.org/officeDocument/2006/relationships/hyperlink" Target="http://www.hrono.ru/biograf/bio_g/gay_mi.php" TargetMode="External"/><Relationship Id="rId100" Type="http://schemas.openxmlformats.org/officeDocument/2006/relationships/hyperlink" Target="http://detectivebooks.ru/book/47013018/?page=12" TargetMode="External"/><Relationship Id="rId105" Type="http://schemas.openxmlformats.org/officeDocument/2006/relationships/hyperlink" Target="http://sport-necropol.narod.ru/minov.html" TargetMode="External"/><Relationship Id="rId126" Type="http://schemas.openxmlformats.org/officeDocument/2006/relationships/hyperlink" Target="http://www.airwar.ru/enc/law1/s1sido.html" TargetMode="External"/><Relationship Id="rId147" Type="http://schemas.openxmlformats.org/officeDocument/2006/relationships/hyperlink" Target="http://detectivebooks.ru/book/47013018/?page=12" TargetMode="External"/><Relationship Id="rId168" Type="http://schemas.openxmlformats.org/officeDocument/2006/relationships/hyperlink" Target="http://armor.kiev.ua/Tanks/BeforeWWII/dyrenkov/" TargetMode="External"/><Relationship Id="rId8" Type="http://schemas.openxmlformats.org/officeDocument/2006/relationships/hyperlink" Target="http://www.hrono.ru/biograf/bio_t/tuhachevski.php" TargetMode="External"/><Relationship Id="rId51" Type="http://schemas.openxmlformats.org/officeDocument/2006/relationships/hyperlink" Target="http://hrono.ru/biograf/bio_r/rykov_ai.php" TargetMode="External"/><Relationship Id="rId72" Type="http://schemas.openxmlformats.org/officeDocument/2006/relationships/hyperlink" Target="https://ru.wikipedia.org/wiki/1928_%D0%B3%D0%BE%D0%B4" TargetMode="External"/><Relationship Id="rId93" Type="http://schemas.openxmlformats.org/officeDocument/2006/relationships/hyperlink" Target="https://en.wikipedia.org/wiki/U.S._Steel" TargetMode="External"/><Relationship Id="rId98" Type="http://schemas.openxmlformats.org/officeDocument/2006/relationships/hyperlink" Target="https://ru.wikipedia.org/w/index.php?title=%D0%A3%D1%80%D0%B0%D0%BB%D0%93%D0%B8%D0%BF%D1%80%D0%BE%D0%BC%D0%B5%D0%B7&amp;action=edit&amp;redlink=1" TargetMode="External"/><Relationship Id="rId121" Type="http://schemas.openxmlformats.org/officeDocument/2006/relationships/hyperlink" Target="http://detectivebooks.ru/book/47013018/?page=22" TargetMode="External"/><Relationship Id="rId142" Type="http://schemas.openxmlformats.org/officeDocument/2006/relationships/hyperlink" Target="http://www.airwar.ru/enc/flyboat/late38.html" TargetMode="External"/><Relationship Id="rId163" Type="http://schemas.openxmlformats.org/officeDocument/2006/relationships/hyperlink" Target="http://istmat.info/node/61041" TargetMode="External"/><Relationship Id="rId184" Type="http://schemas.openxmlformats.org/officeDocument/2006/relationships/hyperlink" Target="http://www.hrono.ru/biograf/bio_k/kuybyshev_vv.php" TargetMode="External"/><Relationship Id="rId189" Type="http://schemas.openxmlformats.org/officeDocument/2006/relationships/hyperlink" Target="http://detectivebooks.ru/book/47013018/?page=13" TargetMode="External"/><Relationship Id="rId3" Type="http://schemas.openxmlformats.org/officeDocument/2006/relationships/settings" Target="settings.xml"/><Relationship Id="rId25" Type="http://schemas.openxmlformats.org/officeDocument/2006/relationships/hyperlink" Target="http://ebookiriran.ru/index.php?id=93&amp;section=8&amp;view=article" TargetMode="External"/><Relationship Id="rId46" Type="http://schemas.openxmlformats.org/officeDocument/2006/relationships/hyperlink" Target="http://ru.wikipedia.org/wiki/%D0%A2%D0%BA%D0%B0%D0%BB%D1%83%D0%BD,_%D0%9F%D1%91%D1%82%D1%80_%D0%9F%D0%B0%D1%85%D0%BE%D0%BC%D0%BE%D0%B2%D0%B8%D1%87" TargetMode="External"/><Relationship Id="rId67" Type="http://schemas.openxmlformats.org/officeDocument/2006/relationships/hyperlink" Target="https://ru.wikipedia.org/wiki/%D0%92%D0%A1%D0%9D%D0%A5_%D0%A1%D0%A1%D0%A1%D0%A0" TargetMode="External"/><Relationship Id="rId116" Type="http://schemas.openxmlformats.org/officeDocument/2006/relationships/hyperlink" Target="http://www.airwar.ru/enc/fww1/i5.html" TargetMode="External"/><Relationship Id="rId137" Type="http://schemas.openxmlformats.org/officeDocument/2006/relationships/hyperlink" Target="http://www.hrono.ru/biograf/bio_m/muklevich.php" TargetMode="External"/><Relationship Id="rId158" Type="http://schemas.openxmlformats.org/officeDocument/2006/relationships/hyperlink" Target="http://www.hrono.ru/biograf/bio_m/mehonosh.php" TargetMode="External"/><Relationship Id="rId20" Type="http://schemas.openxmlformats.org/officeDocument/2006/relationships/hyperlink" Target="http://www.hrono.ru/biograf/bio_r/rykov_ai.php" TargetMode="External"/><Relationship Id="rId41" Type="http://schemas.openxmlformats.org/officeDocument/2006/relationships/hyperlink" Target="http://hrono.ru/biograf/bio_we/voroshilov.php" TargetMode="External"/><Relationship Id="rId62" Type="http://schemas.openxmlformats.org/officeDocument/2006/relationships/hyperlink" Target="http://www.airwar.ru/enc/bww1/dop.html" TargetMode="External"/><Relationship Id="rId83" Type="http://schemas.openxmlformats.org/officeDocument/2006/relationships/hyperlink" Target="http://hrono.ru/biograf/bio_r/rykov_ai.php" TargetMode="External"/><Relationship Id="rId88" Type="http://schemas.openxmlformats.org/officeDocument/2006/relationships/hyperlink" Target="http://www.airwar.ru/enc/cw1/bl110.html" TargetMode="External"/><Relationship Id="rId111" Type="http://schemas.openxmlformats.org/officeDocument/2006/relationships/hyperlink" Target="http://www.rpg-club.com/x1000" TargetMode="External"/><Relationship Id="rId132" Type="http://schemas.openxmlformats.org/officeDocument/2006/relationships/hyperlink" Target="http://www.airwar.ru/enc/law1/woroniecki.html" TargetMode="External"/><Relationship Id="rId153" Type="http://schemas.openxmlformats.org/officeDocument/2006/relationships/hyperlink" Target="https://ru.wikipedia.org/wiki/20_%D0%BE%D0%BA%D1%82%D1%8F%D0%B1%D1%80%D1%8F" TargetMode="External"/><Relationship Id="rId174" Type="http://schemas.openxmlformats.org/officeDocument/2006/relationships/hyperlink" Target="http://www.rpg-club.com/x1000" TargetMode="External"/><Relationship Id="rId179" Type="http://schemas.openxmlformats.org/officeDocument/2006/relationships/hyperlink" Target="https://ru.wikipedia.org/wiki/1925_%D0%B3%D0%BE%D0%B4" TargetMode="External"/><Relationship Id="rId190" Type="http://schemas.openxmlformats.org/officeDocument/2006/relationships/hyperlink" Target="http://detectivebooks.ru/book/47013018/?page=15" TargetMode="External"/><Relationship Id="rId15" Type="http://schemas.openxmlformats.org/officeDocument/2006/relationships/hyperlink" Target="http://istmat.info/node/58792" TargetMode="External"/><Relationship Id="rId36" Type="http://schemas.openxmlformats.org/officeDocument/2006/relationships/hyperlink" Target="http://hrono.ru/biograf/bio_k/kuybyshev_vv.php" TargetMode="External"/><Relationship Id="rId57" Type="http://schemas.openxmlformats.org/officeDocument/2006/relationships/hyperlink" Target="http://www.knowbysight.info/UUU/05515.asp" TargetMode="External"/><Relationship Id="rId106" Type="http://schemas.openxmlformats.org/officeDocument/2006/relationships/hyperlink" Target="http://www.airwar.ru/enc/cw1/db80.html" TargetMode="External"/><Relationship Id="rId127" Type="http://schemas.openxmlformats.org/officeDocument/2006/relationships/hyperlink" Target="http://www.airwar.ru/enc/other1/doj.html" TargetMode="External"/><Relationship Id="rId10" Type="http://schemas.openxmlformats.org/officeDocument/2006/relationships/hyperlink" Target="http://www.hrono.ru/biograf/bio_u/unshliht_is.php" TargetMode="External"/><Relationship Id="rId31" Type="http://schemas.openxmlformats.org/officeDocument/2006/relationships/hyperlink" Target="http://hrono.ru/biograf/bio_a/alksnis_jak.php" TargetMode="External"/><Relationship Id="rId52" Type="http://schemas.openxmlformats.org/officeDocument/2006/relationships/hyperlink" Target="http://hrono.ru/biograf/bio_g/gorbunov_np.php" TargetMode="External"/><Relationship Id="rId73" Type="http://schemas.openxmlformats.org/officeDocument/2006/relationships/hyperlink" Target="https://ru.wikipedia.org/w/index.php?title=%D0%A3%D1%80%D0%B0%D0%BB%D0%93%D0%B8%D0%BF%D1%80%D0%BE%D0%BC%D0%B5%D0%B7&amp;action=edit&amp;redlink=1" TargetMode="External"/><Relationship Id="rId78" Type="http://schemas.openxmlformats.org/officeDocument/2006/relationships/hyperlink" Target="http://www.knowbysight.info/UUU/05515.asp" TargetMode="External"/><Relationship Id="rId94" Type="http://schemas.openxmlformats.org/officeDocument/2006/relationships/hyperlink" Target="https://ru.wikipedia.org/wiki/%D0%93%D1%8D%D1%80%D0%B8_(%D0%98%D0%BD%D0%B4%D0%B8%D0%B0%D0%BD%D0%B0)" TargetMode="External"/><Relationship Id="rId99" Type="http://schemas.openxmlformats.org/officeDocument/2006/relationships/hyperlink" Target="https://ru.wikipedia.org/wiki/1929_%D0%B3%D0%BE%D0%B4" TargetMode="External"/><Relationship Id="rId101" Type="http://schemas.openxmlformats.org/officeDocument/2006/relationships/hyperlink" Target="http://www.airwar.ru/enc/cw1/ub20.html" TargetMode="External"/><Relationship Id="rId122" Type="http://schemas.openxmlformats.org/officeDocument/2006/relationships/hyperlink" Target="http://www.airwar.ru/enc/flyboat/sydney.html" TargetMode="External"/><Relationship Id="rId143" Type="http://schemas.openxmlformats.org/officeDocument/2006/relationships/hyperlink" Target="http://detectivebooks.ru/book/47013018/?page=12" TargetMode="External"/><Relationship Id="rId148" Type="http://schemas.openxmlformats.org/officeDocument/2006/relationships/hyperlink" Target="http://istmat.info/node/49114" TargetMode="External"/><Relationship Id="rId164" Type="http://schemas.openxmlformats.org/officeDocument/2006/relationships/hyperlink" Target="http://istmat.info/node/49231" TargetMode="External"/><Relationship Id="rId169" Type="http://schemas.openxmlformats.org/officeDocument/2006/relationships/hyperlink" Target="https://warspot.ru/7252-eksportnyy-bestseller" TargetMode="External"/><Relationship Id="rId185" Type="http://schemas.openxmlformats.org/officeDocument/2006/relationships/hyperlink" Target="http://www.hrono.ru/biograf/bio_h/halepski_ia.php" TargetMode="External"/><Relationship Id="rId4" Type="http://schemas.openxmlformats.org/officeDocument/2006/relationships/webSettings" Target="webSettings.xml"/><Relationship Id="rId9" Type="http://schemas.openxmlformats.org/officeDocument/2006/relationships/hyperlink" Target="http://www.hrono.ru/biograf/bio_we/voroshilov.php" TargetMode="External"/><Relationship Id="rId180" Type="http://schemas.openxmlformats.org/officeDocument/2006/relationships/hyperlink" Target="https://ru.wikipedia.org/wiki/1928_%D0%B3%D0%BE%D0%B4" TargetMode="External"/><Relationship Id="rId26"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430</TotalTime>
  <Pages>879</Pages>
  <Words>1061878</Words>
  <Characters>6052709</Characters>
  <Application>Microsoft Office Word</Application>
  <DocSecurity>0</DocSecurity>
  <Lines>50439</Lines>
  <Paragraphs>14200</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7100387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174</cp:revision>
  <dcterms:created xsi:type="dcterms:W3CDTF">2022-04-03T15:42:00Z</dcterms:created>
  <dcterms:modified xsi:type="dcterms:W3CDTF">2022-05-08T07:35:00Z</dcterms:modified>
</cp:coreProperties>
</file>